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50FEE" w14:textId="27BDEA06" w:rsidR="00C261A6" w:rsidRDefault="00E97ECD">
      <w:r w:rsidRPr="00977215">
        <w:rPr>
          <w:noProof/>
          <w:lang w:eastAsia="fr-FR"/>
        </w:rPr>
        <w:drawing>
          <wp:inline distT="0" distB="0" distL="0" distR="0" wp14:anchorId="4CCE2546" wp14:editId="2543FCDF">
            <wp:extent cx="1152525" cy="1152525"/>
            <wp:effectExtent l="0" t="0" r="0" b="0"/>
            <wp:docPr id="1"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r>
        <w:rPr>
          <w:noProof/>
        </w:rPr>
        <w:drawing>
          <wp:anchor distT="0" distB="0" distL="114300" distR="114300" simplePos="0" relativeHeight="251658240" behindDoc="1" locked="0" layoutInCell="1" allowOverlap="1" wp14:anchorId="25A01F5E" wp14:editId="785D20BD">
            <wp:simplePos x="0" y="0"/>
            <wp:positionH relativeFrom="column">
              <wp:posOffset>5095240</wp:posOffset>
            </wp:positionH>
            <wp:positionV relativeFrom="paragraph">
              <wp:posOffset>635</wp:posOffset>
            </wp:positionV>
            <wp:extent cx="852170" cy="1223645"/>
            <wp:effectExtent l="0" t="0" r="0" b="0"/>
            <wp:wrapTight wrapText="bothSides">
              <wp:wrapPolygon edited="0">
                <wp:start x="15934" y="0"/>
                <wp:lineTo x="8209" y="5380"/>
                <wp:lineTo x="0" y="6053"/>
                <wp:lineTo x="0" y="12778"/>
                <wp:lineTo x="1931" y="16141"/>
                <wp:lineTo x="483" y="18159"/>
                <wp:lineTo x="966" y="19168"/>
                <wp:lineTo x="4829" y="21185"/>
                <wp:lineTo x="9174" y="21185"/>
                <wp:lineTo x="18349" y="19504"/>
                <wp:lineTo x="20763" y="18495"/>
                <wp:lineTo x="21246" y="12778"/>
                <wp:lineTo x="21246" y="9752"/>
                <wp:lineTo x="19314" y="1345"/>
                <wp:lineTo x="18349" y="0"/>
                <wp:lineTo x="15934" y="0"/>
              </wp:wrapPolygon>
            </wp:wrapTight>
            <wp:docPr id="6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2170"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AE01ADD" wp14:editId="06D7C332">
            <wp:simplePos x="0" y="0"/>
            <wp:positionH relativeFrom="margin">
              <wp:posOffset>1717040</wp:posOffset>
            </wp:positionH>
            <wp:positionV relativeFrom="paragraph">
              <wp:posOffset>-5080</wp:posOffset>
            </wp:positionV>
            <wp:extent cx="2673985" cy="940435"/>
            <wp:effectExtent l="0" t="0" r="0" b="0"/>
            <wp:wrapNone/>
            <wp:docPr id="6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3985"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50F62E" w14:textId="77777777" w:rsidR="00C261A6" w:rsidRDefault="00C261A6"/>
    <w:p w14:paraId="4500F896" w14:textId="77777777" w:rsidR="00C261A6" w:rsidRDefault="00C261A6"/>
    <w:p w14:paraId="514D5CF8" w14:textId="77777777" w:rsidR="00C261A6" w:rsidRDefault="00C261A6"/>
    <w:p w14:paraId="1FF48511" w14:textId="77777777" w:rsidR="00C261A6" w:rsidRDefault="00C261A6"/>
    <w:p w14:paraId="02A19108" w14:textId="77777777" w:rsidR="00BA525D" w:rsidRDefault="00BA525D" w:rsidP="00BA525D">
      <w:pPr>
        <w:jc w:val="center"/>
        <w:rPr>
          <w:rFonts w:ascii="Arial" w:hAnsi="Arial" w:cs="Arial"/>
          <w:b/>
          <w:noProof/>
          <w:sz w:val="24"/>
          <w:szCs w:val="24"/>
          <w:lang w:eastAsia="fr-FR"/>
        </w:rPr>
      </w:pPr>
      <w:r w:rsidRPr="00BA525D">
        <w:rPr>
          <w:rFonts w:ascii="Arial" w:hAnsi="Arial" w:cs="Arial"/>
          <w:b/>
          <w:noProof/>
          <w:sz w:val="24"/>
          <w:szCs w:val="24"/>
          <w:lang w:eastAsia="fr-FR"/>
        </w:rPr>
        <w:t>MINISTERE DE L’ENERGIE ET DES HYDROCARBURES</w:t>
      </w:r>
    </w:p>
    <w:p w14:paraId="0B4587B2" w14:textId="77777777" w:rsidR="007F78CE" w:rsidRDefault="007F78CE" w:rsidP="007F78CE">
      <w:pPr>
        <w:jc w:val="center"/>
      </w:pPr>
      <w:r>
        <w:t>-------------------------------</w:t>
      </w:r>
    </w:p>
    <w:p w14:paraId="05737C74" w14:textId="77777777" w:rsidR="007F78CE" w:rsidRPr="00BA525D" w:rsidRDefault="007F78CE" w:rsidP="00BA525D">
      <w:pPr>
        <w:jc w:val="center"/>
        <w:rPr>
          <w:rFonts w:ascii="Arial" w:hAnsi="Arial" w:cs="Arial"/>
          <w:b/>
          <w:noProof/>
          <w:sz w:val="24"/>
          <w:szCs w:val="24"/>
          <w:lang w:eastAsia="fr-FR"/>
        </w:rPr>
      </w:pPr>
      <w:r>
        <w:rPr>
          <w:rFonts w:ascii="Arial" w:hAnsi="Arial" w:cs="Arial"/>
          <w:b/>
          <w:noProof/>
          <w:sz w:val="24"/>
          <w:szCs w:val="24"/>
          <w:lang w:eastAsia="fr-FR"/>
        </w:rPr>
        <w:t>MINISTERE DU DEVELOPPEMENT NUMERIQUE, DE LA TRANSFORMATION DIGITALE, DES POSTES ET DES TELECOMMUNICATIONS</w:t>
      </w:r>
    </w:p>
    <w:p w14:paraId="3A7A2EDF" w14:textId="77777777" w:rsidR="00C261A6" w:rsidRDefault="00BA525D" w:rsidP="00BA525D">
      <w:pPr>
        <w:jc w:val="center"/>
      </w:pPr>
      <w:r>
        <w:t>-------------------------------</w:t>
      </w:r>
    </w:p>
    <w:p w14:paraId="7C64E931" w14:textId="77777777" w:rsidR="00B434A6" w:rsidRDefault="00BA525D" w:rsidP="00BA525D">
      <w:pPr>
        <w:jc w:val="center"/>
        <w:rPr>
          <w:rFonts w:ascii="Arial" w:hAnsi="Arial" w:cs="Arial"/>
          <w:b/>
          <w:noProof/>
          <w:sz w:val="24"/>
          <w:szCs w:val="24"/>
          <w:lang w:eastAsia="fr-FR"/>
        </w:rPr>
      </w:pPr>
      <w:r w:rsidRPr="00BA525D">
        <w:rPr>
          <w:rFonts w:ascii="Arial" w:hAnsi="Arial" w:cs="Arial"/>
          <w:b/>
          <w:noProof/>
          <w:sz w:val="24"/>
          <w:szCs w:val="24"/>
          <w:lang w:eastAsia="fr-FR"/>
        </w:rPr>
        <w:t xml:space="preserve">Projet de Connectivite Numérique et Energétique </w:t>
      </w:r>
    </w:p>
    <w:p w14:paraId="46530159" w14:textId="77777777" w:rsidR="00C261A6" w:rsidRPr="00BA525D" w:rsidRDefault="00BA525D" w:rsidP="00BA525D">
      <w:pPr>
        <w:jc w:val="center"/>
        <w:rPr>
          <w:rFonts w:ascii="Arial" w:hAnsi="Arial" w:cs="Arial"/>
          <w:b/>
          <w:noProof/>
          <w:sz w:val="24"/>
          <w:szCs w:val="24"/>
          <w:lang w:eastAsia="fr-FR"/>
        </w:rPr>
      </w:pPr>
      <w:r w:rsidRPr="00BA525D">
        <w:rPr>
          <w:rFonts w:ascii="Arial" w:hAnsi="Arial" w:cs="Arial"/>
          <w:b/>
          <w:noProof/>
          <w:sz w:val="24"/>
          <w:szCs w:val="24"/>
          <w:lang w:eastAsia="fr-FR"/>
        </w:rPr>
        <w:t>pour l'Inclusion à Madagascar</w:t>
      </w:r>
    </w:p>
    <w:p w14:paraId="7967999B" w14:textId="77777777" w:rsidR="00BA525D" w:rsidRDefault="00BA525D" w:rsidP="00BA525D">
      <w:pPr>
        <w:jc w:val="center"/>
      </w:pPr>
      <w:r>
        <w:t>-------------------------------</w:t>
      </w:r>
    </w:p>
    <w:p w14:paraId="167CCD31" w14:textId="77777777" w:rsidR="00C261A6" w:rsidRDefault="00C261A6"/>
    <w:p w14:paraId="4CD88A45" w14:textId="77777777" w:rsidR="00C261A6" w:rsidRDefault="00C261A6"/>
    <w:p w14:paraId="2A3D5F1F" w14:textId="77777777" w:rsidR="00C261A6" w:rsidRPr="00C261A6" w:rsidRDefault="00C261A6" w:rsidP="007F78CE">
      <w:pPr>
        <w:pBdr>
          <w:top w:val="single" w:sz="24" w:space="1" w:color="548DD4"/>
          <w:left w:val="single" w:sz="24" w:space="4" w:color="548DD4"/>
          <w:bottom w:val="single" w:sz="24" w:space="1" w:color="548DD4"/>
          <w:right w:val="single" w:sz="24" w:space="4" w:color="548DD4"/>
        </w:pBdr>
        <w:shd w:val="clear" w:color="auto" w:fill="DAEEF3"/>
        <w:ind w:left="567" w:right="567"/>
        <w:jc w:val="center"/>
        <w:rPr>
          <w:b/>
          <w:sz w:val="48"/>
        </w:rPr>
      </w:pPr>
      <w:r w:rsidRPr="00C261A6">
        <w:rPr>
          <w:b/>
          <w:sz w:val="52"/>
        </w:rPr>
        <w:t>CADRE DE GESTION ENVIRONNEMENTALE ET SOCIALE (CGES)</w:t>
      </w:r>
    </w:p>
    <w:p w14:paraId="0F76EAE0" w14:textId="77777777" w:rsidR="00C261A6" w:rsidRDefault="00C261A6"/>
    <w:p w14:paraId="601D5935" w14:textId="77777777" w:rsidR="00C261A6" w:rsidRPr="00BA525D" w:rsidRDefault="00BA525D" w:rsidP="00BA525D">
      <w:pPr>
        <w:jc w:val="center"/>
        <w:rPr>
          <w:b/>
          <w:i/>
          <w:sz w:val="28"/>
        </w:rPr>
      </w:pPr>
      <w:r w:rsidRPr="00BA525D">
        <w:rPr>
          <w:b/>
          <w:i/>
          <w:sz w:val="28"/>
        </w:rPr>
        <w:t xml:space="preserve">Version </w:t>
      </w:r>
      <w:r w:rsidR="00AC5C41">
        <w:rPr>
          <w:b/>
          <w:i/>
          <w:sz w:val="28"/>
        </w:rPr>
        <w:t>Finale</w:t>
      </w:r>
    </w:p>
    <w:p w14:paraId="60F42B2E" w14:textId="77777777" w:rsidR="00BA525D" w:rsidRDefault="00BA525D"/>
    <w:p w14:paraId="12297741" w14:textId="77777777" w:rsidR="00BA525D" w:rsidRPr="00BA525D" w:rsidRDefault="0070074C" w:rsidP="00BA525D">
      <w:pPr>
        <w:jc w:val="center"/>
        <w:rPr>
          <w:b/>
          <w:sz w:val="24"/>
        </w:rPr>
      </w:pPr>
      <w:r>
        <w:rPr>
          <w:b/>
          <w:sz w:val="24"/>
        </w:rPr>
        <w:t xml:space="preserve">Fevrier </w:t>
      </w:r>
      <w:r w:rsidR="00E66B6E">
        <w:rPr>
          <w:b/>
          <w:sz w:val="24"/>
        </w:rPr>
        <w:t>2023</w:t>
      </w:r>
    </w:p>
    <w:p w14:paraId="5BD0AF89" w14:textId="77777777" w:rsidR="00BA525D" w:rsidRDefault="00BA525D">
      <w:pPr>
        <w:sectPr w:rsidR="00BA525D" w:rsidSect="00AE76FC">
          <w:footerReference w:type="default" r:id="rId11"/>
          <w:pgSz w:w="11906" w:h="16838" w:code="9"/>
          <w:pgMar w:top="1418" w:right="1418" w:bottom="1418" w:left="1418" w:header="709" w:footer="709" w:gutter="0"/>
          <w:pgBorders w:offsetFrom="page">
            <w:top w:val="single" w:sz="24" w:space="24" w:color="548DD4"/>
            <w:left w:val="single" w:sz="24" w:space="24" w:color="548DD4"/>
            <w:bottom w:val="single" w:sz="24" w:space="24" w:color="548DD4"/>
            <w:right w:val="single" w:sz="24" w:space="24" w:color="548DD4"/>
          </w:pgBorders>
          <w:cols w:space="708"/>
          <w:titlePg/>
          <w:docGrid w:linePitch="360"/>
        </w:sectPr>
      </w:pPr>
    </w:p>
    <w:p w14:paraId="6FEAFA13" w14:textId="77777777" w:rsidR="00B67B63" w:rsidRDefault="00B67B63">
      <w:pPr>
        <w:pStyle w:val="En-ttedetabledesmatires"/>
      </w:pPr>
      <w:bookmarkStart w:id="0" w:name="_Toc124956081"/>
      <w:bookmarkStart w:id="1" w:name="_Toc125384479"/>
      <w:bookmarkStart w:id="2" w:name="_Toc125384868"/>
      <w:bookmarkStart w:id="3" w:name="_Toc127957536"/>
      <w:r>
        <w:lastRenderedPageBreak/>
        <w:t>Table des matières</w:t>
      </w:r>
      <w:bookmarkEnd w:id="0"/>
      <w:bookmarkEnd w:id="1"/>
      <w:bookmarkEnd w:id="2"/>
      <w:bookmarkEnd w:id="3"/>
    </w:p>
    <w:p w14:paraId="2488ACE8" w14:textId="77777777" w:rsidR="006C5F2A" w:rsidRPr="00FB04F6" w:rsidRDefault="00B67B63">
      <w:pPr>
        <w:pStyle w:val="TM1"/>
        <w:rPr>
          <w:rFonts w:eastAsia="Times New Roman" w:cs="Times New Roman"/>
          <w:b w:val="0"/>
          <w:bCs w:val="0"/>
          <w:caps w:val="0"/>
          <w:noProof/>
          <w:sz w:val="22"/>
          <w:szCs w:val="22"/>
          <w:lang w:eastAsia="fr-FR"/>
        </w:rPr>
      </w:pPr>
      <w:r>
        <w:fldChar w:fldCharType="begin"/>
      </w:r>
      <w:r>
        <w:instrText xml:space="preserve"> TOC \o "1-3" \h \z \u </w:instrText>
      </w:r>
      <w:r>
        <w:fldChar w:fldCharType="separate"/>
      </w:r>
      <w:hyperlink w:anchor="_Toc127957536" w:history="1">
        <w:r w:rsidR="006C5F2A" w:rsidRPr="00ED6DAE">
          <w:rPr>
            <w:rStyle w:val="Lienhypertexte"/>
            <w:noProof/>
          </w:rPr>
          <w:t>Table des matières</w:t>
        </w:r>
        <w:r w:rsidR="006C5F2A">
          <w:rPr>
            <w:noProof/>
            <w:webHidden/>
          </w:rPr>
          <w:tab/>
        </w:r>
        <w:r w:rsidR="006C5F2A">
          <w:rPr>
            <w:noProof/>
            <w:webHidden/>
          </w:rPr>
          <w:fldChar w:fldCharType="begin"/>
        </w:r>
        <w:r w:rsidR="006C5F2A">
          <w:rPr>
            <w:noProof/>
            <w:webHidden/>
          </w:rPr>
          <w:instrText xml:space="preserve"> PAGEREF _Toc127957536 \h </w:instrText>
        </w:r>
        <w:r w:rsidR="006C5F2A">
          <w:rPr>
            <w:noProof/>
            <w:webHidden/>
          </w:rPr>
        </w:r>
        <w:r w:rsidR="006C5F2A">
          <w:rPr>
            <w:noProof/>
            <w:webHidden/>
          </w:rPr>
          <w:fldChar w:fldCharType="separate"/>
        </w:r>
        <w:r w:rsidR="00B05C7F">
          <w:rPr>
            <w:noProof/>
            <w:webHidden/>
          </w:rPr>
          <w:t>ii</w:t>
        </w:r>
        <w:r w:rsidR="006C5F2A">
          <w:rPr>
            <w:noProof/>
            <w:webHidden/>
          </w:rPr>
          <w:fldChar w:fldCharType="end"/>
        </w:r>
      </w:hyperlink>
    </w:p>
    <w:p w14:paraId="2A5DF974" w14:textId="77777777" w:rsidR="006C5F2A" w:rsidRPr="00FB04F6" w:rsidRDefault="006C5F2A">
      <w:pPr>
        <w:pStyle w:val="TM1"/>
        <w:rPr>
          <w:rFonts w:eastAsia="Times New Roman" w:cs="Times New Roman"/>
          <w:b w:val="0"/>
          <w:bCs w:val="0"/>
          <w:caps w:val="0"/>
          <w:noProof/>
          <w:sz w:val="22"/>
          <w:szCs w:val="22"/>
          <w:lang w:eastAsia="fr-FR"/>
        </w:rPr>
      </w:pPr>
      <w:hyperlink w:anchor="_Toc127957537" w:history="1">
        <w:r w:rsidRPr="00ED6DAE">
          <w:rPr>
            <w:rStyle w:val="Lienhypertexte"/>
            <w:noProof/>
          </w:rPr>
          <w:t>LISTE DES ANNEXES</w:t>
        </w:r>
        <w:r>
          <w:rPr>
            <w:noProof/>
            <w:webHidden/>
          </w:rPr>
          <w:tab/>
        </w:r>
        <w:r>
          <w:rPr>
            <w:noProof/>
            <w:webHidden/>
          </w:rPr>
          <w:fldChar w:fldCharType="begin"/>
        </w:r>
        <w:r>
          <w:rPr>
            <w:noProof/>
            <w:webHidden/>
          </w:rPr>
          <w:instrText xml:space="preserve"> PAGEREF _Toc127957537 \h </w:instrText>
        </w:r>
        <w:r>
          <w:rPr>
            <w:noProof/>
            <w:webHidden/>
          </w:rPr>
        </w:r>
        <w:r>
          <w:rPr>
            <w:noProof/>
            <w:webHidden/>
          </w:rPr>
          <w:fldChar w:fldCharType="separate"/>
        </w:r>
        <w:r w:rsidR="00B05C7F">
          <w:rPr>
            <w:noProof/>
            <w:webHidden/>
          </w:rPr>
          <w:t>vii</w:t>
        </w:r>
        <w:r>
          <w:rPr>
            <w:noProof/>
            <w:webHidden/>
          </w:rPr>
          <w:fldChar w:fldCharType="end"/>
        </w:r>
      </w:hyperlink>
    </w:p>
    <w:p w14:paraId="7237A151" w14:textId="77777777" w:rsidR="006C5F2A" w:rsidRPr="00FB04F6" w:rsidRDefault="006C5F2A">
      <w:pPr>
        <w:pStyle w:val="TM1"/>
        <w:rPr>
          <w:rFonts w:eastAsia="Times New Roman" w:cs="Times New Roman"/>
          <w:b w:val="0"/>
          <w:bCs w:val="0"/>
          <w:caps w:val="0"/>
          <w:noProof/>
          <w:sz w:val="22"/>
          <w:szCs w:val="22"/>
          <w:lang w:eastAsia="fr-FR"/>
        </w:rPr>
      </w:pPr>
      <w:hyperlink w:anchor="_Toc127957538" w:history="1">
        <w:r w:rsidRPr="00ED6DAE">
          <w:rPr>
            <w:rStyle w:val="Lienhypertexte"/>
            <w:noProof/>
          </w:rPr>
          <w:t>LISTE DES TABLEAUX</w:t>
        </w:r>
        <w:r>
          <w:rPr>
            <w:noProof/>
            <w:webHidden/>
          </w:rPr>
          <w:tab/>
        </w:r>
        <w:r>
          <w:rPr>
            <w:noProof/>
            <w:webHidden/>
          </w:rPr>
          <w:fldChar w:fldCharType="begin"/>
        </w:r>
        <w:r>
          <w:rPr>
            <w:noProof/>
            <w:webHidden/>
          </w:rPr>
          <w:instrText xml:space="preserve"> PAGEREF _Toc127957538 \h </w:instrText>
        </w:r>
        <w:r>
          <w:rPr>
            <w:noProof/>
            <w:webHidden/>
          </w:rPr>
        </w:r>
        <w:r>
          <w:rPr>
            <w:noProof/>
            <w:webHidden/>
          </w:rPr>
          <w:fldChar w:fldCharType="separate"/>
        </w:r>
        <w:r w:rsidR="00B05C7F">
          <w:rPr>
            <w:noProof/>
            <w:webHidden/>
          </w:rPr>
          <w:t>vii</w:t>
        </w:r>
        <w:r>
          <w:rPr>
            <w:noProof/>
            <w:webHidden/>
          </w:rPr>
          <w:fldChar w:fldCharType="end"/>
        </w:r>
      </w:hyperlink>
    </w:p>
    <w:p w14:paraId="5B3499E2" w14:textId="77777777" w:rsidR="006C5F2A" w:rsidRPr="00FB04F6" w:rsidRDefault="006C5F2A">
      <w:pPr>
        <w:pStyle w:val="TM1"/>
        <w:rPr>
          <w:rFonts w:eastAsia="Times New Roman" w:cs="Times New Roman"/>
          <w:b w:val="0"/>
          <w:bCs w:val="0"/>
          <w:caps w:val="0"/>
          <w:noProof/>
          <w:sz w:val="22"/>
          <w:szCs w:val="22"/>
          <w:lang w:eastAsia="fr-FR"/>
        </w:rPr>
      </w:pPr>
      <w:hyperlink w:anchor="_Toc127957539" w:history="1">
        <w:r w:rsidRPr="00ED6DAE">
          <w:rPr>
            <w:rStyle w:val="Lienhypertexte"/>
            <w:noProof/>
          </w:rPr>
          <w:t>LISTE DES FIGURES</w:t>
        </w:r>
        <w:r>
          <w:rPr>
            <w:noProof/>
            <w:webHidden/>
          </w:rPr>
          <w:tab/>
        </w:r>
        <w:r>
          <w:rPr>
            <w:noProof/>
            <w:webHidden/>
          </w:rPr>
          <w:fldChar w:fldCharType="begin"/>
        </w:r>
        <w:r>
          <w:rPr>
            <w:noProof/>
            <w:webHidden/>
          </w:rPr>
          <w:instrText xml:space="preserve"> PAGEREF _Toc127957539 \h </w:instrText>
        </w:r>
        <w:r>
          <w:rPr>
            <w:noProof/>
            <w:webHidden/>
          </w:rPr>
        </w:r>
        <w:r>
          <w:rPr>
            <w:noProof/>
            <w:webHidden/>
          </w:rPr>
          <w:fldChar w:fldCharType="separate"/>
        </w:r>
        <w:r w:rsidR="00B05C7F">
          <w:rPr>
            <w:noProof/>
            <w:webHidden/>
          </w:rPr>
          <w:t>ix</w:t>
        </w:r>
        <w:r>
          <w:rPr>
            <w:noProof/>
            <w:webHidden/>
          </w:rPr>
          <w:fldChar w:fldCharType="end"/>
        </w:r>
      </w:hyperlink>
    </w:p>
    <w:p w14:paraId="0C005DE1" w14:textId="77777777" w:rsidR="006C5F2A" w:rsidRPr="00FB04F6" w:rsidRDefault="006C5F2A">
      <w:pPr>
        <w:pStyle w:val="TM1"/>
        <w:rPr>
          <w:rFonts w:eastAsia="Times New Roman" w:cs="Times New Roman"/>
          <w:b w:val="0"/>
          <w:bCs w:val="0"/>
          <w:caps w:val="0"/>
          <w:noProof/>
          <w:sz w:val="22"/>
          <w:szCs w:val="22"/>
          <w:lang w:eastAsia="fr-FR"/>
        </w:rPr>
      </w:pPr>
      <w:hyperlink w:anchor="_Toc127957540" w:history="1">
        <w:r w:rsidRPr="00ED6DAE">
          <w:rPr>
            <w:rStyle w:val="Lienhypertexte"/>
            <w:noProof/>
          </w:rPr>
          <w:t>LISTE DES CARTES</w:t>
        </w:r>
        <w:r>
          <w:rPr>
            <w:noProof/>
            <w:webHidden/>
          </w:rPr>
          <w:tab/>
        </w:r>
        <w:r>
          <w:rPr>
            <w:noProof/>
            <w:webHidden/>
          </w:rPr>
          <w:fldChar w:fldCharType="begin"/>
        </w:r>
        <w:r>
          <w:rPr>
            <w:noProof/>
            <w:webHidden/>
          </w:rPr>
          <w:instrText xml:space="preserve"> PAGEREF _Toc127957540 \h </w:instrText>
        </w:r>
        <w:r>
          <w:rPr>
            <w:noProof/>
            <w:webHidden/>
          </w:rPr>
        </w:r>
        <w:r>
          <w:rPr>
            <w:noProof/>
            <w:webHidden/>
          </w:rPr>
          <w:fldChar w:fldCharType="separate"/>
        </w:r>
        <w:r w:rsidR="00B05C7F">
          <w:rPr>
            <w:noProof/>
            <w:webHidden/>
          </w:rPr>
          <w:t>x</w:t>
        </w:r>
        <w:r>
          <w:rPr>
            <w:noProof/>
            <w:webHidden/>
          </w:rPr>
          <w:fldChar w:fldCharType="end"/>
        </w:r>
      </w:hyperlink>
    </w:p>
    <w:p w14:paraId="051E2E00" w14:textId="77777777" w:rsidR="006C5F2A" w:rsidRPr="00FB04F6" w:rsidRDefault="006C5F2A">
      <w:pPr>
        <w:pStyle w:val="TM1"/>
        <w:rPr>
          <w:rFonts w:eastAsia="Times New Roman" w:cs="Times New Roman"/>
          <w:b w:val="0"/>
          <w:bCs w:val="0"/>
          <w:caps w:val="0"/>
          <w:noProof/>
          <w:sz w:val="22"/>
          <w:szCs w:val="22"/>
          <w:lang w:eastAsia="fr-FR"/>
        </w:rPr>
      </w:pPr>
      <w:hyperlink w:anchor="_Toc127957541" w:history="1">
        <w:r w:rsidRPr="00ED6DAE">
          <w:rPr>
            <w:rStyle w:val="Lienhypertexte"/>
            <w:noProof/>
          </w:rPr>
          <w:t>LISTE DES PHOTOS</w:t>
        </w:r>
        <w:r>
          <w:rPr>
            <w:noProof/>
            <w:webHidden/>
          </w:rPr>
          <w:tab/>
        </w:r>
        <w:r>
          <w:rPr>
            <w:noProof/>
            <w:webHidden/>
          </w:rPr>
          <w:fldChar w:fldCharType="begin"/>
        </w:r>
        <w:r>
          <w:rPr>
            <w:noProof/>
            <w:webHidden/>
          </w:rPr>
          <w:instrText xml:space="preserve"> PAGEREF _Toc127957541 \h </w:instrText>
        </w:r>
        <w:r>
          <w:rPr>
            <w:noProof/>
            <w:webHidden/>
          </w:rPr>
        </w:r>
        <w:r>
          <w:rPr>
            <w:noProof/>
            <w:webHidden/>
          </w:rPr>
          <w:fldChar w:fldCharType="separate"/>
        </w:r>
        <w:r w:rsidR="00B05C7F">
          <w:rPr>
            <w:noProof/>
            <w:webHidden/>
          </w:rPr>
          <w:t>x</w:t>
        </w:r>
        <w:r>
          <w:rPr>
            <w:noProof/>
            <w:webHidden/>
          </w:rPr>
          <w:fldChar w:fldCharType="end"/>
        </w:r>
      </w:hyperlink>
    </w:p>
    <w:p w14:paraId="71D75E62" w14:textId="77777777" w:rsidR="006C5F2A" w:rsidRPr="00FB04F6" w:rsidRDefault="006C5F2A">
      <w:pPr>
        <w:pStyle w:val="TM1"/>
        <w:rPr>
          <w:rFonts w:eastAsia="Times New Roman" w:cs="Times New Roman"/>
          <w:b w:val="0"/>
          <w:bCs w:val="0"/>
          <w:caps w:val="0"/>
          <w:noProof/>
          <w:sz w:val="22"/>
          <w:szCs w:val="22"/>
          <w:lang w:eastAsia="fr-FR"/>
        </w:rPr>
      </w:pPr>
      <w:hyperlink w:anchor="_Toc127957542" w:history="1">
        <w:r w:rsidRPr="00ED6DAE">
          <w:rPr>
            <w:rStyle w:val="Lienhypertexte"/>
            <w:noProof/>
          </w:rPr>
          <w:t>RESUME EXECUTIF</w:t>
        </w:r>
        <w:r>
          <w:rPr>
            <w:noProof/>
            <w:webHidden/>
          </w:rPr>
          <w:tab/>
        </w:r>
        <w:r>
          <w:rPr>
            <w:noProof/>
            <w:webHidden/>
          </w:rPr>
          <w:fldChar w:fldCharType="begin"/>
        </w:r>
        <w:r>
          <w:rPr>
            <w:noProof/>
            <w:webHidden/>
          </w:rPr>
          <w:instrText xml:space="preserve"> PAGEREF _Toc127957542 \h </w:instrText>
        </w:r>
        <w:r>
          <w:rPr>
            <w:noProof/>
            <w:webHidden/>
          </w:rPr>
        </w:r>
        <w:r>
          <w:rPr>
            <w:noProof/>
            <w:webHidden/>
          </w:rPr>
          <w:fldChar w:fldCharType="separate"/>
        </w:r>
        <w:r w:rsidR="00B05C7F">
          <w:rPr>
            <w:noProof/>
            <w:webHidden/>
          </w:rPr>
          <w:t>xiii</w:t>
        </w:r>
        <w:r>
          <w:rPr>
            <w:noProof/>
            <w:webHidden/>
          </w:rPr>
          <w:fldChar w:fldCharType="end"/>
        </w:r>
      </w:hyperlink>
    </w:p>
    <w:p w14:paraId="6E4CD221" w14:textId="77777777" w:rsidR="006C5F2A" w:rsidRPr="00FB04F6" w:rsidRDefault="006C5F2A">
      <w:pPr>
        <w:pStyle w:val="TM1"/>
        <w:rPr>
          <w:rFonts w:eastAsia="Times New Roman" w:cs="Times New Roman"/>
          <w:b w:val="0"/>
          <w:bCs w:val="0"/>
          <w:caps w:val="0"/>
          <w:noProof/>
          <w:sz w:val="22"/>
          <w:szCs w:val="22"/>
          <w:lang w:eastAsia="fr-FR"/>
        </w:rPr>
      </w:pPr>
      <w:hyperlink w:anchor="_Toc127957543" w:history="1">
        <w:r w:rsidRPr="00ED6DAE">
          <w:rPr>
            <w:rStyle w:val="Lienhypertexte"/>
            <w:noProof/>
          </w:rPr>
          <w:t>EXECUTIVE SUMMARY</w:t>
        </w:r>
        <w:r>
          <w:rPr>
            <w:noProof/>
            <w:webHidden/>
          </w:rPr>
          <w:tab/>
        </w:r>
        <w:r>
          <w:rPr>
            <w:noProof/>
            <w:webHidden/>
          </w:rPr>
          <w:fldChar w:fldCharType="begin"/>
        </w:r>
        <w:r>
          <w:rPr>
            <w:noProof/>
            <w:webHidden/>
          </w:rPr>
          <w:instrText xml:space="preserve"> PAGEREF _Toc127957543 \h </w:instrText>
        </w:r>
        <w:r>
          <w:rPr>
            <w:noProof/>
            <w:webHidden/>
          </w:rPr>
        </w:r>
        <w:r>
          <w:rPr>
            <w:noProof/>
            <w:webHidden/>
          </w:rPr>
          <w:fldChar w:fldCharType="separate"/>
        </w:r>
        <w:r w:rsidR="00B05C7F">
          <w:rPr>
            <w:noProof/>
            <w:webHidden/>
          </w:rPr>
          <w:t>xxvi</w:t>
        </w:r>
        <w:r>
          <w:rPr>
            <w:noProof/>
            <w:webHidden/>
          </w:rPr>
          <w:fldChar w:fldCharType="end"/>
        </w:r>
      </w:hyperlink>
    </w:p>
    <w:p w14:paraId="142637FF" w14:textId="77777777" w:rsidR="006C5F2A" w:rsidRPr="00FB04F6" w:rsidRDefault="006C5F2A">
      <w:pPr>
        <w:pStyle w:val="TM1"/>
        <w:rPr>
          <w:rFonts w:eastAsia="Times New Roman" w:cs="Times New Roman"/>
          <w:b w:val="0"/>
          <w:bCs w:val="0"/>
          <w:caps w:val="0"/>
          <w:noProof/>
          <w:sz w:val="22"/>
          <w:szCs w:val="22"/>
          <w:lang w:eastAsia="fr-FR"/>
        </w:rPr>
      </w:pPr>
      <w:hyperlink w:anchor="_Toc127957544" w:history="1">
        <w:r w:rsidRPr="00ED6DAE">
          <w:rPr>
            <w:rStyle w:val="Lienhypertexte"/>
            <w:noProof/>
          </w:rPr>
          <w:t>FAMINTINANA</w:t>
        </w:r>
        <w:r>
          <w:rPr>
            <w:noProof/>
            <w:webHidden/>
          </w:rPr>
          <w:tab/>
        </w:r>
        <w:r>
          <w:rPr>
            <w:noProof/>
            <w:webHidden/>
          </w:rPr>
          <w:fldChar w:fldCharType="begin"/>
        </w:r>
        <w:r>
          <w:rPr>
            <w:noProof/>
            <w:webHidden/>
          </w:rPr>
          <w:instrText xml:space="preserve"> PAGEREF _Toc127957544 \h </w:instrText>
        </w:r>
        <w:r>
          <w:rPr>
            <w:noProof/>
            <w:webHidden/>
          </w:rPr>
        </w:r>
        <w:r>
          <w:rPr>
            <w:noProof/>
            <w:webHidden/>
          </w:rPr>
          <w:fldChar w:fldCharType="separate"/>
        </w:r>
        <w:r w:rsidR="00B05C7F">
          <w:rPr>
            <w:noProof/>
            <w:webHidden/>
          </w:rPr>
          <w:t>xxxix</w:t>
        </w:r>
        <w:r>
          <w:rPr>
            <w:noProof/>
            <w:webHidden/>
          </w:rPr>
          <w:fldChar w:fldCharType="end"/>
        </w:r>
      </w:hyperlink>
    </w:p>
    <w:p w14:paraId="193EFCCB" w14:textId="77777777" w:rsidR="006C5F2A" w:rsidRPr="00FB04F6" w:rsidRDefault="006C5F2A">
      <w:pPr>
        <w:pStyle w:val="TM1"/>
        <w:tabs>
          <w:tab w:val="left" w:pos="440"/>
        </w:tabs>
        <w:rPr>
          <w:rFonts w:eastAsia="Times New Roman" w:cs="Times New Roman"/>
          <w:b w:val="0"/>
          <w:bCs w:val="0"/>
          <w:caps w:val="0"/>
          <w:noProof/>
          <w:sz w:val="22"/>
          <w:szCs w:val="22"/>
          <w:lang w:eastAsia="fr-FR"/>
        </w:rPr>
      </w:pPr>
      <w:hyperlink w:anchor="_Toc127957545" w:history="1">
        <w:r w:rsidRPr="00ED6DAE">
          <w:rPr>
            <w:rStyle w:val="Lienhypertexte"/>
            <w:noProof/>
          </w:rPr>
          <w:t>1.</w:t>
        </w:r>
        <w:r w:rsidRPr="00FB04F6">
          <w:rPr>
            <w:rFonts w:eastAsia="Times New Roman" w:cs="Times New Roman"/>
            <w:b w:val="0"/>
            <w:bCs w:val="0"/>
            <w:caps w:val="0"/>
            <w:noProof/>
            <w:sz w:val="22"/>
            <w:szCs w:val="22"/>
            <w:lang w:eastAsia="fr-FR"/>
          </w:rPr>
          <w:tab/>
        </w:r>
        <w:r w:rsidRPr="00ED6DAE">
          <w:rPr>
            <w:rStyle w:val="Lienhypertexte"/>
            <w:noProof/>
          </w:rPr>
          <w:t>Introduction et Contexte</w:t>
        </w:r>
        <w:r>
          <w:rPr>
            <w:noProof/>
            <w:webHidden/>
          </w:rPr>
          <w:tab/>
        </w:r>
        <w:r>
          <w:rPr>
            <w:noProof/>
            <w:webHidden/>
          </w:rPr>
          <w:fldChar w:fldCharType="begin"/>
        </w:r>
        <w:r>
          <w:rPr>
            <w:noProof/>
            <w:webHidden/>
          </w:rPr>
          <w:instrText xml:space="preserve"> PAGEREF _Toc127957545 \h </w:instrText>
        </w:r>
        <w:r>
          <w:rPr>
            <w:noProof/>
            <w:webHidden/>
          </w:rPr>
        </w:r>
        <w:r>
          <w:rPr>
            <w:noProof/>
            <w:webHidden/>
          </w:rPr>
          <w:fldChar w:fldCharType="separate"/>
        </w:r>
        <w:r w:rsidR="00B05C7F">
          <w:rPr>
            <w:noProof/>
            <w:webHidden/>
          </w:rPr>
          <w:t>1</w:t>
        </w:r>
        <w:r>
          <w:rPr>
            <w:noProof/>
            <w:webHidden/>
          </w:rPr>
          <w:fldChar w:fldCharType="end"/>
        </w:r>
      </w:hyperlink>
    </w:p>
    <w:p w14:paraId="2074B258" w14:textId="77777777" w:rsidR="006C5F2A" w:rsidRPr="00FB04F6" w:rsidRDefault="006C5F2A">
      <w:pPr>
        <w:pStyle w:val="TM2"/>
        <w:rPr>
          <w:rFonts w:eastAsia="Times New Roman" w:cs="Times New Roman"/>
          <w:smallCaps w:val="0"/>
          <w:noProof/>
          <w:sz w:val="22"/>
          <w:szCs w:val="22"/>
          <w:lang w:eastAsia="fr-FR"/>
        </w:rPr>
      </w:pPr>
      <w:hyperlink w:anchor="_Toc127957546" w:history="1">
        <w:r w:rsidRPr="00ED6DAE">
          <w:rPr>
            <w:rStyle w:val="Lienhypertexte"/>
            <w:noProof/>
          </w:rPr>
          <w:t>1.1.</w:t>
        </w:r>
        <w:r w:rsidRPr="00FB04F6">
          <w:rPr>
            <w:rFonts w:eastAsia="Times New Roman" w:cs="Times New Roman"/>
            <w:smallCaps w:val="0"/>
            <w:noProof/>
            <w:sz w:val="22"/>
            <w:szCs w:val="22"/>
            <w:lang w:eastAsia="fr-FR"/>
          </w:rPr>
          <w:tab/>
        </w:r>
        <w:r w:rsidRPr="00ED6DAE">
          <w:rPr>
            <w:rStyle w:val="Lienhypertexte"/>
            <w:noProof/>
          </w:rPr>
          <w:t>Contexte du Projet</w:t>
        </w:r>
        <w:r>
          <w:rPr>
            <w:noProof/>
            <w:webHidden/>
          </w:rPr>
          <w:tab/>
        </w:r>
        <w:r>
          <w:rPr>
            <w:noProof/>
            <w:webHidden/>
          </w:rPr>
          <w:fldChar w:fldCharType="begin"/>
        </w:r>
        <w:r>
          <w:rPr>
            <w:noProof/>
            <w:webHidden/>
          </w:rPr>
          <w:instrText xml:space="preserve"> PAGEREF _Toc127957546 \h </w:instrText>
        </w:r>
        <w:r>
          <w:rPr>
            <w:noProof/>
            <w:webHidden/>
          </w:rPr>
        </w:r>
        <w:r>
          <w:rPr>
            <w:noProof/>
            <w:webHidden/>
          </w:rPr>
          <w:fldChar w:fldCharType="separate"/>
        </w:r>
        <w:r w:rsidR="00B05C7F">
          <w:rPr>
            <w:noProof/>
            <w:webHidden/>
          </w:rPr>
          <w:t>1</w:t>
        </w:r>
        <w:r>
          <w:rPr>
            <w:noProof/>
            <w:webHidden/>
          </w:rPr>
          <w:fldChar w:fldCharType="end"/>
        </w:r>
      </w:hyperlink>
    </w:p>
    <w:p w14:paraId="37EA8F18" w14:textId="77777777" w:rsidR="006C5F2A" w:rsidRPr="00FB04F6" w:rsidRDefault="006C5F2A">
      <w:pPr>
        <w:pStyle w:val="TM2"/>
        <w:rPr>
          <w:rFonts w:eastAsia="Times New Roman" w:cs="Times New Roman"/>
          <w:smallCaps w:val="0"/>
          <w:noProof/>
          <w:sz w:val="22"/>
          <w:szCs w:val="22"/>
          <w:lang w:eastAsia="fr-FR"/>
        </w:rPr>
      </w:pPr>
      <w:hyperlink w:anchor="_Toc127957547" w:history="1">
        <w:r w:rsidRPr="00ED6DAE">
          <w:rPr>
            <w:rStyle w:val="Lienhypertexte"/>
            <w:noProof/>
          </w:rPr>
          <w:t>1.2.</w:t>
        </w:r>
        <w:r w:rsidRPr="00FB04F6">
          <w:rPr>
            <w:rFonts w:eastAsia="Times New Roman" w:cs="Times New Roman"/>
            <w:smallCaps w:val="0"/>
            <w:noProof/>
            <w:sz w:val="22"/>
            <w:szCs w:val="22"/>
            <w:lang w:eastAsia="fr-FR"/>
          </w:rPr>
          <w:tab/>
        </w:r>
        <w:r w:rsidRPr="00ED6DAE">
          <w:rPr>
            <w:rStyle w:val="Lienhypertexte"/>
            <w:noProof/>
          </w:rPr>
          <w:t>Objectif de l’étude</w:t>
        </w:r>
        <w:r>
          <w:rPr>
            <w:noProof/>
            <w:webHidden/>
          </w:rPr>
          <w:tab/>
        </w:r>
        <w:r>
          <w:rPr>
            <w:noProof/>
            <w:webHidden/>
          </w:rPr>
          <w:fldChar w:fldCharType="begin"/>
        </w:r>
        <w:r>
          <w:rPr>
            <w:noProof/>
            <w:webHidden/>
          </w:rPr>
          <w:instrText xml:space="preserve"> PAGEREF _Toc127957547 \h </w:instrText>
        </w:r>
        <w:r>
          <w:rPr>
            <w:noProof/>
            <w:webHidden/>
          </w:rPr>
        </w:r>
        <w:r>
          <w:rPr>
            <w:noProof/>
            <w:webHidden/>
          </w:rPr>
          <w:fldChar w:fldCharType="separate"/>
        </w:r>
        <w:r w:rsidR="00B05C7F">
          <w:rPr>
            <w:noProof/>
            <w:webHidden/>
          </w:rPr>
          <w:t>2</w:t>
        </w:r>
        <w:r>
          <w:rPr>
            <w:noProof/>
            <w:webHidden/>
          </w:rPr>
          <w:fldChar w:fldCharType="end"/>
        </w:r>
      </w:hyperlink>
    </w:p>
    <w:p w14:paraId="3C805D3E" w14:textId="77777777" w:rsidR="006C5F2A" w:rsidRPr="00FB04F6" w:rsidRDefault="006C5F2A">
      <w:pPr>
        <w:pStyle w:val="TM2"/>
        <w:rPr>
          <w:rFonts w:eastAsia="Times New Roman" w:cs="Times New Roman"/>
          <w:smallCaps w:val="0"/>
          <w:noProof/>
          <w:sz w:val="22"/>
          <w:szCs w:val="22"/>
          <w:lang w:eastAsia="fr-FR"/>
        </w:rPr>
      </w:pPr>
      <w:hyperlink w:anchor="_Toc127957548" w:history="1">
        <w:r w:rsidRPr="00ED6DAE">
          <w:rPr>
            <w:rStyle w:val="Lienhypertexte"/>
            <w:noProof/>
          </w:rPr>
          <w:t>1.3.</w:t>
        </w:r>
        <w:r w:rsidRPr="00FB04F6">
          <w:rPr>
            <w:rFonts w:eastAsia="Times New Roman" w:cs="Times New Roman"/>
            <w:smallCaps w:val="0"/>
            <w:noProof/>
            <w:sz w:val="22"/>
            <w:szCs w:val="22"/>
            <w:lang w:eastAsia="fr-FR"/>
          </w:rPr>
          <w:tab/>
        </w:r>
        <w:r w:rsidRPr="00ED6DAE">
          <w:rPr>
            <w:rStyle w:val="Lienhypertexte"/>
            <w:noProof/>
          </w:rPr>
          <w:t>Introduction du CES de la Banque</w:t>
        </w:r>
        <w:r>
          <w:rPr>
            <w:noProof/>
            <w:webHidden/>
          </w:rPr>
          <w:tab/>
        </w:r>
        <w:r>
          <w:rPr>
            <w:noProof/>
            <w:webHidden/>
          </w:rPr>
          <w:fldChar w:fldCharType="begin"/>
        </w:r>
        <w:r>
          <w:rPr>
            <w:noProof/>
            <w:webHidden/>
          </w:rPr>
          <w:instrText xml:space="preserve"> PAGEREF _Toc127957548 \h </w:instrText>
        </w:r>
        <w:r>
          <w:rPr>
            <w:noProof/>
            <w:webHidden/>
          </w:rPr>
        </w:r>
        <w:r>
          <w:rPr>
            <w:noProof/>
            <w:webHidden/>
          </w:rPr>
          <w:fldChar w:fldCharType="separate"/>
        </w:r>
        <w:r w:rsidR="00B05C7F">
          <w:rPr>
            <w:noProof/>
            <w:webHidden/>
          </w:rPr>
          <w:t>2</w:t>
        </w:r>
        <w:r>
          <w:rPr>
            <w:noProof/>
            <w:webHidden/>
          </w:rPr>
          <w:fldChar w:fldCharType="end"/>
        </w:r>
      </w:hyperlink>
    </w:p>
    <w:p w14:paraId="2385DEFA" w14:textId="77777777" w:rsidR="006C5F2A" w:rsidRPr="00FB04F6" w:rsidRDefault="006C5F2A">
      <w:pPr>
        <w:pStyle w:val="TM2"/>
        <w:rPr>
          <w:rFonts w:eastAsia="Times New Roman" w:cs="Times New Roman"/>
          <w:smallCaps w:val="0"/>
          <w:noProof/>
          <w:sz w:val="22"/>
          <w:szCs w:val="22"/>
          <w:lang w:eastAsia="fr-FR"/>
        </w:rPr>
      </w:pPr>
      <w:hyperlink w:anchor="_Toc127957549" w:history="1">
        <w:r w:rsidRPr="00ED6DAE">
          <w:rPr>
            <w:rStyle w:val="Lienhypertexte"/>
            <w:noProof/>
          </w:rPr>
          <w:t>1.4.</w:t>
        </w:r>
        <w:r w:rsidRPr="00FB04F6">
          <w:rPr>
            <w:rFonts w:eastAsia="Times New Roman" w:cs="Times New Roman"/>
            <w:smallCaps w:val="0"/>
            <w:noProof/>
            <w:sz w:val="22"/>
            <w:szCs w:val="22"/>
            <w:lang w:eastAsia="fr-FR"/>
          </w:rPr>
          <w:tab/>
        </w:r>
        <w:r w:rsidRPr="00ED6DAE">
          <w:rPr>
            <w:rStyle w:val="Lienhypertexte"/>
            <w:noProof/>
          </w:rPr>
          <w:t>Introduction du CGES</w:t>
        </w:r>
        <w:r>
          <w:rPr>
            <w:noProof/>
            <w:webHidden/>
          </w:rPr>
          <w:tab/>
        </w:r>
        <w:r>
          <w:rPr>
            <w:noProof/>
            <w:webHidden/>
          </w:rPr>
          <w:fldChar w:fldCharType="begin"/>
        </w:r>
        <w:r>
          <w:rPr>
            <w:noProof/>
            <w:webHidden/>
          </w:rPr>
          <w:instrText xml:space="preserve"> PAGEREF _Toc127957549 \h </w:instrText>
        </w:r>
        <w:r>
          <w:rPr>
            <w:noProof/>
            <w:webHidden/>
          </w:rPr>
        </w:r>
        <w:r>
          <w:rPr>
            <w:noProof/>
            <w:webHidden/>
          </w:rPr>
          <w:fldChar w:fldCharType="separate"/>
        </w:r>
        <w:r w:rsidR="00B05C7F">
          <w:rPr>
            <w:noProof/>
            <w:webHidden/>
          </w:rPr>
          <w:t>3</w:t>
        </w:r>
        <w:r>
          <w:rPr>
            <w:noProof/>
            <w:webHidden/>
          </w:rPr>
          <w:fldChar w:fldCharType="end"/>
        </w:r>
      </w:hyperlink>
    </w:p>
    <w:p w14:paraId="61C7F349" w14:textId="77777777" w:rsidR="006C5F2A" w:rsidRPr="00FB04F6" w:rsidRDefault="006C5F2A">
      <w:pPr>
        <w:pStyle w:val="TM2"/>
        <w:rPr>
          <w:rFonts w:eastAsia="Times New Roman" w:cs="Times New Roman"/>
          <w:smallCaps w:val="0"/>
          <w:noProof/>
          <w:sz w:val="22"/>
          <w:szCs w:val="22"/>
          <w:lang w:eastAsia="fr-FR"/>
        </w:rPr>
      </w:pPr>
      <w:hyperlink w:anchor="_Toc127957550" w:history="1">
        <w:r w:rsidRPr="00ED6DAE">
          <w:rPr>
            <w:rStyle w:val="Lienhypertexte"/>
            <w:noProof/>
          </w:rPr>
          <w:t>1.5.</w:t>
        </w:r>
        <w:r w:rsidRPr="00FB04F6">
          <w:rPr>
            <w:rFonts w:eastAsia="Times New Roman" w:cs="Times New Roman"/>
            <w:smallCaps w:val="0"/>
            <w:noProof/>
            <w:sz w:val="22"/>
            <w:szCs w:val="22"/>
            <w:lang w:eastAsia="fr-FR"/>
          </w:rPr>
          <w:tab/>
        </w:r>
        <w:r w:rsidRPr="00ED6DAE">
          <w:rPr>
            <w:rStyle w:val="Lienhypertexte"/>
            <w:noProof/>
          </w:rPr>
          <w:t>Structure du CGES</w:t>
        </w:r>
        <w:r>
          <w:rPr>
            <w:noProof/>
            <w:webHidden/>
          </w:rPr>
          <w:tab/>
        </w:r>
        <w:r>
          <w:rPr>
            <w:noProof/>
            <w:webHidden/>
          </w:rPr>
          <w:fldChar w:fldCharType="begin"/>
        </w:r>
        <w:r>
          <w:rPr>
            <w:noProof/>
            <w:webHidden/>
          </w:rPr>
          <w:instrText xml:space="preserve"> PAGEREF _Toc127957550 \h </w:instrText>
        </w:r>
        <w:r>
          <w:rPr>
            <w:noProof/>
            <w:webHidden/>
          </w:rPr>
        </w:r>
        <w:r>
          <w:rPr>
            <w:noProof/>
            <w:webHidden/>
          </w:rPr>
          <w:fldChar w:fldCharType="separate"/>
        </w:r>
        <w:r w:rsidR="00B05C7F">
          <w:rPr>
            <w:noProof/>
            <w:webHidden/>
          </w:rPr>
          <w:t>4</w:t>
        </w:r>
        <w:r>
          <w:rPr>
            <w:noProof/>
            <w:webHidden/>
          </w:rPr>
          <w:fldChar w:fldCharType="end"/>
        </w:r>
      </w:hyperlink>
    </w:p>
    <w:p w14:paraId="4ECD28E3" w14:textId="77777777" w:rsidR="006C5F2A" w:rsidRPr="00FB04F6" w:rsidRDefault="006C5F2A">
      <w:pPr>
        <w:pStyle w:val="TM2"/>
        <w:rPr>
          <w:rFonts w:eastAsia="Times New Roman" w:cs="Times New Roman"/>
          <w:smallCaps w:val="0"/>
          <w:noProof/>
          <w:sz w:val="22"/>
          <w:szCs w:val="22"/>
          <w:lang w:eastAsia="fr-FR"/>
        </w:rPr>
      </w:pPr>
      <w:hyperlink w:anchor="_Toc127957551" w:history="1">
        <w:r w:rsidRPr="00ED6DAE">
          <w:rPr>
            <w:rStyle w:val="Lienhypertexte"/>
            <w:noProof/>
          </w:rPr>
          <w:t>1.6.</w:t>
        </w:r>
        <w:r w:rsidRPr="00FB04F6">
          <w:rPr>
            <w:rFonts w:eastAsia="Times New Roman" w:cs="Times New Roman"/>
            <w:smallCaps w:val="0"/>
            <w:noProof/>
            <w:sz w:val="22"/>
            <w:szCs w:val="22"/>
            <w:lang w:eastAsia="fr-FR"/>
          </w:rPr>
          <w:tab/>
        </w:r>
        <w:r w:rsidRPr="00ED6DAE">
          <w:rPr>
            <w:rStyle w:val="Lienhypertexte"/>
            <w:noProof/>
          </w:rPr>
          <w:t>Approche méthodologique</w:t>
        </w:r>
        <w:r>
          <w:rPr>
            <w:noProof/>
            <w:webHidden/>
          </w:rPr>
          <w:tab/>
        </w:r>
        <w:r>
          <w:rPr>
            <w:noProof/>
            <w:webHidden/>
          </w:rPr>
          <w:fldChar w:fldCharType="begin"/>
        </w:r>
        <w:r>
          <w:rPr>
            <w:noProof/>
            <w:webHidden/>
          </w:rPr>
          <w:instrText xml:space="preserve"> PAGEREF _Toc127957551 \h </w:instrText>
        </w:r>
        <w:r>
          <w:rPr>
            <w:noProof/>
            <w:webHidden/>
          </w:rPr>
        </w:r>
        <w:r>
          <w:rPr>
            <w:noProof/>
            <w:webHidden/>
          </w:rPr>
          <w:fldChar w:fldCharType="separate"/>
        </w:r>
        <w:r w:rsidR="00B05C7F">
          <w:rPr>
            <w:noProof/>
            <w:webHidden/>
          </w:rPr>
          <w:t>5</w:t>
        </w:r>
        <w:r>
          <w:rPr>
            <w:noProof/>
            <w:webHidden/>
          </w:rPr>
          <w:fldChar w:fldCharType="end"/>
        </w:r>
      </w:hyperlink>
    </w:p>
    <w:p w14:paraId="2FA65F7D" w14:textId="77777777" w:rsidR="006C5F2A" w:rsidRPr="00FB04F6" w:rsidRDefault="006C5F2A">
      <w:pPr>
        <w:pStyle w:val="TM1"/>
        <w:tabs>
          <w:tab w:val="left" w:pos="440"/>
        </w:tabs>
        <w:rPr>
          <w:rFonts w:eastAsia="Times New Roman" w:cs="Times New Roman"/>
          <w:b w:val="0"/>
          <w:bCs w:val="0"/>
          <w:caps w:val="0"/>
          <w:noProof/>
          <w:sz w:val="22"/>
          <w:szCs w:val="22"/>
          <w:lang w:eastAsia="fr-FR"/>
        </w:rPr>
      </w:pPr>
      <w:hyperlink w:anchor="_Toc127957552" w:history="1">
        <w:r w:rsidRPr="00ED6DAE">
          <w:rPr>
            <w:rStyle w:val="Lienhypertexte"/>
            <w:noProof/>
          </w:rPr>
          <w:t>2.</w:t>
        </w:r>
        <w:r w:rsidRPr="00FB04F6">
          <w:rPr>
            <w:rFonts w:eastAsia="Times New Roman" w:cs="Times New Roman"/>
            <w:b w:val="0"/>
            <w:bCs w:val="0"/>
            <w:caps w:val="0"/>
            <w:noProof/>
            <w:sz w:val="22"/>
            <w:szCs w:val="22"/>
            <w:lang w:eastAsia="fr-FR"/>
          </w:rPr>
          <w:tab/>
        </w:r>
        <w:r w:rsidRPr="00ED6DAE">
          <w:rPr>
            <w:rStyle w:val="Lienhypertexte"/>
            <w:noProof/>
          </w:rPr>
          <w:t>Description du Projet</w:t>
        </w:r>
        <w:r>
          <w:rPr>
            <w:noProof/>
            <w:webHidden/>
          </w:rPr>
          <w:tab/>
        </w:r>
        <w:r>
          <w:rPr>
            <w:noProof/>
            <w:webHidden/>
          </w:rPr>
          <w:fldChar w:fldCharType="begin"/>
        </w:r>
        <w:r>
          <w:rPr>
            <w:noProof/>
            <w:webHidden/>
          </w:rPr>
          <w:instrText xml:space="preserve"> PAGEREF _Toc127957552 \h </w:instrText>
        </w:r>
        <w:r>
          <w:rPr>
            <w:noProof/>
            <w:webHidden/>
          </w:rPr>
        </w:r>
        <w:r>
          <w:rPr>
            <w:noProof/>
            <w:webHidden/>
          </w:rPr>
          <w:fldChar w:fldCharType="separate"/>
        </w:r>
        <w:r w:rsidR="00B05C7F">
          <w:rPr>
            <w:noProof/>
            <w:webHidden/>
          </w:rPr>
          <w:t>7</w:t>
        </w:r>
        <w:r>
          <w:rPr>
            <w:noProof/>
            <w:webHidden/>
          </w:rPr>
          <w:fldChar w:fldCharType="end"/>
        </w:r>
      </w:hyperlink>
    </w:p>
    <w:p w14:paraId="1CA9FBC7" w14:textId="77777777" w:rsidR="006C5F2A" w:rsidRPr="00FB04F6" w:rsidRDefault="006C5F2A">
      <w:pPr>
        <w:pStyle w:val="TM2"/>
        <w:rPr>
          <w:rFonts w:eastAsia="Times New Roman" w:cs="Times New Roman"/>
          <w:smallCaps w:val="0"/>
          <w:noProof/>
          <w:sz w:val="22"/>
          <w:szCs w:val="22"/>
          <w:lang w:eastAsia="fr-FR"/>
        </w:rPr>
      </w:pPr>
      <w:hyperlink w:anchor="_Toc127957553" w:history="1">
        <w:r w:rsidRPr="00ED6DAE">
          <w:rPr>
            <w:rStyle w:val="Lienhypertexte"/>
            <w:noProof/>
          </w:rPr>
          <w:t>2.1.</w:t>
        </w:r>
        <w:r w:rsidRPr="00FB04F6">
          <w:rPr>
            <w:rFonts w:eastAsia="Times New Roman" w:cs="Times New Roman"/>
            <w:smallCaps w:val="0"/>
            <w:noProof/>
            <w:sz w:val="22"/>
            <w:szCs w:val="22"/>
            <w:lang w:eastAsia="fr-FR"/>
          </w:rPr>
          <w:tab/>
        </w:r>
        <w:r w:rsidRPr="00ED6DAE">
          <w:rPr>
            <w:rStyle w:val="Lienhypertexte"/>
            <w:noProof/>
          </w:rPr>
          <w:t>Généralité sur le Projet</w:t>
        </w:r>
        <w:r>
          <w:rPr>
            <w:noProof/>
            <w:webHidden/>
          </w:rPr>
          <w:tab/>
        </w:r>
        <w:r>
          <w:rPr>
            <w:noProof/>
            <w:webHidden/>
          </w:rPr>
          <w:fldChar w:fldCharType="begin"/>
        </w:r>
        <w:r>
          <w:rPr>
            <w:noProof/>
            <w:webHidden/>
          </w:rPr>
          <w:instrText xml:space="preserve"> PAGEREF _Toc127957553 \h </w:instrText>
        </w:r>
        <w:r>
          <w:rPr>
            <w:noProof/>
            <w:webHidden/>
          </w:rPr>
        </w:r>
        <w:r>
          <w:rPr>
            <w:noProof/>
            <w:webHidden/>
          </w:rPr>
          <w:fldChar w:fldCharType="separate"/>
        </w:r>
        <w:r w:rsidR="00B05C7F">
          <w:rPr>
            <w:noProof/>
            <w:webHidden/>
          </w:rPr>
          <w:t>7</w:t>
        </w:r>
        <w:r>
          <w:rPr>
            <w:noProof/>
            <w:webHidden/>
          </w:rPr>
          <w:fldChar w:fldCharType="end"/>
        </w:r>
      </w:hyperlink>
    </w:p>
    <w:p w14:paraId="402CD211" w14:textId="77777777" w:rsidR="006C5F2A" w:rsidRPr="00FB04F6" w:rsidRDefault="006C5F2A">
      <w:pPr>
        <w:pStyle w:val="TM2"/>
        <w:rPr>
          <w:rFonts w:eastAsia="Times New Roman" w:cs="Times New Roman"/>
          <w:smallCaps w:val="0"/>
          <w:noProof/>
          <w:sz w:val="22"/>
          <w:szCs w:val="22"/>
          <w:lang w:eastAsia="fr-FR"/>
        </w:rPr>
      </w:pPr>
      <w:hyperlink w:anchor="_Toc127957554" w:history="1">
        <w:r w:rsidRPr="00ED6DAE">
          <w:rPr>
            <w:rStyle w:val="Lienhypertexte"/>
            <w:noProof/>
          </w:rPr>
          <w:t>2.2.</w:t>
        </w:r>
        <w:r w:rsidRPr="00FB04F6">
          <w:rPr>
            <w:rFonts w:eastAsia="Times New Roman" w:cs="Times New Roman"/>
            <w:smallCaps w:val="0"/>
            <w:noProof/>
            <w:sz w:val="22"/>
            <w:szCs w:val="22"/>
            <w:lang w:eastAsia="fr-FR"/>
          </w:rPr>
          <w:tab/>
        </w:r>
        <w:r w:rsidRPr="00ED6DAE">
          <w:rPr>
            <w:rStyle w:val="Lienhypertexte"/>
            <w:noProof/>
          </w:rPr>
          <w:t>Objectifs du Projet</w:t>
        </w:r>
        <w:r>
          <w:rPr>
            <w:noProof/>
            <w:webHidden/>
          </w:rPr>
          <w:tab/>
        </w:r>
        <w:r>
          <w:rPr>
            <w:noProof/>
            <w:webHidden/>
          </w:rPr>
          <w:fldChar w:fldCharType="begin"/>
        </w:r>
        <w:r>
          <w:rPr>
            <w:noProof/>
            <w:webHidden/>
          </w:rPr>
          <w:instrText xml:space="preserve"> PAGEREF _Toc127957554 \h </w:instrText>
        </w:r>
        <w:r>
          <w:rPr>
            <w:noProof/>
            <w:webHidden/>
          </w:rPr>
        </w:r>
        <w:r>
          <w:rPr>
            <w:noProof/>
            <w:webHidden/>
          </w:rPr>
          <w:fldChar w:fldCharType="separate"/>
        </w:r>
        <w:r w:rsidR="00B05C7F">
          <w:rPr>
            <w:noProof/>
            <w:webHidden/>
          </w:rPr>
          <w:t>7</w:t>
        </w:r>
        <w:r>
          <w:rPr>
            <w:noProof/>
            <w:webHidden/>
          </w:rPr>
          <w:fldChar w:fldCharType="end"/>
        </w:r>
      </w:hyperlink>
    </w:p>
    <w:p w14:paraId="1283A8AD" w14:textId="77777777" w:rsidR="006C5F2A" w:rsidRPr="00FB04F6" w:rsidRDefault="006C5F2A">
      <w:pPr>
        <w:pStyle w:val="TM3"/>
        <w:rPr>
          <w:rFonts w:eastAsia="Times New Roman" w:cs="Times New Roman"/>
          <w:i w:val="0"/>
          <w:iCs w:val="0"/>
          <w:noProof/>
          <w:sz w:val="22"/>
          <w:szCs w:val="22"/>
          <w:lang w:eastAsia="fr-FR"/>
        </w:rPr>
      </w:pPr>
      <w:hyperlink w:anchor="_Toc127957555" w:history="1">
        <w:r w:rsidRPr="00ED6DAE">
          <w:rPr>
            <w:rStyle w:val="Lienhypertexte"/>
            <w:noProof/>
          </w:rPr>
          <w:t>2.2.1.</w:t>
        </w:r>
        <w:r w:rsidRPr="00FB04F6">
          <w:rPr>
            <w:rFonts w:eastAsia="Times New Roman" w:cs="Times New Roman"/>
            <w:i w:val="0"/>
            <w:iCs w:val="0"/>
            <w:noProof/>
            <w:sz w:val="22"/>
            <w:szCs w:val="22"/>
            <w:lang w:eastAsia="fr-FR"/>
          </w:rPr>
          <w:tab/>
        </w:r>
        <w:r w:rsidRPr="00ED6DAE">
          <w:rPr>
            <w:rStyle w:val="Lienhypertexte"/>
            <w:noProof/>
          </w:rPr>
          <w:t>Objectif général</w:t>
        </w:r>
        <w:r>
          <w:rPr>
            <w:noProof/>
            <w:webHidden/>
          </w:rPr>
          <w:tab/>
        </w:r>
        <w:r>
          <w:rPr>
            <w:noProof/>
            <w:webHidden/>
          </w:rPr>
          <w:fldChar w:fldCharType="begin"/>
        </w:r>
        <w:r>
          <w:rPr>
            <w:noProof/>
            <w:webHidden/>
          </w:rPr>
          <w:instrText xml:space="preserve"> PAGEREF _Toc127957555 \h </w:instrText>
        </w:r>
        <w:r>
          <w:rPr>
            <w:noProof/>
            <w:webHidden/>
          </w:rPr>
        </w:r>
        <w:r>
          <w:rPr>
            <w:noProof/>
            <w:webHidden/>
          </w:rPr>
          <w:fldChar w:fldCharType="separate"/>
        </w:r>
        <w:r w:rsidR="00B05C7F">
          <w:rPr>
            <w:noProof/>
            <w:webHidden/>
          </w:rPr>
          <w:t>7</w:t>
        </w:r>
        <w:r>
          <w:rPr>
            <w:noProof/>
            <w:webHidden/>
          </w:rPr>
          <w:fldChar w:fldCharType="end"/>
        </w:r>
      </w:hyperlink>
    </w:p>
    <w:p w14:paraId="5FEAA7CC" w14:textId="77777777" w:rsidR="006C5F2A" w:rsidRPr="00FB04F6" w:rsidRDefault="006C5F2A">
      <w:pPr>
        <w:pStyle w:val="TM3"/>
        <w:rPr>
          <w:rFonts w:eastAsia="Times New Roman" w:cs="Times New Roman"/>
          <w:i w:val="0"/>
          <w:iCs w:val="0"/>
          <w:noProof/>
          <w:sz w:val="22"/>
          <w:szCs w:val="22"/>
          <w:lang w:eastAsia="fr-FR"/>
        </w:rPr>
      </w:pPr>
      <w:hyperlink w:anchor="_Toc127957556" w:history="1">
        <w:r w:rsidRPr="00ED6DAE">
          <w:rPr>
            <w:rStyle w:val="Lienhypertexte"/>
            <w:noProof/>
          </w:rPr>
          <w:t>2.2.2.</w:t>
        </w:r>
        <w:r w:rsidRPr="00FB04F6">
          <w:rPr>
            <w:rFonts w:eastAsia="Times New Roman" w:cs="Times New Roman"/>
            <w:i w:val="0"/>
            <w:iCs w:val="0"/>
            <w:noProof/>
            <w:sz w:val="22"/>
            <w:szCs w:val="22"/>
            <w:lang w:eastAsia="fr-FR"/>
          </w:rPr>
          <w:tab/>
        </w:r>
        <w:r w:rsidRPr="00ED6DAE">
          <w:rPr>
            <w:rStyle w:val="Lienhypertexte"/>
            <w:noProof/>
          </w:rPr>
          <w:t>Objectifs spécifiques</w:t>
        </w:r>
        <w:r>
          <w:rPr>
            <w:noProof/>
            <w:webHidden/>
          </w:rPr>
          <w:tab/>
        </w:r>
        <w:r>
          <w:rPr>
            <w:noProof/>
            <w:webHidden/>
          </w:rPr>
          <w:fldChar w:fldCharType="begin"/>
        </w:r>
        <w:r>
          <w:rPr>
            <w:noProof/>
            <w:webHidden/>
          </w:rPr>
          <w:instrText xml:space="preserve"> PAGEREF _Toc127957556 \h </w:instrText>
        </w:r>
        <w:r>
          <w:rPr>
            <w:noProof/>
            <w:webHidden/>
          </w:rPr>
        </w:r>
        <w:r>
          <w:rPr>
            <w:noProof/>
            <w:webHidden/>
          </w:rPr>
          <w:fldChar w:fldCharType="separate"/>
        </w:r>
        <w:r w:rsidR="00B05C7F">
          <w:rPr>
            <w:noProof/>
            <w:webHidden/>
          </w:rPr>
          <w:t>7</w:t>
        </w:r>
        <w:r>
          <w:rPr>
            <w:noProof/>
            <w:webHidden/>
          </w:rPr>
          <w:fldChar w:fldCharType="end"/>
        </w:r>
      </w:hyperlink>
    </w:p>
    <w:p w14:paraId="48342ABB" w14:textId="77777777" w:rsidR="006C5F2A" w:rsidRPr="00FB04F6" w:rsidRDefault="006C5F2A">
      <w:pPr>
        <w:pStyle w:val="TM2"/>
        <w:rPr>
          <w:rFonts w:eastAsia="Times New Roman" w:cs="Times New Roman"/>
          <w:smallCaps w:val="0"/>
          <w:noProof/>
          <w:sz w:val="22"/>
          <w:szCs w:val="22"/>
          <w:lang w:eastAsia="fr-FR"/>
        </w:rPr>
      </w:pPr>
      <w:hyperlink w:anchor="_Toc127957557" w:history="1">
        <w:r w:rsidRPr="00ED6DAE">
          <w:rPr>
            <w:rStyle w:val="Lienhypertexte"/>
            <w:noProof/>
          </w:rPr>
          <w:t>2.3.</w:t>
        </w:r>
        <w:r w:rsidRPr="00FB04F6">
          <w:rPr>
            <w:rFonts w:eastAsia="Times New Roman" w:cs="Times New Roman"/>
            <w:smallCaps w:val="0"/>
            <w:noProof/>
            <w:sz w:val="22"/>
            <w:szCs w:val="22"/>
            <w:lang w:eastAsia="fr-FR"/>
          </w:rPr>
          <w:tab/>
        </w:r>
        <w:r w:rsidRPr="00ED6DAE">
          <w:rPr>
            <w:rStyle w:val="Lienhypertexte"/>
            <w:noProof/>
          </w:rPr>
          <w:t>Composantes du Projet</w:t>
        </w:r>
        <w:r>
          <w:rPr>
            <w:noProof/>
            <w:webHidden/>
          </w:rPr>
          <w:tab/>
        </w:r>
        <w:r>
          <w:rPr>
            <w:noProof/>
            <w:webHidden/>
          </w:rPr>
          <w:fldChar w:fldCharType="begin"/>
        </w:r>
        <w:r>
          <w:rPr>
            <w:noProof/>
            <w:webHidden/>
          </w:rPr>
          <w:instrText xml:space="preserve"> PAGEREF _Toc127957557 \h </w:instrText>
        </w:r>
        <w:r>
          <w:rPr>
            <w:noProof/>
            <w:webHidden/>
          </w:rPr>
        </w:r>
        <w:r>
          <w:rPr>
            <w:noProof/>
            <w:webHidden/>
          </w:rPr>
          <w:fldChar w:fldCharType="separate"/>
        </w:r>
        <w:r w:rsidR="00B05C7F">
          <w:rPr>
            <w:noProof/>
            <w:webHidden/>
          </w:rPr>
          <w:t>8</w:t>
        </w:r>
        <w:r>
          <w:rPr>
            <w:noProof/>
            <w:webHidden/>
          </w:rPr>
          <w:fldChar w:fldCharType="end"/>
        </w:r>
      </w:hyperlink>
    </w:p>
    <w:p w14:paraId="145817CF" w14:textId="77777777" w:rsidR="006C5F2A" w:rsidRPr="00FB04F6" w:rsidRDefault="006C5F2A">
      <w:pPr>
        <w:pStyle w:val="TM2"/>
        <w:rPr>
          <w:rFonts w:eastAsia="Times New Roman" w:cs="Times New Roman"/>
          <w:smallCaps w:val="0"/>
          <w:noProof/>
          <w:sz w:val="22"/>
          <w:szCs w:val="22"/>
          <w:lang w:eastAsia="fr-FR"/>
        </w:rPr>
      </w:pPr>
      <w:hyperlink w:anchor="_Toc127957558" w:history="1">
        <w:r w:rsidRPr="00ED6DAE">
          <w:rPr>
            <w:rStyle w:val="Lienhypertexte"/>
            <w:noProof/>
          </w:rPr>
          <w:t>2.4.</w:t>
        </w:r>
        <w:r w:rsidRPr="00FB04F6">
          <w:rPr>
            <w:rFonts w:eastAsia="Times New Roman" w:cs="Times New Roman"/>
            <w:smallCaps w:val="0"/>
            <w:noProof/>
            <w:sz w:val="22"/>
            <w:szCs w:val="22"/>
            <w:lang w:eastAsia="fr-FR"/>
          </w:rPr>
          <w:tab/>
        </w:r>
        <w:r w:rsidRPr="00ED6DAE">
          <w:rPr>
            <w:rStyle w:val="Lienhypertexte"/>
            <w:noProof/>
          </w:rPr>
          <w:t>Bénéficiaires du Projet</w:t>
        </w:r>
        <w:r>
          <w:rPr>
            <w:noProof/>
            <w:webHidden/>
          </w:rPr>
          <w:tab/>
        </w:r>
        <w:r>
          <w:rPr>
            <w:noProof/>
            <w:webHidden/>
          </w:rPr>
          <w:fldChar w:fldCharType="begin"/>
        </w:r>
        <w:r>
          <w:rPr>
            <w:noProof/>
            <w:webHidden/>
          </w:rPr>
          <w:instrText xml:space="preserve"> PAGEREF _Toc127957558 \h </w:instrText>
        </w:r>
        <w:r>
          <w:rPr>
            <w:noProof/>
            <w:webHidden/>
          </w:rPr>
        </w:r>
        <w:r>
          <w:rPr>
            <w:noProof/>
            <w:webHidden/>
          </w:rPr>
          <w:fldChar w:fldCharType="separate"/>
        </w:r>
        <w:r w:rsidR="00B05C7F">
          <w:rPr>
            <w:noProof/>
            <w:webHidden/>
          </w:rPr>
          <w:t>12</w:t>
        </w:r>
        <w:r>
          <w:rPr>
            <w:noProof/>
            <w:webHidden/>
          </w:rPr>
          <w:fldChar w:fldCharType="end"/>
        </w:r>
      </w:hyperlink>
    </w:p>
    <w:p w14:paraId="12962BCE" w14:textId="77777777" w:rsidR="006C5F2A" w:rsidRPr="00FB04F6" w:rsidRDefault="006C5F2A">
      <w:pPr>
        <w:pStyle w:val="TM2"/>
        <w:rPr>
          <w:rFonts w:eastAsia="Times New Roman" w:cs="Times New Roman"/>
          <w:smallCaps w:val="0"/>
          <w:noProof/>
          <w:sz w:val="22"/>
          <w:szCs w:val="22"/>
          <w:lang w:eastAsia="fr-FR"/>
        </w:rPr>
      </w:pPr>
      <w:hyperlink w:anchor="_Toc127957559" w:history="1">
        <w:r w:rsidRPr="00ED6DAE">
          <w:rPr>
            <w:rStyle w:val="Lienhypertexte"/>
            <w:noProof/>
          </w:rPr>
          <w:t>2.5.</w:t>
        </w:r>
        <w:r w:rsidRPr="00FB04F6">
          <w:rPr>
            <w:rFonts w:eastAsia="Times New Roman" w:cs="Times New Roman"/>
            <w:smallCaps w:val="0"/>
            <w:noProof/>
            <w:sz w:val="22"/>
            <w:szCs w:val="22"/>
            <w:lang w:eastAsia="fr-FR"/>
          </w:rPr>
          <w:tab/>
        </w:r>
        <w:r w:rsidRPr="00ED6DAE">
          <w:rPr>
            <w:rStyle w:val="Lienhypertexte"/>
            <w:noProof/>
          </w:rPr>
          <w:t>zones d’intervention du projet</w:t>
        </w:r>
        <w:r>
          <w:rPr>
            <w:noProof/>
            <w:webHidden/>
          </w:rPr>
          <w:tab/>
        </w:r>
        <w:r>
          <w:rPr>
            <w:noProof/>
            <w:webHidden/>
          </w:rPr>
          <w:fldChar w:fldCharType="begin"/>
        </w:r>
        <w:r>
          <w:rPr>
            <w:noProof/>
            <w:webHidden/>
          </w:rPr>
          <w:instrText xml:space="preserve"> PAGEREF _Toc127957559 \h </w:instrText>
        </w:r>
        <w:r>
          <w:rPr>
            <w:noProof/>
            <w:webHidden/>
          </w:rPr>
        </w:r>
        <w:r>
          <w:rPr>
            <w:noProof/>
            <w:webHidden/>
          </w:rPr>
          <w:fldChar w:fldCharType="separate"/>
        </w:r>
        <w:r w:rsidR="00B05C7F">
          <w:rPr>
            <w:noProof/>
            <w:webHidden/>
          </w:rPr>
          <w:t>13</w:t>
        </w:r>
        <w:r>
          <w:rPr>
            <w:noProof/>
            <w:webHidden/>
          </w:rPr>
          <w:fldChar w:fldCharType="end"/>
        </w:r>
      </w:hyperlink>
    </w:p>
    <w:p w14:paraId="261B3BE1" w14:textId="77777777" w:rsidR="006C5F2A" w:rsidRPr="00FB04F6" w:rsidRDefault="006C5F2A">
      <w:pPr>
        <w:pStyle w:val="TM2"/>
        <w:rPr>
          <w:rFonts w:eastAsia="Times New Roman" w:cs="Times New Roman"/>
          <w:smallCaps w:val="0"/>
          <w:noProof/>
          <w:sz w:val="22"/>
          <w:szCs w:val="22"/>
          <w:lang w:eastAsia="fr-FR"/>
        </w:rPr>
      </w:pPr>
      <w:hyperlink w:anchor="_Toc127957560" w:history="1">
        <w:r w:rsidRPr="00ED6DAE">
          <w:rPr>
            <w:rStyle w:val="Lienhypertexte"/>
            <w:noProof/>
          </w:rPr>
          <w:t>2.6.</w:t>
        </w:r>
        <w:r w:rsidRPr="00FB04F6">
          <w:rPr>
            <w:rFonts w:eastAsia="Times New Roman" w:cs="Times New Roman"/>
            <w:smallCaps w:val="0"/>
            <w:noProof/>
            <w:sz w:val="22"/>
            <w:szCs w:val="22"/>
            <w:lang w:eastAsia="fr-FR"/>
          </w:rPr>
          <w:tab/>
        </w:r>
        <w:r w:rsidRPr="00ED6DAE">
          <w:rPr>
            <w:rStyle w:val="Lienhypertexte"/>
            <w:noProof/>
          </w:rPr>
          <w:t>types d’activites potentielles</w:t>
        </w:r>
        <w:r>
          <w:rPr>
            <w:noProof/>
            <w:webHidden/>
          </w:rPr>
          <w:tab/>
        </w:r>
        <w:r>
          <w:rPr>
            <w:noProof/>
            <w:webHidden/>
          </w:rPr>
          <w:fldChar w:fldCharType="begin"/>
        </w:r>
        <w:r>
          <w:rPr>
            <w:noProof/>
            <w:webHidden/>
          </w:rPr>
          <w:instrText xml:space="preserve"> PAGEREF _Toc127957560 \h </w:instrText>
        </w:r>
        <w:r>
          <w:rPr>
            <w:noProof/>
            <w:webHidden/>
          </w:rPr>
        </w:r>
        <w:r>
          <w:rPr>
            <w:noProof/>
            <w:webHidden/>
          </w:rPr>
          <w:fldChar w:fldCharType="separate"/>
        </w:r>
        <w:r w:rsidR="00B05C7F">
          <w:rPr>
            <w:noProof/>
            <w:webHidden/>
          </w:rPr>
          <w:t>13</w:t>
        </w:r>
        <w:r>
          <w:rPr>
            <w:noProof/>
            <w:webHidden/>
          </w:rPr>
          <w:fldChar w:fldCharType="end"/>
        </w:r>
      </w:hyperlink>
    </w:p>
    <w:p w14:paraId="7DD4E97F" w14:textId="77777777" w:rsidR="006C5F2A" w:rsidRPr="00FB04F6" w:rsidRDefault="006C5F2A">
      <w:pPr>
        <w:pStyle w:val="TM2"/>
        <w:rPr>
          <w:rFonts w:eastAsia="Times New Roman" w:cs="Times New Roman"/>
          <w:smallCaps w:val="0"/>
          <w:noProof/>
          <w:sz w:val="22"/>
          <w:szCs w:val="22"/>
          <w:lang w:eastAsia="fr-FR"/>
        </w:rPr>
      </w:pPr>
      <w:hyperlink w:anchor="_Toc127957561" w:history="1">
        <w:r w:rsidRPr="00ED6DAE">
          <w:rPr>
            <w:rStyle w:val="Lienhypertexte"/>
            <w:noProof/>
          </w:rPr>
          <w:t>2.7.</w:t>
        </w:r>
        <w:r w:rsidRPr="00FB04F6">
          <w:rPr>
            <w:rFonts w:eastAsia="Times New Roman" w:cs="Times New Roman"/>
            <w:smallCaps w:val="0"/>
            <w:noProof/>
            <w:sz w:val="22"/>
            <w:szCs w:val="22"/>
            <w:lang w:eastAsia="fr-FR"/>
          </w:rPr>
          <w:tab/>
        </w:r>
        <w:r w:rsidRPr="00ED6DAE">
          <w:rPr>
            <w:rStyle w:val="Lienhypertexte"/>
            <w:noProof/>
          </w:rPr>
          <w:t>Conclusion partielle</w:t>
        </w:r>
        <w:r>
          <w:rPr>
            <w:noProof/>
            <w:webHidden/>
          </w:rPr>
          <w:tab/>
        </w:r>
        <w:r>
          <w:rPr>
            <w:noProof/>
            <w:webHidden/>
          </w:rPr>
          <w:fldChar w:fldCharType="begin"/>
        </w:r>
        <w:r>
          <w:rPr>
            <w:noProof/>
            <w:webHidden/>
          </w:rPr>
          <w:instrText xml:space="preserve"> PAGEREF _Toc127957561 \h </w:instrText>
        </w:r>
        <w:r>
          <w:rPr>
            <w:noProof/>
            <w:webHidden/>
          </w:rPr>
        </w:r>
        <w:r>
          <w:rPr>
            <w:noProof/>
            <w:webHidden/>
          </w:rPr>
          <w:fldChar w:fldCharType="separate"/>
        </w:r>
        <w:r w:rsidR="00B05C7F">
          <w:rPr>
            <w:noProof/>
            <w:webHidden/>
          </w:rPr>
          <w:t>14</w:t>
        </w:r>
        <w:r>
          <w:rPr>
            <w:noProof/>
            <w:webHidden/>
          </w:rPr>
          <w:fldChar w:fldCharType="end"/>
        </w:r>
      </w:hyperlink>
    </w:p>
    <w:p w14:paraId="6C0EA744" w14:textId="77777777" w:rsidR="006C5F2A" w:rsidRPr="00FB04F6" w:rsidRDefault="006C5F2A">
      <w:pPr>
        <w:pStyle w:val="TM1"/>
        <w:tabs>
          <w:tab w:val="left" w:pos="440"/>
        </w:tabs>
        <w:rPr>
          <w:rFonts w:eastAsia="Times New Roman" w:cs="Times New Roman"/>
          <w:b w:val="0"/>
          <w:bCs w:val="0"/>
          <w:caps w:val="0"/>
          <w:noProof/>
          <w:sz w:val="22"/>
          <w:szCs w:val="22"/>
          <w:lang w:eastAsia="fr-FR"/>
        </w:rPr>
      </w:pPr>
      <w:hyperlink w:anchor="_Toc127957562" w:history="1">
        <w:r w:rsidRPr="00ED6DAE">
          <w:rPr>
            <w:rStyle w:val="Lienhypertexte"/>
            <w:noProof/>
          </w:rPr>
          <w:t>3.</w:t>
        </w:r>
        <w:r w:rsidRPr="00FB04F6">
          <w:rPr>
            <w:rFonts w:eastAsia="Times New Roman" w:cs="Times New Roman"/>
            <w:b w:val="0"/>
            <w:bCs w:val="0"/>
            <w:caps w:val="0"/>
            <w:noProof/>
            <w:sz w:val="22"/>
            <w:szCs w:val="22"/>
            <w:lang w:eastAsia="fr-FR"/>
          </w:rPr>
          <w:tab/>
        </w:r>
        <w:r w:rsidRPr="00ED6DAE">
          <w:rPr>
            <w:rStyle w:val="Lienhypertexte"/>
            <w:noProof/>
          </w:rPr>
          <w:t>Description des sous projets potentiels</w:t>
        </w:r>
        <w:r>
          <w:rPr>
            <w:noProof/>
            <w:webHidden/>
          </w:rPr>
          <w:tab/>
        </w:r>
        <w:r>
          <w:rPr>
            <w:noProof/>
            <w:webHidden/>
          </w:rPr>
          <w:fldChar w:fldCharType="begin"/>
        </w:r>
        <w:r>
          <w:rPr>
            <w:noProof/>
            <w:webHidden/>
          </w:rPr>
          <w:instrText xml:space="preserve"> PAGEREF _Toc127957562 \h </w:instrText>
        </w:r>
        <w:r>
          <w:rPr>
            <w:noProof/>
            <w:webHidden/>
          </w:rPr>
        </w:r>
        <w:r>
          <w:rPr>
            <w:noProof/>
            <w:webHidden/>
          </w:rPr>
          <w:fldChar w:fldCharType="separate"/>
        </w:r>
        <w:r w:rsidR="00B05C7F">
          <w:rPr>
            <w:noProof/>
            <w:webHidden/>
          </w:rPr>
          <w:t>15</w:t>
        </w:r>
        <w:r>
          <w:rPr>
            <w:noProof/>
            <w:webHidden/>
          </w:rPr>
          <w:fldChar w:fldCharType="end"/>
        </w:r>
      </w:hyperlink>
    </w:p>
    <w:p w14:paraId="0933DEE8" w14:textId="77777777" w:rsidR="006C5F2A" w:rsidRPr="00FB04F6" w:rsidRDefault="006C5F2A">
      <w:pPr>
        <w:pStyle w:val="TM2"/>
        <w:rPr>
          <w:rFonts w:eastAsia="Times New Roman" w:cs="Times New Roman"/>
          <w:smallCaps w:val="0"/>
          <w:noProof/>
          <w:sz w:val="22"/>
          <w:szCs w:val="22"/>
          <w:lang w:eastAsia="fr-FR"/>
        </w:rPr>
      </w:pPr>
      <w:hyperlink w:anchor="_Toc127957563" w:history="1">
        <w:r w:rsidRPr="00ED6DAE">
          <w:rPr>
            <w:rStyle w:val="Lienhypertexte"/>
            <w:noProof/>
          </w:rPr>
          <w:t>3.1.</w:t>
        </w:r>
        <w:r w:rsidRPr="00FB04F6">
          <w:rPr>
            <w:rFonts w:eastAsia="Times New Roman" w:cs="Times New Roman"/>
            <w:smallCaps w:val="0"/>
            <w:noProof/>
            <w:sz w:val="22"/>
            <w:szCs w:val="22"/>
            <w:lang w:eastAsia="fr-FR"/>
          </w:rPr>
          <w:tab/>
        </w:r>
        <w:r w:rsidRPr="00ED6DAE">
          <w:rPr>
            <w:rStyle w:val="Lienhypertexte"/>
            <w:noProof/>
          </w:rPr>
          <w:t>Hybridation et numérisation des réseaux isolés</w:t>
        </w:r>
        <w:r>
          <w:rPr>
            <w:noProof/>
            <w:webHidden/>
          </w:rPr>
          <w:tab/>
        </w:r>
        <w:r>
          <w:rPr>
            <w:noProof/>
            <w:webHidden/>
          </w:rPr>
          <w:fldChar w:fldCharType="begin"/>
        </w:r>
        <w:r>
          <w:rPr>
            <w:noProof/>
            <w:webHidden/>
          </w:rPr>
          <w:instrText xml:space="preserve"> PAGEREF _Toc127957563 \h </w:instrText>
        </w:r>
        <w:r>
          <w:rPr>
            <w:noProof/>
            <w:webHidden/>
          </w:rPr>
        </w:r>
        <w:r>
          <w:rPr>
            <w:noProof/>
            <w:webHidden/>
          </w:rPr>
          <w:fldChar w:fldCharType="separate"/>
        </w:r>
        <w:r w:rsidR="00B05C7F">
          <w:rPr>
            <w:noProof/>
            <w:webHidden/>
          </w:rPr>
          <w:t>15</w:t>
        </w:r>
        <w:r>
          <w:rPr>
            <w:noProof/>
            <w:webHidden/>
          </w:rPr>
          <w:fldChar w:fldCharType="end"/>
        </w:r>
      </w:hyperlink>
    </w:p>
    <w:p w14:paraId="25FB1FDB" w14:textId="77777777" w:rsidR="006C5F2A" w:rsidRPr="00FB04F6" w:rsidRDefault="006C5F2A">
      <w:pPr>
        <w:pStyle w:val="TM3"/>
        <w:rPr>
          <w:rFonts w:eastAsia="Times New Roman" w:cs="Times New Roman"/>
          <w:i w:val="0"/>
          <w:iCs w:val="0"/>
          <w:noProof/>
          <w:sz w:val="22"/>
          <w:szCs w:val="22"/>
          <w:lang w:eastAsia="fr-FR"/>
        </w:rPr>
      </w:pPr>
      <w:hyperlink w:anchor="_Toc127957564" w:history="1">
        <w:r w:rsidRPr="00ED6DAE">
          <w:rPr>
            <w:rStyle w:val="Lienhypertexte"/>
            <w:noProof/>
          </w:rPr>
          <w:t>3.1.1.</w:t>
        </w:r>
        <w:r w:rsidRPr="00FB04F6">
          <w:rPr>
            <w:rFonts w:eastAsia="Times New Roman" w:cs="Times New Roman"/>
            <w:i w:val="0"/>
            <w:iCs w:val="0"/>
            <w:noProof/>
            <w:sz w:val="22"/>
            <w:szCs w:val="22"/>
            <w:lang w:eastAsia="fr-FR"/>
          </w:rPr>
          <w:tab/>
        </w:r>
        <w:r w:rsidRPr="00ED6DAE">
          <w:rPr>
            <w:rStyle w:val="Lienhypertexte"/>
            <w:noProof/>
          </w:rPr>
          <w:t>Hybridation avec le solaire photovoltaïque sans stockage</w:t>
        </w:r>
        <w:r>
          <w:rPr>
            <w:noProof/>
            <w:webHidden/>
          </w:rPr>
          <w:tab/>
        </w:r>
        <w:r>
          <w:rPr>
            <w:noProof/>
            <w:webHidden/>
          </w:rPr>
          <w:fldChar w:fldCharType="begin"/>
        </w:r>
        <w:r>
          <w:rPr>
            <w:noProof/>
            <w:webHidden/>
          </w:rPr>
          <w:instrText xml:space="preserve"> PAGEREF _Toc127957564 \h </w:instrText>
        </w:r>
        <w:r>
          <w:rPr>
            <w:noProof/>
            <w:webHidden/>
          </w:rPr>
        </w:r>
        <w:r>
          <w:rPr>
            <w:noProof/>
            <w:webHidden/>
          </w:rPr>
          <w:fldChar w:fldCharType="separate"/>
        </w:r>
        <w:r w:rsidR="00B05C7F">
          <w:rPr>
            <w:noProof/>
            <w:webHidden/>
          </w:rPr>
          <w:t>15</w:t>
        </w:r>
        <w:r>
          <w:rPr>
            <w:noProof/>
            <w:webHidden/>
          </w:rPr>
          <w:fldChar w:fldCharType="end"/>
        </w:r>
      </w:hyperlink>
    </w:p>
    <w:p w14:paraId="2E01E987" w14:textId="77777777" w:rsidR="006C5F2A" w:rsidRPr="00FB04F6" w:rsidRDefault="006C5F2A">
      <w:pPr>
        <w:pStyle w:val="TM3"/>
        <w:rPr>
          <w:rFonts w:eastAsia="Times New Roman" w:cs="Times New Roman"/>
          <w:i w:val="0"/>
          <w:iCs w:val="0"/>
          <w:noProof/>
          <w:sz w:val="22"/>
          <w:szCs w:val="22"/>
          <w:lang w:eastAsia="fr-FR"/>
        </w:rPr>
      </w:pPr>
      <w:hyperlink w:anchor="_Toc127957565" w:history="1">
        <w:r w:rsidRPr="00ED6DAE">
          <w:rPr>
            <w:rStyle w:val="Lienhypertexte"/>
            <w:noProof/>
          </w:rPr>
          <w:t>3.1.2.</w:t>
        </w:r>
        <w:r w:rsidRPr="00FB04F6">
          <w:rPr>
            <w:rFonts w:eastAsia="Times New Roman" w:cs="Times New Roman"/>
            <w:i w:val="0"/>
            <w:iCs w:val="0"/>
            <w:noProof/>
            <w:sz w:val="22"/>
            <w:szCs w:val="22"/>
            <w:lang w:eastAsia="fr-FR"/>
          </w:rPr>
          <w:tab/>
        </w:r>
        <w:r w:rsidRPr="00ED6DAE">
          <w:rPr>
            <w:rStyle w:val="Lienhypertexte"/>
            <w:noProof/>
          </w:rPr>
          <w:t>Hybridation avec le solaire photovoltaïque avec stockage</w:t>
        </w:r>
        <w:r>
          <w:rPr>
            <w:noProof/>
            <w:webHidden/>
          </w:rPr>
          <w:tab/>
        </w:r>
        <w:r>
          <w:rPr>
            <w:noProof/>
            <w:webHidden/>
          </w:rPr>
          <w:fldChar w:fldCharType="begin"/>
        </w:r>
        <w:r>
          <w:rPr>
            <w:noProof/>
            <w:webHidden/>
          </w:rPr>
          <w:instrText xml:space="preserve"> PAGEREF _Toc127957565 \h </w:instrText>
        </w:r>
        <w:r>
          <w:rPr>
            <w:noProof/>
            <w:webHidden/>
          </w:rPr>
        </w:r>
        <w:r>
          <w:rPr>
            <w:noProof/>
            <w:webHidden/>
          </w:rPr>
          <w:fldChar w:fldCharType="separate"/>
        </w:r>
        <w:r w:rsidR="00B05C7F">
          <w:rPr>
            <w:noProof/>
            <w:webHidden/>
          </w:rPr>
          <w:t>15</w:t>
        </w:r>
        <w:r>
          <w:rPr>
            <w:noProof/>
            <w:webHidden/>
          </w:rPr>
          <w:fldChar w:fldCharType="end"/>
        </w:r>
      </w:hyperlink>
    </w:p>
    <w:p w14:paraId="1A68B923" w14:textId="77777777" w:rsidR="006C5F2A" w:rsidRPr="00FB04F6" w:rsidRDefault="006C5F2A">
      <w:pPr>
        <w:pStyle w:val="TM2"/>
        <w:rPr>
          <w:rFonts w:eastAsia="Times New Roman" w:cs="Times New Roman"/>
          <w:smallCaps w:val="0"/>
          <w:noProof/>
          <w:sz w:val="22"/>
          <w:szCs w:val="22"/>
          <w:lang w:eastAsia="fr-FR"/>
        </w:rPr>
      </w:pPr>
      <w:hyperlink w:anchor="_Toc127957566" w:history="1">
        <w:r w:rsidRPr="00ED6DAE">
          <w:rPr>
            <w:rStyle w:val="Lienhypertexte"/>
            <w:noProof/>
          </w:rPr>
          <w:t>3.2.</w:t>
        </w:r>
        <w:r w:rsidRPr="00FB04F6">
          <w:rPr>
            <w:rFonts w:eastAsia="Times New Roman" w:cs="Times New Roman"/>
            <w:smallCaps w:val="0"/>
            <w:noProof/>
            <w:sz w:val="22"/>
            <w:szCs w:val="22"/>
            <w:lang w:eastAsia="fr-FR"/>
          </w:rPr>
          <w:tab/>
        </w:r>
        <w:r w:rsidRPr="00ED6DAE">
          <w:rPr>
            <w:rStyle w:val="Lienhypertexte"/>
            <w:noProof/>
          </w:rPr>
          <w:t>Déploiement de mini-réseaux basse tension à source solaire photovoltaïque avec stockage</w:t>
        </w:r>
        <w:r>
          <w:rPr>
            <w:noProof/>
            <w:webHidden/>
          </w:rPr>
          <w:tab/>
        </w:r>
        <w:r>
          <w:rPr>
            <w:noProof/>
            <w:webHidden/>
          </w:rPr>
          <w:fldChar w:fldCharType="begin"/>
        </w:r>
        <w:r>
          <w:rPr>
            <w:noProof/>
            <w:webHidden/>
          </w:rPr>
          <w:instrText xml:space="preserve"> PAGEREF _Toc127957566 \h </w:instrText>
        </w:r>
        <w:r>
          <w:rPr>
            <w:noProof/>
            <w:webHidden/>
          </w:rPr>
        </w:r>
        <w:r>
          <w:rPr>
            <w:noProof/>
            <w:webHidden/>
          </w:rPr>
          <w:fldChar w:fldCharType="separate"/>
        </w:r>
        <w:r w:rsidR="00B05C7F">
          <w:rPr>
            <w:noProof/>
            <w:webHidden/>
          </w:rPr>
          <w:t>16</w:t>
        </w:r>
        <w:r>
          <w:rPr>
            <w:noProof/>
            <w:webHidden/>
          </w:rPr>
          <w:fldChar w:fldCharType="end"/>
        </w:r>
      </w:hyperlink>
    </w:p>
    <w:p w14:paraId="3E932611" w14:textId="77777777" w:rsidR="006C5F2A" w:rsidRPr="00FB04F6" w:rsidRDefault="006C5F2A">
      <w:pPr>
        <w:pStyle w:val="TM2"/>
        <w:rPr>
          <w:rFonts w:eastAsia="Times New Roman" w:cs="Times New Roman"/>
          <w:smallCaps w:val="0"/>
          <w:noProof/>
          <w:sz w:val="22"/>
          <w:szCs w:val="22"/>
          <w:lang w:eastAsia="fr-FR"/>
        </w:rPr>
      </w:pPr>
      <w:hyperlink w:anchor="_Toc127957567" w:history="1">
        <w:r w:rsidRPr="00ED6DAE">
          <w:rPr>
            <w:rStyle w:val="Lienhypertexte"/>
            <w:noProof/>
          </w:rPr>
          <w:t>3.3.</w:t>
        </w:r>
        <w:r w:rsidRPr="00FB04F6">
          <w:rPr>
            <w:rFonts w:eastAsia="Times New Roman" w:cs="Times New Roman"/>
            <w:smallCaps w:val="0"/>
            <w:noProof/>
            <w:sz w:val="22"/>
            <w:szCs w:val="22"/>
            <w:lang w:eastAsia="fr-FR"/>
          </w:rPr>
          <w:tab/>
        </w:r>
        <w:r w:rsidRPr="00ED6DAE">
          <w:rPr>
            <w:rStyle w:val="Lienhypertexte"/>
            <w:noProof/>
          </w:rPr>
          <w:t>Déploiement de mini-réseaux à source hydroélectrique</w:t>
        </w:r>
        <w:r>
          <w:rPr>
            <w:noProof/>
            <w:webHidden/>
          </w:rPr>
          <w:tab/>
        </w:r>
        <w:r>
          <w:rPr>
            <w:noProof/>
            <w:webHidden/>
          </w:rPr>
          <w:fldChar w:fldCharType="begin"/>
        </w:r>
        <w:r>
          <w:rPr>
            <w:noProof/>
            <w:webHidden/>
          </w:rPr>
          <w:instrText xml:space="preserve"> PAGEREF _Toc127957567 \h </w:instrText>
        </w:r>
        <w:r>
          <w:rPr>
            <w:noProof/>
            <w:webHidden/>
          </w:rPr>
        </w:r>
        <w:r>
          <w:rPr>
            <w:noProof/>
            <w:webHidden/>
          </w:rPr>
          <w:fldChar w:fldCharType="separate"/>
        </w:r>
        <w:r w:rsidR="00B05C7F">
          <w:rPr>
            <w:noProof/>
            <w:webHidden/>
          </w:rPr>
          <w:t>17</w:t>
        </w:r>
        <w:r>
          <w:rPr>
            <w:noProof/>
            <w:webHidden/>
          </w:rPr>
          <w:fldChar w:fldCharType="end"/>
        </w:r>
      </w:hyperlink>
    </w:p>
    <w:p w14:paraId="2E28366A" w14:textId="77777777" w:rsidR="006C5F2A" w:rsidRPr="00FB04F6" w:rsidRDefault="006C5F2A">
      <w:pPr>
        <w:pStyle w:val="TM2"/>
        <w:rPr>
          <w:rFonts w:eastAsia="Times New Roman" w:cs="Times New Roman"/>
          <w:smallCaps w:val="0"/>
          <w:noProof/>
          <w:sz w:val="22"/>
          <w:szCs w:val="22"/>
          <w:lang w:eastAsia="fr-FR"/>
        </w:rPr>
      </w:pPr>
      <w:hyperlink w:anchor="_Toc127957568" w:history="1">
        <w:r w:rsidRPr="00ED6DAE">
          <w:rPr>
            <w:rStyle w:val="Lienhypertexte"/>
            <w:noProof/>
          </w:rPr>
          <w:t>3.4.</w:t>
        </w:r>
        <w:r w:rsidRPr="00FB04F6">
          <w:rPr>
            <w:rFonts w:eastAsia="Times New Roman" w:cs="Times New Roman"/>
            <w:smallCaps w:val="0"/>
            <w:noProof/>
            <w:sz w:val="22"/>
            <w:szCs w:val="22"/>
            <w:lang w:eastAsia="fr-FR"/>
          </w:rPr>
          <w:tab/>
        </w:r>
        <w:r w:rsidRPr="00ED6DAE">
          <w:rPr>
            <w:rStyle w:val="Lienhypertexte"/>
            <w:noProof/>
          </w:rPr>
          <w:t>Extension et modernisation des réseaux isolés</w:t>
        </w:r>
        <w:r>
          <w:rPr>
            <w:noProof/>
            <w:webHidden/>
          </w:rPr>
          <w:tab/>
        </w:r>
        <w:r>
          <w:rPr>
            <w:noProof/>
            <w:webHidden/>
          </w:rPr>
          <w:fldChar w:fldCharType="begin"/>
        </w:r>
        <w:r>
          <w:rPr>
            <w:noProof/>
            <w:webHidden/>
          </w:rPr>
          <w:instrText xml:space="preserve"> PAGEREF _Toc127957568 \h </w:instrText>
        </w:r>
        <w:r>
          <w:rPr>
            <w:noProof/>
            <w:webHidden/>
          </w:rPr>
        </w:r>
        <w:r>
          <w:rPr>
            <w:noProof/>
            <w:webHidden/>
          </w:rPr>
          <w:fldChar w:fldCharType="separate"/>
        </w:r>
        <w:r w:rsidR="00B05C7F">
          <w:rPr>
            <w:noProof/>
            <w:webHidden/>
          </w:rPr>
          <w:t>18</w:t>
        </w:r>
        <w:r>
          <w:rPr>
            <w:noProof/>
            <w:webHidden/>
          </w:rPr>
          <w:fldChar w:fldCharType="end"/>
        </w:r>
      </w:hyperlink>
    </w:p>
    <w:p w14:paraId="57BC4AFC" w14:textId="77777777" w:rsidR="006C5F2A" w:rsidRPr="00FB04F6" w:rsidRDefault="006C5F2A">
      <w:pPr>
        <w:pStyle w:val="TM2"/>
        <w:rPr>
          <w:rFonts w:eastAsia="Times New Roman" w:cs="Times New Roman"/>
          <w:smallCaps w:val="0"/>
          <w:noProof/>
          <w:sz w:val="22"/>
          <w:szCs w:val="22"/>
          <w:lang w:eastAsia="fr-FR"/>
        </w:rPr>
      </w:pPr>
      <w:hyperlink w:anchor="_Toc127957569" w:history="1">
        <w:r w:rsidRPr="00ED6DAE">
          <w:rPr>
            <w:rStyle w:val="Lienhypertexte"/>
            <w:noProof/>
          </w:rPr>
          <w:t>3.5.</w:t>
        </w:r>
        <w:r w:rsidRPr="00FB04F6">
          <w:rPr>
            <w:rFonts w:eastAsia="Times New Roman" w:cs="Times New Roman"/>
            <w:smallCaps w:val="0"/>
            <w:noProof/>
            <w:sz w:val="22"/>
            <w:szCs w:val="22"/>
            <w:lang w:eastAsia="fr-FR"/>
          </w:rPr>
          <w:tab/>
        </w:r>
        <w:r w:rsidRPr="00ED6DAE">
          <w:rPr>
            <w:rStyle w:val="Lienhypertexte"/>
            <w:noProof/>
          </w:rPr>
          <w:t>Installation solaire hors réseau pour les institutions publiques</w:t>
        </w:r>
        <w:r>
          <w:rPr>
            <w:noProof/>
            <w:webHidden/>
          </w:rPr>
          <w:tab/>
        </w:r>
        <w:r>
          <w:rPr>
            <w:noProof/>
            <w:webHidden/>
          </w:rPr>
          <w:fldChar w:fldCharType="begin"/>
        </w:r>
        <w:r>
          <w:rPr>
            <w:noProof/>
            <w:webHidden/>
          </w:rPr>
          <w:instrText xml:space="preserve"> PAGEREF _Toc127957569 \h </w:instrText>
        </w:r>
        <w:r>
          <w:rPr>
            <w:noProof/>
            <w:webHidden/>
          </w:rPr>
        </w:r>
        <w:r>
          <w:rPr>
            <w:noProof/>
            <w:webHidden/>
          </w:rPr>
          <w:fldChar w:fldCharType="separate"/>
        </w:r>
        <w:r w:rsidR="00B05C7F">
          <w:rPr>
            <w:noProof/>
            <w:webHidden/>
          </w:rPr>
          <w:t>19</w:t>
        </w:r>
        <w:r>
          <w:rPr>
            <w:noProof/>
            <w:webHidden/>
          </w:rPr>
          <w:fldChar w:fldCharType="end"/>
        </w:r>
      </w:hyperlink>
    </w:p>
    <w:p w14:paraId="6D959483" w14:textId="77777777" w:rsidR="006C5F2A" w:rsidRPr="00FB04F6" w:rsidRDefault="006C5F2A">
      <w:pPr>
        <w:pStyle w:val="TM2"/>
        <w:rPr>
          <w:rFonts w:eastAsia="Times New Roman" w:cs="Times New Roman"/>
          <w:smallCaps w:val="0"/>
          <w:noProof/>
          <w:sz w:val="22"/>
          <w:szCs w:val="22"/>
          <w:lang w:eastAsia="fr-FR"/>
        </w:rPr>
      </w:pPr>
      <w:hyperlink w:anchor="_Toc127957570" w:history="1">
        <w:r w:rsidRPr="00ED6DAE">
          <w:rPr>
            <w:rStyle w:val="Lienhypertexte"/>
            <w:noProof/>
          </w:rPr>
          <w:t>3.6.</w:t>
        </w:r>
        <w:r w:rsidRPr="00FB04F6">
          <w:rPr>
            <w:rFonts w:eastAsia="Times New Roman" w:cs="Times New Roman"/>
            <w:smallCaps w:val="0"/>
            <w:noProof/>
            <w:sz w:val="22"/>
            <w:szCs w:val="22"/>
            <w:lang w:eastAsia="fr-FR"/>
          </w:rPr>
          <w:tab/>
        </w:r>
        <w:r w:rsidRPr="00ED6DAE">
          <w:rPr>
            <w:rStyle w:val="Lienhypertexte"/>
            <w:noProof/>
          </w:rPr>
          <w:t>Appareils solaires hors réseau</w:t>
        </w:r>
        <w:r>
          <w:rPr>
            <w:noProof/>
            <w:webHidden/>
          </w:rPr>
          <w:tab/>
        </w:r>
        <w:r>
          <w:rPr>
            <w:noProof/>
            <w:webHidden/>
          </w:rPr>
          <w:fldChar w:fldCharType="begin"/>
        </w:r>
        <w:r>
          <w:rPr>
            <w:noProof/>
            <w:webHidden/>
          </w:rPr>
          <w:instrText xml:space="preserve"> PAGEREF _Toc127957570 \h </w:instrText>
        </w:r>
        <w:r>
          <w:rPr>
            <w:noProof/>
            <w:webHidden/>
          </w:rPr>
        </w:r>
        <w:r>
          <w:rPr>
            <w:noProof/>
            <w:webHidden/>
          </w:rPr>
          <w:fldChar w:fldCharType="separate"/>
        </w:r>
        <w:r w:rsidR="00B05C7F">
          <w:rPr>
            <w:noProof/>
            <w:webHidden/>
          </w:rPr>
          <w:t>20</w:t>
        </w:r>
        <w:r>
          <w:rPr>
            <w:noProof/>
            <w:webHidden/>
          </w:rPr>
          <w:fldChar w:fldCharType="end"/>
        </w:r>
      </w:hyperlink>
    </w:p>
    <w:p w14:paraId="1E6F662B" w14:textId="77777777" w:rsidR="006C5F2A" w:rsidRPr="00FB04F6" w:rsidRDefault="006C5F2A">
      <w:pPr>
        <w:pStyle w:val="TM2"/>
        <w:rPr>
          <w:rFonts w:eastAsia="Times New Roman" w:cs="Times New Roman"/>
          <w:smallCaps w:val="0"/>
          <w:noProof/>
          <w:sz w:val="22"/>
          <w:szCs w:val="22"/>
          <w:lang w:eastAsia="fr-FR"/>
        </w:rPr>
      </w:pPr>
      <w:hyperlink w:anchor="_Toc127957571" w:history="1">
        <w:r w:rsidRPr="00ED6DAE">
          <w:rPr>
            <w:rStyle w:val="Lienhypertexte"/>
            <w:noProof/>
          </w:rPr>
          <w:t>3.7.</w:t>
        </w:r>
        <w:r w:rsidRPr="00FB04F6">
          <w:rPr>
            <w:rFonts w:eastAsia="Times New Roman" w:cs="Times New Roman"/>
            <w:smallCaps w:val="0"/>
            <w:noProof/>
            <w:sz w:val="22"/>
            <w:szCs w:val="22"/>
            <w:lang w:eastAsia="fr-FR"/>
          </w:rPr>
          <w:tab/>
        </w:r>
        <w:r w:rsidRPr="00ED6DAE">
          <w:rPr>
            <w:rStyle w:val="Lienhypertexte"/>
            <w:noProof/>
          </w:rPr>
          <w:t>Infrastructures numériques</w:t>
        </w:r>
        <w:r>
          <w:rPr>
            <w:noProof/>
            <w:webHidden/>
          </w:rPr>
          <w:tab/>
        </w:r>
        <w:r>
          <w:rPr>
            <w:noProof/>
            <w:webHidden/>
          </w:rPr>
          <w:fldChar w:fldCharType="begin"/>
        </w:r>
        <w:r>
          <w:rPr>
            <w:noProof/>
            <w:webHidden/>
          </w:rPr>
          <w:instrText xml:space="preserve"> PAGEREF _Toc127957571 \h </w:instrText>
        </w:r>
        <w:r>
          <w:rPr>
            <w:noProof/>
            <w:webHidden/>
          </w:rPr>
        </w:r>
        <w:r>
          <w:rPr>
            <w:noProof/>
            <w:webHidden/>
          </w:rPr>
          <w:fldChar w:fldCharType="separate"/>
        </w:r>
        <w:r w:rsidR="00B05C7F">
          <w:rPr>
            <w:noProof/>
            <w:webHidden/>
          </w:rPr>
          <w:t>20</w:t>
        </w:r>
        <w:r>
          <w:rPr>
            <w:noProof/>
            <w:webHidden/>
          </w:rPr>
          <w:fldChar w:fldCharType="end"/>
        </w:r>
      </w:hyperlink>
    </w:p>
    <w:p w14:paraId="32AF4DC6" w14:textId="77777777" w:rsidR="006C5F2A" w:rsidRPr="00FB04F6" w:rsidRDefault="006C5F2A">
      <w:pPr>
        <w:pStyle w:val="TM3"/>
        <w:rPr>
          <w:rFonts w:eastAsia="Times New Roman" w:cs="Times New Roman"/>
          <w:i w:val="0"/>
          <w:iCs w:val="0"/>
          <w:noProof/>
          <w:sz w:val="22"/>
          <w:szCs w:val="22"/>
          <w:lang w:eastAsia="fr-FR"/>
        </w:rPr>
      </w:pPr>
      <w:hyperlink w:anchor="_Toc127957572" w:history="1">
        <w:r w:rsidRPr="00ED6DAE">
          <w:rPr>
            <w:rStyle w:val="Lienhypertexte"/>
            <w:noProof/>
          </w:rPr>
          <w:t>3.7.1.</w:t>
        </w:r>
        <w:r w:rsidRPr="00FB04F6">
          <w:rPr>
            <w:rFonts w:eastAsia="Times New Roman" w:cs="Times New Roman"/>
            <w:i w:val="0"/>
            <w:iCs w:val="0"/>
            <w:noProof/>
            <w:sz w:val="22"/>
            <w:szCs w:val="22"/>
            <w:lang w:eastAsia="fr-FR"/>
          </w:rPr>
          <w:tab/>
        </w:r>
        <w:r w:rsidRPr="00ED6DAE">
          <w:rPr>
            <w:rStyle w:val="Lienhypertexte"/>
            <w:noProof/>
          </w:rPr>
          <w:t>Généralité</w:t>
        </w:r>
        <w:r>
          <w:rPr>
            <w:noProof/>
            <w:webHidden/>
          </w:rPr>
          <w:tab/>
        </w:r>
        <w:r>
          <w:rPr>
            <w:noProof/>
            <w:webHidden/>
          </w:rPr>
          <w:fldChar w:fldCharType="begin"/>
        </w:r>
        <w:r>
          <w:rPr>
            <w:noProof/>
            <w:webHidden/>
          </w:rPr>
          <w:instrText xml:space="preserve"> PAGEREF _Toc127957572 \h </w:instrText>
        </w:r>
        <w:r>
          <w:rPr>
            <w:noProof/>
            <w:webHidden/>
          </w:rPr>
        </w:r>
        <w:r>
          <w:rPr>
            <w:noProof/>
            <w:webHidden/>
          </w:rPr>
          <w:fldChar w:fldCharType="separate"/>
        </w:r>
        <w:r w:rsidR="00B05C7F">
          <w:rPr>
            <w:noProof/>
            <w:webHidden/>
          </w:rPr>
          <w:t>20</w:t>
        </w:r>
        <w:r>
          <w:rPr>
            <w:noProof/>
            <w:webHidden/>
          </w:rPr>
          <w:fldChar w:fldCharType="end"/>
        </w:r>
      </w:hyperlink>
    </w:p>
    <w:p w14:paraId="0A4769B8" w14:textId="77777777" w:rsidR="006C5F2A" w:rsidRPr="00FB04F6" w:rsidRDefault="006C5F2A">
      <w:pPr>
        <w:pStyle w:val="TM3"/>
        <w:rPr>
          <w:rFonts w:eastAsia="Times New Roman" w:cs="Times New Roman"/>
          <w:i w:val="0"/>
          <w:iCs w:val="0"/>
          <w:noProof/>
          <w:sz w:val="22"/>
          <w:szCs w:val="22"/>
          <w:lang w:eastAsia="fr-FR"/>
        </w:rPr>
      </w:pPr>
      <w:hyperlink w:anchor="_Toc127957573" w:history="1">
        <w:r w:rsidRPr="00ED6DAE">
          <w:rPr>
            <w:rStyle w:val="Lienhypertexte"/>
            <w:noProof/>
          </w:rPr>
          <w:t>3.7.2.</w:t>
        </w:r>
        <w:r w:rsidRPr="00FB04F6">
          <w:rPr>
            <w:rFonts w:eastAsia="Times New Roman" w:cs="Times New Roman"/>
            <w:i w:val="0"/>
            <w:iCs w:val="0"/>
            <w:noProof/>
            <w:sz w:val="22"/>
            <w:szCs w:val="22"/>
            <w:lang w:eastAsia="fr-FR"/>
          </w:rPr>
          <w:tab/>
        </w:r>
        <w:r w:rsidRPr="00ED6DAE">
          <w:rPr>
            <w:rStyle w:val="Lienhypertexte"/>
            <w:noProof/>
          </w:rPr>
          <w:t>Tours cellulaires</w:t>
        </w:r>
        <w:r>
          <w:rPr>
            <w:noProof/>
            <w:webHidden/>
          </w:rPr>
          <w:tab/>
        </w:r>
        <w:r>
          <w:rPr>
            <w:noProof/>
            <w:webHidden/>
          </w:rPr>
          <w:fldChar w:fldCharType="begin"/>
        </w:r>
        <w:r>
          <w:rPr>
            <w:noProof/>
            <w:webHidden/>
          </w:rPr>
          <w:instrText xml:space="preserve"> PAGEREF _Toc127957573 \h </w:instrText>
        </w:r>
        <w:r>
          <w:rPr>
            <w:noProof/>
            <w:webHidden/>
          </w:rPr>
        </w:r>
        <w:r>
          <w:rPr>
            <w:noProof/>
            <w:webHidden/>
          </w:rPr>
          <w:fldChar w:fldCharType="separate"/>
        </w:r>
        <w:r w:rsidR="00B05C7F">
          <w:rPr>
            <w:noProof/>
            <w:webHidden/>
          </w:rPr>
          <w:t>21</w:t>
        </w:r>
        <w:r>
          <w:rPr>
            <w:noProof/>
            <w:webHidden/>
          </w:rPr>
          <w:fldChar w:fldCharType="end"/>
        </w:r>
      </w:hyperlink>
    </w:p>
    <w:p w14:paraId="70AF6193" w14:textId="77777777" w:rsidR="006C5F2A" w:rsidRPr="00FB04F6" w:rsidRDefault="006C5F2A">
      <w:pPr>
        <w:pStyle w:val="TM3"/>
        <w:rPr>
          <w:rFonts w:eastAsia="Times New Roman" w:cs="Times New Roman"/>
          <w:i w:val="0"/>
          <w:iCs w:val="0"/>
          <w:noProof/>
          <w:sz w:val="22"/>
          <w:szCs w:val="22"/>
          <w:lang w:eastAsia="fr-FR"/>
        </w:rPr>
      </w:pPr>
      <w:hyperlink w:anchor="_Toc127957574" w:history="1">
        <w:r w:rsidRPr="00ED6DAE">
          <w:rPr>
            <w:rStyle w:val="Lienhypertexte"/>
            <w:noProof/>
          </w:rPr>
          <w:t>3.7.3.</w:t>
        </w:r>
        <w:r w:rsidRPr="00FB04F6">
          <w:rPr>
            <w:rFonts w:eastAsia="Times New Roman" w:cs="Times New Roman"/>
            <w:i w:val="0"/>
            <w:iCs w:val="0"/>
            <w:noProof/>
            <w:sz w:val="22"/>
            <w:szCs w:val="22"/>
            <w:lang w:eastAsia="fr-FR"/>
          </w:rPr>
          <w:tab/>
        </w:r>
        <w:r w:rsidRPr="00ED6DAE">
          <w:rPr>
            <w:rStyle w:val="Lienhypertexte"/>
            <w:noProof/>
          </w:rPr>
          <w:t>Fonction d’une tour cellulaire</w:t>
        </w:r>
        <w:r>
          <w:rPr>
            <w:noProof/>
            <w:webHidden/>
          </w:rPr>
          <w:tab/>
        </w:r>
        <w:r>
          <w:rPr>
            <w:noProof/>
            <w:webHidden/>
          </w:rPr>
          <w:fldChar w:fldCharType="begin"/>
        </w:r>
        <w:r>
          <w:rPr>
            <w:noProof/>
            <w:webHidden/>
          </w:rPr>
          <w:instrText xml:space="preserve"> PAGEREF _Toc127957574 \h </w:instrText>
        </w:r>
        <w:r>
          <w:rPr>
            <w:noProof/>
            <w:webHidden/>
          </w:rPr>
        </w:r>
        <w:r>
          <w:rPr>
            <w:noProof/>
            <w:webHidden/>
          </w:rPr>
          <w:fldChar w:fldCharType="separate"/>
        </w:r>
        <w:r w:rsidR="00B05C7F">
          <w:rPr>
            <w:noProof/>
            <w:webHidden/>
          </w:rPr>
          <w:t>22</w:t>
        </w:r>
        <w:r>
          <w:rPr>
            <w:noProof/>
            <w:webHidden/>
          </w:rPr>
          <w:fldChar w:fldCharType="end"/>
        </w:r>
      </w:hyperlink>
    </w:p>
    <w:p w14:paraId="133F4B47" w14:textId="77777777" w:rsidR="006C5F2A" w:rsidRPr="00FB04F6" w:rsidRDefault="006C5F2A">
      <w:pPr>
        <w:pStyle w:val="TM3"/>
        <w:rPr>
          <w:rFonts w:eastAsia="Times New Roman" w:cs="Times New Roman"/>
          <w:i w:val="0"/>
          <w:iCs w:val="0"/>
          <w:noProof/>
          <w:sz w:val="22"/>
          <w:szCs w:val="22"/>
          <w:lang w:eastAsia="fr-FR"/>
        </w:rPr>
      </w:pPr>
      <w:hyperlink w:anchor="_Toc127957575" w:history="1">
        <w:r w:rsidRPr="00ED6DAE">
          <w:rPr>
            <w:rStyle w:val="Lienhypertexte"/>
            <w:noProof/>
          </w:rPr>
          <w:t>3.7.4.</w:t>
        </w:r>
        <w:r w:rsidRPr="00FB04F6">
          <w:rPr>
            <w:rFonts w:eastAsia="Times New Roman" w:cs="Times New Roman"/>
            <w:i w:val="0"/>
            <w:iCs w:val="0"/>
            <w:noProof/>
            <w:sz w:val="22"/>
            <w:szCs w:val="22"/>
            <w:lang w:eastAsia="fr-FR"/>
          </w:rPr>
          <w:tab/>
        </w:r>
        <w:r w:rsidRPr="00ED6DAE">
          <w:rPr>
            <w:rStyle w:val="Lienhypertexte"/>
            <w:noProof/>
          </w:rPr>
          <w:t>Infrastructures de diffusion</w:t>
        </w:r>
        <w:r>
          <w:rPr>
            <w:noProof/>
            <w:webHidden/>
          </w:rPr>
          <w:tab/>
        </w:r>
        <w:r>
          <w:rPr>
            <w:noProof/>
            <w:webHidden/>
          </w:rPr>
          <w:fldChar w:fldCharType="begin"/>
        </w:r>
        <w:r>
          <w:rPr>
            <w:noProof/>
            <w:webHidden/>
          </w:rPr>
          <w:instrText xml:space="preserve"> PAGEREF _Toc127957575 \h </w:instrText>
        </w:r>
        <w:r>
          <w:rPr>
            <w:noProof/>
            <w:webHidden/>
          </w:rPr>
        </w:r>
        <w:r>
          <w:rPr>
            <w:noProof/>
            <w:webHidden/>
          </w:rPr>
          <w:fldChar w:fldCharType="separate"/>
        </w:r>
        <w:r w:rsidR="00B05C7F">
          <w:rPr>
            <w:noProof/>
            <w:webHidden/>
          </w:rPr>
          <w:t>22</w:t>
        </w:r>
        <w:r>
          <w:rPr>
            <w:noProof/>
            <w:webHidden/>
          </w:rPr>
          <w:fldChar w:fldCharType="end"/>
        </w:r>
      </w:hyperlink>
    </w:p>
    <w:p w14:paraId="7E379478" w14:textId="77777777" w:rsidR="006C5F2A" w:rsidRPr="00FB04F6" w:rsidRDefault="006C5F2A">
      <w:pPr>
        <w:pStyle w:val="TM3"/>
        <w:rPr>
          <w:rFonts w:eastAsia="Times New Roman" w:cs="Times New Roman"/>
          <w:i w:val="0"/>
          <w:iCs w:val="0"/>
          <w:noProof/>
          <w:sz w:val="22"/>
          <w:szCs w:val="22"/>
          <w:lang w:eastAsia="fr-FR"/>
        </w:rPr>
      </w:pPr>
      <w:hyperlink w:anchor="_Toc127957576" w:history="1">
        <w:r w:rsidRPr="00ED6DAE">
          <w:rPr>
            <w:rStyle w:val="Lienhypertexte"/>
            <w:noProof/>
          </w:rPr>
          <w:t>3.7.5.</w:t>
        </w:r>
        <w:r w:rsidRPr="00FB04F6">
          <w:rPr>
            <w:rFonts w:eastAsia="Times New Roman" w:cs="Times New Roman"/>
            <w:i w:val="0"/>
            <w:iCs w:val="0"/>
            <w:noProof/>
            <w:sz w:val="22"/>
            <w:szCs w:val="22"/>
            <w:lang w:eastAsia="fr-FR"/>
          </w:rPr>
          <w:tab/>
        </w:r>
        <w:r w:rsidRPr="00ED6DAE">
          <w:rPr>
            <w:rStyle w:val="Lienhypertexte"/>
            <w:noProof/>
          </w:rPr>
          <w:t>Infrastructure de transmission</w:t>
        </w:r>
        <w:r>
          <w:rPr>
            <w:noProof/>
            <w:webHidden/>
          </w:rPr>
          <w:tab/>
        </w:r>
        <w:r>
          <w:rPr>
            <w:noProof/>
            <w:webHidden/>
          </w:rPr>
          <w:fldChar w:fldCharType="begin"/>
        </w:r>
        <w:r>
          <w:rPr>
            <w:noProof/>
            <w:webHidden/>
          </w:rPr>
          <w:instrText xml:space="preserve"> PAGEREF _Toc127957576 \h </w:instrText>
        </w:r>
        <w:r>
          <w:rPr>
            <w:noProof/>
            <w:webHidden/>
          </w:rPr>
        </w:r>
        <w:r>
          <w:rPr>
            <w:noProof/>
            <w:webHidden/>
          </w:rPr>
          <w:fldChar w:fldCharType="separate"/>
        </w:r>
        <w:r w:rsidR="00B05C7F">
          <w:rPr>
            <w:noProof/>
            <w:webHidden/>
          </w:rPr>
          <w:t>23</w:t>
        </w:r>
        <w:r>
          <w:rPr>
            <w:noProof/>
            <w:webHidden/>
          </w:rPr>
          <w:fldChar w:fldCharType="end"/>
        </w:r>
      </w:hyperlink>
    </w:p>
    <w:p w14:paraId="3547A9D8" w14:textId="77777777" w:rsidR="006C5F2A" w:rsidRPr="00FB04F6" w:rsidRDefault="006C5F2A">
      <w:pPr>
        <w:pStyle w:val="TM2"/>
        <w:rPr>
          <w:rFonts w:eastAsia="Times New Roman" w:cs="Times New Roman"/>
          <w:smallCaps w:val="0"/>
          <w:noProof/>
          <w:sz w:val="22"/>
          <w:szCs w:val="22"/>
          <w:lang w:eastAsia="fr-FR"/>
        </w:rPr>
      </w:pPr>
      <w:hyperlink w:anchor="_Toc127957577" w:history="1">
        <w:r w:rsidRPr="00ED6DAE">
          <w:rPr>
            <w:rStyle w:val="Lienhypertexte"/>
            <w:noProof/>
          </w:rPr>
          <w:t>3.7.5.1.</w:t>
        </w:r>
        <w:r w:rsidRPr="00FB04F6">
          <w:rPr>
            <w:rFonts w:eastAsia="Times New Roman" w:cs="Times New Roman"/>
            <w:smallCaps w:val="0"/>
            <w:noProof/>
            <w:sz w:val="22"/>
            <w:szCs w:val="22"/>
            <w:lang w:eastAsia="fr-FR"/>
          </w:rPr>
          <w:tab/>
        </w:r>
        <w:r w:rsidRPr="00ED6DAE">
          <w:rPr>
            <w:rStyle w:val="Lienhypertexte"/>
            <w:noProof/>
          </w:rPr>
          <w:t>Description de la connectivité à large bande</w:t>
        </w:r>
        <w:r>
          <w:rPr>
            <w:noProof/>
            <w:webHidden/>
          </w:rPr>
          <w:tab/>
        </w:r>
        <w:r>
          <w:rPr>
            <w:noProof/>
            <w:webHidden/>
          </w:rPr>
          <w:fldChar w:fldCharType="begin"/>
        </w:r>
        <w:r>
          <w:rPr>
            <w:noProof/>
            <w:webHidden/>
          </w:rPr>
          <w:instrText xml:space="preserve"> PAGEREF _Toc127957577 \h </w:instrText>
        </w:r>
        <w:r>
          <w:rPr>
            <w:noProof/>
            <w:webHidden/>
          </w:rPr>
        </w:r>
        <w:r>
          <w:rPr>
            <w:noProof/>
            <w:webHidden/>
          </w:rPr>
          <w:fldChar w:fldCharType="separate"/>
        </w:r>
        <w:r w:rsidR="00B05C7F">
          <w:rPr>
            <w:noProof/>
            <w:webHidden/>
          </w:rPr>
          <w:t>23</w:t>
        </w:r>
        <w:r>
          <w:rPr>
            <w:noProof/>
            <w:webHidden/>
          </w:rPr>
          <w:fldChar w:fldCharType="end"/>
        </w:r>
      </w:hyperlink>
    </w:p>
    <w:p w14:paraId="194B8CD4" w14:textId="77777777" w:rsidR="006C5F2A" w:rsidRPr="00FB04F6" w:rsidRDefault="006C5F2A">
      <w:pPr>
        <w:pStyle w:val="TM2"/>
        <w:rPr>
          <w:rFonts w:eastAsia="Times New Roman" w:cs="Times New Roman"/>
          <w:smallCaps w:val="0"/>
          <w:noProof/>
          <w:sz w:val="22"/>
          <w:szCs w:val="22"/>
          <w:lang w:eastAsia="fr-FR"/>
        </w:rPr>
      </w:pPr>
      <w:hyperlink w:anchor="_Toc127957578" w:history="1">
        <w:r w:rsidRPr="00ED6DAE">
          <w:rPr>
            <w:rStyle w:val="Lienhypertexte"/>
            <w:noProof/>
          </w:rPr>
          <w:t>3.7.5.2.</w:t>
        </w:r>
        <w:r w:rsidRPr="00FB04F6">
          <w:rPr>
            <w:rFonts w:eastAsia="Times New Roman" w:cs="Times New Roman"/>
            <w:smallCaps w:val="0"/>
            <w:noProof/>
            <w:sz w:val="22"/>
            <w:szCs w:val="22"/>
            <w:lang w:eastAsia="fr-FR"/>
          </w:rPr>
          <w:tab/>
        </w:r>
        <w:r w:rsidRPr="00ED6DAE">
          <w:rPr>
            <w:rStyle w:val="Lienhypertexte"/>
            <w:noProof/>
          </w:rPr>
          <w:t>Valeurs limites d’exposition aux ondes électromagnétiques</w:t>
        </w:r>
        <w:r>
          <w:rPr>
            <w:noProof/>
            <w:webHidden/>
          </w:rPr>
          <w:tab/>
        </w:r>
        <w:r>
          <w:rPr>
            <w:noProof/>
            <w:webHidden/>
          </w:rPr>
          <w:fldChar w:fldCharType="begin"/>
        </w:r>
        <w:r>
          <w:rPr>
            <w:noProof/>
            <w:webHidden/>
          </w:rPr>
          <w:instrText xml:space="preserve"> PAGEREF _Toc127957578 \h </w:instrText>
        </w:r>
        <w:r>
          <w:rPr>
            <w:noProof/>
            <w:webHidden/>
          </w:rPr>
        </w:r>
        <w:r>
          <w:rPr>
            <w:noProof/>
            <w:webHidden/>
          </w:rPr>
          <w:fldChar w:fldCharType="separate"/>
        </w:r>
        <w:r w:rsidR="00B05C7F">
          <w:rPr>
            <w:noProof/>
            <w:webHidden/>
          </w:rPr>
          <w:t>24</w:t>
        </w:r>
        <w:r>
          <w:rPr>
            <w:noProof/>
            <w:webHidden/>
          </w:rPr>
          <w:fldChar w:fldCharType="end"/>
        </w:r>
      </w:hyperlink>
    </w:p>
    <w:p w14:paraId="02664DD4" w14:textId="77777777" w:rsidR="006C5F2A" w:rsidRPr="00FB04F6" w:rsidRDefault="006C5F2A">
      <w:pPr>
        <w:pStyle w:val="TM2"/>
        <w:rPr>
          <w:rFonts w:eastAsia="Times New Roman" w:cs="Times New Roman"/>
          <w:smallCaps w:val="0"/>
          <w:noProof/>
          <w:sz w:val="22"/>
          <w:szCs w:val="22"/>
          <w:lang w:eastAsia="fr-FR"/>
        </w:rPr>
      </w:pPr>
      <w:hyperlink w:anchor="_Toc127957579" w:history="1">
        <w:r w:rsidRPr="00ED6DAE">
          <w:rPr>
            <w:rStyle w:val="Lienhypertexte"/>
            <w:noProof/>
          </w:rPr>
          <w:t>3.8.</w:t>
        </w:r>
        <w:r w:rsidRPr="00FB04F6">
          <w:rPr>
            <w:rFonts w:eastAsia="Times New Roman" w:cs="Times New Roman"/>
            <w:smallCaps w:val="0"/>
            <w:noProof/>
            <w:sz w:val="22"/>
            <w:szCs w:val="22"/>
            <w:lang w:eastAsia="fr-FR"/>
          </w:rPr>
          <w:tab/>
        </w:r>
        <w:r w:rsidRPr="00ED6DAE">
          <w:rPr>
            <w:rStyle w:val="Lienhypertexte"/>
            <w:noProof/>
          </w:rPr>
          <w:t>Culture numérique et sensibilisation</w:t>
        </w:r>
        <w:r>
          <w:rPr>
            <w:noProof/>
            <w:webHidden/>
          </w:rPr>
          <w:tab/>
        </w:r>
        <w:r>
          <w:rPr>
            <w:noProof/>
            <w:webHidden/>
          </w:rPr>
          <w:fldChar w:fldCharType="begin"/>
        </w:r>
        <w:r>
          <w:rPr>
            <w:noProof/>
            <w:webHidden/>
          </w:rPr>
          <w:instrText xml:space="preserve"> PAGEREF _Toc127957579 \h </w:instrText>
        </w:r>
        <w:r>
          <w:rPr>
            <w:noProof/>
            <w:webHidden/>
          </w:rPr>
        </w:r>
        <w:r>
          <w:rPr>
            <w:noProof/>
            <w:webHidden/>
          </w:rPr>
          <w:fldChar w:fldCharType="separate"/>
        </w:r>
        <w:r w:rsidR="00B05C7F">
          <w:rPr>
            <w:noProof/>
            <w:webHidden/>
          </w:rPr>
          <w:t>25</w:t>
        </w:r>
        <w:r>
          <w:rPr>
            <w:noProof/>
            <w:webHidden/>
          </w:rPr>
          <w:fldChar w:fldCharType="end"/>
        </w:r>
      </w:hyperlink>
    </w:p>
    <w:p w14:paraId="29C462F5" w14:textId="77777777" w:rsidR="006C5F2A" w:rsidRPr="00FB04F6" w:rsidRDefault="006C5F2A">
      <w:pPr>
        <w:pStyle w:val="TM3"/>
        <w:rPr>
          <w:rFonts w:eastAsia="Times New Roman" w:cs="Times New Roman"/>
          <w:i w:val="0"/>
          <w:iCs w:val="0"/>
          <w:noProof/>
          <w:sz w:val="22"/>
          <w:szCs w:val="22"/>
          <w:lang w:eastAsia="fr-FR"/>
        </w:rPr>
      </w:pPr>
      <w:hyperlink w:anchor="_Toc127957580" w:history="1">
        <w:r w:rsidRPr="00ED6DAE">
          <w:rPr>
            <w:rStyle w:val="Lienhypertexte"/>
            <w:noProof/>
          </w:rPr>
          <w:t>3.8.1.</w:t>
        </w:r>
        <w:r w:rsidRPr="00FB04F6">
          <w:rPr>
            <w:rFonts w:eastAsia="Times New Roman" w:cs="Times New Roman"/>
            <w:i w:val="0"/>
            <w:iCs w:val="0"/>
            <w:noProof/>
            <w:sz w:val="22"/>
            <w:szCs w:val="22"/>
            <w:lang w:eastAsia="fr-FR"/>
          </w:rPr>
          <w:tab/>
        </w:r>
        <w:r w:rsidRPr="00ED6DAE">
          <w:rPr>
            <w:rStyle w:val="Lienhypertexte"/>
            <w:noProof/>
          </w:rPr>
          <w:t>Alphabétisation numérique</w:t>
        </w:r>
        <w:r>
          <w:rPr>
            <w:noProof/>
            <w:webHidden/>
          </w:rPr>
          <w:tab/>
        </w:r>
        <w:r>
          <w:rPr>
            <w:noProof/>
            <w:webHidden/>
          </w:rPr>
          <w:fldChar w:fldCharType="begin"/>
        </w:r>
        <w:r>
          <w:rPr>
            <w:noProof/>
            <w:webHidden/>
          </w:rPr>
          <w:instrText xml:space="preserve"> PAGEREF _Toc127957580 \h </w:instrText>
        </w:r>
        <w:r>
          <w:rPr>
            <w:noProof/>
            <w:webHidden/>
          </w:rPr>
        </w:r>
        <w:r>
          <w:rPr>
            <w:noProof/>
            <w:webHidden/>
          </w:rPr>
          <w:fldChar w:fldCharType="separate"/>
        </w:r>
        <w:r w:rsidR="00B05C7F">
          <w:rPr>
            <w:noProof/>
            <w:webHidden/>
          </w:rPr>
          <w:t>25</w:t>
        </w:r>
        <w:r>
          <w:rPr>
            <w:noProof/>
            <w:webHidden/>
          </w:rPr>
          <w:fldChar w:fldCharType="end"/>
        </w:r>
      </w:hyperlink>
    </w:p>
    <w:p w14:paraId="6E151989" w14:textId="77777777" w:rsidR="006C5F2A" w:rsidRPr="00FB04F6" w:rsidRDefault="006C5F2A">
      <w:pPr>
        <w:pStyle w:val="TM3"/>
        <w:rPr>
          <w:rFonts w:eastAsia="Times New Roman" w:cs="Times New Roman"/>
          <w:i w:val="0"/>
          <w:iCs w:val="0"/>
          <w:noProof/>
          <w:sz w:val="22"/>
          <w:szCs w:val="22"/>
          <w:lang w:eastAsia="fr-FR"/>
        </w:rPr>
      </w:pPr>
      <w:hyperlink w:anchor="_Toc127957581" w:history="1">
        <w:r w:rsidRPr="00ED6DAE">
          <w:rPr>
            <w:rStyle w:val="Lienhypertexte"/>
            <w:noProof/>
          </w:rPr>
          <w:t>3.8.2.</w:t>
        </w:r>
        <w:r w:rsidRPr="00FB04F6">
          <w:rPr>
            <w:rFonts w:eastAsia="Times New Roman" w:cs="Times New Roman"/>
            <w:i w:val="0"/>
            <w:iCs w:val="0"/>
            <w:noProof/>
            <w:sz w:val="22"/>
            <w:szCs w:val="22"/>
            <w:lang w:eastAsia="fr-FR"/>
          </w:rPr>
          <w:tab/>
        </w:r>
        <w:r w:rsidRPr="00ED6DAE">
          <w:rPr>
            <w:rStyle w:val="Lienhypertexte"/>
            <w:noProof/>
          </w:rPr>
          <w:t>Sensibilisation</w:t>
        </w:r>
        <w:r>
          <w:rPr>
            <w:noProof/>
            <w:webHidden/>
          </w:rPr>
          <w:tab/>
        </w:r>
        <w:r>
          <w:rPr>
            <w:noProof/>
            <w:webHidden/>
          </w:rPr>
          <w:fldChar w:fldCharType="begin"/>
        </w:r>
        <w:r>
          <w:rPr>
            <w:noProof/>
            <w:webHidden/>
          </w:rPr>
          <w:instrText xml:space="preserve"> PAGEREF _Toc127957581 \h </w:instrText>
        </w:r>
        <w:r>
          <w:rPr>
            <w:noProof/>
            <w:webHidden/>
          </w:rPr>
        </w:r>
        <w:r>
          <w:rPr>
            <w:noProof/>
            <w:webHidden/>
          </w:rPr>
          <w:fldChar w:fldCharType="separate"/>
        </w:r>
        <w:r w:rsidR="00B05C7F">
          <w:rPr>
            <w:noProof/>
            <w:webHidden/>
          </w:rPr>
          <w:t>26</w:t>
        </w:r>
        <w:r>
          <w:rPr>
            <w:noProof/>
            <w:webHidden/>
          </w:rPr>
          <w:fldChar w:fldCharType="end"/>
        </w:r>
      </w:hyperlink>
    </w:p>
    <w:p w14:paraId="3A818705" w14:textId="77777777" w:rsidR="006C5F2A" w:rsidRPr="00FB04F6" w:rsidRDefault="006C5F2A">
      <w:pPr>
        <w:pStyle w:val="TM3"/>
        <w:rPr>
          <w:rFonts w:eastAsia="Times New Roman" w:cs="Times New Roman"/>
          <w:i w:val="0"/>
          <w:iCs w:val="0"/>
          <w:noProof/>
          <w:sz w:val="22"/>
          <w:szCs w:val="22"/>
          <w:lang w:eastAsia="fr-FR"/>
        </w:rPr>
      </w:pPr>
      <w:hyperlink w:anchor="_Toc127957582" w:history="1">
        <w:r w:rsidRPr="00ED6DAE">
          <w:rPr>
            <w:rStyle w:val="Lienhypertexte"/>
            <w:noProof/>
          </w:rPr>
          <w:t>3.8.3.</w:t>
        </w:r>
        <w:r w:rsidRPr="00FB04F6">
          <w:rPr>
            <w:rFonts w:eastAsia="Times New Roman" w:cs="Times New Roman"/>
            <w:i w:val="0"/>
            <w:iCs w:val="0"/>
            <w:noProof/>
            <w:sz w:val="22"/>
            <w:szCs w:val="22"/>
            <w:lang w:eastAsia="fr-FR"/>
          </w:rPr>
          <w:tab/>
        </w:r>
        <w:r w:rsidRPr="00ED6DAE">
          <w:rPr>
            <w:rStyle w:val="Lienhypertexte"/>
            <w:noProof/>
          </w:rPr>
          <w:t>Actions à mener</w:t>
        </w:r>
        <w:r>
          <w:rPr>
            <w:noProof/>
            <w:webHidden/>
          </w:rPr>
          <w:tab/>
        </w:r>
        <w:r>
          <w:rPr>
            <w:noProof/>
            <w:webHidden/>
          </w:rPr>
          <w:fldChar w:fldCharType="begin"/>
        </w:r>
        <w:r>
          <w:rPr>
            <w:noProof/>
            <w:webHidden/>
          </w:rPr>
          <w:instrText xml:space="preserve"> PAGEREF _Toc127957582 \h </w:instrText>
        </w:r>
        <w:r>
          <w:rPr>
            <w:noProof/>
            <w:webHidden/>
          </w:rPr>
        </w:r>
        <w:r>
          <w:rPr>
            <w:noProof/>
            <w:webHidden/>
          </w:rPr>
          <w:fldChar w:fldCharType="separate"/>
        </w:r>
        <w:r w:rsidR="00B05C7F">
          <w:rPr>
            <w:noProof/>
            <w:webHidden/>
          </w:rPr>
          <w:t>26</w:t>
        </w:r>
        <w:r>
          <w:rPr>
            <w:noProof/>
            <w:webHidden/>
          </w:rPr>
          <w:fldChar w:fldCharType="end"/>
        </w:r>
      </w:hyperlink>
    </w:p>
    <w:p w14:paraId="1625942D" w14:textId="77777777" w:rsidR="006C5F2A" w:rsidRPr="00FB04F6" w:rsidRDefault="006C5F2A">
      <w:pPr>
        <w:pStyle w:val="TM1"/>
        <w:tabs>
          <w:tab w:val="left" w:pos="440"/>
        </w:tabs>
        <w:rPr>
          <w:rFonts w:eastAsia="Times New Roman" w:cs="Times New Roman"/>
          <w:b w:val="0"/>
          <w:bCs w:val="0"/>
          <w:caps w:val="0"/>
          <w:noProof/>
          <w:sz w:val="22"/>
          <w:szCs w:val="22"/>
          <w:lang w:eastAsia="fr-FR"/>
        </w:rPr>
      </w:pPr>
      <w:hyperlink w:anchor="_Toc127957583" w:history="1">
        <w:r w:rsidRPr="00ED6DAE">
          <w:rPr>
            <w:rStyle w:val="Lienhypertexte"/>
            <w:noProof/>
          </w:rPr>
          <w:t>4.</w:t>
        </w:r>
        <w:r w:rsidRPr="00FB04F6">
          <w:rPr>
            <w:rFonts w:eastAsia="Times New Roman" w:cs="Times New Roman"/>
            <w:b w:val="0"/>
            <w:bCs w:val="0"/>
            <w:caps w:val="0"/>
            <w:noProof/>
            <w:sz w:val="22"/>
            <w:szCs w:val="22"/>
            <w:lang w:eastAsia="fr-FR"/>
          </w:rPr>
          <w:tab/>
        </w:r>
        <w:r w:rsidRPr="00ED6DAE">
          <w:rPr>
            <w:rStyle w:val="Lienhypertexte"/>
            <w:noProof/>
          </w:rPr>
          <w:t>Caractérisation biophysique et socio-économique de l’environnement inItial</w:t>
        </w:r>
        <w:r>
          <w:rPr>
            <w:noProof/>
            <w:webHidden/>
          </w:rPr>
          <w:tab/>
        </w:r>
        <w:r>
          <w:rPr>
            <w:noProof/>
            <w:webHidden/>
          </w:rPr>
          <w:fldChar w:fldCharType="begin"/>
        </w:r>
        <w:r>
          <w:rPr>
            <w:noProof/>
            <w:webHidden/>
          </w:rPr>
          <w:instrText xml:space="preserve"> PAGEREF _Toc127957583 \h </w:instrText>
        </w:r>
        <w:r>
          <w:rPr>
            <w:noProof/>
            <w:webHidden/>
          </w:rPr>
        </w:r>
        <w:r>
          <w:rPr>
            <w:noProof/>
            <w:webHidden/>
          </w:rPr>
          <w:fldChar w:fldCharType="separate"/>
        </w:r>
        <w:r w:rsidR="00B05C7F">
          <w:rPr>
            <w:noProof/>
            <w:webHidden/>
          </w:rPr>
          <w:t>27</w:t>
        </w:r>
        <w:r>
          <w:rPr>
            <w:noProof/>
            <w:webHidden/>
          </w:rPr>
          <w:fldChar w:fldCharType="end"/>
        </w:r>
      </w:hyperlink>
    </w:p>
    <w:p w14:paraId="3AB22F28" w14:textId="77777777" w:rsidR="006C5F2A" w:rsidRPr="00FB04F6" w:rsidRDefault="006C5F2A">
      <w:pPr>
        <w:pStyle w:val="TM2"/>
        <w:rPr>
          <w:rFonts w:eastAsia="Times New Roman" w:cs="Times New Roman"/>
          <w:smallCaps w:val="0"/>
          <w:noProof/>
          <w:sz w:val="22"/>
          <w:szCs w:val="22"/>
          <w:lang w:eastAsia="fr-FR"/>
        </w:rPr>
      </w:pPr>
      <w:hyperlink w:anchor="_Toc127957584" w:history="1">
        <w:r w:rsidRPr="00ED6DAE">
          <w:rPr>
            <w:rStyle w:val="Lienhypertexte"/>
            <w:noProof/>
          </w:rPr>
          <w:t>4.1.</w:t>
        </w:r>
        <w:r w:rsidRPr="00FB04F6">
          <w:rPr>
            <w:rFonts w:eastAsia="Times New Roman" w:cs="Times New Roman"/>
            <w:smallCaps w:val="0"/>
            <w:noProof/>
            <w:sz w:val="22"/>
            <w:szCs w:val="22"/>
            <w:lang w:eastAsia="fr-FR"/>
          </w:rPr>
          <w:tab/>
        </w:r>
        <w:r w:rsidRPr="00ED6DAE">
          <w:rPr>
            <w:rStyle w:val="Lienhypertexte"/>
            <w:noProof/>
          </w:rPr>
          <w:t>Milieu physique</w:t>
        </w:r>
        <w:r>
          <w:rPr>
            <w:noProof/>
            <w:webHidden/>
          </w:rPr>
          <w:tab/>
        </w:r>
        <w:r>
          <w:rPr>
            <w:noProof/>
            <w:webHidden/>
          </w:rPr>
          <w:fldChar w:fldCharType="begin"/>
        </w:r>
        <w:r>
          <w:rPr>
            <w:noProof/>
            <w:webHidden/>
          </w:rPr>
          <w:instrText xml:space="preserve"> PAGEREF _Toc127957584 \h </w:instrText>
        </w:r>
        <w:r>
          <w:rPr>
            <w:noProof/>
            <w:webHidden/>
          </w:rPr>
        </w:r>
        <w:r>
          <w:rPr>
            <w:noProof/>
            <w:webHidden/>
          </w:rPr>
          <w:fldChar w:fldCharType="separate"/>
        </w:r>
        <w:r w:rsidR="00B05C7F">
          <w:rPr>
            <w:noProof/>
            <w:webHidden/>
          </w:rPr>
          <w:t>27</w:t>
        </w:r>
        <w:r>
          <w:rPr>
            <w:noProof/>
            <w:webHidden/>
          </w:rPr>
          <w:fldChar w:fldCharType="end"/>
        </w:r>
      </w:hyperlink>
    </w:p>
    <w:p w14:paraId="60C7DCD5" w14:textId="77777777" w:rsidR="006C5F2A" w:rsidRPr="00FB04F6" w:rsidRDefault="006C5F2A">
      <w:pPr>
        <w:pStyle w:val="TM3"/>
        <w:rPr>
          <w:rFonts w:eastAsia="Times New Roman" w:cs="Times New Roman"/>
          <w:i w:val="0"/>
          <w:iCs w:val="0"/>
          <w:noProof/>
          <w:sz w:val="22"/>
          <w:szCs w:val="22"/>
          <w:lang w:eastAsia="fr-FR"/>
        </w:rPr>
      </w:pPr>
      <w:hyperlink w:anchor="_Toc127957585" w:history="1">
        <w:r w:rsidRPr="00ED6DAE">
          <w:rPr>
            <w:rStyle w:val="Lienhypertexte"/>
            <w:noProof/>
          </w:rPr>
          <w:t>4.1.1.</w:t>
        </w:r>
        <w:r w:rsidRPr="00FB04F6">
          <w:rPr>
            <w:rFonts w:eastAsia="Times New Roman" w:cs="Times New Roman"/>
            <w:i w:val="0"/>
            <w:iCs w:val="0"/>
            <w:noProof/>
            <w:sz w:val="22"/>
            <w:szCs w:val="22"/>
            <w:lang w:eastAsia="fr-FR"/>
          </w:rPr>
          <w:tab/>
        </w:r>
        <w:r w:rsidRPr="00ED6DAE">
          <w:rPr>
            <w:rStyle w:val="Lienhypertexte"/>
            <w:noProof/>
          </w:rPr>
          <w:t>Zone d’implantation du Projet</w:t>
        </w:r>
        <w:r>
          <w:rPr>
            <w:noProof/>
            <w:webHidden/>
          </w:rPr>
          <w:tab/>
        </w:r>
        <w:r>
          <w:rPr>
            <w:noProof/>
            <w:webHidden/>
          </w:rPr>
          <w:fldChar w:fldCharType="begin"/>
        </w:r>
        <w:r>
          <w:rPr>
            <w:noProof/>
            <w:webHidden/>
          </w:rPr>
          <w:instrText xml:space="preserve"> PAGEREF _Toc127957585 \h </w:instrText>
        </w:r>
        <w:r>
          <w:rPr>
            <w:noProof/>
            <w:webHidden/>
          </w:rPr>
        </w:r>
        <w:r>
          <w:rPr>
            <w:noProof/>
            <w:webHidden/>
          </w:rPr>
          <w:fldChar w:fldCharType="separate"/>
        </w:r>
        <w:r w:rsidR="00B05C7F">
          <w:rPr>
            <w:noProof/>
            <w:webHidden/>
          </w:rPr>
          <w:t>27</w:t>
        </w:r>
        <w:r>
          <w:rPr>
            <w:noProof/>
            <w:webHidden/>
          </w:rPr>
          <w:fldChar w:fldCharType="end"/>
        </w:r>
      </w:hyperlink>
    </w:p>
    <w:p w14:paraId="6E6FC645" w14:textId="77777777" w:rsidR="006C5F2A" w:rsidRPr="00FB04F6" w:rsidRDefault="006C5F2A">
      <w:pPr>
        <w:pStyle w:val="TM3"/>
        <w:rPr>
          <w:rFonts w:eastAsia="Times New Roman" w:cs="Times New Roman"/>
          <w:i w:val="0"/>
          <w:iCs w:val="0"/>
          <w:noProof/>
          <w:sz w:val="22"/>
          <w:szCs w:val="22"/>
          <w:lang w:eastAsia="fr-FR"/>
        </w:rPr>
      </w:pPr>
      <w:hyperlink w:anchor="_Toc127957586" w:history="1">
        <w:r w:rsidRPr="00ED6DAE">
          <w:rPr>
            <w:rStyle w:val="Lienhypertexte"/>
            <w:noProof/>
          </w:rPr>
          <w:t>4.1.2.</w:t>
        </w:r>
        <w:r w:rsidRPr="00FB04F6">
          <w:rPr>
            <w:rFonts w:eastAsia="Times New Roman" w:cs="Times New Roman"/>
            <w:i w:val="0"/>
            <w:iCs w:val="0"/>
            <w:noProof/>
            <w:sz w:val="22"/>
            <w:szCs w:val="22"/>
            <w:lang w:eastAsia="fr-FR"/>
          </w:rPr>
          <w:tab/>
        </w:r>
        <w:r w:rsidRPr="00ED6DAE">
          <w:rPr>
            <w:rStyle w:val="Lienhypertexte"/>
            <w:noProof/>
          </w:rPr>
          <w:t>Climat</w:t>
        </w:r>
        <w:r>
          <w:rPr>
            <w:noProof/>
            <w:webHidden/>
          </w:rPr>
          <w:tab/>
        </w:r>
        <w:r>
          <w:rPr>
            <w:noProof/>
            <w:webHidden/>
          </w:rPr>
          <w:fldChar w:fldCharType="begin"/>
        </w:r>
        <w:r>
          <w:rPr>
            <w:noProof/>
            <w:webHidden/>
          </w:rPr>
          <w:instrText xml:space="preserve"> PAGEREF _Toc127957586 \h </w:instrText>
        </w:r>
        <w:r>
          <w:rPr>
            <w:noProof/>
            <w:webHidden/>
          </w:rPr>
        </w:r>
        <w:r>
          <w:rPr>
            <w:noProof/>
            <w:webHidden/>
          </w:rPr>
          <w:fldChar w:fldCharType="separate"/>
        </w:r>
        <w:r w:rsidR="00B05C7F">
          <w:rPr>
            <w:noProof/>
            <w:webHidden/>
          </w:rPr>
          <w:t>27</w:t>
        </w:r>
        <w:r>
          <w:rPr>
            <w:noProof/>
            <w:webHidden/>
          </w:rPr>
          <w:fldChar w:fldCharType="end"/>
        </w:r>
      </w:hyperlink>
    </w:p>
    <w:p w14:paraId="51163EAD" w14:textId="77777777" w:rsidR="006C5F2A" w:rsidRPr="00FB04F6" w:rsidRDefault="006C5F2A">
      <w:pPr>
        <w:pStyle w:val="TM3"/>
        <w:rPr>
          <w:rFonts w:eastAsia="Times New Roman" w:cs="Times New Roman"/>
          <w:i w:val="0"/>
          <w:iCs w:val="0"/>
          <w:noProof/>
          <w:sz w:val="22"/>
          <w:szCs w:val="22"/>
          <w:lang w:eastAsia="fr-FR"/>
        </w:rPr>
      </w:pPr>
      <w:hyperlink w:anchor="_Toc127957587" w:history="1">
        <w:r w:rsidRPr="00ED6DAE">
          <w:rPr>
            <w:rStyle w:val="Lienhypertexte"/>
            <w:noProof/>
          </w:rPr>
          <w:t>4.1.3.</w:t>
        </w:r>
        <w:r w:rsidRPr="00FB04F6">
          <w:rPr>
            <w:rFonts w:eastAsia="Times New Roman" w:cs="Times New Roman"/>
            <w:i w:val="0"/>
            <w:iCs w:val="0"/>
            <w:noProof/>
            <w:sz w:val="22"/>
            <w:szCs w:val="22"/>
            <w:lang w:eastAsia="fr-FR"/>
          </w:rPr>
          <w:tab/>
        </w:r>
        <w:r w:rsidRPr="00ED6DAE">
          <w:rPr>
            <w:rStyle w:val="Lienhypertexte"/>
            <w:noProof/>
          </w:rPr>
          <w:t>Risques climatiques</w:t>
        </w:r>
        <w:r>
          <w:rPr>
            <w:noProof/>
            <w:webHidden/>
          </w:rPr>
          <w:tab/>
        </w:r>
        <w:r>
          <w:rPr>
            <w:noProof/>
            <w:webHidden/>
          </w:rPr>
          <w:fldChar w:fldCharType="begin"/>
        </w:r>
        <w:r>
          <w:rPr>
            <w:noProof/>
            <w:webHidden/>
          </w:rPr>
          <w:instrText xml:space="preserve"> PAGEREF _Toc127957587 \h </w:instrText>
        </w:r>
        <w:r>
          <w:rPr>
            <w:noProof/>
            <w:webHidden/>
          </w:rPr>
        </w:r>
        <w:r>
          <w:rPr>
            <w:noProof/>
            <w:webHidden/>
          </w:rPr>
          <w:fldChar w:fldCharType="separate"/>
        </w:r>
        <w:r w:rsidR="00B05C7F">
          <w:rPr>
            <w:noProof/>
            <w:webHidden/>
          </w:rPr>
          <w:t>32</w:t>
        </w:r>
        <w:r>
          <w:rPr>
            <w:noProof/>
            <w:webHidden/>
          </w:rPr>
          <w:fldChar w:fldCharType="end"/>
        </w:r>
      </w:hyperlink>
    </w:p>
    <w:p w14:paraId="5D6F4531" w14:textId="77777777" w:rsidR="006C5F2A" w:rsidRPr="00FB04F6" w:rsidRDefault="006C5F2A">
      <w:pPr>
        <w:pStyle w:val="TM2"/>
        <w:rPr>
          <w:rFonts w:eastAsia="Times New Roman" w:cs="Times New Roman"/>
          <w:smallCaps w:val="0"/>
          <w:noProof/>
          <w:sz w:val="22"/>
          <w:szCs w:val="22"/>
          <w:lang w:eastAsia="fr-FR"/>
        </w:rPr>
      </w:pPr>
      <w:hyperlink w:anchor="_Toc127957588" w:history="1">
        <w:r w:rsidRPr="00ED6DAE">
          <w:rPr>
            <w:rStyle w:val="Lienhypertexte"/>
            <w:noProof/>
          </w:rPr>
          <w:t>4.1.3.1.</w:t>
        </w:r>
        <w:r w:rsidRPr="00FB04F6">
          <w:rPr>
            <w:rFonts w:eastAsia="Times New Roman" w:cs="Times New Roman"/>
            <w:smallCaps w:val="0"/>
            <w:noProof/>
            <w:sz w:val="22"/>
            <w:szCs w:val="22"/>
            <w:lang w:eastAsia="fr-FR"/>
          </w:rPr>
          <w:tab/>
        </w:r>
        <w:r w:rsidRPr="00ED6DAE">
          <w:rPr>
            <w:rStyle w:val="Lienhypertexte"/>
            <w:noProof/>
          </w:rPr>
          <w:t>Cyclones</w:t>
        </w:r>
        <w:r>
          <w:rPr>
            <w:noProof/>
            <w:webHidden/>
          </w:rPr>
          <w:tab/>
        </w:r>
        <w:r>
          <w:rPr>
            <w:noProof/>
            <w:webHidden/>
          </w:rPr>
          <w:fldChar w:fldCharType="begin"/>
        </w:r>
        <w:r>
          <w:rPr>
            <w:noProof/>
            <w:webHidden/>
          </w:rPr>
          <w:instrText xml:space="preserve"> PAGEREF _Toc127957588 \h </w:instrText>
        </w:r>
        <w:r>
          <w:rPr>
            <w:noProof/>
            <w:webHidden/>
          </w:rPr>
        </w:r>
        <w:r>
          <w:rPr>
            <w:noProof/>
            <w:webHidden/>
          </w:rPr>
          <w:fldChar w:fldCharType="separate"/>
        </w:r>
        <w:r w:rsidR="00B05C7F">
          <w:rPr>
            <w:noProof/>
            <w:webHidden/>
          </w:rPr>
          <w:t>32</w:t>
        </w:r>
        <w:r>
          <w:rPr>
            <w:noProof/>
            <w:webHidden/>
          </w:rPr>
          <w:fldChar w:fldCharType="end"/>
        </w:r>
      </w:hyperlink>
    </w:p>
    <w:p w14:paraId="10BE5A8C" w14:textId="77777777" w:rsidR="006C5F2A" w:rsidRPr="00FB04F6" w:rsidRDefault="006C5F2A">
      <w:pPr>
        <w:pStyle w:val="TM2"/>
        <w:rPr>
          <w:rFonts w:eastAsia="Times New Roman" w:cs="Times New Roman"/>
          <w:smallCaps w:val="0"/>
          <w:noProof/>
          <w:sz w:val="22"/>
          <w:szCs w:val="22"/>
          <w:lang w:eastAsia="fr-FR"/>
        </w:rPr>
      </w:pPr>
      <w:hyperlink w:anchor="_Toc127957589" w:history="1">
        <w:r w:rsidRPr="00ED6DAE">
          <w:rPr>
            <w:rStyle w:val="Lienhypertexte"/>
            <w:noProof/>
          </w:rPr>
          <w:t>4.1.3.2.</w:t>
        </w:r>
        <w:r w:rsidRPr="00FB04F6">
          <w:rPr>
            <w:rFonts w:eastAsia="Times New Roman" w:cs="Times New Roman"/>
            <w:smallCaps w:val="0"/>
            <w:noProof/>
            <w:sz w:val="22"/>
            <w:szCs w:val="22"/>
            <w:lang w:eastAsia="fr-FR"/>
          </w:rPr>
          <w:tab/>
        </w:r>
        <w:r w:rsidRPr="00ED6DAE">
          <w:rPr>
            <w:rStyle w:val="Lienhypertexte"/>
            <w:noProof/>
          </w:rPr>
          <w:t>Inondation</w:t>
        </w:r>
        <w:r>
          <w:rPr>
            <w:noProof/>
            <w:webHidden/>
          </w:rPr>
          <w:tab/>
        </w:r>
        <w:r>
          <w:rPr>
            <w:noProof/>
            <w:webHidden/>
          </w:rPr>
          <w:fldChar w:fldCharType="begin"/>
        </w:r>
        <w:r>
          <w:rPr>
            <w:noProof/>
            <w:webHidden/>
          </w:rPr>
          <w:instrText xml:space="preserve"> PAGEREF _Toc127957589 \h </w:instrText>
        </w:r>
        <w:r>
          <w:rPr>
            <w:noProof/>
            <w:webHidden/>
          </w:rPr>
        </w:r>
        <w:r>
          <w:rPr>
            <w:noProof/>
            <w:webHidden/>
          </w:rPr>
          <w:fldChar w:fldCharType="separate"/>
        </w:r>
        <w:r w:rsidR="00B05C7F">
          <w:rPr>
            <w:noProof/>
            <w:webHidden/>
          </w:rPr>
          <w:t>33</w:t>
        </w:r>
        <w:r>
          <w:rPr>
            <w:noProof/>
            <w:webHidden/>
          </w:rPr>
          <w:fldChar w:fldCharType="end"/>
        </w:r>
      </w:hyperlink>
    </w:p>
    <w:p w14:paraId="71A455FE" w14:textId="77777777" w:rsidR="006C5F2A" w:rsidRPr="00FB04F6" w:rsidRDefault="006C5F2A">
      <w:pPr>
        <w:pStyle w:val="TM3"/>
        <w:rPr>
          <w:rFonts w:eastAsia="Times New Roman" w:cs="Times New Roman"/>
          <w:i w:val="0"/>
          <w:iCs w:val="0"/>
          <w:noProof/>
          <w:sz w:val="22"/>
          <w:szCs w:val="22"/>
          <w:lang w:eastAsia="fr-FR"/>
        </w:rPr>
      </w:pPr>
      <w:hyperlink w:anchor="_Toc127957590" w:history="1">
        <w:r w:rsidRPr="00ED6DAE">
          <w:rPr>
            <w:rStyle w:val="Lienhypertexte"/>
            <w:noProof/>
          </w:rPr>
          <w:t>4.1.4.</w:t>
        </w:r>
        <w:r w:rsidRPr="00FB04F6">
          <w:rPr>
            <w:rFonts w:eastAsia="Times New Roman" w:cs="Times New Roman"/>
            <w:i w:val="0"/>
            <w:iCs w:val="0"/>
            <w:noProof/>
            <w:sz w:val="22"/>
            <w:szCs w:val="22"/>
            <w:lang w:eastAsia="fr-FR"/>
          </w:rPr>
          <w:tab/>
        </w:r>
        <w:r w:rsidRPr="00ED6DAE">
          <w:rPr>
            <w:rStyle w:val="Lienhypertexte"/>
            <w:noProof/>
          </w:rPr>
          <w:t>Changement climatique</w:t>
        </w:r>
        <w:r>
          <w:rPr>
            <w:noProof/>
            <w:webHidden/>
          </w:rPr>
          <w:tab/>
        </w:r>
        <w:r>
          <w:rPr>
            <w:noProof/>
            <w:webHidden/>
          </w:rPr>
          <w:fldChar w:fldCharType="begin"/>
        </w:r>
        <w:r>
          <w:rPr>
            <w:noProof/>
            <w:webHidden/>
          </w:rPr>
          <w:instrText xml:space="preserve"> PAGEREF _Toc127957590 \h </w:instrText>
        </w:r>
        <w:r>
          <w:rPr>
            <w:noProof/>
            <w:webHidden/>
          </w:rPr>
        </w:r>
        <w:r>
          <w:rPr>
            <w:noProof/>
            <w:webHidden/>
          </w:rPr>
          <w:fldChar w:fldCharType="separate"/>
        </w:r>
        <w:r w:rsidR="00B05C7F">
          <w:rPr>
            <w:noProof/>
            <w:webHidden/>
          </w:rPr>
          <w:t>34</w:t>
        </w:r>
        <w:r>
          <w:rPr>
            <w:noProof/>
            <w:webHidden/>
          </w:rPr>
          <w:fldChar w:fldCharType="end"/>
        </w:r>
      </w:hyperlink>
    </w:p>
    <w:p w14:paraId="4883E6C3" w14:textId="77777777" w:rsidR="006C5F2A" w:rsidRPr="00FB04F6" w:rsidRDefault="006C5F2A">
      <w:pPr>
        <w:pStyle w:val="TM3"/>
        <w:rPr>
          <w:rFonts w:eastAsia="Times New Roman" w:cs="Times New Roman"/>
          <w:i w:val="0"/>
          <w:iCs w:val="0"/>
          <w:noProof/>
          <w:sz w:val="22"/>
          <w:szCs w:val="22"/>
          <w:lang w:eastAsia="fr-FR"/>
        </w:rPr>
      </w:pPr>
      <w:hyperlink w:anchor="_Toc127957591" w:history="1">
        <w:r w:rsidRPr="00ED6DAE">
          <w:rPr>
            <w:rStyle w:val="Lienhypertexte"/>
            <w:noProof/>
          </w:rPr>
          <w:t>4.1.5.</w:t>
        </w:r>
        <w:r w:rsidRPr="00FB04F6">
          <w:rPr>
            <w:rFonts w:eastAsia="Times New Roman" w:cs="Times New Roman"/>
            <w:i w:val="0"/>
            <w:iCs w:val="0"/>
            <w:noProof/>
            <w:sz w:val="22"/>
            <w:szCs w:val="22"/>
            <w:lang w:eastAsia="fr-FR"/>
          </w:rPr>
          <w:tab/>
        </w:r>
        <w:r w:rsidRPr="00ED6DAE">
          <w:rPr>
            <w:rStyle w:val="Lienhypertexte"/>
            <w:noProof/>
          </w:rPr>
          <w:t>Relief et géomorphologie</w:t>
        </w:r>
        <w:r>
          <w:rPr>
            <w:noProof/>
            <w:webHidden/>
          </w:rPr>
          <w:tab/>
        </w:r>
        <w:r>
          <w:rPr>
            <w:noProof/>
            <w:webHidden/>
          </w:rPr>
          <w:fldChar w:fldCharType="begin"/>
        </w:r>
        <w:r>
          <w:rPr>
            <w:noProof/>
            <w:webHidden/>
          </w:rPr>
          <w:instrText xml:space="preserve"> PAGEREF _Toc127957591 \h </w:instrText>
        </w:r>
        <w:r>
          <w:rPr>
            <w:noProof/>
            <w:webHidden/>
          </w:rPr>
        </w:r>
        <w:r>
          <w:rPr>
            <w:noProof/>
            <w:webHidden/>
          </w:rPr>
          <w:fldChar w:fldCharType="separate"/>
        </w:r>
        <w:r w:rsidR="00B05C7F">
          <w:rPr>
            <w:noProof/>
            <w:webHidden/>
          </w:rPr>
          <w:t>35</w:t>
        </w:r>
        <w:r>
          <w:rPr>
            <w:noProof/>
            <w:webHidden/>
          </w:rPr>
          <w:fldChar w:fldCharType="end"/>
        </w:r>
      </w:hyperlink>
    </w:p>
    <w:p w14:paraId="0738997D" w14:textId="77777777" w:rsidR="006C5F2A" w:rsidRPr="00FB04F6" w:rsidRDefault="006C5F2A">
      <w:pPr>
        <w:pStyle w:val="TM3"/>
        <w:rPr>
          <w:rFonts w:eastAsia="Times New Roman" w:cs="Times New Roman"/>
          <w:i w:val="0"/>
          <w:iCs w:val="0"/>
          <w:noProof/>
          <w:sz w:val="22"/>
          <w:szCs w:val="22"/>
          <w:lang w:eastAsia="fr-FR"/>
        </w:rPr>
      </w:pPr>
      <w:hyperlink w:anchor="_Toc127957592" w:history="1">
        <w:r w:rsidRPr="00ED6DAE">
          <w:rPr>
            <w:rStyle w:val="Lienhypertexte"/>
            <w:noProof/>
          </w:rPr>
          <w:t>4.1.6.</w:t>
        </w:r>
        <w:r w:rsidRPr="00FB04F6">
          <w:rPr>
            <w:rFonts w:eastAsia="Times New Roman" w:cs="Times New Roman"/>
            <w:i w:val="0"/>
            <w:iCs w:val="0"/>
            <w:noProof/>
            <w:sz w:val="22"/>
            <w:szCs w:val="22"/>
            <w:lang w:eastAsia="fr-FR"/>
          </w:rPr>
          <w:tab/>
        </w:r>
        <w:r w:rsidRPr="00ED6DAE">
          <w:rPr>
            <w:rStyle w:val="Lienhypertexte"/>
            <w:noProof/>
          </w:rPr>
          <w:t>Pédologie</w:t>
        </w:r>
        <w:r>
          <w:rPr>
            <w:noProof/>
            <w:webHidden/>
          </w:rPr>
          <w:tab/>
        </w:r>
        <w:r>
          <w:rPr>
            <w:noProof/>
            <w:webHidden/>
          </w:rPr>
          <w:fldChar w:fldCharType="begin"/>
        </w:r>
        <w:r>
          <w:rPr>
            <w:noProof/>
            <w:webHidden/>
          </w:rPr>
          <w:instrText xml:space="preserve"> PAGEREF _Toc127957592 \h </w:instrText>
        </w:r>
        <w:r>
          <w:rPr>
            <w:noProof/>
            <w:webHidden/>
          </w:rPr>
        </w:r>
        <w:r>
          <w:rPr>
            <w:noProof/>
            <w:webHidden/>
          </w:rPr>
          <w:fldChar w:fldCharType="separate"/>
        </w:r>
        <w:r w:rsidR="00B05C7F">
          <w:rPr>
            <w:noProof/>
            <w:webHidden/>
          </w:rPr>
          <w:t>37</w:t>
        </w:r>
        <w:r>
          <w:rPr>
            <w:noProof/>
            <w:webHidden/>
          </w:rPr>
          <w:fldChar w:fldCharType="end"/>
        </w:r>
      </w:hyperlink>
    </w:p>
    <w:p w14:paraId="2165114D" w14:textId="77777777" w:rsidR="006C5F2A" w:rsidRPr="00FB04F6" w:rsidRDefault="006C5F2A">
      <w:pPr>
        <w:pStyle w:val="TM3"/>
        <w:rPr>
          <w:rFonts w:eastAsia="Times New Roman" w:cs="Times New Roman"/>
          <w:i w:val="0"/>
          <w:iCs w:val="0"/>
          <w:noProof/>
          <w:sz w:val="22"/>
          <w:szCs w:val="22"/>
          <w:lang w:eastAsia="fr-FR"/>
        </w:rPr>
      </w:pPr>
      <w:hyperlink w:anchor="_Toc127957593" w:history="1">
        <w:r w:rsidRPr="00ED6DAE">
          <w:rPr>
            <w:rStyle w:val="Lienhypertexte"/>
            <w:noProof/>
          </w:rPr>
          <w:t>4.1.7.</w:t>
        </w:r>
        <w:r w:rsidRPr="00FB04F6">
          <w:rPr>
            <w:rFonts w:eastAsia="Times New Roman" w:cs="Times New Roman"/>
            <w:i w:val="0"/>
            <w:iCs w:val="0"/>
            <w:noProof/>
            <w:sz w:val="22"/>
            <w:szCs w:val="22"/>
            <w:lang w:eastAsia="fr-FR"/>
          </w:rPr>
          <w:tab/>
        </w:r>
        <w:r w:rsidRPr="00ED6DAE">
          <w:rPr>
            <w:rStyle w:val="Lienhypertexte"/>
            <w:noProof/>
          </w:rPr>
          <w:t>Ressources en eau</w:t>
        </w:r>
        <w:r>
          <w:rPr>
            <w:noProof/>
            <w:webHidden/>
          </w:rPr>
          <w:tab/>
        </w:r>
        <w:r>
          <w:rPr>
            <w:noProof/>
            <w:webHidden/>
          </w:rPr>
          <w:fldChar w:fldCharType="begin"/>
        </w:r>
        <w:r>
          <w:rPr>
            <w:noProof/>
            <w:webHidden/>
          </w:rPr>
          <w:instrText xml:space="preserve"> PAGEREF _Toc127957593 \h </w:instrText>
        </w:r>
        <w:r>
          <w:rPr>
            <w:noProof/>
            <w:webHidden/>
          </w:rPr>
        </w:r>
        <w:r>
          <w:rPr>
            <w:noProof/>
            <w:webHidden/>
          </w:rPr>
          <w:fldChar w:fldCharType="separate"/>
        </w:r>
        <w:r w:rsidR="00B05C7F">
          <w:rPr>
            <w:noProof/>
            <w:webHidden/>
          </w:rPr>
          <w:t>38</w:t>
        </w:r>
        <w:r>
          <w:rPr>
            <w:noProof/>
            <w:webHidden/>
          </w:rPr>
          <w:fldChar w:fldCharType="end"/>
        </w:r>
      </w:hyperlink>
    </w:p>
    <w:p w14:paraId="3D5575FD" w14:textId="77777777" w:rsidR="006C5F2A" w:rsidRPr="00FB04F6" w:rsidRDefault="006C5F2A">
      <w:pPr>
        <w:pStyle w:val="TM2"/>
        <w:rPr>
          <w:rFonts w:eastAsia="Times New Roman" w:cs="Times New Roman"/>
          <w:smallCaps w:val="0"/>
          <w:noProof/>
          <w:sz w:val="22"/>
          <w:szCs w:val="22"/>
          <w:lang w:eastAsia="fr-FR"/>
        </w:rPr>
      </w:pPr>
      <w:hyperlink w:anchor="_Toc127957594" w:history="1">
        <w:r w:rsidRPr="00ED6DAE">
          <w:rPr>
            <w:rStyle w:val="Lienhypertexte"/>
            <w:noProof/>
          </w:rPr>
          <w:t>4.1.7.1.</w:t>
        </w:r>
        <w:r w:rsidRPr="00FB04F6">
          <w:rPr>
            <w:rFonts w:eastAsia="Times New Roman" w:cs="Times New Roman"/>
            <w:smallCaps w:val="0"/>
            <w:noProof/>
            <w:sz w:val="22"/>
            <w:szCs w:val="22"/>
            <w:lang w:eastAsia="fr-FR"/>
          </w:rPr>
          <w:tab/>
        </w:r>
        <w:r w:rsidRPr="00ED6DAE">
          <w:rPr>
            <w:rStyle w:val="Lienhypertexte"/>
            <w:noProof/>
          </w:rPr>
          <w:t>Rivières</w:t>
        </w:r>
        <w:r>
          <w:rPr>
            <w:noProof/>
            <w:webHidden/>
          </w:rPr>
          <w:tab/>
        </w:r>
        <w:r>
          <w:rPr>
            <w:noProof/>
            <w:webHidden/>
          </w:rPr>
          <w:fldChar w:fldCharType="begin"/>
        </w:r>
        <w:r>
          <w:rPr>
            <w:noProof/>
            <w:webHidden/>
          </w:rPr>
          <w:instrText xml:space="preserve"> PAGEREF _Toc127957594 \h </w:instrText>
        </w:r>
        <w:r>
          <w:rPr>
            <w:noProof/>
            <w:webHidden/>
          </w:rPr>
        </w:r>
        <w:r>
          <w:rPr>
            <w:noProof/>
            <w:webHidden/>
          </w:rPr>
          <w:fldChar w:fldCharType="separate"/>
        </w:r>
        <w:r w:rsidR="00B05C7F">
          <w:rPr>
            <w:noProof/>
            <w:webHidden/>
          </w:rPr>
          <w:t>38</w:t>
        </w:r>
        <w:r>
          <w:rPr>
            <w:noProof/>
            <w:webHidden/>
          </w:rPr>
          <w:fldChar w:fldCharType="end"/>
        </w:r>
      </w:hyperlink>
    </w:p>
    <w:p w14:paraId="129C3B89" w14:textId="77777777" w:rsidR="006C5F2A" w:rsidRPr="00FB04F6" w:rsidRDefault="006C5F2A">
      <w:pPr>
        <w:pStyle w:val="TM2"/>
        <w:rPr>
          <w:rFonts w:eastAsia="Times New Roman" w:cs="Times New Roman"/>
          <w:smallCaps w:val="0"/>
          <w:noProof/>
          <w:sz w:val="22"/>
          <w:szCs w:val="22"/>
          <w:lang w:eastAsia="fr-FR"/>
        </w:rPr>
      </w:pPr>
      <w:hyperlink w:anchor="_Toc127957595" w:history="1">
        <w:r w:rsidRPr="00ED6DAE">
          <w:rPr>
            <w:rStyle w:val="Lienhypertexte"/>
            <w:noProof/>
          </w:rPr>
          <w:t>4.1.7.2.</w:t>
        </w:r>
        <w:r w:rsidRPr="00FB04F6">
          <w:rPr>
            <w:rFonts w:eastAsia="Times New Roman" w:cs="Times New Roman"/>
            <w:smallCaps w:val="0"/>
            <w:noProof/>
            <w:sz w:val="22"/>
            <w:szCs w:val="22"/>
            <w:lang w:eastAsia="fr-FR"/>
          </w:rPr>
          <w:tab/>
        </w:r>
        <w:r w:rsidRPr="00ED6DAE">
          <w:rPr>
            <w:rStyle w:val="Lienhypertexte"/>
            <w:noProof/>
          </w:rPr>
          <w:t>Lacs et marais</w:t>
        </w:r>
        <w:r>
          <w:rPr>
            <w:noProof/>
            <w:webHidden/>
          </w:rPr>
          <w:tab/>
        </w:r>
        <w:r>
          <w:rPr>
            <w:noProof/>
            <w:webHidden/>
          </w:rPr>
          <w:fldChar w:fldCharType="begin"/>
        </w:r>
        <w:r>
          <w:rPr>
            <w:noProof/>
            <w:webHidden/>
          </w:rPr>
          <w:instrText xml:space="preserve"> PAGEREF _Toc127957595 \h </w:instrText>
        </w:r>
        <w:r>
          <w:rPr>
            <w:noProof/>
            <w:webHidden/>
          </w:rPr>
        </w:r>
        <w:r>
          <w:rPr>
            <w:noProof/>
            <w:webHidden/>
          </w:rPr>
          <w:fldChar w:fldCharType="separate"/>
        </w:r>
        <w:r w:rsidR="00B05C7F">
          <w:rPr>
            <w:noProof/>
            <w:webHidden/>
          </w:rPr>
          <w:t>40</w:t>
        </w:r>
        <w:r>
          <w:rPr>
            <w:noProof/>
            <w:webHidden/>
          </w:rPr>
          <w:fldChar w:fldCharType="end"/>
        </w:r>
      </w:hyperlink>
    </w:p>
    <w:p w14:paraId="0EA4BB55" w14:textId="77777777" w:rsidR="006C5F2A" w:rsidRPr="00FB04F6" w:rsidRDefault="006C5F2A">
      <w:pPr>
        <w:pStyle w:val="TM2"/>
        <w:rPr>
          <w:rFonts w:eastAsia="Times New Roman" w:cs="Times New Roman"/>
          <w:smallCaps w:val="0"/>
          <w:noProof/>
          <w:sz w:val="22"/>
          <w:szCs w:val="22"/>
          <w:lang w:eastAsia="fr-FR"/>
        </w:rPr>
      </w:pPr>
      <w:hyperlink w:anchor="_Toc127957596" w:history="1">
        <w:r w:rsidRPr="00ED6DAE">
          <w:rPr>
            <w:rStyle w:val="Lienhypertexte"/>
            <w:noProof/>
          </w:rPr>
          <w:t>4.1.7.3.</w:t>
        </w:r>
        <w:r w:rsidRPr="00FB04F6">
          <w:rPr>
            <w:rFonts w:eastAsia="Times New Roman" w:cs="Times New Roman"/>
            <w:smallCaps w:val="0"/>
            <w:noProof/>
            <w:sz w:val="22"/>
            <w:szCs w:val="22"/>
            <w:lang w:eastAsia="fr-FR"/>
          </w:rPr>
          <w:tab/>
        </w:r>
        <w:r w:rsidRPr="00ED6DAE">
          <w:rPr>
            <w:rStyle w:val="Lienhypertexte"/>
            <w:noProof/>
          </w:rPr>
          <w:t>Eaux souterraines</w:t>
        </w:r>
        <w:r>
          <w:rPr>
            <w:noProof/>
            <w:webHidden/>
          </w:rPr>
          <w:tab/>
        </w:r>
        <w:r>
          <w:rPr>
            <w:noProof/>
            <w:webHidden/>
          </w:rPr>
          <w:fldChar w:fldCharType="begin"/>
        </w:r>
        <w:r>
          <w:rPr>
            <w:noProof/>
            <w:webHidden/>
          </w:rPr>
          <w:instrText xml:space="preserve"> PAGEREF _Toc127957596 \h </w:instrText>
        </w:r>
        <w:r>
          <w:rPr>
            <w:noProof/>
            <w:webHidden/>
          </w:rPr>
        </w:r>
        <w:r>
          <w:rPr>
            <w:noProof/>
            <w:webHidden/>
          </w:rPr>
          <w:fldChar w:fldCharType="separate"/>
        </w:r>
        <w:r w:rsidR="00B05C7F">
          <w:rPr>
            <w:noProof/>
            <w:webHidden/>
          </w:rPr>
          <w:t>40</w:t>
        </w:r>
        <w:r>
          <w:rPr>
            <w:noProof/>
            <w:webHidden/>
          </w:rPr>
          <w:fldChar w:fldCharType="end"/>
        </w:r>
      </w:hyperlink>
    </w:p>
    <w:p w14:paraId="60B36712" w14:textId="77777777" w:rsidR="006C5F2A" w:rsidRPr="00FB04F6" w:rsidRDefault="006C5F2A">
      <w:pPr>
        <w:pStyle w:val="TM2"/>
        <w:rPr>
          <w:rFonts w:eastAsia="Times New Roman" w:cs="Times New Roman"/>
          <w:smallCaps w:val="0"/>
          <w:noProof/>
          <w:sz w:val="22"/>
          <w:szCs w:val="22"/>
          <w:lang w:eastAsia="fr-FR"/>
        </w:rPr>
      </w:pPr>
      <w:hyperlink w:anchor="_Toc127957597" w:history="1">
        <w:r w:rsidRPr="00ED6DAE">
          <w:rPr>
            <w:rStyle w:val="Lienhypertexte"/>
            <w:noProof/>
          </w:rPr>
          <w:t>4.2.</w:t>
        </w:r>
        <w:r w:rsidRPr="00FB04F6">
          <w:rPr>
            <w:rFonts w:eastAsia="Times New Roman" w:cs="Times New Roman"/>
            <w:smallCaps w:val="0"/>
            <w:noProof/>
            <w:sz w:val="22"/>
            <w:szCs w:val="22"/>
            <w:lang w:eastAsia="fr-FR"/>
          </w:rPr>
          <w:tab/>
        </w:r>
        <w:r w:rsidRPr="00ED6DAE">
          <w:rPr>
            <w:rStyle w:val="Lienhypertexte"/>
            <w:noProof/>
          </w:rPr>
          <w:t>Milieu biologique</w:t>
        </w:r>
        <w:r>
          <w:rPr>
            <w:noProof/>
            <w:webHidden/>
          </w:rPr>
          <w:tab/>
        </w:r>
        <w:r>
          <w:rPr>
            <w:noProof/>
            <w:webHidden/>
          </w:rPr>
          <w:fldChar w:fldCharType="begin"/>
        </w:r>
        <w:r>
          <w:rPr>
            <w:noProof/>
            <w:webHidden/>
          </w:rPr>
          <w:instrText xml:space="preserve"> PAGEREF _Toc127957597 \h </w:instrText>
        </w:r>
        <w:r>
          <w:rPr>
            <w:noProof/>
            <w:webHidden/>
          </w:rPr>
        </w:r>
        <w:r>
          <w:rPr>
            <w:noProof/>
            <w:webHidden/>
          </w:rPr>
          <w:fldChar w:fldCharType="separate"/>
        </w:r>
        <w:r w:rsidR="00B05C7F">
          <w:rPr>
            <w:noProof/>
            <w:webHidden/>
          </w:rPr>
          <w:t>40</w:t>
        </w:r>
        <w:r>
          <w:rPr>
            <w:noProof/>
            <w:webHidden/>
          </w:rPr>
          <w:fldChar w:fldCharType="end"/>
        </w:r>
      </w:hyperlink>
    </w:p>
    <w:p w14:paraId="5D860A69" w14:textId="77777777" w:rsidR="006C5F2A" w:rsidRPr="00FB04F6" w:rsidRDefault="006C5F2A">
      <w:pPr>
        <w:pStyle w:val="TM3"/>
        <w:rPr>
          <w:rFonts w:eastAsia="Times New Roman" w:cs="Times New Roman"/>
          <w:i w:val="0"/>
          <w:iCs w:val="0"/>
          <w:noProof/>
          <w:sz w:val="22"/>
          <w:szCs w:val="22"/>
          <w:lang w:eastAsia="fr-FR"/>
        </w:rPr>
      </w:pPr>
      <w:hyperlink w:anchor="_Toc127957598" w:history="1">
        <w:r w:rsidRPr="00ED6DAE">
          <w:rPr>
            <w:rStyle w:val="Lienhypertexte"/>
            <w:noProof/>
          </w:rPr>
          <w:t>4.2.1.</w:t>
        </w:r>
        <w:r w:rsidRPr="00FB04F6">
          <w:rPr>
            <w:rFonts w:eastAsia="Times New Roman" w:cs="Times New Roman"/>
            <w:i w:val="0"/>
            <w:iCs w:val="0"/>
            <w:noProof/>
            <w:sz w:val="22"/>
            <w:szCs w:val="22"/>
            <w:lang w:eastAsia="fr-FR"/>
          </w:rPr>
          <w:tab/>
        </w:r>
        <w:r w:rsidRPr="00ED6DAE">
          <w:rPr>
            <w:rStyle w:val="Lienhypertexte"/>
            <w:noProof/>
          </w:rPr>
          <w:t>Habitat et Végétation</w:t>
        </w:r>
        <w:r>
          <w:rPr>
            <w:noProof/>
            <w:webHidden/>
          </w:rPr>
          <w:tab/>
        </w:r>
        <w:r>
          <w:rPr>
            <w:noProof/>
            <w:webHidden/>
          </w:rPr>
          <w:fldChar w:fldCharType="begin"/>
        </w:r>
        <w:r>
          <w:rPr>
            <w:noProof/>
            <w:webHidden/>
          </w:rPr>
          <w:instrText xml:space="preserve"> PAGEREF _Toc127957598 \h </w:instrText>
        </w:r>
        <w:r>
          <w:rPr>
            <w:noProof/>
            <w:webHidden/>
          </w:rPr>
        </w:r>
        <w:r>
          <w:rPr>
            <w:noProof/>
            <w:webHidden/>
          </w:rPr>
          <w:fldChar w:fldCharType="separate"/>
        </w:r>
        <w:r w:rsidR="00B05C7F">
          <w:rPr>
            <w:noProof/>
            <w:webHidden/>
          </w:rPr>
          <w:t>40</w:t>
        </w:r>
        <w:r>
          <w:rPr>
            <w:noProof/>
            <w:webHidden/>
          </w:rPr>
          <w:fldChar w:fldCharType="end"/>
        </w:r>
      </w:hyperlink>
    </w:p>
    <w:p w14:paraId="7A4A350F" w14:textId="77777777" w:rsidR="006C5F2A" w:rsidRPr="00FB04F6" w:rsidRDefault="006C5F2A">
      <w:pPr>
        <w:pStyle w:val="TM2"/>
        <w:rPr>
          <w:rFonts w:eastAsia="Times New Roman" w:cs="Times New Roman"/>
          <w:smallCaps w:val="0"/>
          <w:noProof/>
          <w:sz w:val="22"/>
          <w:szCs w:val="22"/>
          <w:lang w:eastAsia="fr-FR"/>
        </w:rPr>
      </w:pPr>
      <w:hyperlink w:anchor="_Toc127957599" w:history="1">
        <w:r w:rsidRPr="00ED6DAE">
          <w:rPr>
            <w:rStyle w:val="Lienhypertexte"/>
            <w:noProof/>
          </w:rPr>
          <w:t>4.2.1.1.</w:t>
        </w:r>
        <w:r w:rsidRPr="00FB04F6">
          <w:rPr>
            <w:rFonts w:eastAsia="Times New Roman" w:cs="Times New Roman"/>
            <w:smallCaps w:val="0"/>
            <w:noProof/>
            <w:sz w:val="22"/>
            <w:szCs w:val="22"/>
            <w:lang w:eastAsia="fr-FR"/>
          </w:rPr>
          <w:tab/>
        </w:r>
        <w:r w:rsidRPr="00ED6DAE">
          <w:rPr>
            <w:rStyle w:val="Lienhypertexte"/>
            <w:noProof/>
          </w:rPr>
          <w:t>Habitat naturel</w:t>
        </w:r>
        <w:r>
          <w:rPr>
            <w:noProof/>
            <w:webHidden/>
          </w:rPr>
          <w:tab/>
        </w:r>
        <w:r>
          <w:rPr>
            <w:noProof/>
            <w:webHidden/>
          </w:rPr>
          <w:fldChar w:fldCharType="begin"/>
        </w:r>
        <w:r>
          <w:rPr>
            <w:noProof/>
            <w:webHidden/>
          </w:rPr>
          <w:instrText xml:space="preserve"> PAGEREF _Toc127957599 \h </w:instrText>
        </w:r>
        <w:r>
          <w:rPr>
            <w:noProof/>
            <w:webHidden/>
          </w:rPr>
        </w:r>
        <w:r>
          <w:rPr>
            <w:noProof/>
            <w:webHidden/>
          </w:rPr>
          <w:fldChar w:fldCharType="separate"/>
        </w:r>
        <w:r w:rsidR="00B05C7F">
          <w:rPr>
            <w:noProof/>
            <w:webHidden/>
          </w:rPr>
          <w:t>40</w:t>
        </w:r>
        <w:r>
          <w:rPr>
            <w:noProof/>
            <w:webHidden/>
          </w:rPr>
          <w:fldChar w:fldCharType="end"/>
        </w:r>
      </w:hyperlink>
    </w:p>
    <w:p w14:paraId="0BE27544" w14:textId="77777777" w:rsidR="006C5F2A" w:rsidRPr="00FB04F6" w:rsidRDefault="006C5F2A">
      <w:pPr>
        <w:pStyle w:val="TM2"/>
        <w:rPr>
          <w:rFonts w:eastAsia="Times New Roman" w:cs="Times New Roman"/>
          <w:smallCaps w:val="0"/>
          <w:noProof/>
          <w:sz w:val="22"/>
          <w:szCs w:val="22"/>
          <w:lang w:eastAsia="fr-FR"/>
        </w:rPr>
      </w:pPr>
      <w:hyperlink w:anchor="_Toc127957600" w:history="1">
        <w:r w:rsidRPr="00ED6DAE">
          <w:rPr>
            <w:rStyle w:val="Lienhypertexte"/>
            <w:noProof/>
          </w:rPr>
          <w:t>4.2.1.2.</w:t>
        </w:r>
        <w:r w:rsidRPr="00FB04F6">
          <w:rPr>
            <w:rFonts w:eastAsia="Times New Roman" w:cs="Times New Roman"/>
            <w:smallCaps w:val="0"/>
            <w:noProof/>
            <w:sz w:val="22"/>
            <w:szCs w:val="22"/>
            <w:lang w:eastAsia="fr-FR"/>
          </w:rPr>
          <w:tab/>
        </w:r>
        <w:r w:rsidRPr="00ED6DAE">
          <w:rPr>
            <w:rStyle w:val="Lienhypertexte"/>
            <w:noProof/>
          </w:rPr>
          <w:t>Habitats modifiés</w:t>
        </w:r>
        <w:r>
          <w:rPr>
            <w:noProof/>
            <w:webHidden/>
          </w:rPr>
          <w:tab/>
        </w:r>
        <w:r>
          <w:rPr>
            <w:noProof/>
            <w:webHidden/>
          </w:rPr>
          <w:fldChar w:fldCharType="begin"/>
        </w:r>
        <w:r>
          <w:rPr>
            <w:noProof/>
            <w:webHidden/>
          </w:rPr>
          <w:instrText xml:space="preserve"> PAGEREF _Toc127957600 \h </w:instrText>
        </w:r>
        <w:r>
          <w:rPr>
            <w:noProof/>
            <w:webHidden/>
          </w:rPr>
        </w:r>
        <w:r>
          <w:rPr>
            <w:noProof/>
            <w:webHidden/>
          </w:rPr>
          <w:fldChar w:fldCharType="separate"/>
        </w:r>
        <w:r w:rsidR="00B05C7F">
          <w:rPr>
            <w:noProof/>
            <w:webHidden/>
          </w:rPr>
          <w:t>45</w:t>
        </w:r>
        <w:r>
          <w:rPr>
            <w:noProof/>
            <w:webHidden/>
          </w:rPr>
          <w:fldChar w:fldCharType="end"/>
        </w:r>
      </w:hyperlink>
    </w:p>
    <w:p w14:paraId="09B96C13" w14:textId="77777777" w:rsidR="006C5F2A" w:rsidRPr="00FB04F6" w:rsidRDefault="006C5F2A">
      <w:pPr>
        <w:pStyle w:val="TM3"/>
        <w:rPr>
          <w:rFonts w:eastAsia="Times New Roman" w:cs="Times New Roman"/>
          <w:i w:val="0"/>
          <w:iCs w:val="0"/>
          <w:noProof/>
          <w:sz w:val="22"/>
          <w:szCs w:val="22"/>
          <w:lang w:eastAsia="fr-FR"/>
        </w:rPr>
      </w:pPr>
      <w:hyperlink w:anchor="_Toc127957601" w:history="1">
        <w:r w:rsidRPr="00ED6DAE">
          <w:rPr>
            <w:rStyle w:val="Lienhypertexte"/>
            <w:noProof/>
          </w:rPr>
          <w:t>4.2.2.</w:t>
        </w:r>
        <w:r w:rsidRPr="00FB04F6">
          <w:rPr>
            <w:rFonts w:eastAsia="Times New Roman" w:cs="Times New Roman"/>
            <w:i w:val="0"/>
            <w:iCs w:val="0"/>
            <w:noProof/>
            <w:sz w:val="22"/>
            <w:szCs w:val="22"/>
            <w:lang w:eastAsia="fr-FR"/>
          </w:rPr>
          <w:tab/>
        </w:r>
        <w:r w:rsidRPr="00ED6DAE">
          <w:rPr>
            <w:rStyle w:val="Lienhypertexte"/>
            <w:noProof/>
          </w:rPr>
          <w:t>Flore et Faune</w:t>
        </w:r>
        <w:r>
          <w:rPr>
            <w:noProof/>
            <w:webHidden/>
          </w:rPr>
          <w:tab/>
        </w:r>
        <w:r>
          <w:rPr>
            <w:noProof/>
            <w:webHidden/>
          </w:rPr>
          <w:fldChar w:fldCharType="begin"/>
        </w:r>
        <w:r>
          <w:rPr>
            <w:noProof/>
            <w:webHidden/>
          </w:rPr>
          <w:instrText xml:space="preserve"> PAGEREF _Toc127957601 \h </w:instrText>
        </w:r>
        <w:r>
          <w:rPr>
            <w:noProof/>
            <w:webHidden/>
          </w:rPr>
        </w:r>
        <w:r>
          <w:rPr>
            <w:noProof/>
            <w:webHidden/>
          </w:rPr>
          <w:fldChar w:fldCharType="separate"/>
        </w:r>
        <w:r w:rsidR="00B05C7F">
          <w:rPr>
            <w:noProof/>
            <w:webHidden/>
          </w:rPr>
          <w:t>47</w:t>
        </w:r>
        <w:r>
          <w:rPr>
            <w:noProof/>
            <w:webHidden/>
          </w:rPr>
          <w:fldChar w:fldCharType="end"/>
        </w:r>
      </w:hyperlink>
    </w:p>
    <w:p w14:paraId="2973DB7D" w14:textId="77777777" w:rsidR="006C5F2A" w:rsidRPr="00FB04F6" w:rsidRDefault="006C5F2A">
      <w:pPr>
        <w:pStyle w:val="TM2"/>
        <w:rPr>
          <w:rFonts w:eastAsia="Times New Roman" w:cs="Times New Roman"/>
          <w:smallCaps w:val="0"/>
          <w:noProof/>
          <w:sz w:val="22"/>
          <w:szCs w:val="22"/>
          <w:lang w:eastAsia="fr-FR"/>
        </w:rPr>
      </w:pPr>
      <w:hyperlink w:anchor="_Toc127957602" w:history="1">
        <w:r w:rsidRPr="00ED6DAE">
          <w:rPr>
            <w:rStyle w:val="Lienhypertexte"/>
            <w:noProof/>
          </w:rPr>
          <w:t>4.2.2.1.</w:t>
        </w:r>
        <w:r w:rsidRPr="00FB04F6">
          <w:rPr>
            <w:rFonts w:eastAsia="Times New Roman" w:cs="Times New Roman"/>
            <w:smallCaps w:val="0"/>
            <w:noProof/>
            <w:sz w:val="22"/>
            <w:szCs w:val="22"/>
            <w:lang w:eastAsia="fr-FR"/>
          </w:rPr>
          <w:tab/>
        </w:r>
        <w:r w:rsidRPr="00ED6DAE">
          <w:rPr>
            <w:rStyle w:val="Lienhypertexte"/>
            <w:noProof/>
          </w:rPr>
          <w:t>Espèces floristiques</w:t>
        </w:r>
        <w:r>
          <w:rPr>
            <w:noProof/>
            <w:webHidden/>
          </w:rPr>
          <w:tab/>
        </w:r>
        <w:r>
          <w:rPr>
            <w:noProof/>
            <w:webHidden/>
          </w:rPr>
          <w:fldChar w:fldCharType="begin"/>
        </w:r>
        <w:r>
          <w:rPr>
            <w:noProof/>
            <w:webHidden/>
          </w:rPr>
          <w:instrText xml:space="preserve"> PAGEREF _Toc127957602 \h </w:instrText>
        </w:r>
        <w:r>
          <w:rPr>
            <w:noProof/>
            <w:webHidden/>
          </w:rPr>
        </w:r>
        <w:r>
          <w:rPr>
            <w:noProof/>
            <w:webHidden/>
          </w:rPr>
          <w:fldChar w:fldCharType="separate"/>
        </w:r>
        <w:r w:rsidR="00B05C7F">
          <w:rPr>
            <w:noProof/>
            <w:webHidden/>
          </w:rPr>
          <w:t>47</w:t>
        </w:r>
        <w:r>
          <w:rPr>
            <w:noProof/>
            <w:webHidden/>
          </w:rPr>
          <w:fldChar w:fldCharType="end"/>
        </w:r>
      </w:hyperlink>
    </w:p>
    <w:p w14:paraId="5CB801EE" w14:textId="77777777" w:rsidR="006C5F2A" w:rsidRPr="00FB04F6" w:rsidRDefault="006C5F2A">
      <w:pPr>
        <w:pStyle w:val="TM2"/>
        <w:rPr>
          <w:rFonts w:eastAsia="Times New Roman" w:cs="Times New Roman"/>
          <w:smallCaps w:val="0"/>
          <w:noProof/>
          <w:sz w:val="22"/>
          <w:szCs w:val="22"/>
          <w:lang w:eastAsia="fr-FR"/>
        </w:rPr>
      </w:pPr>
      <w:hyperlink w:anchor="_Toc127957603" w:history="1">
        <w:r w:rsidRPr="00ED6DAE">
          <w:rPr>
            <w:rStyle w:val="Lienhypertexte"/>
            <w:noProof/>
          </w:rPr>
          <w:t>4.2.2.2.</w:t>
        </w:r>
        <w:r w:rsidRPr="00FB04F6">
          <w:rPr>
            <w:rFonts w:eastAsia="Times New Roman" w:cs="Times New Roman"/>
            <w:smallCaps w:val="0"/>
            <w:noProof/>
            <w:sz w:val="22"/>
            <w:szCs w:val="22"/>
            <w:lang w:eastAsia="fr-FR"/>
          </w:rPr>
          <w:tab/>
        </w:r>
        <w:r w:rsidRPr="00ED6DAE">
          <w:rPr>
            <w:rStyle w:val="Lienhypertexte"/>
            <w:noProof/>
          </w:rPr>
          <w:t>Espèces faunistiques</w:t>
        </w:r>
        <w:r>
          <w:rPr>
            <w:noProof/>
            <w:webHidden/>
          </w:rPr>
          <w:tab/>
        </w:r>
        <w:r>
          <w:rPr>
            <w:noProof/>
            <w:webHidden/>
          </w:rPr>
          <w:fldChar w:fldCharType="begin"/>
        </w:r>
        <w:r>
          <w:rPr>
            <w:noProof/>
            <w:webHidden/>
          </w:rPr>
          <w:instrText xml:space="preserve"> PAGEREF _Toc127957603 \h </w:instrText>
        </w:r>
        <w:r>
          <w:rPr>
            <w:noProof/>
            <w:webHidden/>
          </w:rPr>
        </w:r>
        <w:r>
          <w:rPr>
            <w:noProof/>
            <w:webHidden/>
          </w:rPr>
          <w:fldChar w:fldCharType="separate"/>
        </w:r>
        <w:r w:rsidR="00B05C7F">
          <w:rPr>
            <w:noProof/>
            <w:webHidden/>
          </w:rPr>
          <w:t>48</w:t>
        </w:r>
        <w:r>
          <w:rPr>
            <w:noProof/>
            <w:webHidden/>
          </w:rPr>
          <w:fldChar w:fldCharType="end"/>
        </w:r>
      </w:hyperlink>
    </w:p>
    <w:p w14:paraId="1A2EF828" w14:textId="77777777" w:rsidR="006C5F2A" w:rsidRPr="00FB04F6" w:rsidRDefault="006C5F2A">
      <w:pPr>
        <w:pStyle w:val="TM2"/>
        <w:rPr>
          <w:rFonts w:eastAsia="Times New Roman" w:cs="Times New Roman"/>
          <w:smallCaps w:val="0"/>
          <w:noProof/>
          <w:sz w:val="22"/>
          <w:szCs w:val="22"/>
          <w:lang w:eastAsia="fr-FR"/>
        </w:rPr>
      </w:pPr>
      <w:hyperlink w:anchor="_Toc127957604" w:history="1">
        <w:r w:rsidRPr="00ED6DAE">
          <w:rPr>
            <w:rStyle w:val="Lienhypertexte"/>
            <w:noProof/>
          </w:rPr>
          <w:t>4.3.</w:t>
        </w:r>
        <w:r w:rsidRPr="00FB04F6">
          <w:rPr>
            <w:rFonts w:eastAsia="Times New Roman" w:cs="Times New Roman"/>
            <w:smallCaps w:val="0"/>
            <w:noProof/>
            <w:sz w:val="22"/>
            <w:szCs w:val="22"/>
            <w:lang w:eastAsia="fr-FR"/>
          </w:rPr>
          <w:tab/>
        </w:r>
        <w:r w:rsidRPr="00ED6DAE">
          <w:rPr>
            <w:rStyle w:val="Lienhypertexte"/>
            <w:noProof/>
          </w:rPr>
          <w:t>Milieu Humain</w:t>
        </w:r>
        <w:r>
          <w:rPr>
            <w:noProof/>
            <w:webHidden/>
          </w:rPr>
          <w:tab/>
        </w:r>
        <w:r>
          <w:rPr>
            <w:noProof/>
            <w:webHidden/>
          </w:rPr>
          <w:fldChar w:fldCharType="begin"/>
        </w:r>
        <w:r>
          <w:rPr>
            <w:noProof/>
            <w:webHidden/>
          </w:rPr>
          <w:instrText xml:space="preserve"> PAGEREF _Toc127957604 \h </w:instrText>
        </w:r>
        <w:r>
          <w:rPr>
            <w:noProof/>
            <w:webHidden/>
          </w:rPr>
        </w:r>
        <w:r>
          <w:rPr>
            <w:noProof/>
            <w:webHidden/>
          </w:rPr>
          <w:fldChar w:fldCharType="separate"/>
        </w:r>
        <w:r w:rsidR="00B05C7F">
          <w:rPr>
            <w:noProof/>
            <w:webHidden/>
          </w:rPr>
          <w:t>50</w:t>
        </w:r>
        <w:r>
          <w:rPr>
            <w:noProof/>
            <w:webHidden/>
          </w:rPr>
          <w:fldChar w:fldCharType="end"/>
        </w:r>
      </w:hyperlink>
    </w:p>
    <w:p w14:paraId="16F2D134" w14:textId="77777777" w:rsidR="006C5F2A" w:rsidRPr="00FB04F6" w:rsidRDefault="006C5F2A">
      <w:pPr>
        <w:pStyle w:val="TM3"/>
        <w:rPr>
          <w:rFonts w:eastAsia="Times New Roman" w:cs="Times New Roman"/>
          <w:i w:val="0"/>
          <w:iCs w:val="0"/>
          <w:noProof/>
          <w:sz w:val="22"/>
          <w:szCs w:val="22"/>
          <w:lang w:eastAsia="fr-FR"/>
        </w:rPr>
      </w:pPr>
      <w:hyperlink w:anchor="_Toc127957605" w:history="1">
        <w:r w:rsidRPr="00ED6DAE">
          <w:rPr>
            <w:rStyle w:val="Lienhypertexte"/>
            <w:noProof/>
          </w:rPr>
          <w:t>4.3.1.</w:t>
        </w:r>
        <w:r w:rsidRPr="00FB04F6">
          <w:rPr>
            <w:rFonts w:eastAsia="Times New Roman" w:cs="Times New Roman"/>
            <w:i w:val="0"/>
            <w:iCs w:val="0"/>
            <w:noProof/>
            <w:sz w:val="22"/>
            <w:szCs w:val="22"/>
            <w:lang w:eastAsia="fr-FR"/>
          </w:rPr>
          <w:tab/>
        </w:r>
        <w:r w:rsidRPr="00ED6DAE">
          <w:rPr>
            <w:rStyle w:val="Lienhypertexte"/>
            <w:noProof/>
          </w:rPr>
          <w:t>Localisation</w:t>
        </w:r>
        <w:r>
          <w:rPr>
            <w:noProof/>
            <w:webHidden/>
          </w:rPr>
          <w:tab/>
        </w:r>
        <w:r>
          <w:rPr>
            <w:noProof/>
            <w:webHidden/>
          </w:rPr>
          <w:fldChar w:fldCharType="begin"/>
        </w:r>
        <w:r>
          <w:rPr>
            <w:noProof/>
            <w:webHidden/>
          </w:rPr>
          <w:instrText xml:space="preserve"> PAGEREF _Toc127957605 \h </w:instrText>
        </w:r>
        <w:r>
          <w:rPr>
            <w:noProof/>
            <w:webHidden/>
          </w:rPr>
        </w:r>
        <w:r>
          <w:rPr>
            <w:noProof/>
            <w:webHidden/>
          </w:rPr>
          <w:fldChar w:fldCharType="separate"/>
        </w:r>
        <w:r w:rsidR="00B05C7F">
          <w:rPr>
            <w:noProof/>
            <w:webHidden/>
          </w:rPr>
          <w:t>50</w:t>
        </w:r>
        <w:r>
          <w:rPr>
            <w:noProof/>
            <w:webHidden/>
          </w:rPr>
          <w:fldChar w:fldCharType="end"/>
        </w:r>
      </w:hyperlink>
    </w:p>
    <w:p w14:paraId="7C5073FB" w14:textId="77777777" w:rsidR="006C5F2A" w:rsidRPr="00FB04F6" w:rsidRDefault="006C5F2A">
      <w:pPr>
        <w:pStyle w:val="TM3"/>
        <w:rPr>
          <w:rFonts w:eastAsia="Times New Roman" w:cs="Times New Roman"/>
          <w:i w:val="0"/>
          <w:iCs w:val="0"/>
          <w:noProof/>
          <w:sz w:val="22"/>
          <w:szCs w:val="22"/>
          <w:lang w:eastAsia="fr-FR"/>
        </w:rPr>
      </w:pPr>
      <w:hyperlink w:anchor="_Toc127957606" w:history="1">
        <w:r w:rsidRPr="00ED6DAE">
          <w:rPr>
            <w:rStyle w:val="Lienhypertexte"/>
            <w:noProof/>
          </w:rPr>
          <w:t>4.3.2.</w:t>
        </w:r>
        <w:r w:rsidRPr="00FB04F6">
          <w:rPr>
            <w:rFonts w:eastAsia="Times New Roman" w:cs="Times New Roman"/>
            <w:i w:val="0"/>
            <w:iCs w:val="0"/>
            <w:noProof/>
            <w:sz w:val="22"/>
            <w:szCs w:val="22"/>
            <w:lang w:eastAsia="fr-FR"/>
          </w:rPr>
          <w:tab/>
        </w:r>
        <w:r w:rsidRPr="00ED6DAE">
          <w:rPr>
            <w:rStyle w:val="Lienhypertexte"/>
            <w:noProof/>
          </w:rPr>
          <w:t>Aspect socio-démographique</w:t>
        </w:r>
        <w:r>
          <w:rPr>
            <w:noProof/>
            <w:webHidden/>
          </w:rPr>
          <w:tab/>
        </w:r>
        <w:r>
          <w:rPr>
            <w:noProof/>
            <w:webHidden/>
          </w:rPr>
          <w:fldChar w:fldCharType="begin"/>
        </w:r>
        <w:r>
          <w:rPr>
            <w:noProof/>
            <w:webHidden/>
          </w:rPr>
          <w:instrText xml:space="preserve"> PAGEREF _Toc127957606 \h </w:instrText>
        </w:r>
        <w:r>
          <w:rPr>
            <w:noProof/>
            <w:webHidden/>
          </w:rPr>
        </w:r>
        <w:r>
          <w:rPr>
            <w:noProof/>
            <w:webHidden/>
          </w:rPr>
          <w:fldChar w:fldCharType="separate"/>
        </w:r>
        <w:r w:rsidR="00B05C7F">
          <w:rPr>
            <w:noProof/>
            <w:webHidden/>
          </w:rPr>
          <w:t>51</w:t>
        </w:r>
        <w:r>
          <w:rPr>
            <w:noProof/>
            <w:webHidden/>
          </w:rPr>
          <w:fldChar w:fldCharType="end"/>
        </w:r>
      </w:hyperlink>
    </w:p>
    <w:p w14:paraId="357E57F3" w14:textId="77777777" w:rsidR="006C5F2A" w:rsidRPr="00FB04F6" w:rsidRDefault="006C5F2A">
      <w:pPr>
        <w:pStyle w:val="TM2"/>
        <w:rPr>
          <w:rFonts w:eastAsia="Times New Roman" w:cs="Times New Roman"/>
          <w:smallCaps w:val="0"/>
          <w:noProof/>
          <w:sz w:val="22"/>
          <w:szCs w:val="22"/>
          <w:lang w:eastAsia="fr-FR"/>
        </w:rPr>
      </w:pPr>
      <w:hyperlink w:anchor="_Toc127957607" w:history="1">
        <w:r w:rsidRPr="00ED6DAE">
          <w:rPr>
            <w:rStyle w:val="Lienhypertexte"/>
            <w:noProof/>
          </w:rPr>
          <w:t>4.3.2.1.</w:t>
        </w:r>
        <w:r w:rsidRPr="00FB04F6">
          <w:rPr>
            <w:rFonts w:eastAsia="Times New Roman" w:cs="Times New Roman"/>
            <w:smallCaps w:val="0"/>
            <w:noProof/>
            <w:sz w:val="22"/>
            <w:szCs w:val="22"/>
            <w:lang w:eastAsia="fr-FR"/>
          </w:rPr>
          <w:tab/>
        </w:r>
        <w:r w:rsidRPr="00ED6DAE">
          <w:rPr>
            <w:rStyle w:val="Lienhypertexte"/>
            <w:noProof/>
          </w:rPr>
          <w:t>Démographie</w:t>
        </w:r>
        <w:r>
          <w:rPr>
            <w:noProof/>
            <w:webHidden/>
          </w:rPr>
          <w:tab/>
        </w:r>
        <w:r>
          <w:rPr>
            <w:noProof/>
            <w:webHidden/>
          </w:rPr>
          <w:fldChar w:fldCharType="begin"/>
        </w:r>
        <w:r>
          <w:rPr>
            <w:noProof/>
            <w:webHidden/>
          </w:rPr>
          <w:instrText xml:space="preserve"> PAGEREF _Toc127957607 \h </w:instrText>
        </w:r>
        <w:r>
          <w:rPr>
            <w:noProof/>
            <w:webHidden/>
          </w:rPr>
        </w:r>
        <w:r>
          <w:rPr>
            <w:noProof/>
            <w:webHidden/>
          </w:rPr>
          <w:fldChar w:fldCharType="separate"/>
        </w:r>
        <w:r w:rsidR="00B05C7F">
          <w:rPr>
            <w:noProof/>
            <w:webHidden/>
          </w:rPr>
          <w:t>51</w:t>
        </w:r>
        <w:r>
          <w:rPr>
            <w:noProof/>
            <w:webHidden/>
          </w:rPr>
          <w:fldChar w:fldCharType="end"/>
        </w:r>
      </w:hyperlink>
    </w:p>
    <w:p w14:paraId="4B00D12E" w14:textId="77777777" w:rsidR="006C5F2A" w:rsidRPr="00FB04F6" w:rsidRDefault="006C5F2A">
      <w:pPr>
        <w:pStyle w:val="TM2"/>
        <w:rPr>
          <w:rFonts w:eastAsia="Times New Roman" w:cs="Times New Roman"/>
          <w:smallCaps w:val="0"/>
          <w:noProof/>
          <w:sz w:val="22"/>
          <w:szCs w:val="22"/>
          <w:lang w:eastAsia="fr-FR"/>
        </w:rPr>
      </w:pPr>
      <w:hyperlink w:anchor="_Toc127957608" w:history="1">
        <w:r w:rsidRPr="00ED6DAE">
          <w:rPr>
            <w:rStyle w:val="Lienhypertexte"/>
            <w:noProof/>
          </w:rPr>
          <w:t>4.3.2.2.</w:t>
        </w:r>
        <w:r w:rsidRPr="00FB04F6">
          <w:rPr>
            <w:rFonts w:eastAsia="Times New Roman" w:cs="Times New Roman"/>
            <w:smallCaps w:val="0"/>
            <w:noProof/>
            <w:sz w:val="22"/>
            <w:szCs w:val="22"/>
            <w:lang w:eastAsia="fr-FR"/>
          </w:rPr>
          <w:tab/>
        </w:r>
        <w:r w:rsidRPr="00ED6DAE">
          <w:rPr>
            <w:rStyle w:val="Lienhypertexte"/>
            <w:noProof/>
          </w:rPr>
          <w:t>Ethnie et cultures</w:t>
        </w:r>
        <w:r>
          <w:rPr>
            <w:noProof/>
            <w:webHidden/>
          </w:rPr>
          <w:tab/>
        </w:r>
        <w:r>
          <w:rPr>
            <w:noProof/>
            <w:webHidden/>
          </w:rPr>
          <w:fldChar w:fldCharType="begin"/>
        </w:r>
        <w:r>
          <w:rPr>
            <w:noProof/>
            <w:webHidden/>
          </w:rPr>
          <w:instrText xml:space="preserve"> PAGEREF _Toc127957608 \h </w:instrText>
        </w:r>
        <w:r>
          <w:rPr>
            <w:noProof/>
            <w:webHidden/>
          </w:rPr>
        </w:r>
        <w:r>
          <w:rPr>
            <w:noProof/>
            <w:webHidden/>
          </w:rPr>
          <w:fldChar w:fldCharType="separate"/>
        </w:r>
        <w:r w:rsidR="00B05C7F">
          <w:rPr>
            <w:noProof/>
            <w:webHidden/>
          </w:rPr>
          <w:t>52</w:t>
        </w:r>
        <w:r>
          <w:rPr>
            <w:noProof/>
            <w:webHidden/>
          </w:rPr>
          <w:fldChar w:fldCharType="end"/>
        </w:r>
      </w:hyperlink>
    </w:p>
    <w:p w14:paraId="7965AB9F" w14:textId="77777777" w:rsidR="006C5F2A" w:rsidRPr="00FB04F6" w:rsidRDefault="006C5F2A">
      <w:pPr>
        <w:pStyle w:val="TM2"/>
        <w:rPr>
          <w:rFonts w:eastAsia="Times New Roman" w:cs="Times New Roman"/>
          <w:smallCaps w:val="0"/>
          <w:noProof/>
          <w:sz w:val="22"/>
          <w:szCs w:val="22"/>
          <w:lang w:eastAsia="fr-FR"/>
        </w:rPr>
      </w:pPr>
      <w:hyperlink w:anchor="_Toc127957609" w:history="1">
        <w:r w:rsidRPr="00ED6DAE">
          <w:rPr>
            <w:rStyle w:val="Lienhypertexte"/>
            <w:noProof/>
          </w:rPr>
          <w:t>4.3.2.3.</w:t>
        </w:r>
        <w:r w:rsidRPr="00FB04F6">
          <w:rPr>
            <w:rFonts w:eastAsia="Times New Roman" w:cs="Times New Roman"/>
            <w:smallCaps w:val="0"/>
            <w:noProof/>
            <w:sz w:val="22"/>
            <w:szCs w:val="22"/>
            <w:lang w:eastAsia="fr-FR"/>
          </w:rPr>
          <w:tab/>
        </w:r>
        <w:r w:rsidRPr="00ED6DAE">
          <w:rPr>
            <w:rStyle w:val="Lienhypertexte"/>
            <w:noProof/>
          </w:rPr>
          <w:t>Migration</w:t>
        </w:r>
        <w:r>
          <w:rPr>
            <w:noProof/>
            <w:webHidden/>
          </w:rPr>
          <w:tab/>
        </w:r>
        <w:r>
          <w:rPr>
            <w:noProof/>
            <w:webHidden/>
          </w:rPr>
          <w:fldChar w:fldCharType="begin"/>
        </w:r>
        <w:r>
          <w:rPr>
            <w:noProof/>
            <w:webHidden/>
          </w:rPr>
          <w:instrText xml:space="preserve"> PAGEREF _Toc127957609 \h </w:instrText>
        </w:r>
        <w:r>
          <w:rPr>
            <w:noProof/>
            <w:webHidden/>
          </w:rPr>
        </w:r>
        <w:r>
          <w:rPr>
            <w:noProof/>
            <w:webHidden/>
          </w:rPr>
          <w:fldChar w:fldCharType="separate"/>
        </w:r>
        <w:r w:rsidR="00B05C7F">
          <w:rPr>
            <w:noProof/>
            <w:webHidden/>
          </w:rPr>
          <w:t>54</w:t>
        </w:r>
        <w:r>
          <w:rPr>
            <w:noProof/>
            <w:webHidden/>
          </w:rPr>
          <w:fldChar w:fldCharType="end"/>
        </w:r>
      </w:hyperlink>
    </w:p>
    <w:p w14:paraId="4C75F1C4" w14:textId="77777777" w:rsidR="006C5F2A" w:rsidRPr="00FB04F6" w:rsidRDefault="006C5F2A">
      <w:pPr>
        <w:pStyle w:val="TM2"/>
        <w:rPr>
          <w:rFonts w:eastAsia="Times New Roman" w:cs="Times New Roman"/>
          <w:smallCaps w:val="0"/>
          <w:noProof/>
          <w:sz w:val="22"/>
          <w:szCs w:val="22"/>
          <w:lang w:eastAsia="fr-FR"/>
        </w:rPr>
      </w:pPr>
      <w:hyperlink w:anchor="_Toc127957610" w:history="1">
        <w:r w:rsidRPr="00ED6DAE">
          <w:rPr>
            <w:rStyle w:val="Lienhypertexte"/>
            <w:noProof/>
          </w:rPr>
          <w:t>4.3.2.4.</w:t>
        </w:r>
        <w:r w:rsidRPr="00FB04F6">
          <w:rPr>
            <w:rFonts w:eastAsia="Times New Roman" w:cs="Times New Roman"/>
            <w:smallCaps w:val="0"/>
            <w:noProof/>
            <w:sz w:val="22"/>
            <w:szCs w:val="22"/>
            <w:lang w:eastAsia="fr-FR"/>
          </w:rPr>
          <w:tab/>
        </w:r>
        <w:r w:rsidRPr="00ED6DAE">
          <w:rPr>
            <w:rStyle w:val="Lienhypertexte"/>
            <w:noProof/>
          </w:rPr>
          <w:t>Gestion des déchets</w:t>
        </w:r>
        <w:r>
          <w:rPr>
            <w:noProof/>
            <w:webHidden/>
          </w:rPr>
          <w:tab/>
        </w:r>
        <w:r>
          <w:rPr>
            <w:noProof/>
            <w:webHidden/>
          </w:rPr>
          <w:fldChar w:fldCharType="begin"/>
        </w:r>
        <w:r>
          <w:rPr>
            <w:noProof/>
            <w:webHidden/>
          </w:rPr>
          <w:instrText xml:space="preserve"> PAGEREF _Toc127957610 \h </w:instrText>
        </w:r>
        <w:r>
          <w:rPr>
            <w:noProof/>
            <w:webHidden/>
          </w:rPr>
        </w:r>
        <w:r>
          <w:rPr>
            <w:noProof/>
            <w:webHidden/>
          </w:rPr>
          <w:fldChar w:fldCharType="separate"/>
        </w:r>
        <w:r w:rsidR="00B05C7F">
          <w:rPr>
            <w:noProof/>
            <w:webHidden/>
          </w:rPr>
          <w:t>55</w:t>
        </w:r>
        <w:r>
          <w:rPr>
            <w:noProof/>
            <w:webHidden/>
          </w:rPr>
          <w:fldChar w:fldCharType="end"/>
        </w:r>
      </w:hyperlink>
    </w:p>
    <w:p w14:paraId="63C8C18B" w14:textId="77777777" w:rsidR="006C5F2A" w:rsidRPr="00FB04F6" w:rsidRDefault="006C5F2A">
      <w:pPr>
        <w:pStyle w:val="TM3"/>
        <w:rPr>
          <w:rFonts w:eastAsia="Times New Roman" w:cs="Times New Roman"/>
          <w:i w:val="0"/>
          <w:iCs w:val="0"/>
          <w:noProof/>
          <w:sz w:val="22"/>
          <w:szCs w:val="22"/>
          <w:lang w:eastAsia="fr-FR"/>
        </w:rPr>
      </w:pPr>
      <w:hyperlink w:anchor="_Toc127957611" w:history="1">
        <w:r w:rsidRPr="00ED6DAE">
          <w:rPr>
            <w:rStyle w:val="Lienhypertexte"/>
            <w:noProof/>
          </w:rPr>
          <w:t>4.3.3.</w:t>
        </w:r>
        <w:r w:rsidRPr="00FB04F6">
          <w:rPr>
            <w:rFonts w:eastAsia="Times New Roman" w:cs="Times New Roman"/>
            <w:i w:val="0"/>
            <w:iCs w:val="0"/>
            <w:noProof/>
            <w:sz w:val="22"/>
            <w:szCs w:val="22"/>
            <w:lang w:eastAsia="fr-FR"/>
          </w:rPr>
          <w:tab/>
        </w:r>
        <w:r w:rsidRPr="00ED6DAE">
          <w:rPr>
            <w:rStyle w:val="Lienhypertexte"/>
            <w:noProof/>
          </w:rPr>
          <w:t>Activités économiques</w:t>
        </w:r>
        <w:r>
          <w:rPr>
            <w:noProof/>
            <w:webHidden/>
          </w:rPr>
          <w:tab/>
        </w:r>
        <w:r>
          <w:rPr>
            <w:noProof/>
            <w:webHidden/>
          </w:rPr>
          <w:fldChar w:fldCharType="begin"/>
        </w:r>
        <w:r>
          <w:rPr>
            <w:noProof/>
            <w:webHidden/>
          </w:rPr>
          <w:instrText xml:space="preserve"> PAGEREF _Toc127957611 \h </w:instrText>
        </w:r>
        <w:r>
          <w:rPr>
            <w:noProof/>
            <w:webHidden/>
          </w:rPr>
        </w:r>
        <w:r>
          <w:rPr>
            <w:noProof/>
            <w:webHidden/>
          </w:rPr>
          <w:fldChar w:fldCharType="separate"/>
        </w:r>
        <w:r w:rsidR="00B05C7F">
          <w:rPr>
            <w:noProof/>
            <w:webHidden/>
          </w:rPr>
          <w:t>56</w:t>
        </w:r>
        <w:r>
          <w:rPr>
            <w:noProof/>
            <w:webHidden/>
          </w:rPr>
          <w:fldChar w:fldCharType="end"/>
        </w:r>
      </w:hyperlink>
    </w:p>
    <w:p w14:paraId="27B5ED6E" w14:textId="77777777" w:rsidR="006C5F2A" w:rsidRPr="00FB04F6" w:rsidRDefault="006C5F2A">
      <w:pPr>
        <w:pStyle w:val="TM2"/>
        <w:rPr>
          <w:rFonts w:eastAsia="Times New Roman" w:cs="Times New Roman"/>
          <w:smallCaps w:val="0"/>
          <w:noProof/>
          <w:sz w:val="22"/>
          <w:szCs w:val="22"/>
          <w:lang w:eastAsia="fr-FR"/>
        </w:rPr>
      </w:pPr>
      <w:hyperlink w:anchor="_Toc127957612" w:history="1">
        <w:r w:rsidRPr="00ED6DAE">
          <w:rPr>
            <w:rStyle w:val="Lienhypertexte"/>
            <w:noProof/>
          </w:rPr>
          <w:t>4.3.3.1.</w:t>
        </w:r>
        <w:r w:rsidRPr="00FB04F6">
          <w:rPr>
            <w:rFonts w:eastAsia="Times New Roman" w:cs="Times New Roman"/>
            <w:smallCaps w:val="0"/>
            <w:noProof/>
            <w:sz w:val="22"/>
            <w:szCs w:val="22"/>
            <w:lang w:eastAsia="fr-FR"/>
          </w:rPr>
          <w:tab/>
        </w:r>
        <w:r w:rsidRPr="00ED6DAE">
          <w:rPr>
            <w:rStyle w:val="Lienhypertexte"/>
            <w:noProof/>
          </w:rPr>
          <w:t>Secteur primaire</w:t>
        </w:r>
        <w:r>
          <w:rPr>
            <w:noProof/>
            <w:webHidden/>
          </w:rPr>
          <w:tab/>
        </w:r>
        <w:r>
          <w:rPr>
            <w:noProof/>
            <w:webHidden/>
          </w:rPr>
          <w:fldChar w:fldCharType="begin"/>
        </w:r>
        <w:r>
          <w:rPr>
            <w:noProof/>
            <w:webHidden/>
          </w:rPr>
          <w:instrText xml:space="preserve"> PAGEREF _Toc127957612 \h </w:instrText>
        </w:r>
        <w:r>
          <w:rPr>
            <w:noProof/>
            <w:webHidden/>
          </w:rPr>
        </w:r>
        <w:r>
          <w:rPr>
            <w:noProof/>
            <w:webHidden/>
          </w:rPr>
          <w:fldChar w:fldCharType="separate"/>
        </w:r>
        <w:r w:rsidR="00B05C7F">
          <w:rPr>
            <w:noProof/>
            <w:webHidden/>
          </w:rPr>
          <w:t>56</w:t>
        </w:r>
        <w:r>
          <w:rPr>
            <w:noProof/>
            <w:webHidden/>
          </w:rPr>
          <w:fldChar w:fldCharType="end"/>
        </w:r>
      </w:hyperlink>
    </w:p>
    <w:p w14:paraId="09625913" w14:textId="77777777" w:rsidR="006C5F2A" w:rsidRPr="00FB04F6" w:rsidRDefault="006C5F2A">
      <w:pPr>
        <w:pStyle w:val="TM2"/>
        <w:rPr>
          <w:rFonts w:eastAsia="Times New Roman" w:cs="Times New Roman"/>
          <w:smallCaps w:val="0"/>
          <w:noProof/>
          <w:sz w:val="22"/>
          <w:szCs w:val="22"/>
          <w:lang w:eastAsia="fr-FR"/>
        </w:rPr>
      </w:pPr>
      <w:hyperlink w:anchor="_Toc127957613" w:history="1">
        <w:r w:rsidRPr="00ED6DAE">
          <w:rPr>
            <w:rStyle w:val="Lienhypertexte"/>
            <w:noProof/>
          </w:rPr>
          <w:t>4.3.3.2.</w:t>
        </w:r>
        <w:r w:rsidRPr="00FB04F6">
          <w:rPr>
            <w:rFonts w:eastAsia="Times New Roman" w:cs="Times New Roman"/>
            <w:smallCaps w:val="0"/>
            <w:noProof/>
            <w:sz w:val="22"/>
            <w:szCs w:val="22"/>
            <w:lang w:eastAsia="fr-FR"/>
          </w:rPr>
          <w:tab/>
        </w:r>
        <w:r w:rsidRPr="00ED6DAE">
          <w:rPr>
            <w:rStyle w:val="Lienhypertexte"/>
            <w:noProof/>
          </w:rPr>
          <w:t>Secteur secondaire</w:t>
        </w:r>
        <w:r>
          <w:rPr>
            <w:noProof/>
            <w:webHidden/>
          </w:rPr>
          <w:tab/>
        </w:r>
        <w:r>
          <w:rPr>
            <w:noProof/>
            <w:webHidden/>
          </w:rPr>
          <w:fldChar w:fldCharType="begin"/>
        </w:r>
        <w:r>
          <w:rPr>
            <w:noProof/>
            <w:webHidden/>
          </w:rPr>
          <w:instrText xml:space="preserve"> PAGEREF _Toc127957613 \h </w:instrText>
        </w:r>
        <w:r>
          <w:rPr>
            <w:noProof/>
            <w:webHidden/>
          </w:rPr>
        </w:r>
        <w:r>
          <w:rPr>
            <w:noProof/>
            <w:webHidden/>
          </w:rPr>
          <w:fldChar w:fldCharType="separate"/>
        </w:r>
        <w:r w:rsidR="00B05C7F">
          <w:rPr>
            <w:noProof/>
            <w:webHidden/>
          </w:rPr>
          <w:t>57</w:t>
        </w:r>
        <w:r>
          <w:rPr>
            <w:noProof/>
            <w:webHidden/>
          </w:rPr>
          <w:fldChar w:fldCharType="end"/>
        </w:r>
      </w:hyperlink>
    </w:p>
    <w:p w14:paraId="1CFFE5A7" w14:textId="77777777" w:rsidR="006C5F2A" w:rsidRPr="00FB04F6" w:rsidRDefault="006C5F2A">
      <w:pPr>
        <w:pStyle w:val="TM2"/>
        <w:rPr>
          <w:rFonts w:eastAsia="Times New Roman" w:cs="Times New Roman"/>
          <w:smallCaps w:val="0"/>
          <w:noProof/>
          <w:sz w:val="22"/>
          <w:szCs w:val="22"/>
          <w:lang w:eastAsia="fr-FR"/>
        </w:rPr>
      </w:pPr>
      <w:hyperlink w:anchor="_Toc127957614" w:history="1">
        <w:r w:rsidRPr="00ED6DAE">
          <w:rPr>
            <w:rStyle w:val="Lienhypertexte"/>
            <w:noProof/>
          </w:rPr>
          <w:t>4.3.3.3.</w:t>
        </w:r>
        <w:r w:rsidRPr="00FB04F6">
          <w:rPr>
            <w:rFonts w:eastAsia="Times New Roman" w:cs="Times New Roman"/>
            <w:smallCaps w:val="0"/>
            <w:noProof/>
            <w:sz w:val="22"/>
            <w:szCs w:val="22"/>
            <w:lang w:eastAsia="fr-FR"/>
          </w:rPr>
          <w:tab/>
        </w:r>
        <w:r w:rsidRPr="00ED6DAE">
          <w:rPr>
            <w:rStyle w:val="Lienhypertexte"/>
            <w:noProof/>
          </w:rPr>
          <w:t>Secteur tertiaire</w:t>
        </w:r>
        <w:r>
          <w:rPr>
            <w:noProof/>
            <w:webHidden/>
          </w:rPr>
          <w:tab/>
        </w:r>
        <w:r>
          <w:rPr>
            <w:noProof/>
            <w:webHidden/>
          </w:rPr>
          <w:fldChar w:fldCharType="begin"/>
        </w:r>
        <w:r>
          <w:rPr>
            <w:noProof/>
            <w:webHidden/>
          </w:rPr>
          <w:instrText xml:space="preserve"> PAGEREF _Toc127957614 \h </w:instrText>
        </w:r>
        <w:r>
          <w:rPr>
            <w:noProof/>
            <w:webHidden/>
          </w:rPr>
        </w:r>
        <w:r>
          <w:rPr>
            <w:noProof/>
            <w:webHidden/>
          </w:rPr>
          <w:fldChar w:fldCharType="separate"/>
        </w:r>
        <w:r w:rsidR="00B05C7F">
          <w:rPr>
            <w:noProof/>
            <w:webHidden/>
          </w:rPr>
          <w:t>57</w:t>
        </w:r>
        <w:r>
          <w:rPr>
            <w:noProof/>
            <w:webHidden/>
          </w:rPr>
          <w:fldChar w:fldCharType="end"/>
        </w:r>
      </w:hyperlink>
    </w:p>
    <w:p w14:paraId="2019F08A" w14:textId="77777777" w:rsidR="006C5F2A" w:rsidRPr="00FB04F6" w:rsidRDefault="006C5F2A">
      <w:pPr>
        <w:pStyle w:val="TM3"/>
        <w:rPr>
          <w:rFonts w:eastAsia="Times New Roman" w:cs="Times New Roman"/>
          <w:i w:val="0"/>
          <w:iCs w:val="0"/>
          <w:noProof/>
          <w:sz w:val="22"/>
          <w:szCs w:val="22"/>
          <w:lang w:eastAsia="fr-FR"/>
        </w:rPr>
      </w:pPr>
      <w:hyperlink w:anchor="_Toc127957615" w:history="1">
        <w:r w:rsidRPr="00ED6DAE">
          <w:rPr>
            <w:rStyle w:val="Lienhypertexte"/>
            <w:noProof/>
          </w:rPr>
          <w:t>4.3.4.</w:t>
        </w:r>
        <w:r w:rsidRPr="00FB04F6">
          <w:rPr>
            <w:rFonts w:eastAsia="Times New Roman" w:cs="Times New Roman"/>
            <w:i w:val="0"/>
            <w:iCs w:val="0"/>
            <w:noProof/>
            <w:sz w:val="22"/>
            <w:szCs w:val="22"/>
            <w:lang w:eastAsia="fr-FR"/>
          </w:rPr>
          <w:tab/>
        </w:r>
        <w:r w:rsidRPr="00ED6DAE">
          <w:rPr>
            <w:rStyle w:val="Lienhypertexte"/>
            <w:noProof/>
          </w:rPr>
          <w:t>Secteur éducation</w:t>
        </w:r>
        <w:r>
          <w:rPr>
            <w:noProof/>
            <w:webHidden/>
          </w:rPr>
          <w:tab/>
        </w:r>
        <w:r>
          <w:rPr>
            <w:noProof/>
            <w:webHidden/>
          </w:rPr>
          <w:fldChar w:fldCharType="begin"/>
        </w:r>
        <w:r>
          <w:rPr>
            <w:noProof/>
            <w:webHidden/>
          </w:rPr>
          <w:instrText xml:space="preserve"> PAGEREF _Toc127957615 \h </w:instrText>
        </w:r>
        <w:r>
          <w:rPr>
            <w:noProof/>
            <w:webHidden/>
          </w:rPr>
        </w:r>
        <w:r>
          <w:rPr>
            <w:noProof/>
            <w:webHidden/>
          </w:rPr>
          <w:fldChar w:fldCharType="separate"/>
        </w:r>
        <w:r w:rsidR="00B05C7F">
          <w:rPr>
            <w:noProof/>
            <w:webHidden/>
          </w:rPr>
          <w:t>57</w:t>
        </w:r>
        <w:r>
          <w:rPr>
            <w:noProof/>
            <w:webHidden/>
          </w:rPr>
          <w:fldChar w:fldCharType="end"/>
        </w:r>
      </w:hyperlink>
    </w:p>
    <w:p w14:paraId="1E2DB2CE" w14:textId="77777777" w:rsidR="006C5F2A" w:rsidRPr="00FB04F6" w:rsidRDefault="006C5F2A">
      <w:pPr>
        <w:pStyle w:val="TM2"/>
        <w:rPr>
          <w:rFonts w:eastAsia="Times New Roman" w:cs="Times New Roman"/>
          <w:smallCaps w:val="0"/>
          <w:noProof/>
          <w:sz w:val="22"/>
          <w:szCs w:val="22"/>
          <w:lang w:eastAsia="fr-FR"/>
        </w:rPr>
      </w:pPr>
      <w:hyperlink w:anchor="_Toc127957616" w:history="1">
        <w:r w:rsidRPr="00ED6DAE">
          <w:rPr>
            <w:rStyle w:val="Lienhypertexte"/>
            <w:noProof/>
          </w:rPr>
          <w:t>4.3.4.1.</w:t>
        </w:r>
        <w:r w:rsidRPr="00FB04F6">
          <w:rPr>
            <w:rFonts w:eastAsia="Times New Roman" w:cs="Times New Roman"/>
            <w:smallCaps w:val="0"/>
            <w:noProof/>
            <w:sz w:val="22"/>
            <w:szCs w:val="22"/>
            <w:lang w:eastAsia="fr-FR"/>
          </w:rPr>
          <w:tab/>
        </w:r>
        <w:r w:rsidRPr="00ED6DAE">
          <w:rPr>
            <w:rStyle w:val="Lienhypertexte"/>
            <w:noProof/>
          </w:rPr>
          <w:t>Niveau d’éducation</w:t>
        </w:r>
        <w:r>
          <w:rPr>
            <w:noProof/>
            <w:webHidden/>
          </w:rPr>
          <w:tab/>
        </w:r>
        <w:r>
          <w:rPr>
            <w:noProof/>
            <w:webHidden/>
          </w:rPr>
          <w:fldChar w:fldCharType="begin"/>
        </w:r>
        <w:r>
          <w:rPr>
            <w:noProof/>
            <w:webHidden/>
          </w:rPr>
          <w:instrText xml:space="preserve"> PAGEREF _Toc127957616 \h </w:instrText>
        </w:r>
        <w:r>
          <w:rPr>
            <w:noProof/>
            <w:webHidden/>
          </w:rPr>
        </w:r>
        <w:r>
          <w:rPr>
            <w:noProof/>
            <w:webHidden/>
          </w:rPr>
          <w:fldChar w:fldCharType="separate"/>
        </w:r>
        <w:r w:rsidR="00B05C7F">
          <w:rPr>
            <w:noProof/>
            <w:webHidden/>
          </w:rPr>
          <w:t>57</w:t>
        </w:r>
        <w:r>
          <w:rPr>
            <w:noProof/>
            <w:webHidden/>
          </w:rPr>
          <w:fldChar w:fldCharType="end"/>
        </w:r>
      </w:hyperlink>
    </w:p>
    <w:p w14:paraId="5A31460D" w14:textId="77777777" w:rsidR="006C5F2A" w:rsidRPr="00FB04F6" w:rsidRDefault="006C5F2A">
      <w:pPr>
        <w:pStyle w:val="TM2"/>
        <w:rPr>
          <w:rFonts w:eastAsia="Times New Roman" w:cs="Times New Roman"/>
          <w:smallCaps w:val="0"/>
          <w:noProof/>
          <w:sz w:val="22"/>
          <w:szCs w:val="22"/>
          <w:lang w:eastAsia="fr-FR"/>
        </w:rPr>
      </w:pPr>
      <w:hyperlink w:anchor="_Toc127957617" w:history="1">
        <w:r w:rsidRPr="00ED6DAE">
          <w:rPr>
            <w:rStyle w:val="Lienhypertexte"/>
            <w:noProof/>
          </w:rPr>
          <w:t>4.3.4.2.</w:t>
        </w:r>
        <w:r w:rsidRPr="00FB04F6">
          <w:rPr>
            <w:rFonts w:eastAsia="Times New Roman" w:cs="Times New Roman"/>
            <w:smallCaps w:val="0"/>
            <w:noProof/>
            <w:sz w:val="22"/>
            <w:szCs w:val="22"/>
            <w:lang w:eastAsia="fr-FR"/>
          </w:rPr>
          <w:tab/>
        </w:r>
        <w:r w:rsidRPr="00ED6DAE">
          <w:rPr>
            <w:rStyle w:val="Lienhypertexte"/>
            <w:noProof/>
          </w:rPr>
          <w:t>Aptitude à parler une langue</w:t>
        </w:r>
        <w:r>
          <w:rPr>
            <w:noProof/>
            <w:webHidden/>
          </w:rPr>
          <w:tab/>
        </w:r>
        <w:r>
          <w:rPr>
            <w:noProof/>
            <w:webHidden/>
          </w:rPr>
          <w:fldChar w:fldCharType="begin"/>
        </w:r>
        <w:r>
          <w:rPr>
            <w:noProof/>
            <w:webHidden/>
          </w:rPr>
          <w:instrText xml:space="preserve"> PAGEREF _Toc127957617 \h </w:instrText>
        </w:r>
        <w:r>
          <w:rPr>
            <w:noProof/>
            <w:webHidden/>
          </w:rPr>
        </w:r>
        <w:r>
          <w:rPr>
            <w:noProof/>
            <w:webHidden/>
          </w:rPr>
          <w:fldChar w:fldCharType="separate"/>
        </w:r>
        <w:r w:rsidR="00B05C7F">
          <w:rPr>
            <w:noProof/>
            <w:webHidden/>
          </w:rPr>
          <w:t>58</w:t>
        </w:r>
        <w:r>
          <w:rPr>
            <w:noProof/>
            <w:webHidden/>
          </w:rPr>
          <w:fldChar w:fldCharType="end"/>
        </w:r>
      </w:hyperlink>
    </w:p>
    <w:p w14:paraId="2F5949EC" w14:textId="77777777" w:rsidR="006C5F2A" w:rsidRPr="00FB04F6" w:rsidRDefault="006C5F2A">
      <w:pPr>
        <w:pStyle w:val="TM2"/>
        <w:rPr>
          <w:rFonts w:eastAsia="Times New Roman" w:cs="Times New Roman"/>
          <w:smallCaps w:val="0"/>
          <w:noProof/>
          <w:sz w:val="22"/>
          <w:szCs w:val="22"/>
          <w:lang w:eastAsia="fr-FR"/>
        </w:rPr>
      </w:pPr>
      <w:hyperlink w:anchor="_Toc127957618" w:history="1">
        <w:r w:rsidRPr="00ED6DAE">
          <w:rPr>
            <w:rStyle w:val="Lienhypertexte"/>
            <w:noProof/>
          </w:rPr>
          <w:t>4.3.4.3.</w:t>
        </w:r>
        <w:r w:rsidRPr="00FB04F6">
          <w:rPr>
            <w:rFonts w:eastAsia="Times New Roman" w:cs="Times New Roman"/>
            <w:smallCaps w:val="0"/>
            <w:noProof/>
            <w:sz w:val="22"/>
            <w:szCs w:val="22"/>
            <w:lang w:eastAsia="fr-FR"/>
          </w:rPr>
          <w:tab/>
        </w:r>
        <w:r w:rsidRPr="00ED6DAE">
          <w:rPr>
            <w:rStyle w:val="Lienhypertexte"/>
            <w:noProof/>
          </w:rPr>
          <w:t>Infrastructure scolaire</w:t>
        </w:r>
        <w:r>
          <w:rPr>
            <w:noProof/>
            <w:webHidden/>
          </w:rPr>
          <w:tab/>
        </w:r>
        <w:r>
          <w:rPr>
            <w:noProof/>
            <w:webHidden/>
          </w:rPr>
          <w:fldChar w:fldCharType="begin"/>
        </w:r>
        <w:r>
          <w:rPr>
            <w:noProof/>
            <w:webHidden/>
          </w:rPr>
          <w:instrText xml:space="preserve"> PAGEREF _Toc127957618 \h </w:instrText>
        </w:r>
        <w:r>
          <w:rPr>
            <w:noProof/>
            <w:webHidden/>
          </w:rPr>
        </w:r>
        <w:r>
          <w:rPr>
            <w:noProof/>
            <w:webHidden/>
          </w:rPr>
          <w:fldChar w:fldCharType="separate"/>
        </w:r>
        <w:r w:rsidR="00B05C7F">
          <w:rPr>
            <w:noProof/>
            <w:webHidden/>
          </w:rPr>
          <w:t>59</w:t>
        </w:r>
        <w:r>
          <w:rPr>
            <w:noProof/>
            <w:webHidden/>
          </w:rPr>
          <w:fldChar w:fldCharType="end"/>
        </w:r>
      </w:hyperlink>
    </w:p>
    <w:p w14:paraId="0F75BD7A" w14:textId="77777777" w:rsidR="006C5F2A" w:rsidRPr="00FB04F6" w:rsidRDefault="006C5F2A">
      <w:pPr>
        <w:pStyle w:val="TM3"/>
        <w:rPr>
          <w:rFonts w:eastAsia="Times New Roman" w:cs="Times New Roman"/>
          <w:i w:val="0"/>
          <w:iCs w:val="0"/>
          <w:noProof/>
          <w:sz w:val="22"/>
          <w:szCs w:val="22"/>
          <w:lang w:eastAsia="fr-FR"/>
        </w:rPr>
      </w:pPr>
      <w:hyperlink w:anchor="_Toc127957619" w:history="1">
        <w:r w:rsidRPr="00ED6DAE">
          <w:rPr>
            <w:rStyle w:val="Lienhypertexte"/>
            <w:noProof/>
          </w:rPr>
          <w:t>4.3.5.</w:t>
        </w:r>
        <w:r w:rsidRPr="00FB04F6">
          <w:rPr>
            <w:rFonts w:eastAsia="Times New Roman" w:cs="Times New Roman"/>
            <w:i w:val="0"/>
            <w:iCs w:val="0"/>
            <w:noProof/>
            <w:sz w:val="22"/>
            <w:szCs w:val="22"/>
            <w:lang w:eastAsia="fr-FR"/>
          </w:rPr>
          <w:tab/>
        </w:r>
        <w:r w:rsidRPr="00ED6DAE">
          <w:rPr>
            <w:rStyle w:val="Lienhypertexte"/>
            <w:noProof/>
          </w:rPr>
          <w:t>Secteur santé</w:t>
        </w:r>
        <w:r>
          <w:rPr>
            <w:noProof/>
            <w:webHidden/>
          </w:rPr>
          <w:tab/>
        </w:r>
        <w:r>
          <w:rPr>
            <w:noProof/>
            <w:webHidden/>
          </w:rPr>
          <w:fldChar w:fldCharType="begin"/>
        </w:r>
        <w:r>
          <w:rPr>
            <w:noProof/>
            <w:webHidden/>
          </w:rPr>
          <w:instrText xml:space="preserve"> PAGEREF _Toc127957619 \h </w:instrText>
        </w:r>
        <w:r>
          <w:rPr>
            <w:noProof/>
            <w:webHidden/>
          </w:rPr>
        </w:r>
        <w:r>
          <w:rPr>
            <w:noProof/>
            <w:webHidden/>
          </w:rPr>
          <w:fldChar w:fldCharType="separate"/>
        </w:r>
        <w:r w:rsidR="00B05C7F">
          <w:rPr>
            <w:noProof/>
            <w:webHidden/>
          </w:rPr>
          <w:t>60</w:t>
        </w:r>
        <w:r>
          <w:rPr>
            <w:noProof/>
            <w:webHidden/>
          </w:rPr>
          <w:fldChar w:fldCharType="end"/>
        </w:r>
      </w:hyperlink>
    </w:p>
    <w:p w14:paraId="32F2A386" w14:textId="77777777" w:rsidR="006C5F2A" w:rsidRPr="00FB04F6" w:rsidRDefault="006C5F2A">
      <w:pPr>
        <w:pStyle w:val="TM3"/>
        <w:rPr>
          <w:rFonts w:eastAsia="Times New Roman" w:cs="Times New Roman"/>
          <w:i w:val="0"/>
          <w:iCs w:val="0"/>
          <w:noProof/>
          <w:sz w:val="22"/>
          <w:szCs w:val="22"/>
          <w:lang w:eastAsia="fr-FR"/>
        </w:rPr>
      </w:pPr>
      <w:hyperlink w:anchor="_Toc127957620" w:history="1">
        <w:r w:rsidRPr="00ED6DAE">
          <w:rPr>
            <w:rStyle w:val="Lienhypertexte"/>
            <w:noProof/>
          </w:rPr>
          <w:t>4.3.6.</w:t>
        </w:r>
        <w:r w:rsidRPr="00FB04F6">
          <w:rPr>
            <w:rFonts w:eastAsia="Times New Roman" w:cs="Times New Roman"/>
            <w:i w:val="0"/>
            <w:iCs w:val="0"/>
            <w:noProof/>
            <w:sz w:val="22"/>
            <w:szCs w:val="22"/>
            <w:lang w:eastAsia="fr-FR"/>
          </w:rPr>
          <w:tab/>
        </w:r>
        <w:r w:rsidRPr="00ED6DAE">
          <w:rPr>
            <w:rStyle w:val="Lienhypertexte"/>
            <w:noProof/>
          </w:rPr>
          <w:t>Secteur énergie</w:t>
        </w:r>
        <w:r>
          <w:rPr>
            <w:noProof/>
            <w:webHidden/>
          </w:rPr>
          <w:tab/>
        </w:r>
        <w:r>
          <w:rPr>
            <w:noProof/>
            <w:webHidden/>
          </w:rPr>
          <w:fldChar w:fldCharType="begin"/>
        </w:r>
        <w:r>
          <w:rPr>
            <w:noProof/>
            <w:webHidden/>
          </w:rPr>
          <w:instrText xml:space="preserve"> PAGEREF _Toc127957620 \h </w:instrText>
        </w:r>
        <w:r>
          <w:rPr>
            <w:noProof/>
            <w:webHidden/>
          </w:rPr>
        </w:r>
        <w:r>
          <w:rPr>
            <w:noProof/>
            <w:webHidden/>
          </w:rPr>
          <w:fldChar w:fldCharType="separate"/>
        </w:r>
        <w:r w:rsidR="00B05C7F">
          <w:rPr>
            <w:noProof/>
            <w:webHidden/>
          </w:rPr>
          <w:t>61</w:t>
        </w:r>
        <w:r>
          <w:rPr>
            <w:noProof/>
            <w:webHidden/>
          </w:rPr>
          <w:fldChar w:fldCharType="end"/>
        </w:r>
      </w:hyperlink>
    </w:p>
    <w:p w14:paraId="217819FB" w14:textId="77777777" w:rsidR="006C5F2A" w:rsidRPr="00FB04F6" w:rsidRDefault="006C5F2A">
      <w:pPr>
        <w:pStyle w:val="TM2"/>
        <w:rPr>
          <w:rFonts w:eastAsia="Times New Roman" w:cs="Times New Roman"/>
          <w:smallCaps w:val="0"/>
          <w:noProof/>
          <w:sz w:val="22"/>
          <w:szCs w:val="22"/>
          <w:lang w:eastAsia="fr-FR"/>
        </w:rPr>
      </w:pPr>
      <w:hyperlink w:anchor="_Toc127957621" w:history="1">
        <w:r w:rsidRPr="00ED6DAE">
          <w:rPr>
            <w:rStyle w:val="Lienhypertexte"/>
            <w:noProof/>
          </w:rPr>
          <w:t>4.3.6.1.</w:t>
        </w:r>
        <w:r w:rsidRPr="00FB04F6">
          <w:rPr>
            <w:rFonts w:eastAsia="Times New Roman" w:cs="Times New Roman"/>
            <w:smallCaps w:val="0"/>
            <w:noProof/>
            <w:sz w:val="22"/>
            <w:szCs w:val="22"/>
            <w:lang w:eastAsia="fr-FR"/>
          </w:rPr>
          <w:tab/>
        </w:r>
        <w:r w:rsidRPr="00ED6DAE">
          <w:rPr>
            <w:rStyle w:val="Lienhypertexte"/>
            <w:noProof/>
          </w:rPr>
          <w:t>Production énergétique</w:t>
        </w:r>
        <w:r>
          <w:rPr>
            <w:noProof/>
            <w:webHidden/>
          </w:rPr>
          <w:tab/>
        </w:r>
        <w:r>
          <w:rPr>
            <w:noProof/>
            <w:webHidden/>
          </w:rPr>
          <w:fldChar w:fldCharType="begin"/>
        </w:r>
        <w:r>
          <w:rPr>
            <w:noProof/>
            <w:webHidden/>
          </w:rPr>
          <w:instrText xml:space="preserve"> PAGEREF _Toc127957621 \h </w:instrText>
        </w:r>
        <w:r>
          <w:rPr>
            <w:noProof/>
            <w:webHidden/>
          </w:rPr>
        </w:r>
        <w:r>
          <w:rPr>
            <w:noProof/>
            <w:webHidden/>
          </w:rPr>
          <w:fldChar w:fldCharType="separate"/>
        </w:r>
        <w:r w:rsidR="00B05C7F">
          <w:rPr>
            <w:noProof/>
            <w:webHidden/>
          </w:rPr>
          <w:t>61</w:t>
        </w:r>
        <w:r>
          <w:rPr>
            <w:noProof/>
            <w:webHidden/>
          </w:rPr>
          <w:fldChar w:fldCharType="end"/>
        </w:r>
      </w:hyperlink>
    </w:p>
    <w:p w14:paraId="178984E8" w14:textId="77777777" w:rsidR="006C5F2A" w:rsidRPr="00FB04F6" w:rsidRDefault="006C5F2A">
      <w:pPr>
        <w:pStyle w:val="TM2"/>
        <w:rPr>
          <w:rFonts w:eastAsia="Times New Roman" w:cs="Times New Roman"/>
          <w:smallCaps w:val="0"/>
          <w:noProof/>
          <w:sz w:val="22"/>
          <w:szCs w:val="22"/>
          <w:lang w:eastAsia="fr-FR"/>
        </w:rPr>
      </w:pPr>
      <w:hyperlink w:anchor="_Toc127957622" w:history="1">
        <w:r w:rsidRPr="00ED6DAE">
          <w:rPr>
            <w:rStyle w:val="Lienhypertexte"/>
            <w:noProof/>
          </w:rPr>
          <w:t>4.3.6.2.</w:t>
        </w:r>
        <w:r w:rsidRPr="00FB04F6">
          <w:rPr>
            <w:rFonts w:eastAsia="Times New Roman" w:cs="Times New Roman"/>
            <w:smallCaps w:val="0"/>
            <w:noProof/>
            <w:sz w:val="22"/>
            <w:szCs w:val="22"/>
            <w:lang w:eastAsia="fr-FR"/>
          </w:rPr>
          <w:tab/>
        </w:r>
        <w:r w:rsidRPr="00ED6DAE">
          <w:rPr>
            <w:rStyle w:val="Lienhypertexte"/>
            <w:noProof/>
          </w:rPr>
          <w:t>Accès à l’énergie</w:t>
        </w:r>
        <w:r>
          <w:rPr>
            <w:noProof/>
            <w:webHidden/>
          </w:rPr>
          <w:tab/>
        </w:r>
        <w:r>
          <w:rPr>
            <w:noProof/>
            <w:webHidden/>
          </w:rPr>
          <w:fldChar w:fldCharType="begin"/>
        </w:r>
        <w:r>
          <w:rPr>
            <w:noProof/>
            <w:webHidden/>
          </w:rPr>
          <w:instrText xml:space="preserve"> PAGEREF _Toc127957622 \h </w:instrText>
        </w:r>
        <w:r>
          <w:rPr>
            <w:noProof/>
            <w:webHidden/>
          </w:rPr>
        </w:r>
        <w:r>
          <w:rPr>
            <w:noProof/>
            <w:webHidden/>
          </w:rPr>
          <w:fldChar w:fldCharType="separate"/>
        </w:r>
        <w:r w:rsidR="00B05C7F">
          <w:rPr>
            <w:noProof/>
            <w:webHidden/>
          </w:rPr>
          <w:t>62</w:t>
        </w:r>
        <w:r>
          <w:rPr>
            <w:noProof/>
            <w:webHidden/>
          </w:rPr>
          <w:fldChar w:fldCharType="end"/>
        </w:r>
      </w:hyperlink>
    </w:p>
    <w:p w14:paraId="11BC8024" w14:textId="77777777" w:rsidR="006C5F2A" w:rsidRPr="00FB04F6" w:rsidRDefault="006C5F2A">
      <w:pPr>
        <w:pStyle w:val="TM3"/>
        <w:rPr>
          <w:rFonts w:eastAsia="Times New Roman" w:cs="Times New Roman"/>
          <w:i w:val="0"/>
          <w:iCs w:val="0"/>
          <w:noProof/>
          <w:sz w:val="22"/>
          <w:szCs w:val="22"/>
          <w:lang w:eastAsia="fr-FR"/>
        </w:rPr>
      </w:pPr>
      <w:hyperlink w:anchor="_Toc127957623" w:history="1">
        <w:r w:rsidRPr="00ED6DAE">
          <w:rPr>
            <w:rStyle w:val="Lienhypertexte"/>
            <w:noProof/>
          </w:rPr>
          <w:t>4.3.7.</w:t>
        </w:r>
        <w:r w:rsidRPr="00FB04F6">
          <w:rPr>
            <w:rFonts w:eastAsia="Times New Roman" w:cs="Times New Roman"/>
            <w:i w:val="0"/>
            <w:iCs w:val="0"/>
            <w:noProof/>
            <w:sz w:val="22"/>
            <w:szCs w:val="22"/>
            <w:lang w:eastAsia="fr-FR"/>
          </w:rPr>
          <w:tab/>
        </w:r>
        <w:r w:rsidRPr="00ED6DAE">
          <w:rPr>
            <w:rStyle w:val="Lienhypertexte"/>
            <w:noProof/>
          </w:rPr>
          <w:t>Secteur nouvelle Technologie</w:t>
        </w:r>
        <w:r>
          <w:rPr>
            <w:noProof/>
            <w:webHidden/>
          </w:rPr>
          <w:tab/>
        </w:r>
        <w:r>
          <w:rPr>
            <w:noProof/>
            <w:webHidden/>
          </w:rPr>
          <w:fldChar w:fldCharType="begin"/>
        </w:r>
        <w:r>
          <w:rPr>
            <w:noProof/>
            <w:webHidden/>
          </w:rPr>
          <w:instrText xml:space="preserve"> PAGEREF _Toc127957623 \h </w:instrText>
        </w:r>
        <w:r>
          <w:rPr>
            <w:noProof/>
            <w:webHidden/>
          </w:rPr>
        </w:r>
        <w:r>
          <w:rPr>
            <w:noProof/>
            <w:webHidden/>
          </w:rPr>
          <w:fldChar w:fldCharType="separate"/>
        </w:r>
        <w:r w:rsidR="00B05C7F">
          <w:rPr>
            <w:noProof/>
            <w:webHidden/>
          </w:rPr>
          <w:t>63</w:t>
        </w:r>
        <w:r>
          <w:rPr>
            <w:noProof/>
            <w:webHidden/>
          </w:rPr>
          <w:fldChar w:fldCharType="end"/>
        </w:r>
      </w:hyperlink>
    </w:p>
    <w:p w14:paraId="078C9FFA" w14:textId="77777777" w:rsidR="006C5F2A" w:rsidRPr="00FB04F6" w:rsidRDefault="006C5F2A">
      <w:pPr>
        <w:pStyle w:val="TM3"/>
        <w:rPr>
          <w:rFonts w:eastAsia="Times New Roman" w:cs="Times New Roman"/>
          <w:i w:val="0"/>
          <w:iCs w:val="0"/>
          <w:noProof/>
          <w:sz w:val="22"/>
          <w:szCs w:val="22"/>
          <w:lang w:eastAsia="fr-FR"/>
        </w:rPr>
      </w:pPr>
      <w:hyperlink w:anchor="_Toc127957624" w:history="1">
        <w:r w:rsidRPr="00ED6DAE">
          <w:rPr>
            <w:rStyle w:val="Lienhypertexte"/>
            <w:noProof/>
          </w:rPr>
          <w:t>4.3.8.</w:t>
        </w:r>
        <w:r w:rsidRPr="00FB04F6">
          <w:rPr>
            <w:rFonts w:eastAsia="Times New Roman" w:cs="Times New Roman"/>
            <w:i w:val="0"/>
            <w:iCs w:val="0"/>
            <w:noProof/>
            <w:sz w:val="22"/>
            <w:szCs w:val="22"/>
            <w:lang w:eastAsia="fr-FR"/>
          </w:rPr>
          <w:tab/>
        </w:r>
        <w:r w:rsidRPr="00ED6DAE">
          <w:rPr>
            <w:rStyle w:val="Lienhypertexte"/>
            <w:noProof/>
          </w:rPr>
          <w:t>Statut des femmes et violence basée sur le genre</w:t>
        </w:r>
        <w:r>
          <w:rPr>
            <w:noProof/>
            <w:webHidden/>
          </w:rPr>
          <w:tab/>
        </w:r>
        <w:r>
          <w:rPr>
            <w:noProof/>
            <w:webHidden/>
          </w:rPr>
          <w:fldChar w:fldCharType="begin"/>
        </w:r>
        <w:r>
          <w:rPr>
            <w:noProof/>
            <w:webHidden/>
          </w:rPr>
          <w:instrText xml:space="preserve"> PAGEREF _Toc127957624 \h </w:instrText>
        </w:r>
        <w:r>
          <w:rPr>
            <w:noProof/>
            <w:webHidden/>
          </w:rPr>
        </w:r>
        <w:r>
          <w:rPr>
            <w:noProof/>
            <w:webHidden/>
          </w:rPr>
          <w:fldChar w:fldCharType="separate"/>
        </w:r>
        <w:r w:rsidR="00B05C7F">
          <w:rPr>
            <w:noProof/>
            <w:webHidden/>
          </w:rPr>
          <w:t>64</w:t>
        </w:r>
        <w:r>
          <w:rPr>
            <w:noProof/>
            <w:webHidden/>
          </w:rPr>
          <w:fldChar w:fldCharType="end"/>
        </w:r>
      </w:hyperlink>
    </w:p>
    <w:p w14:paraId="38E1E475" w14:textId="77777777" w:rsidR="006C5F2A" w:rsidRPr="00FB04F6" w:rsidRDefault="006C5F2A">
      <w:pPr>
        <w:pStyle w:val="TM2"/>
        <w:rPr>
          <w:rFonts w:eastAsia="Times New Roman" w:cs="Times New Roman"/>
          <w:smallCaps w:val="0"/>
          <w:noProof/>
          <w:sz w:val="22"/>
          <w:szCs w:val="22"/>
          <w:lang w:eastAsia="fr-FR"/>
        </w:rPr>
      </w:pPr>
      <w:hyperlink w:anchor="_Toc127957625" w:history="1">
        <w:r w:rsidRPr="00ED6DAE">
          <w:rPr>
            <w:rStyle w:val="Lienhypertexte"/>
            <w:noProof/>
          </w:rPr>
          <w:t>4.3.8.1.</w:t>
        </w:r>
        <w:r w:rsidRPr="00FB04F6">
          <w:rPr>
            <w:rFonts w:eastAsia="Times New Roman" w:cs="Times New Roman"/>
            <w:smallCaps w:val="0"/>
            <w:noProof/>
            <w:sz w:val="22"/>
            <w:szCs w:val="22"/>
            <w:lang w:eastAsia="fr-FR"/>
          </w:rPr>
          <w:tab/>
        </w:r>
        <w:r w:rsidRPr="00ED6DAE">
          <w:rPr>
            <w:rStyle w:val="Lienhypertexte"/>
            <w:noProof/>
          </w:rPr>
          <w:t>Statut des femmes</w:t>
        </w:r>
        <w:r>
          <w:rPr>
            <w:noProof/>
            <w:webHidden/>
          </w:rPr>
          <w:tab/>
        </w:r>
        <w:r>
          <w:rPr>
            <w:noProof/>
            <w:webHidden/>
          </w:rPr>
          <w:fldChar w:fldCharType="begin"/>
        </w:r>
        <w:r>
          <w:rPr>
            <w:noProof/>
            <w:webHidden/>
          </w:rPr>
          <w:instrText xml:space="preserve"> PAGEREF _Toc127957625 \h </w:instrText>
        </w:r>
        <w:r>
          <w:rPr>
            <w:noProof/>
            <w:webHidden/>
          </w:rPr>
        </w:r>
        <w:r>
          <w:rPr>
            <w:noProof/>
            <w:webHidden/>
          </w:rPr>
          <w:fldChar w:fldCharType="separate"/>
        </w:r>
        <w:r w:rsidR="00B05C7F">
          <w:rPr>
            <w:noProof/>
            <w:webHidden/>
          </w:rPr>
          <w:t>64</w:t>
        </w:r>
        <w:r>
          <w:rPr>
            <w:noProof/>
            <w:webHidden/>
          </w:rPr>
          <w:fldChar w:fldCharType="end"/>
        </w:r>
      </w:hyperlink>
    </w:p>
    <w:p w14:paraId="4D061D8B" w14:textId="77777777" w:rsidR="006C5F2A" w:rsidRPr="00FB04F6" w:rsidRDefault="006C5F2A">
      <w:pPr>
        <w:pStyle w:val="TM2"/>
        <w:rPr>
          <w:rFonts w:eastAsia="Times New Roman" w:cs="Times New Roman"/>
          <w:smallCaps w:val="0"/>
          <w:noProof/>
          <w:sz w:val="22"/>
          <w:szCs w:val="22"/>
          <w:lang w:eastAsia="fr-FR"/>
        </w:rPr>
      </w:pPr>
      <w:hyperlink w:anchor="_Toc127957626" w:history="1">
        <w:r w:rsidRPr="00ED6DAE">
          <w:rPr>
            <w:rStyle w:val="Lienhypertexte"/>
            <w:noProof/>
          </w:rPr>
          <w:t>4.3.8.2.</w:t>
        </w:r>
        <w:r w:rsidRPr="00FB04F6">
          <w:rPr>
            <w:rFonts w:eastAsia="Times New Roman" w:cs="Times New Roman"/>
            <w:smallCaps w:val="0"/>
            <w:noProof/>
            <w:sz w:val="22"/>
            <w:szCs w:val="22"/>
            <w:lang w:eastAsia="fr-FR"/>
          </w:rPr>
          <w:tab/>
        </w:r>
        <w:r w:rsidRPr="00ED6DAE">
          <w:rPr>
            <w:rStyle w:val="Lienhypertexte"/>
            <w:noProof/>
          </w:rPr>
          <w:t>Violences basées sur le genre</w:t>
        </w:r>
        <w:r>
          <w:rPr>
            <w:noProof/>
            <w:webHidden/>
          </w:rPr>
          <w:tab/>
        </w:r>
        <w:r>
          <w:rPr>
            <w:noProof/>
            <w:webHidden/>
          </w:rPr>
          <w:fldChar w:fldCharType="begin"/>
        </w:r>
        <w:r>
          <w:rPr>
            <w:noProof/>
            <w:webHidden/>
          </w:rPr>
          <w:instrText xml:space="preserve"> PAGEREF _Toc127957626 \h </w:instrText>
        </w:r>
        <w:r>
          <w:rPr>
            <w:noProof/>
            <w:webHidden/>
          </w:rPr>
        </w:r>
        <w:r>
          <w:rPr>
            <w:noProof/>
            <w:webHidden/>
          </w:rPr>
          <w:fldChar w:fldCharType="separate"/>
        </w:r>
        <w:r w:rsidR="00B05C7F">
          <w:rPr>
            <w:noProof/>
            <w:webHidden/>
          </w:rPr>
          <w:t>65</w:t>
        </w:r>
        <w:r>
          <w:rPr>
            <w:noProof/>
            <w:webHidden/>
          </w:rPr>
          <w:fldChar w:fldCharType="end"/>
        </w:r>
      </w:hyperlink>
    </w:p>
    <w:p w14:paraId="7EA82A72" w14:textId="77777777" w:rsidR="006C5F2A" w:rsidRPr="00FB04F6" w:rsidRDefault="006C5F2A">
      <w:pPr>
        <w:pStyle w:val="TM2"/>
        <w:rPr>
          <w:rFonts w:eastAsia="Times New Roman" w:cs="Times New Roman"/>
          <w:smallCaps w:val="0"/>
          <w:noProof/>
          <w:sz w:val="22"/>
          <w:szCs w:val="22"/>
          <w:lang w:eastAsia="fr-FR"/>
        </w:rPr>
      </w:pPr>
      <w:hyperlink w:anchor="_Toc127957627" w:history="1">
        <w:r w:rsidRPr="00ED6DAE">
          <w:rPr>
            <w:rStyle w:val="Lienhypertexte"/>
            <w:noProof/>
          </w:rPr>
          <w:t>4.4.</w:t>
        </w:r>
        <w:r w:rsidRPr="00FB04F6">
          <w:rPr>
            <w:rFonts w:eastAsia="Times New Roman" w:cs="Times New Roman"/>
            <w:smallCaps w:val="0"/>
            <w:noProof/>
            <w:sz w:val="22"/>
            <w:szCs w:val="22"/>
            <w:lang w:eastAsia="fr-FR"/>
          </w:rPr>
          <w:tab/>
        </w:r>
        <w:r w:rsidRPr="00ED6DAE">
          <w:rPr>
            <w:rStyle w:val="Lienhypertexte"/>
            <w:noProof/>
          </w:rPr>
          <w:t>Analyse des enjeux environnementaux et sociaux</w:t>
        </w:r>
        <w:r>
          <w:rPr>
            <w:noProof/>
            <w:webHidden/>
          </w:rPr>
          <w:tab/>
        </w:r>
        <w:r>
          <w:rPr>
            <w:noProof/>
            <w:webHidden/>
          </w:rPr>
          <w:fldChar w:fldCharType="begin"/>
        </w:r>
        <w:r>
          <w:rPr>
            <w:noProof/>
            <w:webHidden/>
          </w:rPr>
          <w:instrText xml:space="preserve"> PAGEREF _Toc127957627 \h </w:instrText>
        </w:r>
        <w:r>
          <w:rPr>
            <w:noProof/>
            <w:webHidden/>
          </w:rPr>
        </w:r>
        <w:r>
          <w:rPr>
            <w:noProof/>
            <w:webHidden/>
          </w:rPr>
          <w:fldChar w:fldCharType="separate"/>
        </w:r>
        <w:r w:rsidR="00B05C7F">
          <w:rPr>
            <w:noProof/>
            <w:webHidden/>
          </w:rPr>
          <w:t>67</w:t>
        </w:r>
        <w:r>
          <w:rPr>
            <w:noProof/>
            <w:webHidden/>
          </w:rPr>
          <w:fldChar w:fldCharType="end"/>
        </w:r>
      </w:hyperlink>
    </w:p>
    <w:p w14:paraId="14714629" w14:textId="77777777" w:rsidR="006C5F2A" w:rsidRPr="00FB04F6" w:rsidRDefault="006C5F2A">
      <w:pPr>
        <w:pStyle w:val="TM1"/>
        <w:tabs>
          <w:tab w:val="left" w:pos="440"/>
        </w:tabs>
        <w:rPr>
          <w:rFonts w:eastAsia="Times New Roman" w:cs="Times New Roman"/>
          <w:b w:val="0"/>
          <w:bCs w:val="0"/>
          <w:caps w:val="0"/>
          <w:noProof/>
          <w:sz w:val="22"/>
          <w:szCs w:val="22"/>
          <w:lang w:eastAsia="fr-FR"/>
        </w:rPr>
      </w:pPr>
      <w:hyperlink w:anchor="_Toc127957628" w:history="1">
        <w:r w:rsidRPr="00ED6DAE">
          <w:rPr>
            <w:rStyle w:val="Lienhypertexte"/>
            <w:noProof/>
          </w:rPr>
          <w:t>5.</w:t>
        </w:r>
        <w:r w:rsidRPr="00FB04F6">
          <w:rPr>
            <w:rFonts w:eastAsia="Times New Roman" w:cs="Times New Roman"/>
            <w:b w:val="0"/>
            <w:bCs w:val="0"/>
            <w:caps w:val="0"/>
            <w:noProof/>
            <w:sz w:val="22"/>
            <w:szCs w:val="22"/>
            <w:lang w:eastAsia="fr-FR"/>
          </w:rPr>
          <w:tab/>
        </w:r>
        <w:r w:rsidRPr="00ED6DAE">
          <w:rPr>
            <w:rStyle w:val="Lienhypertexte"/>
            <w:noProof/>
          </w:rPr>
          <w:t>Analyse du cadre juridique et institutionnel applicable au projet</w:t>
        </w:r>
        <w:r>
          <w:rPr>
            <w:noProof/>
            <w:webHidden/>
          </w:rPr>
          <w:tab/>
        </w:r>
        <w:r>
          <w:rPr>
            <w:noProof/>
            <w:webHidden/>
          </w:rPr>
          <w:fldChar w:fldCharType="begin"/>
        </w:r>
        <w:r>
          <w:rPr>
            <w:noProof/>
            <w:webHidden/>
          </w:rPr>
          <w:instrText xml:space="preserve"> PAGEREF _Toc127957628 \h </w:instrText>
        </w:r>
        <w:r>
          <w:rPr>
            <w:noProof/>
            <w:webHidden/>
          </w:rPr>
        </w:r>
        <w:r>
          <w:rPr>
            <w:noProof/>
            <w:webHidden/>
          </w:rPr>
          <w:fldChar w:fldCharType="separate"/>
        </w:r>
        <w:r w:rsidR="00B05C7F">
          <w:rPr>
            <w:noProof/>
            <w:webHidden/>
          </w:rPr>
          <w:t>69</w:t>
        </w:r>
        <w:r>
          <w:rPr>
            <w:noProof/>
            <w:webHidden/>
          </w:rPr>
          <w:fldChar w:fldCharType="end"/>
        </w:r>
      </w:hyperlink>
    </w:p>
    <w:p w14:paraId="589D585A" w14:textId="77777777" w:rsidR="006C5F2A" w:rsidRPr="00FB04F6" w:rsidRDefault="006C5F2A">
      <w:pPr>
        <w:pStyle w:val="TM2"/>
        <w:rPr>
          <w:rFonts w:eastAsia="Times New Roman" w:cs="Times New Roman"/>
          <w:smallCaps w:val="0"/>
          <w:noProof/>
          <w:sz w:val="22"/>
          <w:szCs w:val="22"/>
          <w:lang w:eastAsia="fr-FR"/>
        </w:rPr>
      </w:pPr>
      <w:hyperlink w:anchor="_Toc127957629" w:history="1">
        <w:r w:rsidRPr="00ED6DAE">
          <w:rPr>
            <w:rStyle w:val="Lienhypertexte"/>
            <w:noProof/>
          </w:rPr>
          <w:t>5.1.</w:t>
        </w:r>
        <w:r w:rsidRPr="00FB04F6">
          <w:rPr>
            <w:rFonts w:eastAsia="Times New Roman" w:cs="Times New Roman"/>
            <w:smallCaps w:val="0"/>
            <w:noProof/>
            <w:sz w:val="22"/>
            <w:szCs w:val="22"/>
            <w:lang w:eastAsia="fr-FR"/>
          </w:rPr>
          <w:tab/>
        </w:r>
        <w:r w:rsidRPr="00ED6DAE">
          <w:rPr>
            <w:rStyle w:val="Lienhypertexte"/>
            <w:noProof/>
          </w:rPr>
          <w:t>Principes généraux de base</w:t>
        </w:r>
        <w:r>
          <w:rPr>
            <w:noProof/>
            <w:webHidden/>
          </w:rPr>
          <w:tab/>
        </w:r>
        <w:r>
          <w:rPr>
            <w:noProof/>
            <w:webHidden/>
          </w:rPr>
          <w:fldChar w:fldCharType="begin"/>
        </w:r>
        <w:r>
          <w:rPr>
            <w:noProof/>
            <w:webHidden/>
          </w:rPr>
          <w:instrText xml:space="preserve"> PAGEREF _Toc127957629 \h </w:instrText>
        </w:r>
        <w:r>
          <w:rPr>
            <w:noProof/>
            <w:webHidden/>
          </w:rPr>
        </w:r>
        <w:r>
          <w:rPr>
            <w:noProof/>
            <w:webHidden/>
          </w:rPr>
          <w:fldChar w:fldCharType="separate"/>
        </w:r>
        <w:r w:rsidR="00B05C7F">
          <w:rPr>
            <w:noProof/>
            <w:webHidden/>
          </w:rPr>
          <w:t>69</w:t>
        </w:r>
        <w:r>
          <w:rPr>
            <w:noProof/>
            <w:webHidden/>
          </w:rPr>
          <w:fldChar w:fldCharType="end"/>
        </w:r>
      </w:hyperlink>
    </w:p>
    <w:p w14:paraId="27535D26" w14:textId="77777777" w:rsidR="006C5F2A" w:rsidRPr="00FB04F6" w:rsidRDefault="006C5F2A">
      <w:pPr>
        <w:pStyle w:val="TM2"/>
        <w:rPr>
          <w:rFonts w:eastAsia="Times New Roman" w:cs="Times New Roman"/>
          <w:smallCaps w:val="0"/>
          <w:noProof/>
          <w:sz w:val="22"/>
          <w:szCs w:val="22"/>
          <w:lang w:eastAsia="fr-FR"/>
        </w:rPr>
      </w:pPr>
      <w:hyperlink w:anchor="_Toc127957630" w:history="1">
        <w:r w:rsidRPr="00ED6DAE">
          <w:rPr>
            <w:rStyle w:val="Lienhypertexte"/>
            <w:noProof/>
          </w:rPr>
          <w:t>5.2.</w:t>
        </w:r>
        <w:r w:rsidRPr="00FB04F6">
          <w:rPr>
            <w:rFonts w:eastAsia="Times New Roman" w:cs="Times New Roman"/>
            <w:smallCaps w:val="0"/>
            <w:noProof/>
            <w:sz w:val="22"/>
            <w:szCs w:val="22"/>
            <w:lang w:eastAsia="fr-FR"/>
          </w:rPr>
          <w:tab/>
        </w:r>
        <w:r w:rsidRPr="00ED6DAE">
          <w:rPr>
            <w:rStyle w:val="Lienhypertexte"/>
            <w:noProof/>
          </w:rPr>
          <w:t>Cadre politique et stratégique</w:t>
        </w:r>
        <w:r>
          <w:rPr>
            <w:noProof/>
            <w:webHidden/>
          </w:rPr>
          <w:tab/>
        </w:r>
        <w:r>
          <w:rPr>
            <w:noProof/>
            <w:webHidden/>
          </w:rPr>
          <w:fldChar w:fldCharType="begin"/>
        </w:r>
        <w:r>
          <w:rPr>
            <w:noProof/>
            <w:webHidden/>
          </w:rPr>
          <w:instrText xml:space="preserve"> PAGEREF _Toc127957630 \h </w:instrText>
        </w:r>
        <w:r>
          <w:rPr>
            <w:noProof/>
            <w:webHidden/>
          </w:rPr>
        </w:r>
        <w:r>
          <w:rPr>
            <w:noProof/>
            <w:webHidden/>
          </w:rPr>
          <w:fldChar w:fldCharType="separate"/>
        </w:r>
        <w:r w:rsidR="00B05C7F">
          <w:rPr>
            <w:noProof/>
            <w:webHidden/>
          </w:rPr>
          <w:t>69</w:t>
        </w:r>
        <w:r>
          <w:rPr>
            <w:noProof/>
            <w:webHidden/>
          </w:rPr>
          <w:fldChar w:fldCharType="end"/>
        </w:r>
      </w:hyperlink>
    </w:p>
    <w:p w14:paraId="44293639" w14:textId="77777777" w:rsidR="006C5F2A" w:rsidRPr="00FB04F6" w:rsidRDefault="006C5F2A">
      <w:pPr>
        <w:pStyle w:val="TM3"/>
        <w:rPr>
          <w:rFonts w:eastAsia="Times New Roman" w:cs="Times New Roman"/>
          <w:i w:val="0"/>
          <w:iCs w:val="0"/>
          <w:noProof/>
          <w:sz w:val="22"/>
          <w:szCs w:val="22"/>
          <w:lang w:eastAsia="fr-FR"/>
        </w:rPr>
      </w:pPr>
      <w:hyperlink w:anchor="_Toc127957631" w:history="1">
        <w:r w:rsidRPr="00ED6DAE">
          <w:rPr>
            <w:rStyle w:val="Lienhypertexte"/>
            <w:noProof/>
          </w:rPr>
          <w:t>5.2.1.</w:t>
        </w:r>
        <w:r w:rsidRPr="00FB04F6">
          <w:rPr>
            <w:rFonts w:eastAsia="Times New Roman" w:cs="Times New Roman"/>
            <w:i w:val="0"/>
            <w:iCs w:val="0"/>
            <w:noProof/>
            <w:sz w:val="22"/>
            <w:szCs w:val="22"/>
            <w:lang w:eastAsia="fr-FR"/>
          </w:rPr>
          <w:tab/>
        </w:r>
        <w:r w:rsidRPr="00ED6DAE">
          <w:rPr>
            <w:rStyle w:val="Lienhypertexte"/>
            <w:noProof/>
          </w:rPr>
          <w:t>Politique générale de l’Etat et l’initiative d’émergence de Madagascar</w:t>
        </w:r>
        <w:r>
          <w:rPr>
            <w:noProof/>
            <w:webHidden/>
          </w:rPr>
          <w:tab/>
        </w:r>
        <w:r>
          <w:rPr>
            <w:noProof/>
            <w:webHidden/>
          </w:rPr>
          <w:fldChar w:fldCharType="begin"/>
        </w:r>
        <w:r>
          <w:rPr>
            <w:noProof/>
            <w:webHidden/>
          </w:rPr>
          <w:instrText xml:space="preserve"> PAGEREF _Toc127957631 \h </w:instrText>
        </w:r>
        <w:r>
          <w:rPr>
            <w:noProof/>
            <w:webHidden/>
          </w:rPr>
        </w:r>
        <w:r>
          <w:rPr>
            <w:noProof/>
            <w:webHidden/>
          </w:rPr>
          <w:fldChar w:fldCharType="separate"/>
        </w:r>
        <w:r w:rsidR="00B05C7F">
          <w:rPr>
            <w:noProof/>
            <w:webHidden/>
          </w:rPr>
          <w:t>69</w:t>
        </w:r>
        <w:r>
          <w:rPr>
            <w:noProof/>
            <w:webHidden/>
          </w:rPr>
          <w:fldChar w:fldCharType="end"/>
        </w:r>
      </w:hyperlink>
    </w:p>
    <w:p w14:paraId="7C12041E" w14:textId="77777777" w:rsidR="006C5F2A" w:rsidRPr="00FB04F6" w:rsidRDefault="006C5F2A">
      <w:pPr>
        <w:pStyle w:val="TM3"/>
        <w:rPr>
          <w:rFonts w:eastAsia="Times New Roman" w:cs="Times New Roman"/>
          <w:i w:val="0"/>
          <w:iCs w:val="0"/>
          <w:noProof/>
          <w:sz w:val="22"/>
          <w:szCs w:val="22"/>
          <w:lang w:eastAsia="fr-FR"/>
        </w:rPr>
      </w:pPr>
      <w:hyperlink w:anchor="_Toc127957632" w:history="1">
        <w:r w:rsidRPr="00ED6DAE">
          <w:rPr>
            <w:rStyle w:val="Lienhypertexte"/>
            <w:noProof/>
          </w:rPr>
          <w:t>5.2.2.</w:t>
        </w:r>
        <w:r w:rsidRPr="00FB04F6">
          <w:rPr>
            <w:rFonts w:eastAsia="Times New Roman" w:cs="Times New Roman"/>
            <w:i w:val="0"/>
            <w:iCs w:val="0"/>
            <w:noProof/>
            <w:sz w:val="22"/>
            <w:szCs w:val="22"/>
            <w:lang w:eastAsia="fr-FR"/>
          </w:rPr>
          <w:tab/>
        </w:r>
        <w:r w:rsidRPr="00ED6DAE">
          <w:rPr>
            <w:rStyle w:val="Lienhypertexte"/>
            <w:noProof/>
          </w:rPr>
          <w:t>Politique et stratégie de l’énergie</w:t>
        </w:r>
        <w:r>
          <w:rPr>
            <w:noProof/>
            <w:webHidden/>
          </w:rPr>
          <w:tab/>
        </w:r>
        <w:r>
          <w:rPr>
            <w:noProof/>
            <w:webHidden/>
          </w:rPr>
          <w:fldChar w:fldCharType="begin"/>
        </w:r>
        <w:r>
          <w:rPr>
            <w:noProof/>
            <w:webHidden/>
          </w:rPr>
          <w:instrText xml:space="preserve"> PAGEREF _Toc127957632 \h </w:instrText>
        </w:r>
        <w:r>
          <w:rPr>
            <w:noProof/>
            <w:webHidden/>
          </w:rPr>
        </w:r>
        <w:r>
          <w:rPr>
            <w:noProof/>
            <w:webHidden/>
          </w:rPr>
          <w:fldChar w:fldCharType="separate"/>
        </w:r>
        <w:r w:rsidR="00B05C7F">
          <w:rPr>
            <w:noProof/>
            <w:webHidden/>
          </w:rPr>
          <w:t>70</w:t>
        </w:r>
        <w:r>
          <w:rPr>
            <w:noProof/>
            <w:webHidden/>
          </w:rPr>
          <w:fldChar w:fldCharType="end"/>
        </w:r>
      </w:hyperlink>
    </w:p>
    <w:p w14:paraId="5A34E3D0" w14:textId="77777777" w:rsidR="006C5F2A" w:rsidRPr="00FB04F6" w:rsidRDefault="006C5F2A">
      <w:pPr>
        <w:pStyle w:val="TM3"/>
        <w:rPr>
          <w:rFonts w:eastAsia="Times New Roman" w:cs="Times New Roman"/>
          <w:i w:val="0"/>
          <w:iCs w:val="0"/>
          <w:noProof/>
          <w:sz w:val="22"/>
          <w:szCs w:val="22"/>
          <w:lang w:eastAsia="fr-FR"/>
        </w:rPr>
      </w:pPr>
      <w:hyperlink w:anchor="_Toc127957633" w:history="1">
        <w:r w:rsidRPr="00ED6DAE">
          <w:rPr>
            <w:rStyle w:val="Lienhypertexte"/>
            <w:noProof/>
          </w:rPr>
          <w:t>5.2.3.</w:t>
        </w:r>
        <w:r w:rsidRPr="00FB04F6">
          <w:rPr>
            <w:rFonts w:eastAsia="Times New Roman" w:cs="Times New Roman"/>
            <w:i w:val="0"/>
            <w:iCs w:val="0"/>
            <w:noProof/>
            <w:sz w:val="22"/>
            <w:szCs w:val="22"/>
            <w:lang w:eastAsia="fr-FR"/>
          </w:rPr>
          <w:tab/>
        </w:r>
        <w:r w:rsidRPr="00ED6DAE">
          <w:rPr>
            <w:rStyle w:val="Lienhypertexte"/>
            <w:noProof/>
          </w:rPr>
          <w:t>Politique nationale en matière d’environnement</w:t>
        </w:r>
        <w:r>
          <w:rPr>
            <w:noProof/>
            <w:webHidden/>
          </w:rPr>
          <w:tab/>
        </w:r>
        <w:r>
          <w:rPr>
            <w:noProof/>
            <w:webHidden/>
          </w:rPr>
          <w:fldChar w:fldCharType="begin"/>
        </w:r>
        <w:r>
          <w:rPr>
            <w:noProof/>
            <w:webHidden/>
          </w:rPr>
          <w:instrText xml:space="preserve"> PAGEREF _Toc127957633 \h </w:instrText>
        </w:r>
        <w:r>
          <w:rPr>
            <w:noProof/>
            <w:webHidden/>
          </w:rPr>
        </w:r>
        <w:r>
          <w:rPr>
            <w:noProof/>
            <w:webHidden/>
          </w:rPr>
          <w:fldChar w:fldCharType="separate"/>
        </w:r>
        <w:r w:rsidR="00B05C7F">
          <w:rPr>
            <w:noProof/>
            <w:webHidden/>
          </w:rPr>
          <w:t>70</w:t>
        </w:r>
        <w:r>
          <w:rPr>
            <w:noProof/>
            <w:webHidden/>
          </w:rPr>
          <w:fldChar w:fldCharType="end"/>
        </w:r>
      </w:hyperlink>
    </w:p>
    <w:p w14:paraId="3A149893" w14:textId="77777777" w:rsidR="006C5F2A" w:rsidRPr="00FB04F6" w:rsidRDefault="006C5F2A">
      <w:pPr>
        <w:pStyle w:val="TM3"/>
        <w:rPr>
          <w:rFonts w:eastAsia="Times New Roman" w:cs="Times New Roman"/>
          <w:i w:val="0"/>
          <w:iCs w:val="0"/>
          <w:noProof/>
          <w:sz w:val="22"/>
          <w:szCs w:val="22"/>
          <w:lang w:eastAsia="fr-FR"/>
        </w:rPr>
      </w:pPr>
      <w:hyperlink w:anchor="_Toc127957634" w:history="1">
        <w:r w:rsidRPr="00ED6DAE">
          <w:rPr>
            <w:rStyle w:val="Lienhypertexte"/>
            <w:noProof/>
          </w:rPr>
          <w:t>5.2.4.</w:t>
        </w:r>
        <w:r w:rsidRPr="00FB04F6">
          <w:rPr>
            <w:rFonts w:eastAsia="Times New Roman" w:cs="Times New Roman"/>
            <w:i w:val="0"/>
            <w:iCs w:val="0"/>
            <w:noProof/>
            <w:sz w:val="22"/>
            <w:szCs w:val="22"/>
            <w:lang w:eastAsia="fr-FR"/>
          </w:rPr>
          <w:tab/>
        </w:r>
        <w:r w:rsidRPr="00ED6DAE">
          <w:rPr>
            <w:rStyle w:val="Lienhypertexte"/>
            <w:noProof/>
          </w:rPr>
          <w:t>Politique nationale sur la santé publique</w:t>
        </w:r>
        <w:r>
          <w:rPr>
            <w:noProof/>
            <w:webHidden/>
          </w:rPr>
          <w:tab/>
        </w:r>
        <w:r>
          <w:rPr>
            <w:noProof/>
            <w:webHidden/>
          </w:rPr>
          <w:fldChar w:fldCharType="begin"/>
        </w:r>
        <w:r>
          <w:rPr>
            <w:noProof/>
            <w:webHidden/>
          </w:rPr>
          <w:instrText xml:space="preserve"> PAGEREF _Toc127957634 \h </w:instrText>
        </w:r>
        <w:r>
          <w:rPr>
            <w:noProof/>
            <w:webHidden/>
          </w:rPr>
        </w:r>
        <w:r>
          <w:rPr>
            <w:noProof/>
            <w:webHidden/>
          </w:rPr>
          <w:fldChar w:fldCharType="separate"/>
        </w:r>
        <w:r w:rsidR="00B05C7F">
          <w:rPr>
            <w:noProof/>
            <w:webHidden/>
          </w:rPr>
          <w:t>71</w:t>
        </w:r>
        <w:r>
          <w:rPr>
            <w:noProof/>
            <w:webHidden/>
          </w:rPr>
          <w:fldChar w:fldCharType="end"/>
        </w:r>
      </w:hyperlink>
    </w:p>
    <w:p w14:paraId="432E1C77" w14:textId="77777777" w:rsidR="006C5F2A" w:rsidRPr="00FB04F6" w:rsidRDefault="006C5F2A">
      <w:pPr>
        <w:pStyle w:val="TM3"/>
        <w:rPr>
          <w:rFonts w:eastAsia="Times New Roman" w:cs="Times New Roman"/>
          <w:i w:val="0"/>
          <w:iCs w:val="0"/>
          <w:noProof/>
          <w:sz w:val="22"/>
          <w:szCs w:val="22"/>
          <w:lang w:eastAsia="fr-FR"/>
        </w:rPr>
      </w:pPr>
      <w:hyperlink w:anchor="_Toc127957635" w:history="1">
        <w:r w:rsidRPr="00ED6DAE">
          <w:rPr>
            <w:rStyle w:val="Lienhypertexte"/>
            <w:noProof/>
          </w:rPr>
          <w:t>5.2.5.</w:t>
        </w:r>
        <w:r w:rsidRPr="00FB04F6">
          <w:rPr>
            <w:rFonts w:eastAsia="Times New Roman" w:cs="Times New Roman"/>
            <w:i w:val="0"/>
            <w:iCs w:val="0"/>
            <w:noProof/>
            <w:sz w:val="22"/>
            <w:szCs w:val="22"/>
            <w:lang w:eastAsia="fr-FR"/>
          </w:rPr>
          <w:tab/>
        </w:r>
        <w:r w:rsidRPr="00ED6DAE">
          <w:rPr>
            <w:rStyle w:val="Lienhypertexte"/>
            <w:noProof/>
          </w:rPr>
          <w:t>Politique nationale sur le genre</w:t>
        </w:r>
        <w:r>
          <w:rPr>
            <w:noProof/>
            <w:webHidden/>
          </w:rPr>
          <w:tab/>
        </w:r>
        <w:r>
          <w:rPr>
            <w:noProof/>
            <w:webHidden/>
          </w:rPr>
          <w:fldChar w:fldCharType="begin"/>
        </w:r>
        <w:r>
          <w:rPr>
            <w:noProof/>
            <w:webHidden/>
          </w:rPr>
          <w:instrText xml:space="preserve"> PAGEREF _Toc127957635 \h </w:instrText>
        </w:r>
        <w:r>
          <w:rPr>
            <w:noProof/>
            <w:webHidden/>
          </w:rPr>
        </w:r>
        <w:r>
          <w:rPr>
            <w:noProof/>
            <w:webHidden/>
          </w:rPr>
          <w:fldChar w:fldCharType="separate"/>
        </w:r>
        <w:r w:rsidR="00B05C7F">
          <w:rPr>
            <w:noProof/>
            <w:webHidden/>
          </w:rPr>
          <w:t>72</w:t>
        </w:r>
        <w:r>
          <w:rPr>
            <w:noProof/>
            <w:webHidden/>
          </w:rPr>
          <w:fldChar w:fldCharType="end"/>
        </w:r>
      </w:hyperlink>
    </w:p>
    <w:p w14:paraId="5B06CBA2" w14:textId="77777777" w:rsidR="006C5F2A" w:rsidRPr="00FB04F6" w:rsidRDefault="006C5F2A">
      <w:pPr>
        <w:pStyle w:val="TM3"/>
        <w:rPr>
          <w:rFonts w:eastAsia="Times New Roman" w:cs="Times New Roman"/>
          <w:i w:val="0"/>
          <w:iCs w:val="0"/>
          <w:noProof/>
          <w:sz w:val="22"/>
          <w:szCs w:val="22"/>
          <w:lang w:eastAsia="fr-FR"/>
        </w:rPr>
      </w:pPr>
      <w:hyperlink w:anchor="_Toc127957636" w:history="1">
        <w:r w:rsidRPr="00ED6DAE">
          <w:rPr>
            <w:rStyle w:val="Lienhypertexte"/>
            <w:noProof/>
          </w:rPr>
          <w:t>5.2.6.</w:t>
        </w:r>
        <w:r w:rsidRPr="00FB04F6">
          <w:rPr>
            <w:rFonts w:eastAsia="Times New Roman" w:cs="Times New Roman"/>
            <w:i w:val="0"/>
            <w:iCs w:val="0"/>
            <w:noProof/>
            <w:sz w:val="22"/>
            <w:szCs w:val="22"/>
            <w:lang w:eastAsia="fr-FR"/>
          </w:rPr>
          <w:tab/>
        </w:r>
        <w:r w:rsidRPr="00ED6DAE">
          <w:rPr>
            <w:rStyle w:val="Lienhypertexte"/>
            <w:noProof/>
          </w:rPr>
          <w:t>Politique nationale sur l’aménagement du territoire et du foncier</w:t>
        </w:r>
        <w:r>
          <w:rPr>
            <w:noProof/>
            <w:webHidden/>
          </w:rPr>
          <w:tab/>
        </w:r>
        <w:r>
          <w:rPr>
            <w:noProof/>
            <w:webHidden/>
          </w:rPr>
          <w:fldChar w:fldCharType="begin"/>
        </w:r>
        <w:r>
          <w:rPr>
            <w:noProof/>
            <w:webHidden/>
          </w:rPr>
          <w:instrText xml:space="preserve"> PAGEREF _Toc127957636 \h </w:instrText>
        </w:r>
        <w:r>
          <w:rPr>
            <w:noProof/>
            <w:webHidden/>
          </w:rPr>
        </w:r>
        <w:r>
          <w:rPr>
            <w:noProof/>
            <w:webHidden/>
          </w:rPr>
          <w:fldChar w:fldCharType="separate"/>
        </w:r>
        <w:r w:rsidR="00B05C7F">
          <w:rPr>
            <w:noProof/>
            <w:webHidden/>
          </w:rPr>
          <w:t>73</w:t>
        </w:r>
        <w:r>
          <w:rPr>
            <w:noProof/>
            <w:webHidden/>
          </w:rPr>
          <w:fldChar w:fldCharType="end"/>
        </w:r>
      </w:hyperlink>
    </w:p>
    <w:p w14:paraId="2EBEEDDA" w14:textId="77777777" w:rsidR="006C5F2A" w:rsidRPr="00FB04F6" w:rsidRDefault="006C5F2A">
      <w:pPr>
        <w:pStyle w:val="TM2"/>
        <w:rPr>
          <w:rFonts w:eastAsia="Times New Roman" w:cs="Times New Roman"/>
          <w:smallCaps w:val="0"/>
          <w:noProof/>
          <w:sz w:val="22"/>
          <w:szCs w:val="22"/>
          <w:lang w:eastAsia="fr-FR"/>
        </w:rPr>
      </w:pPr>
      <w:hyperlink w:anchor="_Toc127957637" w:history="1">
        <w:r w:rsidRPr="00ED6DAE">
          <w:rPr>
            <w:rStyle w:val="Lienhypertexte"/>
            <w:noProof/>
          </w:rPr>
          <w:t>5.3.</w:t>
        </w:r>
        <w:r w:rsidRPr="00FB04F6">
          <w:rPr>
            <w:rFonts w:eastAsia="Times New Roman" w:cs="Times New Roman"/>
            <w:smallCaps w:val="0"/>
            <w:noProof/>
            <w:sz w:val="22"/>
            <w:szCs w:val="22"/>
            <w:lang w:eastAsia="fr-FR"/>
          </w:rPr>
          <w:tab/>
        </w:r>
        <w:r w:rsidRPr="00ED6DAE">
          <w:rPr>
            <w:rStyle w:val="Lienhypertexte"/>
            <w:noProof/>
          </w:rPr>
          <w:t>Cadre législatif national</w:t>
        </w:r>
        <w:r>
          <w:rPr>
            <w:noProof/>
            <w:webHidden/>
          </w:rPr>
          <w:tab/>
        </w:r>
        <w:r>
          <w:rPr>
            <w:noProof/>
            <w:webHidden/>
          </w:rPr>
          <w:fldChar w:fldCharType="begin"/>
        </w:r>
        <w:r>
          <w:rPr>
            <w:noProof/>
            <w:webHidden/>
          </w:rPr>
          <w:instrText xml:space="preserve"> PAGEREF _Toc127957637 \h </w:instrText>
        </w:r>
        <w:r>
          <w:rPr>
            <w:noProof/>
            <w:webHidden/>
          </w:rPr>
        </w:r>
        <w:r>
          <w:rPr>
            <w:noProof/>
            <w:webHidden/>
          </w:rPr>
          <w:fldChar w:fldCharType="separate"/>
        </w:r>
        <w:r w:rsidR="00B05C7F">
          <w:rPr>
            <w:noProof/>
            <w:webHidden/>
          </w:rPr>
          <w:t>74</w:t>
        </w:r>
        <w:r>
          <w:rPr>
            <w:noProof/>
            <w:webHidden/>
          </w:rPr>
          <w:fldChar w:fldCharType="end"/>
        </w:r>
      </w:hyperlink>
    </w:p>
    <w:p w14:paraId="6DB7A287" w14:textId="77777777" w:rsidR="006C5F2A" w:rsidRPr="00FB04F6" w:rsidRDefault="006C5F2A">
      <w:pPr>
        <w:pStyle w:val="TM3"/>
        <w:rPr>
          <w:rFonts w:eastAsia="Times New Roman" w:cs="Times New Roman"/>
          <w:i w:val="0"/>
          <w:iCs w:val="0"/>
          <w:noProof/>
          <w:sz w:val="22"/>
          <w:szCs w:val="22"/>
          <w:lang w:eastAsia="fr-FR"/>
        </w:rPr>
      </w:pPr>
      <w:hyperlink w:anchor="_Toc127957638" w:history="1">
        <w:r w:rsidRPr="00ED6DAE">
          <w:rPr>
            <w:rStyle w:val="Lienhypertexte"/>
            <w:noProof/>
          </w:rPr>
          <w:t>5.3.1.</w:t>
        </w:r>
        <w:r w:rsidRPr="00FB04F6">
          <w:rPr>
            <w:rFonts w:eastAsia="Times New Roman" w:cs="Times New Roman"/>
            <w:i w:val="0"/>
            <w:iCs w:val="0"/>
            <w:noProof/>
            <w:sz w:val="22"/>
            <w:szCs w:val="22"/>
            <w:lang w:eastAsia="fr-FR"/>
          </w:rPr>
          <w:tab/>
        </w:r>
        <w:r w:rsidRPr="00ED6DAE">
          <w:rPr>
            <w:rStyle w:val="Lienhypertexte"/>
            <w:noProof/>
          </w:rPr>
          <w:t>Cadre législatif régissant le secteur énergie</w:t>
        </w:r>
        <w:r>
          <w:rPr>
            <w:noProof/>
            <w:webHidden/>
          </w:rPr>
          <w:tab/>
        </w:r>
        <w:r>
          <w:rPr>
            <w:noProof/>
            <w:webHidden/>
          </w:rPr>
          <w:fldChar w:fldCharType="begin"/>
        </w:r>
        <w:r>
          <w:rPr>
            <w:noProof/>
            <w:webHidden/>
          </w:rPr>
          <w:instrText xml:space="preserve"> PAGEREF _Toc127957638 \h </w:instrText>
        </w:r>
        <w:r>
          <w:rPr>
            <w:noProof/>
            <w:webHidden/>
          </w:rPr>
        </w:r>
        <w:r>
          <w:rPr>
            <w:noProof/>
            <w:webHidden/>
          </w:rPr>
          <w:fldChar w:fldCharType="separate"/>
        </w:r>
        <w:r w:rsidR="00B05C7F">
          <w:rPr>
            <w:noProof/>
            <w:webHidden/>
          </w:rPr>
          <w:t>74</w:t>
        </w:r>
        <w:r>
          <w:rPr>
            <w:noProof/>
            <w:webHidden/>
          </w:rPr>
          <w:fldChar w:fldCharType="end"/>
        </w:r>
      </w:hyperlink>
    </w:p>
    <w:p w14:paraId="38E3092F" w14:textId="77777777" w:rsidR="006C5F2A" w:rsidRPr="00FB04F6" w:rsidRDefault="006C5F2A">
      <w:pPr>
        <w:pStyle w:val="TM3"/>
        <w:rPr>
          <w:rFonts w:eastAsia="Times New Roman" w:cs="Times New Roman"/>
          <w:i w:val="0"/>
          <w:iCs w:val="0"/>
          <w:noProof/>
          <w:sz w:val="22"/>
          <w:szCs w:val="22"/>
          <w:lang w:eastAsia="fr-FR"/>
        </w:rPr>
      </w:pPr>
      <w:hyperlink w:anchor="_Toc127957639" w:history="1">
        <w:r w:rsidRPr="00ED6DAE">
          <w:rPr>
            <w:rStyle w:val="Lienhypertexte"/>
            <w:noProof/>
          </w:rPr>
          <w:t>5.3.2.</w:t>
        </w:r>
        <w:r w:rsidRPr="00FB04F6">
          <w:rPr>
            <w:rFonts w:eastAsia="Times New Roman" w:cs="Times New Roman"/>
            <w:i w:val="0"/>
            <w:iCs w:val="0"/>
            <w:noProof/>
            <w:sz w:val="22"/>
            <w:szCs w:val="22"/>
            <w:lang w:eastAsia="fr-FR"/>
          </w:rPr>
          <w:tab/>
        </w:r>
        <w:r w:rsidRPr="00ED6DAE">
          <w:rPr>
            <w:rStyle w:val="Lienhypertexte"/>
            <w:noProof/>
          </w:rPr>
          <w:t>Cadre législatif régissant le secteur numérique</w:t>
        </w:r>
        <w:r>
          <w:rPr>
            <w:noProof/>
            <w:webHidden/>
          </w:rPr>
          <w:tab/>
        </w:r>
        <w:r>
          <w:rPr>
            <w:noProof/>
            <w:webHidden/>
          </w:rPr>
          <w:fldChar w:fldCharType="begin"/>
        </w:r>
        <w:r>
          <w:rPr>
            <w:noProof/>
            <w:webHidden/>
          </w:rPr>
          <w:instrText xml:space="preserve"> PAGEREF _Toc127957639 \h </w:instrText>
        </w:r>
        <w:r>
          <w:rPr>
            <w:noProof/>
            <w:webHidden/>
          </w:rPr>
        </w:r>
        <w:r>
          <w:rPr>
            <w:noProof/>
            <w:webHidden/>
          </w:rPr>
          <w:fldChar w:fldCharType="separate"/>
        </w:r>
        <w:r w:rsidR="00B05C7F">
          <w:rPr>
            <w:noProof/>
            <w:webHidden/>
          </w:rPr>
          <w:t>77</w:t>
        </w:r>
        <w:r>
          <w:rPr>
            <w:noProof/>
            <w:webHidden/>
          </w:rPr>
          <w:fldChar w:fldCharType="end"/>
        </w:r>
      </w:hyperlink>
    </w:p>
    <w:p w14:paraId="78E41887" w14:textId="77777777" w:rsidR="006C5F2A" w:rsidRPr="00FB04F6" w:rsidRDefault="006C5F2A">
      <w:pPr>
        <w:pStyle w:val="TM3"/>
        <w:rPr>
          <w:rFonts w:eastAsia="Times New Roman" w:cs="Times New Roman"/>
          <w:i w:val="0"/>
          <w:iCs w:val="0"/>
          <w:noProof/>
          <w:sz w:val="22"/>
          <w:szCs w:val="22"/>
          <w:lang w:eastAsia="fr-FR"/>
        </w:rPr>
      </w:pPr>
      <w:hyperlink w:anchor="_Toc127957640" w:history="1">
        <w:r w:rsidRPr="00ED6DAE">
          <w:rPr>
            <w:rStyle w:val="Lienhypertexte"/>
            <w:noProof/>
          </w:rPr>
          <w:t>5.3.3.</w:t>
        </w:r>
        <w:r w:rsidRPr="00FB04F6">
          <w:rPr>
            <w:rFonts w:eastAsia="Times New Roman" w:cs="Times New Roman"/>
            <w:i w:val="0"/>
            <w:iCs w:val="0"/>
            <w:noProof/>
            <w:sz w:val="22"/>
            <w:szCs w:val="22"/>
            <w:lang w:eastAsia="fr-FR"/>
          </w:rPr>
          <w:tab/>
        </w:r>
        <w:r w:rsidRPr="00ED6DAE">
          <w:rPr>
            <w:rStyle w:val="Lienhypertexte"/>
            <w:noProof/>
          </w:rPr>
          <w:t>Cadre législatif régissant l’environnement</w:t>
        </w:r>
        <w:r>
          <w:rPr>
            <w:noProof/>
            <w:webHidden/>
          </w:rPr>
          <w:tab/>
        </w:r>
        <w:r>
          <w:rPr>
            <w:noProof/>
            <w:webHidden/>
          </w:rPr>
          <w:fldChar w:fldCharType="begin"/>
        </w:r>
        <w:r>
          <w:rPr>
            <w:noProof/>
            <w:webHidden/>
          </w:rPr>
          <w:instrText xml:space="preserve"> PAGEREF _Toc127957640 \h </w:instrText>
        </w:r>
        <w:r>
          <w:rPr>
            <w:noProof/>
            <w:webHidden/>
          </w:rPr>
        </w:r>
        <w:r>
          <w:rPr>
            <w:noProof/>
            <w:webHidden/>
          </w:rPr>
          <w:fldChar w:fldCharType="separate"/>
        </w:r>
        <w:r w:rsidR="00B05C7F">
          <w:rPr>
            <w:noProof/>
            <w:webHidden/>
          </w:rPr>
          <w:t>79</w:t>
        </w:r>
        <w:r>
          <w:rPr>
            <w:noProof/>
            <w:webHidden/>
          </w:rPr>
          <w:fldChar w:fldCharType="end"/>
        </w:r>
      </w:hyperlink>
    </w:p>
    <w:p w14:paraId="618DE5AE" w14:textId="77777777" w:rsidR="006C5F2A" w:rsidRPr="00FB04F6" w:rsidRDefault="006C5F2A">
      <w:pPr>
        <w:pStyle w:val="TM3"/>
        <w:rPr>
          <w:rFonts w:eastAsia="Times New Roman" w:cs="Times New Roman"/>
          <w:i w:val="0"/>
          <w:iCs w:val="0"/>
          <w:noProof/>
          <w:sz w:val="22"/>
          <w:szCs w:val="22"/>
          <w:lang w:eastAsia="fr-FR"/>
        </w:rPr>
      </w:pPr>
      <w:hyperlink w:anchor="_Toc127957641" w:history="1">
        <w:r w:rsidRPr="00ED6DAE">
          <w:rPr>
            <w:rStyle w:val="Lienhypertexte"/>
            <w:noProof/>
          </w:rPr>
          <w:t>5.3.4.</w:t>
        </w:r>
        <w:r w:rsidRPr="00FB04F6">
          <w:rPr>
            <w:rFonts w:eastAsia="Times New Roman" w:cs="Times New Roman"/>
            <w:i w:val="0"/>
            <w:iCs w:val="0"/>
            <w:noProof/>
            <w:sz w:val="22"/>
            <w:szCs w:val="22"/>
            <w:lang w:eastAsia="fr-FR"/>
          </w:rPr>
          <w:tab/>
        </w:r>
        <w:r w:rsidRPr="00ED6DAE">
          <w:rPr>
            <w:rStyle w:val="Lienhypertexte"/>
            <w:noProof/>
          </w:rPr>
          <w:t>Cadre législatif régissant la santé</w:t>
        </w:r>
        <w:r>
          <w:rPr>
            <w:noProof/>
            <w:webHidden/>
          </w:rPr>
          <w:tab/>
        </w:r>
        <w:r>
          <w:rPr>
            <w:noProof/>
            <w:webHidden/>
          </w:rPr>
          <w:fldChar w:fldCharType="begin"/>
        </w:r>
        <w:r>
          <w:rPr>
            <w:noProof/>
            <w:webHidden/>
          </w:rPr>
          <w:instrText xml:space="preserve"> PAGEREF _Toc127957641 \h </w:instrText>
        </w:r>
        <w:r>
          <w:rPr>
            <w:noProof/>
            <w:webHidden/>
          </w:rPr>
        </w:r>
        <w:r>
          <w:rPr>
            <w:noProof/>
            <w:webHidden/>
          </w:rPr>
          <w:fldChar w:fldCharType="separate"/>
        </w:r>
        <w:r w:rsidR="00B05C7F">
          <w:rPr>
            <w:noProof/>
            <w:webHidden/>
          </w:rPr>
          <w:t>81</w:t>
        </w:r>
        <w:r>
          <w:rPr>
            <w:noProof/>
            <w:webHidden/>
          </w:rPr>
          <w:fldChar w:fldCharType="end"/>
        </w:r>
      </w:hyperlink>
    </w:p>
    <w:p w14:paraId="1BB1411E" w14:textId="77777777" w:rsidR="006C5F2A" w:rsidRPr="00FB04F6" w:rsidRDefault="006C5F2A">
      <w:pPr>
        <w:pStyle w:val="TM3"/>
        <w:rPr>
          <w:rFonts w:eastAsia="Times New Roman" w:cs="Times New Roman"/>
          <w:i w:val="0"/>
          <w:iCs w:val="0"/>
          <w:noProof/>
          <w:sz w:val="22"/>
          <w:szCs w:val="22"/>
          <w:lang w:eastAsia="fr-FR"/>
        </w:rPr>
      </w:pPr>
      <w:hyperlink w:anchor="_Toc127957642" w:history="1">
        <w:r w:rsidRPr="00ED6DAE">
          <w:rPr>
            <w:rStyle w:val="Lienhypertexte"/>
            <w:noProof/>
          </w:rPr>
          <w:t>5.3.5.</w:t>
        </w:r>
        <w:r w:rsidRPr="00FB04F6">
          <w:rPr>
            <w:rFonts w:eastAsia="Times New Roman" w:cs="Times New Roman"/>
            <w:i w:val="0"/>
            <w:iCs w:val="0"/>
            <w:noProof/>
            <w:sz w:val="22"/>
            <w:szCs w:val="22"/>
            <w:lang w:eastAsia="fr-FR"/>
          </w:rPr>
          <w:tab/>
        </w:r>
        <w:r w:rsidRPr="00ED6DAE">
          <w:rPr>
            <w:rStyle w:val="Lienhypertexte"/>
            <w:noProof/>
          </w:rPr>
          <w:t>Cadre législatif régissant le travail et l’emploi</w:t>
        </w:r>
        <w:r>
          <w:rPr>
            <w:noProof/>
            <w:webHidden/>
          </w:rPr>
          <w:tab/>
        </w:r>
        <w:r>
          <w:rPr>
            <w:noProof/>
            <w:webHidden/>
          </w:rPr>
          <w:fldChar w:fldCharType="begin"/>
        </w:r>
        <w:r>
          <w:rPr>
            <w:noProof/>
            <w:webHidden/>
          </w:rPr>
          <w:instrText xml:space="preserve"> PAGEREF _Toc127957642 \h </w:instrText>
        </w:r>
        <w:r>
          <w:rPr>
            <w:noProof/>
            <w:webHidden/>
          </w:rPr>
        </w:r>
        <w:r>
          <w:rPr>
            <w:noProof/>
            <w:webHidden/>
          </w:rPr>
          <w:fldChar w:fldCharType="separate"/>
        </w:r>
        <w:r w:rsidR="00B05C7F">
          <w:rPr>
            <w:noProof/>
            <w:webHidden/>
          </w:rPr>
          <w:t>83</w:t>
        </w:r>
        <w:r>
          <w:rPr>
            <w:noProof/>
            <w:webHidden/>
          </w:rPr>
          <w:fldChar w:fldCharType="end"/>
        </w:r>
      </w:hyperlink>
    </w:p>
    <w:p w14:paraId="7A1BEDDE" w14:textId="77777777" w:rsidR="006C5F2A" w:rsidRPr="00FB04F6" w:rsidRDefault="006C5F2A">
      <w:pPr>
        <w:pStyle w:val="TM3"/>
        <w:rPr>
          <w:rFonts w:eastAsia="Times New Roman" w:cs="Times New Roman"/>
          <w:i w:val="0"/>
          <w:iCs w:val="0"/>
          <w:noProof/>
          <w:sz w:val="22"/>
          <w:szCs w:val="22"/>
          <w:lang w:eastAsia="fr-FR"/>
        </w:rPr>
      </w:pPr>
      <w:hyperlink w:anchor="_Toc127957643" w:history="1">
        <w:r w:rsidRPr="00ED6DAE">
          <w:rPr>
            <w:rStyle w:val="Lienhypertexte"/>
            <w:noProof/>
          </w:rPr>
          <w:t>5.3.6.</w:t>
        </w:r>
        <w:r w:rsidRPr="00FB04F6">
          <w:rPr>
            <w:rFonts w:eastAsia="Times New Roman" w:cs="Times New Roman"/>
            <w:i w:val="0"/>
            <w:iCs w:val="0"/>
            <w:noProof/>
            <w:sz w:val="22"/>
            <w:szCs w:val="22"/>
            <w:lang w:eastAsia="fr-FR"/>
          </w:rPr>
          <w:tab/>
        </w:r>
        <w:r w:rsidRPr="00ED6DAE">
          <w:rPr>
            <w:rStyle w:val="Lienhypertexte"/>
            <w:noProof/>
          </w:rPr>
          <w:t>Cadre législatif régissant le genre</w:t>
        </w:r>
        <w:r>
          <w:rPr>
            <w:noProof/>
            <w:webHidden/>
          </w:rPr>
          <w:tab/>
        </w:r>
        <w:r>
          <w:rPr>
            <w:noProof/>
            <w:webHidden/>
          </w:rPr>
          <w:fldChar w:fldCharType="begin"/>
        </w:r>
        <w:r>
          <w:rPr>
            <w:noProof/>
            <w:webHidden/>
          </w:rPr>
          <w:instrText xml:space="preserve"> PAGEREF _Toc127957643 \h </w:instrText>
        </w:r>
        <w:r>
          <w:rPr>
            <w:noProof/>
            <w:webHidden/>
          </w:rPr>
        </w:r>
        <w:r>
          <w:rPr>
            <w:noProof/>
            <w:webHidden/>
          </w:rPr>
          <w:fldChar w:fldCharType="separate"/>
        </w:r>
        <w:r w:rsidR="00B05C7F">
          <w:rPr>
            <w:noProof/>
            <w:webHidden/>
          </w:rPr>
          <w:t>84</w:t>
        </w:r>
        <w:r>
          <w:rPr>
            <w:noProof/>
            <w:webHidden/>
          </w:rPr>
          <w:fldChar w:fldCharType="end"/>
        </w:r>
      </w:hyperlink>
    </w:p>
    <w:p w14:paraId="1C8152EA" w14:textId="77777777" w:rsidR="006C5F2A" w:rsidRPr="00FB04F6" w:rsidRDefault="006C5F2A">
      <w:pPr>
        <w:pStyle w:val="TM3"/>
        <w:rPr>
          <w:rFonts w:eastAsia="Times New Roman" w:cs="Times New Roman"/>
          <w:i w:val="0"/>
          <w:iCs w:val="0"/>
          <w:noProof/>
          <w:sz w:val="22"/>
          <w:szCs w:val="22"/>
          <w:lang w:eastAsia="fr-FR"/>
        </w:rPr>
      </w:pPr>
      <w:hyperlink w:anchor="_Toc127957644" w:history="1">
        <w:r w:rsidRPr="00ED6DAE">
          <w:rPr>
            <w:rStyle w:val="Lienhypertexte"/>
            <w:noProof/>
          </w:rPr>
          <w:t>5.3.7.</w:t>
        </w:r>
        <w:r w:rsidRPr="00FB04F6">
          <w:rPr>
            <w:rFonts w:eastAsia="Times New Roman" w:cs="Times New Roman"/>
            <w:i w:val="0"/>
            <w:iCs w:val="0"/>
            <w:noProof/>
            <w:sz w:val="22"/>
            <w:szCs w:val="22"/>
            <w:lang w:eastAsia="fr-FR"/>
          </w:rPr>
          <w:tab/>
        </w:r>
        <w:r w:rsidRPr="00ED6DAE">
          <w:rPr>
            <w:rStyle w:val="Lienhypertexte"/>
            <w:noProof/>
          </w:rPr>
          <w:t>Cadre législatif régissant l’aménagement du territoire et du foncier</w:t>
        </w:r>
        <w:r>
          <w:rPr>
            <w:noProof/>
            <w:webHidden/>
          </w:rPr>
          <w:tab/>
        </w:r>
        <w:r>
          <w:rPr>
            <w:noProof/>
            <w:webHidden/>
          </w:rPr>
          <w:fldChar w:fldCharType="begin"/>
        </w:r>
        <w:r>
          <w:rPr>
            <w:noProof/>
            <w:webHidden/>
          </w:rPr>
          <w:instrText xml:space="preserve"> PAGEREF _Toc127957644 \h </w:instrText>
        </w:r>
        <w:r>
          <w:rPr>
            <w:noProof/>
            <w:webHidden/>
          </w:rPr>
        </w:r>
        <w:r>
          <w:rPr>
            <w:noProof/>
            <w:webHidden/>
          </w:rPr>
          <w:fldChar w:fldCharType="separate"/>
        </w:r>
        <w:r w:rsidR="00B05C7F">
          <w:rPr>
            <w:noProof/>
            <w:webHidden/>
          </w:rPr>
          <w:t>84</w:t>
        </w:r>
        <w:r>
          <w:rPr>
            <w:noProof/>
            <w:webHidden/>
          </w:rPr>
          <w:fldChar w:fldCharType="end"/>
        </w:r>
      </w:hyperlink>
    </w:p>
    <w:p w14:paraId="285698D3" w14:textId="77777777" w:rsidR="006C5F2A" w:rsidRPr="00FB04F6" w:rsidRDefault="006C5F2A">
      <w:pPr>
        <w:pStyle w:val="TM3"/>
        <w:rPr>
          <w:rFonts w:eastAsia="Times New Roman" w:cs="Times New Roman"/>
          <w:i w:val="0"/>
          <w:iCs w:val="0"/>
          <w:noProof/>
          <w:sz w:val="22"/>
          <w:szCs w:val="22"/>
          <w:lang w:eastAsia="fr-FR"/>
        </w:rPr>
      </w:pPr>
      <w:hyperlink w:anchor="_Toc127957645" w:history="1">
        <w:r w:rsidRPr="00ED6DAE">
          <w:rPr>
            <w:rStyle w:val="Lienhypertexte"/>
            <w:noProof/>
          </w:rPr>
          <w:t>5.3.8.</w:t>
        </w:r>
        <w:r w:rsidRPr="00FB04F6">
          <w:rPr>
            <w:rFonts w:eastAsia="Times New Roman" w:cs="Times New Roman"/>
            <w:i w:val="0"/>
            <w:iCs w:val="0"/>
            <w:noProof/>
            <w:sz w:val="22"/>
            <w:szCs w:val="22"/>
            <w:lang w:eastAsia="fr-FR"/>
          </w:rPr>
          <w:tab/>
        </w:r>
        <w:r w:rsidRPr="00ED6DAE">
          <w:rPr>
            <w:rStyle w:val="Lienhypertexte"/>
            <w:noProof/>
          </w:rPr>
          <w:t>Texte sectoriel sur la pollution</w:t>
        </w:r>
        <w:r>
          <w:rPr>
            <w:noProof/>
            <w:webHidden/>
          </w:rPr>
          <w:tab/>
        </w:r>
        <w:r>
          <w:rPr>
            <w:noProof/>
            <w:webHidden/>
          </w:rPr>
          <w:fldChar w:fldCharType="begin"/>
        </w:r>
        <w:r>
          <w:rPr>
            <w:noProof/>
            <w:webHidden/>
          </w:rPr>
          <w:instrText xml:space="preserve"> PAGEREF _Toc127957645 \h </w:instrText>
        </w:r>
        <w:r>
          <w:rPr>
            <w:noProof/>
            <w:webHidden/>
          </w:rPr>
        </w:r>
        <w:r>
          <w:rPr>
            <w:noProof/>
            <w:webHidden/>
          </w:rPr>
          <w:fldChar w:fldCharType="separate"/>
        </w:r>
        <w:r w:rsidR="00B05C7F">
          <w:rPr>
            <w:noProof/>
            <w:webHidden/>
          </w:rPr>
          <w:t>84</w:t>
        </w:r>
        <w:r>
          <w:rPr>
            <w:noProof/>
            <w:webHidden/>
          </w:rPr>
          <w:fldChar w:fldCharType="end"/>
        </w:r>
      </w:hyperlink>
    </w:p>
    <w:p w14:paraId="1D31AAE0" w14:textId="77777777" w:rsidR="006C5F2A" w:rsidRPr="00FB04F6" w:rsidRDefault="006C5F2A">
      <w:pPr>
        <w:pStyle w:val="TM3"/>
        <w:rPr>
          <w:rFonts w:eastAsia="Times New Roman" w:cs="Times New Roman"/>
          <w:i w:val="0"/>
          <w:iCs w:val="0"/>
          <w:noProof/>
          <w:sz w:val="22"/>
          <w:szCs w:val="22"/>
          <w:lang w:eastAsia="fr-FR"/>
        </w:rPr>
      </w:pPr>
      <w:hyperlink w:anchor="_Toc127957646" w:history="1">
        <w:r w:rsidRPr="00ED6DAE">
          <w:rPr>
            <w:rStyle w:val="Lienhypertexte"/>
            <w:noProof/>
          </w:rPr>
          <w:t>5.3.9.</w:t>
        </w:r>
        <w:r w:rsidRPr="00FB04F6">
          <w:rPr>
            <w:rFonts w:eastAsia="Times New Roman" w:cs="Times New Roman"/>
            <w:i w:val="0"/>
            <w:iCs w:val="0"/>
            <w:noProof/>
            <w:sz w:val="22"/>
            <w:szCs w:val="22"/>
            <w:lang w:eastAsia="fr-FR"/>
          </w:rPr>
          <w:tab/>
        </w:r>
        <w:r w:rsidRPr="00ED6DAE">
          <w:rPr>
            <w:rStyle w:val="Lienhypertexte"/>
            <w:noProof/>
          </w:rPr>
          <w:t>Texte sectoriel sur l’eau</w:t>
        </w:r>
        <w:r>
          <w:rPr>
            <w:noProof/>
            <w:webHidden/>
          </w:rPr>
          <w:tab/>
        </w:r>
        <w:r>
          <w:rPr>
            <w:noProof/>
            <w:webHidden/>
          </w:rPr>
          <w:fldChar w:fldCharType="begin"/>
        </w:r>
        <w:r>
          <w:rPr>
            <w:noProof/>
            <w:webHidden/>
          </w:rPr>
          <w:instrText xml:space="preserve"> PAGEREF _Toc127957646 \h </w:instrText>
        </w:r>
        <w:r>
          <w:rPr>
            <w:noProof/>
            <w:webHidden/>
          </w:rPr>
        </w:r>
        <w:r>
          <w:rPr>
            <w:noProof/>
            <w:webHidden/>
          </w:rPr>
          <w:fldChar w:fldCharType="separate"/>
        </w:r>
        <w:r w:rsidR="00B05C7F">
          <w:rPr>
            <w:noProof/>
            <w:webHidden/>
          </w:rPr>
          <w:t>85</w:t>
        </w:r>
        <w:r>
          <w:rPr>
            <w:noProof/>
            <w:webHidden/>
          </w:rPr>
          <w:fldChar w:fldCharType="end"/>
        </w:r>
      </w:hyperlink>
    </w:p>
    <w:p w14:paraId="15750D26" w14:textId="77777777" w:rsidR="006C5F2A" w:rsidRPr="00FB04F6" w:rsidRDefault="006C5F2A">
      <w:pPr>
        <w:pStyle w:val="TM3"/>
        <w:rPr>
          <w:rFonts w:eastAsia="Times New Roman" w:cs="Times New Roman"/>
          <w:i w:val="0"/>
          <w:iCs w:val="0"/>
          <w:noProof/>
          <w:sz w:val="22"/>
          <w:szCs w:val="22"/>
          <w:lang w:eastAsia="fr-FR"/>
        </w:rPr>
      </w:pPr>
      <w:hyperlink w:anchor="_Toc127957647" w:history="1">
        <w:r w:rsidRPr="00ED6DAE">
          <w:rPr>
            <w:rStyle w:val="Lienhypertexte"/>
            <w:noProof/>
          </w:rPr>
          <w:t>5.3.10.</w:t>
        </w:r>
        <w:r w:rsidRPr="00FB04F6">
          <w:rPr>
            <w:rFonts w:eastAsia="Times New Roman" w:cs="Times New Roman"/>
            <w:i w:val="0"/>
            <w:iCs w:val="0"/>
            <w:noProof/>
            <w:sz w:val="22"/>
            <w:szCs w:val="22"/>
            <w:lang w:eastAsia="fr-FR"/>
          </w:rPr>
          <w:tab/>
        </w:r>
        <w:r w:rsidRPr="00ED6DAE">
          <w:rPr>
            <w:rStyle w:val="Lienhypertexte"/>
            <w:noProof/>
          </w:rPr>
          <w:t>Textes sur la microfinance</w:t>
        </w:r>
        <w:r>
          <w:rPr>
            <w:noProof/>
            <w:webHidden/>
          </w:rPr>
          <w:tab/>
        </w:r>
        <w:r>
          <w:rPr>
            <w:noProof/>
            <w:webHidden/>
          </w:rPr>
          <w:fldChar w:fldCharType="begin"/>
        </w:r>
        <w:r>
          <w:rPr>
            <w:noProof/>
            <w:webHidden/>
          </w:rPr>
          <w:instrText xml:space="preserve"> PAGEREF _Toc127957647 \h </w:instrText>
        </w:r>
        <w:r>
          <w:rPr>
            <w:noProof/>
            <w:webHidden/>
          </w:rPr>
        </w:r>
        <w:r>
          <w:rPr>
            <w:noProof/>
            <w:webHidden/>
          </w:rPr>
          <w:fldChar w:fldCharType="separate"/>
        </w:r>
        <w:r w:rsidR="00B05C7F">
          <w:rPr>
            <w:noProof/>
            <w:webHidden/>
          </w:rPr>
          <w:t>86</w:t>
        </w:r>
        <w:r>
          <w:rPr>
            <w:noProof/>
            <w:webHidden/>
          </w:rPr>
          <w:fldChar w:fldCharType="end"/>
        </w:r>
      </w:hyperlink>
    </w:p>
    <w:p w14:paraId="46862001" w14:textId="77777777" w:rsidR="006C5F2A" w:rsidRPr="00FB04F6" w:rsidRDefault="006C5F2A">
      <w:pPr>
        <w:pStyle w:val="TM2"/>
        <w:rPr>
          <w:rFonts w:eastAsia="Times New Roman" w:cs="Times New Roman"/>
          <w:smallCaps w:val="0"/>
          <w:noProof/>
          <w:sz w:val="22"/>
          <w:szCs w:val="22"/>
          <w:lang w:eastAsia="fr-FR"/>
        </w:rPr>
      </w:pPr>
      <w:hyperlink w:anchor="_Toc127957648" w:history="1">
        <w:r w:rsidRPr="00ED6DAE">
          <w:rPr>
            <w:rStyle w:val="Lienhypertexte"/>
            <w:noProof/>
          </w:rPr>
          <w:t>5.4.</w:t>
        </w:r>
        <w:r w:rsidRPr="00FB04F6">
          <w:rPr>
            <w:rFonts w:eastAsia="Times New Roman" w:cs="Times New Roman"/>
            <w:smallCaps w:val="0"/>
            <w:noProof/>
            <w:sz w:val="22"/>
            <w:szCs w:val="22"/>
            <w:lang w:eastAsia="fr-FR"/>
          </w:rPr>
          <w:tab/>
        </w:r>
        <w:r w:rsidRPr="00ED6DAE">
          <w:rPr>
            <w:rStyle w:val="Lienhypertexte"/>
            <w:noProof/>
          </w:rPr>
          <w:t>Accords et conventions internationaux pertinents pour les activités du Projet</w:t>
        </w:r>
        <w:r>
          <w:rPr>
            <w:noProof/>
            <w:webHidden/>
          </w:rPr>
          <w:tab/>
        </w:r>
        <w:r>
          <w:rPr>
            <w:noProof/>
            <w:webHidden/>
          </w:rPr>
          <w:fldChar w:fldCharType="begin"/>
        </w:r>
        <w:r>
          <w:rPr>
            <w:noProof/>
            <w:webHidden/>
          </w:rPr>
          <w:instrText xml:space="preserve"> PAGEREF _Toc127957648 \h </w:instrText>
        </w:r>
        <w:r>
          <w:rPr>
            <w:noProof/>
            <w:webHidden/>
          </w:rPr>
        </w:r>
        <w:r>
          <w:rPr>
            <w:noProof/>
            <w:webHidden/>
          </w:rPr>
          <w:fldChar w:fldCharType="separate"/>
        </w:r>
        <w:r w:rsidR="00B05C7F">
          <w:rPr>
            <w:noProof/>
            <w:webHidden/>
          </w:rPr>
          <w:t>87</w:t>
        </w:r>
        <w:r>
          <w:rPr>
            <w:noProof/>
            <w:webHidden/>
          </w:rPr>
          <w:fldChar w:fldCharType="end"/>
        </w:r>
      </w:hyperlink>
    </w:p>
    <w:p w14:paraId="22869EDB" w14:textId="77777777" w:rsidR="006C5F2A" w:rsidRPr="00FB04F6" w:rsidRDefault="006C5F2A">
      <w:pPr>
        <w:pStyle w:val="TM2"/>
        <w:rPr>
          <w:rFonts w:eastAsia="Times New Roman" w:cs="Times New Roman"/>
          <w:smallCaps w:val="0"/>
          <w:noProof/>
          <w:sz w:val="22"/>
          <w:szCs w:val="22"/>
          <w:lang w:eastAsia="fr-FR"/>
        </w:rPr>
      </w:pPr>
      <w:hyperlink w:anchor="_Toc127957649" w:history="1">
        <w:r w:rsidRPr="00ED6DAE">
          <w:rPr>
            <w:rStyle w:val="Lienhypertexte"/>
            <w:noProof/>
          </w:rPr>
          <w:t>5.5.</w:t>
        </w:r>
        <w:r w:rsidRPr="00FB04F6">
          <w:rPr>
            <w:rFonts w:eastAsia="Times New Roman" w:cs="Times New Roman"/>
            <w:smallCaps w:val="0"/>
            <w:noProof/>
            <w:sz w:val="22"/>
            <w:szCs w:val="22"/>
            <w:lang w:eastAsia="fr-FR"/>
          </w:rPr>
          <w:tab/>
        </w:r>
        <w:r w:rsidRPr="00ED6DAE">
          <w:rPr>
            <w:rStyle w:val="Lienhypertexte"/>
            <w:noProof/>
          </w:rPr>
          <w:t>Cadre environnemental et social de la Banque</w:t>
        </w:r>
        <w:r>
          <w:rPr>
            <w:noProof/>
            <w:webHidden/>
          </w:rPr>
          <w:tab/>
        </w:r>
        <w:r>
          <w:rPr>
            <w:noProof/>
            <w:webHidden/>
          </w:rPr>
          <w:fldChar w:fldCharType="begin"/>
        </w:r>
        <w:r>
          <w:rPr>
            <w:noProof/>
            <w:webHidden/>
          </w:rPr>
          <w:instrText xml:space="preserve"> PAGEREF _Toc127957649 \h </w:instrText>
        </w:r>
        <w:r>
          <w:rPr>
            <w:noProof/>
            <w:webHidden/>
          </w:rPr>
        </w:r>
        <w:r>
          <w:rPr>
            <w:noProof/>
            <w:webHidden/>
          </w:rPr>
          <w:fldChar w:fldCharType="separate"/>
        </w:r>
        <w:r w:rsidR="00B05C7F">
          <w:rPr>
            <w:noProof/>
            <w:webHidden/>
          </w:rPr>
          <w:t>88</w:t>
        </w:r>
        <w:r>
          <w:rPr>
            <w:noProof/>
            <w:webHidden/>
          </w:rPr>
          <w:fldChar w:fldCharType="end"/>
        </w:r>
      </w:hyperlink>
    </w:p>
    <w:p w14:paraId="2188FEE4" w14:textId="77777777" w:rsidR="006C5F2A" w:rsidRPr="00FB04F6" w:rsidRDefault="006C5F2A">
      <w:pPr>
        <w:pStyle w:val="TM3"/>
        <w:rPr>
          <w:rFonts w:eastAsia="Times New Roman" w:cs="Times New Roman"/>
          <w:i w:val="0"/>
          <w:iCs w:val="0"/>
          <w:noProof/>
          <w:sz w:val="22"/>
          <w:szCs w:val="22"/>
          <w:lang w:eastAsia="fr-FR"/>
        </w:rPr>
      </w:pPr>
      <w:hyperlink w:anchor="_Toc127957650" w:history="1">
        <w:r w:rsidRPr="00ED6DAE">
          <w:rPr>
            <w:rStyle w:val="Lienhypertexte"/>
            <w:noProof/>
          </w:rPr>
          <w:t>5.5.1.</w:t>
        </w:r>
        <w:r w:rsidRPr="00FB04F6">
          <w:rPr>
            <w:rFonts w:eastAsia="Times New Roman" w:cs="Times New Roman"/>
            <w:i w:val="0"/>
            <w:iCs w:val="0"/>
            <w:noProof/>
            <w:sz w:val="22"/>
            <w:szCs w:val="22"/>
            <w:lang w:eastAsia="fr-FR"/>
          </w:rPr>
          <w:tab/>
        </w:r>
        <w:r w:rsidRPr="00ED6DAE">
          <w:rPr>
            <w:rStyle w:val="Lienhypertexte"/>
            <w:noProof/>
          </w:rPr>
          <w:t>NES1 : Evaluation et gestion des risques et des impacts environnementaux et sociaux</w:t>
        </w:r>
        <w:r>
          <w:rPr>
            <w:noProof/>
            <w:webHidden/>
          </w:rPr>
          <w:tab/>
        </w:r>
        <w:r>
          <w:rPr>
            <w:noProof/>
            <w:webHidden/>
          </w:rPr>
          <w:fldChar w:fldCharType="begin"/>
        </w:r>
        <w:r>
          <w:rPr>
            <w:noProof/>
            <w:webHidden/>
          </w:rPr>
          <w:instrText xml:space="preserve"> PAGEREF _Toc127957650 \h </w:instrText>
        </w:r>
        <w:r>
          <w:rPr>
            <w:noProof/>
            <w:webHidden/>
          </w:rPr>
        </w:r>
        <w:r>
          <w:rPr>
            <w:noProof/>
            <w:webHidden/>
          </w:rPr>
          <w:fldChar w:fldCharType="separate"/>
        </w:r>
        <w:r w:rsidR="00B05C7F">
          <w:rPr>
            <w:noProof/>
            <w:webHidden/>
          </w:rPr>
          <w:t>89</w:t>
        </w:r>
        <w:r>
          <w:rPr>
            <w:noProof/>
            <w:webHidden/>
          </w:rPr>
          <w:fldChar w:fldCharType="end"/>
        </w:r>
      </w:hyperlink>
    </w:p>
    <w:p w14:paraId="1FA747AC" w14:textId="77777777" w:rsidR="006C5F2A" w:rsidRPr="00FB04F6" w:rsidRDefault="006C5F2A">
      <w:pPr>
        <w:pStyle w:val="TM3"/>
        <w:rPr>
          <w:rFonts w:eastAsia="Times New Roman" w:cs="Times New Roman"/>
          <w:i w:val="0"/>
          <w:iCs w:val="0"/>
          <w:noProof/>
          <w:sz w:val="22"/>
          <w:szCs w:val="22"/>
          <w:lang w:eastAsia="fr-FR"/>
        </w:rPr>
      </w:pPr>
      <w:hyperlink w:anchor="_Toc127957651" w:history="1">
        <w:r w:rsidRPr="00ED6DAE">
          <w:rPr>
            <w:rStyle w:val="Lienhypertexte"/>
            <w:noProof/>
          </w:rPr>
          <w:t>5.5.2.</w:t>
        </w:r>
        <w:r w:rsidRPr="00FB04F6">
          <w:rPr>
            <w:rFonts w:eastAsia="Times New Roman" w:cs="Times New Roman"/>
            <w:i w:val="0"/>
            <w:iCs w:val="0"/>
            <w:noProof/>
            <w:sz w:val="22"/>
            <w:szCs w:val="22"/>
            <w:lang w:eastAsia="fr-FR"/>
          </w:rPr>
          <w:tab/>
        </w:r>
        <w:r w:rsidRPr="00ED6DAE">
          <w:rPr>
            <w:rStyle w:val="Lienhypertexte"/>
            <w:noProof/>
          </w:rPr>
          <w:t>NES2 : Emploi et conditions de travail</w:t>
        </w:r>
        <w:r>
          <w:rPr>
            <w:noProof/>
            <w:webHidden/>
          </w:rPr>
          <w:tab/>
        </w:r>
        <w:r>
          <w:rPr>
            <w:noProof/>
            <w:webHidden/>
          </w:rPr>
          <w:fldChar w:fldCharType="begin"/>
        </w:r>
        <w:r>
          <w:rPr>
            <w:noProof/>
            <w:webHidden/>
          </w:rPr>
          <w:instrText xml:space="preserve"> PAGEREF _Toc127957651 \h </w:instrText>
        </w:r>
        <w:r>
          <w:rPr>
            <w:noProof/>
            <w:webHidden/>
          </w:rPr>
        </w:r>
        <w:r>
          <w:rPr>
            <w:noProof/>
            <w:webHidden/>
          </w:rPr>
          <w:fldChar w:fldCharType="separate"/>
        </w:r>
        <w:r w:rsidR="00B05C7F">
          <w:rPr>
            <w:noProof/>
            <w:webHidden/>
          </w:rPr>
          <w:t>90</w:t>
        </w:r>
        <w:r>
          <w:rPr>
            <w:noProof/>
            <w:webHidden/>
          </w:rPr>
          <w:fldChar w:fldCharType="end"/>
        </w:r>
      </w:hyperlink>
    </w:p>
    <w:p w14:paraId="6F7558F7" w14:textId="77777777" w:rsidR="006C5F2A" w:rsidRPr="00FB04F6" w:rsidRDefault="006C5F2A">
      <w:pPr>
        <w:pStyle w:val="TM3"/>
        <w:rPr>
          <w:rFonts w:eastAsia="Times New Roman" w:cs="Times New Roman"/>
          <w:i w:val="0"/>
          <w:iCs w:val="0"/>
          <w:noProof/>
          <w:sz w:val="22"/>
          <w:szCs w:val="22"/>
          <w:lang w:eastAsia="fr-FR"/>
        </w:rPr>
      </w:pPr>
      <w:hyperlink w:anchor="_Toc127957652" w:history="1">
        <w:r w:rsidRPr="00ED6DAE">
          <w:rPr>
            <w:rStyle w:val="Lienhypertexte"/>
            <w:noProof/>
          </w:rPr>
          <w:t>5.5.3.</w:t>
        </w:r>
        <w:r w:rsidRPr="00FB04F6">
          <w:rPr>
            <w:rFonts w:eastAsia="Times New Roman" w:cs="Times New Roman"/>
            <w:i w:val="0"/>
            <w:iCs w:val="0"/>
            <w:noProof/>
            <w:sz w:val="22"/>
            <w:szCs w:val="22"/>
            <w:lang w:eastAsia="fr-FR"/>
          </w:rPr>
          <w:tab/>
        </w:r>
        <w:r w:rsidRPr="00ED6DAE">
          <w:rPr>
            <w:rStyle w:val="Lienhypertexte"/>
            <w:noProof/>
          </w:rPr>
          <w:t>NES3 : Utilisation rationnelle des ressources, prévention et gestion de la pollution</w:t>
        </w:r>
        <w:r>
          <w:rPr>
            <w:noProof/>
            <w:webHidden/>
          </w:rPr>
          <w:tab/>
        </w:r>
        <w:r>
          <w:rPr>
            <w:noProof/>
            <w:webHidden/>
          </w:rPr>
          <w:fldChar w:fldCharType="begin"/>
        </w:r>
        <w:r>
          <w:rPr>
            <w:noProof/>
            <w:webHidden/>
          </w:rPr>
          <w:instrText xml:space="preserve"> PAGEREF _Toc127957652 \h </w:instrText>
        </w:r>
        <w:r>
          <w:rPr>
            <w:noProof/>
            <w:webHidden/>
          </w:rPr>
        </w:r>
        <w:r>
          <w:rPr>
            <w:noProof/>
            <w:webHidden/>
          </w:rPr>
          <w:fldChar w:fldCharType="separate"/>
        </w:r>
        <w:r w:rsidR="00B05C7F">
          <w:rPr>
            <w:noProof/>
            <w:webHidden/>
          </w:rPr>
          <w:t>91</w:t>
        </w:r>
        <w:r>
          <w:rPr>
            <w:noProof/>
            <w:webHidden/>
          </w:rPr>
          <w:fldChar w:fldCharType="end"/>
        </w:r>
      </w:hyperlink>
    </w:p>
    <w:p w14:paraId="03E2E083" w14:textId="77777777" w:rsidR="006C5F2A" w:rsidRPr="00FB04F6" w:rsidRDefault="006C5F2A">
      <w:pPr>
        <w:pStyle w:val="TM3"/>
        <w:rPr>
          <w:rFonts w:eastAsia="Times New Roman" w:cs="Times New Roman"/>
          <w:i w:val="0"/>
          <w:iCs w:val="0"/>
          <w:noProof/>
          <w:sz w:val="22"/>
          <w:szCs w:val="22"/>
          <w:lang w:eastAsia="fr-FR"/>
        </w:rPr>
      </w:pPr>
      <w:hyperlink w:anchor="_Toc127957653" w:history="1">
        <w:r w:rsidRPr="00ED6DAE">
          <w:rPr>
            <w:rStyle w:val="Lienhypertexte"/>
            <w:noProof/>
          </w:rPr>
          <w:t>5.5.4.</w:t>
        </w:r>
        <w:r w:rsidRPr="00FB04F6">
          <w:rPr>
            <w:rFonts w:eastAsia="Times New Roman" w:cs="Times New Roman"/>
            <w:i w:val="0"/>
            <w:iCs w:val="0"/>
            <w:noProof/>
            <w:sz w:val="22"/>
            <w:szCs w:val="22"/>
            <w:lang w:eastAsia="fr-FR"/>
          </w:rPr>
          <w:tab/>
        </w:r>
        <w:r w:rsidRPr="00ED6DAE">
          <w:rPr>
            <w:rStyle w:val="Lienhypertexte"/>
            <w:noProof/>
          </w:rPr>
          <w:t>NES4 : Sa</w:t>
        </w:r>
        <w:r w:rsidRPr="00ED6DAE">
          <w:rPr>
            <w:rStyle w:val="Lienhypertexte"/>
            <w:noProof/>
          </w:rPr>
          <w:t>n</w:t>
        </w:r>
        <w:r w:rsidRPr="00ED6DAE">
          <w:rPr>
            <w:rStyle w:val="Lienhypertexte"/>
            <w:noProof/>
          </w:rPr>
          <w:t>te et sécurité des populations</w:t>
        </w:r>
        <w:r>
          <w:rPr>
            <w:noProof/>
            <w:webHidden/>
          </w:rPr>
          <w:tab/>
        </w:r>
        <w:r>
          <w:rPr>
            <w:noProof/>
            <w:webHidden/>
          </w:rPr>
          <w:fldChar w:fldCharType="begin"/>
        </w:r>
        <w:r>
          <w:rPr>
            <w:noProof/>
            <w:webHidden/>
          </w:rPr>
          <w:instrText xml:space="preserve"> PAGEREF _Toc127957653 \h </w:instrText>
        </w:r>
        <w:r>
          <w:rPr>
            <w:noProof/>
            <w:webHidden/>
          </w:rPr>
        </w:r>
        <w:r>
          <w:rPr>
            <w:noProof/>
            <w:webHidden/>
          </w:rPr>
          <w:fldChar w:fldCharType="separate"/>
        </w:r>
        <w:r w:rsidR="00B05C7F">
          <w:rPr>
            <w:noProof/>
            <w:webHidden/>
          </w:rPr>
          <w:t>93</w:t>
        </w:r>
        <w:r>
          <w:rPr>
            <w:noProof/>
            <w:webHidden/>
          </w:rPr>
          <w:fldChar w:fldCharType="end"/>
        </w:r>
      </w:hyperlink>
    </w:p>
    <w:p w14:paraId="31CBC0E8" w14:textId="77777777" w:rsidR="006C5F2A" w:rsidRPr="00FB04F6" w:rsidRDefault="006C5F2A">
      <w:pPr>
        <w:pStyle w:val="TM3"/>
        <w:rPr>
          <w:rFonts w:eastAsia="Times New Roman" w:cs="Times New Roman"/>
          <w:i w:val="0"/>
          <w:iCs w:val="0"/>
          <w:noProof/>
          <w:sz w:val="22"/>
          <w:szCs w:val="22"/>
          <w:lang w:eastAsia="fr-FR"/>
        </w:rPr>
      </w:pPr>
      <w:hyperlink w:anchor="_Toc127957654" w:history="1">
        <w:r w:rsidRPr="00ED6DAE">
          <w:rPr>
            <w:rStyle w:val="Lienhypertexte"/>
            <w:noProof/>
          </w:rPr>
          <w:t>5.5.5.</w:t>
        </w:r>
        <w:r w:rsidRPr="00FB04F6">
          <w:rPr>
            <w:rFonts w:eastAsia="Times New Roman" w:cs="Times New Roman"/>
            <w:i w:val="0"/>
            <w:iCs w:val="0"/>
            <w:noProof/>
            <w:sz w:val="22"/>
            <w:szCs w:val="22"/>
            <w:lang w:eastAsia="fr-FR"/>
          </w:rPr>
          <w:tab/>
        </w:r>
        <w:r w:rsidRPr="00ED6DAE">
          <w:rPr>
            <w:rStyle w:val="Lienhypertexte"/>
            <w:noProof/>
          </w:rPr>
          <w:t>NES5 : Acquisition de terres, restrictions à l’utilisation de terres et réinstallation involontaire</w:t>
        </w:r>
        <w:r>
          <w:rPr>
            <w:noProof/>
            <w:webHidden/>
          </w:rPr>
          <w:tab/>
        </w:r>
        <w:r>
          <w:rPr>
            <w:noProof/>
            <w:webHidden/>
          </w:rPr>
          <w:fldChar w:fldCharType="begin"/>
        </w:r>
        <w:r>
          <w:rPr>
            <w:noProof/>
            <w:webHidden/>
          </w:rPr>
          <w:instrText xml:space="preserve"> PAGEREF _Toc127957654 \h </w:instrText>
        </w:r>
        <w:r>
          <w:rPr>
            <w:noProof/>
            <w:webHidden/>
          </w:rPr>
        </w:r>
        <w:r>
          <w:rPr>
            <w:noProof/>
            <w:webHidden/>
          </w:rPr>
          <w:fldChar w:fldCharType="separate"/>
        </w:r>
        <w:r w:rsidR="00B05C7F">
          <w:rPr>
            <w:noProof/>
            <w:webHidden/>
          </w:rPr>
          <w:t>94</w:t>
        </w:r>
        <w:r>
          <w:rPr>
            <w:noProof/>
            <w:webHidden/>
          </w:rPr>
          <w:fldChar w:fldCharType="end"/>
        </w:r>
      </w:hyperlink>
    </w:p>
    <w:p w14:paraId="70B44A69" w14:textId="77777777" w:rsidR="006C5F2A" w:rsidRPr="00FB04F6" w:rsidRDefault="006C5F2A">
      <w:pPr>
        <w:pStyle w:val="TM3"/>
        <w:rPr>
          <w:rFonts w:eastAsia="Times New Roman" w:cs="Times New Roman"/>
          <w:i w:val="0"/>
          <w:iCs w:val="0"/>
          <w:noProof/>
          <w:sz w:val="22"/>
          <w:szCs w:val="22"/>
          <w:lang w:eastAsia="fr-FR"/>
        </w:rPr>
      </w:pPr>
      <w:hyperlink w:anchor="_Toc127957655" w:history="1">
        <w:r w:rsidRPr="00ED6DAE">
          <w:rPr>
            <w:rStyle w:val="Lienhypertexte"/>
            <w:noProof/>
          </w:rPr>
          <w:t>5.5.6.</w:t>
        </w:r>
        <w:r w:rsidRPr="00FB04F6">
          <w:rPr>
            <w:rFonts w:eastAsia="Times New Roman" w:cs="Times New Roman"/>
            <w:i w:val="0"/>
            <w:iCs w:val="0"/>
            <w:noProof/>
            <w:sz w:val="22"/>
            <w:szCs w:val="22"/>
            <w:lang w:eastAsia="fr-FR"/>
          </w:rPr>
          <w:tab/>
        </w:r>
        <w:r w:rsidRPr="00ED6DAE">
          <w:rPr>
            <w:rStyle w:val="Lienhypertexte"/>
            <w:noProof/>
          </w:rPr>
          <w:t>NES6 : Préservation de la biodiversité et gestion durable des ressources naturelles biologiques</w:t>
        </w:r>
        <w:r>
          <w:rPr>
            <w:noProof/>
            <w:webHidden/>
          </w:rPr>
          <w:tab/>
        </w:r>
        <w:r>
          <w:rPr>
            <w:noProof/>
            <w:webHidden/>
          </w:rPr>
          <w:fldChar w:fldCharType="begin"/>
        </w:r>
        <w:r>
          <w:rPr>
            <w:noProof/>
            <w:webHidden/>
          </w:rPr>
          <w:instrText xml:space="preserve"> PAGEREF _Toc127957655 \h </w:instrText>
        </w:r>
        <w:r>
          <w:rPr>
            <w:noProof/>
            <w:webHidden/>
          </w:rPr>
        </w:r>
        <w:r>
          <w:rPr>
            <w:noProof/>
            <w:webHidden/>
          </w:rPr>
          <w:fldChar w:fldCharType="separate"/>
        </w:r>
        <w:r w:rsidR="00B05C7F">
          <w:rPr>
            <w:noProof/>
            <w:webHidden/>
          </w:rPr>
          <w:t>96</w:t>
        </w:r>
        <w:r>
          <w:rPr>
            <w:noProof/>
            <w:webHidden/>
          </w:rPr>
          <w:fldChar w:fldCharType="end"/>
        </w:r>
      </w:hyperlink>
    </w:p>
    <w:p w14:paraId="4F979EF2" w14:textId="77777777" w:rsidR="006C5F2A" w:rsidRPr="00FB04F6" w:rsidRDefault="006C5F2A">
      <w:pPr>
        <w:pStyle w:val="TM3"/>
        <w:rPr>
          <w:rFonts w:eastAsia="Times New Roman" w:cs="Times New Roman"/>
          <w:i w:val="0"/>
          <w:iCs w:val="0"/>
          <w:noProof/>
          <w:sz w:val="22"/>
          <w:szCs w:val="22"/>
          <w:lang w:eastAsia="fr-FR"/>
        </w:rPr>
      </w:pPr>
      <w:hyperlink w:anchor="_Toc127957656" w:history="1">
        <w:r w:rsidRPr="00ED6DAE">
          <w:rPr>
            <w:rStyle w:val="Lienhypertexte"/>
            <w:noProof/>
          </w:rPr>
          <w:t>5.5.7.</w:t>
        </w:r>
        <w:r w:rsidRPr="00FB04F6">
          <w:rPr>
            <w:rFonts w:eastAsia="Times New Roman" w:cs="Times New Roman"/>
            <w:i w:val="0"/>
            <w:iCs w:val="0"/>
            <w:noProof/>
            <w:sz w:val="22"/>
            <w:szCs w:val="22"/>
            <w:lang w:eastAsia="fr-FR"/>
          </w:rPr>
          <w:tab/>
        </w:r>
        <w:r w:rsidRPr="00ED6DAE">
          <w:rPr>
            <w:rStyle w:val="Lienhypertexte"/>
            <w:noProof/>
          </w:rPr>
          <w:t>NES8 : Patrimoine culturel</w:t>
        </w:r>
        <w:r>
          <w:rPr>
            <w:noProof/>
            <w:webHidden/>
          </w:rPr>
          <w:tab/>
        </w:r>
        <w:r>
          <w:rPr>
            <w:noProof/>
            <w:webHidden/>
          </w:rPr>
          <w:fldChar w:fldCharType="begin"/>
        </w:r>
        <w:r>
          <w:rPr>
            <w:noProof/>
            <w:webHidden/>
          </w:rPr>
          <w:instrText xml:space="preserve"> PAGEREF _Toc127957656 \h </w:instrText>
        </w:r>
        <w:r>
          <w:rPr>
            <w:noProof/>
            <w:webHidden/>
          </w:rPr>
        </w:r>
        <w:r>
          <w:rPr>
            <w:noProof/>
            <w:webHidden/>
          </w:rPr>
          <w:fldChar w:fldCharType="separate"/>
        </w:r>
        <w:r w:rsidR="00B05C7F">
          <w:rPr>
            <w:noProof/>
            <w:webHidden/>
          </w:rPr>
          <w:t>97</w:t>
        </w:r>
        <w:r>
          <w:rPr>
            <w:noProof/>
            <w:webHidden/>
          </w:rPr>
          <w:fldChar w:fldCharType="end"/>
        </w:r>
      </w:hyperlink>
    </w:p>
    <w:p w14:paraId="06B98D0C" w14:textId="77777777" w:rsidR="006C5F2A" w:rsidRPr="00FB04F6" w:rsidRDefault="006C5F2A">
      <w:pPr>
        <w:pStyle w:val="TM3"/>
        <w:rPr>
          <w:rFonts w:eastAsia="Times New Roman" w:cs="Times New Roman"/>
          <w:i w:val="0"/>
          <w:iCs w:val="0"/>
          <w:noProof/>
          <w:sz w:val="22"/>
          <w:szCs w:val="22"/>
          <w:lang w:eastAsia="fr-FR"/>
        </w:rPr>
      </w:pPr>
      <w:hyperlink w:anchor="_Toc127957657" w:history="1">
        <w:r w:rsidRPr="00ED6DAE">
          <w:rPr>
            <w:rStyle w:val="Lienhypertexte"/>
            <w:noProof/>
          </w:rPr>
          <w:t>5.5.8.</w:t>
        </w:r>
        <w:r w:rsidRPr="00FB04F6">
          <w:rPr>
            <w:rFonts w:eastAsia="Times New Roman" w:cs="Times New Roman"/>
            <w:i w:val="0"/>
            <w:iCs w:val="0"/>
            <w:noProof/>
            <w:sz w:val="22"/>
            <w:szCs w:val="22"/>
            <w:lang w:eastAsia="fr-FR"/>
          </w:rPr>
          <w:tab/>
        </w:r>
        <w:r w:rsidRPr="00ED6DAE">
          <w:rPr>
            <w:rStyle w:val="Lienhypertexte"/>
            <w:noProof/>
          </w:rPr>
          <w:t>NES9 : Intermédiaires financiers</w:t>
        </w:r>
        <w:r>
          <w:rPr>
            <w:noProof/>
            <w:webHidden/>
          </w:rPr>
          <w:tab/>
        </w:r>
        <w:r>
          <w:rPr>
            <w:noProof/>
            <w:webHidden/>
          </w:rPr>
          <w:fldChar w:fldCharType="begin"/>
        </w:r>
        <w:r>
          <w:rPr>
            <w:noProof/>
            <w:webHidden/>
          </w:rPr>
          <w:instrText xml:space="preserve"> PAGEREF _Toc127957657 \h </w:instrText>
        </w:r>
        <w:r>
          <w:rPr>
            <w:noProof/>
            <w:webHidden/>
          </w:rPr>
        </w:r>
        <w:r>
          <w:rPr>
            <w:noProof/>
            <w:webHidden/>
          </w:rPr>
          <w:fldChar w:fldCharType="separate"/>
        </w:r>
        <w:r w:rsidR="00B05C7F">
          <w:rPr>
            <w:noProof/>
            <w:webHidden/>
          </w:rPr>
          <w:t>98</w:t>
        </w:r>
        <w:r>
          <w:rPr>
            <w:noProof/>
            <w:webHidden/>
          </w:rPr>
          <w:fldChar w:fldCharType="end"/>
        </w:r>
      </w:hyperlink>
    </w:p>
    <w:p w14:paraId="1764C4C0" w14:textId="77777777" w:rsidR="006C5F2A" w:rsidRPr="00FB04F6" w:rsidRDefault="006C5F2A">
      <w:pPr>
        <w:pStyle w:val="TM3"/>
        <w:rPr>
          <w:rFonts w:eastAsia="Times New Roman" w:cs="Times New Roman"/>
          <w:i w:val="0"/>
          <w:iCs w:val="0"/>
          <w:noProof/>
          <w:sz w:val="22"/>
          <w:szCs w:val="22"/>
          <w:lang w:eastAsia="fr-FR"/>
        </w:rPr>
      </w:pPr>
      <w:hyperlink w:anchor="_Toc127957658" w:history="1">
        <w:r w:rsidRPr="00ED6DAE">
          <w:rPr>
            <w:rStyle w:val="Lienhypertexte"/>
            <w:noProof/>
          </w:rPr>
          <w:t>5.5.9.</w:t>
        </w:r>
        <w:r w:rsidRPr="00FB04F6">
          <w:rPr>
            <w:rFonts w:eastAsia="Times New Roman" w:cs="Times New Roman"/>
            <w:i w:val="0"/>
            <w:iCs w:val="0"/>
            <w:noProof/>
            <w:sz w:val="22"/>
            <w:szCs w:val="22"/>
            <w:lang w:eastAsia="fr-FR"/>
          </w:rPr>
          <w:tab/>
        </w:r>
        <w:r w:rsidRPr="00ED6DAE">
          <w:rPr>
            <w:rStyle w:val="Lienhypertexte"/>
            <w:noProof/>
          </w:rPr>
          <w:t>NES10 : Mobilisation des parties prenantes et diffusion de l’information</w:t>
        </w:r>
        <w:r>
          <w:rPr>
            <w:noProof/>
            <w:webHidden/>
          </w:rPr>
          <w:tab/>
        </w:r>
        <w:r>
          <w:rPr>
            <w:noProof/>
            <w:webHidden/>
          </w:rPr>
          <w:fldChar w:fldCharType="begin"/>
        </w:r>
        <w:r>
          <w:rPr>
            <w:noProof/>
            <w:webHidden/>
          </w:rPr>
          <w:instrText xml:space="preserve"> PAGEREF _Toc127957658 \h </w:instrText>
        </w:r>
        <w:r>
          <w:rPr>
            <w:noProof/>
            <w:webHidden/>
          </w:rPr>
        </w:r>
        <w:r>
          <w:rPr>
            <w:noProof/>
            <w:webHidden/>
          </w:rPr>
          <w:fldChar w:fldCharType="separate"/>
        </w:r>
        <w:r w:rsidR="00B05C7F">
          <w:rPr>
            <w:noProof/>
            <w:webHidden/>
          </w:rPr>
          <w:t>99</w:t>
        </w:r>
        <w:r>
          <w:rPr>
            <w:noProof/>
            <w:webHidden/>
          </w:rPr>
          <w:fldChar w:fldCharType="end"/>
        </w:r>
      </w:hyperlink>
    </w:p>
    <w:p w14:paraId="0FDCC6DB" w14:textId="77777777" w:rsidR="006C5F2A" w:rsidRPr="00FB04F6" w:rsidRDefault="006C5F2A">
      <w:pPr>
        <w:pStyle w:val="TM3"/>
        <w:rPr>
          <w:rFonts w:eastAsia="Times New Roman" w:cs="Times New Roman"/>
          <w:i w:val="0"/>
          <w:iCs w:val="0"/>
          <w:noProof/>
          <w:sz w:val="22"/>
          <w:szCs w:val="22"/>
          <w:lang w:eastAsia="fr-FR"/>
        </w:rPr>
      </w:pPr>
      <w:hyperlink w:anchor="_Toc127957659" w:history="1">
        <w:r w:rsidRPr="00ED6DAE">
          <w:rPr>
            <w:rStyle w:val="Lienhypertexte"/>
            <w:noProof/>
          </w:rPr>
          <w:t>5.5.10.</w:t>
        </w:r>
        <w:r w:rsidRPr="00FB04F6">
          <w:rPr>
            <w:rFonts w:eastAsia="Times New Roman" w:cs="Times New Roman"/>
            <w:i w:val="0"/>
            <w:iCs w:val="0"/>
            <w:noProof/>
            <w:sz w:val="22"/>
            <w:szCs w:val="22"/>
            <w:lang w:eastAsia="fr-FR"/>
          </w:rPr>
          <w:tab/>
        </w:r>
        <w:r w:rsidRPr="00ED6DAE">
          <w:rPr>
            <w:rStyle w:val="Lienhypertexte"/>
            <w:noProof/>
          </w:rPr>
          <w:t>Directives EHS générales et spécifiques</w:t>
        </w:r>
        <w:r>
          <w:rPr>
            <w:noProof/>
            <w:webHidden/>
          </w:rPr>
          <w:tab/>
        </w:r>
        <w:r>
          <w:rPr>
            <w:noProof/>
            <w:webHidden/>
          </w:rPr>
          <w:fldChar w:fldCharType="begin"/>
        </w:r>
        <w:r>
          <w:rPr>
            <w:noProof/>
            <w:webHidden/>
          </w:rPr>
          <w:instrText xml:space="preserve"> PAGEREF _Toc127957659 \h </w:instrText>
        </w:r>
        <w:r>
          <w:rPr>
            <w:noProof/>
            <w:webHidden/>
          </w:rPr>
        </w:r>
        <w:r>
          <w:rPr>
            <w:noProof/>
            <w:webHidden/>
          </w:rPr>
          <w:fldChar w:fldCharType="separate"/>
        </w:r>
        <w:r w:rsidR="00B05C7F">
          <w:rPr>
            <w:noProof/>
            <w:webHidden/>
          </w:rPr>
          <w:t>100</w:t>
        </w:r>
        <w:r>
          <w:rPr>
            <w:noProof/>
            <w:webHidden/>
          </w:rPr>
          <w:fldChar w:fldCharType="end"/>
        </w:r>
      </w:hyperlink>
    </w:p>
    <w:p w14:paraId="23C56F84" w14:textId="77777777" w:rsidR="006C5F2A" w:rsidRPr="00FB04F6" w:rsidRDefault="006C5F2A">
      <w:pPr>
        <w:pStyle w:val="TM2"/>
        <w:tabs>
          <w:tab w:val="left" w:pos="1320"/>
        </w:tabs>
        <w:rPr>
          <w:rFonts w:eastAsia="Times New Roman" w:cs="Times New Roman"/>
          <w:smallCaps w:val="0"/>
          <w:noProof/>
          <w:sz w:val="22"/>
          <w:szCs w:val="22"/>
          <w:lang w:eastAsia="fr-FR"/>
        </w:rPr>
      </w:pPr>
      <w:hyperlink w:anchor="_Toc127957660" w:history="1">
        <w:r w:rsidRPr="00ED6DAE">
          <w:rPr>
            <w:rStyle w:val="Lienhypertexte"/>
            <w:noProof/>
          </w:rPr>
          <w:t>5.5.10.1.</w:t>
        </w:r>
        <w:r w:rsidRPr="00FB04F6">
          <w:rPr>
            <w:rFonts w:eastAsia="Times New Roman" w:cs="Times New Roman"/>
            <w:smallCaps w:val="0"/>
            <w:noProof/>
            <w:sz w:val="22"/>
            <w:szCs w:val="22"/>
            <w:lang w:eastAsia="fr-FR"/>
          </w:rPr>
          <w:tab/>
        </w:r>
        <w:r w:rsidRPr="00ED6DAE">
          <w:rPr>
            <w:rStyle w:val="Lienhypertexte"/>
            <w:noProof/>
          </w:rPr>
          <w:t>Directives pour la gestion des risques d’impacts négatifs sur les communautés par un projet temporaire induisant un afflux de main d’œuvre</w:t>
        </w:r>
        <w:r>
          <w:rPr>
            <w:noProof/>
            <w:webHidden/>
          </w:rPr>
          <w:tab/>
        </w:r>
        <w:r>
          <w:rPr>
            <w:noProof/>
            <w:webHidden/>
          </w:rPr>
          <w:fldChar w:fldCharType="begin"/>
        </w:r>
        <w:r>
          <w:rPr>
            <w:noProof/>
            <w:webHidden/>
          </w:rPr>
          <w:instrText xml:space="preserve"> PAGEREF _Toc127957660 \h </w:instrText>
        </w:r>
        <w:r>
          <w:rPr>
            <w:noProof/>
            <w:webHidden/>
          </w:rPr>
        </w:r>
        <w:r>
          <w:rPr>
            <w:noProof/>
            <w:webHidden/>
          </w:rPr>
          <w:fldChar w:fldCharType="separate"/>
        </w:r>
        <w:r w:rsidR="00B05C7F">
          <w:rPr>
            <w:noProof/>
            <w:webHidden/>
          </w:rPr>
          <w:t>101</w:t>
        </w:r>
        <w:r>
          <w:rPr>
            <w:noProof/>
            <w:webHidden/>
          </w:rPr>
          <w:fldChar w:fldCharType="end"/>
        </w:r>
      </w:hyperlink>
    </w:p>
    <w:p w14:paraId="6853D804" w14:textId="77777777" w:rsidR="006C5F2A" w:rsidRPr="00FB04F6" w:rsidRDefault="006C5F2A">
      <w:pPr>
        <w:pStyle w:val="TM2"/>
        <w:tabs>
          <w:tab w:val="left" w:pos="1320"/>
        </w:tabs>
        <w:rPr>
          <w:rFonts w:eastAsia="Times New Roman" w:cs="Times New Roman"/>
          <w:smallCaps w:val="0"/>
          <w:noProof/>
          <w:sz w:val="22"/>
          <w:szCs w:val="22"/>
          <w:lang w:eastAsia="fr-FR"/>
        </w:rPr>
      </w:pPr>
      <w:hyperlink w:anchor="_Toc127957661" w:history="1">
        <w:r w:rsidRPr="00ED6DAE">
          <w:rPr>
            <w:rStyle w:val="Lienhypertexte"/>
            <w:noProof/>
          </w:rPr>
          <w:t>5.5.10.2.</w:t>
        </w:r>
        <w:r w:rsidRPr="00FB04F6">
          <w:rPr>
            <w:rFonts w:eastAsia="Times New Roman" w:cs="Times New Roman"/>
            <w:smallCaps w:val="0"/>
            <w:noProof/>
            <w:sz w:val="22"/>
            <w:szCs w:val="22"/>
            <w:lang w:eastAsia="fr-FR"/>
          </w:rPr>
          <w:tab/>
        </w:r>
        <w:r w:rsidRPr="00ED6DAE">
          <w:rPr>
            <w:rStyle w:val="Lienhypertexte"/>
            <w:noProof/>
          </w:rPr>
          <w:t>Directives environnementales, sanitaires et sécuritaires pour le transport et la distribution de l’électricité</w:t>
        </w:r>
        <w:r>
          <w:rPr>
            <w:noProof/>
            <w:webHidden/>
          </w:rPr>
          <w:tab/>
        </w:r>
        <w:r w:rsidR="009947B9">
          <w:rPr>
            <w:noProof/>
            <w:webHidden/>
          </w:rPr>
          <w:tab/>
        </w:r>
        <w:r>
          <w:rPr>
            <w:noProof/>
            <w:webHidden/>
          </w:rPr>
          <w:fldChar w:fldCharType="begin"/>
        </w:r>
        <w:r>
          <w:rPr>
            <w:noProof/>
            <w:webHidden/>
          </w:rPr>
          <w:instrText xml:space="preserve"> PAGEREF _Toc127957661 \h </w:instrText>
        </w:r>
        <w:r>
          <w:rPr>
            <w:noProof/>
            <w:webHidden/>
          </w:rPr>
        </w:r>
        <w:r>
          <w:rPr>
            <w:noProof/>
            <w:webHidden/>
          </w:rPr>
          <w:fldChar w:fldCharType="separate"/>
        </w:r>
        <w:r w:rsidR="00B05C7F">
          <w:rPr>
            <w:noProof/>
            <w:webHidden/>
          </w:rPr>
          <w:t>102</w:t>
        </w:r>
        <w:r>
          <w:rPr>
            <w:noProof/>
            <w:webHidden/>
          </w:rPr>
          <w:fldChar w:fldCharType="end"/>
        </w:r>
      </w:hyperlink>
    </w:p>
    <w:p w14:paraId="73931314" w14:textId="77777777" w:rsidR="006C5F2A" w:rsidRPr="00FB04F6" w:rsidRDefault="006C5F2A">
      <w:pPr>
        <w:pStyle w:val="TM2"/>
        <w:rPr>
          <w:rFonts w:eastAsia="Times New Roman" w:cs="Times New Roman"/>
          <w:smallCaps w:val="0"/>
          <w:noProof/>
          <w:sz w:val="22"/>
          <w:szCs w:val="22"/>
          <w:lang w:eastAsia="fr-FR"/>
        </w:rPr>
      </w:pPr>
      <w:hyperlink w:anchor="_Toc127957662" w:history="1">
        <w:r w:rsidRPr="00ED6DAE">
          <w:rPr>
            <w:rStyle w:val="Lienhypertexte"/>
            <w:noProof/>
          </w:rPr>
          <w:t>5.6.</w:t>
        </w:r>
        <w:r w:rsidRPr="00FB04F6">
          <w:rPr>
            <w:rFonts w:eastAsia="Times New Roman" w:cs="Times New Roman"/>
            <w:smallCaps w:val="0"/>
            <w:noProof/>
            <w:sz w:val="22"/>
            <w:szCs w:val="22"/>
            <w:lang w:eastAsia="fr-FR"/>
          </w:rPr>
          <w:tab/>
        </w:r>
        <w:r w:rsidRPr="00ED6DAE">
          <w:rPr>
            <w:rStyle w:val="Lienhypertexte"/>
            <w:noProof/>
          </w:rPr>
          <w:t>Analyse comparative des cadres règlementaire et</w:t>
        </w:r>
        <w:r w:rsidRPr="00ED6DAE">
          <w:rPr>
            <w:rStyle w:val="Lienhypertexte"/>
            <w:noProof/>
          </w:rPr>
          <w:t xml:space="preserve"> </w:t>
        </w:r>
        <w:r w:rsidRPr="00ED6DAE">
          <w:rPr>
            <w:rStyle w:val="Lienhypertexte"/>
            <w:noProof/>
          </w:rPr>
          <w:t>juridique nationaux et les NES de la banque mondiale</w:t>
        </w:r>
        <w:r>
          <w:rPr>
            <w:noProof/>
            <w:webHidden/>
          </w:rPr>
          <w:tab/>
        </w:r>
        <w:r w:rsidR="009947B9">
          <w:rPr>
            <w:noProof/>
            <w:webHidden/>
          </w:rPr>
          <w:tab/>
        </w:r>
        <w:r w:rsidR="009947B9">
          <w:rPr>
            <w:noProof/>
            <w:webHidden/>
          </w:rPr>
          <w:tab/>
        </w:r>
        <w:r>
          <w:rPr>
            <w:noProof/>
            <w:webHidden/>
          </w:rPr>
          <w:fldChar w:fldCharType="begin"/>
        </w:r>
        <w:r>
          <w:rPr>
            <w:noProof/>
            <w:webHidden/>
          </w:rPr>
          <w:instrText xml:space="preserve"> PAGEREF _Toc127957662 \h </w:instrText>
        </w:r>
        <w:r>
          <w:rPr>
            <w:noProof/>
            <w:webHidden/>
          </w:rPr>
        </w:r>
        <w:r>
          <w:rPr>
            <w:noProof/>
            <w:webHidden/>
          </w:rPr>
          <w:fldChar w:fldCharType="separate"/>
        </w:r>
        <w:r w:rsidR="00B05C7F">
          <w:rPr>
            <w:noProof/>
            <w:webHidden/>
          </w:rPr>
          <w:t>105</w:t>
        </w:r>
        <w:r>
          <w:rPr>
            <w:noProof/>
            <w:webHidden/>
          </w:rPr>
          <w:fldChar w:fldCharType="end"/>
        </w:r>
      </w:hyperlink>
    </w:p>
    <w:p w14:paraId="6C4FC93E" w14:textId="77777777" w:rsidR="006C5F2A" w:rsidRPr="00FB04F6" w:rsidRDefault="006C5F2A">
      <w:pPr>
        <w:pStyle w:val="TM1"/>
        <w:tabs>
          <w:tab w:val="left" w:pos="440"/>
        </w:tabs>
        <w:rPr>
          <w:rFonts w:eastAsia="Times New Roman" w:cs="Times New Roman"/>
          <w:b w:val="0"/>
          <w:bCs w:val="0"/>
          <w:caps w:val="0"/>
          <w:noProof/>
          <w:sz w:val="22"/>
          <w:szCs w:val="22"/>
          <w:lang w:eastAsia="fr-FR"/>
        </w:rPr>
      </w:pPr>
      <w:hyperlink w:anchor="_Toc127957663" w:history="1">
        <w:r w:rsidRPr="00ED6DAE">
          <w:rPr>
            <w:rStyle w:val="Lienhypertexte"/>
            <w:noProof/>
          </w:rPr>
          <w:t>6.</w:t>
        </w:r>
        <w:r w:rsidRPr="00FB04F6">
          <w:rPr>
            <w:rFonts w:eastAsia="Times New Roman" w:cs="Times New Roman"/>
            <w:b w:val="0"/>
            <w:bCs w:val="0"/>
            <w:caps w:val="0"/>
            <w:noProof/>
            <w:sz w:val="22"/>
            <w:szCs w:val="22"/>
            <w:lang w:eastAsia="fr-FR"/>
          </w:rPr>
          <w:tab/>
        </w:r>
        <w:r w:rsidRPr="00ED6DAE">
          <w:rPr>
            <w:rStyle w:val="Lienhypertexte"/>
            <w:noProof/>
          </w:rPr>
          <w:t>Analyse des alternatives</w:t>
        </w:r>
        <w:r>
          <w:rPr>
            <w:noProof/>
            <w:webHidden/>
          </w:rPr>
          <w:tab/>
        </w:r>
        <w:r>
          <w:rPr>
            <w:noProof/>
            <w:webHidden/>
          </w:rPr>
          <w:fldChar w:fldCharType="begin"/>
        </w:r>
        <w:r>
          <w:rPr>
            <w:noProof/>
            <w:webHidden/>
          </w:rPr>
          <w:instrText xml:space="preserve"> PAGEREF _Toc127957663 \h </w:instrText>
        </w:r>
        <w:r>
          <w:rPr>
            <w:noProof/>
            <w:webHidden/>
          </w:rPr>
        </w:r>
        <w:r>
          <w:rPr>
            <w:noProof/>
            <w:webHidden/>
          </w:rPr>
          <w:fldChar w:fldCharType="separate"/>
        </w:r>
        <w:r w:rsidR="00B05C7F">
          <w:rPr>
            <w:noProof/>
            <w:webHidden/>
          </w:rPr>
          <w:t>142</w:t>
        </w:r>
        <w:r>
          <w:rPr>
            <w:noProof/>
            <w:webHidden/>
          </w:rPr>
          <w:fldChar w:fldCharType="end"/>
        </w:r>
      </w:hyperlink>
    </w:p>
    <w:p w14:paraId="4BE84DC7" w14:textId="77777777" w:rsidR="006C5F2A" w:rsidRPr="00FB04F6" w:rsidRDefault="006C5F2A">
      <w:pPr>
        <w:pStyle w:val="TM2"/>
        <w:rPr>
          <w:rFonts w:eastAsia="Times New Roman" w:cs="Times New Roman"/>
          <w:smallCaps w:val="0"/>
          <w:noProof/>
          <w:sz w:val="22"/>
          <w:szCs w:val="22"/>
          <w:lang w:eastAsia="fr-FR"/>
        </w:rPr>
      </w:pPr>
      <w:hyperlink w:anchor="_Toc127957664" w:history="1">
        <w:r w:rsidRPr="00ED6DAE">
          <w:rPr>
            <w:rStyle w:val="Lienhypertexte"/>
            <w:noProof/>
          </w:rPr>
          <w:t>6.1.</w:t>
        </w:r>
        <w:r w:rsidRPr="00FB04F6">
          <w:rPr>
            <w:rFonts w:eastAsia="Times New Roman" w:cs="Times New Roman"/>
            <w:smallCaps w:val="0"/>
            <w:noProof/>
            <w:sz w:val="22"/>
            <w:szCs w:val="22"/>
            <w:lang w:eastAsia="fr-FR"/>
          </w:rPr>
          <w:tab/>
        </w:r>
        <w:r w:rsidRPr="00ED6DAE">
          <w:rPr>
            <w:rStyle w:val="Lienhypertexte"/>
            <w:noProof/>
          </w:rPr>
          <w:t>Évolution possible de la situation sans Projet</w:t>
        </w:r>
        <w:r>
          <w:rPr>
            <w:noProof/>
            <w:webHidden/>
          </w:rPr>
          <w:tab/>
        </w:r>
        <w:r>
          <w:rPr>
            <w:noProof/>
            <w:webHidden/>
          </w:rPr>
          <w:fldChar w:fldCharType="begin"/>
        </w:r>
        <w:r>
          <w:rPr>
            <w:noProof/>
            <w:webHidden/>
          </w:rPr>
          <w:instrText xml:space="preserve"> PAGEREF _Toc127957664 \h </w:instrText>
        </w:r>
        <w:r>
          <w:rPr>
            <w:noProof/>
            <w:webHidden/>
          </w:rPr>
        </w:r>
        <w:r>
          <w:rPr>
            <w:noProof/>
            <w:webHidden/>
          </w:rPr>
          <w:fldChar w:fldCharType="separate"/>
        </w:r>
        <w:r w:rsidR="00B05C7F">
          <w:rPr>
            <w:noProof/>
            <w:webHidden/>
          </w:rPr>
          <w:t>142</w:t>
        </w:r>
        <w:r>
          <w:rPr>
            <w:noProof/>
            <w:webHidden/>
          </w:rPr>
          <w:fldChar w:fldCharType="end"/>
        </w:r>
      </w:hyperlink>
    </w:p>
    <w:p w14:paraId="29FCA7AE" w14:textId="77777777" w:rsidR="006C5F2A" w:rsidRPr="00FB04F6" w:rsidRDefault="006C5F2A">
      <w:pPr>
        <w:pStyle w:val="TM2"/>
        <w:rPr>
          <w:rFonts w:eastAsia="Times New Roman" w:cs="Times New Roman"/>
          <w:smallCaps w:val="0"/>
          <w:noProof/>
          <w:sz w:val="22"/>
          <w:szCs w:val="22"/>
          <w:lang w:eastAsia="fr-FR"/>
        </w:rPr>
      </w:pPr>
      <w:hyperlink w:anchor="_Toc127957665" w:history="1">
        <w:r w:rsidRPr="00ED6DAE">
          <w:rPr>
            <w:rStyle w:val="Lienhypertexte"/>
            <w:noProof/>
          </w:rPr>
          <w:t>6.2.</w:t>
        </w:r>
        <w:r w:rsidRPr="00FB04F6">
          <w:rPr>
            <w:rFonts w:eastAsia="Times New Roman" w:cs="Times New Roman"/>
            <w:smallCaps w:val="0"/>
            <w:noProof/>
            <w:sz w:val="22"/>
            <w:szCs w:val="22"/>
            <w:lang w:eastAsia="fr-FR"/>
          </w:rPr>
          <w:tab/>
        </w:r>
        <w:r w:rsidRPr="00ED6DAE">
          <w:rPr>
            <w:rStyle w:val="Lienhypertexte"/>
            <w:noProof/>
          </w:rPr>
          <w:t>Situation avec Projet</w:t>
        </w:r>
        <w:r>
          <w:rPr>
            <w:noProof/>
            <w:webHidden/>
          </w:rPr>
          <w:tab/>
        </w:r>
        <w:r>
          <w:rPr>
            <w:noProof/>
            <w:webHidden/>
          </w:rPr>
          <w:fldChar w:fldCharType="begin"/>
        </w:r>
        <w:r>
          <w:rPr>
            <w:noProof/>
            <w:webHidden/>
          </w:rPr>
          <w:instrText xml:space="preserve"> PAGEREF _Toc127957665 \h </w:instrText>
        </w:r>
        <w:r>
          <w:rPr>
            <w:noProof/>
            <w:webHidden/>
          </w:rPr>
        </w:r>
        <w:r>
          <w:rPr>
            <w:noProof/>
            <w:webHidden/>
          </w:rPr>
          <w:fldChar w:fldCharType="separate"/>
        </w:r>
        <w:r w:rsidR="00B05C7F">
          <w:rPr>
            <w:noProof/>
            <w:webHidden/>
          </w:rPr>
          <w:t>143</w:t>
        </w:r>
        <w:r>
          <w:rPr>
            <w:noProof/>
            <w:webHidden/>
          </w:rPr>
          <w:fldChar w:fldCharType="end"/>
        </w:r>
      </w:hyperlink>
    </w:p>
    <w:p w14:paraId="5CB996A0" w14:textId="77777777" w:rsidR="006C5F2A" w:rsidRPr="00FB04F6" w:rsidRDefault="006C5F2A">
      <w:pPr>
        <w:pStyle w:val="TM2"/>
        <w:rPr>
          <w:rFonts w:eastAsia="Times New Roman" w:cs="Times New Roman"/>
          <w:smallCaps w:val="0"/>
          <w:noProof/>
          <w:sz w:val="22"/>
          <w:szCs w:val="22"/>
          <w:lang w:eastAsia="fr-FR"/>
        </w:rPr>
      </w:pPr>
      <w:hyperlink w:anchor="_Toc127957667" w:history="1">
        <w:r w:rsidRPr="00ED6DAE">
          <w:rPr>
            <w:rStyle w:val="Lienhypertexte"/>
            <w:noProof/>
          </w:rPr>
          <w:t>6.3.</w:t>
        </w:r>
        <w:r w:rsidRPr="00FB04F6">
          <w:rPr>
            <w:rFonts w:eastAsia="Times New Roman" w:cs="Times New Roman"/>
            <w:smallCaps w:val="0"/>
            <w:noProof/>
            <w:sz w:val="22"/>
            <w:szCs w:val="22"/>
            <w:lang w:eastAsia="fr-FR"/>
          </w:rPr>
          <w:tab/>
        </w:r>
        <w:r w:rsidRPr="00ED6DAE">
          <w:rPr>
            <w:rStyle w:val="Lienhypertexte"/>
            <w:noProof/>
          </w:rPr>
          <w:t>Conclusion de l’analyse des alternatives</w:t>
        </w:r>
        <w:r>
          <w:rPr>
            <w:noProof/>
            <w:webHidden/>
          </w:rPr>
          <w:tab/>
        </w:r>
        <w:r>
          <w:rPr>
            <w:noProof/>
            <w:webHidden/>
          </w:rPr>
          <w:fldChar w:fldCharType="begin"/>
        </w:r>
        <w:r>
          <w:rPr>
            <w:noProof/>
            <w:webHidden/>
          </w:rPr>
          <w:instrText xml:space="preserve"> PAGEREF _Toc127957667 \h </w:instrText>
        </w:r>
        <w:r>
          <w:rPr>
            <w:noProof/>
            <w:webHidden/>
          </w:rPr>
        </w:r>
        <w:r>
          <w:rPr>
            <w:noProof/>
            <w:webHidden/>
          </w:rPr>
          <w:fldChar w:fldCharType="separate"/>
        </w:r>
        <w:r w:rsidR="00B05C7F">
          <w:rPr>
            <w:noProof/>
            <w:webHidden/>
          </w:rPr>
          <w:t>145</w:t>
        </w:r>
        <w:r>
          <w:rPr>
            <w:noProof/>
            <w:webHidden/>
          </w:rPr>
          <w:fldChar w:fldCharType="end"/>
        </w:r>
      </w:hyperlink>
    </w:p>
    <w:p w14:paraId="56D45EDA" w14:textId="77777777" w:rsidR="006C5F2A" w:rsidRPr="00FB04F6" w:rsidRDefault="006C5F2A">
      <w:pPr>
        <w:pStyle w:val="TM1"/>
        <w:tabs>
          <w:tab w:val="left" w:pos="440"/>
        </w:tabs>
        <w:rPr>
          <w:rFonts w:eastAsia="Times New Roman" w:cs="Times New Roman"/>
          <w:b w:val="0"/>
          <w:bCs w:val="0"/>
          <w:caps w:val="0"/>
          <w:noProof/>
          <w:sz w:val="22"/>
          <w:szCs w:val="22"/>
          <w:lang w:eastAsia="fr-FR"/>
        </w:rPr>
      </w:pPr>
      <w:hyperlink w:anchor="_Toc127957668" w:history="1">
        <w:r w:rsidRPr="00ED6DAE">
          <w:rPr>
            <w:rStyle w:val="Lienhypertexte"/>
            <w:noProof/>
          </w:rPr>
          <w:t>7.</w:t>
        </w:r>
        <w:r w:rsidRPr="00FB04F6">
          <w:rPr>
            <w:rFonts w:eastAsia="Times New Roman" w:cs="Times New Roman"/>
            <w:b w:val="0"/>
            <w:bCs w:val="0"/>
            <w:caps w:val="0"/>
            <w:noProof/>
            <w:sz w:val="22"/>
            <w:szCs w:val="22"/>
            <w:lang w:eastAsia="fr-FR"/>
          </w:rPr>
          <w:tab/>
        </w:r>
        <w:r w:rsidRPr="00ED6DAE">
          <w:rPr>
            <w:rStyle w:val="Lienhypertexte"/>
            <w:noProof/>
          </w:rPr>
          <w:t>Identification et évaluation des impacts positifs et négatifs potentiels du projet</w:t>
        </w:r>
        <w:r>
          <w:rPr>
            <w:noProof/>
            <w:webHidden/>
          </w:rPr>
          <w:tab/>
        </w:r>
        <w:r>
          <w:rPr>
            <w:noProof/>
            <w:webHidden/>
          </w:rPr>
          <w:fldChar w:fldCharType="begin"/>
        </w:r>
        <w:r>
          <w:rPr>
            <w:noProof/>
            <w:webHidden/>
          </w:rPr>
          <w:instrText xml:space="preserve"> PAGEREF _Toc127957668 \h </w:instrText>
        </w:r>
        <w:r>
          <w:rPr>
            <w:noProof/>
            <w:webHidden/>
          </w:rPr>
        </w:r>
        <w:r>
          <w:rPr>
            <w:noProof/>
            <w:webHidden/>
          </w:rPr>
          <w:fldChar w:fldCharType="separate"/>
        </w:r>
        <w:r w:rsidR="00B05C7F">
          <w:rPr>
            <w:noProof/>
            <w:webHidden/>
          </w:rPr>
          <w:t>146</w:t>
        </w:r>
        <w:r>
          <w:rPr>
            <w:noProof/>
            <w:webHidden/>
          </w:rPr>
          <w:fldChar w:fldCharType="end"/>
        </w:r>
      </w:hyperlink>
    </w:p>
    <w:p w14:paraId="2C47AC29" w14:textId="77777777" w:rsidR="006C5F2A" w:rsidRPr="00FB04F6" w:rsidRDefault="006C5F2A">
      <w:pPr>
        <w:pStyle w:val="TM2"/>
        <w:rPr>
          <w:rFonts w:eastAsia="Times New Roman" w:cs="Times New Roman"/>
          <w:smallCaps w:val="0"/>
          <w:noProof/>
          <w:sz w:val="22"/>
          <w:szCs w:val="22"/>
          <w:lang w:eastAsia="fr-FR"/>
        </w:rPr>
      </w:pPr>
      <w:hyperlink w:anchor="_Toc127957669" w:history="1">
        <w:r w:rsidRPr="00ED6DAE">
          <w:rPr>
            <w:rStyle w:val="Lienhypertexte"/>
            <w:noProof/>
          </w:rPr>
          <w:t>7.1.</w:t>
        </w:r>
        <w:r w:rsidRPr="00FB04F6">
          <w:rPr>
            <w:rFonts w:eastAsia="Times New Roman" w:cs="Times New Roman"/>
            <w:smallCaps w:val="0"/>
            <w:noProof/>
            <w:sz w:val="22"/>
            <w:szCs w:val="22"/>
            <w:lang w:eastAsia="fr-FR"/>
          </w:rPr>
          <w:tab/>
        </w:r>
        <w:r w:rsidRPr="00ED6DAE">
          <w:rPr>
            <w:rStyle w:val="Lienhypertexte"/>
            <w:noProof/>
          </w:rPr>
          <w:t>Identification et évaluation des impacts potentiels types</w:t>
        </w:r>
        <w:r>
          <w:rPr>
            <w:noProof/>
            <w:webHidden/>
          </w:rPr>
          <w:tab/>
        </w:r>
        <w:r>
          <w:rPr>
            <w:noProof/>
            <w:webHidden/>
          </w:rPr>
          <w:fldChar w:fldCharType="begin"/>
        </w:r>
        <w:r>
          <w:rPr>
            <w:noProof/>
            <w:webHidden/>
          </w:rPr>
          <w:instrText xml:space="preserve"> PAGEREF _Toc127957669 \h </w:instrText>
        </w:r>
        <w:r>
          <w:rPr>
            <w:noProof/>
            <w:webHidden/>
          </w:rPr>
        </w:r>
        <w:r>
          <w:rPr>
            <w:noProof/>
            <w:webHidden/>
          </w:rPr>
          <w:fldChar w:fldCharType="separate"/>
        </w:r>
        <w:r w:rsidR="00B05C7F">
          <w:rPr>
            <w:noProof/>
            <w:webHidden/>
          </w:rPr>
          <w:t>146</w:t>
        </w:r>
        <w:r>
          <w:rPr>
            <w:noProof/>
            <w:webHidden/>
          </w:rPr>
          <w:fldChar w:fldCharType="end"/>
        </w:r>
      </w:hyperlink>
    </w:p>
    <w:p w14:paraId="54A46800" w14:textId="77777777" w:rsidR="006C5F2A" w:rsidRPr="00FB04F6" w:rsidRDefault="006C5F2A">
      <w:pPr>
        <w:pStyle w:val="TM3"/>
        <w:rPr>
          <w:rFonts w:eastAsia="Times New Roman" w:cs="Times New Roman"/>
          <w:i w:val="0"/>
          <w:iCs w:val="0"/>
          <w:noProof/>
          <w:sz w:val="22"/>
          <w:szCs w:val="22"/>
          <w:lang w:eastAsia="fr-FR"/>
        </w:rPr>
      </w:pPr>
      <w:hyperlink w:anchor="_Toc127957670" w:history="1">
        <w:r w:rsidRPr="00ED6DAE">
          <w:rPr>
            <w:rStyle w:val="Lienhypertexte"/>
            <w:noProof/>
          </w:rPr>
          <w:t>7.1.1.</w:t>
        </w:r>
        <w:r w:rsidRPr="00FB04F6">
          <w:rPr>
            <w:rFonts w:eastAsia="Times New Roman" w:cs="Times New Roman"/>
            <w:i w:val="0"/>
            <w:iCs w:val="0"/>
            <w:noProof/>
            <w:sz w:val="22"/>
            <w:szCs w:val="22"/>
            <w:lang w:eastAsia="fr-FR"/>
          </w:rPr>
          <w:tab/>
        </w:r>
        <w:r w:rsidRPr="00ED6DAE">
          <w:rPr>
            <w:rStyle w:val="Lienhypertexte"/>
            <w:noProof/>
          </w:rPr>
          <w:t>Méthodologie utilisée</w:t>
        </w:r>
        <w:r>
          <w:rPr>
            <w:noProof/>
            <w:webHidden/>
          </w:rPr>
          <w:tab/>
        </w:r>
        <w:r>
          <w:rPr>
            <w:noProof/>
            <w:webHidden/>
          </w:rPr>
          <w:fldChar w:fldCharType="begin"/>
        </w:r>
        <w:r>
          <w:rPr>
            <w:noProof/>
            <w:webHidden/>
          </w:rPr>
          <w:instrText xml:space="preserve"> PAGEREF _Toc127957670 \h </w:instrText>
        </w:r>
        <w:r>
          <w:rPr>
            <w:noProof/>
            <w:webHidden/>
          </w:rPr>
        </w:r>
        <w:r>
          <w:rPr>
            <w:noProof/>
            <w:webHidden/>
          </w:rPr>
          <w:fldChar w:fldCharType="separate"/>
        </w:r>
        <w:r w:rsidR="00B05C7F">
          <w:rPr>
            <w:noProof/>
            <w:webHidden/>
          </w:rPr>
          <w:t>146</w:t>
        </w:r>
        <w:r>
          <w:rPr>
            <w:noProof/>
            <w:webHidden/>
          </w:rPr>
          <w:fldChar w:fldCharType="end"/>
        </w:r>
      </w:hyperlink>
    </w:p>
    <w:p w14:paraId="4236B04D" w14:textId="77777777" w:rsidR="006C5F2A" w:rsidRPr="00FB04F6" w:rsidRDefault="006C5F2A">
      <w:pPr>
        <w:pStyle w:val="TM2"/>
        <w:rPr>
          <w:rFonts w:eastAsia="Times New Roman" w:cs="Times New Roman"/>
          <w:smallCaps w:val="0"/>
          <w:noProof/>
          <w:sz w:val="22"/>
          <w:szCs w:val="22"/>
          <w:lang w:eastAsia="fr-FR"/>
        </w:rPr>
      </w:pPr>
      <w:hyperlink w:anchor="_Toc127957671" w:history="1">
        <w:r w:rsidRPr="00ED6DAE">
          <w:rPr>
            <w:rStyle w:val="Lienhypertexte"/>
            <w:noProof/>
          </w:rPr>
          <w:t>7.1.1.1.</w:t>
        </w:r>
        <w:r w:rsidRPr="00FB04F6">
          <w:rPr>
            <w:rFonts w:eastAsia="Times New Roman" w:cs="Times New Roman"/>
            <w:smallCaps w:val="0"/>
            <w:noProof/>
            <w:sz w:val="22"/>
            <w:szCs w:val="22"/>
            <w:lang w:eastAsia="fr-FR"/>
          </w:rPr>
          <w:tab/>
        </w:r>
        <w:r w:rsidRPr="00ED6DAE">
          <w:rPr>
            <w:rStyle w:val="Lienhypertexte"/>
            <w:noProof/>
          </w:rPr>
          <w:t>Identification des impacts potentiels types</w:t>
        </w:r>
        <w:r>
          <w:rPr>
            <w:noProof/>
            <w:webHidden/>
          </w:rPr>
          <w:tab/>
        </w:r>
        <w:r>
          <w:rPr>
            <w:noProof/>
            <w:webHidden/>
          </w:rPr>
          <w:fldChar w:fldCharType="begin"/>
        </w:r>
        <w:r>
          <w:rPr>
            <w:noProof/>
            <w:webHidden/>
          </w:rPr>
          <w:instrText xml:space="preserve"> PAGEREF _Toc127957671 \h </w:instrText>
        </w:r>
        <w:r>
          <w:rPr>
            <w:noProof/>
            <w:webHidden/>
          </w:rPr>
        </w:r>
        <w:r>
          <w:rPr>
            <w:noProof/>
            <w:webHidden/>
          </w:rPr>
          <w:fldChar w:fldCharType="separate"/>
        </w:r>
        <w:r w:rsidR="00B05C7F">
          <w:rPr>
            <w:noProof/>
            <w:webHidden/>
          </w:rPr>
          <w:t>146</w:t>
        </w:r>
        <w:r>
          <w:rPr>
            <w:noProof/>
            <w:webHidden/>
          </w:rPr>
          <w:fldChar w:fldCharType="end"/>
        </w:r>
      </w:hyperlink>
    </w:p>
    <w:p w14:paraId="47164DD1" w14:textId="77777777" w:rsidR="006C5F2A" w:rsidRPr="00FB04F6" w:rsidRDefault="006C5F2A">
      <w:pPr>
        <w:pStyle w:val="TM2"/>
        <w:rPr>
          <w:rFonts w:eastAsia="Times New Roman" w:cs="Times New Roman"/>
          <w:smallCaps w:val="0"/>
          <w:noProof/>
          <w:sz w:val="22"/>
          <w:szCs w:val="22"/>
          <w:lang w:eastAsia="fr-FR"/>
        </w:rPr>
      </w:pPr>
      <w:hyperlink w:anchor="_Toc127957672" w:history="1">
        <w:r w:rsidRPr="00ED6DAE">
          <w:rPr>
            <w:rStyle w:val="Lienhypertexte"/>
            <w:noProof/>
          </w:rPr>
          <w:t>7.1.1.2.</w:t>
        </w:r>
        <w:r w:rsidRPr="00FB04F6">
          <w:rPr>
            <w:rFonts w:eastAsia="Times New Roman" w:cs="Times New Roman"/>
            <w:smallCaps w:val="0"/>
            <w:noProof/>
            <w:sz w:val="22"/>
            <w:szCs w:val="22"/>
            <w:lang w:eastAsia="fr-FR"/>
          </w:rPr>
          <w:tab/>
        </w:r>
        <w:r w:rsidRPr="00ED6DAE">
          <w:rPr>
            <w:rStyle w:val="Lienhypertexte"/>
            <w:noProof/>
          </w:rPr>
          <w:t>Méthode d’évaluation des impacts</w:t>
        </w:r>
        <w:r>
          <w:rPr>
            <w:noProof/>
            <w:webHidden/>
          </w:rPr>
          <w:tab/>
        </w:r>
        <w:r>
          <w:rPr>
            <w:noProof/>
            <w:webHidden/>
          </w:rPr>
          <w:fldChar w:fldCharType="begin"/>
        </w:r>
        <w:r>
          <w:rPr>
            <w:noProof/>
            <w:webHidden/>
          </w:rPr>
          <w:instrText xml:space="preserve"> PAGEREF _Toc127957672 \h </w:instrText>
        </w:r>
        <w:r>
          <w:rPr>
            <w:noProof/>
            <w:webHidden/>
          </w:rPr>
        </w:r>
        <w:r>
          <w:rPr>
            <w:noProof/>
            <w:webHidden/>
          </w:rPr>
          <w:fldChar w:fldCharType="separate"/>
        </w:r>
        <w:r w:rsidR="00B05C7F">
          <w:rPr>
            <w:noProof/>
            <w:webHidden/>
          </w:rPr>
          <w:t>146</w:t>
        </w:r>
        <w:r>
          <w:rPr>
            <w:noProof/>
            <w:webHidden/>
          </w:rPr>
          <w:fldChar w:fldCharType="end"/>
        </w:r>
      </w:hyperlink>
    </w:p>
    <w:p w14:paraId="3DB42E95" w14:textId="77777777" w:rsidR="006C5F2A" w:rsidRPr="00FB04F6" w:rsidRDefault="006C5F2A">
      <w:pPr>
        <w:pStyle w:val="TM3"/>
        <w:rPr>
          <w:rFonts w:eastAsia="Times New Roman" w:cs="Times New Roman"/>
          <w:i w:val="0"/>
          <w:iCs w:val="0"/>
          <w:noProof/>
          <w:sz w:val="22"/>
          <w:szCs w:val="22"/>
          <w:lang w:eastAsia="fr-FR"/>
        </w:rPr>
      </w:pPr>
      <w:hyperlink w:anchor="_Toc127957673" w:history="1">
        <w:r w:rsidRPr="00ED6DAE">
          <w:rPr>
            <w:rStyle w:val="Lienhypertexte"/>
            <w:noProof/>
          </w:rPr>
          <w:t>7.1.2.</w:t>
        </w:r>
        <w:r w:rsidRPr="00FB04F6">
          <w:rPr>
            <w:rFonts w:eastAsia="Times New Roman" w:cs="Times New Roman"/>
            <w:i w:val="0"/>
            <w:iCs w:val="0"/>
            <w:noProof/>
            <w:sz w:val="22"/>
            <w:szCs w:val="22"/>
            <w:lang w:eastAsia="fr-FR"/>
          </w:rPr>
          <w:tab/>
        </w:r>
        <w:r w:rsidRPr="00ED6DAE">
          <w:rPr>
            <w:rStyle w:val="Lienhypertexte"/>
            <w:noProof/>
          </w:rPr>
          <w:t>Méthode d’évaluation des risques</w:t>
        </w:r>
        <w:r>
          <w:rPr>
            <w:noProof/>
            <w:webHidden/>
          </w:rPr>
          <w:tab/>
        </w:r>
        <w:r>
          <w:rPr>
            <w:noProof/>
            <w:webHidden/>
          </w:rPr>
          <w:fldChar w:fldCharType="begin"/>
        </w:r>
        <w:r>
          <w:rPr>
            <w:noProof/>
            <w:webHidden/>
          </w:rPr>
          <w:instrText xml:space="preserve"> PAGEREF _Toc127957673 \h </w:instrText>
        </w:r>
        <w:r>
          <w:rPr>
            <w:noProof/>
            <w:webHidden/>
          </w:rPr>
        </w:r>
        <w:r>
          <w:rPr>
            <w:noProof/>
            <w:webHidden/>
          </w:rPr>
          <w:fldChar w:fldCharType="separate"/>
        </w:r>
        <w:r w:rsidR="00B05C7F">
          <w:rPr>
            <w:noProof/>
            <w:webHidden/>
          </w:rPr>
          <w:t>148</w:t>
        </w:r>
        <w:r>
          <w:rPr>
            <w:noProof/>
            <w:webHidden/>
          </w:rPr>
          <w:fldChar w:fldCharType="end"/>
        </w:r>
      </w:hyperlink>
    </w:p>
    <w:p w14:paraId="446BD3EF" w14:textId="77777777" w:rsidR="006C5F2A" w:rsidRPr="00FB04F6" w:rsidRDefault="006C5F2A">
      <w:pPr>
        <w:pStyle w:val="TM3"/>
        <w:rPr>
          <w:rFonts w:eastAsia="Times New Roman" w:cs="Times New Roman"/>
          <w:i w:val="0"/>
          <w:iCs w:val="0"/>
          <w:noProof/>
          <w:sz w:val="22"/>
          <w:szCs w:val="22"/>
          <w:lang w:eastAsia="fr-FR"/>
        </w:rPr>
      </w:pPr>
      <w:hyperlink w:anchor="_Toc127957674" w:history="1">
        <w:r w:rsidRPr="00ED6DAE">
          <w:rPr>
            <w:rStyle w:val="Lienhypertexte"/>
            <w:noProof/>
          </w:rPr>
          <w:t>7.1.3.</w:t>
        </w:r>
        <w:r w:rsidRPr="00FB04F6">
          <w:rPr>
            <w:rFonts w:eastAsia="Times New Roman" w:cs="Times New Roman"/>
            <w:i w:val="0"/>
            <w:iCs w:val="0"/>
            <w:noProof/>
            <w:sz w:val="22"/>
            <w:szCs w:val="22"/>
            <w:lang w:eastAsia="fr-FR"/>
          </w:rPr>
          <w:tab/>
        </w:r>
        <w:r w:rsidRPr="00ED6DAE">
          <w:rPr>
            <w:rStyle w:val="Lienhypertexte"/>
            <w:noProof/>
          </w:rPr>
          <w:t>Principales sources d’activités des impacts</w:t>
        </w:r>
        <w:r>
          <w:rPr>
            <w:noProof/>
            <w:webHidden/>
          </w:rPr>
          <w:tab/>
        </w:r>
        <w:r>
          <w:rPr>
            <w:noProof/>
            <w:webHidden/>
          </w:rPr>
          <w:fldChar w:fldCharType="begin"/>
        </w:r>
        <w:r>
          <w:rPr>
            <w:noProof/>
            <w:webHidden/>
          </w:rPr>
          <w:instrText xml:space="preserve"> PAGEREF _Toc127957674 \h </w:instrText>
        </w:r>
        <w:r>
          <w:rPr>
            <w:noProof/>
            <w:webHidden/>
          </w:rPr>
        </w:r>
        <w:r>
          <w:rPr>
            <w:noProof/>
            <w:webHidden/>
          </w:rPr>
          <w:fldChar w:fldCharType="separate"/>
        </w:r>
        <w:r w:rsidR="00B05C7F">
          <w:rPr>
            <w:noProof/>
            <w:webHidden/>
          </w:rPr>
          <w:t>148</w:t>
        </w:r>
        <w:r>
          <w:rPr>
            <w:noProof/>
            <w:webHidden/>
          </w:rPr>
          <w:fldChar w:fldCharType="end"/>
        </w:r>
      </w:hyperlink>
    </w:p>
    <w:p w14:paraId="77AE4E70" w14:textId="77777777" w:rsidR="006C5F2A" w:rsidRPr="00FB04F6" w:rsidRDefault="006C5F2A">
      <w:pPr>
        <w:pStyle w:val="TM2"/>
        <w:rPr>
          <w:rFonts w:eastAsia="Times New Roman" w:cs="Times New Roman"/>
          <w:smallCaps w:val="0"/>
          <w:noProof/>
          <w:sz w:val="22"/>
          <w:szCs w:val="22"/>
          <w:lang w:eastAsia="fr-FR"/>
        </w:rPr>
      </w:pPr>
      <w:hyperlink w:anchor="_Toc127957675" w:history="1">
        <w:r w:rsidRPr="00ED6DAE">
          <w:rPr>
            <w:rStyle w:val="Lienhypertexte"/>
            <w:noProof/>
          </w:rPr>
          <w:t>7.1.3.1.</w:t>
        </w:r>
        <w:r w:rsidRPr="00FB04F6">
          <w:rPr>
            <w:rFonts w:eastAsia="Times New Roman" w:cs="Times New Roman"/>
            <w:smallCaps w:val="0"/>
            <w:noProof/>
            <w:sz w:val="22"/>
            <w:szCs w:val="22"/>
            <w:lang w:eastAsia="fr-FR"/>
          </w:rPr>
          <w:tab/>
        </w:r>
        <w:r w:rsidRPr="00ED6DAE">
          <w:rPr>
            <w:rStyle w:val="Lienhypertexte"/>
            <w:noProof/>
          </w:rPr>
          <w:t>En Phase Préparatoire et Construction</w:t>
        </w:r>
        <w:r>
          <w:rPr>
            <w:noProof/>
            <w:webHidden/>
          </w:rPr>
          <w:tab/>
        </w:r>
        <w:r>
          <w:rPr>
            <w:noProof/>
            <w:webHidden/>
          </w:rPr>
          <w:fldChar w:fldCharType="begin"/>
        </w:r>
        <w:r>
          <w:rPr>
            <w:noProof/>
            <w:webHidden/>
          </w:rPr>
          <w:instrText xml:space="preserve"> PAGEREF _Toc127957675 \h </w:instrText>
        </w:r>
        <w:r>
          <w:rPr>
            <w:noProof/>
            <w:webHidden/>
          </w:rPr>
        </w:r>
        <w:r>
          <w:rPr>
            <w:noProof/>
            <w:webHidden/>
          </w:rPr>
          <w:fldChar w:fldCharType="separate"/>
        </w:r>
        <w:r w:rsidR="00B05C7F">
          <w:rPr>
            <w:noProof/>
            <w:webHidden/>
          </w:rPr>
          <w:t>148</w:t>
        </w:r>
        <w:r>
          <w:rPr>
            <w:noProof/>
            <w:webHidden/>
          </w:rPr>
          <w:fldChar w:fldCharType="end"/>
        </w:r>
      </w:hyperlink>
    </w:p>
    <w:p w14:paraId="75041DFD" w14:textId="77777777" w:rsidR="006C5F2A" w:rsidRPr="00FB04F6" w:rsidRDefault="006C5F2A">
      <w:pPr>
        <w:pStyle w:val="TM2"/>
        <w:rPr>
          <w:rFonts w:eastAsia="Times New Roman" w:cs="Times New Roman"/>
          <w:smallCaps w:val="0"/>
          <w:noProof/>
          <w:sz w:val="22"/>
          <w:szCs w:val="22"/>
          <w:lang w:eastAsia="fr-FR"/>
        </w:rPr>
      </w:pPr>
      <w:hyperlink w:anchor="_Toc127957676" w:history="1">
        <w:r w:rsidRPr="00ED6DAE">
          <w:rPr>
            <w:rStyle w:val="Lienhypertexte"/>
            <w:noProof/>
          </w:rPr>
          <w:t>7.1.3.2.</w:t>
        </w:r>
        <w:r w:rsidRPr="00FB04F6">
          <w:rPr>
            <w:rFonts w:eastAsia="Times New Roman" w:cs="Times New Roman"/>
            <w:smallCaps w:val="0"/>
            <w:noProof/>
            <w:sz w:val="22"/>
            <w:szCs w:val="22"/>
            <w:lang w:eastAsia="fr-FR"/>
          </w:rPr>
          <w:tab/>
        </w:r>
        <w:r w:rsidRPr="00ED6DAE">
          <w:rPr>
            <w:rStyle w:val="Lienhypertexte"/>
            <w:noProof/>
          </w:rPr>
          <w:t>Repli de chantier</w:t>
        </w:r>
        <w:r>
          <w:rPr>
            <w:noProof/>
            <w:webHidden/>
          </w:rPr>
          <w:tab/>
        </w:r>
        <w:r>
          <w:rPr>
            <w:noProof/>
            <w:webHidden/>
          </w:rPr>
          <w:fldChar w:fldCharType="begin"/>
        </w:r>
        <w:r>
          <w:rPr>
            <w:noProof/>
            <w:webHidden/>
          </w:rPr>
          <w:instrText xml:space="preserve"> PAGEREF _Toc127957676 \h </w:instrText>
        </w:r>
        <w:r>
          <w:rPr>
            <w:noProof/>
            <w:webHidden/>
          </w:rPr>
        </w:r>
        <w:r>
          <w:rPr>
            <w:noProof/>
            <w:webHidden/>
          </w:rPr>
          <w:fldChar w:fldCharType="separate"/>
        </w:r>
        <w:r w:rsidR="00B05C7F">
          <w:rPr>
            <w:noProof/>
            <w:webHidden/>
          </w:rPr>
          <w:t>150</w:t>
        </w:r>
        <w:r>
          <w:rPr>
            <w:noProof/>
            <w:webHidden/>
          </w:rPr>
          <w:fldChar w:fldCharType="end"/>
        </w:r>
      </w:hyperlink>
    </w:p>
    <w:p w14:paraId="39FF6421" w14:textId="77777777" w:rsidR="006C5F2A" w:rsidRPr="00FB04F6" w:rsidRDefault="006C5F2A">
      <w:pPr>
        <w:pStyle w:val="TM2"/>
        <w:rPr>
          <w:rFonts w:eastAsia="Times New Roman" w:cs="Times New Roman"/>
          <w:smallCaps w:val="0"/>
          <w:noProof/>
          <w:sz w:val="22"/>
          <w:szCs w:val="22"/>
          <w:lang w:eastAsia="fr-FR"/>
        </w:rPr>
      </w:pPr>
      <w:hyperlink w:anchor="_Toc127957677" w:history="1">
        <w:r w:rsidRPr="00ED6DAE">
          <w:rPr>
            <w:rStyle w:val="Lienhypertexte"/>
            <w:noProof/>
          </w:rPr>
          <w:t>7.1.3.3.</w:t>
        </w:r>
        <w:r w:rsidRPr="00FB04F6">
          <w:rPr>
            <w:rFonts w:eastAsia="Times New Roman" w:cs="Times New Roman"/>
            <w:smallCaps w:val="0"/>
            <w:noProof/>
            <w:sz w:val="22"/>
            <w:szCs w:val="22"/>
            <w:lang w:eastAsia="fr-FR"/>
          </w:rPr>
          <w:tab/>
        </w:r>
        <w:r w:rsidRPr="00ED6DAE">
          <w:rPr>
            <w:rStyle w:val="Lienhypertexte"/>
            <w:noProof/>
          </w:rPr>
          <w:t>Phase d’Exploitation</w:t>
        </w:r>
        <w:r>
          <w:rPr>
            <w:noProof/>
            <w:webHidden/>
          </w:rPr>
          <w:tab/>
        </w:r>
        <w:r>
          <w:rPr>
            <w:noProof/>
            <w:webHidden/>
          </w:rPr>
          <w:fldChar w:fldCharType="begin"/>
        </w:r>
        <w:r>
          <w:rPr>
            <w:noProof/>
            <w:webHidden/>
          </w:rPr>
          <w:instrText xml:space="preserve"> PAGEREF _Toc127957677 \h </w:instrText>
        </w:r>
        <w:r>
          <w:rPr>
            <w:noProof/>
            <w:webHidden/>
          </w:rPr>
        </w:r>
        <w:r>
          <w:rPr>
            <w:noProof/>
            <w:webHidden/>
          </w:rPr>
          <w:fldChar w:fldCharType="separate"/>
        </w:r>
        <w:r w:rsidR="00B05C7F">
          <w:rPr>
            <w:noProof/>
            <w:webHidden/>
          </w:rPr>
          <w:t>150</w:t>
        </w:r>
        <w:r>
          <w:rPr>
            <w:noProof/>
            <w:webHidden/>
          </w:rPr>
          <w:fldChar w:fldCharType="end"/>
        </w:r>
      </w:hyperlink>
    </w:p>
    <w:p w14:paraId="15B10B26" w14:textId="77777777" w:rsidR="006C5F2A" w:rsidRPr="00FB04F6" w:rsidRDefault="006C5F2A">
      <w:pPr>
        <w:pStyle w:val="TM2"/>
        <w:rPr>
          <w:rFonts w:eastAsia="Times New Roman" w:cs="Times New Roman"/>
          <w:smallCaps w:val="0"/>
          <w:noProof/>
          <w:sz w:val="22"/>
          <w:szCs w:val="22"/>
          <w:lang w:eastAsia="fr-FR"/>
        </w:rPr>
      </w:pPr>
      <w:hyperlink w:anchor="_Toc127957678" w:history="1">
        <w:r w:rsidRPr="00ED6DAE">
          <w:rPr>
            <w:rStyle w:val="Lienhypertexte"/>
            <w:noProof/>
          </w:rPr>
          <w:t>7.1.3.4.</w:t>
        </w:r>
        <w:r w:rsidRPr="00FB04F6">
          <w:rPr>
            <w:rFonts w:eastAsia="Times New Roman" w:cs="Times New Roman"/>
            <w:smallCaps w:val="0"/>
            <w:noProof/>
            <w:sz w:val="22"/>
            <w:szCs w:val="22"/>
            <w:lang w:eastAsia="fr-FR"/>
          </w:rPr>
          <w:tab/>
        </w:r>
        <w:r w:rsidRPr="00ED6DAE">
          <w:rPr>
            <w:rStyle w:val="Lienhypertexte"/>
            <w:noProof/>
          </w:rPr>
          <w:t>Phase de Démantèlement</w:t>
        </w:r>
        <w:r>
          <w:rPr>
            <w:noProof/>
            <w:webHidden/>
          </w:rPr>
          <w:tab/>
        </w:r>
        <w:r>
          <w:rPr>
            <w:noProof/>
            <w:webHidden/>
          </w:rPr>
          <w:fldChar w:fldCharType="begin"/>
        </w:r>
        <w:r>
          <w:rPr>
            <w:noProof/>
            <w:webHidden/>
          </w:rPr>
          <w:instrText xml:space="preserve"> PAGEREF _Toc127957678 \h </w:instrText>
        </w:r>
        <w:r>
          <w:rPr>
            <w:noProof/>
            <w:webHidden/>
          </w:rPr>
        </w:r>
        <w:r>
          <w:rPr>
            <w:noProof/>
            <w:webHidden/>
          </w:rPr>
          <w:fldChar w:fldCharType="separate"/>
        </w:r>
        <w:r w:rsidR="00B05C7F">
          <w:rPr>
            <w:noProof/>
            <w:webHidden/>
          </w:rPr>
          <w:t>150</w:t>
        </w:r>
        <w:r>
          <w:rPr>
            <w:noProof/>
            <w:webHidden/>
          </w:rPr>
          <w:fldChar w:fldCharType="end"/>
        </w:r>
      </w:hyperlink>
    </w:p>
    <w:p w14:paraId="44057D62" w14:textId="77777777" w:rsidR="006C5F2A" w:rsidRPr="00FB04F6" w:rsidRDefault="006C5F2A">
      <w:pPr>
        <w:pStyle w:val="TM3"/>
        <w:rPr>
          <w:rFonts w:eastAsia="Times New Roman" w:cs="Times New Roman"/>
          <w:i w:val="0"/>
          <w:iCs w:val="0"/>
          <w:noProof/>
          <w:sz w:val="22"/>
          <w:szCs w:val="22"/>
          <w:lang w:eastAsia="fr-FR"/>
        </w:rPr>
      </w:pPr>
      <w:hyperlink w:anchor="_Toc127957679" w:history="1">
        <w:r w:rsidRPr="00ED6DAE">
          <w:rPr>
            <w:rStyle w:val="Lienhypertexte"/>
            <w:noProof/>
          </w:rPr>
          <w:t>7.1.4.</w:t>
        </w:r>
        <w:r w:rsidRPr="00FB04F6">
          <w:rPr>
            <w:rFonts w:eastAsia="Times New Roman" w:cs="Times New Roman"/>
            <w:i w:val="0"/>
            <w:iCs w:val="0"/>
            <w:noProof/>
            <w:sz w:val="22"/>
            <w:szCs w:val="22"/>
            <w:lang w:eastAsia="fr-FR"/>
          </w:rPr>
          <w:tab/>
        </w:r>
        <w:r w:rsidRPr="00ED6DAE">
          <w:rPr>
            <w:rStyle w:val="Lienhypertexte"/>
            <w:noProof/>
          </w:rPr>
          <w:t>Impacts positifs environnementaux et sociaux globaux</w:t>
        </w:r>
        <w:r>
          <w:rPr>
            <w:noProof/>
            <w:webHidden/>
          </w:rPr>
          <w:tab/>
        </w:r>
        <w:r>
          <w:rPr>
            <w:noProof/>
            <w:webHidden/>
          </w:rPr>
          <w:fldChar w:fldCharType="begin"/>
        </w:r>
        <w:r>
          <w:rPr>
            <w:noProof/>
            <w:webHidden/>
          </w:rPr>
          <w:instrText xml:space="preserve"> PAGEREF _Toc127957679 \h </w:instrText>
        </w:r>
        <w:r>
          <w:rPr>
            <w:noProof/>
            <w:webHidden/>
          </w:rPr>
        </w:r>
        <w:r>
          <w:rPr>
            <w:noProof/>
            <w:webHidden/>
          </w:rPr>
          <w:fldChar w:fldCharType="separate"/>
        </w:r>
        <w:r w:rsidR="00B05C7F">
          <w:rPr>
            <w:noProof/>
            <w:webHidden/>
          </w:rPr>
          <w:t>150</w:t>
        </w:r>
        <w:r>
          <w:rPr>
            <w:noProof/>
            <w:webHidden/>
          </w:rPr>
          <w:fldChar w:fldCharType="end"/>
        </w:r>
      </w:hyperlink>
    </w:p>
    <w:p w14:paraId="21A7E482" w14:textId="77777777" w:rsidR="006C5F2A" w:rsidRPr="00FB04F6" w:rsidRDefault="006C5F2A">
      <w:pPr>
        <w:pStyle w:val="TM2"/>
        <w:rPr>
          <w:rFonts w:eastAsia="Times New Roman" w:cs="Times New Roman"/>
          <w:smallCaps w:val="0"/>
          <w:noProof/>
          <w:sz w:val="22"/>
          <w:szCs w:val="22"/>
          <w:lang w:eastAsia="fr-FR"/>
        </w:rPr>
      </w:pPr>
      <w:hyperlink w:anchor="_Toc127957680" w:history="1">
        <w:r w:rsidRPr="00ED6DAE">
          <w:rPr>
            <w:rStyle w:val="Lienhypertexte"/>
            <w:noProof/>
          </w:rPr>
          <w:t>7.1.4.1.</w:t>
        </w:r>
        <w:r w:rsidRPr="00FB04F6">
          <w:rPr>
            <w:rFonts w:eastAsia="Times New Roman" w:cs="Times New Roman"/>
            <w:smallCaps w:val="0"/>
            <w:noProof/>
            <w:sz w:val="22"/>
            <w:szCs w:val="22"/>
            <w:lang w:eastAsia="fr-FR"/>
          </w:rPr>
          <w:tab/>
        </w:r>
        <w:r w:rsidRPr="00ED6DAE">
          <w:rPr>
            <w:rStyle w:val="Lienhypertexte"/>
            <w:noProof/>
          </w:rPr>
          <w:t>Impacts sur le milieu biophysique</w:t>
        </w:r>
        <w:r>
          <w:rPr>
            <w:noProof/>
            <w:webHidden/>
          </w:rPr>
          <w:tab/>
        </w:r>
        <w:r>
          <w:rPr>
            <w:noProof/>
            <w:webHidden/>
          </w:rPr>
          <w:fldChar w:fldCharType="begin"/>
        </w:r>
        <w:r>
          <w:rPr>
            <w:noProof/>
            <w:webHidden/>
          </w:rPr>
          <w:instrText xml:space="preserve"> PAGEREF _Toc127957680 \h </w:instrText>
        </w:r>
        <w:r>
          <w:rPr>
            <w:noProof/>
            <w:webHidden/>
          </w:rPr>
        </w:r>
        <w:r>
          <w:rPr>
            <w:noProof/>
            <w:webHidden/>
          </w:rPr>
          <w:fldChar w:fldCharType="separate"/>
        </w:r>
        <w:r w:rsidR="00B05C7F">
          <w:rPr>
            <w:noProof/>
            <w:webHidden/>
          </w:rPr>
          <w:t>150</w:t>
        </w:r>
        <w:r>
          <w:rPr>
            <w:noProof/>
            <w:webHidden/>
          </w:rPr>
          <w:fldChar w:fldCharType="end"/>
        </w:r>
      </w:hyperlink>
    </w:p>
    <w:p w14:paraId="40F602C7" w14:textId="77777777" w:rsidR="006C5F2A" w:rsidRPr="00FB04F6" w:rsidRDefault="006C5F2A">
      <w:pPr>
        <w:pStyle w:val="TM2"/>
        <w:rPr>
          <w:rFonts w:eastAsia="Times New Roman" w:cs="Times New Roman"/>
          <w:smallCaps w:val="0"/>
          <w:noProof/>
          <w:sz w:val="22"/>
          <w:szCs w:val="22"/>
          <w:lang w:eastAsia="fr-FR"/>
        </w:rPr>
      </w:pPr>
      <w:hyperlink w:anchor="_Toc127957681" w:history="1">
        <w:r w:rsidRPr="00ED6DAE">
          <w:rPr>
            <w:rStyle w:val="Lienhypertexte"/>
            <w:noProof/>
          </w:rPr>
          <w:t>7.1.4.2.</w:t>
        </w:r>
        <w:r w:rsidRPr="00FB04F6">
          <w:rPr>
            <w:rFonts w:eastAsia="Times New Roman" w:cs="Times New Roman"/>
            <w:smallCaps w:val="0"/>
            <w:noProof/>
            <w:sz w:val="22"/>
            <w:szCs w:val="22"/>
            <w:lang w:eastAsia="fr-FR"/>
          </w:rPr>
          <w:tab/>
        </w:r>
        <w:r w:rsidRPr="00ED6DAE">
          <w:rPr>
            <w:rStyle w:val="Lienhypertexte"/>
            <w:noProof/>
          </w:rPr>
          <w:t>Impacts sur le milieu humain</w:t>
        </w:r>
        <w:r>
          <w:rPr>
            <w:noProof/>
            <w:webHidden/>
          </w:rPr>
          <w:tab/>
        </w:r>
        <w:r>
          <w:rPr>
            <w:noProof/>
            <w:webHidden/>
          </w:rPr>
          <w:fldChar w:fldCharType="begin"/>
        </w:r>
        <w:r>
          <w:rPr>
            <w:noProof/>
            <w:webHidden/>
          </w:rPr>
          <w:instrText xml:space="preserve"> PAGEREF _Toc127957681 \h </w:instrText>
        </w:r>
        <w:r>
          <w:rPr>
            <w:noProof/>
            <w:webHidden/>
          </w:rPr>
        </w:r>
        <w:r>
          <w:rPr>
            <w:noProof/>
            <w:webHidden/>
          </w:rPr>
          <w:fldChar w:fldCharType="separate"/>
        </w:r>
        <w:r w:rsidR="00B05C7F">
          <w:rPr>
            <w:noProof/>
            <w:webHidden/>
          </w:rPr>
          <w:t>151</w:t>
        </w:r>
        <w:r>
          <w:rPr>
            <w:noProof/>
            <w:webHidden/>
          </w:rPr>
          <w:fldChar w:fldCharType="end"/>
        </w:r>
      </w:hyperlink>
    </w:p>
    <w:p w14:paraId="38D564EF" w14:textId="77777777" w:rsidR="006C5F2A" w:rsidRPr="00FB04F6" w:rsidRDefault="006C5F2A">
      <w:pPr>
        <w:pStyle w:val="TM3"/>
        <w:rPr>
          <w:rFonts w:eastAsia="Times New Roman" w:cs="Times New Roman"/>
          <w:i w:val="0"/>
          <w:iCs w:val="0"/>
          <w:noProof/>
          <w:sz w:val="22"/>
          <w:szCs w:val="22"/>
          <w:lang w:eastAsia="fr-FR"/>
        </w:rPr>
      </w:pPr>
      <w:hyperlink w:anchor="_Toc127957682" w:history="1">
        <w:r w:rsidRPr="00ED6DAE">
          <w:rPr>
            <w:rStyle w:val="Lienhypertexte"/>
            <w:noProof/>
          </w:rPr>
          <w:t>7.1.5.</w:t>
        </w:r>
        <w:r w:rsidRPr="00FB04F6">
          <w:rPr>
            <w:rFonts w:eastAsia="Times New Roman" w:cs="Times New Roman"/>
            <w:i w:val="0"/>
            <w:iCs w:val="0"/>
            <w:noProof/>
            <w:sz w:val="22"/>
            <w:szCs w:val="22"/>
            <w:lang w:eastAsia="fr-FR"/>
          </w:rPr>
          <w:tab/>
        </w:r>
        <w:r w:rsidRPr="00ED6DAE">
          <w:rPr>
            <w:rStyle w:val="Lienhypertexte"/>
            <w:noProof/>
          </w:rPr>
          <w:t>Impacts négatifs environnementaux et sociaux</w:t>
        </w:r>
        <w:r>
          <w:rPr>
            <w:noProof/>
            <w:webHidden/>
          </w:rPr>
          <w:tab/>
        </w:r>
        <w:r>
          <w:rPr>
            <w:noProof/>
            <w:webHidden/>
          </w:rPr>
          <w:fldChar w:fldCharType="begin"/>
        </w:r>
        <w:r>
          <w:rPr>
            <w:noProof/>
            <w:webHidden/>
          </w:rPr>
          <w:instrText xml:space="preserve"> PAGEREF _Toc127957682 \h </w:instrText>
        </w:r>
        <w:r>
          <w:rPr>
            <w:noProof/>
            <w:webHidden/>
          </w:rPr>
        </w:r>
        <w:r>
          <w:rPr>
            <w:noProof/>
            <w:webHidden/>
          </w:rPr>
          <w:fldChar w:fldCharType="separate"/>
        </w:r>
        <w:r w:rsidR="00B05C7F">
          <w:rPr>
            <w:noProof/>
            <w:webHidden/>
          </w:rPr>
          <w:t>151</w:t>
        </w:r>
        <w:r>
          <w:rPr>
            <w:noProof/>
            <w:webHidden/>
          </w:rPr>
          <w:fldChar w:fldCharType="end"/>
        </w:r>
      </w:hyperlink>
    </w:p>
    <w:p w14:paraId="6D8DFA17" w14:textId="77777777" w:rsidR="006C5F2A" w:rsidRPr="00FB04F6" w:rsidRDefault="006C5F2A">
      <w:pPr>
        <w:pStyle w:val="TM2"/>
        <w:rPr>
          <w:rFonts w:eastAsia="Times New Roman" w:cs="Times New Roman"/>
          <w:smallCaps w:val="0"/>
          <w:noProof/>
          <w:sz w:val="22"/>
          <w:szCs w:val="22"/>
          <w:lang w:eastAsia="fr-FR"/>
        </w:rPr>
      </w:pPr>
      <w:hyperlink w:anchor="_Toc127957683" w:history="1">
        <w:r w:rsidRPr="00ED6DAE">
          <w:rPr>
            <w:rStyle w:val="Lienhypertexte"/>
            <w:noProof/>
          </w:rPr>
          <w:t>7.1.5.1.</w:t>
        </w:r>
        <w:r w:rsidRPr="00FB04F6">
          <w:rPr>
            <w:rFonts w:eastAsia="Times New Roman" w:cs="Times New Roman"/>
            <w:smallCaps w:val="0"/>
            <w:noProof/>
            <w:sz w:val="22"/>
            <w:szCs w:val="22"/>
            <w:lang w:eastAsia="fr-FR"/>
          </w:rPr>
          <w:tab/>
        </w:r>
        <w:r w:rsidRPr="00ED6DAE">
          <w:rPr>
            <w:rStyle w:val="Lienhypertexte"/>
            <w:noProof/>
          </w:rPr>
          <w:t>Phase préparatoire et phase de construction</w:t>
        </w:r>
        <w:r>
          <w:rPr>
            <w:noProof/>
            <w:webHidden/>
          </w:rPr>
          <w:tab/>
        </w:r>
        <w:r>
          <w:rPr>
            <w:noProof/>
            <w:webHidden/>
          </w:rPr>
          <w:fldChar w:fldCharType="begin"/>
        </w:r>
        <w:r>
          <w:rPr>
            <w:noProof/>
            <w:webHidden/>
          </w:rPr>
          <w:instrText xml:space="preserve"> PAGEREF _Toc127957683 \h </w:instrText>
        </w:r>
        <w:r>
          <w:rPr>
            <w:noProof/>
            <w:webHidden/>
          </w:rPr>
        </w:r>
        <w:r>
          <w:rPr>
            <w:noProof/>
            <w:webHidden/>
          </w:rPr>
          <w:fldChar w:fldCharType="separate"/>
        </w:r>
        <w:r w:rsidR="00B05C7F">
          <w:rPr>
            <w:noProof/>
            <w:webHidden/>
          </w:rPr>
          <w:t>151</w:t>
        </w:r>
        <w:r>
          <w:rPr>
            <w:noProof/>
            <w:webHidden/>
          </w:rPr>
          <w:fldChar w:fldCharType="end"/>
        </w:r>
      </w:hyperlink>
    </w:p>
    <w:p w14:paraId="7AC03951" w14:textId="77777777" w:rsidR="006C5F2A" w:rsidRPr="00FB04F6" w:rsidRDefault="006C5F2A">
      <w:pPr>
        <w:pStyle w:val="TM2"/>
        <w:rPr>
          <w:rFonts w:eastAsia="Times New Roman" w:cs="Times New Roman"/>
          <w:smallCaps w:val="0"/>
          <w:noProof/>
          <w:sz w:val="22"/>
          <w:szCs w:val="22"/>
          <w:lang w:eastAsia="fr-FR"/>
        </w:rPr>
      </w:pPr>
      <w:hyperlink w:anchor="_Toc127957684" w:history="1">
        <w:r w:rsidRPr="00ED6DAE">
          <w:rPr>
            <w:rStyle w:val="Lienhypertexte"/>
            <w:noProof/>
          </w:rPr>
          <w:t>7.1.5.2.</w:t>
        </w:r>
        <w:r w:rsidRPr="00FB04F6">
          <w:rPr>
            <w:rFonts w:eastAsia="Times New Roman" w:cs="Times New Roman"/>
            <w:smallCaps w:val="0"/>
            <w:noProof/>
            <w:sz w:val="22"/>
            <w:szCs w:val="22"/>
            <w:lang w:eastAsia="fr-FR"/>
          </w:rPr>
          <w:tab/>
        </w:r>
        <w:r w:rsidRPr="00ED6DAE">
          <w:rPr>
            <w:rStyle w:val="Lienhypertexte"/>
            <w:noProof/>
          </w:rPr>
          <w:t>Phase de repli de chantier</w:t>
        </w:r>
        <w:r>
          <w:rPr>
            <w:noProof/>
            <w:webHidden/>
          </w:rPr>
          <w:tab/>
        </w:r>
        <w:r>
          <w:rPr>
            <w:noProof/>
            <w:webHidden/>
          </w:rPr>
          <w:fldChar w:fldCharType="begin"/>
        </w:r>
        <w:r>
          <w:rPr>
            <w:noProof/>
            <w:webHidden/>
          </w:rPr>
          <w:instrText xml:space="preserve"> PAGEREF _Toc127957684 \h </w:instrText>
        </w:r>
        <w:r>
          <w:rPr>
            <w:noProof/>
            <w:webHidden/>
          </w:rPr>
        </w:r>
        <w:r>
          <w:rPr>
            <w:noProof/>
            <w:webHidden/>
          </w:rPr>
          <w:fldChar w:fldCharType="separate"/>
        </w:r>
        <w:r w:rsidR="00B05C7F">
          <w:rPr>
            <w:noProof/>
            <w:webHidden/>
          </w:rPr>
          <w:t>165</w:t>
        </w:r>
        <w:r>
          <w:rPr>
            <w:noProof/>
            <w:webHidden/>
          </w:rPr>
          <w:fldChar w:fldCharType="end"/>
        </w:r>
      </w:hyperlink>
    </w:p>
    <w:p w14:paraId="3B63C718" w14:textId="77777777" w:rsidR="006C5F2A" w:rsidRPr="00FB04F6" w:rsidRDefault="006C5F2A">
      <w:pPr>
        <w:pStyle w:val="TM2"/>
        <w:rPr>
          <w:rFonts w:eastAsia="Times New Roman" w:cs="Times New Roman"/>
          <w:smallCaps w:val="0"/>
          <w:noProof/>
          <w:sz w:val="22"/>
          <w:szCs w:val="22"/>
          <w:lang w:eastAsia="fr-FR"/>
        </w:rPr>
      </w:pPr>
      <w:hyperlink w:anchor="_Toc127957685" w:history="1">
        <w:r w:rsidRPr="00ED6DAE">
          <w:rPr>
            <w:rStyle w:val="Lienhypertexte"/>
            <w:noProof/>
          </w:rPr>
          <w:t>7.1.5.3.</w:t>
        </w:r>
        <w:r w:rsidRPr="00FB04F6">
          <w:rPr>
            <w:rFonts w:eastAsia="Times New Roman" w:cs="Times New Roman"/>
            <w:smallCaps w:val="0"/>
            <w:noProof/>
            <w:sz w:val="22"/>
            <w:szCs w:val="22"/>
            <w:lang w:eastAsia="fr-FR"/>
          </w:rPr>
          <w:tab/>
        </w:r>
        <w:r w:rsidRPr="00ED6DAE">
          <w:rPr>
            <w:rStyle w:val="Lienhypertexte"/>
            <w:noProof/>
          </w:rPr>
          <w:t>Phase d’exploitation</w:t>
        </w:r>
        <w:r>
          <w:rPr>
            <w:noProof/>
            <w:webHidden/>
          </w:rPr>
          <w:tab/>
        </w:r>
        <w:r>
          <w:rPr>
            <w:noProof/>
            <w:webHidden/>
          </w:rPr>
          <w:fldChar w:fldCharType="begin"/>
        </w:r>
        <w:r>
          <w:rPr>
            <w:noProof/>
            <w:webHidden/>
          </w:rPr>
          <w:instrText xml:space="preserve"> PAGEREF _Toc127957685 \h </w:instrText>
        </w:r>
        <w:r>
          <w:rPr>
            <w:noProof/>
            <w:webHidden/>
          </w:rPr>
        </w:r>
        <w:r>
          <w:rPr>
            <w:noProof/>
            <w:webHidden/>
          </w:rPr>
          <w:fldChar w:fldCharType="separate"/>
        </w:r>
        <w:r w:rsidR="00B05C7F">
          <w:rPr>
            <w:noProof/>
            <w:webHidden/>
          </w:rPr>
          <w:t>167</w:t>
        </w:r>
        <w:r>
          <w:rPr>
            <w:noProof/>
            <w:webHidden/>
          </w:rPr>
          <w:fldChar w:fldCharType="end"/>
        </w:r>
      </w:hyperlink>
    </w:p>
    <w:p w14:paraId="7DD9C87E" w14:textId="77777777" w:rsidR="006C5F2A" w:rsidRPr="00FB04F6" w:rsidRDefault="006C5F2A">
      <w:pPr>
        <w:pStyle w:val="TM2"/>
        <w:rPr>
          <w:rFonts w:eastAsia="Times New Roman" w:cs="Times New Roman"/>
          <w:smallCaps w:val="0"/>
          <w:noProof/>
          <w:sz w:val="22"/>
          <w:szCs w:val="22"/>
          <w:lang w:eastAsia="fr-FR"/>
        </w:rPr>
      </w:pPr>
      <w:hyperlink w:anchor="_Toc127957686" w:history="1">
        <w:r w:rsidRPr="00ED6DAE">
          <w:rPr>
            <w:rStyle w:val="Lienhypertexte"/>
            <w:noProof/>
          </w:rPr>
          <w:t>7.1.5.4.</w:t>
        </w:r>
        <w:r w:rsidRPr="00FB04F6">
          <w:rPr>
            <w:rFonts w:eastAsia="Times New Roman" w:cs="Times New Roman"/>
            <w:smallCaps w:val="0"/>
            <w:noProof/>
            <w:sz w:val="22"/>
            <w:szCs w:val="22"/>
            <w:lang w:eastAsia="fr-FR"/>
          </w:rPr>
          <w:tab/>
        </w:r>
        <w:r w:rsidRPr="00ED6DAE">
          <w:rPr>
            <w:rStyle w:val="Lienhypertexte"/>
            <w:noProof/>
          </w:rPr>
          <w:t>Phase de démantèlement</w:t>
        </w:r>
        <w:r>
          <w:rPr>
            <w:noProof/>
            <w:webHidden/>
          </w:rPr>
          <w:tab/>
        </w:r>
        <w:r>
          <w:rPr>
            <w:noProof/>
            <w:webHidden/>
          </w:rPr>
          <w:fldChar w:fldCharType="begin"/>
        </w:r>
        <w:r>
          <w:rPr>
            <w:noProof/>
            <w:webHidden/>
          </w:rPr>
          <w:instrText xml:space="preserve"> PAGEREF _Toc127957686 \h </w:instrText>
        </w:r>
        <w:r>
          <w:rPr>
            <w:noProof/>
            <w:webHidden/>
          </w:rPr>
        </w:r>
        <w:r>
          <w:rPr>
            <w:noProof/>
            <w:webHidden/>
          </w:rPr>
          <w:fldChar w:fldCharType="separate"/>
        </w:r>
        <w:r w:rsidR="00B05C7F">
          <w:rPr>
            <w:noProof/>
            <w:webHidden/>
          </w:rPr>
          <w:t>177</w:t>
        </w:r>
        <w:r>
          <w:rPr>
            <w:noProof/>
            <w:webHidden/>
          </w:rPr>
          <w:fldChar w:fldCharType="end"/>
        </w:r>
      </w:hyperlink>
    </w:p>
    <w:p w14:paraId="26ED95BE" w14:textId="77777777" w:rsidR="006C5F2A" w:rsidRPr="00FB04F6" w:rsidRDefault="006C5F2A">
      <w:pPr>
        <w:pStyle w:val="TM2"/>
        <w:rPr>
          <w:rFonts w:eastAsia="Times New Roman" w:cs="Times New Roman"/>
          <w:smallCaps w:val="0"/>
          <w:noProof/>
          <w:sz w:val="22"/>
          <w:szCs w:val="22"/>
          <w:lang w:eastAsia="fr-FR"/>
        </w:rPr>
      </w:pPr>
      <w:hyperlink w:anchor="_Toc127957687" w:history="1">
        <w:r w:rsidRPr="00ED6DAE">
          <w:rPr>
            <w:rStyle w:val="Lienhypertexte"/>
            <w:noProof/>
          </w:rPr>
          <w:t>7.2.</w:t>
        </w:r>
        <w:r w:rsidRPr="00FB04F6">
          <w:rPr>
            <w:rFonts w:eastAsia="Times New Roman" w:cs="Times New Roman"/>
            <w:smallCaps w:val="0"/>
            <w:noProof/>
            <w:sz w:val="22"/>
            <w:szCs w:val="22"/>
            <w:lang w:eastAsia="fr-FR"/>
          </w:rPr>
          <w:tab/>
        </w:r>
        <w:r w:rsidRPr="00ED6DAE">
          <w:rPr>
            <w:rStyle w:val="Lienhypertexte"/>
            <w:noProof/>
          </w:rPr>
          <w:t>Récapitulatif des impacts négatifs spécifiques par phase de travaux</w:t>
        </w:r>
        <w:r>
          <w:rPr>
            <w:noProof/>
            <w:webHidden/>
          </w:rPr>
          <w:tab/>
        </w:r>
        <w:r>
          <w:rPr>
            <w:noProof/>
            <w:webHidden/>
          </w:rPr>
          <w:fldChar w:fldCharType="begin"/>
        </w:r>
        <w:r>
          <w:rPr>
            <w:noProof/>
            <w:webHidden/>
          </w:rPr>
          <w:instrText xml:space="preserve"> PAGEREF _Toc127957687 \h </w:instrText>
        </w:r>
        <w:r>
          <w:rPr>
            <w:noProof/>
            <w:webHidden/>
          </w:rPr>
        </w:r>
        <w:r>
          <w:rPr>
            <w:noProof/>
            <w:webHidden/>
          </w:rPr>
          <w:fldChar w:fldCharType="separate"/>
        </w:r>
        <w:r w:rsidR="00B05C7F">
          <w:rPr>
            <w:noProof/>
            <w:webHidden/>
          </w:rPr>
          <w:t>179</w:t>
        </w:r>
        <w:r>
          <w:rPr>
            <w:noProof/>
            <w:webHidden/>
          </w:rPr>
          <w:fldChar w:fldCharType="end"/>
        </w:r>
      </w:hyperlink>
    </w:p>
    <w:p w14:paraId="03965931" w14:textId="77777777" w:rsidR="006C5F2A" w:rsidRPr="00FB04F6" w:rsidRDefault="006C5F2A">
      <w:pPr>
        <w:pStyle w:val="TM2"/>
        <w:rPr>
          <w:rFonts w:eastAsia="Times New Roman" w:cs="Times New Roman"/>
          <w:smallCaps w:val="0"/>
          <w:noProof/>
          <w:sz w:val="22"/>
          <w:szCs w:val="22"/>
          <w:lang w:eastAsia="fr-FR"/>
        </w:rPr>
      </w:pPr>
      <w:hyperlink w:anchor="_Toc127957688" w:history="1">
        <w:r w:rsidRPr="00ED6DAE">
          <w:rPr>
            <w:rStyle w:val="Lienhypertexte"/>
            <w:noProof/>
          </w:rPr>
          <w:t>7.3.</w:t>
        </w:r>
        <w:r w:rsidRPr="00FB04F6">
          <w:rPr>
            <w:rFonts w:eastAsia="Times New Roman" w:cs="Times New Roman"/>
            <w:smallCaps w:val="0"/>
            <w:noProof/>
            <w:sz w:val="22"/>
            <w:szCs w:val="22"/>
            <w:lang w:eastAsia="fr-FR"/>
          </w:rPr>
          <w:tab/>
        </w:r>
        <w:r w:rsidRPr="00ED6DAE">
          <w:rPr>
            <w:rStyle w:val="Lienhypertexte"/>
            <w:noProof/>
          </w:rPr>
          <w:t>Impacts cumulatifs</w:t>
        </w:r>
        <w:r>
          <w:rPr>
            <w:noProof/>
            <w:webHidden/>
          </w:rPr>
          <w:tab/>
        </w:r>
        <w:r>
          <w:rPr>
            <w:noProof/>
            <w:webHidden/>
          </w:rPr>
          <w:fldChar w:fldCharType="begin"/>
        </w:r>
        <w:r>
          <w:rPr>
            <w:noProof/>
            <w:webHidden/>
          </w:rPr>
          <w:instrText xml:space="preserve"> PAGEREF _Toc127957688 \h </w:instrText>
        </w:r>
        <w:r>
          <w:rPr>
            <w:noProof/>
            <w:webHidden/>
          </w:rPr>
        </w:r>
        <w:r>
          <w:rPr>
            <w:noProof/>
            <w:webHidden/>
          </w:rPr>
          <w:fldChar w:fldCharType="separate"/>
        </w:r>
        <w:r w:rsidR="00B05C7F">
          <w:rPr>
            <w:noProof/>
            <w:webHidden/>
          </w:rPr>
          <w:t>184</w:t>
        </w:r>
        <w:r>
          <w:rPr>
            <w:noProof/>
            <w:webHidden/>
          </w:rPr>
          <w:fldChar w:fldCharType="end"/>
        </w:r>
      </w:hyperlink>
    </w:p>
    <w:p w14:paraId="39E864FF" w14:textId="77777777" w:rsidR="006C5F2A" w:rsidRPr="00FB04F6" w:rsidRDefault="006C5F2A">
      <w:pPr>
        <w:pStyle w:val="TM3"/>
        <w:rPr>
          <w:rFonts w:eastAsia="Times New Roman" w:cs="Times New Roman"/>
          <w:i w:val="0"/>
          <w:iCs w:val="0"/>
          <w:noProof/>
          <w:sz w:val="22"/>
          <w:szCs w:val="22"/>
          <w:lang w:eastAsia="fr-FR"/>
        </w:rPr>
      </w:pPr>
      <w:hyperlink w:anchor="_Toc127957689" w:history="1">
        <w:r w:rsidRPr="00ED6DAE">
          <w:rPr>
            <w:rStyle w:val="Lienhypertexte"/>
            <w:noProof/>
          </w:rPr>
          <w:t>7.3.1.</w:t>
        </w:r>
        <w:r w:rsidRPr="00FB04F6">
          <w:rPr>
            <w:rFonts w:eastAsia="Times New Roman" w:cs="Times New Roman"/>
            <w:i w:val="0"/>
            <w:iCs w:val="0"/>
            <w:noProof/>
            <w:sz w:val="22"/>
            <w:szCs w:val="22"/>
            <w:lang w:eastAsia="fr-FR"/>
          </w:rPr>
          <w:tab/>
        </w:r>
        <w:r w:rsidRPr="00ED6DAE">
          <w:rPr>
            <w:rStyle w:val="Lienhypertexte"/>
            <w:noProof/>
          </w:rPr>
          <w:t>Méthode d’évaluation</w:t>
        </w:r>
        <w:r>
          <w:rPr>
            <w:noProof/>
            <w:webHidden/>
          </w:rPr>
          <w:tab/>
        </w:r>
        <w:r>
          <w:rPr>
            <w:noProof/>
            <w:webHidden/>
          </w:rPr>
          <w:fldChar w:fldCharType="begin"/>
        </w:r>
        <w:r>
          <w:rPr>
            <w:noProof/>
            <w:webHidden/>
          </w:rPr>
          <w:instrText xml:space="preserve"> PAGEREF _Toc127957689 \h </w:instrText>
        </w:r>
        <w:r>
          <w:rPr>
            <w:noProof/>
            <w:webHidden/>
          </w:rPr>
        </w:r>
        <w:r>
          <w:rPr>
            <w:noProof/>
            <w:webHidden/>
          </w:rPr>
          <w:fldChar w:fldCharType="separate"/>
        </w:r>
        <w:r w:rsidR="00B05C7F">
          <w:rPr>
            <w:noProof/>
            <w:webHidden/>
          </w:rPr>
          <w:t>184</w:t>
        </w:r>
        <w:r>
          <w:rPr>
            <w:noProof/>
            <w:webHidden/>
          </w:rPr>
          <w:fldChar w:fldCharType="end"/>
        </w:r>
      </w:hyperlink>
    </w:p>
    <w:p w14:paraId="23776D52" w14:textId="77777777" w:rsidR="006C5F2A" w:rsidRPr="00FB04F6" w:rsidRDefault="006C5F2A">
      <w:pPr>
        <w:pStyle w:val="TM3"/>
        <w:rPr>
          <w:rFonts w:eastAsia="Times New Roman" w:cs="Times New Roman"/>
          <w:i w:val="0"/>
          <w:iCs w:val="0"/>
          <w:noProof/>
          <w:sz w:val="22"/>
          <w:szCs w:val="22"/>
          <w:lang w:eastAsia="fr-FR"/>
        </w:rPr>
      </w:pPr>
      <w:hyperlink w:anchor="_Toc127957690" w:history="1">
        <w:r w:rsidRPr="00ED6DAE">
          <w:rPr>
            <w:rStyle w:val="Lienhypertexte"/>
            <w:noProof/>
          </w:rPr>
          <w:t>7.3.4.</w:t>
        </w:r>
        <w:r w:rsidRPr="00FB04F6">
          <w:rPr>
            <w:rFonts w:eastAsia="Times New Roman" w:cs="Times New Roman"/>
            <w:i w:val="0"/>
            <w:iCs w:val="0"/>
            <w:noProof/>
            <w:sz w:val="22"/>
            <w:szCs w:val="22"/>
            <w:lang w:eastAsia="fr-FR"/>
          </w:rPr>
          <w:tab/>
        </w:r>
        <w:r w:rsidRPr="00ED6DAE">
          <w:rPr>
            <w:rStyle w:val="Lienhypertexte"/>
            <w:noProof/>
          </w:rPr>
          <w:t>Projets retenus pour l’analyse</w:t>
        </w:r>
        <w:r>
          <w:rPr>
            <w:noProof/>
            <w:webHidden/>
          </w:rPr>
          <w:tab/>
        </w:r>
        <w:r>
          <w:rPr>
            <w:noProof/>
            <w:webHidden/>
          </w:rPr>
          <w:fldChar w:fldCharType="begin"/>
        </w:r>
        <w:r>
          <w:rPr>
            <w:noProof/>
            <w:webHidden/>
          </w:rPr>
          <w:instrText xml:space="preserve"> PAGEREF _Toc127957690 \h </w:instrText>
        </w:r>
        <w:r>
          <w:rPr>
            <w:noProof/>
            <w:webHidden/>
          </w:rPr>
        </w:r>
        <w:r>
          <w:rPr>
            <w:noProof/>
            <w:webHidden/>
          </w:rPr>
          <w:fldChar w:fldCharType="separate"/>
        </w:r>
        <w:r w:rsidR="00B05C7F">
          <w:rPr>
            <w:noProof/>
            <w:webHidden/>
          </w:rPr>
          <w:t>185</w:t>
        </w:r>
        <w:r>
          <w:rPr>
            <w:noProof/>
            <w:webHidden/>
          </w:rPr>
          <w:fldChar w:fldCharType="end"/>
        </w:r>
      </w:hyperlink>
    </w:p>
    <w:p w14:paraId="37A99EBC" w14:textId="77777777" w:rsidR="006C5F2A" w:rsidRPr="00FB04F6" w:rsidRDefault="006C5F2A">
      <w:pPr>
        <w:pStyle w:val="TM3"/>
        <w:rPr>
          <w:rFonts w:eastAsia="Times New Roman" w:cs="Times New Roman"/>
          <w:i w:val="0"/>
          <w:iCs w:val="0"/>
          <w:noProof/>
          <w:sz w:val="22"/>
          <w:szCs w:val="22"/>
          <w:lang w:eastAsia="fr-FR"/>
        </w:rPr>
      </w:pPr>
      <w:hyperlink w:anchor="_Toc127957691" w:history="1">
        <w:r w:rsidRPr="00ED6DAE">
          <w:rPr>
            <w:rStyle w:val="Lienhypertexte"/>
            <w:noProof/>
          </w:rPr>
          <w:t>7.3.5.</w:t>
        </w:r>
        <w:r w:rsidRPr="00FB04F6">
          <w:rPr>
            <w:rFonts w:eastAsia="Times New Roman" w:cs="Times New Roman"/>
            <w:i w:val="0"/>
            <w:iCs w:val="0"/>
            <w:noProof/>
            <w:sz w:val="22"/>
            <w:szCs w:val="22"/>
            <w:lang w:eastAsia="fr-FR"/>
          </w:rPr>
          <w:tab/>
        </w:r>
        <w:r w:rsidRPr="00ED6DAE">
          <w:rPr>
            <w:rStyle w:val="Lienhypertexte"/>
            <w:noProof/>
          </w:rPr>
          <w:t>Analyse des impacts cumulatifs</w:t>
        </w:r>
        <w:r>
          <w:rPr>
            <w:noProof/>
            <w:webHidden/>
          </w:rPr>
          <w:tab/>
        </w:r>
        <w:r>
          <w:rPr>
            <w:noProof/>
            <w:webHidden/>
          </w:rPr>
          <w:fldChar w:fldCharType="begin"/>
        </w:r>
        <w:r>
          <w:rPr>
            <w:noProof/>
            <w:webHidden/>
          </w:rPr>
          <w:instrText xml:space="preserve"> PAGEREF _Toc127957691 \h </w:instrText>
        </w:r>
        <w:r>
          <w:rPr>
            <w:noProof/>
            <w:webHidden/>
          </w:rPr>
        </w:r>
        <w:r>
          <w:rPr>
            <w:noProof/>
            <w:webHidden/>
          </w:rPr>
          <w:fldChar w:fldCharType="separate"/>
        </w:r>
        <w:r w:rsidR="00B05C7F">
          <w:rPr>
            <w:noProof/>
            <w:webHidden/>
          </w:rPr>
          <w:t>186</w:t>
        </w:r>
        <w:r>
          <w:rPr>
            <w:noProof/>
            <w:webHidden/>
          </w:rPr>
          <w:fldChar w:fldCharType="end"/>
        </w:r>
      </w:hyperlink>
    </w:p>
    <w:p w14:paraId="013B51C4" w14:textId="77777777" w:rsidR="006C5F2A" w:rsidRPr="00FB04F6" w:rsidRDefault="006C5F2A">
      <w:pPr>
        <w:pStyle w:val="TM1"/>
        <w:tabs>
          <w:tab w:val="left" w:pos="440"/>
        </w:tabs>
        <w:rPr>
          <w:rFonts w:eastAsia="Times New Roman" w:cs="Times New Roman"/>
          <w:b w:val="0"/>
          <w:bCs w:val="0"/>
          <w:caps w:val="0"/>
          <w:noProof/>
          <w:sz w:val="22"/>
          <w:szCs w:val="22"/>
          <w:lang w:eastAsia="fr-FR"/>
        </w:rPr>
      </w:pPr>
      <w:hyperlink w:anchor="_Toc127957692" w:history="1">
        <w:r w:rsidRPr="00ED6DAE">
          <w:rPr>
            <w:rStyle w:val="Lienhypertexte"/>
            <w:noProof/>
          </w:rPr>
          <w:t>8.</w:t>
        </w:r>
        <w:r w:rsidRPr="00FB04F6">
          <w:rPr>
            <w:rFonts w:eastAsia="Times New Roman" w:cs="Times New Roman"/>
            <w:b w:val="0"/>
            <w:bCs w:val="0"/>
            <w:caps w:val="0"/>
            <w:noProof/>
            <w:sz w:val="22"/>
            <w:szCs w:val="22"/>
            <w:lang w:eastAsia="fr-FR"/>
          </w:rPr>
          <w:tab/>
        </w:r>
        <w:r w:rsidRPr="00ED6DAE">
          <w:rPr>
            <w:rStyle w:val="Lienhypertexte"/>
            <w:noProof/>
          </w:rPr>
          <w:t>Mesures d’atténuation et de bonification</w:t>
        </w:r>
        <w:r>
          <w:rPr>
            <w:noProof/>
            <w:webHidden/>
          </w:rPr>
          <w:tab/>
        </w:r>
        <w:r>
          <w:rPr>
            <w:noProof/>
            <w:webHidden/>
          </w:rPr>
          <w:fldChar w:fldCharType="begin"/>
        </w:r>
        <w:r>
          <w:rPr>
            <w:noProof/>
            <w:webHidden/>
          </w:rPr>
          <w:instrText xml:space="preserve"> PAGEREF _Toc127957692 \h </w:instrText>
        </w:r>
        <w:r>
          <w:rPr>
            <w:noProof/>
            <w:webHidden/>
          </w:rPr>
        </w:r>
        <w:r>
          <w:rPr>
            <w:noProof/>
            <w:webHidden/>
          </w:rPr>
          <w:fldChar w:fldCharType="separate"/>
        </w:r>
        <w:r w:rsidR="00B05C7F">
          <w:rPr>
            <w:noProof/>
            <w:webHidden/>
          </w:rPr>
          <w:t>189</w:t>
        </w:r>
        <w:r>
          <w:rPr>
            <w:noProof/>
            <w:webHidden/>
          </w:rPr>
          <w:fldChar w:fldCharType="end"/>
        </w:r>
      </w:hyperlink>
    </w:p>
    <w:p w14:paraId="5BBC79E8" w14:textId="77777777" w:rsidR="006C5F2A" w:rsidRPr="00FB04F6" w:rsidRDefault="006C5F2A">
      <w:pPr>
        <w:pStyle w:val="TM2"/>
        <w:rPr>
          <w:rFonts w:eastAsia="Times New Roman" w:cs="Times New Roman"/>
          <w:smallCaps w:val="0"/>
          <w:noProof/>
          <w:sz w:val="22"/>
          <w:szCs w:val="22"/>
          <w:lang w:eastAsia="fr-FR"/>
        </w:rPr>
      </w:pPr>
      <w:hyperlink w:anchor="_Toc127957693" w:history="1">
        <w:r w:rsidRPr="00ED6DAE">
          <w:rPr>
            <w:rStyle w:val="Lienhypertexte"/>
            <w:noProof/>
          </w:rPr>
          <w:t>8.1.</w:t>
        </w:r>
        <w:r w:rsidRPr="00FB04F6">
          <w:rPr>
            <w:rFonts w:eastAsia="Times New Roman" w:cs="Times New Roman"/>
            <w:smallCaps w:val="0"/>
            <w:noProof/>
            <w:sz w:val="22"/>
            <w:szCs w:val="22"/>
            <w:lang w:eastAsia="fr-FR"/>
          </w:rPr>
          <w:tab/>
        </w:r>
        <w:r w:rsidRPr="00ED6DAE">
          <w:rPr>
            <w:rStyle w:val="Lienhypertexte"/>
            <w:noProof/>
          </w:rPr>
          <w:t>Mesures de bonification des impacts positifs POTENTIELS</w:t>
        </w:r>
        <w:r>
          <w:rPr>
            <w:noProof/>
            <w:webHidden/>
          </w:rPr>
          <w:tab/>
        </w:r>
        <w:r>
          <w:rPr>
            <w:noProof/>
            <w:webHidden/>
          </w:rPr>
          <w:fldChar w:fldCharType="begin"/>
        </w:r>
        <w:r>
          <w:rPr>
            <w:noProof/>
            <w:webHidden/>
          </w:rPr>
          <w:instrText xml:space="preserve"> PAGEREF _Toc127957693 \h </w:instrText>
        </w:r>
        <w:r>
          <w:rPr>
            <w:noProof/>
            <w:webHidden/>
          </w:rPr>
        </w:r>
        <w:r>
          <w:rPr>
            <w:noProof/>
            <w:webHidden/>
          </w:rPr>
          <w:fldChar w:fldCharType="separate"/>
        </w:r>
        <w:r w:rsidR="00B05C7F">
          <w:rPr>
            <w:noProof/>
            <w:webHidden/>
          </w:rPr>
          <w:t>189</w:t>
        </w:r>
        <w:r>
          <w:rPr>
            <w:noProof/>
            <w:webHidden/>
          </w:rPr>
          <w:fldChar w:fldCharType="end"/>
        </w:r>
      </w:hyperlink>
    </w:p>
    <w:p w14:paraId="689DB1D7" w14:textId="77777777" w:rsidR="006C5F2A" w:rsidRPr="00FB04F6" w:rsidRDefault="006C5F2A">
      <w:pPr>
        <w:pStyle w:val="TM2"/>
        <w:rPr>
          <w:rFonts w:eastAsia="Times New Roman" w:cs="Times New Roman"/>
          <w:smallCaps w:val="0"/>
          <w:noProof/>
          <w:sz w:val="22"/>
          <w:szCs w:val="22"/>
          <w:lang w:eastAsia="fr-FR"/>
        </w:rPr>
      </w:pPr>
      <w:hyperlink w:anchor="_Toc127957694" w:history="1">
        <w:r w:rsidRPr="00ED6DAE">
          <w:rPr>
            <w:rStyle w:val="Lienhypertexte"/>
            <w:noProof/>
          </w:rPr>
          <w:t>8.2.</w:t>
        </w:r>
        <w:r w:rsidRPr="00FB04F6">
          <w:rPr>
            <w:rFonts w:eastAsia="Times New Roman" w:cs="Times New Roman"/>
            <w:smallCaps w:val="0"/>
            <w:noProof/>
            <w:sz w:val="22"/>
            <w:szCs w:val="22"/>
            <w:lang w:eastAsia="fr-FR"/>
          </w:rPr>
          <w:tab/>
        </w:r>
        <w:r w:rsidRPr="00ED6DAE">
          <w:rPr>
            <w:rStyle w:val="Lienhypertexte"/>
            <w:noProof/>
          </w:rPr>
          <w:t>Mesures d</w:t>
        </w:r>
        <w:r w:rsidRPr="00ED6DAE">
          <w:rPr>
            <w:rStyle w:val="Lienhypertexte"/>
            <w:noProof/>
          </w:rPr>
          <w:t>’</w:t>
        </w:r>
        <w:r w:rsidRPr="00ED6DAE">
          <w:rPr>
            <w:rStyle w:val="Lienhypertexte"/>
            <w:noProof/>
          </w:rPr>
          <w:t>évitement / atténuation des impacts négatifs potentiels</w:t>
        </w:r>
        <w:r>
          <w:rPr>
            <w:noProof/>
            <w:webHidden/>
          </w:rPr>
          <w:tab/>
        </w:r>
        <w:r>
          <w:rPr>
            <w:noProof/>
            <w:webHidden/>
          </w:rPr>
          <w:fldChar w:fldCharType="begin"/>
        </w:r>
        <w:r>
          <w:rPr>
            <w:noProof/>
            <w:webHidden/>
          </w:rPr>
          <w:instrText xml:space="preserve"> PAGEREF _Toc127957694 \h </w:instrText>
        </w:r>
        <w:r>
          <w:rPr>
            <w:noProof/>
            <w:webHidden/>
          </w:rPr>
        </w:r>
        <w:r>
          <w:rPr>
            <w:noProof/>
            <w:webHidden/>
          </w:rPr>
          <w:fldChar w:fldCharType="separate"/>
        </w:r>
        <w:r w:rsidR="00B05C7F">
          <w:rPr>
            <w:noProof/>
            <w:webHidden/>
          </w:rPr>
          <w:t>190</w:t>
        </w:r>
        <w:r>
          <w:rPr>
            <w:noProof/>
            <w:webHidden/>
          </w:rPr>
          <w:fldChar w:fldCharType="end"/>
        </w:r>
      </w:hyperlink>
    </w:p>
    <w:p w14:paraId="04BC7461" w14:textId="77777777" w:rsidR="006C5F2A" w:rsidRPr="00FB04F6" w:rsidRDefault="006C5F2A">
      <w:pPr>
        <w:pStyle w:val="TM1"/>
        <w:tabs>
          <w:tab w:val="left" w:pos="440"/>
        </w:tabs>
        <w:rPr>
          <w:rFonts w:eastAsia="Times New Roman" w:cs="Times New Roman"/>
          <w:b w:val="0"/>
          <w:bCs w:val="0"/>
          <w:caps w:val="0"/>
          <w:noProof/>
          <w:sz w:val="22"/>
          <w:szCs w:val="22"/>
          <w:lang w:eastAsia="fr-FR"/>
        </w:rPr>
      </w:pPr>
      <w:hyperlink w:anchor="_Toc127957695" w:history="1">
        <w:r w:rsidRPr="00ED6DAE">
          <w:rPr>
            <w:rStyle w:val="Lienhypertexte"/>
            <w:noProof/>
          </w:rPr>
          <w:t>9.</w:t>
        </w:r>
        <w:r w:rsidRPr="00FB04F6">
          <w:rPr>
            <w:rFonts w:eastAsia="Times New Roman" w:cs="Times New Roman"/>
            <w:b w:val="0"/>
            <w:bCs w:val="0"/>
            <w:caps w:val="0"/>
            <w:noProof/>
            <w:sz w:val="22"/>
            <w:szCs w:val="22"/>
            <w:lang w:eastAsia="fr-FR"/>
          </w:rPr>
          <w:tab/>
        </w:r>
        <w:r w:rsidRPr="00ED6DAE">
          <w:rPr>
            <w:rStyle w:val="Lienhypertexte"/>
            <w:noProof/>
          </w:rPr>
          <w:t>Processus de Consultations</w:t>
        </w:r>
        <w:r>
          <w:rPr>
            <w:noProof/>
            <w:webHidden/>
          </w:rPr>
          <w:tab/>
        </w:r>
        <w:r>
          <w:rPr>
            <w:noProof/>
            <w:webHidden/>
          </w:rPr>
          <w:fldChar w:fldCharType="begin"/>
        </w:r>
        <w:r>
          <w:rPr>
            <w:noProof/>
            <w:webHidden/>
          </w:rPr>
          <w:instrText xml:space="preserve"> PAGEREF _Toc127957695 \h </w:instrText>
        </w:r>
        <w:r>
          <w:rPr>
            <w:noProof/>
            <w:webHidden/>
          </w:rPr>
        </w:r>
        <w:r>
          <w:rPr>
            <w:noProof/>
            <w:webHidden/>
          </w:rPr>
          <w:fldChar w:fldCharType="separate"/>
        </w:r>
        <w:r w:rsidR="00B05C7F">
          <w:rPr>
            <w:noProof/>
            <w:webHidden/>
          </w:rPr>
          <w:t>195</w:t>
        </w:r>
        <w:r>
          <w:rPr>
            <w:noProof/>
            <w:webHidden/>
          </w:rPr>
          <w:fldChar w:fldCharType="end"/>
        </w:r>
      </w:hyperlink>
    </w:p>
    <w:p w14:paraId="4CC95699" w14:textId="77777777" w:rsidR="006C5F2A" w:rsidRPr="00FB04F6" w:rsidRDefault="006C5F2A">
      <w:pPr>
        <w:pStyle w:val="TM2"/>
        <w:rPr>
          <w:rFonts w:eastAsia="Times New Roman" w:cs="Times New Roman"/>
          <w:smallCaps w:val="0"/>
          <w:noProof/>
          <w:sz w:val="22"/>
          <w:szCs w:val="22"/>
          <w:lang w:eastAsia="fr-FR"/>
        </w:rPr>
      </w:pPr>
      <w:hyperlink w:anchor="_Toc127957696" w:history="1">
        <w:r w:rsidRPr="00ED6DAE">
          <w:rPr>
            <w:rStyle w:val="Lienhypertexte"/>
            <w:noProof/>
          </w:rPr>
          <w:t>9.1.</w:t>
        </w:r>
        <w:r w:rsidRPr="00FB04F6">
          <w:rPr>
            <w:rFonts w:eastAsia="Times New Roman" w:cs="Times New Roman"/>
            <w:smallCaps w:val="0"/>
            <w:noProof/>
            <w:sz w:val="22"/>
            <w:szCs w:val="22"/>
            <w:lang w:eastAsia="fr-FR"/>
          </w:rPr>
          <w:tab/>
        </w:r>
        <w:r w:rsidRPr="00ED6DAE">
          <w:rPr>
            <w:rStyle w:val="Lienhypertexte"/>
            <w:noProof/>
          </w:rPr>
          <w:t>Objectif des consultations publiques et des parties prenantes</w:t>
        </w:r>
        <w:r>
          <w:rPr>
            <w:noProof/>
            <w:webHidden/>
          </w:rPr>
          <w:tab/>
        </w:r>
        <w:r>
          <w:rPr>
            <w:noProof/>
            <w:webHidden/>
          </w:rPr>
          <w:fldChar w:fldCharType="begin"/>
        </w:r>
        <w:r>
          <w:rPr>
            <w:noProof/>
            <w:webHidden/>
          </w:rPr>
          <w:instrText xml:space="preserve"> PAGEREF _Toc127957696 \h </w:instrText>
        </w:r>
        <w:r>
          <w:rPr>
            <w:noProof/>
            <w:webHidden/>
          </w:rPr>
        </w:r>
        <w:r>
          <w:rPr>
            <w:noProof/>
            <w:webHidden/>
          </w:rPr>
          <w:fldChar w:fldCharType="separate"/>
        </w:r>
        <w:r w:rsidR="00B05C7F">
          <w:rPr>
            <w:noProof/>
            <w:webHidden/>
          </w:rPr>
          <w:t>195</w:t>
        </w:r>
        <w:r>
          <w:rPr>
            <w:noProof/>
            <w:webHidden/>
          </w:rPr>
          <w:fldChar w:fldCharType="end"/>
        </w:r>
      </w:hyperlink>
    </w:p>
    <w:p w14:paraId="630C0F9C" w14:textId="77777777" w:rsidR="006C5F2A" w:rsidRPr="00FB04F6" w:rsidRDefault="006C5F2A">
      <w:pPr>
        <w:pStyle w:val="TM2"/>
        <w:rPr>
          <w:rFonts w:eastAsia="Times New Roman" w:cs="Times New Roman"/>
          <w:smallCaps w:val="0"/>
          <w:noProof/>
          <w:sz w:val="22"/>
          <w:szCs w:val="22"/>
          <w:lang w:eastAsia="fr-FR"/>
        </w:rPr>
      </w:pPr>
      <w:hyperlink w:anchor="_Toc127957697" w:history="1">
        <w:r w:rsidRPr="00ED6DAE">
          <w:rPr>
            <w:rStyle w:val="Lienhypertexte"/>
            <w:noProof/>
          </w:rPr>
          <w:t>9.2.</w:t>
        </w:r>
        <w:r w:rsidRPr="00FB04F6">
          <w:rPr>
            <w:rFonts w:eastAsia="Times New Roman" w:cs="Times New Roman"/>
            <w:smallCaps w:val="0"/>
            <w:noProof/>
            <w:sz w:val="22"/>
            <w:szCs w:val="22"/>
            <w:lang w:eastAsia="fr-FR"/>
          </w:rPr>
          <w:tab/>
        </w:r>
        <w:r w:rsidRPr="00ED6DAE">
          <w:rPr>
            <w:rStyle w:val="Lienhypertexte"/>
            <w:noProof/>
          </w:rPr>
          <w:t>Méthodologie d’approche pour la préparation des consultations</w:t>
        </w:r>
        <w:r>
          <w:rPr>
            <w:noProof/>
            <w:webHidden/>
          </w:rPr>
          <w:tab/>
        </w:r>
        <w:r>
          <w:rPr>
            <w:noProof/>
            <w:webHidden/>
          </w:rPr>
          <w:fldChar w:fldCharType="begin"/>
        </w:r>
        <w:r>
          <w:rPr>
            <w:noProof/>
            <w:webHidden/>
          </w:rPr>
          <w:instrText xml:space="preserve"> PAGEREF _Toc127957697 \h </w:instrText>
        </w:r>
        <w:r>
          <w:rPr>
            <w:noProof/>
            <w:webHidden/>
          </w:rPr>
        </w:r>
        <w:r>
          <w:rPr>
            <w:noProof/>
            <w:webHidden/>
          </w:rPr>
          <w:fldChar w:fldCharType="separate"/>
        </w:r>
        <w:r w:rsidR="00B05C7F">
          <w:rPr>
            <w:noProof/>
            <w:webHidden/>
          </w:rPr>
          <w:t>195</w:t>
        </w:r>
        <w:r>
          <w:rPr>
            <w:noProof/>
            <w:webHidden/>
          </w:rPr>
          <w:fldChar w:fldCharType="end"/>
        </w:r>
      </w:hyperlink>
    </w:p>
    <w:p w14:paraId="60BFC051" w14:textId="77777777" w:rsidR="006C5F2A" w:rsidRPr="00FB04F6" w:rsidRDefault="006C5F2A">
      <w:pPr>
        <w:pStyle w:val="TM2"/>
        <w:rPr>
          <w:rFonts w:eastAsia="Times New Roman" w:cs="Times New Roman"/>
          <w:smallCaps w:val="0"/>
          <w:noProof/>
          <w:sz w:val="22"/>
          <w:szCs w:val="22"/>
          <w:lang w:eastAsia="fr-FR"/>
        </w:rPr>
      </w:pPr>
      <w:hyperlink w:anchor="_Toc127957698" w:history="1">
        <w:r w:rsidRPr="00ED6DAE">
          <w:rPr>
            <w:rStyle w:val="Lienhypertexte"/>
            <w:noProof/>
          </w:rPr>
          <w:t>9.3.</w:t>
        </w:r>
        <w:r w:rsidRPr="00FB04F6">
          <w:rPr>
            <w:rFonts w:eastAsia="Times New Roman" w:cs="Times New Roman"/>
            <w:smallCaps w:val="0"/>
            <w:noProof/>
            <w:sz w:val="22"/>
            <w:szCs w:val="22"/>
            <w:lang w:eastAsia="fr-FR"/>
          </w:rPr>
          <w:tab/>
        </w:r>
        <w:r w:rsidRPr="00ED6DAE">
          <w:rPr>
            <w:rStyle w:val="Lienhypertexte"/>
            <w:noProof/>
          </w:rPr>
          <w:t>Déroulement et résultats des consultations</w:t>
        </w:r>
        <w:r>
          <w:rPr>
            <w:noProof/>
            <w:webHidden/>
          </w:rPr>
          <w:tab/>
        </w:r>
        <w:r>
          <w:rPr>
            <w:noProof/>
            <w:webHidden/>
          </w:rPr>
          <w:fldChar w:fldCharType="begin"/>
        </w:r>
        <w:r>
          <w:rPr>
            <w:noProof/>
            <w:webHidden/>
          </w:rPr>
          <w:instrText xml:space="preserve"> PAGEREF _Toc127957698 \h </w:instrText>
        </w:r>
        <w:r>
          <w:rPr>
            <w:noProof/>
            <w:webHidden/>
          </w:rPr>
        </w:r>
        <w:r>
          <w:rPr>
            <w:noProof/>
            <w:webHidden/>
          </w:rPr>
          <w:fldChar w:fldCharType="separate"/>
        </w:r>
        <w:r w:rsidR="00B05C7F">
          <w:rPr>
            <w:noProof/>
            <w:webHidden/>
          </w:rPr>
          <w:t>196</w:t>
        </w:r>
        <w:r>
          <w:rPr>
            <w:noProof/>
            <w:webHidden/>
          </w:rPr>
          <w:fldChar w:fldCharType="end"/>
        </w:r>
      </w:hyperlink>
    </w:p>
    <w:p w14:paraId="3741CBCD" w14:textId="77777777" w:rsidR="006C5F2A" w:rsidRPr="00FB04F6" w:rsidRDefault="006C5F2A">
      <w:pPr>
        <w:pStyle w:val="TM3"/>
        <w:rPr>
          <w:rFonts w:eastAsia="Times New Roman" w:cs="Times New Roman"/>
          <w:i w:val="0"/>
          <w:iCs w:val="0"/>
          <w:noProof/>
          <w:sz w:val="22"/>
          <w:szCs w:val="22"/>
          <w:lang w:eastAsia="fr-FR"/>
        </w:rPr>
      </w:pPr>
      <w:hyperlink w:anchor="_Toc127957699" w:history="1">
        <w:r w:rsidRPr="00ED6DAE">
          <w:rPr>
            <w:rStyle w:val="Lienhypertexte"/>
            <w:noProof/>
          </w:rPr>
          <w:t>9.3.1.</w:t>
        </w:r>
        <w:r w:rsidRPr="00FB04F6">
          <w:rPr>
            <w:rFonts w:eastAsia="Times New Roman" w:cs="Times New Roman"/>
            <w:i w:val="0"/>
            <w:iCs w:val="0"/>
            <w:noProof/>
            <w:sz w:val="22"/>
            <w:szCs w:val="22"/>
            <w:lang w:eastAsia="fr-FR"/>
          </w:rPr>
          <w:tab/>
        </w:r>
        <w:r w:rsidRPr="00ED6DAE">
          <w:rPr>
            <w:rStyle w:val="Lienhypertexte"/>
            <w:noProof/>
          </w:rPr>
          <w:t>Réunion d’information</w:t>
        </w:r>
        <w:r>
          <w:rPr>
            <w:noProof/>
            <w:webHidden/>
          </w:rPr>
          <w:tab/>
        </w:r>
        <w:r>
          <w:rPr>
            <w:noProof/>
            <w:webHidden/>
          </w:rPr>
          <w:fldChar w:fldCharType="begin"/>
        </w:r>
        <w:r>
          <w:rPr>
            <w:noProof/>
            <w:webHidden/>
          </w:rPr>
          <w:instrText xml:space="preserve"> PAGEREF _Toc127957699 \h </w:instrText>
        </w:r>
        <w:r>
          <w:rPr>
            <w:noProof/>
            <w:webHidden/>
          </w:rPr>
        </w:r>
        <w:r>
          <w:rPr>
            <w:noProof/>
            <w:webHidden/>
          </w:rPr>
          <w:fldChar w:fldCharType="separate"/>
        </w:r>
        <w:r w:rsidR="00B05C7F">
          <w:rPr>
            <w:noProof/>
            <w:webHidden/>
          </w:rPr>
          <w:t>196</w:t>
        </w:r>
        <w:r>
          <w:rPr>
            <w:noProof/>
            <w:webHidden/>
          </w:rPr>
          <w:fldChar w:fldCharType="end"/>
        </w:r>
      </w:hyperlink>
    </w:p>
    <w:p w14:paraId="72345248" w14:textId="77777777" w:rsidR="006C5F2A" w:rsidRPr="00FB04F6" w:rsidRDefault="006C5F2A">
      <w:pPr>
        <w:pStyle w:val="TM3"/>
        <w:rPr>
          <w:rFonts w:eastAsia="Times New Roman" w:cs="Times New Roman"/>
          <w:i w:val="0"/>
          <w:iCs w:val="0"/>
          <w:noProof/>
          <w:sz w:val="22"/>
          <w:szCs w:val="22"/>
          <w:lang w:eastAsia="fr-FR"/>
        </w:rPr>
      </w:pPr>
      <w:hyperlink w:anchor="_Toc127957700" w:history="1">
        <w:r w:rsidRPr="00ED6DAE">
          <w:rPr>
            <w:rStyle w:val="Lienhypertexte"/>
            <w:noProof/>
          </w:rPr>
          <w:t>9.3.2.</w:t>
        </w:r>
        <w:r w:rsidRPr="00FB04F6">
          <w:rPr>
            <w:rFonts w:eastAsia="Times New Roman" w:cs="Times New Roman"/>
            <w:i w:val="0"/>
            <w:iCs w:val="0"/>
            <w:noProof/>
            <w:sz w:val="22"/>
            <w:szCs w:val="22"/>
            <w:lang w:eastAsia="fr-FR"/>
          </w:rPr>
          <w:tab/>
        </w:r>
        <w:r w:rsidRPr="00ED6DAE">
          <w:rPr>
            <w:rStyle w:val="Lienhypertexte"/>
            <w:noProof/>
          </w:rPr>
          <w:t>Consultation des Parties Prenantes</w:t>
        </w:r>
        <w:r>
          <w:rPr>
            <w:noProof/>
            <w:webHidden/>
          </w:rPr>
          <w:tab/>
        </w:r>
        <w:r>
          <w:rPr>
            <w:noProof/>
            <w:webHidden/>
          </w:rPr>
          <w:fldChar w:fldCharType="begin"/>
        </w:r>
        <w:r>
          <w:rPr>
            <w:noProof/>
            <w:webHidden/>
          </w:rPr>
          <w:instrText xml:space="preserve"> PAGEREF _Toc127957700 \h </w:instrText>
        </w:r>
        <w:r>
          <w:rPr>
            <w:noProof/>
            <w:webHidden/>
          </w:rPr>
        </w:r>
        <w:r>
          <w:rPr>
            <w:noProof/>
            <w:webHidden/>
          </w:rPr>
          <w:fldChar w:fldCharType="separate"/>
        </w:r>
        <w:r w:rsidR="00B05C7F">
          <w:rPr>
            <w:noProof/>
            <w:webHidden/>
          </w:rPr>
          <w:t>198</w:t>
        </w:r>
        <w:r>
          <w:rPr>
            <w:noProof/>
            <w:webHidden/>
          </w:rPr>
          <w:fldChar w:fldCharType="end"/>
        </w:r>
      </w:hyperlink>
    </w:p>
    <w:p w14:paraId="5C459A0D" w14:textId="77777777" w:rsidR="006C5F2A" w:rsidRPr="00FB04F6" w:rsidRDefault="006C5F2A">
      <w:pPr>
        <w:pStyle w:val="TM3"/>
        <w:rPr>
          <w:rFonts w:eastAsia="Times New Roman" w:cs="Times New Roman"/>
          <w:i w:val="0"/>
          <w:iCs w:val="0"/>
          <w:noProof/>
          <w:sz w:val="22"/>
          <w:szCs w:val="22"/>
          <w:lang w:eastAsia="fr-FR"/>
        </w:rPr>
      </w:pPr>
      <w:hyperlink w:anchor="_Toc127957701" w:history="1">
        <w:r w:rsidRPr="00ED6DAE">
          <w:rPr>
            <w:rStyle w:val="Lienhypertexte"/>
            <w:noProof/>
          </w:rPr>
          <w:t>9.3.3.</w:t>
        </w:r>
        <w:r w:rsidRPr="00FB04F6">
          <w:rPr>
            <w:rFonts w:eastAsia="Times New Roman" w:cs="Times New Roman"/>
            <w:i w:val="0"/>
            <w:iCs w:val="0"/>
            <w:noProof/>
            <w:sz w:val="22"/>
            <w:szCs w:val="22"/>
            <w:lang w:eastAsia="fr-FR"/>
          </w:rPr>
          <w:tab/>
        </w:r>
        <w:r w:rsidRPr="00ED6DAE">
          <w:rPr>
            <w:rStyle w:val="Lienhypertexte"/>
            <w:noProof/>
          </w:rPr>
          <w:t>Réunion avec les notables</w:t>
        </w:r>
        <w:r>
          <w:rPr>
            <w:noProof/>
            <w:webHidden/>
          </w:rPr>
          <w:tab/>
        </w:r>
        <w:r>
          <w:rPr>
            <w:noProof/>
            <w:webHidden/>
          </w:rPr>
          <w:fldChar w:fldCharType="begin"/>
        </w:r>
        <w:r>
          <w:rPr>
            <w:noProof/>
            <w:webHidden/>
          </w:rPr>
          <w:instrText xml:space="preserve"> PAGEREF _Toc127957701 \h </w:instrText>
        </w:r>
        <w:r>
          <w:rPr>
            <w:noProof/>
            <w:webHidden/>
          </w:rPr>
        </w:r>
        <w:r>
          <w:rPr>
            <w:noProof/>
            <w:webHidden/>
          </w:rPr>
          <w:fldChar w:fldCharType="separate"/>
        </w:r>
        <w:r w:rsidR="00B05C7F">
          <w:rPr>
            <w:noProof/>
            <w:webHidden/>
          </w:rPr>
          <w:t>201</w:t>
        </w:r>
        <w:r>
          <w:rPr>
            <w:noProof/>
            <w:webHidden/>
          </w:rPr>
          <w:fldChar w:fldCharType="end"/>
        </w:r>
      </w:hyperlink>
    </w:p>
    <w:p w14:paraId="7533D556" w14:textId="77777777" w:rsidR="006C5F2A" w:rsidRPr="00FB04F6" w:rsidRDefault="006C5F2A">
      <w:pPr>
        <w:pStyle w:val="TM2"/>
        <w:rPr>
          <w:rFonts w:eastAsia="Times New Roman" w:cs="Times New Roman"/>
          <w:smallCaps w:val="0"/>
          <w:noProof/>
          <w:sz w:val="22"/>
          <w:szCs w:val="22"/>
          <w:lang w:eastAsia="fr-FR"/>
        </w:rPr>
      </w:pPr>
      <w:hyperlink w:anchor="_Toc127957702" w:history="1">
        <w:r w:rsidRPr="00ED6DAE">
          <w:rPr>
            <w:rStyle w:val="Lienhypertexte"/>
            <w:noProof/>
          </w:rPr>
          <w:t>9.3.3.1.</w:t>
        </w:r>
        <w:r w:rsidRPr="00FB04F6">
          <w:rPr>
            <w:rFonts w:eastAsia="Times New Roman" w:cs="Times New Roman"/>
            <w:smallCaps w:val="0"/>
            <w:noProof/>
            <w:sz w:val="22"/>
            <w:szCs w:val="22"/>
            <w:lang w:eastAsia="fr-FR"/>
          </w:rPr>
          <w:tab/>
        </w:r>
        <w:r w:rsidRPr="00ED6DAE">
          <w:rPr>
            <w:rStyle w:val="Lienhypertexte"/>
            <w:noProof/>
          </w:rPr>
          <w:t>Déroulement de la réunion</w:t>
        </w:r>
        <w:r>
          <w:rPr>
            <w:noProof/>
            <w:webHidden/>
          </w:rPr>
          <w:tab/>
        </w:r>
        <w:r>
          <w:rPr>
            <w:noProof/>
            <w:webHidden/>
          </w:rPr>
          <w:fldChar w:fldCharType="begin"/>
        </w:r>
        <w:r>
          <w:rPr>
            <w:noProof/>
            <w:webHidden/>
          </w:rPr>
          <w:instrText xml:space="preserve"> PAGEREF _Toc127957702 \h </w:instrText>
        </w:r>
        <w:r>
          <w:rPr>
            <w:noProof/>
            <w:webHidden/>
          </w:rPr>
        </w:r>
        <w:r>
          <w:rPr>
            <w:noProof/>
            <w:webHidden/>
          </w:rPr>
          <w:fldChar w:fldCharType="separate"/>
        </w:r>
        <w:r w:rsidR="00B05C7F">
          <w:rPr>
            <w:noProof/>
            <w:webHidden/>
          </w:rPr>
          <w:t>201</w:t>
        </w:r>
        <w:r>
          <w:rPr>
            <w:noProof/>
            <w:webHidden/>
          </w:rPr>
          <w:fldChar w:fldCharType="end"/>
        </w:r>
      </w:hyperlink>
    </w:p>
    <w:p w14:paraId="608C44AB" w14:textId="77777777" w:rsidR="006C5F2A" w:rsidRPr="00FB04F6" w:rsidRDefault="006C5F2A">
      <w:pPr>
        <w:pStyle w:val="TM2"/>
        <w:rPr>
          <w:rFonts w:eastAsia="Times New Roman" w:cs="Times New Roman"/>
          <w:smallCaps w:val="0"/>
          <w:noProof/>
          <w:sz w:val="22"/>
          <w:szCs w:val="22"/>
          <w:lang w:eastAsia="fr-FR"/>
        </w:rPr>
      </w:pPr>
      <w:hyperlink w:anchor="_Toc127957703" w:history="1">
        <w:r w:rsidRPr="00ED6DAE">
          <w:rPr>
            <w:rStyle w:val="Lienhypertexte"/>
            <w:noProof/>
          </w:rPr>
          <w:t>9.3.3.2.</w:t>
        </w:r>
        <w:r w:rsidRPr="00FB04F6">
          <w:rPr>
            <w:rFonts w:eastAsia="Times New Roman" w:cs="Times New Roman"/>
            <w:smallCaps w:val="0"/>
            <w:noProof/>
            <w:sz w:val="22"/>
            <w:szCs w:val="22"/>
            <w:lang w:eastAsia="fr-FR"/>
          </w:rPr>
          <w:tab/>
        </w:r>
        <w:r w:rsidRPr="00ED6DAE">
          <w:rPr>
            <w:rStyle w:val="Lienhypertexte"/>
            <w:noProof/>
          </w:rPr>
          <w:t>Résultats de la consultation</w:t>
        </w:r>
        <w:r>
          <w:rPr>
            <w:noProof/>
            <w:webHidden/>
          </w:rPr>
          <w:tab/>
        </w:r>
        <w:r>
          <w:rPr>
            <w:noProof/>
            <w:webHidden/>
          </w:rPr>
          <w:fldChar w:fldCharType="begin"/>
        </w:r>
        <w:r>
          <w:rPr>
            <w:noProof/>
            <w:webHidden/>
          </w:rPr>
          <w:instrText xml:space="preserve"> PAGEREF _Toc127957703 \h </w:instrText>
        </w:r>
        <w:r>
          <w:rPr>
            <w:noProof/>
            <w:webHidden/>
          </w:rPr>
        </w:r>
        <w:r>
          <w:rPr>
            <w:noProof/>
            <w:webHidden/>
          </w:rPr>
          <w:fldChar w:fldCharType="separate"/>
        </w:r>
        <w:r w:rsidR="00B05C7F">
          <w:rPr>
            <w:noProof/>
            <w:webHidden/>
          </w:rPr>
          <w:t>202</w:t>
        </w:r>
        <w:r>
          <w:rPr>
            <w:noProof/>
            <w:webHidden/>
          </w:rPr>
          <w:fldChar w:fldCharType="end"/>
        </w:r>
      </w:hyperlink>
    </w:p>
    <w:p w14:paraId="00333ADA" w14:textId="77777777" w:rsidR="006C5F2A" w:rsidRPr="00FB04F6" w:rsidRDefault="006C5F2A">
      <w:pPr>
        <w:pStyle w:val="TM3"/>
        <w:rPr>
          <w:rFonts w:eastAsia="Times New Roman" w:cs="Times New Roman"/>
          <w:i w:val="0"/>
          <w:iCs w:val="0"/>
          <w:noProof/>
          <w:sz w:val="22"/>
          <w:szCs w:val="22"/>
          <w:lang w:eastAsia="fr-FR"/>
        </w:rPr>
      </w:pPr>
      <w:hyperlink w:anchor="_Toc127957704" w:history="1">
        <w:r w:rsidRPr="00ED6DAE">
          <w:rPr>
            <w:rStyle w:val="Lienhypertexte"/>
            <w:noProof/>
          </w:rPr>
          <w:t>9.3.4.</w:t>
        </w:r>
        <w:r w:rsidRPr="00FB04F6">
          <w:rPr>
            <w:rFonts w:eastAsia="Times New Roman" w:cs="Times New Roman"/>
            <w:i w:val="0"/>
            <w:iCs w:val="0"/>
            <w:noProof/>
            <w:sz w:val="22"/>
            <w:szCs w:val="22"/>
            <w:lang w:eastAsia="fr-FR"/>
          </w:rPr>
          <w:tab/>
        </w:r>
        <w:r w:rsidRPr="00ED6DAE">
          <w:rPr>
            <w:rStyle w:val="Lienhypertexte"/>
            <w:noProof/>
          </w:rPr>
          <w:t>Réunion avec les femmes</w:t>
        </w:r>
        <w:r>
          <w:rPr>
            <w:noProof/>
            <w:webHidden/>
          </w:rPr>
          <w:tab/>
        </w:r>
        <w:r>
          <w:rPr>
            <w:noProof/>
            <w:webHidden/>
          </w:rPr>
          <w:fldChar w:fldCharType="begin"/>
        </w:r>
        <w:r>
          <w:rPr>
            <w:noProof/>
            <w:webHidden/>
          </w:rPr>
          <w:instrText xml:space="preserve"> PAGEREF _Toc127957704 \h </w:instrText>
        </w:r>
        <w:r>
          <w:rPr>
            <w:noProof/>
            <w:webHidden/>
          </w:rPr>
        </w:r>
        <w:r>
          <w:rPr>
            <w:noProof/>
            <w:webHidden/>
          </w:rPr>
          <w:fldChar w:fldCharType="separate"/>
        </w:r>
        <w:r w:rsidR="00B05C7F">
          <w:rPr>
            <w:noProof/>
            <w:webHidden/>
          </w:rPr>
          <w:t>203</w:t>
        </w:r>
        <w:r>
          <w:rPr>
            <w:noProof/>
            <w:webHidden/>
          </w:rPr>
          <w:fldChar w:fldCharType="end"/>
        </w:r>
      </w:hyperlink>
    </w:p>
    <w:p w14:paraId="486571CB" w14:textId="77777777" w:rsidR="006C5F2A" w:rsidRPr="00FB04F6" w:rsidRDefault="006C5F2A">
      <w:pPr>
        <w:pStyle w:val="TM2"/>
        <w:rPr>
          <w:rFonts w:eastAsia="Times New Roman" w:cs="Times New Roman"/>
          <w:smallCaps w:val="0"/>
          <w:noProof/>
          <w:sz w:val="22"/>
          <w:szCs w:val="22"/>
          <w:lang w:eastAsia="fr-FR"/>
        </w:rPr>
      </w:pPr>
      <w:hyperlink w:anchor="_Toc127957705" w:history="1">
        <w:r w:rsidRPr="00ED6DAE">
          <w:rPr>
            <w:rStyle w:val="Lienhypertexte"/>
            <w:noProof/>
          </w:rPr>
          <w:t>9.3.4.1.</w:t>
        </w:r>
        <w:r w:rsidRPr="00FB04F6">
          <w:rPr>
            <w:rFonts w:eastAsia="Times New Roman" w:cs="Times New Roman"/>
            <w:smallCaps w:val="0"/>
            <w:noProof/>
            <w:sz w:val="22"/>
            <w:szCs w:val="22"/>
            <w:lang w:eastAsia="fr-FR"/>
          </w:rPr>
          <w:tab/>
        </w:r>
        <w:r w:rsidRPr="00ED6DAE">
          <w:rPr>
            <w:rStyle w:val="Lienhypertexte"/>
            <w:noProof/>
          </w:rPr>
          <w:t>Déroulement de la réunion</w:t>
        </w:r>
        <w:r>
          <w:rPr>
            <w:noProof/>
            <w:webHidden/>
          </w:rPr>
          <w:tab/>
        </w:r>
        <w:r>
          <w:rPr>
            <w:noProof/>
            <w:webHidden/>
          </w:rPr>
          <w:fldChar w:fldCharType="begin"/>
        </w:r>
        <w:r>
          <w:rPr>
            <w:noProof/>
            <w:webHidden/>
          </w:rPr>
          <w:instrText xml:space="preserve"> PAGEREF _Toc127957705 \h </w:instrText>
        </w:r>
        <w:r>
          <w:rPr>
            <w:noProof/>
            <w:webHidden/>
          </w:rPr>
        </w:r>
        <w:r>
          <w:rPr>
            <w:noProof/>
            <w:webHidden/>
          </w:rPr>
          <w:fldChar w:fldCharType="separate"/>
        </w:r>
        <w:r w:rsidR="00B05C7F">
          <w:rPr>
            <w:noProof/>
            <w:webHidden/>
          </w:rPr>
          <w:t>203</w:t>
        </w:r>
        <w:r>
          <w:rPr>
            <w:noProof/>
            <w:webHidden/>
          </w:rPr>
          <w:fldChar w:fldCharType="end"/>
        </w:r>
      </w:hyperlink>
    </w:p>
    <w:p w14:paraId="76CB6637" w14:textId="77777777" w:rsidR="006C5F2A" w:rsidRPr="00FB04F6" w:rsidRDefault="006C5F2A">
      <w:pPr>
        <w:pStyle w:val="TM2"/>
        <w:rPr>
          <w:rFonts w:eastAsia="Times New Roman" w:cs="Times New Roman"/>
          <w:smallCaps w:val="0"/>
          <w:noProof/>
          <w:sz w:val="22"/>
          <w:szCs w:val="22"/>
          <w:lang w:eastAsia="fr-FR"/>
        </w:rPr>
      </w:pPr>
      <w:hyperlink w:anchor="_Toc127957706" w:history="1">
        <w:r w:rsidRPr="00ED6DAE">
          <w:rPr>
            <w:rStyle w:val="Lienhypertexte"/>
            <w:noProof/>
          </w:rPr>
          <w:t>9.3.4.2.</w:t>
        </w:r>
        <w:r w:rsidRPr="00FB04F6">
          <w:rPr>
            <w:rFonts w:eastAsia="Times New Roman" w:cs="Times New Roman"/>
            <w:smallCaps w:val="0"/>
            <w:noProof/>
            <w:sz w:val="22"/>
            <w:szCs w:val="22"/>
            <w:lang w:eastAsia="fr-FR"/>
          </w:rPr>
          <w:tab/>
        </w:r>
        <w:r w:rsidRPr="00ED6DAE">
          <w:rPr>
            <w:rStyle w:val="Lienhypertexte"/>
            <w:noProof/>
          </w:rPr>
          <w:t>Résultat de la consultation des femmes</w:t>
        </w:r>
        <w:r>
          <w:rPr>
            <w:noProof/>
            <w:webHidden/>
          </w:rPr>
          <w:tab/>
        </w:r>
        <w:r>
          <w:rPr>
            <w:noProof/>
            <w:webHidden/>
          </w:rPr>
          <w:fldChar w:fldCharType="begin"/>
        </w:r>
        <w:r>
          <w:rPr>
            <w:noProof/>
            <w:webHidden/>
          </w:rPr>
          <w:instrText xml:space="preserve"> PAGEREF _Toc127957706 \h </w:instrText>
        </w:r>
        <w:r>
          <w:rPr>
            <w:noProof/>
            <w:webHidden/>
          </w:rPr>
        </w:r>
        <w:r>
          <w:rPr>
            <w:noProof/>
            <w:webHidden/>
          </w:rPr>
          <w:fldChar w:fldCharType="separate"/>
        </w:r>
        <w:r w:rsidR="00B05C7F">
          <w:rPr>
            <w:noProof/>
            <w:webHidden/>
          </w:rPr>
          <w:t>203</w:t>
        </w:r>
        <w:r>
          <w:rPr>
            <w:noProof/>
            <w:webHidden/>
          </w:rPr>
          <w:fldChar w:fldCharType="end"/>
        </w:r>
      </w:hyperlink>
    </w:p>
    <w:p w14:paraId="741D42AA" w14:textId="77777777" w:rsidR="006C5F2A" w:rsidRPr="00FB04F6" w:rsidRDefault="006C5F2A">
      <w:pPr>
        <w:pStyle w:val="TM3"/>
        <w:rPr>
          <w:rFonts w:eastAsia="Times New Roman" w:cs="Times New Roman"/>
          <w:i w:val="0"/>
          <w:iCs w:val="0"/>
          <w:noProof/>
          <w:sz w:val="22"/>
          <w:szCs w:val="22"/>
          <w:lang w:eastAsia="fr-FR"/>
        </w:rPr>
      </w:pPr>
      <w:hyperlink w:anchor="_Toc127957707" w:history="1">
        <w:r w:rsidRPr="00ED6DAE">
          <w:rPr>
            <w:rStyle w:val="Lienhypertexte"/>
            <w:noProof/>
          </w:rPr>
          <w:t>9.3.5.</w:t>
        </w:r>
        <w:r w:rsidRPr="00FB04F6">
          <w:rPr>
            <w:rFonts w:eastAsia="Times New Roman" w:cs="Times New Roman"/>
            <w:i w:val="0"/>
            <w:iCs w:val="0"/>
            <w:noProof/>
            <w:sz w:val="22"/>
            <w:szCs w:val="22"/>
            <w:lang w:eastAsia="fr-FR"/>
          </w:rPr>
          <w:tab/>
        </w:r>
        <w:r w:rsidRPr="00ED6DAE">
          <w:rPr>
            <w:rStyle w:val="Lienhypertexte"/>
            <w:noProof/>
          </w:rPr>
          <w:t>Réunion avec les jeunes</w:t>
        </w:r>
        <w:r>
          <w:rPr>
            <w:noProof/>
            <w:webHidden/>
          </w:rPr>
          <w:tab/>
        </w:r>
        <w:r>
          <w:rPr>
            <w:noProof/>
            <w:webHidden/>
          </w:rPr>
          <w:fldChar w:fldCharType="begin"/>
        </w:r>
        <w:r>
          <w:rPr>
            <w:noProof/>
            <w:webHidden/>
          </w:rPr>
          <w:instrText xml:space="preserve"> PAGEREF _Toc127957707 \h </w:instrText>
        </w:r>
        <w:r>
          <w:rPr>
            <w:noProof/>
            <w:webHidden/>
          </w:rPr>
        </w:r>
        <w:r>
          <w:rPr>
            <w:noProof/>
            <w:webHidden/>
          </w:rPr>
          <w:fldChar w:fldCharType="separate"/>
        </w:r>
        <w:r w:rsidR="00B05C7F">
          <w:rPr>
            <w:noProof/>
            <w:webHidden/>
          </w:rPr>
          <w:t>205</w:t>
        </w:r>
        <w:r>
          <w:rPr>
            <w:noProof/>
            <w:webHidden/>
          </w:rPr>
          <w:fldChar w:fldCharType="end"/>
        </w:r>
      </w:hyperlink>
    </w:p>
    <w:p w14:paraId="2193692C" w14:textId="77777777" w:rsidR="006C5F2A" w:rsidRPr="00FB04F6" w:rsidRDefault="006C5F2A">
      <w:pPr>
        <w:pStyle w:val="TM2"/>
        <w:rPr>
          <w:rFonts w:eastAsia="Times New Roman" w:cs="Times New Roman"/>
          <w:smallCaps w:val="0"/>
          <w:noProof/>
          <w:sz w:val="22"/>
          <w:szCs w:val="22"/>
          <w:lang w:eastAsia="fr-FR"/>
        </w:rPr>
      </w:pPr>
      <w:hyperlink w:anchor="_Toc127957708" w:history="1">
        <w:r w:rsidRPr="00ED6DAE">
          <w:rPr>
            <w:rStyle w:val="Lienhypertexte"/>
            <w:noProof/>
          </w:rPr>
          <w:t>9.3.5.1.</w:t>
        </w:r>
        <w:r w:rsidRPr="00FB04F6">
          <w:rPr>
            <w:rFonts w:eastAsia="Times New Roman" w:cs="Times New Roman"/>
            <w:smallCaps w:val="0"/>
            <w:noProof/>
            <w:sz w:val="22"/>
            <w:szCs w:val="22"/>
            <w:lang w:eastAsia="fr-FR"/>
          </w:rPr>
          <w:tab/>
        </w:r>
        <w:r w:rsidRPr="00ED6DAE">
          <w:rPr>
            <w:rStyle w:val="Lienhypertexte"/>
            <w:noProof/>
          </w:rPr>
          <w:t>Déroulement de la réunion avec les jeunes</w:t>
        </w:r>
        <w:r>
          <w:rPr>
            <w:noProof/>
            <w:webHidden/>
          </w:rPr>
          <w:tab/>
        </w:r>
        <w:r>
          <w:rPr>
            <w:noProof/>
            <w:webHidden/>
          </w:rPr>
          <w:fldChar w:fldCharType="begin"/>
        </w:r>
        <w:r>
          <w:rPr>
            <w:noProof/>
            <w:webHidden/>
          </w:rPr>
          <w:instrText xml:space="preserve"> PAGEREF _Toc127957708 \h </w:instrText>
        </w:r>
        <w:r>
          <w:rPr>
            <w:noProof/>
            <w:webHidden/>
          </w:rPr>
        </w:r>
        <w:r>
          <w:rPr>
            <w:noProof/>
            <w:webHidden/>
          </w:rPr>
          <w:fldChar w:fldCharType="separate"/>
        </w:r>
        <w:r w:rsidR="00B05C7F">
          <w:rPr>
            <w:noProof/>
            <w:webHidden/>
          </w:rPr>
          <w:t>205</w:t>
        </w:r>
        <w:r>
          <w:rPr>
            <w:noProof/>
            <w:webHidden/>
          </w:rPr>
          <w:fldChar w:fldCharType="end"/>
        </w:r>
      </w:hyperlink>
    </w:p>
    <w:p w14:paraId="2F3688BD" w14:textId="77777777" w:rsidR="006C5F2A" w:rsidRPr="00FB04F6" w:rsidRDefault="006C5F2A">
      <w:pPr>
        <w:pStyle w:val="TM2"/>
        <w:rPr>
          <w:rFonts w:eastAsia="Times New Roman" w:cs="Times New Roman"/>
          <w:smallCaps w:val="0"/>
          <w:noProof/>
          <w:sz w:val="22"/>
          <w:szCs w:val="22"/>
          <w:lang w:eastAsia="fr-FR"/>
        </w:rPr>
      </w:pPr>
      <w:hyperlink w:anchor="_Toc127957709" w:history="1">
        <w:r w:rsidRPr="00ED6DAE">
          <w:rPr>
            <w:rStyle w:val="Lienhypertexte"/>
            <w:noProof/>
          </w:rPr>
          <w:t>9.3.5.2.</w:t>
        </w:r>
        <w:r w:rsidRPr="00FB04F6">
          <w:rPr>
            <w:rFonts w:eastAsia="Times New Roman" w:cs="Times New Roman"/>
            <w:smallCaps w:val="0"/>
            <w:noProof/>
            <w:sz w:val="22"/>
            <w:szCs w:val="22"/>
            <w:lang w:eastAsia="fr-FR"/>
          </w:rPr>
          <w:tab/>
        </w:r>
        <w:r w:rsidRPr="00ED6DAE">
          <w:rPr>
            <w:rStyle w:val="Lienhypertexte"/>
            <w:noProof/>
          </w:rPr>
          <w:t>Résultats de la consultation des jeunes</w:t>
        </w:r>
        <w:r>
          <w:rPr>
            <w:noProof/>
            <w:webHidden/>
          </w:rPr>
          <w:tab/>
        </w:r>
        <w:r>
          <w:rPr>
            <w:noProof/>
            <w:webHidden/>
          </w:rPr>
          <w:fldChar w:fldCharType="begin"/>
        </w:r>
        <w:r>
          <w:rPr>
            <w:noProof/>
            <w:webHidden/>
          </w:rPr>
          <w:instrText xml:space="preserve"> PAGEREF _Toc127957709 \h </w:instrText>
        </w:r>
        <w:r>
          <w:rPr>
            <w:noProof/>
            <w:webHidden/>
          </w:rPr>
        </w:r>
        <w:r>
          <w:rPr>
            <w:noProof/>
            <w:webHidden/>
          </w:rPr>
          <w:fldChar w:fldCharType="separate"/>
        </w:r>
        <w:r w:rsidR="00B05C7F">
          <w:rPr>
            <w:noProof/>
            <w:webHidden/>
          </w:rPr>
          <w:t>205</w:t>
        </w:r>
        <w:r>
          <w:rPr>
            <w:noProof/>
            <w:webHidden/>
          </w:rPr>
          <w:fldChar w:fldCharType="end"/>
        </w:r>
      </w:hyperlink>
    </w:p>
    <w:p w14:paraId="5A2886A3" w14:textId="77777777" w:rsidR="006C5F2A" w:rsidRPr="00FB04F6" w:rsidRDefault="006C5F2A">
      <w:pPr>
        <w:pStyle w:val="TM3"/>
        <w:rPr>
          <w:rFonts w:eastAsia="Times New Roman" w:cs="Times New Roman"/>
          <w:i w:val="0"/>
          <w:iCs w:val="0"/>
          <w:noProof/>
          <w:sz w:val="22"/>
          <w:szCs w:val="22"/>
          <w:lang w:eastAsia="fr-FR"/>
        </w:rPr>
      </w:pPr>
      <w:hyperlink w:anchor="_Toc127957710" w:history="1">
        <w:r w:rsidRPr="00ED6DAE">
          <w:rPr>
            <w:rStyle w:val="Lienhypertexte"/>
            <w:noProof/>
          </w:rPr>
          <w:t>9.3.6.</w:t>
        </w:r>
        <w:r w:rsidRPr="00FB04F6">
          <w:rPr>
            <w:rFonts w:eastAsia="Times New Roman" w:cs="Times New Roman"/>
            <w:i w:val="0"/>
            <w:iCs w:val="0"/>
            <w:noProof/>
            <w:sz w:val="22"/>
            <w:szCs w:val="22"/>
            <w:lang w:eastAsia="fr-FR"/>
          </w:rPr>
          <w:tab/>
        </w:r>
        <w:r w:rsidRPr="00ED6DAE">
          <w:rPr>
            <w:rStyle w:val="Lienhypertexte"/>
            <w:noProof/>
          </w:rPr>
          <w:t>Consultation publique</w:t>
        </w:r>
        <w:r>
          <w:rPr>
            <w:noProof/>
            <w:webHidden/>
          </w:rPr>
          <w:tab/>
        </w:r>
        <w:r>
          <w:rPr>
            <w:noProof/>
            <w:webHidden/>
          </w:rPr>
          <w:fldChar w:fldCharType="begin"/>
        </w:r>
        <w:r>
          <w:rPr>
            <w:noProof/>
            <w:webHidden/>
          </w:rPr>
          <w:instrText xml:space="preserve"> PAGEREF _Toc127957710 \h </w:instrText>
        </w:r>
        <w:r>
          <w:rPr>
            <w:noProof/>
            <w:webHidden/>
          </w:rPr>
        </w:r>
        <w:r>
          <w:rPr>
            <w:noProof/>
            <w:webHidden/>
          </w:rPr>
          <w:fldChar w:fldCharType="separate"/>
        </w:r>
        <w:r w:rsidR="00B05C7F">
          <w:rPr>
            <w:noProof/>
            <w:webHidden/>
          </w:rPr>
          <w:t>206</w:t>
        </w:r>
        <w:r>
          <w:rPr>
            <w:noProof/>
            <w:webHidden/>
          </w:rPr>
          <w:fldChar w:fldCharType="end"/>
        </w:r>
      </w:hyperlink>
    </w:p>
    <w:p w14:paraId="5FC1FC18" w14:textId="77777777" w:rsidR="006C5F2A" w:rsidRPr="00FB04F6" w:rsidRDefault="006C5F2A">
      <w:pPr>
        <w:pStyle w:val="TM2"/>
        <w:rPr>
          <w:rFonts w:eastAsia="Times New Roman" w:cs="Times New Roman"/>
          <w:smallCaps w:val="0"/>
          <w:noProof/>
          <w:sz w:val="22"/>
          <w:szCs w:val="22"/>
          <w:lang w:eastAsia="fr-FR"/>
        </w:rPr>
      </w:pPr>
      <w:hyperlink w:anchor="_Toc127957711" w:history="1">
        <w:r w:rsidRPr="00ED6DAE">
          <w:rPr>
            <w:rStyle w:val="Lienhypertexte"/>
            <w:noProof/>
          </w:rPr>
          <w:t>9.3.6.1.</w:t>
        </w:r>
        <w:r w:rsidRPr="00FB04F6">
          <w:rPr>
            <w:rFonts w:eastAsia="Times New Roman" w:cs="Times New Roman"/>
            <w:smallCaps w:val="0"/>
            <w:noProof/>
            <w:sz w:val="22"/>
            <w:szCs w:val="22"/>
            <w:lang w:eastAsia="fr-FR"/>
          </w:rPr>
          <w:tab/>
        </w:r>
        <w:r w:rsidRPr="00ED6DAE">
          <w:rPr>
            <w:rStyle w:val="Lienhypertexte"/>
            <w:noProof/>
          </w:rPr>
          <w:t>Déroulement de la consultation publique</w:t>
        </w:r>
        <w:r>
          <w:rPr>
            <w:noProof/>
            <w:webHidden/>
          </w:rPr>
          <w:tab/>
        </w:r>
        <w:r>
          <w:rPr>
            <w:noProof/>
            <w:webHidden/>
          </w:rPr>
          <w:fldChar w:fldCharType="begin"/>
        </w:r>
        <w:r>
          <w:rPr>
            <w:noProof/>
            <w:webHidden/>
          </w:rPr>
          <w:instrText xml:space="preserve"> PAGEREF _Toc127957711 \h </w:instrText>
        </w:r>
        <w:r>
          <w:rPr>
            <w:noProof/>
            <w:webHidden/>
          </w:rPr>
        </w:r>
        <w:r>
          <w:rPr>
            <w:noProof/>
            <w:webHidden/>
          </w:rPr>
          <w:fldChar w:fldCharType="separate"/>
        </w:r>
        <w:r w:rsidR="00B05C7F">
          <w:rPr>
            <w:noProof/>
            <w:webHidden/>
          </w:rPr>
          <w:t>206</w:t>
        </w:r>
        <w:r>
          <w:rPr>
            <w:noProof/>
            <w:webHidden/>
          </w:rPr>
          <w:fldChar w:fldCharType="end"/>
        </w:r>
      </w:hyperlink>
    </w:p>
    <w:p w14:paraId="2FF11F9A" w14:textId="77777777" w:rsidR="006C5F2A" w:rsidRPr="00FB04F6" w:rsidRDefault="006C5F2A">
      <w:pPr>
        <w:pStyle w:val="TM2"/>
        <w:rPr>
          <w:rFonts w:eastAsia="Times New Roman" w:cs="Times New Roman"/>
          <w:smallCaps w:val="0"/>
          <w:noProof/>
          <w:sz w:val="22"/>
          <w:szCs w:val="22"/>
          <w:lang w:eastAsia="fr-FR"/>
        </w:rPr>
      </w:pPr>
      <w:hyperlink w:anchor="_Toc127957712" w:history="1">
        <w:r w:rsidRPr="00ED6DAE">
          <w:rPr>
            <w:rStyle w:val="Lienhypertexte"/>
            <w:noProof/>
          </w:rPr>
          <w:t>9.3.6.2.</w:t>
        </w:r>
        <w:r w:rsidRPr="00FB04F6">
          <w:rPr>
            <w:rFonts w:eastAsia="Times New Roman" w:cs="Times New Roman"/>
            <w:smallCaps w:val="0"/>
            <w:noProof/>
            <w:sz w:val="22"/>
            <w:szCs w:val="22"/>
            <w:lang w:eastAsia="fr-FR"/>
          </w:rPr>
          <w:tab/>
        </w:r>
        <w:r w:rsidRPr="00ED6DAE">
          <w:rPr>
            <w:rStyle w:val="Lienhypertexte"/>
            <w:noProof/>
          </w:rPr>
          <w:t>Résultats de la consultation publique</w:t>
        </w:r>
        <w:r>
          <w:rPr>
            <w:noProof/>
            <w:webHidden/>
          </w:rPr>
          <w:tab/>
        </w:r>
        <w:r>
          <w:rPr>
            <w:noProof/>
            <w:webHidden/>
          </w:rPr>
          <w:fldChar w:fldCharType="begin"/>
        </w:r>
        <w:r>
          <w:rPr>
            <w:noProof/>
            <w:webHidden/>
          </w:rPr>
          <w:instrText xml:space="preserve"> PAGEREF _Toc127957712 \h </w:instrText>
        </w:r>
        <w:r>
          <w:rPr>
            <w:noProof/>
            <w:webHidden/>
          </w:rPr>
        </w:r>
        <w:r>
          <w:rPr>
            <w:noProof/>
            <w:webHidden/>
          </w:rPr>
          <w:fldChar w:fldCharType="separate"/>
        </w:r>
        <w:r w:rsidR="00B05C7F">
          <w:rPr>
            <w:noProof/>
            <w:webHidden/>
          </w:rPr>
          <w:t>207</w:t>
        </w:r>
        <w:r>
          <w:rPr>
            <w:noProof/>
            <w:webHidden/>
          </w:rPr>
          <w:fldChar w:fldCharType="end"/>
        </w:r>
      </w:hyperlink>
    </w:p>
    <w:p w14:paraId="50562C96" w14:textId="77777777" w:rsidR="006C5F2A" w:rsidRPr="00FB04F6" w:rsidRDefault="006C5F2A">
      <w:pPr>
        <w:pStyle w:val="TM2"/>
        <w:rPr>
          <w:rFonts w:eastAsia="Times New Roman" w:cs="Times New Roman"/>
          <w:smallCaps w:val="0"/>
          <w:noProof/>
          <w:sz w:val="22"/>
          <w:szCs w:val="22"/>
          <w:lang w:eastAsia="fr-FR"/>
        </w:rPr>
      </w:pPr>
      <w:hyperlink w:anchor="_Toc127957713" w:history="1">
        <w:r w:rsidRPr="00ED6DAE">
          <w:rPr>
            <w:rStyle w:val="Lienhypertexte"/>
            <w:noProof/>
          </w:rPr>
          <w:t>9.4.</w:t>
        </w:r>
        <w:r w:rsidRPr="00FB04F6">
          <w:rPr>
            <w:rFonts w:eastAsia="Times New Roman" w:cs="Times New Roman"/>
            <w:smallCaps w:val="0"/>
            <w:noProof/>
            <w:sz w:val="22"/>
            <w:szCs w:val="22"/>
            <w:lang w:eastAsia="fr-FR"/>
          </w:rPr>
          <w:tab/>
        </w:r>
        <w:r w:rsidRPr="00ED6DAE">
          <w:rPr>
            <w:rStyle w:val="Lienhypertexte"/>
            <w:noProof/>
          </w:rPr>
          <w:t>Conclusion de la consultation publique</w:t>
        </w:r>
        <w:r>
          <w:rPr>
            <w:noProof/>
            <w:webHidden/>
          </w:rPr>
          <w:tab/>
        </w:r>
        <w:r>
          <w:rPr>
            <w:noProof/>
            <w:webHidden/>
          </w:rPr>
          <w:fldChar w:fldCharType="begin"/>
        </w:r>
        <w:r>
          <w:rPr>
            <w:noProof/>
            <w:webHidden/>
          </w:rPr>
          <w:instrText xml:space="preserve"> PAGEREF _Toc127957713 \h </w:instrText>
        </w:r>
        <w:r>
          <w:rPr>
            <w:noProof/>
            <w:webHidden/>
          </w:rPr>
        </w:r>
        <w:r>
          <w:rPr>
            <w:noProof/>
            <w:webHidden/>
          </w:rPr>
          <w:fldChar w:fldCharType="separate"/>
        </w:r>
        <w:r w:rsidR="00B05C7F">
          <w:rPr>
            <w:noProof/>
            <w:webHidden/>
          </w:rPr>
          <w:t>209</w:t>
        </w:r>
        <w:r>
          <w:rPr>
            <w:noProof/>
            <w:webHidden/>
          </w:rPr>
          <w:fldChar w:fldCharType="end"/>
        </w:r>
      </w:hyperlink>
    </w:p>
    <w:p w14:paraId="14F967F0" w14:textId="77777777" w:rsidR="006C5F2A" w:rsidRPr="00FB04F6" w:rsidRDefault="006C5F2A">
      <w:pPr>
        <w:pStyle w:val="TM1"/>
        <w:tabs>
          <w:tab w:val="left" w:pos="660"/>
        </w:tabs>
        <w:rPr>
          <w:rFonts w:eastAsia="Times New Roman" w:cs="Times New Roman"/>
          <w:b w:val="0"/>
          <w:bCs w:val="0"/>
          <w:caps w:val="0"/>
          <w:noProof/>
          <w:sz w:val="22"/>
          <w:szCs w:val="22"/>
          <w:lang w:eastAsia="fr-FR"/>
        </w:rPr>
      </w:pPr>
      <w:hyperlink w:anchor="_Toc127957714" w:history="1">
        <w:r w:rsidRPr="00ED6DAE">
          <w:rPr>
            <w:rStyle w:val="Lienhypertexte"/>
            <w:noProof/>
          </w:rPr>
          <w:t>10.</w:t>
        </w:r>
        <w:r w:rsidRPr="00FB04F6">
          <w:rPr>
            <w:rFonts w:eastAsia="Times New Roman" w:cs="Times New Roman"/>
            <w:b w:val="0"/>
            <w:bCs w:val="0"/>
            <w:caps w:val="0"/>
            <w:noProof/>
            <w:sz w:val="22"/>
            <w:szCs w:val="22"/>
            <w:lang w:eastAsia="fr-FR"/>
          </w:rPr>
          <w:tab/>
        </w:r>
        <w:r w:rsidRPr="00ED6DAE">
          <w:rPr>
            <w:rStyle w:val="Lienhypertexte"/>
            <w:noProof/>
          </w:rPr>
          <w:t>Procédures et responsabilités de Gestion environnementale et sociale</w:t>
        </w:r>
        <w:r>
          <w:rPr>
            <w:noProof/>
            <w:webHidden/>
          </w:rPr>
          <w:tab/>
        </w:r>
        <w:r>
          <w:rPr>
            <w:noProof/>
            <w:webHidden/>
          </w:rPr>
          <w:fldChar w:fldCharType="begin"/>
        </w:r>
        <w:r>
          <w:rPr>
            <w:noProof/>
            <w:webHidden/>
          </w:rPr>
          <w:instrText xml:space="preserve"> PAGEREF _Toc127957714 \h </w:instrText>
        </w:r>
        <w:r>
          <w:rPr>
            <w:noProof/>
            <w:webHidden/>
          </w:rPr>
        </w:r>
        <w:r>
          <w:rPr>
            <w:noProof/>
            <w:webHidden/>
          </w:rPr>
          <w:fldChar w:fldCharType="separate"/>
        </w:r>
        <w:r w:rsidR="00B05C7F">
          <w:rPr>
            <w:noProof/>
            <w:webHidden/>
          </w:rPr>
          <w:t>211</w:t>
        </w:r>
        <w:r>
          <w:rPr>
            <w:noProof/>
            <w:webHidden/>
          </w:rPr>
          <w:fldChar w:fldCharType="end"/>
        </w:r>
      </w:hyperlink>
    </w:p>
    <w:p w14:paraId="3F1515D0" w14:textId="77777777" w:rsidR="006C5F2A" w:rsidRPr="00FB04F6" w:rsidRDefault="006C5F2A">
      <w:pPr>
        <w:pStyle w:val="TM2"/>
        <w:rPr>
          <w:rFonts w:eastAsia="Times New Roman" w:cs="Times New Roman"/>
          <w:smallCaps w:val="0"/>
          <w:noProof/>
          <w:sz w:val="22"/>
          <w:szCs w:val="22"/>
          <w:lang w:eastAsia="fr-FR"/>
        </w:rPr>
      </w:pPr>
      <w:hyperlink w:anchor="_Toc127957715" w:history="1">
        <w:r w:rsidRPr="00ED6DAE">
          <w:rPr>
            <w:rStyle w:val="Lienhypertexte"/>
            <w:noProof/>
          </w:rPr>
          <w:t>10.1.</w:t>
        </w:r>
        <w:r w:rsidRPr="00FB04F6">
          <w:rPr>
            <w:rFonts w:eastAsia="Times New Roman" w:cs="Times New Roman"/>
            <w:smallCaps w:val="0"/>
            <w:noProof/>
            <w:sz w:val="22"/>
            <w:szCs w:val="22"/>
            <w:lang w:eastAsia="fr-FR"/>
          </w:rPr>
          <w:tab/>
        </w:r>
        <w:r w:rsidRPr="00ED6DAE">
          <w:rPr>
            <w:rStyle w:val="Lienhypertexte"/>
            <w:noProof/>
          </w:rPr>
          <w:t>Procédure générale de mise en œuvre des activités</w:t>
        </w:r>
        <w:r>
          <w:rPr>
            <w:noProof/>
            <w:webHidden/>
          </w:rPr>
          <w:tab/>
        </w:r>
        <w:r>
          <w:rPr>
            <w:noProof/>
            <w:webHidden/>
          </w:rPr>
          <w:fldChar w:fldCharType="begin"/>
        </w:r>
        <w:r>
          <w:rPr>
            <w:noProof/>
            <w:webHidden/>
          </w:rPr>
          <w:instrText xml:space="preserve"> PAGEREF _Toc127957715 \h </w:instrText>
        </w:r>
        <w:r>
          <w:rPr>
            <w:noProof/>
            <w:webHidden/>
          </w:rPr>
        </w:r>
        <w:r>
          <w:rPr>
            <w:noProof/>
            <w:webHidden/>
          </w:rPr>
          <w:fldChar w:fldCharType="separate"/>
        </w:r>
        <w:r w:rsidR="00B05C7F">
          <w:rPr>
            <w:noProof/>
            <w:webHidden/>
          </w:rPr>
          <w:t>211</w:t>
        </w:r>
        <w:r>
          <w:rPr>
            <w:noProof/>
            <w:webHidden/>
          </w:rPr>
          <w:fldChar w:fldCharType="end"/>
        </w:r>
      </w:hyperlink>
    </w:p>
    <w:p w14:paraId="26F2AC2C" w14:textId="77777777" w:rsidR="006C5F2A" w:rsidRPr="00FB04F6" w:rsidRDefault="006C5F2A">
      <w:pPr>
        <w:pStyle w:val="TM2"/>
        <w:rPr>
          <w:rFonts w:eastAsia="Times New Roman" w:cs="Times New Roman"/>
          <w:smallCaps w:val="0"/>
          <w:noProof/>
          <w:sz w:val="22"/>
          <w:szCs w:val="22"/>
          <w:lang w:eastAsia="fr-FR"/>
        </w:rPr>
      </w:pPr>
      <w:hyperlink w:anchor="_Toc127957716" w:history="1">
        <w:r w:rsidRPr="00ED6DAE">
          <w:rPr>
            <w:rStyle w:val="Lienhypertexte"/>
            <w:noProof/>
          </w:rPr>
          <w:t>10.2.</w:t>
        </w:r>
        <w:r w:rsidRPr="00FB04F6">
          <w:rPr>
            <w:rFonts w:eastAsia="Times New Roman" w:cs="Times New Roman"/>
            <w:smallCaps w:val="0"/>
            <w:noProof/>
            <w:sz w:val="22"/>
            <w:szCs w:val="22"/>
            <w:lang w:eastAsia="fr-FR"/>
          </w:rPr>
          <w:tab/>
        </w:r>
        <w:r w:rsidRPr="00ED6DAE">
          <w:rPr>
            <w:rStyle w:val="Lienhypertexte"/>
            <w:noProof/>
          </w:rPr>
          <w:t>Processus d’é</w:t>
        </w:r>
        <w:r w:rsidRPr="00ED6DAE">
          <w:rPr>
            <w:rStyle w:val="Lienhypertexte"/>
            <w:noProof/>
          </w:rPr>
          <w:t>v</w:t>
        </w:r>
        <w:r w:rsidRPr="00ED6DAE">
          <w:rPr>
            <w:rStyle w:val="Lienhypertexte"/>
            <w:noProof/>
          </w:rPr>
          <w:t>aluation environnementale et sociale</w:t>
        </w:r>
        <w:r>
          <w:rPr>
            <w:noProof/>
            <w:webHidden/>
          </w:rPr>
          <w:tab/>
        </w:r>
        <w:r>
          <w:rPr>
            <w:noProof/>
            <w:webHidden/>
          </w:rPr>
          <w:fldChar w:fldCharType="begin"/>
        </w:r>
        <w:r>
          <w:rPr>
            <w:noProof/>
            <w:webHidden/>
          </w:rPr>
          <w:instrText xml:space="preserve"> PAGEREF _Toc127957716 \h </w:instrText>
        </w:r>
        <w:r>
          <w:rPr>
            <w:noProof/>
            <w:webHidden/>
          </w:rPr>
        </w:r>
        <w:r>
          <w:rPr>
            <w:noProof/>
            <w:webHidden/>
          </w:rPr>
          <w:fldChar w:fldCharType="separate"/>
        </w:r>
        <w:r w:rsidR="00B05C7F">
          <w:rPr>
            <w:noProof/>
            <w:webHidden/>
          </w:rPr>
          <w:t>211</w:t>
        </w:r>
        <w:r>
          <w:rPr>
            <w:noProof/>
            <w:webHidden/>
          </w:rPr>
          <w:fldChar w:fldCharType="end"/>
        </w:r>
      </w:hyperlink>
    </w:p>
    <w:p w14:paraId="46C3E522" w14:textId="77777777" w:rsidR="006C5F2A" w:rsidRPr="00FB04F6" w:rsidRDefault="006C5F2A">
      <w:pPr>
        <w:pStyle w:val="TM3"/>
        <w:rPr>
          <w:rFonts w:eastAsia="Times New Roman" w:cs="Times New Roman"/>
          <w:i w:val="0"/>
          <w:iCs w:val="0"/>
          <w:noProof/>
          <w:sz w:val="22"/>
          <w:szCs w:val="22"/>
          <w:lang w:eastAsia="fr-FR"/>
        </w:rPr>
      </w:pPr>
      <w:hyperlink w:anchor="_Toc127957717" w:history="1">
        <w:r w:rsidRPr="00ED6DAE">
          <w:rPr>
            <w:rStyle w:val="Lienhypertexte"/>
            <w:noProof/>
          </w:rPr>
          <w:t>10.2.1.</w:t>
        </w:r>
        <w:r w:rsidRPr="00FB04F6">
          <w:rPr>
            <w:rFonts w:eastAsia="Times New Roman" w:cs="Times New Roman"/>
            <w:i w:val="0"/>
            <w:iCs w:val="0"/>
            <w:noProof/>
            <w:sz w:val="22"/>
            <w:szCs w:val="22"/>
            <w:lang w:eastAsia="fr-FR"/>
          </w:rPr>
          <w:tab/>
        </w:r>
        <w:r w:rsidRPr="00ED6DAE">
          <w:rPr>
            <w:rStyle w:val="Lienhypertexte"/>
            <w:noProof/>
          </w:rPr>
          <w:t>Etape 1. Screening environnemental et social</w:t>
        </w:r>
        <w:r>
          <w:rPr>
            <w:noProof/>
            <w:webHidden/>
          </w:rPr>
          <w:tab/>
        </w:r>
        <w:r>
          <w:rPr>
            <w:noProof/>
            <w:webHidden/>
          </w:rPr>
          <w:fldChar w:fldCharType="begin"/>
        </w:r>
        <w:r>
          <w:rPr>
            <w:noProof/>
            <w:webHidden/>
          </w:rPr>
          <w:instrText xml:space="preserve"> PAGEREF _Toc127957717 \h </w:instrText>
        </w:r>
        <w:r>
          <w:rPr>
            <w:noProof/>
            <w:webHidden/>
          </w:rPr>
        </w:r>
        <w:r>
          <w:rPr>
            <w:noProof/>
            <w:webHidden/>
          </w:rPr>
          <w:fldChar w:fldCharType="separate"/>
        </w:r>
        <w:r w:rsidR="00B05C7F">
          <w:rPr>
            <w:noProof/>
            <w:webHidden/>
          </w:rPr>
          <w:t>211</w:t>
        </w:r>
        <w:r>
          <w:rPr>
            <w:noProof/>
            <w:webHidden/>
          </w:rPr>
          <w:fldChar w:fldCharType="end"/>
        </w:r>
      </w:hyperlink>
    </w:p>
    <w:p w14:paraId="643A1853" w14:textId="77777777" w:rsidR="006C5F2A" w:rsidRPr="00FB04F6" w:rsidRDefault="006C5F2A">
      <w:pPr>
        <w:pStyle w:val="TM3"/>
        <w:rPr>
          <w:rFonts w:eastAsia="Times New Roman" w:cs="Times New Roman"/>
          <w:i w:val="0"/>
          <w:iCs w:val="0"/>
          <w:noProof/>
          <w:sz w:val="22"/>
          <w:szCs w:val="22"/>
          <w:lang w:eastAsia="fr-FR"/>
        </w:rPr>
      </w:pPr>
      <w:hyperlink w:anchor="_Toc127957718" w:history="1">
        <w:r w:rsidRPr="00ED6DAE">
          <w:rPr>
            <w:rStyle w:val="Lienhypertexte"/>
            <w:noProof/>
          </w:rPr>
          <w:t>10.2.2.</w:t>
        </w:r>
        <w:r w:rsidRPr="00FB04F6">
          <w:rPr>
            <w:rFonts w:eastAsia="Times New Roman" w:cs="Times New Roman"/>
            <w:i w:val="0"/>
            <w:iCs w:val="0"/>
            <w:noProof/>
            <w:sz w:val="22"/>
            <w:szCs w:val="22"/>
            <w:lang w:eastAsia="fr-FR"/>
          </w:rPr>
          <w:tab/>
        </w:r>
        <w:r w:rsidRPr="00ED6DAE">
          <w:rPr>
            <w:rStyle w:val="Lienhypertexte"/>
            <w:noProof/>
          </w:rPr>
          <w:t>Notes sur la catégorisation des sous projets</w:t>
        </w:r>
        <w:r>
          <w:rPr>
            <w:noProof/>
            <w:webHidden/>
          </w:rPr>
          <w:tab/>
        </w:r>
        <w:r>
          <w:rPr>
            <w:noProof/>
            <w:webHidden/>
          </w:rPr>
          <w:fldChar w:fldCharType="begin"/>
        </w:r>
        <w:r>
          <w:rPr>
            <w:noProof/>
            <w:webHidden/>
          </w:rPr>
          <w:instrText xml:space="preserve"> PAGEREF _Toc127957718 \h </w:instrText>
        </w:r>
        <w:r>
          <w:rPr>
            <w:noProof/>
            <w:webHidden/>
          </w:rPr>
        </w:r>
        <w:r>
          <w:rPr>
            <w:noProof/>
            <w:webHidden/>
          </w:rPr>
          <w:fldChar w:fldCharType="separate"/>
        </w:r>
        <w:r w:rsidR="00B05C7F">
          <w:rPr>
            <w:noProof/>
            <w:webHidden/>
          </w:rPr>
          <w:t>212</w:t>
        </w:r>
        <w:r>
          <w:rPr>
            <w:noProof/>
            <w:webHidden/>
          </w:rPr>
          <w:fldChar w:fldCharType="end"/>
        </w:r>
      </w:hyperlink>
    </w:p>
    <w:p w14:paraId="23C4133A" w14:textId="77777777" w:rsidR="006C5F2A" w:rsidRPr="00FB04F6" w:rsidRDefault="006C5F2A">
      <w:pPr>
        <w:pStyle w:val="TM3"/>
        <w:rPr>
          <w:rFonts w:eastAsia="Times New Roman" w:cs="Times New Roman"/>
          <w:i w:val="0"/>
          <w:iCs w:val="0"/>
          <w:noProof/>
          <w:sz w:val="22"/>
          <w:szCs w:val="22"/>
          <w:lang w:eastAsia="fr-FR"/>
        </w:rPr>
      </w:pPr>
      <w:hyperlink w:anchor="_Toc127957719" w:history="1">
        <w:r w:rsidRPr="00ED6DAE">
          <w:rPr>
            <w:rStyle w:val="Lienhypertexte"/>
            <w:noProof/>
          </w:rPr>
          <w:t>10.2.3.</w:t>
        </w:r>
        <w:r w:rsidRPr="00FB04F6">
          <w:rPr>
            <w:rFonts w:eastAsia="Times New Roman" w:cs="Times New Roman"/>
            <w:i w:val="0"/>
            <w:iCs w:val="0"/>
            <w:noProof/>
            <w:sz w:val="22"/>
            <w:szCs w:val="22"/>
            <w:lang w:eastAsia="fr-FR"/>
          </w:rPr>
          <w:tab/>
        </w:r>
        <w:r w:rsidRPr="00ED6DAE">
          <w:rPr>
            <w:rStyle w:val="Lienhypertexte"/>
            <w:noProof/>
          </w:rPr>
          <w:t>Etape 2 : Réalisation de l’étude environnementale et sociale</w:t>
        </w:r>
        <w:r>
          <w:rPr>
            <w:noProof/>
            <w:webHidden/>
          </w:rPr>
          <w:tab/>
        </w:r>
        <w:r>
          <w:rPr>
            <w:noProof/>
            <w:webHidden/>
          </w:rPr>
          <w:fldChar w:fldCharType="begin"/>
        </w:r>
        <w:r>
          <w:rPr>
            <w:noProof/>
            <w:webHidden/>
          </w:rPr>
          <w:instrText xml:space="preserve"> PAGEREF _Toc127957719 \h </w:instrText>
        </w:r>
        <w:r>
          <w:rPr>
            <w:noProof/>
            <w:webHidden/>
          </w:rPr>
        </w:r>
        <w:r>
          <w:rPr>
            <w:noProof/>
            <w:webHidden/>
          </w:rPr>
          <w:fldChar w:fldCharType="separate"/>
        </w:r>
        <w:r w:rsidR="00B05C7F">
          <w:rPr>
            <w:noProof/>
            <w:webHidden/>
          </w:rPr>
          <w:t>213</w:t>
        </w:r>
        <w:r>
          <w:rPr>
            <w:noProof/>
            <w:webHidden/>
          </w:rPr>
          <w:fldChar w:fldCharType="end"/>
        </w:r>
      </w:hyperlink>
    </w:p>
    <w:p w14:paraId="34226134" w14:textId="77777777" w:rsidR="006C5F2A" w:rsidRPr="00FB04F6" w:rsidRDefault="006C5F2A">
      <w:pPr>
        <w:pStyle w:val="TM3"/>
        <w:rPr>
          <w:rFonts w:eastAsia="Times New Roman" w:cs="Times New Roman"/>
          <w:i w:val="0"/>
          <w:iCs w:val="0"/>
          <w:noProof/>
          <w:sz w:val="22"/>
          <w:szCs w:val="22"/>
          <w:lang w:eastAsia="fr-FR"/>
        </w:rPr>
      </w:pPr>
      <w:hyperlink w:anchor="_Toc127957720" w:history="1">
        <w:r w:rsidRPr="00ED6DAE">
          <w:rPr>
            <w:rStyle w:val="Lienhypertexte"/>
            <w:noProof/>
          </w:rPr>
          <w:t>10.2.4.</w:t>
        </w:r>
        <w:r w:rsidRPr="00FB04F6">
          <w:rPr>
            <w:rFonts w:eastAsia="Times New Roman" w:cs="Times New Roman"/>
            <w:i w:val="0"/>
            <w:iCs w:val="0"/>
            <w:noProof/>
            <w:sz w:val="22"/>
            <w:szCs w:val="22"/>
            <w:lang w:eastAsia="fr-FR"/>
          </w:rPr>
          <w:tab/>
        </w:r>
        <w:r w:rsidRPr="00ED6DAE">
          <w:rPr>
            <w:rStyle w:val="Lienhypertexte"/>
            <w:noProof/>
          </w:rPr>
          <w:t>Etape 3 : Examen et évaluation des rapports</w:t>
        </w:r>
        <w:r>
          <w:rPr>
            <w:noProof/>
            <w:webHidden/>
          </w:rPr>
          <w:tab/>
        </w:r>
        <w:r>
          <w:rPr>
            <w:noProof/>
            <w:webHidden/>
          </w:rPr>
          <w:fldChar w:fldCharType="begin"/>
        </w:r>
        <w:r>
          <w:rPr>
            <w:noProof/>
            <w:webHidden/>
          </w:rPr>
          <w:instrText xml:space="preserve"> PAGEREF _Toc127957720 \h </w:instrText>
        </w:r>
        <w:r>
          <w:rPr>
            <w:noProof/>
            <w:webHidden/>
          </w:rPr>
        </w:r>
        <w:r>
          <w:rPr>
            <w:noProof/>
            <w:webHidden/>
          </w:rPr>
          <w:fldChar w:fldCharType="separate"/>
        </w:r>
        <w:r w:rsidR="00B05C7F">
          <w:rPr>
            <w:noProof/>
            <w:webHidden/>
          </w:rPr>
          <w:t>214</w:t>
        </w:r>
        <w:r>
          <w:rPr>
            <w:noProof/>
            <w:webHidden/>
          </w:rPr>
          <w:fldChar w:fldCharType="end"/>
        </w:r>
      </w:hyperlink>
    </w:p>
    <w:p w14:paraId="25F7C628" w14:textId="77777777" w:rsidR="006C5F2A" w:rsidRPr="00FB04F6" w:rsidRDefault="006C5F2A">
      <w:pPr>
        <w:pStyle w:val="TM3"/>
        <w:rPr>
          <w:rFonts w:eastAsia="Times New Roman" w:cs="Times New Roman"/>
          <w:i w:val="0"/>
          <w:iCs w:val="0"/>
          <w:noProof/>
          <w:sz w:val="22"/>
          <w:szCs w:val="22"/>
          <w:lang w:eastAsia="fr-FR"/>
        </w:rPr>
      </w:pPr>
      <w:hyperlink w:anchor="_Toc127957721" w:history="1">
        <w:r w:rsidRPr="00ED6DAE">
          <w:rPr>
            <w:rStyle w:val="Lienhypertexte"/>
            <w:noProof/>
          </w:rPr>
          <w:t>10.2.5.</w:t>
        </w:r>
        <w:r w:rsidRPr="00FB04F6">
          <w:rPr>
            <w:rFonts w:eastAsia="Times New Roman" w:cs="Times New Roman"/>
            <w:i w:val="0"/>
            <w:iCs w:val="0"/>
            <w:noProof/>
            <w:sz w:val="22"/>
            <w:szCs w:val="22"/>
            <w:lang w:eastAsia="fr-FR"/>
          </w:rPr>
          <w:tab/>
        </w:r>
        <w:r w:rsidRPr="00ED6DAE">
          <w:rPr>
            <w:rStyle w:val="Lienhypertexte"/>
            <w:noProof/>
          </w:rPr>
          <w:t>Etape 4 : Consultation et diffusion des instruments de gestion E&amp;S du sous-projet</w:t>
        </w:r>
        <w:r>
          <w:rPr>
            <w:noProof/>
            <w:webHidden/>
          </w:rPr>
          <w:tab/>
        </w:r>
        <w:r>
          <w:rPr>
            <w:noProof/>
            <w:webHidden/>
          </w:rPr>
          <w:fldChar w:fldCharType="begin"/>
        </w:r>
        <w:r>
          <w:rPr>
            <w:noProof/>
            <w:webHidden/>
          </w:rPr>
          <w:instrText xml:space="preserve"> PAGEREF _Toc127957721 \h </w:instrText>
        </w:r>
        <w:r>
          <w:rPr>
            <w:noProof/>
            <w:webHidden/>
          </w:rPr>
        </w:r>
        <w:r>
          <w:rPr>
            <w:noProof/>
            <w:webHidden/>
          </w:rPr>
          <w:fldChar w:fldCharType="separate"/>
        </w:r>
        <w:r w:rsidR="00B05C7F">
          <w:rPr>
            <w:noProof/>
            <w:webHidden/>
          </w:rPr>
          <w:t>214</w:t>
        </w:r>
        <w:r>
          <w:rPr>
            <w:noProof/>
            <w:webHidden/>
          </w:rPr>
          <w:fldChar w:fldCharType="end"/>
        </w:r>
      </w:hyperlink>
    </w:p>
    <w:p w14:paraId="2D79C433" w14:textId="77777777" w:rsidR="006C5F2A" w:rsidRPr="00FB04F6" w:rsidRDefault="006C5F2A">
      <w:pPr>
        <w:pStyle w:val="TM3"/>
        <w:rPr>
          <w:rFonts w:eastAsia="Times New Roman" w:cs="Times New Roman"/>
          <w:i w:val="0"/>
          <w:iCs w:val="0"/>
          <w:noProof/>
          <w:sz w:val="22"/>
          <w:szCs w:val="22"/>
          <w:lang w:eastAsia="fr-FR"/>
        </w:rPr>
      </w:pPr>
      <w:hyperlink w:anchor="_Toc127957722" w:history="1">
        <w:r w:rsidRPr="00ED6DAE">
          <w:rPr>
            <w:rStyle w:val="Lienhypertexte"/>
            <w:noProof/>
          </w:rPr>
          <w:t>10.2.6.</w:t>
        </w:r>
        <w:r w:rsidRPr="00FB04F6">
          <w:rPr>
            <w:rFonts w:eastAsia="Times New Roman" w:cs="Times New Roman"/>
            <w:i w:val="0"/>
            <w:iCs w:val="0"/>
            <w:noProof/>
            <w:sz w:val="22"/>
            <w:szCs w:val="22"/>
            <w:lang w:eastAsia="fr-FR"/>
          </w:rPr>
          <w:tab/>
        </w:r>
        <w:r w:rsidRPr="00ED6DAE">
          <w:rPr>
            <w:rStyle w:val="Lienhypertexte"/>
            <w:noProof/>
          </w:rPr>
          <w:t>Etape 5 : Intégration des clauses environnementales et sociales dans les dossiers d’appel d’offres et d’exécution des travaux</w:t>
        </w:r>
        <w:r>
          <w:rPr>
            <w:noProof/>
            <w:webHidden/>
          </w:rPr>
          <w:tab/>
        </w:r>
        <w:r>
          <w:rPr>
            <w:noProof/>
            <w:webHidden/>
          </w:rPr>
          <w:fldChar w:fldCharType="begin"/>
        </w:r>
        <w:r>
          <w:rPr>
            <w:noProof/>
            <w:webHidden/>
          </w:rPr>
          <w:instrText xml:space="preserve"> PAGEREF _Toc127957722 \h </w:instrText>
        </w:r>
        <w:r>
          <w:rPr>
            <w:noProof/>
            <w:webHidden/>
          </w:rPr>
        </w:r>
        <w:r>
          <w:rPr>
            <w:noProof/>
            <w:webHidden/>
          </w:rPr>
          <w:fldChar w:fldCharType="separate"/>
        </w:r>
        <w:r w:rsidR="00B05C7F">
          <w:rPr>
            <w:noProof/>
            <w:webHidden/>
          </w:rPr>
          <w:t>214</w:t>
        </w:r>
        <w:r>
          <w:rPr>
            <w:noProof/>
            <w:webHidden/>
          </w:rPr>
          <w:fldChar w:fldCharType="end"/>
        </w:r>
      </w:hyperlink>
    </w:p>
    <w:p w14:paraId="33689FEF" w14:textId="77777777" w:rsidR="006C5F2A" w:rsidRPr="00FB04F6" w:rsidRDefault="006C5F2A">
      <w:pPr>
        <w:pStyle w:val="TM3"/>
        <w:rPr>
          <w:rFonts w:eastAsia="Times New Roman" w:cs="Times New Roman"/>
          <w:i w:val="0"/>
          <w:iCs w:val="0"/>
          <w:noProof/>
          <w:sz w:val="22"/>
          <w:szCs w:val="22"/>
          <w:lang w:eastAsia="fr-FR"/>
        </w:rPr>
      </w:pPr>
      <w:hyperlink w:anchor="_Toc127957723" w:history="1">
        <w:r w:rsidRPr="00ED6DAE">
          <w:rPr>
            <w:rStyle w:val="Lienhypertexte"/>
            <w:noProof/>
          </w:rPr>
          <w:t>10.2.7.</w:t>
        </w:r>
        <w:r w:rsidRPr="00FB04F6">
          <w:rPr>
            <w:rFonts w:eastAsia="Times New Roman" w:cs="Times New Roman"/>
            <w:i w:val="0"/>
            <w:iCs w:val="0"/>
            <w:noProof/>
            <w:sz w:val="22"/>
            <w:szCs w:val="22"/>
            <w:lang w:eastAsia="fr-FR"/>
          </w:rPr>
          <w:tab/>
        </w:r>
        <w:r w:rsidRPr="00ED6DAE">
          <w:rPr>
            <w:rStyle w:val="Lienhypertexte"/>
            <w:noProof/>
          </w:rPr>
          <w:t>Etape 6 : Surveillance et Suivi environnemental et social</w:t>
        </w:r>
        <w:r>
          <w:rPr>
            <w:noProof/>
            <w:webHidden/>
          </w:rPr>
          <w:tab/>
        </w:r>
        <w:r>
          <w:rPr>
            <w:noProof/>
            <w:webHidden/>
          </w:rPr>
          <w:fldChar w:fldCharType="begin"/>
        </w:r>
        <w:r>
          <w:rPr>
            <w:noProof/>
            <w:webHidden/>
          </w:rPr>
          <w:instrText xml:space="preserve"> PAGEREF _Toc127957723 \h </w:instrText>
        </w:r>
        <w:r>
          <w:rPr>
            <w:noProof/>
            <w:webHidden/>
          </w:rPr>
        </w:r>
        <w:r>
          <w:rPr>
            <w:noProof/>
            <w:webHidden/>
          </w:rPr>
          <w:fldChar w:fldCharType="separate"/>
        </w:r>
        <w:r w:rsidR="00B05C7F">
          <w:rPr>
            <w:noProof/>
            <w:webHidden/>
          </w:rPr>
          <w:t>215</w:t>
        </w:r>
        <w:r>
          <w:rPr>
            <w:noProof/>
            <w:webHidden/>
          </w:rPr>
          <w:fldChar w:fldCharType="end"/>
        </w:r>
      </w:hyperlink>
    </w:p>
    <w:p w14:paraId="4FCC71A2" w14:textId="77777777" w:rsidR="006C5F2A" w:rsidRPr="00FB04F6" w:rsidRDefault="006C5F2A">
      <w:pPr>
        <w:pStyle w:val="TM2"/>
        <w:rPr>
          <w:rFonts w:eastAsia="Times New Roman" w:cs="Times New Roman"/>
          <w:smallCaps w:val="0"/>
          <w:noProof/>
          <w:sz w:val="22"/>
          <w:szCs w:val="22"/>
          <w:lang w:eastAsia="fr-FR"/>
        </w:rPr>
      </w:pPr>
      <w:hyperlink w:anchor="_Toc127957724" w:history="1">
        <w:r w:rsidRPr="00ED6DAE">
          <w:rPr>
            <w:rStyle w:val="Lienhypertexte"/>
            <w:noProof/>
          </w:rPr>
          <w:t>10.3.</w:t>
        </w:r>
        <w:r w:rsidRPr="00FB04F6">
          <w:rPr>
            <w:rFonts w:eastAsia="Times New Roman" w:cs="Times New Roman"/>
            <w:smallCaps w:val="0"/>
            <w:noProof/>
            <w:sz w:val="22"/>
            <w:szCs w:val="22"/>
            <w:lang w:eastAsia="fr-FR"/>
          </w:rPr>
          <w:tab/>
        </w:r>
        <w:r w:rsidRPr="00ED6DAE">
          <w:rPr>
            <w:rStyle w:val="Lienhypertexte"/>
            <w:noProof/>
          </w:rPr>
          <w:t>RESPONSABILITES DES ACTEURS DANS LE PROCESSUS</w:t>
        </w:r>
        <w:r>
          <w:rPr>
            <w:noProof/>
            <w:webHidden/>
          </w:rPr>
          <w:tab/>
        </w:r>
        <w:r>
          <w:rPr>
            <w:noProof/>
            <w:webHidden/>
          </w:rPr>
          <w:fldChar w:fldCharType="begin"/>
        </w:r>
        <w:r>
          <w:rPr>
            <w:noProof/>
            <w:webHidden/>
          </w:rPr>
          <w:instrText xml:space="preserve"> PAGEREF _Toc127957724 \h </w:instrText>
        </w:r>
        <w:r>
          <w:rPr>
            <w:noProof/>
            <w:webHidden/>
          </w:rPr>
        </w:r>
        <w:r>
          <w:rPr>
            <w:noProof/>
            <w:webHidden/>
          </w:rPr>
          <w:fldChar w:fldCharType="separate"/>
        </w:r>
        <w:r w:rsidR="00B05C7F">
          <w:rPr>
            <w:noProof/>
            <w:webHidden/>
          </w:rPr>
          <w:t>215</w:t>
        </w:r>
        <w:r>
          <w:rPr>
            <w:noProof/>
            <w:webHidden/>
          </w:rPr>
          <w:fldChar w:fldCharType="end"/>
        </w:r>
      </w:hyperlink>
    </w:p>
    <w:p w14:paraId="71303D93" w14:textId="77777777" w:rsidR="006C5F2A" w:rsidRPr="00FB04F6" w:rsidRDefault="006C5F2A">
      <w:pPr>
        <w:pStyle w:val="TM2"/>
        <w:rPr>
          <w:rFonts w:eastAsia="Times New Roman" w:cs="Times New Roman"/>
          <w:smallCaps w:val="0"/>
          <w:noProof/>
          <w:sz w:val="22"/>
          <w:szCs w:val="22"/>
          <w:lang w:eastAsia="fr-FR"/>
        </w:rPr>
      </w:pPr>
      <w:hyperlink w:anchor="_Toc127957725" w:history="1">
        <w:r w:rsidRPr="00ED6DAE">
          <w:rPr>
            <w:rStyle w:val="Lienhypertexte"/>
            <w:noProof/>
          </w:rPr>
          <w:t>10.4.</w:t>
        </w:r>
        <w:r w:rsidRPr="00FB04F6">
          <w:rPr>
            <w:rFonts w:eastAsia="Times New Roman" w:cs="Times New Roman"/>
            <w:smallCaps w:val="0"/>
            <w:noProof/>
            <w:sz w:val="22"/>
            <w:szCs w:val="22"/>
            <w:lang w:eastAsia="fr-FR"/>
          </w:rPr>
          <w:tab/>
        </w:r>
        <w:r w:rsidRPr="00ED6DAE">
          <w:rPr>
            <w:rStyle w:val="Lienhypertexte"/>
            <w:noProof/>
          </w:rPr>
          <w:t>Arrangements institutionnels pour la mise en œuvre et suivi du CGES</w:t>
        </w:r>
        <w:r>
          <w:rPr>
            <w:noProof/>
            <w:webHidden/>
          </w:rPr>
          <w:tab/>
        </w:r>
        <w:r>
          <w:rPr>
            <w:noProof/>
            <w:webHidden/>
          </w:rPr>
          <w:fldChar w:fldCharType="begin"/>
        </w:r>
        <w:r>
          <w:rPr>
            <w:noProof/>
            <w:webHidden/>
          </w:rPr>
          <w:instrText xml:space="preserve"> PAGEREF _Toc127957725 \h </w:instrText>
        </w:r>
        <w:r>
          <w:rPr>
            <w:noProof/>
            <w:webHidden/>
          </w:rPr>
        </w:r>
        <w:r>
          <w:rPr>
            <w:noProof/>
            <w:webHidden/>
          </w:rPr>
          <w:fldChar w:fldCharType="separate"/>
        </w:r>
        <w:r w:rsidR="00B05C7F">
          <w:rPr>
            <w:noProof/>
            <w:webHidden/>
          </w:rPr>
          <w:t>217</w:t>
        </w:r>
        <w:r>
          <w:rPr>
            <w:noProof/>
            <w:webHidden/>
          </w:rPr>
          <w:fldChar w:fldCharType="end"/>
        </w:r>
      </w:hyperlink>
    </w:p>
    <w:p w14:paraId="62B7158E" w14:textId="77777777" w:rsidR="006C5F2A" w:rsidRPr="00FB04F6" w:rsidRDefault="006C5F2A">
      <w:pPr>
        <w:pStyle w:val="TM3"/>
        <w:rPr>
          <w:rFonts w:eastAsia="Times New Roman" w:cs="Times New Roman"/>
          <w:i w:val="0"/>
          <w:iCs w:val="0"/>
          <w:noProof/>
          <w:sz w:val="22"/>
          <w:szCs w:val="22"/>
          <w:lang w:eastAsia="fr-FR"/>
        </w:rPr>
      </w:pPr>
      <w:hyperlink w:anchor="_Toc127957726" w:history="1">
        <w:r w:rsidRPr="00ED6DAE">
          <w:rPr>
            <w:rStyle w:val="Lienhypertexte"/>
            <w:noProof/>
          </w:rPr>
          <w:t>10.4.1.</w:t>
        </w:r>
        <w:r w:rsidRPr="00FB04F6">
          <w:rPr>
            <w:rFonts w:eastAsia="Times New Roman" w:cs="Times New Roman"/>
            <w:i w:val="0"/>
            <w:iCs w:val="0"/>
            <w:noProof/>
            <w:sz w:val="22"/>
            <w:szCs w:val="22"/>
            <w:lang w:eastAsia="fr-FR"/>
          </w:rPr>
          <w:tab/>
        </w:r>
        <w:r w:rsidRPr="00ED6DAE">
          <w:rPr>
            <w:rStyle w:val="Lienhypertexte"/>
            <w:noProof/>
          </w:rPr>
          <w:t>Comité technique</w:t>
        </w:r>
        <w:r>
          <w:rPr>
            <w:noProof/>
            <w:webHidden/>
          </w:rPr>
          <w:tab/>
        </w:r>
        <w:r>
          <w:rPr>
            <w:noProof/>
            <w:webHidden/>
          </w:rPr>
          <w:fldChar w:fldCharType="begin"/>
        </w:r>
        <w:r>
          <w:rPr>
            <w:noProof/>
            <w:webHidden/>
          </w:rPr>
          <w:instrText xml:space="preserve"> PAGEREF _Toc127957726 \h </w:instrText>
        </w:r>
        <w:r>
          <w:rPr>
            <w:noProof/>
            <w:webHidden/>
          </w:rPr>
        </w:r>
        <w:r>
          <w:rPr>
            <w:noProof/>
            <w:webHidden/>
          </w:rPr>
          <w:fldChar w:fldCharType="separate"/>
        </w:r>
        <w:r w:rsidR="00B05C7F">
          <w:rPr>
            <w:noProof/>
            <w:webHidden/>
          </w:rPr>
          <w:t>218</w:t>
        </w:r>
        <w:r>
          <w:rPr>
            <w:noProof/>
            <w:webHidden/>
          </w:rPr>
          <w:fldChar w:fldCharType="end"/>
        </w:r>
      </w:hyperlink>
    </w:p>
    <w:p w14:paraId="24C2CAD2" w14:textId="77777777" w:rsidR="006C5F2A" w:rsidRPr="00FB04F6" w:rsidRDefault="006C5F2A">
      <w:pPr>
        <w:pStyle w:val="TM3"/>
        <w:rPr>
          <w:rFonts w:eastAsia="Times New Roman" w:cs="Times New Roman"/>
          <w:i w:val="0"/>
          <w:iCs w:val="0"/>
          <w:noProof/>
          <w:sz w:val="22"/>
          <w:szCs w:val="22"/>
          <w:lang w:eastAsia="fr-FR"/>
        </w:rPr>
      </w:pPr>
      <w:hyperlink w:anchor="_Toc127957727" w:history="1">
        <w:r w:rsidRPr="00ED6DAE">
          <w:rPr>
            <w:rStyle w:val="Lienhypertexte"/>
            <w:noProof/>
          </w:rPr>
          <w:t>10.4.2.</w:t>
        </w:r>
        <w:r w:rsidRPr="00FB04F6">
          <w:rPr>
            <w:rFonts w:eastAsia="Times New Roman" w:cs="Times New Roman"/>
            <w:i w:val="0"/>
            <w:iCs w:val="0"/>
            <w:noProof/>
            <w:sz w:val="22"/>
            <w:szCs w:val="22"/>
            <w:lang w:eastAsia="fr-FR"/>
          </w:rPr>
          <w:tab/>
        </w:r>
        <w:r w:rsidRPr="00ED6DAE">
          <w:rPr>
            <w:rStyle w:val="Lienhypertexte"/>
            <w:noProof/>
          </w:rPr>
          <w:t>Maître d’ouvrage</w:t>
        </w:r>
        <w:r>
          <w:rPr>
            <w:noProof/>
            <w:webHidden/>
          </w:rPr>
          <w:tab/>
        </w:r>
        <w:r>
          <w:rPr>
            <w:noProof/>
            <w:webHidden/>
          </w:rPr>
          <w:fldChar w:fldCharType="begin"/>
        </w:r>
        <w:r>
          <w:rPr>
            <w:noProof/>
            <w:webHidden/>
          </w:rPr>
          <w:instrText xml:space="preserve"> PAGEREF _Toc127957727 \h </w:instrText>
        </w:r>
        <w:r>
          <w:rPr>
            <w:noProof/>
            <w:webHidden/>
          </w:rPr>
        </w:r>
        <w:r>
          <w:rPr>
            <w:noProof/>
            <w:webHidden/>
          </w:rPr>
          <w:fldChar w:fldCharType="separate"/>
        </w:r>
        <w:r w:rsidR="00B05C7F">
          <w:rPr>
            <w:noProof/>
            <w:webHidden/>
          </w:rPr>
          <w:t>218</w:t>
        </w:r>
        <w:r>
          <w:rPr>
            <w:noProof/>
            <w:webHidden/>
          </w:rPr>
          <w:fldChar w:fldCharType="end"/>
        </w:r>
      </w:hyperlink>
    </w:p>
    <w:p w14:paraId="5FEB92C9" w14:textId="77777777" w:rsidR="006C5F2A" w:rsidRPr="00FB04F6" w:rsidRDefault="006C5F2A">
      <w:pPr>
        <w:pStyle w:val="TM3"/>
        <w:rPr>
          <w:rFonts w:eastAsia="Times New Roman" w:cs="Times New Roman"/>
          <w:i w:val="0"/>
          <w:iCs w:val="0"/>
          <w:noProof/>
          <w:sz w:val="22"/>
          <w:szCs w:val="22"/>
          <w:lang w:eastAsia="fr-FR"/>
        </w:rPr>
      </w:pPr>
      <w:hyperlink w:anchor="_Toc127957728" w:history="1">
        <w:r w:rsidRPr="00ED6DAE">
          <w:rPr>
            <w:rStyle w:val="Lienhypertexte"/>
            <w:noProof/>
          </w:rPr>
          <w:t>10.4.3.</w:t>
        </w:r>
        <w:r w:rsidRPr="00FB04F6">
          <w:rPr>
            <w:rFonts w:eastAsia="Times New Roman" w:cs="Times New Roman"/>
            <w:i w:val="0"/>
            <w:iCs w:val="0"/>
            <w:noProof/>
            <w:sz w:val="22"/>
            <w:szCs w:val="22"/>
            <w:lang w:eastAsia="fr-FR"/>
          </w:rPr>
          <w:tab/>
        </w:r>
        <w:r w:rsidRPr="00ED6DAE">
          <w:rPr>
            <w:rStyle w:val="Lienhypertexte"/>
            <w:noProof/>
          </w:rPr>
          <w:t>Maîtrise d’ouvrage déléguée</w:t>
        </w:r>
        <w:r>
          <w:rPr>
            <w:noProof/>
            <w:webHidden/>
          </w:rPr>
          <w:tab/>
        </w:r>
        <w:r>
          <w:rPr>
            <w:noProof/>
            <w:webHidden/>
          </w:rPr>
          <w:fldChar w:fldCharType="begin"/>
        </w:r>
        <w:r>
          <w:rPr>
            <w:noProof/>
            <w:webHidden/>
          </w:rPr>
          <w:instrText xml:space="preserve"> PAGEREF _Toc127957728 \h </w:instrText>
        </w:r>
        <w:r>
          <w:rPr>
            <w:noProof/>
            <w:webHidden/>
          </w:rPr>
        </w:r>
        <w:r>
          <w:rPr>
            <w:noProof/>
            <w:webHidden/>
          </w:rPr>
          <w:fldChar w:fldCharType="separate"/>
        </w:r>
        <w:r w:rsidR="00B05C7F">
          <w:rPr>
            <w:noProof/>
            <w:webHidden/>
          </w:rPr>
          <w:t>218</w:t>
        </w:r>
        <w:r>
          <w:rPr>
            <w:noProof/>
            <w:webHidden/>
          </w:rPr>
          <w:fldChar w:fldCharType="end"/>
        </w:r>
      </w:hyperlink>
    </w:p>
    <w:p w14:paraId="6B6B0135" w14:textId="77777777" w:rsidR="006C5F2A" w:rsidRPr="00FB04F6" w:rsidRDefault="006C5F2A">
      <w:pPr>
        <w:pStyle w:val="TM3"/>
        <w:rPr>
          <w:rFonts w:eastAsia="Times New Roman" w:cs="Times New Roman"/>
          <w:i w:val="0"/>
          <w:iCs w:val="0"/>
          <w:noProof/>
          <w:sz w:val="22"/>
          <w:szCs w:val="22"/>
          <w:lang w:eastAsia="fr-FR"/>
        </w:rPr>
      </w:pPr>
      <w:hyperlink w:anchor="_Toc127957729" w:history="1">
        <w:r w:rsidRPr="00ED6DAE">
          <w:rPr>
            <w:rStyle w:val="Lienhypertexte"/>
            <w:noProof/>
          </w:rPr>
          <w:t>10.4.4.</w:t>
        </w:r>
        <w:r w:rsidRPr="00FB04F6">
          <w:rPr>
            <w:rFonts w:eastAsia="Times New Roman" w:cs="Times New Roman"/>
            <w:i w:val="0"/>
            <w:iCs w:val="0"/>
            <w:noProof/>
            <w:sz w:val="22"/>
            <w:szCs w:val="22"/>
            <w:lang w:eastAsia="fr-FR"/>
          </w:rPr>
          <w:tab/>
        </w:r>
        <w:r w:rsidRPr="00ED6DAE">
          <w:rPr>
            <w:rStyle w:val="Lienhypertexte"/>
            <w:noProof/>
          </w:rPr>
          <w:t>Unité de Coordination du Projet</w:t>
        </w:r>
        <w:r>
          <w:rPr>
            <w:noProof/>
            <w:webHidden/>
          </w:rPr>
          <w:tab/>
        </w:r>
        <w:r>
          <w:rPr>
            <w:noProof/>
            <w:webHidden/>
          </w:rPr>
          <w:fldChar w:fldCharType="begin"/>
        </w:r>
        <w:r>
          <w:rPr>
            <w:noProof/>
            <w:webHidden/>
          </w:rPr>
          <w:instrText xml:space="preserve"> PAGEREF _Toc127957729 \h </w:instrText>
        </w:r>
        <w:r>
          <w:rPr>
            <w:noProof/>
            <w:webHidden/>
          </w:rPr>
        </w:r>
        <w:r>
          <w:rPr>
            <w:noProof/>
            <w:webHidden/>
          </w:rPr>
          <w:fldChar w:fldCharType="separate"/>
        </w:r>
        <w:r w:rsidR="00B05C7F">
          <w:rPr>
            <w:noProof/>
            <w:webHidden/>
          </w:rPr>
          <w:t>219</w:t>
        </w:r>
        <w:r>
          <w:rPr>
            <w:noProof/>
            <w:webHidden/>
          </w:rPr>
          <w:fldChar w:fldCharType="end"/>
        </w:r>
      </w:hyperlink>
    </w:p>
    <w:p w14:paraId="031A4671" w14:textId="77777777" w:rsidR="006C5F2A" w:rsidRPr="00FB04F6" w:rsidRDefault="006C5F2A">
      <w:pPr>
        <w:pStyle w:val="TM3"/>
        <w:rPr>
          <w:rFonts w:eastAsia="Times New Roman" w:cs="Times New Roman"/>
          <w:i w:val="0"/>
          <w:iCs w:val="0"/>
          <w:noProof/>
          <w:sz w:val="22"/>
          <w:szCs w:val="22"/>
          <w:lang w:eastAsia="fr-FR"/>
        </w:rPr>
      </w:pPr>
      <w:hyperlink w:anchor="_Toc127957730" w:history="1">
        <w:r w:rsidRPr="00ED6DAE">
          <w:rPr>
            <w:rStyle w:val="Lienhypertexte"/>
            <w:noProof/>
          </w:rPr>
          <w:t>10.4.5.</w:t>
        </w:r>
        <w:r w:rsidRPr="00FB04F6">
          <w:rPr>
            <w:rFonts w:eastAsia="Times New Roman" w:cs="Times New Roman"/>
            <w:i w:val="0"/>
            <w:iCs w:val="0"/>
            <w:noProof/>
            <w:sz w:val="22"/>
            <w:szCs w:val="22"/>
            <w:lang w:eastAsia="fr-FR"/>
          </w:rPr>
          <w:tab/>
        </w:r>
        <w:r w:rsidRPr="00ED6DAE">
          <w:rPr>
            <w:rStyle w:val="Lienhypertexte"/>
            <w:noProof/>
          </w:rPr>
          <w:t>Intermédiaires financiers</w:t>
        </w:r>
        <w:r>
          <w:rPr>
            <w:noProof/>
            <w:webHidden/>
          </w:rPr>
          <w:tab/>
        </w:r>
        <w:r>
          <w:rPr>
            <w:noProof/>
            <w:webHidden/>
          </w:rPr>
          <w:fldChar w:fldCharType="begin"/>
        </w:r>
        <w:r>
          <w:rPr>
            <w:noProof/>
            <w:webHidden/>
          </w:rPr>
          <w:instrText xml:space="preserve"> PAGEREF _Toc127957730 \h </w:instrText>
        </w:r>
        <w:r>
          <w:rPr>
            <w:noProof/>
            <w:webHidden/>
          </w:rPr>
        </w:r>
        <w:r>
          <w:rPr>
            <w:noProof/>
            <w:webHidden/>
          </w:rPr>
          <w:fldChar w:fldCharType="separate"/>
        </w:r>
        <w:r w:rsidR="00B05C7F">
          <w:rPr>
            <w:noProof/>
            <w:webHidden/>
          </w:rPr>
          <w:t>219</w:t>
        </w:r>
        <w:r>
          <w:rPr>
            <w:noProof/>
            <w:webHidden/>
          </w:rPr>
          <w:fldChar w:fldCharType="end"/>
        </w:r>
      </w:hyperlink>
    </w:p>
    <w:p w14:paraId="220D1E04" w14:textId="77777777" w:rsidR="006C5F2A" w:rsidRPr="00FB04F6" w:rsidRDefault="006C5F2A">
      <w:pPr>
        <w:pStyle w:val="TM3"/>
        <w:rPr>
          <w:rFonts w:eastAsia="Times New Roman" w:cs="Times New Roman"/>
          <w:i w:val="0"/>
          <w:iCs w:val="0"/>
          <w:noProof/>
          <w:sz w:val="22"/>
          <w:szCs w:val="22"/>
          <w:lang w:eastAsia="fr-FR"/>
        </w:rPr>
      </w:pPr>
      <w:hyperlink w:anchor="_Toc127957731" w:history="1">
        <w:r w:rsidRPr="00ED6DAE">
          <w:rPr>
            <w:rStyle w:val="Lienhypertexte"/>
            <w:noProof/>
          </w:rPr>
          <w:t>10.4.6.</w:t>
        </w:r>
        <w:r w:rsidRPr="00FB04F6">
          <w:rPr>
            <w:rFonts w:eastAsia="Times New Roman" w:cs="Times New Roman"/>
            <w:i w:val="0"/>
            <w:iCs w:val="0"/>
            <w:noProof/>
            <w:sz w:val="22"/>
            <w:szCs w:val="22"/>
            <w:lang w:eastAsia="fr-FR"/>
          </w:rPr>
          <w:tab/>
        </w:r>
        <w:r w:rsidRPr="00ED6DAE">
          <w:rPr>
            <w:rStyle w:val="Lienhypertexte"/>
            <w:noProof/>
          </w:rPr>
          <w:t>Mission de Contrôle</w:t>
        </w:r>
        <w:r>
          <w:rPr>
            <w:noProof/>
            <w:webHidden/>
          </w:rPr>
          <w:tab/>
        </w:r>
        <w:r>
          <w:rPr>
            <w:noProof/>
            <w:webHidden/>
          </w:rPr>
          <w:fldChar w:fldCharType="begin"/>
        </w:r>
        <w:r>
          <w:rPr>
            <w:noProof/>
            <w:webHidden/>
          </w:rPr>
          <w:instrText xml:space="preserve"> PAGEREF _Toc127957731 \h </w:instrText>
        </w:r>
        <w:r>
          <w:rPr>
            <w:noProof/>
            <w:webHidden/>
          </w:rPr>
        </w:r>
        <w:r>
          <w:rPr>
            <w:noProof/>
            <w:webHidden/>
          </w:rPr>
          <w:fldChar w:fldCharType="separate"/>
        </w:r>
        <w:r w:rsidR="00B05C7F">
          <w:rPr>
            <w:noProof/>
            <w:webHidden/>
          </w:rPr>
          <w:t>220</w:t>
        </w:r>
        <w:r>
          <w:rPr>
            <w:noProof/>
            <w:webHidden/>
          </w:rPr>
          <w:fldChar w:fldCharType="end"/>
        </w:r>
      </w:hyperlink>
    </w:p>
    <w:p w14:paraId="6C454570" w14:textId="77777777" w:rsidR="006C5F2A" w:rsidRPr="00FB04F6" w:rsidRDefault="006C5F2A">
      <w:pPr>
        <w:pStyle w:val="TM3"/>
        <w:rPr>
          <w:rFonts w:eastAsia="Times New Roman" w:cs="Times New Roman"/>
          <w:i w:val="0"/>
          <w:iCs w:val="0"/>
          <w:noProof/>
          <w:sz w:val="22"/>
          <w:szCs w:val="22"/>
          <w:lang w:eastAsia="fr-FR"/>
        </w:rPr>
      </w:pPr>
      <w:hyperlink w:anchor="_Toc127957732" w:history="1">
        <w:r w:rsidRPr="00ED6DAE">
          <w:rPr>
            <w:rStyle w:val="Lienhypertexte"/>
            <w:noProof/>
          </w:rPr>
          <w:t>10.4.7.</w:t>
        </w:r>
        <w:r w:rsidRPr="00FB04F6">
          <w:rPr>
            <w:rFonts w:eastAsia="Times New Roman" w:cs="Times New Roman"/>
            <w:i w:val="0"/>
            <w:iCs w:val="0"/>
            <w:noProof/>
            <w:sz w:val="22"/>
            <w:szCs w:val="22"/>
            <w:lang w:eastAsia="fr-FR"/>
          </w:rPr>
          <w:tab/>
        </w:r>
        <w:r w:rsidRPr="00ED6DAE">
          <w:rPr>
            <w:rStyle w:val="Lienhypertexte"/>
            <w:noProof/>
          </w:rPr>
          <w:t>ONE</w:t>
        </w:r>
        <w:r>
          <w:rPr>
            <w:noProof/>
            <w:webHidden/>
          </w:rPr>
          <w:tab/>
        </w:r>
        <w:r>
          <w:rPr>
            <w:noProof/>
            <w:webHidden/>
          </w:rPr>
          <w:fldChar w:fldCharType="begin"/>
        </w:r>
        <w:r>
          <w:rPr>
            <w:noProof/>
            <w:webHidden/>
          </w:rPr>
          <w:instrText xml:space="preserve"> PAGEREF _Toc127957732 \h </w:instrText>
        </w:r>
        <w:r>
          <w:rPr>
            <w:noProof/>
            <w:webHidden/>
          </w:rPr>
        </w:r>
        <w:r>
          <w:rPr>
            <w:noProof/>
            <w:webHidden/>
          </w:rPr>
          <w:fldChar w:fldCharType="separate"/>
        </w:r>
        <w:r w:rsidR="00B05C7F">
          <w:rPr>
            <w:noProof/>
            <w:webHidden/>
          </w:rPr>
          <w:t>220</w:t>
        </w:r>
        <w:r>
          <w:rPr>
            <w:noProof/>
            <w:webHidden/>
          </w:rPr>
          <w:fldChar w:fldCharType="end"/>
        </w:r>
      </w:hyperlink>
    </w:p>
    <w:p w14:paraId="3885BD31" w14:textId="77777777" w:rsidR="006C5F2A" w:rsidRPr="00FB04F6" w:rsidRDefault="006C5F2A">
      <w:pPr>
        <w:pStyle w:val="TM3"/>
        <w:rPr>
          <w:rFonts w:eastAsia="Times New Roman" w:cs="Times New Roman"/>
          <w:i w:val="0"/>
          <w:iCs w:val="0"/>
          <w:noProof/>
          <w:sz w:val="22"/>
          <w:szCs w:val="22"/>
          <w:lang w:eastAsia="fr-FR"/>
        </w:rPr>
      </w:pPr>
      <w:hyperlink w:anchor="_Toc127957733" w:history="1">
        <w:r w:rsidRPr="00ED6DAE">
          <w:rPr>
            <w:rStyle w:val="Lienhypertexte"/>
            <w:noProof/>
          </w:rPr>
          <w:t>10.4.8.</w:t>
        </w:r>
        <w:r w:rsidRPr="00FB04F6">
          <w:rPr>
            <w:rFonts w:eastAsia="Times New Roman" w:cs="Times New Roman"/>
            <w:i w:val="0"/>
            <w:iCs w:val="0"/>
            <w:noProof/>
            <w:sz w:val="22"/>
            <w:szCs w:val="22"/>
            <w:lang w:eastAsia="fr-FR"/>
          </w:rPr>
          <w:tab/>
        </w:r>
        <w:r w:rsidRPr="00ED6DAE">
          <w:rPr>
            <w:rStyle w:val="Lienhypertexte"/>
            <w:noProof/>
          </w:rPr>
          <w:t>Banque mondiale</w:t>
        </w:r>
        <w:r>
          <w:rPr>
            <w:noProof/>
            <w:webHidden/>
          </w:rPr>
          <w:tab/>
        </w:r>
        <w:r>
          <w:rPr>
            <w:noProof/>
            <w:webHidden/>
          </w:rPr>
          <w:fldChar w:fldCharType="begin"/>
        </w:r>
        <w:r>
          <w:rPr>
            <w:noProof/>
            <w:webHidden/>
          </w:rPr>
          <w:instrText xml:space="preserve"> PAGEREF _Toc127957733 \h </w:instrText>
        </w:r>
        <w:r>
          <w:rPr>
            <w:noProof/>
            <w:webHidden/>
          </w:rPr>
        </w:r>
        <w:r>
          <w:rPr>
            <w:noProof/>
            <w:webHidden/>
          </w:rPr>
          <w:fldChar w:fldCharType="separate"/>
        </w:r>
        <w:r w:rsidR="00B05C7F">
          <w:rPr>
            <w:noProof/>
            <w:webHidden/>
          </w:rPr>
          <w:t>221</w:t>
        </w:r>
        <w:r>
          <w:rPr>
            <w:noProof/>
            <w:webHidden/>
          </w:rPr>
          <w:fldChar w:fldCharType="end"/>
        </w:r>
      </w:hyperlink>
    </w:p>
    <w:p w14:paraId="7DB7E307" w14:textId="77777777" w:rsidR="006C5F2A" w:rsidRPr="00FB04F6" w:rsidRDefault="006C5F2A">
      <w:pPr>
        <w:pStyle w:val="TM3"/>
        <w:rPr>
          <w:rFonts w:eastAsia="Times New Roman" w:cs="Times New Roman"/>
          <w:i w:val="0"/>
          <w:iCs w:val="0"/>
          <w:noProof/>
          <w:sz w:val="22"/>
          <w:szCs w:val="22"/>
          <w:lang w:eastAsia="fr-FR"/>
        </w:rPr>
      </w:pPr>
      <w:hyperlink w:anchor="_Toc127957734" w:history="1">
        <w:r w:rsidRPr="00ED6DAE">
          <w:rPr>
            <w:rStyle w:val="Lienhypertexte"/>
            <w:noProof/>
          </w:rPr>
          <w:t>10.4.9.</w:t>
        </w:r>
        <w:r w:rsidRPr="00FB04F6">
          <w:rPr>
            <w:rFonts w:eastAsia="Times New Roman" w:cs="Times New Roman"/>
            <w:i w:val="0"/>
            <w:iCs w:val="0"/>
            <w:noProof/>
            <w:sz w:val="22"/>
            <w:szCs w:val="22"/>
            <w:lang w:eastAsia="fr-FR"/>
          </w:rPr>
          <w:tab/>
        </w:r>
        <w:r w:rsidRPr="00ED6DAE">
          <w:rPr>
            <w:rStyle w:val="Lienhypertexte"/>
            <w:noProof/>
          </w:rPr>
          <w:t>Auditeur Externe</w:t>
        </w:r>
        <w:r>
          <w:rPr>
            <w:noProof/>
            <w:webHidden/>
          </w:rPr>
          <w:tab/>
        </w:r>
        <w:r>
          <w:rPr>
            <w:noProof/>
            <w:webHidden/>
          </w:rPr>
          <w:fldChar w:fldCharType="begin"/>
        </w:r>
        <w:r>
          <w:rPr>
            <w:noProof/>
            <w:webHidden/>
          </w:rPr>
          <w:instrText xml:space="preserve"> PAGEREF _Toc127957734 \h </w:instrText>
        </w:r>
        <w:r>
          <w:rPr>
            <w:noProof/>
            <w:webHidden/>
          </w:rPr>
        </w:r>
        <w:r>
          <w:rPr>
            <w:noProof/>
            <w:webHidden/>
          </w:rPr>
          <w:fldChar w:fldCharType="separate"/>
        </w:r>
        <w:r w:rsidR="00B05C7F">
          <w:rPr>
            <w:noProof/>
            <w:webHidden/>
          </w:rPr>
          <w:t>221</w:t>
        </w:r>
        <w:r>
          <w:rPr>
            <w:noProof/>
            <w:webHidden/>
          </w:rPr>
          <w:fldChar w:fldCharType="end"/>
        </w:r>
      </w:hyperlink>
    </w:p>
    <w:p w14:paraId="128D88C5" w14:textId="77777777" w:rsidR="006C5F2A" w:rsidRPr="00FB04F6" w:rsidRDefault="006C5F2A">
      <w:pPr>
        <w:pStyle w:val="TM3"/>
        <w:rPr>
          <w:rFonts w:eastAsia="Times New Roman" w:cs="Times New Roman"/>
          <w:i w:val="0"/>
          <w:iCs w:val="0"/>
          <w:noProof/>
          <w:sz w:val="22"/>
          <w:szCs w:val="22"/>
          <w:lang w:eastAsia="fr-FR"/>
        </w:rPr>
      </w:pPr>
      <w:hyperlink w:anchor="_Toc127957735" w:history="1">
        <w:r w:rsidRPr="00ED6DAE">
          <w:rPr>
            <w:rStyle w:val="Lienhypertexte"/>
            <w:noProof/>
          </w:rPr>
          <w:t>10.4.10.</w:t>
        </w:r>
        <w:r w:rsidRPr="00FB04F6">
          <w:rPr>
            <w:rFonts w:eastAsia="Times New Roman" w:cs="Times New Roman"/>
            <w:i w:val="0"/>
            <w:iCs w:val="0"/>
            <w:noProof/>
            <w:sz w:val="22"/>
            <w:szCs w:val="22"/>
            <w:lang w:eastAsia="fr-FR"/>
          </w:rPr>
          <w:tab/>
        </w:r>
        <w:r w:rsidRPr="00ED6DAE">
          <w:rPr>
            <w:rStyle w:val="Lienhypertexte"/>
            <w:noProof/>
          </w:rPr>
          <w:t>Collectivité territoriale décentralisée</w:t>
        </w:r>
        <w:r>
          <w:rPr>
            <w:noProof/>
            <w:webHidden/>
          </w:rPr>
          <w:tab/>
        </w:r>
        <w:r>
          <w:rPr>
            <w:noProof/>
            <w:webHidden/>
          </w:rPr>
          <w:fldChar w:fldCharType="begin"/>
        </w:r>
        <w:r>
          <w:rPr>
            <w:noProof/>
            <w:webHidden/>
          </w:rPr>
          <w:instrText xml:space="preserve"> PAGEREF _Toc127957735 \h </w:instrText>
        </w:r>
        <w:r>
          <w:rPr>
            <w:noProof/>
            <w:webHidden/>
          </w:rPr>
        </w:r>
        <w:r>
          <w:rPr>
            <w:noProof/>
            <w:webHidden/>
          </w:rPr>
          <w:fldChar w:fldCharType="separate"/>
        </w:r>
        <w:r w:rsidR="00B05C7F">
          <w:rPr>
            <w:noProof/>
            <w:webHidden/>
          </w:rPr>
          <w:t>221</w:t>
        </w:r>
        <w:r>
          <w:rPr>
            <w:noProof/>
            <w:webHidden/>
          </w:rPr>
          <w:fldChar w:fldCharType="end"/>
        </w:r>
      </w:hyperlink>
    </w:p>
    <w:p w14:paraId="5AC49F8B" w14:textId="77777777" w:rsidR="006C5F2A" w:rsidRPr="00FB04F6" w:rsidRDefault="006C5F2A">
      <w:pPr>
        <w:pStyle w:val="TM3"/>
        <w:rPr>
          <w:rFonts w:eastAsia="Times New Roman" w:cs="Times New Roman"/>
          <w:i w:val="0"/>
          <w:iCs w:val="0"/>
          <w:noProof/>
          <w:sz w:val="22"/>
          <w:szCs w:val="22"/>
          <w:lang w:eastAsia="fr-FR"/>
        </w:rPr>
      </w:pPr>
      <w:hyperlink w:anchor="_Toc127957736" w:history="1">
        <w:r w:rsidRPr="00ED6DAE">
          <w:rPr>
            <w:rStyle w:val="Lienhypertexte"/>
            <w:noProof/>
          </w:rPr>
          <w:t>10.4.11.</w:t>
        </w:r>
        <w:r w:rsidRPr="00FB04F6">
          <w:rPr>
            <w:rFonts w:eastAsia="Times New Roman" w:cs="Times New Roman"/>
            <w:i w:val="0"/>
            <w:iCs w:val="0"/>
            <w:noProof/>
            <w:sz w:val="22"/>
            <w:szCs w:val="22"/>
            <w:lang w:eastAsia="fr-FR"/>
          </w:rPr>
          <w:tab/>
        </w:r>
        <w:r w:rsidRPr="00ED6DAE">
          <w:rPr>
            <w:rStyle w:val="Lienhypertexte"/>
            <w:noProof/>
          </w:rPr>
          <w:t>Population locale</w:t>
        </w:r>
        <w:r>
          <w:rPr>
            <w:noProof/>
            <w:webHidden/>
          </w:rPr>
          <w:tab/>
        </w:r>
        <w:r>
          <w:rPr>
            <w:noProof/>
            <w:webHidden/>
          </w:rPr>
          <w:fldChar w:fldCharType="begin"/>
        </w:r>
        <w:r>
          <w:rPr>
            <w:noProof/>
            <w:webHidden/>
          </w:rPr>
          <w:instrText xml:space="preserve"> PAGEREF _Toc127957736 \h </w:instrText>
        </w:r>
        <w:r>
          <w:rPr>
            <w:noProof/>
            <w:webHidden/>
          </w:rPr>
        </w:r>
        <w:r>
          <w:rPr>
            <w:noProof/>
            <w:webHidden/>
          </w:rPr>
          <w:fldChar w:fldCharType="separate"/>
        </w:r>
        <w:r w:rsidR="00B05C7F">
          <w:rPr>
            <w:noProof/>
            <w:webHidden/>
          </w:rPr>
          <w:t>221</w:t>
        </w:r>
        <w:r>
          <w:rPr>
            <w:noProof/>
            <w:webHidden/>
          </w:rPr>
          <w:fldChar w:fldCharType="end"/>
        </w:r>
      </w:hyperlink>
    </w:p>
    <w:p w14:paraId="44297741" w14:textId="77777777" w:rsidR="006C5F2A" w:rsidRPr="00FB04F6" w:rsidRDefault="006C5F2A">
      <w:pPr>
        <w:pStyle w:val="TM3"/>
        <w:rPr>
          <w:rFonts w:eastAsia="Times New Roman" w:cs="Times New Roman"/>
          <w:i w:val="0"/>
          <w:iCs w:val="0"/>
          <w:noProof/>
          <w:sz w:val="22"/>
          <w:szCs w:val="22"/>
          <w:lang w:eastAsia="fr-FR"/>
        </w:rPr>
      </w:pPr>
      <w:hyperlink w:anchor="_Toc127957737" w:history="1">
        <w:r w:rsidRPr="00ED6DAE">
          <w:rPr>
            <w:rStyle w:val="Lienhypertexte"/>
            <w:noProof/>
          </w:rPr>
          <w:t>10.4.12.</w:t>
        </w:r>
        <w:r w:rsidRPr="00FB04F6">
          <w:rPr>
            <w:rFonts w:eastAsia="Times New Roman" w:cs="Times New Roman"/>
            <w:i w:val="0"/>
            <w:iCs w:val="0"/>
            <w:noProof/>
            <w:sz w:val="22"/>
            <w:szCs w:val="22"/>
            <w:lang w:eastAsia="fr-FR"/>
          </w:rPr>
          <w:tab/>
        </w:r>
        <w:r w:rsidRPr="00ED6DAE">
          <w:rPr>
            <w:rStyle w:val="Lienhypertexte"/>
            <w:noProof/>
          </w:rPr>
          <w:t>Entreprise</w:t>
        </w:r>
        <w:r>
          <w:rPr>
            <w:noProof/>
            <w:webHidden/>
          </w:rPr>
          <w:tab/>
        </w:r>
        <w:r>
          <w:rPr>
            <w:noProof/>
            <w:webHidden/>
          </w:rPr>
          <w:fldChar w:fldCharType="begin"/>
        </w:r>
        <w:r>
          <w:rPr>
            <w:noProof/>
            <w:webHidden/>
          </w:rPr>
          <w:instrText xml:space="preserve"> PAGEREF _Toc127957737 \h </w:instrText>
        </w:r>
        <w:r>
          <w:rPr>
            <w:noProof/>
            <w:webHidden/>
          </w:rPr>
        </w:r>
        <w:r>
          <w:rPr>
            <w:noProof/>
            <w:webHidden/>
          </w:rPr>
          <w:fldChar w:fldCharType="separate"/>
        </w:r>
        <w:r w:rsidR="00B05C7F">
          <w:rPr>
            <w:noProof/>
            <w:webHidden/>
          </w:rPr>
          <w:t>221</w:t>
        </w:r>
        <w:r>
          <w:rPr>
            <w:noProof/>
            <w:webHidden/>
          </w:rPr>
          <w:fldChar w:fldCharType="end"/>
        </w:r>
      </w:hyperlink>
    </w:p>
    <w:p w14:paraId="05D0D7B3" w14:textId="77777777" w:rsidR="006C5F2A" w:rsidRPr="00FB04F6" w:rsidRDefault="006C5F2A">
      <w:pPr>
        <w:pStyle w:val="TM3"/>
        <w:rPr>
          <w:rFonts w:eastAsia="Times New Roman" w:cs="Times New Roman"/>
          <w:i w:val="0"/>
          <w:iCs w:val="0"/>
          <w:noProof/>
          <w:sz w:val="22"/>
          <w:szCs w:val="22"/>
          <w:lang w:eastAsia="fr-FR"/>
        </w:rPr>
      </w:pPr>
      <w:hyperlink w:anchor="_Toc127957738" w:history="1">
        <w:r w:rsidRPr="00ED6DAE">
          <w:rPr>
            <w:rStyle w:val="Lienhypertexte"/>
            <w:noProof/>
          </w:rPr>
          <w:t>10.4.13.</w:t>
        </w:r>
        <w:r w:rsidRPr="00FB04F6">
          <w:rPr>
            <w:rFonts w:eastAsia="Times New Roman" w:cs="Times New Roman"/>
            <w:i w:val="0"/>
            <w:iCs w:val="0"/>
            <w:noProof/>
            <w:sz w:val="22"/>
            <w:szCs w:val="22"/>
            <w:lang w:eastAsia="fr-FR"/>
          </w:rPr>
          <w:tab/>
        </w:r>
        <w:r w:rsidRPr="00ED6DAE">
          <w:rPr>
            <w:rStyle w:val="Lienhypertexte"/>
            <w:noProof/>
          </w:rPr>
          <w:t>Charte de responsabilité des acteurs</w:t>
        </w:r>
        <w:r>
          <w:rPr>
            <w:noProof/>
            <w:webHidden/>
          </w:rPr>
          <w:tab/>
        </w:r>
        <w:r>
          <w:rPr>
            <w:noProof/>
            <w:webHidden/>
          </w:rPr>
          <w:fldChar w:fldCharType="begin"/>
        </w:r>
        <w:r>
          <w:rPr>
            <w:noProof/>
            <w:webHidden/>
          </w:rPr>
          <w:instrText xml:space="preserve"> PAGEREF _Toc127957738 \h </w:instrText>
        </w:r>
        <w:r>
          <w:rPr>
            <w:noProof/>
            <w:webHidden/>
          </w:rPr>
        </w:r>
        <w:r>
          <w:rPr>
            <w:noProof/>
            <w:webHidden/>
          </w:rPr>
          <w:fldChar w:fldCharType="separate"/>
        </w:r>
        <w:r w:rsidR="00B05C7F">
          <w:rPr>
            <w:noProof/>
            <w:webHidden/>
          </w:rPr>
          <w:t>221</w:t>
        </w:r>
        <w:r>
          <w:rPr>
            <w:noProof/>
            <w:webHidden/>
          </w:rPr>
          <w:fldChar w:fldCharType="end"/>
        </w:r>
      </w:hyperlink>
    </w:p>
    <w:p w14:paraId="37EFB4C3" w14:textId="77777777" w:rsidR="006C5F2A" w:rsidRPr="00FB04F6" w:rsidRDefault="006C5F2A">
      <w:pPr>
        <w:pStyle w:val="TM2"/>
        <w:rPr>
          <w:rFonts w:eastAsia="Times New Roman" w:cs="Times New Roman"/>
          <w:smallCaps w:val="0"/>
          <w:noProof/>
          <w:sz w:val="22"/>
          <w:szCs w:val="22"/>
          <w:lang w:eastAsia="fr-FR"/>
        </w:rPr>
      </w:pPr>
      <w:hyperlink w:anchor="_Toc127957739" w:history="1">
        <w:r w:rsidRPr="00ED6DAE">
          <w:rPr>
            <w:rStyle w:val="Lienhypertexte"/>
            <w:noProof/>
          </w:rPr>
          <w:t>10.5.</w:t>
        </w:r>
        <w:r w:rsidRPr="00FB04F6">
          <w:rPr>
            <w:rFonts w:eastAsia="Times New Roman" w:cs="Times New Roman"/>
            <w:smallCaps w:val="0"/>
            <w:noProof/>
            <w:sz w:val="22"/>
            <w:szCs w:val="22"/>
            <w:lang w:eastAsia="fr-FR"/>
          </w:rPr>
          <w:tab/>
        </w:r>
        <w:r w:rsidRPr="00ED6DAE">
          <w:rPr>
            <w:rStyle w:val="Lienhypertexte"/>
            <w:noProof/>
          </w:rPr>
          <w:t>Renforcement de capacités institutionnelles</w:t>
        </w:r>
        <w:r>
          <w:rPr>
            <w:noProof/>
            <w:webHidden/>
          </w:rPr>
          <w:tab/>
        </w:r>
        <w:r>
          <w:rPr>
            <w:noProof/>
            <w:webHidden/>
          </w:rPr>
          <w:fldChar w:fldCharType="begin"/>
        </w:r>
        <w:r>
          <w:rPr>
            <w:noProof/>
            <w:webHidden/>
          </w:rPr>
          <w:instrText xml:space="preserve"> PAGEREF _Toc127957739 \h </w:instrText>
        </w:r>
        <w:r>
          <w:rPr>
            <w:noProof/>
            <w:webHidden/>
          </w:rPr>
        </w:r>
        <w:r>
          <w:rPr>
            <w:noProof/>
            <w:webHidden/>
          </w:rPr>
          <w:fldChar w:fldCharType="separate"/>
        </w:r>
        <w:r w:rsidR="00B05C7F">
          <w:rPr>
            <w:noProof/>
            <w:webHidden/>
          </w:rPr>
          <w:t>225</w:t>
        </w:r>
        <w:r>
          <w:rPr>
            <w:noProof/>
            <w:webHidden/>
          </w:rPr>
          <w:fldChar w:fldCharType="end"/>
        </w:r>
      </w:hyperlink>
    </w:p>
    <w:p w14:paraId="01F6624D" w14:textId="77777777" w:rsidR="006C5F2A" w:rsidRPr="00FB04F6" w:rsidRDefault="006C5F2A">
      <w:pPr>
        <w:pStyle w:val="TM3"/>
        <w:rPr>
          <w:rFonts w:eastAsia="Times New Roman" w:cs="Times New Roman"/>
          <w:i w:val="0"/>
          <w:iCs w:val="0"/>
          <w:noProof/>
          <w:sz w:val="22"/>
          <w:szCs w:val="22"/>
          <w:lang w:eastAsia="fr-FR"/>
        </w:rPr>
      </w:pPr>
      <w:hyperlink w:anchor="_Toc127957740" w:history="1">
        <w:r w:rsidRPr="00ED6DAE">
          <w:rPr>
            <w:rStyle w:val="Lienhypertexte"/>
            <w:noProof/>
          </w:rPr>
          <w:t>10.5.1.</w:t>
        </w:r>
        <w:r w:rsidRPr="00FB04F6">
          <w:rPr>
            <w:rFonts w:eastAsia="Times New Roman" w:cs="Times New Roman"/>
            <w:i w:val="0"/>
            <w:iCs w:val="0"/>
            <w:noProof/>
            <w:sz w:val="22"/>
            <w:szCs w:val="22"/>
            <w:lang w:eastAsia="fr-FR"/>
          </w:rPr>
          <w:tab/>
        </w:r>
        <w:r w:rsidRPr="00ED6DAE">
          <w:rPr>
            <w:rStyle w:val="Lienhypertexte"/>
            <w:noProof/>
          </w:rPr>
          <w:t>Renforcement de capacité des acteurs institutionnels</w:t>
        </w:r>
        <w:r>
          <w:rPr>
            <w:noProof/>
            <w:webHidden/>
          </w:rPr>
          <w:tab/>
        </w:r>
        <w:r>
          <w:rPr>
            <w:noProof/>
            <w:webHidden/>
          </w:rPr>
          <w:fldChar w:fldCharType="begin"/>
        </w:r>
        <w:r>
          <w:rPr>
            <w:noProof/>
            <w:webHidden/>
          </w:rPr>
          <w:instrText xml:space="preserve"> PAGEREF _Toc127957740 \h </w:instrText>
        </w:r>
        <w:r>
          <w:rPr>
            <w:noProof/>
            <w:webHidden/>
          </w:rPr>
        </w:r>
        <w:r>
          <w:rPr>
            <w:noProof/>
            <w:webHidden/>
          </w:rPr>
          <w:fldChar w:fldCharType="separate"/>
        </w:r>
        <w:r w:rsidR="00B05C7F">
          <w:rPr>
            <w:noProof/>
            <w:webHidden/>
          </w:rPr>
          <w:t>225</w:t>
        </w:r>
        <w:r>
          <w:rPr>
            <w:noProof/>
            <w:webHidden/>
          </w:rPr>
          <w:fldChar w:fldCharType="end"/>
        </w:r>
      </w:hyperlink>
    </w:p>
    <w:p w14:paraId="6425E60F" w14:textId="77777777" w:rsidR="006C5F2A" w:rsidRPr="00FB04F6" w:rsidRDefault="006C5F2A">
      <w:pPr>
        <w:pStyle w:val="TM3"/>
        <w:rPr>
          <w:rFonts w:eastAsia="Times New Roman" w:cs="Times New Roman"/>
          <w:i w:val="0"/>
          <w:iCs w:val="0"/>
          <w:noProof/>
          <w:sz w:val="22"/>
          <w:szCs w:val="22"/>
          <w:lang w:eastAsia="fr-FR"/>
        </w:rPr>
      </w:pPr>
      <w:hyperlink w:anchor="_Toc127957741" w:history="1">
        <w:r w:rsidRPr="00ED6DAE">
          <w:rPr>
            <w:rStyle w:val="Lienhypertexte"/>
            <w:noProof/>
          </w:rPr>
          <w:t>10.5.2.</w:t>
        </w:r>
        <w:r w:rsidRPr="00FB04F6">
          <w:rPr>
            <w:rFonts w:eastAsia="Times New Roman" w:cs="Times New Roman"/>
            <w:i w:val="0"/>
            <w:iCs w:val="0"/>
            <w:noProof/>
            <w:sz w:val="22"/>
            <w:szCs w:val="22"/>
            <w:lang w:eastAsia="fr-FR"/>
          </w:rPr>
          <w:tab/>
        </w:r>
        <w:r w:rsidRPr="00ED6DAE">
          <w:rPr>
            <w:rStyle w:val="Lienhypertexte"/>
            <w:noProof/>
          </w:rPr>
          <w:t>Expertise environnementale et sociale de l’UCP</w:t>
        </w:r>
        <w:r>
          <w:rPr>
            <w:noProof/>
            <w:webHidden/>
          </w:rPr>
          <w:tab/>
        </w:r>
        <w:r>
          <w:rPr>
            <w:noProof/>
            <w:webHidden/>
          </w:rPr>
          <w:fldChar w:fldCharType="begin"/>
        </w:r>
        <w:r>
          <w:rPr>
            <w:noProof/>
            <w:webHidden/>
          </w:rPr>
          <w:instrText xml:space="preserve"> PAGEREF _Toc127957741 \h </w:instrText>
        </w:r>
        <w:r>
          <w:rPr>
            <w:noProof/>
            <w:webHidden/>
          </w:rPr>
        </w:r>
        <w:r>
          <w:rPr>
            <w:noProof/>
            <w:webHidden/>
          </w:rPr>
          <w:fldChar w:fldCharType="separate"/>
        </w:r>
        <w:r w:rsidR="00B05C7F">
          <w:rPr>
            <w:noProof/>
            <w:webHidden/>
          </w:rPr>
          <w:t>225</w:t>
        </w:r>
        <w:r>
          <w:rPr>
            <w:noProof/>
            <w:webHidden/>
          </w:rPr>
          <w:fldChar w:fldCharType="end"/>
        </w:r>
      </w:hyperlink>
    </w:p>
    <w:p w14:paraId="1CF7AF3C" w14:textId="77777777" w:rsidR="006C5F2A" w:rsidRPr="00FB04F6" w:rsidRDefault="006C5F2A">
      <w:pPr>
        <w:pStyle w:val="TM3"/>
        <w:rPr>
          <w:rFonts w:eastAsia="Times New Roman" w:cs="Times New Roman"/>
          <w:i w:val="0"/>
          <w:iCs w:val="0"/>
          <w:noProof/>
          <w:sz w:val="22"/>
          <w:szCs w:val="22"/>
          <w:lang w:eastAsia="fr-FR"/>
        </w:rPr>
      </w:pPr>
      <w:hyperlink w:anchor="_Toc127957742" w:history="1">
        <w:r w:rsidRPr="00ED6DAE">
          <w:rPr>
            <w:rStyle w:val="Lienhypertexte"/>
            <w:noProof/>
          </w:rPr>
          <w:t>10.5.3.</w:t>
        </w:r>
        <w:r w:rsidRPr="00FB04F6">
          <w:rPr>
            <w:rFonts w:eastAsia="Times New Roman" w:cs="Times New Roman"/>
            <w:i w:val="0"/>
            <w:iCs w:val="0"/>
            <w:noProof/>
            <w:sz w:val="22"/>
            <w:szCs w:val="22"/>
            <w:lang w:eastAsia="fr-FR"/>
          </w:rPr>
          <w:tab/>
        </w:r>
        <w:r w:rsidRPr="00ED6DAE">
          <w:rPr>
            <w:rStyle w:val="Lienhypertexte"/>
            <w:noProof/>
          </w:rPr>
          <w:t>Thèmes de Formation pour les Autres Parties Prenantes et Entreprises</w:t>
        </w:r>
        <w:r>
          <w:rPr>
            <w:noProof/>
            <w:webHidden/>
          </w:rPr>
          <w:tab/>
        </w:r>
        <w:r>
          <w:rPr>
            <w:noProof/>
            <w:webHidden/>
          </w:rPr>
          <w:fldChar w:fldCharType="begin"/>
        </w:r>
        <w:r>
          <w:rPr>
            <w:noProof/>
            <w:webHidden/>
          </w:rPr>
          <w:instrText xml:space="preserve"> PAGEREF _Toc127957742 \h </w:instrText>
        </w:r>
        <w:r>
          <w:rPr>
            <w:noProof/>
            <w:webHidden/>
          </w:rPr>
        </w:r>
        <w:r>
          <w:rPr>
            <w:noProof/>
            <w:webHidden/>
          </w:rPr>
          <w:fldChar w:fldCharType="separate"/>
        </w:r>
        <w:r w:rsidR="00B05C7F">
          <w:rPr>
            <w:noProof/>
            <w:webHidden/>
          </w:rPr>
          <w:t>226</w:t>
        </w:r>
        <w:r>
          <w:rPr>
            <w:noProof/>
            <w:webHidden/>
          </w:rPr>
          <w:fldChar w:fldCharType="end"/>
        </w:r>
      </w:hyperlink>
    </w:p>
    <w:p w14:paraId="650A5CD9" w14:textId="77777777" w:rsidR="006C5F2A" w:rsidRPr="00FB04F6" w:rsidRDefault="006C5F2A">
      <w:pPr>
        <w:pStyle w:val="TM3"/>
        <w:rPr>
          <w:rFonts w:eastAsia="Times New Roman" w:cs="Times New Roman"/>
          <w:i w:val="0"/>
          <w:iCs w:val="0"/>
          <w:noProof/>
          <w:sz w:val="22"/>
          <w:szCs w:val="22"/>
          <w:lang w:eastAsia="fr-FR"/>
        </w:rPr>
      </w:pPr>
      <w:hyperlink w:anchor="_Toc127957743" w:history="1">
        <w:r w:rsidRPr="00ED6DAE">
          <w:rPr>
            <w:rStyle w:val="Lienhypertexte"/>
            <w:noProof/>
          </w:rPr>
          <w:t>10.5.4.</w:t>
        </w:r>
        <w:r w:rsidRPr="00FB04F6">
          <w:rPr>
            <w:rFonts w:eastAsia="Times New Roman" w:cs="Times New Roman"/>
            <w:i w:val="0"/>
            <w:iCs w:val="0"/>
            <w:noProof/>
            <w:sz w:val="22"/>
            <w:szCs w:val="22"/>
            <w:lang w:eastAsia="fr-FR"/>
          </w:rPr>
          <w:tab/>
        </w:r>
        <w:r w:rsidRPr="00ED6DAE">
          <w:rPr>
            <w:rStyle w:val="Lienhypertexte"/>
            <w:noProof/>
          </w:rPr>
          <w:t>Formation des acteurs impliqués dans la mise en œuvre du Projet</w:t>
        </w:r>
        <w:r>
          <w:rPr>
            <w:noProof/>
            <w:webHidden/>
          </w:rPr>
          <w:tab/>
        </w:r>
        <w:r>
          <w:rPr>
            <w:noProof/>
            <w:webHidden/>
          </w:rPr>
          <w:fldChar w:fldCharType="begin"/>
        </w:r>
        <w:r>
          <w:rPr>
            <w:noProof/>
            <w:webHidden/>
          </w:rPr>
          <w:instrText xml:space="preserve"> PAGEREF _Toc127957743 \h </w:instrText>
        </w:r>
        <w:r>
          <w:rPr>
            <w:noProof/>
            <w:webHidden/>
          </w:rPr>
        </w:r>
        <w:r>
          <w:rPr>
            <w:noProof/>
            <w:webHidden/>
          </w:rPr>
          <w:fldChar w:fldCharType="separate"/>
        </w:r>
        <w:r w:rsidR="00B05C7F">
          <w:rPr>
            <w:noProof/>
            <w:webHidden/>
          </w:rPr>
          <w:t>226</w:t>
        </w:r>
        <w:r>
          <w:rPr>
            <w:noProof/>
            <w:webHidden/>
          </w:rPr>
          <w:fldChar w:fldCharType="end"/>
        </w:r>
      </w:hyperlink>
    </w:p>
    <w:p w14:paraId="5998D8AE" w14:textId="77777777" w:rsidR="006C5F2A" w:rsidRPr="00FB04F6" w:rsidRDefault="006C5F2A">
      <w:pPr>
        <w:pStyle w:val="TM2"/>
        <w:rPr>
          <w:rFonts w:eastAsia="Times New Roman" w:cs="Times New Roman"/>
          <w:smallCaps w:val="0"/>
          <w:noProof/>
          <w:sz w:val="22"/>
          <w:szCs w:val="22"/>
          <w:lang w:eastAsia="fr-FR"/>
        </w:rPr>
      </w:pPr>
      <w:hyperlink w:anchor="_Toc127957744" w:history="1">
        <w:r w:rsidRPr="00ED6DAE">
          <w:rPr>
            <w:rStyle w:val="Lienhypertexte"/>
            <w:noProof/>
          </w:rPr>
          <w:t>10.6.</w:t>
        </w:r>
        <w:r w:rsidRPr="00FB04F6">
          <w:rPr>
            <w:rFonts w:eastAsia="Times New Roman" w:cs="Times New Roman"/>
            <w:smallCaps w:val="0"/>
            <w:noProof/>
            <w:sz w:val="22"/>
            <w:szCs w:val="22"/>
            <w:lang w:eastAsia="fr-FR"/>
          </w:rPr>
          <w:tab/>
        </w:r>
        <w:r w:rsidRPr="00ED6DAE">
          <w:rPr>
            <w:rStyle w:val="Lienhypertexte"/>
            <w:noProof/>
          </w:rPr>
          <w:t>Plan de gestion environnementale et sociale</w:t>
        </w:r>
        <w:r>
          <w:rPr>
            <w:noProof/>
            <w:webHidden/>
          </w:rPr>
          <w:tab/>
        </w:r>
        <w:r>
          <w:rPr>
            <w:noProof/>
            <w:webHidden/>
          </w:rPr>
          <w:fldChar w:fldCharType="begin"/>
        </w:r>
        <w:r>
          <w:rPr>
            <w:noProof/>
            <w:webHidden/>
          </w:rPr>
          <w:instrText xml:space="preserve"> PAGEREF _Toc127957744 \h </w:instrText>
        </w:r>
        <w:r>
          <w:rPr>
            <w:noProof/>
            <w:webHidden/>
          </w:rPr>
        </w:r>
        <w:r>
          <w:rPr>
            <w:noProof/>
            <w:webHidden/>
          </w:rPr>
          <w:fldChar w:fldCharType="separate"/>
        </w:r>
        <w:r w:rsidR="00B05C7F">
          <w:rPr>
            <w:noProof/>
            <w:webHidden/>
          </w:rPr>
          <w:t>227</w:t>
        </w:r>
        <w:r>
          <w:rPr>
            <w:noProof/>
            <w:webHidden/>
          </w:rPr>
          <w:fldChar w:fldCharType="end"/>
        </w:r>
      </w:hyperlink>
    </w:p>
    <w:p w14:paraId="57BD81F9" w14:textId="77777777" w:rsidR="006C5F2A" w:rsidRPr="00FB04F6" w:rsidRDefault="006C5F2A">
      <w:pPr>
        <w:pStyle w:val="TM3"/>
        <w:rPr>
          <w:rFonts w:eastAsia="Times New Roman" w:cs="Times New Roman"/>
          <w:i w:val="0"/>
          <w:iCs w:val="0"/>
          <w:noProof/>
          <w:sz w:val="22"/>
          <w:szCs w:val="22"/>
          <w:lang w:eastAsia="fr-FR"/>
        </w:rPr>
      </w:pPr>
      <w:hyperlink w:anchor="_Toc127957745" w:history="1">
        <w:r w:rsidRPr="00ED6DAE">
          <w:rPr>
            <w:rStyle w:val="Lienhypertexte"/>
            <w:noProof/>
          </w:rPr>
          <w:t>10.6.1.</w:t>
        </w:r>
        <w:r w:rsidRPr="00FB04F6">
          <w:rPr>
            <w:rFonts w:eastAsia="Times New Roman" w:cs="Times New Roman"/>
            <w:i w:val="0"/>
            <w:iCs w:val="0"/>
            <w:noProof/>
            <w:sz w:val="22"/>
            <w:szCs w:val="22"/>
            <w:lang w:eastAsia="fr-FR"/>
          </w:rPr>
          <w:tab/>
        </w:r>
        <w:r w:rsidRPr="00ED6DAE">
          <w:rPr>
            <w:rStyle w:val="Lienhypertexte"/>
            <w:noProof/>
          </w:rPr>
          <w:t>Programme de surveillance environnementale et sociale</w:t>
        </w:r>
        <w:r>
          <w:rPr>
            <w:noProof/>
            <w:webHidden/>
          </w:rPr>
          <w:tab/>
        </w:r>
        <w:r>
          <w:rPr>
            <w:noProof/>
            <w:webHidden/>
          </w:rPr>
          <w:fldChar w:fldCharType="begin"/>
        </w:r>
        <w:r>
          <w:rPr>
            <w:noProof/>
            <w:webHidden/>
          </w:rPr>
          <w:instrText xml:space="preserve"> PAGEREF _Toc127957745 \h </w:instrText>
        </w:r>
        <w:r>
          <w:rPr>
            <w:noProof/>
            <w:webHidden/>
          </w:rPr>
        </w:r>
        <w:r>
          <w:rPr>
            <w:noProof/>
            <w:webHidden/>
          </w:rPr>
          <w:fldChar w:fldCharType="separate"/>
        </w:r>
        <w:r w:rsidR="00B05C7F">
          <w:rPr>
            <w:noProof/>
            <w:webHidden/>
          </w:rPr>
          <w:t>227</w:t>
        </w:r>
        <w:r>
          <w:rPr>
            <w:noProof/>
            <w:webHidden/>
          </w:rPr>
          <w:fldChar w:fldCharType="end"/>
        </w:r>
      </w:hyperlink>
    </w:p>
    <w:p w14:paraId="1C30037A" w14:textId="77777777" w:rsidR="006C5F2A" w:rsidRPr="00FB04F6" w:rsidRDefault="006C5F2A">
      <w:pPr>
        <w:pStyle w:val="TM3"/>
        <w:rPr>
          <w:rFonts w:eastAsia="Times New Roman" w:cs="Times New Roman"/>
          <w:i w:val="0"/>
          <w:iCs w:val="0"/>
          <w:noProof/>
          <w:sz w:val="22"/>
          <w:szCs w:val="22"/>
          <w:lang w:eastAsia="fr-FR"/>
        </w:rPr>
      </w:pPr>
      <w:hyperlink w:anchor="_Toc127957746" w:history="1">
        <w:r w:rsidRPr="00ED6DAE">
          <w:rPr>
            <w:rStyle w:val="Lienhypertexte"/>
            <w:noProof/>
          </w:rPr>
          <w:t>10.6.2.</w:t>
        </w:r>
        <w:r w:rsidRPr="00FB04F6">
          <w:rPr>
            <w:rFonts w:eastAsia="Times New Roman" w:cs="Times New Roman"/>
            <w:i w:val="0"/>
            <w:iCs w:val="0"/>
            <w:noProof/>
            <w:sz w:val="22"/>
            <w:szCs w:val="22"/>
            <w:lang w:eastAsia="fr-FR"/>
          </w:rPr>
          <w:tab/>
        </w:r>
        <w:r w:rsidRPr="00ED6DAE">
          <w:rPr>
            <w:rStyle w:val="Lienhypertexte"/>
            <w:noProof/>
          </w:rPr>
          <w:t>Programme de suivi environnemental et social</w:t>
        </w:r>
        <w:r>
          <w:rPr>
            <w:noProof/>
            <w:webHidden/>
          </w:rPr>
          <w:tab/>
        </w:r>
        <w:r>
          <w:rPr>
            <w:noProof/>
            <w:webHidden/>
          </w:rPr>
          <w:fldChar w:fldCharType="begin"/>
        </w:r>
        <w:r>
          <w:rPr>
            <w:noProof/>
            <w:webHidden/>
          </w:rPr>
          <w:instrText xml:space="preserve"> PAGEREF _Toc127957746 \h </w:instrText>
        </w:r>
        <w:r>
          <w:rPr>
            <w:noProof/>
            <w:webHidden/>
          </w:rPr>
        </w:r>
        <w:r>
          <w:rPr>
            <w:noProof/>
            <w:webHidden/>
          </w:rPr>
          <w:fldChar w:fldCharType="separate"/>
        </w:r>
        <w:r w:rsidR="00B05C7F">
          <w:rPr>
            <w:noProof/>
            <w:webHidden/>
          </w:rPr>
          <w:t>234</w:t>
        </w:r>
        <w:r>
          <w:rPr>
            <w:noProof/>
            <w:webHidden/>
          </w:rPr>
          <w:fldChar w:fldCharType="end"/>
        </w:r>
      </w:hyperlink>
    </w:p>
    <w:p w14:paraId="790226E0" w14:textId="77777777" w:rsidR="006C5F2A" w:rsidRPr="00FB04F6" w:rsidRDefault="006C5F2A">
      <w:pPr>
        <w:pStyle w:val="TM2"/>
        <w:rPr>
          <w:rFonts w:eastAsia="Times New Roman" w:cs="Times New Roman"/>
          <w:smallCaps w:val="0"/>
          <w:noProof/>
          <w:sz w:val="22"/>
          <w:szCs w:val="22"/>
          <w:lang w:eastAsia="fr-FR"/>
        </w:rPr>
      </w:pPr>
      <w:hyperlink w:anchor="_Toc127957747" w:history="1">
        <w:r w:rsidRPr="00ED6DAE">
          <w:rPr>
            <w:rStyle w:val="Lienhypertexte"/>
            <w:noProof/>
          </w:rPr>
          <w:t>10.7.</w:t>
        </w:r>
        <w:r w:rsidRPr="00FB04F6">
          <w:rPr>
            <w:rFonts w:eastAsia="Times New Roman" w:cs="Times New Roman"/>
            <w:smallCaps w:val="0"/>
            <w:noProof/>
            <w:sz w:val="22"/>
            <w:szCs w:val="22"/>
            <w:lang w:eastAsia="fr-FR"/>
          </w:rPr>
          <w:tab/>
        </w:r>
        <w:r w:rsidRPr="00ED6DAE">
          <w:rPr>
            <w:rStyle w:val="Lienhypertexte"/>
            <w:noProof/>
          </w:rPr>
          <w:t>Entités en charge de la mise en œuvre du suivi environnemental et social</w:t>
        </w:r>
        <w:r>
          <w:rPr>
            <w:noProof/>
            <w:webHidden/>
          </w:rPr>
          <w:tab/>
        </w:r>
        <w:r>
          <w:rPr>
            <w:noProof/>
            <w:webHidden/>
          </w:rPr>
          <w:fldChar w:fldCharType="begin"/>
        </w:r>
        <w:r>
          <w:rPr>
            <w:noProof/>
            <w:webHidden/>
          </w:rPr>
          <w:instrText xml:space="preserve"> PAGEREF _Toc127957747 \h </w:instrText>
        </w:r>
        <w:r>
          <w:rPr>
            <w:noProof/>
            <w:webHidden/>
          </w:rPr>
        </w:r>
        <w:r>
          <w:rPr>
            <w:noProof/>
            <w:webHidden/>
          </w:rPr>
          <w:fldChar w:fldCharType="separate"/>
        </w:r>
        <w:r w:rsidR="00B05C7F">
          <w:rPr>
            <w:noProof/>
            <w:webHidden/>
          </w:rPr>
          <w:t>242</w:t>
        </w:r>
        <w:r>
          <w:rPr>
            <w:noProof/>
            <w:webHidden/>
          </w:rPr>
          <w:fldChar w:fldCharType="end"/>
        </w:r>
      </w:hyperlink>
    </w:p>
    <w:p w14:paraId="629A4B1F" w14:textId="77777777" w:rsidR="006C5F2A" w:rsidRPr="00FB04F6" w:rsidRDefault="006C5F2A">
      <w:pPr>
        <w:pStyle w:val="TM2"/>
        <w:rPr>
          <w:rFonts w:eastAsia="Times New Roman" w:cs="Times New Roman"/>
          <w:smallCaps w:val="0"/>
          <w:noProof/>
          <w:sz w:val="22"/>
          <w:szCs w:val="22"/>
          <w:lang w:eastAsia="fr-FR"/>
        </w:rPr>
      </w:pPr>
      <w:hyperlink w:anchor="_Toc127957748" w:history="1">
        <w:r w:rsidRPr="00ED6DAE">
          <w:rPr>
            <w:rStyle w:val="Lienhypertexte"/>
            <w:noProof/>
          </w:rPr>
          <w:t>10.8.</w:t>
        </w:r>
        <w:r w:rsidRPr="00FB04F6">
          <w:rPr>
            <w:rFonts w:eastAsia="Times New Roman" w:cs="Times New Roman"/>
            <w:smallCaps w:val="0"/>
            <w:noProof/>
            <w:sz w:val="22"/>
            <w:szCs w:val="22"/>
            <w:lang w:eastAsia="fr-FR"/>
          </w:rPr>
          <w:tab/>
        </w:r>
        <w:r w:rsidRPr="00ED6DAE">
          <w:rPr>
            <w:rStyle w:val="Lienhypertexte"/>
            <w:noProof/>
          </w:rPr>
          <w:t>Budget préliminaire pour la mise en œuvre du CGES</w:t>
        </w:r>
        <w:r>
          <w:rPr>
            <w:noProof/>
            <w:webHidden/>
          </w:rPr>
          <w:tab/>
        </w:r>
        <w:r>
          <w:rPr>
            <w:noProof/>
            <w:webHidden/>
          </w:rPr>
          <w:fldChar w:fldCharType="begin"/>
        </w:r>
        <w:r>
          <w:rPr>
            <w:noProof/>
            <w:webHidden/>
          </w:rPr>
          <w:instrText xml:space="preserve"> PAGEREF _Toc127957748 \h </w:instrText>
        </w:r>
        <w:r>
          <w:rPr>
            <w:noProof/>
            <w:webHidden/>
          </w:rPr>
        </w:r>
        <w:r>
          <w:rPr>
            <w:noProof/>
            <w:webHidden/>
          </w:rPr>
          <w:fldChar w:fldCharType="separate"/>
        </w:r>
        <w:r w:rsidR="00B05C7F">
          <w:rPr>
            <w:noProof/>
            <w:webHidden/>
          </w:rPr>
          <w:t>243</w:t>
        </w:r>
        <w:r>
          <w:rPr>
            <w:noProof/>
            <w:webHidden/>
          </w:rPr>
          <w:fldChar w:fldCharType="end"/>
        </w:r>
      </w:hyperlink>
    </w:p>
    <w:p w14:paraId="5440C5E4" w14:textId="77777777" w:rsidR="006C5F2A" w:rsidRPr="00FB04F6" w:rsidRDefault="006C5F2A">
      <w:pPr>
        <w:pStyle w:val="TM1"/>
        <w:tabs>
          <w:tab w:val="left" w:pos="660"/>
        </w:tabs>
        <w:rPr>
          <w:rFonts w:eastAsia="Times New Roman" w:cs="Times New Roman"/>
          <w:b w:val="0"/>
          <w:bCs w:val="0"/>
          <w:caps w:val="0"/>
          <w:noProof/>
          <w:sz w:val="22"/>
          <w:szCs w:val="22"/>
          <w:lang w:eastAsia="fr-FR"/>
        </w:rPr>
      </w:pPr>
      <w:hyperlink w:anchor="_Toc127957749" w:history="1">
        <w:r w:rsidRPr="00ED6DAE">
          <w:rPr>
            <w:rStyle w:val="Lienhypertexte"/>
            <w:noProof/>
          </w:rPr>
          <w:t>11.</w:t>
        </w:r>
        <w:r w:rsidRPr="00FB04F6">
          <w:rPr>
            <w:rFonts w:eastAsia="Times New Roman" w:cs="Times New Roman"/>
            <w:b w:val="0"/>
            <w:bCs w:val="0"/>
            <w:caps w:val="0"/>
            <w:noProof/>
            <w:sz w:val="22"/>
            <w:szCs w:val="22"/>
            <w:lang w:eastAsia="fr-FR"/>
          </w:rPr>
          <w:tab/>
        </w:r>
        <w:r w:rsidRPr="00ED6DAE">
          <w:rPr>
            <w:rStyle w:val="Lienhypertexte"/>
            <w:noProof/>
          </w:rPr>
          <w:t>PROCEDURES DE MOBILISATION DES PARTIES PRENANTES</w:t>
        </w:r>
        <w:r>
          <w:rPr>
            <w:noProof/>
            <w:webHidden/>
          </w:rPr>
          <w:tab/>
        </w:r>
        <w:r>
          <w:rPr>
            <w:noProof/>
            <w:webHidden/>
          </w:rPr>
          <w:fldChar w:fldCharType="begin"/>
        </w:r>
        <w:r>
          <w:rPr>
            <w:noProof/>
            <w:webHidden/>
          </w:rPr>
          <w:instrText xml:space="preserve"> PAGEREF _Toc127957749 \h </w:instrText>
        </w:r>
        <w:r>
          <w:rPr>
            <w:noProof/>
            <w:webHidden/>
          </w:rPr>
        </w:r>
        <w:r>
          <w:rPr>
            <w:noProof/>
            <w:webHidden/>
          </w:rPr>
          <w:fldChar w:fldCharType="separate"/>
        </w:r>
        <w:r w:rsidR="00B05C7F">
          <w:rPr>
            <w:noProof/>
            <w:webHidden/>
          </w:rPr>
          <w:t>245</w:t>
        </w:r>
        <w:r>
          <w:rPr>
            <w:noProof/>
            <w:webHidden/>
          </w:rPr>
          <w:fldChar w:fldCharType="end"/>
        </w:r>
      </w:hyperlink>
    </w:p>
    <w:p w14:paraId="53F4AFAB" w14:textId="77777777" w:rsidR="006C5F2A" w:rsidRPr="00FB04F6" w:rsidRDefault="006C5F2A">
      <w:pPr>
        <w:pStyle w:val="TM2"/>
        <w:rPr>
          <w:rFonts w:eastAsia="Times New Roman" w:cs="Times New Roman"/>
          <w:smallCaps w:val="0"/>
          <w:noProof/>
          <w:sz w:val="22"/>
          <w:szCs w:val="22"/>
          <w:lang w:eastAsia="fr-FR"/>
        </w:rPr>
      </w:pPr>
      <w:hyperlink w:anchor="_Toc127957750" w:history="1">
        <w:r w:rsidRPr="00ED6DAE">
          <w:rPr>
            <w:rStyle w:val="Lienhypertexte"/>
            <w:noProof/>
          </w:rPr>
          <w:t>11.1.</w:t>
        </w:r>
        <w:r w:rsidRPr="00FB04F6">
          <w:rPr>
            <w:rFonts w:eastAsia="Times New Roman" w:cs="Times New Roman"/>
            <w:smallCaps w:val="0"/>
            <w:noProof/>
            <w:sz w:val="22"/>
            <w:szCs w:val="22"/>
            <w:lang w:eastAsia="fr-FR"/>
          </w:rPr>
          <w:tab/>
        </w:r>
        <w:r w:rsidRPr="00ED6DAE">
          <w:rPr>
            <w:rStyle w:val="Lienhypertexte"/>
            <w:noProof/>
          </w:rPr>
          <w:t>Principes généraux</w:t>
        </w:r>
        <w:r>
          <w:rPr>
            <w:noProof/>
            <w:webHidden/>
          </w:rPr>
          <w:tab/>
        </w:r>
        <w:r>
          <w:rPr>
            <w:noProof/>
            <w:webHidden/>
          </w:rPr>
          <w:fldChar w:fldCharType="begin"/>
        </w:r>
        <w:r>
          <w:rPr>
            <w:noProof/>
            <w:webHidden/>
          </w:rPr>
          <w:instrText xml:space="preserve"> PAGEREF _Toc127957750 \h </w:instrText>
        </w:r>
        <w:r>
          <w:rPr>
            <w:noProof/>
            <w:webHidden/>
          </w:rPr>
        </w:r>
        <w:r>
          <w:rPr>
            <w:noProof/>
            <w:webHidden/>
          </w:rPr>
          <w:fldChar w:fldCharType="separate"/>
        </w:r>
        <w:r w:rsidR="00B05C7F">
          <w:rPr>
            <w:noProof/>
            <w:webHidden/>
          </w:rPr>
          <w:t>245</w:t>
        </w:r>
        <w:r>
          <w:rPr>
            <w:noProof/>
            <w:webHidden/>
          </w:rPr>
          <w:fldChar w:fldCharType="end"/>
        </w:r>
      </w:hyperlink>
    </w:p>
    <w:p w14:paraId="6D0405EA" w14:textId="77777777" w:rsidR="006C5F2A" w:rsidRPr="00FB04F6" w:rsidRDefault="006C5F2A">
      <w:pPr>
        <w:pStyle w:val="TM2"/>
        <w:rPr>
          <w:rFonts w:eastAsia="Times New Roman" w:cs="Times New Roman"/>
          <w:smallCaps w:val="0"/>
          <w:noProof/>
          <w:sz w:val="22"/>
          <w:szCs w:val="22"/>
          <w:lang w:eastAsia="fr-FR"/>
        </w:rPr>
      </w:pPr>
      <w:hyperlink w:anchor="_Toc127957751" w:history="1">
        <w:r w:rsidRPr="00ED6DAE">
          <w:rPr>
            <w:rStyle w:val="Lienhypertexte"/>
            <w:noProof/>
          </w:rPr>
          <w:t>11.2.</w:t>
        </w:r>
        <w:r w:rsidRPr="00FB04F6">
          <w:rPr>
            <w:rFonts w:eastAsia="Times New Roman" w:cs="Times New Roman"/>
            <w:smallCaps w:val="0"/>
            <w:noProof/>
            <w:sz w:val="22"/>
            <w:szCs w:val="22"/>
            <w:lang w:eastAsia="fr-FR"/>
          </w:rPr>
          <w:tab/>
        </w:r>
        <w:r w:rsidRPr="00ED6DAE">
          <w:rPr>
            <w:rStyle w:val="Lienhypertexte"/>
            <w:noProof/>
          </w:rPr>
          <w:t>Buts et objectifs de la mobilisation</w:t>
        </w:r>
        <w:r>
          <w:rPr>
            <w:noProof/>
            <w:webHidden/>
          </w:rPr>
          <w:tab/>
        </w:r>
        <w:r>
          <w:rPr>
            <w:noProof/>
            <w:webHidden/>
          </w:rPr>
          <w:fldChar w:fldCharType="begin"/>
        </w:r>
        <w:r>
          <w:rPr>
            <w:noProof/>
            <w:webHidden/>
          </w:rPr>
          <w:instrText xml:space="preserve"> PAGEREF _Toc127957751 \h </w:instrText>
        </w:r>
        <w:r>
          <w:rPr>
            <w:noProof/>
            <w:webHidden/>
          </w:rPr>
        </w:r>
        <w:r>
          <w:rPr>
            <w:noProof/>
            <w:webHidden/>
          </w:rPr>
          <w:fldChar w:fldCharType="separate"/>
        </w:r>
        <w:r w:rsidR="00B05C7F">
          <w:rPr>
            <w:noProof/>
            <w:webHidden/>
          </w:rPr>
          <w:t>245</w:t>
        </w:r>
        <w:r>
          <w:rPr>
            <w:noProof/>
            <w:webHidden/>
          </w:rPr>
          <w:fldChar w:fldCharType="end"/>
        </w:r>
      </w:hyperlink>
    </w:p>
    <w:p w14:paraId="4E63D732" w14:textId="77777777" w:rsidR="006C5F2A" w:rsidRPr="00FB04F6" w:rsidRDefault="006C5F2A">
      <w:pPr>
        <w:pStyle w:val="TM2"/>
        <w:rPr>
          <w:rFonts w:eastAsia="Times New Roman" w:cs="Times New Roman"/>
          <w:smallCaps w:val="0"/>
          <w:noProof/>
          <w:sz w:val="22"/>
          <w:szCs w:val="22"/>
          <w:lang w:eastAsia="fr-FR"/>
        </w:rPr>
      </w:pPr>
      <w:hyperlink w:anchor="_Toc127957752" w:history="1">
        <w:r w:rsidRPr="00ED6DAE">
          <w:rPr>
            <w:rStyle w:val="Lienhypertexte"/>
            <w:noProof/>
          </w:rPr>
          <w:t>11.3.</w:t>
        </w:r>
        <w:r w:rsidRPr="00FB04F6">
          <w:rPr>
            <w:rFonts w:eastAsia="Times New Roman" w:cs="Times New Roman"/>
            <w:smallCaps w:val="0"/>
            <w:noProof/>
            <w:sz w:val="22"/>
            <w:szCs w:val="22"/>
            <w:lang w:eastAsia="fr-FR"/>
          </w:rPr>
          <w:tab/>
        </w:r>
        <w:r w:rsidRPr="00ED6DAE">
          <w:rPr>
            <w:rStyle w:val="Lienhypertexte"/>
            <w:noProof/>
          </w:rPr>
          <w:t>Identification des groupes vulnérables</w:t>
        </w:r>
        <w:r>
          <w:rPr>
            <w:noProof/>
            <w:webHidden/>
          </w:rPr>
          <w:tab/>
        </w:r>
        <w:r>
          <w:rPr>
            <w:noProof/>
            <w:webHidden/>
          </w:rPr>
          <w:fldChar w:fldCharType="begin"/>
        </w:r>
        <w:r>
          <w:rPr>
            <w:noProof/>
            <w:webHidden/>
          </w:rPr>
          <w:instrText xml:space="preserve"> PAGEREF _Toc127957752 \h </w:instrText>
        </w:r>
        <w:r>
          <w:rPr>
            <w:noProof/>
            <w:webHidden/>
          </w:rPr>
        </w:r>
        <w:r>
          <w:rPr>
            <w:noProof/>
            <w:webHidden/>
          </w:rPr>
          <w:fldChar w:fldCharType="separate"/>
        </w:r>
        <w:r w:rsidR="00B05C7F">
          <w:rPr>
            <w:noProof/>
            <w:webHidden/>
          </w:rPr>
          <w:t>246</w:t>
        </w:r>
        <w:r>
          <w:rPr>
            <w:noProof/>
            <w:webHidden/>
          </w:rPr>
          <w:fldChar w:fldCharType="end"/>
        </w:r>
      </w:hyperlink>
    </w:p>
    <w:p w14:paraId="6743764C" w14:textId="77777777" w:rsidR="006C5F2A" w:rsidRPr="00FB04F6" w:rsidRDefault="006C5F2A">
      <w:pPr>
        <w:pStyle w:val="TM2"/>
        <w:rPr>
          <w:rFonts w:eastAsia="Times New Roman" w:cs="Times New Roman"/>
          <w:smallCaps w:val="0"/>
          <w:noProof/>
          <w:sz w:val="22"/>
          <w:szCs w:val="22"/>
          <w:lang w:eastAsia="fr-FR"/>
        </w:rPr>
      </w:pPr>
      <w:hyperlink w:anchor="_Toc127957753" w:history="1">
        <w:r w:rsidRPr="00ED6DAE">
          <w:rPr>
            <w:rStyle w:val="Lienhypertexte"/>
            <w:noProof/>
          </w:rPr>
          <w:t>11.4.</w:t>
        </w:r>
        <w:r w:rsidRPr="00FB04F6">
          <w:rPr>
            <w:rFonts w:eastAsia="Times New Roman" w:cs="Times New Roman"/>
            <w:smallCaps w:val="0"/>
            <w:noProof/>
            <w:sz w:val="22"/>
            <w:szCs w:val="22"/>
            <w:lang w:eastAsia="fr-FR"/>
          </w:rPr>
          <w:tab/>
        </w:r>
        <w:r w:rsidRPr="00ED6DAE">
          <w:rPr>
            <w:rStyle w:val="Lienhypertexte"/>
            <w:noProof/>
          </w:rPr>
          <w:t>Méthodes de mobilisation des Parties Prenantes</w:t>
        </w:r>
        <w:r>
          <w:rPr>
            <w:noProof/>
            <w:webHidden/>
          </w:rPr>
          <w:tab/>
        </w:r>
        <w:r>
          <w:rPr>
            <w:noProof/>
            <w:webHidden/>
          </w:rPr>
          <w:fldChar w:fldCharType="begin"/>
        </w:r>
        <w:r>
          <w:rPr>
            <w:noProof/>
            <w:webHidden/>
          </w:rPr>
          <w:instrText xml:space="preserve"> PAGEREF _Toc127957753 \h </w:instrText>
        </w:r>
        <w:r>
          <w:rPr>
            <w:noProof/>
            <w:webHidden/>
          </w:rPr>
        </w:r>
        <w:r>
          <w:rPr>
            <w:noProof/>
            <w:webHidden/>
          </w:rPr>
          <w:fldChar w:fldCharType="separate"/>
        </w:r>
        <w:r w:rsidR="00B05C7F">
          <w:rPr>
            <w:noProof/>
            <w:webHidden/>
          </w:rPr>
          <w:t>246</w:t>
        </w:r>
        <w:r>
          <w:rPr>
            <w:noProof/>
            <w:webHidden/>
          </w:rPr>
          <w:fldChar w:fldCharType="end"/>
        </w:r>
      </w:hyperlink>
    </w:p>
    <w:p w14:paraId="221E3959" w14:textId="77777777" w:rsidR="006C5F2A" w:rsidRPr="00FB04F6" w:rsidRDefault="006C5F2A">
      <w:pPr>
        <w:pStyle w:val="TM1"/>
        <w:tabs>
          <w:tab w:val="left" w:pos="660"/>
        </w:tabs>
        <w:rPr>
          <w:rFonts w:eastAsia="Times New Roman" w:cs="Times New Roman"/>
          <w:b w:val="0"/>
          <w:bCs w:val="0"/>
          <w:caps w:val="0"/>
          <w:noProof/>
          <w:sz w:val="22"/>
          <w:szCs w:val="22"/>
          <w:lang w:eastAsia="fr-FR"/>
        </w:rPr>
      </w:pPr>
      <w:hyperlink w:anchor="_Toc127957754" w:history="1">
        <w:r w:rsidRPr="00ED6DAE">
          <w:rPr>
            <w:rStyle w:val="Lienhypertexte"/>
            <w:noProof/>
          </w:rPr>
          <w:t>12.</w:t>
        </w:r>
        <w:r w:rsidRPr="00FB04F6">
          <w:rPr>
            <w:rFonts w:eastAsia="Times New Roman" w:cs="Times New Roman"/>
            <w:b w:val="0"/>
            <w:bCs w:val="0"/>
            <w:caps w:val="0"/>
            <w:noProof/>
            <w:sz w:val="22"/>
            <w:szCs w:val="22"/>
            <w:lang w:eastAsia="fr-FR"/>
          </w:rPr>
          <w:tab/>
        </w:r>
        <w:r w:rsidRPr="00ED6DAE">
          <w:rPr>
            <w:rStyle w:val="Lienhypertexte"/>
            <w:noProof/>
          </w:rPr>
          <w:t>Plan d’action contre le VBG</w:t>
        </w:r>
        <w:r>
          <w:rPr>
            <w:noProof/>
            <w:webHidden/>
          </w:rPr>
          <w:tab/>
        </w:r>
        <w:r>
          <w:rPr>
            <w:noProof/>
            <w:webHidden/>
          </w:rPr>
          <w:fldChar w:fldCharType="begin"/>
        </w:r>
        <w:r>
          <w:rPr>
            <w:noProof/>
            <w:webHidden/>
          </w:rPr>
          <w:instrText xml:space="preserve"> PAGEREF _Toc127957754 \h </w:instrText>
        </w:r>
        <w:r>
          <w:rPr>
            <w:noProof/>
            <w:webHidden/>
          </w:rPr>
        </w:r>
        <w:r>
          <w:rPr>
            <w:noProof/>
            <w:webHidden/>
          </w:rPr>
          <w:fldChar w:fldCharType="separate"/>
        </w:r>
        <w:r w:rsidR="00B05C7F">
          <w:rPr>
            <w:noProof/>
            <w:webHidden/>
          </w:rPr>
          <w:t>250</w:t>
        </w:r>
        <w:r>
          <w:rPr>
            <w:noProof/>
            <w:webHidden/>
          </w:rPr>
          <w:fldChar w:fldCharType="end"/>
        </w:r>
      </w:hyperlink>
    </w:p>
    <w:p w14:paraId="7C8AC8D8" w14:textId="77777777" w:rsidR="006C5F2A" w:rsidRPr="00FB04F6" w:rsidRDefault="006C5F2A">
      <w:pPr>
        <w:pStyle w:val="TM2"/>
        <w:rPr>
          <w:rFonts w:eastAsia="Times New Roman" w:cs="Times New Roman"/>
          <w:smallCaps w:val="0"/>
          <w:noProof/>
          <w:sz w:val="22"/>
          <w:szCs w:val="22"/>
          <w:lang w:eastAsia="fr-FR"/>
        </w:rPr>
      </w:pPr>
      <w:hyperlink w:anchor="_Toc127957755" w:history="1">
        <w:r w:rsidRPr="00ED6DAE">
          <w:rPr>
            <w:rStyle w:val="Lienhypertexte"/>
            <w:noProof/>
          </w:rPr>
          <w:t>12.1.</w:t>
        </w:r>
        <w:r w:rsidRPr="00FB04F6">
          <w:rPr>
            <w:rFonts w:eastAsia="Times New Roman" w:cs="Times New Roman"/>
            <w:smallCaps w:val="0"/>
            <w:noProof/>
            <w:sz w:val="22"/>
            <w:szCs w:val="22"/>
            <w:lang w:eastAsia="fr-FR"/>
          </w:rPr>
          <w:tab/>
        </w:r>
        <w:r w:rsidRPr="00ED6DAE">
          <w:rPr>
            <w:rStyle w:val="Lienhypertexte"/>
            <w:noProof/>
          </w:rPr>
          <w:t>Généralité sur le VBG</w:t>
        </w:r>
        <w:r>
          <w:rPr>
            <w:noProof/>
            <w:webHidden/>
          </w:rPr>
          <w:tab/>
        </w:r>
        <w:r>
          <w:rPr>
            <w:noProof/>
            <w:webHidden/>
          </w:rPr>
          <w:fldChar w:fldCharType="begin"/>
        </w:r>
        <w:r>
          <w:rPr>
            <w:noProof/>
            <w:webHidden/>
          </w:rPr>
          <w:instrText xml:space="preserve"> PAGEREF _Toc127957755 \h </w:instrText>
        </w:r>
        <w:r>
          <w:rPr>
            <w:noProof/>
            <w:webHidden/>
          </w:rPr>
        </w:r>
        <w:r>
          <w:rPr>
            <w:noProof/>
            <w:webHidden/>
          </w:rPr>
          <w:fldChar w:fldCharType="separate"/>
        </w:r>
        <w:r w:rsidR="00B05C7F">
          <w:rPr>
            <w:noProof/>
            <w:webHidden/>
          </w:rPr>
          <w:t>250</w:t>
        </w:r>
        <w:r>
          <w:rPr>
            <w:noProof/>
            <w:webHidden/>
          </w:rPr>
          <w:fldChar w:fldCharType="end"/>
        </w:r>
      </w:hyperlink>
    </w:p>
    <w:p w14:paraId="73480B8A" w14:textId="77777777" w:rsidR="006C5F2A" w:rsidRPr="00FB04F6" w:rsidRDefault="006C5F2A">
      <w:pPr>
        <w:pStyle w:val="TM2"/>
        <w:rPr>
          <w:rFonts w:eastAsia="Times New Roman" w:cs="Times New Roman"/>
          <w:smallCaps w:val="0"/>
          <w:noProof/>
          <w:sz w:val="22"/>
          <w:szCs w:val="22"/>
          <w:lang w:eastAsia="fr-FR"/>
        </w:rPr>
      </w:pPr>
      <w:hyperlink w:anchor="_Toc127957756" w:history="1">
        <w:r w:rsidRPr="00ED6DAE">
          <w:rPr>
            <w:rStyle w:val="Lienhypertexte"/>
            <w:noProof/>
          </w:rPr>
          <w:t>12.2.</w:t>
        </w:r>
        <w:r w:rsidRPr="00FB04F6">
          <w:rPr>
            <w:rFonts w:eastAsia="Times New Roman" w:cs="Times New Roman"/>
            <w:smallCaps w:val="0"/>
            <w:noProof/>
            <w:sz w:val="22"/>
            <w:szCs w:val="22"/>
            <w:lang w:eastAsia="fr-FR"/>
          </w:rPr>
          <w:tab/>
        </w:r>
        <w:r w:rsidRPr="00ED6DAE">
          <w:rPr>
            <w:rStyle w:val="Lienhypertexte"/>
            <w:noProof/>
          </w:rPr>
          <w:t>Analyse des risques de VGB susceptibles d’être induits par le Projet</w:t>
        </w:r>
        <w:r>
          <w:rPr>
            <w:noProof/>
            <w:webHidden/>
          </w:rPr>
          <w:tab/>
        </w:r>
        <w:r>
          <w:rPr>
            <w:noProof/>
            <w:webHidden/>
          </w:rPr>
          <w:fldChar w:fldCharType="begin"/>
        </w:r>
        <w:r>
          <w:rPr>
            <w:noProof/>
            <w:webHidden/>
          </w:rPr>
          <w:instrText xml:space="preserve"> PAGEREF _Toc127957756 \h </w:instrText>
        </w:r>
        <w:r>
          <w:rPr>
            <w:noProof/>
            <w:webHidden/>
          </w:rPr>
        </w:r>
        <w:r>
          <w:rPr>
            <w:noProof/>
            <w:webHidden/>
          </w:rPr>
          <w:fldChar w:fldCharType="separate"/>
        </w:r>
        <w:r w:rsidR="00B05C7F">
          <w:rPr>
            <w:noProof/>
            <w:webHidden/>
          </w:rPr>
          <w:t>250</w:t>
        </w:r>
        <w:r>
          <w:rPr>
            <w:noProof/>
            <w:webHidden/>
          </w:rPr>
          <w:fldChar w:fldCharType="end"/>
        </w:r>
      </w:hyperlink>
    </w:p>
    <w:p w14:paraId="2DEF9DC0" w14:textId="77777777" w:rsidR="006C5F2A" w:rsidRPr="00FB04F6" w:rsidRDefault="006C5F2A">
      <w:pPr>
        <w:pStyle w:val="TM2"/>
        <w:rPr>
          <w:rFonts w:eastAsia="Times New Roman" w:cs="Times New Roman"/>
          <w:smallCaps w:val="0"/>
          <w:noProof/>
          <w:sz w:val="22"/>
          <w:szCs w:val="22"/>
          <w:lang w:eastAsia="fr-FR"/>
        </w:rPr>
      </w:pPr>
      <w:hyperlink w:anchor="_Toc127957757" w:history="1">
        <w:r w:rsidRPr="00ED6DAE">
          <w:rPr>
            <w:rStyle w:val="Lienhypertexte"/>
            <w:noProof/>
          </w:rPr>
          <w:t>12.3.</w:t>
        </w:r>
        <w:r w:rsidRPr="00FB04F6">
          <w:rPr>
            <w:rFonts w:eastAsia="Times New Roman" w:cs="Times New Roman"/>
            <w:smallCaps w:val="0"/>
            <w:noProof/>
            <w:sz w:val="22"/>
            <w:szCs w:val="22"/>
            <w:lang w:eastAsia="fr-FR"/>
          </w:rPr>
          <w:tab/>
        </w:r>
        <w:r w:rsidRPr="00ED6DAE">
          <w:rPr>
            <w:rStyle w:val="Lienhypertexte"/>
            <w:noProof/>
          </w:rPr>
          <w:t>Plan d’action contre la VBG</w:t>
        </w:r>
        <w:r>
          <w:rPr>
            <w:noProof/>
            <w:webHidden/>
          </w:rPr>
          <w:tab/>
        </w:r>
        <w:r>
          <w:rPr>
            <w:noProof/>
            <w:webHidden/>
          </w:rPr>
          <w:fldChar w:fldCharType="begin"/>
        </w:r>
        <w:r>
          <w:rPr>
            <w:noProof/>
            <w:webHidden/>
          </w:rPr>
          <w:instrText xml:space="preserve"> PAGEREF _Toc127957757 \h </w:instrText>
        </w:r>
        <w:r>
          <w:rPr>
            <w:noProof/>
            <w:webHidden/>
          </w:rPr>
        </w:r>
        <w:r>
          <w:rPr>
            <w:noProof/>
            <w:webHidden/>
          </w:rPr>
          <w:fldChar w:fldCharType="separate"/>
        </w:r>
        <w:r w:rsidR="00B05C7F">
          <w:rPr>
            <w:noProof/>
            <w:webHidden/>
          </w:rPr>
          <w:t>251</w:t>
        </w:r>
        <w:r>
          <w:rPr>
            <w:noProof/>
            <w:webHidden/>
          </w:rPr>
          <w:fldChar w:fldCharType="end"/>
        </w:r>
      </w:hyperlink>
    </w:p>
    <w:p w14:paraId="5C83A8E3" w14:textId="77777777" w:rsidR="006C5F2A" w:rsidRPr="00FB04F6" w:rsidRDefault="006C5F2A">
      <w:pPr>
        <w:pStyle w:val="TM2"/>
        <w:rPr>
          <w:rFonts w:eastAsia="Times New Roman" w:cs="Times New Roman"/>
          <w:smallCaps w:val="0"/>
          <w:noProof/>
          <w:sz w:val="22"/>
          <w:szCs w:val="22"/>
          <w:lang w:eastAsia="fr-FR"/>
        </w:rPr>
      </w:pPr>
      <w:hyperlink w:anchor="_Toc127957758" w:history="1">
        <w:r w:rsidRPr="00ED6DAE">
          <w:rPr>
            <w:rStyle w:val="Lienhypertexte"/>
            <w:noProof/>
          </w:rPr>
          <w:t>12.4.</w:t>
        </w:r>
        <w:r w:rsidRPr="00FB04F6">
          <w:rPr>
            <w:rFonts w:eastAsia="Times New Roman" w:cs="Times New Roman"/>
            <w:smallCaps w:val="0"/>
            <w:noProof/>
            <w:sz w:val="22"/>
            <w:szCs w:val="22"/>
            <w:lang w:eastAsia="fr-FR"/>
          </w:rPr>
          <w:tab/>
        </w:r>
        <w:r w:rsidRPr="00ED6DAE">
          <w:rPr>
            <w:rStyle w:val="Lienhypertexte"/>
            <w:noProof/>
          </w:rPr>
          <w:t>Mécanisme de gestion de cas de VBG</w:t>
        </w:r>
        <w:r>
          <w:rPr>
            <w:noProof/>
            <w:webHidden/>
          </w:rPr>
          <w:tab/>
        </w:r>
        <w:r>
          <w:rPr>
            <w:noProof/>
            <w:webHidden/>
          </w:rPr>
          <w:fldChar w:fldCharType="begin"/>
        </w:r>
        <w:r>
          <w:rPr>
            <w:noProof/>
            <w:webHidden/>
          </w:rPr>
          <w:instrText xml:space="preserve"> PAGEREF _Toc127957758 \h </w:instrText>
        </w:r>
        <w:r>
          <w:rPr>
            <w:noProof/>
            <w:webHidden/>
          </w:rPr>
        </w:r>
        <w:r>
          <w:rPr>
            <w:noProof/>
            <w:webHidden/>
          </w:rPr>
          <w:fldChar w:fldCharType="separate"/>
        </w:r>
        <w:r w:rsidR="00B05C7F">
          <w:rPr>
            <w:noProof/>
            <w:webHidden/>
          </w:rPr>
          <w:t>252</w:t>
        </w:r>
        <w:r>
          <w:rPr>
            <w:noProof/>
            <w:webHidden/>
          </w:rPr>
          <w:fldChar w:fldCharType="end"/>
        </w:r>
      </w:hyperlink>
    </w:p>
    <w:p w14:paraId="41F2FA03" w14:textId="77777777" w:rsidR="006C5F2A" w:rsidRPr="00FB04F6" w:rsidRDefault="006C5F2A">
      <w:pPr>
        <w:pStyle w:val="TM1"/>
        <w:tabs>
          <w:tab w:val="left" w:pos="660"/>
        </w:tabs>
        <w:rPr>
          <w:rFonts w:eastAsia="Times New Roman" w:cs="Times New Roman"/>
          <w:b w:val="0"/>
          <w:bCs w:val="0"/>
          <w:caps w:val="0"/>
          <w:noProof/>
          <w:sz w:val="22"/>
          <w:szCs w:val="22"/>
          <w:lang w:eastAsia="fr-FR"/>
        </w:rPr>
      </w:pPr>
      <w:hyperlink w:anchor="_Toc127957759" w:history="1">
        <w:r w:rsidRPr="00ED6DAE">
          <w:rPr>
            <w:rStyle w:val="Lienhypertexte"/>
            <w:noProof/>
          </w:rPr>
          <w:t>13.</w:t>
        </w:r>
        <w:r w:rsidRPr="00FB04F6">
          <w:rPr>
            <w:rFonts w:eastAsia="Times New Roman" w:cs="Times New Roman"/>
            <w:b w:val="0"/>
            <w:bCs w:val="0"/>
            <w:caps w:val="0"/>
            <w:noProof/>
            <w:sz w:val="22"/>
            <w:szCs w:val="22"/>
            <w:lang w:eastAsia="fr-FR"/>
          </w:rPr>
          <w:tab/>
        </w:r>
        <w:r w:rsidRPr="00ED6DAE">
          <w:rPr>
            <w:rStyle w:val="Lienhypertexte"/>
            <w:noProof/>
          </w:rPr>
          <w:t>Mécan</w:t>
        </w:r>
        <w:r w:rsidRPr="00ED6DAE">
          <w:rPr>
            <w:rStyle w:val="Lienhypertexte"/>
            <w:noProof/>
          </w:rPr>
          <w:t>i</w:t>
        </w:r>
        <w:r w:rsidRPr="00ED6DAE">
          <w:rPr>
            <w:rStyle w:val="Lienhypertexte"/>
            <w:noProof/>
          </w:rPr>
          <w:t>sme de Gestion des Plaintes</w:t>
        </w:r>
        <w:r>
          <w:rPr>
            <w:noProof/>
            <w:webHidden/>
          </w:rPr>
          <w:tab/>
        </w:r>
        <w:r>
          <w:rPr>
            <w:noProof/>
            <w:webHidden/>
          </w:rPr>
          <w:fldChar w:fldCharType="begin"/>
        </w:r>
        <w:r>
          <w:rPr>
            <w:noProof/>
            <w:webHidden/>
          </w:rPr>
          <w:instrText xml:space="preserve"> PAGEREF _Toc127957759 \h </w:instrText>
        </w:r>
        <w:r>
          <w:rPr>
            <w:noProof/>
            <w:webHidden/>
          </w:rPr>
        </w:r>
        <w:r>
          <w:rPr>
            <w:noProof/>
            <w:webHidden/>
          </w:rPr>
          <w:fldChar w:fldCharType="separate"/>
        </w:r>
        <w:r w:rsidR="00B05C7F">
          <w:rPr>
            <w:noProof/>
            <w:webHidden/>
          </w:rPr>
          <w:t>255</w:t>
        </w:r>
        <w:r>
          <w:rPr>
            <w:noProof/>
            <w:webHidden/>
          </w:rPr>
          <w:fldChar w:fldCharType="end"/>
        </w:r>
      </w:hyperlink>
    </w:p>
    <w:p w14:paraId="216E0DFF" w14:textId="77777777" w:rsidR="006C5F2A" w:rsidRPr="00FB04F6" w:rsidRDefault="006C5F2A">
      <w:pPr>
        <w:pStyle w:val="TM2"/>
        <w:rPr>
          <w:rFonts w:eastAsia="Times New Roman" w:cs="Times New Roman"/>
          <w:smallCaps w:val="0"/>
          <w:noProof/>
          <w:sz w:val="22"/>
          <w:szCs w:val="22"/>
          <w:lang w:eastAsia="fr-FR"/>
        </w:rPr>
      </w:pPr>
      <w:hyperlink w:anchor="_Toc127957760" w:history="1">
        <w:r w:rsidRPr="00ED6DAE">
          <w:rPr>
            <w:rStyle w:val="Lienhypertexte"/>
            <w:noProof/>
          </w:rPr>
          <w:t>13.1.</w:t>
        </w:r>
        <w:r w:rsidRPr="00FB04F6">
          <w:rPr>
            <w:rFonts w:eastAsia="Times New Roman" w:cs="Times New Roman"/>
            <w:smallCaps w:val="0"/>
            <w:noProof/>
            <w:sz w:val="22"/>
            <w:szCs w:val="22"/>
            <w:lang w:eastAsia="fr-FR"/>
          </w:rPr>
          <w:tab/>
        </w:r>
        <w:r w:rsidRPr="00ED6DAE">
          <w:rPr>
            <w:rStyle w:val="Lienhypertexte"/>
            <w:noProof/>
          </w:rPr>
          <w:t>Objectifs du mécanisme de gestion des plaintes</w:t>
        </w:r>
        <w:r>
          <w:rPr>
            <w:noProof/>
            <w:webHidden/>
          </w:rPr>
          <w:tab/>
        </w:r>
        <w:r>
          <w:rPr>
            <w:noProof/>
            <w:webHidden/>
          </w:rPr>
          <w:fldChar w:fldCharType="begin"/>
        </w:r>
        <w:r>
          <w:rPr>
            <w:noProof/>
            <w:webHidden/>
          </w:rPr>
          <w:instrText xml:space="preserve"> PAGEREF _Toc127957760 \h </w:instrText>
        </w:r>
        <w:r>
          <w:rPr>
            <w:noProof/>
            <w:webHidden/>
          </w:rPr>
        </w:r>
        <w:r>
          <w:rPr>
            <w:noProof/>
            <w:webHidden/>
          </w:rPr>
          <w:fldChar w:fldCharType="separate"/>
        </w:r>
        <w:r w:rsidR="00B05C7F">
          <w:rPr>
            <w:noProof/>
            <w:webHidden/>
          </w:rPr>
          <w:t>255</w:t>
        </w:r>
        <w:r>
          <w:rPr>
            <w:noProof/>
            <w:webHidden/>
          </w:rPr>
          <w:fldChar w:fldCharType="end"/>
        </w:r>
      </w:hyperlink>
    </w:p>
    <w:p w14:paraId="161BBF5D" w14:textId="77777777" w:rsidR="006C5F2A" w:rsidRPr="00FB04F6" w:rsidRDefault="006C5F2A">
      <w:pPr>
        <w:pStyle w:val="TM2"/>
        <w:rPr>
          <w:rFonts w:eastAsia="Times New Roman" w:cs="Times New Roman"/>
          <w:smallCaps w:val="0"/>
          <w:noProof/>
          <w:sz w:val="22"/>
          <w:szCs w:val="22"/>
          <w:lang w:eastAsia="fr-FR"/>
        </w:rPr>
      </w:pPr>
      <w:hyperlink w:anchor="_Toc127957761" w:history="1">
        <w:r w:rsidRPr="00ED6DAE">
          <w:rPr>
            <w:rStyle w:val="Lienhypertexte"/>
            <w:noProof/>
          </w:rPr>
          <w:t>13.2.</w:t>
        </w:r>
        <w:r w:rsidRPr="00FB04F6">
          <w:rPr>
            <w:rFonts w:eastAsia="Times New Roman" w:cs="Times New Roman"/>
            <w:smallCaps w:val="0"/>
            <w:noProof/>
            <w:sz w:val="22"/>
            <w:szCs w:val="22"/>
            <w:lang w:eastAsia="fr-FR"/>
          </w:rPr>
          <w:tab/>
        </w:r>
        <w:r w:rsidRPr="00ED6DAE">
          <w:rPr>
            <w:rStyle w:val="Lienhypertexte"/>
            <w:noProof/>
          </w:rPr>
          <w:t>Principes de traitement des plaintes et des doléances</w:t>
        </w:r>
        <w:r>
          <w:rPr>
            <w:noProof/>
            <w:webHidden/>
          </w:rPr>
          <w:tab/>
        </w:r>
        <w:r>
          <w:rPr>
            <w:noProof/>
            <w:webHidden/>
          </w:rPr>
          <w:fldChar w:fldCharType="begin"/>
        </w:r>
        <w:r>
          <w:rPr>
            <w:noProof/>
            <w:webHidden/>
          </w:rPr>
          <w:instrText xml:space="preserve"> PAGEREF _Toc127957761 \h </w:instrText>
        </w:r>
        <w:r>
          <w:rPr>
            <w:noProof/>
            <w:webHidden/>
          </w:rPr>
        </w:r>
        <w:r>
          <w:rPr>
            <w:noProof/>
            <w:webHidden/>
          </w:rPr>
          <w:fldChar w:fldCharType="separate"/>
        </w:r>
        <w:r w:rsidR="00B05C7F">
          <w:rPr>
            <w:noProof/>
            <w:webHidden/>
          </w:rPr>
          <w:t>255</w:t>
        </w:r>
        <w:r>
          <w:rPr>
            <w:noProof/>
            <w:webHidden/>
          </w:rPr>
          <w:fldChar w:fldCharType="end"/>
        </w:r>
      </w:hyperlink>
    </w:p>
    <w:p w14:paraId="41891074" w14:textId="77777777" w:rsidR="006C5F2A" w:rsidRPr="00FB04F6" w:rsidRDefault="006C5F2A">
      <w:pPr>
        <w:pStyle w:val="TM2"/>
        <w:rPr>
          <w:rFonts w:eastAsia="Times New Roman" w:cs="Times New Roman"/>
          <w:smallCaps w:val="0"/>
          <w:noProof/>
          <w:sz w:val="22"/>
          <w:szCs w:val="22"/>
          <w:lang w:eastAsia="fr-FR"/>
        </w:rPr>
      </w:pPr>
      <w:hyperlink w:anchor="_Toc127957762" w:history="1">
        <w:r w:rsidRPr="00ED6DAE">
          <w:rPr>
            <w:rStyle w:val="Lienhypertexte"/>
            <w:noProof/>
          </w:rPr>
          <w:t>13.3.</w:t>
        </w:r>
        <w:r w:rsidRPr="00FB04F6">
          <w:rPr>
            <w:rFonts w:eastAsia="Times New Roman" w:cs="Times New Roman"/>
            <w:smallCaps w:val="0"/>
            <w:noProof/>
            <w:sz w:val="22"/>
            <w:szCs w:val="22"/>
            <w:lang w:eastAsia="fr-FR"/>
          </w:rPr>
          <w:tab/>
        </w:r>
        <w:r w:rsidRPr="00ED6DAE">
          <w:rPr>
            <w:rStyle w:val="Lienhypertexte"/>
            <w:noProof/>
          </w:rPr>
          <w:t>Informations et sensibilisation sur l’existence du MGP</w:t>
        </w:r>
        <w:r>
          <w:rPr>
            <w:noProof/>
            <w:webHidden/>
          </w:rPr>
          <w:tab/>
        </w:r>
        <w:r>
          <w:rPr>
            <w:noProof/>
            <w:webHidden/>
          </w:rPr>
          <w:fldChar w:fldCharType="begin"/>
        </w:r>
        <w:r>
          <w:rPr>
            <w:noProof/>
            <w:webHidden/>
          </w:rPr>
          <w:instrText xml:space="preserve"> PAGEREF _Toc127957762 \h </w:instrText>
        </w:r>
        <w:r>
          <w:rPr>
            <w:noProof/>
            <w:webHidden/>
          </w:rPr>
        </w:r>
        <w:r>
          <w:rPr>
            <w:noProof/>
            <w:webHidden/>
          </w:rPr>
          <w:fldChar w:fldCharType="separate"/>
        </w:r>
        <w:r w:rsidR="00B05C7F">
          <w:rPr>
            <w:noProof/>
            <w:webHidden/>
          </w:rPr>
          <w:t>256</w:t>
        </w:r>
        <w:r>
          <w:rPr>
            <w:noProof/>
            <w:webHidden/>
          </w:rPr>
          <w:fldChar w:fldCharType="end"/>
        </w:r>
      </w:hyperlink>
    </w:p>
    <w:p w14:paraId="4248F86C" w14:textId="77777777" w:rsidR="006C5F2A" w:rsidRPr="00FB04F6" w:rsidRDefault="006C5F2A">
      <w:pPr>
        <w:pStyle w:val="TM2"/>
        <w:rPr>
          <w:rFonts w:eastAsia="Times New Roman" w:cs="Times New Roman"/>
          <w:smallCaps w:val="0"/>
          <w:noProof/>
          <w:sz w:val="22"/>
          <w:szCs w:val="22"/>
          <w:lang w:eastAsia="fr-FR"/>
        </w:rPr>
      </w:pPr>
      <w:hyperlink w:anchor="_Toc127957763" w:history="1">
        <w:r w:rsidRPr="00ED6DAE">
          <w:rPr>
            <w:rStyle w:val="Lienhypertexte"/>
            <w:noProof/>
          </w:rPr>
          <w:t>13.4.</w:t>
        </w:r>
        <w:r w:rsidRPr="00FB04F6">
          <w:rPr>
            <w:rFonts w:eastAsia="Times New Roman" w:cs="Times New Roman"/>
            <w:smallCaps w:val="0"/>
            <w:noProof/>
            <w:sz w:val="22"/>
            <w:szCs w:val="22"/>
            <w:lang w:eastAsia="fr-FR"/>
          </w:rPr>
          <w:tab/>
        </w:r>
        <w:r w:rsidRPr="00ED6DAE">
          <w:rPr>
            <w:rStyle w:val="Lienhypertexte"/>
            <w:noProof/>
          </w:rPr>
          <w:t>Caractéristiques des plaintes et des doléances</w:t>
        </w:r>
        <w:r>
          <w:rPr>
            <w:noProof/>
            <w:webHidden/>
          </w:rPr>
          <w:tab/>
        </w:r>
        <w:r>
          <w:rPr>
            <w:noProof/>
            <w:webHidden/>
          </w:rPr>
          <w:fldChar w:fldCharType="begin"/>
        </w:r>
        <w:r>
          <w:rPr>
            <w:noProof/>
            <w:webHidden/>
          </w:rPr>
          <w:instrText xml:space="preserve"> PAGEREF _Toc127957763 \h </w:instrText>
        </w:r>
        <w:r>
          <w:rPr>
            <w:noProof/>
            <w:webHidden/>
          </w:rPr>
        </w:r>
        <w:r>
          <w:rPr>
            <w:noProof/>
            <w:webHidden/>
          </w:rPr>
          <w:fldChar w:fldCharType="separate"/>
        </w:r>
        <w:r w:rsidR="00B05C7F">
          <w:rPr>
            <w:noProof/>
            <w:webHidden/>
          </w:rPr>
          <w:t>256</w:t>
        </w:r>
        <w:r>
          <w:rPr>
            <w:noProof/>
            <w:webHidden/>
          </w:rPr>
          <w:fldChar w:fldCharType="end"/>
        </w:r>
      </w:hyperlink>
    </w:p>
    <w:p w14:paraId="046F2F9D" w14:textId="77777777" w:rsidR="006C5F2A" w:rsidRPr="00FB04F6" w:rsidRDefault="006C5F2A">
      <w:pPr>
        <w:pStyle w:val="TM3"/>
        <w:rPr>
          <w:rFonts w:eastAsia="Times New Roman" w:cs="Times New Roman"/>
          <w:i w:val="0"/>
          <w:iCs w:val="0"/>
          <w:noProof/>
          <w:sz w:val="22"/>
          <w:szCs w:val="22"/>
          <w:lang w:eastAsia="fr-FR"/>
        </w:rPr>
      </w:pPr>
      <w:hyperlink w:anchor="_Toc127957764" w:history="1">
        <w:r w:rsidRPr="00ED6DAE">
          <w:rPr>
            <w:rStyle w:val="Lienhypertexte"/>
            <w:noProof/>
          </w:rPr>
          <w:t>13.4.1.</w:t>
        </w:r>
        <w:r w:rsidRPr="00FB04F6">
          <w:rPr>
            <w:rFonts w:eastAsia="Times New Roman" w:cs="Times New Roman"/>
            <w:i w:val="0"/>
            <w:iCs w:val="0"/>
            <w:noProof/>
            <w:sz w:val="22"/>
            <w:szCs w:val="22"/>
            <w:lang w:eastAsia="fr-FR"/>
          </w:rPr>
          <w:tab/>
        </w:r>
        <w:r w:rsidRPr="00ED6DAE">
          <w:rPr>
            <w:rStyle w:val="Lienhypertexte"/>
            <w:noProof/>
          </w:rPr>
          <w:t>Porte d’entrée des plaintes</w:t>
        </w:r>
        <w:r>
          <w:rPr>
            <w:noProof/>
            <w:webHidden/>
          </w:rPr>
          <w:tab/>
        </w:r>
        <w:r>
          <w:rPr>
            <w:noProof/>
            <w:webHidden/>
          </w:rPr>
          <w:fldChar w:fldCharType="begin"/>
        </w:r>
        <w:r>
          <w:rPr>
            <w:noProof/>
            <w:webHidden/>
          </w:rPr>
          <w:instrText xml:space="preserve"> PAGEREF _Toc127957764 \h </w:instrText>
        </w:r>
        <w:r>
          <w:rPr>
            <w:noProof/>
            <w:webHidden/>
          </w:rPr>
        </w:r>
        <w:r>
          <w:rPr>
            <w:noProof/>
            <w:webHidden/>
          </w:rPr>
          <w:fldChar w:fldCharType="separate"/>
        </w:r>
        <w:r w:rsidR="00B05C7F">
          <w:rPr>
            <w:noProof/>
            <w:webHidden/>
          </w:rPr>
          <w:t>256</w:t>
        </w:r>
        <w:r>
          <w:rPr>
            <w:noProof/>
            <w:webHidden/>
          </w:rPr>
          <w:fldChar w:fldCharType="end"/>
        </w:r>
      </w:hyperlink>
    </w:p>
    <w:p w14:paraId="38824E7C" w14:textId="77777777" w:rsidR="006C5F2A" w:rsidRPr="00FB04F6" w:rsidRDefault="006C5F2A">
      <w:pPr>
        <w:pStyle w:val="TM3"/>
        <w:rPr>
          <w:rFonts w:eastAsia="Times New Roman" w:cs="Times New Roman"/>
          <w:i w:val="0"/>
          <w:iCs w:val="0"/>
          <w:noProof/>
          <w:sz w:val="22"/>
          <w:szCs w:val="22"/>
          <w:lang w:eastAsia="fr-FR"/>
        </w:rPr>
      </w:pPr>
      <w:hyperlink w:anchor="_Toc127957765" w:history="1">
        <w:r w:rsidRPr="00ED6DAE">
          <w:rPr>
            <w:rStyle w:val="Lienhypertexte"/>
            <w:noProof/>
          </w:rPr>
          <w:t>13.4.2.</w:t>
        </w:r>
        <w:r w:rsidRPr="00FB04F6">
          <w:rPr>
            <w:rFonts w:eastAsia="Times New Roman" w:cs="Times New Roman"/>
            <w:i w:val="0"/>
            <w:iCs w:val="0"/>
            <w:noProof/>
            <w:sz w:val="22"/>
            <w:szCs w:val="22"/>
            <w:lang w:eastAsia="fr-FR"/>
          </w:rPr>
          <w:tab/>
        </w:r>
        <w:r w:rsidRPr="00ED6DAE">
          <w:rPr>
            <w:rStyle w:val="Lienhypertexte"/>
            <w:noProof/>
          </w:rPr>
          <w:t>Catégories de plaintes et de doléances</w:t>
        </w:r>
        <w:r>
          <w:rPr>
            <w:noProof/>
            <w:webHidden/>
          </w:rPr>
          <w:tab/>
        </w:r>
        <w:r>
          <w:rPr>
            <w:noProof/>
            <w:webHidden/>
          </w:rPr>
          <w:fldChar w:fldCharType="begin"/>
        </w:r>
        <w:r>
          <w:rPr>
            <w:noProof/>
            <w:webHidden/>
          </w:rPr>
          <w:instrText xml:space="preserve"> PAGEREF _Toc127957765 \h </w:instrText>
        </w:r>
        <w:r>
          <w:rPr>
            <w:noProof/>
            <w:webHidden/>
          </w:rPr>
        </w:r>
        <w:r>
          <w:rPr>
            <w:noProof/>
            <w:webHidden/>
          </w:rPr>
          <w:fldChar w:fldCharType="separate"/>
        </w:r>
        <w:r w:rsidR="00B05C7F">
          <w:rPr>
            <w:noProof/>
            <w:webHidden/>
          </w:rPr>
          <w:t>257</w:t>
        </w:r>
        <w:r>
          <w:rPr>
            <w:noProof/>
            <w:webHidden/>
          </w:rPr>
          <w:fldChar w:fldCharType="end"/>
        </w:r>
      </w:hyperlink>
    </w:p>
    <w:p w14:paraId="7A09CA94" w14:textId="77777777" w:rsidR="006C5F2A" w:rsidRPr="00FB04F6" w:rsidRDefault="006C5F2A">
      <w:pPr>
        <w:pStyle w:val="TM2"/>
        <w:rPr>
          <w:rFonts w:eastAsia="Times New Roman" w:cs="Times New Roman"/>
          <w:smallCaps w:val="0"/>
          <w:noProof/>
          <w:sz w:val="22"/>
          <w:szCs w:val="22"/>
          <w:lang w:eastAsia="fr-FR"/>
        </w:rPr>
      </w:pPr>
      <w:hyperlink w:anchor="_Toc127957766" w:history="1">
        <w:r w:rsidRPr="00ED6DAE">
          <w:rPr>
            <w:rStyle w:val="Lienhypertexte"/>
            <w:noProof/>
          </w:rPr>
          <w:t>13.5.</w:t>
        </w:r>
        <w:r w:rsidRPr="00FB04F6">
          <w:rPr>
            <w:rFonts w:eastAsia="Times New Roman" w:cs="Times New Roman"/>
            <w:smallCaps w:val="0"/>
            <w:noProof/>
            <w:sz w:val="22"/>
            <w:szCs w:val="22"/>
            <w:lang w:eastAsia="fr-FR"/>
          </w:rPr>
          <w:tab/>
        </w:r>
        <w:r w:rsidRPr="00ED6DAE">
          <w:rPr>
            <w:rStyle w:val="Lienhypertexte"/>
            <w:noProof/>
          </w:rPr>
          <w:t>Structuration et description du mécanisme proposé</w:t>
        </w:r>
        <w:r>
          <w:rPr>
            <w:noProof/>
            <w:webHidden/>
          </w:rPr>
          <w:tab/>
        </w:r>
        <w:r>
          <w:rPr>
            <w:noProof/>
            <w:webHidden/>
          </w:rPr>
          <w:fldChar w:fldCharType="begin"/>
        </w:r>
        <w:r>
          <w:rPr>
            <w:noProof/>
            <w:webHidden/>
          </w:rPr>
          <w:instrText xml:space="preserve"> PAGEREF _Toc127957766 \h </w:instrText>
        </w:r>
        <w:r>
          <w:rPr>
            <w:noProof/>
            <w:webHidden/>
          </w:rPr>
        </w:r>
        <w:r>
          <w:rPr>
            <w:noProof/>
            <w:webHidden/>
          </w:rPr>
          <w:fldChar w:fldCharType="separate"/>
        </w:r>
        <w:r w:rsidR="00B05C7F">
          <w:rPr>
            <w:noProof/>
            <w:webHidden/>
          </w:rPr>
          <w:t>257</w:t>
        </w:r>
        <w:r>
          <w:rPr>
            <w:noProof/>
            <w:webHidden/>
          </w:rPr>
          <w:fldChar w:fldCharType="end"/>
        </w:r>
      </w:hyperlink>
    </w:p>
    <w:p w14:paraId="64AD804E" w14:textId="77777777" w:rsidR="006C5F2A" w:rsidRPr="00FB04F6" w:rsidRDefault="006C5F2A">
      <w:pPr>
        <w:pStyle w:val="TM3"/>
        <w:rPr>
          <w:rFonts w:eastAsia="Times New Roman" w:cs="Times New Roman"/>
          <w:i w:val="0"/>
          <w:iCs w:val="0"/>
          <w:noProof/>
          <w:sz w:val="22"/>
          <w:szCs w:val="22"/>
          <w:lang w:eastAsia="fr-FR"/>
        </w:rPr>
      </w:pPr>
      <w:hyperlink w:anchor="_Toc127957767" w:history="1">
        <w:r w:rsidRPr="00ED6DAE">
          <w:rPr>
            <w:rStyle w:val="Lienhypertexte"/>
            <w:noProof/>
          </w:rPr>
          <w:t>13.5.1.</w:t>
        </w:r>
        <w:r w:rsidRPr="00FB04F6">
          <w:rPr>
            <w:rFonts w:eastAsia="Times New Roman" w:cs="Times New Roman"/>
            <w:i w:val="0"/>
            <w:iCs w:val="0"/>
            <w:noProof/>
            <w:sz w:val="22"/>
            <w:szCs w:val="22"/>
            <w:lang w:eastAsia="fr-FR"/>
          </w:rPr>
          <w:tab/>
        </w:r>
        <w:r w:rsidRPr="00ED6DAE">
          <w:rPr>
            <w:rStyle w:val="Lienhypertexte"/>
            <w:noProof/>
          </w:rPr>
          <w:t>Procédures standards de traitement des plaintes</w:t>
        </w:r>
        <w:r>
          <w:rPr>
            <w:noProof/>
            <w:webHidden/>
          </w:rPr>
          <w:tab/>
        </w:r>
        <w:r>
          <w:rPr>
            <w:noProof/>
            <w:webHidden/>
          </w:rPr>
          <w:fldChar w:fldCharType="begin"/>
        </w:r>
        <w:r>
          <w:rPr>
            <w:noProof/>
            <w:webHidden/>
          </w:rPr>
          <w:instrText xml:space="preserve"> PAGEREF _Toc127957767 \h </w:instrText>
        </w:r>
        <w:r>
          <w:rPr>
            <w:noProof/>
            <w:webHidden/>
          </w:rPr>
        </w:r>
        <w:r>
          <w:rPr>
            <w:noProof/>
            <w:webHidden/>
          </w:rPr>
          <w:fldChar w:fldCharType="separate"/>
        </w:r>
        <w:r w:rsidR="00B05C7F">
          <w:rPr>
            <w:noProof/>
            <w:webHidden/>
          </w:rPr>
          <w:t>257</w:t>
        </w:r>
        <w:r>
          <w:rPr>
            <w:noProof/>
            <w:webHidden/>
          </w:rPr>
          <w:fldChar w:fldCharType="end"/>
        </w:r>
      </w:hyperlink>
    </w:p>
    <w:p w14:paraId="6F2029F1" w14:textId="77777777" w:rsidR="006C5F2A" w:rsidRPr="00FB04F6" w:rsidRDefault="006C5F2A">
      <w:pPr>
        <w:pStyle w:val="TM3"/>
        <w:rPr>
          <w:rFonts w:eastAsia="Times New Roman" w:cs="Times New Roman"/>
          <w:i w:val="0"/>
          <w:iCs w:val="0"/>
          <w:noProof/>
          <w:sz w:val="22"/>
          <w:szCs w:val="22"/>
          <w:lang w:eastAsia="fr-FR"/>
        </w:rPr>
      </w:pPr>
      <w:hyperlink w:anchor="_Toc127957768" w:history="1">
        <w:r w:rsidRPr="00ED6DAE">
          <w:rPr>
            <w:rStyle w:val="Lienhypertexte"/>
            <w:noProof/>
          </w:rPr>
          <w:t>13.5.2.</w:t>
        </w:r>
        <w:r w:rsidRPr="00FB04F6">
          <w:rPr>
            <w:rFonts w:eastAsia="Times New Roman" w:cs="Times New Roman"/>
            <w:i w:val="0"/>
            <w:iCs w:val="0"/>
            <w:noProof/>
            <w:sz w:val="22"/>
            <w:szCs w:val="22"/>
            <w:lang w:eastAsia="fr-FR"/>
          </w:rPr>
          <w:tab/>
        </w:r>
        <w:r w:rsidRPr="00ED6DAE">
          <w:rPr>
            <w:rStyle w:val="Lienhypertexte"/>
            <w:noProof/>
          </w:rPr>
          <w:t>Procédures particulières de traitement des plaintes touchant les cadres du projet et les travailleurs des entreprises et/ou prestataires du Projet</w:t>
        </w:r>
        <w:r>
          <w:rPr>
            <w:noProof/>
            <w:webHidden/>
          </w:rPr>
          <w:tab/>
        </w:r>
        <w:r>
          <w:rPr>
            <w:noProof/>
            <w:webHidden/>
          </w:rPr>
          <w:fldChar w:fldCharType="begin"/>
        </w:r>
        <w:r>
          <w:rPr>
            <w:noProof/>
            <w:webHidden/>
          </w:rPr>
          <w:instrText xml:space="preserve"> PAGEREF _Toc127957768 \h </w:instrText>
        </w:r>
        <w:r>
          <w:rPr>
            <w:noProof/>
            <w:webHidden/>
          </w:rPr>
        </w:r>
        <w:r>
          <w:rPr>
            <w:noProof/>
            <w:webHidden/>
          </w:rPr>
          <w:fldChar w:fldCharType="separate"/>
        </w:r>
        <w:r w:rsidR="00B05C7F">
          <w:rPr>
            <w:noProof/>
            <w:webHidden/>
          </w:rPr>
          <w:t>259</w:t>
        </w:r>
        <w:r>
          <w:rPr>
            <w:noProof/>
            <w:webHidden/>
          </w:rPr>
          <w:fldChar w:fldCharType="end"/>
        </w:r>
      </w:hyperlink>
    </w:p>
    <w:p w14:paraId="3FF5FB30" w14:textId="77777777" w:rsidR="006C5F2A" w:rsidRPr="00FB04F6" w:rsidRDefault="006C5F2A">
      <w:pPr>
        <w:pStyle w:val="TM3"/>
        <w:rPr>
          <w:rFonts w:eastAsia="Times New Roman" w:cs="Times New Roman"/>
          <w:i w:val="0"/>
          <w:iCs w:val="0"/>
          <w:noProof/>
          <w:sz w:val="22"/>
          <w:szCs w:val="22"/>
          <w:lang w:eastAsia="fr-FR"/>
        </w:rPr>
      </w:pPr>
      <w:hyperlink w:anchor="_Toc127957769" w:history="1">
        <w:r w:rsidRPr="00ED6DAE">
          <w:rPr>
            <w:rStyle w:val="Lienhypertexte"/>
            <w:noProof/>
          </w:rPr>
          <w:t>13.5.3.</w:t>
        </w:r>
        <w:r w:rsidRPr="00FB04F6">
          <w:rPr>
            <w:rFonts w:eastAsia="Times New Roman" w:cs="Times New Roman"/>
            <w:i w:val="0"/>
            <w:iCs w:val="0"/>
            <w:noProof/>
            <w:sz w:val="22"/>
            <w:szCs w:val="22"/>
            <w:lang w:eastAsia="fr-FR"/>
          </w:rPr>
          <w:tab/>
        </w:r>
        <w:r w:rsidRPr="00ED6DAE">
          <w:rPr>
            <w:rStyle w:val="Lienhypertexte"/>
            <w:noProof/>
          </w:rPr>
          <w:t>Procédures de traitement des plaintes sensibles</w:t>
        </w:r>
        <w:r>
          <w:rPr>
            <w:noProof/>
            <w:webHidden/>
          </w:rPr>
          <w:tab/>
        </w:r>
        <w:r>
          <w:rPr>
            <w:noProof/>
            <w:webHidden/>
          </w:rPr>
          <w:fldChar w:fldCharType="begin"/>
        </w:r>
        <w:r>
          <w:rPr>
            <w:noProof/>
            <w:webHidden/>
          </w:rPr>
          <w:instrText xml:space="preserve"> PAGEREF _Toc127957769 \h </w:instrText>
        </w:r>
        <w:r>
          <w:rPr>
            <w:noProof/>
            <w:webHidden/>
          </w:rPr>
        </w:r>
        <w:r>
          <w:rPr>
            <w:noProof/>
            <w:webHidden/>
          </w:rPr>
          <w:fldChar w:fldCharType="separate"/>
        </w:r>
        <w:r w:rsidR="00B05C7F">
          <w:rPr>
            <w:noProof/>
            <w:webHidden/>
          </w:rPr>
          <w:t>259</w:t>
        </w:r>
        <w:r>
          <w:rPr>
            <w:noProof/>
            <w:webHidden/>
          </w:rPr>
          <w:fldChar w:fldCharType="end"/>
        </w:r>
      </w:hyperlink>
    </w:p>
    <w:p w14:paraId="5AB224FF" w14:textId="77777777" w:rsidR="006C5F2A" w:rsidRPr="00FB04F6" w:rsidRDefault="006C5F2A">
      <w:pPr>
        <w:pStyle w:val="TM2"/>
        <w:rPr>
          <w:rFonts w:eastAsia="Times New Roman" w:cs="Times New Roman"/>
          <w:smallCaps w:val="0"/>
          <w:noProof/>
          <w:sz w:val="22"/>
          <w:szCs w:val="22"/>
          <w:lang w:eastAsia="fr-FR"/>
        </w:rPr>
      </w:pPr>
      <w:hyperlink w:anchor="_Toc127957770" w:history="1">
        <w:r w:rsidRPr="00ED6DAE">
          <w:rPr>
            <w:rStyle w:val="Lienhypertexte"/>
            <w:noProof/>
          </w:rPr>
          <w:t>13.6.</w:t>
        </w:r>
        <w:r w:rsidRPr="00FB04F6">
          <w:rPr>
            <w:rFonts w:eastAsia="Times New Roman" w:cs="Times New Roman"/>
            <w:smallCaps w:val="0"/>
            <w:noProof/>
            <w:sz w:val="22"/>
            <w:szCs w:val="22"/>
            <w:lang w:eastAsia="fr-FR"/>
          </w:rPr>
          <w:tab/>
        </w:r>
        <w:r w:rsidRPr="00ED6DAE">
          <w:rPr>
            <w:rStyle w:val="Lienhypertexte"/>
            <w:noProof/>
          </w:rPr>
          <w:t>Procédures de gestion des plaintes et doléances</w:t>
        </w:r>
        <w:r>
          <w:rPr>
            <w:noProof/>
            <w:webHidden/>
          </w:rPr>
          <w:tab/>
        </w:r>
        <w:r>
          <w:rPr>
            <w:noProof/>
            <w:webHidden/>
          </w:rPr>
          <w:fldChar w:fldCharType="begin"/>
        </w:r>
        <w:r>
          <w:rPr>
            <w:noProof/>
            <w:webHidden/>
          </w:rPr>
          <w:instrText xml:space="preserve"> PAGEREF _Toc127957770 \h </w:instrText>
        </w:r>
        <w:r>
          <w:rPr>
            <w:noProof/>
            <w:webHidden/>
          </w:rPr>
        </w:r>
        <w:r>
          <w:rPr>
            <w:noProof/>
            <w:webHidden/>
          </w:rPr>
          <w:fldChar w:fldCharType="separate"/>
        </w:r>
        <w:r w:rsidR="00B05C7F">
          <w:rPr>
            <w:noProof/>
            <w:webHidden/>
          </w:rPr>
          <w:t>260</w:t>
        </w:r>
        <w:r>
          <w:rPr>
            <w:noProof/>
            <w:webHidden/>
          </w:rPr>
          <w:fldChar w:fldCharType="end"/>
        </w:r>
      </w:hyperlink>
    </w:p>
    <w:p w14:paraId="7F422C31" w14:textId="77777777" w:rsidR="006C5F2A" w:rsidRPr="00FB04F6" w:rsidRDefault="006C5F2A">
      <w:pPr>
        <w:pStyle w:val="TM2"/>
        <w:rPr>
          <w:rFonts w:eastAsia="Times New Roman" w:cs="Times New Roman"/>
          <w:smallCaps w:val="0"/>
          <w:noProof/>
          <w:sz w:val="22"/>
          <w:szCs w:val="22"/>
          <w:lang w:eastAsia="fr-FR"/>
        </w:rPr>
      </w:pPr>
      <w:hyperlink w:anchor="_Toc127957771" w:history="1">
        <w:r w:rsidRPr="00ED6DAE">
          <w:rPr>
            <w:rStyle w:val="Lienhypertexte"/>
            <w:noProof/>
          </w:rPr>
          <w:t>13.7.</w:t>
        </w:r>
        <w:r w:rsidRPr="00FB04F6">
          <w:rPr>
            <w:rFonts w:eastAsia="Times New Roman" w:cs="Times New Roman"/>
            <w:smallCaps w:val="0"/>
            <w:noProof/>
            <w:sz w:val="22"/>
            <w:szCs w:val="22"/>
            <w:lang w:eastAsia="fr-FR"/>
          </w:rPr>
          <w:tab/>
        </w:r>
        <w:r w:rsidRPr="00ED6DAE">
          <w:rPr>
            <w:rStyle w:val="Lienhypertexte"/>
            <w:noProof/>
          </w:rPr>
          <w:t>structure et operationnalisation du MGP</w:t>
        </w:r>
        <w:r>
          <w:rPr>
            <w:noProof/>
            <w:webHidden/>
          </w:rPr>
          <w:tab/>
        </w:r>
        <w:r>
          <w:rPr>
            <w:noProof/>
            <w:webHidden/>
          </w:rPr>
          <w:fldChar w:fldCharType="begin"/>
        </w:r>
        <w:r>
          <w:rPr>
            <w:noProof/>
            <w:webHidden/>
          </w:rPr>
          <w:instrText xml:space="preserve"> PAGEREF _Toc127957771 \h </w:instrText>
        </w:r>
        <w:r>
          <w:rPr>
            <w:noProof/>
            <w:webHidden/>
          </w:rPr>
        </w:r>
        <w:r>
          <w:rPr>
            <w:noProof/>
            <w:webHidden/>
          </w:rPr>
          <w:fldChar w:fldCharType="separate"/>
        </w:r>
        <w:r w:rsidR="00B05C7F">
          <w:rPr>
            <w:noProof/>
            <w:webHidden/>
          </w:rPr>
          <w:t>262</w:t>
        </w:r>
        <w:r>
          <w:rPr>
            <w:noProof/>
            <w:webHidden/>
          </w:rPr>
          <w:fldChar w:fldCharType="end"/>
        </w:r>
      </w:hyperlink>
    </w:p>
    <w:p w14:paraId="28A640AC" w14:textId="77777777" w:rsidR="006C5F2A" w:rsidRPr="00FB04F6" w:rsidRDefault="006C5F2A">
      <w:pPr>
        <w:pStyle w:val="TM1"/>
        <w:tabs>
          <w:tab w:val="left" w:pos="660"/>
        </w:tabs>
        <w:rPr>
          <w:rFonts w:eastAsia="Times New Roman" w:cs="Times New Roman"/>
          <w:b w:val="0"/>
          <w:bCs w:val="0"/>
          <w:caps w:val="0"/>
          <w:noProof/>
          <w:sz w:val="22"/>
          <w:szCs w:val="22"/>
          <w:lang w:eastAsia="fr-FR"/>
        </w:rPr>
      </w:pPr>
      <w:hyperlink w:anchor="_Toc127957772" w:history="1">
        <w:r w:rsidRPr="00ED6DAE">
          <w:rPr>
            <w:rStyle w:val="Lienhypertexte"/>
            <w:noProof/>
          </w:rPr>
          <w:t>14.</w:t>
        </w:r>
        <w:r w:rsidRPr="00FB04F6">
          <w:rPr>
            <w:rFonts w:eastAsia="Times New Roman" w:cs="Times New Roman"/>
            <w:b w:val="0"/>
            <w:bCs w:val="0"/>
            <w:caps w:val="0"/>
            <w:noProof/>
            <w:sz w:val="22"/>
            <w:szCs w:val="22"/>
            <w:lang w:eastAsia="fr-FR"/>
          </w:rPr>
          <w:tab/>
        </w:r>
        <w:r w:rsidRPr="00ED6DAE">
          <w:rPr>
            <w:rStyle w:val="Lienhypertexte"/>
            <w:noProof/>
          </w:rPr>
          <w:t>Conclusion</w:t>
        </w:r>
        <w:r>
          <w:rPr>
            <w:noProof/>
            <w:webHidden/>
          </w:rPr>
          <w:tab/>
        </w:r>
        <w:r>
          <w:rPr>
            <w:noProof/>
            <w:webHidden/>
          </w:rPr>
          <w:fldChar w:fldCharType="begin"/>
        </w:r>
        <w:r>
          <w:rPr>
            <w:noProof/>
            <w:webHidden/>
          </w:rPr>
          <w:instrText xml:space="preserve"> PAGEREF _Toc127957772 \h </w:instrText>
        </w:r>
        <w:r>
          <w:rPr>
            <w:noProof/>
            <w:webHidden/>
          </w:rPr>
        </w:r>
        <w:r>
          <w:rPr>
            <w:noProof/>
            <w:webHidden/>
          </w:rPr>
          <w:fldChar w:fldCharType="separate"/>
        </w:r>
        <w:r w:rsidR="00B05C7F">
          <w:rPr>
            <w:noProof/>
            <w:webHidden/>
          </w:rPr>
          <w:t>264</w:t>
        </w:r>
        <w:r>
          <w:rPr>
            <w:noProof/>
            <w:webHidden/>
          </w:rPr>
          <w:fldChar w:fldCharType="end"/>
        </w:r>
      </w:hyperlink>
    </w:p>
    <w:p w14:paraId="0D0BDD7B" w14:textId="77777777" w:rsidR="006C5F2A" w:rsidRPr="00FB04F6" w:rsidRDefault="006C5F2A">
      <w:pPr>
        <w:pStyle w:val="TM1"/>
        <w:rPr>
          <w:rFonts w:eastAsia="Times New Roman" w:cs="Times New Roman"/>
          <w:b w:val="0"/>
          <w:bCs w:val="0"/>
          <w:caps w:val="0"/>
          <w:noProof/>
          <w:sz w:val="22"/>
          <w:szCs w:val="22"/>
          <w:lang w:eastAsia="fr-FR"/>
        </w:rPr>
      </w:pPr>
      <w:hyperlink w:anchor="_Toc127957773" w:history="1">
        <w:r w:rsidRPr="00ED6DAE">
          <w:rPr>
            <w:rStyle w:val="Lienhypertexte"/>
            <w:noProof/>
          </w:rPr>
          <w:t>REFERENCES BIBLIOGRAPHIQUES</w:t>
        </w:r>
        <w:r>
          <w:rPr>
            <w:noProof/>
            <w:webHidden/>
          </w:rPr>
          <w:tab/>
        </w:r>
        <w:r>
          <w:rPr>
            <w:noProof/>
            <w:webHidden/>
          </w:rPr>
          <w:fldChar w:fldCharType="begin"/>
        </w:r>
        <w:r>
          <w:rPr>
            <w:noProof/>
            <w:webHidden/>
          </w:rPr>
          <w:instrText xml:space="preserve"> PAGEREF _Toc127957773 \h </w:instrText>
        </w:r>
        <w:r>
          <w:rPr>
            <w:noProof/>
            <w:webHidden/>
          </w:rPr>
        </w:r>
        <w:r>
          <w:rPr>
            <w:noProof/>
            <w:webHidden/>
          </w:rPr>
          <w:fldChar w:fldCharType="separate"/>
        </w:r>
        <w:r w:rsidR="00B05C7F">
          <w:rPr>
            <w:noProof/>
            <w:webHidden/>
          </w:rPr>
          <w:t>265</w:t>
        </w:r>
        <w:r>
          <w:rPr>
            <w:noProof/>
            <w:webHidden/>
          </w:rPr>
          <w:fldChar w:fldCharType="end"/>
        </w:r>
      </w:hyperlink>
    </w:p>
    <w:p w14:paraId="1B3C66BE" w14:textId="77777777" w:rsidR="006C5F2A" w:rsidRPr="00FB04F6" w:rsidRDefault="006C5F2A">
      <w:pPr>
        <w:pStyle w:val="TM1"/>
        <w:rPr>
          <w:rFonts w:eastAsia="Times New Roman" w:cs="Times New Roman"/>
          <w:b w:val="0"/>
          <w:bCs w:val="0"/>
          <w:caps w:val="0"/>
          <w:noProof/>
          <w:sz w:val="22"/>
          <w:szCs w:val="22"/>
          <w:lang w:eastAsia="fr-FR"/>
        </w:rPr>
      </w:pPr>
      <w:hyperlink w:anchor="_Toc127957774" w:history="1">
        <w:r w:rsidRPr="00ED6DAE">
          <w:rPr>
            <w:rStyle w:val="Lienhypertexte"/>
            <w:noProof/>
          </w:rPr>
          <w:t>Annexes</w:t>
        </w:r>
        <w:r>
          <w:rPr>
            <w:noProof/>
            <w:webHidden/>
          </w:rPr>
          <w:tab/>
        </w:r>
        <w:r>
          <w:rPr>
            <w:noProof/>
            <w:webHidden/>
          </w:rPr>
          <w:fldChar w:fldCharType="begin"/>
        </w:r>
        <w:r>
          <w:rPr>
            <w:noProof/>
            <w:webHidden/>
          </w:rPr>
          <w:instrText xml:space="preserve"> PAGEREF _Toc127957774 \h </w:instrText>
        </w:r>
        <w:r>
          <w:rPr>
            <w:noProof/>
            <w:webHidden/>
          </w:rPr>
        </w:r>
        <w:r>
          <w:rPr>
            <w:noProof/>
            <w:webHidden/>
          </w:rPr>
          <w:fldChar w:fldCharType="separate"/>
        </w:r>
        <w:r w:rsidR="00B05C7F">
          <w:rPr>
            <w:noProof/>
            <w:webHidden/>
          </w:rPr>
          <w:t>i</w:t>
        </w:r>
        <w:r>
          <w:rPr>
            <w:noProof/>
            <w:webHidden/>
          </w:rPr>
          <w:fldChar w:fldCharType="end"/>
        </w:r>
      </w:hyperlink>
    </w:p>
    <w:p w14:paraId="773E3D32" w14:textId="77777777" w:rsidR="005D11CF" w:rsidRDefault="00B67B63">
      <w:pPr>
        <w:rPr>
          <w:b/>
          <w:bCs/>
        </w:rPr>
      </w:pPr>
      <w:r>
        <w:rPr>
          <w:b/>
          <w:bCs/>
        </w:rPr>
        <w:fldChar w:fldCharType="end"/>
      </w:r>
    </w:p>
    <w:p w14:paraId="29BE8D85" w14:textId="77777777" w:rsidR="00B0080A" w:rsidRPr="00B0080A" w:rsidRDefault="00B0080A" w:rsidP="00B0080A">
      <w:pPr>
        <w:pStyle w:val="En-ttedetabledesmatires"/>
        <w:spacing w:before="120" w:after="120"/>
        <w:ind w:left="851" w:hanging="431"/>
        <w:rPr>
          <w:b/>
          <w:bCs/>
          <w:sz w:val="24"/>
          <w:szCs w:val="24"/>
        </w:rPr>
      </w:pPr>
      <w:bookmarkStart w:id="4" w:name="_Toc127957537"/>
      <w:r w:rsidRPr="00B0080A">
        <w:rPr>
          <w:b/>
          <w:bCs/>
          <w:sz w:val="24"/>
          <w:szCs w:val="24"/>
        </w:rPr>
        <w:t>LISTE DES ANNEXES</w:t>
      </w:r>
      <w:bookmarkEnd w:id="4"/>
    </w:p>
    <w:p w14:paraId="0E47DF97" w14:textId="77777777" w:rsidR="00B0080A" w:rsidRPr="00FB04F6" w:rsidRDefault="00B0080A" w:rsidP="006C5F2A">
      <w:pPr>
        <w:pStyle w:val="Tabledesillustrations"/>
        <w:tabs>
          <w:tab w:val="right" w:leader="dot" w:pos="9060"/>
        </w:tabs>
        <w:ind w:left="0"/>
        <w:rPr>
          <w:rFonts w:ascii="Calibri" w:hAnsi="Calibri" w:cs="Calibri"/>
          <w:noProof/>
          <w:sz w:val="22"/>
          <w:szCs w:val="22"/>
        </w:rPr>
      </w:pPr>
      <w:r>
        <w:fldChar w:fldCharType="begin"/>
      </w:r>
      <w:r>
        <w:instrText xml:space="preserve"> TOC \h \z \c "Annexe" </w:instrText>
      </w:r>
      <w:r>
        <w:fldChar w:fldCharType="separate"/>
      </w:r>
      <w:hyperlink w:anchor="_Toc125402464" w:history="1">
        <w:r w:rsidRPr="00FB04F6">
          <w:rPr>
            <w:rStyle w:val="Lienhypertexte"/>
            <w:rFonts w:ascii="Calibri" w:hAnsi="Calibri" w:cs="Calibri"/>
            <w:noProof/>
          </w:rPr>
          <w:t>Annexe 1. Analyse comparative des NES de la Banque mondiale et le cadre règlementaire national malagasy</w:t>
        </w:r>
        <w:r w:rsidRPr="00FB04F6">
          <w:rPr>
            <w:rFonts w:ascii="Calibri" w:hAnsi="Calibri" w:cs="Calibri"/>
            <w:noProof/>
            <w:webHidden/>
          </w:rPr>
          <w:tab/>
        </w:r>
        <w:r w:rsidRPr="00FB04F6">
          <w:rPr>
            <w:rFonts w:ascii="Calibri" w:hAnsi="Calibri" w:cs="Calibri"/>
            <w:noProof/>
            <w:webHidden/>
          </w:rPr>
          <w:fldChar w:fldCharType="begin"/>
        </w:r>
        <w:r w:rsidRPr="00FB04F6">
          <w:rPr>
            <w:rFonts w:ascii="Calibri" w:hAnsi="Calibri" w:cs="Calibri"/>
            <w:noProof/>
            <w:webHidden/>
          </w:rPr>
          <w:instrText xml:space="preserve"> PAGEREF _Toc125402464 \h </w:instrText>
        </w:r>
        <w:r w:rsidRPr="00FB04F6">
          <w:rPr>
            <w:rFonts w:ascii="Calibri" w:hAnsi="Calibri" w:cs="Calibri"/>
            <w:noProof/>
            <w:webHidden/>
          </w:rPr>
        </w:r>
        <w:r w:rsidRPr="00FB04F6">
          <w:rPr>
            <w:rFonts w:ascii="Calibri" w:hAnsi="Calibri" w:cs="Calibri"/>
            <w:noProof/>
            <w:webHidden/>
          </w:rPr>
          <w:fldChar w:fldCharType="separate"/>
        </w:r>
        <w:r w:rsidR="00B05C7F">
          <w:rPr>
            <w:rFonts w:ascii="Calibri" w:hAnsi="Calibri" w:cs="Calibri"/>
            <w:noProof/>
            <w:webHidden/>
          </w:rPr>
          <w:t>ii</w:t>
        </w:r>
        <w:r w:rsidRPr="00FB04F6">
          <w:rPr>
            <w:rFonts w:ascii="Calibri" w:hAnsi="Calibri" w:cs="Calibri"/>
            <w:noProof/>
            <w:webHidden/>
          </w:rPr>
          <w:fldChar w:fldCharType="end"/>
        </w:r>
      </w:hyperlink>
    </w:p>
    <w:p w14:paraId="76596723" w14:textId="77777777" w:rsidR="00B0080A" w:rsidRPr="00FB04F6" w:rsidRDefault="00160FB0" w:rsidP="006C5F2A">
      <w:pPr>
        <w:pStyle w:val="Tabledesillustrations"/>
        <w:tabs>
          <w:tab w:val="right" w:leader="dot" w:pos="9060"/>
        </w:tabs>
        <w:ind w:left="0"/>
        <w:rPr>
          <w:rFonts w:ascii="Calibri" w:hAnsi="Calibri" w:cs="Calibri"/>
          <w:noProof/>
          <w:sz w:val="22"/>
          <w:szCs w:val="22"/>
        </w:rPr>
      </w:pPr>
      <w:hyperlink w:anchor="_Toc125402465" w:history="1">
        <w:r w:rsidR="00B0080A" w:rsidRPr="00FB04F6">
          <w:rPr>
            <w:rStyle w:val="Lienhypertexte"/>
            <w:rFonts w:ascii="Calibri" w:hAnsi="Calibri" w:cs="Calibri"/>
            <w:noProof/>
          </w:rPr>
          <w:t>Annexe 2. Découverte fortuite</w:t>
        </w:r>
        <w:r w:rsidR="00B0080A" w:rsidRPr="00FB04F6">
          <w:rPr>
            <w:rFonts w:ascii="Calibri" w:hAnsi="Calibri" w:cs="Calibri"/>
            <w:noProof/>
            <w:webHidden/>
          </w:rPr>
          <w:tab/>
        </w:r>
        <w:r w:rsidR="00B0080A" w:rsidRPr="00FB04F6">
          <w:rPr>
            <w:rFonts w:ascii="Calibri" w:hAnsi="Calibri" w:cs="Calibri"/>
            <w:noProof/>
            <w:webHidden/>
          </w:rPr>
          <w:fldChar w:fldCharType="begin"/>
        </w:r>
        <w:r w:rsidR="00B0080A" w:rsidRPr="00FB04F6">
          <w:rPr>
            <w:rFonts w:ascii="Calibri" w:hAnsi="Calibri" w:cs="Calibri"/>
            <w:noProof/>
            <w:webHidden/>
          </w:rPr>
          <w:instrText xml:space="preserve"> PAGEREF _Toc125402465 \h </w:instrText>
        </w:r>
        <w:r w:rsidR="00B0080A" w:rsidRPr="00FB04F6">
          <w:rPr>
            <w:rFonts w:ascii="Calibri" w:hAnsi="Calibri" w:cs="Calibri"/>
            <w:noProof/>
            <w:webHidden/>
          </w:rPr>
        </w:r>
        <w:r w:rsidR="00B0080A" w:rsidRPr="00FB04F6">
          <w:rPr>
            <w:rFonts w:ascii="Calibri" w:hAnsi="Calibri" w:cs="Calibri"/>
            <w:noProof/>
            <w:webHidden/>
          </w:rPr>
          <w:fldChar w:fldCharType="separate"/>
        </w:r>
        <w:r w:rsidR="00B05C7F">
          <w:rPr>
            <w:rFonts w:ascii="Calibri" w:hAnsi="Calibri" w:cs="Calibri"/>
            <w:noProof/>
            <w:webHidden/>
          </w:rPr>
          <w:t>l</w:t>
        </w:r>
        <w:r w:rsidR="00B0080A" w:rsidRPr="00FB04F6">
          <w:rPr>
            <w:rFonts w:ascii="Calibri" w:hAnsi="Calibri" w:cs="Calibri"/>
            <w:noProof/>
            <w:webHidden/>
          </w:rPr>
          <w:fldChar w:fldCharType="end"/>
        </w:r>
      </w:hyperlink>
    </w:p>
    <w:p w14:paraId="5ED6AE43" w14:textId="77777777" w:rsidR="00B0080A" w:rsidRPr="00FB04F6" w:rsidRDefault="00160FB0" w:rsidP="006C5F2A">
      <w:pPr>
        <w:pStyle w:val="Tabledesillustrations"/>
        <w:tabs>
          <w:tab w:val="right" w:leader="dot" w:pos="9060"/>
        </w:tabs>
        <w:ind w:left="0"/>
        <w:rPr>
          <w:rFonts w:ascii="Calibri" w:hAnsi="Calibri" w:cs="Calibri"/>
          <w:noProof/>
          <w:sz w:val="22"/>
          <w:szCs w:val="22"/>
        </w:rPr>
      </w:pPr>
      <w:hyperlink w:anchor="_Toc125402466" w:history="1">
        <w:r w:rsidR="00B0080A" w:rsidRPr="00FB04F6">
          <w:rPr>
            <w:rStyle w:val="Lienhypertexte"/>
            <w:rFonts w:ascii="Calibri" w:hAnsi="Calibri" w:cs="Calibri"/>
            <w:noProof/>
          </w:rPr>
          <w:t>Annexe 3. Formulaire de sélection environnementale et sociale</w:t>
        </w:r>
        <w:r w:rsidR="00B0080A" w:rsidRPr="00FB04F6">
          <w:rPr>
            <w:rFonts w:ascii="Calibri" w:hAnsi="Calibri" w:cs="Calibri"/>
            <w:noProof/>
            <w:webHidden/>
          </w:rPr>
          <w:tab/>
        </w:r>
        <w:r w:rsidR="00B0080A" w:rsidRPr="00FB04F6">
          <w:rPr>
            <w:rFonts w:ascii="Calibri" w:hAnsi="Calibri" w:cs="Calibri"/>
            <w:noProof/>
            <w:webHidden/>
          </w:rPr>
          <w:fldChar w:fldCharType="begin"/>
        </w:r>
        <w:r w:rsidR="00B0080A" w:rsidRPr="00FB04F6">
          <w:rPr>
            <w:rFonts w:ascii="Calibri" w:hAnsi="Calibri" w:cs="Calibri"/>
            <w:noProof/>
            <w:webHidden/>
          </w:rPr>
          <w:instrText xml:space="preserve"> PAGEREF _Toc125402466 \h </w:instrText>
        </w:r>
        <w:r w:rsidR="00B0080A" w:rsidRPr="00FB04F6">
          <w:rPr>
            <w:rFonts w:ascii="Calibri" w:hAnsi="Calibri" w:cs="Calibri"/>
            <w:noProof/>
            <w:webHidden/>
          </w:rPr>
        </w:r>
        <w:r w:rsidR="00B0080A" w:rsidRPr="00FB04F6">
          <w:rPr>
            <w:rFonts w:ascii="Calibri" w:hAnsi="Calibri" w:cs="Calibri"/>
            <w:noProof/>
            <w:webHidden/>
          </w:rPr>
          <w:fldChar w:fldCharType="separate"/>
        </w:r>
        <w:r w:rsidR="00B05C7F">
          <w:rPr>
            <w:rFonts w:ascii="Calibri" w:hAnsi="Calibri" w:cs="Calibri"/>
            <w:noProof/>
            <w:webHidden/>
          </w:rPr>
          <w:t>li</w:t>
        </w:r>
        <w:r w:rsidR="00B0080A" w:rsidRPr="00FB04F6">
          <w:rPr>
            <w:rFonts w:ascii="Calibri" w:hAnsi="Calibri" w:cs="Calibri"/>
            <w:noProof/>
            <w:webHidden/>
          </w:rPr>
          <w:fldChar w:fldCharType="end"/>
        </w:r>
      </w:hyperlink>
    </w:p>
    <w:p w14:paraId="6CE8269D" w14:textId="77777777" w:rsidR="00B0080A" w:rsidRPr="00FB04F6" w:rsidRDefault="00160FB0" w:rsidP="006C5F2A">
      <w:pPr>
        <w:pStyle w:val="Tabledesillustrations"/>
        <w:tabs>
          <w:tab w:val="right" w:leader="dot" w:pos="9060"/>
        </w:tabs>
        <w:ind w:left="0"/>
        <w:rPr>
          <w:rFonts w:ascii="Calibri" w:hAnsi="Calibri" w:cs="Calibri"/>
          <w:noProof/>
          <w:sz w:val="22"/>
          <w:szCs w:val="22"/>
        </w:rPr>
      </w:pPr>
      <w:hyperlink w:anchor="_Toc125402467" w:history="1">
        <w:r w:rsidR="00B0080A" w:rsidRPr="00FB04F6">
          <w:rPr>
            <w:rStyle w:val="Lienhypertexte"/>
            <w:rFonts w:ascii="Calibri" w:hAnsi="Calibri" w:cs="Calibri"/>
            <w:noProof/>
          </w:rPr>
          <w:t>Annexe 4. Clauses environnementales et sociales à insérer dans le DAO</w:t>
        </w:r>
        <w:r w:rsidR="00B0080A" w:rsidRPr="00FB04F6">
          <w:rPr>
            <w:rFonts w:ascii="Calibri" w:hAnsi="Calibri" w:cs="Calibri"/>
            <w:noProof/>
            <w:webHidden/>
          </w:rPr>
          <w:tab/>
        </w:r>
        <w:r w:rsidR="00B0080A" w:rsidRPr="00FB04F6">
          <w:rPr>
            <w:rFonts w:ascii="Calibri" w:hAnsi="Calibri" w:cs="Calibri"/>
            <w:noProof/>
            <w:webHidden/>
          </w:rPr>
          <w:fldChar w:fldCharType="begin"/>
        </w:r>
        <w:r w:rsidR="00B0080A" w:rsidRPr="00FB04F6">
          <w:rPr>
            <w:rFonts w:ascii="Calibri" w:hAnsi="Calibri" w:cs="Calibri"/>
            <w:noProof/>
            <w:webHidden/>
          </w:rPr>
          <w:instrText xml:space="preserve"> PAGEREF _Toc125402467 \h </w:instrText>
        </w:r>
        <w:r w:rsidR="00B0080A" w:rsidRPr="00FB04F6">
          <w:rPr>
            <w:rFonts w:ascii="Calibri" w:hAnsi="Calibri" w:cs="Calibri"/>
            <w:noProof/>
            <w:webHidden/>
          </w:rPr>
        </w:r>
        <w:r w:rsidR="00B0080A" w:rsidRPr="00FB04F6">
          <w:rPr>
            <w:rFonts w:ascii="Calibri" w:hAnsi="Calibri" w:cs="Calibri"/>
            <w:noProof/>
            <w:webHidden/>
          </w:rPr>
          <w:fldChar w:fldCharType="separate"/>
        </w:r>
        <w:r w:rsidR="00B05C7F">
          <w:rPr>
            <w:rFonts w:ascii="Calibri" w:hAnsi="Calibri" w:cs="Calibri"/>
            <w:noProof/>
            <w:webHidden/>
          </w:rPr>
          <w:t>lviii</w:t>
        </w:r>
        <w:r w:rsidR="00B0080A" w:rsidRPr="00FB04F6">
          <w:rPr>
            <w:rFonts w:ascii="Calibri" w:hAnsi="Calibri" w:cs="Calibri"/>
            <w:noProof/>
            <w:webHidden/>
          </w:rPr>
          <w:fldChar w:fldCharType="end"/>
        </w:r>
      </w:hyperlink>
    </w:p>
    <w:p w14:paraId="211E52EB" w14:textId="77777777" w:rsidR="00B0080A" w:rsidRPr="00FB04F6" w:rsidRDefault="00160FB0" w:rsidP="006C5F2A">
      <w:pPr>
        <w:pStyle w:val="Tabledesillustrations"/>
        <w:tabs>
          <w:tab w:val="right" w:leader="dot" w:pos="9060"/>
        </w:tabs>
        <w:ind w:left="0"/>
        <w:rPr>
          <w:rFonts w:ascii="Calibri" w:hAnsi="Calibri" w:cs="Calibri"/>
          <w:noProof/>
          <w:sz w:val="22"/>
          <w:szCs w:val="22"/>
        </w:rPr>
      </w:pPr>
      <w:hyperlink w:anchor="_Toc125402468" w:history="1">
        <w:r w:rsidR="00B0080A" w:rsidRPr="00FB04F6">
          <w:rPr>
            <w:rStyle w:val="Lienhypertexte"/>
            <w:rFonts w:ascii="Calibri" w:hAnsi="Calibri" w:cs="Calibri"/>
            <w:noProof/>
          </w:rPr>
          <w:t>Annexe 5 : Modèles de fiche de doléance</w:t>
        </w:r>
        <w:r w:rsidR="00B0080A" w:rsidRPr="00FB04F6">
          <w:rPr>
            <w:rFonts w:ascii="Calibri" w:hAnsi="Calibri" w:cs="Calibri"/>
            <w:noProof/>
            <w:webHidden/>
          </w:rPr>
          <w:tab/>
        </w:r>
        <w:r w:rsidR="00B0080A" w:rsidRPr="00FB04F6">
          <w:rPr>
            <w:rFonts w:ascii="Calibri" w:hAnsi="Calibri" w:cs="Calibri"/>
            <w:noProof/>
            <w:webHidden/>
          </w:rPr>
          <w:fldChar w:fldCharType="begin"/>
        </w:r>
        <w:r w:rsidR="00B0080A" w:rsidRPr="00FB04F6">
          <w:rPr>
            <w:rFonts w:ascii="Calibri" w:hAnsi="Calibri" w:cs="Calibri"/>
            <w:noProof/>
            <w:webHidden/>
          </w:rPr>
          <w:instrText xml:space="preserve"> PAGEREF _Toc125402468 \h </w:instrText>
        </w:r>
        <w:r w:rsidR="00B0080A" w:rsidRPr="00FB04F6">
          <w:rPr>
            <w:rFonts w:ascii="Calibri" w:hAnsi="Calibri" w:cs="Calibri"/>
            <w:noProof/>
            <w:webHidden/>
          </w:rPr>
        </w:r>
        <w:r w:rsidR="00B0080A" w:rsidRPr="00FB04F6">
          <w:rPr>
            <w:rFonts w:ascii="Calibri" w:hAnsi="Calibri" w:cs="Calibri"/>
            <w:noProof/>
            <w:webHidden/>
          </w:rPr>
          <w:fldChar w:fldCharType="separate"/>
        </w:r>
        <w:r w:rsidR="00B05C7F">
          <w:rPr>
            <w:rFonts w:ascii="Calibri" w:hAnsi="Calibri" w:cs="Calibri"/>
            <w:noProof/>
            <w:webHidden/>
          </w:rPr>
          <w:t>lxx</w:t>
        </w:r>
        <w:r w:rsidR="00B0080A" w:rsidRPr="00FB04F6">
          <w:rPr>
            <w:rFonts w:ascii="Calibri" w:hAnsi="Calibri" w:cs="Calibri"/>
            <w:noProof/>
            <w:webHidden/>
          </w:rPr>
          <w:fldChar w:fldCharType="end"/>
        </w:r>
      </w:hyperlink>
    </w:p>
    <w:p w14:paraId="235FBAD8" w14:textId="77777777" w:rsidR="00B0080A" w:rsidRPr="00FB04F6" w:rsidRDefault="00160FB0" w:rsidP="006C5F2A">
      <w:pPr>
        <w:pStyle w:val="Tabledesillustrations"/>
        <w:tabs>
          <w:tab w:val="right" w:leader="dot" w:pos="9060"/>
        </w:tabs>
        <w:ind w:left="0"/>
        <w:rPr>
          <w:rFonts w:ascii="Calibri" w:hAnsi="Calibri" w:cs="Calibri"/>
          <w:noProof/>
          <w:sz w:val="22"/>
          <w:szCs w:val="22"/>
        </w:rPr>
      </w:pPr>
      <w:hyperlink w:anchor="_Toc125402469" w:history="1">
        <w:r w:rsidR="00B0080A" w:rsidRPr="00FB04F6">
          <w:rPr>
            <w:rStyle w:val="Lienhypertexte"/>
            <w:rFonts w:ascii="Calibri" w:hAnsi="Calibri" w:cs="Calibri"/>
            <w:noProof/>
          </w:rPr>
          <w:t>Annexe 6 : Code de conduite à utiliser par les entreprises contractantes avec le Projet</w:t>
        </w:r>
        <w:r w:rsidR="00B0080A" w:rsidRPr="00FB04F6">
          <w:rPr>
            <w:rFonts w:ascii="Calibri" w:hAnsi="Calibri" w:cs="Calibri"/>
            <w:noProof/>
            <w:webHidden/>
          </w:rPr>
          <w:tab/>
        </w:r>
        <w:r w:rsidR="00B0080A" w:rsidRPr="00FB04F6">
          <w:rPr>
            <w:rFonts w:ascii="Calibri" w:hAnsi="Calibri" w:cs="Calibri"/>
            <w:noProof/>
            <w:webHidden/>
          </w:rPr>
          <w:fldChar w:fldCharType="begin"/>
        </w:r>
        <w:r w:rsidR="00B0080A" w:rsidRPr="00FB04F6">
          <w:rPr>
            <w:rFonts w:ascii="Calibri" w:hAnsi="Calibri" w:cs="Calibri"/>
            <w:noProof/>
            <w:webHidden/>
          </w:rPr>
          <w:instrText xml:space="preserve"> PAGEREF _Toc125402469 \h </w:instrText>
        </w:r>
        <w:r w:rsidR="00B0080A" w:rsidRPr="00FB04F6">
          <w:rPr>
            <w:rFonts w:ascii="Calibri" w:hAnsi="Calibri" w:cs="Calibri"/>
            <w:noProof/>
            <w:webHidden/>
          </w:rPr>
        </w:r>
        <w:r w:rsidR="00B0080A" w:rsidRPr="00FB04F6">
          <w:rPr>
            <w:rFonts w:ascii="Calibri" w:hAnsi="Calibri" w:cs="Calibri"/>
            <w:noProof/>
            <w:webHidden/>
          </w:rPr>
          <w:fldChar w:fldCharType="separate"/>
        </w:r>
        <w:r w:rsidR="00B05C7F">
          <w:rPr>
            <w:rFonts w:ascii="Calibri" w:hAnsi="Calibri" w:cs="Calibri"/>
            <w:noProof/>
            <w:webHidden/>
          </w:rPr>
          <w:t>lxxii</w:t>
        </w:r>
        <w:r w:rsidR="00B0080A" w:rsidRPr="00FB04F6">
          <w:rPr>
            <w:rFonts w:ascii="Calibri" w:hAnsi="Calibri" w:cs="Calibri"/>
            <w:noProof/>
            <w:webHidden/>
          </w:rPr>
          <w:fldChar w:fldCharType="end"/>
        </w:r>
      </w:hyperlink>
    </w:p>
    <w:p w14:paraId="2A8FB029" w14:textId="77777777" w:rsidR="00B0080A" w:rsidRPr="00FB04F6" w:rsidRDefault="00160FB0" w:rsidP="006C5F2A">
      <w:pPr>
        <w:pStyle w:val="Tabledesillustrations"/>
        <w:tabs>
          <w:tab w:val="right" w:leader="dot" w:pos="9060"/>
        </w:tabs>
        <w:ind w:left="0"/>
        <w:rPr>
          <w:rFonts w:ascii="Calibri" w:hAnsi="Calibri" w:cs="Calibri"/>
          <w:noProof/>
          <w:sz w:val="22"/>
          <w:szCs w:val="22"/>
        </w:rPr>
      </w:pPr>
      <w:hyperlink w:anchor="_Toc125402470" w:history="1">
        <w:r w:rsidR="00B0080A" w:rsidRPr="00FB04F6">
          <w:rPr>
            <w:rStyle w:val="Lienhypertexte"/>
            <w:rFonts w:ascii="Calibri" w:hAnsi="Calibri" w:cs="Calibri"/>
            <w:noProof/>
          </w:rPr>
          <w:t>Annexe 7 : Notification des incidents et des accidents</w:t>
        </w:r>
        <w:r w:rsidR="00B0080A" w:rsidRPr="00FB04F6">
          <w:rPr>
            <w:rFonts w:ascii="Calibri" w:hAnsi="Calibri" w:cs="Calibri"/>
            <w:noProof/>
            <w:webHidden/>
          </w:rPr>
          <w:tab/>
        </w:r>
        <w:r w:rsidR="00B0080A" w:rsidRPr="00FB04F6">
          <w:rPr>
            <w:rFonts w:ascii="Calibri" w:hAnsi="Calibri" w:cs="Calibri"/>
            <w:noProof/>
            <w:webHidden/>
          </w:rPr>
          <w:fldChar w:fldCharType="begin"/>
        </w:r>
        <w:r w:rsidR="00B0080A" w:rsidRPr="00FB04F6">
          <w:rPr>
            <w:rFonts w:ascii="Calibri" w:hAnsi="Calibri" w:cs="Calibri"/>
            <w:noProof/>
            <w:webHidden/>
          </w:rPr>
          <w:instrText xml:space="preserve"> PAGEREF _Toc125402470 \h </w:instrText>
        </w:r>
        <w:r w:rsidR="00B0080A" w:rsidRPr="00FB04F6">
          <w:rPr>
            <w:rFonts w:ascii="Calibri" w:hAnsi="Calibri" w:cs="Calibri"/>
            <w:noProof/>
            <w:webHidden/>
          </w:rPr>
        </w:r>
        <w:r w:rsidR="00B0080A" w:rsidRPr="00FB04F6">
          <w:rPr>
            <w:rFonts w:ascii="Calibri" w:hAnsi="Calibri" w:cs="Calibri"/>
            <w:noProof/>
            <w:webHidden/>
          </w:rPr>
          <w:fldChar w:fldCharType="separate"/>
        </w:r>
        <w:r w:rsidR="00B05C7F">
          <w:rPr>
            <w:rFonts w:ascii="Calibri" w:hAnsi="Calibri" w:cs="Calibri"/>
            <w:noProof/>
            <w:webHidden/>
          </w:rPr>
          <w:t>lxxxi</w:t>
        </w:r>
        <w:r w:rsidR="00B0080A" w:rsidRPr="00FB04F6">
          <w:rPr>
            <w:rFonts w:ascii="Calibri" w:hAnsi="Calibri" w:cs="Calibri"/>
            <w:noProof/>
            <w:webHidden/>
          </w:rPr>
          <w:fldChar w:fldCharType="end"/>
        </w:r>
      </w:hyperlink>
    </w:p>
    <w:p w14:paraId="6565D781" w14:textId="77777777" w:rsidR="00B0080A" w:rsidRPr="00FB04F6" w:rsidRDefault="00160FB0" w:rsidP="006C5F2A">
      <w:pPr>
        <w:pStyle w:val="Tabledesillustrations"/>
        <w:tabs>
          <w:tab w:val="right" w:leader="dot" w:pos="9060"/>
        </w:tabs>
        <w:ind w:left="0"/>
        <w:rPr>
          <w:rFonts w:ascii="Calibri" w:hAnsi="Calibri" w:cs="Calibri"/>
          <w:noProof/>
          <w:sz w:val="22"/>
          <w:szCs w:val="22"/>
        </w:rPr>
      </w:pPr>
      <w:hyperlink w:anchor="_Toc125402471" w:history="1">
        <w:r w:rsidR="00B0080A" w:rsidRPr="00FB04F6">
          <w:rPr>
            <w:rStyle w:val="Lienhypertexte"/>
            <w:rFonts w:ascii="Calibri" w:hAnsi="Calibri" w:cs="Calibri"/>
            <w:noProof/>
          </w:rPr>
          <w:t>Annexe 8 : Modèle de fiche de non-conformité environnementale</w:t>
        </w:r>
        <w:r w:rsidR="00B0080A" w:rsidRPr="00FB04F6">
          <w:rPr>
            <w:rFonts w:ascii="Calibri" w:hAnsi="Calibri" w:cs="Calibri"/>
            <w:noProof/>
            <w:webHidden/>
          </w:rPr>
          <w:tab/>
        </w:r>
        <w:r w:rsidR="00B0080A" w:rsidRPr="00FB04F6">
          <w:rPr>
            <w:rFonts w:ascii="Calibri" w:hAnsi="Calibri" w:cs="Calibri"/>
            <w:noProof/>
            <w:webHidden/>
          </w:rPr>
          <w:fldChar w:fldCharType="begin"/>
        </w:r>
        <w:r w:rsidR="00B0080A" w:rsidRPr="00FB04F6">
          <w:rPr>
            <w:rFonts w:ascii="Calibri" w:hAnsi="Calibri" w:cs="Calibri"/>
            <w:noProof/>
            <w:webHidden/>
          </w:rPr>
          <w:instrText xml:space="preserve"> PAGEREF _Toc125402471 \h </w:instrText>
        </w:r>
        <w:r w:rsidR="00B0080A" w:rsidRPr="00FB04F6">
          <w:rPr>
            <w:rFonts w:ascii="Calibri" w:hAnsi="Calibri" w:cs="Calibri"/>
            <w:noProof/>
            <w:webHidden/>
          </w:rPr>
        </w:r>
        <w:r w:rsidR="00B0080A" w:rsidRPr="00FB04F6">
          <w:rPr>
            <w:rFonts w:ascii="Calibri" w:hAnsi="Calibri" w:cs="Calibri"/>
            <w:noProof/>
            <w:webHidden/>
          </w:rPr>
          <w:fldChar w:fldCharType="separate"/>
        </w:r>
        <w:r w:rsidR="00B05C7F">
          <w:rPr>
            <w:rFonts w:ascii="Calibri" w:hAnsi="Calibri" w:cs="Calibri"/>
            <w:noProof/>
            <w:webHidden/>
          </w:rPr>
          <w:t>lxxxv</w:t>
        </w:r>
        <w:r w:rsidR="00B0080A" w:rsidRPr="00FB04F6">
          <w:rPr>
            <w:rFonts w:ascii="Calibri" w:hAnsi="Calibri" w:cs="Calibri"/>
            <w:noProof/>
            <w:webHidden/>
          </w:rPr>
          <w:fldChar w:fldCharType="end"/>
        </w:r>
      </w:hyperlink>
    </w:p>
    <w:p w14:paraId="0F095C10" w14:textId="77777777" w:rsidR="00B0080A" w:rsidRPr="00FB04F6" w:rsidRDefault="00160FB0" w:rsidP="006C5F2A">
      <w:pPr>
        <w:pStyle w:val="Tabledesillustrations"/>
        <w:tabs>
          <w:tab w:val="right" w:leader="dot" w:pos="9060"/>
        </w:tabs>
        <w:ind w:left="0"/>
        <w:rPr>
          <w:rFonts w:ascii="Calibri" w:hAnsi="Calibri" w:cs="Calibri"/>
          <w:noProof/>
          <w:sz w:val="22"/>
          <w:szCs w:val="22"/>
        </w:rPr>
      </w:pPr>
      <w:hyperlink w:anchor="_Toc125402472" w:history="1">
        <w:r w:rsidR="00B0080A" w:rsidRPr="00FB04F6">
          <w:rPr>
            <w:rStyle w:val="Lienhypertexte"/>
            <w:rFonts w:ascii="Calibri" w:hAnsi="Calibri" w:cs="Calibri"/>
            <w:noProof/>
          </w:rPr>
          <w:t>Annexe 9 . Conseils au grand public par l’OMS contre la propagation du COVID - 19</w:t>
        </w:r>
        <w:r w:rsidR="00B0080A" w:rsidRPr="00FB04F6">
          <w:rPr>
            <w:rFonts w:ascii="Calibri" w:hAnsi="Calibri" w:cs="Calibri"/>
            <w:noProof/>
            <w:webHidden/>
          </w:rPr>
          <w:tab/>
        </w:r>
        <w:r w:rsidR="00B0080A" w:rsidRPr="00FB04F6">
          <w:rPr>
            <w:rFonts w:ascii="Calibri" w:hAnsi="Calibri" w:cs="Calibri"/>
            <w:noProof/>
            <w:webHidden/>
          </w:rPr>
          <w:fldChar w:fldCharType="begin"/>
        </w:r>
        <w:r w:rsidR="00B0080A" w:rsidRPr="00FB04F6">
          <w:rPr>
            <w:rFonts w:ascii="Calibri" w:hAnsi="Calibri" w:cs="Calibri"/>
            <w:noProof/>
            <w:webHidden/>
          </w:rPr>
          <w:instrText xml:space="preserve"> PAGEREF _Toc125402472 \h </w:instrText>
        </w:r>
        <w:r w:rsidR="00B0080A" w:rsidRPr="00FB04F6">
          <w:rPr>
            <w:rFonts w:ascii="Calibri" w:hAnsi="Calibri" w:cs="Calibri"/>
            <w:noProof/>
            <w:webHidden/>
          </w:rPr>
        </w:r>
        <w:r w:rsidR="00B0080A" w:rsidRPr="00FB04F6">
          <w:rPr>
            <w:rFonts w:ascii="Calibri" w:hAnsi="Calibri" w:cs="Calibri"/>
            <w:noProof/>
            <w:webHidden/>
          </w:rPr>
          <w:fldChar w:fldCharType="separate"/>
        </w:r>
        <w:r w:rsidR="00B05C7F">
          <w:rPr>
            <w:rFonts w:ascii="Calibri" w:hAnsi="Calibri" w:cs="Calibri"/>
            <w:noProof/>
            <w:webHidden/>
          </w:rPr>
          <w:t>lxxxvi</w:t>
        </w:r>
        <w:r w:rsidR="00B0080A" w:rsidRPr="00FB04F6">
          <w:rPr>
            <w:rFonts w:ascii="Calibri" w:hAnsi="Calibri" w:cs="Calibri"/>
            <w:noProof/>
            <w:webHidden/>
          </w:rPr>
          <w:fldChar w:fldCharType="end"/>
        </w:r>
      </w:hyperlink>
    </w:p>
    <w:p w14:paraId="751D9060" w14:textId="77777777" w:rsidR="00B0080A" w:rsidRPr="00FB04F6" w:rsidRDefault="00160FB0" w:rsidP="006C5F2A">
      <w:pPr>
        <w:pStyle w:val="Tabledesillustrations"/>
        <w:tabs>
          <w:tab w:val="right" w:leader="dot" w:pos="9060"/>
        </w:tabs>
        <w:ind w:left="0"/>
        <w:rPr>
          <w:rFonts w:ascii="Calibri" w:hAnsi="Calibri" w:cs="Calibri"/>
          <w:noProof/>
          <w:sz w:val="22"/>
          <w:szCs w:val="22"/>
        </w:rPr>
      </w:pPr>
      <w:hyperlink w:anchor="_Toc125402473" w:history="1">
        <w:r w:rsidR="00B0080A" w:rsidRPr="00FB04F6">
          <w:rPr>
            <w:rStyle w:val="Lienhypertexte"/>
            <w:rFonts w:ascii="Calibri" w:hAnsi="Calibri" w:cs="Calibri"/>
            <w:noProof/>
          </w:rPr>
          <w:t>Annexe 10 : Plan de Gestion des Déchets d’Equipements Electronique et Electrique</w:t>
        </w:r>
        <w:r w:rsidR="00B0080A" w:rsidRPr="00FB04F6">
          <w:rPr>
            <w:rFonts w:ascii="Calibri" w:hAnsi="Calibri" w:cs="Calibri"/>
            <w:noProof/>
            <w:webHidden/>
          </w:rPr>
          <w:tab/>
        </w:r>
        <w:r w:rsidR="00B0080A" w:rsidRPr="00FB04F6">
          <w:rPr>
            <w:rFonts w:ascii="Calibri" w:hAnsi="Calibri" w:cs="Calibri"/>
            <w:noProof/>
            <w:webHidden/>
          </w:rPr>
          <w:fldChar w:fldCharType="begin"/>
        </w:r>
        <w:r w:rsidR="00B0080A" w:rsidRPr="00FB04F6">
          <w:rPr>
            <w:rFonts w:ascii="Calibri" w:hAnsi="Calibri" w:cs="Calibri"/>
            <w:noProof/>
            <w:webHidden/>
          </w:rPr>
          <w:instrText xml:space="preserve"> PAGEREF _Toc125402473 \h </w:instrText>
        </w:r>
        <w:r w:rsidR="00B0080A" w:rsidRPr="00FB04F6">
          <w:rPr>
            <w:rFonts w:ascii="Calibri" w:hAnsi="Calibri" w:cs="Calibri"/>
            <w:noProof/>
            <w:webHidden/>
          </w:rPr>
        </w:r>
        <w:r w:rsidR="00B0080A" w:rsidRPr="00FB04F6">
          <w:rPr>
            <w:rFonts w:ascii="Calibri" w:hAnsi="Calibri" w:cs="Calibri"/>
            <w:noProof/>
            <w:webHidden/>
          </w:rPr>
          <w:fldChar w:fldCharType="separate"/>
        </w:r>
        <w:r w:rsidR="00B05C7F">
          <w:rPr>
            <w:rFonts w:ascii="Calibri" w:hAnsi="Calibri" w:cs="Calibri"/>
            <w:noProof/>
            <w:webHidden/>
          </w:rPr>
          <w:t>lxxxviii</w:t>
        </w:r>
        <w:r w:rsidR="00B0080A" w:rsidRPr="00FB04F6">
          <w:rPr>
            <w:rFonts w:ascii="Calibri" w:hAnsi="Calibri" w:cs="Calibri"/>
            <w:noProof/>
            <w:webHidden/>
          </w:rPr>
          <w:fldChar w:fldCharType="end"/>
        </w:r>
      </w:hyperlink>
    </w:p>
    <w:p w14:paraId="0A38A66B" w14:textId="77777777" w:rsidR="00B0080A" w:rsidRPr="00FB04F6" w:rsidRDefault="00160FB0" w:rsidP="006C5F2A">
      <w:pPr>
        <w:pStyle w:val="Tabledesillustrations"/>
        <w:tabs>
          <w:tab w:val="right" w:leader="dot" w:pos="9060"/>
        </w:tabs>
        <w:ind w:left="0"/>
        <w:rPr>
          <w:rFonts w:ascii="Calibri" w:hAnsi="Calibri" w:cs="Calibri"/>
          <w:noProof/>
          <w:sz w:val="22"/>
          <w:szCs w:val="22"/>
        </w:rPr>
      </w:pPr>
      <w:hyperlink w:anchor="_Toc125402474" w:history="1">
        <w:r w:rsidR="00B0080A" w:rsidRPr="00FB04F6">
          <w:rPr>
            <w:rStyle w:val="Lienhypertexte"/>
            <w:rFonts w:ascii="Calibri" w:hAnsi="Calibri" w:cs="Calibri"/>
            <w:noProof/>
          </w:rPr>
          <w:t>Annexe 11 : Plan de Gestion de COVID-19</w:t>
        </w:r>
        <w:r w:rsidR="00B0080A" w:rsidRPr="00FB04F6">
          <w:rPr>
            <w:rFonts w:ascii="Calibri" w:hAnsi="Calibri" w:cs="Calibri"/>
            <w:noProof/>
            <w:webHidden/>
          </w:rPr>
          <w:tab/>
        </w:r>
        <w:r w:rsidR="00B0080A" w:rsidRPr="00FB04F6">
          <w:rPr>
            <w:rFonts w:ascii="Calibri" w:hAnsi="Calibri" w:cs="Calibri"/>
            <w:noProof/>
            <w:webHidden/>
          </w:rPr>
          <w:fldChar w:fldCharType="begin"/>
        </w:r>
        <w:r w:rsidR="00B0080A" w:rsidRPr="00FB04F6">
          <w:rPr>
            <w:rFonts w:ascii="Calibri" w:hAnsi="Calibri" w:cs="Calibri"/>
            <w:noProof/>
            <w:webHidden/>
          </w:rPr>
          <w:instrText xml:space="preserve"> PAGEREF _Toc125402474 \h </w:instrText>
        </w:r>
        <w:r w:rsidR="00B0080A" w:rsidRPr="00FB04F6">
          <w:rPr>
            <w:rFonts w:ascii="Calibri" w:hAnsi="Calibri" w:cs="Calibri"/>
            <w:noProof/>
            <w:webHidden/>
          </w:rPr>
        </w:r>
        <w:r w:rsidR="00B0080A" w:rsidRPr="00FB04F6">
          <w:rPr>
            <w:rFonts w:ascii="Calibri" w:hAnsi="Calibri" w:cs="Calibri"/>
            <w:noProof/>
            <w:webHidden/>
          </w:rPr>
          <w:fldChar w:fldCharType="separate"/>
        </w:r>
        <w:r w:rsidR="00B05C7F">
          <w:rPr>
            <w:rFonts w:ascii="Calibri" w:hAnsi="Calibri" w:cs="Calibri"/>
            <w:noProof/>
            <w:webHidden/>
          </w:rPr>
          <w:t>xciv</w:t>
        </w:r>
        <w:r w:rsidR="00B0080A" w:rsidRPr="00FB04F6">
          <w:rPr>
            <w:rFonts w:ascii="Calibri" w:hAnsi="Calibri" w:cs="Calibri"/>
            <w:noProof/>
            <w:webHidden/>
          </w:rPr>
          <w:fldChar w:fldCharType="end"/>
        </w:r>
      </w:hyperlink>
    </w:p>
    <w:p w14:paraId="3A550DF2" w14:textId="77777777" w:rsidR="00B0080A" w:rsidRPr="00FB04F6" w:rsidRDefault="00160FB0" w:rsidP="006C5F2A">
      <w:pPr>
        <w:pStyle w:val="Tabledesillustrations"/>
        <w:tabs>
          <w:tab w:val="right" w:leader="dot" w:pos="9060"/>
        </w:tabs>
        <w:ind w:left="0"/>
        <w:rPr>
          <w:rFonts w:ascii="Calibri" w:hAnsi="Calibri" w:cs="Calibri"/>
          <w:noProof/>
          <w:sz w:val="22"/>
          <w:szCs w:val="22"/>
        </w:rPr>
      </w:pPr>
      <w:hyperlink w:anchor="_Toc125402475" w:history="1">
        <w:r w:rsidR="00B0080A" w:rsidRPr="00FB04F6">
          <w:rPr>
            <w:rStyle w:val="Lienhypertexte"/>
            <w:rFonts w:ascii="Calibri" w:hAnsi="Calibri" w:cs="Calibri"/>
            <w:noProof/>
          </w:rPr>
          <w:t>Annexe 12 : Plan d’Urgence</w:t>
        </w:r>
        <w:r w:rsidR="00B0080A" w:rsidRPr="00FB04F6">
          <w:rPr>
            <w:rFonts w:ascii="Calibri" w:hAnsi="Calibri" w:cs="Calibri"/>
            <w:noProof/>
            <w:webHidden/>
          </w:rPr>
          <w:tab/>
        </w:r>
        <w:r w:rsidR="00B0080A" w:rsidRPr="00FB04F6">
          <w:rPr>
            <w:rFonts w:ascii="Calibri" w:hAnsi="Calibri" w:cs="Calibri"/>
            <w:noProof/>
            <w:webHidden/>
          </w:rPr>
          <w:fldChar w:fldCharType="begin"/>
        </w:r>
        <w:r w:rsidR="00B0080A" w:rsidRPr="00FB04F6">
          <w:rPr>
            <w:rFonts w:ascii="Calibri" w:hAnsi="Calibri" w:cs="Calibri"/>
            <w:noProof/>
            <w:webHidden/>
          </w:rPr>
          <w:instrText xml:space="preserve"> PAGEREF _Toc125402475 \h </w:instrText>
        </w:r>
        <w:r w:rsidR="00B0080A" w:rsidRPr="00FB04F6">
          <w:rPr>
            <w:rFonts w:ascii="Calibri" w:hAnsi="Calibri" w:cs="Calibri"/>
            <w:noProof/>
            <w:webHidden/>
          </w:rPr>
        </w:r>
        <w:r w:rsidR="00B0080A" w:rsidRPr="00FB04F6">
          <w:rPr>
            <w:rFonts w:ascii="Calibri" w:hAnsi="Calibri" w:cs="Calibri"/>
            <w:noProof/>
            <w:webHidden/>
          </w:rPr>
          <w:fldChar w:fldCharType="separate"/>
        </w:r>
        <w:r w:rsidR="00B05C7F">
          <w:rPr>
            <w:rFonts w:ascii="Calibri" w:hAnsi="Calibri" w:cs="Calibri"/>
            <w:noProof/>
            <w:webHidden/>
          </w:rPr>
          <w:t>xcix</w:t>
        </w:r>
        <w:r w:rsidR="00B0080A" w:rsidRPr="00FB04F6">
          <w:rPr>
            <w:rFonts w:ascii="Calibri" w:hAnsi="Calibri" w:cs="Calibri"/>
            <w:noProof/>
            <w:webHidden/>
          </w:rPr>
          <w:fldChar w:fldCharType="end"/>
        </w:r>
      </w:hyperlink>
    </w:p>
    <w:p w14:paraId="6C04C3CB" w14:textId="77777777" w:rsidR="00B0080A" w:rsidRPr="00FB04F6" w:rsidRDefault="00160FB0" w:rsidP="006C5F2A">
      <w:pPr>
        <w:pStyle w:val="Tabledesillustrations"/>
        <w:tabs>
          <w:tab w:val="right" w:leader="dot" w:pos="9060"/>
        </w:tabs>
        <w:ind w:left="0"/>
        <w:rPr>
          <w:rFonts w:ascii="Calibri" w:hAnsi="Calibri" w:cs="Calibri"/>
          <w:noProof/>
          <w:sz w:val="22"/>
          <w:szCs w:val="22"/>
        </w:rPr>
      </w:pPr>
      <w:hyperlink w:anchor="_Toc125402476" w:history="1">
        <w:r w:rsidR="00B0080A" w:rsidRPr="00FB04F6">
          <w:rPr>
            <w:rStyle w:val="Lienhypertexte"/>
            <w:rFonts w:ascii="Calibri" w:hAnsi="Calibri" w:cs="Calibri"/>
            <w:noProof/>
          </w:rPr>
          <w:t>Annexe 13 : Plan de Gestion de Sécurité</w:t>
        </w:r>
        <w:r w:rsidR="00B0080A" w:rsidRPr="00FB04F6">
          <w:rPr>
            <w:rFonts w:ascii="Calibri" w:hAnsi="Calibri" w:cs="Calibri"/>
            <w:noProof/>
            <w:webHidden/>
          </w:rPr>
          <w:tab/>
        </w:r>
        <w:r w:rsidR="00B0080A" w:rsidRPr="00FB04F6">
          <w:rPr>
            <w:rFonts w:ascii="Calibri" w:hAnsi="Calibri" w:cs="Calibri"/>
            <w:noProof/>
            <w:webHidden/>
          </w:rPr>
          <w:fldChar w:fldCharType="begin"/>
        </w:r>
        <w:r w:rsidR="00B0080A" w:rsidRPr="00FB04F6">
          <w:rPr>
            <w:rFonts w:ascii="Calibri" w:hAnsi="Calibri" w:cs="Calibri"/>
            <w:noProof/>
            <w:webHidden/>
          </w:rPr>
          <w:instrText xml:space="preserve"> PAGEREF _Toc125402476 \h </w:instrText>
        </w:r>
        <w:r w:rsidR="00B0080A" w:rsidRPr="00FB04F6">
          <w:rPr>
            <w:rFonts w:ascii="Calibri" w:hAnsi="Calibri" w:cs="Calibri"/>
            <w:noProof/>
            <w:webHidden/>
          </w:rPr>
        </w:r>
        <w:r w:rsidR="00B0080A" w:rsidRPr="00FB04F6">
          <w:rPr>
            <w:rFonts w:ascii="Calibri" w:hAnsi="Calibri" w:cs="Calibri"/>
            <w:noProof/>
            <w:webHidden/>
          </w:rPr>
          <w:fldChar w:fldCharType="separate"/>
        </w:r>
        <w:r w:rsidR="00B05C7F">
          <w:rPr>
            <w:rFonts w:ascii="Calibri" w:hAnsi="Calibri" w:cs="Calibri"/>
            <w:noProof/>
            <w:webHidden/>
          </w:rPr>
          <w:t>civ</w:t>
        </w:r>
        <w:r w:rsidR="00B0080A" w:rsidRPr="00FB04F6">
          <w:rPr>
            <w:rFonts w:ascii="Calibri" w:hAnsi="Calibri" w:cs="Calibri"/>
            <w:noProof/>
            <w:webHidden/>
          </w:rPr>
          <w:fldChar w:fldCharType="end"/>
        </w:r>
      </w:hyperlink>
    </w:p>
    <w:p w14:paraId="0DD83C82" w14:textId="77777777" w:rsidR="00B0080A" w:rsidRPr="00FB04F6" w:rsidRDefault="00160FB0" w:rsidP="006C5F2A">
      <w:pPr>
        <w:pStyle w:val="Tabledesillustrations"/>
        <w:tabs>
          <w:tab w:val="right" w:leader="dot" w:pos="9060"/>
        </w:tabs>
        <w:ind w:left="0"/>
        <w:rPr>
          <w:rFonts w:ascii="Calibri" w:hAnsi="Calibri" w:cs="Calibri"/>
          <w:noProof/>
          <w:sz w:val="22"/>
          <w:szCs w:val="22"/>
        </w:rPr>
      </w:pPr>
      <w:hyperlink w:anchor="_Toc125402477" w:history="1">
        <w:r w:rsidR="00B0080A" w:rsidRPr="00FB04F6">
          <w:rPr>
            <w:rStyle w:val="Lienhypertexte"/>
            <w:rFonts w:ascii="Calibri" w:hAnsi="Calibri" w:cs="Calibri"/>
            <w:noProof/>
          </w:rPr>
          <w:t>Annexe 14 : Modèle de Plan de Gestion de la Circulation</w:t>
        </w:r>
        <w:r w:rsidR="00B0080A" w:rsidRPr="00FB04F6">
          <w:rPr>
            <w:rFonts w:ascii="Calibri" w:hAnsi="Calibri" w:cs="Calibri"/>
            <w:noProof/>
            <w:webHidden/>
          </w:rPr>
          <w:tab/>
        </w:r>
        <w:r w:rsidR="00B0080A" w:rsidRPr="00FB04F6">
          <w:rPr>
            <w:rFonts w:ascii="Calibri" w:hAnsi="Calibri" w:cs="Calibri"/>
            <w:noProof/>
            <w:webHidden/>
          </w:rPr>
          <w:fldChar w:fldCharType="begin"/>
        </w:r>
        <w:r w:rsidR="00B0080A" w:rsidRPr="00FB04F6">
          <w:rPr>
            <w:rFonts w:ascii="Calibri" w:hAnsi="Calibri" w:cs="Calibri"/>
            <w:noProof/>
            <w:webHidden/>
          </w:rPr>
          <w:instrText xml:space="preserve"> PAGEREF _Toc125402477 \h </w:instrText>
        </w:r>
        <w:r w:rsidR="00B0080A" w:rsidRPr="00FB04F6">
          <w:rPr>
            <w:rFonts w:ascii="Calibri" w:hAnsi="Calibri" w:cs="Calibri"/>
            <w:noProof/>
            <w:webHidden/>
          </w:rPr>
        </w:r>
        <w:r w:rsidR="00B0080A" w:rsidRPr="00FB04F6">
          <w:rPr>
            <w:rFonts w:ascii="Calibri" w:hAnsi="Calibri" w:cs="Calibri"/>
            <w:noProof/>
            <w:webHidden/>
          </w:rPr>
          <w:fldChar w:fldCharType="separate"/>
        </w:r>
        <w:r w:rsidR="00B05C7F">
          <w:rPr>
            <w:rFonts w:ascii="Calibri" w:hAnsi="Calibri" w:cs="Calibri"/>
            <w:noProof/>
            <w:webHidden/>
          </w:rPr>
          <w:t>cx</w:t>
        </w:r>
        <w:r w:rsidR="00B0080A" w:rsidRPr="00FB04F6">
          <w:rPr>
            <w:rFonts w:ascii="Calibri" w:hAnsi="Calibri" w:cs="Calibri"/>
            <w:noProof/>
            <w:webHidden/>
          </w:rPr>
          <w:fldChar w:fldCharType="end"/>
        </w:r>
      </w:hyperlink>
    </w:p>
    <w:p w14:paraId="3B960126" w14:textId="77777777" w:rsidR="00B0080A" w:rsidRPr="00FB04F6" w:rsidRDefault="00160FB0" w:rsidP="006C5F2A">
      <w:pPr>
        <w:pStyle w:val="Tabledesillustrations"/>
        <w:tabs>
          <w:tab w:val="right" w:leader="dot" w:pos="9060"/>
        </w:tabs>
        <w:ind w:left="0"/>
        <w:rPr>
          <w:rFonts w:ascii="Calibri" w:hAnsi="Calibri" w:cs="Calibri"/>
          <w:noProof/>
          <w:sz w:val="22"/>
          <w:szCs w:val="22"/>
        </w:rPr>
      </w:pPr>
      <w:hyperlink w:anchor="_Toc125402478" w:history="1">
        <w:r w:rsidR="00B0080A" w:rsidRPr="00FB04F6">
          <w:rPr>
            <w:rStyle w:val="Lienhypertexte"/>
            <w:rFonts w:ascii="Calibri" w:hAnsi="Calibri" w:cs="Calibri"/>
            <w:noProof/>
          </w:rPr>
          <w:t>Annexe 15 : Elé</w:t>
        </w:r>
        <w:r w:rsidR="00B0080A" w:rsidRPr="00FB04F6">
          <w:rPr>
            <w:rStyle w:val="Lienhypertexte"/>
            <w:rFonts w:ascii="Calibri" w:hAnsi="Calibri" w:cs="Calibri"/>
            <w:noProof/>
          </w:rPr>
          <w:t>m</w:t>
        </w:r>
        <w:r w:rsidR="00B0080A" w:rsidRPr="00FB04F6">
          <w:rPr>
            <w:rStyle w:val="Lienhypertexte"/>
            <w:rFonts w:ascii="Calibri" w:hAnsi="Calibri" w:cs="Calibri"/>
            <w:noProof/>
          </w:rPr>
          <w:t>ents de Termes de référence pour une étude d’impact environnementale et sociale sur un sous projet du Projet DECIM</w:t>
        </w:r>
        <w:r w:rsidR="00B0080A" w:rsidRPr="00FB04F6">
          <w:rPr>
            <w:rFonts w:ascii="Calibri" w:hAnsi="Calibri" w:cs="Calibri"/>
            <w:noProof/>
            <w:webHidden/>
          </w:rPr>
          <w:tab/>
        </w:r>
        <w:r w:rsidR="00B0080A" w:rsidRPr="00FB04F6">
          <w:rPr>
            <w:rFonts w:ascii="Calibri" w:hAnsi="Calibri" w:cs="Calibri"/>
            <w:noProof/>
            <w:webHidden/>
          </w:rPr>
          <w:fldChar w:fldCharType="begin"/>
        </w:r>
        <w:r w:rsidR="00B0080A" w:rsidRPr="00FB04F6">
          <w:rPr>
            <w:rFonts w:ascii="Calibri" w:hAnsi="Calibri" w:cs="Calibri"/>
            <w:noProof/>
            <w:webHidden/>
          </w:rPr>
          <w:instrText xml:space="preserve"> PAGEREF _Toc125402478 \h </w:instrText>
        </w:r>
        <w:r w:rsidR="00B0080A" w:rsidRPr="00FB04F6">
          <w:rPr>
            <w:rFonts w:ascii="Calibri" w:hAnsi="Calibri" w:cs="Calibri"/>
            <w:noProof/>
            <w:webHidden/>
          </w:rPr>
        </w:r>
        <w:r w:rsidR="00B0080A" w:rsidRPr="00FB04F6">
          <w:rPr>
            <w:rFonts w:ascii="Calibri" w:hAnsi="Calibri" w:cs="Calibri"/>
            <w:noProof/>
            <w:webHidden/>
          </w:rPr>
          <w:fldChar w:fldCharType="separate"/>
        </w:r>
        <w:r w:rsidR="00B05C7F">
          <w:rPr>
            <w:rFonts w:ascii="Calibri" w:hAnsi="Calibri" w:cs="Calibri"/>
            <w:noProof/>
            <w:webHidden/>
          </w:rPr>
          <w:t>cxiv</w:t>
        </w:r>
        <w:r w:rsidR="00B0080A" w:rsidRPr="00FB04F6">
          <w:rPr>
            <w:rFonts w:ascii="Calibri" w:hAnsi="Calibri" w:cs="Calibri"/>
            <w:noProof/>
            <w:webHidden/>
          </w:rPr>
          <w:fldChar w:fldCharType="end"/>
        </w:r>
      </w:hyperlink>
    </w:p>
    <w:p w14:paraId="04B6D1F2" w14:textId="77777777" w:rsidR="00B0080A" w:rsidRPr="00FB04F6" w:rsidRDefault="00160FB0" w:rsidP="006C5F2A">
      <w:pPr>
        <w:pStyle w:val="Tabledesillustrations"/>
        <w:tabs>
          <w:tab w:val="right" w:leader="dot" w:pos="9060"/>
        </w:tabs>
        <w:ind w:left="0"/>
        <w:rPr>
          <w:rFonts w:ascii="Calibri" w:hAnsi="Calibri" w:cs="Calibri"/>
          <w:noProof/>
          <w:sz w:val="22"/>
          <w:szCs w:val="22"/>
        </w:rPr>
      </w:pPr>
      <w:hyperlink w:anchor="_Toc125402479" w:history="1">
        <w:r w:rsidR="00B0080A" w:rsidRPr="00FB04F6">
          <w:rPr>
            <w:rStyle w:val="Lienhypertexte"/>
            <w:rFonts w:ascii="Calibri" w:hAnsi="Calibri" w:cs="Calibri"/>
            <w:noProof/>
          </w:rPr>
          <w:t>Annexe 16 : Plan d’action contre les Violences Basées sur le Genre</w:t>
        </w:r>
        <w:r w:rsidR="00B0080A" w:rsidRPr="00FB04F6">
          <w:rPr>
            <w:rFonts w:ascii="Calibri" w:hAnsi="Calibri" w:cs="Calibri"/>
            <w:noProof/>
            <w:webHidden/>
          </w:rPr>
          <w:tab/>
        </w:r>
        <w:r w:rsidR="00B0080A" w:rsidRPr="00FB04F6">
          <w:rPr>
            <w:rFonts w:ascii="Calibri" w:hAnsi="Calibri" w:cs="Calibri"/>
            <w:noProof/>
            <w:webHidden/>
          </w:rPr>
          <w:fldChar w:fldCharType="begin"/>
        </w:r>
        <w:r w:rsidR="00B0080A" w:rsidRPr="00FB04F6">
          <w:rPr>
            <w:rFonts w:ascii="Calibri" w:hAnsi="Calibri" w:cs="Calibri"/>
            <w:noProof/>
            <w:webHidden/>
          </w:rPr>
          <w:instrText xml:space="preserve"> PAGEREF _Toc125402479 \h </w:instrText>
        </w:r>
        <w:r w:rsidR="00B0080A" w:rsidRPr="00FB04F6">
          <w:rPr>
            <w:rFonts w:ascii="Calibri" w:hAnsi="Calibri" w:cs="Calibri"/>
            <w:noProof/>
            <w:webHidden/>
          </w:rPr>
        </w:r>
        <w:r w:rsidR="00B0080A" w:rsidRPr="00FB04F6">
          <w:rPr>
            <w:rFonts w:ascii="Calibri" w:hAnsi="Calibri" w:cs="Calibri"/>
            <w:noProof/>
            <w:webHidden/>
          </w:rPr>
          <w:fldChar w:fldCharType="separate"/>
        </w:r>
        <w:r w:rsidR="00B05C7F">
          <w:rPr>
            <w:rFonts w:ascii="Calibri" w:hAnsi="Calibri" w:cs="Calibri"/>
            <w:noProof/>
            <w:webHidden/>
          </w:rPr>
          <w:t>cxxiii</w:t>
        </w:r>
        <w:r w:rsidR="00B0080A" w:rsidRPr="00FB04F6">
          <w:rPr>
            <w:rFonts w:ascii="Calibri" w:hAnsi="Calibri" w:cs="Calibri"/>
            <w:noProof/>
            <w:webHidden/>
          </w:rPr>
          <w:fldChar w:fldCharType="end"/>
        </w:r>
      </w:hyperlink>
    </w:p>
    <w:p w14:paraId="74A0DACC" w14:textId="77777777" w:rsidR="00B0080A" w:rsidRPr="0044500E" w:rsidRDefault="00B0080A" w:rsidP="00B0080A">
      <w:pPr>
        <w:pStyle w:val="Tabledesillustrations"/>
        <w:tabs>
          <w:tab w:val="right" w:leader="dot" w:pos="9060"/>
        </w:tabs>
        <w:rPr>
          <w:rFonts w:ascii="Calibri" w:hAnsi="Calibri"/>
          <w:noProof/>
          <w:sz w:val="22"/>
          <w:szCs w:val="22"/>
        </w:rPr>
      </w:pPr>
    </w:p>
    <w:p w14:paraId="59F6B28D" w14:textId="77777777" w:rsidR="00B0080A" w:rsidRDefault="00B0080A" w:rsidP="00B0080A">
      <w:pPr>
        <w:rPr>
          <w:b/>
          <w:bCs/>
        </w:rPr>
      </w:pPr>
      <w:r>
        <w:fldChar w:fldCharType="end"/>
      </w:r>
    </w:p>
    <w:p w14:paraId="682CC188" w14:textId="77777777" w:rsidR="003856BD" w:rsidRPr="00B0080A" w:rsidRDefault="003856BD" w:rsidP="00B0080A">
      <w:pPr>
        <w:pStyle w:val="En-ttedetabledesmatires"/>
        <w:spacing w:before="120" w:after="120"/>
        <w:ind w:left="851" w:hanging="431"/>
        <w:rPr>
          <w:b/>
          <w:bCs/>
          <w:sz w:val="24"/>
          <w:szCs w:val="24"/>
        </w:rPr>
      </w:pPr>
      <w:bookmarkStart w:id="5" w:name="_Toc127957538"/>
      <w:r w:rsidRPr="00B0080A">
        <w:rPr>
          <w:b/>
          <w:bCs/>
          <w:sz w:val="24"/>
          <w:szCs w:val="24"/>
        </w:rPr>
        <w:t>LISTE DES TABLEAUX</w:t>
      </w:r>
      <w:bookmarkEnd w:id="5"/>
    </w:p>
    <w:p w14:paraId="18097758" w14:textId="77777777" w:rsidR="006C5F2A" w:rsidRPr="00FB04F6" w:rsidRDefault="003856BD" w:rsidP="006C5F2A">
      <w:pPr>
        <w:pStyle w:val="Tabledesillustrations"/>
        <w:tabs>
          <w:tab w:val="right" w:leader="dot" w:pos="9062"/>
        </w:tabs>
        <w:ind w:left="0"/>
        <w:rPr>
          <w:rFonts w:ascii="Calibri" w:hAnsi="Calibri"/>
          <w:noProof/>
          <w:sz w:val="22"/>
          <w:szCs w:val="22"/>
        </w:rPr>
      </w:pPr>
      <w:r>
        <w:rPr>
          <w:rFonts w:ascii="Calibri" w:hAnsi="Calibri" w:cs="Calibri"/>
          <w:smallCaps/>
          <w:szCs w:val="20"/>
        </w:rPr>
        <w:fldChar w:fldCharType="begin"/>
      </w:r>
      <w:r w:rsidRPr="0044500E">
        <w:rPr>
          <w:rFonts w:ascii="Calibri" w:hAnsi="Calibri" w:cs="Calibri"/>
        </w:rPr>
        <w:instrText xml:space="preserve"> TOC \h \z \c "Tableau" </w:instrText>
      </w:r>
      <w:r>
        <w:rPr>
          <w:rFonts w:ascii="Calibri" w:hAnsi="Calibri" w:cs="Calibri"/>
          <w:smallCaps/>
          <w:szCs w:val="20"/>
        </w:rPr>
        <w:fldChar w:fldCharType="separate"/>
      </w:r>
      <w:hyperlink w:anchor="_Toc127957797" w:history="1">
        <w:r w:rsidR="006C5F2A" w:rsidRPr="00A47D4D">
          <w:rPr>
            <w:rStyle w:val="Lienhypertexte"/>
            <w:noProof/>
          </w:rPr>
          <w:t>Tableau 1. Paramètres techniques pour les sites de production hydroélectrique dans le cadre du Programme SREP</w:t>
        </w:r>
        <w:r w:rsidR="006C5F2A">
          <w:rPr>
            <w:noProof/>
            <w:webHidden/>
          </w:rPr>
          <w:tab/>
        </w:r>
        <w:r w:rsidR="006C5F2A">
          <w:rPr>
            <w:noProof/>
            <w:webHidden/>
          </w:rPr>
          <w:fldChar w:fldCharType="begin"/>
        </w:r>
        <w:r w:rsidR="006C5F2A">
          <w:rPr>
            <w:noProof/>
            <w:webHidden/>
          </w:rPr>
          <w:instrText xml:space="preserve"> PAGEREF _Toc127957797 \h </w:instrText>
        </w:r>
        <w:r w:rsidR="006C5F2A">
          <w:rPr>
            <w:noProof/>
            <w:webHidden/>
          </w:rPr>
        </w:r>
        <w:r w:rsidR="006C5F2A">
          <w:rPr>
            <w:noProof/>
            <w:webHidden/>
          </w:rPr>
          <w:fldChar w:fldCharType="separate"/>
        </w:r>
        <w:r w:rsidR="00B05C7F">
          <w:rPr>
            <w:noProof/>
            <w:webHidden/>
          </w:rPr>
          <w:t>18</w:t>
        </w:r>
        <w:r w:rsidR="006C5F2A">
          <w:rPr>
            <w:noProof/>
            <w:webHidden/>
          </w:rPr>
          <w:fldChar w:fldCharType="end"/>
        </w:r>
      </w:hyperlink>
    </w:p>
    <w:p w14:paraId="3E3424E4"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798" w:history="1">
        <w:r w:rsidRPr="00A47D4D">
          <w:rPr>
            <w:rStyle w:val="Lienhypertexte"/>
            <w:noProof/>
          </w:rPr>
          <w:t>Tableau 2. Exemple de descriptions techniques des technologies 3G, 4G ou 5G</w:t>
        </w:r>
        <w:r>
          <w:rPr>
            <w:noProof/>
            <w:webHidden/>
          </w:rPr>
          <w:tab/>
        </w:r>
        <w:r>
          <w:rPr>
            <w:noProof/>
            <w:webHidden/>
          </w:rPr>
          <w:fldChar w:fldCharType="begin"/>
        </w:r>
        <w:r>
          <w:rPr>
            <w:noProof/>
            <w:webHidden/>
          </w:rPr>
          <w:instrText xml:space="preserve"> PAGEREF _Toc127957798 \h </w:instrText>
        </w:r>
        <w:r>
          <w:rPr>
            <w:noProof/>
            <w:webHidden/>
          </w:rPr>
        </w:r>
        <w:r>
          <w:rPr>
            <w:noProof/>
            <w:webHidden/>
          </w:rPr>
          <w:fldChar w:fldCharType="separate"/>
        </w:r>
        <w:r w:rsidR="00B05C7F">
          <w:rPr>
            <w:noProof/>
            <w:webHidden/>
          </w:rPr>
          <w:t>24</w:t>
        </w:r>
        <w:r>
          <w:rPr>
            <w:noProof/>
            <w:webHidden/>
          </w:rPr>
          <w:fldChar w:fldCharType="end"/>
        </w:r>
      </w:hyperlink>
    </w:p>
    <w:p w14:paraId="717801F6"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799" w:history="1">
        <w:r w:rsidRPr="00A47D4D">
          <w:rPr>
            <w:rStyle w:val="Lienhypertexte"/>
            <w:noProof/>
          </w:rPr>
          <w:t>Tableau 3. Caractéristique des différentes zones climatiques de Madagascar</w:t>
        </w:r>
        <w:r>
          <w:rPr>
            <w:noProof/>
            <w:webHidden/>
          </w:rPr>
          <w:tab/>
        </w:r>
        <w:r>
          <w:rPr>
            <w:noProof/>
            <w:webHidden/>
          </w:rPr>
          <w:fldChar w:fldCharType="begin"/>
        </w:r>
        <w:r>
          <w:rPr>
            <w:noProof/>
            <w:webHidden/>
          </w:rPr>
          <w:instrText xml:space="preserve"> PAGEREF _Toc127957799 \h </w:instrText>
        </w:r>
        <w:r>
          <w:rPr>
            <w:noProof/>
            <w:webHidden/>
          </w:rPr>
        </w:r>
        <w:r>
          <w:rPr>
            <w:noProof/>
            <w:webHidden/>
          </w:rPr>
          <w:fldChar w:fldCharType="separate"/>
        </w:r>
        <w:r w:rsidR="00B05C7F">
          <w:rPr>
            <w:noProof/>
            <w:webHidden/>
          </w:rPr>
          <w:t>27</w:t>
        </w:r>
        <w:r>
          <w:rPr>
            <w:noProof/>
            <w:webHidden/>
          </w:rPr>
          <w:fldChar w:fldCharType="end"/>
        </w:r>
      </w:hyperlink>
    </w:p>
    <w:p w14:paraId="23F030FB"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00" w:history="1">
        <w:r w:rsidRPr="00A47D4D">
          <w:rPr>
            <w:rStyle w:val="Lienhypertexte"/>
            <w:noProof/>
          </w:rPr>
          <w:t>Tableau 4. Répartition des heures d’ensoleillement moyen au niveau de chaque Région</w:t>
        </w:r>
        <w:r>
          <w:rPr>
            <w:noProof/>
            <w:webHidden/>
          </w:rPr>
          <w:tab/>
        </w:r>
        <w:r>
          <w:rPr>
            <w:noProof/>
            <w:webHidden/>
          </w:rPr>
          <w:fldChar w:fldCharType="begin"/>
        </w:r>
        <w:r>
          <w:rPr>
            <w:noProof/>
            <w:webHidden/>
          </w:rPr>
          <w:instrText xml:space="preserve"> PAGEREF _Toc127957800 \h </w:instrText>
        </w:r>
        <w:r>
          <w:rPr>
            <w:noProof/>
            <w:webHidden/>
          </w:rPr>
        </w:r>
        <w:r>
          <w:rPr>
            <w:noProof/>
            <w:webHidden/>
          </w:rPr>
          <w:fldChar w:fldCharType="separate"/>
        </w:r>
        <w:r w:rsidR="00B05C7F">
          <w:rPr>
            <w:noProof/>
            <w:webHidden/>
          </w:rPr>
          <w:t>30</w:t>
        </w:r>
        <w:r>
          <w:rPr>
            <w:noProof/>
            <w:webHidden/>
          </w:rPr>
          <w:fldChar w:fldCharType="end"/>
        </w:r>
      </w:hyperlink>
    </w:p>
    <w:p w14:paraId="5093D557"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01" w:history="1">
        <w:r w:rsidRPr="00A47D4D">
          <w:rPr>
            <w:rStyle w:val="Lienhypertexte"/>
            <w:noProof/>
          </w:rPr>
          <w:t>Tableau 5. Caractéristiques des cyclones ayant touché Madagascar entre 2019 et 2022</w:t>
        </w:r>
        <w:r>
          <w:rPr>
            <w:noProof/>
            <w:webHidden/>
          </w:rPr>
          <w:tab/>
        </w:r>
        <w:r>
          <w:rPr>
            <w:noProof/>
            <w:webHidden/>
          </w:rPr>
          <w:fldChar w:fldCharType="begin"/>
        </w:r>
        <w:r>
          <w:rPr>
            <w:noProof/>
            <w:webHidden/>
          </w:rPr>
          <w:instrText xml:space="preserve"> PAGEREF _Toc127957801 \h </w:instrText>
        </w:r>
        <w:r>
          <w:rPr>
            <w:noProof/>
            <w:webHidden/>
          </w:rPr>
        </w:r>
        <w:r>
          <w:rPr>
            <w:noProof/>
            <w:webHidden/>
          </w:rPr>
          <w:fldChar w:fldCharType="separate"/>
        </w:r>
        <w:r w:rsidR="00B05C7F">
          <w:rPr>
            <w:noProof/>
            <w:webHidden/>
          </w:rPr>
          <w:t>32</w:t>
        </w:r>
        <w:r>
          <w:rPr>
            <w:noProof/>
            <w:webHidden/>
          </w:rPr>
          <w:fldChar w:fldCharType="end"/>
        </w:r>
      </w:hyperlink>
    </w:p>
    <w:p w14:paraId="526C415F"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02" w:history="1">
        <w:r w:rsidRPr="00A47D4D">
          <w:rPr>
            <w:rStyle w:val="Lienhypertexte"/>
            <w:noProof/>
          </w:rPr>
          <w:t>Tableau 6. Liste des Districts vulnérables face à l’inondation</w:t>
        </w:r>
        <w:r>
          <w:rPr>
            <w:noProof/>
            <w:webHidden/>
          </w:rPr>
          <w:tab/>
        </w:r>
        <w:r>
          <w:rPr>
            <w:noProof/>
            <w:webHidden/>
          </w:rPr>
          <w:fldChar w:fldCharType="begin"/>
        </w:r>
        <w:r>
          <w:rPr>
            <w:noProof/>
            <w:webHidden/>
          </w:rPr>
          <w:instrText xml:space="preserve"> PAGEREF _Toc127957802 \h </w:instrText>
        </w:r>
        <w:r>
          <w:rPr>
            <w:noProof/>
            <w:webHidden/>
          </w:rPr>
        </w:r>
        <w:r>
          <w:rPr>
            <w:noProof/>
            <w:webHidden/>
          </w:rPr>
          <w:fldChar w:fldCharType="separate"/>
        </w:r>
        <w:r w:rsidR="00B05C7F">
          <w:rPr>
            <w:noProof/>
            <w:webHidden/>
          </w:rPr>
          <w:t>33</w:t>
        </w:r>
        <w:r>
          <w:rPr>
            <w:noProof/>
            <w:webHidden/>
          </w:rPr>
          <w:fldChar w:fldCharType="end"/>
        </w:r>
      </w:hyperlink>
    </w:p>
    <w:p w14:paraId="1E14C064"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03" w:history="1">
        <w:r w:rsidRPr="00A47D4D">
          <w:rPr>
            <w:rStyle w:val="Lienhypertexte"/>
            <w:noProof/>
          </w:rPr>
          <w:t>Tableau 7. Caractéristiques des principaux cours d’eau avec leur puissance</w:t>
        </w:r>
        <w:r>
          <w:rPr>
            <w:noProof/>
            <w:webHidden/>
          </w:rPr>
          <w:tab/>
        </w:r>
        <w:r>
          <w:rPr>
            <w:noProof/>
            <w:webHidden/>
          </w:rPr>
          <w:fldChar w:fldCharType="begin"/>
        </w:r>
        <w:r>
          <w:rPr>
            <w:noProof/>
            <w:webHidden/>
          </w:rPr>
          <w:instrText xml:space="preserve"> PAGEREF _Toc127957803 \h </w:instrText>
        </w:r>
        <w:r>
          <w:rPr>
            <w:noProof/>
            <w:webHidden/>
          </w:rPr>
        </w:r>
        <w:r>
          <w:rPr>
            <w:noProof/>
            <w:webHidden/>
          </w:rPr>
          <w:fldChar w:fldCharType="separate"/>
        </w:r>
        <w:r w:rsidR="00B05C7F">
          <w:rPr>
            <w:noProof/>
            <w:webHidden/>
          </w:rPr>
          <w:t>39</w:t>
        </w:r>
        <w:r>
          <w:rPr>
            <w:noProof/>
            <w:webHidden/>
          </w:rPr>
          <w:fldChar w:fldCharType="end"/>
        </w:r>
      </w:hyperlink>
    </w:p>
    <w:p w14:paraId="1D257EDE"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04" w:history="1">
        <w:r w:rsidRPr="00A47D4D">
          <w:rPr>
            <w:rStyle w:val="Lienhypertexte"/>
            <w:noProof/>
          </w:rPr>
          <w:t>Tableau 8. Nombre d’espèces floristiques et taux d’endémicité</w:t>
        </w:r>
        <w:r>
          <w:rPr>
            <w:noProof/>
            <w:webHidden/>
          </w:rPr>
          <w:tab/>
        </w:r>
        <w:r>
          <w:rPr>
            <w:noProof/>
            <w:webHidden/>
          </w:rPr>
          <w:fldChar w:fldCharType="begin"/>
        </w:r>
        <w:r>
          <w:rPr>
            <w:noProof/>
            <w:webHidden/>
          </w:rPr>
          <w:instrText xml:space="preserve"> PAGEREF _Toc127957804 \h </w:instrText>
        </w:r>
        <w:r>
          <w:rPr>
            <w:noProof/>
            <w:webHidden/>
          </w:rPr>
        </w:r>
        <w:r>
          <w:rPr>
            <w:noProof/>
            <w:webHidden/>
          </w:rPr>
          <w:fldChar w:fldCharType="separate"/>
        </w:r>
        <w:r w:rsidR="00B05C7F">
          <w:rPr>
            <w:noProof/>
            <w:webHidden/>
          </w:rPr>
          <w:t>47</w:t>
        </w:r>
        <w:r>
          <w:rPr>
            <w:noProof/>
            <w:webHidden/>
          </w:rPr>
          <w:fldChar w:fldCharType="end"/>
        </w:r>
      </w:hyperlink>
    </w:p>
    <w:p w14:paraId="4280C983"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05" w:history="1">
        <w:r w:rsidRPr="00A47D4D">
          <w:rPr>
            <w:rStyle w:val="Lienhypertexte"/>
            <w:noProof/>
          </w:rPr>
          <w:t>Tableau 9. Nombre d'espèces et taux d'endémicité pour quelques groupes de vertébrés de Madagascar</w:t>
        </w:r>
        <w:r>
          <w:rPr>
            <w:noProof/>
            <w:webHidden/>
          </w:rPr>
          <w:tab/>
        </w:r>
        <w:r>
          <w:rPr>
            <w:noProof/>
            <w:webHidden/>
          </w:rPr>
          <w:fldChar w:fldCharType="begin"/>
        </w:r>
        <w:r>
          <w:rPr>
            <w:noProof/>
            <w:webHidden/>
          </w:rPr>
          <w:instrText xml:space="preserve"> PAGEREF _Toc127957805 \h </w:instrText>
        </w:r>
        <w:r>
          <w:rPr>
            <w:noProof/>
            <w:webHidden/>
          </w:rPr>
        </w:r>
        <w:r>
          <w:rPr>
            <w:noProof/>
            <w:webHidden/>
          </w:rPr>
          <w:fldChar w:fldCharType="separate"/>
        </w:r>
        <w:r w:rsidR="00B05C7F">
          <w:rPr>
            <w:noProof/>
            <w:webHidden/>
          </w:rPr>
          <w:t>48</w:t>
        </w:r>
        <w:r>
          <w:rPr>
            <w:noProof/>
            <w:webHidden/>
          </w:rPr>
          <w:fldChar w:fldCharType="end"/>
        </w:r>
      </w:hyperlink>
    </w:p>
    <w:p w14:paraId="61BF8FA3"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06" w:history="1">
        <w:r w:rsidRPr="00A47D4D">
          <w:rPr>
            <w:rStyle w:val="Lienhypertexte"/>
            <w:noProof/>
          </w:rPr>
          <w:t>Tableau 10. Répartition des migrants internes anciens et récents par Région de destination</w:t>
        </w:r>
        <w:r>
          <w:rPr>
            <w:noProof/>
            <w:webHidden/>
          </w:rPr>
          <w:tab/>
        </w:r>
        <w:r>
          <w:rPr>
            <w:noProof/>
            <w:webHidden/>
          </w:rPr>
          <w:fldChar w:fldCharType="begin"/>
        </w:r>
        <w:r>
          <w:rPr>
            <w:noProof/>
            <w:webHidden/>
          </w:rPr>
          <w:instrText xml:space="preserve"> PAGEREF _Toc127957806 \h </w:instrText>
        </w:r>
        <w:r>
          <w:rPr>
            <w:noProof/>
            <w:webHidden/>
          </w:rPr>
        </w:r>
        <w:r>
          <w:rPr>
            <w:noProof/>
            <w:webHidden/>
          </w:rPr>
          <w:fldChar w:fldCharType="separate"/>
        </w:r>
        <w:r w:rsidR="00B05C7F">
          <w:rPr>
            <w:noProof/>
            <w:webHidden/>
          </w:rPr>
          <w:t>54</w:t>
        </w:r>
        <w:r>
          <w:rPr>
            <w:noProof/>
            <w:webHidden/>
          </w:rPr>
          <w:fldChar w:fldCharType="end"/>
        </w:r>
      </w:hyperlink>
    </w:p>
    <w:p w14:paraId="0CF65362"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07" w:history="1">
        <w:r w:rsidRPr="00A47D4D">
          <w:rPr>
            <w:rStyle w:val="Lienhypertexte"/>
            <w:noProof/>
          </w:rPr>
          <w:t>Tableau 11. Taux d’aptitude à parler et écrire une langue</w:t>
        </w:r>
        <w:r>
          <w:rPr>
            <w:noProof/>
            <w:webHidden/>
          </w:rPr>
          <w:tab/>
        </w:r>
        <w:r>
          <w:rPr>
            <w:noProof/>
            <w:webHidden/>
          </w:rPr>
          <w:fldChar w:fldCharType="begin"/>
        </w:r>
        <w:r>
          <w:rPr>
            <w:noProof/>
            <w:webHidden/>
          </w:rPr>
          <w:instrText xml:space="preserve"> PAGEREF _Toc127957807 \h </w:instrText>
        </w:r>
        <w:r>
          <w:rPr>
            <w:noProof/>
            <w:webHidden/>
          </w:rPr>
        </w:r>
        <w:r>
          <w:rPr>
            <w:noProof/>
            <w:webHidden/>
          </w:rPr>
          <w:fldChar w:fldCharType="separate"/>
        </w:r>
        <w:r w:rsidR="00B05C7F">
          <w:rPr>
            <w:noProof/>
            <w:webHidden/>
          </w:rPr>
          <w:t>58</w:t>
        </w:r>
        <w:r>
          <w:rPr>
            <w:noProof/>
            <w:webHidden/>
          </w:rPr>
          <w:fldChar w:fldCharType="end"/>
        </w:r>
      </w:hyperlink>
    </w:p>
    <w:p w14:paraId="60E9910B"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08" w:history="1">
        <w:r w:rsidRPr="00A47D4D">
          <w:rPr>
            <w:rStyle w:val="Lienhypertexte"/>
            <w:noProof/>
          </w:rPr>
          <w:t>Tableau 12. Infrastructures Scolaires dans les Régions de Madagascar</w:t>
        </w:r>
        <w:r>
          <w:rPr>
            <w:noProof/>
            <w:webHidden/>
          </w:rPr>
          <w:tab/>
        </w:r>
        <w:r>
          <w:rPr>
            <w:noProof/>
            <w:webHidden/>
          </w:rPr>
          <w:fldChar w:fldCharType="begin"/>
        </w:r>
        <w:r>
          <w:rPr>
            <w:noProof/>
            <w:webHidden/>
          </w:rPr>
          <w:instrText xml:space="preserve"> PAGEREF _Toc127957808 \h </w:instrText>
        </w:r>
        <w:r>
          <w:rPr>
            <w:noProof/>
            <w:webHidden/>
          </w:rPr>
        </w:r>
        <w:r>
          <w:rPr>
            <w:noProof/>
            <w:webHidden/>
          </w:rPr>
          <w:fldChar w:fldCharType="separate"/>
        </w:r>
        <w:r w:rsidR="00B05C7F">
          <w:rPr>
            <w:noProof/>
            <w:webHidden/>
          </w:rPr>
          <w:t>59</w:t>
        </w:r>
        <w:r>
          <w:rPr>
            <w:noProof/>
            <w:webHidden/>
          </w:rPr>
          <w:fldChar w:fldCharType="end"/>
        </w:r>
      </w:hyperlink>
    </w:p>
    <w:p w14:paraId="7B6E46E8"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09" w:history="1">
        <w:r w:rsidRPr="00A47D4D">
          <w:rPr>
            <w:rStyle w:val="Lienhypertexte"/>
            <w:noProof/>
          </w:rPr>
          <w:t>Tableau 13. Infrastructures sanitaires dans les Région de Madagascar</w:t>
        </w:r>
        <w:r>
          <w:rPr>
            <w:noProof/>
            <w:webHidden/>
          </w:rPr>
          <w:tab/>
        </w:r>
        <w:r>
          <w:rPr>
            <w:noProof/>
            <w:webHidden/>
          </w:rPr>
          <w:fldChar w:fldCharType="begin"/>
        </w:r>
        <w:r>
          <w:rPr>
            <w:noProof/>
            <w:webHidden/>
          </w:rPr>
          <w:instrText xml:space="preserve"> PAGEREF _Toc127957809 \h </w:instrText>
        </w:r>
        <w:r>
          <w:rPr>
            <w:noProof/>
            <w:webHidden/>
          </w:rPr>
        </w:r>
        <w:r>
          <w:rPr>
            <w:noProof/>
            <w:webHidden/>
          </w:rPr>
          <w:fldChar w:fldCharType="separate"/>
        </w:r>
        <w:r w:rsidR="00B05C7F">
          <w:rPr>
            <w:noProof/>
            <w:webHidden/>
          </w:rPr>
          <w:t>60</w:t>
        </w:r>
        <w:r>
          <w:rPr>
            <w:noProof/>
            <w:webHidden/>
          </w:rPr>
          <w:fldChar w:fldCharType="end"/>
        </w:r>
      </w:hyperlink>
    </w:p>
    <w:p w14:paraId="50A33268"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10" w:history="1">
        <w:r w:rsidRPr="00A47D4D">
          <w:rPr>
            <w:rStyle w:val="Lienhypertexte"/>
            <w:noProof/>
          </w:rPr>
          <w:t>Tableau 14. Taux d’utilisation des NTIC selon le sexe au niveau de chaque Région</w:t>
        </w:r>
        <w:r>
          <w:rPr>
            <w:noProof/>
            <w:webHidden/>
          </w:rPr>
          <w:tab/>
        </w:r>
        <w:r>
          <w:rPr>
            <w:noProof/>
            <w:webHidden/>
          </w:rPr>
          <w:fldChar w:fldCharType="begin"/>
        </w:r>
        <w:r>
          <w:rPr>
            <w:noProof/>
            <w:webHidden/>
          </w:rPr>
          <w:instrText xml:space="preserve"> PAGEREF _Toc127957810 \h </w:instrText>
        </w:r>
        <w:r>
          <w:rPr>
            <w:noProof/>
            <w:webHidden/>
          </w:rPr>
        </w:r>
        <w:r>
          <w:rPr>
            <w:noProof/>
            <w:webHidden/>
          </w:rPr>
          <w:fldChar w:fldCharType="separate"/>
        </w:r>
        <w:r w:rsidR="00B05C7F">
          <w:rPr>
            <w:noProof/>
            <w:webHidden/>
          </w:rPr>
          <w:t>64</w:t>
        </w:r>
        <w:r>
          <w:rPr>
            <w:noProof/>
            <w:webHidden/>
          </w:rPr>
          <w:fldChar w:fldCharType="end"/>
        </w:r>
      </w:hyperlink>
    </w:p>
    <w:p w14:paraId="1FD1B100"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11" w:history="1">
        <w:r w:rsidRPr="00A47D4D">
          <w:rPr>
            <w:rStyle w:val="Lienhypertexte"/>
            <w:noProof/>
          </w:rPr>
          <w:t>Tableau 15. Pourcentage des femmes entre 19 et 45 ans ayant subi les formes de violences conjugales</w:t>
        </w:r>
        <w:r>
          <w:rPr>
            <w:noProof/>
            <w:webHidden/>
          </w:rPr>
          <w:tab/>
        </w:r>
        <w:r>
          <w:rPr>
            <w:noProof/>
            <w:webHidden/>
          </w:rPr>
          <w:fldChar w:fldCharType="begin"/>
        </w:r>
        <w:r>
          <w:rPr>
            <w:noProof/>
            <w:webHidden/>
          </w:rPr>
          <w:instrText xml:space="preserve"> PAGEREF _Toc127957811 \h </w:instrText>
        </w:r>
        <w:r>
          <w:rPr>
            <w:noProof/>
            <w:webHidden/>
          </w:rPr>
        </w:r>
        <w:r>
          <w:rPr>
            <w:noProof/>
            <w:webHidden/>
          </w:rPr>
          <w:fldChar w:fldCharType="separate"/>
        </w:r>
        <w:r w:rsidR="00B05C7F">
          <w:rPr>
            <w:noProof/>
            <w:webHidden/>
          </w:rPr>
          <w:t>65</w:t>
        </w:r>
        <w:r>
          <w:rPr>
            <w:noProof/>
            <w:webHidden/>
          </w:rPr>
          <w:fldChar w:fldCharType="end"/>
        </w:r>
      </w:hyperlink>
    </w:p>
    <w:p w14:paraId="4A801215"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12" w:history="1">
        <w:r w:rsidRPr="00A47D4D">
          <w:rPr>
            <w:rStyle w:val="Lienhypertexte"/>
            <w:noProof/>
          </w:rPr>
          <w:t>Tableau 16. Synthèse des enjeux environnementaux et sociaux du Projet DECIM</w:t>
        </w:r>
        <w:r>
          <w:rPr>
            <w:noProof/>
            <w:webHidden/>
          </w:rPr>
          <w:tab/>
        </w:r>
        <w:r>
          <w:rPr>
            <w:noProof/>
            <w:webHidden/>
          </w:rPr>
          <w:fldChar w:fldCharType="begin"/>
        </w:r>
        <w:r>
          <w:rPr>
            <w:noProof/>
            <w:webHidden/>
          </w:rPr>
          <w:instrText xml:space="preserve"> PAGEREF _Toc127957812 \h </w:instrText>
        </w:r>
        <w:r>
          <w:rPr>
            <w:noProof/>
            <w:webHidden/>
          </w:rPr>
        </w:r>
        <w:r>
          <w:rPr>
            <w:noProof/>
            <w:webHidden/>
          </w:rPr>
          <w:fldChar w:fldCharType="separate"/>
        </w:r>
        <w:r w:rsidR="00B05C7F">
          <w:rPr>
            <w:noProof/>
            <w:webHidden/>
          </w:rPr>
          <w:t>67</w:t>
        </w:r>
        <w:r>
          <w:rPr>
            <w:noProof/>
            <w:webHidden/>
          </w:rPr>
          <w:fldChar w:fldCharType="end"/>
        </w:r>
      </w:hyperlink>
    </w:p>
    <w:p w14:paraId="2E429B9A"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13" w:history="1">
        <w:r w:rsidRPr="00A47D4D">
          <w:rPr>
            <w:rStyle w:val="Lienhypertexte"/>
            <w:noProof/>
          </w:rPr>
          <w:t>Tableau 17. Synthèse de l’analyse comparative des dispositions des NES et du cadre réglementaire national</w:t>
        </w:r>
        <w:r>
          <w:rPr>
            <w:noProof/>
            <w:webHidden/>
          </w:rPr>
          <w:tab/>
        </w:r>
        <w:r>
          <w:rPr>
            <w:noProof/>
            <w:webHidden/>
          </w:rPr>
          <w:fldChar w:fldCharType="begin"/>
        </w:r>
        <w:r>
          <w:rPr>
            <w:noProof/>
            <w:webHidden/>
          </w:rPr>
          <w:instrText xml:space="preserve"> PAGEREF _Toc127957813 \h </w:instrText>
        </w:r>
        <w:r>
          <w:rPr>
            <w:noProof/>
            <w:webHidden/>
          </w:rPr>
        </w:r>
        <w:r>
          <w:rPr>
            <w:noProof/>
            <w:webHidden/>
          </w:rPr>
          <w:fldChar w:fldCharType="separate"/>
        </w:r>
        <w:r w:rsidR="00B05C7F">
          <w:rPr>
            <w:noProof/>
            <w:webHidden/>
          </w:rPr>
          <w:t>131</w:t>
        </w:r>
        <w:r>
          <w:rPr>
            <w:noProof/>
            <w:webHidden/>
          </w:rPr>
          <w:fldChar w:fldCharType="end"/>
        </w:r>
      </w:hyperlink>
    </w:p>
    <w:p w14:paraId="4C5832F8"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14" w:history="1">
        <w:r w:rsidRPr="00A47D4D">
          <w:rPr>
            <w:rStyle w:val="Lienhypertexte"/>
            <w:noProof/>
          </w:rPr>
          <w:t>Tableau 18 Critère de détermination et d’évaluation de l’importance des impacts</w:t>
        </w:r>
        <w:r>
          <w:rPr>
            <w:noProof/>
            <w:webHidden/>
          </w:rPr>
          <w:tab/>
        </w:r>
        <w:r>
          <w:rPr>
            <w:noProof/>
            <w:webHidden/>
          </w:rPr>
          <w:fldChar w:fldCharType="begin"/>
        </w:r>
        <w:r>
          <w:rPr>
            <w:noProof/>
            <w:webHidden/>
          </w:rPr>
          <w:instrText xml:space="preserve"> PAGEREF _Toc127957814 \h </w:instrText>
        </w:r>
        <w:r>
          <w:rPr>
            <w:noProof/>
            <w:webHidden/>
          </w:rPr>
        </w:r>
        <w:r>
          <w:rPr>
            <w:noProof/>
            <w:webHidden/>
          </w:rPr>
          <w:fldChar w:fldCharType="separate"/>
        </w:r>
        <w:r w:rsidR="00B05C7F">
          <w:rPr>
            <w:noProof/>
            <w:webHidden/>
          </w:rPr>
          <w:t>147</w:t>
        </w:r>
        <w:r>
          <w:rPr>
            <w:noProof/>
            <w:webHidden/>
          </w:rPr>
          <w:fldChar w:fldCharType="end"/>
        </w:r>
      </w:hyperlink>
    </w:p>
    <w:p w14:paraId="6EA82DA1"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15" w:history="1">
        <w:r w:rsidRPr="00A47D4D">
          <w:rPr>
            <w:rStyle w:val="Lienhypertexte"/>
            <w:noProof/>
          </w:rPr>
          <w:t>Tableau 19. Grille des risques</w:t>
        </w:r>
        <w:r>
          <w:rPr>
            <w:noProof/>
            <w:webHidden/>
          </w:rPr>
          <w:tab/>
        </w:r>
        <w:r>
          <w:rPr>
            <w:noProof/>
            <w:webHidden/>
          </w:rPr>
          <w:fldChar w:fldCharType="begin"/>
        </w:r>
        <w:r>
          <w:rPr>
            <w:noProof/>
            <w:webHidden/>
          </w:rPr>
          <w:instrText xml:space="preserve"> PAGEREF _Toc127957815 \h </w:instrText>
        </w:r>
        <w:r>
          <w:rPr>
            <w:noProof/>
            <w:webHidden/>
          </w:rPr>
        </w:r>
        <w:r>
          <w:rPr>
            <w:noProof/>
            <w:webHidden/>
          </w:rPr>
          <w:fldChar w:fldCharType="separate"/>
        </w:r>
        <w:r w:rsidR="00B05C7F">
          <w:rPr>
            <w:noProof/>
            <w:webHidden/>
          </w:rPr>
          <w:t>148</w:t>
        </w:r>
        <w:r>
          <w:rPr>
            <w:noProof/>
            <w:webHidden/>
          </w:rPr>
          <w:fldChar w:fldCharType="end"/>
        </w:r>
      </w:hyperlink>
    </w:p>
    <w:p w14:paraId="44EB7C03"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16" w:history="1">
        <w:r w:rsidRPr="00A47D4D">
          <w:rPr>
            <w:rStyle w:val="Lienhypertexte"/>
            <w:noProof/>
          </w:rPr>
          <w:t>Tableau 20. Evaluation de l’impact –Pollutions atmosphériques</w:t>
        </w:r>
        <w:r>
          <w:rPr>
            <w:noProof/>
            <w:webHidden/>
          </w:rPr>
          <w:tab/>
        </w:r>
        <w:r>
          <w:rPr>
            <w:noProof/>
            <w:webHidden/>
          </w:rPr>
          <w:fldChar w:fldCharType="begin"/>
        </w:r>
        <w:r>
          <w:rPr>
            <w:noProof/>
            <w:webHidden/>
          </w:rPr>
          <w:instrText xml:space="preserve"> PAGEREF _Toc127957816 \h </w:instrText>
        </w:r>
        <w:r>
          <w:rPr>
            <w:noProof/>
            <w:webHidden/>
          </w:rPr>
        </w:r>
        <w:r>
          <w:rPr>
            <w:noProof/>
            <w:webHidden/>
          </w:rPr>
          <w:fldChar w:fldCharType="separate"/>
        </w:r>
        <w:r w:rsidR="00B05C7F">
          <w:rPr>
            <w:noProof/>
            <w:webHidden/>
          </w:rPr>
          <w:t>152</w:t>
        </w:r>
        <w:r>
          <w:rPr>
            <w:noProof/>
            <w:webHidden/>
          </w:rPr>
          <w:fldChar w:fldCharType="end"/>
        </w:r>
      </w:hyperlink>
    </w:p>
    <w:p w14:paraId="1901691E"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17" w:history="1">
        <w:r w:rsidRPr="00A47D4D">
          <w:rPr>
            <w:rStyle w:val="Lienhypertexte"/>
            <w:noProof/>
          </w:rPr>
          <w:t>Tableau 21. Evaluation de l’impact –Compaction des sols</w:t>
        </w:r>
        <w:r>
          <w:rPr>
            <w:noProof/>
            <w:webHidden/>
          </w:rPr>
          <w:tab/>
        </w:r>
        <w:r>
          <w:rPr>
            <w:noProof/>
            <w:webHidden/>
          </w:rPr>
          <w:fldChar w:fldCharType="begin"/>
        </w:r>
        <w:r>
          <w:rPr>
            <w:noProof/>
            <w:webHidden/>
          </w:rPr>
          <w:instrText xml:space="preserve"> PAGEREF _Toc127957817 \h </w:instrText>
        </w:r>
        <w:r>
          <w:rPr>
            <w:noProof/>
            <w:webHidden/>
          </w:rPr>
        </w:r>
        <w:r>
          <w:rPr>
            <w:noProof/>
            <w:webHidden/>
          </w:rPr>
          <w:fldChar w:fldCharType="separate"/>
        </w:r>
        <w:r w:rsidR="00B05C7F">
          <w:rPr>
            <w:noProof/>
            <w:webHidden/>
          </w:rPr>
          <w:t>153</w:t>
        </w:r>
        <w:r>
          <w:rPr>
            <w:noProof/>
            <w:webHidden/>
          </w:rPr>
          <w:fldChar w:fldCharType="end"/>
        </w:r>
      </w:hyperlink>
    </w:p>
    <w:p w14:paraId="662A5832"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18" w:history="1">
        <w:r w:rsidRPr="00A47D4D">
          <w:rPr>
            <w:rStyle w:val="Lienhypertexte"/>
            <w:noProof/>
          </w:rPr>
          <w:t>Tableau 22. Evaluation de l’impact –Erosion des sols</w:t>
        </w:r>
        <w:r>
          <w:rPr>
            <w:noProof/>
            <w:webHidden/>
          </w:rPr>
          <w:tab/>
        </w:r>
        <w:r>
          <w:rPr>
            <w:noProof/>
            <w:webHidden/>
          </w:rPr>
          <w:fldChar w:fldCharType="begin"/>
        </w:r>
        <w:r>
          <w:rPr>
            <w:noProof/>
            <w:webHidden/>
          </w:rPr>
          <w:instrText xml:space="preserve"> PAGEREF _Toc127957818 \h </w:instrText>
        </w:r>
        <w:r>
          <w:rPr>
            <w:noProof/>
            <w:webHidden/>
          </w:rPr>
        </w:r>
        <w:r>
          <w:rPr>
            <w:noProof/>
            <w:webHidden/>
          </w:rPr>
          <w:fldChar w:fldCharType="separate"/>
        </w:r>
        <w:r w:rsidR="00B05C7F">
          <w:rPr>
            <w:noProof/>
            <w:webHidden/>
          </w:rPr>
          <w:t>153</w:t>
        </w:r>
        <w:r>
          <w:rPr>
            <w:noProof/>
            <w:webHidden/>
          </w:rPr>
          <w:fldChar w:fldCharType="end"/>
        </w:r>
      </w:hyperlink>
    </w:p>
    <w:p w14:paraId="01866E21"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19" w:history="1">
        <w:r w:rsidRPr="00A47D4D">
          <w:rPr>
            <w:rStyle w:val="Lienhypertexte"/>
            <w:noProof/>
          </w:rPr>
          <w:t>Tableau 23. Evaluation de l’impact –Pollutions des sols</w:t>
        </w:r>
        <w:r>
          <w:rPr>
            <w:noProof/>
            <w:webHidden/>
          </w:rPr>
          <w:tab/>
        </w:r>
        <w:r>
          <w:rPr>
            <w:noProof/>
            <w:webHidden/>
          </w:rPr>
          <w:fldChar w:fldCharType="begin"/>
        </w:r>
        <w:r>
          <w:rPr>
            <w:noProof/>
            <w:webHidden/>
          </w:rPr>
          <w:instrText xml:space="preserve"> PAGEREF _Toc127957819 \h </w:instrText>
        </w:r>
        <w:r>
          <w:rPr>
            <w:noProof/>
            <w:webHidden/>
          </w:rPr>
        </w:r>
        <w:r>
          <w:rPr>
            <w:noProof/>
            <w:webHidden/>
          </w:rPr>
          <w:fldChar w:fldCharType="separate"/>
        </w:r>
        <w:r w:rsidR="00B05C7F">
          <w:rPr>
            <w:noProof/>
            <w:webHidden/>
          </w:rPr>
          <w:t>154</w:t>
        </w:r>
        <w:r>
          <w:rPr>
            <w:noProof/>
            <w:webHidden/>
          </w:rPr>
          <w:fldChar w:fldCharType="end"/>
        </w:r>
      </w:hyperlink>
    </w:p>
    <w:p w14:paraId="1D3B940C"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20" w:history="1">
        <w:r w:rsidRPr="00A47D4D">
          <w:rPr>
            <w:rStyle w:val="Lienhypertexte"/>
            <w:noProof/>
          </w:rPr>
          <w:t>Tableau 24. Evaluation de l’impact. Imperméabilisation du sol</w:t>
        </w:r>
        <w:r>
          <w:rPr>
            <w:noProof/>
            <w:webHidden/>
          </w:rPr>
          <w:tab/>
        </w:r>
        <w:r>
          <w:rPr>
            <w:noProof/>
            <w:webHidden/>
          </w:rPr>
          <w:fldChar w:fldCharType="begin"/>
        </w:r>
        <w:r>
          <w:rPr>
            <w:noProof/>
            <w:webHidden/>
          </w:rPr>
          <w:instrText xml:space="preserve"> PAGEREF _Toc127957820 \h </w:instrText>
        </w:r>
        <w:r>
          <w:rPr>
            <w:noProof/>
            <w:webHidden/>
          </w:rPr>
        </w:r>
        <w:r>
          <w:rPr>
            <w:noProof/>
            <w:webHidden/>
          </w:rPr>
          <w:fldChar w:fldCharType="separate"/>
        </w:r>
        <w:r w:rsidR="00B05C7F">
          <w:rPr>
            <w:noProof/>
            <w:webHidden/>
          </w:rPr>
          <w:t>154</w:t>
        </w:r>
        <w:r>
          <w:rPr>
            <w:noProof/>
            <w:webHidden/>
          </w:rPr>
          <w:fldChar w:fldCharType="end"/>
        </w:r>
      </w:hyperlink>
    </w:p>
    <w:p w14:paraId="11AB62B6"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21" w:history="1">
        <w:r w:rsidRPr="00A47D4D">
          <w:rPr>
            <w:rStyle w:val="Lienhypertexte"/>
            <w:noProof/>
          </w:rPr>
          <w:t>Tableau 25. Evaluation de l’impact –Changement de paysage</w:t>
        </w:r>
        <w:r>
          <w:rPr>
            <w:noProof/>
            <w:webHidden/>
          </w:rPr>
          <w:tab/>
        </w:r>
        <w:r>
          <w:rPr>
            <w:noProof/>
            <w:webHidden/>
          </w:rPr>
          <w:fldChar w:fldCharType="begin"/>
        </w:r>
        <w:r>
          <w:rPr>
            <w:noProof/>
            <w:webHidden/>
          </w:rPr>
          <w:instrText xml:space="preserve"> PAGEREF _Toc127957821 \h </w:instrText>
        </w:r>
        <w:r>
          <w:rPr>
            <w:noProof/>
            <w:webHidden/>
          </w:rPr>
        </w:r>
        <w:r>
          <w:rPr>
            <w:noProof/>
            <w:webHidden/>
          </w:rPr>
          <w:fldChar w:fldCharType="separate"/>
        </w:r>
        <w:r w:rsidR="00B05C7F">
          <w:rPr>
            <w:noProof/>
            <w:webHidden/>
          </w:rPr>
          <w:t>155</w:t>
        </w:r>
        <w:r>
          <w:rPr>
            <w:noProof/>
            <w:webHidden/>
          </w:rPr>
          <w:fldChar w:fldCharType="end"/>
        </w:r>
      </w:hyperlink>
    </w:p>
    <w:p w14:paraId="76F690A1"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22" w:history="1">
        <w:r w:rsidRPr="00A47D4D">
          <w:rPr>
            <w:rStyle w:val="Lienhypertexte"/>
            <w:noProof/>
          </w:rPr>
          <w:t>Tableau 26. Evaluation de l’impact –Pollutions de la ressource en eau</w:t>
        </w:r>
        <w:r>
          <w:rPr>
            <w:noProof/>
            <w:webHidden/>
          </w:rPr>
          <w:tab/>
        </w:r>
        <w:r>
          <w:rPr>
            <w:noProof/>
            <w:webHidden/>
          </w:rPr>
          <w:fldChar w:fldCharType="begin"/>
        </w:r>
        <w:r>
          <w:rPr>
            <w:noProof/>
            <w:webHidden/>
          </w:rPr>
          <w:instrText xml:space="preserve"> PAGEREF _Toc127957822 \h </w:instrText>
        </w:r>
        <w:r>
          <w:rPr>
            <w:noProof/>
            <w:webHidden/>
          </w:rPr>
        </w:r>
        <w:r>
          <w:rPr>
            <w:noProof/>
            <w:webHidden/>
          </w:rPr>
          <w:fldChar w:fldCharType="separate"/>
        </w:r>
        <w:r w:rsidR="00B05C7F">
          <w:rPr>
            <w:noProof/>
            <w:webHidden/>
          </w:rPr>
          <w:t>156</w:t>
        </w:r>
        <w:r>
          <w:rPr>
            <w:noProof/>
            <w:webHidden/>
          </w:rPr>
          <w:fldChar w:fldCharType="end"/>
        </w:r>
      </w:hyperlink>
    </w:p>
    <w:p w14:paraId="6C1774FF"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23" w:history="1">
        <w:r w:rsidRPr="00A47D4D">
          <w:rPr>
            <w:rStyle w:val="Lienhypertexte"/>
            <w:noProof/>
          </w:rPr>
          <w:t>Tableau 27. Evaluation de l’impact – Modification des régimes des cours d’eau</w:t>
        </w:r>
        <w:r>
          <w:rPr>
            <w:noProof/>
            <w:webHidden/>
          </w:rPr>
          <w:tab/>
        </w:r>
        <w:r>
          <w:rPr>
            <w:noProof/>
            <w:webHidden/>
          </w:rPr>
          <w:fldChar w:fldCharType="begin"/>
        </w:r>
        <w:r>
          <w:rPr>
            <w:noProof/>
            <w:webHidden/>
          </w:rPr>
          <w:instrText xml:space="preserve"> PAGEREF _Toc127957823 \h </w:instrText>
        </w:r>
        <w:r>
          <w:rPr>
            <w:noProof/>
            <w:webHidden/>
          </w:rPr>
        </w:r>
        <w:r>
          <w:rPr>
            <w:noProof/>
            <w:webHidden/>
          </w:rPr>
          <w:fldChar w:fldCharType="separate"/>
        </w:r>
        <w:r w:rsidR="00B05C7F">
          <w:rPr>
            <w:noProof/>
            <w:webHidden/>
          </w:rPr>
          <w:t>156</w:t>
        </w:r>
        <w:r>
          <w:rPr>
            <w:noProof/>
            <w:webHidden/>
          </w:rPr>
          <w:fldChar w:fldCharType="end"/>
        </w:r>
      </w:hyperlink>
    </w:p>
    <w:p w14:paraId="5AF050A6"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24" w:history="1">
        <w:r w:rsidRPr="00A47D4D">
          <w:rPr>
            <w:rStyle w:val="Lienhypertexte"/>
            <w:noProof/>
          </w:rPr>
          <w:t>Tableau 28. Evaluation de l’impact – Destruction de la couverture végétale</w:t>
        </w:r>
        <w:r>
          <w:rPr>
            <w:noProof/>
            <w:webHidden/>
          </w:rPr>
          <w:tab/>
        </w:r>
        <w:r>
          <w:rPr>
            <w:noProof/>
            <w:webHidden/>
          </w:rPr>
          <w:fldChar w:fldCharType="begin"/>
        </w:r>
        <w:r>
          <w:rPr>
            <w:noProof/>
            <w:webHidden/>
          </w:rPr>
          <w:instrText xml:space="preserve"> PAGEREF _Toc127957824 \h </w:instrText>
        </w:r>
        <w:r>
          <w:rPr>
            <w:noProof/>
            <w:webHidden/>
          </w:rPr>
        </w:r>
        <w:r>
          <w:rPr>
            <w:noProof/>
            <w:webHidden/>
          </w:rPr>
          <w:fldChar w:fldCharType="separate"/>
        </w:r>
        <w:r w:rsidR="00B05C7F">
          <w:rPr>
            <w:noProof/>
            <w:webHidden/>
          </w:rPr>
          <w:t>157</w:t>
        </w:r>
        <w:r>
          <w:rPr>
            <w:noProof/>
            <w:webHidden/>
          </w:rPr>
          <w:fldChar w:fldCharType="end"/>
        </w:r>
      </w:hyperlink>
    </w:p>
    <w:p w14:paraId="5052CD71"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25" w:history="1">
        <w:r w:rsidRPr="00A47D4D">
          <w:rPr>
            <w:rStyle w:val="Lienhypertexte"/>
            <w:noProof/>
          </w:rPr>
          <w:t>Tableau 29. Evaluation de l’impact –Coupe illicite pour les besoins de bois</w:t>
        </w:r>
        <w:r>
          <w:rPr>
            <w:noProof/>
            <w:webHidden/>
          </w:rPr>
          <w:tab/>
        </w:r>
        <w:r>
          <w:rPr>
            <w:noProof/>
            <w:webHidden/>
          </w:rPr>
          <w:fldChar w:fldCharType="begin"/>
        </w:r>
        <w:r>
          <w:rPr>
            <w:noProof/>
            <w:webHidden/>
          </w:rPr>
          <w:instrText xml:space="preserve"> PAGEREF _Toc127957825 \h </w:instrText>
        </w:r>
        <w:r>
          <w:rPr>
            <w:noProof/>
            <w:webHidden/>
          </w:rPr>
        </w:r>
        <w:r>
          <w:rPr>
            <w:noProof/>
            <w:webHidden/>
          </w:rPr>
          <w:fldChar w:fldCharType="separate"/>
        </w:r>
        <w:r w:rsidR="00B05C7F">
          <w:rPr>
            <w:noProof/>
            <w:webHidden/>
          </w:rPr>
          <w:t>157</w:t>
        </w:r>
        <w:r>
          <w:rPr>
            <w:noProof/>
            <w:webHidden/>
          </w:rPr>
          <w:fldChar w:fldCharType="end"/>
        </w:r>
      </w:hyperlink>
    </w:p>
    <w:p w14:paraId="13A0396D"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26" w:history="1">
        <w:r w:rsidRPr="00A47D4D">
          <w:rPr>
            <w:rStyle w:val="Lienhypertexte"/>
            <w:noProof/>
          </w:rPr>
          <w:t>Tableau 30. Evaluation de l’impact - perte des services écosystémiques</w:t>
        </w:r>
        <w:r>
          <w:rPr>
            <w:noProof/>
            <w:webHidden/>
          </w:rPr>
          <w:tab/>
        </w:r>
        <w:r>
          <w:rPr>
            <w:noProof/>
            <w:webHidden/>
          </w:rPr>
          <w:fldChar w:fldCharType="begin"/>
        </w:r>
        <w:r>
          <w:rPr>
            <w:noProof/>
            <w:webHidden/>
          </w:rPr>
          <w:instrText xml:space="preserve"> PAGEREF _Toc127957826 \h </w:instrText>
        </w:r>
        <w:r>
          <w:rPr>
            <w:noProof/>
            <w:webHidden/>
          </w:rPr>
        </w:r>
        <w:r>
          <w:rPr>
            <w:noProof/>
            <w:webHidden/>
          </w:rPr>
          <w:fldChar w:fldCharType="separate"/>
        </w:r>
        <w:r w:rsidR="00B05C7F">
          <w:rPr>
            <w:noProof/>
            <w:webHidden/>
          </w:rPr>
          <w:t>158</w:t>
        </w:r>
        <w:r>
          <w:rPr>
            <w:noProof/>
            <w:webHidden/>
          </w:rPr>
          <w:fldChar w:fldCharType="end"/>
        </w:r>
      </w:hyperlink>
    </w:p>
    <w:p w14:paraId="04C7C81E"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27" w:history="1">
        <w:r w:rsidRPr="00A47D4D">
          <w:rPr>
            <w:rStyle w:val="Lienhypertexte"/>
            <w:noProof/>
          </w:rPr>
          <w:t>Tableau 31. Evaluation de l’impact –Destruction de la végétation par la préparation des terrains et délocalisation de certaines espèces de faune</w:t>
        </w:r>
        <w:r>
          <w:rPr>
            <w:noProof/>
            <w:webHidden/>
          </w:rPr>
          <w:tab/>
        </w:r>
        <w:r>
          <w:rPr>
            <w:noProof/>
            <w:webHidden/>
          </w:rPr>
          <w:fldChar w:fldCharType="begin"/>
        </w:r>
        <w:r>
          <w:rPr>
            <w:noProof/>
            <w:webHidden/>
          </w:rPr>
          <w:instrText xml:space="preserve"> PAGEREF _Toc127957827 \h </w:instrText>
        </w:r>
        <w:r>
          <w:rPr>
            <w:noProof/>
            <w:webHidden/>
          </w:rPr>
        </w:r>
        <w:r>
          <w:rPr>
            <w:noProof/>
            <w:webHidden/>
          </w:rPr>
          <w:fldChar w:fldCharType="separate"/>
        </w:r>
        <w:r w:rsidR="00B05C7F">
          <w:rPr>
            <w:noProof/>
            <w:webHidden/>
          </w:rPr>
          <w:t>158</w:t>
        </w:r>
        <w:r>
          <w:rPr>
            <w:noProof/>
            <w:webHidden/>
          </w:rPr>
          <w:fldChar w:fldCharType="end"/>
        </w:r>
      </w:hyperlink>
    </w:p>
    <w:p w14:paraId="7F54DF3E"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28" w:history="1">
        <w:r w:rsidRPr="00A47D4D">
          <w:rPr>
            <w:rStyle w:val="Lienhypertexte"/>
            <w:noProof/>
          </w:rPr>
          <w:t>Tableau 32. Evaluation de l’impact – Nuisances sonores et vibrations pendant le transport</w:t>
        </w:r>
        <w:r>
          <w:rPr>
            <w:noProof/>
            <w:webHidden/>
          </w:rPr>
          <w:tab/>
        </w:r>
        <w:r>
          <w:rPr>
            <w:noProof/>
            <w:webHidden/>
          </w:rPr>
          <w:fldChar w:fldCharType="begin"/>
        </w:r>
        <w:r>
          <w:rPr>
            <w:noProof/>
            <w:webHidden/>
          </w:rPr>
          <w:instrText xml:space="preserve"> PAGEREF _Toc127957828 \h </w:instrText>
        </w:r>
        <w:r>
          <w:rPr>
            <w:noProof/>
            <w:webHidden/>
          </w:rPr>
        </w:r>
        <w:r>
          <w:rPr>
            <w:noProof/>
            <w:webHidden/>
          </w:rPr>
          <w:fldChar w:fldCharType="separate"/>
        </w:r>
        <w:r w:rsidR="00B05C7F">
          <w:rPr>
            <w:noProof/>
            <w:webHidden/>
          </w:rPr>
          <w:t>159</w:t>
        </w:r>
        <w:r>
          <w:rPr>
            <w:noProof/>
            <w:webHidden/>
          </w:rPr>
          <w:fldChar w:fldCharType="end"/>
        </w:r>
      </w:hyperlink>
    </w:p>
    <w:p w14:paraId="76053E23"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29" w:history="1">
        <w:r w:rsidRPr="00A47D4D">
          <w:rPr>
            <w:rStyle w:val="Lienhypertexte"/>
            <w:noProof/>
          </w:rPr>
          <w:t>Tableau 33. Evaluation de l’impact – Perturbation des faunes aquatiques</w:t>
        </w:r>
        <w:r>
          <w:rPr>
            <w:noProof/>
            <w:webHidden/>
          </w:rPr>
          <w:tab/>
        </w:r>
        <w:r>
          <w:rPr>
            <w:noProof/>
            <w:webHidden/>
          </w:rPr>
          <w:fldChar w:fldCharType="begin"/>
        </w:r>
        <w:r>
          <w:rPr>
            <w:noProof/>
            <w:webHidden/>
          </w:rPr>
          <w:instrText xml:space="preserve"> PAGEREF _Toc127957829 \h </w:instrText>
        </w:r>
        <w:r>
          <w:rPr>
            <w:noProof/>
            <w:webHidden/>
          </w:rPr>
        </w:r>
        <w:r>
          <w:rPr>
            <w:noProof/>
            <w:webHidden/>
          </w:rPr>
          <w:fldChar w:fldCharType="separate"/>
        </w:r>
        <w:r w:rsidR="00B05C7F">
          <w:rPr>
            <w:noProof/>
            <w:webHidden/>
          </w:rPr>
          <w:t>159</w:t>
        </w:r>
        <w:r>
          <w:rPr>
            <w:noProof/>
            <w:webHidden/>
          </w:rPr>
          <w:fldChar w:fldCharType="end"/>
        </w:r>
      </w:hyperlink>
    </w:p>
    <w:p w14:paraId="422DC538"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30" w:history="1">
        <w:r w:rsidRPr="00A47D4D">
          <w:rPr>
            <w:rStyle w:val="Lienhypertexte"/>
            <w:noProof/>
          </w:rPr>
          <w:t>Tableau 34. Evaluation de l’impact –Perte de propriété et des moyens de subsistance</w:t>
        </w:r>
        <w:r>
          <w:rPr>
            <w:noProof/>
            <w:webHidden/>
          </w:rPr>
          <w:tab/>
        </w:r>
        <w:r>
          <w:rPr>
            <w:noProof/>
            <w:webHidden/>
          </w:rPr>
          <w:fldChar w:fldCharType="begin"/>
        </w:r>
        <w:r>
          <w:rPr>
            <w:noProof/>
            <w:webHidden/>
          </w:rPr>
          <w:instrText xml:space="preserve"> PAGEREF _Toc127957830 \h </w:instrText>
        </w:r>
        <w:r>
          <w:rPr>
            <w:noProof/>
            <w:webHidden/>
          </w:rPr>
        </w:r>
        <w:r>
          <w:rPr>
            <w:noProof/>
            <w:webHidden/>
          </w:rPr>
          <w:fldChar w:fldCharType="separate"/>
        </w:r>
        <w:r w:rsidR="00B05C7F">
          <w:rPr>
            <w:noProof/>
            <w:webHidden/>
          </w:rPr>
          <w:t>159</w:t>
        </w:r>
        <w:r>
          <w:rPr>
            <w:noProof/>
            <w:webHidden/>
          </w:rPr>
          <w:fldChar w:fldCharType="end"/>
        </w:r>
      </w:hyperlink>
    </w:p>
    <w:p w14:paraId="70F3BC99"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31" w:history="1">
        <w:r w:rsidRPr="00A47D4D">
          <w:rPr>
            <w:rStyle w:val="Lienhypertexte"/>
            <w:noProof/>
          </w:rPr>
          <w:t>Tableau 35. Evaluation de l’impact – deplacement physique et/ou économique</w:t>
        </w:r>
        <w:r>
          <w:rPr>
            <w:noProof/>
            <w:webHidden/>
          </w:rPr>
          <w:tab/>
        </w:r>
        <w:r>
          <w:rPr>
            <w:noProof/>
            <w:webHidden/>
          </w:rPr>
          <w:fldChar w:fldCharType="begin"/>
        </w:r>
        <w:r>
          <w:rPr>
            <w:noProof/>
            <w:webHidden/>
          </w:rPr>
          <w:instrText xml:space="preserve"> PAGEREF _Toc127957831 \h </w:instrText>
        </w:r>
        <w:r>
          <w:rPr>
            <w:noProof/>
            <w:webHidden/>
          </w:rPr>
        </w:r>
        <w:r>
          <w:rPr>
            <w:noProof/>
            <w:webHidden/>
          </w:rPr>
          <w:fldChar w:fldCharType="separate"/>
        </w:r>
        <w:r w:rsidR="00B05C7F">
          <w:rPr>
            <w:noProof/>
            <w:webHidden/>
          </w:rPr>
          <w:t>160</w:t>
        </w:r>
        <w:r>
          <w:rPr>
            <w:noProof/>
            <w:webHidden/>
          </w:rPr>
          <w:fldChar w:fldCharType="end"/>
        </w:r>
      </w:hyperlink>
    </w:p>
    <w:p w14:paraId="51972FD1"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32" w:history="1">
        <w:r w:rsidRPr="00A47D4D">
          <w:rPr>
            <w:rStyle w:val="Lienhypertexte"/>
            <w:noProof/>
          </w:rPr>
          <w:t>Tableau 36. Évaluation de l’impact –Conflits sociaux par la présence des mains d’œuvres externes</w:t>
        </w:r>
        <w:r>
          <w:rPr>
            <w:noProof/>
            <w:webHidden/>
          </w:rPr>
          <w:tab/>
        </w:r>
        <w:r>
          <w:rPr>
            <w:noProof/>
            <w:webHidden/>
          </w:rPr>
          <w:fldChar w:fldCharType="begin"/>
        </w:r>
        <w:r>
          <w:rPr>
            <w:noProof/>
            <w:webHidden/>
          </w:rPr>
          <w:instrText xml:space="preserve"> PAGEREF _Toc127957832 \h </w:instrText>
        </w:r>
        <w:r>
          <w:rPr>
            <w:noProof/>
            <w:webHidden/>
          </w:rPr>
        </w:r>
        <w:r>
          <w:rPr>
            <w:noProof/>
            <w:webHidden/>
          </w:rPr>
          <w:fldChar w:fldCharType="separate"/>
        </w:r>
        <w:r w:rsidR="00B05C7F">
          <w:rPr>
            <w:noProof/>
            <w:webHidden/>
          </w:rPr>
          <w:t>160</w:t>
        </w:r>
        <w:r>
          <w:rPr>
            <w:noProof/>
            <w:webHidden/>
          </w:rPr>
          <w:fldChar w:fldCharType="end"/>
        </w:r>
      </w:hyperlink>
    </w:p>
    <w:p w14:paraId="3012570B"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33" w:history="1">
        <w:r w:rsidRPr="00A47D4D">
          <w:rPr>
            <w:rStyle w:val="Lienhypertexte"/>
            <w:noProof/>
          </w:rPr>
          <w:t>Tableau 37. Evaluation de l’impact –Production de déchets, salubrité</w:t>
        </w:r>
        <w:r>
          <w:rPr>
            <w:noProof/>
            <w:webHidden/>
          </w:rPr>
          <w:tab/>
        </w:r>
        <w:r>
          <w:rPr>
            <w:noProof/>
            <w:webHidden/>
          </w:rPr>
          <w:fldChar w:fldCharType="begin"/>
        </w:r>
        <w:r>
          <w:rPr>
            <w:noProof/>
            <w:webHidden/>
          </w:rPr>
          <w:instrText xml:space="preserve"> PAGEREF _Toc127957833 \h </w:instrText>
        </w:r>
        <w:r>
          <w:rPr>
            <w:noProof/>
            <w:webHidden/>
          </w:rPr>
        </w:r>
        <w:r>
          <w:rPr>
            <w:noProof/>
            <w:webHidden/>
          </w:rPr>
          <w:fldChar w:fldCharType="separate"/>
        </w:r>
        <w:r w:rsidR="00B05C7F">
          <w:rPr>
            <w:noProof/>
            <w:webHidden/>
          </w:rPr>
          <w:t>161</w:t>
        </w:r>
        <w:r>
          <w:rPr>
            <w:noProof/>
            <w:webHidden/>
          </w:rPr>
          <w:fldChar w:fldCharType="end"/>
        </w:r>
      </w:hyperlink>
    </w:p>
    <w:p w14:paraId="4AA20CF9"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34" w:history="1">
        <w:r w:rsidRPr="00A47D4D">
          <w:rPr>
            <w:rStyle w:val="Lienhypertexte"/>
            <w:noProof/>
          </w:rPr>
          <w:t>Tableau 38. Evaluation de  l’impact –Nuisances sonores et vibrations pendant le transport</w:t>
        </w:r>
        <w:r>
          <w:rPr>
            <w:noProof/>
            <w:webHidden/>
          </w:rPr>
          <w:tab/>
        </w:r>
        <w:r>
          <w:rPr>
            <w:noProof/>
            <w:webHidden/>
          </w:rPr>
          <w:fldChar w:fldCharType="begin"/>
        </w:r>
        <w:r>
          <w:rPr>
            <w:noProof/>
            <w:webHidden/>
          </w:rPr>
          <w:instrText xml:space="preserve"> PAGEREF _Toc127957834 \h </w:instrText>
        </w:r>
        <w:r>
          <w:rPr>
            <w:noProof/>
            <w:webHidden/>
          </w:rPr>
        </w:r>
        <w:r>
          <w:rPr>
            <w:noProof/>
            <w:webHidden/>
          </w:rPr>
          <w:fldChar w:fldCharType="separate"/>
        </w:r>
        <w:r w:rsidR="00B05C7F">
          <w:rPr>
            <w:noProof/>
            <w:webHidden/>
          </w:rPr>
          <w:t>162</w:t>
        </w:r>
        <w:r>
          <w:rPr>
            <w:noProof/>
            <w:webHidden/>
          </w:rPr>
          <w:fldChar w:fldCharType="end"/>
        </w:r>
      </w:hyperlink>
    </w:p>
    <w:p w14:paraId="45D88D57"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35" w:history="1">
        <w:r w:rsidRPr="00A47D4D">
          <w:rPr>
            <w:rStyle w:val="Lienhypertexte"/>
            <w:noProof/>
          </w:rPr>
          <w:t>Tableau 39. Evaluation de l’impact –Risque de maladies respiratoires à cause des poussières</w:t>
        </w:r>
        <w:r>
          <w:rPr>
            <w:noProof/>
            <w:webHidden/>
          </w:rPr>
          <w:tab/>
        </w:r>
        <w:r>
          <w:rPr>
            <w:noProof/>
            <w:webHidden/>
          </w:rPr>
          <w:fldChar w:fldCharType="begin"/>
        </w:r>
        <w:r>
          <w:rPr>
            <w:noProof/>
            <w:webHidden/>
          </w:rPr>
          <w:instrText xml:space="preserve"> PAGEREF _Toc127957835 \h </w:instrText>
        </w:r>
        <w:r>
          <w:rPr>
            <w:noProof/>
            <w:webHidden/>
          </w:rPr>
        </w:r>
        <w:r>
          <w:rPr>
            <w:noProof/>
            <w:webHidden/>
          </w:rPr>
          <w:fldChar w:fldCharType="separate"/>
        </w:r>
        <w:r w:rsidR="00B05C7F">
          <w:rPr>
            <w:noProof/>
            <w:webHidden/>
          </w:rPr>
          <w:t>162</w:t>
        </w:r>
        <w:r>
          <w:rPr>
            <w:noProof/>
            <w:webHidden/>
          </w:rPr>
          <w:fldChar w:fldCharType="end"/>
        </w:r>
      </w:hyperlink>
    </w:p>
    <w:p w14:paraId="1FB31720"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36" w:history="1">
        <w:r w:rsidRPr="00A47D4D">
          <w:rPr>
            <w:rStyle w:val="Lienhypertexte"/>
            <w:noProof/>
          </w:rPr>
          <w:t>Tableau 40. Evaluation l’impact –Risque de transmission des maladies transmissibles (MST/VIH SIDA, COVID – 19)</w:t>
        </w:r>
        <w:r>
          <w:rPr>
            <w:noProof/>
            <w:webHidden/>
          </w:rPr>
          <w:tab/>
        </w:r>
        <w:r>
          <w:rPr>
            <w:noProof/>
            <w:webHidden/>
          </w:rPr>
          <w:fldChar w:fldCharType="begin"/>
        </w:r>
        <w:r>
          <w:rPr>
            <w:noProof/>
            <w:webHidden/>
          </w:rPr>
          <w:instrText xml:space="preserve"> PAGEREF _Toc127957836 \h </w:instrText>
        </w:r>
        <w:r>
          <w:rPr>
            <w:noProof/>
            <w:webHidden/>
          </w:rPr>
        </w:r>
        <w:r>
          <w:rPr>
            <w:noProof/>
            <w:webHidden/>
          </w:rPr>
          <w:fldChar w:fldCharType="separate"/>
        </w:r>
        <w:r w:rsidR="00B05C7F">
          <w:rPr>
            <w:noProof/>
            <w:webHidden/>
          </w:rPr>
          <w:t>163</w:t>
        </w:r>
        <w:r>
          <w:rPr>
            <w:noProof/>
            <w:webHidden/>
          </w:rPr>
          <w:fldChar w:fldCharType="end"/>
        </w:r>
      </w:hyperlink>
    </w:p>
    <w:p w14:paraId="348AFC45"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37" w:history="1">
        <w:r w:rsidRPr="00A47D4D">
          <w:rPr>
            <w:rStyle w:val="Lienhypertexte"/>
            <w:noProof/>
          </w:rPr>
          <w:t>Tableau 41. Evaluation de l’impact –Risque d’augmentation des cas de VBG et AES/HS et grossesses non désirées</w:t>
        </w:r>
        <w:r>
          <w:rPr>
            <w:noProof/>
            <w:webHidden/>
          </w:rPr>
          <w:tab/>
        </w:r>
        <w:r>
          <w:rPr>
            <w:noProof/>
            <w:webHidden/>
          </w:rPr>
          <w:fldChar w:fldCharType="begin"/>
        </w:r>
        <w:r>
          <w:rPr>
            <w:noProof/>
            <w:webHidden/>
          </w:rPr>
          <w:instrText xml:space="preserve"> PAGEREF _Toc127957837 \h </w:instrText>
        </w:r>
        <w:r>
          <w:rPr>
            <w:noProof/>
            <w:webHidden/>
          </w:rPr>
        </w:r>
        <w:r>
          <w:rPr>
            <w:noProof/>
            <w:webHidden/>
          </w:rPr>
          <w:fldChar w:fldCharType="separate"/>
        </w:r>
        <w:r w:rsidR="00B05C7F">
          <w:rPr>
            <w:noProof/>
            <w:webHidden/>
          </w:rPr>
          <w:t>163</w:t>
        </w:r>
        <w:r>
          <w:rPr>
            <w:noProof/>
            <w:webHidden/>
          </w:rPr>
          <w:fldChar w:fldCharType="end"/>
        </w:r>
      </w:hyperlink>
    </w:p>
    <w:p w14:paraId="52FCAE25"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38" w:history="1">
        <w:r w:rsidRPr="00A47D4D">
          <w:rPr>
            <w:rStyle w:val="Lienhypertexte"/>
            <w:noProof/>
          </w:rPr>
          <w:t>Tableau 42. Evaluation de l’impact –Risques d’accident de circulation</w:t>
        </w:r>
        <w:r>
          <w:rPr>
            <w:noProof/>
            <w:webHidden/>
          </w:rPr>
          <w:tab/>
        </w:r>
        <w:r>
          <w:rPr>
            <w:noProof/>
            <w:webHidden/>
          </w:rPr>
          <w:fldChar w:fldCharType="begin"/>
        </w:r>
        <w:r>
          <w:rPr>
            <w:noProof/>
            <w:webHidden/>
          </w:rPr>
          <w:instrText xml:space="preserve"> PAGEREF _Toc127957838 \h </w:instrText>
        </w:r>
        <w:r>
          <w:rPr>
            <w:noProof/>
            <w:webHidden/>
          </w:rPr>
        </w:r>
        <w:r>
          <w:rPr>
            <w:noProof/>
            <w:webHidden/>
          </w:rPr>
          <w:fldChar w:fldCharType="separate"/>
        </w:r>
        <w:r w:rsidR="00B05C7F">
          <w:rPr>
            <w:noProof/>
            <w:webHidden/>
          </w:rPr>
          <w:t>164</w:t>
        </w:r>
        <w:r>
          <w:rPr>
            <w:noProof/>
            <w:webHidden/>
          </w:rPr>
          <w:fldChar w:fldCharType="end"/>
        </w:r>
      </w:hyperlink>
    </w:p>
    <w:p w14:paraId="42B19B6E"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39" w:history="1">
        <w:r w:rsidRPr="00A47D4D">
          <w:rPr>
            <w:rStyle w:val="Lienhypertexte"/>
            <w:noProof/>
          </w:rPr>
          <w:t>Tableau 43. Evaluation  de l’impact –Risques d’accidents de travail</w:t>
        </w:r>
        <w:r>
          <w:rPr>
            <w:noProof/>
            <w:webHidden/>
          </w:rPr>
          <w:tab/>
        </w:r>
        <w:r>
          <w:rPr>
            <w:noProof/>
            <w:webHidden/>
          </w:rPr>
          <w:fldChar w:fldCharType="begin"/>
        </w:r>
        <w:r>
          <w:rPr>
            <w:noProof/>
            <w:webHidden/>
          </w:rPr>
          <w:instrText xml:space="preserve"> PAGEREF _Toc127957839 \h </w:instrText>
        </w:r>
        <w:r>
          <w:rPr>
            <w:noProof/>
            <w:webHidden/>
          </w:rPr>
        </w:r>
        <w:r>
          <w:rPr>
            <w:noProof/>
            <w:webHidden/>
          </w:rPr>
          <w:fldChar w:fldCharType="separate"/>
        </w:r>
        <w:r w:rsidR="00B05C7F">
          <w:rPr>
            <w:noProof/>
            <w:webHidden/>
          </w:rPr>
          <w:t>164</w:t>
        </w:r>
        <w:r>
          <w:rPr>
            <w:noProof/>
            <w:webHidden/>
          </w:rPr>
          <w:fldChar w:fldCharType="end"/>
        </w:r>
      </w:hyperlink>
    </w:p>
    <w:p w14:paraId="32A4AA92"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40" w:history="1">
        <w:r w:rsidRPr="00A47D4D">
          <w:rPr>
            <w:rStyle w:val="Lienhypertexte"/>
            <w:noProof/>
          </w:rPr>
          <w:t>Tableau 44. Evaluation de l’impact –Risque d’incendie et d’explosion</w:t>
        </w:r>
        <w:r>
          <w:rPr>
            <w:noProof/>
            <w:webHidden/>
          </w:rPr>
          <w:tab/>
        </w:r>
        <w:r>
          <w:rPr>
            <w:noProof/>
            <w:webHidden/>
          </w:rPr>
          <w:fldChar w:fldCharType="begin"/>
        </w:r>
        <w:r>
          <w:rPr>
            <w:noProof/>
            <w:webHidden/>
          </w:rPr>
          <w:instrText xml:space="preserve"> PAGEREF _Toc127957840 \h </w:instrText>
        </w:r>
        <w:r>
          <w:rPr>
            <w:noProof/>
            <w:webHidden/>
          </w:rPr>
        </w:r>
        <w:r>
          <w:rPr>
            <w:noProof/>
            <w:webHidden/>
          </w:rPr>
          <w:fldChar w:fldCharType="separate"/>
        </w:r>
        <w:r w:rsidR="00B05C7F">
          <w:rPr>
            <w:noProof/>
            <w:webHidden/>
          </w:rPr>
          <w:t>165</w:t>
        </w:r>
        <w:r>
          <w:rPr>
            <w:noProof/>
            <w:webHidden/>
          </w:rPr>
          <w:fldChar w:fldCharType="end"/>
        </w:r>
      </w:hyperlink>
    </w:p>
    <w:p w14:paraId="7230742F"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41" w:history="1">
        <w:r w:rsidRPr="00A47D4D">
          <w:rPr>
            <w:rStyle w:val="Lienhypertexte"/>
            <w:noProof/>
          </w:rPr>
          <w:t>Tableau 45. Evaluation de l’impact – découverte fortuite et destruction de patrimoines culturels</w:t>
        </w:r>
        <w:r>
          <w:rPr>
            <w:noProof/>
            <w:webHidden/>
          </w:rPr>
          <w:tab/>
        </w:r>
        <w:r>
          <w:rPr>
            <w:noProof/>
            <w:webHidden/>
          </w:rPr>
          <w:fldChar w:fldCharType="begin"/>
        </w:r>
        <w:r>
          <w:rPr>
            <w:noProof/>
            <w:webHidden/>
          </w:rPr>
          <w:instrText xml:space="preserve"> PAGEREF _Toc127957841 \h </w:instrText>
        </w:r>
        <w:r>
          <w:rPr>
            <w:noProof/>
            <w:webHidden/>
          </w:rPr>
        </w:r>
        <w:r>
          <w:rPr>
            <w:noProof/>
            <w:webHidden/>
          </w:rPr>
          <w:fldChar w:fldCharType="separate"/>
        </w:r>
        <w:r w:rsidR="00B05C7F">
          <w:rPr>
            <w:noProof/>
            <w:webHidden/>
          </w:rPr>
          <w:t>165</w:t>
        </w:r>
        <w:r>
          <w:rPr>
            <w:noProof/>
            <w:webHidden/>
          </w:rPr>
          <w:fldChar w:fldCharType="end"/>
        </w:r>
      </w:hyperlink>
    </w:p>
    <w:p w14:paraId="47E62469"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42" w:history="1">
        <w:r w:rsidRPr="00A47D4D">
          <w:rPr>
            <w:rStyle w:val="Lienhypertexte"/>
            <w:noProof/>
          </w:rPr>
          <w:t>Tableau 46. Evaluation de l’impact –Pollution du sol et de l’eau par l'Abandon de déchets sur le chantier et l'ancienne base vie</w:t>
        </w:r>
        <w:r>
          <w:rPr>
            <w:noProof/>
            <w:webHidden/>
          </w:rPr>
          <w:tab/>
        </w:r>
        <w:r>
          <w:rPr>
            <w:noProof/>
            <w:webHidden/>
          </w:rPr>
          <w:fldChar w:fldCharType="begin"/>
        </w:r>
        <w:r>
          <w:rPr>
            <w:noProof/>
            <w:webHidden/>
          </w:rPr>
          <w:instrText xml:space="preserve"> PAGEREF _Toc127957842 \h </w:instrText>
        </w:r>
        <w:r>
          <w:rPr>
            <w:noProof/>
            <w:webHidden/>
          </w:rPr>
        </w:r>
        <w:r>
          <w:rPr>
            <w:noProof/>
            <w:webHidden/>
          </w:rPr>
          <w:fldChar w:fldCharType="separate"/>
        </w:r>
        <w:r w:rsidR="00B05C7F">
          <w:rPr>
            <w:noProof/>
            <w:webHidden/>
          </w:rPr>
          <w:t>166</w:t>
        </w:r>
        <w:r>
          <w:rPr>
            <w:noProof/>
            <w:webHidden/>
          </w:rPr>
          <w:fldChar w:fldCharType="end"/>
        </w:r>
      </w:hyperlink>
    </w:p>
    <w:p w14:paraId="630FBB5D"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43" w:history="1">
        <w:r w:rsidRPr="00A47D4D">
          <w:rPr>
            <w:rStyle w:val="Lienhypertexte"/>
            <w:noProof/>
          </w:rPr>
          <w:t>Tableau 47. Evaluation de l’impact –Perte de revenu pour les employés temporaires du projet</w:t>
        </w:r>
        <w:r>
          <w:rPr>
            <w:noProof/>
            <w:webHidden/>
          </w:rPr>
          <w:tab/>
        </w:r>
        <w:r>
          <w:rPr>
            <w:noProof/>
            <w:webHidden/>
          </w:rPr>
          <w:fldChar w:fldCharType="begin"/>
        </w:r>
        <w:r>
          <w:rPr>
            <w:noProof/>
            <w:webHidden/>
          </w:rPr>
          <w:instrText xml:space="preserve"> PAGEREF _Toc127957843 \h </w:instrText>
        </w:r>
        <w:r>
          <w:rPr>
            <w:noProof/>
            <w:webHidden/>
          </w:rPr>
        </w:r>
        <w:r>
          <w:rPr>
            <w:noProof/>
            <w:webHidden/>
          </w:rPr>
          <w:fldChar w:fldCharType="separate"/>
        </w:r>
        <w:r w:rsidR="00B05C7F">
          <w:rPr>
            <w:noProof/>
            <w:webHidden/>
          </w:rPr>
          <w:t>166</w:t>
        </w:r>
        <w:r>
          <w:rPr>
            <w:noProof/>
            <w:webHidden/>
          </w:rPr>
          <w:fldChar w:fldCharType="end"/>
        </w:r>
      </w:hyperlink>
    </w:p>
    <w:p w14:paraId="6D93DC36"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44" w:history="1">
        <w:r w:rsidRPr="00A47D4D">
          <w:rPr>
            <w:rStyle w:val="Lienhypertexte"/>
            <w:noProof/>
          </w:rPr>
          <w:t>Tableau 48. Evaluation de l’impact – Risque de conflit avec les locaux à cause de non acquittement de dette contractée par les ouvriers</w:t>
        </w:r>
        <w:r>
          <w:rPr>
            <w:noProof/>
            <w:webHidden/>
          </w:rPr>
          <w:tab/>
        </w:r>
        <w:r>
          <w:rPr>
            <w:noProof/>
            <w:webHidden/>
          </w:rPr>
          <w:fldChar w:fldCharType="begin"/>
        </w:r>
        <w:r>
          <w:rPr>
            <w:noProof/>
            <w:webHidden/>
          </w:rPr>
          <w:instrText xml:space="preserve"> PAGEREF _Toc127957844 \h </w:instrText>
        </w:r>
        <w:r>
          <w:rPr>
            <w:noProof/>
            <w:webHidden/>
          </w:rPr>
        </w:r>
        <w:r>
          <w:rPr>
            <w:noProof/>
            <w:webHidden/>
          </w:rPr>
          <w:fldChar w:fldCharType="separate"/>
        </w:r>
        <w:r w:rsidR="00B05C7F">
          <w:rPr>
            <w:noProof/>
            <w:webHidden/>
          </w:rPr>
          <w:t>166</w:t>
        </w:r>
        <w:r>
          <w:rPr>
            <w:noProof/>
            <w:webHidden/>
          </w:rPr>
          <w:fldChar w:fldCharType="end"/>
        </w:r>
      </w:hyperlink>
    </w:p>
    <w:p w14:paraId="5C74065E"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45" w:history="1">
        <w:r w:rsidRPr="00A47D4D">
          <w:rPr>
            <w:rStyle w:val="Lienhypertexte"/>
            <w:noProof/>
          </w:rPr>
          <w:t>Tableau 49. Evaluation de l’impact – Risques d’accident de circulation</w:t>
        </w:r>
        <w:r>
          <w:rPr>
            <w:noProof/>
            <w:webHidden/>
          </w:rPr>
          <w:tab/>
        </w:r>
        <w:r>
          <w:rPr>
            <w:noProof/>
            <w:webHidden/>
          </w:rPr>
          <w:fldChar w:fldCharType="begin"/>
        </w:r>
        <w:r>
          <w:rPr>
            <w:noProof/>
            <w:webHidden/>
          </w:rPr>
          <w:instrText xml:space="preserve"> PAGEREF _Toc127957845 \h </w:instrText>
        </w:r>
        <w:r>
          <w:rPr>
            <w:noProof/>
            <w:webHidden/>
          </w:rPr>
        </w:r>
        <w:r>
          <w:rPr>
            <w:noProof/>
            <w:webHidden/>
          </w:rPr>
          <w:fldChar w:fldCharType="separate"/>
        </w:r>
        <w:r w:rsidR="00B05C7F">
          <w:rPr>
            <w:noProof/>
            <w:webHidden/>
          </w:rPr>
          <w:t>167</w:t>
        </w:r>
        <w:r>
          <w:rPr>
            <w:noProof/>
            <w:webHidden/>
          </w:rPr>
          <w:fldChar w:fldCharType="end"/>
        </w:r>
      </w:hyperlink>
    </w:p>
    <w:p w14:paraId="6A251CA3"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46" w:history="1">
        <w:r w:rsidRPr="00A47D4D">
          <w:rPr>
            <w:rStyle w:val="Lienhypertexte"/>
            <w:noProof/>
          </w:rPr>
          <w:t>Tableau 50. Evaluation de l’impact –Formation d’îlot thermique</w:t>
        </w:r>
        <w:r>
          <w:rPr>
            <w:noProof/>
            <w:webHidden/>
          </w:rPr>
          <w:tab/>
        </w:r>
        <w:r>
          <w:rPr>
            <w:noProof/>
            <w:webHidden/>
          </w:rPr>
          <w:fldChar w:fldCharType="begin"/>
        </w:r>
        <w:r>
          <w:rPr>
            <w:noProof/>
            <w:webHidden/>
          </w:rPr>
          <w:instrText xml:space="preserve"> PAGEREF _Toc127957846 \h </w:instrText>
        </w:r>
        <w:r>
          <w:rPr>
            <w:noProof/>
            <w:webHidden/>
          </w:rPr>
        </w:r>
        <w:r>
          <w:rPr>
            <w:noProof/>
            <w:webHidden/>
          </w:rPr>
          <w:fldChar w:fldCharType="separate"/>
        </w:r>
        <w:r w:rsidR="00B05C7F">
          <w:rPr>
            <w:noProof/>
            <w:webHidden/>
          </w:rPr>
          <w:t>168</w:t>
        </w:r>
        <w:r>
          <w:rPr>
            <w:noProof/>
            <w:webHidden/>
          </w:rPr>
          <w:fldChar w:fldCharType="end"/>
        </w:r>
      </w:hyperlink>
    </w:p>
    <w:p w14:paraId="2CC886E9"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47" w:history="1">
        <w:r w:rsidRPr="00A47D4D">
          <w:rPr>
            <w:rStyle w:val="Lienhypertexte"/>
            <w:noProof/>
          </w:rPr>
          <w:t>Tableau 51. Evaluation de l’impact – Erosion du sol nu par l'impact des gouttes d'eau des PV</w:t>
        </w:r>
        <w:r>
          <w:rPr>
            <w:noProof/>
            <w:webHidden/>
          </w:rPr>
          <w:tab/>
        </w:r>
        <w:r>
          <w:rPr>
            <w:noProof/>
            <w:webHidden/>
          </w:rPr>
          <w:fldChar w:fldCharType="begin"/>
        </w:r>
        <w:r>
          <w:rPr>
            <w:noProof/>
            <w:webHidden/>
          </w:rPr>
          <w:instrText xml:space="preserve"> PAGEREF _Toc127957847 \h </w:instrText>
        </w:r>
        <w:r>
          <w:rPr>
            <w:noProof/>
            <w:webHidden/>
          </w:rPr>
        </w:r>
        <w:r>
          <w:rPr>
            <w:noProof/>
            <w:webHidden/>
          </w:rPr>
          <w:fldChar w:fldCharType="separate"/>
        </w:r>
        <w:r w:rsidR="00B05C7F">
          <w:rPr>
            <w:noProof/>
            <w:webHidden/>
          </w:rPr>
          <w:t>168</w:t>
        </w:r>
        <w:r>
          <w:rPr>
            <w:noProof/>
            <w:webHidden/>
          </w:rPr>
          <w:fldChar w:fldCharType="end"/>
        </w:r>
      </w:hyperlink>
    </w:p>
    <w:p w14:paraId="23EC6F7D"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48" w:history="1">
        <w:r w:rsidRPr="00A47D4D">
          <w:rPr>
            <w:rStyle w:val="Lienhypertexte"/>
            <w:noProof/>
          </w:rPr>
          <w:t>Tableau 52. Evaluation de l’impact –Modification du paysage</w:t>
        </w:r>
        <w:r>
          <w:rPr>
            <w:noProof/>
            <w:webHidden/>
          </w:rPr>
          <w:tab/>
        </w:r>
        <w:r>
          <w:rPr>
            <w:noProof/>
            <w:webHidden/>
          </w:rPr>
          <w:fldChar w:fldCharType="begin"/>
        </w:r>
        <w:r>
          <w:rPr>
            <w:noProof/>
            <w:webHidden/>
          </w:rPr>
          <w:instrText xml:space="preserve"> PAGEREF _Toc127957848 \h </w:instrText>
        </w:r>
        <w:r>
          <w:rPr>
            <w:noProof/>
            <w:webHidden/>
          </w:rPr>
        </w:r>
        <w:r>
          <w:rPr>
            <w:noProof/>
            <w:webHidden/>
          </w:rPr>
          <w:fldChar w:fldCharType="separate"/>
        </w:r>
        <w:r w:rsidR="00B05C7F">
          <w:rPr>
            <w:noProof/>
            <w:webHidden/>
          </w:rPr>
          <w:t>168</w:t>
        </w:r>
        <w:r>
          <w:rPr>
            <w:noProof/>
            <w:webHidden/>
          </w:rPr>
          <w:fldChar w:fldCharType="end"/>
        </w:r>
      </w:hyperlink>
    </w:p>
    <w:p w14:paraId="407DD5E4"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49" w:history="1">
        <w:r w:rsidRPr="00A47D4D">
          <w:rPr>
            <w:rStyle w:val="Lienhypertexte"/>
            <w:noProof/>
          </w:rPr>
          <w:t>Tableau 53. Evaluation de l’impact –Risque d'épuisement de la ressource en eau à cause des besoins pour le lavage des panneaux solaires</w:t>
        </w:r>
        <w:r>
          <w:rPr>
            <w:noProof/>
            <w:webHidden/>
          </w:rPr>
          <w:tab/>
        </w:r>
        <w:r>
          <w:rPr>
            <w:noProof/>
            <w:webHidden/>
          </w:rPr>
          <w:fldChar w:fldCharType="begin"/>
        </w:r>
        <w:r>
          <w:rPr>
            <w:noProof/>
            <w:webHidden/>
          </w:rPr>
          <w:instrText xml:space="preserve"> PAGEREF _Toc127957849 \h </w:instrText>
        </w:r>
        <w:r>
          <w:rPr>
            <w:noProof/>
            <w:webHidden/>
          </w:rPr>
        </w:r>
        <w:r>
          <w:rPr>
            <w:noProof/>
            <w:webHidden/>
          </w:rPr>
          <w:fldChar w:fldCharType="separate"/>
        </w:r>
        <w:r w:rsidR="00B05C7F">
          <w:rPr>
            <w:noProof/>
            <w:webHidden/>
          </w:rPr>
          <w:t>169</w:t>
        </w:r>
        <w:r>
          <w:rPr>
            <w:noProof/>
            <w:webHidden/>
          </w:rPr>
          <w:fldChar w:fldCharType="end"/>
        </w:r>
      </w:hyperlink>
    </w:p>
    <w:p w14:paraId="3683709C"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50" w:history="1">
        <w:r w:rsidRPr="00A47D4D">
          <w:rPr>
            <w:rStyle w:val="Lienhypertexte"/>
            <w:noProof/>
          </w:rPr>
          <w:t>Tableau 54. Evaluation de l’impact – Modification des régimes des cours d’eau</w:t>
        </w:r>
        <w:r>
          <w:rPr>
            <w:noProof/>
            <w:webHidden/>
          </w:rPr>
          <w:tab/>
        </w:r>
        <w:r>
          <w:rPr>
            <w:noProof/>
            <w:webHidden/>
          </w:rPr>
          <w:fldChar w:fldCharType="begin"/>
        </w:r>
        <w:r>
          <w:rPr>
            <w:noProof/>
            <w:webHidden/>
          </w:rPr>
          <w:instrText xml:space="preserve"> PAGEREF _Toc127957850 \h </w:instrText>
        </w:r>
        <w:r>
          <w:rPr>
            <w:noProof/>
            <w:webHidden/>
          </w:rPr>
        </w:r>
        <w:r>
          <w:rPr>
            <w:noProof/>
            <w:webHidden/>
          </w:rPr>
          <w:fldChar w:fldCharType="separate"/>
        </w:r>
        <w:r w:rsidR="00B05C7F">
          <w:rPr>
            <w:noProof/>
            <w:webHidden/>
          </w:rPr>
          <w:t>169</w:t>
        </w:r>
        <w:r>
          <w:rPr>
            <w:noProof/>
            <w:webHidden/>
          </w:rPr>
          <w:fldChar w:fldCharType="end"/>
        </w:r>
      </w:hyperlink>
    </w:p>
    <w:p w14:paraId="6B83CFE9"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51" w:history="1">
        <w:r w:rsidRPr="00A47D4D">
          <w:rPr>
            <w:rStyle w:val="Lienhypertexte"/>
            <w:noProof/>
          </w:rPr>
          <w:t>Tableau 55 : Evaluation de l’impact – Perturbation des activités de l’avifaune due à l'effet optique des panneaux solaires</w:t>
        </w:r>
        <w:r>
          <w:rPr>
            <w:noProof/>
            <w:webHidden/>
          </w:rPr>
          <w:tab/>
        </w:r>
        <w:r>
          <w:rPr>
            <w:noProof/>
            <w:webHidden/>
          </w:rPr>
          <w:fldChar w:fldCharType="begin"/>
        </w:r>
        <w:r>
          <w:rPr>
            <w:noProof/>
            <w:webHidden/>
          </w:rPr>
          <w:instrText xml:space="preserve"> PAGEREF _Toc127957851 \h </w:instrText>
        </w:r>
        <w:r>
          <w:rPr>
            <w:noProof/>
            <w:webHidden/>
          </w:rPr>
        </w:r>
        <w:r>
          <w:rPr>
            <w:noProof/>
            <w:webHidden/>
          </w:rPr>
          <w:fldChar w:fldCharType="separate"/>
        </w:r>
        <w:r w:rsidR="00B05C7F">
          <w:rPr>
            <w:noProof/>
            <w:webHidden/>
          </w:rPr>
          <w:t>170</w:t>
        </w:r>
        <w:r>
          <w:rPr>
            <w:noProof/>
            <w:webHidden/>
          </w:rPr>
          <w:fldChar w:fldCharType="end"/>
        </w:r>
      </w:hyperlink>
    </w:p>
    <w:p w14:paraId="3ACC032C"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52" w:history="1">
        <w:r w:rsidRPr="00A47D4D">
          <w:rPr>
            <w:rStyle w:val="Lienhypertexte"/>
            <w:noProof/>
          </w:rPr>
          <w:t>Tableau 56. Evaluation de l’impact -Nuisances sonores sur la faune locale</w:t>
        </w:r>
        <w:r>
          <w:rPr>
            <w:noProof/>
            <w:webHidden/>
          </w:rPr>
          <w:tab/>
        </w:r>
        <w:r>
          <w:rPr>
            <w:noProof/>
            <w:webHidden/>
          </w:rPr>
          <w:fldChar w:fldCharType="begin"/>
        </w:r>
        <w:r>
          <w:rPr>
            <w:noProof/>
            <w:webHidden/>
          </w:rPr>
          <w:instrText xml:space="preserve"> PAGEREF _Toc127957852 \h </w:instrText>
        </w:r>
        <w:r>
          <w:rPr>
            <w:noProof/>
            <w:webHidden/>
          </w:rPr>
        </w:r>
        <w:r>
          <w:rPr>
            <w:noProof/>
            <w:webHidden/>
          </w:rPr>
          <w:fldChar w:fldCharType="separate"/>
        </w:r>
        <w:r w:rsidR="00B05C7F">
          <w:rPr>
            <w:noProof/>
            <w:webHidden/>
          </w:rPr>
          <w:t>171</w:t>
        </w:r>
        <w:r>
          <w:rPr>
            <w:noProof/>
            <w:webHidden/>
          </w:rPr>
          <w:fldChar w:fldCharType="end"/>
        </w:r>
      </w:hyperlink>
    </w:p>
    <w:p w14:paraId="3FA28D9F"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53" w:history="1">
        <w:r w:rsidRPr="00A47D4D">
          <w:rPr>
            <w:rStyle w:val="Lienhypertexte"/>
            <w:noProof/>
          </w:rPr>
          <w:t>Tableau 57. Evaluation l’impact -Création de champ électromagnétique</w:t>
        </w:r>
        <w:r>
          <w:rPr>
            <w:noProof/>
            <w:webHidden/>
          </w:rPr>
          <w:tab/>
        </w:r>
        <w:r>
          <w:rPr>
            <w:noProof/>
            <w:webHidden/>
          </w:rPr>
          <w:fldChar w:fldCharType="begin"/>
        </w:r>
        <w:r>
          <w:rPr>
            <w:noProof/>
            <w:webHidden/>
          </w:rPr>
          <w:instrText xml:space="preserve"> PAGEREF _Toc127957853 \h </w:instrText>
        </w:r>
        <w:r>
          <w:rPr>
            <w:noProof/>
            <w:webHidden/>
          </w:rPr>
        </w:r>
        <w:r>
          <w:rPr>
            <w:noProof/>
            <w:webHidden/>
          </w:rPr>
          <w:fldChar w:fldCharType="separate"/>
        </w:r>
        <w:r w:rsidR="00B05C7F">
          <w:rPr>
            <w:noProof/>
            <w:webHidden/>
          </w:rPr>
          <w:t>171</w:t>
        </w:r>
        <w:r>
          <w:rPr>
            <w:noProof/>
            <w:webHidden/>
          </w:rPr>
          <w:fldChar w:fldCharType="end"/>
        </w:r>
      </w:hyperlink>
    </w:p>
    <w:p w14:paraId="5A1FD00C"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54" w:history="1">
        <w:r w:rsidRPr="00A47D4D">
          <w:rPr>
            <w:rStyle w:val="Lienhypertexte"/>
            <w:noProof/>
          </w:rPr>
          <w:t>Tableau 58. Evaluation l’impact -Risque de conflit avec les populations locales par la présence des mains d’œuvre externes</w:t>
        </w:r>
        <w:r>
          <w:rPr>
            <w:noProof/>
            <w:webHidden/>
          </w:rPr>
          <w:tab/>
        </w:r>
        <w:r>
          <w:rPr>
            <w:noProof/>
            <w:webHidden/>
          </w:rPr>
          <w:fldChar w:fldCharType="begin"/>
        </w:r>
        <w:r>
          <w:rPr>
            <w:noProof/>
            <w:webHidden/>
          </w:rPr>
          <w:instrText xml:space="preserve"> PAGEREF _Toc127957854 \h </w:instrText>
        </w:r>
        <w:r>
          <w:rPr>
            <w:noProof/>
            <w:webHidden/>
          </w:rPr>
        </w:r>
        <w:r>
          <w:rPr>
            <w:noProof/>
            <w:webHidden/>
          </w:rPr>
          <w:fldChar w:fldCharType="separate"/>
        </w:r>
        <w:r w:rsidR="00B05C7F">
          <w:rPr>
            <w:noProof/>
            <w:webHidden/>
          </w:rPr>
          <w:t>172</w:t>
        </w:r>
        <w:r>
          <w:rPr>
            <w:noProof/>
            <w:webHidden/>
          </w:rPr>
          <w:fldChar w:fldCharType="end"/>
        </w:r>
      </w:hyperlink>
    </w:p>
    <w:p w14:paraId="117D3A8C"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55" w:history="1">
        <w:r w:rsidRPr="00A47D4D">
          <w:rPr>
            <w:rStyle w:val="Lienhypertexte"/>
            <w:noProof/>
          </w:rPr>
          <w:t>Tableau 59. Evaluation l’impact -Accumulation des déchets solides incluant les déchets d’équipement électrique et électronique (DEEE)</w:t>
        </w:r>
        <w:r>
          <w:rPr>
            <w:noProof/>
            <w:webHidden/>
          </w:rPr>
          <w:tab/>
        </w:r>
        <w:r>
          <w:rPr>
            <w:noProof/>
            <w:webHidden/>
          </w:rPr>
          <w:fldChar w:fldCharType="begin"/>
        </w:r>
        <w:r>
          <w:rPr>
            <w:noProof/>
            <w:webHidden/>
          </w:rPr>
          <w:instrText xml:space="preserve"> PAGEREF _Toc127957855 \h </w:instrText>
        </w:r>
        <w:r>
          <w:rPr>
            <w:noProof/>
            <w:webHidden/>
          </w:rPr>
        </w:r>
        <w:r>
          <w:rPr>
            <w:noProof/>
            <w:webHidden/>
          </w:rPr>
          <w:fldChar w:fldCharType="separate"/>
        </w:r>
        <w:r w:rsidR="00B05C7F">
          <w:rPr>
            <w:noProof/>
            <w:webHidden/>
          </w:rPr>
          <w:t>172</w:t>
        </w:r>
        <w:r>
          <w:rPr>
            <w:noProof/>
            <w:webHidden/>
          </w:rPr>
          <w:fldChar w:fldCharType="end"/>
        </w:r>
      </w:hyperlink>
    </w:p>
    <w:p w14:paraId="0C3BCCB4"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56" w:history="1">
        <w:r w:rsidRPr="00A47D4D">
          <w:rPr>
            <w:rStyle w:val="Lienhypertexte"/>
            <w:noProof/>
          </w:rPr>
          <w:t>Tableau 60. Evaluation l’impact -Impact visuel causé par le changement de paysage</w:t>
        </w:r>
        <w:r>
          <w:rPr>
            <w:noProof/>
            <w:webHidden/>
          </w:rPr>
          <w:tab/>
        </w:r>
        <w:r>
          <w:rPr>
            <w:noProof/>
            <w:webHidden/>
          </w:rPr>
          <w:fldChar w:fldCharType="begin"/>
        </w:r>
        <w:r>
          <w:rPr>
            <w:noProof/>
            <w:webHidden/>
          </w:rPr>
          <w:instrText xml:space="preserve"> PAGEREF _Toc127957856 \h </w:instrText>
        </w:r>
        <w:r>
          <w:rPr>
            <w:noProof/>
            <w:webHidden/>
          </w:rPr>
        </w:r>
        <w:r>
          <w:rPr>
            <w:noProof/>
            <w:webHidden/>
          </w:rPr>
          <w:fldChar w:fldCharType="separate"/>
        </w:r>
        <w:r w:rsidR="00B05C7F">
          <w:rPr>
            <w:noProof/>
            <w:webHidden/>
          </w:rPr>
          <w:t>173</w:t>
        </w:r>
        <w:r>
          <w:rPr>
            <w:noProof/>
            <w:webHidden/>
          </w:rPr>
          <w:fldChar w:fldCharType="end"/>
        </w:r>
      </w:hyperlink>
    </w:p>
    <w:p w14:paraId="6D28BF93"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57" w:history="1">
        <w:r w:rsidRPr="00A47D4D">
          <w:rPr>
            <w:rStyle w:val="Lienhypertexte"/>
            <w:noProof/>
          </w:rPr>
          <w:t>Tableau 61. Evaluation l’impact –Risque de conflits sociaux à cause de l’utilisation de l’eau</w:t>
        </w:r>
        <w:r>
          <w:rPr>
            <w:noProof/>
            <w:webHidden/>
          </w:rPr>
          <w:tab/>
        </w:r>
        <w:r>
          <w:rPr>
            <w:noProof/>
            <w:webHidden/>
          </w:rPr>
          <w:fldChar w:fldCharType="begin"/>
        </w:r>
        <w:r>
          <w:rPr>
            <w:noProof/>
            <w:webHidden/>
          </w:rPr>
          <w:instrText xml:space="preserve"> PAGEREF _Toc127957857 \h </w:instrText>
        </w:r>
        <w:r>
          <w:rPr>
            <w:noProof/>
            <w:webHidden/>
          </w:rPr>
        </w:r>
        <w:r>
          <w:rPr>
            <w:noProof/>
            <w:webHidden/>
          </w:rPr>
          <w:fldChar w:fldCharType="separate"/>
        </w:r>
        <w:r w:rsidR="00B05C7F">
          <w:rPr>
            <w:noProof/>
            <w:webHidden/>
          </w:rPr>
          <w:t>173</w:t>
        </w:r>
        <w:r>
          <w:rPr>
            <w:noProof/>
            <w:webHidden/>
          </w:rPr>
          <w:fldChar w:fldCharType="end"/>
        </w:r>
      </w:hyperlink>
    </w:p>
    <w:p w14:paraId="4F4A4E5B"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58" w:history="1">
        <w:r w:rsidRPr="00A47D4D">
          <w:rPr>
            <w:rStyle w:val="Lienhypertexte"/>
            <w:noProof/>
          </w:rPr>
          <w:t>Tableau 62. Evaluation l’impact –Risque de bouleversement des mœurs</w:t>
        </w:r>
        <w:r>
          <w:rPr>
            <w:noProof/>
            <w:webHidden/>
          </w:rPr>
          <w:tab/>
        </w:r>
        <w:r>
          <w:rPr>
            <w:noProof/>
            <w:webHidden/>
          </w:rPr>
          <w:fldChar w:fldCharType="begin"/>
        </w:r>
        <w:r>
          <w:rPr>
            <w:noProof/>
            <w:webHidden/>
          </w:rPr>
          <w:instrText xml:space="preserve"> PAGEREF _Toc127957858 \h </w:instrText>
        </w:r>
        <w:r>
          <w:rPr>
            <w:noProof/>
            <w:webHidden/>
          </w:rPr>
        </w:r>
        <w:r>
          <w:rPr>
            <w:noProof/>
            <w:webHidden/>
          </w:rPr>
          <w:fldChar w:fldCharType="separate"/>
        </w:r>
        <w:r w:rsidR="00B05C7F">
          <w:rPr>
            <w:noProof/>
            <w:webHidden/>
          </w:rPr>
          <w:t>173</w:t>
        </w:r>
        <w:r>
          <w:rPr>
            <w:noProof/>
            <w:webHidden/>
          </w:rPr>
          <w:fldChar w:fldCharType="end"/>
        </w:r>
      </w:hyperlink>
    </w:p>
    <w:p w14:paraId="70ACDEE2"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59" w:history="1">
        <w:r w:rsidRPr="00A47D4D">
          <w:rPr>
            <w:rStyle w:val="Lienhypertexte"/>
            <w:noProof/>
          </w:rPr>
          <w:t>Tableau 63. Evaluation l’impact -Nuisances sonores</w:t>
        </w:r>
        <w:r>
          <w:rPr>
            <w:noProof/>
            <w:webHidden/>
          </w:rPr>
          <w:tab/>
        </w:r>
        <w:r>
          <w:rPr>
            <w:noProof/>
            <w:webHidden/>
          </w:rPr>
          <w:fldChar w:fldCharType="begin"/>
        </w:r>
        <w:r>
          <w:rPr>
            <w:noProof/>
            <w:webHidden/>
          </w:rPr>
          <w:instrText xml:space="preserve"> PAGEREF _Toc127957859 \h </w:instrText>
        </w:r>
        <w:r>
          <w:rPr>
            <w:noProof/>
            <w:webHidden/>
          </w:rPr>
        </w:r>
        <w:r>
          <w:rPr>
            <w:noProof/>
            <w:webHidden/>
          </w:rPr>
          <w:fldChar w:fldCharType="separate"/>
        </w:r>
        <w:r w:rsidR="00B05C7F">
          <w:rPr>
            <w:noProof/>
            <w:webHidden/>
          </w:rPr>
          <w:t>174</w:t>
        </w:r>
        <w:r>
          <w:rPr>
            <w:noProof/>
            <w:webHidden/>
          </w:rPr>
          <w:fldChar w:fldCharType="end"/>
        </w:r>
      </w:hyperlink>
    </w:p>
    <w:p w14:paraId="32EF7E89"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60" w:history="1">
        <w:r w:rsidRPr="00A47D4D">
          <w:rPr>
            <w:rStyle w:val="Lienhypertexte"/>
            <w:noProof/>
          </w:rPr>
          <w:t>Tableau 64. Evaluation l’impact -Création de champ électromagnétique</w:t>
        </w:r>
        <w:r>
          <w:rPr>
            <w:noProof/>
            <w:webHidden/>
          </w:rPr>
          <w:tab/>
        </w:r>
        <w:r>
          <w:rPr>
            <w:noProof/>
            <w:webHidden/>
          </w:rPr>
          <w:fldChar w:fldCharType="begin"/>
        </w:r>
        <w:r>
          <w:rPr>
            <w:noProof/>
            <w:webHidden/>
          </w:rPr>
          <w:instrText xml:space="preserve"> PAGEREF _Toc127957860 \h </w:instrText>
        </w:r>
        <w:r>
          <w:rPr>
            <w:noProof/>
            <w:webHidden/>
          </w:rPr>
        </w:r>
        <w:r>
          <w:rPr>
            <w:noProof/>
            <w:webHidden/>
          </w:rPr>
          <w:fldChar w:fldCharType="separate"/>
        </w:r>
        <w:r w:rsidR="00B05C7F">
          <w:rPr>
            <w:noProof/>
            <w:webHidden/>
          </w:rPr>
          <w:t>175</w:t>
        </w:r>
        <w:r>
          <w:rPr>
            <w:noProof/>
            <w:webHidden/>
          </w:rPr>
          <w:fldChar w:fldCharType="end"/>
        </w:r>
      </w:hyperlink>
    </w:p>
    <w:p w14:paraId="28D6201E"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61" w:history="1">
        <w:r w:rsidRPr="00A47D4D">
          <w:rPr>
            <w:rStyle w:val="Lienhypertexte"/>
            <w:noProof/>
          </w:rPr>
          <w:t>Tableau 65. Evaluation de l’impact -Risques d’accident et d’incendie</w:t>
        </w:r>
        <w:r>
          <w:rPr>
            <w:noProof/>
            <w:webHidden/>
          </w:rPr>
          <w:tab/>
        </w:r>
        <w:r>
          <w:rPr>
            <w:noProof/>
            <w:webHidden/>
          </w:rPr>
          <w:fldChar w:fldCharType="begin"/>
        </w:r>
        <w:r>
          <w:rPr>
            <w:noProof/>
            <w:webHidden/>
          </w:rPr>
          <w:instrText xml:space="preserve"> PAGEREF _Toc127957861 \h </w:instrText>
        </w:r>
        <w:r>
          <w:rPr>
            <w:noProof/>
            <w:webHidden/>
          </w:rPr>
        </w:r>
        <w:r>
          <w:rPr>
            <w:noProof/>
            <w:webHidden/>
          </w:rPr>
          <w:fldChar w:fldCharType="separate"/>
        </w:r>
        <w:r w:rsidR="00B05C7F">
          <w:rPr>
            <w:noProof/>
            <w:webHidden/>
          </w:rPr>
          <w:t>175</w:t>
        </w:r>
        <w:r>
          <w:rPr>
            <w:noProof/>
            <w:webHidden/>
          </w:rPr>
          <w:fldChar w:fldCharType="end"/>
        </w:r>
      </w:hyperlink>
    </w:p>
    <w:p w14:paraId="399AEA47"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62" w:history="1">
        <w:r w:rsidRPr="00A47D4D">
          <w:rPr>
            <w:rStyle w:val="Lienhypertexte"/>
            <w:noProof/>
          </w:rPr>
          <w:t>Tableau 66. Evaluation de l’impact -Risques liés au vol et intrusions</w:t>
        </w:r>
        <w:r>
          <w:rPr>
            <w:noProof/>
            <w:webHidden/>
          </w:rPr>
          <w:tab/>
        </w:r>
        <w:r>
          <w:rPr>
            <w:noProof/>
            <w:webHidden/>
          </w:rPr>
          <w:fldChar w:fldCharType="begin"/>
        </w:r>
        <w:r>
          <w:rPr>
            <w:noProof/>
            <w:webHidden/>
          </w:rPr>
          <w:instrText xml:space="preserve"> PAGEREF _Toc127957862 \h </w:instrText>
        </w:r>
        <w:r>
          <w:rPr>
            <w:noProof/>
            <w:webHidden/>
          </w:rPr>
        </w:r>
        <w:r>
          <w:rPr>
            <w:noProof/>
            <w:webHidden/>
          </w:rPr>
          <w:fldChar w:fldCharType="separate"/>
        </w:r>
        <w:r w:rsidR="00B05C7F">
          <w:rPr>
            <w:noProof/>
            <w:webHidden/>
          </w:rPr>
          <w:t>176</w:t>
        </w:r>
        <w:r>
          <w:rPr>
            <w:noProof/>
            <w:webHidden/>
          </w:rPr>
          <w:fldChar w:fldCharType="end"/>
        </w:r>
      </w:hyperlink>
    </w:p>
    <w:p w14:paraId="071A754C"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63" w:history="1">
        <w:r w:rsidRPr="00A47D4D">
          <w:rPr>
            <w:rStyle w:val="Lienhypertexte"/>
            <w:noProof/>
          </w:rPr>
          <w:t>Tableau 67. Evaluation l’impact -Risques d’augmentation des cas de VBG et EAS/HS</w:t>
        </w:r>
        <w:r>
          <w:rPr>
            <w:noProof/>
            <w:webHidden/>
          </w:rPr>
          <w:tab/>
        </w:r>
        <w:r>
          <w:rPr>
            <w:noProof/>
            <w:webHidden/>
          </w:rPr>
          <w:fldChar w:fldCharType="begin"/>
        </w:r>
        <w:r>
          <w:rPr>
            <w:noProof/>
            <w:webHidden/>
          </w:rPr>
          <w:instrText xml:space="preserve"> PAGEREF _Toc127957863 \h </w:instrText>
        </w:r>
        <w:r>
          <w:rPr>
            <w:noProof/>
            <w:webHidden/>
          </w:rPr>
        </w:r>
        <w:r>
          <w:rPr>
            <w:noProof/>
            <w:webHidden/>
          </w:rPr>
          <w:fldChar w:fldCharType="separate"/>
        </w:r>
        <w:r w:rsidR="00B05C7F">
          <w:rPr>
            <w:noProof/>
            <w:webHidden/>
          </w:rPr>
          <w:t>176</w:t>
        </w:r>
        <w:r>
          <w:rPr>
            <w:noProof/>
            <w:webHidden/>
          </w:rPr>
          <w:fldChar w:fldCharType="end"/>
        </w:r>
      </w:hyperlink>
    </w:p>
    <w:p w14:paraId="1D128D5F"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64" w:history="1">
        <w:r w:rsidRPr="00A47D4D">
          <w:rPr>
            <w:rStyle w:val="Lienhypertexte"/>
            <w:noProof/>
          </w:rPr>
          <w:t>Tableau 68. Evaluation l’impact -Risque d’augmentation des cas de cybercriminalité</w:t>
        </w:r>
        <w:r>
          <w:rPr>
            <w:noProof/>
            <w:webHidden/>
          </w:rPr>
          <w:tab/>
        </w:r>
        <w:r>
          <w:rPr>
            <w:noProof/>
            <w:webHidden/>
          </w:rPr>
          <w:fldChar w:fldCharType="begin"/>
        </w:r>
        <w:r>
          <w:rPr>
            <w:noProof/>
            <w:webHidden/>
          </w:rPr>
          <w:instrText xml:space="preserve"> PAGEREF _Toc127957864 \h </w:instrText>
        </w:r>
        <w:r>
          <w:rPr>
            <w:noProof/>
            <w:webHidden/>
          </w:rPr>
        </w:r>
        <w:r>
          <w:rPr>
            <w:noProof/>
            <w:webHidden/>
          </w:rPr>
          <w:fldChar w:fldCharType="separate"/>
        </w:r>
        <w:r w:rsidR="00B05C7F">
          <w:rPr>
            <w:noProof/>
            <w:webHidden/>
          </w:rPr>
          <w:t>177</w:t>
        </w:r>
        <w:r>
          <w:rPr>
            <w:noProof/>
            <w:webHidden/>
          </w:rPr>
          <w:fldChar w:fldCharType="end"/>
        </w:r>
      </w:hyperlink>
    </w:p>
    <w:p w14:paraId="6BC64828"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65" w:history="1">
        <w:r w:rsidRPr="00A47D4D">
          <w:rPr>
            <w:rStyle w:val="Lienhypertexte"/>
            <w:noProof/>
          </w:rPr>
          <w:t>Tableau 69. Evaluation de l’impact – atteinte à la sécurité de la population</w:t>
        </w:r>
        <w:r>
          <w:rPr>
            <w:noProof/>
            <w:webHidden/>
          </w:rPr>
          <w:tab/>
        </w:r>
        <w:r>
          <w:rPr>
            <w:noProof/>
            <w:webHidden/>
          </w:rPr>
          <w:fldChar w:fldCharType="begin"/>
        </w:r>
        <w:r>
          <w:rPr>
            <w:noProof/>
            <w:webHidden/>
          </w:rPr>
          <w:instrText xml:space="preserve"> PAGEREF _Toc127957865 \h </w:instrText>
        </w:r>
        <w:r>
          <w:rPr>
            <w:noProof/>
            <w:webHidden/>
          </w:rPr>
        </w:r>
        <w:r>
          <w:rPr>
            <w:noProof/>
            <w:webHidden/>
          </w:rPr>
          <w:fldChar w:fldCharType="separate"/>
        </w:r>
        <w:r w:rsidR="00B05C7F">
          <w:rPr>
            <w:noProof/>
            <w:webHidden/>
          </w:rPr>
          <w:t>177</w:t>
        </w:r>
        <w:r>
          <w:rPr>
            <w:noProof/>
            <w:webHidden/>
          </w:rPr>
          <w:fldChar w:fldCharType="end"/>
        </w:r>
      </w:hyperlink>
    </w:p>
    <w:p w14:paraId="30CB0DC9"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66" w:history="1">
        <w:r w:rsidRPr="00A47D4D">
          <w:rPr>
            <w:rStyle w:val="Lienhypertexte"/>
            <w:noProof/>
          </w:rPr>
          <w:t>Tableau 70. Evaluation de l’impact -Altération de l’air par l’émission de GES des véhicules ainsi que par les soulèvements de poussières</w:t>
        </w:r>
        <w:r>
          <w:rPr>
            <w:noProof/>
            <w:webHidden/>
          </w:rPr>
          <w:tab/>
        </w:r>
        <w:r>
          <w:rPr>
            <w:noProof/>
            <w:webHidden/>
          </w:rPr>
          <w:fldChar w:fldCharType="begin"/>
        </w:r>
        <w:r>
          <w:rPr>
            <w:noProof/>
            <w:webHidden/>
          </w:rPr>
          <w:instrText xml:space="preserve"> PAGEREF _Toc127957866 \h </w:instrText>
        </w:r>
        <w:r>
          <w:rPr>
            <w:noProof/>
            <w:webHidden/>
          </w:rPr>
        </w:r>
        <w:r>
          <w:rPr>
            <w:noProof/>
            <w:webHidden/>
          </w:rPr>
          <w:fldChar w:fldCharType="separate"/>
        </w:r>
        <w:r w:rsidR="00B05C7F">
          <w:rPr>
            <w:noProof/>
            <w:webHidden/>
          </w:rPr>
          <w:t>177</w:t>
        </w:r>
        <w:r>
          <w:rPr>
            <w:noProof/>
            <w:webHidden/>
          </w:rPr>
          <w:fldChar w:fldCharType="end"/>
        </w:r>
      </w:hyperlink>
    </w:p>
    <w:p w14:paraId="78DC972E"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67" w:history="1">
        <w:r w:rsidRPr="00A47D4D">
          <w:rPr>
            <w:rStyle w:val="Lienhypertexte"/>
            <w:noProof/>
          </w:rPr>
          <w:t>Tableau 71. Evaluation de l’impact -Pollution du sol et de l’eau par le déversement accidentel des substances polluantes</w:t>
        </w:r>
        <w:r>
          <w:rPr>
            <w:noProof/>
            <w:webHidden/>
          </w:rPr>
          <w:tab/>
        </w:r>
        <w:r>
          <w:rPr>
            <w:noProof/>
            <w:webHidden/>
          </w:rPr>
          <w:fldChar w:fldCharType="begin"/>
        </w:r>
        <w:r>
          <w:rPr>
            <w:noProof/>
            <w:webHidden/>
          </w:rPr>
          <w:instrText xml:space="preserve"> PAGEREF _Toc127957867 \h </w:instrText>
        </w:r>
        <w:r>
          <w:rPr>
            <w:noProof/>
            <w:webHidden/>
          </w:rPr>
        </w:r>
        <w:r>
          <w:rPr>
            <w:noProof/>
            <w:webHidden/>
          </w:rPr>
          <w:fldChar w:fldCharType="separate"/>
        </w:r>
        <w:r w:rsidR="00B05C7F">
          <w:rPr>
            <w:noProof/>
            <w:webHidden/>
          </w:rPr>
          <w:t>178</w:t>
        </w:r>
        <w:r>
          <w:rPr>
            <w:noProof/>
            <w:webHidden/>
          </w:rPr>
          <w:fldChar w:fldCharType="end"/>
        </w:r>
      </w:hyperlink>
    </w:p>
    <w:p w14:paraId="41A0C4A2"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68" w:history="1">
        <w:r w:rsidRPr="00A47D4D">
          <w:rPr>
            <w:rStyle w:val="Lienhypertexte"/>
            <w:noProof/>
          </w:rPr>
          <w:t>Tableau 72. Evaluation de l’impact -Perte d'emploi pour les employés du projet</w:t>
        </w:r>
        <w:r>
          <w:rPr>
            <w:noProof/>
            <w:webHidden/>
          </w:rPr>
          <w:tab/>
        </w:r>
        <w:r>
          <w:rPr>
            <w:noProof/>
            <w:webHidden/>
          </w:rPr>
          <w:fldChar w:fldCharType="begin"/>
        </w:r>
        <w:r>
          <w:rPr>
            <w:noProof/>
            <w:webHidden/>
          </w:rPr>
          <w:instrText xml:space="preserve"> PAGEREF _Toc127957868 \h </w:instrText>
        </w:r>
        <w:r>
          <w:rPr>
            <w:noProof/>
            <w:webHidden/>
          </w:rPr>
        </w:r>
        <w:r>
          <w:rPr>
            <w:noProof/>
            <w:webHidden/>
          </w:rPr>
          <w:fldChar w:fldCharType="separate"/>
        </w:r>
        <w:r w:rsidR="00B05C7F">
          <w:rPr>
            <w:noProof/>
            <w:webHidden/>
          </w:rPr>
          <w:t>178</w:t>
        </w:r>
        <w:r>
          <w:rPr>
            <w:noProof/>
            <w:webHidden/>
          </w:rPr>
          <w:fldChar w:fldCharType="end"/>
        </w:r>
      </w:hyperlink>
    </w:p>
    <w:p w14:paraId="4FA45DAE"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69" w:history="1">
        <w:r w:rsidRPr="00A47D4D">
          <w:rPr>
            <w:rStyle w:val="Lienhypertexte"/>
            <w:noProof/>
          </w:rPr>
          <w:t>Tableau 73. Evaluation de l’impact -Pollution du sol et de l’eau par l'abandon et l’accumulation des déchets solides incluant les DEEE</w:t>
        </w:r>
        <w:r>
          <w:rPr>
            <w:noProof/>
            <w:webHidden/>
          </w:rPr>
          <w:tab/>
        </w:r>
        <w:r>
          <w:rPr>
            <w:noProof/>
            <w:webHidden/>
          </w:rPr>
          <w:fldChar w:fldCharType="begin"/>
        </w:r>
        <w:r>
          <w:rPr>
            <w:noProof/>
            <w:webHidden/>
          </w:rPr>
          <w:instrText xml:space="preserve"> PAGEREF _Toc127957869 \h </w:instrText>
        </w:r>
        <w:r>
          <w:rPr>
            <w:noProof/>
            <w:webHidden/>
          </w:rPr>
        </w:r>
        <w:r>
          <w:rPr>
            <w:noProof/>
            <w:webHidden/>
          </w:rPr>
          <w:fldChar w:fldCharType="separate"/>
        </w:r>
        <w:r w:rsidR="00B05C7F">
          <w:rPr>
            <w:noProof/>
            <w:webHidden/>
          </w:rPr>
          <w:t>179</w:t>
        </w:r>
        <w:r>
          <w:rPr>
            <w:noProof/>
            <w:webHidden/>
          </w:rPr>
          <w:fldChar w:fldCharType="end"/>
        </w:r>
      </w:hyperlink>
    </w:p>
    <w:p w14:paraId="6FAACC73"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70" w:history="1">
        <w:r w:rsidRPr="00A47D4D">
          <w:rPr>
            <w:rStyle w:val="Lienhypertexte"/>
            <w:noProof/>
          </w:rPr>
          <w:t>Tableau 74. Evaluation l’impact -Risque d’accident de travail et dommage corporel</w:t>
        </w:r>
        <w:r>
          <w:rPr>
            <w:noProof/>
            <w:webHidden/>
          </w:rPr>
          <w:tab/>
        </w:r>
        <w:r>
          <w:rPr>
            <w:noProof/>
            <w:webHidden/>
          </w:rPr>
          <w:fldChar w:fldCharType="begin"/>
        </w:r>
        <w:r>
          <w:rPr>
            <w:noProof/>
            <w:webHidden/>
          </w:rPr>
          <w:instrText xml:space="preserve"> PAGEREF _Toc127957870 \h </w:instrText>
        </w:r>
        <w:r>
          <w:rPr>
            <w:noProof/>
            <w:webHidden/>
          </w:rPr>
        </w:r>
        <w:r>
          <w:rPr>
            <w:noProof/>
            <w:webHidden/>
          </w:rPr>
          <w:fldChar w:fldCharType="separate"/>
        </w:r>
        <w:r w:rsidR="00B05C7F">
          <w:rPr>
            <w:noProof/>
            <w:webHidden/>
          </w:rPr>
          <w:t>179</w:t>
        </w:r>
        <w:r>
          <w:rPr>
            <w:noProof/>
            <w:webHidden/>
          </w:rPr>
          <w:fldChar w:fldCharType="end"/>
        </w:r>
      </w:hyperlink>
    </w:p>
    <w:p w14:paraId="06725BBB"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71" w:history="1">
        <w:r w:rsidRPr="00A47D4D">
          <w:rPr>
            <w:rStyle w:val="Lienhypertexte"/>
            <w:noProof/>
          </w:rPr>
          <w:t>Tableau 75. Evaluation l’impact -Perturbation de la circulation</w:t>
        </w:r>
        <w:r>
          <w:rPr>
            <w:noProof/>
            <w:webHidden/>
          </w:rPr>
          <w:tab/>
        </w:r>
        <w:r>
          <w:rPr>
            <w:noProof/>
            <w:webHidden/>
          </w:rPr>
          <w:fldChar w:fldCharType="begin"/>
        </w:r>
        <w:r>
          <w:rPr>
            <w:noProof/>
            <w:webHidden/>
          </w:rPr>
          <w:instrText xml:space="preserve"> PAGEREF _Toc127957871 \h </w:instrText>
        </w:r>
        <w:r>
          <w:rPr>
            <w:noProof/>
            <w:webHidden/>
          </w:rPr>
        </w:r>
        <w:r>
          <w:rPr>
            <w:noProof/>
            <w:webHidden/>
          </w:rPr>
          <w:fldChar w:fldCharType="separate"/>
        </w:r>
        <w:r w:rsidR="00B05C7F">
          <w:rPr>
            <w:noProof/>
            <w:webHidden/>
          </w:rPr>
          <w:t>179</w:t>
        </w:r>
        <w:r>
          <w:rPr>
            <w:noProof/>
            <w:webHidden/>
          </w:rPr>
          <w:fldChar w:fldCharType="end"/>
        </w:r>
      </w:hyperlink>
    </w:p>
    <w:p w14:paraId="6C35C376"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72" w:history="1">
        <w:r w:rsidRPr="00A47D4D">
          <w:rPr>
            <w:rStyle w:val="Lienhypertexte"/>
            <w:noProof/>
          </w:rPr>
          <w:t>Tableau 76. Synthèse des impacts négatifs spécifiques types par phase</w:t>
        </w:r>
        <w:r>
          <w:rPr>
            <w:noProof/>
            <w:webHidden/>
          </w:rPr>
          <w:tab/>
        </w:r>
        <w:r>
          <w:rPr>
            <w:noProof/>
            <w:webHidden/>
          </w:rPr>
          <w:fldChar w:fldCharType="begin"/>
        </w:r>
        <w:r>
          <w:rPr>
            <w:noProof/>
            <w:webHidden/>
          </w:rPr>
          <w:instrText xml:space="preserve"> PAGEREF _Toc127957872 \h </w:instrText>
        </w:r>
        <w:r>
          <w:rPr>
            <w:noProof/>
            <w:webHidden/>
          </w:rPr>
        </w:r>
        <w:r>
          <w:rPr>
            <w:noProof/>
            <w:webHidden/>
          </w:rPr>
          <w:fldChar w:fldCharType="separate"/>
        </w:r>
        <w:r w:rsidR="00B05C7F">
          <w:rPr>
            <w:noProof/>
            <w:webHidden/>
          </w:rPr>
          <w:t>180</w:t>
        </w:r>
        <w:r>
          <w:rPr>
            <w:noProof/>
            <w:webHidden/>
          </w:rPr>
          <w:fldChar w:fldCharType="end"/>
        </w:r>
      </w:hyperlink>
    </w:p>
    <w:p w14:paraId="65987E5A"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73" w:history="1">
        <w:r w:rsidRPr="00A47D4D">
          <w:rPr>
            <w:rStyle w:val="Lienhypertexte"/>
            <w:noProof/>
          </w:rPr>
          <w:t>Tableau 77. Composantes du milieu pouvant être affectés</w:t>
        </w:r>
        <w:r>
          <w:rPr>
            <w:noProof/>
            <w:webHidden/>
          </w:rPr>
          <w:tab/>
        </w:r>
        <w:r>
          <w:rPr>
            <w:noProof/>
            <w:webHidden/>
          </w:rPr>
          <w:fldChar w:fldCharType="begin"/>
        </w:r>
        <w:r>
          <w:rPr>
            <w:noProof/>
            <w:webHidden/>
          </w:rPr>
          <w:instrText xml:space="preserve"> PAGEREF _Toc127957873 \h </w:instrText>
        </w:r>
        <w:r>
          <w:rPr>
            <w:noProof/>
            <w:webHidden/>
          </w:rPr>
        </w:r>
        <w:r>
          <w:rPr>
            <w:noProof/>
            <w:webHidden/>
          </w:rPr>
          <w:fldChar w:fldCharType="separate"/>
        </w:r>
        <w:r w:rsidR="00B05C7F">
          <w:rPr>
            <w:noProof/>
            <w:webHidden/>
          </w:rPr>
          <w:t>184</w:t>
        </w:r>
        <w:r>
          <w:rPr>
            <w:noProof/>
            <w:webHidden/>
          </w:rPr>
          <w:fldChar w:fldCharType="end"/>
        </w:r>
      </w:hyperlink>
    </w:p>
    <w:p w14:paraId="26341F89"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74" w:history="1">
        <w:r w:rsidRPr="00A47D4D">
          <w:rPr>
            <w:rStyle w:val="Lienhypertexte"/>
            <w:noProof/>
          </w:rPr>
          <w:t>Tableau 78. Liste des Projets considérés pour l’analyse des impacts cumulatifs</w:t>
        </w:r>
        <w:r>
          <w:rPr>
            <w:noProof/>
            <w:webHidden/>
          </w:rPr>
          <w:tab/>
        </w:r>
        <w:r>
          <w:rPr>
            <w:noProof/>
            <w:webHidden/>
          </w:rPr>
          <w:fldChar w:fldCharType="begin"/>
        </w:r>
        <w:r>
          <w:rPr>
            <w:noProof/>
            <w:webHidden/>
          </w:rPr>
          <w:instrText xml:space="preserve"> PAGEREF _Toc127957874 \h </w:instrText>
        </w:r>
        <w:r>
          <w:rPr>
            <w:noProof/>
            <w:webHidden/>
          </w:rPr>
        </w:r>
        <w:r>
          <w:rPr>
            <w:noProof/>
            <w:webHidden/>
          </w:rPr>
          <w:fldChar w:fldCharType="separate"/>
        </w:r>
        <w:r w:rsidR="00B05C7F">
          <w:rPr>
            <w:noProof/>
            <w:webHidden/>
          </w:rPr>
          <w:t>185</w:t>
        </w:r>
        <w:r>
          <w:rPr>
            <w:noProof/>
            <w:webHidden/>
          </w:rPr>
          <w:fldChar w:fldCharType="end"/>
        </w:r>
      </w:hyperlink>
    </w:p>
    <w:p w14:paraId="38AA8045"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75" w:history="1">
        <w:r w:rsidRPr="00A47D4D">
          <w:rPr>
            <w:rStyle w:val="Lienhypertexte"/>
            <w:noProof/>
          </w:rPr>
          <w:t>Tableau 79. Matrice des impacts cumulatifs</w:t>
        </w:r>
        <w:r>
          <w:rPr>
            <w:noProof/>
            <w:webHidden/>
          </w:rPr>
          <w:tab/>
        </w:r>
        <w:r>
          <w:rPr>
            <w:noProof/>
            <w:webHidden/>
          </w:rPr>
          <w:fldChar w:fldCharType="begin"/>
        </w:r>
        <w:r>
          <w:rPr>
            <w:noProof/>
            <w:webHidden/>
          </w:rPr>
          <w:instrText xml:space="preserve"> PAGEREF _Toc127957875 \h </w:instrText>
        </w:r>
        <w:r>
          <w:rPr>
            <w:noProof/>
            <w:webHidden/>
          </w:rPr>
        </w:r>
        <w:r>
          <w:rPr>
            <w:noProof/>
            <w:webHidden/>
          </w:rPr>
          <w:fldChar w:fldCharType="separate"/>
        </w:r>
        <w:r w:rsidR="00B05C7F">
          <w:rPr>
            <w:noProof/>
            <w:webHidden/>
          </w:rPr>
          <w:t>186</w:t>
        </w:r>
        <w:r>
          <w:rPr>
            <w:noProof/>
            <w:webHidden/>
          </w:rPr>
          <w:fldChar w:fldCharType="end"/>
        </w:r>
      </w:hyperlink>
    </w:p>
    <w:p w14:paraId="0007A512"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76" w:history="1">
        <w:r w:rsidRPr="00A47D4D">
          <w:rPr>
            <w:rStyle w:val="Lienhypertexte"/>
            <w:noProof/>
          </w:rPr>
          <w:t>Tableau 80. Mesures de bonification des impacts positifs</w:t>
        </w:r>
        <w:r>
          <w:rPr>
            <w:noProof/>
            <w:webHidden/>
          </w:rPr>
          <w:tab/>
        </w:r>
        <w:r>
          <w:rPr>
            <w:noProof/>
            <w:webHidden/>
          </w:rPr>
          <w:fldChar w:fldCharType="begin"/>
        </w:r>
        <w:r>
          <w:rPr>
            <w:noProof/>
            <w:webHidden/>
          </w:rPr>
          <w:instrText xml:space="preserve"> PAGEREF _Toc127957876 \h </w:instrText>
        </w:r>
        <w:r>
          <w:rPr>
            <w:noProof/>
            <w:webHidden/>
          </w:rPr>
        </w:r>
        <w:r>
          <w:rPr>
            <w:noProof/>
            <w:webHidden/>
          </w:rPr>
          <w:fldChar w:fldCharType="separate"/>
        </w:r>
        <w:r w:rsidR="00B05C7F">
          <w:rPr>
            <w:noProof/>
            <w:webHidden/>
          </w:rPr>
          <w:t>189</w:t>
        </w:r>
        <w:r>
          <w:rPr>
            <w:noProof/>
            <w:webHidden/>
          </w:rPr>
          <w:fldChar w:fldCharType="end"/>
        </w:r>
      </w:hyperlink>
    </w:p>
    <w:p w14:paraId="40545A63"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77" w:history="1">
        <w:r w:rsidRPr="00A47D4D">
          <w:rPr>
            <w:rStyle w:val="Lienhypertexte"/>
            <w:noProof/>
          </w:rPr>
          <w:t>Tableau 81. Mesures d'évitement / atténuation des impacts négatifs potentiels et importance des impacts résiduels</w:t>
        </w:r>
        <w:r>
          <w:rPr>
            <w:noProof/>
            <w:webHidden/>
          </w:rPr>
          <w:tab/>
        </w:r>
        <w:r>
          <w:rPr>
            <w:noProof/>
            <w:webHidden/>
          </w:rPr>
          <w:fldChar w:fldCharType="begin"/>
        </w:r>
        <w:r>
          <w:rPr>
            <w:noProof/>
            <w:webHidden/>
          </w:rPr>
          <w:instrText xml:space="preserve"> PAGEREF _Toc127957877 \h </w:instrText>
        </w:r>
        <w:r>
          <w:rPr>
            <w:noProof/>
            <w:webHidden/>
          </w:rPr>
        </w:r>
        <w:r>
          <w:rPr>
            <w:noProof/>
            <w:webHidden/>
          </w:rPr>
          <w:fldChar w:fldCharType="separate"/>
        </w:r>
        <w:r w:rsidR="00B05C7F">
          <w:rPr>
            <w:noProof/>
            <w:webHidden/>
          </w:rPr>
          <w:t>190</w:t>
        </w:r>
        <w:r>
          <w:rPr>
            <w:noProof/>
            <w:webHidden/>
          </w:rPr>
          <w:fldChar w:fldCharType="end"/>
        </w:r>
      </w:hyperlink>
    </w:p>
    <w:p w14:paraId="7F1C604E"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78" w:history="1">
        <w:r w:rsidRPr="00A47D4D">
          <w:rPr>
            <w:rStyle w:val="Lienhypertexte"/>
            <w:noProof/>
          </w:rPr>
          <w:t>Tableau 82. Information sur les réunions d’information dans les Régions concernant le Projet DECIM</w:t>
        </w:r>
        <w:r>
          <w:rPr>
            <w:noProof/>
            <w:webHidden/>
          </w:rPr>
          <w:tab/>
        </w:r>
        <w:r>
          <w:rPr>
            <w:noProof/>
            <w:webHidden/>
          </w:rPr>
          <w:fldChar w:fldCharType="begin"/>
        </w:r>
        <w:r>
          <w:rPr>
            <w:noProof/>
            <w:webHidden/>
          </w:rPr>
          <w:instrText xml:space="preserve"> PAGEREF _Toc127957878 \h </w:instrText>
        </w:r>
        <w:r>
          <w:rPr>
            <w:noProof/>
            <w:webHidden/>
          </w:rPr>
        </w:r>
        <w:r>
          <w:rPr>
            <w:noProof/>
            <w:webHidden/>
          </w:rPr>
          <w:fldChar w:fldCharType="separate"/>
        </w:r>
        <w:r w:rsidR="00B05C7F">
          <w:rPr>
            <w:noProof/>
            <w:webHidden/>
          </w:rPr>
          <w:t>196</w:t>
        </w:r>
        <w:r>
          <w:rPr>
            <w:noProof/>
            <w:webHidden/>
          </w:rPr>
          <w:fldChar w:fldCharType="end"/>
        </w:r>
      </w:hyperlink>
    </w:p>
    <w:p w14:paraId="7EA77DBA"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79" w:history="1">
        <w:r w:rsidRPr="00A47D4D">
          <w:rPr>
            <w:rStyle w:val="Lienhypertexte"/>
            <w:noProof/>
          </w:rPr>
          <w:t>Tableau 83. Récapitulatif des préoccupations des parties prenantes du Projet DECIM</w:t>
        </w:r>
        <w:r>
          <w:rPr>
            <w:noProof/>
            <w:webHidden/>
          </w:rPr>
          <w:tab/>
        </w:r>
        <w:r>
          <w:rPr>
            <w:noProof/>
            <w:webHidden/>
          </w:rPr>
          <w:fldChar w:fldCharType="begin"/>
        </w:r>
        <w:r>
          <w:rPr>
            <w:noProof/>
            <w:webHidden/>
          </w:rPr>
          <w:instrText xml:space="preserve"> PAGEREF _Toc127957879 \h </w:instrText>
        </w:r>
        <w:r>
          <w:rPr>
            <w:noProof/>
            <w:webHidden/>
          </w:rPr>
        </w:r>
        <w:r>
          <w:rPr>
            <w:noProof/>
            <w:webHidden/>
          </w:rPr>
          <w:fldChar w:fldCharType="separate"/>
        </w:r>
        <w:r w:rsidR="00B05C7F">
          <w:rPr>
            <w:noProof/>
            <w:webHidden/>
          </w:rPr>
          <w:t>198</w:t>
        </w:r>
        <w:r>
          <w:rPr>
            <w:noProof/>
            <w:webHidden/>
          </w:rPr>
          <w:fldChar w:fldCharType="end"/>
        </w:r>
      </w:hyperlink>
    </w:p>
    <w:p w14:paraId="7A8F5043"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80" w:history="1">
        <w:r w:rsidRPr="00A47D4D">
          <w:rPr>
            <w:rStyle w:val="Lienhypertexte"/>
            <w:noProof/>
          </w:rPr>
          <w:t>Tableau 84. Information sur la consultation des notables dans les sites visités</w:t>
        </w:r>
        <w:r>
          <w:rPr>
            <w:noProof/>
            <w:webHidden/>
          </w:rPr>
          <w:tab/>
        </w:r>
        <w:r>
          <w:rPr>
            <w:noProof/>
            <w:webHidden/>
          </w:rPr>
          <w:fldChar w:fldCharType="begin"/>
        </w:r>
        <w:r>
          <w:rPr>
            <w:noProof/>
            <w:webHidden/>
          </w:rPr>
          <w:instrText xml:space="preserve"> PAGEREF _Toc127957880 \h </w:instrText>
        </w:r>
        <w:r>
          <w:rPr>
            <w:noProof/>
            <w:webHidden/>
          </w:rPr>
        </w:r>
        <w:r>
          <w:rPr>
            <w:noProof/>
            <w:webHidden/>
          </w:rPr>
          <w:fldChar w:fldCharType="separate"/>
        </w:r>
        <w:r w:rsidR="00B05C7F">
          <w:rPr>
            <w:noProof/>
            <w:webHidden/>
          </w:rPr>
          <w:t>201</w:t>
        </w:r>
        <w:r>
          <w:rPr>
            <w:noProof/>
            <w:webHidden/>
          </w:rPr>
          <w:fldChar w:fldCharType="end"/>
        </w:r>
      </w:hyperlink>
    </w:p>
    <w:p w14:paraId="670718BE"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81" w:history="1">
        <w:r w:rsidRPr="00A47D4D">
          <w:rPr>
            <w:rStyle w:val="Lienhypertexte"/>
            <w:noProof/>
          </w:rPr>
          <w:t>Tableau 85. Préoccupations et suggestions des notables sur la mise en œuvre du Projet DECIM</w:t>
        </w:r>
        <w:r>
          <w:rPr>
            <w:noProof/>
            <w:webHidden/>
          </w:rPr>
          <w:tab/>
        </w:r>
        <w:r>
          <w:rPr>
            <w:noProof/>
            <w:webHidden/>
          </w:rPr>
          <w:fldChar w:fldCharType="begin"/>
        </w:r>
        <w:r>
          <w:rPr>
            <w:noProof/>
            <w:webHidden/>
          </w:rPr>
          <w:instrText xml:space="preserve"> PAGEREF _Toc127957881 \h </w:instrText>
        </w:r>
        <w:r>
          <w:rPr>
            <w:noProof/>
            <w:webHidden/>
          </w:rPr>
        </w:r>
        <w:r>
          <w:rPr>
            <w:noProof/>
            <w:webHidden/>
          </w:rPr>
          <w:fldChar w:fldCharType="separate"/>
        </w:r>
        <w:r w:rsidR="00B05C7F">
          <w:rPr>
            <w:noProof/>
            <w:webHidden/>
          </w:rPr>
          <w:t>202</w:t>
        </w:r>
        <w:r>
          <w:rPr>
            <w:noProof/>
            <w:webHidden/>
          </w:rPr>
          <w:fldChar w:fldCharType="end"/>
        </w:r>
      </w:hyperlink>
    </w:p>
    <w:p w14:paraId="164D1B59"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82" w:history="1">
        <w:r w:rsidRPr="00A47D4D">
          <w:rPr>
            <w:rStyle w:val="Lienhypertexte"/>
            <w:noProof/>
          </w:rPr>
          <w:t>Tableau 86. Information sur les consultations des groupes de femmes</w:t>
        </w:r>
        <w:r>
          <w:rPr>
            <w:noProof/>
            <w:webHidden/>
          </w:rPr>
          <w:tab/>
        </w:r>
        <w:r>
          <w:rPr>
            <w:noProof/>
            <w:webHidden/>
          </w:rPr>
          <w:fldChar w:fldCharType="begin"/>
        </w:r>
        <w:r>
          <w:rPr>
            <w:noProof/>
            <w:webHidden/>
          </w:rPr>
          <w:instrText xml:space="preserve"> PAGEREF _Toc127957882 \h </w:instrText>
        </w:r>
        <w:r>
          <w:rPr>
            <w:noProof/>
            <w:webHidden/>
          </w:rPr>
        </w:r>
        <w:r>
          <w:rPr>
            <w:noProof/>
            <w:webHidden/>
          </w:rPr>
          <w:fldChar w:fldCharType="separate"/>
        </w:r>
        <w:r w:rsidR="00B05C7F">
          <w:rPr>
            <w:noProof/>
            <w:webHidden/>
          </w:rPr>
          <w:t>203</w:t>
        </w:r>
        <w:r>
          <w:rPr>
            <w:noProof/>
            <w:webHidden/>
          </w:rPr>
          <w:fldChar w:fldCharType="end"/>
        </w:r>
      </w:hyperlink>
    </w:p>
    <w:p w14:paraId="271EF582"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83" w:history="1">
        <w:r w:rsidRPr="00A47D4D">
          <w:rPr>
            <w:rStyle w:val="Lienhypertexte"/>
            <w:noProof/>
          </w:rPr>
          <w:t>Tableau 87. Préoccupations et Suggestions des femmes sur la mise en œuvre du Projet DECIM</w:t>
        </w:r>
        <w:r>
          <w:rPr>
            <w:noProof/>
            <w:webHidden/>
          </w:rPr>
          <w:tab/>
        </w:r>
        <w:r>
          <w:rPr>
            <w:noProof/>
            <w:webHidden/>
          </w:rPr>
          <w:fldChar w:fldCharType="begin"/>
        </w:r>
        <w:r>
          <w:rPr>
            <w:noProof/>
            <w:webHidden/>
          </w:rPr>
          <w:instrText xml:space="preserve"> PAGEREF _Toc127957883 \h </w:instrText>
        </w:r>
        <w:r>
          <w:rPr>
            <w:noProof/>
            <w:webHidden/>
          </w:rPr>
        </w:r>
        <w:r>
          <w:rPr>
            <w:noProof/>
            <w:webHidden/>
          </w:rPr>
          <w:fldChar w:fldCharType="separate"/>
        </w:r>
        <w:r w:rsidR="00B05C7F">
          <w:rPr>
            <w:noProof/>
            <w:webHidden/>
          </w:rPr>
          <w:t>204</w:t>
        </w:r>
        <w:r>
          <w:rPr>
            <w:noProof/>
            <w:webHidden/>
          </w:rPr>
          <w:fldChar w:fldCharType="end"/>
        </w:r>
      </w:hyperlink>
    </w:p>
    <w:p w14:paraId="69BD3D56"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84" w:history="1">
        <w:r w:rsidRPr="00A47D4D">
          <w:rPr>
            <w:rStyle w:val="Lienhypertexte"/>
            <w:noProof/>
          </w:rPr>
          <w:t>Tableau 88. Consultation des jeunes organisées dans sites visités</w:t>
        </w:r>
        <w:r>
          <w:rPr>
            <w:noProof/>
            <w:webHidden/>
          </w:rPr>
          <w:tab/>
        </w:r>
        <w:r>
          <w:rPr>
            <w:noProof/>
            <w:webHidden/>
          </w:rPr>
          <w:fldChar w:fldCharType="begin"/>
        </w:r>
        <w:r>
          <w:rPr>
            <w:noProof/>
            <w:webHidden/>
          </w:rPr>
          <w:instrText xml:space="preserve"> PAGEREF _Toc127957884 \h </w:instrText>
        </w:r>
        <w:r>
          <w:rPr>
            <w:noProof/>
            <w:webHidden/>
          </w:rPr>
        </w:r>
        <w:r>
          <w:rPr>
            <w:noProof/>
            <w:webHidden/>
          </w:rPr>
          <w:fldChar w:fldCharType="separate"/>
        </w:r>
        <w:r w:rsidR="00B05C7F">
          <w:rPr>
            <w:noProof/>
            <w:webHidden/>
          </w:rPr>
          <w:t>205</w:t>
        </w:r>
        <w:r>
          <w:rPr>
            <w:noProof/>
            <w:webHidden/>
          </w:rPr>
          <w:fldChar w:fldCharType="end"/>
        </w:r>
      </w:hyperlink>
    </w:p>
    <w:p w14:paraId="1BE70687"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85" w:history="1">
        <w:r w:rsidRPr="00A47D4D">
          <w:rPr>
            <w:rStyle w:val="Lienhypertexte"/>
            <w:noProof/>
          </w:rPr>
          <w:t>Tableau 89. Préoccupation et suggestion des jeunes concernant la mise en œuvre du Projet DECIM</w:t>
        </w:r>
        <w:r>
          <w:rPr>
            <w:noProof/>
            <w:webHidden/>
          </w:rPr>
          <w:tab/>
        </w:r>
        <w:r>
          <w:rPr>
            <w:noProof/>
            <w:webHidden/>
          </w:rPr>
          <w:fldChar w:fldCharType="begin"/>
        </w:r>
        <w:r>
          <w:rPr>
            <w:noProof/>
            <w:webHidden/>
          </w:rPr>
          <w:instrText xml:space="preserve"> PAGEREF _Toc127957885 \h </w:instrText>
        </w:r>
        <w:r>
          <w:rPr>
            <w:noProof/>
            <w:webHidden/>
          </w:rPr>
        </w:r>
        <w:r>
          <w:rPr>
            <w:noProof/>
            <w:webHidden/>
          </w:rPr>
          <w:fldChar w:fldCharType="separate"/>
        </w:r>
        <w:r w:rsidR="00B05C7F">
          <w:rPr>
            <w:noProof/>
            <w:webHidden/>
          </w:rPr>
          <w:t>205</w:t>
        </w:r>
        <w:r>
          <w:rPr>
            <w:noProof/>
            <w:webHidden/>
          </w:rPr>
          <w:fldChar w:fldCharType="end"/>
        </w:r>
      </w:hyperlink>
    </w:p>
    <w:p w14:paraId="08F22D4E"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86" w:history="1">
        <w:r w:rsidRPr="00A47D4D">
          <w:rPr>
            <w:rStyle w:val="Lienhypertexte"/>
            <w:noProof/>
          </w:rPr>
          <w:t>Tableau 90. Consultations publiques effectuées dans les Régions visitées</w:t>
        </w:r>
        <w:r>
          <w:rPr>
            <w:noProof/>
            <w:webHidden/>
          </w:rPr>
          <w:tab/>
        </w:r>
        <w:r>
          <w:rPr>
            <w:noProof/>
            <w:webHidden/>
          </w:rPr>
          <w:fldChar w:fldCharType="begin"/>
        </w:r>
        <w:r>
          <w:rPr>
            <w:noProof/>
            <w:webHidden/>
          </w:rPr>
          <w:instrText xml:space="preserve"> PAGEREF _Toc127957886 \h </w:instrText>
        </w:r>
        <w:r>
          <w:rPr>
            <w:noProof/>
            <w:webHidden/>
          </w:rPr>
        </w:r>
        <w:r>
          <w:rPr>
            <w:noProof/>
            <w:webHidden/>
          </w:rPr>
          <w:fldChar w:fldCharType="separate"/>
        </w:r>
        <w:r w:rsidR="00B05C7F">
          <w:rPr>
            <w:noProof/>
            <w:webHidden/>
          </w:rPr>
          <w:t>207</w:t>
        </w:r>
        <w:r>
          <w:rPr>
            <w:noProof/>
            <w:webHidden/>
          </w:rPr>
          <w:fldChar w:fldCharType="end"/>
        </w:r>
      </w:hyperlink>
    </w:p>
    <w:p w14:paraId="4DC0CF05"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87" w:history="1">
        <w:r w:rsidRPr="00A47D4D">
          <w:rPr>
            <w:rStyle w:val="Lienhypertexte"/>
            <w:noProof/>
          </w:rPr>
          <w:t>Tableau 91. Préoccupation et suggestion de la population locale lors des consultations publiques</w:t>
        </w:r>
        <w:r>
          <w:rPr>
            <w:noProof/>
            <w:webHidden/>
          </w:rPr>
          <w:tab/>
        </w:r>
        <w:r>
          <w:rPr>
            <w:noProof/>
            <w:webHidden/>
          </w:rPr>
          <w:fldChar w:fldCharType="begin"/>
        </w:r>
        <w:r>
          <w:rPr>
            <w:noProof/>
            <w:webHidden/>
          </w:rPr>
          <w:instrText xml:space="preserve"> PAGEREF _Toc127957887 \h </w:instrText>
        </w:r>
        <w:r>
          <w:rPr>
            <w:noProof/>
            <w:webHidden/>
          </w:rPr>
        </w:r>
        <w:r>
          <w:rPr>
            <w:noProof/>
            <w:webHidden/>
          </w:rPr>
          <w:fldChar w:fldCharType="separate"/>
        </w:r>
        <w:r w:rsidR="00B05C7F">
          <w:rPr>
            <w:noProof/>
            <w:webHidden/>
          </w:rPr>
          <w:t>207</w:t>
        </w:r>
        <w:r>
          <w:rPr>
            <w:noProof/>
            <w:webHidden/>
          </w:rPr>
          <w:fldChar w:fldCharType="end"/>
        </w:r>
      </w:hyperlink>
    </w:p>
    <w:p w14:paraId="78D2C9CE"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88" w:history="1">
        <w:r w:rsidRPr="00A47D4D">
          <w:rPr>
            <w:rStyle w:val="Lienhypertexte"/>
            <w:noProof/>
          </w:rPr>
          <w:t>Tableau 92. Responsabilités des acteurs dans le cadre de la Gestion environnementale et sociale du Projet DECIM</w:t>
        </w:r>
        <w:r>
          <w:rPr>
            <w:noProof/>
            <w:webHidden/>
          </w:rPr>
          <w:tab/>
        </w:r>
        <w:r>
          <w:rPr>
            <w:noProof/>
            <w:webHidden/>
          </w:rPr>
          <w:fldChar w:fldCharType="begin"/>
        </w:r>
        <w:r>
          <w:rPr>
            <w:noProof/>
            <w:webHidden/>
          </w:rPr>
          <w:instrText xml:space="preserve"> PAGEREF _Toc127957888 \h </w:instrText>
        </w:r>
        <w:r>
          <w:rPr>
            <w:noProof/>
            <w:webHidden/>
          </w:rPr>
        </w:r>
        <w:r>
          <w:rPr>
            <w:noProof/>
            <w:webHidden/>
          </w:rPr>
          <w:fldChar w:fldCharType="separate"/>
        </w:r>
        <w:r w:rsidR="00B05C7F">
          <w:rPr>
            <w:noProof/>
            <w:webHidden/>
          </w:rPr>
          <w:t>215</w:t>
        </w:r>
        <w:r>
          <w:rPr>
            <w:noProof/>
            <w:webHidden/>
          </w:rPr>
          <w:fldChar w:fldCharType="end"/>
        </w:r>
      </w:hyperlink>
    </w:p>
    <w:p w14:paraId="4994DF9E"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89" w:history="1">
        <w:r w:rsidRPr="00A47D4D">
          <w:rPr>
            <w:rStyle w:val="Lienhypertexte"/>
            <w:noProof/>
          </w:rPr>
          <w:t>Tableau 93. Charte de responsabilité des acteurs dans la mise en œuvre et suivi du CGES</w:t>
        </w:r>
        <w:r>
          <w:rPr>
            <w:noProof/>
            <w:webHidden/>
          </w:rPr>
          <w:tab/>
        </w:r>
        <w:r>
          <w:rPr>
            <w:noProof/>
            <w:webHidden/>
          </w:rPr>
          <w:fldChar w:fldCharType="begin"/>
        </w:r>
        <w:r>
          <w:rPr>
            <w:noProof/>
            <w:webHidden/>
          </w:rPr>
          <w:instrText xml:space="preserve"> PAGEREF _Toc127957889 \h </w:instrText>
        </w:r>
        <w:r>
          <w:rPr>
            <w:noProof/>
            <w:webHidden/>
          </w:rPr>
        </w:r>
        <w:r>
          <w:rPr>
            <w:noProof/>
            <w:webHidden/>
          </w:rPr>
          <w:fldChar w:fldCharType="separate"/>
        </w:r>
        <w:r w:rsidR="00B05C7F">
          <w:rPr>
            <w:noProof/>
            <w:webHidden/>
          </w:rPr>
          <w:t>222</w:t>
        </w:r>
        <w:r>
          <w:rPr>
            <w:noProof/>
            <w:webHidden/>
          </w:rPr>
          <w:fldChar w:fldCharType="end"/>
        </w:r>
      </w:hyperlink>
    </w:p>
    <w:p w14:paraId="6F538CEF"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90" w:history="1">
        <w:r w:rsidRPr="00A47D4D">
          <w:rPr>
            <w:rStyle w:val="Lienhypertexte"/>
            <w:noProof/>
          </w:rPr>
          <w:t>Tableau 94.Thèmes de formation et parties prenantes concernées</w:t>
        </w:r>
        <w:r>
          <w:rPr>
            <w:noProof/>
            <w:webHidden/>
          </w:rPr>
          <w:tab/>
        </w:r>
        <w:r>
          <w:rPr>
            <w:noProof/>
            <w:webHidden/>
          </w:rPr>
          <w:fldChar w:fldCharType="begin"/>
        </w:r>
        <w:r>
          <w:rPr>
            <w:noProof/>
            <w:webHidden/>
          </w:rPr>
          <w:instrText xml:space="preserve"> PAGEREF _Toc127957890 \h </w:instrText>
        </w:r>
        <w:r>
          <w:rPr>
            <w:noProof/>
            <w:webHidden/>
          </w:rPr>
        </w:r>
        <w:r>
          <w:rPr>
            <w:noProof/>
            <w:webHidden/>
          </w:rPr>
          <w:fldChar w:fldCharType="separate"/>
        </w:r>
        <w:r w:rsidR="00B05C7F">
          <w:rPr>
            <w:noProof/>
            <w:webHidden/>
          </w:rPr>
          <w:t>226</w:t>
        </w:r>
        <w:r>
          <w:rPr>
            <w:noProof/>
            <w:webHidden/>
          </w:rPr>
          <w:fldChar w:fldCharType="end"/>
        </w:r>
      </w:hyperlink>
    </w:p>
    <w:p w14:paraId="7352932C"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91" w:history="1">
        <w:r w:rsidRPr="00A47D4D">
          <w:rPr>
            <w:rStyle w:val="Lienhypertexte"/>
            <w:noProof/>
          </w:rPr>
          <w:t>Tableau 95. Surveillance environnementale et sociale</w:t>
        </w:r>
        <w:r>
          <w:rPr>
            <w:noProof/>
            <w:webHidden/>
          </w:rPr>
          <w:tab/>
        </w:r>
        <w:r>
          <w:rPr>
            <w:noProof/>
            <w:webHidden/>
          </w:rPr>
          <w:fldChar w:fldCharType="begin"/>
        </w:r>
        <w:r>
          <w:rPr>
            <w:noProof/>
            <w:webHidden/>
          </w:rPr>
          <w:instrText xml:space="preserve"> PAGEREF _Toc127957891 \h </w:instrText>
        </w:r>
        <w:r>
          <w:rPr>
            <w:noProof/>
            <w:webHidden/>
          </w:rPr>
        </w:r>
        <w:r>
          <w:rPr>
            <w:noProof/>
            <w:webHidden/>
          </w:rPr>
          <w:fldChar w:fldCharType="separate"/>
        </w:r>
        <w:r w:rsidR="00B05C7F">
          <w:rPr>
            <w:noProof/>
            <w:webHidden/>
          </w:rPr>
          <w:t>228</w:t>
        </w:r>
        <w:r>
          <w:rPr>
            <w:noProof/>
            <w:webHidden/>
          </w:rPr>
          <w:fldChar w:fldCharType="end"/>
        </w:r>
      </w:hyperlink>
    </w:p>
    <w:p w14:paraId="41E503FB"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92" w:history="1">
        <w:r w:rsidRPr="00A47D4D">
          <w:rPr>
            <w:rStyle w:val="Lienhypertexte"/>
            <w:noProof/>
          </w:rPr>
          <w:t>Tableau 96. Suivi environnemental et social</w:t>
        </w:r>
        <w:r>
          <w:rPr>
            <w:noProof/>
            <w:webHidden/>
          </w:rPr>
          <w:tab/>
        </w:r>
        <w:r>
          <w:rPr>
            <w:noProof/>
            <w:webHidden/>
          </w:rPr>
          <w:fldChar w:fldCharType="begin"/>
        </w:r>
        <w:r>
          <w:rPr>
            <w:noProof/>
            <w:webHidden/>
          </w:rPr>
          <w:instrText xml:space="preserve"> PAGEREF _Toc127957892 \h </w:instrText>
        </w:r>
        <w:r>
          <w:rPr>
            <w:noProof/>
            <w:webHidden/>
          </w:rPr>
        </w:r>
        <w:r>
          <w:rPr>
            <w:noProof/>
            <w:webHidden/>
          </w:rPr>
          <w:fldChar w:fldCharType="separate"/>
        </w:r>
        <w:r w:rsidR="00B05C7F">
          <w:rPr>
            <w:noProof/>
            <w:webHidden/>
          </w:rPr>
          <w:t>234</w:t>
        </w:r>
        <w:r>
          <w:rPr>
            <w:noProof/>
            <w:webHidden/>
          </w:rPr>
          <w:fldChar w:fldCharType="end"/>
        </w:r>
      </w:hyperlink>
    </w:p>
    <w:p w14:paraId="09D69DE9"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93" w:history="1">
        <w:r w:rsidRPr="00A47D4D">
          <w:rPr>
            <w:rStyle w:val="Lienhypertexte"/>
            <w:noProof/>
          </w:rPr>
          <w:t>Tableau 97 : Structures étatiques acteurs du suivi et composantes environnementales et sociales</w:t>
        </w:r>
        <w:r>
          <w:rPr>
            <w:noProof/>
            <w:webHidden/>
          </w:rPr>
          <w:tab/>
        </w:r>
        <w:r>
          <w:rPr>
            <w:noProof/>
            <w:webHidden/>
          </w:rPr>
          <w:fldChar w:fldCharType="begin"/>
        </w:r>
        <w:r>
          <w:rPr>
            <w:noProof/>
            <w:webHidden/>
          </w:rPr>
          <w:instrText xml:space="preserve"> PAGEREF _Toc127957893 \h </w:instrText>
        </w:r>
        <w:r>
          <w:rPr>
            <w:noProof/>
            <w:webHidden/>
          </w:rPr>
        </w:r>
        <w:r>
          <w:rPr>
            <w:noProof/>
            <w:webHidden/>
          </w:rPr>
          <w:fldChar w:fldCharType="separate"/>
        </w:r>
        <w:r w:rsidR="00B05C7F">
          <w:rPr>
            <w:noProof/>
            <w:webHidden/>
          </w:rPr>
          <w:t>242</w:t>
        </w:r>
        <w:r>
          <w:rPr>
            <w:noProof/>
            <w:webHidden/>
          </w:rPr>
          <w:fldChar w:fldCharType="end"/>
        </w:r>
      </w:hyperlink>
    </w:p>
    <w:p w14:paraId="0974B270"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94" w:history="1">
        <w:r w:rsidRPr="00A47D4D">
          <w:rPr>
            <w:rStyle w:val="Lienhypertexte"/>
            <w:noProof/>
          </w:rPr>
          <w:t>Tableau 98. Estimation du coût de mise en œuvre du CGES</w:t>
        </w:r>
        <w:r>
          <w:rPr>
            <w:noProof/>
            <w:webHidden/>
          </w:rPr>
          <w:tab/>
        </w:r>
        <w:r>
          <w:rPr>
            <w:noProof/>
            <w:webHidden/>
          </w:rPr>
          <w:fldChar w:fldCharType="begin"/>
        </w:r>
        <w:r>
          <w:rPr>
            <w:noProof/>
            <w:webHidden/>
          </w:rPr>
          <w:instrText xml:space="preserve"> PAGEREF _Toc127957894 \h </w:instrText>
        </w:r>
        <w:r>
          <w:rPr>
            <w:noProof/>
            <w:webHidden/>
          </w:rPr>
        </w:r>
        <w:r>
          <w:rPr>
            <w:noProof/>
            <w:webHidden/>
          </w:rPr>
          <w:fldChar w:fldCharType="separate"/>
        </w:r>
        <w:r w:rsidR="00B05C7F">
          <w:rPr>
            <w:noProof/>
            <w:webHidden/>
          </w:rPr>
          <w:t>243</w:t>
        </w:r>
        <w:r>
          <w:rPr>
            <w:noProof/>
            <w:webHidden/>
          </w:rPr>
          <w:fldChar w:fldCharType="end"/>
        </w:r>
      </w:hyperlink>
    </w:p>
    <w:p w14:paraId="5CEE2E67"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95" w:history="1">
        <w:r w:rsidRPr="00A47D4D">
          <w:rPr>
            <w:rStyle w:val="Lienhypertexte"/>
            <w:noProof/>
          </w:rPr>
          <w:t>Tableau 99. Récapitulatif des méthodes de mobilisation appropriées pour chaque catégorie de parties prenantes</w:t>
        </w:r>
        <w:r>
          <w:rPr>
            <w:noProof/>
            <w:webHidden/>
          </w:rPr>
          <w:tab/>
        </w:r>
        <w:r>
          <w:rPr>
            <w:noProof/>
            <w:webHidden/>
          </w:rPr>
          <w:fldChar w:fldCharType="begin"/>
        </w:r>
        <w:r>
          <w:rPr>
            <w:noProof/>
            <w:webHidden/>
          </w:rPr>
          <w:instrText xml:space="preserve"> PAGEREF _Toc127957895 \h </w:instrText>
        </w:r>
        <w:r>
          <w:rPr>
            <w:noProof/>
            <w:webHidden/>
          </w:rPr>
        </w:r>
        <w:r>
          <w:rPr>
            <w:noProof/>
            <w:webHidden/>
          </w:rPr>
          <w:fldChar w:fldCharType="separate"/>
        </w:r>
        <w:r w:rsidR="00B05C7F">
          <w:rPr>
            <w:noProof/>
            <w:webHidden/>
          </w:rPr>
          <w:t>247</w:t>
        </w:r>
        <w:r>
          <w:rPr>
            <w:noProof/>
            <w:webHidden/>
          </w:rPr>
          <w:fldChar w:fldCharType="end"/>
        </w:r>
      </w:hyperlink>
    </w:p>
    <w:p w14:paraId="38771CB4"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96" w:history="1">
        <w:r w:rsidRPr="00A47D4D">
          <w:rPr>
            <w:rStyle w:val="Lienhypertexte"/>
            <w:noProof/>
          </w:rPr>
          <w:t>Tableau 100. Niveaux et processus de traitement de plaintes</w:t>
        </w:r>
        <w:r>
          <w:rPr>
            <w:noProof/>
            <w:webHidden/>
          </w:rPr>
          <w:tab/>
        </w:r>
        <w:r>
          <w:rPr>
            <w:noProof/>
            <w:webHidden/>
          </w:rPr>
          <w:fldChar w:fldCharType="begin"/>
        </w:r>
        <w:r>
          <w:rPr>
            <w:noProof/>
            <w:webHidden/>
          </w:rPr>
          <w:instrText xml:space="preserve"> PAGEREF _Toc127957896 \h </w:instrText>
        </w:r>
        <w:r>
          <w:rPr>
            <w:noProof/>
            <w:webHidden/>
          </w:rPr>
        </w:r>
        <w:r>
          <w:rPr>
            <w:noProof/>
            <w:webHidden/>
          </w:rPr>
          <w:fldChar w:fldCharType="separate"/>
        </w:r>
        <w:r w:rsidR="00B05C7F">
          <w:rPr>
            <w:noProof/>
            <w:webHidden/>
          </w:rPr>
          <w:t>258</w:t>
        </w:r>
        <w:r>
          <w:rPr>
            <w:noProof/>
            <w:webHidden/>
          </w:rPr>
          <w:fldChar w:fldCharType="end"/>
        </w:r>
      </w:hyperlink>
    </w:p>
    <w:p w14:paraId="4C9505D3"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97" w:history="1">
        <w:r w:rsidRPr="00A47D4D">
          <w:rPr>
            <w:rStyle w:val="Lienhypertexte"/>
            <w:noProof/>
          </w:rPr>
          <w:t>Tableau 101 : Indicateurs liés à la violence physique au niveau des Régions</w:t>
        </w:r>
        <w:r>
          <w:rPr>
            <w:noProof/>
            <w:webHidden/>
          </w:rPr>
          <w:tab/>
        </w:r>
        <w:r>
          <w:rPr>
            <w:noProof/>
            <w:webHidden/>
          </w:rPr>
          <w:fldChar w:fldCharType="begin"/>
        </w:r>
        <w:r>
          <w:rPr>
            <w:noProof/>
            <w:webHidden/>
          </w:rPr>
          <w:instrText xml:space="preserve"> PAGEREF _Toc127957897 \h </w:instrText>
        </w:r>
        <w:r>
          <w:rPr>
            <w:noProof/>
            <w:webHidden/>
          </w:rPr>
        </w:r>
        <w:r>
          <w:rPr>
            <w:noProof/>
            <w:webHidden/>
          </w:rPr>
          <w:fldChar w:fldCharType="separate"/>
        </w:r>
        <w:r w:rsidR="00B05C7F">
          <w:rPr>
            <w:noProof/>
            <w:webHidden/>
          </w:rPr>
          <w:t>11</w:t>
        </w:r>
        <w:r>
          <w:rPr>
            <w:noProof/>
            <w:webHidden/>
          </w:rPr>
          <w:fldChar w:fldCharType="end"/>
        </w:r>
      </w:hyperlink>
    </w:p>
    <w:p w14:paraId="0C0D40BA"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98" w:history="1">
        <w:r w:rsidRPr="00A47D4D">
          <w:rPr>
            <w:rStyle w:val="Lienhypertexte"/>
            <w:noProof/>
          </w:rPr>
          <w:t>Tableau 102 : Indicateurs liés à la violence sexuelle au niveau des Régions</w:t>
        </w:r>
        <w:r>
          <w:rPr>
            <w:noProof/>
            <w:webHidden/>
          </w:rPr>
          <w:tab/>
        </w:r>
        <w:r>
          <w:rPr>
            <w:noProof/>
            <w:webHidden/>
          </w:rPr>
          <w:fldChar w:fldCharType="begin"/>
        </w:r>
        <w:r>
          <w:rPr>
            <w:noProof/>
            <w:webHidden/>
          </w:rPr>
          <w:instrText xml:space="preserve"> PAGEREF _Toc127957898 \h </w:instrText>
        </w:r>
        <w:r>
          <w:rPr>
            <w:noProof/>
            <w:webHidden/>
          </w:rPr>
        </w:r>
        <w:r>
          <w:rPr>
            <w:noProof/>
            <w:webHidden/>
          </w:rPr>
          <w:fldChar w:fldCharType="separate"/>
        </w:r>
        <w:r w:rsidR="00B05C7F">
          <w:rPr>
            <w:noProof/>
            <w:webHidden/>
          </w:rPr>
          <w:t>13</w:t>
        </w:r>
        <w:r>
          <w:rPr>
            <w:noProof/>
            <w:webHidden/>
          </w:rPr>
          <w:fldChar w:fldCharType="end"/>
        </w:r>
      </w:hyperlink>
    </w:p>
    <w:p w14:paraId="7378E793"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899" w:history="1">
        <w:r w:rsidRPr="00A47D4D">
          <w:rPr>
            <w:rStyle w:val="Lienhypertexte"/>
            <w:noProof/>
          </w:rPr>
          <w:t>Tableau 103 : Indicateurs liés à la violence conjugale selon leurs caractéristiques au niveau national</w:t>
        </w:r>
        <w:r>
          <w:rPr>
            <w:noProof/>
            <w:webHidden/>
          </w:rPr>
          <w:tab/>
        </w:r>
        <w:r>
          <w:rPr>
            <w:noProof/>
            <w:webHidden/>
          </w:rPr>
          <w:fldChar w:fldCharType="begin"/>
        </w:r>
        <w:r>
          <w:rPr>
            <w:noProof/>
            <w:webHidden/>
          </w:rPr>
          <w:instrText xml:space="preserve"> PAGEREF _Toc127957899 \h </w:instrText>
        </w:r>
        <w:r>
          <w:rPr>
            <w:noProof/>
            <w:webHidden/>
          </w:rPr>
        </w:r>
        <w:r>
          <w:rPr>
            <w:noProof/>
            <w:webHidden/>
          </w:rPr>
          <w:fldChar w:fldCharType="separate"/>
        </w:r>
        <w:r w:rsidR="00B05C7F">
          <w:rPr>
            <w:noProof/>
            <w:webHidden/>
          </w:rPr>
          <w:t>14</w:t>
        </w:r>
        <w:r>
          <w:rPr>
            <w:noProof/>
            <w:webHidden/>
          </w:rPr>
          <w:fldChar w:fldCharType="end"/>
        </w:r>
      </w:hyperlink>
    </w:p>
    <w:p w14:paraId="0058E19A"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900" w:history="1">
        <w:r w:rsidRPr="00A47D4D">
          <w:rPr>
            <w:rStyle w:val="Lienhypertexte"/>
            <w:noProof/>
          </w:rPr>
          <w:t>Tableau 104 : Nombre de Cas de VBG enregistrés au niveau de la Région Fitovinany</w:t>
        </w:r>
        <w:r>
          <w:rPr>
            <w:noProof/>
            <w:webHidden/>
          </w:rPr>
          <w:tab/>
        </w:r>
        <w:r>
          <w:rPr>
            <w:noProof/>
            <w:webHidden/>
          </w:rPr>
          <w:fldChar w:fldCharType="begin"/>
        </w:r>
        <w:r>
          <w:rPr>
            <w:noProof/>
            <w:webHidden/>
          </w:rPr>
          <w:instrText xml:space="preserve"> PAGEREF _Toc127957900 \h </w:instrText>
        </w:r>
        <w:r>
          <w:rPr>
            <w:noProof/>
            <w:webHidden/>
          </w:rPr>
        </w:r>
        <w:r>
          <w:rPr>
            <w:noProof/>
            <w:webHidden/>
          </w:rPr>
          <w:fldChar w:fldCharType="separate"/>
        </w:r>
        <w:r w:rsidR="00B05C7F">
          <w:rPr>
            <w:noProof/>
            <w:webHidden/>
          </w:rPr>
          <w:t>14</w:t>
        </w:r>
        <w:r>
          <w:rPr>
            <w:noProof/>
            <w:webHidden/>
          </w:rPr>
          <w:fldChar w:fldCharType="end"/>
        </w:r>
      </w:hyperlink>
    </w:p>
    <w:p w14:paraId="6CD37356"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901" w:history="1">
        <w:r w:rsidRPr="00A47D4D">
          <w:rPr>
            <w:rStyle w:val="Lienhypertexte"/>
            <w:noProof/>
          </w:rPr>
          <w:t>Tableau 105 : Plan d’action EAS/HS du Projet</w:t>
        </w:r>
        <w:r>
          <w:rPr>
            <w:noProof/>
            <w:webHidden/>
          </w:rPr>
          <w:tab/>
        </w:r>
        <w:r>
          <w:rPr>
            <w:noProof/>
            <w:webHidden/>
          </w:rPr>
          <w:fldChar w:fldCharType="begin"/>
        </w:r>
        <w:r>
          <w:rPr>
            <w:noProof/>
            <w:webHidden/>
          </w:rPr>
          <w:instrText xml:space="preserve"> PAGEREF _Toc127957901 \h </w:instrText>
        </w:r>
        <w:r>
          <w:rPr>
            <w:noProof/>
            <w:webHidden/>
          </w:rPr>
        </w:r>
        <w:r>
          <w:rPr>
            <w:noProof/>
            <w:webHidden/>
          </w:rPr>
          <w:fldChar w:fldCharType="separate"/>
        </w:r>
        <w:r w:rsidR="00B05C7F">
          <w:rPr>
            <w:noProof/>
            <w:webHidden/>
          </w:rPr>
          <w:t>18</w:t>
        </w:r>
        <w:r>
          <w:rPr>
            <w:noProof/>
            <w:webHidden/>
          </w:rPr>
          <w:fldChar w:fldCharType="end"/>
        </w:r>
      </w:hyperlink>
    </w:p>
    <w:p w14:paraId="06FC9266"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902" w:history="1">
        <w:r w:rsidRPr="00A47D4D">
          <w:rPr>
            <w:rStyle w:val="Lienhypertexte"/>
            <w:noProof/>
          </w:rPr>
          <w:t>Tableau 106 : Liste des principaux services dédiés à la prise en charge des victimes de VBG</w:t>
        </w:r>
        <w:r>
          <w:rPr>
            <w:noProof/>
            <w:webHidden/>
          </w:rPr>
          <w:tab/>
        </w:r>
        <w:r>
          <w:rPr>
            <w:noProof/>
            <w:webHidden/>
          </w:rPr>
          <w:fldChar w:fldCharType="begin"/>
        </w:r>
        <w:r>
          <w:rPr>
            <w:noProof/>
            <w:webHidden/>
          </w:rPr>
          <w:instrText xml:space="preserve"> PAGEREF _Toc127957902 \h </w:instrText>
        </w:r>
        <w:r>
          <w:rPr>
            <w:noProof/>
            <w:webHidden/>
          </w:rPr>
        </w:r>
        <w:r>
          <w:rPr>
            <w:noProof/>
            <w:webHidden/>
          </w:rPr>
          <w:fldChar w:fldCharType="separate"/>
        </w:r>
        <w:r w:rsidR="00B05C7F">
          <w:rPr>
            <w:noProof/>
            <w:webHidden/>
          </w:rPr>
          <w:t>29</w:t>
        </w:r>
        <w:r>
          <w:rPr>
            <w:noProof/>
            <w:webHidden/>
          </w:rPr>
          <w:fldChar w:fldCharType="end"/>
        </w:r>
      </w:hyperlink>
    </w:p>
    <w:p w14:paraId="228900FD" w14:textId="77777777" w:rsidR="006C5F2A" w:rsidRPr="00FB04F6" w:rsidRDefault="006C5F2A" w:rsidP="006C5F2A">
      <w:pPr>
        <w:pStyle w:val="Tabledesillustrations"/>
        <w:tabs>
          <w:tab w:val="right" w:leader="dot" w:pos="9062"/>
        </w:tabs>
        <w:ind w:left="0"/>
        <w:rPr>
          <w:rFonts w:ascii="Calibri" w:hAnsi="Calibri"/>
          <w:noProof/>
          <w:sz w:val="22"/>
          <w:szCs w:val="22"/>
        </w:rPr>
      </w:pPr>
      <w:hyperlink w:anchor="_Toc127957903" w:history="1">
        <w:r w:rsidRPr="00A47D4D">
          <w:rPr>
            <w:rStyle w:val="Lienhypertexte"/>
            <w:noProof/>
          </w:rPr>
          <w:t>Tableau 107 : Budget du Plan d’action EAS/HS</w:t>
        </w:r>
        <w:r>
          <w:rPr>
            <w:noProof/>
            <w:webHidden/>
          </w:rPr>
          <w:tab/>
        </w:r>
        <w:r>
          <w:rPr>
            <w:noProof/>
            <w:webHidden/>
          </w:rPr>
          <w:fldChar w:fldCharType="begin"/>
        </w:r>
        <w:r>
          <w:rPr>
            <w:noProof/>
            <w:webHidden/>
          </w:rPr>
          <w:instrText xml:space="preserve"> PAGEREF _Toc127957903 \h </w:instrText>
        </w:r>
        <w:r>
          <w:rPr>
            <w:noProof/>
            <w:webHidden/>
          </w:rPr>
        </w:r>
        <w:r>
          <w:rPr>
            <w:noProof/>
            <w:webHidden/>
          </w:rPr>
          <w:fldChar w:fldCharType="separate"/>
        </w:r>
        <w:r w:rsidR="00B05C7F">
          <w:rPr>
            <w:noProof/>
            <w:webHidden/>
          </w:rPr>
          <w:t>31</w:t>
        </w:r>
        <w:r>
          <w:rPr>
            <w:noProof/>
            <w:webHidden/>
          </w:rPr>
          <w:fldChar w:fldCharType="end"/>
        </w:r>
      </w:hyperlink>
    </w:p>
    <w:p w14:paraId="7CF7AAA5" w14:textId="77777777" w:rsidR="003856BD" w:rsidRPr="00B0080A" w:rsidRDefault="003856BD" w:rsidP="00B0080A">
      <w:pPr>
        <w:pStyle w:val="En-ttedetabledesmatires"/>
        <w:spacing w:before="120" w:after="120"/>
        <w:ind w:left="851" w:hanging="431"/>
        <w:rPr>
          <w:b/>
          <w:bCs/>
          <w:sz w:val="24"/>
          <w:szCs w:val="24"/>
        </w:rPr>
      </w:pPr>
      <w:r>
        <w:fldChar w:fldCharType="end"/>
      </w:r>
      <w:bookmarkStart w:id="6" w:name="_Toc127957539"/>
      <w:r w:rsidRPr="00B0080A">
        <w:rPr>
          <w:b/>
          <w:bCs/>
          <w:sz w:val="24"/>
          <w:szCs w:val="24"/>
        </w:rPr>
        <w:t>LISTE DES FIGURES</w:t>
      </w:r>
      <w:bookmarkEnd w:id="6"/>
    </w:p>
    <w:p w14:paraId="445A79BF" w14:textId="77777777" w:rsidR="000D22D0" w:rsidRPr="00FB04F6" w:rsidRDefault="003856BD" w:rsidP="006C5F2A">
      <w:pPr>
        <w:pStyle w:val="Tabledesillustrations"/>
        <w:tabs>
          <w:tab w:val="right" w:leader="dot" w:pos="9060"/>
        </w:tabs>
        <w:ind w:left="0"/>
        <w:rPr>
          <w:rFonts w:ascii="Calibri" w:hAnsi="Calibri" w:cs="Calibri"/>
          <w:noProof/>
          <w:szCs w:val="20"/>
        </w:rPr>
      </w:pPr>
      <w:r w:rsidRPr="00327DB6">
        <w:rPr>
          <w:rStyle w:val="Lienhypertexte"/>
          <w:rFonts w:cs="Arial"/>
          <w:noProof/>
          <w:szCs w:val="20"/>
        </w:rPr>
        <w:fldChar w:fldCharType="begin"/>
      </w:r>
      <w:r w:rsidRPr="00FD558F">
        <w:rPr>
          <w:rStyle w:val="Lienhypertexte"/>
          <w:rFonts w:cs="Arial"/>
          <w:noProof/>
          <w:szCs w:val="20"/>
        </w:rPr>
        <w:instrText xml:space="preserve"> TOC \h \z \c "Figure" </w:instrText>
      </w:r>
      <w:r w:rsidRPr="00327DB6">
        <w:rPr>
          <w:rStyle w:val="Lienhypertexte"/>
          <w:rFonts w:cs="Arial"/>
          <w:noProof/>
          <w:szCs w:val="20"/>
        </w:rPr>
        <w:fldChar w:fldCharType="separate"/>
      </w:r>
      <w:hyperlink w:anchor="_Toc125402443" w:history="1">
        <w:r w:rsidR="000D22D0" w:rsidRPr="00FB04F6">
          <w:rPr>
            <w:rStyle w:val="Lienhypertexte"/>
            <w:rFonts w:ascii="Calibri" w:hAnsi="Calibri" w:cs="Calibri"/>
            <w:noProof/>
            <w:szCs w:val="20"/>
          </w:rPr>
          <w:t>Figure 1. Hybridation avec le solaire photovoltaïque sans stockage d’un réseau alimenté par une centrale thermique</w:t>
        </w:r>
        <w:r w:rsidR="000D22D0" w:rsidRPr="00FB04F6">
          <w:rPr>
            <w:rFonts w:ascii="Calibri" w:hAnsi="Calibri" w:cs="Calibri"/>
            <w:noProof/>
            <w:webHidden/>
            <w:szCs w:val="20"/>
          </w:rPr>
          <w:tab/>
        </w:r>
        <w:r w:rsidR="000D22D0" w:rsidRPr="00FB04F6">
          <w:rPr>
            <w:rFonts w:ascii="Calibri" w:hAnsi="Calibri" w:cs="Calibri"/>
            <w:noProof/>
            <w:webHidden/>
            <w:szCs w:val="20"/>
          </w:rPr>
          <w:fldChar w:fldCharType="begin"/>
        </w:r>
        <w:r w:rsidR="000D22D0" w:rsidRPr="00FB04F6">
          <w:rPr>
            <w:rFonts w:ascii="Calibri" w:hAnsi="Calibri" w:cs="Calibri"/>
            <w:noProof/>
            <w:webHidden/>
            <w:szCs w:val="20"/>
          </w:rPr>
          <w:instrText xml:space="preserve"> PAGEREF _Toc125402443 \h </w:instrText>
        </w:r>
        <w:r w:rsidR="000D22D0" w:rsidRPr="00FB04F6">
          <w:rPr>
            <w:rFonts w:ascii="Calibri" w:hAnsi="Calibri" w:cs="Calibri"/>
            <w:noProof/>
            <w:webHidden/>
            <w:szCs w:val="20"/>
          </w:rPr>
        </w:r>
        <w:r w:rsidR="000D22D0" w:rsidRPr="00FB04F6">
          <w:rPr>
            <w:rFonts w:ascii="Calibri" w:hAnsi="Calibri" w:cs="Calibri"/>
            <w:noProof/>
            <w:webHidden/>
            <w:szCs w:val="20"/>
          </w:rPr>
          <w:fldChar w:fldCharType="separate"/>
        </w:r>
        <w:r w:rsidR="00B05C7F">
          <w:rPr>
            <w:rFonts w:ascii="Calibri" w:hAnsi="Calibri" w:cs="Calibri"/>
            <w:noProof/>
            <w:webHidden/>
            <w:szCs w:val="20"/>
          </w:rPr>
          <w:t>15</w:t>
        </w:r>
        <w:r w:rsidR="000D22D0" w:rsidRPr="00FB04F6">
          <w:rPr>
            <w:rFonts w:ascii="Calibri" w:hAnsi="Calibri" w:cs="Calibri"/>
            <w:noProof/>
            <w:webHidden/>
            <w:szCs w:val="20"/>
          </w:rPr>
          <w:fldChar w:fldCharType="end"/>
        </w:r>
      </w:hyperlink>
    </w:p>
    <w:p w14:paraId="5DFD6D53" w14:textId="77777777" w:rsidR="000D22D0" w:rsidRPr="00FB04F6" w:rsidRDefault="00160FB0" w:rsidP="006C5F2A">
      <w:pPr>
        <w:pStyle w:val="Tabledesillustrations"/>
        <w:tabs>
          <w:tab w:val="right" w:leader="dot" w:pos="9060"/>
        </w:tabs>
        <w:ind w:left="0"/>
        <w:rPr>
          <w:rFonts w:ascii="Calibri" w:hAnsi="Calibri" w:cs="Calibri"/>
          <w:noProof/>
          <w:szCs w:val="20"/>
        </w:rPr>
      </w:pPr>
      <w:hyperlink w:anchor="_Toc125402444" w:history="1">
        <w:r w:rsidR="000D22D0" w:rsidRPr="00FB04F6">
          <w:rPr>
            <w:rStyle w:val="Lienhypertexte"/>
            <w:rFonts w:ascii="Calibri" w:hAnsi="Calibri" w:cs="Calibri"/>
            <w:noProof/>
            <w:szCs w:val="20"/>
          </w:rPr>
          <w:t>Figure 2 Hybridation avec le solaire photovoltaïque avec stockage d’un réseau alimenté par une centrale thermique</w:t>
        </w:r>
        <w:r w:rsidR="000D22D0" w:rsidRPr="00FB04F6">
          <w:rPr>
            <w:rFonts w:ascii="Calibri" w:hAnsi="Calibri" w:cs="Calibri"/>
            <w:noProof/>
            <w:webHidden/>
            <w:szCs w:val="20"/>
          </w:rPr>
          <w:tab/>
        </w:r>
        <w:r w:rsidR="000D22D0" w:rsidRPr="00FB04F6">
          <w:rPr>
            <w:rFonts w:ascii="Calibri" w:hAnsi="Calibri" w:cs="Calibri"/>
            <w:noProof/>
            <w:webHidden/>
            <w:szCs w:val="20"/>
          </w:rPr>
          <w:fldChar w:fldCharType="begin"/>
        </w:r>
        <w:r w:rsidR="000D22D0" w:rsidRPr="00FB04F6">
          <w:rPr>
            <w:rFonts w:ascii="Calibri" w:hAnsi="Calibri" w:cs="Calibri"/>
            <w:noProof/>
            <w:webHidden/>
            <w:szCs w:val="20"/>
          </w:rPr>
          <w:instrText xml:space="preserve"> PAGEREF _Toc125402444 \h </w:instrText>
        </w:r>
        <w:r w:rsidR="000D22D0" w:rsidRPr="00FB04F6">
          <w:rPr>
            <w:rFonts w:ascii="Calibri" w:hAnsi="Calibri" w:cs="Calibri"/>
            <w:noProof/>
            <w:webHidden/>
            <w:szCs w:val="20"/>
          </w:rPr>
        </w:r>
        <w:r w:rsidR="000D22D0" w:rsidRPr="00FB04F6">
          <w:rPr>
            <w:rFonts w:ascii="Calibri" w:hAnsi="Calibri" w:cs="Calibri"/>
            <w:noProof/>
            <w:webHidden/>
            <w:szCs w:val="20"/>
          </w:rPr>
          <w:fldChar w:fldCharType="separate"/>
        </w:r>
        <w:r w:rsidR="00B05C7F">
          <w:rPr>
            <w:rFonts w:ascii="Calibri" w:hAnsi="Calibri" w:cs="Calibri"/>
            <w:noProof/>
            <w:webHidden/>
            <w:szCs w:val="20"/>
          </w:rPr>
          <w:t>16</w:t>
        </w:r>
        <w:r w:rsidR="000D22D0" w:rsidRPr="00FB04F6">
          <w:rPr>
            <w:rFonts w:ascii="Calibri" w:hAnsi="Calibri" w:cs="Calibri"/>
            <w:noProof/>
            <w:webHidden/>
            <w:szCs w:val="20"/>
          </w:rPr>
          <w:fldChar w:fldCharType="end"/>
        </w:r>
      </w:hyperlink>
    </w:p>
    <w:p w14:paraId="5E57FA4B" w14:textId="77777777" w:rsidR="000D22D0" w:rsidRPr="00FB04F6" w:rsidRDefault="00160FB0" w:rsidP="006C5F2A">
      <w:pPr>
        <w:pStyle w:val="Tabledesillustrations"/>
        <w:tabs>
          <w:tab w:val="right" w:leader="dot" w:pos="9060"/>
        </w:tabs>
        <w:ind w:left="0"/>
        <w:rPr>
          <w:rFonts w:ascii="Calibri" w:hAnsi="Calibri" w:cs="Calibri"/>
          <w:noProof/>
          <w:szCs w:val="20"/>
        </w:rPr>
      </w:pPr>
      <w:hyperlink w:anchor="_Toc125402445" w:history="1">
        <w:r w:rsidR="000D22D0" w:rsidRPr="00FB04F6">
          <w:rPr>
            <w:rStyle w:val="Lienhypertexte"/>
            <w:rFonts w:ascii="Calibri" w:hAnsi="Calibri" w:cs="Calibri"/>
            <w:noProof/>
            <w:szCs w:val="20"/>
          </w:rPr>
          <w:t>Figure 3. Mini-réseau, photovoltaïque avec stockage, isolé</w:t>
        </w:r>
        <w:r w:rsidR="000D22D0" w:rsidRPr="00FB04F6">
          <w:rPr>
            <w:rFonts w:ascii="Calibri" w:hAnsi="Calibri" w:cs="Calibri"/>
            <w:noProof/>
            <w:webHidden/>
            <w:szCs w:val="20"/>
          </w:rPr>
          <w:tab/>
        </w:r>
        <w:r w:rsidR="000D22D0" w:rsidRPr="00FB04F6">
          <w:rPr>
            <w:rFonts w:ascii="Calibri" w:hAnsi="Calibri" w:cs="Calibri"/>
            <w:noProof/>
            <w:webHidden/>
            <w:szCs w:val="20"/>
          </w:rPr>
          <w:fldChar w:fldCharType="begin"/>
        </w:r>
        <w:r w:rsidR="000D22D0" w:rsidRPr="00FB04F6">
          <w:rPr>
            <w:rFonts w:ascii="Calibri" w:hAnsi="Calibri" w:cs="Calibri"/>
            <w:noProof/>
            <w:webHidden/>
            <w:szCs w:val="20"/>
          </w:rPr>
          <w:instrText xml:space="preserve"> PAGEREF _Toc125402445 \h </w:instrText>
        </w:r>
        <w:r w:rsidR="000D22D0" w:rsidRPr="00FB04F6">
          <w:rPr>
            <w:rFonts w:ascii="Calibri" w:hAnsi="Calibri" w:cs="Calibri"/>
            <w:noProof/>
            <w:webHidden/>
            <w:szCs w:val="20"/>
          </w:rPr>
        </w:r>
        <w:r w:rsidR="000D22D0" w:rsidRPr="00FB04F6">
          <w:rPr>
            <w:rFonts w:ascii="Calibri" w:hAnsi="Calibri" w:cs="Calibri"/>
            <w:noProof/>
            <w:webHidden/>
            <w:szCs w:val="20"/>
          </w:rPr>
          <w:fldChar w:fldCharType="separate"/>
        </w:r>
        <w:r w:rsidR="00B05C7F">
          <w:rPr>
            <w:rFonts w:ascii="Calibri" w:hAnsi="Calibri" w:cs="Calibri"/>
            <w:noProof/>
            <w:webHidden/>
            <w:szCs w:val="20"/>
          </w:rPr>
          <w:t>16</w:t>
        </w:r>
        <w:r w:rsidR="000D22D0" w:rsidRPr="00FB04F6">
          <w:rPr>
            <w:rFonts w:ascii="Calibri" w:hAnsi="Calibri" w:cs="Calibri"/>
            <w:noProof/>
            <w:webHidden/>
            <w:szCs w:val="20"/>
          </w:rPr>
          <w:fldChar w:fldCharType="end"/>
        </w:r>
      </w:hyperlink>
    </w:p>
    <w:p w14:paraId="7029F3B9" w14:textId="77777777" w:rsidR="000D22D0" w:rsidRPr="00FB04F6" w:rsidRDefault="00160FB0" w:rsidP="006C5F2A">
      <w:pPr>
        <w:pStyle w:val="Tabledesillustrations"/>
        <w:tabs>
          <w:tab w:val="right" w:leader="dot" w:pos="9060"/>
        </w:tabs>
        <w:ind w:left="0"/>
        <w:rPr>
          <w:rFonts w:ascii="Calibri" w:hAnsi="Calibri" w:cs="Calibri"/>
          <w:noProof/>
          <w:szCs w:val="20"/>
        </w:rPr>
      </w:pPr>
      <w:hyperlink w:anchor="_Toc125402446" w:history="1">
        <w:r w:rsidR="000D22D0" w:rsidRPr="00FB04F6">
          <w:rPr>
            <w:rStyle w:val="Lienhypertexte"/>
            <w:rFonts w:ascii="Calibri" w:hAnsi="Calibri" w:cs="Calibri"/>
            <w:noProof/>
            <w:szCs w:val="20"/>
          </w:rPr>
          <w:t>Figure 4. Électricité solaire photovoltaïque</w:t>
        </w:r>
        <w:r w:rsidR="000D22D0" w:rsidRPr="00FB04F6">
          <w:rPr>
            <w:rFonts w:ascii="Calibri" w:hAnsi="Calibri" w:cs="Calibri"/>
            <w:noProof/>
            <w:webHidden/>
            <w:szCs w:val="20"/>
          </w:rPr>
          <w:tab/>
        </w:r>
        <w:r w:rsidR="000D22D0" w:rsidRPr="00FB04F6">
          <w:rPr>
            <w:rFonts w:ascii="Calibri" w:hAnsi="Calibri" w:cs="Calibri"/>
            <w:noProof/>
            <w:webHidden/>
            <w:szCs w:val="20"/>
          </w:rPr>
          <w:fldChar w:fldCharType="begin"/>
        </w:r>
        <w:r w:rsidR="000D22D0" w:rsidRPr="00FB04F6">
          <w:rPr>
            <w:rFonts w:ascii="Calibri" w:hAnsi="Calibri" w:cs="Calibri"/>
            <w:noProof/>
            <w:webHidden/>
            <w:szCs w:val="20"/>
          </w:rPr>
          <w:instrText xml:space="preserve"> PAGEREF _Toc125402446 \h </w:instrText>
        </w:r>
        <w:r w:rsidR="000D22D0" w:rsidRPr="00FB04F6">
          <w:rPr>
            <w:rFonts w:ascii="Calibri" w:hAnsi="Calibri" w:cs="Calibri"/>
            <w:noProof/>
            <w:webHidden/>
            <w:szCs w:val="20"/>
          </w:rPr>
        </w:r>
        <w:r w:rsidR="000D22D0" w:rsidRPr="00FB04F6">
          <w:rPr>
            <w:rFonts w:ascii="Calibri" w:hAnsi="Calibri" w:cs="Calibri"/>
            <w:noProof/>
            <w:webHidden/>
            <w:szCs w:val="20"/>
          </w:rPr>
          <w:fldChar w:fldCharType="separate"/>
        </w:r>
        <w:r w:rsidR="00B05C7F">
          <w:rPr>
            <w:rFonts w:ascii="Calibri" w:hAnsi="Calibri" w:cs="Calibri"/>
            <w:noProof/>
            <w:webHidden/>
            <w:szCs w:val="20"/>
          </w:rPr>
          <w:t>17</w:t>
        </w:r>
        <w:r w:rsidR="000D22D0" w:rsidRPr="00FB04F6">
          <w:rPr>
            <w:rFonts w:ascii="Calibri" w:hAnsi="Calibri" w:cs="Calibri"/>
            <w:noProof/>
            <w:webHidden/>
            <w:szCs w:val="20"/>
          </w:rPr>
          <w:fldChar w:fldCharType="end"/>
        </w:r>
      </w:hyperlink>
    </w:p>
    <w:p w14:paraId="1477F04E" w14:textId="77777777" w:rsidR="000D22D0" w:rsidRPr="00FB04F6" w:rsidRDefault="00160FB0" w:rsidP="006C5F2A">
      <w:pPr>
        <w:pStyle w:val="Tabledesillustrations"/>
        <w:tabs>
          <w:tab w:val="right" w:leader="dot" w:pos="9060"/>
        </w:tabs>
        <w:ind w:left="0"/>
        <w:rPr>
          <w:rFonts w:ascii="Calibri" w:hAnsi="Calibri" w:cs="Calibri"/>
          <w:noProof/>
          <w:szCs w:val="20"/>
        </w:rPr>
      </w:pPr>
      <w:hyperlink w:anchor="_Toc125402447" w:history="1">
        <w:r w:rsidR="000D22D0" w:rsidRPr="00FB04F6">
          <w:rPr>
            <w:rStyle w:val="Lienhypertexte"/>
            <w:rFonts w:ascii="Calibri" w:hAnsi="Calibri" w:cs="Calibri"/>
            <w:noProof/>
            <w:szCs w:val="20"/>
          </w:rPr>
          <w:t>Figure 5. Electricité solaire photovoltaïque avec stockage</w:t>
        </w:r>
        <w:r w:rsidR="000D22D0" w:rsidRPr="00FB04F6">
          <w:rPr>
            <w:rFonts w:ascii="Calibri" w:hAnsi="Calibri" w:cs="Calibri"/>
            <w:noProof/>
            <w:webHidden/>
            <w:szCs w:val="20"/>
          </w:rPr>
          <w:tab/>
        </w:r>
        <w:r w:rsidR="000D22D0" w:rsidRPr="00FB04F6">
          <w:rPr>
            <w:rFonts w:ascii="Calibri" w:hAnsi="Calibri" w:cs="Calibri"/>
            <w:noProof/>
            <w:webHidden/>
            <w:szCs w:val="20"/>
          </w:rPr>
          <w:fldChar w:fldCharType="begin"/>
        </w:r>
        <w:r w:rsidR="000D22D0" w:rsidRPr="00FB04F6">
          <w:rPr>
            <w:rFonts w:ascii="Calibri" w:hAnsi="Calibri" w:cs="Calibri"/>
            <w:noProof/>
            <w:webHidden/>
            <w:szCs w:val="20"/>
          </w:rPr>
          <w:instrText xml:space="preserve"> PAGEREF _Toc125402447 \h </w:instrText>
        </w:r>
        <w:r w:rsidR="000D22D0" w:rsidRPr="00FB04F6">
          <w:rPr>
            <w:rFonts w:ascii="Calibri" w:hAnsi="Calibri" w:cs="Calibri"/>
            <w:noProof/>
            <w:webHidden/>
            <w:szCs w:val="20"/>
          </w:rPr>
        </w:r>
        <w:r w:rsidR="000D22D0" w:rsidRPr="00FB04F6">
          <w:rPr>
            <w:rFonts w:ascii="Calibri" w:hAnsi="Calibri" w:cs="Calibri"/>
            <w:noProof/>
            <w:webHidden/>
            <w:szCs w:val="20"/>
          </w:rPr>
          <w:fldChar w:fldCharType="separate"/>
        </w:r>
        <w:r w:rsidR="00B05C7F">
          <w:rPr>
            <w:rFonts w:ascii="Calibri" w:hAnsi="Calibri" w:cs="Calibri"/>
            <w:noProof/>
            <w:webHidden/>
            <w:szCs w:val="20"/>
          </w:rPr>
          <w:t>17</w:t>
        </w:r>
        <w:r w:rsidR="000D22D0" w:rsidRPr="00FB04F6">
          <w:rPr>
            <w:rFonts w:ascii="Calibri" w:hAnsi="Calibri" w:cs="Calibri"/>
            <w:noProof/>
            <w:webHidden/>
            <w:szCs w:val="20"/>
          </w:rPr>
          <w:fldChar w:fldCharType="end"/>
        </w:r>
      </w:hyperlink>
    </w:p>
    <w:p w14:paraId="584A899F" w14:textId="77777777" w:rsidR="000D22D0" w:rsidRPr="00FB04F6" w:rsidRDefault="00160FB0" w:rsidP="006C5F2A">
      <w:pPr>
        <w:pStyle w:val="Tabledesillustrations"/>
        <w:tabs>
          <w:tab w:val="right" w:leader="dot" w:pos="9060"/>
        </w:tabs>
        <w:ind w:left="0"/>
        <w:rPr>
          <w:rFonts w:ascii="Calibri" w:hAnsi="Calibri" w:cs="Calibri"/>
          <w:noProof/>
          <w:szCs w:val="20"/>
        </w:rPr>
      </w:pPr>
      <w:hyperlink w:anchor="_Toc125402448" w:history="1">
        <w:r w:rsidR="000D22D0" w:rsidRPr="00FB04F6">
          <w:rPr>
            <w:rStyle w:val="Lienhypertexte"/>
            <w:rFonts w:ascii="Calibri" w:hAnsi="Calibri" w:cs="Calibri"/>
            <w:noProof/>
            <w:szCs w:val="20"/>
          </w:rPr>
          <w:t>Figure 6. Barrage hydroélectrique</w:t>
        </w:r>
        <w:r w:rsidR="000D22D0" w:rsidRPr="00FB04F6">
          <w:rPr>
            <w:rFonts w:ascii="Calibri" w:hAnsi="Calibri" w:cs="Calibri"/>
            <w:noProof/>
            <w:webHidden/>
            <w:szCs w:val="20"/>
          </w:rPr>
          <w:tab/>
        </w:r>
        <w:r w:rsidR="000D22D0" w:rsidRPr="00FB04F6">
          <w:rPr>
            <w:rFonts w:ascii="Calibri" w:hAnsi="Calibri" w:cs="Calibri"/>
            <w:noProof/>
            <w:webHidden/>
            <w:szCs w:val="20"/>
          </w:rPr>
          <w:fldChar w:fldCharType="begin"/>
        </w:r>
        <w:r w:rsidR="000D22D0" w:rsidRPr="00FB04F6">
          <w:rPr>
            <w:rFonts w:ascii="Calibri" w:hAnsi="Calibri" w:cs="Calibri"/>
            <w:noProof/>
            <w:webHidden/>
            <w:szCs w:val="20"/>
          </w:rPr>
          <w:instrText xml:space="preserve"> PAGEREF _Toc125402448 \h </w:instrText>
        </w:r>
        <w:r w:rsidR="000D22D0" w:rsidRPr="00FB04F6">
          <w:rPr>
            <w:rFonts w:ascii="Calibri" w:hAnsi="Calibri" w:cs="Calibri"/>
            <w:noProof/>
            <w:webHidden/>
            <w:szCs w:val="20"/>
          </w:rPr>
        </w:r>
        <w:r w:rsidR="000D22D0" w:rsidRPr="00FB04F6">
          <w:rPr>
            <w:rFonts w:ascii="Calibri" w:hAnsi="Calibri" w:cs="Calibri"/>
            <w:noProof/>
            <w:webHidden/>
            <w:szCs w:val="20"/>
          </w:rPr>
          <w:fldChar w:fldCharType="separate"/>
        </w:r>
        <w:r w:rsidR="00B05C7F">
          <w:rPr>
            <w:rFonts w:ascii="Calibri" w:hAnsi="Calibri" w:cs="Calibri"/>
            <w:noProof/>
            <w:webHidden/>
            <w:szCs w:val="20"/>
          </w:rPr>
          <w:t>18</w:t>
        </w:r>
        <w:r w:rsidR="000D22D0" w:rsidRPr="00FB04F6">
          <w:rPr>
            <w:rFonts w:ascii="Calibri" w:hAnsi="Calibri" w:cs="Calibri"/>
            <w:noProof/>
            <w:webHidden/>
            <w:szCs w:val="20"/>
          </w:rPr>
          <w:fldChar w:fldCharType="end"/>
        </w:r>
      </w:hyperlink>
    </w:p>
    <w:p w14:paraId="3E8E75D3" w14:textId="77777777" w:rsidR="000D22D0" w:rsidRPr="00FB04F6" w:rsidRDefault="00160FB0" w:rsidP="006C5F2A">
      <w:pPr>
        <w:pStyle w:val="Tabledesillustrations"/>
        <w:tabs>
          <w:tab w:val="right" w:leader="dot" w:pos="9060"/>
        </w:tabs>
        <w:ind w:left="0"/>
        <w:rPr>
          <w:rFonts w:ascii="Calibri" w:hAnsi="Calibri" w:cs="Calibri"/>
          <w:noProof/>
          <w:szCs w:val="20"/>
        </w:rPr>
      </w:pPr>
      <w:hyperlink w:anchor="_Toc125402449" w:history="1">
        <w:r w:rsidR="000D22D0" w:rsidRPr="00FB04F6">
          <w:rPr>
            <w:rStyle w:val="Lienhypertexte"/>
            <w:rFonts w:ascii="Calibri" w:hAnsi="Calibri" w:cs="Calibri"/>
            <w:noProof/>
            <w:szCs w:val="20"/>
          </w:rPr>
          <w:t>Figure 7. Dispositif d’une installation solaire hors-réseau avec stockage</w:t>
        </w:r>
        <w:r w:rsidR="000D22D0" w:rsidRPr="00FB04F6">
          <w:rPr>
            <w:rFonts w:ascii="Calibri" w:hAnsi="Calibri" w:cs="Calibri"/>
            <w:noProof/>
            <w:webHidden/>
            <w:szCs w:val="20"/>
          </w:rPr>
          <w:tab/>
        </w:r>
        <w:r w:rsidR="000D22D0" w:rsidRPr="00FB04F6">
          <w:rPr>
            <w:rFonts w:ascii="Calibri" w:hAnsi="Calibri" w:cs="Calibri"/>
            <w:noProof/>
            <w:webHidden/>
            <w:szCs w:val="20"/>
          </w:rPr>
          <w:fldChar w:fldCharType="begin"/>
        </w:r>
        <w:r w:rsidR="000D22D0" w:rsidRPr="00FB04F6">
          <w:rPr>
            <w:rFonts w:ascii="Calibri" w:hAnsi="Calibri" w:cs="Calibri"/>
            <w:noProof/>
            <w:webHidden/>
            <w:szCs w:val="20"/>
          </w:rPr>
          <w:instrText xml:space="preserve"> PAGEREF _Toc125402449 \h </w:instrText>
        </w:r>
        <w:r w:rsidR="000D22D0" w:rsidRPr="00FB04F6">
          <w:rPr>
            <w:rFonts w:ascii="Calibri" w:hAnsi="Calibri" w:cs="Calibri"/>
            <w:noProof/>
            <w:webHidden/>
            <w:szCs w:val="20"/>
          </w:rPr>
        </w:r>
        <w:r w:rsidR="000D22D0" w:rsidRPr="00FB04F6">
          <w:rPr>
            <w:rFonts w:ascii="Calibri" w:hAnsi="Calibri" w:cs="Calibri"/>
            <w:noProof/>
            <w:webHidden/>
            <w:szCs w:val="20"/>
          </w:rPr>
          <w:fldChar w:fldCharType="separate"/>
        </w:r>
        <w:r w:rsidR="00B05C7F">
          <w:rPr>
            <w:rFonts w:ascii="Calibri" w:hAnsi="Calibri" w:cs="Calibri"/>
            <w:noProof/>
            <w:webHidden/>
            <w:szCs w:val="20"/>
          </w:rPr>
          <w:t>20</w:t>
        </w:r>
        <w:r w:rsidR="000D22D0" w:rsidRPr="00FB04F6">
          <w:rPr>
            <w:rFonts w:ascii="Calibri" w:hAnsi="Calibri" w:cs="Calibri"/>
            <w:noProof/>
            <w:webHidden/>
            <w:szCs w:val="20"/>
          </w:rPr>
          <w:fldChar w:fldCharType="end"/>
        </w:r>
      </w:hyperlink>
    </w:p>
    <w:p w14:paraId="7A4AEA0E" w14:textId="77777777" w:rsidR="000D22D0" w:rsidRPr="00FB04F6" w:rsidRDefault="00160FB0" w:rsidP="006C5F2A">
      <w:pPr>
        <w:pStyle w:val="Tabledesillustrations"/>
        <w:tabs>
          <w:tab w:val="right" w:leader="dot" w:pos="9060"/>
        </w:tabs>
        <w:ind w:left="0"/>
        <w:rPr>
          <w:rFonts w:ascii="Calibri" w:hAnsi="Calibri" w:cs="Calibri"/>
          <w:noProof/>
          <w:szCs w:val="20"/>
        </w:rPr>
      </w:pPr>
      <w:hyperlink w:anchor="_Toc125402450" w:history="1">
        <w:r w:rsidR="000D22D0" w:rsidRPr="00FB04F6">
          <w:rPr>
            <w:rStyle w:val="Lienhypertexte"/>
            <w:rFonts w:ascii="Calibri" w:hAnsi="Calibri" w:cs="Calibri"/>
            <w:noProof/>
            <w:szCs w:val="20"/>
          </w:rPr>
          <w:t>Figure 8. Appareils solaires hors réseau</w:t>
        </w:r>
        <w:r w:rsidR="000D22D0" w:rsidRPr="00FB04F6">
          <w:rPr>
            <w:rFonts w:ascii="Calibri" w:hAnsi="Calibri" w:cs="Calibri"/>
            <w:noProof/>
            <w:webHidden/>
            <w:szCs w:val="20"/>
          </w:rPr>
          <w:tab/>
        </w:r>
        <w:r w:rsidR="000D22D0" w:rsidRPr="00FB04F6">
          <w:rPr>
            <w:rFonts w:ascii="Calibri" w:hAnsi="Calibri" w:cs="Calibri"/>
            <w:noProof/>
            <w:webHidden/>
            <w:szCs w:val="20"/>
          </w:rPr>
          <w:fldChar w:fldCharType="begin"/>
        </w:r>
        <w:r w:rsidR="000D22D0" w:rsidRPr="00FB04F6">
          <w:rPr>
            <w:rFonts w:ascii="Calibri" w:hAnsi="Calibri" w:cs="Calibri"/>
            <w:noProof/>
            <w:webHidden/>
            <w:szCs w:val="20"/>
          </w:rPr>
          <w:instrText xml:space="preserve"> PAGEREF _Toc125402450 \h </w:instrText>
        </w:r>
        <w:r w:rsidR="000D22D0" w:rsidRPr="00FB04F6">
          <w:rPr>
            <w:rFonts w:ascii="Calibri" w:hAnsi="Calibri" w:cs="Calibri"/>
            <w:noProof/>
            <w:webHidden/>
            <w:szCs w:val="20"/>
          </w:rPr>
        </w:r>
        <w:r w:rsidR="000D22D0" w:rsidRPr="00FB04F6">
          <w:rPr>
            <w:rFonts w:ascii="Calibri" w:hAnsi="Calibri" w:cs="Calibri"/>
            <w:noProof/>
            <w:webHidden/>
            <w:szCs w:val="20"/>
          </w:rPr>
          <w:fldChar w:fldCharType="separate"/>
        </w:r>
        <w:r w:rsidR="00B05C7F">
          <w:rPr>
            <w:rFonts w:ascii="Calibri" w:hAnsi="Calibri" w:cs="Calibri"/>
            <w:noProof/>
            <w:webHidden/>
            <w:szCs w:val="20"/>
          </w:rPr>
          <w:t>20</w:t>
        </w:r>
        <w:r w:rsidR="000D22D0" w:rsidRPr="00FB04F6">
          <w:rPr>
            <w:rFonts w:ascii="Calibri" w:hAnsi="Calibri" w:cs="Calibri"/>
            <w:noProof/>
            <w:webHidden/>
            <w:szCs w:val="20"/>
          </w:rPr>
          <w:fldChar w:fldCharType="end"/>
        </w:r>
      </w:hyperlink>
    </w:p>
    <w:p w14:paraId="27020317" w14:textId="77777777" w:rsidR="000D22D0" w:rsidRPr="00FB04F6" w:rsidRDefault="00160FB0" w:rsidP="006C5F2A">
      <w:pPr>
        <w:pStyle w:val="Tabledesillustrations"/>
        <w:tabs>
          <w:tab w:val="right" w:leader="dot" w:pos="9060"/>
        </w:tabs>
        <w:ind w:left="0"/>
        <w:rPr>
          <w:rFonts w:ascii="Calibri" w:hAnsi="Calibri" w:cs="Calibri"/>
          <w:noProof/>
          <w:szCs w:val="20"/>
        </w:rPr>
      </w:pPr>
      <w:hyperlink w:anchor="_Toc125402451" w:history="1">
        <w:r w:rsidR="000D22D0" w:rsidRPr="00FB04F6">
          <w:rPr>
            <w:rStyle w:val="Lienhypertexte"/>
            <w:rFonts w:ascii="Calibri" w:hAnsi="Calibri" w:cs="Calibri"/>
            <w:noProof/>
            <w:szCs w:val="20"/>
          </w:rPr>
          <w:t>Figure 9. Représentation d’une tour cellulaire dans un village</w:t>
        </w:r>
        <w:r w:rsidR="000D22D0" w:rsidRPr="00FB04F6">
          <w:rPr>
            <w:rFonts w:ascii="Calibri" w:hAnsi="Calibri" w:cs="Calibri"/>
            <w:noProof/>
            <w:webHidden/>
            <w:szCs w:val="20"/>
          </w:rPr>
          <w:tab/>
        </w:r>
        <w:r w:rsidR="000D22D0" w:rsidRPr="00FB04F6">
          <w:rPr>
            <w:rFonts w:ascii="Calibri" w:hAnsi="Calibri" w:cs="Calibri"/>
            <w:noProof/>
            <w:webHidden/>
            <w:szCs w:val="20"/>
          </w:rPr>
          <w:fldChar w:fldCharType="begin"/>
        </w:r>
        <w:r w:rsidR="000D22D0" w:rsidRPr="00FB04F6">
          <w:rPr>
            <w:rFonts w:ascii="Calibri" w:hAnsi="Calibri" w:cs="Calibri"/>
            <w:noProof/>
            <w:webHidden/>
            <w:szCs w:val="20"/>
          </w:rPr>
          <w:instrText xml:space="preserve"> PAGEREF _Toc125402451 \h </w:instrText>
        </w:r>
        <w:r w:rsidR="000D22D0" w:rsidRPr="00FB04F6">
          <w:rPr>
            <w:rFonts w:ascii="Calibri" w:hAnsi="Calibri" w:cs="Calibri"/>
            <w:noProof/>
            <w:webHidden/>
            <w:szCs w:val="20"/>
          </w:rPr>
        </w:r>
        <w:r w:rsidR="000D22D0" w:rsidRPr="00FB04F6">
          <w:rPr>
            <w:rFonts w:ascii="Calibri" w:hAnsi="Calibri" w:cs="Calibri"/>
            <w:noProof/>
            <w:webHidden/>
            <w:szCs w:val="20"/>
          </w:rPr>
          <w:fldChar w:fldCharType="separate"/>
        </w:r>
        <w:r w:rsidR="00B05C7F">
          <w:rPr>
            <w:rFonts w:ascii="Calibri" w:hAnsi="Calibri" w:cs="Calibri"/>
            <w:noProof/>
            <w:webHidden/>
            <w:szCs w:val="20"/>
          </w:rPr>
          <w:t>21</w:t>
        </w:r>
        <w:r w:rsidR="000D22D0" w:rsidRPr="00FB04F6">
          <w:rPr>
            <w:rFonts w:ascii="Calibri" w:hAnsi="Calibri" w:cs="Calibri"/>
            <w:noProof/>
            <w:webHidden/>
            <w:szCs w:val="20"/>
          </w:rPr>
          <w:fldChar w:fldCharType="end"/>
        </w:r>
      </w:hyperlink>
    </w:p>
    <w:p w14:paraId="133D4154" w14:textId="77777777" w:rsidR="000D22D0" w:rsidRPr="00FB04F6" w:rsidRDefault="00160FB0" w:rsidP="006C5F2A">
      <w:pPr>
        <w:pStyle w:val="Tabledesillustrations"/>
        <w:tabs>
          <w:tab w:val="right" w:leader="dot" w:pos="9060"/>
        </w:tabs>
        <w:ind w:left="0"/>
        <w:rPr>
          <w:rFonts w:ascii="Calibri" w:hAnsi="Calibri" w:cs="Calibri"/>
          <w:noProof/>
          <w:szCs w:val="20"/>
        </w:rPr>
      </w:pPr>
      <w:hyperlink w:anchor="_Toc125402452" w:history="1">
        <w:r w:rsidR="000D22D0" w:rsidRPr="00FB04F6">
          <w:rPr>
            <w:rStyle w:val="Lienhypertexte"/>
            <w:rFonts w:ascii="Calibri" w:hAnsi="Calibri" w:cs="Calibri"/>
            <w:noProof/>
            <w:szCs w:val="20"/>
          </w:rPr>
          <w:t>Figure 10. Représentation simplifiée d’une tour cellulaire</w:t>
        </w:r>
        <w:r w:rsidR="000D22D0" w:rsidRPr="00FB04F6">
          <w:rPr>
            <w:rFonts w:ascii="Calibri" w:hAnsi="Calibri" w:cs="Calibri"/>
            <w:noProof/>
            <w:webHidden/>
            <w:szCs w:val="20"/>
          </w:rPr>
          <w:tab/>
        </w:r>
        <w:r w:rsidR="000D22D0" w:rsidRPr="00FB04F6">
          <w:rPr>
            <w:rFonts w:ascii="Calibri" w:hAnsi="Calibri" w:cs="Calibri"/>
            <w:noProof/>
            <w:webHidden/>
            <w:szCs w:val="20"/>
          </w:rPr>
          <w:fldChar w:fldCharType="begin"/>
        </w:r>
        <w:r w:rsidR="000D22D0" w:rsidRPr="00FB04F6">
          <w:rPr>
            <w:rFonts w:ascii="Calibri" w:hAnsi="Calibri" w:cs="Calibri"/>
            <w:noProof/>
            <w:webHidden/>
            <w:szCs w:val="20"/>
          </w:rPr>
          <w:instrText xml:space="preserve"> PAGEREF _Toc125402452 \h </w:instrText>
        </w:r>
        <w:r w:rsidR="000D22D0" w:rsidRPr="00FB04F6">
          <w:rPr>
            <w:rFonts w:ascii="Calibri" w:hAnsi="Calibri" w:cs="Calibri"/>
            <w:noProof/>
            <w:webHidden/>
            <w:szCs w:val="20"/>
          </w:rPr>
        </w:r>
        <w:r w:rsidR="000D22D0" w:rsidRPr="00FB04F6">
          <w:rPr>
            <w:rFonts w:ascii="Calibri" w:hAnsi="Calibri" w:cs="Calibri"/>
            <w:noProof/>
            <w:webHidden/>
            <w:szCs w:val="20"/>
          </w:rPr>
          <w:fldChar w:fldCharType="separate"/>
        </w:r>
        <w:r w:rsidR="00B05C7F">
          <w:rPr>
            <w:rFonts w:ascii="Calibri" w:hAnsi="Calibri" w:cs="Calibri"/>
            <w:noProof/>
            <w:webHidden/>
            <w:szCs w:val="20"/>
          </w:rPr>
          <w:t>22</w:t>
        </w:r>
        <w:r w:rsidR="000D22D0" w:rsidRPr="00FB04F6">
          <w:rPr>
            <w:rFonts w:ascii="Calibri" w:hAnsi="Calibri" w:cs="Calibri"/>
            <w:noProof/>
            <w:webHidden/>
            <w:szCs w:val="20"/>
          </w:rPr>
          <w:fldChar w:fldCharType="end"/>
        </w:r>
      </w:hyperlink>
    </w:p>
    <w:p w14:paraId="3000014B" w14:textId="77777777" w:rsidR="000D22D0" w:rsidRPr="00FB04F6" w:rsidRDefault="00160FB0" w:rsidP="006C5F2A">
      <w:pPr>
        <w:pStyle w:val="Tabledesillustrations"/>
        <w:tabs>
          <w:tab w:val="right" w:leader="dot" w:pos="9060"/>
        </w:tabs>
        <w:ind w:left="0"/>
        <w:rPr>
          <w:rFonts w:ascii="Calibri" w:hAnsi="Calibri" w:cs="Calibri"/>
          <w:noProof/>
          <w:szCs w:val="20"/>
        </w:rPr>
      </w:pPr>
      <w:hyperlink w:anchor="_Toc125402453" w:history="1">
        <w:r w:rsidR="000D22D0" w:rsidRPr="00FB04F6">
          <w:rPr>
            <w:rStyle w:val="Lienhypertexte"/>
            <w:rFonts w:ascii="Calibri" w:hAnsi="Calibri" w:cs="Calibri"/>
            <w:noProof/>
            <w:szCs w:val="20"/>
          </w:rPr>
          <w:t>Figure 11. Représentation simplifiée d’une infrastructure de Diffusion</w:t>
        </w:r>
        <w:r w:rsidR="000D22D0" w:rsidRPr="00FB04F6">
          <w:rPr>
            <w:rFonts w:ascii="Calibri" w:hAnsi="Calibri" w:cs="Calibri"/>
            <w:noProof/>
            <w:webHidden/>
            <w:szCs w:val="20"/>
          </w:rPr>
          <w:tab/>
        </w:r>
        <w:r w:rsidR="000D22D0" w:rsidRPr="00FB04F6">
          <w:rPr>
            <w:rFonts w:ascii="Calibri" w:hAnsi="Calibri" w:cs="Calibri"/>
            <w:noProof/>
            <w:webHidden/>
            <w:szCs w:val="20"/>
          </w:rPr>
          <w:fldChar w:fldCharType="begin"/>
        </w:r>
        <w:r w:rsidR="000D22D0" w:rsidRPr="00FB04F6">
          <w:rPr>
            <w:rFonts w:ascii="Calibri" w:hAnsi="Calibri" w:cs="Calibri"/>
            <w:noProof/>
            <w:webHidden/>
            <w:szCs w:val="20"/>
          </w:rPr>
          <w:instrText xml:space="preserve"> PAGEREF _Toc125402453 \h </w:instrText>
        </w:r>
        <w:r w:rsidR="000D22D0" w:rsidRPr="00FB04F6">
          <w:rPr>
            <w:rFonts w:ascii="Calibri" w:hAnsi="Calibri" w:cs="Calibri"/>
            <w:noProof/>
            <w:webHidden/>
            <w:szCs w:val="20"/>
          </w:rPr>
        </w:r>
        <w:r w:rsidR="000D22D0" w:rsidRPr="00FB04F6">
          <w:rPr>
            <w:rFonts w:ascii="Calibri" w:hAnsi="Calibri" w:cs="Calibri"/>
            <w:noProof/>
            <w:webHidden/>
            <w:szCs w:val="20"/>
          </w:rPr>
          <w:fldChar w:fldCharType="separate"/>
        </w:r>
        <w:r w:rsidR="00B05C7F">
          <w:rPr>
            <w:rFonts w:ascii="Calibri" w:hAnsi="Calibri" w:cs="Calibri"/>
            <w:noProof/>
            <w:webHidden/>
            <w:szCs w:val="20"/>
          </w:rPr>
          <w:t>23</w:t>
        </w:r>
        <w:r w:rsidR="000D22D0" w:rsidRPr="00FB04F6">
          <w:rPr>
            <w:rFonts w:ascii="Calibri" w:hAnsi="Calibri" w:cs="Calibri"/>
            <w:noProof/>
            <w:webHidden/>
            <w:szCs w:val="20"/>
          </w:rPr>
          <w:fldChar w:fldCharType="end"/>
        </w:r>
      </w:hyperlink>
    </w:p>
    <w:p w14:paraId="0B3E628E" w14:textId="77777777" w:rsidR="000D22D0" w:rsidRPr="00FB04F6" w:rsidRDefault="00160FB0" w:rsidP="006C5F2A">
      <w:pPr>
        <w:pStyle w:val="Tabledesillustrations"/>
        <w:tabs>
          <w:tab w:val="right" w:leader="dot" w:pos="9060"/>
        </w:tabs>
        <w:ind w:left="0"/>
        <w:rPr>
          <w:rFonts w:ascii="Calibri" w:hAnsi="Calibri" w:cs="Calibri"/>
          <w:noProof/>
          <w:szCs w:val="20"/>
        </w:rPr>
      </w:pPr>
      <w:hyperlink w:anchor="_Toc125402454" w:history="1">
        <w:r w:rsidR="000D22D0" w:rsidRPr="00FB04F6">
          <w:rPr>
            <w:rStyle w:val="Lienhypertexte"/>
            <w:rFonts w:ascii="Calibri" w:hAnsi="Calibri" w:cs="Calibri"/>
            <w:noProof/>
            <w:szCs w:val="20"/>
          </w:rPr>
          <w:t>Figure 12. Représentation d’une infrastructure de Transmission</w:t>
        </w:r>
        <w:r w:rsidR="000D22D0" w:rsidRPr="00FB04F6">
          <w:rPr>
            <w:rFonts w:ascii="Calibri" w:hAnsi="Calibri" w:cs="Calibri"/>
            <w:noProof/>
            <w:webHidden/>
            <w:szCs w:val="20"/>
          </w:rPr>
          <w:tab/>
        </w:r>
        <w:r w:rsidR="000D22D0" w:rsidRPr="00FB04F6">
          <w:rPr>
            <w:rFonts w:ascii="Calibri" w:hAnsi="Calibri" w:cs="Calibri"/>
            <w:noProof/>
            <w:webHidden/>
            <w:szCs w:val="20"/>
          </w:rPr>
          <w:fldChar w:fldCharType="begin"/>
        </w:r>
        <w:r w:rsidR="000D22D0" w:rsidRPr="00FB04F6">
          <w:rPr>
            <w:rFonts w:ascii="Calibri" w:hAnsi="Calibri" w:cs="Calibri"/>
            <w:noProof/>
            <w:webHidden/>
            <w:szCs w:val="20"/>
          </w:rPr>
          <w:instrText xml:space="preserve"> PAGEREF _Toc125402454 \h </w:instrText>
        </w:r>
        <w:r w:rsidR="000D22D0" w:rsidRPr="00FB04F6">
          <w:rPr>
            <w:rFonts w:ascii="Calibri" w:hAnsi="Calibri" w:cs="Calibri"/>
            <w:noProof/>
            <w:webHidden/>
            <w:szCs w:val="20"/>
          </w:rPr>
        </w:r>
        <w:r w:rsidR="000D22D0" w:rsidRPr="00FB04F6">
          <w:rPr>
            <w:rFonts w:ascii="Calibri" w:hAnsi="Calibri" w:cs="Calibri"/>
            <w:noProof/>
            <w:webHidden/>
            <w:szCs w:val="20"/>
          </w:rPr>
          <w:fldChar w:fldCharType="separate"/>
        </w:r>
        <w:r w:rsidR="00B05C7F">
          <w:rPr>
            <w:rFonts w:ascii="Calibri" w:hAnsi="Calibri" w:cs="Calibri"/>
            <w:noProof/>
            <w:webHidden/>
            <w:szCs w:val="20"/>
          </w:rPr>
          <w:t>23</w:t>
        </w:r>
        <w:r w:rsidR="000D22D0" w:rsidRPr="00FB04F6">
          <w:rPr>
            <w:rFonts w:ascii="Calibri" w:hAnsi="Calibri" w:cs="Calibri"/>
            <w:noProof/>
            <w:webHidden/>
            <w:szCs w:val="20"/>
          </w:rPr>
          <w:fldChar w:fldCharType="end"/>
        </w:r>
      </w:hyperlink>
    </w:p>
    <w:p w14:paraId="73579FEC" w14:textId="77777777" w:rsidR="000D22D0" w:rsidRPr="00FB04F6" w:rsidRDefault="00160FB0" w:rsidP="006C5F2A">
      <w:pPr>
        <w:pStyle w:val="Tabledesillustrations"/>
        <w:tabs>
          <w:tab w:val="right" w:leader="dot" w:pos="9060"/>
        </w:tabs>
        <w:ind w:left="0"/>
        <w:rPr>
          <w:rFonts w:ascii="Calibri" w:hAnsi="Calibri" w:cs="Calibri"/>
          <w:noProof/>
          <w:szCs w:val="20"/>
        </w:rPr>
      </w:pPr>
      <w:hyperlink w:anchor="_Toc125402455" w:history="1">
        <w:r w:rsidR="000D22D0" w:rsidRPr="00FB04F6">
          <w:rPr>
            <w:rStyle w:val="Lienhypertexte"/>
            <w:rFonts w:ascii="Calibri" w:hAnsi="Calibri" w:cs="Calibri"/>
            <w:noProof/>
            <w:szCs w:val="20"/>
          </w:rPr>
          <w:t>Figure 13 : Principes de l’alphabétisation numérique</w:t>
        </w:r>
        <w:r w:rsidR="000D22D0" w:rsidRPr="00FB04F6">
          <w:rPr>
            <w:rFonts w:ascii="Calibri" w:hAnsi="Calibri" w:cs="Calibri"/>
            <w:noProof/>
            <w:webHidden/>
            <w:szCs w:val="20"/>
          </w:rPr>
          <w:tab/>
        </w:r>
        <w:r w:rsidR="000D22D0" w:rsidRPr="00FB04F6">
          <w:rPr>
            <w:rFonts w:ascii="Calibri" w:hAnsi="Calibri" w:cs="Calibri"/>
            <w:noProof/>
            <w:webHidden/>
            <w:szCs w:val="20"/>
          </w:rPr>
          <w:fldChar w:fldCharType="begin"/>
        </w:r>
        <w:r w:rsidR="000D22D0" w:rsidRPr="00FB04F6">
          <w:rPr>
            <w:rFonts w:ascii="Calibri" w:hAnsi="Calibri" w:cs="Calibri"/>
            <w:noProof/>
            <w:webHidden/>
            <w:szCs w:val="20"/>
          </w:rPr>
          <w:instrText xml:space="preserve"> PAGEREF _Toc125402455 \h </w:instrText>
        </w:r>
        <w:r w:rsidR="000D22D0" w:rsidRPr="00FB04F6">
          <w:rPr>
            <w:rFonts w:ascii="Calibri" w:hAnsi="Calibri" w:cs="Calibri"/>
            <w:noProof/>
            <w:webHidden/>
            <w:szCs w:val="20"/>
          </w:rPr>
        </w:r>
        <w:r w:rsidR="000D22D0" w:rsidRPr="00FB04F6">
          <w:rPr>
            <w:rFonts w:ascii="Calibri" w:hAnsi="Calibri" w:cs="Calibri"/>
            <w:noProof/>
            <w:webHidden/>
            <w:szCs w:val="20"/>
          </w:rPr>
          <w:fldChar w:fldCharType="separate"/>
        </w:r>
        <w:r w:rsidR="00B05C7F">
          <w:rPr>
            <w:rFonts w:ascii="Calibri" w:hAnsi="Calibri" w:cs="Calibri"/>
            <w:noProof/>
            <w:webHidden/>
            <w:szCs w:val="20"/>
          </w:rPr>
          <w:t>25</w:t>
        </w:r>
        <w:r w:rsidR="000D22D0" w:rsidRPr="00FB04F6">
          <w:rPr>
            <w:rFonts w:ascii="Calibri" w:hAnsi="Calibri" w:cs="Calibri"/>
            <w:noProof/>
            <w:webHidden/>
            <w:szCs w:val="20"/>
          </w:rPr>
          <w:fldChar w:fldCharType="end"/>
        </w:r>
      </w:hyperlink>
    </w:p>
    <w:p w14:paraId="039F25BC" w14:textId="77777777" w:rsidR="000D22D0" w:rsidRPr="00FB04F6" w:rsidRDefault="00160FB0" w:rsidP="006C5F2A">
      <w:pPr>
        <w:pStyle w:val="Tabledesillustrations"/>
        <w:tabs>
          <w:tab w:val="right" w:leader="dot" w:pos="9060"/>
        </w:tabs>
        <w:ind w:left="0"/>
        <w:rPr>
          <w:rFonts w:ascii="Calibri" w:hAnsi="Calibri" w:cs="Calibri"/>
          <w:noProof/>
          <w:szCs w:val="20"/>
        </w:rPr>
      </w:pPr>
      <w:hyperlink w:anchor="_Toc125402456" w:history="1">
        <w:r w:rsidR="000D22D0" w:rsidRPr="00FB04F6">
          <w:rPr>
            <w:rStyle w:val="Lienhypertexte"/>
            <w:rFonts w:ascii="Calibri" w:hAnsi="Calibri" w:cs="Calibri"/>
            <w:noProof/>
            <w:szCs w:val="20"/>
          </w:rPr>
          <w:t>Figure 14. Objectifs de la sensibilisation</w:t>
        </w:r>
        <w:r w:rsidR="000D22D0" w:rsidRPr="00FB04F6">
          <w:rPr>
            <w:rFonts w:ascii="Calibri" w:hAnsi="Calibri" w:cs="Calibri"/>
            <w:noProof/>
            <w:webHidden/>
            <w:szCs w:val="20"/>
          </w:rPr>
          <w:tab/>
        </w:r>
        <w:r w:rsidR="000D22D0" w:rsidRPr="00FB04F6">
          <w:rPr>
            <w:rFonts w:ascii="Calibri" w:hAnsi="Calibri" w:cs="Calibri"/>
            <w:noProof/>
            <w:webHidden/>
            <w:szCs w:val="20"/>
          </w:rPr>
          <w:fldChar w:fldCharType="begin"/>
        </w:r>
        <w:r w:rsidR="000D22D0" w:rsidRPr="00FB04F6">
          <w:rPr>
            <w:rFonts w:ascii="Calibri" w:hAnsi="Calibri" w:cs="Calibri"/>
            <w:noProof/>
            <w:webHidden/>
            <w:szCs w:val="20"/>
          </w:rPr>
          <w:instrText xml:space="preserve"> PAGEREF _Toc125402456 \h </w:instrText>
        </w:r>
        <w:r w:rsidR="000D22D0" w:rsidRPr="00FB04F6">
          <w:rPr>
            <w:rFonts w:ascii="Calibri" w:hAnsi="Calibri" w:cs="Calibri"/>
            <w:noProof/>
            <w:webHidden/>
            <w:szCs w:val="20"/>
          </w:rPr>
        </w:r>
        <w:r w:rsidR="000D22D0" w:rsidRPr="00FB04F6">
          <w:rPr>
            <w:rFonts w:ascii="Calibri" w:hAnsi="Calibri" w:cs="Calibri"/>
            <w:noProof/>
            <w:webHidden/>
            <w:szCs w:val="20"/>
          </w:rPr>
          <w:fldChar w:fldCharType="separate"/>
        </w:r>
        <w:r w:rsidR="00B05C7F">
          <w:rPr>
            <w:rFonts w:ascii="Calibri" w:hAnsi="Calibri" w:cs="Calibri"/>
            <w:noProof/>
            <w:webHidden/>
            <w:szCs w:val="20"/>
          </w:rPr>
          <w:t>26</w:t>
        </w:r>
        <w:r w:rsidR="000D22D0" w:rsidRPr="00FB04F6">
          <w:rPr>
            <w:rFonts w:ascii="Calibri" w:hAnsi="Calibri" w:cs="Calibri"/>
            <w:noProof/>
            <w:webHidden/>
            <w:szCs w:val="20"/>
          </w:rPr>
          <w:fldChar w:fldCharType="end"/>
        </w:r>
      </w:hyperlink>
    </w:p>
    <w:p w14:paraId="0B7760A9" w14:textId="77777777" w:rsidR="000D22D0" w:rsidRPr="00FB04F6" w:rsidRDefault="00160FB0" w:rsidP="006C5F2A">
      <w:pPr>
        <w:pStyle w:val="Tabledesillustrations"/>
        <w:tabs>
          <w:tab w:val="right" w:leader="dot" w:pos="9060"/>
        </w:tabs>
        <w:ind w:left="0"/>
        <w:rPr>
          <w:rFonts w:ascii="Calibri" w:hAnsi="Calibri" w:cs="Calibri"/>
          <w:noProof/>
          <w:szCs w:val="20"/>
        </w:rPr>
      </w:pPr>
      <w:hyperlink w:anchor="_Toc125402457" w:history="1">
        <w:r w:rsidR="000D22D0" w:rsidRPr="00FB04F6">
          <w:rPr>
            <w:rStyle w:val="Lienhypertexte"/>
            <w:rFonts w:ascii="Calibri" w:hAnsi="Calibri" w:cs="Calibri"/>
            <w:noProof/>
            <w:szCs w:val="20"/>
          </w:rPr>
          <w:t>Figure 15. Pyramide des âges de la population à Madagascar</w:t>
        </w:r>
        <w:r w:rsidR="000D22D0" w:rsidRPr="00FB04F6">
          <w:rPr>
            <w:rFonts w:ascii="Calibri" w:hAnsi="Calibri" w:cs="Calibri"/>
            <w:noProof/>
            <w:webHidden/>
            <w:szCs w:val="20"/>
          </w:rPr>
          <w:tab/>
        </w:r>
        <w:r w:rsidR="000D22D0" w:rsidRPr="00FB04F6">
          <w:rPr>
            <w:rFonts w:ascii="Calibri" w:hAnsi="Calibri" w:cs="Calibri"/>
            <w:noProof/>
            <w:webHidden/>
            <w:szCs w:val="20"/>
          </w:rPr>
          <w:fldChar w:fldCharType="begin"/>
        </w:r>
        <w:r w:rsidR="000D22D0" w:rsidRPr="00FB04F6">
          <w:rPr>
            <w:rFonts w:ascii="Calibri" w:hAnsi="Calibri" w:cs="Calibri"/>
            <w:noProof/>
            <w:webHidden/>
            <w:szCs w:val="20"/>
          </w:rPr>
          <w:instrText xml:space="preserve"> PAGEREF _Toc125402457 \h </w:instrText>
        </w:r>
        <w:r w:rsidR="000D22D0" w:rsidRPr="00FB04F6">
          <w:rPr>
            <w:rFonts w:ascii="Calibri" w:hAnsi="Calibri" w:cs="Calibri"/>
            <w:noProof/>
            <w:webHidden/>
            <w:szCs w:val="20"/>
          </w:rPr>
        </w:r>
        <w:r w:rsidR="000D22D0" w:rsidRPr="00FB04F6">
          <w:rPr>
            <w:rFonts w:ascii="Calibri" w:hAnsi="Calibri" w:cs="Calibri"/>
            <w:noProof/>
            <w:webHidden/>
            <w:szCs w:val="20"/>
          </w:rPr>
          <w:fldChar w:fldCharType="separate"/>
        </w:r>
        <w:r w:rsidR="00B05C7F">
          <w:rPr>
            <w:rFonts w:ascii="Calibri" w:hAnsi="Calibri" w:cs="Calibri"/>
            <w:noProof/>
            <w:webHidden/>
            <w:szCs w:val="20"/>
          </w:rPr>
          <w:t>52</w:t>
        </w:r>
        <w:r w:rsidR="000D22D0" w:rsidRPr="00FB04F6">
          <w:rPr>
            <w:rFonts w:ascii="Calibri" w:hAnsi="Calibri" w:cs="Calibri"/>
            <w:noProof/>
            <w:webHidden/>
            <w:szCs w:val="20"/>
          </w:rPr>
          <w:fldChar w:fldCharType="end"/>
        </w:r>
      </w:hyperlink>
    </w:p>
    <w:p w14:paraId="7DC3F22E" w14:textId="77777777" w:rsidR="000D22D0" w:rsidRPr="00FB04F6" w:rsidRDefault="00160FB0" w:rsidP="006C5F2A">
      <w:pPr>
        <w:pStyle w:val="Tabledesillustrations"/>
        <w:tabs>
          <w:tab w:val="right" w:leader="dot" w:pos="9060"/>
        </w:tabs>
        <w:ind w:left="0"/>
        <w:rPr>
          <w:rFonts w:ascii="Calibri" w:hAnsi="Calibri" w:cs="Calibri"/>
          <w:noProof/>
          <w:szCs w:val="20"/>
        </w:rPr>
      </w:pPr>
      <w:hyperlink w:anchor="_Toc125402458" w:history="1">
        <w:r w:rsidR="000D22D0" w:rsidRPr="00FB04F6">
          <w:rPr>
            <w:rStyle w:val="Lienhypertexte"/>
            <w:rFonts w:ascii="Calibri" w:hAnsi="Calibri" w:cs="Calibri"/>
            <w:noProof/>
            <w:szCs w:val="20"/>
          </w:rPr>
          <w:t>Figure 16. Niveau d’éducation de la population locale</w:t>
        </w:r>
        <w:r w:rsidR="000D22D0" w:rsidRPr="00FB04F6">
          <w:rPr>
            <w:rFonts w:ascii="Calibri" w:hAnsi="Calibri" w:cs="Calibri"/>
            <w:noProof/>
            <w:webHidden/>
            <w:szCs w:val="20"/>
          </w:rPr>
          <w:tab/>
        </w:r>
        <w:r w:rsidR="000D22D0" w:rsidRPr="00FB04F6">
          <w:rPr>
            <w:rFonts w:ascii="Calibri" w:hAnsi="Calibri" w:cs="Calibri"/>
            <w:noProof/>
            <w:webHidden/>
            <w:szCs w:val="20"/>
          </w:rPr>
          <w:fldChar w:fldCharType="begin"/>
        </w:r>
        <w:r w:rsidR="000D22D0" w:rsidRPr="00FB04F6">
          <w:rPr>
            <w:rFonts w:ascii="Calibri" w:hAnsi="Calibri" w:cs="Calibri"/>
            <w:noProof/>
            <w:webHidden/>
            <w:szCs w:val="20"/>
          </w:rPr>
          <w:instrText xml:space="preserve"> PAGEREF _Toc125402458 \h </w:instrText>
        </w:r>
        <w:r w:rsidR="000D22D0" w:rsidRPr="00FB04F6">
          <w:rPr>
            <w:rFonts w:ascii="Calibri" w:hAnsi="Calibri" w:cs="Calibri"/>
            <w:noProof/>
            <w:webHidden/>
            <w:szCs w:val="20"/>
          </w:rPr>
        </w:r>
        <w:r w:rsidR="000D22D0" w:rsidRPr="00FB04F6">
          <w:rPr>
            <w:rFonts w:ascii="Calibri" w:hAnsi="Calibri" w:cs="Calibri"/>
            <w:noProof/>
            <w:webHidden/>
            <w:szCs w:val="20"/>
          </w:rPr>
          <w:fldChar w:fldCharType="separate"/>
        </w:r>
        <w:r w:rsidR="00B05C7F">
          <w:rPr>
            <w:rFonts w:ascii="Calibri" w:hAnsi="Calibri" w:cs="Calibri"/>
            <w:noProof/>
            <w:webHidden/>
            <w:szCs w:val="20"/>
          </w:rPr>
          <w:t>58</w:t>
        </w:r>
        <w:r w:rsidR="000D22D0" w:rsidRPr="00FB04F6">
          <w:rPr>
            <w:rFonts w:ascii="Calibri" w:hAnsi="Calibri" w:cs="Calibri"/>
            <w:noProof/>
            <w:webHidden/>
            <w:szCs w:val="20"/>
          </w:rPr>
          <w:fldChar w:fldCharType="end"/>
        </w:r>
      </w:hyperlink>
    </w:p>
    <w:p w14:paraId="612ED727" w14:textId="77777777" w:rsidR="000D22D0" w:rsidRPr="00FB04F6" w:rsidRDefault="00160FB0" w:rsidP="006C5F2A">
      <w:pPr>
        <w:pStyle w:val="Tabledesillustrations"/>
        <w:tabs>
          <w:tab w:val="right" w:leader="dot" w:pos="9060"/>
        </w:tabs>
        <w:ind w:left="0"/>
        <w:rPr>
          <w:rFonts w:ascii="Calibri" w:hAnsi="Calibri" w:cs="Calibri"/>
          <w:noProof/>
          <w:szCs w:val="20"/>
        </w:rPr>
      </w:pPr>
      <w:hyperlink w:anchor="_Toc125402459" w:history="1">
        <w:r w:rsidR="000D22D0" w:rsidRPr="00FB04F6">
          <w:rPr>
            <w:rStyle w:val="Lienhypertexte"/>
            <w:rFonts w:ascii="Calibri" w:hAnsi="Calibri" w:cs="Calibri"/>
            <w:noProof/>
            <w:szCs w:val="20"/>
          </w:rPr>
          <w:t>Figure 17. Evolution de la production en électricité (MW)</w:t>
        </w:r>
        <w:r w:rsidR="000D22D0" w:rsidRPr="00FB04F6">
          <w:rPr>
            <w:rFonts w:ascii="Calibri" w:hAnsi="Calibri" w:cs="Calibri"/>
            <w:noProof/>
            <w:webHidden/>
            <w:szCs w:val="20"/>
          </w:rPr>
          <w:tab/>
        </w:r>
        <w:r w:rsidR="000D22D0" w:rsidRPr="00FB04F6">
          <w:rPr>
            <w:rFonts w:ascii="Calibri" w:hAnsi="Calibri" w:cs="Calibri"/>
            <w:noProof/>
            <w:webHidden/>
            <w:szCs w:val="20"/>
          </w:rPr>
          <w:fldChar w:fldCharType="begin"/>
        </w:r>
        <w:r w:rsidR="000D22D0" w:rsidRPr="00FB04F6">
          <w:rPr>
            <w:rFonts w:ascii="Calibri" w:hAnsi="Calibri" w:cs="Calibri"/>
            <w:noProof/>
            <w:webHidden/>
            <w:szCs w:val="20"/>
          </w:rPr>
          <w:instrText xml:space="preserve"> PAGEREF _Toc125402459 \h </w:instrText>
        </w:r>
        <w:r w:rsidR="000D22D0" w:rsidRPr="00FB04F6">
          <w:rPr>
            <w:rFonts w:ascii="Calibri" w:hAnsi="Calibri" w:cs="Calibri"/>
            <w:noProof/>
            <w:webHidden/>
            <w:szCs w:val="20"/>
          </w:rPr>
        </w:r>
        <w:r w:rsidR="000D22D0" w:rsidRPr="00FB04F6">
          <w:rPr>
            <w:rFonts w:ascii="Calibri" w:hAnsi="Calibri" w:cs="Calibri"/>
            <w:noProof/>
            <w:webHidden/>
            <w:szCs w:val="20"/>
          </w:rPr>
          <w:fldChar w:fldCharType="separate"/>
        </w:r>
        <w:r w:rsidR="00B05C7F">
          <w:rPr>
            <w:rFonts w:ascii="Calibri" w:hAnsi="Calibri" w:cs="Calibri"/>
            <w:noProof/>
            <w:webHidden/>
            <w:szCs w:val="20"/>
          </w:rPr>
          <w:t>61</w:t>
        </w:r>
        <w:r w:rsidR="000D22D0" w:rsidRPr="00FB04F6">
          <w:rPr>
            <w:rFonts w:ascii="Calibri" w:hAnsi="Calibri" w:cs="Calibri"/>
            <w:noProof/>
            <w:webHidden/>
            <w:szCs w:val="20"/>
          </w:rPr>
          <w:fldChar w:fldCharType="end"/>
        </w:r>
      </w:hyperlink>
    </w:p>
    <w:p w14:paraId="5D00EA87" w14:textId="77777777" w:rsidR="000D22D0" w:rsidRPr="00FB04F6" w:rsidRDefault="00160FB0" w:rsidP="006C5F2A">
      <w:pPr>
        <w:pStyle w:val="Tabledesillustrations"/>
        <w:tabs>
          <w:tab w:val="right" w:leader="dot" w:pos="9060"/>
        </w:tabs>
        <w:ind w:left="0"/>
        <w:rPr>
          <w:rFonts w:ascii="Calibri" w:hAnsi="Calibri" w:cs="Calibri"/>
          <w:noProof/>
          <w:szCs w:val="20"/>
        </w:rPr>
      </w:pPr>
      <w:hyperlink w:anchor="_Toc125402460" w:history="1">
        <w:r w:rsidR="000D22D0" w:rsidRPr="00FB04F6">
          <w:rPr>
            <w:rStyle w:val="Lienhypertexte"/>
            <w:rFonts w:ascii="Calibri" w:hAnsi="Calibri" w:cs="Calibri"/>
            <w:noProof/>
            <w:szCs w:val="20"/>
          </w:rPr>
          <w:t>Figure 18. Structure de vente de l’électricité</w:t>
        </w:r>
        <w:r w:rsidR="000D22D0" w:rsidRPr="00FB04F6">
          <w:rPr>
            <w:rFonts w:ascii="Calibri" w:hAnsi="Calibri" w:cs="Calibri"/>
            <w:noProof/>
            <w:webHidden/>
            <w:szCs w:val="20"/>
          </w:rPr>
          <w:tab/>
        </w:r>
        <w:r w:rsidR="000D22D0" w:rsidRPr="00FB04F6">
          <w:rPr>
            <w:rFonts w:ascii="Calibri" w:hAnsi="Calibri" w:cs="Calibri"/>
            <w:noProof/>
            <w:webHidden/>
            <w:szCs w:val="20"/>
          </w:rPr>
          <w:fldChar w:fldCharType="begin"/>
        </w:r>
        <w:r w:rsidR="000D22D0" w:rsidRPr="00FB04F6">
          <w:rPr>
            <w:rFonts w:ascii="Calibri" w:hAnsi="Calibri" w:cs="Calibri"/>
            <w:noProof/>
            <w:webHidden/>
            <w:szCs w:val="20"/>
          </w:rPr>
          <w:instrText xml:space="preserve"> PAGEREF _Toc125402460 \h </w:instrText>
        </w:r>
        <w:r w:rsidR="000D22D0" w:rsidRPr="00FB04F6">
          <w:rPr>
            <w:rFonts w:ascii="Calibri" w:hAnsi="Calibri" w:cs="Calibri"/>
            <w:noProof/>
            <w:webHidden/>
            <w:szCs w:val="20"/>
          </w:rPr>
        </w:r>
        <w:r w:rsidR="000D22D0" w:rsidRPr="00FB04F6">
          <w:rPr>
            <w:rFonts w:ascii="Calibri" w:hAnsi="Calibri" w:cs="Calibri"/>
            <w:noProof/>
            <w:webHidden/>
            <w:szCs w:val="20"/>
          </w:rPr>
          <w:fldChar w:fldCharType="separate"/>
        </w:r>
        <w:r w:rsidR="00B05C7F">
          <w:rPr>
            <w:rFonts w:ascii="Calibri" w:hAnsi="Calibri" w:cs="Calibri"/>
            <w:noProof/>
            <w:webHidden/>
            <w:szCs w:val="20"/>
          </w:rPr>
          <w:t>62</w:t>
        </w:r>
        <w:r w:rsidR="000D22D0" w:rsidRPr="00FB04F6">
          <w:rPr>
            <w:rFonts w:ascii="Calibri" w:hAnsi="Calibri" w:cs="Calibri"/>
            <w:noProof/>
            <w:webHidden/>
            <w:szCs w:val="20"/>
          </w:rPr>
          <w:fldChar w:fldCharType="end"/>
        </w:r>
      </w:hyperlink>
    </w:p>
    <w:p w14:paraId="07322473" w14:textId="77777777" w:rsidR="000D22D0" w:rsidRPr="00FB04F6" w:rsidRDefault="00160FB0" w:rsidP="006C5F2A">
      <w:pPr>
        <w:pStyle w:val="Tabledesillustrations"/>
        <w:tabs>
          <w:tab w:val="right" w:leader="dot" w:pos="9060"/>
        </w:tabs>
        <w:ind w:left="0"/>
        <w:rPr>
          <w:rFonts w:ascii="Calibri" w:hAnsi="Calibri" w:cs="Calibri"/>
          <w:noProof/>
          <w:szCs w:val="20"/>
        </w:rPr>
      </w:pPr>
      <w:hyperlink w:anchor="_Toc125402461" w:history="1">
        <w:r w:rsidR="000D22D0" w:rsidRPr="00FB04F6">
          <w:rPr>
            <w:rStyle w:val="Lienhypertexte"/>
            <w:rFonts w:ascii="Calibri" w:hAnsi="Calibri" w:cs="Calibri"/>
            <w:noProof/>
            <w:szCs w:val="20"/>
          </w:rPr>
          <w:t>Figure 19. Evolution de l’utilisation de téléphone Mobile et internet à Madagascar</w:t>
        </w:r>
        <w:r w:rsidR="000D22D0" w:rsidRPr="00FB04F6">
          <w:rPr>
            <w:rFonts w:ascii="Calibri" w:hAnsi="Calibri" w:cs="Calibri"/>
            <w:noProof/>
            <w:webHidden/>
            <w:szCs w:val="20"/>
          </w:rPr>
          <w:tab/>
        </w:r>
        <w:r w:rsidR="000D22D0" w:rsidRPr="00FB04F6">
          <w:rPr>
            <w:rFonts w:ascii="Calibri" w:hAnsi="Calibri" w:cs="Calibri"/>
            <w:noProof/>
            <w:webHidden/>
            <w:szCs w:val="20"/>
          </w:rPr>
          <w:fldChar w:fldCharType="begin"/>
        </w:r>
        <w:r w:rsidR="000D22D0" w:rsidRPr="00FB04F6">
          <w:rPr>
            <w:rFonts w:ascii="Calibri" w:hAnsi="Calibri" w:cs="Calibri"/>
            <w:noProof/>
            <w:webHidden/>
            <w:szCs w:val="20"/>
          </w:rPr>
          <w:instrText xml:space="preserve"> PAGEREF _Toc125402461 \h </w:instrText>
        </w:r>
        <w:r w:rsidR="000D22D0" w:rsidRPr="00FB04F6">
          <w:rPr>
            <w:rFonts w:ascii="Calibri" w:hAnsi="Calibri" w:cs="Calibri"/>
            <w:noProof/>
            <w:webHidden/>
            <w:szCs w:val="20"/>
          </w:rPr>
        </w:r>
        <w:r w:rsidR="000D22D0" w:rsidRPr="00FB04F6">
          <w:rPr>
            <w:rFonts w:ascii="Calibri" w:hAnsi="Calibri" w:cs="Calibri"/>
            <w:noProof/>
            <w:webHidden/>
            <w:szCs w:val="20"/>
          </w:rPr>
          <w:fldChar w:fldCharType="separate"/>
        </w:r>
        <w:r w:rsidR="00B05C7F">
          <w:rPr>
            <w:rFonts w:ascii="Calibri" w:hAnsi="Calibri" w:cs="Calibri"/>
            <w:noProof/>
            <w:webHidden/>
            <w:szCs w:val="20"/>
          </w:rPr>
          <w:t>63</w:t>
        </w:r>
        <w:r w:rsidR="000D22D0" w:rsidRPr="00FB04F6">
          <w:rPr>
            <w:rFonts w:ascii="Calibri" w:hAnsi="Calibri" w:cs="Calibri"/>
            <w:noProof/>
            <w:webHidden/>
            <w:szCs w:val="20"/>
          </w:rPr>
          <w:fldChar w:fldCharType="end"/>
        </w:r>
      </w:hyperlink>
    </w:p>
    <w:p w14:paraId="29ACF65E" w14:textId="77777777" w:rsidR="000D22D0" w:rsidRPr="00FB04F6" w:rsidRDefault="00160FB0" w:rsidP="006C5F2A">
      <w:pPr>
        <w:pStyle w:val="Tabledesillustrations"/>
        <w:tabs>
          <w:tab w:val="right" w:leader="dot" w:pos="9060"/>
        </w:tabs>
        <w:ind w:left="0"/>
        <w:rPr>
          <w:rFonts w:ascii="Calibri" w:hAnsi="Calibri" w:cs="Calibri"/>
          <w:noProof/>
          <w:szCs w:val="20"/>
        </w:rPr>
      </w:pPr>
      <w:hyperlink w:anchor="_Toc125402462" w:history="1">
        <w:r w:rsidR="000D22D0" w:rsidRPr="00FB04F6">
          <w:rPr>
            <w:rStyle w:val="Lienhypertexte"/>
            <w:rFonts w:ascii="Calibri" w:hAnsi="Calibri" w:cs="Calibri"/>
            <w:noProof/>
            <w:szCs w:val="20"/>
          </w:rPr>
          <w:t>Figure 20. Recherche d’aide pour arrêter la violence</w:t>
        </w:r>
        <w:r w:rsidR="000D22D0" w:rsidRPr="00FB04F6">
          <w:rPr>
            <w:rFonts w:ascii="Calibri" w:hAnsi="Calibri" w:cs="Calibri"/>
            <w:noProof/>
            <w:webHidden/>
            <w:szCs w:val="20"/>
          </w:rPr>
          <w:tab/>
        </w:r>
        <w:r w:rsidR="000D22D0" w:rsidRPr="00FB04F6">
          <w:rPr>
            <w:rFonts w:ascii="Calibri" w:hAnsi="Calibri" w:cs="Calibri"/>
            <w:noProof/>
            <w:webHidden/>
            <w:szCs w:val="20"/>
          </w:rPr>
          <w:fldChar w:fldCharType="begin"/>
        </w:r>
        <w:r w:rsidR="000D22D0" w:rsidRPr="00FB04F6">
          <w:rPr>
            <w:rFonts w:ascii="Calibri" w:hAnsi="Calibri" w:cs="Calibri"/>
            <w:noProof/>
            <w:webHidden/>
            <w:szCs w:val="20"/>
          </w:rPr>
          <w:instrText xml:space="preserve"> PAGEREF _Toc125402462 \h </w:instrText>
        </w:r>
        <w:r w:rsidR="000D22D0" w:rsidRPr="00FB04F6">
          <w:rPr>
            <w:rFonts w:ascii="Calibri" w:hAnsi="Calibri" w:cs="Calibri"/>
            <w:noProof/>
            <w:webHidden/>
            <w:szCs w:val="20"/>
          </w:rPr>
        </w:r>
        <w:r w:rsidR="000D22D0" w:rsidRPr="00FB04F6">
          <w:rPr>
            <w:rFonts w:ascii="Calibri" w:hAnsi="Calibri" w:cs="Calibri"/>
            <w:noProof/>
            <w:webHidden/>
            <w:szCs w:val="20"/>
          </w:rPr>
          <w:fldChar w:fldCharType="separate"/>
        </w:r>
        <w:r w:rsidR="00B05C7F">
          <w:rPr>
            <w:rFonts w:ascii="Calibri" w:hAnsi="Calibri" w:cs="Calibri"/>
            <w:noProof/>
            <w:webHidden/>
            <w:szCs w:val="20"/>
          </w:rPr>
          <w:t>66</w:t>
        </w:r>
        <w:r w:rsidR="000D22D0" w:rsidRPr="00FB04F6">
          <w:rPr>
            <w:rFonts w:ascii="Calibri" w:hAnsi="Calibri" w:cs="Calibri"/>
            <w:noProof/>
            <w:webHidden/>
            <w:szCs w:val="20"/>
          </w:rPr>
          <w:fldChar w:fldCharType="end"/>
        </w:r>
      </w:hyperlink>
    </w:p>
    <w:p w14:paraId="6B743C87" w14:textId="77777777" w:rsidR="000D22D0" w:rsidRPr="00FB04F6" w:rsidRDefault="00160FB0" w:rsidP="006C5F2A">
      <w:pPr>
        <w:pStyle w:val="Tabledesillustrations"/>
        <w:tabs>
          <w:tab w:val="right" w:leader="dot" w:pos="9060"/>
        </w:tabs>
        <w:ind w:left="0"/>
        <w:rPr>
          <w:rFonts w:ascii="Calibri" w:hAnsi="Calibri" w:cs="Calibri"/>
          <w:noProof/>
          <w:szCs w:val="20"/>
        </w:rPr>
      </w:pPr>
      <w:hyperlink w:anchor="_Toc125402463" w:history="1">
        <w:r w:rsidR="000D22D0" w:rsidRPr="00FB04F6">
          <w:rPr>
            <w:rStyle w:val="Lienhypertexte"/>
            <w:rFonts w:ascii="Calibri" w:hAnsi="Calibri" w:cs="Calibri"/>
            <w:noProof/>
            <w:szCs w:val="20"/>
          </w:rPr>
          <w:t>Figure 21: Mécanisme de gestion des plaintes du projet DECIM</w:t>
        </w:r>
        <w:r w:rsidR="000D22D0" w:rsidRPr="00FB04F6">
          <w:rPr>
            <w:rFonts w:ascii="Calibri" w:hAnsi="Calibri" w:cs="Calibri"/>
            <w:noProof/>
            <w:webHidden/>
            <w:szCs w:val="20"/>
          </w:rPr>
          <w:tab/>
        </w:r>
        <w:r w:rsidR="000D22D0" w:rsidRPr="00FB04F6">
          <w:rPr>
            <w:rFonts w:ascii="Calibri" w:hAnsi="Calibri" w:cs="Calibri"/>
            <w:noProof/>
            <w:webHidden/>
            <w:szCs w:val="20"/>
          </w:rPr>
          <w:fldChar w:fldCharType="begin"/>
        </w:r>
        <w:r w:rsidR="000D22D0" w:rsidRPr="00FB04F6">
          <w:rPr>
            <w:rFonts w:ascii="Calibri" w:hAnsi="Calibri" w:cs="Calibri"/>
            <w:noProof/>
            <w:webHidden/>
            <w:szCs w:val="20"/>
          </w:rPr>
          <w:instrText xml:space="preserve"> PAGEREF _Toc125402463 \h </w:instrText>
        </w:r>
        <w:r w:rsidR="000D22D0" w:rsidRPr="00FB04F6">
          <w:rPr>
            <w:rFonts w:ascii="Calibri" w:hAnsi="Calibri" w:cs="Calibri"/>
            <w:noProof/>
            <w:webHidden/>
            <w:szCs w:val="20"/>
          </w:rPr>
        </w:r>
        <w:r w:rsidR="000D22D0" w:rsidRPr="00FB04F6">
          <w:rPr>
            <w:rFonts w:ascii="Calibri" w:hAnsi="Calibri" w:cs="Calibri"/>
            <w:noProof/>
            <w:webHidden/>
            <w:szCs w:val="20"/>
          </w:rPr>
          <w:fldChar w:fldCharType="separate"/>
        </w:r>
        <w:r w:rsidR="00B05C7F">
          <w:rPr>
            <w:rFonts w:ascii="Calibri" w:hAnsi="Calibri" w:cs="Calibri"/>
            <w:noProof/>
            <w:webHidden/>
            <w:szCs w:val="20"/>
          </w:rPr>
          <w:t>262</w:t>
        </w:r>
        <w:r w:rsidR="000D22D0" w:rsidRPr="00FB04F6">
          <w:rPr>
            <w:rFonts w:ascii="Calibri" w:hAnsi="Calibri" w:cs="Calibri"/>
            <w:noProof/>
            <w:webHidden/>
            <w:szCs w:val="20"/>
          </w:rPr>
          <w:fldChar w:fldCharType="end"/>
        </w:r>
      </w:hyperlink>
    </w:p>
    <w:p w14:paraId="6542F2B7" w14:textId="77777777" w:rsidR="003856BD" w:rsidRPr="00327DB6" w:rsidRDefault="003856BD" w:rsidP="00524CF6">
      <w:pPr>
        <w:pStyle w:val="TM2"/>
        <w:rPr>
          <w:rStyle w:val="Lienhypertexte"/>
          <w:rFonts w:ascii="Arial" w:hAnsi="Arial" w:cs="Arial"/>
          <w:noProof/>
        </w:rPr>
      </w:pPr>
      <w:r w:rsidRPr="00327DB6">
        <w:rPr>
          <w:rStyle w:val="Lienhypertexte"/>
          <w:rFonts w:ascii="Arial" w:hAnsi="Arial" w:cs="Arial"/>
          <w:noProof/>
        </w:rPr>
        <w:fldChar w:fldCharType="end"/>
      </w:r>
    </w:p>
    <w:p w14:paraId="54663111" w14:textId="77777777" w:rsidR="00813C50" w:rsidRPr="003856BD" w:rsidRDefault="00813C50" w:rsidP="00B0080A">
      <w:pPr>
        <w:pStyle w:val="En-ttedetabledesmatires"/>
        <w:spacing w:before="120" w:after="120"/>
        <w:ind w:left="851" w:hanging="431"/>
        <w:rPr>
          <w:b/>
        </w:rPr>
      </w:pPr>
      <w:bookmarkStart w:id="7" w:name="_Toc127957540"/>
      <w:r w:rsidRPr="00B0080A">
        <w:rPr>
          <w:b/>
          <w:bCs/>
          <w:sz w:val="24"/>
          <w:szCs w:val="24"/>
        </w:rPr>
        <w:t>LISTE DES CARTES</w:t>
      </w:r>
      <w:bookmarkEnd w:id="7"/>
    </w:p>
    <w:p w14:paraId="6F754A2A" w14:textId="77777777" w:rsidR="00382606" w:rsidRPr="00FB04F6" w:rsidRDefault="00FD558F" w:rsidP="006C5F2A">
      <w:pPr>
        <w:pStyle w:val="Tabledesillustrations"/>
        <w:tabs>
          <w:tab w:val="right" w:leader="dot" w:pos="9060"/>
        </w:tabs>
        <w:ind w:left="0"/>
        <w:rPr>
          <w:rFonts w:ascii="Calibri" w:hAnsi="Calibri" w:cs="Calibri"/>
          <w:noProof/>
          <w:szCs w:val="20"/>
        </w:rPr>
      </w:pPr>
      <w:r w:rsidRPr="00FB04F6">
        <w:rPr>
          <w:rStyle w:val="Lienhypertexte"/>
          <w:rFonts w:ascii="Calibri" w:hAnsi="Calibri" w:cs="Calibri"/>
          <w:noProof/>
          <w:szCs w:val="20"/>
        </w:rPr>
        <w:fldChar w:fldCharType="begin"/>
      </w:r>
      <w:r w:rsidRPr="00FB04F6">
        <w:rPr>
          <w:rStyle w:val="Lienhypertexte"/>
          <w:rFonts w:ascii="Calibri" w:hAnsi="Calibri" w:cs="Calibri"/>
          <w:noProof/>
          <w:szCs w:val="20"/>
        </w:rPr>
        <w:instrText xml:space="preserve"> TOC \h \z \c "Carte" </w:instrText>
      </w:r>
      <w:r w:rsidRPr="00FB04F6">
        <w:rPr>
          <w:rStyle w:val="Lienhypertexte"/>
          <w:rFonts w:ascii="Calibri" w:hAnsi="Calibri" w:cs="Calibri"/>
          <w:noProof/>
          <w:szCs w:val="20"/>
        </w:rPr>
        <w:fldChar w:fldCharType="separate"/>
      </w:r>
      <w:hyperlink w:anchor="_Toc125409067" w:history="1">
        <w:r w:rsidR="00382606" w:rsidRPr="00FB04F6">
          <w:rPr>
            <w:rStyle w:val="Lienhypertexte"/>
            <w:rFonts w:ascii="Calibri" w:hAnsi="Calibri" w:cs="Calibri"/>
            <w:noProof/>
            <w:szCs w:val="20"/>
          </w:rPr>
          <w:t>Carte 1: Les différentes zones climatiques de Madagascar selon le service de la Météorologie</w:t>
        </w:r>
        <w:r w:rsidR="00382606" w:rsidRPr="00FB04F6">
          <w:rPr>
            <w:rFonts w:ascii="Calibri" w:hAnsi="Calibri" w:cs="Calibri"/>
            <w:noProof/>
            <w:webHidden/>
            <w:szCs w:val="20"/>
          </w:rPr>
          <w:tab/>
        </w:r>
        <w:r w:rsidR="00382606" w:rsidRPr="00FB04F6">
          <w:rPr>
            <w:rFonts w:ascii="Calibri" w:hAnsi="Calibri" w:cs="Calibri"/>
            <w:noProof/>
            <w:webHidden/>
            <w:szCs w:val="20"/>
          </w:rPr>
          <w:fldChar w:fldCharType="begin"/>
        </w:r>
        <w:r w:rsidR="00382606" w:rsidRPr="00FB04F6">
          <w:rPr>
            <w:rFonts w:ascii="Calibri" w:hAnsi="Calibri" w:cs="Calibri"/>
            <w:noProof/>
            <w:webHidden/>
            <w:szCs w:val="20"/>
          </w:rPr>
          <w:instrText xml:space="preserve"> PAGEREF _Toc125409067 \h </w:instrText>
        </w:r>
        <w:r w:rsidR="00382606" w:rsidRPr="00FB04F6">
          <w:rPr>
            <w:rFonts w:ascii="Calibri" w:hAnsi="Calibri" w:cs="Calibri"/>
            <w:noProof/>
            <w:webHidden/>
            <w:szCs w:val="20"/>
          </w:rPr>
        </w:r>
        <w:r w:rsidR="00382606" w:rsidRPr="00FB04F6">
          <w:rPr>
            <w:rFonts w:ascii="Calibri" w:hAnsi="Calibri" w:cs="Calibri"/>
            <w:noProof/>
            <w:webHidden/>
            <w:szCs w:val="20"/>
          </w:rPr>
          <w:fldChar w:fldCharType="separate"/>
        </w:r>
        <w:r w:rsidR="00B05C7F">
          <w:rPr>
            <w:rFonts w:ascii="Calibri" w:hAnsi="Calibri" w:cs="Calibri"/>
            <w:noProof/>
            <w:webHidden/>
            <w:szCs w:val="20"/>
          </w:rPr>
          <w:t>29</w:t>
        </w:r>
        <w:r w:rsidR="00382606" w:rsidRPr="00FB04F6">
          <w:rPr>
            <w:rFonts w:ascii="Calibri" w:hAnsi="Calibri" w:cs="Calibri"/>
            <w:noProof/>
            <w:webHidden/>
            <w:szCs w:val="20"/>
          </w:rPr>
          <w:fldChar w:fldCharType="end"/>
        </w:r>
      </w:hyperlink>
    </w:p>
    <w:p w14:paraId="01AB2A2B" w14:textId="77777777" w:rsidR="00382606" w:rsidRPr="00FB04F6" w:rsidRDefault="00160FB0" w:rsidP="006C5F2A">
      <w:pPr>
        <w:pStyle w:val="Tabledesillustrations"/>
        <w:tabs>
          <w:tab w:val="right" w:leader="dot" w:pos="9060"/>
        </w:tabs>
        <w:ind w:left="0"/>
        <w:rPr>
          <w:rFonts w:ascii="Calibri" w:hAnsi="Calibri" w:cs="Calibri"/>
          <w:noProof/>
          <w:szCs w:val="20"/>
        </w:rPr>
      </w:pPr>
      <w:hyperlink w:anchor="_Toc125409068" w:history="1">
        <w:r w:rsidR="00382606" w:rsidRPr="00FB04F6">
          <w:rPr>
            <w:rStyle w:val="Lienhypertexte"/>
            <w:rFonts w:ascii="Calibri" w:hAnsi="Calibri" w:cs="Calibri"/>
            <w:noProof/>
            <w:szCs w:val="20"/>
          </w:rPr>
          <w:t>Carte 2: Niveau de radiation solaire à Madagascar</w:t>
        </w:r>
        <w:r w:rsidR="00382606" w:rsidRPr="00FB04F6">
          <w:rPr>
            <w:rFonts w:ascii="Calibri" w:hAnsi="Calibri" w:cs="Calibri"/>
            <w:noProof/>
            <w:webHidden/>
            <w:szCs w:val="20"/>
          </w:rPr>
          <w:tab/>
        </w:r>
        <w:r w:rsidR="00382606" w:rsidRPr="00FB04F6">
          <w:rPr>
            <w:rFonts w:ascii="Calibri" w:hAnsi="Calibri" w:cs="Calibri"/>
            <w:noProof/>
            <w:webHidden/>
            <w:szCs w:val="20"/>
          </w:rPr>
          <w:fldChar w:fldCharType="begin"/>
        </w:r>
        <w:r w:rsidR="00382606" w:rsidRPr="00FB04F6">
          <w:rPr>
            <w:rFonts w:ascii="Calibri" w:hAnsi="Calibri" w:cs="Calibri"/>
            <w:noProof/>
            <w:webHidden/>
            <w:szCs w:val="20"/>
          </w:rPr>
          <w:instrText xml:space="preserve"> PAGEREF _Toc125409068 \h </w:instrText>
        </w:r>
        <w:r w:rsidR="00382606" w:rsidRPr="00FB04F6">
          <w:rPr>
            <w:rFonts w:ascii="Calibri" w:hAnsi="Calibri" w:cs="Calibri"/>
            <w:noProof/>
            <w:webHidden/>
            <w:szCs w:val="20"/>
          </w:rPr>
        </w:r>
        <w:r w:rsidR="00382606" w:rsidRPr="00FB04F6">
          <w:rPr>
            <w:rFonts w:ascii="Calibri" w:hAnsi="Calibri" w:cs="Calibri"/>
            <w:noProof/>
            <w:webHidden/>
            <w:szCs w:val="20"/>
          </w:rPr>
          <w:fldChar w:fldCharType="separate"/>
        </w:r>
        <w:r w:rsidR="00B05C7F">
          <w:rPr>
            <w:rFonts w:ascii="Calibri" w:hAnsi="Calibri" w:cs="Calibri"/>
            <w:noProof/>
            <w:webHidden/>
            <w:szCs w:val="20"/>
          </w:rPr>
          <w:t>31</w:t>
        </w:r>
        <w:r w:rsidR="00382606" w:rsidRPr="00FB04F6">
          <w:rPr>
            <w:rFonts w:ascii="Calibri" w:hAnsi="Calibri" w:cs="Calibri"/>
            <w:noProof/>
            <w:webHidden/>
            <w:szCs w:val="20"/>
          </w:rPr>
          <w:fldChar w:fldCharType="end"/>
        </w:r>
      </w:hyperlink>
    </w:p>
    <w:p w14:paraId="1E7D5F4F" w14:textId="77777777" w:rsidR="00382606" w:rsidRPr="00FB04F6" w:rsidRDefault="00160FB0" w:rsidP="006C5F2A">
      <w:pPr>
        <w:pStyle w:val="Tabledesillustrations"/>
        <w:tabs>
          <w:tab w:val="right" w:leader="dot" w:pos="9060"/>
        </w:tabs>
        <w:ind w:left="0"/>
        <w:rPr>
          <w:rFonts w:ascii="Calibri" w:hAnsi="Calibri" w:cs="Calibri"/>
          <w:noProof/>
          <w:szCs w:val="20"/>
        </w:rPr>
      </w:pPr>
      <w:hyperlink w:anchor="_Toc125409069" w:history="1">
        <w:r w:rsidR="00382606" w:rsidRPr="00FB04F6">
          <w:rPr>
            <w:rStyle w:val="Lienhypertexte"/>
            <w:rFonts w:ascii="Calibri" w:hAnsi="Calibri" w:cs="Calibri"/>
            <w:noProof/>
            <w:szCs w:val="20"/>
          </w:rPr>
          <w:t>Carte 3: Relief et topographie de Madagascar</w:t>
        </w:r>
        <w:r w:rsidR="00382606" w:rsidRPr="00FB04F6">
          <w:rPr>
            <w:rFonts w:ascii="Calibri" w:hAnsi="Calibri" w:cs="Calibri"/>
            <w:noProof/>
            <w:webHidden/>
            <w:szCs w:val="20"/>
          </w:rPr>
          <w:tab/>
        </w:r>
        <w:r w:rsidR="00382606" w:rsidRPr="00FB04F6">
          <w:rPr>
            <w:rFonts w:ascii="Calibri" w:hAnsi="Calibri" w:cs="Calibri"/>
            <w:noProof/>
            <w:webHidden/>
            <w:szCs w:val="20"/>
          </w:rPr>
          <w:fldChar w:fldCharType="begin"/>
        </w:r>
        <w:r w:rsidR="00382606" w:rsidRPr="00FB04F6">
          <w:rPr>
            <w:rFonts w:ascii="Calibri" w:hAnsi="Calibri" w:cs="Calibri"/>
            <w:noProof/>
            <w:webHidden/>
            <w:szCs w:val="20"/>
          </w:rPr>
          <w:instrText xml:space="preserve"> PAGEREF _Toc125409069 \h </w:instrText>
        </w:r>
        <w:r w:rsidR="00382606" w:rsidRPr="00FB04F6">
          <w:rPr>
            <w:rFonts w:ascii="Calibri" w:hAnsi="Calibri" w:cs="Calibri"/>
            <w:noProof/>
            <w:webHidden/>
            <w:szCs w:val="20"/>
          </w:rPr>
        </w:r>
        <w:r w:rsidR="00382606" w:rsidRPr="00FB04F6">
          <w:rPr>
            <w:rFonts w:ascii="Calibri" w:hAnsi="Calibri" w:cs="Calibri"/>
            <w:noProof/>
            <w:webHidden/>
            <w:szCs w:val="20"/>
          </w:rPr>
          <w:fldChar w:fldCharType="separate"/>
        </w:r>
        <w:r w:rsidR="00B05C7F">
          <w:rPr>
            <w:rFonts w:ascii="Calibri" w:hAnsi="Calibri" w:cs="Calibri"/>
            <w:noProof/>
            <w:webHidden/>
            <w:szCs w:val="20"/>
          </w:rPr>
          <w:t>36</w:t>
        </w:r>
        <w:r w:rsidR="00382606" w:rsidRPr="00FB04F6">
          <w:rPr>
            <w:rFonts w:ascii="Calibri" w:hAnsi="Calibri" w:cs="Calibri"/>
            <w:noProof/>
            <w:webHidden/>
            <w:szCs w:val="20"/>
          </w:rPr>
          <w:fldChar w:fldCharType="end"/>
        </w:r>
      </w:hyperlink>
    </w:p>
    <w:p w14:paraId="4ABE0935" w14:textId="77777777" w:rsidR="00382606" w:rsidRPr="00FB04F6" w:rsidRDefault="00160FB0" w:rsidP="006C5F2A">
      <w:pPr>
        <w:pStyle w:val="Tabledesillustrations"/>
        <w:tabs>
          <w:tab w:val="right" w:leader="dot" w:pos="9060"/>
        </w:tabs>
        <w:ind w:left="0"/>
        <w:rPr>
          <w:rFonts w:ascii="Calibri" w:hAnsi="Calibri" w:cs="Calibri"/>
          <w:noProof/>
          <w:szCs w:val="20"/>
        </w:rPr>
      </w:pPr>
      <w:hyperlink w:anchor="_Toc125409070" w:history="1">
        <w:r w:rsidR="00382606" w:rsidRPr="00FB04F6">
          <w:rPr>
            <w:rStyle w:val="Lienhypertexte"/>
            <w:rFonts w:ascii="Calibri" w:hAnsi="Calibri" w:cs="Calibri"/>
            <w:noProof/>
            <w:szCs w:val="20"/>
          </w:rPr>
          <w:t>Carte 4: Formations Végétales de Madagascar</w:t>
        </w:r>
        <w:r w:rsidR="00382606" w:rsidRPr="00FB04F6">
          <w:rPr>
            <w:rFonts w:ascii="Calibri" w:hAnsi="Calibri" w:cs="Calibri"/>
            <w:noProof/>
            <w:webHidden/>
            <w:szCs w:val="20"/>
          </w:rPr>
          <w:tab/>
        </w:r>
        <w:r w:rsidR="00382606" w:rsidRPr="00FB04F6">
          <w:rPr>
            <w:rFonts w:ascii="Calibri" w:hAnsi="Calibri" w:cs="Calibri"/>
            <w:noProof/>
            <w:webHidden/>
            <w:szCs w:val="20"/>
          </w:rPr>
          <w:fldChar w:fldCharType="begin"/>
        </w:r>
        <w:r w:rsidR="00382606" w:rsidRPr="00FB04F6">
          <w:rPr>
            <w:rFonts w:ascii="Calibri" w:hAnsi="Calibri" w:cs="Calibri"/>
            <w:noProof/>
            <w:webHidden/>
            <w:szCs w:val="20"/>
          </w:rPr>
          <w:instrText xml:space="preserve"> PAGEREF _Toc125409070 \h </w:instrText>
        </w:r>
        <w:r w:rsidR="00382606" w:rsidRPr="00FB04F6">
          <w:rPr>
            <w:rFonts w:ascii="Calibri" w:hAnsi="Calibri" w:cs="Calibri"/>
            <w:noProof/>
            <w:webHidden/>
            <w:szCs w:val="20"/>
          </w:rPr>
        </w:r>
        <w:r w:rsidR="00382606" w:rsidRPr="00FB04F6">
          <w:rPr>
            <w:rFonts w:ascii="Calibri" w:hAnsi="Calibri" w:cs="Calibri"/>
            <w:noProof/>
            <w:webHidden/>
            <w:szCs w:val="20"/>
          </w:rPr>
          <w:fldChar w:fldCharType="separate"/>
        </w:r>
        <w:r w:rsidR="00B05C7F">
          <w:rPr>
            <w:rFonts w:ascii="Calibri" w:hAnsi="Calibri" w:cs="Calibri"/>
            <w:noProof/>
            <w:webHidden/>
            <w:szCs w:val="20"/>
          </w:rPr>
          <w:t>43</w:t>
        </w:r>
        <w:r w:rsidR="00382606" w:rsidRPr="00FB04F6">
          <w:rPr>
            <w:rFonts w:ascii="Calibri" w:hAnsi="Calibri" w:cs="Calibri"/>
            <w:noProof/>
            <w:webHidden/>
            <w:szCs w:val="20"/>
          </w:rPr>
          <w:fldChar w:fldCharType="end"/>
        </w:r>
      </w:hyperlink>
    </w:p>
    <w:p w14:paraId="777406E0" w14:textId="77777777" w:rsidR="00382606" w:rsidRPr="00FB04F6" w:rsidRDefault="00160FB0" w:rsidP="006C5F2A">
      <w:pPr>
        <w:pStyle w:val="Tabledesillustrations"/>
        <w:tabs>
          <w:tab w:val="right" w:leader="dot" w:pos="9060"/>
        </w:tabs>
        <w:ind w:left="0"/>
        <w:rPr>
          <w:rFonts w:ascii="Calibri" w:hAnsi="Calibri" w:cs="Calibri"/>
          <w:noProof/>
          <w:szCs w:val="20"/>
        </w:rPr>
      </w:pPr>
      <w:hyperlink w:anchor="_Toc125409071" w:history="1">
        <w:r w:rsidR="00382606" w:rsidRPr="00FB04F6">
          <w:rPr>
            <w:rStyle w:val="Lienhypertexte"/>
            <w:rFonts w:ascii="Calibri" w:hAnsi="Calibri" w:cs="Calibri"/>
            <w:noProof/>
            <w:szCs w:val="20"/>
          </w:rPr>
          <w:t>Carte 5: Les 23 Régions de Madagascar</w:t>
        </w:r>
        <w:r w:rsidR="00382606" w:rsidRPr="00FB04F6">
          <w:rPr>
            <w:rFonts w:ascii="Calibri" w:hAnsi="Calibri" w:cs="Calibri"/>
            <w:noProof/>
            <w:webHidden/>
            <w:szCs w:val="20"/>
          </w:rPr>
          <w:tab/>
        </w:r>
        <w:r w:rsidR="00382606" w:rsidRPr="00FB04F6">
          <w:rPr>
            <w:rFonts w:ascii="Calibri" w:hAnsi="Calibri" w:cs="Calibri"/>
            <w:noProof/>
            <w:webHidden/>
            <w:szCs w:val="20"/>
          </w:rPr>
          <w:fldChar w:fldCharType="begin"/>
        </w:r>
        <w:r w:rsidR="00382606" w:rsidRPr="00FB04F6">
          <w:rPr>
            <w:rFonts w:ascii="Calibri" w:hAnsi="Calibri" w:cs="Calibri"/>
            <w:noProof/>
            <w:webHidden/>
            <w:szCs w:val="20"/>
          </w:rPr>
          <w:instrText xml:space="preserve"> PAGEREF _Toc125409071 \h </w:instrText>
        </w:r>
        <w:r w:rsidR="00382606" w:rsidRPr="00FB04F6">
          <w:rPr>
            <w:rFonts w:ascii="Calibri" w:hAnsi="Calibri" w:cs="Calibri"/>
            <w:noProof/>
            <w:webHidden/>
            <w:szCs w:val="20"/>
          </w:rPr>
        </w:r>
        <w:r w:rsidR="00382606" w:rsidRPr="00FB04F6">
          <w:rPr>
            <w:rFonts w:ascii="Calibri" w:hAnsi="Calibri" w:cs="Calibri"/>
            <w:noProof/>
            <w:webHidden/>
            <w:szCs w:val="20"/>
          </w:rPr>
          <w:fldChar w:fldCharType="separate"/>
        </w:r>
        <w:r w:rsidR="00B05C7F">
          <w:rPr>
            <w:rFonts w:ascii="Calibri" w:hAnsi="Calibri" w:cs="Calibri"/>
            <w:noProof/>
            <w:webHidden/>
            <w:szCs w:val="20"/>
          </w:rPr>
          <w:t>51</w:t>
        </w:r>
        <w:r w:rsidR="00382606" w:rsidRPr="00FB04F6">
          <w:rPr>
            <w:rFonts w:ascii="Calibri" w:hAnsi="Calibri" w:cs="Calibri"/>
            <w:noProof/>
            <w:webHidden/>
            <w:szCs w:val="20"/>
          </w:rPr>
          <w:fldChar w:fldCharType="end"/>
        </w:r>
      </w:hyperlink>
    </w:p>
    <w:p w14:paraId="3938AA4C" w14:textId="77777777" w:rsidR="00813C50" w:rsidRPr="00327DB6" w:rsidRDefault="00FD558F" w:rsidP="006C5F2A">
      <w:pPr>
        <w:pStyle w:val="Tabledesillustrations"/>
        <w:tabs>
          <w:tab w:val="right" w:leader="dot" w:pos="9060"/>
        </w:tabs>
        <w:ind w:left="0"/>
        <w:rPr>
          <w:rStyle w:val="Lienhypertexte"/>
          <w:noProof/>
          <w:sz w:val="18"/>
          <w:szCs w:val="18"/>
        </w:rPr>
      </w:pPr>
      <w:r w:rsidRPr="00FB04F6">
        <w:rPr>
          <w:rStyle w:val="Lienhypertexte"/>
          <w:rFonts w:ascii="Calibri" w:hAnsi="Calibri" w:cs="Calibri"/>
          <w:noProof/>
          <w:szCs w:val="20"/>
        </w:rPr>
        <w:fldChar w:fldCharType="end"/>
      </w:r>
    </w:p>
    <w:p w14:paraId="4DEA073E" w14:textId="77777777" w:rsidR="00382606" w:rsidRDefault="00382606">
      <w:pPr>
        <w:rPr>
          <w:b/>
        </w:rPr>
      </w:pPr>
    </w:p>
    <w:p w14:paraId="2624A300" w14:textId="77777777" w:rsidR="00382606" w:rsidRPr="00B0080A" w:rsidRDefault="00382606" w:rsidP="00B0080A">
      <w:pPr>
        <w:pStyle w:val="En-ttedetabledesmatires"/>
        <w:spacing w:before="120" w:after="120"/>
        <w:ind w:left="851" w:hanging="431"/>
        <w:rPr>
          <w:b/>
          <w:bCs/>
          <w:sz w:val="24"/>
          <w:szCs w:val="24"/>
        </w:rPr>
      </w:pPr>
      <w:bookmarkStart w:id="8" w:name="_Toc127957541"/>
      <w:r w:rsidRPr="00B0080A">
        <w:rPr>
          <w:b/>
          <w:bCs/>
          <w:sz w:val="24"/>
          <w:szCs w:val="24"/>
        </w:rPr>
        <w:t>LISTE DES PHOTOS</w:t>
      </w:r>
      <w:bookmarkEnd w:id="8"/>
    </w:p>
    <w:p w14:paraId="668E09CB" w14:textId="77777777" w:rsidR="00FE3B2A" w:rsidRPr="00FB04F6" w:rsidRDefault="00FE3B2A" w:rsidP="006C5F2A">
      <w:pPr>
        <w:pStyle w:val="Tabledesillustrations"/>
        <w:tabs>
          <w:tab w:val="right" w:leader="dot" w:pos="9060"/>
        </w:tabs>
        <w:ind w:left="0"/>
        <w:rPr>
          <w:rFonts w:ascii="Calibri" w:hAnsi="Calibri" w:cs="Calibri"/>
          <w:noProof/>
          <w:szCs w:val="20"/>
        </w:rPr>
      </w:pPr>
      <w:r w:rsidRPr="00FB04F6">
        <w:rPr>
          <w:rFonts w:ascii="Calibri" w:hAnsi="Calibri" w:cs="Calibri"/>
          <w:b/>
          <w:szCs w:val="20"/>
        </w:rPr>
        <w:fldChar w:fldCharType="begin"/>
      </w:r>
      <w:r w:rsidRPr="00FB04F6">
        <w:rPr>
          <w:rFonts w:ascii="Calibri" w:hAnsi="Calibri" w:cs="Calibri"/>
          <w:b/>
          <w:szCs w:val="20"/>
        </w:rPr>
        <w:instrText xml:space="preserve"> TOC \h \z \c "Photo" </w:instrText>
      </w:r>
      <w:r w:rsidRPr="00FB04F6">
        <w:rPr>
          <w:rFonts w:ascii="Calibri" w:hAnsi="Calibri" w:cs="Calibri"/>
          <w:b/>
          <w:szCs w:val="20"/>
        </w:rPr>
        <w:fldChar w:fldCharType="separate"/>
      </w:r>
      <w:hyperlink w:anchor="_Toc125409954" w:history="1">
        <w:r w:rsidRPr="00FB04F6">
          <w:rPr>
            <w:rStyle w:val="Lienhypertexte"/>
            <w:rFonts w:ascii="Calibri" w:hAnsi="Calibri" w:cs="Calibri"/>
            <w:noProof/>
            <w:szCs w:val="20"/>
          </w:rPr>
          <w:t>Photo 1: Différents types de marécage</w:t>
        </w:r>
        <w:r w:rsidRPr="00FB04F6">
          <w:rPr>
            <w:rFonts w:ascii="Calibri" w:hAnsi="Calibri" w:cs="Calibri"/>
            <w:noProof/>
            <w:webHidden/>
            <w:szCs w:val="20"/>
          </w:rPr>
          <w:tab/>
        </w:r>
        <w:r w:rsidRPr="00FB04F6">
          <w:rPr>
            <w:rFonts w:ascii="Calibri" w:hAnsi="Calibri" w:cs="Calibri"/>
            <w:noProof/>
            <w:webHidden/>
            <w:szCs w:val="20"/>
          </w:rPr>
          <w:fldChar w:fldCharType="begin"/>
        </w:r>
        <w:r w:rsidRPr="00FB04F6">
          <w:rPr>
            <w:rFonts w:ascii="Calibri" w:hAnsi="Calibri" w:cs="Calibri"/>
            <w:noProof/>
            <w:webHidden/>
            <w:szCs w:val="20"/>
          </w:rPr>
          <w:instrText xml:space="preserve"> PAGEREF _Toc125409954 \h </w:instrText>
        </w:r>
        <w:r w:rsidRPr="00FB04F6">
          <w:rPr>
            <w:rFonts w:ascii="Calibri" w:hAnsi="Calibri" w:cs="Calibri"/>
            <w:noProof/>
            <w:webHidden/>
            <w:szCs w:val="20"/>
          </w:rPr>
        </w:r>
        <w:r w:rsidRPr="00FB04F6">
          <w:rPr>
            <w:rFonts w:ascii="Calibri" w:hAnsi="Calibri" w:cs="Calibri"/>
            <w:noProof/>
            <w:webHidden/>
            <w:szCs w:val="20"/>
          </w:rPr>
          <w:fldChar w:fldCharType="separate"/>
        </w:r>
        <w:r w:rsidR="00B05C7F">
          <w:rPr>
            <w:rFonts w:ascii="Calibri" w:hAnsi="Calibri" w:cs="Calibri"/>
            <w:noProof/>
            <w:webHidden/>
            <w:szCs w:val="20"/>
          </w:rPr>
          <w:t>44</w:t>
        </w:r>
        <w:r w:rsidRPr="00FB04F6">
          <w:rPr>
            <w:rFonts w:ascii="Calibri" w:hAnsi="Calibri" w:cs="Calibri"/>
            <w:noProof/>
            <w:webHidden/>
            <w:szCs w:val="20"/>
          </w:rPr>
          <w:fldChar w:fldCharType="end"/>
        </w:r>
      </w:hyperlink>
    </w:p>
    <w:p w14:paraId="721AA5EE" w14:textId="77777777" w:rsidR="00FE3B2A" w:rsidRPr="00FB04F6" w:rsidRDefault="00160FB0" w:rsidP="006C5F2A">
      <w:pPr>
        <w:pStyle w:val="Tabledesillustrations"/>
        <w:tabs>
          <w:tab w:val="right" w:leader="dot" w:pos="9060"/>
        </w:tabs>
        <w:ind w:left="0"/>
        <w:rPr>
          <w:rFonts w:ascii="Calibri" w:hAnsi="Calibri" w:cs="Calibri"/>
          <w:noProof/>
          <w:szCs w:val="20"/>
        </w:rPr>
      </w:pPr>
      <w:hyperlink w:anchor="_Toc125409955" w:history="1">
        <w:r w:rsidR="00FE3B2A" w:rsidRPr="00FB04F6">
          <w:rPr>
            <w:rStyle w:val="Lienhypertexte"/>
            <w:rFonts w:ascii="Calibri" w:hAnsi="Calibri" w:cs="Calibri"/>
            <w:noProof/>
            <w:szCs w:val="20"/>
          </w:rPr>
          <w:t>Photo 2: Formation savanicole des hautes terres</w:t>
        </w:r>
        <w:r w:rsidR="00FE3B2A" w:rsidRPr="00FB04F6">
          <w:rPr>
            <w:rFonts w:ascii="Calibri" w:hAnsi="Calibri" w:cs="Calibri"/>
            <w:noProof/>
            <w:webHidden/>
            <w:szCs w:val="20"/>
          </w:rPr>
          <w:tab/>
        </w:r>
        <w:r w:rsidR="00FE3B2A" w:rsidRPr="00FB04F6">
          <w:rPr>
            <w:rFonts w:ascii="Calibri" w:hAnsi="Calibri" w:cs="Calibri"/>
            <w:noProof/>
            <w:webHidden/>
            <w:szCs w:val="20"/>
          </w:rPr>
          <w:fldChar w:fldCharType="begin"/>
        </w:r>
        <w:r w:rsidR="00FE3B2A" w:rsidRPr="00FB04F6">
          <w:rPr>
            <w:rFonts w:ascii="Calibri" w:hAnsi="Calibri" w:cs="Calibri"/>
            <w:noProof/>
            <w:webHidden/>
            <w:szCs w:val="20"/>
          </w:rPr>
          <w:instrText xml:space="preserve"> PAGEREF _Toc125409955 \h </w:instrText>
        </w:r>
        <w:r w:rsidR="00FE3B2A" w:rsidRPr="00FB04F6">
          <w:rPr>
            <w:rFonts w:ascii="Calibri" w:hAnsi="Calibri" w:cs="Calibri"/>
            <w:noProof/>
            <w:webHidden/>
            <w:szCs w:val="20"/>
          </w:rPr>
        </w:r>
        <w:r w:rsidR="00FE3B2A" w:rsidRPr="00FB04F6">
          <w:rPr>
            <w:rFonts w:ascii="Calibri" w:hAnsi="Calibri" w:cs="Calibri"/>
            <w:noProof/>
            <w:webHidden/>
            <w:szCs w:val="20"/>
          </w:rPr>
          <w:fldChar w:fldCharType="separate"/>
        </w:r>
        <w:r w:rsidR="00B05C7F">
          <w:rPr>
            <w:rFonts w:ascii="Calibri" w:hAnsi="Calibri" w:cs="Calibri"/>
            <w:noProof/>
            <w:webHidden/>
            <w:szCs w:val="20"/>
          </w:rPr>
          <w:t>45</w:t>
        </w:r>
        <w:r w:rsidR="00FE3B2A" w:rsidRPr="00FB04F6">
          <w:rPr>
            <w:rFonts w:ascii="Calibri" w:hAnsi="Calibri" w:cs="Calibri"/>
            <w:noProof/>
            <w:webHidden/>
            <w:szCs w:val="20"/>
          </w:rPr>
          <w:fldChar w:fldCharType="end"/>
        </w:r>
      </w:hyperlink>
    </w:p>
    <w:p w14:paraId="035C9EF7" w14:textId="77777777" w:rsidR="00FE3B2A" w:rsidRPr="00FB04F6" w:rsidRDefault="00160FB0" w:rsidP="006C5F2A">
      <w:pPr>
        <w:pStyle w:val="Tabledesillustrations"/>
        <w:tabs>
          <w:tab w:val="right" w:leader="dot" w:pos="9060"/>
        </w:tabs>
        <w:ind w:left="0"/>
        <w:rPr>
          <w:rFonts w:ascii="Calibri" w:hAnsi="Calibri" w:cs="Calibri"/>
          <w:noProof/>
          <w:szCs w:val="20"/>
        </w:rPr>
      </w:pPr>
      <w:hyperlink w:anchor="_Toc125409956" w:history="1">
        <w:r w:rsidR="00FE3B2A" w:rsidRPr="00FB04F6">
          <w:rPr>
            <w:rStyle w:val="Lienhypertexte"/>
            <w:rFonts w:ascii="Calibri" w:hAnsi="Calibri" w:cs="Calibri"/>
            <w:noProof/>
            <w:szCs w:val="20"/>
          </w:rPr>
          <w:t>Photo 3: Terrains de cultures</w:t>
        </w:r>
        <w:r w:rsidR="00FE3B2A" w:rsidRPr="00FB04F6">
          <w:rPr>
            <w:rFonts w:ascii="Calibri" w:hAnsi="Calibri" w:cs="Calibri"/>
            <w:noProof/>
            <w:webHidden/>
            <w:szCs w:val="20"/>
          </w:rPr>
          <w:tab/>
        </w:r>
        <w:r w:rsidR="00FE3B2A" w:rsidRPr="00FB04F6">
          <w:rPr>
            <w:rFonts w:ascii="Calibri" w:hAnsi="Calibri" w:cs="Calibri"/>
            <w:noProof/>
            <w:webHidden/>
            <w:szCs w:val="20"/>
          </w:rPr>
          <w:fldChar w:fldCharType="begin"/>
        </w:r>
        <w:r w:rsidR="00FE3B2A" w:rsidRPr="00FB04F6">
          <w:rPr>
            <w:rFonts w:ascii="Calibri" w:hAnsi="Calibri" w:cs="Calibri"/>
            <w:noProof/>
            <w:webHidden/>
            <w:szCs w:val="20"/>
          </w:rPr>
          <w:instrText xml:space="preserve"> PAGEREF _Toc125409956 \h </w:instrText>
        </w:r>
        <w:r w:rsidR="00FE3B2A" w:rsidRPr="00FB04F6">
          <w:rPr>
            <w:rFonts w:ascii="Calibri" w:hAnsi="Calibri" w:cs="Calibri"/>
            <w:noProof/>
            <w:webHidden/>
            <w:szCs w:val="20"/>
          </w:rPr>
        </w:r>
        <w:r w:rsidR="00FE3B2A" w:rsidRPr="00FB04F6">
          <w:rPr>
            <w:rFonts w:ascii="Calibri" w:hAnsi="Calibri" w:cs="Calibri"/>
            <w:noProof/>
            <w:webHidden/>
            <w:szCs w:val="20"/>
          </w:rPr>
          <w:fldChar w:fldCharType="separate"/>
        </w:r>
        <w:r w:rsidR="00B05C7F">
          <w:rPr>
            <w:rFonts w:ascii="Calibri" w:hAnsi="Calibri" w:cs="Calibri"/>
            <w:noProof/>
            <w:webHidden/>
            <w:szCs w:val="20"/>
          </w:rPr>
          <w:t>46</w:t>
        </w:r>
        <w:r w:rsidR="00FE3B2A" w:rsidRPr="00FB04F6">
          <w:rPr>
            <w:rFonts w:ascii="Calibri" w:hAnsi="Calibri" w:cs="Calibri"/>
            <w:noProof/>
            <w:webHidden/>
            <w:szCs w:val="20"/>
          </w:rPr>
          <w:fldChar w:fldCharType="end"/>
        </w:r>
      </w:hyperlink>
    </w:p>
    <w:p w14:paraId="134B14D1" w14:textId="77777777" w:rsidR="00FE3B2A" w:rsidRPr="00FB04F6" w:rsidRDefault="00160FB0" w:rsidP="006C5F2A">
      <w:pPr>
        <w:pStyle w:val="Tabledesillustrations"/>
        <w:tabs>
          <w:tab w:val="right" w:leader="dot" w:pos="9060"/>
        </w:tabs>
        <w:ind w:left="0"/>
        <w:rPr>
          <w:rFonts w:ascii="Calibri" w:hAnsi="Calibri" w:cs="Calibri"/>
          <w:noProof/>
          <w:szCs w:val="20"/>
        </w:rPr>
      </w:pPr>
      <w:hyperlink w:anchor="_Toc125409957" w:history="1">
        <w:r w:rsidR="00FE3B2A" w:rsidRPr="00FB04F6">
          <w:rPr>
            <w:rStyle w:val="Lienhypertexte"/>
            <w:rFonts w:ascii="Calibri" w:hAnsi="Calibri" w:cs="Calibri"/>
            <w:noProof/>
            <w:szCs w:val="20"/>
          </w:rPr>
          <w:t>Photo 4. Furcifer oustaleti</w:t>
        </w:r>
        <w:r w:rsidR="00FE3B2A" w:rsidRPr="00FB04F6">
          <w:rPr>
            <w:rFonts w:ascii="Calibri" w:hAnsi="Calibri" w:cs="Calibri"/>
            <w:noProof/>
            <w:webHidden/>
            <w:szCs w:val="20"/>
          </w:rPr>
          <w:tab/>
        </w:r>
        <w:r w:rsidR="00FE3B2A" w:rsidRPr="00FB04F6">
          <w:rPr>
            <w:rFonts w:ascii="Calibri" w:hAnsi="Calibri" w:cs="Calibri"/>
            <w:noProof/>
            <w:webHidden/>
            <w:szCs w:val="20"/>
          </w:rPr>
          <w:fldChar w:fldCharType="begin"/>
        </w:r>
        <w:r w:rsidR="00FE3B2A" w:rsidRPr="00FB04F6">
          <w:rPr>
            <w:rFonts w:ascii="Calibri" w:hAnsi="Calibri" w:cs="Calibri"/>
            <w:noProof/>
            <w:webHidden/>
            <w:szCs w:val="20"/>
          </w:rPr>
          <w:instrText xml:space="preserve"> PAGEREF _Toc125409957 \h </w:instrText>
        </w:r>
        <w:r w:rsidR="00FE3B2A" w:rsidRPr="00FB04F6">
          <w:rPr>
            <w:rFonts w:ascii="Calibri" w:hAnsi="Calibri" w:cs="Calibri"/>
            <w:noProof/>
            <w:webHidden/>
            <w:szCs w:val="20"/>
          </w:rPr>
        </w:r>
        <w:r w:rsidR="00FE3B2A" w:rsidRPr="00FB04F6">
          <w:rPr>
            <w:rFonts w:ascii="Calibri" w:hAnsi="Calibri" w:cs="Calibri"/>
            <w:noProof/>
            <w:webHidden/>
            <w:szCs w:val="20"/>
          </w:rPr>
          <w:fldChar w:fldCharType="separate"/>
        </w:r>
        <w:r w:rsidR="00B05C7F">
          <w:rPr>
            <w:rFonts w:ascii="Calibri" w:hAnsi="Calibri" w:cs="Calibri"/>
            <w:noProof/>
            <w:webHidden/>
            <w:szCs w:val="20"/>
          </w:rPr>
          <w:t>50</w:t>
        </w:r>
        <w:r w:rsidR="00FE3B2A" w:rsidRPr="00FB04F6">
          <w:rPr>
            <w:rFonts w:ascii="Calibri" w:hAnsi="Calibri" w:cs="Calibri"/>
            <w:noProof/>
            <w:webHidden/>
            <w:szCs w:val="20"/>
          </w:rPr>
          <w:fldChar w:fldCharType="end"/>
        </w:r>
      </w:hyperlink>
    </w:p>
    <w:p w14:paraId="426A5A69" w14:textId="77777777" w:rsidR="00FE3B2A" w:rsidRPr="00FB04F6" w:rsidRDefault="00160FB0" w:rsidP="006C5F2A">
      <w:pPr>
        <w:pStyle w:val="Tabledesillustrations"/>
        <w:tabs>
          <w:tab w:val="right" w:leader="dot" w:pos="9060"/>
        </w:tabs>
        <w:ind w:left="0"/>
        <w:rPr>
          <w:rFonts w:ascii="Calibri" w:hAnsi="Calibri" w:cs="Calibri"/>
          <w:noProof/>
          <w:szCs w:val="20"/>
        </w:rPr>
      </w:pPr>
      <w:hyperlink w:anchor="_Toc125409958" w:history="1">
        <w:r w:rsidR="00FE3B2A" w:rsidRPr="00FB04F6">
          <w:rPr>
            <w:rStyle w:val="Lienhypertexte"/>
            <w:rFonts w:ascii="Calibri" w:hAnsi="Calibri" w:cs="Calibri"/>
            <w:noProof/>
            <w:szCs w:val="20"/>
          </w:rPr>
          <w:t>Photo 5. Ptychadena madagascareniensis</w:t>
        </w:r>
        <w:r w:rsidR="00FE3B2A" w:rsidRPr="00FB04F6">
          <w:rPr>
            <w:rFonts w:ascii="Calibri" w:hAnsi="Calibri" w:cs="Calibri"/>
            <w:noProof/>
            <w:webHidden/>
            <w:szCs w:val="20"/>
          </w:rPr>
          <w:tab/>
        </w:r>
        <w:r w:rsidR="00FE3B2A" w:rsidRPr="00FB04F6">
          <w:rPr>
            <w:rFonts w:ascii="Calibri" w:hAnsi="Calibri" w:cs="Calibri"/>
            <w:noProof/>
            <w:webHidden/>
            <w:szCs w:val="20"/>
          </w:rPr>
          <w:fldChar w:fldCharType="begin"/>
        </w:r>
        <w:r w:rsidR="00FE3B2A" w:rsidRPr="00FB04F6">
          <w:rPr>
            <w:rFonts w:ascii="Calibri" w:hAnsi="Calibri" w:cs="Calibri"/>
            <w:noProof/>
            <w:webHidden/>
            <w:szCs w:val="20"/>
          </w:rPr>
          <w:instrText xml:space="preserve"> PAGEREF _Toc125409958 \h </w:instrText>
        </w:r>
        <w:r w:rsidR="00FE3B2A" w:rsidRPr="00FB04F6">
          <w:rPr>
            <w:rFonts w:ascii="Calibri" w:hAnsi="Calibri" w:cs="Calibri"/>
            <w:noProof/>
            <w:webHidden/>
            <w:szCs w:val="20"/>
          </w:rPr>
        </w:r>
        <w:r w:rsidR="00FE3B2A" w:rsidRPr="00FB04F6">
          <w:rPr>
            <w:rFonts w:ascii="Calibri" w:hAnsi="Calibri" w:cs="Calibri"/>
            <w:noProof/>
            <w:webHidden/>
            <w:szCs w:val="20"/>
          </w:rPr>
          <w:fldChar w:fldCharType="separate"/>
        </w:r>
        <w:r w:rsidR="00B05C7F">
          <w:rPr>
            <w:rFonts w:ascii="Calibri" w:hAnsi="Calibri" w:cs="Calibri"/>
            <w:noProof/>
            <w:webHidden/>
            <w:szCs w:val="20"/>
          </w:rPr>
          <w:t>50</w:t>
        </w:r>
        <w:r w:rsidR="00FE3B2A" w:rsidRPr="00FB04F6">
          <w:rPr>
            <w:rFonts w:ascii="Calibri" w:hAnsi="Calibri" w:cs="Calibri"/>
            <w:noProof/>
            <w:webHidden/>
            <w:szCs w:val="20"/>
          </w:rPr>
          <w:fldChar w:fldCharType="end"/>
        </w:r>
      </w:hyperlink>
    </w:p>
    <w:p w14:paraId="051B48BD" w14:textId="77777777" w:rsidR="00FE3B2A" w:rsidRPr="00FB04F6" w:rsidRDefault="00160FB0" w:rsidP="006C5F2A">
      <w:pPr>
        <w:pStyle w:val="Tabledesillustrations"/>
        <w:tabs>
          <w:tab w:val="right" w:leader="dot" w:pos="9060"/>
        </w:tabs>
        <w:ind w:left="0"/>
        <w:rPr>
          <w:rFonts w:ascii="Calibri" w:hAnsi="Calibri" w:cs="Calibri"/>
          <w:noProof/>
          <w:szCs w:val="20"/>
        </w:rPr>
      </w:pPr>
      <w:hyperlink w:anchor="_Toc125409959" w:history="1">
        <w:r w:rsidR="00FE3B2A" w:rsidRPr="00FB04F6">
          <w:rPr>
            <w:rStyle w:val="Lienhypertexte"/>
            <w:rFonts w:ascii="Calibri" w:hAnsi="Calibri" w:cs="Calibri"/>
            <w:noProof/>
            <w:szCs w:val="20"/>
          </w:rPr>
          <w:t>Photo 6. Oplurus sp</w:t>
        </w:r>
        <w:r w:rsidR="00FE3B2A" w:rsidRPr="00FB04F6">
          <w:rPr>
            <w:rFonts w:ascii="Calibri" w:hAnsi="Calibri" w:cs="Calibri"/>
            <w:noProof/>
            <w:webHidden/>
            <w:szCs w:val="20"/>
          </w:rPr>
          <w:tab/>
        </w:r>
        <w:r w:rsidR="00FE3B2A" w:rsidRPr="00FB04F6">
          <w:rPr>
            <w:rFonts w:ascii="Calibri" w:hAnsi="Calibri" w:cs="Calibri"/>
            <w:noProof/>
            <w:webHidden/>
            <w:szCs w:val="20"/>
          </w:rPr>
          <w:fldChar w:fldCharType="begin"/>
        </w:r>
        <w:r w:rsidR="00FE3B2A" w:rsidRPr="00FB04F6">
          <w:rPr>
            <w:rFonts w:ascii="Calibri" w:hAnsi="Calibri" w:cs="Calibri"/>
            <w:noProof/>
            <w:webHidden/>
            <w:szCs w:val="20"/>
          </w:rPr>
          <w:instrText xml:space="preserve"> PAGEREF _Toc125409959 \h </w:instrText>
        </w:r>
        <w:r w:rsidR="00FE3B2A" w:rsidRPr="00FB04F6">
          <w:rPr>
            <w:rFonts w:ascii="Calibri" w:hAnsi="Calibri" w:cs="Calibri"/>
            <w:noProof/>
            <w:webHidden/>
            <w:szCs w:val="20"/>
          </w:rPr>
        </w:r>
        <w:r w:rsidR="00FE3B2A" w:rsidRPr="00FB04F6">
          <w:rPr>
            <w:rFonts w:ascii="Calibri" w:hAnsi="Calibri" w:cs="Calibri"/>
            <w:noProof/>
            <w:webHidden/>
            <w:szCs w:val="20"/>
          </w:rPr>
          <w:fldChar w:fldCharType="separate"/>
        </w:r>
        <w:r w:rsidR="00B05C7F">
          <w:rPr>
            <w:rFonts w:ascii="Calibri" w:hAnsi="Calibri" w:cs="Calibri"/>
            <w:noProof/>
            <w:webHidden/>
            <w:szCs w:val="20"/>
          </w:rPr>
          <w:t>50</w:t>
        </w:r>
        <w:r w:rsidR="00FE3B2A" w:rsidRPr="00FB04F6">
          <w:rPr>
            <w:rFonts w:ascii="Calibri" w:hAnsi="Calibri" w:cs="Calibri"/>
            <w:noProof/>
            <w:webHidden/>
            <w:szCs w:val="20"/>
          </w:rPr>
          <w:fldChar w:fldCharType="end"/>
        </w:r>
      </w:hyperlink>
    </w:p>
    <w:p w14:paraId="02C21EEE" w14:textId="77777777" w:rsidR="00FE3B2A" w:rsidRPr="00FB04F6" w:rsidRDefault="00160FB0" w:rsidP="006C5F2A">
      <w:pPr>
        <w:pStyle w:val="Tabledesillustrations"/>
        <w:tabs>
          <w:tab w:val="right" w:leader="dot" w:pos="9060"/>
        </w:tabs>
        <w:ind w:left="0"/>
        <w:rPr>
          <w:rFonts w:ascii="Calibri" w:hAnsi="Calibri" w:cs="Calibri"/>
          <w:noProof/>
          <w:szCs w:val="20"/>
        </w:rPr>
      </w:pPr>
      <w:hyperlink w:anchor="_Toc125409960" w:history="1">
        <w:r w:rsidR="00FE3B2A" w:rsidRPr="00FB04F6">
          <w:rPr>
            <w:rStyle w:val="Lienhypertexte"/>
            <w:rFonts w:ascii="Calibri" w:hAnsi="Calibri" w:cs="Calibri"/>
            <w:noProof/>
            <w:szCs w:val="20"/>
          </w:rPr>
          <w:t>Photo 7. Corbus albus</w:t>
        </w:r>
        <w:r w:rsidR="00FE3B2A" w:rsidRPr="00FB04F6">
          <w:rPr>
            <w:rFonts w:ascii="Calibri" w:hAnsi="Calibri" w:cs="Calibri"/>
            <w:noProof/>
            <w:webHidden/>
            <w:szCs w:val="20"/>
          </w:rPr>
          <w:tab/>
        </w:r>
        <w:r w:rsidR="00FE3B2A" w:rsidRPr="00FB04F6">
          <w:rPr>
            <w:rFonts w:ascii="Calibri" w:hAnsi="Calibri" w:cs="Calibri"/>
            <w:noProof/>
            <w:webHidden/>
            <w:szCs w:val="20"/>
          </w:rPr>
          <w:fldChar w:fldCharType="begin"/>
        </w:r>
        <w:r w:rsidR="00FE3B2A" w:rsidRPr="00FB04F6">
          <w:rPr>
            <w:rFonts w:ascii="Calibri" w:hAnsi="Calibri" w:cs="Calibri"/>
            <w:noProof/>
            <w:webHidden/>
            <w:szCs w:val="20"/>
          </w:rPr>
          <w:instrText xml:space="preserve"> PAGEREF _Toc125409960 \h </w:instrText>
        </w:r>
        <w:r w:rsidR="00FE3B2A" w:rsidRPr="00FB04F6">
          <w:rPr>
            <w:rFonts w:ascii="Calibri" w:hAnsi="Calibri" w:cs="Calibri"/>
            <w:noProof/>
            <w:webHidden/>
            <w:szCs w:val="20"/>
          </w:rPr>
        </w:r>
        <w:r w:rsidR="00FE3B2A" w:rsidRPr="00FB04F6">
          <w:rPr>
            <w:rFonts w:ascii="Calibri" w:hAnsi="Calibri" w:cs="Calibri"/>
            <w:noProof/>
            <w:webHidden/>
            <w:szCs w:val="20"/>
          </w:rPr>
          <w:fldChar w:fldCharType="separate"/>
        </w:r>
        <w:r w:rsidR="00B05C7F">
          <w:rPr>
            <w:rFonts w:ascii="Calibri" w:hAnsi="Calibri" w:cs="Calibri"/>
            <w:noProof/>
            <w:webHidden/>
            <w:szCs w:val="20"/>
          </w:rPr>
          <w:t>50</w:t>
        </w:r>
        <w:r w:rsidR="00FE3B2A" w:rsidRPr="00FB04F6">
          <w:rPr>
            <w:rFonts w:ascii="Calibri" w:hAnsi="Calibri" w:cs="Calibri"/>
            <w:noProof/>
            <w:webHidden/>
            <w:szCs w:val="20"/>
          </w:rPr>
          <w:fldChar w:fldCharType="end"/>
        </w:r>
      </w:hyperlink>
    </w:p>
    <w:p w14:paraId="6C2940A3" w14:textId="77777777" w:rsidR="00FE3B2A" w:rsidRPr="00FB04F6" w:rsidRDefault="00160FB0" w:rsidP="006C5F2A">
      <w:pPr>
        <w:pStyle w:val="Tabledesillustrations"/>
        <w:tabs>
          <w:tab w:val="right" w:leader="dot" w:pos="9060"/>
        </w:tabs>
        <w:ind w:left="0"/>
        <w:rPr>
          <w:rFonts w:ascii="Calibri" w:hAnsi="Calibri" w:cs="Calibri"/>
          <w:noProof/>
          <w:szCs w:val="20"/>
        </w:rPr>
      </w:pPr>
      <w:hyperlink w:anchor="_Toc125409961" w:history="1">
        <w:r w:rsidR="00FE3B2A" w:rsidRPr="00FB04F6">
          <w:rPr>
            <w:rStyle w:val="Lienhypertexte"/>
            <w:rFonts w:ascii="Calibri" w:hAnsi="Calibri" w:cs="Calibri"/>
            <w:noProof/>
            <w:szCs w:val="20"/>
          </w:rPr>
          <w:t>Photo 8. Bibilava lateralis</w:t>
        </w:r>
        <w:r w:rsidR="00FE3B2A" w:rsidRPr="00FB04F6">
          <w:rPr>
            <w:rFonts w:ascii="Calibri" w:hAnsi="Calibri" w:cs="Calibri"/>
            <w:noProof/>
            <w:webHidden/>
            <w:szCs w:val="20"/>
          </w:rPr>
          <w:tab/>
        </w:r>
        <w:r w:rsidR="00FE3B2A" w:rsidRPr="00FB04F6">
          <w:rPr>
            <w:rFonts w:ascii="Calibri" w:hAnsi="Calibri" w:cs="Calibri"/>
            <w:noProof/>
            <w:webHidden/>
            <w:szCs w:val="20"/>
          </w:rPr>
          <w:fldChar w:fldCharType="begin"/>
        </w:r>
        <w:r w:rsidR="00FE3B2A" w:rsidRPr="00FB04F6">
          <w:rPr>
            <w:rFonts w:ascii="Calibri" w:hAnsi="Calibri" w:cs="Calibri"/>
            <w:noProof/>
            <w:webHidden/>
            <w:szCs w:val="20"/>
          </w:rPr>
          <w:instrText xml:space="preserve"> PAGEREF _Toc125409961 \h </w:instrText>
        </w:r>
        <w:r w:rsidR="00FE3B2A" w:rsidRPr="00FB04F6">
          <w:rPr>
            <w:rFonts w:ascii="Calibri" w:hAnsi="Calibri" w:cs="Calibri"/>
            <w:noProof/>
            <w:webHidden/>
            <w:szCs w:val="20"/>
          </w:rPr>
        </w:r>
        <w:r w:rsidR="00FE3B2A" w:rsidRPr="00FB04F6">
          <w:rPr>
            <w:rFonts w:ascii="Calibri" w:hAnsi="Calibri" w:cs="Calibri"/>
            <w:noProof/>
            <w:webHidden/>
            <w:szCs w:val="20"/>
          </w:rPr>
          <w:fldChar w:fldCharType="separate"/>
        </w:r>
        <w:r w:rsidR="00B05C7F">
          <w:rPr>
            <w:rFonts w:ascii="Calibri" w:hAnsi="Calibri" w:cs="Calibri"/>
            <w:noProof/>
            <w:webHidden/>
            <w:szCs w:val="20"/>
          </w:rPr>
          <w:t>50</w:t>
        </w:r>
        <w:r w:rsidR="00FE3B2A" w:rsidRPr="00FB04F6">
          <w:rPr>
            <w:rFonts w:ascii="Calibri" w:hAnsi="Calibri" w:cs="Calibri"/>
            <w:noProof/>
            <w:webHidden/>
            <w:szCs w:val="20"/>
          </w:rPr>
          <w:fldChar w:fldCharType="end"/>
        </w:r>
      </w:hyperlink>
    </w:p>
    <w:p w14:paraId="05A1A58E" w14:textId="77777777" w:rsidR="00FE3B2A" w:rsidRPr="00FB04F6" w:rsidRDefault="00160FB0" w:rsidP="006C5F2A">
      <w:pPr>
        <w:pStyle w:val="Tabledesillustrations"/>
        <w:tabs>
          <w:tab w:val="right" w:leader="dot" w:pos="9060"/>
        </w:tabs>
        <w:ind w:left="0"/>
        <w:rPr>
          <w:rFonts w:ascii="Calibri" w:hAnsi="Calibri" w:cs="Calibri"/>
          <w:noProof/>
          <w:szCs w:val="20"/>
        </w:rPr>
      </w:pPr>
      <w:hyperlink w:anchor="_Toc125409962" w:history="1">
        <w:r w:rsidR="00FE3B2A" w:rsidRPr="00FB04F6">
          <w:rPr>
            <w:rStyle w:val="Lienhypertexte"/>
            <w:rFonts w:ascii="Calibri" w:hAnsi="Calibri" w:cs="Calibri"/>
            <w:noProof/>
            <w:szCs w:val="20"/>
          </w:rPr>
          <w:t>Photo 9. Décharge publique près d’une zone humide (Antananarivo)</w:t>
        </w:r>
        <w:r w:rsidR="00FE3B2A" w:rsidRPr="00FB04F6">
          <w:rPr>
            <w:rFonts w:ascii="Calibri" w:hAnsi="Calibri" w:cs="Calibri"/>
            <w:noProof/>
            <w:webHidden/>
            <w:szCs w:val="20"/>
          </w:rPr>
          <w:tab/>
        </w:r>
        <w:r w:rsidR="00FE3B2A" w:rsidRPr="00FB04F6">
          <w:rPr>
            <w:rFonts w:ascii="Calibri" w:hAnsi="Calibri" w:cs="Calibri"/>
            <w:noProof/>
            <w:webHidden/>
            <w:szCs w:val="20"/>
          </w:rPr>
          <w:fldChar w:fldCharType="begin"/>
        </w:r>
        <w:r w:rsidR="00FE3B2A" w:rsidRPr="00FB04F6">
          <w:rPr>
            <w:rFonts w:ascii="Calibri" w:hAnsi="Calibri" w:cs="Calibri"/>
            <w:noProof/>
            <w:webHidden/>
            <w:szCs w:val="20"/>
          </w:rPr>
          <w:instrText xml:space="preserve"> PAGEREF _Toc125409962 \h </w:instrText>
        </w:r>
        <w:r w:rsidR="00FE3B2A" w:rsidRPr="00FB04F6">
          <w:rPr>
            <w:rFonts w:ascii="Calibri" w:hAnsi="Calibri" w:cs="Calibri"/>
            <w:noProof/>
            <w:webHidden/>
            <w:szCs w:val="20"/>
          </w:rPr>
        </w:r>
        <w:r w:rsidR="00FE3B2A" w:rsidRPr="00FB04F6">
          <w:rPr>
            <w:rFonts w:ascii="Calibri" w:hAnsi="Calibri" w:cs="Calibri"/>
            <w:noProof/>
            <w:webHidden/>
            <w:szCs w:val="20"/>
          </w:rPr>
          <w:fldChar w:fldCharType="separate"/>
        </w:r>
        <w:r w:rsidR="00B05C7F">
          <w:rPr>
            <w:rFonts w:ascii="Calibri" w:hAnsi="Calibri" w:cs="Calibri"/>
            <w:noProof/>
            <w:webHidden/>
            <w:szCs w:val="20"/>
          </w:rPr>
          <w:t>56</w:t>
        </w:r>
        <w:r w:rsidR="00FE3B2A" w:rsidRPr="00FB04F6">
          <w:rPr>
            <w:rFonts w:ascii="Calibri" w:hAnsi="Calibri" w:cs="Calibri"/>
            <w:noProof/>
            <w:webHidden/>
            <w:szCs w:val="20"/>
          </w:rPr>
          <w:fldChar w:fldCharType="end"/>
        </w:r>
      </w:hyperlink>
    </w:p>
    <w:p w14:paraId="2558F834" w14:textId="77777777" w:rsidR="00FE3B2A" w:rsidRPr="00FB04F6" w:rsidRDefault="00160FB0" w:rsidP="006C5F2A">
      <w:pPr>
        <w:pStyle w:val="Tabledesillustrations"/>
        <w:tabs>
          <w:tab w:val="right" w:leader="dot" w:pos="9060"/>
        </w:tabs>
        <w:ind w:left="0"/>
        <w:rPr>
          <w:rFonts w:ascii="Calibri" w:hAnsi="Calibri" w:cs="Calibri"/>
          <w:noProof/>
          <w:szCs w:val="20"/>
        </w:rPr>
      </w:pPr>
      <w:hyperlink w:anchor="_Toc125409963" w:history="1">
        <w:r w:rsidR="00FE3B2A" w:rsidRPr="00FB04F6">
          <w:rPr>
            <w:rStyle w:val="Lienhypertexte"/>
            <w:rFonts w:ascii="Calibri" w:hAnsi="Calibri" w:cs="Calibri"/>
            <w:noProof/>
            <w:szCs w:val="20"/>
          </w:rPr>
          <w:t>Photo 10. Extraits de diverses consultations dans les sites visités</w:t>
        </w:r>
        <w:r w:rsidR="00FE3B2A" w:rsidRPr="00FB04F6">
          <w:rPr>
            <w:rFonts w:ascii="Calibri" w:hAnsi="Calibri" w:cs="Calibri"/>
            <w:noProof/>
            <w:webHidden/>
            <w:szCs w:val="20"/>
          </w:rPr>
          <w:tab/>
        </w:r>
        <w:r w:rsidR="00FE3B2A" w:rsidRPr="00FB04F6">
          <w:rPr>
            <w:rFonts w:ascii="Calibri" w:hAnsi="Calibri" w:cs="Calibri"/>
            <w:noProof/>
            <w:webHidden/>
            <w:szCs w:val="20"/>
          </w:rPr>
          <w:fldChar w:fldCharType="begin"/>
        </w:r>
        <w:r w:rsidR="00FE3B2A" w:rsidRPr="00FB04F6">
          <w:rPr>
            <w:rFonts w:ascii="Calibri" w:hAnsi="Calibri" w:cs="Calibri"/>
            <w:noProof/>
            <w:webHidden/>
            <w:szCs w:val="20"/>
          </w:rPr>
          <w:instrText xml:space="preserve"> PAGEREF _Toc125409963 \h </w:instrText>
        </w:r>
        <w:r w:rsidR="00FE3B2A" w:rsidRPr="00FB04F6">
          <w:rPr>
            <w:rFonts w:ascii="Calibri" w:hAnsi="Calibri" w:cs="Calibri"/>
            <w:noProof/>
            <w:webHidden/>
            <w:szCs w:val="20"/>
          </w:rPr>
        </w:r>
        <w:r w:rsidR="00FE3B2A" w:rsidRPr="00FB04F6">
          <w:rPr>
            <w:rFonts w:ascii="Calibri" w:hAnsi="Calibri" w:cs="Calibri"/>
            <w:noProof/>
            <w:webHidden/>
            <w:szCs w:val="20"/>
          </w:rPr>
          <w:fldChar w:fldCharType="separate"/>
        </w:r>
        <w:r w:rsidR="00B05C7F">
          <w:rPr>
            <w:rFonts w:ascii="Calibri" w:hAnsi="Calibri" w:cs="Calibri"/>
            <w:noProof/>
            <w:webHidden/>
            <w:szCs w:val="20"/>
          </w:rPr>
          <w:t>210</w:t>
        </w:r>
        <w:r w:rsidR="00FE3B2A" w:rsidRPr="00FB04F6">
          <w:rPr>
            <w:rFonts w:ascii="Calibri" w:hAnsi="Calibri" w:cs="Calibri"/>
            <w:noProof/>
            <w:webHidden/>
            <w:szCs w:val="20"/>
          </w:rPr>
          <w:fldChar w:fldCharType="end"/>
        </w:r>
      </w:hyperlink>
    </w:p>
    <w:p w14:paraId="61369E88" w14:textId="77777777" w:rsidR="00382606" w:rsidRDefault="00FE3B2A" w:rsidP="006C5F2A">
      <w:pPr>
        <w:rPr>
          <w:b/>
        </w:rPr>
      </w:pPr>
      <w:r w:rsidRPr="00FB04F6">
        <w:rPr>
          <w:rFonts w:cs="Calibri"/>
          <w:b/>
          <w:sz w:val="20"/>
          <w:szCs w:val="20"/>
        </w:rPr>
        <w:fldChar w:fldCharType="end"/>
      </w:r>
    </w:p>
    <w:p w14:paraId="076CB7BA" w14:textId="77777777" w:rsidR="00813C50" w:rsidRDefault="00813C50">
      <w:pPr>
        <w:rPr>
          <w:b/>
        </w:rPr>
      </w:pPr>
    </w:p>
    <w:p w14:paraId="70D118C2" w14:textId="77777777" w:rsidR="003856BD" w:rsidRDefault="003856BD"/>
    <w:p w14:paraId="20AFC18A" w14:textId="77777777" w:rsidR="00003D2F" w:rsidRPr="00B96EBA" w:rsidRDefault="00003D2F" w:rsidP="00E5387E">
      <w:pPr>
        <w:spacing w:before="120" w:after="120" w:line="240" w:lineRule="auto"/>
        <w:rPr>
          <w:bCs/>
          <w:caps/>
          <w:color w:val="44546A"/>
          <w:sz w:val="40"/>
          <w:szCs w:val="44"/>
        </w:rPr>
      </w:pPr>
      <w:r>
        <w:br w:type="page"/>
      </w:r>
      <w:bookmarkStart w:id="9" w:name="_Toc124956082"/>
      <w:bookmarkStart w:id="10" w:name="_Toc125384480"/>
      <w:bookmarkStart w:id="11" w:name="_Toc125384869"/>
      <w:r w:rsidRPr="00B96EBA">
        <w:rPr>
          <w:bCs/>
          <w:caps/>
          <w:color w:val="44546A"/>
          <w:sz w:val="40"/>
          <w:szCs w:val="44"/>
        </w:rPr>
        <w:lastRenderedPageBreak/>
        <w:t>Acronymes</w:t>
      </w:r>
      <w:bookmarkEnd w:id="9"/>
      <w:bookmarkEnd w:id="10"/>
      <w:bookmarkEnd w:id="11"/>
      <w:r w:rsidRPr="00B96EBA">
        <w:rPr>
          <w:bCs/>
          <w:caps/>
          <w:color w:val="44546A"/>
          <w:sz w:val="40"/>
          <w:szCs w:val="44"/>
        </w:rPr>
        <w:t xml:space="preserve"> </w:t>
      </w:r>
    </w:p>
    <w:tbl>
      <w:tblPr>
        <w:tblW w:w="5000" w:type="pct"/>
        <w:tblLayout w:type="fixed"/>
        <w:tblCellMar>
          <w:left w:w="70" w:type="dxa"/>
          <w:right w:w="70" w:type="dxa"/>
        </w:tblCellMar>
        <w:tblLook w:val="04A0" w:firstRow="1" w:lastRow="0" w:firstColumn="1" w:lastColumn="0" w:noHBand="0" w:noVBand="1"/>
      </w:tblPr>
      <w:tblGrid>
        <w:gridCol w:w="1466"/>
        <w:gridCol w:w="7606"/>
      </w:tblGrid>
      <w:tr w:rsidR="00D4541C" w:rsidRPr="00D4541C" w14:paraId="61465226" w14:textId="77777777" w:rsidTr="00D4541C">
        <w:trPr>
          <w:trHeight w:val="300"/>
        </w:trPr>
        <w:tc>
          <w:tcPr>
            <w:tcW w:w="808" w:type="pct"/>
            <w:tcBorders>
              <w:top w:val="nil"/>
              <w:left w:val="nil"/>
              <w:bottom w:val="nil"/>
              <w:right w:val="nil"/>
            </w:tcBorders>
            <w:shd w:val="clear" w:color="auto" w:fill="auto"/>
            <w:noWrap/>
            <w:vAlign w:val="center"/>
            <w:hideMark/>
          </w:tcPr>
          <w:p w14:paraId="11A096BD" w14:textId="77777777" w:rsidR="00D4541C" w:rsidRPr="00B434A6" w:rsidRDefault="00D4541C" w:rsidP="005D11CF">
            <w:pPr>
              <w:spacing w:after="0" w:line="240" w:lineRule="auto"/>
              <w:rPr>
                <w:sz w:val="20"/>
                <w:lang w:eastAsia="fr-FR"/>
              </w:rPr>
            </w:pPr>
            <w:r w:rsidRPr="00B434A6">
              <w:rPr>
                <w:sz w:val="20"/>
                <w:lang w:eastAsia="fr-FR"/>
              </w:rPr>
              <w:t>ADER</w:t>
            </w:r>
          </w:p>
        </w:tc>
        <w:tc>
          <w:tcPr>
            <w:tcW w:w="4192" w:type="pct"/>
            <w:tcBorders>
              <w:top w:val="nil"/>
              <w:left w:val="nil"/>
              <w:bottom w:val="nil"/>
              <w:right w:val="nil"/>
            </w:tcBorders>
            <w:shd w:val="clear" w:color="auto" w:fill="auto"/>
            <w:noWrap/>
            <w:vAlign w:val="center"/>
            <w:hideMark/>
          </w:tcPr>
          <w:p w14:paraId="58C38EB3" w14:textId="77777777" w:rsidR="00D4541C" w:rsidRPr="00B434A6" w:rsidRDefault="00D4541C" w:rsidP="005D11CF">
            <w:pPr>
              <w:spacing w:after="0" w:line="240" w:lineRule="auto"/>
              <w:rPr>
                <w:sz w:val="20"/>
                <w:lang w:eastAsia="fr-FR"/>
              </w:rPr>
            </w:pPr>
            <w:r w:rsidRPr="00B434A6">
              <w:rPr>
                <w:sz w:val="20"/>
                <w:lang w:eastAsia="fr-FR"/>
              </w:rPr>
              <w:t>: Agence de Développement de l’Electrification Rurale</w:t>
            </w:r>
          </w:p>
        </w:tc>
      </w:tr>
      <w:tr w:rsidR="00D4541C" w:rsidRPr="00D4541C" w14:paraId="4693E34D" w14:textId="77777777" w:rsidTr="00D4541C">
        <w:trPr>
          <w:trHeight w:val="300"/>
        </w:trPr>
        <w:tc>
          <w:tcPr>
            <w:tcW w:w="808" w:type="pct"/>
            <w:tcBorders>
              <w:top w:val="nil"/>
              <w:left w:val="nil"/>
              <w:bottom w:val="nil"/>
              <w:right w:val="nil"/>
            </w:tcBorders>
            <w:shd w:val="clear" w:color="auto" w:fill="auto"/>
            <w:noWrap/>
            <w:vAlign w:val="center"/>
            <w:hideMark/>
          </w:tcPr>
          <w:p w14:paraId="61CA75F0" w14:textId="77777777" w:rsidR="00D4541C" w:rsidRPr="00B434A6" w:rsidRDefault="00D4541C" w:rsidP="005D11CF">
            <w:pPr>
              <w:spacing w:after="0" w:line="240" w:lineRule="auto"/>
              <w:rPr>
                <w:sz w:val="20"/>
                <w:lang w:eastAsia="fr-FR"/>
              </w:rPr>
            </w:pPr>
            <w:r w:rsidRPr="00B434A6">
              <w:rPr>
                <w:sz w:val="20"/>
                <w:lang w:eastAsia="fr-FR"/>
              </w:rPr>
              <w:t>ARELEC</w:t>
            </w:r>
          </w:p>
        </w:tc>
        <w:tc>
          <w:tcPr>
            <w:tcW w:w="4192" w:type="pct"/>
            <w:tcBorders>
              <w:top w:val="nil"/>
              <w:left w:val="nil"/>
              <w:bottom w:val="nil"/>
              <w:right w:val="nil"/>
            </w:tcBorders>
            <w:shd w:val="clear" w:color="auto" w:fill="auto"/>
            <w:noWrap/>
            <w:vAlign w:val="center"/>
            <w:hideMark/>
          </w:tcPr>
          <w:p w14:paraId="2F1B54E0" w14:textId="77777777" w:rsidR="00D4541C" w:rsidRPr="00B434A6" w:rsidRDefault="00D4541C" w:rsidP="005D11CF">
            <w:pPr>
              <w:spacing w:after="0" w:line="240" w:lineRule="auto"/>
              <w:rPr>
                <w:sz w:val="20"/>
                <w:lang w:eastAsia="fr-FR"/>
              </w:rPr>
            </w:pPr>
            <w:r w:rsidRPr="00B434A6">
              <w:rPr>
                <w:sz w:val="20"/>
                <w:lang w:eastAsia="fr-FR"/>
              </w:rPr>
              <w:t>: Autorité de Régulation de l’Electricité</w:t>
            </w:r>
          </w:p>
        </w:tc>
      </w:tr>
      <w:tr w:rsidR="00D4541C" w:rsidRPr="00D4541C" w14:paraId="7BE30F6E" w14:textId="77777777" w:rsidTr="00D4541C">
        <w:trPr>
          <w:trHeight w:val="300"/>
        </w:trPr>
        <w:tc>
          <w:tcPr>
            <w:tcW w:w="808" w:type="pct"/>
            <w:tcBorders>
              <w:top w:val="nil"/>
              <w:left w:val="nil"/>
              <w:bottom w:val="nil"/>
              <w:right w:val="nil"/>
            </w:tcBorders>
            <w:shd w:val="clear" w:color="auto" w:fill="auto"/>
            <w:noWrap/>
            <w:vAlign w:val="center"/>
            <w:hideMark/>
          </w:tcPr>
          <w:p w14:paraId="3283D737" w14:textId="77777777" w:rsidR="00D4541C" w:rsidRPr="00B434A6" w:rsidRDefault="00D4541C" w:rsidP="005D11CF">
            <w:pPr>
              <w:spacing w:after="0" w:line="240" w:lineRule="auto"/>
              <w:rPr>
                <w:sz w:val="20"/>
                <w:lang w:eastAsia="fr-FR"/>
              </w:rPr>
            </w:pPr>
            <w:r w:rsidRPr="00B434A6">
              <w:rPr>
                <w:sz w:val="20"/>
                <w:lang w:eastAsia="fr-FR"/>
              </w:rPr>
              <w:t>ARTEC</w:t>
            </w:r>
          </w:p>
        </w:tc>
        <w:tc>
          <w:tcPr>
            <w:tcW w:w="4192" w:type="pct"/>
            <w:tcBorders>
              <w:top w:val="nil"/>
              <w:left w:val="nil"/>
              <w:bottom w:val="nil"/>
              <w:right w:val="nil"/>
            </w:tcBorders>
            <w:shd w:val="clear" w:color="auto" w:fill="auto"/>
            <w:noWrap/>
            <w:vAlign w:val="center"/>
            <w:hideMark/>
          </w:tcPr>
          <w:p w14:paraId="06E43572" w14:textId="77777777" w:rsidR="00D4541C" w:rsidRPr="00B434A6" w:rsidRDefault="00D4541C" w:rsidP="005D11CF">
            <w:pPr>
              <w:spacing w:after="0" w:line="240" w:lineRule="auto"/>
              <w:rPr>
                <w:sz w:val="20"/>
                <w:lang w:eastAsia="fr-FR"/>
              </w:rPr>
            </w:pPr>
            <w:r w:rsidRPr="00B434A6">
              <w:rPr>
                <w:sz w:val="20"/>
                <w:lang w:eastAsia="fr-FR"/>
              </w:rPr>
              <w:t>: Autorité de Régulation des Technologies de Communication</w:t>
            </w:r>
          </w:p>
        </w:tc>
      </w:tr>
      <w:tr w:rsidR="00D4541C" w:rsidRPr="00D4541C" w14:paraId="6C51BC0E" w14:textId="77777777" w:rsidTr="00D4541C">
        <w:trPr>
          <w:trHeight w:val="300"/>
        </w:trPr>
        <w:tc>
          <w:tcPr>
            <w:tcW w:w="808" w:type="pct"/>
            <w:tcBorders>
              <w:top w:val="nil"/>
              <w:left w:val="nil"/>
              <w:bottom w:val="nil"/>
              <w:right w:val="nil"/>
            </w:tcBorders>
            <w:shd w:val="clear" w:color="auto" w:fill="auto"/>
            <w:noWrap/>
            <w:vAlign w:val="center"/>
            <w:hideMark/>
          </w:tcPr>
          <w:p w14:paraId="50D3F7EE" w14:textId="77777777" w:rsidR="00D4541C" w:rsidRPr="00B434A6" w:rsidRDefault="00D4541C" w:rsidP="005D11CF">
            <w:pPr>
              <w:spacing w:after="0" w:line="240" w:lineRule="auto"/>
              <w:rPr>
                <w:sz w:val="20"/>
                <w:lang w:eastAsia="fr-FR"/>
              </w:rPr>
            </w:pPr>
            <w:r w:rsidRPr="00B434A6">
              <w:rPr>
                <w:sz w:val="20"/>
                <w:lang w:eastAsia="fr-FR"/>
              </w:rPr>
              <w:t>BT</w:t>
            </w:r>
          </w:p>
        </w:tc>
        <w:tc>
          <w:tcPr>
            <w:tcW w:w="4192" w:type="pct"/>
            <w:tcBorders>
              <w:top w:val="nil"/>
              <w:left w:val="nil"/>
              <w:bottom w:val="nil"/>
              <w:right w:val="nil"/>
            </w:tcBorders>
            <w:shd w:val="clear" w:color="auto" w:fill="auto"/>
            <w:noWrap/>
            <w:vAlign w:val="center"/>
            <w:hideMark/>
          </w:tcPr>
          <w:p w14:paraId="6EDB40CC" w14:textId="77777777" w:rsidR="00D4541C" w:rsidRPr="00B434A6" w:rsidRDefault="00D4541C" w:rsidP="005D11CF">
            <w:pPr>
              <w:spacing w:after="0" w:line="240" w:lineRule="auto"/>
              <w:rPr>
                <w:sz w:val="20"/>
                <w:lang w:eastAsia="fr-FR"/>
              </w:rPr>
            </w:pPr>
            <w:r w:rsidRPr="00B434A6">
              <w:rPr>
                <w:sz w:val="20"/>
                <w:lang w:eastAsia="fr-FR"/>
              </w:rPr>
              <w:t>: Basse Tension</w:t>
            </w:r>
          </w:p>
        </w:tc>
      </w:tr>
      <w:tr w:rsidR="00D4541C" w:rsidRPr="00D4541C" w14:paraId="010B7E99" w14:textId="77777777" w:rsidTr="00D4541C">
        <w:trPr>
          <w:trHeight w:val="300"/>
        </w:trPr>
        <w:tc>
          <w:tcPr>
            <w:tcW w:w="808" w:type="pct"/>
            <w:tcBorders>
              <w:top w:val="nil"/>
              <w:left w:val="nil"/>
              <w:bottom w:val="nil"/>
              <w:right w:val="nil"/>
            </w:tcBorders>
            <w:shd w:val="clear" w:color="auto" w:fill="auto"/>
            <w:noWrap/>
            <w:vAlign w:val="center"/>
            <w:hideMark/>
          </w:tcPr>
          <w:p w14:paraId="16A85F4C" w14:textId="77777777" w:rsidR="00D4541C" w:rsidRPr="00B434A6" w:rsidRDefault="00D4541C" w:rsidP="005D11CF">
            <w:pPr>
              <w:spacing w:after="0" w:line="240" w:lineRule="auto"/>
              <w:rPr>
                <w:sz w:val="20"/>
                <w:lang w:eastAsia="fr-FR"/>
              </w:rPr>
            </w:pPr>
            <w:r w:rsidRPr="00B434A6">
              <w:rPr>
                <w:sz w:val="20"/>
                <w:lang w:eastAsia="fr-FR"/>
              </w:rPr>
              <w:t>CC</w:t>
            </w:r>
          </w:p>
        </w:tc>
        <w:tc>
          <w:tcPr>
            <w:tcW w:w="4192" w:type="pct"/>
            <w:tcBorders>
              <w:top w:val="nil"/>
              <w:left w:val="nil"/>
              <w:bottom w:val="nil"/>
              <w:right w:val="nil"/>
            </w:tcBorders>
            <w:shd w:val="clear" w:color="auto" w:fill="auto"/>
            <w:noWrap/>
            <w:vAlign w:val="center"/>
            <w:hideMark/>
          </w:tcPr>
          <w:p w14:paraId="545CA3FA" w14:textId="77777777" w:rsidR="00D4541C" w:rsidRPr="00B434A6" w:rsidRDefault="00D4541C" w:rsidP="005D11CF">
            <w:pPr>
              <w:spacing w:after="0" w:line="240" w:lineRule="auto"/>
              <w:rPr>
                <w:sz w:val="20"/>
                <w:lang w:eastAsia="fr-FR"/>
              </w:rPr>
            </w:pPr>
            <w:r w:rsidRPr="00B434A6">
              <w:rPr>
                <w:sz w:val="20"/>
                <w:lang w:eastAsia="fr-FR"/>
              </w:rPr>
              <w:t>: Convention Collective</w:t>
            </w:r>
          </w:p>
        </w:tc>
      </w:tr>
      <w:tr w:rsidR="00D4541C" w:rsidRPr="00D4541C" w14:paraId="0A9C0CDF" w14:textId="77777777" w:rsidTr="00D4541C">
        <w:trPr>
          <w:trHeight w:val="300"/>
        </w:trPr>
        <w:tc>
          <w:tcPr>
            <w:tcW w:w="808" w:type="pct"/>
            <w:tcBorders>
              <w:top w:val="nil"/>
              <w:left w:val="nil"/>
              <w:bottom w:val="nil"/>
              <w:right w:val="nil"/>
            </w:tcBorders>
            <w:shd w:val="clear" w:color="auto" w:fill="auto"/>
            <w:noWrap/>
            <w:vAlign w:val="center"/>
            <w:hideMark/>
          </w:tcPr>
          <w:p w14:paraId="31045FB7" w14:textId="77777777" w:rsidR="00D4541C" w:rsidRPr="00B434A6" w:rsidRDefault="00D4541C" w:rsidP="005D11CF">
            <w:pPr>
              <w:spacing w:after="0" w:line="240" w:lineRule="auto"/>
              <w:rPr>
                <w:sz w:val="20"/>
                <w:lang w:eastAsia="fr-FR"/>
              </w:rPr>
            </w:pPr>
            <w:r w:rsidRPr="00B434A6">
              <w:rPr>
                <w:sz w:val="20"/>
                <w:lang w:eastAsia="fr-FR"/>
              </w:rPr>
              <w:t>CEG</w:t>
            </w:r>
          </w:p>
        </w:tc>
        <w:tc>
          <w:tcPr>
            <w:tcW w:w="4192" w:type="pct"/>
            <w:tcBorders>
              <w:top w:val="nil"/>
              <w:left w:val="nil"/>
              <w:bottom w:val="nil"/>
              <w:right w:val="nil"/>
            </w:tcBorders>
            <w:shd w:val="clear" w:color="auto" w:fill="auto"/>
            <w:noWrap/>
            <w:vAlign w:val="center"/>
            <w:hideMark/>
          </w:tcPr>
          <w:p w14:paraId="0FD8C8CD" w14:textId="77777777" w:rsidR="00D4541C" w:rsidRPr="00B434A6" w:rsidRDefault="00D4541C" w:rsidP="005D11CF">
            <w:pPr>
              <w:spacing w:after="0" w:line="240" w:lineRule="auto"/>
              <w:rPr>
                <w:sz w:val="20"/>
                <w:lang w:eastAsia="fr-FR"/>
              </w:rPr>
            </w:pPr>
            <w:r w:rsidRPr="00B434A6">
              <w:rPr>
                <w:sz w:val="20"/>
                <w:lang w:eastAsia="fr-FR"/>
              </w:rPr>
              <w:t>: Coll</w:t>
            </w:r>
            <w:r w:rsidR="00921D9D">
              <w:rPr>
                <w:sz w:val="20"/>
                <w:lang w:eastAsia="fr-FR"/>
              </w:rPr>
              <w:t>è</w:t>
            </w:r>
            <w:r w:rsidRPr="00B434A6">
              <w:rPr>
                <w:sz w:val="20"/>
                <w:lang w:eastAsia="fr-FR"/>
              </w:rPr>
              <w:t>ge d'Enseignement Général</w:t>
            </w:r>
          </w:p>
        </w:tc>
      </w:tr>
      <w:tr w:rsidR="00D4541C" w:rsidRPr="00D4541C" w14:paraId="586CDC2F" w14:textId="77777777" w:rsidTr="00D4541C">
        <w:trPr>
          <w:trHeight w:val="300"/>
        </w:trPr>
        <w:tc>
          <w:tcPr>
            <w:tcW w:w="808" w:type="pct"/>
            <w:tcBorders>
              <w:top w:val="nil"/>
              <w:left w:val="nil"/>
              <w:bottom w:val="nil"/>
              <w:right w:val="nil"/>
            </w:tcBorders>
            <w:shd w:val="clear" w:color="auto" w:fill="auto"/>
            <w:noWrap/>
            <w:vAlign w:val="center"/>
            <w:hideMark/>
          </w:tcPr>
          <w:p w14:paraId="1FA67F2C" w14:textId="77777777" w:rsidR="00D4541C" w:rsidRPr="00B434A6" w:rsidRDefault="00D4541C" w:rsidP="005D11CF">
            <w:pPr>
              <w:spacing w:after="0" w:line="240" w:lineRule="auto"/>
              <w:rPr>
                <w:sz w:val="20"/>
                <w:lang w:eastAsia="fr-FR"/>
              </w:rPr>
            </w:pPr>
            <w:r w:rsidRPr="00B434A6">
              <w:rPr>
                <w:sz w:val="20"/>
                <w:lang w:eastAsia="fr-FR"/>
              </w:rPr>
              <w:t>CES</w:t>
            </w:r>
          </w:p>
        </w:tc>
        <w:tc>
          <w:tcPr>
            <w:tcW w:w="4192" w:type="pct"/>
            <w:tcBorders>
              <w:top w:val="nil"/>
              <w:left w:val="nil"/>
              <w:bottom w:val="nil"/>
              <w:right w:val="nil"/>
            </w:tcBorders>
            <w:shd w:val="clear" w:color="auto" w:fill="auto"/>
            <w:noWrap/>
            <w:vAlign w:val="center"/>
            <w:hideMark/>
          </w:tcPr>
          <w:p w14:paraId="51698700" w14:textId="77777777" w:rsidR="00D4541C" w:rsidRPr="00B434A6" w:rsidRDefault="00D4541C" w:rsidP="005D11CF">
            <w:pPr>
              <w:spacing w:after="0" w:line="240" w:lineRule="auto"/>
              <w:rPr>
                <w:sz w:val="20"/>
                <w:lang w:eastAsia="fr-FR"/>
              </w:rPr>
            </w:pPr>
            <w:r w:rsidRPr="00B434A6">
              <w:rPr>
                <w:sz w:val="20"/>
                <w:lang w:eastAsia="fr-FR"/>
              </w:rPr>
              <w:t>: Cadre Environnemental et Social</w:t>
            </w:r>
          </w:p>
        </w:tc>
      </w:tr>
      <w:tr w:rsidR="00D4541C" w:rsidRPr="00D4541C" w14:paraId="6039476F" w14:textId="77777777" w:rsidTr="00D4541C">
        <w:trPr>
          <w:trHeight w:val="300"/>
        </w:trPr>
        <w:tc>
          <w:tcPr>
            <w:tcW w:w="808" w:type="pct"/>
            <w:tcBorders>
              <w:top w:val="nil"/>
              <w:left w:val="nil"/>
              <w:bottom w:val="nil"/>
              <w:right w:val="nil"/>
            </w:tcBorders>
            <w:shd w:val="clear" w:color="auto" w:fill="auto"/>
            <w:noWrap/>
            <w:vAlign w:val="center"/>
            <w:hideMark/>
          </w:tcPr>
          <w:p w14:paraId="6347DCAD" w14:textId="77777777" w:rsidR="00D4541C" w:rsidRPr="00B434A6" w:rsidRDefault="00D4541C" w:rsidP="005D11CF">
            <w:pPr>
              <w:spacing w:after="0" w:line="240" w:lineRule="auto"/>
              <w:rPr>
                <w:sz w:val="20"/>
                <w:lang w:eastAsia="fr-FR"/>
              </w:rPr>
            </w:pPr>
            <w:r w:rsidRPr="00B434A6">
              <w:rPr>
                <w:sz w:val="20"/>
                <w:lang w:eastAsia="fr-FR"/>
              </w:rPr>
              <w:t>CGES</w:t>
            </w:r>
          </w:p>
        </w:tc>
        <w:tc>
          <w:tcPr>
            <w:tcW w:w="4192" w:type="pct"/>
            <w:tcBorders>
              <w:top w:val="nil"/>
              <w:left w:val="nil"/>
              <w:bottom w:val="nil"/>
              <w:right w:val="nil"/>
            </w:tcBorders>
            <w:shd w:val="clear" w:color="auto" w:fill="auto"/>
            <w:noWrap/>
            <w:vAlign w:val="center"/>
            <w:hideMark/>
          </w:tcPr>
          <w:p w14:paraId="56E9BE60" w14:textId="77777777" w:rsidR="00D4541C" w:rsidRPr="00B434A6" w:rsidRDefault="00D4541C" w:rsidP="005D11CF">
            <w:pPr>
              <w:spacing w:after="0" w:line="240" w:lineRule="auto"/>
              <w:rPr>
                <w:sz w:val="20"/>
                <w:lang w:eastAsia="fr-FR"/>
              </w:rPr>
            </w:pPr>
            <w:r w:rsidRPr="00B434A6">
              <w:rPr>
                <w:sz w:val="20"/>
                <w:lang w:eastAsia="fr-FR"/>
              </w:rPr>
              <w:t>: Cadre de Gestion Environnementale et Sociale</w:t>
            </w:r>
          </w:p>
        </w:tc>
      </w:tr>
      <w:tr w:rsidR="00D4541C" w:rsidRPr="00D4541C" w14:paraId="54073DF3" w14:textId="77777777" w:rsidTr="00D4541C">
        <w:trPr>
          <w:trHeight w:val="300"/>
        </w:trPr>
        <w:tc>
          <w:tcPr>
            <w:tcW w:w="808" w:type="pct"/>
            <w:tcBorders>
              <w:top w:val="nil"/>
              <w:left w:val="nil"/>
              <w:bottom w:val="nil"/>
              <w:right w:val="nil"/>
            </w:tcBorders>
            <w:shd w:val="clear" w:color="auto" w:fill="auto"/>
            <w:noWrap/>
            <w:vAlign w:val="center"/>
            <w:hideMark/>
          </w:tcPr>
          <w:p w14:paraId="10765002" w14:textId="77777777" w:rsidR="00D4541C" w:rsidRPr="00B434A6" w:rsidRDefault="00D4541C" w:rsidP="005D11CF">
            <w:pPr>
              <w:spacing w:after="0" w:line="240" w:lineRule="auto"/>
              <w:rPr>
                <w:sz w:val="20"/>
                <w:lang w:eastAsia="fr-FR"/>
              </w:rPr>
            </w:pPr>
            <w:r w:rsidRPr="00B434A6">
              <w:rPr>
                <w:sz w:val="20"/>
                <w:lang w:eastAsia="fr-FR"/>
              </w:rPr>
              <w:t>CIN</w:t>
            </w:r>
          </w:p>
        </w:tc>
        <w:tc>
          <w:tcPr>
            <w:tcW w:w="4192" w:type="pct"/>
            <w:tcBorders>
              <w:top w:val="nil"/>
              <w:left w:val="nil"/>
              <w:bottom w:val="nil"/>
              <w:right w:val="nil"/>
            </w:tcBorders>
            <w:shd w:val="clear" w:color="auto" w:fill="auto"/>
            <w:noWrap/>
            <w:vAlign w:val="center"/>
            <w:hideMark/>
          </w:tcPr>
          <w:p w14:paraId="25E818AC" w14:textId="77777777" w:rsidR="00D4541C" w:rsidRPr="00B434A6" w:rsidRDefault="00D4541C" w:rsidP="005D11CF">
            <w:pPr>
              <w:spacing w:after="0" w:line="240" w:lineRule="auto"/>
              <w:rPr>
                <w:sz w:val="20"/>
                <w:lang w:eastAsia="fr-FR"/>
              </w:rPr>
            </w:pPr>
            <w:r w:rsidRPr="00B434A6">
              <w:rPr>
                <w:sz w:val="20"/>
                <w:lang w:eastAsia="fr-FR"/>
              </w:rPr>
              <w:t>: Carte d'Identité Nationale</w:t>
            </w:r>
          </w:p>
        </w:tc>
      </w:tr>
      <w:tr w:rsidR="00D4541C" w:rsidRPr="00D4541C" w14:paraId="5ECD85D9" w14:textId="77777777" w:rsidTr="00D4541C">
        <w:trPr>
          <w:trHeight w:val="300"/>
        </w:trPr>
        <w:tc>
          <w:tcPr>
            <w:tcW w:w="808" w:type="pct"/>
            <w:tcBorders>
              <w:top w:val="nil"/>
              <w:left w:val="nil"/>
              <w:bottom w:val="nil"/>
              <w:right w:val="nil"/>
            </w:tcBorders>
            <w:shd w:val="clear" w:color="auto" w:fill="auto"/>
            <w:noWrap/>
            <w:vAlign w:val="center"/>
            <w:hideMark/>
          </w:tcPr>
          <w:p w14:paraId="34E06759" w14:textId="77777777" w:rsidR="00D4541C" w:rsidRPr="00B434A6" w:rsidRDefault="00D4541C" w:rsidP="005D11CF">
            <w:pPr>
              <w:spacing w:after="0" w:line="240" w:lineRule="auto"/>
              <w:rPr>
                <w:sz w:val="20"/>
                <w:lang w:eastAsia="fr-FR"/>
              </w:rPr>
            </w:pPr>
            <w:r w:rsidRPr="00B434A6">
              <w:rPr>
                <w:sz w:val="20"/>
                <w:lang w:eastAsia="fr-FR"/>
              </w:rPr>
              <w:t>COPIL</w:t>
            </w:r>
          </w:p>
        </w:tc>
        <w:tc>
          <w:tcPr>
            <w:tcW w:w="4192" w:type="pct"/>
            <w:tcBorders>
              <w:top w:val="nil"/>
              <w:left w:val="nil"/>
              <w:bottom w:val="nil"/>
              <w:right w:val="nil"/>
            </w:tcBorders>
            <w:shd w:val="clear" w:color="auto" w:fill="auto"/>
            <w:noWrap/>
            <w:vAlign w:val="center"/>
            <w:hideMark/>
          </w:tcPr>
          <w:p w14:paraId="1FE99388" w14:textId="77777777" w:rsidR="00D4541C" w:rsidRPr="00B434A6" w:rsidRDefault="00D4541C" w:rsidP="005D11CF">
            <w:pPr>
              <w:spacing w:after="0" w:line="240" w:lineRule="auto"/>
              <w:rPr>
                <w:sz w:val="20"/>
                <w:lang w:eastAsia="fr-FR"/>
              </w:rPr>
            </w:pPr>
            <w:r w:rsidRPr="00B434A6">
              <w:rPr>
                <w:sz w:val="20"/>
                <w:lang w:eastAsia="fr-FR"/>
              </w:rPr>
              <w:t>: Comité de Pilotage</w:t>
            </w:r>
          </w:p>
        </w:tc>
      </w:tr>
      <w:tr w:rsidR="00D4541C" w:rsidRPr="00D4541C" w14:paraId="22E4E1FC" w14:textId="77777777" w:rsidTr="00D4541C">
        <w:trPr>
          <w:trHeight w:val="300"/>
        </w:trPr>
        <w:tc>
          <w:tcPr>
            <w:tcW w:w="808" w:type="pct"/>
            <w:tcBorders>
              <w:top w:val="nil"/>
              <w:left w:val="nil"/>
              <w:bottom w:val="nil"/>
              <w:right w:val="nil"/>
            </w:tcBorders>
            <w:shd w:val="clear" w:color="auto" w:fill="auto"/>
            <w:noWrap/>
            <w:vAlign w:val="center"/>
            <w:hideMark/>
          </w:tcPr>
          <w:p w14:paraId="0D94AD94" w14:textId="77777777" w:rsidR="00D4541C" w:rsidRPr="00B434A6" w:rsidRDefault="00D4541C" w:rsidP="005D11CF">
            <w:pPr>
              <w:spacing w:after="0" w:line="240" w:lineRule="auto"/>
              <w:rPr>
                <w:sz w:val="20"/>
                <w:lang w:eastAsia="fr-FR"/>
              </w:rPr>
            </w:pPr>
            <w:r w:rsidRPr="00B434A6">
              <w:rPr>
                <w:sz w:val="20"/>
                <w:lang w:eastAsia="fr-FR"/>
              </w:rPr>
              <w:t>COVID 19</w:t>
            </w:r>
          </w:p>
        </w:tc>
        <w:tc>
          <w:tcPr>
            <w:tcW w:w="4192" w:type="pct"/>
            <w:tcBorders>
              <w:top w:val="nil"/>
              <w:left w:val="nil"/>
              <w:bottom w:val="nil"/>
              <w:right w:val="nil"/>
            </w:tcBorders>
            <w:shd w:val="clear" w:color="auto" w:fill="auto"/>
            <w:noWrap/>
            <w:vAlign w:val="center"/>
            <w:hideMark/>
          </w:tcPr>
          <w:p w14:paraId="1BD3AEC8" w14:textId="77777777" w:rsidR="00D4541C" w:rsidRPr="00B434A6" w:rsidRDefault="00D4541C" w:rsidP="005D11CF">
            <w:pPr>
              <w:spacing w:after="0" w:line="240" w:lineRule="auto"/>
              <w:rPr>
                <w:sz w:val="20"/>
                <w:lang w:eastAsia="fr-FR"/>
              </w:rPr>
            </w:pPr>
            <w:r w:rsidRPr="00B434A6">
              <w:rPr>
                <w:sz w:val="20"/>
                <w:lang w:eastAsia="fr-FR"/>
              </w:rPr>
              <w:t>: Corona Virus Disease 2019</w:t>
            </w:r>
          </w:p>
        </w:tc>
      </w:tr>
      <w:tr w:rsidR="00D4541C" w:rsidRPr="00D4541C" w14:paraId="48BD95DC" w14:textId="77777777" w:rsidTr="00D4541C">
        <w:trPr>
          <w:trHeight w:val="300"/>
        </w:trPr>
        <w:tc>
          <w:tcPr>
            <w:tcW w:w="808" w:type="pct"/>
            <w:tcBorders>
              <w:top w:val="nil"/>
              <w:left w:val="nil"/>
              <w:bottom w:val="nil"/>
              <w:right w:val="nil"/>
            </w:tcBorders>
            <w:shd w:val="clear" w:color="auto" w:fill="auto"/>
            <w:noWrap/>
            <w:vAlign w:val="bottom"/>
            <w:hideMark/>
          </w:tcPr>
          <w:p w14:paraId="41BE4448" w14:textId="77777777" w:rsidR="00D4541C" w:rsidRPr="00B434A6" w:rsidRDefault="00D4541C" w:rsidP="005D11CF">
            <w:pPr>
              <w:spacing w:after="0" w:line="240" w:lineRule="auto"/>
              <w:rPr>
                <w:sz w:val="20"/>
                <w:lang w:eastAsia="fr-FR"/>
              </w:rPr>
            </w:pPr>
            <w:r w:rsidRPr="00B434A6">
              <w:rPr>
                <w:sz w:val="20"/>
                <w:lang w:eastAsia="fr-FR"/>
              </w:rPr>
              <w:t>CPGU</w:t>
            </w:r>
          </w:p>
        </w:tc>
        <w:tc>
          <w:tcPr>
            <w:tcW w:w="4192" w:type="pct"/>
            <w:tcBorders>
              <w:top w:val="nil"/>
              <w:left w:val="nil"/>
              <w:bottom w:val="nil"/>
              <w:right w:val="nil"/>
            </w:tcBorders>
            <w:shd w:val="clear" w:color="auto" w:fill="auto"/>
            <w:noWrap/>
            <w:vAlign w:val="center"/>
            <w:hideMark/>
          </w:tcPr>
          <w:p w14:paraId="3B4E5FCA" w14:textId="77777777" w:rsidR="00D4541C" w:rsidRPr="00B434A6" w:rsidRDefault="00D4541C" w:rsidP="005D11CF">
            <w:pPr>
              <w:spacing w:after="0" w:line="240" w:lineRule="auto"/>
              <w:rPr>
                <w:sz w:val="20"/>
                <w:lang w:eastAsia="fr-FR"/>
              </w:rPr>
            </w:pPr>
            <w:r w:rsidRPr="00B434A6">
              <w:rPr>
                <w:sz w:val="20"/>
                <w:lang w:eastAsia="fr-FR"/>
              </w:rPr>
              <w:t>: Cellule de Prévention et Gestion des Urgences</w:t>
            </w:r>
          </w:p>
        </w:tc>
      </w:tr>
      <w:tr w:rsidR="00D4541C" w:rsidRPr="00D4541C" w14:paraId="29693D42" w14:textId="77777777" w:rsidTr="00D4541C">
        <w:trPr>
          <w:trHeight w:val="300"/>
        </w:trPr>
        <w:tc>
          <w:tcPr>
            <w:tcW w:w="808" w:type="pct"/>
            <w:tcBorders>
              <w:top w:val="nil"/>
              <w:left w:val="nil"/>
              <w:bottom w:val="nil"/>
              <w:right w:val="nil"/>
            </w:tcBorders>
            <w:shd w:val="clear" w:color="auto" w:fill="auto"/>
            <w:noWrap/>
            <w:vAlign w:val="center"/>
            <w:hideMark/>
          </w:tcPr>
          <w:p w14:paraId="2C2AEBB8" w14:textId="77777777" w:rsidR="00D4541C" w:rsidRPr="00B434A6" w:rsidRDefault="00D4541C" w:rsidP="005D11CF">
            <w:pPr>
              <w:spacing w:after="0" w:line="240" w:lineRule="auto"/>
              <w:rPr>
                <w:sz w:val="20"/>
                <w:lang w:eastAsia="fr-FR"/>
              </w:rPr>
            </w:pPr>
            <w:r w:rsidRPr="00B434A6">
              <w:rPr>
                <w:sz w:val="20"/>
                <w:lang w:eastAsia="fr-FR"/>
              </w:rPr>
              <w:t>CTD</w:t>
            </w:r>
          </w:p>
        </w:tc>
        <w:tc>
          <w:tcPr>
            <w:tcW w:w="4192" w:type="pct"/>
            <w:tcBorders>
              <w:top w:val="nil"/>
              <w:left w:val="nil"/>
              <w:bottom w:val="nil"/>
              <w:right w:val="nil"/>
            </w:tcBorders>
            <w:shd w:val="clear" w:color="auto" w:fill="auto"/>
            <w:noWrap/>
            <w:vAlign w:val="center"/>
            <w:hideMark/>
          </w:tcPr>
          <w:p w14:paraId="05A1C0AC" w14:textId="77777777" w:rsidR="00D4541C" w:rsidRPr="00B434A6" w:rsidRDefault="00D4541C" w:rsidP="005D11CF">
            <w:pPr>
              <w:spacing w:after="0" w:line="240" w:lineRule="auto"/>
              <w:rPr>
                <w:sz w:val="20"/>
                <w:lang w:eastAsia="fr-FR"/>
              </w:rPr>
            </w:pPr>
            <w:r w:rsidRPr="00B434A6">
              <w:rPr>
                <w:sz w:val="20"/>
                <w:lang w:eastAsia="fr-FR"/>
              </w:rPr>
              <w:t>: Collectivités Territoriales Décentralisées</w:t>
            </w:r>
          </w:p>
        </w:tc>
      </w:tr>
      <w:tr w:rsidR="00D4541C" w:rsidRPr="00160FB0" w14:paraId="39635654" w14:textId="77777777" w:rsidTr="00D4541C">
        <w:trPr>
          <w:trHeight w:val="300"/>
        </w:trPr>
        <w:tc>
          <w:tcPr>
            <w:tcW w:w="808" w:type="pct"/>
            <w:tcBorders>
              <w:top w:val="nil"/>
              <w:left w:val="nil"/>
              <w:bottom w:val="nil"/>
              <w:right w:val="nil"/>
            </w:tcBorders>
            <w:shd w:val="clear" w:color="auto" w:fill="auto"/>
            <w:noWrap/>
            <w:vAlign w:val="center"/>
            <w:hideMark/>
          </w:tcPr>
          <w:p w14:paraId="455FDE59" w14:textId="77777777" w:rsidR="00D4541C" w:rsidRPr="00B434A6" w:rsidRDefault="00D4541C" w:rsidP="005D11CF">
            <w:pPr>
              <w:spacing w:after="0" w:line="240" w:lineRule="auto"/>
              <w:rPr>
                <w:sz w:val="20"/>
                <w:lang w:eastAsia="fr-FR"/>
              </w:rPr>
            </w:pPr>
            <w:r w:rsidRPr="00B434A6">
              <w:rPr>
                <w:sz w:val="20"/>
                <w:lang w:eastAsia="fr-FR"/>
              </w:rPr>
              <w:t>DECIM</w:t>
            </w:r>
          </w:p>
        </w:tc>
        <w:tc>
          <w:tcPr>
            <w:tcW w:w="4192" w:type="pct"/>
            <w:tcBorders>
              <w:top w:val="nil"/>
              <w:left w:val="nil"/>
              <w:bottom w:val="nil"/>
              <w:right w:val="nil"/>
            </w:tcBorders>
            <w:shd w:val="clear" w:color="auto" w:fill="auto"/>
            <w:noWrap/>
            <w:vAlign w:val="center"/>
            <w:hideMark/>
          </w:tcPr>
          <w:p w14:paraId="09E1E037" w14:textId="77777777" w:rsidR="00D4541C" w:rsidRPr="00B434A6" w:rsidRDefault="00D4541C" w:rsidP="005D11CF">
            <w:pPr>
              <w:spacing w:after="0" w:line="240" w:lineRule="auto"/>
              <w:rPr>
                <w:sz w:val="20"/>
                <w:lang w:val="en-US" w:eastAsia="fr-FR"/>
              </w:rPr>
            </w:pPr>
            <w:r w:rsidRPr="00B434A6">
              <w:rPr>
                <w:sz w:val="20"/>
                <w:lang w:val="en-US" w:eastAsia="fr-FR"/>
              </w:rPr>
              <w:t xml:space="preserve">: </w:t>
            </w:r>
            <w:r w:rsidR="000A5DA6">
              <w:rPr>
                <w:sz w:val="20"/>
                <w:lang w:val="en-US" w:eastAsia="fr-FR"/>
              </w:rPr>
              <w:t>Proje</w:t>
            </w:r>
            <w:r w:rsidR="00921D9D">
              <w:rPr>
                <w:sz w:val="20"/>
                <w:lang w:val="en-US" w:eastAsia="fr-FR"/>
              </w:rPr>
              <w:t>c</w:t>
            </w:r>
            <w:r w:rsidR="000A5DA6">
              <w:rPr>
                <w:sz w:val="20"/>
                <w:lang w:val="en-US" w:eastAsia="fr-FR"/>
              </w:rPr>
              <w:t xml:space="preserve">t </w:t>
            </w:r>
            <w:r w:rsidRPr="00B434A6">
              <w:rPr>
                <w:sz w:val="20"/>
                <w:lang w:val="en-US" w:eastAsia="fr-FR"/>
              </w:rPr>
              <w:t>Digital and Energy Connectivity for Inclusion in Madagascar</w:t>
            </w:r>
          </w:p>
        </w:tc>
      </w:tr>
      <w:tr w:rsidR="00D4541C" w:rsidRPr="00D4541C" w14:paraId="02909812" w14:textId="77777777" w:rsidTr="00D4541C">
        <w:trPr>
          <w:trHeight w:val="300"/>
        </w:trPr>
        <w:tc>
          <w:tcPr>
            <w:tcW w:w="808" w:type="pct"/>
            <w:tcBorders>
              <w:top w:val="nil"/>
              <w:left w:val="nil"/>
              <w:bottom w:val="nil"/>
              <w:right w:val="nil"/>
            </w:tcBorders>
            <w:shd w:val="clear" w:color="auto" w:fill="auto"/>
            <w:noWrap/>
            <w:vAlign w:val="center"/>
            <w:hideMark/>
          </w:tcPr>
          <w:p w14:paraId="32F39EC5" w14:textId="77777777" w:rsidR="00D4541C" w:rsidRPr="00B434A6" w:rsidRDefault="00D4541C" w:rsidP="005D11CF">
            <w:pPr>
              <w:spacing w:after="0" w:line="240" w:lineRule="auto"/>
              <w:rPr>
                <w:sz w:val="20"/>
                <w:lang w:eastAsia="fr-FR"/>
              </w:rPr>
            </w:pPr>
            <w:r w:rsidRPr="00B434A6">
              <w:rPr>
                <w:sz w:val="20"/>
                <w:lang w:eastAsia="fr-FR"/>
              </w:rPr>
              <w:t>DEEE</w:t>
            </w:r>
          </w:p>
        </w:tc>
        <w:tc>
          <w:tcPr>
            <w:tcW w:w="4192" w:type="pct"/>
            <w:tcBorders>
              <w:top w:val="nil"/>
              <w:left w:val="nil"/>
              <w:bottom w:val="nil"/>
              <w:right w:val="nil"/>
            </w:tcBorders>
            <w:shd w:val="clear" w:color="auto" w:fill="auto"/>
            <w:noWrap/>
            <w:vAlign w:val="center"/>
            <w:hideMark/>
          </w:tcPr>
          <w:p w14:paraId="471EC5A1" w14:textId="77777777" w:rsidR="00D4541C" w:rsidRPr="00B434A6" w:rsidRDefault="00D4541C" w:rsidP="005D11CF">
            <w:pPr>
              <w:spacing w:after="0" w:line="240" w:lineRule="auto"/>
              <w:rPr>
                <w:sz w:val="20"/>
                <w:lang w:eastAsia="fr-FR"/>
              </w:rPr>
            </w:pPr>
            <w:r w:rsidRPr="00B434A6">
              <w:rPr>
                <w:sz w:val="20"/>
                <w:lang w:eastAsia="fr-FR"/>
              </w:rPr>
              <w:t>: Déchets d'Equipements Electroniques et Electriques</w:t>
            </w:r>
          </w:p>
        </w:tc>
      </w:tr>
      <w:tr w:rsidR="00D4541C" w:rsidRPr="00D4541C" w14:paraId="46C2EDB5" w14:textId="77777777" w:rsidTr="00D4541C">
        <w:trPr>
          <w:trHeight w:val="300"/>
        </w:trPr>
        <w:tc>
          <w:tcPr>
            <w:tcW w:w="808" w:type="pct"/>
            <w:tcBorders>
              <w:top w:val="nil"/>
              <w:left w:val="nil"/>
              <w:bottom w:val="nil"/>
              <w:right w:val="nil"/>
            </w:tcBorders>
            <w:shd w:val="clear" w:color="auto" w:fill="auto"/>
            <w:noWrap/>
            <w:vAlign w:val="center"/>
            <w:hideMark/>
          </w:tcPr>
          <w:p w14:paraId="00269135" w14:textId="77777777" w:rsidR="00D4541C" w:rsidRPr="00B434A6" w:rsidRDefault="00D4541C" w:rsidP="005D11CF">
            <w:pPr>
              <w:spacing w:after="0" w:line="240" w:lineRule="auto"/>
              <w:rPr>
                <w:sz w:val="20"/>
                <w:lang w:eastAsia="fr-FR"/>
              </w:rPr>
            </w:pPr>
            <w:r w:rsidRPr="00B434A6">
              <w:rPr>
                <w:sz w:val="20"/>
                <w:lang w:eastAsia="fr-FR"/>
              </w:rPr>
              <w:t>EAS</w:t>
            </w:r>
          </w:p>
        </w:tc>
        <w:tc>
          <w:tcPr>
            <w:tcW w:w="4192" w:type="pct"/>
            <w:tcBorders>
              <w:top w:val="nil"/>
              <w:left w:val="nil"/>
              <w:bottom w:val="nil"/>
              <w:right w:val="nil"/>
            </w:tcBorders>
            <w:shd w:val="clear" w:color="auto" w:fill="auto"/>
            <w:noWrap/>
            <w:vAlign w:val="center"/>
            <w:hideMark/>
          </w:tcPr>
          <w:p w14:paraId="629D473E" w14:textId="77777777" w:rsidR="00D4541C" w:rsidRPr="00B434A6" w:rsidRDefault="00D4541C" w:rsidP="005D11CF">
            <w:pPr>
              <w:spacing w:after="0" w:line="240" w:lineRule="auto"/>
              <w:rPr>
                <w:sz w:val="20"/>
                <w:lang w:eastAsia="fr-FR"/>
              </w:rPr>
            </w:pPr>
            <w:r w:rsidRPr="00B434A6">
              <w:rPr>
                <w:sz w:val="20"/>
                <w:lang w:eastAsia="fr-FR"/>
              </w:rPr>
              <w:t>: Exploitation et Abus Sexuels</w:t>
            </w:r>
          </w:p>
        </w:tc>
      </w:tr>
      <w:tr w:rsidR="00D4541C" w:rsidRPr="00D4541C" w14:paraId="599121A9" w14:textId="77777777" w:rsidTr="00D4541C">
        <w:trPr>
          <w:trHeight w:val="300"/>
        </w:trPr>
        <w:tc>
          <w:tcPr>
            <w:tcW w:w="808" w:type="pct"/>
            <w:tcBorders>
              <w:top w:val="nil"/>
              <w:left w:val="nil"/>
              <w:bottom w:val="nil"/>
              <w:right w:val="nil"/>
            </w:tcBorders>
            <w:shd w:val="clear" w:color="auto" w:fill="auto"/>
            <w:noWrap/>
            <w:vAlign w:val="center"/>
            <w:hideMark/>
          </w:tcPr>
          <w:p w14:paraId="3F2620AE" w14:textId="77777777" w:rsidR="00D4541C" w:rsidRPr="00B434A6" w:rsidRDefault="00D4541C" w:rsidP="005D11CF">
            <w:pPr>
              <w:spacing w:after="0" w:line="240" w:lineRule="auto"/>
              <w:rPr>
                <w:sz w:val="20"/>
                <w:lang w:eastAsia="fr-FR"/>
              </w:rPr>
            </w:pPr>
            <w:r w:rsidRPr="00B434A6">
              <w:rPr>
                <w:sz w:val="20"/>
                <w:lang w:eastAsia="fr-FR"/>
              </w:rPr>
              <w:t>EPI</w:t>
            </w:r>
          </w:p>
        </w:tc>
        <w:tc>
          <w:tcPr>
            <w:tcW w:w="4192" w:type="pct"/>
            <w:tcBorders>
              <w:top w:val="nil"/>
              <w:left w:val="nil"/>
              <w:bottom w:val="nil"/>
              <w:right w:val="nil"/>
            </w:tcBorders>
            <w:shd w:val="clear" w:color="auto" w:fill="auto"/>
            <w:noWrap/>
            <w:vAlign w:val="center"/>
            <w:hideMark/>
          </w:tcPr>
          <w:p w14:paraId="34C08A94" w14:textId="77777777" w:rsidR="00D4541C" w:rsidRPr="00B434A6" w:rsidRDefault="00D4541C" w:rsidP="005D11CF">
            <w:pPr>
              <w:spacing w:after="0" w:line="240" w:lineRule="auto"/>
              <w:rPr>
                <w:sz w:val="20"/>
                <w:lang w:eastAsia="fr-FR"/>
              </w:rPr>
            </w:pPr>
            <w:r w:rsidRPr="00B434A6">
              <w:rPr>
                <w:sz w:val="20"/>
                <w:lang w:eastAsia="fr-FR"/>
              </w:rPr>
              <w:t xml:space="preserve">: Equipement de Protection Individuelle </w:t>
            </w:r>
          </w:p>
        </w:tc>
      </w:tr>
      <w:tr w:rsidR="00D4541C" w:rsidRPr="00D4541C" w14:paraId="2FABEE23" w14:textId="77777777" w:rsidTr="00D4541C">
        <w:trPr>
          <w:trHeight w:val="300"/>
        </w:trPr>
        <w:tc>
          <w:tcPr>
            <w:tcW w:w="808" w:type="pct"/>
            <w:tcBorders>
              <w:top w:val="nil"/>
              <w:left w:val="nil"/>
              <w:bottom w:val="nil"/>
              <w:right w:val="nil"/>
            </w:tcBorders>
            <w:shd w:val="clear" w:color="auto" w:fill="auto"/>
            <w:noWrap/>
            <w:vAlign w:val="center"/>
            <w:hideMark/>
          </w:tcPr>
          <w:p w14:paraId="2FC53EB1" w14:textId="77777777" w:rsidR="00D4541C" w:rsidRPr="00B434A6" w:rsidRDefault="00D4541C" w:rsidP="005D11CF">
            <w:pPr>
              <w:spacing w:after="0" w:line="240" w:lineRule="auto"/>
              <w:rPr>
                <w:sz w:val="20"/>
                <w:lang w:eastAsia="fr-FR"/>
              </w:rPr>
            </w:pPr>
            <w:r w:rsidRPr="00B434A6">
              <w:rPr>
                <w:sz w:val="20"/>
                <w:lang w:eastAsia="fr-FR"/>
              </w:rPr>
              <w:t>EPP</w:t>
            </w:r>
          </w:p>
        </w:tc>
        <w:tc>
          <w:tcPr>
            <w:tcW w:w="4192" w:type="pct"/>
            <w:tcBorders>
              <w:top w:val="nil"/>
              <w:left w:val="nil"/>
              <w:bottom w:val="nil"/>
              <w:right w:val="nil"/>
            </w:tcBorders>
            <w:shd w:val="clear" w:color="auto" w:fill="auto"/>
            <w:noWrap/>
            <w:vAlign w:val="center"/>
            <w:hideMark/>
          </w:tcPr>
          <w:p w14:paraId="3D02CE2A" w14:textId="77777777" w:rsidR="00D4541C" w:rsidRPr="00B434A6" w:rsidRDefault="00D4541C" w:rsidP="005D11CF">
            <w:pPr>
              <w:spacing w:after="0" w:line="240" w:lineRule="auto"/>
              <w:rPr>
                <w:sz w:val="20"/>
                <w:lang w:eastAsia="fr-FR"/>
              </w:rPr>
            </w:pPr>
            <w:r w:rsidRPr="00B434A6">
              <w:rPr>
                <w:sz w:val="20"/>
                <w:lang w:eastAsia="fr-FR"/>
              </w:rPr>
              <w:t xml:space="preserve">: École Primaire Publique </w:t>
            </w:r>
          </w:p>
        </w:tc>
      </w:tr>
      <w:tr w:rsidR="00D9404C" w:rsidRPr="00D4541C" w14:paraId="07BD7803" w14:textId="77777777" w:rsidTr="00A066BA">
        <w:trPr>
          <w:trHeight w:val="300"/>
        </w:trPr>
        <w:tc>
          <w:tcPr>
            <w:tcW w:w="808" w:type="pct"/>
            <w:tcBorders>
              <w:top w:val="nil"/>
              <w:left w:val="nil"/>
              <w:bottom w:val="nil"/>
              <w:right w:val="nil"/>
            </w:tcBorders>
            <w:shd w:val="clear" w:color="auto" w:fill="auto"/>
            <w:noWrap/>
            <w:vAlign w:val="center"/>
            <w:hideMark/>
          </w:tcPr>
          <w:p w14:paraId="71DB7620" w14:textId="77777777" w:rsidR="00D9404C" w:rsidRPr="00C76130" w:rsidRDefault="00D9404C" w:rsidP="005D11CF">
            <w:pPr>
              <w:spacing w:after="0" w:line="240" w:lineRule="auto"/>
              <w:rPr>
                <w:sz w:val="20"/>
                <w:lang w:eastAsia="fr-FR"/>
              </w:rPr>
            </w:pPr>
            <w:r w:rsidRPr="00C76130">
              <w:rPr>
                <w:sz w:val="20"/>
                <w:lang w:eastAsia="fr-FR"/>
              </w:rPr>
              <w:t>EUP</w:t>
            </w:r>
          </w:p>
        </w:tc>
        <w:tc>
          <w:tcPr>
            <w:tcW w:w="4192" w:type="pct"/>
            <w:tcBorders>
              <w:top w:val="nil"/>
              <w:left w:val="nil"/>
              <w:bottom w:val="nil"/>
              <w:right w:val="nil"/>
            </w:tcBorders>
            <w:shd w:val="clear" w:color="auto" w:fill="auto"/>
            <w:noWrap/>
            <w:vAlign w:val="center"/>
            <w:hideMark/>
          </w:tcPr>
          <w:p w14:paraId="0B4F996C" w14:textId="77777777" w:rsidR="00D9404C" w:rsidRPr="00C76130" w:rsidRDefault="00D9404C" w:rsidP="005D11CF">
            <w:pPr>
              <w:spacing w:after="0" w:line="240" w:lineRule="auto"/>
              <w:rPr>
                <w:sz w:val="20"/>
                <w:lang w:eastAsia="fr-FR"/>
              </w:rPr>
            </w:pPr>
            <w:r w:rsidRPr="00C76130">
              <w:rPr>
                <w:sz w:val="20"/>
                <w:lang w:eastAsia="fr-FR"/>
              </w:rPr>
              <w:t xml:space="preserve">: Equipements d’Utilisation Productive </w:t>
            </w:r>
          </w:p>
        </w:tc>
      </w:tr>
      <w:tr w:rsidR="00D4541C" w:rsidRPr="00D4541C" w14:paraId="429A02F7" w14:textId="77777777" w:rsidTr="00D4541C">
        <w:trPr>
          <w:trHeight w:val="300"/>
        </w:trPr>
        <w:tc>
          <w:tcPr>
            <w:tcW w:w="808" w:type="pct"/>
            <w:tcBorders>
              <w:top w:val="nil"/>
              <w:left w:val="nil"/>
              <w:bottom w:val="nil"/>
              <w:right w:val="nil"/>
            </w:tcBorders>
            <w:shd w:val="clear" w:color="auto" w:fill="auto"/>
            <w:noWrap/>
            <w:vAlign w:val="center"/>
            <w:hideMark/>
          </w:tcPr>
          <w:p w14:paraId="0AB1D246" w14:textId="77777777" w:rsidR="00D4541C" w:rsidRPr="00B434A6" w:rsidRDefault="00D4541C" w:rsidP="005D11CF">
            <w:pPr>
              <w:spacing w:after="0" w:line="240" w:lineRule="auto"/>
              <w:rPr>
                <w:sz w:val="20"/>
                <w:lang w:eastAsia="fr-FR"/>
              </w:rPr>
            </w:pPr>
            <w:r w:rsidRPr="00B434A6">
              <w:rPr>
                <w:sz w:val="20"/>
                <w:lang w:eastAsia="fr-FR"/>
              </w:rPr>
              <w:t>FAR</w:t>
            </w:r>
          </w:p>
        </w:tc>
        <w:tc>
          <w:tcPr>
            <w:tcW w:w="4192" w:type="pct"/>
            <w:tcBorders>
              <w:top w:val="nil"/>
              <w:left w:val="nil"/>
              <w:bottom w:val="nil"/>
              <w:right w:val="nil"/>
            </w:tcBorders>
            <w:shd w:val="clear" w:color="auto" w:fill="auto"/>
            <w:noWrap/>
            <w:vAlign w:val="center"/>
            <w:hideMark/>
          </w:tcPr>
          <w:p w14:paraId="62DC9055" w14:textId="77777777" w:rsidR="00D4541C" w:rsidRPr="00B434A6" w:rsidRDefault="00D4541C" w:rsidP="005D11CF">
            <w:pPr>
              <w:spacing w:after="0" w:line="240" w:lineRule="auto"/>
              <w:rPr>
                <w:sz w:val="20"/>
                <w:lang w:eastAsia="fr-FR"/>
              </w:rPr>
            </w:pPr>
            <w:r w:rsidRPr="00B434A6">
              <w:rPr>
                <w:sz w:val="20"/>
                <w:lang w:eastAsia="fr-FR"/>
              </w:rPr>
              <w:t>: Financement Axé sur les Résultats</w:t>
            </w:r>
          </w:p>
        </w:tc>
      </w:tr>
      <w:tr w:rsidR="00D4541C" w:rsidRPr="00D4541C" w14:paraId="047899A4" w14:textId="77777777" w:rsidTr="00D4541C">
        <w:trPr>
          <w:trHeight w:val="300"/>
        </w:trPr>
        <w:tc>
          <w:tcPr>
            <w:tcW w:w="808" w:type="pct"/>
            <w:tcBorders>
              <w:top w:val="nil"/>
              <w:left w:val="nil"/>
              <w:bottom w:val="nil"/>
              <w:right w:val="nil"/>
            </w:tcBorders>
            <w:shd w:val="clear" w:color="auto" w:fill="auto"/>
            <w:noWrap/>
            <w:vAlign w:val="center"/>
            <w:hideMark/>
          </w:tcPr>
          <w:p w14:paraId="2970A1C3" w14:textId="77777777" w:rsidR="00D4541C" w:rsidRPr="00B434A6" w:rsidRDefault="00D4541C" w:rsidP="005D11CF">
            <w:pPr>
              <w:spacing w:after="0" w:line="240" w:lineRule="auto"/>
              <w:rPr>
                <w:sz w:val="20"/>
                <w:lang w:eastAsia="fr-FR"/>
              </w:rPr>
            </w:pPr>
            <w:r w:rsidRPr="00B434A6">
              <w:rPr>
                <w:sz w:val="20"/>
                <w:lang w:eastAsia="fr-FR"/>
              </w:rPr>
              <w:t>FDMHR</w:t>
            </w:r>
          </w:p>
        </w:tc>
        <w:tc>
          <w:tcPr>
            <w:tcW w:w="4192" w:type="pct"/>
            <w:tcBorders>
              <w:top w:val="nil"/>
              <w:left w:val="nil"/>
              <w:bottom w:val="nil"/>
              <w:right w:val="nil"/>
            </w:tcBorders>
            <w:shd w:val="clear" w:color="auto" w:fill="auto"/>
            <w:noWrap/>
            <w:vAlign w:val="center"/>
            <w:hideMark/>
          </w:tcPr>
          <w:p w14:paraId="60FA7C1F" w14:textId="77777777" w:rsidR="00D4541C" w:rsidRPr="00B434A6" w:rsidRDefault="00D4541C" w:rsidP="005D11CF">
            <w:pPr>
              <w:spacing w:after="0" w:line="240" w:lineRule="auto"/>
              <w:rPr>
                <w:sz w:val="20"/>
                <w:lang w:eastAsia="fr-FR"/>
              </w:rPr>
            </w:pPr>
            <w:r w:rsidRPr="00B434A6">
              <w:rPr>
                <w:sz w:val="20"/>
                <w:lang w:eastAsia="fr-FR"/>
              </w:rPr>
              <w:t>: Fonds du Développement du Marché Hors Réseau</w:t>
            </w:r>
          </w:p>
        </w:tc>
      </w:tr>
      <w:tr w:rsidR="00D4541C" w:rsidRPr="00D4541C" w14:paraId="77770A71" w14:textId="77777777" w:rsidTr="00D4541C">
        <w:trPr>
          <w:trHeight w:val="300"/>
        </w:trPr>
        <w:tc>
          <w:tcPr>
            <w:tcW w:w="808" w:type="pct"/>
            <w:tcBorders>
              <w:top w:val="nil"/>
              <w:left w:val="nil"/>
              <w:bottom w:val="nil"/>
              <w:right w:val="nil"/>
            </w:tcBorders>
            <w:shd w:val="clear" w:color="auto" w:fill="auto"/>
            <w:noWrap/>
            <w:vAlign w:val="center"/>
            <w:hideMark/>
          </w:tcPr>
          <w:p w14:paraId="21AADD08" w14:textId="77777777" w:rsidR="00D4541C" w:rsidRPr="00B434A6" w:rsidRDefault="00D4541C" w:rsidP="005D11CF">
            <w:pPr>
              <w:spacing w:after="0" w:line="240" w:lineRule="auto"/>
              <w:rPr>
                <w:sz w:val="20"/>
                <w:lang w:eastAsia="fr-FR"/>
              </w:rPr>
            </w:pPr>
            <w:r w:rsidRPr="00B434A6">
              <w:rPr>
                <w:sz w:val="20"/>
                <w:lang w:eastAsia="fr-FR"/>
              </w:rPr>
              <w:t>FDTIC </w:t>
            </w:r>
          </w:p>
        </w:tc>
        <w:tc>
          <w:tcPr>
            <w:tcW w:w="4192" w:type="pct"/>
            <w:tcBorders>
              <w:top w:val="nil"/>
              <w:left w:val="nil"/>
              <w:bottom w:val="nil"/>
              <w:right w:val="nil"/>
            </w:tcBorders>
            <w:shd w:val="clear" w:color="auto" w:fill="auto"/>
            <w:noWrap/>
            <w:vAlign w:val="center"/>
            <w:hideMark/>
          </w:tcPr>
          <w:p w14:paraId="32EE3514" w14:textId="77777777" w:rsidR="00D4541C" w:rsidRPr="00B434A6" w:rsidRDefault="00D4541C" w:rsidP="005D11CF">
            <w:pPr>
              <w:spacing w:after="0" w:line="240" w:lineRule="auto"/>
              <w:rPr>
                <w:sz w:val="20"/>
                <w:lang w:eastAsia="fr-FR"/>
              </w:rPr>
            </w:pPr>
            <w:r w:rsidRPr="00B434A6">
              <w:rPr>
                <w:sz w:val="20"/>
                <w:lang w:eastAsia="fr-FR"/>
              </w:rPr>
              <w:t>: Fonds de Développement des Technologies de l’Information et de la Communication</w:t>
            </w:r>
          </w:p>
        </w:tc>
      </w:tr>
      <w:tr w:rsidR="00D4541C" w:rsidRPr="00D4541C" w14:paraId="4EDC3B9F" w14:textId="77777777" w:rsidTr="00D4541C">
        <w:trPr>
          <w:trHeight w:val="300"/>
        </w:trPr>
        <w:tc>
          <w:tcPr>
            <w:tcW w:w="808" w:type="pct"/>
            <w:tcBorders>
              <w:top w:val="nil"/>
              <w:left w:val="nil"/>
              <w:bottom w:val="nil"/>
              <w:right w:val="nil"/>
            </w:tcBorders>
            <w:shd w:val="clear" w:color="auto" w:fill="auto"/>
            <w:noWrap/>
            <w:vAlign w:val="center"/>
            <w:hideMark/>
          </w:tcPr>
          <w:p w14:paraId="2CD88A83" w14:textId="77777777" w:rsidR="00D4541C" w:rsidRPr="00B434A6" w:rsidRDefault="00D4541C" w:rsidP="005D11CF">
            <w:pPr>
              <w:spacing w:after="0" w:line="240" w:lineRule="auto"/>
              <w:rPr>
                <w:sz w:val="20"/>
                <w:lang w:eastAsia="fr-FR"/>
              </w:rPr>
            </w:pPr>
            <w:r w:rsidRPr="00B434A6">
              <w:rPr>
                <w:sz w:val="20"/>
                <w:lang w:eastAsia="fr-FR"/>
              </w:rPr>
              <w:t>FNED</w:t>
            </w:r>
          </w:p>
        </w:tc>
        <w:tc>
          <w:tcPr>
            <w:tcW w:w="4192" w:type="pct"/>
            <w:tcBorders>
              <w:top w:val="nil"/>
              <w:left w:val="nil"/>
              <w:bottom w:val="nil"/>
              <w:right w:val="nil"/>
            </w:tcBorders>
            <w:shd w:val="clear" w:color="auto" w:fill="auto"/>
            <w:noWrap/>
            <w:vAlign w:val="center"/>
            <w:hideMark/>
          </w:tcPr>
          <w:p w14:paraId="0A468801" w14:textId="77777777" w:rsidR="00D4541C" w:rsidRPr="00B434A6" w:rsidRDefault="00D4541C" w:rsidP="005D11CF">
            <w:pPr>
              <w:spacing w:after="0" w:line="240" w:lineRule="auto"/>
              <w:rPr>
                <w:sz w:val="20"/>
                <w:lang w:eastAsia="fr-FR"/>
              </w:rPr>
            </w:pPr>
            <w:r w:rsidRPr="00B434A6">
              <w:rPr>
                <w:sz w:val="20"/>
                <w:lang w:eastAsia="fr-FR"/>
              </w:rPr>
              <w:t>: Fonds National de l’Energie Durable</w:t>
            </w:r>
          </w:p>
        </w:tc>
      </w:tr>
      <w:tr w:rsidR="00D4541C" w:rsidRPr="00D4541C" w14:paraId="3A617C1F" w14:textId="77777777" w:rsidTr="00D4541C">
        <w:trPr>
          <w:trHeight w:val="300"/>
        </w:trPr>
        <w:tc>
          <w:tcPr>
            <w:tcW w:w="808" w:type="pct"/>
            <w:tcBorders>
              <w:top w:val="nil"/>
              <w:left w:val="nil"/>
              <w:bottom w:val="nil"/>
              <w:right w:val="nil"/>
            </w:tcBorders>
            <w:shd w:val="clear" w:color="auto" w:fill="auto"/>
            <w:noWrap/>
            <w:vAlign w:val="center"/>
            <w:hideMark/>
          </w:tcPr>
          <w:p w14:paraId="71E81182" w14:textId="77777777" w:rsidR="00D4541C" w:rsidRPr="00B434A6" w:rsidRDefault="00D4541C" w:rsidP="005D11CF">
            <w:pPr>
              <w:spacing w:after="0" w:line="240" w:lineRule="auto"/>
              <w:rPr>
                <w:sz w:val="20"/>
                <w:lang w:eastAsia="fr-FR"/>
              </w:rPr>
            </w:pPr>
            <w:r w:rsidRPr="00B434A6">
              <w:rPr>
                <w:sz w:val="20"/>
                <w:lang w:eastAsia="fr-FR"/>
              </w:rPr>
              <w:t>GdM</w:t>
            </w:r>
          </w:p>
        </w:tc>
        <w:tc>
          <w:tcPr>
            <w:tcW w:w="4192" w:type="pct"/>
            <w:tcBorders>
              <w:top w:val="nil"/>
              <w:left w:val="nil"/>
              <w:bottom w:val="nil"/>
              <w:right w:val="nil"/>
            </w:tcBorders>
            <w:shd w:val="clear" w:color="auto" w:fill="auto"/>
            <w:noWrap/>
            <w:vAlign w:val="center"/>
            <w:hideMark/>
          </w:tcPr>
          <w:p w14:paraId="6EF4A4C1" w14:textId="77777777" w:rsidR="00D4541C" w:rsidRPr="00B434A6" w:rsidRDefault="00D4541C" w:rsidP="005D11CF">
            <w:pPr>
              <w:spacing w:after="0" w:line="240" w:lineRule="auto"/>
              <w:rPr>
                <w:sz w:val="20"/>
                <w:lang w:eastAsia="fr-FR"/>
              </w:rPr>
            </w:pPr>
            <w:r w:rsidRPr="00B434A6">
              <w:rPr>
                <w:sz w:val="20"/>
                <w:lang w:eastAsia="fr-FR"/>
              </w:rPr>
              <w:t xml:space="preserve">: Gouvernement de Madagascar </w:t>
            </w:r>
          </w:p>
        </w:tc>
      </w:tr>
      <w:tr w:rsidR="00D4541C" w:rsidRPr="00D4541C" w14:paraId="6AABE3B7" w14:textId="77777777" w:rsidTr="00D4541C">
        <w:trPr>
          <w:trHeight w:val="300"/>
        </w:trPr>
        <w:tc>
          <w:tcPr>
            <w:tcW w:w="808" w:type="pct"/>
            <w:tcBorders>
              <w:top w:val="nil"/>
              <w:left w:val="nil"/>
              <w:bottom w:val="nil"/>
              <w:right w:val="nil"/>
            </w:tcBorders>
            <w:shd w:val="clear" w:color="auto" w:fill="auto"/>
            <w:noWrap/>
            <w:vAlign w:val="center"/>
            <w:hideMark/>
          </w:tcPr>
          <w:p w14:paraId="48E37C6A" w14:textId="77777777" w:rsidR="00D4541C" w:rsidRPr="00B434A6" w:rsidRDefault="00D4541C" w:rsidP="005D11CF">
            <w:pPr>
              <w:spacing w:after="0" w:line="240" w:lineRule="auto"/>
              <w:rPr>
                <w:sz w:val="20"/>
                <w:lang w:eastAsia="fr-FR"/>
              </w:rPr>
            </w:pPr>
            <w:r w:rsidRPr="00B434A6">
              <w:rPr>
                <w:sz w:val="20"/>
                <w:lang w:eastAsia="fr-FR"/>
              </w:rPr>
              <w:t>HAP</w:t>
            </w:r>
          </w:p>
        </w:tc>
        <w:tc>
          <w:tcPr>
            <w:tcW w:w="4192" w:type="pct"/>
            <w:tcBorders>
              <w:top w:val="nil"/>
              <w:left w:val="nil"/>
              <w:bottom w:val="nil"/>
              <w:right w:val="nil"/>
            </w:tcBorders>
            <w:shd w:val="clear" w:color="auto" w:fill="auto"/>
            <w:noWrap/>
            <w:vAlign w:val="center"/>
            <w:hideMark/>
          </w:tcPr>
          <w:p w14:paraId="5A28CF77" w14:textId="77777777" w:rsidR="00D4541C" w:rsidRPr="00B434A6" w:rsidRDefault="00D4541C" w:rsidP="005D11CF">
            <w:pPr>
              <w:spacing w:after="0" w:line="240" w:lineRule="auto"/>
              <w:rPr>
                <w:sz w:val="20"/>
                <w:lang w:eastAsia="fr-FR"/>
              </w:rPr>
            </w:pPr>
            <w:r w:rsidRPr="00B434A6">
              <w:rPr>
                <w:sz w:val="20"/>
                <w:lang w:eastAsia="fr-FR"/>
              </w:rPr>
              <w:t>: Hydrocarbures aromatiques polycycliques</w:t>
            </w:r>
          </w:p>
        </w:tc>
      </w:tr>
      <w:tr w:rsidR="00D4541C" w:rsidRPr="00D4541C" w14:paraId="298B9A6A" w14:textId="77777777" w:rsidTr="00D4541C">
        <w:trPr>
          <w:trHeight w:val="300"/>
        </w:trPr>
        <w:tc>
          <w:tcPr>
            <w:tcW w:w="808" w:type="pct"/>
            <w:tcBorders>
              <w:top w:val="nil"/>
              <w:left w:val="nil"/>
              <w:bottom w:val="nil"/>
              <w:right w:val="nil"/>
            </w:tcBorders>
            <w:shd w:val="clear" w:color="auto" w:fill="auto"/>
            <w:noWrap/>
            <w:vAlign w:val="center"/>
            <w:hideMark/>
          </w:tcPr>
          <w:p w14:paraId="5F4BDB5D" w14:textId="77777777" w:rsidR="00D4541C" w:rsidRPr="00B434A6" w:rsidRDefault="00D4541C" w:rsidP="005D11CF">
            <w:pPr>
              <w:spacing w:after="0" w:line="240" w:lineRule="auto"/>
              <w:rPr>
                <w:sz w:val="20"/>
                <w:lang w:eastAsia="fr-FR"/>
              </w:rPr>
            </w:pPr>
            <w:r w:rsidRPr="00B434A6">
              <w:rPr>
                <w:sz w:val="20"/>
                <w:lang w:eastAsia="fr-FR"/>
              </w:rPr>
              <w:t>HS</w:t>
            </w:r>
          </w:p>
        </w:tc>
        <w:tc>
          <w:tcPr>
            <w:tcW w:w="4192" w:type="pct"/>
            <w:tcBorders>
              <w:top w:val="nil"/>
              <w:left w:val="nil"/>
              <w:bottom w:val="nil"/>
              <w:right w:val="nil"/>
            </w:tcBorders>
            <w:shd w:val="clear" w:color="auto" w:fill="auto"/>
            <w:noWrap/>
            <w:vAlign w:val="center"/>
            <w:hideMark/>
          </w:tcPr>
          <w:p w14:paraId="7C2B7099" w14:textId="77777777" w:rsidR="00D4541C" w:rsidRPr="00B434A6" w:rsidRDefault="00D4541C" w:rsidP="005D11CF">
            <w:pPr>
              <w:spacing w:after="0" w:line="240" w:lineRule="auto"/>
              <w:rPr>
                <w:sz w:val="20"/>
                <w:lang w:eastAsia="fr-FR"/>
              </w:rPr>
            </w:pPr>
            <w:r w:rsidRPr="00B434A6">
              <w:rPr>
                <w:sz w:val="20"/>
                <w:lang w:eastAsia="fr-FR"/>
              </w:rPr>
              <w:t>: Harcèlement Sexuel</w:t>
            </w:r>
          </w:p>
        </w:tc>
      </w:tr>
      <w:tr w:rsidR="00D4541C" w:rsidRPr="00D4541C" w14:paraId="79FA1354" w14:textId="77777777" w:rsidTr="00D4541C">
        <w:trPr>
          <w:trHeight w:val="300"/>
        </w:trPr>
        <w:tc>
          <w:tcPr>
            <w:tcW w:w="808" w:type="pct"/>
            <w:tcBorders>
              <w:top w:val="nil"/>
              <w:left w:val="nil"/>
              <w:bottom w:val="nil"/>
              <w:right w:val="nil"/>
            </w:tcBorders>
            <w:shd w:val="clear" w:color="auto" w:fill="auto"/>
            <w:noWrap/>
            <w:vAlign w:val="center"/>
            <w:hideMark/>
          </w:tcPr>
          <w:p w14:paraId="6BAF9FA9" w14:textId="77777777" w:rsidR="00D4541C" w:rsidRPr="00B434A6" w:rsidRDefault="00D4541C" w:rsidP="005D11CF">
            <w:pPr>
              <w:spacing w:after="0" w:line="240" w:lineRule="auto"/>
              <w:rPr>
                <w:sz w:val="20"/>
                <w:lang w:eastAsia="fr-FR"/>
              </w:rPr>
            </w:pPr>
            <w:r w:rsidRPr="00B434A6">
              <w:rPr>
                <w:sz w:val="20"/>
                <w:lang w:eastAsia="fr-FR"/>
              </w:rPr>
              <w:t>HSE</w:t>
            </w:r>
          </w:p>
        </w:tc>
        <w:tc>
          <w:tcPr>
            <w:tcW w:w="4192" w:type="pct"/>
            <w:tcBorders>
              <w:top w:val="nil"/>
              <w:left w:val="nil"/>
              <w:bottom w:val="nil"/>
              <w:right w:val="nil"/>
            </w:tcBorders>
            <w:shd w:val="clear" w:color="auto" w:fill="auto"/>
            <w:noWrap/>
            <w:vAlign w:val="center"/>
            <w:hideMark/>
          </w:tcPr>
          <w:p w14:paraId="4B8CF75A" w14:textId="77777777" w:rsidR="00D4541C" w:rsidRPr="00B434A6" w:rsidRDefault="00D4541C" w:rsidP="005D11CF">
            <w:pPr>
              <w:spacing w:after="0" w:line="240" w:lineRule="auto"/>
              <w:rPr>
                <w:sz w:val="20"/>
                <w:lang w:eastAsia="fr-FR"/>
              </w:rPr>
            </w:pPr>
            <w:r w:rsidRPr="00B434A6">
              <w:rPr>
                <w:sz w:val="20"/>
                <w:lang w:eastAsia="fr-FR"/>
              </w:rPr>
              <w:t>: Hygiène</w:t>
            </w:r>
            <w:r w:rsidR="00921D9D">
              <w:rPr>
                <w:sz w:val="20"/>
                <w:lang w:eastAsia="fr-FR"/>
              </w:rPr>
              <w:t>,</w:t>
            </w:r>
            <w:r w:rsidRPr="00B434A6">
              <w:rPr>
                <w:sz w:val="20"/>
                <w:lang w:eastAsia="fr-FR"/>
              </w:rPr>
              <w:t xml:space="preserve"> Sécurité</w:t>
            </w:r>
            <w:r w:rsidR="00921D9D">
              <w:rPr>
                <w:sz w:val="20"/>
                <w:lang w:eastAsia="fr-FR"/>
              </w:rPr>
              <w:t xml:space="preserve"> et</w:t>
            </w:r>
            <w:r w:rsidRPr="00B434A6">
              <w:rPr>
                <w:sz w:val="20"/>
                <w:lang w:eastAsia="fr-FR"/>
              </w:rPr>
              <w:t xml:space="preserve"> Environnement</w:t>
            </w:r>
          </w:p>
        </w:tc>
      </w:tr>
      <w:tr w:rsidR="00D4541C" w:rsidRPr="00D4541C" w14:paraId="44DADFE2" w14:textId="77777777" w:rsidTr="00D4541C">
        <w:trPr>
          <w:trHeight w:val="300"/>
        </w:trPr>
        <w:tc>
          <w:tcPr>
            <w:tcW w:w="808" w:type="pct"/>
            <w:tcBorders>
              <w:top w:val="nil"/>
              <w:left w:val="nil"/>
              <w:bottom w:val="nil"/>
              <w:right w:val="nil"/>
            </w:tcBorders>
            <w:shd w:val="clear" w:color="auto" w:fill="auto"/>
            <w:noWrap/>
            <w:vAlign w:val="center"/>
            <w:hideMark/>
          </w:tcPr>
          <w:p w14:paraId="09C48357" w14:textId="77777777" w:rsidR="00D4541C" w:rsidRPr="00B434A6" w:rsidRDefault="00D4541C" w:rsidP="005D11CF">
            <w:pPr>
              <w:spacing w:after="0" w:line="240" w:lineRule="auto"/>
              <w:rPr>
                <w:sz w:val="20"/>
                <w:lang w:eastAsia="fr-FR"/>
              </w:rPr>
            </w:pPr>
            <w:r w:rsidRPr="00B434A6">
              <w:rPr>
                <w:sz w:val="20"/>
                <w:lang w:eastAsia="fr-FR"/>
              </w:rPr>
              <w:t>HSSE</w:t>
            </w:r>
          </w:p>
        </w:tc>
        <w:tc>
          <w:tcPr>
            <w:tcW w:w="4192" w:type="pct"/>
            <w:tcBorders>
              <w:top w:val="nil"/>
              <w:left w:val="nil"/>
              <w:bottom w:val="nil"/>
              <w:right w:val="nil"/>
            </w:tcBorders>
            <w:shd w:val="clear" w:color="auto" w:fill="auto"/>
            <w:noWrap/>
            <w:vAlign w:val="center"/>
            <w:hideMark/>
          </w:tcPr>
          <w:p w14:paraId="52EF63F7" w14:textId="77777777" w:rsidR="00D4541C" w:rsidRPr="00B434A6" w:rsidRDefault="00D4541C" w:rsidP="005D11CF">
            <w:pPr>
              <w:spacing w:after="0" w:line="240" w:lineRule="auto"/>
              <w:rPr>
                <w:sz w:val="20"/>
                <w:lang w:eastAsia="fr-FR"/>
              </w:rPr>
            </w:pPr>
            <w:r w:rsidRPr="00B434A6">
              <w:rPr>
                <w:sz w:val="20"/>
                <w:lang w:eastAsia="fr-FR"/>
              </w:rPr>
              <w:t>: Hygiène, Santé, Sécurité et Environnement</w:t>
            </w:r>
          </w:p>
        </w:tc>
      </w:tr>
      <w:tr w:rsidR="00D4541C" w:rsidRPr="00D4541C" w14:paraId="22DEC112" w14:textId="77777777" w:rsidTr="00D4541C">
        <w:trPr>
          <w:trHeight w:val="300"/>
        </w:trPr>
        <w:tc>
          <w:tcPr>
            <w:tcW w:w="808" w:type="pct"/>
            <w:tcBorders>
              <w:top w:val="nil"/>
              <w:left w:val="nil"/>
              <w:bottom w:val="nil"/>
              <w:right w:val="nil"/>
            </w:tcBorders>
            <w:shd w:val="clear" w:color="auto" w:fill="auto"/>
            <w:noWrap/>
            <w:vAlign w:val="center"/>
            <w:hideMark/>
          </w:tcPr>
          <w:p w14:paraId="1BCBC32F" w14:textId="77777777" w:rsidR="00D4541C" w:rsidRPr="00B434A6" w:rsidRDefault="00D4541C" w:rsidP="005D11CF">
            <w:pPr>
              <w:spacing w:after="0" w:line="240" w:lineRule="auto"/>
              <w:rPr>
                <w:sz w:val="20"/>
                <w:lang w:eastAsia="fr-FR"/>
              </w:rPr>
            </w:pPr>
            <w:r w:rsidRPr="00B434A6">
              <w:rPr>
                <w:sz w:val="20"/>
                <w:lang w:eastAsia="fr-FR"/>
              </w:rPr>
              <w:t>IF</w:t>
            </w:r>
          </w:p>
        </w:tc>
        <w:tc>
          <w:tcPr>
            <w:tcW w:w="4192" w:type="pct"/>
            <w:tcBorders>
              <w:top w:val="nil"/>
              <w:left w:val="nil"/>
              <w:bottom w:val="nil"/>
              <w:right w:val="nil"/>
            </w:tcBorders>
            <w:shd w:val="clear" w:color="auto" w:fill="auto"/>
            <w:noWrap/>
            <w:vAlign w:val="center"/>
            <w:hideMark/>
          </w:tcPr>
          <w:p w14:paraId="730BB2FE" w14:textId="77777777" w:rsidR="00D4541C" w:rsidRPr="00B434A6" w:rsidRDefault="00D4541C" w:rsidP="005D11CF">
            <w:pPr>
              <w:spacing w:after="0" w:line="240" w:lineRule="auto"/>
              <w:rPr>
                <w:sz w:val="20"/>
                <w:lang w:eastAsia="fr-FR"/>
              </w:rPr>
            </w:pPr>
            <w:r w:rsidRPr="00B434A6">
              <w:rPr>
                <w:sz w:val="20"/>
                <w:lang w:eastAsia="fr-FR"/>
              </w:rPr>
              <w:t>: Intermédiaire Financier</w:t>
            </w:r>
          </w:p>
        </w:tc>
      </w:tr>
      <w:tr w:rsidR="00D4541C" w:rsidRPr="00D4541C" w14:paraId="01462BB9" w14:textId="77777777" w:rsidTr="00D4541C">
        <w:trPr>
          <w:trHeight w:val="300"/>
        </w:trPr>
        <w:tc>
          <w:tcPr>
            <w:tcW w:w="808" w:type="pct"/>
            <w:tcBorders>
              <w:top w:val="nil"/>
              <w:left w:val="nil"/>
              <w:bottom w:val="nil"/>
              <w:right w:val="nil"/>
            </w:tcBorders>
            <w:shd w:val="clear" w:color="auto" w:fill="auto"/>
            <w:noWrap/>
            <w:vAlign w:val="center"/>
            <w:hideMark/>
          </w:tcPr>
          <w:p w14:paraId="56A1A0AF" w14:textId="77777777" w:rsidR="00D4541C" w:rsidRPr="00B434A6" w:rsidRDefault="00D4541C" w:rsidP="005D11CF">
            <w:pPr>
              <w:spacing w:after="0" w:line="240" w:lineRule="auto"/>
              <w:rPr>
                <w:sz w:val="20"/>
                <w:lang w:eastAsia="fr-FR"/>
              </w:rPr>
            </w:pPr>
            <w:r w:rsidRPr="00B434A6">
              <w:rPr>
                <w:sz w:val="20"/>
                <w:lang w:eastAsia="fr-FR"/>
              </w:rPr>
              <w:t>IMF</w:t>
            </w:r>
          </w:p>
        </w:tc>
        <w:tc>
          <w:tcPr>
            <w:tcW w:w="4192" w:type="pct"/>
            <w:tcBorders>
              <w:top w:val="nil"/>
              <w:left w:val="nil"/>
              <w:bottom w:val="nil"/>
              <w:right w:val="nil"/>
            </w:tcBorders>
            <w:shd w:val="clear" w:color="auto" w:fill="auto"/>
            <w:noWrap/>
            <w:vAlign w:val="center"/>
            <w:hideMark/>
          </w:tcPr>
          <w:p w14:paraId="119E4EEA" w14:textId="77777777" w:rsidR="00D4541C" w:rsidRPr="00B434A6" w:rsidRDefault="00D4541C" w:rsidP="005D11CF">
            <w:pPr>
              <w:spacing w:after="0" w:line="240" w:lineRule="auto"/>
              <w:rPr>
                <w:sz w:val="20"/>
                <w:lang w:eastAsia="fr-FR"/>
              </w:rPr>
            </w:pPr>
            <w:r w:rsidRPr="00B434A6">
              <w:rPr>
                <w:sz w:val="20"/>
                <w:lang w:eastAsia="fr-FR"/>
              </w:rPr>
              <w:t>: Inst</w:t>
            </w:r>
            <w:r w:rsidR="0017420E">
              <w:rPr>
                <w:sz w:val="20"/>
                <w:lang w:eastAsia="fr-FR"/>
              </w:rPr>
              <w:t>it</w:t>
            </w:r>
            <w:r w:rsidRPr="00B434A6">
              <w:rPr>
                <w:sz w:val="20"/>
                <w:lang w:eastAsia="fr-FR"/>
              </w:rPr>
              <w:t>ution de Microfinance</w:t>
            </w:r>
          </w:p>
        </w:tc>
      </w:tr>
      <w:tr w:rsidR="00D4541C" w:rsidRPr="00D4541C" w14:paraId="3C00BA46" w14:textId="77777777" w:rsidTr="00D4541C">
        <w:trPr>
          <w:trHeight w:val="300"/>
        </w:trPr>
        <w:tc>
          <w:tcPr>
            <w:tcW w:w="808" w:type="pct"/>
            <w:tcBorders>
              <w:top w:val="nil"/>
              <w:left w:val="nil"/>
              <w:bottom w:val="nil"/>
              <w:right w:val="nil"/>
            </w:tcBorders>
            <w:shd w:val="clear" w:color="auto" w:fill="auto"/>
            <w:noWrap/>
            <w:vAlign w:val="center"/>
            <w:hideMark/>
          </w:tcPr>
          <w:p w14:paraId="7C07FAF8" w14:textId="77777777" w:rsidR="00D4541C" w:rsidRPr="00B434A6" w:rsidRDefault="00D4541C" w:rsidP="005D11CF">
            <w:pPr>
              <w:spacing w:after="0" w:line="240" w:lineRule="auto"/>
              <w:rPr>
                <w:sz w:val="20"/>
                <w:lang w:eastAsia="fr-FR"/>
              </w:rPr>
            </w:pPr>
            <w:r w:rsidRPr="00B434A6">
              <w:rPr>
                <w:sz w:val="20"/>
                <w:lang w:eastAsia="fr-FR"/>
              </w:rPr>
              <w:t>IST</w:t>
            </w:r>
          </w:p>
        </w:tc>
        <w:tc>
          <w:tcPr>
            <w:tcW w:w="4192" w:type="pct"/>
            <w:tcBorders>
              <w:top w:val="nil"/>
              <w:left w:val="nil"/>
              <w:bottom w:val="nil"/>
              <w:right w:val="nil"/>
            </w:tcBorders>
            <w:shd w:val="clear" w:color="auto" w:fill="auto"/>
            <w:noWrap/>
            <w:vAlign w:val="center"/>
            <w:hideMark/>
          </w:tcPr>
          <w:p w14:paraId="59340716" w14:textId="77777777" w:rsidR="00D4541C" w:rsidRPr="00B434A6" w:rsidRDefault="00D4541C" w:rsidP="005D11CF">
            <w:pPr>
              <w:spacing w:after="0" w:line="240" w:lineRule="auto"/>
              <w:rPr>
                <w:sz w:val="20"/>
                <w:lang w:eastAsia="fr-FR"/>
              </w:rPr>
            </w:pPr>
            <w:r w:rsidRPr="00B434A6">
              <w:rPr>
                <w:sz w:val="20"/>
                <w:lang w:eastAsia="fr-FR"/>
              </w:rPr>
              <w:t xml:space="preserve">: Infections Sexuellement Transmissibles </w:t>
            </w:r>
          </w:p>
        </w:tc>
      </w:tr>
      <w:tr w:rsidR="00D4541C" w:rsidRPr="00D4541C" w14:paraId="6775914F" w14:textId="77777777" w:rsidTr="00D4541C">
        <w:trPr>
          <w:trHeight w:val="300"/>
        </w:trPr>
        <w:tc>
          <w:tcPr>
            <w:tcW w:w="808" w:type="pct"/>
            <w:tcBorders>
              <w:top w:val="nil"/>
              <w:left w:val="nil"/>
              <w:bottom w:val="nil"/>
              <w:right w:val="nil"/>
            </w:tcBorders>
            <w:shd w:val="clear" w:color="auto" w:fill="auto"/>
            <w:noWrap/>
            <w:vAlign w:val="center"/>
            <w:hideMark/>
          </w:tcPr>
          <w:p w14:paraId="02F6DCC2" w14:textId="77777777" w:rsidR="00D4541C" w:rsidRPr="00B434A6" w:rsidRDefault="00D4541C" w:rsidP="005D11CF">
            <w:pPr>
              <w:spacing w:after="0" w:line="240" w:lineRule="auto"/>
              <w:rPr>
                <w:sz w:val="20"/>
                <w:lang w:eastAsia="fr-FR"/>
              </w:rPr>
            </w:pPr>
            <w:r w:rsidRPr="00B434A6">
              <w:rPr>
                <w:sz w:val="20"/>
                <w:lang w:eastAsia="fr-FR"/>
              </w:rPr>
              <w:t>JIRAMA</w:t>
            </w:r>
          </w:p>
        </w:tc>
        <w:tc>
          <w:tcPr>
            <w:tcW w:w="4192" w:type="pct"/>
            <w:tcBorders>
              <w:top w:val="nil"/>
              <w:left w:val="nil"/>
              <w:bottom w:val="nil"/>
              <w:right w:val="nil"/>
            </w:tcBorders>
            <w:shd w:val="clear" w:color="auto" w:fill="auto"/>
            <w:noWrap/>
            <w:vAlign w:val="center"/>
            <w:hideMark/>
          </w:tcPr>
          <w:p w14:paraId="537FC356" w14:textId="77777777" w:rsidR="00D4541C" w:rsidRPr="00B434A6" w:rsidRDefault="00D4541C" w:rsidP="005D11CF">
            <w:pPr>
              <w:spacing w:after="0" w:line="240" w:lineRule="auto"/>
              <w:rPr>
                <w:sz w:val="20"/>
                <w:lang w:eastAsia="fr-FR"/>
              </w:rPr>
            </w:pPr>
            <w:r w:rsidRPr="00B434A6">
              <w:rPr>
                <w:sz w:val="20"/>
                <w:lang w:eastAsia="fr-FR"/>
              </w:rPr>
              <w:t>: Jiro sy Rano Malagasy</w:t>
            </w:r>
          </w:p>
        </w:tc>
      </w:tr>
      <w:tr w:rsidR="00D4541C" w:rsidRPr="00D4541C" w14:paraId="04E1ECF2" w14:textId="77777777" w:rsidTr="00D4541C">
        <w:trPr>
          <w:trHeight w:val="300"/>
        </w:trPr>
        <w:tc>
          <w:tcPr>
            <w:tcW w:w="808" w:type="pct"/>
            <w:tcBorders>
              <w:top w:val="nil"/>
              <w:left w:val="nil"/>
              <w:bottom w:val="nil"/>
              <w:right w:val="nil"/>
            </w:tcBorders>
            <w:shd w:val="clear" w:color="auto" w:fill="auto"/>
            <w:noWrap/>
            <w:vAlign w:val="center"/>
            <w:hideMark/>
          </w:tcPr>
          <w:p w14:paraId="24547717" w14:textId="77777777" w:rsidR="00D4541C" w:rsidRPr="00B434A6" w:rsidRDefault="00D4541C" w:rsidP="005D11CF">
            <w:pPr>
              <w:spacing w:after="0" w:line="240" w:lineRule="auto"/>
              <w:rPr>
                <w:sz w:val="20"/>
                <w:lang w:eastAsia="fr-FR"/>
              </w:rPr>
            </w:pPr>
            <w:r w:rsidRPr="00B434A6">
              <w:rPr>
                <w:sz w:val="20"/>
                <w:lang w:eastAsia="fr-FR"/>
              </w:rPr>
              <w:t>LCDP</w:t>
            </w:r>
          </w:p>
        </w:tc>
        <w:tc>
          <w:tcPr>
            <w:tcW w:w="4192" w:type="pct"/>
            <w:tcBorders>
              <w:top w:val="nil"/>
              <w:left w:val="nil"/>
              <w:bottom w:val="nil"/>
              <w:right w:val="nil"/>
            </w:tcBorders>
            <w:shd w:val="clear" w:color="auto" w:fill="auto"/>
            <w:noWrap/>
            <w:vAlign w:val="center"/>
            <w:hideMark/>
          </w:tcPr>
          <w:p w14:paraId="57697CB4" w14:textId="77777777" w:rsidR="00D4541C" w:rsidRPr="00B434A6" w:rsidRDefault="00D4541C" w:rsidP="005D11CF">
            <w:pPr>
              <w:spacing w:after="0" w:line="240" w:lineRule="auto"/>
              <w:rPr>
                <w:sz w:val="20"/>
                <w:lang w:eastAsia="fr-FR"/>
              </w:rPr>
            </w:pPr>
            <w:r w:rsidRPr="00B434A6">
              <w:rPr>
                <w:sz w:val="20"/>
                <w:lang w:eastAsia="fr-FR"/>
              </w:rPr>
              <w:t>: Least-Cost Development Plan</w:t>
            </w:r>
          </w:p>
        </w:tc>
      </w:tr>
      <w:tr w:rsidR="00D4541C" w:rsidRPr="00160FB0" w14:paraId="022B04DD" w14:textId="77777777" w:rsidTr="00D4541C">
        <w:trPr>
          <w:trHeight w:val="300"/>
        </w:trPr>
        <w:tc>
          <w:tcPr>
            <w:tcW w:w="808" w:type="pct"/>
            <w:tcBorders>
              <w:top w:val="nil"/>
              <w:left w:val="nil"/>
              <w:bottom w:val="nil"/>
              <w:right w:val="nil"/>
            </w:tcBorders>
            <w:shd w:val="clear" w:color="auto" w:fill="auto"/>
            <w:noWrap/>
            <w:vAlign w:val="center"/>
            <w:hideMark/>
          </w:tcPr>
          <w:p w14:paraId="6A4BB470" w14:textId="77777777" w:rsidR="00D4541C" w:rsidRPr="00B434A6" w:rsidRDefault="00D4541C" w:rsidP="005D11CF">
            <w:pPr>
              <w:spacing w:after="0" w:line="240" w:lineRule="auto"/>
              <w:rPr>
                <w:sz w:val="20"/>
                <w:lang w:eastAsia="fr-FR"/>
              </w:rPr>
            </w:pPr>
            <w:r w:rsidRPr="00B434A6">
              <w:rPr>
                <w:sz w:val="20"/>
                <w:lang w:eastAsia="fr-FR"/>
              </w:rPr>
              <w:t>LEAD</w:t>
            </w:r>
          </w:p>
        </w:tc>
        <w:tc>
          <w:tcPr>
            <w:tcW w:w="4192" w:type="pct"/>
            <w:tcBorders>
              <w:top w:val="nil"/>
              <w:left w:val="nil"/>
              <w:bottom w:val="nil"/>
              <w:right w:val="nil"/>
            </w:tcBorders>
            <w:shd w:val="clear" w:color="auto" w:fill="auto"/>
            <w:noWrap/>
            <w:vAlign w:val="center"/>
            <w:hideMark/>
          </w:tcPr>
          <w:p w14:paraId="75561330" w14:textId="77777777" w:rsidR="00D4541C" w:rsidRPr="00B434A6" w:rsidRDefault="00D4541C" w:rsidP="005D11CF">
            <w:pPr>
              <w:spacing w:after="0" w:line="240" w:lineRule="auto"/>
              <w:rPr>
                <w:sz w:val="20"/>
                <w:lang w:val="en-US" w:eastAsia="fr-FR"/>
              </w:rPr>
            </w:pPr>
            <w:r w:rsidRPr="00B434A6">
              <w:rPr>
                <w:sz w:val="20"/>
                <w:lang w:val="en-US" w:eastAsia="fr-FR"/>
              </w:rPr>
              <w:t>: Least-Cost Electricity Access Project</w:t>
            </w:r>
          </w:p>
        </w:tc>
      </w:tr>
      <w:tr w:rsidR="00D4541C" w:rsidRPr="00D4541C" w14:paraId="1304A22B" w14:textId="77777777" w:rsidTr="00D4541C">
        <w:trPr>
          <w:trHeight w:val="300"/>
        </w:trPr>
        <w:tc>
          <w:tcPr>
            <w:tcW w:w="808" w:type="pct"/>
            <w:tcBorders>
              <w:top w:val="nil"/>
              <w:left w:val="nil"/>
              <w:bottom w:val="nil"/>
              <w:right w:val="nil"/>
            </w:tcBorders>
            <w:shd w:val="clear" w:color="auto" w:fill="auto"/>
            <w:noWrap/>
            <w:vAlign w:val="center"/>
            <w:hideMark/>
          </w:tcPr>
          <w:p w14:paraId="47663F77" w14:textId="77777777" w:rsidR="00D4541C" w:rsidRPr="00B434A6" w:rsidRDefault="00D4541C" w:rsidP="005D11CF">
            <w:pPr>
              <w:spacing w:after="0" w:line="240" w:lineRule="auto"/>
              <w:rPr>
                <w:sz w:val="20"/>
                <w:lang w:eastAsia="fr-FR"/>
              </w:rPr>
            </w:pPr>
            <w:r w:rsidRPr="00B434A6">
              <w:rPr>
                <w:sz w:val="20"/>
                <w:lang w:eastAsia="fr-FR"/>
              </w:rPr>
              <w:t>MECIE</w:t>
            </w:r>
          </w:p>
        </w:tc>
        <w:tc>
          <w:tcPr>
            <w:tcW w:w="4192" w:type="pct"/>
            <w:tcBorders>
              <w:top w:val="nil"/>
              <w:left w:val="nil"/>
              <w:bottom w:val="nil"/>
              <w:right w:val="nil"/>
            </w:tcBorders>
            <w:shd w:val="clear" w:color="auto" w:fill="auto"/>
            <w:noWrap/>
            <w:vAlign w:val="center"/>
            <w:hideMark/>
          </w:tcPr>
          <w:p w14:paraId="389DA661" w14:textId="77777777" w:rsidR="00D4541C" w:rsidRPr="00B434A6" w:rsidRDefault="00D4541C" w:rsidP="005D11CF">
            <w:pPr>
              <w:spacing w:after="0" w:line="240" w:lineRule="auto"/>
              <w:rPr>
                <w:sz w:val="20"/>
                <w:lang w:eastAsia="fr-FR"/>
              </w:rPr>
            </w:pPr>
            <w:r w:rsidRPr="00B434A6">
              <w:rPr>
                <w:sz w:val="20"/>
                <w:lang w:eastAsia="fr-FR"/>
              </w:rPr>
              <w:t>: Mise En Compatibilité des Investissements avec l’Environnement</w:t>
            </w:r>
          </w:p>
        </w:tc>
      </w:tr>
      <w:tr w:rsidR="00D4541C" w:rsidRPr="00D4541C" w14:paraId="32C5F8A4" w14:textId="77777777" w:rsidTr="00D4541C">
        <w:trPr>
          <w:trHeight w:val="300"/>
        </w:trPr>
        <w:tc>
          <w:tcPr>
            <w:tcW w:w="808" w:type="pct"/>
            <w:tcBorders>
              <w:top w:val="nil"/>
              <w:left w:val="nil"/>
              <w:bottom w:val="nil"/>
              <w:right w:val="nil"/>
            </w:tcBorders>
            <w:shd w:val="clear" w:color="auto" w:fill="auto"/>
            <w:noWrap/>
            <w:vAlign w:val="center"/>
            <w:hideMark/>
          </w:tcPr>
          <w:p w14:paraId="33CE17AD" w14:textId="77777777" w:rsidR="00D4541C" w:rsidRPr="00B434A6" w:rsidRDefault="00D4541C" w:rsidP="005D11CF">
            <w:pPr>
              <w:spacing w:after="0" w:line="240" w:lineRule="auto"/>
              <w:rPr>
                <w:sz w:val="20"/>
                <w:lang w:eastAsia="fr-FR"/>
              </w:rPr>
            </w:pPr>
            <w:r w:rsidRPr="00B434A6">
              <w:rPr>
                <w:sz w:val="20"/>
                <w:lang w:eastAsia="fr-FR"/>
              </w:rPr>
              <w:t>MEF</w:t>
            </w:r>
          </w:p>
        </w:tc>
        <w:tc>
          <w:tcPr>
            <w:tcW w:w="4192" w:type="pct"/>
            <w:tcBorders>
              <w:top w:val="nil"/>
              <w:left w:val="nil"/>
              <w:bottom w:val="nil"/>
              <w:right w:val="nil"/>
            </w:tcBorders>
            <w:shd w:val="clear" w:color="auto" w:fill="auto"/>
            <w:noWrap/>
            <w:vAlign w:val="center"/>
            <w:hideMark/>
          </w:tcPr>
          <w:p w14:paraId="046F0957" w14:textId="77777777" w:rsidR="00D4541C" w:rsidRPr="00B434A6" w:rsidRDefault="00D4541C" w:rsidP="005D11CF">
            <w:pPr>
              <w:spacing w:after="0" w:line="240" w:lineRule="auto"/>
              <w:rPr>
                <w:sz w:val="20"/>
                <w:lang w:eastAsia="fr-FR"/>
              </w:rPr>
            </w:pPr>
            <w:r w:rsidRPr="00B434A6">
              <w:rPr>
                <w:sz w:val="20"/>
                <w:lang w:eastAsia="fr-FR"/>
              </w:rPr>
              <w:t>: Ministère de l’Economie et des Finances</w:t>
            </w:r>
          </w:p>
        </w:tc>
      </w:tr>
      <w:tr w:rsidR="00D4541C" w:rsidRPr="00D4541C" w14:paraId="196B348A" w14:textId="77777777" w:rsidTr="00D4541C">
        <w:trPr>
          <w:trHeight w:val="300"/>
        </w:trPr>
        <w:tc>
          <w:tcPr>
            <w:tcW w:w="808" w:type="pct"/>
            <w:tcBorders>
              <w:top w:val="nil"/>
              <w:left w:val="nil"/>
              <w:bottom w:val="nil"/>
              <w:right w:val="nil"/>
            </w:tcBorders>
            <w:shd w:val="clear" w:color="auto" w:fill="auto"/>
            <w:noWrap/>
            <w:vAlign w:val="center"/>
            <w:hideMark/>
          </w:tcPr>
          <w:p w14:paraId="6FE08198" w14:textId="77777777" w:rsidR="00D4541C" w:rsidRPr="00B434A6" w:rsidRDefault="00D4541C" w:rsidP="005D11CF">
            <w:pPr>
              <w:spacing w:after="0" w:line="240" w:lineRule="auto"/>
              <w:rPr>
                <w:sz w:val="20"/>
                <w:lang w:eastAsia="fr-FR"/>
              </w:rPr>
            </w:pPr>
            <w:r w:rsidRPr="00B434A6">
              <w:rPr>
                <w:sz w:val="20"/>
                <w:lang w:eastAsia="fr-FR"/>
              </w:rPr>
              <w:t>MEH</w:t>
            </w:r>
          </w:p>
        </w:tc>
        <w:tc>
          <w:tcPr>
            <w:tcW w:w="4192" w:type="pct"/>
            <w:tcBorders>
              <w:top w:val="nil"/>
              <w:left w:val="nil"/>
              <w:bottom w:val="nil"/>
              <w:right w:val="nil"/>
            </w:tcBorders>
            <w:shd w:val="clear" w:color="auto" w:fill="auto"/>
            <w:noWrap/>
            <w:vAlign w:val="center"/>
            <w:hideMark/>
          </w:tcPr>
          <w:p w14:paraId="12D89224" w14:textId="77777777" w:rsidR="00D4541C" w:rsidRPr="00B434A6" w:rsidRDefault="00D4541C" w:rsidP="005D11CF">
            <w:pPr>
              <w:spacing w:after="0" w:line="240" w:lineRule="auto"/>
              <w:rPr>
                <w:sz w:val="20"/>
                <w:lang w:eastAsia="fr-FR"/>
              </w:rPr>
            </w:pPr>
            <w:r w:rsidRPr="00B434A6">
              <w:rPr>
                <w:sz w:val="20"/>
                <w:lang w:eastAsia="fr-FR"/>
              </w:rPr>
              <w:t>: Ministère de l’Energie et des Hydrocarbures</w:t>
            </w:r>
          </w:p>
        </w:tc>
      </w:tr>
      <w:tr w:rsidR="00D4541C" w:rsidRPr="00D4541C" w14:paraId="42D9090A" w14:textId="77777777" w:rsidTr="00D4541C">
        <w:trPr>
          <w:trHeight w:val="300"/>
        </w:trPr>
        <w:tc>
          <w:tcPr>
            <w:tcW w:w="808" w:type="pct"/>
            <w:tcBorders>
              <w:top w:val="nil"/>
              <w:left w:val="nil"/>
              <w:bottom w:val="nil"/>
              <w:right w:val="nil"/>
            </w:tcBorders>
            <w:shd w:val="clear" w:color="auto" w:fill="auto"/>
            <w:noWrap/>
            <w:vAlign w:val="center"/>
            <w:hideMark/>
          </w:tcPr>
          <w:p w14:paraId="40CB5438" w14:textId="77777777" w:rsidR="00D4541C" w:rsidRPr="00B434A6" w:rsidRDefault="00D4541C" w:rsidP="005D11CF">
            <w:pPr>
              <w:spacing w:after="0" w:line="240" w:lineRule="auto"/>
              <w:rPr>
                <w:sz w:val="20"/>
                <w:lang w:eastAsia="fr-FR"/>
              </w:rPr>
            </w:pPr>
            <w:r w:rsidRPr="00B434A6">
              <w:rPr>
                <w:sz w:val="20"/>
                <w:lang w:eastAsia="fr-FR"/>
              </w:rPr>
              <w:t>MEN</w:t>
            </w:r>
          </w:p>
        </w:tc>
        <w:tc>
          <w:tcPr>
            <w:tcW w:w="4192" w:type="pct"/>
            <w:tcBorders>
              <w:top w:val="nil"/>
              <w:left w:val="nil"/>
              <w:bottom w:val="nil"/>
              <w:right w:val="nil"/>
            </w:tcBorders>
            <w:shd w:val="clear" w:color="auto" w:fill="auto"/>
            <w:noWrap/>
            <w:vAlign w:val="center"/>
            <w:hideMark/>
          </w:tcPr>
          <w:p w14:paraId="536ACA20" w14:textId="77777777" w:rsidR="00D4541C" w:rsidRPr="00B434A6" w:rsidRDefault="00D4541C" w:rsidP="005D11CF">
            <w:pPr>
              <w:spacing w:after="0" w:line="240" w:lineRule="auto"/>
              <w:rPr>
                <w:sz w:val="20"/>
                <w:lang w:eastAsia="fr-FR"/>
              </w:rPr>
            </w:pPr>
            <w:r w:rsidRPr="00B434A6">
              <w:rPr>
                <w:sz w:val="20"/>
                <w:lang w:eastAsia="fr-FR"/>
              </w:rPr>
              <w:t>: Ministère de l’Education Nationale</w:t>
            </w:r>
          </w:p>
        </w:tc>
      </w:tr>
      <w:tr w:rsidR="00D4541C" w:rsidRPr="00D4541C" w14:paraId="3296ED2F" w14:textId="77777777" w:rsidTr="00D4541C">
        <w:trPr>
          <w:trHeight w:val="300"/>
        </w:trPr>
        <w:tc>
          <w:tcPr>
            <w:tcW w:w="808" w:type="pct"/>
            <w:tcBorders>
              <w:top w:val="nil"/>
              <w:left w:val="nil"/>
              <w:bottom w:val="nil"/>
              <w:right w:val="nil"/>
            </w:tcBorders>
            <w:shd w:val="clear" w:color="auto" w:fill="auto"/>
            <w:noWrap/>
            <w:vAlign w:val="center"/>
            <w:hideMark/>
          </w:tcPr>
          <w:p w14:paraId="1B3C8F30" w14:textId="77777777" w:rsidR="00D4541C" w:rsidRPr="00B434A6" w:rsidRDefault="00D4541C" w:rsidP="005D11CF">
            <w:pPr>
              <w:spacing w:after="0" w:line="240" w:lineRule="auto"/>
              <w:rPr>
                <w:sz w:val="20"/>
                <w:lang w:eastAsia="fr-FR"/>
              </w:rPr>
            </w:pPr>
            <w:r w:rsidRPr="00B434A6">
              <w:rPr>
                <w:sz w:val="20"/>
                <w:lang w:eastAsia="fr-FR"/>
              </w:rPr>
              <w:t>MGP</w:t>
            </w:r>
          </w:p>
        </w:tc>
        <w:tc>
          <w:tcPr>
            <w:tcW w:w="4192" w:type="pct"/>
            <w:tcBorders>
              <w:top w:val="nil"/>
              <w:left w:val="nil"/>
              <w:bottom w:val="nil"/>
              <w:right w:val="nil"/>
            </w:tcBorders>
            <w:shd w:val="clear" w:color="auto" w:fill="auto"/>
            <w:noWrap/>
            <w:vAlign w:val="center"/>
            <w:hideMark/>
          </w:tcPr>
          <w:p w14:paraId="7D4DF402" w14:textId="77777777" w:rsidR="00D4541C" w:rsidRPr="00B434A6" w:rsidRDefault="00D4541C" w:rsidP="005D11CF">
            <w:pPr>
              <w:spacing w:after="0" w:line="240" w:lineRule="auto"/>
              <w:rPr>
                <w:sz w:val="20"/>
                <w:lang w:eastAsia="fr-FR"/>
              </w:rPr>
            </w:pPr>
            <w:r w:rsidRPr="00B434A6">
              <w:rPr>
                <w:sz w:val="20"/>
                <w:lang w:eastAsia="fr-FR"/>
              </w:rPr>
              <w:t>: Mécanisme de Gestion des Plaintes</w:t>
            </w:r>
          </w:p>
        </w:tc>
      </w:tr>
      <w:tr w:rsidR="00D4541C" w:rsidRPr="00D4541C" w14:paraId="44E2A000" w14:textId="77777777" w:rsidTr="00D4541C">
        <w:trPr>
          <w:trHeight w:val="300"/>
        </w:trPr>
        <w:tc>
          <w:tcPr>
            <w:tcW w:w="808" w:type="pct"/>
            <w:tcBorders>
              <w:top w:val="nil"/>
              <w:left w:val="nil"/>
              <w:bottom w:val="nil"/>
              <w:right w:val="nil"/>
            </w:tcBorders>
            <w:shd w:val="clear" w:color="auto" w:fill="auto"/>
            <w:noWrap/>
            <w:vAlign w:val="center"/>
            <w:hideMark/>
          </w:tcPr>
          <w:p w14:paraId="6315F2AC" w14:textId="77777777" w:rsidR="00D4541C" w:rsidRPr="00B434A6" w:rsidRDefault="00D4541C" w:rsidP="005D11CF">
            <w:pPr>
              <w:spacing w:after="0" w:line="240" w:lineRule="auto"/>
              <w:rPr>
                <w:sz w:val="20"/>
                <w:lang w:eastAsia="fr-FR"/>
              </w:rPr>
            </w:pPr>
            <w:r w:rsidRPr="00B434A6">
              <w:rPr>
                <w:sz w:val="20"/>
                <w:lang w:eastAsia="fr-FR"/>
              </w:rPr>
              <w:t>MNDPT</w:t>
            </w:r>
          </w:p>
        </w:tc>
        <w:tc>
          <w:tcPr>
            <w:tcW w:w="4192" w:type="pct"/>
            <w:tcBorders>
              <w:top w:val="nil"/>
              <w:left w:val="nil"/>
              <w:bottom w:val="nil"/>
              <w:right w:val="nil"/>
            </w:tcBorders>
            <w:shd w:val="clear" w:color="auto" w:fill="auto"/>
            <w:noWrap/>
            <w:vAlign w:val="center"/>
            <w:hideMark/>
          </w:tcPr>
          <w:p w14:paraId="5C0B9F14" w14:textId="77777777" w:rsidR="00D4541C" w:rsidRPr="00B434A6" w:rsidRDefault="00D4541C" w:rsidP="005D11CF">
            <w:pPr>
              <w:spacing w:after="0" w:line="240" w:lineRule="auto"/>
              <w:rPr>
                <w:sz w:val="20"/>
                <w:lang w:eastAsia="fr-FR"/>
              </w:rPr>
            </w:pPr>
            <w:r w:rsidRPr="00B434A6">
              <w:rPr>
                <w:sz w:val="20"/>
                <w:lang w:eastAsia="fr-FR"/>
              </w:rPr>
              <w:t>: Ministère du Développement Numérique, de la transformation Digitale, de la Poste et des Télécommunications</w:t>
            </w:r>
          </w:p>
        </w:tc>
      </w:tr>
      <w:tr w:rsidR="00D4541C" w:rsidRPr="00D4541C" w14:paraId="5250AAAC" w14:textId="77777777" w:rsidTr="00D4541C">
        <w:trPr>
          <w:trHeight w:val="300"/>
        </w:trPr>
        <w:tc>
          <w:tcPr>
            <w:tcW w:w="808" w:type="pct"/>
            <w:tcBorders>
              <w:top w:val="nil"/>
              <w:left w:val="nil"/>
              <w:bottom w:val="nil"/>
              <w:right w:val="nil"/>
            </w:tcBorders>
            <w:shd w:val="clear" w:color="auto" w:fill="auto"/>
            <w:noWrap/>
            <w:vAlign w:val="center"/>
            <w:hideMark/>
          </w:tcPr>
          <w:p w14:paraId="452102C1" w14:textId="77777777" w:rsidR="00D4541C" w:rsidRPr="00B434A6" w:rsidRDefault="00D4541C" w:rsidP="005D11CF">
            <w:pPr>
              <w:spacing w:after="0" w:line="240" w:lineRule="auto"/>
              <w:rPr>
                <w:sz w:val="20"/>
                <w:lang w:eastAsia="fr-FR"/>
              </w:rPr>
            </w:pPr>
            <w:r w:rsidRPr="00B434A6">
              <w:rPr>
                <w:sz w:val="20"/>
                <w:lang w:eastAsia="fr-FR"/>
              </w:rPr>
              <w:t>MOD</w:t>
            </w:r>
          </w:p>
        </w:tc>
        <w:tc>
          <w:tcPr>
            <w:tcW w:w="4192" w:type="pct"/>
            <w:tcBorders>
              <w:top w:val="nil"/>
              <w:left w:val="nil"/>
              <w:bottom w:val="nil"/>
              <w:right w:val="nil"/>
            </w:tcBorders>
            <w:shd w:val="clear" w:color="auto" w:fill="auto"/>
            <w:noWrap/>
            <w:vAlign w:val="center"/>
            <w:hideMark/>
          </w:tcPr>
          <w:p w14:paraId="1E738F64" w14:textId="77777777" w:rsidR="00D4541C" w:rsidRPr="00B434A6" w:rsidRDefault="00D4541C" w:rsidP="005D11CF">
            <w:pPr>
              <w:spacing w:after="0" w:line="240" w:lineRule="auto"/>
              <w:rPr>
                <w:sz w:val="20"/>
                <w:lang w:eastAsia="fr-FR"/>
              </w:rPr>
            </w:pPr>
            <w:r w:rsidRPr="00B434A6">
              <w:rPr>
                <w:sz w:val="20"/>
                <w:lang w:eastAsia="fr-FR"/>
              </w:rPr>
              <w:t xml:space="preserve">: Maitrise d'Ouvrage </w:t>
            </w:r>
            <w:r w:rsidR="0017420E" w:rsidRPr="00B434A6">
              <w:rPr>
                <w:sz w:val="20"/>
                <w:lang w:eastAsia="fr-FR"/>
              </w:rPr>
              <w:t>Déléguée</w:t>
            </w:r>
          </w:p>
        </w:tc>
      </w:tr>
      <w:tr w:rsidR="00D4541C" w:rsidRPr="00D4541C" w14:paraId="23083F11" w14:textId="77777777" w:rsidTr="00D4541C">
        <w:trPr>
          <w:trHeight w:val="300"/>
        </w:trPr>
        <w:tc>
          <w:tcPr>
            <w:tcW w:w="808" w:type="pct"/>
            <w:tcBorders>
              <w:top w:val="nil"/>
              <w:left w:val="nil"/>
              <w:bottom w:val="nil"/>
              <w:right w:val="nil"/>
            </w:tcBorders>
            <w:shd w:val="clear" w:color="auto" w:fill="auto"/>
            <w:noWrap/>
            <w:vAlign w:val="center"/>
            <w:hideMark/>
          </w:tcPr>
          <w:p w14:paraId="7BB05CED" w14:textId="77777777" w:rsidR="00D4541C" w:rsidRPr="00B434A6" w:rsidRDefault="00D4541C" w:rsidP="005D11CF">
            <w:pPr>
              <w:spacing w:after="0" w:line="240" w:lineRule="auto"/>
              <w:rPr>
                <w:sz w:val="20"/>
                <w:lang w:eastAsia="fr-FR"/>
              </w:rPr>
            </w:pPr>
            <w:r w:rsidRPr="00B434A6">
              <w:rPr>
                <w:sz w:val="20"/>
                <w:lang w:eastAsia="fr-FR"/>
              </w:rPr>
              <w:t>MSANP</w:t>
            </w:r>
          </w:p>
        </w:tc>
        <w:tc>
          <w:tcPr>
            <w:tcW w:w="4192" w:type="pct"/>
            <w:tcBorders>
              <w:top w:val="nil"/>
              <w:left w:val="nil"/>
              <w:bottom w:val="nil"/>
              <w:right w:val="nil"/>
            </w:tcBorders>
            <w:shd w:val="clear" w:color="auto" w:fill="auto"/>
            <w:noWrap/>
            <w:vAlign w:val="center"/>
            <w:hideMark/>
          </w:tcPr>
          <w:p w14:paraId="37E9E523" w14:textId="77777777" w:rsidR="00D4541C" w:rsidRPr="00B434A6" w:rsidRDefault="00D4541C" w:rsidP="005D11CF">
            <w:pPr>
              <w:spacing w:after="0" w:line="240" w:lineRule="auto"/>
              <w:rPr>
                <w:sz w:val="20"/>
                <w:lang w:eastAsia="fr-FR"/>
              </w:rPr>
            </w:pPr>
            <w:r w:rsidRPr="00B434A6">
              <w:rPr>
                <w:sz w:val="20"/>
                <w:lang w:eastAsia="fr-FR"/>
              </w:rPr>
              <w:t>: Ministère de la Santé Publique</w:t>
            </w:r>
          </w:p>
        </w:tc>
      </w:tr>
      <w:tr w:rsidR="00D4541C" w:rsidRPr="00D4541C" w14:paraId="791BBEFC" w14:textId="77777777" w:rsidTr="00D4541C">
        <w:trPr>
          <w:trHeight w:val="300"/>
        </w:trPr>
        <w:tc>
          <w:tcPr>
            <w:tcW w:w="808" w:type="pct"/>
            <w:tcBorders>
              <w:top w:val="nil"/>
              <w:left w:val="nil"/>
              <w:bottom w:val="nil"/>
              <w:right w:val="nil"/>
            </w:tcBorders>
            <w:shd w:val="clear" w:color="auto" w:fill="auto"/>
            <w:noWrap/>
            <w:vAlign w:val="center"/>
            <w:hideMark/>
          </w:tcPr>
          <w:p w14:paraId="0E68305E" w14:textId="77777777" w:rsidR="00D4541C" w:rsidRPr="00B434A6" w:rsidRDefault="00D4541C" w:rsidP="005D11CF">
            <w:pPr>
              <w:spacing w:after="0" w:line="240" w:lineRule="auto"/>
              <w:rPr>
                <w:sz w:val="20"/>
                <w:lang w:eastAsia="fr-FR"/>
              </w:rPr>
            </w:pPr>
            <w:r w:rsidRPr="00B434A6">
              <w:rPr>
                <w:sz w:val="20"/>
                <w:lang w:eastAsia="fr-FR"/>
              </w:rPr>
              <w:t>MST</w:t>
            </w:r>
          </w:p>
        </w:tc>
        <w:tc>
          <w:tcPr>
            <w:tcW w:w="4192" w:type="pct"/>
            <w:tcBorders>
              <w:top w:val="nil"/>
              <w:left w:val="nil"/>
              <w:bottom w:val="nil"/>
              <w:right w:val="nil"/>
            </w:tcBorders>
            <w:shd w:val="clear" w:color="auto" w:fill="auto"/>
            <w:noWrap/>
            <w:vAlign w:val="center"/>
            <w:hideMark/>
          </w:tcPr>
          <w:p w14:paraId="4E143AAC" w14:textId="77777777" w:rsidR="00D4541C" w:rsidRPr="00B434A6" w:rsidRDefault="00D4541C" w:rsidP="005D11CF">
            <w:pPr>
              <w:spacing w:after="0" w:line="240" w:lineRule="auto"/>
              <w:rPr>
                <w:sz w:val="20"/>
                <w:lang w:eastAsia="fr-FR"/>
              </w:rPr>
            </w:pPr>
            <w:r w:rsidRPr="00B434A6">
              <w:rPr>
                <w:sz w:val="20"/>
                <w:lang w:eastAsia="fr-FR"/>
              </w:rPr>
              <w:t xml:space="preserve">: Maladies </w:t>
            </w:r>
            <w:r w:rsidR="0017420E" w:rsidRPr="00B434A6">
              <w:rPr>
                <w:sz w:val="20"/>
                <w:lang w:eastAsia="fr-FR"/>
              </w:rPr>
              <w:t>Sexuellement</w:t>
            </w:r>
            <w:r w:rsidRPr="00B434A6">
              <w:rPr>
                <w:sz w:val="20"/>
                <w:lang w:eastAsia="fr-FR"/>
              </w:rPr>
              <w:t xml:space="preserve"> Transmissibles </w:t>
            </w:r>
          </w:p>
        </w:tc>
      </w:tr>
      <w:tr w:rsidR="00D4541C" w:rsidRPr="00D4541C" w14:paraId="62D5615C" w14:textId="77777777" w:rsidTr="00D4541C">
        <w:trPr>
          <w:trHeight w:val="300"/>
        </w:trPr>
        <w:tc>
          <w:tcPr>
            <w:tcW w:w="808" w:type="pct"/>
            <w:tcBorders>
              <w:top w:val="nil"/>
              <w:left w:val="nil"/>
              <w:bottom w:val="nil"/>
              <w:right w:val="nil"/>
            </w:tcBorders>
            <w:shd w:val="clear" w:color="auto" w:fill="auto"/>
            <w:noWrap/>
            <w:vAlign w:val="center"/>
            <w:hideMark/>
          </w:tcPr>
          <w:p w14:paraId="387AB5F8" w14:textId="77777777" w:rsidR="00D4541C" w:rsidRPr="00B434A6" w:rsidRDefault="00D4541C" w:rsidP="005D11CF">
            <w:pPr>
              <w:spacing w:after="0" w:line="240" w:lineRule="auto"/>
              <w:rPr>
                <w:sz w:val="20"/>
                <w:lang w:eastAsia="fr-FR"/>
              </w:rPr>
            </w:pPr>
            <w:r w:rsidRPr="00B434A6">
              <w:rPr>
                <w:sz w:val="20"/>
                <w:lang w:eastAsia="fr-FR"/>
              </w:rPr>
              <w:t>NES</w:t>
            </w:r>
          </w:p>
        </w:tc>
        <w:tc>
          <w:tcPr>
            <w:tcW w:w="4192" w:type="pct"/>
            <w:tcBorders>
              <w:top w:val="nil"/>
              <w:left w:val="nil"/>
              <w:bottom w:val="nil"/>
              <w:right w:val="nil"/>
            </w:tcBorders>
            <w:shd w:val="clear" w:color="auto" w:fill="auto"/>
            <w:noWrap/>
            <w:vAlign w:val="center"/>
            <w:hideMark/>
          </w:tcPr>
          <w:p w14:paraId="56A3BEA3" w14:textId="77777777" w:rsidR="00D4541C" w:rsidRPr="00B434A6" w:rsidRDefault="00D4541C" w:rsidP="005D11CF">
            <w:pPr>
              <w:spacing w:after="0" w:line="240" w:lineRule="auto"/>
              <w:rPr>
                <w:sz w:val="20"/>
                <w:lang w:eastAsia="fr-FR"/>
              </w:rPr>
            </w:pPr>
            <w:r w:rsidRPr="00B434A6">
              <w:rPr>
                <w:sz w:val="20"/>
                <w:lang w:eastAsia="fr-FR"/>
              </w:rPr>
              <w:t>: Norme Environnementale et Sociale</w:t>
            </w:r>
          </w:p>
        </w:tc>
      </w:tr>
      <w:tr w:rsidR="00D4541C" w:rsidRPr="00D4541C" w14:paraId="10DD93D4" w14:textId="77777777" w:rsidTr="00D4541C">
        <w:trPr>
          <w:trHeight w:val="300"/>
        </w:trPr>
        <w:tc>
          <w:tcPr>
            <w:tcW w:w="808" w:type="pct"/>
            <w:tcBorders>
              <w:top w:val="nil"/>
              <w:left w:val="nil"/>
              <w:bottom w:val="nil"/>
              <w:right w:val="nil"/>
            </w:tcBorders>
            <w:shd w:val="clear" w:color="auto" w:fill="auto"/>
            <w:noWrap/>
            <w:vAlign w:val="center"/>
            <w:hideMark/>
          </w:tcPr>
          <w:p w14:paraId="2F04E0B6" w14:textId="77777777" w:rsidR="00D4541C" w:rsidRPr="00B434A6" w:rsidRDefault="00D4541C" w:rsidP="005D11CF">
            <w:pPr>
              <w:spacing w:after="0" w:line="240" w:lineRule="auto"/>
              <w:rPr>
                <w:sz w:val="20"/>
                <w:lang w:eastAsia="fr-FR"/>
              </w:rPr>
            </w:pPr>
            <w:r w:rsidRPr="00B434A6">
              <w:rPr>
                <w:sz w:val="20"/>
                <w:lang w:eastAsia="fr-FR"/>
              </w:rPr>
              <w:lastRenderedPageBreak/>
              <w:t>ODP</w:t>
            </w:r>
          </w:p>
        </w:tc>
        <w:tc>
          <w:tcPr>
            <w:tcW w:w="4192" w:type="pct"/>
            <w:tcBorders>
              <w:top w:val="nil"/>
              <w:left w:val="nil"/>
              <w:bottom w:val="nil"/>
              <w:right w:val="nil"/>
            </w:tcBorders>
            <w:shd w:val="clear" w:color="auto" w:fill="auto"/>
            <w:noWrap/>
            <w:vAlign w:val="center"/>
            <w:hideMark/>
          </w:tcPr>
          <w:p w14:paraId="692D7B3C" w14:textId="77777777" w:rsidR="00D4541C" w:rsidRPr="00B434A6" w:rsidRDefault="00D4541C" w:rsidP="005D11CF">
            <w:pPr>
              <w:spacing w:after="0" w:line="240" w:lineRule="auto"/>
              <w:rPr>
                <w:sz w:val="20"/>
                <w:lang w:eastAsia="fr-FR"/>
              </w:rPr>
            </w:pPr>
            <w:r w:rsidRPr="00B434A6">
              <w:rPr>
                <w:sz w:val="20"/>
                <w:lang w:eastAsia="fr-FR"/>
              </w:rPr>
              <w:t>: Objectif de Développement du Projet</w:t>
            </w:r>
          </w:p>
        </w:tc>
      </w:tr>
      <w:tr w:rsidR="00D4541C" w:rsidRPr="00D4541C" w14:paraId="1C805879" w14:textId="77777777" w:rsidTr="00D4541C">
        <w:trPr>
          <w:trHeight w:val="300"/>
        </w:trPr>
        <w:tc>
          <w:tcPr>
            <w:tcW w:w="808" w:type="pct"/>
            <w:tcBorders>
              <w:top w:val="nil"/>
              <w:left w:val="nil"/>
              <w:bottom w:val="nil"/>
              <w:right w:val="nil"/>
            </w:tcBorders>
            <w:shd w:val="clear" w:color="auto" w:fill="auto"/>
            <w:noWrap/>
            <w:vAlign w:val="center"/>
            <w:hideMark/>
          </w:tcPr>
          <w:p w14:paraId="1F7CD621" w14:textId="77777777" w:rsidR="00D4541C" w:rsidRPr="00B434A6" w:rsidRDefault="00D4541C" w:rsidP="005D11CF">
            <w:pPr>
              <w:spacing w:after="0" w:line="240" w:lineRule="auto"/>
              <w:rPr>
                <w:sz w:val="20"/>
                <w:lang w:eastAsia="fr-FR"/>
              </w:rPr>
            </w:pPr>
            <w:r w:rsidRPr="00B434A6">
              <w:rPr>
                <w:sz w:val="20"/>
                <w:lang w:eastAsia="fr-FR"/>
              </w:rPr>
              <w:t>ONE</w:t>
            </w:r>
          </w:p>
        </w:tc>
        <w:tc>
          <w:tcPr>
            <w:tcW w:w="4192" w:type="pct"/>
            <w:tcBorders>
              <w:top w:val="nil"/>
              <w:left w:val="nil"/>
              <w:bottom w:val="nil"/>
              <w:right w:val="nil"/>
            </w:tcBorders>
            <w:shd w:val="clear" w:color="auto" w:fill="auto"/>
            <w:noWrap/>
            <w:vAlign w:val="center"/>
            <w:hideMark/>
          </w:tcPr>
          <w:p w14:paraId="132F669D" w14:textId="77777777" w:rsidR="00D4541C" w:rsidRPr="00B434A6" w:rsidRDefault="00D4541C" w:rsidP="005D11CF">
            <w:pPr>
              <w:spacing w:after="0" w:line="240" w:lineRule="auto"/>
              <w:rPr>
                <w:sz w:val="20"/>
                <w:lang w:eastAsia="fr-FR"/>
              </w:rPr>
            </w:pPr>
            <w:r w:rsidRPr="00B434A6">
              <w:rPr>
                <w:sz w:val="20"/>
                <w:lang w:eastAsia="fr-FR"/>
              </w:rPr>
              <w:t>: Office National pour l'Environnement</w:t>
            </w:r>
          </w:p>
        </w:tc>
      </w:tr>
      <w:tr w:rsidR="00D4541C" w:rsidRPr="00D4541C" w14:paraId="43CCB95A" w14:textId="77777777" w:rsidTr="00D4541C">
        <w:trPr>
          <w:trHeight w:val="300"/>
        </w:trPr>
        <w:tc>
          <w:tcPr>
            <w:tcW w:w="808" w:type="pct"/>
            <w:tcBorders>
              <w:top w:val="nil"/>
              <w:left w:val="nil"/>
              <w:bottom w:val="nil"/>
              <w:right w:val="nil"/>
            </w:tcBorders>
            <w:shd w:val="clear" w:color="auto" w:fill="auto"/>
            <w:noWrap/>
            <w:vAlign w:val="center"/>
            <w:hideMark/>
          </w:tcPr>
          <w:p w14:paraId="02CEDFB8" w14:textId="77777777" w:rsidR="00D4541C" w:rsidRPr="00B434A6" w:rsidRDefault="00D4541C" w:rsidP="005D11CF">
            <w:pPr>
              <w:spacing w:after="0" w:line="240" w:lineRule="auto"/>
              <w:rPr>
                <w:sz w:val="20"/>
                <w:lang w:eastAsia="fr-FR"/>
              </w:rPr>
            </w:pPr>
            <w:r w:rsidRPr="00B434A6">
              <w:rPr>
                <w:sz w:val="20"/>
                <w:lang w:eastAsia="fr-FR"/>
              </w:rPr>
              <w:t>ONG</w:t>
            </w:r>
          </w:p>
        </w:tc>
        <w:tc>
          <w:tcPr>
            <w:tcW w:w="4192" w:type="pct"/>
            <w:tcBorders>
              <w:top w:val="nil"/>
              <w:left w:val="nil"/>
              <w:bottom w:val="nil"/>
              <w:right w:val="nil"/>
            </w:tcBorders>
            <w:shd w:val="clear" w:color="auto" w:fill="auto"/>
            <w:noWrap/>
            <w:vAlign w:val="center"/>
            <w:hideMark/>
          </w:tcPr>
          <w:p w14:paraId="55694D71" w14:textId="77777777" w:rsidR="00D4541C" w:rsidRPr="00B434A6" w:rsidRDefault="00D4541C" w:rsidP="00883FF0">
            <w:pPr>
              <w:spacing w:after="0" w:line="240" w:lineRule="auto"/>
              <w:rPr>
                <w:sz w:val="20"/>
                <w:lang w:eastAsia="fr-FR"/>
              </w:rPr>
            </w:pPr>
            <w:r w:rsidRPr="00B434A6">
              <w:rPr>
                <w:sz w:val="20"/>
                <w:lang w:eastAsia="fr-FR"/>
              </w:rPr>
              <w:t>: Organisation Non</w:t>
            </w:r>
            <w:r w:rsidR="00883FF0">
              <w:rPr>
                <w:sz w:val="20"/>
                <w:lang w:eastAsia="fr-FR"/>
              </w:rPr>
              <w:t>-</w:t>
            </w:r>
            <w:r w:rsidRPr="00B434A6">
              <w:rPr>
                <w:sz w:val="20"/>
                <w:lang w:eastAsia="fr-FR"/>
              </w:rPr>
              <w:t>Gouvernementale</w:t>
            </w:r>
          </w:p>
        </w:tc>
      </w:tr>
      <w:tr w:rsidR="00D4541C" w:rsidRPr="00D4541C" w14:paraId="66086A5F" w14:textId="77777777" w:rsidTr="00D4541C">
        <w:trPr>
          <w:trHeight w:val="300"/>
        </w:trPr>
        <w:tc>
          <w:tcPr>
            <w:tcW w:w="808" w:type="pct"/>
            <w:tcBorders>
              <w:top w:val="nil"/>
              <w:left w:val="nil"/>
              <w:bottom w:val="nil"/>
              <w:right w:val="nil"/>
            </w:tcBorders>
            <w:shd w:val="clear" w:color="auto" w:fill="auto"/>
            <w:noWrap/>
            <w:vAlign w:val="center"/>
            <w:hideMark/>
          </w:tcPr>
          <w:p w14:paraId="1FEF7F40" w14:textId="77777777" w:rsidR="00D4541C" w:rsidRPr="00B434A6" w:rsidRDefault="00D4541C" w:rsidP="005D11CF">
            <w:pPr>
              <w:spacing w:after="0" w:line="240" w:lineRule="auto"/>
              <w:rPr>
                <w:sz w:val="20"/>
                <w:lang w:eastAsia="fr-FR"/>
              </w:rPr>
            </w:pPr>
            <w:r w:rsidRPr="00B434A6">
              <w:rPr>
                <w:sz w:val="20"/>
                <w:lang w:eastAsia="fr-FR"/>
              </w:rPr>
              <w:t>PANAGED</w:t>
            </w:r>
          </w:p>
        </w:tc>
        <w:tc>
          <w:tcPr>
            <w:tcW w:w="4192" w:type="pct"/>
            <w:tcBorders>
              <w:top w:val="nil"/>
              <w:left w:val="nil"/>
              <w:bottom w:val="nil"/>
              <w:right w:val="nil"/>
            </w:tcBorders>
            <w:shd w:val="clear" w:color="auto" w:fill="auto"/>
            <w:noWrap/>
            <w:vAlign w:val="center"/>
            <w:hideMark/>
          </w:tcPr>
          <w:p w14:paraId="41F16DA7" w14:textId="77777777" w:rsidR="00D4541C" w:rsidRPr="00B434A6" w:rsidRDefault="00D4541C" w:rsidP="005D11CF">
            <w:pPr>
              <w:spacing w:after="0" w:line="240" w:lineRule="auto"/>
              <w:rPr>
                <w:sz w:val="20"/>
                <w:lang w:eastAsia="fr-FR"/>
              </w:rPr>
            </w:pPr>
            <w:r w:rsidRPr="00B434A6">
              <w:rPr>
                <w:sz w:val="20"/>
                <w:lang w:eastAsia="fr-FR"/>
              </w:rPr>
              <w:t>: Plan d’Action NAtionale GEnre et Développement</w:t>
            </w:r>
          </w:p>
        </w:tc>
      </w:tr>
      <w:tr w:rsidR="00D4541C" w:rsidRPr="00D4541C" w14:paraId="1733E242" w14:textId="77777777" w:rsidTr="00D4541C">
        <w:trPr>
          <w:trHeight w:val="300"/>
        </w:trPr>
        <w:tc>
          <w:tcPr>
            <w:tcW w:w="808" w:type="pct"/>
            <w:tcBorders>
              <w:top w:val="nil"/>
              <w:left w:val="nil"/>
              <w:bottom w:val="nil"/>
              <w:right w:val="nil"/>
            </w:tcBorders>
            <w:shd w:val="clear" w:color="auto" w:fill="auto"/>
            <w:noWrap/>
            <w:vAlign w:val="center"/>
            <w:hideMark/>
          </w:tcPr>
          <w:p w14:paraId="6BE59C05" w14:textId="77777777" w:rsidR="00D4541C" w:rsidRPr="00B434A6" w:rsidRDefault="00D4541C" w:rsidP="005D11CF">
            <w:pPr>
              <w:spacing w:after="0" w:line="240" w:lineRule="auto"/>
              <w:rPr>
                <w:sz w:val="20"/>
                <w:lang w:eastAsia="fr-FR"/>
              </w:rPr>
            </w:pPr>
            <w:r w:rsidRPr="00B434A6">
              <w:rPr>
                <w:sz w:val="20"/>
                <w:lang w:eastAsia="fr-FR"/>
              </w:rPr>
              <w:t>PAP</w:t>
            </w:r>
          </w:p>
        </w:tc>
        <w:tc>
          <w:tcPr>
            <w:tcW w:w="4192" w:type="pct"/>
            <w:tcBorders>
              <w:top w:val="nil"/>
              <w:left w:val="nil"/>
              <w:bottom w:val="nil"/>
              <w:right w:val="nil"/>
            </w:tcBorders>
            <w:shd w:val="clear" w:color="auto" w:fill="auto"/>
            <w:noWrap/>
            <w:vAlign w:val="center"/>
            <w:hideMark/>
          </w:tcPr>
          <w:p w14:paraId="629F6007" w14:textId="77777777" w:rsidR="00D4541C" w:rsidRPr="00B434A6" w:rsidRDefault="00D4541C" w:rsidP="00883FF0">
            <w:pPr>
              <w:spacing w:after="0" w:line="240" w:lineRule="auto"/>
              <w:rPr>
                <w:sz w:val="20"/>
                <w:lang w:eastAsia="fr-FR"/>
              </w:rPr>
            </w:pPr>
            <w:r w:rsidRPr="00B434A6">
              <w:rPr>
                <w:sz w:val="20"/>
                <w:lang w:eastAsia="fr-FR"/>
              </w:rPr>
              <w:t>: Personne Affectée par le Projet</w:t>
            </w:r>
          </w:p>
        </w:tc>
      </w:tr>
      <w:tr w:rsidR="00D4541C" w:rsidRPr="00D4541C" w14:paraId="22D736F2" w14:textId="77777777" w:rsidTr="00D4541C">
        <w:trPr>
          <w:trHeight w:val="300"/>
        </w:trPr>
        <w:tc>
          <w:tcPr>
            <w:tcW w:w="808" w:type="pct"/>
            <w:tcBorders>
              <w:top w:val="nil"/>
              <w:left w:val="nil"/>
              <w:bottom w:val="nil"/>
              <w:right w:val="nil"/>
            </w:tcBorders>
            <w:shd w:val="clear" w:color="auto" w:fill="auto"/>
            <w:noWrap/>
            <w:vAlign w:val="center"/>
            <w:hideMark/>
          </w:tcPr>
          <w:p w14:paraId="3C7BBF2A" w14:textId="77777777" w:rsidR="00D4541C" w:rsidRPr="00B434A6" w:rsidRDefault="00D4541C" w:rsidP="005D11CF">
            <w:pPr>
              <w:spacing w:after="0" w:line="240" w:lineRule="auto"/>
              <w:rPr>
                <w:sz w:val="20"/>
                <w:lang w:eastAsia="fr-FR"/>
              </w:rPr>
            </w:pPr>
            <w:r w:rsidRPr="00B434A6">
              <w:rPr>
                <w:sz w:val="20"/>
                <w:lang w:eastAsia="fr-FR"/>
              </w:rPr>
              <w:t>PCB</w:t>
            </w:r>
          </w:p>
        </w:tc>
        <w:tc>
          <w:tcPr>
            <w:tcW w:w="4192" w:type="pct"/>
            <w:tcBorders>
              <w:top w:val="nil"/>
              <w:left w:val="nil"/>
              <w:bottom w:val="nil"/>
              <w:right w:val="nil"/>
            </w:tcBorders>
            <w:shd w:val="clear" w:color="auto" w:fill="auto"/>
            <w:noWrap/>
            <w:vAlign w:val="center"/>
            <w:hideMark/>
          </w:tcPr>
          <w:p w14:paraId="72618925" w14:textId="77777777" w:rsidR="00D4541C" w:rsidRPr="00B434A6" w:rsidRDefault="00D4541C" w:rsidP="005D11CF">
            <w:pPr>
              <w:spacing w:after="0" w:line="240" w:lineRule="auto"/>
              <w:rPr>
                <w:sz w:val="20"/>
                <w:lang w:eastAsia="fr-FR"/>
              </w:rPr>
            </w:pPr>
            <w:r w:rsidRPr="00B434A6">
              <w:rPr>
                <w:sz w:val="20"/>
                <w:lang w:eastAsia="fr-FR"/>
              </w:rPr>
              <w:t xml:space="preserve">: </w:t>
            </w:r>
            <w:r w:rsidR="00D9404C">
              <w:rPr>
                <w:sz w:val="20"/>
                <w:lang w:eastAsia="fr-FR"/>
              </w:rPr>
              <w:t>P</w:t>
            </w:r>
            <w:r w:rsidRPr="00B434A6">
              <w:rPr>
                <w:sz w:val="20"/>
                <w:lang w:eastAsia="fr-FR"/>
              </w:rPr>
              <w:t>olychlorobiphényles</w:t>
            </w:r>
          </w:p>
        </w:tc>
      </w:tr>
      <w:tr w:rsidR="00D4541C" w:rsidRPr="00D4541C" w14:paraId="04224147" w14:textId="77777777" w:rsidTr="00D4541C">
        <w:trPr>
          <w:trHeight w:val="300"/>
        </w:trPr>
        <w:tc>
          <w:tcPr>
            <w:tcW w:w="808" w:type="pct"/>
            <w:tcBorders>
              <w:top w:val="nil"/>
              <w:left w:val="nil"/>
              <w:bottom w:val="nil"/>
              <w:right w:val="nil"/>
            </w:tcBorders>
            <w:shd w:val="clear" w:color="auto" w:fill="auto"/>
            <w:noWrap/>
            <w:vAlign w:val="center"/>
            <w:hideMark/>
          </w:tcPr>
          <w:p w14:paraId="3563A7F9" w14:textId="77777777" w:rsidR="00D4541C" w:rsidRPr="00B434A6" w:rsidRDefault="00D4541C" w:rsidP="005D11CF">
            <w:pPr>
              <w:spacing w:after="0" w:line="240" w:lineRule="auto"/>
              <w:rPr>
                <w:sz w:val="20"/>
                <w:lang w:eastAsia="fr-FR"/>
              </w:rPr>
            </w:pPr>
            <w:r w:rsidRPr="00B434A6">
              <w:rPr>
                <w:sz w:val="20"/>
                <w:lang w:eastAsia="fr-FR"/>
              </w:rPr>
              <w:t>PGEP</w:t>
            </w:r>
          </w:p>
        </w:tc>
        <w:tc>
          <w:tcPr>
            <w:tcW w:w="4192" w:type="pct"/>
            <w:tcBorders>
              <w:top w:val="nil"/>
              <w:left w:val="nil"/>
              <w:bottom w:val="nil"/>
              <w:right w:val="nil"/>
            </w:tcBorders>
            <w:shd w:val="clear" w:color="auto" w:fill="auto"/>
            <w:noWrap/>
            <w:vAlign w:val="center"/>
            <w:hideMark/>
          </w:tcPr>
          <w:p w14:paraId="4B2FCEED" w14:textId="77777777" w:rsidR="00D4541C" w:rsidRPr="00B434A6" w:rsidRDefault="00D4541C" w:rsidP="005D11CF">
            <w:pPr>
              <w:spacing w:after="0" w:line="240" w:lineRule="auto"/>
              <w:rPr>
                <w:sz w:val="20"/>
                <w:lang w:eastAsia="fr-FR"/>
              </w:rPr>
            </w:pPr>
            <w:r w:rsidRPr="00B434A6">
              <w:rPr>
                <w:sz w:val="20"/>
                <w:lang w:eastAsia="fr-FR"/>
              </w:rPr>
              <w:t xml:space="preserve">: Plan de Gestion Environnementale du Projet </w:t>
            </w:r>
          </w:p>
        </w:tc>
      </w:tr>
      <w:tr w:rsidR="00D4541C" w:rsidRPr="00D4541C" w14:paraId="7D4B8360" w14:textId="77777777" w:rsidTr="00D4541C">
        <w:trPr>
          <w:trHeight w:val="300"/>
        </w:trPr>
        <w:tc>
          <w:tcPr>
            <w:tcW w:w="808" w:type="pct"/>
            <w:tcBorders>
              <w:top w:val="nil"/>
              <w:left w:val="nil"/>
              <w:bottom w:val="nil"/>
              <w:right w:val="nil"/>
            </w:tcBorders>
            <w:shd w:val="clear" w:color="auto" w:fill="auto"/>
            <w:noWrap/>
            <w:vAlign w:val="center"/>
            <w:hideMark/>
          </w:tcPr>
          <w:p w14:paraId="312EF8D7" w14:textId="77777777" w:rsidR="00D4541C" w:rsidRPr="00B434A6" w:rsidRDefault="00D4541C" w:rsidP="005D11CF">
            <w:pPr>
              <w:spacing w:after="0" w:line="240" w:lineRule="auto"/>
              <w:rPr>
                <w:sz w:val="20"/>
                <w:lang w:eastAsia="fr-FR"/>
              </w:rPr>
            </w:pPr>
            <w:r w:rsidRPr="00B434A6">
              <w:rPr>
                <w:sz w:val="20"/>
                <w:lang w:eastAsia="fr-FR"/>
              </w:rPr>
              <w:t>PGES</w:t>
            </w:r>
          </w:p>
        </w:tc>
        <w:tc>
          <w:tcPr>
            <w:tcW w:w="4192" w:type="pct"/>
            <w:tcBorders>
              <w:top w:val="nil"/>
              <w:left w:val="nil"/>
              <w:bottom w:val="nil"/>
              <w:right w:val="nil"/>
            </w:tcBorders>
            <w:shd w:val="clear" w:color="auto" w:fill="auto"/>
            <w:noWrap/>
            <w:vAlign w:val="center"/>
            <w:hideMark/>
          </w:tcPr>
          <w:p w14:paraId="720D24D9" w14:textId="77777777" w:rsidR="00D4541C" w:rsidRPr="00B434A6" w:rsidRDefault="00D4541C" w:rsidP="005D11CF">
            <w:pPr>
              <w:spacing w:after="0" w:line="240" w:lineRule="auto"/>
              <w:rPr>
                <w:sz w:val="20"/>
                <w:lang w:eastAsia="fr-FR"/>
              </w:rPr>
            </w:pPr>
            <w:r w:rsidRPr="00B434A6">
              <w:rPr>
                <w:sz w:val="20"/>
                <w:lang w:eastAsia="fr-FR"/>
              </w:rPr>
              <w:t>: Plan de Gestion Environnementale et Sociale</w:t>
            </w:r>
          </w:p>
        </w:tc>
      </w:tr>
      <w:tr w:rsidR="00D4541C" w:rsidRPr="00D4541C" w14:paraId="0A0A69D5" w14:textId="77777777" w:rsidTr="00D4541C">
        <w:trPr>
          <w:trHeight w:val="300"/>
        </w:trPr>
        <w:tc>
          <w:tcPr>
            <w:tcW w:w="808" w:type="pct"/>
            <w:tcBorders>
              <w:top w:val="nil"/>
              <w:left w:val="nil"/>
              <w:bottom w:val="nil"/>
              <w:right w:val="nil"/>
            </w:tcBorders>
            <w:shd w:val="clear" w:color="auto" w:fill="auto"/>
            <w:noWrap/>
            <w:vAlign w:val="center"/>
            <w:hideMark/>
          </w:tcPr>
          <w:p w14:paraId="54FC0577" w14:textId="77777777" w:rsidR="00D4541C" w:rsidRPr="00B434A6" w:rsidRDefault="00D4541C" w:rsidP="005D11CF">
            <w:pPr>
              <w:spacing w:after="0" w:line="240" w:lineRule="auto"/>
              <w:rPr>
                <w:sz w:val="20"/>
                <w:lang w:eastAsia="fr-FR"/>
              </w:rPr>
            </w:pPr>
            <w:r w:rsidRPr="00B434A6">
              <w:rPr>
                <w:sz w:val="20"/>
                <w:lang w:eastAsia="fr-FR"/>
              </w:rPr>
              <w:t>PGMO</w:t>
            </w:r>
          </w:p>
        </w:tc>
        <w:tc>
          <w:tcPr>
            <w:tcW w:w="4192" w:type="pct"/>
            <w:tcBorders>
              <w:top w:val="nil"/>
              <w:left w:val="nil"/>
              <w:bottom w:val="nil"/>
              <w:right w:val="nil"/>
            </w:tcBorders>
            <w:shd w:val="clear" w:color="auto" w:fill="auto"/>
            <w:noWrap/>
            <w:vAlign w:val="center"/>
            <w:hideMark/>
          </w:tcPr>
          <w:p w14:paraId="636A8F5A" w14:textId="77777777" w:rsidR="00D4541C" w:rsidRPr="00B434A6" w:rsidRDefault="00D4541C" w:rsidP="005D11CF">
            <w:pPr>
              <w:spacing w:after="0" w:line="240" w:lineRule="auto"/>
              <w:rPr>
                <w:sz w:val="20"/>
                <w:lang w:eastAsia="fr-FR"/>
              </w:rPr>
            </w:pPr>
            <w:r w:rsidRPr="00B434A6">
              <w:rPr>
                <w:sz w:val="20"/>
                <w:lang w:eastAsia="fr-FR"/>
              </w:rPr>
              <w:t>: Procédures de Gestion de la Main</w:t>
            </w:r>
            <w:r w:rsidR="00883FF0">
              <w:rPr>
                <w:sz w:val="20"/>
                <w:lang w:eastAsia="fr-FR"/>
              </w:rPr>
              <w:t>-</w:t>
            </w:r>
            <w:r w:rsidRPr="00B434A6">
              <w:rPr>
                <w:sz w:val="20"/>
                <w:lang w:eastAsia="fr-FR"/>
              </w:rPr>
              <w:t>d'Œuvre</w:t>
            </w:r>
          </w:p>
        </w:tc>
      </w:tr>
      <w:tr w:rsidR="00D4541C" w:rsidRPr="00D4541C" w14:paraId="2739BAAC" w14:textId="77777777" w:rsidTr="00D4541C">
        <w:trPr>
          <w:trHeight w:val="300"/>
        </w:trPr>
        <w:tc>
          <w:tcPr>
            <w:tcW w:w="808" w:type="pct"/>
            <w:tcBorders>
              <w:top w:val="nil"/>
              <w:left w:val="nil"/>
              <w:bottom w:val="nil"/>
              <w:right w:val="nil"/>
            </w:tcBorders>
            <w:shd w:val="clear" w:color="auto" w:fill="auto"/>
            <w:noWrap/>
            <w:vAlign w:val="center"/>
            <w:hideMark/>
          </w:tcPr>
          <w:p w14:paraId="4C8AC6B4" w14:textId="77777777" w:rsidR="00D4541C" w:rsidRPr="00B434A6" w:rsidRDefault="00D4541C" w:rsidP="005D11CF">
            <w:pPr>
              <w:spacing w:after="0" w:line="240" w:lineRule="auto"/>
              <w:rPr>
                <w:sz w:val="20"/>
                <w:lang w:eastAsia="fr-FR"/>
              </w:rPr>
            </w:pPr>
            <w:r w:rsidRPr="00B434A6">
              <w:rPr>
                <w:sz w:val="20"/>
                <w:lang w:eastAsia="fr-FR"/>
              </w:rPr>
              <w:t>PHSSE</w:t>
            </w:r>
          </w:p>
        </w:tc>
        <w:tc>
          <w:tcPr>
            <w:tcW w:w="4192" w:type="pct"/>
            <w:tcBorders>
              <w:top w:val="nil"/>
              <w:left w:val="nil"/>
              <w:bottom w:val="nil"/>
              <w:right w:val="nil"/>
            </w:tcBorders>
            <w:shd w:val="clear" w:color="auto" w:fill="auto"/>
            <w:noWrap/>
            <w:vAlign w:val="center"/>
            <w:hideMark/>
          </w:tcPr>
          <w:p w14:paraId="02F5B552" w14:textId="77777777" w:rsidR="00D4541C" w:rsidRPr="00B434A6" w:rsidRDefault="00D4541C" w:rsidP="005D11CF">
            <w:pPr>
              <w:spacing w:after="0" w:line="240" w:lineRule="auto"/>
              <w:rPr>
                <w:sz w:val="20"/>
                <w:lang w:eastAsia="fr-FR"/>
              </w:rPr>
            </w:pPr>
            <w:r w:rsidRPr="00B434A6">
              <w:rPr>
                <w:sz w:val="20"/>
                <w:lang w:eastAsia="fr-FR"/>
              </w:rPr>
              <w:t>: Plan d’Hygiène</w:t>
            </w:r>
            <w:r w:rsidR="00883FF0">
              <w:rPr>
                <w:sz w:val="20"/>
                <w:lang w:eastAsia="fr-FR"/>
              </w:rPr>
              <w:t>,</w:t>
            </w:r>
            <w:r w:rsidRPr="00B434A6">
              <w:rPr>
                <w:sz w:val="20"/>
                <w:lang w:eastAsia="fr-FR"/>
              </w:rPr>
              <w:t xml:space="preserve"> Sécurité</w:t>
            </w:r>
            <w:r w:rsidR="00883FF0">
              <w:rPr>
                <w:sz w:val="20"/>
                <w:lang w:eastAsia="fr-FR"/>
              </w:rPr>
              <w:t>,</w:t>
            </w:r>
            <w:r w:rsidRPr="00B434A6">
              <w:rPr>
                <w:sz w:val="20"/>
                <w:lang w:eastAsia="fr-FR"/>
              </w:rPr>
              <w:t xml:space="preserve"> Santé et Environnement</w:t>
            </w:r>
          </w:p>
        </w:tc>
      </w:tr>
      <w:tr w:rsidR="00D4541C" w:rsidRPr="00D4541C" w14:paraId="1E22817F" w14:textId="77777777" w:rsidTr="00D4541C">
        <w:trPr>
          <w:trHeight w:val="300"/>
        </w:trPr>
        <w:tc>
          <w:tcPr>
            <w:tcW w:w="808" w:type="pct"/>
            <w:tcBorders>
              <w:top w:val="nil"/>
              <w:left w:val="nil"/>
              <w:bottom w:val="nil"/>
              <w:right w:val="nil"/>
            </w:tcBorders>
            <w:shd w:val="clear" w:color="auto" w:fill="auto"/>
            <w:noWrap/>
            <w:vAlign w:val="center"/>
            <w:hideMark/>
          </w:tcPr>
          <w:p w14:paraId="6CBB0E95" w14:textId="77777777" w:rsidR="00D4541C" w:rsidRPr="00B434A6" w:rsidRDefault="00D4541C" w:rsidP="005D11CF">
            <w:pPr>
              <w:spacing w:after="0" w:line="240" w:lineRule="auto"/>
              <w:rPr>
                <w:sz w:val="20"/>
                <w:lang w:eastAsia="fr-FR"/>
              </w:rPr>
            </w:pPr>
            <w:r w:rsidRPr="00B434A6">
              <w:rPr>
                <w:sz w:val="20"/>
                <w:lang w:eastAsia="fr-FR"/>
              </w:rPr>
              <w:t>PIU</w:t>
            </w:r>
          </w:p>
        </w:tc>
        <w:tc>
          <w:tcPr>
            <w:tcW w:w="4192" w:type="pct"/>
            <w:tcBorders>
              <w:top w:val="nil"/>
              <w:left w:val="nil"/>
              <w:bottom w:val="nil"/>
              <w:right w:val="nil"/>
            </w:tcBorders>
            <w:shd w:val="clear" w:color="auto" w:fill="auto"/>
            <w:noWrap/>
            <w:vAlign w:val="center"/>
            <w:hideMark/>
          </w:tcPr>
          <w:p w14:paraId="5F2B6084" w14:textId="77777777" w:rsidR="00D4541C" w:rsidRPr="00B434A6" w:rsidRDefault="00D4541C" w:rsidP="005D11CF">
            <w:pPr>
              <w:spacing w:after="0" w:line="240" w:lineRule="auto"/>
              <w:rPr>
                <w:sz w:val="20"/>
                <w:lang w:eastAsia="fr-FR"/>
              </w:rPr>
            </w:pPr>
            <w:r w:rsidRPr="00B434A6">
              <w:rPr>
                <w:sz w:val="20"/>
                <w:lang w:eastAsia="fr-FR"/>
              </w:rPr>
              <w:t>: Plan d'Intervention d'Urgence</w:t>
            </w:r>
          </w:p>
        </w:tc>
      </w:tr>
      <w:tr w:rsidR="00D4541C" w:rsidRPr="00D4541C" w14:paraId="53601BC1" w14:textId="77777777" w:rsidTr="00D4541C">
        <w:trPr>
          <w:trHeight w:val="300"/>
        </w:trPr>
        <w:tc>
          <w:tcPr>
            <w:tcW w:w="808" w:type="pct"/>
            <w:tcBorders>
              <w:top w:val="nil"/>
              <w:left w:val="nil"/>
              <w:bottom w:val="nil"/>
              <w:right w:val="nil"/>
            </w:tcBorders>
            <w:shd w:val="clear" w:color="auto" w:fill="auto"/>
            <w:noWrap/>
            <w:vAlign w:val="bottom"/>
            <w:hideMark/>
          </w:tcPr>
          <w:p w14:paraId="2CCE9AF0" w14:textId="77777777" w:rsidR="00D4541C" w:rsidRPr="00B434A6" w:rsidRDefault="00D4541C" w:rsidP="005D11CF">
            <w:pPr>
              <w:spacing w:after="0" w:line="240" w:lineRule="auto"/>
              <w:rPr>
                <w:sz w:val="20"/>
                <w:lang w:eastAsia="fr-FR"/>
              </w:rPr>
            </w:pPr>
            <w:r w:rsidRPr="00B434A6">
              <w:rPr>
                <w:sz w:val="20"/>
                <w:lang w:eastAsia="fr-FR"/>
              </w:rPr>
              <w:t>PMDU</w:t>
            </w:r>
          </w:p>
        </w:tc>
        <w:tc>
          <w:tcPr>
            <w:tcW w:w="4192" w:type="pct"/>
            <w:tcBorders>
              <w:top w:val="nil"/>
              <w:left w:val="nil"/>
              <w:bottom w:val="nil"/>
              <w:right w:val="nil"/>
            </w:tcBorders>
            <w:shd w:val="clear" w:color="auto" w:fill="auto"/>
            <w:noWrap/>
            <w:vAlign w:val="center"/>
            <w:hideMark/>
          </w:tcPr>
          <w:p w14:paraId="0D1AACB4" w14:textId="77777777" w:rsidR="00D4541C" w:rsidRPr="00B434A6" w:rsidRDefault="00D4541C" w:rsidP="005D11CF">
            <w:pPr>
              <w:spacing w:after="0" w:line="240" w:lineRule="auto"/>
              <w:rPr>
                <w:sz w:val="20"/>
                <w:lang w:eastAsia="fr-FR"/>
              </w:rPr>
            </w:pPr>
            <w:r w:rsidRPr="00B434A6">
              <w:rPr>
                <w:sz w:val="20"/>
                <w:lang w:eastAsia="fr-FR"/>
              </w:rPr>
              <w:t>: Plan Multisectoriel d’Urgence</w:t>
            </w:r>
          </w:p>
        </w:tc>
      </w:tr>
      <w:tr w:rsidR="00D4541C" w:rsidRPr="00D4541C" w14:paraId="6CCAA473" w14:textId="77777777" w:rsidTr="00D4541C">
        <w:trPr>
          <w:trHeight w:val="300"/>
        </w:trPr>
        <w:tc>
          <w:tcPr>
            <w:tcW w:w="808" w:type="pct"/>
            <w:tcBorders>
              <w:top w:val="nil"/>
              <w:left w:val="nil"/>
              <w:bottom w:val="nil"/>
              <w:right w:val="nil"/>
            </w:tcBorders>
            <w:shd w:val="clear" w:color="auto" w:fill="auto"/>
            <w:noWrap/>
            <w:vAlign w:val="center"/>
            <w:hideMark/>
          </w:tcPr>
          <w:p w14:paraId="291594F4" w14:textId="77777777" w:rsidR="00D4541C" w:rsidRPr="00B434A6" w:rsidRDefault="00D4541C" w:rsidP="005D11CF">
            <w:pPr>
              <w:spacing w:after="0" w:line="240" w:lineRule="auto"/>
              <w:rPr>
                <w:sz w:val="20"/>
                <w:lang w:eastAsia="fr-FR"/>
              </w:rPr>
            </w:pPr>
            <w:r w:rsidRPr="00B434A6">
              <w:rPr>
                <w:sz w:val="20"/>
                <w:lang w:eastAsia="fr-FR"/>
              </w:rPr>
              <w:t>PME</w:t>
            </w:r>
          </w:p>
        </w:tc>
        <w:tc>
          <w:tcPr>
            <w:tcW w:w="4192" w:type="pct"/>
            <w:tcBorders>
              <w:top w:val="nil"/>
              <w:left w:val="nil"/>
              <w:bottom w:val="nil"/>
              <w:right w:val="nil"/>
            </w:tcBorders>
            <w:shd w:val="clear" w:color="auto" w:fill="auto"/>
            <w:noWrap/>
            <w:vAlign w:val="center"/>
            <w:hideMark/>
          </w:tcPr>
          <w:p w14:paraId="3C002650" w14:textId="77777777" w:rsidR="00D4541C" w:rsidRPr="00B434A6" w:rsidRDefault="00D4541C" w:rsidP="005D11CF">
            <w:pPr>
              <w:spacing w:after="0" w:line="240" w:lineRule="auto"/>
              <w:rPr>
                <w:sz w:val="20"/>
                <w:lang w:eastAsia="fr-FR"/>
              </w:rPr>
            </w:pPr>
            <w:r w:rsidRPr="00B434A6">
              <w:rPr>
                <w:sz w:val="20"/>
                <w:lang w:eastAsia="fr-FR"/>
              </w:rPr>
              <w:t>: Petites et Moyennes Entreprises</w:t>
            </w:r>
          </w:p>
        </w:tc>
      </w:tr>
      <w:tr w:rsidR="00D4541C" w:rsidRPr="00D4541C" w14:paraId="71920AE4" w14:textId="77777777" w:rsidTr="00D4541C">
        <w:trPr>
          <w:trHeight w:val="300"/>
        </w:trPr>
        <w:tc>
          <w:tcPr>
            <w:tcW w:w="808" w:type="pct"/>
            <w:tcBorders>
              <w:top w:val="nil"/>
              <w:left w:val="nil"/>
              <w:bottom w:val="nil"/>
              <w:right w:val="nil"/>
            </w:tcBorders>
            <w:shd w:val="clear" w:color="auto" w:fill="auto"/>
            <w:noWrap/>
            <w:vAlign w:val="center"/>
            <w:hideMark/>
          </w:tcPr>
          <w:p w14:paraId="3513C45E" w14:textId="77777777" w:rsidR="00D4541C" w:rsidRPr="00B434A6" w:rsidRDefault="00D4541C" w:rsidP="005D11CF">
            <w:pPr>
              <w:spacing w:after="0" w:line="240" w:lineRule="auto"/>
              <w:rPr>
                <w:sz w:val="20"/>
                <w:lang w:eastAsia="fr-FR"/>
              </w:rPr>
            </w:pPr>
            <w:r w:rsidRPr="00B434A6">
              <w:rPr>
                <w:sz w:val="20"/>
                <w:lang w:eastAsia="fr-FR"/>
              </w:rPr>
              <w:t>PMPP</w:t>
            </w:r>
          </w:p>
        </w:tc>
        <w:tc>
          <w:tcPr>
            <w:tcW w:w="4192" w:type="pct"/>
            <w:tcBorders>
              <w:top w:val="nil"/>
              <w:left w:val="nil"/>
              <w:bottom w:val="nil"/>
              <w:right w:val="nil"/>
            </w:tcBorders>
            <w:shd w:val="clear" w:color="auto" w:fill="auto"/>
            <w:noWrap/>
            <w:vAlign w:val="center"/>
            <w:hideMark/>
          </w:tcPr>
          <w:p w14:paraId="526115E6" w14:textId="77777777" w:rsidR="00D4541C" w:rsidRPr="00B434A6" w:rsidRDefault="00D4541C" w:rsidP="005D11CF">
            <w:pPr>
              <w:spacing w:after="0" w:line="240" w:lineRule="auto"/>
              <w:rPr>
                <w:sz w:val="20"/>
                <w:lang w:eastAsia="fr-FR"/>
              </w:rPr>
            </w:pPr>
            <w:r w:rsidRPr="00B434A6">
              <w:rPr>
                <w:sz w:val="20"/>
                <w:lang w:eastAsia="fr-FR"/>
              </w:rPr>
              <w:t>: Plan de Mobilisation des Parties Prenantes</w:t>
            </w:r>
          </w:p>
        </w:tc>
      </w:tr>
      <w:tr w:rsidR="00D4541C" w:rsidRPr="00D4541C" w14:paraId="4F2231BF" w14:textId="77777777" w:rsidTr="00D4541C">
        <w:trPr>
          <w:trHeight w:val="300"/>
        </w:trPr>
        <w:tc>
          <w:tcPr>
            <w:tcW w:w="808" w:type="pct"/>
            <w:tcBorders>
              <w:top w:val="nil"/>
              <w:left w:val="nil"/>
              <w:bottom w:val="nil"/>
              <w:right w:val="nil"/>
            </w:tcBorders>
            <w:shd w:val="clear" w:color="auto" w:fill="auto"/>
            <w:noWrap/>
            <w:vAlign w:val="center"/>
            <w:hideMark/>
          </w:tcPr>
          <w:p w14:paraId="0AB8D414" w14:textId="77777777" w:rsidR="00D4541C" w:rsidRPr="00B434A6" w:rsidRDefault="00D4541C" w:rsidP="005D11CF">
            <w:pPr>
              <w:spacing w:after="0" w:line="240" w:lineRule="auto"/>
              <w:rPr>
                <w:sz w:val="20"/>
                <w:lang w:eastAsia="fr-FR"/>
              </w:rPr>
            </w:pPr>
            <w:r w:rsidRPr="00B434A6">
              <w:rPr>
                <w:sz w:val="20"/>
                <w:lang w:eastAsia="fr-FR"/>
              </w:rPr>
              <w:t>PNAT</w:t>
            </w:r>
          </w:p>
        </w:tc>
        <w:tc>
          <w:tcPr>
            <w:tcW w:w="4192" w:type="pct"/>
            <w:tcBorders>
              <w:top w:val="nil"/>
              <w:left w:val="nil"/>
              <w:bottom w:val="nil"/>
              <w:right w:val="nil"/>
            </w:tcBorders>
            <w:shd w:val="clear" w:color="auto" w:fill="auto"/>
            <w:noWrap/>
            <w:vAlign w:val="center"/>
            <w:hideMark/>
          </w:tcPr>
          <w:p w14:paraId="6FACB17E" w14:textId="77777777" w:rsidR="00D4541C" w:rsidRPr="00B434A6" w:rsidRDefault="00D4541C" w:rsidP="005D11CF">
            <w:pPr>
              <w:spacing w:after="0" w:line="240" w:lineRule="auto"/>
              <w:rPr>
                <w:sz w:val="20"/>
                <w:lang w:eastAsia="fr-FR"/>
              </w:rPr>
            </w:pPr>
            <w:r w:rsidRPr="00B434A6">
              <w:rPr>
                <w:sz w:val="20"/>
                <w:lang w:eastAsia="fr-FR"/>
              </w:rPr>
              <w:t xml:space="preserve">: Politique Nationale de l’Aménagement du Territoire </w:t>
            </w:r>
          </w:p>
        </w:tc>
      </w:tr>
      <w:tr w:rsidR="00D4541C" w:rsidRPr="00D4541C" w14:paraId="00A10E24" w14:textId="77777777" w:rsidTr="00D4541C">
        <w:trPr>
          <w:trHeight w:val="300"/>
        </w:trPr>
        <w:tc>
          <w:tcPr>
            <w:tcW w:w="808" w:type="pct"/>
            <w:tcBorders>
              <w:top w:val="nil"/>
              <w:left w:val="nil"/>
              <w:bottom w:val="nil"/>
              <w:right w:val="nil"/>
            </w:tcBorders>
            <w:shd w:val="clear" w:color="auto" w:fill="auto"/>
            <w:noWrap/>
            <w:vAlign w:val="center"/>
            <w:hideMark/>
          </w:tcPr>
          <w:p w14:paraId="6DDB59B4" w14:textId="77777777" w:rsidR="00D4541C" w:rsidRPr="00B434A6" w:rsidRDefault="00D4541C" w:rsidP="005D11CF">
            <w:pPr>
              <w:spacing w:after="0" w:line="240" w:lineRule="auto"/>
              <w:rPr>
                <w:sz w:val="20"/>
                <w:lang w:eastAsia="fr-FR"/>
              </w:rPr>
            </w:pPr>
            <w:r w:rsidRPr="00B434A6">
              <w:rPr>
                <w:sz w:val="20"/>
                <w:lang w:eastAsia="fr-FR"/>
              </w:rPr>
              <w:t>PNDU</w:t>
            </w:r>
          </w:p>
        </w:tc>
        <w:tc>
          <w:tcPr>
            <w:tcW w:w="4192" w:type="pct"/>
            <w:tcBorders>
              <w:top w:val="nil"/>
              <w:left w:val="nil"/>
              <w:bottom w:val="nil"/>
              <w:right w:val="nil"/>
            </w:tcBorders>
            <w:shd w:val="clear" w:color="auto" w:fill="auto"/>
            <w:noWrap/>
            <w:vAlign w:val="center"/>
            <w:hideMark/>
          </w:tcPr>
          <w:p w14:paraId="130D4F1F" w14:textId="77777777" w:rsidR="00D4541C" w:rsidRPr="00B434A6" w:rsidRDefault="00D4541C" w:rsidP="005D11CF">
            <w:pPr>
              <w:spacing w:after="0" w:line="240" w:lineRule="auto"/>
              <w:rPr>
                <w:sz w:val="20"/>
                <w:lang w:eastAsia="fr-FR"/>
              </w:rPr>
            </w:pPr>
            <w:r w:rsidRPr="00B434A6">
              <w:rPr>
                <w:sz w:val="20"/>
                <w:lang w:eastAsia="fr-FR"/>
              </w:rPr>
              <w:t xml:space="preserve">: Politique </w:t>
            </w:r>
            <w:r w:rsidR="00D9404C">
              <w:rPr>
                <w:sz w:val="20"/>
                <w:lang w:eastAsia="fr-FR"/>
              </w:rPr>
              <w:t>N</w:t>
            </w:r>
            <w:r w:rsidRPr="00B434A6">
              <w:rPr>
                <w:sz w:val="20"/>
                <w:lang w:eastAsia="fr-FR"/>
              </w:rPr>
              <w:t xml:space="preserve">ationale de </w:t>
            </w:r>
            <w:r w:rsidR="00D9404C">
              <w:rPr>
                <w:sz w:val="20"/>
                <w:lang w:eastAsia="fr-FR"/>
              </w:rPr>
              <w:t>D</w:t>
            </w:r>
            <w:r w:rsidRPr="00B434A6">
              <w:rPr>
                <w:sz w:val="20"/>
                <w:lang w:eastAsia="fr-FR"/>
              </w:rPr>
              <w:t xml:space="preserve">éveloppement </w:t>
            </w:r>
            <w:r w:rsidR="00D9404C">
              <w:rPr>
                <w:sz w:val="20"/>
                <w:lang w:eastAsia="fr-FR"/>
              </w:rPr>
              <w:t>U</w:t>
            </w:r>
            <w:r w:rsidRPr="00B434A6">
              <w:rPr>
                <w:sz w:val="20"/>
                <w:lang w:eastAsia="fr-FR"/>
              </w:rPr>
              <w:t>rbain</w:t>
            </w:r>
          </w:p>
        </w:tc>
      </w:tr>
      <w:tr w:rsidR="00D4541C" w:rsidRPr="00D4541C" w14:paraId="1CCF303F" w14:textId="77777777" w:rsidTr="00D4541C">
        <w:trPr>
          <w:trHeight w:val="300"/>
        </w:trPr>
        <w:tc>
          <w:tcPr>
            <w:tcW w:w="808" w:type="pct"/>
            <w:tcBorders>
              <w:top w:val="nil"/>
              <w:left w:val="nil"/>
              <w:bottom w:val="nil"/>
              <w:right w:val="nil"/>
            </w:tcBorders>
            <w:shd w:val="clear" w:color="auto" w:fill="auto"/>
            <w:noWrap/>
            <w:vAlign w:val="center"/>
            <w:hideMark/>
          </w:tcPr>
          <w:p w14:paraId="3DA81F32" w14:textId="77777777" w:rsidR="00D4541C" w:rsidRPr="00B434A6" w:rsidRDefault="00D4541C" w:rsidP="005D11CF">
            <w:pPr>
              <w:spacing w:after="0" w:line="240" w:lineRule="auto"/>
              <w:rPr>
                <w:sz w:val="20"/>
                <w:lang w:eastAsia="fr-FR"/>
              </w:rPr>
            </w:pPr>
            <w:r w:rsidRPr="00B434A6">
              <w:rPr>
                <w:sz w:val="20"/>
                <w:lang w:eastAsia="fr-FR"/>
              </w:rPr>
              <w:t>PNPF</w:t>
            </w:r>
          </w:p>
        </w:tc>
        <w:tc>
          <w:tcPr>
            <w:tcW w:w="4192" w:type="pct"/>
            <w:tcBorders>
              <w:top w:val="nil"/>
              <w:left w:val="nil"/>
              <w:bottom w:val="nil"/>
              <w:right w:val="nil"/>
            </w:tcBorders>
            <w:shd w:val="clear" w:color="auto" w:fill="auto"/>
            <w:noWrap/>
            <w:vAlign w:val="center"/>
            <w:hideMark/>
          </w:tcPr>
          <w:p w14:paraId="75C189C5" w14:textId="77777777" w:rsidR="00D4541C" w:rsidRPr="00B434A6" w:rsidRDefault="00D4541C" w:rsidP="005D11CF">
            <w:pPr>
              <w:spacing w:after="0" w:line="240" w:lineRule="auto"/>
              <w:rPr>
                <w:sz w:val="20"/>
                <w:lang w:eastAsia="fr-FR"/>
              </w:rPr>
            </w:pPr>
            <w:r w:rsidRPr="00B434A6">
              <w:rPr>
                <w:sz w:val="20"/>
                <w:lang w:eastAsia="fr-FR"/>
              </w:rPr>
              <w:t xml:space="preserve">: Politique Nationale pour la Promotion de la Femme </w:t>
            </w:r>
          </w:p>
        </w:tc>
      </w:tr>
      <w:tr w:rsidR="00D4541C" w:rsidRPr="00D4541C" w14:paraId="13C21B90" w14:textId="77777777" w:rsidTr="00D4541C">
        <w:trPr>
          <w:trHeight w:val="300"/>
        </w:trPr>
        <w:tc>
          <w:tcPr>
            <w:tcW w:w="808" w:type="pct"/>
            <w:tcBorders>
              <w:top w:val="nil"/>
              <w:left w:val="nil"/>
              <w:bottom w:val="nil"/>
              <w:right w:val="nil"/>
            </w:tcBorders>
            <w:shd w:val="clear" w:color="auto" w:fill="auto"/>
            <w:noWrap/>
            <w:vAlign w:val="bottom"/>
            <w:hideMark/>
          </w:tcPr>
          <w:p w14:paraId="537AA718" w14:textId="77777777" w:rsidR="00D4541C" w:rsidRPr="00B434A6" w:rsidRDefault="00D4541C" w:rsidP="005D11CF">
            <w:pPr>
              <w:spacing w:after="0" w:line="240" w:lineRule="auto"/>
              <w:rPr>
                <w:sz w:val="20"/>
                <w:lang w:eastAsia="fr-FR"/>
              </w:rPr>
            </w:pPr>
            <w:r w:rsidRPr="00B434A6">
              <w:rPr>
                <w:sz w:val="20"/>
                <w:lang w:eastAsia="fr-FR"/>
              </w:rPr>
              <w:t>POPS</w:t>
            </w:r>
          </w:p>
        </w:tc>
        <w:tc>
          <w:tcPr>
            <w:tcW w:w="4192" w:type="pct"/>
            <w:tcBorders>
              <w:top w:val="nil"/>
              <w:left w:val="nil"/>
              <w:bottom w:val="nil"/>
              <w:right w:val="nil"/>
            </w:tcBorders>
            <w:shd w:val="clear" w:color="auto" w:fill="auto"/>
            <w:noWrap/>
            <w:vAlign w:val="center"/>
            <w:hideMark/>
          </w:tcPr>
          <w:p w14:paraId="23692521" w14:textId="77777777" w:rsidR="00D4541C" w:rsidRPr="00B434A6" w:rsidRDefault="00D4541C" w:rsidP="005D11CF">
            <w:pPr>
              <w:spacing w:after="0" w:line="240" w:lineRule="auto"/>
              <w:rPr>
                <w:sz w:val="20"/>
                <w:lang w:eastAsia="fr-FR"/>
              </w:rPr>
            </w:pPr>
            <w:r w:rsidRPr="00B434A6">
              <w:rPr>
                <w:sz w:val="20"/>
                <w:lang w:eastAsia="fr-FR"/>
              </w:rPr>
              <w:t>: Polluant Organique Persistant</w:t>
            </w:r>
          </w:p>
        </w:tc>
      </w:tr>
      <w:tr w:rsidR="00D4541C" w:rsidRPr="00D4541C" w14:paraId="52DEF1B6" w14:textId="77777777" w:rsidTr="00D4541C">
        <w:trPr>
          <w:trHeight w:val="300"/>
        </w:trPr>
        <w:tc>
          <w:tcPr>
            <w:tcW w:w="808" w:type="pct"/>
            <w:tcBorders>
              <w:top w:val="nil"/>
              <w:left w:val="nil"/>
              <w:bottom w:val="nil"/>
              <w:right w:val="nil"/>
            </w:tcBorders>
            <w:shd w:val="clear" w:color="auto" w:fill="auto"/>
            <w:noWrap/>
            <w:vAlign w:val="center"/>
            <w:hideMark/>
          </w:tcPr>
          <w:p w14:paraId="18A81C1C" w14:textId="77777777" w:rsidR="00D4541C" w:rsidRPr="00B434A6" w:rsidRDefault="00D4541C" w:rsidP="005D11CF">
            <w:pPr>
              <w:spacing w:after="0" w:line="240" w:lineRule="auto"/>
              <w:rPr>
                <w:sz w:val="20"/>
                <w:lang w:eastAsia="fr-FR"/>
              </w:rPr>
            </w:pPr>
            <w:r w:rsidRPr="00B434A6">
              <w:rPr>
                <w:sz w:val="20"/>
                <w:lang w:eastAsia="fr-FR"/>
              </w:rPr>
              <w:t>PREE</w:t>
            </w:r>
          </w:p>
        </w:tc>
        <w:tc>
          <w:tcPr>
            <w:tcW w:w="4192" w:type="pct"/>
            <w:tcBorders>
              <w:top w:val="nil"/>
              <w:left w:val="nil"/>
              <w:bottom w:val="nil"/>
              <w:right w:val="nil"/>
            </w:tcBorders>
            <w:shd w:val="clear" w:color="auto" w:fill="auto"/>
            <w:noWrap/>
            <w:vAlign w:val="center"/>
            <w:hideMark/>
          </w:tcPr>
          <w:p w14:paraId="044B2BE0" w14:textId="77777777" w:rsidR="00D4541C" w:rsidRPr="00B434A6" w:rsidRDefault="00D4541C" w:rsidP="005D11CF">
            <w:pPr>
              <w:spacing w:after="0" w:line="240" w:lineRule="auto"/>
              <w:rPr>
                <w:sz w:val="20"/>
                <w:lang w:eastAsia="fr-FR"/>
              </w:rPr>
            </w:pPr>
            <w:r w:rsidRPr="00B434A6">
              <w:rPr>
                <w:sz w:val="20"/>
                <w:lang w:eastAsia="fr-FR"/>
              </w:rPr>
              <w:t>: PRogramme d’Engagement Environnemental</w:t>
            </w:r>
          </w:p>
        </w:tc>
      </w:tr>
      <w:tr w:rsidR="00D4541C" w:rsidRPr="00D4541C" w14:paraId="7D5DF45E" w14:textId="77777777" w:rsidTr="00D4541C">
        <w:trPr>
          <w:trHeight w:val="300"/>
        </w:trPr>
        <w:tc>
          <w:tcPr>
            <w:tcW w:w="808" w:type="pct"/>
            <w:tcBorders>
              <w:top w:val="nil"/>
              <w:left w:val="nil"/>
              <w:bottom w:val="nil"/>
              <w:right w:val="nil"/>
            </w:tcBorders>
            <w:shd w:val="clear" w:color="auto" w:fill="auto"/>
            <w:noWrap/>
            <w:vAlign w:val="bottom"/>
            <w:hideMark/>
          </w:tcPr>
          <w:p w14:paraId="4DEBBBF1" w14:textId="77777777" w:rsidR="00D4541C" w:rsidRPr="00B434A6" w:rsidRDefault="00D4541C" w:rsidP="005D11CF">
            <w:pPr>
              <w:spacing w:after="0" w:line="240" w:lineRule="auto"/>
              <w:rPr>
                <w:sz w:val="20"/>
                <w:lang w:eastAsia="fr-FR"/>
              </w:rPr>
            </w:pPr>
            <w:r w:rsidRPr="00B434A6">
              <w:rPr>
                <w:sz w:val="20"/>
                <w:lang w:eastAsia="fr-FR"/>
              </w:rPr>
              <w:t>PTBA</w:t>
            </w:r>
          </w:p>
        </w:tc>
        <w:tc>
          <w:tcPr>
            <w:tcW w:w="4192" w:type="pct"/>
            <w:tcBorders>
              <w:top w:val="nil"/>
              <w:left w:val="nil"/>
              <w:bottom w:val="nil"/>
              <w:right w:val="nil"/>
            </w:tcBorders>
            <w:shd w:val="clear" w:color="auto" w:fill="auto"/>
            <w:noWrap/>
            <w:vAlign w:val="center"/>
            <w:hideMark/>
          </w:tcPr>
          <w:p w14:paraId="6795EACF" w14:textId="77777777" w:rsidR="00D4541C" w:rsidRPr="00B434A6" w:rsidRDefault="00D4541C" w:rsidP="005D11CF">
            <w:pPr>
              <w:spacing w:after="0" w:line="240" w:lineRule="auto"/>
              <w:rPr>
                <w:sz w:val="20"/>
                <w:lang w:eastAsia="fr-FR"/>
              </w:rPr>
            </w:pPr>
            <w:r w:rsidRPr="00B434A6">
              <w:rPr>
                <w:sz w:val="20"/>
                <w:lang w:eastAsia="fr-FR"/>
              </w:rPr>
              <w:t>: Plan de Travail et Budget Annuel</w:t>
            </w:r>
          </w:p>
        </w:tc>
      </w:tr>
      <w:tr w:rsidR="000A5DA6" w:rsidRPr="00D4541C" w14:paraId="66F9451B" w14:textId="77777777" w:rsidTr="00D4541C">
        <w:trPr>
          <w:trHeight w:val="300"/>
        </w:trPr>
        <w:tc>
          <w:tcPr>
            <w:tcW w:w="808" w:type="pct"/>
            <w:tcBorders>
              <w:top w:val="nil"/>
              <w:left w:val="nil"/>
              <w:bottom w:val="nil"/>
              <w:right w:val="nil"/>
            </w:tcBorders>
            <w:shd w:val="clear" w:color="auto" w:fill="auto"/>
            <w:noWrap/>
            <w:vAlign w:val="bottom"/>
          </w:tcPr>
          <w:p w14:paraId="1874ACF1" w14:textId="77777777" w:rsidR="000A5DA6" w:rsidRPr="00B434A6" w:rsidRDefault="000A5DA6" w:rsidP="000A5DA6">
            <w:pPr>
              <w:spacing w:after="0" w:line="240" w:lineRule="auto"/>
              <w:rPr>
                <w:sz w:val="20"/>
                <w:lang w:eastAsia="fr-FR"/>
              </w:rPr>
            </w:pPr>
            <w:r>
              <w:rPr>
                <w:sz w:val="20"/>
                <w:lang w:eastAsia="fr-FR"/>
              </w:rPr>
              <w:t>RGPH</w:t>
            </w:r>
          </w:p>
        </w:tc>
        <w:tc>
          <w:tcPr>
            <w:tcW w:w="4192" w:type="pct"/>
            <w:tcBorders>
              <w:top w:val="nil"/>
              <w:left w:val="nil"/>
              <w:bottom w:val="nil"/>
              <w:right w:val="nil"/>
            </w:tcBorders>
            <w:shd w:val="clear" w:color="auto" w:fill="auto"/>
            <w:noWrap/>
            <w:vAlign w:val="center"/>
          </w:tcPr>
          <w:p w14:paraId="4F1B5784" w14:textId="77777777" w:rsidR="000A5DA6" w:rsidRPr="00B434A6" w:rsidRDefault="000A5DA6" w:rsidP="000A5DA6">
            <w:pPr>
              <w:spacing w:after="0" w:line="240" w:lineRule="auto"/>
              <w:rPr>
                <w:sz w:val="20"/>
                <w:lang w:eastAsia="fr-FR"/>
              </w:rPr>
            </w:pPr>
            <w:r>
              <w:rPr>
                <w:sz w:val="20"/>
                <w:lang w:eastAsia="fr-FR"/>
              </w:rPr>
              <w:t xml:space="preserve">: </w:t>
            </w:r>
            <w:r w:rsidRPr="008B041F">
              <w:rPr>
                <w:sz w:val="20"/>
                <w:lang w:eastAsia="fr-FR"/>
              </w:rPr>
              <w:t>Recensement Général de la Population et de l'Habitat</w:t>
            </w:r>
          </w:p>
        </w:tc>
      </w:tr>
      <w:tr w:rsidR="000A5DA6" w:rsidRPr="00D4541C" w14:paraId="1DF1CA13" w14:textId="77777777" w:rsidTr="00D4541C">
        <w:trPr>
          <w:trHeight w:val="300"/>
        </w:trPr>
        <w:tc>
          <w:tcPr>
            <w:tcW w:w="808" w:type="pct"/>
            <w:tcBorders>
              <w:top w:val="nil"/>
              <w:left w:val="nil"/>
              <w:bottom w:val="nil"/>
              <w:right w:val="nil"/>
            </w:tcBorders>
            <w:shd w:val="clear" w:color="auto" w:fill="auto"/>
            <w:noWrap/>
            <w:vAlign w:val="center"/>
            <w:hideMark/>
          </w:tcPr>
          <w:p w14:paraId="03DD1B11" w14:textId="77777777" w:rsidR="000A5DA6" w:rsidRPr="00B434A6" w:rsidRDefault="000A5DA6" w:rsidP="000A5DA6">
            <w:pPr>
              <w:spacing w:after="0" w:line="240" w:lineRule="auto"/>
              <w:rPr>
                <w:sz w:val="20"/>
                <w:lang w:eastAsia="fr-FR"/>
              </w:rPr>
            </w:pPr>
            <w:r w:rsidRPr="00B434A6">
              <w:rPr>
                <w:sz w:val="20"/>
                <w:lang w:eastAsia="fr-FR"/>
              </w:rPr>
              <w:t>SGES</w:t>
            </w:r>
          </w:p>
        </w:tc>
        <w:tc>
          <w:tcPr>
            <w:tcW w:w="4192" w:type="pct"/>
            <w:tcBorders>
              <w:top w:val="nil"/>
              <w:left w:val="nil"/>
              <w:bottom w:val="nil"/>
              <w:right w:val="nil"/>
            </w:tcBorders>
            <w:shd w:val="clear" w:color="auto" w:fill="auto"/>
            <w:noWrap/>
            <w:vAlign w:val="center"/>
            <w:hideMark/>
          </w:tcPr>
          <w:p w14:paraId="54641120" w14:textId="77777777" w:rsidR="000A5DA6" w:rsidRPr="00B434A6" w:rsidRDefault="000A5DA6" w:rsidP="000A5DA6">
            <w:pPr>
              <w:spacing w:after="0" w:line="240" w:lineRule="auto"/>
              <w:rPr>
                <w:sz w:val="20"/>
                <w:lang w:eastAsia="fr-FR"/>
              </w:rPr>
            </w:pPr>
            <w:r w:rsidRPr="00B434A6">
              <w:rPr>
                <w:sz w:val="20"/>
                <w:lang w:eastAsia="fr-FR"/>
              </w:rPr>
              <w:t>: Système de Gestion Environnementale et Sociale</w:t>
            </w:r>
          </w:p>
        </w:tc>
      </w:tr>
      <w:tr w:rsidR="000A5DA6" w:rsidRPr="00D4541C" w14:paraId="73053936" w14:textId="77777777" w:rsidTr="00D4541C">
        <w:trPr>
          <w:trHeight w:val="300"/>
        </w:trPr>
        <w:tc>
          <w:tcPr>
            <w:tcW w:w="808" w:type="pct"/>
            <w:tcBorders>
              <w:top w:val="nil"/>
              <w:left w:val="nil"/>
              <w:bottom w:val="nil"/>
              <w:right w:val="nil"/>
            </w:tcBorders>
            <w:shd w:val="clear" w:color="auto" w:fill="auto"/>
            <w:noWrap/>
            <w:vAlign w:val="center"/>
            <w:hideMark/>
          </w:tcPr>
          <w:p w14:paraId="5FE1FF63" w14:textId="77777777" w:rsidR="000A5DA6" w:rsidRPr="00B434A6" w:rsidRDefault="000A5DA6" w:rsidP="000A5DA6">
            <w:pPr>
              <w:spacing w:after="0" w:line="240" w:lineRule="auto"/>
              <w:rPr>
                <w:sz w:val="20"/>
                <w:lang w:eastAsia="fr-FR"/>
              </w:rPr>
            </w:pPr>
            <w:r w:rsidRPr="00B434A6">
              <w:rPr>
                <w:sz w:val="20"/>
                <w:lang w:eastAsia="fr-FR"/>
              </w:rPr>
              <w:t>SIDA</w:t>
            </w:r>
          </w:p>
        </w:tc>
        <w:tc>
          <w:tcPr>
            <w:tcW w:w="4192" w:type="pct"/>
            <w:tcBorders>
              <w:top w:val="nil"/>
              <w:left w:val="nil"/>
              <w:bottom w:val="nil"/>
              <w:right w:val="nil"/>
            </w:tcBorders>
            <w:shd w:val="clear" w:color="auto" w:fill="auto"/>
            <w:noWrap/>
            <w:vAlign w:val="center"/>
            <w:hideMark/>
          </w:tcPr>
          <w:p w14:paraId="7C0F538D" w14:textId="77777777" w:rsidR="000A5DA6" w:rsidRPr="00B434A6" w:rsidRDefault="000A5DA6" w:rsidP="000A5DA6">
            <w:pPr>
              <w:spacing w:after="0" w:line="240" w:lineRule="auto"/>
              <w:rPr>
                <w:sz w:val="20"/>
                <w:lang w:eastAsia="fr-FR"/>
              </w:rPr>
            </w:pPr>
            <w:r w:rsidRPr="00B434A6">
              <w:rPr>
                <w:sz w:val="20"/>
                <w:lang w:eastAsia="fr-FR"/>
              </w:rPr>
              <w:t>: Syndrome d'Immunodéficience Acquise</w:t>
            </w:r>
          </w:p>
        </w:tc>
      </w:tr>
      <w:tr w:rsidR="000A5DA6" w:rsidRPr="00D4541C" w14:paraId="66331470" w14:textId="77777777" w:rsidTr="00D4541C">
        <w:trPr>
          <w:trHeight w:val="300"/>
        </w:trPr>
        <w:tc>
          <w:tcPr>
            <w:tcW w:w="808" w:type="pct"/>
            <w:tcBorders>
              <w:top w:val="nil"/>
              <w:left w:val="nil"/>
              <w:bottom w:val="nil"/>
              <w:right w:val="nil"/>
            </w:tcBorders>
            <w:shd w:val="clear" w:color="auto" w:fill="auto"/>
            <w:noWrap/>
            <w:vAlign w:val="center"/>
            <w:hideMark/>
          </w:tcPr>
          <w:p w14:paraId="2A70C986" w14:textId="77777777" w:rsidR="000A5DA6" w:rsidRPr="00B434A6" w:rsidRDefault="000A5DA6" w:rsidP="000A5DA6">
            <w:pPr>
              <w:spacing w:after="0" w:line="240" w:lineRule="auto"/>
              <w:rPr>
                <w:sz w:val="20"/>
                <w:lang w:eastAsia="fr-FR"/>
              </w:rPr>
            </w:pPr>
            <w:r w:rsidRPr="00B434A6">
              <w:rPr>
                <w:sz w:val="20"/>
                <w:lang w:eastAsia="fr-FR"/>
              </w:rPr>
              <w:t>SME</w:t>
            </w:r>
          </w:p>
        </w:tc>
        <w:tc>
          <w:tcPr>
            <w:tcW w:w="4192" w:type="pct"/>
            <w:tcBorders>
              <w:top w:val="nil"/>
              <w:left w:val="nil"/>
              <w:bottom w:val="nil"/>
              <w:right w:val="nil"/>
            </w:tcBorders>
            <w:shd w:val="clear" w:color="auto" w:fill="auto"/>
            <w:noWrap/>
            <w:vAlign w:val="center"/>
            <w:hideMark/>
          </w:tcPr>
          <w:p w14:paraId="43EFEBBA" w14:textId="77777777" w:rsidR="000A5DA6" w:rsidRPr="00B434A6" w:rsidRDefault="000A5DA6" w:rsidP="000A5DA6">
            <w:pPr>
              <w:spacing w:after="0" w:line="240" w:lineRule="auto"/>
              <w:rPr>
                <w:sz w:val="20"/>
                <w:lang w:eastAsia="fr-FR"/>
              </w:rPr>
            </w:pPr>
            <w:r w:rsidRPr="00B434A6">
              <w:rPr>
                <w:sz w:val="20"/>
                <w:lang w:eastAsia="fr-FR"/>
              </w:rPr>
              <w:t>: Salaire Minimum d'Embauche</w:t>
            </w:r>
          </w:p>
        </w:tc>
      </w:tr>
      <w:tr w:rsidR="000A5DA6" w:rsidRPr="00D4541C" w14:paraId="1BFD22E8" w14:textId="77777777" w:rsidTr="00D4541C">
        <w:trPr>
          <w:trHeight w:val="300"/>
        </w:trPr>
        <w:tc>
          <w:tcPr>
            <w:tcW w:w="808" w:type="pct"/>
            <w:tcBorders>
              <w:top w:val="nil"/>
              <w:left w:val="nil"/>
              <w:bottom w:val="nil"/>
              <w:right w:val="nil"/>
            </w:tcBorders>
            <w:shd w:val="clear" w:color="auto" w:fill="auto"/>
            <w:noWrap/>
            <w:vAlign w:val="center"/>
            <w:hideMark/>
          </w:tcPr>
          <w:p w14:paraId="50A3ECAC" w14:textId="77777777" w:rsidR="000A5DA6" w:rsidRPr="00B434A6" w:rsidRDefault="000A5DA6" w:rsidP="000A5DA6">
            <w:pPr>
              <w:spacing w:after="0" w:line="240" w:lineRule="auto"/>
              <w:rPr>
                <w:sz w:val="20"/>
                <w:lang w:eastAsia="fr-FR"/>
              </w:rPr>
            </w:pPr>
            <w:r w:rsidRPr="00B434A6">
              <w:rPr>
                <w:sz w:val="20"/>
                <w:lang w:eastAsia="fr-FR"/>
              </w:rPr>
              <w:t>SST</w:t>
            </w:r>
          </w:p>
        </w:tc>
        <w:tc>
          <w:tcPr>
            <w:tcW w:w="4192" w:type="pct"/>
            <w:tcBorders>
              <w:top w:val="nil"/>
              <w:left w:val="nil"/>
              <w:bottom w:val="nil"/>
              <w:right w:val="nil"/>
            </w:tcBorders>
            <w:shd w:val="clear" w:color="auto" w:fill="auto"/>
            <w:noWrap/>
            <w:vAlign w:val="center"/>
            <w:hideMark/>
          </w:tcPr>
          <w:p w14:paraId="3BBB501C" w14:textId="77777777" w:rsidR="000A5DA6" w:rsidRPr="00B434A6" w:rsidRDefault="000A5DA6" w:rsidP="000A5DA6">
            <w:pPr>
              <w:spacing w:after="0" w:line="240" w:lineRule="auto"/>
              <w:rPr>
                <w:sz w:val="20"/>
                <w:lang w:eastAsia="fr-FR"/>
              </w:rPr>
            </w:pPr>
            <w:r w:rsidRPr="00B434A6">
              <w:rPr>
                <w:sz w:val="20"/>
                <w:lang w:eastAsia="fr-FR"/>
              </w:rPr>
              <w:t>: Santé et Sécurité au Travail</w:t>
            </w:r>
          </w:p>
        </w:tc>
      </w:tr>
      <w:tr w:rsidR="000A5DA6" w:rsidRPr="00D4541C" w14:paraId="09E6F251" w14:textId="77777777" w:rsidTr="00D4541C">
        <w:trPr>
          <w:trHeight w:val="300"/>
        </w:trPr>
        <w:tc>
          <w:tcPr>
            <w:tcW w:w="808" w:type="pct"/>
            <w:tcBorders>
              <w:top w:val="nil"/>
              <w:left w:val="nil"/>
              <w:bottom w:val="nil"/>
              <w:right w:val="nil"/>
            </w:tcBorders>
            <w:shd w:val="clear" w:color="auto" w:fill="auto"/>
            <w:noWrap/>
            <w:vAlign w:val="center"/>
            <w:hideMark/>
          </w:tcPr>
          <w:p w14:paraId="5930E4DD" w14:textId="77777777" w:rsidR="000A5DA6" w:rsidRPr="00B434A6" w:rsidRDefault="000A5DA6" w:rsidP="000A5DA6">
            <w:pPr>
              <w:spacing w:after="0" w:line="240" w:lineRule="auto"/>
              <w:rPr>
                <w:sz w:val="20"/>
                <w:lang w:eastAsia="fr-FR"/>
              </w:rPr>
            </w:pPr>
            <w:r w:rsidRPr="00B434A6">
              <w:rPr>
                <w:sz w:val="20"/>
                <w:lang w:eastAsia="fr-FR"/>
              </w:rPr>
              <w:t>STD</w:t>
            </w:r>
          </w:p>
        </w:tc>
        <w:tc>
          <w:tcPr>
            <w:tcW w:w="4192" w:type="pct"/>
            <w:tcBorders>
              <w:top w:val="nil"/>
              <w:left w:val="nil"/>
              <w:bottom w:val="nil"/>
              <w:right w:val="nil"/>
            </w:tcBorders>
            <w:shd w:val="clear" w:color="auto" w:fill="auto"/>
            <w:noWrap/>
            <w:vAlign w:val="center"/>
            <w:hideMark/>
          </w:tcPr>
          <w:p w14:paraId="43C8D02C" w14:textId="77777777" w:rsidR="000A5DA6" w:rsidRPr="00B434A6" w:rsidRDefault="000A5DA6" w:rsidP="000A5DA6">
            <w:pPr>
              <w:spacing w:after="0" w:line="240" w:lineRule="auto"/>
              <w:rPr>
                <w:sz w:val="20"/>
                <w:lang w:eastAsia="fr-FR"/>
              </w:rPr>
            </w:pPr>
            <w:r w:rsidRPr="00B434A6">
              <w:rPr>
                <w:sz w:val="20"/>
                <w:lang w:eastAsia="fr-FR"/>
              </w:rPr>
              <w:t>: Services Techniques Déconcentrés</w:t>
            </w:r>
          </w:p>
        </w:tc>
      </w:tr>
      <w:tr w:rsidR="000A5DA6" w:rsidRPr="00D4541C" w14:paraId="3B5142E6" w14:textId="77777777" w:rsidTr="00D4541C">
        <w:trPr>
          <w:trHeight w:val="300"/>
        </w:trPr>
        <w:tc>
          <w:tcPr>
            <w:tcW w:w="808" w:type="pct"/>
            <w:tcBorders>
              <w:top w:val="nil"/>
              <w:left w:val="nil"/>
              <w:bottom w:val="nil"/>
              <w:right w:val="nil"/>
            </w:tcBorders>
            <w:shd w:val="clear" w:color="auto" w:fill="auto"/>
            <w:noWrap/>
            <w:vAlign w:val="center"/>
            <w:hideMark/>
          </w:tcPr>
          <w:p w14:paraId="7BEAC817" w14:textId="77777777" w:rsidR="000A5DA6" w:rsidRPr="00B434A6" w:rsidRDefault="000A5DA6" w:rsidP="000A5DA6">
            <w:pPr>
              <w:spacing w:after="0" w:line="240" w:lineRule="auto"/>
              <w:rPr>
                <w:sz w:val="20"/>
                <w:lang w:eastAsia="fr-FR"/>
              </w:rPr>
            </w:pPr>
            <w:r w:rsidRPr="00B434A6">
              <w:rPr>
                <w:sz w:val="20"/>
                <w:lang w:eastAsia="fr-FR"/>
              </w:rPr>
              <w:t>TdR</w:t>
            </w:r>
          </w:p>
        </w:tc>
        <w:tc>
          <w:tcPr>
            <w:tcW w:w="4192" w:type="pct"/>
            <w:tcBorders>
              <w:top w:val="nil"/>
              <w:left w:val="nil"/>
              <w:bottom w:val="nil"/>
              <w:right w:val="nil"/>
            </w:tcBorders>
            <w:shd w:val="clear" w:color="auto" w:fill="auto"/>
            <w:noWrap/>
            <w:vAlign w:val="center"/>
            <w:hideMark/>
          </w:tcPr>
          <w:p w14:paraId="790B232C" w14:textId="77777777" w:rsidR="000A5DA6" w:rsidRPr="00B434A6" w:rsidRDefault="000A5DA6" w:rsidP="000A5DA6">
            <w:pPr>
              <w:spacing w:after="0" w:line="240" w:lineRule="auto"/>
              <w:rPr>
                <w:sz w:val="20"/>
                <w:lang w:eastAsia="fr-FR"/>
              </w:rPr>
            </w:pPr>
            <w:r w:rsidRPr="00B434A6">
              <w:rPr>
                <w:sz w:val="20"/>
                <w:lang w:eastAsia="fr-FR"/>
              </w:rPr>
              <w:t>: Termes de Référence</w:t>
            </w:r>
          </w:p>
        </w:tc>
      </w:tr>
      <w:tr w:rsidR="000A5DA6" w:rsidRPr="00D4541C" w14:paraId="5A94502C" w14:textId="77777777" w:rsidTr="00D4541C">
        <w:trPr>
          <w:trHeight w:val="300"/>
        </w:trPr>
        <w:tc>
          <w:tcPr>
            <w:tcW w:w="808" w:type="pct"/>
            <w:tcBorders>
              <w:top w:val="nil"/>
              <w:left w:val="nil"/>
              <w:bottom w:val="nil"/>
              <w:right w:val="nil"/>
            </w:tcBorders>
            <w:shd w:val="clear" w:color="auto" w:fill="auto"/>
            <w:noWrap/>
            <w:vAlign w:val="center"/>
            <w:hideMark/>
          </w:tcPr>
          <w:p w14:paraId="37804B65" w14:textId="77777777" w:rsidR="000A5DA6" w:rsidRPr="00B434A6" w:rsidRDefault="000A5DA6" w:rsidP="000A5DA6">
            <w:pPr>
              <w:spacing w:after="0" w:line="240" w:lineRule="auto"/>
              <w:rPr>
                <w:sz w:val="20"/>
                <w:lang w:eastAsia="fr-FR"/>
              </w:rPr>
            </w:pPr>
            <w:r w:rsidRPr="00B434A6">
              <w:rPr>
                <w:sz w:val="20"/>
                <w:lang w:eastAsia="fr-FR"/>
              </w:rPr>
              <w:t>TIC</w:t>
            </w:r>
          </w:p>
        </w:tc>
        <w:tc>
          <w:tcPr>
            <w:tcW w:w="4192" w:type="pct"/>
            <w:tcBorders>
              <w:top w:val="nil"/>
              <w:left w:val="nil"/>
              <w:bottom w:val="nil"/>
              <w:right w:val="nil"/>
            </w:tcBorders>
            <w:shd w:val="clear" w:color="auto" w:fill="auto"/>
            <w:noWrap/>
            <w:vAlign w:val="center"/>
            <w:hideMark/>
          </w:tcPr>
          <w:p w14:paraId="4FD9335D" w14:textId="77777777" w:rsidR="000A5DA6" w:rsidRPr="00B434A6" w:rsidRDefault="000A5DA6" w:rsidP="000A5DA6">
            <w:pPr>
              <w:spacing w:after="0" w:line="240" w:lineRule="auto"/>
              <w:rPr>
                <w:sz w:val="20"/>
                <w:lang w:eastAsia="fr-FR"/>
              </w:rPr>
            </w:pPr>
            <w:r w:rsidRPr="00B434A6">
              <w:rPr>
                <w:sz w:val="20"/>
                <w:lang w:eastAsia="fr-FR"/>
              </w:rPr>
              <w:t>: Technologies de l’Information et de la Communication</w:t>
            </w:r>
          </w:p>
        </w:tc>
      </w:tr>
      <w:tr w:rsidR="000A5DA6" w:rsidRPr="00D4541C" w14:paraId="5A25ED82" w14:textId="77777777" w:rsidTr="00D4541C">
        <w:trPr>
          <w:trHeight w:val="300"/>
        </w:trPr>
        <w:tc>
          <w:tcPr>
            <w:tcW w:w="808" w:type="pct"/>
            <w:tcBorders>
              <w:top w:val="nil"/>
              <w:left w:val="nil"/>
              <w:bottom w:val="nil"/>
              <w:right w:val="nil"/>
            </w:tcBorders>
            <w:shd w:val="clear" w:color="auto" w:fill="auto"/>
            <w:noWrap/>
            <w:vAlign w:val="center"/>
            <w:hideMark/>
          </w:tcPr>
          <w:p w14:paraId="06D49C94" w14:textId="77777777" w:rsidR="000A5DA6" w:rsidRPr="00B434A6" w:rsidRDefault="000A5DA6" w:rsidP="000A5DA6">
            <w:pPr>
              <w:spacing w:after="0" w:line="240" w:lineRule="auto"/>
              <w:rPr>
                <w:sz w:val="20"/>
                <w:lang w:eastAsia="fr-FR"/>
              </w:rPr>
            </w:pPr>
            <w:r w:rsidRPr="00B434A6">
              <w:rPr>
                <w:sz w:val="20"/>
                <w:lang w:eastAsia="fr-FR"/>
              </w:rPr>
              <w:t>TSHR</w:t>
            </w:r>
          </w:p>
        </w:tc>
        <w:tc>
          <w:tcPr>
            <w:tcW w:w="4192" w:type="pct"/>
            <w:tcBorders>
              <w:top w:val="nil"/>
              <w:left w:val="nil"/>
              <w:bottom w:val="nil"/>
              <w:right w:val="nil"/>
            </w:tcBorders>
            <w:shd w:val="clear" w:color="auto" w:fill="auto"/>
            <w:noWrap/>
            <w:vAlign w:val="center"/>
            <w:hideMark/>
          </w:tcPr>
          <w:p w14:paraId="25877F28" w14:textId="77777777" w:rsidR="000A5DA6" w:rsidRPr="00B434A6" w:rsidRDefault="000A5DA6" w:rsidP="000A5DA6">
            <w:pPr>
              <w:spacing w:after="0" w:line="240" w:lineRule="auto"/>
              <w:rPr>
                <w:sz w:val="20"/>
                <w:lang w:eastAsia="fr-FR"/>
              </w:rPr>
            </w:pPr>
            <w:r w:rsidRPr="00B434A6">
              <w:rPr>
                <w:sz w:val="20"/>
                <w:lang w:eastAsia="fr-FR"/>
              </w:rPr>
              <w:t>: Technologie Solaire Hors Réseau</w:t>
            </w:r>
          </w:p>
        </w:tc>
      </w:tr>
      <w:tr w:rsidR="000A5DA6" w:rsidRPr="00D4541C" w14:paraId="067466F3" w14:textId="77777777" w:rsidTr="00D4541C">
        <w:trPr>
          <w:trHeight w:val="300"/>
        </w:trPr>
        <w:tc>
          <w:tcPr>
            <w:tcW w:w="808" w:type="pct"/>
            <w:tcBorders>
              <w:top w:val="nil"/>
              <w:left w:val="nil"/>
              <w:bottom w:val="nil"/>
              <w:right w:val="nil"/>
            </w:tcBorders>
            <w:shd w:val="clear" w:color="auto" w:fill="auto"/>
            <w:noWrap/>
            <w:vAlign w:val="center"/>
            <w:hideMark/>
          </w:tcPr>
          <w:p w14:paraId="7C15751B" w14:textId="77777777" w:rsidR="000A5DA6" w:rsidRPr="00B434A6" w:rsidRDefault="000A5DA6" w:rsidP="000A5DA6">
            <w:pPr>
              <w:spacing w:after="0" w:line="240" w:lineRule="auto"/>
              <w:rPr>
                <w:sz w:val="20"/>
                <w:lang w:eastAsia="fr-FR"/>
              </w:rPr>
            </w:pPr>
            <w:r w:rsidRPr="00B434A6">
              <w:rPr>
                <w:sz w:val="20"/>
                <w:lang w:eastAsia="fr-FR"/>
              </w:rPr>
              <w:t>UCP</w:t>
            </w:r>
          </w:p>
        </w:tc>
        <w:tc>
          <w:tcPr>
            <w:tcW w:w="4192" w:type="pct"/>
            <w:tcBorders>
              <w:top w:val="nil"/>
              <w:left w:val="nil"/>
              <w:bottom w:val="nil"/>
              <w:right w:val="nil"/>
            </w:tcBorders>
            <w:shd w:val="clear" w:color="auto" w:fill="auto"/>
            <w:noWrap/>
            <w:vAlign w:val="center"/>
            <w:hideMark/>
          </w:tcPr>
          <w:p w14:paraId="5E3A87B1" w14:textId="77777777" w:rsidR="000A5DA6" w:rsidRPr="00B434A6" w:rsidRDefault="000A5DA6" w:rsidP="000A5DA6">
            <w:pPr>
              <w:spacing w:after="0" w:line="240" w:lineRule="auto"/>
              <w:rPr>
                <w:sz w:val="20"/>
                <w:lang w:eastAsia="fr-FR"/>
              </w:rPr>
            </w:pPr>
            <w:r w:rsidRPr="00B434A6">
              <w:rPr>
                <w:sz w:val="20"/>
                <w:lang w:eastAsia="fr-FR"/>
              </w:rPr>
              <w:t>: Unité de Coordination du Projet</w:t>
            </w:r>
          </w:p>
        </w:tc>
      </w:tr>
      <w:tr w:rsidR="000A5DA6" w:rsidRPr="00160FB0" w14:paraId="3021E7F3" w14:textId="77777777" w:rsidTr="00D4541C">
        <w:trPr>
          <w:trHeight w:val="300"/>
        </w:trPr>
        <w:tc>
          <w:tcPr>
            <w:tcW w:w="808" w:type="pct"/>
            <w:tcBorders>
              <w:top w:val="nil"/>
              <w:left w:val="nil"/>
              <w:bottom w:val="nil"/>
              <w:right w:val="nil"/>
            </w:tcBorders>
            <w:shd w:val="clear" w:color="auto" w:fill="auto"/>
            <w:noWrap/>
            <w:vAlign w:val="center"/>
            <w:hideMark/>
          </w:tcPr>
          <w:p w14:paraId="3A9E1CFE" w14:textId="77777777" w:rsidR="000A5DA6" w:rsidRPr="00B434A6" w:rsidRDefault="000A5DA6" w:rsidP="000A5DA6">
            <w:pPr>
              <w:spacing w:after="0" w:line="240" w:lineRule="auto"/>
              <w:rPr>
                <w:sz w:val="20"/>
                <w:lang w:eastAsia="fr-FR"/>
              </w:rPr>
            </w:pPr>
            <w:r w:rsidRPr="00B434A6">
              <w:rPr>
                <w:sz w:val="20"/>
                <w:lang w:eastAsia="fr-FR"/>
              </w:rPr>
              <w:t>UNICEF</w:t>
            </w:r>
          </w:p>
        </w:tc>
        <w:tc>
          <w:tcPr>
            <w:tcW w:w="4192" w:type="pct"/>
            <w:tcBorders>
              <w:top w:val="nil"/>
              <w:left w:val="nil"/>
              <w:bottom w:val="nil"/>
              <w:right w:val="nil"/>
            </w:tcBorders>
            <w:shd w:val="clear" w:color="auto" w:fill="auto"/>
            <w:noWrap/>
            <w:vAlign w:val="center"/>
            <w:hideMark/>
          </w:tcPr>
          <w:p w14:paraId="5ECB1643" w14:textId="77777777" w:rsidR="000A5DA6" w:rsidRPr="00B434A6" w:rsidRDefault="000A5DA6" w:rsidP="000A5DA6">
            <w:pPr>
              <w:spacing w:after="0" w:line="240" w:lineRule="auto"/>
              <w:rPr>
                <w:sz w:val="20"/>
                <w:lang w:val="en-US" w:eastAsia="fr-FR"/>
              </w:rPr>
            </w:pPr>
            <w:r w:rsidRPr="00B434A6">
              <w:rPr>
                <w:sz w:val="20"/>
                <w:lang w:val="en-US" w:eastAsia="fr-FR"/>
              </w:rPr>
              <w:t>: United Nations International Children's Emergency Fund</w:t>
            </w:r>
          </w:p>
        </w:tc>
      </w:tr>
      <w:tr w:rsidR="000A5DA6" w:rsidRPr="00D4541C" w14:paraId="5168B61C" w14:textId="77777777" w:rsidTr="00D4541C">
        <w:trPr>
          <w:trHeight w:val="300"/>
        </w:trPr>
        <w:tc>
          <w:tcPr>
            <w:tcW w:w="808" w:type="pct"/>
            <w:tcBorders>
              <w:top w:val="nil"/>
              <w:left w:val="nil"/>
              <w:bottom w:val="nil"/>
              <w:right w:val="nil"/>
            </w:tcBorders>
            <w:shd w:val="clear" w:color="auto" w:fill="auto"/>
            <w:noWrap/>
            <w:vAlign w:val="center"/>
            <w:hideMark/>
          </w:tcPr>
          <w:p w14:paraId="1FCC266D" w14:textId="77777777" w:rsidR="000A5DA6" w:rsidRPr="00B434A6" w:rsidRDefault="000A5DA6" w:rsidP="000A5DA6">
            <w:pPr>
              <w:spacing w:after="0" w:line="240" w:lineRule="auto"/>
              <w:rPr>
                <w:sz w:val="20"/>
                <w:lang w:eastAsia="fr-FR"/>
              </w:rPr>
            </w:pPr>
            <w:r w:rsidRPr="00B434A6">
              <w:rPr>
                <w:sz w:val="20"/>
                <w:lang w:eastAsia="fr-FR"/>
              </w:rPr>
              <w:t>VBG</w:t>
            </w:r>
          </w:p>
        </w:tc>
        <w:tc>
          <w:tcPr>
            <w:tcW w:w="4192" w:type="pct"/>
            <w:tcBorders>
              <w:top w:val="nil"/>
              <w:left w:val="nil"/>
              <w:bottom w:val="nil"/>
              <w:right w:val="nil"/>
            </w:tcBorders>
            <w:shd w:val="clear" w:color="auto" w:fill="auto"/>
            <w:noWrap/>
            <w:vAlign w:val="center"/>
            <w:hideMark/>
          </w:tcPr>
          <w:p w14:paraId="75EAF292" w14:textId="77777777" w:rsidR="000A5DA6" w:rsidRPr="00B434A6" w:rsidRDefault="000A5DA6" w:rsidP="000A5DA6">
            <w:pPr>
              <w:spacing w:after="0" w:line="240" w:lineRule="auto"/>
              <w:rPr>
                <w:sz w:val="20"/>
                <w:lang w:eastAsia="fr-FR"/>
              </w:rPr>
            </w:pPr>
            <w:r w:rsidRPr="00B434A6">
              <w:rPr>
                <w:sz w:val="20"/>
                <w:lang w:eastAsia="fr-FR"/>
              </w:rPr>
              <w:t>: Violence</w:t>
            </w:r>
            <w:r>
              <w:rPr>
                <w:sz w:val="20"/>
                <w:lang w:eastAsia="fr-FR"/>
              </w:rPr>
              <w:t>s</w:t>
            </w:r>
            <w:r w:rsidRPr="00B434A6">
              <w:rPr>
                <w:sz w:val="20"/>
                <w:lang w:eastAsia="fr-FR"/>
              </w:rPr>
              <w:t xml:space="preserve"> Basée</w:t>
            </w:r>
            <w:r>
              <w:rPr>
                <w:sz w:val="20"/>
                <w:lang w:eastAsia="fr-FR"/>
              </w:rPr>
              <w:t>s</w:t>
            </w:r>
            <w:r w:rsidRPr="00B434A6">
              <w:rPr>
                <w:sz w:val="20"/>
                <w:lang w:eastAsia="fr-FR"/>
              </w:rPr>
              <w:t xml:space="preserve"> sur le Genre</w:t>
            </w:r>
          </w:p>
        </w:tc>
      </w:tr>
      <w:tr w:rsidR="000A5DA6" w:rsidRPr="00D4541C" w14:paraId="0451B487" w14:textId="77777777" w:rsidTr="00D4541C">
        <w:trPr>
          <w:trHeight w:val="300"/>
        </w:trPr>
        <w:tc>
          <w:tcPr>
            <w:tcW w:w="808" w:type="pct"/>
            <w:tcBorders>
              <w:top w:val="nil"/>
              <w:left w:val="nil"/>
              <w:bottom w:val="nil"/>
              <w:right w:val="nil"/>
            </w:tcBorders>
            <w:shd w:val="clear" w:color="auto" w:fill="auto"/>
            <w:noWrap/>
            <w:vAlign w:val="center"/>
            <w:hideMark/>
          </w:tcPr>
          <w:p w14:paraId="391F3FBE" w14:textId="77777777" w:rsidR="000A5DA6" w:rsidRPr="00B434A6" w:rsidRDefault="000A5DA6" w:rsidP="000A5DA6">
            <w:pPr>
              <w:spacing w:after="0" w:line="240" w:lineRule="auto"/>
              <w:rPr>
                <w:sz w:val="20"/>
                <w:lang w:eastAsia="fr-FR"/>
              </w:rPr>
            </w:pPr>
            <w:r w:rsidRPr="00B434A6">
              <w:rPr>
                <w:sz w:val="20"/>
                <w:lang w:eastAsia="fr-FR"/>
              </w:rPr>
              <w:t>VCE</w:t>
            </w:r>
          </w:p>
        </w:tc>
        <w:tc>
          <w:tcPr>
            <w:tcW w:w="4192" w:type="pct"/>
            <w:tcBorders>
              <w:top w:val="nil"/>
              <w:left w:val="nil"/>
              <w:bottom w:val="nil"/>
              <w:right w:val="nil"/>
            </w:tcBorders>
            <w:shd w:val="clear" w:color="auto" w:fill="auto"/>
            <w:noWrap/>
            <w:vAlign w:val="center"/>
            <w:hideMark/>
          </w:tcPr>
          <w:p w14:paraId="7EDD2141" w14:textId="77777777" w:rsidR="000A5DA6" w:rsidRPr="00B434A6" w:rsidRDefault="000A5DA6" w:rsidP="000A5DA6">
            <w:pPr>
              <w:spacing w:after="0" w:line="240" w:lineRule="auto"/>
              <w:rPr>
                <w:sz w:val="20"/>
                <w:lang w:eastAsia="fr-FR"/>
              </w:rPr>
            </w:pPr>
            <w:r w:rsidRPr="00B434A6">
              <w:rPr>
                <w:sz w:val="20"/>
                <w:lang w:eastAsia="fr-FR"/>
              </w:rPr>
              <w:t>: Violence</w:t>
            </w:r>
            <w:r>
              <w:rPr>
                <w:sz w:val="20"/>
                <w:lang w:eastAsia="fr-FR"/>
              </w:rPr>
              <w:t>s</w:t>
            </w:r>
            <w:r w:rsidRPr="00B434A6">
              <w:rPr>
                <w:sz w:val="20"/>
                <w:lang w:eastAsia="fr-FR"/>
              </w:rPr>
              <w:t xml:space="preserve"> Contre les Enfants</w:t>
            </w:r>
          </w:p>
        </w:tc>
      </w:tr>
      <w:tr w:rsidR="000A5DA6" w:rsidRPr="00D4541C" w14:paraId="6538428A" w14:textId="77777777" w:rsidTr="00D4541C">
        <w:trPr>
          <w:trHeight w:val="300"/>
        </w:trPr>
        <w:tc>
          <w:tcPr>
            <w:tcW w:w="808" w:type="pct"/>
            <w:tcBorders>
              <w:top w:val="nil"/>
              <w:left w:val="nil"/>
              <w:bottom w:val="nil"/>
              <w:right w:val="nil"/>
            </w:tcBorders>
            <w:shd w:val="clear" w:color="auto" w:fill="auto"/>
            <w:noWrap/>
            <w:vAlign w:val="center"/>
            <w:hideMark/>
          </w:tcPr>
          <w:p w14:paraId="4D874089" w14:textId="77777777" w:rsidR="000A5DA6" w:rsidRPr="00B434A6" w:rsidRDefault="000A5DA6" w:rsidP="000A5DA6">
            <w:pPr>
              <w:spacing w:after="0" w:line="240" w:lineRule="auto"/>
              <w:rPr>
                <w:sz w:val="20"/>
                <w:lang w:eastAsia="fr-FR"/>
              </w:rPr>
            </w:pPr>
            <w:r w:rsidRPr="00B434A6">
              <w:rPr>
                <w:sz w:val="20"/>
                <w:lang w:eastAsia="fr-FR"/>
              </w:rPr>
              <w:t>VIH</w:t>
            </w:r>
          </w:p>
        </w:tc>
        <w:tc>
          <w:tcPr>
            <w:tcW w:w="4192" w:type="pct"/>
            <w:tcBorders>
              <w:top w:val="nil"/>
              <w:left w:val="nil"/>
              <w:bottom w:val="nil"/>
              <w:right w:val="nil"/>
            </w:tcBorders>
            <w:shd w:val="clear" w:color="auto" w:fill="auto"/>
            <w:noWrap/>
            <w:vAlign w:val="center"/>
            <w:hideMark/>
          </w:tcPr>
          <w:p w14:paraId="58C3A906" w14:textId="77777777" w:rsidR="000A5DA6" w:rsidRPr="00B434A6" w:rsidRDefault="000A5DA6" w:rsidP="000A5DA6">
            <w:pPr>
              <w:spacing w:after="0" w:line="240" w:lineRule="auto"/>
              <w:rPr>
                <w:sz w:val="20"/>
                <w:lang w:eastAsia="fr-FR"/>
              </w:rPr>
            </w:pPr>
            <w:r w:rsidRPr="00B434A6">
              <w:rPr>
                <w:sz w:val="20"/>
                <w:lang w:eastAsia="fr-FR"/>
              </w:rPr>
              <w:t>: Virus de l'Immunodéficience Humaine</w:t>
            </w:r>
          </w:p>
        </w:tc>
      </w:tr>
      <w:tr w:rsidR="000A5DA6" w:rsidRPr="00D4541C" w14:paraId="7FC44C96" w14:textId="77777777" w:rsidTr="00D4541C">
        <w:trPr>
          <w:trHeight w:val="300"/>
        </w:trPr>
        <w:tc>
          <w:tcPr>
            <w:tcW w:w="808" w:type="pct"/>
            <w:tcBorders>
              <w:top w:val="nil"/>
              <w:left w:val="nil"/>
              <w:bottom w:val="nil"/>
              <w:right w:val="nil"/>
            </w:tcBorders>
            <w:shd w:val="clear" w:color="auto" w:fill="auto"/>
            <w:noWrap/>
            <w:vAlign w:val="center"/>
            <w:hideMark/>
          </w:tcPr>
          <w:p w14:paraId="3A5D8F89" w14:textId="77777777" w:rsidR="000A5DA6" w:rsidRPr="00B434A6" w:rsidRDefault="000A5DA6" w:rsidP="000A5DA6">
            <w:pPr>
              <w:spacing w:after="0" w:line="240" w:lineRule="auto"/>
              <w:rPr>
                <w:sz w:val="20"/>
                <w:lang w:eastAsia="fr-FR"/>
              </w:rPr>
            </w:pPr>
            <w:r w:rsidRPr="00B434A6">
              <w:rPr>
                <w:sz w:val="20"/>
                <w:lang w:eastAsia="fr-FR"/>
              </w:rPr>
              <w:t>Wifi</w:t>
            </w:r>
          </w:p>
        </w:tc>
        <w:tc>
          <w:tcPr>
            <w:tcW w:w="4192" w:type="pct"/>
            <w:tcBorders>
              <w:top w:val="nil"/>
              <w:left w:val="nil"/>
              <w:bottom w:val="nil"/>
              <w:right w:val="nil"/>
            </w:tcBorders>
            <w:shd w:val="clear" w:color="auto" w:fill="auto"/>
            <w:noWrap/>
            <w:vAlign w:val="center"/>
            <w:hideMark/>
          </w:tcPr>
          <w:p w14:paraId="325847B9" w14:textId="77777777" w:rsidR="000A5DA6" w:rsidRPr="00B434A6" w:rsidRDefault="000A5DA6" w:rsidP="000A5DA6">
            <w:pPr>
              <w:spacing w:after="0" w:line="240" w:lineRule="auto"/>
              <w:rPr>
                <w:sz w:val="20"/>
                <w:lang w:eastAsia="fr-FR"/>
              </w:rPr>
            </w:pPr>
            <w:r w:rsidRPr="00B434A6">
              <w:rPr>
                <w:sz w:val="20"/>
                <w:lang w:eastAsia="fr-FR"/>
              </w:rPr>
              <w:t>: Wireless Fidelity</w:t>
            </w:r>
          </w:p>
        </w:tc>
      </w:tr>
    </w:tbl>
    <w:p w14:paraId="28BB022A" w14:textId="77777777" w:rsidR="00481CF0" w:rsidRDefault="00481CF0">
      <w:pPr>
        <w:rPr>
          <w:rFonts w:ascii="Arial" w:hAnsi="Arial" w:cs="Arial"/>
        </w:rPr>
      </w:pPr>
    </w:p>
    <w:p w14:paraId="294EDFD9" w14:textId="77777777" w:rsidR="00481CF0" w:rsidRDefault="00481CF0">
      <w:pPr>
        <w:spacing w:after="0" w:line="240" w:lineRule="auto"/>
        <w:rPr>
          <w:rFonts w:ascii="Arial" w:hAnsi="Arial" w:cs="Arial"/>
        </w:rPr>
      </w:pPr>
      <w:r>
        <w:rPr>
          <w:rFonts w:ascii="Arial" w:hAnsi="Arial" w:cs="Arial"/>
        </w:rPr>
        <w:br w:type="page"/>
      </w:r>
    </w:p>
    <w:p w14:paraId="51EE5276" w14:textId="77777777" w:rsidR="005253F6" w:rsidRDefault="005253F6">
      <w:pPr>
        <w:rPr>
          <w:rFonts w:ascii="Arial" w:hAnsi="Arial" w:cs="Arial"/>
        </w:rPr>
      </w:pPr>
    </w:p>
    <w:p w14:paraId="3EDE4F69" w14:textId="77777777" w:rsidR="00226EE8" w:rsidRPr="00B96EBA" w:rsidRDefault="00665B96" w:rsidP="00F91FA3">
      <w:pPr>
        <w:pStyle w:val="Paragraphedeliste"/>
        <w:pBdr>
          <w:bottom w:val="single" w:sz="4" w:space="1" w:color="auto"/>
        </w:pBdr>
        <w:spacing w:line="240" w:lineRule="auto"/>
        <w:ind w:hanging="360"/>
        <w:jc w:val="both"/>
        <w:outlineLvl w:val="0"/>
        <w:rPr>
          <w:bCs/>
          <w:caps/>
          <w:color w:val="44546A"/>
          <w:sz w:val="40"/>
          <w:szCs w:val="44"/>
        </w:rPr>
      </w:pPr>
      <w:bookmarkStart w:id="12" w:name="_Toc124956083"/>
      <w:bookmarkStart w:id="13" w:name="_Toc125384481"/>
      <w:bookmarkStart w:id="14" w:name="_Toc125384870"/>
      <w:bookmarkStart w:id="15" w:name="_Toc127957542"/>
      <w:r w:rsidRPr="00B96EBA">
        <w:rPr>
          <w:bCs/>
          <w:caps/>
          <w:color w:val="44546A"/>
          <w:sz w:val="40"/>
          <w:szCs w:val="44"/>
        </w:rPr>
        <w:t>RESUME EXECUTIF</w:t>
      </w:r>
      <w:bookmarkEnd w:id="12"/>
      <w:bookmarkEnd w:id="13"/>
      <w:bookmarkEnd w:id="14"/>
      <w:bookmarkEnd w:id="15"/>
    </w:p>
    <w:p w14:paraId="7199411D" w14:textId="77777777" w:rsidR="00AC4FA3" w:rsidRDefault="00AC4FA3" w:rsidP="0044500E">
      <w:pPr>
        <w:pStyle w:val="Paragraphedeliste"/>
        <w:numPr>
          <w:ilvl w:val="0"/>
          <w:numId w:val="175"/>
        </w:numPr>
        <w:suppressAutoHyphens/>
        <w:spacing w:before="240" w:after="120" w:line="240" w:lineRule="auto"/>
        <w:ind w:left="714" w:hanging="357"/>
        <w:jc w:val="both"/>
      </w:pPr>
      <w:r>
        <w:rPr>
          <w:rFonts w:ascii="Arial" w:hAnsi="Arial" w:cs="Arial"/>
          <w:b/>
        </w:rPr>
        <w:t>INTRODUCTION</w:t>
      </w:r>
    </w:p>
    <w:p w14:paraId="1F63EACD" w14:textId="77777777" w:rsidR="00AC4FA3" w:rsidRDefault="00AC4FA3" w:rsidP="00AC4FA3">
      <w:pPr>
        <w:spacing w:line="240" w:lineRule="auto"/>
        <w:jc w:val="both"/>
      </w:pPr>
      <w:r>
        <w:rPr>
          <w:rFonts w:ascii="Arial" w:hAnsi="Arial" w:cs="Arial"/>
        </w:rPr>
        <w:t>Au cours de ces trois dernières années, les évènements majeurs et leurs conséquences survenus à Madagascar tels que la crise du COVID-19 (</w:t>
      </w:r>
      <w:r w:rsidR="007050CB">
        <w:rPr>
          <w:rFonts w:ascii="Arial" w:hAnsi="Arial" w:cs="Arial"/>
        </w:rPr>
        <w:t xml:space="preserve">crise sanitaire suivie d’une </w:t>
      </w:r>
      <w:r>
        <w:rPr>
          <w:rFonts w:ascii="Arial" w:hAnsi="Arial" w:cs="Arial"/>
        </w:rPr>
        <w:t xml:space="preserve">récession économique), ont anéanti les gains économiques de croissance économique obtenus antérieurement en général et ont amené la population du pays à une situation de pauvreté chronique. </w:t>
      </w:r>
    </w:p>
    <w:p w14:paraId="5733784A" w14:textId="77777777" w:rsidR="00AC4FA3" w:rsidRDefault="00AC4FA3" w:rsidP="00AC4FA3">
      <w:pPr>
        <w:spacing w:line="240" w:lineRule="auto"/>
        <w:jc w:val="both"/>
      </w:pPr>
      <w:r>
        <w:rPr>
          <w:rFonts w:ascii="Arial" w:hAnsi="Arial" w:cs="Arial"/>
        </w:rPr>
        <w:t>Pour stimuler et soutenir la croissance économique et réduire la pauvreté, Madagascar doit s’engager dans des réformes structurelles profondes basées sur des investissements dans le capital humain et physique. La stimulation, voire le développement du secteur des nouvelles technologies et du numérique d’une part, un meilleur accès aux infrastructures, notamment à l’énergie pour les communautés dans les zones mal desservies, plus particulièrement dans les zones rurales, d’autre part constitue des vecteurs de développement et d’accélération de la transformation structurelle. Cela se traduit par l’amélioration de la prestation et l’accès aux services de base (éducation, santé), l’extension de la connectivité, la création de nouveaux emplois et la promotion de l’utilisation des énergies vertes.</w:t>
      </w:r>
    </w:p>
    <w:p w14:paraId="6C9A831A" w14:textId="77777777" w:rsidR="00AC4FA3" w:rsidRDefault="007050CB" w:rsidP="0044500E">
      <w:pPr>
        <w:pStyle w:val="Paragraphedeliste"/>
        <w:numPr>
          <w:ilvl w:val="0"/>
          <w:numId w:val="175"/>
        </w:numPr>
        <w:suppressAutoHyphens/>
        <w:spacing w:before="240" w:after="120" w:line="240" w:lineRule="auto"/>
        <w:ind w:left="714" w:hanging="357"/>
        <w:jc w:val="both"/>
      </w:pPr>
      <w:r>
        <w:rPr>
          <w:rFonts w:ascii="Arial" w:hAnsi="Arial" w:cs="Arial"/>
          <w:b/>
        </w:rPr>
        <w:t>LE</w:t>
      </w:r>
      <w:r w:rsidR="00AC4FA3">
        <w:rPr>
          <w:rFonts w:ascii="Arial" w:hAnsi="Arial" w:cs="Arial"/>
          <w:b/>
        </w:rPr>
        <w:t xml:space="preserve"> </w:t>
      </w:r>
      <w:r w:rsidR="00F43EC4" w:rsidRPr="00F43EC4">
        <w:rPr>
          <w:rFonts w:ascii="Arial" w:hAnsi="Arial" w:cs="Arial"/>
          <w:b/>
        </w:rPr>
        <w:t>CADRE ENVIRONNEMENTAL ET SOCIAL</w:t>
      </w:r>
      <w:r w:rsidR="00AC4FA3">
        <w:rPr>
          <w:rFonts w:ascii="Arial" w:hAnsi="Arial" w:cs="Arial"/>
          <w:b/>
        </w:rPr>
        <w:t xml:space="preserve"> DE LA BANQUE</w:t>
      </w:r>
      <w:r>
        <w:rPr>
          <w:rFonts w:ascii="Arial" w:hAnsi="Arial" w:cs="Arial"/>
          <w:b/>
        </w:rPr>
        <w:t xml:space="preserve"> MONDIALE</w:t>
      </w:r>
    </w:p>
    <w:p w14:paraId="7EA45C93" w14:textId="77777777" w:rsidR="00AC4FA3" w:rsidRDefault="00AC4FA3" w:rsidP="00AC4FA3">
      <w:pPr>
        <w:spacing w:line="240" w:lineRule="auto"/>
        <w:jc w:val="both"/>
      </w:pPr>
      <w:r>
        <w:rPr>
          <w:rFonts w:ascii="Arial" w:hAnsi="Arial" w:cs="Arial"/>
        </w:rPr>
        <w:t>Sachant que le Projet est sous le financement de la Banque mondiale, la mise en œuvre par l’Emprunteur doit se conformer à des procédures et des règles spécifiques. Parmi les</w:t>
      </w:r>
      <w:r w:rsidR="007050CB">
        <w:rPr>
          <w:rFonts w:ascii="Arial" w:hAnsi="Arial" w:cs="Arial"/>
        </w:rPr>
        <w:t>quelles</w:t>
      </w:r>
      <w:r>
        <w:rPr>
          <w:rFonts w:ascii="Arial" w:hAnsi="Arial" w:cs="Arial"/>
        </w:rPr>
        <w:t xml:space="preserve">, </w:t>
      </w:r>
      <w:r w:rsidR="007050CB">
        <w:rPr>
          <w:rFonts w:ascii="Arial" w:hAnsi="Arial" w:cs="Arial"/>
        </w:rPr>
        <w:t xml:space="preserve">il y </w:t>
      </w:r>
      <w:r>
        <w:rPr>
          <w:rFonts w:ascii="Arial" w:hAnsi="Arial" w:cs="Arial"/>
        </w:rPr>
        <w:t>a le Cadre Environnemental et Social (CES)</w:t>
      </w:r>
      <w:r w:rsidR="00481CF0">
        <w:rPr>
          <w:rFonts w:ascii="Arial" w:hAnsi="Arial" w:cs="Arial"/>
        </w:rPr>
        <w:t xml:space="preserve"> de la Banque mondiale</w:t>
      </w:r>
      <w:r>
        <w:rPr>
          <w:rFonts w:ascii="Arial" w:hAnsi="Arial" w:cs="Arial"/>
        </w:rPr>
        <w:t xml:space="preserve">. Ce </w:t>
      </w:r>
      <w:r w:rsidR="007050CB">
        <w:rPr>
          <w:rFonts w:ascii="Arial" w:hAnsi="Arial" w:cs="Arial"/>
        </w:rPr>
        <w:t>CES</w:t>
      </w:r>
      <w:r>
        <w:rPr>
          <w:rFonts w:ascii="Arial" w:hAnsi="Arial" w:cs="Arial"/>
        </w:rPr>
        <w:t xml:space="preserve"> de la Banque mondiale décrit l’engagement de la Banque à promouvoir le </w:t>
      </w:r>
      <w:r w:rsidRPr="00B434A6">
        <w:rPr>
          <w:rFonts w:ascii="Arial" w:hAnsi="Arial" w:cs="Arial"/>
        </w:rPr>
        <w:t xml:space="preserve">développement durable à travers une politique et un ensemble de normes environnementales </w:t>
      </w:r>
      <w:r>
        <w:rPr>
          <w:rFonts w:ascii="Arial" w:hAnsi="Arial" w:cs="Arial"/>
        </w:rPr>
        <w:t>et sociales conçues pour appuyer les projets des pays emprunteurs dans le but de mettre fin à l’extrême pauvreté et de promouvoir une prospérité partagée.</w:t>
      </w:r>
    </w:p>
    <w:p w14:paraId="02807568" w14:textId="77777777" w:rsidR="00AC4FA3" w:rsidRDefault="00AC4FA3" w:rsidP="00AC4FA3">
      <w:pPr>
        <w:spacing w:line="240" w:lineRule="auto"/>
        <w:jc w:val="both"/>
      </w:pPr>
      <w:r>
        <w:rPr>
          <w:rFonts w:ascii="Arial" w:hAnsi="Arial" w:cs="Arial"/>
        </w:rPr>
        <w:t xml:space="preserve">Le </w:t>
      </w:r>
      <w:r w:rsidR="00F43EC4">
        <w:rPr>
          <w:rFonts w:ascii="Arial" w:hAnsi="Arial" w:cs="Arial"/>
        </w:rPr>
        <w:t>CES</w:t>
      </w:r>
      <w:r w:rsidR="0056305B">
        <w:rPr>
          <w:rFonts w:ascii="Arial" w:hAnsi="Arial" w:cs="Arial"/>
        </w:rPr>
        <w:t xml:space="preserve"> </w:t>
      </w:r>
      <w:r>
        <w:rPr>
          <w:rFonts w:ascii="Arial" w:hAnsi="Arial" w:cs="Arial"/>
        </w:rPr>
        <w:t>comprend :</w:t>
      </w:r>
    </w:p>
    <w:p w14:paraId="1524CFF4" w14:textId="77777777" w:rsidR="00AC4FA3" w:rsidRDefault="00AC4FA3" w:rsidP="0044500E">
      <w:pPr>
        <w:pStyle w:val="Paragraphedeliste"/>
        <w:numPr>
          <w:ilvl w:val="0"/>
          <w:numId w:val="169"/>
        </w:numPr>
        <w:suppressAutoHyphens/>
        <w:spacing w:line="240" w:lineRule="auto"/>
        <w:jc w:val="both"/>
      </w:pPr>
      <w:r>
        <w:rPr>
          <w:rFonts w:ascii="Arial" w:hAnsi="Arial" w:cs="Arial"/>
        </w:rPr>
        <w:t>Une vision du développement durable, qui décrit les aspirations de la Banque en matière de viabilité environnementale et sociale ;</w:t>
      </w:r>
    </w:p>
    <w:p w14:paraId="404A8DD3" w14:textId="77777777" w:rsidR="00AC4FA3" w:rsidRDefault="00AC4FA3" w:rsidP="0044500E">
      <w:pPr>
        <w:pStyle w:val="Paragraphedeliste"/>
        <w:numPr>
          <w:ilvl w:val="0"/>
          <w:numId w:val="169"/>
        </w:numPr>
        <w:suppressAutoHyphens/>
        <w:spacing w:line="240" w:lineRule="auto"/>
        <w:jc w:val="both"/>
      </w:pPr>
      <w:r>
        <w:rPr>
          <w:rFonts w:ascii="Arial" w:hAnsi="Arial" w:cs="Arial"/>
        </w:rPr>
        <w:t xml:space="preserve">La Politique environnementale et sociale de la Banque mondiale relative au financement de projets d’investissement, qui énonce les exigences de la Banque ; </w:t>
      </w:r>
    </w:p>
    <w:p w14:paraId="072F9B64" w14:textId="77777777" w:rsidR="00AC4FA3" w:rsidRDefault="00AC4FA3" w:rsidP="0044500E">
      <w:pPr>
        <w:pStyle w:val="Paragraphedeliste"/>
        <w:numPr>
          <w:ilvl w:val="0"/>
          <w:numId w:val="169"/>
        </w:numPr>
        <w:suppressAutoHyphens/>
        <w:spacing w:line="240" w:lineRule="auto"/>
        <w:jc w:val="both"/>
      </w:pPr>
      <w:r>
        <w:rPr>
          <w:rFonts w:ascii="Arial" w:hAnsi="Arial" w:cs="Arial"/>
        </w:rPr>
        <w:t>Les Normes environnementales et sociales et leurs Annexes, qui énoncent les dispositions qui s’appliquent à l’Emprunteur et aux projets.</w:t>
      </w:r>
    </w:p>
    <w:p w14:paraId="48690699" w14:textId="77777777" w:rsidR="00AC4FA3" w:rsidRPr="0098339B" w:rsidRDefault="00AC4FA3" w:rsidP="0098339B">
      <w:pPr>
        <w:spacing w:before="240" w:after="240" w:line="240" w:lineRule="auto"/>
        <w:jc w:val="both"/>
      </w:pPr>
      <w:r>
        <w:rPr>
          <w:rFonts w:ascii="Arial" w:hAnsi="Arial" w:cs="Arial"/>
        </w:rPr>
        <w:t>Pour ce Projet, les NES applicables et pertinentes sont les suivantes : NES1, NES 2, NES3, NES4</w:t>
      </w:r>
      <w:r w:rsidR="00F43EC4">
        <w:rPr>
          <w:rFonts w:ascii="Arial" w:hAnsi="Arial" w:cs="Arial"/>
        </w:rPr>
        <w:t>,</w:t>
      </w:r>
      <w:r>
        <w:rPr>
          <w:rFonts w:ascii="Arial" w:hAnsi="Arial" w:cs="Arial"/>
        </w:rPr>
        <w:t xml:space="preserve"> NES5, NES6, NES8</w:t>
      </w:r>
      <w:r w:rsidR="00F43EC4">
        <w:rPr>
          <w:rFonts w:ascii="Arial" w:hAnsi="Arial" w:cs="Arial"/>
        </w:rPr>
        <w:t>, NES9</w:t>
      </w:r>
      <w:r>
        <w:rPr>
          <w:rFonts w:ascii="Arial" w:hAnsi="Arial" w:cs="Arial"/>
        </w:rPr>
        <w:t xml:space="preserve"> et NES10. </w:t>
      </w:r>
    </w:p>
    <w:p w14:paraId="002EE910" w14:textId="77777777" w:rsidR="00AC4FA3" w:rsidRDefault="00AC4FA3" w:rsidP="0044500E">
      <w:pPr>
        <w:pStyle w:val="Paragraphedeliste"/>
        <w:numPr>
          <w:ilvl w:val="0"/>
          <w:numId w:val="175"/>
        </w:numPr>
        <w:suppressAutoHyphens/>
        <w:spacing w:before="240" w:after="120" w:line="240" w:lineRule="auto"/>
        <w:ind w:left="714" w:hanging="357"/>
        <w:jc w:val="both"/>
      </w:pPr>
      <w:r>
        <w:rPr>
          <w:rFonts w:ascii="Arial" w:hAnsi="Arial" w:cs="Arial"/>
          <w:b/>
        </w:rPr>
        <w:t>DESCRIPTION DU PROJET</w:t>
      </w:r>
    </w:p>
    <w:p w14:paraId="22AFB73F" w14:textId="77777777" w:rsidR="00AC4FA3" w:rsidRDefault="00AC4FA3" w:rsidP="00AC4FA3">
      <w:pPr>
        <w:spacing w:line="240" w:lineRule="auto"/>
        <w:jc w:val="both"/>
      </w:pPr>
      <w:r>
        <w:rPr>
          <w:rFonts w:ascii="Arial" w:hAnsi="Arial" w:cs="Arial"/>
        </w:rPr>
        <w:t xml:space="preserve">Le Projet de Connectivité Numérique et Energétique pour l’Inclusion à Madagascar ou Digital and Energy Connectivity for inclusion in Madagascar (DECIM) est un projet du Gouvernement Malagasy (GdM) pour contribuer à l’accroissement de l’accès à des infrastructures énergétiques et numériques fiables et abordables, en mettant l’accent sur l’inclusion des communautés mal desservies. </w:t>
      </w:r>
    </w:p>
    <w:p w14:paraId="4A15BAB6" w14:textId="77777777" w:rsidR="00AC4FA3" w:rsidRDefault="00AC4FA3" w:rsidP="00AC4FA3">
      <w:pPr>
        <w:spacing w:line="240" w:lineRule="auto"/>
        <w:jc w:val="both"/>
      </w:pPr>
      <w:r>
        <w:rPr>
          <w:rFonts w:ascii="Arial" w:hAnsi="Arial" w:cs="Arial"/>
        </w:rPr>
        <w:lastRenderedPageBreak/>
        <w:t>De par sa nature et son domaine d’intervention, le Projet est placé conjointement sous tutelle du Ministère en charge de l’Energie</w:t>
      </w:r>
      <w:r w:rsidR="00A0319C">
        <w:rPr>
          <w:rFonts w:ascii="Arial" w:hAnsi="Arial" w:cs="Arial"/>
        </w:rPr>
        <w:t xml:space="preserve"> et Hydrocarbures</w:t>
      </w:r>
      <w:r>
        <w:rPr>
          <w:rFonts w:ascii="Arial" w:hAnsi="Arial" w:cs="Arial"/>
        </w:rPr>
        <w:t xml:space="preserve"> et du Ministère en charge des Postes et </w:t>
      </w:r>
      <w:r w:rsidR="00A0319C">
        <w:rPr>
          <w:rFonts w:ascii="Arial" w:hAnsi="Arial" w:cs="Arial"/>
        </w:rPr>
        <w:t>Télécommunications</w:t>
      </w:r>
      <w:r w:rsidR="00D21096">
        <w:rPr>
          <w:rFonts w:ascii="Arial" w:hAnsi="Arial" w:cs="Arial"/>
        </w:rPr>
        <w:t>.</w:t>
      </w:r>
    </w:p>
    <w:p w14:paraId="3EA8C3A4" w14:textId="77777777" w:rsidR="00AC4FA3" w:rsidRDefault="00AC4FA3" w:rsidP="00AC4FA3">
      <w:pPr>
        <w:spacing w:line="240" w:lineRule="auto"/>
        <w:jc w:val="both"/>
      </w:pPr>
      <w:r>
        <w:rPr>
          <w:rFonts w:ascii="Arial" w:hAnsi="Arial" w:cs="Arial"/>
        </w:rPr>
        <w:t xml:space="preserve">Le Projet comporte quatre composantes interdépendantes et une composante de réponse d’urgence contingente. </w:t>
      </w:r>
    </w:p>
    <w:p w14:paraId="6B663727" w14:textId="77777777" w:rsidR="00AC4FA3" w:rsidRPr="008F68C0" w:rsidRDefault="00AC4FA3" w:rsidP="0044500E">
      <w:pPr>
        <w:numPr>
          <w:ilvl w:val="0"/>
          <w:numId w:val="170"/>
        </w:numPr>
        <w:suppressAutoHyphens/>
        <w:spacing w:before="120" w:line="240" w:lineRule="auto"/>
        <w:ind w:left="714" w:hanging="357"/>
        <w:jc w:val="both"/>
        <w:rPr>
          <w:bCs/>
        </w:rPr>
      </w:pPr>
      <w:r w:rsidRPr="0A1598FD">
        <w:rPr>
          <w:rFonts w:ascii="Arial" w:hAnsi="Arial" w:cs="Arial"/>
        </w:rPr>
        <w:t xml:space="preserve">Composante 1 : Développement de l’infrastructure énergétiques et </w:t>
      </w:r>
      <w:r w:rsidR="00481CF0" w:rsidRPr="0A1598FD">
        <w:rPr>
          <w:rFonts w:ascii="Arial" w:hAnsi="Arial" w:cs="Arial"/>
        </w:rPr>
        <w:t>numérique</w:t>
      </w:r>
      <w:r w:rsidRPr="0A1598FD">
        <w:rPr>
          <w:rFonts w:ascii="Arial" w:hAnsi="Arial" w:cs="Arial"/>
        </w:rPr>
        <w:t>.</w:t>
      </w:r>
    </w:p>
    <w:p w14:paraId="4B5EC56F" w14:textId="77777777" w:rsidR="00AC4FA3" w:rsidRPr="008F68C0" w:rsidRDefault="00AC4FA3" w:rsidP="0044500E">
      <w:pPr>
        <w:numPr>
          <w:ilvl w:val="0"/>
          <w:numId w:val="170"/>
        </w:numPr>
        <w:suppressAutoHyphens/>
        <w:spacing w:before="120" w:line="240" w:lineRule="auto"/>
        <w:ind w:left="714" w:hanging="357"/>
        <w:jc w:val="both"/>
        <w:rPr>
          <w:bCs/>
        </w:rPr>
      </w:pPr>
      <w:r w:rsidRPr="008F68C0">
        <w:rPr>
          <w:rFonts w:ascii="Arial" w:hAnsi="Arial" w:cs="Arial"/>
          <w:bCs/>
          <w:szCs w:val="20"/>
        </w:rPr>
        <w:t>Composante 2 : Amélioration de l’inclusion énergétique et numérique.</w:t>
      </w:r>
    </w:p>
    <w:p w14:paraId="0DC90D51" w14:textId="77777777" w:rsidR="00AC4FA3" w:rsidRPr="008F68C0" w:rsidRDefault="00AC4FA3" w:rsidP="0044500E">
      <w:pPr>
        <w:numPr>
          <w:ilvl w:val="0"/>
          <w:numId w:val="170"/>
        </w:numPr>
        <w:suppressAutoHyphens/>
        <w:spacing w:before="120" w:line="240" w:lineRule="auto"/>
        <w:ind w:left="714" w:hanging="357"/>
        <w:jc w:val="both"/>
        <w:rPr>
          <w:bCs/>
        </w:rPr>
      </w:pPr>
      <w:r w:rsidRPr="008F68C0">
        <w:rPr>
          <w:rFonts w:ascii="Arial" w:hAnsi="Arial" w:cs="Arial"/>
          <w:bCs/>
          <w:szCs w:val="20"/>
        </w:rPr>
        <w:t>Composante 3 : Soutien de l’environnement favorable à l’énergie verte et à l’infrastructure numérique.</w:t>
      </w:r>
    </w:p>
    <w:p w14:paraId="751095AB" w14:textId="77777777" w:rsidR="00AC4FA3" w:rsidRPr="008F68C0" w:rsidRDefault="00AC4FA3" w:rsidP="0044500E">
      <w:pPr>
        <w:numPr>
          <w:ilvl w:val="0"/>
          <w:numId w:val="170"/>
        </w:numPr>
        <w:suppressAutoHyphens/>
        <w:spacing w:before="120" w:line="240" w:lineRule="auto"/>
        <w:ind w:left="714" w:hanging="357"/>
        <w:jc w:val="both"/>
        <w:rPr>
          <w:bCs/>
        </w:rPr>
      </w:pPr>
      <w:r w:rsidRPr="008F68C0">
        <w:rPr>
          <w:rFonts w:ascii="Arial" w:hAnsi="Arial" w:cs="Arial"/>
          <w:bCs/>
          <w:szCs w:val="20"/>
        </w:rPr>
        <w:t xml:space="preserve">Composante 4 : Gestion du projet et soutien à la mise en œuvre. </w:t>
      </w:r>
    </w:p>
    <w:p w14:paraId="184AB8A2" w14:textId="77777777" w:rsidR="00315772" w:rsidRPr="008F68C0" w:rsidRDefault="00AC4FA3" w:rsidP="00B434A6">
      <w:pPr>
        <w:suppressAutoHyphens/>
        <w:spacing w:before="120" w:line="240" w:lineRule="auto"/>
        <w:ind w:left="714"/>
        <w:jc w:val="both"/>
        <w:rPr>
          <w:rFonts w:ascii="Arial" w:hAnsi="Arial" w:cs="Arial"/>
          <w:bCs/>
          <w:szCs w:val="20"/>
        </w:rPr>
      </w:pPr>
      <w:r w:rsidRPr="008F68C0">
        <w:rPr>
          <w:rFonts w:ascii="Arial" w:hAnsi="Arial" w:cs="Arial"/>
          <w:bCs/>
          <w:szCs w:val="20"/>
        </w:rPr>
        <w:t>Composante 5 : Composante de réponse d’urgence contingente ou Contingent Emergency Response Component (CERC)</w:t>
      </w:r>
    </w:p>
    <w:p w14:paraId="0599EDE8" w14:textId="77777777" w:rsidR="0098339B" w:rsidRPr="00742D67" w:rsidRDefault="000A5DA6" w:rsidP="00B434A6">
      <w:pPr>
        <w:spacing w:line="240" w:lineRule="auto"/>
        <w:jc w:val="both"/>
        <w:rPr>
          <w:rFonts w:ascii="Arial" w:hAnsi="Arial" w:cs="Arial"/>
        </w:rPr>
      </w:pPr>
      <w:r w:rsidRPr="000A5DA6">
        <w:rPr>
          <w:rFonts w:ascii="Arial" w:hAnsi="Arial" w:cs="Arial"/>
        </w:rPr>
        <w:t>Parmi ces 5 composantes, les activités des composantes 1</w:t>
      </w:r>
      <w:r w:rsidR="00524CF6">
        <w:rPr>
          <w:rFonts w:ascii="Arial" w:hAnsi="Arial" w:cs="Arial"/>
        </w:rPr>
        <w:t>, 2</w:t>
      </w:r>
      <w:r w:rsidRPr="000A5DA6">
        <w:rPr>
          <w:rFonts w:ascii="Arial" w:hAnsi="Arial" w:cs="Arial"/>
        </w:rPr>
        <w:t xml:space="preserve"> et </w:t>
      </w:r>
      <w:r w:rsidR="00524CF6">
        <w:rPr>
          <w:rFonts w:ascii="Arial" w:hAnsi="Arial" w:cs="Arial"/>
        </w:rPr>
        <w:t>3</w:t>
      </w:r>
      <w:r w:rsidRPr="000A5DA6">
        <w:rPr>
          <w:rFonts w:ascii="Arial" w:hAnsi="Arial" w:cs="Arial"/>
        </w:rPr>
        <w:t xml:space="preserve"> sont couvertes  par le présent CGES</w:t>
      </w:r>
      <w:r>
        <w:rPr>
          <w:rFonts w:ascii="Arial" w:hAnsi="Arial" w:cs="Arial"/>
        </w:rPr>
        <w:t>.</w:t>
      </w:r>
      <w:r w:rsidR="00315772" w:rsidRPr="00742D67">
        <w:rPr>
          <w:rFonts w:ascii="Arial" w:hAnsi="Arial" w:cs="Arial"/>
        </w:rPr>
        <w:t xml:space="preserve">  </w:t>
      </w:r>
    </w:p>
    <w:p w14:paraId="7D488298" w14:textId="77777777" w:rsidR="00AC4FA3" w:rsidRDefault="00AC4FA3" w:rsidP="0044500E">
      <w:pPr>
        <w:pStyle w:val="Paragraphedeliste"/>
        <w:numPr>
          <w:ilvl w:val="0"/>
          <w:numId w:val="175"/>
        </w:numPr>
        <w:suppressAutoHyphens/>
        <w:spacing w:before="240" w:after="120" w:line="240" w:lineRule="auto"/>
        <w:ind w:left="714" w:hanging="357"/>
        <w:jc w:val="both"/>
      </w:pPr>
      <w:r>
        <w:rPr>
          <w:rFonts w:ascii="Arial" w:hAnsi="Arial" w:cs="Arial"/>
          <w:b/>
        </w:rPr>
        <w:t>ZONES D’INTERVENTION DU PROJET</w:t>
      </w:r>
    </w:p>
    <w:p w14:paraId="61C6EC97" w14:textId="77777777" w:rsidR="00AC4FA3" w:rsidRDefault="00AC4FA3" w:rsidP="00AC4FA3">
      <w:pPr>
        <w:spacing w:line="240" w:lineRule="auto"/>
        <w:jc w:val="both"/>
      </w:pPr>
      <w:r>
        <w:rPr>
          <w:rFonts w:ascii="Arial" w:hAnsi="Arial" w:cs="Arial"/>
        </w:rPr>
        <w:t xml:space="preserve">Le projet DECIM adopte une approche nationale, c’est-à-dire que les 23 régions de Madagascar sont des zones potentielles d’intervention du Projet. Dans la phase actuelle de préparation du projet, les sites prioritaires d’intervention ou du moins les régions cibles ne sont pas encore définis. </w:t>
      </w:r>
    </w:p>
    <w:p w14:paraId="276F41F0" w14:textId="77777777" w:rsidR="00AC4FA3" w:rsidRDefault="00AC4FA3" w:rsidP="0044500E">
      <w:pPr>
        <w:pStyle w:val="Paragraphedeliste"/>
        <w:numPr>
          <w:ilvl w:val="0"/>
          <w:numId w:val="175"/>
        </w:numPr>
        <w:suppressAutoHyphens/>
        <w:spacing w:before="240" w:after="120" w:line="240" w:lineRule="auto"/>
        <w:ind w:left="714" w:hanging="357"/>
        <w:jc w:val="both"/>
      </w:pPr>
      <w:r>
        <w:rPr>
          <w:rFonts w:ascii="Arial" w:hAnsi="Arial" w:cs="Arial"/>
          <w:b/>
        </w:rPr>
        <w:t>TYPES D’ACTIVITES POTENTIELLES</w:t>
      </w:r>
    </w:p>
    <w:p w14:paraId="724148EF" w14:textId="77777777" w:rsidR="00AC4FA3" w:rsidRDefault="00AC4FA3" w:rsidP="00AC4FA3">
      <w:pPr>
        <w:spacing w:line="240" w:lineRule="auto"/>
        <w:jc w:val="both"/>
      </w:pPr>
      <w:r>
        <w:rPr>
          <w:rFonts w:ascii="Arial" w:hAnsi="Arial" w:cs="Arial"/>
        </w:rPr>
        <w:t>Au cours de l’élaboration de ce document, le projet étant à sa phase de préparation, les activités à mettre en œuvre ne sont pas encore bien définies. Toutefois, des types d’activités peuvent être énoncés en analysant les différentes sous-composantes stipulées dans les divers documents relatifs à la constitution du projet. Il faut souligner que les activités citées ci-après ne revêtent pas un caractère exhaustif :</w:t>
      </w:r>
    </w:p>
    <w:p w14:paraId="4D97F43B" w14:textId="77777777" w:rsidR="00AC4FA3" w:rsidRDefault="00AC4FA3" w:rsidP="0044500E">
      <w:pPr>
        <w:pStyle w:val="Paragraphedeliste"/>
        <w:numPr>
          <w:ilvl w:val="1"/>
          <w:numId w:val="171"/>
        </w:numPr>
        <w:suppressAutoHyphens/>
        <w:spacing w:after="0" w:line="240" w:lineRule="auto"/>
        <w:jc w:val="both"/>
      </w:pPr>
      <w:r>
        <w:rPr>
          <w:rFonts w:ascii="Arial" w:hAnsi="Arial" w:cs="Arial"/>
          <w:szCs w:val="20"/>
        </w:rPr>
        <w:t xml:space="preserve">Hybridation des réseaux isolés à base de centrales thermiques par de l’énergie renouvelable </w:t>
      </w:r>
      <w:r w:rsidR="00FE1415">
        <w:rPr>
          <w:rFonts w:ascii="Arial" w:hAnsi="Arial" w:cs="Arial"/>
          <w:szCs w:val="20"/>
        </w:rPr>
        <w:t xml:space="preserve">dont des systèmes solaires </w:t>
      </w:r>
      <w:r>
        <w:rPr>
          <w:rFonts w:ascii="Arial" w:hAnsi="Arial" w:cs="Arial"/>
          <w:szCs w:val="20"/>
        </w:rPr>
        <w:t>avec dotation de batteries</w:t>
      </w:r>
      <w:r w:rsidR="00FE1415">
        <w:rPr>
          <w:rFonts w:ascii="Arial" w:hAnsi="Arial" w:cs="Arial"/>
          <w:szCs w:val="20"/>
        </w:rPr>
        <w:t xml:space="preserve"> ou des centrales hydroélectriques</w:t>
      </w:r>
      <w:r>
        <w:rPr>
          <w:rFonts w:ascii="Arial" w:hAnsi="Arial" w:cs="Arial"/>
          <w:szCs w:val="20"/>
        </w:rPr>
        <w:t> ;</w:t>
      </w:r>
    </w:p>
    <w:p w14:paraId="59815B91" w14:textId="77777777" w:rsidR="00AC4FA3" w:rsidRDefault="00AC4FA3" w:rsidP="0044500E">
      <w:pPr>
        <w:pStyle w:val="Paragraphedeliste"/>
        <w:numPr>
          <w:ilvl w:val="1"/>
          <w:numId w:val="171"/>
        </w:numPr>
        <w:suppressAutoHyphens/>
        <w:spacing w:after="0" w:line="240" w:lineRule="auto"/>
        <w:jc w:val="both"/>
      </w:pPr>
      <w:r>
        <w:rPr>
          <w:rFonts w:ascii="Arial" w:hAnsi="Arial" w:cs="Arial"/>
          <w:szCs w:val="20"/>
        </w:rPr>
        <w:t>Installation de mini-réseaux d’énergie renouvelable ;</w:t>
      </w:r>
    </w:p>
    <w:p w14:paraId="52A2A53D" w14:textId="77777777" w:rsidR="00AC4FA3" w:rsidRDefault="00AC4FA3" w:rsidP="0044500E">
      <w:pPr>
        <w:pStyle w:val="Paragraphedeliste"/>
        <w:numPr>
          <w:ilvl w:val="1"/>
          <w:numId w:val="171"/>
        </w:numPr>
        <w:suppressAutoHyphens/>
        <w:spacing w:after="0" w:line="240" w:lineRule="auto"/>
        <w:jc w:val="both"/>
      </w:pPr>
      <w:r>
        <w:rPr>
          <w:rFonts w:ascii="Arial" w:hAnsi="Arial" w:cs="Arial"/>
          <w:szCs w:val="20"/>
        </w:rPr>
        <w:t>Densification et extension des réseaux électriques existants ;</w:t>
      </w:r>
    </w:p>
    <w:p w14:paraId="44A9EDA7" w14:textId="77777777" w:rsidR="00AC4FA3" w:rsidRDefault="00AC4FA3" w:rsidP="0044500E">
      <w:pPr>
        <w:pStyle w:val="Paragraphedeliste"/>
        <w:numPr>
          <w:ilvl w:val="1"/>
          <w:numId w:val="171"/>
        </w:numPr>
        <w:suppressAutoHyphens/>
        <w:spacing w:after="0" w:line="240" w:lineRule="auto"/>
        <w:jc w:val="both"/>
      </w:pPr>
      <w:r>
        <w:rPr>
          <w:rFonts w:ascii="Arial" w:hAnsi="Arial" w:cs="Arial"/>
          <w:szCs w:val="20"/>
        </w:rPr>
        <w:t>Déploiement de technologie intelligente pour une gestion efficace et plus écologique ;</w:t>
      </w:r>
    </w:p>
    <w:p w14:paraId="460EE700" w14:textId="77777777" w:rsidR="00AC4FA3" w:rsidRDefault="00AC4FA3" w:rsidP="0044500E">
      <w:pPr>
        <w:pStyle w:val="Paragraphedeliste"/>
        <w:numPr>
          <w:ilvl w:val="1"/>
          <w:numId w:val="171"/>
        </w:numPr>
        <w:suppressAutoHyphens/>
        <w:spacing w:after="0" w:line="240" w:lineRule="auto"/>
        <w:jc w:val="both"/>
      </w:pPr>
      <w:r>
        <w:rPr>
          <w:rFonts w:ascii="Arial" w:hAnsi="Arial" w:cs="Arial"/>
          <w:szCs w:val="20"/>
        </w:rPr>
        <w:t>Installation d’infrastructures numériques (exemple tours cellulaires avec stations de base à large bande et réseau 4G ou plus</w:t>
      </w:r>
      <w:r w:rsidR="00F81D29">
        <w:rPr>
          <w:rFonts w:ascii="Arial" w:hAnsi="Arial" w:cs="Arial"/>
          <w:szCs w:val="20"/>
        </w:rPr>
        <w:t>)</w:t>
      </w:r>
      <w:r>
        <w:rPr>
          <w:rFonts w:ascii="Arial" w:hAnsi="Arial" w:cs="Arial"/>
          <w:szCs w:val="20"/>
        </w:rPr>
        <w:t> ;</w:t>
      </w:r>
    </w:p>
    <w:p w14:paraId="44C0C1D8" w14:textId="77777777" w:rsidR="00AC4FA3" w:rsidRDefault="00AC4FA3" w:rsidP="0044500E">
      <w:pPr>
        <w:pStyle w:val="Paragraphedeliste"/>
        <w:numPr>
          <w:ilvl w:val="1"/>
          <w:numId w:val="171"/>
        </w:numPr>
        <w:suppressAutoHyphens/>
        <w:spacing w:after="0" w:line="240" w:lineRule="auto"/>
        <w:jc w:val="both"/>
      </w:pPr>
      <w:r>
        <w:rPr>
          <w:rFonts w:ascii="Arial" w:hAnsi="Arial" w:cs="Arial"/>
          <w:szCs w:val="20"/>
        </w:rPr>
        <w:t xml:space="preserve">Facilité d’accès aux produits </w:t>
      </w:r>
      <w:r w:rsidR="000A5DA6" w:rsidRPr="000A5DA6">
        <w:rPr>
          <w:rFonts w:ascii="Arial" w:hAnsi="Arial" w:cs="Arial"/>
          <w:szCs w:val="20"/>
        </w:rPr>
        <w:t xml:space="preserve">de Technologie Solaire Hors Réseau (TSHR) </w:t>
      </w:r>
      <w:r>
        <w:rPr>
          <w:rFonts w:ascii="Arial" w:hAnsi="Arial" w:cs="Arial"/>
          <w:szCs w:val="20"/>
        </w:rPr>
        <w:t xml:space="preserve"> et matériels et équipements numériques (téléphone portable, ordinateur portable, etc.)</w:t>
      </w:r>
    </w:p>
    <w:p w14:paraId="31D942F4" w14:textId="77777777" w:rsidR="00AC4FA3" w:rsidRDefault="00AC4FA3" w:rsidP="0044500E">
      <w:pPr>
        <w:pStyle w:val="Paragraphedeliste"/>
        <w:numPr>
          <w:ilvl w:val="1"/>
          <w:numId w:val="171"/>
        </w:numPr>
        <w:suppressAutoHyphens/>
        <w:spacing w:after="0" w:line="240" w:lineRule="auto"/>
        <w:jc w:val="both"/>
      </w:pPr>
      <w:r>
        <w:rPr>
          <w:rFonts w:ascii="Arial" w:hAnsi="Arial" w:cs="Arial"/>
          <w:szCs w:val="20"/>
        </w:rPr>
        <w:t>Mise en œuvre de solutions de financement aux utilisateurs (fournisseurs de TSHR, de servies numériques, populations cibles …) sous forme de subventions, de</w:t>
      </w:r>
      <w:r w:rsidR="000A5DA6" w:rsidRPr="000A5DA6">
        <w:t xml:space="preserve"> </w:t>
      </w:r>
      <w:r w:rsidR="000A5DA6" w:rsidRPr="000A5DA6">
        <w:rPr>
          <w:rFonts w:ascii="Arial" w:hAnsi="Arial" w:cs="Arial"/>
          <w:szCs w:val="20"/>
        </w:rPr>
        <w:t>Financement Axé sur les Résultats (FAR)</w:t>
      </w:r>
      <w:r>
        <w:rPr>
          <w:rFonts w:ascii="Arial" w:hAnsi="Arial" w:cs="Arial"/>
          <w:szCs w:val="20"/>
        </w:rPr>
        <w:t>, de crédits ;</w:t>
      </w:r>
    </w:p>
    <w:p w14:paraId="76EA490E" w14:textId="77777777" w:rsidR="00AC4FA3" w:rsidRDefault="00AC4FA3" w:rsidP="0044500E">
      <w:pPr>
        <w:pStyle w:val="Paragraphedeliste"/>
        <w:numPr>
          <w:ilvl w:val="1"/>
          <w:numId w:val="171"/>
        </w:numPr>
        <w:suppressAutoHyphens/>
        <w:spacing w:after="0" w:line="240" w:lineRule="auto"/>
        <w:jc w:val="both"/>
      </w:pPr>
      <w:r>
        <w:rPr>
          <w:rFonts w:ascii="Arial" w:hAnsi="Arial" w:cs="Arial"/>
          <w:szCs w:val="20"/>
        </w:rPr>
        <w:t>Alphabétisation numérique ;</w:t>
      </w:r>
    </w:p>
    <w:p w14:paraId="150183B1" w14:textId="77777777" w:rsidR="00AC4FA3" w:rsidRDefault="00AC4FA3" w:rsidP="0044500E">
      <w:pPr>
        <w:pStyle w:val="Paragraphedeliste"/>
        <w:numPr>
          <w:ilvl w:val="1"/>
          <w:numId w:val="171"/>
        </w:numPr>
        <w:suppressAutoHyphens/>
        <w:spacing w:after="0" w:line="240" w:lineRule="auto"/>
        <w:jc w:val="both"/>
      </w:pPr>
      <w:r>
        <w:rPr>
          <w:rFonts w:ascii="Arial" w:hAnsi="Arial" w:cs="Arial"/>
          <w:szCs w:val="20"/>
        </w:rPr>
        <w:t>Campagnes de sensibilisation et d’information sur les services numériques et les possibilités offertes par les énergies renouvelables</w:t>
      </w:r>
      <w:r w:rsidR="00F81D29">
        <w:rPr>
          <w:rFonts w:ascii="Arial" w:hAnsi="Arial" w:cs="Arial"/>
          <w:szCs w:val="20"/>
        </w:rPr>
        <w:t> ;</w:t>
      </w:r>
    </w:p>
    <w:p w14:paraId="7625DC76" w14:textId="77777777" w:rsidR="00AC4FA3" w:rsidRDefault="00AC4FA3" w:rsidP="0044500E">
      <w:pPr>
        <w:pStyle w:val="Paragraphedeliste"/>
        <w:numPr>
          <w:ilvl w:val="1"/>
          <w:numId w:val="171"/>
        </w:numPr>
        <w:suppressAutoHyphens/>
        <w:spacing w:after="0" w:line="240" w:lineRule="auto"/>
        <w:jc w:val="both"/>
      </w:pPr>
      <w:r>
        <w:rPr>
          <w:rFonts w:ascii="Arial" w:hAnsi="Arial" w:cs="Arial"/>
          <w:szCs w:val="20"/>
        </w:rPr>
        <w:t>Installation de la connectivité numérique et énergétique aux infrastructures sociales publiques (écoles, centres de santé, bureau de poste, etc.) ;</w:t>
      </w:r>
    </w:p>
    <w:p w14:paraId="25879FCB" w14:textId="77777777" w:rsidR="00AC4FA3" w:rsidRDefault="00AC4FA3" w:rsidP="0044500E">
      <w:pPr>
        <w:pStyle w:val="Paragraphedeliste"/>
        <w:numPr>
          <w:ilvl w:val="1"/>
          <w:numId w:val="171"/>
        </w:numPr>
        <w:suppressAutoHyphens/>
        <w:spacing w:after="0" w:line="240" w:lineRule="auto"/>
        <w:jc w:val="both"/>
      </w:pPr>
      <w:r>
        <w:rPr>
          <w:rFonts w:ascii="Arial" w:hAnsi="Arial" w:cs="Arial"/>
          <w:szCs w:val="20"/>
        </w:rPr>
        <w:lastRenderedPageBreak/>
        <w:t>Elargissement des points WIFI gratuits initiés par le ministère chargé des postes et télécommunications</w:t>
      </w:r>
      <w:r w:rsidR="00F81D29">
        <w:rPr>
          <w:rFonts w:ascii="Arial" w:hAnsi="Arial" w:cs="Arial"/>
          <w:szCs w:val="20"/>
        </w:rPr>
        <w:t> ;</w:t>
      </w:r>
    </w:p>
    <w:p w14:paraId="5F09EB36" w14:textId="77777777" w:rsidR="00AC4FA3" w:rsidRDefault="00AC4FA3" w:rsidP="0044500E">
      <w:pPr>
        <w:pStyle w:val="Paragraphedeliste"/>
        <w:numPr>
          <w:ilvl w:val="1"/>
          <w:numId w:val="171"/>
        </w:numPr>
        <w:suppressAutoHyphens/>
        <w:spacing w:after="0" w:line="240" w:lineRule="auto"/>
        <w:jc w:val="both"/>
      </w:pPr>
      <w:r>
        <w:rPr>
          <w:rFonts w:ascii="Arial" w:hAnsi="Arial" w:cs="Arial"/>
          <w:szCs w:val="20"/>
        </w:rPr>
        <w:t>Fournitures d’assistances techniques diverses</w:t>
      </w:r>
      <w:r w:rsidR="00F81D29">
        <w:rPr>
          <w:rFonts w:ascii="Arial" w:hAnsi="Arial" w:cs="Arial"/>
          <w:szCs w:val="20"/>
        </w:rPr>
        <w:t> ;</w:t>
      </w:r>
    </w:p>
    <w:p w14:paraId="1A9166DD" w14:textId="77777777" w:rsidR="00AC4FA3" w:rsidRDefault="00AC4FA3" w:rsidP="0044500E">
      <w:pPr>
        <w:pStyle w:val="Paragraphedeliste"/>
        <w:numPr>
          <w:ilvl w:val="1"/>
          <w:numId w:val="171"/>
        </w:numPr>
        <w:suppressAutoHyphens/>
        <w:spacing w:after="0" w:line="240" w:lineRule="auto"/>
        <w:jc w:val="both"/>
      </w:pPr>
      <w:r>
        <w:rPr>
          <w:rFonts w:ascii="Arial" w:hAnsi="Arial" w:cs="Arial"/>
          <w:szCs w:val="20"/>
        </w:rPr>
        <w:t>Renforcement de</w:t>
      </w:r>
      <w:r w:rsidR="00F81D29">
        <w:rPr>
          <w:rFonts w:ascii="Arial" w:hAnsi="Arial" w:cs="Arial"/>
          <w:szCs w:val="20"/>
        </w:rPr>
        <w:t>s</w:t>
      </w:r>
      <w:r>
        <w:rPr>
          <w:rFonts w:ascii="Arial" w:hAnsi="Arial" w:cs="Arial"/>
          <w:szCs w:val="20"/>
        </w:rPr>
        <w:t xml:space="preserve"> capacité</w:t>
      </w:r>
      <w:r w:rsidR="00F81D29">
        <w:rPr>
          <w:rFonts w:ascii="Arial" w:hAnsi="Arial" w:cs="Arial"/>
          <w:szCs w:val="20"/>
        </w:rPr>
        <w:t>s</w:t>
      </w:r>
      <w:r>
        <w:rPr>
          <w:rFonts w:ascii="Arial" w:hAnsi="Arial" w:cs="Arial"/>
          <w:szCs w:val="20"/>
        </w:rPr>
        <w:t xml:space="preserve"> technique</w:t>
      </w:r>
      <w:r w:rsidR="00F81D29">
        <w:rPr>
          <w:rFonts w:ascii="Arial" w:hAnsi="Arial" w:cs="Arial"/>
          <w:szCs w:val="20"/>
        </w:rPr>
        <w:t>s</w:t>
      </w:r>
      <w:r>
        <w:rPr>
          <w:rFonts w:ascii="Arial" w:hAnsi="Arial" w:cs="Arial"/>
          <w:szCs w:val="20"/>
        </w:rPr>
        <w:t xml:space="preserve"> des institutions sectorielles (énergie, numérique) ;</w:t>
      </w:r>
    </w:p>
    <w:p w14:paraId="5723E382" w14:textId="77777777" w:rsidR="00AC4FA3" w:rsidRPr="00FB18DB" w:rsidRDefault="00AC4FA3" w:rsidP="0044500E">
      <w:pPr>
        <w:pStyle w:val="Paragraphedeliste"/>
        <w:numPr>
          <w:ilvl w:val="1"/>
          <w:numId w:val="171"/>
        </w:numPr>
        <w:suppressAutoHyphens/>
        <w:spacing w:after="0" w:line="240" w:lineRule="auto"/>
        <w:ind w:left="1077" w:hanging="357"/>
        <w:jc w:val="both"/>
      </w:pPr>
      <w:r>
        <w:rPr>
          <w:rFonts w:ascii="Arial" w:hAnsi="Arial" w:cs="Arial"/>
          <w:szCs w:val="20"/>
        </w:rPr>
        <w:t>Renforcement de l’environnement politique, juridique, et règlementaire dans les secteurs de l’énergie et du numérique.</w:t>
      </w:r>
    </w:p>
    <w:p w14:paraId="16DBC70C" w14:textId="77777777" w:rsidR="00AC4FA3" w:rsidRDefault="00AC4FA3" w:rsidP="00AC4FA3">
      <w:pPr>
        <w:pStyle w:val="Paragraphedeliste"/>
        <w:spacing w:beforeAutospacing="1" w:after="240" w:line="240" w:lineRule="auto"/>
        <w:ind w:left="1077"/>
        <w:jc w:val="both"/>
        <w:rPr>
          <w:rFonts w:ascii="Arial" w:hAnsi="Arial" w:cs="Arial"/>
          <w:szCs w:val="20"/>
        </w:rPr>
      </w:pPr>
    </w:p>
    <w:p w14:paraId="086FE284" w14:textId="77777777" w:rsidR="00AC4FA3" w:rsidRDefault="00AC4FA3" w:rsidP="0044500E">
      <w:pPr>
        <w:pStyle w:val="Paragraphedeliste"/>
        <w:numPr>
          <w:ilvl w:val="0"/>
          <w:numId w:val="175"/>
        </w:numPr>
        <w:suppressAutoHyphens/>
        <w:spacing w:before="240" w:after="120" w:line="240" w:lineRule="auto"/>
        <w:ind w:left="714" w:hanging="357"/>
        <w:jc w:val="both"/>
      </w:pPr>
      <w:r>
        <w:rPr>
          <w:rFonts w:ascii="Arial" w:hAnsi="Arial" w:cs="Arial"/>
          <w:b/>
        </w:rPr>
        <w:t>DESCRIPTION DU MILIEU RECEPTEUR</w:t>
      </w:r>
    </w:p>
    <w:p w14:paraId="47519C8C" w14:textId="77777777" w:rsidR="00AC4FA3" w:rsidRDefault="00AC4FA3" w:rsidP="00AC4FA3">
      <w:pPr>
        <w:spacing w:line="240" w:lineRule="auto"/>
        <w:ind w:left="1416"/>
        <w:jc w:val="both"/>
      </w:pPr>
      <w:r>
        <w:rPr>
          <w:rFonts w:ascii="Arial" w:hAnsi="Arial" w:cs="Arial"/>
          <w:b/>
          <w:i/>
        </w:rPr>
        <w:t>CLIMAT</w:t>
      </w:r>
    </w:p>
    <w:p w14:paraId="20EF8259" w14:textId="77777777" w:rsidR="00AC4FA3" w:rsidRPr="00327DB6" w:rsidRDefault="00AC4FA3" w:rsidP="00AC4FA3">
      <w:pPr>
        <w:spacing w:line="240" w:lineRule="auto"/>
        <w:jc w:val="both"/>
        <w:rPr>
          <w:rFonts w:ascii="Arial" w:hAnsi="Arial" w:cs="Arial"/>
        </w:rPr>
      </w:pPr>
      <w:r>
        <w:rPr>
          <w:rFonts w:ascii="Arial" w:hAnsi="Arial" w:cs="Arial"/>
        </w:rPr>
        <w:t>Le climat de Madagascar est entre autres caractérisé par le régime des précipitations et de température</w:t>
      </w:r>
      <w:r w:rsidR="00FE1415">
        <w:rPr>
          <w:rFonts w:ascii="Arial" w:hAnsi="Arial" w:cs="Arial"/>
        </w:rPr>
        <w:t>s</w:t>
      </w:r>
      <w:r>
        <w:rPr>
          <w:rFonts w:ascii="Arial" w:hAnsi="Arial" w:cs="Arial"/>
        </w:rPr>
        <w:t>. La partie Est de l’</w:t>
      </w:r>
      <w:r w:rsidR="00FE1415">
        <w:rPr>
          <w:rFonts w:ascii="Arial" w:hAnsi="Arial" w:cs="Arial"/>
        </w:rPr>
        <w:t>î</w:t>
      </w:r>
      <w:r>
        <w:rPr>
          <w:rFonts w:ascii="Arial" w:hAnsi="Arial" w:cs="Arial"/>
        </w:rPr>
        <w:t>le est la plus arrosée avec plus de 3000 mm de pluie</w:t>
      </w:r>
      <w:r w:rsidR="00F81D29">
        <w:rPr>
          <w:rFonts w:ascii="Arial" w:hAnsi="Arial" w:cs="Arial"/>
        </w:rPr>
        <w:t>s</w:t>
      </w:r>
      <w:r>
        <w:rPr>
          <w:rFonts w:ascii="Arial" w:hAnsi="Arial" w:cs="Arial"/>
        </w:rPr>
        <w:t xml:space="preserve"> par an, tandis que la partie Sud-Ouest est la plus aride avec moins de 400 mm de pluie</w:t>
      </w:r>
      <w:r w:rsidR="00F81D29">
        <w:rPr>
          <w:rFonts w:ascii="Arial" w:hAnsi="Arial" w:cs="Arial"/>
        </w:rPr>
        <w:t>s</w:t>
      </w:r>
      <w:r>
        <w:rPr>
          <w:rFonts w:ascii="Arial" w:hAnsi="Arial" w:cs="Arial"/>
        </w:rPr>
        <w:t xml:space="preserve"> annuelle</w:t>
      </w:r>
      <w:r w:rsidR="00F81D29">
        <w:rPr>
          <w:rFonts w:ascii="Arial" w:hAnsi="Arial" w:cs="Arial"/>
        </w:rPr>
        <w:t>s</w:t>
      </w:r>
      <w:r>
        <w:rPr>
          <w:rFonts w:ascii="Arial" w:hAnsi="Arial" w:cs="Arial"/>
        </w:rPr>
        <w:t xml:space="preserve">. La </w:t>
      </w:r>
      <w:r w:rsidR="00F81D29">
        <w:rPr>
          <w:rFonts w:ascii="Arial" w:hAnsi="Arial" w:cs="Arial"/>
        </w:rPr>
        <w:t>C</w:t>
      </w:r>
      <w:r>
        <w:rPr>
          <w:rFonts w:ascii="Arial" w:hAnsi="Arial" w:cs="Arial"/>
        </w:rPr>
        <w:t xml:space="preserve">ôte Ouest est plus chaude que la </w:t>
      </w:r>
      <w:r w:rsidR="00F81D29">
        <w:rPr>
          <w:rFonts w:ascii="Arial" w:hAnsi="Arial" w:cs="Arial"/>
        </w:rPr>
        <w:t>C</w:t>
      </w:r>
      <w:r>
        <w:rPr>
          <w:rFonts w:ascii="Arial" w:hAnsi="Arial" w:cs="Arial"/>
        </w:rPr>
        <w:t>ôte Est de 1°C à 3°C</w:t>
      </w:r>
      <w:r w:rsidR="00FE1415">
        <w:rPr>
          <w:rFonts w:ascii="Arial" w:hAnsi="Arial" w:cs="Arial"/>
        </w:rPr>
        <w:t xml:space="preserve"> </w:t>
      </w:r>
      <w:r w:rsidR="00F81D29">
        <w:rPr>
          <w:rFonts w:ascii="Arial" w:hAnsi="Arial" w:cs="Arial"/>
        </w:rPr>
        <w:t xml:space="preserve">au </w:t>
      </w:r>
      <w:r w:rsidR="00FE1415">
        <w:rPr>
          <w:rFonts w:ascii="Arial" w:hAnsi="Arial" w:cs="Arial"/>
        </w:rPr>
        <w:t>dessus</w:t>
      </w:r>
      <w:r>
        <w:rPr>
          <w:rFonts w:ascii="Arial" w:hAnsi="Arial" w:cs="Arial"/>
        </w:rPr>
        <w:t xml:space="preserve">. Le maximum de température est atteint pour la plupart des régions en </w:t>
      </w:r>
      <w:r w:rsidR="00FE1415">
        <w:rPr>
          <w:rFonts w:ascii="Arial" w:hAnsi="Arial" w:cs="Arial"/>
        </w:rPr>
        <w:t>janvier</w:t>
      </w:r>
      <w:r>
        <w:rPr>
          <w:rFonts w:ascii="Arial" w:hAnsi="Arial" w:cs="Arial"/>
        </w:rPr>
        <w:t xml:space="preserve"> et </w:t>
      </w:r>
      <w:r w:rsidR="00FE1415">
        <w:rPr>
          <w:rFonts w:ascii="Arial" w:hAnsi="Arial" w:cs="Arial"/>
        </w:rPr>
        <w:t>f</w:t>
      </w:r>
      <w:r>
        <w:rPr>
          <w:rFonts w:ascii="Arial" w:hAnsi="Arial" w:cs="Arial"/>
        </w:rPr>
        <w:t xml:space="preserve">évrier mais, au mois de </w:t>
      </w:r>
      <w:r w:rsidR="00382847">
        <w:rPr>
          <w:rFonts w:ascii="Arial" w:hAnsi="Arial" w:cs="Arial"/>
        </w:rPr>
        <w:t>n</w:t>
      </w:r>
      <w:r>
        <w:rPr>
          <w:rFonts w:ascii="Arial" w:hAnsi="Arial" w:cs="Arial"/>
        </w:rPr>
        <w:t xml:space="preserve">ovembre sur les hauts plateaux et le Nord-Ouest. Le minimum est souvent observé </w:t>
      </w:r>
      <w:r w:rsidR="00F81D29">
        <w:rPr>
          <w:rFonts w:ascii="Arial" w:hAnsi="Arial" w:cs="Arial"/>
        </w:rPr>
        <w:t xml:space="preserve">au </w:t>
      </w:r>
      <w:r>
        <w:rPr>
          <w:rFonts w:ascii="Arial" w:hAnsi="Arial" w:cs="Arial"/>
        </w:rPr>
        <w:t xml:space="preserve">mois de </w:t>
      </w:r>
      <w:r w:rsidR="00FE1415">
        <w:rPr>
          <w:rFonts w:ascii="Arial" w:hAnsi="Arial" w:cs="Arial"/>
        </w:rPr>
        <w:t>juillet</w:t>
      </w:r>
      <w:r w:rsidR="0098339B">
        <w:rPr>
          <w:rFonts w:ascii="Arial" w:hAnsi="Arial" w:cs="Arial"/>
        </w:rPr>
        <w:t>.</w:t>
      </w:r>
      <w:r w:rsidR="00CA3B4E">
        <w:rPr>
          <w:rFonts w:ascii="Arial" w:hAnsi="Arial" w:cs="Arial"/>
        </w:rPr>
        <w:t xml:space="preserve"> Pour l’ensoleillement, </w:t>
      </w:r>
      <w:r w:rsidR="00CA3B4E" w:rsidRPr="00742D67">
        <w:rPr>
          <w:rFonts w:ascii="Arial" w:hAnsi="Arial" w:cs="Arial"/>
        </w:rPr>
        <w:t xml:space="preserve">Madagascar en reçoit environ 2 800 heures par an, ce qui permet de générer une </w:t>
      </w:r>
      <w:r w:rsidR="00CA3B4E" w:rsidRPr="00742D67">
        <w:rPr>
          <w:rFonts w:ascii="Arial" w:hAnsi="Arial" w:cs="Arial"/>
          <w:shd w:val="clear" w:color="auto" w:fill="FFFFFF"/>
        </w:rPr>
        <w:t>énergie solaire de l’ordre de 2 000 kWh/m²/an.</w:t>
      </w:r>
    </w:p>
    <w:p w14:paraId="1F6861DB" w14:textId="77777777" w:rsidR="00AC4FA3" w:rsidRDefault="00AC4FA3" w:rsidP="00AC4FA3">
      <w:pPr>
        <w:spacing w:line="240" w:lineRule="auto"/>
        <w:ind w:left="1416"/>
        <w:jc w:val="both"/>
      </w:pPr>
      <w:r>
        <w:rPr>
          <w:rFonts w:ascii="Arial" w:hAnsi="Arial" w:cs="Arial"/>
          <w:b/>
          <w:i/>
        </w:rPr>
        <w:t>RELIEF</w:t>
      </w:r>
    </w:p>
    <w:p w14:paraId="027EDA04" w14:textId="77777777" w:rsidR="00AC4FA3" w:rsidRDefault="00AC4FA3" w:rsidP="00AC4FA3">
      <w:pPr>
        <w:spacing w:line="240" w:lineRule="auto"/>
        <w:jc w:val="both"/>
      </w:pPr>
      <w:r>
        <w:rPr>
          <w:rFonts w:ascii="Arial" w:hAnsi="Arial" w:cs="Arial"/>
        </w:rPr>
        <w:t xml:space="preserve">Madagascar est caractérisé par </w:t>
      </w:r>
      <w:r w:rsidR="006A1ACD">
        <w:rPr>
          <w:rFonts w:ascii="Arial" w:hAnsi="Arial" w:cs="Arial"/>
        </w:rPr>
        <w:t xml:space="preserve">des </w:t>
      </w:r>
      <w:r>
        <w:rPr>
          <w:rFonts w:ascii="Arial" w:hAnsi="Arial" w:cs="Arial"/>
        </w:rPr>
        <w:t>relief</w:t>
      </w:r>
      <w:r w:rsidR="006A1ACD">
        <w:rPr>
          <w:rFonts w:ascii="Arial" w:hAnsi="Arial" w:cs="Arial"/>
        </w:rPr>
        <w:t>s</w:t>
      </w:r>
      <w:r>
        <w:rPr>
          <w:rFonts w:ascii="Arial" w:hAnsi="Arial" w:cs="Arial"/>
        </w:rPr>
        <w:t xml:space="preserve"> accidenté</w:t>
      </w:r>
      <w:r w:rsidR="006A1ACD">
        <w:rPr>
          <w:rFonts w:ascii="Arial" w:hAnsi="Arial" w:cs="Arial"/>
        </w:rPr>
        <w:t>s</w:t>
      </w:r>
      <w:r>
        <w:rPr>
          <w:rFonts w:ascii="Arial" w:hAnsi="Arial" w:cs="Arial"/>
        </w:rPr>
        <w:t xml:space="preserve"> et ne présente que très peu de surfaces planes. Avec une longueur de 1.500 km du Nord au Sud et 500 km environ d'Est en Ouest, l'île est constituée par un ensemble de hautes terres occupant les 2/3 du pays. Les plus hauts massifs sont localisés sur un axe Nord-Sud décentré vers l'Est, ce qui explique la dissymétrie entre l'Ouest et l'Est de l'île</w:t>
      </w:r>
      <w:r w:rsidR="0098339B">
        <w:rPr>
          <w:rFonts w:ascii="Arial" w:hAnsi="Arial" w:cs="Arial"/>
        </w:rPr>
        <w:t>.</w:t>
      </w:r>
    </w:p>
    <w:p w14:paraId="577E7B8E" w14:textId="77777777" w:rsidR="00AC4FA3" w:rsidRDefault="00AC4FA3" w:rsidP="00AC4FA3">
      <w:pPr>
        <w:spacing w:line="240" w:lineRule="auto"/>
        <w:jc w:val="both"/>
      </w:pPr>
      <w:r>
        <w:rPr>
          <w:rFonts w:ascii="Arial" w:hAnsi="Arial" w:cs="Arial"/>
        </w:rPr>
        <w:t>Les Hautes Terres présente</w:t>
      </w:r>
      <w:r w:rsidR="006A1ACD">
        <w:rPr>
          <w:rFonts w:ascii="Arial" w:hAnsi="Arial" w:cs="Arial"/>
        </w:rPr>
        <w:t>nt</w:t>
      </w:r>
      <w:r>
        <w:rPr>
          <w:rFonts w:ascii="Arial" w:hAnsi="Arial" w:cs="Arial"/>
        </w:rPr>
        <w:t xml:space="preserve"> un relief tourmenté, correspond</w:t>
      </w:r>
      <w:r w:rsidR="00F81D29">
        <w:rPr>
          <w:rFonts w:ascii="Arial" w:hAnsi="Arial" w:cs="Arial"/>
        </w:rPr>
        <w:t>a</w:t>
      </w:r>
      <w:r>
        <w:rPr>
          <w:rFonts w:ascii="Arial" w:hAnsi="Arial" w:cs="Arial"/>
        </w:rPr>
        <w:t xml:space="preserve">nt au socle </w:t>
      </w:r>
      <w:r w:rsidR="006A1ACD">
        <w:rPr>
          <w:rFonts w:ascii="Arial" w:hAnsi="Arial" w:cs="Arial"/>
        </w:rPr>
        <w:t xml:space="preserve">géologique </w:t>
      </w:r>
      <w:r>
        <w:rPr>
          <w:rFonts w:ascii="Arial" w:hAnsi="Arial" w:cs="Arial"/>
        </w:rPr>
        <w:t>précambrien soulevé, faillé et soumis à l'érosion, s'élevant en moyenne entre 800 m et 1.600 m d'altitude ; les hauts reliefs culminent à plus de 2.500 m (Tsaratanana, Andringitra. Ankaratra).</w:t>
      </w:r>
    </w:p>
    <w:p w14:paraId="2A56E7F5" w14:textId="77777777" w:rsidR="00AC4FA3" w:rsidRDefault="00AC4FA3" w:rsidP="00AC4FA3">
      <w:pPr>
        <w:spacing w:line="240" w:lineRule="auto"/>
        <w:jc w:val="both"/>
      </w:pPr>
      <w:r>
        <w:rPr>
          <w:rFonts w:ascii="Arial" w:hAnsi="Arial" w:cs="Arial"/>
        </w:rPr>
        <w:t>Le versant Oriental descend par un escarpement : (falaise) abrupt sur l'Océan Indien, jusqu'au niveau d'une étroite plaine côtière, rectilign</w:t>
      </w:r>
      <w:r w:rsidR="001718D5">
        <w:rPr>
          <w:rFonts w:ascii="Arial" w:hAnsi="Arial" w:cs="Arial"/>
        </w:rPr>
        <w:t>e</w:t>
      </w:r>
      <w:r w:rsidR="006A1ACD">
        <w:rPr>
          <w:rFonts w:ascii="Arial" w:hAnsi="Arial" w:cs="Arial"/>
        </w:rPr>
        <w:t>.</w:t>
      </w:r>
      <w:r>
        <w:rPr>
          <w:rFonts w:ascii="Arial" w:hAnsi="Arial" w:cs="Arial"/>
        </w:rPr>
        <w:t xml:space="preserve"> </w:t>
      </w:r>
      <w:r w:rsidR="006A1ACD">
        <w:rPr>
          <w:rFonts w:ascii="Arial" w:hAnsi="Arial" w:cs="Arial"/>
        </w:rPr>
        <w:t xml:space="preserve">Cette dernière est </w:t>
      </w:r>
      <w:r>
        <w:rPr>
          <w:rFonts w:ascii="Arial" w:hAnsi="Arial" w:cs="Arial"/>
        </w:rPr>
        <w:t>bordée de lagunes reliées artificiellement sur une longueur de 600 km pour former le canal des Pangalanes.</w:t>
      </w:r>
    </w:p>
    <w:p w14:paraId="630D65AA" w14:textId="77777777" w:rsidR="00AC4FA3" w:rsidRDefault="00AC4FA3" w:rsidP="00AC4FA3">
      <w:pPr>
        <w:spacing w:line="240" w:lineRule="auto"/>
        <w:jc w:val="both"/>
      </w:pPr>
      <w:r>
        <w:rPr>
          <w:rFonts w:ascii="Arial" w:hAnsi="Arial" w:cs="Arial"/>
        </w:rPr>
        <w:t xml:space="preserve">Le versant Occidental s'incline par une pente prolongée vers le canal de Mozambique. Le versant </w:t>
      </w:r>
      <w:r w:rsidR="006A1ACD">
        <w:rPr>
          <w:rFonts w:ascii="Arial" w:hAnsi="Arial" w:cs="Arial"/>
        </w:rPr>
        <w:t>Oue</w:t>
      </w:r>
      <w:r>
        <w:rPr>
          <w:rFonts w:ascii="Arial" w:hAnsi="Arial" w:cs="Arial"/>
        </w:rPr>
        <w:t>st caractérisé par l’érosion différentielle des roches sédimentaires. Il en résulte, en dehors des grands bassins de Mahajanga et de Morondava, un paysage de cuestas gréseuses ou calcaires. Les premières sont découpées par de profonds canyons ou morcelées en massifs ruiniformes ; les secondes ont tendance à développer des faciès karstiques plus ou moins prononcés (antsingy, grottes). La côte est découpée de bancs de coraux et d'îles" particulièrement dans le Nord-Ouest.</w:t>
      </w:r>
    </w:p>
    <w:p w14:paraId="1402056D" w14:textId="77777777" w:rsidR="00AC4FA3" w:rsidRDefault="00AC4FA3" w:rsidP="00AC4FA3">
      <w:pPr>
        <w:spacing w:line="240" w:lineRule="auto"/>
        <w:jc w:val="both"/>
      </w:pPr>
      <w:r>
        <w:rPr>
          <w:rFonts w:ascii="Arial" w:hAnsi="Arial" w:cs="Arial"/>
        </w:rPr>
        <w:t>Les régions méridionales, enfin, prennent l'aspect d’une pénéplaine, formée à l'Est par le massif volcanique de l’Androy, à l'Ouest par le plateau calcaire du Mahafaly. Dans l'Extrême Sud, la côte est bordée par un important cordon dunaire.</w:t>
      </w:r>
    </w:p>
    <w:p w14:paraId="2C96D1D5" w14:textId="77777777" w:rsidR="00B05C7F" w:rsidRDefault="00B05C7F" w:rsidP="00AC4FA3">
      <w:pPr>
        <w:spacing w:line="240" w:lineRule="auto"/>
        <w:ind w:left="1416"/>
        <w:jc w:val="both"/>
        <w:rPr>
          <w:rFonts w:ascii="Arial" w:hAnsi="Arial" w:cs="Arial"/>
          <w:b/>
          <w:i/>
        </w:rPr>
      </w:pPr>
    </w:p>
    <w:p w14:paraId="30FCAACD" w14:textId="77777777" w:rsidR="00B05C7F" w:rsidRDefault="00B05C7F" w:rsidP="00AC4FA3">
      <w:pPr>
        <w:spacing w:line="240" w:lineRule="auto"/>
        <w:ind w:left="1416"/>
        <w:jc w:val="both"/>
        <w:rPr>
          <w:rFonts w:ascii="Arial" w:hAnsi="Arial" w:cs="Arial"/>
          <w:b/>
          <w:i/>
        </w:rPr>
      </w:pPr>
    </w:p>
    <w:p w14:paraId="68314CD1" w14:textId="77777777" w:rsidR="00B05C7F" w:rsidRDefault="00B05C7F" w:rsidP="00AC4FA3">
      <w:pPr>
        <w:spacing w:line="240" w:lineRule="auto"/>
        <w:ind w:left="1416"/>
        <w:jc w:val="both"/>
        <w:rPr>
          <w:rFonts w:ascii="Arial" w:hAnsi="Arial" w:cs="Arial"/>
          <w:b/>
          <w:i/>
        </w:rPr>
      </w:pPr>
    </w:p>
    <w:p w14:paraId="465CDFAB" w14:textId="77777777" w:rsidR="00B05C7F" w:rsidRDefault="00B05C7F" w:rsidP="00AC4FA3">
      <w:pPr>
        <w:spacing w:line="240" w:lineRule="auto"/>
        <w:ind w:left="1416"/>
        <w:jc w:val="both"/>
        <w:rPr>
          <w:rFonts w:ascii="Arial" w:hAnsi="Arial" w:cs="Arial"/>
          <w:b/>
          <w:i/>
        </w:rPr>
      </w:pPr>
    </w:p>
    <w:p w14:paraId="73FD729E" w14:textId="77777777" w:rsidR="00AC4FA3" w:rsidRDefault="00AC4FA3" w:rsidP="00AC4FA3">
      <w:pPr>
        <w:spacing w:line="240" w:lineRule="auto"/>
        <w:ind w:left="1416"/>
        <w:jc w:val="both"/>
      </w:pPr>
      <w:r>
        <w:rPr>
          <w:rFonts w:ascii="Arial" w:hAnsi="Arial" w:cs="Arial"/>
          <w:b/>
          <w:i/>
        </w:rPr>
        <w:lastRenderedPageBreak/>
        <w:t>PEDOLOGIE</w:t>
      </w:r>
    </w:p>
    <w:p w14:paraId="5D230CE2" w14:textId="77777777" w:rsidR="00AC4FA3" w:rsidRDefault="00AC4FA3" w:rsidP="00AC4FA3">
      <w:pPr>
        <w:spacing w:line="240" w:lineRule="auto"/>
        <w:jc w:val="both"/>
      </w:pPr>
      <w:r>
        <w:rPr>
          <w:rFonts w:ascii="Arial" w:hAnsi="Arial" w:cs="Arial"/>
        </w:rPr>
        <w:t>Six grandes formations pédologiques caractérisent le sol malagasy selon RIQUIER</w:t>
      </w:r>
      <w:r w:rsidR="00F02637" w:rsidRPr="0A1598FD">
        <w:rPr>
          <w:rFonts w:ascii="Arial" w:hAnsi="Arial" w:cs="Arial"/>
        </w:rPr>
        <w:t>,</w:t>
      </w:r>
      <w:r>
        <w:rPr>
          <w:rFonts w:ascii="Arial" w:hAnsi="Arial" w:cs="Arial"/>
        </w:rPr>
        <w:t xml:space="preserve"> R. et MOUREAUX</w:t>
      </w:r>
      <w:r w:rsidR="00F02637" w:rsidRPr="0A1598FD">
        <w:rPr>
          <w:rFonts w:ascii="Arial" w:hAnsi="Arial" w:cs="Arial"/>
        </w:rPr>
        <w:t>,</w:t>
      </w:r>
      <w:r>
        <w:rPr>
          <w:rFonts w:ascii="Arial" w:hAnsi="Arial" w:cs="Arial"/>
        </w:rPr>
        <w:t xml:space="preserve"> C</w:t>
      </w:r>
      <w:r w:rsidR="00F02637" w:rsidRPr="0A1598FD">
        <w:rPr>
          <w:rFonts w:ascii="Arial" w:hAnsi="Arial" w:cs="Arial"/>
        </w:rPr>
        <w:t>.</w:t>
      </w:r>
      <w:r>
        <w:rPr>
          <w:rFonts w:ascii="Arial" w:hAnsi="Arial" w:cs="Arial"/>
        </w:rPr>
        <w:t xml:space="preserve"> en 1957</w:t>
      </w:r>
      <w:r>
        <w:rPr>
          <w:rStyle w:val="Ancredenotedebasdepage"/>
          <w:rFonts w:ascii="Arial" w:hAnsi="Arial" w:cs="Arial"/>
        </w:rPr>
        <w:footnoteReference w:id="2"/>
      </w:r>
      <w:r>
        <w:rPr>
          <w:rFonts w:ascii="Arial" w:hAnsi="Arial" w:cs="Arial"/>
        </w:rPr>
        <w:t xml:space="preserve"> dont : </w:t>
      </w:r>
    </w:p>
    <w:p w14:paraId="24B2331D" w14:textId="77777777" w:rsidR="00AC4FA3" w:rsidRDefault="00AC4FA3" w:rsidP="0044500E">
      <w:pPr>
        <w:pStyle w:val="Paragraphedeliste"/>
        <w:numPr>
          <w:ilvl w:val="0"/>
          <w:numId w:val="172"/>
        </w:numPr>
        <w:suppressAutoHyphens/>
        <w:spacing w:line="240" w:lineRule="auto"/>
        <w:jc w:val="both"/>
      </w:pPr>
      <w:r>
        <w:rPr>
          <w:rFonts w:ascii="Arial" w:hAnsi="Arial" w:cs="Arial"/>
        </w:rPr>
        <w:t xml:space="preserve">Les sols </w:t>
      </w:r>
      <w:r w:rsidR="00A0319C">
        <w:rPr>
          <w:rFonts w:ascii="Arial" w:hAnsi="Arial" w:cs="Arial"/>
        </w:rPr>
        <w:t>ferralitiques</w:t>
      </w:r>
    </w:p>
    <w:p w14:paraId="635FA06C" w14:textId="77777777" w:rsidR="00AC4FA3" w:rsidRDefault="00AC4FA3" w:rsidP="0044500E">
      <w:pPr>
        <w:pStyle w:val="Paragraphedeliste"/>
        <w:numPr>
          <w:ilvl w:val="0"/>
          <w:numId w:val="172"/>
        </w:numPr>
        <w:suppressAutoHyphens/>
        <w:spacing w:line="240" w:lineRule="auto"/>
        <w:jc w:val="both"/>
      </w:pPr>
      <w:r>
        <w:rPr>
          <w:rFonts w:ascii="Arial" w:hAnsi="Arial" w:cs="Arial"/>
        </w:rPr>
        <w:t>Les sols ferrugineux tropicaux ;</w:t>
      </w:r>
    </w:p>
    <w:p w14:paraId="669A349C" w14:textId="77777777" w:rsidR="00AC4FA3" w:rsidRDefault="00AC4FA3" w:rsidP="0044500E">
      <w:pPr>
        <w:pStyle w:val="Paragraphedeliste"/>
        <w:numPr>
          <w:ilvl w:val="0"/>
          <w:numId w:val="172"/>
        </w:numPr>
        <w:suppressAutoHyphens/>
        <w:spacing w:line="240" w:lineRule="auto"/>
        <w:jc w:val="both"/>
      </w:pPr>
      <w:r>
        <w:rPr>
          <w:rFonts w:ascii="Arial" w:hAnsi="Arial" w:cs="Arial"/>
        </w:rPr>
        <w:t>Les sols hydromorphes</w:t>
      </w:r>
    </w:p>
    <w:p w14:paraId="44E13BA8" w14:textId="77777777" w:rsidR="00AC4FA3" w:rsidRDefault="00AC4FA3" w:rsidP="0044500E">
      <w:pPr>
        <w:pStyle w:val="Paragraphedeliste"/>
        <w:numPr>
          <w:ilvl w:val="0"/>
          <w:numId w:val="172"/>
        </w:numPr>
        <w:suppressAutoHyphens/>
        <w:spacing w:line="240" w:lineRule="auto"/>
        <w:jc w:val="both"/>
      </w:pPr>
      <w:r>
        <w:rPr>
          <w:rFonts w:ascii="Arial" w:hAnsi="Arial" w:cs="Arial"/>
        </w:rPr>
        <w:t>Les sols calcimorphes ;</w:t>
      </w:r>
    </w:p>
    <w:p w14:paraId="0FBA86F5" w14:textId="77777777" w:rsidR="006A1ACD" w:rsidRPr="00B434A6" w:rsidRDefault="00AC4FA3" w:rsidP="0044500E">
      <w:pPr>
        <w:pStyle w:val="Paragraphedeliste"/>
        <w:numPr>
          <w:ilvl w:val="0"/>
          <w:numId w:val="172"/>
        </w:numPr>
        <w:suppressAutoHyphens/>
        <w:spacing w:line="240" w:lineRule="auto"/>
        <w:jc w:val="both"/>
      </w:pPr>
      <w:r w:rsidRPr="00AC4FA3">
        <w:rPr>
          <w:rFonts w:ascii="Arial" w:hAnsi="Arial" w:cs="Arial"/>
        </w:rPr>
        <w:t xml:space="preserve">Les </w:t>
      </w:r>
      <w:r w:rsidRPr="00F91FA3">
        <w:rPr>
          <w:rFonts w:ascii="Arial" w:hAnsi="Arial" w:cs="Arial"/>
        </w:rPr>
        <w:t>sols halomorphes ;</w:t>
      </w:r>
    </w:p>
    <w:p w14:paraId="01D82034" w14:textId="77777777" w:rsidR="0046147D" w:rsidRPr="00F01166" w:rsidRDefault="00AC4FA3" w:rsidP="00F01166">
      <w:pPr>
        <w:pStyle w:val="Paragraphedeliste"/>
        <w:numPr>
          <w:ilvl w:val="0"/>
          <w:numId w:val="172"/>
        </w:numPr>
        <w:suppressAutoHyphens/>
        <w:spacing w:line="240" w:lineRule="auto"/>
        <w:jc w:val="both"/>
        <w:rPr>
          <w:rFonts w:ascii="Arial" w:hAnsi="Arial" w:cs="Arial"/>
          <w:b/>
          <w:i/>
        </w:rPr>
      </w:pPr>
      <w:r>
        <w:rPr>
          <w:rFonts w:ascii="Arial" w:hAnsi="Arial" w:cs="Arial"/>
        </w:rPr>
        <w:t>Les s</w:t>
      </w:r>
      <w:r w:rsidRPr="00AC4FA3">
        <w:rPr>
          <w:rFonts w:ascii="Arial" w:hAnsi="Arial" w:cs="Arial"/>
        </w:rPr>
        <w:t>ols jeunes non évolués, lithosols et régosols</w:t>
      </w:r>
      <w:r w:rsidR="003D7BA2">
        <w:rPr>
          <w:rFonts w:ascii="Arial" w:hAnsi="Arial" w:cs="Arial"/>
        </w:rPr>
        <w:t>.</w:t>
      </w:r>
    </w:p>
    <w:p w14:paraId="5B580B09" w14:textId="77777777" w:rsidR="00AC4FA3" w:rsidRDefault="00AC4FA3" w:rsidP="00AC4FA3">
      <w:pPr>
        <w:spacing w:line="240" w:lineRule="auto"/>
        <w:ind w:left="1416"/>
        <w:jc w:val="both"/>
      </w:pPr>
      <w:r>
        <w:rPr>
          <w:rFonts w:ascii="Arial" w:hAnsi="Arial" w:cs="Arial"/>
          <w:b/>
          <w:i/>
        </w:rPr>
        <w:t>RESSOURCES EN EAU</w:t>
      </w:r>
    </w:p>
    <w:p w14:paraId="5BAC2F30" w14:textId="77777777" w:rsidR="00AC4FA3" w:rsidRDefault="00AC4FA3" w:rsidP="00AC4FA3">
      <w:pPr>
        <w:spacing w:line="240" w:lineRule="auto"/>
        <w:jc w:val="both"/>
      </w:pPr>
      <w:r>
        <w:rPr>
          <w:rFonts w:ascii="Arial" w:hAnsi="Arial" w:cs="Arial"/>
        </w:rPr>
        <w:t>Madagascar est drainé par de nombreux fleuves et rivières se jetant soit vers l’Est dans l’Océan Indien ou vers l’ouest dans le Canal de Mozambique. Tous prennent leur source dans les hautes terres centrales qui divisent l’écoulement oriental</w:t>
      </w:r>
      <w:r w:rsidR="00945026">
        <w:rPr>
          <w:rFonts w:ascii="Arial" w:hAnsi="Arial" w:cs="Arial"/>
        </w:rPr>
        <w:t xml:space="preserve"> </w:t>
      </w:r>
      <w:r>
        <w:rPr>
          <w:rFonts w:ascii="Arial" w:hAnsi="Arial" w:cs="Arial"/>
        </w:rPr>
        <w:t>souvent torrentiel–de l’écoulement occidental–lent et irrégulier. Les cinq principaux bassins versants sont donc naturellement divisés et sont proches des quatre grandes régions climatiques de l’île :</w:t>
      </w:r>
    </w:p>
    <w:p w14:paraId="779B29E3" w14:textId="77777777" w:rsidR="00AC4FA3" w:rsidRDefault="008F68C0" w:rsidP="0044500E">
      <w:pPr>
        <w:pStyle w:val="Paragraphedeliste"/>
        <w:numPr>
          <w:ilvl w:val="0"/>
          <w:numId w:val="173"/>
        </w:numPr>
        <w:suppressAutoHyphens/>
        <w:spacing w:line="240" w:lineRule="auto"/>
        <w:jc w:val="both"/>
      </w:pPr>
      <w:r>
        <w:rPr>
          <w:rFonts w:ascii="Arial" w:hAnsi="Arial" w:cs="Arial"/>
        </w:rPr>
        <w:t>L</w:t>
      </w:r>
      <w:r w:rsidR="00AC4FA3">
        <w:rPr>
          <w:rFonts w:ascii="Arial" w:hAnsi="Arial" w:cs="Arial"/>
        </w:rPr>
        <w:t>e versant nord-est et la montagne d’Ambre</w:t>
      </w:r>
      <w:r>
        <w:rPr>
          <w:rFonts w:ascii="Arial" w:hAnsi="Arial" w:cs="Arial"/>
        </w:rPr>
        <w:t> ;</w:t>
      </w:r>
    </w:p>
    <w:p w14:paraId="16A2E76C" w14:textId="77777777" w:rsidR="00AC4FA3" w:rsidRDefault="008F68C0" w:rsidP="0044500E">
      <w:pPr>
        <w:pStyle w:val="Paragraphedeliste"/>
        <w:numPr>
          <w:ilvl w:val="0"/>
          <w:numId w:val="173"/>
        </w:numPr>
        <w:suppressAutoHyphens/>
        <w:spacing w:line="240" w:lineRule="auto"/>
        <w:jc w:val="both"/>
      </w:pPr>
      <w:r>
        <w:rPr>
          <w:rFonts w:ascii="Arial" w:hAnsi="Arial" w:cs="Arial"/>
        </w:rPr>
        <w:t>L</w:t>
      </w:r>
      <w:r w:rsidR="00AC4FA3">
        <w:rPr>
          <w:rFonts w:ascii="Arial" w:hAnsi="Arial" w:cs="Arial"/>
        </w:rPr>
        <w:t>e versant du Tsaratanana, traversant l’île d’est en ouest, au sud du versant nord-est</w:t>
      </w:r>
      <w:r>
        <w:rPr>
          <w:rFonts w:ascii="Arial" w:hAnsi="Arial" w:cs="Arial"/>
        </w:rPr>
        <w:t> ;</w:t>
      </w:r>
    </w:p>
    <w:p w14:paraId="0294DAC0" w14:textId="77777777" w:rsidR="00AC4FA3" w:rsidRDefault="008F68C0" w:rsidP="0044500E">
      <w:pPr>
        <w:pStyle w:val="Paragraphedeliste"/>
        <w:numPr>
          <w:ilvl w:val="0"/>
          <w:numId w:val="173"/>
        </w:numPr>
        <w:suppressAutoHyphens/>
        <w:spacing w:line="240" w:lineRule="auto"/>
        <w:jc w:val="both"/>
      </w:pPr>
      <w:r>
        <w:rPr>
          <w:rFonts w:ascii="Arial" w:hAnsi="Arial" w:cs="Arial"/>
        </w:rPr>
        <w:t>L</w:t>
      </w:r>
      <w:r w:rsidR="00AC4FA3">
        <w:rPr>
          <w:rFonts w:ascii="Arial" w:hAnsi="Arial" w:cs="Arial"/>
        </w:rPr>
        <w:t>e versant est</w:t>
      </w:r>
      <w:r>
        <w:rPr>
          <w:rFonts w:ascii="Arial" w:hAnsi="Arial" w:cs="Arial"/>
        </w:rPr>
        <w:t> ;</w:t>
      </w:r>
    </w:p>
    <w:p w14:paraId="2398BA4A" w14:textId="77777777" w:rsidR="00AC4FA3" w:rsidRDefault="008F68C0" w:rsidP="0044500E">
      <w:pPr>
        <w:pStyle w:val="Paragraphedeliste"/>
        <w:numPr>
          <w:ilvl w:val="0"/>
          <w:numId w:val="173"/>
        </w:numPr>
        <w:suppressAutoHyphens/>
        <w:spacing w:line="240" w:lineRule="auto"/>
        <w:jc w:val="both"/>
      </w:pPr>
      <w:r>
        <w:rPr>
          <w:rFonts w:ascii="Arial" w:hAnsi="Arial" w:cs="Arial"/>
        </w:rPr>
        <w:t>L</w:t>
      </w:r>
      <w:r w:rsidR="00AC4FA3">
        <w:rPr>
          <w:rFonts w:ascii="Arial" w:hAnsi="Arial" w:cs="Arial"/>
        </w:rPr>
        <w:t>e versant ouest</w:t>
      </w:r>
      <w:r>
        <w:rPr>
          <w:rFonts w:ascii="Arial" w:hAnsi="Arial" w:cs="Arial"/>
        </w:rPr>
        <w:t> ;</w:t>
      </w:r>
    </w:p>
    <w:p w14:paraId="352F67C0" w14:textId="77777777" w:rsidR="00AC4FA3" w:rsidRDefault="008F68C0" w:rsidP="0044500E">
      <w:pPr>
        <w:pStyle w:val="Paragraphedeliste"/>
        <w:numPr>
          <w:ilvl w:val="0"/>
          <w:numId w:val="173"/>
        </w:numPr>
        <w:suppressAutoHyphens/>
        <w:spacing w:line="240" w:lineRule="auto"/>
        <w:jc w:val="both"/>
      </w:pPr>
      <w:r>
        <w:rPr>
          <w:rFonts w:ascii="Arial" w:hAnsi="Arial" w:cs="Arial"/>
        </w:rPr>
        <w:t>L</w:t>
      </w:r>
      <w:r w:rsidR="00AC4FA3">
        <w:rPr>
          <w:rFonts w:ascii="Arial" w:hAnsi="Arial" w:cs="Arial"/>
        </w:rPr>
        <w:t>e versant sud</w:t>
      </w:r>
      <w:r w:rsidR="003D7BA2">
        <w:rPr>
          <w:rFonts w:ascii="Arial" w:hAnsi="Arial" w:cs="Arial"/>
        </w:rPr>
        <w:t>.</w:t>
      </w:r>
    </w:p>
    <w:p w14:paraId="76AC0A70" w14:textId="77777777" w:rsidR="00AC4FA3" w:rsidRPr="00327DB6" w:rsidRDefault="00AC4FA3" w:rsidP="00AC4FA3">
      <w:pPr>
        <w:spacing w:line="240" w:lineRule="auto"/>
        <w:jc w:val="both"/>
      </w:pPr>
      <w:r>
        <w:rPr>
          <w:rFonts w:ascii="Arial" w:hAnsi="Arial" w:cs="Arial"/>
        </w:rPr>
        <w:t xml:space="preserve">Les cours d’eau sont généralement temporaires dans le sud où le climat est plus sec. De manière générale, le régime des eaux est très lié à celui des précipitations. Tout retard ou irrégularité affecte l’approvisionnement en eau. </w:t>
      </w:r>
      <w:r w:rsidR="00315772" w:rsidRPr="00742D67">
        <w:rPr>
          <w:rFonts w:ascii="Arial" w:hAnsi="Arial" w:cs="Arial"/>
        </w:rPr>
        <w:t>De</w:t>
      </w:r>
      <w:r w:rsidR="00945026" w:rsidRPr="00742D67">
        <w:rPr>
          <w:rFonts w:ascii="Arial" w:hAnsi="Arial" w:cs="Arial"/>
        </w:rPr>
        <w:t xml:space="preserve"> ce fait, Madagascar possède plusieurs rivières qui peuvent alimenter les villes et village</w:t>
      </w:r>
      <w:r w:rsidR="003A2C2D">
        <w:rPr>
          <w:rFonts w:ascii="Arial" w:hAnsi="Arial" w:cs="Arial"/>
        </w:rPr>
        <w:t>s</w:t>
      </w:r>
      <w:r w:rsidR="00945026" w:rsidRPr="00742D67">
        <w:rPr>
          <w:rFonts w:ascii="Arial" w:hAnsi="Arial" w:cs="Arial"/>
        </w:rPr>
        <w:t xml:space="preserve"> en électricité dont : Ramena, Ikopa, Mania, Onive, Betsiboka, Efaho, etc. </w:t>
      </w:r>
    </w:p>
    <w:p w14:paraId="411954C9" w14:textId="77777777" w:rsidR="00AC4FA3" w:rsidRDefault="00AC4FA3" w:rsidP="00AC4FA3">
      <w:pPr>
        <w:spacing w:line="240" w:lineRule="auto"/>
        <w:ind w:left="1416"/>
        <w:jc w:val="both"/>
      </w:pPr>
      <w:r>
        <w:rPr>
          <w:rFonts w:ascii="Arial" w:hAnsi="Arial" w:cs="Arial"/>
          <w:b/>
          <w:i/>
        </w:rPr>
        <w:t>VEGETATION ET HABITAT</w:t>
      </w:r>
    </w:p>
    <w:p w14:paraId="03D684A8" w14:textId="77777777" w:rsidR="00AC4FA3" w:rsidRDefault="00AC4FA3" w:rsidP="00AC4FA3">
      <w:pPr>
        <w:spacing w:line="240" w:lineRule="auto"/>
        <w:jc w:val="both"/>
      </w:pPr>
      <w:r>
        <w:rPr>
          <w:rFonts w:ascii="Arial" w:hAnsi="Arial" w:cs="Arial"/>
        </w:rPr>
        <w:t>On rencontre divers types de formation végétales</w:t>
      </w:r>
      <w:r w:rsidR="007B4870">
        <w:rPr>
          <w:rFonts w:ascii="Arial" w:hAnsi="Arial" w:cs="Arial"/>
        </w:rPr>
        <w:t xml:space="preserve"> dans la Grand Île tels qu</w:t>
      </w:r>
      <w:r w:rsidR="0098339B">
        <w:rPr>
          <w:rFonts w:ascii="Arial" w:hAnsi="Arial" w:cs="Arial"/>
        </w:rPr>
        <w:t>e :</w:t>
      </w:r>
    </w:p>
    <w:p w14:paraId="57ABC825" w14:textId="77777777" w:rsidR="00AC4FA3" w:rsidRDefault="00AC4FA3" w:rsidP="00AC4FA3">
      <w:pPr>
        <w:spacing w:after="0" w:line="240" w:lineRule="auto"/>
        <w:jc w:val="both"/>
      </w:pPr>
      <w:r>
        <w:rPr>
          <w:rFonts w:ascii="Arial" w:hAnsi="Arial" w:cs="Arial"/>
        </w:rPr>
        <w:t xml:space="preserve">- les formations forestières primaires, </w:t>
      </w:r>
    </w:p>
    <w:p w14:paraId="742A063C" w14:textId="77777777" w:rsidR="00AC4FA3" w:rsidRDefault="00AC4FA3" w:rsidP="00AC4FA3">
      <w:pPr>
        <w:spacing w:after="0" w:line="240" w:lineRule="auto"/>
        <w:jc w:val="both"/>
      </w:pPr>
      <w:r>
        <w:rPr>
          <w:rFonts w:ascii="Arial" w:hAnsi="Arial" w:cs="Arial"/>
        </w:rPr>
        <w:t xml:space="preserve">- les formations secondaires, </w:t>
      </w:r>
    </w:p>
    <w:p w14:paraId="0B3E20FD" w14:textId="77777777" w:rsidR="00AC4FA3" w:rsidRDefault="00AC4FA3" w:rsidP="00AC4FA3">
      <w:pPr>
        <w:spacing w:after="0" w:line="240" w:lineRule="auto"/>
        <w:jc w:val="both"/>
      </w:pPr>
      <w:r>
        <w:rPr>
          <w:rFonts w:ascii="Arial" w:hAnsi="Arial" w:cs="Arial"/>
        </w:rPr>
        <w:t xml:space="preserve">- les mangroves, </w:t>
      </w:r>
    </w:p>
    <w:p w14:paraId="698440AE" w14:textId="77777777" w:rsidR="00AC4FA3" w:rsidRDefault="00AC4FA3" w:rsidP="00AC4FA3">
      <w:pPr>
        <w:spacing w:after="0" w:line="240" w:lineRule="auto"/>
        <w:jc w:val="both"/>
      </w:pPr>
      <w:r>
        <w:rPr>
          <w:rFonts w:ascii="Arial" w:hAnsi="Arial" w:cs="Arial"/>
        </w:rPr>
        <w:t>- les formations marécageuses,</w:t>
      </w:r>
    </w:p>
    <w:p w14:paraId="11B24AF3" w14:textId="77777777" w:rsidR="00AC4FA3" w:rsidRDefault="00AC4FA3" w:rsidP="00AC4FA3">
      <w:pPr>
        <w:spacing w:after="0" w:line="240" w:lineRule="auto"/>
        <w:jc w:val="both"/>
      </w:pPr>
      <w:r>
        <w:rPr>
          <w:rFonts w:ascii="Arial" w:hAnsi="Arial" w:cs="Arial"/>
        </w:rPr>
        <w:t>- les formations savanicoles</w:t>
      </w:r>
      <w:r w:rsidR="003D7BA2">
        <w:rPr>
          <w:rFonts w:ascii="Arial" w:hAnsi="Arial" w:cs="Arial"/>
        </w:rPr>
        <w:t>.</w:t>
      </w:r>
    </w:p>
    <w:p w14:paraId="7FF209CA" w14:textId="77777777" w:rsidR="00AC4FA3" w:rsidRDefault="00AC4FA3" w:rsidP="00AC4FA3">
      <w:pPr>
        <w:spacing w:before="120" w:line="240" w:lineRule="auto"/>
        <w:jc w:val="both"/>
      </w:pPr>
      <w:r>
        <w:rPr>
          <w:rFonts w:ascii="Arial" w:hAnsi="Arial" w:cs="Arial"/>
        </w:rPr>
        <w:t xml:space="preserve">Ces écosystèmes sont les habitats naturels très diversifiés des êtres-vivants. Ils assurent aussi le maintien de services environnementaux tels que le cycle de l’eau, la régulation du climat et le recyclage des substances nutritives et la protection des sols contre l’érosion. </w:t>
      </w:r>
    </w:p>
    <w:p w14:paraId="036E8F76" w14:textId="77777777" w:rsidR="00AC4FA3" w:rsidRDefault="00AC4FA3" w:rsidP="00AC4FA3">
      <w:pPr>
        <w:spacing w:line="240" w:lineRule="auto"/>
        <w:ind w:left="1416"/>
        <w:jc w:val="both"/>
      </w:pPr>
      <w:r>
        <w:rPr>
          <w:rFonts w:ascii="Arial" w:hAnsi="Arial" w:cs="Arial"/>
          <w:b/>
          <w:i/>
        </w:rPr>
        <w:t>MILIEU HUMAIN</w:t>
      </w:r>
    </w:p>
    <w:p w14:paraId="438245C2" w14:textId="77777777" w:rsidR="00AC4FA3" w:rsidRDefault="009C3928" w:rsidP="00AC4FA3">
      <w:pPr>
        <w:spacing w:line="240" w:lineRule="auto"/>
        <w:jc w:val="both"/>
      </w:pPr>
      <w:r>
        <w:rPr>
          <w:rFonts w:ascii="Arial" w:hAnsi="Arial" w:cs="Arial"/>
        </w:rPr>
        <w:t>De 1975 à 2018, l</w:t>
      </w:r>
      <w:r w:rsidR="00AC4FA3">
        <w:rPr>
          <w:rFonts w:ascii="Arial" w:hAnsi="Arial" w:cs="Arial"/>
        </w:rPr>
        <w:t xml:space="preserve">’analyse de l’accroissement de la population montre que le nombre des Malgaches a triplé en 43 </w:t>
      </w:r>
      <w:r w:rsidR="00AC4FA3" w:rsidRPr="00327DB6">
        <w:rPr>
          <w:rFonts w:ascii="Arial" w:hAnsi="Arial" w:cs="Arial"/>
        </w:rPr>
        <w:t>ans</w:t>
      </w:r>
      <w:r w:rsidRPr="00327DB6">
        <w:rPr>
          <w:rFonts w:ascii="Arial" w:hAnsi="Arial" w:cs="Arial"/>
        </w:rPr>
        <w:t xml:space="preserve"> </w:t>
      </w:r>
      <w:r w:rsidRPr="00742D67">
        <w:rPr>
          <w:rFonts w:ascii="Arial" w:hAnsi="Arial" w:cs="Arial"/>
        </w:rPr>
        <w:t>(de 1975 à 2018</w:t>
      </w:r>
      <w:r w:rsidRPr="00327DB6">
        <w:rPr>
          <w:rFonts w:ascii="Arial" w:hAnsi="Arial" w:cs="Arial"/>
        </w:rPr>
        <w:t>)</w:t>
      </w:r>
      <w:r w:rsidR="00AC4FA3" w:rsidRPr="00327DB6">
        <w:rPr>
          <w:rFonts w:ascii="Arial" w:hAnsi="Arial" w:cs="Arial"/>
        </w:rPr>
        <w:t>, avec un taux d’accroissement moyen annuel de 3%</w:t>
      </w:r>
      <w:r w:rsidRPr="00327DB6">
        <w:rPr>
          <w:rFonts w:ascii="Arial" w:hAnsi="Arial" w:cs="Arial"/>
        </w:rPr>
        <w:t xml:space="preserve"> selon</w:t>
      </w:r>
      <w:r w:rsidR="000A5DA6" w:rsidRPr="000A5DA6">
        <w:t xml:space="preserve"> </w:t>
      </w:r>
      <w:r w:rsidR="000A5DA6" w:rsidRPr="000A5DA6">
        <w:rPr>
          <w:rFonts w:ascii="Arial" w:hAnsi="Arial" w:cs="Arial"/>
        </w:rPr>
        <w:t>le Recensement Général de la Population et de l'Habitat (RGPH 3)</w:t>
      </w:r>
      <w:r w:rsidR="00AC4FA3" w:rsidRPr="00327DB6">
        <w:rPr>
          <w:rFonts w:ascii="Arial" w:hAnsi="Arial" w:cs="Arial"/>
        </w:rPr>
        <w:t xml:space="preserve">, la </w:t>
      </w:r>
      <w:r w:rsidR="00AC4FA3" w:rsidRPr="00327DB6">
        <w:rPr>
          <w:rFonts w:ascii="Arial" w:hAnsi="Arial" w:cs="Arial"/>
        </w:rPr>
        <w:lastRenderedPageBreak/>
        <w:t xml:space="preserve">population malagasy est estimée </w:t>
      </w:r>
      <w:r w:rsidRPr="00742D67">
        <w:rPr>
          <w:rFonts w:ascii="Arial" w:hAnsi="Arial" w:cs="Arial"/>
        </w:rPr>
        <w:t>en 2022</w:t>
      </w:r>
      <w:r w:rsidR="00945026" w:rsidRPr="00327DB6">
        <w:rPr>
          <w:rFonts w:ascii="Arial" w:hAnsi="Arial" w:cs="Arial"/>
        </w:rPr>
        <w:t xml:space="preserve"> </w:t>
      </w:r>
      <w:r w:rsidR="00AC4FA3" w:rsidRPr="00327DB6">
        <w:rPr>
          <w:rFonts w:ascii="Arial" w:hAnsi="Arial" w:cs="Arial"/>
        </w:rPr>
        <w:t>à</w:t>
      </w:r>
      <w:r w:rsidR="00AC4FA3" w:rsidRPr="008F68C0">
        <w:rPr>
          <w:rFonts w:ascii="Arial" w:hAnsi="Arial" w:cs="Arial"/>
        </w:rPr>
        <w:t xml:space="preserve"> 28 896 533 dont 50,7 % sont des femmes et 49,3% sont des hommes.</w:t>
      </w:r>
    </w:p>
    <w:p w14:paraId="77BAFD8A" w14:textId="77777777" w:rsidR="00AC4FA3" w:rsidRDefault="00AC4FA3" w:rsidP="00AC4FA3">
      <w:pPr>
        <w:spacing w:line="240" w:lineRule="auto"/>
        <w:ind w:left="2124"/>
        <w:jc w:val="both"/>
      </w:pPr>
      <w:r>
        <w:rPr>
          <w:rFonts w:ascii="Arial" w:hAnsi="Arial" w:cs="Arial"/>
          <w:b/>
          <w:i/>
          <w:u w:val="single"/>
        </w:rPr>
        <w:t>Education</w:t>
      </w:r>
    </w:p>
    <w:p w14:paraId="5B9D7DB5" w14:textId="77777777" w:rsidR="00AC4FA3" w:rsidRDefault="00AC4FA3" w:rsidP="00AC4FA3">
      <w:pPr>
        <w:spacing w:line="240" w:lineRule="auto"/>
        <w:jc w:val="both"/>
      </w:pPr>
      <w:r>
        <w:rPr>
          <w:rFonts w:ascii="Arial" w:hAnsi="Arial" w:cs="Arial"/>
        </w:rPr>
        <w:t>En termes de niveau d’éducation, la qualité de la population potentiellement active est assez faible à Madagascar. D’après l’analyse statistique de l’INSTAT en 2021, environ 70% des Malagasy ne dépassent le niveau primaire en 2018 (23% sont sans instruction et 47% ont un niveau primaire). Cet écart est plus flagrant entre le milieu urbain et rural. En effet si la proportion des individus ne dépassant pas le niveau primaire est relativement faible en milieu urbain avec un taux de l’ordre de 42% dans le milieu rural</w:t>
      </w:r>
      <w:r w:rsidR="003D7BA2">
        <w:rPr>
          <w:rFonts w:ascii="Arial" w:hAnsi="Arial" w:cs="Arial"/>
        </w:rPr>
        <w:t>,</w:t>
      </w:r>
      <w:r>
        <w:rPr>
          <w:rFonts w:ascii="Arial" w:hAnsi="Arial" w:cs="Arial"/>
        </w:rPr>
        <w:t xml:space="preserve"> ce taux est égal à 82%. Suivant le sexe, la différence de pourcentage des hommes et des femmes qui ne dépassent pas le primaire n’est pas significatif avec un taux respectivement égal à 70% et 71%.</w:t>
      </w:r>
    </w:p>
    <w:p w14:paraId="43EC7C38" w14:textId="77777777" w:rsidR="00AC4FA3" w:rsidRDefault="00AC4FA3" w:rsidP="00AC4FA3">
      <w:pPr>
        <w:spacing w:line="240" w:lineRule="auto"/>
        <w:ind w:left="2124"/>
        <w:jc w:val="both"/>
      </w:pPr>
      <w:r>
        <w:rPr>
          <w:rFonts w:ascii="Arial" w:hAnsi="Arial" w:cs="Arial"/>
          <w:b/>
          <w:i/>
          <w:u w:val="single"/>
        </w:rPr>
        <w:t>Energie</w:t>
      </w:r>
    </w:p>
    <w:p w14:paraId="626646A9" w14:textId="77777777" w:rsidR="00AC4FA3" w:rsidRPr="00327DB6" w:rsidRDefault="00AC4FA3" w:rsidP="00AC4FA3">
      <w:pPr>
        <w:spacing w:line="240" w:lineRule="auto"/>
        <w:jc w:val="both"/>
      </w:pPr>
      <w:r>
        <w:rPr>
          <w:rFonts w:ascii="Arial" w:hAnsi="Arial" w:cs="Arial"/>
        </w:rPr>
        <w:t xml:space="preserve">A Madagascar, la fourniture en énergie électrique est assurée par le réseau de la société JIRAMA qui approvisionne </w:t>
      </w:r>
      <w:r w:rsidRPr="00327DB6">
        <w:rPr>
          <w:rFonts w:ascii="Arial" w:hAnsi="Arial" w:cs="Arial"/>
        </w:rPr>
        <w:t>les milieux urbains</w:t>
      </w:r>
      <w:r w:rsidR="00056AF9" w:rsidRPr="00327DB6">
        <w:rPr>
          <w:rFonts w:ascii="Arial" w:hAnsi="Arial" w:cs="Arial"/>
        </w:rPr>
        <w:t xml:space="preserve"> </w:t>
      </w:r>
      <w:r w:rsidR="00056AF9" w:rsidRPr="00742D67">
        <w:rPr>
          <w:rFonts w:ascii="Arial" w:hAnsi="Arial" w:cs="Arial"/>
        </w:rPr>
        <w:t>alors qu’en milieu</w:t>
      </w:r>
      <w:r w:rsidR="008F68C0" w:rsidRPr="00742D67">
        <w:rPr>
          <w:rFonts w:ascii="Arial" w:hAnsi="Arial" w:cs="Arial"/>
        </w:rPr>
        <w:t>x</w:t>
      </w:r>
      <w:r w:rsidR="00056AF9" w:rsidRPr="00742D67">
        <w:rPr>
          <w:rFonts w:ascii="Arial" w:hAnsi="Arial" w:cs="Arial"/>
        </w:rPr>
        <w:t xml:space="preserve"> ruraux</w:t>
      </w:r>
      <w:r w:rsidR="000A5DA6">
        <w:rPr>
          <w:rFonts w:ascii="Arial" w:hAnsi="Arial" w:cs="Arial"/>
        </w:rPr>
        <w:t>, en dehors de la couverture des réseaux de JIRAMA,</w:t>
      </w:r>
      <w:r w:rsidR="00056AF9" w:rsidRPr="00742D67">
        <w:rPr>
          <w:rFonts w:ascii="Arial" w:hAnsi="Arial" w:cs="Arial"/>
        </w:rPr>
        <w:t xml:space="preserve"> la production d’électricité est </w:t>
      </w:r>
      <w:r w:rsidR="000A5DA6">
        <w:rPr>
          <w:rFonts w:ascii="Arial" w:hAnsi="Arial" w:cs="Arial"/>
        </w:rPr>
        <w:t xml:space="preserve">plutôt </w:t>
      </w:r>
      <w:r w:rsidR="00056AF9" w:rsidRPr="00742D67">
        <w:rPr>
          <w:rFonts w:ascii="Arial" w:hAnsi="Arial" w:cs="Arial"/>
        </w:rPr>
        <w:t>assurée par des concessionnaires</w:t>
      </w:r>
      <w:r w:rsidR="000A5DA6">
        <w:rPr>
          <w:rFonts w:ascii="Arial" w:hAnsi="Arial" w:cs="Arial"/>
        </w:rPr>
        <w:t xml:space="preserve"> privés</w:t>
      </w:r>
      <w:r w:rsidR="003A2C2D">
        <w:rPr>
          <w:rFonts w:ascii="Arial" w:hAnsi="Arial" w:cs="Arial"/>
        </w:rPr>
        <w:t>.</w:t>
      </w:r>
      <w:r w:rsidRPr="00327DB6">
        <w:rPr>
          <w:rFonts w:ascii="Arial" w:hAnsi="Arial" w:cs="Arial"/>
        </w:rPr>
        <w:t xml:space="preserve"> </w:t>
      </w:r>
    </w:p>
    <w:p w14:paraId="08B1A4D4" w14:textId="77777777" w:rsidR="00AC4FA3" w:rsidRDefault="00AC4FA3" w:rsidP="00AC4FA3">
      <w:pPr>
        <w:spacing w:line="240" w:lineRule="auto"/>
        <w:jc w:val="both"/>
      </w:pPr>
      <w:r w:rsidRPr="00327DB6">
        <w:rPr>
          <w:rFonts w:ascii="Arial" w:hAnsi="Arial" w:cs="Arial"/>
        </w:rPr>
        <w:t xml:space="preserve">La production en électricité n’a cessé d’augmenter à partir de l’année 2002. Pourtant l’État a misé sur les groupes électrogènes pour alimenter les différentes villes de Madagascar. D’après la </w:t>
      </w:r>
      <w:r w:rsidR="007B4870" w:rsidRPr="00327DB6">
        <w:rPr>
          <w:rFonts w:ascii="Arial" w:hAnsi="Arial" w:cs="Arial"/>
        </w:rPr>
        <w:t>B</w:t>
      </w:r>
      <w:r w:rsidRPr="00327DB6">
        <w:rPr>
          <w:rFonts w:ascii="Arial" w:hAnsi="Arial" w:cs="Arial"/>
        </w:rPr>
        <w:t xml:space="preserve">anque </w:t>
      </w:r>
      <w:r w:rsidR="00BC0AD7" w:rsidRPr="00327DB6">
        <w:rPr>
          <w:rFonts w:ascii="Arial" w:hAnsi="Arial" w:cs="Arial"/>
        </w:rPr>
        <w:t>m</w:t>
      </w:r>
      <w:r w:rsidRPr="00327DB6">
        <w:rPr>
          <w:rFonts w:ascii="Arial" w:hAnsi="Arial" w:cs="Arial"/>
        </w:rPr>
        <w:t>ondiale</w:t>
      </w:r>
      <w:r w:rsidR="009C3928" w:rsidRPr="00327DB6">
        <w:rPr>
          <w:rFonts w:ascii="Arial" w:hAnsi="Arial" w:cs="Arial"/>
        </w:rPr>
        <w:t xml:space="preserve"> </w:t>
      </w:r>
      <w:r w:rsidR="009C3928" w:rsidRPr="00742D67">
        <w:rPr>
          <w:rFonts w:ascii="Arial" w:hAnsi="Arial" w:cs="Arial"/>
        </w:rPr>
        <w:t>en 2018</w:t>
      </w:r>
      <w:r w:rsidRPr="00327DB6">
        <w:rPr>
          <w:rFonts w:ascii="Arial" w:hAnsi="Arial" w:cs="Arial"/>
        </w:rPr>
        <w:t>,</w:t>
      </w:r>
      <w:r>
        <w:rPr>
          <w:rFonts w:ascii="Arial" w:hAnsi="Arial" w:cs="Arial"/>
        </w:rPr>
        <w:t xml:space="preserve"> le pays ne possédait qu’une capacité installée de production de 570 MW, essentiellement thermique (60%) et hydroélectrique (40%). Mais à défaut de maintenance des machines et des infrastructures, seuls 60% de cette énergie est disponible. Ces difficultés du secteur de l’énergie minent le quotidien des habitants avec le délestage tournant.</w:t>
      </w:r>
    </w:p>
    <w:p w14:paraId="220D0DEB" w14:textId="77777777" w:rsidR="00AC4FA3" w:rsidRDefault="00056AF9" w:rsidP="00AC4FA3">
      <w:pPr>
        <w:spacing w:line="240" w:lineRule="auto"/>
        <w:ind w:left="1416" w:firstLine="708"/>
        <w:jc w:val="both"/>
      </w:pPr>
      <w:r>
        <w:rPr>
          <w:rFonts w:ascii="Arial" w:hAnsi="Arial" w:cs="Arial"/>
          <w:b/>
          <w:i/>
          <w:u w:val="single"/>
        </w:rPr>
        <w:t>Technologie de l’Information et de la Communication (TIC)</w:t>
      </w:r>
    </w:p>
    <w:p w14:paraId="69DBACFC" w14:textId="77777777" w:rsidR="001718D5" w:rsidRDefault="00AC4FA3" w:rsidP="00AC4FA3">
      <w:pPr>
        <w:spacing w:line="240" w:lineRule="auto"/>
        <w:jc w:val="both"/>
        <w:rPr>
          <w:rFonts w:ascii="Arial" w:hAnsi="Arial" w:cs="Arial"/>
        </w:rPr>
      </w:pPr>
      <w:r>
        <w:rPr>
          <w:rFonts w:ascii="Arial" w:hAnsi="Arial" w:cs="Arial"/>
        </w:rPr>
        <w:t xml:space="preserve">Durant cette dernière décennie, le secteur TIC a connu un essor fulgurant avec un taux de croissance de 8,5% en 2013 et de 4% entre 2015 à 2017. D’après les données de la Banque </w:t>
      </w:r>
      <w:r w:rsidR="00BC0AD7">
        <w:rPr>
          <w:rFonts w:ascii="Arial" w:hAnsi="Arial" w:cs="Arial"/>
        </w:rPr>
        <w:t>m</w:t>
      </w:r>
      <w:r>
        <w:rPr>
          <w:rFonts w:ascii="Arial" w:hAnsi="Arial" w:cs="Arial"/>
        </w:rPr>
        <w:t xml:space="preserve">ondiale, plus de la moitié des Malagasy utilisent un téléphone portable, par contre l’utilisation de </w:t>
      </w:r>
      <w:r w:rsidR="003D7BA2">
        <w:rPr>
          <w:rFonts w:ascii="Arial" w:hAnsi="Arial" w:cs="Arial"/>
        </w:rPr>
        <w:t>l’</w:t>
      </w:r>
      <w:r>
        <w:rPr>
          <w:rFonts w:ascii="Arial" w:hAnsi="Arial" w:cs="Arial"/>
        </w:rPr>
        <w:t>internet reste précaire avec seulement 15% de la population en 2018.</w:t>
      </w:r>
    </w:p>
    <w:p w14:paraId="2B883DBA" w14:textId="77777777" w:rsidR="001718D5" w:rsidRDefault="001718D5" w:rsidP="00B434A6">
      <w:pPr>
        <w:spacing w:after="0" w:line="240" w:lineRule="auto"/>
        <w:jc w:val="both"/>
        <w:rPr>
          <w:rFonts w:ascii="Arial" w:hAnsi="Arial" w:cs="Arial"/>
        </w:rPr>
      </w:pPr>
    </w:p>
    <w:p w14:paraId="24B4DDEA" w14:textId="77777777" w:rsidR="001718D5" w:rsidRPr="001718D5" w:rsidRDefault="001718D5" w:rsidP="0044500E">
      <w:pPr>
        <w:numPr>
          <w:ilvl w:val="0"/>
          <w:numId w:val="175"/>
        </w:numPr>
        <w:spacing w:line="240" w:lineRule="auto"/>
        <w:jc w:val="both"/>
        <w:rPr>
          <w:rFonts w:ascii="Arial" w:hAnsi="Arial" w:cs="Arial"/>
        </w:rPr>
      </w:pPr>
      <w:r w:rsidRPr="001718D5">
        <w:rPr>
          <w:rFonts w:ascii="Arial" w:hAnsi="Arial" w:cs="Arial"/>
          <w:b/>
        </w:rPr>
        <w:t>CADRE POLITIQUE</w:t>
      </w:r>
    </w:p>
    <w:p w14:paraId="49B22F93" w14:textId="77777777" w:rsidR="001718D5" w:rsidRPr="001718D5" w:rsidRDefault="001718D5" w:rsidP="001718D5">
      <w:pPr>
        <w:spacing w:line="240" w:lineRule="auto"/>
        <w:jc w:val="both"/>
        <w:rPr>
          <w:rFonts w:ascii="Arial" w:hAnsi="Arial" w:cs="Arial"/>
        </w:rPr>
      </w:pPr>
      <w:r w:rsidRPr="001718D5">
        <w:rPr>
          <w:rFonts w:ascii="Arial" w:hAnsi="Arial" w:cs="Arial"/>
        </w:rPr>
        <w:t xml:space="preserve">Le développement de Madagascar repose sur la mise en œuvre de la Politique Générale de l’Etat et du Plan de l’Initiative pour l’Emergence de Madagascar. Les deux cadres politiques visent à améliorer le secteur énergétique. A ce propos, le développement de la numérique fait partie de la priorité de l’Etat (priorité 22 : Rendre Madagascar un acteur de la révolution numérique). Pour cela, l’Etat vise à : </w:t>
      </w:r>
    </w:p>
    <w:p w14:paraId="53D804E0" w14:textId="77777777" w:rsidR="001718D5" w:rsidRPr="001718D5" w:rsidRDefault="001718D5" w:rsidP="0044500E">
      <w:pPr>
        <w:pStyle w:val="Paragraphedeliste"/>
        <w:numPr>
          <w:ilvl w:val="0"/>
          <w:numId w:val="174"/>
        </w:numPr>
        <w:suppressAutoHyphens/>
        <w:spacing w:line="240" w:lineRule="auto"/>
        <w:jc w:val="both"/>
        <w:rPr>
          <w:rFonts w:ascii="Arial" w:hAnsi="Arial" w:cs="Arial"/>
        </w:rPr>
      </w:pPr>
      <w:r w:rsidRPr="001718D5">
        <w:rPr>
          <w:rFonts w:ascii="Arial" w:hAnsi="Arial" w:cs="Arial"/>
        </w:rPr>
        <w:t>Développer les réseaux d’accès aux TIC</w:t>
      </w:r>
      <w:r w:rsidR="00BC0AD7">
        <w:rPr>
          <w:rFonts w:ascii="Arial" w:hAnsi="Arial" w:cs="Arial"/>
        </w:rPr>
        <w:t> ;</w:t>
      </w:r>
    </w:p>
    <w:p w14:paraId="213FE37D" w14:textId="77777777" w:rsidR="001718D5" w:rsidRPr="001718D5" w:rsidRDefault="001718D5" w:rsidP="0044500E">
      <w:pPr>
        <w:pStyle w:val="Paragraphedeliste"/>
        <w:numPr>
          <w:ilvl w:val="0"/>
          <w:numId w:val="174"/>
        </w:numPr>
        <w:suppressAutoHyphens/>
        <w:spacing w:line="240" w:lineRule="auto"/>
        <w:jc w:val="both"/>
        <w:rPr>
          <w:rFonts w:ascii="Arial" w:hAnsi="Arial" w:cs="Arial"/>
        </w:rPr>
      </w:pPr>
      <w:r w:rsidRPr="001718D5">
        <w:rPr>
          <w:rFonts w:ascii="Arial" w:hAnsi="Arial" w:cs="Arial"/>
        </w:rPr>
        <w:t>Augmenter le nombre des usagers des services de la télécommunication par la mise en place d’une libre concurrence</w:t>
      </w:r>
      <w:r w:rsidR="00BC0AD7">
        <w:rPr>
          <w:rFonts w:ascii="Arial" w:hAnsi="Arial" w:cs="Arial"/>
        </w:rPr>
        <w:t> ;</w:t>
      </w:r>
    </w:p>
    <w:p w14:paraId="2B06EB48" w14:textId="77777777" w:rsidR="001718D5" w:rsidRPr="001718D5" w:rsidRDefault="001718D5" w:rsidP="0044500E">
      <w:pPr>
        <w:pStyle w:val="Paragraphedeliste"/>
        <w:numPr>
          <w:ilvl w:val="0"/>
          <w:numId w:val="174"/>
        </w:numPr>
        <w:suppressAutoHyphens/>
        <w:spacing w:line="240" w:lineRule="auto"/>
        <w:jc w:val="both"/>
        <w:rPr>
          <w:rFonts w:ascii="Arial" w:hAnsi="Arial" w:cs="Arial"/>
        </w:rPr>
      </w:pPr>
      <w:r w:rsidRPr="001718D5">
        <w:rPr>
          <w:rFonts w:ascii="Arial" w:hAnsi="Arial" w:cs="Arial"/>
        </w:rPr>
        <w:t>Engager des réformes organisationnelles et institutionnelles du secteur postal et d'adopter une politique sectorielle</w:t>
      </w:r>
      <w:r w:rsidR="00BC0AD7">
        <w:rPr>
          <w:rFonts w:ascii="Arial" w:hAnsi="Arial" w:cs="Arial"/>
        </w:rPr>
        <w:t> ;</w:t>
      </w:r>
    </w:p>
    <w:p w14:paraId="437CFDD3" w14:textId="77777777" w:rsidR="001718D5" w:rsidRPr="001718D5" w:rsidRDefault="001718D5" w:rsidP="0044500E">
      <w:pPr>
        <w:pStyle w:val="Paragraphedeliste"/>
        <w:numPr>
          <w:ilvl w:val="0"/>
          <w:numId w:val="174"/>
        </w:numPr>
        <w:suppressAutoHyphens/>
        <w:spacing w:line="240" w:lineRule="auto"/>
        <w:jc w:val="both"/>
        <w:rPr>
          <w:rFonts w:ascii="Arial" w:hAnsi="Arial" w:cs="Arial"/>
        </w:rPr>
      </w:pPr>
      <w:r w:rsidRPr="001718D5">
        <w:rPr>
          <w:rFonts w:ascii="Arial" w:hAnsi="Arial" w:cs="Arial"/>
        </w:rPr>
        <w:t>Assurer la modernisation de la PAOsitra Malagasy (PAOMA) par la diversification de ses activités et le développement de son réseau</w:t>
      </w:r>
      <w:r w:rsidR="00BC0AD7">
        <w:rPr>
          <w:rFonts w:ascii="Arial" w:hAnsi="Arial" w:cs="Arial"/>
        </w:rPr>
        <w:t>.</w:t>
      </w:r>
    </w:p>
    <w:p w14:paraId="2D226B3C" w14:textId="77777777" w:rsidR="001718D5" w:rsidRDefault="001718D5" w:rsidP="001718D5">
      <w:pPr>
        <w:spacing w:line="240" w:lineRule="auto"/>
        <w:jc w:val="both"/>
        <w:rPr>
          <w:rFonts w:ascii="Arial" w:hAnsi="Arial" w:cs="Arial"/>
        </w:rPr>
      </w:pPr>
      <w:r w:rsidRPr="001718D5">
        <w:rPr>
          <w:rFonts w:ascii="Arial" w:hAnsi="Arial" w:cs="Arial"/>
        </w:rPr>
        <w:t>Pour le secteur Energie, la priorité 28 du PEM met l’accent sur le renforcement de la production énergétique et l'accès à l'énergie.</w:t>
      </w:r>
    </w:p>
    <w:p w14:paraId="1C789FA3" w14:textId="77777777" w:rsidR="00AC4FA3" w:rsidRDefault="007B4870" w:rsidP="0044500E">
      <w:pPr>
        <w:pStyle w:val="Paragraphedeliste"/>
        <w:numPr>
          <w:ilvl w:val="0"/>
          <w:numId w:val="175"/>
        </w:numPr>
        <w:suppressAutoHyphens/>
        <w:spacing w:before="240" w:after="120" w:line="240" w:lineRule="auto"/>
        <w:ind w:left="714" w:hanging="357"/>
        <w:jc w:val="both"/>
      </w:pPr>
      <w:r w:rsidDel="00972BB4">
        <w:rPr>
          <w:rFonts w:ascii="Arial" w:hAnsi="Arial" w:cs="Arial"/>
          <w:b/>
        </w:rPr>
        <w:br w:type="page"/>
      </w:r>
      <w:r w:rsidR="00AC4FA3" w:rsidRPr="00413D18">
        <w:rPr>
          <w:rFonts w:ascii="Arial" w:hAnsi="Arial" w:cs="Arial"/>
          <w:b/>
        </w:rPr>
        <w:lastRenderedPageBreak/>
        <w:t>I</w:t>
      </w:r>
      <w:r w:rsidR="00AC4FA3" w:rsidRPr="00972BB4">
        <w:rPr>
          <w:rFonts w:ascii="Arial" w:hAnsi="Arial" w:cs="Arial"/>
          <w:b/>
        </w:rPr>
        <w:t>MPACTS POSITIFS ET MESURES DE BONIFICATION</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8"/>
        <w:gridCol w:w="1231"/>
        <w:gridCol w:w="2694"/>
        <w:gridCol w:w="4089"/>
      </w:tblGrid>
      <w:tr w:rsidR="00DF7822" w14:paraId="126481A2" w14:textId="77777777" w:rsidTr="005D6D41">
        <w:trPr>
          <w:trHeight w:val="480"/>
        </w:trPr>
        <w:tc>
          <w:tcPr>
            <w:tcW w:w="1057" w:type="dxa"/>
            <w:shd w:val="clear" w:color="auto" w:fill="DDEBF7"/>
            <w:vAlign w:val="center"/>
          </w:tcPr>
          <w:p w14:paraId="5A90E497" w14:textId="77777777" w:rsidR="00AC4FA3" w:rsidRDefault="00AC4FA3" w:rsidP="00B434A6">
            <w:pPr>
              <w:spacing w:after="0" w:line="240" w:lineRule="auto"/>
              <w:jc w:val="center"/>
            </w:pPr>
            <w:r>
              <w:rPr>
                <w:rFonts w:ascii="Arial" w:eastAsia="Times New Roman" w:hAnsi="Arial" w:cs="Arial"/>
                <w:b/>
                <w:bCs/>
                <w:sz w:val="18"/>
                <w:szCs w:val="18"/>
                <w:lang w:eastAsia="fr-FR"/>
              </w:rPr>
              <w:t>Milieu</w:t>
            </w:r>
          </w:p>
        </w:tc>
        <w:tc>
          <w:tcPr>
            <w:tcW w:w="1231" w:type="dxa"/>
            <w:shd w:val="clear" w:color="auto" w:fill="DDEBF7"/>
            <w:vAlign w:val="center"/>
          </w:tcPr>
          <w:p w14:paraId="039E4D6D" w14:textId="77777777" w:rsidR="00AC4FA3" w:rsidRDefault="00AC4FA3" w:rsidP="00B434A6">
            <w:pPr>
              <w:spacing w:after="0" w:line="240" w:lineRule="auto"/>
              <w:jc w:val="center"/>
            </w:pPr>
            <w:r>
              <w:rPr>
                <w:rFonts w:ascii="Arial" w:eastAsia="Times New Roman" w:hAnsi="Arial" w:cs="Arial"/>
                <w:b/>
                <w:bCs/>
                <w:sz w:val="18"/>
                <w:szCs w:val="18"/>
                <w:lang w:eastAsia="fr-FR"/>
              </w:rPr>
              <w:t>Composante affectée</w:t>
            </w:r>
          </w:p>
        </w:tc>
        <w:tc>
          <w:tcPr>
            <w:tcW w:w="2694" w:type="dxa"/>
            <w:shd w:val="clear" w:color="auto" w:fill="DDEBF7"/>
            <w:vAlign w:val="center"/>
          </w:tcPr>
          <w:p w14:paraId="6B0CF688" w14:textId="77777777" w:rsidR="00AC4FA3" w:rsidRDefault="00AC4FA3" w:rsidP="00B434A6">
            <w:pPr>
              <w:spacing w:after="0" w:line="240" w:lineRule="auto"/>
              <w:jc w:val="center"/>
            </w:pPr>
            <w:r>
              <w:rPr>
                <w:rFonts w:ascii="Arial" w:eastAsia="Times New Roman" w:hAnsi="Arial" w:cs="Arial"/>
                <w:b/>
                <w:bCs/>
                <w:sz w:val="18"/>
                <w:szCs w:val="18"/>
                <w:lang w:eastAsia="fr-FR"/>
              </w:rPr>
              <w:t>Impacts potentiels</w:t>
            </w:r>
          </w:p>
        </w:tc>
        <w:tc>
          <w:tcPr>
            <w:tcW w:w="4089" w:type="dxa"/>
            <w:shd w:val="clear" w:color="auto" w:fill="DDEBF7"/>
            <w:vAlign w:val="center"/>
          </w:tcPr>
          <w:p w14:paraId="6B5AB87D" w14:textId="77777777" w:rsidR="00AC4FA3" w:rsidRDefault="00AC4FA3" w:rsidP="00B434A6">
            <w:pPr>
              <w:spacing w:after="0" w:line="240" w:lineRule="auto"/>
              <w:jc w:val="center"/>
            </w:pPr>
            <w:r>
              <w:rPr>
                <w:rFonts w:ascii="Arial" w:eastAsia="Times New Roman" w:hAnsi="Arial" w:cs="Arial"/>
                <w:b/>
                <w:bCs/>
                <w:sz w:val="18"/>
                <w:szCs w:val="18"/>
                <w:lang w:eastAsia="fr-FR"/>
              </w:rPr>
              <w:t>Mesures de bonification</w:t>
            </w:r>
          </w:p>
        </w:tc>
      </w:tr>
      <w:tr w:rsidR="00AC4FA3" w14:paraId="58E9F641" w14:textId="77777777" w:rsidTr="00B434A6">
        <w:trPr>
          <w:trHeight w:val="288"/>
        </w:trPr>
        <w:tc>
          <w:tcPr>
            <w:tcW w:w="9071" w:type="dxa"/>
            <w:gridSpan w:val="4"/>
            <w:shd w:val="clear" w:color="auto" w:fill="00B0F0"/>
            <w:vAlign w:val="center"/>
          </w:tcPr>
          <w:p w14:paraId="34CDDED2" w14:textId="77777777" w:rsidR="00AC4FA3" w:rsidRDefault="00AC4FA3" w:rsidP="00AC4FA3">
            <w:pPr>
              <w:spacing w:after="0" w:line="240" w:lineRule="auto"/>
              <w:jc w:val="both"/>
            </w:pPr>
            <w:r>
              <w:rPr>
                <w:rFonts w:ascii="Arial" w:eastAsia="Times New Roman" w:hAnsi="Arial" w:cs="Arial"/>
                <w:b/>
                <w:bCs/>
                <w:color w:val="000000"/>
                <w:sz w:val="18"/>
                <w:szCs w:val="18"/>
                <w:lang w:eastAsia="fr-FR"/>
              </w:rPr>
              <w:t>Phase construction</w:t>
            </w:r>
          </w:p>
        </w:tc>
      </w:tr>
      <w:tr w:rsidR="00AC4FA3" w14:paraId="75A05EE4" w14:textId="77777777" w:rsidTr="00B434A6">
        <w:trPr>
          <w:trHeight w:val="288"/>
        </w:trPr>
        <w:tc>
          <w:tcPr>
            <w:tcW w:w="1057" w:type="dxa"/>
            <w:shd w:val="clear" w:color="auto" w:fill="auto"/>
            <w:vAlign w:val="center"/>
          </w:tcPr>
          <w:p w14:paraId="2298FEE5" w14:textId="77777777" w:rsidR="00AC4FA3" w:rsidRDefault="00AC4FA3" w:rsidP="00AC4FA3">
            <w:pPr>
              <w:spacing w:after="0" w:line="240" w:lineRule="auto"/>
              <w:jc w:val="both"/>
            </w:pPr>
            <w:r>
              <w:rPr>
                <w:rFonts w:ascii="Arial" w:eastAsia="Times New Roman" w:hAnsi="Arial" w:cs="Arial"/>
                <w:color w:val="000000"/>
                <w:sz w:val="18"/>
                <w:szCs w:val="18"/>
                <w:lang w:eastAsia="fr-FR"/>
              </w:rPr>
              <w:t>Humain</w:t>
            </w:r>
          </w:p>
        </w:tc>
        <w:tc>
          <w:tcPr>
            <w:tcW w:w="1231" w:type="dxa"/>
            <w:shd w:val="clear" w:color="auto" w:fill="auto"/>
            <w:vAlign w:val="center"/>
          </w:tcPr>
          <w:p w14:paraId="62776484" w14:textId="77777777" w:rsidR="00AC4FA3" w:rsidRDefault="00AC4FA3" w:rsidP="00AC4FA3">
            <w:pPr>
              <w:spacing w:after="0" w:line="240" w:lineRule="auto"/>
              <w:jc w:val="both"/>
            </w:pPr>
            <w:r>
              <w:rPr>
                <w:rFonts w:ascii="Arial" w:eastAsia="Times New Roman" w:hAnsi="Arial" w:cs="Arial"/>
                <w:color w:val="000000"/>
                <w:sz w:val="18"/>
                <w:szCs w:val="18"/>
                <w:lang w:eastAsia="fr-FR"/>
              </w:rPr>
              <w:t>Emploi</w:t>
            </w:r>
          </w:p>
        </w:tc>
        <w:tc>
          <w:tcPr>
            <w:tcW w:w="2694" w:type="dxa"/>
            <w:shd w:val="clear" w:color="auto" w:fill="auto"/>
            <w:vAlign w:val="center"/>
          </w:tcPr>
          <w:p w14:paraId="1958072E" w14:textId="77777777" w:rsidR="00AC4FA3" w:rsidRDefault="00AC4FA3" w:rsidP="00AC4FA3">
            <w:pPr>
              <w:spacing w:after="0" w:line="240" w:lineRule="auto"/>
              <w:jc w:val="both"/>
            </w:pPr>
            <w:r>
              <w:rPr>
                <w:rFonts w:ascii="Arial" w:eastAsia="Times New Roman" w:hAnsi="Arial" w:cs="Arial"/>
                <w:color w:val="000000"/>
                <w:sz w:val="18"/>
                <w:szCs w:val="18"/>
                <w:lang w:eastAsia="fr-FR"/>
              </w:rPr>
              <w:t>Création d’emplois pour les populations locales</w:t>
            </w:r>
          </w:p>
        </w:tc>
        <w:tc>
          <w:tcPr>
            <w:tcW w:w="4089" w:type="dxa"/>
            <w:shd w:val="clear" w:color="auto" w:fill="auto"/>
            <w:vAlign w:val="center"/>
          </w:tcPr>
          <w:p w14:paraId="6118206A" w14:textId="77777777" w:rsidR="00AC4FA3" w:rsidRDefault="00AC4FA3" w:rsidP="00AC4FA3">
            <w:pPr>
              <w:spacing w:after="0" w:line="240" w:lineRule="auto"/>
              <w:jc w:val="both"/>
            </w:pPr>
            <w:r>
              <w:rPr>
                <w:rFonts w:ascii="Arial" w:eastAsia="Times New Roman" w:hAnsi="Arial" w:cs="Arial"/>
                <w:color w:val="000000"/>
                <w:sz w:val="18"/>
                <w:szCs w:val="18"/>
                <w:lang w:eastAsia="fr-FR"/>
              </w:rPr>
              <w:t>Favoriser le recrutement local et prendre en compte l’approche genre</w:t>
            </w:r>
          </w:p>
        </w:tc>
      </w:tr>
      <w:tr w:rsidR="00AC4FA3" w14:paraId="5DABD409" w14:textId="77777777" w:rsidTr="00B434A6">
        <w:trPr>
          <w:trHeight w:val="288"/>
        </w:trPr>
        <w:tc>
          <w:tcPr>
            <w:tcW w:w="9071" w:type="dxa"/>
            <w:gridSpan w:val="4"/>
            <w:shd w:val="clear" w:color="auto" w:fill="00B0F0"/>
            <w:vAlign w:val="center"/>
          </w:tcPr>
          <w:p w14:paraId="24654F9C" w14:textId="77777777" w:rsidR="00AC4FA3" w:rsidRDefault="00AC4FA3" w:rsidP="00AC4FA3">
            <w:pPr>
              <w:spacing w:after="0" w:line="240" w:lineRule="auto"/>
              <w:jc w:val="both"/>
            </w:pPr>
            <w:r>
              <w:rPr>
                <w:rFonts w:ascii="Arial" w:eastAsia="Times New Roman" w:hAnsi="Arial" w:cs="Arial"/>
                <w:b/>
                <w:bCs/>
                <w:color w:val="000000"/>
                <w:sz w:val="18"/>
                <w:szCs w:val="18"/>
                <w:lang w:eastAsia="fr-FR"/>
              </w:rPr>
              <w:t>Phase exploitation</w:t>
            </w:r>
          </w:p>
        </w:tc>
      </w:tr>
      <w:tr w:rsidR="00AC4FA3" w14:paraId="622C2F18" w14:textId="77777777" w:rsidTr="00B434A6">
        <w:trPr>
          <w:trHeight w:val="960"/>
        </w:trPr>
        <w:tc>
          <w:tcPr>
            <w:tcW w:w="1057" w:type="dxa"/>
            <w:vMerge w:val="restart"/>
            <w:shd w:val="clear" w:color="auto" w:fill="auto"/>
            <w:vAlign w:val="center"/>
          </w:tcPr>
          <w:p w14:paraId="23F2383C" w14:textId="77777777" w:rsidR="00AC4FA3" w:rsidRDefault="00AC4FA3" w:rsidP="00AC4FA3">
            <w:pPr>
              <w:spacing w:after="0" w:line="240" w:lineRule="auto"/>
              <w:jc w:val="both"/>
            </w:pPr>
            <w:r>
              <w:rPr>
                <w:rFonts w:ascii="Arial" w:eastAsia="Times New Roman" w:hAnsi="Arial" w:cs="Arial"/>
                <w:color w:val="000000"/>
                <w:sz w:val="18"/>
                <w:szCs w:val="18"/>
                <w:lang w:eastAsia="fr-FR"/>
              </w:rPr>
              <w:t>Physique</w:t>
            </w:r>
          </w:p>
        </w:tc>
        <w:tc>
          <w:tcPr>
            <w:tcW w:w="1231" w:type="dxa"/>
            <w:vMerge w:val="restart"/>
            <w:shd w:val="clear" w:color="auto" w:fill="auto"/>
            <w:vAlign w:val="center"/>
          </w:tcPr>
          <w:p w14:paraId="1E641CE8" w14:textId="77777777" w:rsidR="00AC4FA3" w:rsidRDefault="00AC4FA3" w:rsidP="00AC4FA3">
            <w:pPr>
              <w:spacing w:after="0" w:line="240" w:lineRule="auto"/>
              <w:jc w:val="both"/>
            </w:pPr>
            <w:r>
              <w:rPr>
                <w:rFonts w:ascii="Arial" w:eastAsia="Times New Roman" w:hAnsi="Arial" w:cs="Arial"/>
                <w:color w:val="000000"/>
                <w:sz w:val="18"/>
                <w:szCs w:val="18"/>
                <w:lang w:eastAsia="fr-FR"/>
              </w:rPr>
              <w:t>Climat / Air</w:t>
            </w:r>
          </w:p>
        </w:tc>
        <w:tc>
          <w:tcPr>
            <w:tcW w:w="2694" w:type="dxa"/>
            <w:shd w:val="clear" w:color="auto" w:fill="auto"/>
            <w:vAlign w:val="center"/>
          </w:tcPr>
          <w:p w14:paraId="01B5B239" w14:textId="77777777" w:rsidR="00AC4FA3" w:rsidRDefault="00AC4FA3" w:rsidP="00AC4FA3">
            <w:pPr>
              <w:spacing w:after="0" w:line="240" w:lineRule="auto"/>
              <w:jc w:val="both"/>
            </w:pPr>
            <w:r>
              <w:rPr>
                <w:rFonts w:ascii="Arial" w:eastAsia="Times New Roman" w:hAnsi="Arial" w:cs="Arial"/>
                <w:color w:val="000000"/>
                <w:sz w:val="18"/>
                <w:szCs w:val="18"/>
                <w:lang w:eastAsia="fr-FR"/>
              </w:rPr>
              <w:t>Atténuation du changement climatique par limitation des émissions de gaz à effet de serre par l'énergie fossile</w:t>
            </w:r>
          </w:p>
        </w:tc>
        <w:tc>
          <w:tcPr>
            <w:tcW w:w="4089" w:type="dxa"/>
            <w:shd w:val="clear" w:color="auto" w:fill="auto"/>
            <w:vAlign w:val="center"/>
          </w:tcPr>
          <w:p w14:paraId="3282E231" w14:textId="77777777" w:rsidR="00AC4FA3" w:rsidRDefault="00AC4FA3" w:rsidP="00481CF0">
            <w:pPr>
              <w:spacing w:after="0" w:line="240" w:lineRule="auto"/>
              <w:jc w:val="both"/>
            </w:pPr>
            <w:r>
              <w:rPr>
                <w:rFonts w:ascii="Arial" w:eastAsia="Times New Roman" w:hAnsi="Arial" w:cs="Arial"/>
                <w:color w:val="000000"/>
                <w:sz w:val="18"/>
                <w:szCs w:val="18"/>
                <w:lang w:eastAsia="fr-FR"/>
              </w:rPr>
              <w:t xml:space="preserve">Le Projet pourra être aussi un instrument pédagogique en expliquant le fonctionnement, la protection de l’environnement, la lutte contre le changement climatique, pendant les visites des écoliers, des </w:t>
            </w:r>
            <w:r w:rsidR="00481CF0">
              <w:rPr>
                <w:rFonts w:ascii="Arial" w:eastAsia="Times New Roman" w:hAnsi="Arial" w:cs="Arial"/>
                <w:color w:val="000000"/>
                <w:sz w:val="18"/>
                <w:szCs w:val="18"/>
                <w:lang w:eastAsia="fr-FR"/>
              </w:rPr>
              <w:t>universitaires</w:t>
            </w:r>
            <w:r>
              <w:rPr>
                <w:rFonts w:ascii="Arial" w:eastAsia="Times New Roman" w:hAnsi="Arial" w:cs="Arial"/>
                <w:color w:val="000000"/>
                <w:sz w:val="18"/>
                <w:szCs w:val="18"/>
                <w:lang w:eastAsia="fr-FR"/>
              </w:rPr>
              <w:t xml:space="preserve">, des industriels et des citoyens. </w:t>
            </w:r>
          </w:p>
        </w:tc>
      </w:tr>
      <w:tr w:rsidR="00AC4FA3" w14:paraId="08131EC4" w14:textId="77777777" w:rsidTr="00B434A6">
        <w:trPr>
          <w:trHeight w:val="480"/>
        </w:trPr>
        <w:tc>
          <w:tcPr>
            <w:tcW w:w="1057" w:type="dxa"/>
            <w:vMerge/>
            <w:vAlign w:val="center"/>
          </w:tcPr>
          <w:p w14:paraId="54178C86"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1231" w:type="dxa"/>
            <w:vMerge/>
            <w:vAlign w:val="center"/>
          </w:tcPr>
          <w:p w14:paraId="2676E498"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2694" w:type="dxa"/>
            <w:shd w:val="clear" w:color="auto" w:fill="auto"/>
            <w:vAlign w:val="center"/>
          </w:tcPr>
          <w:p w14:paraId="3A2C74FC" w14:textId="77777777" w:rsidR="00AC4FA3" w:rsidRDefault="00AC4FA3" w:rsidP="00AC4FA3">
            <w:pPr>
              <w:spacing w:after="0" w:line="240" w:lineRule="auto"/>
              <w:jc w:val="both"/>
            </w:pPr>
            <w:r>
              <w:rPr>
                <w:rFonts w:ascii="Arial" w:eastAsia="Times New Roman" w:hAnsi="Arial" w:cs="Arial"/>
                <w:color w:val="000000"/>
                <w:sz w:val="18"/>
                <w:szCs w:val="18"/>
                <w:lang w:eastAsia="fr-FR"/>
              </w:rPr>
              <w:t>Promotion de la production d’électricité faisant recours à l’énergie renouvelable</w:t>
            </w:r>
          </w:p>
        </w:tc>
        <w:tc>
          <w:tcPr>
            <w:tcW w:w="4089" w:type="dxa"/>
            <w:shd w:val="clear" w:color="auto" w:fill="auto"/>
            <w:vAlign w:val="center"/>
          </w:tcPr>
          <w:p w14:paraId="5690B240" w14:textId="77777777" w:rsidR="00AC4FA3" w:rsidRDefault="00AC4FA3" w:rsidP="00AC4FA3">
            <w:pPr>
              <w:spacing w:after="0" w:line="240" w:lineRule="auto"/>
              <w:jc w:val="both"/>
            </w:pPr>
            <w:r>
              <w:rPr>
                <w:rFonts w:ascii="Arial" w:eastAsia="Times New Roman" w:hAnsi="Arial" w:cs="Arial"/>
                <w:color w:val="000000"/>
                <w:sz w:val="18"/>
                <w:szCs w:val="18"/>
                <w:lang w:eastAsia="fr-FR"/>
              </w:rPr>
              <w:t xml:space="preserve">Le Projet peut être un support de recherche sur les technologies propres, les relations avec la biodiversité. </w:t>
            </w:r>
          </w:p>
        </w:tc>
      </w:tr>
      <w:tr w:rsidR="00AC4FA3" w14:paraId="7B25BBB6" w14:textId="77777777" w:rsidTr="00B434A6">
        <w:trPr>
          <w:trHeight w:val="480"/>
        </w:trPr>
        <w:tc>
          <w:tcPr>
            <w:tcW w:w="1057" w:type="dxa"/>
            <w:vMerge/>
            <w:vAlign w:val="center"/>
          </w:tcPr>
          <w:p w14:paraId="608FECB0"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1231" w:type="dxa"/>
            <w:vMerge/>
            <w:vAlign w:val="center"/>
          </w:tcPr>
          <w:p w14:paraId="0C781194"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2694" w:type="dxa"/>
            <w:shd w:val="clear" w:color="auto" w:fill="auto"/>
            <w:vAlign w:val="center"/>
          </w:tcPr>
          <w:p w14:paraId="754714FB" w14:textId="77777777" w:rsidR="00AC4FA3" w:rsidRDefault="00AC4FA3" w:rsidP="00AC4FA3">
            <w:pPr>
              <w:spacing w:after="0" w:line="240" w:lineRule="auto"/>
              <w:jc w:val="both"/>
            </w:pPr>
            <w:r>
              <w:rPr>
                <w:rFonts w:ascii="Arial" w:eastAsia="Times New Roman" w:hAnsi="Arial" w:cs="Arial"/>
                <w:color w:val="000000"/>
                <w:sz w:val="18"/>
                <w:szCs w:val="18"/>
                <w:lang w:eastAsia="fr-FR"/>
              </w:rPr>
              <w:t>Facilitation des échanges à distances sans besoin de déplacement</w:t>
            </w:r>
          </w:p>
        </w:tc>
        <w:tc>
          <w:tcPr>
            <w:tcW w:w="4089" w:type="dxa"/>
            <w:shd w:val="clear" w:color="auto" w:fill="auto"/>
            <w:vAlign w:val="center"/>
          </w:tcPr>
          <w:p w14:paraId="42FCE68E" w14:textId="77777777" w:rsidR="00AC4FA3" w:rsidRDefault="00AC4FA3" w:rsidP="00AC4FA3">
            <w:pPr>
              <w:spacing w:after="0" w:line="240" w:lineRule="auto"/>
              <w:jc w:val="both"/>
            </w:pPr>
            <w:r>
              <w:rPr>
                <w:rFonts w:ascii="Arial" w:eastAsia="Times New Roman" w:hAnsi="Arial" w:cs="Arial"/>
                <w:color w:val="000000"/>
                <w:sz w:val="18"/>
                <w:szCs w:val="18"/>
                <w:lang w:eastAsia="fr-FR"/>
              </w:rPr>
              <w:t>Densification des sites desservis par les réseaux de communication</w:t>
            </w:r>
            <w:r w:rsidR="00E31EB0">
              <w:rPr>
                <w:rFonts w:ascii="Arial" w:eastAsia="Times New Roman" w:hAnsi="Arial" w:cs="Arial"/>
                <w:color w:val="000000"/>
                <w:sz w:val="18"/>
                <w:szCs w:val="18"/>
                <w:lang w:eastAsia="fr-FR"/>
              </w:rPr>
              <w:t>.</w:t>
            </w:r>
          </w:p>
        </w:tc>
      </w:tr>
      <w:tr w:rsidR="00AC4FA3" w14:paraId="4B8B5B68" w14:textId="77777777" w:rsidTr="00B434A6">
        <w:trPr>
          <w:trHeight w:val="480"/>
        </w:trPr>
        <w:tc>
          <w:tcPr>
            <w:tcW w:w="1057" w:type="dxa"/>
            <w:vMerge w:val="restart"/>
            <w:shd w:val="clear" w:color="auto" w:fill="auto"/>
            <w:vAlign w:val="center"/>
          </w:tcPr>
          <w:p w14:paraId="719F250F" w14:textId="77777777" w:rsidR="00AC4FA3" w:rsidRDefault="00AC4FA3" w:rsidP="00AC4FA3">
            <w:pPr>
              <w:spacing w:after="0" w:line="240" w:lineRule="auto"/>
              <w:jc w:val="both"/>
            </w:pPr>
            <w:r>
              <w:rPr>
                <w:rFonts w:ascii="Arial" w:eastAsia="Times New Roman" w:hAnsi="Arial" w:cs="Arial"/>
                <w:color w:val="000000"/>
                <w:sz w:val="18"/>
                <w:szCs w:val="18"/>
                <w:lang w:eastAsia="fr-FR"/>
              </w:rPr>
              <w:t>Humain</w:t>
            </w:r>
          </w:p>
        </w:tc>
        <w:tc>
          <w:tcPr>
            <w:tcW w:w="1231" w:type="dxa"/>
            <w:shd w:val="clear" w:color="auto" w:fill="auto"/>
            <w:vAlign w:val="center"/>
          </w:tcPr>
          <w:p w14:paraId="015D98AE" w14:textId="77777777" w:rsidR="00AC4FA3" w:rsidRDefault="00AC4FA3" w:rsidP="00AC4FA3">
            <w:pPr>
              <w:spacing w:after="0" w:line="240" w:lineRule="auto"/>
              <w:jc w:val="both"/>
            </w:pPr>
            <w:r>
              <w:rPr>
                <w:rFonts w:ascii="Arial" w:eastAsia="Times New Roman" w:hAnsi="Arial" w:cs="Arial"/>
                <w:color w:val="000000"/>
                <w:sz w:val="18"/>
                <w:szCs w:val="18"/>
                <w:lang w:eastAsia="fr-FR"/>
              </w:rPr>
              <w:t>Emplois</w:t>
            </w:r>
          </w:p>
        </w:tc>
        <w:tc>
          <w:tcPr>
            <w:tcW w:w="2694" w:type="dxa"/>
            <w:shd w:val="clear" w:color="auto" w:fill="auto"/>
            <w:vAlign w:val="center"/>
          </w:tcPr>
          <w:p w14:paraId="7EB6F1CC" w14:textId="77777777" w:rsidR="00AC4FA3" w:rsidRDefault="00AC4FA3" w:rsidP="00AC4FA3">
            <w:pPr>
              <w:spacing w:after="0" w:line="240" w:lineRule="auto"/>
              <w:jc w:val="both"/>
            </w:pPr>
            <w:r>
              <w:rPr>
                <w:rFonts w:ascii="Arial" w:eastAsia="Times New Roman" w:hAnsi="Arial" w:cs="Arial"/>
                <w:color w:val="000000"/>
                <w:sz w:val="18"/>
                <w:szCs w:val="18"/>
                <w:lang w:eastAsia="fr-FR"/>
              </w:rPr>
              <w:t>Création de postes permanents pour les populations locales</w:t>
            </w:r>
          </w:p>
        </w:tc>
        <w:tc>
          <w:tcPr>
            <w:tcW w:w="4089" w:type="dxa"/>
            <w:shd w:val="clear" w:color="auto" w:fill="auto"/>
            <w:vAlign w:val="center"/>
          </w:tcPr>
          <w:p w14:paraId="4B670DDB" w14:textId="77777777" w:rsidR="00AC4FA3" w:rsidRDefault="00AC4FA3" w:rsidP="00AC4FA3">
            <w:pPr>
              <w:spacing w:after="0" w:line="240" w:lineRule="auto"/>
              <w:jc w:val="both"/>
            </w:pPr>
            <w:r>
              <w:rPr>
                <w:rFonts w:ascii="Arial" w:eastAsia="Times New Roman" w:hAnsi="Arial" w:cs="Arial"/>
                <w:color w:val="000000"/>
                <w:sz w:val="18"/>
                <w:szCs w:val="18"/>
                <w:lang w:eastAsia="fr-FR"/>
              </w:rPr>
              <w:t>Favoriser le recrutement au niveau local et tenir compte de l’approche genre</w:t>
            </w:r>
            <w:r w:rsidR="00E31EB0">
              <w:rPr>
                <w:rFonts w:ascii="Arial" w:eastAsia="Times New Roman" w:hAnsi="Arial" w:cs="Arial"/>
                <w:color w:val="000000"/>
                <w:sz w:val="18"/>
                <w:szCs w:val="18"/>
                <w:lang w:eastAsia="fr-FR"/>
              </w:rPr>
              <w:t>.</w:t>
            </w:r>
          </w:p>
        </w:tc>
      </w:tr>
      <w:tr w:rsidR="00AC4FA3" w14:paraId="5E8772A9" w14:textId="77777777" w:rsidTr="00B434A6">
        <w:trPr>
          <w:trHeight w:val="960"/>
        </w:trPr>
        <w:tc>
          <w:tcPr>
            <w:tcW w:w="1057" w:type="dxa"/>
            <w:vMerge/>
            <w:vAlign w:val="center"/>
          </w:tcPr>
          <w:p w14:paraId="3C3E7E3F"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1231" w:type="dxa"/>
            <w:vMerge w:val="restart"/>
            <w:shd w:val="clear" w:color="auto" w:fill="auto"/>
            <w:vAlign w:val="center"/>
          </w:tcPr>
          <w:p w14:paraId="447E0C15" w14:textId="77777777" w:rsidR="00AC4FA3" w:rsidRDefault="00AC4FA3" w:rsidP="00AC4FA3">
            <w:pPr>
              <w:spacing w:after="0" w:line="240" w:lineRule="auto"/>
              <w:jc w:val="both"/>
            </w:pPr>
            <w:r>
              <w:rPr>
                <w:rFonts w:ascii="Arial" w:eastAsia="Times New Roman" w:hAnsi="Arial" w:cs="Arial"/>
                <w:color w:val="000000"/>
                <w:sz w:val="18"/>
                <w:szCs w:val="18"/>
                <w:lang w:eastAsia="fr-FR"/>
              </w:rPr>
              <w:t>Activités socio-économiques</w:t>
            </w:r>
          </w:p>
        </w:tc>
        <w:tc>
          <w:tcPr>
            <w:tcW w:w="2694" w:type="dxa"/>
            <w:shd w:val="clear" w:color="auto" w:fill="auto"/>
            <w:vAlign w:val="center"/>
          </w:tcPr>
          <w:p w14:paraId="32A24943" w14:textId="77777777" w:rsidR="00AC4FA3" w:rsidRDefault="00AC4FA3" w:rsidP="00AC4FA3">
            <w:pPr>
              <w:spacing w:after="0" w:line="240" w:lineRule="auto"/>
              <w:jc w:val="both"/>
            </w:pPr>
            <w:r w:rsidRPr="005D6D41">
              <w:rPr>
                <w:rFonts w:ascii="Arial" w:eastAsia="Times New Roman" w:hAnsi="Arial" w:cs="Arial"/>
                <w:color w:val="000000"/>
                <w:sz w:val="18"/>
                <w:szCs w:val="18"/>
                <w:lang w:eastAsia="fr-FR"/>
              </w:rPr>
              <w:t xml:space="preserve">Augmentation de la capacité de </w:t>
            </w:r>
            <w:r w:rsidRPr="00742D67">
              <w:rPr>
                <w:rFonts w:ascii="Arial" w:eastAsia="Times New Roman" w:hAnsi="Arial" w:cs="Arial"/>
                <w:sz w:val="18"/>
                <w:szCs w:val="18"/>
                <w:lang w:eastAsia="fr-FR"/>
              </w:rPr>
              <w:t xml:space="preserve">production et de distribution électrique de la JIRAMA  </w:t>
            </w:r>
            <w:r w:rsidR="00056AF9" w:rsidRPr="00742D67">
              <w:rPr>
                <w:rFonts w:ascii="Arial" w:eastAsia="Times New Roman" w:hAnsi="Arial" w:cs="Arial"/>
                <w:sz w:val="18"/>
                <w:szCs w:val="18"/>
                <w:lang w:eastAsia="fr-FR"/>
              </w:rPr>
              <w:t xml:space="preserve">et des </w:t>
            </w:r>
            <w:r w:rsidR="000A5DA6">
              <w:rPr>
                <w:rFonts w:ascii="Arial" w:eastAsia="Times New Roman" w:hAnsi="Arial" w:cs="Arial"/>
                <w:sz w:val="18"/>
                <w:szCs w:val="18"/>
                <w:lang w:eastAsia="fr-FR"/>
              </w:rPr>
              <w:t xml:space="preserve">autres </w:t>
            </w:r>
            <w:r w:rsidR="00056AF9" w:rsidRPr="00742D67">
              <w:rPr>
                <w:rFonts w:ascii="Arial" w:eastAsia="Times New Roman" w:hAnsi="Arial" w:cs="Arial"/>
                <w:sz w:val="18"/>
                <w:szCs w:val="18"/>
                <w:lang w:eastAsia="fr-FR"/>
              </w:rPr>
              <w:t>producteurs d’électricité dans les zones rurales</w:t>
            </w:r>
          </w:p>
        </w:tc>
        <w:tc>
          <w:tcPr>
            <w:tcW w:w="4089" w:type="dxa"/>
            <w:shd w:val="clear" w:color="auto" w:fill="auto"/>
            <w:vAlign w:val="center"/>
          </w:tcPr>
          <w:p w14:paraId="16E15BB2" w14:textId="77777777" w:rsidR="00AC4FA3" w:rsidRDefault="00AC4FA3" w:rsidP="00AC4FA3">
            <w:pPr>
              <w:spacing w:after="0" w:line="240" w:lineRule="auto"/>
              <w:jc w:val="both"/>
            </w:pPr>
            <w:r w:rsidRPr="005D6D41">
              <w:rPr>
                <w:rFonts w:ascii="Arial" w:eastAsia="Times New Roman" w:hAnsi="Arial" w:cs="Arial"/>
                <w:color w:val="000000"/>
                <w:sz w:val="18"/>
                <w:szCs w:val="18"/>
                <w:lang w:eastAsia="fr-FR"/>
              </w:rPr>
              <w:t xml:space="preserve"> Alimenter le centre de stockage par l’énergie en provenance des centrales photovoltaïques et non seulement par la centrale thermique, afin de réduire le niveau de consommation de la centrale thermique. Remplacement progressif des sources d'énergie </w:t>
            </w:r>
            <w:r w:rsidR="24A34EBE" w:rsidRPr="005D6D41">
              <w:rPr>
                <w:rFonts w:ascii="Arial" w:eastAsia="Times New Roman" w:hAnsi="Arial" w:cs="Arial"/>
                <w:color w:val="000000"/>
                <w:sz w:val="18"/>
                <w:szCs w:val="18"/>
                <w:lang w:eastAsia="fr-FR"/>
              </w:rPr>
              <w:t xml:space="preserve">fossiles </w:t>
            </w:r>
            <w:r w:rsidRPr="005D6D41">
              <w:rPr>
                <w:rFonts w:ascii="Arial" w:eastAsia="Times New Roman" w:hAnsi="Arial" w:cs="Arial"/>
                <w:color w:val="000000"/>
                <w:sz w:val="18"/>
                <w:szCs w:val="18"/>
                <w:lang w:eastAsia="fr-FR"/>
              </w:rPr>
              <w:t>utilisées par la JIRAMA par de l'énergie renouvelable.</w:t>
            </w:r>
          </w:p>
        </w:tc>
      </w:tr>
      <w:tr w:rsidR="00AC4FA3" w14:paraId="4F9A91EF" w14:textId="77777777" w:rsidTr="00B434A6">
        <w:trPr>
          <w:trHeight w:val="480"/>
        </w:trPr>
        <w:tc>
          <w:tcPr>
            <w:tcW w:w="1057" w:type="dxa"/>
            <w:vMerge/>
            <w:vAlign w:val="center"/>
          </w:tcPr>
          <w:p w14:paraId="0D46A3AD"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1231" w:type="dxa"/>
            <w:vMerge/>
            <w:vAlign w:val="center"/>
          </w:tcPr>
          <w:p w14:paraId="6A01D500"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2694" w:type="dxa"/>
            <w:shd w:val="clear" w:color="auto" w:fill="auto"/>
            <w:vAlign w:val="center"/>
          </w:tcPr>
          <w:p w14:paraId="635540D5" w14:textId="77777777" w:rsidR="00AC4FA3" w:rsidRDefault="00AC4FA3" w:rsidP="00AC4FA3">
            <w:pPr>
              <w:spacing w:after="0" w:line="240" w:lineRule="auto"/>
              <w:jc w:val="both"/>
            </w:pPr>
            <w:r>
              <w:rPr>
                <w:rFonts w:ascii="Arial" w:eastAsia="Times New Roman" w:hAnsi="Arial" w:cs="Arial"/>
                <w:color w:val="000000"/>
                <w:sz w:val="18"/>
                <w:szCs w:val="18"/>
                <w:lang w:eastAsia="fr-FR"/>
              </w:rPr>
              <w:t>Renforcement du secteur énergétique</w:t>
            </w:r>
          </w:p>
        </w:tc>
        <w:tc>
          <w:tcPr>
            <w:tcW w:w="4089" w:type="dxa"/>
            <w:shd w:val="clear" w:color="auto" w:fill="auto"/>
            <w:vAlign w:val="center"/>
          </w:tcPr>
          <w:p w14:paraId="58A5116E" w14:textId="77777777" w:rsidR="00AC4FA3" w:rsidRDefault="00AC4FA3" w:rsidP="00AC4FA3">
            <w:pPr>
              <w:spacing w:after="0" w:line="240" w:lineRule="auto"/>
              <w:jc w:val="both"/>
            </w:pPr>
            <w:r>
              <w:rPr>
                <w:rFonts w:ascii="Arial" w:eastAsia="Times New Roman" w:hAnsi="Arial" w:cs="Arial"/>
                <w:color w:val="000000"/>
                <w:sz w:val="18"/>
                <w:szCs w:val="18"/>
                <w:lang w:eastAsia="fr-FR"/>
              </w:rPr>
              <w:t>Vulgarisation et extension de l'utilisation de ressources énergétique renouvelables.</w:t>
            </w:r>
          </w:p>
        </w:tc>
      </w:tr>
      <w:tr w:rsidR="00AC4FA3" w14:paraId="0AC2CDC9" w14:textId="77777777" w:rsidTr="00B434A6">
        <w:trPr>
          <w:trHeight w:val="480"/>
        </w:trPr>
        <w:tc>
          <w:tcPr>
            <w:tcW w:w="1057" w:type="dxa"/>
            <w:vMerge/>
            <w:vAlign w:val="center"/>
          </w:tcPr>
          <w:p w14:paraId="77DD6A05"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1231" w:type="dxa"/>
            <w:vMerge/>
            <w:vAlign w:val="center"/>
          </w:tcPr>
          <w:p w14:paraId="043926C0"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2694" w:type="dxa"/>
            <w:shd w:val="clear" w:color="auto" w:fill="auto"/>
            <w:vAlign w:val="center"/>
          </w:tcPr>
          <w:p w14:paraId="1F903AA4" w14:textId="77777777" w:rsidR="00AC4FA3" w:rsidRDefault="00AC4FA3" w:rsidP="00AC4FA3">
            <w:pPr>
              <w:spacing w:after="0" w:line="240" w:lineRule="auto"/>
              <w:jc w:val="both"/>
            </w:pPr>
            <w:r>
              <w:rPr>
                <w:rFonts w:ascii="Arial" w:eastAsia="Times New Roman" w:hAnsi="Arial" w:cs="Arial"/>
                <w:color w:val="000000"/>
                <w:sz w:val="18"/>
                <w:szCs w:val="18"/>
                <w:lang w:eastAsia="fr-FR"/>
              </w:rPr>
              <w:t>Réduction de la durée de délestage au niveau des villes approvisionnées par la JIRAMA</w:t>
            </w:r>
          </w:p>
        </w:tc>
        <w:tc>
          <w:tcPr>
            <w:tcW w:w="4089" w:type="dxa"/>
            <w:shd w:val="clear" w:color="auto" w:fill="auto"/>
            <w:vAlign w:val="center"/>
          </w:tcPr>
          <w:p w14:paraId="7B266377" w14:textId="77777777" w:rsidR="00AC4FA3" w:rsidRDefault="00AC4FA3" w:rsidP="00AC4FA3">
            <w:pPr>
              <w:spacing w:after="0" w:line="240" w:lineRule="auto"/>
              <w:jc w:val="both"/>
            </w:pPr>
            <w:r>
              <w:rPr>
                <w:rFonts w:ascii="Arial" w:eastAsia="Times New Roman" w:hAnsi="Arial" w:cs="Arial"/>
                <w:color w:val="000000"/>
                <w:sz w:val="18"/>
                <w:szCs w:val="18"/>
                <w:lang w:eastAsia="fr-FR"/>
              </w:rPr>
              <w:t>Améliorer la communication de la JIRAMA sur la réduction des délestages pour renforcer l’image externe de la société</w:t>
            </w:r>
          </w:p>
        </w:tc>
      </w:tr>
      <w:tr w:rsidR="00DF7822" w14:paraId="22184774" w14:textId="77777777" w:rsidTr="005D6D41">
        <w:trPr>
          <w:trHeight w:val="480"/>
        </w:trPr>
        <w:tc>
          <w:tcPr>
            <w:tcW w:w="1057" w:type="dxa"/>
            <w:vMerge/>
            <w:vAlign w:val="center"/>
          </w:tcPr>
          <w:p w14:paraId="6E5D4DBE"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1231" w:type="dxa"/>
            <w:vMerge/>
            <w:vAlign w:val="center"/>
          </w:tcPr>
          <w:p w14:paraId="0C7C54EF"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2694" w:type="dxa"/>
            <w:shd w:val="clear" w:color="auto" w:fill="auto"/>
            <w:vAlign w:val="center"/>
          </w:tcPr>
          <w:p w14:paraId="18D2FF50" w14:textId="77777777" w:rsidR="00AC4FA3" w:rsidRDefault="00AC4FA3" w:rsidP="00AC4FA3">
            <w:pPr>
              <w:spacing w:after="0" w:line="240" w:lineRule="auto"/>
              <w:jc w:val="both"/>
            </w:pPr>
            <w:r>
              <w:rPr>
                <w:rFonts w:ascii="Arial" w:eastAsia="Times New Roman" w:hAnsi="Arial" w:cs="Arial"/>
                <w:color w:val="000000"/>
                <w:sz w:val="18"/>
                <w:szCs w:val="18"/>
                <w:lang w:eastAsia="fr-FR"/>
              </w:rPr>
              <w:t>Développement des activités socioéconomiques lié</w:t>
            </w:r>
            <w:r w:rsidR="00E31EB0">
              <w:rPr>
                <w:rFonts w:ascii="Arial" w:eastAsia="Times New Roman" w:hAnsi="Arial" w:cs="Arial"/>
                <w:color w:val="000000"/>
                <w:sz w:val="18"/>
                <w:szCs w:val="18"/>
                <w:lang w:eastAsia="fr-FR"/>
              </w:rPr>
              <w:t>e</w:t>
            </w:r>
            <w:r>
              <w:rPr>
                <w:rFonts w:ascii="Arial" w:eastAsia="Times New Roman" w:hAnsi="Arial" w:cs="Arial"/>
                <w:color w:val="000000"/>
                <w:sz w:val="18"/>
                <w:szCs w:val="18"/>
                <w:lang w:eastAsia="fr-FR"/>
              </w:rPr>
              <w:t xml:space="preserve">s au numérique </w:t>
            </w:r>
          </w:p>
        </w:tc>
        <w:tc>
          <w:tcPr>
            <w:tcW w:w="4089" w:type="dxa"/>
            <w:vMerge w:val="restart"/>
            <w:shd w:val="clear" w:color="auto" w:fill="auto"/>
            <w:vAlign w:val="center"/>
          </w:tcPr>
          <w:p w14:paraId="71995329" w14:textId="77777777" w:rsidR="00AC4FA3" w:rsidRDefault="00AC4FA3" w:rsidP="00AC4FA3">
            <w:pPr>
              <w:spacing w:after="0" w:line="240" w:lineRule="auto"/>
              <w:jc w:val="both"/>
            </w:pPr>
            <w:r>
              <w:rPr>
                <w:rFonts w:ascii="Arial" w:eastAsia="Times New Roman" w:hAnsi="Arial" w:cs="Arial"/>
                <w:color w:val="000000"/>
                <w:sz w:val="18"/>
                <w:szCs w:val="18"/>
                <w:lang w:eastAsia="fr-FR"/>
              </w:rPr>
              <w:t>Densification des réseaux de communication</w:t>
            </w:r>
          </w:p>
        </w:tc>
      </w:tr>
      <w:tr w:rsidR="00AC4FA3" w14:paraId="55976752" w14:textId="77777777" w:rsidTr="00B434A6">
        <w:trPr>
          <w:trHeight w:val="480"/>
        </w:trPr>
        <w:tc>
          <w:tcPr>
            <w:tcW w:w="1057" w:type="dxa"/>
            <w:vMerge/>
            <w:vAlign w:val="center"/>
          </w:tcPr>
          <w:p w14:paraId="1879F4DA"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1231" w:type="dxa"/>
            <w:vMerge/>
            <w:vAlign w:val="center"/>
          </w:tcPr>
          <w:p w14:paraId="19B2FC28"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2694" w:type="dxa"/>
            <w:shd w:val="clear" w:color="auto" w:fill="auto"/>
            <w:vAlign w:val="center"/>
          </w:tcPr>
          <w:p w14:paraId="02803D69" w14:textId="77777777" w:rsidR="00AC4FA3" w:rsidRDefault="00AC4FA3" w:rsidP="00AC4FA3">
            <w:pPr>
              <w:spacing w:after="0" w:line="240" w:lineRule="auto"/>
              <w:jc w:val="both"/>
            </w:pPr>
            <w:r>
              <w:rPr>
                <w:rFonts w:ascii="Arial" w:eastAsia="Times New Roman" w:hAnsi="Arial" w:cs="Arial"/>
                <w:color w:val="000000"/>
                <w:sz w:val="18"/>
                <w:szCs w:val="18"/>
                <w:lang w:eastAsia="fr-FR"/>
              </w:rPr>
              <w:t>Transformation numérique pour favoriser les échanges et la création d'emploi à distance</w:t>
            </w:r>
          </w:p>
        </w:tc>
        <w:tc>
          <w:tcPr>
            <w:tcW w:w="4089" w:type="dxa"/>
            <w:vMerge/>
            <w:vAlign w:val="center"/>
          </w:tcPr>
          <w:p w14:paraId="0CC0A570"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r>
      <w:tr w:rsidR="00AC4FA3" w14:paraId="3CEC0778" w14:textId="77777777" w:rsidTr="00B434A6">
        <w:trPr>
          <w:trHeight w:val="480"/>
        </w:trPr>
        <w:tc>
          <w:tcPr>
            <w:tcW w:w="1057" w:type="dxa"/>
            <w:vMerge/>
            <w:vAlign w:val="center"/>
          </w:tcPr>
          <w:p w14:paraId="2C639703"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1231" w:type="dxa"/>
            <w:vMerge/>
            <w:vAlign w:val="center"/>
          </w:tcPr>
          <w:p w14:paraId="03A51DAB"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2694" w:type="dxa"/>
            <w:shd w:val="clear" w:color="auto" w:fill="auto"/>
            <w:vAlign w:val="center"/>
          </w:tcPr>
          <w:p w14:paraId="706FD8D9" w14:textId="77777777" w:rsidR="00AC4FA3" w:rsidRDefault="00AC4FA3" w:rsidP="00AC4FA3">
            <w:pPr>
              <w:spacing w:after="0" w:line="240" w:lineRule="auto"/>
              <w:jc w:val="both"/>
            </w:pPr>
            <w:r>
              <w:rPr>
                <w:rFonts w:ascii="Arial" w:eastAsia="Times New Roman" w:hAnsi="Arial" w:cs="Arial"/>
                <w:color w:val="000000"/>
                <w:sz w:val="18"/>
                <w:szCs w:val="18"/>
                <w:lang w:eastAsia="fr-FR"/>
              </w:rPr>
              <w:t>Digitalisation des services publics</w:t>
            </w:r>
          </w:p>
        </w:tc>
        <w:tc>
          <w:tcPr>
            <w:tcW w:w="4089" w:type="dxa"/>
            <w:shd w:val="clear" w:color="auto" w:fill="auto"/>
            <w:vAlign w:val="center"/>
          </w:tcPr>
          <w:p w14:paraId="0DDEF1B9" w14:textId="77777777" w:rsidR="00AC4FA3" w:rsidRDefault="00AC4FA3" w:rsidP="00AC4FA3">
            <w:pPr>
              <w:spacing w:after="0" w:line="240" w:lineRule="auto"/>
              <w:jc w:val="both"/>
            </w:pPr>
            <w:r>
              <w:rPr>
                <w:rFonts w:ascii="Arial" w:eastAsia="Times New Roman" w:hAnsi="Arial" w:cs="Arial"/>
                <w:color w:val="000000"/>
                <w:sz w:val="18"/>
                <w:szCs w:val="18"/>
                <w:lang w:eastAsia="fr-FR"/>
              </w:rPr>
              <w:t>Dotation en équipement des services publics de proximité (fokontany et communes). Formation du personnel de ces services publics de proximité</w:t>
            </w:r>
          </w:p>
        </w:tc>
      </w:tr>
      <w:tr w:rsidR="00AC4FA3" w14:paraId="599EE628" w14:textId="77777777" w:rsidTr="00B434A6">
        <w:trPr>
          <w:trHeight w:val="288"/>
        </w:trPr>
        <w:tc>
          <w:tcPr>
            <w:tcW w:w="9071" w:type="dxa"/>
            <w:gridSpan w:val="4"/>
            <w:shd w:val="clear" w:color="auto" w:fill="00B0F0"/>
            <w:vAlign w:val="center"/>
          </w:tcPr>
          <w:p w14:paraId="45E76873" w14:textId="77777777" w:rsidR="00AC4FA3" w:rsidRDefault="00AC4FA3" w:rsidP="00AC4FA3">
            <w:pPr>
              <w:spacing w:after="0" w:line="240" w:lineRule="auto"/>
              <w:jc w:val="both"/>
            </w:pPr>
            <w:r>
              <w:rPr>
                <w:rFonts w:ascii="Arial" w:eastAsia="Times New Roman" w:hAnsi="Arial" w:cs="Arial"/>
                <w:b/>
                <w:bCs/>
                <w:color w:val="000000"/>
                <w:sz w:val="18"/>
                <w:szCs w:val="18"/>
                <w:lang w:eastAsia="fr-FR"/>
              </w:rPr>
              <w:t>Phase démantèlement pour centrale PV</w:t>
            </w:r>
          </w:p>
        </w:tc>
      </w:tr>
      <w:tr w:rsidR="00AC4FA3" w14:paraId="7D1CF39C" w14:textId="77777777" w:rsidTr="00B434A6">
        <w:trPr>
          <w:trHeight w:val="288"/>
        </w:trPr>
        <w:tc>
          <w:tcPr>
            <w:tcW w:w="1057" w:type="dxa"/>
            <w:shd w:val="clear" w:color="auto" w:fill="auto"/>
            <w:vAlign w:val="center"/>
          </w:tcPr>
          <w:p w14:paraId="3FF07954" w14:textId="77777777" w:rsidR="00AC4FA3" w:rsidRDefault="00AC4FA3" w:rsidP="00AC4FA3">
            <w:pPr>
              <w:spacing w:after="0" w:line="240" w:lineRule="auto"/>
              <w:jc w:val="both"/>
            </w:pPr>
            <w:r>
              <w:rPr>
                <w:rFonts w:ascii="Arial" w:eastAsia="Times New Roman" w:hAnsi="Arial" w:cs="Arial"/>
                <w:color w:val="000000"/>
                <w:sz w:val="18"/>
                <w:szCs w:val="18"/>
                <w:lang w:eastAsia="fr-FR"/>
              </w:rPr>
              <w:t>Biologique</w:t>
            </w:r>
          </w:p>
        </w:tc>
        <w:tc>
          <w:tcPr>
            <w:tcW w:w="1231" w:type="dxa"/>
            <w:shd w:val="clear" w:color="auto" w:fill="auto"/>
            <w:vAlign w:val="center"/>
          </w:tcPr>
          <w:p w14:paraId="076B5B78" w14:textId="77777777" w:rsidR="00AC4FA3" w:rsidRDefault="00AC4FA3" w:rsidP="00AC4FA3">
            <w:pPr>
              <w:spacing w:after="0" w:line="240" w:lineRule="auto"/>
              <w:jc w:val="both"/>
            </w:pPr>
            <w:r>
              <w:rPr>
                <w:rFonts w:ascii="Arial" w:eastAsia="Times New Roman" w:hAnsi="Arial" w:cs="Arial"/>
                <w:color w:val="000000"/>
                <w:sz w:val="18"/>
                <w:szCs w:val="18"/>
                <w:lang w:eastAsia="fr-FR"/>
              </w:rPr>
              <w:t>Habitats naturels</w:t>
            </w:r>
          </w:p>
        </w:tc>
        <w:tc>
          <w:tcPr>
            <w:tcW w:w="2694" w:type="dxa"/>
            <w:shd w:val="clear" w:color="auto" w:fill="auto"/>
            <w:vAlign w:val="center"/>
          </w:tcPr>
          <w:p w14:paraId="3CA0B6CD" w14:textId="77777777" w:rsidR="00AC4FA3" w:rsidRDefault="00AC4FA3" w:rsidP="00AC4FA3">
            <w:pPr>
              <w:spacing w:after="0" w:line="240" w:lineRule="auto"/>
              <w:jc w:val="both"/>
            </w:pPr>
            <w:r>
              <w:rPr>
                <w:rFonts w:ascii="Arial" w:eastAsia="Times New Roman" w:hAnsi="Arial" w:cs="Arial"/>
                <w:color w:val="000000"/>
                <w:sz w:val="18"/>
                <w:szCs w:val="18"/>
                <w:lang w:eastAsia="fr-FR"/>
              </w:rPr>
              <w:t>Amélioration du couvert végétal</w:t>
            </w:r>
          </w:p>
        </w:tc>
        <w:tc>
          <w:tcPr>
            <w:tcW w:w="4089" w:type="dxa"/>
            <w:shd w:val="clear" w:color="auto" w:fill="auto"/>
            <w:vAlign w:val="center"/>
          </w:tcPr>
          <w:p w14:paraId="7C91B6C1" w14:textId="77777777" w:rsidR="00AC4FA3" w:rsidRDefault="00AC4FA3" w:rsidP="00AC4FA3">
            <w:pPr>
              <w:spacing w:after="0" w:line="240" w:lineRule="auto"/>
              <w:jc w:val="both"/>
            </w:pPr>
            <w:r>
              <w:rPr>
                <w:rFonts w:ascii="Arial" w:eastAsia="Times New Roman" w:hAnsi="Arial" w:cs="Arial"/>
                <w:color w:val="000000"/>
                <w:sz w:val="18"/>
                <w:szCs w:val="18"/>
                <w:lang w:eastAsia="fr-FR"/>
              </w:rPr>
              <w:t xml:space="preserve">Embellissement du paysage par la revégétalisation du site </w:t>
            </w:r>
          </w:p>
        </w:tc>
      </w:tr>
      <w:tr w:rsidR="00AC4FA3" w14:paraId="6B231D8B" w14:textId="77777777" w:rsidTr="00B434A6">
        <w:trPr>
          <w:trHeight w:val="480"/>
        </w:trPr>
        <w:tc>
          <w:tcPr>
            <w:tcW w:w="1057" w:type="dxa"/>
            <w:shd w:val="clear" w:color="auto" w:fill="auto"/>
            <w:vAlign w:val="center"/>
          </w:tcPr>
          <w:p w14:paraId="5ABA9E48" w14:textId="77777777" w:rsidR="00AC4FA3" w:rsidRDefault="00AC4FA3" w:rsidP="00AC4FA3">
            <w:pPr>
              <w:spacing w:after="0" w:line="240" w:lineRule="auto"/>
              <w:jc w:val="both"/>
            </w:pPr>
            <w:r>
              <w:rPr>
                <w:rFonts w:ascii="Arial" w:eastAsia="Times New Roman" w:hAnsi="Arial" w:cs="Arial"/>
                <w:color w:val="000000"/>
                <w:sz w:val="18"/>
                <w:szCs w:val="18"/>
                <w:lang w:eastAsia="fr-FR"/>
              </w:rPr>
              <w:t>Humain</w:t>
            </w:r>
          </w:p>
        </w:tc>
        <w:tc>
          <w:tcPr>
            <w:tcW w:w="1231" w:type="dxa"/>
            <w:shd w:val="clear" w:color="auto" w:fill="auto"/>
            <w:vAlign w:val="center"/>
          </w:tcPr>
          <w:p w14:paraId="44571EAD" w14:textId="77777777" w:rsidR="00AC4FA3" w:rsidRDefault="00AC4FA3" w:rsidP="00AC4FA3">
            <w:pPr>
              <w:spacing w:after="0" w:line="240" w:lineRule="auto"/>
              <w:jc w:val="both"/>
            </w:pPr>
            <w:r>
              <w:rPr>
                <w:rFonts w:ascii="Arial" w:eastAsia="Times New Roman" w:hAnsi="Arial" w:cs="Arial"/>
                <w:color w:val="000000"/>
                <w:sz w:val="18"/>
                <w:szCs w:val="18"/>
                <w:lang w:eastAsia="fr-FR"/>
              </w:rPr>
              <w:t>Emploi</w:t>
            </w:r>
          </w:p>
        </w:tc>
        <w:tc>
          <w:tcPr>
            <w:tcW w:w="2694" w:type="dxa"/>
            <w:shd w:val="clear" w:color="auto" w:fill="auto"/>
            <w:vAlign w:val="center"/>
          </w:tcPr>
          <w:p w14:paraId="5D40A99D" w14:textId="77777777" w:rsidR="00AC4FA3" w:rsidRDefault="00AC4FA3" w:rsidP="00AC4FA3">
            <w:pPr>
              <w:spacing w:after="0" w:line="240" w:lineRule="auto"/>
              <w:jc w:val="both"/>
            </w:pPr>
            <w:r>
              <w:rPr>
                <w:rFonts w:ascii="Arial" w:eastAsia="Times New Roman" w:hAnsi="Arial" w:cs="Arial"/>
                <w:color w:val="000000"/>
                <w:sz w:val="18"/>
                <w:szCs w:val="18"/>
                <w:lang w:eastAsia="fr-FR"/>
              </w:rPr>
              <w:t>Opportunités d’emploi temporaires pour les populations locales</w:t>
            </w:r>
          </w:p>
        </w:tc>
        <w:tc>
          <w:tcPr>
            <w:tcW w:w="4089" w:type="dxa"/>
            <w:shd w:val="clear" w:color="auto" w:fill="auto"/>
            <w:vAlign w:val="center"/>
          </w:tcPr>
          <w:p w14:paraId="14B7D2EA" w14:textId="77777777" w:rsidR="00AC4FA3" w:rsidRDefault="00AC4FA3" w:rsidP="00AC4FA3">
            <w:pPr>
              <w:spacing w:after="0" w:line="240" w:lineRule="auto"/>
              <w:jc w:val="both"/>
            </w:pPr>
            <w:r>
              <w:rPr>
                <w:rFonts w:ascii="Arial" w:eastAsia="Times New Roman" w:hAnsi="Arial" w:cs="Arial"/>
                <w:color w:val="000000"/>
                <w:sz w:val="18"/>
                <w:szCs w:val="18"/>
                <w:lang w:eastAsia="fr-FR"/>
              </w:rPr>
              <w:t>Favoriser le recrutement au niveau local et tenir compte de l’approche genre</w:t>
            </w:r>
          </w:p>
        </w:tc>
      </w:tr>
    </w:tbl>
    <w:p w14:paraId="3D3142BA" w14:textId="77777777" w:rsidR="00AC4FA3" w:rsidRDefault="00AC4FA3" w:rsidP="00AC4FA3">
      <w:pPr>
        <w:spacing w:line="240" w:lineRule="auto"/>
        <w:jc w:val="both"/>
        <w:rPr>
          <w:rFonts w:ascii="Arial" w:hAnsi="Arial" w:cs="Arial"/>
        </w:rPr>
      </w:pPr>
    </w:p>
    <w:p w14:paraId="25D99C55" w14:textId="77777777" w:rsidR="00AC4FA3" w:rsidRDefault="00AC4FA3" w:rsidP="0044500E">
      <w:pPr>
        <w:pStyle w:val="Paragraphedeliste"/>
        <w:numPr>
          <w:ilvl w:val="0"/>
          <w:numId w:val="175"/>
        </w:numPr>
        <w:suppressAutoHyphens/>
        <w:spacing w:before="240" w:after="120" w:line="240" w:lineRule="auto"/>
        <w:ind w:left="714" w:hanging="357"/>
        <w:jc w:val="both"/>
      </w:pPr>
      <w:r>
        <w:rPr>
          <w:rFonts w:ascii="Arial" w:hAnsi="Arial" w:cs="Arial"/>
          <w:b/>
        </w:rPr>
        <w:t>IMPACTS NEGATIFS ET MESURES D’ATTENUATION</w:t>
      </w:r>
    </w:p>
    <w:tbl>
      <w:tblPr>
        <w:tblW w:w="97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3"/>
        <w:gridCol w:w="3946"/>
        <w:gridCol w:w="1531"/>
      </w:tblGrid>
      <w:tr w:rsidR="00DF7822" w14:paraId="1E5BE8C6" w14:textId="77777777" w:rsidTr="005D6D41">
        <w:trPr>
          <w:trHeight w:val="492"/>
          <w:tblHeader/>
        </w:trPr>
        <w:tc>
          <w:tcPr>
            <w:tcW w:w="4223" w:type="dxa"/>
            <w:shd w:val="clear" w:color="auto" w:fill="BDD7EE"/>
            <w:vAlign w:val="center"/>
          </w:tcPr>
          <w:p w14:paraId="284F3CA7" w14:textId="77777777" w:rsidR="00AC4FA3" w:rsidRDefault="00AC4FA3" w:rsidP="00B434A6">
            <w:pPr>
              <w:spacing w:after="0" w:line="240" w:lineRule="auto"/>
              <w:jc w:val="center"/>
            </w:pPr>
            <w:r>
              <w:rPr>
                <w:rFonts w:ascii="Arial" w:eastAsia="Times New Roman" w:hAnsi="Arial" w:cs="Arial"/>
                <w:b/>
                <w:bCs/>
                <w:sz w:val="18"/>
                <w:szCs w:val="18"/>
                <w:lang w:eastAsia="fr-FR"/>
              </w:rPr>
              <w:t>Impact potentiel</w:t>
            </w:r>
          </w:p>
        </w:tc>
        <w:tc>
          <w:tcPr>
            <w:tcW w:w="3946" w:type="dxa"/>
            <w:shd w:val="clear" w:color="auto" w:fill="BDD7EE"/>
            <w:vAlign w:val="center"/>
          </w:tcPr>
          <w:p w14:paraId="02D688FF" w14:textId="77777777" w:rsidR="00AC4FA3" w:rsidRDefault="00AC4FA3" w:rsidP="00B434A6">
            <w:pPr>
              <w:spacing w:after="0" w:line="240" w:lineRule="auto"/>
              <w:jc w:val="center"/>
            </w:pPr>
            <w:r>
              <w:rPr>
                <w:rFonts w:ascii="Arial" w:eastAsia="Times New Roman" w:hAnsi="Arial" w:cs="Arial"/>
                <w:b/>
                <w:bCs/>
                <w:color w:val="000000"/>
                <w:sz w:val="18"/>
                <w:szCs w:val="18"/>
                <w:lang w:eastAsia="fr-FR"/>
              </w:rPr>
              <w:t>Mesure d'évitement ou d'atténuation</w:t>
            </w:r>
          </w:p>
        </w:tc>
        <w:tc>
          <w:tcPr>
            <w:tcW w:w="1531" w:type="dxa"/>
            <w:shd w:val="clear" w:color="auto" w:fill="BDD7EE"/>
            <w:vAlign w:val="center"/>
          </w:tcPr>
          <w:p w14:paraId="7B524632" w14:textId="77777777" w:rsidR="00AC4FA3" w:rsidRDefault="00AC4FA3" w:rsidP="00AC4FA3">
            <w:pPr>
              <w:spacing w:after="0" w:line="240" w:lineRule="auto"/>
              <w:jc w:val="both"/>
            </w:pPr>
            <w:r>
              <w:rPr>
                <w:rFonts w:ascii="Arial" w:eastAsia="Times New Roman" w:hAnsi="Arial" w:cs="Arial"/>
                <w:b/>
                <w:bCs/>
                <w:color w:val="000000"/>
                <w:sz w:val="18"/>
                <w:szCs w:val="18"/>
                <w:lang w:eastAsia="fr-FR"/>
              </w:rPr>
              <w:t>Importance impact résiduel</w:t>
            </w:r>
          </w:p>
        </w:tc>
      </w:tr>
      <w:tr w:rsidR="003075BB" w14:paraId="0FE3263A" w14:textId="77777777" w:rsidTr="003710EB">
        <w:trPr>
          <w:trHeight w:val="300"/>
        </w:trPr>
        <w:tc>
          <w:tcPr>
            <w:tcW w:w="9700" w:type="dxa"/>
            <w:gridSpan w:val="3"/>
            <w:shd w:val="clear" w:color="auto" w:fill="00B0F0"/>
            <w:vAlign w:val="center"/>
          </w:tcPr>
          <w:p w14:paraId="46FDC108" w14:textId="77777777" w:rsidR="003075BB" w:rsidRDefault="003075BB" w:rsidP="00B434A6">
            <w:pPr>
              <w:spacing w:after="0" w:line="240" w:lineRule="auto"/>
              <w:jc w:val="center"/>
            </w:pPr>
            <w:r>
              <w:rPr>
                <w:rFonts w:ascii="Arial" w:eastAsia="Times New Roman" w:hAnsi="Arial" w:cs="Arial"/>
                <w:b/>
                <w:bCs/>
                <w:sz w:val="18"/>
                <w:szCs w:val="18"/>
                <w:lang w:eastAsia="fr-FR"/>
              </w:rPr>
              <w:t>Phase Préparatoire et Construction</w:t>
            </w:r>
          </w:p>
        </w:tc>
      </w:tr>
      <w:tr w:rsidR="00DF7822" w14:paraId="466DB24A" w14:textId="77777777" w:rsidTr="005D6D41">
        <w:trPr>
          <w:trHeight w:val="732"/>
        </w:trPr>
        <w:tc>
          <w:tcPr>
            <w:tcW w:w="4223" w:type="dxa"/>
            <w:shd w:val="clear" w:color="auto" w:fill="auto"/>
            <w:vAlign w:val="center"/>
          </w:tcPr>
          <w:p w14:paraId="183E3C24" w14:textId="77777777" w:rsidR="00AC4FA3" w:rsidRDefault="00AC4FA3" w:rsidP="00AC4FA3">
            <w:pPr>
              <w:spacing w:after="0" w:line="240" w:lineRule="auto"/>
              <w:jc w:val="both"/>
            </w:pPr>
            <w:r>
              <w:rPr>
                <w:rFonts w:ascii="Arial" w:eastAsia="Times New Roman" w:hAnsi="Arial" w:cs="Arial"/>
                <w:sz w:val="18"/>
                <w:szCs w:val="18"/>
                <w:lang w:eastAsia="fr-FR"/>
              </w:rPr>
              <w:t xml:space="preserve">Altération de la qualité de l’air par le soulèvement de poussières </w:t>
            </w:r>
            <w:r w:rsidR="007B4870">
              <w:rPr>
                <w:rFonts w:ascii="Arial" w:eastAsia="Times New Roman" w:hAnsi="Arial" w:cs="Arial"/>
                <w:sz w:val="18"/>
                <w:szCs w:val="18"/>
                <w:lang w:eastAsia="fr-FR"/>
              </w:rPr>
              <w:t>dû</w:t>
            </w:r>
            <w:r>
              <w:rPr>
                <w:rFonts w:ascii="Arial" w:eastAsia="Times New Roman" w:hAnsi="Arial" w:cs="Arial"/>
                <w:sz w:val="18"/>
                <w:szCs w:val="18"/>
                <w:lang w:eastAsia="fr-FR"/>
              </w:rPr>
              <w:t xml:space="preserve"> aux passages des véhicules de chantier et émanations </w:t>
            </w:r>
            <w:r w:rsidR="00972BB4">
              <w:rPr>
                <w:rFonts w:ascii="Arial" w:eastAsia="Times New Roman" w:hAnsi="Arial" w:cs="Arial"/>
                <w:sz w:val="18"/>
                <w:szCs w:val="18"/>
                <w:lang w:eastAsia="fr-FR"/>
              </w:rPr>
              <w:t xml:space="preserve">de </w:t>
            </w:r>
            <w:r>
              <w:rPr>
                <w:rFonts w:ascii="Arial" w:eastAsia="Times New Roman" w:hAnsi="Arial" w:cs="Arial"/>
                <w:sz w:val="18"/>
                <w:szCs w:val="18"/>
                <w:lang w:eastAsia="fr-FR"/>
              </w:rPr>
              <w:t>GES des véhicules de chantier</w:t>
            </w:r>
          </w:p>
        </w:tc>
        <w:tc>
          <w:tcPr>
            <w:tcW w:w="3946" w:type="dxa"/>
            <w:shd w:val="clear" w:color="auto" w:fill="auto"/>
            <w:vAlign w:val="center"/>
          </w:tcPr>
          <w:p w14:paraId="2695E5FB" w14:textId="77777777" w:rsidR="00AC4FA3" w:rsidRDefault="00AC4FA3" w:rsidP="00AC4FA3">
            <w:pPr>
              <w:spacing w:after="0" w:line="240" w:lineRule="auto"/>
              <w:jc w:val="both"/>
            </w:pPr>
            <w:r>
              <w:rPr>
                <w:rFonts w:ascii="Arial" w:eastAsia="Times New Roman" w:hAnsi="Arial" w:cs="Arial"/>
                <w:color w:val="000000"/>
                <w:sz w:val="18"/>
                <w:szCs w:val="18"/>
                <w:lang w:eastAsia="fr-FR"/>
              </w:rPr>
              <w:t>Humidification des sites. Utilisation de véhicule en bon état. Entretien régulier des véhicules</w:t>
            </w:r>
          </w:p>
        </w:tc>
        <w:tc>
          <w:tcPr>
            <w:tcW w:w="1531" w:type="dxa"/>
            <w:shd w:val="clear" w:color="auto" w:fill="00B050"/>
            <w:vAlign w:val="center"/>
          </w:tcPr>
          <w:p w14:paraId="5FA48ACD"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Mineure</w:t>
            </w:r>
          </w:p>
        </w:tc>
      </w:tr>
      <w:tr w:rsidR="00DF7822" w14:paraId="427FBCCA" w14:textId="77777777" w:rsidTr="005D6D41">
        <w:trPr>
          <w:trHeight w:val="300"/>
        </w:trPr>
        <w:tc>
          <w:tcPr>
            <w:tcW w:w="4223" w:type="dxa"/>
            <w:shd w:val="clear" w:color="auto" w:fill="auto"/>
            <w:vAlign w:val="center"/>
          </w:tcPr>
          <w:p w14:paraId="795D9639" w14:textId="77777777" w:rsidR="00AC4FA3" w:rsidRDefault="00AC4FA3" w:rsidP="00AC4FA3">
            <w:pPr>
              <w:spacing w:after="0" w:line="240" w:lineRule="auto"/>
              <w:jc w:val="both"/>
            </w:pPr>
            <w:r>
              <w:rPr>
                <w:rFonts w:ascii="Arial" w:eastAsia="Times New Roman" w:hAnsi="Arial" w:cs="Arial"/>
                <w:sz w:val="18"/>
                <w:szCs w:val="18"/>
                <w:lang w:eastAsia="fr-FR"/>
              </w:rPr>
              <w:t>Risque d’érosion du sol</w:t>
            </w:r>
          </w:p>
        </w:tc>
        <w:tc>
          <w:tcPr>
            <w:tcW w:w="3946" w:type="dxa"/>
            <w:shd w:val="clear" w:color="auto" w:fill="auto"/>
            <w:vAlign w:val="center"/>
          </w:tcPr>
          <w:p w14:paraId="165904A4" w14:textId="77777777" w:rsidR="00AC4FA3" w:rsidRDefault="00AC4FA3" w:rsidP="00AC4FA3">
            <w:pPr>
              <w:spacing w:after="0" w:line="240" w:lineRule="auto"/>
              <w:jc w:val="both"/>
            </w:pPr>
            <w:r>
              <w:rPr>
                <w:rFonts w:ascii="Arial" w:eastAsia="Times New Roman" w:hAnsi="Arial" w:cs="Arial"/>
                <w:color w:val="000000"/>
                <w:sz w:val="18"/>
                <w:szCs w:val="18"/>
                <w:lang w:eastAsia="fr-FR"/>
              </w:rPr>
              <w:t>Réaliser les travaux pendant la saison sèche </w:t>
            </w:r>
          </w:p>
        </w:tc>
        <w:tc>
          <w:tcPr>
            <w:tcW w:w="1531" w:type="dxa"/>
            <w:shd w:val="clear" w:color="auto" w:fill="00B050"/>
            <w:vAlign w:val="center"/>
          </w:tcPr>
          <w:p w14:paraId="7013CBD6"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Mineure</w:t>
            </w:r>
          </w:p>
        </w:tc>
      </w:tr>
      <w:tr w:rsidR="00DF7822" w14:paraId="2E95946A" w14:textId="77777777" w:rsidTr="005D6D41">
        <w:trPr>
          <w:trHeight w:val="492"/>
        </w:trPr>
        <w:tc>
          <w:tcPr>
            <w:tcW w:w="4223" w:type="dxa"/>
            <w:shd w:val="clear" w:color="auto" w:fill="auto"/>
            <w:vAlign w:val="center"/>
          </w:tcPr>
          <w:p w14:paraId="397A6886" w14:textId="77777777" w:rsidR="00AC4FA3" w:rsidRDefault="00AC4FA3" w:rsidP="00AC4FA3">
            <w:pPr>
              <w:spacing w:after="0" w:line="240" w:lineRule="auto"/>
              <w:jc w:val="both"/>
            </w:pPr>
            <w:r>
              <w:rPr>
                <w:rFonts w:ascii="Arial" w:eastAsia="Times New Roman" w:hAnsi="Arial" w:cs="Arial"/>
                <w:sz w:val="18"/>
                <w:szCs w:val="18"/>
                <w:lang w:eastAsia="fr-FR"/>
              </w:rPr>
              <w:lastRenderedPageBreak/>
              <w:t>Pollution des ressources en eau par entraînement de substances polluantes</w:t>
            </w:r>
          </w:p>
        </w:tc>
        <w:tc>
          <w:tcPr>
            <w:tcW w:w="3946" w:type="dxa"/>
            <w:shd w:val="clear" w:color="auto" w:fill="auto"/>
            <w:vAlign w:val="center"/>
          </w:tcPr>
          <w:p w14:paraId="2808C009" w14:textId="77777777" w:rsidR="00AC4FA3" w:rsidRDefault="00AC4FA3" w:rsidP="00AC4FA3">
            <w:pPr>
              <w:spacing w:after="0" w:line="240" w:lineRule="auto"/>
              <w:jc w:val="both"/>
            </w:pPr>
            <w:r>
              <w:rPr>
                <w:rFonts w:ascii="Arial" w:eastAsia="Times New Roman" w:hAnsi="Arial" w:cs="Arial"/>
                <w:color w:val="000000"/>
                <w:sz w:val="18"/>
                <w:szCs w:val="18"/>
                <w:lang w:eastAsia="fr-FR"/>
              </w:rPr>
              <w:t>Mise en place de système de collecte et de tri des déchets. </w:t>
            </w:r>
          </w:p>
        </w:tc>
        <w:tc>
          <w:tcPr>
            <w:tcW w:w="1531" w:type="dxa"/>
            <w:shd w:val="clear" w:color="auto" w:fill="00B050"/>
            <w:vAlign w:val="center"/>
          </w:tcPr>
          <w:p w14:paraId="72BBED90"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Mineure</w:t>
            </w:r>
          </w:p>
        </w:tc>
      </w:tr>
      <w:tr w:rsidR="00DF7822" w14:paraId="075D3EDB" w14:textId="77777777" w:rsidTr="005D6D41">
        <w:trPr>
          <w:trHeight w:val="492"/>
        </w:trPr>
        <w:tc>
          <w:tcPr>
            <w:tcW w:w="4223" w:type="dxa"/>
            <w:shd w:val="clear" w:color="auto" w:fill="auto"/>
            <w:vAlign w:val="center"/>
          </w:tcPr>
          <w:p w14:paraId="3B6B7DF3" w14:textId="77777777" w:rsidR="00AC4FA3" w:rsidRDefault="00AC4FA3" w:rsidP="00AC4FA3">
            <w:pPr>
              <w:spacing w:after="0" w:line="240" w:lineRule="auto"/>
              <w:jc w:val="both"/>
            </w:pPr>
            <w:r>
              <w:rPr>
                <w:rFonts w:ascii="Arial" w:eastAsia="Times New Roman" w:hAnsi="Arial" w:cs="Arial"/>
                <w:sz w:val="18"/>
                <w:szCs w:val="18"/>
                <w:lang w:eastAsia="fr-FR"/>
              </w:rPr>
              <w:t>Coupe illicite pour les besoins de bois de chauffe du chantier</w:t>
            </w:r>
          </w:p>
        </w:tc>
        <w:tc>
          <w:tcPr>
            <w:tcW w:w="3946" w:type="dxa"/>
            <w:shd w:val="clear" w:color="auto" w:fill="auto"/>
            <w:vAlign w:val="center"/>
          </w:tcPr>
          <w:p w14:paraId="25CBAC25" w14:textId="77777777" w:rsidR="00AC4FA3" w:rsidRDefault="00AC4FA3" w:rsidP="00AC4FA3">
            <w:pPr>
              <w:spacing w:after="0" w:line="240" w:lineRule="auto"/>
              <w:jc w:val="both"/>
            </w:pPr>
            <w:r>
              <w:rPr>
                <w:rFonts w:ascii="Arial" w:eastAsia="Times New Roman" w:hAnsi="Arial" w:cs="Arial"/>
                <w:color w:val="000000"/>
                <w:sz w:val="18"/>
                <w:szCs w:val="18"/>
                <w:lang w:eastAsia="fr-FR"/>
              </w:rPr>
              <w:t>Interdiction formelle de prélèvement de bois dans la végétation alentour du site. Approvisionnement auprès de fournisseur agréé</w:t>
            </w:r>
          </w:p>
        </w:tc>
        <w:tc>
          <w:tcPr>
            <w:tcW w:w="1531" w:type="dxa"/>
            <w:shd w:val="clear" w:color="auto" w:fill="00B050"/>
            <w:vAlign w:val="center"/>
          </w:tcPr>
          <w:p w14:paraId="1197CB41" w14:textId="77777777" w:rsidR="00AC4FA3" w:rsidRDefault="00AC4FA3" w:rsidP="00AC4FA3">
            <w:pPr>
              <w:spacing w:after="0" w:line="240" w:lineRule="auto"/>
              <w:jc w:val="both"/>
            </w:pPr>
            <w:r>
              <w:rPr>
                <w:rFonts w:ascii="Arial" w:eastAsia="Times New Roman" w:hAnsi="Arial" w:cs="Arial"/>
                <w:color w:val="000000"/>
                <w:sz w:val="18"/>
                <w:szCs w:val="18"/>
                <w:lang w:eastAsia="fr-FR"/>
              </w:rPr>
              <w:t> Mineure</w:t>
            </w:r>
          </w:p>
        </w:tc>
      </w:tr>
      <w:tr w:rsidR="00DF7822" w14:paraId="71E78E2A" w14:textId="77777777" w:rsidTr="005D6D41">
        <w:trPr>
          <w:trHeight w:val="288"/>
        </w:trPr>
        <w:tc>
          <w:tcPr>
            <w:tcW w:w="4223" w:type="dxa"/>
            <w:vMerge w:val="restart"/>
            <w:shd w:val="clear" w:color="auto" w:fill="auto"/>
            <w:vAlign w:val="center"/>
          </w:tcPr>
          <w:p w14:paraId="1F40FA8D" w14:textId="77777777" w:rsidR="00AC4FA3" w:rsidRDefault="00AC4FA3" w:rsidP="00AC4FA3">
            <w:pPr>
              <w:spacing w:after="0" w:line="240" w:lineRule="auto"/>
              <w:jc w:val="both"/>
            </w:pPr>
            <w:r>
              <w:rPr>
                <w:rFonts w:ascii="Arial" w:eastAsia="Times New Roman" w:hAnsi="Arial" w:cs="Arial"/>
                <w:sz w:val="18"/>
                <w:szCs w:val="18"/>
                <w:lang w:eastAsia="fr-FR"/>
              </w:rPr>
              <w:t>Conflits sociaux par la présence des mains d’œuvre externes</w:t>
            </w:r>
          </w:p>
        </w:tc>
        <w:tc>
          <w:tcPr>
            <w:tcW w:w="3946" w:type="dxa"/>
            <w:shd w:val="clear" w:color="auto" w:fill="auto"/>
            <w:vAlign w:val="center"/>
          </w:tcPr>
          <w:p w14:paraId="1AD8C665" w14:textId="77777777" w:rsidR="00AC4FA3" w:rsidRDefault="00AC4FA3" w:rsidP="00AC4FA3">
            <w:pPr>
              <w:spacing w:after="0" w:line="240" w:lineRule="auto"/>
              <w:jc w:val="both"/>
            </w:pPr>
            <w:r>
              <w:rPr>
                <w:rFonts w:ascii="Arial" w:eastAsia="Times New Roman" w:hAnsi="Arial" w:cs="Arial"/>
                <w:color w:val="000000"/>
                <w:sz w:val="18"/>
                <w:szCs w:val="18"/>
                <w:lang w:eastAsia="fr-FR"/>
              </w:rPr>
              <w:t>Affichage des offres d’emploi au niveau Fokontany et Commune concernée. Identification au préalable des sites cultuels ou culturels de la zone du projet</w:t>
            </w:r>
          </w:p>
        </w:tc>
        <w:tc>
          <w:tcPr>
            <w:tcW w:w="1531" w:type="dxa"/>
            <w:shd w:val="clear" w:color="auto" w:fill="00B050"/>
            <w:vAlign w:val="center"/>
          </w:tcPr>
          <w:p w14:paraId="093FDBFF"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Mineure</w:t>
            </w:r>
          </w:p>
        </w:tc>
      </w:tr>
      <w:tr w:rsidR="00DF7822" w14:paraId="5EFBAAF3" w14:textId="77777777" w:rsidTr="005D6D41">
        <w:trPr>
          <w:trHeight w:val="300"/>
        </w:trPr>
        <w:tc>
          <w:tcPr>
            <w:tcW w:w="4223" w:type="dxa"/>
            <w:vMerge/>
            <w:vAlign w:val="center"/>
          </w:tcPr>
          <w:p w14:paraId="5B45DADD" w14:textId="77777777" w:rsidR="00AC4FA3" w:rsidRDefault="00AC4FA3" w:rsidP="00AC4FA3">
            <w:pPr>
              <w:spacing w:after="0" w:line="240" w:lineRule="auto"/>
              <w:jc w:val="both"/>
              <w:rPr>
                <w:rFonts w:ascii="Arial" w:eastAsia="Times New Roman" w:hAnsi="Arial" w:cs="Arial"/>
                <w:sz w:val="18"/>
                <w:szCs w:val="18"/>
                <w:lang w:eastAsia="fr-FR"/>
              </w:rPr>
            </w:pPr>
          </w:p>
        </w:tc>
        <w:tc>
          <w:tcPr>
            <w:tcW w:w="3946" w:type="dxa"/>
            <w:shd w:val="clear" w:color="auto" w:fill="auto"/>
            <w:vAlign w:val="center"/>
          </w:tcPr>
          <w:p w14:paraId="21EA48FF" w14:textId="77777777" w:rsidR="00AC4FA3" w:rsidRDefault="00AC4FA3" w:rsidP="00AC4FA3">
            <w:pPr>
              <w:spacing w:after="0" w:line="240" w:lineRule="auto"/>
              <w:jc w:val="both"/>
            </w:pPr>
            <w:r>
              <w:rPr>
                <w:rFonts w:ascii="Arial" w:eastAsia="Times New Roman" w:hAnsi="Arial" w:cs="Arial"/>
                <w:color w:val="000000"/>
                <w:sz w:val="18"/>
                <w:szCs w:val="18"/>
                <w:lang w:eastAsia="fr-FR"/>
              </w:rPr>
              <w:t xml:space="preserve">Information/Sensibilisation des ouvriers. Priorisation du recrutement local </w:t>
            </w:r>
          </w:p>
        </w:tc>
        <w:tc>
          <w:tcPr>
            <w:tcW w:w="1531" w:type="dxa"/>
            <w:shd w:val="clear" w:color="auto" w:fill="00B050"/>
            <w:vAlign w:val="center"/>
          </w:tcPr>
          <w:p w14:paraId="33FF2A04" w14:textId="77777777" w:rsidR="00AC4FA3" w:rsidRDefault="00AC4FA3" w:rsidP="00AC4FA3">
            <w:pPr>
              <w:spacing w:after="0" w:line="240" w:lineRule="auto"/>
              <w:jc w:val="both"/>
            </w:pPr>
            <w:r>
              <w:rPr>
                <w:rFonts w:ascii="Arial" w:eastAsia="Times New Roman" w:hAnsi="Arial" w:cs="Arial"/>
                <w:color w:val="000000"/>
                <w:sz w:val="18"/>
                <w:szCs w:val="18"/>
                <w:lang w:eastAsia="fr-FR"/>
              </w:rPr>
              <w:t> </w:t>
            </w:r>
          </w:p>
        </w:tc>
      </w:tr>
      <w:tr w:rsidR="00DF7822" w14:paraId="35F344E1" w14:textId="77777777" w:rsidTr="005D6D41">
        <w:trPr>
          <w:trHeight w:val="288"/>
        </w:trPr>
        <w:tc>
          <w:tcPr>
            <w:tcW w:w="4223" w:type="dxa"/>
            <w:vMerge w:val="restart"/>
            <w:shd w:val="clear" w:color="auto" w:fill="auto"/>
            <w:vAlign w:val="center"/>
          </w:tcPr>
          <w:p w14:paraId="77DA21C3" w14:textId="77777777" w:rsidR="00AC4FA3" w:rsidRDefault="00AC4FA3" w:rsidP="00AC4FA3">
            <w:pPr>
              <w:spacing w:after="0" w:line="240" w:lineRule="auto"/>
              <w:jc w:val="both"/>
            </w:pPr>
            <w:r>
              <w:rPr>
                <w:rFonts w:ascii="Arial" w:eastAsia="Times New Roman" w:hAnsi="Arial" w:cs="Arial"/>
                <w:sz w:val="18"/>
                <w:szCs w:val="18"/>
                <w:lang w:eastAsia="fr-FR"/>
              </w:rPr>
              <w:t>Perte des biens (terres,…)</w:t>
            </w:r>
          </w:p>
        </w:tc>
        <w:tc>
          <w:tcPr>
            <w:tcW w:w="3946" w:type="dxa"/>
            <w:shd w:val="clear" w:color="auto" w:fill="auto"/>
            <w:vAlign w:val="center"/>
          </w:tcPr>
          <w:p w14:paraId="064E2EDA" w14:textId="77777777" w:rsidR="00AC4FA3" w:rsidRDefault="00AC4FA3" w:rsidP="00AC4FA3">
            <w:pPr>
              <w:spacing w:after="0" w:line="240" w:lineRule="auto"/>
              <w:jc w:val="both"/>
            </w:pPr>
            <w:r>
              <w:rPr>
                <w:rFonts w:ascii="Arial" w:eastAsia="Times New Roman" w:hAnsi="Arial" w:cs="Arial"/>
                <w:color w:val="000000"/>
                <w:sz w:val="18"/>
                <w:szCs w:val="18"/>
                <w:lang w:eastAsia="fr-FR"/>
              </w:rPr>
              <w:t>Limiter au strict nécessaire l'emprise du projet</w:t>
            </w:r>
          </w:p>
        </w:tc>
        <w:tc>
          <w:tcPr>
            <w:tcW w:w="1531" w:type="dxa"/>
            <w:vMerge w:val="restart"/>
            <w:shd w:val="clear" w:color="auto" w:fill="00B050"/>
            <w:vAlign w:val="center"/>
          </w:tcPr>
          <w:p w14:paraId="0068222A"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Mineure</w:t>
            </w:r>
          </w:p>
        </w:tc>
      </w:tr>
      <w:tr w:rsidR="00AC4FA3" w14:paraId="0283DE69" w14:textId="77777777" w:rsidTr="00B434A6">
        <w:trPr>
          <w:trHeight w:val="300"/>
        </w:trPr>
        <w:tc>
          <w:tcPr>
            <w:tcW w:w="4223" w:type="dxa"/>
            <w:vMerge/>
            <w:vAlign w:val="center"/>
          </w:tcPr>
          <w:p w14:paraId="50A6383E" w14:textId="77777777" w:rsidR="00AC4FA3" w:rsidRDefault="00AC4FA3" w:rsidP="00AC4FA3">
            <w:pPr>
              <w:spacing w:after="0" w:line="240" w:lineRule="auto"/>
              <w:jc w:val="both"/>
              <w:rPr>
                <w:rFonts w:ascii="Arial" w:eastAsia="Times New Roman" w:hAnsi="Arial" w:cs="Arial"/>
                <w:sz w:val="18"/>
                <w:szCs w:val="18"/>
                <w:lang w:eastAsia="fr-FR"/>
              </w:rPr>
            </w:pPr>
          </w:p>
        </w:tc>
        <w:tc>
          <w:tcPr>
            <w:tcW w:w="3946" w:type="dxa"/>
            <w:shd w:val="clear" w:color="auto" w:fill="auto"/>
            <w:vAlign w:val="center"/>
          </w:tcPr>
          <w:p w14:paraId="13C875D9" w14:textId="77777777" w:rsidR="00AC4FA3" w:rsidRDefault="00AC4FA3" w:rsidP="0017420E">
            <w:pPr>
              <w:spacing w:after="0" w:line="240" w:lineRule="auto"/>
              <w:jc w:val="both"/>
            </w:pPr>
            <w:r>
              <w:rPr>
                <w:rFonts w:ascii="Arial" w:eastAsia="Times New Roman" w:hAnsi="Arial" w:cs="Arial"/>
                <w:color w:val="000000"/>
                <w:sz w:val="18"/>
                <w:szCs w:val="18"/>
                <w:lang w:eastAsia="fr-FR"/>
              </w:rPr>
              <w:t>Mise en œuvre de système d'indemnisation pour la Compensation des biens et des activités des PAP</w:t>
            </w:r>
          </w:p>
        </w:tc>
        <w:tc>
          <w:tcPr>
            <w:tcW w:w="1531" w:type="dxa"/>
            <w:vMerge/>
            <w:vAlign w:val="center"/>
          </w:tcPr>
          <w:p w14:paraId="0C5DB8B6"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r>
      <w:tr w:rsidR="00DF7822" w14:paraId="6728E82F" w14:textId="77777777" w:rsidTr="005D6D41">
        <w:trPr>
          <w:trHeight w:val="300"/>
        </w:trPr>
        <w:tc>
          <w:tcPr>
            <w:tcW w:w="4223" w:type="dxa"/>
            <w:shd w:val="clear" w:color="auto" w:fill="auto"/>
            <w:vAlign w:val="center"/>
          </w:tcPr>
          <w:p w14:paraId="17F80FC7" w14:textId="77777777" w:rsidR="00AC4FA3" w:rsidRDefault="00AC4FA3" w:rsidP="00AC4FA3">
            <w:pPr>
              <w:spacing w:after="0" w:line="240" w:lineRule="auto"/>
              <w:jc w:val="both"/>
            </w:pPr>
            <w:r>
              <w:rPr>
                <w:rFonts w:ascii="Arial" w:eastAsia="Times New Roman" w:hAnsi="Arial" w:cs="Arial"/>
                <w:sz w:val="18"/>
                <w:szCs w:val="18"/>
                <w:lang w:eastAsia="fr-FR"/>
              </w:rPr>
              <w:t>Nuisances sonores et vibrations pendant le transport</w:t>
            </w:r>
          </w:p>
        </w:tc>
        <w:tc>
          <w:tcPr>
            <w:tcW w:w="3946" w:type="dxa"/>
            <w:shd w:val="clear" w:color="auto" w:fill="auto"/>
            <w:vAlign w:val="center"/>
          </w:tcPr>
          <w:p w14:paraId="22821087" w14:textId="77777777" w:rsidR="00AC4FA3" w:rsidRDefault="00AC4FA3" w:rsidP="00AC4FA3">
            <w:pPr>
              <w:spacing w:after="0" w:line="240" w:lineRule="auto"/>
              <w:jc w:val="both"/>
            </w:pPr>
            <w:r>
              <w:rPr>
                <w:rFonts w:ascii="Arial" w:eastAsia="Times New Roman" w:hAnsi="Arial" w:cs="Arial"/>
                <w:color w:val="000000"/>
                <w:sz w:val="18"/>
                <w:szCs w:val="18"/>
                <w:lang w:eastAsia="fr-FR"/>
              </w:rPr>
              <w:t>N'effectuer les travaux susceptibles d'émettre du bruit que pendant la journée</w:t>
            </w:r>
          </w:p>
        </w:tc>
        <w:tc>
          <w:tcPr>
            <w:tcW w:w="1531" w:type="dxa"/>
            <w:shd w:val="clear" w:color="auto" w:fill="00B050"/>
            <w:vAlign w:val="center"/>
          </w:tcPr>
          <w:p w14:paraId="72C0BD3E" w14:textId="77777777" w:rsidR="00AC4FA3" w:rsidRDefault="00AC4FA3" w:rsidP="00AC4FA3">
            <w:pPr>
              <w:spacing w:after="0" w:line="240" w:lineRule="auto"/>
              <w:jc w:val="both"/>
            </w:pPr>
            <w:r>
              <w:rPr>
                <w:rFonts w:ascii="Arial" w:eastAsia="Times New Roman" w:hAnsi="Arial" w:cs="Arial"/>
                <w:color w:val="000000"/>
                <w:sz w:val="18"/>
                <w:szCs w:val="18"/>
                <w:lang w:eastAsia="fr-FR"/>
              </w:rPr>
              <w:t> Mineure</w:t>
            </w:r>
          </w:p>
        </w:tc>
      </w:tr>
      <w:tr w:rsidR="00DF7822" w14:paraId="1D9DE0EE" w14:textId="77777777" w:rsidTr="005D6D41">
        <w:trPr>
          <w:trHeight w:val="288"/>
        </w:trPr>
        <w:tc>
          <w:tcPr>
            <w:tcW w:w="4223" w:type="dxa"/>
            <w:vMerge w:val="restart"/>
            <w:shd w:val="clear" w:color="auto" w:fill="auto"/>
            <w:vAlign w:val="center"/>
          </w:tcPr>
          <w:p w14:paraId="27604C3C" w14:textId="77777777" w:rsidR="00AC4FA3" w:rsidRDefault="00AC4FA3" w:rsidP="00AC4FA3">
            <w:pPr>
              <w:spacing w:after="0" w:line="240" w:lineRule="auto"/>
              <w:jc w:val="both"/>
            </w:pPr>
            <w:r>
              <w:rPr>
                <w:rFonts w:ascii="Arial" w:eastAsia="Times New Roman" w:hAnsi="Arial" w:cs="Arial"/>
                <w:sz w:val="18"/>
                <w:szCs w:val="18"/>
                <w:lang w:eastAsia="fr-FR"/>
              </w:rPr>
              <w:t>Risque de transmission des maladies transmissibles (MST/VIH SIDA, COVID</w:t>
            </w:r>
            <w:r w:rsidR="0017420E">
              <w:rPr>
                <w:rFonts w:ascii="Arial" w:eastAsia="Times New Roman" w:hAnsi="Arial" w:cs="Arial"/>
                <w:sz w:val="18"/>
                <w:szCs w:val="18"/>
                <w:lang w:eastAsia="fr-FR"/>
              </w:rPr>
              <w:t xml:space="preserve"> </w:t>
            </w:r>
            <w:r w:rsidR="00972BB4">
              <w:rPr>
                <w:rFonts w:ascii="Arial" w:eastAsia="Times New Roman" w:hAnsi="Arial" w:cs="Arial"/>
                <w:sz w:val="18"/>
                <w:szCs w:val="18"/>
                <w:lang w:eastAsia="fr-FR"/>
              </w:rPr>
              <w:t>1</w:t>
            </w:r>
            <w:r>
              <w:rPr>
                <w:rFonts w:ascii="Arial" w:eastAsia="Times New Roman" w:hAnsi="Arial" w:cs="Arial"/>
                <w:sz w:val="18"/>
                <w:szCs w:val="18"/>
                <w:lang w:eastAsia="fr-FR"/>
              </w:rPr>
              <w:t>9)</w:t>
            </w:r>
          </w:p>
        </w:tc>
        <w:tc>
          <w:tcPr>
            <w:tcW w:w="3946" w:type="dxa"/>
            <w:shd w:val="clear" w:color="auto" w:fill="auto"/>
            <w:vAlign w:val="center"/>
          </w:tcPr>
          <w:p w14:paraId="3459689F" w14:textId="77777777" w:rsidR="00AC4FA3" w:rsidRDefault="00AC4FA3" w:rsidP="00AC4FA3">
            <w:pPr>
              <w:spacing w:after="0" w:line="240" w:lineRule="auto"/>
              <w:jc w:val="both"/>
            </w:pPr>
            <w:r>
              <w:rPr>
                <w:rFonts w:ascii="Arial" w:eastAsia="Times New Roman" w:hAnsi="Arial" w:cs="Arial"/>
                <w:color w:val="000000"/>
                <w:sz w:val="18"/>
                <w:szCs w:val="18"/>
                <w:lang w:eastAsia="fr-FR"/>
              </w:rPr>
              <w:t xml:space="preserve">Assurer la disponibilité gratuite et régulière de préservatifs pour les mains d’œuvres jusqu’à la fin du chantier </w:t>
            </w:r>
          </w:p>
        </w:tc>
        <w:tc>
          <w:tcPr>
            <w:tcW w:w="1531" w:type="dxa"/>
            <w:vMerge w:val="restart"/>
            <w:shd w:val="clear" w:color="auto" w:fill="00B050"/>
            <w:vAlign w:val="center"/>
          </w:tcPr>
          <w:p w14:paraId="650F78E5"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Mineure</w:t>
            </w:r>
          </w:p>
        </w:tc>
      </w:tr>
      <w:tr w:rsidR="00AC4FA3" w14:paraId="41486C75" w14:textId="77777777" w:rsidTr="00B434A6">
        <w:trPr>
          <w:trHeight w:val="300"/>
        </w:trPr>
        <w:tc>
          <w:tcPr>
            <w:tcW w:w="4223" w:type="dxa"/>
            <w:vMerge/>
            <w:vAlign w:val="center"/>
          </w:tcPr>
          <w:p w14:paraId="4CCAC7FA" w14:textId="77777777" w:rsidR="00AC4FA3" w:rsidRDefault="00AC4FA3" w:rsidP="00AC4FA3">
            <w:pPr>
              <w:spacing w:after="0" w:line="240" w:lineRule="auto"/>
              <w:jc w:val="both"/>
              <w:rPr>
                <w:rFonts w:ascii="Arial" w:eastAsia="Times New Roman" w:hAnsi="Arial" w:cs="Arial"/>
                <w:sz w:val="18"/>
                <w:szCs w:val="18"/>
                <w:lang w:eastAsia="fr-FR"/>
              </w:rPr>
            </w:pPr>
          </w:p>
        </w:tc>
        <w:tc>
          <w:tcPr>
            <w:tcW w:w="3946" w:type="dxa"/>
            <w:shd w:val="clear" w:color="auto" w:fill="auto"/>
            <w:vAlign w:val="center"/>
          </w:tcPr>
          <w:p w14:paraId="1A66A088" w14:textId="77777777" w:rsidR="00AC4FA3" w:rsidRDefault="00AC4FA3" w:rsidP="00AC4FA3">
            <w:pPr>
              <w:spacing w:after="0" w:line="240" w:lineRule="auto"/>
              <w:jc w:val="both"/>
            </w:pPr>
            <w:r>
              <w:rPr>
                <w:rFonts w:ascii="Arial" w:eastAsia="Times New Roman" w:hAnsi="Arial" w:cs="Arial"/>
                <w:color w:val="000000"/>
                <w:sz w:val="18"/>
                <w:szCs w:val="18"/>
                <w:lang w:eastAsia="fr-FR"/>
              </w:rPr>
              <w:t>Information / Sensibilisation du personnel de l’entreprise sur les dangers et risques des IST/SIDA. Information / sensibilisation sur les mœurs locales. Mise à disposition de registre de plainte auprès des autorités locales</w:t>
            </w:r>
          </w:p>
        </w:tc>
        <w:tc>
          <w:tcPr>
            <w:tcW w:w="1531" w:type="dxa"/>
            <w:vMerge/>
            <w:vAlign w:val="center"/>
          </w:tcPr>
          <w:p w14:paraId="6E294BA8"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r>
      <w:tr w:rsidR="00DF7822" w14:paraId="6FFBF631" w14:textId="77777777" w:rsidTr="005D6D41">
        <w:trPr>
          <w:trHeight w:val="492"/>
        </w:trPr>
        <w:tc>
          <w:tcPr>
            <w:tcW w:w="4223" w:type="dxa"/>
            <w:shd w:val="clear" w:color="auto" w:fill="auto"/>
            <w:vAlign w:val="center"/>
          </w:tcPr>
          <w:p w14:paraId="1275AB3C" w14:textId="77777777" w:rsidR="00AC4FA3" w:rsidRDefault="00AC4FA3" w:rsidP="00AC4FA3">
            <w:pPr>
              <w:spacing w:after="0" w:line="240" w:lineRule="auto"/>
              <w:jc w:val="both"/>
            </w:pPr>
            <w:r>
              <w:rPr>
                <w:rFonts w:ascii="Arial" w:eastAsia="Times New Roman" w:hAnsi="Arial" w:cs="Arial"/>
                <w:sz w:val="18"/>
                <w:szCs w:val="18"/>
                <w:lang w:eastAsia="fr-FR"/>
              </w:rPr>
              <w:t>Risque d'augmentation des cas de VBG, EAS/HS et grossesse non désirée</w:t>
            </w:r>
          </w:p>
        </w:tc>
        <w:tc>
          <w:tcPr>
            <w:tcW w:w="3946" w:type="dxa"/>
            <w:shd w:val="clear" w:color="auto" w:fill="auto"/>
            <w:vAlign w:val="center"/>
          </w:tcPr>
          <w:p w14:paraId="4736D165" w14:textId="77777777" w:rsidR="00AC4FA3" w:rsidRDefault="00AC4FA3" w:rsidP="00AC4FA3">
            <w:pPr>
              <w:spacing w:after="0" w:line="240" w:lineRule="auto"/>
              <w:jc w:val="both"/>
            </w:pPr>
            <w:r>
              <w:rPr>
                <w:rFonts w:ascii="Arial" w:eastAsia="Times New Roman" w:hAnsi="Arial" w:cs="Arial"/>
                <w:color w:val="000000"/>
                <w:sz w:val="18"/>
                <w:szCs w:val="18"/>
                <w:lang w:eastAsia="fr-FR"/>
              </w:rPr>
              <w:t>Information / Sensibilisation du personnel de l’entreprise sur les dangers et risques des IST/SIDA. Information / sensibilisation sur les mœurs locales. Mise à disposition de registre de plainte</w:t>
            </w:r>
            <w:r w:rsidR="00E31EB0">
              <w:rPr>
                <w:rFonts w:ascii="Arial" w:eastAsia="Times New Roman" w:hAnsi="Arial" w:cs="Arial"/>
                <w:color w:val="000000"/>
                <w:sz w:val="18"/>
                <w:szCs w:val="18"/>
                <w:lang w:eastAsia="fr-FR"/>
              </w:rPr>
              <w:t>s</w:t>
            </w:r>
            <w:r>
              <w:rPr>
                <w:rFonts w:ascii="Arial" w:eastAsia="Times New Roman" w:hAnsi="Arial" w:cs="Arial"/>
                <w:color w:val="000000"/>
                <w:sz w:val="18"/>
                <w:szCs w:val="18"/>
                <w:lang w:eastAsia="fr-FR"/>
              </w:rPr>
              <w:t xml:space="preserve"> auprès des autorités locales</w:t>
            </w:r>
          </w:p>
        </w:tc>
        <w:tc>
          <w:tcPr>
            <w:tcW w:w="1531" w:type="dxa"/>
            <w:shd w:val="clear" w:color="auto" w:fill="00B050"/>
            <w:vAlign w:val="center"/>
          </w:tcPr>
          <w:p w14:paraId="1D0BFD2A"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Mineure</w:t>
            </w:r>
          </w:p>
        </w:tc>
      </w:tr>
      <w:tr w:rsidR="00DF7822" w14:paraId="4A41EB70" w14:textId="77777777" w:rsidTr="005D6D41">
        <w:trPr>
          <w:trHeight w:val="972"/>
        </w:trPr>
        <w:tc>
          <w:tcPr>
            <w:tcW w:w="4223" w:type="dxa"/>
            <w:shd w:val="clear" w:color="auto" w:fill="auto"/>
            <w:vAlign w:val="center"/>
          </w:tcPr>
          <w:p w14:paraId="3020B003" w14:textId="77777777" w:rsidR="00AC4FA3" w:rsidRDefault="00AC4FA3" w:rsidP="00AC4FA3">
            <w:pPr>
              <w:spacing w:after="0" w:line="240" w:lineRule="auto"/>
              <w:jc w:val="both"/>
            </w:pPr>
            <w:r>
              <w:rPr>
                <w:rFonts w:ascii="Arial" w:eastAsia="Times New Roman" w:hAnsi="Arial" w:cs="Arial"/>
                <w:sz w:val="18"/>
                <w:szCs w:val="18"/>
                <w:lang w:eastAsia="fr-FR"/>
              </w:rPr>
              <w:t>Risque d’accident de circulation</w:t>
            </w:r>
          </w:p>
        </w:tc>
        <w:tc>
          <w:tcPr>
            <w:tcW w:w="3946" w:type="dxa"/>
            <w:shd w:val="clear" w:color="auto" w:fill="auto"/>
            <w:vAlign w:val="center"/>
          </w:tcPr>
          <w:p w14:paraId="710D2074" w14:textId="77777777" w:rsidR="00AC4FA3" w:rsidRDefault="00AC4FA3" w:rsidP="00AC4FA3">
            <w:pPr>
              <w:spacing w:after="0" w:line="240" w:lineRule="auto"/>
              <w:jc w:val="both"/>
            </w:pPr>
            <w:r>
              <w:rPr>
                <w:rFonts w:ascii="Arial" w:eastAsia="Times New Roman" w:hAnsi="Arial" w:cs="Arial"/>
                <w:color w:val="000000"/>
                <w:sz w:val="18"/>
                <w:szCs w:val="18"/>
                <w:lang w:eastAsia="fr-FR"/>
              </w:rPr>
              <w:t>Formation / sensibilisation sur les risques d'accident liés à chaque poste de travail Respect des consignes de conduite des engins. Mise en place de signaux de signalisation adéquats. Port d'EPI adéquat</w:t>
            </w:r>
          </w:p>
        </w:tc>
        <w:tc>
          <w:tcPr>
            <w:tcW w:w="1531" w:type="dxa"/>
            <w:shd w:val="clear" w:color="auto" w:fill="00B050"/>
            <w:vAlign w:val="center"/>
          </w:tcPr>
          <w:p w14:paraId="1FA2F947"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Mineure</w:t>
            </w:r>
          </w:p>
        </w:tc>
      </w:tr>
      <w:tr w:rsidR="00DF7822" w14:paraId="21B9CF89" w14:textId="77777777" w:rsidTr="005D6D41">
        <w:trPr>
          <w:trHeight w:val="288"/>
        </w:trPr>
        <w:tc>
          <w:tcPr>
            <w:tcW w:w="4223" w:type="dxa"/>
            <w:vMerge w:val="restart"/>
            <w:shd w:val="clear" w:color="auto" w:fill="auto"/>
            <w:vAlign w:val="center"/>
          </w:tcPr>
          <w:p w14:paraId="5DF20EF0" w14:textId="77777777" w:rsidR="00AC4FA3" w:rsidRDefault="00AC4FA3" w:rsidP="00AC4FA3">
            <w:pPr>
              <w:spacing w:after="0" w:line="240" w:lineRule="auto"/>
              <w:jc w:val="both"/>
            </w:pPr>
            <w:r>
              <w:rPr>
                <w:rFonts w:ascii="Arial" w:eastAsia="Times New Roman" w:hAnsi="Arial" w:cs="Arial"/>
                <w:sz w:val="18"/>
                <w:szCs w:val="18"/>
                <w:lang w:eastAsia="fr-FR"/>
              </w:rPr>
              <w:t>Risque d’accident de travail</w:t>
            </w:r>
          </w:p>
        </w:tc>
        <w:tc>
          <w:tcPr>
            <w:tcW w:w="3946" w:type="dxa"/>
            <w:shd w:val="clear" w:color="auto" w:fill="auto"/>
            <w:vAlign w:val="center"/>
          </w:tcPr>
          <w:p w14:paraId="2A33F291" w14:textId="77777777" w:rsidR="00AC4FA3" w:rsidRDefault="00AC4FA3" w:rsidP="00AC4FA3">
            <w:pPr>
              <w:spacing w:after="0" w:line="240" w:lineRule="auto"/>
              <w:jc w:val="both"/>
            </w:pPr>
            <w:r>
              <w:rPr>
                <w:rFonts w:ascii="Arial" w:eastAsia="Times New Roman" w:hAnsi="Arial" w:cs="Arial"/>
                <w:color w:val="000000"/>
                <w:sz w:val="18"/>
                <w:szCs w:val="18"/>
                <w:lang w:eastAsia="fr-FR"/>
              </w:rPr>
              <w:t>Formation / sensibilisation sur les risques d'accident liés à chaque poste de travail</w:t>
            </w:r>
          </w:p>
        </w:tc>
        <w:tc>
          <w:tcPr>
            <w:tcW w:w="1531" w:type="dxa"/>
            <w:vMerge w:val="restart"/>
            <w:shd w:val="clear" w:color="auto" w:fill="00B050"/>
            <w:vAlign w:val="center"/>
          </w:tcPr>
          <w:p w14:paraId="25ED754D"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Mineure</w:t>
            </w:r>
          </w:p>
        </w:tc>
      </w:tr>
      <w:tr w:rsidR="00AC4FA3" w14:paraId="1BBBBFAA" w14:textId="77777777" w:rsidTr="00B434A6">
        <w:trPr>
          <w:trHeight w:val="300"/>
        </w:trPr>
        <w:tc>
          <w:tcPr>
            <w:tcW w:w="4223" w:type="dxa"/>
            <w:vMerge/>
            <w:vAlign w:val="center"/>
          </w:tcPr>
          <w:p w14:paraId="705B75F6" w14:textId="77777777" w:rsidR="00AC4FA3" w:rsidRDefault="00AC4FA3" w:rsidP="00AC4FA3">
            <w:pPr>
              <w:spacing w:after="0" w:line="240" w:lineRule="auto"/>
              <w:jc w:val="both"/>
              <w:rPr>
                <w:rFonts w:ascii="Arial" w:eastAsia="Times New Roman" w:hAnsi="Arial" w:cs="Arial"/>
                <w:sz w:val="18"/>
                <w:szCs w:val="18"/>
                <w:lang w:eastAsia="fr-FR"/>
              </w:rPr>
            </w:pPr>
          </w:p>
        </w:tc>
        <w:tc>
          <w:tcPr>
            <w:tcW w:w="3946" w:type="dxa"/>
            <w:shd w:val="clear" w:color="auto" w:fill="auto"/>
            <w:vAlign w:val="center"/>
          </w:tcPr>
          <w:p w14:paraId="7FC94B3C" w14:textId="77777777" w:rsidR="00AC4FA3" w:rsidRDefault="00AC4FA3" w:rsidP="00AC4FA3">
            <w:pPr>
              <w:spacing w:after="0" w:line="240" w:lineRule="auto"/>
              <w:jc w:val="both"/>
            </w:pPr>
            <w:r>
              <w:rPr>
                <w:rFonts w:ascii="Arial" w:eastAsia="Times New Roman" w:hAnsi="Arial" w:cs="Arial"/>
                <w:color w:val="000000"/>
                <w:sz w:val="18"/>
                <w:szCs w:val="18"/>
                <w:lang w:eastAsia="fr-FR"/>
              </w:rPr>
              <w:t>Port d'EPI adéquat</w:t>
            </w:r>
          </w:p>
        </w:tc>
        <w:tc>
          <w:tcPr>
            <w:tcW w:w="1531" w:type="dxa"/>
            <w:vMerge/>
            <w:vAlign w:val="center"/>
          </w:tcPr>
          <w:p w14:paraId="68583A26"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r>
      <w:tr w:rsidR="00DF7822" w14:paraId="014B56EF" w14:textId="77777777" w:rsidTr="005D6D41">
        <w:trPr>
          <w:trHeight w:val="300"/>
        </w:trPr>
        <w:tc>
          <w:tcPr>
            <w:tcW w:w="4223" w:type="dxa"/>
            <w:shd w:val="clear" w:color="auto" w:fill="auto"/>
            <w:vAlign w:val="center"/>
          </w:tcPr>
          <w:p w14:paraId="0CB499E7" w14:textId="77777777" w:rsidR="00AC4FA3" w:rsidRDefault="00AC4FA3" w:rsidP="00AC4FA3">
            <w:pPr>
              <w:spacing w:after="0" w:line="240" w:lineRule="auto"/>
              <w:jc w:val="both"/>
            </w:pPr>
            <w:r>
              <w:rPr>
                <w:rFonts w:ascii="Arial" w:eastAsia="Times New Roman" w:hAnsi="Arial" w:cs="Arial"/>
                <w:sz w:val="18"/>
                <w:szCs w:val="18"/>
                <w:lang w:eastAsia="fr-FR"/>
              </w:rPr>
              <w:t>Risque d’incendie et d'explosion</w:t>
            </w:r>
          </w:p>
        </w:tc>
        <w:tc>
          <w:tcPr>
            <w:tcW w:w="3946" w:type="dxa"/>
            <w:shd w:val="clear" w:color="auto" w:fill="auto"/>
            <w:vAlign w:val="center"/>
          </w:tcPr>
          <w:p w14:paraId="0780EECA" w14:textId="77777777" w:rsidR="00AC4FA3" w:rsidRDefault="00AC4FA3" w:rsidP="00AC4FA3">
            <w:pPr>
              <w:spacing w:after="0" w:line="240" w:lineRule="auto"/>
              <w:jc w:val="both"/>
            </w:pPr>
            <w:r>
              <w:rPr>
                <w:rFonts w:ascii="Arial" w:eastAsia="Times New Roman" w:hAnsi="Arial" w:cs="Arial"/>
                <w:color w:val="000000"/>
                <w:sz w:val="18"/>
                <w:szCs w:val="18"/>
                <w:lang w:eastAsia="fr-FR"/>
              </w:rPr>
              <w:t>Mise en place de dispositifs de lutte contre l'incendie</w:t>
            </w:r>
          </w:p>
        </w:tc>
        <w:tc>
          <w:tcPr>
            <w:tcW w:w="1531" w:type="dxa"/>
            <w:shd w:val="clear" w:color="auto" w:fill="00B050"/>
            <w:vAlign w:val="center"/>
          </w:tcPr>
          <w:p w14:paraId="785573E0"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Mineure</w:t>
            </w:r>
          </w:p>
        </w:tc>
      </w:tr>
      <w:tr w:rsidR="003075BB" w14:paraId="7AC4235A" w14:textId="77777777" w:rsidTr="003710EB">
        <w:trPr>
          <w:trHeight w:val="300"/>
        </w:trPr>
        <w:tc>
          <w:tcPr>
            <w:tcW w:w="9700" w:type="dxa"/>
            <w:gridSpan w:val="3"/>
            <w:shd w:val="clear" w:color="auto" w:fill="00B0F0"/>
            <w:vAlign w:val="center"/>
          </w:tcPr>
          <w:p w14:paraId="4252BA5C" w14:textId="77777777" w:rsidR="003075BB" w:rsidRDefault="003075BB" w:rsidP="00B434A6">
            <w:pPr>
              <w:spacing w:after="0" w:line="240" w:lineRule="auto"/>
              <w:jc w:val="center"/>
            </w:pPr>
            <w:r>
              <w:rPr>
                <w:rFonts w:ascii="Arial" w:eastAsia="Times New Roman" w:hAnsi="Arial" w:cs="Arial"/>
                <w:b/>
                <w:bCs/>
                <w:sz w:val="18"/>
                <w:szCs w:val="18"/>
                <w:lang w:eastAsia="fr-FR"/>
              </w:rPr>
              <w:t>Repli de chantier</w:t>
            </w:r>
          </w:p>
        </w:tc>
      </w:tr>
      <w:tr w:rsidR="00DF7822" w14:paraId="26449D3B" w14:textId="77777777" w:rsidTr="005D6D41">
        <w:trPr>
          <w:trHeight w:val="288"/>
        </w:trPr>
        <w:tc>
          <w:tcPr>
            <w:tcW w:w="4223" w:type="dxa"/>
            <w:vMerge w:val="restart"/>
            <w:shd w:val="clear" w:color="auto" w:fill="auto"/>
            <w:vAlign w:val="center"/>
          </w:tcPr>
          <w:p w14:paraId="518D2762" w14:textId="77777777" w:rsidR="00AC4FA3" w:rsidRDefault="00AC4FA3" w:rsidP="00AC4FA3">
            <w:pPr>
              <w:spacing w:after="0" w:line="240" w:lineRule="auto"/>
              <w:jc w:val="both"/>
            </w:pPr>
            <w:r>
              <w:rPr>
                <w:rFonts w:ascii="Arial" w:eastAsia="Times New Roman" w:hAnsi="Arial" w:cs="Arial"/>
                <w:sz w:val="18"/>
                <w:szCs w:val="18"/>
                <w:lang w:eastAsia="fr-FR"/>
              </w:rPr>
              <w:t>Risques d'accidents de circulation</w:t>
            </w:r>
          </w:p>
        </w:tc>
        <w:tc>
          <w:tcPr>
            <w:tcW w:w="3946" w:type="dxa"/>
            <w:shd w:val="clear" w:color="auto" w:fill="auto"/>
            <w:vAlign w:val="center"/>
          </w:tcPr>
          <w:p w14:paraId="2F2CC5D3" w14:textId="77777777" w:rsidR="00AC4FA3" w:rsidRDefault="00AC4FA3" w:rsidP="00AC4FA3">
            <w:pPr>
              <w:spacing w:after="0" w:line="240" w:lineRule="auto"/>
              <w:jc w:val="both"/>
            </w:pPr>
            <w:r>
              <w:rPr>
                <w:rFonts w:ascii="Arial" w:eastAsia="Times New Roman" w:hAnsi="Arial" w:cs="Arial"/>
                <w:color w:val="000000"/>
                <w:sz w:val="18"/>
                <w:szCs w:val="18"/>
                <w:lang w:eastAsia="fr-FR"/>
              </w:rPr>
              <w:t>Mise en place d'un plan de circulation</w:t>
            </w:r>
          </w:p>
        </w:tc>
        <w:tc>
          <w:tcPr>
            <w:tcW w:w="1531" w:type="dxa"/>
            <w:vMerge w:val="restart"/>
            <w:shd w:val="clear" w:color="auto" w:fill="00B050"/>
            <w:vAlign w:val="center"/>
          </w:tcPr>
          <w:p w14:paraId="63AE06B8"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Mineure</w:t>
            </w:r>
          </w:p>
        </w:tc>
      </w:tr>
      <w:tr w:rsidR="00AC4FA3" w14:paraId="6F4F9B1D" w14:textId="77777777" w:rsidTr="00B434A6">
        <w:trPr>
          <w:trHeight w:val="300"/>
        </w:trPr>
        <w:tc>
          <w:tcPr>
            <w:tcW w:w="4223" w:type="dxa"/>
            <w:vMerge/>
            <w:vAlign w:val="center"/>
          </w:tcPr>
          <w:p w14:paraId="3150B8DA" w14:textId="77777777" w:rsidR="00AC4FA3" w:rsidRDefault="00AC4FA3" w:rsidP="00AC4FA3">
            <w:pPr>
              <w:spacing w:after="0" w:line="240" w:lineRule="auto"/>
              <w:jc w:val="both"/>
              <w:rPr>
                <w:rFonts w:ascii="Arial" w:eastAsia="Times New Roman" w:hAnsi="Arial" w:cs="Arial"/>
                <w:sz w:val="18"/>
                <w:szCs w:val="18"/>
                <w:lang w:eastAsia="fr-FR"/>
              </w:rPr>
            </w:pPr>
          </w:p>
        </w:tc>
        <w:tc>
          <w:tcPr>
            <w:tcW w:w="3946" w:type="dxa"/>
            <w:shd w:val="clear" w:color="auto" w:fill="auto"/>
            <w:vAlign w:val="center"/>
          </w:tcPr>
          <w:p w14:paraId="00D04390" w14:textId="77777777" w:rsidR="00AC4FA3" w:rsidRDefault="00AC4FA3" w:rsidP="00AC4FA3">
            <w:pPr>
              <w:spacing w:after="0" w:line="240" w:lineRule="auto"/>
              <w:jc w:val="both"/>
            </w:pPr>
            <w:r>
              <w:rPr>
                <w:rFonts w:ascii="Arial" w:eastAsia="Times New Roman" w:hAnsi="Arial" w:cs="Arial"/>
                <w:color w:val="000000"/>
                <w:sz w:val="18"/>
                <w:szCs w:val="18"/>
                <w:lang w:eastAsia="fr-FR"/>
              </w:rPr>
              <w:t>Respect des dispositifs mis en place. Signalisation</w:t>
            </w:r>
          </w:p>
        </w:tc>
        <w:tc>
          <w:tcPr>
            <w:tcW w:w="1531" w:type="dxa"/>
            <w:vMerge/>
            <w:vAlign w:val="center"/>
          </w:tcPr>
          <w:p w14:paraId="50BC9FE9"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r>
      <w:tr w:rsidR="003075BB" w14:paraId="5198A4E0" w14:textId="77777777" w:rsidTr="003710EB">
        <w:trPr>
          <w:trHeight w:val="300"/>
        </w:trPr>
        <w:tc>
          <w:tcPr>
            <w:tcW w:w="9700" w:type="dxa"/>
            <w:gridSpan w:val="3"/>
            <w:shd w:val="clear" w:color="auto" w:fill="00B0F0"/>
            <w:vAlign w:val="center"/>
          </w:tcPr>
          <w:p w14:paraId="5BFE9B4C" w14:textId="77777777" w:rsidR="003075BB" w:rsidRDefault="003075BB" w:rsidP="00B434A6">
            <w:pPr>
              <w:spacing w:after="0" w:line="240" w:lineRule="auto"/>
              <w:jc w:val="center"/>
            </w:pPr>
            <w:r>
              <w:rPr>
                <w:rFonts w:ascii="Arial" w:eastAsia="Times New Roman" w:hAnsi="Arial" w:cs="Arial"/>
                <w:b/>
                <w:bCs/>
                <w:sz w:val="18"/>
                <w:szCs w:val="18"/>
                <w:lang w:eastAsia="fr-FR"/>
              </w:rPr>
              <w:t>Phase d'exploitation</w:t>
            </w:r>
          </w:p>
        </w:tc>
      </w:tr>
      <w:tr w:rsidR="00DF7822" w14:paraId="1F138008" w14:textId="77777777" w:rsidTr="005D6D41">
        <w:trPr>
          <w:trHeight w:val="492"/>
        </w:trPr>
        <w:tc>
          <w:tcPr>
            <w:tcW w:w="4223" w:type="dxa"/>
            <w:shd w:val="clear" w:color="auto" w:fill="auto"/>
            <w:vAlign w:val="center"/>
          </w:tcPr>
          <w:p w14:paraId="67F9FF49" w14:textId="77777777" w:rsidR="00AC4FA3" w:rsidRDefault="00AC4FA3" w:rsidP="00AC4FA3">
            <w:pPr>
              <w:spacing w:after="0" w:line="240" w:lineRule="auto"/>
              <w:jc w:val="both"/>
            </w:pPr>
            <w:r>
              <w:rPr>
                <w:rFonts w:ascii="Arial" w:eastAsia="Times New Roman" w:hAnsi="Arial" w:cs="Arial"/>
                <w:sz w:val="18"/>
                <w:szCs w:val="18"/>
                <w:lang w:eastAsia="fr-FR"/>
              </w:rPr>
              <w:t>Risque d'épuisement de la ressource en eau à cause des besoins pour le lavage des PV</w:t>
            </w:r>
          </w:p>
        </w:tc>
        <w:tc>
          <w:tcPr>
            <w:tcW w:w="3946" w:type="dxa"/>
            <w:shd w:val="clear" w:color="auto" w:fill="auto"/>
            <w:vAlign w:val="center"/>
          </w:tcPr>
          <w:p w14:paraId="7CC39285" w14:textId="77777777" w:rsidR="00AC4FA3" w:rsidRDefault="00AC4FA3" w:rsidP="00AC4FA3">
            <w:pPr>
              <w:spacing w:after="0" w:line="240" w:lineRule="auto"/>
              <w:jc w:val="both"/>
            </w:pPr>
            <w:r>
              <w:rPr>
                <w:rFonts w:ascii="Arial" w:eastAsia="Times New Roman" w:hAnsi="Arial" w:cs="Arial"/>
                <w:color w:val="000000"/>
                <w:sz w:val="18"/>
                <w:szCs w:val="18"/>
                <w:lang w:eastAsia="fr-FR"/>
              </w:rPr>
              <w:t>Mise en place de système de récupération et de traitement des eaux usée</w:t>
            </w:r>
            <w:r w:rsidR="00E31EB0">
              <w:rPr>
                <w:rFonts w:ascii="Arial" w:eastAsia="Times New Roman" w:hAnsi="Arial" w:cs="Arial"/>
                <w:color w:val="000000"/>
                <w:sz w:val="18"/>
                <w:szCs w:val="18"/>
                <w:lang w:eastAsia="fr-FR"/>
              </w:rPr>
              <w:t>s</w:t>
            </w:r>
            <w:r>
              <w:rPr>
                <w:rFonts w:ascii="Arial" w:eastAsia="Times New Roman" w:hAnsi="Arial" w:cs="Arial"/>
                <w:color w:val="000000"/>
                <w:sz w:val="18"/>
                <w:szCs w:val="18"/>
                <w:lang w:eastAsia="fr-FR"/>
              </w:rPr>
              <w:t xml:space="preserve"> pour réutilisation</w:t>
            </w:r>
          </w:p>
        </w:tc>
        <w:tc>
          <w:tcPr>
            <w:tcW w:w="1531" w:type="dxa"/>
            <w:shd w:val="clear" w:color="auto" w:fill="00B050"/>
            <w:vAlign w:val="center"/>
          </w:tcPr>
          <w:p w14:paraId="75D8F3F2"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Mineure</w:t>
            </w:r>
          </w:p>
        </w:tc>
      </w:tr>
      <w:tr w:rsidR="00DF7822" w14:paraId="4D51C1C8" w14:textId="77777777" w:rsidTr="005D6D41">
        <w:trPr>
          <w:trHeight w:val="492"/>
        </w:trPr>
        <w:tc>
          <w:tcPr>
            <w:tcW w:w="4223" w:type="dxa"/>
            <w:shd w:val="clear" w:color="auto" w:fill="auto"/>
            <w:vAlign w:val="center"/>
          </w:tcPr>
          <w:p w14:paraId="4A2362C9" w14:textId="77777777" w:rsidR="00AC4FA3" w:rsidRDefault="00AC4FA3" w:rsidP="00AC4FA3">
            <w:pPr>
              <w:spacing w:after="0" w:line="240" w:lineRule="auto"/>
              <w:jc w:val="both"/>
            </w:pPr>
            <w:r>
              <w:rPr>
                <w:rFonts w:ascii="Arial" w:eastAsia="Times New Roman" w:hAnsi="Arial" w:cs="Arial"/>
                <w:sz w:val="18"/>
                <w:szCs w:val="18"/>
                <w:lang w:eastAsia="fr-FR"/>
              </w:rPr>
              <w:t>Création de champ électromagnétique (CEM) pouvant perturber la faune locale</w:t>
            </w:r>
          </w:p>
        </w:tc>
        <w:tc>
          <w:tcPr>
            <w:tcW w:w="3946" w:type="dxa"/>
            <w:shd w:val="clear" w:color="auto" w:fill="auto"/>
            <w:vAlign w:val="center"/>
          </w:tcPr>
          <w:p w14:paraId="4A91957B" w14:textId="77777777" w:rsidR="00AC4FA3" w:rsidRDefault="00AC4FA3" w:rsidP="00AC4FA3">
            <w:pPr>
              <w:spacing w:after="0" w:line="240" w:lineRule="auto"/>
              <w:jc w:val="both"/>
            </w:pPr>
            <w:r>
              <w:rPr>
                <w:rFonts w:ascii="Arial" w:eastAsia="Times New Roman" w:hAnsi="Arial" w:cs="Arial"/>
                <w:color w:val="000000"/>
                <w:sz w:val="18"/>
                <w:szCs w:val="18"/>
                <w:lang w:eastAsia="fr-FR"/>
              </w:rPr>
              <w:t>Mise en place des sites d'installation des parcs PV, Tours cellulaires…. Sur des sites éloignés des Aires Protégées et autres sites de haute potentialité en matière de biodiversité</w:t>
            </w:r>
          </w:p>
        </w:tc>
        <w:tc>
          <w:tcPr>
            <w:tcW w:w="1531" w:type="dxa"/>
            <w:shd w:val="clear" w:color="auto" w:fill="00B050"/>
            <w:vAlign w:val="center"/>
          </w:tcPr>
          <w:p w14:paraId="4E206F11"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Mineure</w:t>
            </w:r>
          </w:p>
        </w:tc>
      </w:tr>
      <w:tr w:rsidR="00DF7822" w14:paraId="2B7F6523" w14:textId="77777777" w:rsidTr="005D6D41">
        <w:trPr>
          <w:trHeight w:val="732"/>
        </w:trPr>
        <w:tc>
          <w:tcPr>
            <w:tcW w:w="4223" w:type="dxa"/>
            <w:shd w:val="clear" w:color="auto" w:fill="auto"/>
            <w:vAlign w:val="center"/>
          </w:tcPr>
          <w:p w14:paraId="5483F0FE" w14:textId="77777777" w:rsidR="00AC4FA3" w:rsidRDefault="00AC4FA3" w:rsidP="00AC4FA3">
            <w:pPr>
              <w:spacing w:after="0" w:line="240" w:lineRule="auto"/>
              <w:jc w:val="both"/>
            </w:pPr>
            <w:r>
              <w:rPr>
                <w:rFonts w:ascii="Arial" w:eastAsia="Times New Roman" w:hAnsi="Arial" w:cs="Arial"/>
                <w:sz w:val="18"/>
                <w:szCs w:val="18"/>
                <w:lang w:eastAsia="fr-FR"/>
              </w:rPr>
              <w:t>Accumulation des déchets solides incluant les déchets d’équipement électrique et électronique (DEEE)</w:t>
            </w:r>
          </w:p>
        </w:tc>
        <w:tc>
          <w:tcPr>
            <w:tcW w:w="3946" w:type="dxa"/>
            <w:shd w:val="clear" w:color="auto" w:fill="auto"/>
            <w:vAlign w:val="center"/>
          </w:tcPr>
          <w:p w14:paraId="64C12A38" w14:textId="77777777" w:rsidR="00AC4FA3" w:rsidRDefault="00AC4FA3" w:rsidP="00AC4FA3">
            <w:pPr>
              <w:spacing w:after="0" w:line="240" w:lineRule="auto"/>
              <w:jc w:val="both"/>
            </w:pPr>
            <w:r w:rsidRPr="005D6D41">
              <w:rPr>
                <w:rFonts w:ascii="Arial" w:eastAsia="Times New Roman" w:hAnsi="Arial" w:cs="Arial"/>
                <w:color w:val="000000"/>
                <w:sz w:val="18"/>
                <w:szCs w:val="18"/>
                <w:lang w:eastAsia="fr-FR"/>
              </w:rPr>
              <w:t xml:space="preserve">Mise en </w:t>
            </w:r>
            <w:r w:rsidRPr="00742D67">
              <w:rPr>
                <w:rFonts w:ascii="Arial" w:eastAsia="Times New Roman" w:hAnsi="Arial" w:cs="Arial"/>
                <w:sz w:val="18"/>
                <w:szCs w:val="18"/>
                <w:lang w:eastAsia="fr-FR"/>
              </w:rPr>
              <w:t xml:space="preserve">place </w:t>
            </w:r>
            <w:r w:rsidR="00BC0AD7" w:rsidRPr="00742D67">
              <w:rPr>
                <w:rFonts w:ascii="Arial" w:eastAsia="Times New Roman" w:hAnsi="Arial" w:cs="Arial"/>
                <w:sz w:val="18"/>
                <w:szCs w:val="18"/>
                <w:lang w:eastAsia="fr-FR"/>
              </w:rPr>
              <w:t>d’</w:t>
            </w:r>
            <w:r w:rsidRPr="00742D67">
              <w:rPr>
                <w:rFonts w:ascii="Arial" w:eastAsia="Times New Roman" w:hAnsi="Arial" w:cs="Arial"/>
                <w:sz w:val="18"/>
                <w:szCs w:val="18"/>
                <w:lang w:eastAsia="fr-FR"/>
              </w:rPr>
              <w:t xml:space="preserve">un Plan de Gestion des Déchets Solides </w:t>
            </w:r>
            <w:r w:rsidR="536237F5" w:rsidRPr="00742D67">
              <w:rPr>
                <w:rFonts w:ascii="Arial" w:eastAsia="Times New Roman" w:hAnsi="Arial" w:cs="Arial"/>
                <w:sz w:val="18"/>
                <w:szCs w:val="18"/>
                <w:lang w:eastAsia="fr-FR"/>
              </w:rPr>
              <w:t>et liquides</w:t>
            </w:r>
            <w:r w:rsidR="002212D7" w:rsidRPr="00742D67">
              <w:rPr>
                <w:rFonts w:ascii="Arial" w:eastAsia="Times New Roman" w:hAnsi="Arial" w:cs="Arial"/>
                <w:sz w:val="18"/>
                <w:szCs w:val="18"/>
                <w:lang w:eastAsia="fr-FR"/>
              </w:rPr>
              <w:t xml:space="preserve"> surtout pour les lubrifiants</w:t>
            </w:r>
            <w:r w:rsidR="000A5DA6">
              <w:rPr>
                <w:rFonts w:ascii="Arial" w:eastAsia="Times New Roman" w:hAnsi="Arial" w:cs="Arial"/>
                <w:sz w:val="18"/>
                <w:szCs w:val="18"/>
                <w:lang w:eastAsia="fr-FR"/>
              </w:rPr>
              <w:t>/isolants</w:t>
            </w:r>
            <w:r w:rsidR="002212D7" w:rsidRPr="00742D67">
              <w:rPr>
                <w:rFonts w:ascii="Arial" w:eastAsia="Times New Roman" w:hAnsi="Arial" w:cs="Arial"/>
                <w:sz w:val="18"/>
                <w:szCs w:val="18"/>
                <w:lang w:eastAsia="fr-FR"/>
              </w:rPr>
              <w:t xml:space="preserve"> des transformateurs et générateurs de secours, les gels dans les batteries, eaux usées... </w:t>
            </w:r>
            <w:r w:rsidR="1D16C24F" w:rsidRPr="00742D67">
              <w:rPr>
                <w:rFonts w:ascii="Arial" w:eastAsia="Times New Roman" w:hAnsi="Arial" w:cs="Arial"/>
                <w:sz w:val="18"/>
                <w:szCs w:val="18"/>
                <w:lang w:eastAsia="fr-FR"/>
              </w:rPr>
              <w:t xml:space="preserve"> </w:t>
            </w:r>
            <w:r w:rsidRPr="00742D67">
              <w:rPr>
                <w:rFonts w:ascii="Arial" w:eastAsia="Times New Roman" w:hAnsi="Arial" w:cs="Arial"/>
                <w:sz w:val="18"/>
                <w:szCs w:val="18"/>
                <w:lang w:eastAsia="fr-FR"/>
              </w:rPr>
              <w:t>(PGD</w:t>
            </w:r>
            <w:r w:rsidRPr="005D6D41">
              <w:rPr>
                <w:rFonts w:ascii="Arial" w:eastAsia="Times New Roman" w:hAnsi="Arial" w:cs="Arial"/>
                <w:color w:val="000000"/>
                <w:sz w:val="18"/>
                <w:szCs w:val="18"/>
                <w:lang w:eastAsia="fr-FR"/>
              </w:rPr>
              <w:t>). Favoriser le recyclage des DEEE</w:t>
            </w:r>
          </w:p>
        </w:tc>
        <w:tc>
          <w:tcPr>
            <w:tcW w:w="1531" w:type="dxa"/>
            <w:shd w:val="clear" w:color="auto" w:fill="00B050"/>
            <w:vAlign w:val="center"/>
          </w:tcPr>
          <w:p w14:paraId="617DA066"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Mineure</w:t>
            </w:r>
          </w:p>
        </w:tc>
      </w:tr>
      <w:tr w:rsidR="00DF7822" w14:paraId="73648648" w14:textId="77777777" w:rsidTr="005D6D41">
        <w:trPr>
          <w:trHeight w:val="300"/>
        </w:trPr>
        <w:tc>
          <w:tcPr>
            <w:tcW w:w="4223" w:type="dxa"/>
            <w:shd w:val="clear" w:color="auto" w:fill="auto"/>
            <w:vAlign w:val="center"/>
          </w:tcPr>
          <w:p w14:paraId="5157C1C3" w14:textId="77777777" w:rsidR="00AC4FA3" w:rsidRDefault="00AC4FA3" w:rsidP="00056AF9">
            <w:pPr>
              <w:spacing w:after="0" w:line="240" w:lineRule="auto"/>
              <w:jc w:val="both"/>
              <w:rPr>
                <w:rFonts w:ascii="Arial" w:eastAsia="Times New Roman" w:hAnsi="Arial" w:cs="Arial"/>
                <w:sz w:val="18"/>
                <w:szCs w:val="18"/>
                <w:lang w:eastAsia="fr-FR"/>
              </w:rPr>
            </w:pPr>
            <w:r>
              <w:rPr>
                <w:rFonts w:ascii="Arial" w:eastAsia="Times New Roman" w:hAnsi="Arial" w:cs="Arial"/>
                <w:sz w:val="18"/>
                <w:szCs w:val="18"/>
                <w:lang w:eastAsia="fr-FR"/>
              </w:rPr>
              <w:t xml:space="preserve">Risque de </w:t>
            </w:r>
            <w:r w:rsidRPr="00327DB6">
              <w:rPr>
                <w:rFonts w:ascii="Arial" w:eastAsia="Times New Roman" w:hAnsi="Arial" w:cs="Arial"/>
                <w:sz w:val="18"/>
                <w:szCs w:val="18"/>
                <w:lang w:eastAsia="fr-FR"/>
              </w:rPr>
              <w:t>conflit lié à l'utilisation de l'eau</w:t>
            </w:r>
            <w:r w:rsidR="00056AF9" w:rsidRPr="00327DB6">
              <w:rPr>
                <w:rFonts w:ascii="Arial" w:eastAsia="Times New Roman" w:hAnsi="Arial" w:cs="Arial"/>
                <w:sz w:val="18"/>
                <w:szCs w:val="18"/>
                <w:lang w:eastAsia="fr-FR"/>
              </w:rPr>
              <w:t xml:space="preserve"> </w:t>
            </w:r>
            <w:r w:rsidR="00056AF9" w:rsidRPr="00742D67">
              <w:rPr>
                <w:rFonts w:ascii="Arial" w:eastAsia="Times New Roman" w:hAnsi="Arial" w:cs="Arial"/>
                <w:sz w:val="18"/>
                <w:szCs w:val="18"/>
                <w:lang w:eastAsia="fr-FR"/>
              </w:rPr>
              <w:t xml:space="preserve">pour le </w:t>
            </w:r>
            <w:r w:rsidR="003A2C2D">
              <w:rPr>
                <w:rFonts w:ascii="Arial" w:eastAsia="Times New Roman" w:hAnsi="Arial" w:cs="Arial"/>
                <w:sz w:val="18"/>
                <w:szCs w:val="18"/>
                <w:lang w:eastAsia="fr-FR"/>
              </w:rPr>
              <w:t>nettoyage des panneaux solaires</w:t>
            </w:r>
          </w:p>
        </w:tc>
        <w:tc>
          <w:tcPr>
            <w:tcW w:w="3946" w:type="dxa"/>
            <w:shd w:val="clear" w:color="auto" w:fill="auto"/>
            <w:vAlign w:val="center"/>
          </w:tcPr>
          <w:p w14:paraId="2EB12BB6" w14:textId="77777777" w:rsidR="00AC4FA3" w:rsidRDefault="00AC4FA3" w:rsidP="00AC4FA3">
            <w:pPr>
              <w:spacing w:after="0" w:line="240" w:lineRule="auto"/>
              <w:jc w:val="both"/>
            </w:pPr>
            <w:r>
              <w:rPr>
                <w:rFonts w:ascii="Arial" w:eastAsia="Times New Roman" w:hAnsi="Arial" w:cs="Arial"/>
                <w:color w:val="000000"/>
                <w:sz w:val="18"/>
                <w:szCs w:val="18"/>
                <w:lang w:eastAsia="fr-FR"/>
              </w:rPr>
              <w:t>Information sensibilisation sur la bonne gestion des ressources en eau</w:t>
            </w:r>
          </w:p>
        </w:tc>
        <w:tc>
          <w:tcPr>
            <w:tcW w:w="1531" w:type="dxa"/>
            <w:shd w:val="clear" w:color="auto" w:fill="00B050"/>
            <w:vAlign w:val="center"/>
          </w:tcPr>
          <w:p w14:paraId="5DE69EBC"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Mineure</w:t>
            </w:r>
          </w:p>
        </w:tc>
      </w:tr>
      <w:tr w:rsidR="00DF7822" w14:paraId="6FE42523" w14:textId="77777777" w:rsidTr="005D6D41">
        <w:trPr>
          <w:trHeight w:val="300"/>
        </w:trPr>
        <w:tc>
          <w:tcPr>
            <w:tcW w:w="4223" w:type="dxa"/>
            <w:shd w:val="clear" w:color="auto" w:fill="auto"/>
            <w:vAlign w:val="center"/>
          </w:tcPr>
          <w:p w14:paraId="72807F40" w14:textId="77777777" w:rsidR="00AC4FA3" w:rsidRDefault="00AC4FA3" w:rsidP="00AC4FA3">
            <w:pPr>
              <w:spacing w:after="0" w:line="240" w:lineRule="auto"/>
              <w:jc w:val="both"/>
            </w:pPr>
            <w:r>
              <w:rPr>
                <w:rFonts w:ascii="Arial" w:eastAsia="Times New Roman" w:hAnsi="Arial" w:cs="Arial"/>
                <w:sz w:val="18"/>
                <w:szCs w:val="18"/>
                <w:lang w:eastAsia="fr-FR"/>
              </w:rPr>
              <w:lastRenderedPageBreak/>
              <w:t>Risque de bouleversement des mœurs</w:t>
            </w:r>
          </w:p>
        </w:tc>
        <w:tc>
          <w:tcPr>
            <w:tcW w:w="3946" w:type="dxa"/>
            <w:shd w:val="clear" w:color="auto" w:fill="auto"/>
            <w:vAlign w:val="center"/>
          </w:tcPr>
          <w:p w14:paraId="469EA745" w14:textId="77777777" w:rsidR="00AC4FA3" w:rsidRDefault="00AC4FA3" w:rsidP="00AC4FA3">
            <w:pPr>
              <w:spacing w:after="120" w:line="240" w:lineRule="auto"/>
              <w:jc w:val="both"/>
            </w:pPr>
            <w:r>
              <w:rPr>
                <w:rFonts w:ascii="Arial" w:eastAsia="Times New Roman" w:hAnsi="Arial" w:cs="Arial"/>
                <w:color w:val="000000"/>
                <w:sz w:val="18"/>
                <w:szCs w:val="18"/>
                <w:lang w:eastAsia="fr-FR"/>
              </w:rPr>
              <w:t>Information / sensibilisation sur l'utilisation des TIC et les risques qu’elle</w:t>
            </w:r>
            <w:r w:rsidR="00B44FA9">
              <w:rPr>
                <w:rFonts w:ascii="Arial" w:eastAsia="Times New Roman" w:hAnsi="Arial" w:cs="Arial"/>
                <w:color w:val="000000"/>
                <w:sz w:val="18"/>
                <w:szCs w:val="18"/>
                <w:lang w:eastAsia="fr-FR"/>
              </w:rPr>
              <w:t>s</w:t>
            </w:r>
            <w:r>
              <w:rPr>
                <w:rFonts w:ascii="Arial" w:eastAsia="Times New Roman" w:hAnsi="Arial" w:cs="Arial"/>
                <w:color w:val="000000"/>
                <w:sz w:val="18"/>
                <w:szCs w:val="18"/>
                <w:lang w:eastAsia="fr-FR"/>
              </w:rPr>
              <w:t xml:space="preserve"> présente</w:t>
            </w:r>
            <w:r w:rsidR="00B44FA9">
              <w:rPr>
                <w:rFonts w:ascii="Arial" w:eastAsia="Times New Roman" w:hAnsi="Arial" w:cs="Arial"/>
                <w:color w:val="000000"/>
                <w:sz w:val="18"/>
                <w:szCs w:val="18"/>
                <w:lang w:eastAsia="fr-FR"/>
              </w:rPr>
              <w:t>nt</w:t>
            </w:r>
            <w:r>
              <w:rPr>
                <w:rFonts w:ascii="Arial" w:eastAsia="Times New Roman" w:hAnsi="Arial" w:cs="Arial"/>
                <w:color w:val="000000"/>
                <w:sz w:val="18"/>
                <w:szCs w:val="18"/>
                <w:lang w:eastAsia="fr-FR"/>
              </w:rPr>
              <w:t xml:space="preserve">. </w:t>
            </w:r>
          </w:p>
          <w:p w14:paraId="4F83E6FF" w14:textId="77777777" w:rsidR="00AC4FA3" w:rsidRDefault="00AC4FA3" w:rsidP="00AC4FA3">
            <w:pPr>
              <w:spacing w:after="120" w:line="240" w:lineRule="auto"/>
              <w:jc w:val="both"/>
            </w:pPr>
            <w:r>
              <w:rPr>
                <w:rFonts w:ascii="Arial" w:eastAsia="Times New Roman" w:hAnsi="Arial" w:cs="Arial"/>
                <w:color w:val="000000"/>
                <w:sz w:val="18"/>
                <w:szCs w:val="18"/>
                <w:lang w:eastAsia="fr-FR"/>
              </w:rPr>
              <w:t xml:space="preserve">Formation des autorités en charge de la sécurité nationale sur l'utilisation des TIC. </w:t>
            </w:r>
          </w:p>
          <w:p w14:paraId="124191D1" w14:textId="77777777" w:rsidR="00AC4FA3" w:rsidRDefault="00AC4FA3" w:rsidP="00AC4FA3">
            <w:pPr>
              <w:spacing w:after="120" w:line="240" w:lineRule="auto"/>
              <w:jc w:val="both"/>
            </w:pPr>
            <w:r>
              <w:rPr>
                <w:rFonts w:ascii="Arial" w:eastAsia="Times New Roman" w:hAnsi="Arial" w:cs="Arial"/>
                <w:color w:val="000000"/>
                <w:sz w:val="18"/>
                <w:szCs w:val="18"/>
                <w:lang w:eastAsia="fr-FR"/>
              </w:rPr>
              <w:t>Formation et sensibilisation de la population sur l'importance du respect mutuel</w:t>
            </w:r>
          </w:p>
        </w:tc>
        <w:tc>
          <w:tcPr>
            <w:tcW w:w="1531" w:type="dxa"/>
            <w:shd w:val="clear" w:color="auto" w:fill="00B050"/>
            <w:vAlign w:val="center"/>
          </w:tcPr>
          <w:p w14:paraId="7883B5D8" w14:textId="77777777" w:rsidR="00AC4FA3" w:rsidRDefault="003075BB" w:rsidP="00AC4FA3">
            <w:pPr>
              <w:spacing w:after="0" w:line="240" w:lineRule="auto"/>
              <w:jc w:val="both"/>
            </w:pPr>
            <w:r>
              <w:rPr>
                <w:rFonts w:ascii="Arial" w:eastAsia="Times New Roman" w:hAnsi="Arial" w:cs="Arial"/>
                <w:color w:val="000000"/>
                <w:sz w:val="18"/>
                <w:szCs w:val="18"/>
                <w:lang w:eastAsia="fr-FR"/>
              </w:rPr>
              <w:t>Mineure</w:t>
            </w:r>
          </w:p>
        </w:tc>
      </w:tr>
      <w:tr w:rsidR="00DF7822" w14:paraId="7FF431F2" w14:textId="77777777" w:rsidTr="005D6D41">
        <w:trPr>
          <w:trHeight w:val="288"/>
        </w:trPr>
        <w:tc>
          <w:tcPr>
            <w:tcW w:w="4223" w:type="dxa"/>
            <w:vMerge w:val="restart"/>
            <w:shd w:val="clear" w:color="auto" w:fill="auto"/>
            <w:vAlign w:val="center"/>
          </w:tcPr>
          <w:p w14:paraId="1E71B1B8" w14:textId="77777777" w:rsidR="00AC4FA3" w:rsidRDefault="00AC4FA3" w:rsidP="00AC4FA3">
            <w:pPr>
              <w:spacing w:after="0" w:line="240" w:lineRule="auto"/>
              <w:jc w:val="both"/>
              <w:rPr>
                <w:rFonts w:ascii="Arial" w:eastAsia="Times New Roman" w:hAnsi="Arial" w:cs="Arial"/>
                <w:sz w:val="18"/>
                <w:szCs w:val="18"/>
                <w:lang w:eastAsia="fr-FR"/>
              </w:rPr>
            </w:pPr>
            <w:r>
              <w:rPr>
                <w:rFonts w:ascii="Arial" w:eastAsia="Times New Roman" w:hAnsi="Arial" w:cs="Arial"/>
                <w:sz w:val="18"/>
                <w:szCs w:val="18"/>
                <w:lang w:eastAsia="fr-FR"/>
              </w:rPr>
              <w:t>Création de CEM</w:t>
            </w:r>
            <w:r w:rsidR="002212D7">
              <w:rPr>
                <w:rFonts w:ascii="Arial" w:eastAsia="Times New Roman" w:hAnsi="Arial" w:cs="Arial"/>
                <w:sz w:val="18"/>
                <w:szCs w:val="18"/>
                <w:lang w:eastAsia="fr-FR"/>
              </w:rPr>
              <w:t xml:space="preserve"> au niveau des centrales électriques solaires et les tours cellulaires </w:t>
            </w:r>
          </w:p>
        </w:tc>
        <w:tc>
          <w:tcPr>
            <w:tcW w:w="3946" w:type="dxa"/>
            <w:shd w:val="clear" w:color="auto" w:fill="auto"/>
            <w:vAlign w:val="center"/>
          </w:tcPr>
          <w:p w14:paraId="0ABB9905" w14:textId="77777777" w:rsidR="00AC4FA3" w:rsidRDefault="00AC4FA3" w:rsidP="00AC4FA3">
            <w:pPr>
              <w:spacing w:after="0" w:line="240" w:lineRule="auto"/>
              <w:jc w:val="both"/>
            </w:pPr>
            <w:r>
              <w:rPr>
                <w:rFonts w:ascii="Arial" w:eastAsia="Times New Roman" w:hAnsi="Arial" w:cs="Arial"/>
                <w:color w:val="000000"/>
                <w:sz w:val="18"/>
                <w:szCs w:val="18"/>
                <w:lang w:eastAsia="fr-FR"/>
              </w:rPr>
              <w:t>Mise en conformité de l’installation aux normes</w:t>
            </w:r>
          </w:p>
        </w:tc>
        <w:tc>
          <w:tcPr>
            <w:tcW w:w="1531" w:type="dxa"/>
            <w:vMerge w:val="restart"/>
            <w:shd w:val="clear" w:color="auto" w:fill="00B050"/>
            <w:vAlign w:val="center"/>
          </w:tcPr>
          <w:p w14:paraId="59E9F8A2"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Mineure</w:t>
            </w:r>
          </w:p>
        </w:tc>
      </w:tr>
      <w:tr w:rsidR="00AC4FA3" w14:paraId="0B9A16FF" w14:textId="77777777" w:rsidTr="00B434A6">
        <w:trPr>
          <w:trHeight w:val="720"/>
        </w:trPr>
        <w:tc>
          <w:tcPr>
            <w:tcW w:w="4223" w:type="dxa"/>
            <w:vMerge/>
            <w:vAlign w:val="center"/>
          </w:tcPr>
          <w:p w14:paraId="562CFB9C" w14:textId="77777777" w:rsidR="00AC4FA3" w:rsidRDefault="00AC4FA3" w:rsidP="00AC4FA3">
            <w:pPr>
              <w:spacing w:after="0" w:line="240" w:lineRule="auto"/>
              <w:jc w:val="both"/>
              <w:rPr>
                <w:rFonts w:ascii="Arial" w:eastAsia="Times New Roman" w:hAnsi="Arial" w:cs="Arial"/>
                <w:sz w:val="18"/>
                <w:szCs w:val="18"/>
                <w:lang w:eastAsia="fr-FR"/>
              </w:rPr>
            </w:pPr>
          </w:p>
        </w:tc>
        <w:tc>
          <w:tcPr>
            <w:tcW w:w="3946" w:type="dxa"/>
            <w:shd w:val="clear" w:color="auto" w:fill="auto"/>
            <w:vAlign w:val="center"/>
          </w:tcPr>
          <w:p w14:paraId="16BD82B1" w14:textId="77777777" w:rsidR="00AC4FA3" w:rsidRDefault="00AC4FA3" w:rsidP="00AC4FA3">
            <w:pPr>
              <w:spacing w:after="0" w:line="240" w:lineRule="auto"/>
              <w:jc w:val="both"/>
            </w:pPr>
            <w:r>
              <w:rPr>
                <w:rFonts w:ascii="Arial" w:eastAsia="Times New Roman" w:hAnsi="Arial" w:cs="Arial"/>
                <w:color w:val="000000"/>
                <w:sz w:val="18"/>
                <w:szCs w:val="18"/>
                <w:lang w:eastAsia="fr-FR"/>
              </w:rPr>
              <w:t>L’isolation électrique et électromagnétique des équipements dans des locaux faradisés/chambre de Faraday)</w:t>
            </w:r>
          </w:p>
        </w:tc>
        <w:tc>
          <w:tcPr>
            <w:tcW w:w="1531" w:type="dxa"/>
            <w:vMerge/>
            <w:vAlign w:val="center"/>
          </w:tcPr>
          <w:p w14:paraId="7F4B6CCE"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r>
      <w:tr w:rsidR="00AC4FA3" w14:paraId="0DA44A24" w14:textId="77777777" w:rsidTr="00B434A6">
        <w:trPr>
          <w:trHeight w:val="288"/>
        </w:trPr>
        <w:tc>
          <w:tcPr>
            <w:tcW w:w="4223" w:type="dxa"/>
            <w:vMerge/>
            <w:vAlign w:val="center"/>
          </w:tcPr>
          <w:p w14:paraId="3170E75D" w14:textId="77777777" w:rsidR="00AC4FA3" w:rsidRDefault="00AC4FA3" w:rsidP="00AC4FA3">
            <w:pPr>
              <w:spacing w:after="0" w:line="240" w:lineRule="auto"/>
              <w:jc w:val="both"/>
              <w:rPr>
                <w:rFonts w:ascii="Arial" w:eastAsia="Times New Roman" w:hAnsi="Arial" w:cs="Arial"/>
                <w:sz w:val="18"/>
                <w:szCs w:val="18"/>
                <w:lang w:eastAsia="fr-FR"/>
              </w:rPr>
            </w:pPr>
          </w:p>
        </w:tc>
        <w:tc>
          <w:tcPr>
            <w:tcW w:w="3946" w:type="dxa"/>
            <w:shd w:val="clear" w:color="auto" w:fill="auto"/>
            <w:vAlign w:val="center"/>
          </w:tcPr>
          <w:p w14:paraId="5368B380" w14:textId="77777777" w:rsidR="00AC4FA3" w:rsidRDefault="00AC4FA3" w:rsidP="00AC4FA3">
            <w:pPr>
              <w:spacing w:after="0" w:line="240" w:lineRule="auto"/>
              <w:jc w:val="both"/>
            </w:pPr>
            <w:r>
              <w:rPr>
                <w:rFonts w:ascii="Arial" w:eastAsia="Times New Roman" w:hAnsi="Arial" w:cs="Arial"/>
                <w:color w:val="000000"/>
                <w:sz w:val="18"/>
                <w:szCs w:val="18"/>
                <w:lang w:eastAsia="fr-FR"/>
              </w:rPr>
              <w:t>L’éloignement des bâtiments à 3,5m des câbles MT</w:t>
            </w:r>
          </w:p>
        </w:tc>
        <w:tc>
          <w:tcPr>
            <w:tcW w:w="1531" w:type="dxa"/>
            <w:vMerge/>
            <w:vAlign w:val="center"/>
          </w:tcPr>
          <w:p w14:paraId="72BB11BC"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r>
      <w:tr w:rsidR="00AC4FA3" w14:paraId="0B55C9B4" w14:textId="77777777" w:rsidTr="00B434A6">
        <w:trPr>
          <w:trHeight w:val="288"/>
        </w:trPr>
        <w:tc>
          <w:tcPr>
            <w:tcW w:w="4223" w:type="dxa"/>
            <w:vMerge/>
            <w:vAlign w:val="center"/>
          </w:tcPr>
          <w:p w14:paraId="72BD0FD5" w14:textId="77777777" w:rsidR="00AC4FA3" w:rsidRDefault="00AC4FA3" w:rsidP="00AC4FA3">
            <w:pPr>
              <w:spacing w:after="0" w:line="240" w:lineRule="auto"/>
              <w:jc w:val="both"/>
              <w:rPr>
                <w:rFonts w:ascii="Arial" w:eastAsia="Times New Roman" w:hAnsi="Arial" w:cs="Arial"/>
                <w:sz w:val="18"/>
                <w:szCs w:val="18"/>
                <w:lang w:eastAsia="fr-FR"/>
              </w:rPr>
            </w:pPr>
          </w:p>
        </w:tc>
        <w:tc>
          <w:tcPr>
            <w:tcW w:w="3946" w:type="dxa"/>
            <w:shd w:val="clear" w:color="auto" w:fill="auto"/>
            <w:vAlign w:val="center"/>
          </w:tcPr>
          <w:p w14:paraId="5A154687" w14:textId="77777777" w:rsidR="00AC4FA3" w:rsidRDefault="00AC4FA3" w:rsidP="00AC4FA3">
            <w:pPr>
              <w:spacing w:after="0" w:line="240" w:lineRule="auto"/>
              <w:jc w:val="both"/>
            </w:pPr>
            <w:r>
              <w:rPr>
                <w:rFonts w:ascii="Arial" w:eastAsia="Times New Roman" w:hAnsi="Arial" w:cs="Arial"/>
                <w:color w:val="000000"/>
                <w:sz w:val="18"/>
                <w:szCs w:val="18"/>
                <w:lang w:eastAsia="fr-FR"/>
              </w:rPr>
              <w:t>La distance limite (0,75m) d’approche aux câbles</w:t>
            </w:r>
          </w:p>
        </w:tc>
        <w:tc>
          <w:tcPr>
            <w:tcW w:w="1531" w:type="dxa"/>
            <w:vMerge/>
            <w:vAlign w:val="center"/>
          </w:tcPr>
          <w:p w14:paraId="7D3F9576"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r>
      <w:tr w:rsidR="00AC4FA3" w14:paraId="7691492C" w14:textId="77777777" w:rsidTr="00B434A6">
        <w:trPr>
          <w:trHeight w:val="300"/>
        </w:trPr>
        <w:tc>
          <w:tcPr>
            <w:tcW w:w="4223" w:type="dxa"/>
            <w:vMerge/>
            <w:vAlign w:val="center"/>
          </w:tcPr>
          <w:p w14:paraId="7527BF5A" w14:textId="77777777" w:rsidR="00AC4FA3" w:rsidRDefault="00AC4FA3" w:rsidP="00AC4FA3">
            <w:pPr>
              <w:spacing w:after="0" w:line="240" w:lineRule="auto"/>
              <w:jc w:val="both"/>
              <w:rPr>
                <w:rFonts w:ascii="Arial" w:eastAsia="Times New Roman" w:hAnsi="Arial" w:cs="Arial"/>
                <w:sz w:val="18"/>
                <w:szCs w:val="18"/>
                <w:lang w:eastAsia="fr-FR"/>
              </w:rPr>
            </w:pPr>
          </w:p>
        </w:tc>
        <w:tc>
          <w:tcPr>
            <w:tcW w:w="3946" w:type="dxa"/>
            <w:shd w:val="clear" w:color="auto" w:fill="auto"/>
            <w:vAlign w:val="center"/>
          </w:tcPr>
          <w:p w14:paraId="10E4CC0B" w14:textId="77777777" w:rsidR="00AC4FA3" w:rsidRDefault="00AC4FA3" w:rsidP="00AC4FA3">
            <w:pPr>
              <w:spacing w:after="0" w:line="240" w:lineRule="auto"/>
              <w:jc w:val="both"/>
            </w:pPr>
            <w:r>
              <w:rPr>
                <w:rFonts w:ascii="Arial" w:eastAsia="Times New Roman" w:hAnsi="Arial" w:cs="Arial"/>
                <w:color w:val="000000"/>
                <w:sz w:val="18"/>
                <w:szCs w:val="18"/>
                <w:lang w:eastAsia="fr-FR"/>
              </w:rPr>
              <w:t>La distance de travail (2m) par rapport aux câbles</w:t>
            </w:r>
          </w:p>
        </w:tc>
        <w:tc>
          <w:tcPr>
            <w:tcW w:w="1531" w:type="dxa"/>
            <w:vMerge/>
            <w:vAlign w:val="center"/>
          </w:tcPr>
          <w:p w14:paraId="34748EA6"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r>
      <w:tr w:rsidR="00DF7822" w14:paraId="792DCC7A" w14:textId="77777777" w:rsidTr="005D6D41">
        <w:trPr>
          <w:trHeight w:val="300"/>
        </w:trPr>
        <w:tc>
          <w:tcPr>
            <w:tcW w:w="4223" w:type="dxa"/>
            <w:shd w:val="clear" w:color="auto" w:fill="auto"/>
            <w:vAlign w:val="center"/>
          </w:tcPr>
          <w:p w14:paraId="3EB11924" w14:textId="77777777" w:rsidR="00AC4FA3" w:rsidRDefault="00AC4FA3" w:rsidP="00AC4FA3">
            <w:pPr>
              <w:spacing w:after="0" w:line="240" w:lineRule="auto"/>
              <w:jc w:val="both"/>
            </w:pPr>
            <w:r>
              <w:rPr>
                <w:rFonts w:ascii="Arial" w:eastAsia="Times New Roman" w:hAnsi="Arial" w:cs="Arial"/>
                <w:sz w:val="18"/>
                <w:szCs w:val="18"/>
                <w:lang w:eastAsia="fr-FR"/>
              </w:rPr>
              <w:t>Risque d'accident et d’incendie</w:t>
            </w:r>
          </w:p>
        </w:tc>
        <w:tc>
          <w:tcPr>
            <w:tcW w:w="3946" w:type="dxa"/>
            <w:shd w:val="clear" w:color="auto" w:fill="auto"/>
            <w:vAlign w:val="center"/>
          </w:tcPr>
          <w:p w14:paraId="2B1E532B" w14:textId="77777777" w:rsidR="00AC4FA3" w:rsidRDefault="00AC4FA3" w:rsidP="00AC4FA3">
            <w:pPr>
              <w:spacing w:after="0" w:line="240" w:lineRule="auto"/>
              <w:jc w:val="both"/>
            </w:pPr>
            <w:r>
              <w:rPr>
                <w:rFonts w:ascii="Arial" w:eastAsia="Times New Roman" w:hAnsi="Arial" w:cs="Arial"/>
                <w:color w:val="000000"/>
                <w:sz w:val="18"/>
                <w:szCs w:val="18"/>
                <w:lang w:eastAsia="fr-FR"/>
              </w:rPr>
              <w:t>Mise en place d'un plan de prévention et d’intervention en cas d’incendie : extincteur adéquat (à CO</w:t>
            </w:r>
            <w:r w:rsidRPr="00B434A6">
              <w:rPr>
                <w:rFonts w:ascii="Arial" w:eastAsia="Times New Roman" w:hAnsi="Arial" w:cs="Arial"/>
                <w:color w:val="000000"/>
                <w:sz w:val="18"/>
                <w:szCs w:val="18"/>
                <w:vertAlign w:val="subscript"/>
                <w:lang w:eastAsia="fr-FR"/>
              </w:rPr>
              <w:t>2</w:t>
            </w:r>
            <w:r>
              <w:rPr>
                <w:rFonts w:ascii="Arial" w:eastAsia="Times New Roman" w:hAnsi="Arial" w:cs="Arial"/>
                <w:color w:val="000000"/>
                <w:sz w:val="18"/>
                <w:szCs w:val="18"/>
                <w:lang w:eastAsia="fr-FR"/>
              </w:rPr>
              <w:t>)</w:t>
            </w:r>
          </w:p>
        </w:tc>
        <w:tc>
          <w:tcPr>
            <w:tcW w:w="1531" w:type="dxa"/>
            <w:shd w:val="clear" w:color="auto" w:fill="00B050"/>
            <w:vAlign w:val="center"/>
          </w:tcPr>
          <w:p w14:paraId="45697156"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Mineure</w:t>
            </w:r>
          </w:p>
        </w:tc>
      </w:tr>
      <w:tr w:rsidR="00DF7822" w14:paraId="70CF5C4D" w14:textId="77777777" w:rsidTr="005D6D41">
        <w:trPr>
          <w:trHeight w:val="300"/>
        </w:trPr>
        <w:tc>
          <w:tcPr>
            <w:tcW w:w="4223" w:type="dxa"/>
            <w:shd w:val="clear" w:color="auto" w:fill="auto"/>
            <w:vAlign w:val="center"/>
          </w:tcPr>
          <w:p w14:paraId="6D0A5529" w14:textId="77777777" w:rsidR="00AC4FA3" w:rsidRDefault="00AC4FA3" w:rsidP="00AC4FA3">
            <w:pPr>
              <w:spacing w:after="0" w:line="240" w:lineRule="auto"/>
              <w:jc w:val="both"/>
            </w:pPr>
            <w:r>
              <w:rPr>
                <w:rFonts w:ascii="Arial" w:eastAsia="Times New Roman" w:hAnsi="Arial" w:cs="Arial"/>
                <w:sz w:val="18"/>
                <w:szCs w:val="18"/>
                <w:lang w:eastAsia="fr-FR"/>
              </w:rPr>
              <w:t>Risques liés au vol et intrusions</w:t>
            </w:r>
          </w:p>
        </w:tc>
        <w:tc>
          <w:tcPr>
            <w:tcW w:w="3946" w:type="dxa"/>
            <w:shd w:val="clear" w:color="auto" w:fill="auto"/>
            <w:vAlign w:val="center"/>
          </w:tcPr>
          <w:p w14:paraId="4071F503" w14:textId="77777777" w:rsidR="00AC4FA3" w:rsidRDefault="00AC4FA3" w:rsidP="00AC4FA3">
            <w:pPr>
              <w:spacing w:after="0" w:line="240" w:lineRule="auto"/>
              <w:jc w:val="both"/>
            </w:pPr>
            <w:r>
              <w:rPr>
                <w:rFonts w:ascii="Arial" w:eastAsia="Times New Roman" w:hAnsi="Arial" w:cs="Arial"/>
                <w:color w:val="000000"/>
                <w:sz w:val="18"/>
                <w:szCs w:val="18"/>
                <w:lang w:eastAsia="fr-FR"/>
              </w:rPr>
              <w:t>Mise en place de système de sécurisation du site : clôture, caméra de surveillance, accès restreint et poste de contrôle à l'entrée</w:t>
            </w:r>
          </w:p>
        </w:tc>
        <w:tc>
          <w:tcPr>
            <w:tcW w:w="1531" w:type="dxa"/>
            <w:shd w:val="clear" w:color="auto" w:fill="00B050"/>
            <w:vAlign w:val="center"/>
          </w:tcPr>
          <w:p w14:paraId="6ED15C50"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Mineure</w:t>
            </w:r>
          </w:p>
        </w:tc>
      </w:tr>
      <w:tr w:rsidR="00DF7822" w14:paraId="2767B381" w14:textId="77777777" w:rsidTr="005D6D41">
        <w:trPr>
          <w:trHeight w:val="492"/>
        </w:trPr>
        <w:tc>
          <w:tcPr>
            <w:tcW w:w="4223" w:type="dxa"/>
            <w:shd w:val="clear" w:color="auto" w:fill="auto"/>
            <w:vAlign w:val="center"/>
          </w:tcPr>
          <w:p w14:paraId="5E14DDE6" w14:textId="77777777" w:rsidR="00AC4FA3" w:rsidRDefault="00AC4FA3" w:rsidP="00AC4FA3">
            <w:pPr>
              <w:spacing w:after="0" w:line="240" w:lineRule="auto"/>
              <w:jc w:val="both"/>
            </w:pPr>
            <w:r>
              <w:rPr>
                <w:rFonts w:ascii="Arial" w:eastAsia="Times New Roman" w:hAnsi="Arial" w:cs="Arial"/>
                <w:sz w:val="18"/>
                <w:szCs w:val="18"/>
                <w:lang w:eastAsia="fr-FR"/>
              </w:rPr>
              <w:t>Risque d'augmentation des cas de VBG, EAS/HS dû à l'utilisation d'internet</w:t>
            </w:r>
          </w:p>
        </w:tc>
        <w:tc>
          <w:tcPr>
            <w:tcW w:w="3946" w:type="dxa"/>
            <w:shd w:val="clear" w:color="auto" w:fill="auto"/>
            <w:vAlign w:val="center"/>
          </w:tcPr>
          <w:p w14:paraId="619197FF" w14:textId="77777777" w:rsidR="00AC4FA3" w:rsidRDefault="00AC4FA3" w:rsidP="00AC4FA3">
            <w:pPr>
              <w:spacing w:after="120" w:line="240" w:lineRule="auto"/>
              <w:jc w:val="both"/>
            </w:pPr>
            <w:r>
              <w:rPr>
                <w:rFonts w:ascii="Arial" w:eastAsia="Times New Roman" w:hAnsi="Arial" w:cs="Arial"/>
                <w:color w:val="000000"/>
                <w:sz w:val="18"/>
                <w:szCs w:val="18"/>
                <w:lang w:eastAsia="fr-FR"/>
              </w:rPr>
              <w:t xml:space="preserve">Formation sensibilisation des utilisateurs d'internet. </w:t>
            </w:r>
          </w:p>
          <w:p w14:paraId="2980EA81" w14:textId="77777777" w:rsidR="00AC4FA3" w:rsidRDefault="00AC4FA3" w:rsidP="00AC4FA3">
            <w:pPr>
              <w:spacing w:after="120" w:line="240" w:lineRule="auto"/>
              <w:jc w:val="both"/>
            </w:pPr>
            <w:r>
              <w:rPr>
                <w:rFonts w:ascii="Arial" w:eastAsia="Times New Roman" w:hAnsi="Arial" w:cs="Arial"/>
                <w:color w:val="000000"/>
                <w:sz w:val="18"/>
                <w:szCs w:val="18"/>
                <w:lang w:eastAsia="fr-FR"/>
              </w:rPr>
              <w:t>Sensibilisation sur l’importance du contrôle parental pour l’accès à internet des enfants.</w:t>
            </w:r>
          </w:p>
          <w:p w14:paraId="51B11AAC" w14:textId="77777777" w:rsidR="00AC4FA3" w:rsidRDefault="00AC4FA3" w:rsidP="00AC4FA3">
            <w:pPr>
              <w:spacing w:after="120" w:line="240" w:lineRule="auto"/>
              <w:jc w:val="both"/>
            </w:pPr>
            <w:r>
              <w:rPr>
                <w:rFonts w:ascii="Arial" w:eastAsia="Times New Roman" w:hAnsi="Arial" w:cs="Arial"/>
                <w:color w:val="000000"/>
                <w:sz w:val="18"/>
                <w:szCs w:val="18"/>
                <w:lang w:eastAsia="fr-FR"/>
              </w:rPr>
              <w:t xml:space="preserve">Mise en place de structure de gestion des plaintes VBG et EAS/HS. </w:t>
            </w:r>
          </w:p>
          <w:p w14:paraId="12592116" w14:textId="77777777" w:rsidR="00AC4FA3" w:rsidRDefault="00AC4FA3" w:rsidP="00AC4FA3">
            <w:pPr>
              <w:spacing w:after="120" w:line="240" w:lineRule="auto"/>
              <w:jc w:val="both"/>
            </w:pPr>
            <w:r>
              <w:rPr>
                <w:rFonts w:ascii="Arial" w:eastAsia="Times New Roman" w:hAnsi="Arial" w:cs="Arial"/>
                <w:color w:val="000000"/>
                <w:sz w:val="18"/>
                <w:szCs w:val="18"/>
                <w:lang w:eastAsia="fr-FR"/>
              </w:rPr>
              <w:t>Renforcement de</w:t>
            </w:r>
            <w:r w:rsidR="00E32F82">
              <w:rPr>
                <w:rFonts w:ascii="Arial" w:eastAsia="Times New Roman" w:hAnsi="Arial" w:cs="Arial"/>
                <w:color w:val="000000"/>
                <w:sz w:val="18"/>
                <w:szCs w:val="18"/>
                <w:lang w:eastAsia="fr-FR"/>
              </w:rPr>
              <w:t>s</w:t>
            </w:r>
            <w:r>
              <w:rPr>
                <w:rFonts w:ascii="Arial" w:eastAsia="Times New Roman" w:hAnsi="Arial" w:cs="Arial"/>
                <w:color w:val="000000"/>
                <w:sz w:val="18"/>
                <w:szCs w:val="18"/>
                <w:lang w:eastAsia="fr-FR"/>
              </w:rPr>
              <w:t xml:space="preserve"> capacité</w:t>
            </w:r>
            <w:r w:rsidR="00E32F82">
              <w:rPr>
                <w:rFonts w:ascii="Arial" w:eastAsia="Times New Roman" w:hAnsi="Arial" w:cs="Arial"/>
                <w:color w:val="000000"/>
                <w:sz w:val="18"/>
                <w:szCs w:val="18"/>
                <w:lang w:eastAsia="fr-FR"/>
              </w:rPr>
              <w:t>s</w:t>
            </w:r>
            <w:r>
              <w:rPr>
                <w:rFonts w:ascii="Arial" w:eastAsia="Times New Roman" w:hAnsi="Arial" w:cs="Arial"/>
                <w:color w:val="000000"/>
                <w:sz w:val="18"/>
                <w:szCs w:val="18"/>
                <w:lang w:eastAsia="fr-FR"/>
              </w:rPr>
              <w:t xml:space="preserve"> et formation des autorités concernées (police nationale, gendarmerie…).</w:t>
            </w:r>
          </w:p>
        </w:tc>
        <w:tc>
          <w:tcPr>
            <w:tcW w:w="1531" w:type="dxa"/>
            <w:shd w:val="clear" w:color="auto" w:fill="00B050"/>
            <w:vAlign w:val="center"/>
          </w:tcPr>
          <w:p w14:paraId="0057125A"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Mineure</w:t>
            </w:r>
          </w:p>
        </w:tc>
      </w:tr>
      <w:tr w:rsidR="00DF7822" w14:paraId="6A4F8BC9" w14:textId="77777777" w:rsidTr="008F68C0">
        <w:trPr>
          <w:trHeight w:val="300"/>
        </w:trPr>
        <w:tc>
          <w:tcPr>
            <w:tcW w:w="4223" w:type="dxa"/>
            <w:shd w:val="clear" w:color="auto" w:fill="auto"/>
            <w:vAlign w:val="center"/>
          </w:tcPr>
          <w:p w14:paraId="505E272B" w14:textId="77777777" w:rsidR="00AC4FA3" w:rsidRDefault="00AC4FA3" w:rsidP="00AC4FA3">
            <w:pPr>
              <w:spacing w:after="0" w:line="240" w:lineRule="auto"/>
              <w:jc w:val="both"/>
            </w:pPr>
            <w:r>
              <w:rPr>
                <w:rFonts w:ascii="Arial" w:eastAsia="Times New Roman" w:hAnsi="Arial" w:cs="Arial"/>
                <w:sz w:val="18"/>
                <w:szCs w:val="18"/>
                <w:lang w:eastAsia="fr-FR"/>
              </w:rPr>
              <w:t>Risque d'augmentation de cas de cybercriminalité</w:t>
            </w:r>
          </w:p>
        </w:tc>
        <w:tc>
          <w:tcPr>
            <w:tcW w:w="3946" w:type="dxa"/>
            <w:tcBorders>
              <w:bottom w:val="single" w:sz="4" w:space="0" w:color="auto"/>
            </w:tcBorders>
            <w:shd w:val="clear" w:color="auto" w:fill="auto"/>
            <w:vAlign w:val="center"/>
          </w:tcPr>
          <w:p w14:paraId="4711738A" w14:textId="77777777" w:rsidR="00AC4FA3" w:rsidRDefault="00AC4FA3" w:rsidP="00AC4FA3">
            <w:pPr>
              <w:spacing w:after="0" w:line="240" w:lineRule="auto"/>
              <w:jc w:val="both"/>
            </w:pPr>
            <w:r>
              <w:rPr>
                <w:rFonts w:ascii="Arial" w:eastAsia="Times New Roman" w:hAnsi="Arial" w:cs="Arial"/>
                <w:color w:val="000000"/>
                <w:sz w:val="18"/>
                <w:szCs w:val="18"/>
                <w:lang w:eastAsia="fr-FR"/>
              </w:rPr>
              <w:t>Renforcement de</w:t>
            </w:r>
            <w:r w:rsidR="00E32F82">
              <w:rPr>
                <w:rFonts w:ascii="Arial" w:eastAsia="Times New Roman" w:hAnsi="Arial" w:cs="Arial"/>
                <w:color w:val="000000"/>
                <w:sz w:val="18"/>
                <w:szCs w:val="18"/>
                <w:lang w:eastAsia="fr-FR"/>
              </w:rPr>
              <w:t>s</w:t>
            </w:r>
            <w:r>
              <w:rPr>
                <w:rFonts w:ascii="Arial" w:eastAsia="Times New Roman" w:hAnsi="Arial" w:cs="Arial"/>
                <w:color w:val="000000"/>
                <w:sz w:val="18"/>
                <w:szCs w:val="18"/>
                <w:lang w:eastAsia="fr-FR"/>
              </w:rPr>
              <w:t xml:space="preserve"> capacité</w:t>
            </w:r>
            <w:r w:rsidR="00E32F82">
              <w:rPr>
                <w:rFonts w:ascii="Arial" w:eastAsia="Times New Roman" w:hAnsi="Arial" w:cs="Arial"/>
                <w:color w:val="000000"/>
                <w:sz w:val="18"/>
                <w:szCs w:val="18"/>
                <w:lang w:eastAsia="fr-FR"/>
              </w:rPr>
              <w:t>s</w:t>
            </w:r>
            <w:r>
              <w:rPr>
                <w:rFonts w:ascii="Arial" w:eastAsia="Times New Roman" w:hAnsi="Arial" w:cs="Arial"/>
                <w:color w:val="000000"/>
                <w:sz w:val="18"/>
                <w:szCs w:val="18"/>
                <w:lang w:eastAsia="fr-FR"/>
              </w:rPr>
              <w:t xml:space="preserve"> et formation des autorités concernées (police nationale, gendarmerie…). Dotation d'équipements de lutte contre la cybercriminalité</w:t>
            </w:r>
          </w:p>
        </w:tc>
        <w:tc>
          <w:tcPr>
            <w:tcW w:w="1531" w:type="dxa"/>
            <w:shd w:val="clear" w:color="auto" w:fill="00B050"/>
            <w:vAlign w:val="center"/>
          </w:tcPr>
          <w:p w14:paraId="038A4396"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Mineure</w:t>
            </w:r>
          </w:p>
        </w:tc>
      </w:tr>
      <w:tr w:rsidR="00DF7822" w14:paraId="1FEC33BF" w14:textId="77777777" w:rsidTr="008F68C0">
        <w:trPr>
          <w:trHeight w:val="300"/>
        </w:trPr>
        <w:tc>
          <w:tcPr>
            <w:tcW w:w="4223" w:type="dxa"/>
            <w:vMerge w:val="restart"/>
            <w:tcBorders>
              <w:right w:val="single" w:sz="4" w:space="0" w:color="auto"/>
            </w:tcBorders>
            <w:shd w:val="clear" w:color="auto" w:fill="auto"/>
            <w:vAlign w:val="center"/>
          </w:tcPr>
          <w:p w14:paraId="08B28400" w14:textId="77777777" w:rsidR="002212D7" w:rsidRPr="00742D67" w:rsidRDefault="002212D7" w:rsidP="00AC4FA3">
            <w:pPr>
              <w:spacing w:after="0" w:line="240" w:lineRule="auto"/>
              <w:jc w:val="both"/>
              <w:rPr>
                <w:rFonts w:ascii="Arial" w:eastAsia="Times New Roman" w:hAnsi="Arial" w:cs="Arial"/>
                <w:sz w:val="18"/>
                <w:szCs w:val="18"/>
                <w:lang w:eastAsia="fr-FR"/>
              </w:rPr>
            </w:pPr>
            <w:r w:rsidRPr="00742D67">
              <w:rPr>
                <w:rFonts w:ascii="Arial" w:eastAsia="Times New Roman" w:hAnsi="Arial" w:cs="Arial"/>
                <w:sz w:val="18"/>
                <w:szCs w:val="18"/>
                <w:lang w:eastAsia="fr-FR"/>
              </w:rPr>
              <w:t>Atteinte à la sécurité de la population</w:t>
            </w:r>
            <w:r w:rsidR="00EC4895" w:rsidRPr="00742D67">
              <w:rPr>
                <w:rFonts w:ascii="Arial" w:eastAsia="Times New Roman" w:hAnsi="Arial" w:cs="Arial"/>
                <w:sz w:val="18"/>
                <w:szCs w:val="18"/>
                <w:lang w:eastAsia="fr-FR"/>
              </w:rPr>
              <w:t xml:space="preserve"> et perte des biens</w:t>
            </w:r>
            <w:r w:rsidRPr="00742D67">
              <w:rPr>
                <w:rFonts w:ascii="Arial" w:eastAsia="Times New Roman" w:hAnsi="Arial" w:cs="Arial"/>
                <w:sz w:val="18"/>
                <w:szCs w:val="18"/>
                <w:lang w:eastAsia="fr-FR"/>
              </w:rPr>
              <w:t xml:space="preserve"> par la rupture des barrages</w:t>
            </w:r>
          </w:p>
        </w:tc>
        <w:tc>
          <w:tcPr>
            <w:tcW w:w="3946" w:type="dxa"/>
            <w:tcBorders>
              <w:top w:val="single" w:sz="4" w:space="0" w:color="auto"/>
              <w:left w:val="single" w:sz="4" w:space="0" w:color="auto"/>
              <w:bottom w:val="nil"/>
              <w:right w:val="single" w:sz="4" w:space="0" w:color="auto"/>
            </w:tcBorders>
            <w:shd w:val="clear" w:color="auto" w:fill="auto"/>
            <w:vAlign w:val="center"/>
          </w:tcPr>
          <w:p w14:paraId="437EAFA5" w14:textId="77777777" w:rsidR="002212D7" w:rsidRPr="00742D67" w:rsidRDefault="002212D7" w:rsidP="008F68C0">
            <w:pPr>
              <w:spacing w:after="120" w:line="240" w:lineRule="auto"/>
              <w:jc w:val="both"/>
              <w:rPr>
                <w:rFonts w:ascii="Arial" w:eastAsia="Times New Roman" w:hAnsi="Arial" w:cs="Arial"/>
                <w:sz w:val="18"/>
                <w:szCs w:val="18"/>
                <w:lang w:eastAsia="fr-FR"/>
              </w:rPr>
            </w:pPr>
            <w:r w:rsidRPr="00742D67">
              <w:rPr>
                <w:rFonts w:ascii="Arial" w:eastAsia="Times New Roman" w:hAnsi="Arial" w:cs="Arial"/>
                <w:sz w:val="18"/>
                <w:szCs w:val="18"/>
                <w:lang w:eastAsia="fr-FR"/>
              </w:rPr>
              <w:t>Elaboration d’un Manuel de gestion des barrages</w:t>
            </w:r>
          </w:p>
        </w:tc>
        <w:tc>
          <w:tcPr>
            <w:tcW w:w="1531" w:type="dxa"/>
            <w:vMerge w:val="restart"/>
            <w:tcBorders>
              <w:left w:val="single" w:sz="4" w:space="0" w:color="auto"/>
            </w:tcBorders>
            <w:shd w:val="clear" w:color="auto" w:fill="00B050"/>
            <w:vAlign w:val="center"/>
          </w:tcPr>
          <w:p w14:paraId="6E2516E5" w14:textId="77777777" w:rsidR="002212D7" w:rsidRDefault="002212D7" w:rsidP="00AC4FA3">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Mineure</w:t>
            </w:r>
          </w:p>
        </w:tc>
      </w:tr>
      <w:tr w:rsidR="00DF7822" w14:paraId="5414F466" w14:textId="77777777" w:rsidTr="008F68C0">
        <w:trPr>
          <w:trHeight w:val="300"/>
        </w:trPr>
        <w:tc>
          <w:tcPr>
            <w:tcW w:w="4223" w:type="dxa"/>
            <w:vMerge/>
            <w:tcBorders>
              <w:right w:val="single" w:sz="4" w:space="0" w:color="auto"/>
            </w:tcBorders>
            <w:shd w:val="clear" w:color="auto" w:fill="auto"/>
            <w:vAlign w:val="center"/>
          </w:tcPr>
          <w:p w14:paraId="4389F73C" w14:textId="77777777" w:rsidR="002212D7" w:rsidRPr="00742D67" w:rsidRDefault="002212D7" w:rsidP="00AC4FA3">
            <w:pPr>
              <w:spacing w:after="0" w:line="240" w:lineRule="auto"/>
              <w:jc w:val="both"/>
              <w:rPr>
                <w:rFonts w:ascii="Arial" w:eastAsia="Times New Roman" w:hAnsi="Arial" w:cs="Arial"/>
                <w:sz w:val="18"/>
                <w:szCs w:val="18"/>
                <w:lang w:eastAsia="fr-FR"/>
              </w:rPr>
            </w:pPr>
          </w:p>
        </w:tc>
        <w:tc>
          <w:tcPr>
            <w:tcW w:w="3946" w:type="dxa"/>
            <w:tcBorders>
              <w:top w:val="nil"/>
              <w:left w:val="single" w:sz="4" w:space="0" w:color="auto"/>
              <w:bottom w:val="single" w:sz="4" w:space="0" w:color="auto"/>
              <w:right w:val="single" w:sz="4" w:space="0" w:color="auto"/>
            </w:tcBorders>
            <w:shd w:val="clear" w:color="auto" w:fill="auto"/>
            <w:vAlign w:val="center"/>
          </w:tcPr>
          <w:p w14:paraId="1EDE9243" w14:textId="77777777" w:rsidR="002212D7" w:rsidRPr="00742D67" w:rsidRDefault="00D416A8" w:rsidP="008F68C0">
            <w:pPr>
              <w:spacing w:after="120" w:line="240" w:lineRule="auto"/>
              <w:jc w:val="both"/>
              <w:rPr>
                <w:rFonts w:ascii="Arial" w:eastAsia="Times New Roman" w:hAnsi="Arial" w:cs="Arial"/>
                <w:sz w:val="18"/>
                <w:szCs w:val="18"/>
                <w:lang w:eastAsia="fr-FR"/>
              </w:rPr>
            </w:pPr>
            <w:r w:rsidRPr="00742D67">
              <w:rPr>
                <w:rFonts w:ascii="Arial" w:eastAsia="Times New Roman" w:hAnsi="Arial" w:cs="Arial"/>
                <w:sz w:val="18"/>
                <w:szCs w:val="18"/>
                <w:lang w:eastAsia="fr-FR"/>
              </w:rPr>
              <w:t xml:space="preserve">Suivi et entretien </w:t>
            </w:r>
            <w:r w:rsidR="002212D7" w:rsidRPr="00742D67">
              <w:rPr>
                <w:rFonts w:ascii="Arial" w:eastAsia="Times New Roman" w:hAnsi="Arial" w:cs="Arial"/>
                <w:sz w:val="18"/>
                <w:szCs w:val="18"/>
                <w:lang w:eastAsia="fr-FR"/>
              </w:rPr>
              <w:t>périodique de l’</w:t>
            </w:r>
            <w:r w:rsidR="003075BB" w:rsidRPr="00742D67">
              <w:rPr>
                <w:rFonts w:ascii="Arial" w:eastAsia="Times New Roman" w:hAnsi="Arial" w:cs="Arial"/>
                <w:sz w:val="18"/>
                <w:szCs w:val="18"/>
                <w:lang w:eastAsia="fr-FR"/>
              </w:rPr>
              <w:t>infrastructure</w:t>
            </w:r>
          </w:p>
        </w:tc>
        <w:tc>
          <w:tcPr>
            <w:tcW w:w="1531" w:type="dxa"/>
            <w:vMerge/>
            <w:tcBorders>
              <w:left w:val="single" w:sz="4" w:space="0" w:color="auto"/>
            </w:tcBorders>
            <w:shd w:val="clear" w:color="auto" w:fill="00B050"/>
            <w:vAlign w:val="center"/>
          </w:tcPr>
          <w:p w14:paraId="5B9DE988" w14:textId="77777777" w:rsidR="002212D7" w:rsidRDefault="002212D7" w:rsidP="00AC4FA3">
            <w:pPr>
              <w:spacing w:after="0" w:line="240" w:lineRule="auto"/>
              <w:jc w:val="both"/>
              <w:rPr>
                <w:rFonts w:ascii="Arial" w:eastAsia="Times New Roman" w:hAnsi="Arial" w:cs="Arial"/>
                <w:color w:val="000000"/>
                <w:sz w:val="18"/>
                <w:szCs w:val="18"/>
                <w:lang w:eastAsia="fr-FR"/>
              </w:rPr>
            </w:pPr>
          </w:p>
        </w:tc>
      </w:tr>
      <w:tr w:rsidR="003075BB" w14:paraId="2DC565EE" w14:textId="77777777" w:rsidTr="003710EB">
        <w:trPr>
          <w:trHeight w:val="300"/>
        </w:trPr>
        <w:tc>
          <w:tcPr>
            <w:tcW w:w="9700" w:type="dxa"/>
            <w:gridSpan w:val="3"/>
            <w:shd w:val="clear" w:color="auto" w:fill="00B0F0"/>
            <w:vAlign w:val="center"/>
          </w:tcPr>
          <w:p w14:paraId="42F0DFC5" w14:textId="77777777" w:rsidR="003075BB" w:rsidRDefault="003075BB" w:rsidP="00B434A6">
            <w:pPr>
              <w:spacing w:after="0" w:line="240" w:lineRule="auto"/>
              <w:jc w:val="center"/>
            </w:pPr>
            <w:r>
              <w:rPr>
                <w:rFonts w:ascii="Arial" w:eastAsia="Times New Roman" w:hAnsi="Arial" w:cs="Arial"/>
                <w:b/>
                <w:bCs/>
                <w:sz w:val="18"/>
                <w:szCs w:val="18"/>
                <w:lang w:eastAsia="fr-FR"/>
              </w:rPr>
              <w:t>Phase de démantèlement</w:t>
            </w:r>
          </w:p>
        </w:tc>
      </w:tr>
      <w:tr w:rsidR="00DF7822" w14:paraId="619907F2" w14:textId="77777777" w:rsidTr="005D6D41">
        <w:trPr>
          <w:trHeight w:val="732"/>
        </w:trPr>
        <w:tc>
          <w:tcPr>
            <w:tcW w:w="4223" w:type="dxa"/>
            <w:shd w:val="clear" w:color="auto" w:fill="auto"/>
            <w:vAlign w:val="center"/>
          </w:tcPr>
          <w:p w14:paraId="08E41B61" w14:textId="77777777" w:rsidR="00AC4FA3" w:rsidRDefault="00AC4FA3" w:rsidP="00AC4FA3">
            <w:pPr>
              <w:spacing w:after="0" w:line="240" w:lineRule="auto"/>
              <w:jc w:val="both"/>
            </w:pPr>
            <w:r>
              <w:rPr>
                <w:rFonts w:ascii="Arial" w:eastAsia="Times New Roman" w:hAnsi="Arial" w:cs="Arial"/>
                <w:sz w:val="18"/>
                <w:szCs w:val="18"/>
                <w:lang w:eastAsia="fr-FR"/>
              </w:rPr>
              <w:t>Pollution du sol et de l’eau par le déversement accidentel des substances polluantes et de substances dangereuses</w:t>
            </w:r>
          </w:p>
        </w:tc>
        <w:tc>
          <w:tcPr>
            <w:tcW w:w="3946" w:type="dxa"/>
            <w:shd w:val="clear" w:color="auto" w:fill="auto"/>
            <w:vAlign w:val="center"/>
          </w:tcPr>
          <w:p w14:paraId="31FB0964" w14:textId="77777777" w:rsidR="00AC4FA3" w:rsidRDefault="00AC4FA3" w:rsidP="00AC4FA3">
            <w:pPr>
              <w:spacing w:after="0" w:line="240" w:lineRule="auto"/>
              <w:jc w:val="both"/>
            </w:pPr>
            <w:r>
              <w:rPr>
                <w:rFonts w:ascii="Arial" w:eastAsia="Times New Roman" w:hAnsi="Arial" w:cs="Arial"/>
                <w:color w:val="000000"/>
                <w:sz w:val="18"/>
                <w:szCs w:val="18"/>
                <w:lang w:eastAsia="fr-FR"/>
              </w:rPr>
              <w:t>Utilisation de véhicules en bon état. Nettoyage méticuleux avant de quitter les lieux.</w:t>
            </w:r>
          </w:p>
        </w:tc>
        <w:tc>
          <w:tcPr>
            <w:tcW w:w="1531" w:type="dxa"/>
            <w:shd w:val="clear" w:color="auto" w:fill="00B050"/>
            <w:vAlign w:val="center"/>
          </w:tcPr>
          <w:p w14:paraId="06A4212A"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Mineure</w:t>
            </w:r>
          </w:p>
        </w:tc>
      </w:tr>
      <w:tr w:rsidR="00DF7822" w14:paraId="096B9855" w14:textId="77777777" w:rsidTr="005D6D41">
        <w:trPr>
          <w:trHeight w:val="732"/>
        </w:trPr>
        <w:tc>
          <w:tcPr>
            <w:tcW w:w="4223" w:type="dxa"/>
            <w:shd w:val="clear" w:color="auto" w:fill="auto"/>
            <w:vAlign w:val="center"/>
          </w:tcPr>
          <w:p w14:paraId="46D2B7E3" w14:textId="77777777" w:rsidR="00AC4FA3" w:rsidRDefault="00AC4FA3" w:rsidP="00AC4FA3">
            <w:pPr>
              <w:spacing w:after="0" w:line="240" w:lineRule="auto"/>
              <w:jc w:val="both"/>
            </w:pPr>
            <w:r>
              <w:rPr>
                <w:rFonts w:ascii="Arial" w:eastAsia="Times New Roman" w:hAnsi="Arial" w:cs="Arial"/>
                <w:sz w:val="18"/>
                <w:szCs w:val="18"/>
                <w:lang w:eastAsia="fr-FR"/>
              </w:rPr>
              <w:t>Pollution du sol par l'abandon et l’accumulation des déchets solides incluant les déchets d’équipement électrique et électronique (DEEE)</w:t>
            </w:r>
          </w:p>
        </w:tc>
        <w:tc>
          <w:tcPr>
            <w:tcW w:w="3946" w:type="dxa"/>
            <w:shd w:val="clear" w:color="auto" w:fill="auto"/>
            <w:vAlign w:val="center"/>
          </w:tcPr>
          <w:p w14:paraId="1CE56BAA" w14:textId="77777777" w:rsidR="00AC4FA3" w:rsidRDefault="00AC4FA3" w:rsidP="00AC4FA3">
            <w:pPr>
              <w:spacing w:after="0" w:line="240" w:lineRule="auto"/>
              <w:jc w:val="both"/>
            </w:pPr>
            <w:r>
              <w:rPr>
                <w:rFonts w:ascii="Arial" w:eastAsia="Times New Roman" w:hAnsi="Arial" w:cs="Arial"/>
                <w:color w:val="000000"/>
                <w:sz w:val="18"/>
                <w:szCs w:val="18"/>
                <w:lang w:eastAsia="fr-FR"/>
              </w:rPr>
              <w:t>Collecte et envoi des déchets dans un centre spécialisé dans le traitement des déchets</w:t>
            </w:r>
          </w:p>
        </w:tc>
        <w:tc>
          <w:tcPr>
            <w:tcW w:w="1531" w:type="dxa"/>
            <w:shd w:val="clear" w:color="auto" w:fill="00B050"/>
            <w:vAlign w:val="center"/>
          </w:tcPr>
          <w:p w14:paraId="28601753"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Mineure</w:t>
            </w:r>
          </w:p>
        </w:tc>
      </w:tr>
      <w:tr w:rsidR="00DF7822" w14:paraId="2F2A06C8" w14:textId="77777777" w:rsidTr="005D6D41">
        <w:trPr>
          <w:trHeight w:val="300"/>
        </w:trPr>
        <w:tc>
          <w:tcPr>
            <w:tcW w:w="4223" w:type="dxa"/>
            <w:shd w:val="clear" w:color="auto" w:fill="auto"/>
            <w:vAlign w:val="center"/>
          </w:tcPr>
          <w:p w14:paraId="7FBFABCC" w14:textId="77777777" w:rsidR="00AC4FA3" w:rsidRDefault="00AC4FA3" w:rsidP="00AC4FA3">
            <w:pPr>
              <w:spacing w:after="0" w:line="240" w:lineRule="auto"/>
              <w:jc w:val="both"/>
            </w:pPr>
            <w:r>
              <w:rPr>
                <w:rFonts w:ascii="Arial" w:eastAsia="Times New Roman" w:hAnsi="Arial" w:cs="Arial"/>
                <w:sz w:val="18"/>
                <w:szCs w:val="18"/>
                <w:lang w:eastAsia="fr-FR"/>
              </w:rPr>
              <w:t>Perte d'emploi</w:t>
            </w:r>
          </w:p>
        </w:tc>
        <w:tc>
          <w:tcPr>
            <w:tcW w:w="3946" w:type="dxa"/>
            <w:shd w:val="clear" w:color="auto" w:fill="auto"/>
            <w:vAlign w:val="center"/>
          </w:tcPr>
          <w:p w14:paraId="772EB6C7" w14:textId="77777777" w:rsidR="00AC4FA3" w:rsidRDefault="00AC4FA3" w:rsidP="00AC4FA3">
            <w:pPr>
              <w:spacing w:after="0" w:line="240" w:lineRule="auto"/>
              <w:jc w:val="both"/>
            </w:pPr>
            <w:r>
              <w:rPr>
                <w:rFonts w:ascii="Arial" w:eastAsia="Times New Roman" w:hAnsi="Arial" w:cs="Arial"/>
                <w:color w:val="000000"/>
                <w:sz w:val="18"/>
                <w:szCs w:val="18"/>
                <w:lang w:eastAsia="fr-FR"/>
              </w:rPr>
              <w:t>Respect et application des textes sur l'emploi en vigueur dans le pays</w:t>
            </w:r>
          </w:p>
        </w:tc>
        <w:tc>
          <w:tcPr>
            <w:tcW w:w="1531" w:type="dxa"/>
            <w:shd w:val="clear" w:color="auto" w:fill="00B050"/>
            <w:vAlign w:val="center"/>
          </w:tcPr>
          <w:p w14:paraId="5626F24B"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Mineure</w:t>
            </w:r>
          </w:p>
        </w:tc>
      </w:tr>
      <w:tr w:rsidR="00DF7822" w14:paraId="3D91DB93" w14:textId="77777777" w:rsidTr="005D6D41">
        <w:trPr>
          <w:trHeight w:val="300"/>
        </w:trPr>
        <w:tc>
          <w:tcPr>
            <w:tcW w:w="4223" w:type="dxa"/>
            <w:shd w:val="clear" w:color="auto" w:fill="auto"/>
            <w:vAlign w:val="center"/>
          </w:tcPr>
          <w:p w14:paraId="7A52F0D5" w14:textId="77777777" w:rsidR="00AC4FA3" w:rsidRDefault="00AC4FA3" w:rsidP="00AC4FA3">
            <w:pPr>
              <w:spacing w:after="0" w:line="240" w:lineRule="auto"/>
              <w:jc w:val="both"/>
            </w:pPr>
            <w:r>
              <w:rPr>
                <w:rFonts w:ascii="Arial" w:eastAsia="Times New Roman" w:hAnsi="Arial" w:cs="Arial"/>
                <w:sz w:val="18"/>
                <w:szCs w:val="18"/>
                <w:lang w:eastAsia="fr-FR"/>
              </w:rPr>
              <w:t>Perturbation de la circulation</w:t>
            </w:r>
          </w:p>
        </w:tc>
        <w:tc>
          <w:tcPr>
            <w:tcW w:w="3946" w:type="dxa"/>
            <w:shd w:val="clear" w:color="auto" w:fill="auto"/>
            <w:vAlign w:val="center"/>
          </w:tcPr>
          <w:p w14:paraId="5AEE14D6" w14:textId="77777777" w:rsidR="00AC4FA3" w:rsidRDefault="00AC4FA3" w:rsidP="00AC4FA3">
            <w:pPr>
              <w:spacing w:after="0" w:line="240" w:lineRule="auto"/>
              <w:jc w:val="both"/>
            </w:pPr>
            <w:r>
              <w:rPr>
                <w:rFonts w:ascii="Arial" w:eastAsia="Times New Roman" w:hAnsi="Arial" w:cs="Arial"/>
                <w:color w:val="000000"/>
                <w:sz w:val="18"/>
                <w:szCs w:val="18"/>
                <w:lang w:eastAsia="fr-FR"/>
              </w:rPr>
              <w:t>Respect du code de la route. </w:t>
            </w:r>
          </w:p>
        </w:tc>
        <w:tc>
          <w:tcPr>
            <w:tcW w:w="1531" w:type="dxa"/>
            <w:shd w:val="clear" w:color="auto" w:fill="00B050"/>
            <w:vAlign w:val="center"/>
          </w:tcPr>
          <w:p w14:paraId="7AA24083"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Mineure</w:t>
            </w:r>
          </w:p>
        </w:tc>
      </w:tr>
    </w:tbl>
    <w:p w14:paraId="1FA16527" w14:textId="77777777" w:rsidR="00AC4FA3" w:rsidRDefault="00AC4FA3" w:rsidP="00AC4FA3">
      <w:pPr>
        <w:spacing w:line="240" w:lineRule="auto"/>
        <w:jc w:val="both"/>
        <w:rPr>
          <w:rFonts w:ascii="Arial" w:hAnsi="Arial" w:cs="Arial"/>
        </w:rPr>
      </w:pPr>
    </w:p>
    <w:p w14:paraId="0DB25F57" w14:textId="77777777" w:rsidR="00D82A47" w:rsidRDefault="00D82A47" w:rsidP="0044500E">
      <w:pPr>
        <w:pStyle w:val="Paragraphedeliste"/>
        <w:numPr>
          <w:ilvl w:val="0"/>
          <w:numId w:val="175"/>
        </w:numPr>
        <w:suppressAutoHyphens/>
        <w:spacing w:before="240" w:after="120" w:line="240" w:lineRule="auto"/>
        <w:ind w:left="714" w:hanging="357"/>
        <w:jc w:val="both"/>
        <w:rPr>
          <w:rFonts w:ascii="Arial" w:hAnsi="Arial" w:cs="Arial"/>
          <w:b/>
        </w:rPr>
        <w:sectPr w:rsidR="00D82A47" w:rsidSect="00E5387E">
          <w:pgSz w:w="11906" w:h="16838"/>
          <w:pgMar w:top="1417" w:right="1417" w:bottom="1417" w:left="1417" w:header="708" w:footer="708" w:gutter="0"/>
          <w:pgNumType w:fmt="lowerRoman"/>
          <w:cols w:space="708"/>
          <w:docGrid w:linePitch="360"/>
        </w:sectPr>
      </w:pPr>
    </w:p>
    <w:p w14:paraId="0F003BBD" w14:textId="77777777" w:rsidR="00AC4FA3" w:rsidRDefault="00AC4FA3" w:rsidP="0044500E">
      <w:pPr>
        <w:pStyle w:val="Paragraphedeliste"/>
        <w:numPr>
          <w:ilvl w:val="0"/>
          <w:numId w:val="175"/>
        </w:numPr>
        <w:suppressAutoHyphens/>
        <w:spacing w:before="240" w:after="120" w:line="240" w:lineRule="auto"/>
        <w:ind w:left="714" w:hanging="357"/>
        <w:jc w:val="both"/>
      </w:pPr>
      <w:r>
        <w:rPr>
          <w:rFonts w:ascii="Arial" w:hAnsi="Arial" w:cs="Arial"/>
          <w:b/>
        </w:rPr>
        <w:lastRenderedPageBreak/>
        <w:t>PROGRAMME DE SURVEILLANCE</w:t>
      </w:r>
    </w:p>
    <w:p w14:paraId="17007ECE" w14:textId="77777777" w:rsidR="00AC4FA3" w:rsidRDefault="00AC4FA3" w:rsidP="00B434A6">
      <w:pPr>
        <w:spacing w:after="0" w:line="240" w:lineRule="auto"/>
        <w:jc w:val="both"/>
        <w:rPr>
          <w:rFonts w:ascii="Arial" w:hAnsi="Arial" w:cs="Arial"/>
        </w:rPr>
      </w:pPr>
    </w:p>
    <w:tbl>
      <w:tblPr>
        <w:tblW w:w="0" w:type="auto"/>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38"/>
        <w:gridCol w:w="4029"/>
        <w:gridCol w:w="1952"/>
        <w:gridCol w:w="1264"/>
        <w:gridCol w:w="1516"/>
        <w:gridCol w:w="1483"/>
        <w:gridCol w:w="1587"/>
      </w:tblGrid>
      <w:tr w:rsidR="00481CF0" w14:paraId="736E0D1D" w14:textId="77777777" w:rsidTr="0A1598FD">
        <w:trPr>
          <w:trHeight w:val="492"/>
          <w:tblHeader/>
        </w:trPr>
        <w:tc>
          <w:tcPr>
            <w:tcW w:w="0" w:type="auto"/>
            <w:shd w:val="clear" w:color="auto" w:fill="BDD7EE"/>
            <w:vAlign w:val="center"/>
          </w:tcPr>
          <w:p w14:paraId="090D60B5" w14:textId="77777777" w:rsidR="00AC4FA3" w:rsidRDefault="00AC4FA3" w:rsidP="00AC4FA3">
            <w:pPr>
              <w:spacing w:after="0" w:line="240" w:lineRule="auto"/>
              <w:jc w:val="both"/>
            </w:pPr>
            <w:r>
              <w:rPr>
                <w:rFonts w:ascii="Arial" w:eastAsia="Times New Roman" w:hAnsi="Arial" w:cs="Arial"/>
                <w:b/>
                <w:bCs/>
                <w:sz w:val="18"/>
                <w:szCs w:val="18"/>
                <w:lang w:eastAsia="fr-FR"/>
              </w:rPr>
              <w:t xml:space="preserve">Impact potentiel </w:t>
            </w:r>
          </w:p>
        </w:tc>
        <w:tc>
          <w:tcPr>
            <w:tcW w:w="0" w:type="auto"/>
            <w:shd w:val="clear" w:color="auto" w:fill="BDD7EE"/>
            <w:vAlign w:val="center"/>
          </w:tcPr>
          <w:p w14:paraId="6143B840" w14:textId="77777777" w:rsidR="00AC4FA3" w:rsidRDefault="00AC4FA3" w:rsidP="00AC4FA3">
            <w:pPr>
              <w:spacing w:after="0" w:line="240" w:lineRule="auto"/>
              <w:jc w:val="both"/>
            </w:pPr>
            <w:r>
              <w:rPr>
                <w:rFonts w:ascii="Arial" w:eastAsia="Times New Roman" w:hAnsi="Arial" w:cs="Arial"/>
                <w:b/>
                <w:bCs/>
                <w:color w:val="000000"/>
                <w:sz w:val="18"/>
                <w:szCs w:val="18"/>
                <w:lang w:eastAsia="fr-FR"/>
              </w:rPr>
              <w:t>Mesure d'évitement ou d'atténuation</w:t>
            </w:r>
          </w:p>
        </w:tc>
        <w:tc>
          <w:tcPr>
            <w:tcW w:w="0" w:type="auto"/>
            <w:shd w:val="clear" w:color="auto" w:fill="BDD7EE"/>
            <w:vAlign w:val="center"/>
          </w:tcPr>
          <w:p w14:paraId="7E004770" w14:textId="77777777" w:rsidR="00AC4FA3" w:rsidRDefault="00AC4FA3" w:rsidP="00AC4FA3">
            <w:pPr>
              <w:spacing w:after="0" w:line="240" w:lineRule="auto"/>
              <w:jc w:val="both"/>
            </w:pPr>
            <w:r>
              <w:rPr>
                <w:rFonts w:ascii="Arial" w:eastAsia="Times New Roman" w:hAnsi="Arial" w:cs="Arial"/>
                <w:b/>
                <w:bCs/>
                <w:color w:val="000000"/>
                <w:sz w:val="18"/>
                <w:szCs w:val="18"/>
                <w:lang w:eastAsia="fr-FR"/>
              </w:rPr>
              <w:t>Indicateurs de surveillance</w:t>
            </w:r>
          </w:p>
        </w:tc>
        <w:tc>
          <w:tcPr>
            <w:tcW w:w="0" w:type="auto"/>
            <w:shd w:val="clear" w:color="auto" w:fill="BDD7EE"/>
            <w:vAlign w:val="center"/>
          </w:tcPr>
          <w:p w14:paraId="6BC18BDF" w14:textId="77777777" w:rsidR="00AC4FA3" w:rsidRDefault="00AC4FA3" w:rsidP="00AC4FA3">
            <w:pPr>
              <w:spacing w:after="0" w:line="240" w:lineRule="auto"/>
              <w:jc w:val="both"/>
            </w:pPr>
            <w:r>
              <w:rPr>
                <w:rFonts w:ascii="Arial" w:eastAsia="Times New Roman" w:hAnsi="Arial" w:cs="Arial"/>
                <w:b/>
                <w:bCs/>
                <w:color w:val="000000"/>
                <w:sz w:val="18"/>
                <w:szCs w:val="18"/>
                <w:lang w:eastAsia="fr-FR"/>
              </w:rPr>
              <w:t>Moyen de surveillance</w:t>
            </w:r>
          </w:p>
        </w:tc>
        <w:tc>
          <w:tcPr>
            <w:tcW w:w="0" w:type="auto"/>
            <w:shd w:val="clear" w:color="auto" w:fill="BDD7EE"/>
            <w:vAlign w:val="center"/>
          </w:tcPr>
          <w:p w14:paraId="7B1FD156" w14:textId="77777777" w:rsidR="00AC4FA3" w:rsidRDefault="00AC4FA3" w:rsidP="00AC4FA3">
            <w:pPr>
              <w:spacing w:after="0" w:line="240" w:lineRule="auto"/>
              <w:jc w:val="both"/>
            </w:pPr>
            <w:r>
              <w:rPr>
                <w:rFonts w:ascii="Arial" w:eastAsia="Times New Roman" w:hAnsi="Arial" w:cs="Arial"/>
                <w:b/>
                <w:bCs/>
                <w:color w:val="000000"/>
                <w:sz w:val="18"/>
                <w:szCs w:val="18"/>
                <w:lang w:eastAsia="fr-FR"/>
              </w:rPr>
              <w:t>Calendrier</w:t>
            </w:r>
          </w:p>
        </w:tc>
        <w:tc>
          <w:tcPr>
            <w:tcW w:w="0" w:type="auto"/>
            <w:shd w:val="clear" w:color="auto" w:fill="BDD7EE"/>
            <w:vAlign w:val="center"/>
          </w:tcPr>
          <w:p w14:paraId="0EAEBCAB" w14:textId="77777777" w:rsidR="00AC4FA3" w:rsidRDefault="00AC4FA3" w:rsidP="00AC4FA3">
            <w:pPr>
              <w:spacing w:after="0" w:line="240" w:lineRule="auto"/>
              <w:jc w:val="both"/>
            </w:pPr>
            <w:r>
              <w:rPr>
                <w:rFonts w:ascii="Arial" w:eastAsia="Times New Roman" w:hAnsi="Arial" w:cs="Arial"/>
                <w:b/>
                <w:bCs/>
                <w:color w:val="000000"/>
                <w:sz w:val="18"/>
                <w:szCs w:val="18"/>
                <w:lang w:eastAsia="fr-FR"/>
              </w:rPr>
              <w:t>Responsables</w:t>
            </w:r>
          </w:p>
        </w:tc>
        <w:tc>
          <w:tcPr>
            <w:tcW w:w="0" w:type="auto"/>
            <w:shd w:val="clear" w:color="auto" w:fill="BDD7EE"/>
            <w:vAlign w:val="center"/>
          </w:tcPr>
          <w:p w14:paraId="6088994D" w14:textId="77777777" w:rsidR="00AC4FA3" w:rsidRDefault="00AC4FA3" w:rsidP="00AC4FA3">
            <w:pPr>
              <w:spacing w:after="0" w:line="240" w:lineRule="auto"/>
              <w:jc w:val="both"/>
            </w:pPr>
            <w:r>
              <w:rPr>
                <w:rFonts w:ascii="Arial" w:eastAsia="Times New Roman" w:hAnsi="Arial" w:cs="Arial"/>
                <w:b/>
                <w:bCs/>
                <w:color w:val="000000"/>
                <w:sz w:val="18"/>
                <w:szCs w:val="18"/>
                <w:lang w:eastAsia="fr-FR"/>
              </w:rPr>
              <w:t>Contrôle</w:t>
            </w:r>
          </w:p>
        </w:tc>
      </w:tr>
      <w:tr w:rsidR="004F6F03" w14:paraId="179890A2" w14:textId="77777777" w:rsidTr="0A1598FD">
        <w:trPr>
          <w:trHeight w:val="300"/>
        </w:trPr>
        <w:tc>
          <w:tcPr>
            <w:tcW w:w="0" w:type="auto"/>
            <w:gridSpan w:val="7"/>
            <w:shd w:val="clear" w:color="auto" w:fill="00B0F0"/>
            <w:vAlign w:val="center"/>
          </w:tcPr>
          <w:p w14:paraId="5FFA122F" w14:textId="77777777" w:rsidR="004F6F03" w:rsidRDefault="004F6F03" w:rsidP="00B434A6">
            <w:pPr>
              <w:spacing w:after="0" w:line="240" w:lineRule="auto"/>
              <w:jc w:val="center"/>
            </w:pPr>
            <w:r>
              <w:rPr>
                <w:rFonts w:ascii="Arial" w:eastAsia="Times New Roman" w:hAnsi="Arial" w:cs="Arial"/>
                <w:b/>
                <w:bCs/>
                <w:sz w:val="18"/>
                <w:szCs w:val="18"/>
                <w:lang w:eastAsia="fr-FR"/>
              </w:rPr>
              <w:t>Phase Préparatoire et Construction</w:t>
            </w:r>
          </w:p>
        </w:tc>
      </w:tr>
      <w:tr w:rsidR="00481CF0" w14:paraId="1B23E69D" w14:textId="77777777" w:rsidTr="0A1598FD">
        <w:trPr>
          <w:trHeight w:val="732"/>
        </w:trPr>
        <w:tc>
          <w:tcPr>
            <w:tcW w:w="0" w:type="auto"/>
            <w:shd w:val="clear" w:color="auto" w:fill="auto"/>
            <w:vAlign w:val="center"/>
          </w:tcPr>
          <w:p w14:paraId="52F15E7B" w14:textId="77777777" w:rsidR="00AC4FA3" w:rsidRDefault="00AC4FA3" w:rsidP="00AC4FA3">
            <w:pPr>
              <w:spacing w:after="0" w:line="240" w:lineRule="auto"/>
              <w:jc w:val="both"/>
            </w:pPr>
            <w:r>
              <w:rPr>
                <w:rFonts w:ascii="Arial" w:eastAsia="Times New Roman" w:hAnsi="Arial" w:cs="Arial"/>
                <w:sz w:val="18"/>
                <w:szCs w:val="18"/>
                <w:lang w:eastAsia="fr-FR"/>
              </w:rPr>
              <w:t xml:space="preserve">Altération de la qualité de l’air par le soulèvement de poussières dû aux passages des véhicules de chantier et émanations </w:t>
            </w:r>
            <w:r w:rsidR="00481CF0">
              <w:rPr>
                <w:rFonts w:ascii="Arial" w:eastAsia="Times New Roman" w:hAnsi="Arial" w:cs="Arial"/>
                <w:sz w:val="18"/>
                <w:szCs w:val="18"/>
                <w:lang w:eastAsia="fr-FR"/>
              </w:rPr>
              <w:t>des gaz à effet de serre (</w:t>
            </w:r>
            <w:r>
              <w:rPr>
                <w:rFonts w:ascii="Arial" w:eastAsia="Times New Roman" w:hAnsi="Arial" w:cs="Arial"/>
                <w:sz w:val="18"/>
                <w:szCs w:val="18"/>
                <w:lang w:eastAsia="fr-FR"/>
              </w:rPr>
              <w:t>GES</w:t>
            </w:r>
            <w:r w:rsidR="00481CF0">
              <w:rPr>
                <w:rFonts w:ascii="Arial" w:eastAsia="Times New Roman" w:hAnsi="Arial" w:cs="Arial"/>
                <w:sz w:val="18"/>
                <w:szCs w:val="18"/>
                <w:lang w:eastAsia="fr-FR"/>
              </w:rPr>
              <w:t>) et</w:t>
            </w:r>
            <w:r>
              <w:rPr>
                <w:rFonts w:ascii="Arial" w:eastAsia="Times New Roman" w:hAnsi="Arial" w:cs="Arial"/>
                <w:sz w:val="18"/>
                <w:szCs w:val="18"/>
                <w:lang w:eastAsia="fr-FR"/>
              </w:rPr>
              <w:t xml:space="preserve"> des véhicules de chantier</w:t>
            </w:r>
          </w:p>
        </w:tc>
        <w:tc>
          <w:tcPr>
            <w:tcW w:w="0" w:type="auto"/>
            <w:shd w:val="clear" w:color="auto" w:fill="auto"/>
            <w:vAlign w:val="center"/>
          </w:tcPr>
          <w:p w14:paraId="10C28767" w14:textId="77777777" w:rsidR="00AC4FA3" w:rsidRDefault="00AC4FA3" w:rsidP="00AC4FA3">
            <w:pPr>
              <w:spacing w:after="0" w:line="240" w:lineRule="auto"/>
              <w:jc w:val="both"/>
            </w:pPr>
            <w:r>
              <w:rPr>
                <w:rFonts w:ascii="Arial" w:eastAsia="Times New Roman" w:hAnsi="Arial" w:cs="Arial"/>
                <w:color w:val="000000"/>
                <w:sz w:val="18"/>
                <w:szCs w:val="18"/>
                <w:lang w:eastAsia="fr-FR"/>
              </w:rPr>
              <w:t>Humidification des sites. Utilisation de véhicule en bon état. Entretien régulier des véhicules</w:t>
            </w:r>
          </w:p>
        </w:tc>
        <w:tc>
          <w:tcPr>
            <w:tcW w:w="0" w:type="auto"/>
            <w:shd w:val="clear" w:color="auto" w:fill="auto"/>
            <w:vAlign w:val="center"/>
          </w:tcPr>
          <w:p w14:paraId="11D1316B" w14:textId="77777777" w:rsidR="00AC4FA3" w:rsidRDefault="00AC4FA3" w:rsidP="00AC4FA3">
            <w:pPr>
              <w:spacing w:after="0" w:line="240" w:lineRule="auto"/>
              <w:jc w:val="both"/>
            </w:pPr>
            <w:r>
              <w:rPr>
                <w:rFonts w:ascii="Arial" w:eastAsia="Times New Roman" w:hAnsi="Arial" w:cs="Arial"/>
                <w:color w:val="000000"/>
                <w:sz w:val="18"/>
                <w:szCs w:val="18"/>
                <w:lang w:eastAsia="fr-FR"/>
              </w:rPr>
              <w:t>Humidification réalisée</w:t>
            </w:r>
          </w:p>
        </w:tc>
        <w:tc>
          <w:tcPr>
            <w:tcW w:w="0" w:type="auto"/>
            <w:shd w:val="clear" w:color="auto" w:fill="auto"/>
            <w:vAlign w:val="center"/>
          </w:tcPr>
          <w:p w14:paraId="216195CA" w14:textId="77777777" w:rsidR="00AC4FA3" w:rsidRDefault="00AC4FA3" w:rsidP="00AC4FA3">
            <w:pPr>
              <w:spacing w:after="0" w:line="240" w:lineRule="auto"/>
              <w:jc w:val="both"/>
            </w:pPr>
            <w:r>
              <w:rPr>
                <w:rFonts w:ascii="Arial" w:eastAsia="Times New Roman" w:hAnsi="Arial" w:cs="Arial"/>
                <w:color w:val="000000"/>
                <w:sz w:val="18"/>
                <w:szCs w:val="18"/>
                <w:lang w:eastAsia="fr-FR"/>
              </w:rPr>
              <w:t>Observation</w:t>
            </w:r>
          </w:p>
        </w:tc>
        <w:tc>
          <w:tcPr>
            <w:tcW w:w="0" w:type="auto"/>
            <w:shd w:val="clear" w:color="auto" w:fill="auto"/>
            <w:vAlign w:val="center"/>
          </w:tcPr>
          <w:p w14:paraId="37BC1789" w14:textId="77777777" w:rsidR="00AC4FA3" w:rsidRDefault="00AC4FA3" w:rsidP="00AC4FA3">
            <w:pPr>
              <w:spacing w:after="0" w:line="240" w:lineRule="auto"/>
              <w:jc w:val="both"/>
            </w:pPr>
            <w:r>
              <w:rPr>
                <w:rFonts w:ascii="Arial" w:eastAsia="Times New Roman" w:hAnsi="Arial" w:cs="Arial"/>
                <w:color w:val="000000"/>
                <w:sz w:val="18"/>
                <w:szCs w:val="18"/>
                <w:lang w:eastAsia="fr-FR"/>
              </w:rPr>
              <w:t>Hebdomadaire</w:t>
            </w:r>
          </w:p>
        </w:tc>
        <w:tc>
          <w:tcPr>
            <w:tcW w:w="0" w:type="auto"/>
            <w:shd w:val="clear" w:color="auto" w:fill="auto"/>
            <w:vAlign w:val="center"/>
          </w:tcPr>
          <w:p w14:paraId="45DFC29A" w14:textId="77777777" w:rsidR="00AC4FA3" w:rsidRDefault="00AC4FA3" w:rsidP="00AC4FA3">
            <w:pPr>
              <w:spacing w:after="0" w:line="240" w:lineRule="auto"/>
              <w:jc w:val="both"/>
            </w:pPr>
            <w:r>
              <w:rPr>
                <w:rFonts w:ascii="Arial" w:eastAsia="Times New Roman" w:hAnsi="Arial" w:cs="Arial"/>
                <w:color w:val="000000"/>
                <w:sz w:val="18"/>
                <w:szCs w:val="18"/>
                <w:lang w:eastAsia="fr-FR"/>
              </w:rPr>
              <w:t>Entreprise</w:t>
            </w:r>
          </w:p>
        </w:tc>
        <w:tc>
          <w:tcPr>
            <w:tcW w:w="0" w:type="auto"/>
            <w:shd w:val="clear" w:color="auto" w:fill="auto"/>
            <w:vAlign w:val="center"/>
          </w:tcPr>
          <w:p w14:paraId="34397400" w14:textId="77777777" w:rsidR="00AC4FA3" w:rsidRDefault="00AC4FA3" w:rsidP="00AC4FA3">
            <w:pPr>
              <w:spacing w:after="0" w:line="240" w:lineRule="auto"/>
              <w:jc w:val="both"/>
            </w:pPr>
            <w:r>
              <w:rPr>
                <w:rFonts w:ascii="Arial" w:eastAsia="Times New Roman" w:hAnsi="Arial" w:cs="Arial"/>
                <w:color w:val="000000"/>
                <w:sz w:val="18"/>
                <w:szCs w:val="18"/>
                <w:lang w:eastAsia="fr-FR"/>
              </w:rPr>
              <w:t>MdC</w:t>
            </w:r>
          </w:p>
        </w:tc>
      </w:tr>
      <w:tr w:rsidR="00481CF0" w14:paraId="261B8B50" w14:textId="77777777" w:rsidTr="0A1598FD">
        <w:trPr>
          <w:trHeight w:val="300"/>
        </w:trPr>
        <w:tc>
          <w:tcPr>
            <w:tcW w:w="0" w:type="auto"/>
            <w:shd w:val="clear" w:color="auto" w:fill="auto"/>
            <w:vAlign w:val="center"/>
          </w:tcPr>
          <w:p w14:paraId="4B52DADE" w14:textId="77777777" w:rsidR="00AC4FA3" w:rsidRDefault="00AC4FA3" w:rsidP="00AC4FA3">
            <w:pPr>
              <w:spacing w:after="0" w:line="240" w:lineRule="auto"/>
              <w:jc w:val="both"/>
            </w:pPr>
            <w:r>
              <w:rPr>
                <w:rFonts w:ascii="Arial" w:eastAsia="Times New Roman" w:hAnsi="Arial" w:cs="Arial"/>
                <w:sz w:val="18"/>
                <w:szCs w:val="18"/>
                <w:lang w:eastAsia="fr-FR"/>
              </w:rPr>
              <w:t>Risque d’érosion du sol</w:t>
            </w:r>
          </w:p>
        </w:tc>
        <w:tc>
          <w:tcPr>
            <w:tcW w:w="0" w:type="auto"/>
            <w:shd w:val="clear" w:color="auto" w:fill="auto"/>
            <w:vAlign w:val="center"/>
          </w:tcPr>
          <w:p w14:paraId="44A35B94" w14:textId="77777777" w:rsidR="00AC4FA3" w:rsidRDefault="00AC4FA3" w:rsidP="00AC4FA3">
            <w:pPr>
              <w:spacing w:after="0" w:line="240" w:lineRule="auto"/>
              <w:jc w:val="both"/>
            </w:pPr>
            <w:r>
              <w:rPr>
                <w:rFonts w:ascii="Arial" w:eastAsia="Times New Roman" w:hAnsi="Arial" w:cs="Arial"/>
                <w:color w:val="000000"/>
                <w:sz w:val="18"/>
                <w:szCs w:val="18"/>
                <w:lang w:eastAsia="fr-FR"/>
              </w:rPr>
              <w:t>Réaliser les travaux pendant la saison sèche </w:t>
            </w:r>
          </w:p>
        </w:tc>
        <w:tc>
          <w:tcPr>
            <w:tcW w:w="0" w:type="auto"/>
            <w:shd w:val="clear" w:color="auto" w:fill="auto"/>
            <w:vAlign w:val="center"/>
          </w:tcPr>
          <w:p w14:paraId="49FD09F1" w14:textId="77777777" w:rsidR="00AC4FA3" w:rsidRDefault="00AC4FA3" w:rsidP="00AC4FA3">
            <w:pPr>
              <w:spacing w:after="0" w:line="240" w:lineRule="auto"/>
              <w:jc w:val="both"/>
            </w:pPr>
            <w:r>
              <w:rPr>
                <w:rFonts w:ascii="Arial" w:eastAsia="Times New Roman" w:hAnsi="Arial" w:cs="Arial"/>
                <w:color w:val="000000"/>
                <w:sz w:val="18"/>
                <w:szCs w:val="18"/>
                <w:lang w:eastAsia="fr-FR"/>
              </w:rPr>
              <w:t>Calendrier d'exécution</w:t>
            </w:r>
          </w:p>
        </w:tc>
        <w:tc>
          <w:tcPr>
            <w:tcW w:w="0" w:type="auto"/>
            <w:shd w:val="clear" w:color="auto" w:fill="auto"/>
            <w:vAlign w:val="center"/>
          </w:tcPr>
          <w:p w14:paraId="0B733FD7" w14:textId="77777777" w:rsidR="00AC4FA3" w:rsidRDefault="00AC4FA3" w:rsidP="00AC4FA3">
            <w:pPr>
              <w:spacing w:after="0" w:line="240" w:lineRule="auto"/>
              <w:jc w:val="both"/>
            </w:pPr>
            <w:r>
              <w:rPr>
                <w:rFonts w:ascii="Arial" w:eastAsia="Times New Roman" w:hAnsi="Arial" w:cs="Arial"/>
                <w:color w:val="000000"/>
                <w:sz w:val="18"/>
                <w:szCs w:val="18"/>
                <w:lang w:eastAsia="fr-FR"/>
              </w:rPr>
              <w:t>Observation</w:t>
            </w:r>
          </w:p>
        </w:tc>
        <w:tc>
          <w:tcPr>
            <w:tcW w:w="0" w:type="auto"/>
            <w:shd w:val="clear" w:color="auto" w:fill="auto"/>
            <w:vAlign w:val="center"/>
          </w:tcPr>
          <w:p w14:paraId="5F64D40D" w14:textId="77777777" w:rsidR="00AC4FA3" w:rsidRDefault="00AC4FA3" w:rsidP="00AC4FA3">
            <w:pPr>
              <w:spacing w:after="0" w:line="240" w:lineRule="auto"/>
              <w:jc w:val="both"/>
            </w:pPr>
            <w:r>
              <w:rPr>
                <w:rFonts w:ascii="Arial" w:eastAsia="Times New Roman" w:hAnsi="Arial" w:cs="Arial"/>
                <w:color w:val="000000"/>
                <w:sz w:val="18"/>
                <w:szCs w:val="18"/>
                <w:lang w:eastAsia="fr-FR"/>
              </w:rPr>
              <w:t> Trimestriel</w:t>
            </w:r>
          </w:p>
        </w:tc>
        <w:tc>
          <w:tcPr>
            <w:tcW w:w="0" w:type="auto"/>
            <w:shd w:val="clear" w:color="auto" w:fill="auto"/>
            <w:vAlign w:val="center"/>
          </w:tcPr>
          <w:p w14:paraId="3A27D25C" w14:textId="77777777" w:rsidR="00AC4FA3" w:rsidRDefault="00AC4FA3" w:rsidP="00AC4FA3">
            <w:pPr>
              <w:spacing w:after="0" w:line="240" w:lineRule="auto"/>
              <w:jc w:val="both"/>
            </w:pPr>
            <w:r>
              <w:rPr>
                <w:rFonts w:ascii="Arial" w:eastAsia="Times New Roman" w:hAnsi="Arial" w:cs="Arial"/>
                <w:color w:val="000000"/>
                <w:sz w:val="18"/>
                <w:szCs w:val="18"/>
                <w:lang w:eastAsia="fr-FR"/>
              </w:rPr>
              <w:t>Entreprise</w:t>
            </w:r>
          </w:p>
        </w:tc>
        <w:tc>
          <w:tcPr>
            <w:tcW w:w="0" w:type="auto"/>
            <w:shd w:val="clear" w:color="auto" w:fill="auto"/>
            <w:vAlign w:val="center"/>
          </w:tcPr>
          <w:p w14:paraId="24BDF2E2" w14:textId="77777777" w:rsidR="00AC4FA3" w:rsidRDefault="00AC4FA3" w:rsidP="00AC4FA3">
            <w:pPr>
              <w:spacing w:after="0" w:line="240" w:lineRule="auto"/>
              <w:jc w:val="both"/>
            </w:pPr>
            <w:r>
              <w:rPr>
                <w:rFonts w:ascii="Arial" w:eastAsia="Times New Roman" w:hAnsi="Arial" w:cs="Arial"/>
                <w:color w:val="000000"/>
                <w:sz w:val="18"/>
                <w:szCs w:val="18"/>
                <w:lang w:eastAsia="fr-FR"/>
              </w:rPr>
              <w:t>MdC</w:t>
            </w:r>
          </w:p>
        </w:tc>
      </w:tr>
      <w:tr w:rsidR="00481CF0" w14:paraId="7440DE0B" w14:textId="77777777" w:rsidTr="0A1598FD">
        <w:trPr>
          <w:trHeight w:val="492"/>
        </w:trPr>
        <w:tc>
          <w:tcPr>
            <w:tcW w:w="0" w:type="auto"/>
            <w:shd w:val="clear" w:color="auto" w:fill="auto"/>
            <w:vAlign w:val="center"/>
          </w:tcPr>
          <w:p w14:paraId="09BC5348" w14:textId="77777777" w:rsidR="00AC4FA3" w:rsidRDefault="00AC4FA3" w:rsidP="00AC4FA3">
            <w:pPr>
              <w:spacing w:after="0" w:line="240" w:lineRule="auto"/>
              <w:jc w:val="both"/>
            </w:pPr>
            <w:r>
              <w:rPr>
                <w:rFonts w:ascii="Arial" w:eastAsia="Times New Roman" w:hAnsi="Arial" w:cs="Arial"/>
                <w:sz w:val="18"/>
                <w:szCs w:val="18"/>
                <w:lang w:eastAsia="fr-FR"/>
              </w:rPr>
              <w:t>Pollution des ressources en eau par entraînement de substances polluantes</w:t>
            </w:r>
          </w:p>
        </w:tc>
        <w:tc>
          <w:tcPr>
            <w:tcW w:w="0" w:type="auto"/>
            <w:shd w:val="clear" w:color="auto" w:fill="auto"/>
            <w:vAlign w:val="center"/>
          </w:tcPr>
          <w:p w14:paraId="18D3B51E" w14:textId="77777777" w:rsidR="00AC4FA3" w:rsidRDefault="00AC4FA3" w:rsidP="00AC4FA3">
            <w:pPr>
              <w:spacing w:after="0" w:line="240" w:lineRule="auto"/>
              <w:jc w:val="both"/>
            </w:pPr>
            <w:r>
              <w:rPr>
                <w:rFonts w:ascii="Arial" w:eastAsia="Times New Roman" w:hAnsi="Arial" w:cs="Arial"/>
                <w:color w:val="000000"/>
                <w:sz w:val="18"/>
                <w:szCs w:val="18"/>
                <w:lang w:eastAsia="fr-FR"/>
              </w:rPr>
              <w:t>Mise en place de système de collecte et de tri des déchets. </w:t>
            </w:r>
          </w:p>
        </w:tc>
        <w:tc>
          <w:tcPr>
            <w:tcW w:w="0" w:type="auto"/>
            <w:shd w:val="clear" w:color="auto" w:fill="auto"/>
            <w:vAlign w:val="center"/>
          </w:tcPr>
          <w:p w14:paraId="0CD81013" w14:textId="77777777" w:rsidR="00AC4FA3" w:rsidRDefault="00AC4FA3" w:rsidP="00AC4FA3">
            <w:pPr>
              <w:spacing w:after="0" w:line="240" w:lineRule="auto"/>
              <w:jc w:val="both"/>
            </w:pPr>
            <w:r>
              <w:rPr>
                <w:rFonts w:ascii="Arial" w:eastAsia="Times New Roman" w:hAnsi="Arial" w:cs="Arial"/>
                <w:color w:val="000000"/>
                <w:sz w:val="18"/>
                <w:szCs w:val="18"/>
                <w:lang w:eastAsia="fr-FR"/>
              </w:rPr>
              <w:t>Système de collecte et de tri des déchets mis en place</w:t>
            </w:r>
          </w:p>
        </w:tc>
        <w:tc>
          <w:tcPr>
            <w:tcW w:w="0" w:type="auto"/>
            <w:shd w:val="clear" w:color="auto" w:fill="auto"/>
            <w:vAlign w:val="center"/>
          </w:tcPr>
          <w:p w14:paraId="57ED6A04" w14:textId="77777777" w:rsidR="00AC4FA3" w:rsidRDefault="00AC4FA3" w:rsidP="00AC4FA3">
            <w:pPr>
              <w:spacing w:after="0" w:line="240" w:lineRule="auto"/>
              <w:jc w:val="both"/>
            </w:pPr>
            <w:r>
              <w:rPr>
                <w:rFonts w:ascii="Arial" w:eastAsia="Times New Roman" w:hAnsi="Arial" w:cs="Arial"/>
                <w:color w:val="000000"/>
                <w:sz w:val="18"/>
                <w:szCs w:val="18"/>
                <w:lang w:eastAsia="fr-FR"/>
              </w:rPr>
              <w:t>Observation</w:t>
            </w:r>
          </w:p>
        </w:tc>
        <w:tc>
          <w:tcPr>
            <w:tcW w:w="0" w:type="auto"/>
            <w:shd w:val="clear" w:color="auto" w:fill="auto"/>
            <w:vAlign w:val="center"/>
          </w:tcPr>
          <w:p w14:paraId="4A08EF5F" w14:textId="77777777" w:rsidR="00AC4FA3" w:rsidRDefault="00AC4FA3" w:rsidP="00AC4FA3">
            <w:pPr>
              <w:spacing w:after="0" w:line="240" w:lineRule="auto"/>
              <w:jc w:val="both"/>
            </w:pPr>
            <w:r>
              <w:rPr>
                <w:rFonts w:ascii="Arial" w:eastAsia="Times New Roman" w:hAnsi="Arial" w:cs="Arial"/>
                <w:color w:val="000000"/>
                <w:sz w:val="18"/>
                <w:szCs w:val="18"/>
                <w:lang w:eastAsia="fr-FR"/>
              </w:rPr>
              <w:t>Hebdomadaire</w:t>
            </w:r>
          </w:p>
        </w:tc>
        <w:tc>
          <w:tcPr>
            <w:tcW w:w="0" w:type="auto"/>
            <w:shd w:val="clear" w:color="auto" w:fill="auto"/>
            <w:vAlign w:val="center"/>
          </w:tcPr>
          <w:p w14:paraId="53D3FA22" w14:textId="77777777" w:rsidR="00AC4FA3" w:rsidRDefault="00AC4FA3" w:rsidP="00AC4FA3">
            <w:pPr>
              <w:spacing w:after="0" w:line="240" w:lineRule="auto"/>
              <w:jc w:val="both"/>
            </w:pPr>
            <w:r>
              <w:rPr>
                <w:rFonts w:ascii="Arial" w:eastAsia="Times New Roman" w:hAnsi="Arial" w:cs="Arial"/>
                <w:color w:val="000000"/>
                <w:sz w:val="18"/>
                <w:szCs w:val="18"/>
                <w:lang w:eastAsia="fr-FR"/>
              </w:rPr>
              <w:t>Entreprise</w:t>
            </w:r>
          </w:p>
        </w:tc>
        <w:tc>
          <w:tcPr>
            <w:tcW w:w="0" w:type="auto"/>
            <w:shd w:val="clear" w:color="auto" w:fill="auto"/>
            <w:vAlign w:val="center"/>
          </w:tcPr>
          <w:p w14:paraId="062FD667" w14:textId="77777777" w:rsidR="00AC4FA3" w:rsidRDefault="00AC4FA3" w:rsidP="00AC4FA3">
            <w:pPr>
              <w:spacing w:after="0" w:line="240" w:lineRule="auto"/>
              <w:jc w:val="both"/>
            </w:pPr>
            <w:r>
              <w:rPr>
                <w:rFonts w:ascii="Arial" w:eastAsia="Times New Roman" w:hAnsi="Arial" w:cs="Arial"/>
                <w:color w:val="000000"/>
                <w:sz w:val="18"/>
                <w:szCs w:val="18"/>
                <w:lang w:eastAsia="fr-FR"/>
              </w:rPr>
              <w:t>MdC</w:t>
            </w:r>
          </w:p>
        </w:tc>
      </w:tr>
      <w:tr w:rsidR="00481CF0" w14:paraId="5DD29308" w14:textId="77777777" w:rsidTr="0A1598FD">
        <w:trPr>
          <w:trHeight w:val="492"/>
        </w:trPr>
        <w:tc>
          <w:tcPr>
            <w:tcW w:w="0" w:type="auto"/>
            <w:shd w:val="clear" w:color="auto" w:fill="auto"/>
            <w:vAlign w:val="center"/>
          </w:tcPr>
          <w:p w14:paraId="779347C6" w14:textId="77777777" w:rsidR="00AC4FA3" w:rsidRDefault="00AC4FA3" w:rsidP="00AC4FA3">
            <w:pPr>
              <w:spacing w:after="0" w:line="240" w:lineRule="auto"/>
              <w:jc w:val="both"/>
            </w:pPr>
            <w:r>
              <w:rPr>
                <w:rFonts w:ascii="Arial" w:eastAsia="Times New Roman" w:hAnsi="Arial" w:cs="Arial"/>
                <w:sz w:val="18"/>
                <w:szCs w:val="18"/>
                <w:lang w:eastAsia="fr-FR"/>
              </w:rPr>
              <w:t>Coupe illicite pour les besoins de bois de chauffe du chantier</w:t>
            </w:r>
          </w:p>
        </w:tc>
        <w:tc>
          <w:tcPr>
            <w:tcW w:w="0" w:type="auto"/>
            <w:shd w:val="clear" w:color="auto" w:fill="auto"/>
            <w:vAlign w:val="center"/>
          </w:tcPr>
          <w:p w14:paraId="683579D4" w14:textId="77777777" w:rsidR="00AC4FA3" w:rsidRDefault="00AC4FA3" w:rsidP="00AC4FA3">
            <w:pPr>
              <w:spacing w:after="0" w:line="240" w:lineRule="auto"/>
              <w:jc w:val="both"/>
            </w:pPr>
            <w:r>
              <w:rPr>
                <w:rFonts w:ascii="Arial" w:eastAsia="Times New Roman" w:hAnsi="Arial" w:cs="Arial"/>
                <w:color w:val="000000"/>
                <w:sz w:val="18"/>
                <w:szCs w:val="18"/>
                <w:lang w:eastAsia="fr-FR"/>
              </w:rPr>
              <w:t> Interdiction formelle de prélèvement de bois dans la végétation alentour du site. Approvisionnement auprès de fournisseur agréé</w:t>
            </w:r>
          </w:p>
        </w:tc>
        <w:tc>
          <w:tcPr>
            <w:tcW w:w="0" w:type="auto"/>
            <w:shd w:val="clear" w:color="auto" w:fill="auto"/>
            <w:vAlign w:val="center"/>
          </w:tcPr>
          <w:p w14:paraId="668FA071" w14:textId="77777777" w:rsidR="00AC4FA3" w:rsidRDefault="00AC4FA3" w:rsidP="00AC4FA3">
            <w:pPr>
              <w:spacing w:after="0" w:line="240" w:lineRule="auto"/>
              <w:jc w:val="both"/>
            </w:pPr>
            <w:r>
              <w:rPr>
                <w:rFonts w:ascii="Arial" w:eastAsia="Times New Roman" w:hAnsi="Arial" w:cs="Arial"/>
                <w:color w:val="000000"/>
                <w:sz w:val="18"/>
                <w:szCs w:val="18"/>
                <w:lang w:eastAsia="fr-FR"/>
              </w:rPr>
              <w:t>Facture d'achat de bois de chauffe</w:t>
            </w:r>
          </w:p>
        </w:tc>
        <w:tc>
          <w:tcPr>
            <w:tcW w:w="0" w:type="auto"/>
            <w:shd w:val="clear" w:color="auto" w:fill="auto"/>
            <w:vAlign w:val="center"/>
          </w:tcPr>
          <w:p w14:paraId="2F0AF481" w14:textId="77777777" w:rsidR="00AC4FA3" w:rsidRDefault="00AC4FA3" w:rsidP="00AC4FA3">
            <w:pPr>
              <w:spacing w:after="0" w:line="240" w:lineRule="auto"/>
              <w:jc w:val="both"/>
            </w:pPr>
            <w:r>
              <w:rPr>
                <w:rFonts w:ascii="Arial" w:eastAsia="Times New Roman" w:hAnsi="Arial" w:cs="Arial"/>
                <w:color w:val="000000"/>
                <w:sz w:val="18"/>
                <w:szCs w:val="18"/>
                <w:lang w:eastAsia="fr-FR"/>
              </w:rPr>
              <w:t>Consultation document</w:t>
            </w:r>
          </w:p>
        </w:tc>
        <w:tc>
          <w:tcPr>
            <w:tcW w:w="0" w:type="auto"/>
            <w:shd w:val="clear" w:color="auto" w:fill="auto"/>
            <w:vAlign w:val="center"/>
          </w:tcPr>
          <w:p w14:paraId="5252D074" w14:textId="77777777" w:rsidR="00AC4FA3" w:rsidRDefault="00AC4FA3" w:rsidP="00AC4FA3">
            <w:pPr>
              <w:spacing w:after="0" w:line="240" w:lineRule="auto"/>
              <w:jc w:val="both"/>
            </w:pPr>
            <w:r>
              <w:rPr>
                <w:rFonts w:ascii="Arial" w:eastAsia="Times New Roman" w:hAnsi="Arial" w:cs="Arial"/>
                <w:color w:val="000000"/>
                <w:sz w:val="18"/>
                <w:szCs w:val="18"/>
                <w:lang w:eastAsia="fr-FR"/>
              </w:rPr>
              <w:t>Mensuel</w:t>
            </w:r>
          </w:p>
        </w:tc>
        <w:tc>
          <w:tcPr>
            <w:tcW w:w="0" w:type="auto"/>
            <w:shd w:val="clear" w:color="auto" w:fill="auto"/>
            <w:vAlign w:val="center"/>
          </w:tcPr>
          <w:p w14:paraId="4E13D8F1" w14:textId="77777777" w:rsidR="00AC4FA3" w:rsidRDefault="00AC4FA3" w:rsidP="00AC4FA3">
            <w:pPr>
              <w:spacing w:after="0" w:line="240" w:lineRule="auto"/>
              <w:jc w:val="both"/>
            </w:pPr>
            <w:r>
              <w:rPr>
                <w:rFonts w:ascii="Arial" w:eastAsia="Times New Roman" w:hAnsi="Arial" w:cs="Arial"/>
                <w:color w:val="000000"/>
                <w:sz w:val="18"/>
                <w:szCs w:val="18"/>
                <w:lang w:eastAsia="fr-FR"/>
              </w:rPr>
              <w:t>Entreprise</w:t>
            </w:r>
          </w:p>
        </w:tc>
        <w:tc>
          <w:tcPr>
            <w:tcW w:w="0" w:type="auto"/>
            <w:shd w:val="clear" w:color="auto" w:fill="auto"/>
            <w:vAlign w:val="center"/>
          </w:tcPr>
          <w:p w14:paraId="6A76777B" w14:textId="77777777" w:rsidR="00AC4FA3" w:rsidRDefault="00AC4FA3" w:rsidP="00AC4FA3">
            <w:pPr>
              <w:spacing w:after="0" w:line="240" w:lineRule="auto"/>
              <w:jc w:val="both"/>
            </w:pPr>
            <w:r>
              <w:rPr>
                <w:rFonts w:ascii="Arial" w:eastAsia="Times New Roman" w:hAnsi="Arial" w:cs="Arial"/>
                <w:color w:val="000000"/>
                <w:sz w:val="18"/>
                <w:szCs w:val="18"/>
                <w:lang w:eastAsia="fr-FR"/>
              </w:rPr>
              <w:t>MdC</w:t>
            </w:r>
          </w:p>
        </w:tc>
      </w:tr>
      <w:tr w:rsidR="00481CF0" w14:paraId="3BB4FC42" w14:textId="77777777" w:rsidTr="0A1598FD">
        <w:trPr>
          <w:trHeight w:val="288"/>
        </w:trPr>
        <w:tc>
          <w:tcPr>
            <w:tcW w:w="0" w:type="auto"/>
            <w:vMerge w:val="restart"/>
            <w:shd w:val="clear" w:color="auto" w:fill="auto"/>
            <w:vAlign w:val="center"/>
          </w:tcPr>
          <w:p w14:paraId="725F8294" w14:textId="77777777" w:rsidR="00AC4FA3" w:rsidRDefault="00AC4FA3" w:rsidP="00AC4FA3">
            <w:pPr>
              <w:spacing w:after="0" w:line="240" w:lineRule="auto"/>
              <w:jc w:val="both"/>
            </w:pPr>
            <w:r>
              <w:rPr>
                <w:rFonts w:ascii="Arial" w:eastAsia="Times New Roman" w:hAnsi="Arial" w:cs="Arial"/>
                <w:sz w:val="18"/>
                <w:szCs w:val="18"/>
                <w:lang w:eastAsia="fr-FR"/>
              </w:rPr>
              <w:t>Conflits sociaux par la présence des mains d’œuvre externes</w:t>
            </w:r>
          </w:p>
        </w:tc>
        <w:tc>
          <w:tcPr>
            <w:tcW w:w="0" w:type="auto"/>
            <w:shd w:val="clear" w:color="auto" w:fill="auto"/>
            <w:vAlign w:val="center"/>
          </w:tcPr>
          <w:p w14:paraId="55215E73" w14:textId="77777777" w:rsidR="00AC4FA3" w:rsidRDefault="00AC4FA3" w:rsidP="00AC4FA3">
            <w:pPr>
              <w:spacing w:after="0" w:line="240" w:lineRule="auto"/>
              <w:jc w:val="both"/>
            </w:pPr>
            <w:r>
              <w:rPr>
                <w:rFonts w:ascii="Arial" w:eastAsia="Times New Roman" w:hAnsi="Arial" w:cs="Arial"/>
                <w:color w:val="000000"/>
                <w:sz w:val="18"/>
                <w:szCs w:val="18"/>
                <w:lang w:eastAsia="fr-FR"/>
              </w:rPr>
              <w:t>Affichage des offres d’emploi au niveau Fokontany et Commune concernée. Identification au préalable des sites cultuels ou culturels de la zone du projet</w:t>
            </w:r>
          </w:p>
        </w:tc>
        <w:tc>
          <w:tcPr>
            <w:tcW w:w="0" w:type="auto"/>
            <w:vMerge w:val="restart"/>
            <w:shd w:val="clear" w:color="auto" w:fill="auto"/>
            <w:vAlign w:val="center"/>
          </w:tcPr>
          <w:p w14:paraId="7C315730" w14:textId="77777777" w:rsidR="00AC4FA3" w:rsidRDefault="00AC4FA3" w:rsidP="00AC4FA3">
            <w:pPr>
              <w:spacing w:after="0" w:line="240" w:lineRule="auto"/>
              <w:jc w:val="both"/>
            </w:pPr>
            <w:r>
              <w:rPr>
                <w:rFonts w:ascii="Arial" w:eastAsia="Times New Roman" w:hAnsi="Arial" w:cs="Arial"/>
                <w:color w:val="000000"/>
                <w:sz w:val="18"/>
                <w:szCs w:val="18"/>
                <w:lang w:eastAsia="fr-FR"/>
              </w:rPr>
              <w:t>Cartographie des sites cultuels. PV + Liste de présence. Registre de recrutement. Règlement du personnel. Autorisation.</w:t>
            </w:r>
          </w:p>
        </w:tc>
        <w:tc>
          <w:tcPr>
            <w:tcW w:w="0" w:type="auto"/>
            <w:vMerge w:val="restart"/>
            <w:shd w:val="clear" w:color="auto" w:fill="auto"/>
            <w:vAlign w:val="center"/>
          </w:tcPr>
          <w:p w14:paraId="0BEABE7B" w14:textId="77777777" w:rsidR="00AC4FA3" w:rsidRDefault="00AC4FA3" w:rsidP="00AC4FA3">
            <w:pPr>
              <w:spacing w:after="0" w:line="240" w:lineRule="auto"/>
              <w:jc w:val="both"/>
            </w:pPr>
            <w:r>
              <w:rPr>
                <w:rFonts w:ascii="Arial" w:eastAsia="Times New Roman" w:hAnsi="Arial" w:cs="Arial"/>
                <w:color w:val="000000"/>
                <w:sz w:val="18"/>
                <w:szCs w:val="18"/>
                <w:lang w:eastAsia="fr-FR"/>
              </w:rPr>
              <w:t>Observation</w:t>
            </w:r>
          </w:p>
        </w:tc>
        <w:tc>
          <w:tcPr>
            <w:tcW w:w="0" w:type="auto"/>
            <w:vMerge w:val="restart"/>
            <w:shd w:val="clear" w:color="auto" w:fill="auto"/>
            <w:vAlign w:val="center"/>
          </w:tcPr>
          <w:p w14:paraId="479A39D8" w14:textId="77777777" w:rsidR="00AC4FA3" w:rsidRDefault="00AC4FA3" w:rsidP="00AC4FA3">
            <w:pPr>
              <w:spacing w:after="0" w:line="240" w:lineRule="auto"/>
              <w:jc w:val="both"/>
            </w:pPr>
            <w:r>
              <w:rPr>
                <w:rFonts w:ascii="Arial" w:eastAsia="Times New Roman" w:hAnsi="Arial" w:cs="Arial"/>
                <w:color w:val="000000"/>
                <w:sz w:val="18"/>
                <w:szCs w:val="18"/>
                <w:lang w:eastAsia="fr-FR"/>
              </w:rPr>
              <w:t>Début des travaux</w:t>
            </w:r>
          </w:p>
        </w:tc>
        <w:tc>
          <w:tcPr>
            <w:tcW w:w="0" w:type="auto"/>
            <w:vMerge w:val="restart"/>
            <w:shd w:val="clear" w:color="auto" w:fill="auto"/>
            <w:vAlign w:val="center"/>
          </w:tcPr>
          <w:p w14:paraId="02A9E00D" w14:textId="77777777" w:rsidR="00AC4FA3" w:rsidRDefault="00AC4FA3" w:rsidP="00AC4FA3">
            <w:pPr>
              <w:spacing w:after="0" w:line="240" w:lineRule="auto"/>
              <w:jc w:val="both"/>
            </w:pPr>
            <w:r>
              <w:rPr>
                <w:rFonts w:ascii="Arial" w:eastAsia="Times New Roman" w:hAnsi="Arial" w:cs="Arial"/>
                <w:color w:val="000000"/>
                <w:sz w:val="18"/>
                <w:szCs w:val="18"/>
                <w:lang w:eastAsia="fr-FR"/>
              </w:rPr>
              <w:t>Entreprise</w:t>
            </w:r>
          </w:p>
        </w:tc>
        <w:tc>
          <w:tcPr>
            <w:tcW w:w="0" w:type="auto"/>
            <w:vMerge w:val="restart"/>
            <w:shd w:val="clear" w:color="auto" w:fill="auto"/>
            <w:vAlign w:val="center"/>
          </w:tcPr>
          <w:p w14:paraId="4A04F843" w14:textId="77777777" w:rsidR="00AC4FA3" w:rsidRDefault="00AC4FA3" w:rsidP="00AC4FA3">
            <w:pPr>
              <w:spacing w:after="0" w:line="240" w:lineRule="auto"/>
              <w:jc w:val="both"/>
            </w:pPr>
            <w:r>
              <w:rPr>
                <w:rFonts w:ascii="Arial" w:eastAsia="Times New Roman" w:hAnsi="Arial" w:cs="Arial"/>
                <w:color w:val="000000"/>
                <w:sz w:val="18"/>
                <w:szCs w:val="18"/>
                <w:lang w:eastAsia="fr-FR"/>
              </w:rPr>
              <w:t>MdC</w:t>
            </w:r>
          </w:p>
        </w:tc>
      </w:tr>
      <w:tr w:rsidR="00481CF0" w14:paraId="09CB728C" w14:textId="77777777" w:rsidTr="0A1598FD">
        <w:trPr>
          <w:trHeight w:val="300"/>
        </w:trPr>
        <w:tc>
          <w:tcPr>
            <w:tcW w:w="0" w:type="auto"/>
            <w:vMerge/>
            <w:vAlign w:val="center"/>
          </w:tcPr>
          <w:p w14:paraId="293E3942" w14:textId="77777777" w:rsidR="00AC4FA3" w:rsidRDefault="00AC4FA3" w:rsidP="00AC4FA3">
            <w:pPr>
              <w:spacing w:after="0" w:line="240" w:lineRule="auto"/>
              <w:jc w:val="both"/>
              <w:rPr>
                <w:rFonts w:ascii="Arial" w:eastAsia="Times New Roman" w:hAnsi="Arial" w:cs="Arial"/>
                <w:sz w:val="18"/>
                <w:szCs w:val="18"/>
                <w:lang w:eastAsia="fr-FR"/>
              </w:rPr>
            </w:pPr>
          </w:p>
        </w:tc>
        <w:tc>
          <w:tcPr>
            <w:tcW w:w="0" w:type="auto"/>
            <w:shd w:val="clear" w:color="auto" w:fill="auto"/>
            <w:vAlign w:val="center"/>
          </w:tcPr>
          <w:p w14:paraId="5327652E" w14:textId="77777777" w:rsidR="00AC4FA3" w:rsidRDefault="00AC4FA3" w:rsidP="00AC4FA3">
            <w:pPr>
              <w:spacing w:after="0" w:line="240" w:lineRule="auto"/>
              <w:jc w:val="both"/>
            </w:pPr>
            <w:r>
              <w:rPr>
                <w:rFonts w:ascii="Arial" w:eastAsia="Times New Roman" w:hAnsi="Arial" w:cs="Arial"/>
                <w:color w:val="000000"/>
                <w:sz w:val="18"/>
                <w:szCs w:val="18"/>
                <w:lang w:eastAsia="fr-FR"/>
              </w:rPr>
              <w:t xml:space="preserve">Information/Sensibilisation des ouvriers. Priorisation du recrutement local </w:t>
            </w:r>
          </w:p>
        </w:tc>
        <w:tc>
          <w:tcPr>
            <w:tcW w:w="0" w:type="auto"/>
            <w:vMerge/>
            <w:vAlign w:val="center"/>
          </w:tcPr>
          <w:p w14:paraId="29616523"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1871B7E0"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5DA7BCC7"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0702052C"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738D2B85"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r>
      <w:tr w:rsidR="00481CF0" w14:paraId="2D2082C6" w14:textId="77777777" w:rsidTr="0A1598FD">
        <w:trPr>
          <w:trHeight w:val="288"/>
        </w:trPr>
        <w:tc>
          <w:tcPr>
            <w:tcW w:w="0" w:type="auto"/>
            <w:vMerge w:val="restart"/>
            <w:shd w:val="clear" w:color="auto" w:fill="auto"/>
            <w:vAlign w:val="center"/>
          </w:tcPr>
          <w:p w14:paraId="5CF6279E" w14:textId="77777777" w:rsidR="00AC4FA3" w:rsidRDefault="00AC4FA3" w:rsidP="00AC4FA3">
            <w:pPr>
              <w:spacing w:after="0" w:line="240" w:lineRule="auto"/>
              <w:jc w:val="both"/>
            </w:pPr>
            <w:r>
              <w:rPr>
                <w:rFonts w:ascii="Arial" w:eastAsia="Times New Roman" w:hAnsi="Arial" w:cs="Arial"/>
                <w:sz w:val="18"/>
                <w:szCs w:val="18"/>
                <w:lang w:eastAsia="fr-FR"/>
              </w:rPr>
              <w:t>Perte des biens (terres</w:t>
            </w:r>
            <w:r w:rsidR="00DA1115">
              <w:rPr>
                <w:rFonts w:ascii="Arial" w:eastAsia="Times New Roman" w:hAnsi="Arial" w:cs="Arial"/>
                <w:sz w:val="18"/>
                <w:szCs w:val="18"/>
                <w:lang w:eastAsia="fr-FR"/>
              </w:rPr>
              <w:t>, cultures</w:t>
            </w:r>
            <w:r>
              <w:rPr>
                <w:rFonts w:ascii="Arial" w:eastAsia="Times New Roman" w:hAnsi="Arial" w:cs="Arial"/>
                <w:sz w:val="18"/>
                <w:szCs w:val="18"/>
                <w:lang w:eastAsia="fr-FR"/>
              </w:rPr>
              <w:t>…)</w:t>
            </w:r>
          </w:p>
        </w:tc>
        <w:tc>
          <w:tcPr>
            <w:tcW w:w="0" w:type="auto"/>
            <w:shd w:val="clear" w:color="auto" w:fill="auto"/>
            <w:vAlign w:val="center"/>
          </w:tcPr>
          <w:p w14:paraId="6A5AD287" w14:textId="77777777" w:rsidR="00AC4FA3" w:rsidRDefault="00AC4FA3" w:rsidP="00AC4FA3">
            <w:pPr>
              <w:spacing w:after="0" w:line="240" w:lineRule="auto"/>
              <w:jc w:val="both"/>
            </w:pPr>
            <w:r>
              <w:rPr>
                <w:rFonts w:ascii="Arial" w:eastAsia="Times New Roman" w:hAnsi="Arial" w:cs="Arial"/>
                <w:color w:val="000000"/>
                <w:sz w:val="18"/>
                <w:szCs w:val="18"/>
                <w:lang w:eastAsia="fr-FR"/>
              </w:rPr>
              <w:t>Limiter au strict nécessaire l'emprise du projet</w:t>
            </w:r>
          </w:p>
        </w:tc>
        <w:tc>
          <w:tcPr>
            <w:tcW w:w="0" w:type="auto"/>
            <w:vMerge w:val="restart"/>
            <w:shd w:val="clear" w:color="auto" w:fill="auto"/>
            <w:vAlign w:val="center"/>
          </w:tcPr>
          <w:p w14:paraId="394B8818" w14:textId="77777777" w:rsidR="00AC4FA3" w:rsidRDefault="00D416A8" w:rsidP="00AC4FA3">
            <w:pPr>
              <w:spacing w:after="0" w:line="240" w:lineRule="auto"/>
              <w:jc w:val="both"/>
            </w:pPr>
            <w:r>
              <w:rPr>
                <w:rFonts w:ascii="Arial" w:eastAsia="Times New Roman" w:hAnsi="Arial" w:cs="Arial"/>
                <w:color w:val="000000"/>
                <w:sz w:val="18"/>
                <w:szCs w:val="18"/>
                <w:lang w:eastAsia="fr-FR"/>
              </w:rPr>
              <w:t>Mise en œuvre du Plan de réinstallation</w:t>
            </w:r>
            <w:r w:rsidR="00DA1115">
              <w:rPr>
                <w:rFonts w:ascii="Arial" w:eastAsia="Times New Roman" w:hAnsi="Arial" w:cs="Arial"/>
                <w:color w:val="000000"/>
                <w:sz w:val="18"/>
                <w:szCs w:val="18"/>
                <w:lang w:eastAsia="fr-FR"/>
              </w:rPr>
              <w:t xml:space="preserve"> (PR) et du Plan de Restauration des Moyens de Subsistance (PRMS).</w:t>
            </w:r>
            <w:r>
              <w:rPr>
                <w:rFonts w:ascii="Arial" w:eastAsia="Times New Roman" w:hAnsi="Arial" w:cs="Arial"/>
                <w:color w:val="000000"/>
                <w:sz w:val="18"/>
                <w:szCs w:val="18"/>
                <w:lang w:eastAsia="fr-FR"/>
              </w:rPr>
              <w:t xml:space="preserve"> </w:t>
            </w:r>
          </w:p>
        </w:tc>
        <w:tc>
          <w:tcPr>
            <w:tcW w:w="0" w:type="auto"/>
            <w:vMerge w:val="restart"/>
            <w:shd w:val="clear" w:color="auto" w:fill="auto"/>
            <w:vAlign w:val="center"/>
          </w:tcPr>
          <w:p w14:paraId="21B0CEA5" w14:textId="77777777" w:rsidR="00AC4FA3" w:rsidRDefault="00D416A8" w:rsidP="00AC4FA3">
            <w:pPr>
              <w:spacing w:after="0" w:line="240" w:lineRule="auto"/>
              <w:jc w:val="both"/>
            </w:pPr>
            <w:r>
              <w:rPr>
                <w:rFonts w:ascii="Arial" w:eastAsia="Times New Roman" w:hAnsi="Arial" w:cs="Arial"/>
                <w:color w:val="000000"/>
                <w:sz w:val="18"/>
                <w:szCs w:val="18"/>
                <w:lang w:eastAsia="fr-FR"/>
              </w:rPr>
              <w:t>nb PAP indemnisée</w:t>
            </w:r>
            <w:r w:rsidR="00DA1115">
              <w:rPr>
                <w:rFonts w:ascii="Arial" w:eastAsia="Times New Roman" w:hAnsi="Arial" w:cs="Arial"/>
                <w:color w:val="000000"/>
                <w:sz w:val="18"/>
                <w:szCs w:val="18"/>
                <w:lang w:eastAsia="fr-FR"/>
              </w:rPr>
              <w:t>s</w:t>
            </w:r>
          </w:p>
        </w:tc>
        <w:tc>
          <w:tcPr>
            <w:tcW w:w="0" w:type="auto"/>
            <w:vMerge w:val="restart"/>
            <w:shd w:val="clear" w:color="auto" w:fill="auto"/>
            <w:vAlign w:val="center"/>
          </w:tcPr>
          <w:p w14:paraId="16F46630" w14:textId="77777777" w:rsidR="00AC4FA3" w:rsidRDefault="00DA1115" w:rsidP="00AC4FA3">
            <w:pPr>
              <w:spacing w:after="0" w:line="240" w:lineRule="auto"/>
              <w:jc w:val="both"/>
            </w:pPr>
            <w:r>
              <w:rPr>
                <w:rFonts w:ascii="Arial" w:eastAsia="Times New Roman" w:hAnsi="Arial" w:cs="Arial"/>
                <w:color w:val="000000"/>
                <w:sz w:val="18"/>
                <w:szCs w:val="18"/>
                <w:lang w:eastAsia="fr-FR"/>
              </w:rPr>
              <w:t>Avant le d</w:t>
            </w:r>
            <w:r w:rsidR="00AC4FA3">
              <w:rPr>
                <w:rFonts w:ascii="Arial" w:eastAsia="Times New Roman" w:hAnsi="Arial" w:cs="Arial"/>
                <w:color w:val="000000"/>
                <w:sz w:val="18"/>
                <w:szCs w:val="18"/>
                <w:lang w:eastAsia="fr-FR"/>
              </w:rPr>
              <w:t>ébut des travaux</w:t>
            </w:r>
          </w:p>
        </w:tc>
        <w:tc>
          <w:tcPr>
            <w:tcW w:w="0" w:type="auto"/>
            <w:vMerge w:val="restart"/>
            <w:shd w:val="clear" w:color="auto" w:fill="auto"/>
            <w:vAlign w:val="center"/>
          </w:tcPr>
          <w:p w14:paraId="3900F589" w14:textId="77777777" w:rsidR="00AC4FA3" w:rsidRDefault="00AC4FA3" w:rsidP="00AC4FA3">
            <w:pPr>
              <w:spacing w:after="0" w:line="240" w:lineRule="auto"/>
              <w:jc w:val="both"/>
            </w:pPr>
            <w:r>
              <w:rPr>
                <w:rFonts w:ascii="Arial" w:eastAsia="Times New Roman" w:hAnsi="Arial" w:cs="Arial"/>
                <w:color w:val="000000"/>
                <w:sz w:val="18"/>
                <w:szCs w:val="18"/>
                <w:lang w:eastAsia="fr-FR"/>
              </w:rPr>
              <w:t>Entreprise</w:t>
            </w:r>
          </w:p>
        </w:tc>
        <w:tc>
          <w:tcPr>
            <w:tcW w:w="0" w:type="auto"/>
            <w:vMerge w:val="restart"/>
            <w:shd w:val="clear" w:color="auto" w:fill="auto"/>
            <w:vAlign w:val="center"/>
          </w:tcPr>
          <w:p w14:paraId="74D86826" w14:textId="77777777" w:rsidR="00AC4FA3" w:rsidRDefault="00AC4FA3" w:rsidP="00AC4FA3">
            <w:pPr>
              <w:spacing w:after="0" w:line="240" w:lineRule="auto"/>
              <w:jc w:val="both"/>
            </w:pPr>
            <w:r>
              <w:rPr>
                <w:rFonts w:ascii="Arial" w:eastAsia="Times New Roman" w:hAnsi="Arial" w:cs="Arial"/>
                <w:color w:val="000000"/>
                <w:sz w:val="18"/>
                <w:szCs w:val="18"/>
                <w:lang w:eastAsia="fr-FR"/>
              </w:rPr>
              <w:t>MdC, BM</w:t>
            </w:r>
          </w:p>
        </w:tc>
      </w:tr>
      <w:tr w:rsidR="00481CF0" w14:paraId="0502525B" w14:textId="77777777" w:rsidTr="0A1598FD">
        <w:trPr>
          <w:trHeight w:val="300"/>
        </w:trPr>
        <w:tc>
          <w:tcPr>
            <w:tcW w:w="0" w:type="auto"/>
            <w:vMerge/>
            <w:vAlign w:val="center"/>
          </w:tcPr>
          <w:p w14:paraId="5345C144" w14:textId="77777777" w:rsidR="00AC4FA3" w:rsidRDefault="00AC4FA3" w:rsidP="00AC4FA3">
            <w:pPr>
              <w:spacing w:after="0" w:line="240" w:lineRule="auto"/>
              <w:jc w:val="both"/>
              <w:rPr>
                <w:rFonts w:ascii="Arial" w:eastAsia="Times New Roman" w:hAnsi="Arial" w:cs="Arial"/>
                <w:sz w:val="18"/>
                <w:szCs w:val="18"/>
                <w:lang w:eastAsia="fr-FR"/>
              </w:rPr>
            </w:pPr>
          </w:p>
        </w:tc>
        <w:tc>
          <w:tcPr>
            <w:tcW w:w="0" w:type="auto"/>
            <w:shd w:val="clear" w:color="auto" w:fill="auto"/>
            <w:vAlign w:val="center"/>
          </w:tcPr>
          <w:p w14:paraId="361437A7" w14:textId="77777777" w:rsidR="00AC4FA3" w:rsidRDefault="00AC4FA3" w:rsidP="00AC4FA3">
            <w:pPr>
              <w:spacing w:after="0" w:line="240" w:lineRule="auto"/>
              <w:jc w:val="both"/>
            </w:pPr>
            <w:r>
              <w:rPr>
                <w:rFonts w:ascii="Arial" w:eastAsia="Times New Roman" w:hAnsi="Arial" w:cs="Arial"/>
                <w:color w:val="000000"/>
                <w:sz w:val="18"/>
                <w:szCs w:val="18"/>
                <w:lang w:eastAsia="fr-FR"/>
              </w:rPr>
              <w:t>Mise en œuvre de système d'indemnisation pour la Compensation des biens et des activités des PAP</w:t>
            </w:r>
          </w:p>
        </w:tc>
        <w:tc>
          <w:tcPr>
            <w:tcW w:w="0" w:type="auto"/>
            <w:vMerge/>
            <w:vAlign w:val="center"/>
          </w:tcPr>
          <w:p w14:paraId="40A7D55D"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01B12682"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041EF4EA"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32A66484"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346AEC91"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r>
      <w:tr w:rsidR="00481CF0" w14:paraId="3303A409" w14:textId="77777777" w:rsidTr="0A1598FD">
        <w:trPr>
          <w:trHeight w:val="300"/>
        </w:trPr>
        <w:tc>
          <w:tcPr>
            <w:tcW w:w="0" w:type="auto"/>
            <w:shd w:val="clear" w:color="auto" w:fill="auto"/>
            <w:vAlign w:val="center"/>
          </w:tcPr>
          <w:p w14:paraId="451E1675" w14:textId="77777777" w:rsidR="00AC4FA3" w:rsidRDefault="00AC4FA3" w:rsidP="00AC4FA3">
            <w:pPr>
              <w:spacing w:after="0" w:line="240" w:lineRule="auto"/>
              <w:jc w:val="both"/>
            </w:pPr>
            <w:r>
              <w:rPr>
                <w:rFonts w:ascii="Arial" w:eastAsia="Times New Roman" w:hAnsi="Arial" w:cs="Arial"/>
                <w:sz w:val="18"/>
                <w:szCs w:val="18"/>
                <w:lang w:eastAsia="fr-FR"/>
              </w:rPr>
              <w:t>Nuisances sonores et vibrations pendant le transport</w:t>
            </w:r>
          </w:p>
        </w:tc>
        <w:tc>
          <w:tcPr>
            <w:tcW w:w="0" w:type="auto"/>
            <w:shd w:val="clear" w:color="auto" w:fill="auto"/>
            <w:vAlign w:val="center"/>
          </w:tcPr>
          <w:p w14:paraId="2E505AD6" w14:textId="77777777" w:rsidR="00AC4FA3" w:rsidRDefault="00AC4FA3" w:rsidP="00AC4FA3">
            <w:pPr>
              <w:spacing w:after="0" w:line="240" w:lineRule="auto"/>
              <w:jc w:val="both"/>
            </w:pPr>
            <w:r>
              <w:rPr>
                <w:rFonts w:ascii="Arial" w:eastAsia="Times New Roman" w:hAnsi="Arial" w:cs="Arial"/>
                <w:color w:val="000000"/>
                <w:sz w:val="18"/>
                <w:szCs w:val="18"/>
                <w:lang w:eastAsia="fr-FR"/>
              </w:rPr>
              <w:t>N'effectuer les travaux susceptibles d'émettre du bruit que pendant la journée</w:t>
            </w:r>
          </w:p>
        </w:tc>
        <w:tc>
          <w:tcPr>
            <w:tcW w:w="0" w:type="auto"/>
            <w:shd w:val="clear" w:color="auto" w:fill="auto"/>
            <w:vAlign w:val="center"/>
          </w:tcPr>
          <w:p w14:paraId="5BB99B1B" w14:textId="77777777" w:rsidR="00AC4FA3" w:rsidRDefault="00AC4FA3" w:rsidP="00AC4FA3">
            <w:pPr>
              <w:spacing w:after="0" w:line="240" w:lineRule="auto"/>
              <w:jc w:val="both"/>
            </w:pPr>
            <w:r>
              <w:rPr>
                <w:rFonts w:ascii="Arial" w:eastAsia="Times New Roman" w:hAnsi="Arial" w:cs="Arial"/>
                <w:color w:val="000000"/>
                <w:sz w:val="18"/>
                <w:szCs w:val="18"/>
                <w:lang w:eastAsia="fr-FR"/>
              </w:rPr>
              <w:t>Travaux pendant la journée</w:t>
            </w:r>
          </w:p>
        </w:tc>
        <w:tc>
          <w:tcPr>
            <w:tcW w:w="0" w:type="auto"/>
            <w:shd w:val="clear" w:color="auto" w:fill="auto"/>
            <w:vAlign w:val="center"/>
          </w:tcPr>
          <w:p w14:paraId="7A805311" w14:textId="77777777" w:rsidR="00AC4FA3" w:rsidRDefault="00AC4FA3" w:rsidP="00AC4FA3">
            <w:pPr>
              <w:spacing w:after="0" w:line="240" w:lineRule="auto"/>
              <w:jc w:val="both"/>
            </w:pPr>
            <w:r w:rsidRPr="00FB04F6">
              <w:rPr>
                <w:rFonts w:ascii="Arial" w:eastAsia="Times New Roman" w:hAnsi="Arial" w:cs="Arial"/>
                <w:color w:val="000000"/>
                <w:sz w:val="18"/>
                <w:szCs w:val="18"/>
                <w:lang w:eastAsia="fr-FR"/>
              </w:rPr>
              <w:t>Observation</w:t>
            </w:r>
          </w:p>
        </w:tc>
        <w:tc>
          <w:tcPr>
            <w:tcW w:w="0" w:type="auto"/>
            <w:shd w:val="clear" w:color="auto" w:fill="auto"/>
            <w:vAlign w:val="center"/>
          </w:tcPr>
          <w:p w14:paraId="27FFA179" w14:textId="77777777" w:rsidR="00AC4FA3" w:rsidRDefault="00AC4FA3" w:rsidP="00AC4FA3">
            <w:pPr>
              <w:spacing w:after="0" w:line="240" w:lineRule="auto"/>
              <w:jc w:val="both"/>
            </w:pPr>
            <w:r>
              <w:rPr>
                <w:rFonts w:ascii="Arial" w:eastAsia="Times New Roman" w:hAnsi="Arial" w:cs="Arial"/>
                <w:color w:val="000000"/>
                <w:sz w:val="18"/>
                <w:szCs w:val="18"/>
                <w:lang w:eastAsia="fr-FR"/>
              </w:rPr>
              <w:t> </w:t>
            </w:r>
            <w:r w:rsidR="00A4072D">
              <w:rPr>
                <w:rFonts w:ascii="Arial" w:eastAsia="Times New Roman" w:hAnsi="Arial" w:cs="Arial"/>
                <w:color w:val="000000"/>
                <w:sz w:val="18"/>
                <w:szCs w:val="18"/>
                <w:lang w:eastAsia="fr-FR"/>
              </w:rPr>
              <w:t>Hebdomadaire</w:t>
            </w:r>
          </w:p>
        </w:tc>
        <w:tc>
          <w:tcPr>
            <w:tcW w:w="0" w:type="auto"/>
            <w:shd w:val="clear" w:color="auto" w:fill="auto"/>
            <w:vAlign w:val="center"/>
          </w:tcPr>
          <w:p w14:paraId="14E260D2" w14:textId="77777777" w:rsidR="00AC4FA3" w:rsidRDefault="00AC4FA3" w:rsidP="00AC4FA3">
            <w:pPr>
              <w:spacing w:after="0" w:line="240" w:lineRule="auto"/>
              <w:jc w:val="both"/>
            </w:pPr>
            <w:r>
              <w:rPr>
                <w:rFonts w:ascii="Arial" w:eastAsia="Times New Roman" w:hAnsi="Arial" w:cs="Arial"/>
                <w:color w:val="000000"/>
                <w:sz w:val="18"/>
                <w:szCs w:val="18"/>
                <w:lang w:eastAsia="fr-FR"/>
              </w:rPr>
              <w:t>Entreprise</w:t>
            </w:r>
          </w:p>
        </w:tc>
        <w:tc>
          <w:tcPr>
            <w:tcW w:w="0" w:type="auto"/>
            <w:shd w:val="clear" w:color="auto" w:fill="auto"/>
            <w:vAlign w:val="center"/>
          </w:tcPr>
          <w:p w14:paraId="4BA9252A" w14:textId="77777777" w:rsidR="00AC4FA3" w:rsidRDefault="00AC4FA3" w:rsidP="00AC4FA3">
            <w:pPr>
              <w:spacing w:after="0" w:line="240" w:lineRule="auto"/>
              <w:jc w:val="both"/>
            </w:pPr>
            <w:r>
              <w:rPr>
                <w:rFonts w:ascii="Arial" w:eastAsia="Times New Roman" w:hAnsi="Arial" w:cs="Arial"/>
                <w:color w:val="000000"/>
                <w:sz w:val="18"/>
                <w:szCs w:val="18"/>
                <w:lang w:eastAsia="fr-FR"/>
              </w:rPr>
              <w:t>MdC</w:t>
            </w:r>
          </w:p>
        </w:tc>
      </w:tr>
      <w:tr w:rsidR="00481CF0" w14:paraId="7321388A" w14:textId="77777777" w:rsidTr="0A1598FD">
        <w:trPr>
          <w:trHeight w:val="288"/>
        </w:trPr>
        <w:tc>
          <w:tcPr>
            <w:tcW w:w="0" w:type="auto"/>
            <w:vMerge w:val="restart"/>
            <w:shd w:val="clear" w:color="auto" w:fill="auto"/>
            <w:vAlign w:val="center"/>
          </w:tcPr>
          <w:p w14:paraId="2DB8B6B3" w14:textId="77777777" w:rsidR="00AC4FA3" w:rsidRDefault="00AC4FA3" w:rsidP="00AC4FA3">
            <w:pPr>
              <w:spacing w:after="0" w:line="240" w:lineRule="auto"/>
              <w:jc w:val="both"/>
            </w:pPr>
            <w:r>
              <w:rPr>
                <w:rFonts w:ascii="Arial" w:eastAsia="Times New Roman" w:hAnsi="Arial" w:cs="Arial"/>
                <w:sz w:val="18"/>
                <w:szCs w:val="18"/>
                <w:lang w:eastAsia="fr-FR"/>
              </w:rPr>
              <w:t>Risque de transmission des maladies transmissibles (MST/VIH SIDA, COVID</w:t>
            </w:r>
            <w:r w:rsidR="00EC4895">
              <w:rPr>
                <w:rFonts w:ascii="Arial" w:eastAsia="Times New Roman" w:hAnsi="Arial" w:cs="Arial"/>
                <w:sz w:val="18"/>
                <w:szCs w:val="18"/>
                <w:lang w:eastAsia="fr-FR"/>
              </w:rPr>
              <w:t>-</w:t>
            </w:r>
            <w:r w:rsidR="00B44FA9">
              <w:rPr>
                <w:rFonts w:ascii="Arial" w:eastAsia="Times New Roman" w:hAnsi="Arial" w:cs="Arial"/>
                <w:sz w:val="18"/>
                <w:szCs w:val="18"/>
                <w:lang w:eastAsia="fr-FR"/>
              </w:rPr>
              <w:t>1</w:t>
            </w:r>
            <w:r>
              <w:rPr>
                <w:rFonts w:ascii="Arial" w:eastAsia="Times New Roman" w:hAnsi="Arial" w:cs="Arial"/>
                <w:sz w:val="18"/>
                <w:szCs w:val="18"/>
                <w:lang w:eastAsia="fr-FR"/>
              </w:rPr>
              <w:t>9)</w:t>
            </w:r>
          </w:p>
        </w:tc>
        <w:tc>
          <w:tcPr>
            <w:tcW w:w="0" w:type="auto"/>
            <w:shd w:val="clear" w:color="auto" w:fill="auto"/>
            <w:vAlign w:val="center"/>
          </w:tcPr>
          <w:p w14:paraId="2245CB2B" w14:textId="77777777" w:rsidR="00AC4FA3" w:rsidRDefault="00AC4FA3" w:rsidP="00AC4FA3">
            <w:pPr>
              <w:spacing w:after="0" w:line="240" w:lineRule="auto"/>
              <w:jc w:val="both"/>
            </w:pPr>
            <w:r>
              <w:rPr>
                <w:rFonts w:ascii="Arial" w:eastAsia="Times New Roman" w:hAnsi="Arial" w:cs="Arial"/>
                <w:color w:val="000000"/>
                <w:sz w:val="18"/>
                <w:szCs w:val="18"/>
                <w:lang w:eastAsia="fr-FR"/>
              </w:rPr>
              <w:t xml:space="preserve">Assurer la disponibilité gratuite et régulière de préservatifs pour les mains d’œuvres jusqu’à la fin du chantier </w:t>
            </w:r>
          </w:p>
        </w:tc>
        <w:tc>
          <w:tcPr>
            <w:tcW w:w="0" w:type="auto"/>
            <w:vMerge w:val="restart"/>
            <w:shd w:val="clear" w:color="auto" w:fill="auto"/>
            <w:vAlign w:val="center"/>
          </w:tcPr>
          <w:p w14:paraId="6A8FF7CD" w14:textId="77777777" w:rsidR="00AC4FA3" w:rsidRDefault="00AC4FA3" w:rsidP="00AC4FA3">
            <w:pPr>
              <w:spacing w:after="0" w:line="240" w:lineRule="auto"/>
              <w:jc w:val="both"/>
            </w:pPr>
            <w:r>
              <w:rPr>
                <w:rFonts w:ascii="Arial" w:eastAsia="Times New Roman" w:hAnsi="Arial" w:cs="Arial"/>
                <w:color w:val="000000"/>
                <w:sz w:val="18"/>
                <w:szCs w:val="18"/>
                <w:lang w:eastAsia="fr-FR"/>
              </w:rPr>
              <w:t>PV + Liste de présence. Registre de plainte déposé auprès des autorités locales</w:t>
            </w:r>
          </w:p>
        </w:tc>
        <w:tc>
          <w:tcPr>
            <w:tcW w:w="0" w:type="auto"/>
            <w:vMerge w:val="restart"/>
            <w:shd w:val="clear" w:color="auto" w:fill="auto"/>
            <w:vAlign w:val="center"/>
          </w:tcPr>
          <w:p w14:paraId="302262BE" w14:textId="77777777" w:rsidR="00AC4FA3" w:rsidRDefault="00AC4FA3" w:rsidP="00AC4FA3">
            <w:pPr>
              <w:spacing w:after="0" w:line="240" w:lineRule="auto"/>
              <w:jc w:val="both"/>
            </w:pPr>
            <w:r>
              <w:rPr>
                <w:rFonts w:ascii="Arial" w:eastAsia="Times New Roman" w:hAnsi="Arial" w:cs="Arial"/>
                <w:color w:val="000000"/>
                <w:sz w:val="18"/>
                <w:szCs w:val="18"/>
                <w:lang w:eastAsia="fr-FR"/>
              </w:rPr>
              <w:t>Observation</w:t>
            </w:r>
          </w:p>
        </w:tc>
        <w:tc>
          <w:tcPr>
            <w:tcW w:w="0" w:type="auto"/>
            <w:vMerge w:val="restart"/>
            <w:shd w:val="clear" w:color="auto" w:fill="auto"/>
            <w:vAlign w:val="center"/>
          </w:tcPr>
          <w:p w14:paraId="3232E2C0" w14:textId="77777777" w:rsidR="00AC4FA3" w:rsidRDefault="00AC4FA3" w:rsidP="00AC4FA3">
            <w:pPr>
              <w:spacing w:after="0" w:line="240" w:lineRule="auto"/>
              <w:jc w:val="both"/>
            </w:pPr>
            <w:r>
              <w:rPr>
                <w:rFonts w:ascii="Arial" w:eastAsia="Times New Roman" w:hAnsi="Arial" w:cs="Arial"/>
                <w:color w:val="000000"/>
                <w:sz w:val="18"/>
                <w:szCs w:val="18"/>
                <w:lang w:eastAsia="fr-FR"/>
              </w:rPr>
              <w:t>Mensuel</w:t>
            </w:r>
          </w:p>
        </w:tc>
        <w:tc>
          <w:tcPr>
            <w:tcW w:w="0" w:type="auto"/>
            <w:vMerge w:val="restart"/>
            <w:shd w:val="clear" w:color="auto" w:fill="auto"/>
            <w:vAlign w:val="center"/>
          </w:tcPr>
          <w:p w14:paraId="65319D6A" w14:textId="77777777" w:rsidR="00AC4FA3" w:rsidRDefault="00AC4FA3" w:rsidP="00AC4FA3">
            <w:pPr>
              <w:spacing w:after="0" w:line="240" w:lineRule="auto"/>
              <w:jc w:val="both"/>
            </w:pPr>
            <w:r>
              <w:rPr>
                <w:rFonts w:ascii="Arial" w:eastAsia="Times New Roman" w:hAnsi="Arial" w:cs="Arial"/>
                <w:color w:val="000000"/>
                <w:sz w:val="18"/>
                <w:szCs w:val="18"/>
                <w:lang w:eastAsia="fr-FR"/>
              </w:rPr>
              <w:t>Entreprise</w:t>
            </w:r>
          </w:p>
        </w:tc>
        <w:tc>
          <w:tcPr>
            <w:tcW w:w="0" w:type="auto"/>
            <w:vMerge w:val="restart"/>
            <w:shd w:val="clear" w:color="auto" w:fill="auto"/>
            <w:vAlign w:val="center"/>
          </w:tcPr>
          <w:p w14:paraId="3B70D828" w14:textId="77777777" w:rsidR="00AC4FA3" w:rsidRDefault="00AC4FA3" w:rsidP="00AC4FA3">
            <w:pPr>
              <w:spacing w:after="0" w:line="240" w:lineRule="auto"/>
              <w:jc w:val="both"/>
            </w:pPr>
            <w:r>
              <w:rPr>
                <w:rFonts w:ascii="Arial" w:eastAsia="Times New Roman" w:hAnsi="Arial" w:cs="Arial"/>
                <w:color w:val="000000"/>
                <w:sz w:val="18"/>
                <w:szCs w:val="18"/>
                <w:lang w:eastAsia="fr-FR"/>
              </w:rPr>
              <w:t>MdC</w:t>
            </w:r>
          </w:p>
        </w:tc>
      </w:tr>
      <w:tr w:rsidR="00481CF0" w14:paraId="20700477" w14:textId="77777777" w:rsidTr="0A1598FD">
        <w:trPr>
          <w:trHeight w:val="300"/>
        </w:trPr>
        <w:tc>
          <w:tcPr>
            <w:tcW w:w="0" w:type="auto"/>
            <w:vMerge/>
            <w:vAlign w:val="center"/>
          </w:tcPr>
          <w:p w14:paraId="5C83074F" w14:textId="77777777" w:rsidR="00AC4FA3" w:rsidRDefault="00AC4FA3" w:rsidP="00AC4FA3">
            <w:pPr>
              <w:spacing w:after="0" w:line="240" w:lineRule="auto"/>
              <w:jc w:val="both"/>
              <w:rPr>
                <w:rFonts w:ascii="Arial" w:eastAsia="Times New Roman" w:hAnsi="Arial" w:cs="Arial"/>
                <w:sz w:val="18"/>
                <w:szCs w:val="18"/>
                <w:lang w:eastAsia="fr-FR"/>
              </w:rPr>
            </w:pPr>
          </w:p>
        </w:tc>
        <w:tc>
          <w:tcPr>
            <w:tcW w:w="0" w:type="auto"/>
            <w:shd w:val="clear" w:color="auto" w:fill="auto"/>
            <w:vAlign w:val="center"/>
          </w:tcPr>
          <w:p w14:paraId="29BC413C" w14:textId="77777777" w:rsidR="00AC4FA3" w:rsidRDefault="00AC4FA3" w:rsidP="00AC4FA3">
            <w:pPr>
              <w:spacing w:after="0" w:line="240" w:lineRule="auto"/>
              <w:jc w:val="both"/>
            </w:pPr>
            <w:r>
              <w:rPr>
                <w:rFonts w:ascii="Arial" w:eastAsia="Times New Roman" w:hAnsi="Arial" w:cs="Arial"/>
                <w:color w:val="000000"/>
                <w:sz w:val="18"/>
                <w:szCs w:val="18"/>
                <w:lang w:eastAsia="fr-FR"/>
              </w:rPr>
              <w:t xml:space="preserve">Information / Sensibilisation du personnel de l’entreprise sur les dangers et risques des IST/SIDA. Information / sensibilisation sur les </w:t>
            </w:r>
            <w:r>
              <w:rPr>
                <w:rFonts w:ascii="Arial" w:eastAsia="Times New Roman" w:hAnsi="Arial" w:cs="Arial"/>
                <w:color w:val="000000"/>
                <w:sz w:val="18"/>
                <w:szCs w:val="18"/>
                <w:lang w:eastAsia="fr-FR"/>
              </w:rPr>
              <w:lastRenderedPageBreak/>
              <w:t>mœurs locales. Mise à disposition de registre de plainte auprès des autorités locales</w:t>
            </w:r>
          </w:p>
        </w:tc>
        <w:tc>
          <w:tcPr>
            <w:tcW w:w="0" w:type="auto"/>
            <w:vMerge/>
            <w:vAlign w:val="center"/>
          </w:tcPr>
          <w:p w14:paraId="361F64FA"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6D719DEA"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3AC404B5"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0CF56069"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3C8048A7"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r>
      <w:tr w:rsidR="00481CF0" w14:paraId="6B47553F" w14:textId="77777777" w:rsidTr="0A1598FD">
        <w:trPr>
          <w:trHeight w:val="492"/>
        </w:trPr>
        <w:tc>
          <w:tcPr>
            <w:tcW w:w="0" w:type="auto"/>
            <w:shd w:val="clear" w:color="auto" w:fill="auto"/>
            <w:vAlign w:val="center"/>
          </w:tcPr>
          <w:p w14:paraId="0467FBE3" w14:textId="77777777" w:rsidR="00AC4FA3" w:rsidRDefault="00AC4FA3" w:rsidP="00AC4FA3">
            <w:pPr>
              <w:spacing w:after="0" w:line="240" w:lineRule="auto"/>
              <w:jc w:val="both"/>
            </w:pPr>
            <w:r>
              <w:rPr>
                <w:rFonts w:ascii="Arial" w:eastAsia="Times New Roman" w:hAnsi="Arial" w:cs="Arial"/>
                <w:sz w:val="18"/>
                <w:szCs w:val="18"/>
                <w:lang w:eastAsia="fr-FR"/>
              </w:rPr>
              <w:t>Risque d'augmentation des cas de VBG, EAS/HS et grossesse non désirée</w:t>
            </w:r>
          </w:p>
        </w:tc>
        <w:tc>
          <w:tcPr>
            <w:tcW w:w="0" w:type="auto"/>
            <w:shd w:val="clear" w:color="auto" w:fill="auto"/>
            <w:vAlign w:val="center"/>
          </w:tcPr>
          <w:p w14:paraId="2436DEDA" w14:textId="77777777" w:rsidR="00AC4FA3" w:rsidRDefault="00AC4FA3" w:rsidP="00AC4FA3">
            <w:pPr>
              <w:spacing w:after="0" w:line="240" w:lineRule="auto"/>
              <w:jc w:val="both"/>
            </w:pPr>
            <w:r>
              <w:rPr>
                <w:rFonts w:ascii="Arial" w:eastAsia="Times New Roman" w:hAnsi="Arial" w:cs="Arial"/>
                <w:color w:val="000000"/>
                <w:sz w:val="18"/>
                <w:szCs w:val="18"/>
                <w:lang w:eastAsia="fr-FR"/>
              </w:rPr>
              <w:t>Information / Sensibilisation du personnel de l’entreprise sur les dangers et risques des IST/SIDA. Information / sensibilisation sur les mœurs locales. Mise à disposition de registre de plainte auprès des autorités locales</w:t>
            </w:r>
          </w:p>
        </w:tc>
        <w:tc>
          <w:tcPr>
            <w:tcW w:w="0" w:type="auto"/>
            <w:shd w:val="clear" w:color="auto" w:fill="auto"/>
            <w:vAlign w:val="center"/>
          </w:tcPr>
          <w:p w14:paraId="68100B30" w14:textId="77777777" w:rsidR="00AC4FA3" w:rsidRDefault="00AC4FA3" w:rsidP="00AC4FA3">
            <w:pPr>
              <w:spacing w:after="0" w:line="240" w:lineRule="auto"/>
              <w:jc w:val="both"/>
            </w:pPr>
            <w:r>
              <w:rPr>
                <w:rFonts w:ascii="Arial" w:eastAsia="Times New Roman" w:hAnsi="Arial" w:cs="Arial"/>
                <w:color w:val="000000"/>
                <w:sz w:val="18"/>
                <w:szCs w:val="18"/>
                <w:lang w:eastAsia="fr-FR"/>
              </w:rPr>
              <w:t>PV + Liste de présence. Registre de plainte déposé auprès des autorités locales</w:t>
            </w:r>
          </w:p>
        </w:tc>
        <w:tc>
          <w:tcPr>
            <w:tcW w:w="0" w:type="auto"/>
            <w:shd w:val="clear" w:color="auto" w:fill="auto"/>
            <w:vAlign w:val="center"/>
          </w:tcPr>
          <w:p w14:paraId="4A8A20E8" w14:textId="77777777" w:rsidR="00AC4FA3" w:rsidRDefault="00AC4FA3" w:rsidP="00AC4FA3">
            <w:pPr>
              <w:spacing w:after="0" w:line="240" w:lineRule="auto"/>
              <w:jc w:val="both"/>
            </w:pPr>
            <w:r>
              <w:rPr>
                <w:rFonts w:ascii="Arial" w:eastAsia="Times New Roman" w:hAnsi="Arial" w:cs="Arial"/>
                <w:color w:val="000000"/>
                <w:sz w:val="18"/>
                <w:szCs w:val="18"/>
                <w:lang w:eastAsia="fr-FR"/>
              </w:rPr>
              <w:t>Observation</w:t>
            </w:r>
          </w:p>
        </w:tc>
        <w:tc>
          <w:tcPr>
            <w:tcW w:w="0" w:type="auto"/>
            <w:shd w:val="clear" w:color="auto" w:fill="auto"/>
            <w:vAlign w:val="center"/>
          </w:tcPr>
          <w:p w14:paraId="301D3069" w14:textId="77777777" w:rsidR="00AC4FA3" w:rsidRDefault="00AC4FA3" w:rsidP="00AC4FA3">
            <w:pPr>
              <w:spacing w:after="0" w:line="240" w:lineRule="auto"/>
              <w:jc w:val="both"/>
            </w:pPr>
            <w:r>
              <w:rPr>
                <w:rFonts w:ascii="Arial" w:eastAsia="Times New Roman" w:hAnsi="Arial" w:cs="Arial"/>
                <w:color w:val="000000"/>
                <w:sz w:val="18"/>
                <w:szCs w:val="18"/>
                <w:lang w:eastAsia="fr-FR"/>
              </w:rPr>
              <w:t>Mensuel</w:t>
            </w:r>
          </w:p>
        </w:tc>
        <w:tc>
          <w:tcPr>
            <w:tcW w:w="0" w:type="auto"/>
            <w:shd w:val="clear" w:color="auto" w:fill="auto"/>
            <w:vAlign w:val="center"/>
          </w:tcPr>
          <w:p w14:paraId="6AD6F499" w14:textId="77777777" w:rsidR="00AC4FA3" w:rsidRDefault="00AC4FA3" w:rsidP="00AC4FA3">
            <w:pPr>
              <w:spacing w:after="0" w:line="240" w:lineRule="auto"/>
              <w:jc w:val="both"/>
            </w:pPr>
            <w:r>
              <w:rPr>
                <w:rFonts w:ascii="Arial" w:eastAsia="Times New Roman" w:hAnsi="Arial" w:cs="Arial"/>
                <w:color w:val="000000"/>
                <w:sz w:val="18"/>
                <w:szCs w:val="18"/>
                <w:lang w:eastAsia="fr-FR"/>
              </w:rPr>
              <w:t>Entreprise</w:t>
            </w:r>
          </w:p>
        </w:tc>
        <w:tc>
          <w:tcPr>
            <w:tcW w:w="0" w:type="auto"/>
            <w:shd w:val="clear" w:color="auto" w:fill="auto"/>
            <w:vAlign w:val="center"/>
          </w:tcPr>
          <w:p w14:paraId="53728439" w14:textId="77777777" w:rsidR="00AC4FA3" w:rsidRDefault="00AC4FA3" w:rsidP="00AC4FA3">
            <w:pPr>
              <w:spacing w:after="0" w:line="240" w:lineRule="auto"/>
              <w:jc w:val="both"/>
            </w:pPr>
            <w:r>
              <w:rPr>
                <w:rFonts w:ascii="Arial" w:eastAsia="Times New Roman" w:hAnsi="Arial" w:cs="Arial"/>
                <w:color w:val="000000"/>
                <w:sz w:val="18"/>
                <w:szCs w:val="18"/>
                <w:lang w:eastAsia="fr-FR"/>
              </w:rPr>
              <w:t>MdC</w:t>
            </w:r>
          </w:p>
        </w:tc>
      </w:tr>
      <w:tr w:rsidR="00481CF0" w14:paraId="1B7D95AE" w14:textId="77777777" w:rsidTr="0A1598FD">
        <w:trPr>
          <w:trHeight w:val="972"/>
        </w:trPr>
        <w:tc>
          <w:tcPr>
            <w:tcW w:w="0" w:type="auto"/>
            <w:shd w:val="clear" w:color="auto" w:fill="auto"/>
            <w:vAlign w:val="center"/>
          </w:tcPr>
          <w:p w14:paraId="2A9E4A39" w14:textId="77777777" w:rsidR="00AC4FA3" w:rsidRDefault="00AC4FA3" w:rsidP="00AC4FA3">
            <w:pPr>
              <w:spacing w:after="0" w:line="240" w:lineRule="auto"/>
              <w:jc w:val="both"/>
            </w:pPr>
            <w:r>
              <w:rPr>
                <w:rFonts w:ascii="Arial" w:eastAsia="Times New Roman" w:hAnsi="Arial" w:cs="Arial"/>
                <w:sz w:val="18"/>
                <w:szCs w:val="18"/>
                <w:lang w:eastAsia="fr-FR"/>
              </w:rPr>
              <w:t>Risque d’accident de circulation</w:t>
            </w:r>
          </w:p>
        </w:tc>
        <w:tc>
          <w:tcPr>
            <w:tcW w:w="0" w:type="auto"/>
            <w:shd w:val="clear" w:color="auto" w:fill="auto"/>
            <w:vAlign w:val="center"/>
          </w:tcPr>
          <w:p w14:paraId="15923BC2" w14:textId="77777777" w:rsidR="00AC4FA3" w:rsidRDefault="00AC4FA3" w:rsidP="00AC4FA3">
            <w:pPr>
              <w:spacing w:after="0" w:line="240" w:lineRule="auto"/>
              <w:jc w:val="both"/>
            </w:pPr>
            <w:r>
              <w:rPr>
                <w:rFonts w:ascii="Arial" w:eastAsia="Times New Roman" w:hAnsi="Arial" w:cs="Arial"/>
                <w:color w:val="000000"/>
                <w:sz w:val="18"/>
                <w:szCs w:val="18"/>
                <w:lang w:eastAsia="fr-FR"/>
              </w:rPr>
              <w:t>Formation / sensibilisation sur les risques d'accident liés à chaque poste de travail Respect des consignes de conduite des engins. Mise en place de signaux de signalisation adéquats. Port d'EPI adéquat</w:t>
            </w:r>
          </w:p>
        </w:tc>
        <w:tc>
          <w:tcPr>
            <w:tcW w:w="0" w:type="auto"/>
            <w:shd w:val="clear" w:color="auto" w:fill="auto"/>
            <w:vAlign w:val="center"/>
          </w:tcPr>
          <w:p w14:paraId="260B4D28" w14:textId="77777777" w:rsidR="00AC4FA3" w:rsidRDefault="00AC4FA3" w:rsidP="00AC4FA3">
            <w:pPr>
              <w:spacing w:after="0" w:line="240" w:lineRule="auto"/>
              <w:jc w:val="both"/>
            </w:pPr>
            <w:r>
              <w:rPr>
                <w:rFonts w:ascii="Arial" w:eastAsia="Times New Roman" w:hAnsi="Arial" w:cs="Arial"/>
                <w:color w:val="000000"/>
                <w:sz w:val="18"/>
                <w:szCs w:val="18"/>
                <w:lang w:eastAsia="fr-FR"/>
              </w:rPr>
              <w:t>Registre des accidents</w:t>
            </w:r>
          </w:p>
        </w:tc>
        <w:tc>
          <w:tcPr>
            <w:tcW w:w="0" w:type="auto"/>
            <w:shd w:val="clear" w:color="auto" w:fill="auto"/>
            <w:vAlign w:val="center"/>
          </w:tcPr>
          <w:p w14:paraId="1A9BBC8B" w14:textId="77777777" w:rsidR="00AC4FA3" w:rsidRDefault="00AC4FA3" w:rsidP="00AC4FA3">
            <w:pPr>
              <w:spacing w:after="0" w:line="240" w:lineRule="auto"/>
              <w:jc w:val="both"/>
            </w:pPr>
            <w:r>
              <w:rPr>
                <w:rFonts w:ascii="Arial" w:eastAsia="Times New Roman" w:hAnsi="Arial" w:cs="Arial"/>
                <w:color w:val="000000"/>
                <w:sz w:val="18"/>
                <w:szCs w:val="18"/>
                <w:lang w:eastAsia="fr-FR"/>
              </w:rPr>
              <w:t>Observation</w:t>
            </w:r>
          </w:p>
        </w:tc>
        <w:tc>
          <w:tcPr>
            <w:tcW w:w="0" w:type="auto"/>
            <w:shd w:val="clear" w:color="auto" w:fill="auto"/>
            <w:vAlign w:val="center"/>
          </w:tcPr>
          <w:p w14:paraId="639CDF22" w14:textId="77777777" w:rsidR="00AC4FA3" w:rsidRDefault="00AC4FA3" w:rsidP="00AC4FA3">
            <w:pPr>
              <w:spacing w:after="0" w:line="240" w:lineRule="auto"/>
              <w:jc w:val="both"/>
            </w:pPr>
            <w:r>
              <w:rPr>
                <w:rFonts w:ascii="Arial" w:eastAsia="Times New Roman" w:hAnsi="Arial" w:cs="Arial"/>
                <w:color w:val="000000"/>
                <w:sz w:val="18"/>
                <w:szCs w:val="18"/>
                <w:lang w:eastAsia="fr-FR"/>
              </w:rPr>
              <w:t>Mensuel</w:t>
            </w:r>
          </w:p>
        </w:tc>
        <w:tc>
          <w:tcPr>
            <w:tcW w:w="0" w:type="auto"/>
            <w:shd w:val="clear" w:color="auto" w:fill="auto"/>
            <w:vAlign w:val="center"/>
          </w:tcPr>
          <w:p w14:paraId="142915DD" w14:textId="77777777" w:rsidR="00AC4FA3" w:rsidRDefault="00AC4FA3" w:rsidP="00AC4FA3">
            <w:pPr>
              <w:spacing w:after="0" w:line="240" w:lineRule="auto"/>
              <w:jc w:val="both"/>
            </w:pPr>
            <w:r>
              <w:rPr>
                <w:rFonts w:ascii="Arial" w:eastAsia="Times New Roman" w:hAnsi="Arial" w:cs="Arial"/>
                <w:color w:val="000000"/>
                <w:sz w:val="18"/>
                <w:szCs w:val="18"/>
                <w:lang w:eastAsia="fr-FR"/>
              </w:rPr>
              <w:t>Entreprise</w:t>
            </w:r>
          </w:p>
        </w:tc>
        <w:tc>
          <w:tcPr>
            <w:tcW w:w="0" w:type="auto"/>
            <w:shd w:val="clear" w:color="auto" w:fill="auto"/>
            <w:vAlign w:val="center"/>
          </w:tcPr>
          <w:p w14:paraId="07387217" w14:textId="77777777" w:rsidR="00AC4FA3" w:rsidRDefault="00AC4FA3" w:rsidP="00AC4FA3">
            <w:pPr>
              <w:spacing w:after="0" w:line="240" w:lineRule="auto"/>
              <w:jc w:val="both"/>
            </w:pPr>
            <w:r>
              <w:rPr>
                <w:rFonts w:ascii="Arial" w:eastAsia="Times New Roman" w:hAnsi="Arial" w:cs="Arial"/>
                <w:color w:val="000000"/>
                <w:sz w:val="18"/>
                <w:szCs w:val="18"/>
                <w:lang w:eastAsia="fr-FR"/>
              </w:rPr>
              <w:t>MdC</w:t>
            </w:r>
          </w:p>
        </w:tc>
      </w:tr>
      <w:tr w:rsidR="00481CF0" w14:paraId="0E733BCF" w14:textId="77777777" w:rsidTr="0A1598FD">
        <w:trPr>
          <w:trHeight w:val="288"/>
        </w:trPr>
        <w:tc>
          <w:tcPr>
            <w:tcW w:w="0" w:type="auto"/>
            <w:vMerge w:val="restart"/>
            <w:shd w:val="clear" w:color="auto" w:fill="auto"/>
            <w:vAlign w:val="center"/>
          </w:tcPr>
          <w:p w14:paraId="3BE3E5F7" w14:textId="77777777" w:rsidR="00AC4FA3" w:rsidRDefault="00AC4FA3" w:rsidP="00AC4FA3">
            <w:pPr>
              <w:spacing w:after="0" w:line="240" w:lineRule="auto"/>
              <w:jc w:val="both"/>
            </w:pPr>
            <w:r>
              <w:rPr>
                <w:rFonts w:ascii="Arial" w:eastAsia="Times New Roman" w:hAnsi="Arial" w:cs="Arial"/>
                <w:sz w:val="18"/>
                <w:szCs w:val="18"/>
                <w:lang w:eastAsia="fr-FR"/>
              </w:rPr>
              <w:t>Risque d’accident de travail</w:t>
            </w:r>
          </w:p>
        </w:tc>
        <w:tc>
          <w:tcPr>
            <w:tcW w:w="0" w:type="auto"/>
            <w:shd w:val="clear" w:color="auto" w:fill="auto"/>
            <w:vAlign w:val="center"/>
          </w:tcPr>
          <w:p w14:paraId="30F9FF96" w14:textId="77777777" w:rsidR="00AC4FA3" w:rsidRDefault="00AC4FA3" w:rsidP="00AC4FA3">
            <w:pPr>
              <w:spacing w:after="0" w:line="240" w:lineRule="auto"/>
              <w:jc w:val="both"/>
            </w:pPr>
            <w:r>
              <w:rPr>
                <w:rFonts w:ascii="Arial" w:eastAsia="Times New Roman" w:hAnsi="Arial" w:cs="Arial"/>
                <w:color w:val="000000"/>
                <w:sz w:val="18"/>
                <w:szCs w:val="18"/>
                <w:lang w:eastAsia="fr-FR"/>
              </w:rPr>
              <w:t>Formation / sensibilisation sur les risques d'accident liés à chaque poste de travail</w:t>
            </w:r>
          </w:p>
        </w:tc>
        <w:tc>
          <w:tcPr>
            <w:tcW w:w="0" w:type="auto"/>
            <w:vMerge w:val="restart"/>
            <w:shd w:val="clear" w:color="auto" w:fill="auto"/>
            <w:vAlign w:val="center"/>
          </w:tcPr>
          <w:p w14:paraId="01CEE295" w14:textId="77777777" w:rsidR="00AC4FA3" w:rsidRDefault="00AC4FA3" w:rsidP="00AC4FA3">
            <w:pPr>
              <w:spacing w:after="0" w:line="240" w:lineRule="auto"/>
              <w:jc w:val="both"/>
            </w:pPr>
            <w:r>
              <w:rPr>
                <w:rFonts w:ascii="Arial" w:eastAsia="Times New Roman" w:hAnsi="Arial" w:cs="Arial"/>
                <w:color w:val="000000"/>
                <w:sz w:val="18"/>
                <w:szCs w:val="18"/>
                <w:lang w:eastAsia="fr-FR"/>
              </w:rPr>
              <w:t>Registre des accidents</w:t>
            </w:r>
          </w:p>
        </w:tc>
        <w:tc>
          <w:tcPr>
            <w:tcW w:w="0" w:type="auto"/>
            <w:vMerge w:val="restart"/>
            <w:shd w:val="clear" w:color="auto" w:fill="auto"/>
            <w:vAlign w:val="center"/>
          </w:tcPr>
          <w:p w14:paraId="78D70D5F" w14:textId="77777777" w:rsidR="00AC4FA3" w:rsidRDefault="00AC4FA3" w:rsidP="00AC4FA3">
            <w:pPr>
              <w:spacing w:after="0" w:line="240" w:lineRule="auto"/>
              <w:jc w:val="both"/>
            </w:pPr>
            <w:r>
              <w:rPr>
                <w:rFonts w:ascii="Arial" w:eastAsia="Times New Roman" w:hAnsi="Arial" w:cs="Arial"/>
                <w:color w:val="000000"/>
                <w:sz w:val="18"/>
                <w:szCs w:val="18"/>
                <w:lang w:eastAsia="fr-FR"/>
              </w:rPr>
              <w:t>Observation</w:t>
            </w:r>
          </w:p>
        </w:tc>
        <w:tc>
          <w:tcPr>
            <w:tcW w:w="0" w:type="auto"/>
            <w:vMerge w:val="restart"/>
            <w:shd w:val="clear" w:color="auto" w:fill="auto"/>
            <w:vAlign w:val="center"/>
          </w:tcPr>
          <w:p w14:paraId="6D28EBE6" w14:textId="77777777" w:rsidR="00AC4FA3" w:rsidRDefault="00AC4FA3" w:rsidP="00AC4FA3">
            <w:pPr>
              <w:spacing w:after="0" w:line="240" w:lineRule="auto"/>
              <w:jc w:val="both"/>
            </w:pPr>
            <w:r>
              <w:rPr>
                <w:rFonts w:ascii="Arial" w:eastAsia="Times New Roman" w:hAnsi="Arial" w:cs="Arial"/>
                <w:color w:val="000000"/>
                <w:sz w:val="18"/>
                <w:szCs w:val="18"/>
                <w:lang w:eastAsia="fr-FR"/>
              </w:rPr>
              <w:t>Mensuel</w:t>
            </w:r>
          </w:p>
        </w:tc>
        <w:tc>
          <w:tcPr>
            <w:tcW w:w="0" w:type="auto"/>
            <w:vMerge w:val="restart"/>
            <w:shd w:val="clear" w:color="auto" w:fill="auto"/>
            <w:vAlign w:val="center"/>
          </w:tcPr>
          <w:p w14:paraId="55EEC72C" w14:textId="77777777" w:rsidR="00AC4FA3" w:rsidRDefault="00AC4FA3" w:rsidP="00AC4FA3">
            <w:pPr>
              <w:spacing w:after="0" w:line="240" w:lineRule="auto"/>
              <w:jc w:val="both"/>
            </w:pPr>
            <w:r>
              <w:rPr>
                <w:rFonts w:ascii="Arial" w:eastAsia="Times New Roman" w:hAnsi="Arial" w:cs="Arial"/>
                <w:color w:val="000000"/>
                <w:sz w:val="18"/>
                <w:szCs w:val="18"/>
                <w:lang w:eastAsia="fr-FR"/>
              </w:rPr>
              <w:t>Entreprise</w:t>
            </w:r>
          </w:p>
        </w:tc>
        <w:tc>
          <w:tcPr>
            <w:tcW w:w="0" w:type="auto"/>
            <w:vMerge w:val="restart"/>
            <w:shd w:val="clear" w:color="auto" w:fill="auto"/>
            <w:vAlign w:val="center"/>
          </w:tcPr>
          <w:p w14:paraId="445BBD20" w14:textId="77777777" w:rsidR="00AC4FA3" w:rsidRDefault="00AC4FA3" w:rsidP="00AC4FA3">
            <w:pPr>
              <w:spacing w:after="0" w:line="240" w:lineRule="auto"/>
              <w:jc w:val="both"/>
            </w:pPr>
            <w:r>
              <w:rPr>
                <w:rFonts w:ascii="Arial" w:eastAsia="Times New Roman" w:hAnsi="Arial" w:cs="Arial"/>
                <w:color w:val="000000"/>
                <w:sz w:val="18"/>
                <w:szCs w:val="18"/>
                <w:lang w:eastAsia="fr-FR"/>
              </w:rPr>
              <w:t>MdC</w:t>
            </w:r>
          </w:p>
        </w:tc>
      </w:tr>
      <w:tr w:rsidR="00481CF0" w14:paraId="4CC7019B" w14:textId="77777777" w:rsidTr="0A1598FD">
        <w:trPr>
          <w:trHeight w:val="300"/>
        </w:trPr>
        <w:tc>
          <w:tcPr>
            <w:tcW w:w="0" w:type="auto"/>
            <w:vMerge/>
            <w:vAlign w:val="center"/>
          </w:tcPr>
          <w:p w14:paraId="75CA3D1A" w14:textId="77777777" w:rsidR="00AC4FA3" w:rsidRDefault="00AC4FA3" w:rsidP="00AC4FA3">
            <w:pPr>
              <w:spacing w:after="0" w:line="240" w:lineRule="auto"/>
              <w:jc w:val="both"/>
              <w:rPr>
                <w:rFonts w:ascii="Arial" w:eastAsia="Times New Roman" w:hAnsi="Arial" w:cs="Arial"/>
                <w:sz w:val="18"/>
                <w:szCs w:val="18"/>
                <w:lang w:eastAsia="fr-FR"/>
              </w:rPr>
            </w:pPr>
          </w:p>
        </w:tc>
        <w:tc>
          <w:tcPr>
            <w:tcW w:w="0" w:type="auto"/>
            <w:shd w:val="clear" w:color="auto" w:fill="auto"/>
            <w:vAlign w:val="center"/>
          </w:tcPr>
          <w:p w14:paraId="6A970488" w14:textId="77777777" w:rsidR="00AC4FA3" w:rsidRDefault="00AC4FA3" w:rsidP="00AC4FA3">
            <w:pPr>
              <w:spacing w:after="0" w:line="240" w:lineRule="auto"/>
              <w:jc w:val="both"/>
            </w:pPr>
            <w:r>
              <w:rPr>
                <w:rFonts w:ascii="Arial" w:eastAsia="Times New Roman" w:hAnsi="Arial" w:cs="Arial"/>
                <w:color w:val="000000"/>
                <w:sz w:val="18"/>
                <w:szCs w:val="18"/>
                <w:lang w:eastAsia="fr-FR"/>
              </w:rPr>
              <w:t>Port d'EPI adéquat</w:t>
            </w:r>
          </w:p>
        </w:tc>
        <w:tc>
          <w:tcPr>
            <w:tcW w:w="0" w:type="auto"/>
            <w:vMerge/>
            <w:vAlign w:val="center"/>
          </w:tcPr>
          <w:p w14:paraId="3E95B970"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10F7C3F9"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0C25E979"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257A7B69"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66DD2450"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r>
      <w:tr w:rsidR="00481CF0" w14:paraId="069A6473" w14:textId="77777777" w:rsidTr="0A1598FD">
        <w:trPr>
          <w:trHeight w:val="300"/>
        </w:trPr>
        <w:tc>
          <w:tcPr>
            <w:tcW w:w="0" w:type="auto"/>
            <w:vMerge w:val="restart"/>
            <w:shd w:val="clear" w:color="auto" w:fill="auto"/>
            <w:vAlign w:val="center"/>
          </w:tcPr>
          <w:p w14:paraId="09956A68" w14:textId="77777777" w:rsidR="002212D7" w:rsidRDefault="002212D7" w:rsidP="00AC4FA3">
            <w:pPr>
              <w:spacing w:after="0" w:line="240" w:lineRule="auto"/>
              <w:jc w:val="both"/>
            </w:pPr>
            <w:r>
              <w:rPr>
                <w:rFonts w:ascii="Arial" w:eastAsia="Times New Roman" w:hAnsi="Arial" w:cs="Arial"/>
                <w:sz w:val="18"/>
                <w:szCs w:val="18"/>
                <w:lang w:eastAsia="fr-FR"/>
              </w:rPr>
              <w:t>Risque d’incendie et d'explosion</w:t>
            </w:r>
          </w:p>
        </w:tc>
        <w:tc>
          <w:tcPr>
            <w:tcW w:w="0" w:type="auto"/>
            <w:shd w:val="clear" w:color="auto" w:fill="auto"/>
            <w:vAlign w:val="center"/>
          </w:tcPr>
          <w:p w14:paraId="441FDC1E" w14:textId="77777777" w:rsidR="002212D7" w:rsidRDefault="002212D7" w:rsidP="00AC4FA3">
            <w:pPr>
              <w:spacing w:after="0" w:line="240" w:lineRule="auto"/>
              <w:jc w:val="both"/>
            </w:pPr>
            <w:r>
              <w:rPr>
                <w:rFonts w:ascii="Arial" w:eastAsia="Times New Roman" w:hAnsi="Arial" w:cs="Arial"/>
                <w:color w:val="000000"/>
                <w:sz w:val="18"/>
                <w:szCs w:val="18"/>
                <w:lang w:eastAsia="fr-FR"/>
              </w:rPr>
              <w:t>Mise en place de dispositifs de lutte contre l'incendie</w:t>
            </w:r>
          </w:p>
        </w:tc>
        <w:tc>
          <w:tcPr>
            <w:tcW w:w="0" w:type="auto"/>
            <w:shd w:val="clear" w:color="auto" w:fill="auto"/>
            <w:vAlign w:val="center"/>
          </w:tcPr>
          <w:p w14:paraId="154C378E" w14:textId="77777777" w:rsidR="002212D7" w:rsidRPr="005D6D41" w:rsidRDefault="002212D7" w:rsidP="00AC4FA3">
            <w:pPr>
              <w:spacing w:after="0" w:line="240" w:lineRule="auto"/>
              <w:jc w:val="both"/>
              <w:rPr>
                <w:rFonts w:ascii="Arial" w:eastAsia="Times New Roman" w:hAnsi="Arial" w:cs="Arial"/>
                <w:color w:val="000000"/>
                <w:sz w:val="18"/>
                <w:szCs w:val="18"/>
                <w:lang w:eastAsia="fr-FR"/>
              </w:rPr>
            </w:pPr>
            <w:r w:rsidRPr="005D6D41">
              <w:rPr>
                <w:rFonts w:ascii="Arial" w:eastAsia="Times New Roman" w:hAnsi="Arial" w:cs="Arial"/>
                <w:color w:val="000000"/>
                <w:sz w:val="18"/>
                <w:szCs w:val="18"/>
                <w:lang w:eastAsia="fr-FR"/>
              </w:rPr>
              <w:t>Dispositifs de lutte anti incendie mis en place</w:t>
            </w:r>
          </w:p>
        </w:tc>
        <w:tc>
          <w:tcPr>
            <w:tcW w:w="0" w:type="auto"/>
            <w:shd w:val="clear" w:color="auto" w:fill="auto"/>
            <w:vAlign w:val="center"/>
          </w:tcPr>
          <w:p w14:paraId="27FBEF18" w14:textId="77777777" w:rsidR="002212D7" w:rsidRDefault="002212D7" w:rsidP="00AC4FA3">
            <w:pPr>
              <w:spacing w:after="0" w:line="240" w:lineRule="auto"/>
              <w:jc w:val="both"/>
            </w:pPr>
            <w:r>
              <w:rPr>
                <w:rFonts w:ascii="Arial" w:eastAsia="Times New Roman" w:hAnsi="Arial" w:cs="Arial"/>
                <w:color w:val="000000"/>
                <w:sz w:val="18"/>
                <w:szCs w:val="18"/>
                <w:lang w:eastAsia="fr-FR"/>
              </w:rPr>
              <w:t>Observation</w:t>
            </w:r>
          </w:p>
        </w:tc>
        <w:tc>
          <w:tcPr>
            <w:tcW w:w="0" w:type="auto"/>
            <w:shd w:val="clear" w:color="auto" w:fill="auto"/>
            <w:vAlign w:val="center"/>
          </w:tcPr>
          <w:p w14:paraId="07104184" w14:textId="77777777" w:rsidR="002212D7" w:rsidRDefault="002212D7" w:rsidP="00AC4FA3">
            <w:pPr>
              <w:spacing w:after="0" w:line="240" w:lineRule="auto"/>
              <w:jc w:val="both"/>
            </w:pPr>
            <w:r>
              <w:rPr>
                <w:rFonts w:ascii="Arial" w:eastAsia="Times New Roman" w:hAnsi="Arial" w:cs="Arial"/>
                <w:color w:val="000000"/>
                <w:sz w:val="18"/>
                <w:szCs w:val="18"/>
                <w:lang w:eastAsia="fr-FR"/>
              </w:rPr>
              <w:t>Mensuel</w:t>
            </w:r>
          </w:p>
        </w:tc>
        <w:tc>
          <w:tcPr>
            <w:tcW w:w="0" w:type="auto"/>
            <w:shd w:val="clear" w:color="auto" w:fill="auto"/>
            <w:vAlign w:val="center"/>
          </w:tcPr>
          <w:p w14:paraId="15AE179C" w14:textId="77777777" w:rsidR="002212D7" w:rsidRDefault="002212D7" w:rsidP="00AC4FA3">
            <w:pPr>
              <w:spacing w:after="0" w:line="240" w:lineRule="auto"/>
              <w:jc w:val="both"/>
            </w:pPr>
            <w:r>
              <w:rPr>
                <w:rFonts w:ascii="Arial" w:eastAsia="Times New Roman" w:hAnsi="Arial" w:cs="Arial"/>
                <w:color w:val="000000"/>
                <w:sz w:val="18"/>
                <w:szCs w:val="18"/>
                <w:lang w:eastAsia="fr-FR"/>
              </w:rPr>
              <w:t>Entreprise</w:t>
            </w:r>
          </w:p>
        </w:tc>
        <w:tc>
          <w:tcPr>
            <w:tcW w:w="0" w:type="auto"/>
            <w:shd w:val="clear" w:color="auto" w:fill="auto"/>
            <w:vAlign w:val="center"/>
          </w:tcPr>
          <w:p w14:paraId="52CC670E" w14:textId="77777777" w:rsidR="002212D7" w:rsidRDefault="002212D7" w:rsidP="00AC4FA3">
            <w:pPr>
              <w:spacing w:after="0" w:line="240" w:lineRule="auto"/>
              <w:jc w:val="both"/>
            </w:pPr>
            <w:r>
              <w:rPr>
                <w:rFonts w:ascii="Arial" w:eastAsia="Times New Roman" w:hAnsi="Arial" w:cs="Arial"/>
                <w:color w:val="000000"/>
                <w:sz w:val="18"/>
                <w:szCs w:val="18"/>
                <w:lang w:eastAsia="fr-FR"/>
              </w:rPr>
              <w:t>MdC</w:t>
            </w:r>
          </w:p>
        </w:tc>
      </w:tr>
      <w:tr w:rsidR="00481CF0" w14:paraId="7656E6E2" w14:textId="77777777" w:rsidTr="0A1598FD">
        <w:trPr>
          <w:trHeight w:val="300"/>
        </w:trPr>
        <w:tc>
          <w:tcPr>
            <w:tcW w:w="0" w:type="auto"/>
            <w:vMerge/>
            <w:vAlign w:val="center"/>
          </w:tcPr>
          <w:p w14:paraId="6C0C3384" w14:textId="77777777" w:rsidR="002212D7" w:rsidRDefault="002212D7" w:rsidP="00AC4FA3">
            <w:pPr>
              <w:spacing w:after="0" w:line="240" w:lineRule="auto"/>
              <w:jc w:val="both"/>
              <w:rPr>
                <w:rFonts w:ascii="Arial" w:eastAsia="Times New Roman" w:hAnsi="Arial" w:cs="Arial"/>
                <w:sz w:val="18"/>
                <w:szCs w:val="18"/>
                <w:lang w:eastAsia="fr-FR"/>
              </w:rPr>
            </w:pPr>
          </w:p>
        </w:tc>
        <w:tc>
          <w:tcPr>
            <w:tcW w:w="0" w:type="auto"/>
            <w:shd w:val="clear" w:color="auto" w:fill="auto"/>
            <w:vAlign w:val="center"/>
          </w:tcPr>
          <w:p w14:paraId="2B214172" w14:textId="77777777" w:rsidR="002212D7" w:rsidRPr="005226F4" w:rsidRDefault="002212D7" w:rsidP="00B434A6">
            <w:pPr>
              <w:pStyle w:val="Commentaire"/>
              <w:ind w:left="0"/>
              <w:rPr>
                <w:rFonts w:ascii="Arial" w:eastAsia="Times New Roman" w:hAnsi="Arial" w:cs="Arial"/>
                <w:b/>
                <w:smallCaps/>
                <w:sz w:val="18"/>
                <w:szCs w:val="18"/>
                <w:lang w:val="fr-FR"/>
              </w:rPr>
            </w:pPr>
            <w:r w:rsidRPr="005226F4">
              <w:rPr>
                <w:rFonts w:ascii="Arial" w:eastAsia="Times New Roman" w:hAnsi="Arial" w:cs="Arial"/>
                <w:sz w:val="18"/>
                <w:szCs w:val="18"/>
                <w:lang w:val="fr-FR"/>
              </w:rPr>
              <w:t xml:space="preserve">Recyclage et formation du personnel sur les mesures de sécurité </w:t>
            </w:r>
            <w:r w:rsidRPr="005226F4">
              <w:rPr>
                <w:lang w:val="fr-FR"/>
              </w:rPr>
              <w:t>au niveau des sites</w:t>
            </w:r>
          </w:p>
        </w:tc>
        <w:tc>
          <w:tcPr>
            <w:tcW w:w="0" w:type="auto"/>
            <w:shd w:val="clear" w:color="auto" w:fill="auto"/>
            <w:vAlign w:val="center"/>
          </w:tcPr>
          <w:p w14:paraId="35D87ADF" w14:textId="77777777" w:rsidR="002212D7" w:rsidRPr="00742D67" w:rsidRDefault="002212D7" w:rsidP="00AC4FA3">
            <w:pPr>
              <w:spacing w:after="0" w:line="240" w:lineRule="auto"/>
              <w:jc w:val="both"/>
              <w:rPr>
                <w:rFonts w:ascii="Arial" w:eastAsia="Times New Roman" w:hAnsi="Arial" w:cs="Arial"/>
                <w:sz w:val="18"/>
                <w:szCs w:val="18"/>
                <w:lang w:eastAsia="fr-FR"/>
              </w:rPr>
            </w:pPr>
            <w:r w:rsidRPr="00742D67">
              <w:rPr>
                <w:rFonts w:ascii="Arial" w:eastAsia="Times New Roman" w:hAnsi="Arial" w:cs="Arial"/>
                <w:sz w:val="18"/>
                <w:szCs w:val="18"/>
                <w:lang w:eastAsia="fr-FR"/>
              </w:rPr>
              <w:t>Nb de formation</w:t>
            </w:r>
            <w:r w:rsidR="00481CF0">
              <w:rPr>
                <w:rFonts w:ascii="Arial" w:eastAsia="Times New Roman" w:hAnsi="Arial" w:cs="Arial"/>
                <w:sz w:val="18"/>
                <w:szCs w:val="18"/>
                <w:lang w:eastAsia="fr-FR"/>
              </w:rPr>
              <w:t>s</w:t>
            </w:r>
            <w:r w:rsidRPr="00742D67">
              <w:rPr>
                <w:rFonts w:ascii="Arial" w:eastAsia="Times New Roman" w:hAnsi="Arial" w:cs="Arial"/>
                <w:sz w:val="18"/>
                <w:szCs w:val="18"/>
                <w:lang w:eastAsia="fr-FR"/>
              </w:rPr>
              <w:t xml:space="preserve"> effectué</w:t>
            </w:r>
            <w:r w:rsidR="00481CF0">
              <w:rPr>
                <w:rFonts w:ascii="Arial" w:eastAsia="Times New Roman" w:hAnsi="Arial" w:cs="Arial"/>
                <w:sz w:val="18"/>
                <w:szCs w:val="18"/>
                <w:lang w:eastAsia="fr-FR"/>
              </w:rPr>
              <w:t>s</w:t>
            </w:r>
            <w:r w:rsidRPr="00742D67">
              <w:rPr>
                <w:rFonts w:ascii="Arial" w:eastAsia="Times New Roman" w:hAnsi="Arial" w:cs="Arial"/>
                <w:sz w:val="18"/>
                <w:szCs w:val="18"/>
                <w:lang w:eastAsia="fr-FR"/>
              </w:rPr>
              <w:t xml:space="preserve"> </w:t>
            </w:r>
          </w:p>
        </w:tc>
        <w:tc>
          <w:tcPr>
            <w:tcW w:w="0" w:type="auto"/>
            <w:shd w:val="clear" w:color="auto" w:fill="auto"/>
            <w:vAlign w:val="center"/>
          </w:tcPr>
          <w:p w14:paraId="4CEE894A" w14:textId="77777777" w:rsidR="002212D7" w:rsidRPr="00742D67" w:rsidRDefault="002212D7" w:rsidP="00AC4FA3">
            <w:pPr>
              <w:spacing w:after="0" w:line="240" w:lineRule="auto"/>
              <w:jc w:val="both"/>
              <w:rPr>
                <w:rFonts w:ascii="Arial" w:eastAsia="Times New Roman" w:hAnsi="Arial" w:cs="Arial"/>
                <w:sz w:val="18"/>
                <w:szCs w:val="18"/>
                <w:lang w:eastAsia="fr-FR"/>
              </w:rPr>
            </w:pPr>
            <w:r w:rsidRPr="00742D67">
              <w:rPr>
                <w:rFonts w:ascii="Arial" w:eastAsia="Times New Roman" w:hAnsi="Arial" w:cs="Arial"/>
                <w:sz w:val="18"/>
                <w:szCs w:val="18"/>
                <w:lang w:eastAsia="fr-FR"/>
              </w:rPr>
              <w:t xml:space="preserve">Consultation de rapport </w:t>
            </w:r>
          </w:p>
        </w:tc>
        <w:tc>
          <w:tcPr>
            <w:tcW w:w="0" w:type="auto"/>
            <w:shd w:val="clear" w:color="auto" w:fill="auto"/>
            <w:vAlign w:val="center"/>
          </w:tcPr>
          <w:p w14:paraId="7615B246" w14:textId="77777777" w:rsidR="002212D7" w:rsidRPr="00742D67" w:rsidRDefault="002212D7" w:rsidP="00AC4FA3">
            <w:pPr>
              <w:spacing w:after="0" w:line="240" w:lineRule="auto"/>
              <w:jc w:val="both"/>
              <w:rPr>
                <w:rFonts w:ascii="Arial" w:eastAsia="Times New Roman" w:hAnsi="Arial" w:cs="Arial"/>
                <w:sz w:val="18"/>
                <w:szCs w:val="18"/>
                <w:lang w:eastAsia="fr-FR"/>
              </w:rPr>
            </w:pPr>
            <w:r w:rsidRPr="00742D67">
              <w:rPr>
                <w:rFonts w:ascii="Arial" w:eastAsia="Times New Roman" w:hAnsi="Arial" w:cs="Arial"/>
                <w:sz w:val="18"/>
                <w:szCs w:val="18"/>
                <w:lang w:eastAsia="fr-FR"/>
              </w:rPr>
              <w:t>Mensuel</w:t>
            </w:r>
          </w:p>
        </w:tc>
        <w:tc>
          <w:tcPr>
            <w:tcW w:w="0" w:type="auto"/>
            <w:shd w:val="clear" w:color="auto" w:fill="auto"/>
            <w:vAlign w:val="center"/>
          </w:tcPr>
          <w:p w14:paraId="396511D4" w14:textId="77777777" w:rsidR="002212D7" w:rsidRPr="00742D67" w:rsidRDefault="002212D7" w:rsidP="00AC4FA3">
            <w:pPr>
              <w:spacing w:after="0" w:line="240" w:lineRule="auto"/>
              <w:jc w:val="both"/>
              <w:rPr>
                <w:rFonts w:ascii="Arial" w:eastAsia="Times New Roman" w:hAnsi="Arial" w:cs="Arial"/>
                <w:sz w:val="18"/>
                <w:szCs w:val="18"/>
                <w:lang w:eastAsia="fr-FR"/>
              </w:rPr>
            </w:pPr>
            <w:r w:rsidRPr="00742D67">
              <w:rPr>
                <w:rFonts w:ascii="Arial" w:eastAsia="Times New Roman" w:hAnsi="Arial" w:cs="Arial"/>
                <w:sz w:val="18"/>
                <w:szCs w:val="18"/>
                <w:lang w:eastAsia="fr-FR"/>
              </w:rPr>
              <w:t>Entreprise</w:t>
            </w:r>
          </w:p>
        </w:tc>
        <w:tc>
          <w:tcPr>
            <w:tcW w:w="0" w:type="auto"/>
            <w:shd w:val="clear" w:color="auto" w:fill="auto"/>
            <w:vAlign w:val="center"/>
          </w:tcPr>
          <w:p w14:paraId="7569C927" w14:textId="77777777" w:rsidR="002212D7" w:rsidRPr="00742D67" w:rsidRDefault="002212D7" w:rsidP="00AC4FA3">
            <w:pPr>
              <w:spacing w:after="0" w:line="240" w:lineRule="auto"/>
              <w:jc w:val="both"/>
              <w:rPr>
                <w:rFonts w:ascii="Arial" w:eastAsia="Times New Roman" w:hAnsi="Arial" w:cs="Arial"/>
                <w:sz w:val="18"/>
                <w:szCs w:val="18"/>
                <w:lang w:eastAsia="fr-FR"/>
              </w:rPr>
            </w:pPr>
            <w:r w:rsidRPr="00742D67">
              <w:rPr>
                <w:rFonts w:ascii="Arial" w:eastAsia="Times New Roman" w:hAnsi="Arial" w:cs="Arial"/>
                <w:sz w:val="18"/>
                <w:szCs w:val="18"/>
                <w:lang w:eastAsia="fr-FR"/>
              </w:rPr>
              <w:t>MdC</w:t>
            </w:r>
          </w:p>
        </w:tc>
      </w:tr>
      <w:tr w:rsidR="004F6F03" w14:paraId="1B4CC766" w14:textId="77777777" w:rsidTr="0A1598FD">
        <w:trPr>
          <w:trHeight w:val="300"/>
        </w:trPr>
        <w:tc>
          <w:tcPr>
            <w:tcW w:w="0" w:type="auto"/>
            <w:gridSpan w:val="7"/>
            <w:shd w:val="clear" w:color="auto" w:fill="00B0F0"/>
            <w:vAlign w:val="center"/>
          </w:tcPr>
          <w:p w14:paraId="7EE466E8" w14:textId="77777777" w:rsidR="004F6F03" w:rsidRDefault="004F6F03" w:rsidP="00B434A6">
            <w:pPr>
              <w:spacing w:after="0" w:line="240" w:lineRule="auto"/>
              <w:jc w:val="center"/>
            </w:pPr>
            <w:r>
              <w:rPr>
                <w:rFonts w:ascii="Arial" w:eastAsia="Times New Roman" w:hAnsi="Arial" w:cs="Arial"/>
                <w:b/>
                <w:bCs/>
                <w:sz w:val="18"/>
                <w:szCs w:val="18"/>
                <w:lang w:eastAsia="fr-FR"/>
              </w:rPr>
              <w:t>Repli de chantier</w:t>
            </w:r>
          </w:p>
        </w:tc>
      </w:tr>
      <w:tr w:rsidR="00481CF0" w14:paraId="62371D10" w14:textId="77777777" w:rsidTr="0A1598FD">
        <w:trPr>
          <w:trHeight w:val="288"/>
        </w:trPr>
        <w:tc>
          <w:tcPr>
            <w:tcW w:w="0" w:type="auto"/>
            <w:vMerge w:val="restart"/>
            <w:shd w:val="clear" w:color="auto" w:fill="auto"/>
            <w:vAlign w:val="center"/>
          </w:tcPr>
          <w:p w14:paraId="6B8A43EE" w14:textId="77777777" w:rsidR="00AC4FA3" w:rsidRDefault="00AC4FA3" w:rsidP="00AC4FA3">
            <w:pPr>
              <w:spacing w:after="0" w:line="240" w:lineRule="auto"/>
              <w:jc w:val="both"/>
            </w:pPr>
            <w:r>
              <w:rPr>
                <w:rFonts w:ascii="Arial" w:eastAsia="Times New Roman" w:hAnsi="Arial" w:cs="Arial"/>
                <w:sz w:val="18"/>
                <w:szCs w:val="18"/>
                <w:lang w:eastAsia="fr-FR"/>
              </w:rPr>
              <w:t>Risques d'accidents de circulation</w:t>
            </w:r>
          </w:p>
        </w:tc>
        <w:tc>
          <w:tcPr>
            <w:tcW w:w="0" w:type="auto"/>
            <w:shd w:val="clear" w:color="auto" w:fill="auto"/>
            <w:vAlign w:val="center"/>
          </w:tcPr>
          <w:p w14:paraId="325D0449" w14:textId="77777777" w:rsidR="00AC4FA3" w:rsidRDefault="00AC4FA3" w:rsidP="00AC4FA3">
            <w:pPr>
              <w:spacing w:after="0" w:line="240" w:lineRule="auto"/>
              <w:jc w:val="both"/>
            </w:pPr>
            <w:r>
              <w:rPr>
                <w:rFonts w:ascii="Arial" w:eastAsia="Times New Roman" w:hAnsi="Arial" w:cs="Arial"/>
                <w:color w:val="000000"/>
                <w:sz w:val="18"/>
                <w:szCs w:val="18"/>
                <w:lang w:eastAsia="fr-FR"/>
              </w:rPr>
              <w:t>Mise en place d'un plan de circulation</w:t>
            </w:r>
          </w:p>
        </w:tc>
        <w:tc>
          <w:tcPr>
            <w:tcW w:w="0" w:type="auto"/>
            <w:vMerge w:val="restart"/>
            <w:shd w:val="clear" w:color="auto" w:fill="auto"/>
            <w:vAlign w:val="center"/>
          </w:tcPr>
          <w:p w14:paraId="357A440E" w14:textId="77777777" w:rsidR="00AC4FA3" w:rsidRDefault="00AC4FA3" w:rsidP="00AC4FA3">
            <w:pPr>
              <w:spacing w:after="0" w:line="240" w:lineRule="auto"/>
              <w:jc w:val="both"/>
            </w:pPr>
            <w:r>
              <w:rPr>
                <w:rFonts w:ascii="Arial" w:eastAsia="Times New Roman" w:hAnsi="Arial" w:cs="Arial"/>
                <w:color w:val="000000"/>
                <w:sz w:val="18"/>
                <w:szCs w:val="18"/>
                <w:lang w:eastAsia="fr-FR"/>
              </w:rPr>
              <w:t>Plan de circulation mis en place</w:t>
            </w:r>
          </w:p>
        </w:tc>
        <w:tc>
          <w:tcPr>
            <w:tcW w:w="0" w:type="auto"/>
            <w:vMerge w:val="restart"/>
            <w:shd w:val="clear" w:color="auto" w:fill="auto"/>
            <w:vAlign w:val="center"/>
          </w:tcPr>
          <w:p w14:paraId="2E919744" w14:textId="77777777" w:rsidR="00AC4FA3" w:rsidRDefault="00AC4FA3" w:rsidP="00AC4FA3">
            <w:pPr>
              <w:spacing w:after="0" w:line="240" w:lineRule="auto"/>
              <w:jc w:val="both"/>
            </w:pPr>
            <w:r>
              <w:rPr>
                <w:rFonts w:ascii="Arial" w:eastAsia="Times New Roman" w:hAnsi="Arial" w:cs="Arial"/>
                <w:color w:val="000000"/>
                <w:sz w:val="18"/>
                <w:szCs w:val="18"/>
                <w:lang w:eastAsia="fr-FR"/>
              </w:rPr>
              <w:t>Observation</w:t>
            </w:r>
          </w:p>
        </w:tc>
        <w:tc>
          <w:tcPr>
            <w:tcW w:w="0" w:type="auto"/>
            <w:vMerge w:val="restart"/>
            <w:shd w:val="clear" w:color="auto" w:fill="auto"/>
            <w:vAlign w:val="center"/>
          </w:tcPr>
          <w:p w14:paraId="2264DECD" w14:textId="77777777" w:rsidR="00AC4FA3" w:rsidRDefault="00AC4FA3" w:rsidP="00AC4FA3">
            <w:pPr>
              <w:spacing w:after="0" w:line="240" w:lineRule="auto"/>
              <w:jc w:val="both"/>
            </w:pPr>
            <w:r>
              <w:rPr>
                <w:rFonts w:ascii="Arial" w:eastAsia="Times New Roman" w:hAnsi="Arial" w:cs="Arial"/>
                <w:color w:val="000000"/>
                <w:sz w:val="18"/>
                <w:szCs w:val="18"/>
                <w:lang w:eastAsia="fr-FR"/>
              </w:rPr>
              <w:t>Fin repli de chantier</w:t>
            </w:r>
          </w:p>
        </w:tc>
        <w:tc>
          <w:tcPr>
            <w:tcW w:w="0" w:type="auto"/>
            <w:vMerge w:val="restart"/>
            <w:shd w:val="clear" w:color="auto" w:fill="auto"/>
            <w:vAlign w:val="center"/>
          </w:tcPr>
          <w:p w14:paraId="12C422CF" w14:textId="77777777" w:rsidR="00AC4FA3" w:rsidRDefault="00AC4FA3" w:rsidP="00AC4FA3">
            <w:pPr>
              <w:spacing w:after="0" w:line="240" w:lineRule="auto"/>
              <w:jc w:val="both"/>
            </w:pPr>
            <w:r>
              <w:rPr>
                <w:rFonts w:ascii="Arial" w:eastAsia="Times New Roman" w:hAnsi="Arial" w:cs="Arial"/>
                <w:color w:val="000000"/>
                <w:sz w:val="18"/>
                <w:szCs w:val="18"/>
                <w:lang w:eastAsia="fr-FR"/>
              </w:rPr>
              <w:t>Entreprise</w:t>
            </w:r>
          </w:p>
        </w:tc>
        <w:tc>
          <w:tcPr>
            <w:tcW w:w="0" w:type="auto"/>
            <w:vMerge w:val="restart"/>
            <w:shd w:val="clear" w:color="auto" w:fill="auto"/>
            <w:vAlign w:val="center"/>
          </w:tcPr>
          <w:p w14:paraId="09782BDB" w14:textId="77777777" w:rsidR="00AC4FA3" w:rsidRDefault="00AC4FA3" w:rsidP="00AC4FA3">
            <w:pPr>
              <w:spacing w:after="0" w:line="240" w:lineRule="auto"/>
              <w:jc w:val="both"/>
            </w:pPr>
            <w:r>
              <w:rPr>
                <w:rFonts w:ascii="Arial" w:eastAsia="Times New Roman" w:hAnsi="Arial" w:cs="Arial"/>
                <w:color w:val="000000"/>
                <w:sz w:val="18"/>
                <w:szCs w:val="18"/>
                <w:lang w:eastAsia="fr-FR"/>
              </w:rPr>
              <w:t>MdC</w:t>
            </w:r>
          </w:p>
        </w:tc>
      </w:tr>
      <w:tr w:rsidR="00481CF0" w14:paraId="6BC7F4C6" w14:textId="77777777" w:rsidTr="0A1598FD">
        <w:trPr>
          <w:trHeight w:val="300"/>
        </w:trPr>
        <w:tc>
          <w:tcPr>
            <w:tcW w:w="0" w:type="auto"/>
            <w:vMerge/>
            <w:vAlign w:val="center"/>
          </w:tcPr>
          <w:p w14:paraId="7762EAF7" w14:textId="77777777" w:rsidR="00AC4FA3" w:rsidRDefault="00AC4FA3" w:rsidP="00AC4FA3">
            <w:pPr>
              <w:spacing w:after="0" w:line="240" w:lineRule="auto"/>
              <w:jc w:val="both"/>
              <w:rPr>
                <w:rFonts w:ascii="Arial" w:eastAsia="Times New Roman" w:hAnsi="Arial" w:cs="Arial"/>
                <w:sz w:val="18"/>
                <w:szCs w:val="18"/>
                <w:lang w:eastAsia="fr-FR"/>
              </w:rPr>
            </w:pPr>
          </w:p>
        </w:tc>
        <w:tc>
          <w:tcPr>
            <w:tcW w:w="0" w:type="auto"/>
            <w:shd w:val="clear" w:color="auto" w:fill="auto"/>
            <w:vAlign w:val="center"/>
          </w:tcPr>
          <w:p w14:paraId="28DD051C" w14:textId="77777777" w:rsidR="00AC4FA3" w:rsidRDefault="00AC4FA3" w:rsidP="00AC4FA3">
            <w:pPr>
              <w:spacing w:after="0" w:line="240" w:lineRule="auto"/>
              <w:jc w:val="both"/>
            </w:pPr>
            <w:r>
              <w:rPr>
                <w:rFonts w:ascii="Arial" w:eastAsia="Times New Roman" w:hAnsi="Arial" w:cs="Arial"/>
                <w:color w:val="000000"/>
                <w:sz w:val="18"/>
                <w:szCs w:val="18"/>
                <w:lang w:eastAsia="fr-FR"/>
              </w:rPr>
              <w:t>Respect des dispositifs mis en place. Signalisation</w:t>
            </w:r>
          </w:p>
        </w:tc>
        <w:tc>
          <w:tcPr>
            <w:tcW w:w="0" w:type="auto"/>
            <w:vMerge/>
            <w:vAlign w:val="center"/>
          </w:tcPr>
          <w:p w14:paraId="4219D4EB"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740A1BBA"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42D69F0A"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3EA00ED6"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1D65F72B"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r>
      <w:tr w:rsidR="004F6F03" w14:paraId="19C71F7A" w14:textId="77777777" w:rsidTr="0A1598FD">
        <w:trPr>
          <w:trHeight w:val="300"/>
        </w:trPr>
        <w:tc>
          <w:tcPr>
            <w:tcW w:w="0" w:type="auto"/>
            <w:gridSpan w:val="7"/>
            <w:shd w:val="clear" w:color="auto" w:fill="00B0F0"/>
            <w:vAlign w:val="center"/>
          </w:tcPr>
          <w:p w14:paraId="71064D0F" w14:textId="77777777" w:rsidR="004F6F03" w:rsidRDefault="004F6F03" w:rsidP="00B434A6">
            <w:pPr>
              <w:spacing w:after="0" w:line="240" w:lineRule="auto"/>
              <w:jc w:val="center"/>
            </w:pPr>
            <w:r>
              <w:rPr>
                <w:rFonts w:ascii="Arial" w:eastAsia="Times New Roman" w:hAnsi="Arial" w:cs="Arial"/>
                <w:b/>
                <w:bCs/>
                <w:sz w:val="18"/>
                <w:szCs w:val="18"/>
                <w:lang w:eastAsia="fr-FR"/>
              </w:rPr>
              <w:t>Phase d'exploitation</w:t>
            </w:r>
          </w:p>
        </w:tc>
      </w:tr>
      <w:tr w:rsidR="00481CF0" w14:paraId="7EF7158A" w14:textId="77777777" w:rsidTr="0A1598FD">
        <w:trPr>
          <w:trHeight w:val="492"/>
        </w:trPr>
        <w:tc>
          <w:tcPr>
            <w:tcW w:w="0" w:type="auto"/>
            <w:shd w:val="clear" w:color="auto" w:fill="auto"/>
            <w:vAlign w:val="center"/>
          </w:tcPr>
          <w:p w14:paraId="070F5BDF" w14:textId="77777777" w:rsidR="00AC4FA3" w:rsidRDefault="00AC4FA3" w:rsidP="00AC4FA3">
            <w:pPr>
              <w:spacing w:after="0" w:line="240" w:lineRule="auto"/>
              <w:jc w:val="both"/>
            </w:pPr>
            <w:r>
              <w:rPr>
                <w:rFonts w:ascii="Arial" w:eastAsia="Times New Roman" w:hAnsi="Arial" w:cs="Arial"/>
                <w:sz w:val="18"/>
                <w:szCs w:val="18"/>
                <w:lang w:eastAsia="fr-FR"/>
              </w:rPr>
              <w:t xml:space="preserve">Risque d'épuisement de la ressource en eau à cause des besoins pour le lavage des </w:t>
            </w:r>
            <w:r w:rsidR="39F10C9D" w:rsidRPr="58F5F8BA">
              <w:rPr>
                <w:rFonts w:ascii="Arial" w:eastAsia="Times New Roman" w:hAnsi="Arial" w:cs="Arial"/>
                <w:sz w:val="18"/>
                <w:szCs w:val="18"/>
                <w:lang w:eastAsia="fr-FR"/>
              </w:rPr>
              <w:t>panneaux solaires</w:t>
            </w:r>
          </w:p>
        </w:tc>
        <w:tc>
          <w:tcPr>
            <w:tcW w:w="0" w:type="auto"/>
            <w:shd w:val="clear" w:color="auto" w:fill="auto"/>
            <w:vAlign w:val="center"/>
          </w:tcPr>
          <w:p w14:paraId="7344379A" w14:textId="77777777" w:rsidR="00AC4FA3" w:rsidRDefault="00AC4FA3" w:rsidP="00AC4FA3">
            <w:pPr>
              <w:spacing w:after="0" w:line="240" w:lineRule="auto"/>
              <w:jc w:val="both"/>
            </w:pPr>
            <w:r>
              <w:rPr>
                <w:rFonts w:ascii="Arial" w:eastAsia="Times New Roman" w:hAnsi="Arial" w:cs="Arial"/>
                <w:color w:val="000000"/>
                <w:sz w:val="18"/>
                <w:szCs w:val="18"/>
                <w:lang w:eastAsia="fr-FR"/>
              </w:rPr>
              <w:t>Mise en place de système de récupération et de traitement des eaux usée pour réutilisation</w:t>
            </w:r>
          </w:p>
        </w:tc>
        <w:tc>
          <w:tcPr>
            <w:tcW w:w="0" w:type="auto"/>
            <w:shd w:val="clear" w:color="auto" w:fill="auto"/>
            <w:vAlign w:val="center"/>
          </w:tcPr>
          <w:p w14:paraId="1B15F4A0" w14:textId="77777777" w:rsidR="00AC4FA3" w:rsidRDefault="00AC4FA3" w:rsidP="00AC4FA3">
            <w:pPr>
              <w:spacing w:after="0" w:line="240" w:lineRule="auto"/>
              <w:jc w:val="both"/>
            </w:pPr>
            <w:r>
              <w:rPr>
                <w:rFonts w:ascii="Arial" w:eastAsia="Times New Roman" w:hAnsi="Arial" w:cs="Arial"/>
                <w:color w:val="000000"/>
                <w:sz w:val="18"/>
                <w:szCs w:val="18"/>
                <w:lang w:eastAsia="fr-FR"/>
              </w:rPr>
              <w:t>Système de récupération mise en place</w:t>
            </w:r>
          </w:p>
        </w:tc>
        <w:tc>
          <w:tcPr>
            <w:tcW w:w="0" w:type="auto"/>
            <w:shd w:val="clear" w:color="auto" w:fill="auto"/>
            <w:vAlign w:val="center"/>
          </w:tcPr>
          <w:p w14:paraId="34566455" w14:textId="77777777" w:rsidR="00AC4FA3" w:rsidRDefault="00AC4FA3" w:rsidP="00AC4FA3">
            <w:pPr>
              <w:spacing w:after="0" w:line="240" w:lineRule="auto"/>
              <w:jc w:val="both"/>
            </w:pPr>
            <w:r>
              <w:rPr>
                <w:rFonts w:ascii="Arial" w:eastAsia="Times New Roman" w:hAnsi="Arial" w:cs="Arial"/>
                <w:color w:val="000000"/>
                <w:sz w:val="18"/>
                <w:szCs w:val="18"/>
                <w:lang w:eastAsia="fr-FR"/>
              </w:rPr>
              <w:t>Observation</w:t>
            </w:r>
          </w:p>
        </w:tc>
        <w:tc>
          <w:tcPr>
            <w:tcW w:w="0" w:type="auto"/>
            <w:shd w:val="clear" w:color="auto" w:fill="auto"/>
            <w:vAlign w:val="center"/>
          </w:tcPr>
          <w:p w14:paraId="7153F248" w14:textId="77777777" w:rsidR="00AC4FA3" w:rsidRDefault="00AC4FA3" w:rsidP="00AC4FA3">
            <w:pPr>
              <w:spacing w:after="0" w:line="240" w:lineRule="auto"/>
              <w:jc w:val="both"/>
            </w:pPr>
            <w:r>
              <w:rPr>
                <w:rFonts w:ascii="Arial" w:eastAsia="Times New Roman" w:hAnsi="Arial" w:cs="Arial"/>
                <w:color w:val="000000"/>
                <w:sz w:val="18"/>
                <w:szCs w:val="18"/>
                <w:lang w:eastAsia="fr-FR"/>
              </w:rPr>
              <w:t>Mensuel</w:t>
            </w:r>
          </w:p>
        </w:tc>
        <w:tc>
          <w:tcPr>
            <w:tcW w:w="0" w:type="auto"/>
            <w:shd w:val="clear" w:color="auto" w:fill="auto"/>
            <w:vAlign w:val="center"/>
          </w:tcPr>
          <w:p w14:paraId="3C82B974" w14:textId="77777777" w:rsidR="00AC4FA3" w:rsidRDefault="00AC4FA3" w:rsidP="00AC4FA3">
            <w:pPr>
              <w:spacing w:after="0" w:line="240" w:lineRule="auto"/>
              <w:jc w:val="both"/>
            </w:pPr>
            <w:r>
              <w:rPr>
                <w:rFonts w:ascii="Arial" w:eastAsia="Times New Roman" w:hAnsi="Arial" w:cs="Arial"/>
                <w:color w:val="000000"/>
                <w:sz w:val="18"/>
                <w:szCs w:val="18"/>
                <w:lang w:eastAsia="fr-FR"/>
              </w:rPr>
              <w:t>Projet/ Exploitant</w:t>
            </w:r>
          </w:p>
        </w:tc>
        <w:tc>
          <w:tcPr>
            <w:tcW w:w="0" w:type="auto"/>
            <w:shd w:val="clear" w:color="auto" w:fill="auto"/>
            <w:vAlign w:val="center"/>
          </w:tcPr>
          <w:p w14:paraId="7E11765F"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Ministère Energie, BM</w:t>
            </w:r>
          </w:p>
        </w:tc>
      </w:tr>
      <w:tr w:rsidR="00481CF0" w14:paraId="3C1273BE" w14:textId="77777777" w:rsidTr="0A1598FD">
        <w:trPr>
          <w:trHeight w:val="492"/>
        </w:trPr>
        <w:tc>
          <w:tcPr>
            <w:tcW w:w="0" w:type="auto"/>
            <w:shd w:val="clear" w:color="auto" w:fill="auto"/>
            <w:vAlign w:val="center"/>
          </w:tcPr>
          <w:p w14:paraId="68025939" w14:textId="77777777" w:rsidR="00AC4FA3" w:rsidRDefault="00AC4FA3" w:rsidP="00AC4FA3">
            <w:pPr>
              <w:spacing w:after="0" w:line="240" w:lineRule="auto"/>
              <w:jc w:val="both"/>
            </w:pPr>
            <w:r>
              <w:rPr>
                <w:rFonts w:ascii="Arial" w:eastAsia="Times New Roman" w:hAnsi="Arial" w:cs="Arial"/>
                <w:sz w:val="18"/>
                <w:szCs w:val="18"/>
                <w:lang w:eastAsia="fr-FR"/>
              </w:rPr>
              <w:t>Création de champs électromagnétique</w:t>
            </w:r>
            <w:r w:rsidR="00481CF0">
              <w:rPr>
                <w:rFonts w:ascii="Arial" w:eastAsia="Times New Roman" w:hAnsi="Arial" w:cs="Arial"/>
                <w:sz w:val="18"/>
                <w:szCs w:val="18"/>
                <w:lang w:eastAsia="fr-FR"/>
              </w:rPr>
              <w:t>s</w:t>
            </w:r>
            <w:r>
              <w:rPr>
                <w:rFonts w:ascii="Arial" w:eastAsia="Times New Roman" w:hAnsi="Arial" w:cs="Arial"/>
                <w:sz w:val="18"/>
                <w:szCs w:val="18"/>
                <w:lang w:eastAsia="fr-FR"/>
              </w:rPr>
              <w:t xml:space="preserve"> (CEM) pouvant perturber la faune locale</w:t>
            </w:r>
          </w:p>
        </w:tc>
        <w:tc>
          <w:tcPr>
            <w:tcW w:w="0" w:type="auto"/>
            <w:shd w:val="clear" w:color="auto" w:fill="auto"/>
            <w:vAlign w:val="center"/>
          </w:tcPr>
          <w:p w14:paraId="3D25D6EB" w14:textId="77777777" w:rsidR="00AC4FA3" w:rsidRDefault="00AC4FA3" w:rsidP="00481CF0">
            <w:pPr>
              <w:spacing w:after="0" w:line="240" w:lineRule="auto"/>
              <w:jc w:val="both"/>
            </w:pPr>
            <w:r>
              <w:rPr>
                <w:rFonts w:ascii="Arial" w:eastAsia="Times New Roman" w:hAnsi="Arial" w:cs="Arial"/>
                <w:color w:val="000000"/>
                <w:sz w:val="18"/>
                <w:szCs w:val="18"/>
                <w:lang w:eastAsia="fr-FR"/>
              </w:rPr>
              <w:t xml:space="preserve">Mise en place des sites d'installation des parcs PV, Tours cellulaires…. Sur des sites éloignés des Aires Protégées et autres sites </w:t>
            </w:r>
            <w:r w:rsidR="00481CF0">
              <w:rPr>
                <w:rFonts w:ascii="Arial" w:eastAsia="Times New Roman" w:hAnsi="Arial" w:cs="Arial"/>
                <w:color w:val="000000"/>
                <w:sz w:val="18"/>
                <w:szCs w:val="18"/>
                <w:lang w:eastAsia="fr-FR"/>
              </w:rPr>
              <w:t xml:space="preserve">à </w:t>
            </w:r>
            <w:r>
              <w:rPr>
                <w:rFonts w:ascii="Arial" w:eastAsia="Times New Roman" w:hAnsi="Arial" w:cs="Arial"/>
                <w:color w:val="000000"/>
                <w:sz w:val="18"/>
                <w:szCs w:val="18"/>
                <w:lang w:eastAsia="fr-FR"/>
              </w:rPr>
              <w:t>haute potentialité en matière de biodiversité</w:t>
            </w:r>
          </w:p>
        </w:tc>
        <w:tc>
          <w:tcPr>
            <w:tcW w:w="0" w:type="auto"/>
            <w:shd w:val="clear" w:color="auto" w:fill="auto"/>
            <w:vAlign w:val="center"/>
          </w:tcPr>
          <w:p w14:paraId="6FB2CED5" w14:textId="77777777" w:rsidR="00AC4FA3" w:rsidRDefault="00AC4FA3" w:rsidP="00AC4FA3">
            <w:pPr>
              <w:spacing w:after="0" w:line="240" w:lineRule="auto"/>
              <w:jc w:val="both"/>
            </w:pPr>
            <w:r>
              <w:rPr>
                <w:rFonts w:ascii="Arial" w:eastAsia="Times New Roman" w:hAnsi="Arial" w:cs="Arial"/>
                <w:color w:val="000000"/>
                <w:sz w:val="18"/>
                <w:szCs w:val="18"/>
                <w:lang w:eastAsia="fr-FR"/>
              </w:rPr>
              <w:t>Site d'installation des infrastructures</w:t>
            </w:r>
          </w:p>
        </w:tc>
        <w:tc>
          <w:tcPr>
            <w:tcW w:w="0" w:type="auto"/>
            <w:shd w:val="clear" w:color="auto" w:fill="auto"/>
            <w:vAlign w:val="center"/>
          </w:tcPr>
          <w:p w14:paraId="39B5BCF0" w14:textId="77777777" w:rsidR="00AC4FA3" w:rsidRDefault="00AC4FA3" w:rsidP="00AC4FA3">
            <w:pPr>
              <w:spacing w:after="0" w:line="240" w:lineRule="auto"/>
              <w:jc w:val="both"/>
            </w:pPr>
            <w:r>
              <w:rPr>
                <w:rFonts w:ascii="Arial" w:eastAsia="Times New Roman" w:hAnsi="Arial" w:cs="Arial"/>
                <w:color w:val="000000"/>
                <w:sz w:val="18"/>
                <w:szCs w:val="18"/>
                <w:lang w:eastAsia="fr-FR"/>
              </w:rPr>
              <w:t>Observation</w:t>
            </w:r>
          </w:p>
        </w:tc>
        <w:tc>
          <w:tcPr>
            <w:tcW w:w="0" w:type="auto"/>
            <w:shd w:val="clear" w:color="auto" w:fill="auto"/>
            <w:vAlign w:val="center"/>
          </w:tcPr>
          <w:p w14:paraId="0C1E0AE6" w14:textId="77777777" w:rsidR="00AC4FA3" w:rsidRDefault="00AC4FA3" w:rsidP="00AC4FA3">
            <w:pPr>
              <w:spacing w:after="0" w:line="240" w:lineRule="auto"/>
              <w:jc w:val="both"/>
            </w:pPr>
            <w:r>
              <w:rPr>
                <w:rFonts w:ascii="Arial" w:eastAsia="Times New Roman" w:hAnsi="Arial" w:cs="Arial"/>
                <w:color w:val="000000"/>
                <w:sz w:val="18"/>
                <w:szCs w:val="18"/>
                <w:lang w:eastAsia="fr-FR"/>
              </w:rPr>
              <w:t>Semestriel</w:t>
            </w:r>
          </w:p>
        </w:tc>
        <w:tc>
          <w:tcPr>
            <w:tcW w:w="0" w:type="auto"/>
            <w:shd w:val="clear" w:color="auto" w:fill="auto"/>
            <w:vAlign w:val="center"/>
          </w:tcPr>
          <w:p w14:paraId="7794C682" w14:textId="77777777" w:rsidR="00AC4FA3" w:rsidRDefault="00AC4FA3" w:rsidP="00AC4FA3">
            <w:pPr>
              <w:spacing w:after="0" w:line="240" w:lineRule="auto"/>
              <w:jc w:val="both"/>
            </w:pPr>
            <w:r>
              <w:rPr>
                <w:rFonts w:ascii="Arial" w:eastAsia="Times New Roman" w:hAnsi="Arial" w:cs="Arial"/>
                <w:color w:val="000000"/>
                <w:sz w:val="18"/>
                <w:szCs w:val="18"/>
                <w:lang w:eastAsia="fr-FR"/>
              </w:rPr>
              <w:t>Projet/ Exploitant</w:t>
            </w:r>
          </w:p>
        </w:tc>
        <w:tc>
          <w:tcPr>
            <w:tcW w:w="0" w:type="auto"/>
            <w:shd w:val="clear" w:color="auto" w:fill="auto"/>
            <w:vAlign w:val="center"/>
          </w:tcPr>
          <w:p w14:paraId="219068D5"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Ministère Energie, Ministère environnement, BM</w:t>
            </w:r>
          </w:p>
        </w:tc>
      </w:tr>
      <w:tr w:rsidR="00481CF0" w14:paraId="61F3A161" w14:textId="77777777" w:rsidTr="0A1598FD">
        <w:trPr>
          <w:trHeight w:val="732"/>
        </w:trPr>
        <w:tc>
          <w:tcPr>
            <w:tcW w:w="0" w:type="auto"/>
            <w:shd w:val="clear" w:color="auto" w:fill="auto"/>
            <w:vAlign w:val="center"/>
          </w:tcPr>
          <w:p w14:paraId="2AEF1AFD" w14:textId="77777777" w:rsidR="00AC4FA3" w:rsidRDefault="00AC4FA3" w:rsidP="00AC4FA3">
            <w:pPr>
              <w:spacing w:after="0" w:line="240" w:lineRule="auto"/>
              <w:jc w:val="both"/>
            </w:pPr>
            <w:r>
              <w:rPr>
                <w:rFonts w:ascii="Arial" w:eastAsia="Times New Roman" w:hAnsi="Arial" w:cs="Arial"/>
                <w:sz w:val="18"/>
                <w:szCs w:val="18"/>
                <w:lang w:eastAsia="fr-FR"/>
              </w:rPr>
              <w:t>Accumulation des déchets solides incluant les déchets d’équipement électrique et électronique (DEEE)</w:t>
            </w:r>
          </w:p>
        </w:tc>
        <w:tc>
          <w:tcPr>
            <w:tcW w:w="0" w:type="auto"/>
            <w:shd w:val="clear" w:color="auto" w:fill="auto"/>
            <w:vAlign w:val="center"/>
          </w:tcPr>
          <w:p w14:paraId="31EB2305" w14:textId="77777777" w:rsidR="00AC4FA3" w:rsidRDefault="00AC4FA3" w:rsidP="00AC4FA3">
            <w:pPr>
              <w:spacing w:after="0" w:line="240" w:lineRule="auto"/>
              <w:jc w:val="both"/>
            </w:pPr>
            <w:r w:rsidRPr="005D6D41">
              <w:rPr>
                <w:rFonts w:ascii="Arial" w:eastAsia="Times New Roman" w:hAnsi="Arial" w:cs="Arial"/>
                <w:color w:val="000000"/>
                <w:sz w:val="18"/>
                <w:szCs w:val="18"/>
                <w:lang w:eastAsia="fr-FR"/>
              </w:rPr>
              <w:t xml:space="preserve">Mise en place un Plan de Gestion des Déchets Solides </w:t>
            </w:r>
            <w:r w:rsidR="779E0A7F" w:rsidRPr="005D6D41">
              <w:rPr>
                <w:rFonts w:ascii="Arial" w:eastAsia="Times New Roman" w:hAnsi="Arial" w:cs="Arial"/>
                <w:color w:val="000000"/>
                <w:sz w:val="18"/>
                <w:szCs w:val="18"/>
                <w:lang w:eastAsia="fr-FR"/>
              </w:rPr>
              <w:t xml:space="preserve">et Liquides </w:t>
            </w:r>
            <w:r w:rsidRPr="005D6D41">
              <w:rPr>
                <w:rFonts w:ascii="Arial" w:eastAsia="Times New Roman" w:hAnsi="Arial" w:cs="Arial"/>
                <w:color w:val="000000"/>
                <w:sz w:val="18"/>
                <w:szCs w:val="18"/>
                <w:lang w:eastAsia="fr-FR"/>
              </w:rPr>
              <w:t>(PGD)</w:t>
            </w:r>
            <w:r w:rsidR="00A0319C">
              <w:rPr>
                <w:rFonts w:ascii="Arial" w:eastAsia="Times New Roman" w:hAnsi="Arial" w:cs="Arial"/>
                <w:color w:val="000000"/>
                <w:sz w:val="18"/>
                <w:szCs w:val="18"/>
                <w:lang w:eastAsia="fr-FR"/>
              </w:rPr>
              <w:t xml:space="preserve">. </w:t>
            </w:r>
            <w:r w:rsidRPr="005D6D41">
              <w:rPr>
                <w:rFonts w:ascii="Arial" w:eastAsia="Times New Roman" w:hAnsi="Arial" w:cs="Arial"/>
                <w:color w:val="000000"/>
                <w:sz w:val="18"/>
                <w:szCs w:val="18"/>
                <w:lang w:eastAsia="fr-FR"/>
              </w:rPr>
              <w:t>Favoriser le recyclage des DEEE</w:t>
            </w:r>
          </w:p>
        </w:tc>
        <w:tc>
          <w:tcPr>
            <w:tcW w:w="0" w:type="auto"/>
            <w:shd w:val="clear" w:color="auto" w:fill="auto"/>
            <w:vAlign w:val="center"/>
          </w:tcPr>
          <w:p w14:paraId="24AB38C1" w14:textId="77777777" w:rsidR="00AC4FA3" w:rsidRDefault="00AC4FA3" w:rsidP="00AC4FA3">
            <w:pPr>
              <w:spacing w:after="0" w:line="240" w:lineRule="auto"/>
              <w:jc w:val="both"/>
            </w:pPr>
            <w:r>
              <w:rPr>
                <w:rFonts w:ascii="Arial" w:eastAsia="Times New Roman" w:hAnsi="Arial" w:cs="Arial"/>
                <w:color w:val="000000"/>
                <w:sz w:val="18"/>
                <w:szCs w:val="18"/>
                <w:lang w:eastAsia="fr-FR"/>
              </w:rPr>
              <w:t>PGDS mis en place</w:t>
            </w:r>
          </w:p>
        </w:tc>
        <w:tc>
          <w:tcPr>
            <w:tcW w:w="0" w:type="auto"/>
            <w:shd w:val="clear" w:color="auto" w:fill="auto"/>
            <w:vAlign w:val="center"/>
          </w:tcPr>
          <w:p w14:paraId="57AD17F5" w14:textId="77777777" w:rsidR="00AC4FA3" w:rsidRDefault="00AC4FA3" w:rsidP="00AC4FA3">
            <w:pPr>
              <w:spacing w:after="0" w:line="240" w:lineRule="auto"/>
              <w:jc w:val="both"/>
            </w:pPr>
            <w:r>
              <w:rPr>
                <w:rFonts w:ascii="Arial" w:eastAsia="Times New Roman" w:hAnsi="Arial" w:cs="Arial"/>
                <w:color w:val="000000"/>
                <w:sz w:val="18"/>
                <w:szCs w:val="18"/>
                <w:lang w:eastAsia="fr-FR"/>
              </w:rPr>
              <w:t>Observation</w:t>
            </w:r>
          </w:p>
        </w:tc>
        <w:tc>
          <w:tcPr>
            <w:tcW w:w="0" w:type="auto"/>
            <w:shd w:val="clear" w:color="auto" w:fill="auto"/>
            <w:vAlign w:val="center"/>
          </w:tcPr>
          <w:p w14:paraId="267CF5A9" w14:textId="77777777" w:rsidR="00AC4FA3" w:rsidRDefault="00AC4FA3" w:rsidP="00AC4FA3">
            <w:pPr>
              <w:spacing w:after="0" w:line="240" w:lineRule="auto"/>
              <w:jc w:val="both"/>
            </w:pPr>
            <w:r>
              <w:rPr>
                <w:rFonts w:ascii="Arial" w:eastAsia="Times New Roman" w:hAnsi="Arial" w:cs="Arial"/>
                <w:color w:val="000000"/>
                <w:sz w:val="18"/>
                <w:szCs w:val="18"/>
                <w:lang w:eastAsia="fr-FR"/>
              </w:rPr>
              <w:t>Semestriel</w:t>
            </w:r>
          </w:p>
        </w:tc>
        <w:tc>
          <w:tcPr>
            <w:tcW w:w="0" w:type="auto"/>
            <w:shd w:val="clear" w:color="auto" w:fill="auto"/>
            <w:vAlign w:val="center"/>
          </w:tcPr>
          <w:p w14:paraId="22E91E33" w14:textId="77777777" w:rsidR="00AC4FA3" w:rsidRDefault="00AC4FA3" w:rsidP="00AC4FA3">
            <w:pPr>
              <w:spacing w:after="0" w:line="240" w:lineRule="auto"/>
              <w:jc w:val="both"/>
            </w:pPr>
            <w:r>
              <w:rPr>
                <w:rFonts w:ascii="Arial" w:eastAsia="Times New Roman" w:hAnsi="Arial" w:cs="Arial"/>
                <w:color w:val="000000"/>
                <w:sz w:val="18"/>
                <w:szCs w:val="18"/>
                <w:lang w:eastAsia="fr-FR"/>
              </w:rPr>
              <w:t>Projet/ Exploitant</w:t>
            </w:r>
          </w:p>
        </w:tc>
        <w:tc>
          <w:tcPr>
            <w:tcW w:w="0" w:type="auto"/>
            <w:shd w:val="clear" w:color="auto" w:fill="auto"/>
            <w:vAlign w:val="center"/>
          </w:tcPr>
          <w:p w14:paraId="64386124"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Ministère Energie, BM</w:t>
            </w:r>
          </w:p>
        </w:tc>
      </w:tr>
      <w:tr w:rsidR="00481CF0" w14:paraId="746AA1E9" w14:textId="77777777" w:rsidTr="0A1598FD">
        <w:trPr>
          <w:trHeight w:val="300"/>
        </w:trPr>
        <w:tc>
          <w:tcPr>
            <w:tcW w:w="0" w:type="auto"/>
            <w:shd w:val="clear" w:color="auto" w:fill="auto"/>
            <w:vAlign w:val="center"/>
          </w:tcPr>
          <w:p w14:paraId="5A82F761" w14:textId="77777777" w:rsidR="00AC4FA3" w:rsidRDefault="00AC4FA3" w:rsidP="00AC4FA3">
            <w:pPr>
              <w:spacing w:after="0" w:line="240" w:lineRule="auto"/>
              <w:jc w:val="both"/>
            </w:pPr>
            <w:r>
              <w:rPr>
                <w:rFonts w:ascii="Arial" w:eastAsia="Times New Roman" w:hAnsi="Arial" w:cs="Arial"/>
                <w:sz w:val="18"/>
                <w:szCs w:val="18"/>
                <w:lang w:eastAsia="fr-FR"/>
              </w:rPr>
              <w:t>Risque de conflit</w:t>
            </w:r>
            <w:r w:rsidR="00481CF0">
              <w:rPr>
                <w:rFonts w:ascii="Arial" w:eastAsia="Times New Roman" w:hAnsi="Arial" w:cs="Arial"/>
                <w:sz w:val="18"/>
                <w:szCs w:val="18"/>
                <w:lang w:eastAsia="fr-FR"/>
              </w:rPr>
              <w:t>s</w:t>
            </w:r>
            <w:r>
              <w:rPr>
                <w:rFonts w:ascii="Arial" w:eastAsia="Times New Roman" w:hAnsi="Arial" w:cs="Arial"/>
                <w:sz w:val="18"/>
                <w:szCs w:val="18"/>
                <w:lang w:eastAsia="fr-FR"/>
              </w:rPr>
              <w:t xml:space="preserve"> lié</w:t>
            </w:r>
            <w:r w:rsidR="00481CF0">
              <w:rPr>
                <w:rFonts w:ascii="Arial" w:eastAsia="Times New Roman" w:hAnsi="Arial" w:cs="Arial"/>
                <w:sz w:val="18"/>
                <w:szCs w:val="18"/>
                <w:lang w:eastAsia="fr-FR"/>
              </w:rPr>
              <w:t>s</w:t>
            </w:r>
            <w:r>
              <w:rPr>
                <w:rFonts w:ascii="Arial" w:eastAsia="Times New Roman" w:hAnsi="Arial" w:cs="Arial"/>
                <w:sz w:val="18"/>
                <w:szCs w:val="18"/>
                <w:lang w:eastAsia="fr-FR"/>
              </w:rPr>
              <w:t xml:space="preserve"> à l'utilisation de l'eau</w:t>
            </w:r>
          </w:p>
        </w:tc>
        <w:tc>
          <w:tcPr>
            <w:tcW w:w="0" w:type="auto"/>
            <w:shd w:val="clear" w:color="auto" w:fill="auto"/>
            <w:vAlign w:val="center"/>
          </w:tcPr>
          <w:p w14:paraId="6D5928B7" w14:textId="77777777" w:rsidR="00AC4FA3" w:rsidRDefault="00AC4FA3" w:rsidP="00AC4FA3">
            <w:pPr>
              <w:spacing w:after="0" w:line="240" w:lineRule="auto"/>
              <w:jc w:val="both"/>
            </w:pPr>
            <w:r>
              <w:rPr>
                <w:rFonts w:ascii="Arial" w:eastAsia="Times New Roman" w:hAnsi="Arial" w:cs="Arial"/>
                <w:color w:val="000000"/>
                <w:sz w:val="18"/>
                <w:szCs w:val="18"/>
                <w:lang w:eastAsia="fr-FR"/>
              </w:rPr>
              <w:t>Information sensibilisation sur la bonne gestion des ressources en eau</w:t>
            </w:r>
          </w:p>
        </w:tc>
        <w:tc>
          <w:tcPr>
            <w:tcW w:w="0" w:type="auto"/>
            <w:shd w:val="clear" w:color="auto" w:fill="auto"/>
            <w:vAlign w:val="center"/>
          </w:tcPr>
          <w:p w14:paraId="107BE494" w14:textId="77777777" w:rsidR="00AC4FA3" w:rsidRDefault="00AC4FA3" w:rsidP="00AC4FA3">
            <w:pPr>
              <w:spacing w:after="0" w:line="240" w:lineRule="auto"/>
              <w:jc w:val="both"/>
            </w:pPr>
            <w:r>
              <w:rPr>
                <w:rFonts w:ascii="Arial" w:eastAsia="Times New Roman" w:hAnsi="Arial" w:cs="Arial"/>
                <w:color w:val="000000"/>
                <w:sz w:val="18"/>
                <w:szCs w:val="18"/>
                <w:lang w:eastAsia="fr-FR"/>
              </w:rPr>
              <w:t>Suffisance des ressources en eau</w:t>
            </w:r>
          </w:p>
        </w:tc>
        <w:tc>
          <w:tcPr>
            <w:tcW w:w="0" w:type="auto"/>
            <w:shd w:val="clear" w:color="auto" w:fill="auto"/>
            <w:vAlign w:val="center"/>
          </w:tcPr>
          <w:p w14:paraId="7BFCAB0C" w14:textId="77777777" w:rsidR="00AC4FA3" w:rsidRDefault="00AC4FA3" w:rsidP="00AC4FA3">
            <w:pPr>
              <w:spacing w:after="0" w:line="240" w:lineRule="auto"/>
              <w:jc w:val="both"/>
            </w:pPr>
            <w:r>
              <w:rPr>
                <w:rFonts w:ascii="Arial" w:eastAsia="Times New Roman" w:hAnsi="Arial" w:cs="Arial"/>
                <w:color w:val="000000"/>
                <w:sz w:val="18"/>
                <w:szCs w:val="18"/>
                <w:lang w:eastAsia="fr-FR"/>
              </w:rPr>
              <w:t>Observation</w:t>
            </w:r>
          </w:p>
        </w:tc>
        <w:tc>
          <w:tcPr>
            <w:tcW w:w="0" w:type="auto"/>
            <w:shd w:val="clear" w:color="auto" w:fill="auto"/>
            <w:vAlign w:val="center"/>
          </w:tcPr>
          <w:p w14:paraId="273AEEC9" w14:textId="77777777" w:rsidR="00AC4FA3" w:rsidRDefault="00AC4FA3" w:rsidP="00AC4FA3">
            <w:pPr>
              <w:spacing w:after="0" w:line="240" w:lineRule="auto"/>
              <w:jc w:val="both"/>
            </w:pPr>
            <w:r>
              <w:rPr>
                <w:rFonts w:ascii="Arial" w:eastAsia="Times New Roman" w:hAnsi="Arial" w:cs="Arial"/>
                <w:color w:val="000000"/>
                <w:sz w:val="18"/>
                <w:szCs w:val="18"/>
                <w:lang w:eastAsia="fr-FR"/>
              </w:rPr>
              <w:t>Trimestriel</w:t>
            </w:r>
          </w:p>
        </w:tc>
        <w:tc>
          <w:tcPr>
            <w:tcW w:w="0" w:type="auto"/>
            <w:shd w:val="clear" w:color="auto" w:fill="auto"/>
            <w:vAlign w:val="center"/>
          </w:tcPr>
          <w:p w14:paraId="1AE75F93" w14:textId="77777777" w:rsidR="00AC4FA3" w:rsidRDefault="00AC4FA3" w:rsidP="00AC4FA3">
            <w:pPr>
              <w:spacing w:after="0" w:line="240" w:lineRule="auto"/>
              <w:jc w:val="both"/>
            </w:pPr>
            <w:r>
              <w:rPr>
                <w:rFonts w:ascii="Arial" w:eastAsia="Times New Roman" w:hAnsi="Arial" w:cs="Arial"/>
                <w:color w:val="000000"/>
                <w:sz w:val="18"/>
                <w:szCs w:val="18"/>
                <w:lang w:eastAsia="fr-FR"/>
              </w:rPr>
              <w:t>Projet/ Exploitant</w:t>
            </w:r>
          </w:p>
        </w:tc>
        <w:tc>
          <w:tcPr>
            <w:tcW w:w="0" w:type="auto"/>
            <w:shd w:val="clear" w:color="auto" w:fill="auto"/>
            <w:vAlign w:val="center"/>
          </w:tcPr>
          <w:p w14:paraId="394A59FA"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Ministère eau, Ministère énergie</w:t>
            </w:r>
          </w:p>
        </w:tc>
      </w:tr>
      <w:tr w:rsidR="00481CF0" w14:paraId="6D7FA9D1" w14:textId="77777777" w:rsidTr="0A1598FD">
        <w:trPr>
          <w:trHeight w:val="300"/>
        </w:trPr>
        <w:tc>
          <w:tcPr>
            <w:tcW w:w="0" w:type="auto"/>
            <w:shd w:val="clear" w:color="auto" w:fill="auto"/>
            <w:vAlign w:val="center"/>
          </w:tcPr>
          <w:p w14:paraId="39D25C89" w14:textId="77777777" w:rsidR="00AC4FA3" w:rsidRDefault="00AC4FA3" w:rsidP="00AC4FA3">
            <w:pPr>
              <w:spacing w:after="0" w:line="240" w:lineRule="auto"/>
              <w:jc w:val="both"/>
            </w:pPr>
            <w:r>
              <w:rPr>
                <w:rFonts w:ascii="Arial" w:eastAsia="Times New Roman" w:hAnsi="Arial" w:cs="Arial"/>
                <w:sz w:val="18"/>
                <w:szCs w:val="18"/>
                <w:lang w:eastAsia="fr-FR"/>
              </w:rPr>
              <w:lastRenderedPageBreak/>
              <w:t>Risque de bouleversement des mœurs</w:t>
            </w:r>
          </w:p>
        </w:tc>
        <w:tc>
          <w:tcPr>
            <w:tcW w:w="0" w:type="auto"/>
            <w:shd w:val="clear" w:color="auto" w:fill="auto"/>
            <w:vAlign w:val="center"/>
          </w:tcPr>
          <w:p w14:paraId="5634B508" w14:textId="77777777" w:rsidR="00AC4FA3" w:rsidRDefault="00AC4FA3" w:rsidP="00AC4FA3">
            <w:pPr>
              <w:spacing w:after="0" w:line="240" w:lineRule="auto"/>
              <w:jc w:val="both"/>
            </w:pPr>
            <w:r>
              <w:rPr>
                <w:rFonts w:ascii="Arial" w:eastAsia="Times New Roman" w:hAnsi="Arial" w:cs="Arial"/>
                <w:color w:val="000000"/>
                <w:sz w:val="18"/>
                <w:szCs w:val="18"/>
                <w:lang w:eastAsia="fr-FR"/>
              </w:rPr>
              <w:t>Information / sensibilisation sur l'utilisation des TIC et les risques qu</w:t>
            </w:r>
            <w:r w:rsidR="00B44FA9">
              <w:rPr>
                <w:rFonts w:ascii="Arial" w:eastAsia="Times New Roman" w:hAnsi="Arial" w:cs="Arial"/>
                <w:color w:val="000000"/>
                <w:sz w:val="18"/>
                <w:szCs w:val="18"/>
                <w:lang w:eastAsia="fr-FR"/>
              </w:rPr>
              <w:t>’elles</w:t>
            </w:r>
            <w:r>
              <w:rPr>
                <w:rFonts w:ascii="Arial" w:eastAsia="Times New Roman" w:hAnsi="Arial" w:cs="Arial"/>
                <w:color w:val="000000"/>
                <w:sz w:val="18"/>
                <w:szCs w:val="18"/>
                <w:lang w:eastAsia="fr-FR"/>
              </w:rPr>
              <w:t xml:space="preserve"> présente</w:t>
            </w:r>
            <w:r w:rsidR="00B44FA9">
              <w:rPr>
                <w:rFonts w:ascii="Arial" w:eastAsia="Times New Roman" w:hAnsi="Arial" w:cs="Arial"/>
                <w:color w:val="000000"/>
                <w:sz w:val="18"/>
                <w:szCs w:val="18"/>
                <w:lang w:eastAsia="fr-FR"/>
              </w:rPr>
              <w:t>nt</w:t>
            </w:r>
            <w:r>
              <w:rPr>
                <w:rFonts w:ascii="Arial" w:eastAsia="Times New Roman" w:hAnsi="Arial" w:cs="Arial"/>
                <w:color w:val="000000"/>
                <w:sz w:val="18"/>
                <w:szCs w:val="18"/>
                <w:lang w:eastAsia="fr-FR"/>
              </w:rPr>
              <w:t>. Formation des autorités en charge de la sécurité nationale sur l'utilisation des TIC. Formation et sensibilisation de la population sur l'importance du respect mutuel</w:t>
            </w:r>
          </w:p>
        </w:tc>
        <w:tc>
          <w:tcPr>
            <w:tcW w:w="0" w:type="auto"/>
            <w:shd w:val="clear" w:color="auto" w:fill="auto"/>
            <w:vAlign w:val="center"/>
          </w:tcPr>
          <w:p w14:paraId="3F11D5C3" w14:textId="77777777" w:rsidR="00AC4FA3" w:rsidRDefault="00AC4FA3" w:rsidP="00AC4FA3">
            <w:pPr>
              <w:spacing w:after="0" w:line="240" w:lineRule="auto"/>
              <w:jc w:val="both"/>
            </w:pPr>
            <w:r>
              <w:rPr>
                <w:rFonts w:ascii="Arial" w:eastAsia="Times New Roman" w:hAnsi="Arial" w:cs="Arial"/>
                <w:color w:val="000000"/>
                <w:sz w:val="18"/>
                <w:szCs w:val="18"/>
                <w:lang w:eastAsia="fr-FR"/>
              </w:rPr>
              <w:t>Stabilité de la société locale</w:t>
            </w:r>
          </w:p>
        </w:tc>
        <w:tc>
          <w:tcPr>
            <w:tcW w:w="0" w:type="auto"/>
            <w:shd w:val="clear" w:color="auto" w:fill="auto"/>
            <w:vAlign w:val="center"/>
          </w:tcPr>
          <w:p w14:paraId="2A427C39" w14:textId="77777777" w:rsidR="00AC4FA3" w:rsidRDefault="00AC4FA3" w:rsidP="00AC4FA3">
            <w:pPr>
              <w:spacing w:after="0" w:line="240" w:lineRule="auto"/>
              <w:jc w:val="both"/>
            </w:pPr>
            <w:r>
              <w:rPr>
                <w:rFonts w:ascii="Arial" w:eastAsia="Times New Roman" w:hAnsi="Arial" w:cs="Arial"/>
                <w:color w:val="000000"/>
                <w:sz w:val="18"/>
                <w:szCs w:val="18"/>
                <w:lang w:eastAsia="fr-FR"/>
              </w:rPr>
              <w:t>Observation</w:t>
            </w:r>
          </w:p>
        </w:tc>
        <w:tc>
          <w:tcPr>
            <w:tcW w:w="0" w:type="auto"/>
            <w:shd w:val="clear" w:color="auto" w:fill="auto"/>
            <w:vAlign w:val="center"/>
          </w:tcPr>
          <w:p w14:paraId="53A45D24" w14:textId="77777777" w:rsidR="00AC4FA3" w:rsidRDefault="00AC4FA3" w:rsidP="00AC4FA3">
            <w:pPr>
              <w:spacing w:after="0" w:line="240" w:lineRule="auto"/>
              <w:jc w:val="both"/>
            </w:pPr>
            <w:r>
              <w:rPr>
                <w:rFonts w:ascii="Arial" w:eastAsia="Times New Roman" w:hAnsi="Arial" w:cs="Arial"/>
                <w:color w:val="000000"/>
                <w:sz w:val="18"/>
                <w:szCs w:val="18"/>
                <w:lang w:eastAsia="fr-FR"/>
              </w:rPr>
              <w:t>Comptage</w:t>
            </w:r>
          </w:p>
        </w:tc>
        <w:tc>
          <w:tcPr>
            <w:tcW w:w="0" w:type="auto"/>
            <w:shd w:val="clear" w:color="auto" w:fill="auto"/>
            <w:vAlign w:val="center"/>
          </w:tcPr>
          <w:p w14:paraId="6395FE06" w14:textId="77777777" w:rsidR="00AC4FA3" w:rsidRDefault="00AC4FA3" w:rsidP="00AC4FA3">
            <w:pPr>
              <w:spacing w:after="0" w:line="240" w:lineRule="auto"/>
              <w:jc w:val="both"/>
            </w:pPr>
            <w:r>
              <w:rPr>
                <w:rFonts w:ascii="Arial" w:eastAsia="Times New Roman" w:hAnsi="Arial" w:cs="Arial"/>
                <w:color w:val="000000"/>
                <w:sz w:val="18"/>
                <w:szCs w:val="18"/>
                <w:lang w:eastAsia="fr-FR"/>
              </w:rPr>
              <w:t>Projet/ Exploitant</w:t>
            </w:r>
          </w:p>
        </w:tc>
        <w:tc>
          <w:tcPr>
            <w:tcW w:w="0" w:type="auto"/>
            <w:shd w:val="clear" w:color="auto" w:fill="auto"/>
            <w:vAlign w:val="center"/>
          </w:tcPr>
          <w:p w14:paraId="0C3F251E"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Ministère population, Ministère sécurité</w:t>
            </w:r>
          </w:p>
        </w:tc>
      </w:tr>
      <w:tr w:rsidR="00481CF0" w14:paraId="1C0B069E" w14:textId="77777777" w:rsidTr="0A1598FD">
        <w:trPr>
          <w:trHeight w:val="288"/>
        </w:trPr>
        <w:tc>
          <w:tcPr>
            <w:tcW w:w="0" w:type="auto"/>
            <w:vMerge w:val="restart"/>
            <w:shd w:val="clear" w:color="auto" w:fill="auto"/>
            <w:vAlign w:val="center"/>
          </w:tcPr>
          <w:p w14:paraId="55A2A06C" w14:textId="77777777" w:rsidR="00AC4FA3" w:rsidRDefault="00AC4FA3" w:rsidP="00AC4FA3">
            <w:pPr>
              <w:spacing w:after="0" w:line="240" w:lineRule="auto"/>
              <w:jc w:val="both"/>
            </w:pPr>
            <w:r>
              <w:rPr>
                <w:rFonts w:ascii="Arial" w:eastAsia="Times New Roman" w:hAnsi="Arial" w:cs="Arial"/>
                <w:sz w:val="18"/>
                <w:szCs w:val="18"/>
                <w:lang w:eastAsia="fr-FR"/>
              </w:rPr>
              <w:t>Création de CEM</w:t>
            </w:r>
          </w:p>
        </w:tc>
        <w:tc>
          <w:tcPr>
            <w:tcW w:w="0" w:type="auto"/>
            <w:shd w:val="clear" w:color="auto" w:fill="auto"/>
            <w:vAlign w:val="center"/>
          </w:tcPr>
          <w:p w14:paraId="5AF145D8" w14:textId="77777777" w:rsidR="00AC4FA3" w:rsidRDefault="00AC4FA3" w:rsidP="00AC4FA3">
            <w:pPr>
              <w:spacing w:after="0" w:line="240" w:lineRule="auto"/>
              <w:jc w:val="both"/>
            </w:pPr>
            <w:r>
              <w:rPr>
                <w:rFonts w:ascii="Arial" w:eastAsia="Times New Roman" w:hAnsi="Arial" w:cs="Arial"/>
                <w:color w:val="000000"/>
                <w:sz w:val="18"/>
                <w:szCs w:val="18"/>
                <w:lang w:eastAsia="fr-FR"/>
              </w:rPr>
              <w:t>Mise en conformité de l’installation aux normes</w:t>
            </w:r>
          </w:p>
        </w:tc>
        <w:tc>
          <w:tcPr>
            <w:tcW w:w="0" w:type="auto"/>
            <w:vMerge w:val="restart"/>
            <w:shd w:val="clear" w:color="auto" w:fill="auto"/>
            <w:vAlign w:val="center"/>
          </w:tcPr>
          <w:p w14:paraId="75115DE9" w14:textId="77777777" w:rsidR="00AC4FA3" w:rsidRDefault="00AC4FA3" w:rsidP="00AC4FA3">
            <w:pPr>
              <w:spacing w:after="0" w:line="240" w:lineRule="auto"/>
              <w:jc w:val="both"/>
            </w:pPr>
            <w:r>
              <w:rPr>
                <w:rFonts w:ascii="Arial" w:eastAsia="Times New Roman" w:hAnsi="Arial" w:cs="Arial"/>
                <w:color w:val="000000"/>
                <w:sz w:val="18"/>
                <w:szCs w:val="18"/>
                <w:lang w:eastAsia="fr-FR"/>
              </w:rPr>
              <w:t>Plan de masse des installations</w:t>
            </w:r>
          </w:p>
        </w:tc>
        <w:tc>
          <w:tcPr>
            <w:tcW w:w="0" w:type="auto"/>
            <w:vMerge w:val="restart"/>
            <w:shd w:val="clear" w:color="auto" w:fill="auto"/>
            <w:vAlign w:val="center"/>
          </w:tcPr>
          <w:p w14:paraId="364CA9CF" w14:textId="77777777" w:rsidR="00AC4FA3" w:rsidRDefault="00AC4FA3" w:rsidP="00AC4FA3">
            <w:pPr>
              <w:spacing w:after="0" w:line="240" w:lineRule="auto"/>
              <w:jc w:val="both"/>
            </w:pPr>
            <w:r>
              <w:rPr>
                <w:rFonts w:ascii="Arial" w:eastAsia="Times New Roman" w:hAnsi="Arial" w:cs="Arial"/>
                <w:color w:val="000000"/>
                <w:sz w:val="18"/>
                <w:szCs w:val="18"/>
                <w:lang w:eastAsia="fr-FR"/>
              </w:rPr>
              <w:t>Observation</w:t>
            </w:r>
          </w:p>
        </w:tc>
        <w:tc>
          <w:tcPr>
            <w:tcW w:w="0" w:type="auto"/>
            <w:vMerge w:val="restart"/>
            <w:shd w:val="clear" w:color="auto" w:fill="auto"/>
            <w:vAlign w:val="center"/>
          </w:tcPr>
          <w:p w14:paraId="361B2EE9" w14:textId="77777777" w:rsidR="00AC4FA3" w:rsidRDefault="00AC4FA3" w:rsidP="00AC4FA3">
            <w:pPr>
              <w:spacing w:after="0" w:line="240" w:lineRule="auto"/>
              <w:jc w:val="both"/>
            </w:pPr>
            <w:r>
              <w:rPr>
                <w:rFonts w:ascii="Arial" w:eastAsia="Times New Roman" w:hAnsi="Arial" w:cs="Arial"/>
                <w:color w:val="000000"/>
                <w:sz w:val="18"/>
                <w:szCs w:val="18"/>
                <w:lang w:eastAsia="fr-FR"/>
              </w:rPr>
              <w:t>Fin de chantier</w:t>
            </w:r>
          </w:p>
        </w:tc>
        <w:tc>
          <w:tcPr>
            <w:tcW w:w="0" w:type="auto"/>
            <w:vMerge w:val="restart"/>
            <w:shd w:val="clear" w:color="auto" w:fill="auto"/>
            <w:vAlign w:val="center"/>
          </w:tcPr>
          <w:p w14:paraId="4BE369C6" w14:textId="77777777" w:rsidR="00AC4FA3" w:rsidRDefault="00AC4FA3" w:rsidP="00AC4FA3">
            <w:pPr>
              <w:spacing w:after="0" w:line="240" w:lineRule="auto"/>
              <w:jc w:val="both"/>
            </w:pPr>
            <w:r>
              <w:rPr>
                <w:rFonts w:ascii="Arial" w:eastAsia="Times New Roman" w:hAnsi="Arial" w:cs="Arial"/>
                <w:color w:val="000000"/>
                <w:sz w:val="18"/>
                <w:szCs w:val="18"/>
                <w:lang w:eastAsia="fr-FR"/>
              </w:rPr>
              <w:t>Entreprise</w:t>
            </w:r>
          </w:p>
        </w:tc>
        <w:tc>
          <w:tcPr>
            <w:tcW w:w="0" w:type="auto"/>
            <w:vMerge w:val="restart"/>
            <w:shd w:val="clear" w:color="auto" w:fill="auto"/>
            <w:vAlign w:val="center"/>
          </w:tcPr>
          <w:p w14:paraId="6E5DB58E"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Ministère énergie</w:t>
            </w:r>
          </w:p>
        </w:tc>
      </w:tr>
      <w:tr w:rsidR="00481CF0" w14:paraId="3D89C13C" w14:textId="77777777" w:rsidTr="0A1598FD">
        <w:trPr>
          <w:trHeight w:val="720"/>
        </w:trPr>
        <w:tc>
          <w:tcPr>
            <w:tcW w:w="0" w:type="auto"/>
            <w:vMerge/>
            <w:vAlign w:val="center"/>
          </w:tcPr>
          <w:p w14:paraId="6E09A2F4" w14:textId="77777777" w:rsidR="00AC4FA3" w:rsidRDefault="00AC4FA3" w:rsidP="00AC4FA3">
            <w:pPr>
              <w:spacing w:after="0" w:line="240" w:lineRule="auto"/>
              <w:jc w:val="both"/>
              <w:rPr>
                <w:rFonts w:ascii="Arial" w:eastAsia="Times New Roman" w:hAnsi="Arial" w:cs="Arial"/>
                <w:sz w:val="18"/>
                <w:szCs w:val="18"/>
                <w:lang w:eastAsia="fr-FR"/>
              </w:rPr>
            </w:pPr>
          </w:p>
        </w:tc>
        <w:tc>
          <w:tcPr>
            <w:tcW w:w="0" w:type="auto"/>
            <w:shd w:val="clear" w:color="auto" w:fill="auto"/>
            <w:vAlign w:val="center"/>
          </w:tcPr>
          <w:p w14:paraId="02BD5664" w14:textId="77777777" w:rsidR="00AC4FA3" w:rsidRDefault="00AC4FA3" w:rsidP="00A4072D">
            <w:pPr>
              <w:spacing w:after="0" w:line="240" w:lineRule="auto"/>
              <w:jc w:val="both"/>
            </w:pPr>
            <w:r w:rsidRPr="00FB04F6">
              <w:rPr>
                <w:rFonts w:ascii="Arial" w:eastAsia="Times New Roman" w:hAnsi="Arial" w:cs="Arial"/>
                <w:color w:val="000000"/>
                <w:sz w:val="18"/>
                <w:szCs w:val="18"/>
                <w:lang w:eastAsia="fr-FR"/>
              </w:rPr>
              <w:t>L’isolation électrique et électromagnétique des équipements dans des locaux faradisés/chambre de Faraday</w:t>
            </w:r>
          </w:p>
        </w:tc>
        <w:tc>
          <w:tcPr>
            <w:tcW w:w="0" w:type="auto"/>
            <w:vMerge/>
            <w:vAlign w:val="center"/>
          </w:tcPr>
          <w:p w14:paraId="34A7F599"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2A85BC10"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678C753F"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127ADE03"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0EA3D0B1"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r>
      <w:tr w:rsidR="00481CF0" w14:paraId="49C61D7F" w14:textId="77777777" w:rsidTr="0A1598FD">
        <w:trPr>
          <w:trHeight w:val="288"/>
        </w:trPr>
        <w:tc>
          <w:tcPr>
            <w:tcW w:w="0" w:type="auto"/>
            <w:vMerge/>
            <w:vAlign w:val="center"/>
          </w:tcPr>
          <w:p w14:paraId="68C6F7B5" w14:textId="77777777" w:rsidR="00AC4FA3" w:rsidRDefault="00AC4FA3" w:rsidP="00AC4FA3">
            <w:pPr>
              <w:spacing w:after="0" w:line="240" w:lineRule="auto"/>
              <w:jc w:val="both"/>
              <w:rPr>
                <w:rFonts w:ascii="Arial" w:eastAsia="Times New Roman" w:hAnsi="Arial" w:cs="Arial"/>
                <w:sz w:val="18"/>
                <w:szCs w:val="18"/>
                <w:lang w:eastAsia="fr-FR"/>
              </w:rPr>
            </w:pPr>
          </w:p>
        </w:tc>
        <w:tc>
          <w:tcPr>
            <w:tcW w:w="0" w:type="auto"/>
            <w:shd w:val="clear" w:color="auto" w:fill="auto"/>
            <w:vAlign w:val="center"/>
          </w:tcPr>
          <w:p w14:paraId="3419BD96" w14:textId="77777777" w:rsidR="00AC4FA3" w:rsidRDefault="00AC4FA3" w:rsidP="00AC4FA3">
            <w:pPr>
              <w:spacing w:after="0" w:line="240" w:lineRule="auto"/>
              <w:jc w:val="both"/>
            </w:pPr>
            <w:r>
              <w:rPr>
                <w:rFonts w:ascii="Arial" w:eastAsia="Times New Roman" w:hAnsi="Arial" w:cs="Arial"/>
                <w:color w:val="000000"/>
                <w:sz w:val="18"/>
                <w:szCs w:val="18"/>
                <w:lang w:eastAsia="fr-FR"/>
              </w:rPr>
              <w:t>L’éloignement des bâtiments à 3,5m des câbles MT</w:t>
            </w:r>
          </w:p>
        </w:tc>
        <w:tc>
          <w:tcPr>
            <w:tcW w:w="0" w:type="auto"/>
            <w:vMerge/>
            <w:vAlign w:val="center"/>
          </w:tcPr>
          <w:p w14:paraId="5A8AED5F"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1EC13319"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74D21AE6"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3B5EDB12"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41072292"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r>
      <w:tr w:rsidR="00481CF0" w14:paraId="5CB706CC" w14:textId="77777777" w:rsidTr="0A1598FD">
        <w:trPr>
          <w:trHeight w:val="288"/>
        </w:trPr>
        <w:tc>
          <w:tcPr>
            <w:tcW w:w="0" w:type="auto"/>
            <w:vMerge/>
            <w:vAlign w:val="center"/>
          </w:tcPr>
          <w:p w14:paraId="50665E89" w14:textId="77777777" w:rsidR="00AC4FA3" w:rsidRDefault="00AC4FA3" w:rsidP="00AC4FA3">
            <w:pPr>
              <w:spacing w:after="0" w:line="240" w:lineRule="auto"/>
              <w:jc w:val="both"/>
              <w:rPr>
                <w:rFonts w:ascii="Arial" w:eastAsia="Times New Roman" w:hAnsi="Arial" w:cs="Arial"/>
                <w:sz w:val="18"/>
                <w:szCs w:val="18"/>
                <w:lang w:eastAsia="fr-FR"/>
              </w:rPr>
            </w:pPr>
          </w:p>
        </w:tc>
        <w:tc>
          <w:tcPr>
            <w:tcW w:w="0" w:type="auto"/>
            <w:shd w:val="clear" w:color="auto" w:fill="auto"/>
            <w:vAlign w:val="center"/>
          </w:tcPr>
          <w:p w14:paraId="02459FF7" w14:textId="77777777" w:rsidR="00AC4FA3" w:rsidRDefault="00AC4FA3" w:rsidP="00AC4FA3">
            <w:pPr>
              <w:spacing w:after="0" w:line="240" w:lineRule="auto"/>
              <w:jc w:val="both"/>
            </w:pPr>
            <w:r>
              <w:rPr>
                <w:rFonts w:ascii="Arial" w:eastAsia="Times New Roman" w:hAnsi="Arial" w:cs="Arial"/>
                <w:color w:val="000000"/>
                <w:sz w:val="18"/>
                <w:szCs w:val="18"/>
                <w:lang w:eastAsia="fr-FR"/>
              </w:rPr>
              <w:t>La distance limite (0,75m) d’approches aux câbles</w:t>
            </w:r>
          </w:p>
        </w:tc>
        <w:tc>
          <w:tcPr>
            <w:tcW w:w="0" w:type="auto"/>
            <w:vMerge/>
            <w:vAlign w:val="center"/>
          </w:tcPr>
          <w:p w14:paraId="44167350"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2C52A0D4"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78F0AA8C"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43CBAC47"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779CFD86"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r>
      <w:tr w:rsidR="00481CF0" w14:paraId="3F03D128" w14:textId="77777777" w:rsidTr="0A1598FD">
        <w:trPr>
          <w:trHeight w:val="300"/>
        </w:trPr>
        <w:tc>
          <w:tcPr>
            <w:tcW w:w="0" w:type="auto"/>
            <w:vMerge/>
            <w:vAlign w:val="center"/>
          </w:tcPr>
          <w:p w14:paraId="748CA988" w14:textId="77777777" w:rsidR="00AC4FA3" w:rsidRDefault="00AC4FA3" w:rsidP="00AC4FA3">
            <w:pPr>
              <w:spacing w:after="0" w:line="240" w:lineRule="auto"/>
              <w:jc w:val="both"/>
              <w:rPr>
                <w:rFonts w:ascii="Arial" w:eastAsia="Times New Roman" w:hAnsi="Arial" w:cs="Arial"/>
                <w:sz w:val="18"/>
                <w:szCs w:val="18"/>
                <w:lang w:eastAsia="fr-FR"/>
              </w:rPr>
            </w:pPr>
          </w:p>
        </w:tc>
        <w:tc>
          <w:tcPr>
            <w:tcW w:w="0" w:type="auto"/>
            <w:shd w:val="clear" w:color="auto" w:fill="auto"/>
            <w:vAlign w:val="center"/>
          </w:tcPr>
          <w:p w14:paraId="5350B60C" w14:textId="77777777" w:rsidR="00AC4FA3" w:rsidRDefault="00AC4FA3" w:rsidP="00AC4FA3">
            <w:pPr>
              <w:spacing w:after="0" w:line="240" w:lineRule="auto"/>
              <w:jc w:val="both"/>
            </w:pPr>
            <w:r>
              <w:rPr>
                <w:rFonts w:ascii="Arial" w:eastAsia="Times New Roman" w:hAnsi="Arial" w:cs="Arial"/>
                <w:color w:val="000000"/>
                <w:sz w:val="18"/>
                <w:szCs w:val="18"/>
                <w:lang w:eastAsia="fr-FR"/>
              </w:rPr>
              <w:t>La distance de travail (2m) par rapport aux câbles</w:t>
            </w:r>
          </w:p>
        </w:tc>
        <w:tc>
          <w:tcPr>
            <w:tcW w:w="0" w:type="auto"/>
            <w:vMerge/>
            <w:vAlign w:val="center"/>
          </w:tcPr>
          <w:p w14:paraId="5A64DD13"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6A81FF43"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182A939F"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346DEBEA"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c>
          <w:tcPr>
            <w:tcW w:w="0" w:type="auto"/>
            <w:vMerge/>
            <w:vAlign w:val="center"/>
          </w:tcPr>
          <w:p w14:paraId="78004FD7" w14:textId="77777777" w:rsidR="00AC4FA3" w:rsidRDefault="00AC4FA3" w:rsidP="00AC4FA3">
            <w:pPr>
              <w:spacing w:after="0" w:line="240" w:lineRule="auto"/>
              <w:jc w:val="both"/>
              <w:rPr>
                <w:rFonts w:ascii="Arial" w:eastAsia="Times New Roman" w:hAnsi="Arial" w:cs="Arial"/>
                <w:color w:val="000000"/>
                <w:sz w:val="18"/>
                <w:szCs w:val="18"/>
                <w:lang w:eastAsia="fr-FR"/>
              </w:rPr>
            </w:pPr>
          </w:p>
        </w:tc>
      </w:tr>
      <w:tr w:rsidR="00481CF0" w14:paraId="23A132C1" w14:textId="77777777" w:rsidTr="0A1598FD">
        <w:trPr>
          <w:trHeight w:val="300"/>
        </w:trPr>
        <w:tc>
          <w:tcPr>
            <w:tcW w:w="0" w:type="auto"/>
            <w:shd w:val="clear" w:color="auto" w:fill="auto"/>
            <w:vAlign w:val="center"/>
          </w:tcPr>
          <w:p w14:paraId="107BD4A9" w14:textId="77777777" w:rsidR="00AC4FA3" w:rsidRDefault="00AC4FA3" w:rsidP="00AC4FA3">
            <w:pPr>
              <w:spacing w:after="0" w:line="240" w:lineRule="auto"/>
              <w:jc w:val="both"/>
            </w:pPr>
            <w:r>
              <w:rPr>
                <w:rFonts w:ascii="Arial" w:eastAsia="Times New Roman" w:hAnsi="Arial" w:cs="Arial"/>
                <w:sz w:val="18"/>
                <w:szCs w:val="18"/>
                <w:lang w:eastAsia="fr-FR"/>
              </w:rPr>
              <w:t>Risque d'accident</w:t>
            </w:r>
            <w:r w:rsidR="00481CF0">
              <w:rPr>
                <w:rFonts w:ascii="Arial" w:eastAsia="Times New Roman" w:hAnsi="Arial" w:cs="Arial"/>
                <w:sz w:val="18"/>
                <w:szCs w:val="18"/>
                <w:lang w:eastAsia="fr-FR"/>
              </w:rPr>
              <w:t>s</w:t>
            </w:r>
            <w:r>
              <w:rPr>
                <w:rFonts w:ascii="Arial" w:eastAsia="Times New Roman" w:hAnsi="Arial" w:cs="Arial"/>
                <w:sz w:val="18"/>
                <w:szCs w:val="18"/>
                <w:lang w:eastAsia="fr-FR"/>
              </w:rPr>
              <w:t xml:space="preserve"> et d’incendie</w:t>
            </w:r>
          </w:p>
        </w:tc>
        <w:tc>
          <w:tcPr>
            <w:tcW w:w="0" w:type="auto"/>
            <w:shd w:val="clear" w:color="auto" w:fill="auto"/>
            <w:vAlign w:val="center"/>
          </w:tcPr>
          <w:p w14:paraId="799A04CC" w14:textId="77777777" w:rsidR="00AC4FA3" w:rsidRDefault="00AC4FA3" w:rsidP="00AC4FA3">
            <w:pPr>
              <w:spacing w:after="0" w:line="240" w:lineRule="auto"/>
              <w:jc w:val="both"/>
            </w:pPr>
            <w:r>
              <w:rPr>
                <w:rFonts w:ascii="Arial" w:eastAsia="Times New Roman" w:hAnsi="Arial" w:cs="Arial"/>
                <w:color w:val="000000"/>
                <w:sz w:val="18"/>
                <w:szCs w:val="18"/>
                <w:lang w:eastAsia="fr-FR"/>
              </w:rPr>
              <w:t>Mise en place d'un plan de prévention et d’intervention en cas d’incendie : extincteur adéquat (à CO</w:t>
            </w:r>
            <w:r w:rsidRPr="00B434A6">
              <w:rPr>
                <w:rFonts w:ascii="Arial" w:eastAsia="Times New Roman" w:hAnsi="Arial" w:cs="Arial"/>
                <w:color w:val="000000"/>
                <w:sz w:val="18"/>
                <w:szCs w:val="18"/>
                <w:vertAlign w:val="subscript"/>
                <w:lang w:eastAsia="fr-FR"/>
              </w:rPr>
              <w:t>2</w:t>
            </w:r>
            <w:r>
              <w:rPr>
                <w:rFonts w:ascii="Arial" w:eastAsia="Times New Roman" w:hAnsi="Arial" w:cs="Arial"/>
                <w:color w:val="000000"/>
                <w:sz w:val="18"/>
                <w:szCs w:val="18"/>
                <w:lang w:eastAsia="fr-FR"/>
              </w:rPr>
              <w:t>)</w:t>
            </w:r>
          </w:p>
        </w:tc>
        <w:tc>
          <w:tcPr>
            <w:tcW w:w="0" w:type="auto"/>
            <w:shd w:val="clear" w:color="auto" w:fill="auto"/>
            <w:vAlign w:val="center"/>
          </w:tcPr>
          <w:p w14:paraId="24B70929" w14:textId="77777777" w:rsidR="00AC4FA3" w:rsidRDefault="00AC4FA3" w:rsidP="00AC4FA3">
            <w:pPr>
              <w:spacing w:after="0" w:line="240" w:lineRule="auto"/>
              <w:jc w:val="both"/>
            </w:pPr>
            <w:r>
              <w:rPr>
                <w:rFonts w:ascii="Arial" w:eastAsia="Times New Roman" w:hAnsi="Arial" w:cs="Arial"/>
                <w:color w:val="000000"/>
                <w:sz w:val="18"/>
                <w:szCs w:val="18"/>
                <w:lang w:eastAsia="fr-FR"/>
              </w:rPr>
              <w:t>Plan de prévention des risque</w:t>
            </w:r>
            <w:r w:rsidR="003075BB">
              <w:rPr>
                <w:rFonts w:ascii="Arial" w:eastAsia="Times New Roman" w:hAnsi="Arial" w:cs="Arial"/>
                <w:color w:val="000000"/>
                <w:sz w:val="18"/>
                <w:szCs w:val="18"/>
                <w:lang w:eastAsia="fr-FR"/>
              </w:rPr>
              <w:t>s</w:t>
            </w:r>
            <w:r>
              <w:rPr>
                <w:rFonts w:ascii="Arial" w:eastAsia="Times New Roman" w:hAnsi="Arial" w:cs="Arial"/>
                <w:color w:val="000000"/>
                <w:sz w:val="18"/>
                <w:szCs w:val="18"/>
                <w:lang w:eastAsia="fr-FR"/>
              </w:rPr>
              <w:t xml:space="preserve"> mis en place</w:t>
            </w:r>
          </w:p>
        </w:tc>
        <w:tc>
          <w:tcPr>
            <w:tcW w:w="0" w:type="auto"/>
            <w:shd w:val="clear" w:color="auto" w:fill="auto"/>
            <w:vAlign w:val="center"/>
          </w:tcPr>
          <w:p w14:paraId="1CE737E6" w14:textId="77777777" w:rsidR="00AC4FA3" w:rsidRDefault="00AC4FA3" w:rsidP="00AC4FA3">
            <w:pPr>
              <w:spacing w:after="0" w:line="240" w:lineRule="auto"/>
              <w:jc w:val="both"/>
            </w:pPr>
            <w:r>
              <w:rPr>
                <w:rFonts w:ascii="Arial" w:eastAsia="Times New Roman" w:hAnsi="Arial" w:cs="Arial"/>
                <w:color w:val="000000"/>
                <w:sz w:val="18"/>
                <w:szCs w:val="18"/>
                <w:lang w:eastAsia="fr-FR"/>
              </w:rPr>
              <w:t>Observation</w:t>
            </w:r>
          </w:p>
        </w:tc>
        <w:tc>
          <w:tcPr>
            <w:tcW w:w="0" w:type="auto"/>
            <w:shd w:val="clear" w:color="auto" w:fill="auto"/>
            <w:vAlign w:val="center"/>
          </w:tcPr>
          <w:p w14:paraId="6D582966" w14:textId="77777777" w:rsidR="00AC4FA3" w:rsidRDefault="00AC4FA3" w:rsidP="00AC4FA3">
            <w:pPr>
              <w:spacing w:after="0" w:line="240" w:lineRule="auto"/>
              <w:jc w:val="both"/>
            </w:pPr>
            <w:r>
              <w:rPr>
                <w:rFonts w:ascii="Arial" w:eastAsia="Times New Roman" w:hAnsi="Arial" w:cs="Arial"/>
                <w:color w:val="000000"/>
                <w:sz w:val="18"/>
                <w:szCs w:val="18"/>
                <w:lang w:eastAsia="fr-FR"/>
              </w:rPr>
              <w:t>Trimestriel</w:t>
            </w:r>
          </w:p>
        </w:tc>
        <w:tc>
          <w:tcPr>
            <w:tcW w:w="0" w:type="auto"/>
            <w:shd w:val="clear" w:color="auto" w:fill="auto"/>
            <w:vAlign w:val="center"/>
          </w:tcPr>
          <w:p w14:paraId="6A392CC2" w14:textId="77777777" w:rsidR="00AC4FA3" w:rsidRDefault="00AC4FA3" w:rsidP="00AC4FA3">
            <w:pPr>
              <w:spacing w:after="0" w:line="240" w:lineRule="auto"/>
              <w:jc w:val="both"/>
            </w:pPr>
            <w:r>
              <w:rPr>
                <w:rFonts w:ascii="Arial" w:eastAsia="Times New Roman" w:hAnsi="Arial" w:cs="Arial"/>
                <w:color w:val="000000"/>
                <w:sz w:val="18"/>
                <w:szCs w:val="18"/>
                <w:lang w:eastAsia="fr-FR"/>
              </w:rPr>
              <w:t>Projet/ Exploitant</w:t>
            </w:r>
          </w:p>
        </w:tc>
        <w:tc>
          <w:tcPr>
            <w:tcW w:w="0" w:type="auto"/>
            <w:shd w:val="clear" w:color="auto" w:fill="auto"/>
            <w:vAlign w:val="center"/>
          </w:tcPr>
          <w:p w14:paraId="2E76EE50"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Ministère Energie, BM</w:t>
            </w:r>
          </w:p>
        </w:tc>
      </w:tr>
      <w:tr w:rsidR="00481CF0" w14:paraId="74A999A0" w14:textId="77777777" w:rsidTr="0A1598FD">
        <w:trPr>
          <w:trHeight w:val="300"/>
        </w:trPr>
        <w:tc>
          <w:tcPr>
            <w:tcW w:w="0" w:type="auto"/>
            <w:shd w:val="clear" w:color="auto" w:fill="auto"/>
            <w:vAlign w:val="center"/>
          </w:tcPr>
          <w:p w14:paraId="7A24D8B9" w14:textId="77777777" w:rsidR="00AC4FA3" w:rsidRDefault="00AC4FA3" w:rsidP="00AC4FA3">
            <w:pPr>
              <w:spacing w:after="0" w:line="240" w:lineRule="auto"/>
              <w:jc w:val="both"/>
            </w:pPr>
            <w:r>
              <w:rPr>
                <w:rFonts w:ascii="Arial" w:eastAsia="Times New Roman" w:hAnsi="Arial" w:cs="Arial"/>
                <w:sz w:val="18"/>
                <w:szCs w:val="18"/>
                <w:lang w:eastAsia="fr-FR"/>
              </w:rPr>
              <w:t>Risques liés au vol et intrusions</w:t>
            </w:r>
          </w:p>
        </w:tc>
        <w:tc>
          <w:tcPr>
            <w:tcW w:w="0" w:type="auto"/>
            <w:shd w:val="clear" w:color="auto" w:fill="auto"/>
            <w:vAlign w:val="center"/>
          </w:tcPr>
          <w:p w14:paraId="729B1D67" w14:textId="77777777" w:rsidR="00AC4FA3" w:rsidRDefault="00AC4FA3" w:rsidP="00AC4FA3">
            <w:pPr>
              <w:spacing w:after="0" w:line="240" w:lineRule="auto"/>
              <w:jc w:val="both"/>
            </w:pPr>
            <w:r>
              <w:rPr>
                <w:rFonts w:ascii="Arial" w:eastAsia="Times New Roman" w:hAnsi="Arial" w:cs="Arial"/>
                <w:color w:val="000000"/>
                <w:sz w:val="18"/>
                <w:szCs w:val="18"/>
                <w:lang w:eastAsia="fr-FR"/>
              </w:rPr>
              <w:t>Mise en place de système de sécurisation du site : clôture, caméra de surveillance, accès restreint et poste de contrôle à l'entrée</w:t>
            </w:r>
          </w:p>
        </w:tc>
        <w:tc>
          <w:tcPr>
            <w:tcW w:w="0" w:type="auto"/>
            <w:shd w:val="clear" w:color="auto" w:fill="auto"/>
            <w:vAlign w:val="center"/>
          </w:tcPr>
          <w:p w14:paraId="43C3DD59" w14:textId="77777777" w:rsidR="00AC4FA3" w:rsidRDefault="00AC4FA3" w:rsidP="00AC4FA3">
            <w:pPr>
              <w:spacing w:after="0" w:line="240" w:lineRule="auto"/>
              <w:jc w:val="both"/>
            </w:pPr>
            <w:r>
              <w:rPr>
                <w:rFonts w:ascii="Arial" w:eastAsia="Times New Roman" w:hAnsi="Arial" w:cs="Arial"/>
                <w:color w:val="000000"/>
                <w:sz w:val="18"/>
                <w:szCs w:val="18"/>
                <w:lang w:eastAsia="fr-FR"/>
              </w:rPr>
              <w:t>Système de surveillance mis en place</w:t>
            </w:r>
          </w:p>
        </w:tc>
        <w:tc>
          <w:tcPr>
            <w:tcW w:w="0" w:type="auto"/>
            <w:shd w:val="clear" w:color="auto" w:fill="auto"/>
            <w:vAlign w:val="center"/>
          </w:tcPr>
          <w:p w14:paraId="4C0F6C95" w14:textId="77777777" w:rsidR="00AC4FA3" w:rsidRDefault="00AC4FA3" w:rsidP="00AC4FA3">
            <w:pPr>
              <w:spacing w:after="0" w:line="240" w:lineRule="auto"/>
              <w:jc w:val="both"/>
            </w:pPr>
            <w:r>
              <w:rPr>
                <w:rFonts w:ascii="Arial" w:eastAsia="Times New Roman" w:hAnsi="Arial" w:cs="Arial"/>
                <w:color w:val="000000"/>
                <w:sz w:val="18"/>
                <w:szCs w:val="18"/>
                <w:lang w:eastAsia="fr-FR"/>
              </w:rPr>
              <w:t>Observation</w:t>
            </w:r>
          </w:p>
        </w:tc>
        <w:tc>
          <w:tcPr>
            <w:tcW w:w="0" w:type="auto"/>
            <w:shd w:val="clear" w:color="auto" w:fill="auto"/>
            <w:vAlign w:val="center"/>
          </w:tcPr>
          <w:p w14:paraId="06C57463" w14:textId="77777777" w:rsidR="00AC4FA3" w:rsidRDefault="00AC4FA3" w:rsidP="00AC4FA3">
            <w:pPr>
              <w:spacing w:after="0" w:line="240" w:lineRule="auto"/>
              <w:jc w:val="both"/>
            </w:pPr>
            <w:r>
              <w:rPr>
                <w:rFonts w:ascii="Arial" w:eastAsia="Times New Roman" w:hAnsi="Arial" w:cs="Arial"/>
                <w:color w:val="000000"/>
                <w:sz w:val="18"/>
                <w:szCs w:val="18"/>
                <w:lang w:eastAsia="fr-FR"/>
              </w:rPr>
              <w:t>Trimestriel</w:t>
            </w:r>
          </w:p>
        </w:tc>
        <w:tc>
          <w:tcPr>
            <w:tcW w:w="0" w:type="auto"/>
            <w:shd w:val="clear" w:color="auto" w:fill="auto"/>
            <w:vAlign w:val="center"/>
          </w:tcPr>
          <w:p w14:paraId="600EAECA" w14:textId="77777777" w:rsidR="00AC4FA3" w:rsidRDefault="00AC4FA3" w:rsidP="00AC4FA3">
            <w:pPr>
              <w:spacing w:after="0" w:line="240" w:lineRule="auto"/>
              <w:jc w:val="both"/>
            </w:pPr>
            <w:r>
              <w:rPr>
                <w:rFonts w:ascii="Arial" w:eastAsia="Times New Roman" w:hAnsi="Arial" w:cs="Arial"/>
                <w:color w:val="000000"/>
                <w:sz w:val="18"/>
                <w:szCs w:val="18"/>
                <w:lang w:eastAsia="fr-FR"/>
              </w:rPr>
              <w:t>Projet/ Exploitant</w:t>
            </w:r>
          </w:p>
        </w:tc>
        <w:tc>
          <w:tcPr>
            <w:tcW w:w="0" w:type="auto"/>
            <w:shd w:val="clear" w:color="auto" w:fill="auto"/>
            <w:vAlign w:val="center"/>
          </w:tcPr>
          <w:p w14:paraId="2E545765"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Ministère Energie, BM</w:t>
            </w:r>
          </w:p>
        </w:tc>
      </w:tr>
      <w:tr w:rsidR="00481CF0" w14:paraId="2B2873C1" w14:textId="77777777" w:rsidTr="0A1598FD">
        <w:trPr>
          <w:trHeight w:val="492"/>
        </w:trPr>
        <w:tc>
          <w:tcPr>
            <w:tcW w:w="0" w:type="auto"/>
            <w:shd w:val="clear" w:color="auto" w:fill="auto"/>
            <w:vAlign w:val="center"/>
          </w:tcPr>
          <w:p w14:paraId="29778A75" w14:textId="77777777" w:rsidR="00AC4FA3" w:rsidRDefault="00AC4FA3" w:rsidP="00AC4FA3">
            <w:pPr>
              <w:spacing w:after="0" w:line="240" w:lineRule="auto"/>
              <w:jc w:val="both"/>
            </w:pPr>
            <w:r>
              <w:rPr>
                <w:rFonts w:ascii="Arial" w:eastAsia="Times New Roman" w:hAnsi="Arial" w:cs="Arial"/>
                <w:sz w:val="18"/>
                <w:szCs w:val="18"/>
                <w:lang w:eastAsia="fr-FR"/>
              </w:rPr>
              <w:t>Risque d'augmentation des cas de VBG, EAS/HS dû à l'utilisation d'internet</w:t>
            </w:r>
          </w:p>
        </w:tc>
        <w:tc>
          <w:tcPr>
            <w:tcW w:w="0" w:type="auto"/>
            <w:shd w:val="clear" w:color="auto" w:fill="auto"/>
            <w:vAlign w:val="center"/>
          </w:tcPr>
          <w:p w14:paraId="6A0783BE" w14:textId="77777777" w:rsidR="00AC4FA3" w:rsidRDefault="00AC4FA3" w:rsidP="00AC4FA3">
            <w:pPr>
              <w:spacing w:after="0" w:line="240" w:lineRule="auto"/>
              <w:jc w:val="both"/>
            </w:pPr>
            <w:r>
              <w:rPr>
                <w:rFonts w:ascii="Arial" w:eastAsia="Times New Roman" w:hAnsi="Arial" w:cs="Arial"/>
                <w:color w:val="000000"/>
                <w:sz w:val="18"/>
                <w:szCs w:val="18"/>
                <w:lang w:eastAsia="fr-FR"/>
              </w:rPr>
              <w:t>Formation sensibilisation des utilisateurs d'internet. Sensibilisation sur l’importance du contrôle parental pour l’accès à internet des enfants. Mise en place de structure de gestion des plaintes VBG et EAS/HS. Renforcement de</w:t>
            </w:r>
            <w:r w:rsidR="00DA1115">
              <w:rPr>
                <w:rFonts w:ascii="Arial" w:eastAsia="Times New Roman" w:hAnsi="Arial" w:cs="Arial"/>
                <w:color w:val="000000"/>
                <w:sz w:val="18"/>
                <w:szCs w:val="18"/>
                <w:lang w:eastAsia="fr-FR"/>
              </w:rPr>
              <w:t>s</w:t>
            </w:r>
            <w:r>
              <w:rPr>
                <w:rFonts w:ascii="Arial" w:eastAsia="Times New Roman" w:hAnsi="Arial" w:cs="Arial"/>
                <w:color w:val="000000"/>
                <w:sz w:val="18"/>
                <w:szCs w:val="18"/>
                <w:lang w:eastAsia="fr-FR"/>
              </w:rPr>
              <w:t xml:space="preserve"> capacité</w:t>
            </w:r>
            <w:r w:rsidR="00DA1115">
              <w:rPr>
                <w:rFonts w:ascii="Arial" w:eastAsia="Times New Roman" w:hAnsi="Arial" w:cs="Arial"/>
                <w:color w:val="000000"/>
                <w:sz w:val="18"/>
                <w:szCs w:val="18"/>
                <w:lang w:eastAsia="fr-FR"/>
              </w:rPr>
              <w:t>s</w:t>
            </w:r>
            <w:r>
              <w:rPr>
                <w:rFonts w:ascii="Arial" w:eastAsia="Times New Roman" w:hAnsi="Arial" w:cs="Arial"/>
                <w:color w:val="000000"/>
                <w:sz w:val="18"/>
                <w:szCs w:val="18"/>
                <w:lang w:eastAsia="fr-FR"/>
              </w:rPr>
              <w:t xml:space="preserve"> et formation des autorités concernées (police nationale, gendarmerie…).</w:t>
            </w:r>
          </w:p>
        </w:tc>
        <w:tc>
          <w:tcPr>
            <w:tcW w:w="0" w:type="auto"/>
            <w:shd w:val="clear" w:color="auto" w:fill="auto"/>
            <w:vAlign w:val="center"/>
          </w:tcPr>
          <w:p w14:paraId="3D55F6AD" w14:textId="77777777" w:rsidR="00AC4FA3" w:rsidRDefault="00AC4FA3" w:rsidP="00AC4FA3">
            <w:pPr>
              <w:spacing w:after="0" w:line="240" w:lineRule="auto"/>
              <w:jc w:val="both"/>
            </w:pPr>
            <w:r>
              <w:rPr>
                <w:rFonts w:ascii="Arial" w:eastAsia="Times New Roman" w:hAnsi="Arial" w:cs="Arial"/>
                <w:color w:val="000000"/>
                <w:sz w:val="18"/>
                <w:szCs w:val="18"/>
                <w:lang w:eastAsia="fr-FR"/>
              </w:rPr>
              <w:t>Plaintes VBG enregistrées</w:t>
            </w:r>
            <w:r w:rsidR="00DA1115">
              <w:rPr>
                <w:rFonts w:ascii="Arial" w:eastAsia="Times New Roman" w:hAnsi="Arial" w:cs="Arial"/>
                <w:color w:val="000000"/>
                <w:sz w:val="18"/>
                <w:szCs w:val="18"/>
                <w:lang w:eastAsia="fr-FR"/>
              </w:rPr>
              <w:t xml:space="preserve"> et traitées</w:t>
            </w:r>
          </w:p>
        </w:tc>
        <w:tc>
          <w:tcPr>
            <w:tcW w:w="0" w:type="auto"/>
            <w:shd w:val="clear" w:color="auto" w:fill="auto"/>
            <w:vAlign w:val="center"/>
          </w:tcPr>
          <w:p w14:paraId="25E51ED8" w14:textId="77777777" w:rsidR="00AC4FA3" w:rsidRDefault="00AC4FA3" w:rsidP="00AC4FA3">
            <w:pPr>
              <w:spacing w:after="0" w:line="240" w:lineRule="auto"/>
              <w:jc w:val="both"/>
            </w:pPr>
            <w:r>
              <w:rPr>
                <w:rFonts w:ascii="Arial" w:eastAsia="Times New Roman" w:hAnsi="Arial" w:cs="Arial"/>
                <w:color w:val="000000"/>
                <w:sz w:val="18"/>
                <w:szCs w:val="18"/>
                <w:lang w:eastAsia="fr-FR"/>
              </w:rPr>
              <w:t>Observation</w:t>
            </w:r>
          </w:p>
        </w:tc>
        <w:tc>
          <w:tcPr>
            <w:tcW w:w="0" w:type="auto"/>
            <w:shd w:val="clear" w:color="auto" w:fill="auto"/>
            <w:vAlign w:val="center"/>
          </w:tcPr>
          <w:p w14:paraId="61DD0FB2" w14:textId="77777777" w:rsidR="00AC4FA3" w:rsidRDefault="00AC4FA3" w:rsidP="00AC4FA3">
            <w:pPr>
              <w:spacing w:after="0" w:line="240" w:lineRule="auto"/>
              <w:jc w:val="both"/>
            </w:pPr>
            <w:r>
              <w:rPr>
                <w:rFonts w:ascii="Arial" w:eastAsia="Times New Roman" w:hAnsi="Arial" w:cs="Arial"/>
                <w:color w:val="000000"/>
                <w:sz w:val="18"/>
                <w:szCs w:val="18"/>
                <w:lang w:eastAsia="fr-FR"/>
              </w:rPr>
              <w:t>Trimestriel</w:t>
            </w:r>
          </w:p>
        </w:tc>
        <w:tc>
          <w:tcPr>
            <w:tcW w:w="0" w:type="auto"/>
            <w:shd w:val="clear" w:color="auto" w:fill="auto"/>
            <w:vAlign w:val="center"/>
          </w:tcPr>
          <w:p w14:paraId="78B00796" w14:textId="77777777" w:rsidR="00AC4FA3" w:rsidRDefault="00AC4FA3" w:rsidP="00AC4FA3">
            <w:pPr>
              <w:spacing w:after="0" w:line="240" w:lineRule="auto"/>
              <w:jc w:val="both"/>
            </w:pPr>
            <w:r>
              <w:rPr>
                <w:rFonts w:ascii="Arial" w:eastAsia="Times New Roman" w:hAnsi="Arial" w:cs="Arial"/>
                <w:color w:val="000000"/>
                <w:sz w:val="18"/>
                <w:szCs w:val="18"/>
                <w:lang w:eastAsia="fr-FR"/>
              </w:rPr>
              <w:t>Autorités locales</w:t>
            </w:r>
          </w:p>
        </w:tc>
        <w:tc>
          <w:tcPr>
            <w:tcW w:w="0" w:type="auto"/>
            <w:shd w:val="clear" w:color="auto" w:fill="auto"/>
            <w:vAlign w:val="center"/>
          </w:tcPr>
          <w:p w14:paraId="1420033A" w14:textId="77777777" w:rsidR="00AC4FA3" w:rsidRDefault="00AC4FA3" w:rsidP="00AC4FA3">
            <w:pPr>
              <w:spacing w:after="0" w:line="240" w:lineRule="auto"/>
              <w:jc w:val="both"/>
            </w:pPr>
            <w:r>
              <w:rPr>
                <w:rFonts w:ascii="Arial" w:eastAsia="Times New Roman" w:hAnsi="Arial" w:cs="Arial"/>
                <w:color w:val="000000"/>
                <w:sz w:val="18"/>
                <w:szCs w:val="18"/>
                <w:lang w:eastAsia="fr-FR"/>
              </w:rPr>
              <w:t>Ministère concerné, BM</w:t>
            </w:r>
          </w:p>
        </w:tc>
      </w:tr>
      <w:tr w:rsidR="00481CF0" w14:paraId="3CAD3C7F" w14:textId="77777777" w:rsidTr="0A1598FD">
        <w:trPr>
          <w:trHeight w:val="300"/>
        </w:trPr>
        <w:tc>
          <w:tcPr>
            <w:tcW w:w="0" w:type="auto"/>
            <w:shd w:val="clear" w:color="auto" w:fill="auto"/>
            <w:vAlign w:val="center"/>
          </w:tcPr>
          <w:p w14:paraId="49ED88FB" w14:textId="77777777" w:rsidR="00AC4FA3" w:rsidRDefault="00AC4FA3" w:rsidP="00AC4FA3">
            <w:pPr>
              <w:spacing w:after="0" w:line="240" w:lineRule="auto"/>
              <w:jc w:val="both"/>
            </w:pPr>
            <w:r>
              <w:rPr>
                <w:rFonts w:ascii="Arial" w:eastAsia="Times New Roman" w:hAnsi="Arial" w:cs="Arial"/>
                <w:sz w:val="18"/>
                <w:szCs w:val="18"/>
                <w:lang w:eastAsia="fr-FR"/>
              </w:rPr>
              <w:t>Risque d'augmentation de cas de cybercriminalité</w:t>
            </w:r>
          </w:p>
        </w:tc>
        <w:tc>
          <w:tcPr>
            <w:tcW w:w="0" w:type="auto"/>
            <w:shd w:val="clear" w:color="auto" w:fill="auto"/>
            <w:vAlign w:val="center"/>
          </w:tcPr>
          <w:p w14:paraId="38ACE52B" w14:textId="77777777" w:rsidR="00AC4FA3" w:rsidRDefault="00AC4FA3" w:rsidP="00AC4FA3">
            <w:pPr>
              <w:spacing w:after="0" w:line="240" w:lineRule="auto"/>
              <w:jc w:val="both"/>
            </w:pPr>
            <w:r>
              <w:rPr>
                <w:rFonts w:ascii="Arial" w:eastAsia="Times New Roman" w:hAnsi="Arial" w:cs="Arial"/>
                <w:color w:val="000000"/>
                <w:sz w:val="18"/>
                <w:szCs w:val="18"/>
                <w:lang w:eastAsia="fr-FR"/>
              </w:rPr>
              <w:t>Renforcement de</w:t>
            </w:r>
            <w:r w:rsidR="00DA1115">
              <w:rPr>
                <w:rFonts w:ascii="Arial" w:eastAsia="Times New Roman" w:hAnsi="Arial" w:cs="Arial"/>
                <w:color w:val="000000"/>
                <w:sz w:val="18"/>
                <w:szCs w:val="18"/>
                <w:lang w:eastAsia="fr-FR"/>
              </w:rPr>
              <w:t>s</w:t>
            </w:r>
            <w:r>
              <w:rPr>
                <w:rFonts w:ascii="Arial" w:eastAsia="Times New Roman" w:hAnsi="Arial" w:cs="Arial"/>
                <w:color w:val="000000"/>
                <w:sz w:val="18"/>
                <w:szCs w:val="18"/>
                <w:lang w:eastAsia="fr-FR"/>
              </w:rPr>
              <w:t xml:space="preserve"> capacité</w:t>
            </w:r>
            <w:r w:rsidR="00DA1115">
              <w:rPr>
                <w:rFonts w:ascii="Arial" w:eastAsia="Times New Roman" w:hAnsi="Arial" w:cs="Arial"/>
                <w:color w:val="000000"/>
                <w:sz w:val="18"/>
                <w:szCs w:val="18"/>
                <w:lang w:eastAsia="fr-FR"/>
              </w:rPr>
              <w:t>s</w:t>
            </w:r>
            <w:r>
              <w:rPr>
                <w:rFonts w:ascii="Arial" w:eastAsia="Times New Roman" w:hAnsi="Arial" w:cs="Arial"/>
                <w:color w:val="000000"/>
                <w:sz w:val="18"/>
                <w:szCs w:val="18"/>
                <w:lang w:eastAsia="fr-FR"/>
              </w:rPr>
              <w:t xml:space="preserve"> et formation des autorités concernées (police nationale, gendarmerie…). Dotation d'équipements de lutte contre la cybercriminalité</w:t>
            </w:r>
          </w:p>
        </w:tc>
        <w:tc>
          <w:tcPr>
            <w:tcW w:w="0" w:type="auto"/>
            <w:shd w:val="clear" w:color="auto" w:fill="auto"/>
            <w:vAlign w:val="center"/>
          </w:tcPr>
          <w:p w14:paraId="5BE0703F" w14:textId="77777777" w:rsidR="00AC4FA3" w:rsidRDefault="00AC4FA3" w:rsidP="00AC4FA3">
            <w:pPr>
              <w:spacing w:after="0" w:line="240" w:lineRule="auto"/>
              <w:jc w:val="both"/>
            </w:pPr>
            <w:r>
              <w:rPr>
                <w:rFonts w:ascii="Arial" w:eastAsia="Times New Roman" w:hAnsi="Arial" w:cs="Arial"/>
                <w:color w:val="000000"/>
                <w:sz w:val="18"/>
                <w:szCs w:val="18"/>
                <w:lang w:eastAsia="fr-FR"/>
              </w:rPr>
              <w:t>Formations réalisées. Existence de dotation de matériels</w:t>
            </w:r>
          </w:p>
        </w:tc>
        <w:tc>
          <w:tcPr>
            <w:tcW w:w="0" w:type="auto"/>
            <w:shd w:val="clear" w:color="auto" w:fill="auto"/>
            <w:vAlign w:val="center"/>
          </w:tcPr>
          <w:p w14:paraId="4C3F019E" w14:textId="77777777" w:rsidR="00AC4FA3" w:rsidRDefault="00AC4FA3" w:rsidP="00AC4FA3">
            <w:pPr>
              <w:spacing w:after="0" w:line="240" w:lineRule="auto"/>
              <w:jc w:val="both"/>
            </w:pPr>
            <w:r>
              <w:rPr>
                <w:rFonts w:ascii="Arial" w:eastAsia="Times New Roman" w:hAnsi="Arial" w:cs="Arial"/>
                <w:color w:val="000000"/>
                <w:sz w:val="18"/>
                <w:szCs w:val="18"/>
                <w:lang w:eastAsia="fr-FR"/>
              </w:rPr>
              <w:t>Observation</w:t>
            </w:r>
          </w:p>
        </w:tc>
        <w:tc>
          <w:tcPr>
            <w:tcW w:w="0" w:type="auto"/>
            <w:shd w:val="clear" w:color="auto" w:fill="auto"/>
            <w:vAlign w:val="center"/>
          </w:tcPr>
          <w:p w14:paraId="282DF759" w14:textId="77777777" w:rsidR="00AC4FA3" w:rsidRDefault="00AC4FA3" w:rsidP="00AC4FA3">
            <w:pPr>
              <w:spacing w:after="0" w:line="240" w:lineRule="auto"/>
              <w:jc w:val="both"/>
            </w:pPr>
            <w:r>
              <w:rPr>
                <w:rFonts w:ascii="Arial" w:eastAsia="Times New Roman" w:hAnsi="Arial" w:cs="Arial"/>
                <w:color w:val="000000"/>
                <w:sz w:val="18"/>
                <w:szCs w:val="18"/>
                <w:lang w:eastAsia="fr-FR"/>
              </w:rPr>
              <w:t>Fin des travaux de construction</w:t>
            </w:r>
          </w:p>
        </w:tc>
        <w:tc>
          <w:tcPr>
            <w:tcW w:w="0" w:type="auto"/>
            <w:shd w:val="clear" w:color="auto" w:fill="auto"/>
            <w:vAlign w:val="center"/>
          </w:tcPr>
          <w:p w14:paraId="0676C8DC" w14:textId="77777777" w:rsidR="00AC4FA3" w:rsidRDefault="00AC4FA3" w:rsidP="00AC4FA3">
            <w:pPr>
              <w:spacing w:after="0" w:line="240" w:lineRule="auto"/>
              <w:jc w:val="both"/>
            </w:pPr>
            <w:r>
              <w:rPr>
                <w:rFonts w:ascii="Arial" w:eastAsia="Times New Roman" w:hAnsi="Arial" w:cs="Arial"/>
                <w:color w:val="000000"/>
                <w:sz w:val="18"/>
                <w:szCs w:val="18"/>
                <w:lang w:eastAsia="fr-FR"/>
              </w:rPr>
              <w:t>Projet/ Exploitant</w:t>
            </w:r>
          </w:p>
        </w:tc>
        <w:tc>
          <w:tcPr>
            <w:tcW w:w="0" w:type="auto"/>
            <w:shd w:val="clear" w:color="auto" w:fill="auto"/>
            <w:vAlign w:val="center"/>
          </w:tcPr>
          <w:p w14:paraId="160443E4" w14:textId="77777777" w:rsidR="00AC4FA3" w:rsidRDefault="00AC4FA3" w:rsidP="00AC4FA3">
            <w:pPr>
              <w:spacing w:after="0" w:line="240" w:lineRule="auto"/>
              <w:jc w:val="both"/>
            </w:pPr>
            <w:r>
              <w:rPr>
                <w:rFonts w:ascii="Arial" w:eastAsia="Times New Roman" w:hAnsi="Arial" w:cs="Arial"/>
                <w:color w:val="000000"/>
                <w:sz w:val="18"/>
                <w:szCs w:val="18"/>
                <w:lang w:eastAsia="fr-FR"/>
              </w:rPr>
              <w:t>BM</w:t>
            </w:r>
          </w:p>
        </w:tc>
      </w:tr>
      <w:tr w:rsidR="00481CF0" w:rsidRPr="003075BB" w14:paraId="3576FAB9" w14:textId="77777777" w:rsidTr="0A1598FD">
        <w:trPr>
          <w:trHeight w:val="300"/>
        </w:trPr>
        <w:tc>
          <w:tcPr>
            <w:tcW w:w="0" w:type="auto"/>
            <w:vMerge w:val="restart"/>
            <w:shd w:val="clear" w:color="auto" w:fill="auto"/>
            <w:vAlign w:val="center"/>
          </w:tcPr>
          <w:p w14:paraId="5CF6B697" w14:textId="77777777" w:rsidR="003075BB" w:rsidRPr="00742D67" w:rsidRDefault="003075BB" w:rsidP="003F67FD">
            <w:pPr>
              <w:spacing w:after="0" w:line="240" w:lineRule="auto"/>
              <w:jc w:val="both"/>
              <w:rPr>
                <w:rFonts w:ascii="Arial" w:eastAsia="Times New Roman" w:hAnsi="Arial" w:cs="Arial"/>
                <w:sz w:val="18"/>
                <w:szCs w:val="18"/>
                <w:lang w:eastAsia="fr-FR"/>
              </w:rPr>
            </w:pPr>
            <w:r w:rsidRPr="00742D67">
              <w:rPr>
                <w:rFonts w:ascii="Arial" w:eastAsia="Times New Roman" w:hAnsi="Arial" w:cs="Arial"/>
                <w:sz w:val="18"/>
                <w:szCs w:val="18"/>
                <w:lang w:eastAsia="fr-FR"/>
              </w:rPr>
              <w:t xml:space="preserve">Atteinte à la sécurité de la population </w:t>
            </w:r>
            <w:r w:rsidR="00EC4895" w:rsidRPr="00742D67">
              <w:rPr>
                <w:rFonts w:ascii="Arial" w:eastAsia="Times New Roman" w:hAnsi="Arial" w:cs="Arial"/>
                <w:sz w:val="18"/>
                <w:szCs w:val="18"/>
                <w:lang w:eastAsia="fr-FR"/>
              </w:rPr>
              <w:t xml:space="preserve">et perte de biens </w:t>
            </w:r>
            <w:r w:rsidRPr="00742D67">
              <w:rPr>
                <w:rFonts w:ascii="Arial" w:eastAsia="Times New Roman" w:hAnsi="Arial" w:cs="Arial"/>
                <w:sz w:val="18"/>
                <w:szCs w:val="18"/>
                <w:lang w:eastAsia="fr-FR"/>
              </w:rPr>
              <w:t>par la rupture des barrages</w:t>
            </w:r>
          </w:p>
        </w:tc>
        <w:tc>
          <w:tcPr>
            <w:tcW w:w="0" w:type="auto"/>
            <w:shd w:val="clear" w:color="auto" w:fill="auto"/>
            <w:vAlign w:val="center"/>
          </w:tcPr>
          <w:p w14:paraId="7FC7B29E" w14:textId="77777777" w:rsidR="003075BB" w:rsidRPr="00742D67" w:rsidRDefault="003075BB" w:rsidP="003F67FD">
            <w:pPr>
              <w:spacing w:after="0" w:line="240" w:lineRule="auto"/>
              <w:jc w:val="both"/>
              <w:rPr>
                <w:rFonts w:ascii="Arial" w:eastAsia="Times New Roman" w:hAnsi="Arial" w:cs="Arial"/>
                <w:sz w:val="18"/>
                <w:szCs w:val="18"/>
                <w:lang w:eastAsia="fr-FR"/>
              </w:rPr>
            </w:pPr>
            <w:r w:rsidRPr="00742D67">
              <w:rPr>
                <w:rFonts w:ascii="Arial" w:eastAsia="Times New Roman" w:hAnsi="Arial" w:cs="Arial"/>
                <w:sz w:val="18"/>
                <w:szCs w:val="18"/>
                <w:lang w:eastAsia="fr-FR"/>
              </w:rPr>
              <w:t>Elaboration d’un Manuel de gestion des barrages</w:t>
            </w:r>
          </w:p>
        </w:tc>
        <w:tc>
          <w:tcPr>
            <w:tcW w:w="0" w:type="auto"/>
            <w:shd w:val="clear" w:color="auto" w:fill="auto"/>
            <w:vAlign w:val="center"/>
          </w:tcPr>
          <w:p w14:paraId="2B1C4997" w14:textId="77777777" w:rsidR="003075BB" w:rsidRPr="00742D67" w:rsidRDefault="004F6F03" w:rsidP="003F67FD">
            <w:pPr>
              <w:spacing w:after="0" w:line="240" w:lineRule="auto"/>
              <w:jc w:val="both"/>
              <w:rPr>
                <w:rFonts w:ascii="Arial" w:eastAsia="Times New Roman" w:hAnsi="Arial" w:cs="Arial"/>
                <w:sz w:val="18"/>
                <w:szCs w:val="18"/>
                <w:lang w:eastAsia="fr-FR"/>
              </w:rPr>
            </w:pPr>
            <w:r w:rsidRPr="00742D67">
              <w:rPr>
                <w:rFonts w:ascii="Arial" w:eastAsia="Times New Roman" w:hAnsi="Arial" w:cs="Arial"/>
                <w:sz w:val="18"/>
                <w:szCs w:val="18"/>
                <w:lang w:eastAsia="fr-FR"/>
              </w:rPr>
              <w:t xml:space="preserve">Présence du manuel </w:t>
            </w:r>
          </w:p>
        </w:tc>
        <w:tc>
          <w:tcPr>
            <w:tcW w:w="0" w:type="auto"/>
            <w:shd w:val="clear" w:color="auto" w:fill="auto"/>
            <w:vAlign w:val="center"/>
          </w:tcPr>
          <w:p w14:paraId="773FF8CC" w14:textId="77777777" w:rsidR="003075BB" w:rsidRPr="00742D67" w:rsidRDefault="004F6F03" w:rsidP="003F67FD">
            <w:pPr>
              <w:spacing w:after="0" w:line="240" w:lineRule="auto"/>
              <w:jc w:val="both"/>
              <w:rPr>
                <w:rFonts w:ascii="Arial" w:eastAsia="Times New Roman" w:hAnsi="Arial" w:cs="Arial"/>
                <w:sz w:val="18"/>
                <w:szCs w:val="18"/>
                <w:lang w:eastAsia="fr-FR"/>
              </w:rPr>
            </w:pPr>
            <w:r w:rsidRPr="00742D67">
              <w:rPr>
                <w:rFonts w:ascii="Arial" w:eastAsia="Times New Roman" w:hAnsi="Arial" w:cs="Arial"/>
                <w:sz w:val="18"/>
                <w:szCs w:val="18"/>
                <w:lang w:eastAsia="fr-FR"/>
              </w:rPr>
              <w:t xml:space="preserve">Consultation du document </w:t>
            </w:r>
          </w:p>
        </w:tc>
        <w:tc>
          <w:tcPr>
            <w:tcW w:w="0" w:type="auto"/>
            <w:shd w:val="clear" w:color="auto" w:fill="auto"/>
            <w:vAlign w:val="center"/>
          </w:tcPr>
          <w:p w14:paraId="6C38AD3B" w14:textId="77777777" w:rsidR="003075BB" w:rsidRPr="00742D67" w:rsidRDefault="004F6F03" w:rsidP="003F67FD">
            <w:pPr>
              <w:spacing w:after="0" w:line="240" w:lineRule="auto"/>
              <w:jc w:val="both"/>
              <w:rPr>
                <w:rFonts w:ascii="Arial" w:eastAsia="Times New Roman" w:hAnsi="Arial" w:cs="Arial"/>
                <w:sz w:val="18"/>
                <w:szCs w:val="18"/>
                <w:lang w:eastAsia="fr-FR"/>
              </w:rPr>
            </w:pPr>
            <w:r w:rsidRPr="00742D67">
              <w:rPr>
                <w:rFonts w:ascii="Arial" w:eastAsia="Times New Roman" w:hAnsi="Arial" w:cs="Arial"/>
                <w:sz w:val="18"/>
                <w:szCs w:val="18"/>
                <w:lang w:eastAsia="fr-FR"/>
              </w:rPr>
              <w:t>Avant la signature du contrat du Projet</w:t>
            </w:r>
          </w:p>
        </w:tc>
        <w:tc>
          <w:tcPr>
            <w:tcW w:w="0" w:type="auto"/>
            <w:shd w:val="clear" w:color="auto" w:fill="auto"/>
            <w:vAlign w:val="center"/>
          </w:tcPr>
          <w:p w14:paraId="555AABD7" w14:textId="77777777" w:rsidR="003075BB" w:rsidRPr="00742D67" w:rsidRDefault="004F6F03" w:rsidP="003F67FD">
            <w:pPr>
              <w:spacing w:after="0" w:line="240" w:lineRule="auto"/>
              <w:jc w:val="both"/>
              <w:rPr>
                <w:rFonts w:ascii="Arial" w:eastAsia="Times New Roman" w:hAnsi="Arial" w:cs="Arial"/>
                <w:sz w:val="18"/>
                <w:szCs w:val="18"/>
                <w:lang w:eastAsia="fr-FR"/>
              </w:rPr>
            </w:pPr>
            <w:r w:rsidRPr="00742D67">
              <w:rPr>
                <w:rFonts w:ascii="Arial" w:eastAsia="Times New Roman" w:hAnsi="Arial" w:cs="Arial"/>
                <w:sz w:val="18"/>
                <w:szCs w:val="18"/>
                <w:lang w:eastAsia="fr-FR"/>
              </w:rPr>
              <w:t>Projet</w:t>
            </w:r>
          </w:p>
        </w:tc>
        <w:tc>
          <w:tcPr>
            <w:tcW w:w="0" w:type="auto"/>
            <w:shd w:val="clear" w:color="auto" w:fill="auto"/>
            <w:vAlign w:val="center"/>
          </w:tcPr>
          <w:p w14:paraId="127F373E" w14:textId="77777777" w:rsidR="003075BB" w:rsidRPr="00742D67" w:rsidRDefault="004F6F03" w:rsidP="003F67FD">
            <w:pPr>
              <w:spacing w:after="0" w:line="240" w:lineRule="auto"/>
              <w:jc w:val="both"/>
              <w:rPr>
                <w:rFonts w:ascii="Arial" w:eastAsia="Times New Roman" w:hAnsi="Arial" w:cs="Arial"/>
                <w:sz w:val="18"/>
                <w:szCs w:val="18"/>
                <w:lang w:eastAsia="fr-FR"/>
              </w:rPr>
            </w:pPr>
            <w:r w:rsidRPr="00742D67">
              <w:rPr>
                <w:rFonts w:ascii="Arial" w:eastAsia="Times New Roman" w:hAnsi="Arial" w:cs="Arial"/>
                <w:sz w:val="18"/>
                <w:szCs w:val="18"/>
                <w:lang w:eastAsia="fr-FR"/>
              </w:rPr>
              <w:t>BM</w:t>
            </w:r>
          </w:p>
        </w:tc>
      </w:tr>
      <w:tr w:rsidR="00481CF0" w:rsidRPr="003075BB" w14:paraId="314E02DA" w14:textId="77777777" w:rsidTr="0A1598FD">
        <w:trPr>
          <w:trHeight w:val="300"/>
        </w:trPr>
        <w:tc>
          <w:tcPr>
            <w:tcW w:w="0" w:type="auto"/>
            <w:vMerge/>
            <w:vAlign w:val="center"/>
          </w:tcPr>
          <w:p w14:paraId="307D63B3" w14:textId="77777777" w:rsidR="003075BB" w:rsidRPr="00742D67" w:rsidRDefault="003075BB" w:rsidP="003F67FD">
            <w:pPr>
              <w:spacing w:after="0" w:line="240" w:lineRule="auto"/>
              <w:jc w:val="both"/>
              <w:rPr>
                <w:rFonts w:ascii="Arial" w:eastAsia="Times New Roman" w:hAnsi="Arial" w:cs="Arial"/>
                <w:sz w:val="18"/>
                <w:szCs w:val="18"/>
                <w:lang w:eastAsia="fr-FR"/>
              </w:rPr>
            </w:pPr>
          </w:p>
        </w:tc>
        <w:tc>
          <w:tcPr>
            <w:tcW w:w="0" w:type="auto"/>
            <w:shd w:val="clear" w:color="auto" w:fill="auto"/>
            <w:vAlign w:val="center"/>
          </w:tcPr>
          <w:p w14:paraId="5566915C" w14:textId="77777777" w:rsidR="003075BB" w:rsidRPr="00742D67" w:rsidRDefault="00EC4895" w:rsidP="003F67FD">
            <w:pPr>
              <w:spacing w:after="0" w:line="240" w:lineRule="auto"/>
              <w:jc w:val="both"/>
              <w:rPr>
                <w:rFonts w:ascii="Arial" w:eastAsia="Times New Roman" w:hAnsi="Arial" w:cs="Arial"/>
                <w:sz w:val="18"/>
                <w:szCs w:val="18"/>
                <w:lang w:eastAsia="fr-FR"/>
              </w:rPr>
            </w:pPr>
            <w:r w:rsidRPr="00742D67">
              <w:rPr>
                <w:rFonts w:ascii="Arial" w:eastAsia="Times New Roman" w:hAnsi="Arial" w:cs="Arial"/>
                <w:sz w:val="18"/>
                <w:szCs w:val="18"/>
                <w:lang w:eastAsia="fr-FR"/>
              </w:rPr>
              <w:t>S</w:t>
            </w:r>
            <w:r w:rsidR="004F6F03" w:rsidRPr="00742D67">
              <w:rPr>
                <w:rFonts w:ascii="Arial" w:eastAsia="Times New Roman" w:hAnsi="Arial" w:cs="Arial"/>
                <w:sz w:val="18"/>
                <w:szCs w:val="18"/>
                <w:lang w:eastAsia="fr-FR"/>
              </w:rPr>
              <w:t>uivi</w:t>
            </w:r>
            <w:r w:rsidR="003075BB" w:rsidRPr="00742D67">
              <w:rPr>
                <w:rFonts w:ascii="Arial" w:eastAsia="Times New Roman" w:hAnsi="Arial" w:cs="Arial"/>
                <w:sz w:val="18"/>
                <w:szCs w:val="18"/>
                <w:lang w:eastAsia="fr-FR"/>
              </w:rPr>
              <w:t xml:space="preserve"> périodique </w:t>
            </w:r>
            <w:r w:rsidR="004F6F03" w:rsidRPr="00742D67">
              <w:rPr>
                <w:rFonts w:ascii="Arial" w:eastAsia="Times New Roman" w:hAnsi="Arial" w:cs="Arial"/>
                <w:sz w:val="18"/>
                <w:szCs w:val="18"/>
                <w:lang w:eastAsia="fr-FR"/>
              </w:rPr>
              <w:t xml:space="preserve">de l’état </w:t>
            </w:r>
            <w:r w:rsidR="003075BB" w:rsidRPr="00742D67">
              <w:rPr>
                <w:rFonts w:ascii="Arial" w:eastAsia="Times New Roman" w:hAnsi="Arial" w:cs="Arial"/>
                <w:sz w:val="18"/>
                <w:szCs w:val="18"/>
                <w:lang w:eastAsia="fr-FR"/>
              </w:rPr>
              <w:t>de l’infrastructure</w:t>
            </w:r>
            <w:r w:rsidR="004F6F03" w:rsidRPr="00742D67">
              <w:rPr>
                <w:rFonts w:ascii="Arial" w:eastAsia="Times New Roman" w:hAnsi="Arial" w:cs="Arial"/>
                <w:sz w:val="18"/>
                <w:szCs w:val="18"/>
                <w:lang w:eastAsia="fr-FR"/>
              </w:rPr>
              <w:t xml:space="preserve"> </w:t>
            </w:r>
          </w:p>
        </w:tc>
        <w:tc>
          <w:tcPr>
            <w:tcW w:w="0" w:type="auto"/>
            <w:shd w:val="clear" w:color="auto" w:fill="auto"/>
            <w:vAlign w:val="center"/>
          </w:tcPr>
          <w:p w14:paraId="5AE34D43" w14:textId="77777777" w:rsidR="003075BB" w:rsidRPr="00742D67" w:rsidRDefault="004F6F03" w:rsidP="003F67FD">
            <w:pPr>
              <w:spacing w:after="0" w:line="240" w:lineRule="auto"/>
              <w:jc w:val="both"/>
              <w:rPr>
                <w:rFonts w:ascii="Arial" w:eastAsia="Times New Roman" w:hAnsi="Arial" w:cs="Arial"/>
                <w:sz w:val="18"/>
                <w:szCs w:val="18"/>
                <w:lang w:eastAsia="fr-FR"/>
              </w:rPr>
            </w:pPr>
            <w:r w:rsidRPr="00742D67">
              <w:rPr>
                <w:rFonts w:ascii="Arial" w:eastAsia="Times New Roman" w:hAnsi="Arial" w:cs="Arial"/>
                <w:sz w:val="18"/>
                <w:szCs w:val="18"/>
                <w:lang w:eastAsia="fr-FR"/>
              </w:rPr>
              <w:t>Nb suivi effectué</w:t>
            </w:r>
          </w:p>
        </w:tc>
        <w:tc>
          <w:tcPr>
            <w:tcW w:w="0" w:type="auto"/>
            <w:shd w:val="clear" w:color="auto" w:fill="auto"/>
            <w:vAlign w:val="center"/>
          </w:tcPr>
          <w:p w14:paraId="5D17F12F" w14:textId="77777777" w:rsidR="003075BB" w:rsidRPr="00742D67" w:rsidRDefault="004F6F03" w:rsidP="003F67FD">
            <w:pPr>
              <w:spacing w:after="0" w:line="240" w:lineRule="auto"/>
              <w:jc w:val="both"/>
              <w:rPr>
                <w:rFonts w:ascii="Arial" w:eastAsia="Times New Roman" w:hAnsi="Arial" w:cs="Arial"/>
                <w:sz w:val="18"/>
                <w:szCs w:val="18"/>
                <w:lang w:eastAsia="fr-FR"/>
              </w:rPr>
            </w:pPr>
            <w:r w:rsidRPr="00742D67">
              <w:rPr>
                <w:rFonts w:ascii="Arial" w:eastAsia="Times New Roman" w:hAnsi="Arial" w:cs="Arial"/>
                <w:sz w:val="18"/>
                <w:szCs w:val="18"/>
                <w:lang w:eastAsia="fr-FR"/>
              </w:rPr>
              <w:t>Consultation du document</w:t>
            </w:r>
          </w:p>
        </w:tc>
        <w:tc>
          <w:tcPr>
            <w:tcW w:w="0" w:type="auto"/>
            <w:shd w:val="clear" w:color="auto" w:fill="auto"/>
            <w:vAlign w:val="center"/>
          </w:tcPr>
          <w:p w14:paraId="7A8C7CD9" w14:textId="77777777" w:rsidR="003075BB" w:rsidRPr="00742D67" w:rsidRDefault="004F6F03" w:rsidP="003F67FD">
            <w:pPr>
              <w:spacing w:after="0" w:line="240" w:lineRule="auto"/>
              <w:jc w:val="both"/>
              <w:rPr>
                <w:rFonts w:ascii="Arial" w:eastAsia="Times New Roman" w:hAnsi="Arial" w:cs="Arial"/>
                <w:sz w:val="18"/>
                <w:szCs w:val="18"/>
                <w:lang w:eastAsia="fr-FR"/>
              </w:rPr>
            </w:pPr>
            <w:r w:rsidRPr="00742D67">
              <w:rPr>
                <w:rFonts w:ascii="Arial" w:eastAsia="Times New Roman" w:hAnsi="Arial" w:cs="Arial"/>
                <w:sz w:val="18"/>
                <w:szCs w:val="18"/>
                <w:lang w:eastAsia="fr-FR"/>
              </w:rPr>
              <w:t xml:space="preserve">Annuel </w:t>
            </w:r>
          </w:p>
        </w:tc>
        <w:tc>
          <w:tcPr>
            <w:tcW w:w="0" w:type="auto"/>
            <w:shd w:val="clear" w:color="auto" w:fill="auto"/>
            <w:vAlign w:val="center"/>
          </w:tcPr>
          <w:p w14:paraId="7A9E9CCB" w14:textId="77777777" w:rsidR="003075BB" w:rsidRPr="00742D67" w:rsidRDefault="004F6F03" w:rsidP="003F67FD">
            <w:pPr>
              <w:spacing w:after="0" w:line="240" w:lineRule="auto"/>
              <w:jc w:val="both"/>
              <w:rPr>
                <w:rFonts w:ascii="Arial" w:eastAsia="Times New Roman" w:hAnsi="Arial" w:cs="Arial"/>
                <w:sz w:val="18"/>
                <w:szCs w:val="18"/>
                <w:lang w:eastAsia="fr-FR"/>
              </w:rPr>
            </w:pPr>
            <w:r w:rsidRPr="00742D67">
              <w:rPr>
                <w:rFonts w:ascii="Arial" w:eastAsia="Times New Roman" w:hAnsi="Arial" w:cs="Arial"/>
                <w:sz w:val="18"/>
                <w:szCs w:val="18"/>
                <w:lang w:eastAsia="fr-FR"/>
              </w:rPr>
              <w:t>Concessionnaire</w:t>
            </w:r>
          </w:p>
        </w:tc>
        <w:tc>
          <w:tcPr>
            <w:tcW w:w="0" w:type="auto"/>
            <w:shd w:val="clear" w:color="auto" w:fill="auto"/>
            <w:vAlign w:val="center"/>
          </w:tcPr>
          <w:p w14:paraId="31F223A3" w14:textId="77777777" w:rsidR="003075BB" w:rsidRPr="00742D67" w:rsidRDefault="004F6F03" w:rsidP="003F67FD">
            <w:pPr>
              <w:spacing w:after="0" w:line="240" w:lineRule="auto"/>
              <w:jc w:val="both"/>
              <w:rPr>
                <w:rFonts w:ascii="Arial" w:eastAsia="Times New Roman" w:hAnsi="Arial" w:cs="Arial"/>
                <w:sz w:val="18"/>
                <w:szCs w:val="18"/>
                <w:lang w:eastAsia="fr-FR"/>
              </w:rPr>
            </w:pPr>
            <w:r w:rsidRPr="00742D67">
              <w:rPr>
                <w:rFonts w:ascii="Arial" w:eastAsia="Times New Roman" w:hAnsi="Arial" w:cs="Arial"/>
                <w:sz w:val="18"/>
                <w:szCs w:val="18"/>
                <w:lang w:eastAsia="fr-FR"/>
              </w:rPr>
              <w:t>MEH</w:t>
            </w:r>
          </w:p>
        </w:tc>
      </w:tr>
      <w:tr w:rsidR="004F6F03" w14:paraId="04ADD4DF" w14:textId="77777777" w:rsidTr="0A1598FD">
        <w:trPr>
          <w:trHeight w:val="300"/>
        </w:trPr>
        <w:tc>
          <w:tcPr>
            <w:tcW w:w="0" w:type="auto"/>
            <w:gridSpan w:val="7"/>
            <w:shd w:val="clear" w:color="auto" w:fill="00B0F0"/>
            <w:vAlign w:val="center"/>
          </w:tcPr>
          <w:p w14:paraId="18D0287C" w14:textId="77777777" w:rsidR="004F6F03" w:rsidRDefault="004F6F03" w:rsidP="00B434A6">
            <w:pPr>
              <w:spacing w:after="0" w:line="240" w:lineRule="auto"/>
              <w:jc w:val="center"/>
            </w:pPr>
            <w:r>
              <w:rPr>
                <w:rFonts w:ascii="Arial" w:eastAsia="Times New Roman" w:hAnsi="Arial" w:cs="Arial"/>
                <w:b/>
                <w:bCs/>
                <w:sz w:val="18"/>
                <w:szCs w:val="18"/>
                <w:lang w:eastAsia="fr-FR"/>
              </w:rPr>
              <w:t>Phase de démantèlement</w:t>
            </w:r>
          </w:p>
        </w:tc>
      </w:tr>
      <w:tr w:rsidR="00481CF0" w14:paraId="3977F6F7" w14:textId="77777777" w:rsidTr="0A1598FD">
        <w:trPr>
          <w:trHeight w:val="732"/>
        </w:trPr>
        <w:tc>
          <w:tcPr>
            <w:tcW w:w="0" w:type="auto"/>
            <w:shd w:val="clear" w:color="auto" w:fill="auto"/>
            <w:vAlign w:val="center"/>
          </w:tcPr>
          <w:p w14:paraId="1BCC2EDA" w14:textId="77777777" w:rsidR="003075BB" w:rsidRDefault="003075BB" w:rsidP="00AC4FA3">
            <w:pPr>
              <w:spacing w:after="0" w:line="240" w:lineRule="auto"/>
              <w:jc w:val="both"/>
            </w:pPr>
            <w:r>
              <w:rPr>
                <w:rFonts w:ascii="Arial" w:eastAsia="Times New Roman" w:hAnsi="Arial" w:cs="Arial"/>
                <w:sz w:val="18"/>
                <w:szCs w:val="18"/>
                <w:lang w:eastAsia="fr-FR"/>
              </w:rPr>
              <w:lastRenderedPageBreak/>
              <w:t>Pollution du sol et de l’eau par le déversement accidentel des substances polluantes et de substances dangereuses</w:t>
            </w:r>
          </w:p>
        </w:tc>
        <w:tc>
          <w:tcPr>
            <w:tcW w:w="0" w:type="auto"/>
            <w:shd w:val="clear" w:color="auto" w:fill="auto"/>
            <w:vAlign w:val="center"/>
          </w:tcPr>
          <w:p w14:paraId="032E31BF" w14:textId="77777777" w:rsidR="003075BB" w:rsidRDefault="003075BB" w:rsidP="00AC4FA3">
            <w:pPr>
              <w:spacing w:after="0" w:line="240" w:lineRule="auto"/>
              <w:jc w:val="both"/>
            </w:pPr>
            <w:r>
              <w:rPr>
                <w:rFonts w:ascii="Arial" w:eastAsia="Times New Roman" w:hAnsi="Arial" w:cs="Arial"/>
                <w:color w:val="000000"/>
                <w:sz w:val="18"/>
                <w:szCs w:val="18"/>
                <w:lang w:eastAsia="fr-FR"/>
              </w:rPr>
              <w:t>Utilisation de véhicules en bon état. Nettoyage méticuleux avant de quitter les lieux.</w:t>
            </w:r>
          </w:p>
        </w:tc>
        <w:tc>
          <w:tcPr>
            <w:tcW w:w="0" w:type="auto"/>
            <w:shd w:val="clear" w:color="auto" w:fill="auto"/>
            <w:vAlign w:val="center"/>
          </w:tcPr>
          <w:p w14:paraId="1E3729FB" w14:textId="77777777" w:rsidR="003075BB" w:rsidRDefault="003075BB" w:rsidP="00AC4FA3">
            <w:pPr>
              <w:spacing w:after="0" w:line="240" w:lineRule="auto"/>
              <w:jc w:val="both"/>
            </w:pPr>
            <w:r>
              <w:rPr>
                <w:rFonts w:ascii="Arial" w:eastAsia="Times New Roman" w:hAnsi="Arial" w:cs="Arial"/>
                <w:color w:val="000000"/>
                <w:sz w:val="18"/>
                <w:szCs w:val="18"/>
                <w:lang w:eastAsia="fr-FR"/>
              </w:rPr>
              <w:t>Utilisation de véhicules en bon état</w:t>
            </w:r>
          </w:p>
        </w:tc>
        <w:tc>
          <w:tcPr>
            <w:tcW w:w="0" w:type="auto"/>
            <w:shd w:val="clear" w:color="auto" w:fill="auto"/>
            <w:vAlign w:val="center"/>
          </w:tcPr>
          <w:p w14:paraId="45524180" w14:textId="77777777" w:rsidR="003075BB" w:rsidRDefault="003075BB" w:rsidP="00AC4FA3">
            <w:pPr>
              <w:spacing w:after="0" w:line="240" w:lineRule="auto"/>
              <w:jc w:val="both"/>
            </w:pPr>
            <w:r>
              <w:rPr>
                <w:rFonts w:ascii="Arial" w:eastAsia="Times New Roman" w:hAnsi="Arial" w:cs="Arial"/>
                <w:color w:val="000000"/>
                <w:sz w:val="18"/>
                <w:szCs w:val="18"/>
                <w:lang w:eastAsia="fr-FR"/>
              </w:rPr>
              <w:t>Observation</w:t>
            </w:r>
          </w:p>
        </w:tc>
        <w:tc>
          <w:tcPr>
            <w:tcW w:w="0" w:type="auto"/>
            <w:shd w:val="clear" w:color="auto" w:fill="auto"/>
            <w:vAlign w:val="center"/>
          </w:tcPr>
          <w:p w14:paraId="7FA7A8A2" w14:textId="77777777" w:rsidR="003075BB" w:rsidRDefault="003075BB" w:rsidP="00AC4FA3">
            <w:pPr>
              <w:spacing w:after="0" w:line="240" w:lineRule="auto"/>
              <w:jc w:val="both"/>
            </w:pPr>
            <w:r>
              <w:rPr>
                <w:rFonts w:ascii="Arial" w:eastAsia="Times New Roman" w:hAnsi="Arial" w:cs="Arial"/>
                <w:color w:val="000000"/>
                <w:sz w:val="18"/>
                <w:szCs w:val="18"/>
                <w:lang w:eastAsia="fr-FR"/>
              </w:rPr>
              <w:t>Fin des travaux</w:t>
            </w:r>
          </w:p>
        </w:tc>
        <w:tc>
          <w:tcPr>
            <w:tcW w:w="0" w:type="auto"/>
            <w:shd w:val="clear" w:color="auto" w:fill="auto"/>
            <w:vAlign w:val="center"/>
          </w:tcPr>
          <w:p w14:paraId="5DFD4696" w14:textId="77777777" w:rsidR="003075BB" w:rsidRDefault="003075BB" w:rsidP="00AC4FA3">
            <w:pPr>
              <w:spacing w:after="0" w:line="240" w:lineRule="auto"/>
              <w:jc w:val="both"/>
            </w:pPr>
            <w:r>
              <w:rPr>
                <w:rFonts w:ascii="Arial" w:eastAsia="Times New Roman" w:hAnsi="Arial" w:cs="Arial"/>
                <w:color w:val="000000"/>
                <w:sz w:val="18"/>
                <w:szCs w:val="18"/>
                <w:lang w:eastAsia="fr-FR"/>
              </w:rPr>
              <w:t>Projet/ Exploitant</w:t>
            </w:r>
          </w:p>
        </w:tc>
        <w:tc>
          <w:tcPr>
            <w:tcW w:w="0" w:type="auto"/>
            <w:shd w:val="clear" w:color="auto" w:fill="auto"/>
            <w:vAlign w:val="center"/>
          </w:tcPr>
          <w:p w14:paraId="5889CC85" w14:textId="77777777" w:rsidR="003075BB" w:rsidRDefault="003075BB" w:rsidP="00AC4FA3">
            <w:pPr>
              <w:spacing w:after="0" w:line="240" w:lineRule="auto"/>
              <w:jc w:val="both"/>
            </w:pPr>
            <w:r>
              <w:rPr>
                <w:rFonts w:ascii="Arial" w:eastAsia="Times New Roman" w:hAnsi="Arial" w:cs="Arial"/>
                <w:color w:val="000000"/>
                <w:sz w:val="18"/>
                <w:szCs w:val="18"/>
                <w:lang w:eastAsia="fr-FR"/>
              </w:rPr>
              <w:t>Ministère Energie, BM</w:t>
            </w:r>
          </w:p>
        </w:tc>
      </w:tr>
      <w:tr w:rsidR="00481CF0" w14:paraId="47F050D6" w14:textId="77777777" w:rsidTr="0A1598FD">
        <w:trPr>
          <w:trHeight w:val="732"/>
        </w:trPr>
        <w:tc>
          <w:tcPr>
            <w:tcW w:w="0" w:type="auto"/>
            <w:shd w:val="clear" w:color="auto" w:fill="auto"/>
            <w:vAlign w:val="center"/>
          </w:tcPr>
          <w:p w14:paraId="4A4A23BE" w14:textId="77777777" w:rsidR="003075BB" w:rsidRDefault="003075BB" w:rsidP="00AC4FA3">
            <w:pPr>
              <w:spacing w:after="0" w:line="240" w:lineRule="auto"/>
              <w:jc w:val="both"/>
            </w:pPr>
            <w:r>
              <w:rPr>
                <w:rFonts w:ascii="Arial" w:eastAsia="Times New Roman" w:hAnsi="Arial" w:cs="Arial"/>
                <w:sz w:val="18"/>
                <w:szCs w:val="18"/>
                <w:lang w:eastAsia="fr-FR"/>
              </w:rPr>
              <w:t>Pollution du sol par l'abandon et l’accumulation des déchets solides incluant les déchets d’équipement électrique et électronique (DEEE)</w:t>
            </w:r>
          </w:p>
        </w:tc>
        <w:tc>
          <w:tcPr>
            <w:tcW w:w="0" w:type="auto"/>
            <w:shd w:val="clear" w:color="auto" w:fill="auto"/>
            <w:vAlign w:val="center"/>
          </w:tcPr>
          <w:p w14:paraId="194A0AD7" w14:textId="77777777" w:rsidR="003075BB" w:rsidRDefault="003075BB" w:rsidP="00AC4FA3">
            <w:pPr>
              <w:spacing w:after="0" w:line="240" w:lineRule="auto"/>
              <w:jc w:val="both"/>
            </w:pPr>
            <w:r>
              <w:rPr>
                <w:rFonts w:ascii="Arial" w:eastAsia="Times New Roman" w:hAnsi="Arial" w:cs="Arial"/>
                <w:color w:val="000000"/>
                <w:sz w:val="18"/>
                <w:szCs w:val="18"/>
                <w:lang w:eastAsia="fr-FR"/>
              </w:rPr>
              <w:t>Collecte et envoi des déchets dans un centre spécialisé dans le traitement des déchets</w:t>
            </w:r>
          </w:p>
        </w:tc>
        <w:tc>
          <w:tcPr>
            <w:tcW w:w="0" w:type="auto"/>
            <w:shd w:val="clear" w:color="auto" w:fill="auto"/>
            <w:vAlign w:val="center"/>
          </w:tcPr>
          <w:p w14:paraId="488E9347" w14:textId="77777777" w:rsidR="003075BB" w:rsidRDefault="003075BB" w:rsidP="00AC4FA3">
            <w:pPr>
              <w:spacing w:after="0" w:line="240" w:lineRule="auto"/>
              <w:jc w:val="both"/>
            </w:pPr>
            <w:r>
              <w:rPr>
                <w:rFonts w:ascii="Arial" w:eastAsia="Times New Roman" w:hAnsi="Arial" w:cs="Arial"/>
                <w:color w:val="000000"/>
                <w:sz w:val="18"/>
                <w:szCs w:val="18"/>
                <w:lang w:eastAsia="fr-FR"/>
              </w:rPr>
              <w:t>Déchets collectés et envoyés dans un centre spécialisé</w:t>
            </w:r>
          </w:p>
        </w:tc>
        <w:tc>
          <w:tcPr>
            <w:tcW w:w="0" w:type="auto"/>
            <w:shd w:val="clear" w:color="auto" w:fill="auto"/>
            <w:vAlign w:val="center"/>
          </w:tcPr>
          <w:p w14:paraId="20B4D4F9" w14:textId="77777777" w:rsidR="003075BB" w:rsidRDefault="003075BB" w:rsidP="00AC4FA3">
            <w:pPr>
              <w:spacing w:after="0" w:line="240" w:lineRule="auto"/>
              <w:jc w:val="both"/>
            </w:pPr>
            <w:r>
              <w:rPr>
                <w:rFonts w:ascii="Arial" w:eastAsia="Times New Roman" w:hAnsi="Arial" w:cs="Arial"/>
                <w:color w:val="000000"/>
                <w:sz w:val="18"/>
                <w:szCs w:val="18"/>
                <w:lang w:eastAsia="fr-FR"/>
              </w:rPr>
              <w:t>Observation</w:t>
            </w:r>
          </w:p>
        </w:tc>
        <w:tc>
          <w:tcPr>
            <w:tcW w:w="0" w:type="auto"/>
            <w:shd w:val="clear" w:color="auto" w:fill="auto"/>
            <w:vAlign w:val="center"/>
          </w:tcPr>
          <w:p w14:paraId="545B278D" w14:textId="77777777" w:rsidR="003075BB" w:rsidRDefault="003075BB" w:rsidP="00AC4FA3">
            <w:pPr>
              <w:spacing w:after="0" w:line="240" w:lineRule="auto"/>
              <w:jc w:val="both"/>
            </w:pPr>
            <w:r>
              <w:rPr>
                <w:rFonts w:ascii="Arial" w:eastAsia="Times New Roman" w:hAnsi="Arial" w:cs="Arial"/>
                <w:color w:val="000000"/>
                <w:sz w:val="18"/>
                <w:szCs w:val="18"/>
                <w:lang w:eastAsia="fr-FR"/>
              </w:rPr>
              <w:t>Fin des travaux</w:t>
            </w:r>
          </w:p>
        </w:tc>
        <w:tc>
          <w:tcPr>
            <w:tcW w:w="0" w:type="auto"/>
            <w:shd w:val="clear" w:color="auto" w:fill="auto"/>
            <w:vAlign w:val="center"/>
          </w:tcPr>
          <w:p w14:paraId="480936EC" w14:textId="77777777" w:rsidR="003075BB" w:rsidRDefault="003075BB" w:rsidP="00AC4FA3">
            <w:pPr>
              <w:spacing w:after="0" w:line="240" w:lineRule="auto"/>
              <w:jc w:val="both"/>
            </w:pPr>
            <w:r>
              <w:rPr>
                <w:rFonts w:ascii="Arial" w:eastAsia="Times New Roman" w:hAnsi="Arial" w:cs="Arial"/>
                <w:color w:val="000000"/>
                <w:sz w:val="18"/>
                <w:szCs w:val="18"/>
                <w:lang w:eastAsia="fr-FR"/>
              </w:rPr>
              <w:t>Projet/ Exploitant</w:t>
            </w:r>
          </w:p>
        </w:tc>
        <w:tc>
          <w:tcPr>
            <w:tcW w:w="0" w:type="auto"/>
            <w:shd w:val="clear" w:color="auto" w:fill="auto"/>
            <w:vAlign w:val="center"/>
          </w:tcPr>
          <w:p w14:paraId="248CC863" w14:textId="77777777" w:rsidR="003075BB" w:rsidRDefault="003075BB" w:rsidP="00AC4FA3">
            <w:pPr>
              <w:spacing w:after="0" w:line="240" w:lineRule="auto"/>
              <w:jc w:val="both"/>
            </w:pPr>
            <w:r>
              <w:rPr>
                <w:rFonts w:ascii="Arial" w:eastAsia="Times New Roman" w:hAnsi="Arial" w:cs="Arial"/>
                <w:color w:val="000000"/>
                <w:sz w:val="18"/>
                <w:szCs w:val="18"/>
                <w:lang w:eastAsia="fr-FR"/>
              </w:rPr>
              <w:t>Ministère Energie, BM</w:t>
            </w:r>
          </w:p>
        </w:tc>
      </w:tr>
      <w:tr w:rsidR="00481CF0" w14:paraId="152651C9" w14:textId="77777777" w:rsidTr="0A1598FD">
        <w:trPr>
          <w:trHeight w:val="300"/>
        </w:trPr>
        <w:tc>
          <w:tcPr>
            <w:tcW w:w="0" w:type="auto"/>
            <w:shd w:val="clear" w:color="auto" w:fill="auto"/>
            <w:vAlign w:val="center"/>
          </w:tcPr>
          <w:p w14:paraId="6959F788" w14:textId="77777777" w:rsidR="003075BB" w:rsidRDefault="003075BB" w:rsidP="00AC4FA3">
            <w:pPr>
              <w:spacing w:after="0" w:line="240" w:lineRule="auto"/>
              <w:jc w:val="both"/>
            </w:pPr>
            <w:r>
              <w:rPr>
                <w:rFonts w:ascii="Arial" w:eastAsia="Times New Roman" w:hAnsi="Arial" w:cs="Arial"/>
                <w:sz w:val="18"/>
                <w:szCs w:val="18"/>
                <w:lang w:eastAsia="fr-FR"/>
              </w:rPr>
              <w:t>Perte d'emploi</w:t>
            </w:r>
          </w:p>
        </w:tc>
        <w:tc>
          <w:tcPr>
            <w:tcW w:w="0" w:type="auto"/>
            <w:shd w:val="clear" w:color="auto" w:fill="auto"/>
            <w:vAlign w:val="center"/>
          </w:tcPr>
          <w:p w14:paraId="3B7A1BC9" w14:textId="77777777" w:rsidR="003075BB" w:rsidRDefault="003075BB" w:rsidP="00AC4FA3">
            <w:pPr>
              <w:spacing w:after="0" w:line="240" w:lineRule="auto"/>
              <w:jc w:val="both"/>
            </w:pPr>
            <w:r>
              <w:rPr>
                <w:rFonts w:ascii="Arial" w:eastAsia="Times New Roman" w:hAnsi="Arial" w:cs="Arial"/>
                <w:color w:val="000000"/>
                <w:sz w:val="18"/>
                <w:szCs w:val="18"/>
                <w:lang w:eastAsia="fr-FR"/>
              </w:rPr>
              <w:t>Respect et application des textes sur l'emploi en vigueur dans le pays</w:t>
            </w:r>
          </w:p>
        </w:tc>
        <w:tc>
          <w:tcPr>
            <w:tcW w:w="0" w:type="auto"/>
            <w:shd w:val="clear" w:color="auto" w:fill="auto"/>
            <w:vAlign w:val="center"/>
          </w:tcPr>
          <w:p w14:paraId="5688BFC4" w14:textId="77777777" w:rsidR="003075BB" w:rsidRDefault="003075BB" w:rsidP="00AC4FA3">
            <w:pPr>
              <w:spacing w:after="0" w:line="240" w:lineRule="auto"/>
              <w:jc w:val="both"/>
            </w:pPr>
            <w:r>
              <w:rPr>
                <w:rFonts w:ascii="Arial" w:eastAsia="Times New Roman" w:hAnsi="Arial" w:cs="Arial"/>
                <w:color w:val="000000"/>
                <w:sz w:val="18"/>
                <w:szCs w:val="18"/>
                <w:lang w:eastAsia="fr-FR"/>
              </w:rPr>
              <w:t>Fin de contrat</w:t>
            </w:r>
          </w:p>
        </w:tc>
        <w:tc>
          <w:tcPr>
            <w:tcW w:w="0" w:type="auto"/>
            <w:shd w:val="clear" w:color="auto" w:fill="auto"/>
            <w:vAlign w:val="center"/>
          </w:tcPr>
          <w:p w14:paraId="5731A28F" w14:textId="77777777" w:rsidR="003075BB" w:rsidRDefault="003075BB" w:rsidP="00AC4FA3">
            <w:pPr>
              <w:spacing w:after="0" w:line="240" w:lineRule="auto"/>
              <w:jc w:val="both"/>
            </w:pPr>
            <w:r>
              <w:rPr>
                <w:rFonts w:ascii="Arial" w:eastAsia="Times New Roman" w:hAnsi="Arial" w:cs="Arial"/>
                <w:color w:val="000000"/>
                <w:sz w:val="18"/>
                <w:szCs w:val="18"/>
                <w:lang w:eastAsia="fr-FR"/>
              </w:rPr>
              <w:t>Observation</w:t>
            </w:r>
          </w:p>
        </w:tc>
        <w:tc>
          <w:tcPr>
            <w:tcW w:w="0" w:type="auto"/>
            <w:shd w:val="clear" w:color="auto" w:fill="auto"/>
            <w:vAlign w:val="center"/>
          </w:tcPr>
          <w:p w14:paraId="2636386B" w14:textId="77777777" w:rsidR="003075BB" w:rsidRDefault="003075BB" w:rsidP="00AC4FA3">
            <w:pPr>
              <w:spacing w:after="0" w:line="240" w:lineRule="auto"/>
              <w:jc w:val="both"/>
            </w:pPr>
            <w:r>
              <w:rPr>
                <w:rFonts w:ascii="Arial" w:eastAsia="Times New Roman" w:hAnsi="Arial" w:cs="Arial"/>
                <w:color w:val="000000"/>
                <w:sz w:val="18"/>
                <w:szCs w:val="18"/>
                <w:lang w:eastAsia="fr-FR"/>
              </w:rPr>
              <w:t>Fin des travaux</w:t>
            </w:r>
          </w:p>
        </w:tc>
        <w:tc>
          <w:tcPr>
            <w:tcW w:w="0" w:type="auto"/>
            <w:shd w:val="clear" w:color="auto" w:fill="auto"/>
            <w:vAlign w:val="center"/>
          </w:tcPr>
          <w:p w14:paraId="091F2D00" w14:textId="77777777" w:rsidR="003075BB" w:rsidRDefault="003075BB" w:rsidP="00AC4FA3">
            <w:pPr>
              <w:spacing w:after="0" w:line="240" w:lineRule="auto"/>
              <w:jc w:val="both"/>
            </w:pPr>
            <w:r>
              <w:rPr>
                <w:rFonts w:ascii="Arial" w:eastAsia="Times New Roman" w:hAnsi="Arial" w:cs="Arial"/>
                <w:color w:val="000000"/>
                <w:sz w:val="18"/>
                <w:szCs w:val="18"/>
                <w:lang w:eastAsia="fr-FR"/>
              </w:rPr>
              <w:t>Projet/ Exploitant</w:t>
            </w:r>
          </w:p>
        </w:tc>
        <w:tc>
          <w:tcPr>
            <w:tcW w:w="0" w:type="auto"/>
            <w:shd w:val="clear" w:color="auto" w:fill="auto"/>
            <w:vAlign w:val="center"/>
          </w:tcPr>
          <w:p w14:paraId="0C0E2176" w14:textId="77777777" w:rsidR="003075BB" w:rsidRDefault="003075BB" w:rsidP="00AC4FA3">
            <w:pPr>
              <w:spacing w:after="0" w:line="240" w:lineRule="auto"/>
              <w:jc w:val="both"/>
            </w:pPr>
            <w:r>
              <w:rPr>
                <w:rFonts w:ascii="Arial" w:eastAsia="Times New Roman" w:hAnsi="Arial" w:cs="Arial"/>
                <w:color w:val="000000"/>
                <w:sz w:val="18"/>
                <w:szCs w:val="18"/>
                <w:lang w:eastAsia="fr-FR"/>
              </w:rPr>
              <w:t>Ministère Energie, BM</w:t>
            </w:r>
          </w:p>
        </w:tc>
      </w:tr>
      <w:tr w:rsidR="00481CF0" w14:paraId="1DCEEB41" w14:textId="77777777" w:rsidTr="0A1598FD">
        <w:trPr>
          <w:trHeight w:val="300"/>
        </w:trPr>
        <w:tc>
          <w:tcPr>
            <w:tcW w:w="0" w:type="auto"/>
            <w:shd w:val="clear" w:color="auto" w:fill="auto"/>
            <w:vAlign w:val="center"/>
          </w:tcPr>
          <w:p w14:paraId="7A1C3C0C" w14:textId="77777777" w:rsidR="003075BB" w:rsidRDefault="003075BB" w:rsidP="00AC4FA3">
            <w:pPr>
              <w:spacing w:after="0" w:line="240" w:lineRule="auto"/>
              <w:jc w:val="both"/>
            </w:pPr>
            <w:r>
              <w:rPr>
                <w:rFonts w:ascii="Arial" w:eastAsia="Times New Roman" w:hAnsi="Arial" w:cs="Arial"/>
                <w:sz w:val="18"/>
                <w:szCs w:val="18"/>
                <w:lang w:eastAsia="fr-FR"/>
              </w:rPr>
              <w:t>Perturbation de la circulation</w:t>
            </w:r>
          </w:p>
        </w:tc>
        <w:tc>
          <w:tcPr>
            <w:tcW w:w="0" w:type="auto"/>
            <w:shd w:val="clear" w:color="auto" w:fill="auto"/>
            <w:vAlign w:val="center"/>
          </w:tcPr>
          <w:p w14:paraId="283882C2" w14:textId="77777777" w:rsidR="003075BB" w:rsidRDefault="003075BB" w:rsidP="00AC4FA3">
            <w:pPr>
              <w:spacing w:after="0" w:line="240" w:lineRule="auto"/>
              <w:jc w:val="both"/>
            </w:pPr>
            <w:r>
              <w:rPr>
                <w:rFonts w:ascii="Arial" w:eastAsia="Times New Roman" w:hAnsi="Arial" w:cs="Arial"/>
                <w:color w:val="000000"/>
                <w:sz w:val="18"/>
                <w:szCs w:val="18"/>
                <w:lang w:eastAsia="fr-FR"/>
              </w:rPr>
              <w:t>Respect du code de la route. </w:t>
            </w:r>
          </w:p>
        </w:tc>
        <w:tc>
          <w:tcPr>
            <w:tcW w:w="0" w:type="auto"/>
            <w:shd w:val="clear" w:color="auto" w:fill="auto"/>
            <w:vAlign w:val="center"/>
          </w:tcPr>
          <w:p w14:paraId="1AFD239F" w14:textId="77777777" w:rsidR="003075BB" w:rsidRDefault="003075BB" w:rsidP="00AC4FA3">
            <w:pPr>
              <w:spacing w:after="0" w:line="240" w:lineRule="auto"/>
              <w:jc w:val="both"/>
            </w:pPr>
            <w:r>
              <w:rPr>
                <w:rFonts w:ascii="Arial" w:eastAsia="Times New Roman" w:hAnsi="Arial" w:cs="Arial"/>
                <w:color w:val="000000"/>
                <w:sz w:val="18"/>
                <w:szCs w:val="18"/>
                <w:lang w:eastAsia="fr-FR"/>
              </w:rPr>
              <w:t>Code routier respecté</w:t>
            </w:r>
          </w:p>
        </w:tc>
        <w:tc>
          <w:tcPr>
            <w:tcW w:w="0" w:type="auto"/>
            <w:shd w:val="clear" w:color="auto" w:fill="auto"/>
            <w:vAlign w:val="center"/>
          </w:tcPr>
          <w:p w14:paraId="7C4C47C0" w14:textId="77777777" w:rsidR="003075BB" w:rsidRDefault="003075BB" w:rsidP="00AC4FA3">
            <w:pPr>
              <w:spacing w:after="0" w:line="240" w:lineRule="auto"/>
              <w:jc w:val="both"/>
            </w:pPr>
            <w:r>
              <w:rPr>
                <w:rFonts w:ascii="Arial" w:eastAsia="Times New Roman" w:hAnsi="Arial" w:cs="Arial"/>
                <w:color w:val="000000"/>
                <w:sz w:val="18"/>
                <w:szCs w:val="18"/>
                <w:lang w:eastAsia="fr-FR"/>
              </w:rPr>
              <w:t>Observation</w:t>
            </w:r>
          </w:p>
        </w:tc>
        <w:tc>
          <w:tcPr>
            <w:tcW w:w="0" w:type="auto"/>
            <w:shd w:val="clear" w:color="auto" w:fill="auto"/>
            <w:vAlign w:val="center"/>
          </w:tcPr>
          <w:p w14:paraId="15698B69" w14:textId="77777777" w:rsidR="003075BB" w:rsidRDefault="003075BB" w:rsidP="00AC4FA3">
            <w:pPr>
              <w:spacing w:after="0" w:line="240" w:lineRule="auto"/>
              <w:jc w:val="both"/>
            </w:pPr>
            <w:r>
              <w:rPr>
                <w:rFonts w:ascii="Arial" w:eastAsia="Times New Roman" w:hAnsi="Arial" w:cs="Arial"/>
                <w:color w:val="000000"/>
                <w:sz w:val="18"/>
                <w:szCs w:val="18"/>
                <w:lang w:eastAsia="fr-FR"/>
              </w:rPr>
              <w:t>Fin des travaux</w:t>
            </w:r>
          </w:p>
        </w:tc>
        <w:tc>
          <w:tcPr>
            <w:tcW w:w="0" w:type="auto"/>
            <w:shd w:val="clear" w:color="auto" w:fill="auto"/>
            <w:vAlign w:val="center"/>
          </w:tcPr>
          <w:p w14:paraId="0D15FBF6" w14:textId="77777777" w:rsidR="003075BB" w:rsidRDefault="003075BB" w:rsidP="00AC4FA3">
            <w:pPr>
              <w:spacing w:after="0" w:line="240" w:lineRule="auto"/>
              <w:jc w:val="both"/>
            </w:pPr>
            <w:r>
              <w:rPr>
                <w:rFonts w:ascii="Arial" w:eastAsia="Times New Roman" w:hAnsi="Arial" w:cs="Arial"/>
                <w:color w:val="000000"/>
                <w:sz w:val="18"/>
                <w:szCs w:val="18"/>
                <w:lang w:eastAsia="fr-FR"/>
              </w:rPr>
              <w:t>Projet/ Exploitant</w:t>
            </w:r>
          </w:p>
        </w:tc>
        <w:tc>
          <w:tcPr>
            <w:tcW w:w="0" w:type="auto"/>
            <w:shd w:val="clear" w:color="auto" w:fill="auto"/>
            <w:vAlign w:val="center"/>
          </w:tcPr>
          <w:p w14:paraId="1F6FC46A" w14:textId="77777777" w:rsidR="003075BB" w:rsidRDefault="003075BB" w:rsidP="00AC4FA3">
            <w:pPr>
              <w:spacing w:after="0" w:line="240" w:lineRule="auto"/>
              <w:jc w:val="both"/>
            </w:pPr>
            <w:r>
              <w:rPr>
                <w:rFonts w:ascii="Arial" w:eastAsia="Times New Roman" w:hAnsi="Arial" w:cs="Arial"/>
                <w:color w:val="000000"/>
                <w:sz w:val="18"/>
                <w:szCs w:val="18"/>
                <w:lang w:eastAsia="fr-FR"/>
              </w:rPr>
              <w:t>Ministère Energie, BM</w:t>
            </w:r>
          </w:p>
        </w:tc>
      </w:tr>
    </w:tbl>
    <w:p w14:paraId="2623E0CD" w14:textId="77777777" w:rsidR="00D82A47" w:rsidRDefault="00D82A47" w:rsidP="00AC4FA3">
      <w:pPr>
        <w:spacing w:line="240" w:lineRule="auto"/>
        <w:jc w:val="both"/>
        <w:rPr>
          <w:rFonts w:ascii="Arial" w:hAnsi="Arial" w:cs="Arial"/>
        </w:rPr>
        <w:sectPr w:rsidR="00D82A47" w:rsidSect="00E5387E">
          <w:pgSz w:w="16838" w:h="11906" w:orient="landscape"/>
          <w:pgMar w:top="1418" w:right="1418" w:bottom="1418" w:left="1418" w:header="709" w:footer="709" w:gutter="0"/>
          <w:pgNumType w:fmt="lowerRoman"/>
          <w:cols w:space="708"/>
          <w:docGrid w:linePitch="360"/>
        </w:sectPr>
      </w:pPr>
    </w:p>
    <w:p w14:paraId="4973D730" w14:textId="77777777" w:rsidR="00AC4FA3" w:rsidRDefault="00AC4FA3" w:rsidP="00AC4FA3">
      <w:pPr>
        <w:spacing w:line="240" w:lineRule="auto"/>
        <w:jc w:val="both"/>
        <w:rPr>
          <w:rFonts w:ascii="Arial" w:hAnsi="Arial" w:cs="Arial"/>
        </w:rPr>
      </w:pPr>
    </w:p>
    <w:p w14:paraId="7C13278C" w14:textId="77777777" w:rsidR="00AC4FA3" w:rsidRDefault="00AC4FA3" w:rsidP="0044500E">
      <w:pPr>
        <w:pStyle w:val="Paragraphedeliste"/>
        <w:numPr>
          <w:ilvl w:val="0"/>
          <w:numId w:val="175"/>
        </w:numPr>
        <w:suppressAutoHyphens/>
        <w:spacing w:before="240" w:after="120" w:line="240" w:lineRule="auto"/>
        <w:ind w:left="714" w:hanging="357"/>
        <w:jc w:val="both"/>
      </w:pPr>
      <w:r>
        <w:rPr>
          <w:rFonts w:ascii="Arial" w:hAnsi="Arial" w:cs="Arial"/>
          <w:b/>
        </w:rPr>
        <w:t>CONCLUSION</w:t>
      </w:r>
    </w:p>
    <w:p w14:paraId="05E12145" w14:textId="77777777" w:rsidR="00AC4FA3" w:rsidRPr="0034790A" w:rsidRDefault="00AC4FA3" w:rsidP="00AC4FA3">
      <w:pPr>
        <w:spacing w:before="120" w:after="120" w:line="240" w:lineRule="auto"/>
        <w:jc w:val="both"/>
        <w:rPr>
          <w:rFonts w:ascii="Arial" w:hAnsi="Arial" w:cs="Arial"/>
        </w:rPr>
      </w:pPr>
      <w:r w:rsidRPr="0034790A">
        <w:rPr>
          <w:rFonts w:ascii="Arial" w:hAnsi="Arial" w:cs="Arial"/>
        </w:rPr>
        <w:t xml:space="preserve">Les avantages et les impacts positifs découlant de la mise en œuvre du Projet DECIM sont </w:t>
      </w:r>
      <w:r>
        <w:rPr>
          <w:rFonts w:ascii="Arial" w:hAnsi="Arial" w:cs="Arial"/>
        </w:rPr>
        <w:t xml:space="preserve">notables </w:t>
      </w:r>
      <w:r w:rsidRPr="0034790A">
        <w:rPr>
          <w:rFonts w:ascii="Arial" w:hAnsi="Arial" w:cs="Arial"/>
        </w:rPr>
        <w:t xml:space="preserve">à l’échelle locale </w:t>
      </w:r>
      <w:r>
        <w:rPr>
          <w:rFonts w:ascii="Arial" w:hAnsi="Arial" w:cs="Arial"/>
        </w:rPr>
        <w:t>et</w:t>
      </w:r>
      <w:r w:rsidRPr="0034790A">
        <w:rPr>
          <w:rFonts w:ascii="Arial" w:hAnsi="Arial" w:cs="Arial"/>
        </w:rPr>
        <w:t xml:space="preserve"> régionale</w:t>
      </w:r>
      <w:r>
        <w:rPr>
          <w:rFonts w:ascii="Arial" w:hAnsi="Arial" w:cs="Arial"/>
        </w:rPr>
        <w:t xml:space="preserve"> mais également</w:t>
      </w:r>
      <w:r w:rsidRPr="0034790A">
        <w:rPr>
          <w:rFonts w:ascii="Arial" w:hAnsi="Arial" w:cs="Arial"/>
        </w:rPr>
        <w:t xml:space="preserve"> au niveau du pays. </w:t>
      </w:r>
    </w:p>
    <w:p w14:paraId="28C60DD6" w14:textId="77777777" w:rsidR="00AC4FA3" w:rsidRPr="005965D6" w:rsidRDefault="00AC4FA3" w:rsidP="00AC4FA3">
      <w:pPr>
        <w:spacing w:before="120" w:after="120" w:line="240" w:lineRule="auto"/>
        <w:jc w:val="both"/>
        <w:rPr>
          <w:rFonts w:ascii="Arial" w:hAnsi="Arial" w:cs="Arial"/>
        </w:rPr>
      </w:pPr>
      <w:r w:rsidRPr="005965D6">
        <w:rPr>
          <w:rFonts w:ascii="Arial" w:hAnsi="Arial" w:cs="Arial"/>
        </w:rPr>
        <w:t xml:space="preserve">On peut s’attendre à un changement dans la structure de la demande d’énergie. Plus exactement, il y aura plus de consommation des énergies renouvelables, par rapport aux sources d’énergie conventionnelles. </w:t>
      </w:r>
    </w:p>
    <w:p w14:paraId="510DA64E" w14:textId="77777777" w:rsidR="00AC4FA3" w:rsidRPr="00BB0295" w:rsidRDefault="00AC4FA3" w:rsidP="00AC4FA3">
      <w:pPr>
        <w:spacing w:before="120" w:after="120" w:line="240" w:lineRule="auto"/>
        <w:jc w:val="both"/>
        <w:rPr>
          <w:rFonts w:ascii="Arial" w:hAnsi="Arial" w:cs="Arial"/>
        </w:rPr>
      </w:pPr>
      <w:r w:rsidRPr="00BB0295">
        <w:rPr>
          <w:rFonts w:ascii="Arial" w:hAnsi="Arial" w:cs="Arial"/>
        </w:rPr>
        <w:t>Du point de vue économique local, régional ou national, les nouvelles infrastructures et installations vont accroître l’intérêt des investisseurs et des opérateurs privés du secteur tertiaire, notamment dans les branches des services et du secteur touristique, dans les localités à proximité des localités desservies. D’autre part, la mise en œuvre des projets phares et des projets structuraux de l’</w:t>
      </w:r>
      <w:r w:rsidR="009758F4" w:rsidRPr="00BB0295">
        <w:rPr>
          <w:rFonts w:ascii="Arial" w:hAnsi="Arial" w:cs="Arial"/>
        </w:rPr>
        <w:t>État</w:t>
      </w:r>
      <w:r w:rsidRPr="00BB0295">
        <w:rPr>
          <w:rFonts w:ascii="Arial" w:hAnsi="Arial" w:cs="Arial"/>
        </w:rPr>
        <w:t xml:space="preserve"> ser</w:t>
      </w:r>
      <w:r>
        <w:rPr>
          <w:rFonts w:ascii="Arial" w:hAnsi="Arial" w:cs="Arial"/>
        </w:rPr>
        <w:t>a</w:t>
      </w:r>
      <w:r w:rsidRPr="00BB0295">
        <w:rPr>
          <w:rFonts w:ascii="Arial" w:hAnsi="Arial" w:cs="Arial"/>
        </w:rPr>
        <w:t xml:space="preserve"> plus facilitée.</w:t>
      </w:r>
    </w:p>
    <w:p w14:paraId="13B1D6D4" w14:textId="77777777" w:rsidR="00AC4FA3" w:rsidRDefault="00AC4FA3" w:rsidP="00AC4FA3">
      <w:pPr>
        <w:spacing w:before="120" w:after="120" w:line="240" w:lineRule="auto"/>
        <w:jc w:val="both"/>
        <w:rPr>
          <w:rFonts w:ascii="Arial" w:hAnsi="Arial" w:cs="Arial"/>
        </w:rPr>
      </w:pPr>
      <w:r w:rsidRPr="00BB0295">
        <w:rPr>
          <w:rFonts w:ascii="Arial" w:hAnsi="Arial" w:cs="Arial"/>
        </w:rPr>
        <w:t xml:space="preserve">Sur le plan environnemental, la mise en œuvre du Projet DECIM contribuera à la réduction des émissions de GES, et à la promotion à l’utilisation de </w:t>
      </w:r>
      <w:r w:rsidR="009758F4">
        <w:rPr>
          <w:rFonts w:ascii="Arial" w:hAnsi="Arial" w:cs="Arial"/>
        </w:rPr>
        <w:t>l</w:t>
      </w:r>
      <w:r w:rsidRPr="00BB0295">
        <w:rPr>
          <w:rFonts w:ascii="Arial" w:hAnsi="Arial" w:cs="Arial"/>
        </w:rPr>
        <w:t>’</w:t>
      </w:r>
      <w:r w:rsidR="009758F4" w:rsidRPr="00BB0295">
        <w:rPr>
          <w:rFonts w:ascii="Arial" w:hAnsi="Arial" w:cs="Arial"/>
        </w:rPr>
        <w:t>Énergie</w:t>
      </w:r>
      <w:r w:rsidRPr="00BB0295">
        <w:rPr>
          <w:rFonts w:ascii="Arial" w:hAnsi="Arial" w:cs="Arial"/>
        </w:rPr>
        <w:t xml:space="preserve"> Renouvelable (ENR). Ceci constitue une mesure pour la lutte contre le changement climatique. </w:t>
      </w:r>
    </w:p>
    <w:p w14:paraId="288B4A59" w14:textId="77777777" w:rsidR="00AC4FA3" w:rsidRPr="00BB0295" w:rsidRDefault="00AC4FA3" w:rsidP="00AC4FA3">
      <w:pPr>
        <w:spacing w:before="120" w:after="120" w:line="240" w:lineRule="auto"/>
        <w:jc w:val="both"/>
        <w:rPr>
          <w:rFonts w:ascii="Arial" w:hAnsi="Arial" w:cs="Arial"/>
        </w:rPr>
      </w:pPr>
      <w:r w:rsidRPr="00BB0295">
        <w:rPr>
          <w:rFonts w:ascii="Arial" w:hAnsi="Arial" w:cs="Arial"/>
        </w:rPr>
        <w:t xml:space="preserve">D’autre part, la mise en œuvre du Projet </w:t>
      </w:r>
      <w:r>
        <w:rPr>
          <w:rFonts w:ascii="Arial" w:hAnsi="Arial" w:cs="Arial"/>
        </w:rPr>
        <w:t>avec les mesures d’évitement ou d’atténuation adéquates proposées dans ce CGES permettra de contenir les impacts négatifs potentiels du projet</w:t>
      </w:r>
      <w:r w:rsidRPr="00BB0295">
        <w:rPr>
          <w:rFonts w:ascii="Arial" w:hAnsi="Arial" w:cs="Arial"/>
        </w:rPr>
        <w:t>.</w:t>
      </w:r>
    </w:p>
    <w:p w14:paraId="02B00F2E" w14:textId="77777777" w:rsidR="00AC4FA3" w:rsidRDefault="00AC4FA3" w:rsidP="00855A0A">
      <w:pPr>
        <w:ind w:left="1418" w:hanging="1418"/>
        <w:rPr>
          <w:rFonts w:ascii="Arial" w:hAnsi="Arial" w:cs="Arial"/>
        </w:rPr>
      </w:pPr>
    </w:p>
    <w:p w14:paraId="3742F8D5" w14:textId="77777777" w:rsidR="00665B96" w:rsidRDefault="00665B96" w:rsidP="00855A0A">
      <w:pPr>
        <w:ind w:left="1418" w:hanging="1418"/>
        <w:rPr>
          <w:rFonts w:ascii="Arial" w:hAnsi="Arial" w:cs="Arial"/>
        </w:rPr>
      </w:pPr>
    </w:p>
    <w:p w14:paraId="1F50C1CD" w14:textId="77777777" w:rsidR="00665B96" w:rsidRPr="00F91FA3" w:rsidRDefault="00BB01E1" w:rsidP="00F91FA3">
      <w:pPr>
        <w:pStyle w:val="Paragraphedeliste"/>
        <w:pBdr>
          <w:bottom w:val="single" w:sz="4" w:space="1" w:color="auto"/>
        </w:pBdr>
        <w:spacing w:line="240" w:lineRule="auto"/>
        <w:ind w:hanging="360"/>
        <w:jc w:val="both"/>
        <w:outlineLvl w:val="0"/>
        <w:rPr>
          <w:color w:val="auto"/>
        </w:rPr>
      </w:pPr>
      <w:r>
        <w:br w:type="page"/>
      </w:r>
      <w:bookmarkStart w:id="16" w:name="_Toc124956084"/>
      <w:bookmarkStart w:id="17" w:name="_Toc125384482"/>
      <w:bookmarkStart w:id="18" w:name="_Toc125384871"/>
      <w:bookmarkStart w:id="19" w:name="_Toc127957543"/>
      <w:r w:rsidR="00665B96" w:rsidRPr="005D6D41">
        <w:rPr>
          <w:caps/>
          <w:color w:val="44546A"/>
          <w:sz w:val="40"/>
          <w:szCs w:val="40"/>
        </w:rPr>
        <w:lastRenderedPageBreak/>
        <w:t>EXECUTIVE SUMMARY</w:t>
      </w:r>
      <w:bookmarkEnd w:id="16"/>
      <w:bookmarkEnd w:id="17"/>
      <w:bookmarkEnd w:id="18"/>
      <w:bookmarkEnd w:id="19"/>
    </w:p>
    <w:p w14:paraId="78278559" w14:textId="77777777" w:rsidR="007B4870" w:rsidRDefault="007B4870" w:rsidP="0044500E">
      <w:pPr>
        <w:pStyle w:val="Paragraphedeliste"/>
        <w:numPr>
          <w:ilvl w:val="0"/>
          <w:numId w:val="176"/>
        </w:numPr>
        <w:suppressAutoHyphens/>
        <w:spacing w:before="240" w:after="120" w:line="240" w:lineRule="auto"/>
        <w:jc w:val="both"/>
      </w:pPr>
      <w:r>
        <w:rPr>
          <w:rFonts w:ascii="Arial" w:hAnsi="Arial" w:cs="Arial"/>
          <w:b/>
        </w:rPr>
        <w:t>INTRODUCTION</w:t>
      </w:r>
    </w:p>
    <w:p w14:paraId="1F33AA29" w14:textId="77777777" w:rsidR="007B4870" w:rsidRDefault="007B4870" w:rsidP="007B4870">
      <w:pPr>
        <w:spacing w:before="120" w:after="120" w:line="240" w:lineRule="auto"/>
        <w:jc w:val="both"/>
        <w:rPr>
          <w:rFonts w:ascii="Arial" w:hAnsi="Arial" w:cs="Arial"/>
          <w:lang w:val="en-GB"/>
        </w:rPr>
      </w:pPr>
      <w:r w:rsidRPr="00D8301F">
        <w:rPr>
          <w:rFonts w:ascii="Arial" w:hAnsi="Arial" w:cs="Arial"/>
          <w:lang w:val="en-GB"/>
        </w:rPr>
        <w:t xml:space="preserve">Over the past three years, major events and their consequences in Madagascar, such as the COVID-19 crisis (economic recession), have wiped out previous economic growth gains in general and have led the country's population into a situation of chronic poverty. </w:t>
      </w:r>
    </w:p>
    <w:p w14:paraId="1C13A011" w14:textId="77777777" w:rsidR="009D49ED" w:rsidRPr="0034653F" w:rsidRDefault="009D49ED" w:rsidP="009D49ED">
      <w:pPr>
        <w:spacing w:before="120" w:after="120" w:line="240" w:lineRule="auto"/>
        <w:jc w:val="both"/>
        <w:rPr>
          <w:rFonts w:ascii="Arial" w:hAnsi="Arial" w:cs="Arial"/>
          <w:lang w:val="en-GB"/>
        </w:rPr>
      </w:pPr>
      <w:r w:rsidRPr="0034653F">
        <w:rPr>
          <w:rFonts w:ascii="Arial" w:hAnsi="Arial" w:cs="Arial"/>
          <w:lang w:val="en-GB"/>
        </w:rPr>
        <w:t>To stimulate and sustain economic growth and reduce poverty, Madagascar must engage in deep structural reforms based on investments in human and physical capital. Stimulating and even developing the new technologies and digital sector, on the one hand, and improving access to infrastructure, particularly energy for communities in underserved areas, especially in rural areas, on the other hand, are vectors for development and for accelerating structural transformation. This translates into improved delivery of and access to basic services (education, health), increased connectivity, creation of new jobs and promotion of the use of green energy.</w:t>
      </w:r>
    </w:p>
    <w:p w14:paraId="37F0765B" w14:textId="77777777" w:rsidR="007B4870" w:rsidRPr="00D8301F" w:rsidRDefault="007B4870" w:rsidP="007B4870">
      <w:pPr>
        <w:spacing w:before="120" w:after="120" w:line="240" w:lineRule="auto"/>
        <w:jc w:val="both"/>
        <w:rPr>
          <w:lang w:val="en-GB"/>
        </w:rPr>
      </w:pPr>
    </w:p>
    <w:p w14:paraId="1EF95428" w14:textId="77777777" w:rsidR="007B4870" w:rsidRPr="00B434A6" w:rsidRDefault="59F1A64A" w:rsidP="0044500E">
      <w:pPr>
        <w:pStyle w:val="Paragraphedeliste"/>
        <w:numPr>
          <w:ilvl w:val="0"/>
          <w:numId w:val="176"/>
        </w:numPr>
        <w:suppressAutoHyphens/>
        <w:spacing w:before="120" w:after="120" w:line="240" w:lineRule="auto"/>
        <w:jc w:val="both"/>
        <w:rPr>
          <w:rFonts w:ascii="Arial" w:hAnsi="Arial" w:cs="Arial"/>
          <w:b/>
          <w:lang w:val="en-US"/>
        </w:rPr>
      </w:pPr>
      <w:r w:rsidRPr="00B434A6">
        <w:rPr>
          <w:rFonts w:ascii="Arial" w:hAnsi="Arial" w:cs="Arial"/>
          <w:b/>
          <w:bCs/>
          <w:lang w:val="en-US"/>
        </w:rPr>
        <w:t>WORLD</w:t>
      </w:r>
      <w:r w:rsidR="302081F6" w:rsidRPr="00B434A6">
        <w:rPr>
          <w:rFonts w:ascii="Arial" w:hAnsi="Arial" w:cs="Arial"/>
          <w:b/>
          <w:bCs/>
          <w:lang w:val="en-US"/>
        </w:rPr>
        <w:t xml:space="preserve"> BANK</w:t>
      </w:r>
      <w:r w:rsidR="03EE5A3E" w:rsidRPr="00B434A6">
        <w:rPr>
          <w:rFonts w:ascii="Arial" w:hAnsi="Arial" w:cs="Arial"/>
          <w:b/>
          <w:bCs/>
          <w:lang w:val="en-US"/>
        </w:rPr>
        <w:t>’s</w:t>
      </w:r>
      <w:r w:rsidR="302081F6" w:rsidRPr="00B434A6">
        <w:rPr>
          <w:rFonts w:ascii="Arial" w:hAnsi="Arial" w:cs="Arial"/>
          <w:b/>
          <w:bCs/>
          <w:lang w:val="en-US"/>
        </w:rPr>
        <w:t xml:space="preserve"> </w:t>
      </w:r>
      <w:r w:rsidR="39DA3674" w:rsidRPr="00B434A6">
        <w:rPr>
          <w:rFonts w:ascii="Arial" w:hAnsi="Arial" w:cs="Arial"/>
          <w:b/>
          <w:bCs/>
          <w:lang w:val="en-US"/>
        </w:rPr>
        <w:t>ENVIRONMENTAL AND SOCIAL FRAMEWORK</w:t>
      </w:r>
    </w:p>
    <w:p w14:paraId="5E1E46DD" w14:textId="77777777" w:rsidR="007B4870" w:rsidRPr="00D8301F" w:rsidRDefault="007B4870" w:rsidP="007B4870">
      <w:pPr>
        <w:spacing w:line="240" w:lineRule="auto"/>
        <w:jc w:val="both"/>
        <w:rPr>
          <w:lang w:val="en-GB"/>
        </w:rPr>
      </w:pPr>
      <w:r w:rsidRPr="00D8301F">
        <w:rPr>
          <w:rFonts w:ascii="Arial" w:hAnsi="Arial" w:cs="Arial"/>
          <w:lang w:val="en-GB"/>
        </w:rPr>
        <w:t>As the project is under World Bank financing, the implementation by the Borrower must comply with specific procedures and rules. Among the procedures, there is the Environmental and Social Framework (ESF). The World Bank's Environmental and Social Framework describes the Bank's commitment to promoting sustainable development through a set of environmental and social policies and standards designed to support projects in borrowing countries with the aim of ending extreme poverty and promoting shared prosperity.</w:t>
      </w:r>
    </w:p>
    <w:p w14:paraId="4A917F4D" w14:textId="77777777" w:rsidR="007B4870" w:rsidRPr="00D8301F" w:rsidRDefault="007B4870" w:rsidP="007B4870">
      <w:pPr>
        <w:spacing w:after="0" w:line="240" w:lineRule="auto"/>
        <w:jc w:val="both"/>
        <w:rPr>
          <w:lang w:val="en-GB"/>
        </w:rPr>
      </w:pPr>
      <w:r w:rsidRPr="00D8301F">
        <w:rPr>
          <w:rFonts w:ascii="Arial" w:hAnsi="Arial" w:cs="Arial"/>
          <w:lang w:val="en-GB"/>
        </w:rPr>
        <w:t>The E</w:t>
      </w:r>
      <w:r w:rsidR="17275B02" w:rsidRPr="58F5F8BA">
        <w:rPr>
          <w:rFonts w:ascii="Arial" w:hAnsi="Arial" w:cs="Arial"/>
          <w:lang w:val="en-GB"/>
        </w:rPr>
        <w:t>SF</w:t>
      </w:r>
      <w:r w:rsidRPr="00D8301F">
        <w:rPr>
          <w:rFonts w:ascii="Arial" w:hAnsi="Arial" w:cs="Arial"/>
          <w:lang w:val="en-GB"/>
        </w:rPr>
        <w:t xml:space="preserve"> includes:</w:t>
      </w:r>
    </w:p>
    <w:p w14:paraId="4ACD7FD8" w14:textId="77777777" w:rsidR="007B4870" w:rsidRPr="00D8301F" w:rsidRDefault="007B4870" w:rsidP="007B4870">
      <w:pPr>
        <w:spacing w:after="0" w:line="240" w:lineRule="auto"/>
        <w:jc w:val="both"/>
        <w:rPr>
          <w:lang w:val="en-GB"/>
        </w:rPr>
      </w:pPr>
      <w:r w:rsidRPr="00D8301F">
        <w:rPr>
          <w:rFonts w:ascii="Arial" w:hAnsi="Arial" w:cs="Arial"/>
          <w:lang w:val="en-GB"/>
        </w:rPr>
        <w:t>- A Vision for Sustainable Development, which describes the Bank's aspirations for environmental and social sustainability;</w:t>
      </w:r>
    </w:p>
    <w:p w14:paraId="48AE5743" w14:textId="77777777" w:rsidR="007B4870" w:rsidRPr="00EC26D8" w:rsidRDefault="007B4870" w:rsidP="007B4870">
      <w:pPr>
        <w:spacing w:after="0" w:line="240" w:lineRule="auto"/>
        <w:jc w:val="both"/>
        <w:rPr>
          <w:lang w:val="en-GB"/>
        </w:rPr>
      </w:pPr>
      <w:r w:rsidRPr="00D8301F">
        <w:rPr>
          <w:rFonts w:ascii="Arial" w:hAnsi="Arial" w:cs="Arial"/>
          <w:lang w:val="en-GB"/>
        </w:rPr>
        <w:t xml:space="preserve">- The World Bank's Environmental and Social Policy for Investment Project Finance, which </w:t>
      </w:r>
      <w:r w:rsidRPr="007B4870">
        <w:rPr>
          <w:rFonts w:ascii="Arial" w:hAnsi="Arial" w:cs="Arial"/>
          <w:lang w:val="en-GB"/>
        </w:rPr>
        <w:t xml:space="preserve">sets out the Bank's requirements; </w:t>
      </w:r>
    </w:p>
    <w:p w14:paraId="63567E5A" w14:textId="77777777" w:rsidR="007B4870" w:rsidRPr="00D8301F" w:rsidRDefault="007B4870" w:rsidP="007B4870">
      <w:pPr>
        <w:spacing w:after="0" w:line="240" w:lineRule="auto"/>
        <w:jc w:val="both"/>
        <w:rPr>
          <w:lang w:val="en-GB"/>
        </w:rPr>
      </w:pPr>
      <w:r w:rsidRPr="001878DB">
        <w:rPr>
          <w:rFonts w:ascii="Arial" w:hAnsi="Arial" w:cs="Arial"/>
          <w:lang w:val="en-GB"/>
        </w:rPr>
        <w:t>- The Environmental and Social Standards and their Annexes, which set out the provisions</w:t>
      </w:r>
      <w:r w:rsidRPr="00D8301F">
        <w:rPr>
          <w:rFonts w:ascii="Arial" w:hAnsi="Arial" w:cs="Arial"/>
          <w:lang w:val="en-GB"/>
        </w:rPr>
        <w:t xml:space="preserve"> that apply to the Borrower and the projects.</w:t>
      </w:r>
    </w:p>
    <w:p w14:paraId="083A3ACF" w14:textId="77777777" w:rsidR="007B4870" w:rsidRPr="00D8301F" w:rsidRDefault="007B4870" w:rsidP="007B4870">
      <w:pPr>
        <w:spacing w:after="0" w:line="240" w:lineRule="auto"/>
        <w:jc w:val="both"/>
        <w:rPr>
          <w:lang w:val="en-GB"/>
        </w:rPr>
      </w:pPr>
      <w:r w:rsidRPr="00D8301F">
        <w:rPr>
          <w:rFonts w:ascii="Arial" w:hAnsi="Arial" w:cs="Arial"/>
          <w:lang w:val="en-GB"/>
        </w:rPr>
        <w:t>For this Project, the applicable and relevant ESS are as follows: ESS 1, ESS 2, ESS 3, ESS 4, ESS 5, ESS 6, ESS 8</w:t>
      </w:r>
      <w:r w:rsidR="1B947F62" w:rsidRPr="58F5F8BA">
        <w:rPr>
          <w:rFonts w:ascii="Arial" w:hAnsi="Arial" w:cs="Arial"/>
          <w:lang w:val="en-GB"/>
        </w:rPr>
        <w:t>, ESS</w:t>
      </w:r>
      <w:r w:rsidR="003A2C2D">
        <w:rPr>
          <w:rFonts w:ascii="Arial" w:hAnsi="Arial" w:cs="Arial"/>
          <w:lang w:val="en-GB"/>
        </w:rPr>
        <w:t xml:space="preserve"> </w:t>
      </w:r>
      <w:r w:rsidR="1B947F62" w:rsidRPr="58F5F8BA">
        <w:rPr>
          <w:rFonts w:ascii="Arial" w:hAnsi="Arial" w:cs="Arial"/>
          <w:lang w:val="en-GB"/>
        </w:rPr>
        <w:t>9</w:t>
      </w:r>
      <w:r w:rsidRPr="00D8301F">
        <w:rPr>
          <w:rFonts w:ascii="Arial" w:hAnsi="Arial" w:cs="Arial"/>
          <w:lang w:val="en-GB"/>
        </w:rPr>
        <w:t xml:space="preserve"> and ESS 10. </w:t>
      </w:r>
    </w:p>
    <w:p w14:paraId="3CEED132" w14:textId="77777777" w:rsidR="007B4870" w:rsidRDefault="007B4870" w:rsidP="007B4870">
      <w:pPr>
        <w:spacing w:line="240" w:lineRule="auto"/>
        <w:jc w:val="both"/>
        <w:rPr>
          <w:rFonts w:ascii="Arial" w:hAnsi="Arial" w:cs="Arial"/>
          <w:lang w:val="en-GB"/>
        </w:rPr>
      </w:pPr>
    </w:p>
    <w:p w14:paraId="30DC3545" w14:textId="77777777" w:rsidR="007B4870" w:rsidRDefault="007B4870" w:rsidP="0044500E">
      <w:pPr>
        <w:pStyle w:val="Paragraphedeliste"/>
        <w:numPr>
          <w:ilvl w:val="0"/>
          <w:numId w:val="176"/>
        </w:numPr>
        <w:suppressAutoHyphens/>
        <w:spacing w:before="120" w:after="120" w:line="240" w:lineRule="auto"/>
        <w:jc w:val="both"/>
      </w:pPr>
      <w:r>
        <w:rPr>
          <w:rFonts w:ascii="Arial" w:hAnsi="Arial" w:cs="Arial"/>
          <w:b/>
        </w:rPr>
        <w:t>PROJECT DESCRIPTION</w:t>
      </w:r>
    </w:p>
    <w:p w14:paraId="0AF46432" w14:textId="77777777" w:rsidR="007B4870" w:rsidRPr="00D8301F" w:rsidRDefault="007B4870" w:rsidP="007B4870">
      <w:pPr>
        <w:spacing w:line="240" w:lineRule="auto"/>
        <w:jc w:val="both"/>
        <w:rPr>
          <w:lang w:val="en-GB"/>
        </w:rPr>
      </w:pPr>
      <w:r w:rsidRPr="00D8301F">
        <w:rPr>
          <w:rFonts w:ascii="Arial" w:hAnsi="Arial" w:cs="Arial"/>
          <w:lang w:val="en-GB"/>
        </w:rPr>
        <w:t xml:space="preserve">The Digital and Energy Connectivity for inclusion in Madagascar (DECIM) project is a Government of Madagascar (GoM) project to contribute to increasing access to reliable and affordable energy and digital infrastructure, with a focus on the inclusion of underserved communities. </w:t>
      </w:r>
    </w:p>
    <w:p w14:paraId="5CB49A9E" w14:textId="77777777" w:rsidR="007B4870" w:rsidRPr="00D8301F" w:rsidRDefault="007B4870" w:rsidP="007B4870">
      <w:pPr>
        <w:spacing w:line="240" w:lineRule="auto"/>
        <w:jc w:val="both"/>
        <w:rPr>
          <w:lang w:val="en-GB"/>
        </w:rPr>
      </w:pPr>
      <w:r w:rsidRPr="00D8301F">
        <w:rPr>
          <w:rFonts w:ascii="Arial" w:hAnsi="Arial" w:cs="Arial"/>
          <w:lang w:val="en-GB"/>
        </w:rPr>
        <w:t>By its nature and scope, the Project is jointly supervised by the Ministry in charge of Energy and the Ministry in charge of Posts and Telecommunications</w:t>
      </w:r>
    </w:p>
    <w:p w14:paraId="179C920B" w14:textId="77777777" w:rsidR="007B4870" w:rsidRPr="00D8301F" w:rsidRDefault="007B4870" w:rsidP="007B4870">
      <w:pPr>
        <w:spacing w:line="240" w:lineRule="auto"/>
        <w:jc w:val="both"/>
        <w:rPr>
          <w:lang w:val="en-GB"/>
        </w:rPr>
      </w:pPr>
      <w:r w:rsidRPr="00D8301F">
        <w:rPr>
          <w:rFonts w:ascii="Arial" w:hAnsi="Arial" w:cs="Arial"/>
          <w:lang w:val="en-GB"/>
        </w:rPr>
        <w:t>The Project has four interdependent components and a contingent emergency response component.</w:t>
      </w:r>
    </w:p>
    <w:p w14:paraId="6C9B6006" w14:textId="77777777" w:rsidR="007B4870" w:rsidRPr="004F6F03" w:rsidRDefault="007B4870" w:rsidP="0044500E">
      <w:pPr>
        <w:pStyle w:val="Paragraphedeliste"/>
        <w:numPr>
          <w:ilvl w:val="0"/>
          <w:numId w:val="184"/>
        </w:numPr>
        <w:spacing w:line="240" w:lineRule="auto"/>
        <w:jc w:val="both"/>
        <w:rPr>
          <w:lang w:val="en-GB"/>
        </w:rPr>
      </w:pPr>
      <w:r w:rsidRPr="00B434A6">
        <w:rPr>
          <w:rFonts w:ascii="Arial" w:hAnsi="Arial" w:cs="Arial"/>
          <w:lang w:val="en-GB"/>
        </w:rPr>
        <w:t xml:space="preserve">Component 1: Energy and Digital Infrastructure Development </w:t>
      </w:r>
    </w:p>
    <w:p w14:paraId="1FBFB095" w14:textId="77777777" w:rsidR="007B4870" w:rsidRPr="004F6F03" w:rsidRDefault="007B4870" w:rsidP="0044500E">
      <w:pPr>
        <w:pStyle w:val="Paragraphedeliste"/>
        <w:numPr>
          <w:ilvl w:val="0"/>
          <w:numId w:val="184"/>
        </w:numPr>
        <w:spacing w:line="240" w:lineRule="auto"/>
        <w:jc w:val="both"/>
        <w:rPr>
          <w:lang w:val="en-GB"/>
        </w:rPr>
      </w:pPr>
      <w:r w:rsidRPr="00B434A6">
        <w:rPr>
          <w:rFonts w:ascii="Arial" w:hAnsi="Arial" w:cs="Arial"/>
          <w:lang w:val="en-GB"/>
        </w:rPr>
        <w:t xml:space="preserve">Component 2: Improving energy and digital inclusion </w:t>
      </w:r>
    </w:p>
    <w:p w14:paraId="17E5F4E9" w14:textId="77777777" w:rsidR="007B4870" w:rsidRPr="004F6F03" w:rsidRDefault="007B4870" w:rsidP="0044500E">
      <w:pPr>
        <w:pStyle w:val="Paragraphedeliste"/>
        <w:numPr>
          <w:ilvl w:val="0"/>
          <w:numId w:val="184"/>
        </w:numPr>
        <w:spacing w:line="240" w:lineRule="auto"/>
        <w:jc w:val="both"/>
        <w:rPr>
          <w:lang w:val="en-GB"/>
        </w:rPr>
      </w:pPr>
      <w:r w:rsidRPr="00B434A6">
        <w:rPr>
          <w:rFonts w:ascii="Arial" w:hAnsi="Arial" w:cs="Arial"/>
          <w:lang w:val="en-GB"/>
        </w:rPr>
        <w:t>Component 3: Supporting the enabling environment for green energy and digital infrastructure.</w:t>
      </w:r>
    </w:p>
    <w:p w14:paraId="6BF14BA2" w14:textId="77777777" w:rsidR="007B4870" w:rsidRPr="004F6F03" w:rsidRDefault="007B4870" w:rsidP="0044500E">
      <w:pPr>
        <w:pStyle w:val="Paragraphedeliste"/>
        <w:numPr>
          <w:ilvl w:val="0"/>
          <w:numId w:val="184"/>
        </w:numPr>
        <w:spacing w:line="240" w:lineRule="auto"/>
        <w:jc w:val="both"/>
        <w:rPr>
          <w:lang w:val="en-GB"/>
        </w:rPr>
      </w:pPr>
      <w:r w:rsidRPr="00B434A6">
        <w:rPr>
          <w:rFonts w:ascii="Arial" w:hAnsi="Arial" w:cs="Arial"/>
          <w:lang w:val="en-GB"/>
        </w:rPr>
        <w:t xml:space="preserve">Component 4: Project management and implementation support. </w:t>
      </w:r>
    </w:p>
    <w:p w14:paraId="22EF8083" w14:textId="77777777" w:rsidR="007B4870" w:rsidRPr="00B434A6" w:rsidRDefault="007B4870" w:rsidP="0044500E">
      <w:pPr>
        <w:pStyle w:val="Paragraphedeliste"/>
        <w:numPr>
          <w:ilvl w:val="0"/>
          <w:numId w:val="184"/>
        </w:numPr>
        <w:spacing w:line="240" w:lineRule="auto"/>
        <w:jc w:val="both"/>
        <w:rPr>
          <w:lang w:val="en-GB"/>
        </w:rPr>
      </w:pPr>
      <w:r w:rsidRPr="00B434A6">
        <w:rPr>
          <w:rFonts w:ascii="Arial" w:hAnsi="Arial" w:cs="Arial"/>
          <w:lang w:val="en-GB"/>
        </w:rPr>
        <w:t>Component 5: Contingent Emergency Response Component (CERC)</w:t>
      </w:r>
    </w:p>
    <w:p w14:paraId="5921E267" w14:textId="77777777" w:rsidR="004F6F03" w:rsidRPr="00B434A6" w:rsidRDefault="000A5DA6" w:rsidP="004F6F03">
      <w:pPr>
        <w:spacing w:line="240" w:lineRule="auto"/>
        <w:jc w:val="both"/>
        <w:rPr>
          <w:rFonts w:ascii="Arial" w:hAnsi="Arial" w:cs="Arial"/>
          <w:lang w:val="en-GB"/>
        </w:rPr>
      </w:pPr>
      <w:r>
        <w:rPr>
          <w:rFonts w:ascii="Arial" w:hAnsi="Arial" w:cs="Arial"/>
          <w:lang w:val="en-GB"/>
        </w:rPr>
        <w:lastRenderedPageBreak/>
        <w:t>Among</w:t>
      </w:r>
      <w:r w:rsidRPr="000A5DA6">
        <w:rPr>
          <w:rFonts w:ascii="Arial" w:hAnsi="Arial" w:cs="Arial"/>
          <w:lang w:val="en-GB"/>
        </w:rPr>
        <w:t xml:space="preserve"> these </w:t>
      </w:r>
      <w:r w:rsidR="00481CF0">
        <w:rPr>
          <w:rFonts w:ascii="Arial" w:hAnsi="Arial" w:cs="Arial"/>
          <w:lang w:val="en-GB"/>
        </w:rPr>
        <w:t>five (0</w:t>
      </w:r>
      <w:r w:rsidRPr="000A5DA6">
        <w:rPr>
          <w:rFonts w:ascii="Arial" w:hAnsi="Arial" w:cs="Arial"/>
          <w:lang w:val="en-GB"/>
        </w:rPr>
        <w:t>5</w:t>
      </w:r>
      <w:r w:rsidR="00481CF0">
        <w:rPr>
          <w:rFonts w:ascii="Arial" w:hAnsi="Arial" w:cs="Arial"/>
          <w:lang w:val="en-GB"/>
        </w:rPr>
        <w:t>)</w:t>
      </w:r>
      <w:r w:rsidRPr="000A5DA6">
        <w:rPr>
          <w:rFonts w:ascii="Arial" w:hAnsi="Arial" w:cs="Arial"/>
          <w:lang w:val="en-GB"/>
        </w:rPr>
        <w:t xml:space="preserve"> components, only activities under components 1</w:t>
      </w:r>
      <w:r w:rsidR="00524CF6">
        <w:rPr>
          <w:rFonts w:ascii="Arial" w:hAnsi="Arial" w:cs="Arial"/>
          <w:lang w:val="en-GB"/>
        </w:rPr>
        <w:t>, 2</w:t>
      </w:r>
      <w:r w:rsidRPr="000A5DA6">
        <w:rPr>
          <w:rFonts w:ascii="Arial" w:hAnsi="Arial" w:cs="Arial"/>
          <w:lang w:val="en-GB"/>
        </w:rPr>
        <w:t xml:space="preserve"> and </w:t>
      </w:r>
      <w:r w:rsidR="00524CF6">
        <w:rPr>
          <w:rFonts w:ascii="Arial" w:hAnsi="Arial" w:cs="Arial"/>
          <w:lang w:val="en-GB"/>
        </w:rPr>
        <w:t>3</w:t>
      </w:r>
      <w:r w:rsidRPr="000A5DA6">
        <w:rPr>
          <w:rFonts w:ascii="Arial" w:hAnsi="Arial" w:cs="Arial"/>
          <w:lang w:val="en-GB"/>
        </w:rPr>
        <w:t xml:space="preserve"> would be likely to have significant impacts on the environmental and social components and thus covered by this ESMF.</w:t>
      </w:r>
    </w:p>
    <w:p w14:paraId="03F767D5" w14:textId="77777777" w:rsidR="007B4870" w:rsidRDefault="007B4870" w:rsidP="0044500E">
      <w:pPr>
        <w:pStyle w:val="Paragraphedeliste"/>
        <w:numPr>
          <w:ilvl w:val="0"/>
          <w:numId w:val="176"/>
        </w:numPr>
        <w:suppressAutoHyphens/>
        <w:spacing w:before="120" w:after="120" w:line="240" w:lineRule="auto"/>
        <w:jc w:val="both"/>
      </w:pPr>
      <w:r>
        <w:rPr>
          <w:rFonts w:ascii="Arial" w:hAnsi="Arial" w:cs="Arial"/>
          <w:b/>
        </w:rPr>
        <w:t>PROJECT INTERVENTION AREAS</w:t>
      </w:r>
    </w:p>
    <w:p w14:paraId="455704C2" w14:textId="77777777" w:rsidR="007B4870" w:rsidRPr="00D8301F" w:rsidRDefault="007B4870" w:rsidP="007B4870">
      <w:pPr>
        <w:spacing w:after="120" w:line="240" w:lineRule="auto"/>
        <w:jc w:val="both"/>
        <w:rPr>
          <w:lang w:val="en-GB"/>
        </w:rPr>
      </w:pPr>
      <w:r w:rsidRPr="00D8301F">
        <w:rPr>
          <w:rFonts w:ascii="Arial" w:hAnsi="Arial" w:cs="Arial"/>
          <w:lang w:val="en-GB"/>
        </w:rPr>
        <w:t xml:space="preserve">The DECIM project adopts a national approach, i.e. all 23 regions of Madagascar are potential intervention areas for the project. In the current phase of project preparation, the priority intervention sites or at least the target regions are not yet defined. </w:t>
      </w:r>
    </w:p>
    <w:p w14:paraId="365E7107" w14:textId="77777777" w:rsidR="007B4870" w:rsidRDefault="007B4870" w:rsidP="0044500E">
      <w:pPr>
        <w:pStyle w:val="Paragraphedeliste"/>
        <w:numPr>
          <w:ilvl w:val="0"/>
          <w:numId w:val="176"/>
        </w:numPr>
        <w:suppressAutoHyphens/>
        <w:spacing w:before="120" w:after="120" w:line="240" w:lineRule="auto"/>
        <w:jc w:val="both"/>
      </w:pPr>
      <w:r>
        <w:rPr>
          <w:rFonts w:ascii="Arial" w:hAnsi="Arial" w:cs="Arial"/>
          <w:b/>
        </w:rPr>
        <w:t>TYPES OF POTENTIAL SUBPROJECT</w:t>
      </w:r>
    </w:p>
    <w:p w14:paraId="6022D842" w14:textId="77777777" w:rsidR="007B4870" w:rsidRPr="00D8301F" w:rsidRDefault="007B4870" w:rsidP="007B4870">
      <w:pPr>
        <w:spacing w:after="120" w:line="240" w:lineRule="auto"/>
        <w:jc w:val="both"/>
        <w:rPr>
          <w:lang w:val="en-GB"/>
        </w:rPr>
      </w:pPr>
      <w:r w:rsidRPr="00D8301F">
        <w:rPr>
          <w:rFonts w:ascii="Arial" w:hAnsi="Arial" w:cs="Arial"/>
          <w:lang w:val="en-GB"/>
        </w:rPr>
        <w:t xml:space="preserve">At the time of </w:t>
      </w:r>
      <w:r w:rsidR="00481CF0">
        <w:rPr>
          <w:rFonts w:ascii="Arial" w:hAnsi="Arial" w:cs="Arial"/>
          <w:lang w:val="en-GB"/>
        </w:rPr>
        <w:t xml:space="preserve">this </w:t>
      </w:r>
      <w:r w:rsidRPr="00D8301F">
        <w:rPr>
          <w:rFonts w:ascii="Arial" w:hAnsi="Arial" w:cs="Arial"/>
          <w:lang w:val="en-GB"/>
        </w:rPr>
        <w:t xml:space="preserve">writing, the project being in its preparation phase, the activities to be implemented are not yet well defined. However, types of activities can be stated by analysing the different sub-components stipulated in the various documents related to the </w:t>
      </w:r>
      <w:r w:rsidR="00481CF0">
        <w:rPr>
          <w:rFonts w:ascii="Arial" w:hAnsi="Arial" w:cs="Arial"/>
          <w:lang w:val="en-GB"/>
        </w:rPr>
        <w:t>designing</w:t>
      </w:r>
      <w:r w:rsidRPr="00D8301F">
        <w:rPr>
          <w:rFonts w:ascii="Arial" w:hAnsi="Arial" w:cs="Arial"/>
          <w:lang w:val="en-GB"/>
        </w:rPr>
        <w:t xml:space="preserve"> of the project. It should be stressed that the following activities are not exhaustive:</w:t>
      </w:r>
    </w:p>
    <w:p w14:paraId="33CF3717" w14:textId="77777777" w:rsidR="007B4870" w:rsidRPr="00D8301F" w:rsidRDefault="007B4870" w:rsidP="007B4870">
      <w:pPr>
        <w:spacing w:after="120" w:line="240" w:lineRule="auto"/>
        <w:ind w:left="708"/>
        <w:jc w:val="both"/>
        <w:rPr>
          <w:lang w:val="en-GB"/>
        </w:rPr>
      </w:pPr>
      <w:r w:rsidRPr="00D8301F">
        <w:rPr>
          <w:rFonts w:ascii="Arial" w:hAnsi="Arial" w:cs="Arial"/>
          <w:lang w:val="en-GB"/>
        </w:rPr>
        <w:t>o Hybridization of isolated networks based on thermal power plants by renewable energy with the provision of batteries;</w:t>
      </w:r>
    </w:p>
    <w:p w14:paraId="2F814267" w14:textId="77777777" w:rsidR="007B4870" w:rsidRPr="00D8301F" w:rsidRDefault="007B4870" w:rsidP="007B4870">
      <w:pPr>
        <w:spacing w:after="120" w:line="240" w:lineRule="auto"/>
        <w:ind w:left="708"/>
        <w:jc w:val="both"/>
        <w:rPr>
          <w:lang w:val="en-GB"/>
        </w:rPr>
      </w:pPr>
      <w:r w:rsidRPr="00D8301F">
        <w:rPr>
          <w:rFonts w:ascii="Arial" w:hAnsi="Arial" w:cs="Arial"/>
          <w:lang w:val="en-GB"/>
        </w:rPr>
        <w:t>o Installation of</w:t>
      </w:r>
      <w:r w:rsidR="00481CF0">
        <w:rPr>
          <w:rFonts w:ascii="Arial" w:hAnsi="Arial" w:cs="Arial"/>
          <w:lang w:val="en-GB"/>
        </w:rPr>
        <w:t xml:space="preserve"> </w:t>
      </w:r>
      <w:r w:rsidR="00481CF0" w:rsidRPr="00D8301F">
        <w:rPr>
          <w:rFonts w:ascii="Arial" w:hAnsi="Arial" w:cs="Arial"/>
          <w:lang w:val="en-GB"/>
        </w:rPr>
        <w:t>mini-grids</w:t>
      </w:r>
      <w:r w:rsidRPr="00D8301F">
        <w:rPr>
          <w:rFonts w:ascii="Arial" w:hAnsi="Arial" w:cs="Arial"/>
          <w:lang w:val="en-GB"/>
        </w:rPr>
        <w:t xml:space="preserve"> renewable energy;</w:t>
      </w:r>
    </w:p>
    <w:p w14:paraId="0CDD231E" w14:textId="77777777" w:rsidR="007B4870" w:rsidRPr="00D8301F" w:rsidRDefault="007B4870" w:rsidP="007B4870">
      <w:pPr>
        <w:spacing w:after="120" w:line="240" w:lineRule="auto"/>
        <w:ind w:left="708"/>
        <w:jc w:val="both"/>
        <w:rPr>
          <w:lang w:val="en-GB"/>
        </w:rPr>
      </w:pPr>
      <w:r w:rsidRPr="00D8301F">
        <w:rPr>
          <w:rFonts w:ascii="Arial" w:hAnsi="Arial" w:cs="Arial"/>
          <w:lang w:val="en-GB"/>
        </w:rPr>
        <w:t>o Densification and extension of existing electricity networks;</w:t>
      </w:r>
    </w:p>
    <w:p w14:paraId="1A98E422" w14:textId="77777777" w:rsidR="007B4870" w:rsidRPr="00D8301F" w:rsidRDefault="007B4870" w:rsidP="007B4870">
      <w:pPr>
        <w:spacing w:after="120" w:line="240" w:lineRule="auto"/>
        <w:ind w:left="708"/>
        <w:jc w:val="both"/>
        <w:rPr>
          <w:lang w:val="en-GB"/>
        </w:rPr>
      </w:pPr>
      <w:r w:rsidRPr="00D8301F">
        <w:rPr>
          <w:rFonts w:ascii="Arial" w:hAnsi="Arial" w:cs="Arial"/>
          <w:lang w:val="en-GB"/>
        </w:rPr>
        <w:t>o Deployment of smart technology for efficient and greener management;</w:t>
      </w:r>
    </w:p>
    <w:p w14:paraId="7674A299" w14:textId="77777777" w:rsidR="007B4870" w:rsidRPr="00D8301F" w:rsidRDefault="007B4870" w:rsidP="007B4870">
      <w:pPr>
        <w:spacing w:after="120" w:line="240" w:lineRule="auto"/>
        <w:ind w:left="708"/>
        <w:jc w:val="both"/>
        <w:rPr>
          <w:lang w:val="en-GB"/>
        </w:rPr>
      </w:pPr>
      <w:r w:rsidRPr="00D8301F">
        <w:rPr>
          <w:rFonts w:ascii="Arial" w:hAnsi="Arial" w:cs="Arial"/>
          <w:lang w:val="en-GB"/>
        </w:rPr>
        <w:t>o Installation of digital infrastructure (e.g. cell towers with broadband base stations and 4G or higher network)</w:t>
      </w:r>
    </w:p>
    <w:p w14:paraId="738EB4E6" w14:textId="77777777" w:rsidR="007B4870" w:rsidRPr="00D8301F" w:rsidRDefault="007B4870" w:rsidP="007B4870">
      <w:pPr>
        <w:spacing w:after="120" w:line="240" w:lineRule="auto"/>
        <w:ind w:left="708"/>
        <w:jc w:val="both"/>
        <w:rPr>
          <w:lang w:val="en-GB"/>
        </w:rPr>
      </w:pPr>
      <w:r w:rsidRPr="00D8301F">
        <w:rPr>
          <w:rFonts w:ascii="Arial" w:hAnsi="Arial" w:cs="Arial"/>
          <w:lang w:val="en-GB"/>
        </w:rPr>
        <w:t>o Ease of access to HRT products and digital materials and equipment (mobile phone, laptop, etc.)</w:t>
      </w:r>
    </w:p>
    <w:p w14:paraId="44BEDC5B" w14:textId="77777777" w:rsidR="007B4870" w:rsidRPr="00D8301F" w:rsidRDefault="007B4870" w:rsidP="007B4870">
      <w:pPr>
        <w:spacing w:after="120" w:line="240" w:lineRule="auto"/>
        <w:ind w:left="708"/>
        <w:jc w:val="both"/>
        <w:rPr>
          <w:lang w:val="en-GB"/>
        </w:rPr>
      </w:pPr>
      <w:r w:rsidRPr="00D8301F">
        <w:rPr>
          <w:rFonts w:ascii="Arial" w:hAnsi="Arial" w:cs="Arial"/>
          <w:lang w:val="en-GB"/>
        </w:rPr>
        <w:t>o Implementation of financing solutions to users (TSHR providers, digital services, target populations, ...) in the form of grants, FAR, credits;</w:t>
      </w:r>
    </w:p>
    <w:p w14:paraId="69187230" w14:textId="77777777" w:rsidR="007B4870" w:rsidRPr="00D8301F" w:rsidRDefault="007B4870" w:rsidP="007B4870">
      <w:pPr>
        <w:spacing w:after="120" w:line="240" w:lineRule="auto"/>
        <w:ind w:left="708"/>
        <w:jc w:val="both"/>
        <w:rPr>
          <w:lang w:val="en-GB"/>
        </w:rPr>
      </w:pPr>
      <w:r w:rsidRPr="00D8301F">
        <w:rPr>
          <w:rFonts w:ascii="Arial" w:hAnsi="Arial" w:cs="Arial"/>
          <w:lang w:val="en-GB"/>
        </w:rPr>
        <w:t>o Digital literacy;</w:t>
      </w:r>
    </w:p>
    <w:p w14:paraId="69E18130" w14:textId="77777777" w:rsidR="007B4870" w:rsidRPr="00D8301F" w:rsidRDefault="007B4870" w:rsidP="007B4870">
      <w:pPr>
        <w:spacing w:after="120" w:line="240" w:lineRule="auto"/>
        <w:ind w:left="708"/>
        <w:jc w:val="both"/>
        <w:rPr>
          <w:lang w:val="en-GB"/>
        </w:rPr>
      </w:pPr>
      <w:r w:rsidRPr="00D8301F">
        <w:rPr>
          <w:rFonts w:ascii="Arial" w:hAnsi="Arial" w:cs="Arial"/>
          <w:lang w:val="en-GB"/>
        </w:rPr>
        <w:t>o Awareness and information campaigns on digital services and the possibilities offered by renewable energy</w:t>
      </w:r>
    </w:p>
    <w:p w14:paraId="0B2601E8" w14:textId="77777777" w:rsidR="007B4870" w:rsidRPr="00D8301F" w:rsidRDefault="007B4870" w:rsidP="007B4870">
      <w:pPr>
        <w:spacing w:after="120" w:line="240" w:lineRule="auto"/>
        <w:ind w:left="708"/>
        <w:jc w:val="both"/>
        <w:rPr>
          <w:lang w:val="en-GB"/>
        </w:rPr>
      </w:pPr>
      <w:r w:rsidRPr="00D8301F">
        <w:rPr>
          <w:rFonts w:ascii="Arial" w:hAnsi="Arial" w:cs="Arial"/>
          <w:lang w:val="en-GB"/>
        </w:rPr>
        <w:t>o Installation of digital and energy connectivity to public social infrastructures (schools, health centres, post office, etc.);</w:t>
      </w:r>
    </w:p>
    <w:p w14:paraId="4C23D13C" w14:textId="77777777" w:rsidR="007B4870" w:rsidRPr="00D8301F" w:rsidRDefault="007B4870" w:rsidP="007B4870">
      <w:pPr>
        <w:spacing w:after="120" w:line="240" w:lineRule="auto"/>
        <w:ind w:left="708"/>
        <w:jc w:val="both"/>
        <w:rPr>
          <w:lang w:val="en-GB"/>
        </w:rPr>
      </w:pPr>
      <w:r w:rsidRPr="00D8301F">
        <w:rPr>
          <w:rFonts w:ascii="Arial" w:hAnsi="Arial" w:cs="Arial"/>
          <w:lang w:val="en-GB"/>
        </w:rPr>
        <w:t>o Expansion of free WIFI points initiated by the Ministry of Posts and Telecommunications.</w:t>
      </w:r>
    </w:p>
    <w:p w14:paraId="151ECE3B" w14:textId="77777777" w:rsidR="007B4870" w:rsidRPr="00D8301F" w:rsidRDefault="007B4870" w:rsidP="007B4870">
      <w:pPr>
        <w:spacing w:after="120" w:line="240" w:lineRule="auto"/>
        <w:ind w:left="708"/>
        <w:jc w:val="both"/>
        <w:rPr>
          <w:lang w:val="en-GB"/>
        </w:rPr>
      </w:pPr>
      <w:r w:rsidRPr="00D8301F">
        <w:rPr>
          <w:rFonts w:ascii="Arial" w:hAnsi="Arial" w:cs="Arial"/>
          <w:lang w:val="en-GB"/>
        </w:rPr>
        <w:t>o Provision of various technical assistance</w:t>
      </w:r>
    </w:p>
    <w:p w14:paraId="59DA6255" w14:textId="77777777" w:rsidR="007B4870" w:rsidRPr="00D8301F" w:rsidRDefault="007B4870" w:rsidP="007B4870">
      <w:pPr>
        <w:spacing w:after="120" w:line="240" w:lineRule="auto"/>
        <w:ind w:left="708"/>
        <w:jc w:val="both"/>
        <w:rPr>
          <w:lang w:val="en-GB"/>
        </w:rPr>
      </w:pPr>
      <w:r w:rsidRPr="00D8301F">
        <w:rPr>
          <w:rFonts w:ascii="Arial" w:hAnsi="Arial" w:cs="Arial"/>
          <w:lang w:val="en-GB"/>
        </w:rPr>
        <w:t xml:space="preserve">o capacity building of </w:t>
      </w:r>
      <w:r w:rsidR="00481CF0" w:rsidRPr="00D8301F">
        <w:rPr>
          <w:rFonts w:ascii="Arial" w:hAnsi="Arial" w:cs="Arial"/>
          <w:lang w:val="en-GB"/>
        </w:rPr>
        <w:t xml:space="preserve">Technical </w:t>
      </w:r>
      <w:r w:rsidRPr="00D8301F">
        <w:rPr>
          <w:rFonts w:ascii="Arial" w:hAnsi="Arial" w:cs="Arial"/>
          <w:lang w:val="en-GB"/>
        </w:rPr>
        <w:t>sectoral institutions (energy, digital);</w:t>
      </w:r>
    </w:p>
    <w:p w14:paraId="29FB39DC" w14:textId="77777777" w:rsidR="007B4870" w:rsidRPr="00D8301F" w:rsidRDefault="007B4870" w:rsidP="007B4870">
      <w:pPr>
        <w:spacing w:after="120" w:line="240" w:lineRule="auto"/>
        <w:ind w:left="708"/>
        <w:jc w:val="both"/>
        <w:rPr>
          <w:lang w:val="en-GB"/>
        </w:rPr>
      </w:pPr>
      <w:r w:rsidRPr="00D8301F">
        <w:rPr>
          <w:rFonts w:ascii="Arial" w:hAnsi="Arial" w:cs="Arial"/>
          <w:lang w:val="en-GB"/>
        </w:rPr>
        <w:t>o Strengthening the political, legal and regulatory environment in the energy and digital sectors.</w:t>
      </w:r>
    </w:p>
    <w:p w14:paraId="25E784BD" w14:textId="77777777" w:rsidR="007B4870" w:rsidRDefault="007B4870" w:rsidP="0044500E">
      <w:pPr>
        <w:pStyle w:val="Paragraphedeliste"/>
        <w:numPr>
          <w:ilvl w:val="0"/>
          <w:numId w:val="176"/>
        </w:numPr>
        <w:suppressAutoHyphens/>
        <w:spacing w:before="240" w:after="120" w:line="240" w:lineRule="auto"/>
        <w:ind w:left="714" w:hanging="357"/>
        <w:jc w:val="both"/>
      </w:pPr>
      <w:r>
        <w:rPr>
          <w:rFonts w:ascii="Arial" w:hAnsi="Arial" w:cs="Arial"/>
          <w:b/>
        </w:rPr>
        <w:t>DESCRIPTION OF THE ENVIRONMENT</w:t>
      </w:r>
    </w:p>
    <w:p w14:paraId="3DDC1C01" w14:textId="77777777" w:rsidR="007B4870" w:rsidRDefault="007B4870" w:rsidP="007B4870">
      <w:pPr>
        <w:spacing w:line="240" w:lineRule="auto"/>
        <w:ind w:left="708" w:firstLine="708"/>
        <w:jc w:val="both"/>
      </w:pPr>
      <w:r>
        <w:rPr>
          <w:rFonts w:ascii="Arial" w:hAnsi="Arial" w:cs="Arial"/>
          <w:b/>
          <w:i/>
        </w:rPr>
        <w:t>CLIMATE</w:t>
      </w:r>
    </w:p>
    <w:p w14:paraId="402B27EF" w14:textId="77777777" w:rsidR="007B4870" w:rsidRPr="00D8301F" w:rsidRDefault="007B4870" w:rsidP="007B4870">
      <w:pPr>
        <w:spacing w:line="240" w:lineRule="auto"/>
        <w:jc w:val="both"/>
        <w:rPr>
          <w:lang w:val="en-GB"/>
        </w:rPr>
      </w:pPr>
      <w:r w:rsidRPr="00D8301F">
        <w:rPr>
          <w:rFonts w:ascii="Arial" w:hAnsi="Arial" w:cs="Arial"/>
          <w:lang w:val="en-GB"/>
        </w:rPr>
        <w:t xml:space="preserve">Madagascar's climate is characterised by, among other things, the rainfall and temperature regime. The eastern part of the island is the </w:t>
      </w:r>
      <w:r w:rsidR="00EC26D8" w:rsidRPr="00D8301F">
        <w:rPr>
          <w:rFonts w:ascii="Arial" w:hAnsi="Arial" w:cs="Arial"/>
          <w:lang w:val="en-GB"/>
        </w:rPr>
        <w:t>rainiest</w:t>
      </w:r>
      <w:r w:rsidRPr="00D8301F">
        <w:rPr>
          <w:rFonts w:ascii="Arial" w:hAnsi="Arial" w:cs="Arial"/>
          <w:lang w:val="en-GB"/>
        </w:rPr>
        <w:t xml:space="preserve"> with more than 3000 mm of rain</w:t>
      </w:r>
      <w:r w:rsidR="00481CF0">
        <w:rPr>
          <w:rFonts w:ascii="Arial" w:hAnsi="Arial" w:cs="Arial"/>
          <w:lang w:val="en-GB"/>
        </w:rPr>
        <w:t>fall</w:t>
      </w:r>
      <w:r w:rsidRPr="00D8301F">
        <w:rPr>
          <w:rFonts w:ascii="Arial" w:hAnsi="Arial" w:cs="Arial"/>
          <w:lang w:val="en-GB"/>
        </w:rPr>
        <w:t xml:space="preserve"> per year, while the southwestern part is the most arid with less than 400 mm of annual rainfall. The west coast is warmer than the east coast by 1°C to 3°C. The maximum temperature is reached for most regions in January and February, but in November in the highlands and the northwest. The minimum is often observed in July</w:t>
      </w:r>
      <w:r w:rsidR="00315772">
        <w:rPr>
          <w:rFonts w:ascii="Arial" w:hAnsi="Arial" w:cs="Arial"/>
          <w:lang w:val="en-GB"/>
        </w:rPr>
        <w:t xml:space="preserve">. </w:t>
      </w:r>
      <w:r w:rsidR="00315772" w:rsidRPr="00315772">
        <w:rPr>
          <w:rFonts w:ascii="Arial" w:hAnsi="Arial" w:cs="Arial"/>
          <w:lang w:val="en-GB"/>
        </w:rPr>
        <w:t>As for sunshine, Madagascar receives about 2,800 hours per year, which makes it possible to generate solar energy of about 2,000 kWh/m²/year</w:t>
      </w:r>
    </w:p>
    <w:p w14:paraId="52A7BFEF" w14:textId="77777777" w:rsidR="007B4870" w:rsidRPr="00D8301F" w:rsidRDefault="007B4870" w:rsidP="007B4870">
      <w:pPr>
        <w:spacing w:after="120" w:line="240" w:lineRule="auto"/>
        <w:ind w:left="708" w:firstLine="708"/>
        <w:jc w:val="both"/>
        <w:rPr>
          <w:lang w:val="en-GB"/>
        </w:rPr>
      </w:pPr>
      <w:r w:rsidRPr="00D8301F">
        <w:rPr>
          <w:rFonts w:ascii="Arial" w:hAnsi="Arial" w:cs="Arial"/>
          <w:b/>
          <w:i/>
          <w:lang w:val="en-GB"/>
        </w:rPr>
        <w:lastRenderedPageBreak/>
        <w:t>TOPOGRAPHY</w:t>
      </w:r>
    </w:p>
    <w:p w14:paraId="087B11F0" w14:textId="77777777" w:rsidR="007B4870" w:rsidRPr="00D8301F" w:rsidRDefault="007B4870" w:rsidP="007B4870">
      <w:pPr>
        <w:spacing w:after="120" w:line="240" w:lineRule="auto"/>
        <w:jc w:val="both"/>
        <w:rPr>
          <w:lang w:val="en-GB"/>
        </w:rPr>
      </w:pPr>
      <w:r w:rsidRPr="00D8301F">
        <w:rPr>
          <w:rFonts w:ascii="Arial" w:hAnsi="Arial" w:cs="Arial"/>
          <w:lang w:val="en-GB"/>
        </w:rPr>
        <w:t xml:space="preserve">Madagascar is cratered by a rugged </w:t>
      </w:r>
      <w:r w:rsidR="00481CF0">
        <w:rPr>
          <w:rFonts w:ascii="Arial" w:hAnsi="Arial" w:cs="Arial"/>
          <w:lang w:val="en-GB"/>
        </w:rPr>
        <w:t>topography</w:t>
      </w:r>
      <w:r w:rsidRPr="00D8301F">
        <w:rPr>
          <w:rFonts w:ascii="Arial" w:hAnsi="Arial" w:cs="Arial"/>
          <w:lang w:val="en-GB"/>
        </w:rPr>
        <w:t xml:space="preserve"> and has very little flat surface. With a length of 1,500 km from North to South and 500 km from East to West, the island is made up of a set of highlands occupying 2/3 of the country. The highest massifs are located on a North-South axis off-centre to the East, which explains the dissymmetry between the West and the East of the island</w:t>
      </w:r>
    </w:p>
    <w:p w14:paraId="746BDD0E" w14:textId="77777777" w:rsidR="007B4870" w:rsidRPr="00D8301F" w:rsidRDefault="007B4870" w:rsidP="007B4870">
      <w:pPr>
        <w:spacing w:after="120" w:line="240" w:lineRule="auto"/>
        <w:jc w:val="both"/>
        <w:rPr>
          <w:lang w:val="en-GB"/>
        </w:rPr>
      </w:pPr>
      <w:r w:rsidRPr="00D8301F">
        <w:rPr>
          <w:rFonts w:ascii="Arial" w:hAnsi="Arial" w:cs="Arial"/>
          <w:lang w:val="en-GB"/>
        </w:rPr>
        <w:t>The Highlands present a tormented relief, corresponding to the raised Precambrian basement, faulted and subjected to erosion, rising on average between 800 m and 1,600 m of altitude; the high reliefs culminate at more than 2,500 m (Tsaratanana, Andringitra. Ankaratra).</w:t>
      </w:r>
    </w:p>
    <w:p w14:paraId="690C5D1E" w14:textId="77777777" w:rsidR="007B4870" w:rsidRPr="00D8301F" w:rsidRDefault="007B4870" w:rsidP="007B4870">
      <w:pPr>
        <w:spacing w:after="120" w:line="240" w:lineRule="auto"/>
        <w:jc w:val="both"/>
        <w:rPr>
          <w:lang w:val="en-GB"/>
        </w:rPr>
      </w:pPr>
      <w:r w:rsidRPr="00D8301F">
        <w:rPr>
          <w:rFonts w:ascii="Arial" w:hAnsi="Arial" w:cs="Arial"/>
          <w:lang w:val="en-GB"/>
        </w:rPr>
        <w:t xml:space="preserve">The Eastern slope descends by a steep escarpment (cliff) on the Indian Ocean, to the level of a narrow coastal plain, </w:t>
      </w:r>
      <w:r w:rsidR="00EC26D8" w:rsidRPr="00D8301F">
        <w:rPr>
          <w:rFonts w:ascii="Arial" w:hAnsi="Arial" w:cs="Arial"/>
          <w:lang w:val="en-GB"/>
        </w:rPr>
        <w:t>straight:</w:t>
      </w:r>
      <w:r w:rsidRPr="00D8301F">
        <w:rPr>
          <w:rFonts w:ascii="Arial" w:hAnsi="Arial" w:cs="Arial"/>
          <w:lang w:val="en-GB"/>
        </w:rPr>
        <w:t xml:space="preserve"> lined with lagoons artificially linked over a length of 600 km to form the Pangalanes canal.</w:t>
      </w:r>
    </w:p>
    <w:p w14:paraId="1A5D2BA1" w14:textId="77777777" w:rsidR="007B4870" w:rsidRPr="00D8301F" w:rsidRDefault="007B4870" w:rsidP="007B4870">
      <w:pPr>
        <w:spacing w:after="120" w:line="240" w:lineRule="auto"/>
        <w:jc w:val="both"/>
        <w:rPr>
          <w:lang w:val="en-GB"/>
        </w:rPr>
      </w:pPr>
      <w:r w:rsidRPr="00D8301F">
        <w:rPr>
          <w:rFonts w:ascii="Arial" w:hAnsi="Arial" w:cs="Arial"/>
          <w:lang w:val="en-GB"/>
        </w:rPr>
        <w:t xml:space="preserve">The western slope </w:t>
      </w:r>
      <w:r w:rsidR="00481CF0" w:rsidRPr="00D8301F">
        <w:rPr>
          <w:rFonts w:ascii="Arial" w:hAnsi="Arial" w:cs="Arial"/>
          <w:lang w:val="en-GB"/>
        </w:rPr>
        <w:t>gradients</w:t>
      </w:r>
      <w:r w:rsidRPr="00D8301F">
        <w:rPr>
          <w:rFonts w:ascii="Arial" w:hAnsi="Arial" w:cs="Arial"/>
          <w:lang w:val="en-GB"/>
        </w:rPr>
        <w:t xml:space="preserve"> down to the Mozambique Channel. The slope is characterised by the differential erosion of sedimentary rocks. The result, outside the large basins of Mahajanga and Morondava, is a landscape of sandstone or limestone cuestas. The former </w:t>
      </w:r>
      <w:r w:rsidR="00EC26D8" w:rsidRPr="00D8301F">
        <w:rPr>
          <w:rFonts w:ascii="Arial" w:hAnsi="Arial" w:cs="Arial"/>
          <w:lang w:val="en-GB"/>
        </w:rPr>
        <w:t>is</w:t>
      </w:r>
      <w:r w:rsidRPr="00D8301F">
        <w:rPr>
          <w:rFonts w:ascii="Arial" w:hAnsi="Arial" w:cs="Arial"/>
          <w:lang w:val="en-GB"/>
        </w:rPr>
        <w:t xml:space="preserve"> cut by deep canyons or fragmented into ruiniform massifs; the latter tend to develop more or less pronounced karstic facies (antsingy, caves). The coast is cut by coral banks and islands, particularly in the north-west.</w:t>
      </w:r>
    </w:p>
    <w:p w14:paraId="035F9044" w14:textId="77777777" w:rsidR="007B4870" w:rsidRPr="00D8301F" w:rsidRDefault="007B4870" w:rsidP="007B4870">
      <w:pPr>
        <w:spacing w:after="120" w:line="240" w:lineRule="auto"/>
        <w:jc w:val="both"/>
        <w:rPr>
          <w:lang w:val="en-GB"/>
        </w:rPr>
      </w:pPr>
      <w:r w:rsidRPr="00D8301F">
        <w:rPr>
          <w:rFonts w:ascii="Arial" w:hAnsi="Arial" w:cs="Arial"/>
          <w:lang w:val="en-GB"/>
        </w:rPr>
        <w:t>Finally, the southern regions take on the appearance of a peneplain, formed in the East by the volcanic massif of the Androy, and in the West by the limestone plateau of Mahafaly. In the extreme south, the coast is bordered by a large dune belt.</w:t>
      </w:r>
    </w:p>
    <w:p w14:paraId="042E2CD7" w14:textId="77777777" w:rsidR="007B4870" w:rsidRPr="00F91FA3" w:rsidRDefault="007B4870" w:rsidP="007B4870">
      <w:pPr>
        <w:spacing w:after="120" w:line="240" w:lineRule="auto"/>
        <w:ind w:left="708" w:firstLine="708"/>
        <w:jc w:val="both"/>
        <w:rPr>
          <w:lang w:val="en-GB"/>
        </w:rPr>
      </w:pPr>
      <w:r w:rsidRPr="00F91FA3">
        <w:rPr>
          <w:rFonts w:ascii="Arial" w:hAnsi="Arial" w:cs="Arial"/>
          <w:b/>
          <w:i/>
          <w:lang w:val="en-GB"/>
        </w:rPr>
        <w:t>PEDOLOGY</w:t>
      </w:r>
    </w:p>
    <w:p w14:paraId="7A7AE70E" w14:textId="77777777" w:rsidR="007B4870" w:rsidRPr="00D8301F" w:rsidRDefault="007B4870" w:rsidP="007B4870">
      <w:pPr>
        <w:spacing w:after="120" w:line="240" w:lineRule="auto"/>
        <w:jc w:val="both"/>
        <w:rPr>
          <w:lang w:val="en-GB"/>
        </w:rPr>
      </w:pPr>
      <w:r w:rsidRPr="00D8301F">
        <w:rPr>
          <w:rFonts w:ascii="Arial" w:hAnsi="Arial" w:cs="Arial"/>
          <w:lang w:val="en-GB"/>
        </w:rPr>
        <w:t xml:space="preserve">RIQUIER R. and MOUREAUX C in 1957 classified the Malagasy soil into six (06) major groups: </w:t>
      </w:r>
    </w:p>
    <w:p w14:paraId="57FEF1B4" w14:textId="77777777" w:rsidR="007B4870" w:rsidRDefault="007B4870" w:rsidP="007B4870">
      <w:pPr>
        <w:spacing w:after="120" w:line="240" w:lineRule="auto"/>
        <w:jc w:val="both"/>
      </w:pPr>
      <w:r>
        <w:rPr>
          <w:rFonts w:ascii="Arial" w:hAnsi="Arial" w:cs="Arial"/>
        </w:rPr>
        <w:t>- Ferralitic soils</w:t>
      </w:r>
    </w:p>
    <w:p w14:paraId="6A8B7CB3" w14:textId="77777777" w:rsidR="007B4870" w:rsidRDefault="007B4870" w:rsidP="007B4870">
      <w:pPr>
        <w:spacing w:after="120" w:line="240" w:lineRule="auto"/>
        <w:jc w:val="both"/>
      </w:pPr>
      <w:r>
        <w:rPr>
          <w:rFonts w:ascii="Arial" w:hAnsi="Arial" w:cs="Arial"/>
        </w:rPr>
        <w:t>- Tropical ferruginous soils ;</w:t>
      </w:r>
    </w:p>
    <w:p w14:paraId="043BD7F7" w14:textId="77777777" w:rsidR="007B4870" w:rsidRPr="00D8301F" w:rsidRDefault="007B4870" w:rsidP="007B4870">
      <w:pPr>
        <w:spacing w:after="120" w:line="240" w:lineRule="auto"/>
        <w:jc w:val="both"/>
        <w:rPr>
          <w:lang w:val="en-GB"/>
        </w:rPr>
      </w:pPr>
      <w:r w:rsidRPr="00D8301F">
        <w:rPr>
          <w:rFonts w:ascii="Arial" w:hAnsi="Arial" w:cs="Arial"/>
          <w:lang w:val="en-GB"/>
        </w:rPr>
        <w:t>- Hydromorphic soils</w:t>
      </w:r>
    </w:p>
    <w:p w14:paraId="06D8D8A7" w14:textId="77777777" w:rsidR="007B4870" w:rsidRPr="00D8301F" w:rsidRDefault="007B4870" w:rsidP="007B4870">
      <w:pPr>
        <w:spacing w:after="120" w:line="240" w:lineRule="auto"/>
        <w:jc w:val="both"/>
        <w:rPr>
          <w:lang w:val="en-GB"/>
        </w:rPr>
      </w:pPr>
      <w:r w:rsidRPr="00D8301F">
        <w:rPr>
          <w:rFonts w:ascii="Arial" w:hAnsi="Arial" w:cs="Arial"/>
          <w:lang w:val="en-GB"/>
        </w:rPr>
        <w:t>- Calcimorphic soils</w:t>
      </w:r>
    </w:p>
    <w:p w14:paraId="47FC41CE" w14:textId="77777777" w:rsidR="007B4870" w:rsidRPr="00D8301F" w:rsidRDefault="007B4870" w:rsidP="007B4870">
      <w:pPr>
        <w:spacing w:after="120" w:line="240" w:lineRule="auto"/>
        <w:jc w:val="both"/>
        <w:rPr>
          <w:lang w:val="en-GB"/>
        </w:rPr>
      </w:pPr>
      <w:r w:rsidRPr="00D8301F">
        <w:rPr>
          <w:rFonts w:ascii="Arial" w:hAnsi="Arial" w:cs="Arial"/>
          <w:lang w:val="en-GB"/>
        </w:rPr>
        <w:t>- Halomorphic soils;</w:t>
      </w:r>
    </w:p>
    <w:p w14:paraId="33754C16" w14:textId="77777777" w:rsidR="007B4870" w:rsidRPr="00D8301F" w:rsidRDefault="007B4870" w:rsidP="00F01166">
      <w:pPr>
        <w:spacing w:after="120" w:line="240" w:lineRule="auto"/>
        <w:jc w:val="both"/>
        <w:rPr>
          <w:rFonts w:ascii="Arial" w:hAnsi="Arial" w:cs="Arial"/>
          <w:b/>
          <w:i/>
          <w:lang w:val="en-GB"/>
        </w:rPr>
      </w:pPr>
      <w:r w:rsidRPr="00D8301F">
        <w:rPr>
          <w:rFonts w:ascii="Arial" w:hAnsi="Arial" w:cs="Arial"/>
          <w:lang w:val="en-GB"/>
        </w:rPr>
        <w:t>- Young, unevolved soils, lithosols and regosols</w:t>
      </w:r>
    </w:p>
    <w:p w14:paraId="35F4B013" w14:textId="77777777" w:rsidR="007B4870" w:rsidRPr="00F91FA3" w:rsidRDefault="007B4870" w:rsidP="007B4870">
      <w:pPr>
        <w:spacing w:after="120" w:line="240" w:lineRule="auto"/>
        <w:ind w:left="708" w:firstLine="708"/>
        <w:jc w:val="both"/>
        <w:rPr>
          <w:lang w:val="en-GB"/>
        </w:rPr>
      </w:pPr>
      <w:r w:rsidRPr="00F91FA3">
        <w:rPr>
          <w:rFonts w:ascii="Arial" w:hAnsi="Arial" w:cs="Arial"/>
          <w:b/>
          <w:i/>
          <w:lang w:val="en-GB"/>
        </w:rPr>
        <w:t>WATER RESOURCES</w:t>
      </w:r>
    </w:p>
    <w:p w14:paraId="071398B4" w14:textId="77777777" w:rsidR="007B4870" w:rsidRPr="00D8301F" w:rsidRDefault="007B4870" w:rsidP="007B4870">
      <w:pPr>
        <w:spacing w:after="120" w:line="240" w:lineRule="auto"/>
        <w:jc w:val="both"/>
        <w:rPr>
          <w:lang w:val="en-GB"/>
        </w:rPr>
      </w:pPr>
      <w:r w:rsidRPr="00D8301F">
        <w:rPr>
          <w:rFonts w:ascii="Arial" w:hAnsi="Arial" w:cs="Arial"/>
          <w:lang w:val="en-GB"/>
        </w:rPr>
        <w:t xml:space="preserve">Madagascar is drained by numerous rivers flowing either eastwards into the Indian Ocean or westwards into the Mozambique Channel. All have their source in the central highlands, which divide the eastern </w:t>
      </w:r>
      <w:r w:rsidR="00601782" w:rsidRPr="00D8301F">
        <w:rPr>
          <w:rFonts w:ascii="Arial" w:hAnsi="Arial" w:cs="Arial"/>
          <w:lang w:val="en-GB"/>
        </w:rPr>
        <w:t xml:space="preserve">often torrential </w:t>
      </w:r>
      <w:r w:rsidRPr="00D8301F">
        <w:rPr>
          <w:rFonts w:ascii="Arial" w:hAnsi="Arial" w:cs="Arial"/>
          <w:lang w:val="en-GB"/>
        </w:rPr>
        <w:t>flow-</w:t>
      </w:r>
      <w:r w:rsidR="00601782" w:rsidRPr="00D8301F" w:rsidDel="00601782">
        <w:rPr>
          <w:rFonts w:ascii="Arial" w:hAnsi="Arial" w:cs="Arial"/>
          <w:lang w:val="en-GB"/>
        </w:rPr>
        <w:t xml:space="preserve"> </w:t>
      </w:r>
      <w:r w:rsidRPr="00D8301F">
        <w:rPr>
          <w:rFonts w:ascii="Arial" w:hAnsi="Arial" w:cs="Arial"/>
          <w:lang w:val="en-GB"/>
        </w:rPr>
        <w:t xml:space="preserve">from the western </w:t>
      </w:r>
      <w:r w:rsidR="00601782" w:rsidRPr="00D8301F">
        <w:rPr>
          <w:rFonts w:ascii="Arial" w:hAnsi="Arial" w:cs="Arial"/>
          <w:lang w:val="en-GB"/>
        </w:rPr>
        <w:t>slow and irregular</w:t>
      </w:r>
      <w:r w:rsidR="00601782" w:rsidRPr="00D8301F" w:rsidDel="00601782">
        <w:rPr>
          <w:rFonts w:ascii="Arial" w:hAnsi="Arial" w:cs="Arial"/>
          <w:lang w:val="en-GB"/>
        </w:rPr>
        <w:t xml:space="preserve"> </w:t>
      </w:r>
      <w:r w:rsidRPr="00D8301F">
        <w:rPr>
          <w:rFonts w:ascii="Arial" w:hAnsi="Arial" w:cs="Arial"/>
          <w:lang w:val="en-GB"/>
        </w:rPr>
        <w:t>and irregular. The five main catchments are thus naturally divided and are close to the four main climatic regions of the island:</w:t>
      </w:r>
    </w:p>
    <w:p w14:paraId="15D5F607" w14:textId="77777777" w:rsidR="007B4870" w:rsidRPr="00315772" w:rsidRDefault="00315772" w:rsidP="0044500E">
      <w:pPr>
        <w:pStyle w:val="Paragraphedeliste"/>
        <w:numPr>
          <w:ilvl w:val="1"/>
          <w:numId w:val="184"/>
        </w:numPr>
        <w:spacing w:after="120" w:line="240" w:lineRule="auto"/>
        <w:jc w:val="both"/>
        <w:rPr>
          <w:lang w:val="en-GB"/>
        </w:rPr>
      </w:pPr>
      <w:r w:rsidRPr="00B434A6">
        <w:rPr>
          <w:rFonts w:ascii="Arial" w:hAnsi="Arial" w:cs="Arial"/>
          <w:lang w:val="en-GB"/>
        </w:rPr>
        <w:t>The</w:t>
      </w:r>
      <w:r w:rsidR="007B4870" w:rsidRPr="00B434A6">
        <w:rPr>
          <w:rFonts w:ascii="Arial" w:hAnsi="Arial" w:cs="Arial"/>
          <w:lang w:val="en-GB"/>
        </w:rPr>
        <w:t xml:space="preserve"> north-eastern slope and the Amber Mountain</w:t>
      </w:r>
    </w:p>
    <w:p w14:paraId="4C4C2CB4" w14:textId="77777777" w:rsidR="007B4870" w:rsidRPr="00315772" w:rsidRDefault="00315772" w:rsidP="0044500E">
      <w:pPr>
        <w:pStyle w:val="Paragraphedeliste"/>
        <w:numPr>
          <w:ilvl w:val="1"/>
          <w:numId w:val="184"/>
        </w:numPr>
        <w:spacing w:after="120" w:line="240" w:lineRule="auto"/>
        <w:jc w:val="both"/>
        <w:rPr>
          <w:lang w:val="en-GB"/>
        </w:rPr>
      </w:pPr>
      <w:r w:rsidRPr="00B434A6">
        <w:rPr>
          <w:rFonts w:ascii="Arial" w:hAnsi="Arial" w:cs="Arial"/>
          <w:lang w:val="en-GB"/>
        </w:rPr>
        <w:t>The</w:t>
      </w:r>
      <w:r w:rsidR="007B4870" w:rsidRPr="00B434A6">
        <w:rPr>
          <w:rFonts w:ascii="Arial" w:hAnsi="Arial" w:cs="Arial"/>
          <w:lang w:val="en-GB"/>
        </w:rPr>
        <w:t xml:space="preserve"> Tsaratanana slope, crossing the island from east to west, to the south of the northeast slope </w:t>
      </w:r>
    </w:p>
    <w:p w14:paraId="215BDE24" w14:textId="77777777" w:rsidR="007B4870" w:rsidRPr="00315772" w:rsidRDefault="00315772" w:rsidP="0044500E">
      <w:pPr>
        <w:pStyle w:val="Paragraphedeliste"/>
        <w:numPr>
          <w:ilvl w:val="1"/>
          <w:numId w:val="184"/>
        </w:numPr>
        <w:spacing w:after="120" w:line="240" w:lineRule="auto"/>
        <w:jc w:val="both"/>
        <w:rPr>
          <w:lang w:val="en-GB"/>
        </w:rPr>
      </w:pPr>
      <w:r w:rsidRPr="00B434A6">
        <w:rPr>
          <w:rFonts w:ascii="Arial" w:hAnsi="Arial" w:cs="Arial"/>
          <w:lang w:val="en-GB"/>
        </w:rPr>
        <w:t>The</w:t>
      </w:r>
      <w:r w:rsidR="007B4870" w:rsidRPr="00B434A6">
        <w:rPr>
          <w:rFonts w:ascii="Arial" w:hAnsi="Arial" w:cs="Arial"/>
          <w:lang w:val="en-GB"/>
        </w:rPr>
        <w:t xml:space="preserve"> eastern slope </w:t>
      </w:r>
    </w:p>
    <w:p w14:paraId="5C65E25E" w14:textId="77777777" w:rsidR="007B4870" w:rsidRPr="00315772" w:rsidRDefault="00315772" w:rsidP="0044500E">
      <w:pPr>
        <w:pStyle w:val="Paragraphedeliste"/>
        <w:numPr>
          <w:ilvl w:val="1"/>
          <w:numId w:val="184"/>
        </w:numPr>
        <w:spacing w:after="120" w:line="240" w:lineRule="auto"/>
        <w:jc w:val="both"/>
        <w:rPr>
          <w:lang w:val="en-GB"/>
        </w:rPr>
      </w:pPr>
      <w:r w:rsidRPr="00B434A6">
        <w:rPr>
          <w:rFonts w:ascii="Arial" w:hAnsi="Arial" w:cs="Arial"/>
          <w:lang w:val="en-GB"/>
        </w:rPr>
        <w:t>The</w:t>
      </w:r>
      <w:r w:rsidR="007B4870" w:rsidRPr="00B434A6">
        <w:rPr>
          <w:rFonts w:ascii="Arial" w:hAnsi="Arial" w:cs="Arial"/>
          <w:lang w:val="en-GB"/>
        </w:rPr>
        <w:t xml:space="preserve"> western slope </w:t>
      </w:r>
    </w:p>
    <w:p w14:paraId="4BAA2171" w14:textId="77777777" w:rsidR="007B4870" w:rsidRPr="00315772" w:rsidRDefault="00315772" w:rsidP="0044500E">
      <w:pPr>
        <w:pStyle w:val="Paragraphedeliste"/>
        <w:numPr>
          <w:ilvl w:val="1"/>
          <w:numId w:val="184"/>
        </w:numPr>
        <w:spacing w:after="120" w:line="240" w:lineRule="auto"/>
        <w:jc w:val="both"/>
        <w:rPr>
          <w:lang w:val="en-GB"/>
        </w:rPr>
      </w:pPr>
      <w:r w:rsidRPr="00B434A6">
        <w:rPr>
          <w:rFonts w:ascii="Arial" w:hAnsi="Arial" w:cs="Arial"/>
          <w:lang w:val="en-GB"/>
        </w:rPr>
        <w:t>The</w:t>
      </w:r>
      <w:r w:rsidR="007B4870" w:rsidRPr="00B434A6">
        <w:rPr>
          <w:rFonts w:ascii="Arial" w:hAnsi="Arial" w:cs="Arial"/>
          <w:lang w:val="en-GB"/>
        </w:rPr>
        <w:t xml:space="preserve"> southern slope</w:t>
      </w:r>
    </w:p>
    <w:p w14:paraId="58D1B81A" w14:textId="77777777" w:rsidR="007B4870" w:rsidRPr="00D8301F" w:rsidRDefault="007B4870" w:rsidP="007B4870">
      <w:pPr>
        <w:spacing w:after="120" w:line="240" w:lineRule="auto"/>
        <w:jc w:val="both"/>
        <w:rPr>
          <w:lang w:val="en-GB"/>
        </w:rPr>
      </w:pPr>
      <w:r w:rsidRPr="00D8301F">
        <w:rPr>
          <w:rFonts w:ascii="Arial" w:hAnsi="Arial" w:cs="Arial"/>
          <w:lang w:val="en-GB"/>
        </w:rPr>
        <w:t>The rivers are generally temporary in the south where the climate is drier. In general, the water regime is very much linked to rainfall. Any delay or irregularity affects the water supply.</w:t>
      </w:r>
      <w:r w:rsidR="00315772">
        <w:rPr>
          <w:rFonts w:ascii="Arial" w:hAnsi="Arial" w:cs="Arial"/>
          <w:lang w:val="en-GB"/>
        </w:rPr>
        <w:t xml:space="preserve"> </w:t>
      </w:r>
      <w:r w:rsidR="00315772" w:rsidRPr="00315772">
        <w:rPr>
          <w:rFonts w:ascii="Arial" w:hAnsi="Arial" w:cs="Arial"/>
          <w:lang w:val="en-GB"/>
        </w:rPr>
        <w:t>Therefore, Madagascar has several rivers that can supply cities and villages with electricity: Ramena, Ikopa, Mania, Onive, Betsiboka, Efaho, etc</w:t>
      </w:r>
    </w:p>
    <w:p w14:paraId="0090A54D" w14:textId="77777777" w:rsidR="007B4870" w:rsidRPr="00D8301F" w:rsidRDefault="007B4870" w:rsidP="007B4870">
      <w:pPr>
        <w:spacing w:after="120" w:line="240" w:lineRule="auto"/>
        <w:ind w:left="708" w:firstLine="708"/>
        <w:jc w:val="both"/>
        <w:rPr>
          <w:lang w:val="en-GB"/>
        </w:rPr>
      </w:pPr>
      <w:r w:rsidRPr="00D8301F">
        <w:rPr>
          <w:rFonts w:ascii="Arial" w:hAnsi="Arial" w:cs="Arial"/>
          <w:b/>
          <w:i/>
          <w:lang w:val="en-GB"/>
        </w:rPr>
        <w:lastRenderedPageBreak/>
        <w:t>VEGETATION AND HABITAT</w:t>
      </w:r>
    </w:p>
    <w:p w14:paraId="48222502" w14:textId="77777777" w:rsidR="007B4870" w:rsidRPr="00D8301F" w:rsidRDefault="007B4870" w:rsidP="007B4870">
      <w:pPr>
        <w:spacing w:before="120" w:line="240" w:lineRule="auto"/>
        <w:jc w:val="both"/>
        <w:rPr>
          <w:lang w:val="en-GB"/>
        </w:rPr>
      </w:pPr>
      <w:r w:rsidRPr="00D8301F">
        <w:rPr>
          <w:rFonts w:ascii="Arial" w:hAnsi="Arial" w:cs="Arial"/>
          <w:lang w:val="en-GB"/>
        </w:rPr>
        <w:t>There are various types of vegetation formations:</w:t>
      </w:r>
    </w:p>
    <w:p w14:paraId="60F293BE" w14:textId="77777777" w:rsidR="007B4870" w:rsidRPr="00315772" w:rsidRDefault="007B4870" w:rsidP="0044500E">
      <w:pPr>
        <w:pStyle w:val="Paragraphedeliste"/>
        <w:numPr>
          <w:ilvl w:val="1"/>
          <w:numId w:val="184"/>
        </w:numPr>
        <w:spacing w:after="0" w:line="240" w:lineRule="auto"/>
        <w:jc w:val="both"/>
        <w:rPr>
          <w:lang w:val="en-GB"/>
        </w:rPr>
      </w:pPr>
      <w:r w:rsidRPr="00B434A6">
        <w:rPr>
          <w:rFonts w:ascii="Arial" w:hAnsi="Arial" w:cs="Arial"/>
          <w:lang w:val="en-GB"/>
        </w:rPr>
        <w:t xml:space="preserve">primary forest formations, </w:t>
      </w:r>
    </w:p>
    <w:p w14:paraId="551AD968" w14:textId="77777777" w:rsidR="007B4870" w:rsidRPr="00315772" w:rsidRDefault="007B4870" w:rsidP="0044500E">
      <w:pPr>
        <w:pStyle w:val="Paragraphedeliste"/>
        <w:numPr>
          <w:ilvl w:val="1"/>
          <w:numId w:val="184"/>
        </w:numPr>
        <w:spacing w:after="0" w:line="240" w:lineRule="auto"/>
        <w:jc w:val="both"/>
        <w:rPr>
          <w:lang w:val="en-GB"/>
        </w:rPr>
      </w:pPr>
      <w:r w:rsidRPr="00B434A6">
        <w:rPr>
          <w:rFonts w:ascii="Arial" w:hAnsi="Arial" w:cs="Arial"/>
          <w:lang w:val="en-GB"/>
        </w:rPr>
        <w:t xml:space="preserve">secondary formations, </w:t>
      </w:r>
    </w:p>
    <w:p w14:paraId="02134E84" w14:textId="77777777" w:rsidR="007B4870" w:rsidRPr="00315772" w:rsidRDefault="007B4870" w:rsidP="0044500E">
      <w:pPr>
        <w:pStyle w:val="Paragraphedeliste"/>
        <w:numPr>
          <w:ilvl w:val="1"/>
          <w:numId w:val="184"/>
        </w:numPr>
        <w:spacing w:after="0" w:line="240" w:lineRule="auto"/>
        <w:jc w:val="both"/>
        <w:rPr>
          <w:lang w:val="en-GB"/>
        </w:rPr>
      </w:pPr>
      <w:r w:rsidRPr="00B434A6">
        <w:rPr>
          <w:rFonts w:ascii="Arial" w:hAnsi="Arial" w:cs="Arial"/>
          <w:lang w:val="en-GB"/>
        </w:rPr>
        <w:t xml:space="preserve">mangroves, </w:t>
      </w:r>
    </w:p>
    <w:p w14:paraId="39B7C85D" w14:textId="77777777" w:rsidR="007B4870" w:rsidRPr="00315772" w:rsidRDefault="007B4870" w:rsidP="0044500E">
      <w:pPr>
        <w:pStyle w:val="Paragraphedeliste"/>
        <w:numPr>
          <w:ilvl w:val="1"/>
          <w:numId w:val="184"/>
        </w:numPr>
        <w:spacing w:after="0" w:line="240" w:lineRule="auto"/>
        <w:jc w:val="both"/>
        <w:rPr>
          <w:lang w:val="en-GB"/>
        </w:rPr>
      </w:pPr>
      <w:r w:rsidRPr="00B434A6">
        <w:rPr>
          <w:rFonts w:ascii="Arial" w:hAnsi="Arial" w:cs="Arial"/>
          <w:lang w:val="en-GB"/>
        </w:rPr>
        <w:t>swampy formations,</w:t>
      </w:r>
    </w:p>
    <w:p w14:paraId="5A8E6A48" w14:textId="77777777" w:rsidR="007B4870" w:rsidRPr="00315772" w:rsidRDefault="007B4870" w:rsidP="0044500E">
      <w:pPr>
        <w:pStyle w:val="Paragraphedeliste"/>
        <w:numPr>
          <w:ilvl w:val="1"/>
          <w:numId w:val="184"/>
        </w:numPr>
        <w:spacing w:after="0" w:line="240" w:lineRule="auto"/>
        <w:jc w:val="both"/>
        <w:rPr>
          <w:lang w:val="en-GB"/>
        </w:rPr>
      </w:pPr>
      <w:r w:rsidRPr="00B434A6">
        <w:rPr>
          <w:rFonts w:ascii="Arial" w:hAnsi="Arial" w:cs="Arial"/>
          <w:lang w:val="en-GB"/>
        </w:rPr>
        <w:t>savannah formations,</w:t>
      </w:r>
    </w:p>
    <w:p w14:paraId="24903C7A" w14:textId="77777777" w:rsidR="007B4870" w:rsidRPr="00D8301F" w:rsidRDefault="007B4870" w:rsidP="007B4870">
      <w:pPr>
        <w:spacing w:before="120" w:line="240" w:lineRule="auto"/>
        <w:jc w:val="both"/>
        <w:rPr>
          <w:lang w:val="en-GB"/>
        </w:rPr>
      </w:pPr>
      <w:r w:rsidRPr="00D8301F">
        <w:rPr>
          <w:rFonts w:ascii="Arial" w:hAnsi="Arial" w:cs="Arial"/>
          <w:lang w:val="en-GB"/>
        </w:rPr>
        <w:t>These ecosystems are highly diversified natural habitats for living beings. They also maintain environmental services such as the water cycle, climate regulation, nutrient recycling and soil protection against erosion.</w:t>
      </w:r>
    </w:p>
    <w:p w14:paraId="4C6CD283" w14:textId="77777777" w:rsidR="007B4870" w:rsidRPr="00D8301F" w:rsidRDefault="007B4870" w:rsidP="007B4870">
      <w:pPr>
        <w:spacing w:after="120" w:line="240" w:lineRule="auto"/>
        <w:ind w:left="708" w:firstLine="708"/>
        <w:jc w:val="both"/>
        <w:rPr>
          <w:lang w:val="en-GB"/>
        </w:rPr>
      </w:pPr>
      <w:r w:rsidRPr="00D8301F">
        <w:rPr>
          <w:rFonts w:ascii="Arial" w:hAnsi="Arial" w:cs="Arial"/>
          <w:b/>
          <w:i/>
          <w:lang w:val="en-GB"/>
        </w:rPr>
        <w:t>HUMAN ENVIRONMENT</w:t>
      </w:r>
    </w:p>
    <w:p w14:paraId="05D4BC4B" w14:textId="77777777" w:rsidR="007B4870" w:rsidRPr="00D8301F" w:rsidRDefault="009D49ED" w:rsidP="007B4870">
      <w:pPr>
        <w:spacing w:line="240" w:lineRule="auto"/>
        <w:jc w:val="both"/>
        <w:rPr>
          <w:lang w:val="en-GB"/>
        </w:rPr>
      </w:pPr>
      <w:r>
        <w:rPr>
          <w:rFonts w:ascii="Arial" w:hAnsi="Arial" w:cs="Arial"/>
          <w:lang w:val="en-GB"/>
        </w:rPr>
        <w:t>t</w:t>
      </w:r>
      <w:r w:rsidR="007B4870" w:rsidRPr="00D8301F">
        <w:rPr>
          <w:rFonts w:ascii="Arial" w:hAnsi="Arial" w:cs="Arial"/>
          <w:lang w:val="en-GB"/>
        </w:rPr>
        <w:t>he analysis of the population growth shows that the number of Malagasy has tripled in 43 years</w:t>
      </w:r>
      <w:r>
        <w:rPr>
          <w:rFonts w:ascii="Arial" w:hAnsi="Arial" w:cs="Arial"/>
          <w:lang w:val="en-GB"/>
        </w:rPr>
        <w:t xml:space="preserve"> </w:t>
      </w:r>
      <w:r w:rsidRPr="006D5516">
        <w:rPr>
          <w:rFonts w:ascii="Arial" w:hAnsi="Arial" w:cs="Arial"/>
          <w:lang w:val="en-GB"/>
        </w:rPr>
        <w:t>(from 1975 to 2018)</w:t>
      </w:r>
      <w:r w:rsidR="007B4870" w:rsidRPr="00D8301F">
        <w:rPr>
          <w:rFonts w:ascii="Arial" w:hAnsi="Arial" w:cs="Arial"/>
          <w:lang w:val="en-GB"/>
        </w:rPr>
        <w:t>, with an average annual growth rate of 3%</w:t>
      </w:r>
      <w:r w:rsidR="00315772">
        <w:rPr>
          <w:rFonts w:ascii="Arial" w:hAnsi="Arial" w:cs="Arial"/>
          <w:lang w:val="en-GB"/>
        </w:rPr>
        <w:t xml:space="preserve"> according GCPH 3</w:t>
      </w:r>
      <w:r w:rsidR="007B4870" w:rsidRPr="00D8301F">
        <w:rPr>
          <w:rFonts w:ascii="Arial" w:hAnsi="Arial" w:cs="Arial"/>
          <w:lang w:val="en-GB"/>
        </w:rPr>
        <w:t xml:space="preserve">, the Malagasy population is estimated </w:t>
      </w:r>
      <w:r w:rsidR="00315772">
        <w:rPr>
          <w:rFonts w:ascii="Arial" w:hAnsi="Arial" w:cs="Arial"/>
          <w:lang w:val="en-GB"/>
        </w:rPr>
        <w:t xml:space="preserve">in 2023 </w:t>
      </w:r>
      <w:r w:rsidR="007B4870" w:rsidRPr="00D8301F">
        <w:rPr>
          <w:rFonts w:ascii="Arial" w:hAnsi="Arial" w:cs="Arial"/>
          <w:lang w:val="en-GB"/>
        </w:rPr>
        <w:t>at 28,896,533 of which 50.7% are women and 49.3% are men.</w:t>
      </w:r>
    </w:p>
    <w:p w14:paraId="4D482E69" w14:textId="77777777" w:rsidR="007B4870" w:rsidRPr="00D8301F" w:rsidRDefault="007B4870" w:rsidP="007B4870">
      <w:pPr>
        <w:spacing w:line="240" w:lineRule="auto"/>
        <w:ind w:left="1416" w:firstLine="708"/>
        <w:jc w:val="both"/>
        <w:rPr>
          <w:lang w:val="en-GB"/>
        </w:rPr>
      </w:pPr>
      <w:r w:rsidRPr="00D8301F">
        <w:rPr>
          <w:rFonts w:ascii="Arial" w:hAnsi="Arial" w:cs="Arial"/>
          <w:b/>
          <w:i/>
          <w:lang w:val="en-GB"/>
        </w:rPr>
        <w:t>Education</w:t>
      </w:r>
    </w:p>
    <w:p w14:paraId="65294F94" w14:textId="77777777" w:rsidR="007B4870" w:rsidRPr="00D8301F" w:rsidRDefault="007B4870" w:rsidP="007B4870">
      <w:pPr>
        <w:spacing w:line="240" w:lineRule="auto"/>
        <w:jc w:val="both"/>
        <w:rPr>
          <w:lang w:val="en-GB"/>
        </w:rPr>
      </w:pPr>
      <w:r w:rsidRPr="00D8301F">
        <w:rPr>
          <w:rFonts w:ascii="Arial" w:hAnsi="Arial" w:cs="Arial"/>
          <w:lang w:val="en-GB"/>
        </w:rPr>
        <w:t>In terms of educational attainment, the quality of the potentially active population is quite low in Madagascar. According to INSTAT's statistical analysis in 2021, around 70% of Malagasy did not exceed primary school level in 2018 (23% are uneducated and 47% have a primary level). This gap is more obvious between urban and rural areas. Indeed, while the proportion of individuals not exceeding primary school level is relatively low in urban areas with a rate of around 42%, in rural areas this rate is equal to 82%. According to gender, the difference in the percentage of men and women who do not go beyond primary school is not significant, with a rate of 70% and 71% respectively.</w:t>
      </w:r>
    </w:p>
    <w:p w14:paraId="7CDECE02" w14:textId="77777777" w:rsidR="007B4870" w:rsidRPr="00D8301F" w:rsidRDefault="007B4870" w:rsidP="007B4870">
      <w:pPr>
        <w:spacing w:line="240" w:lineRule="auto"/>
        <w:ind w:left="1416" w:firstLine="708"/>
        <w:jc w:val="both"/>
        <w:rPr>
          <w:lang w:val="en-GB"/>
        </w:rPr>
      </w:pPr>
      <w:r w:rsidRPr="00D8301F">
        <w:rPr>
          <w:rFonts w:ascii="Arial" w:hAnsi="Arial" w:cs="Arial"/>
          <w:b/>
          <w:i/>
          <w:lang w:val="en-GB"/>
        </w:rPr>
        <w:t>Energy</w:t>
      </w:r>
    </w:p>
    <w:p w14:paraId="0A921C7D" w14:textId="77777777" w:rsidR="007B4870" w:rsidRPr="00D8301F" w:rsidRDefault="00BE7620" w:rsidP="007B4870">
      <w:pPr>
        <w:spacing w:line="240" w:lineRule="auto"/>
        <w:jc w:val="both"/>
        <w:rPr>
          <w:lang w:val="en-GB"/>
        </w:rPr>
      </w:pPr>
      <w:r w:rsidRPr="00BE7620">
        <w:rPr>
          <w:rFonts w:ascii="Arial" w:hAnsi="Arial" w:cs="Arial"/>
          <w:lang w:val="en-GB"/>
        </w:rPr>
        <w:t xml:space="preserve">In Madagascar, the supply of electrical energy is ensured by the JIRAMA company's network, which supplies urban areas, whereas in rural areas, electricity production is ensured primarily by </w:t>
      </w:r>
      <w:r w:rsidR="003F67FD" w:rsidRPr="00BE7620">
        <w:rPr>
          <w:rFonts w:ascii="Arial" w:hAnsi="Arial" w:cs="Arial"/>
          <w:lang w:val="en-GB"/>
        </w:rPr>
        <w:t>concessionaires Electricity</w:t>
      </w:r>
      <w:r w:rsidR="007B4870" w:rsidRPr="00D8301F">
        <w:rPr>
          <w:rFonts w:ascii="Arial" w:hAnsi="Arial" w:cs="Arial"/>
          <w:lang w:val="en-GB"/>
        </w:rPr>
        <w:t xml:space="preserve"> production has been increasing steadily since 2002. However, the State has relied on generators to supply the various cities of Madagascar. According to the World Bank</w:t>
      </w:r>
      <w:r>
        <w:rPr>
          <w:rFonts w:ascii="Arial" w:hAnsi="Arial" w:cs="Arial"/>
          <w:lang w:val="en-GB"/>
        </w:rPr>
        <w:t xml:space="preserve"> in 2018</w:t>
      </w:r>
      <w:r w:rsidR="007B4870" w:rsidRPr="00D8301F">
        <w:rPr>
          <w:rFonts w:ascii="Arial" w:hAnsi="Arial" w:cs="Arial"/>
          <w:lang w:val="en-GB"/>
        </w:rPr>
        <w:t>, the country only had an installed production capacity of 570 MW, essentially thermal (60%) and hydroelectric (40%). However, due to the lack of maintenance of machines and infrastructures, only 60% of this energy is available. These difficulties in the energy sector are undermining the daily lives of the inhabitants, with rotating load shedding.</w:t>
      </w:r>
    </w:p>
    <w:p w14:paraId="225BA155" w14:textId="77777777" w:rsidR="000A5DA6" w:rsidRDefault="00BE7620" w:rsidP="007B4870">
      <w:pPr>
        <w:spacing w:line="240" w:lineRule="auto"/>
        <w:jc w:val="both"/>
        <w:rPr>
          <w:rFonts w:ascii="Arial" w:hAnsi="Arial" w:cs="Arial"/>
          <w:b/>
          <w:i/>
          <w:lang w:val="en-GB"/>
        </w:rPr>
      </w:pPr>
      <w:r w:rsidRPr="00BE7620">
        <w:rPr>
          <w:rFonts w:ascii="Arial" w:hAnsi="Arial" w:cs="Arial"/>
          <w:b/>
          <w:i/>
          <w:lang w:val="en-GB"/>
        </w:rPr>
        <w:t>Information and Communication Technology</w:t>
      </w:r>
      <w:r w:rsidRPr="00BE7620" w:rsidDel="00BE7620">
        <w:rPr>
          <w:rFonts w:ascii="Arial" w:hAnsi="Arial" w:cs="Arial"/>
          <w:b/>
          <w:i/>
          <w:lang w:val="en-GB"/>
        </w:rPr>
        <w:t xml:space="preserve"> </w:t>
      </w:r>
      <w:r>
        <w:rPr>
          <w:rFonts w:ascii="Arial" w:hAnsi="Arial" w:cs="Arial"/>
          <w:b/>
          <w:i/>
          <w:lang w:val="en-GB"/>
        </w:rPr>
        <w:t>(ICT)</w:t>
      </w:r>
    </w:p>
    <w:p w14:paraId="3048FD04" w14:textId="77777777" w:rsidR="007B4870" w:rsidRPr="00D8301F" w:rsidRDefault="007B4870" w:rsidP="007B4870">
      <w:pPr>
        <w:spacing w:line="240" w:lineRule="auto"/>
        <w:jc w:val="both"/>
        <w:rPr>
          <w:lang w:val="en-GB"/>
        </w:rPr>
      </w:pPr>
      <w:r w:rsidRPr="00D8301F">
        <w:rPr>
          <w:rFonts w:ascii="Arial" w:hAnsi="Arial" w:cs="Arial"/>
          <w:lang w:val="en-GB"/>
        </w:rPr>
        <w:t>During the last decade, the ICT sector has experienced a meteoric rise with a growth rate of 8.5% in 2013 and 4% between 2015 and 2017. According to World Bank data, more than half of Malagasy people use a mobile phone, but internet use remains precarious with only 15% of the population in 2018.</w:t>
      </w:r>
    </w:p>
    <w:p w14:paraId="7B1F52B3" w14:textId="77777777" w:rsidR="007B4870" w:rsidRDefault="007B4870" w:rsidP="0044500E">
      <w:pPr>
        <w:pStyle w:val="Paragraphedeliste"/>
        <w:numPr>
          <w:ilvl w:val="0"/>
          <w:numId w:val="176"/>
        </w:numPr>
        <w:suppressAutoHyphens/>
        <w:spacing w:before="240" w:after="120" w:line="240" w:lineRule="auto"/>
        <w:ind w:left="714" w:hanging="357"/>
        <w:jc w:val="both"/>
      </w:pPr>
      <w:r>
        <w:rPr>
          <w:rFonts w:ascii="Arial" w:hAnsi="Arial" w:cs="Arial"/>
          <w:b/>
        </w:rPr>
        <w:t>POLICY FRAMEWORK</w:t>
      </w:r>
    </w:p>
    <w:p w14:paraId="7BB48B78" w14:textId="77777777" w:rsidR="007B4870" w:rsidRPr="00D8301F" w:rsidRDefault="007B4870" w:rsidP="007B4870">
      <w:pPr>
        <w:spacing w:line="240" w:lineRule="auto"/>
        <w:jc w:val="both"/>
        <w:rPr>
          <w:lang w:val="en-GB"/>
        </w:rPr>
      </w:pPr>
      <w:r w:rsidRPr="00D8301F">
        <w:rPr>
          <w:rFonts w:ascii="Arial" w:hAnsi="Arial" w:cs="Arial"/>
          <w:lang w:val="en-GB"/>
        </w:rPr>
        <w:t xml:space="preserve">Madagascar's development is based on the implementation of the General State Policy and the Plan for Madagascar's Emergence Initiative. Both policy frameworks aim to improve the energy sector. In this regard, digital development is part of the State's priority (Priority 22: Make Madagascar a player in the digital revolution). To this end, the State aims to </w:t>
      </w:r>
    </w:p>
    <w:p w14:paraId="585770E8" w14:textId="77777777" w:rsidR="007B4870" w:rsidRPr="00D8301F" w:rsidRDefault="007B4870" w:rsidP="007B4870">
      <w:pPr>
        <w:spacing w:line="240" w:lineRule="auto"/>
        <w:jc w:val="both"/>
        <w:rPr>
          <w:lang w:val="en-GB"/>
        </w:rPr>
      </w:pPr>
      <w:r w:rsidRPr="00D8301F">
        <w:rPr>
          <w:rFonts w:ascii="Arial" w:hAnsi="Arial" w:cs="Arial"/>
          <w:lang w:val="en-GB"/>
        </w:rPr>
        <w:t>- Develop ICT access networks</w:t>
      </w:r>
    </w:p>
    <w:p w14:paraId="2D9346EE" w14:textId="77777777" w:rsidR="007B4870" w:rsidRPr="00D8301F" w:rsidRDefault="007B4870" w:rsidP="007B4870">
      <w:pPr>
        <w:spacing w:line="240" w:lineRule="auto"/>
        <w:jc w:val="both"/>
        <w:rPr>
          <w:lang w:val="en-GB"/>
        </w:rPr>
      </w:pPr>
      <w:r w:rsidRPr="00D8301F">
        <w:rPr>
          <w:rFonts w:ascii="Arial" w:hAnsi="Arial" w:cs="Arial"/>
          <w:lang w:val="en-GB"/>
        </w:rPr>
        <w:lastRenderedPageBreak/>
        <w:t>- Increase the number of users of telecommunication services through the introduction of free competition</w:t>
      </w:r>
    </w:p>
    <w:p w14:paraId="0614D95A" w14:textId="77777777" w:rsidR="007B4870" w:rsidRPr="00D8301F" w:rsidRDefault="007B4870" w:rsidP="007B4870">
      <w:pPr>
        <w:spacing w:line="240" w:lineRule="auto"/>
        <w:jc w:val="both"/>
        <w:rPr>
          <w:lang w:val="en-GB"/>
        </w:rPr>
      </w:pPr>
      <w:r w:rsidRPr="00D8301F">
        <w:rPr>
          <w:rFonts w:ascii="Arial" w:hAnsi="Arial" w:cs="Arial"/>
          <w:lang w:val="en-GB"/>
        </w:rPr>
        <w:t>- Undertake organisational and institutional reforms of the postal sector and adopt a sectoral policy</w:t>
      </w:r>
    </w:p>
    <w:p w14:paraId="68E310B5" w14:textId="77777777" w:rsidR="007B4870" w:rsidRPr="00D8301F" w:rsidRDefault="007B4870" w:rsidP="007B4870">
      <w:pPr>
        <w:spacing w:line="240" w:lineRule="auto"/>
        <w:jc w:val="both"/>
        <w:rPr>
          <w:lang w:val="en-GB"/>
        </w:rPr>
      </w:pPr>
      <w:r w:rsidRPr="00D8301F">
        <w:rPr>
          <w:rFonts w:ascii="Arial" w:hAnsi="Arial" w:cs="Arial"/>
          <w:lang w:val="en-GB"/>
        </w:rPr>
        <w:t>- Ensure the modernisation of PAOsitra Malagasy (PAOMA) by diversifying its activities and developing its network</w:t>
      </w:r>
    </w:p>
    <w:p w14:paraId="6A04E6BD" w14:textId="77777777" w:rsidR="007B4870" w:rsidRPr="00D8301F" w:rsidRDefault="007B4870" w:rsidP="007B4870">
      <w:pPr>
        <w:spacing w:line="240" w:lineRule="auto"/>
        <w:jc w:val="both"/>
        <w:rPr>
          <w:lang w:val="en-GB"/>
        </w:rPr>
      </w:pPr>
      <w:r w:rsidRPr="00D8301F">
        <w:rPr>
          <w:rFonts w:ascii="Arial" w:hAnsi="Arial" w:cs="Arial"/>
          <w:lang w:val="en-GB"/>
        </w:rPr>
        <w:t>For the energy field, priority 28 of the EMP focuses on strengthening energy production and access to energy</w:t>
      </w:r>
    </w:p>
    <w:p w14:paraId="5914CB95" w14:textId="77777777" w:rsidR="00601782" w:rsidRPr="00B05C7F" w:rsidRDefault="00601782" w:rsidP="00353921">
      <w:pPr>
        <w:pStyle w:val="Paragraphedeliste"/>
        <w:numPr>
          <w:ilvl w:val="0"/>
          <w:numId w:val="176"/>
        </w:numPr>
        <w:suppressAutoHyphens/>
        <w:spacing w:before="240" w:after="120" w:line="240" w:lineRule="auto"/>
        <w:ind w:left="714" w:hanging="357"/>
        <w:jc w:val="both"/>
        <w:rPr>
          <w:rFonts w:ascii="Arial" w:hAnsi="Arial" w:cs="Arial"/>
          <w:b/>
          <w:lang w:val="en-US"/>
        </w:rPr>
      </w:pPr>
      <w:r w:rsidRPr="00B05C7F">
        <w:rPr>
          <w:rFonts w:ascii="Arial" w:hAnsi="Arial" w:cs="Arial"/>
          <w:b/>
          <w:lang w:val="en-US"/>
        </w:rPr>
        <w:t>POSITIVES POTENTIAL IMPACTS AND ENHANCING MEASURES</w:t>
      </w:r>
    </w:p>
    <w:p w14:paraId="0DD2F4B0" w14:textId="77777777" w:rsidR="007B4870" w:rsidRDefault="007B4870" w:rsidP="007B4870">
      <w:pPr>
        <w:spacing w:line="240" w:lineRule="auto"/>
        <w:jc w:val="both"/>
        <w:rPr>
          <w:rFonts w:ascii="Arial" w:hAnsi="Arial" w:cs="Arial"/>
          <w:lang w:val="en-GB"/>
        </w:rPr>
      </w:pPr>
    </w:p>
    <w:tbl>
      <w:tblPr>
        <w:tblW w:w="9147" w:type="dxa"/>
        <w:tblInd w:w="-5" w:type="dxa"/>
        <w:tblCellMar>
          <w:left w:w="70" w:type="dxa"/>
          <w:right w:w="70" w:type="dxa"/>
        </w:tblCellMar>
        <w:tblLook w:val="0000" w:firstRow="0" w:lastRow="0" w:firstColumn="0" w:lastColumn="0" w:noHBand="0" w:noVBand="0"/>
      </w:tblPr>
      <w:tblGrid>
        <w:gridCol w:w="1273"/>
        <w:gridCol w:w="1361"/>
        <w:gridCol w:w="2595"/>
        <w:gridCol w:w="3918"/>
      </w:tblGrid>
      <w:tr w:rsidR="009D49ED" w:rsidRPr="00EE2648" w14:paraId="395F41D5" w14:textId="77777777" w:rsidTr="006E13C8">
        <w:trPr>
          <w:tblHeader/>
        </w:trPr>
        <w:tc>
          <w:tcPr>
            <w:tcW w:w="1273"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7101CA71" w14:textId="77777777" w:rsidR="009D49ED" w:rsidRPr="00EE2648"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Arial" w:hAnsi="Arial" w:cs="Arial"/>
                <w:b/>
                <w:bCs/>
                <w:sz w:val="18"/>
                <w:szCs w:val="18"/>
              </w:rPr>
            </w:pPr>
            <w:r>
              <w:rPr>
                <w:rFonts w:ascii="Arial" w:hAnsi="Arial" w:cs="Arial"/>
                <w:b/>
                <w:bCs/>
                <w:sz w:val="18"/>
                <w:szCs w:val="18"/>
              </w:rPr>
              <w:t>Environment</w:t>
            </w:r>
          </w:p>
        </w:tc>
        <w:tc>
          <w:tcPr>
            <w:tcW w:w="1361" w:type="dxa"/>
            <w:tcBorders>
              <w:top w:val="single" w:sz="4" w:space="0" w:color="000000"/>
              <w:bottom w:val="single" w:sz="4" w:space="0" w:color="000000"/>
              <w:right w:val="single" w:sz="4" w:space="0" w:color="000000"/>
            </w:tcBorders>
            <w:shd w:val="clear" w:color="auto" w:fill="8EAADB"/>
            <w:vAlign w:val="center"/>
          </w:tcPr>
          <w:p w14:paraId="6CC04E54" w14:textId="77777777" w:rsidR="009D49ED" w:rsidRPr="00EE2648"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Arial" w:hAnsi="Arial" w:cs="Arial"/>
                <w:b/>
                <w:bCs/>
                <w:sz w:val="18"/>
                <w:szCs w:val="18"/>
              </w:rPr>
            </w:pPr>
            <w:r>
              <w:rPr>
                <w:rFonts w:ascii="Arial" w:hAnsi="Arial" w:cs="Arial"/>
                <w:b/>
                <w:bCs/>
                <w:sz w:val="18"/>
                <w:szCs w:val="18"/>
              </w:rPr>
              <w:t>Affected component</w:t>
            </w:r>
          </w:p>
        </w:tc>
        <w:tc>
          <w:tcPr>
            <w:tcW w:w="2595" w:type="dxa"/>
            <w:tcBorders>
              <w:top w:val="single" w:sz="4" w:space="0" w:color="000000"/>
              <w:bottom w:val="single" w:sz="4" w:space="0" w:color="000000"/>
              <w:right w:val="single" w:sz="4" w:space="0" w:color="000000"/>
            </w:tcBorders>
            <w:shd w:val="clear" w:color="auto" w:fill="8EAADB"/>
            <w:vAlign w:val="center"/>
          </w:tcPr>
          <w:p w14:paraId="2889E155" w14:textId="77777777" w:rsidR="009D49ED" w:rsidRPr="00EE2648"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Arial" w:hAnsi="Arial" w:cs="Arial"/>
                <w:b/>
                <w:bCs/>
                <w:sz w:val="18"/>
                <w:szCs w:val="18"/>
              </w:rPr>
            </w:pPr>
            <w:r>
              <w:rPr>
                <w:rFonts w:ascii="Arial" w:hAnsi="Arial" w:cs="Arial"/>
                <w:b/>
                <w:bCs/>
                <w:sz w:val="18"/>
                <w:szCs w:val="18"/>
              </w:rPr>
              <w:t>Potential impacts</w:t>
            </w:r>
          </w:p>
        </w:tc>
        <w:tc>
          <w:tcPr>
            <w:tcW w:w="3918" w:type="dxa"/>
            <w:tcBorders>
              <w:top w:val="single" w:sz="4" w:space="0" w:color="000000"/>
              <w:bottom w:val="single" w:sz="4" w:space="0" w:color="000000"/>
              <w:right w:val="single" w:sz="4" w:space="0" w:color="000000"/>
            </w:tcBorders>
            <w:shd w:val="clear" w:color="auto" w:fill="8EAADB"/>
            <w:vAlign w:val="center"/>
          </w:tcPr>
          <w:p w14:paraId="4C96343F" w14:textId="77777777" w:rsidR="009D49ED" w:rsidRPr="00EE2648"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Arial" w:hAnsi="Arial" w:cs="Arial"/>
                <w:b/>
                <w:bCs/>
                <w:sz w:val="18"/>
                <w:szCs w:val="18"/>
              </w:rPr>
            </w:pPr>
            <w:r>
              <w:rPr>
                <w:rFonts w:ascii="Arial" w:hAnsi="Arial" w:cs="Arial"/>
                <w:b/>
                <w:bCs/>
                <w:sz w:val="18"/>
                <w:szCs w:val="18"/>
              </w:rPr>
              <w:t>Enhancing measures</w:t>
            </w:r>
          </w:p>
        </w:tc>
      </w:tr>
      <w:tr w:rsidR="009D49ED" w14:paraId="7DF90907" w14:textId="77777777" w:rsidTr="006E13C8">
        <w:tc>
          <w:tcPr>
            <w:tcW w:w="9147" w:type="dxa"/>
            <w:gridSpan w:val="4"/>
            <w:tcBorders>
              <w:top w:val="single" w:sz="4" w:space="0" w:color="000000"/>
              <w:left w:val="single" w:sz="4" w:space="0" w:color="000000"/>
              <w:bottom w:val="single" w:sz="4" w:space="0" w:color="000000"/>
              <w:right w:val="single" w:sz="4" w:space="0" w:color="000000"/>
            </w:tcBorders>
            <w:shd w:val="clear" w:color="auto" w:fill="00B0F0"/>
            <w:vAlign w:val="center"/>
          </w:tcPr>
          <w:p w14:paraId="166D6644" w14:textId="77777777" w:rsidR="009D49ED" w:rsidRDefault="009D49ED" w:rsidP="006E13C8">
            <w:pPr>
              <w:spacing w:after="0" w:line="240" w:lineRule="auto"/>
              <w:jc w:val="both"/>
            </w:pPr>
            <w:r>
              <w:rPr>
                <w:rFonts w:ascii="Arial" w:hAnsi="Arial" w:cs="Arial"/>
                <w:b/>
                <w:bCs/>
                <w:sz w:val="18"/>
                <w:szCs w:val="18"/>
              </w:rPr>
              <w:t>Construction phase</w:t>
            </w:r>
          </w:p>
        </w:tc>
      </w:tr>
      <w:tr w:rsidR="009D49ED" w:rsidRPr="00160FB0" w14:paraId="5D1403DF" w14:textId="77777777" w:rsidTr="006E13C8">
        <w:tc>
          <w:tcPr>
            <w:tcW w:w="1273" w:type="dxa"/>
            <w:tcBorders>
              <w:left w:val="single" w:sz="4" w:space="0" w:color="000000"/>
              <w:bottom w:val="single" w:sz="4" w:space="0" w:color="000000"/>
              <w:right w:val="single" w:sz="4" w:space="0" w:color="000000"/>
            </w:tcBorders>
            <w:shd w:val="clear" w:color="auto" w:fill="auto"/>
            <w:vAlign w:val="center"/>
          </w:tcPr>
          <w:p w14:paraId="55DC58F0" w14:textId="77777777" w:rsidR="009D49ED" w:rsidRDefault="009D49ED" w:rsidP="006E13C8">
            <w:pPr>
              <w:spacing w:after="0" w:line="240" w:lineRule="auto"/>
              <w:jc w:val="both"/>
            </w:pPr>
            <w:r>
              <w:rPr>
                <w:rFonts w:ascii="Arial" w:hAnsi="Arial" w:cs="Arial"/>
                <w:sz w:val="18"/>
                <w:szCs w:val="18"/>
              </w:rPr>
              <w:t>Human</w:t>
            </w:r>
          </w:p>
        </w:tc>
        <w:tc>
          <w:tcPr>
            <w:tcW w:w="1361" w:type="dxa"/>
            <w:tcBorders>
              <w:bottom w:val="single" w:sz="4" w:space="0" w:color="000000"/>
              <w:right w:val="single" w:sz="4" w:space="0" w:color="000000"/>
            </w:tcBorders>
            <w:shd w:val="clear" w:color="auto" w:fill="auto"/>
            <w:vAlign w:val="center"/>
          </w:tcPr>
          <w:p w14:paraId="014CD1B9" w14:textId="77777777" w:rsidR="009D49ED" w:rsidRDefault="009D49ED" w:rsidP="006E13C8">
            <w:pPr>
              <w:spacing w:after="0" w:line="240" w:lineRule="auto"/>
              <w:jc w:val="both"/>
            </w:pPr>
            <w:r>
              <w:rPr>
                <w:rFonts w:ascii="Arial" w:hAnsi="Arial" w:cs="Arial"/>
                <w:sz w:val="18"/>
                <w:szCs w:val="18"/>
              </w:rPr>
              <w:t>Jobs</w:t>
            </w:r>
          </w:p>
        </w:tc>
        <w:tc>
          <w:tcPr>
            <w:tcW w:w="2595" w:type="dxa"/>
            <w:tcBorders>
              <w:bottom w:val="single" w:sz="4" w:space="0" w:color="000000"/>
              <w:right w:val="single" w:sz="4" w:space="0" w:color="000000"/>
            </w:tcBorders>
            <w:shd w:val="clear" w:color="auto" w:fill="auto"/>
            <w:vAlign w:val="center"/>
          </w:tcPr>
          <w:p w14:paraId="7B165436" w14:textId="77777777" w:rsidR="009D49ED" w:rsidRPr="00D8301F" w:rsidRDefault="009D49ED" w:rsidP="006E13C8">
            <w:pPr>
              <w:spacing w:after="0" w:line="240" w:lineRule="auto"/>
              <w:jc w:val="both"/>
              <w:rPr>
                <w:lang w:val="en-GB"/>
              </w:rPr>
            </w:pPr>
            <w:r w:rsidRPr="00D8301F">
              <w:rPr>
                <w:rFonts w:ascii="Arial" w:hAnsi="Arial" w:cs="Arial"/>
                <w:sz w:val="18"/>
                <w:szCs w:val="18"/>
                <w:lang w:val="en-GB"/>
              </w:rPr>
              <w:t>Creation of jobs for the local populations</w:t>
            </w:r>
          </w:p>
        </w:tc>
        <w:tc>
          <w:tcPr>
            <w:tcW w:w="3918" w:type="dxa"/>
            <w:tcBorders>
              <w:bottom w:val="single" w:sz="4" w:space="0" w:color="000000"/>
              <w:right w:val="single" w:sz="4" w:space="0" w:color="000000"/>
            </w:tcBorders>
            <w:shd w:val="clear" w:color="auto" w:fill="auto"/>
            <w:vAlign w:val="center"/>
          </w:tcPr>
          <w:p w14:paraId="22A989B1" w14:textId="77777777" w:rsidR="009D49ED" w:rsidRPr="00D8301F" w:rsidRDefault="009D49ED" w:rsidP="006E13C8">
            <w:pPr>
              <w:spacing w:after="0" w:line="240" w:lineRule="auto"/>
              <w:jc w:val="both"/>
              <w:rPr>
                <w:lang w:val="en-GB"/>
              </w:rPr>
            </w:pPr>
            <w:r w:rsidRPr="00104DF2">
              <w:rPr>
                <w:rFonts w:ascii="Arial" w:hAnsi="Arial" w:cs="Arial"/>
                <w:sz w:val="18"/>
                <w:szCs w:val="18"/>
                <w:lang w:val="en-GB"/>
              </w:rPr>
              <w:t>Promote local recruitment and take into account the gender approach.</w:t>
            </w:r>
          </w:p>
        </w:tc>
      </w:tr>
      <w:tr w:rsidR="009D49ED" w14:paraId="71CDA2AF" w14:textId="77777777" w:rsidTr="006E13C8">
        <w:tc>
          <w:tcPr>
            <w:tcW w:w="9147" w:type="dxa"/>
            <w:gridSpan w:val="4"/>
            <w:tcBorders>
              <w:left w:val="single" w:sz="8" w:space="0" w:color="000000"/>
              <w:right w:val="single" w:sz="8" w:space="0" w:color="000000"/>
            </w:tcBorders>
            <w:shd w:val="clear" w:color="auto" w:fill="00B0F0"/>
            <w:vAlign w:val="center"/>
          </w:tcPr>
          <w:p w14:paraId="63E5612B" w14:textId="77777777" w:rsidR="009D49ED" w:rsidRDefault="009D49ED" w:rsidP="006E13C8">
            <w:pPr>
              <w:spacing w:after="0" w:line="240" w:lineRule="auto"/>
              <w:jc w:val="both"/>
            </w:pPr>
            <w:r>
              <w:rPr>
                <w:rFonts w:ascii="Arial" w:hAnsi="Arial" w:cs="Arial"/>
                <w:b/>
                <w:bCs/>
                <w:sz w:val="18"/>
                <w:szCs w:val="18"/>
              </w:rPr>
              <w:t>Exploitation phase</w:t>
            </w:r>
          </w:p>
        </w:tc>
      </w:tr>
      <w:tr w:rsidR="009D49ED" w:rsidRPr="00160FB0" w14:paraId="4923D564" w14:textId="77777777" w:rsidTr="006E13C8">
        <w:tc>
          <w:tcPr>
            <w:tcW w:w="1273" w:type="dxa"/>
            <w:vMerge w:val="restart"/>
            <w:tcBorders>
              <w:top w:val="single" w:sz="4" w:space="0" w:color="000000"/>
              <w:left w:val="single" w:sz="4" w:space="0" w:color="000000"/>
              <w:right w:val="single" w:sz="4" w:space="0" w:color="000000"/>
            </w:tcBorders>
            <w:shd w:val="clear" w:color="auto" w:fill="auto"/>
            <w:vAlign w:val="center"/>
          </w:tcPr>
          <w:p w14:paraId="78E6FB46" w14:textId="77777777" w:rsidR="009D49ED" w:rsidRDefault="009D49ED" w:rsidP="006E13C8">
            <w:pPr>
              <w:spacing w:after="0" w:line="240" w:lineRule="auto"/>
              <w:jc w:val="both"/>
            </w:pPr>
            <w:r>
              <w:rPr>
                <w:rFonts w:ascii="Arial" w:hAnsi="Arial" w:cs="Arial"/>
                <w:sz w:val="18"/>
                <w:szCs w:val="18"/>
              </w:rPr>
              <w:t>Physical</w:t>
            </w:r>
          </w:p>
        </w:tc>
        <w:tc>
          <w:tcPr>
            <w:tcW w:w="1361" w:type="dxa"/>
            <w:vMerge w:val="restart"/>
            <w:tcBorders>
              <w:top w:val="single" w:sz="4" w:space="0" w:color="000000"/>
              <w:left w:val="single" w:sz="4" w:space="0" w:color="000000"/>
              <w:right w:val="single" w:sz="4" w:space="0" w:color="000000"/>
            </w:tcBorders>
            <w:shd w:val="clear" w:color="auto" w:fill="auto"/>
            <w:vAlign w:val="center"/>
          </w:tcPr>
          <w:p w14:paraId="50429541" w14:textId="77777777" w:rsidR="009D49ED" w:rsidRDefault="009D49ED" w:rsidP="006E13C8">
            <w:pPr>
              <w:spacing w:after="0" w:line="240" w:lineRule="auto"/>
              <w:jc w:val="both"/>
            </w:pPr>
            <w:r>
              <w:rPr>
                <w:rFonts w:ascii="Arial" w:hAnsi="Arial" w:cs="Arial"/>
                <w:sz w:val="18"/>
                <w:szCs w:val="18"/>
              </w:rPr>
              <w:t>Climate / Air</w:t>
            </w:r>
          </w:p>
        </w:tc>
        <w:tc>
          <w:tcPr>
            <w:tcW w:w="2595" w:type="dxa"/>
            <w:tcBorders>
              <w:top w:val="single" w:sz="4" w:space="0" w:color="000000"/>
              <w:bottom w:val="single" w:sz="4" w:space="0" w:color="000000"/>
              <w:right w:val="single" w:sz="4" w:space="0" w:color="000000"/>
            </w:tcBorders>
            <w:shd w:val="clear" w:color="auto" w:fill="auto"/>
            <w:vAlign w:val="center"/>
          </w:tcPr>
          <w:p w14:paraId="2564BCF3" w14:textId="77777777" w:rsidR="009D49ED" w:rsidRPr="00D8301F" w:rsidRDefault="009D49ED" w:rsidP="006E13C8">
            <w:pPr>
              <w:spacing w:after="0" w:line="240" w:lineRule="auto"/>
              <w:jc w:val="both"/>
              <w:rPr>
                <w:lang w:val="en-GB"/>
              </w:rPr>
            </w:pPr>
            <w:r w:rsidRPr="00104DF2">
              <w:rPr>
                <w:rFonts w:ascii="Arial" w:hAnsi="Arial" w:cs="Arial"/>
                <w:sz w:val="18"/>
                <w:szCs w:val="18"/>
                <w:lang w:val="en-GB"/>
              </w:rPr>
              <w:t>Climate change mitigation by limiting greenhouse gas emissions from fossil fuels</w:t>
            </w:r>
          </w:p>
        </w:tc>
        <w:tc>
          <w:tcPr>
            <w:tcW w:w="3918" w:type="dxa"/>
            <w:tcBorders>
              <w:top w:val="single" w:sz="4" w:space="0" w:color="000000"/>
              <w:bottom w:val="single" w:sz="4" w:space="0" w:color="000000"/>
              <w:right w:val="single" w:sz="4" w:space="0" w:color="000000"/>
            </w:tcBorders>
            <w:shd w:val="clear" w:color="auto" w:fill="auto"/>
            <w:vAlign w:val="center"/>
          </w:tcPr>
          <w:p w14:paraId="24B1840E" w14:textId="77777777" w:rsidR="009D49ED" w:rsidRPr="00D8301F" w:rsidRDefault="009D49ED" w:rsidP="006E13C8">
            <w:pPr>
              <w:spacing w:after="0" w:line="240" w:lineRule="auto"/>
              <w:jc w:val="both"/>
              <w:rPr>
                <w:lang w:val="en-GB"/>
              </w:rPr>
            </w:pPr>
            <w:r w:rsidRPr="00104DF2">
              <w:rPr>
                <w:rFonts w:ascii="Arial" w:hAnsi="Arial" w:cs="Arial"/>
                <w:sz w:val="18"/>
                <w:szCs w:val="18"/>
                <w:lang w:val="en-GB"/>
              </w:rPr>
              <w:t>The Project could also be an educational tool by explaining the operation, the environmental protection, the fight against climate change, during the visits of school children, academics, industrialists and citizens.</w:t>
            </w:r>
          </w:p>
        </w:tc>
      </w:tr>
      <w:tr w:rsidR="009D49ED" w:rsidRPr="00160FB0" w14:paraId="54120C33" w14:textId="77777777" w:rsidTr="006E13C8">
        <w:tc>
          <w:tcPr>
            <w:tcW w:w="1273" w:type="dxa"/>
            <w:vMerge/>
            <w:tcBorders>
              <w:left w:val="single" w:sz="4" w:space="0" w:color="000000"/>
              <w:right w:val="single" w:sz="4" w:space="0" w:color="000000"/>
            </w:tcBorders>
            <w:shd w:val="clear" w:color="auto" w:fill="auto"/>
            <w:vAlign w:val="center"/>
          </w:tcPr>
          <w:p w14:paraId="7EBE4207" w14:textId="77777777" w:rsidR="009D49ED" w:rsidRPr="00D8301F" w:rsidRDefault="009D49ED" w:rsidP="006E13C8">
            <w:pPr>
              <w:spacing w:after="0" w:line="240" w:lineRule="auto"/>
              <w:jc w:val="both"/>
              <w:rPr>
                <w:rFonts w:ascii="Arial" w:hAnsi="Arial" w:cs="Arial"/>
                <w:sz w:val="18"/>
                <w:szCs w:val="18"/>
                <w:lang w:val="en-GB"/>
              </w:rPr>
            </w:pPr>
          </w:p>
        </w:tc>
        <w:tc>
          <w:tcPr>
            <w:tcW w:w="1361" w:type="dxa"/>
            <w:vMerge/>
            <w:tcBorders>
              <w:left w:val="single" w:sz="4" w:space="0" w:color="000000"/>
              <w:right w:val="single" w:sz="4" w:space="0" w:color="000000"/>
            </w:tcBorders>
            <w:shd w:val="clear" w:color="auto" w:fill="auto"/>
            <w:vAlign w:val="center"/>
          </w:tcPr>
          <w:p w14:paraId="63F80B8A" w14:textId="77777777" w:rsidR="009D49ED" w:rsidRPr="00D8301F" w:rsidRDefault="009D49ED" w:rsidP="006E13C8">
            <w:pPr>
              <w:spacing w:after="0" w:line="240" w:lineRule="auto"/>
              <w:jc w:val="both"/>
              <w:rPr>
                <w:rFonts w:ascii="Arial" w:hAnsi="Arial" w:cs="Arial"/>
                <w:sz w:val="18"/>
                <w:szCs w:val="18"/>
                <w:lang w:val="en-GB"/>
              </w:rPr>
            </w:pPr>
          </w:p>
        </w:tc>
        <w:tc>
          <w:tcPr>
            <w:tcW w:w="2595" w:type="dxa"/>
            <w:tcBorders>
              <w:bottom w:val="single" w:sz="4" w:space="0" w:color="000000"/>
              <w:right w:val="single" w:sz="4" w:space="0" w:color="000000"/>
            </w:tcBorders>
            <w:shd w:val="clear" w:color="auto" w:fill="auto"/>
            <w:vAlign w:val="center"/>
          </w:tcPr>
          <w:p w14:paraId="3DDF96DB" w14:textId="77777777" w:rsidR="009D49ED" w:rsidRPr="00D8301F" w:rsidRDefault="009D49ED" w:rsidP="006E13C8">
            <w:pPr>
              <w:spacing w:after="0" w:line="240" w:lineRule="auto"/>
              <w:jc w:val="both"/>
              <w:rPr>
                <w:lang w:val="en-GB"/>
              </w:rPr>
            </w:pPr>
            <w:r w:rsidRPr="00104DF2">
              <w:rPr>
                <w:rFonts w:ascii="Arial" w:hAnsi="Arial" w:cs="Arial"/>
                <w:sz w:val="18"/>
                <w:szCs w:val="18"/>
                <w:lang w:val="en-GB"/>
              </w:rPr>
              <w:t>Promotion of electricity generation using renewable energy</w:t>
            </w:r>
          </w:p>
        </w:tc>
        <w:tc>
          <w:tcPr>
            <w:tcW w:w="3918" w:type="dxa"/>
            <w:tcBorders>
              <w:bottom w:val="single" w:sz="4" w:space="0" w:color="000000"/>
              <w:right w:val="single" w:sz="4" w:space="0" w:color="000000"/>
            </w:tcBorders>
            <w:shd w:val="clear" w:color="auto" w:fill="auto"/>
            <w:vAlign w:val="center"/>
          </w:tcPr>
          <w:p w14:paraId="45AB34B6" w14:textId="77777777" w:rsidR="009D49ED" w:rsidRPr="00D8301F" w:rsidRDefault="009D49ED" w:rsidP="006E13C8">
            <w:pPr>
              <w:spacing w:after="0" w:line="240" w:lineRule="auto"/>
              <w:jc w:val="both"/>
              <w:rPr>
                <w:lang w:val="en-GB"/>
              </w:rPr>
            </w:pPr>
            <w:r w:rsidRPr="00104DF2">
              <w:rPr>
                <w:rFonts w:ascii="Arial" w:hAnsi="Arial" w:cs="Arial"/>
                <w:sz w:val="18"/>
                <w:szCs w:val="18"/>
                <w:lang w:val="en-GB"/>
              </w:rPr>
              <w:t>The Project can be a support for research on clean technologies, relations with biodiversity.</w:t>
            </w:r>
          </w:p>
        </w:tc>
      </w:tr>
      <w:tr w:rsidR="009D49ED" w:rsidRPr="00160FB0" w14:paraId="6E684A87" w14:textId="77777777" w:rsidTr="006E13C8">
        <w:tc>
          <w:tcPr>
            <w:tcW w:w="1273" w:type="dxa"/>
            <w:vMerge/>
            <w:tcBorders>
              <w:left w:val="single" w:sz="4" w:space="0" w:color="000000"/>
              <w:bottom w:val="single" w:sz="4" w:space="0" w:color="000000"/>
              <w:right w:val="single" w:sz="4" w:space="0" w:color="000000"/>
            </w:tcBorders>
            <w:shd w:val="clear" w:color="auto" w:fill="auto"/>
            <w:vAlign w:val="center"/>
          </w:tcPr>
          <w:p w14:paraId="536AD173" w14:textId="77777777" w:rsidR="009D49ED" w:rsidRPr="00D8301F" w:rsidRDefault="009D49ED" w:rsidP="006E13C8">
            <w:pPr>
              <w:spacing w:after="0" w:line="240" w:lineRule="auto"/>
              <w:jc w:val="both"/>
              <w:rPr>
                <w:rFonts w:ascii="Arial" w:hAnsi="Arial" w:cs="Arial"/>
                <w:sz w:val="18"/>
                <w:szCs w:val="18"/>
                <w:lang w:val="en-GB"/>
              </w:rPr>
            </w:pPr>
          </w:p>
        </w:tc>
        <w:tc>
          <w:tcPr>
            <w:tcW w:w="1361" w:type="dxa"/>
            <w:vMerge/>
            <w:tcBorders>
              <w:left w:val="single" w:sz="4" w:space="0" w:color="000000"/>
              <w:bottom w:val="single" w:sz="4" w:space="0" w:color="000000"/>
              <w:right w:val="single" w:sz="4" w:space="0" w:color="000000"/>
            </w:tcBorders>
            <w:shd w:val="clear" w:color="auto" w:fill="auto"/>
            <w:vAlign w:val="center"/>
          </w:tcPr>
          <w:p w14:paraId="43F20936" w14:textId="77777777" w:rsidR="009D49ED" w:rsidRPr="00D8301F" w:rsidRDefault="009D49ED" w:rsidP="006E13C8">
            <w:pPr>
              <w:spacing w:after="0" w:line="240" w:lineRule="auto"/>
              <w:jc w:val="both"/>
              <w:rPr>
                <w:rFonts w:ascii="Arial" w:hAnsi="Arial" w:cs="Arial"/>
                <w:sz w:val="18"/>
                <w:szCs w:val="18"/>
                <w:lang w:val="en-GB"/>
              </w:rPr>
            </w:pPr>
          </w:p>
        </w:tc>
        <w:tc>
          <w:tcPr>
            <w:tcW w:w="2595" w:type="dxa"/>
            <w:tcBorders>
              <w:bottom w:val="single" w:sz="4" w:space="0" w:color="000000"/>
              <w:right w:val="single" w:sz="4" w:space="0" w:color="000000"/>
            </w:tcBorders>
            <w:shd w:val="clear" w:color="auto" w:fill="auto"/>
            <w:vAlign w:val="center"/>
          </w:tcPr>
          <w:p w14:paraId="37582DB1" w14:textId="77777777" w:rsidR="009D49ED" w:rsidRPr="00D8301F" w:rsidRDefault="009D49ED" w:rsidP="006E13C8">
            <w:pPr>
              <w:spacing w:after="0" w:line="240" w:lineRule="auto"/>
              <w:jc w:val="both"/>
              <w:rPr>
                <w:lang w:val="en-GB"/>
              </w:rPr>
            </w:pPr>
            <w:r w:rsidRPr="00104DF2">
              <w:rPr>
                <w:rFonts w:ascii="Arial" w:hAnsi="Arial" w:cs="Arial"/>
                <w:sz w:val="18"/>
                <w:szCs w:val="18"/>
                <w:lang w:val="en-GB"/>
              </w:rPr>
              <w:t>Facilitation of remote exchanges without the need to travel</w:t>
            </w:r>
          </w:p>
        </w:tc>
        <w:tc>
          <w:tcPr>
            <w:tcW w:w="3918" w:type="dxa"/>
            <w:tcBorders>
              <w:bottom w:val="single" w:sz="4" w:space="0" w:color="000000"/>
              <w:right w:val="single" w:sz="4" w:space="0" w:color="000000"/>
            </w:tcBorders>
            <w:shd w:val="clear" w:color="auto" w:fill="auto"/>
            <w:vAlign w:val="center"/>
          </w:tcPr>
          <w:p w14:paraId="4CDDA74E" w14:textId="77777777" w:rsidR="009D49ED" w:rsidRPr="00D8301F" w:rsidRDefault="009D49ED" w:rsidP="006E13C8">
            <w:pPr>
              <w:spacing w:after="0" w:line="240" w:lineRule="auto"/>
              <w:jc w:val="both"/>
              <w:rPr>
                <w:lang w:val="en-GB"/>
              </w:rPr>
            </w:pPr>
            <w:r w:rsidRPr="00104DF2">
              <w:rPr>
                <w:rFonts w:ascii="Arial" w:hAnsi="Arial" w:cs="Arial"/>
                <w:sz w:val="18"/>
                <w:szCs w:val="18"/>
                <w:lang w:val="en-GB"/>
              </w:rPr>
              <w:t>Densification of sites served by communication networks.</w:t>
            </w:r>
          </w:p>
        </w:tc>
      </w:tr>
      <w:tr w:rsidR="009D49ED" w:rsidRPr="00160FB0" w14:paraId="499D0834" w14:textId="77777777" w:rsidTr="006E13C8">
        <w:tc>
          <w:tcPr>
            <w:tcW w:w="1273" w:type="dxa"/>
            <w:vMerge w:val="restart"/>
            <w:tcBorders>
              <w:left w:val="single" w:sz="4" w:space="0" w:color="000000"/>
              <w:right w:val="single" w:sz="4" w:space="0" w:color="000000"/>
            </w:tcBorders>
            <w:shd w:val="clear" w:color="auto" w:fill="auto"/>
            <w:vAlign w:val="center"/>
          </w:tcPr>
          <w:p w14:paraId="32000C2A" w14:textId="77777777" w:rsidR="009D49ED" w:rsidRDefault="009D49ED" w:rsidP="006E13C8">
            <w:pPr>
              <w:spacing w:after="0" w:line="240" w:lineRule="auto"/>
              <w:jc w:val="both"/>
            </w:pPr>
            <w:r>
              <w:rPr>
                <w:rFonts w:ascii="Arial" w:hAnsi="Arial" w:cs="Arial"/>
                <w:sz w:val="18"/>
                <w:szCs w:val="18"/>
              </w:rPr>
              <w:t>Human</w:t>
            </w:r>
          </w:p>
        </w:tc>
        <w:tc>
          <w:tcPr>
            <w:tcW w:w="1361" w:type="dxa"/>
            <w:tcBorders>
              <w:right w:val="single" w:sz="4" w:space="0" w:color="000000"/>
            </w:tcBorders>
            <w:shd w:val="clear" w:color="auto" w:fill="auto"/>
            <w:vAlign w:val="center"/>
          </w:tcPr>
          <w:p w14:paraId="46DF691F" w14:textId="77777777" w:rsidR="009D49ED" w:rsidRDefault="009D49ED" w:rsidP="006E13C8">
            <w:pPr>
              <w:spacing w:after="0" w:line="240" w:lineRule="auto"/>
              <w:jc w:val="both"/>
            </w:pPr>
            <w:r>
              <w:rPr>
                <w:rFonts w:ascii="Arial" w:hAnsi="Arial" w:cs="Arial"/>
                <w:sz w:val="18"/>
                <w:szCs w:val="18"/>
              </w:rPr>
              <w:t>Jobs</w:t>
            </w:r>
          </w:p>
        </w:tc>
        <w:tc>
          <w:tcPr>
            <w:tcW w:w="2595" w:type="dxa"/>
            <w:tcBorders>
              <w:bottom w:val="single" w:sz="4" w:space="0" w:color="000000"/>
              <w:right w:val="single" w:sz="4" w:space="0" w:color="000000"/>
            </w:tcBorders>
            <w:shd w:val="clear" w:color="auto" w:fill="auto"/>
            <w:vAlign w:val="center"/>
          </w:tcPr>
          <w:p w14:paraId="03D09724" w14:textId="77777777" w:rsidR="009D49ED" w:rsidRPr="00D8301F" w:rsidRDefault="009D49ED" w:rsidP="006E13C8">
            <w:pPr>
              <w:spacing w:after="0" w:line="240" w:lineRule="auto"/>
              <w:jc w:val="both"/>
              <w:rPr>
                <w:lang w:val="en-GB"/>
              </w:rPr>
            </w:pPr>
            <w:r w:rsidRPr="00104DF2">
              <w:rPr>
                <w:rFonts w:ascii="Arial" w:hAnsi="Arial" w:cs="Arial"/>
                <w:sz w:val="18"/>
                <w:szCs w:val="18"/>
                <w:lang w:val="en-GB"/>
              </w:rPr>
              <w:t>Creation of permanent jobs for local people</w:t>
            </w:r>
          </w:p>
        </w:tc>
        <w:tc>
          <w:tcPr>
            <w:tcW w:w="3918" w:type="dxa"/>
            <w:tcBorders>
              <w:bottom w:val="single" w:sz="4" w:space="0" w:color="000000"/>
              <w:right w:val="single" w:sz="4" w:space="0" w:color="000000"/>
            </w:tcBorders>
            <w:shd w:val="clear" w:color="auto" w:fill="auto"/>
            <w:vAlign w:val="center"/>
          </w:tcPr>
          <w:p w14:paraId="7443017D" w14:textId="77777777" w:rsidR="009D49ED" w:rsidRPr="00D8301F" w:rsidRDefault="009D49ED" w:rsidP="006E13C8">
            <w:pPr>
              <w:spacing w:after="0" w:line="240" w:lineRule="auto"/>
              <w:jc w:val="both"/>
              <w:rPr>
                <w:lang w:val="en-GB"/>
              </w:rPr>
            </w:pPr>
            <w:r w:rsidRPr="00104DF2">
              <w:rPr>
                <w:rFonts w:ascii="Arial" w:hAnsi="Arial" w:cs="Arial"/>
                <w:sz w:val="18"/>
                <w:szCs w:val="18"/>
                <w:lang w:val="en-GB"/>
              </w:rPr>
              <w:t>Promote local recruitment and take into account the gender approach.</w:t>
            </w:r>
          </w:p>
        </w:tc>
      </w:tr>
      <w:tr w:rsidR="009D49ED" w:rsidRPr="00160FB0" w14:paraId="0A19CDD8" w14:textId="77777777" w:rsidTr="006E13C8">
        <w:tc>
          <w:tcPr>
            <w:tcW w:w="1273" w:type="dxa"/>
            <w:vMerge/>
            <w:tcBorders>
              <w:left w:val="single" w:sz="4" w:space="0" w:color="000000"/>
              <w:right w:val="single" w:sz="4" w:space="0" w:color="000000"/>
            </w:tcBorders>
            <w:shd w:val="clear" w:color="auto" w:fill="auto"/>
            <w:vAlign w:val="center"/>
          </w:tcPr>
          <w:p w14:paraId="28508D08" w14:textId="77777777" w:rsidR="009D49ED" w:rsidRPr="00D8301F" w:rsidRDefault="009D49ED" w:rsidP="006E13C8">
            <w:pPr>
              <w:spacing w:after="0" w:line="240" w:lineRule="auto"/>
              <w:jc w:val="both"/>
              <w:rPr>
                <w:rFonts w:ascii="Arial" w:hAnsi="Arial" w:cs="Arial"/>
                <w:sz w:val="18"/>
                <w:szCs w:val="18"/>
                <w:lang w:val="en-GB"/>
              </w:rPr>
            </w:pPr>
          </w:p>
        </w:tc>
        <w:tc>
          <w:tcPr>
            <w:tcW w:w="1361" w:type="dxa"/>
            <w:vMerge w:val="restart"/>
            <w:tcBorders>
              <w:top w:val="single" w:sz="4" w:space="0" w:color="000000"/>
              <w:left w:val="single" w:sz="4" w:space="0" w:color="000000"/>
              <w:right w:val="single" w:sz="4" w:space="0" w:color="000000"/>
            </w:tcBorders>
            <w:shd w:val="clear" w:color="auto" w:fill="auto"/>
            <w:vAlign w:val="center"/>
          </w:tcPr>
          <w:p w14:paraId="353F3317" w14:textId="77777777" w:rsidR="009D49ED" w:rsidRDefault="009D49ED" w:rsidP="006E13C8">
            <w:pPr>
              <w:spacing w:after="0" w:line="240" w:lineRule="auto"/>
              <w:jc w:val="both"/>
            </w:pPr>
            <w:r>
              <w:rPr>
                <w:rFonts w:ascii="Arial" w:hAnsi="Arial" w:cs="Arial"/>
                <w:sz w:val="18"/>
                <w:szCs w:val="18"/>
              </w:rPr>
              <w:t>Socioeconomic activities</w:t>
            </w:r>
          </w:p>
        </w:tc>
        <w:tc>
          <w:tcPr>
            <w:tcW w:w="2595" w:type="dxa"/>
            <w:tcBorders>
              <w:bottom w:val="single" w:sz="4" w:space="0" w:color="000000"/>
              <w:right w:val="single" w:sz="4" w:space="0" w:color="000000"/>
            </w:tcBorders>
            <w:shd w:val="clear" w:color="auto" w:fill="auto"/>
            <w:vAlign w:val="center"/>
          </w:tcPr>
          <w:p w14:paraId="5497C243" w14:textId="77777777" w:rsidR="009D49ED" w:rsidRPr="00D8301F" w:rsidRDefault="009D49ED" w:rsidP="006E13C8">
            <w:pPr>
              <w:spacing w:after="0" w:line="240" w:lineRule="auto"/>
              <w:jc w:val="both"/>
              <w:rPr>
                <w:lang w:val="en-GB"/>
              </w:rPr>
            </w:pPr>
            <w:r w:rsidRPr="00104DF2">
              <w:rPr>
                <w:rFonts w:ascii="Arial" w:hAnsi="Arial" w:cs="Arial"/>
                <w:sz w:val="18"/>
                <w:szCs w:val="18"/>
                <w:lang w:val="en-GB"/>
              </w:rPr>
              <w:t>Increasing the electricity production and distribution capacity of JIRAMA and other electricity producers in rural areas</w:t>
            </w:r>
          </w:p>
        </w:tc>
        <w:tc>
          <w:tcPr>
            <w:tcW w:w="3918" w:type="dxa"/>
            <w:tcBorders>
              <w:bottom w:val="single" w:sz="4" w:space="0" w:color="000000"/>
              <w:right w:val="single" w:sz="4" w:space="0" w:color="000000"/>
            </w:tcBorders>
            <w:shd w:val="clear" w:color="auto" w:fill="auto"/>
            <w:vAlign w:val="center"/>
          </w:tcPr>
          <w:p w14:paraId="5D045410" w14:textId="77777777" w:rsidR="009D49ED" w:rsidRPr="00D8301F" w:rsidRDefault="009D49ED" w:rsidP="006E13C8">
            <w:pPr>
              <w:spacing w:after="0" w:line="240" w:lineRule="auto"/>
              <w:jc w:val="both"/>
              <w:rPr>
                <w:lang w:val="en-GB"/>
              </w:rPr>
            </w:pPr>
            <w:r w:rsidRPr="00D8301F">
              <w:rPr>
                <w:rFonts w:ascii="Arial" w:hAnsi="Arial" w:cs="Arial"/>
                <w:sz w:val="18"/>
                <w:szCs w:val="18"/>
                <w:lang w:val="en-GB"/>
              </w:rPr>
              <w:t xml:space="preserve"> </w:t>
            </w:r>
            <w:r w:rsidRPr="00104DF2">
              <w:rPr>
                <w:rFonts w:ascii="Arial" w:hAnsi="Arial" w:cs="Arial"/>
                <w:sz w:val="18"/>
                <w:szCs w:val="18"/>
                <w:lang w:val="en-GB"/>
              </w:rPr>
              <w:t>Supply the storage center with energy from the photovoltaic plants and not only from the thermal plant, in order to reduce the level of consumption of the thermal plant. Progressive replacement of fossil energy sources used by JIRAMA by renewable energy.</w:t>
            </w:r>
          </w:p>
        </w:tc>
      </w:tr>
      <w:tr w:rsidR="009D49ED" w:rsidRPr="00160FB0" w14:paraId="7BBA45E2" w14:textId="77777777" w:rsidTr="006E13C8">
        <w:tc>
          <w:tcPr>
            <w:tcW w:w="1273" w:type="dxa"/>
            <w:vMerge/>
            <w:tcBorders>
              <w:left w:val="single" w:sz="4" w:space="0" w:color="000000"/>
              <w:right w:val="single" w:sz="4" w:space="0" w:color="000000"/>
            </w:tcBorders>
            <w:shd w:val="clear" w:color="auto" w:fill="auto"/>
            <w:vAlign w:val="center"/>
          </w:tcPr>
          <w:p w14:paraId="1AFA9DC1" w14:textId="77777777" w:rsidR="009D49ED" w:rsidRPr="00D8301F" w:rsidRDefault="009D49ED" w:rsidP="006E13C8">
            <w:pPr>
              <w:spacing w:after="0" w:line="240" w:lineRule="auto"/>
              <w:jc w:val="both"/>
              <w:rPr>
                <w:rFonts w:ascii="Arial" w:hAnsi="Arial" w:cs="Arial"/>
                <w:sz w:val="18"/>
                <w:szCs w:val="18"/>
                <w:lang w:val="en-GB"/>
              </w:rPr>
            </w:pPr>
          </w:p>
        </w:tc>
        <w:tc>
          <w:tcPr>
            <w:tcW w:w="1361" w:type="dxa"/>
            <w:vMerge/>
            <w:tcBorders>
              <w:left w:val="single" w:sz="4" w:space="0" w:color="000000"/>
              <w:right w:val="single" w:sz="4" w:space="0" w:color="000000"/>
            </w:tcBorders>
            <w:shd w:val="clear" w:color="auto" w:fill="auto"/>
            <w:vAlign w:val="center"/>
          </w:tcPr>
          <w:p w14:paraId="1B82B721" w14:textId="77777777" w:rsidR="009D49ED" w:rsidRPr="00D8301F" w:rsidRDefault="009D49ED" w:rsidP="006E13C8">
            <w:pPr>
              <w:spacing w:after="0" w:line="240" w:lineRule="auto"/>
              <w:jc w:val="both"/>
              <w:rPr>
                <w:rFonts w:ascii="Arial" w:hAnsi="Arial" w:cs="Arial"/>
                <w:sz w:val="18"/>
                <w:szCs w:val="18"/>
                <w:lang w:val="en-GB"/>
              </w:rPr>
            </w:pPr>
          </w:p>
        </w:tc>
        <w:tc>
          <w:tcPr>
            <w:tcW w:w="2595" w:type="dxa"/>
            <w:tcBorders>
              <w:bottom w:val="single" w:sz="4" w:space="0" w:color="000000"/>
              <w:right w:val="single" w:sz="4" w:space="0" w:color="000000"/>
            </w:tcBorders>
            <w:shd w:val="clear" w:color="auto" w:fill="auto"/>
            <w:vAlign w:val="center"/>
          </w:tcPr>
          <w:p w14:paraId="00B82171" w14:textId="77777777" w:rsidR="009D49ED" w:rsidRDefault="009D49ED" w:rsidP="006E13C8">
            <w:pPr>
              <w:spacing w:after="0" w:line="240" w:lineRule="auto"/>
              <w:jc w:val="both"/>
            </w:pPr>
            <w:r w:rsidRPr="00104DF2">
              <w:rPr>
                <w:rFonts w:ascii="Arial" w:hAnsi="Arial" w:cs="Arial"/>
                <w:sz w:val="18"/>
                <w:szCs w:val="18"/>
              </w:rPr>
              <w:t>Strengthening the energy sector</w:t>
            </w:r>
          </w:p>
        </w:tc>
        <w:tc>
          <w:tcPr>
            <w:tcW w:w="3918" w:type="dxa"/>
            <w:tcBorders>
              <w:bottom w:val="single" w:sz="4" w:space="0" w:color="000000"/>
              <w:right w:val="single" w:sz="4" w:space="0" w:color="000000"/>
            </w:tcBorders>
            <w:shd w:val="clear" w:color="auto" w:fill="auto"/>
            <w:vAlign w:val="center"/>
          </w:tcPr>
          <w:p w14:paraId="32E7A539" w14:textId="77777777" w:rsidR="009D49ED" w:rsidRPr="00D8301F" w:rsidRDefault="009D49ED" w:rsidP="006E13C8">
            <w:pPr>
              <w:spacing w:after="0" w:line="240" w:lineRule="auto"/>
              <w:jc w:val="both"/>
              <w:rPr>
                <w:lang w:val="en-GB"/>
              </w:rPr>
            </w:pPr>
            <w:r>
              <w:rPr>
                <w:rFonts w:ascii="Arial" w:hAnsi="Arial" w:cs="Arial"/>
                <w:sz w:val="18"/>
                <w:szCs w:val="18"/>
                <w:lang w:val="en-GB"/>
              </w:rPr>
              <w:t>Popularization and e</w:t>
            </w:r>
            <w:r w:rsidRPr="00104DF2">
              <w:rPr>
                <w:rFonts w:ascii="Arial" w:hAnsi="Arial" w:cs="Arial"/>
                <w:sz w:val="18"/>
                <w:szCs w:val="18"/>
                <w:lang w:val="en-GB"/>
              </w:rPr>
              <w:t>xtension of the use of renewable energy resources.</w:t>
            </w:r>
          </w:p>
        </w:tc>
      </w:tr>
      <w:tr w:rsidR="009D49ED" w:rsidRPr="00160FB0" w14:paraId="13BEF39E" w14:textId="77777777" w:rsidTr="006E13C8">
        <w:tc>
          <w:tcPr>
            <w:tcW w:w="1273" w:type="dxa"/>
            <w:vMerge/>
            <w:tcBorders>
              <w:left w:val="single" w:sz="4" w:space="0" w:color="000000"/>
              <w:right w:val="single" w:sz="4" w:space="0" w:color="000000"/>
            </w:tcBorders>
            <w:shd w:val="clear" w:color="auto" w:fill="auto"/>
            <w:vAlign w:val="center"/>
          </w:tcPr>
          <w:p w14:paraId="3417F410" w14:textId="77777777" w:rsidR="009D49ED" w:rsidRPr="00D8301F" w:rsidRDefault="009D49ED" w:rsidP="006E13C8">
            <w:pPr>
              <w:spacing w:after="0" w:line="240" w:lineRule="auto"/>
              <w:jc w:val="both"/>
              <w:rPr>
                <w:rFonts w:ascii="Arial" w:hAnsi="Arial" w:cs="Arial"/>
                <w:sz w:val="18"/>
                <w:szCs w:val="18"/>
                <w:lang w:val="en-GB"/>
              </w:rPr>
            </w:pPr>
          </w:p>
        </w:tc>
        <w:tc>
          <w:tcPr>
            <w:tcW w:w="1361" w:type="dxa"/>
            <w:vMerge/>
            <w:tcBorders>
              <w:left w:val="single" w:sz="4" w:space="0" w:color="000000"/>
              <w:right w:val="single" w:sz="4" w:space="0" w:color="000000"/>
            </w:tcBorders>
            <w:shd w:val="clear" w:color="auto" w:fill="auto"/>
            <w:vAlign w:val="center"/>
          </w:tcPr>
          <w:p w14:paraId="15FADCE9" w14:textId="77777777" w:rsidR="009D49ED" w:rsidRPr="00D8301F" w:rsidRDefault="009D49ED" w:rsidP="006E13C8">
            <w:pPr>
              <w:spacing w:after="0" w:line="240" w:lineRule="auto"/>
              <w:jc w:val="both"/>
              <w:rPr>
                <w:rFonts w:ascii="Arial" w:hAnsi="Arial" w:cs="Arial"/>
                <w:sz w:val="18"/>
                <w:szCs w:val="18"/>
                <w:lang w:val="en-GB"/>
              </w:rPr>
            </w:pPr>
          </w:p>
        </w:tc>
        <w:tc>
          <w:tcPr>
            <w:tcW w:w="2595" w:type="dxa"/>
            <w:tcBorders>
              <w:bottom w:val="single" w:sz="4" w:space="0" w:color="000000"/>
              <w:right w:val="single" w:sz="4" w:space="0" w:color="000000"/>
            </w:tcBorders>
            <w:shd w:val="clear" w:color="auto" w:fill="auto"/>
            <w:vAlign w:val="center"/>
          </w:tcPr>
          <w:p w14:paraId="53F99AFA" w14:textId="77777777" w:rsidR="009D49ED" w:rsidRPr="00D8301F" w:rsidRDefault="009D49ED" w:rsidP="006E13C8">
            <w:pPr>
              <w:spacing w:after="0" w:line="240" w:lineRule="auto"/>
              <w:jc w:val="both"/>
              <w:rPr>
                <w:lang w:val="en-GB"/>
              </w:rPr>
            </w:pPr>
            <w:r w:rsidRPr="000C364A">
              <w:rPr>
                <w:rFonts w:ascii="Arial" w:hAnsi="Arial" w:cs="Arial"/>
                <w:sz w:val="18"/>
                <w:szCs w:val="18"/>
                <w:lang w:val="en-GB"/>
              </w:rPr>
              <w:t>Reduction of the duration of load shedding in the cities supplied by JIRAMA</w:t>
            </w:r>
          </w:p>
        </w:tc>
        <w:tc>
          <w:tcPr>
            <w:tcW w:w="3918" w:type="dxa"/>
            <w:tcBorders>
              <w:bottom w:val="single" w:sz="4" w:space="0" w:color="000000"/>
              <w:right w:val="single" w:sz="4" w:space="0" w:color="000000"/>
            </w:tcBorders>
            <w:shd w:val="clear" w:color="auto" w:fill="auto"/>
            <w:vAlign w:val="center"/>
          </w:tcPr>
          <w:p w14:paraId="29BB5BD6" w14:textId="77777777" w:rsidR="009D49ED" w:rsidRPr="00D8301F" w:rsidRDefault="009D49ED" w:rsidP="006E13C8">
            <w:pPr>
              <w:spacing w:after="0" w:line="240" w:lineRule="auto"/>
              <w:jc w:val="both"/>
              <w:rPr>
                <w:lang w:val="en-GB"/>
              </w:rPr>
            </w:pPr>
            <w:r w:rsidRPr="000C364A">
              <w:rPr>
                <w:rFonts w:ascii="Arial" w:hAnsi="Arial" w:cs="Arial"/>
                <w:sz w:val="18"/>
                <w:szCs w:val="18"/>
                <w:lang w:val="en-GB"/>
              </w:rPr>
              <w:t>Improve JIRAMA's communication on load shedding reduction to strengthen the company's external image</w:t>
            </w:r>
          </w:p>
        </w:tc>
      </w:tr>
      <w:tr w:rsidR="009D49ED" w:rsidRPr="00160FB0" w14:paraId="3E4F0EA6" w14:textId="77777777" w:rsidTr="006E13C8">
        <w:tc>
          <w:tcPr>
            <w:tcW w:w="1273" w:type="dxa"/>
            <w:vMerge/>
            <w:tcBorders>
              <w:left w:val="single" w:sz="4" w:space="0" w:color="000000"/>
              <w:right w:val="single" w:sz="4" w:space="0" w:color="000000"/>
            </w:tcBorders>
            <w:shd w:val="clear" w:color="auto" w:fill="auto"/>
            <w:vAlign w:val="center"/>
          </w:tcPr>
          <w:p w14:paraId="1F94A3D5" w14:textId="77777777" w:rsidR="009D49ED" w:rsidRPr="00D8301F" w:rsidRDefault="009D49ED" w:rsidP="006E13C8">
            <w:pPr>
              <w:spacing w:after="0" w:line="240" w:lineRule="auto"/>
              <w:jc w:val="both"/>
              <w:rPr>
                <w:rFonts w:ascii="Arial" w:hAnsi="Arial" w:cs="Arial"/>
                <w:sz w:val="18"/>
                <w:szCs w:val="18"/>
                <w:lang w:val="en-GB"/>
              </w:rPr>
            </w:pPr>
          </w:p>
        </w:tc>
        <w:tc>
          <w:tcPr>
            <w:tcW w:w="1361" w:type="dxa"/>
            <w:vMerge/>
            <w:tcBorders>
              <w:left w:val="single" w:sz="4" w:space="0" w:color="000000"/>
              <w:right w:val="single" w:sz="4" w:space="0" w:color="000000"/>
            </w:tcBorders>
            <w:shd w:val="clear" w:color="auto" w:fill="auto"/>
            <w:vAlign w:val="center"/>
          </w:tcPr>
          <w:p w14:paraId="245DD508" w14:textId="77777777" w:rsidR="009D49ED" w:rsidRPr="00D8301F" w:rsidRDefault="009D49ED" w:rsidP="006E13C8">
            <w:pPr>
              <w:spacing w:after="0" w:line="240" w:lineRule="auto"/>
              <w:jc w:val="both"/>
              <w:rPr>
                <w:rFonts w:ascii="Arial" w:hAnsi="Arial" w:cs="Arial"/>
                <w:sz w:val="18"/>
                <w:szCs w:val="18"/>
                <w:lang w:val="en-GB"/>
              </w:rPr>
            </w:pPr>
          </w:p>
        </w:tc>
        <w:tc>
          <w:tcPr>
            <w:tcW w:w="2595" w:type="dxa"/>
            <w:tcBorders>
              <w:bottom w:val="single" w:sz="4" w:space="0" w:color="000000"/>
              <w:right w:val="single" w:sz="4" w:space="0" w:color="000000"/>
            </w:tcBorders>
            <w:shd w:val="clear" w:color="auto" w:fill="auto"/>
            <w:vAlign w:val="center"/>
          </w:tcPr>
          <w:p w14:paraId="3EC265A7" w14:textId="77777777" w:rsidR="009D49ED" w:rsidRPr="00D8301F" w:rsidRDefault="009D49ED" w:rsidP="006E13C8">
            <w:pPr>
              <w:spacing w:after="0" w:line="240" w:lineRule="auto"/>
              <w:jc w:val="both"/>
              <w:rPr>
                <w:lang w:val="en-GB"/>
              </w:rPr>
            </w:pPr>
            <w:r w:rsidRPr="000C364A">
              <w:rPr>
                <w:rFonts w:ascii="Arial" w:hAnsi="Arial" w:cs="Arial"/>
                <w:sz w:val="18"/>
                <w:szCs w:val="18"/>
                <w:lang w:val="en-GB"/>
              </w:rPr>
              <w:t>Development of socio-economic activities related to digital technology</w:t>
            </w:r>
          </w:p>
        </w:tc>
        <w:tc>
          <w:tcPr>
            <w:tcW w:w="3918" w:type="dxa"/>
            <w:vMerge w:val="restart"/>
            <w:tcBorders>
              <w:left w:val="single" w:sz="4" w:space="0" w:color="000000"/>
              <w:right w:val="single" w:sz="4" w:space="0" w:color="000000"/>
            </w:tcBorders>
            <w:shd w:val="clear" w:color="auto" w:fill="auto"/>
            <w:vAlign w:val="center"/>
          </w:tcPr>
          <w:p w14:paraId="42C29807" w14:textId="77777777" w:rsidR="009D49ED" w:rsidRPr="00D8301F" w:rsidRDefault="009D49ED" w:rsidP="006E13C8">
            <w:pPr>
              <w:spacing w:after="0" w:line="240" w:lineRule="auto"/>
              <w:jc w:val="both"/>
              <w:rPr>
                <w:lang w:val="en-GB"/>
              </w:rPr>
            </w:pPr>
            <w:r w:rsidRPr="00D8301F">
              <w:rPr>
                <w:rFonts w:ascii="Arial" w:hAnsi="Arial" w:cs="Arial"/>
                <w:sz w:val="18"/>
                <w:szCs w:val="18"/>
                <w:lang w:val="en-GB"/>
              </w:rPr>
              <w:t>Densification of the communication networks</w:t>
            </w:r>
          </w:p>
        </w:tc>
      </w:tr>
      <w:tr w:rsidR="009D49ED" w:rsidRPr="00160FB0" w14:paraId="39EA9545" w14:textId="77777777" w:rsidTr="006E13C8">
        <w:tc>
          <w:tcPr>
            <w:tcW w:w="1273" w:type="dxa"/>
            <w:vMerge/>
            <w:tcBorders>
              <w:left w:val="single" w:sz="4" w:space="0" w:color="000000"/>
              <w:right w:val="single" w:sz="4" w:space="0" w:color="000000"/>
            </w:tcBorders>
            <w:shd w:val="clear" w:color="auto" w:fill="auto"/>
            <w:vAlign w:val="center"/>
          </w:tcPr>
          <w:p w14:paraId="79F1C26E" w14:textId="77777777" w:rsidR="009D49ED" w:rsidRPr="00D8301F" w:rsidRDefault="009D49ED" w:rsidP="006E13C8">
            <w:pPr>
              <w:spacing w:after="0" w:line="240" w:lineRule="auto"/>
              <w:jc w:val="both"/>
              <w:rPr>
                <w:rFonts w:ascii="Arial" w:hAnsi="Arial" w:cs="Arial"/>
                <w:sz w:val="18"/>
                <w:szCs w:val="18"/>
                <w:lang w:val="en-GB"/>
              </w:rPr>
            </w:pPr>
          </w:p>
        </w:tc>
        <w:tc>
          <w:tcPr>
            <w:tcW w:w="1361" w:type="dxa"/>
            <w:vMerge/>
            <w:tcBorders>
              <w:left w:val="single" w:sz="4" w:space="0" w:color="000000"/>
              <w:right w:val="single" w:sz="4" w:space="0" w:color="000000"/>
            </w:tcBorders>
            <w:shd w:val="clear" w:color="auto" w:fill="auto"/>
            <w:vAlign w:val="center"/>
          </w:tcPr>
          <w:p w14:paraId="4ABCE4C8" w14:textId="77777777" w:rsidR="009D49ED" w:rsidRPr="00D8301F" w:rsidRDefault="009D49ED" w:rsidP="006E13C8">
            <w:pPr>
              <w:spacing w:after="0" w:line="240" w:lineRule="auto"/>
              <w:jc w:val="both"/>
              <w:rPr>
                <w:rFonts w:ascii="Arial" w:hAnsi="Arial" w:cs="Arial"/>
                <w:sz w:val="18"/>
                <w:szCs w:val="18"/>
                <w:lang w:val="en-GB"/>
              </w:rPr>
            </w:pPr>
          </w:p>
        </w:tc>
        <w:tc>
          <w:tcPr>
            <w:tcW w:w="2595" w:type="dxa"/>
            <w:tcBorders>
              <w:bottom w:val="single" w:sz="4" w:space="0" w:color="000000"/>
              <w:right w:val="single" w:sz="4" w:space="0" w:color="000000"/>
            </w:tcBorders>
            <w:shd w:val="clear" w:color="auto" w:fill="auto"/>
            <w:vAlign w:val="center"/>
          </w:tcPr>
          <w:p w14:paraId="4BA19902" w14:textId="77777777" w:rsidR="009D49ED" w:rsidRPr="00D8301F" w:rsidRDefault="009D49ED" w:rsidP="006E13C8">
            <w:pPr>
              <w:spacing w:after="0" w:line="240" w:lineRule="auto"/>
              <w:jc w:val="both"/>
              <w:rPr>
                <w:lang w:val="en-GB"/>
              </w:rPr>
            </w:pPr>
            <w:r w:rsidRPr="000C364A">
              <w:rPr>
                <w:rFonts w:ascii="Arial" w:hAnsi="Arial" w:cs="Arial"/>
                <w:sz w:val="18"/>
                <w:szCs w:val="18"/>
                <w:lang w:val="en-GB"/>
              </w:rPr>
              <w:t>Digital transformation to promote remote exchanges and job creation</w:t>
            </w:r>
          </w:p>
        </w:tc>
        <w:tc>
          <w:tcPr>
            <w:tcW w:w="3918" w:type="dxa"/>
            <w:vMerge/>
            <w:tcBorders>
              <w:left w:val="single" w:sz="4" w:space="0" w:color="000000"/>
              <w:bottom w:val="single" w:sz="4" w:space="0" w:color="000000"/>
              <w:right w:val="single" w:sz="4" w:space="0" w:color="000000"/>
            </w:tcBorders>
            <w:shd w:val="clear" w:color="auto" w:fill="auto"/>
            <w:vAlign w:val="center"/>
          </w:tcPr>
          <w:p w14:paraId="1177BF17" w14:textId="77777777" w:rsidR="009D49ED" w:rsidRPr="00D8301F" w:rsidRDefault="009D49ED" w:rsidP="006E13C8">
            <w:pPr>
              <w:spacing w:after="0" w:line="240" w:lineRule="auto"/>
              <w:jc w:val="both"/>
              <w:rPr>
                <w:rFonts w:ascii="Arial" w:hAnsi="Arial" w:cs="Arial"/>
                <w:sz w:val="18"/>
                <w:szCs w:val="18"/>
                <w:lang w:val="en-GB"/>
              </w:rPr>
            </w:pPr>
          </w:p>
        </w:tc>
      </w:tr>
      <w:tr w:rsidR="009D49ED" w14:paraId="2E54DA8F" w14:textId="77777777" w:rsidTr="006E13C8">
        <w:tc>
          <w:tcPr>
            <w:tcW w:w="1273" w:type="dxa"/>
            <w:vMerge/>
            <w:tcBorders>
              <w:left w:val="single" w:sz="4" w:space="0" w:color="000000"/>
              <w:bottom w:val="single" w:sz="4" w:space="0" w:color="000000"/>
              <w:right w:val="single" w:sz="4" w:space="0" w:color="000000"/>
            </w:tcBorders>
            <w:shd w:val="clear" w:color="auto" w:fill="auto"/>
            <w:vAlign w:val="center"/>
          </w:tcPr>
          <w:p w14:paraId="776D4F94" w14:textId="77777777" w:rsidR="009D49ED" w:rsidRPr="00D8301F" w:rsidRDefault="009D49ED" w:rsidP="006E13C8">
            <w:pPr>
              <w:spacing w:after="0" w:line="240" w:lineRule="auto"/>
              <w:jc w:val="both"/>
              <w:rPr>
                <w:rFonts w:ascii="Arial" w:hAnsi="Arial" w:cs="Arial"/>
                <w:sz w:val="18"/>
                <w:szCs w:val="18"/>
                <w:lang w:val="en-GB"/>
              </w:rPr>
            </w:pPr>
          </w:p>
        </w:tc>
        <w:tc>
          <w:tcPr>
            <w:tcW w:w="1361" w:type="dxa"/>
            <w:vMerge/>
            <w:tcBorders>
              <w:left w:val="single" w:sz="4" w:space="0" w:color="000000"/>
              <w:bottom w:val="single" w:sz="4" w:space="0" w:color="000000"/>
              <w:right w:val="single" w:sz="4" w:space="0" w:color="000000"/>
            </w:tcBorders>
            <w:shd w:val="clear" w:color="auto" w:fill="auto"/>
            <w:vAlign w:val="center"/>
          </w:tcPr>
          <w:p w14:paraId="3792E6F7" w14:textId="77777777" w:rsidR="009D49ED" w:rsidRPr="00D8301F" w:rsidRDefault="009D49ED" w:rsidP="006E13C8">
            <w:pPr>
              <w:spacing w:after="0" w:line="240" w:lineRule="auto"/>
              <w:jc w:val="both"/>
              <w:rPr>
                <w:rFonts w:ascii="Arial" w:hAnsi="Arial" w:cs="Arial"/>
                <w:sz w:val="18"/>
                <w:szCs w:val="18"/>
                <w:lang w:val="en-GB"/>
              </w:rPr>
            </w:pPr>
          </w:p>
        </w:tc>
        <w:tc>
          <w:tcPr>
            <w:tcW w:w="2595" w:type="dxa"/>
            <w:tcBorders>
              <w:bottom w:val="single" w:sz="4" w:space="0" w:color="000000"/>
              <w:right w:val="single" w:sz="4" w:space="0" w:color="000000"/>
            </w:tcBorders>
            <w:shd w:val="clear" w:color="auto" w:fill="auto"/>
            <w:vAlign w:val="center"/>
          </w:tcPr>
          <w:p w14:paraId="19B3517F" w14:textId="77777777" w:rsidR="009D49ED" w:rsidRDefault="009D49ED" w:rsidP="006E13C8">
            <w:pPr>
              <w:spacing w:after="0" w:line="240" w:lineRule="auto"/>
              <w:jc w:val="both"/>
            </w:pPr>
            <w:r w:rsidRPr="000C364A">
              <w:rPr>
                <w:rFonts w:ascii="Arial" w:hAnsi="Arial" w:cs="Arial"/>
                <w:sz w:val="18"/>
                <w:szCs w:val="18"/>
              </w:rPr>
              <w:t>Digitization of public services</w:t>
            </w:r>
          </w:p>
        </w:tc>
        <w:tc>
          <w:tcPr>
            <w:tcW w:w="3918" w:type="dxa"/>
            <w:tcBorders>
              <w:bottom w:val="single" w:sz="4" w:space="0" w:color="000000"/>
              <w:right w:val="single" w:sz="4" w:space="0" w:color="000000"/>
            </w:tcBorders>
            <w:shd w:val="clear" w:color="auto" w:fill="auto"/>
            <w:vAlign w:val="center"/>
          </w:tcPr>
          <w:p w14:paraId="0F4A3EB8" w14:textId="77777777" w:rsidR="009D49ED" w:rsidRDefault="009D49ED" w:rsidP="006E13C8">
            <w:pPr>
              <w:spacing w:after="0" w:line="240" w:lineRule="auto"/>
              <w:jc w:val="both"/>
            </w:pPr>
            <w:r w:rsidRPr="000C364A">
              <w:rPr>
                <w:rFonts w:ascii="Arial" w:hAnsi="Arial" w:cs="Arial"/>
                <w:sz w:val="18"/>
                <w:szCs w:val="18"/>
                <w:lang w:val="en-GB"/>
              </w:rPr>
              <w:t>Provision of equipment to local public services (fokontany and municipalities). Training of the personnel of these local public services</w:t>
            </w:r>
          </w:p>
        </w:tc>
      </w:tr>
      <w:tr w:rsidR="009D49ED" w:rsidRPr="00160FB0" w14:paraId="34B21A7C" w14:textId="77777777" w:rsidTr="006E13C8">
        <w:tc>
          <w:tcPr>
            <w:tcW w:w="9147" w:type="dxa"/>
            <w:gridSpan w:val="4"/>
            <w:tcBorders>
              <w:top w:val="single" w:sz="4" w:space="0" w:color="000000"/>
              <w:left w:val="single" w:sz="4" w:space="0" w:color="000000"/>
              <w:bottom w:val="single" w:sz="4" w:space="0" w:color="000000"/>
              <w:right w:val="single" w:sz="4" w:space="0" w:color="000000"/>
            </w:tcBorders>
            <w:shd w:val="clear" w:color="auto" w:fill="00B0F0"/>
            <w:vAlign w:val="center"/>
          </w:tcPr>
          <w:p w14:paraId="08515EE5" w14:textId="77777777" w:rsidR="009D49ED" w:rsidRPr="00D8301F" w:rsidRDefault="009D49ED" w:rsidP="006E13C8">
            <w:pPr>
              <w:spacing w:after="0" w:line="240" w:lineRule="auto"/>
              <w:jc w:val="both"/>
              <w:rPr>
                <w:lang w:val="en-GB"/>
              </w:rPr>
            </w:pPr>
            <w:r w:rsidRPr="000C364A">
              <w:rPr>
                <w:rFonts w:ascii="Arial" w:hAnsi="Arial" w:cs="Arial"/>
                <w:b/>
                <w:bCs/>
                <w:sz w:val="18"/>
                <w:szCs w:val="18"/>
                <w:lang w:val="en-GB"/>
              </w:rPr>
              <w:t>Dismantling phase for PV power station</w:t>
            </w:r>
          </w:p>
        </w:tc>
      </w:tr>
      <w:tr w:rsidR="009D49ED" w:rsidRPr="00160FB0" w14:paraId="52949599" w14:textId="77777777" w:rsidTr="006E13C8">
        <w:tc>
          <w:tcPr>
            <w:tcW w:w="1273" w:type="dxa"/>
            <w:tcBorders>
              <w:left w:val="single" w:sz="4" w:space="0" w:color="000000"/>
              <w:bottom w:val="single" w:sz="4" w:space="0" w:color="000000"/>
              <w:right w:val="single" w:sz="4" w:space="0" w:color="000000"/>
            </w:tcBorders>
            <w:shd w:val="clear" w:color="auto" w:fill="auto"/>
            <w:vAlign w:val="center"/>
          </w:tcPr>
          <w:p w14:paraId="2FAECFBB" w14:textId="77777777" w:rsidR="009D49ED" w:rsidRDefault="009D49ED" w:rsidP="006E13C8">
            <w:pPr>
              <w:spacing w:after="0" w:line="240" w:lineRule="auto"/>
              <w:jc w:val="both"/>
            </w:pPr>
            <w:r>
              <w:rPr>
                <w:rFonts w:ascii="Arial" w:hAnsi="Arial" w:cs="Arial"/>
                <w:sz w:val="18"/>
                <w:szCs w:val="18"/>
              </w:rPr>
              <w:t>Biologic</w:t>
            </w:r>
          </w:p>
        </w:tc>
        <w:tc>
          <w:tcPr>
            <w:tcW w:w="1361" w:type="dxa"/>
            <w:tcBorders>
              <w:bottom w:val="single" w:sz="4" w:space="0" w:color="000000"/>
              <w:right w:val="single" w:sz="4" w:space="0" w:color="000000"/>
            </w:tcBorders>
            <w:shd w:val="clear" w:color="auto" w:fill="auto"/>
            <w:vAlign w:val="center"/>
          </w:tcPr>
          <w:p w14:paraId="6063F3C0" w14:textId="77777777" w:rsidR="009D49ED" w:rsidRDefault="009D49ED" w:rsidP="006E13C8">
            <w:pPr>
              <w:spacing w:after="0" w:line="240" w:lineRule="auto"/>
              <w:jc w:val="both"/>
            </w:pPr>
            <w:r>
              <w:rPr>
                <w:rFonts w:ascii="Arial" w:hAnsi="Arial" w:cs="Arial"/>
                <w:sz w:val="18"/>
                <w:szCs w:val="18"/>
              </w:rPr>
              <w:t>Natural habitats</w:t>
            </w:r>
          </w:p>
        </w:tc>
        <w:tc>
          <w:tcPr>
            <w:tcW w:w="2595" w:type="dxa"/>
            <w:tcBorders>
              <w:bottom w:val="single" w:sz="4" w:space="0" w:color="000000"/>
              <w:right w:val="single" w:sz="4" w:space="0" w:color="000000"/>
            </w:tcBorders>
            <w:shd w:val="clear" w:color="auto" w:fill="auto"/>
            <w:vAlign w:val="center"/>
          </w:tcPr>
          <w:p w14:paraId="758AFD24" w14:textId="77777777" w:rsidR="009D49ED" w:rsidRPr="00D8301F" w:rsidRDefault="009D49ED" w:rsidP="006E13C8">
            <w:pPr>
              <w:spacing w:after="0" w:line="240" w:lineRule="auto"/>
              <w:jc w:val="both"/>
              <w:rPr>
                <w:lang w:val="en-GB"/>
              </w:rPr>
            </w:pPr>
            <w:r w:rsidRPr="000C364A">
              <w:rPr>
                <w:rFonts w:ascii="Arial" w:hAnsi="Arial" w:cs="Arial"/>
                <w:sz w:val="18"/>
                <w:szCs w:val="18"/>
                <w:lang w:val="en-GB"/>
              </w:rPr>
              <w:t>Improvement of the vegetation cover</w:t>
            </w:r>
          </w:p>
        </w:tc>
        <w:tc>
          <w:tcPr>
            <w:tcW w:w="3918" w:type="dxa"/>
            <w:tcBorders>
              <w:bottom w:val="single" w:sz="4" w:space="0" w:color="000000"/>
              <w:right w:val="single" w:sz="4" w:space="0" w:color="000000"/>
            </w:tcBorders>
            <w:shd w:val="clear" w:color="auto" w:fill="auto"/>
            <w:vAlign w:val="center"/>
          </w:tcPr>
          <w:p w14:paraId="701E3999" w14:textId="77777777" w:rsidR="009D49ED" w:rsidRPr="00D8301F" w:rsidRDefault="009D49ED" w:rsidP="006E13C8">
            <w:pPr>
              <w:spacing w:after="0" w:line="240" w:lineRule="auto"/>
              <w:jc w:val="both"/>
              <w:rPr>
                <w:lang w:val="en-GB"/>
              </w:rPr>
            </w:pPr>
            <w:r w:rsidRPr="000C364A">
              <w:rPr>
                <w:rFonts w:ascii="Arial" w:hAnsi="Arial" w:cs="Arial"/>
                <w:sz w:val="18"/>
                <w:szCs w:val="18"/>
                <w:lang w:val="en-GB"/>
              </w:rPr>
              <w:t>Beautification of the landscape by revegetation of the site</w:t>
            </w:r>
          </w:p>
        </w:tc>
      </w:tr>
      <w:tr w:rsidR="009D49ED" w:rsidRPr="00160FB0" w14:paraId="6675FCCA" w14:textId="77777777" w:rsidTr="006E13C8">
        <w:tc>
          <w:tcPr>
            <w:tcW w:w="1273" w:type="dxa"/>
            <w:tcBorders>
              <w:left w:val="single" w:sz="4" w:space="0" w:color="000000"/>
              <w:bottom w:val="single" w:sz="4" w:space="0" w:color="000000"/>
              <w:right w:val="single" w:sz="4" w:space="0" w:color="000000"/>
            </w:tcBorders>
            <w:shd w:val="clear" w:color="auto" w:fill="auto"/>
            <w:vAlign w:val="center"/>
          </w:tcPr>
          <w:p w14:paraId="293BE188" w14:textId="77777777" w:rsidR="009D49ED" w:rsidRDefault="009D49ED" w:rsidP="006E13C8">
            <w:pPr>
              <w:spacing w:after="0" w:line="240" w:lineRule="auto"/>
              <w:jc w:val="both"/>
            </w:pPr>
            <w:r>
              <w:rPr>
                <w:rFonts w:ascii="Arial" w:hAnsi="Arial" w:cs="Arial"/>
                <w:sz w:val="18"/>
                <w:szCs w:val="18"/>
              </w:rPr>
              <w:t>Human</w:t>
            </w:r>
          </w:p>
        </w:tc>
        <w:tc>
          <w:tcPr>
            <w:tcW w:w="1361" w:type="dxa"/>
            <w:tcBorders>
              <w:bottom w:val="single" w:sz="4" w:space="0" w:color="000000"/>
              <w:right w:val="single" w:sz="4" w:space="0" w:color="000000"/>
            </w:tcBorders>
            <w:shd w:val="clear" w:color="auto" w:fill="auto"/>
            <w:vAlign w:val="center"/>
          </w:tcPr>
          <w:p w14:paraId="7947D4CD" w14:textId="77777777" w:rsidR="009D49ED" w:rsidRDefault="009D49ED" w:rsidP="006E13C8">
            <w:pPr>
              <w:spacing w:after="0" w:line="240" w:lineRule="auto"/>
              <w:jc w:val="both"/>
            </w:pPr>
            <w:r>
              <w:rPr>
                <w:rFonts w:ascii="Arial" w:hAnsi="Arial" w:cs="Arial"/>
                <w:sz w:val="18"/>
                <w:szCs w:val="18"/>
              </w:rPr>
              <w:t>Jobs</w:t>
            </w:r>
          </w:p>
        </w:tc>
        <w:tc>
          <w:tcPr>
            <w:tcW w:w="2595" w:type="dxa"/>
            <w:tcBorders>
              <w:bottom w:val="single" w:sz="4" w:space="0" w:color="000000"/>
              <w:right w:val="single" w:sz="4" w:space="0" w:color="000000"/>
            </w:tcBorders>
            <w:shd w:val="clear" w:color="auto" w:fill="auto"/>
            <w:vAlign w:val="center"/>
          </w:tcPr>
          <w:p w14:paraId="53BBB7BB" w14:textId="77777777" w:rsidR="009D49ED" w:rsidRPr="00D8301F" w:rsidRDefault="009D49ED" w:rsidP="006E13C8">
            <w:pPr>
              <w:spacing w:after="0" w:line="240" w:lineRule="auto"/>
              <w:jc w:val="both"/>
              <w:rPr>
                <w:lang w:val="en-GB"/>
              </w:rPr>
            </w:pPr>
            <w:r w:rsidRPr="000C364A">
              <w:rPr>
                <w:rFonts w:ascii="Arial" w:hAnsi="Arial" w:cs="Arial"/>
                <w:sz w:val="18"/>
                <w:szCs w:val="18"/>
                <w:lang w:val="en-GB"/>
              </w:rPr>
              <w:t>Temporary employment opportunities for local people</w:t>
            </w:r>
          </w:p>
        </w:tc>
        <w:tc>
          <w:tcPr>
            <w:tcW w:w="3918" w:type="dxa"/>
            <w:tcBorders>
              <w:bottom w:val="single" w:sz="4" w:space="0" w:color="000000"/>
              <w:right w:val="single" w:sz="4" w:space="0" w:color="000000"/>
            </w:tcBorders>
            <w:shd w:val="clear" w:color="auto" w:fill="auto"/>
            <w:vAlign w:val="center"/>
          </w:tcPr>
          <w:p w14:paraId="63845321" w14:textId="77777777" w:rsidR="009D49ED" w:rsidRPr="00D8301F" w:rsidRDefault="009D49ED" w:rsidP="006E13C8">
            <w:pPr>
              <w:spacing w:after="0" w:line="240" w:lineRule="auto"/>
              <w:jc w:val="both"/>
              <w:rPr>
                <w:lang w:val="en-GB"/>
              </w:rPr>
            </w:pPr>
            <w:r w:rsidRPr="000C364A">
              <w:rPr>
                <w:rFonts w:ascii="Arial" w:hAnsi="Arial" w:cs="Arial"/>
                <w:sz w:val="18"/>
                <w:szCs w:val="18"/>
                <w:lang w:val="en-GB"/>
              </w:rPr>
              <w:t>Promote local recruitment and take into account the gender approach</w:t>
            </w:r>
          </w:p>
        </w:tc>
      </w:tr>
    </w:tbl>
    <w:p w14:paraId="576FCF7C" w14:textId="77777777" w:rsidR="00353921" w:rsidRDefault="00353921" w:rsidP="007B4870">
      <w:pPr>
        <w:spacing w:line="240" w:lineRule="auto"/>
        <w:jc w:val="both"/>
        <w:rPr>
          <w:rFonts w:ascii="Arial" w:hAnsi="Arial" w:cs="Arial"/>
          <w:lang w:val="en-US"/>
        </w:rPr>
      </w:pPr>
    </w:p>
    <w:p w14:paraId="7777BCC8" w14:textId="77777777" w:rsidR="009D49ED" w:rsidRPr="00AE406E" w:rsidRDefault="00353921" w:rsidP="007B4870">
      <w:pPr>
        <w:spacing w:line="240" w:lineRule="auto"/>
        <w:jc w:val="both"/>
        <w:rPr>
          <w:rFonts w:ascii="Arial" w:hAnsi="Arial" w:cs="Arial"/>
          <w:lang w:val="en-US"/>
        </w:rPr>
      </w:pPr>
      <w:r>
        <w:rPr>
          <w:rFonts w:ascii="Arial" w:hAnsi="Arial" w:cs="Arial"/>
          <w:lang w:val="en-US"/>
        </w:rPr>
        <w:br w:type="page"/>
      </w:r>
    </w:p>
    <w:p w14:paraId="479244B5" w14:textId="77777777" w:rsidR="00601782" w:rsidRPr="00353921" w:rsidRDefault="00601782" w:rsidP="00353921">
      <w:pPr>
        <w:pStyle w:val="Paragraphedeliste"/>
        <w:numPr>
          <w:ilvl w:val="0"/>
          <w:numId w:val="176"/>
        </w:numPr>
        <w:suppressAutoHyphens/>
        <w:spacing w:before="240" w:after="120" w:line="240" w:lineRule="auto"/>
        <w:ind w:left="714" w:hanging="357"/>
        <w:jc w:val="both"/>
        <w:rPr>
          <w:rFonts w:ascii="Arial" w:hAnsi="Arial" w:cs="Arial"/>
          <w:b/>
        </w:rPr>
      </w:pPr>
      <w:r w:rsidRPr="00353921">
        <w:rPr>
          <w:rFonts w:ascii="Arial" w:hAnsi="Arial" w:cs="Arial"/>
          <w:b/>
        </w:rPr>
        <w:t>NEGATIVE IMPACTS AND MITIGATION MEASURES</w:t>
      </w:r>
    </w:p>
    <w:tbl>
      <w:tblPr>
        <w:tblW w:w="9700" w:type="dxa"/>
        <w:tblInd w:w="70" w:type="dxa"/>
        <w:tblCellMar>
          <w:left w:w="70" w:type="dxa"/>
          <w:right w:w="70" w:type="dxa"/>
        </w:tblCellMar>
        <w:tblLook w:val="0000" w:firstRow="0" w:lastRow="0" w:firstColumn="0" w:lastColumn="0" w:noHBand="0" w:noVBand="0"/>
      </w:tblPr>
      <w:tblGrid>
        <w:gridCol w:w="4399"/>
        <w:gridCol w:w="3840"/>
        <w:gridCol w:w="1461"/>
      </w:tblGrid>
      <w:tr w:rsidR="009D49ED" w:rsidRPr="002C769E" w14:paraId="07FDABC7" w14:textId="77777777" w:rsidTr="00FB04F6">
        <w:trPr>
          <w:tblHeader/>
        </w:trPr>
        <w:tc>
          <w:tcPr>
            <w:tcW w:w="4399" w:type="dxa"/>
            <w:tcBorders>
              <w:top w:val="single" w:sz="4" w:space="0" w:color="auto"/>
              <w:left w:val="single" w:sz="4" w:space="0" w:color="auto"/>
              <w:bottom w:val="single" w:sz="4" w:space="0" w:color="auto"/>
              <w:right w:val="single" w:sz="4" w:space="0" w:color="auto"/>
            </w:tcBorders>
            <w:shd w:val="clear" w:color="auto" w:fill="B4C6E7"/>
            <w:vAlign w:val="center"/>
          </w:tcPr>
          <w:p w14:paraId="5162BDED" w14:textId="77777777" w:rsidR="009D49ED" w:rsidRPr="00AE406E" w:rsidRDefault="009D49ED"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Arial" w:hAnsi="Arial" w:cs="Arial"/>
                <w:b/>
                <w:sz w:val="20"/>
                <w:szCs w:val="18"/>
              </w:rPr>
            </w:pPr>
            <w:r w:rsidRPr="00AE406E">
              <w:rPr>
                <w:rFonts w:ascii="Arial" w:hAnsi="Arial" w:cs="Arial"/>
                <w:b/>
                <w:sz w:val="20"/>
                <w:szCs w:val="18"/>
              </w:rPr>
              <w:t>Potential impact</w:t>
            </w:r>
          </w:p>
        </w:tc>
        <w:tc>
          <w:tcPr>
            <w:tcW w:w="3840" w:type="dxa"/>
            <w:tcBorders>
              <w:top w:val="single" w:sz="4" w:space="0" w:color="auto"/>
              <w:left w:val="single" w:sz="4" w:space="0" w:color="auto"/>
              <w:bottom w:val="single" w:sz="4" w:space="0" w:color="auto"/>
              <w:right w:val="single" w:sz="4" w:space="0" w:color="auto"/>
            </w:tcBorders>
            <w:shd w:val="clear" w:color="auto" w:fill="B4C6E7"/>
            <w:vAlign w:val="center"/>
          </w:tcPr>
          <w:p w14:paraId="541D15B2" w14:textId="77777777" w:rsidR="009D49ED" w:rsidRPr="00AE406E" w:rsidRDefault="009D49ED"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Arial" w:hAnsi="Arial" w:cs="Arial"/>
                <w:b/>
                <w:sz w:val="20"/>
                <w:szCs w:val="18"/>
                <w:lang w:val="en-GB"/>
              </w:rPr>
            </w:pPr>
            <w:r w:rsidRPr="00AE406E">
              <w:rPr>
                <w:rFonts w:ascii="Arial" w:hAnsi="Arial" w:cs="Arial"/>
                <w:b/>
                <w:sz w:val="20"/>
                <w:szCs w:val="18"/>
                <w:lang w:val="en-GB"/>
              </w:rPr>
              <w:t>Avoidance or mitigation measure</w:t>
            </w:r>
          </w:p>
        </w:tc>
        <w:tc>
          <w:tcPr>
            <w:tcW w:w="1461" w:type="dxa"/>
            <w:tcBorders>
              <w:top w:val="single" w:sz="4" w:space="0" w:color="auto"/>
              <w:left w:val="single" w:sz="4" w:space="0" w:color="auto"/>
              <w:bottom w:val="single" w:sz="4" w:space="0" w:color="auto"/>
              <w:right w:val="single" w:sz="4" w:space="0" w:color="auto"/>
            </w:tcBorders>
            <w:shd w:val="clear" w:color="auto" w:fill="B4C6E7"/>
            <w:vAlign w:val="center"/>
          </w:tcPr>
          <w:p w14:paraId="7AD63D61" w14:textId="77777777" w:rsidR="009D49ED" w:rsidRPr="00AE406E" w:rsidRDefault="009D49ED"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Arial" w:hAnsi="Arial" w:cs="Arial"/>
                <w:b/>
                <w:sz w:val="20"/>
                <w:szCs w:val="18"/>
              </w:rPr>
            </w:pPr>
            <w:r w:rsidRPr="00AE406E">
              <w:rPr>
                <w:rFonts w:ascii="Arial" w:hAnsi="Arial" w:cs="Arial"/>
                <w:b/>
                <w:sz w:val="20"/>
                <w:szCs w:val="18"/>
                <w:lang w:val="en-GB"/>
              </w:rPr>
              <w:t>Significance residual impact</w:t>
            </w:r>
          </w:p>
        </w:tc>
      </w:tr>
      <w:tr w:rsidR="009D49ED" w14:paraId="699D0411" w14:textId="77777777" w:rsidTr="00AE406E">
        <w:tc>
          <w:tcPr>
            <w:tcW w:w="9700" w:type="dxa"/>
            <w:gridSpan w:val="3"/>
            <w:tcBorders>
              <w:top w:val="single" w:sz="4" w:space="0" w:color="auto"/>
              <w:left w:val="single" w:sz="8" w:space="0" w:color="000000"/>
              <w:bottom w:val="single" w:sz="8" w:space="0" w:color="000000"/>
              <w:right w:val="single" w:sz="8" w:space="0" w:color="000000"/>
            </w:tcBorders>
            <w:shd w:val="clear" w:color="auto" w:fill="00B0F0"/>
            <w:vAlign w:val="center"/>
          </w:tcPr>
          <w:p w14:paraId="29B39662"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pPr>
            <w:r w:rsidRPr="00F7435B">
              <w:rPr>
                <w:rFonts w:ascii="Arial" w:hAnsi="Arial" w:cs="Arial"/>
                <w:b/>
                <w:bCs/>
                <w:sz w:val="18"/>
                <w:szCs w:val="18"/>
              </w:rPr>
              <w:t>Preparatory and Construction Phase</w:t>
            </w:r>
          </w:p>
        </w:tc>
      </w:tr>
      <w:tr w:rsidR="009D49ED" w14:paraId="1BDFFD59" w14:textId="77777777" w:rsidTr="00AE406E">
        <w:tc>
          <w:tcPr>
            <w:tcW w:w="4399" w:type="dxa"/>
            <w:tcBorders>
              <w:left w:val="single" w:sz="8" w:space="0" w:color="000000"/>
              <w:bottom w:val="single" w:sz="8" w:space="0" w:color="000000"/>
              <w:right w:val="single" w:sz="8" w:space="0" w:color="000000"/>
            </w:tcBorders>
            <w:vAlign w:val="center"/>
          </w:tcPr>
          <w:p w14:paraId="47B1F18B"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lang w:val="en-GB"/>
              </w:rPr>
            </w:pPr>
            <w:r w:rsidRPr="00F7435B">
              <w:rPr>
                <w:rFonts w:ascii="Arial" w:hAnsi="Arial" w:cs="Arial"/>
                <w:sz w:val="18"/>
                <w:szCs w:val="18"/>
                <w:lang w:val="en-GB"/>
              </w:rPr>
              <w:t>Alteration of the air quality by the raising of dust due to the passage of the construction vehicles and emanations of GGE from the construction vehicles</w:t>
            </w:r>
          </w:p>
        </w:tc>
        <w:tc>
          <w:tcPr>
            <w:tcW w:w="3840" w:type="dxa"/>
            <w:tcBorders>
              <w:bottom w:val="single" w:sz="8" w:space="0" w:color="000000"/>
              <w:right w:val="single" w:sz="8" w:space="0" w:color="000000"/>
            </w:tcBorders>
            <w:vAlign w:val="center"/>
          </w:tcPr>
          <w:p w14:paraId="108C3485"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lang w:val="en-GB"/>
              </w:rPr>
            </w:pPr>
            <w:r w:rsidRPr="00F7435B">
              <w:rPr>
                <w:rFonts w:ascii="Arial" w:hAnsi="Arial" w:cs="Arial"/>
                <w:sz w:val="18"/>
                <w:szCs w:val="18"/>
                <w:lang w:val="en-GB"/>
              </w:rPr>
              <w:t>Humidification of the sites. Use of vehicles in good condition. Regular maintenance of vehicles</w:t>
            </w:r>
          </w:p>
        </w:tc>
        <w:tc>
          <w:tcPr>
            <w:tcW w:w="1461" w:type="dxa"/>
            <w:tcBorders>
              <w:bottom w:val="single" w:sz="8" w:space="0" w:color="000000"/>
              <w:right w:val="single" w:sz="8" w:space="0" w:color="000000"/>
            </w:tcBorders>
            <w:shd w:val="clear" w:color="auto" w:fill="00B050"/>
            <w:vAlign w:val="center"/>
          </w:tcPr>
          <w:p w14:paraId="6DC78FAE"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Pr>
                <w:rFonts w:ascii="Arial" w:hAnsi="Arial" w:cs="Arial"/>
                <w:sz w:val="18"/>
                <w:szCs w:val="18"/>
              </w:rPr>
              <w:t>Minor</w:t>
            </w:r>
          </w:p>
        </w:tc>
      </w:tr>
      <w:tr w:rsidR="009D49ED" w14:paraId="5BA6C5BC" w14:textId="77777777" w:rsidTr="00AE406E">
        <w:tc>
          <w:tcPr>
            <w:tcW w:w="4399" w:type="dxa"/>
            <w:tcBorders>
              <w:left w:val="single" w:sz="8" w:space="0" w:color="000000"/>
              <w:bottom w:val="single" w:sz="8" w:space="0" w:color="000000"/>
              <w:right w:val="single" w:sz="8" w:space="0" w:color="000000"/>
            </w:tcBorders>
            <w:vAlign w:val="center"/>
          </w:tcPr>
          <w:p w14:paraId="7B0711FA"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Pr>
                <w:rFonts w:ascii="Arial" w:hAnsi="Arial" w:cs="Arial"/>
                <w:sz w:val="18"/>
                <w:szCs w:val="18"/>
              </w:rPr>
              <w:t>Risk of soil erosion</w:t>
            </w:r>
          </w:p>
        </w:tc>
        <w:tc>
          <w:tcPr>
            <w:tcW w:w="3840" w:type="dxa"/>
            <w:tcBorders>
              <w:bottom w:val="single" w:sz="8" w:space="0" w:color="000000"/>
              <w:right w:val="single" w:sz="8" w:space="0" w:color="000000"/>
            </w:tcBorders>
            <w:vAlign w:val="center"/>
          </w:tcPr>
          <w:p w14:paraId="59498B12"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lang w:val="en-GB"/>
              </w:rPr>
            </w:pPr>
            <w:r w:rsidRPr="00F7435B">
              <w:rPr>
                <w:rFonts w:ascii="Arial" w:hAnsi="Arial" w:cs="Arial"/>
                <w:sz w:val="18"/>
                <w:szCs w:val="18"/>
                <w:lang w:val="en-GB"/>
              </w:rPr>
              <w:t>Carry out work during the dry season</w:t>
            </w:r>
          </w:p>
        </w:tc>
        <w:tc>
          <w:tcPr>
            <w:tcW w:w="1461" w:type="dxa"/>
            <w:tcBorders>
              <w:bottom w:val="single" w:sz="8" w:space="0" w:color="000000"/>
              <w:right w:val="single" w:sz="8" w:space="0" w:color="000000"/>
            </w:tcBorders>
            <w:shd w:val="clear" w:color="auto" w:fill="00B050"/>
            <w:vAlign w:val="center"/>
          </w:tcPr>
          <w:p w14:paraId="75691710"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Pr>
                <w:rFonts w:ascii="Arial" w:hAnsi="Arial" w:cs="Arial"/>
                <w:sz w:val="18"/>
                <w:szCs w:val="18"/>
              </w:rPr>
              <w:t>Minor</w:t>
            </w:r>
          </w:p>
        </w:tc>
      </w:tr>
      <w:tr w:rsidR="009D49ED" w14:paraId="35CE1F9E" w14:textId="77777777" w:rsidTr="00AE406E">
        <w:tc>
          <w:tcPr>
            <w:tcW w:w="4399" w:type="dxa"/>
            <w:tcBorders>
              <w:left w:val="single" w:sz="8" w:space="0" w:color="000000"/>
              <w:bottom w:val="single" w:sz="8" w:space="0" w:color="000000"/>
              <w:right w:val="single" w:sz="8" w:space="0" w:color="000000"/>
            </w:tcBorders>
            <w:vAlign w:val="center"/>
          </w:tcPr>
          <w:p w14:paraId="27FCA021"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lang w:val="en-GB"/>
              </w:rPr>
            </w:pPr>
            <w:r w:rsidRPr="00F7435B">
              <w:rPr>
                <w:rFonts w:ascii="Arial" w:hAnsi="Arial" w:cs="Arial"/>
                <w:sz w:val="18"/>
                <w:szCs w:val="18"/>
                <w:lang w:val="en-GB"/>
              </w:rPr>
              <w:t>Pollution of water resources by entrainment of polluting substances</w:t>
            </w:r>
          </w:p>
        </w:tc>
        <w:tc>
          <w:tcPr>
            <w:tcW w:w="3840" w:type="dxa"/>
            <w:tcBorders>
              <w:bottom w:val="single" w:sz="8" w:space="0" w:color="000000"/>
              <w:right w:val="single" w:sz="8" w:space="0" w:color="000000"/>
            </w:tcBorders>
            <w:vAlign w:val="center"/>
          </w:tcPr>
          <w:p w14:paraId="2197DBDF"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lang w:val="en-GB"/>
              </w:rPr>
            </w:pPr>
            <w:r w:rsidRPr="00F7435B">
              <w:rPr>
                <w:rFonts w:ascii="Arial" w:hAnsi="Arial" w:cs="Arial"/>
                <w:sz w:val="18"/>
                <w:szCs w:val="18"/>
                <w:lang w:val="en-GB"/>
              </w:rPr>
              <w:t>Implementation of a waste collection and sorting system.</w:t>
            </w:r>
          </w:p>
        </w:tc>
        <w:tc>
          <w:tcPr>
            <w:tcW w:w="1461" w:type="dxa"/>
            <w:tcBorders>
              <w:bottom w:val="single" w:sz="8" w:space="0" w:color="000000"/>
              <w:right w:val="single" w:sz="8" w:space="0" w:color="000000"/>
            </w:tcBorders>
            <w:shd w:val="clear" w:color="auto" w:fill="00B050"/>
            <w:vAlign w:val="center"/>
          </w:tcPr>
          <w:p w14:paraId="59DAB13C"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Pr>
                <w:rFonts w:ascii="Arial" w:hAnsi="Arial" w:cs="Arial"/>
                <w:sz w:val="18"/>
                <w:szCs w:val="18"/>
              </w:rPr>
              <w:t>Minor</w:t>
            </w:r>
          </w:p>
        </w:tc>
      </w:tr>
      <w:tr w:rsidR="009D49ED" w14:paraId="70256F1F" w14:textId="77777777" w:rsidTr="00AE406E">
        <w:tc>
          <w:tcPr>
            <w:tcW w:w="4399" w:type="dxa"/>
            <w:tcBorders>
              <w:left w:val="single" w:sz="8" w:space="0" w:color="000000"/>
              <w:bottom w:val="single" w:sz="8" w:space="0" w:color="000000"/>
              <w:right w:val="single" w:sz="8" w:space="0" w:color="000000"/>
            </w:tcBorders>
            <w:vAlign w:val="center"/>
          </w:tcPr>
          <w:p w14:paraId="3F9FBB8D"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lang w:val="en-GB"/>
              </w:rPr>
            </w:pPr>
            <w:r w:rsidRPr="00F7435B">
              <w:rPr>
                <w:rFonts w:ascii="Arial" w:hAnsi="Arial" w:cs="Arial"/>
                <w:sz w:val="18"/>
                <w:szCs w:val="18"/>
                <w:lang w:val="en-GB"/>
              </w:rPr>
              <w:t>Illegal cutting for firewood needs of the construction site</w:t>
            </w:r>
          </w:p>
        </w:tc>
        <w:tc>
          <w:tcPr>
            <w:tcW w:w="3840" w:type="dxa"/>
            <w:tcBorders>
              <w:bottom w:val="single" w:sz="4" w:space="0" w:color="auto"/>
              <w:right w:val="single" w:sz="8" w:space="0" w:color="000000"/>
            </w:tcBorders>
            <w:vAlign w:val="center"/>
          </w:tcPr>
          <w:p w14:paraId="6DEAF12D"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sidRPr="00F7435B">
              <w:rPr>
                <w:rFonts w:ascii="Arial" w:hAnsi="Arial" w:cs="Arial"/>
                <w:sz w:val="18"/>
                <w:szCs w:val="18"/>
                <w:lang w:val="en-GB"/>
              </w:rPr>
              <w:t>Formal prohibition of wood removal in the vegetation around the site. Procurement from approved suppliers</w:t>
            </w:r>
          </w:p>
        </w:tc>
        <w:tc>
          <w:tcPr>
            <w:tcW w:w="1461" w:type="dxa"/>
            <w:tcBorders>
              <w:bottom w:val="single" w:sz="8" w:space="0" w:color="000000"/>
              <w:right w:val="single" w:sz="8" w:space="0" w:color="000000"/>
            </w:tcBorders>
            <w:shd w:val="clear" w:color="auto" w:fill="00B050"/>
            <w:vAlign w:val="center"/>
          </w:tcPr>
          <w:p w14:paraId="69334D32"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Pr>
                <w:rFonts w:ascii="Arial" w:hAnsi="Arial" w:cs="Arial"/>
                <w:sz w:val="18"/>
                <w:szCs w:val="18"/>
              </w:rPr>
              <w:t xml:space="preserve"> Minor</w:t>
            </w:r>
          </w:p>
        </w:tc>
      </w:tr>
      <w:tr w:rsidR="009D49ED" w14:paraId="539509DA" w14:textId="77777777" w:rsidTr="00AE406E">
        <w:tc>
          <w:tcPr>
            <w:tcW w:w="4399" w:type="dxa"/>
            <w:vMerge w:val="restart"/>
            <w:tcBorders>
              <w:left w:val="single" w:sz="8" w:space="0" w:color="000000"/>
              <w:right w:val="single" w:sz="4" w:space="0" w:color="auto"/>
            </w:tcBorders>
            <w:vAlign w:val="center"/>
          </w:tcPr>
          <w:p w14:paraId="6724F10B"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lang w:val="en-GB"/>
              </w:rPr>
            </w:pPr>
            <w:r w:rsidRPr="00F7435B">
              <w:rPr>
                <w:rFonts w:ascii="Arial" w:hAnsi="Arial" w:cs="Arial"/>
                <w:sz w:val="18"/>
                <w:szCs w:val="18"/>
                <w:lang w:val="en-GB"/>
              </w:rPr>
              <w:t>Social conflicts due to the presence of external workers</w:t>
            </w:r>
          </w:p>
        </w:tc>
        <w:tc>
          <w:tcPr>
            <w:tcW w:w="3840" w:type="dxa"/>
            <w:tcBorders>
              <w:top w:val="single" w:sz="4" w:space="0" w:color="auto"/>
              <w:left w:val="single" w:sz="4" w:space="0" w:color="auto"/>
              <w:bottom w:val="single" w:sz="4" w:space="0" w:color="auto"/>
              <w:right w:val="single" w:sz="4" w:space="0" w:color="auto"/>
            </w:tcBorders>
          </w:tcPr>
          <w:p w14:paraId="0F402BB5" w14:textId="77777777" w:rsidR="009D49ED" w:rsidRPr="00244E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244E1F">
              <w:rPr>
                <w:rFonts w:ascii="Arial" w:hAnsi="Arial" w:cs="Arial"/>
                <w:sz w:val="18"/>
                <w:szCs w:val="18"/>
                <w:lang w:val="en-GB"/>
              </w:rPr>
              <w:t>Posting of job offers at the Fokontany and Commune level. Preliminary identification of cultural sites in the project area</w:t>
            </w:r>
          </w:p>
        </w:tc>
        <w:tc>
          <w:tcPr>
            <w:tcW w:w="1461" w:type="dxa"/>
            <w:tcBorders>
              <w:left w:val="single" w:sz="4" w:space="0" w:color="auto"/>
              <w:right w:val="single" w:sz="8" w:space="0" w:color="000000"/>
            </w:tcBorders>
            <w:shd w:val="clear" w:color="auto" w:fill="00B050"/>
            <w:vAlign w:val="center"/>
          </w:tcPr>
          <w:p w14:paraId="2BD98A22"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Pr>
                <w:rFonts w:ascii="Arial" w:hAnsi="Arial" w:cs="Arial"/>
                <w:sz w:val="18"/>
                <w:szCs w:val="18"/>
              </w:rPr>
              <w:t>Minor</w:t>
            </w:r>
          </w:p>
        </w:tc>
      </w:tr>
      <w:tr w:rsidR="009D49ED" w:rsidRPr="00160FB0" w14:paraId="7C1568C7" w14:textId="77777777" w:rsidTr="00AE406E">
        <w:tc>
          <w:tcPr>
            <w:tcW w:w="4399" w:type="dxa"/>
            <w:vMerge/>
            <w:tcBorders>
              <w:left w:val="single" w:sz="8" w:space="0" w:color="000000"/>
              <w:bottom w:val="single" w:sz="8" w:space="0" w:color="000000"/>
              <w:right w:val="single" w:sz="4" w:space="0" w:color="auto"/>
            </w:tcBorders>
            <w:vAlign w:val="center"/>
          </w:tcPr>
          <w:p w14:paraId="17A7BF53"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rPr>
            </w:pPr>
          </w:p>
        </w:tc>
        <w:tc>
          <w:tcPr>
            <w:tcW w:w="3840" w:type="dxa"/>
            <w:tcBorders>
              <w:top w:val="single" w:sz="4" w:space="0" w:color="auto"/>
              <w:left w:val="single" w:sz="4" w:space="0" w:color="auto"/>
              <w:bottom w:val="single" w:sz="4" w:space="0" w:color="auto"/>
              <w:right w:val="single" w:sz="4" w:space="0" w:color="auto"/>
            </w:tcBorders>
          </w:tcPr>
          <w:p w14:paraId="19637F70" w14:textId="77777777" w:rsidR="009D49ED" w:rsidRPr="00AE406E" w:rsidRDefault="009D49ED"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Information/sensitization of workers. Prioritization of local recruitment</w:t>
            </w:r>
          </w:p>
        </w:tc>
        <w:tc>
          <w:tcPr>
            <w:tcW w:w="1461" w:type="dxa"/>
            <w:tcBorders>
              <w:left w:val="single" w:sz="4" w:space="0" w:color="auto"/>
              <w:bottom w:val="single" w:sz="8" w:space="0" w:color="000000"/>
              <w:right w:val="single" w:sz="8" w:space="0" w:color="000000"/>
            </w:tcBorders>
            <w:shd w:val="clear" w:color="auto" w:fill="00B050"/>
            <w:vAlign w:val="center"/>
          </w:tcPr>
          <w:p w14:paraId="191CAC94"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lang w:val="en-GB"/>
              </w:rPr>
            </w:pPr>
            <w:r w:rsidRPr="00D8301F">
              <w:rPr>
                <w:rFonts w:ascii="Arial" w:hAnsi="Arial" w:cs="Arial"/>
                <w:sz w:val="18"/>
                <w:szCs w:val="18"/>
                <w:lang w:val="en-GB"/>
              </w:rPr>
              <w:t xml:space="preserve"> </w:t>
            </w:r>
          </w:p>
        </w:tc>
      </w:tr>
      <w:tr w:rsidR="009D49ED" w14:paraId="19CAEF25" w14:textId="77777777" w:rsidTr="00AE406E">
        <w:tc>
          <w:tcPr>
            <w:tcW w:w="4399" w:type="dxa"/>
            <w:vMerge w:val="restart"/>
            <w:tcBorders>
              <w:left w:val="single" w:sz="8" w:space="0" w:color="000000"/>
              <w:right w:val="single" w:sz="4" w:space="0" w:color="auto"/>
            </w:tcBorders>
            <w:vAlign w:val="center"/>
          </w:tcPr>
          <w:p w14:paraId="5C619147"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Pr>
                <w:rFonts w:ascii="Arial" w:hAnsi="Arial" w:cs="Arial"/>
                <w:sz w:val="18"/>
                <w:szCs w:val="18"/>
              </w:rPr>
              <w:t>Loss of goods (land,…)</w:t>
            </w:r>
          </w:p>
        </w:tc>
        <w:tc>
          <w:tcPr>
            <w:tcW w:w="3840" w:type="dxa"/>
            <w:tcBorders>
              <w:top w:val="single" w:sz="4" w:space="0" w:color="auto"/>
              <w:left w:val="single" w:sz="4" w:space="0" w:color="auto"/>
              <w:bottom w:val="single" w:sz="4" w:space="0" w:color="auto"/>
              <w:right w:val="single" w:sz="4" w:space="0" w:color="auto"/>
            </w:tcBorders>
          </w:tcPr>
          <w:p w14:paraId="260F3BB8" w14:textId="77777777" w:rsidR="009D49ED" w:rsidRPr="00AE406E" w:rsidRDefault="009D49ED"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Limiting the project's right-of-way to the strict minimum</w:t>
            </w:r>
          </w:p>
        </w:tc>
        <w:tc>
          <w:tcPr>
            <w:tcW w:w="1461" w:type="dxa"/>
            <w:tcBorders>
              <w:left w:val="single" w:sz="4" w:space="0" w:color="auto"/>
              <w:right w:val="single" w:sz="8" w:space="0" w:color="000000"/>
            </w:tcBorders>
            <w:shd w:val="clear" w:color="auto" w:fill="00B050"/>
            <w:vAlign w:val="center"/>
          </w:tcPr>
          <w:p w14:paraId="3172BD0A"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Pr>
                <w:rFonts w:ascii="Arial" w:hAnsi="Arial" w:cs="Arial"/>
                <w:sz w:val="18"/>
                <w:szCs w:val="18"/>
              </w:rPr>
              <w:t>Minor</w:t>
            </w:r>
          </w:p>
        </w:tc>
      </w:tr>
      <w:tr w:rsidR="009D49ED" w:rsidRPr="00160FB0" w14:paraId="1296F549" w14:textId="77777777" w:rsidTr="00AE406E">
        <w:tc>
          <w:tcPr>
            <w:tcW w:w="4399" w:type="dxa"/>
            <w:vMerge/>
            <w:tcBorders>
              <w:left w:val="single" w:sz="8" w:space="0" w:color="000000"/>
              <w:bottom w:val="single" w:sz="8" w:space="0" w:color="000000"/>
              <w:right w:val="single" w:sz="4" w:space="0" w:color="auto"/>
            </w:tcBorders>
            <w:vAlign w:val="center"/>
          </w:tcPr>
          <w:p w14:paraId="19450EFF"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rPr>
            </w:pPr>
          </w:p>
        </w:tc>
        <w:tc>
          <w:tcPr>
            <w:tcW w:w="3840" w:type="dxa"/>
            <w:tcBorders>
              <w:top w:val="single" w:sz="4" w:space="0" w:color="auto"/>
              <w:left w:val="single" w:sz="4" w:space="0" w:color="auto"/>
              <w:bottom w:val="single" w:sz="4" w:space="0" w:color="auto"/>
              <w:right w:val="single" w:sz="4" w:space="0" w:color="auto"/>
            </w:tcBorders>
          </w:tcPr>
          <w:p w14:paraId="095D1B17" w14:textId="77777777" w:rsidR="009D49ED" w:rsidRPr="00AE406E" w:rsidRDefault="009D49ED"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Implementation of a compensation system for the compensation of the PAPs' properties and activities</w:t>
            </w:r>
          </w:p>
        </w:tc>
        <w:tc>
          <w:tcPr>
            <w:tcW w:w="1461" w:type="dxa"/>
            <w:tcBorders>
              <w:left w:val="single" w:sz="4" w:space="0" w:color="auto"/>
              <w:bottom w:val="single" w:sz="8" w:space="0" w:color="000000"/>
              <w:right w:val="single" w:sz="8" w:space="0" w:color="000000"/>
            </w:tcBorders>
            <w:shd w:val="clear" w:color="auto" w:fill="00B050"/>
            <w:vAlign w:val="center"/>
          </w:tcPr>
          <w:p w14:paraId="53E4FBA6"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r>
      <w:tr w:rsidR="009D49ED" w14:paraId="663ED2AE" w14:textId="77777777" w:rsidTr="00AE406E">
        <w:tc>
          <w:tcPr>
            <w:tcW w:w="4399" w:type="dxa"/>
            <w:tcBorders>
              <w:left w:val="single" w:sz="8" w:space="0" w:color="000000"/>
              <w:bottom w:val="single" w:sz="8" w:space="0" w:color="000000"/>
              <w:right w:val="single" w:sz="8" w:space="0" w:color="000000"/>
            </w:tcBorders>
            <w:vAlign w:val="center"/>
          </w:tcPr>
          <w:p w14:paraId="444CAD2A"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lang w:val="en-GB"/>
              </w:rPr>
            </w:pPr>
            <w:r w:rsidRPr="00F7435B">
              <w:rPr>
                <w:rFonts w:ascii="Arial" w:hAnsi="Arial" w:cs="Arial"/>
                <w:sz w:val="18"/>
                <w:szCs w:val="18"/>
                <w:lang w:val="en-GB"/>
              </w:rPr>
              <w:t>Noise and vibration during transport</w:t>
            </w:r>
          </w:p>
        </w:tc>
        <w:tc>
          <w:tcPr>
            <w:tcW w:w="3840" w:type="dxa"/>
            <w:tcBorders>
              <w:top w:val="single" w:sz="4" w:space="0" w:color="auto"/>
              <w:bottom w:val="single" w:sz="4" w:space="0" w:color="auto"/>
              <w:right w:val="single" w:sz="8" w:space="0" w:color="000000"/>
            </w:tcBorders>
            <w:vAlign w:val="center"/>
          </w:tcPr>
          <w:p w14:paraId="4C9BEE36" w14:textId="77777777" w:rsidR="009D49ED" w:rsidRPr="00AE406E"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Carry out work that is likely to emit noise only during the day</w:t>
            </w:r>
          </w:p>
        </w:tc>
        <w:tc>
          <w:tcPr>
            <w:tcW w:w="1461" w:type="dxa"/>
            <w:tcBorders>
              <w:bottom w:val="single" w:sz="8" w:space="0" w:color="000000"/>
              <w:right w:val="single" w:sz="8" w:space="0" w:color="000000"/>
            </w:tcBorders>
            <w:shd w:val="clear" w:color="auto" w:fill="00B050"/>
            <w:vAlign w:val="center"/>
          </w:tcPr>
          <w:p w14:paraId="150E722D"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sidRPr="00D8301F">
              <w:rPr>
                <w:rFonts w:ascii="Arial" w:hAnsi="Arial" w:cs="Arial"/>
                <w:sz w:val="18"/>
                <w:szCs w:val="18"/>
                <w:lang w:val="en-GB"/>
              </w:rPr>
              <w:t xml:space="preserve"> </w:t>
            </w:r>
            <w:r>
              <w:rPr>
                <w:rFonts w:ascii="Arial" w:hAnsi="Arial" w:cs="Arial"/>
                <w:sz w:val="18"/>
                <w:szCs w:val="18"/>
              </w:rPr>
              <w:t>Minor</w:t>
            </w:r>
          </w:p>
        </w:tc>
      </w:tr>
      <w:tr w:rsidR="009D49ED" w14:paraId="675107F1" w14:textId="77777777" w:rsidTr="00AE406E">
        <w:tc>
          <w:tcPr>
            <w:tcW w:w="4399" w:type="dxa"/>
            <w:vMerge w:val="restart"/>
            <w:tcBorders>
              <w:left w:val="single" w:sz="8" w:space="0" w:color="000000"/>
              <w:right w:val="single" w:sz="4" w:space="0" w:color="auto"/>
            </w:tcBorders>
            <w:vAlign w:val="center"/>
          </w:tcPr>
          <w:p w14:paraId="13254F1B"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lang w:val="en-GB"/>
              </w:rPr>
            </w:pPr>
            <w:r w:rsidRPr="00D8301F">
              <w:rPr>
                <w:rFonts w:ascii="Arial" w:hAnsi="Arial" w:cs="Arial"/>
                <w:sz w:val="18"/>
                <w:szCs w:val="18"/>
                <w:lang w:val="en-GB"/>
              </w:rPr>
              <w:t xml:space="preserve">Transmission risk of the </w:t>
            </w:r>
            <w:r w:rsidRPr="00F7435B">
              <w:rPr>
                <w:rFonts w:ascii="Arial" w:hAnsi="Arial" w:cs="Arial"/>
                <w:sz w:val="18"/>
                <w:szCs w:val="18"/>
                <w:lang w:val="en-GB"/>
              </w:rPr>
              <w:t>communicable diseases</w:t>
            </w:r>
            <w:r w:rsidRPr="00D8301F">
              <w:rPr>
                <w:rFonts w:ascii="Arial" w:hAnsi="Arial" w:cs="Arial"/>
                <w:sz w:val="18"/>
                <w:szCs w:val="18"/>
                <w:lang w:val="en-GB"/>
              </w:rPr>
              <w:t xml:space="preserve"> (</w:t>
            </w:r>
            <w:r>
              <w:rPr>
                <w:rFonts w:ascii="Arial" w:hAnsi="Arial" w:cs="Arial"/>
                <w:sz w:val="18"/>
                <w:szCs w:val="18"/>
                <w:lang w:val="en-GB"/>
              </w:rPr>
              <w:t>STI</w:t>
            </w:r>
            <w:r w:rsidRPr="00D8301F">
              <w:rPr>
                <w:rFonts w:ascii="Arial" w:hAnsi="Arial" w:cs="Arial"/>
                <w:sz w:val="18"/>
                <w:szCs w:val="18"/>
                <w:lang w:val="en-GB"/>
              </w:rPr>
              <w:t>/</w:t>
            </w:r>
            <w:r>
              <w:rPr>
                <w:rFonts w:ascii="Arial" w:hAnsi="Arial" w:cs="Arial"/>
                <w:sz w:val="18"/>
                <w:szCs w:val="18"/>
                <w:lang w:val="en-GB"/>
              </w:rPr>
              <w:t>HIV</w:t>
            </w:r>
            <w:r w:rsidRPr="00D8301F">
              <w:rPr>
                <w:rFonts w:ascii="Arial" w:hAnsi="Arial" w:cs="Arial"/>
                <w:sz w:val="18"/>
                <w:szCs w:val="18"/>
                <w:lang w:val="en-GB"/>
              </w:rPr>
              <w:t xml:space="preserve"> AIDS, COVID</w:t>
            </w:r>
            <w:r>
              <w:rPr>
                <w:rFonts w:ascii="Arial" w:hAnsi="Arial" w:cs="Arial"/>
                <w:sz w:val="18"/>
                <w:szCs w:val="18"/>
                <w:lang w:val="en-GB"/>
              </w:rPr>
              <w:t>1</w:t>
            </w:r>
            <w:r w:rsidRPr="00D8301F">
              <w:rPr>
                <w:rFonts w:ascii="Arial" w:hAnsi="Arial" w:cs="Arial"/>
                <w:sz w:val="18"/>
                <w:szCs w:val="18"/>
                <w:lang w:val="en-GB"/>
              </w:rPr>
              <w:t>9)</w:t>
            </w:r>
          </w:p>
        </w:tc>
        <w:tc>
          <w:tcPr>
            <w:tcW w:w="3840" w:type="dxa"/>
            <w:tcBorders>
              <w:top w:val="single" w:sz="4" w:space="0" w:color="auto"/>
              <w:left w:val="single" w:sz="4" w:space="0" w:color="auto"/>
              <w:bottom w:val="single" w:sz="4" w:space="0" w:color="auto"/>
              <w:right w:val="single" w:sz="4" w:space="0" w:color="auto"/>
            </w:tcBorders>
          </w:tcPr>
          <w:p w14:paraId="195875E2" w14:textId="77777777" w:rsidR="009D49ED" w:rsidRPr="00AE406E" w:rsidRDefault="009D49ED"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 xml:space="preserve">Ensure the free and regular availability of condoms for the workforce until the end of the project </w:t>
            </w:r>
          </w:p>
        </w:tc>
        <w:tc>
          <w:tcPr>
            <w:tcW w:w="1461" w:type="dxa"/>
            <w:vMerge w:val="restart"/>
            <w:tcBorders>
              <w:left w:val="single" w:sz="4" w:space="0" w:color="auto"/>
              <w:right w:val="single" w:sz="8" w:space="0" w:color="000000"/>
            </w:tcBorders>
            <w:shd w:val="clear" w:color="auto" w:fill="00B050"/>
            <w:vAlign w:val="center"/>
          </w:tcPr>
          <w:p w14:paraId="71AF25FB"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Pr>
                <w:rFonts w:ascii="Arial" w:hAnsi="Arial" w:cs="Arial"/>
                <w:sz w:val="18"/>
                <w:szCs w:val="18"/>
              </w:rPr>
              <w:t>Minor</w:t>
            </w:r>
          </w:p>
        </w:tc>
      </w:tr>
      <w:tr w:rsidR="009D49ED" w:rsidRPr="00160FB0" w14:paraId="256ED911" w14:textId="77777777" w:rsidTr="00AE406E">
        <w:tc>
          <w:tcPr>
            <w:tcW w:w="4399" w:type="dxa"/>
            <w:vMerge/>
            <w:tcBorders>
              <w:left w:val="single" w:sz="8" w:space="0" w:color="000000"/>
              <w:bottom w:val="single" w:sz="8" w:space="0" w:color="000000"/>
              <w:right w:val="single" w:sz="4" w:space="0" w:color="auto"/>
            </w:tcBorders>
            <w:vAlign w:val="center"/>
          </w:tcPr>
          <w:p w14:paraId="2AAA88D6"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rPr>
            </w:pPr>
          </w:p>
        </w:tc>
        <w:tc>
          <w:tcPr>
            <w:tcW w:w="3840" w:type="dxa"/>
            <w:tcBorders>
              <w:top w:val="single" w:sz="4" w:space="0" w:color="auto"/>
              <w:left w:val="single" w:sz="4" w:space="0" w:color="auto"/>
              <w:bottom w:val="single" w:sz="4" w:space="0" w:color="auto"/>
              <w:right w:val="single" w:sz="4" w:space="0" w:color="auto"/>
            </w:tcBorders>
          </w:tcPr>
          <w:p w14:paraId="6B503CE0" w14:textId="77777777" w:rsidR="009D49ED" w:rsidRPr="00AE406E" w:rsidRDefault="009D49ED"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Information / sensitization of the company's personnel on the dangers and risks of STIs/AIDS. Information / awareness on local customs. Provision of a register of complaints to the local authorities</w:t>
            </w:r>
          </w:p>
        </w:tc>
        <w:tc>
          <w:tcPr>
            <w:tcW w:w="1461" w:type="dxa"/>
            <w:vMerge/>
            <w:tcBorders>
              <w:left w:val="single" w:sz="4" w:space="0" w:color="auto"/>
              <w:bottom w:val="single" w:sz="8" w:space="0" w:color="000000"/>
              <w:right w:val="single" w:sz="8" w:space="0" w:color="000000"/>
            </w:tcBorders>
            <w:vAlign w:val="center"/>
          </w:tcPr>
          <w:p w14:paraId="003C53FE"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r>
      <w:tr w:rsidR="009D49ED" w14:paraId="20DE1560" w14:textId="77777777" w:rsidTr="00AE406E">
        <w:tc>
          <w:tcPr>
            <w:tcW w:w="4399" w:type="dxa"/>
            <w:tcBorders>
              <w:top w:val="single" w:sz="8" w:space="0" w:color="000000"/>
              <w:left w:val="single" w:sz="4" w:space="0" w:color="000000"/>
              <w:bottom w:val="single" w:sz="8" w:space="0" w:color="000000"/>
              <w:right w:val="single" w:sz="8" w:space="0" w:color="000000"/>
            </w:tcBorders>
            <w:vAlign w:val="center"/>
          </w:tcPr>
          <w:p w14:paraId="288A37F2"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lang w:val="en-GB"/>
              </w:rPr>
            </w:pPr>
            <w:r w:rsidRPr="00096921">
              <w:rPr>
                <w:rFonts w:ascii="Arial" w:hAnsi="Arial" w:cs="Arial"/>
                <w:sz w:val="18"/>
                <w:szCs w:val="18"/>
                <w:lang w:val="en-GB"/>
              </w:rPr>
              <w:t>Risk of increased GBV, SEA/SH and unwanted pregnancy</w:t>
            </w:r>
            <w:r w:rsidRPr="00096921" w:rsidDel="00096921">
              <w:rPr>
                <w:rFonts w:ascii="Arial" w:hAnsi="Arial" w:cs="Arial"/>
                <w:sz w:val="18"/>
                <w:szCs w:val="18"/>
                <w:lang w:val="en-GB"/>
              </w:rPr>
              <w:t xml:space="preserve"> </w:t>
            </w:r>
          </w:p>
        </w:tc>
        <w:tc>
          <w:tcPr>
            <w:tcW w:w="3840" w:type="dxa"/>
            <w:tcBorders>
              <w:top w:val="single" w:sz="4" w:space="0" w:color="auto"/>
              <w:bottom w:val="single" w:sz="8" w:space="0" w:color="000000"/>
              <w:right w:val="single" w:sz="8" w:space="0" w:color="000000"/>
            </w:tcBorders>
            <w:vAlign w:val="center"/>
          </w:tcPr>
          <w:p w14:paraId="59910DD0"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lang w:val="en-GB"/>
              </w:rPr>
            </w:pPr>
            <w:r w:rsidRPr="00244E1F">
              <w:rPr>
                <w:rFonts w:ascii="Arial" w:hAnsi="Arial" w:cs="Arial"/>
                <w:sz w:val="18"/>
                <w:lang w:val="en-US"/>
              </w:rPr>
              <w:t>Information / sensitization of the company's personnel on the dangers and risks of STIs/AIDS. Information / awareness on local customs. Provision of a register of complaints to the local authorities</w:t>
            </w:r>
          </w:p>
        </w:tc>
        <w:tc>
          <w:tcPr>
            <w:tcW w:w="1461" w:type="dxa"/>
            <w:tcBorders>
              <w:bottom w:val="single" w:sz="8" w:space="0" w:color="000000"/>
              <w:right w:val="single" w:sz="8" w:space="0" w:color="000000"/>
            </w:tcBorders>
            <w:shd w:val="clear" w:color="auto" w:fill="00B050"/>
            <w:vAlign w:val="center"/>
          </w:tcPr>
          <w:p w14:paraId="2CCBC8AB"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Pr>
                <w:rFonts w:ascii="Arial" w:hAnsi="Arial" w:cs="Arial"/>
                <w:sz w:val="18"/>
                <w:szCs w:val="18"/>
              </w:rPr>
              <w:t>Minor</w:t>
            </w:r>
          </w:p>
        </w:tc>
      </w:tr>
      <w:tr w:rsidR="009D49ED" w14:paraId="458AC38C" w14:textId="77777777" w:rsidTr="00AE406E">
        <w:tc>
          <w:tcPr>
            <w:tcW w:w="4399" w:type="dxa"/>
            <w:tcBorders>
              <w:left w:val="single" w:sz="8" w:space="0" w:color="000000"/>
              <w:bottom w:val="single" w:sz="8" w:space="0" w:color="000000"/>
              <w:right w:val="single" w:sz="8" w:space="0" w:color="000000"/>
            </w:tcBorders>
            <w:vAlign w:val="center"/>
          </w:tcPr>
          <w:p w14:paraId="02E6C1C5"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sidRPr="00096921">
              <w:rPr>
                <w:rFonts w:ascii="Arial" w:hAnsi="Arial" w:cs="Arial"/>
                <w:sz w:val="18"/>
                <w:szCs w:val="18"/>
              </w:rPr>
              <w:t>Risk of traffic accidents</w:t>
            </w:r>
          </w:p>
        </w:tc>
        <w:tc>
          <w:tcPr>
            <w:tcW w:w="3840" w:type="dxa"/>
            <w:tcBorders>
              <w:bottom w:val="single" w:sz="4" w:space="0" w:color="auto"/>
              <w:right w:val="single" w:sz="8" w:space="0" w:color="000000"/>
            </w:tcBorders>
            <w:vAlign w:val="center"/>
          </w:tcPr>
          <w:p w14:paraId="69A45763"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lang w:val="en-GB"/>
              </w:rPr>
            </w:pPr>
            <w:r w:rsidRPr="00096921">
              <w:rPr>
                <w:rFonts w:ascii="Arial" w:hAnsi="Arial" w:cs="Arial"/>
                <w:sz w:val="18"/>
                <w:szCs w:val="18"/>
                <w:lang w:val="en-GB"/>
              </w:rPr>
              <w:t>Training / awareness on the risks of accidents related to each work station Respect of the instructions for driving the machines. Putting in place adequate warning signs. Wearing of adequate IPE</w:t>
            </w:r>
          </w:p>
        </w:tc>
        <w:tc>
          <w:tcPr>
            <w:tcW w:w="1461" w:type="dxa"/>
            <w:tcBorders>
              <w:bottom w:val="single" w:sz="8" w:space="0" w:color="000000"/>
              <w:right w:val="single" w:sz="8" w:space="0" w:color="000000"/>
            </w:tcBorders>
            <w:shd w:val="clear" w:color="auto" w:fill="00B050"/>
            <w:vAlign w:val="center"/>
          </w:tcPr>
          <w:p w14:paraId="60B97357"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Pr>
                <w:rFonts w:ascii="Arial" w:hAnsi="Arial" w:cs="Arial"/>
                <w:sz w:val="18"/>
                <w:szCs w:val="18"/>
              </w:rPr>
              <w:t>Minor</w:t>
            </w:r>
          </w:p>
        </w:tc>
      </w:tr>
      <w:tr w:rsidR="009D49ED" w14:paraId="14D72863" w14:textId="77777777" w:rsidTr="00AE406E">
        <w:tc>
          <w:tcPr>
            <w:tcW w:w="4399" w:type="dxa"/>
            <w:vMerge w:val="restart"/>
            <w:tcBorders>
              <w:left w:val="single" w:sz="8" w:space="0" w:color="000000"/>
              <w:right w:val="single" w:sz="4" w:space="0" w:color="auto"/>
            </w:tcBorders>
            <w:vAlign w:val="center"/>
          </w:tcPr>
          <w:p w14:paraId="777C9DC2" w14:textId="77777777" w:rsidR="009D49ED" w:rsidRPr="00244E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lang w:val="en-US"/>
              </w:rPr>
            </w:pPr>
            <w:r w:rsidRPr="00244E1F">
              <w:rPr>
                <w:rFonts w:ascii="Arial" w:hAnsi="Arial" w:cs="Arial"/>
                <w:sz w:val="18"/>
                <w:szCs w:val="18"/>
                <w:lang w:val="en-US"/>
              </w:rPr>
              <w:t>Risk of work-related accidents</w:t>
            </w:r>
          </w:p>
        </w:tc>
        <w:tc>
          <w:tcPr>
            <w:tcW w:w="3840" w:type="dxa"/>
            <w:tcBorders>
              <w:top w:val="single" w:sz="4" w:space="0" w:color="auto"/>
              <w:left w:val="single" w:sz="4" w:space="0" w:color="auto"/>
              <w:bottom w:val="single" w:sz="4" w:space="0" w:color="auto"/>
              <w:right w:val="single" w:sz="4" w:space="0" w:color="auto"/>
            </w:tcBorders>
          </w:tcPr>
          <w:p w14:paraId="02BD1BC2" w14:textId="77777777" w:rsidR="009D49ED" w:rsidRPr="00AE406E" w:rsidRDefault="009D49ED"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Training / awareness on the risks of accidents related to each workstation</w:t>
            </w:r>
          </w:p>
        </w:tc>
        <w:tc>
          <w:tcPr>
            <w:tcW w:w="1461" w:type="dxa"/>
            <w:vMerge w:val="restart"/>
            <w:tcBorders>
              <w:left w:val="single" w:sz="4" w:space="0" w:color="auto"/>
              <w:right w:val="single" w:sz="8" w:space="0" w:color="000000"/>
            </w:tcBorders>
            <w:shd w:val="clear" w:color="auto" w:fill="00B050"/>
            <w:vAlign w:val="center"/>
          </w:tcPr>
          <w:p w14:paraId="2BDE93C1"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Pr>
                <w:rFonts w:ascii="Arial" w:hAnsi="Arial" w:cs="Arial"/>
                <w:sz w:val="18"/>
                <w:szCs w:val="18"/>
              </w:rPr>
              <w:t>Minor</w:t>
            </w:r>
          </w:p>
        </w:tc>
      </w:tr>
      <w:tr w:rsidR="009D49ED" w14:paraId="0FC70AA5" w14:textId="77777777" w:rsidTr="00AE406E">
        <w:tc>
          <w:tcPr>
            <w:tcW w:w="4399" w:type="dxa"/>
            <w:vMerge/>
            <w:tcBorders>
              <w:left w:val="single" w:sz="8" w:space="0" w:color="000000"/>
              <w:bottom w:val="single" w:sz="8" w:space="0" w:color="000000"/>
              <w:right w:val="single" w:sz="4" w:space="0" w:color="auto"/>
            </w:tcBorders>
            <w:vAlign w:val="center"/>
          </w:tcPr>
          <w:p w14:paraId="1D351D35"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rPr>
            </w:pPr>
          </w:p>
        </w:tc>
        <w:tc>
          <w:tcPr>
            <w:tcW w:w="3840" w:type="dxa"/>
            <w:tcBorders>
              <w:top w:val="single" w:sz="4" w:space="0" w:color="auto"/>
              <w:left w:val="single" w:sz="4" w:space="0" w:color="auto"/>
              <w:bottom w:val="single" w:sz="4" w:space="0" w:color="auto"/>
              <w:right w:val="single" w:sz="4" w:space="0" w:color="auto"/>
            </w:tcBorders>
          </w:tcPr>
          <w:p w14:paraId="19AE396C" w14:textId="77777777" w:rsidR="009D49ED" w:rsidRPr="00AE406E" w:rsidRDefault="009D49ED"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Wearing of adequate IPE</w:t>
            </w:r>
          </w:p>
        </w:tc>
        <w:tc>
          <w:tcPr>
            <w:tcW w:w="1461" w:type="dxa"/>
            <w:vMerge/>
            <w:tcBorders>
              <w:left w:val="single" w:sz="4" w:space="0" w:color="auto"/>
              <w:bottom w:val="single" w:sz="8" w:space="0" w:color="000000"/>
              <w:right w:val="single" w:sz="8" w:space="0" w:color="000000"/>
            </w:tcBorders>
            <w:vAlign w:val="center"/>
          </w:tcPr>
          <w:p w14:paraId="4BDD9C6E"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rPr>
            </w:pPr>
          </w:p>
        </w:tc>
      </w:tr>
      <w:tr w:rsidR="009D49ED" w14:paraId="79C98799" w14:textId="77777777" w:rsidTr="00AE406E">
        <w:tc>
          <w:tcPr>
            <w:tcW w:w="4399" w:type="dxa"/>
            <w:tcBorders>
              <w:left w:val="single" w:sz="8" w:space="0" w:color="000000"/>
              <w:bottom w:val="single" w:sz="8" w:space="0" w:color="000000"/>
              <w:right w:val="single" w:sz="8" w:space="0" w:color="000000"/>
            </w:tcBorders>
            <w:vAlign w:val="center"/>
          </w:tcPr>
          <w:p w14:paraId="61F017E2"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lang w:val="en-GB"/>
              </w:rPr>
            </w:pPr>
            <w:r w:rsidRPr="00D8301F">
              <w:rPr>
                <w:rFonts w:ascii="Arial" w:hAnsi="Arial" w:cs="Arial"/>
                <w:sz w:val="18"/>
                <w:szCs w:val="18"/>
                <w:lang w:val="en-GB"/>
              </w:rPr>
              <w:t>Risk of fire and explosion</w:t>
            </w:r>
          </w:p>
        </w:tc>
        <w:tc>
          <w:tcPr>
            <w:tcW w:w="3840" w:type="dxa"/>
            <w:tcBorders>
              <w:top w:val="single" w:sz="4" w:space="0" w:color="auto"/>
              <w:bottom w:val="single" w:sz="8" w:space="0" w:color="000000"/>
              <w:right w:val="single" w:sz="8" w:space="0" w:color="000000"/>
            </w:tcBorders>
            <w:vAlign w:val="center"/>
          </w:tcPr>
          <w:p w14:paraId="52D11EEE" w14:textId="77777777" w:rsidR="009D49ED" w:rsidRPr="00AE406E"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Installation of fire-fighting devices</w:t>
            </w:r>
          </w:p>
        </w:tc>
        <w:tc>
          <w:tcPr>
            <w:tcW w:w="1461" w:type="dxa"/>
            <w:tcBorders>
              <w:bottom w:val="single" w:sz="8" w:space="0" w:color="000000"/>
              <w:right w:val="single" w:sz="8" w:space="0" w:color="000000"/>
            </w:tcBorders>
            <w:shd w:val="clear" w:color="auto" w:fill="00B050"/>
            <w:vAlign w:val="center"/>
          </w:tcPr>
          <w:p w14:paraId="3B9C6488"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Pr>
                <w:rFonts w:ascii="Arial" w:hAnsi="Arial" w:cs="Arial"/>
                <w:sz w:val="18"/>
                <w:szCs w:val="18"/>
              </w:rPr>
              <w:t>Minor</w:t>
            </w:r>
          </w:p>
        </w:tc>
      </w:tr>
      <w:tr w:rsidR="009D49ED" w14:paraId="6ECA577D" w14:textId="77777777" w:rsidTr="006E13C8">
        <w:tc>
          <w:tcPr>
            <w:tcW w:w="9700" w:type="dxa"/>
            <w:gridSpan w:val="3"/>
            <w:tcBorders>
              <w:left w:val="single" w:sz="8" w:space="0" w:color="000000"/>
              <w:bottom w:val="single" w:sz="8" w:space="0" w:color="000000"/>
              <w:right w:val="single" w:sz="8" w:space="0" w:color="000000"/>
            </w:tcBorders>
            <w:shd w:val="clear" w:color="auto" w:fill="00B0F0"/>
            <w:vAlign w:val="center"/>
          </w:tcPr>
          <w:p w14:paraId="436402C0"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pPr>
            <w:r w:rsidRPr="00AF3677">
              <w:rPr>
                <w:rFonts w:ascii="Arial" w:hAnsi="Arial" w:cs="Arial"/>
                <w:b/>
                <w:bCs/>
                <w:sz w:val="18"/>
                <w:szCs w:val="18"/>
              </w:rPr>
              <w:t>Withdrawal from the site</w:t>
            </w:r>
          </w:p>
        </w:tc>
      </w:tr>
      <w:tr w:rsidR="009D49ED" w14:paraId="46E87993" w14:textId="77777777" w:rsidTr="00AE406E">
        <w:tc>
          <w:tcPr>
            <w:tcW w:w="4399" w:type="dxa"/>
            <w:vMerge w:val="restart"/>
            <w:tcBorders>
              <w:left w:val="single" w:sz="8" w:space="0" w:color="000000"/>
              <w:right w:val="single" w:sz="4" w:space="0" w:color="auto"/>
            </w:tcBorders>
            <w:vAlign w:val="center"/>
          </w:tcPr>
          <w:p w14:paraId="638B4B26"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sidRPr="00096921">
              <w:rPr>
                <w:rFonts w:ascii="Arial" w:hAnsi="Arial" w:cs="Arial"/>
                <w:sz w:val="18"/>
                <w:szCs w:val="18"/>
              </w:rPr>
              <w:t>Risk of traffic accidents</w:t>
            </w:r>
          </w:p>
        </w:tc>
        <w:tc>
          <w:tcPr>
            <w:tcW w:w="3840" w:type="dxa"/>
            <w:tcBorders>
              <w:top w:val="single" w:sz="4" w:space="0" w:color="auto"/>
              <w:left w:val="single" w:sz="4" w:space="0" w:color="auto"/>
              <w:bottom w:val="single" w:sz="4" w:space="0" w:color="auto"/>
              <w:right w:val="single" w:sz="4" w:space="0" w:color="auto"/>
            </w:tcBorders>
          </w:tcPr>
          <w:p w14:paraId="71CECAA4" w14:textId="77777777" w:rsidR="009D49ED" w:rsidRPr="00AE406E" w:rsidRDefault="009D49ED"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Implementation of a traffic plan</w:t>
            </w:r>
          </w:p>
        </w:tc>
        <w:tc>
          <w:tcPr>
            <w:tcW w:w="1461" w:type="dxa"/>
            <w:vMerge w:val="restart"/>
            <w:tcBorders>
              <w:left w:val="single" w:sz="4" w:space="0" w:color="auto"/>
              <w:right w:val="single" w:sz="8" w:space="0" w:color="000000"/>
            </w:tcBorders>
            <w:shd w:val="clear" w:color="auto" w:fill="00B050"/>
            <w:vAlign w:val="center"/>
          </w:tcPr>
          <w:p w14:paraId="2540ED9D"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Pr>
                <w:rFonts w:ascii="Arial" w:hAnsi="Arial" w:cs="Arial"/>
                <w:sz w:val="18"/>
                <w:szCs w:val="18"/>
              </w:rPr>
              <w:t>Minor</w:t>
            </w:r>
          </w:p>
        </w:tc>
      </w:tr>
      <w:tr w:rsidR="009D49ED" w14:paraId="1EA59119" w14:textId="77777777" w:rsidTr="00AE406E">
        <w:tc>
          <w:tcPr>
            <w:tcW w:w="4399" w:type="dxa"/>
            <w:vMerge/>
            <w:tcBorders>
              <w:left w:val="single" w:sz="8" w:space="0" w:color="000000"/>
              <w:bottom w:val="single" w:sz="8" w:space="0" w:color="000000"/>
              <w:right w:val="single" w:sz="4" w:space="0" w:color="auto"/>
            </w:tcBorders>
            <w:vAlign w:val="center"/>
          </w:tcPr>
          <w:p w14:paraId="5F8CD890"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rPr>
            </w:pPr>
          </w:p>
        </w:tc>
        <w:tc>
          <w:tcPr>
            <w:tcW w:w="3840" w:type="dxa"/>
            <w:tcBorders>
              <w:top w:val="single" w:sz="4" w:space="0" w:color="auto"/>
              <w:left w:val="single" w:sz="4" w:space="0" w:color="auto"/>
              <w:bottom w:val="single" w:sz="4" w:space="0" w:color="auto"/>
              <w:right w:val="single" w:sz="4" w:space="0" w:color="auto"/>
            </w:tcBorders>
          </w:tcPr>
          <w:p w14:paraId="395CF630" w14:textId="77777777" w:rsidR="009D49ED" w:rsidRPr="00AE406E" w:rsidRDefault="009D49ED"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Respect of the devices set up. Signage</w:t>
            </w:r>
          </w:p>
        </w:tc>
        <w:tc>
          <w:tcPr>
            <w:tcW w:w="1461" w:type="dxa"/>
            <w:vMerge/>
            <w:tcBorders>
              <w:left w:val="single" w:sz="4" w:space="0" w:color="auto"/>
              <w:bottom w:val="single" w:sz="8" w:space="0" w:color="000000"/>
              <w:right w:val="single" w:sz="8" w:space="0" w:color="000000"/>
            </w:tcBorders>
            <w:vAlign w:val="center"/>
          </w:tcPr>
          <w:p w14:paraId="3E5D5C2A"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rPr>
            </w:pPr>
          </w:p>
        </w:tc>
      </w:tr>
      <w:tr w:rsidR="009D49ED" w14:paraId="6099EE80" w14:textId="77777777" w:rsidTr="006E13C8">
        <w:tc>
          <w:tcPr>
            <w:tcW w:w="9700" w:type="dxa"/>
            <w:gridSpan w:val="3"/>
            <w:tcBorders>
              <w:left w:val="single" w:sz="8" w:space="0" w:color="000000"/>
              <w:bottom w:val="single" w:sz="8" w:space="0" w:color="000000"/>
              <w:right w:val="single" w:sz="8" w:space="0" w:color="000000"/>
            </w:tcBorders>
            <w:shd w:val="clear" w:color="auto" w:fill="00B0F0"/>
            <w:vAlign w:val="center"/>
          </w:tcPr>
          <w:p w14:paraId="50BC3DC1"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pPr>
            <w:r w:rsidRPr="00A0775B">
              <w:rPr>
                <w:rFonts w:ascii="Arial" w:hAnsi="Arial" w:cs="Arial"/>
                <w:b/>
                <w:bCs/>
                <w:sz w:val="18"/>
                <w:szCs w:val="18"/>
              </w:rPr>
              <w:t>Operation phase</w:t>
            </w:r>
          </w:p>
        </w:tc>
      </w:tr>
      <w:tr w:rsidR="009D49ED" w14:paraId="7DDF83AF" w14:textId="77777777" w:rsidTr="00AE406E">
        <w:tc>
          <w:tcPr>
            <w:tcW w:w="4399" w:type="dxa"/>
            <w:tcBorders>
              <w:left w:val="single" w:sz="8" w:space="0" w:color="000000"/>
              <w:bottom w:val="single" w:sz="8" w:space="0" w:color="000000"/>
              <w:right w:val="single" w:sz="8" w:space="0" w:color="000000"/>
            </w:tcBorders>
            <w:vAlign w:val="center"/>
          </w:tcPr>
          <w:p w14:paraId="0C5F9918"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lang w:val="en-GB"/>
              </w:rPr>
            </w:pPr>
            <w:r w:rsidRPr="00A0775B">
              <w:rPr>
                <w:rFonts w:ascii="Arial" w:hAnsi="Arial" w:cs="Arial"/>
                <w:sz w:val="18"/>
                <w:szCs w:val="18"/>
                <w:lang w:val="en-GB"/>
              </w:rPr>
              <w:t>Risk of water resource depletion due to PV washing needs</w:t>
            </w:r>
          </w:p>
        </w:tc>
        <w:tc>
          <w:tcPr>
            <w:tcW w:w="3840" w:type="dxa"/>
            <w:tcBorders>
              <w:bottom w:val="single" w:sz="8" w:space="0" w:color="000000"/>
              <w:right w:val="single" w:sz="8" w:space="0" w:color="000000"/>
            </w:tcBorders>
            <w:vAlign w:val="center"/>
          </w:tcPr>
          <w:p w14:paraId="4A80D31C"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lang w:val="en-GB"/>
              </w:rPr>
            </w:pPr>
            <w:r w:rsidRPr="00A0775B">
              <w:rPr>
                <w:rFonts w:ascii="Arial" w:hAnsi="Arial" w:cs="Arial"/>
                <w:sz w:val="18"/>
                <w:szCs w:val="18"/>
                <w:lang w:val="en-GB"/>
              </w:rPr>
              <w:t>Implementation of a wastewater recovery and treatment system for reuse</w:t>
            </w:r>
          </w:p>
        </w:tc>
        <w:tc>
          <w:tcPr>
            <w:tcW w:w="1461" w:type="dxa"/>
            <w:tcBorders>
              <w:bottom w:val="single" w:sz="8" w:space="0" w:color="000000"/>
              <w:right w:val="single" w:sz="8" w:space="0" w:color="000000"/>
            </w:tcBorders>
            <w:shd w:val="clear" w:color="auto" w:fill="00B050"/>
            <w:vAlign w:val="center"/>
          </w:tcPr>
          <w:p w14:paraId="4B2FA526"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Pr>
                <w:rFonts w:ascii="Arial" w:hAnsi="Arial" w:cs="Arial"/>
                <w:sz w:val="18"/>
                <w:szCs w:val="18"/>
              </w:rPr>
              <w:t>Minor</w:t>
            </w:r>
          </w:p>
        </w:tc>
      </w:tr>
      <w:tr w:rsidR="009D49ED" w14:paraId="1D1EA019" w14:textId="77777777" w:rsidTr="00AE406E">
        <w:tc>
          <w:tcPr>
            <w:tcW w:w="4399" w:type="dxa"/>
            <w:tcBorders>
              <w:left w:val="single" w:sz="8" w:space="0" w:color="000000"/>
              <w:bottom w:val="single" w:sz="8" w:space="0" w:color="000000"/>
              <w:right w:val="single" w:sz="8" w:space="0" w:color="000000"/>
            </w:tcBorders>
            <w:vAlign w:val="center"/>
          </w:tcPr>
          <w:p w14:paraId="02CBCB76"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lang w:val="en-GB"/>
              </w:rPr>
            </w:pPr>
            <w:r w:rsidRPr="00A0775B">
              <w:rPr>
                <w:rFonts w:ascii="Arial" w:hAnsi="Arial" w:cs="Arial"/>
                <w:sz w:val="18"/>
                <w:szCs w:val="18"/>
                <w:lang w:val="en-GB"/>
              </w:rPr>
              <w:t>Creation of electromagnetic fields (EMF) that can disturb the local fauna</w:t>
            </w:r>
          </w:p>
        </w:tc>
        <w:tc>
          <w:tcPr>
            <w:tcW w:w="3840" w:type="dxa"/>
            <w:tcBorders>
              <w:bottom w:val="single" w:sz="8" w:space="0" w:color="000000"/>
              <w:right w:val="single" w:sz="8" w:space="0" w:color="000000"/>
            </w:tcBorders>
            <w:vAlign w:val="center"/>
          </w:tcPr>
          <w:p w14:paraId="5F491D25"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lang w:val="en-GB"/>
              </w:rPr>
            </w:pPr>
            <w:r w:rsidRPr="00A0775B">
              <w:rPr>
                <w:rFonts w:ascii="Arial" w:hAnsi="Arial" w:cs="Arial"/>
                <w:sz w:val="18"/>
                <w:szCs w:val="18"/>
                <w:lang w:val="en-GB"/>
              </w:rPr>
              <w:t>Setting up sites for the installation of PV parks, cell towers.... On sites far from Protected Areas and other sites of high biodiversity potential</w:t>
            </w:r>
          </w:p>
        </w:tc>
        <w:tc>
          <w:tcPr>
            <w:tcW w:w="1461" w:type="dxa"/>
            <w:tcBorders>
              <w:bottom w:val="single" w:sz="8" w:space="0" w:color="000000"/>
              <w:right w:val="single" w:sz="8" w:space="0" w:color="000000"/>
            </w:tcBorders>
            <w:shd w:val="clear" w:color="auto" w:fill="00B050"/>
            <w:vAlign w:val="center"/>
          </w:tcPr>
          <w:p w14:paraId="12F005E3"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Pr>
                <w:rFonts w:ascii="Arial" w:hAnsi="Arial" w:cs="Arial"/>
                <w:sz w:val="18"/>
                <w:szCs w:val="18"/>
              </w:rPr>
              <w:t>Minor</w:t>
            </w:r>
          </w:p>
        </w:tc>
      </w:tr>
      <w:tr w:rsidR="009D49ED" w14:paraId="5E1F0778" w14:textId="77777777" w:rsidTr="00AE406E">
        <w:tc>
          <w:tcPr>
            <w:tcW w:w="4399" w:type="dxa"/>
            <w:tcBorders>
              <w:left w:val="single" w:sz="8" w:space="0" w:color="000000"/>
              <w:bottom w:val="single" w:sz="8" w:space="0" w:color="000000"/>
              <w:right w:val="single" w:sz="8" w:space="0" w:color="000000"/>
            </w:tcBorders>
            <w:vAlign w:val="center"/>
          </w:tcPr>
          <w:p w14:paraId="3AF08F43"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lang w:val="en-GB"/>
              </w:rPr>
            </w:pPr>
            <w:r w:rsidRPr="00A0775B">
              <w:rPr>
                <w:rFonts w:ascii="Arial" w:hAnsi="Arial" w:cs="Arial"/>
                <w:sz w:val="18"/>
                <w:szCs w:val="18"/>
                <w:lang w:val="en-GB"/>
              </w:rPr>
              <w:t>Solid waste accumulation including waste electrical and electronic equipment (WEEE)</w:t>
            </w:r>
          </w:p>
        </w:tc>
        <w:tc>
          <w:tcPr>
            <w:tcW w:w="3840" w:type="dxa"/>
            <w:tcBorders>
              <w:bottom w:val="single" w:sz="8" w:space="0" w:color="000000"/>
              <w:right w:val="single" w:sz="8" w:space="0" w:color="000000"/>
            </w:tcBorders>
            <w:vAlign w:val="center"/>
          </w:tcPr>
          <w:p w14:paraId="39B4CF50" w14:textId="77777777" w:rsidR="009D49ED" w:rsidRPr="00454F21"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lang w:val="en-US"/>
              </w:rPr>
            </w:pPr>
            <w:r w:rsidRPr="00A0775B">
              <w:rPr>
                <w:rFonts w:ascii="Arial" w:hAnsi="Arial" w:cs="Arial"/>
                <w:sz w:val="18"/>
                <w:szCs w:val="18"/>
                <w:lang w:val="en-GB"/>
              </w:rPr>
              <w:t xml:space="preserve">Implementation of a Solid and Liquid Waste Management Plan, especially for lubricants/insulators of transformers and </w:t>
            </w:r>
            <w:r w:rsidRPr="00A0775B">
              <w:rPr>
                <w:rFonts w:ascii="Arial" w:hAnsi="Arial" w:cs="Arial"/>
                <w:sz w:val="18"/>
                <w:szCs w:val="18"/>
                <w:lang w:val="en-GB"/>
              </w:rPr>
              <w:lastRenderedPageBreak/>
              <w:t>emergency generators, gels in batteries, waste water...  (WMP). Promote the recycling of WEEE</w:t>
            </w:r>
          </w:p>
        </w:tc>
        <w:tc>
          <w:tcPr>
            <w:tcW w:w="1461" w:type="dxa"/>
            <w:tcBorders>
              <w:bottom w:val="single" w:sz="8" w:space="0" w:color="000000"/>
              <w:right w:val="single" w:sz="8" w:space="0" w:color="000000"/>
            </w:tcBorders>
            <w:shd w:val="clear" w:color="auto" w:fill="00B050"/>
            <w:vAlign w:val="center"/>
          </w:tcPr>
          <w:p w14:paraId="6881FEF6"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Pr>
                <w:rFonts w:ascii="Arial" w:hAnsi="Arial" w:cs="Arial"/>
                <w:sz w:val="18"/>
                <w:szCs w:val="18"/>
              </w:rPr>
              <w:lastRenderedPageBreak/>
              <w:t>Minor</w:t>
            </w:r>
          </w:p>
        </w:tc>
      </w:tr>
      <w:tr w:rsidR="009D49ED" w14:paraId="34B49B85" w14:textId="77777777" w:rsidTr="00AE406E">
        <w:tc>
          <w:tcPr>
            <w:tcW w:w="4399" w:type="dxa"/>
            <w:tcBorders>
              <w:left w:val="single" w:sz="8" w:space="0" w:color="000000"/>
              <w:bottom w:val="single" w:sz="8" w:space="0" w:color="000000"/>
              <w:right w:val="single" w:sz="8" w:space="0" w:color="000000"/>
            </w:tcBorders>
            <w:vAlign w:val="center"/>
          </w:tcPr>
          <w:p w14:paraId="676E7A35" w14:textId="77777777" w:rsidR="009D49ED" w:rsidRPr="00F01166"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0775B">
              <w:rPr>
                <w:rFonts w:ascii="Arial" w:hAnsi="Arial" w:cs="Arial"/>
                <w:sz w:val="18"/>
                <w:szCs w:val="18"/>
                <w:lang w:val="en-US"/>
              </w:rPr>
              <w:t>Potential conflict related to the use of water for cleaning solar panels</w:t>
            </w:r>
          </w:p>
        </w:tc>
        <w:tc>
          <w:tcPr>
            <w:tcW w:w="3840" w:type="dxa"/>
            <w:tcBorders>
              <w:bottom w:val="single" w:sz="8" w:space="0" w:color="000000"/>
              <w:right w:val="single" w:sz="8" w:space="0" w:color="000000"/>
            </w:tcBorders>
            <w:vAlign w:val="center"/>
          </w:tcPr>
          <w:p w14:paraId="14532783"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lang w:val="en-GB"/>
              </w:rPr>
            </w:pPr>
            <w:r w:rsidRPr="00A0775B">
              <w:rPr>
                <w:rFonts w:ascii="Arial" w:hAnsi="Arial" w:cs="Arial"/>
                <w:sz w:val="18"/>
                <w:szCs w:val="18"/>
                <w:lang w:val="en-GB"/>
              </w:rPr>
              <w:t>Information and awareness on the good management of water resources</w:t>
            </w:r>
          </w:p>
        </w:tc>
        <w:tc>
          <w:tcPr>
            <w:tcW w:w="1461" w:type="dxa"/>
            <w:tcBorders>
              <w:bottom w:val="single" w:sz="8" w:space="0" w:color="000000"/>
              <w:right w:val="single" w:sz="8" w:space="0" w:color="000000"/>
            </w:tcBorders>
            <w:shd w:val="clear" w:color="auto" w:fill="00B050"/>
            <w:vAlign w:val="center"/>
          </w:tcPr>
          <w:p w14:paraId="551F816A"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Pr>
                <w:rFonts w:ascii="Arial" w:hAnsi="Arial" w:cs="Arial"/>
                <w:sz w:val="18"/>
                <w:szCs w:val="18"/>
              </w:rPr>
              <w:t>Minor</w:t>
            </w:r>
          </w:p>
        </w:tc>
      </w:tr>
      <w:tr w:rsidR="009D49ED" w14:paraId="16A5166B" w14:textId="77777777" w:rsidTr="00AE406E">
        <w:tc>
          <w:tcPr>
            <w:tcW w:w="4399" w:type="dxa"/>
            <w:tcBorders>
              <w:left w:val="single" w:sz="8" w:space="0" w:color="000000"/>
              <w:bottom w:val="single" w:sz="8" w:space="0" w:color="000000"/>
              <w:right w:val="single" w:sz="8" w:space="0" w:color="000000"/>
            </w:tcBorders>
            <w:vAlign w:val="center"/>
          </w:tcPr>
          <w:p w14:paraId="0FBF1942" w14:textId="77777777" w:rsidR="009D49ED" w:rsidRPr="00244E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lang w:val="en-US"/>
              </w:rPr>
            </w:pPr>
            <w:r w:rsidRPr="00244E1F">
              <w:rPr>
                <w:rFonts w:ascii="Arial" w:hAnsi="Arial" w:cs="Arial"/>
                <w:sz w:val="18"/>
                <w:szCs w:val="18"/>
                <w:lang w:val="en-US"/>
              </w:rPr>
              <w:t>Risk of disruption of morals</w:t>
            </w:r>
          </w:p>
        </w:tc>
        <w:tc>
          <w:tcPr>
            <w:tcW w:w="3840" w:type="dxa"/>
            <w:tcBorders>
              <w:bottom w:val="single" w:sz="4" w:space="0" w:color="auto"/>
              <w:right w:val="single" w:sz="8" w:space="0" w:color="000000"/>
            </w:tcBorders>
            <w:vAlign w:val="center"/>
          </w:tcPr>
          <w:p w14:paraId="3138A795" w14:textId="77777777" w:rsidR="009D49ED" w:rsidRPr="00A0775B"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40" w:lineRule="auto"/>
              <w:jc w:val="both"/>
              <w:rPr>
                <w:rFonts w:ascii="Arial" w:hAnsi="Arial" w:cs="Arial"/>
                <w:sz w:val="18"/>
                <w:szCs w:val="18"/>
                <w:lang w:val="en-GB"/>
              </w:rPr>
            </w:pPr>
            <w:r w:rsidRPr="00A0775B">
              <w:rPr>
                <w:rFonts w:ascii="Arial" w:hAnsi="Arial" w:cs="Arial"/>
                <w:sz w:val="18"/>
                <w:szCs w:val="18"/>
                <w:lang w:val="en-GB"/>
              </w:rPr>
              <w:t xml:space="preserve">Information/awareness on the use of ICTs and the risks they present. </w:t>
            </w:r>
          </w:p>
          <w:p w14:paraId="6581D837" w14:textId="77777777" w:rsidR="009D49ED" w:rsidRPr="00A0775B"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40" w:lineRule="auto"/>
              <w:jc w:val="both"/>
              <w:rPr>
                <w:rFonts w:ascii="Arial" w:hAnsi="Arial" w:cs="Arial"/>
                <w:sz w:val="18"/>
                <w:szCs w:val="18"/>
                <w:lang w:val="en-GB"/>
              </w:rPr>
            </w:pPr>
            <w:r w:rsidRPr="00A0775B">
              <w:rPr>
                <w:rFonts w:ascii="Arial" w:hAnsi="Arial" w:cs="Arial"/>
                <w:sz w:val="18"/>
                <w:szCs w:val="18"/>
                <w:lang w:val="en-GB"/>
              </w:rPr>
              <w:t xml:space="preserve">Training of authorities in charge of national security on the use of ICT. </w:t>
            </w:r>
          </w:p>
          <w:p w14:paraId="4150B50F"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40" w:lineRule="auto"/>
              <w:jc w:val="both"/>
              <w:rPr>
                <w:lang w:val="en-GB"/>
              </w:rPr>
            </w:pPr>
            <w:r w:rsidRPr="00A0775B">
              <w:rPr>
                <w:rFonts w:ascii="Arial" w:hAnsi="Arial" w:cs="Arial"/>
                <w:sz w:val="18"/>
                <w:szCs w:val="18"/>
                <w:lang w:val="en-GB"/>
              </w:rPr>
              <w:t>Training and sensitization of the population on the importance of mutual respect</w:t>
            </w:r>
          </w:p>
        </w:tc>
        <w:tc>
          <w:tcPr>
            <w:tcW w:w="1461" w:type="dxa"/>
            <w:tcBorders>
              <w:bottom w:val="single" w:sz="8" w:space="0" w:color="000000"/>
              <w:right w:val="single" w:sz="8" w:space="0" w:color="000000"/>
            </w:tcBorders>
            <w:shd w:val="clear" w:color="auto" w:fill="00B050"/>
            <w:vAlign w:val="center"/>
          </w:tcPr>
          <w:p w14:paraId="503EDCAF"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Pr>
                <w:rFonts w:ascii="Arial" w:hAnsi="Arial" w:cs="Arial"/>
                <w:sz w:val="18"/>
                <w:szCs w:val="18"/>
              </w:rPr>
              <w:t>Minor</w:t>
            </w:r>
          </w:p>
        </w:tc>
      </w:tr>
      <w:tr w:rsidR="009D49ED" w14:paraId="04EEC086" w14:textId="77777777" w:rsidTr="00AE406E">
        <w:tc>
          <w:tcPr>
            <w:tcW w:w="4399" w:type="dxa"/>
            <w:vMerge w:val="restart"/>
            <w:tcBorders>
              <w:left w:val="single" w:sz="8" w:space="0" w:color="000000"/>
              <w:right w:val="single" w:sz="4" w:space="0" w:color="auto"/>
            </w:tcBorders>
            <w:vAlign w:val="center"/>
          </w:tcPr>
          <w:p w14:paraId="5659CF7A" w14:textId="77777777" w:rsidR="009D49ED" w:rsidRPr="00F01166"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US"/>
              </w:rPr>
            </w:pPr>
            <w:r w:rsidRPr="00A0775B">
              <w:rPr>
                <w:rFonts w:ascii="Arial" w:hAnsi="Arial" w:cs="Arial"/>
                <w:sz w:val="18"/>
                <w:szCs w:val="18"/>
                <w:lang w:val="en-US"/>
              </w:rPr>
              <w:t>Creation of EMF at solar power plants and cell towers</w:t>
            </w:r>
          </w:p>
        </w:tc>
        <w:tc>
          <w:tcPr>
            <w:tcW w:w="3840" w:type="dxa"/>
            <w:tcBorders>
              <w:top w:val="single" w:sz="4" w:space="0" w:color="auto"/>
              <w:left w:val="single" w:sz="4" w:space="0" w:color="auto"/>
              <w:bottom w:val="single" w:sz="4" w:space="0" w:color="auto"/>
              <w:right w:val="single" w:sz="4" w:space="0" w:color="auto"/>
            </w:tcBorders>
          </w:tcPr>
          <w:p w14:paraId="4E795589" w14:textId="77777777" w:rsidR="009D49ED" w:rsidRPr="00AE406E" w:rsidRDefault="009D49ED"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40" w:lineRule="auto"/>
              <w:jc w:val="both"/>
              <w:rPr>
                <w:rFonts w:ascii="Arial" w:hAnsi="Arial" w:cs="Arial"/>
                <w:sz w:val="18"/>
                <w:szCs w:val="18"/>
                <w:lang w:val="en-GB"/>
              </w:rPr>
            </w:pPr>
            <w:r w:rsidRPr="00AE406E">
              <w:rPr>
                <w:rFonts w:ascii="Arial" w:hAnsi="Arial" w:cs="Arial"/>
                <w:sz w:val="18"/>
                <w:szCs w:val="18"/>
                <w:lang w:val="en-GB"/>
              </w:rPr>
              <w:t>Compliance of the installation with standards</w:t>
            </w:r>
          </w:p>
        </w:tc>
        <w:tc>
          <w:tcPr>
            <w:tcW w:w="1461" w:type="dxa"/>
            <w:vMerge w:val="restart"/>
            <w:tcBorders>
              <w:left w:val="single" w:sz="4" w:space="0" w:color="auto"/>
              <w:right w:val="single" w:sz="8" w:space="0" w:color="000000"/>
            </w:tcBorders>
            <w:shd w:val="clear" w:color="auto" w:fill="00B050"/>
            <w:vAlign w:val="center"/>
          </w:tcPr>
          <w:p w14:paraId="1FD336EC"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Pr>
                <w:rFonts w:ascii="Arial" w:hAnsi="Arial" w:cs="Arial"/>
                <w:sz w:val="18"/>
                <w:szCs w:val="18"/>
              </w:rPr>
              <w:t>Minor</w:t>
            </w:r>
          </w:p>
        </w:tc>
      </w:tr>
      <w:tr w:rsidR="009D49ED" w:rsidRPr="00160FB0" w14:paraId="3C926A06" w14:textId="77777777" w:rsidTr="00AE406E">
        <w:tc>
          <w:tcPr>
            <w:tcW w:w="4399" w:type="dxa"/>
            <w:vMerge/>
            <w:tcBorders>
              <w:left w:val="single" w:sz="8" w:space="0" w:color="000000"/>
              <w:right w:val="single" w:sz="4" w:space="0" w:color="auto"/>
            </w:tcBorders>
            <w:vAlign w:val="center"/>
          </w:tcPr>
          <w:p w14:paraId="565C7E6A"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rPr>
            </w:pPr>
          </w:p>
        </w:tc>
        <w:tc>
          <w:tcPr>
            <w:tcW w:w="3840" w:type="dxa"/>
            <w:tcBorders>
              <w:top w:val="single" w:sz="4" w:space="0" w:color="auto"/>
              <w:left w:val="single" w:sz="4" w:space="0" w:color="auto"/>
              <w:bottom w:val="single" w:sz="4" w:space="0" w:color="auto"/>
              <w:right w:val="single" w:sz="4" w:space="0" w:color="auto"/>
            </w:tcBorders>
          </w:tcPr>
          <w:p w14:paraId="356A8904" w14:textId="77777777" w:rsidR="009D49ED" w:rsidRPr="00AE406E" w:rsidRDefault="009D49ED"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40" w:lineRule="auto"/>
              <w:jc w:val="both"/>
              <w:rPr>
                <w:rFonts w:ascii="Arial" w:hAnsi="Arial" w:cs="Arial"/>
                <w:sz w:val="18"/>
                <w:szCs w:val="18"/>
                <w:lang w:val="en-GB"/>
              </w:rPr>
            </w:pPr>
            <w:r w:rsidRPr="00AE406E">
              <w:rPr>
                <w:rFonts w:ascii="Arial" w:hAnsi="Arial" w:cs="Arial"/>
                <w:sz w:val="18"/>
                <w:szCs w:val="18"/>
                <w:lang w:val="en-GB"/>
              </w:rPr>
              <w:t>Electrical and electromagnetic isolation of equipment in Faraday chambers)</w:t>
            </w:r>
          </w:p>
        </w:tc>
        <w:tc>
          <w:tcPr>
            <w:tcW w:w="1461" w:type="dxa"/>
            <w:vMerge/>
            <w:tcBorders>
              <w:left w:val="single" w:sz="4" w:space="0" w:color="auto"/>
              <w:right w:val="single" w:sz="8" w:space="0" w:color="000000"/>
            </w:tcBorders>
            <w:vAlign w:val="center"/>
          </w:tcPr>
          <w:p w14:paraId="5317367E"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r>
      <w:tr w:rsidR="009D49ED" w:rsidRPr="00160FB0" w14:paraId="5B95E0AF" w14:textId="77777777" w:rsidTr="00AE406E">
        <w:tc>
          <w:tcPr>
            <w:tcW w:w="4399" w:type="dxa"/>
            <w:vMerge/>
            <w:tcBorders>
              <w:left w:val="single" w:sz="8" w:space="0" w:color="000000"/>
              <w:right w:val="single" w:sz="4" w:space="0" w:color="auto"/>
            </w:tcBorders>
            <w:vAlign w:val="center"/>
          </w:tcPr>
          <w:p w14:paraId="57FA3162"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3840" w:type="dxa"/>
            <w:tcBorders>
              <w:top w:val="single" w:sz="4" w:space="0" w:color="auto"/>
              <w:left w:val="single" w:sz="4" w:space="0" w:color="auto"/>
              <w:bottom w:val="single" w:sz="4" w:space="0" w:color="auto"/>
              <w:right w:val="single" w:sz="4" w:space="0" w:color="auto"/>
            </w:tcBorders>
          </w:tcPr>
          <w:p w14:paraId="34456833" w14:textId="77777777" w:rsidR="009D49ED" w:rsidRPr="00AE406E" w:rsidRDefault="009D49ED"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40" w:lineRule="auto"/>
              <w:jc w:val="both"/>
              <w:rPr>
                <w:rFonts w:ascii="Arial" w:hAnsi="Arial" w:cs="Arial"/>
                <w:sz w:val="18"/>
                <w:szCs w:val="18"/>
                <w:lang w:val="en-GB"/>
              </w:rPr>
            </w:pPr>
            <w:r w:rsidRPr="00AE406E">
              <w:rPr>
                <w:rFonts w:ascii="Arial" w:hAnsi="Arial" w:cs="Arial"/>
                <w:sz w:val="18"/>
                <w:szCs w:val="18"/>
                <w:lang w:val="en-GB"/>
              </w:rPr>
              <w:t>The distance of the buildings to 3,5m from the MV cables</w:t>
            </w:r>
          </w:p>
        </w:tc>
        <w:tc>
          <w:tcPr>
            <w:tcW w:w="1461" w:type="dxa"/>
            <w:vMerge/>
            <w:tcBorders>
              <w:left w:val="single" w:sz="4" w:space="0" w:color="auto"/>
              <w:right w:val="single" w:sz="8" w:space="0" w:color="000000"/>
            </w:tcBorders>
            <w:vAlign w:val="center"/>
          </w:tcPr>
          <w:p w14:paraId="65BB4012"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r>
      <w:tr w:rsidR="009D49ED" w:rsidRPr="00160FB0" w14:paraId="03BF2DF7" w14:textId="77777777" w:rsidTr="00AE406E">
        <w:tc>
          <w:tcPr>
            <w:tcW w:w="4399" w:type="dxa"/>
            <w:vMerge/>
            <w:tcBorders>
              <w:left w:val="single" w:sz="8" w:space="0" w:color="000000"/>
              <w:right w:val="single" w:sz="4" w:space="0" w:color="auto"/>
            </w:tcBorders>
            <w:vAlign w:val="center"/>
          </w:tcPr>
          <w:p w14:paraId="1FD973DD"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3840" w:type="dxa"/>
            <w:tcBorders>
              <w:top w:val="single" w:sz="4" w:space="0" w:color="auto"/>
              <w:left w:val="single" w:sz="4" w:space="0" w:color="auto"/>
              <w:bottom w:val="single" w:sz="4" w:space="0" w:color="auto"/>
              <w:right w:val="single" w:sz="4" w:space="0" w:color="auto"/>
            </w:tcBorders>
          </w:tcPr>
          <w:p w14:paraId="743EBA67" w14:textId="77777777" w:rsidR="009D49ED" w:rsidRPr="00AE406E" w:rsidRDefault="009D49ED"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40" w:lineRule="auto"/>
              <w:jc w:val="both"/>
              <w:rPr>
                <w:rFonts w:ascii="Arial" w:hAnsi="Arial" w:cs="Arial"/>
                <w:sz w:val="18"/>
                <w:szCs w:val="18"/>
                <w:lang w:val="en-GB"/>
              </w:rPr>
            </w:pPr>
            <w:r w:rsidRPr="00AE406E">
              <w:rPr>
                <w:rFonts w:ascii="Arial" w:hAnsi="Arial" w:cs="Arial"/>
                <w:sz w:val="18"/>
                <w:szCs w:val="18"/>
                <w:lang w:val="en-GB"/>
              </w:rPr>
              <w:t>The limit distance (0,75m) of approach to the cables</w:t>
            </w:r>
          </w:p>
        </w:tc>
        <w:tc>
          <w:tcPr>
            <w:tcW w:w="1461" w:type="dxa"/>
            <w:vMerge/>
            <w:tcBorders>
              <w:left w:val="single" w:sz="4" w:space="0" w:color="auto"/>
              <w:right w:val="single" w:sz="8" w:space="0" w:color="000000"/>
            </w:tcBorders>
            <w:vAlign w:val="center"/>
          </w:tcPr>
          <w:p w14:paraId="2581E872"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r>
      <w:tr w:rsidR="009D49ED" w:rsidRPr="00160FB0" w14:paraId="09634003" w14:textId="77777777" w:rsidTr="00AE406E">
        <w:tc>
          <w:tcPr>
            <w:tcW w:w="4399" w:type="dxa"/>
            <w:vMerge/>
            <w:tcBorders>
              <w:left w:val="single" w:sz="8" w:space="0" w:color="000000"/>
              <w:bottom w:val="single" w:sz="8" w:space="0" w:color="000000"/>
              <w:right w:val="single" w:sz="4" w:space="0" w:color="auto"/>
            </w:tcBorders>
            <w:vAlign w:val="center"/>
          </w:tcPr>
          <w:p w14:paraId="58531A52"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3840" w:type="dxa"/>
            <w:tcBorders>
              <w:top w:val="single" w:sz="4" w:space="0" w:color="auto"/>
              <w:left w:val="single" w:sz="4" w:space="0" w:color="auto"/>
              <w:bottom w:val="single" w:sz="4" w:space="0" w:color="auto"/>
              <w:right w:val="single" w:sz="4" w:space="0" w:color="auto"/>
            </w:tcBorders>
          </w:tcPr>
          <w:p w14:paraId="0725A178" w14:textId="77777777" w:rsidR="009D49ED" w:rsidRPr="00AE406E" w:rsidRDefault="009D49ED"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40" w:lineRule="auto"/>
              <w:jc w:val="both"/>
              <w:rPr>
                <w:rFonts w:ascii="Arial" w:hAnsi="Arial" w:cs="Arial"/>
                <w:sz w:val="18"/>
                <w:szCs w:val="18"/>
                <w:lang w:val="en-GB"/>
              </w:rPr>
            </w:pPr>
            <w:r w:rsidRPr="00AE406E">
              <w:rPr>
                <w:rFonts w:ascii="Arial" w:hAnsi="Arial" w:cs="Arial"/>
                <w:sz w:val="18"/>
                <w:szCs w:val="18"/>
                <w:lang w:val="en-GB"/>
              </w:rPr>
              <w:t>Working distance (2m) from the cables</w:t>
            </w:r>
          </w:p>
        </w:tc>
        <w:tc>
          <w:tcPr>
            <w:tcW w:w="1461" w:type="dxa"/>
            <w:vMerge/>
            <w:tcBorders>
              <w:left w:val="single" w:sz="4" w:space="0" w:color="auto"/>
              <w:bottom w:val="single" w:sz="8" w:space="0" w:color="000000"/>
              <w:right w:val="single" w:sz="8" w:space="0" w:color="000000"/>
            </w:tcBorders>
            <w:vAlign w:val="center"/>
          </w:tcPr>
          <w:p w14:paraId="49B03EBA"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r>
      <w:tr w:rsidR="009D49ED" w14:paraId="67850D5F" w14:textId="77777777" w:rsidTr="00AE406E">
        <w:tc>
          <w:tcPr>
            <w:tcW w:w="4399" w:type="dxa"/>
            <w:tcBorders>
              <w:left w:val="single" w:sz="8" w:space="0" w:color="000000"/>
              <w:bottom w:val="single" w:sz="8" w:space="0" w:color="000000"/>
              <w:right w:val="single" w:sz="8" w:space="0" w:color="000000"/>
            </w:tcBorders>
            <w:vAlign w:val="center"/>
          </w:tcPr>
          <w:p w14:paraId="3F9B6FC8"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lang w:val="en-GB"/>
              </w:rPr>
            </w:pPr>
            <w:r w:rsidRPr="00A0775B">
              <w:rPr>
                <w:rFonts w:ascii="Arial" w:hAnsi="Arial" w:cs="Arial"/>
                <w:sz w:val="18"/>
                <w:szCs w:val="18"/>
                <w:lang w:val="en-GB"/>
              </w:rPr>
              <w:t>Risk of accident and fire</w:t>
            </w:r>
          </w:p>
        </w:tc>
        <w:tc>
          <w:tcPr>
            <w:tcW w:w="3840" w:type="dxa"/>
            <w:tcBorders>
              <w:top w:val="single" w:sz="4" w:space="0" w:color="auto"/>
              <w:bottom w:val="single" w:sz="8" w:space="0" w:color="000000"/>
              <w:right w:val="single" w:sz="8" w:space="0" w:color="000000"/>
            </w:tcBorders>
            <w:vAlign w:val="center"/>
          </w:tcPr>
          <w:p w14:paraId="491C2A71"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lang w:val="en-GB"/>
              </w:rPr>
            </w:pPr>
            <w:r w:rsidRPr="00A0775B">
              <w:rPr>
                <w:rFonts w:ascii="Arial" w:hAnsi="Arial" w:cs="Arial"/>
                <w:sz w:val="18"/>
                <w:szCs w:val="18"/>
                <w:lang w:val="en-GB"/>
              </w:rPr>
              <w:t>Implementation of a prevention and intervention plan in case of fire: adequate extinguisher (CO</w:t>
            </w:r>
            <w:r w:rsidRPr="00244E1F">
              <w:rPr>
                <w:rFonts w:ascii="Arial" w:hAnsi="Arial" w:cs="Arial"/>
                <w:sz w:val="18"/>
                <w:szCs w:val="18"/>
                <w:vertAlign w:val="subscript"/>
                <w:lang w:val="en-GB"/>
              </w:rPr>
              <w:t>2</w:t>
            </w:r>
            <w:r w:rsidRPr="00A0775B">
              <w:rPr>
                <w:rFonts w:ascii="Arial" w:hAnsi="Arial" w:cs="Arial"/>
                <w:sz w:val="18"/>
                <w:szCs w:val="18"/>
                <w:lang w:val="en-GB"/>
              </w:rPr>
              <w:t>)</w:t>
            </w:r>
          </w:p>
        </w:tc>
        <w:tc>
          <w:tcPr>
            <w:tcW w:w="1461" w:type="dxa"/>
            <w:tcBorders>
              <w:bottom w:val="single" w:sz="8" w:space="0" w:color="000000"/>
              <w:right w:val="single" w:sz="8" w:space="0" w:color="000000"/>
            </w:tcBorders>
            <w:shd w:val="clear" w:color="auto" w:fill="00B050"/>
            <w:vAlign w:val="center"/>
          </w:tcPr>
          <w:p w14:paraId="58950246"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Pr>
                <w:rFonts w:ascii="Arial" w:hAnsi="Arial" w:cs="Arial"/>
                <w:sz w:val="18"/>
                <w:szCs w:val="18"/>
              </w:rPr>
              <w:t>Minor</w:t>
            </w:r>
          </w:p>
        </w:tc>
      </w:tr>
      <w:tr w:rsidR="009D49ED" w14:paraId="18614BB7" w14:textId="77777777" w:rsidTr="00AE406E">
        <w:tc>
          <w:tcPr>
            <w:tcW w:w="4399" w:type="dxa"/>
            <w:tcBorders>
              <w:left w:val="single" w:sz="8" w:space="0" w:color="000000"/>
              <w:bottom w:val="single" w:sz="4" w:space="0" w:color="000000"/>
              <w:right w:val="single" w:sz="8" w:space="0" w:color="000000"/>
            </w:tcBorders>
            <w:vAlign w:val="center"/>
          </w:tcPr>
          <w:p w14:paraId="765EDC76"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lang w:val="en-GB"/>
              </w:rPr>
            </w:pPr>
            <w:r w:rsidRPr="00A0775B">
              <w:rPr>
                <w:rFonts w:ascii="Arial" w:hAnsi="Arial" w:cs="Arial"/>
                <w:sz w:val="18"/>
                <w:szCs w:val="18"/>
                <w:lang w:val="en-GB"/>
              </w:rPr>
              <w:t>Risks related to theft and intrusion</w:t>
            </w:r>
          </w:p>
        </w:tc>
        <w:tc>
          <w:tcPr>
            <w:tcW w:w="3840" w:type="dxa"/>
            <w:tcBorders>
              <w:bottom w:val="single" w:sz="8" w:space="0" w:color="000000"/>
              <w:right w:val="single" w:sz="8" w:space="0" w:color="000000"/>
            </w:tcBorders>
            <w:vAlign w:val="center"/>
          </w:tcPr>
          <w:p w14:paraId="303C8ABD" w14:textId="77777777" w:rsidR="009D49ED" w:rsidRPr="00D8301F" w:rsidRDefault="009D49ED" w:rsidP="00AE406E">
            <w:pPr>
              <w:rPr>
                <w:lang w:val="en-GB"/>
              </w:rPr>
            </w:pPr>
            <w:r w:rsidRPr="00A0775B">
              <w:rPr>
                <w:lang w:val="en-GB"/>
              </w:rPr>
              <w:t>Implementation of a security system for the site: fence, surveillance camera, restricted access and control post at the entrance</w:t>
            </w:r>
          </w:p>
        </w:tc>
        <w:tc>
          <w:tcPr>
            <w:tcW w:w="1461" w:type="dxa"/>
            <w:tcBorders>
              <w:bottom w:val="single" w:sz="8" w:space="0" w:color="000000"/>
              <w:right w:val="single" w:sz="8" w:space="0" w:color="000000"/>
            </w:tcBorders>
            <w:shd w:val="clear" w:color="auto" w:fill="00B050"/>
            <w:vAlign w:val="center"/>
          </w:tcPr>
          <w:p w14:paraId="1DA32F7B"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Pr>
                <w:rFonts w:ascii="Arial" w:hAnsi="Arial" w:cs="Arial"/>
                <w:sz w:val="18"/>
                <w:szCs w:val="18"/>
              </w:rPr>
              <w:t>Minor</w:t>
            </w:r>
          </w:p>
        </w:tc>
      </w:tr>
      <w:tr w:rsidR="009D49ED" w14:paraId="403F8E2A" w14:textId="77777777" w:rsidTr="00AE406E">
        <w:tc>
          <w:tcPr>
            <w:tcW w:w="4399" w:type="dxa"/>
            <w:tcBorders>
              <w:top w:val="single" w:sz="4" w:space="0" w:color="000000"/>
              <w:left w:val="single" w:sz="4" w:space="0" w:color="000000"/>
              <w:bottom w:val="single" w:sz="4" w:space="0" w:color="000000"/>
              <w:right w:val="single" w:sz="4" w:space="0" w:color="000000"/>
            </w:tcBorders>
            <w:vAlign w:val="center"/>
          </w:tcPr>
          <w:p w14:paraId="67A270A3"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lang w:val="en-GB"/>
              </w:rPr>
            </w:pPr>
            <w:r w:rsidRPr="00A0775B">
              <w:rPr>
                <w:rFonts w:ascii="Arial" w:hAnsi="Arial" w:cs="Arial"/>
                <w:sz w:val="18"/>
                <w:szCs w:val="18"/>
                <w:lang w:val="en-GB"/>
              </w:rPr>
              <w:t>Risk of increase in cases of GBV, SEA/SH due to the use of the internet</w:t>
            </w:r>
          </w:p>
        </w:tc>
        <w:tc>
          <w:tcPr>
            <w:tcW w:w="3840" w:type="dxa"/>
            <w:tcBorders>
              <w:left w:val="single" w:sz="4" w:space="0" w:color="000000"/>
              <w:bottom w:val="single" w:sz="8" w:space="0" w:color="000000"/>
              <w:right w:val="single" w:sz="8" w:space="0" w:color="000000"/>
            </w:tcBorders>
            <w:vAlign w:val="center"/>
          </w:tcPr>
          <w:p w14:paraId="5DC81027" w14:textId="77777777" w:rsidR="009D49ED" w:rsidRPr="00A0775B"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40" w:lineRule="auto"/>
              <w:jc w:val="both"/>
              <w:rPr>
                <w:rFonts w:ascii="Arial" w:hAnsi="Arial" w:cs="Arial"/>
                <w:sz w:val="18"/>
                <w:szCs w:val="18"/>
                <w:lang w:val="en-GB"/>
              </w:rPr>
            </w:pPr>
            <w:r w:rsidRPr="00A0775B">
              <w:rPr>
                <w:rFonts w:ascii="Arial" w:hAnsi="Arial" w:cs="Arial"/>
                <w:sz w:val="18"/>
                <w:szCs w:val="18"/>
                <w:lang w:val="en-GB"/>
              </w:rPr>
              <w:t xml:space="preserve">Awareness training for Internet users. </w:t>
            </w:r>
          </w:p>
          <w:p w14:paraId="5F209A6F" w14:textId="77777777" w:rsidR="009D49ED" w:rsidRPr="00A0775B"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40" w:lineRule="auto"/>
              <w:jc w:val="both"/>
              <w:rPr>
                <w:rFonts w:ascii="Arial" w:hAnsi="Arial" w:cs="Arial"/>
                <w:sz w:val="18"/>
                <w:szCs w:val="18"/>
                <w:lang w:val="en-GB"/>
              </w:rPr>
            </w:pPr>
            <w:r w:rsidRPr="00A0775B">
              <w:rPr>
                <w:rFonts w:ascii="Arial" w:hAnsi="Arial" w:cs="Arial"/>
                <w:sz w:val="18"/>
                <w:szCs w:val="18"/>
                <w:lang w:val="en-GB"/>
              </w:rPr>
              <w:t>Raising awareness on the importance of parental control for children's internet access.</w:t>
            </w:r>
          </w:p>
          <w:p w14:paraId="00D16E3E" w14:textId="77777777" w:rsidR="009D49ED" w:rsidRPr="00A0775B"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40" w:lineRule="auto"/>
              <w:jc w:val="both"/>
              <w:rPr>
                <w:rFonts w:ascii="Arial" w:hAnsi="Arial" w:cs="Arial"/>
                <w:sz w:val="18"/>
                <w:szCs w:val="18"/>
                <w:lang w:val="en-GB"/>
              </w:rPr>
            </w:pPr>
            <w:r w:rsidRPr="00A0775B">
              <w:rPr>
                <w:rFonts w:ascii="Arial" w:hAnsi="Arial" w:cs="Arial"/>
                <w:sz w:val="18"/>
                <w:szCs w:val="18"/>
                <w:lang w:val="en-GB"/>
              </w:rPr>
              <w:t xml:space="preserve">Set up a structure to manage GBV and ASR/HS complaints </w:t>
            </w:r>
          </w:p>
          <w:p w14:paraId="7D7EF2CC"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40" w:lineRule="auto"/>
              <w:jc w:val="both"/>
              <w:rPr>
                <w:lang w:val="en-GB"/>
              </w:rPr>
            </w:pPr>
            <w:r w:rsidRPr="00A0775B">
              <w:rPr>
                <w:rFonts w:ascii="Arial" w:hAnsi="Arial" w:cs="Arial"/>
                <w:sz w:val="18"/>
                <w:szCs w:val="18"/>
                <w:lang w:val="en-GB"/>
              </w:rPr>
              <w:t>Capacity building and training for the authorities involved (national police, gendarmerie, etc.)</w:t>
            </w:r>
          </w:p>
        </w:tc>
        <w:tc>
          <w:tcPr>
            <w:tcW w:w="1461" w:type="dxa"/>
            <w:tcBorders>
              <w:bottom w:val="single" w:sz="8" w:space="0" w:color="000000"/>
              <w:right w:val="single" w:sz="8" w:space="0" w:color="000000"/>
            </w:tcBorders>
            <w:shd w:val="clear" w:color="auto" w:fill="00B050"/>
            <w:vAlign w:val="center"/>
          </w:tcPr>
          <w:p w14:paraId="0A3577BF"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Pr>
                <w:rFonts w:ascii="Arial" w:hAnsi="Arial" w:cs="Arial"/>
                <w:sz w:val="18"/>
                <w:szCs w:val="18"/>
              </w:rPr>
              <w:t>Minor</w:t>
            </w:r>
          </w:p>
        </w:tc>
      </w:tr>
      <w:tr w:rsidR="009D49ED" w14:paraId="22EE689A" w14:textId="77777777" w:rsidTr="00AE406E">
        <w:tc>
          <w:tcPr>
            <w:tcW w:w="4399" w:type="dxa"/>
            <w:tcBorders>
              <w:top w:val="single" w:sz="4" w:space="0" w:color="000000"/>
              <w:left w:val="single" w:sz="4" w:space="0" w:color="000000"/>
              <w:bottom w:val="single" w:sz="4" w:space="0" w:color="000000"/>
              <w:right w:val="single" w:sz="4" w:space="0" w:color="000000"/>
            </w:tcBorders>
            <w:vAlign w:val="center"/>
          </w:tcPr>
          <w:p w14:paraId="613DA870"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lang w:val="en-GB"/>
              </w:rPr>
            </w:pPr>
            <w:r w:rsidRPr="00A0775B">
              <w:rPr>
                <w:rFonts w:ascii="Arial" w:hAnsi="Arial" w:cs="Arial"/>
                <w:sz w:val="18"/>
                <w:szCs w:val="18"/>
                <w:lang w:val="en-GB"/>
              </w:rPr>
              <w:t>Risk of an increase in cybercrime cases</w:t>
            </w:r>
          </w:p>
        </w:tc>
        <w:tc>
          <w:tcPr>
            <w:tcW w:w="3840" w:type="dxa"/>
            <w:tcBorders>
              <w:left w:val="single" w:sz="4" w:space="0" w:color="000000"/>
              <w:bottom w:val="single" w:sz="8" w:space="0" w:color="000000"/>
              <w:right w:val="single" w:sz="8" w:space="0" w:color="000000"/>
            </w:tcBorders>
            <w:vAlign w:val="center"/>
          </w:tcPr>
          <w:p w14:paraId="1573BFF5"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sidRPr="00A0775B">
              <w:rPr>
                <w:rFonts w:ascii="Arial" w:hAnsi="Arial" w:cs="Arial"/>
                <w:sz w:val="18"/>
                <w:szCs w:val="18"/>
                <w:lang w:val="en-GB"/>
              </w:rPr>
              <w:t>Capacity building and training of the authorities concerned (national police, gendarmerie...). Provision of equipment to fight cybercrime</w:t>
            </w:r>
          </w:p>
        </w:tc>
        <w:tc>
          <w:tcPr>
            <w:tcW w:w="1461" w:type="dxa"/>
            <w:tcBorders>
              <w:bottom w:val="single" w:sz="8" w:space="0" w:color="000000"/>
              <w:right w:val="single" w:sz="8" w:space="0" w:color="000000"/>
            </w:tcBorders>
            <w:shd w:val="clear" w:color="auto" w:fill="00B050"/>
            <w:vAlign w:val="center"/>
          </w:tcPr>
          <w:p w14:paraId="1497E9BB"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Pr>
                <w:rFonts w:ascii="Arial" w:hAnsi="Arial" w:cs="Arial"/>
                <w:sz w:val="18"/>
                <w:szCs w:val="18"/>
              </w:rPr>
              <w:t>Minor</w:t>
            </w:r>
          </w:p>
        </w:tc>
      </w:tr>
      <w:tr w:rsidR="009D49ED" w14:paraId="6BFE0B9A" w14:textId="77777777" w:rsidTr="00AE406E">
        <w:tc>
          <w:tcPr>
            <w:tcW w:w="4399" w:type="dxa"/>
            <w:vMerge w:val="restart"/>
            <w:tcBorders>
              <w:top w:val="single" w:sz="4" w:space="0" w:color="000000"/>
              <w:left w:val="single" w:sz="4" w:space="0" w:color="000000"/>
              <w:right w:val="single" w:sz="4" w:space="0" w:color="000000"/>
            </w:tcBorders>
            <w:vAlign w:val="center"/>
          </w:tcPr>
          <w:p w14:paraId="2F2FA23B"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0775B">
              <w:rPr>
                <w:rFonts w:ascii="Arial" w:hAnsi="Arial" w:cs="Arial"/>
                <w:sz w:val="18"/>
                <w:szCs w:val="18"/>
                <w:lang w:val="en-GB"/>
              </w:rPr>
              <w:t>Dam breakage to public safety and loss of property</w:t>
            </w:r>
          </w:p>
        </w:tc>
        <w:tc>
          <w:tcPr>
            <w:tcW w:w="3840" w:type="dxa"/>
            <w:tcBorders>
              <w:left w:val="single" w:sz="4" w:space="0" w:color="000000"/>
              <w:bottom w:val="single" w:sz="8" w:space="0" w:color="000000"/>
              <w:right w:val="single" w:sz="8" w:space="0" w:color="000000"/>
            </w:tcBorders>
          </w:tcPr>
          <w:p w14:paraId="516F7372" w14:textId="77777777" w:rsidR="009D49ED" w:rsidRPr="00AE406E" w:rsidRDefault="009D49ED"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40" w:lineRule="auto"/>
              <w:jc w:val="both"/>
              <w:rPr>
                <w:rFonts w:ascii="Arial" w:hAnsi="Arial" w:cs="Arial"/>
                <w:sz w:val="18"/>
                <w:szCs w:val="18"/>
                <w:lang w:val="en-GB"/>
              </w:rPr>
            </w:pPr>
            <w:r w:rsidRPr="00AE406E">
              <w:rPr>
                <w:rFonts w:ascii="Arial" w:hAnsi="Arial" w:cs="Arial"/>
                <w:sz w:val="18"/>
                <w:szCs w:val="18"/>
                <w:lang w:val="en-GB"/>
              </w:rPr>
              <w:t>Development of a Dam Management Manual</w:t>
            </w:r>
          </w:p>
        </w:tc>
        <w:tc>
          <w:tcPr>
            <w:tcW w:w="1461" w:type="dxa"/>
            <w:vMerge w:val="restart"/>
            <w:tcBorders>
              <w:right w:val="single" w:sz="8" w:space="0" w:color="000000"/>
            </w:tcBorders>
            <w:shd w:val="clear" w:color="auto" w:fill="00B050"/>
            <w:vAlign w:val="center"/>
          </w:tcPr>
          <w:p w14:paraId="3BACB73A"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rPr>
            </w:pPr>
            <w:r>
              <w:rPr>
                <w:rFonts w:ascii="Arial" w:hAnsi="Arial" w:cs="Arial"/>
                <w:sz w:val="18"/>
                <w:szCs w:val="18"/>
              </w:rPr>
              <w:t>Minor</w:t>
            </w:r>
          </w:p>
        </w:tc>
      </w:tr>
      <w:tr w:rsidR="009D49ED" w:rsidRPr="00160FB0" w14:paraId="5D04A4BE" w14:textId="77777777" w:rsidTr="00AE406E">
        <w:tc>
          <w:tcPr>
            <w:tcW w:w="4399" w:type="dxa"/>
            <w:vMerge/>
            <w:tcBorders>
              <w:left w:val="single" w:sz="4" w:space="0" w:color="000000"/>
              <w:bottom w:val="single" w:sz="4" w:space="0" w:color="000000"/>
              <w:right w:val="single" w:sz="4" w:space="0" w:color="000000"/>
            </w:tcBorders>
            <w:vAlign w:val="center"/>
          </w:tcPr>
          <w:p w14:paraId="0C10037E"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3840" w:type="dxa"/>
            <w:tcBorders>
              <w:left w:val="single" w:sz="4" w:space="0" w:color="000000"/>
              <w:bottom w:val="single" w:sz="8" w:space="0" w:color="000000"/>
              <w:right w:val="single" w:sz="8" w:space="0" w:color="000000"/>
            </w:tcBorders>
          </w:tcPr>
          <w:p w14:paraId="5D62A5A7" w14:textId="77777777" w:rsidR="009D49ED" w:rsidRPr="00AE406E" w:rsidRDefault="009D49ED"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40" w:lineRule="auto"/>
              <w:jc w:val="both"/>
              <w:rPr>
                <w:rFonts w:ascii="Arial" w:hAnsi="Arial" w:cs="Arial"/>
                <w:sz w:val="18"/>
                <w:szCs w:val="18"/>
                <w:lang w:val="en-GB"/>
              </w:rPr>
            </w:pPr>
            <w:r w:rsidRPr="00AE406E">
              <w:rPr>
                <w:rFonts w:ascii="Arial" w:hAnsi="Arial" w:cs="Arial"/>
                <w:sz w:val="18"/>
                <w:szCs w:val="18"/>
                <w:lang w:val="en-GB"/>
              </w:rPr>
              <w:t>Monitoring and periodic maintenance of the infrastructure</w:t>
            </w:r>
          </w:p>
        </w:tc>
        <w:tc>
          <w:tcPr>
            <w:tcW w:w="1461" w:type="dxa"/>
            <w:vMerge/>
            <w:tcBorders>
              <w:bottom w:val="single" w:sz="8" w:space="0" w:color="000000"/>
              <w:right w:val="single" w:sz="8" w:space="0" w:color="000000"/>
            </w:tcBorders>
            <w:shd w:val="clear" w:color="auto" w:fill="00B050"/>
            <w:vAlign w:val="center"/>
          </w:tcPr>
          <w:p w14:paraId="2C79F04E" w14:textId="77777777" w:rsidR="009D49ED" w:rsidRPr="00B434A6"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US"/>
              </w:rPr>
            </w:pPr>
          </w:p>
        </w:tc>
      </w:tr>
      <w:tr w:rsidR="009D49ED" w14:paraId="71E6A679" w14:textId="77777777" w:rsidTr="006E13C8">
        <w:tc>
          <w:tcPr>
            <w:tcW w:w="9700" w:type="dxa"/>
            <w:gridSpan w:val="3"/>
            <w:tcBorders>
              <w:top w:val="single" w:sz="4" w:space="0" w:color="000000"/>
              <w:left w:val="single" w:sz="8" w:space="0" w:color="000000"/>
              <w:bottom w:val="single" w:sz="8" w:space="0" w:color="000000"/>
              <w:right w:val="single" w:sz="8" w:space="0" w:color="000000"/>
            </w:tcBorders>
            <w:shd w:val="clear" w:color="auto" w:fill="00B0F0"/>
            <w:vAlign w:val="center"/>
          </w:tcPr>
          <w:p w14:paraId="16310702"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pPr>
            <w:r w:rsidRPr="00A0775B">
              <w:rPr>
                <w:rFonts w:ascii="Arial" w:hAnsi="Arial" w:cs="Arial"/>
                <w:b/>
                <w:bCs/>
                <w:sz w:val="18"/>
                <w:szCs w:val="18"/>
              </w:rPr>
              <w:t>Dismantling phase</w:t>
            </w:r>
          </w:p>
        </w:tc>
      </w:tr>
      <w:tr w:rsidR="009D49ED" w14:paraId="094CEE40" w14:textId="77777777" w:rsidTr="00AE406E">
        <w:tc>
          <w:tcPr>
            <w:tcW w:w="4399" w:type="dxa"/>
            <w:tcBorders>
              <w:left w:val="single" w:sz="8" w:space="0" w:color="000000"/>
              <w:bottom w:val="single" w:sz="8" w:space="0" w:color="000000"/>
              <w:right w:val="single" w:sz="8" w:space="0" w:color="000000"/>
            </w:tcBorders>
            <w:vAlign w:val="center"/>
          </w:tcPr>
          <w:p w14:paraId="388D6C7D" w14:textId="77777777" w:rsidR="009D49ED" w:rsidRPr="00D830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lang w:val="en-GB"/>
              </w:rPr>
            </w:pPr>
            <w:r w:rsidRPr="00A0775B">
              <w:rPr>
                <w:rFonts w:ascii="Arial" w:hAnsi="Arial" w:cs="Arial"/>
                <w:sz w:val="18"/>
                <w:szCs w:val="18"/>
                <w:lang w:val="en-GB"/>
              </w:rPr>
              <w:t>Soil and water pollution by accidental spillage of pollutants and hazardous substances</w:t>
            </w:r>
          </w:p>
        </w:tc>
        <w:tc>
          <w:tcPr>
            <w:tcW w:w="3840" w:type="dxa"/>
            <w:tcBorders>
              <w:bottom w:val="single" w:sz="8" w:space="0" w:color="000000"/>
              <w:right w:val="single" w:sz="8" w:space="0" w:color="000000"/>
            </w:tcBorders>
          </w:tcPr>
          <w:p w14:paraId="2487CD0E" w14:textId="77777777" w:rsidR="009D49ED" w:rsidRPr="00AE406E" w:rsidRDefault="009D49ED"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40" w:lineRule="auto"/>
              <w:jc w:val="both"/>
              <w:rPr>
                <w:rFonts w:ascii="Arial" w:hAnsi="Arial" w:cs="Arial"/>
                <w:sz w:val="18"/>
                <w:szCs w:val="18"/>
                <w:lang w:val="en-GB"/>
              </w:rPr>
            </w:pPr>
            <w:r w:rsidRPr="00AE406E">
              <w:rPr>
                <w:rFonts w:ascii="Arial" w:hAnsi="Arial" w:cs="Arial"/>
                <w:sz w:val="18"/>
                <w:szCs w:val="18"/>
                <w:lang w:val="en-GB"/>
              </w:rPr>
              <w:t>Use of vehicles in good condition. Meticulous cleaning before leaving the premises.</w:t>
            </w:r>
          </w:p>
        </w:tc>
        <w:tc>
          <w:tcPr>
            <w:tcW w:w="1461" w:type="dxa"/>
            <w:tcBorders>
              <w:bottom w:val="single" w:sz="8" w:space="0" w:color="000000"/>
              <w:right w:val="single" w:sz="8" w:space="0" w:color="000000"/>
            </w:tcBorders>
            <w:shd w:val="clear" w:color="auto" w:fill="00B050"/>
            <w:vAlign w:val="center"/>
          </w:tcPr>
          <w:p w14:paraId="08D25D2B"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Pr>
                <w:rFonts w:ascii="Arial" w:hAnsi="Arial" w:cs="Arial"/>
                <w:sz w:val="18"/>
                <w:szCs w:val="18"/>
              </w:rPr>
              <w:t>Minor</w:t>
            </w:r>
          </w:p>
        </w:tc>
      </w:tr>
      <w:tr w:rsidR="009D49ED" w14:paraId="60D06EFF" w14:textId="77777777" w:rsidTr="00AE406E">
        <w:tc>
          <w:tcPr>
            <w:tcW w:w="4399" w:type="dxa"/>
            <w:tcBorders>
              <w:left w:val="single" w:sz="8" w:space="0" w:color="000000"/>
              <w:bottom w:val="single" w:sz="8" w:space="0" w:color="000000"/>
              <w:right w:val="single" w:sz="8" w:space="0" w:color="000000"/>
            </w:tcBorders>
          </w:tcPr>
          <w:p w14:paraId="675CC67E" w14:textId="77777777" w:rsidR="009D49ED" w:rsidRPr="00244E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244E1F">
              <w:rPr>
                <w:rFonts w:ascii="Arial" w:hAnsi="Arial" w:cs="Arial"/>
                <w:sz w:val="18"/>
                <w:szCs w:val="18"/>
                <w:lang w:val="en-GB"/>
              </w:rPr>
              <w:t>Soil pollution from the abandonment and accumulation of solid waste including waste electrical and electronic equipment (WEEE)</w:t>
            </w:r>
          </w:p>
        </w:tc>
        <w:tc>
          <w:tcPr>
            <w:tcW w:w="3840" w:type="dxa"/>
            <w:tcBorders>
              <w:bottom w:val="single" w:sz="8" w:space="0" w:color="000000"/>
              <w:right w:val="single" w:sz="8" w:space="0" w:color="000000"/>
            </w:tcBorders>
          </w:tcPr>
          <w:p w14:paraId="6D37C748" w14:textId="77777777" w:rsidR="009D49ED" w:rsidRPr="00AE406E" w:rsidRDefault="009D49ED"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40" w:lineRule="auto"/>
              <w:jc w:val="both"/>
              <w:rPr>
                <w:rFonts w:ascii="Arial" w:hAnsi="Arial" w:cs="Arial"/>
                <w:sz w:val="18"/>
                <w:szCs w:val="18"/>
                <w:lang w:val="en-GB"/>
              </w:rPr>
            </w:pPr>
            <w:r w:rsidRPr="00AE406E">
              <w:rPr>
                <w:rFonts w:ascii="Arial" w:hAnsi="Arial" w:cs="Arial"/>
                <w:sz w:val="18"/>
                <w:szCs w:val="18"/>
                <w:lang w:val="en-GB"/>
              </w:rPr>
              <w:t>Collecting and sending waste to a specialized waste treatment center</w:t>
            </w:r>
          </w:p>
        </w:tc>
        <w:tc>
          <w:tcPr>
            <w:tcW w:w="1461" w:type="dxa"/>
            <w:tcBorders>
              <w:bottom w:val="single" w:sz="8" w:space="0" w:color="000000"/>
              <w:right w:val="single" w:sz="8" w:space="0" w:color="000000"/>
            </w:tcBorders>
            <w:shd w:val="clear" w:color="auto" w:fill="00B050"/>
            <w:vAlign w:val="center"/>
          </w:tcPr>
          <w:p w14:paraId="0FE50A7F"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Pr>
                <w:rFonts w:ascii="Arial" w:hAnsi="Arial" w:cs="Arial"/>
                <w:sz w:val="18"/>
                <w:szCs w:val="18"/>
              </w:rPr>
              <w:t>Minor</w:t>
            </w:r>
          </w:p>
        </w:tc>
      </w:tr>
      <w:tr w:rsidR="009D49ED" w14:paraId="3BFE147B" w14:textId="77777777" w:rsidTr="00AE406E">
        <w:tc>
          <w:tcPr>
            <w:tcW w:w="4399" w:type="dxa"/>
            <w:tcBorders>
              <w:left w:val="single" w:sz="8" w:space="0" w:color="000000"/>
              <w:bottom w:val="single" w:sz="8" w:space="0" w:color="000000"/>
              <w:right w:val="single" w:sz="8" w:space="0" w:color="000000"/>
            </w:tcBorders>
          </w:tcPr>
          <w:p w14:paraId="373F03B4" w14:textId="77777777" w:rsidR="009D49ED" w:rsidRPr="00244E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244E1F">
              <w:rPr>
                <w:rFonts w:ascii="Arial" w:hAnsi="Arial" w:cs="Arial"/>
                <w:sz w:val="18"/>
                <w:szCs w:val="18"/>
                <w:lang w:val="en-GB"/>
              </w:rPr>
              <w:t>Loss of employment</w:t>
            </w:r>
          </w:p>
        </w:tc>
        <w:tc>
          <w:tcPr>
            <w:tcW w:w="3840" w:type="dxa"/>
            <w:tcBorders>
              <w:bottom w:val="single" w:sz="8" w:space="0" w:color="000000"/>
              <w:right w:val="single" w:sz="8" w:space="0" w:color="000000"/>
            </w:tcBorders>
          </w:tcPr>
          <w:p w14:paraId="077DECC8" w14:textId="77777777" w:rsidR="009D49ED" w:rsidRPr="00AE406E" w:rsidRDefault="009D49ED"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40" w:lineRule="auto"/>
              <w:jc w:val="both"/>
              <w:rPr>
                <w:rFonts w:ascii="Arial" w:hAnsi="Arial" w:cs="Arial"/>
                <w:sz w:val="18"/>
                <w:szCs w:val="18"/>
                <w:lang w:val="en-GB"/>
              </w:rPr>
            </w:pPr>
            <w:r w:rsidRPr="00AE406E">
              <w:rPr>
                <w:rFonts w:ascii="Arial" w:hAnsi="Arial" w:cs="Arial"/>
                <w:sz w:val="18"/>
                <w:szCs w:val="18"/>
                <w:lang w:val="en-GB"/>
              </w:rPr>
              <w:t>Respect and application of the texts on employment in force in the country</w:t>
            </w:r>
          </w:p>
        </w:tc>
        <w:tc>
          <w:tcPr>
            <w:tcW w:w="1461" w:type="dxa"/>
            <w:tcBorders>
              <w:bottom w:val="single" w:sz="8" w:space="0" w:color="000000"/>
              <w:right w:val="single" w:sz="8" w:space="0" w:color="000000"/>
            </w:tcBorders>
            <w:shd w:val="clear" w:color="auto" w:fill="00B050"/>
            <w:vAlign w:val="center"/>
          </w:tcPr>
          <w:p w14:paraId="04F166B6"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Pr>
                <w:rFonts w:ascii="Arial" w:hAnsi="Arial" w:cs="Arial"/>
                <w:sz w:val="18"/>
                <w:szCs w:val="18"/>
              </w:rPr>
              <w:t>Minor</w:t>
            </w:r>
          </w:p>
        </w:tc>
      </w:tr>
      <w:tr w:rsidR="009D49ED" w14:paraId="42D75D42" w14:textId="77777777" w:rsidTr="00AE406E">
        <w:tc>
          <w:tcPr>
            <w:tcW w:w="4399" w:type="dxa"/>
            <w:tcBorders>
              <w:left w:val="single" w:sz="8" w:space="0" w:color="000000"/>
              <w:bottom w:val="single" w:sz="8" w:space="0" w:color="000000"/>
              <w:right w:val="single" w:sz="8" w:space="0" w:color="000000"/>
            </w:tcBorders>
          </w:tcPr>
          <w:p w14:paraId="1D648DA6" w14:textId="77777777" w:rsidR="009D49ED" w:rsidRPr="00244E1F"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244E1F">
              <w:rPr>
                <w:rFonts w:ascii="Arial" w:hAnsi="Arial" w:cs="Arial"/>
                <w:sz w:val="18"/>
                <w:szCs w:val="18"/>
                <w:lang w:val="en-GB"/>
              </w:rPr>
              <w:lastRenderedPageBreak/>
              <w:t>Traffic disruption</w:t>
            </w:r>
          </w:p>
        </w:tc>
        <w:tc>
          <w:tcPr>
            <w:tcW w:w="3840" w:type="dxa"/>
            <w:tcBorders>
              <w:bottom w:val="single" w:sz="8" w:space="0" w:color="000000"/>
              <w:right w:val="single" w:sz="8" w:space="0" w:color="000000"/>
            </w:tcBorders>
          </w:tcPr>
          <w:p w14:paraId="359AE06A" w14:textId="77777777" w:rsidR="009D49ED" w:rsidRPr="00244E1F" w:rsidRDefault="009D49ED" w:rsidP="00AE406E">
            <w:pPr>
              <w:rPr>
                <w:lang w:val="en-GB"/>
              </w:rPr>
            </w:pPr>
            <w:r w:rsidRPr="00AE406E">
              <w:rPr>
                <w:rFonts w:ascii="Arial" w:hAnsi="Arial" w:cs="Arial"/>
                <w:sz w:val="18"/>
                <w:szCs w:val="18"/>
                <w:lang w:val="en-GB"/>
              </w:rPr>
              <w:t>Respect of the road code</w:t>
            </w:r>
            <w:r w:rsidRPr="00244E1F">
              <w:rPr>
                <w:lang w:val="en-GB"/>
              </w:rPr>
              <w:t>.</w:t>
            </w:r>
          </w:p>
        </w:tc>
        <w:tc>
          <w:tcPr>
            <w:tcW w:w="1461" w:type="dxa"/>
            <w:tcBorders>
              <w:bottom w:val="single" w:sz="8" w:space="0" w:color="000000"/>
              <w:right w:val="single" w:sz="8" w:space="0" w:color="000000"/>
            </w:tcBorders>
            <w:shd w:val="clear" w:color="auto" w:fill="00B050"/>
            <w:vAlign w:val="center"/>
          </w:tcPr>
          <w:p w14:paraId="11A00473" w14:textId="77777777" w:rsidR="009D49ED" w:rsidRDefault="009D49ED" w:rsidP="006E13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Pr>
                <w:rFonts w:ascii="Arial" w:hAnsi="Arial" w:cs="Arial"/>
                <w:sz w:val="18"/>
                <w:szCs w:val="18"/>
              </w:rPr>
              <w:t>Minor</w:t>
            </w:r>
          </w:p>
        </w:tc>
      </w:tr>
    </w:tbl>
    <w:p w14:paraId="5B2190A1" w14:textId="77777777" w:rsidR="00B76189" w:rsidRDefault="00B76189" w:rsidP="00AE406E">
      <w:pPr>
        <w:suppressAutoHyphens/>
        <w:spacing w:before="240" w:after="120" w:line="240" w:lineRule="auto"/>
        <w:jc w:val="both"/>
        <w:rPr>
          <w:rFonts w:ascii="Arial" w:hAnsi="Arial" w:cs="Arial"/>
          <w:b/>
        </w:rPr>
      </w:pPr>
    </w:p>
    <w:p w14:paraId="31B660A8" w14:textId="77777777" w:rsidR="00A90F6A" w:rsidRPr="00AE406E" w:rsidRDefault="00A90F6A" w:rsidP="00AE406E">
      <w:pPr>
        <w:suppressAutoHyphens/>
        <w:spacing w:before="240" w:after="120" w:line="240" w:lineRule="auto"/>
        <w:jc w:val="both"/>
        <w:rPr>
          <w:rFonts w:ascii="Arial" w:hAnsi="Arial" w:cs="Arial"/>
          <w:b/>
        </w:rPr>
        <w:sectPr w:rsidR="00A90F6A" w:rsidRPr="00AE406E" w:rsidSect="00E5387E">
          <w:pgSz w:w="11906" w:h="16838"/>
          <w:pgMar w:top="1417" w:right="1417" w:bottom="1417" w:left="1417" w:header="708" w:footer="708" w:gutter="0"/>
          <w:pgNumType w:fmt="lowerRoman"/>
          <w:cols w:space="708"/>
          <w:docGrid w:linePitch="360"/>
        </w:sectPr>
      </w:pPr>
    </w:p>
    <w:p w14:paraId="3CA6E3A6" w14:textId="77777777" w:rsidR="00925ED3" w:rsidRPr="00353921" w:rsidRDefault="00925ED3" w:rsidP="00353921">
      <w:pPr>
        <w:pStyle w:val="Paragraphedeliste"/>
        <w:numPr>
          <w:ilvl w:val="0"/>
          <w:numId w:val="176"/>
        </w:numPr>
        <w:suppressAutoHyphens/>
        <w:spacing w:before="240" w:after="120" w:line="240" w:lineRule="auto"/>
        <w:ind w:left="714" w:hanging="357"/>
        <w:jc w:val="both"/>
        <w:rPr>
          <w:rFonts w:ascii="Arial" w:hAnsi="Arial" w:cs="Arial"/>
          <w:b/>
        </w:rPr>
      </w:pPr>
      <w:r>
        <w:rPr>
          <w:rFonts w:ascii="Arial" w:hAnsi="Arial" w:cs="Arial"/>
          <w:b/>
        </w:rPr>
        <w:lastRenderedPageBreak/>
        <w:t>SURVEILLANCE/MONITORING PROGRAM</w:t>
      </w:r>
    </w:p>
    <w:tbl>
      <w:tblPr>
        <w:tblW w:w="0" w:type="auto"/>
        <w:tblInd w:w="-10" w:type="dxa"/>
        <w:tblLayout w:type="fixed"/>
        <w:tblCellMar>
          <w:left w:w="70" w:type="dxa"/>
          <w:right w:w="70" w:type="dxa"/>
        </w:tblCellMar>
        <w:tblLook w:val="0000" w:firstRow="0" w:lastRow="0" w:firstColumn="0" w:lastColumn="0" w:noHBand="0" w:noVBand="0"/>
      </w:tblPr>
      <w:tblGrid>
        <w:gridCol w:w="2914"/>
        <w:gridCol w:w="3687"/>
        <w:gridCol w:w="1850"/>
        <w:gridCol w:w="1861"/>
        <w:gridCol w:w="1349"/>
        <w:gridCol w:w="1224"/>
        <w:gridCol w:w="1267"/>
      </w:tblGrid>
      <w:tr w:rsidR="002C769E" w:rsidRPr="002C769E" w14:paraId="12C0451C" w14:textId="77777777" w:rsidTr="00AE406E">
        <w:trPr>
          <w:tblHeader/>
        </w:trPr>
        <w:tc>
          <w:tcPr>
            <w:tcW w:w="2914" w:type="dxa"/>
            <w:tcBorders>
              <w:top w:val="single" w:sz="4" w:space="0" w:color="auto"/>
              <w:left w:val="single" w:sz="4" w:space="0" w:color="auto"/>
              <w:bottom w:val="single" w:sz="4" w:space="0" w:color="auto"/>
              <w:right w:val="single" w:sz="4" w:space="0" w:color="auto"/>
            </w:tcBorders>
            <w:shd w:val="clear" w:color="auto" w:fill="BDD7EE"/>
            <w:vAlign w:val="center"/>
          </w:tcPr>
          <w:p w14:paraId="6978303E" w14:textId="77777777" w:rsidR="002C769E" w:rsidRPr="00AE406E" w:rsidRDefault="002C769E" w:rsidP="00AE406E">
            <w:pPr>
              <w:spacing w:after="0" w:line="240" w:lineRule="auto"/>
              <w:jc w:val="center"/>
              <w:rPr>
                <w:rFonts w:ascii="Arial" w:hAnsi="Arial" w:cs="Arial"/>
                <w:b/>
                <w:sz w:val="20"/>
                <w:szCs w:val="18"/>
              </w:rPr>
            </w:pPr>
            <w:r w:rsidRPr="00AE406E">
              <w:rPr>
                <w:rFonts w:ascii="Arial" w:hAnsi="Arial" w:cs="Arial"/>
                <w:b/>
                <w:sz w:val="20"/>
                <w:szCs w:val="18"/>
              </w:rPr>
              <w:t>Potential impact</w:t>
            </w:r>
          </w:p>
        </w:tc>
        <w:tc>
          <w:tcPr>
            <w:tcW w:w="3687" w:type="dxa"/>
            <w:tcBorders>
              <w:top w:val="single" w:sz="4" w:space="0" w:color="auto"/>
              <w:left w:val="single" w:sz="4" w:space="0" w:color="auto"/>
              <w:bottom w:val="single" w:sz="4" w:space="0" w:color="auto"/>
              <w:right w:val="single" w:sz="4" w:space="0" w:color="auto"/>
            </w:tcBorders>
            <w:shd w:val="clear" w:color="auto" w:fill="BDD7EE"/>
            <w:vAlign w:val="center"/>
          </w:tcPr>
          <w:p w14:paraId="42DFABAA" w14:textId="77777777" w:rsidR="002C769E" w:rsidRPr="00AE406E" w:rsidRDefault="002C769E" w:rsidP="00AE406E">
            <w:pPr>
              <w:spacing w:after="0" w:line="240" w:lineRule="auto"/>
              <w:jc w:val="center"/>
              <w:rPr>
                <w:rFonts w:ascii="Arial" w:hAnsi="Arial" w:cs="Arial"/>
                <w:b/>
                <w:sz w:val="20"/>
                <w:szCs w:val="18"/>
                <w:lang w:val="en-GB"/>
              </w:rPr>
            </w:pPr>
            <w:r w:rsidRPr="00AE406E">
              <w:rPr>
                <w:rFonts w:ascii="Arial" w:hAnsi="Arial" w:cs="Arial"/>
                <w:b/>
                <w:sz w:val="20"/>
                <w:szCs w:val="18"/>
                <w:lang w:val="en-GB"/>
              </w:rPr>
              <w:t>Avoidance or mitigation measure</w:t>
            </w:r>
          </w:p>
        </w:tc>
        <w:tc>
          <w:tcPr>
            <w:tcW w:w="1850" w:type="dxa"/>
            <w:tcBorders>
              <w:top w:val="single" w:sz="4" w:space="0" w:color="auto"/>
              <w:left w:val="single" w:sz="4" w:space="0" w:color="auto"/>
              <w:bottom w:val="single" w:sz="4" w:space="0" w:color="auto"/>
              <w:right w:val="single" w:sz="4" w:space="0" w:color="auto"/>
            </w:tcBorders>
            <w:shd w:val="clear" w:color="auto" w:fill="BDD7EE"/>
            <w:vAlign w:val="center"/>
          </w:tcPr>
          <w:p w14:paraId="19C97D3D" w14:textId="77777777" w:rsidR="002C769E" w:rsidRPr="00AE406E" w:rsidRDefault="002C769E" w:rsidP="00AE406E">
            <w:pPr>
              <w:spacing w:after="0" w:line="240" w:lineRule="auto"/>
              <w:jc w:val="center"/>
              <w:rPr>
                <w:rFonts w:ascii="Arial" w:hAnsi="Arial" w:cs="Arial"/>
                <w:b/>
                <w:sz w:val="20"/>
                <w:szCs w:val="18"/>
              </w:rPr>
            </w:pPr>
            <w:r w:rsidRPr="00AE406E">
              <w:rPr>
                <w:rFonts w:ascii="Arial" w:hAnsi="Arial" w:cs="Arial"/>
                <w:b/>
                <w:sz w:val="20"/>
                <w:szCs w:val="18"/>
              </w:rPr>
              <w:t>Monitoring indicators</w:t>
            </w:r>
          </w:p>
        </w:tc>
        <w:tc>
          <w:tcPr>
            <w:tcW w:w="1861" w:type="dxa"/>
            <w:tcBorders>
              <w:top w:val="single" w:sz="4" w:space="0" w:color="auto"/>
              <w:left w:val="single" w:sz="4" w:space="0" w:color="auto"/>
              <w:bottom w:val="single" w:sz="4" w:space="0" w:color="auto"/>
              <w:right w:val="single" w:sz="4" w:space="0" w:color="auto"/>
            </w:tcBorders>
            <w:shd w:val="clear" w:color="auto" w:fill="BDD7EE"/>
            <w:vAlign w:val="center"/>
          </w:tcPr>
          <w:p w14:paraId="61D656E3" w14:textId="77777777" w:rsidR="002C769E" w:rsidRPr="00AE406E" w:rsidRDefault="002C769E" w:rsidP="00AE406E">
            <w:pPr>
              <w:spacing w:after="0" w:line="240" w:lineRule="auto"/>
              <w:jc w:val="center"/>
              <w:rPr>
                <w:rFonts w:ascii="Arial" w:hAnsi="Arial" w:cs="Arial"/>
                <w:b/>
                <w:sz w:val="20"/>
                <w:szCs w:val="18"/>
              </w:rPr>
            </w:pPr>
            <w:r w:rsidRPr="00AE406E">
              <w:rPr>
                <w:rFonts w:ascii="Arial" w:hAnsi="Arial" w:cs="Arial"/>
                <w:b/>
                <w:sz w:val="20"/>
                <w:szCs w:val="18"/>
              </w:rPr>
              <w:t>Monitoring means</w:t>
            </w:r>
          </w:p>
        </w:tc>
        <w:tc>
          <w:tcPr>
            <w:tcW w:w="1349" w:type="dxa"/>
            <w:tcBorders>
              <w:top w:val="single" w:sz="4" w:space="0" w:color="auto"/>
              <w:left w:val="single" w:sz="4" w:space="0" w:color="auto"/>
              <w:bottom w:val="single" w:sz="4" w:space="0" w:color="auto"/>
              <w:right w:val="single" w:sz="4" w:space="0" w:color="auto"/>
            </w:tcBorders>
            <w:shd w:val="clear" w:color="auto" w:fill="BDD7EE"/>
            <w:vAlign w:val="center"/>
          </w:tcPr>
          <w:p w14:paraId="76D03879" w14:textId="77777777" w:rsidR="002C769E" w:rsidRPr="00AE406E" w:rsidRDefault="002C769E" w:rsidP="00AE406E">
            <w:pPr>
              <w:spacing w:after="0" w:line="240" w:lineRule="auto"/>
              <w:jc w:val="center"/>
              <w:rPr>
                <w:rFonts w:ascii="Arial" w:hAnsi="Arial" w:cs="Arial"/>
                <w:b/>
                <w:sz w:val="20"/>
                <w:szCs w:val="18"/>
              </w:rPr>
            </w:pPr>
            <w:r w:rsidRPr="00AE406E">
              <w:rPr>
                <w:rFonts w:ascii="Arial" w:hAnsi="Arial" w:cs="Arial"/>
                <w:b/>
                <w:sz w:val="20"/>
                <w:szCs w:val="18"/>
              </w:rPr>
              <w:t>Calendar</w:t>
            </w:r>
          </w:p>
        </w:tc>
        <w:tc>
          <w:tcPr>
            <w:tcW w:w="1224" w:type="dxa"/>
            <w:tcBorders>
              <w:top w:val="single" w:sz="4" w:space="0" w:color="auto"/>
              <w:left w:val="single" w:sz="4" w:space="0" w:color="auto"/>
              <w:bottom w:val="single" w:sz="4" w:space="0" w:color="auto"/>
              <w:right w:val="single" w:sz="4" w:space="0" w:color="auto"/>
            </w:tcBorders>
            <w:shd w:val="clear" w:color="auto" w:fill="BDD7EE"/>
            <w:vAlign w:val="center"/>
          </w:tcPr>
          <w:p w14:paraId="2D137D62" w14:textId="77777777" w:rsidR="002C769E" w:rsidRPr="00AE406E" w:rsidRDefault="002C769E" w:rsidP="00AE406E">
            <w:pPr>
              <w:spacing w:after="0" w:line="240" w:lineRule="auto"/>
              <w:jc w:val="center"/>
              <w:rPr>
                <w:rFonts w:ascii="Arial" w:hAnsi="Arial" w:cs="Arial"/>
                <w:b/>
                <w:sz w:val="20"/>
                <w:szCs w:val="18"/>
              </w:rPr>
            </w:pPr>
            <w:r w:rsidRPr="00AE406E">
              <w:rPr>
                <w:rFonts w:ascii="Arial" w:hAnsi="Arial" w:cs="Arial"/>
                <w:b/>
                <w:sz w:val="20"/>
                <w:szCs w:val="18"/>
              </w:rPr>
              <w:t>Responsible</w:t>
            </w:r>
          </w:p>
        </w:tc>
        <w:tc>
          <w:tcPr>
            <w:tcW w:w="1267" w:type="dxa"/>
            <w:tcBorders>
              <w:top w:val="single" w:sz="4" w:space="0" w:color="auto"/>
              <w:left w:val="single" w:sz="4" w:space="0" w:color="auto"/>
              <w:bottom w:val="single" w:sz="4" w:space="0" w:color="auto"/>
              <w:right w:val="single" w:sz="4" w:space="0" w:color="auto"/>
            </w:tcBorders>
            <w:shd w:val="clear" w:color="auto" w:fill="BDD7EE"/>
            <w:vAlign w:val="center"/>
          </w:tcPr>
          <w:p w14:paraId="5FBDE327" w14:textId="77777777" w:rsidR="002C769E" w:rsidRPr="00AE406E" w:rsidRDefault="002C769E" w:rsidP="00AE406E">
            <w:pPr>
              <w:spacing w:after="0" w:line="240" w:lineRule="auto"/>
              <w:jc w:val="center"/>
              <w:rPr>
                <w:rFonts w:ascii="Arial" w:hAnsi="Arial" w:cs="Arial"/>
                <w:b/>
                <w:sz w:val="20"/>
                <w:szCs w:val="18"/>
              </w:rPr>
            </w:pPr>
            <w:r w:rsidRPr="00AE406E">
              <w:rPr>
                <w:rFonts w:ascii="Arial" w:hAnsi="Arial" w:cs="Arial"/>
                <w:b/>
                <w:sz w:val="20"/>
                <w:szCs w:val="18"/>
              </w:rPr>
              <w:t>Control</w:t>
            </w:r>
          </w:p>
        </w:tc>
      </w:tr>
      <w:tr w:rsidR="002C769E" w:rsidRPr="007145D0" w14:paraId="189E5672" w14:textId="77777777" w:rsidTr="00AE406E">
        <w:tc>
          <w:tcPr>
            <w:tcW w:w="14152" w:type="dxa"/>
            <w:gridSpan w:val="7"/>
            <w:tcBorders>
              <w:top w:val="single" w:sz="4" w:space="0" w:color="auto"/>
              <w:left w:val="single" w:sz="8" w:space="0" w:color="000000"/>
              <w:bottom w:val="single" w:sz="8" w:space="0" w:color="000000"/>
              <w:right w:val="single" w:sz="8" w:space="0" w:color="000000"/>
            </w:tcBorders>
            <w:shd w:val="clear" w:color="auto" w:fill="00B0F0"/>
            <w:vAlign w:val="center"/>
          </w:tcPr>
          <w:p w14:paraId="7527F2E6" w14:textId="77777777" w:rsidR="002C769E" w:rsidRPr="00244E1F" w:rsidRDefault="002C769E" w:rsidP="00AE406E">
            <w:pPr>
              <w:spacing w:after="0" w:line="240" w:lineRule="auto"/>
              <w:jc w:val="center"/>
              <w:rPr>
                <w:rFonts w:ascii="Arial" w:hAnsi="Arial" w:cs="Arial"/>
                <w:sz w:val="18"/>
                <w:szCs w:val="18"/>
              </w:rPr>
            </w:pPr>
            <w:r w:rsidRPr="007145D0">
              <w:rPr>
                <w:rFonts w:ascii="Arial" w:hAnsi="Arial" w:cs="Arial"/>
                <w:b/>
                <w:bCs/>
                <w:sz w:val="18"/>
                <w:szCs w:val="18"/>
              </w:rPr>
              <w:t>Preparatory and Construction</w:t>
            </w:r>
            <w:r w:rsidRPr="00244E1F">
              <w:rPr>
                <w:rFonts w:ascii="Arial" w:hAnsi="Arial" w:cs="Arial"/>
                <w:b/>
                <w:bCs/>
                <w:sz w:val="18"/>
                <w:szCs w:val="18"/>
              </w:rPr>
              <w:t xml:space="preserve"> phase</w:t>
            </w:r>
          </w:p>
        </w:tc>
      </w:tr>
      <w:tr w:rsidR="002C769E" w:rsidRPr="002C769E" w14:paraId="27CE23B4" w14:textId="77777777" w:rsidTr="006E13C8">
        <w:tc>
          <w:tcPr>
            <w:tcW w:w="2914" w:type="dxa"/>
            <w:tcBorders>
              <w:left w:val="single" w:sz="8" w:space="0" w:color="000000"/>
              <w:bottom w:val="single" w:sz="8" w:space="0" w:color="000000"/>
              <w:right w:val="single" w:sz="8" w:space="0" w:color="000000"/>
            </w:tcBorders>
          </w:tcPr>
          <w:p w14:paraId="0D6714AE"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Alteration of the air quality by the raising of dust due to the passage of construction vehicles and emanations of greenhouse gases (GHG) and construction vehicles</w:t>
            </w:r>
          </w:p>
        </w:tc>
        <w:tc>
          <w:tcPr>
            <w:tcW w:w="3687" w:type="dxa"/>
            <w:tcBorders>
              <w:bottom w:val="single" w:sz="8" w:space="0" w:color="000000"/>
              <w:right w:val="single" w:sz="8" w:space="0" w:color="000000"/>
            </w:tcBorders>
          </w:tcPr>
          <w:p w14:paraId="469112B4"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Humidification of the sites. Use of vehicles in good condition. Regular maintenance of vehicles</w:t>
            </w:r>
          </w:p>
        </w:tc>
        <w:tc>
          <w:tcPr>
            <w:tcW w:w="1850" w:type="dxa"/>
            <w:tcBorders>
              <w:bottom w:val="single" w:sz="8" w:space="0" w:color="000000"/>
              <w:right w:val="single" w:sz="8" w:space="0" w:color="000000"/>
            </w:tcBorders>
          </w:tcPr>
          <w:p w14:paraId="468765C5"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Humidification achieved</w:t>
            </w:r>
          </w:p>
        </w:tc>
        <w:tc>
          <w:tcPr>
            <w:tcW w:w="1861" w:type="dxa"/>
            <w:tcBorders>
              <w:bottom w:val="single" w:sz="8" w:space="0" w:color="000000"/>
              <w:right w:val="single" w:sz="8" w:space="0" w:color="000000"/>
            </w:tcBorders>
          </w:tcPr>
          <w:p w14:paraId="5358235D"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Observation</w:t>
            </w:r>
          </w:p>
        </w:tc>
        <w:tc>
          <w:tcPr>
            <w:tcW w:w="1349" w:type="dxa"/>
            <w:tcBorders>
              <w:bottom w:val="single" w:sz="8" w:space="0" w:color="000000"/>
              <w:right w:val="single" w:sz="8" w:space="0" w:color="000000"/>
            </w:tcBorders>
            <w:vAlign w:val="center"/>
          </w:tcPr>
          <w:p w14:paraId="775176BB"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Weekly</w:t>
            </w:r>
          </w:p>
        </w:tc>
        <w:tc>
          <w:tcPr>
            <w:tcW w:w="1224" w:type="dxa"/>
            <w:tcBorders>
              <w:bottom w:val="single" w:sz="8" w:space="0" w:color="000000"/>
              <w:right w:val="single" w:sz="8" w:space="0" w:color="000000"/>
            </w:tcBorders>
          </w:tcPr>
          <w:p w14:paraId="0B44DCDF"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Company</w:t>
            </w:r>
          </w:p>
        </w:tc>
        <w:tc>
          <w:tcPr>
            <w:tcW w:w="1267" w:type="dxa"/>
            <w:tcBorders>
              <w:bottom w:val="single" w:sz="8" w:space="0" w:color="000000"/>
              <w:right w:val="single" w:sz="8" w:space="0" w:color="000000"/>
            </w:tcBorders>
            <w:vAlign w:val="center"/>
          </w:tcPr>
          <w:p w14:paraId="6BDA1114"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MdC</w:t>
            </w:r>
          </w:p>
        </w:tc>
      </w:tr>
      <w:tr w:rsidR="002C769E" w:rsidRPr="002C769E" w14:paraId="643D26C3" w14:textId="77777777" w:rsidTr="006E13C8">
        <w:tc>
          <w:tcPr>
            <w:tcW w:w="2914" w:type="dxa"/>
            <w:tcBorders>
              <w:left w:val="single" w:sz="8" w:space="0" w:color="000000"/>
              <w:bottom w:val="single" w:sz="8" w:space="0" w:color="000000"/>
              <w:right w:val="single" w:sz="8" w:space="0" w:color="000000"/>
            </w:tcBorders>
          </w:tcPr>
          <w:p w14:paraId="2A3C788C"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Risk of soil erosion</w:t>
            </w:r>
          </w:p>
        </w:tc>
        <w:tc>
          <w:tcPr>
            <w:tcW w:w="3687" w:type="dxa"/>
            <w:tcBorders>
              <w:bottom w:val="single" w:sz="8" w:space="0" w:color="000000"/>
              <w:right w:val="single" w:sz="8" w:space="0" w:color="000000"/>
            </w:tcBorders>
          </w:tcPr>
          <w:p w14:paraId="6CE969A0"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 xml:space="preserve">Carry out work during the dry season </w:t>
            </w:r>
          </w:p>
        </w:tc>
        <w:tc>
          <w:tcPr>
            <w:tcW w:w="1850" w:type="dxa"/>
            <w:tcBorders>
              <w:bottom w:val="single" w:sz="8" w:space="0" w:color="000000"/>
              <w:right w:val="single" w:sz="8" w:space="0" w:color="000000"/>
            </w:tcBorders>
          </w:tcPr>
          <w:p w14:paraId="51860600"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Implementation schedule</w:t>
            </w:r>
          </w:p>
        </w:tc>
        <w:tc>
          <w:tcPr>
            <w:tcW w:w="1861" w:type="dxa"/>
            <w:tcBorders>
              <w:bottom w:val="single" w:sz="8" w:space="0" w:color="000000"/>
              <w:right w:val="single" w:sz="8" w:space="0" w:color="000000"/>
            </w:tcBorders>
          </w:tcPr>
          <w:p w14:paraId="1DA116FA"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Observation</w:t>
            </w:r>
          </w:p>
        </w:tc>
        <w:tc>
          <w:tcPr>
            <w:tcW w:w="1349" w:type="dxa"/>
            <w:tcBorders>
              <w:bottom w:val="single" w:sz="8" w:space="0" w:color="000000"/>
              <w:right w:val="single" w:sz="8" w:space="0" w:color="000000"/>
            </w:tcBorders>
            <w:vAlign w:val="center"/>
          </w:tcPr>
          <w:p w14:paraId="47FB3AA7"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 xml:space="preserve"> Quarterly</w:t>
            </w:r>
          </w:p>
        </w:tc>
        <w:tc>
          <w:tcPr>
            <w:tcW w:w="1224" w:type="dxa"/>
            <w:tcBorders>
              <w:bottom w:val="single" w:sz="8" w:space="0" w:color="000000"/>
              <w:right w:val="single" w:sz="8" w:space="0" w:color="000000"/>
            </w:tcBorders>
          </w:tcPr>
          <w:p w14:paraId="0C05FD9A"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Company</w:t>
            </w:r>
          </w:p>
        </w:tc>
        <w:tc>
          <w:tcPr>
            <w:tcW w:w="1267" w:type="dxa"/>
            <w:tcBorders>
              <w:bottom w:val="single" w:sz="8" w:space="0" w:color="000000"/>
              <w:right w:val="single" w:sz="8" w:space="0" w:color="000000"/>
            </w:tcBorders>
            <w:vAlign w:val="center"/>
          </w:tcPr>
          <w:p w14:paraId="5CDEA3C2"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MdC</w:t>
            </w:r>
          </w:p>
        </w:tc>
      </w:tr>
      <w:tr w:rsidR="002C769E" w:rsidRPr="002C769E" w14:paraId="6EF31F96" w14:textId="77777777" w:rsidTr="006E13C8">
        <w:tc>
          <w:tcPr>
            <w:tcW w:w="2914" w:type="dxa"/>
            <w:tcBorders>
              <w:left w:val="single" w:sz="8" w:space="0" w:color="000000"/>
              <w:bottom w:val="single" w:sz="8" w:space="0" w:color="000000"/>
              <w:right w:val="single" w:sz="8" w:space="0" w:color="000000"/>
            </w:tcBorders>
          </w:tcPr>
          <w:p w14:paraId="1904E627"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Pollution of water resources by the transfer of polluting substances</w:t>
            </w:r>
          </w:p>
        </w:tc>
        <w:tc>
          <w:tcPr>
            <w:tcW w:w="3687" w:type="dxa"/>
            <w:tcBorders>
              <w:bottom w:val="single" w:sz="8" w:space="0" w:color="000000"/>
              <w:right w:val="single" w:sz="8" w:space="0" w:color="000000"/>
            </w:tcBorders>
          </w:tcPr>
          <w:p w14:paraId="6BFE1B71"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 xml:space="preserve">Setting up a waste collection and sorting system. </w:t>
            </w:r>
          </w:p>
        </w:tc>
        <w:tc>
          <w:tcPr>
            <w:tcW w:w="1850" w:type="dxa"/>
            <w:tcBorders>
              <w:bottom w:val="single" w:sz="8" w:space="0" w:color="000000"/>
              <w:right w:val="single" w:sz="8" w:space="0" w:color="000000"/>
            </w:tcBorders>
          </w:tcPr>
          <w:p w14:paraId="0E6F9D83"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Waste collection and sorting system put in place</w:t>
            </w:r>
          </w:p>
        </w:tc>
        <w:tc>
          <w:tcPr>
            <w:tcW w:w="1861" w:type="dxa"/>
            <w:tcBorders>
              <w:bottom w:val="single" w:sz="8" w:space="0" w:color="000000"/>
              <w:right w:val="single" w:sz="8" w:space="0" w:color="000000"/>
            </w:tcBorders>
          </w:tcPr>
          <w:p w14:paraId="6AFA6DF3"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Observation</w:t>
            </w:r>
          </w:p>
        </w:tc>
        <w:tc>
          <w:tcPr>
            <w:tcW w:w="1349" w:type="dxa"/>
            <w:tcBorders>
              <w:bottom w:val="single" w:sz="8" w:space="0" w:color="000000"/>
              <w:right w:val="single" w:sz="8" w:space="0" w:color="000000"/>
            </w:tcBorders>
            <w:vAlign w:val="center"/>
          </w:tcPr>
          <w:p w14:paraId="2458E86F"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Weekly</w:t>
            </w:r>
          </w:p>
        </w:tc>
        <w:tc>
          <w:tcPr>
            <w:tcW w:w="1224" w:type="dxa"/>
            <w:tcBorders>
              <w:bottom w:val="single" w:sz="8" w:space="0" w:color="000000"/>
              <w:right w:val="single" w:sz="8" w:space="0" w:color="000000"/>
            </w:tcBorders>
          </w:tcPr>
          <w:p w14:paraId="01D9A632"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Company</w:t>
            </w:r>
          </w:p>
        </w:tc>
        <w:tc>
          <w:tcPr>
            <w:tcW w:w="1267" w:type="dxa"/>
            <w:tcBorders>
              <w:bottom w:val="single" w:sz="8" w:space="0" w:color="000000"/>
              <w:right w:val="single" w:sz="8" w:space="0" w:color="000000"/>
            </w:tcBorders>
            <w:vAlign w:val="center"/>
          </w:tcPr>
          <w:p w14:paraId="15C984AA"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MdC</w:t>
            </w:r>
          </w:p>
        </w:tc>
      </w:tr>
      <w:tr w:rsidR="002C769E" w:rsidRPr="002C769E" w14:paraId="5559770C" w14:textId="77777777" w:rsidTr="006E13C8">
        <w:tc>
          <w:tcPr>
            <w:tcW w:w="2914" w:type="dxa"/>
            <w:tcBorders>
              <w:left w:val="single" w:sz="8" w:space="0" w:color="000000"/>
              <w:bottom w:val="single" w:sz="8" w:space="0" w:color="000000"/>
              <w:right w:val="single" w:sz="8" w:space="0" w:color="000000"/>
            </w:tcBorders>
          </w:tcPr>
          <w:p w14:paraId="000FA652"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Illegal cutting for the needs of firewood for the construction site</w:t>
            </w:r>
          </w:p>
        </w:tc>
        <w:tc>
          <w:tcPr>
            <w:tcW w:w="3687" w:type="dxa"/>
            <w:tcBorders>
              <w:bottom w:val="single" w:sz="4" w:space="0" w:color="auto"/>
              <w:right w:val="single" w:sz="8" w:space="0" w:color="000000"/>
            </w:tcBorders>
          </w:tcPr>
          <w:p w14:paraId="736C4FC2"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 xml:space="preserve"> Formal prohibition of wood removal in the vegetation around the site. Procurement from an approved supplier</w:t>
            </w:r>
          </w:p>
        </w:tc>
        <w:tc>
          <w:tcPr>
            <w:tcW w:w="1850" w:type="dxa"/>
            <w:tcBorders>
              <w:bottom w:val="single" w:sz="8" w:space="0" w:color="000000"/>
              <w:right w:val="single" w:sz="8" w:space="0" w:color="000000"/>
            </w:tcBorders>
          </w:tcPr>
          <w:p w14:paraId="1D3CB99F"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Purchase invoice for firewood</w:t>
            </w:r>
          </w:p>
        </w:tc>
        <w:tc>
          <w:tcPr>
            <w:tcW w:w="1861" w:type="dxa"/>
            <w:tcBorders>
              <w:bottom w:val="single" w:sz="8" w:space="0" w:color="000000"/>
              <w:right w:val="single" w:sz="8" w:space="0" w:color="000000"/>
            </w:tcBorders>
          </w:tcPr>
          <w:p w14:paraId="3DA9B87E"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Document consultation</w:t>
            </w:r>
          </w:p>
        </w:tc>
        <w:tc>
          <w:tcPr>
            <w:tcW w:w="1349" w:type="dxa"/>
            <w:tcBorders>
              <w:bottom w:val="single" w:sz="8" w:space="0" w:color="000000"/>
              <w:right w:val="single" w:sz="8" w:space="0" w:color="000000"/>
            </w:tcBorders>
            <w:vAlign w:val="center"/>
          </w:tcPr>
          <w:p w14:paraId="3317884D"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Monthly</w:t>
            </w:r>
          </w:p>
        </w:tc>
        <w:tc>
          <w:tcPr>
            <w:tcW w:w="1224" w:type="dxa"/>
            <w:tcBorders>
              <w:bottom w:val="single" w:sz="8" w:space="0" w:color="000000"/>
              <w:right w:val="single" w:sz="8" w:space="0" w:color="000000"/>
            </w:tcBorders>
          </w:tcPr>
          <w:p w14:paraId="28D4B33D"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Company</w:t>
            </w:r>
          </w:p>
        </w:tc>
        <w:tc>
          <w:tcPr>
            <w:tcW w:w="1267" w:type="dxa"/>
            <w:tcBorders>
              <w:bottom w:val="single" w:sz="8" w:space="0" w:color="000000"/>
              <w:right w:val="single" w:sz="8" w:space="0" w:color="000000"/>
            </w:tcBorders>
            <w:vAlign w:val="center"/>
          </w:tcPr>
          <w:p w14:paraId="02ECE6A8"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MdC</w:t>
            </w:r>
          </w:p>
        </w:tc>
      </w:tr>
      <w:tr w:rsidR="002C769E" w:rsidRPr="002C769E" w14:paraId="339A8FEC" w14:textId="77777777" w:rsidTr="006E13C8">
        <w:tc>
          <w:tcPr>
            <w:tcW w:w="2914" w:type="dxa"/>
            <w:vMerge w:val="restart"/>
            <w:tcBorders>
              <w:left w:val="single" w:sz="8" w:space="0" w:color="000000"/>
              <w:right w:val="single" w:sz="4" w:space="0" w:color="auto"/>
            </w:tcBorders>
            <w:vAlign w:val="center"/>
          </w:tcPr>
          <w:p w14:paraId="6438F428"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Social conflicts due to the presence of external workers</w:t>
            </w:r>
          </w:p>
        </w:tc>
        <w:tc>
          <w:tcPr>
            <w:tcW w:w="3687" w:type="dxa"/>
            <w:tcBorders>
              <w:top w:val="single" w:sz="4" w:space="0" w:color="auto"/>
              <w:left w:val="single" w:sz="4" w:space="0" w:color="auto"/>
              <w:bottom w:val="single" w:sz="4" w:space="0" w:color="auto"/>
              <w:right w:val="single" w:sz="4" w:space="0" w:color="auto"/>
            </w:tcBorders>
          </w:tcPr>
          <w:p w14:paraId="77FB897B"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Posting of job offers at the Fokontany and Commune level. Preliminary identification of cultural sites in the project area</w:t>
            </w:r>
          </w:p>
        </w:tc>
        <w:tc>
          <w:tcPr>
            <w:tcW w:w="1850" w:type="dxa"/>
            <w:vMerge w:val="restart"/>
            <w:tcBorders>
              <w:left w:val="single" w:sz="4" w:space="0" w:color="auto"/>
              <w:right w:val="single" w:sz="8" w:space="0" w:color="000000"/>
            </w:tcBorders>
            <w:vAlign w:val="center"/>
          </w:tcPr>
          <w:p w14:paraId="07D6238E"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Mapping of worship sites. PV + Attendance list. Recruitment register. Personnel regulations. Authorization.</w:t>
            </w:r>
          </w:p>
        </w:tc>
        <w:tc>
          <w:tcPr>
            <w:tcW w:w="1861" w:type="dxa"/>
            <w:vMerge w:val="restart"/>
            <w:tcBorders>
              <w:left w:val="single" w:sz="8" w:space="0" w:color="000000"/>
              <w:right w:val="single" w:sz="8" w:space="0" w:color="000000"/>
            </w:tcBorders>
            <w:vAlign w:val="center"/>
          </w:tcPr>
          <w:p w14:paraId="3D1EB968"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Observation</w:t>
            </w:r>
          </w:p>
        </w:tc>
        <w:tc>
          <w:tcPr>
            <w:tcW w:w="1349" w:type="dxa"/>
            <w:vMerge w:val="restart"/>
            <w:tcBorders>
              <w:left w:val="single" w:sz="8" w:space="0" w:color="000000"/>
              <w:right w:val="single" w:sz="8" w:space="0" w:color="000000"/>
            </w:tcBorders>
            <w:vAlign w:val="center"/>
          </w:tcPr>
          <w:p w14:paraId="5EBB94CF"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Start of the work</w:t>
            </w:r>
          </w:p>
        </w:tc>
        <w:tc>
          <w:tcPr>
            <w:tcW w:w="1224" w:type="dxa"/>
            <w:vMerge w:val="restart"/>
            <w:tcBorders>
              <w:left w:val="single" w:sz="8" w:space="0" w:color="000000"/>
              <w:right w:val="single" w:sz="8" w:space="0" w:color="000000"/>
            </w:tcBorders>
          </w:tcPr>
          <w:p w14:paraId="5D48B4B8"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Company</w:t>
            </w:r>
          </w:p>
        </w:tc>
        <w:tc>
          <w:tcPr>
            <w:tcW w:w="1267" w:type="dxa"/>
            <w:vMerge w:val="restart"/>
            <w:tcBorders>
              <w:left w:val="single" w:sz="8" w:space="0" w:color="000000"/>
              <w:right w:val="single" w:sz="8" w:space="0" w:color="000000"/>
            </w:tcBorders>
            <w:vAlign w:val="center"/>
          </w:tcPr>
          <w:p w14:paraId="4949E9C9"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MdC</w:t>
            </w:r>
          </w:p>
        </w:tc>
      </w:tr>
      <w:tr w:rsidR="002C769E" w:rsidRPr="00160FB0" w14:paraId="134537E9" w14:textId="77777777" w:rsidTr="006E13C8">
        <w:tc>
          <w:tcPr>
            <w:tcW w:w="2914" w:type="dxa"/>
            <w:vMerge/>
            <w:tcBorders>
              <w:left w:val="single" w:sz="8" w:space="0" w:color="000000"/>
              <w:bottom w:val="single" w:sz="8" w:space="0" w:color="000000"/>
              <w:right w:val="single" w:sz="4" w:space="0" w:color="auto"/>
            </w:tcBorders>
            <w:vAlign w:val="center"/>
          </w:tcPr>
          <w:p w14:paraId="4B902AA6"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3687" w:type="dxa"/>
            <w:tcBorders>
              <w:top w:val="single" w:sz="4" w:space="0" w:color="auto"/>
              <w:left w:val="single" w:sz="4" w:space="0" w:color="auto"/>
              <w:bottom w:val="single" w:sz="4" w:space="0" w:color="auto"/>
              <w:right w:val="single" w:sz="4" w:space="0" w:color="auto"/>
            </w:tcBorders>
          </w:tcPr>
          <w:p w14:paraId="74C0FAF1"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Information/sensitization of workers. Prioritization of local recruitment</w:t>
            </w:r>
          </w:p>
        </w:tc>
        <w:tc>
          <w:tcPr>
            <w:tcW w:w="1850" w:type="dxa"/>
            <w:vMerge/>
            <w:tcBorders>
              <w:left w:val="single" w:sz="4" w:space="0" w:color="auto"/>
              <w:bottom w:val="single" w:sz="8" w:space="0" w:color="000000"/>
              <w:right w:val="single" w:sz="8" w:space="0" w:color="000000"/>
            </w:tcBorders>
            <w:vAlign w:val="center"/>
          </w:tcPr>
          <w:p w14:paraId="2A67EB2F"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861" w:type="dxa"/>
            <w:vMerge/>
            <w:tcBorders>
              <w:left w:val="single" w:sz="8" w:space="0" w:color="000000"/>
              <w:bottom w:val="single" w:sz="8" w:space="0" w:color="000000"/>
              <w:right w:val="single" w:sz="8" w:space="0" w:color="000000"/>
            </w:tcBorders>
            <w:vAlign w:val="center"/>
          </w:tcPr>
          <w:p w14:paraId="6FB638D2"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349" w:type="dxa"/>
            <w:vMerge/>
            <w:tcBorders>
              <w:left w:val="single" w:sz="8" w:space="0" w:color="000000"/>
              <w:bottom w:val="single" w:sz="8" w:space="0" w:color="000000"/>
              <w:right w:val="single" w:sz="8" w:space="0" w:color="000000"/>
            </w:tcBorders>
            <w:vAlign w:val="center"/>
          </w:tcPr>
          <w:p w14:paraId="3CAECCD2"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224" w:type="dxa"/>
            <w:vMerge/>
            <w:tcBorders>
              <w:left w:val="single" w:sz="8" w:space="0" w:color="000000"/>
              <w:bottom w:val="single" w:sz="8" w:space="0" w:color="000000"/>
              <w:right w:val="single" w:sz="8" w:space="0" w:color="000000"/>
            </w:tcBorders>
          </w:tcPr>
          <w:p w14:paraId="18F469EF"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267" w:type="dxa"/>
            <w:vMerge/>
            <w:tcBorders>
              <w:left w:val="single" w:sz="8" w:space="0" w:color="000000"/>
              <w:bottom w:val="single" w:sz="8" w:space="0" w:color="000000"/>
              <w:right w:val="single" w:sz="8" w:space="0" w:color="000000"/>
            </w:tcBorders>
            <w:vAlign w:val="center"/>
          </w:tcPr>
          <w:p w14:paraId="7390C0E6"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r>
      <w:tr w:rsidR="002C769E" w:rsidRPr="002C769E" w14:paraId="4FD9FDF3" w14:textId="77777777" w:rsidTr="006E13C8">
        <w:tc>
          <w:tcPr>
            <w:tcW w:w="2914" w:type="dxa"/>
            <w:vMerge w:val="restart"/>
            <w:tcBorders>
              <w:left w:val="single" w:sz="8" w:space="0" w:color="000000"/>
              <w:right w:val="single" w:sz="4" w:space="0" w:color="auto"/>
            </w:tcBorders>
            <w:vAlign w:val="center"/>
          </w:tcPr>
          <w:p w14:paraId="617E9EF7"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Loss of goods (lands,…)</w:t>
            </w:r>
          </w:p>
        </w:tc>
        <w:tc>
          <w:tcPr>
            <w:tcW w:w="3687" w:type="dxa"/>
            <w:tcBorders>
              <w:top w:val="single" w:sz="4" w:space="0" w:color="auto"/>
              <w:left w:val="single" w:sz="4" w:space="0" w:color="auto"/>
              <w:bottom w:val="single" w:sz="4" w:space="0" w:color="auto"/>
              <w:right w:val="single" w:sz="4" w:space="0" w:color="auto"/>
            </w:tcBorders>
          </w:tcPr>
          <w:p w14:paraId="51A541D8"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Limiting the project's right-of-way to the strict minimum</w:t>
            </w:r>
          </w:p>
        </w:tc>
        <w:tc>
          <w:tcPr>
            <w:tcW w:w="1850" w:type="dxa"/>
            <w:vMerge w:val="restart"/>
            <w:tcBorders>
              <w:left w:val="single" w:sz="4" w:space="0" w:color="auto"/>
              <w:right w:val="single" w:sz="8" w:space="0" w:color="000000"/>
            </w:tcBorders>
            <w:vAlign w:val="center"/>
          </w:tcPr>
          <w:p w14:paraId="4BDBECAF"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Implementation of the Resettlement Plan (RP) and the Livelihood Restoration Plan (LRP).</w:t>
            </w:r>
          </w:p>
        </w:tc>
        <w:tc>
          <w:tcPr>
            <w:tcW w:w="1861" w:type="dxa"/>
            <w:vMerge w:val="restart"/>
            <w:tcBorders>
              <w:left w:val="single" w:sz="8" w:space="0" w:color="000000"/>
              <w:right w:val="single" w:sz="8" w:space="0" w:color="000000"/>
            </w:tcBorders>
            <w:vAlign w:val="center"/>
          </w:tcPr>
          <w:p w14:paraId="4F13E105"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 xml:space="preserve">nb of compensated PAP </w:t>
            </w:r>
          </w:p>
        </w:tc>
        <w:tc>
          <w:tcPr>
            <w:tcW w:w="1349" w:type="dxa"/>
            <w:vMerge w:val="restart"/>
            <w:tcBorders>
              <w:left w:val="single" w:sz="8" w:space="0" w:color="000000"/>
              <w:right w:val="single" w:sz="8" w:space="0" w:color="000000"/>
            </w:tcBorders>
            <w:vAlign w:val="center"/>
          </w:tcPr>
          <w:p w14:paraId="48AC68CA"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Start of the work</w:t>
            </w:r>
          </w:p>
        </w:tc>
        <w:tc>
          <w:tcPr>
            <w:tcW w:w="1224" w:type="dxa"/>
            <w:vMerge w:val="restart"/>
            <w:tcBorders>
              <w:left w:val="single" w:sz="8" w:space="0" w:color="000000"/>
              <w:right w:val="single" w:sz="8" w:space="0" w:color="000000"/>
            </w:tcBorders>
          </w:tcPr>
          <w:p w14:paraId="193CDD69"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Company</w:t>
            </w:r>
          </w:p>
        </w:tc>
        <w:tc>
          <w:tcPr>
            <w:tcW w:w="1267" w:type="dxa"/>
            <w:vMerge w:val="restart"/>
            <w:tcBorders>
              <w:left w:val="single" w:sz="8" w:space="0" w:color="000000"/>
              <w:right w:val="single" w:sz="8" w:space="0" w:color="000000"/>
            </w:tcBorders>
            <w:vAlign w:val="center"/>
          </w:tcPr>
          <w:p w14:paraId="4F06B852"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MdC, WB</w:t>
            </w:r>
          </w:p>
        </w:tc>
      </w:tr>
      <w:tr w:rsidR="002C769E" w:rsidRPr="00160FB0" w14:paraId="7FAAB069" w14:textId="77777777" w:rsidTr="006E13C8">
        <w:tc>
          <w:tcPr>
            <w:tcW w:w="2914" w:type="dxa"/>
            <w:vMerge/>
            <w:tcBorders>
              <w:left w:val="single" w:sz="8" w:space="0" w:color="000000"/>
              <w:bottom w:val="single" w:sz="8" w:space="0" w:color="000000"/>
              <w:right w:val="single" w:sz="4" w:space="0" w:color="auto"/>
            </w:tcBorders>
            <w:vAlign w:val="center"/>
          </w:tcPr>
          <w:p w14:paraId="78F03D26"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3687" w:type="dxa"/>
            <w:tcBorders>
              <w:top w:val="single" w:sz="4" w:space="0" w:color="auto"/>
              <w:left w:val="single" w:sz="4" w:space="0" w:color="auto"/>
              <w:bottom w:val="single" w:sz="4" w:space="0" w:color="auto"/>
              <w:right w:val="single" w:sz="4" w:space="0" w:color="auto"/>
            </w:tcBorders>
          </w:tcPr>
          <w:p w14:paraId="3366CDE5"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Implementation of a compensation system for the compensation of the PAPs' properties and activities</w:t>
            </w:r>
          </w:p>
        </w:tc>
        <w:tc>
          <w:tcPr>
            <w:tcW w:w="1850" w:type="dxa"/>
            <w:vMerge/>
            <w:tcBorders>
              <w:left w:val="single" w:sz="4" w:space="0" w:color="auto"/>
              <w:bottom w:val="single" w:sz="8" w:space="0" w:color="000000"/>
              <w:right w:val="single" w:sz="8" w:space="0" w:color="000000"/>
            </w:tcBorders>
            <w:vAlign w:val="center"/>
          </w:tcPr>
          <w:p w14:paraId="09F5A409"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861" w:type="dxa"/>
            <w:vMerge/>
            <w:tcBorders>
              <w:left w:val="single" w:sz="8" w:space="0" w:color="000000"/>
              <w:bottom w:val="single" w:sz="8" w:space="0" w:color="000000"/>
              <w:right w:val="single" w:sz="8" w:space="0" w:color="000000"/>
            </w:tcBorders>
            <w:vAlign w:val="center"/>
          </w:tcPr>
          <w:p w14:paraId="2FA29894"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349" w:type="dxa"/>
            <w:vMerge/>
            <w:tcBorders>
              <w:left w:val="single" w:sz="8" w:space="0" w:color="000000"/>
              <w:bottom w:val="single" w:sz="8" w:space="0" w:color="000000"/>
              <w:right w:val="single" w:sz="8" w:space="0" w:color="000000"/>
            </w:tcBorders>
            <w:vAlign w:val="center"/>
          </w:tcPr>
          <w:p w14:paraId="0BC43F29"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224" w:type="dxa"/>
            <w:vMerge/>
            <w:tcBorders>
              <w:left w:val="single" w:sz="8" w:space="0" w:color="000000"/>
              <w:bottom w:val="single" w:sz="8" w:space="0" w:color="000000"/>
              <w:right w:val="single" w:sz="8" w:space="0" w:color="000000"/>
            </w:tcBorders>
            <w:vAlign w:val="center"/>
          </w:tcPr>
          <w:p w14:paraId="02B7AFC3"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267" w:type="dxa"/>
            <w:vMerge/>
            <w:tcBorders>
              <w:left w:val="single" w:sz="8" w:space="0" w:color="000000"/>
              <w:bottom w:val="single" w:sz="8" w:space="0" w:color="000000"/>
              <w:right w:val="single" w:sz="8" w:space="0" w:color="000000"/>
            </w:tcBorders>
            <w:vAlign w:val="center"/>
          </w:tcPr>
          <w:p w14:paraId="5BDE713A"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r>
      <w:tr w:rsidR="002C769E" w:rsidRPr="002C769E" w14:paraId="51F7CD3E" w14:textId="77777777" w:rsidTr="006E13C8">
        <w:tc>
          <w:tcPr>
            <w:tcW w:w="2914" w:type="dxa"/>
            <w:tcBorders>
              <w:left w:val="single" w:sz="8" w:space="0" w:color="000000"/>
              <w:bottom w:val="single" w:sz="8" w:space="0" w:color="000000"/>
              <w:right w:val="single" w:sz="8" w:space="0" w:color="000000"/>
            </w:tcBorders>
          </w:tcPr>
          <w:p w14:paraId="523EA407"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Noise and vibration during transport</w:t>
            </w:r>
          </w:p>
        </w:tc>
        <w:tc>
          <w:tcPr>
            <w:tcW w:w="3687" w:type="dxa"/>
            <w:tcBorders>
              <w:top w:val="single" w:sz="4" w:space="0" w:color="auto"/>
              <w:bottom w:val="single" w:sz="8" w:space="0" w:color="000000"/>
              <w:right w:val="single" w:sz="8" w:space="0" w:color="000000"/>
            </w:tcBorders>
          </w:tcPr>
          <w:p w14:paraId="4827925C"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Carry out work that is likely to emit noise only during the day</w:t>
            </w:r>
          </w:p>
        </w:tc>
        <w:tc>
          <w:tcPr>
            <w:tcW w:w="1850" w:type="dxa"/>
            <w:tcBorders>
              <w:bottom w:val="single" w:sz="8" w:space="0" w:color="000000"/>
              <w:right w:val="single" w:sz="8" w:space="0" w:color="000000"/>
            </w:tcBorders>
          </w:tcPr>
          <w:p w14:paraId="3126A9E4"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Work during the day</w:t>
            </w:r>
          </w:p>
        </w:tc>
        <w:tc>
          <w:tcPr>
            <w:tcW w:w="1861" w:type="dxa"/>
            <w:tcBorders>
              <w:bottom w:val="single" w:sz="8" w:space="0" w:color="000000"/>
              <w:right w:val="single" w:sz="8" w:space="0" w:color="000000"/>
            </w:tcBorders>
            <w:vAlign w:val="center"/>
          </w:tcPr>
          <w:p w14:paraId="33505AD5"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Observation</w:t>
            </w:r>
          </w:p>
        </w:tc>
        <w:tc>
          <w:tcPr>
            <w:tcW w:w="1349" w:type="dxa"/>
            <w:tcBorders>
              <w:bottom w:val="single" w:sz="8" w:space="0" w:color="000000"/>
              <w:right w:val="single" w:sz="8" w:space="0" w:color="000000"/>
            </w:tcBorders>
            <w:vAlign w:val="center"/>
          </w:tcPr>
          <w:p w14:paraId="2CB97067"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 xml:space="preserve"> </w:t>
            </w:r>
          </w:p>
        </w:tc>
        <w:tc>
          <w:tcPr>
            <w:tcW w:w="1224" w:type="dxa"/>
            <w:tcBorders>
              <w:bottom w:val="single" w:sz="8" w:space="0" w:color="000000"/>
              <w:right w:val="single" w:sz="8" w:space="0" w:color="000000"/>
            </w:tcBorders>
            <w:vAlign w:val="center"/>
          </w:tcPr>
          <w:p w14:paraId="6119DCC8"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Company</w:t>
            </w:r>
          </w:p>
        </w:tc>
        <w:tc>
          <w:tcPr>
            <w:tcW w:w="1267" w:type="dxa"/>
            <w:tcBorders>
              <w:bottom w:val="single" w:sz="8" w:space="0" w:color="000000"/>
              <w:right w:val="single" w:sz="8" w:space="0" w:color="000000"/>
            </w:tcBorders>
            <w:vAlign w:val="center"/>
          </w:tcPr>
          <w:p w14:paraId="3837DBCB"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MdC</w:t>
            </w:r>
          </w:p>
        </w:tc>
      </w:tr>
      <w:tr w:rsidR="002C769E" w:rsidRPr="002C769E" w14:paraId="21A54C12" w14:textId="77777777" w:rsidTr="006E13C8">
        <w:tc>
          <w:tcPr>
            <w:tcW w:w="2914" w:type="dxa"/>
            <w:vMerge w:val="restart"/>
            <w:tcBorders>
              <w:left w:val="single" w:sz="8" w:space="0" w:color="000000"/>
              <w:right w:val="single" w:sz="8" w:space="0" w:color="000000"/>
            </w:tcBorders>
          </w:tcPr>
          <w:p w14:paraId="2A899CD7"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Risk of transmission of transmissible diseases (STD/HIV/AIDS, COVID-19)</w:t>
            </w:r>
          </w:p>
          <w:p w14:paraId="7C52AB5C"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3687" w:type="dxa"/>
            <w:tcBorders>
              <w:right w:val="single" w:sz="8" w:space="0" w:color="000000"/>
            </w:tcBorders>
          </w:tcPr>
          <w:p w14:paraId="0A84DEAA"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 xml:space="preserve">Ensure the free and regular availability of condoms for the workers until the end of the work </w:t>
            </w:r>
          </w:p>
        </w:tc>
        <w:tc>
          <w:tcPr>
            <w:tcW w:w="1850" w:type="dxa"/>
            <w:vMerge w:val="restart"/>
            <w:tcBorders>
              <w:left w:val="single" w:sz="8" w:space="0" w:color="000000"/>
              <w:right w:val="single" w:sz="8" w:space="0" w:color="000000"/>
            </w:tcBorders>
          </w:tcPr>
          <w:p w14:paraId="265EC526"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PV + Attendance list. Record of complaint filed with local authorities</w:t>
            </w:r>
          </w:p>
          <w:p w14:paraId="1CBE0EC9"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861" w:type="dxa"/>
            <w:vMerge w:val="restart"/>
            <w:tcBorders>
              <w:left w:val="single" w:sz="8" w:space="0" w:color="000000"/>
              <w:right w:val="single" w:sz="8" w:space="0" w:color="000000"/>
            </w:tcBorders>
            <w:vAlign w:val="center"/>
          </w:tcPr>
          <w:p w14:paraId="4249EF8A"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Observation</w:t>
            </w:r>
          </w:p>
        </w:tc>
        <w:tc>
          <w:tcPr>
            <w:tcW w:w="1349" w:type="dxa"/>
            <w:vMerge w:val="restart"/>
            <w:tcBorders>
              <w:left w:val="single" w:sz="8" w:space="0" w:color="000000"/>
              <w:right w:val="single" w:sz="8" w:space="0" w:color="000000"/>
            </w:tcBorders>
            <w:vAlign w:val="center"/>
          </w:tcPr>
          <w:p w14:paraId="297755A7"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Monthly</w:t>
            </w:r>
          </w:p>
        </w:tc>
        <w:tc>
          <w:tcPr>
            <w:tcW w:w="1224" w:type="dxa"/>
            <w:vMerge w:val="restart"/>
            <w:tcBorders>
              <w:left w:val="single" w:sz="8" w:space="0" w:color="000000"/>
              <w:right w:val="single" w:sz="8" w:space="0" w:color="000000"/>
            </w:tcBorders>
            <w:vAlign w:val="center"/>
          </w:tcPr>
          <w:p w14:paraId="621DBD4F"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Company</w:t>
            </w:r>
          </w:p>
        </w:tc>
        <w:tc>
          <w:tcPr>
            <w:tcW w:w="1267" w:type="dxa"/>
            <w:vMerge w:val="restart"/>
            <w:tcBorders>
              <w:left w:val="single" w:sz="8" w:space="0" w:color="000000"/>
              <w:right w:val="single" w:sz="8" w:space="0" w:color="000000"/>
            </w:tcBorders>
            <w:vAlign w:val="center"/>
          </w:tcPr>
          <w:p w14:paraId="29F47124"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MdC</w:t>
            </w:r>
          </w:p>
        </w:tc>
      </w:tr>
      <w:tr w:rsidR="002C769E" w:rsidRPr="00160FB0" w14:paraId="197A96F7" w14:textId="77777777" w:rsidTr="006E13C8">
        <w:tc>
          <w:tcPr>
            <w:tcW w:w="2914" w:type="dxa"/>
            <w:vMerge/>
            <w:tcBorders>
              <w:left w:val="single" w:sz="8" w:space="0" w:color="000000"/>
              <w:bottom w:val="single" w:sz="8" w:space="0" w:color="000000"/>
              <w:right w:val="single" w:sz="8" w:space="0" w:color="000000"/>
            </w:tcBorders>
          </w:tcPr>
          <w:p w14:paraId="5D6407C8"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3687" w:type="dxa"/>
            <w:tcBorders>
              <w:bottom w:val="single" w:sz="8" w:space="0" w:color="000000"/>
              <w:right w:val="single" w:sz="8" w:space="0" w:color="000000"/>
            </w:tcBorders>
          </w:tcPr>
          <w:p w14:paraId="618B7B2A"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Information/awareness raising for company personnel on the dangers and risks of STIs/AIDS. Information / awareness on local customs. Provision of a register of complaints to the local authorities</w:t>
            </w:r>
          </w:p>
        </w:tc>
        <w:tc>
          <w:tcPr>
            <w:tcW w:w="1850" w:type="dxa"/>
            <w:vMerge/>
            <w:tcBorders>
              <w:left w:val="single" w:sz="8" w:space="0" w:color="000000"/>
              <w:bottom w:val="single" w:sz="8" w:space="0" w:color="000000"/>
              <w:right w:val="single" w:sz="8" w:space="0" w:color="000000"/>
            </w:tcBorders>
          </w:tcPr>
          <w:p w14:paraId="3F00EF99"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861" w:type="dxa"/>
            <w:vMerge/>
            <w:tcBorders>
              <w:left w:val="single" w:sz="8" w:space="0" w:color="000000"/>
              <w:bottom w:val="single" w:sz="8" w:space="0" w:color="000000"/>
              <w:right w:val="single" w:sz="8" w:space="0" w:color="000000"/>
            </w:tcBorders>
            <w:vAlign w:val="center"/>
          </w:tcPr>
          <w:p w14:paraId="21F4854B"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349" w:type="dxa"/>
            <w:vMerge/>
            <w:tcBorders>
              <w:left w:val="single" w:sz="8" w:space="0" w:color="000000"/>
              <w:bottom w:val="single" w:sz="8" w:space="0" w:color="000000"/>
              <w:right w:val="single" w:sz="8" w:space="0" w:color="000000"/>
            </w:tcBorders>
            <w:vAlign w:val="center"/>
          </w:tcPr>
          <w:p w14:paraId="3CAA5760"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224" w:type="dxa"/>
            <w:vMerge/>
            <w:tcBorders>
              <w:left w:val="single" w:sz="8" w:space="0" w:color="000000"/>
              <w:bottom w:val="single" w:sz="8" w:space="0" w:color="000000"/>
              <w:right w:val="single" w:sz="8" w:space="0" w:color="000000"/>
            </w:tcBorders>
            <w:vAlign w:val="center"/>
          </w:tcPr>
          <w:p w14:paraId="6DE6E280"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267" w:type="dxa"/>
            <w:vMerge/>
            <w:tcBorders>
              <w:left w:val="single" w:sz="8" w:space="0" w:color="000000"/>
              <w:bottom w:val="single" w:sz="8" w:space="0" w:color="000000"/>
              <w:right w:val="single" w:sz="8" w:space="0" w:color="000000"/>
            </w:tcBorders>
            <w:vAlign w:val="center"/>
          </w:tcPr>
          <w:p w14:paraId="4D8C4687"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r>
      <w:tr w:rsidR="002C769E" w:rsidRPr="002C769E" w14:paraId="35A4A694" w14:textId="77777777" w:rsidTr="006E13C8">
        <w:tc>
          <w:tcPr>
            <w:tcW w:w="2914" w:type="dxa"/>
            <w:tcBorders>
              <w:left w:val="single" w:sz="8" w:space="0" w:color="000000"/>
              <w:bottom w:val="single" w:sz="8" w:space="0" w:color="000000"/>
              <w:right w:val="single" w:sz="8" w:space="0" w:color="000000"/>
            </w:tcBorders>
          </w:tcPr>
          <w:p w14:paraId="0EFE471E"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 xml:space="preserve">Risk of increased cases of GBV, </w:t>
            </w:r>
            <w:r w:rsidRPr="00AE406E">
              <w:rPr>
                <w:rFonts w:ascii="Arial" w:hAnsi="Arial" w:cs="Arial"/>
                <w:sz w:val="18"/>
                <w:szCs w:val="18"/>
                <w:lang w:val="en-GB"/>
              </w:rPr>
              <w:lastRenderedPageBreak/>
              <w:t>SEA/HIV and unwanted pregnancy</w:t>
            </w:r>
          </w:p>
        </w:tc>
        <w:tc>
          <w:tcPr>
            <w:tcW w:w="3687" w:type="dxa"/>
            <w:tcBorders>
              <w:bottom w:val="single" w:sz="8" w:space="0" w:color="000000"/>
              <w:right w:val="single" w:sz="8" w:space="0" w:color="000000"/>
            </w:tcBorders>
          </w:tcPr>
          <w:p w14:paraId="4BFB0504"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lastRenderedPageBreak/>
              <w:t xml:space="preserve">Information / sensitization of the company's </w:t>
            </w:r>
            <w:r w:rsidRPr="00AE406E">
              <w:rPr>
                <w:rFonts w:ascii="Arial" w:hAnsi="Arial" w:cs="Arial"/>
                <w:sz w:val="18"/>
                <w:szCs w:val="18"/>
                <w:lang w:val="en-GB"/>
              </w:rPr>
              <w:lastRenderedPageBreak/>
              <w:t>personnel on the dangers and risks of STIs/AIDS. Information / sensitization on local customs. Provision of a register of complaints to the local authorities</w:t>
            </w:r>
          </w:p>
        </w:tc>
        <w:tc>
          <w:tcPr>
            <w:tcW w:w="1850" w:type="dxa"/>
            <w:tcBorders>
              <w:bottom w:val="single" w:sz="8" w:space="0" w:color="000000"/>
              <w:right w:val="single" w:sz="8" w:space="0" w:color="000000"/>
            </w:tcBorders>
          </w:tcPr>
          <w:p w14:paraId="77FC505A"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lastRenderedPageBreak/>
              <w:t xml:space="preserve">PV + Attendance list. </w:t>
            </w:r>
            <w:r w:rsidRPr="00AE406E">
              <w:rPr>
                <w:rFonts w:ascii="Arial" w:hAnsi="Arial" w:cs="Arial"/>
                <w:sz w:val="18"/>
                <w:szCs w:val="18"/>
                <w:lang w:val="en-GB"/>
              </w:rPr>
              <w:lastRenderedPageBreak/>
              <w:t>Complaint register filed with local authorities</w:t>
            </w:r>
          </w:p>
        </w:tc>
        <w:tc>
          <w:tcPr>
            <w:tcW w:w="1861" w:type="dxa"/>
            <w:tcBorders>
              <w:bottom w:val="single" w:sz="8" w:space="0" w:color="000000"/>
              <w:right w:val="single" w:sz="8" w:space="0" w:color="000000"/>
            </w:tcBorders>
            <w:vAlign w:val="center"/>
          </w:tcPr>
          <w:p w14:paraId="25A38E19"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lastRenderedPageBreak/>
              <w:t>Observation</w:t>
            </w:r>
          </w:p>
        </w:tc>
        <w:tc>
          <w:tcPr>
            <w:tcW w:w="1349" w:type="dxa"/>
            <w:tcBorders>
              <w:bottom w:val="single" w:sz="8" w:space="0" w:color="000000"/>
              <w:right w:val="single" w:sz="8" w:space="0" w:color="000000"/>
            </w:tcBorders>
            <w:vAlign w:val="center"/>
          </w:tcPr>
          <w:p w14:paraId="0E8F233C"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Monthly</w:t>
            </w:r>
          </w:p>
        </w:tc>
        <w:tc>
          <w:tcPr>
            <w:tcW w:w="1224" w:type="dxa"/>
            <w:tcBorders>
              <w:bottom w:val="single" w:sz="8" w:space="0" w:color="000000"/>
              <w:right w:val="single" w:sz="8" w:space="0" w:color="000000"/>
            </w:tcBorders>
            <w:vAlign w:val="center"/>
          </w:tcPr>
          <w:p w14:paraId="24477995"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Company</w:t>
            </w:r>
          </w:p>
        </w:tc>
        <w:tc>
          <w:tcPr>
            <w:tcW w:w="1267" w:type="dxa"/>
            <w:tcBorders>
              <w:bottom w:val="single" w:sz="8" w:space="0" w:color="000000"/>
              <w:right w:val="single" w:sz="8" w:space="0" w:color="000000"/>
            </w:tcBorders>
            <w:vAlign w:val="center"/>
          </w:tcPr>
          <w:p w14:paraId="6510193A"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MdC</w:t>
            </w:r>
          </w:p>
        </w:tc>
      </w:tr>
      <w:tr w:rsidR="002C769E" w:rsidRPr="002C769E" w14:paraId="58D291B5" w14:textId="77777777" w:rsidTr="006E13C8">
        <w:tc>
          <w:tcPr>
            <w:tcW w:w="2914" w:type="dxa"/>
            <w:tcBorders>
              <w:left w:val="single" w:sz="8" w:space="0" w:color="000000"/>
              <w:bottom w:val="single" w:sz="8" w:space="0" w:color="000000"/>
              <w:right w:val="single" w:sz="8" w:space="0" w:color="000000"/>
            </w:tcBorders>
          </w:tcPr>
          <w:p w14:paraId="089753CF"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Risk of traffic accidents</w:t>
            </w:r>
          </w:p>
        </w:tc>
        <w:tc>
          <w:tcPr>
            <w:tcW w:w="3687" w:type="dxa"/>
            <w:tcBorders>
              <w:bottom w:val="single" w:sz="4" w:space="0" w:color="auto"/>
              <w:right w:val="single" w:sz="8" w:space="0" w:color="000000"/>
            </w:tcBorders>
          </w:tcPr>
          <w:p w14:paraId="3076F016"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Training/awareness on the risks of accidents related to each work station Respect of the instructions for driving the machines. Putting in place adequate signs and signals. Wearing of adequate IPE</w:t>
            </w:r>
          </w:p>
        </w:tc>
        <w:tc>
          <w:tcPr>
            <w:tcW w:w="1850" w:type="dxa"/>
            <w:tcBorders>
              <w:bottom w:val="single" w:sz="8" w:space="0" w:color="000000"/>
              <w:right w:val="single" w:sz="8" w:space="0" w:color="000000"/>
            </w:tcBorders>
          </w:tcPr>
          <w:p w14:paraId="5DE54532"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Accident register</w:t>
            </w:r>
          </w:p>
        </w:tc>
        <w:tc>
          <w:tcPr>
            <w:tcW w:w="1861" w:type="dxa"/>
            <w:tcBorders>
              <w:bottom w:val="single" w:sz="8" w:space="0" w:color="000000"/>
              <w:right w:val="single" w:sz="8" w:space="0" w:color="000000"/>
            </w:tcBorders>
            <w:vAlign w:val="center"/>
          </w:tcPr>
          <w:p w14:paraId="3F9C7AC3"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Observation</w:t>
            </w:r>
          </w:p>
        </w:tc>
        <w:tc>
          <w:tcPr>
            <w:tcW w:w="1349" w:type="dxa"/>
            <w:tcBorders>
              <w:bottom w:val="single" w:sz="8" w:space="0" w:color="000000"/>
              <w:right w:val="single" w:sz="8" w:space="0" w:color="000000"/>
            </w:tcBorders>
            <w:vAlign w:val="center"/>
          </w:tcPr>
          <w:p w14:paraId="711E5E62"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Monthly</w:t>
            </w:r>
          </w:p>
        </w:tc>
        <w:tc>
          <w:tcPr>
            <w:tcW w:w="1224" w:type="dxa"/>
            <w:tcBorders>
              <w:bottom w:val="single" w:sz="8" w:space="0" w:color="000000"/>
              <w:right w:val="single" w:sz="8" w:space="0" w:color="000000"/>
            </w:tcBorders>
            <w:vAlign w:val="center"/>
          </w:tcPr>
          <w:p w14:paraId="3517C3BF"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Company</w:t>
            </w:r>
          </w:p>
        </w:tc>
        <w:tc>
          <w:tcPr>
            <w:tcW w:w="1267" w:type="dxa"/>
            <w:tcBorders>
              <w:bottom w:val="single" w:sz="8" w:space="0" w:color="000000"/>
              <w:right w:val="single" w:sz="8" w:space="0" w:color="000000"/>
            </w:tcBorders>
            <w:vAlign w:val="center"/>
          </w:tcPr>
          <w:p w14:paraId="6BBD50D3"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MdC</w:t>
            </w:r>
          </w:p>
        </w:tc>
      </w:tr>
      <w:tr w:rsidR="002C769E" w:rsidRPr="002C769E" w14:paraId="4B06A71D" w14:textId="77777777" w:rsidTr="006E13C8">
        <w:tc>
          <w:tcPr>
            <w:tcW w:w="2914" w:type="dxa"/>
            <w:vMerge w:val="restart"/>
            <w:tcBorders>
              <w:left w:val="single" w:sz="8" w:space="0" w:color="000000"/>
              <w:right w:val="single" w:sz="4" w:space="0" w:color="auto"/>
            </w:tcBorders>
          </w:tcPr>
          <w:p w14:paraId="212CABB1"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Risk of industrial accidents</w:t>
            </w:r>
          </w:p>
          <w:p w14:paraId="49C35E19"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3687" w:type="dxa"/>
            <w:tcBorders>
              <w:top w:val="single" w:sz="4" w:space="0" w:color="auto"/>
              <w:left w:val="single" w:sz="4" w:space="0" w:color="auto"/>
              <w:bottom w:val="single" w:sz="4" w:space="0" w:color="auto"/>
              <w:right w:val="single" w:sz="4" w:space="0" w:color="auto"/>
            </w:tcBorders>
          </w:tcPr>
          <w:p w14:paraId="66FDB2C8"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Training / awareness on the risks of accidents related to each workstation</w:t>
            </w:r>
          </w:p>
        </w:tc>
        <w:tc>
          <w:tcPr>
            <w:tcW w:w="1850" w:type="dxa"/>
            <w:vMerge w:val="restart"/>
            <w:tcBorders>
              <w:left w:val="single" w:sz="4" w:space="0" w:color="auto"/>
              <w:right w:val="single" w:sz="8" w:space="0" w:color="000000"/>
            </w:tcBorders>
          </w:tcPr>
          <w:p w14:paraId="2DC08A5C"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Accident records</w:t>
            </w:r>
          </w:p>
          <w:p w14:paraId="4E88ADE2"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861" w:type="dxa"/>
            <w:vMerge w:val="restart"/>
            <w:tcBorders>
              <w:left w:val="single" w:sz="8" w:space="0" w:color="000000"/>
              <w:right w:val="single" w:sz="8" w:space="0" w:color="000000"/>
            </w:tcBorders>
            <w:vAlign w:val="center"/>
          </w:tcPr>
          <w:p w14:paraId="6C83955C"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Observation</w:t>
            </w:r>
          </w:p>
        </w:tc>
        <w:tc>
          <w:tcPr>
            <w:tcW w:w="1349" w:type="dxa"/>
            <w:vMerge w:val="restart"/>
            <w:tcBorders>
              <w:left w:val="single" w:sz="8" w:space="0" w:color="000000"/>
              <w:right w:val="single" w:sz="8" w:space="0" w:color="000000"/>
            </w:tcBorders>
            <w:vAlign w:val="center"/>
          </w:tcPr>
          <w:p w14:paraId="0F05D799"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Monthly</w:t>
            </w:r>
          </w:p>
        </w:tc>
        <w:tc>
          <w:tcPr>
            <w:tcW w:w="1224" w:type="dxa"/>
            <w:vMerge w:val="restart"/>
            <w:tcBorders>
              <w:left w:val="single" w:sz="8" w:space="0" w:color="000000"/>
              <w:right w:val="single" w:sz="8" w:space="0" w:color="000000"/>
            </w:tcBorders>
            <w:vAlign w:val="center"/>
          </w:tcPr>
          <w:p w14:paraId="6E2CAEB8"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Company</w:t>
            </w:r>
          </w:p>
        </w:tc>
        <w:tc>
          <w:tcPr>
            <w:tcW w:w="1267" w:type="dxa"/>
            <w:vMerge w:val="restart"/>
            <w:tcBorders>
              <w:left w:val="single" w:sz="8" w:space="0" w:color="000000"/>
              <w:right w:val="single" w:sz="8" w:space="0" w:color="000000"/>
            </w:tcBorders>
            <w:vAlign w:val="center"/>
          </w:tcPr>
          <w:p w14:paraId="4337B424"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MdC</w:t>
            </w:r>
          </w:p>
        </w:tc>
      </w:tr>
      <w:tr w:rsidR="002C769E" w:rsidRPr="002C769E" w14:paraId="0BCDCFE9" w14:textId="77777777" w:rsidTr="006E13C8">
        <w:tc>
          <w:tcPr>
            <w:tcW w:w="2914" w:type="dxa"/>
            <w:vMerge/>
            <w:tcBorders>
              <w:left w:val="single" w:sz="8" w:space="0" w:color="000000"/>
              <w:bottom w:val="single" w:sz="8" w:space="0" w:color="000000"/>
              <w:right w:val="single" w:sz="4" w:space="0" w:color="auto"/>
            </w:tcBorders>
          </w:tcPr>
          <w:p w14:paraId="5945DBCD"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3687" w:type="dxa"/>
            <w:tcBorders>
              <w:top w:val="single" w:sz="4" w:space="0" w:color="auto"/>
              <w:left w:val="single" w:sz="4" w:space="0" w:color="auto"/>
              <w:bottom w:val="single" w:sz="4" w:space="0" w:color="auto"/>
              <w:right w:val="single" w:sz="4" w:space="0" w:color="auto"/>
            </w:tcBorders>
          </w:tcPr>
          <w:p w14:paraId="680E2043"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Wearing of adequate PPE</w:t>
            </w:r>
          </w:p>
        </w:tc>
        <w:tc>
          <w:tcPr>
            <w:tcW w:w="1850" w:type="dxa"/>
            <w:vMerge/>
            <w:tcBorders>
              <w:left w:val="single" w:sz="4" w:space="0" w:color="auto"/>
              <w:bottom w:val="single" w:sz="4" w:space="0" w:color="auto"/>
              <w:right w:val="single" w:sz="8" w:space="0" w:color="000000"/>
            </w:tcBorders>
          </w:tcPr>
          <w:p w14:paraId="00F88D8D"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861" w:type="dxa"/>
            <w:vMerge/>
            <w:tcBorders>
              <w:left w:val="single" w:sz="8" w:space="0" w:color="000000"/>
              <w:bottom w:val="single" w:sz="8" w:space="0" w:color="000000"/>
              <w:right w:val="single" w:sz="8" w:space="0" w:color="000000"/>
            </w:tcBorders>
            <w:vAlign w:val="center"/>
          </w:tcPr>
          <w:p w14:paraId="5A5AFA37"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349" w:type="dxa"/>
            <w:vMerge/>
            <w:tcBorders>
              <w:left w:val="single" w:sz="8" w:space="0" w:color="000000"/>
              <w:bottom w:val="single" w:sz="8" w:space="0" w:color="000000"/>
              <w:right w:val="single" w:sz="8" w:space="0" w:color="000000"/>
            </w:tcBorders>
            <w:vAlign w:val="center"/>
          </w:tcPr>
          <w:p w14:paraId="6F3DFF53"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224" w:type="dxa"/>
            <w:vMerge/>
            <w:tcBorders>
              <w:left w:val="single" w:sz="8" w:space="0" w:color="000000"/>
              <w:bottom w:val="single" w:sz="8" w:space="0" w:color="000000"/>
              <w:right w:val="single" w:sz="8" w:space="0" w:color="000000"/>
            </w:tcBorders>
            <w:vAlign w:val="center"/>
          </w:tcPr>
          <w:p w14:paraId="3878F54F"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267" w:type="dxa"/>
            <w:vMerge/>
            <w:tcBorders>
              <w:left w:val="single" w:sz="8" w:space="0" w:color="000000"/>
              <w:bottom w:val="single" w:sz="8" w:space="0" w:color="000000"/>
              <w:right w:val="single" w:sz="8" w:space="0" w:color="000000"/>
            </w:tcBorders>
            <w:vAlign w:val="center"/>
          </w:tcPr>
          <w:p w14:paraId="1367AFBE"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r>
      <w:tr w:rsidR="002C769E" w:rsidRPr="002C769E" w14:paraId="659B29CB" w14:textId="77777777" w:rsidTr="006E13C8">
        <w:trPr>
          <w:trHeight w:val="210"/>
        </w:trPr>
        <w:tc>
          <w:tcPr>
            <w:tcW w:w="2914" w:type="dxa"/>
            <w:vMerge w:val="restart"/>
            <w:tcBorders>
              <w:left w:val="single" w:sz="8" w:space="0" w:color="000000"/>
              <w:right w:val="single" w:sz="8" w:space="0" w:color="000000"/>
            </w:tcBorders>
          </w:tcPr>
          <w:p w14:paraId="71ADE6D9"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Risk of fire and explosion</w:t>
            </w:r>
          </w:p>
        </w:tc>
        <w:tc>
          <w:tcPr>
            <w:tcW w:w="3687" w:type="dxa"/>
            <w:tcBorders>
              <w:top w:val="single" w:sz="4" w:space="0" w:color="auto"/>
              <w:bottom w:val="single" w:sz="8" w:space="0" w:color="000000"/>
              <w:right w:val="single" w:sz="4" w:space="0" w:color="auto"/>
            </w:tcBorders>
          </w:tcPr>
          <w:p w14:paraId="377DFE6E"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Implementation of fire-fighting devices</w:t>
            </w:r>
          </w:p>
        </w:tc>
        <w:tc>
          <w:tcPr>
            <w:tcW w:w="1850" w:type="dxa"/>
            <w:tcBorders>
              <w:top w:val="single" w:sz="4" w:space="0" w:color="auto"/>
              <w:left w:val="single" w:sz="4" w:space="0" w:color="auto"/>
              <w:bottom w:val="single" w:sz="4" w:space="0" w:color="auto"/>
              <w:right w:val="single" w:sz="4" w:space="0" w:color="auto"/>
            </w:tcBorders>
          </w:tcPr>
          <w:p w14:paraId="77969581"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Fire-fighting devices put in place</w:t>
            </w:r>
          </w:p>
        </w:tc>
        <w:tc>
          <w:tcPr>
            <w:tcW w:w="1861" w:type="dxa"/>
            <w:tcBorders>
              <w:left w:val="single" w:sz="4" w:space="0" w:color="auto"/>
              <w:right w:val="single" w:sz="8" w:space="0" w:color="000000"/>
            </w:tcBorders>
          </w:tcPr>
          <w:p w14:paraId="66F26401"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Observation</w:t>
            </w:r>
          </w:p>
        </w:tc>
        <w:tc>
          <w:tcPr>
            <w:tcW w:w="1349" w:type="dxa"/>
            <w:vMerge w:val="restart"/>
            <w:tcBorders>
              <w:right w:val="single" w:sz="8" w:space="0" w:color="000000"/>
            </w:tcBorders>
            <w:vAlign w:val="center"/>
          </w:tcPr>
          <w:p w14:paraId="7BF37B29"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Monthly</w:t>
            </w:r>
          </w:p>
        </w:tc>
        <w:tc>
          <w:tcPr>
            <w:tcW w:w="1224" w:type="dxa"/>
            <w:vMerge w:val="restart"/>
            <w:tcBorders>
              <w:right w:val="single" w:sz="8" w:space="0" w:color="000000"/>
            </w:tcBorders>
            <w:vAlign w:val="center"/>
          </w:tcPr>
          <w:p w14:paraId="46C8DD50"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Company</w:t>
            </w:r>
          </w:p>
        </w:tc>
        <w:tc>
          <w:tcPr>
            <w:tcW w:w="1267" w:type="dxa"/>
            <w:vMerge w:val="restart"/>
            <w:tcBorders>
              <w:right w:val="single" w:sz="8" w:space="0" w:color="000000"/>
            </w:tcBorders>
            <w:vAlign w:val="center"/>
          </w:tcPr>
          <w:p w14:paraId="22DF2500"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MdC</w:t>
            </w:r>
          </w:p>
        </w:tc>
      </w:tr>
      <w:tr w:rsidR="002C769E" w:rsidRPr="002C769E" w14:paraId="719160DE" w14:textId="77777777" w:rsidTr="006E13C8">
        <w:trPr>
          <w:trHeight w:val="210"/>
        </w:trPr>
        <w:tc>
          <w:tcPr>
            <w:tcW w:w="2914" w:type="dxa"/>
            <w:vMerge/>
            <w:tcBorders>
              <w:left w:val="single" w:sz="8" w:space="0" w:color="000000"/>
              <w:bottom w:val="single" w:sz="8" w:space="0" w:color="000000"/>
              <w:right w:val="single" w:sz="8" w:space="0" w:color="000000"/>
            </w:tcBorders>
          </w:tcPr>
          <w:p w14:paraId="0C9F44D0"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3687" w:type="dxa"/>
            <w:tcBorders>
              <w:top w:val="single" w:sz="4" w:space="0" w:color="auto"/>
              <w:bottom w:val="single" w:sz="8" w:space="0" w:color="000000"/>
              <w:right w:val="single" w:sz="4" w:space="0" w:color="auto"/>
            </w:tcBorders>
          </w:tcPr>
          <w:p w14:paraId="551FA0E6"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Refresher courses and training of personnel on safety measures at the site level</w:t>
            </w:r>
          </w:p>
        </w:tc>
        <w:tc>
          <w:tcPr>
            <w:tcW w:w="1850" w:type="dxa"/>
            <w:tcBorders>
              <w:top w:val="single" w:sz="4" w:space="0" w:color="auto"/>
              <w:left w:val="single" w:sz="4" w:space="0" w:color="auto"/>
              <w:bottom w:val="single" w:sz="4" w:space="0" w:color="auto"/>
              <w:right w:val="single" w:sz="4" w:space="0" w:color="auto"/>
            </w:tcBorders>
          </w:tcPr>
          <w:p w14:paraId="396C8061"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Number of training sessions carried out</w:t>
            </w:r>
          </w:p>
        </w:tc>
        <w:tc>
          <w:tcPr>
            <w:tcW w:w="1861" w:type="dxa"/>
            <w:tcBorders>
              <w:left w:val="single" w:sz="4" w:space="0" w:color="auto"/>
              <w:bottom w:val="single" w:sz="8" w:space="0" w:color="000000"/>
              <w:right w:val="single" w:sz="8" w:space="0" w:color="000000"/>
            </w:tcBorders>
          </w:tcPr>
          <w:p w14:paraId="1285E780"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Report consultation</w:t>
            </w:r>
          </w:p>
        </w:tc>
        <w:tc>
          <w:tcPr>
            <w:tcW w:w="1349" w:type="dxa"/>
            <w:vMerge/>
            <w:tcBorders>
              <w:bottom w:val="single" w:sz="8" w:space="0" w:color="000000"/>
              <w:right w:val="single" w:sz="8" w:space="0" w:color="000000"/>
            </w:tcBorders>
            <w:vAlign w:val="center"/>
          </w:tcPr>
          <w:p w14:paraId="360EE04F"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224" w:type="dxa"/>
            <w:vMerge/>
            <w:tcBorders>
              <w:bottom w:val="single" w:sz="8" w:space="0" w:color="000000"/>
              <w:right w:val="single" w:sz="8" w:space="0" w:color="000000"/>
            </w:tcBorders>
            <w:vAlign w:val="center"/>
          </w:tcPr>
          <w:p w14:paraId="73C00320"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267" w:type="dxa"/>
            <w:vMerge/>
            <w:tcBorders>
              <w:bottom w:val="single" w:sz="8" w:space="0" w:color="000000"/>
              <w:right w:val="single" w:sz="8" w:space="0" w:color="000000"/>
            </w:tcBorders>
            <w:vAlign w:val="center"/>
          </w:tcPr>
          <w:p w14:paraId="2844C6F5"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r>
      <w:tr w:rsidR="002C769E" w:rsidRPr="007145D0" w14:paraId="78D92859" w14:textId="77777777" w:rsidTr="006E13C8">
        <w:tc>
          <w:tcPr>
            <w:tcW w:w="14152" w:type="dxa"/>
            <w:gridSpan w:val="7"/>
            <w:tcBorders>
              <w:left w:val="single" w:sz="8" w:space="0" w:color="000000"/>
              <w:bottom w:val="single" w:sz="8" w:space="0" w:color="000000"/>
              <w:right w:val="single" w:sz="8" w:space="0" w:color="000000"/>
            </w:tcBorders>
            <w:shd w:val="clear" w:color="auto" w:fill="00B0F0"/>
            <w:vAlign w:val="center"/>
          </w:tcPr>
          <w:p w14:paraId="713E29DE" w14:textId="77777777" w:rsidR="002C769E" w:rsidRPr="00244E1F" w:rsidRDefault="002C769E" w:rsidP="00AE406E">
            <w:pPr>
              <w:jc w:val="center"/>
            </w:pPr>
            <w:r w:rsidRPr="007145D0">
              <w:rPr>
                <w:b/>
                <w:bCs/>
              </w:rPr>
              <w:t>Withdrawal from the site</w:t>
            </w:r>
          </w:p>
        </w:tc>
      </w:tr>
      <w:tr w:rsidR="002C769E" w:rsidRPr="002C769E" w14:paraId="7B9A7FA5" w14:textId="77777777" w:rsidTr="006E13C8">
        <w:tc>
          <w:tcPr>
            <w:tcW w:w="2914" w:type="dxa"/>
            <w:vMerge w:val="restart"/>
            <w:tcBorders>
              <w:left w:val="single" w:sz="8" w:space="0" w:color="000000"/>
              <w:right w:val="single" w:sz="4" w:space="0" w:color="auto"/>
            </w:tcBorders>
            <w:vAlign w:val="center"/>
          </w:tcPr>
          <w:p w14:paraId="3DEDE487"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Risk of traffic accidents</w:t>
            </w:r>
          </w:p>
        </w:tc>
        <w:tc>
          <w:tcPr>
            <w:tcW w:w="3687" w:type="dxa"/>
            <w:tcBorders>
              <w:top w:val="single" w:sz="4" w:space="0" w:color="auto"/>
              <w:left w:val="single" w:sz="4" w:space="0" w:color="auto"/>
              <w:bottom w:val="single" w:sz="4" w:space="0" w:color="auto"/>
              <w:right w:val="single" w:sz="4" w:space="0" w:color="auto"/>
            </w:tcBorders>
          </w:tcPr>
          <w:p w14:paraId="6A64F52B"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Implementation of a traffic plan</w:t>
            </w:r>
          </w:p>
        </w:tc>
        <w:tc>
          <w:tcPr>
            <w:tcW w:w="1850" w:type="dxa"/>
            <w:vMerge w:val="restart"/>
            <w:tcBorders>
              <w:left w:val="single" w:sz="4" w:space="0" w:color="auto"/>
              <w:right w:val="single" w:sz="8" w:space="0" w:color="000000"/>
            </w:tcBorders>
            <w:vAlign w:val="center"/>
          </w:tcPr>
          <w:p w14:paraId="3E1E6290"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Traffic plan in place</w:t>
            </w:r>
          </w:p>
        </w:tc>
        <w:tc>
          <w:tcPr>
            <w:tcW w:w="1861" w:type="dxa"/>
            <w:vMerge w:val="restart"/>
            <w:tcBorders>
              <w:left w:val="single" w:sz="8" w:space="0" w:color="000000"/>
              <w:right w:val="single" w:sz="8" w:space="0" w:color="000000"/>
            </w:tcBorders>
            <w:vAlign w:val="center"/>
          </w:tcPr>
          <w:p w14:paraId="2EB81664"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Observation</w:t>
            </w:r>
          </w:p>
        </w:tc>
        <w:tc>
          <w:tcPr>
            <w:tcW w:w="1349" w:type="dxa"/>
            <w:vMerge w:val="restart"/>
            <w:tcBorders>
              <w:left w:val="single" w:sz="8" w:space="0" w:color="000000"/>
              <w:right w:val="single" w:sz="8" w:space="0" w:color="000000"/>
            </w:tcBorders>
            <w:vAlign w:val="center"/>
          </w:tcPr>
          <w:p w14:paraId="673FB944"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End of site withdrawal</w:t>
            </w:r>
          </w:p>
        </w:tc>
        <w:tc>
          <w:tcPr>
            <w:tcW w:w="1224" w:type="dxa"/>
            <w:vMerge w:val="restart"/>
            <w:tcBorders>
              <w:left w:val="single" w:sz="8" w:space="0" w:color="000000"/>
              <w:right w:val="single" w:sz="8" w:space="0" w:color="000000"/>
            </w:tcBorders>
            <w:vAlign w:val="center"/>
          </w:tcPr>
          <w:p w14:paraId="12B355B9"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Company</w:t>
            </w:r>
          </w:p>
        </w:tc>
        <w:tc>
          <w:tcPr>
            <w:tcW w:w="1267" w:type="dxa"/>
            <w:vMerge w:val="restart"/>
            <w:tcBorders>
              <w:left w:val="single" w:sz="8" w:space="0" w:color="000000"/>
              <w:right w:val="single" w:sz="8" w:space="0" w:color="000000"/>
            </w:tcBorders>
            <w:vAlign w:val="center"/>
          </w:tcPr>
          <w:p w14:paraId="04EC62E4"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MdC</w:t>
            </w:r>
          </w:p>
        </w:tc>
      </w:tr>
      <w:tr w:rsidR="002C769E" w:rsidRPr="002C769E" w14:paraId="25D84C74" w14:textId="77777777" w:rsidTr="006E13C8">
        <w:tc>
          <w:tcPr>
            <w:tcW w:w="2914" w:type="dxa"/>
            <w:vMerge/>
            <w:tcBorders>
              <w:left w:val="single" w:sz="8" w:space="0" w:color="000000"/>
              <w:bottom w:val="single" w:sz="8" w:space="0" w:color="000000"/>
              <w:right w:val="single" w:sz="4" w:space="0" w:color="auto"/>
            </w:tcBorders>
            <w:vAlign w:val="center"/>
          </w:tcPr>
          <w:p w14:paraId="711FCD55"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3687" w:type="dxa"/>
            <w:tcBorders>
              <w:top w:val="single" w:sz="4" w:space="0" w:color="auto"/>
              <w:left w:val="single" w:sz="4" w:space="0" w:color="auto"/>
              <w:bottom w:val="single" w:sz="4" w:space="0" w:color="auto"/>
              <w:right w:val="single" w:sz="4" w:space="0" w:color="auto"/>
            </w:tcBorders>
          </w:tcPr>
          <w:p w14:paraId="6C152166"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Respect of the devices set up. Signage</w:t>
            </w:r>
          </w:p>
        </w:tc>
        <w:tc>
          <w:tcPr>
            <w:tcW w:w="1850" w:type="dxa"/>
            <w:vMerge/>
            <w:tcBorders>
              <w:left w:val="single" w:sz="4" w:space="0" w:color="auto"/>
              <w:bottom w:val="single" w:sz="8" w:space="0" w:color="000000"/>
              <w:right w:val="single" w:sz="8" w:space="0" w:color="000000"/>
            </w:tcBorders>
            <w:vAlign w:val="center"/>
          </w:tcPr>
          <w:p w14:paraId="01AF3913"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861" w:type="dxa"/>
            <w:vMerge/>
            <w:tcBorders>
              <w:left w:val="single" w:sz="8" w:space="0" w:color="000000"/>
              <w:bottom w:val="single" w:sz="8" w:space="0" w:color="000000"/>
              <w:right w:val="single" w:sz="8" w:space="0" w:color="000000"/>
            </w:tcBorders>
            <w:vAlign w:val="center"/>
          </w:tcPr>
          <w:p w14:paraId="3A2D3A7C"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349" w:type="dxa"/>
            <w:vMerge/>
            <w:tcBorders>
              <w:left w:val="single" w:sz="8" w:space="0" w:color="000000"/>
              <w:bottom w:val="single" w:sz="8" w:space="0" w:color="000000"/>
              <w:right w:val="single" w:sz="8" w:space="0" w:color="000000"/>
            </w:tcBorders>
            <w:vAlign w:val="center"/>
          </w:tcPr>
          <w:p w14:paraId="742983CF"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224" w:type="dxa"/>
            <w:vMerge/>
            <w:tcBorders>
              <w:left w:val="single" w:sz="8" w:space="0" w:color="000000"/>
              <w:bottom w:val="single" w:sz="8" w:space="0" w:color="000000"/>
              <w:right w:val="single" w:sz="8" w:space="0" w:color="000000"/>
            </w:tcBorders>
            <w:vAlign w:val="center"/>
          </w:tcPr>
          <w:p w14:paraId="77B28818"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267" w:type="dxa"/>
            <w:vMerge/>
            <w:tcBorders>
              <w:left w:val="single" w:sz="8" w:space="0" w:color="000000"/>
              <w:bottom w:val="single" w:sz="8" w:space="0" w:color="000000"/>
              <w:right w:val="single" w:sz="8" w:space="0" w:color="000000"/>
            </w:tcBorders>
            <w:vAlign w:val="center"/>
          </w:tcPr>
          <w:p w14:paraId="171BF024"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r>
      <w:tr w:rsidR="002C769E" w:rsidRPr="007145D0" w14:paraId="0875DCAF" w14:textId="77777777" w:rsidTr="006E13C8">
        <w:tc>
          <w:tcPr>
            <w:tcW w:w="14152" w:type="dxa"/>
            <w:gridSpan w:val="7"/>
            <w:tcBorders>
              <w:left w:val="single" w:sz="8" w:space="0" w:color="000000"/>
              <w:bottom w:val="single" w:sz="8" w:space="0" w:color="000000"/>
              <w:right w:val="single" w:sz="8" w:space="0" w:color="000000"/>
            </w:tcBorders>
            <w:shd w:val="clear" w:color="auto" w:fill="00B0F0"/>
            <w:vAlign w:val="center"/>
          </w:tcPr>
          <w:p w14:paraId="75F9BA88" w14:textId="77777777" w:rsidR="002C769E" w:rsidRPr="00244E1F" w:rsidRDefault="002C769E" w:rsidP="00AE406E">
            <w:pPr>
              <w:jc w:val="center"/>
            </w:pPr>
            <w:r w:rsidRPr="007145D0">
              <w:rPr>
                <w:b/>
                <w:bCs/>
              </w:rPr>
              <w:t>Operation phase</w:t>
            </w:r>
          </w:p>
        </w:tc>
      </w:tr>
      <w:tr w:rsidR="002C769E" w:rsidRPr="002C769E" w14:paraId="754EE214" w14:textId="77777777" w:rsidTr="006E13C8">
        <w:tc>
          <w:tcPr>
            <w:tcW w:w="2914" w:type="dxa"/>
            <w:tcBorders>
              <w:left w:val="single" w:sz="8" w:space="0" w:color="000000"/>
              <w:bottom w:val="single" w:sz="8" w:space="0" w:color="000000"/>
              <w:right w:val="single" w:sz="8" w:space="0" w:color="000000"/>
            </w:tcBorders>
          </w:tcPr>
          <w:p w14:paraId="2C9FE0FE"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Risk of depletion of water resources due to the need to wash the solar panels</w:t>
            </w:r>
          </w:p>
        </w:tc>
        <w:tc>
          <w:tcPr>
            <w:tcW w:w="3687" w:type="dxa"/>
            <w:tcBorders>
              <w:bottom w:val="single" w:sz="8" w:space="0" w:color="000000"/>
              <w:right w:val="single" w:sz="8" w:space="0" w:color="000000"/>
            </w:tcBorders>
          </w:tcPr>
          <w:p w14:paraId="0C874BB0"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Implementation of wastewater recovery and treatment system for reuse</w:t>
            </w:r>
          </w:p>
        </w:tc>
        <w:tc>
          <w:tcPr>
            <w:tcW w:w="1850" w:type="dxa"/>
            <w:tcBorders>
              <w:bottom w:val="single" w:sz="8" w:space="0" w:color="000000"/>
              <w:right w:val="single" w:sz="8" w:space="0" w:color="000000"/>
            </w:tcBorders>
          </w:tcPr>
          <w:p w14:paraId="3D6F697E"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Recovery system in place</w:t>
            </w:r>
          </w:p>
        </w:tc>
        <w:tc>
          <w:tcPr>
            <w:tcW w:w="1861" w:type="dxa"/>
            <w:tcBorders>
              <w:bottom w:val="single" w:sz="8" w:space="0" w:color="000000"/>
              <w:right w:val="single" w:sz="8" w:space="0" w:color="000000"/>
            </w:tcBorders>
            <w:vAlign w:val="center"/>
          </w:tcPr>
          <w:p w14:paraId="762ED658"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Observation</w:t>
            </w:r>
          </w:p>
        </w:tc>
        <w:tc>
          <w:tcPr>
            <w:tcW w:w="1349" w:type="dxa"/>
            <w:tcBorders>
              <w:bottom w:val="single" w:sz="8" w:space="0" w:color="000000"/>
              <w:right w:val="single" w:sz="8" w:space="0" w:color="000000"/>
            </w:tcBorders>
          </w:tcPr>
          <w:p w14:paraId="7DE1EA6C"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Monthly</w:t>
            </w:r>
          </w:p>
        </w:tc>
        <w:tc>
          <w:tcPr>
            <w:tcW w:w="1224" w:type="dxa"/>
            <w:tcBorders>
              <w:bottom w:val="single" w:sz="8" w:space="0" w:color="000000"/>
              <w:right w:val="single" w:sz="8" w:space="0" w:color="000000"/>
            </w:tcBorders>
          </w:tcPr>
          <w:p w14:paraId="5EEB2632"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Project/ Operator</w:t>
            </w:r>
          </w:p>
        </w:tc>
        <w:tc>
          <w:tcPr>
            <w:tcW w:w="1267" w:type="dxa"/>
            <w:tcBorders>
              <w:bottom w:val="single" w:sz="8" w:space="0" w:color="000000"/>
              <w:right w:val="single" w:sz="8" w:space="0" w:color="000000"/>
            </w:tcBorders>
            <w:vAlign w:val="center"/>
          </w:tcPr>
          <w:p w14:paraId="7E253AD4"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Ministry Energy, BM,</w:t>
            </w:r>
          </w:p>
        </w:tc>
      </w:tr>
      <w:tr w:rsidR="002C769E" w:rsidRPr="00160FB0" w14:paraId="64C88A63" w14:textId="77777777" w:rsidTr="006E13C8">
        <w:tc>
          <w:tcPr>
            <w:tcW w:w="2914" w:type="dxa"/>
            <w:tcBorders>
              <w:left w:val="single" w:sz="8" w:space="0" w:color="000000"/>
              <w:bottom w:val="single" w:sz="8" w:space="0" w:color="000000"/>
              <w:right w:val="single" w:sz="8" w:space="0" w:color="000000"/>
            </w:tcBorders>
          </w:tcPr>
          <w:p w14:paraId="6E441E43"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Creation of electromagnetic fields (EMF) that may disturb local wildlife</w:t>
            </w:r>
          </w:p>
        </w:tc>
        <w:tc>
          <w:tcPr>
            <w:tcW w:w="3687" w:type="dxa"/>
            <w:tcBorders>
              <w:bottom w:val="single" w:sz="8" w:space="0" w:color="000000"/>
              <w:right w:val="single" w:sz="8" w:space="0" w:color="000000"/>
            </w:tcBorders>
          </w:tcPr>
          <w:p w14:paraId="4649DA10"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Setting up sites for the installation of PV parks, cellular towers.... On sites far from Protected Areas and other sites with high biodiversity potential</w:t>
            </w:r>
          </w:p>
        </w:tc>
        <w:tc>
          <w:tcPr>
            <w:tcW w:w="1850" w:type="dxa"/>
            <w:tcBorders>
              <w:bottom w:val="single" w:sz="8" w:space="0" w:color="000000"/>
              <w:right w:val="single" w:sz="8" w:space="0" w:color="000000"/>
            </w:tcBorders>
          </w:tcPr>
          <w:p w14:paraId="1A3F7D0B"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Infrastructure installation site</w:t>
            </w:r>
          </w:p>
        </w:tc>
        <w:tc>
          <w:tcPr>
            <w:tcW w:w="1861" w:type="dxa"/>
            <w:tcBorders>
              <w:bottom w:val="single" w:sz="8" w:space="0" w:color="000000"/>
              <w:right w:val="single" w:sz="8" w:space="0" w:color="000000"/>
            </w:tcBorders>
            <w:vAlign w:val="center"/>
          </w:tcPr>
          <w:p w14:paraId="10ACD1AF"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Observation</w:t>
            </w:r>
          </w:p>
        </w:tc>
        <w:tc>
          <w:tcPr>
            <w:tcW w:w="1349" w:type="dxa"/>
            <w:tcBorders>
              <w:bottom w:val="single" w:sz="8" w:space="0" w:color="000000"/>
              <w:right w:val="single" w:sz="8" w:space="0" w:color="000000"/>
            </w:tcBorders>
          </w:tcPr>
          <w:p w14:paraId="50F4F360"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Semi-annual</w:t>
            </w:r>
          </w:p>
        </w:tc>
        <w:tc>
          <w:tcPr>
            <w:tcW w:w="1224" w:type="dxa"/>
            <w:tcBorders>
              <w:bottom w:val="single" w:sz="8" w:space="0" w:color="000000"/>
              <w:right w:val="single" w:sz="8" w:space="0" w:color="000000"/>
            </w:tcBorders>
          </w:tcPr>
          <w:p w14:paraId="60298AAE"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Project/ Operator</w:t>
            </w:r>
          </w:p>
        </w:tc>
        <w:tc>
          <w:tcPr>
            <w:tcW w:w="1267" w:type="dxa"/>
            <w:tcBorders>
              <w:bottom w:val="single" w:sz="8" w:space="0" w:color="000000"/>
              <w:right w:val="single" w:sz="8" w:space="0" w:color="000000"/>
            </w:tcBorders>
            <w:vAlign w:val="center"/>
          </w:tcPr>
          <w:p w14:paraId="34BA2920"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Ministry Energy, Ministry environment, BM,</w:t>
            </w:r>
          </w:p>
        </w:tc>
      </w:tr>
      <w:tr w:rsidR="002C769E" w:rsidRPr="002C769E" w14:paraId="79005B77" w14:textId="77777777" w:rsidTr="006E13C8">
        <w:tc>
          <w:tcPr>
            <w:tcW w:w="2914" w:type="dxa"/>
            <w:tcBorders>
              <w:left w:val="single" w:sz="8" w:space="0" w:color="000000"/>
              <w:bottom w:val="single" w:sz="8" w:space="0" w:color="000000"/>
              <w:right w:val="single" w:sz="8" w:space="0" w:color="000000"/>
            </w:tcBorders>
          </w:tcPr>
          <w:p w14:paraId="7C71E907"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Accumulation of solid waste including waste electrical and electronic equipment (WEEE)</w:t>
            </w:r>
          </w:p>
        </w:tc>
        <w:tc>
          <w:tcPr>
            <w:tcW w:w="3687" w:type="dxa"/>
            <w:tcBorders>
              <w:bottom w:val="single" w:sz="8" w:space="0" w:color="000000"/>
              <w:right w:val="single" w:sz="8" w:space="0" w:color="000000"/>
            </w:tcBorders>
          </w:tcPr>
          <w:p w14:paraId="3905B56B"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Establish a Solid and Liquid Waste Management Plan (PGD). Promote the recycling of WEEE</w:t>
            </w:r>
          </w:p>
        </w:tc>
        <w:tc>
          <w:tcPr>
            <w:tcW w:w="1850" w:type="dxa"/>
            <w:tcBorders>
              <w:bottom w:val="single" w:sz="8" w:space="0" w:color="000000"/>
              <w:right w:val="single" w:sz="8" w:space="0" w:color="000000"/>
            </w:tcBorders>
          </w:tcPr>
          <w:p w14:paraId="2B0D97B9"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SWMP in place</w:t>
            </w:r>
          </w:p>
        </w:tc>
        <w:tc>
          <w:tcPr>
            <w:tcW w:w="1861" w:type="dxa"/>
            <w:tcBorders>
              <w:bottom w:val="single" w:sz="8" w:space="0" w:color="000000"/>
              <w:right w:val="single" w:sz="8" w:space="0" w:color="000000"/>
            </w:tcBorders>
            <w:vAlign w:val="center"/>
          </w:tcPr>
          <w:p w14:paraId="4382637B"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Observation</w:t>
            </w:r>
          </w:p>
        </w:tc>
        <w:tc>
          <w:tcPr>
            <w:tcW w:w="1349" w:type="dxa"/>
            <w:tcBorders>
              <w:bottom w:val="single" w:sz="8" w:space="0" w:color="000000"/>
              <w:right w:val="single" w:sz="8" w:space="0" w:color="000000"/>
            </w:tcBorders>
          </w:tcPr>
          <w:p w14:paraId="7C2F4643"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Semi-annual</w:t>
            </w:r>
          </w:p>
        </w:tc>
        <w:tc>
          <w:tcPr>
            <w:tcW w:w="1224" w:type="dxa"/>
            <w:tcBorders>
              <w:bottom w:val="single" w:sz="8" w:space="0" w:color="000000"/>
              <w:right w:val="single" w:sz="8" w:space="0" w:color="000000"/>
            </w:tcBorders>
          </w:tcPr>
          <w:p w14:paraId="3CA77DB6"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Project/ Operator</w:t>
            </w:r>
          </w:p>
        </w:tc>
        <w:tc>
          <w:tcPr>
            <w:tcW w:w="1267" w:type="dxa"/>
            <w:tcBorders>
              <w:bottom w:val="single" w:sz="8" w:space="0" w:color="000000"/>
              <w:right w:val="single" w:sz="8" w:space="0" w:color="000000"/>
            </w:tcBorders>
            <w:vAlign w:val="center"/>
          </w:tcPr>
          <w:p w14:paraId="008E9540"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Ministry Energy, BM,</w:t>
            </w:r>
          </w:p>
        </w:tc>
      </w:tr>
      <w:tr w:rsidR="002C769E" w:rsidRPr="002C769E" w14:paraId="3AAF0237" w14:textId="77777777" w:rsidTr="006E13C8">
        <w:tc>
          <w:tcPr>
            <w:tcW w:w="2914" w:type="dxa"/>
            <w:tcBorders>
              <w:left w:val="single" w:sz="8" w:space="0" w:color="000000"/>
              <w:bottom w:val="single" w:sz="8" w:space="0" w:color="000000"/>
              <w:right w:val="single" w:sz="8" w:space="0" w:color="000000"/>
            </w:tcBorders>
          </w:tcPr>
          <w:p w14:paraId="1DC1CC4F"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Potential for water use conflicts</w:t>
            </w:r>
          </w:p>
        </w:tc>
        <w:tc>
          <w:tcPr>
            <w:tcW w:w="3687" w:type="dxa"/>
            <w:tcBorders>
              <w:bottom w:val="single" w:sz="8" w:space="0" w:color="000000"/>
              <w:right w:val="single" w:sz="8" w:space="0" w:color="000000"/>
            </w:tcBorders>
          </w:tcPr>
          <w:p w14:paraId="2EC7BD41"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Information/awareness on the proper management of water resources</w:t>
            </w:r>
          </w:p>
        </w:tc>
        <w:tc>
          <w:tcPr>
            <w:tcW w:w="1850" w:type="dxa"/>
            <w:tcBorders>
              <w:bottom w:val="single" w:sz="8" w:space="0" w:color="000000"/>
              <w:right w:val="single" w:sz="8" w:space="0" w:color="000000"/>
            </w:tcBorders>
          </w:tcPr>
          <w:p w14:paraId="3FB43630"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Sufficiency of water resources</w:t>
            </w:r>
          </w:p>
        </w:tc>
        <w:tc>
          <w:tcPr>
            <w:tcW w:w="1861" w:type="dxa"/>
            <w:tcBorders>
              <w:bottom w:val="single" w:sz="8" w:space="0" w:color="000000"/>
              <w:right w:val="single" w:sz="8" w:space="0" w:color="000000"/>
            </w:tcBorders>
            <w:vAlign w:val="center"/>
          </w:tcPr>
          <w:p w14:paraId="7F8FA587"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Observation</w:t>
            </w:r>
          </w:p>
        </w:tc>
        <w:tc>
          <w:tcPr>
            <w:tcW w:w="1349" w:type="dxa"/>
            <w:tcBorders>
              <w:bottom w:val="single" w:sz="8" w:space="0" w:color="000000"/>
              <w:right w:val="single" w:sz="8" w:space="0" w:color="000000"/>
            </w:tcBorders>
          </w:tcPr>
          <w:p w14:paraId="44CE20EE"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Quarterly</w:t>
            </w:r>
          </w:p>
        </w:tc>
        <w:tc>
          <w:tcPr>
            <w:tcW w:w="1224" w:type="dxa"/>
            <w:tcBorders>
              <w:bottom w:val="single" w:sz="8" w:space="0" w:color="000000"/>
              <w:right w:val="single" w:sz="8" w:space="0" w:color="000000"/>
            </w:tcBorders>
          </w:tcPr>
          <w:p w14:paraId="32D23217"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Project/ Operator</w:t>
            </w:r>
          </w:p>
        </w:tc>
        <w:tc>
          <w:tcPr>
            <w:tcW w:w="1267" w:type="dxa"/>
            <w:tcBorders>
              <w:bottom w:val="single" w:sz="8" w:space="0" w:color="000000"/>
              <w:right w:val="single" w:sz="8" w:space="0" w:color="000000"/>
            </w:tcBorders>
            <w:vAlign w:val="center"/>
          </w:tcPr>
          <w:p w14:paraId="44D857D9"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Ministry water, Ministry energy,</w:t>
            </w:r>
          </w:p>
        </w:tc>
      </w:tr>
      <w:tr w:rsidR="002C769E" w:rsidRPr="002C769E" w14:paraId="76358EC0" w14:textId="77777777" w:rsidTr="006E13C8">
        <w:tc>
          <w:tcPr>
            <w:tcW w:w="2914" w:type="dxa"/>
            <w:tcBorders>
              <w:left w:val="single" w:sz="8" w:space="0" w:color="000000"/>
              <w:bottom w:val="single" w:sz="8" w:space="0" w:color="000000"/>
              <w:right w:val="single" w:sz="8" w:space="0" w:color="000000"/>
            </w:tcBorders>
          </w:tcPr>
          <w:p w14:paraId="66F4BE69"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Potential for disruption of social mores</w:t>
            </w:r>
          </w:p>
        </w:tc>
        <w:tc>
          <w:tcPr>
            <w:tcW w:w="3687" w:type="dxa"/>
            <w:tcBorders>
              <w:bottom w:val="single" w:sz="4" w:space="0" w:color="auto"/>
              <w:right w:val="single" w:sz="8" w:space="0" w:color="000000"/>
            </w:tcBorders>
          </w:tcPr>
          <w:p w14:paraId="5639B875"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 xml:space="preserve">Information / awareness on the use of ICT and the risks they present. Training of </w:t>
            </w:r>
            <w:r w:rsidRPr="00AE406E">
              <w:rPr>
                <w:rFonts w:ascii="Arial" w:hAnsi="Arial" w:cs="Arial"/>
                <w:sz w:val="18"/>
                <w:szCs w:val="18"/>
                <w:lang w:val="en-GB"/>
              </w:rPr>
              <w:lastRenderedPageBreak/>
              <w:t>authorities in charge of national security on the use of ICT. Training and sensitization of the population on the importance of mutual respect</w:t>
            </w:r>
          </w:p>
        </w:tc>
        <w:tc>
          <w:tcPr>
            <w:tcW w:w="1850" w:type="dxa"/>
            <w:tcBorders>
              <w:bottom w:val="single" w:sz="8" w:space="0" w:color="000000"/>
              <w:right w:val="single" w:sz="8" w:space="0" w:color="000000"/>
            </w:tcBorders>
          </w:tcPr>
          <w:p w14:paraId="7F663312"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lastRenderedPageBreak/>
              <w:t>Stability of the local society</w:t>
            </w:r>
          </w:p>
        </w:tc>
        <w:tc>
          <w:tcPr>
            <w:tcW w:w="1861" w:type="dxa"/>
            <w:tcBorders>
              <w:bottom w:val="single" w:sz="8" w:space="0" w:color="000000"/>
              <w:right w:val="single" w:sz="8" w:space="0" w:color="000000"/>
            </w:tcBorders>
            <w:vAlign w:val="center"/>
          </w:tcPr>
          <w:p w14:paraId="0EC24030"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Observation</w:t>
            </w:r>
          </w:p>
        </w:tc>
        <w:tc>
          <w:tcPr>
            <w:tcW w:w="1349" w:type="dxa"/>
            <w:tcBorders>
              <w:bottom w:val="single" w:sz="8" w:space="0" w:color="000000"/>
              <w:right w:val="single" w:sz="8" w:space="0" w:color="000000"/>
            </w:tcBorders>
          </w:tcPr>
          <w:p w14:paraId="4D2534A6"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Counting</w:t>
            </w:r>
          </w:p>
        </w:tc>
        <w:tc>
          <w:tcPr>
            <w:tcW w:w="1224" w:type="dxa"/>
            <w:tcBorders>
              <w:bottom w:val="single" w:sz="8" w:space="0" w:color="000000"/>
              <w:right w:val="single" w:sz="8" w:space="0" w:color="000000"/>
            </w:tcBorders>
          </w:tcPr>
          <w:p w14:paraId="27619B86"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Project/ Operator</w:t>
            </w:r>
          </w:p>
        </w:tc>
        <w:tc>
          <w:tcPr>
            <w:tcW w:w="1267" w:type="dxa"/>
            <w:tcBorders>
              <w:bottom w:val="single" w:sz="8" w:space="0" w:color="000000"/>
              <w:right w:val="single" w:sz="8" w:space="0" w:color="000000"/>
            </w:tcBorders>
            <w:vAlign w:val="center"/>
          </w:tcPr>
          <w:p w14:paraId="669827A3"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 xml:space="preserve">Ministry population, </w:t>
            </w:r>
            <w:r w:rsidRPr="00AE406E">
              <w:rPr>
                <w:rFonts w:ascii="Arial" w:hAnsi="Arial" w:cs="Arial"/>
                <w:sz w:val="18"/>
                <w:szCs w:val="18"/>
                <w:lang w:val="en-GB"/>
              </w:rPr>
              <w:lastRenderedPageBreak/>
              <w:t>Ministry security,</w:t>
            </w:r>
          </w:p>
        </w:tc>
      </w:tr>
      <w:tr w:rsidR="002C769E" w:rsidRPr="002C769E" w14:paraId="1A25A8E2" w14:textId="77777777" w:rsidTr="006E13C8">
        <w:tc>
          <w:tcPr>
            <w:tcW w:w="2914" w:type="dxa"/>
            <w:vMerge w:val="restart"/>
            <w:tcBorders>
              <w:left w:val="single" w:sz="8" w:space="0" w:color="000000"/>
              <w:right w:val="single" w:sz="4" w:space="0" w:color="auto"/>
            </w:tcBorders>
          </w:tcPr>
          <w:p w14:paraId="7FB24339"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lastRenderedPageBreak/>
              <w:t>Creation of EMFs</w:t>
            </w:r>
          </w:p>
          <w:p w14:paraId="74C9DC10"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3687" w:type="dxa"/>
            <w:tcBorders>
              <w:top w:val="single" w:sz="4" w:space="0" w:color="auto"/>
              <w:left w:val="single" w:sz="4" w:space="0" w:color="auto"/>
              <w:bottom w:val="single" w:sz="4" w:space="0" w:color="auto"/>
              <w:right w:val="single" w:sz="4" w:space="0" w:color="auto"/>
            </w:tcBorders>
          </w:tcPr>
          <w:p w14:paraId="7F0C437A"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Bringing the installation into compliance with standards</w:t>
            </w:r>
          </w:p>
        </w:tc>
        <w:tc>
          <w:tcPr>
            <w:tcW w:w="1850" w:type="dxa"/>
            <w:vMerge w:val="restart"/>
            <w:tcBorders>
              <w:left w:val="single" w:sz="4" w:space="0" w:color="auto"/>
              <w:right w:val="single" w:sz="8" w:space="0" w:color="000000"/>
            </w:tcBorders>
          </w:tcPr>
          <w:p w14:paraId="14858E4B"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Mass plan of the facilities</w:t>
            </w:r>
          </w:p>
          <w:p w14:paraId="62B0872B"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861" w:type="dxa"/>
            <w:vMerge w:val="restart"/>
            <w:tcBorders>
              <w:left w:val="single" w:sz="8" w:space="0" w:color="000000"/>
              <w:right w:val="single" w:sz="8" w:space="0" w:color="000000"/>
            </w:tcBorders>
            <w:vAlign w:val="center"/>
          </w:tcPr>
          <w:p w14:paraId="293E781B"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Observation</w:t>
            </w:r>
          </w:p>
        </w:tc>
        <w:tc>
          <w:tcPr>
            <w:tcW w:w="1349" w:type="dxa"/>
            <w:vMerge w:val="restart"/>
            <w:tcBorders>
              <w:left w:val="single" w:sz="8" w:space="0" w:color="000000"/>
              <w:right w:val="single" w:sz="8" w:space="0" w:color="000000"/>
            </w:tcBorders>
          </w:tcPr>
          <w:p w14:paraId="5C926478"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End of work</w:t>
            </w:r>
          </w:p>
          <w:p w14:paraId="7725466D"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224" w:type="dxa"/>
            <w:vMerge w:val="restart"/>
            <w:tcBorders>
              <w:left w:val="single" w:sz="8" w:space="0" w:color="000000"/>
              <w:right w:val="single" w:sz="8" w:space="0" w:color="000000"/>
            </w:tcBorders>
          </w:tcPr>
          <w:p w14:paraId="6C0BC6F2"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Company</w:t>
            </w:r>
          </w:p>
          <w:p w14:paraId="1ADC1BCA"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267" w:type="dxa"/>
            <w:vMerge w:val="restart"/>
            <w:tcBorders>
              <w:left w:val="single" w:sz="8" w:space="0" w:color="000000"/>
              <w:right w:val="single" w:sz="8" w:space="0" w:color="000000"/>
            </w:tcBorders>
            <w:vAlign w:val="center"/>
          </w:tcPr>
          <w:p w14:paraId="0922E130"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Ministry energy</w:t>
            </w:r>
          </w:p>
        </w:tc>
      </w:tr>
      <w:tr w:rsidR="002C769E" w:rsidRPr="00160FB0" w14:paraId="1A724388" w14:textId="77777777" w:rsidTr="006E13C8">
        <w:tc>
          <w:tcPr>
            <w:tcW w:w="2914" w:type="dxa"/>
            <w:vMerge/>
            <w:tcBorders>
              <w:left w:val="single" w:sz="8" w:space="0" w:color="000000"/>
              <w:right w:val="single" w:sz="4" w:space="0" w:color="auto"/>
            </w:tcBorders>
          </w:tcPr>
          <w:p w14:paraId="31CCB3A7"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3687" w:type="dxa"/>
            <w:tcBorders>
              <w:top w:val="single" w:sz="4" w:space="0" w:color="auto"/>
              <w:left w:val="single" w:sz="4" w:space="0" w:color="auto"/>
              <w:bottom w:val="single" w:sz="4" w:space="0" w:color="auto"/>
              <w:right w:val="single" w:sz="4" w:space="0" w:color="auto"/>
            </w:tcBorders>
          </w:tcPr>
          <w:p w14:paraId="1514E76F"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Electrical and electromagnetic isolation of equipment in Faraday chambers)</w:t>
            </w:r>
          </w:p>
        </w:tc>
        <w:tc>
          <w:tcPr>
            <w:tcW w:w="1850" w:type="dxa"/>
            <w:vMerge/>
            <w:tcBorders>
              <w:left w:val="single" w:sz="4" w:space="0" w:color="auto"/>
              <w:right w:val="single" w:sz="8" w:space="0" w:color="000000"/>
            </w:tcBorders>
          </w:tcPr>
          <w:p w14:paraId="5DFF5807"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861" w:type="dxa"/>
            <w:vMerge/>
            <w:tcBorders>
              <w:left w:val="single" w:sz="8" w:space="0" w:color="000000"/>
              <w:right w:val="single" w:sz="8" w:space="0" w:color="000000"/>
            </w:tcBorders>
            <w:vAlign w:val="center"/>
          </w:tcPr>
          <w:p w14:paraId="27E0E20E"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349" w:type="dxa"/>
            <w:vMerge/>
            <w:tcBorders>
              <w:left w:val="single" w:sz="8" w:space="0" w:color="000000"/>
              <w:right w:val="single" w:sz="8" w:space="0" w:color="000000"/>
            </w:tcBorders>
          </w:tcPr>
          <w:p w14:paraId="794D00EF"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224" w:type="dxa"/>
            <w:vMerge/>
            <w:tcBorders>
              <w:left w:val="single" w:sz="8" w:space="0" w:color="000000"/>
              <w:right w:val="single" w:sz="8" w:space="0" w:color="000000"/>
            </w:tcBorders>
          </w:tcPr>
          <w:p w14:paraId="1A29C677"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267" w:type="dxa"/>
            <w:vMerge/>
            <w:tcBorders>
              <w:left w:val="single" w:sz="8" w:space="0" w:color="000000"/>
              <w:right w:val="single" w:sz="8" w:space="0" w:color="000000"/>
            </w:tcBorders>
            <w:vAlign w:val="center"/>
          </w:tcPr>
          <w:p w14:paraId="4FAF7D99"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r>
      <w:tr w:rsidR="002C769E" w:rsidRPr="00160FB0" w14:paraId="1D6C162A" w14:textId="77777777" w:rsidTr="006E13C8">
        <w:tc>
          <w:tcPr>
            <w:tcW w:w="2914" w:type="dxa"/>
            <w:vMerge/>
            <w:tcBorders>
              <w:left w:val="single" w:sz="8" w:space="0" w:color="000000"/>
              <w:right w:val="single" w:sz="4" w:space="0" w:color="auto"/>
            </w:tcBorders>
          </w:tcPr>
          <w:p w14:paraId="2C956FEE"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3687" w:type="dxa"/>
            <w:tcBorders>
              <w:top w:val="single" w:sz="4" w:space="0" w:color="auto"/>
              <w:left w:val="single" w:sz="4" w:space="0" w:color="auto"/>
              <w:bottom w:val="single" w:sz="4" w:space="0" w:color="auto"/>
              <w:right w:val="single" w:sz="4" w:space="0" w:color="auto"/>
            </w:tcBorders>
          </w:tcPr>
          <w:p w14:paraId="7BF3C7C9"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The distance of the buildings to 3,5m from the MV cables</w:t>
            </w:r>
          </w:p>
        </w:tc>
        <w:tc>
          <w:tcPr>
            <w:tcW w:w="1850" w:type="dxa"/>
            <w:vMerge/>
            <w:tcBorders>
              <w:left w:val="single" w:sz="4" w:space="0" w:color="auto"/>
              <w:right w:val="single" w:sz="8" w:space="0" w:color="000000"/>
            </w:tcBorders>
          </w:tcPr>
          <w:p w14:paraId="5244716A"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861" w:type="dxa"/>
            <w:vMerge/>
            <w:tcBorders>
              <w:left w:val="single" w:sz="8" w:space="0" w:color="000000"/>
              <w:right w:val="single" w:sz="8" w:space="0" w:color="000000"/>
            </w:tcBorders>
            <w:vAlign w:val="center"/>
          </w:tcPr>
          <w:p w14:paraId="26BFD20A"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349" w:type="dxa"/>
            <w:vMerge/>
            <w:tcBorders>
              <w:left w:val="single" w:sz="8" w:space="0" w:color="000000"/>
              <w:right w:val="single" w:sz="8" w:space="0" w:color="000000"/>
            </w:tcBorders>
          </w:tcPr>
          <w:p w14:paraId="27E99E01"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224" w:type="dxa"/>
            <w:vMerge/>
            <w:tcBorders>
              <w:left w:val="single" w:sz="8" w:space="0" w:color="000000"/>
              <w:right w:val="single" w:sz="8" w:space="0" w:color="000000"/>
            </w:tcBorders>
          </w:tcPr>
          <w:p w14:paraId="485F5412"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267" w:type="dxa"/>
            <w:vMerge/>
            <w:tcBorders>
              <w:left w:val="single" w:sz="8" w:space="0" w:color="000000"/>
              <w:right w:val="single" w:sz="8" w:space="0" w:color="000000"/>
            </w:tcBorders>
            <w:vAlign w:val="center"/>
          </w:tcPr>
          <w:p w14:paraId="0C2909DD"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r>
      <w:tr w:rsidR="002C769E" w:rsidRPr="00160FB0" w14:paraId="42AA4276" w14:textId="77777777" w:rsidTr="006E13C8">
        <w:tc>
          <w:tcPr>
            <w:tcW w:w="2914" w:type="dxa"/>
            <w:vMerge/>
            <w:tcBorders>
              <w:left w:val="single" w:sz="8" w:space="0" w:color="000000"/>
              <w:right w:val="single" w:sz="4" w:space="0" w:color="auto"/>
            </w:tcBorders>
          </w:tcPr>
          <w:p w14:paraId="569B098C"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3687" w:type="dxa"/>
            <w:tcBorders>
              <w:top w:val="single" w:sz="4" w:space="0" w:color="auto"/>
              <w:left w:val="single" w:sz="4" w:space="0" w:color="auto"/>
              <w:bottom w:val="single" w:sz="4" w:space="0" w:color="auto"/>
              <w:right w:val="single" w:sz="4" w:space="0" w:color="auto"/>
            </w:tcBorders>
          </w:tcPr>
          <w:p w14:paraId="14CA13DB"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The limit distance (0,75m) of approaches to the cables</w:t>
            </w:r>
          </w:p>
        </w:tc>
        <w:tc>
          <w:tcPr>
            <w:tcW w:w="1850" w:type="dxa"/>
            <w:vMerge/>
            <w:tcBorders>
              <w:left w:val="single" w:sz="4" w:space="0" w:color="auto"/>
              <w:right w:val="single" w:sz="8" w:space="0" w:color="000000"/>
            </w:tcBorders>
          </w:tcPr>
          <w:p w14:paraId="276883CA"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861" w:type="dxa"/>
            <w:vMerge/>
            <w:tcBorders>
              <w:left w:val="single" w:sz="8" w:space="0" w:color="000000"/>
              <w:right w:val="single" w:sz="8" w:space="0" w:color="000000"/>
            </w:tcBorders>
            <w:vAlign w:val="center"/>
          </w:tcPr>
          <w:p w14:paraId="6F949DF1"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349" w:type="dxa"/>
            <w:vMerge/>
            <w:tcBorders>
              <w:left w:val="single" w:sz="8" w:space="0" w:color="000000"/>
              <w:right w:val="single" w:sz="8" w:space="0" w:color="000000"/>
            </w:tcBorders>
          </w:tcPr>
          <w:p w14:paraId="337C2448"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224" w:type="dxa"/>
            <w:vMerge/>
            <w:tcBorders>
              <w:left w:val="single" w:sz="8" w:space="0" w:color="000000"/>
              <w:right w:val="single" w:sz="8" w:space="0" w:color="000000"/>
            </w:tcBorders>
          </w:tcPr>
          <w:p w14:paraId="3C88B034"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267" w:type="dxa"/>
            <w:vMerge/>
            <w:tcBorders>
              <w:left w:val="single" w:sz="8" w:space="0" w:color="000000"/>
              <w:right w:val="single" w:sz="8" w:space="0" w:color="000000"/>
            </w:tcBorders>
            <w:vAlign w:val="center"/>
          </w:tcPr>
          <w:p w14:paraId="62DC90C2"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r>
      <w:tr w:rsidR="002C769E" w:rsidRPr="00160FB0" w14:paraId="12E9A6CA" w14:textId="77777777" w:rsidTr="006E13C8">
        <w:tc>
          <w:tcPr>
            <w:tcW w:w="2914" w:type="dxa"/>
            <w:vMerge/>
            <w:tcBorders>
              <w:left w:val="single" w:sz="8" w:space="0" w:color="000000"/>
              <w:bottom w:val="single" w:sz="8" w:space="0" w:color="000000"/>
              <w:right w:val="single" w:sz="4" w:space="0" w:color="auto"/>
            </w:tcBorders>
          </w:tcPr>
          <w:p w14:paraId="18C4767F"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3687" w:type="dxa"/>
            <w:tcBorders>
              <w:top w:val="single" w:sz="4" w:space="0" w:color="auto"/>
              <w:left w:val="single" w:sz="4" w:space="0" w:color="auto"/>
              <w:bottom w:val="single" w:sz="4" w:space="0" w:color="auto"/>
              <w:right w:val="single" w:sz="4" w:space="0" w:color="auto"/>
            </w:tcBorders>
          </w:tcPr>
          <w:p w14:paraId="4402A082"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The working distance (2m) from the cables</w:t>
            </w:r>
          </w:p>
        </w:tc>
        <w:tc>
          <w:tcPr>
            <w:tcW w:w="1850" w:type="dxa"/>
            <w:vMerge/>
            <w:tcBorders>
              <w:left w:val="single" w:sz="4" w:space="0" w:color="auto"/>
              <w:bottom w:val="single" w:sz="8" w:space="0" w:color="000000"/>
              <w:right w:val="single" w:sz="8" w:space="0" w:color="000000"/>
            </w:tcBorders>
          </w:tcPr>
          <w:p w14:paraId="33D461CF"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861" w:type="dxa"/>
            <w:vMerge/>
            <w:tcBorders>
              <w:left w:val="single" w:sz="8" w:space="0" w:color="000000"/>
              <w:bottom w:val="single" w:sz="8" w:space="0" w:color="000000"/>
              <w:right w:val="single" w:sz="8" w:space="0" w:color="000000"/>
            </w:tcBorders>
            <w:vAlign w:val="center"/>
          </w:tcPr>
          <w:p w14:paraId="75B92015"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349" w:type="dxa"/>
            <w:vMerge/>
            <w:tcBorders>
              <w:left w:val="single" w:sz="8" w:space="0" w:color="000000"/>
              <w:bottom w:val="single" w:sz="8" w:space="0" w:color="000000"/>
              <w:right w:val="single" w:sz="8" w:space="0" w:color="000000"/>
            </w:tcBorders>
          </w:tcPr>
          <w:p w14:paraId="5A10B652"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224" w:type="dxa"/>
            <w:vMerge/>
            <w:tcBorders>
              <w:left w:val="single" w:sz="8" w:space="0" w:color="000000"/>
              <w:bottom w:val="single" w:sz="8" w:space="0" w:color="000000"/>
              <w:right w:val="single" w:sz="8" w:space="0" w:color="000000"/>
            </w:tcBorders>
          </w:tcPr>
          <w:p w14:paraId="4E2F48D2"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1267" w:type="dxa"/>
            <w:vMerge/>
            <w:tcBorders>
              <w:left w:val="single" w:sz="8" w:space="0" w:color="000000"/>
              <w:bottom w:val="single" w:sz="8" w:space="0" w:color="000000"/>
              <w:right w:val="single" w:sz="8" w:space="0" w:color="000000"/>
            </w:tcBorders>
            <w:vAlign w:val="center"/>
          </w:tcPr>
          <w:p w14:paraId="070982C0"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r>
      <w:tr w:rsidR="002C769E" w:rsidRPr="002C769E" w14:paraId="0B2A699D" w14:textId="77777777" w:rsidTr="006E13C8">
        <w:tc>
          <w:tcPr>
            <w:tcW w:w="2914" w:type="dxa"/>
            <w:tcBorders>
              <w:left w:val="single" w:sz="8" w:space="0" w:color="000000"/>
              <w:bottom w:val="single" w:sz="8" w:space="0" w:color="000000"/>
              <w:right w:val="single" w:sz="8" w:space="0" w:color="000000"/>
            </w:tcBorders>
          </w:tcPr>
          <w:p w14:paraId="28B05F36"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Risk of accidents and fire</w:t>
            </w:r>
          </w:p>
        </w:tc>
        <w:tc>
          <w:tcPr>
            <w:tcW w:w="3687" w:type="dxa"/>
            <w:tcBorders>
              <w:top w:val="single" w:sz="4" w:space="0" w:color="auto"/>
              <w:bottom w:val="single" w:sz="8" w:space="0" w:color="000000"/>
              <w:right w:val="single" w:sz="8" w:space="0" w:color="000000"/>
            </w:tcBorders>
          </w:tcPr>
          <w:p w14:paraId="11416D91"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Implementation of a prevention and intervention plan in case of fire: adequate fire extinguisher (CO2)</w:t>
            </w:r>
          </w:p>
        </w:tc>
        <w:tc>
          <w:tcPr>
            <w:tcW w:w="1850" w:type="dxa"/>
            <w:tcBorders>
              <w:bottom w:val="single" w:sz="8" w:space="0" w:color="000000"/>
              <w:right w:val="single" w:sz="8" w:space="0" w:color="000000"/>
            </w:tcBorders>
          </w:tcPr>
          <w:p w14:paraId="16150A14"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Risk prevention plan in place</w:t>
            </w:r>
          </w:p>
        </w:tc>
        <w:tc>
          <w:tcPr>
            <w:tcW w:w="1861" w:type="dxa"/>
            <w:tcBorders>
              <w:bottom w:val="single" w:sz="8" w:space="0" w:color="000000"/>
              <w:right w:val="single" w:sz="8" w:space="0" w:color="000000"/>
            </w:tcBorders>
            <w:vAlign w:val="center"/>
          </w:tcPr>
          <w:p w14:paraId="40304FCC"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Observation</w:t>
            </w:r>
          </w:p>
        </w:tc>
        <w:tc>
          <w:tcPr>
            <w:tcW w:w="1349" w:type="dxa"/>
            <w:tcBorders>
              <w:bottom w:val="single" w:sz="8" w:space="0" w:color="000000"/>
              <w:right w:val="single" w:sz="8" w:space="0" w:color="000000"/>
            </w:tcBorders>
          </w:tcPr>
          <w:p w14:paraId="1872173C"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Quarterly</w:t>
            </w:r>
          </w:p>
        </w:tc>
        <w:tc>
          <w:tcPr>
            <w:tcW w:w="1224" w:type="dxa"/>
            <w:tcBorders>
              <w:bottom w:val="single" w:sz="8" w:space="0" w:color="000000"/>
              <w:right w:val="single" w:sz="8" w:space="0" w:color="000000"/>
            </w:tcBorders>
          </w:tcPr>
          <w:p w14:paraId="6BF20F44"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Project/ Operator</w:t>
            </w:r>
          </w:p>
        </w:tc>
        <w:tc>
          <w:tcPr>
            <w:tcW w:w="1267" w:type="dxa"/>
            <w:tcBorders>
              <w:bottom w:val="single" w:sz="8" w:space="0" w:color="000000"/>
              <w:right w:val="single" w:sz="8" w:space="0" w:color="000000"/>
            </w:tcBorders>
            <w:vAlign w:val="center"/>
          </w:tcPr>
          <w:p w14:paraId="4040A5EE"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Ministry Energy, BM,</w:t>
            </w:r>
          </w:p>
        </w:tc>
      </w:tr>
      <w:tr w:rsidR="002C769E" w:rsidRPr="002C769E" w14:paraId="395EE570" w14:textId="77777777" w:rsidTr="006E13C8">
        <w:tc>
          <w:tcPr>
            <w:tcW w:w="2914" w:type="dxa"/>
            <w:tcBorders>
              <w:left w:val="single" w:sz="8" w:space="0" w:color="000000"/>
              <w:bottom w:val="single" w:sz="8" w:space="0" w:color="000000"/>
              <w:right w:val="single" w:sz="8" w:space="0" w:color="000000"/>
            </w:tcBorders>
          </w:tcPr>
          <w:p w14:paraId="752270D1"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Risk of theft and intrusion</w:t>
            </w:r>
          </w:p>
        </w:tc>
        <w:tc>
          <w:tcPr>
            <w:tcW w:w="3687" w:type="dxa"/>
            <w:tcBorders>
              <w:bottom w:val="single" w:sz="8" w:space="0" w:color="000000"/>
              <w:right w:val="single" w:sz="8" w:space="0" w:color="000000"/>
            </w:tcBorders>
          </w:tcPr>
          <w:p w14:paraId="454EF863"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Implementation of a security system for the site: fence, surveillance camera, restricted access and control post at the entrance</w:t>
            </w:r>
          </w:p>
        </w:tc>
        <w:tc>
          <w:tcPr>
            <w:tcW w:w="1850" w:type="dxa"/>
            <w:tcBorders>
              <w:bottom w:val="single" w:sz="8" w:space="0" w:color="000000"/>
              <w:right w:val="single" w:sz="8" w:space="0" w:color="000000"/>
            </w:tcBorders>
          </w:tcPr>
          <w:p w14:paraId="019BCE8D"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Monitoring system in place</w:t>
            </w:r>
          </w:p>
        </w:tc>
        <w:tc>
          <w:tcPr>
            <w:tcW w:w="1861" w:type="dxa"/>
            <w:tcBorders>
              <w:bottom w:val="single" w:sz="8" w:space="0" w:color="000000"/>
              <w:right w:val="single" w:sz="8" w:space="0" w:color="000000"/>
            </w:tcBorders>
            <w:vAlign w:val="center"/>
          </w:tcPr>
          <w:p w14:paraId="514FAFDE"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Observation</w:t>
            </w:r>
          </w:p>
        </w:tc>
        <w:tc>
          <w:tcPr>
            <w:tcW w:w="1349" w:type="dxa"/>
            <w:tcBorders>
              <w:bottom w:val="single" w:sz="8" w:space="0" w:color="000000"/>
              <w:right w:val="single" w:sz="8" w:space="0" w:color="000000"/>
            </w:tcBorders>
          </w:tcPr>
          <w:p w14:paraId="791ABDC6"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Quarterly</w:t>
            </w:r>
          </w:p>
        </w:tc>
        <w:tc>
          <w:tcPr>
            <w:tcW w:w="1224" w:type="dxa"/>
            <w:tcBorders>
              <w:bottom w:val="single" w:sz="8" w:space="0" w:color="000000"/>
              <w:right w:val="single" w:sz="8" w:space="0" w:color="000000"/>
            </w:tcBorders>
          </w:tcPr>
          <w:p w14:paraId="11EF5057"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Project/ Operator</w:t>
            </w:r>
          </w:p>
        </w:tc>
        <w:tc>
          <w:tcPr>
            <w:tcW w:w="1267" w:type="dxa"/>
            <w:tcBorders>
              <w:bottom w:val="single" w:sz="8" w:space="0" w:color="000000"/>
              <w:right w:val="single" w:sz="8" w:space="0" w:color="000000"/>
            </w:tcBorders>
            <w:vAlign w:val="center"/>
          </w:tcPr>
          <w:p w14:paraId="24E9D361"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Ministry Energy, BM,</w:t>
            </w:r>
          </w:p>
        </w:tc>
      </w:tr>
      <w:tr w:rsidR="002C769E" w:rsidRPr="002C769E" w14:paraId="16D207DE" w14:textId="77777777" w:rsidTr="006E13C8">
        <w:tc>
          <w:tcPr>
            <w:tcW w:w="2914" w:type="dxa"/>
            <w:tcBorders>
              <w:left w:val="single" w:sz="8" w:space="0" w:color="000000"/>
              <w:bottom w:val="single" w:sz="8" w:space="0" w:color="000000"/>
              <w:right w:val="single" w:sz="8" w:space="0" w:color="000000"/>
            </w:tcBorders>
          </w:tcPr>
          <w:p w14:paraId="0894D22E"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Risk of increase in cases of GBV, EAS/HS due to the use of the internet</w:t>
            </w:r>
          </w:p>
        </w:tc>
        <w:tc>
          <w:tcPr>
            <w:tcW w:w="3687" w:type="dxa"/>
            <w:tcBorders>
              <w:bottom w:val="single" w:sz="8" w:space="0" w:color="000000"/>
              <w:right w:val="single" w:sz="8" w:space="0" w:color="000000"/>
            </w:tcBorders>
          </w:tcPr>
          <w:p w14:paraId="504FF60B"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Awareness training for internet users. Awareness on the importance of parental control for children's access to the Internet. Set up a structure to manage GBV and SEA/SH complaints. Capacity building and training for the authorities involved (national police, gendarmerie, etc.)</w:t>
            </w:r>
          </w:p>
        </w:tc>
        <w:tc>
          <w:tcPr>
            <w:tcW w:w="1850" w:type="dxa"/>
            <w:tcBorders>
              <w:bottom w:val="single" w:sz="8" w:space="0" w:color="000000"/>
              <w:right w:val="single" w:sz="8" w:space="0" w:color="000000"/>
            </w:tcBorders>
          </w:tcPr>
          <w:p w14:paraId="269EDAD7"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GBV complaints recorded and addressed</w:t>
            </w:r>
          </w:p>
        </w:tc>
        <w:tc>
          <w:tcPr>
            <w:tcW w:w="1861" w:type="dxa"/>
            <w:tcBorders>
              <w:bottom w:val="single" w:sz="8" w:space="0" w:color="000000"/>
              <w:right w:val="single" w:sz="8" w:space="0" w:color="000000"/>
            </w:tcBorders>
            <w:vAlign w:val="center"/>
          </w:tcPr>
          <w:p w14:paraId="373E3197"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Observation</w:t>
            </w:r>
          </w:p>
        </w:tc>
        <w:tc>
          <w:tcPr>
            <w:tcW w:w="1349" w:type="dxa"/>
            <w:tcBorders>
              <w:bottom w:val="single" w:sz="8" w:space="0" w:color="000000"/>
              <w:right w:val="single" w:sz="8" w:space="0" w:color="000000"/>
            </w:tcBorders>
          </w:tcPr>
          <w:p w14:paraId="68012C45"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Quarterly</w:t>
            </w:r>
          </w:p>
        </w:tc>
        <w:tc>
          <w:tcPr>
            <w:tcW w:w="1224" w:type="dxa"/>
            <w:tcBorders>
              <w:bottom w:val="single" w:sz="8" w:space="0" w:color="000000"/>
              <w:right w:val="single" w:sz="8" w:space="0" w:color="000000"/>
            </w:tcBorders>
          </w:tcPr>
          <w:p w14:paraId="100C38AC"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Local Authorities</w:t>
            </w:r>
          </w:p>
        </w:tc>
        <w:tc>
          <w:tcPr>
            <w:tcW w:w="1267" w:type="dxa"/>
            <w:tcBorders>
              <w:bottom w:val="single" w:sz="8" w:space="0" w:color="000000"/>
              <w:right w:val="single" w:sz="8" w:space="0" w:color="000000"/>
            </w:tcBorders>
            <w:vAlign w:val="center"/>
          </w:tcPr>
          <w:p w14:paraId="3FE6DDA6"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Ministry concerned, BM</w:t>
            </w:r>
          </w:p>
        </w:tc>
      </w:tr>
      <w:tr w:rsidR="002C769E" w:rsidRPr="002C769E" w14:paraId="0450027D" w14:textId="77777777" w:rsidTr="006E13C8">
        <w:tc>
          <w:tcPr>
            <w:tcW w:w="2914" w:type="dxa"/>
            <w:tcBorders>
              <w:left w:val="single" w:sz="8" w:space="0" w:color="000000"/>
              <w:bottom w:val="single" w:sz="8" w:space="0" w:color="000000"/>
              <w:right w:val="single" w:sz="8" w:space="0" w:color="000000"/>
            </w:tcBorders>
          </w:tcPr>
          <w:p w14:paraId="12848BF8"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Risk of increase of cybercrime cases</w:t>
            </w:r>
          </w:p>
        </w:tc>
        <w:tc>
          <w:tcPr>
            <w:tcW w:w="3687" w:type="dxa"/>
            <w:tcBorders>
              <w:bottom w:val="single" w:sz="8" w:space="0" w:color="000000"/>
              <w:right w:val="single" w:sz="8" w:space="0" w:color="000000"/>
            </w:tcBorders>
          </w:tcPr>
          <w:p w14:paraId="01FA650A"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Capacity building and training for the relevant authorities (national police, gendarmerie, etc.) Provision of equipment to fight cybercrime</w:t>
            </w:r>
          </w:p>
        </w:tc>
        <w:tc>
          <w:tcPr>
            <w:tcW w:w="1850" w:type="dxa"/>
            <w:tcBorders>
              <w:bottom w:val="single" w:sz="8" w:space="0" w:color="000000"/>
              <w:right w:val="single" w:sz="8" w:space="0" w:color="000000"/>
            </w:tcBorders>
          </w:tcPr>
          <w:p w14:paraId="7E02F018"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Training sessions conducted. Existence of a supply of materials</w:t>
            </w:r>
          </w:p>
        </w:tc>
        <w:tc>
          <w:tcPr>
            <w:tcW w:w="1861" w:type="dxa"/>
            <w:tcBorders>
              <w:bottom w:val="single" w:sz="8" w:space="0" w:color="000000"/>
              <w:right w:val="single" w:sz="8" w:space="0" w:color="000000"/>
            </w:tcBorders>
            <w:vAlign w:val="center"/>
          </w:tcPr>
          <w:p w14:paraId="51C1C327"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Observation</w:t>
            </w:r>
          </w:p>
        </w:tc>
        <w:tc>
          <w:tcPr>
            <w:tcW w:w="1349" w:type="dxa"/>
            <w:tcBorders>
              <w:bottom w:val="single" w:sz="8" w:space="0" w:color="000000"/>
              <w:right w:val="single" w:sz="8" w:space="0" w:color="000000"/>
            </w:tcBorders>
          </w:tcPr>
          <w:p w14:paraId="11689872"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End of construction</w:t>
            </w:r>
          </w:p>
        </w:tc>
        <w:tc>
          <w:tcPr>
            <w:tcW w:w="1224" w:type="dxa"/>
            <w:tcBorders>
              <w:bottom w:val="single" w:sz="8" w:space="0" w:color="000000"/>
              <w:right w:val="single" w:sz="8" w:space="0" w:color="000000"/>
            </w:tcBorders>
          </w:tcPr>
          <w:p w14:paraId="74AD08C1"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Project/ Operator</w:t>
            </w:r>
          </w:p>
        </w:tc>
        <w:tc>
          <w:tcPr>
            <w:tcW w:w="1267" w:type="dxa"/>
            <w:tcBorders>
              <w:bottom w:val="single" w:sz="8" w:space="0" w:color="000000"/>
              <w:right w:val="single" w:sz="8" w:space="0" w:color="000000"/>
            </w:tcBorders>
            <w:vAlign w:val="center"/>
          </w:tcPr>
          <w:p w14:paraId="2D35CEEC"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BM</w:t>
            </w:r>
          </w:p>
        </w:tc>
      </w:tr>
      <w:tr w:rsidR="002C769E" w:rsidRPr="002C769E" w14:paraId="1F3D7BCC" w14:textId="77777777" w:rsidTr="006E13C8">
        <w:tc>
          <w:tcPr>
            <w:tcW w:w="2914" w:type="dxa"/>
            <w:vMerge w:val="restart"/>
            <w:tcBorders>
              <w:left w:val="single" w:sz="8" w:space="0" w:color="000000"/>
              <w:right w:val="single" w:sz="8" w:space="0" w:color="000000"/>
            </w:tcBorders>
          </w:tcPr>
          <w:p w14:paraId="0C7C2538"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Loss of public safety and property due to dam failure</w:t>
            </w:r>
          </w:p>
        </w:tc>
        <w:tc>
          <w:tcPr>
            <w:tcW w:w="3687" w:type="dxa"/>
            <w:tcBorders>
              <w:bottom w:val="single" w:sz="8" w:space="0" w:color="000000"/>
              <w:right w:val="single" w:sz="8" w:space="0" w:color="000000"/>
            </w:tcBorders>
          </w:tcPr>
          <w:p w14:paraId="11AC847A"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Elaboration of a manual for the management of dams</w:t>
            </w:r>
          </w:p>
        </w:tc>
        <w:tc>
          <w:tcPr>
            <w:tcW w:w="1850" w:type="dxa"/>
            <w:tcBorders>
              <w:bottom w:val="single" w:sz="8" w:space="0" w:color="000000"/>
              <w:right w:val="single" w:sz="8" w:space="0" w:color="000000"/>
            </w:tcBorders>
          </w:tcPr>
          <w:p w14:paraId="2262F977"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 xml:space="preserve">Presence of the manual </w:t>
            </w:r>
          </w:p>
        </w:tc>
        <w:tc>
          <w:tcPr>
            <w:tcW w:w="1861" w:type="dxa"/>
            <w:tcBorders>
              <w:bottom w:val="single" w:sz="8" w:space="0" w:color="000000"/>
              <w:right w:val="single" w:sz="8" w:space="0" w:color="000000"/>
            </w:tcBorders>
          </w:tcPr>
          <w:p w14:paraId="4A090619"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 xml:space="preserve">Consultation of the document </w:t>
            </w:r>
          </w:p>
        </w:tc>
        <w:tc>
          <w:tcPr>
            <w:tcW w:w="1349" w:type="dxa"/>
            <w:tcBorders>
              <w:bottom w:val="single" w:sz="8" w:space="0" w:color="000000"/>
              <w:right w:val="single" w:sz="8" w:space="0" w:color="000000"/>
            </w:tcBorders>
          </w:tcPr>
          <w:p w14:paraId="573BCBF1"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Prior to signing the Project contract</w:t>
            </w:r>
          </w:p>
        </w:tc>
        <w:tc>
          <w:tcPr>
            <w:tcW w:w="1224" w:type="dxa"/>
            <w:tcBorders>
              <w:bottom w:val="single" w:sz="8" w:space="0" w:color="000000"/>
              <w:right w:val="single" w:sz="8" w:space="0" w:color="000000"/>
            </w:tcBorders>
          </w:tcPr>
          <w:p w14:paraId="2C0BB4BE"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Project</w:t>
            </w:r>
          </w:p>
        </w:tc>
        <w:tc>
          <w:tcPr>
            <w:tcW w:w="1267" w:type="dxa"/>
            <w:tcBorders>
              <w:bottom w:val="single" w:sz="8" w:space="0" w:color="000000"/>
              <w:right w:val="single" w:sz="8" w:space="0" w:color="000000"/>
            </w:tcBorders>
            <w:vAlign w:val="center"/>
          </w:tcPr>
          <w:p w14:paraId="5821AED8"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BM</w:t>
            </w:r>
          </w:p>
        </w:tc>
      </w:tr>
      <w:tr w:rsidR="002C769E" w:rsidRPr="002C769E" w14:paraId="74885FB7" w14:textId="77777777" w:rsidTr="006E13C8">
        <w:tc>
          <w:tcPr>
            <w:tcW w:w="2914" w:type="dxa"/>
            <w:vMerge/>
            <w:tcBorders>
              <w:left w:val="single" w:sz="8" w:space="0" w:color="000000"/>
              <w:bottom w:val="single" w:sz="8" w:space="0" w:color="000000"/>
              <w:right w:val="single" w:sz="8" w:space="0" w:color="000000"/>
            </w:tcBorders>
            <w:vAlign w:val="center"/>
          </w:tcPr>
          <w:p w14:paraId="14C30718"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p>
        </w:tc>
        <w:tc>
          <w:tcPr>
            <w:tcW w:w="3687" w:type="dxa"/>
            <w:tcBorders>
              <w:bottom w:val="single" w:sz="8" w:space="0" w:color="000000"/>
              <w:right w:val="single" w:sz="8" w:space="0" w:color="000000"/>
            </w:tcBorders>
          </w:tcPr>
          <w:p w14:paraId="18F3F039"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Periodic monitoring of the state of the infrastructure</w:t>
            </w:r>
          </w:p>
        </w:tc>
        <w:tc>
          <w:tcPr>
            <w:tcW w:w="1850" w:type="dxa"/>
            <w:tcBorders>
              <w:bottom w:val="single" w:sz="8" w:space="0" w:color="000000"/>
              <w:right w:val="single" w:sz="8" w:space="0" w:color="000000"/>
            </w:tcBorders>
          </w:tcPr>
          <w:p w14:paraId="61537FA4"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Number of follow-ups carried out</w:t>
            </w:r>
          </w:p>
        </w:tc>
        <w:tc>
          <w:tcPr>
            <w:tcW w:w="1861" w:type="dxa"/>
            <w:tcBorders>
              <w:bottom w:val="single" w:sz="8" w:space="0" w:color="000000"/>
              <w:right w:val="single" w:sz="8" w:space="0" w:color="000000"/>
            </w:tcBorders>
          </w:tcPr>
          <w:p w14:paraId="5B54949D"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Consultation of the document</w:t>
            </w:r>
          </w:p>
        </w:tc>
        <w:tc>
          <w:tcPr>
            <w:tcW w:w="1349" w:type="dxa"/>
            <w:tcBorders>
              <w:bottom w:val="single" w:sz="8" w:space="0" w:color="000000"/>
              <w:right w:val="single" w:sz="8" w:space="0" w:color="000000"/>
            </w:tcBorders>
          </w:tcPr>
          <w:p w14:paraId="56D6234D"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Annual</w:t>
            </w:r>
          </w:p>
        </w:tc>
        <w:tc>
          <w:tcPr>
            <w:tcW w:w="1224" w:type="dxa"/>
            <w:tcBorders>
              <w:bottom w:val="single" w:sz="8" w:space="0" w:color="000000"/>
              <w:right w:val="single" w:sz="8" w:space="0" w:color="000000"/>
            </w:tcBorders>
          </w:tcPr>
          <w:p w14:paraId="701519C3"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Concessionaire</w:t>
            </w:r>
          </w:p>
        </w:tc>
        <w:tc>
          <w:tcPr>
            <w:tcW w:w="1267" w:type="dxa"/>
            <w:tcBorders>
              <w:bottom w:val="single" w:sz="8" w:space="0" w:color="000000"/>
              <w:right w:val="single" w:sz="8" w:space="0" w:color="000000"/>
            </w:tcBorders>
            <w:vAlign w:val="center"/>
          </w:tcPr>
          <w:p w14:paraId="748A310B"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MEH</w:t>
            </w:r>
          </w:p>
        </w:tc>
      </w:tr>
      <w:tr w:rsidR="002C769E" w:rsidRPr="007145D0" w14:paraId="048FFB4B" w14:textId="77777777" w:rsidTr="006E13C8">
        <w:tc>
          <w:tcPr>
            <w:tcW w:w="14152" w:type="dxa"/>
            <w:gridSpan w:val="7"/>
            <w:tcBorders>
              <w:left w:val="single" w:sz="8" w:space="0" w:color="000000"/>
              <w:bottom w:val="single" w:sz="8" w:space="0" w:color="000000"/>
              <w:right w:val="single" w:sz="8" w:space="0" w:color="000000"/>
            </w:tcBorders>
            <w:shd w:val="clear" w:color="auto" w:fill="00B0F0"/>
            <w:vAlign w:val="center"/>
          </w:tcPr>
          <w:p w14:paraId="2ECCDEE6" w14:textId="77777777" w:rsidR="002C769E" w:rsidRPr="00244E1F" w:rsidRDefault="002C769E" w:rsidP="006E13C8">
            <w:pPr>
              <w:spacing w:after="0" w:line="240" w:lineRule="auto"/>
              <w:jc w:val="center"/>
              <w:rPr>
                <w:rFonts w:ascii="Arial" w:hAnsi="Arial" w:cs="Arial"/>
                <w:sz w:val="18"/>
                <w:szCs w:val="18"/>
              </w:rPr>
            </w:pPr>
            <w:r w:rsidRPr="007145D0">
              <w:rPr>
                <w:rFonts w:ascii="Arial" w:hAnsi="Arial" w:cs="Arial"/>
                <w:b/>
                <w:bCs/>
                <w:sz w:val="18"/>
                <w:szCs w:val="18"/>
              </w:rPr>
              <w:t>Dismantling phase</w:t>
            </w:r>
          </w:p>
        </w:tc>
      </w:tr>
      <w:tr w:rsidR="002C769E" w:rsidRPr="002C769E" w14:paraId="754E406E" w14:textId="77777777" w:rsidTr="006E13C8">
        <w:tc>
          <w:tcPr>
            <w:tcW w:w="2914" w:type="dxa"/>
            <w:tcBorders>
              <w:left w:val="single" w:sz="8" w:space="0" w:color="000000"/>
              <w:bottom w:val="single" w:sz="8" w:space="0" w:color="000000"/>
              <w:right w:val="single" w:sz="8" w:space="0" w:color="000000"/>
            </w:tcBorders>
          </w:tcPr>
          <w:p w14:paraId="22A828A4"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Soil and water pollution from accidental spills of pollutants and hazardous substances</w:t>
            </w:r>
          </w:p>
        </w:tc>
        <w:tc>
          <w:tcPr>
            <w:tcW w:w="3687" w:type="dxa"/>
            <w:tcBorders>
              <w:bottom w:val="single" w:sz="8" w:space="0" w:color="000000"/>
              <w:right w:val="single" w:sz="8" w:space="0" w:color="000000"/>
            </w:tcBorders>
          </w:tcPr>
          <w:p w14:paraId="282BDE7E"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Use of vehicles in good condition. Meticulous cleaning before leaving the premises.</w:t>
            </w:r>
          </w:p>
        </w:tc>
        <w:tc>
          <w:tcPr>
            <w:tcW w:w="1850" w:type="dxa"/>
            <w:tcBorders>
              <w:bottom w:val="single" w:sz="8" w:space="0" w:color="000000"/>
              <w:right w:val="single" w:sz="8" w:space="0" w:color="000000"/>
            </w:tcBorders>
          </w:tcPr>
          <w:p w14:paraId="3603431E"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Use of vehicles in good condition</w:t>
            </w:r>
          </w:p>
        </w:tc>
        <w:tc>
          <w:tcPr>
            <w:tcW w:w="1861" w:type="dxa"/>
            <w:tcBorders>
              <w:bottom w:val="single" w:sz="8" w:space="0" w:color="000000"/>
              <w:right w:val="single" w:sz="8" w:space="0" w:color="000000"/>
            </w:tcBorders>
            <w:vAlign w:val="center"/>
          </w:tcPr>
          <w:p w14:paraId="3632AA58"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Observation</w:t>
            </w:r>
          </w:p>
        </w:tc>
        <w:tc>
          <w:tcPr>
            <w:tcW w:w="1349" w:type="dxa"/>
            <w:tcBorders>
              <w:bottom w:val="single" w:sz="8" w:space="0" w:color="000000"/>
              <w:right w:val="single" w:sz="8" w:space="0" w:color="000000"/>
            </w:tcBorders>
          </w:tcPr>
          <w:p w14:paraId="50BDC0A5"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End of the work</w:t>
            </w:r>
          </w:p>
        </w:tc>
        <w:tc>
          <w:tcPr>
            <w:tcW w:w="1224" w:type="dxa"/>
            <w:tcBorders>
              <w:bottom w:val="single" w:sz="8" w:space="0" w:color="000000"/>
              <w:right w:val="single" w:sz="8" w:space="0" w:color="000000"/>
            </w:tcBorders>
            <w:vAlign w:val="center"/>
          </w:tcPr>
          <w:p w14:paraId="1A944925"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Project / Operator</w:t>
            </w:r>
          </w:p>
        </w:tc>
        <w:tc>
          <w:tcPr>
            <w:tcW w:w="1267" w:type="dxa"/>
            <w:tcBorders>
              <w:bottom w:val="single" w:sz="8" w:space="0" w:color="000000"/>
              <w:right w:val="single" w:sz="8" w:space="0" w:color="000000"/>
            </w:tcBorders>
            <w:vAlign w:val="center"/>
          </w:tcPr>
          <w:p w14:paraId="45C6C3B1"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Ministry Energy, BM,</w:t>
            </w:r>
          </w:p>
        </w:tc>
      </w:tr>
      <w:tr w:rsidR="002C769E" w:rsidRPr="002C769E" w14:paraId="0DFCA040" w14:textId="77777777" w:rsidTr="006E13C8">
        <w:tc>
          <w:tcPr>
            <w:tcW w:w="2914" w:type="dxa"/>
            <w:tcBorders>
              <w:left w:val="single" w:sz="8" w:space="0" w:color="000000"/>
              <w:bottom w:val="single" w:sz="8" w:space="0" w:color="000000"/>
              <w:right w:val="single" w:sz="8" w:space="0" w:color="000000"/>
            </w:tcBorders>
          </w:tcPr>
          <w:p w14:paraId="560AA1B6"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 xml:space="preserve">Soil pollution from the </w:t>
            </w:r>
            <w:r w:rsidRPr="00AE406E">
              <w:rPr>
                <w:rFonts w:ascii="Arial" w:hAnsi="Arial" w:cs="Arial"/>
                <w:sz w:val="18"/>
                <w:szCs w:val="18"/>
                <w:lang w:val="en-GB"/>
              </w:rPr>
              <w:lastRenderedPageBreak/>
              <w:t>abandonment and accumulation of solid waste including waste electrical and electronic equipment (WEEE)</w:t>
            </w:r>
          </w:p>
        </w:tc>
        <w:tc>
          <w:tcPr>
            <w:tcW w:w="3687" w:type="dxa"/>
            <w:tcBorders>
              <w:bottom w:val="single" w:sz="8" w:space="0" w:color="000000"/>
              <w:right w:val="single" w:sz="8" w:space="0" w:color="000000"/>
            </w:tcBorders>
          </w:tcPr>
          <w:p w14:paraId="70EAB6BB"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lastRenderedPageBreak/>
              <w:t xml:space="preserve">Collecting and sending waste to a </w:t>
            </w:r>
            <w:r w:rsidRPr="00AE406E">
              <w:rPr>
                <w:rFonts w:ascii="Arial" w:hAnsi="Arial" w:cs="Arial"/>
                <w:sz w:val="18"/>
                <w:szCs w:val="18"/>
                <w:lang w:val="en-GB"/>
              </w:rPr>
              <w:lastRenderedPageBreak/>
              <w:t>specialized waste treatment center</w:t>
            </w:r>
          </w:p>
        </w:tc>
        <w:tc>
          <w:tcPr>
            <w:tcW w:w="1850" w:type="dxa"/>
            <w:tcBorders>
              <w:bottom w:val="single" w:sz="8" w:space="0" w:color="000000"/>
              <w:right w:val="single" w:sz="8" w:space="0" w:color="000000"/>
            </w:tcBorders>
          </w:tcPr>
          <w:p w14:paraId="7771082F"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lastRenderedPageBreak/>
              <w:t xml:space="preserve">Waste collected and </w:t>
            </w:r>
            <w:r w:rsidRPr="00AE406E">
              <w:rPr>
                <w:rFonts w:ascii="Arial" w:hAnsi="Arial" w:cs="Arial"/>
                <w:sz w:val="18"/>
                <w:szCs w:val="18"/>
                <w:lang w:val="en-GB"/>
              </w:rPr>
              <w:lastRenderedPageBreak/>
              <w:t>sent to a specialized center</w:t>
            </w:r>
          </w:p>
        </w:tc>
        <w:tc>
          <w:tcPr>
            <w:tcW w:w="1861" w:type="dxa"/>
            <w:tcBorders>
              <w:bottom w:val="single" w:sz="8" w:space="0" w:color="000000"/>
              <w:right w:val="single" w:sz="8" w:space="0" w:color="000000"/>
            </w:tcBorders>
            <w:vAlign w:val="center"/>
          </w:tcPr>
          <w:p w14:paraId="4653F4C6"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lastRenderedPageBreak/>
              <w:t>Observation</w:t>
            </w:r>
          </w:p>
        </w:tc>
        <w:tc>
          <w:tcPr>
            <w:tcW w:w="1349" w:type="dxa"/>
            <w:tcBorders>
              <w:bottom w:val="single" w:sz="8" w:space="0" w:color="000000"/>
              <w:right w:val="single" w:sz="8" w:space="0" w:color="000000"/>
            </w:tcBorders>
          </w:tcPr>
          <w:p w14:paraId="1DE239F5"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 xml:space="preserve">End of the </w:t>
            </w:r>
            <w:r w:rsidRPr="00AE406E">
              <w:rPr>
                <w:rFonts w:ascii="Arial" w:hAnsi="Arial" w:cs="Arial"/>
                <w:sz w:val="18"/>
                <w:szCs w:val="18"/>
                <w:lang w:val="en-GB"/>
              </w:rPr>
              <w:lastRenderedPageBreak/>
              <w:t>work</w:t>
            </w:r>
          </w:p>
        </w:tc>
        <w:tc>
          <w:tcPr>
            <w:tcW w:w="1224" w:type="dxa"/>
            <w:tcBorders>
              <w:bottom w:val="single" w:sz="8" w:space="0" w:color="000000"/>
              <w:right w:val="single" w:sz="8" w:space="0" w:color="000000"/>
            </w:tcBorders>
            <w:vAlign w:val="center"/>
          </w:tcPr>
          <w:p w14:paraId="0AD6204F"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lastRenderedPageBreak/>
              <w:t xml:space="preserve">Project / </w:t>
            </w:r>
            <w:r w:rsidRPr="00AE406E">
              <w:rPr>
                <w:rFonts w:ascii="Arial" w:hAnsi="Arial" w:cs="Arial"/>
                <w:sz w:val="18"/>
                <w:szCs w:val="18"/>
                <w:lang w:val="en-GB"/>
              </w:rPr>
              <w:lastRenderedPageBreak/>
              <w:t>Operator</w:t>
            </w:r>
          </w:p>
        </w:tc>
        <w:tc>
          <w:tcPr>
            <w:tcW w:w="1267" w:type="dxa"/>
            <w:tcBorders>
              <w:bottom w:val="single" w:sz="8" w:space="0" w:color="000000"/>
              <w:right w:val="single" w:sz="8" w:space="0" w:color="000000"/>
            </w:tcBorders>
            <w:vAlign w:val="center"/>
          </w:tcPr>
          <w:p w14:paraId="53A221EF"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lastRenderedPageBreak/>
              <w:t xml:space="preserve">Ministry </w:t>
            </w:r>
            <w:r w:rsidRPr="00AE406E">
              <w:rPr>
                <w:rFonts w:ascii="Arial" w:hAnsi="Arial" w:cs="Arial"/>
                <w:sz w:val="18"/>
                <w:szCs w:val="18"/>
                <w:lang w:val="en-GB"/>
              </w:rPr>
              <w:lastRenderedPageBreak/>
              <w:t>Energy, BM,</w:t>
            </w:r>
          </w:p>
        </w:tc>
      </w:tr>
      <w:tr w:rsidR="002C769E" w:rsidRPr="002C769E" w14:paraId="5B9A8818" w14:textId="77777777" w:rsidTr="006E13C8">
        <w:tc>
          <w:tcPr>
            <w:tcW w:w="2914" w:type="dxa"/>
            <w:tcBorders>
              <w:left w:val="single" w:sz="8" w:space="0" w:color="000000"/>
              <w:bottom w:val="single" w:sz="8" w:space="0" w:color="000000"/>
              <w:right w:val="single" w:sz="8" w:space="0" w:color="000000"/>
            </w:tcBorders>
          </w:tcPr>
          <w:p w14:paraId="2F9C633C"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lastRenderedPageBreak/>
              <w:t>Loss of employment</w:t>
            </w:r>
          </w:p>
        </w:tc>
        <w:tc>
          <w:tcPr>
            <w:tcW w:w="3687" w:type="dxa"/>
            <w:tcBorders>
              <w:bottom w:val="single" w:sz="8" w:space="0" w:color="000000"/>
              <w:right w:val="single" w:sz="8" w:space="0" w:color="000000"/>
            </w:tcBorders>
          </w:tcPr>
          <w:p w14:paraId="1D97C02D"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Respect and application of the texts on employment in force in the country</w:t>
            </w:r>
          </w:p>
        </w:tc>
        <w:tc>
          <w:tcPr>
            <w:tcW w:w="1850" w:type="dxa"/>
            <w:tcBorders>
              <w:bottom w:val="single" w:sz="8" w:space="0" w:color="000000"/>
              <w:right w:val="single" w:sz="8" w:space="0" w:color="000000"/>
            </w:tcBorders>
          </w:tcPr>
          <w:p w14:paraId="61B44DD8"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End of contract</w:t>
            </w:r>
          </w:p>
        </w:tc>
        <w:tc>
          <w:tcPr>
            <w:tcW w:w="1861" w:type="dxa"/>
            <w:tcBorders>
              <w:bottom w:val="single" w:sz="8" w:space="0" w:color="000000"/>
              <w:right w:val="single" w:sz="8" w:space="0" w:color="000000"/>
            </w:tcBorders>
            <w:vAlign w:val="center"/>
          </w:tcPr>
          <w:p w14:paraId="5D1B4CF4"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Observation</w:t>
            </w:r>
          </w:p>
        </w:tc>
        <w:tc>
          <w:tcPr>
            <w:tcW w:w="1349" w:type="dxa"/>
            <w:tcBorders>
              <w:bottom w:val="single" w:sz="8" w:space="0" w:color="000000"/>
              <w:right w:val="single" w:sz="8" w:space="0" w:color="000000"/>
            </w:tcBorders>
          </w:tcPr>
          <w:p w14:paraId="7B6425A6"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End of the work</w:t>
            </w:r>
          </w:p>
        </w:tc>
        <w:tc>
          <w:tcPr>
            <w:tcW w:w="1224" w:type="dxa"/>
            <w:tcBorders>
              <w:bottom w:val="single" w:sz="8" w:space="0" w:color="000000"/>
              <w:right w:val="single" w:sz="8" w:space="0" w:color="000000"/>
            </w:tcBorders>
            <w:vAlign w:val="center"/>
          </w:tcPr>
          <w:p w14:paraId="4C05388E"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Project / Operator</w:t>
            </w:r>
          </w:p>
        </w:tc>
        <w:tc>
          <w:tcPr>
            <w:tcW w:w="1267" w:type="dxa"/>
            <w:tcBorders>
              <w:bottom w:val="single" w:sz="8" w:space="0" w:color="000000"/>
              <w:right w:val="single" w:sz="8" w:space="0" w:color="000000"/>
            </w:tcBorders>
            <w:vAlign w:val="center"/>
          </w:tcPr>
          <w:p w14:paraId="7F57851C"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Ministry Energy, BM,</w:t>
            </w:r>
          </w:p>
        </w:tc>
      </w:tr>
      <w:tr w:rsidR="002C769E" w:rsidRPr="002C769E" w14:paraId="4A6C4AE9" w14:textId="77777777" w:rsidTr="006E13C8">
        <w:tc>
          <w:tcPr>
            <w:tcW w:w="2914" w:type="dxa"/>
            <w:tcBorders>
              <w:left w:val="single" w:sz="8" w:space="0" w:color="000000"/>
              <w:bottom w:val="single" w:sz="8" w:space="0" w:color="000000"/>
              <w:right w:val="single" w:sz="8" w:space="0" w:color="000000"/>
            </w:tcBorders>
          </w:tcPr>
          <w:p w14:paraId="5263E38C"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Traffic disruption</w:t>
            </w:r>
          </w:p>
        </w:tc>
        <w:tc>
          <w:tcPr>
            <w:tcW w:w="3687" w:type="dxa"/>
            <w:tcBorders>
              <w:bottom w:val="single" w:sz="8" w:space="0" w:color="000000"/>
              <w:right w:val="single" w:sz="8" w:space="0" w:color="000000"/>
            </w:tcBorders>
          </w:tcPr>
          <w:p w14:paraId="5D1D621A"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Respect of the road code.</w:t>
            </w:r>
          </w:p>
        </w:tc>
        <w:tc>
          <w:tcPr>
            <w:tcW w:w="1850" w:type="dxa"/>
            <w:tcBorders>
              <w:bottom w:val="single" w:sz="8" w:space="0" w:color="000000"/>
              <w:right w:val="single" w:sz="8" w:space="0" w:color="000000"/>
            </w:tcBorders>
          </w:tcPr>
          <w:p w14:paraId="4B495D08"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Respect of the road code</w:t>
            </w:r>
          </w:p>
        </w:tc>
        <w:tc>
          <w:tcPr>
            <w:tcW w:w="1861" w:type="dxa"/>
            <w:tcBorders>
              <w:bottom w:val="single" w:sz="8" w:space="0" w:color="000000"/>
              <w:right w:val="single" w:sz="8" w:space="0" w:color="000000"/>
            </w:tcBorders>
            <w:vAlign w:val="center"/>
          </w:tcPr>
          <w:p w14:paraId="5882D0B9"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Observation</w:t>
            </w:r>
          </w:p>
        </w:tc>
        <w:tc>
          <w:tcPr>
            <w:tcW w:w="1349" w:type="dxa"/>
            <w:tcBorders>
              <w:bottom w:val="single" w:sz="8" w:space="0" w:color="000000"/>
              <w:right w:val="single" w:sz="8" w:space="0" w:color="000000"/>
            </w:tcBorders>
          </w:tcPr>
          <w:p w14:paraId="2D8E3ABA"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End of the work</w:t>
            </w:r>
          </w:p>
        </w:tc>
        <w:tc>
          <w:tcPr>
            <w:tcW w:w="1224" w:type="dxa"/>
            <w:tcBorders>
              <w:bottom w:val="single" w:sz="8" w:space="0" w:color="000000"/>
              <w:right w:val="single" w:sz="8" w:space="0" w:color="000000"/>
            </w:tcBorders>
            <w:vAlign w:val="center"/>
          </w:tcPr>
          <w:p w14:paraId="446FAC2A"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Project / Operator</w:t>
            </w:r>
          </w:p>
        </w:tc>
        <w:tc>
          <w:tcPr>
            <w:tcW w:w="1267" w:type="dxa"/>
            <w:tcBorders>
              <w:bottom w:val="single" w:sz="8" w:space="0" w:color="000000"/>
              <w:right w:val="single" w:sz="8" w:space="0" w:color="000000"/>
            </w:tcBorders>
            <w:vAlign w:val="center"/>
          </w:tcPr>
          <w:p w14:paraId="0B2CA2C0" w14:textId="77777777" w:rsidR="002C769E" w:rsidRPr="00AE406E" w:rsidRDefault="002C769E" w:rsidP="00AE4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Arial" w:hAnsi="Arial" w:cs="Arial"/>
                <w:sz w:val="18"/>
                <w:szCs w:val="18"/>
                <w:lang w:val="en-GB"/>
              </w:rPr>
            </w:pPr>
            <w:r w:rsidRPr="00AE406E">
              <w:rPr>
                <w:rFonts w:ascii="Arial" w:hAnsi="Arial" w:cs="Arial"/>
                <w:sz w:val="18"/>
                <w:szCs w:val="18"/>
                <w:lang w:val="en-GB"/>
              </w:rPr>
              <w:t>Ministry Energy, BM,</w:t>
            </w:r>
          </w:p>
        </w:tc>
      </w:tr>
    </w:tbl>
    <w:p w14:paraId="37829819" w14:textId="77777777" w:rsidR="007B4870" w:rsidRDefault="007B4870" w:rsidP="007B4870">
      <w:pPr>
        <w:spacing w:after="0" w:line="240" w:lineRule="auto"/>
        <w:jc w:val="both"/>
        <w:rPr>
          <w:rFonts w:ascii="Arial" w:hAnsi="Arial" w:cs="Arial"/>
          <w:sz w:val="18"/>
          <w:szCs w:val="18"/>
        </w:rPr>
      </w:pPr>
    </w:p>
    <w:p w14:paraId="2811CD8D" w14:textId="77777777" w:rsidR="00B76189" w:rsidRDefault="00B76189" w:rsidP="00AE406E">
      <w:pPr>
        <w:suppressAutoHyphens/>
        <w:spacing w:before="240" w:after="120" w:line="240" w:lineRule="auto"/>
        <w:jc w:val="both"/>
        <w:rPr>
          <w:rFonts w:ascii="Arial" w:hAnsi="Arial" w:cs="Arial"/>
          <w:b/>
        </w:rPr>
      </w:pPr>
    </w:p>
    <w:p w14:paraId="4E07653A" w14:textId="77777777" w:rsidR="00A90F6A" w:rsidRPr="00AE406E" w:rsidRDefault="00A90F6A" w:rsidP="00AE406E">
      <w:pPr>
        <w:suppressAutoHyphens/>
        <w:spacing w:before="240" w:after="120" w:line="240" w:lineRule="auto"/>
        <w:jc w:val="both"/>
        <w:rPr>
          <w:rFonts w:ascii="Arial" w:hAnsi="Arial" w:cs="Arial"/>
          <w:b/>
        </w:rPr>
        <w:sectPr w:rsidR="00A90F6A" w:rsidRPr="00AE406E" w:rsidSect="00E5387E">
          <w:pgSz w:w="16838" w:h="11906" w:orient="landscape"/>
          <w:pgMar w:top="1418" w:right="1418" w:bottom="1418" w:left="1418" w:header="709" w:footer="709" w:gutter="0"/>
          <w:pgNumType w:fmt="lowerRoman"/>
          <w:cols w:space="708"/>
          <w:docGrid w:linePitch="360"/>
        </w:sectPr>
      </w:pPr>
    </w:p>
    <w:p w14:paraId="0CC33518" w14:textId="77777777" w:rsidR="007B4870" w:rsidRPr="00353921" w:rsidRDefault="007B4870" w:rsidP="00353921">
      <w:pPr>
        <w:pStyle w:val="Paragraphedeliste"/>
        <w:numPr>
          <w:ilvl w:val="0"/>
          <w:numId w:val="176"/>
        </w:numPr>
        <w:suppressAutoHyphens/>
        <w:spacing w:before="240" w:after="120" w:line="240" w:lineRule="auto"/>
        <w:ind w:left="714" w:hanging="357"/>
        <w:jc w:val="both"/>
        <w:rPr>
          <w:rFonts w:ascii="Arial" w:hAnsi="Arial" w:cs="Arial"/>
          <w:b/>
        </w:rPr>
      </w:pPr>
      <w:r>
        <w:rPr>
          <w:rFonts w:ascii="Arial" w:hAnsi="Arial" w:cs="Arial"/>
          <w:b/>
        </w:rPr>
        <w:lastRenderedPageBreak/>
        <w:t>CONCLUSION</w:t>
      </w:r>
    </w:p>
    <w:p w14:paraId="37D89716" w14:textId="77777777" w:rsidR="008B7D8B" w:rsidRPr="00AE406E" w:rsidRDefault="008B7D8B" w:rsidP="00AE406E">
      <w:pPr>
        <w:jc w:val="both"/>
        <w:rPr>
          <w:rFonts w:ascii="Arial" w:hAnsi="Arial" w:cs="Arial"/>
          <w:lang w:val="en-US"/>
        </w:rPr>
      </w:pPr>
      <w:r w:rsidRPr="00AE406E">
        <w:rPr>
          <w:rFonts w:ascii="Arial" w:hAnsi="Arial" w:cs="Arial"/>
          <w:lang w:val="en-US"/>
        </w:rPr>
        <w:t xml:space="preserve">The benefits and positive impacts resulting from the implementation of the DECIM Project are noticeable at the local and regional levels but also at the country level. </w:t>
      </w:r>
    </w:p>
    <w:p w14:paraId="0B28F7C5" w14:textId="77777777" w:rsidR="008B7D8B" w:rsidRPr="00AE406E" w:rsidRDefault="008B7D8B" w:rsidP="00AE406E">
      <w:pPr>
        <w:jc w:val="both"/>
        <w:rPr>
          <w:rFonts w:ascii="Arial" w:hAnsi="Arial" w:cs="Arial"/>
          <w:lang w:val="en-US"/>
        </w:rPr>
      </w:pPr>
      <w:r w:rsidRPr="00AE406E">
        <w:rPr>
          <w:rFonts w:ascii="Arial" w:hAnsi="Arial" w:cs="Arial"/>
          <w:lang w:val="en-US"/>
        </w:rPr>
        <w:t xml:space="preserve">A change in the structure of energy demand can be expected. More precisely, there will be more consumption of renewable energies, compared to conventional energy sources. </w:t>
      </w:r>
    </w:p>
    <w:p w14:paraId="3DB5ECB3" w14:textId="77777777" w:rsidR="008B7D8B" w:rsidRPr="00AE406E" w:rsidRDefault="008B7D8B" w:rsidP="00AE406E">
      <w:pPr>
        <w:jc w:val="both"/>
        <w:rPr>
          <w:rFonts w:ascii="Arial" w:hAnsi="Arial" w:cs="Arial"/>
          <w:lang w:val="en-US"/>
        </w:rPr>
      </w:pPr>
      <w:r w:rsidRPr="00AE406E">
        <w:rPr>
          <w:rFonts w:ascii="Arial" w:hAnsi="Arial" w:cs="Arial"/>
          <w:lang w:val="en-US"/>
        </w:rPr>
        <w:t>From a local, regional, or national economic point of view, the new infrastructure and facilities will increase the interest of investors and private operators in the tertiary sector, particularly in the service and tourism sectors, in localities close to the localities served. On the other hand, the implementation of flagship projects and structural projects of the State will be facilitated.</w:t>
      </w:r>
    </w:p>
    <w:p w14:paraId="07466858" w14:textId="77777777" w:rsidR="008B7D8B" w:rsidRPr="00AE406E" w:rsidRDefault="008B7D8B" w:rsidP="00AE406E">
      <w:pPr>
        <w:jc w:val="both"/>
        <w:rPr>
          <w:rFonts w:ascii="Arial" w:hAnsi="Arial" w:cs="Arial"/>
          <w:lang w:val="en-US"/>
        </w:rPr>
      </w:pPr>
      <w:r w:rsidRPr="00AE406E">
        <w:rPr>
          <w:rFonts w:ascii="Arial" w:hAnsi="Arial" w:cs="Arial"/>
          <w:lang w:val="en-US"/>
        </w:rPr>
        <w:t xml:space="preserve">On the environmental front, the implementation of the DECIM Project will contribute to the reduction of GHG emissions, and to the promotion of the use of Renewable Energy (RE). This is a measure for the fight against climate change. </w:t>
      </w:r>
    </w:p>
    <w:p w14:paraId="331DBF3A" w14:textId="77777777" w:rsidR="008B7D8B" w:rsidRPr="00A233CD" w:rsidRDefault="008B7D8B" w:rsidP="00AE406E">
      <w:pPr>
        <w:jc w:val="both"/>
        <w:rPr>
          <w:rFonts w:ascii="Arial" w:hAnsi="Arial" w:cs="Arial"/>
          <w:lang w:val="en-US"/>
        </w:rPr>
      </w:pPr>
      <w:r w:rsidRPr="00AE406E">
        <w:rPr>
          <w:rFonts w:ascii="Arial" w:hAnsi="Arial" w:cs="Arial"/>
          <w:lang w:val="en-US"/>
        </w:rPr>
        <w:t>On the other hand, the implementation of the Project with the appropriate avoidance or mitigation measures proposed in this ESMF will contain the potential negative impacts of the Project.</w:t>
      </w:r>
    </w:p>
    <w:p w14:paraId="173DE3F2" w14:textId="77777777" w:rsidR="007B4870" w:rsidRPr="00AE406E" w:rsidRDefault="007B4870" w:rsidP="00AE406E">
      <w:pPr>
        <w:jc w:val="both"/>
        <w:rPr>
          <w:rFonts w:ascii="Arial" w:hAnsi="Arial" w:cs="Arial"/>
          <w:lang w:val="en-US"/>
        </w:rPr>
      </w:pPr>
    </w:p>
    <w:p w14:paraId="3C5E8684" w14:textId="77777777" w:rsidR="000835EA" w:rsidRDefault="000835EA">
      <w:pPr>
        <w:spacing w:after="0" w:line="240" w:lineRule="auto"/>
        <w:rPr>
          <w:rFonts w:ascii="Arial" w:hAnsi="Arial" w:cs="Arial"/>
          <w:lang w:val="en-GB"/>
        </w:rPr>
      </w:pPr>
      <w:r>
        <w:rPr>
          <w:rFonts w:ascii="Arial" w:hAnsi="Arial" w:cs="Arial"/>
          <w:lang w:val="en-GB"/>
        </w:rPr>
        <w:br w:type="page"/>
      </w:r>
    </w:p>
    <w:p w14:paraId="115B5A5C" w14:textId="77777777" w:rsidR="00B76189" w:rsidRPr="00B434A6" w:rsidRDefault="00B76189" w:rsidP="00B434A6">
      <w:pPr>
        <w:pStyle w:val="Paragraphedeliste"/>
        <w:pBdr>
          <w:bottom w:val="single" w:sz="4" w:space="1" w:color="auto"/>
        </w:pBdr>
        <w:spacing w:line="240" w:lineRule="auto"/>
        <w:ind w:hanging="360"/>
        <w:jc w:val="both"/>
        <w:outlineLvl w:val="0"/>
        <w:rPr>
          <w:caps/>
          <w:color w:val="44546A"/>
          <w:sz w:val="40"/>
          <w:szCs w:val="40"/>
        </w:rPr>
      </w:pPr>
      <w:bookmarkStart w:id="20" w:name="_Toc125384483"/>
      <w:bookmarkStart w:id="21" w:name="_Toc125384872"/>
      <w:bookmarkStart w:id="22" w:name="_Toc127957544"/>
      <w:r w:rsidRPr="00B434A6">
        <w:rPr>
          <w:caps/>
          <w:color w:val="44546A"/>
          <w:sz w:val="40"/>
          <w:szCs w:val="40"/>
        </w:rPr>
        <w:t>FAMINTINANA</w:t>
      </w:r>
      <w:bookmarkEnd w:id="20"/>
      <w:bookmarkEnd w:id="21"/>
      <w:bookmarkEnd w:id="22"/>
    </w:p>
    <w:p w14:paraId="78A63E2E" w14:textId="77777777" w:rsidR="00B76189" w:rsidRPr="00200A40" w:rsidRDefault="00B76189" w:rsidP="0044500E">
      <w:pPr>
        <w:pStyle w:val="Paragraphedeliste"/>
        <w:numPr>
          <w:ilvl w:val="0"/>
          <w:numId w:val="185"/>
        </w:numPr>
        <w:spacing w:after="120" w:line="240" w:lineRule="auto"/>
        <w:jc w:val="both"/>
        <w:rPr>
          <w:rFonts w:ascii="Arial" w:hAnsi="Arial" w:cs="Arial"/>
          <w:b/>
        </w:rPr>
      </w:pPr>
      <w:bookmarkStart w:id="23" w:name="_Hlk124983293"/>
      <w:r w:rsidRPr="00200A40">
        <w:rPr>
          <w:rFonts w:ascii="Arial" w:hAnsi="Arial" w:cs="Arial"/>
          <w:b/>
        </w:rPr>
        <w:t>FAMPIDIRANA</w:t>
      </w:r>
    </w:p>
    <w:p w14:paraId="1CAC64D9" w14:textId="77777777" w:rsidR="00B76189" w:rsidRPr="00A36AC6" w:rsidRDefault="00B76189" w:rsidP="00B76189">
      <w:pPr>
        <w:jc w:val="both"/>
        <w:rPr>
          <w:rFonts w:ascii="Arial" w:hAnsi="Arial" w:cs="Arial"/>
        </w:rPr>
      </w:pPr>
      <w:r w:rsidRPr="00A36AC6">
        <w:rPr>
          <w:rFonts w:ascii="Arial" w:hAnsi="Arial" w:cs="Arial"/>
        </w:rPr>
        <w:t>Ny fitrangan-javatra lehibe nisy tao anatin’ny telo taona izay, toy ny krizy COVID-19 dia nampihena ny tahapitomboana ara-toekarena azo teo aloha tamin’ny ankapobeny ary niteraka fahantrana mitarazoka ho an’ny mponina eto amin’ny firenena.</w:t>
      </w:r>
    </w:p>
    <w:p w14:paraId="1CA58F4F" w14:textId="77777777" w:rsidR="00B76189" w:rsidRPr="00200A40" w:rsidRDefault="00B76189" w:rsidP="00B76189">
      <w:pPr>
        <w:spacing w:after="120" w:line="240" w:lineRule="auto"/>
        <w:jc w:val="both"/>
        <w:rPr>
          <w:rFonts w:ascii="Arial" w:hAnsi="Arial" w:cs="Arial"/>
        </w:rPr>
      </w:pPr>
      <w:r w:rsidRPr="00A36AC6">
        <w:rPr>
          <w:rFonts w:ascii="Arial" w:hAnsi="Arial" w:cs="Arial"/>
        </w:rPr>
        <w:t>Mba ho famporisihana sy fanohanana ny fitomboana ara-toekarena sy hampihenana ny fahantrana dia tsy maintsy mandray anjara amin'ny fanavaozana ara-drafitra lalina mifototra amin'ny fampiasam-bola i Madagasikara. Ny famporisihana, eny fa na dia ny fampivoarana ny teknolojia vaovao sy ny sehatra nomerika amin'ny lafiny iray, ny fanatsarana ny fahazoana mampiasa fotodrafitrasa, indrindra ny angovo ho an'ny fiarahamonina any amin'ny faritra lavitra sy mitoka-monina, indrindra fa any amin'ny faritra ambanivohitra, etsy ankilany, dia miteraka ny fampandrosoana sy ny fanafainganana ny fampandrosoana sy fiovana ara-drafitra. Hita taratra izany amin’ny fanatsarana ny fanomezana sy ny fahazoana tolotra fototra (fanabeazana, fahasalamana), fanitarana ny fifandraisana, famoronana asa vaovao ary fampiroboroboana ny fampiasana angovo maitso</w:t>
      </w:r>
    </w:p>
    <w:p w14:paraId="16777F33" w14:textId="77777777" w:rsidR="00B76189" w:rsidRPr="0086377A" w:rsidRDefault="00B76189" w:rsidP="0044500E">
      <w:pPr>
        <w:pStyle w:val="Paragraphedeliste"/>
        <w:numPr>
          <w:ilvl w:val="0"/>
          <w:numId w:val="185"/>
        </w:numPr>
        <w:spacing w:after="120" w:line="240" w:lineRule="auto"/>
        <w:jc w:val="both"/>
        <w:rPr>
          <w:rFonts w:ascii="arial gras" w:hAnsi="arial gras" w:cs="Arial"/>
          <w:b/>
          <w:caps/>
        </w:rPr>
      </w:pPr>
      <w:r w:rsidRPr="0086377A">
        <w:rPr>
          <w:rFonts w:ascii="Arial" w:hAnsi="Arial" w:cs="Arial"/>
          <w:b/>
        </w:rPr>
        <w:t xml:space="preserve">FAMPIDIRANA NY CES </w:t>
      </w:r>
      <w:r w:rsidRPr="0086377A">
        <w:rPr>
          <w:rFonts w:ascii="arial gras" w:hAnsi="arial gras" w:cs="Arial"/>
          <w:b/>
          <w:caps/>
        </w:rPr>
        <w:t>n’ny Banky Iraisampirenena</w:t>
      </w:r>
    </w:p>
    <w:p w14:paraId="01579588" w14:textId="77777777" w:rsidR="00B76189" w:rsidRPr="00A36AC6" w:rsidRDefault="00B76189" w:rsidP="00B76189">
      <w:pPr>
        <w:jc w:val="both"/>
        <w:rPr>
          <w:rFonts w:ascii="Arial" w:hAnsi="Arial" w:cs="Arial"/>
        </w:rPr>
      </w:pPr>
      <w:r w:rsidRPr="00A36AC6">
        <w:rPr>
          <w:rFonts w:ascii="Arial" w:hAnsi="Arial" w:cs="Arial"/>
        </w:rPr>
        <w:t>Satria ny Banky Iraisam-pirenena no mamatsy vola ny Tetikasa, dia misy ireo fepetra manokana tsy maintsy raisin’ny Mpindrana. Ao anatin’ny laminasa, ny rafitra ara-tontolo iainana sy ara-piarahamonina (CES). Ity rafitra ara-tontolo iainana sy ara-piarahamonina ity dia mamaritra ny fahavononan'ny Banky hampiroborobo ny fampandrosoana maharitra amin'ny alalan'ny politika sy ny fenitra ara-tontolo iainana sy ara-piarahamonina natao hanohanana ny tetikasan'ny firenena mindrana izay mikendry ny hanafoana ny fahantrana, ny fahantrana lalina ary ny fampiroboroboana ny fanambinana iombonana.</w:t>
      </w:r>
    </w:p>
    <w:p w14:paraId="18103942" w14:textId="77777777" w:rsidR="00B76189" w:rsidRPr="00505129" w:rsidRDefault="00B76189" w:rsidP="00B76189">
      <w:pPr>
        <w:jc w:val="both"/>
        <w:rPr>
          <w:rFonts w:ascii="Arial" w:hAnsi="Arial" w:cs="Arial"/>
          <w:lang w:val="en-US"/>
        </w:rPr>
      </w:pPr>
      <w:r w:rsidRPr="00505129">
        <w:rPr>
          <w:rFonts w:ascii="Arial" w:hAnsi="Arial" w:cs="Arial"/>
          <w:lang w:val="en-US"/>
        </w:rPr>
        <w:t>Ny rafitra ara-tontolo iainana sy ara-tsosialy dia ahitana:</w:t>
      </w:r>
    </w:p>
    <w:p w14:paraId="41714AF5" w14:textId="77777777" w:rsidR="00B76189" w:rsidRPr="00505129" w:rsidRDefault="00B76189" w:rsidP="00B76189">
      <w:pPr>
        <w:jc w:val="both"/>
        <w:rPr>
          <w:rFonts w:ascii="Arial" w:hAnsi="Arial" w:cs="Arial"/>
          <w:lang w:val="en-US"/>
        </w:rPr>
      </w:pPr>
      <w:r w:rsidRPr="00505129">
        <w:rPr>
          <w:rFonts w:ascii="Arial" w:hAnsi="Arial" w:cs="Arial"/>
          <w:lang w:val="en-US"/>
        </w:rPr>
        <w:t>•</w:t>
      </w:r>
      <w:r w:rsidRPr="00505129">
        <w:rPr>
          <w:rFonts w:ascii="Arial" w:hAnsi="Arial" w:cs="Arial"/>
          <w:lang w:val="en-US"/>
        </w:rPr>
        <w:tab/>
        <w:t>Vina ho an'ny fampandrosoana maharitra, izay mamaritra ny hetahetan'ny Banky amin'ny fiahiana ny tontolo iainana sy ny fiarahamonina;</w:t>
      </w:r>
    </w:p>
    <w:p w14:paraId="32555DE7" w14:textId="77777777" w:rsidR="00B76189" w:rsidRPr="00505129" w:rsidRDefault="00B76189" w:rsidP="00B76189">
      <w:pPr>
        <w:jc w:val="both"/>
        <w:rPr>
          <w:rFonts w:ascii="Arial" w:hAnsi="Arial" w:cs="Arial"/>
          <w:lang w:val="en-US"/>
        </w:rPr>
      </w:pPr>
      <w:r w:rsidRPr="00505129">
        <w:rPr>
          <w:rFonts w:ascii="Arial" w:hAnsi="Arial" w:cs="Arial"/>
          <w:lang w:val="en-US"/>
        </w:rPr>
        <w:t>•</w:t>
      </w:r>
      <w:r w:rsidRPr="00505129">
        <w:rPr>
          <w:rFonts w:ascii="Arial" w:hAnsi="Arial" w:cs="Arial"/>
          <w:lang w:val="en-US"/>
        </w:rPr>
        <w:tab/>
        <w:t>Ny politika ara-tontolo iainana sy ara-tsosialy an'ny Banky iraisam-pirenena momba ny famatsiam-bola ny tetikasa fampiasam-bola, izay mamaritra ny fepetra takian'ny Banky ;</w:t>
      </w:r>
    </w:p>
    <w:p w14:paraId="10002E41" w14:textId="77777777" w:rsidR="00B76189" w:rsidRPr="00505129" w:rsidRDefault="00B76189" w:rsidP="00B76189">
      <w:pPr>
        <w:jc w:val="both"/>
        <w:rPr>
          <w:rFonts w:ascii="Arial" w:hAnsi="Arial" w:cs="Arial"/>
          <w:lang w:val="en-US"/>
        </w:rPr>
      </w:pPr>
      <w:r w:rsidRPr="00505129">
        <w:rPr>
          <w:rFonts w:ascii="Arial" w:hAnsi="Arial" w:cs="Arial"/>
          <w:lang w:val="en-US"/>
        </w:rPr>
        <w:t>•</w:t>
      </w:r>
      <w:r w:rsidRPr="00505129">
        <w:rPr>
          <w:rFonts w:ascii="Arial" w:hAnsi="Arial" w:cs="Arial"/>
          <w:lang w:val="en-US"/>
        </w:rPr>
        <w:tab/>
        <w:t>Ny fenitra ara-tontolo iainana sy ara-tsosialy ary ny fanampin'izany, izay mamaritra ny fepetra mihatra amin'ny Mpindrana sy ny tetikasa.</w:t>
      </w:r>
    </w:p>
    <w:p w14:paraId="71FB2417" w14:textId="77777777" w:rsidR="00B76189" w:rsidRPr="00505129" w:rsidRDefault="00B76189" w:rsidP="00F01166">
      <w:pPr>
        <w:jc w:val="both"/>
        <w:rPr>
          <w:rFonts w:ascii="Arial" w:hAnsi="Arial" w:cs="Arial"/>
          <w:lang w:val="en-US"/>
        </w:rPr>
      </w:pPr>
      <w:r w:rsidRPr="00505129">
        <w:rPr>
          <w:rFonts w:ascii="Arial" w:hAnsi="Arial" w:cs="Arial"/>
          <w:lang w:val="en-US"/>
        </w:rPr>
        <w:t xml:space="preserve">Ho an'ity Tetikasa ity, ny </w:t>
      </w:r>
      <w:r w:rsidR="00A263C3">
        <w:rPr>
          <w:rFonts w:ascii="Arial" w:hAnsi="Arial" w:cs="Arial"/>
          <w:lang w:val="en-US"/>
        </w:rPr>
        <w:t xml:space="preserve">FETIS (FEnitra ara-Tontolo Iainana sy Sosialy) </w:t>
      </w:r>
      <w:r w:rsidRPr="00505129">
        <w:rPr>
          <w:rFonts w:ascii="Arial" w:hAnsi="Arial" w:cs="Arial"/>
          <w:lang w:val="en-US"/>
        </w:rPr>
        <w:t xml:space="preserve">azo ampiharina sy mifandraika dia ireto manaraka </w:t>
      </w:r>
      <w:r w:rsidR="00A263C3" w:rsidRPr="00505129">
        <w:rPr>
          <w:rFonts w:ascii="Arial" w:hAnsi="Arial" w:cs="Arial"/>
          <w:lang w:val="en-US"/>
        </w:rPr>
        <w:t>ireto:</w:t>
      </w:r>
      <w:r w:rsidRPr="00505129">
        <w:rPr>
          <w:rFonts w:ascii="Arial" w:hAnsi="Arial" w:cs="Arial"/>
          <w:lang w:val="en-US"/>
        </w:rPr>
        <w:t xml:space="preserve"> </w:t>
      </w:r>
      <w:r w:rsidR="00A263C3">
        <w:rPr>
          <w:rFonts w:ascii="Arial" w:hAnsi="Arial" w:cs="Arial"/>
          <w:lang w:val="en-US"/>
        </w:rPr>
        <w:t>FETIS</w:t>
      </w:r>
      <w:r w:rsidRPr="00505129">
        <w:rPr>
          <w:rFonts w:ascii="Arial" w:hAnsi="Arial" w:cs="Arial"/>
          <w:lang w:val="en-US"/>
        </w:rPr>
        <w:t xml:space="preserve">1, </w:t>
      </w:r>
      <w:r w:rsidR="00A263C3">
        <w:rPr>
          <w:rFonts w:ascii="Arial" w:hAnsi="Arial" w:cs="Arial"/>
          <w:lang w:val="en-US"/>
        </w:rPr>
        <w:t>FETIS</w:t>
      </w:r>
      <w:r w:rsidRPr="00505129">
        <w:rPr>
          <w:rFonts w:ascii="Arial" w:hAnsi="Arial" w:cs="Arial"/>
          <w:lang w:val="en-US"/>
        </w:rPr>
        <w:t xml:space="preserve">2, </w:t>
      </w:r>
      <w:r w:rsidR="00A263C3">
        <w:rPr>
          <w:rFonts w:ascii="Arial" w:hAnsi="Arial" w:cs="Arial"/>
          <w:lang w:val="en-US"/>
        </w:rPr>
        <w:t>FETIS</w:t>
      </w:r>
      <w:r w:rsidRPr="00505129">
        <w:rPr>
          <w:rFonts w:ascii="Arial" w:hAnsi="Arial" w:cs="Arial"/>
          <w:lang w:val="en-US"/>
        </w:rPr>
        <w:t xml:space="preserve">3, </w:t>
      </w:r>
      <w:r w:rsidR="00A263C3">
        <w:rPr>
          <w:rFonts w:ascii="Arial" w:hAnsi="Arial" w:cs="Arial"/>
          <w:lang w:val="en-US"/>
        </w:rPr>
        <w:t>FETIS</w:t>
      </w:r>
      <w:r w:rsidRPr="00505129">
        <w:rPr>
          <w:rFonts w:ascii="Arial" w:hAnsi="Arial" w:cs="Arial"/>
          <w:lang w:val="en-US"/>
        </w:rPr>
        <w:t xml:space="preserve">4, </w:t>
      </w:r>
      <w:r w:rsidR="00A263C3">
        <w:rPr>
          <w:rFonts w:ascii="Arial" w:hAnsi="Arial" w:cs="Arial"/>
          <w:lang w:val="en-US"/>
        </w:rPr>
        <w:t>FETIS</w:t>
      </w:r>
      <w:r w:rsidRPr="00505129">
        <w:rPr>
          <w:rFonts w:ascii="Arial" w:hAnsi="Arial" w:cs="Arial"/>
          <w:lang w:val="en-US"/>
        </w:rPr>
        <w:t xml:space="preserve">5, </w:t>
      </w:r>
      <w:r w:rsidR="00A263C3">
        <w:rPr>
          <w:rFonts w:ascii="Arial" w:hAnsi="Arial" w:cs="Arial"/>
          <w:lang w:val="en-US"/>
        </w:rPr>
        <w:t>FETIS</w:t>
      </w:r>
      <w:r w:rsidRPr="00505129">
        <w:rPr>
          <w:rFonts w:ascii="Arial" w:hAnsi="Arial" w:cs="Arial"/>
          <w:lang w:val="en-US"/>
        </w:rPr>
        <w:t xml:space="preserve">6, </w:t>
      </w:r>
      <w:r w:rsidR="00A263C3">
        <w:rPr>
          <w:rFonts w:ascii="Arial" w:hAnsi="Arial" w:cs="Arial"/>
          <w:lang w:val="en-US"/>
        </w:rPr>
        <w:t>FETIS</w:t>
      </w:r>
      <w:r w:rsidRPr="00505129">
        <w:rPr>
          <w:rFonts w:ascii="Arial" w:hAnsi="Arial" w:cs="Arial"/>
          <w:lang w:val="en-US"/>
        </w:rPr>
        <w:t>8</w:t>
      </w:r>
      <w:r>
        <w:rPr>
          <w:rFonts w:ascii="Arial" w:hAnsi="Arial" w:cs="Arial"/>
          <w:lang w:val="en-US"/>
        </w:rPr>
        <w:t xml:space="preserve">, </w:t>
      </w:r>
      <w:r w:rsidR="00A263C3">
        <w:rPr>
          <w:rFonts w:ascii="Arial" w:hAnsi="Arial" w:cs="Arial"/>
          <w:lang w:val="en-US"/>
        </w:rPr>
        <w:t>FETIS</w:t>
      </w:r>
      <w:r>
        <w:rPr>
          <w:rFonts w:ascii="Arial" w:hAnsi="Arial" w:cs="Arial"/>
          <w:lang w:val="en-US"/>
        </w:rPr>
        <w:t xml:space="preserve">9 </w:t>
      </w:r>
      <w:r w:rsidRPr="00505129">
        <w:rPr>
          <w:rFonts w:ascii="Arial" w:hAnsi="Arial" w:cs="Arial"/>
          <w:lang w:val="en-US"/>
        </w:rPr>
        <w:t xml:space="preserve">ary </w:t>
      </w:r>
      <w:r w:rsidR="00A263C3">
        <w:rPr>
          <w:rFonts w:ascii="Arial" w:hAnsi="Arial" w:cs="Arial"/>
          <w:lang w:val="en-US"/>
        </w:rPr>
        <w:t>FETIS</w:t>
      </w:r>
      <w:r w:rsidRPr="00505129">
        <w:rPr>
          <w:rFonts w:ascii="Arial" w:hAnsi="Arial" w:cs="Arial"/>
          <w:lang w:val="en-US"/>
        </w:rPr>
        <w:t>10.</w:t>
      </w:r>
    </w:p>
    <w:p w14:paraId="4AA47433" w14:textId="77777777" w:rsidR="00B76189" w:rsidRPr="0086377A" w:rsidRDefault="00B76189" w:rsidP="0044500E">
      <w:pPr>
        <w:pStyle w:val="Paragraphedeliste"/>
        <w:numPr>
          <w:ilvl w:val="0"/>
          <w:numId w:val="185"/>
        </w:numPr>
        <w:spacing w:after="120" w:line="240" w:lineRule="auto"/>
        <w:jc w:val="both"/>
        <w:rPr>
          <w:rFonts w:ascii="Arial" w:hAnsi="Arial" w:cs="Arial"/>
          <w:b/>
        </w:rPr>
      </w:pPr>
      <w:r w:rsidRPr="0086377A">
        <w:rPr>
          <w:rFonts w:ascii="Arial" w:hAnsi="Arial" w:cs="Arial"/>
          <w:b/>
        </w:rPr>
        <w:t xml:space="preserve">FANAZAVANA </w:t>
      </w:r>
      <w:r w:rsidR="00FF1622">
        <w:rPr>
          <w:rFonts w:ascii="Arial" w:hAnsi="Arial" w:cs="Arial"/>
          <w:b/>
        </w:rPr>
        <w:t xml:space="preserve">NY </w:t>
      </w:r>
      <w:r w:rsidRPr="0086377A">
        <w:rPr>
          <w:rFonts w:ascii="Arial" w:hAnsi="Arial" w:cs="Arial"/>
          <w:b/>
        </w:rPr>
        <w:t>TETIK’ASA</w:t>
      </w:r>
    </w:p>
    <w:p w14:paraId="220AAD75" w14:textId="77777777" w:rsidR="00B76189" w:rsidRPr="00B434A6" w:rsidRDefault="00B76189" w:rsidP="00B76189">
      <w:pPr>
        <w:jc w:val="both"/>
        <w:rPr>
          <w:rFonts w:ascii="Arial" w:hAnsi="Arial" w:cs="Arial"/>
          <w:lang w:val="en-US"/>
        </w:rPr>
      </w:pPr>
      <w:r w:rsidRPr="00505129">
        <w:rPr>
          <w:rFonts w:ascii="Arial" w:hAnsi="Arial" w:cs="Arial"/>
        </w:rPr>
        <w:t xml:space="preserve">Tetikasan’ny Governemanta Malagasy (GdM) hitondra ny anjara birikiny amin’ny fampitomboana ny fidirana amin’ny angovo sy ny fotodrafitrasa nomerika azo itokisana sy takatry ny saina ny tetikasa « Digital and Energy Connectivity for Inclusion in Madagascar » (DECIM), izay mifantoka amin’ny fampidirana ireo vondrom-piarahamonina sahirana. Araka ny toetrany sy ny sehatra iandraiketany, ny Tetikasa dia miara-miasa eo ambany fanaraha-mason'ny Minisiteran'ny Angovo sy ny Minisiteran'ny paositra sy ny fifandraisan-davitra. </w:t>
      </w:r>
      <w:r w:rsidRPr="00B434A6">
        <w:rPr>
          <w:rFonts w:ascii="Arial" w:hAnsi="Arial" w:cs="Arial"/>
          <w:lang w:val="en-US"/>
        </w:rPr>
        <w:t>Ny Tetik’asa dia manana singa efatra mifampiankina ary singa iray ho an'ny vonjy taitra.</w:t>
      </w:r>
    </w:p>
    <w:p w14:paraId="0EAD2EAF" w14:textId="77777777" w:rsidR="00B76189" w:rsidRPr="00B434A6" w:rsidRDefault="00B76189" w:rsidP="0044500E">
      <w:pPr>
        <w:pStyle w:val="Paragraphedeliste"/>
        <w:numPr>
          <w:ilvl w:val="0"/>
          <w:numId w:val="186"/>
        </w:numPr>
        <w:spacing w:after="160" w:line="259" w:lineRule="auto"/>
        <w:jc w:val="both"/>
        <w:rPr>
          <w:rFonts w:ascii="Arial" w:hAnsi="Arial" w:cs="Arial"/>
          <w:lang w:val="en-US"/>
        </w:rPr>
      </w:pPr>
      <w:r w:rsidRPr="00B434A6">
        <w:rPr>
          <w:rFonts w:ascii="Arial" w:hAnsi="Arial" w:cs="Arial"/>
          <w:lang w:val="en-US"/>
        </w:rPr>
        <w:lastRenderedPageBreak/>
        <w:t xml:space="preserve">Sokajin’asa 1 : Fampandrosoana ny angovo sy fotodrafitrasa nomerika. </w:t>
      </w:r>
    </w:p>
    <w:p w14:paraId="24E4A680" w14:textId="77777777" w:rsidR="00B76189" w:rsidRPr="00B434A6" w:rsidRDefault="00B76189" w:rsidP="0044500E">
      <w:pPr>
        <w:pStyle w:val="Paragraphedeliste"/>
        <w:numPr>
          <w:ilvl w:val="0"/>
          <w:numId w:val="186"/>
        </w:numPr>
        <w:spacing w:after="160" w:line="259" w:lineRule="auto"/>
        <w:jc w:val="both"/>
        <w:rPr>
          <w:rFonts w:ascii="Arial" w:hAnsi="Arial" w:cs="Arial"/>
          <w:lang w:val="en-US"/>
        </w:rPr>
      </w:pPr>
      <w:r w:rsidRPr="00B434A6">
        <w:rPr>
          <w:rFonts w:ascii="Arial" w:hAnsi="Arial" w:cs="Arial"/>
          <w:lang w:val="en-US"/>
        </w:rPr>
        <w:t>Sokajin’asa 2 : Fanatsarana ny angôvo sy ny fampidirana ny nomerika.</w:t>
      </w:r>
    </w:p>
    <w:p w14:paraId="72D43571" w14:textId="77777777" w:rsidR="00B76189" w:rsidRPr="00B434A6" w:rsidRDefault="00B76189" w:rsidP="0044500E">
      <w:pPr>
        <w:pStyle w:val="Paragraphedeliste"/>
        <w:numPr>
          <w:ilvl w:val="0"/>
          <w:numId w:val="186"/>
        </w:numPr>
        <w:spacing w:after="160" w:line="259" w:lineRule="auto"/>
        <w:jc w:val="both"/>
        <w:rPr>
          <w:rFonts w:ascii="Arial" w:hAnsi="Arial" w:cs="Arial"/>
          <w:lang w:val="en-US"/>
        </w:rPr>
      </w:pPr>
      <w:r w:rsidRPr="00B434A6">
        <w:rPr>
          <w:rFonts w:ascii="Arial" w:hAnsi="Arial" w:cs="Arial"/>
          <w:lang w:val="en-US"/>
        </w:rPr>
        <w:t xml:space="preserve">Sokajin’asa 3 : Fanohanana ny ara-tontolo iainana hahamora ny fampiasana ny angovo maitso sy fotodrafitrasa-pifandraisana nomerika. </w:t>
      </w:r>
    </w:p>
    <w:p w14:paraId="5213320D" w14:textId="77777777" w:rsidR="00B76189" w:rsidRPr="00B434A6" w:rsidRDefault="00B76189" w:rsidP="0044500E">
      <w:pPr>
        <w:pStyle w:val="Paragraphedeliste"/>
        <w:numPr>
          <w:ilvl w:val="0"/>
          <w:numId w:val="186"/>
        </w:numPr>
        <w:spacing w:after="160" w:line="259" w:lineRule="auto"/>
        <w:jc w:val="both"/>
        <w:rPr>
          <w:rFonts w:ascii="Arial" w:hAnsi="Arial" w:cs="Arial"/>
          <w:lang w:val="en-US"/>
        </w:rPr>
      </w:pPr>
      <w:r w:rsidRPr="00B434A6">
        <w:rPr>
          <w:rFonts w:ascii="Arial" w:hAnsi="Arial" w:cs="Arial"/>
          <w:lang w:val="en-US"/>
        </w:rPr>
        <w:t xml:space="preserve">Sokajin’asa 4 : Fitantanana ny tetik’asa sy fandrindrana ny fanatanterahana. </w:t>
      </w:r>
    </w:p>
    <w:p w14:paraId="4573FC42" w14:textId="77777777" w:rsidR="00B76189" w:rsidRPr="00505129" w:rsidRDefault="00B76189" w:rsidP="0044500E">
      <w:pPr>
        <w:pStyle w:val="Paragraphedeliste"/>
        <w:numPr>
          <w:ilvl w:val="0"/>
          <w:numId w:val="186"/>
        </w:numPr>
        <w:spacing w:after="160" w:line="259" w:lineRule="auto"/>
        <w:jc w:val="both"/>
        <w:rPr>
          <w:rFonts w:ascii="Arial" w:hAnsi="Arial" w:cs="Arial"/>
        </w:rPr>
      </w:pPr>
      <w:r w:rsidRPr="00505129">
        <w:rPr>
          <w:rFonts w:ascii="Arial" w:hAnsi="Arial" w:cs="Arial"/>
        </w:rPr>
        <w:t>Sokajin’asa 5 : Sampana misahana ny asa vonjy taitra (CERC)</w:t>
      </w:r>
    </w:p>
    <w:p w14:paraId="0DA13A29" w14:textId="77777777" w:rsidR="00B76189" w:rsidRPr="00505129" w:rsidRDefault="00B76189" w:rsidP="00F01166">
      <w:pPr>
        <w:jc w:val="both"/>
        <w:rPr>
          <w:rStyle w:val="rynqvb"/>
          <w:rFonts w:ascii="Arial" w:hAnsi="Arial" w:cs="Arial"/>
          <w:b/>
          <w:color w:val="000000"/>
          <w:shd w:val="clear" w:color="auto" w:fill="F5F5F5"/>
        </w:rPr>
      </w:pPr>
      <w:r w:rsidRPr="00505129">
        <w:rPr>
          <w:rFonts w:ascii="Arial" w:hAnsi="Arial" w:cs="Arial"/>
        </w:rPr>
        <w:t>Marihina fa roa (0</w:t>
      </w:r>
      <w:r w:rsidR="00524CF6">
        <w:rPr>
          <w:rFonts w:ascii="Arial" w:hAnsi="Arial" w:cs="Arial"/>
        </w:rPr>
        <w:t>3</w:t>
      </w:r>
      <w:r w:rsidRPr="00505129">
        <w:rPr>
          <w:rFonts w:ascii="Arial" w:hAnsi="Arial" w:cs="Arial"/>
        </w:rPr>
        <w:t>) amin’ireo sokajin’asa ireo ihany no ahiana ho hisy fiantraikany amin’ny lafiny ara-tontolo</w:t>
      </w:r>
      <w:r w:rsidR="00FF1622">
        <w:rPr>
          <w:rFonts w:ascii="Arial" w:hAnsi="Arial" w:cs="Arial"/>
        </w:rPr>
        <w:t xml:space="preserve"> </w:t>
      </w:r>
      <w:r w:rsidRPr="00505129">
        <w:rPr>
          <w:rFonts w:ascii="Arial" w:hAnsi="Arial" w:cs="Arial"/>
        </w:rPr>
        <w:t>iainana sy ara-tsosialy dia ny Sokajin’asa 1</w:t>
      </w:r>
      <w:r w:rsidR="00524CF6">
        <w:rPr>
          <w:rFonts w:ascii="Arial" w:hAnsi="Arial" w:cs="Arial"/>
        </w:rPr>
        <w:t>, 2</w:t>
      </w:r>
      <w:r w:rsidRPr="00505129">
        <w:rPr>
          <w:rFonts w:ascii="Arial" w:hAnsi="Arial" w:cs="Arial"/>
        </w:rPr>
        <w:t xml:space="preserve"> sy </w:t>
      </w:r>
      <w:r w:rsidR="00524CF6">
        <w:rPr>
          <w:rFonts w:ascii="Arial" w:hAnsi="Arial" w:cs="Arial"/>
        </w:rPr>
        <w:t>3</w:t>
      </w:r>
      <w:r w:rsidR="003A2C2D">
        <w:rPr>
          <w:rStyle w:val="rynqvb"/>
          <w:rFonts w:ascii="Arial" w:hAnsi="Arial" w:cs="Arial"/>
          <w:b/>
          <w:color w:val="000000"/>
          <w:shd w:val="clear" w:color="auto" w:fill="F5F5F5"/>
        </w:rPr>
        <w:t>.</w:t>
      </w:r>
    </w:p>
    <w:p w14:paraId="7D40E3A0" w14:textId="77777777" w:rsidR="00B76189" w:rsidRPr="002830DA" w:rsidRDefault="00B76189" w:rsidP="0044500E">
      <w:pPr>
        <w:pStyle w:val="Paragraphedeliste"/>
        <w:numPr>
          <w:ilvl w:val="0"/>
          <w:numId w:val="185"/>
        </w:numPr>
        <w:spacing w:after="120" w:line="240" w:lineRule="auto"/>
        <w:jc w:val="both"/>
        <w:rPr>
          <w:rFonts w:ascii="Arial" w:hAnsi="Arial" w:cs="Arial"/>
          <w:b/>
        </w:rPr>
      </w:pPr>
      <w:r w:rsidRPr="002830DA">
        <w:rPr>
          <w:rFonts w:ascii="Arial" w:hAnsi="Arial" w:cs="Arial"/>
          <w:b/>
        </w:rPr>
        <w:t>FARITRA</w:t>
      </w:r>
      <w:r w:rsidR="00FF1622">
        <w:rPr>
          <w:rFonts w:ascii="Arial" w:hAnsi="Arial" w:cs="Arial"/>
          <w:b/>
        </w:rPr>
        <w:t xml:space="preserve"> IASANA</w:t>
      </w:r>
    </w:p>
    <w:p w14:paraId="3D695BD3" w14:textId="77777777" w:rsidR="00B76189" w:rsidRPr="00505129" w:rsidRDefault="00B76189" w:rsidP="00B76189">
      <w:pPr>
        <w:jc w:val="both"/>
        <w:rPr>
          <w:rFonts w:ascii="Arial" w:hAnsi="Arial" w:cs="Arial"/>
        </w:rPr>
      </w:pPr>
      <w:r w:rsidRPr="00505129">
        <w:rPr>
          <w:rFonts w:ascii="Arial" w:hAnsi="Arial" w:cs="Arial"/>
        </w:rPr>
        <w:t xml:space="preserve">Ny tetikasa DECIM dia  </w:t>
      </w:r>
      <w:r w:rsidR="001F4811">
        <w:rPr>
          <w:rFonts w:ascii="Arial" w:hAnsi="Arial" w:cs="Arial"/>
        </w:rPr>
        <w:t xml:space="preserve">manana fomba fijery </w:t>
      </w:r>
      <w:r w:rsidRPr="00505129">
        <w:rPr>
          <w:rFonts w:ascii="Arial" w:hAnsi="Arial" w:cs="Arial"/>
        </w:rPr>
        <w:t xml:space="preserve">nasionaly, izany hoe ny faritra 23 eto Madagasikara dia faritra mety handraisana anjara amin'ny tetikasa. Amin'ny dingana fanomanana ny tetikasa amin'izao fotoana izao dia tsy mbola voafaritra ny toerana </w:t>
      </w:r>
      <w:r w:rsidR="001F4811">
        <w:rPr>
          <w:rFonts w:ascii="Arial" w:hAnsi="Arial" w:cs="Arial"/>
        </w:rPr>
        <w:t>hiasana sy ho</w:t>
      </w:r>
      <w:r w:rsidRPr="00505129">
        <w:rPr>
          <w:rFonts w:ascii="Arial" w:hAnsi="Arial" w:cs="Arial"/>
        </w:rPr>
        <w:t xml:space="preserve"> laharam-pahamehana na farafaharatsiny ny faritra l</w:t>
      </w:r>
      <w:r w:rsidR="001F4811">
        <w:rPr>
          <w:rFonts w:ascii="Arial" w:hAnsi="Arial" w:cs="Arial"/>
        </w:rPr>
        <w:t>voatondro</w:t>
      </w:r>
      <w:r w:rsidRPr="00505129">
        <w:rPr>
          <w:rFonts w:ascii="Arial" w:hAnsi="Arial" w:cs="Arial"/>
        </w:rPr>
        <w:t xml:space="preserve">. </w:t>
      </w:r>
    </w:p>
    <w:p w14:paraId="0DF47A4F" w14:textId="77777777" w:rsidR="00B76189" w:rsidRPr="002830DA" w:rsidRDefault="00B76189" w:rsidP="0044500E">
      <w:pPr>
        <w:pStyle w:val="Paragraphedeliste"/>
        <w:numPr>
          <w:ilvl w:val="0"/>
          <w:numId w:val="185"/>
        </w:numPr>
        <w:spacing w:after="120" w:line="240" w:lineRule="auto"/>
        <w:jc w:val="both"/>
        <w:rPr>
          <w:rFonts w:ascii="Arial" w:hAnsi="Arial" w:cs="Arial"/>
          <w:b/>
        </w:rPr>
      </w:pPr>
      <w:r w:rsidRPr="002830DA">
        <w:rPr>
          <w:rFonts w:ascii="Arial" w:hAnsi="Arial" w:cs="Arial"/>
          <w:b/>
        </w:rPr>
        <w:t xml:space="preserve">KARAZANA </w:t>
      </w:r>
      <w:r>
        <w:rPr>
          <w:rFonts w:ascii="Arial" w:hAnsi="Arial" w:cs="Arial"/>
          <w:b/>
        </w:rPr>
        <w:t>TETIK’</w:t>
      </w:r>
      <w:r w:rsidRPr="002830DA">
        <w:rPr>
          <w:rFonts w:ascii="Arial" w:hAnsi="Arial" w:cs="Arial"/>
          <w:b/>
        </w:rPr>
        <w:t xml:space="preserve">ASA </w:t>
      </w:r>
      <w:r>
        <w:rPr>
          <w:rFonts w:ascii="Arial" w:hAnsi="Arial" w:cs="Arial"/>
          <w:b/>
        </w:rPr>
        <w:t>H</w:t>
      </w:r>
      <w:r w:rsidRPr="002830DA">
        <w:rPr>
          <w:rFonts w:ascii="Arial" w:hAnsi="Arial" w:cs="Arial"/>
          <w:b/>
        </w:rPr>
        <w:t xml:space="preserve">ATAO </w:t>
      </w:r>
    </w:p>
    <w:p w14:paraId="7704D534" w14:textId="77777777" w:rsidR="00B76189" w:rsidRPr="00B434A6" w:rsidRDefault="00B76189" w:rsidP="00B76189">
      <w:pPr>
        <w:jc w:val="both"/>
        <w:rPr>
          <w:rFonts w:ascii="Arial" w:hAnsi="Arial" w:cs="Arial"/>
          <w:lang w:val="en-US"/>
        </w:rPr>
      </w:pPr>
      <w:r w:rsidRPr="00505129">
        <w:rPr>
          <w:rFonts w:ascii="Arial" w:hAnsi="Arial" w:cs="Arial"/>
        </w:rPr>
        <w:t xml:space="preserve">Nandritra ny famolavolana ity </w:t>
      </w:r>
      <w:r w:rsidR="001F4811">
        <w:rPr>
          <w:rFonts w:ascii="Arial" w:hAnsi="Arial" w:cs="Arial"/>
        </w:rPr>
        <w:t>tahirin-kevitra</w:t>
      </w:r>
      <w:r w:rsidRPr="00505129">
        <w:rPr>
          <w:rFonts w:ascii="Arial" w:hAnsi="Arial" w:cs="Arial"/>
        </w:rPr>
        <w:t xml:space="preserve"> ity, izay eo amin'ny dingana fanomanana ny tetikasa, dia tsy mbola voafaritra tsara ny hetsika hotanterahina. Na izany aza, ny karazana hetsika dia azo ambara amin'ny alàlan'ny famakafakana ireo singa samihafa voafaritry ny antontan-taratasy samihafa mifandraika amin'ny lalàm-panorenan'ny tetikasa. </w:t>
      </w:r>
      <w:r w:rsidRPr="00B434A6">
        <w:rPr>
          <w:rFonts w:ascii="Arial" w:hAnsi="Arial" w:cs="Arial"/>
          <w:lang w:val="en-US"/>
        </w:rPr>
        <w:t xml:space="preserve">Tsara homarihina fa ny hetsika voatanisa etsy ambany dia tsy feno : </w:t>
      </w:r>
    </w:p>
    <w:p w14:paraId="0F74280D" w14:textId="77777777" w:rsidR="00B76189" w:rsidRPr="00B434A6" w:rsidRDefault="00B76189" w:rsidP="0044500E">
      <w:pPr>
        <w:pStyle w:val="Paragraphedeliste"/>
        <w:numPr>
          <w:ilvl w:val="0"/>
          <w:numId w:val="187"/>
        </w:numPr>
        <w:spacing w:after="160" w:line="259" w:lineRule="auto"/>
        <w:jc w:val="both"/>
        <w:rPr>
          <w:rFonts w:ascii="Arial" w:hAnsi="Arial" w:cs="Arial"/>
          <w:lang w:val="en-US"/>
        </w:rPr>
      </w:pPr>
      <w:r w:rsidRPr="00B434A6">
        <w:rPr>
          <w:rFonts w:ascii="Arial" w:hAnsi="Arial" w:cs="Arial"/>
          <w:lang w:val="en-US"/>
        </w:rPr>
        <w:t xml:space="preserve">Fanambarana ny famokarana herin’aratra avy amin’ny solika sy angôvo azo havaozina any amin’ireo tambajotra mitoka-monina miaraka amin'ny fanomezana vatoaratra ; </w:t>
      </w:r>
    </w:p>
    <w:p w14:paraId="76312D72" w14:textId="77777777" w:rsidR="00B76189" w:rsidRPr="00B434A6" w:rsidRDefault="00B76189" w:rsidP="0044500E">
      <w:pPr>
        <w:pStyle w:val="Paragraphedeliste"/>
        <w:numPr>
          <w:ilvl w:val="0"/>
          <w:numId w:val="187"/>
        </w:numPr>
        <w:spacing w:after="160" w:line="259" w:lineRule="auto"/>
        <w:jc w:val="both"/>
        <w:rPr>
          <w:rFonts w:ascii="Arial" w:hAnsi="Arial" w:cs="Arial"/>
          <w:lang w:val="en-US"/>
        </w:rPr>
      </w:pPr>
      <w:r w:rsidRPr="00B434A6">
        <w:rPr>
          <w:rFonts w:ascii="Arial" w:hAnsi="Arial" w:cs="Arial"/>
          <w:lang w:val="en-US"/>
        </w:rPr>
        <w:t xml:space="preserve">Fametrahana ny angovo azo havaozina madinika ; </w:t>
      </w:r>
    </w:p>
    <w:p w14:paraId="57A96D7E" w14:textId="77777777" w:rsidR="00B76189" w:rsidRPr="00B434A6" w:rsidRDefault="00B76189" w:rsidP="0044500E">
      <w:pPr>
        <w:pStyle w:val="Paragraphedeliste"/>
        <w:numPr>
          <w:ilvl w:val="0"/>
          <w:numId w:val="187"/>
        </w:numPr>
        <w:spacing w:after="160" w:line="259" w:lineRule="auto"/>
        <w:jc w:val="both"/>
        <w:rPr>
          <w:rFonts w:ascii="Arial" w:hAnsi="Arial" w:cs="Arial"/>
          <w:lang w:val="en-US"/>
        </w:rPr>
      </w:pPr>
      <w:r w:rsidRPr="00B434A6">
        <w:rPr>
          <w:rFonts w:ascii="Arial" w:hAnsi="Arial" w:cs="Arial"/>
          <w:lang w:val="en-US"/>
        </w:rPr>
        <w:t xml:space="preserve">Fanamafisana sy fanitarana ny tambajotran-jiro efa misy ; </w:t>
      </w:r>
    </w:p>
    <w:p w14:paraId="19DA5703" w14:textId="77777777" w:rsidR="00B76189" w:rsidRPr="00B434A6" w:rsidRDefault="00B76189" w:rsidP="0044500E">
      <w:pPr>
        <w:pStyle w:val="Paragraphedeliste"/>
        <w:numPr>
          <w:ilvl w:val="0"/>
          <w:numId w:val="187"/>
        </w:numPr>
        <w:spacing w:after="160" w:line="259" w:lineRule="auto"/>
        <w:jc w:val="both"/>
        <w:rPr>
          <w:rFonts w:ascii="Arial" w:hAnsi="Arial" w:cs="Arial"/>
          <w:lang w:val="en-US"/>
        </w:rPr>
      </w:pPr>
      <w:r w:rsidRPr="00B434A6">
        <w:rPr>
          <w:rFonts w:ascii="Arial" w:hAnsi="Arial" w:cs="Arial"/>
          <w:lang w:val="en-US"/>
        </w:rPr>
        <w:t xml:space="preserve">Fametrahana teknolojia mahaleotena ho an'ny fitantanana mahomby sy maitso kokoa ; </w:t>
      </w:r>
    </w:p>
    <w:p w14:paraId="6848D891" w14:textId="77777777" w:rsidR="00B76189" w:rsidRPr="00B434A6" w:rsidRDefault="00B76189" w:rsidP="0044500E">
      <w:pPr>
        <w:pStyle w:val="Paragraphedeliste"/>
        <w:numPr>
          <w:ilvl w:val="0"/>
          <w:numId w:val="187"/>
        </w:numPr>
        <w:spacing w:after="160" w:line="259" w:lineRule="auto"/>
        <w:jc w:val="both"/>
        <w:rPr>
          <w:rFonts w:ascii="Arial" w:hAnsi="Arial" w:cs="Arial"/>
          <w:lang w:val="en-US"/>
        </w:rPr>
      </w:pPr>
      <w:r w:rsidRPr="00B434A6">
        <w:rPr>
          <w:rFonts w:ascii="Arial" w:hAnsi="Arial" w:cs="Arial"/>
          <w:lang w:val="en-US"/>
        </w:rPr>
        <w:t xml:space="preserve">Fametrahana fotodrafitrasa nomerika (ohatra ny fanapariahana tambajotra 4G na mihoatra) ; </w:t>
      </w:r>
    </w:p>
    <w:p w14:paraId="4DA921A5" w14:textId="77777777" w:rsidR="00B76189" w:rsidRPr="00B434A6" w:rsidRDefault="00B76189" w:rsidP="0044500E">
      <w:pPr>
        <w:pStyle w:val="Paragraphedeliste"/>
        <w:numPr>
          <w:ilvl w:val="0"/>
          <w:numId w:val="187"/>
        </w:numPr>
        <w:spacing w:after="160" w:line="259" w:lineRule="auto"/>
        <w:jc w:val="both"/>
        <w:rPr>
          <w:rFonts w:ascii="Arial" w:hAnsi="Arial" w:cs="Arial"/>
          <w:lang w:val="en-US"/>
        </w:rPr>
      </w:pPr>
      <w:r w:rsidRPr="00B434A6">
        <w:rPr>
          <w:rFonts w:ascii="Arial" w:hAnsi="Arial" w:cs="Arial"/>
          <w:lang w:val="en-US"/>
        </w:rPr>
        <w:t xml:space="preserve">Fidirana mora amin'ny vokatra TSHR sy fitaovana sy fitaovana nomerika (solosaina, finday, sns.) </w:t>
      </w:r>
    </w:p>
    <w:p w14:paraId="6C7C9127" w14:textId="77777777" w:rsidR="00B76189" w:rsidRPr="00B434A6" w:rsidRDefault="00B76189" w:rsidP="0044500E">
      <w:pPr>
        <w:pStyle w:val="Paragraphedeliste"/>
        <w:numPr>
          <w:ilvl w:val="0"/>
          <w:numId w:val="187"/>
        </w:numPr>
        <w:spacing w:after="160" w:line="259" w:lineRule="auto"/>
        <w:jc w:val="both"/>
        <w:rPr>
          <w:rFonts w:ascii="Arial" w:hAnsi="Arial" w:cs="Arial"/>
          <w:lang w:val="en-US"/>
        </w:rPr>
      </w:pPr>
      <w:r w:rsidRPr="00B434A6">
        <w:rPr>
          <w:rFonts w:ascii="Arial" w:hAnsi="Arial" w:cs="Arial"/>
          <w:lang w:val="en-US"/>
        </w:rPr>
        <w:t xml:space="preserve">Fampiharana ny vahaolana famatsiam-bola ho an'ny mpampiasa (mpamatsy TSHR, tolotra nomerika, vahoaka kendrena, sns.) amin'ny endrika fanampiana, FAR, crédit ; </w:t>
      </w:r>
    </w:p>
    <w:p w14:paraId="01D979B0" w14:textId="77777777" w:rsidR="00B76189" w:rsidRPr="00505129" w:rsidRDefault="00B76189" w:rsidP="0044500E">
      <w:pPr>
        <w:pStyle w:val="Paragraphedeliste"/>
        <w:numPr>
          <w:ilvl w:val="0"/>
          <w:numId w:val="187"/>
        </w:numPr>
        <w:spacing w:after="160" w:line="259" w:lineRule="auto"/>
        <w:jc w:val="both"/>
        <w:rPr>
          <w:rFonts w:ascii="Arial" w:hAnsi="Arial" w:cs="Arial"/>
        </w:rPr>
      </w:pPr>
      <w:r w:rsidRPr="00505129">
        <w:rPr>
          <w:rFonts w:ascii="Arial" w:hAnsi="Arial" w:cs="Arial"/>
        </w:rPr>
        <w:t xml:space="preserve">Fampianarana amin’ny alalan’ny nomerika ; </w:t>
      </w:r>
    </w:p>
    <w:p w14:paraId="0F1DF370" w14:textId="77777777" w:rsidR="00B76189" w:rsidRPr="00505129" w:rsidRDefault="00B76189" w:rsidP="0044500E">
      <w:pPr>
        <w:pStyle w:val="Paragraphedeliste"/>
        <w:numPr>
          <w:ilvl w:val="0"/>
          <w:numId w:val="187"/>
        </w:numPr>
        <w:spacing w:after="160" w:line="259" w:lineRule="auto"/>
        <w:jc w:val="both"/>
        <w:rPr>
          <w:rFonts w:ascii="Arial" w:hAnsi="Arial" w:cs="Arial"/>
        </w:rPr>
      </w:pPr>
      <w:r w:rsidRPr="00505129">
        <w:rPr>
          <w:rFonts w:ascii="Arial" w:hAnsi="Arial" w:cs="Arial"/>
        </w:rPr>
        <w:t xml:space="preserve">Hetsika fanentanana sy fampahalalam-baovao momba ny tolotra nomerika sy ny fahafaha-manao atolotry ny angovo azo havaozina </w:t>
      </w:r>
    </w:p>
    <w:p w14:paraId="0B10C066" w14:textId="77777777" w:rsidR="00B76189" w:rsidRPr="00505129" w:rsidRDefault="00B76189" w:rsidP="0044500E">
      <w:pPr>
        <w:pStyle w:val="Paragraphedeliste"/>
        <w:numPr>
          <w:ilvl w:val="0"/>
          <w:numId w:val="187"/>
        </w:numPr>
        <w:spacing w:after="160" w:line="259" w:lineRule="auto"/>
        <w:jc w:val="both"/>
        <w:rPr>
          <w:rFonts w:ascii="Arial" w:hAnsi="Arial" w:cs="Arial"/>
        </w:rPr>
      </w:pPr>
      <w:r w:rsidRPr="00505129">
        <w:rPr>
          <w:rFonts w:ascii="Arial" w:hAnsi="Arial" w:cs="Arial"/>
        </w:rPr>
        <w:t xml:space="preserve">Fametrahana fifandraisana nomerika sy angovo amin'ny fotodrafitrasa sosialy ho an'ny daholobe (sekoly, tobim-pahasalamana, paositra, sns.); </w:t>
      </w:r>
    </w:p>
    <w:p w14:paraId="1CB1AFB8" w14:textId="77777777" w:rsidR="00B76189" w:rsidRPr="00505129" w:rsidRDefault="00B76189" w:rsidP="0044500E">
      <w:pPr>
        <w:pStyle w:val="Paragraphedeliste"/>
        <w:numPr>
          <w:ilvl w:val="0"/>
          <w:numId w:val="187"/>
        </w:numPr>
        <w:spacing w:after="160" w:line="259" w:lineRule="auto"/>
        <w:jc w:val="both"/>
        <w:rPr>
          <w:rFonts w:ascii="Arial" w:hAnsi="Arial" w:cs="Arial"/>
        </w:rPr>
      </w:pPr>
      <w:r w:rsidRPr="00505129">
        <w:rPr>
          <w:rFonts w:ascii="Arial" w:hAnsi="Arial" w:cs="Arial"/>
        </w:rPr>
        <w:t xml:space="preserve">Fanitarana ireo teboka WIFI maimaim-poana natomboky ny minisitera miandraikitra ny paositra sy ny fifandraisan-davitra. </w:t>
      </w:r>
    </w:p>
    <w:p w14:paraId="67AEF531" w14:textId="77777777" w:rsidR="00B76189" w:rsidRPr="00B434A6" w:rsidRDefault="00B76189" w:rsidP="0044500E">
      <w:pPr>
        <w:pStyle w:val="Paragraphedeliste"/>
        <w:numPr>
          <w:ilvl w:val="0"/>
          <w:numId w:val="187"/>
        </w:numPr>
        <w:spacing w:after="160" w:line="259" w:lineRule="auto"/>
        <w:jc w:val="both"/>
        <w:rPr>
          <w:rFonts w:ascii="Arial" w:hAnsi="Arial" w:cs="Arial"/>
          <w:lang w:val="en-US"/>
        </w:rPr>
      </w:pPr>
      <w:r w:rsidRPr="00B434A6">
        <w:rPr>
          <w:rFonts w:ascii="Arial" w:hAnsi="Arial" w:cs="Arial"/>
          <w:lang w:val="en-US"/>
        </w:rPr>
        <w:t xml:space="preserve">Fanomezana fanofanana ara-teknika isan-karazany </w:t>
      </w:r>
    </w:p>
    <w:p w14:paraId="3E01405A" w14:textId="77777777" w:rsidR="00B76189" w:rsidRPr="00B434A6" w:rsidRDefault="00B76189" w:rsidP="0044500E">
      <w:pPr>
        <w:pStyle w:val="Paragraphedeliste"/>
        <w:numPr>
          <w:ilvl w:val="0"/>
          <w:numId w:val="187"/>
        </w:numPr>
        <w:spacing w:after="160" w:line="259" w:lineRule="auto"/>
        <w:jc w:val="both"/>
        <w:rPr>
          <w:rFonts w:ascii="Arial" w:hAnsi="Arial" w:cs="Arial"/>
          <w:lang w:val="en-US"/>
        </w:rPr>
      </w:pPr>
      <w:r w:rsidRPr="00B434A6">
        <w:rPr>
          <w:rFonts w:ascii="Arial" w:hAnsi="Arial" w:cs="Arial"/>
          <w:lang w:val="en-US"/>
        </w:rPr>
        <w:t xml:space="preserve">Fanofanana ara-teknika ny andrim-panjakana (angôvo, nomerika); </w:t>
      </w:r>
    </w:p>
    <w:p w14:paraId="510E9795" w14:textId="77777777" w:rsidR="00B76189" w:rsidRPr="00505129" w:rsidRDefault="00B76189" w:rsidP="0044500E">
      <w:pPr>
        <w:pStyle w:val="Paragraphedeliste"/>
        <w:numPr>
          <w:ilvl w:val="0"/>
          <w:numId w:val="187"/>
        </w:numPr>
        <w:spacing w:after="160" w:line="259" w:lineRule="auto"/>
        <w:jc w:val="both"/>
        <w:rPr>
          <w:rStyle w:val="rynqvb"/>
          <w:rFonts w:ascii="Arial" w:hAnsi="Arial" w:cs="Arial"/>
          <w:shd w:val="clear" w:color="auto" w:fill="F5F5F5"/>
          <w:lang w:val="en-US"/>
        </w:rPr>
      </w:pPr>
      <w:r w:rsidRPr="00B434A6">
        <w:rPr>
          <w:rFonts w:ascii="Arial" w:hAnsi="Arial" w:cs="Arial"/>
          <w:lang w:val="en-US"/>
        </w:rPr>
        <w:t>Fanamafisana ny tontolo ara-politika, ara-dalàna ary ara-dalàna eo amin'ny sehatry ny angovo sy nomerika</w:t>
      </w:r>
      <w:r w:rsidRPr="00505129">
        <w:rPr>
          <w:rStyle w:val="rynqvb"/>
          <w:rFonts w:ascii="Arial" w:hAnsi="Arial" w:cs="Arial"/>
          <w:shd w:val="clear" w:color="auto" w:fill="F5F5F5"/>
          <w:lang w:val="en-US"/>
        </w:rPr>
        <w:t>.</w:t>
      </w:r>
    </w:p>
    <w:p w14:paraId="37DA15A2" w14:textId="77777777" w:rsidR="00B76189" w:rsidRPr="00505129" w:rsidRDefault="00B76189" w:rsidP="00B76189">
      <w:pPr>
        <w:spacing w:after="120" w:line="240" w:lineRule="auto"/>
        <w:jc w:val="both"/>
        <w:rPr>
          <w:rFonts w:ascii="Arial" w:hAnsi="Arial" w:cs="Arial"/>
          <w:lang w:val="en-US"/>
        </w:rPr>
      </w:pPr>
    </w:p>
    <w:p w14:paraId="447CADE9" w14:textId="77777777" w:rsidR="00B76189" w:rsidRPr="00B434A6" w:rsidRDefault="00A263C3" w:rsidP="0044500E">
      <w:pPr>
        <w:pStyle w:val="Paragraphedeliste"/>
        <w:numPr>
          <w:ilvl w:val="0"/>
          <w:numId w:val="185"/>
        </w:numPr>
        <w:spacing w:after="120" w:line="240" w:lineRule="auto"/>
        <w:jc w:val="both"/>
        <w:rPr>
          <w:rFonts w:ascii="Arial" w:hAnsi="Arial" w:cs="Arial"/>
          <w:b/>
          <w:lang w:val="en-US"/>
        </w:rPr>
      </w:pPr>
      <w:r w:rsidRPr="00B434A6">
        <w:rPr>
          <w:rFonts w:ascii="Arial" w:hAnsi="Arial" w:cs="Arial"/>
          <w:b/>
          <w:lang w:val="en-US"/>
        </w:rPr>
        <w:t>FAMARITANA NY TONTOLO IASAN’NY TETIKASA</w:t>
      </w:r>
    </w:p>
    <w:p w14:paraId="7E28971C" w14:textId="77777777" w:rsidR="00B76189" w:rsidRPr="0080148F" w:rsidRDefault="00B76189" w:rsidP="00B76189">
      <w:pPr>
        <w:spacing w:after="160" w:line="259" w:lineRule="auto"/>
        <w:ind w:left="567"/>
        <w:jc w:val="both"/>
        <w:rPr>
          <w:rFonts w:ascii="Arial" w:hAnsi="Arial" w:cs="Arial"/>
        </w:rPr>
      </w:pPr>
      <w:r w:rsidRPr="0080148F">
        <w:rPr>
          <w:rFonts w:ascii="Arial" w:hAnsi="Arial" w:cs="Arial"/>
        </w:rPr>
        <w:lastRenderedPageBreak/>
        <w:t>ARA-TOETRY NY ANDRO</w:t>
      </w:r>
    </w:p>
    <w:p w14:paraId="763A1AB5" w14:textId="77777777" w:rsidR="00B76189" w:rsidRPr="00B434A6" w:rsidRDefault="00B76189" w:rsidP="00B76189">
      <w:pPr>
        <w:jc w:val="both"/>
        <w:rPr>
          <w:rFonts w:ascii="Arial" w:hAnsi="Arial" w:cs="Arial"/>
          <w:lang w:val="en-US"/>
        </w:rPr>
      </w:pPr>
      <w:r w:rsidRPr="0080148F">
        <w:rPr>
          <w:rFonts w:ascii="Arial" w:hAnsi="Arial" w:cs="Arial"/>
        </w:rPr>
        <w:t xml:space="preserve">Anisan’ny mampiavaka ny toetr’andro eto Madagasikara ny rotsak’orana sy ny maripana. Ny ilany atsinanan'ny nosy no mando indrindra amin'ny rotsak'orana maherin'ny 3000 mm isan-taona, raha ny ilany atsimo andrefana kosa no maina indrindra ary latsaky ny 400 mm ny orana isan-taona. Ny morontsiraka andrefana dia mafana kokoa noho ny morontsiraka atsinanana. </w:t>
      </w:r>
      <w:r w:rsidRPr="00B434A6">
        <w:rPr>
          <w:rFonts w:ascii="Arial" w:hAnsi="Arial" w:cs="Arial"/>
          <w:lang w:val="en-US"/>
        </w:rPr>
        <w:t>Ny mari-pana ambony indrindra ho an'ny ankamaroan'ny faritra dia mandritra ny volana Janoary sy Febroary. Ny ambany indrindra dia matetika hita amin'ny volana Jolay. I Madagasikara koa dia mahazo masoandro mandritra ny 2 800 ora ao anatin’ny taona ary io dia mety ahazaohana ery manondidina ny 2,000 kWh/m²/taona</w:t>
      </w:r>
      <w:r w:rsidR="003A2C2D">
        <w:rPr>
          <w:rFonts w:ascii="Arial" w:hAnsi="Arial" w:cs="Arial"/>
          <w:lang w:val="en-US"/>
        </w:rPr>
        <w:t>.</w:t>
      </w:r>
    </w:p>
    <w:p w14:paraId="2E1F969A" w14:textId="77777777" w:rsidR="00B76189" w:rsidRPr="00B434A6" w:rsidRDefault="00B76189" w:rsidP="00B76189">
      <w:pPr>
        <w:spacing w:after="160" w:line="259" w:lineRule="auto"/>
        <w:ind w:left="567"/>
        <w:jc w:val="both"/>
        <w:rPr>
          <w:rFonts w:ascii="Arial" w:hAnsi="Arial" w:cs="Arial"/>
          <w:lang w:val="en-US"/>
        </w:rPr>
      </w:pPr>
      <w:r w:rsidRPr="00B434A6">
        <w:rPr>
          <w:rFonts w:ascii="Arial" w:hAnsi="Arial" w:cs="Arial"/>
          <w:lang w:val="en-US"/>
        </w:rPr>
        <w:t>VOHONTANY</w:t>
      </w:r>
    </w:p>
    <w:p w14:paraId="0CE16DBC" w14:textId="77777777" w:rsidR="00B76189" w:rsidRPr="00B434A6" w:rsidRDefault="00B76189" w:rsidP="00B76189">
      <w:pPr>
        <w:spacing w:after="160" w:line="259" w:lineRule="auto"/>
        <w:jc w:val="both"/>
        <w:rPr>
          <w:rFonts w:ascii="Arial" w:hAnsi="Arial" w:cs="Arial"/>
          <w:lang w:val="en-US"/>
        </w:rPr>
      </w:pPr>
      <w:r w:rsidRPr="00B434A6">
        <w:rPr>
          <w:rFonts w:ascii="Arial" w:hAnsi="Arial" w:cs="Arial"/>
          <w:lang w:val="en-US"/>
        </w:rPr>
        <w:t>Voafaritry ny vohontany avo sy mikisilasila i Madagasikara ary zara raha misy velarana marina. Miaraka amin'ny halavany 1.500 km avy any avaratra ka hatrany atsimo ary eo amin'ny 500 km avy any atsinanana ka hatrany andrefana, ny nosy dia voaforon'ireo faritra avo mibodo ny 2/3n'ny firenena. Ny tehezan-tendrombohitra atsinanana dia misy hantsana mitsatoka amin'ny ranomasimbe Indianina, mipaka amin'ny lemaka amoron-tsiraka tery ary mahitsy. Ny tehezan-tendrombohitra andrefana dia mihantona miaraka amin'ny hantsana miitatra mankany amin'ny Lakandranon'i Mozambika. Ny tehezan-tendrombohitra dia miavaka amin'ny fahatapahan'ny tsy fitoviana amin'ny karazam-bato mamaritra azy. Vokany, ankoatry ny dobo lehibe ao Mahajanga sy Morondava, dia faritra misy fasika na vatosokay. Ny voalohany dia notapahina tamin'ny hantsana lalina na nizarazara ho fasika rava; ny faharoa dia mirona hivoatra bebe kokoa na latsaka kely karstika (antsingy, lava-bato). Ny morontsiraka dia tapaka miaraka amin'ny morontsiraka sy nosy, indrindra any avaratra andrefana. Farany, ny faritra atsimo dia miendrika lemaka, miforona miantsinanana avy amin'ny vokan'ny volkano Androy, any andrefana amin'ny lembalemban'ny vatosokay Mahafaly. Any amin'ny farany atsimo, ny morontsiraka dia voafehin'ny fehikibo dune manan-danja.</w:t>
      </w:r>
    </w:p>
    <w:p w14:paraId="3F3B8C54" w14:textId="77777777" w:rsidR="00B76189" w:rsidRPr="00B434A6" w:rsidRDefault="00B76189" w:rsidP="00B76189">
      <w:pPr>
        <w:spacing w:after="160" w:line="259" w:lineRule="auto"/>
        <w:ind w:left="567"/>
        <w:jc w:val="both"/>
        <w:rPr>
          <w:rFonts w:ascii="Arial" w:hAnsi="Arial" w:cs="Arial"/>
          <w:lang w:val="en-US"/>
        </w:rPr>
      </w:pPr>
      <w:r w:rsidRPr="00B434A6">
        <w:rPr>
          <w:rFonts w:ascii="Arial" w:hAnsi="Arial" w:cs="Arial"/>
          <w:lang w:val="en-US"/>
        </w:rPr>
        <w:t>TOETRY NY TANY</w:t>
      </w:r>
    </w:p>
    <w:p w14:paraId="6A8353D8" w14:textId="77777777" w:rsidR="00B76189" w:rsidRPr="00B434A6" w:rsidRDefault="00B76189" w:rsidP="00B76189">
      <w:pPr>
        <w:spacing w:after="160" w:line="259" w:lineRule="auto"/>
        <w:jc w:val="both"/>
        <w:rPr>
          <w:rFonts w:ascii="Arial" w:hAnsi="Arial" w:cs="Arial"/>
          <w:lang w:val="en-US"/>
        </w:rPr>
      </w:pPr>
      <w:r w:rsidRPr="00B434A6">
        <w:rPr>
          <w:rFonts w:ascii="Arial" w:hAnsi="Arial" w:cs="Arial"/>
          <w:lang w:val="en-US"/>
        </w:rPr>
        <w:t xml:space="preserve">RIQUIER R. sy MOUREAUX C tamin'ny 1957 dia nanasokajy ny tany eto Madagasikara ho anaty vondrona lehibe enina (06) : </w:t>
      </w:r>
    </w:p>
    <w:p w14:paraId="4B3483CC" w14:textId="77777777" w:rsidR="00B76189" w:rsidRPr="0080148F" w:rsidRDefault="00B76189" w:rsidP="0044500E">
      <w:pPr>
        <w:pStyle w:val="Paragraphedeliste"/>
        <w:numPr>
          <w:ilvl w:val="0"/>
          <w:numId w:val="187"/>
        </w:numPr>
        <w:spacing w:after="160" w:line="259" w:lineRule="auto"/>
        <w:jc w:val="both"/>
        <w:rPr>
          <w:rFonts w:ascii="Arial" w:hAnsi="Arial" w:cs="Arial"/>
          <w:color w:val="auto"/>
        </w:rPr>
      </w:pPr>
      <w:r w:rsidRPr="0080148F">
        <w:rPr>
          <w:rFonts w:ascii="Arial" w:hAnsi="Arial" w:cs="Arial"/>
          <w:color w:val="auto"/>
        </w:rPr>
        <w:t xml:space="preserve">Tany ferralitika </w:t>
      </w:r>
    </w:p>
    <w:p w14:paraId="38B10C64" w14:textId="77777777" w:rsidR="00B76189" w:rsidRPr="0080148F" w:rsidRDefault="00B76189" w:rsidP="0044500E">
      <w:pPr>
        <w:pStyle w:val="Paragraphedeliste"/>
        <w:numPr>
          <w:ilvl w:val="0"/>
          <w:numId w:val="187"/>
        </w:numPr>
        <w:spacing w:after="160" w:line="259" w:lineRule="auto"/>
        <w:jc w:val="both"/>
        <w:rPr>
          <w:rFonts w:ascii="Arial" w:hAnsi="Arial" w:cs="Arial"/>
          <w:color w:val="auto"/>
        </w:rPr>
      </w:pPr>
      <w:r w:rsidRPr="0080148F">
        <w:rPr>
          <w:rFonts w:ascii="Arial" w:hAnsi="Arial" w:cs="Arial"/>
          <w:color w:val="auto"/>
        </w:rPr>
        <w:t xml:space="preserve">Tany </w:t>
      </w:r>
      <w:r w:rsidR="00CA0312">
        <w:rPr>
          <w:rFonts w:ascii="Arial" w:hAnsi="Arial" w:cs="Arial"/>
          <w:color w:val="auto"/>
        </w:rPr>
        <w:t>« </w:t>
      </w:r>
      <w:r w:rsidRPr="0080148F">
        <w:rPr>
          <w:rFonts w:ascii="Arial" w:hAnsi="Arial" w:cs="Arial"/>
          <w:color w:val="auto"/>
        </w:rPr>
        <w:t>ferruginous</w:t>
      </w:r>
      <w:r w:rsidR="00CA0312">
        <w:rPr>
          <w:rFonts w:ascii="Arial" w:hAnsi="Arial" w:cs="Arial"/>
          <w:color w:val="auto"/>
        </w:rPr>
        <w:t> »</w:t>
      </w:r>
      <w:r w:rsidRPr="0080148F">
        <w:rPr>
          <w:rFonts w:ascii="Arial" w:hAnsi="Arial" w:cs="Arial"/>
          <w:color w:val="auto"/>
        </w:rPr>
        <w:t xml:space="preserve"> tropikaly; </w:t>
      </w:r>
    </w:p>
    <w:p w14:paraId="7B3525A7" w14:textId="77777777" w:rsidR="00B76189" w:rsidRPr="0080148F" w:rsidRDefault="00B76189" w:rsidP="0044500E">
      <w:pPr>
        <w:pStyle w:val="Paragraphedeliste"/>
        <w:numPr>
          <w:ilvl w:val="0"/>
          <w:numId w:val="187"/>
        </w:numPr>
        <w:spacing w:after="160" w:line="259" w:lineRule="auto"/>
        <w:jc w:val="both"/>
        <w:rPr>
          <w:rFonts w:ascii="Arial" w:hAnsi="Arial" w:cs="Arial"/>
          <w:color w:val="auto"/>
        </w:rPr>
      </w:pPr>
      <w:r w:rsidRPr="0080148F">
        <w:rPr>
          <w:rFonts w:ascii="Arial" w:hAnsi="Arial" w:cs="Arial"/>
          <w:color w:val="auto"/>
        </w:rPr>
        <w:t xml:space="preserve">Tany </w:t>
      </w:r>
      <w:r w:rsidR="00CA0312">
        <w:rPr>
          <w:rFonts w:ascii="Arial" w:hAnsi="Arial" w:cs="Arial"/>
          <w:color w:val="auto"/>
        </w:rPr>
        <w:t>« </w:t>
      </w:r>
      <w:r w:rsidRPr="0080148F">
        <w:rPr>
          <w:rFonts w:ascii="Arial" w:hAnsi="Arial" w:cs="Arial"/>
          <w:color w:val="auto"/>
        </w:rPr>
        <w:t>hydromorphic</w:t>
      </w:r>
      <w:r w:rsidR="00CA0312">
        <w:rPr>
          <w:rFonts w:ascii="Arial" w:hAnsi="Arial" w:cs="Arial"/>
          <w:color w:val="auto"/>
        </w:rPr>
        <w:t> »</w:t>
      </w:r>
      <w:r w:rsidRPr="0080148F">
        <w:rPr>
          <w:rFonts w:ascii="Arial" w:hAnsi="Arial" w:cs="Arial"/>
          <w:color w:val="auto"/>
        </w:rPr>
        <w:t xml:space="preserve"> </w:t>
      </w:r>
    </w:p>
    <w:p w14:paraId="40F262E4" w14:textId="77777777" w:rsidR="00B76189" w:rsidRPr="0080148F" w:rsidRDefault="00B76189" w:rsidP="0044500E">
      <w:pPr>
        <w:pStyle w:val="Paragraphedeliste"/>
        <w:numPr>
          <w:ilvl w:val="0"/>
          <w:numId w:val="187"/>
        </w:numPr>
        <w:spacing w:after="160" w:line="259" w:lineRule="auto"/>
        <w:jc w:val="both"/>
        <w:rPr>
          <w:rFonts w:ascii="Arial" w:hAnsi="Arial" w:cs="Arial"/>
          <w:color w:val="auto"/>
        </w:rPr>
      </w:pPr>
      <w:r w:rsidRPr="0080148F">
        <w:rPr>
          <w:rFonts w:ascii="Arial" w:hAnsi="Arial" w:cs="Arial"/>
          <w:color w:val="auto"/>
        </w:rPr>
        <w:t xml:space="preserve">tany </w:t>
      </w:r>
      <w:r w:rsidR="00CA0312">
        <w:rPr>
          <w:rFonts w:ascii="Arial" w:hAnsi="Arial" w:cs="Arial"/>
          <w:color w:val="auto"/>
        </w:rPr>
        <w:t>« </w:t>
      </w:r>
      <w:r w:rsidRPr="0080148F">
        <w:rPr>
          <w:rFonts w:ascii="Arial" w:hAnsi="Arial" w:cs="Arial"/>
          <w:color w:val="auto"/>
        </w:rPr>
        <w:t>calcimorphic</w:t>
      </w:r>
      <w:r w:rsidR="00CA0312">
        <w:rPr>
          <w:rFonts w:ascii="Arial" w:hAnsi="Arial" w:cs="Arial"/>
          <w:color w:val="auto"/>
        </w:rPr>
        <w:t> »</w:t>
      </w:r>
      <w:r w:rsidRPr="0080148F">
        <w:rPr>
          <w:rFonts w:ascii="Arial" w:hAnsi="Arial" w:cs="Arial"/>
          <w:color w:val="auto"/>
        </w:rPr>
        <w:t xml:space="preserve">; </w:t>
      </w:r>
    </w:p>
    <w:p w14:paraId="2DC89BF9" w14:textId="77777777" w:rsidR="00B76189" w:rsidRPr="0080148F" w:rsidRDefault="00B76189" w:rsidP="0044500E">
      <w:pPr>
        <w:pStyle w:val="Paragraphedeliste"/>
        <w:numPr>
          <w:ilvl w:val="0"/>
          <w:numId w:val="187"/>
        </w:numPr>
        <w:spacing w:after="160" w:line="259" w:lineRule="auto"/>
        <w:jc w:val="both"/>
        <w:rPr>
          <w:rFonts w:ascii="Arial" w:hAnsi="Arial" w:cs="Arial"/>
          <w:color w:val="auto"/>
        </w:rPr>
      </w:pPr>
      <w:r w:rsidRPr="0080148F">
        <w:rPr>
          <w:rFonts w:ascii="Arial" w:hAnsi="Arial" w:cs="Arial"/>
          <w:color w:val="auto"/>
        </w:rPr>
        <w:t xml:space="preserve">Tany </w:t>
      </w:r>
      <w:r w:rsidR="00CA0312">
        <w:rPr>
          <w:rFonts w:ascii="Arial" w:hAnsi="Arial" w:cs="Arial"/>
          <w:color w:val="auto"/>
        </w:rPr>
        <w:t>« </w:t>
      </w:r>
      <w:r w:rsidRPr="0080148F">
        <w:rPr>
          <w:rFonts w:ascii="Arial" w:hAnsi="Arial" w:cs="Arial"/>
          <w:color w:val="auto"/>
        </w:rPr>
        <w:t>halomorphic</w:t>
      </w:r>
      <w:r w:rsidR="00CA0312">
        <w:rPr>
          <w:rFonts w:ascii="Arial" w:hAnsi="Arial" w:cs="Arial"/>
          <w:color w:val="auto"/>
        </w:rPr>
        <w:t> »</w:t>
      </w:r>
      <w:r w:rsidRPr="0080148F">
        <w:rPr>
          <w:rFonts w:ascii="Arial" w:hAnsi="Arial" w:cs="Arial"/>
          <w:color w:val="auto"/>
        </w:rPr>
        <w:t>;</w:t>
      </w:r>
    </w:p>
    <w:p w14:paraId="04145C74" w14:textId="77777777" w:rsidR="00B76189" w:rsidRPr="00B434A6" w:rsidRDefault="00B76189" w:rsidP="0044500E">
      <w:pPr>
        <w:pStyle w:val="Paragraphedeliste"/>
        <w:numPr>
          <w:ilvl w:val="0"/>
          <w:numId w:val="187"/>
        </w:numPr>
        <w:spacing w:after="160" w:line="259" w:lineRule="auto"/>
        <w:jc w:val="both"/>
        <w:rPr>
          <w:rFonts w:ascii="Arial" w:hAnsi="Arial" w:cs="Arial"/>
          <w:color w:val="auto"/>
          <w:lang w:val="en-US"/>
        </w:rPr>
      </w:pPr>
      <w:r w:rsidRPr="00B434A6">
        <w:rPr>
          <w:rFonts w:ascii="Arial" w:hAnsi="Arial" w:cs="Arial"/>
          <w:color w:val="auto"/>
          <w:lang w:val="en-US"/>
        </w:rPr>
        <w:t xml:space="preserve">Tany tanora tsy mivoatra, lithosols ary regosols </w:t>
      </w:r>
    </w:p>
    <w:p w14:paraId="1C2B7C13" w14:textId="77777777" w:rsidR="00B76189" w:rsidRPr="00B434A6" w:rsidRDefault="00B76189" w:rsidP="00B76189">
      <w:pPr>
        <w:spacing w:after="160" w:line="259" w:lineRule="auto"/>
        <w:ind w:left="567"/>
        <w:jc w:val="both"/>
        <w:rPr>
          <w:rFonts w:ascii="Arial" w:hAnsi="Arial" w:cs="Arial"/>
          <w:lang w:val="en-US"/>
        </w:rPr>
      </w:pPr>
      <w:r w:rsidRPr="00B434A6">
        <w:rPr>
          <w:rFonts w:ascii="Arial" w:hAnsi="Arial" w:cs="Arial"/>
          <w:lang w:val="en-US"/>
        </w:rPr>
        <w:t>RIANDRANO</w:t>
      </w:r>
    </w:p>
    <w:p w14:paraId="4B43A5A4" w14:textId="77777777" w:rsidR="00B76189" w:rsidRPr="00B434A6" w:rsidRDefault="00B76189" w:rsidP="00B76189">
      <w:pPr>
        <w:spacing w:after="160" w:line="259" w:lineRule="auto"/>
        <w:jc w:val="both"/>
        <w:rPr>
          <w:rFonts w:ascii="Arial" w:hAnsi="Arial" w:cs="Arial"/>
          <w:lang w:val="en-US"/>
        </w:rPr>
      </w:pPr>
      <w:r w:rsidRPr="00B434A6">
        <w:rPr>
          <w:rFonts w:ascii="Arial" w:hAnsi="Arial" w:cs="Arial"/>
          <w:lang w:val="en-US"/>
        </w:rPr>
        <w:t xml:space="preserve">Renirano maro mikoriana miantsinanana mankany amin'ny Ranomasimbe Indianina na miankandrefana mankany amin'ny Lakandranon'i Mozambika no tondrahan'i Madagasikara. Samy manana ny loharanony avy any amin'ny faritra avo afovoany izay mampisaraka ny fikorianan'ny atsinanana – matetika mivatravatra – amin'ny fikorianan'ny andrefana – miadana sy tsy ara-dalàna. Mizara ho azy araka izany ireo fari-drano dimy lehibe ireo ary mifanakaiky amin’ireo faritra efatra amin’ny toetr’andro ao amin’ny nosy: </w:t>
      </w:r>
    </w:p>
    <w:p w14:paraId="7D365C04" w14:textId="77777777" w:rsidR="00B76189" w:rsidRPr="0080148F" w:rsidRDefault="00B76189" w:rsidP="0044500E">
      <w:pPr>
        <w:pStyle w:val="Paragraphedeliste"/>
        <w:numPr>
          <w:ilvl w:val="0"/>
          <w:numId w:val="187"/>
        </w:numPr>
        <w:spacing w:after="160" w:line="259" w:lineRule="auto"/>
        <w:jc w:val="both"/>
        <w:rPr>
          <w:rFonts w:ascii="Arial" w:hAnsi="Arial" w:cs="Arial"/>
          <w:color w:val="auto"/>
        </w:rPr>
      </w:pPr>
      <w:r w:rsidRPr="0080148F">
        <w:rPr>
          <w:rFonts w:ascii="Arial" w:hAnsi="Arial" w:cs="Arial"/>
          <w:color w:val="auto"/>
        </w:rPr>
        <w:t xml:space="preserve">ny tehezan-tendrombohitra avaratra atsinanana sy ny tendrombohitr Ambre </w:t>
      </w:r>
    </w:p>
    <w:p w14:paraId="297504AF" w14:textId="77777777" w:rsidR="00B76189" w:rsidRPr="0080148F" w:rsidRDefault="00B76189" w:rsidP="0044500E">
      <w:pPr>
        <w:pStyle w:val="Paragraphedeliste"/>
        <w:numPr>
          <w:ilvl w:val="0"/>
          <w:numId w:val="187"/>
        </w:numPr>
        <w:spacing w:after="160" w:line="259" w:lineRule="auto"/>
        <w:jc w:val="both"/>
        <w:rPr>
          <w:rFonts w:ascii="Arial" w:hAnsi="Arial" w:cs="Arial"/>
          <w:color w:val="auto"/>
        </w:rPr>
      </w:pPr>
      <w:r w:rsidRPr="0080148F">
        <w:rPr>
          <w:rFonts w:ascii="Arial" w:hAnsi="Arial" w:cs="Arial"/>
          <w:color w:val="auto"/>
        </w:rPr>
        <w:t xml:space="preserve">ny tehezan’i Tsaratanana, miampita ny nosy avy any atsinanana miankandrefana, atsimon’ny tehezana avaratra atsinanana </w:t>
      </w:r>
    </w:p>
    <w:p w14:paraId="0941718A" w14:textId="77777777" w:rsidR="00B76189" w:rsidRPr="0080148F" w:rsidRDefault="00B76189" w:rsidP="0044500E">
      <w:pPr>
        <w:pStyle w:val="Paragraphedeliste"/>
        <w:numPr>
          <w:ilvl w:val="0"/>
          <w:numId w:val="187"/>
        </w:numPr>
        <w:spacing w:after="160" w:line="259" w:lineRule="auto"/>
        <w:jc w:val="both"/>
        <w:rPr>
          <w:rFonts w:ascii="Arial" w:hAnsi="Arial" w:cs="Arial"/>
          <w:color w:val="auto"/>
        </w:rPr>
      </w:pPr>
      <w:r w:rsidRPr="0080148F">
        <w:rPr>
          <w:rFonts w:ascii="Arial" w:hAnsi="Arial" w:cs="Arial"/>
          <w:color w:val="auto"/>
        </w:rPr>
        <w:lastRenderedPageBreak/>
        <w:t xml:space="preserve">ny ilany atsinanana </w:t>
      </w:r>
    </w:p>
    <w:p w14:paraId="2EAD64F2" w14:textId="77777777" w:rsidR="00B76189" w:rsidRPr="0080148F" w:rsidRDefault="00B76189" w:rsidP="0044500E">
      <w:pPr>
        <w:pStyle w:val="Paragraphedeliste"/>
        <w:numPr>
          <w:ilvl w:val="0"/>
          <w:numId w:val="187"/>
        </w:numPr>
        <w:spacing w:after="160" w:line="259" w:lineRule="auto"/>
        <w:jc w:val="both"/>
        <w:rPr>
          <w:rFonts w:ascii="Arial" w:hAnsi="Arial" w:cs="Arial"/>
          <w:color w:val="auto"/>
        </w:rPr>
      </w:pPr>
      <w:r w:rsidRPr="0080148F">
        <w:rPr>
          <w:rFonts w:ascii="Arial" w:hAnsi="Arial" w:cs="Arial"/>
          <w:color w:val="auto"/>
        </w:rPr>
        <w:t xml:space="preserve">ny ilany andrefana </w:t>
      </w:r>
    </w:p>
    <w:p w14:paraId="4D065907" w14:textId="77777777" w:rsidR="00B76189" w:rsidRPr="0080148F" w:rsidRDefault="00B76189" w:rsidP="0044500E">
      <w:pPr>
        <w:pStyle w:val="Paragraphedeliste"/>
        <w:numPr>
          <w:ilvl w:val="0"/>
          <w:numId w:val="187"/>
        </w:numPr>
        <w:spacing w:after="160" w:line="259" w:lineRule="auto"/>
        <w:jc w:val="both"/>
        <w:rPr>
          <w:rFonts w:ascii="Arial" w:hAnsi="Arial" w:cs="Arial"/>
          <w:color w:val="auto"/>
        </w:rPr>
      </w:pPr>
      <w:r w:rsidRPr="0080148F">
        <w:rPr>
          <w:rFonts w:ascii="Arial" w:hAnsi="Arial" w:cs="Arial"/>
          <w:color w:val="auto"/>
        </w:rPr>
        <w:t xml:space="preserve">ny tehezana atsimo </w:t>
      </w:r>
    </w:p>
    <w:p w14:paraId="07923577" w14:textId="77777777" w:rsidR="00B76189" w:rsidRPr="00B434A6" w:rsidRDefault="00B76189" w:rsidP="00B76189">
      <w:pPr>
        <w:spacing w:after="160" w:line="259" w:lineRule="auto"/>
        <w:jc w:val="both"/>
        <w:rPr>
          <w:rFonts w:ascii="Arial" w:hAnsi="Arial" w:cs="Arial"/>
          <w:lang w:val="en-US"/>
        </w:rPr>
      </w:pPr>
      <w:r w:rsidRPr="00B434A6">
        <w:rPr>
          <w:rFonts w:ascii="Arial" w:hAnsi="Arial" w:cs="Arial"/>
          <w:lang w:val="en-US"/>
        </w:rPr>
        <w:t xml:space="preserve">Mazàna ny renirano dia tsy mandavataona any atsimo izay maina kokoa ny toetrandro. Amin'ny ankapobeny, ny fitondran'ny rano dia mifandray akaiky amin'ny rotsak'orana. Misy fiantraikany amin'ny famatsian-drano ny fahatarana na ny tsy fanarahan-dalàna. </w:t>
      </w:r>
    </w:p>
    <w:p w14:paraId="0F19DA7E" w14:textId="77777777" w:rsidR="00B76189" w:rsidRPr="00B434A6" w:rsidRDefault="00B76189" w:rsidP="00B76189">
      <w:pPr>
        <w:spacing w:after="160" w:line="259" w:lineRule="auto"/>
        <w:ind w:left="567"/>
        <w:jc w:val="both"/>
        <w:rPr>
          <w:rFonts w:ascii="Arial" w:hAnsi="Arial" w:cs="Arial"/>
          <w:lang w:val="en-US"/>
        </w:rPr>
      </w:pPr>
      <w:r w:rsidRPr="00B434A6">
        <w:rPr>
          <w:rFonts w:ascii="Arial" w:hAnsi="Arial" w:cs="Arial"/>
          <w:lang w:val="en-US"/>
        </w:rPr>
        <w:t>ZAVABOAHARY</w:t>
      </w:r>
    </w:p>
    <w:p w14:paraId="6DDFD974" w14:textId="77777777" w:rsidR="00B76189" w:rsidRPr="00B434A6" w:rsidRDefault="00B76189" w:rsidP="00B76189">
      <w:pPr>
        <w:spacing w:after="120" w:line="240" w:lineRule="auto"/>
        <w:jc w:val="both"/>
        <w:rPr>
          <w:rFonts w:ascii="Arial" w:hAnsi="Arial" w:cs="Arial"/>
          <w:lang w:val="en-US"/>
        </w:rPr>
      </w:pPr>
      <w:r w:rsidRPr="00B434A6">
        <w:rPr>
          <w:rFonts w:ascii="Arial" w:hAnsi="Arial" w:cs="Arial"/>
          <w:lang w:val="en-US"/>
        </w:rPr>
        <w:t>Misy karazana maro ny zavaboahary misy tahaka ny :</w:t>
      </w:r>
    </w:p>
    <w:p w14:paraId="3FA6347F" w14:textId="77777777" w:rsidR="00B76189" w:rsidRPr="0080148F" w:rsidRDefault="00B76189" w:rsidP="0044500E">
      <w:pPr>
        <w:pStyle w:val="Paragraphedeliste"/>
        <w:numPr>
          <w:ilvl w:val="0"/>
          <w:numId w:val="187"/>
        </w:numPr>
        <w:spacing w:after="160" w:line="259" w:lineRule="auto"/>
        <w:jc w:val="both"/>
        <w:rPr>
          <w:rFonts w:ascii="Arial" w:hAnsi="Arial" w:cs="Arial"/>
          <w:color w:val="auto"/>
        </w:rPr>
      </w:pPr>
      <w:r w:rsidRPr="0080148F">
        <w:rPr>
          <w:rFonts w:ascii="Arial" w:hAnsi="Arial" w:cs="Arial"/>
          <w:color w:val="auto"/>
        </w:rPr>
        <w:t xml:space="preserve">ala voajanahary, </w:t>
      </w:r>
    </w:p>
    <w:p w14:paraId="6638C1A1" w14:textId="77777777" w:rsidR="00B76189" w:rsidRPr="0080148F" w:rsidRDefault="00B76189" w:rsidP="0044500E">
      <w:pPr>
        <w:pStyle w:val="Paragraphedeliste"/>
        <w:numPr>
          <w:ilvl w:val="0"/>
          <w:numId w:val="187"/>
        </w:numPr>
        <w:spacing w:after="160" w:line="259" w:lineRule="auto"/>
        <w:jc w:val="both"/>
        <w:rPr>
          <w:rFonts w:ascii="Arial" w:hAnsi="Arial" w:cs="Arial"/>
          <w:color w:val="auto"/>
        </w:rPr>
      </w:pPr>
      <w:r w:rsidRPr="0080148F">
        <w:rPr>
          <w:rFonts w:ascii="Arial" w:hAnsi="Arial" w:cs="Arial"/>
          <w:color w:val="auto"/>
        </w:rPr>
        <w:t xml:space="preserve">ala savoka, </w:t>
      </w:r>
    </w:p>
    <w:p w14:paraId="2A6920FF" w14:textId="77777777" w:rsidR="00B76189" w:rsidRPr="0080148F" w:rsidRDefault="00B76189" w:rsidP="0044500E">
      <w:pPr>
        <w:pStyle w:val="Paragraphedeliste"/>
        <w:numPr>
          <w:ilvl w:val="0"/>
          <w:numId w:val="187"/>
        </w:numPr>
        <w:spacing w:after="160" w:line="259" w:lineRule="auto"/>
        <w:jc w:val="both"/>
        <w:rPr>
          <w:rFonts w:ascii="Arial" w:hAnsi="Arial" w:cs="Arial"/>
          <w:color w:val="auto"/>
        </w:rPr>
      </w:pPr>
      <w:r w:rsidRPr="0080148F">
        <w:rPr>
          <w:rFonts w:ascii="Arial" w:hAnsi="Arial" w:cs="Arial"/>
          <w:color w:val="auto"/>
        </w:rPr>
        <w:t xml:space="preserve">ny honko, </w:t>
      </w:r>
    </w:p>
    <w:p w14:paraId="1E239282" w14:textId="77777777" w:rsidR="00B76189" w:rsidRPr="0080148F" w:rsidRDefault="00B76189" w:rsidP="0044500E">
      <w:pPr>
        <w:pStyle w:val="Paragraphedeliste"/>
        <w:numPr>
          <w:ilvl w:val="0"/>
          <w:numId w:val="187"/>
        </w:numPr>
        <w:spacing w:after="160" w:line="259" w:lineRule="auto"/>
        <w:jc w:val="both"/>
        <w:rPr>
          <w:rFonts w:ascii="Arial" w:hAnsi="Arial" w:cs="Arial"/>
          <w:color w:val="auto"/>
        </w:rPr>
      </w:pPr>
      <w:r w:rsidRPr="0080148F">
        <w:rPr>
          <w:rFonts w:ascii="Arial" w:hAnsi="Arial" w:cs="Arial"/>
          <w:color w:val="auto"/>
        </w:rPr>
        <w:t xml:space="preserve">Honahona, </w:t>
      </w:r>
    </w:p>
    <w:p w14:paraId="55B83DB9" w14:textId="77777777" w:rsidR="00B76189" w:rsidRPr="0080148F" w:rsidRDefault="00B76189" w:rsidP="0044500E">
      <w:pPr>
        <w:pStyle w:val="Paragraphedeliste"/>
        <w:numPr>
          <w:ilvl w:val="0"/>
          <w:numId w:val="187"/>
        </w:numPr>
        <w:spacing w:after="160" w:line="259" w:lineRule="auto"/>
        <w:jc w:val="both"/>
        <w:rPr>
          <w:rFonts w:ascii="Arial" w:hAnsi="Arial" w:cs="Arial"/>
          <w:color w:val="auto"/>
        </w:rPr>
      </w:pPr>
      <w:r w:rsidRPr="0080148F">
        <w:rPr>
          <w:rFonts w:ascii="Arial" w:hAnsi="Arial" w:cs="Arial"/>
          <w:color w:val="auto"/>
        </w:rPr>
        <w:t>Bozaka,</w:t>
      </w:r>
    </w:p>
    <w:p w14:paraId="1824BA66" w14:textId="77777777" w:rsidR="00B76189" w:rsidRPr="00B434A6" w:rsidRDefault="00B76189" w:rsidP="00B76189">
      <w:pPr>
        <w:spacing w:after="120" w:line="240" w:lineRule="auto"/>
        <w:jc w:val="both"/>
        <w:rPr>
          <w:rFonts w:ascii="Arial" w:hAnsi="Arial" w:cs="Arial"/>
          <w:lang w:val="en-US"/>
        </w:rPr>
      </w:pPr>
      <w:r w:rsidRPr="00B434A6">
        <w:rPr>
          <w:rFonts w:ascii="Arial" w:hAnsi="Arial" w:cs="Arial"/>
          <w:lang w:val="en-US"/>
        </w:rPr>
        <w:t>Ireo tontolo iainana ireo no toeram-ponenan'ny zavamananaina maro samihafa. Izy ireo ihany koa dia miantoka ny fikojakojana ny serivisy momba ny tontolo iainana toy ny tsingerin'ny rano, ny fandrindrana ny toetr'andro ary ny fanodinana ny otrikaina ary ny fiarovana ny tany amin'ny fikaoan’ny riaka.</w:t>
      </w:r>
    </w:p>
    <w:p w14:paraId="540FACE0" w14:textId="77777777" w:rsidR="00B76189" w:rsidRPr="00B434A6" w:rsidRDefault="00B76189" w:rsidP="00B76189">
      <w:pPr>
        <w:spacing w:after="160" w:line="259" w:lineRule="auto"/>
        <w:ind w:left="567"/>
        <w:jc w:val="both"/>
        <w:rPr>
          <w:rFonts w:ascii="Arial" w:hAnsi="Arial" w:cs="Arial"/>
          <w:lang w:val="en-US"/>
        </w:rPr>
      </w:pPr>
      <w:r w:rsidRPr="00B434A6">
        <w:rPr>
          <w:rFonts w:ascii="Arial" w:hAnsi="Arial" w:cs="Arial"/>
          <w:lang w:val="en-US"/>
        </w:rPr>
        <w:t>TONTOLO OLOMBELONA</w:t>
      </w:r>
    </w:p>
    <w:p w14:paraId="7867F4B3" w14:textId="77777777" w:rsidR="00B76189" w:rsidRPr="00B434A6" w:rsidRDefault="00B76189" w:rsidP="00B76189">
      <w:pPr>
        <w:spacing w:after="120" w:line="240" w:lineRule="auto"/>
        <w:jc w:val="both"/>
        <w:rPr>
          <w:rFonts w:ascii="Arial" w:hAnsi="Arial" w:cs="Arial"/>
          <w:lang w:val="en-US"/>
        </w:rPr>
      </w:pPr>
      <w:r w:rsidRPr="00B434A6">
        <w:rPr>
          <w:rFonts w:ascii="Arial" w:hAnsi="Arial" w:cs="Arial"/>
          <w:lang w:val="en-US"/>
        </w:rPr>
        <w:t xml:space="preserve">Teo anelanelan’ny taona 175 sy ny 2018 dia hita fa nitombo avo telo heny ny isan’ny Malagasy. Araka ny salan’isa fitomoboana isan-taona 3% (RGPH 3) dia tombanana ho 28.896.533 ny isan’ny Malagasy ny 2022 ka ny 50,7% amin’ireo dia vehivavy ary 49,3% ny lehilahy. </w:t>
      </w:r>
    </w:p>
    <w:p w14:paraId="47236360" w14:textId="77777777" w:rsidR="00B76189" w:rsidRPr="00B434A6" w:rsidRDefault="00B76189" w:rsidP="00B76189">
      <w:pPr>
        <w:spacing w:after="120" w:line="240" w:lineRule="auto"/>
        <w:ind w:left="1416" w:firstLine="708"/>
        <w:jc w:val="both"/>
        <w:rPr>
          <w:rFonts w:ascii="Arial" w:hAnsi="Arial" w:cs="Arial"/>
          <w:i/>
          <w:lang w:val="en-US"/>
        </w:rPr>
      </w:pPr>
      <w:r w:rsidRPr="00B434A6">
        <w:rPr>
          <w:rFonts w:ascii="Arial" w:hAnsi="Arial" w:cs="Arial"/>
          <w:i/>
          <w:lang w:val="en-US"/>
        </w:rPr>
        <w:t xml:space="preserve">Fampianarana </w:t>
      </w:r>
    </w:p>
    <w:p w14:paraId="33A82687" w14:textId="77777777" w:rsidR="00B76189" w:rsidRPr="00B434A6" w:rsidRDefault="00B76189" w:rsidP="00B76189">
      <w:pPr>
        <w:spacing w:after="120" w:line="240" w:lineRule="auto"/>
        <w:jc w:val="both"/>
        <w:rPr>
          <w:rFonts w:ascii="Arial" w:hAnsi="Arial" w:cs="Arial"/>
          <w:lang w:val="en-US"/>
        </w:rPr>
      </w:pPr>
      <w:r w:rsidRPr="00B434A6">
        <w:rPr>
          <w:rFonts w:ascii="Arial" w:hAnsi="Arial" w:cs="Arial"/>
          <w:lang w:val="en-US"/>
        </w:rPr>
        <w:t xml:space="preserve">Eo amin’ny sehatry ny fanabeazana dia ambany dia ambany ny kalitaon’ny mponina mety ho mavitrika eto Madagasikara. Araka ny fanadihadiana nataon’ny INSTAT tamin’ny taona 2021 dia manodidina ny 70%-n’ny Malagasy no tsy mihoatra ny laharana faha-1 amin’ny taona 2018 (23% no tsy nahita fianarana ary 47% no manana ambaratonga voalohany). Miharihary kokoa io elanelana io eo amin’ny faritra an-tanàn-dehibe sy ambanivohitra. Raha ny tahan'ny olona tsy mihoatra ny ambaratonga fototra tokoa no ambany indrindra any an-tanàn-dehibe izay misy taha manodidina ny 42%, any ambanivohitra dia mitovy amin'ny 82%. Araka ny maha-lahy sy maha-vavy dia tsy misy dikany ny fahasamihafana eo amin'ny isan-jaton'ny lehilahy sy ny vehivavy tsy mihoatra ny sekoly ambaratonga fototra izay manana taha mitovy amin'ny 70% sy 71%. </w:t>
      </w:r>
    </w:p>
    <w:p w14:paraId="54DADBEA" w14:textId="77777777" w:rsidR="00B76189" w:rsidRPr="00B434A6" w:rsidRDefault="00B76189" w:rsidP="00B76189">
      <w:pPr>
        <w:spacing w:after="120" w:line="240" w:lineRule="auto"/>
        <w:ind w:left="1416" w:firstLine="708"/>
        <w:jc w:val="both"/>
        <w:rPr>
          <w:rFonts w:ascii="Arial" w:hAnsi="Arial" w:cs="Arial"/>
          <w:i/>
          <w:lang w:val="en-US"/>
        </w:rPr>
      </w:pPr>
      <w:r w:rsidRPr="00B434A6">
        <w:rPr>
          <w:rFonts w:ascii="Arial" w:hAnsi="Arial" w:cs="Arial"/>
          <w:i/>
          <w:lang w:val="en-US"/>
        </w:rPr>
        <w:t xml:space="preserve">Angôvo </w:t>
      </w:r>
    </w:p>
    <w:p w14:paraId="6B3375CC" w14:textId="77777777" w:rsidR="00B76189" w:rsidRPr="00B434A6" w:rsidRDefault="00B76189" w:rsidP="00B76189">
      <w:pPr>
        <w:spacing w:after="120" w:line="240" w:lineRule="auto"/>
        <w:jc w:val="both"/>
        <w:rPr>
          <w:rFonts w:ascii="Arial" w:hAnsi="Arial" w:cs="Arial"/>
          <w:lang w:val="en-US"/>
        </w:rPr>
      </w:pPr>
      <w:r w:rsidRPr="00B434A6">
        <w:rPr>
          <w:rFonts w:ascii="Arial" w:hAnsi="Arial" w:cs="Arial"/>
          <w:lang w:val="en-US"/>
        </w:rPr>
        <w:t>Eto Madagasikara, ny tambajotran’ny orinasa JIRAMA, izay mamatsy ny tanàn-dehibe, no mamatsy herinaratra, ary ireo tsy miankina kosa no misahana izany eny amin’ny tanana ambanivohitra tsy misy JIRAMA.</w:t>
      </w:r>
    </w:p>
    <w:p w14:paraId="303B127D" w14:textId="77777777" w:rsidR="003A2C2D" w:rsidRDefault="00B76189" w:rsidP="00B76189">
      <w:pPr>
        <w:spacing w:after="120" w:line="240" w:lineRule="auto"/>
        <w:jc w:val="both"/>
        <w:rPr>
          <w:rFonts w:ascii="Arial" w:hAnsi="Arial" w:cs="Arial"/>
          <w:lang w:val="en-US"/>
        </w:rPr>
      </w:pPr>
      <w:r w:rsidRPr="0080148F">
        <w:rPr>
          <w:rFonts w:ascii="Arial" w:hAnsi="Arial" w:cs="Arial"/>
          <w:lang w:val="en-US"/>
        </w:rPr>
        <w:t xml:space="preserve">Nitombo hatrany ny famokarana herinaratra nanomboka ny taona 2002. </w:t>
      </w:r>
      <w:r w:rsidRPr="00B434A6">
        <w:rPr>
          <w:rFonts w:ascii="Arial" w:hAnsi="Arial" w:cs="Arial"/>
          <w:lang w:val="en-US"/>
        </w:rPr>
        <w:t>Niantehitra tamin’ny milina mpamokatra herinaratra anefa ny Fanjakana hamatsiana ireo tanàn-dehibe maro eto Madagasikara. Araka ny tatitry ny Banky Iraisam-pirenena ny 2018 dia tsy nanana afa-tsy 570 MW ny taham-pamokarana napetraka ao amin’ny firenena, indrindra ny thermaly (60%) sy ny hydroélectrique (40%). Fa raha tsy misy ny fikojakojana ny milina sy ny fotodrafitrasa dia ny 60%-n’io angovo io ihany no misy. Ireo fahasahiranana eo amin'ny sehatry ny angovo ireo dia manimba ny fiainan'ny mponina isan'andro amin'ny fandatsahana entana mihodina.</w:t>
      </w:r>
    </w:p>
    <w:p w14:paraId="65411728" w14:textId="77777777" w:rsidR="00353921" w:rsidRDefault="00B76189" w:rsidP="00B76189">
      <w:pPr>
        <w:spacing w:after="120" w:line="240" w:lineRule="auto"/>
        <w:jc w:val="both"/>
        <w:rPr>
          <w:rFonts w:ascii="Arial" w:hAnsi="Arial" w:cs="Arial"/>
          <w:lang w:val="en-US"/>
        </w:rPr>
      </w:pPr>
      <w:r w:rsidRPr="00B434A6">
        <w:rPr>
          <w:rFonts w:ascii="Arial" w:hAnsi="Arial" w:cs="Arial"/>
          <w:lang w:val="en-US"/>
        </w:rPr>
        <w:t xml:space="preserve"> </w:t>
      </w:r>
    </w:p>
    <w:p w14:paraId="0D2239E4" w14:textId="77777777" w:rsidR="00B76189" w:rsidRPr="00B434A6" w:rsidRDefault="00353921" w:rsidP="00B76189">
      <w:pPr>
        <w:spacing w:after="120" w:line="240" w:lineRule="auto"/>
        <w:jc w:val="both"/>
        <w:rPr>
          <w:rFonts w:ascii="Arial" w:hAnsi="Arial" w:cs="Arial"/>
          <w:lang w:val="en-US"/>
        </w:rPr>
      </w:pPr>
      <w:r>
        <w:rPr>
          <w:rFonts w:ascii="Arial" w:hAnsi="Arial" w:cs="Arial"/>
          <w:lang w:val="en-US"/>
        </w:rPr>
        <w:br w:type="page"/>
      </w:r>
    </w:p>
    <w:p w14:paraId="7513A9EE" w14:textId="77777777" w:rsidR="00B76189" w:rsidRPr="00B434A6" w:rsidRDefault="00B76189" w:rsidP="00B76189">
      <w:pPr>
        <w:spacing w:after="120" w:line="240" w:lineRule="auto"/>
        <w:ind w:left="1416" w:firstLine="708"/>
        <w:jc w:val="both"/>
        <w:rPr>
          <w:rFonts w:ascii="Arial" w:hAnsi="Arial" w:cs="Arial"/>
          <w:i/>
          <w:lang w:val="en-US"/>
        </w:rPr>
      </w:pPr>
      <w:r w:rsidRPr="00B434A6">
        <w:rPr>
          <w:rFonts w:ascii="Arial" w:hAnsi="Arial" w:cs="Arial"/>
          <w:i/>
          <w:lang w:val="en-US"/>
        </w:rPr>
        <w:t>Teknolojian’ny Fampitam-baovao sy ny Fifandraisana</w:t>
      </w:r>
    </w:p>
    <w:p w14:paraId="0E6B01F4" w14:textId="77777777" w:rsidR="00B76189" w:rsidRPr="00B434A6" w:rsidRDefault="00B76189" w:rsidP="00B76189">
      <w:pPr>
        <w:spacing w:after="120" w:line="240" w:lineRule="auto"/>
        <w:jc w:val="both"/>
        <w:rPr>
          <w:rFonts w:ascii="Arial" w:hAnsi="Arial" w:cs="Arial"/>
          <w:lang w:val="en-US"/>
        </w:rPr>
      </w:pPr>
      <w:r w:rsidRPr="00B434A6">
        <w:rPr>
          <w:rFonts w:ascii="Arial" w:hAnsi="Arial" w:cs="Arial"/>
          <w:lang w:val="en-US"/>
        </w:rPr>
        <w:t xml:space="preserve">Tao anatin’ny folo taona lasa, nitombo haingana ny sehatry ny Teknolojian’ny Fampitam-baovao sy ny </w:t>
      </w:r>
      <w:r w:rsidR="008251AA" w:rsidRPr="008251AA">
        <w:rPr>
          <w:rFonts w:ascii="Arial" w:hAnsi="Arial" w:cs="Arial"/>
          <w:lang w:val="en-US"/>
        </w:rPr>
        <w:t>Fifandraisana izay</w:t>
      </w:r>
      <w:r w:rsidRPr="00B434A6">
        <w:rPr>
          <w:rFonts w:ascii="Arial" w:hAnsi="Arial" w:cs="Arial"/>
          <w:lang w:val="en-US"/>
        </w:rPr>
        <w:t xml:space="preserve"> nitombo 8,5% ny taona 2013 ary 4% teo anelanelan’ny taona 2015 sy 2017. Araka ny angom-baovao avy amin’ny Banky iraisam-pirenena dia maherin’ny antsasa-manilan’ny Malagasy no mampiasa finday, na izany aza ny fampiasana ny Ny Internet dia mijanona ho tsy misy dikany ary ny 15% amin'ny mponina ihany amin'ny taona 2018. </w:t>
      </w:r>
    </w:p>
    <w:p w14:paraId="3A36B619" w14:textId="77777777" w:rsidR="00B76189" w:rsidRPr="00D84EA3" w:rsidRDefault="00B76189" w:rsidP="0044500E">
      <w:pPr>
        <w:pStyle w:val="Paragraphedeliste"/>
        <w:numPr>
          <w:ilvl w:val="0"/>
          <w:numId w:val="185"/>
        </w:numPr>
        <w:spacing w:after="120" w:line="240" w:lineRule="auto"/>
        <w:jc w:val="both"/>
        <w:rPr>
          <w:rFonts w:ascii="Arial" w:hAnsi="Arial" w:cs="Arial"/>
          <w:b/>
        </w:rPr>
      </w:pPr>
      <w:r w:rsidRPr="00D84EA3">
        <w:rPr>
          <w:rFonts w:ascii="Arial" w:hAnsi="Arial" w:cs="Arial"/>
          <w:b/>
        </w:rPr>
        <w:t>RAFITRA POLITIKA</w:t>
      </w:r>
    </w:p>
    <w:p w14:paraId="5FF4A95B" w14:textId="77777777" w:rsidR="00B76189" w:rsidRPr="0080148F" w:rsidRDefault="00B76189" w:rsidP="00B76189">
      <w:pPr>
        <w:spacing w:after="120" w:line="240" w:lineRule="auto"/>
        <w:jc w:val="both"/>
        <w:rPr>
          <w:rFonts w:ascii="Arial" w:hAnsi="Arial" w:cs="Arial"/>
        </w:rPr>
      </w:pPr>
      <w:r w:rsidRPr="0080148F">
        <w:rPr>
          <w:rFonts w:ascii="Arial" w:hAnsi="Arial" w:cs="Arial"/>
        </w:rPr>
        <w:t xml:space="preserve">Ny fampandrosoana an’i Madagasikara dia mifototra amin’ny fampiharana ny Politika ankapoben’ny Fanjakana sy ny Drafitr’asa ho amin’ny firongatry ny Madagasikara. </w:t>
      </w:r>
      <w:r w:rsidRPr="00B434A6">
        <w:rPr>
          <w:rFonts w:ascii="Arial" w:hAnsi="Arial" w:cs="Arial"/>
          <w:lang w:val="en-US"/>
        </w:rPr>
        <w:t xml:space="preserve">Samy mikendry ny fanatsarana ny sehatry ny angovo ireo rafitra politika roa ireo. Manoloana izany dia anisan’ny laharam-pahamehan’ny Fanjakana ny fampandrosoana ny nomerika (laharam-pahamehana 22 : Ataovy mpilalao amin’ny revolisiona nomerika i Madagasikara). </w:t>
      </w:r>
      <w:r w:rsidRPr="0080148F">
        <w:rPr>
          <w:rFonts w:ascii="Arial" w:hAnsi="Arial" w:cs="Arial"/>
        </w:rPr>
        <w:t xml:space="preserve">Noho izany, ny Fanjakana dia mikendry ny : </w:t>
      </w:r>
    </w:p>
    <w:p w14:paraId="481204D0" w14:textId="77777777" w:rsidR="00B76189" w:rsidRPr="0080148F" w:rsidRDefault="00B76189" w:rsidP="0044500E">
      <w:pPr>
        <w:pStyle w:val="Paragraphedeliste"/>
        <w:numPr>
          <w:ilvl w:val="0"/>
          <w:numId w:val="187"/>
        </w:numPr>
        <w:spacing w:after="160" w:line="259" w:lineRule="auto"/>
        <w:jc w:val="both"/>
        <w:rPr>
          <w:rFonts w:ascii="Arial" w:hAnsi="Arial" w:cs="Arial"/>
          <w:color w:val="auto"/>
        </w:rPr>
      </w:pPr>
      <w:r w:rsidRPr="0080148F">
        <w:rPr>
          <w:rFonts w:ascii="Arial" w:hAnsi="Arial" w:cs="Arial"/>
          <w:color w:val="auto"/>
        </w:rPr>
        <w:t xml:space="preserve">Fanitarana tambajotra TICS </w:t>
      </w:r>
    </w:p>
    <w:p w14:paraId="764F89F5" w14:textId="77777777" w:rsidR="00B76189" w:rsidRPr="0080148F" w:rsidRDefault="00B76189" w:rsidP="0044500E">
      <w:pPr>
        <w:pStyle w:val="Paragraphedeliste"/>
        <w:numPr>
          <w:ilvl w:val="0"/>
          <w:numId w:val="187"/>
        </w:numPr>
        <w:spacing w:after="160" w:line="259" w:lineRule="auto"/>
        <w:jc w:val="both"/>
        <w:rPr>
          <w:rFonts w:ascii="Arial" w:hAnsi="Arial" w:cs="Arial"/>
          <w:color w:val="auto"/>
        </w:rPr>
      </w:pPr>
      <w:r w:rsidRPr="0080148F">
        <w:rPr>
          <w:rFonts w:ascii="Arial" w:hAnsi="Arial" w:cs="Arial"/>
          <w:color w:val="auto"/>
        </w:rPr>
        <w:t xml:space="preserve">Ampitombo ny isan'ny mpampiasa ny tolotra fifandraisan-davitra amin'ny fametrahana fifaninanana malalaka </w:t>
      </w:r>
    </w:p>
    <w:p w14:paraId="646C7982" w14:textId="77777777" w:rsidR="00B76189" w:rsidRPr="00B434A6" w:rsidRDefault="00B76189" w:rsidP="0044500E">
      <w:pPr>
        <w:pStyle w:val="Paragraphedeliste"/>
        <w:numPr>
          <w:ilvl w:val="0"/>
          <w:numId w:val="187"/>
        </w:numPr>
        <w:spacing w:after="160" w:line="259" w:lineRule="auto"/>
        <w:jc w:val="both"/>
        <w:rPr>
          <w:rFonts w:ascii="Arial" w:hAnsi="Arial" w:cs="Arial"/>
          <w:color w:val="auto"/>
          <w:lang w:val="en-US"/>
        </w:rPr>
      </w:pPr>
      <w:r w:rsidRPr="00B434A6">
        <w:rPr>
          <w:rFonts w:ascii="Arial" w:hAnsi="Arial" w:cs="Arial"/>
          <w:color w:val="auto"/>
          <w:lang w:val="en-US"/>
        </w:rPr>
        <w:t xml:space="preserve">Fanavaozana ny fandaminana sy ny andrim-panjakana amin'ny sehatry ny paositra ary manangana politikan'ny sehatra </w:t>
      </w:r>
    </w:p>
    <w:p w14:paraId="307E53A8" w14:textId="77777777" w:rsidR="00B76189" w:rsidRPr="00B434A6" w:rsidRDefault="00B76189" w:rsidP="0044500E">
      <w:pPr>
        <w:pStyle w:val="Paragraphedeliste"/>
        <w:numPr>
          <w:ilvl w:val="0"/>
          <w:numId w:val="187"/>
        </w:numPr>
        <w:spacing w:after="160" w:line="259" w:lineRule="auto"/>
        <w:jc w:val="both"/>
        <w:rPr>
          <w:rFonts w:ascii="Arial" w:hAnsi="Arial" w:cs="Arial"/>
          <w:color w:val="auto"/>
          <w:lang w:val="en-US"/>
        </w:rPr>
      </w:pPr>
      <w:r w:rsidRPr="00B434A6">
        <w:rPr>
          <w:rFonts w:ascii="Arial" w:hAnsi="Arial" w:cs="Arial"/>
          <w:color w:val="auto"/>
          <w:lang w:val="en-US"/>
        </w:rPr>
        <w:t>Miantoka ny fanavaozana ny PAOsitra Malagasy (PAOMA) amin’ny alalan’ny fampitomboana ny asa ataony sy ny fampivelarana ny tambajotra.</w:t>
      </w:r>
    </w:p>
    <w:p w14:paraId="795C2F4A" w14:textId="77777777" w:rsidR="00B76189" w:rsidRPr="00B434A6" w:rsidRDefault="00B76189" w:rsidP="00B76189">
      <w:pPr>
        <w:spacing w:after="120" w:line="240" w:lineRule="auto"/>
        <w:jc w:val="both"/>
        <w:rPr>
          <w:rFonts w:ascii="Arial" w:hAnsi="Arial" w:cs="Arial"/>
          <w:lang w:val="en-US"/>
        </w:rPr>
      </w:pPr>
      <w:r w:rsidRPr="00B434A6">
        <w:rPr>
          <w:rFonts w:ascii="Arial" w:hAnsi="Arial" w:cs="Arial"/>
          <w:lang w:val="en-US"/>
        </w:rPr>
        <w:t>Ho an'ny sehatry ny angovo, ny laharam-pahamehana 28 ao amin'ny PEM dia manantitrantitra ny famokarana angovo sy ny fahazoana angovo.</w:t>
      </w:r>
    </w:p>
    <w:bookmarkEnd w:id="23"/>
    <w:p w14:paraId="608F333A" w14:textId="77777777" w:rsidR="00B76189" w:rsidRPr="00505129" w:rsidRDefault="00B76189" w:rsidP="00B76189">
      <w:pPr>
        <w:spacing w:after="120" w:line="240" w:lineRule="auto"/>
        <w:jc w:val="both"/>
        <w:rPr>
          <w:rFonts w:ascii="Arial" w:hAnsi="Arial" w:cs="Arial"/>
          <w:lang w:val="en-US"/>
        </w:rPr>
      </w:pPr>
    </w:p>
    <w:p w14:paraId="70AD0FF5" w14:textId="77777777" w:rsidR="00B76189" w:rsidRPr="00F0092A" w:rsidRDefault="00B76189" w:rsidP="0044500E">
      <w:pPr>
        <w:pStyle w:val="Paragraphedeliste"/>
        <w:numPr>
          <w:ilvl w:val="0"/>
          <w:numId w:val="185"/>
        </w:numPr>
        <w:spacing w:after="120" w:line="240" w:lineRule="auto"/>
        <w:jc w:val="both"/>
        <w:rPr>
          <w:rFonts w:ascii="Arial" w:hAnsi="Arial" w:cs="Arial"/>
          <w:b/>
          <w:lang w:val="en-US"/>
        </w:rPr>
      </w:pPr>
      <w:r w:rsidRPr="00F0092A">
        <w:rPr>
          <w:rFonts w:ascii="Arial" w:hAnsi="Arial" w:cs="Arial"/>
          <w:b/>
          <w:color w:val="auto"/>
          <w:lang w:val="en-US"/>
        </w:rPr>
        <w:t>FIANTRAIKANY TSARA SY FEPETRA FANATSARANA</w:t>
      </w:r>
    </w:p>
    <w:tbl>
      <w:tblPr>
        <w:tblW w:w="9580" w:type="dxa"/>
        <w:tblInd w:w="-10" w:type="dxa"/>
        <w:tblCellMar>
          <w:left w:w="70" w:type="dxa"/>
          <w:right w:w="70" w:type="dxa"/>
        </w:tblCellMar>
        <w:tblLook w:val="04A0" w:firstRow="1" w:lastRow="0" w:firstColumn="1" w:lastColumn="0" w:noHBand="0" w:noVBand="1"/>
      </w:tblPr>
      <w:tblGrid>
        <w:gridCol w:w="1701"/>
        <w:gridCol w:w="3413"/>
        <w:gridCol w:w="4466"/>
      </w:tblGrid>
      <w:tr w:rsidR="00B76189" w:rsidRPr="007C5E06" w14:paraId="1D1ECD54" w14:textId="77777777" w:rsidTr="005D6D41">
        <w:trPr>
          <w:trHeight w:val="48"/>
          <w:tblHeader/>
        </w:trPr>
        <w:tc>
          <w:tcPr>
            <w:tcW w:w="1701" w:type="dxa"/>
            <w:tcBorders>
              <w:top w:val="single" w:sz="8" w:space="0" w:color="auto"/>
              <w:left w:val="single" w:sz="8" w:space="0" w:color="auto"/>
              <w:bottom w:val="single" w:sz="8" w:space="0" w:color="auto"/>
              <w:right w:val="single" w:sz="8" w:space="0" w:color="auto"/>
            </w:tcBorders>
            <w:shd w:val="clear" w:color="auto" w:fill="8EAADB"/>
            <w:vAlign w:val="center"/>
          </w:tcPr>
          <w:p w14:paraId="3A4A2CAE" w14:textId="77777777" w:rsidR="00B76189" w:rsidRPr="007C5E06" w:rsidRDefault="00B76189" w:rsidP="003710EB">
            <w:pPr>
              <w:spacing w:after="0" w:line="240" w:lineRule="auto"/>
              <w:jc w:val="center"/>
              <w:rPr>
                <w:rFonts w:ascii="Arial" w:eastAsia="Times New Roman" w:hAnsi="Arial" w:cs="Arial"/>
                <w:b/>
                <w:color w:val="000000"/>
                <w:sz w:val="18"/>
                <w:szCs w:val="18"/>
                <w:lang w:eastAsia="fr-FR"/>
              </w:rPr>
            </w:pPr>
            <w:r>
              <w:rPr>
                <w:rFonts w:ascii="Arial" w:eastAsia="Times New Roman" w:hAnsi="Arial" w:cs="Arial"/>
                <w:b/>
                <w:color w:val="000000"/>
                <w:sz w:val="18"/>
                <w:szCs w:val="18"/>
                <w:lang w:eastAsia="fr-FR"/>
              </w:rPr>
              <w:t>Tontolo voakasika</w:t>
            </w:r>
          </w:p>
        </w:tc>
        <w:tc>
          <w:tcPr>
            <w:tcW w:w="3413" w:type="dxa"/>
            <w:tcBorders>
              <w:top w:val="single" w:sz="8" w:space="0" w:color="auto"/>
              <w:left w:val="nil"/>
              <w:bottom w:val="single" w:sz="8" w:space="0" w:color="auto"/>
              <w:right w:val="single" w:sz="8" w:space="0" w:color="auto"/>
            </w:tcBorders>
            <w:shd w:val="clear" w:color="auto" w:fill="8EAADB"/>
            <w:vAlign w:val="center"/>
          </w:tcPr>
          <w:p w14:paraId="4AA0E0A8" w14:textId="77777777" w:rsidR="00B76189" w:rsidRPr="007C5E06" w:rsidRDefault="00B76189" w:rsidP="003710EB">
            <w:pPr>
              <w:spacing w:after="0" w:line="240" w:lineRule="auto"/>
              <w:jc w:val="center"/>
              <w:rPr>
                <w:rFonts w:ascii="Arial" w:eastAsia="Times New Roman" w:hAnsi="Arial" w:cs="Arial"/>
                <w:b/>
                <w:color w:val="000000"/>
                <w:sz w:val="18"/>
                <w:szCs w:val="18"/>
                <w:lang w:eastAsia="fr-FR"/>
              </w:rPr>
            </w:pPr>
            <w:r>
              <w:rPr>
                <w:rFonts w:ascii="Arial" w:eastAsia="Times New Roman" w:hAnsi="Arial" w:cs="Arial"/>
                <w:b/>
                <w:color w:val="000000"/>
                <w:sz w:val="18"/>
                <w:szCs w:val="18"/>
                <w:lang w:eastAsia="fr-FR"/>
              </w:rPr>
              <w:t>F</w:t>
            </w:r>
            <w:r>
              <w:rPr>
                <w:rFonts w:eastAsia="Times New Roman"/>
                <w:b/>
                <w:sz w:val="18"/>
                <w:szCs w:val="18"/>
                <w:lang w:eastAsia="fr-FR"/>
              </w:rPr>
              <w:t>iantraikany</w:t>
            </w:r>
          </w:p>
        </w:tc>
        <w:tc>
          <w:tcPr>
            <w:tcW w:w="4466" w:type="dxa"/>
            <w:tcBorders>
              <w:top w:val="single" w:sz="8" w:space="0" w:color="auto"/>
              <w:left w:val="nil"/>
              <w:bottom w:val="single" w:sz="8" w:space="0" w:color="auto"/>
              <w:right w:val="single" w:sz="8" w:space="0" w:color="auto"/>
            </w:tcBorders>
            <w:shd w:val="clear" w:color="auto" w:fill="8EAADB"/>
            <w:vAlign w:val="center"/>
          </w:tcPr>
          <w:p w14:paraId="18D777E2" w14:textId="77777777" w:rsidR="00B76189" w:rsidRPr="007C5E06" w:rsidRDefault="00B76189" w:rsidP="003710EB">
            <w:pPr>
              <w:spacing w:after="0" w:line="240" w:lineRule="auto"/>
              <w:jc w:val="center"/>
              <w:rPr>
                <w:rFonts w:ascii="Arial" w:eastAsia="Times New Roman" w:hAnsi="Arial" w:cs="Arial"/>
                <w:b/>
                <w:color w:val="000000"/>
                <w:sz w:val="18"/>
                <w:szCs w:val="18"/>
                <w:lang w:eastAsia="fr-FR"/>
              </w:rPr>
            </w:pPr>
            <w:r>
              <w:rPr>
                <w:rFonts w:ascii="Arial" w:eastAsia="Times New Roman" w:hAnsi="Arial" w:cs="Arial"/>
                <w:b/>
                <w:color w:val="000000"/>
                <w:sz w:val="18"/>
                <w:szCs w:val="18"/>
                <w:lang w:eastAsia="fr-FR"/>
              </w:rPr>
              <w:t>F</w:t>
            </w:r>
            <w:r>
              <w:rPr>
                <w:rFonts w:eastAsia="Times New Roman"/>
                <w:b/>
                <w:sz w:val="18"/>
                <w:szCs w:val="18"/>
                <w:lang w:eastAsia="fr-FR"/>
              </w:rPr>
              <w:t>epetra fanatsarana</w:t>
            </w:r>
          </w:p>
        </w:tc>
      </w:tr>
      <w:tr w:rsidR="00B76189" w:rsidRPr="006E6B9E" w14:paraId="453893FC" w14:textId="77777777" w:rsidTr="003710EB">
        <w:trPr>
          <w:trHeight w:val="314"/>
        </w:trPr>
        <w:tc>
          <w:tcPr>
            <w:tcW w:w="9580" w:type="dxa"/>
            <w:gridSpan w:val="3"/>
            <w:tcBorders>
              <w:top w:val="single" w:sz="8" w:space="0" w:color="auto"/>
              <w:left w:val="single" w:sz="8" w:space="0" w:color="auto"/>
              <w:bottom w:val="single" w:sz="8" w:space="0" w:color="auto"/>
              <w:right w:val="single" w:sz="8" w:space="0" w:color="auto"/>
            </w:tcBorders>
            <w:shd w:val="clear" w:color="auto" w:fill="00B0F0"/>
            <w:vAlign w:val="center"/>
          </w:tcPr>
          <w:p w14:paraId="41B7DA25" w14:textId="77777777" w:rsidR="00B76189" w:rsidRPr="007C5E06" w:rsidRDefault="00B76189" w:rsidP="003710EB">
            <w:pPr>
              <w:spacing w:after="0" w:line="240" w:lineRule="auto"/>
              <w:jc w:val="center"/>
              <w:rPr>
                <w:rFonts w:ascii="Arial" w:eastAsia="Times New Roman" w:hAnsi="Arial" w:cs="Arial"/>
                <w:b/>
                <w:color w:val="000000"/>
                <w:sz w:val="18"/>
                <w:szCs w:val="18"/>
                <w:lang w:eastAsia="fr-FR"/>
              </w:rPr>
            </w:pPr>
            <w:r w:rsidRPr="006E6B9E">
              <w:rPr>
                <w:rFonts w:ascii="Arial" w:eastAsia="Times New Roman" w:hAnsi="Arial" w:cs="Arial"/>
                <w:b/>
                <w:color w:val="000000"/>
                <w:sz w:val="18"/>
                <w:szCs w:val="18"/>
                <w:lang w:eastAsia="fr-FR"/>
              </w:rPr>
              <w:t>Fananganana</w:t>
            </w:r>
          </w:p>
        </w:tc>
      </w:tr>
      <w:tr w:rsidR="00B76189" w:rsidRPr="00160FB0" w14:paraId="11C0C43F" w14:textId="77777777" w:rsidTr="003710EB">
        <w:trPr>
          <w:trHeight w:val="48"/>
        </w:trPr>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14:paraId="2691FC85"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Asa</w:t>
            </w:r>
          </w:p>
        </w:tc>
        <w:tc>
          <w:tcPr>
            <w:tcW w:w="3413" w:type="dxa"/>
            <w:tcBorders>
              <w:top w:val="single" w:sz="8" w:space="0" w:color="auto"/>
              <w:left w:val="nil"/>
              <w:bottom w:val="single" w:sz="8" w:space="0" w:color="auto"/>
              <w:right w:val="single" w:sz="8" w:space="0" w:color="auto"/>
            </w:tcBorders>
            <w:shd w:val="clear" w:color="auto" w:fill="auto"/>
            <w:vAlign w:val="center"/>
          </w:tcPr>
          <w:p w14:paraId="49914937"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Famoronana asa ho an'ny mponina ao an-toerana</w:t>
            </w:r>
          </w:p>
        </w:tc>
        <w:tc>
          <w:tcPr>
            <w:tcW w:w="4466" w:type="dxa"/>
            <w:tcBorders>
              <w:top w:val="single" w:sz="8" w:space="0" w:color="auto"/>
              <w:left w:val="nil"/>
              <w:bottom w:val="single" w:sz="8" w:space="0" w:color="auto"/>
              <w:right w:val="single" w:sz="8" w:space="0" w:color="auto"/>
            </w:tcBorders>
            <w:shd w:val="clear" w:color="auto" w:fill="auto"/>
            <w:vAlign w:val="center"/>
          </w:tcPr>
          <w:p w14:paraId="65B2A715"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w:t>
            </w:r>
            <w:r w:rsidRPr="00505129">
              <w:rPr>
                <w:rFonts w:eastAsia="Times New Roman"/>
                <w:sz w:val="18"/>
                <w:szCs w:val="18"/>
                <w:lang w:val="en-US" w:eastAsia="fr-FR"/>
              </w:rPr>
              <w:t>amporisihana</w:t>
            </w:r>
            <w:r w:rsidRPr="00505129">
              <w:rPr>
                <w:rFonts w:ascii="Arial" w:eastAsia="Times New Roman" w:hAnsi="Arial" w:cs="Arial"/>
                <w:color w:val="000000"/>
                <w:sz w:val="18"/>
                <w:szCs w:val="18"/>
                <w:lang w:val="en-US" w:eastAsia="fr-FR"/>
              </w:rPr>
              <w:t xml:space="preserve"> ny fandraisana mpiasa eo an-toerana ary f</w:t>
            </w:r>
            <w:r w:rsidRPr="00505129">
              <w:rPr>
                <w:rFonts w:eastAsia="Times New Roman"/>
                <w:sz w:val="18"/>
                <w:szCs w:val="18"/>
                <w:lang w:val="en-US" w:eastAsia="fr-FR"/>
              </w:rPr>
              <w:t>ampifandanjana</w:t>
            </w:r>
            <w:r w:rsidRPr="00505129">
              <w:rPr>
                <w:rFonts w:ascii="Arial" w:eastAsia="Times New Roman" w:hAnsi="Arial" w:cs="Arial"/>
                <w:color w:val="000000"/>
                <w:sz w:val="18"/>
                <w:szCs w:val="18"/>
                <w:lang w:val="en-US" w:eastAsia="fr-FR"/>
              </w:rPr>
              <w:t xml:space="preserve"> ny lahy sy ny vavy </w:t>
            </w:r>
          </w:p>
        </w:tc>
      </w:tr>
      <w:tr w:rsidR="00B76189" w:rsidRPr="006E6B9E" w14:paraId="3A1B477B" w14:textId="77777777" w:rsidTr="003710EB">
        <w:trPr>
          <w:trHeight w:val="48"/>
        </w:trPr>
        <w:tc>
          <w:tcPr>
            <w:tcW w:w="9580" w:type="dxa"/>
            <w:gridSpan w:val="3"/>
            <w:tcBorders>
              <w:top w:val="single" w:sz="8" w:space="0" w:color="auto"/>
              <w:left w:val="single" w:sz="8" w:space="0" w:color="auto"/>
              <w:bottom w:val="single" w:sz="8" w:space="0" w:color="auto"/>
              <w:right w:val="single" w:sz="8" w:space="0" w:color="auto"/>
            </w:tcBorders>
            <w:shd w:val="clear" w:color="auto" w:fill="00B0F0"/>
            <w:vAlign w:val="center"/>
          </w:tcPr>
          <w:p w14:paraId="2B3562C7" w14:textId="77777777" w:rsidR="00B76189" w:rsidRPr="006E6B9E" w:rsidRDefault="00B76189" w:rsidP="003710EB">
            <w:pPr>
              <w:spacing w:after="0" w:line="240" w:lineRule="auto"/>
              <w:jc w:val="center"/>
              <w:rPr>
                <w:rFonts w:ascii="Arial" w:eastAsia="Times New Roman" w:hAnsi="Arial" w:cs="Arial"/>
                <w:b/>
                <w:color w:val="000000"/>
                <w:sz w:val="18"/>
                <w:szCs w:val="18"/>
                <w:lang w:eastAsia="fr-FR"/>
              </w:rPr>
            </w:pPr>
            <w:r>
              <w:rPr>
                <w:rFonts w:ascii="Arial" w:eastAsia="Times New Roman" w:hAnsi="Arial" w:cs="Arial"/>
                <w:b/>
                <w:color w:val="000000"/>
                <w:sz w:val="18"/>
                <w:szCs w:val="18"/>
                <w:lang w:eastAsia="fr-FR"/>
              </w:rPr>
              <w:t>Fotoana Famokarana</w:t>
            </w:r>
          </w:p>
        </w:tc>
      </w:tr>
      <w:tr w:rsidR="00B76189" w:rsidRPr="007C5E06" w14:paraId="065F631A" w14:textId="77777777" w:rsidTr="003710EB">
        <w:trPr>
          <w:trHeight w:val="48"/>
        </w:trPr>
        <w:tc>
          <w:tcPr>
            <w:tcW w:w="1701" w:type="dxa"/>
            <w:vMerge w:val="restart"/>
            <w:tcBorders>
              <w:top w:val="single" w:sz="8" w:space="0" w:color="auto"/>
              <w:left w:val="single" w:sz="8" w:space="0" w:color="auto"/>
              <w:right w:val="single" w:sz="8" w:space="0" w:color="auto"/>
            </w:tcBorders>
            <w:shd w:val="clear" w:color="auto" w:fill="auto"/>
            <w:vAlign w:val="center"/>
          </w:tcPr>
          <w:p w14:paraId="439215B2"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Toetr'andro</w:t>
            </w:r>
          </w:p>
        </w:tc>
        <w:tc>
          <w:tcPr>
            <w:tcW w:w="3413" w:type="dxa"/>
            <w:tcBorders>
              <w:top w:val="single" w:sz="8" w:space="0" w:color="auto"/>
              <w:left w:val="nil"/>
              <w:bottom w:val="single" w:sz="8" w:space="0" w:color="auto"/>
              <w:right w:val="single" w:sz="8" w:space="0" w:color="auto"/>
            </w:tcBorders>
            <w:shd w:val="clear" w:color="auto" w:fill="auto"/>
            <w:vAlign w:val="center"/>
          </w:tcPr>
          <w:p w14:paraId="5657299A"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 xml:space="preserve">Fanalefahana ny rivotra amin'ny fiovan'ny toetr'andro amin'ny famerana ny entona </w:t>
            </w:r>
            <w:r>
              <w:rPr>
                <w:rFonts w:ascii="Arial" w:eastAsia="Times New Roman" w:hAnsi="Arial" w:cs="Arial"/>
                <w:color w:val="000000"/>
                <w:sz w:val="18"/>
                <w:szCs w:val="18"/>
                <w:lang w:eastAsia="fr-FR"/>
              </w:rPr>
              <w:t>manafana ny Tany</w:t>
            </w:r>
            <w:r w:rsidRPr="007C5E06">
              <w:rPr>
                <w:rFonts w:ascii="Arial" w:eastAsia="Times New Roman" w:hAnsi="Arial" w:cs="Arial"/>
                <w:color w:val="000000"/>
                <w:sz w:val="18"/>
                <w:szCs w:val="18"/>
                <w:lang w:eastAsia="fr-FR"/>
              </w:rPr>
              <w:t xml:space="preserve"> </w:t>
            </w:r>
          </w:p>
        </w:tc>
        <w:tc>
          <w:tcPr>
            <w:tcW w:w="4466" w:type="dxa"/>
            <w:tcBorders>
              <w:top w:val="single" w:sz="8" w:space="0" w:color="auto"/>
              <w:left w:val="nil"/>
              <w:bottom w:val="single" w:sz="8" w:space="0" w:color="auto"/>
              <w:right w:val="single" w:sz="8" w:space="0" w:color="auto"/>
            </w:tcBorders>
            <w:shd w:val="clear" w:color="auto" w:fill="auto"/>
            <w:vAlign w:val="center"/>
          </w:tcPr>
          <w:p w14:paraId="68E3CDE9"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 xml:space="preserve">Fampiasana dingana Ny Tetikasa dia mety ho fitaovana fanabeazana ihany koa amin'ny fanazavana ny hetsika, ny fiarovana ny tontolo iainana, ny ady amin'ny fiovaovan'ny toetr'andro, mandritra ny fitsidihan'ny mpianatra, ny oniversite, ny indostria ary ny olom-pirenena. </w:t>
            </w:r>
          </w:p>
        </w:tc>
      </w:tr>
      <w:tr w:rsidR="00B76189" w:rsidRPr="00160FB0" w14:paraId="32B8B82B" w14:textId="77777777" w:rsidTr="003710EB">
        <w:trPr>
          <w:trHeight w:val="48"/>
        </w:trPr>
        <w:tc>
          <w:tcPr>
            <w:tcW w:w="1701" w:type="dxa"/>
            <w:vMerge/>
            <w:tcBorders>
              <w:left w:val="single" w:sz="8" w:space="0" w:color="auto"/>
              <w:right w:val="single" w:sz="8" w:space="0" w:color="auto"/>
            </w:tcBorders>
            <w:shd w:val="clear" w:color="auto" w:fill="auto"/>
            <w:vAlign w:val="center"/>
          </w:tcPr>
          <w:p w14:paraId="14698ECD"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p>
        </w:tc>
        <w:tc>
          <w:tcPr>
            <w:tcW w:w="3413" w:type="dxa"/>
            <w:tcBorders>
              <w:top w:val="single" w:sz="8" w:space="0" w:color="auto"/>
              <w:left w:val="nil"/>
              <w:bottom w:val="single" w:sz="8" w:space="0" w:color="auto"/>
              <w:right w:val="single" w:sz="8" w:space="0" w:color="auto"/>
            </w:tcBorders>
            <w:shd w:val="clear" w:color="auto" w:fill="auto"/>
            <w:vAlign w:val="center"/>
          </w:tcPr>
          <w:p w14:paraId="30980459"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 xml:space="preserve">Fampiroboroboana ny famokarana herinaratra mampiasa angovo azo havaozina </w:t>
            </w:r>
          </w:p>
        </w:tc>
        <w:tc>
          <w:tcPr>
            <w:tcW w:w="4466" w:type="dxa"/>
            <w:tcBorders>
              <w:top w:val="single" w:sz="8" w:space="0" w:color="auto"/>
              <w:left w:val="nil"/>
              <w:bottom w:val="single" w:sz="8" w:space="0" w:color="auto"/>
              <w:right w:val="single" w:sz="8" w:space="0" w:color="auto"/>
            </w:tcBorders>
            <w:shd w:val="clear" w:color="auto" w:fill="auto"/>
            <w:vAlign w:val="center"/>
          </w:tcPr>
          <w:p w14:paraId="52EB94CF"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 xml:space="preserve">Ny Tetikasa dia mety ho fanohanana fikarohana momba ny teknolojia madio, fifandraisana amin'ny zavamananaina. </w:t>
            </w:r>
          </w:p>
        </w:tc>
      </w:tr>
      <w:tr w:rsidR="00B76189" w:rsidRPr="007C5E06" w14:paraId="761A8DC9" w14:textId="77777777" w:rsidTr="003710EB">
        <w:trPr>
          <w:trHeight w:val="48"/>
        </w:trPr>
        <w:tc>
          <w:tcPr>
            <w:tcW w:w="1701" w:type="dxa"/>
            <w:vMerge/>
            <w:tcBorders>
              <w:left w:val="single" w:sz="8" w:space="0" w:color="auto"/>
              <w:bottom w:val="single" w:sz="8" w:space="0" w:color="auto"/>
              <w:right w:val="single" w:sz="8" w:space="0" w:color="auto"/>
            </w:tcBorders>
            <w:shd w:val="clear" w:color="auto" w:fill="auto"/>
            <w:vAlign w:val="center"/>
          </w:tcPr>
          <w:p w14:paraId="737E23D5"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p>
        </w:tc>
        <w:tc>
          <w:tcPr>
            <w:tcW w:w="3413" w:type="dxa"/>
            <w:tcBorders>
              <w:top w:val="single" w:sz="8" w:space="0" w:color="auto"/>
              <w:left w:val="nil"/>
              <w:bottom w:val="single" w:sz="8" w:space="0" w:color="auto"/>
              <w:right w:val="single" w:sz="8" w:space="0" w:color="auto"/>
            </w:tcBorders>
            <w:shd w:val="clear" w:color="auto" w:fill="auto"/>
            <w:vAlign w:val="center"/>
          </w:tcPr>
          <w:p w14:paraId="493196E4"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Fanamorana ny fifanakalozana lavitra tsy mila mandeha</w:t>
            </w:r>
          </w:p>
        </w:tc>
        <w:tc>
          <w:tcPr>
            <w:tcW w:w="4466" w:type="dxa"/>
            <w:tcBorders>
              <w:top w:val="single" w:sz="8" w:space="0" w:color="auto"/>
              <w:left w:val="nil"/>
              <w:bottom w:val="single" w:sz="8" w:space="0" w:color="auto"/>
              <w:right w:val="single" w:sz="8" w:space="0" w:color="auto"/>
            </w:tcBorders>
            <w:shd w:val="clear" w:color="auto" w:fill="auto"/>
            <w:vAlign w:val="center"/>
          </w:tcPr>
          <w:p w14:paraId="0E76940E"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 xml:space="preserve">Fanamafisana tambajotram-pifandraisana </w:t>
            </w:r>
          </w:p>
        </w:tc>
      </w:tr>
      <w:tr w:rsidR="00B76189" w:rsidRPr="00160FB0" w14:paraId="0F386D5F" w14:textId="77777777" w:rsidTr="003710EB">
        <w:trPr>
          <w:trHeight w:val="48"/>
        </w:trPr>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14:paraId="73BE5AC4"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Asa</w:t>
            </w:r>
          </w:p>
        </w:tc>
        <w:tc>
          <w:tcPr>
            <w:tcW w:w="3413" w:type="dxa"/>
            <w:tcBorders>
              <w:top w:val="single" w:sz="8" w:space="0" w:color="auto"/>
              <w:left w:val="nil"/>
              <w:bottom w:val="single" w:sz="8" w:space="0" w:color="auto"/>
              <w:right w:val="single" w:sz="8" w:space="0" w:color="auto"/>
            </w:tcBorders>
            <w:shd w:val="clear" w:color="auto" w:fill="auto"/>
            <w:vAlign w:val="center"/>
          </w:tcPr>
          <w:p w14:paraId="68AD100E"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 xml:space="preserve">Famoronana toerana maharitra ho an'ny mponina eo an-toerana Hetsika sosialy sy toekarena </w:t>
            </w:r>
          </w:p>
        </w:tc>
        <w:tc>
          <w:tcPr>
            <w:tcW w:w="4466" w:type="dxa"/>
            <w:tcBorders>
              <w:top w:val="single" w:sz="8" w:space="0" w:color="auto"/>
              <w:left w:val="nil"/>
              <w:bottom w:val="single" w:sz="8" w:space="0" w:color="auto"/>
              <w:right w:val="single" w:sz="8" w:space="0" w:color="auto"/>
            </w:tcBorders>
            <w:shd w:val="clear" w:color="auto" w:fill="auto"/>
            <w:vAlign w:val="center"/>
          </w:tcPr>
          <w:p w14:paraId="524DD6DB"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Famporisihana ny fandraisana mpiasa eo an-toerana ary manome lanja ny fitovian</w:t>
            </w:r>
          </w:p>
        </w:tc>
      </w:tr>
      <w:tr w:rsidR="00B76189" w:rsidRPr="00160FB0" w14:paraId="0ED71289" w14:textId="77777777" w:rsidTr="003710EB">
        <w:trPr>
          <w:trHeight w:val="48"/>
        </w:trPr>
        <w:tc>
          <w:tcPr>
            <w:tcW w:w="1701" w:type="dxa"/>
            <w:vMerge w:val="restart"/>
            <w:tcBorders>
              <w:top w:val="single" w:sz="8" w:space="0" w:color="auto"/>
              <w:left w:val="single" w:sz="8" w:space="0" w:color="auto"/>
              <w:right w:val="single" w:sz="8" w:space="0" w:color="auto"/>
            </w:tcBorders>
            <w:shd w:val="clear" w:color="auto" w:fill="auto"/>
            <w:vAlign w:val="center"/>
          </w:tcPr>
          <w:p w14:paraId="02C898E0"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Ara-toekarena</w:t>
            </w:r>
          </w:p>
        </w:tc>
        <w:tc>
          <w:tcPr>
            <w:tcW w:w="3413" w:type="dxa"/>
            <w:tcBorders>
              <w:top w:val="single" w:sz="8" w:space="0" w:color="auto"/>
              <w:left w:val="nil"/>
              <w:bottom w:val="single" w:sz="8" w:space="0" w:color="auto"/>
              <w:right w:val="single" w:sz="8" w:space="0" w:color="auto"/>
            </w:tcBorders>
            <w:shd w:val="clear" w:color="auto" w:fill="auto"/>
            <w:vAlign w:val="center"/>
          </w:tcPr>
          <w:p w14:paraId="649D882A"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 xml:space="preserve">Fampitomboana ny fahafaha-mamokatra sy fitsinjarana ny jiron'ny JIRAMA </w:t>
            </w:r>
          </w:p>
        </w:tc>
        <w:tc>
          <w:tcPr>
            <w:tcW w:w="4466" w:type="dxa"/>
            <w:tcBorders>
              <w:top w:val="single" w:sz="8" w:space="0" w:color="auto"/>
              <w:left w:val="nil"/>
              <w:bottom w:val="single" w:sz="8" w:space="0" w:color="auto"/>
              <w:right w:val="single" w:sz="8" w:space="0" w:color="auto"/>
            </w:tcBorders>
            <w:shd w:val="clear" w:color="auto" w:fill="auto"/>
            <w:vAlign w:val="center"/>
          </w:tcPr>
          <w:p w14:paraId="0A7D9558"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Pr>
                <w:rFonts w:ascii="Arial" w:eastAsia="Times New Roman" w:hAnsi="Arial" w:cs="Arial"/>
                <w:color w:val="000000"/>
                <w:sz w:val="18"/>
                <w:szCs w:val="18"/>
                <w:lang w:eastAsia="fr-FR"/>
              </w:rPr>
              <w:t>Famatsiana</w:t>
            </w:r>
            <w:r w:rsidRPr="007C5E06">
              <w:rPr>
                <w:rFonts w:ascii="Arial" w:eastAsia="Times New Roman" w:hAnsi="Arial" w:cs="Arial"/>
                <w:color w:val="000000"/>
                <w:sz w:val="18"/>
                <w:szCs w:val="18"/>
                <w:lang w:eastAsia="fr-FR"/>
              </w:rPr>
              <w:t xml:space="preserve"> angovo avy amin'ny tobim-pamokarana </w:t>
            </w:r>
            <w:r>
              <w:rPr>
                <w:rFonts w:ascii="Arial" w:eastAsia="Times New Roman" w:hAnsi="Arial" w:cs="Arial"/>
                <w:color w:val="000000"/>
                <w:sz w:val="18"/>
                <w:szCs w:val="18"/>
                <w:lang w:eastAsia="fr-FR"/>
              </w:rPr>
              <w:t>amin’ny herin’ny masoandro</w:t>
            </w:r>
            <w:r w:rsidRPr="007C5E06">
              <w:rPr>
                <w:rFonts w:ascii="Arial" w:eastAsia="Times New Roman" w:hAnsi="Arial" w:cs="Arial"/>
                <w:color w:val="000000"/>
                <w:sz w:val="18"/>
                <w:szCs w:val="18"/>
                <w:lang w:eastAsia="fr-FR"/>
              </w:rPr>
              <w:t xml:space="preserve"> ny foibe fitehirizana fa tsy avy amin'ny tobim-pamokarana herinaratra </w:t>
            </w:r>
            <w:r>
              <w:rPr>
                <w:rFonts w:ascii="Arial" w:eastAsia="Times New Roman" w:hAnsi="Arial" w:cs="Arial"/>
                <w:color w:val="000000"/>
                <w:sz w:val="18"/>
                <w:szCs w:val="18"/>
                <w:lang w:eastAsia="fr-FR"/>
              </w:rPr>
              <w:t>mampiasa solika</w:t>
            </w:r>
            <w:r w:rsidRPr="007C5E06">
              <w:rPr>
                <w:rFonts w:ascii="Arial" w:eastAsia="Times New Roman" w:hAnsi="Arial" w:cs="Arial"/>
                <w:color w:val="000000"/>
                <w:sz w:val="18"/>
                <w:szCs w:val="18"/>
                <w:lang w:eastAsia="fr-FR"/>
              </w:rPr>
              <w:t xml:space="preserve"> ihany, mba hampihenana ny fanjifana herinaratra </w:t>
            </w:r>
            <w:r>
              <w:rPr>
                <w:rFonts w:ascii="Arial" w:eastAsia="Times New Roman" w:hAnsi="Arial" w:cs="Arial"/>
                <w:color w:val="000000"/>
                <w:sz w:val="18"/>
                <w:szCs w:val="18"/>
                <w:lang w:eastAsia="fr-FR"/>
              </w:rPr>
              <w:t>manimba tontolo iainana</w:t>
            </w:r>
            <w:r w:rsidRPr="007C5E06">
              <w:rPr>
                <w:rFonts w:ascii="Arial" w:eastAsia="Times New Roman" w:hAnsi="Arial" w:cs="Arial"/>
                <w:color w:val="000000"/>
                <w:sz w:val="18"/>
                <w:szCs w:val="18"/>
                <w:lang w:eastAsia="fr-FR"/>
              </w:rPr>
              <w:t xml:space="preserve">. </w:t>
            </w:r>
            <w:r w:rsidRPr="00505129">
              <w:rPr>
                <w:rFonts w:ascii="Arial" w:eastAsia="Times New Roman" w:hAnsi="Arial" w:cs="Arial"/>
                <w:color w:val="000000"/>
                <w:sz w:val="18"/>
                <w:szCs w:val="18"/>
                <w:lang w:val="en-US" w:eastAsia="fr-FR"/>
              </w:rPr>
              <w:t xml:space="preserve">Fanoloana tsikelikely ny angovo ampiasain’ny JIRAMA amin’ny angovo azo havaozina. </w:t>
            </w:r>
          </w:p>
        </w:tc>
      </w:tr>
      <w:tr w:rsidR="00B76189" w:rsidRPr="00160FB0" w14:paraId="1609D703" w14:textId="77777777" w:rsidTr="003710EB">
        <w:trPr>
          <w:trHeight w:val="48"/>
        </w:trPr>
        <w:tc>
          <w:tcPr>
            <w:tcW w:w="1701" w:type="dxa"/>
            <w:vMerge/>
            <w:tcBorders>
              <w:left w:val="single" w:sz="8" w:space="0" w:color="auto"/>
              <w:right w:val="single" w:sz="8" w:space="0" w:color="auto"/>
            </w:tcBorders>
            <w:shd w:val="clear" w:color="auto" w:fill="auto"/>
            <w:vAlign w:val="center"/>
          </w:tcPr>
          <w:p w14:paraId="6BEEC2C5"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p>
        </w:tc>
        <w:tc>
          <w:tcPr>
            <w:tcW w:w="3413" w:type="dxa"/>
            <w:tcBorders>
              <w:top w:val="single" w:sz="8" w:space="0" w:color="auto"/>
              <w:left w:val="nil"/>
              <w:bottom w:val="single" w:sz="8" w:space="0" w:color="auto"/>
              <w:right w:val="single" w:sz="8" w:space="0" w:color="auto"/>
            </w:tcBorders>
            <w:shd w:val="clear" w:color="auto" w:fill="auto"/>
            <w:vAlign w:val="center"/>
          </w:tcPr>
          <w:p w14:paraId="41B2F7D4"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 xml:space="preserve">Fanamafisana ny sehatry ny angovo </w:t>
            </w:r>
          </w:p>
        </w:tc>
        <w:tc>
          <w:tcPr>
            <w:tcW w:w="4466" w:type="dxa"/>
            <w:tcBorders>
              <w:top w:val="single" w:sz="8" w:space="0" w:color="auto"/>
              <w:left w:val="nil"/>
              <w:bottom w:val="single" w:sz="8" w:space="0" w:color="auto"/>
              <w:right w:val="single" w:sz="8" w:space="0" w:color="auto"/>
            </w:tcBorders>
            <w:shd w:val="clear" w:color="auto" w:fill="auto"/>
            <w:vAlign w:val="center"/>
          </w:tcPr>
          <w:p w14:paraId="09DA4806"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 xml:space="preserve">Fampahalalàna sy fanitarana ny fampiasana ny </w:t>
            </w:r>
            <w:r w:rsidRPr="00505129">
              <w:rPr>
                <w:rFonts w:ascii="Arial" w:eastAsia="Times New Roman" w:hAnsi="Arial" w:cs="Arial"/>
                <w:color w:val="000000"/>
                <w:sz w:val="18"/>
                <w:szCs w:val="18"/>
                <w:lang w:val="en-US" w:eastAsia="fr-FR"/>
              </w:rPr>
              <w:lastRenderedPageBreak/>
              <w:t xml:space="preserve">angovo azo havaozina. </w:t>
            </w:r>
          </w:p>
        </w:tc>
      </w:tr>
      <w:tr w:rsidR="00B76189" w:rsidRPr="00160FB0" w14:paraId="3545C505" w14:textId="77777777" w:rsidTr="003710EB">
        <w:trPr>
          <w:trHeight w:val="48"/>
        </w:trPr>
        <w:tc>
          <w:tcPr>
            <w:tcW w:w="1701" w:type="dxa"/>
            <w:vMerge/>
            <w:tcBorders>
              <w:left w:val="single" w:sz="8" w:space="0" w:color="auto"/>
              <w:right w:val="single" w:sz="8" w:space="0" w:color="auto"/>
            </w:tcBorders>
            <w:shd w:val="clear" w:color="auto" w:fill="auto"/>
            <w:vAlign w:val="center"/>
          </w:tcPr>
          <w:p w14:paraId="128A56D9"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p>
        </w:tc>
        <w:tc>
          <w:tcPr>
            <w:tcW w:w="3413" w:type="dxa"/>
            <w:tcBorders>
              <w:top w:val="single" w:sz="8" w:space="0" w:color="auto"/>
              <w:left w:val="nil"/>
              <w:bottom w:val="single" w:sz="8" w:space="0" w:color="auto"/>
              <w:right w:val="single" w:sz="8" w:space="0" w:color="auto"/>
            </w:tcBorders>
            <w:shd w:val="clear" w:color="auto" w:fill="auto"/>
            <w:vAlign w:val="center"/>
          </w:tcPr>
          <w:p w14:paraId="6032849E"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 xml:space="preserve">Fampihenana ny fotoana fahatapahan-jiro any amin’ireo tanàna vatsian’ny JIRAMA </w:t>
            </w:r>
          </w:p>
        </w:tc>
        <w:tc>
          <w:tcPr>
            <w:tcW w:w="4466" w:type="dxa"/>
            <w:tcBorders>
              <w:top w:val="single" w:sz="8" w:space="0" w:color="auto"/>
              <w:left w:val="nil"/>
              <w:bottom w:val="single" w:sz="8" w:space="0" w:color="auto"/>
              <w:right w:val="single" w:sz="8" w:space="0" w:color="auto"/>
            </w:tcBorders>
            <w:shd w:val="clear" w:color="auto" w:fill="auto"/>
            <w:vAlign w:val="center"/>
          </w:tcPr>
          <w:p w14:paraId="0D168DAC"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 xml:space="preserve">Fanatsarana ny fifandraisan’ny JIRAMA amin’ny fampihenana ny fahataahan-jiro hanatsarana ny endrika ivelany ny orinasa </w:t>
            </w:r>
          </w:p>
        </w:tc>
      </w:tr>
      <w:tr w:rsidR="00B76189" w:rsidRPr="007C5E06" w14:paraId="50672376" w14:textId="77777777" w:rsidTr="003710EB">
        <w:trPr>
          <w:trHeight w:val="48"/>
        </w:trPr>
        <w:tc>
          <w:tcPr>
            <w:tcW w:w="1701" w:type="dxa"/>
            <w:vMerge/>
            <w:tcBorders>
              <w:left w:val="single" w:sz="8" w:space="0" w:color="auto"/>
              <w:right w:val="single" w:sz="8" w:space="0" w:color="auto"/>
            </w:tcBorders>
            <w:shd w:val="clear" w:color="auto" w:fill="auto"/>
            <w:vAlign w:val="center"/>
          </w:tcPr>
          <w:p w14:paraId="50A419DF"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p>
        </w:tc>
        <w:tc>
          <w:tcPr>
            <w:tcW w:w="3413" w:type="dxa"/>
            <w:tcBorders>
              <w:top w:val="single" w:sz="8" w:space="0" w:color="auto"/>
              <w:left w:val="nil"/>
              <w:bottom w:val="single" w:sz="8" w:space="0" w:color="auto"/>
              <w:right w:val="single" w:sz="8" w:space="0" w:color="auto"/>
            </w:tcBorders>
            <w:shd w:val="clear" w:color="auto" w:fill="auto"/>
            <w:vAlign w:val="center"/>
          </w:tcPr>
          <w:p w14:paraId="42815DAC"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 xml:space="preserve">Fampandrosoana ny hetsika ara-tsosialy sy ara-toekarena mifandraika amin'ny nomerika </w:t>
            </w:r>
          </w:p>
        </w:tc>
        <w:tc>
          <w:tcPr>
            <w:tcW w:w="4466" w:type="dxa"/>
            <w:vMerge w:val="restart"/>
            <w:tcBorders>
              <w:top w:val="single" w:sz="8" w:space="0" w:color="auto"/>
              <w:left w:val="nil"/>
              <w:right w:val="single" w:sz="8" w:space="0" w:color="auto"/>
            </w:tcBorders>
            <w:shd w:val="clear" w:color="auto" w:fill="auto"/>
            <w:vAlign w:val="center"/>
          </w:tcPr>
          <w:p w14:paraId="77F36B45"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 xml:space="preserve">Fanamafisana ny tambajotram-pifandraisana </w:t>
            </w:r>
          </w:p>
        </w:tc>
      </w:tr>
      <w:tr w:rsidR="00B76189" w:rsidRPr="00160FB0" w14:paraId="2EDA366A" w14:textId="77777777" w:rsidTr="003710EB">
        <w:trPr>
          <w:trHeight w:val="48"/>
        </w:trPr>
        <w:tc>
          <w:tcPr>
            <w:tcW w:w="1701" w:type="dxa"/>
            <w:vMerge/>
            <w:tcBorders>
              <w:left w:val="single" w:sz="8" w:space="0" w:color="auto"/>
              <w:right w:val="single" w:sz="8" w:space="0" w:color="auto"/>
            </w:tcBorders>
            <w:shd w:val="clear" w:color="auto" w:fill="auto"/>
            <w:vAlign w:val="center"/>
          </w:tcPr>
          <w:p w14:paraId="1FC84734"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p>
        </w:tc>
        <w:tc>
          <w:tcPr>
            <w:tcW w:w="3413" w:type="dxa"/>
            <w:tcBorders>
              <w:top w:val="single" w:sz="8" w:space="0" w:color="auto"/>
              <w:left w:val="nil"/>
              <w:bottom w:val="single" w:sz="8" w:space="0" w:color="auto"/>
              <w:right w:val="single" w:sz="8" w:space="0" w:color="auto"/>
            </w:tcBorders>
            <w:shd w:val="clear" w:color="auto" w:fill="auto"/>
            <w:vAlign w:val="center"/>
          </w:tcPr>
          <w:p w14:paraId="6160477E"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 xml:space="preserve">Fanovana nomerika hampiroboroboana ny fifanakalozana sy famoronana asa lavitra </w:t>
            </w:r>
          </w:p>
        </w:tc>
        <w:tc>
          <w:tcPr>
            <w:tcW w:w="4466" w:type="dxa"/>
            <w:vMerge/>
            <w:tcBorders>
              <w:left w:val="nil"/>
              <w:bottom w:val="single" w:sz="8" w:space="0" w:color="auto"/>
              <w:right w:val="single" w:sz="8" w:space="0" w:color="auto"/>
            </w:tcBorders>
            <w:shd w:val="clear" w:color="auto" w:fill="auto"/>
            <w:vAlign w:val="center"/>
          </w:tcPr>
          <w:p w14:paraId="45A3900E"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p>
        </w:tc>
      </w:tr>
      <w:tr w:rsidR="00B76189" w:rsidRPr="00160FB0" w14:paraId="6AA5CE90" w14:textId="77777777" w:rsidTr="003710EB">
        <w:trPr>
          <w:trHeight w:val="48"/>
        </w:trPr>
        <w:tc>
          <w:tcPr>
            <w:tcW w:w="1701" w:type="dxa"/>
            <w:vMerge/>
            <w:tcBorders>
              <w:left w:val="single" w:sz="8" w:space="0" w:color="auto"/>
              <w:bottom w:val="single" w:sz="8" w:space="0" w:color="auto"/>
              <w:right w:val="single" w:sz="8" w:space="0" w:color="auto"/>
            </w:tcBorders>
            <w:shd w:val="clear" w:color="auto" w:fill="auto"/>
            <w:vAlign w:val="center"/>
          </w:tcPr>
          <w:p w14:paraId="0466455F"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p>
        </w:tc>
        <w:tc>
          <w:tcPr>
            <w:tcW w:w="3413" w:type="dxa"/>
            <w:tcBorders>
              <w:top w:val="single" w:sz="8" w:space="0" w:color="auto"/>
              <w:left w:val="nil"/>
              <w:bottom w:val="single" w:sz="8" w:space="0" w:color="auto"/>
              <w:right w:val="single" w:sz="8" w:space="0" w:color="auto"/>
            </w:tcBorders>
            <w:shd w:val="clear" w:color="auto" w:fill="auto"/>
            <w:vAlign w:val="center"/>
          </w:tcPr>
          <w:p w14:paraId="627FFE37"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 xml:space="preserve">Fanamafisana ny asam-panjakana </w:t>
            </w:r>
          </w:p>
        </w:tc>
        <w:tc>
          <w:tcPr>
            <w:tcW w:w="4466" w:type="dxa"/>
            <w:tcBorders>
              <w:top w:val="single" w:sz="8" w:space="0" w:color="auto"/>
              <w:left w:val="nil"/>
              <w:bottom w:val="single" w:sz="8" w:space="0" w:color="auto"/>
              <w:right w:val="single" w:sz="8" w:space="0" w:color="auto"/>
            </w:tcBorders>
            <w:shd w:val="clear" w:color="auto" w:fill="auto"/>
            <w:vAlign w:val="center"/>
          </w:tcPr>
          <w:p w14:paraId="6348605D"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 xml:space="preserve">Fanomezana fitaovana ho an’ny sampan-draharaham-panjakana (fokontany sy kaominina). Fanofanana ny mpiasa amin’ireny sampan-draharaham-panjakana any an-toerana ireny </w:t>
            </w:r>
          </w:p>
        </w:tc>
      </w:tr>
      <w:tr w:rsidR="00B76189" w:rsidRPr="00160FB0" w14:paraId="6C1BC798" w14:textId="77777777" w:rsidTr="003710EB">
        <w:trPr>
          <w:trHeight w:val="48"/>
        </w:trPr>
        <w:tc>
          <w:tcPr>
            <w:tcW w:w="9580" w:type="dxa"/>
            <w:gridSpan w:val="3"/>
            <w:tcBorders>
              <w:top w:val="single" w:sz="8" w:space="0" w:color="auto"/>
              <w:left w:val="single" w:sz="8" w:space="0" w:color="auto"/>
              <w:bottom w:val="single" w:sz="8" w:space="0" w:color="auto"/>
              <w:right w:val="single" w:sz="8" w:space="0" w:color="auto"/>
            </w:tcBorders>
            <w:shd w:val="clear" w:color="auto" w:fill="00B0F0"/>
            <w:vAlign w:val="center"/>
          </w:tcPr>
          <w:p w14:paraId="75F25109" w14:textId="77777777" w:rsidR="00B76189" w:rsidRPr="00505129" w:rsidRDefault="00B76189" w:rsidP="003710EB">
            <w:pPr>
              <w:spacing w:after="0" w:line="240" w:lineRule="auto"/>
              <w:jc w:val="center"/>
              <w:rPr>
                <w:rFonts w:ascii="Arial" w:eastAsia="Times New Roman" w:hAnsi="Arial" w:cs="Arial"/>
                <w:b/>
                <w:color w:val="000000"/>
                <w:sz w:val="18"/>
                <w:szCs w:val="18"/>
                <w:lang w:val="en-US" w:eastAsia="fr-FR"/>
              </w:rPr>
            </w:pPr>
            <w:r w:rsidRPr="00505129">
              <w:rPr>
                <w:rFonts w:ascii="Arial" w:eastAsia="Times New Roman" w:hAnsi="Arial" w:cs="Arial"/>
                <w:b/>
                <w:color w:val="000000"/>
                <w:sz w:val="18"/>
                <w:szCs w:val="18"/>
                <w:lang w:val="en-US" w:eastAsia="fr-FR"/>
              </w:rPr>
              <w:t>Dingana fandravana (ho an'ny orinasa PV)</w:t>
            </w:r>
          </w:p>
        </w:tc>
      </w:tr>
      <w:tr w:rsidR="00B76189" w:rsidRPr="007C5E06" w14:paraId="4BC7BAD1" w14:textId="77777777" w:rsidTr="003710EB">
        <w:trPr>
          <w:trHeight w:val="48"/>
        </w:trPr>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14:paraId="00C4FFD8"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Toerana voajanahary</w:t>
            </w:r>
          </w:p>
        </w:tc>
        <w:tc>
          <w:tcPr>
            <w:tcW w:w="3413" w:type="dxa"/>
            <w:tcBorders>
              <w:top w:val="single" w:sz="8" w:space="0" w:color="auto"/>
              <w:left w:val="nil"/>
              <w:bottom w:val="single" w:sz="8" w:space="0" w:color="auto"/>
              <w:right w:val="single" w:sz="8" w:space="0" w:color="auto"/>
            </w:tcBorders>
            <w:shd w:val="clear" w:color="auto" w:fill="auto"/>
            <w:vAlign w:val="center"/>
          </w:tcPr>
          <w:p w14:paraId="2097AB0E"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Fanatsarana ny tontolo voajanahary</w:t>
            </w:r>
            <w:r w:rsidRPr="007C5E06">
              <w:rPr>
                <w:rFonts w:ascii="Arial" w:eastAsia="Times New Roman" w:hAnsi="Arial" w:cs="Arial"/>
                <w:color w:val="000000"/>
                <w:sz w:val="18"/>
                <w:szCs w:val="18"/>
                <w:lang w:eastAsia="fr-FR"/>
              </w:rPr>
              <w:t xml:space="preserve"> </w:t>
            </w:r>
          </w:p>
        </w:tc>
        <w:tc>
          <w:tcPr>
            <w:tcW w:w="4466" w:type="dxa"/>
            <w:tcBorders>
              <w:top w:val="single" w:sz="8" w:space="0" w:color="auto"/>
              <w:left w:val="nil"/>
              <w:bottom w:val="single" w:sz="8" w:space="0" w:color="auto"/>
              <w:right w:val="single" w:sz="8" w:space="0" w:color="auto"/>
            </w:tcBorders>
            <w:shd w:val="clear" w:color="auto" w:fill="auto"/>
            <w:vAlign w:val="center"/>
          </w:tcPr>
          <w:p w14:paraId="758A0AA8"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 xml:space="preserve">Fanatsarana ny tontolo iainana amin’ny alalan’ny fambolen-kazo indray ny toerana </w:t>
            </w:r>
          </w:p>
        </w:tc>
      </w:tr>
      <w:tr w:rsidR="00B76189" w:rsidRPr="00160FB0" w14:paraId="3F12DAEF" w14:textId="77777777" w:rsidTr="003710EB">
        <w:trPr>
          <w:trHeight w:val="48"/>
        </w:trPr>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14:paraId="4856B5D2"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Asa</w:t>
            </w:r>
          </w:p>
        </w:tc>
        <w:tc>
          <w:tcPr>
            <w:tcW w:w="3413" w:type="dxa"/>
            <w:tcBorders>
              <w:top w:val="single" w:sz="8" w:space="0" w:color="auto"/>
              <w:left w:val="nil"/>
              <w:bottom w:val="single" w:sz="8" w:space="0" w:color="auto"/>
              <w:right w:val="single" w:sz="8" w:space="0" w:color="auto"/>
            </w:tcBorders>
            <w:shd w:val="clear" w:color="auto" w:fill="auto"/>
            <w:vAlign w:val="center"/>
          </w:tcPr>
          <w:p w14:paraId="418A2795"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Famoronan’asa asa vonjimaika ho an'ny mponina eo an-toerana</w:t>
            </w:r>
          </w:p>
        </w:tc>
        <w:tc>
          <w:tcPr>
            <w:tcW w:w="4466" w:type="dxa"/>
            <w:tcBorders>
              <w:top w:val="single" w:sz="8" w:space="0" w:color="auto"/>
              <w:left w:val="nil"/>
              <w:bottom w:val="single" w:sz="8" w:space="0" w:color="auto"/>
              <w:right w:val="single" w:sz="8" w:space="0" w:color="auto"/>
            </w:tcBorders>
            <w:shd w:val="clear" w:color="auto" w:fill="auto"/>
            <w:vAlign w:val="center"/>
          </w:tcPr>
          <w:p w14:paraId="6C1D675A"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Famporisihana ny fandraisana mpiasa eo an-toerana manome vahana ny fifandanjana ny lahy sy ny vavy</w:t>
            </w:r>
          </w:p>
        </w:tc>
      </w:tr>
    </w:tbl>
    <w:p w14:paraId="5165EAC0" w14:textId="77777777" w:rsidR="00B76189" w:rsidRPr="00505129" w:rsidRDefault="00B76189" w:rsidP="00B76189">
      <w:pPr>
        <w:spacing w:after="120" w:line="240" w:lineRule="auto"/>
        <w:jc w:val="both"/>
        <w:rPr>
          <w:rFonts w:ascii="Arial" w:hAnsi="Arial" w:cs="Arial"/>
          <w:lang w:val="en-US"/>
        </w:rPr>
      </w:pPr>
    </w:p>
    <w:p w14:paraId="4DEB9F1E" w14:textId="77777777" w:rsidR="00B76189" w:rsidRPr="00F0092A" w:rsidRDefault="00B76189" w:rsidP="0044500E">
      <w:pPr>
        <w:pStyle w:val="Paragraphedeliste"/>
        <w:numPr>
          <w:ilvl w:val="0"/>
          <w:numId w:val="185"/>
        </w:numPr>
        <w:spacing w:after="120" w:line="240" w:lineRule="auto"/>
        <w:jc w:val="both"/>
        <w:rPr>
          <w:rFonts w:ascii="Arial" w:hAnsi="Arial" w:cs="Arial"/>
          <w:b/>
          <w:color w:val="auto"/>
          <w:lang w:val="en-US"/>
        </w:rPr>
      </w:pPr>
      <w:r w:rsidRPr="00F0092A">
        <w:rPr>
          <w:rFonts w:ascii="Arial" w:hAnsi="Arial" w:cs="Arial"/>
          <w:b/>
          <w:color w:val="auto"/>
          <w:lang w:val="en-US"/>
        </w:rPr>
        <w:t>FIANTRAIKANY RATSY SY FEPETRA FIALANA NA FANAMAIVANANA</w:t>
      </w:r>
    </w:p>
    <w:tbl>
      <w:tblPr>
        <w:tblW w:w="8931" w:type="dxa"/>
        <w:tblInd w:w="-10" w:type="dxa"/>
        <w:tblCellMar>
          <w:left w:w="70" w:type="dxa"/>
          <w:right w:w="70" w:type="dxa"/>
        </w:tblCellMar>
        <w:tblLook w:val="04A0" w:firstRow="1" w:lastRow="0" w:firstColumn="1" w:lastColumn="0" w:noHBand="0" w:noVBand="1"/>
      </w:tblPr>
      <w:tblGrid>
        <w:gridCol w:w="3686"/>
        <w:gridCol w:w="5245"/>
      </w:tblGrid>
      <w:tr w:rsidR="00B76189" w:rsidRPr="007C5E06" w14:paraId="48A404DC" w14:textId="77777777" w:rsidTr="003710EB">
        <w:trPr>
          <w:trHeight w:val="300"/>
          <w:tblHeader/>
        </w:trPr>
        <w:tc>
          <w:tcPr>
            <w:tcW w:w="3686" w:type="dxa"/>
            <w:tcBorders>
              <w:top w:val="single" w:sz="8" w:space="0" w:color="auto"/>
              <w:left w:val="single" w:sz="8" w:space="0" w:color="auto"/>
              <w:bottom w:val="single" w:sz="8" w:space="0" w:color="auto"/>
              <w:right w:val="single" w:sz="8" w:space="0" w:color="auto"/>
            </w:tcBorders>
            <w:shd w:val="clear" w:color="000000" w:fill="8EAADB"/>
            <w:noWrap/>
            <w:vAlign w:val="center"/>
            <w:hideMark/>
          </w:tcPr>
          <w:p w14:paraId="634413CB" w14:textId="77777777" w:rsidR="00B76189" w:rsidRPr="007C5E06" w:rsidRDefault="00B76189" w:rsidP="003710EB">
            <w:pPr>
              <w:spacing w:after="0" w:line="240" w:lineRule="auto"/>
              <w:jc w:val="center"/>
              <w:rPr>
                <w:rFonts w:ascii="Arial" w:eastAsia="Times New Roman" w:hAnsi="Arial" w:cs="Arial"/>
                <w:b/>
                <w:bCs/>
                <w:color w:val="000000"/>
                <w:sz w:val="18"/>
                <w:szCs w:val="18"/>
                <w:lang w:eastAsia="fr-FR"/>
              </w:rPr>
            </w:pPr>
            <w:r w:rsidRPr="007C5E06">
              <w:rPr>
                <w:rFonts w:ascii="Arial" w:eastAsia="Times New Roman" w:hAnsi="Arial" w:cs="Arial"/>
                <w:b/>
                <w:bCs/>
                <w:color w:val="000000"/>
                <w:sz w:val="18"/>
                <w:szCs w:val="18"/>
                <w:lang w:eastAsia="fr-FR"/>
              </w:rPr>
              <w:t>Fiantraikany</w:t>
            </w:r>
          </w:p>
        </w:tc>
        <w:tc>
          <w:tcPr>
            <w:tcW w:w="5245" w:type="dxa"/>
            <w:tcBorders>
              <w:top w:val="single" w:sz="8" w:space="0" w:color="auto"/>
              <w:left w:val="nil"/>
              <w:bottom w:val="single" w:sz="8" w:space="0" w:color="auto"/>
              <w:right w:val="single" w:sz="8" w:space="0" w:color="auto"/>
            </w:tcBorders>
            <w:shd w:val="clear" w:color="000000" w:fill="8EAADB"/>
            <w:noWrap/>
            <w:vAlign w:val="center"/>
            <w:hideMark/>
          </w:tcPr>
          <w:p w14:paraId="45B8410A" w14:textId="77777777" w:rsidR="00B76189" w:rsidRPr="007C5E06" w:rsidRDefault="00B76189" w:rsidP="003710EB">
            <w:pPr>
              <w:spacing w:after="0" w:line="240" w:lineRule="auto"/>
              <w:jc w:val="center"/>
              <w:rPr>
                <w:rFonts w:ascii="Arial" w:eastAsia="Times New Roman" w:hAnsi="Arial" w:cs="Arial"/>
                <w:b/>
                <w:bCs/>
                <w:color w:val="000000"/>
                <w:sz w:val="18"/>
                <w:szCs w:val="18"/>
                <w:lang w:eastAsia="fr-FR"/>
              </w:rPr>
            </w:pPr>
            <w:r w:rsidRPr="007C5E06">
              <w:rPr>
                <w:rFonts w:ascii="Arial" w:eastAsia="Times New Roman" w:hAnsi="Arial" w:cs="Arial"/>
                <w:b/>
                <w:bCs/>
                <w:color w:val="000000"/>
                <w:sz w:val="18"/>
                <w:szCs w:val="18"/>
                <w:lang w:eastAsia="fr-FR"/>
              </w:rPr>
              <w:t>Fepetra fisorohana na fanalefahana</w:t>
            </w:r>
          </w:p>
        </w:tc>
      </w:tr>
      <w:tr w:rsidR="00B76189" w:rsidRPr="007C5E06" w14:paraId="619ED1E2" w14:textId="77777777" w:rsidTr="003710EB">
        <w:trPr>
          <w:trHeight w:val="300"/>
        </w:trPr>
        <w:tc>
          <w:tcPr>
            <w:tcW w:w="8931" w:type="dxa"/>
            <w:gridSpan w:val="2"/>
            <w:tcBorders>
              <w:top w:val="single" w:sz="8" w:space="0" w:color="auto"/>
              <w:left w:val="single" w:sz="8" w:space="0" w:color="auto"/>
              <w:bottom w:val="single" w:sz="8" w:space="0" w:color="auto"/>
              <w:right w:val="single" w:sz="8" w:space="0" w:color="000000"/>
            </w:tcBorders>
            <w:shd w:val="clear" w:color="000000" w:fill="00B0F0"/>
            <w:noWrap/>
            <w:vAlign w:val="center"/>
            <w:hideMark/>
          </w:tcPr>
          <w:p w14:paraId="575B38CC" w14:textId="77777777" w:rsidR="00B76189" w:rsidRPr="007C5E06" w:rsidRDefault="00B76189" w:rsidP="003710EB">
            <w:pPr>
              <w:spacing w:after="0" w:line="240" w:lineRule="auto"/>
              <w:jc w:val="center"/>
              <w:rPr>
                <w:rFonts w:ascii="Arial" w:eastAsia="Times New Roman" w:hAnsi="Arial" w:cs="Arial"/>
                <w:b/>
                <w:bCs/>
                <w:color w:val="000000"/>
                <w:sz w:val="18"/>
                <w:szCs w:val="18"/>
                <w:lang w:eastAsia="fr-FR"/>
              </w:rPr>
            </w:pPr>
            <w:r w:rsidRPr="007C5E06">
              <w:rPr>
                <w:rFonts w:ascii="Arial" w:eastAsia="Times New Roman" w:hAnsi="Arial" w:cs="Arial"/>
                <w:b/>
                <w:bCs/>
                <w:color w:val="000000"/>
                <w:sz w:val="18"/>
                <w:szCs w:val="18"/>
                <w:lang w:eastAsia="fr-FR"/>
              </w:rPr>
              <w:t>Dingana fanomanana sy fanorenana</w:t>
            </w:r>
          </w:p>
        </w:tc>
      </w:tr>
      <w:tr w:rsidR="00B76189" w:rsidRPr="007C5E06" w14:paraId="12182D10" w14:textId="77777777" w:rsidTr="003710EB">
        <w:trPr>
          <w:trHeight w:val="288"/>
        </w:trPr>
        <w:tc>
          <w:tcPr>
            <w:tcW w:w="36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E6BAE6"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Fandotoana ny rivotra avy amin'ny alàlan'ny fanaingana vovoka noho ny fandalovan'ny fiara sy famoahana etona avy amin'ny fiara.</w:t>
            </w:r>
          </w:p>
        </w:tc>
        <w:tc>
          <w:tcPr>
            <w:tcW w:w="5245" w:type="dxa"/>
            <w:tcBorders>
              <w:top w:val="nil"/>
              <w:left w:val="nil"/>
              <w:bottom w:val="nil"/>
              <w:right w:val="single" w:sz="8" w:space="0" w:color="auto"/>
            </w:tcBorders>
            <w:shd w:val="clear" w:color="auto" w:fill="auto"/>
            <w:noWrap/>
            <w:vAlign w:val="center"/>
            <w:hideMark/>
          </w:tcPr>
          <w:p w14:paraId="429CBD55"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Fanamandoana ny tany.</w:t>
            </w:r>
          </w:p>
        </w:tc>
      </w:tr>
      <w:tr w:rsidR="00B76189" w:rsidRPr="007C5E06" w14:paraId="11DC37B5" w14:textId="77777777" w:rsidTr="003710EB">
        <w:trPr>
          <w:trHeight w:val="288"/>
        </w:trPr>
        <w:tc>
          <w:tcPr>
            <w:tcW w:w="3686" w:type="dxa"/>
            <w:vMerge/>
            <w:tcBorders>
              <w:top w:val="nil"/>
              <w:left w:val="single" w:sz="8" w:space="0" w:color="auto"/>
              <w:bottom w:val="single" w:sz="8" w:space="0" w:color="000000"/>
              <w:right w:val="single" w:sz="8" w:space="0" w:color="auto"/>
            </w:tcBorders>
            <w:vAlign w:val="center"/>
            <w:hideMark/>
          </w:tcPr>
          <w:p w14:paraId="448587B8" w14:textId="77777777" w:rsidR="00B76189" w:rsidRPr="007C5E06" w:rsidRDefault="00B76189" w:rsidP="003710EB">
            <w:pPr>
              <w:spacing w:after="0" w:line="240" w:lineRule="auto"/>
              <w:rPr>
                <w:rFonts w:ascii="Arial" w:eastAsia="Times New Roman" w:hAnsi="Arial" w:cs="Arial"/>
                <w:color w:val="000000"/>
                <w:sz w:val="18"/>
                <w:szCs w:val="18"/>
                <w:lang w:eastAsia="fr-FR"/>
              </w:rPr>
            </w:pPr>
          </w:p>
        </w:tc>
        <w:tc>
          <w:tcPr>
            <w:tcW w:w="5245" w:type="dxa"/>
            <w:tcBorders>
              <w:top w:val="nil"/>
              <w:left w:val="nil"/>
              <w:bottom w:val="nil"/>
              <w:right w:val="single" w:sz="8" w:space="0" w:color="auto"/>
            </w:tcBorders>
            <w:shd w:val="clear" w:color="auto" w:fill="auto"/>
            <w:noWrap/>
            <w:vAlign w:val="center"/>
            <w:hideMark/>
          </w:tcPr>
          <w:p w14:paraId="51B46D91"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 xml:space="preserve">Fampiasana fiara tsara. </w:t>
            </w:r>
          </w:p>
        </w:tc>
      </w:tr>
      <w:tr w:rsidR="00B76189" w:rsidRPr="007C5E06" w14:paraId="275FDAC2" w14:textId="77777777" w:rsidTr="003710EB">
        <w:trPr>
          <w:trHeight w:val="300"/>
        </w:trPr>
        <w:tc>
          <w:tcPr>
            <w:tcW w:w="3686" w:type="dxa"/>
            <w:vMerge/>
            <w:tcBorders>
              <w:top w:val="nil"/>
              <w:left w:val="single" w:sz="8" w:space="0" w:color="auto"/>
              <w:bottom w:val="single" w:sz="8" w:space="0" w:color="000000"/>
              <w:right w:val="single" w:sz="8" w:space="0" w:color="auto"/>
            </w:tcBorders>
            <w:vAlign w:val="center"/>
            <w:hideMark/>
          </w:tcPr>
          <w:p w14:paraId="4851E109" w14:textId="77777777" w:rsidR="00B76189" w:rsidRPr="007C5E06" w:rsidRDefault="00B76189" w:rsidP="003710EB">
            <w:pPr>
              <w:spacing w:after="0" w:line="240" w:lineRule="auto"/>
              <w:rPr>
                <w:rFonts w:ascii="Arial" w:eastAsia="Times New Roman" w:hAnsi="Arial" w:cs="Arial"/>
                <w:color w:val="000000"/>
                <w:sz w:val="18"/>
                <w:szCs w:val="18"/>
                <w:lang w:eastAsia="fr-FR"/>
              </w:rPr>
            </w:pPr>
          </w:p>
        </w:tc>
        <w:tc>
          <w:tcPr>
            <w:tcW w:w="5245" w:type="dxa"/>
            <w:tcBorders>
              <w:top w:val="nil"/>
              <w:left w:val="nil"/>
              <w:bottom w:val="single" w:sz="8" w:space="0" w:color="auto"/>
              <w:right w:val="single" w:sz="8" w:space="0" w:color="auto"/>
            </w:tcBorders>
            <w:shd w:val="clear" w:color="auto" w:fill="auto"/>
            <w:noWrap/>
            <w:vAlign w:val="center"/>
            <w:hideMark/>
          </w:tcPr>
          <w:p w14:paraId="0832FEA6"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Fikarakarana fiara tsy tapaka</w:t>
            </w:r>
          </w:p>
        </w:tc>
      </w:tr>
      <w:tr w:rsidR="00B76189" w:rsidRPr="007C5E06" w14:paraId="07E8CF25" w14:textId="77777777" w:rsidTr="003710EB">
        <w:trPr>
          <w:trHeight w:val="468"/>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2357FDA6"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Ny mety hisian'ny fikaohan’ny riaka</w:t>
            </w:r>
          </w:p>
        </w:tc>
        <w:tc>
          <w:tcPr>
            <w:tcW w:w="5245" w:type="dxa"/>
            <w:tcBorders>
              <w:top w:val="nil"/>
              <w:left w:val="nil"/>
              <w:bottom w:val="single" w:sz="8" w:space="0" w:color="auto"/>
              <w:right w:val="single" w:sz="8" w:space="0" w:color="auto"/>
            </w:tcBorders>
            <w:shd w:val="clear" w:color="auto" w:fill="auto"/>
            <w:noWrap/>
            <w:vAlign w:val="center"/>
            <w:hideMark/>
          </w:tcPr>
          <w:p w14:paraId="01AA937D"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Fanatanterahana ny asa mandritra ny vanim-potoana maina</w:t>
            </w:r>
          </w:p>
        </w:tc>
      </w:tr>
      <w:tr w:rsidR="00B76189" w:rsidRPr="00160FB0" w14:paraId="2D89AB19" w14:textId="77777777" w:rsidTr="003710EB">
        <w:trPr>
          <w:trHeight w:val="696"/>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095F82C8"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Fandotoana ny rano avy amin'ny alàlan'ny singa mandoto</w:t>
            </w:r>
          </w:p>
        </w:tc>
        <w:tc>
          <w:tcPr>
            <w:tcW w:w="5245" w:type="dxa"/>
            <w:tcBorders>
              <w:top w:val="nil"/>
              <w:left w:val="nil"/>
              <w:bottom w:val="single" w:sz="8" w:space="0" w:color="auto"/>
              <w:right w:val="single" w:sz="8" w:space="0" w:color="auto"/>
            </w:tcBorders>
            <w:shd w:val="clear" w:color="auto" w:fill="auto"/>
            <w:noWrap/>
            <w:vAlign w:val="center"/>
            <w:hideMark/>
          </w:tcPr>
          <w:p w14:paraId="3028EFF1"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Fametrahana fomba fanangonana sy fanasokajiana fako.</w:t>
            </w:r>
          </w:p>
        </w:tc>
      </w:tr>
      <w:tr w:rsidR="00B76189" w:rsidRPr="00160FB0" w14:paraId="7CD2C61B" w14:textId="77777777" w:rsidTr="003710EB">
        <w:trPr>
          <w:trHeight w:val="696"/>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1575BA06"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Fanapahana tsy ara-dalàna ho an'ny filana kitay</w:t>
            </w:r>
          </w:p>
        </w:tc>
        <w:tc>
          <w:tcPr>
            <w:tcW w:w="5245" w:type="dxa"/>
            <w:tcBorders>
              <w:top w:val="nil"/>
              <w:left w:val="nil"/>
              <w:bottom w:val="single" w:sz="8" w:space="0" w:color="auto"/>
              <w:right w:val="single" w:sz="8" w:space="0" w:color="auto"/>
            </w:tcBorders>
            <w:shd w:val="clear" w:color="auto" w:fill="auto"/>
            <w:noWrap/>
            <w:vAlign w:val="center"/>
            <w:hideMark/>
          </w:tcPr>
          <w:p w14:paraId="606E26C9"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Fandrarana ny fanapahana hazo manodidina. Famatsiana avy amin'ny mpamatsy manana fankatoavana</w:t>
            </w:r>
          </w:p>
        </w:tc>
      </w:tr>
      <w:tr w:rsidR="00B76189" w:rsidRPr="00160FB0" w14:paraId="07FFDBE0" w14:textId="77777777" w:rsidTr="003710EB">
        <w:trPr>
          <w:trHeight w:hRule="exact" w:val="1140"/>
        </w:trPr>
        <w:tc>
          <w:tcPr>
            <w:tcW w:w="36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06F8E3"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Disadisa noho ny fisian'ny mpiasa avy any ivelany</w:t>
            </w:r>
          </w:p>
        </w:tc>
        <w:tc>
          <w:tcPr>
            <w:tcW w:w="5245" w:type="dxa"/>
            <w:tcBorders>
              <w:top w:val="nil"/>
              <w:left w:val="nil"/>
              <w:bottom w:val="nil"/>
              <w:right w:val="single" w:sz="8" w:space="0" w:color="auto"/>
            </w:tcBorders>
            <w:shd w:val="clear" w:color="auto" w:fill="auto"/>
            <w:noWrap/>
            <w:vAlign w:val="center"/>
            <w:hideMark/>
          </w:tcPr>
          <w:p w14:paraId="4F86F8B3"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Fametahana peta-drindrina ny tolotr’asa eny anivon’ny Fokontany sy Kaominina voakasika. Famantarana mialoha ny toerana ara-pivavahana na ara-kolontsaina ao amin'ny faritry ny tetikasa</w:t>
            </w:r>
          </w:p>
        </w:tc>
      </w:tr>
      <w:tr w:rsidR="00B76189" w:rsidRPr="00160FB0" w14:paraId="6F77B22F" w14:textId="77777777" w:rsidTr="003710EB">
        <w:trPr>
          <w:trHeight w:val="696"/>
        </w:trPr>
        <w:tc>
          <w:tcPr>
            <w:tcW w:w="3686" w:type="dxa"/>
            <w:vMerge/>
            <w:tcBorders>
              <w:top w:val="nil"/>
              <w:left w:val="single" w:sz="8" w:space="0" w:color="auto"/>
              <w:bottom w:val="single" w:sz="8" w:space="0" w:color="000000"/>
              <w:right w:val="single" w:sz="8" w:space="0" w:color="auto"/>
            </w:tcBorders>
            <w:vAlign w:val="center"/>
            <w:hideMark/>
          </w:tcPr>
          <w:p w14:paraId="7DA2C29D" w14:textId="77777777" w:rsidR="00B76189" w:rsidRPr="00505129" w:rsidRDefault="00B76189" w:rsidP="003710EB">
            <w:pPr>
              <w:spacing w:after="0" w:line="240" w:lineRule="auto"/>
              <w:rPr>
                <w:rFonts w:ascii="Arial" w:eastAsia="Times New Roman" w:hAnsi="Arial" w:cs="Arial"/>
                <w:color w:val="000000"/>
                <w:sz w:val="18"/>
                <w:szCs w:val="18"/>
                <w:lang w:val="en-US" w:eastAsia="fr-FR"/>
              </w:rPr>
            </w:pPr>
          </w:p>
        </w:tc>
        <w:tc>
          <w:tcPr>
            <w:tcW w:w="5245" w:type="dxa"/>
            <w:tcBorders>
              <w:top w:val="nil"/>
              <w:left w:val="nil"/>
              <w:bottom w:val="single" w:sz="8" w:space="0" w:color="auto"/>
              <w:right w:val="single" w:sz="8" w:space="0" w:color="auto"/>
            </w:tcBorders>
            <w:shd w:val="clear" w:color="auto" w:fill="auto"/>
            <w:noWrap/>
            <w:vAlign w:val="center"/>
            <w:hideMark/>
          </w:tcPr>
          <w:p w14:paraId="6811019C"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Fampahafantarana/fanentanana ny mpiasa Fanaovana ho laharam-pahamehana ny fandraisana ny mpiasa eo an-toerana</w:t>
            </w:r>
          </w:p>
        </w:tc>
      </w:tr>
      <w:tr w:rsidR="00B76189" w:rsidRPr="00160FB0" w14:paraId="0CFFD117" w14:textId="77777777" w:rsidTr="003710EB">
        <w:trPr>
          <w:trHeight w:val="456"/>
        </w:trPr>
        <w:tc>
          <w:tcPr>
            <w:tcW w:w="36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FBA038"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Fahasimbana/fahaverezana fananana (tany, sns.)</w:t>
            </w:r>
          </w:p>
        </w:tc>
        <w:tc>
          <w:tcPr>
            <w:tcW w:w="5245" w:type="dxa"/>
            <w:tcBorders>
              <w:top w:val="nil"/>
              <w:left w:val="nil"/>
              <w:bottom w:val="nil"/>
              <w:right w:val="single" w:sz="8" w:space="0" w:color="auto"/>
            </w:tcBorders>
            <w:shd w:val="clear" w:color="auto" w:fill="auto"/>
            <w:noWrap/>
            <w:vAlign w:val="center"/>
            <w:hideMark/>
          </w:tcPr>
          <w:p w14:paraId="193E7AF5"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Famerana amin'izay tena ilaina ny faritra voakasiky ny tetikasa</w:t>
            </w:r>
          </w:p>
        </w:tc>
      </w:tr>
      <w:tr w:rsidR="00B76189" w:rsidRPr="00160FB0" w14:paraId="0AC729C4" w14:textId="77777777" w:rsidTr="003710EB">
        <w:trPr>
          <w:trHeight w:val="468"/>
        </w:trPr>
        <w:tc>
          <w:tcPr>
            <w:tcW w:w="3686" w:type="dxa"/>
            <w:vMerge/>
            <w:tcBorders>
              <w:top w:val="nil"/>
              <w:left w:val="single" w:sz="8" w:space="0" w:color="auto"/>
              <w:bottom w:val="single" w:sz="8" w:space="0" w:color="000000"/>
              <w:right w:val="single" w:sz="8" w:space="0" w:color="auto"/>
            </w:tcBorders>
            <w:vAlign w:val="center"/>
            <w:hideMark/>
          </w:tcPr>
          <w:p w14:paraId="4D0508CA" w14:textId="77777777" w:rsidR="00B76189" w:rsidRPr="00505129" w:rsidRDefault="00B76189" w:rsidP="003710EB">
            <w:pPr>
              <w:spacing w:after="0" w:line="240" w:lineRule="auto"/>
              <w:rPr>
                <w:rFonts w:ascii="Arial" w:eastAsia="Times New Roman" w:hAnsi="Arial" w:cs="Arial"/>
                <w:color w:val="000000"/>
                <w:sz w:val="18"/>
                <w:szCs w:val="18"/>
                <w:lang w:val="en-US" w:eastAsia="fr-FR"/>
              </w:rPr>
            </w:pPr>
          </w:p>
        </w:tc>
        <w:tc>
          <w:tcPr>
            <w:tcW w:w="5245" w:type="dxa"/>
            <w:tcBorders>
              <w:top w:val="nil"/>
              <w:left w:val="nil"/>
              <w:bottom w:val="single" w:sz="8" w:space="0" w:color="auto"/>
              <w:right w:val="single" w:sz="8" w:space="0" w:color="auto"/>
            </w:tcBorders>
            <w:shd w:val="clear" w:color="auto" w:fill="auto"/>
            <w:noWrap/>
            <w:vAlign w:val="center"/>
            <w:hideMark/>
          </w:tcPr>
          <w:p w14:paraId="552F1861"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Fampiharana ny rafitra fanonerana ny fanonerana ny fananana sy ny asan'ny PAP</w:t>
            </w:r>
          </w:p>
        </w:tc>
      </w:tr>
      <w:tr w:rsidR="00B76189" w:rsidRPr="007C5E06" w14:paraId="6121CABB" w14:textId="77777777" w:rsidTr="003710EB">
        <w:trPr>
          <w:trHeight w:val="468"/>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159A0698"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Tabataba sy hovitrovitra mandritra ny fitaterana</w:t>
            </w:r>
          </w:p>
        </w:tc>
        <w:tc>
          <w:tcPr>
            <w:tcW w:w="5245" w:type="dxa"/>
            <w:tcBorders>
              <w:top w:val="nil"/>
              <w:left w:val="nil"/>
              <w:bottom w:val="single" w:sz="8" w:space="0" w:color="auto"/>
              <w:right w:val="single" w:sz="8" w:space="0" w:color="auto"/>
            </w:tcBorders>
            <w:shd w:val="clear" w:color="auto" w:fill="auto"/>
            <w:noWrap/>
            <w:vAlign w:val="center"/>
            <w:hideMark/>
          </w:tcPr>
          <w:p w14:paraId="50FBA625"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Fanatanterahan ny asa mety hanelingelina mandritra ny andro</w:t>
            </w:r>
          </w:p>
        </w:tc>
      </w:tr>
      <w:tr w:rsidR="00B76189" w:rsidRPr="00160FB0" w14:paraId="3C8C0B79" w14:textId="77777777" w:rsidTr="003710EB">
        <w:trPr>
          <w:trHeight w:hRule="exact" w:val="684"/>
        </w:trPr>
        <w:tc>
          <w:tcPr>
            <w:tcW w:w="36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86B5A59"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Mety fiparitahan’ny aretina mifindra (IST/HIV SIDA, COVID 19)</w:t>
            </w:r>
          </w:p>
        </w:tc>
        <w:tc>
          <w:tcPr>
            <w:tcW w:w="5245" w:type="dxa"/>
            <w:tcBorders>
              <w:top w:val="nil"/>
              <w:left w:val="nil"/>
              <w:bottom w:val="nil"/>
              <w:right w:val="single" w:sz="8" w:space="0" w:color="auto"/>
            </w:tcBorders>
            <w:shd w:val="clear" w:color="auto" w:fill="auto"/>
            <w:noWrap/>
            <w:vAlign w:val="center"/>
            <w:hideMark/>
          </w:tcPr>
          <w:p w14:paraId="7975F02E"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Fametrahana kapaoty maimaim-poana sy tsy tapaka ho an'ny mpiasa mandra-pahatapitry ny asa.</w:t>
            </w:r>
          </w:p>
        </w:tc>
      </w:tr>
      <w:tr w:rsidR="00B76189" w:rsidRPr="00160FB0" w14:paraId="78D56482" w14:textId="77777777" w:rsidTr="003710EB">
        <w:trPr>
          <w:trHeight w:val="1608"/>
        </w:trPr>
        <w:tc>
          <w:tcPr>
            <w:tcW w:w="3686" w:type="dxa"/>
            <w:vMerge/>
            <w:tcBorders>
              <w:top w:val="nil"/>
              <w:left w:val="single" w:sz="8" w:space="0" w:color="auto"/>
              <w:bottom w:val="single" w:sz="8" w:space="0" w:color="000000"/>
              <w:right w:val="single" w:sz="8" w:space="0" w:color="auto"/>
            </w:tcBorders>
            <w:vAlign w:val="center"/>
            <w:hideMark/>
          </w:tcPr>
          <w:p w14:paraId="63A0F70C" w14:textId="77777777" w:rsidR="00B76189" w:rsidRPr="00505129" w:rsidRDefault="00B76189" w:rsidP="003710EB">
            <w:pPr>
              <w:spacing w:after="0" w:line="240" w:lineRule="auto"/>
              <w:rPr>
                <w:rFonts w:ascii="Arial" w:eastAsia="Times New Roman" w:hAnsi="Arial" w:cs="Arial"/>
                <w:color w:val="000000"/>
                <w:sz w:val="18"/>
                <w:szCs w:val="18"/>
                <w:lang w:val="en-US" w:eastAsia="fr-FR"/>
              </w:rPr>
            </w:pPr>
          </w:p>
        </w:tc>
        <w:tc>
          <w:tcPr>
            <w:tcW w:w="5245" w:type="dxa"/>
            <w:tcBorders>
              <w:top w:val="nil"/>
              <w:left w:val="nil"/>
              <w:bottom w:val="single" w:sz="8" w:space="0" w:color="auto"/>
              <w:right w:val="single" w:sz="8" w:space="0" w:color="auto"/>
            </w:tcBorders>
            <w:shd w:val="clear" w:color="auto" w:fill="auto"/>
            <w:noWrap/>
            <w:vAlign w:val="center"/>
            <w:hideMark/>
          </w:tcPr>
          <w:p w14:paraId="31327C40"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Fampahafantarana / Fanentanana ny mpiasan'ny orinasa momba ny loza ateraky ny IST/SIDA. Fampahafantarana / fanentanana momba ny fomba amam-panao eo an-toerana. Fametrahana boky firaketana ny fitarainana eo anivon'ny manampahefana eo an-toerana</w:t>
            </w:r>
          </w:p>
        </w:tc>
      </w:tr>
      <w:tr w:rsidR="00B76189" w:rsidRPr="00160FB0" w14:paraId="7046A248" w14:textId="77777777" w:rsidTr="003710EB">
        <w:trPr>
          <w:trHeight w:val="1152"/>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2D7DD773"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Fitomboan'ny tranga VBG, EAS/HS ary ny fitondrana vohoka tsy niriana</w:t>
            </w:r>
          </w:p>
        </w:tc>
        <w:tc>
          <w:tcPr>
            <w:tcW w:w="5245" w:type="dxa"/>
            <w:tcBorders>
              <w:top w:val="nil"/>
              <w:left w:val="nil"/>
              <w:bottom w:val="single" w:sz="8" w:space="0" w:color="auto"/>
              <w:right w:val="single" w:sz="8" w:space="0" w:color="auto"/>
            </w:tcBorders>
            <w:shd w:val="clear" w:color="auto" w:fill="auto"/>
            <w:noWrap/>
            <w:vAlign w:val="center"/>
            <w:hideMark/>
          </w:tcPr>
          <w:p w14:paraId="4FBF12F2"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Fampahafantarana / fanentanana ny mpiasan'ny orinasa momba ny fomba amam-panao eo an-toerana. Fametrahana boky firaketana ny fitarainana eo anivon'ny manampahefana eo an-toerana</w:t>
            </w:r>
          </w:p>
        </w:tc>
      </w:tr>
      <w:tr w:rsidR="00B76189" w:rsidRPr="007C5E06" w14:paraId="19F04B71" w14:textId="77777777" w:rsidTr="003710EB">
        <w:trPr>
          <w:trHeight w:val="684"/>
        </w:trPr>
        <w:tc>
          <w:tcPr>
            <w:tcW w:w="36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CC9239"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Ny lozam-pifamoivoizana</w:t>
            </w:r>
          </w:p>
        </w:tc>
        <w:tc>
          <w:tcPr>
            <w:tcW w:w="5245" w:type="dxa"/>
            <w:tcBorders>
              <w:top w:val="nil"/>
              <w:left w:val="nil"/>
              <w:bottom w:val="nil"/>
              <w:right w:val="single" w:sz="8" w:space="0" w:color="auto"/>
            </w:tcBorders>
            <w:shd w:val="clear" w:color="auto" w:fill="auto"/>
            <w:noWrap/>
            <w:vAlign w:val="center"/>
            <w:hideMark/>
          </w:tcPr>
          <w:p w14:paraId="23128E78"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 xml:space="preserve">Fanofanana/fanentanana momba ny loza ateraky ny loza mifandray amin'ny asa tsirairay </w:t>
            </w:r>
          </w:p>
        </w:tc>
      </w:tr>
      <w:tr w:rsidR="00B76189" w:rsidRPr="00160FB0" w14:paraId="6C01462F" w14:textId="77777777" w:rsidTr="003710EB">
        <w:trPr>
          <w:trHeight w:val="924"/>
        </w:trPr>
        <w:tc>
          <w:tcPr>
            <w:tcW w:w="3686" w:type="dxa"/>
            <w:vMerge/>
            <w:tcBorders>
              <w:top w:val="nil"/>
              <w:left w:val="single" w:sz="8" w:space="0" w:color="auto"/>
              <w:bottom w:val="single" w:sz="8" w:space="0" w:color="000000"/>
              <w:right w:val="single" w:sz="8" w:space="0" w:color="auto"/>
            </w:tcBorders>
            <w:vAlign w:val="center"/>
            <w:hideMark/>
          </w:tcPr>
          <w:p w14:paraId="328AEA38" w14:textId="77777777" w:rsidR="00B76189" w:rsidRPr="007C5E06" w:rsidRDefault="00B76189" w:rsidP="003710EB">
            <w:pPr>
              <w:spacing w:after="0" w:line="240" w:lineRule="auto"/>
              <w:rPr>
                <w:rFonts w:ascii="Arial" w:eastAsia="Times New Roman" w:hAnsi="Arial" w:cs="Arial"/>
                <w:color w:val="000000"/>
                <w:sz w:val="18"/>
                <w:szCs w:val="18"/>
                <w:lang w:eastAsia="fr-FR"/>
              </w:rPr>
            </w:pPr>
          </w:p>
        </w:tc>
        <w:tc>
          <w:tcPr>
            <w:tcW w:w="5245" w:type="dxa"/>
            <w:tcBorders>
              <w:top w:val="nil"/>
              <w:left w:val="nil"/>
              <w:bottom w:val="single" w:sz="8" w:space="0" w:color="auto"/>
              <w:right w:val="single" w:sz="8" w:space="0" w:color="auto"/>
            </w:tcBorders>
            <w:shd w:val="clear" w:color="auto" w:fill="auto"/>
            <w:noWrap/>
            <w:vAlign w:val="center"/>
            <w:hideMark/>
          </w:tcPr>
          <w:p w14:paraId="16483AB7"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Fanarahana ny toromarika momba ny fampiasana ny fiarabe. Fametrahana famantarana famantarana. Fitondrana EPI mifanaraka amin’ny asa tsirairay</w:t>
            </w:r>
          </w:p>
        </w:tc>
      </w:tr>
      <w:tr w:rsidR="00B76189" w:rsidRPr="00160FB0" w14:paraId="04A63423" w14:textId="77777777" w:rsidTr="003710EB">
        <w:trPr>
          <w:trHeight w:val="684"/>
        </w:trPr>
        <w:tc>
          <w:tcPr>
            <w:tcW w:w="36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EE72C3"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Ny loza mety hitranga amin'ny asa</w:t>
            </w:r>
          </w:p>
        </w:tc>
        <w:tc>
          <w:tcPr>
            <w:tcW w:w="5245" w:type="dxa"/>
            <w:tcBorders>
              <w:top w:val="nil"/>
              <w:left w:val="nil"/>
              <w:bottom w:val="nil"/>
              <w:right w:val="single" w:sz="8" w:space="0" w:color="auto"/>
            </w:tcBorders>
            <w:shd w:val="clear" w:color="auto" w:fill="auto"/>
            <w:noWrap/>
            <w:vAlign w:val="center"/>
            <w:hideMark/>
          </w:tcPr>
          <w:p w14:paraId="61B555B7"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Fampiofanana / fampahafantarana ny loza mety hitranga amin'ny toeram-piasana tsirairay</w:t>
            </w:r>
          </w:p>
        </w:tc>
      </w:tr>
      <w:tr w:rsidR="00B76189" w:rsidRPr="007C5E06" w14:paraId="30B3A2E0" w14:textId="77777777" w:rsidTr="003710EB">
        <w:trPr>
          <w:trHeight w:val="300"/>
        </w:trPr>
        <w:tc>
          <w:tcPr>
            <w:tcW w:w="3686" w:type="dxa"/>
            <w:vMerge/>
            <w:tcBorders>
              <w:top w:val="nil"/>
              <w:left w:val="single" w:sz="8" w:space="0" w:color="auto"/>
              <w:bottom w:val="single" w:sz="8" w:space="0" w:color="000000"/>
              <w:right w:val="single" w:sz="8" w:space="0" w:color="auto"/>
            </w:tcBorders>
            <w:vAlign w:val="center"/>
            <w:hideMark/>
          </w:tcPr>
          <w:p w14:paraId="772AD058" w14:textId="77777777" w:rsidR="00B76189" w:rsidRPr="00505129" w:rsidRDefault="00B76189" w:rsidP="003710EB">
            <w:pPr>
              <w:spacing w:after="0" w:line="240" w:lineRule="auto"/>
              <w:rPr>
                <w:rFonts w:ascii="Arial" w:eastAsia="Times New Roman" w:hAnsi="Arial" w:cs="Arial"/>
                <w:color w:val="000000"/>
                <w:sz w:val="18"/>
                <w:szCs w:val="18"/>
                <w:lang w:val="en-US" w:eastAsia="fr-FR"/>
              </w:rPr>
            </w:pPr>
          </w:p>
        </w:tc>
        <w:tc>
          <w:tcPr>
            <w:tcW w:w="5245" w:type="dxa"/>
            <w:tcBorders>
              <w:top w:val="nil"/>
              <w:left w:val="nil"/>
              <w:bottom w:val="single" w:sz="8" w:space="0" w:color="auto"/>
              <w:right w:val="single" w:sz="8" w:space="0" w:color="auto"/>
            </w:tcBorders>
            <w:shd w:val="clear" w:color="auto" w:fill="auto"/>
            <w:noWrap/>
            <w:vAlign w:val="center"/>
            <w:hideMark/>
          </w:tcPr>
          <w:p w14:paraId="4087B18F"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Fitondrana EPI mifanaraka</w:t>
            </w:r>
          </w:p>
        </w:tc>
      </w:tr>
      <w:tr w:rsidR="00B76189" w:rsidRPr="007C5E06" w14:paraId="1C75D9BE" w14:textId="77777777" w:rsidTr="003710EB">
        <w:trPr>
          <w:trHeight w:val="468"/>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767C42BD"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Ny mety hisian'ny afo sy ny fipoahana</w:t>
            </w:r>
          </w:p>
        </w:tc>
        <w:tc>
          <w:tcPr>
            <w:tcW w:w="5245" w:type="dxa"/>
            <w:tcBorders>
              <w:top w:val="nil"/>
              <w:left w:val="nil"/>
              <w:bottom w:val="single" w:sz="8" w:space="0" w:color="auto"/>
              <w:right w:val="single" w:sz="8" w:space="0" w:color="auto"/>
            </w:tcBorders>
            <w:shd w:val="clear" w:color="auto" w:fill="auto"/>
            <w:noWrap/>
            <w:vAlign w:val="center"/>
            <w:hideMark/>
          </w:tcPr>
          <w:p w14:paraId="181944EC"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Fametrahana fitaovana famonoana afo</w:t>
            </w:r>
          </w:p>
        </w:tc>
      </w:tr>
      <w:tr w:rsidR="00B76189" w:rsidRPr="007C5E06" w14:paraId="598C9850" w14:textId="77777777" w:rsidTr="003710EB">
        <w:trPr>
          <w:trHeight w:val="300"/>
        </w:trPr>
        <w:tc>
          <w:tcPr>
            <w:tcW w:w="8931" w:type="dxa"/>
            <w:gridSpan w:val="2"/>
            <w:tcBorders>
              <w:top w:val="single" w:sz="8" w:space="0" w:color="auto"/>
              <w:left w:val="single" w:sz="8" w:space="0" w:color="auto"/>
              <w:bottom w:val="single" w:sz="8" w:space="0" w:color="auto"/>
              <w:right w:val="single" w:sz="8" w:space="0" w:color="000000"/>
            </w:tcBorders>
            <w:shd w:val="clear" w:color="000000" w:fill="00B0F0"/>
            <w:noWrap/>
            <w:vAlign w:val="center"/>
            <w:hideMark/>
          </w:tcPr>
          <w:p w14:paraId="702F16DA" w14:textId="77777777" w:rsidR="00B76189" w:rsidRPr="007C5E06" w:rsidRDefault="00B76189" w:rsidP="003710EB">
            <w:pPr>
              <w:spacing w:after="0" w:line="240" w:lineRule="auto"/>
              <w:jc w:val="center"/>
              <w:rPr>
                <w:rFonts w:ascii="Arial" w:eastAsia="Times New Roman" w:hAnsi="Arial" w:cs="Arial"/>
                <w:b/>
                <w:bCs/>
                <w:color w:val="000000"/>
                <w:sz w:val="18"/>
                <w:szCs w:val="18"/>
                <w:lang w:eastAsia="fr-FR"/>
              </w:rPr>
            </w:pPr>
            <w:r w:rsidRPr="007C5E06">
              <w:rPr>
                <w:rFonts w:ascii="Arial" w:eastAsia="Times New Roman" w:hAnsi="Arial" w:cs="Arial"/>
                <w:b/>
                <w:bCs/>
                <w:color w:val="000000"/>
                <w:sz w:val="18"/>
                <w:szCs w:val="18"/>
                <w:lang w:eastAsia="fr-FR"/>
              </w:rPr>
              <w:t>Fisintahan’ny fitaovam-piasana</w:t>
            </w:r>
          </w:p>
        </w:tc>
      </w:tr>
      <w:tr w:rsidR="00B76189" w:rsidRPr="007C5E06" w14:paraId="5FA53641" w14:textId="77777777" w:rsidTr="003710EB">
        <w:trPr>
          <w:trHeight w:val="288"/>
        </w:trPr>
        <w:tc>
          <w:tcPr>
            <w:tcW w:w="36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1BC1D4B"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Ny lozam-pifamoivoizana</w:t>
            </w:r>
          </w:p>
        </w:tc>
        <w:tc>
          <w:tcPr>
            <w:tcW w:w="5245" w:type="dxa"/>
            <w:tcBorders>
              <w:top w:val="nil"/>
              <w:left w:val="nil"/>
              <w:bottom w:val="nil"/>
              <w:right w:val="single" w:sz="8" w:space="0" w:color="auto"/>
            </w:tcBorders>
            <w:shd w:val="clear" w:color="auto" w:fill="auto"/>
            <w:noWrap/>
            <w:vAlign w:val="center"/>
            <w:hideMark/>
          </w:tcPr>
          <w:p w14:paraId="28BC6CC3"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Fametrahana lamina ara-pifamoivoizana</w:t>
            </w:r>
          </w:p>
        </w:tc>
      </w:tr>
      <w:tr w:rsidR="00B76189" w:rsidRPr="007C5E06" w14:paraId="668C8F54" w14:textId="77777777" w:rsidTr="003710EB">
        <w:trPr>
          <w:trHeight w:val="300"/>
        </w:trPr>
        <w:tc>
          <w:tcPr>
            <w:tcW w:w="3686" w:type="dxa"/>
            <w:vMerge/>
            <w:tcBorders>
              <w:top w:val="nil"/>
              <w:left w:val="single" w:sz="8" w:space="0" w:color="auto"/>
              <w:bottom w:val="single" w:sz="8" w:space="0" w:color="000000"/>
              <w:right w:val="single" w:sz="8" w:space="0" w:color="auto"/>
            </w:tcBorders>
            <w:vAlign w:val="center"/>
            <w:hideMark/>
          </w:tcPr>
          <w:p w14:paraId="601F3C0B" w14:textId="77777777" w:rsidR="00B76189" w:rsidRPr="007C5E06" w:rsidRDefault="00B76189" w:rsidP="003710EB">
            <w:pPr>
              <w:spacing w:after="0" w:line="240" w:lineRule="auto"/>
              <w:rPr>
                <w:rFonts w:ascii="Arial" w:eastAsia="Times New Roman" w:hAnsi="Arial" w:cs="Arial"/>
                <w:color w:val="000000"/>
                <w:sz w:val="18"/>
                <w:szCs w:val="18"/>
                <w:lang w:eastAsia="fr-FR"/>
              </w:rPr>
            </w:pPr>
          </w:p>
        </w:tc>
        <w:tc>
          <w:tcPr>
            <w:tcW w:w="5245" w:type="dxa"/>
            <w:tcBorders>
              <w:top w:val="nil"/>
              <w:left w:val="nil"/>
              <w:bottom w:val="single" w:sz="8" w:space="0" w:color="auto"/>
              <w:right w:val="single" w:sz="8" w:space="0" w:color="auto"/>
            </w:tcBorders>
            <w:shd w:val="clear" w:color="auto" w:fill="auto"/>
            <w:noWrap/>
            <w:vAlign w:val="center"/>
            <w:hideMark/>
          </w:tcPr>
          <w:p w14:paraId="294F696F"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 xml:space="preserve">Fanarahana ny rafitra napetraka. </w:t>
            </w:r>
          </w:p>
        </w:tc>
      </w:tr>
      <w:tr w:rsidR="00B76189" w:rsidRPr="007C5E06" w14:paraId="381AA6E0" w14:textId="77777777" w:rsidTr="003710EB">
        <w:trPr>
          <w:trHeight w:val="300"/>
        </w:trPr>
        <w:tc>
          <w:tcPr>
            <w:tcW w:w="8931" w:type="dxa"/>
            <w:gridSpan w:val="2"/>
            <w:tcBorders>
              <w:top w:val="single" w:sz="8" w:space="0" w:color="auto"/>
              <w:left w:val="single" w:sz="8" w:space="0" w:color="auto"/>
              <w:bottom w:val="single" w:sz="8" w:space="0" w:color="auto"/>
              <w:right w:val="single" w:sz="8" w:space="0" w:color="000000"/>
            </w:tcBorders>
            <w:shd w:val="clear" w:color="000000" w:fill="00B0F0"/>
            <w:noWrap/>
            <w:vAlign w:val="center"/>
            <w:hideMark/>
          </w:tcPr>
          <w:p w14:paraId="396378B6" w14:textId="77777777" w:rsidR="00B76189" w:rsidRPr="007C5E06" w:rsidRDefault="00B76189" w:rsidP="003710EB">
            <w:pPr>
              <w:spacing w:after="0" w:line="240" w:lineRule="auto"/>
              <w:jc w:val="center"/>
              <w:rPr>
                <w:rFonts w:ascii="Arial" w:eastAsia="Times New Roman" w:hAnsi="Arial" w:cs="Arial"/>
                <w:b/>
                <w:bCs/>
                <w:color w:val="000000"/>
                <w:sz w:val="18"/>
                <w:szCs w:val="18"/>
                <w:lang w:eastAsia="fr-FR"/>
              </w:rPr>
            </w:pPr>
            <w:r w:rsidRPr="007C5E06">
              <w:rPr>
                <w:rFonts w:ascii="Arial" w:eastAsia="Times New Roman" w:hAnsi="Arial" w:cs="Arial"/>
                <w:b/>
                <w:bCs/>
                <w:color w:val="000000"/>
                <w:sz w:val="18"/>
                <w:szCs w:val="18"/>
                <w:lang w:eastAsia="fr-FR"/>
              </w:rPr>
              <w:t>Fampiasana ny fotodrafitr’asa</w:t>
            </w:r>
          </w:p>
        </w:tc>
      </w:tr>
      <w:tr w:rsidR="00B76189" w:rsidRPr="00160FB0" w14:paraId="7961CD3A" w14:textId="77777777" w:rsidTr="003710EB">
        <w:trPr>
          <w:trHeight w:val="696"/>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7180A129"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Tsy fahampian-drano noho ny filana (ny fanasana ireo PV)</w:t>
            </w:r>
          </w:p>
        </w:tc>
        <w:tc>
          <w:tcPr>
            <w:tcW w:w="5245" w:type="dxa"/>
            <w:tcBorders>
              <w:top w:val="nil"/>
              <w:left w:val="nil"/>
              <w:bottom w:val="single" w:sz="8" w:space="0" w:color="auto"/>
              <w:right w:val="single" w:sz="8" w:space="0" w:color="auto"/>
            </w:tcBorders>
            <w:shd w:val="clear" w:color="auto" w:fill="auto"/>
            <w:noWrap/>
            <w:vAlign w:val="center"/>
            <w:hideMark/>
          </w:tcPr>
          <w:p w14:paraId="6EB38E2A"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Fametrahana rafitra fanangonana sy fanodinana ary fampiasana ny rano maloto ho ampiasaina indray</w:t>
            </w:r>
          </w:p>
        </w:tc>
      </w:tr>
      <w:tr w:rsidR="00B76189" w:rsidRPr="00160FB0" w14:paraId="7D4985EA" w14:textId="77777777" w:rsidTr="003710EB">
        <w:trPr>
          <w:trHeight w:val="9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380B2088"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Fisiana saha elektromagnetika (CEM) izay mety hanelingelina ny biby eo an-toerana</w:t>
            </w:r>
          </w:p>
        </w:tc>
        <w:tc>
          <w:tcPr>
            <w:tcW w:w="5245" w:type="dxa"/>
            <w:tcBorders>
              <w:top w:val="nil"/>
              <w:left w:val="nil"/>
              <w:bottom w:val="single" w:sz="8" w:space="0" w:color="auto"/>
              <w:right w:val="single" w:sz="8" w:space="0" w:color="auto"/>
            </w:tcBorders>
            <w:shd w:val="clear" w:color="auto" w:fill="auto"/>
            <w:noWrap/>
            <w:vAlign w:val="center"/>
            <w:hideMark/>
          </w:tcPr>
          <w:p w14:paraId="1DEBE1FE"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B434A6">
              <w:rPr>
                <w:rFonts w:ascii="Arial" w:eastAsia="Times New Roman" w:hAnsi="Arial" w:cs="Arial"/>
                <w:color w:val="000000"/>
                <w:sz w:val="18"/>
                <w:szCs w:val="18"/>
                <w:lang w:val="en-US" w:eastAsia="fr-FR"/>
              </w:rPr>
              <w:t xml:space="preserve">Fametrahana ireo fotodrafitr’asa (PV, tilikambo cellule….) </w:t>
            </w:r>
            <w:r w:rsidRPr="00505129">
              <w:rPr>
                <w:rFonts w:ascii="Arial" w:eastAsia="Times New Roman" w:hAnsi="Arial" w:cs="Arial"/>
                <w:color w:val="000000"/>
                <w:sz w:val="18"/>
                <w:szCs w:val="18"/>
                <w:lang w:val="en-US" w:eastAsia="fr-FR"/>
              </w:rPr>
              <w:t>lavitry ny valan-javaboary na Faritra Arovana sy ireo toerana hafa manana harena  ara-boajanahary</w:t>
            </w:r>
          </w:p>
        </w:tc>
      </w:tr>
      <w:tr w:rsidR="00B76189" w:rsidRPr="007C5E06" w14:paraId="37073D36" w14:textId="77777777" w:rsidTr="003710EB">
        <w:trPr>
          <w:trHeight w:val="9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08A36E81"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Fiangonana fako ao anatin'izany ny fitaovana tamin’ny herin’aratra sy elektronika (DEEE)</w:t>
            </w:r>
          </w:p>
        </w:tc>
        <w:tc>
          <w:tcPr>
            <w:tcW w:w="5245" w:type="dxa"/>
            <w:tcBorders>
              <w:top w:val="nil"/>
              <w:left w:val="nil"/>
              <w:bottom w:val="single" w:sz="8" w:space="0" w:color="auto"/>
              <w:right w:val="single" w:sz="8" w:space="0" w:color="auto"/>
            </w:tcBorders>
            <w:shd w:val="clear" w:color="auto" w:fill="auto"/>
            <w:noWrap/>
            <w:vAlign w:val="center"/>
            <w:hideMark/>
          </w:tcPr>
          <w:p w14:paraId="00D2EE29"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505129">
              <w:rPr>
                <w:rFonts w:ascii="Arial" w:eastAsia="Times New Roman" w:hAnsi="Arial" w:cs="Arial"/>
                <w:color w:val="000000"/>
                <w:sz w:val="18"/>
                <w:szCs w:val="18"/>
                <w:lang w:val="en-US" w:eastAsia="fr-FR"/>
              </w:rPr>
              <w:t xml:space="preserve">Fampiharana ny Drafitra fitantanana ny fako (PGDS) miaraka amin’ny fitaovana manokana. </w:t>
            </w:r>
            <w:r w:rsidRPr="007C5E06">
              <w:rPr>
                <w:rFonts w:ascii="Arial" w:eastAsia="Times New Roman" w:hAnsi="Arial" w:cs="Arial"/>
                <w:color w:val="000000"/>
                <w:sz w:val="18"/>
                <w:szCs w:val="18"/>
                <w:lang w:eastAsia="fr-FR"/>
              </w:rPr>
              <w:t>Famporisihana ny fanodinana ny DEEE</w:t>
            </w:r>
          </w:p>
        </w:tc>
      </w:tr>
      <w:tr w:rsidR="00B76189" w:rsidRPr="00345918" w14:paraId="394D093C" w14:textId="77777777" w:rsidTr="003710EB">
        <w:trPr>
          <w:trHeight w:val="696"/>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2BC421CD"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Ny mety hisian'ny fifandirana mifandraika amin'ny fampiasana rano</w:t>
            </w:r>
          </w:p>
        </w:tc>
        <w:tc>
          <w:tcPr>
            <w:tcW w:w="5245" w:type="dxa"/>
            <w:tcBorders>
              <w:top w:val="nil"/>
              <w:left w:val="nil"/>
              <w:bottom w:val="single" w:sz="8" w:space="0" w:color="auto"/>
              <w:right w:val="single" w:sz="8" w:space="0" w:color="auto"/>
            </w:tcBorders>
            <w:shd w:val="clear" w:color="auto" w:fill="auto"/>
            <w:noWrap/>
            <w:vAlign w:val="center"/>
            <w:hideMark/>
          </w:tcPr>
          <w:p w14:paraId="1E518AF8"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Fampahafantarana momba ny fitantanana tsara ny loharanon-drano</w:t>
            </w:r>
          </w:p>
        </w:tc>
      </w:tr>
      <w:tr w:rsidR="00B76189" w:rsidRPr="00345918" w14:paraId="4322B39C" w14:textId="77777777" w:rsidTr="003710EB">
        <w:trPr>
          <w:trHeight w:val="456"/>
        </w:trPr>
        <w:tc>
          <w:tcPr>
            <w:tcW w:w="36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682507"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Ny mety hisian'ny fanakorontanana ny fombam-piarahamonina</w:t>
            </w:r>
          </w:p>
        </w:tc>
        <w:tc>
          <w:tcPr>
            <w:tcW w:w="5245" w:type="dxa"/>
            <w:tcBorders>
              <w:top w:val="nil"/>
              <w:left w:val="nil"/>
              <w:bottom w:val="nil"/>
              <w:right w:val="single" w:sz="8" w:space="0" w:color="auto"/>
            </w:tcBorders>
            <w:shd w:val="clear" w:color="auto" w:fill="auto"/>
            <w:noWrap/>
            <w:vAlign w:val="center"/>
            <w:hideMark/>
          </w:tcPr>
          <w:p w14:paraId="45615C67"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Fampahafantarana / fanentanana momba ny fampiasana ny TIC sy ny mety aterany.</w:t>
            </w:r>
          </w:p>
        </w:tc>
      </w:tr>
      <w:tr w:rsidR="00B76189" w:rsidRPr="00345918" w14:paraId="784D716D" w14:textId="77777777" w:rsidTr="003710EB">
        <w:trPr>
          <w:trHeight w:val="684"/>
        </w:trPr>
        <w:tc>
          <w:tcPr>
            <w:tcW w:w="3686" w:type="dxa"/>
            <w:vMerge/>
            <w:tcBorders>
              <w:top w:val="nil"/>
              <w:left w:val="single" w:sz="8" w:space="0" w:color="auto"/>
              <w:bottom w:val="single" w:sz="8" w:space="0" w:color="000000"/>
              <w:right w:val="single" w:sz="8" w:space="0" w:color="auto"/>
            </w:tcBorders>
            <w:vAlign w:val="center"/>
            <w:hideMark/>
          </w:tcPr>
          <w:p w14:paraId="2551397F" w14:textId="77777777" w:rsidR="00B76189" w:rsidRPr="00505129" w:rsidRDefault="00B76189" w:rsidP="003710EB">
            <w:pPr>
              <w:spacing w:after="0" w:line="240" w:lineRule="auto"/>
              <w:rPr>
                <w:rFonts w:ascii="Arial" w:eastAsia="Times New Roman" w:hAnsi="Arial" w:cs="Arial"/>
                <w:color w:val="000000"/>
                <w:sz w:val="18"/>
                <w:szCs w:val="18"/>
                <w:lang w:val="en-US" w:eastAsia="fr-FR"/>
              </w:rPr>
            </w:pPr>
          </w:p>
        </w:tc>
        <w:tc>
          <w:tcPr>
            <w:tcW w:w="5245" w:type="dxa"/>
            <w:tcBorders>
              <w:top w:val="nil"/>
              <w:left w:val="nil"/>
              <w:bottom w:val="nil"/>
              <w:right w:val="single" w:sz="8" w:space="0" w:color="auto"/>
            </w:tcBorders>
            <w:shd w:val="clear" w:color="auto" w:fill="auto"/>
            <w:noWrap/>
            <w:vAlign w:val="center"/>
            <w:hideMark/>
          </w:tcPr>
          <w:p w14:paraId="38177E1A"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Fampiofanana ireo manampahefana miandraikitra ny filaminana amin'ny fampiasana ny TIC.</w:t>
            </w:r>
          </w:p>
        </w:tc>
      </w:tr>
      <w:tr w:rsidR="00B76189" w:rsidRPr="00345918" w14:paraId="1D00B82A" w14:textId="77777777" w:rsidTr="003710EB">
        <w:trPr>
          <w:trHeight w:val="456"/>
        </w:trPr>
        <w:tc>
          <w:tcPr>
            <w:tcW w:w="3686" w:type="dxa"/>
            <w:vMerge/>
            <w:tcBorders>
              <w:top w:val="nil"/>
              <w:left w:val="single" w:sz="8" w:space="0" w:color="auto"/>
              <w:bottom w:val="single" w:sz="8" w:space="0" w:color="000000"/>
              <w:right w:val="single" w:sz="8" w:space="0" w:color="auto"/>
            </w:tcBorders>
            <w:vAlign w:val="center"/>
            <w:hideMark/>
          </w:tcPr>
          <w:p w14:paraId="4E055576" w14:textId="77777777" w:rsidR="00B76189" w:rsidRPr="00505129" w:rsidRDefault="00B76189" w:rsidP="003710EB">
            <w:pPr>
              <w:spacing w:after="0" w:line="240" w:lineRule="auto"/>
              <w:rPr>
                <w:rFonts w:ascii="Arial" w:eastAsia="Times New Roman" w:hAnsi="Arial" w:cs="Arial"/>
                <w:color w:val="000000"/>
                <w:sz w:val="18"/>
                <w:szCs w:val="18"/>
                <w:lang w:val="en-US" w:eastAsia="fr-FR"/>
              </w:rPr>
            </w:pPr>
          </w:p>
        </w:tc>
        <w:tc>
          <w:tcPr>
            <w:tcW w:w="5245" w:type="dxa"/>
            <w:tcBorders>
              <w:top w:val="nil"/>
              <w:left w:val="nil"/>
              <w:bottom w:val="nil"/>
              <w:right w:val="single" w:sz="8" w:space="0" w:color="auto"/>
            </w:tcBorders>
            <w:shd w:val="clear" w:color="auto" w:fill="auto"/>
            <w:noWrap/>
            <w:vAlign w:val="center"/>
            <w:hideMark/>
          </w:tcPr>
          <w:p w14:paraId="3DAC7B3D"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Fampiofanana sy fanentanana ny mponina amin’ny maha zava-dehibe ny fifanajana</w:t>
            </w:r>
          </w:p>
        </w:tc>
      </w:tr>
      <w:tr w:rsidR="00B76189" w:rsidRPr="00345918" w14:paraId="70C34ACF" w14:textId="77777777" w:rsidTr="003710EB">
        <w:trPr>
          <w:trHeight w:val="300"/>
        </w:trPr>
        <w:tc>
          <w:tcPr>
            <w:tcW w:w="3686" w:type="dxa"/>
            <w:vMerge/>
            <w:tcBorders>
              <w:top w:val="nil"/>
              <w:left w:val="single" w:sz="8" w:space="0" w:color="auto"/>
              <w:bottom w:val="single" w:sz="8" w:space="0" w:color="000000"/>
              <w:right w:val="single" w:sz="8" w:space="0" w:color="auto"/>
            </w:tcBorders>
            <w:vAlign w:val="center"/>
            <w:hideMark/>
          </w:tcPr>
          <w:p w14:paraId="3FA5F767" w14:textId="77777777" w:rsidR="00B76189" w:rsidRPr="00505129" w:rsidRDefault="00B76189" w:rsidP="003710EB">
            <w:pPr>
              <w:spacing w:after="0" w:line="240" w:lineRule="auto"/>
              <w:rPr>
                <w:rFonts w:ascii="Arial" w:eastAsia="Times New Roman" w:hAnsi="Arial" w:cs="Arial"/>
                <w:color w:val="000000"/>
                <w:sz w:val="18"/>
                <w:szCs w:val="18"/>
                <w:lang w:val="en-US" w:eastAsia="fr-FR"/>
              </w:rPr>
            </w:pPr>
          </w:p>
        </w:tc>
        <w:tc>
          <w:tcPr>
            <w:tcW w:w="5245" w:type="dxa"/>
            <w:tcBorders>
              <w:top w:val="nil"/>
              <w:left w:val="nil"/>
              <w:bottom w:val="single" w:sz="8" w:space="0" w:color="auto"/>
              <w:right w:val="single" w:sz="8" w:space="0" w:color="auto"/>
            </w:tcBorders>
            <w:shd w:val="clear" w:color="auto" w:fill="auto"/>
            <w:noWrap/>
            <w:vAlign w:val="center"/>
            <w:hideMark/>
          </w:tcPr>
          <w:p w14:paraId="5D110395"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Fanaraha-maso ny fametrahana ny fenitra</w:t>
            </w:r>
          </w:p>
        </w:tc>
      </w:tr>
      <w:tr w:rsidR="00B76189" w:rsidRPr="007C5E06" w14:paraId="1187C443" w14:textId="77777777" w:rsidTr="003710EB">
        <w:trPr>
          <w:trHeight w:val="912"/>
        </w:trPr>
        <w:tc>
          <w:tcPr>
            <w:tcW w:w="36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19E5AE"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Fisian’ny CEM</w:t>
            </w:r>
          </w:p>
        </w:tc>
        <w:tc>
          <w:tcPr>
            <w:tcW w:w="5245" w:type="dxa"/>
            <w:tcBorders>
              <w:top w:val="nil"/>
              <w:left w:val="nil"/>
              <w:bottom w:val="nil"/>
              <w:right w:val="single" w:sz="8" w:space="0" w:color="auto"/>
            </w:tcBorders>
            <w:shd w:val="clear" w:color="auto" w:fill="auto"/>
            <w:noWrap/>
            <w:vAlign w:val="center"/>
            <w:hideMark/>
          </w:tcPr>
          <w:p w14:paraId="6F8D0F10"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Fanarahana ny fenitra mikasika ireo fotodrafitr’asa. Fiarovana ireo fitaovana mitondra herin’aratra sy elektromagnetika ho anaty ao amin'ny efitrano Faraday</w:t>
            </w:r>
          </w:p>
        </w:tc>
      </w:tr>
      <w:tr w:rsidR="00B76189" w:rsidRPr="00345918" w14:paraId="28A5A44C" w14:textId="77777777" w:rsidTr="003710EB">
        <w:trPr>
          <w:trHeight w:val="456"/>
        </w:trPr>
        <w:tc>
          <w:tcPr>
            <w:tcW w:w="3686" w:type="dxa"/>
            <w:vMerge/>
            <w:tcBorders>
              <w:top w:val="nil"/>
              <w:left w:val="single" w:sz="8" w:space="0" w:color="auto"/>
              <w:bottom w:val="single" w:sz="8" w:space="0" w:color="000000"/>
              <w:right w:val="single" w:sz="8" w:space="0" w:color="auto"/>
            </w:tcBorders>
            <w:vAlign w:val="center"/>
            <w:hideMark/>
          </w:tcPr>
          <w:p w14:paraId="2081041A" w14:textId="77777777" w:rsidR="00B76189" w:rsidRPr="007C5E06" w:rsidRDefault="00B76189" w:rsidP="003710EB">
            <w:pPr>
              <w:spacing w:after="0" w:line="240" w:lineRule="auto"/>
              <w:rPr>
                <w:rFonts w:ascii="Arial" w:eastAsia="Times New Roman" w:hAnsi="Arial" w:cs="Arial"/>
                <w:color w:val="000000"/>
                <w:sz w:val="18"/>
                <w:szCs w:val="18"/>
                <w:lang w:eastAsia="fr-FR"/>
              </w:rPr>
            </w:pPr>
          </w:p>
        </w:tc>
        <w:tc>
          <w:tcPr>
            <w:tcW w:w="5245" w:type="dxa"/>
            <w:tcBorders>
              <w:top w:val="nil"/>
              <w:left w:val="nil"/>
              <w:bottom w:val="nil"/>
              <w:right w:val="single" w:sz="8" w:space="0" w:color="auto"/>
            </w:tcBorders>
            <w:shd w:val="clear" w:color="auto" w:fill="auto"/>
            <w:noWrap/>
            <w:vAlign w:val="center"/>
            <w:hideMark/>
          </w:tcPr>
          <w:p w14:paraId="1087110C"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Ny halavirana amin'ny trano amin'ny 3.5m amin'ny tariby MV</w:t>
            </w:r>
          </w:p>
        </w:tc>
      </w:tr>
      <w:tr w:rsidR="00B76189" w:rsidRPr="00345918" w14:paraId="14D714BE" w14:textId="77777777" w:rsidTr="003710EB">
        <w:trPr>
          <w:trHeight w:val="288"/>
        </w:trPr>
        <w:tc>
          <w:tcPr>
            <w:tcW w:w="3686" w:type="dxa"/>
            <w:vMerge/>
            <w:tcBorders>
              <w:top w:val="nil"/>
              <w:left w:val="single" w:sz="8" w:space="0" w:color="auto"/>
              <w:bottom w:val="single" w:sz="8" w:space="0" w:color="000000"/>
              <w:right w:val="single" w:sz="8" w:space="0" w:color="auto"/>
            </w:tcBorders>
            <w:vAlign w:val="center"/>
            <w:hideMark/>
          </w:tcPr>
          <w:p w14:paraId="759CAE27" w14:textId="77777777" w:rsidR="00B76189" w:rsidRPr="00505129" w:rsidRDefault="00B76189" w:rsidP="003710EB">
            <w:pPr>
              <w:spacing w:after="0" w:line="240" w:lineRule="auto"/>
              <w:rPr>
                <w:rFonts w:ascii="Arial" w:eastAsia="Times New Roman" w:hAnsi="Arial" w:cs="Arial"/>
                <w:color w:val="000000"/>
                <w:sz w:val="18"/>
                <w:szCs w:val="18"/>
                <w:lang w:val="en-US" w:eastAsia="fr-FR"/>
              </w:rPr>
            </w:pPr>
          </w:p>
        </w:tc>
        <w:tc>
          <w:tcPr>
            <w:tcW w:w="5245" w:type="dxa"/>
            <w:tcBorders>
              <w:top w:val="nil"/>
              <w:left w:val="nil"/>
              <w:bottom w:val="nil"/>
              <w:right w:val="single" w:sz="8" w:space="0" w:color="auto"/>
            </w:tcBorders>
            <w:shd w:val="clear" w:color="auto" w:fill="auto"/>
            <w:noWrap/>
            <w:vAlign w:val="center"/>
            <w:hideMark/>
          </w:tcPr>
          <w:p w14:paraId="16D2175D"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Ny halaviran-dalana (0,75m) amin'ny tariby</w:t>
            </w:r>
          </w:p>
        </w:tc>
      </w:tr>
      <w:tr w:rsidR="00B76189" w:rsidRPr="00345918" w14:paraId="47AB87BD" w14:textId="77777777" w:rsidTr="003710EB">
        <w:trPr>
          <w:trHeight w:val="300"/>
        </w:trPr>
        <w:tc>
          <w:tcPr>
            <w:tcW w:w="3686" w:type="dxa"/>
            <w:vMerge/>
            <w:tcBorders>
              <w:top w:val="nil"/>
              <w:left w:val="single" w:sz="8" w:space="0" w:color="auto"/>
              <w:bottom w:val="single" w:sz="8" w:space="0" w:color="000000"/>
              <w:right w:val="single" w:sz="8" w:space="0" w:color="auto"/>
            </w:tcBorders>
            <w:vAlign w:val="center"/>
            <w:hideMark/>
          </w:tcPr>
          <w:p w14:paraId="1A437B37" w14:textId="77777777" w:rsidR="00B76189" w:rsidRPr="00505129" w:rsidRDefault="00B76189" w:rsidP="003710EB">
            <w:pPr>
              <w:spacing w:after="0" w:line="240" w:lineRule="auto"/>
              <w:rPr>
                <w:rFonts w:ascii="Arial" w:eastAsia="Times New Roman" w:hAnsi="Arial" w:cs="Arial"/>
                <w:color w:val="000000"/>
                <w:sz w:val="18"/>
                <w:szCs w:val="18"/>
                <w:lang w:val="en-US" w:eastAsia="fr-FR"/>
              </w:rPr>
            </w:pPr>
          </w:p>
        </w:tc>
        <w:tc>
          <w:tcPr>
            <w:tcW w:w="5245" w:type="dxa"/>
            <w:tcBorders>
              <w:top w:val="nil"/>
              <w:left w:val="nil"/>
              <w:bottom w:val="single" w:sz="8" w:space="0" w:color="auto"/>
              <w:right w:val="single" w:sz="8" w:space="0" w:color="auto"/>
            </w:tcBorders>
            <w:shd w:val="clear" w:color="auto" w:fill="auto"/>
            <w:noWrap/>
            <w:vAlign w:val="center"/>
            <w:hideMark/>
          </w:tcPr>
          <w:p w14:paraId="29DABDAE"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Ny halaviran'ny fiasana (2m) amin'ny tariby</w:t>
            </w:r>
          </w:p>
        </w:tc>
      </w:tr>
      <w:tr w:rsidR="00B76189" w:rsidRPr="00345918" w14:paraId="1C887B21" w14:textId="77777777" w:rsidTr="003710EB">
        <w:trPr>
          <w:trHeight w:val="468"/>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1A833B19"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Ny loza sy ny afo</w:t>
            </w:r>
          </w:p>
        </w:tc>
        <w:tc>
          <w:tcPr>
            <w:tcW w:w="5245" w:type="dxa"/>
            <w:tcBorders>
              <w:top w:val="nil"/>
              <w:left w:val="nil"/>
              <w:bottom w:val="single" w:sz="8" w:space="0" w:color="auto"/>
              <w:right w:val="single" w:sz="8" w:space="0" w:color="auto"/>
            </w:tcBorders>
            <w:shd w:val="clear" w:color="auto" w:fill="auto"/>
            <w:noWrap/>
            <w:vAlign w:val="center"/>
            <w:hideMark/>
          </w:tcPr>
          <w:p w14:paraId="377EF4F7"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Fampiharana ny drafitra fisorohana ny afo sy fametrahana fitaovana famonoana afo (CO</w:t>
            </w:r>
            <w:r w:rsidRPr="00F01166">
              <w:rPr>
                <w:rFonts w:ascii="Arial" w:eastAsia="Times New Roman" w:hAnsi="Arial" w:cs="Arial"/>
                <w:color w:val="000000"/>
                <w:sz w:val="18"/>
                <w:szCs w:val="18"/>
                <w:vertAlign w:val="subscript"/>
                <w:lang w:val="en-US" w:eastAsia="fr-FR"/>
              </w:rPr>
              <w:t>2</w:t>
            </w:r>
            <w:r w:rsidRPr="00505129">
              <w:rPr>
                <w:rFonts w:ascii="Arial" w:eastAsia="Times New Roman" w:hAnsi="Arial" w:cs="Arial"/>
                <w:color w:val="000000"/>
                <w:sz w:val="18"/>
                <w:szCs w:val="18"/>
                <w:lang w:val="en-US" w:eastAsia="fr-FR"/>
              </w:rPr>
              <w:t>)</w:t>
            </w:r>
          </w:p>
        </w:tc>
      </w:tr>
      <w:tr w:rsidR="00B76189" w:rsidRPr="007C5E06" w14:paraId="11C4E204" w14:textId="77777777" w:rsidTr="003710EB">
        <w:trPr>
          <w:trHeight w:val="9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3AE85AD5"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Halatra</w:t>
            </w:r>
          </w:p>
        </w:tc>
        <w:tc>
          <w:tcPr>
            <w:tcW w:w="5245" w:type="dxa"/>
            <w:tcBorders>
              <w:top w:val="nil"/>
              <w:left w:val="nil"/>
              <w:bottom w:val="single" w:sz="8" w:space="0" w:color="auto"/>
              <w:right w:val="single" w:sz="8" w:space="0" w:color="auto"/>
            </w:tcBorders>
            <w:shd w:val="clear" w:color="auto" w:fill="auto"/>
            <w:noWrap/>
            <w:vAlign w:val="center"/>
            <w:hideMark/>
          </w:tcPr>
          <w:p w14:paraId="7EF17FE8"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Fametrahana rafitra fiarovana ny toeram-pamokarana: Fametrahana fefy, fanaraha-maso, famerana ny fidirana ny toby ary fisavana eo amin'ny fidirana</w:t>
            </w:r>
          </w:p>
        </w:tc>
      </w:tr>
      <w:tr w:rsidR="00B76189" w:rsidRPr="00345918" w14:paraId="0ADC9601" w14:textId="77777777" w:rsidTr="003710EB">
        <w:trPr>
          <w:trHeight w:val="456"/>
        </w:trPr>
        <w:tc>
          <w:tcPr>
            <w:tcW w:w="36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91F7B4F"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Fitomboan'ny tranga VBG, EAS/HS noho ny fampiasana aterineto</w:t>
            </w:r>
          </w:p>
        </w:tc>
        <w:tc>
          <w:tcPr>
            <w:tcW w:w="5245" w:type="dxa"/>
            <w:tcBorders>
              <w:top w:val="nil"/>
              <w:left w:val="nil"/>
              <w:bottom w:val="nil"/>
              <w:right w:val="single" w:sz="8" w:space="0" w:color="auto"/>
            </w:tcBorders>
            <w:shd w:val="clear" w:color="auto" w:fill="auto"/>
            <w:noWrap/>
            <w:vAlign w:val="center"/>
            <w:hideMark/>
          </w:tcPr>
          <w:p w14:paraId="57CA66F4"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Fanofanana fanentanana ho an'ny mpampiasa aterineto.</w:t>
            </w:r>
          </w:p>
        </w:tc>
      </w:tr>
      <w:tr w:rsidR="00B76189" w:rsidRPr="00345918" w14:paraId="6F701DE4" w14:textId="77777777" w:rsidTr="003710EB">
        <w:trPr>
          <w:trHeight w:val="684"/>
        </w:trPr>
        <w:tc>
          <w:tcPr>
            <w:tcW w:w="3686" w:type="dxa"/>
            <w:vMerge/>
            <w:tcBorders>
              <w:top w:val="nil"/>
              <w:left w:val="single" w:sz="8" w:space="0" w:color="auto"/>
              <w:bottom w:val="single" w:sz="8" w:space="0" w:color="000000"/>
              <w:right w:val="single" w:sz="8" w:space="0" w:color="auto"/>
            </w:tcBorders>
            <w:vAlign w:val="center"/>
            <w:hideMark/>
          </w:tcPr>
          <w:p w14:paraId="4B736567" w14:textId="77777777" w:rsidR="00B76189" w:rsidRPr="00505129" w:rsidRDefault="00B76189" w:rsidP="003710EB">
            <w:pPr>
              <w:spacing w:after="0" w:line="240" w:lineRule="auto"/>
              <w:rPr>
                <w:rFonts w:ascii="Arial" w:eastAsia="Times New Roman" w:hAnsi="Arial" w:cs="Arial"/>
                <w:color w:val="000000"/>
                <w:sz w:val="18"/>
                <w:szCs w:val="18"/>
                <w:lang w:val="en-US" w:eastAsia="fr-FR"/>
              </w:rPr>
            </w:pPr>
          </w:p>
        </w:tc>
        <w:tc>
          <w:tcPr>
            <w:tcW w:w="5245" w:type="dxa"/>
            <w:tcBorders>
              <w:top w:val="nil"/>
              <w:left w:val="nil"/>
              <w:bottom w:val="nil"/>
              <w:right w:val="single" w:sz="8" w:space="0" w:color="auto"/>
            </w:tcBorders>
            <w:shd w:val="clear" w:color="auto" w:fill="auto"/>
            <w:noWrap/>
            <w:vAlign w:val="center"/>
            <w:hideMark/>
          </w:tcPr>
          <w:p w14:paraId="2505ED5F"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Fampahafantarana ny maha zava-dehibe ny fanaraha-mason’ny ray aman-dreny amin'ny fampiasana aterineto ho an'ny ankizy.</w:t>
            </w:r>
          </w:p>
        </w:tc>
      </w:tr>
      <w:tr w:rsidR="00B76189" w:rsidRPr="00345918" w14:paraId="671858FB" w14:textId="77777777" w:rsidTr="003710EB">
        <w:trPr>
          <w:trHeight w:val="456"/>
        </w:trPr>
        <w:tc>
          <w:tcPr>
            <w:tcW w:w="3686" w:type="dxa"/>
            <w:vMerge/>
            <w:tcBorders>
              <w:top w:val="nil"/>
              <w:left w:val="single" w:sz="8" w:space="0" w:color="auto"/>
              <w:bottom w:val="single" w:sz="8" w:space="0" w:color="000000"/>
              <w:right w:val="single" w:sz="8" w:space="0" w:color="auto"/>
            </w:tcBorders>
            <w:vAlign w:val="center"/>
            <w:hideMark/>
          </w:tcPr>
          <w:p w14:paraId="3B379F80" w14:textId="77777777" w:rsidR="00B76189" w:rsidRPr="00505129" w:rsidRDefault="00B76189" w:rsidP="003710EB">
            <w:pPr>
              <w:spacing w:after="0" w:line="240" w:lineRule="auto"/>
              <w:rPr>
                <w:rFonts w:ascii="Arial" w:eastAsia="Times New Roman" w:hAnsi="Arial" w:cs="Arial"/>
                <w:color w:val="000000"/>
                <w:sz w:val="18"/>
                <w:szCs w:val="18"/>
                <w:lang w:val="en-US" w:eastAsia="fr-FR"/>
              </w:rPr>
            </w:pPr>
          </w:p>
        </w:tc>
        <w:tc>
          <w:tcPr>
            <w:tcW w:w="5245" w:type="dxa"/>
            <w:tcBorders>
              <w:top w:val="nil"/>
              <w:left w:val="nil"/>
              <w:bottom w:val="nil"/>
              <w:right w:val="single" w:sz="8" w:space="0" w:color="auto"/>
            </w:tcBorders>
            <w:shd w:val="clear" w:color="auto" w:fill="auto"/>
            <w:noWrap/>
            <w:vAlign w:val="center"/>
            <w:hideMark/>
          </w:tcPr>
          <w:p w14:paraId="5FEECC16"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Fametrahana rafitra fitantanana fitarainana VBG sy EAS/HS.</w:t>
            </w:r>
          </w:p>
        </w:tc>
      </w:tr>
      <w:tr w:rsidR="00B76189" w:rsidRPr="00345918" w14:paraId="06C0BB6B" w14:textId="77777777" w:rsidTr="003710EB">
        <w:trPr>
          <w:trHeight w:val="696"/>
        </w:trPr>
        <w:tc>
          <w:tcPr>
            <w:tcW w:w="3686" w:type="dxa"/>
            <w:vMerge/>
            <w:tcBorders>
              <w:top w:val="nil"/>
              <w:left w:val="single" w:sz="8" w:space="0" w:color="auto"/>
              <w:bottom w:val="single" w:sz="8" w:space="0" w:color="000000"/>
              <w:right w:val="single" w:sz="8" w:space="0" w:color="auto"/>
            </w:tcBorders>
            <w:vAlign w:val="center"/>
            <w:hideMark/>
          </w:tcPr>
          <w:p w14:paraId="2C1A9217" w14:textId="77777777" w:rsidR="00B76189" w:rsidRPr="00505129" w:rsidRDefault="00B76189" w:rsidP="003710EB">
            <w:pPr>
              <w:spacing w:after="0" w:line="240" w:lineRule="auto"/>
              <w:rPr>
                <w:rFonts w:ascii="Arial" w:eastAsia="Times New Roman" w:hAnsi="Arial" w:cs="Arial"/>
                <w:color w:val="000000"/>
                <w:sz w:val="18"/>
                <w:szCs w:val="18"/>
                <w:lang w:val="en-US" w:eastAsia="fr-FR"/>
              </w:rPr>
            </w:pPr>
          </w:p>
        </w:tc>
        <w:tc>
          <w:tcPr>
            <w:tcW w:w="5245" w:type="dxa"/>
            <w:tcBorders>
              <w:top w:val="nil"/>
              <w:left w:val="nil"/>
              <w:bottom w:val="single" w:sz="8" w:space="0" w:color="auto"/>
              <w:right w:val="single" w:sz="8" w:space="0" w:color="auto"/>
            </w:tcBorders>
            <w:shd w:val="clear" w:color="auto" w:fill="auto"/>
            <w:noWrap/>
            <w:vAlign w:val="center"/>
            <w:hideMark/>
          </w:tcPr>
          <w:p w14:paraId="12634E55"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Fanabeazana sy fanofanana ireo tompon’andraikitra voakasika (polisy nasionaly, zandarimariam-pirenena, sns.).</w:t>
            </w:r>
          </w:p>
        </w:tc>
      </w:tr>
      <w:tr w:rsidR="00B76189" w:rsidRPr="007C5E06" w14:paraId="726375C5" w14:textId="77777777" w:rsidTr="003710EB">
        <w:trPr>
          <w:trHeight w:val="9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2AE2B59D"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Fitomboan'ny tranga heloka an-tserasera</w:t>
            </w:r>
          </w:p>
        </w:tc>
        <w:tc>
          <w:tcPr>
            <w:tcW w:w="5245" w:type="dxa"/>
            <w:tcBorders>
              <w:top w:val="nil"/>
              <w:left w:val="nil"/>
              <w:bottom w:val="single" w:sz="8" w:space="0" w:color="auto"/>
              <w:right w:val="single" w:sz="8" w:space="0" w:color="auto"/>
            </w:tcBorders>
            <w:shd w:val="clear" w:color="auto" w:fill="auto"/>
            <w:noWrap/>
            <w:vAlign w:val="center"/>
            <w:hideMark/>
          </w:tcPr>
          <w:p w14:paraId="565E1549"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505129">
              <w:rPr>
                <w:rFonts w:ascii="Arial" w:eastAsia="Times New Roman" w:hAnsi="Arial" w:cs="Arial"/>
                <w:color w:val="000000"/>
                <w:sz w:val="18"/>
                <w:szCs w:val="18"/>
                <w:lang w:val="en-US" w:eastAsia="fr-FR"/>
              </w:rPr>
              <w:t xml:space="preserve">Fanabeazana sy fanofanana ireo tompon’andraikitra voakasika (polisy nasionaly, zandarimaria, sns.). </w:t>
            </w:r>
            <w:r w:rsidRPr="007C5E06">
              <w:rPr>
                <w:rFonts w:ascii="Arial" w:eastAsia="Times New Roman" w:hAnsi="Arial" w:cs="Arial"/>
                <w:color w:val="000000"/>
                <w:sz w:val="18"/>
                <w:szCs w:val="18"/>
                <w:lang w:eastAsia="fr-FR"/>
              </w:rPr>
              <w:t>Fanomezana fitaovana hiadiana amin'ny cybercriminalité</w:t>
            </w:r>
          </w:p>
        </w:tc>
      </w:tr>
      <w:tr w:rsidR="00B76189" w:rsidRPr="00345918" w14:paraId="44CF32DC" w14:textId="77777777" w:rsidTr="003710EB">
        <w:trPr>
          <w:trHeight w:val="924"/>
        </w:trPr>
        <w:tc>
          <w:tcPr>
            <w:tcW w:w="3686" w:type="dxa"/>
            <w:tcBorders>
              <w:top w:val="nil"/>
              <w:left w:val="single" w:sz="8" w:space="0" w:color="auto"/>
              <w:bottom w:val="single" w:sz="8" w:space="0" w:color="auto"/>
              <w:right w:val="single" w:sz="8" w:space="0" w:color="auto"/>
            </w:tcBorders>
            <w:shd w:val="clear" w:color="auto" w:fill="auto"/>
            <w:noWrap/>
            <w:vAlign w:val="center"/>
          </w:tcPr>
          <w:p w14:paraId="6CAA081D" w14:textId="77777777" w:rsidR="00B76189" w:rsidRPr="00B8016A" w:rsidRDefault="00B76189" w:rsidP="003710EB">
            <w:pPr>
              <w:spacing w:after="0" w:line="240" w:lineRule="auto"/>
              <w:jc w:val="both"/>
              <w:rPr>
                <w:rFonts w:ascii="Arial" w:eastAsia="Times New Roman" w:hAnsi="Arial" w:cs="Arial"/>
                <w:color w:val="000000"/>
                <w:sz w:val="18"/>
                <w:szCs w:val="18"/>
                <w:lang w:eastAsia="fr-FR"/>
              </w:rPr>
            </w:pPr>
            <w:r w:rsidRPr="00B8016A">
              <w:rPr>
                <w:rFonts w:ascii="Arial" w:eastAsia="Times New Roman" w:hAnsi="Arial" w:cs="Arial"/>
                <w:color w:val="000000"/>
                <w:sz w:val="18"/>
                <w:szCs w:val="18"/>
                <w:lang w:eastAsia="fr-FR"/>
              </w:rPr>
              <w:t>Faha</w:t>
            </w:r>
            <w:r w:rsidR="008251AA">
              <w:rPr>
                <w:rFonts w:ascii="Arial" w:eastAsia="Times New Roman" w:hAnsi="Arial" w:cs="Arial"/>
                <w:color w:val="000000"/>
                <w:sz w:val="18"/>
                <w:szCs w:val="18"/>
                <w:lang w:eastAsia="fr-FR"/>
              </w:rPr>
              <w:t>ravan’</w:t>
            </w:r>
            <w:r w:rsidRPr="00B8016A">
              <w:rPr>
                <w:rFonts w:ascii="Arial" w:eastAsia="Times New Roman" w:hAnsi="Arial" w:cs="Arial"/>
                <w:color w:val="000000"/>
                <w:sz w:val="18"/>
                <w:szCs w:val="18"/>
                <w:lang w:eastAsia="fr-FR"/>
              </w:rPr>
              <w:t>ny Tanana sy ny voly noho ny t</w:t>
            </w:r>
            <w:r w:rsidR="008251AA">
              <w:rPr>
                <w:rFonts w:ascii="Arial" w:eastAsia="Times New Roman" w:hAnsi="Arial" w:cs="Arial"/>
                <w:color w:val="000000"/>
                <w:sz w:val="18"/>
                <w:szCs w:val="18"/>
                <w:lang w:eastAsia="fr-FR"/>
              </w:rPr>
              <w:t>o</w:t>
            </w:r>
            <w:r w:rsidRPr="00B8016A">
              <w:rPr>
                <w:rFonts w:ascii="Arial" w:eastAsia="Times New Roman" w:hAnsi="Arial" w:cs="Arial"/>
                <w:color w:val="000000"/>
                <w:sz w:val="18"/>
                <w:szCs w:val="18"/>
                <w:lang w:eastAsia="fr-FR"/>
              </w:rPr>
              <w:t>ndra-drano ateraky ny fahavakisan’ny toha-drano</w:t>
            </w:r>
          </w:p>
        </w:tc>
        <w:tc>
          <w:tcPr>
            <w:tcW w:w="5245" w:type="dxa"/>
            <w:tcBorders>
              <w:top w:val="nil"/>
              <w:left w:val="nil"/>
              <w:bottom w:val="single" w:sz="8" w:space="0" w:color="auto"/>
              <w:right w:val="single" w:sz="8" w:space="0" w:color="auto"/>
            </w:tcBorders>
            <w:shd w:val="clear" w:color="auto" w:fill="auto"/>
            <w:noWrap/>
            <w:vAlign w:val="center"/>
          </w:tcPr>
          <w:p w14:paraId="520642FC" w14:textId="77777777" w:rsidR="00B76189" w:rsidRDefault="00B76189" w:rsidP="003710EB">
            <w:pPr>
              <w:spacing w:after="0" w:line="240" w:lineRule="auto"/>
              <w:jc w:val="both"/>
              <w:rPr>
                <w:rFonts w:ascii="Arial" w:eastAsia="Times New Roman" w:hAnsi="Arial" w:cs="Arial"/>
                <w:color w:val="000000"/>
                <w:sz w:val="18"/>
                <w:szCs w:val="18"/>
                <w:lang w:val="en-US" w:eastAsia="fr-FR"/>
              </w:rPr>
            </w:pPr>
            <w:r w:rsidRPr="00B8016A">
              <w:rPr>
                <w:rFonts w:ascii="Arial" w:eastAsia="Times New Roman" w:hAnsi="Arial" w:cs="Arial"/>
                <w:color w:val="000000"/>
                <w:sz w:val="18"/>
                <w:szCs w:val="18"/>
                <w:lang w:val="en-US" w:eastAsia="fr-FR"/>
              </w:rPr>
              <w:t>Fananganana Fomba fitantanana sy fiarovana ny Tohadrano</w:t>
            </w:r>
          </w:p>
          <w:p w14:paraId="5544A087" w14:textId="77777777" w:rsidR="00B76189" w:rsidRPr="00B8016A" w:rsidRDefault="00B76189" w:rsidP="003710EB">
            <w:pPr>
              <w:spacing w:after="0" w:line="240" w:lineRule="auto"/>
              <w:jc w:val="both"/>
              <w:rPr>
                <w:rFonts w:ascii="Arial" w:eastAsia="Times New Roman" w:hAnsi="Arial" w:cs="Arial"/>
                <w:color w:val="000000"/>
                <w:sz w:val="18"/>
                <w:szCs w:val="18"/>
                <w:lang w:val="en-US" w:eastAsia="fr-FR"/>
              </w:rPr>
            </w:pPr>
            <w:r>
              <w:rPr>
                <w:rFonts w:ascii="Arial" w:eastAsia="Times New Roman" w:hAnsi="Arial" w:cs="Arial"/>
                <w:color w:val="000000"/>
                <w:sz w:val="18"/>
                <w:szCs w:val="18"/>
                <w:lang w:val="en-US" w:eastAsia="fr-FR"/>
              </w:rPr>
              <w:t>Fitsirihana matetika sy fanamboarana izay simba</w:t>
            </w:r>
          </w:p>
        </w:tc>
      </w:tr>
      <w:tr w:rsidR="00B76189" w:rsidRPr="007C5E06" w14:paraId="13C0C146" w14:textId="77777777" w:rsidTr="003710EB">
        <w:trPr>
          <w:trHeight w:val="300"/>
        </w:trPr>
        <w:tc>
          <w:tcPr>
            <w:tcW w:w="8931" w:type="dxa"/>
            <w:gridSpan w:val="2"/>
            <w:tcBorders>
              <w:top w:val="single" w:sz="8" w:space="0" w:color="auto"/>
              <w:left w:val="single" w:sz="8" w:space="0" w:color="auto"/>
              <w:bottom w:val="single" w:sz="8" w:space="0" w:color="auto"/>
              <w:right w:val="single" w:sz="8" w:space="0" w:color="000000"/>
            </w:tcBorders>
            <w:shd w:val="clear" w:color="000000" w:fill="00B0F0"/>
            <w:noWrap/>
            <w:vAlign w:val="center"/>
            <w:hideMark/>
          </w:tcPr>
          <w:p w14:paraId="5BDEF744" w14:textId="77777777" w:rsidR="00B76189" w:rsidRPr="007C5E06" w:rsidRDefault="00B76189" w:rsidP="003710EB">
            <w:pPr>
              <w:spacing w:after="0" w:line="240" w:lineRule="auto"/>
              <w:jc w:val="center"/>
              <w:rPr>
                <w:rFonts w:ascii="Arial" w:eastAsia="Times New Roman" w:hAnsi="Arial" w:cs="Arial"/>
                <w:b/>
                <w:bCs/>
                <w:color w:val="000000"/>
                <w:sz w:val="18"/>
                <w:szCs w:val="18"/>
                <w:lang w:eastAsia="fr-FR"/>
              </w:rPr>
            </w:pPr>
            <w:r w:rsidRPr="007C5E06">
              <w:rPr>
                <w:rFonts w:ascii="Arial" w:eastAsia="Times New Roman" w:hAnsi="Arial" w:cs="Arial"/>
                <w:b/>
                <w:bCs/>
                <w:color w:val="000000"/>
                <w:sz w:val="18"/>
                <w:szCs w:val="18"/>
                <w:lang w:eastAsia="fr-FR"/>
              </w:rPr>
              <w:t>Fandravana ny fotodrafitr’asa (PV)</w:t>
            </w:r>
          </w:p>
        </w:tc>
      </w:tr>
      <w:tr w:rsidR="00B76189" w:rsidRPr="007C5E06" w14:paraId="6CD8D3C1" w14:textId="77777777" w:rsidTr="003710EB">
        <w:trPr>
          <w:trHeight w:val="9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64C35E8A"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Fandotoana ny tany sy ny rano noho ny fiparitahana tsy nahy ny akora mandoto sy ny akora mampidi-doza</w:t>
            </w:r>
          </w:p>
        </w:tc>
        <w:tc>
          <w:tcPr>
            <w:tcW w:w="5245" w:type="dxa"/>
            <w:tcBorders>
              <w:top w:val="nil"/>
              <w:left w:val="nil"/>
              <w:bottom w:val="single" w:sz="8" w:space="0" w:color="auto"/>
              <w:right w:val="single" w:sz="8" w:space="0" w:color="auto"/>
            </w:tcBorders>
            <w:shd w:val="clear" w:color="auto" w:fill="auto"/>
            <w:noWrap/>
            <w:vAlign w:val="center"/>
            <w:hideMark/>
          </w:tcPr>
          <w:p w14:paraId="360EB23E"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Fampiasana fiara tsara. Fanadiovana tsara alohan'ny hialàna ny toerana.</w:t>
            </w:r>
          </w:p>
        </w:tc>
      </w:tr>
      <w:tr w:rsidR="00B76189" w:rsidRPr="007C5E06" w14:paraId="37C539C2" w14:textId="77777777" w:rsidTr="003710EB">
        <w:trPr>
          <w:trHeight w:val="1152"/>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55408E25"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Fandotoana ny tany amin'ny alàlan'ny famelana fako ao anatin'izany ny fitaovana mampiasa herin’aratra sy elektronika (DEEE)</w:t>
            </w:r>
          </w:p>
        </w:tc>
        <w:tc>
          <w:tcPr>
            <w:tcW w:w="5245" w:type="dxa"/>
            <w:tcBorders>
              <w:top w:val="nil"/>
              <w:left w:val="nil"/>
              <w:bottom w:val="single" w:sz="8" w:space="0" w:color="auto"/>
              <w:right w:val="single" w:sz="8" w:space="0" w:color="auto"/>
            </w:tcBorders>
            <w:shd w:val="clear" w:color="auto" w:fill="auto"/>
            <w:noWrap/>
            <w:vAlign w:val="center"/>
            <w:hideMark/>
          </w:tcPr>
          <w:p w14:paraId="289A052C"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Fanangonana sy fandefasana ireo fako any amin'ny ivon-toerana manokana misahana izany karazam-pako izany</w:t>
            </w:r>
          </w:p>
        </w:tc>
      </w:tr>
      <w:tr w:rsidR="00B76189" w:rsidRPr="00345918" w14:paraId="7213792F" w14:textId="77777777" w:rsidTr="003710EB">
        <w:trPr>
          <w:trHeight w:val="468"/>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244599FA"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Fahaverezana asa</w:t>
            </w:r>
          </w:p>
        </w:tc>
        <w:tc>
          <w:tcPr>
            <w:tcW w:w="5245" w:type="dxa"/>
            <w:tcBorders>
              <w:top w:val="nil"/>
              <w:left w:val="nil"/>
              <w:bottom w:val="single" w:sz="8" w:space="0" w:color="auto"/>
              <w:right w:val="single" w:sz="8" w:space="0" w:color="auto"/>
            </w:tcBorders>
            <w:shd w:val="clear" w:color="auto" w:fill="auto"/>
            <w:noWrap/>
            <w:vAlign w:val="center"/>
            <w:hideMark/>
          </w:tcPr>
          <w:p w14:paraId="1D30BEC6"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Fanajana sy fampiharana ny lalàna manan-kery mifehy ny asa eto amin'ny firenena</w:t>
            </w:r>
          </w:p>
        </w:tc>
      </w:tr>
      <w:tr w:rsidR="00B76189" w:rsidRPr="00345918" w14:paraId="1337EBFB" w14:textId="77777777" w:rsidTr="003710EB">
        <w:trPr>
          <w:trHeight w:val="468"/>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701CF64F" w14:textId="77777777" w:rsidR="00B76189" w:rsidRPr="007C5E06" w:rsidRDefault="00B76189" w:rsidP="003710EB">
            <w:pPr>
              <w:spacing w:after="0" w:line="240" w:lineRule="auto"/>
              <w:jc w:val="both"/>
              <w:rPr>
                <w:rFonts w:ascii="Arial" w:eastAsia="Times New Roman" w:hAnsi="Arial" w:cs="Arial"/>
                <w:color w:val="000000"/>
                <w:sz w:val="18"/>
                <w:szCs w:val="18"/>
                <w:lang w:eastAsia="fr-FR"/>
              </w:rPr>
            </w:pPr>
            <w:r w:rsidRPr="007C5E06">
              <w:rPr>
                <w:rFonts w:ascii="Arial" w:eastAsia="Times New Roman" w:hAnsi="Arial" w:cs="Arial"/>
                <w:color w:val="000000"/>
                <w:sz w:val="18"/>
                <w:szCs w:val="18"/>
                <w:lang w:eastAsia="fr-FR"/>
              </w:rPr>
              <w:t>Fikorontanan'ny fifamoivoizana</w:t>
            </w:r>
          </w:p>
        </w:tc>
        <w:tc>
          <w:tcPr>
            <w:tcW w:w="5245" w:type="dxa"/>
            <w:tcBorders>
              <w:top w:val="nil"/>
              <w:left w:val="nil"/>
              <w:bottom w:val="single" w:sz="8" w:space="0" w:color="auto"/>
              <w:right w:val="single" w:sz="8" w:space="0" w:color="auto"/>
            </w:tcBorders>
            <w:shd w:val="clear" w:color="auto" w:fill="auto"/>
            <w:noWrap/>
            <w:vAlign w:val="center"/>
            <w:hideMark/>
          </w:tcPr>
          <w:p w14:paraId="222226D1"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Ny fitandremana ny lalàna mifehy ny fifamoivoizana</w:t>
            </w:r>
          </w:p>
        </w:tc>
      </w:tr>
    </w:tbl>
    <w:p w14:paraId="6364BDAB" w14:textId="77777777" w:rsidR="00B76189" w:rsidRPr="00B8016A" w:rsidRDefault="00B76189" w:rsidP="00B76189">
      <w:pPr>
        <w:spacing w:after="120" w:line="240" w:lineRule="auto"/>
        <w:jc w:val="both"/>
        <w:rPr>
          <w:rFonts w:ascii="Arial" w:hAnsi="Arial" w:cs="Arial"/>
          <w:color w:val="000000"/>
          <w:shd w:val="clear" w:color="auto" w:fill="F5F5F5"/>
          <w:lang w:val="en-US"/>
        </w:rPr>
      </w:pPr>
    </w:p>
    <w:p w14:paraId="2ACD3FE2" w14:textId="77777777" w:rsidR="00B76189" w:rsidRPr="00B8016A" w:rsidRDefault="00B76189" w:rsidP="00B76189">
      <w:pPr>
        <w:spacing w:after="120" w:line="240" w:lineRule="auto"/>
        <w:jc w:val="both"/>
        <w:rPr>
          <w:rFonts w:ascii="Arial" w:hAnsi="Arial" w:cs="Arial"/>
          <w:color w:val="000000"/>
          <w:shd w:val="clear" w:color="auto" w:fill="F5F5F5"/>
          <w:lang w:val="en-US"/>
        </w:rPr>
      </w:pPr>
    </w:p>
    <w:p w14:paraId="1F18971F" w14:textId="77777777" w:rsidR="00B76189" w:rsidRPr="00B8016A" w:rsidRDefault="00B76189" w:rsidP="00B76189">
      <w:pPr>
        <w:spacing w:after="120" w:line="240" w:lineRule="auto"/>
        <w:jc w:val="both"/>
        <w:rPr>
          <w:rFonts w:ascii="Arial" w:hAnsi="Arial" w:cs="Arial"/>
          <w:color w:val="000000"/>
          <w:shd w:val="clear" w:color="auto" w:fill="F5F5F5"/>
          <w:lang w:val="en-US"/>
        </w:rPr>
      </w:pPr>
    </w:p>
    <w:p w14:paraId="0D6A47D2" w14:textId="77777777" w:rsidR="00B76189" w:rsidRPr="00B8016A" w:rsidRDefault="00B76189" w:rsidP="00B76189">
      <w:pPr>
        <w:spacing w:after="120" w:line="240" w:lineRule="auto"/>
        <w:jc w:val="both"/>
        <w:rPr>
          <w:rFonts w:ascii="Arial" w:hAnsi="Arial" w:cs="Arial"/>
          <w:color w:val="000000"/>
          <w:shd w:val="clear" w:color="auto" w:fill="F5F5F5"/>
          <w:lang w:val="en-US"/>
        </w:rPr>
      </w:pPr>
    </w:p>
    <w:p w14:paraId="415208AC" w14:textId="77777777" w:rsidR="00B76189" w:rsidRPr="00B434A6" w:rsidRDefault="00B76189" w:rsidP="00B76189">
      <w:pPr>
        <w:spacing w:after="120" w:line="240" w:lineRule="auto"/>
        <w:jc w:val="both"/>
        <w:rPr>
          <w:rFonts w:ascii="Arial" w:hAnsi="Arial" w:cs="Arial"/>
          <w:b/>
          <w:color w:val="000000"/>
          <w:shd w:val="clear" w:color="auto" w:fill="F5F5F5"/>
          <w:lang w:val="en-US"/>
        </w:rPr>
        <w:sectPr w:rsidR="00B76189" w:rsidRPr="00B434A6" w:rsidSect="00E5387E">
          <w:pgSz w:w="11906" w:h="16838"/>
          <w:pgMar w:top="1417" w:right="1417" w:bottom="1417" w:left="1417" w:header="708" w:footer="708" w:gutter="0"/>
          <w:pgNumType w:fmt="lowerRoman"/>
          <w:cols w:space="708"/>
          <w:docGrid w:linePitch="360"/>
        </w:sectPr>
      </w:pPr>
    </w:p>
    <w:p w14:paraId="03238FF8" w14:textId="77777777" w:rsidR="00B76189" w:rsidRPr="00F0092A" w:rsidRDefault="00B76189" w:rsidP="0044500E">
      <w:pPr>
        <w:pStyle w:val="Paragraphedeliste"/>
        <w:numPr>
          <w:ilvl w:val="0"/>
          <w:numId w:val="185"/>
        </w:numPr>
        <w:spacing w:after="120" w:line="240" w:lineRule="auto"/>
        <w:jc w:val="both"/>
        <w:rPr>
          <w:rFonts w:ascii="Arial" w:hAnsi="Arial" w:cs="Arial"/>
          <w:b/>
          <w:color w:val="auto"/>
          <w:lang w:val="en-US"/>
        </w:rPr>
      </w:pPr>
      <w:r w:rsidRPr="00F0092A">
        <w:rPr>
          <w:rFonts w:ascii="Arial" w:hAnsi="Arial" w:cs="Arial"/>
          <w:b/>
          <w:color w:val="auto"/>
          <w:lang w:val="en-US"/>
        </w:rPr>
        <w:lastRenderedPageBreak/>
        <w:t>FANDAHARANA FANARAHAMASO</w:t>
      </w:r>
    </w:p>
    <w:tbl>
      <w:tblPr>
        <w:tblW w:w="51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06"/>
        <w:gridCol w:w="5060"/>
        <w:gridCol w:w="1541"/>
        <w:gridCol w:w="1121"/>
        <w:gridCol w:w="983"/>
        <w:gridCol w:w="1009"/>
        <w:gridCol w:w="955"/>
      </w:tblGrid>
      <w:tr w:rsidR="00B76189" w:rsidRPr="0066250B" w14:paraId="10613B28" w14:textId="77777777" w:rsidTr="005D6D41">
        <w:trPr>
          <w:trHeight w:val="288"/>
          <w:tblHeader/>
          <w:jc w:val="center"/>
        </w:trPr>
        <w:tc>
          <w:tcPr>
            <w:tcW w:w="1289" w:type="pct"/>
            <w:shd w:val="clear" w:color="auto" w:fill="8EAADB"/>
            <w:noWrap/>
            <w:vAlign w:val="center"/>
            <w:hideMark/>
          </w:tcPr>
          <w:p w14:paraId="0656DCA3" w14:textId="77777777" w:rsidR="00B76189" w:rsidRPr="0066250B" w:rsidRDefault="00B76189" w:rsidP="003710EB">
            <w:pPr>
              <w:spacing w:after="0" w:line="240" w:lineRule="auto"/>
              <w:jc w:val="center"/>
              <w:rPr>
                <w:rFonts w:ascii="Arial" w:eastAsia="Times New Roman" w:hAnsi="Arial" w:cs="Arial"/>
                <w:b/>
                <w:color w:val="000000"/>
                <w:sz w:val="18"/>
                <w:szCs w:val="18"/>
                <w:lang w:eastAsia="fr-FR"/>
              </w:rPr>
            </w:pPr>
            <w:bookmarkStart w:id="24" w:name="_Hlk124982961"/>
            <w:r w:rsidRPr="0066250B">
              <w:rPr>
                <w:rFonts w:ascii="Arial" w:eastAsia="Times New Roman" w:hAnsi="Arial" w:cs="Arial"/>
                <w:b/>
                <w:color w:val="000000"/>
                <w:sz w:val="18"/>
                <w:szCs w:val="18"/>
                <w:lang w:eastAsia="fr-FR"/>
              </w:rPr>
              <w:t>Fiantraikany</w:t>
            </w:r>
          </w:p>
        </w:tc>
        <w:tc>
          <w:tcPr>
            <w:tcW w:w="1760" w:type="pct"/>
            <w:shd w:val="clear" w:color="auto" w:fill="8EAADB"/>
            <w:noWrap/>
            <w:vAlign w:val="center"/>
            <w:hideMark/>
          </w:tcPr>
          <w:p w14:paraId="4D5B0DE4" w14:textId="77777777" w:rsidR="00B76189" w:rsidRPr="0066250B" w:rsidRDefault="00B76189" w:rsidP="003710EB">
            <w:pPr>
              <w:spacing w:after="0" w:line="240" w:lineRule="auto"/>
              <w:jc w:val="center"/>
              <w:rPr>
                <w:rFonts w:ascii="Arial" w:eastAsia="Times New Roman" w:hAnsi="Arial" w:cs="Arial"/>
                <w:b/>
                <w:color w:val="000000"/>
                <w:sz w:val="18"/>
                <w:szCs w:val="18"/>
                <w:lang w:eastAsia="fr-FR"/>
              </w:rPr>
            </w:pPr>
            <w:r w:rsidRPr="0066250B">
              <w:rPr>
                <w:rFonts w:ascii="Arial" w:eastAsia="Times New Roman" w:hAnsi="Arial" w:cs="Arial"/>
                <w:b/>
                <w:color w:val="000000"/>
                <w:sz w:val="18"/>
                <w:szCs w:val="18"/>
                <w:lang w:eastAsia="fr-FR"/>
              </w:rPr>
              <w:t>Fepetra fisorohana na fanalefahana</w:t>
            </w:r>
          </w:p>
        </w:tc>
        <w:tc>
          <w:tcPr>
            <w:tcW w:w="536" w:type="pct"/>
            <w:shd w:val="clear" w:color="auto" w:fill="8EAADB"/>
            <w:vAlign w:val="center"/>
          </w:tcPr>
          <w:p w14:paraId="3930C8E6" w14:textId="77777777" w:rsidR="00B76189" w:rsidRPr="0066250B" w:rsidRDefault="00B76189" w:rsidP="003710EB">
            <w:pPr>
              <w:spacing w:after="0" w:line="240" w:lineRule="auto"/>
              <w:jc w:val="center"/>
              <w:rPr>
                <w:rFonts w:ascii="Arial" w:eastAsia="Times New Roman" w:hAnsi="Arial" w:cs="Arial"/>
                <w:b/>
                <w:color w:val="000000"/>
                <w:sz w:val="18"/>
                <w:szCs w:val="18"/>
                <w:lang w:eastAsia="fr-FR"/>
              </w:rPr>
            </w:pPr>
            <w:r w:rsidRPr="0066250B">
              <w:rPr>
                <w:rFonts w:ascii="Arial" w:eastAsia="Times New Roman" w:hAnsi="Arial" w:cs="Arial"/>
                <w:b/>
                <w:color w:val="000000"/>
                <w:sz w:val="18"/>
                <w:szCs w:val="18"/>
                <w:lang w:eastAsia="fr-FR"/>
              </w:rPr>
              <w:t>Marika</w:t>
            </w:r>
          </w:p>
        </w:tc>
        <w:tc>
          <w:tcPr>
            <w:tcW w:w="390" w:type="pct"/>
            <w:shd w:val="clear" w:color="auto" w:fill="8EAADB"/>
            <w:vAlign w:val="center"/>
          </w:tcPr>
          <w:p w14:paraId="1F97EB62" w14:textId="77777777" w:rsidR="00B76189" w:rsidRPr="0066250B" w:rsidRDefault="00B76189" w:rsidP="003710EB">
            <w:pPr>
              <w:spacing w:after="0" w:line="240" w:lineRule="auto"/>
              <w:jc w:val="center"/>
              <w:rPr>
                <w:rFonts w:ascii="Arial" w:eastAsia="Times New Roman" w:hAnsi="Arial" w:cs="Arial"/>
                <w:b/>
                <w:color w:val="000000"/>
                <w:sz w:val="18"/>
                <w:szCs w:val="18"/>
                <w:lang w:eastAsia="fr-FR"/>
              </w:rPr>
            </w:pPr>
            <w:r w:rsidRPr="0066250B">
              <w:rPr>
                <w:rFonts w:ascii="Arial" w:eastAsia="Times New Roman" w:hAnsi="Arial" w:cs="Arial"/>
                <w:b/>
                <w:color w:val="000000"/>
                <w:sz w:val="18"/>
                <w:szCs w:val="18"/>
                <w:lang w:eastAsia="fr-FR"/>
              </w:rPr>
              <w:t>Fomba fanarahana</w:t>
            </w:r>
          </w:p>
        </w:tc>
        <w:tc>
          <w:tcPr>
            <w:tcW w:w="342" w:type="pct"/>
            <w:shd w:val="clear" w:color="auto" w:fill="8EAADB"/>
            <w:vAlign w:val="center"/>
          </w:tcPr>
          <w:p w14:paraId="222DE18D" w14:textId="77777777" w:rsidR="00B76189" w:rsidRPr="0066250B" w:rsidRDefault="00B76189" w:rsidP="003710EB">
            <w:pPr>
              <w:spacing w:after="0" w:line="240" w:lineRule="auto"/>
              <w:jc w:val="center"/>
              <w:rPr>
                <w:rFonts w:ascii="Arial" w:eastAsia="Times New Roman" w:hAnsi="Arial" w:cs="Arial"/>
                <w:b/>
                <w:color w:val="000000"/>
                <w:sz w:val="18"/>
                <w:szCs w:val="18"/>
                <w:lang w:eastAsia="fr-FR"/>
              </w:rPr>
            </w:pPr>
            <w:r w:rsidRPr="0066250B">
              <w:rPr>
                <w:rFonts w:ascii="Arial" w:eastAsia="Times New Roman" w:hAnsi="Arial" w:cs="Arial"/>
                <w:b/>
                <w:color w:val="000000"/>
                <w:sz w:val="18"/>
                <w:szCs w:val="18"/>
                <w:lang w:eastAsia="fr-FR"/>
              </w:rPr>
              <w:t>Tetiandro</w:t>
            </w:r>
          </w:p>
        </w:tc>
        <w:tc>
          <w:tcPr>
            <w:tcW w:w="351" w:type="pct"/>
            <w:shd w:val="clear" w:color="auto" w:fill="8EAADB"/>
            <w:vAlign w:val="center"/>
          </w:tcPr>
          <w:p w14:paraId="5532949F" w14:textId="77777777" w:rsidR="00B76189" w:rsidRPr="0066250B" w:rsidRDefault="00B76189" w:rsidP="003710EB">
            <w:pPr>
              <w:spacing w:after="0" w:line="240" w:lineRule="auto"/>
              <w:jc w:val="center"/>
              <w:rPr>
                <w:rFonts w:ascii="Arial" w:eastAsia="Times New Roman" w:hAnsi="Arial" w:cs="Arial"/>
                <w:b/>
                <w:color w:val="000000"/>
                <w:sz w:val="18"/>
                <w:szCs w:val="18"/>
                <w:lang w:eastAsia="fr-FR"/>
              </w:rPr>
            </w:pPr>
            <w:r w:rsidRPr="0066250B">
              <w:rPr>
                <w:rFonts w:ascii="Arial" w:eastAsia="Times New Roman" w:hAnsi="Arial" w:cs="Arial"/>
                <w:b/>
                <w:color w:val="000000"/>
                <w:sz w:val="18"/>
                <w:szCs w:val="18"/>
                <w:lang w:eastAsia="fr-FR"/>
              </w:rPr>
              <w:t>Tompon’andraikitra</w:t>
            </w:r>
          </w:p>
        </w:tc>
        <w:tc>
          <w:tcPr>
            <w:tcW w:w="332" w:type="pct"/>
            <w:shd w:val="clear" w:color="auto" w:fill="8EAADB"/>
            <w:vAlign w:val="center"/>
          </w:tcPr>
          <w:p w14:paraId="107C6CA9" w14:textId="77777777" w:rsidR="00B76189" w:rsidRPr="0066250B" w:rsidRDefault="00B76189" w:rsidP="003710EB">
            <w:pPr>
              <w:spacing w:after="0" w:line="240" w:lineRule="auto"/>
              <w:jc w:val="center"/>
              <w:rPr>
                <w:rFonts w:ascii="Arial" w:eastAsia="Times New Roman" w:hAnsi="Arial" w:cs="Arial"/>
                <w:b/>
                <w:color w:val="000000"/>
                <w:sz w:val="18"/>
                <w:szCs w:val="18"/>
                <w:lang w:eastAsia="fr-FR"/>
              </w:rPr>
            </w:pPr>
            <w:r w:rsidRPr="0066250B">
              <w:rPr>
                <w:rFonts w:ascii="Arial" w:eastAsia="Times New Roman" w:hAnsi="Arial" w:cs="Arial"/>
                <w:b/>
                <w:color w:val="000000"/>
                <w:sz w:val="18"/>
                <w:szCs w:val="18"/>
                <w:lang w:eastAsia="fr-FR"/>
              </w:rPr>
              <w:t>Fanarahamaso</w:t>
            </w:r>
          </w:p>
        </w:tc>
      </w:tr>
      <w:tr w:rsidR="00B76189" w:rsidRPr="0066250B" w14:paraId="619D1639" w14:textId="77777777" w:rsidTr="003710EB">
        <w:trPr>
          <w:trHeight w:val="288"/>
          <w:jc w:val="center"/>
        </w:trPr>
        <w:tc>
          <w:tcPr>
            <w:tcW w:w="5000" w:type="pct"/>
            <w:gridSpan w:val="7"/>
            <w:shd w:val="clear" w:color="auto" w:fill="00B0F0"/>
            <w:noWrap/>
            <w:vAlign w:val="center"/>
            <w:hideMark/>
          </w:tcPr>
          <w:p w14:paraId="7D272400" w14:textId="77777777" w:rsidR="00B76189" w:rsidRPr="0066250B" w:rsidRDefault="00B76189" w:rsidP="003710EB">
            <w:pPr>
              <w:spacing w:after="0" w:line="240" w:lineRule="auto"/>
              <w:jc w:val="center"/>
              <w:rPr>
                <w:rFonts w:ascii="Arial" w:eastAsia="Times New Roman" w:hAnsi="Arial" w:cs="Arial"/>
                <w:b/>
                <w:color w:val="000000"/>
                <w:sz w:val="18"/>
                <w:szCs w:val="18"/>
                <w:lang w:eastAsia="fr-FR"/>
              </w:rPr>
            </w:pPr>
            <w:r w:rsidRPr="0066250B">
              <w:rPr>
                <w:rFonts w:ascii="Arial" w:eastAsia="Times New Roman" w:hAnsi="Arial" w:cs="Arial"/>
                <w:b/>
                <w:color w:val="000000"/>
                <w:sz w:val="18"/>
                <w:szCs w:val="18"/>
                <w:lang w:eastAsia="fr-FR"/>
              </w:rPr>
              <w:t>Dingana fanomanana sy fanorenana</w:t>
            </w:r>
          </w:p>
        </w:tc>
      </w:tr>
      <w:tr w:rsidR="00B76189" w:rsidRPr="0066250B" w14:paraId="153FEC49" w14:textId="77777777" w:rsidTr="003710EB">
        <w:trPr>
          <w:trHeight w:val="737"/>
          <w:jc w:val="center"/>
        </w:trPr>
        <w:tc>
          <w:tcPr>
            <w:tcW w:w="1289" w:type="pct"/>
            <w:shd w:val="clear" w:color="auto" w:fill="auto"/>
            <w:noWrap/>
            <w:vAlign w:val="center"/>
            <w:hideMark/>
          </w:tcPr>
          <w:p w14:paraId="626A7D38"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sidRPr="0066250B">
              <w:rPr>
                <w:rFonts w:ascii="Arial" w:eastAsia="Times New Roman" w:hAnsi="Arial" w:cs="Arial"/>
                <w:color w:val="000000"/>
                <w:sz w:val="18"/>
                <w:szCs w:val="18"/>
                <w:lang w:eastAsia="fr-FR"/>
              </w:rPr>
              <w:t>Fandotoana ny rivotra avy amin'ny alàlan'ny fanaingana vovoka noho ny fandalovan'ny fiara sy famoahana etona avy amin'ny fiara.</w:t>
            </w:r>
          </w:p>
        </w:tc>
        <w:tc>
          <w:tcPr>
            <w:tcW w:w="1760" w:type="pct"/>
            <w:shd w:val="clear" w:color="auto" w:fill="auto"/>
            <w:noWrap/>
            <w:vAlign w:val="center"/>
            <w:hideMark/>
          </w:tcPr>
          <w:p w14:paraId="2A52B87E"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sidRPr="0066250B">
              <w:rPr>
                <w:rFonts w:ascii="Arial" w:eastAsia="Times New Roman" w:hAnsi="Arial" w:cs="Arial"/>
                <w:color w:val="000000"/>
                <w:sz w:val="18"/>
                <w:szCs w:val="18"/>
                <w:lang w:eastAsia="fr-FR"/>
              </w:rPr>
              <w:t>Fanamandoana ny tany.</w:t>
            </w:r>
          </w:p>
          <w:p w14:paraId="427C89DF"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sidRPr="0066250B">
              <w:rPr>
                <w:rFonts w:ascii="Arial" w:eastAsia="Times New Roman" w:hAnsi="Arial" w:cs="Arial"/>
                <w:color w:val="000000"/>
                <w:sz w:val="18"/>
                <w:szCs w:val="18"/>
                <w:lang w:eastAsia="fr-FR"/>
              </w:rPr>
              <w:t xml:space="preserve">Fampiasana fiara tsara. </w:t>
            </w:r>
          </w:p>
          <w:p w14:paraId="3EC21085"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sidRPr="0066250B">
              <w:rPr>
                <w:rFonts w:ascii="Arial" w:eastAsia="Times New Roman" w:hAnsi="Arial" w:cs="Arial"/>
                <w:color w:val="000000"/>
                <w:sz w:val="18"/>
                <w:szCs w:val="18"/>
                <w:lang w:eastAsia="fr-FR"/>
              </w:rPr>
              <w:t>Fikarakarana fiara tsy tapaka</w:t>
            </w:r>
          </w:p>
        </w:tc>
        <w:tc>
          <w:tcPr>
            <w:tcW w:w="536" w:type="pct"/>
            <w:vAlign w:val="center"/>
          </w:tcPr>
          <w:p w14:paraId="3600965C"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sidRPr="0066250B">
              <w:rPr>
                <w:rFonts w:ascii="Arial" w:eastAsia="Times New Roman" w:hAnsi="Arial" w:cs="Arial"/>
                <w:color w:val="000000"/>
                <w:sz w:val="18"/>
                <w:szCs w:val="18"/>
                <w:lang w:eastAsia="fr-FR"/>
              </w:rPr>
              <w:t>Fahavitan’ny fanamandoana</w:t>
            </w:r>
          </w:p>
        </w:tc>
        <w:tc>
          <w:tcPr>
            <w:tcW w:w="390" w:type="pct"/>
            <w:vAlign w:val="center"/>
          </w:tcPr>
          <w:p w14:paraId="4F950B4E"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Fijerena</w:t>
            </w:r>
          </w:p>
        </w:tc>
        <w:tc>
          <w:tcPr>
            <w:tcW w:w="342" w:type="pct"/>
            <w:vAlign w:val="center"/>
          </w:tcPr>
          <w:p w14:paraId="23DF9EE8"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Isan-kerinandro</w:t>
            </w:r>
          </w:p>
        </w:tc>
        <w:tc>
          <w:tcPr>
            <w:tcW w:w="351" w:type="pct"/>
            <w:vAlign w:val="center"/>
          </w:tcPr>
          <w:p w14:paraId="54DFEF84"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Orinasa</w:t>
            </w:r>
          </w:p>
        </w:tc>
        <w:tc>
          <w:tcPr>
            <w:tcW w:w="332" w:type="pct"/>
            <w:vAlign w:val="center"/>
          </w:tcPr>
          <w:p w14:paraId="2DF46E80"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MdC</w:t>
            </w:r>
          </w:p>
        </w:tc>
      </w:tr>
      <w:tr w:rsidR="00B76189" w:rsidRPr="0066250B" w14:paraId="4FADCBDD" w14:textId="77777777" w:rsidTr="003710EB">
        <w:trPr>
          <w:trHeight w:val="288"/>
          <w:jc w:val="center"/>
        </w:trPr>
        <w:tc>
          <w:tcPr>
            <w:tcW w:w="1289" w:type="pct"/>
            <w:shd w:val="clear" w:color="auto" w:fill="auto"/>
            <w:noWrap/>
            <w:vAlign w:val="center"/>
            <w:hideMark/>
          </w:tcPr>
          <w:p w14:paraId="50586072"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Ny mety hisian'ny fikaohan’ny riaka</w:t>
            </w:r>
          </w:p>
        </w:tc>
        <w:tc>
          <w:tcPr>
            <w:tcW w:w="1760" w:type="pct"/>
            <w:shd w:val="clear" w:color="auto" w:fill="auto"/>
            <w:noWrap/>
            <w:vAlign w:val="center"/>
            <w:hideMark/>
          </w:tcPr>
          <w:p w14:paraId="6978CA88"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sidRPr="0066250B">
              <w:rPr>
                <w:rFonts w:ascii="Arial" w:eastAsia="Times New Roman" w:hAnsi="Arial" w:cs="Arial"/>
                <w:color w:val="000000"/>
                <w:sz w:val="18"/>
                <w:szCs w:val="18"/>
                <w:lang w:eastAsia="fr-FR"/>
              </w:rPr>
              <w:t>Fanatanterahana ny asa mandritra ny vanim-potoana maina</w:t>
            </w:r>
          </w:p>
        </w:tc>
        <w:tc>
          <w:tcPr>
            <w:tcW w:w="536" w:type="pct"/>
            <w:vAlign w:val="center"/>
          </w:tcPr>
          <w:p w14:paraId="59FEAA6E"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sidRPr="0066250B">
              <w:rPr>
                <w:rFonts w:ascii="Arial" w:eastAsia="Times New Roman" w:hAnsi="Arial" w:cs="Arial"/>
                <w:color w:val="000000"/>
                <w:sz w:val="18"/>
                <w:szCs w:val="18"/>
                <w:lang w:eastAsia="fr-FR"/>
              </w:rPr>
              <w:t>Tetiandro fiasana</w:t>
            </w:r>
          </w:p>
        </w:tc>
        <w:tc>
          <w:tcPr>
            <w:tcW w:w="390" w:type="pct"/>
            <w:vAlign w:val="center"/>
          </w:tcPr>
          <w:p w14:paraId="19DD34CD"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Fijerena</w:t>
            </w:r>
          </w:p>
        </w:tc>
        <w:tc>
          <w:tcPr>
            <w:tcW w:w="342" w:type="pct"/>
            <w:vAlign w:val="center"/>
          </w:tcPr>
          <w:p w14:paraId="563F5318"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Isan-telo volana</w:t>
            </w:r>
          </w:p>
        </w:tc>
        <w:tc>
          <w:tcPr>
            <w:tcW w:w="351" w:type="pct"/>
            <w:vAlign w:val="center"/>
          </w:tcPr>
          <w:p w14:paraId="5663A984"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Orinasa</w:t>
            </w:r>
          </w:p>
        </w:tc>
        <w:tc>
          <w:tcPr>
            <w:tcW w:w="332" w:type="pct"/>
            <w:vAlign w:val="center"/>
          </w:tcPr>
          <w:p w14:paraId="486B1913"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MdC</w:t>
            </w:r>
          </w:p>
        </w:tc>
      </w:tr>
      <w:tr w:rsidR="00B76189" w:rsidRPr="0066250B" w14:paraId="59E111CC" w14:textId="77777777" w:rsidTr="003710EB">
        <w:trPr>
          <w:trHeight w:val="288"/>
          <w:jc w:val="center"/>
        </w:trPr>
        <w:tc>
          <w:tcPr>
            <w:tcW w:w="1289" w:type="pct"/>
            <w:shd w:val="clear" w:color="auto" w:fill="auto"/>
            <w:noWrap/>
            <w:vAlign w:val="center"/>
            <w:hideMark/>
          </w:tcPr>
          <w:p w14:paraId="5972AE95"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Fandotoana ny rano avy amin'ny alàlan'ny singa mandoto</w:t>
            </w:r>
          </w:p>
        </w:tc>
        <w:tc>
          <w:tcPr>
            <w:tcW w:w="1760" w:type="pct"/>
            <w:shd w:val="clear" w:color="auto" w:fill="auto"/>
            <w:noWrap/>
            <w:vAlign w:val="center"/>
            <w:hideMark/>
          </w:tcPr>
          <w:p w14:paraId="1FA0670B"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Fametrahana fomba fanangonana sy fanasokajiana fako.</w:t>
            </w:r>
          </w:p>
        </w:tc>
        <w:tc>
          <w:tcPr>
            <w:tcW w:w="536" w:type="pct"/>
            <w:vAlign w:val="center"/>
          </w:tcPr>
          <w:p w14:paraId="679DCD76"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Fisian’ny fanangonana sy fisokajiana fako</w:t>
            </w:r>
          </w:p>
        </w:tc>
        <w:tc>
          <w:tcPr>
            <w:tcW w:w="390" w:type="pct"/>
            <w:vAlign w:val="center"/>
          </w:tcPr>
          <w:p w14:paraId="2BE0181C"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Fijerena</w:t>
            </w:r>
          </w:p>
        </w:tc>
        <w:tc>
          <w:tcPr>
            <w:tcW w:w="342" w:type="pct"/>
            <w:vAlign w:val="center"/>
          </w:tcPr>
          <w:p w14:paraId="4F09C7C2"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Isan-kerinandro</w:t>
            </w:r>
          </w:p>
        </w:tc>
        <w:tc>
          <w:tcPr>
            <w:tcW w:w="351" w:type="pct"/>
            <w:vAlign w:val="center"/>
          </w:tcPr>
          <w:p w14:paraId="4541324C"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Orinasa</w:t>
            </w:r>
          </w:p>
        </w:tc>
        <w:tc>
          <w:tcPr>
            <w:tcW w:w="332" w:type="pct"/>
            <w:vAlign w:val="center"/>
          </w:tcPr>
          <w:p w14:paraId="713358C3"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MdC</w:t>
            </w:r>
          </w:p>
        </w:tc>
      </w:tr>
      <w:tr w:rsidR="00B76189" w:rsidRPr="0066250B" w14:paraId="3EABEC7F" w14:textId="77777777" w:rsidTr="003710EB">
        <w:trPr>
          <w:trHeight w:val="288"/>
          <w:jc w:val="center"/>
        </w:trPr>
        <w:tc>
          <w:tcPr>
            <w:tcW w:w="1289" w:type="pct"/>
            <w:shd w:val="clear" w:color="auto" w:fill="auto"/>
            <w:noWrap/>
            <w:vAlign w:val="center"/>
            <w:hideMark/>
          </w:tcPr>
          <w:p w14:paraId="2A749AC0"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Fanapahana tsy ara-dalàna ho an'ny filana kitay</w:t>
            </w:r>
          </w:p>
        </w:tc>
        <w:tc>
          <w:tcPr>
            <w:tcW w:w="1760" w:type="pct"/>
            <w:shd w:val="clear" w:color="auto" w:fill="auto"/>
            <w:noWrap/>
            <w:vAlign w:val="center"/>
            <w:hideMark/>
          </w:tcPr>
          <w:p w14:paraId="566170D8"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Fandrarana ny fanapahana hazo manodidina. Famatsiana avy amin'ny mpamatsy manana fankatoavana</w:t>
            </w:r>
          </w:p>
        </w:tc>
        <w:tc>
          <w:tcPr>
            <w:tcW w:w="536" w:type="pct"/>
            <w:vAlign w:val="center"/>
          </w:tcPr>
          <w:p w14:paraId="7332F80A"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sidRPr="0066250B">
              <w:rPr>
                <w:rFonts w:ascii="Arial" w:eastAsia="Times New Roman" w:hAnsi="Arial" w:cs="Arial"/>
                <w:color w:val="000000"/>
                <w:sz w:val="18"/>
                <w:szCs w:val="18"/>
                <w:lang w:eastAsia="fr-FR"/>
              </w:rPr>
              <w:t>Fisian’ny rosia nividianana kitay</w:t>
            </w:r>
          </w:p>
        </w:tc>
        <w:tc>
          <w:tcPr>
            <w:tcW w:w="390" w:type="pct"/>
            <w:vAlign w:val="center"/>
          </w:tcPr>
          <w:p w14:paraId="05629537"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Fijerena</w:t>
            </w:r>
          </w:p>
        </w:tc>
        <w:tc>
          <w:tcPr>
            <w:tcW w:w="342" w:type="pct"/>
            <w:vAlign w:val="center"/>
          </w:tcPr>
          <w:p w14:paraId="320322F1"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Isam-bolana</w:t>
            </w:r>
          </w:p>
        </w:tc>
        <w:tc>
          <w:tcPr>
            <w:tcW w:w="351" w:type="pct"/>
            <w:vAlign w:val="center"/>
          </w:tcPr>
          <w:p w14:paraId="3D6047B9"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Orinasa</w:t>
            </w:r>
          </w:p>
        </w:tc>
        <w:tc>
          <w:tcPr>
            <w:tcW w:w="332" w:type="pct"/>
            <w:vAlign w:val="center"/>
          </w:tcPr>
          <w:p w14:paraId="31AC6BAF"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MdC</w:t>
            </w:r>
          </w:p>
        </w:tc>
      </w:tr>
      <w:tr w:rsidR="00B76189" w:rsidRPr="0066250B" w14:paraId="7FCC3C86" w14:textId="77777777" w:rsidTr="003710EB">
        <w:trPr>
          <w:trHeight w:hRule="exact" w:val="2075"/>
          <w:jc w:val="center"/>
        </w:trPr>
        <w:tc>
          <w:tcPr>
            <w:tcW w:w="1289" w:type="pct"/>
            <w:shd w:val="clear" w:color="auto" w:fill="auto"/>
            <w:noWrap/>
            <w:vAlign w:val="center"/>
            <w:hideMark/>
          </w:tcPr>
          <w:p w14:paraId="649C8865"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Disadisa noho ny fisian'ny mpiasa avy any ivelany</w:t>
            </w:r>
          </w:p>
        </w:tc>
        <w:tc>
          <w:tcPr>
            <w:tcW w:w="1760" w:type="pct"/>
            <w:shd w:val="clear" w:color="auto" w:fill="auto"/>
            <w:noWrap/>
            <w:vAlign w:val="center"/>
            <w:hideMark/>
          </w:tcPr>
          <w:p w14:paraId="642976BC"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Fametahana peta-drindrina ny tolotr’asa eny anivon’ny Fokontany sy Kaominina voakasika. Famantarana mialoha ny toerana ara-pivavahana na ara-kolontsaina ao amin'ny faritry ny tetikasa</w:t>
            </w:r>
          </w:p>
          <w:p w14:paraId="25BD07A7"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Fampahafantarana/fanentanana ny mpiasa Fanaovana ho laharam-pahamehana ny fandraisana ny mpiasa eo an-toerana</w:t>
            </w:r>
          </w:p>
        </w:tc>
        <w:tc>
          <w:tcPr>
            <w:tcW w:w="536" w:type="pct"/>
            <w:vAlign w:val="center"/>
          </w:tcPr>
          <w:p w14:paraId="5FDB6716"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sidRPr="00505129">
              <w:rPr>
                <w:rFonts w:ascii="Arial" w:eastAsia="Times New Roman" w:hAnsi="Arial" w:cs="Arial"/>
                <w:color w:val="000000"/>
                <w:sz w:val="18"/>
                <w:szCs w:val="18"/>
                <w:lang w:val="en-US" w:eastAsia="fr-FR"/>
              </w:rPr>
              <w:t xml:space="preserve">Famantarana ireo toerana manan-danja ara-kolotsaina eo an-toerana. </w:t>
            </w:r>
            <w:r>
              <w:rPr>
                <w:rFonts w:ascii="Arial" w:eastAsia="Times New Roman" w:hAnsi="Arial" w:cs="Arial"/>
                <w:color w:val="000000"/>
                <w:sz w:val="18"/>
                <w:szCs w:val="18"/>
                <w:lang w:eastAsia="fr-FR"/>
              </w:rPr>
              <w:t>PV + lisitry ny nanatrika. Boky fandraisana ho mpiasa</w:t>
            </w:r>
          </w:p>
        </w:tc>
        <w:tc>
          <w:tcPr>
            <w:tcW w:w="390" w:type="pct"/>
            <w:vAlign w:val="center"/>
          </w:tcPr>
          <w:p w14:paraId="7F0E9386"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Fijerena</w:t>
            </w:r>
          </w:p>
        </w:tc>
        <w:tc>
          <w:tcPr>
            <w:tcW w:w="342" w:type="pct"/>
            <w:vAlign w:val="center"/>
          </w:tcPr>
          <w:p w14:paraId="6D3E8865"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Fanombohan’ny asa</w:t>
            </w:r>
          </w:p>
        </w:tc>
        <w:tc>
          <w:tcPr>
            <w:tcW w:w="351" w:type="pct"/>
            <w:vAlign w:val="center"/>
          </w:tcPr>
          <w:p w14:paraId="13036954"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Orinasa</w:t>
            </w:r>
          </w:p>
        </w:tc>
        <w:tc>
          <w:tcPr>
            <w:tcW w:w="332" w:type="pct"/>
            <w:vAlign w:val="center"/>
          </w:tcPr>
          <w:p w14:paraId="04EC7EE1"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MdC</w:t>
            </w:r>
          </w:p>
        </w:tc>
      </w:tr>
      <w:tr w:rsidR="00B76189" w:rsidRPr="0066250B" w14:paraId="0FFE249D" w14:textId="77777777" w:rsidTr="003710EB">
        <w:trPr>
          <w:trHeight w:val="1262"/>
          <w:jc w:val="center"/>
        </w:trPr>
        <w:tc>
          <w:tcPr>
            <w:tcW w:w="1289" w:type="pct"/>
            <w:shd w:val="clear" w:color="auto" w:fill="auto"/>
            <w:noWrap/>
            <w:vAlign w:val="center"/>
            <w:hideMark/>
          </w:tcPr>
          <w:p w14:paraId="593AE91F"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Fahasimabana/fahaverezana fananana (tany, sns.)</w:t>
            </w:r>
          </w:p>
        </w:tc>
        <w:tc>
          <w:tcPr>
            <w:tcW w:w="1760" w:type="pct"/>
            <w:shd w:val="clear" w:color="auto" w:fill="auto"/>
            <w:noWrap/>
            <w:vAlign w:val="center"/>
            <w:hideMark/>
          </w:tcPr>
          <w:p w14:paraId="440E419F"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Famerana amin'izay tena ilaina ny faritra voakasiky ny tetikasa</w:t>
            </w:r>
          </w:p>
          <w:p w14:paraId="71F85829"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Fampiharana ny rafitra fanonerana ny fanonerana ny fananana sy ny asan'ny PAP</w:t>
            </w:r>
          </w:p>
        </w:tc>
        <w:tc>
          <w:tcPr>
            <w:tcW w:w="536" w:type="pct"/>
            <w:vAlign w:val="center"/>
          </w:tcPr>
          <w:p w14:paraId="5F5B1035"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Drafitra fanonerana</w:t>
            </w:r>
          </w:p>
        </w:tc>
        <w:tc>
          <w:tcPr>
            <w:tcW w:w="390" w:type="pct"/>
            <w:vAlign w:val="center"/>
          </w:tcPr>
          <w:p w14:paraId="4389B013"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PV fanoneran</w:t>
            </w:r>
          </w:p>
        </w:tc>
        <w:tc>
          <w:tcPr>
            <w:tcW w:w="342" w:type="pct"/>
            <w:vAlign w:val="center"/>
          </w:tcPr>
          <w:p w14:paraId="1434952F"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Alohan’ny asa</w:t>
            </w:r>
          </w:p>
        </w:tc>
        <w:tc>
          <w:tcPr>
            <w:tcW w:w="351" w:type="pct"/>
            <w:vAlign w:val="center"/>
          </w:tcPr>
          <w:p w14:paraId="404BDC1B"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Orinasa</w:t>
            </w:r>
          </w:p>
        </w:tc>
        <w:tc>
          <w:tcPr>
            <w:tcW w:w="332" w:type="pct"/>
            <w:vAlign w:val="center"/>
          </w:tcPr>
          <w:p w14:paraId="3947BBD8"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MdC</w:t>
            </w:r>
          </w:p>
        </w:tc>
      </w:tr>
      <w:tr w:rsidR="00B76189" w:rsidRPr="0066250B" w14:paraId="18FFA82C" w14:textId="77777777" w:rsidTr="003710EB">
        <w:trPr>
          <w:trHeight w:val="552"/>
          <w:jc w:val="center"/>
        </w:trPr>
        <w:tc>
          <w:tcPr>
            <w:tcW w:w="1289" w:type="pct"/>
            <w:shd w:val="clear" w:color="auto" w:fill="auto"/>
            <w:noWrap/>
            <w:vAlign w:val="center"/>
            <w:hideMark/>
          </w:tcPr>
          <w:p w14:paraId="23CF5807"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Tabataba sy hovitrovitra mandritra ny fitaterana</w:t>
            </w:r>
          </w:p>
        </w:tc>
        <w:tc>
          <w:tcPr>
            <w:tcW w:w="1760" w:type="pct"/>
            <w:shd w:val="clear" w:color="auto" w:fill="auto"/>
            <w:noWrap/>
            <w:vAlign w:val="center"/>
            <w:hideMark/>
          </w:tcPr>
          <w:p w14:paraId="6470D8D6"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sidRPr="0066250B">
              <w:rPr>
                <w:rFonts w:ascii="Arial" w:eastAsia="Times New Roman" w:hAnsi="Arial" w:cs="Arial"/>
                <w:color w:val="000000"/>
                <w:sz w:val="18"/>
                <w:szCs w:val="18"/>
                <w:lang w:eastAsia="fr-FR"/>
              </w:rPr>
              <w:t>Fanatanterahan ny asa mety hanelingelina mandritra ny andro</w:t>
            </w:r>
          </w:p>
        </w:tc>
        <w:tc>
          <w:tcPr>
            <w:tcW w:w="536" w:type="pct"/>
            <w:vAlign w:val="center"/>
          </w:tcPr>
          <w:p w14:paraId="583B70D8"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Asa mandritry ny andro</w:t>
            </w:r>
          </w:p>
        </w:tc>
        <w:tc>
          <w:tcPr>
            <w:tcW w:w="390" w:type="pct"/>
            <w:vAlign w:val="center"/>
          </w:tcPr>
          <w:p w14:paraId="7B64E5E8"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Fijerena</w:t>
            </w:r>
          </w:p>
        </w:tc>
        <w:tc>
          <w:tcPr>
            <w:tcW w:w="342" w:type="pct"/>
            <w:vAlign w:val="center"/>
          </w:tcPr>
          <w:p w14:paraId="68D4F482"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Isam-bolana</w:t>
            </w:r>
          </w:p>
        </w:tc>
        <w:tc>
          <w:tcPr>
            <w:tcW w:w="351" w:type="pct"/>
            <w:vAlign w:val="center"/>
          </w:tcPr>
          <w:p w14:paraId="4CB5098D"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Orinasa</w:t>
            </w:r>
          </w:p>
        </w:tc>
        <w:tc>
          <w:tcPr>
            <w:tcW w:w="332" w:type="pct"/>
            <w:vAlign w:val="center"/>
          </w:tcPr>
          <w:p w14:paraId="583C3665"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MdC</w:t>
            </w:r>
          </w:p>
        </w:tc>
      </w:tr>
      <w:tr w:rsidR="00B76189" w:rsidRPr="0066250B" w14:paraId="76CEA758" w14:textId="77777777" w:rsidTr="003710EB">
        <w:trPr>
          <w:trHeight w:hRule="exact" w:val="1570"/>
          <w:jc w:val="center"/>
        </w:trPr>
        <w:tc>
          <w:tcPr>
            <w:tcW w:w="1289" w:type="pct"/>
            <w:shd w:val="clear" w:color="auto" w:fill="auto"/>
            <w:noWrap/>
            <w:vAlign w:val="center"/>
            <w:hideMark/>
          </w:tcPr>
          <w:p w14:paraId="22E34D8B"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Mety fiparitahan’ny aretina mifindra (IST/HIV SIDA, COVID 19)</w:t>
            </w:r>
          </w:p>
        </w:tc>
        <w:tc>
          <w:tcPr>
            <w:tcW w:w="1760" w:type="pct"/>
            <w:shd w:val="clear" w:color="auto" w:fill="auto"/>
            <w:noWrap/>
            <w:vAlign w:val="center"/>
            <w:hideMark/>
          </w:tcPr>
          <w:p w14:paraId="052291C2"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Fametrahana kapaoty maimaim-poana sy tsy tapaka ho an'ny mpiasa mandra-pahatapitry ny asa.</w:t>
            </w:r>
          </w:p>
          <w:p w14:paraId="1A3E852A"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Fampahafantarana / Fanentanana ny mpiasan'ny orinasa momba ny loza ateraky ny IST/SIDA. Fampahafantarana / fanentanana momba ny fomba amam-panao eo an-toerana. Fametrahana boky firaketana ny fitarainana eo anivon'ny manampahefana eo an-toerana</w:t>
            </w:r>
          </w:p>
        </w:tc>
        <w:tc>
          <w:tcPr>
            <w:tcW w:w="536" w:type="pct"/>
            <w:vAlign w:val="center"/>
          </w:tcPr>
          <w:p w14:paraId="6B874CE2"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Boky firaketana ny fitarainana</w:t>
            </w:r>
          </w:p>
        </w:tc>
        <w:tc>
          <w:tcPr>
            <w:tcW w:w="390" w:type="pct"/>
            <w:vAlign w:val="center"/>
          </w:tcPr>
          <w:p w14:paraId="409D75E2"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Fijerena</w:t>
            </w:r>
          </w:p>
        </w:tc>
        <w:tc>
          <w:tcPr>
            <w:tcW w:w="342" w:type="pct"/>
            <w:vAlign w:val="center"/>
          </w:tcPr>
          <w:p w14:paraId="73C03BA3"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Isam-bolana</w:t>
            </w:r>
          </w:p>
        </w:tc>
        <w:tc>
          <w:tcPr>
            <w:tcW w:w="351" w:type="pct"/>
            <w:vAlign w:val="center"/>
          </w:tcPr>
          <w:p w14:paraId="30BCC291"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Orinasa</w:t>
            </w:r>
          </w:p>
        </w:tc>
        <w:tc>
          <w:tcPr>
            <w:tcW w:w="332" w:type="pct"/>
            <w:vAlign w:val="center"/>
          </w:tcPr>
          <w:p w14:paraId="5481134F"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MdC</w:t>
            </w:r>
          </w:p>
        </w:tc>
      </w:tr>
      <w:tr w:rsidR="00B76189" w:rsidRPr="0066250B" w14:paraId="32DAEC9E" w14:textId="77777777" w:rsidTr="003710EB">
        <w:trPr>
          <w:trHeight w:val="288"/>
          <w:jc w:val="center"/>
        </w:trPr>
        <w:tc>
          <w:tcPr>
            <w:tcW w:w="1289" w:type="pct"/>
            <w:shd w:val="clear" w:color="auto" w:fill="auto"/>
            <w:noWrap/>
            <w:vAlign w:val="center"/>
            <w:hideMark/>
          </w:tcPr>
          <w:p w14:paraId="70F6DF84"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lastRenderedPageBreak/>
              <w:t>Fitomboan'ny tranga VBG, EAS/HS ary ny fitondrana vohoka tsy niriana</w:t>
            </w:r>
          </w:p>
        </w:tc>
        <w:tc>
          <w:tcPr>
            <w:tcW w:w="1760" w:type="pct"/>
            <w:shd w:val="clear" w:color="auto" w:fill="auto"/>
            <w:noWrap/>
            <w:vAlign w:val="center"/>
            <w:hideMark/>
          </w:tcPr>
          <w:p w14:paraId="49E9B13B"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Fampahafantarana / fanentanana ny mpiasan'ny orinasa momba ny fomba amam-panao eo an-toerana. Fametrahana boky firaketana ny fitarainana eo anivon'ny manampahefana eo an-toerana</w:t>
            </w:r>
          </w:p>
        </w:tc>
        <w:tc>
          <w:tcPr>
            <w:tcW w:w="536" w:type="pct"/>
            <w:vAlign w:val="center"/>
          </w:tcPr>
          <w:p w14:paraId="2540FC07"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Boky firaketana ny fitarainana</w:t>
            </w:r>
          </w:p>
        </w:tc>
        <w:tc>
          <w:tcPr>
            <w:tcW w:w="390" w:type="pct"/>
            <w:vAlign w:val="center"/>
          </w:tcPr>
          <w:p w14:paraId="491158FB"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Fijerena</w:t>
            </w:r>
          </w:p>
        </w:tc>
        <w:tc>
          <w:tcPr>
            <w:tcW w:w="342" w:type="pct"/>
            <w:vAlign w:val="center"/>
          </w:tcPr>
          <w:p w14:paraId="398F771E"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Isam-bolana</w:t>
            </w:r>
          </w:p>
        </w:tc>
        <w:tc>
          <w:tcPr>
            <w:tcW w:w="351" w:type="pct"/>
            <w:vAlign w:val="center"/>
          </w:tcPr>
          <w:p w14:paraId="4FD97CE2"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Orinasa</w:t>
            </w:r>
          </w:p>
        </w:tc>
        <w:tc>
          <w:tcPr>
            <w:tcW w:w="332" w:type="pct"/>
            <w:vAlign w:val="center"/>
          </w:tcPr>
          <w:p w14:paraId="6598D2C6"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MdC</w:t>
            </w:r>
          </w:p>
        </w:tc>
      </w:tr>
      <w:tr w:rsidR="00B76189" w:rsidRPr="0066250B" w14:paraId="7D6A52D7" w14:textId="77777777" w:rsidTr="003710EB">
        <w:trPr>
          <w:trHeight w:val="288"/>
          <w:jc w:val="center"/>
        </w:trPr>
        <w:tc>
          <w:tcPr>
            <w:tcW w:w="1289" w:type="pct"/>
            <w:shd w:val="clear" w:color="auto" w:fill="auto"/>
            <w:noWrap/>
            <w:vAlign w:val="center"/>
            <w:hideMark/>
          </w:tcPr>
          <w:p w14:paraId="13B43873"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sidRPr="0066250B">
              <w:rPr>
                <w:rFonts w:ascii="Arial" w:eastAsia="Times New Roman" w:hAnsi="Arial" w:cs="Arial"/>
                <w:color w:val="000000"/>
                <w:sz w:val="18"/>
                <w:szCs w:val="18"/>
                <w:lang w:eastAsia="fr-FR"/>
              </w:rPr>
              <w:t>Ny lozam-pifamoivoizana</w:t>
            </w:r>
          </w:p>
        </w:tc>
        <w:tc>
          <w:tcPr>
            <w:tcW w:w="1760" w:type="pct"/>
            <w:shd w:val="clear" w:color="auto" w:fill="auto"/>
            <w:noWrap/>
            <w:vAlign w:val="center"/>
            <w:hideMark/>
          </w:tcPr>
          <w:p w14:paraId="03E65F75"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sidRPr="0066250B">
              <w:rPr>
                <w:rFonts w:ascii="Arial" w:eastAsia="Times New Roman" w:hAnsi="Arial" w:cs="Arial"/>
                <w:color w:val="000000"/>
                <w:sz w:val="18"/>
                <w:szCs w:val="18"/>
                <w:lang w:eastAsia="fr-FR"/>
              </w:rPr>
              <w:t xml:space="preserve">Fanofanana/fanentanana momba ny loza ateraky ny loza mifandray amin'ny asa tsirairay </w:t>
            </w:r>
          </w:p>
          <w:p w14:paraId="37E8D084"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Fanarahana ny toromarika momba ny fampiasana ny fiarabe. Fametrahana famantarana famantarana. Fitondrana EPI mifanaraka amin’ny asa tsirairay</w:t>
            </w:r>
          </w:p>
        </w:tc>
        <w:tc>
          <w:tcPr>
            <w:tcW w:w="536" w:type="pct"/>
            <w:vAlign w:val="center"/>
          </w:tcPr>
          <w:p w14:paraId="79941697"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Boky firaketana ny lozam-pifamoivoizana</w:t>
            </w:r>
          </w:p>
        </w:tc>
        <w:tc>
          <w:tcPr>
            <w:tcW w:w="390" w:type="pct"/>
            <w:vAlign w:val="center"/>
          </w:tcPr>
          <w:p w14:paraId="4133995D"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Fijerena</w:t>
            </w:r>
          </w:p>
        </w:tc>
        <w:tc>
          <w:tcPr>
            <w:tcW w:w="342" w:type="pct"/>
            <w:vAlign w:val="center"/>
          </w:tcPr>
          <w:p w14:paraId="738F5E06"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Isam-bolana</w:t>
            </w:r>
          </w:p>
        </w:tc>
        <w:tc>
          <w:tcPr>
            <w:tcW w:w="351" w:type="pct"/>
            <w:vAlign w:val="center"/>
          </w:tcPr>
          <w:p w14:paraId="5E16F2D4"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Orinasa</w:t>
            </w:r>
          </w:p>
        </w:tc>
        <w:tc>
          <w:tcPr>
            <w:tcW w:w="332" w:type="pct"/>
            <w:vAlign w:val="center"/>
          </w:tcPr>
          <w:p w14:paraId="316EA986"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MdC</w:t>
            </w:r>
          </w:p>
        </w:tc>
      </w:tr>
      <w:tr w:rsidR="00B76189" w:rsidRPr="0066250B" w14:paraId="440E2533" w14:textId="77777777" w:rsidTr="003710EB">
        <w:trPr>
          <w:trHeight w:val="668"/>
          <w:jc w:val="center"/>
        </w:trPr>
        <w:tc>
          <w:tcPr>
            <w:tcW w:w="1289" w:type="pct"/>
            <w:shd w:val="clear" w:color="auto" w:fill="auto"/>
            <w:noWrap/>
            <w:vAlign w:val="center"/>
            <w:hideMark/>
          </w:tcPr>
          <w:p w14:paraId="72F90826"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Ny loza mety hitranga amin'ny asa</w:t>
            </w:r>
          </w:p>
        </w:tc>
        <w:tc>
          <w:tcPr>
            <w:tcW w:w="1760" w:type="pct"/>
            <w:shd w:val="clear" w:color="auto" w:fill="auto"/>
            <w:noWrap/>
            <w:vAlign w:val="center"/>
            <w:hideMark/>
          </w:tcPr>
          <w:p w14:paraId="56BA985C"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Fampiofanana / fampahafantarana ny loza mety hitranga amin'ny toeram-piasana tsirairay</w:t>
            </w:r>
          </w:p>
          <w:p w14:paraId="4F73D351"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sidRPr="0066250B">
              <w:rPr>
                <w:rFonts w:ascii="Arial" w:eastAsia="Times New Roman" w:hAnsi="Arial" w:cs="Arial"/>
                <w:color w:val="000000"/>
                <w:sz w:val="18"/>
                <w:szCs w:val="18"/>
                <w:lang w:eastAsia="fr-FR"/>
              </w:rPr>
              <w:t xml:space="preserve">Fitondrana EPI </w:t>
            </w:r>
            <w:r>
              <w:rPr>
                <w:rFonts w:ascii="Arial" w:eastAsia="Times New Roman" w:hAnsi="Arial" w:cs="Arial"/>
                <w:color w:val="000000"/>
                <w:sz w:val="18"/>
                <w:szCs w:val="18"/>
                <w:lang w:eastAsia="fr-FR"/>
              </w:rPr>
              <w:t>mifanaraka</w:t>
            </w:r>
          </w:p>
        </w:tc>
        <w:tc>
          <w:tcPr>
            <w:tcW w:w="536" w:type="pct"/>
            <w:vAlign w:val="center"/>
          </w:tcPr>
          <w:p w14:paraId="297EB8B9"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Boky firaketana ny fitarainana</w:t>
            </w:r>
          </w:p>
        </w:tc>
        <w:tc>
          <w:tcPr>
            <w:tcW w:w="390" w:type="pct"/>
            <w:vAlign w:val="center"/>
          </w:tcPr>
          <w:p w14:paraId="7D815311"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Fijerena</w:t>
            </w:r>
          </w:p>
        </w:tc>
        <w:tc>
          <w:tcPr>
            <w:tcW w:w="342" w:type="pct"/>
            <w:vAlign w:val="center"/>
          </w:tcPr>
          <w:p w14:paraId="655CA66A"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Isam-bolana</w:t>
            </w:r>
          </w:p>
        </w:tc>
        <w:tc>
          <w:tcPr>
            <w:tcW w:w="351" w:type="pct"/>
            <w:vAlign w:val="center"/>
          </w:tcPr>
          <w:p w14:paraId="2E69186F"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Orinasa</w:t>
            </w:r>
          </w:p>
        </w:tc>
        <w:tc>
          <w:tcPr>
            <w:tcW w:w="332" w:type="pct"/>
            <w:vAlign w:val="center"/>
          </w:tcPr>
          <w:p w14:paraId="10DB31B2"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MdC</w:t>
            </w:r>
          </w:p>
        </w:tc>
      </w:tr>
      <w:tr w:rsidR="00B76189" w:rsidRPr="0066250B" w14:paraId="771F7BC4" w14:textId="77777777" w:rsidTr="003710EB">
        <w:trPr>
          <w:trHeight w:val="394"/>
          <w:jc w:val="center"/>
        </w:trPr>
        <w:tc>
          <w:tcPr>
            <w:tcW w:w="1289" w:type="pct"/>
            <w:shd w:val="clear" w:color="auto" w:fill="auto"/>
            <w:noWrap/>
            <w:vAlign w:val="center"/>
            <w:hideMark/>
          </w:tcPr>
          <w:p w14:paraId="6DB5DD75"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Ny mety hisian'ny afo sy ny fipoahana</w:t>
            </w:r>
          </w:p>
        </w:tc>
        <w:tc>
          <w:tcPr>
            <w:tcW w:w="1760" w:type="pct"/>
            <w:shd w:val="clear" w:color="auto" w:fill="auto"/>
            <w:noWrap/>
            <w:vAlign w:val="center"/>
            <w:hideMark/>
          </w:tcPr>
          <w:p w14:paraId="74FDB9BA"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sidRPr="0066250B">
              <w:rPr>
                <w:rFonts w:ascii="Arial" w:eastAsia="Times New Roman" w:hAnsi="Arial" w:cs="Arial"/>
                <w:color w:val="000000"/>
                <w:sz w:val="18"/>
                <w:szCs w:val="18"/>
                <w:lang w:eastAsia="fr-FR"/>
              </w:rPr>
              <w:t>Fametrahana fitaovana famonoana afo</w:t>
            </w:r>
          </w:p>
        </w:tc>
        <w:tc>
          <w:tcPr>
            <w:tcW w:w="536" w:type="pct"/>
            <w:vAlign w:val="center"/>
          </w:tcPr>
          <w:p w14:paraId="44CB07E3"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Fepetra fisorohana sy fiadiana amin’ny afo</w:t>
            </w:r>
          </w:p>
        </w:tc>
        <w:tc>
          <w:tcPr>
            <w:tcW w:w="390" w:type="pct"/>
            <w:vAlign w:val="center"/>
          </w:tcPr>
          <w:p w14:paraId="3BFA57EC"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Fijerena</w:t>
            </w:r>
          </w:p>
        </w:tc>
        <w:tc>
          <w:tcPr>
            <w:tcW w:w="342" w:type="pct"/>
            <w:vAlign w:val="center"/>
          </w:tcPr>
          <w:p w14:paraId="0E0BC504"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Isam-bolana</w:t>
            </w:r>
          </w:p>
        </w:tc>
        <w:tc>
          <w:tcPr>
            <w:tcW w:w="351" w:type="pct"/>
            <w:vAlign w:val="center"/>
          </w:tcPr>
          <w:p w14:paraId="7491DA7B"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Orinasa</w:t>
            </w:r>
          </w:p>
        </w:tc>
        <w:tc>
          <w:tcPr>
            <w:tcW w:w="332" w:type="pct"/>
            <w:vAlign w:val="center"/>
          </w:tcPr>
          <w:p w14:paraId="1A778B16"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MdC</w:t>
            </w:r>
          </w:p>
        </w:tc>
      </w:tr>
      <w:tr w:rsidR="00B76189" w:rsidRPr="0066250B" w14:paraId="4F8E8D2E" w14:textId="77777777" w:rsidTr="003710EB">
        <w:trPr>
          <w:trHeight w:val="288"/>
          <w:jc w:val="center"/>
        </w:trPr>
        <w:tc>
          <w:tcPr>
            <w:tcW w:w="5000" w:type="pct"/>
            <w:gridSpan w:val="7"/>
            <w:shd w:val="clear" w:color="auto" w:fill="00B0F0"/>
            <w:noWrap/>
            <w:vAlign w:val="center"/>
            <w:hideMark/>
          </w:tcPr>
          <w:p w14:paraId="0DDC17ED" w14:textId="77777777" w:rsidR="00B76189" w:rsidRPr="0066250B" w:rsidRDefault="00B76189" w:rsidP="003710EB">
            <w:pPr>
              <w:spacing w:after="0" w:line="240" w:lineRule="auto"/>
              <w:jc w:val="center"/>
              <w:rPr>
                <w:rFonts w:ascii="Arial" w:eastAsia="Times New Roman" w:hAnsi="Arial" w:cs="Arial"/>
                <w:b/>
                <w:color w:val="000000"/>
                <w:sz w:val="18"/>
                <w:szCs w:val="18"/>
                <w:lang w:eastAsia="fr-FR"/>
              </w:rPr>
            </w:pPr>
            <w:r w:rsidRPr="0066250B">
              <w:rPr>
                <w:rFonts w:ascii="Arial" w:eastAsia="Times New Roman" w:hAnsi="Arial" w:cs="Arial"/>
                <w:b/>
                <w:color w:val="000000"/>
                <w:sz w:val="18"/>
                <w:szCs w:val="18"/>
                <w:lang w:eastAsia="fr-FR"/>
              </w:rPr>
              <w:t>Fisintahan’ny fitaovam-piasana</w:t>
            </w:r>
          </w:p>
        </w:tc>
      </w:tr>
      <w:tr w:rsidR="00B76189" w:rsidRPr="0066250B" w14:paraId="14210C60" w14:textId="77777777" w:rsidTr="003710EB">
        <w:trPr>
          <w:trHeight w:val="411"/>
          <w:jc w:val="center"/>
        </w:trPr>
        <w:tc>
          <w:tcPr>
            <w:tcW w:w="1289" w:type="pct"/>
            <w:shd w:val="clear" w:color="auto" w:fill="auto"/>
            <w:noWrap/>
            <w:vAlign w:val="center"/>
            <w:hideMark/>
          </w:tcPr>
          <w:p w14:paraId="2ACAEC63"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sidRPr="0066250B">
              <w:rPr>
                <w:rFonts w:ascii="Arial" w:eastAsia="Times New Roman" w:hAnsi="Arial" w:cs="Arial"/>
                <w:color w:val="000000"/>
                <w:sz w:val="18"/>
                <w:szCs w:val="18"/>
                <w:lang w:eastAsia="fr-FR"/>
              </w:rPr>
              <w:t>Ny lozam-pifamoivoizana</w:t>
            </w:r>
          </w:p>
        </w:tc>
        <w:tc>
          <w:tcPr>
            <w:tcW w:w="1760" w:type="pct"/>
            <w:shd w:val="clear" w:color="auto" w:fill="auto"/>
            <w:noWrap/>
            <w:vAlign w:val="center"/>
            <w:hideMark/>
          </w:tcPr>
          <w:p w14:paraId="45DB612A"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Fametrahana lamina ara-pifamoivoizana</w:t>
            </w:r>
          </w:p>
          <w:p w14:paraId="0C2B61E0"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 xml:space="preserve">Fanarahana ny rafitra napetraka. </w:t>
            </w:r>
          </w:p>
        </w:tc>
        <w:tc>
          <w:tcPr>
            <w:tcW w:w="536" w:type="pct"/>
            <w:vAlign w:val="center"/>
          </w:tcPr>
          <w:p w14:paraId="77568B24"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Lamina fifamoivoizana</w:t>
            </w:r>
          </w:p>
        </w:tc>
        <w:tc>
          <w:tcPr>
            <w:tcW w:w="390" w:type="pct"/>
            <w:vAlign w:val="center"/>
          </w:tcPr>
          <w:p w14:paraId="4E24C9D5"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Fijerena</w:t>
            </w:r>
          </w:p>
        </w:tc>
        <w:tc>
          <w:tcPr>
            <w:tcW w:w="342" w:type="pct"/>
            <w:vAlign w:val="center"/>
          </w:tcPr>
          <w:p w14:paraId="745FBDA1"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Faran’ny asa fanorenana</w:t>
            </w:r>
          </w:p>
        </w:tc>
        <w:tc>
          <w:tcPr>
            <w:tcW w:w="351" w:type="pct"/>
            <w:vAlign w:val="center"/>
          </w:tcPr>
          <w:p w14:paraId="17FAADBF"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Orinasa</w:t>
            </w:r>
          </w:p>
        </w:tc>
        <w:tc>
          <w:tcPr>
            <w:tcW w:w="332" w:type="pct"/>
            <w:vAlign w:val="center"/>
          </w:tcPr>
          <w:p w14:paraId="06E82D5D"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MdC</w:t>
            </w:r>
          </w:p>
        </w:tc>
      </w:tr>
      <w:tr w:rsidR="00B76189" w:rsidRPr="0066250B" w14:paraId="201802F9" w14:textId="77777777" w:rsidTr="003710EB">
        <w:trPr>
          <w:trHeight w:val="127"/>
          <w:jc w:val="center"/>
        </w:trPr>
        <w:tc>
          <w:tcPr>
            <w:tcW w:w="5000" w:type="pct"/>
            <w:gridSpan w:val="7"/>
            <w:shd w:val="clear" w:color="auto" w:fill="00B0F0"/>
            <w:noWrap/>
            <w:vAlign w:val="center"/>
            <w:hideMark/>
          </w:tcPr>
          <w:p w14:paraId="52E46C35" w14:textId="77777777" w:rsidR="00B76189" w:rsidRPr="0066250B" w:rsidRDefault="00B76189" w:rsidP="003710EB">
            <w:pPr>
              <w:spacing w:after="0" w:line="240" w:lineRule="auto"/>
              <w:jc w:val="center"/>
              <w:rPr>
                <w:rFonts w:ascii="Arial" w:eastAsia="Times New Roman" w:hAnsi="Arial" w:cs="Arial"/>
                <w:b/>
                <w:color w:val="000000"/>
                <w:sz w:val="18"/>
                <w:szCs w:val="18"/>
                <w:lang w:eastAsia="fr-FR"/>
              </w:rPr>
            </w:pPr>
            <w:r w:rsidRPr="0066250B">
              <w:rPr>
                <w:rFonts w:ascii="Arial" w:eastAsia="Times New Roman" w:hAnsi="Arial" w:cs="Arial"/>
                <w:b/>
                <w:color w:val="000000"/>
                <w:sz w:val="18"/>
                <w:szCs w:val="18"/>
                <w:lang w:eastAsia="fr-FR"/>
              </w:rPr>
              <w:t>Fampiasana ny fotodrafitr’asa</w:t>
            </w:r>
          </w:p>
        </w:tc>
      </w:tr>
      <w:tr w:rsidR="00B76189" w:rsidRPr="0066250B" w14:paraId="06861BA4" w14:textId="77777777" w:rsidTr="003710EB">
        <w:trPr>
          <w:trHeight w:val="288"/>
          <w:jc w:val="center"/>
        </w:trPr>
        <w:tc>
          <w:tcPr>
            <w:tcW w:w="1289" w:type="pct"/>
            <w:shd w:val="clear" w:color="auto" w:fill="auto"/>
            <w:noWrap/>
            <w:vAlign w:val="center"/>
            <w:hideMark/>
          </w:tcPr>
          <w:p w14:paraId="5436DC81"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Tsy fahampian-drano noho ny filana (ny fanasana ireo PV)</w:t>
            </w:r>
          </w:p>
        </w:tc>
        <w:tc>
          <w:tcPr>
            <w:tcW w:w="1760" w:type="pct"/>
            <w:shd w:val="clear" w:color="auto" w:fill="auto"/>
            <w:noWrap/>
            <w:vAlign w:val="center"/>
            <w:hideMark/>
          </w:tcPr>
          <w:p w14:paraId="57B616BB"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Fametrahana rafitra fanangonana sy fanodinana ary fampiasana ny rano maloto ho ampiasaina indray</w:t>
            </w:r>
          </w:p>
        </w:tc>
        <w:tc>
          <w:tcPr>
            <w:tcW w:w="536" w:type="pct"/>
            <w:vAlign w:val="center"/>
          </w:tcPr>
          <w:p w14:paraId="7F92E3EA"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Fahampian-drano</w:t>
            </w:r>
          </w:p>
        </w:tc>
        <w:tc>
          <w:tcPr>
            <w:tcW w:w="390" w:type="pct"/>
            <w:vAlign w:val="center"/>
          </w:tcPr>
          <w:p w14:paraId="413E7BFF"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Fijerena</w:t>
            </w:r>
          </w:p>
        </w:tc>
        <w:tc>
          <w:tcPr>
            <w:tcW w:w="342" w:type="pct"/>
            <w:vAlign w:val="center"/>
          </w:tcPr>
          <w:p w14:paraId="1527C65F"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Isam-bolana</w:t>
            </w:r>
          </w:p>
        </w:tc>
        <w:tc>
          <w:tcPr>
            <w:tcW w:w="351" w:type="pct"/>
            <w:vAlign w:val="center"/>
          </w:tcPr>
          <w:p w14:paraId="31F1F118"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Tetik’asa</w:t>
            </w:r>
          </w:p>
        </w:tc>
        <w:tc>
          <w:tcPr>
            <w:tcW w:w="332" w:type="pct"/>
            <w:vAlign w:val="center"/>
          </w:tcPr>
          <w:p w14:paraId="29BB039B"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Ministera voakasika</w:t>
            </w:r>
          </w:p>
        </w:tc>
      </w:tr>
      <w:tr w:rsidR="00B76189" w:rsidRPr="0066250B" w14:paraId="23EC2740" w14:textId="77777777" w:rsidTr="003710EB">
        <w:trPr>
          <w:trHeight w:val="288"/>
          <w:jc w:val="center"/>
        </w:trPr>
        <w:tc>
          <w:tcPr>
            <w:tcW w:w="1289" w:type="pct"/>
            <w:shd w:val="clear" w:color="auto" w:fill="auto"/>
            <w:noWrap/>
            <w:vAlign w:val="center"/>
            <w:hideMark/>
          </w:tcPr>
          <w:p w14:paraId="61DF1D3F"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Fisiana saha elektromagnetika (CEM) izay mety hanelingelina ny biby eo an-toerana</w:t>
            </w:r>
          </w:p>
        </w:tc>
        <w:tc>
          <w:tcPr>
            <w:tcW w:w="1760" w:type="pct"/>
            <w:shd w:val="clear" w:color="auto" w:fill="auto"/>
            <w:noWrap/>
            <w:vAlign w:val="center"/>
            <w:hideMark/>
          </w:tcPr>
          <w:p w14:paraId="4771DC58"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B434A6">
              <w:rPr>
                <w:rFonts w:ascii="Arial" w:eastAsia="Times New Roman" w:hAnsi="Arial" w:cs="Arial"/>
                <w:color w:val="000000"/>
                <w:sz w:val="18"/>
                <w:szCs w:val="18"/>
                <w:lang w:val="en-US" w:eastAsia="fr-FR"/>
              </w:rPr>
              <w:t xml:space="preserve">Fametrahana ireo fotodrafitr’asa (PV, tilikambo cellule….) </w:t>
            </w:r>
            <w:r w:rsidRPr="00505129">
              <w:rPr>
                <w:rFonts w:ascii="Arial" w:eastAsia="Times New Roman" w:hAnsi="Arial" w:cs="Arial"/>
                <w:color w:val="000000"/>
                <w:sz w:val="18"/>
                <w:szCs w:val="18"/>
                <w:lang w:val="en-US" w:eastAsia="fr-FR"/>
              </w:rPr>
              <w:t>lavitry ny valan-javaboary na Faritra Arovana sy ireo toerana hafa manana harena ara-boajanahary</w:t>
            </w:r>
          </w:p>
        </w:tc>
        <w:tc>
          <w:tcPr>
            <w:tcW w:w="536" w:type="pct"/>
            <w:vAlign w:val="center"/>
          </w:tcPr>
          <w:p w14:paraId="761EE95E"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Toerana misy ny fotodrafitr’asa</w:t>
            </w:r>
          </w:p>
        </w:tc>
        <w:tc>
          <w:tcPr>
            <w:tcW w:w="390" w:type="pct"/>
            <w:vAlign w:val="center"/>
          </w:tcPr>
          <w:p w14:paraId="1AEBAD57"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Fijerena</w:t>
            </w:r>
          </w:p>
        </w:tc>
        <w:tc>
          <w:tcPr>
            <w:tcW w:w="342" w:type="pct"/>
            <w:vAlign w:val="center"/>
          </w:tcPr>
          <w:p w14:paraId="5E65B58D"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Isan’enimbolana</w:t>
            </w:r>
          </w:p>
        </w:tc>
        <w:tc>
          <w:tcPr>
            <w:tcW w:w="351" w:type="pct"/>
            <w:vAlign w:val="center"/>
          </w:tcPr>
          <w:p w14:paraId="7EF2BEFB"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Tetik’asa</w:t>
            </w:r>
          </w:p>
        </w:tc>
        <w:tc>
          <w:tcPr>
            <w:tcW w:w="332" w:type="pct"/>
            <w:vAlign w:val="center"/>
          </w:tcPr>
          <w:p w14:paraId="41959E71"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Ministera voakasika</w:t>
            </w:r>
          </w:p>
        </w:tc>
      </w:tr>
      <w:tr w:rsidR="00B76189" w:rsidRPr="0066250B" w14:paraId="0167F250" w14:textId="77777777" w:rsidTr="003710EB">
        <w:trPr>
          <w:trHeight w:val="288"/>
          <w:jc w:val="center"/>
        </w:trPr>
        <w:tc>
          <w:tcPr>
            <w:tcW w:w="1289" w:type="pct"/>
            <w:shd w:val="clear" w:color="auto" w:fill="auto"/>
            <w:noWrap/>
            <w:vAlign w:val="center"/>
            <w:hideMark/>
          </w:tcPr>
          <w:p w14:paraId="35AA7FB1"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sidRPr="0066250B">
              <w:rPr>
                <w:rFonts w:ascii="Arial" w:eastAsia="Times New Roman" w:hAnsi="Arial" w:cs="Arial"/>
                <w:color w:val="000000"/>
                <w:sz w:val="18"/>
                <w:szCs w:val="18"/>
                <w:lang w:eastAsia="fr-FR"/>
              </w:rPr>
              <w:t>Fiangonana fako ao anatin'izany ny fitaovana tamin’ny herin’aratra sy elektronika (DEEE)</w:t>
            </w:r>
          </w:p>
        </w:tc>
        <w:tc>
          <w:tcPr>
            <w:tcW w:w="1760" w:type="pct"/>
            <w:shd w:val="clear" w:color="auto" w:fill="auto"/>
            <w:noWrap/>
            <w:vAlign w:val="center"/>
            <w:hideMark/>
          </w:tcPr>
          <w:p w14:paraId="68F1810A"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sidRPr="0066250B">
              <w:rPr>
                <w:rFonts w:ascii="Arial" w:eastAsia="Times New Roman" w:hAnsi="Arial" w:cs="Arial"/>
                <w:color w:val="000000"/>
                <w:sz w:val="18"/>
                <w:szCs w:val="18"/>
                <w:lang w:eastAsia="fr-FR"/>
              </w:rPr>
              <w:t>Fampiharana ny Drafitra fitantanana ny fako (PGDS) miaraka amin’ny fitaovana manokana. Famporisihana ny fanodinana ny DEEE</w:t>
            </w:r>
          </w:p>
        </w:tc>
        <w:tc>
          <w:tcPr>
            <w:tcW w:w="536" w:type="pct"/>
            <w:vAlign w:val="center"/>
          </w:tcPr>
          <w:p w14:paraId="13F05160"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Fampiharana ny PGDS</w:t>
            </w:r>
          </w:p>
        </w:tc>
        <w:tc>
          <w:tcPr>
            <w:tcW w:w="390" w:type="pct"/>
            <w:vAlign w:val="center"/>
          </w:tcPr>
          <w:p w14:paraId="056E8334"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Fijerena</w:t>
            </w:r>
          </w:p>
        </w:tc>
        <w:tc>
          <w:tcPr>
            <w:tcW w:w="342" w:type="pct"/>
            <w:vAlign w:val="center"/>
          </w:tcPr>
          <w:p w14:paraId="7BAC259F"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Isan’enimbolana</w:t>
            </w:r>
          </w:p>
        </w:tc>
        <w:tc>
          <w:tcPr>
            <w:tcW w:w="351" w:type="pct"/>
            <w:vAlign w:val="center"/>
          </w:tcPr>
          <w:p w14:paraId="162C4CC2"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Tetik’asa</w:t>
            </w:r>
          </w:p>
        </w:tc>
        <w:tc>
          <w:tcPr>
            <w:tcW w:w="332" w:type="pct"/>
            <w:vAlign w:val="center"/>
          </w:tcPr>
          <w:p w14:paraId="3C897C07"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Ministera voakasika</w:t>
            </w:r>
          </w:p>
        </w:tc>
      </w:tr>
      <w:tr w:rsidR="00B76189" w:rsidRPr="0066250B" w14:paraId="358183BA" w14:textId="77777777" w:rsidTr="003710EB">
        <w:trPr>
          <w:trHeight w:val="288"/>
          <w:jc w:val="center"/>
        </w:trPr>
        <w:tc>
          <w:tcPr>
            <w:tcW w:w="1289" w:type="pct"/>
            <w:shd w:val="clear" w:color="auto" w:fill="auto"/>
            <w:noWrap/>
            <w:vAlign w:val="center"/>
            <w:hideMark/>
          </w:tcPr>
          <w:p w14:paraId="0BC78B68"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sidRPr="0066250B">
              <w:rPr>
                <w:rFonts w:ascii="Arial" w:eastAsia="Times New Roman" w:hAnsi="Arial" w:cs="Arial"/>
                <w:color w:val="000000"/>
                <w:sz w:val="18"/>
                <w:szCs w:val="18"/>
                <w:lang w:eastAsia="fr-FR"/>
              </w:rPr>
              <w:t>Ny mety hisian'ny fifandirana mifandraika amin'ny fampiasana rano</w:t>
            </w:r>
          </w:p>
        </w:tc>
        <w:tc>
          <w:tcPr>
            <w:tcW w:w="1760" w:type="pct"/>
            <w:shd w:val="clear" w:color="auto" w:fill="auto"/>
            <w:noWrap/>
            <w:vAlign w:val="center"/>
            <w:hideMark/>
          </w:tcPr>
          <w:p w14:paraId="013BCBEF"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Fampahafantarana momba ny fitantanana tsara ny loharanon-drano</w:t>
            </w:r>
          </w:p>
        </w:tc>
        <w:tc>
          <w:tcPr>
            <w:tcW w:w="536" w:type="pct"/>
            <w:vAlign w:val="center"/>
          </w:tcPr>
          <w:p w14:paraId="6E0B42CF"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Fahampian-drano</w:t>
            </w:r>
          </w:p>
        </w:tc>
        <w:tc>
          <w:tcPr>
            <w:tcW w:w="390" w:type="pct"/>
            <w:vAlign w:val="center"/>
          </w:tcPr>
          <w:p w14:paraId="410F037D"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Fijerena</w:t>
            </w:r>
          </w:p>
        </w:tc>
        <w:tc>
          <w:tcPr>
            <w:tcW w:w="342" w:type="pct"/>
            <w:vAlign w:val="center"/>
          </w:tcPr>
          <w:p w14:paraId="7805989D"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Isan-telovolana</w:t>
            </w:r>
          </w:p>
        </w:tc>
        <w:tc>
          <w:tcPr>
            <w:tcW w:w="351" w:type="pct"/>
            <w:vAlign w:val="center"/>
          </w:tcPr>
          <w:p w14:paraId="09BCC6CF"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Tetik’asa</w:t>
            </w:r>
          </w:p>
        </w:tc>
        <w:tc>
          <w:tcPr>
            <w:tcW w:w="332" w:type="pct"/>
            <w:vAlign w:val="center"/>
          </w:tcPr>
          <w:p w14:paraId="2A23ABC6"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Ministera voakasika</w:t>
            </w:r>
          </w:p>
        </w:tc>
      </w:tr>
      <w:tr w:rsidR="00B76189" w:rsidRPr="0066250B" w14:paraId="4B915570" w14:textId="77777777" w:rsidTr="003710EB">
        <w:trPr>
          <w:trHeight w:val="1266"/>
          <w:jc w:val="center"/>
        </w:trPr>
        <w:tc>
          <w:tcPr>
            <w:tcW w:w="1289" w:type="pct"/>
            <w:shd w:val="clear" w:color="auto" w:fill="auto"/>
            <w:noWrap/>
            <w:vAlign w:val="center"/>
            <w:hideMark/>
          </w:tcPr>
          <w:p w14:paraId="44A74445"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Ny mety hisian'ny fanakorontanana ny fombam-piarahamonina</w:t>
            </w:r>
          </w:p>
        </w:tc>
        <w:tc>
          <w:tcPr>
            <w:tcW w:w="1760" w:type="pct"/>
            <w:shd w:val="clear" w:color="auto" w:fill="auto"/>
            <w:noWrap/>
            <w:vAlign w:val="center"/>
            <w:hideMark/>
          </w:tcPr>
          <w:p w14:paraId="5FF2F2C4"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Fampahafantarana / fanentanana momba ny fampiasana ny TIC sy ny mety aterany.</w:t>
            </w:r>
          </w:p>
          <w:p w14:paraId="06583208"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Fampiofanana ireo manampahefana miandraikitra ny filaminana amin'ny fampiasana ny TIC.</w:t>
            </w:r>
          </w:p>
          <w:p w14:paraId="008414CF"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Fampiofanana sy fanentanana ny mponina amin’ny maha zava-dehibe ny fifanajana</w:t>
            </w:r>
          </w:p>
          <w:p w14:paraId="661EE9A4"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Fanaraha-maso ny fametrahana ny fenitra</w:t>
            </w:r>
          </w:p>
        </w:tc>
        <w:tc>
          <w:tcPr>
            <w:tcW w:w="536" w:type="pct"/>
            <w:vAlign w:val="center"/>
          </w:tcPr>
          <w:p w14:paraId="4AF62B5E"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Fiarahamonina milamina</w:t>
            </w:r>
          </w:p>
        </w:tc>
        <w:tc>
          <w:tcPr>
            <w:tcW w:w="390" w:type="pct"/>
            <w:vAlign w:val="center"/>
          </w:tcPr>
          <w:p w14:paraId="60EAA4F1"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Fijerena</w:t>
            </w:r>
          </w:p>
        </w:tc>
        <w:tc>
          <w:tcPr>
            <w:tcW w:w="342" w:type="pct"/>
            <w:vAlign w:val="center"/>
          </w:tcPr>
          <w:p w14:paraId="24C68BB1"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Isan’enimbolana</w:t>
            </w:r>
          </w:p>
        </w:tc>
        <w:tc>
          <w:tcPr>
            <w:tcW w:w="351" w:type="pct"/>
            <w:vAlign w:val="center"/>
          </w:tcPr>
          <w:p w14:paraId="6FE9CC7B"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Tetik’asa</w:t>
            </w:r>
          </w:p>
        </w:tc>
        <w:tc>
          <w:tcPr>
            <w:tcW w:w="332" w:type="pct"/>
            <w:vAlign w:val="center"/>
          </w:tcPr>
          <w:p w14:paraId="775679F3"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Ministera voakasika</w:t>
            </w:r>
          </w:p>
        </w:tc>
      </w:tr>
      <w:tr w:rsidR="00B76189" w:rsidRPr="0066250B" w14:paraId="105B59A0" w14:textId="77777777" w:rsidTr="003710EB">
        <w:trPr>
          <w:trHeight w:val="1266"/>
          <w:jc w:val="center"/>
        </w:trPr>
        <w:tc>
          <w:tcPr>
            <w:tcW w:w="1289" w:type="pct"/>
            <w:shd w:val="clear" w:color="auto" w:fill="auto"/>
            <w:noWrap/>
            <w:vAlign w:val="center"/>
            <w:hideMark/>
          </w:tcPr>
          <w:p w14:paraId="218794C3"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sidRPr="0066250B">
              <w:rPr>
                <w:rFonts w:ascii="Arial" w:eastAsia="Times New Roman" w:hAnsi="Arial" w:cs="Arial"/>
                <w:color w:val="000000"/>
                <w:sz w:val="18"/>
                <w:szCs w:val="18"/>
                <w:lang w:eastAsia="fr-FR"/>
              </w:rPr>
              <w:lastRenderedPageBreak/>
              <w:t>Fisian’ny CEM</w:t>
            </w:r>
          </w:p>
        </w:tc>
        <w:tc>
          <w:tcPr>
            <w:tcW w:w="1760" w:type="pct"/>
            <w:shd w:val="clear" w:color="auto" w:fill="auto"/>
            <w:noWrap/>
            <w:vAlign w:val="center"/>
            <w:hideMark/>
          </w:tcPr>
          <w:p w14:paraId="6962C5F8"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sidRPr="0066250B">
              <w:rPr>
                <w:rFonts w:ascii="Arial" w:eastAsia="Times New Roman" w:hAnsi="Arial" w:cs="Arial"/>
                <w:color w:val="000000"/>
                <w:sz w:val="18"/>
                <w:szCs w:val="18"/>
                <w:lang w:eastAsia="fr-FR"/>
              </w:rPr>
              <w:t>Fanarahana ny fenitra mikasika ireo fotodrafitr’asa. Fiarovana ireo fitaovana mitondra herin’aratra sy elektromagnetika ho anaty ao amin'ny efitrano Faraday</w:t>
            </w:r>
          </w:p>
          <w:p w14:paraId="0D519FBA"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Ny halavirana amin'ny trano amin'ny 3.5m amin'ny tariby MV</w:t>
            </w:r>
          </w:p>
          <w:p w14:paraId="0F6953E0"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Ny halaviran-dalana (0,75m) amin'ny tariby</w:t>
            </w:r>
          </w:p>
          <w:p w14:paraId="56C37FC8"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Ny halaviran'ny fiasana (2m) amin'ny tariby</w:t>
            </w:r>
          </w:p>
        </w:tc>
        <w:tc>
          <w:tcPr>
            <w:tcW w:w="536" w:type="pct"/>
            <w:vAlign w:val="center"/>
          </w:tcPr>
          <w:p w14:paraId="2509F978"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Drafitra maneho ny fotodrafitr’asa</w:t>
            </w:r>
          </w:p>
        </w:tc>
        <w:tc>
          <w:tcPr>
            <w:tcW w:w="390" w:type="pct"/>
            <w:vAlign w:val="center"/>
          </w:tcPr>
          <w:p w14:paraId="0AB433F5"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Fijerena</w:t>
            </w:r>
          </w:p>
        </w:tc>
        <w:tc>
          <w:tcPr>
            <w:tcW w:w="342" w:type="pct"/>
            <w:vAlign w:val="center"/>
          </w:tcPr>
          <w:p w14:paraId="3E39FCCB"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Faran’ny asa</w:t>
            </w:r>
          </w:p>
        </w:tc>
        <w:tc>
          <w:tcPr>
            <w:tcW w:w="351" w:type="pct"/>
            <w:vAlign w:val="center"/>
          </w:tcPr>
          <w:p w14:paraId="51A3D9D4"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Tetik’asa</w:t>
            </w:r>
          </w:p>
        </w:tc>
        <w:tc>
          <w:tcPr>
            <w:tcW w:w="332" w:type="pct"/>
            <w:vAlign w:val="center"/>
          </w:tcPr>
          <w:p w14:paraId="15E86AF1"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Ministera angôvo</w:t>
            </w:r>
          </w:p>
        </w:tc>
      </w:tr>
      <w:tr w:rsidR="00B76189" w:rsidRPr="0066250B" w14:paraId="5BE5E209" w14:textId="77777777" w:rsidTr="003710EB">
        <w:trPr>
          <w:trHeight w:val="288"/>
          <w:jc w:val="center"/>
        </w:trPr>
        <w:tc>
          <w:tcPr>
            <w:tcW w:w="1289" w:type="pct"/>
            <w:shd w:val="clear" w:color="auto" w:fill="auto"/>
            <w:noWrap/>
            <w:vAlign w:val="center"/>
          </w:tcPr>
          <w:p w14:paraId="1B89F9D6"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Ny loza sy ny afo</w:t>
            </w:r>
          </w:p>
        </w:tc>
        <w:tc>
          <w:tcPr>
            <w:tcW w:w="1760" w:type="pct"/>
            <w:shd w:val="clear" w:color="auto" w:fill="auto"/>
            <w:noWrap/>
            <w:vAlign w:val="center"/>
          </w:tcPr>
          <w:p w14:paraId="17424EC0"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Fampiharana ny drafitra fisorohana ny afo sy fametrahana fitaovana famonoana afo (CO2)</w:t>
            </w:r>
          </w:p>
        </w:tc>
        <w:tc>
          <w:tcPr>
            <w:tcW w:w="536" w:type="pct"/>
            <w:vAlign w:val="center"/>
          </w:tcPr>
          <w:p w14:paraId="65D3E494"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Fisorohana sy ady amin’ny afo</w:t>
            </w:r>
          </w:p>
        </w:tc>
        <w:tc>
          <w:tcPr>
            <w:tcW w:w="390" w:type="pct"/>
            <w:vAlign w:val="center"/>
          </w:tcPr>
          <w:p w14:paraId="0CF4F0E3"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Fijerena</w:t>
            </w:r>
          </w:p>
        </w:tc>
        <w:tc>
          <w:tcPr>
            <w:tcW w:w="342" w:type="pct"/>
            <w:vAlign w:val="center"/>
          </w:tcPr>
          <w:p w14:paraId="2BC9F641"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Isan-telovolana</w:t>
            </w:r>
          </w:p>
        </w:tc>
        <w:tc>
          <w:tcPr>
            <w:tcW w:w="351" w:type="pct"/>
            <w:vAlign w:val="center"/>
          </w:tcPr>
          <w:p w14:paraId="7DF8E185"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Tetik’asa</w:t>
            </w:r>
          </w:p>
        </w:tc>
        <w:tc>
          <w:tcPr>
            <w:tcW w:w="332" w:type="pct"/>
            <w:vAlign w:val="center"/>
          </w:tcPr>
          <w:p w14:paraId="4FF09736"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Ministera angôvo, BM</w:t>
            </w:r>
          </w:p>
        </w:tc>
      </w:tr>
      <w:tr w:rsidR="00B76189" w:rsidRPr="0066250B" w14:paraId="464297C8" w14:textId="77777777" w:rsidTr="003710EB">
        <w:trPr>
          <w:trHeight w:val="288"/>
          <w:jc w:val="center"/>
        </w:trPr>
        <w:tc>
          <w:tcPr>
            <w:tcW w:w="1289" w:type="pct"/>
            <w:shd w:val="clear" w:color="auto" w:fill="auto"/>
            <w:noWrap/>
            <w:vAlign w:val="center"/>
          </w:tcPr>
          <w:p w14:paraId="1D1D50EF"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H</w:t>
            </w:r>
            <w:r w:rsidRPr="0066250B">
              <w:rPr>
                <w:rFonts w:ascii="Arial" w:eastAsia="Times New Roman" w:hAnsi="Arial" w:cs="Arial"/>
                <w:color w:val="000000"/>
                <w:sz w:val="18"/>
                <w:szCs w:val="18"/>
                <w:lang w:eastAsia="fr-FR"/>
              </w:rPr>
              <w:t>alatra</w:t>
            </w:r>
          </w:p>
        </w:tc>
        <w:tc>
          <w:tcPr>
            <w:tcW w:w="1760" w:type="pct"/>
            <w:shd w:val="clear" w:color="auto" w:fill="auto"/>
            <w:noWrap/>
            <w:vAlign w:val="center"/>
          </w:tcPr>
          <w:p w14:paraId="08B69640"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sidRPr="0066250B">
              <w:rPr>
                <w:rFonts w:ascii="Arial" w:eastAsia="Times New Roman" w:hAnsi="Arial" w:cs="Arial"/>
                <w:color w:val="000000"/>
                <w:sz w:val="18"/>
                <w:szCs w:val="18"/>
                <w:lang w:eastAsia="fr-FR"/>
              </w:rPr>
              <w:t>Fametrahana rafitra fiarovana ny toeram-pamokarana: Fametrahana fefy, fanaraha-maso, famerana ny fidirana ny toby ary fisavana eo amin'ny fidirana</w:t>
            </w:r>
          </w:p>
        </w:tc>
        <w:tc>
          <w:tcPr>
            <w:tcW w:w="536" w:type="pct"/>
            <w:vAlign w:val="center"/>
          </w:tcPr>
          <w:p w14:paraId="5FAEDC48"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Fanaraha-maso sy fiarovana ny faritra</w:t>
            </w:r>
          </w:p>
        </w:tc>
        <w:tc>
          <w:tcPr>
            <w:tcW w:w="390" w:type="pct"/>
            <w:vAlign w:val="center"/>
          </w:tcPr>
          <w:p w14:paraId="5245977D"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Fijerena</w:t>
            </w:r>
          </w:p>
        </w:tc>
        <w:tc>
          <w:tcPr>
            <w:tcW w:w="342" w:type="pct"/>
            <w:vAlign w:val="center"/>
          </w:tcPr>
          <w:p w14:paraId="52D16E60"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Isan-telovolana</w:t>
            </w:r>
          </w:p>
        </w:tc>
        <w:tc>
          <w:tcPr>
            <w:tcW w:w="351" w:type="pct"/>
            <w:vAlign w:val="center"/>
          </w:tcPr>
          <w:p w14:paraId="47843C28"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Tetik’asa</w:t>
            </w:r>
          </w:p>
        </w:tc>
        <w:tc>
          <w:tcPr>
            <w:tcW w:w="332" w:type="pct"/>
            <w:vAlign w:val="center"/>
          </w:tcPr>
          <w:p w14:paraId="370497DC"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Ministera angôvo, BM</w:t>
            </w:r>
          </w:p>
        </w:tc>
      </w:tr>
      <w:tr w:rsidR="00B76189" w:rsidRPr="0066250B" w14:paraId="2E6323B3" w14:textId="77777777" w:rsidTr="003710EB">
        <w:trPr>
          <w:trHeight w:val="1712"/>
          <w:jc w:val="center"/>
        </w:trPr>
        <w:tc>
          <w:tcPr>
            <w:tcW w:w="1289" w:type="pct"/>
            <w:shd w:val="clear" w:color="auto" w:fill="auto"/>
            <w:noWrap/>
            <w:vAlign w:val="center"/>
            <w:hideMark/>
          </w:tcPr>
          <w:p w14:paraId="03C5AABA"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Fitomboan'ny tranga VBG, EAS/HS noho ny fampiasana aterineto</w:t>
            </w:r>
          </w:p>
        </w:tc>
        <w:tc>
          <w:tcPr>
            <w:tcW w:w="1760" w:type="pct"/>
            <w:shd w:val="clear" w:color="auto" w:fill="auto"/>
            <w:noWrap/>
            <w:vAlign w:val="center"/>
          </w:tcPr>
          <w:p w14:paraId="51335798"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Fanofanana fanentanana ho an'ny mpampiasa aterineto.</w:t>
            </w:r>
          </w:p>
          <w:p w14:paraId="39B43AA3"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Fampahafantarana ny maha zava-dehibe ny fanaraha-mason’ny ray aman-dreny amin'ny fampiasana aterineto ho an'ny ankizy.</w:t>
            </w:r>
          </w:p>
          <w:p w14:paraId="523A3F94"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Fametrahana rafitra fitantanana fitarainana VBG sy EAS/HS.</w:t>
            </w:r>
          </w:p>
          <w:p w14:paraId="1FA5EBBB"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Fanabeazana sy fanofanana ireo tompon’andraikitra voakasika (polisy nasionaly, zandarimariam-pirenena, sns.).</w:t>
            </w:r>
          </w:p>
        </w:tc>
        <w:tc>
          <w:tcPr>
            <w:tcW w:w="536" w:type="pct"/>
            <w:vAlign w:val="center"/>
          </w:tcPr>
          <w:p w14:paraId="3B512C0B"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Fitarainana VBG voaray</w:t>
            </w:r>
          </w:p>
        </w:tc>
        <w:tc>
          <w:tcPr>
            <w:tcW w:w="390" w:type="pct"/>
            <w:vAlign w:val="center"/>
          </w:tcPr>
          <w:p w14:paraId="341363EF"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Fijerena</w:t>
            </w:r>
          </w:p>
        </w:tc>
        <w:tc>
          <w:tcPr>
            <w:tcW w:w="342" w:type="pct"/>
            <w:vAlign w:val="center"/>
          </w:tcPr>
          <w:p w14:paraId="66ED9BAB"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Isan-telovolana</w:t>
            </w:r>
          </w:p>
        </w:tc>
        <w:tc>
          <w:tcPr>
            <w:tcW w:w="351" w:type="pct"/>
            <w:vAlign w:val="center"/>
          </w:tcPr>
          <w:p w14:paraId="4479D2C7"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Tetik’asa</w:t>
            </w:r>
          </w:p>
        </w:tc>
        <w:tc>
          <w:tcPr>
            <w:tcW w:w="332" w:type="pct"/>
            <w:vAlign w:val="center"/>
          </w:tcPr>
          <w:p w14:paraId="1097E61A"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Ministera, BM</w:t>
            </w:r>
          </w:p>
        </w:tc>
      </w:tr>
      <w:tr w:rsidR="00B76189" w:rsidRPr="0066250B" w14:paraId="47AEC58A" w14:textId="77777777" w:rsidTr="003710EB">
        <w:trPr>
          <w:trHeight w:val="58"/>
          <w:jc w:val="center"/>
        </w:trPr>
        <w:tc>
          <w:tcPr>
            <w:tcW w:w="1289" w:type="pct"/>
            <w:shd w:val="clear" w:color="auto" w:fill="auto"/>
            <w:noWrap/>
            <w:vAlign w:val="center"/>
          </w:tcPr>
          <w:p w14:paraId="2C5D62F8"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Fitomboan'ny tranga heloka an-tserasera</w:t>
            </w:r>
          </w:p>
        </w:tc>
        <w:tc>
          <w:tcPr>
            <w:tcW w:w="1760" w:type="pct"/>
            <w:shd w:val="clear" w:color="auto" w:fill="auto"/>
            <w:noWrap/>
            <w:vAlign w:val="center"/>
          </w:tcPr>
          <w:p w14:paraId="15AA8EE0"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sidRPr="00505129">
              <w:rPr>
                <w:rFonts w:ascii="Arial" w:eastAsia="Times New Roman" w:hAnsi="Arial" w:cs="Arial"/>
                <w:color w:val="000000"/>
                <w:sz w:val="18"/>
                <w:szCs w:val="18"/>
                <w:lang w:val="en-US" w:eastAsia="fr-FR"/>
              </w:rPr>
              <w:t xml:space="preserve">Fanabeazana sy fanofanana ireo tompon’andraikitra voakasika (polisy nasionaly, zandarimaria, sns.). </w:t>
            </w:r>
            <w:r w:rsidRPr="0066250B">
              <w:rPr>
                <w:rFonts w:ascii="Arial" w:eastAsia="Times New Roman" w:hAnsi="Arial" w:cs="Arial"/>
                <w:color w:val="000000"/>
                <w:sz w:val="18"/>
                <w:szCs w:val="18"/>
                <w:lang w:eastAsia="fr-FR"/>
              </w:rPr>
              <w:t>Fanomezana fitaovana hiadiana amin'ny cybercriminalité</w:t>
            </w:r>
          </w:p>
        </w:tc>
        <w:tc>
          <w:tcPr>
            <w:tcW w:w="536" w:type="pct"/>
            <w:vAlign w:val="center"/>
          </w:tcPr>
          <w:p w14:paraId="4B37E57D"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Fanofanana vita. Fiasin’ny fitaovana</w:t>
            </w:r>
          </w:p>
        </w:tc>
        <w:tc>
          <w:tcPr>
            <w:tcW w:w="390" w:type="pct"/>
            <w:vAlign w:val="center"/>
          </w:tcPr>
          <w:p w14:paraId="3A6BDC81"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Fijerena</w:t>
            </w:r>
          </w:p>
        </w:tc>
        <w:tc>
          <w:tcPr>
            <w:tcW w:w="342" w:type="pct"/>
            <w:vAlign w:val="center"/>
          </w:tcPr>
          <w:p w14:paraId="56F71083"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Faran’ny asa fananganana</w:t>
            </w:r>
          </w:p>
        </w:tc>
        <w:tc>
          <w:tcPr>
            <w:tcW w:w="351" w:type="pct"/>
            <w:vAlign w:val="center"/>
          </w:tcPr>
          <w:p w14:paraId="5F414EA6"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Tetik’asa</w:t>
            </w:r>
          </w:p>
        </w:tc>
        <w:tc>
          <w:tcPr>
            <w:tcW w:w="332" w:type="pct"/>
            <w:vAlign w:val="center"/>
          </w:tcPr>
          <w:p w14:paraId="67732712"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BM</w:t>
            </w:r>
          </w:p>
        </w:tc>
      </w:tr>
      <w:tr w:rsidR="00B76189" w:rsidRPr="00B8016A" w14:paraId="69F49837" w14:textId="77777777" w:rsidTr="003710EB">
        <w:trPr>
          <w:trHeight w:val="1835"/>
          <w:jc w:val="center"/>
        </w:trPr>
        <w:tc>
          <w:tcPr>
            <w:tcW w:w="1289" w:type="pct"/>
            <w:vMerge w:val="restart"/>
            <w:shd w:val="clear" w:color="auto" w:fill="auto"/>
            <w:noWrap/>
            <w:vAlign w:val="center"/>
          </w:tcPr>
          <w:p w14:paraId="16DD1D78" w14:textId="77777777" w:rsidR="00B76189" w:rsidRPr="00B8016A" w:rsidRDefault="00B76189" w:rsidP="003710EB">
            <w:pPr>
              <w:spacing w:after="0" w:line="240" w:lineRule="auto"/>
              <w:jc w:val="both"/>
              <w:rPr>
                <w:rFonts w:ascii="Arial" w:eastAsia="Times New Roman" w:hAnsi="Arial" w:cs="Arial"/>
                <w:color w:val="000000"/>
                <w:sz w:val="18"/>
                <w:szCs w:val="18"/>
                <w:lang w:eastAsia="fr-FR"/>
              </w:rPr>
            </w:pPr>
            <w:r w:rsidRPr="00B8016A">
              <w:rPr>
                <w:rFonts w:ascii="Arial" w:eastAsia="Times New Roman" w:hAnsi="Arial" w:cs="Arial"/>
                <w:color w:val="000000"/>
                <w:sz w:val="18"/>
                <w:szCs w:val="18"/>
                <w:lang w:eastAsia="fr-FR"/>
              </w:rPr>
              <w:t>Faha</w:t>
            </w:r>
            <w:r w:rsidR="008251AA">
              <w:rPr>
                <w:rFonts w:ascii="Arial" w:eastAsia="Times New Roman" w:hAnsi="Arial" w:cs="Arial"/>
                <w:color w:val="000000"/>
                <w:sz w:val="18"/>
                <w:szCs w:val="18"/>
                <w:lang w:eastAsia="fr-FR"/>
              </w:rPr>
              <w:t>ravahan</w:t>
            </w:r>
            <w:r w:rsidRPr="00B8016A">
              <w:rPr>
                <w:rFonts w:ascii="Arial" w:eastAsia="Times New Roman" w:hAnsi="Arial" w:cs="Arial"/>
                <w:color w:val="000000"/>
                <w:sz w:val="18"/>
                <w:szCs w:val="18"/>
                <w:lang w:eastAsia="fr-FR"/>
              </w:rPr>
              <w:t>’ny Tanana sy ny voly noho ny t</w:t>
            </w:r>
            <w:r w:rsidR="008251AA">
              <w:rPr>
                <w:rFonts w:ascii="Arial" w:eastAsia="Times New Roman" w:hAnsi="Arial" w:cs="Arial"/>
                <w:color w:val="000000"/>
                <w:sz w:val="18"/>
                <w:szCs w:val="18"/>
                <w:lang w:eastAsia="fr-FR"/>
              </w:rPr>
              <w:t>o</w:t>
            </w:r>
            <w:r w:rsidRPr="00B8016A">
              <w:rPr>
                <w:rFonts w:ascii="Arial" w:eastAsia="Times New Roman" w:hAnsi="Arial" w:cs="Arial"/>
                <w:color w:val="000000"/>
                <w:sz w:val="18"/>
                <w:szCs w:val="18"/>
                <w:lang w:eastAsia="fr-FR"/>
              </w:rPr>
              <w:t>ndra-drano ateraky ny fahavakisan’ny toha-drano</w:t>
            </w:r>
          </w:p>
        </w:tc>
        <w:tc>
          <w:tcPr>
            <w:tcW w:w="1760" w:type="pct"/>
            <w:shd w:val="clear" w:color="auto" w:fill="auto"/>
            <w:noWrap/>
            <w:vAlign w:val="center"/>
          </w:tcPr>
          <w:p w14:paraId="3BC0525F" w14:textId="77777777" w:rsidR="00B76189" w:rsidRPr="00B8016A" w:rsidRDefault="00B76189" w:rsidP="003710EB">
            <w:pPr>
              <w:spacing w:after="0" w:line="240" w:lineRule="auto"/>
              <w:jc w:val="both"/>
              <w:rPr>
                <w:rFonts w:ascii="Arial" w:eastAsia="Times New Roman" w:hAnsi="Arial" w:cs="Arial"/>
                <w:color w:val="000000"/>
                <w:sz w:val="18"/>
                <w:szCs w:val="18"/>
                <w:lang w:val="en-US" w:eastAsia="fr-FR"/>
              </w:rPr>
            </w:pPr>
            <w:r w:rsidRPr="00B8016A">
              <w:rPr>
                <w:rFonts w:ascii="Arial" w:eastAsia="Times New Roman" w:hAnsi="Arial" w:cs="Arial"/>
                <w:color w:val="000000"/>
                <w:sz w:val="18"/>
                <w:szCs w:val="18"/>
                <w:lang w:val="en-US" w:eastAsia="fr-FR"/>
              </w:rPr>
              <w:t>Fananganana Fomba fitantanana sy fiarovana ny Toha</w:t>
            </w:r>
            <w:r>
              <w:rPr>
                <w:rFonts w:ascii="Arial" w:eastAsia="Times New Roman" w:hAnsi="Arial" w:cs="Arial"/>
                <w:color w:val="000000"/>
                <w:sz w:val="18"/>
                <w:szCs w:val="18"/>
                <w:lang w:val="en-US" w:eastAsia="fr-FR"/>
              </w:rPr>
              <w:t>-</w:t>
            </w:r>
            <w:r w:rsidRPr="00B8016A">
              <w:rPr>
                <w:rFonts w:ascii="Arial" w:eastAsia="Times New Roman" w:hAnsi="Arial" w:cs="Arial"/>
                <w:color w:val="000000"/>
                <w:sz w:val="18"/>
                <w:szCs w:val="18"/>
                <w:lang w:val="en-US" w:eastAsia="fr-FR"/>
              </w:rPr>
              <w:t>drano</w:t>
            </w:r>
          </w:p>
        </w:tc>
        <w:tc>
          <w:tcPr>
            <w:tcW w:w="536" w:type="pct"/>
            <w:vAlign w:val="center"/>
          </w:tcPr>
          <w:p w14:paraId="5C24CED1" w14:textId="77777777" w:rsidR="00B76189" w:rsidRPr="00B8016A" w:rsidRDefault="00B76189" w:rsidP="003710EB">
            <w:pPr>
              <w:spacing w:after="0" w:line="240" w:lineRule="auto"/>
              <w:jc w:val="both"/>
              <w:rPr>
                <w:rFonts w:ascii="Arial" w:eastAsia="Times New Roman" w:hAnsi="Arial" w:cs="Arial"/>
                <w:color w:val="000000"/>
                <w:sz w:val="18"/>
                <w:szCs w:val="18"/>
                <w:lang w:val="en-US" w:eastAsia="fr-FR"/>
              </w:rPr>
            </w:pPr>
            <w:r>
              <w:rPr>
                <w:rFonts w:ascii="Arial" w:eastAsia="Times New Roman" w:hAnsi="Arial" w:cs="Arial"/>
                <w:color w:val="000000"/>
                <w:sz w:val="18"/>
                <w:szCs w:val="18"/>
                <w:lang w:val="en-US" w:eastAsia="fr-FR"/>
              </w:rPr>
              <w:t>Fisian’ny boky mifehy ny fomba fitanantanana sy fiarovana ny toha-drano</w:t>
            </w:r>
          </w:p>
        </w:tc>
        <w:tc>
          <w:tcPr>
            <w:tcW w:w="390" w:type="pct"/>
            <w:vAlign w:val="center"/>
          </w:tcPr>
          <w:p w14:paraId="0B1F0CA2" w14:textId="77777777" w:rsidR="00B76189" w:rsidRPr="00B8016A" w:rsidRDefault="00B76189" w:rsidP="003710EB">
            <w:pPr>
              <w:spacing w:after="0" w:line="240" w:lineRule="auto"/>
              <w:jc w:val="both"/>
              <w:rPr>
                <w:rFonts w:ascii="Arial" w:eastAsia="Times New Roman" w:hAnsi="Arial" w:cs="Arial"/>
                <w:color w:val="000000"/>
                <w:sz w:val="18"/>
                <w:szCs w:val="18"/>
                <w:lang w:val="en-US" w:eastAsia="fr-FR"/>
              </w:rPr>
            </w:pPr>
            <w:r>
              <w:rPr>
                <w:rFonts w:ascii="Arial" w:eastAsia="Times New Roman" w:hAnsi="Arial" w:cs="Arial"/>
                <w:color w:val="000000"/>
                <w:sz w:val="18"/>
                <w:szCs w:val="18"/>
                <w:lang w:val="en-US" w:eastAsia="fr-FR"/>
              </w:rPr>
              <w:t>Fijerenna ny boky</w:t>
            </w:r>
          </w:p>
        </w:tc>
        <w:tc>
          <w:tcPr>
            <w:tcW w:w="342" w:type="pct"/>
            <w:vAlign w:val="center"/>
          </w:tcPr>
          <w:p w14:paraId="41345B1F" w14:textId="77777777" w:rsidR="00B76189" w:rsidRPr="00B8016A" w:rsidRDefault="00B76189" w:rsidP="003710EB">
            <w:pPr>
              <w:spacing w:after="0" w:line="240" w:lineRule="auto"/>
              <w:jc w:val="both"/>
              <w:rPr>
                <w:rFonts w:ascii="Arial" w:eastAsia="Times New Roman" w:hAnsi="Arial" w:cs="Arial"/>
                <w:color w:val="000000"/>
                <w:sz w:val="18"/>
                <w:szCs w:val="18"/>
                <w:lang w:val="en-US" w:eastAsia="fr-FR"/>
              </w:rPr>
            </w:pPr>
            <w:r>
              <w:rPr>
                <w:rFonts w:ascii="Arial" w:eastAsia="Times New Roman" w:hAnsi="Arial" w:cs="Arial"/>
                <w:color w:val="000000"/>
                <w:sz w:val="18"/>
                <w:szCs w:val="18"/>
                <w:lang w:val="en-US" w:eastAsia="fr-FR"/>
              </w:rPr>
              <w:t>Mialoan’ny fanaovan-tsonia ny fifanarahana miaraka amin’ny banky iraisam-pirenena</w:t>
            </w:r>
          </w:p>
        </w:tc>
        <w:tc>
          <w:tcPr>
            <w:tcW w:w="351" w:type="pct"/>
            <w:vAlign w:val="center"/>
          </w:tcPr>
          <w:p w14:paraId="10989DEA" w14:textId="77777777" w:rsidR="00B76189" w:rsidRPr="00B8016A" w:rsidRDefault="00B76189" w:rsidP="003710EB">
            <w:pPr>
              <w:spacing w:after="0" w:line="240" w:lineRule="auto"/>
              <w:jc w:val="both"/>
              <w:rPr>
                <w:rFonts w:ascii="Arial" w:eastAsia="Times New Roman" w:hAnsi="Arial" w:cs="Arial"/>
                <w:color w:val="000000"/>
                <w:sz w:val="18"/>
                <w:szCs w:val="18"/>
                <w:lang w:val="en-US" w:eastAsia="fr-FR"/>
              </w:rPr>
            </w:pPr>
            <w:r>
              <w:rPr>
                <w:rFonts w:ascii="Arial" w:eastAsia="Times New Roman" w:hAnsi="Arial" w:cs="Arial"/>
                <w:color w:val="000000"/>
                <w:sz w:val="18"/>
                <w:szCs w:val="18"/>
                <w:lang w:val="en-US" w:eastAsia="fr-FR"/>
              </w:rPr>
              <w:t>Tetikasa</w:t>
            </w:r>
          </w:p>
        </w:tc>
        <w:tc>
          <w:tcPr>
            <w:tcW w:w="332" w:type="pct"/>
            <w:vAlign w:val="center"/>
          </w:tcPr>
          <w:p w14:paraId="49EED1D4" w14:textId="77777777" w:rsidR="00B76189" w:rsidRPr="00B8016A" w:rsidRDefault="00B76189" w:rsidP="003710EB">
            <w:pPr>
              <w:spacing w:after="0" w:line="240" w:lineRule="auto"/>
              <w:jc w:val="both"/>
              <w:rPr>
                <w:rFonts w:ascii="Arial" w:eastAsia="Times New Roman" w:hAnsi="Arial" w:cs="Arial"/>
                <w:color w:val="000000"/>
                <w:sz w:val="18"/>
                <w:szCs w:val="18"/>
                <w:lang w:val="en-US" w:eastAsia="fr-FR"/>
              </w:rPr>
            </w:pPr>
            <w:r>
              <w:rPr>
                <w:rFonts w:ascii="Arial" w:eastAsia="Times New Roman" w:hAnsi="Arial" w:cs="Arial"/>
                <w:color w:val="000000"/>
                <w:sz w:val="18"/>
                <w:szCs w:val="18"/>
                <w:lang w:val="en-US" w:eastAsia="fr-FR"/>
              </w:rPr>
              <w:t>Banky</w:t>
            </w:r>
          </w:p>
        </w:tc>
      </w:tr>
      <w:tr w:rsidR="00B76189" w:rsidRPr="00B8016A" w14:paraId="3EDA9DCC" w14:textId="77777777" w:rsidTr="003710EB">
        <w:trPr>
          <w:trHeight w:val="58"/>
          <w:jc w:val="center"/>
        </w:trPr>
        <w:tc>
          <w:tcPr>
            <w:tcW w:w="1289" w:type="pct"/>
            <w:vMerge/>
            <w:shd w:val="clear" w:color="auto" w:fill="auto"/>
            <w:noWrap/>
            <w:vAlign w:val="center"/>
          </w:tcPr>
          <w:p w14:paraId="67806CE4" w14:textId="77777777" w:rsidR="00B76189" w:rsidRPr="00B8016A" w:rsidRDefault="00B76189" w:rsidP="003710EB">
            <w:pPr>
              <w:spacing w:after="0" w:line="240" w:lineRule="auto"/>
              <w:jc w:val="both"/>
              <w:rPr>
                <w:rFonts w:ascii="Arial" w:eastAsia="Times New Roman" w:hAnsi="Arial" w:cs="Arial"/>
                <w:color w:val="000000"/>
                <w:sz w:val="18"/>
                <w:szCs w:val="18"/>
                <w:lang w:val="en-US" w:eastAsia="fr-FR"/>
              </w:rPr>
            </w:pPr>
          </w:p>
        </w:tc>
        <w:tc>
          <w:tcPr>
            <w:tcW w:w="1760" w:type="pct"/>
            <w:shd w:val="clear" w:color="auto" w:fill="auto"/>
            <w:noWrap/>
            <w:vAlign w:val="center"/>
          </w:tcPr>
          <w:p w14:paraId="44DE4AC8" w14:textId="77777777" w:rsidR="00B76189" w:rsidRPr="00B8016A" w:rsidRDefault="00B76189" w:rsidP="003710EB">
            <w:pPr>
              <w:spacing w:after="0" w:line="240" w:lineRule="auto"/>
              <w:jc w:val="both"/>
              <w:rPr>
                <w:rFonts w:ascii="Arial" w:eastAsia="Times New Roman" w:hAnsi="Arial" w:cs="Arial"/>
                <w:color w:val="000000"/>
                <w:sz w:val="18"/>
                <w:szCs w:val="18"/>
                <w:lang w:val="en-US" w:eastAsia="fr-FR"/>
              </w:rPr>
            </w:pPr>
            <w:r>
              <w:rPr>
                <w:rFonts w:ascii="Arial" w:eastAsia="Times New Roman" w:hAnsi="Arial" w:cs="Arial"/>
                <w:color w:val="000000"/>
                <w:sz w:val="18"/>
                <w:szCs w:val="18"/>
                <w:lang w:val="en-US" w:eastAsia="fr-FR"/>
              </w:rPr>
              <w:t>Fitsirihana matetika sy fanamboarana izay simba</w:t>
            </w:r>
          </w:p>
        </w:tc>
        <w:tc>
          <w:tcPr>
            <w:tcW w:w="536" w:type="pct"/>
            <w:vAlign w:val="center"/>
          </w:tcPr>
          <w:p w14:paraId="1EE7C056" w14:textId="77777777" w:rsidR="00B76189" w:rsidRDefault="00B76189" w:rsidP="003710EB">
            <w:pPr>
              <w:spacing w:after="0" w:line="240" w:lineRule="auto"/>
              <w:jc w:val="both"/>
              <w:rPr>
                <w:rFonts w:ascii="Arial" w:eastAsia="Times New Roman" w:hAnsi="Arial" w:cs="Arial"/>
                <w:color w:val="000000"/>
                <w:sz w:val="18"/>
                <w:szCs w:val="18"/>
                <w:lang w:val="en-US" w:eastAsia="fr-FR"/>
              </w:rPr>
            </w:pPr>
            <w:r>
              <w:rPr>
                <w:rFonts w:ascii="Arial" w:eastAsia="Times New Roman" w:hAnsi="Arial" w:cs="Arial"/>
                <w:color w:val="000000"/>
                <w:sz w:val="18"/>
                <w:szCs w:val="18"/>
                <w:lang w:val="en-US" w:eastAsia="fr-FR"/>
              </w:rPr>
              <w:t>Isan’ny fitsirihana atao</w:t>
            </w:r>
          </w:p>
        </w:tc>
        <w:tc>
          <w:tcPr>
            <w:tcW w:w="390" w:type="pct"/>
            <w:vAlign w:val="center"/>
          </w:tcPr>
          <w:p w14:paraId="3BCA6960" w14:textId="77777777" w:rsidR="00B76189" w:rsidRPr="00B8016A" w:rsidRDefault="00B76189" w:rsidP="003710EB">
            <w:pPr>
              <w:spacing w:after="0" w:line="240" w:lineRule="auto"/>
              <w:jc w:val="both"/>
              <w:rPr>
                <w:rFonts w:ascii="Arial" w:eastAsia="Times New Roman" w:hAnsi="Arial" w:cs="Arial"/>
                <w:color w:val="000000"/>
                <w:sz w:val="18"/>
                <w:szCs w:val="18"/>
                <w:lang w:val="en-US" w:eastAsia="fr-FR"/>
              </w:rPr>
            </w:pPr>
            <w:r>
              <w:rPr>
                <w:rFonts w:ascii="Arial" w:eastAsia="Times New Roman" w:hAnsi="Arial" w:cs="Arial"/>
                <w:color w:val="000000"/>
                <w:sz w:val="18"/>
                <w:szCs w:val="18"/>
                <w:lang w:val="en-US" w:eastAsia="fr-FR"/>
              </w:rPr>
              <w:t>Famakiana ny tatitra</w:t>
            </w:r>
          </w:p>
        </w:tc>
        <w:tc>
          <w:tcPr>
            <w:tcW w:w="342" w:type="pct"/>
            <w:vAlign w:val="center"/>
          </w:tcPr>
          <w:p w14:paraId="5F396250" w14:textId="77777777" w:rsidR="00B76189" w:rsidRPr="00B8016A" w:rsidRDefault="00B76189" w:rsidP="003710EB">
            <w:pPr>
              <w:spacing w:after="0" w:line="240" w:lineRule="auto"/>
              <w:jc w:val="both"/>
              <w:rPr>
                <w:rFonts w:ascii="Arial" w:eastAsia="Times New Roman" w:hAnsi="Arial" w:cs="Arial"/>
                <w:color w:val="000000"/>
                <w:sz w:val="18"/>
                <w:szCs w:val="18"/>
                <w:lang w:val="en-US" w:eastAsia="fr-FR"/>
              </w:rPr>
            </w:pPr>
            <w:r>
              <w:rPr>
                <w:rFonts w:ascii="Arial" w:eastAsia="Times New Roman" w:hAnsi="Arial" w:cs="Arial"/>
                <w:color w:val="000000"/>
                <w:sz w:val="18"/>
                <w:szCs w:val="18"/>
                <w:lang w:val="en-US" w:eastAsia="fr-FR"/>
              </w:rPr>
              <w:t>Isan-taona</w:t>
            </w:r>
          </w:p>
        </w:tc>
        <w:tc>
          <w:tcPr>
            <w:tcW w:w="351" w:type="pct"/>
            <w:vAlign w:val="center"/>
          </w:tcPr>
          <w:p w14:paraId="377D7A1E" w14:textId="77777777" w:rsidR="00B76189" w:rsidRPr="00B8016A" w:rsidRDefault="00B76189" w:rsidP="003710EB">
            <w:pPr>
              <w:spacing w:after="0" w:line="240" w:lineRule="auto"/>
              <w:jc w:val="both"/>
              <w:rPr>
                <w:rFonts w:ascii="Arial" w:eastAsia="Times New Roman" w:hAnsi="Arial" w:cs="Arial"/>
                <w:color w:val="000000"/>
                <w:sz w:val="18"/>
                <w:szCs w:val="18"/>
                <w:lang w:eastAsia="fr-FR"/>
              </w:rPr>
            </w:pPr>
            <w:r w:rsidRPr="00B8016A">
              <w:rPr>
                <w:rFonts w:ascii="Arial" w:eastAsia="Times New Roman" w:hAnsi="Arial" w:cs="Arial"/>
                <w:color w:val="000000"/>
                <w:sz w:val="18"/>
                <w:szCs w:val="18"/>
                <w:lang w:eastAsia="fr-FR"/>
              </w:rPr>
              <w:t>Ny mpitrandraka ny toha-drano</w:t>
            </w:r>
          </w:p>
        </w:tc>
        <w:tc>
          <w:tcPr>
            <w:tcW w:w="332" w:type="pct"/>
            <w:vAlign w:val="center"/>
          </w:tcPr>
          <w:p w14:paraId="63C2AFAE" w14:textId="77777777" w:rsidR="00B76189" w:rsidRPr="00B8016A"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Ministeran’ny Angovo</w:t>
            </w:r>
          </w:p>
        </w:tc>
      </w:tr>
      <w:tr w:rsidR="00B76189" w:rsidRPr="0066250B" w14:paraId="4DD1E6AC" w14:textId="77777777" w:rsidTr="003710EB">
        <w:trPr>
          <w:trHeight w:val="288"/>
          <w:jc w:val="center"/>
        </w:trPr>
        <w:tc>
          <w:tcPr>
            <w:tcW w:w="5000" w:type="pct"/>
            <w:gridSpan w:val="7"/>
            <w:shd w:val="clear" w:color="auto" w:fill="00B0F0"/>
            <w:noWrap/>
            <w:vAlign w:val="center"/>
          </w:tcPr>
          <w:p w14:paraId="63E4710D" w14:textId="77777777" w:rsidR="00B76189" w:rsidRPr="0066250B" w:rsidRDefault="00B76189" w:rsidP="003710EB">
            <w:pPr>
              <w:spacing w:after="0" w:line="240" w:lineRule="auto"/>
              <w:jc w:val="center"/>
              <w:rPr>
                <w:rFonts w:ascii="Arial" w:eastAsia="Times New Roman" w:hAnsi="Arial" w:cs="Arial"/>
                <w:b/>
                <w:color w:val="000000"/>
                <w:sz w:val="18"/>
                <w:szCs w:val="18"/>
                <w:lang w:eastAsia="fr-FR"/>
              </w:rPr>
            </w:pPr>
            <w:r w:rsidRPr="0066250B">
              <w:rPr>
                <w:rFonts w:ascii="Arial" w:eastAsia="Times New Roman" w:hAnsi="Arial" w:cs="Arial"/>
                <w:b/>
                <w:color w:val="000000"/>
                <w:sz w:val="18"/>
                <w:szCs w:val="18"/>
                <w:lang w:eastAsia="fr-FR"/>
              </w:rPr>
              <w:t>Fandravana ny fotodrafitr’asa (PV)</w:t>
            </w:r>
          </w:p>
        </w:tc>
      </w:tr>
      <w:tr w:rsidR="00B76189" w:rsidRPr="0066250B" w14:paraId="29272E9C" w14:textId="77777777" w:rsidTr="003710EB">
        <w:trPr>
          <w:trHeight w:val="288"/>
          <w:jc w:val="center"/>
        </w:trPr>
        <w:tc>
          <w:tcPr>
            <w:tcW w:w="1289" w:type="pct"/>
            <w:shd w:val="clear" w:color="auto" w:fill="auto"/>
            <w:noWrap/>
            <w:vAlign w:val="center"/>
          </w:tcPr>
          <w:p w14:paraId="088B445B"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sidRPr="0066250B">
              <w:rPr>
                <w:rFonts w:ascii="Arial" w:eastAsia="Times New Roman" w:hAnsi="Arial" w:cs="Arial"/>
                <w:color w:val="000000"/>
                <w:sz w:val="18"/>
                <w:szCs w:val="18"/>
                <w:lang w:eastAsia="fr-FR"/>
              </w:rPr>
              <w:lastRenderedPageBreak/>
              <w:t>Fandotoana ny tany sy ny rano noho ny fiparitahana tsy nahy ny akora mandoto sy ny akora mampidi-doza</w:t>
            </w:r>
          </w:p>
        </w:tc>
        <w:tc>
          <w:tcPr>
            <w:tcW w:w="1760" w:type="pct"/>
            <w:shd w:val="clear" w:color="auto" w:fill="auto"/>
            <w:noWrap/>
            <w:vAlign w:val="center"/>
            <w:hideMark/>
          </w:tcPr>
          <w:p w14:paraId="61CA11CD"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sidRPr="0066250B">
              <w:rPr>
                <w:rFonts w:ascii="Arial" w:eastAsia="Times New Roman" w:hAnsi="Arial" w:cs="Arial"/>
                <w:color w:val="000000"/>
                <w:sz w:val="18"/>
                <w:szCs w:val="18"/>
                <w:lang w:eastAsia="fr-FR"/>
              </w:rPr>
              <w:t>Fampiasana fiara tsara. Fanadiovana tsara alohan'ny hialàna ny toerana.</w:t>
            </w:r>
          </w:p>
        </w:tc>
        <w:tc>
          <w:tcPr>
            <w:tcW w:w="536" w:type="pct"/>
            <w:vAlign w:val="center"/>
          </w:tcPr>
          <w:p w14:paraId="2019CEE6"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Fampiasana fiara tsara</w:t>
            </w:r>
          </w:p>
        </w:tc>
        <w:tc>
          <w:tcPr>
            <w:tcW w:w="390" w:type="pct"/>
            <w:vAlign w:val="center"/>
          </w:tcPr>
          <w:p w14:paraId="192316D6"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Fijerena</w:t>
            </w:r>
          </w:p>
        </w:tc>
        <w:tc>
          <w:tcPr>
            <w:tcW w:w="342" w:type="pct"/>
            <w:vAlign w:val="center"/>
          </w:tcPr>
          <w:p w14:paraId="722FDBF1"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Faran’ny asa fananganana</w:t>
            </w:r>
          </w:p>
        </w:tc>
        <w:tc>
          <w:tcPr>
            <w:tcW w:w="351" w:type="pct"/>
            <w:vAlign w:val="center"/>
          </w:tcPr>
          <w:p w14:paraId="3115A257"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Tetik’asa</w:t>
            </w:r>
          </w:p>
        </w:tc>
        <w:tc>
          <w:tcPr>
            <w:tcW w:w="332" w:type="pct"/>
            <w:vAlign w:val="center"/>
          </w:tcPr>
          <w:p w14:paraId="2601ABC3"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Ministera angôvo, BM</w:t>
            </w:r>
          </w:p>
        </w:tc>
      </w:tr>
      <w:tr w:rsidR="00B76189" w:rsidRPr="0066250B" w14:paraId="52390524" w14:textId="77777777" w:rsidTr="003710EB">
        <w:trPr>
          <w:trHeight w:val="288"/>
          <w:jc w:val="center"/>
        </w:trPr>
        <w:tc>
          <w:tcPr>
            <w:tcW w:w="1289" w:type="pct"/>
            <w:shd w:val="clear" w:color="auto" w:fill="auto"/>
            <w:noWrap/>
            <w:vAlign w:val="center"/>
          </w:tcPr>
          <w:p w14:paraId="5F33D72F"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sidRPr="0066250B">
              <w:rPr>
                <w:rFonts w:ascii="Arial" w:eastAsia="Times New Roman" w:hAnsi="Arial" w:cs="Arial"/>
                <w:color w:val="000000"/>
                <w:sz w:val="18"/>
                <w:szCs w:val="18"/>
                <w:lang w:eastAsia="fr-FR"/>
              </w:rPr>
              <w:t>Fandotoana ny tany amin'ny alàlan'ny famelana fako ao anatin'izany ny fitaovana mampiasa herin’aratra sy elektronika (DEEE)</w:t>
            </w:r>
          </w:p>
        </w:tc>
        <w:tc>
          <w:tcPr>
            <w:tcW w:w="1760" w:type="pct"/>
            <w:shd w:val="clear" w:color="auto" w:fill="auto"/>
            <w:noWrap/>
            <w:vAlign w:val="center"/>
            <w:hideMark/>
          </w:tcPr>
          <w:p w14:paraId="62D30EF9"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sidRPr="0066250B">
              <w:rPr>
                <w:rFonts w:ascii="Arial" w:eastAsia="Times New Roman" w:hAnsi="Arial" w:cs="Arial"/>
                <w:color w:val="000000"/>
                <w:sz w:val="18"/>
                <w:szCs w:val="18"/>
                <w:lang w:eastAsia="fr-FR"/>
              </w:rPr>
              <w:t>Fanangonana sy fandefasana ireo fako any amin'ny ivon-toerana manokana misahana izany karazam-pako izany</w:t>
            </w:r>
          </w:p>
        </w:tc>
        <w:tc>
          <w:tcPr>
            <w:tcW w:w="536" w:type="pct"/>
            <w:vAlign w:val="center"/>
          </w:tcPr>
          <w:p w14:paraId="55F24BAF"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Fisian’ny fanangonana sy fisokajiana fako</w:t>
            </w:r>
          </w:p>
        </w:tc>
        <w:tc>
          <w:tcPr>
            <w:tcW w:w="390" w:type="pct"/>
            <w:vAlign w:val="center"/>
          </w:tcPr>
          <w:p w14:paraId="4B4E61A0"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Fijerena</w:t>
            </w:r>
          </w:p>
        </w:tc>
        <w:tc>
          <w:tcPr>
            <w:tcW w:w="342" w:type="pct"/>
            <w:vAlign w:val="center"/>
          </w:tcPr>
          <w:p w14:paraId="190403EE"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Faran’ny asa fananganana</w:t>
            </w:r>
          </w:p>
        </w:tc>
        <w:tc>
          <w:tcPr>
            <w:tcW w:w="351" w:type="pct"/>
            <w:vAlign w:val="center"/>
          </w:tcPr>
          <w:p w14:paraId="4A177BE8"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Tetik’asa</w:t>
            </w:r>
          </w:p>
        </w:tc>
        <w:tc>
          <w:tcPr>
            <w:tcW w:w="332" w:type="pct"/>
            <w:vAlign w:val="center"/>
          </w:tcPr>
          <w:p w14:paraId="01F940D6"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Ministera angôvo, BM</w:t>
            </w:r>
          </w:p>
        </w:tc>
      </w:tr>
      <w:tr w:rsidR="00B76189" w:rsidRPr="0066250B" w14:paraId="10F88310" w14:textId="77777777" w:rsidTr="003710EB">
        <w:trPr>
          <w:trHeight w:val="288"/>
          <w:jc w:val="center"/>
        </w:trPr>
        <w:tc>
          <w:tcPr>
            <w:tcW w:w="1289" w:type="pct"/>
            <w:shd w:val="clear" w:color="auto" w:fill="auto"/>
            <w:noWrap/>
            <w:vAlign w:val="center"/>
          </w:tcPr>
          <w:p w14:paraId="70872725"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sidRPr="0066250B">
              <w:rPr>
                <w:rFonts w:ascii="Arial" w:eastAsia="Times New Roman" w:hAnsi="Arial" w:cs="Arial"/>
                <w:color w:val="000000"/>
                <w:sz w:val="18"/>
                <w:szCs w:val="18"/>
                <w:lang w:eastAsia="fr-FR"/>
              </w:rPr>
              <w:t>F</w:t>
            </w:r>
            <w:r w:rsidRPr="0066250B">
              <w:rPr>
                <w:rFonts w:ascii="Arial" w:eastAsia="Times New Roman" w:hAnsi="Arial" w:cs="Arial"/>
                <w:sz w:val="18"/>
                <w:szCs w:val="18"/>
                <w:lang w:eastAsia="fr-FR"/>
              </w:rPr>
              <w:t>ahaverezana</w:t>
            </w:r>
            <w:r w:rsidRPr="0066250B">
              <w:rPr>
                <w:rFonts w:ascii="Arial" w:eastAsia="Times New Roman" w:hAnsi="Arial" w:cs="Arial"/>
                <w:color w:val="000000"/>
                <w:sz w:val="18"/>
                <w:szCs w:val="18"/>
                <w:lang w:eastAsia="fr-FR"/>
              </w:rPr>
              <w:t xml:space="preserve"> asa</w:t>
            </w:r>
          </w:p>
        </w:tc>
        <w:tc>
          <w:tcPr>
            <w:tcW w:w="1760" w:type="pct"/>
            <w:shd w:val="clear" w:color="auto" w:fill="auto"/>
            <w:noWrap/>
            <w:vAlign w:val="center"/>
            <w:hideMark/>
          </w:tcPr>
          <w:p w14:paraId="0BF5AAF5"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Fanajana sy fampiharana ny lalàna manan-kery mifehy ny asa eto amin'ny firenena</w:t>
            </w:r>
          </w:p>
        </w:tc>
        <w:tc>
          <w:tcPr>
            <w:tcW w:w="536" w:type="pct"/>
            <w:vAlign w:val="center"/>
          </w:tcPr>
          <w:p w14:paraId="6AAC3DDC"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Fiafaran’ny fifanarahan’asa</w:t>
            </w:r>
          </w:p>
        </w:tc>
        <w:tc>
          <w:tcPr>
            <w:tcW w:w="390" w:type="pct"/>
            <w:vAlign w:val="center"/>
          </w:tcPr>
          <w:p w14:paraId="6CCE1E59"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Fijerena</w:t>
            </w:r>
          </w:p>
        </w:tc>
        <w:tc>
          <w:tcPr>
            <w:tcW w:w="342" w:type="pct"/>
            <w:vAlign w:val="center"/>
          </w:tcPr>
          <w:p w14:paraId="3A6F3F15"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Faran’ny asa fananganana</w:t>
            </w:r>
          </w:p>
        </w:tc>
        <w:tc>
          <w:tcPr>
            <w:tcW w:w="351" w:type="pct"/>
            <w:vAlign w:val="center"/>
          </w:tcPr>
          <w:p w14:paraId="58D3E11E"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Tetik’asa</w:t>
            </w:r>
          </w:p>
        </w:tc>
        <w:tc>
          <w:tcPr>
            <w:tcW w:w="332" w:type="pct"/>
            <w:vAlign w:val="center"/>
          </w:tcPr>
          <w:p w14:paraId="53702998"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Ministera angôvo, BM</w:t>
            </w:r>
          </w:p>
        </w:tc>
      </w:tr>
      <w:tr w:rsidR="00B76189" w:rsidRPr="0066250B" w14:paraId="2797D061" w14:textId="77777777" w:rsidTr="003710EB">
        <w:trPr>
          <w:trHeight w:val="288"/>
          <w:jc w:val="center"/>
        </w:trPr>
        <w:tc>
          <w:tcPr>
            <w:tcW w:w="1289" w:type="pct"/>
            <w:shd w:val="clear" w:color="auto" w:fill="auto"/>
            <w:noWrap/>
            <w:vAlign w:val="center"/>
          </w:tcPr>
          <w:p w14:paraId="28C8C44C"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sidRPr="0066250B">
              <w:rPr>
                <w:rFonts w:ascii="Arial" w:eastAsia="Times New Roman" w:hAnsi="Arial" w:cs="Arial"/>
                <w:color w:val="000000"/>
                <w:sz w:val="18"/>
                <w:szCs w:val="18"/>
                <w:lang w:eastAsia="fr-FR"/>
              </w:rPr>
              <w:t>Fikorontanan'ny fifamoivoizana</w:t>
            </w:r>
          </w:p>
        </w:tc>
        <w:tc>
          <w:tcPr>
            <w:tcW w:w="1760" w:type="pct"/>
            <w:shd w:val="clear" w:color="auto" w:fill="auto"/>
            <w:noWrap/>
            <w:vAlign w:val="center"/>
            <w:hideMark/>
          </w:tcPr>
          <w:p w14:paraId="391F5607"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Ny fitandremana ny lalàna mifehy ny fifamoivoizana</w:t>
            </w:r>
          </w:p>
        </w:tc>
        <w:tc>
          <w:tcPr>
            <w:tcW w:w="536" w:type="pct"/>
            <w:vAlign w:val="center"/>
          </w:tcPr>
          <w:p w14:paraId="023409C9" w14:textId="77777777" w:rsidR="00B76189" w:rsidRPr="00505129" w:rsidRDefault="00B76189" w:rsidP="003710EB">
            <w:pPr>
              <w:spacing w:after="0" w:line="240" w:lineRule="auto"/>
              <w:jc w:val="both"/>
              <w:rPr>
                <w:rFonts w:ascii="Arial" w:eastAsia="Times New Roman" w:hAnsi="Arial" w:cs="Arial"/>
                <w:color w:val="000000"/>
                <w:sz w:val="18"/>
                <w:szCs w:val="18"/>
                <w:lang w:val="en-US" w:eastAsia="fr-FR"/>
              </w:rPr>
            </w:pPr>
            <w:r w:rsidRPr="00505129">
              <w:rPr>
                <w:rFonts w:ascii="Arial" w:eastAsia="Times New Roman" w:hAnsi="Arial" w:cs="Arial"/>
                <w:color w:val="000000"/>
                <w:sz w:val="18"/>
                <w:szCs w:val="18"/>
                <w:lang w:val="en-US" w:eastAsia="fr-FR"/>
              </w:rPr>
              <w:t xml:space="preserve">Fanajana ny lalàna mifehy ny fifamoivoizana </w:t>
            </w:r>
          </w:p>
        </w:tc>
        <w:tc>
          <w:tcPr>
            <w:tcW w:w="390" w:type="pct"/>
            <w:vAlign w:val="center"/>
          </w:tcPr>
          <w:p w14:paraId="21682330"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Fijerena</w:t>
            </w:r>
          </w:p>
        </w:tc>
        <w:tc>
          <w:tcPr>
            <w:tcW w:w="342" w:type="pct"/>
            <w:vAlign w:val="center"/>
          </w:tcPr>
          <w:p w14:paraId="331AA0A3"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Faran’ny asa fananganana</w:t>
            </w:r>
          </w:p>
        </w:tc>
        <w:tc>
          <w:tcPr>
            <w:tcW w:w="351" w:type="pct"/>
            <w:vAlign w:val="center"/>
          </w:tcPr>
          <w:p w14:paraId="1F91608A"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Tetik’asa</w:t>
            </w:r>
          </w:p>
        </w:tc>
        <w:tc>
          <w:tcPr>
            <w:tcW w:w="332" w:type="pct"/>
            <w:vAlign w:val="center"/>
          </w:tcPr>
          <w:p w14:paraId="27314103" w14:textId="77777777" w:rsidR="00B76189" w:rsidRPr="0066250B" w:rsidRDefault="00B76189" w:rsidP="003710EB">
            <w:pPr>
              <w:spacing w:after="0" w:line="240" w:lineRule="auto"/>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Ministera angôvo, BM</w:t>
            </w:r>
          </w:p>
        </w:tc>
      </w:tr>
      <w:bookmarkEnd w:id="24"/>
    </w:tbl>
    <w:p w14:paraId="0621ED3D" w14:textId="77777777" w:rsidR="00B76189" w:rsidRDefault="00B76189" w:rsidP="00B76189">
      <w:pPr>
        <w:spacing w:after="120" w:line="240" w:lineRule="auto"/>
        <w:jc w:val="both"/>
        <w:rPr>
          <w:rFonts w:ascii="Arial" w:hAnsi="Arial" w:cs="Arial"/>
        </w:rPr>
        <w:sectPr w:rsidR="00B76189" w:rsidSect="00E5387E">
          <w:pgSz w:w="16838" w:h="11906" w:orient="landscape"/>
          <w:pgMar w:top="1418" w:right="1418" w:bottom="1418" w:left="1418" w:header="709" w:footer="709" w:gutter="0"/>
          <w:pgNumType w:fmt="lowerRoman"/>
          <w:cols w:space="708"/>
          <w:docGrid w:linePitch="360"/>
        </w:sectPr>
      </w:pPr>
    </w:p>
    <w:p w14:paraId="5E96E206" w14:textId="77777777" w:rsidR="00B76189" w:rsidRPr="00200A40" w:rsidRDefault="00B76189" w:rsidP="00B76189">
      <w:pPr>
        <w:spacing w:after="120" w:line="240" w:lineRule="auto"/>
        <w:jc w:val="both"/>
        <w:rPr>
          <w:rFonts w:ascii="Arial" w:hAnsi="Arial" w:cs="Arial"/>
        </w:rPr>
      </w:pPr>
    </w:p>
    <w:p w14:paraId="5D69E81B" w14:textId="77777777" w:rsidR="00B76189" w:rsidRPr="00B8016A" w:rsidRDefault="00B76189" w:rsidP="00B76189">
      <w:pPr>
        <w:spacing w:after="120" w:line="240" w:lineRule="auto"/>
        <w:jc w:val="both"/>
        <w:rPr>
          <w:rFonts w:ascii="Arial" w:hAnsi="Arial" w:cs="Arial"/>
          <w:b/>
          <w:lang w:val="en-US"/>
        </w:rPr>
      </w:pPr>
      <w:r w:rsidRPr="00B8016A">
        <w:rPr>
          <w:rFonts w:ascii="Arial" w:hAnsi="Arial" w:cs="Arial"/>
          <w:b/>
          <w:lang w:val="en-US"/>
        </w:rPr>
        <w:t xml:space="preserve">11. FAMARANANA </w:t>
      </w:r>
    </w:p>
    <w:p w14:paraId="42FA2B2D" w14:textId="77777777" w:rsidR="00B76189" w:rsidRPr="00B8016A" w:rsidRDefault="00B76189" w:rsidP="00B76189">
      <w:pPr>
        <w:spacing w:after="120" w:line="240" w:lineRule="auto"/>
        <w:jc w:val="both"/>
        <w:rPr>
          <w:rFonts w:ascii="Arial" w:hAnsi="Arial" w:cs="Arial"/>
          <w:lang w:val="en-US"/>
        </w:rPr>
      </w:pPr>
      <w:r w:rsidRPr="00B8016A">
        <w:rPr>
          <w:rFonts w:ascii="Arial" w:hAnsi="Arial" w:cs="Arial"/>
          <w:lang w:val="en-US"/>
        </w:rPr>
        <w:t xml:space="preserve">Ny fanatanterahana ny Tetikasa DECIM, ny fisian’ireo tombontsoa sy fiantraikany tsara ateraky ny tetik’asa dia ho </w:t>
      </w:r>
      <w:r w:rsidR="008251AA">
        <w:rPr>
          <w:rFonts w:ascii="Arial" w:hAnsi="Arial" w:cs="Arial"/>
          <w:lang w:val="en-US"/>
        </w:rPr>
        <w:t>h</w:t>
      </w:r>
      <w:r w:rsidRPr="00B8016A">
        <w:rPr>
          <w:rFonts w:ascii="Arial" w:hAnsi="Arial" w:cs="Arial"/>
          <w:lang w:val="en-US"/>
        </w:rPr>
        <w:t xml:space="preserve">ita taratra amin'ny sehatra eo an-toerana sy any amin'ny faritra ary eo amin'ny firenena ihany koa. </w:t>
      </w:r>
    </w:p>
    <w:p w14:paraId="12572F3F" w14:textId="77777777" w:rsidR="00B76189" w:rsidRPr="00B434A6" w:rsidRDefault="00B76189" w:rsidP="00B76189">
      <w:pPr>
        <w:spacing w:after="120" w:line="240" w:lineRule="auto"/>
        <w:jc w:val="both"/>
        <w:rPr>
          <w:rFonts w:ascii="Arial" w:hAnsi="Arial" w:cs="Arial"/>
          <w:lang w:val="en-US"/>
        </w:rPr>
      </w:pPr>
      <w:r w:rsidRPr="00B434A6">
        <w:rPr>
          <w:rFonts w:ascii="Arial" w:hAnsi="Arial" w:cs="Arial"/>
          <w:lang w:val="en-US"/>
        </w:rPr>
        <w:t>Azo antenaina ny fiovan'ny firafitry ny fitakiana angovo.</w:t>
      </w:r>
      <w:r w:rsidRPr="00B8016A">
        <w:rPr>
          <w:rFonts w:ascii="Arial" w:hAnsi="Arial" w:cs="Arial"/>
          <w:color w:val="000000"/>
          <w:shd w:val="clear" w:color="auto" w:fill="F5F5F5"/>
          <w:lang w:val="en-US"/>
        </w:rPr>
        <w:t xml:space="preserve"> </w:t>
      </w:r>
      <w:r w:rsidRPr="00B434A6">
        <w:rPr>
          <w:rFonts w:ascii="Arial" w:hAnsi="Arial" w:cs="Arial"/>
          <w:lang w:val="en-US"/>
        </w:rPr>
        <w:t xml:space="preserve">Raha ny marimarina kokoa, ho betsaka kokoa ny fandaniana angovo azo havaozina, raha oharina amin’ny angovo mahazatra. </w:t>
      </w:r>
    </w:p>
    <w:p w14:paraId="35BC4BD2" w14:textId="77777777" w:rsidR="00B76189" w:rsidRPr="00B434A6" w:rsidRDefault="00B76189" w:rsidP="00B76189">
      <w:pPr>
        <w:spacing w:after="120" w:line="240" w:lineRule="auto"/>
        <w:jc w:val="both"/>
        <w:rPr>
          <w:rFonts w:ascii="Arial" w:hAnsi="Arial" w:cs="Arial"/>
          <w:lang w:val="en-US"/>
        </w:rPr>
      </w:pPr>
      <w:r w:rsidRPr="00B434A6">
        <w:rPr>
          <w:rFonts w:ascii="Arial" w:hAnsi="Arial" w:cs="Arial"/>
          <w:lang w:val="en-US"/>
        </w:rPr>
        <w:t>Raha ny toe-karena eo an-toerana, na isam-paritra na nasionaly, ny fotodrafitrasa sy fotodrafitrasa vaovao dia hampitombo ny fahalianan’ny mpampiasa vola sy ny mpandraharaha tsy miankina amin’ny sehatry ny ambaratonga ambony, indrindra amin’ny sehatry ny serivisy sy ny fizahantany, any amin’ireo toerana akaiky ny toerana misy azy.</w:t>
      </w:r>
      <w:r w:rsidRPr="00B8016A">
        <w:rPr>
          <w:rFonts w:ascii="Arial" w:hAnsi="Arial" w:cs="Arial"/>
          <w:color w:val="000000"/>
          <w:shd w:val="clear" w:color="auto" w:fill="F5F5F5"/>
          <w:lang w:val="en-US"/>
        </w:rPr>
        <w:t xml:space="preserve"> </w:t>
      </w:r>
      <w:r w:rsidRPr="00B434A6">
        <w:rPr>
          <w:rFonts w:ascii="Arial" w:hAnsi="Arial" w:cs="Arial"/>
          <w:lang w:val="en-US"/>
        </w:rPr>
        <w:t xml:space="preserve">Etsy andaniny, hanamora ny fanatanterahana ireo tetikasa sangany sy tetik’asa ara-drafitra ataon’ny Fanjakana. </w:t>
      </w:r>
    </w:p>
    <w:p w14:paraId="13B57927" w14:textId="77777777" w:rsidR="00B76189" w:rsidRPr="00B434A6" w:rsidRDefault="00B76189" w:rsidP="00B76189">
      <w:pPr>
        <w:spacing w:after="120" w:line="240" w:lineRule="auto"/>
        <w:jc w:val="both"/>
        <w:rPr>
          <w:rFonts w:ascii="Arial" w:hAnsi="Arial" w:cs="Arial"/>
          <w:lang w:val="en-US"/>
        </w:rPr>
      </w:pPr>
      <w:r w:rsidRPr="00B434A6">
        <w:rPr>
          <w:rFonts w:ascii="Arial" w:hAnsi="Arial" w:cs="Arial"/>
          <w:lang w:val="en-US"/>
        </w:rPr>
        <w:t>Eo amin’ny lafiny tontolo iainana, ny fanatanterahana ny Tetikasa DECIM dia hitondra anjara biriky amin’ny fampihenana ny entona entona entona entona entona entona entona entona entona entona, ary amin’ny fampiroboroboana ny fampiasana ny angovo azo havaozina.</w:t>
      </w:r>
      <w:r w:rsidRPr="00B8016A">
        <w:rPr>
          <w:rFonts w:ascii="Arial" w:hAnsi="Arial" w:cs="Arial"/>
          <w:color w:val="000000"/>
          <w:shd w:val="clear" w:color="auto" w:fill="F5F5F5"/>
          <w:lang w:val="en-US"/>
        </w:rPr>
        <w:t xml:space="preserve"> </w:t>
      </w:r>
      <w:r w:rsidRPr="00B434A6">
        <w:rPr>
          <w:rFonts w:ascii="Arial" w:hAnsi="Arial" w:cs="Arial"/>
          <w:lang w:val="en-US"/>
        </w:rPr>
        <w:t xml:space="preserve">Fepetra hiadiana amin’ny fiovaovan’ny toetr’andro izany. </w:t>
      </w:r>
    </w:p>
    <w:p w14:paraId="33F59A0C" w14:textId="77777777" w:rsidR="00B76189" w:rsidRPr="00B8016A" w:rsidRDefault="00B76189" w:rsidP="00B76189">
      <w:pPr>
        <w:spacing w:after="120" w:line="240" w:lineRule="auto"/>
        <w:jc w:val="both"/>
        <w:rPr>
          <w:rFonts w:ascii="Arial" w:hAnsi="Arial" w:cs="Arial"/>
          <w:color w:val="000000"/>
          <w:shd w:val="clear" w:color="auto" w:fill="F5F5F5"/>
          <w:lang w:val="en-US"/>
        </w:rPr>
      </w:pPr>
      <w:r w:rsidRPr="00B434A6">
        <w:rPr>
          <w:rFonts w:ascii="Arial" w:hAnsi="Arial" w:cs="Arial"/>
          <w:lang w:val="en-US"/>
        </w:rPr>
        <w:t xml:space="preserve">Etsy ankilany, ny fanatanterahana ny Tetikasa miaraka amin'ny fepetra fisorohana na fanalefahana mifanaraka amin'izany atolotra ao amin'ity </w:t>
      </w:r>
      <w:r w:rsidR="00103394">
        <w:rPr>
          <w:rFonts w:ascii="Arial" w:hAnsi="Arial" w:cs="Arial"/>
          <w:lang w:val="en-US"/>
        </w:rPr>
        <w:t>DIFTIS</w:t>
      </w:r>
      <w:r w:rsidRPr="00B434A6">
        <w:rPr>
          <w:rFonts w:ascii="Arial" w:hAnsi="Arial" w:cs="Arial"/>
          <w:lang w:val="en-US"/>
        </w:rPr>
        <w:t xml:space="preserve"> ity dia ahafahana mitahiry ny mety ho voka-dratsin'ny tetikasa.</w:t>
      </w:r>
    </w:p>
    <w:p w14:paraId="70237FC5" w14:textId="77777777" w:rsidR="00B76189" w:rsidRPr="00B8016A" w:rsidRDefault="00B76189" w:rsidP="00B76189">
      <w:pPr>
        <w:spacing w:after="120" w:line="240" w:lineRule="auto"/>
        <w:jc w:val="both"/>
        <w:rPr>
          <w:rFonts w:ascii="Arial" w:hAnsi="Arial" w:cs="Arial"/>
          <w:color w:val="000000"/>
          <w:shd w:val="clear" w:color="auto" w:fill="F5F5F5"/>
          <w:lang w:val="en-US"/>
        </w:rPr>
      </w:pPr>
    </w:p>
    <w:p w14:paraId="1CE9985D" w14:textId="77777777" w:rsidR="007B4870" w:rsidRPr="00F91FA3" w:rsidRDefault="007B4870" w:rsidP="00855A0A">
      <w:pPr>
        <w:ind w:left="1418" w:hanging="1418"/>
        <w:rPr>
          <w:rFonts w:ascii="Arial" w:hAnsi="Arial" w:cs="Arial"/>
          <w:lang w:val="en-GB"/>
        </w:rPr>
      </w:pPr>
    </w:p>
    <w:p w14:paraId="4886DB8F" w14:textId="77777777" w:rsidR="004A6072" w:rsidRPr="00F91FA3" w:rsidRDefault="004A6072" w:rsidP="00855A0A">
      <w:pPr>
        <w:ind w:left="1418" w:hanging="1418"/>
        <w:rPr>
          <w:rFonts w:ascii="Arial" w:hAnsi="Arial" w:cs="Arial"/>
          <w:lang w:val="en-GB"/>
        </w:rPr>
      </w:pPr>
    </w:p>
    <w:p w14:paraId="78A1EA7E" w14:textId="77777777" w:rsidR="00665B96" w:rsidRPr="00F91FA3" w:rsidRDefault="00665B96" w:rsidP="00855A0A">
      <w:pPr>
        <w:ind w:left="1418" w:hanging="1418"/>
        <w:rPr>
          <w:rFonts w:ascii="Arial" w:hAnsi="Arial" w:cs="Arial"/>
          <w:b/>
          <w:color w:val="0070C0"/>
          <w:sz w:val="24"/>
          <w:szCs w:val="24"/>
          <w:lang w:val="en-GB"/>
        </w:rPr>
      </w:pPr>
    </w:p>
    <w:p w14:paraId="76ADD30A" w14:textId="77777777" w:rsidR="00665B96" w:rsidRPr="00F91FA3" w:rsidRDefault="00665B96" w:rsidP="00855A0A">
      <w:pPr>
        <w:ind w:left="1418" w:hanging="1418"/>
        <w:rPr>
          <w:rFonts w:ascii="Arial" w:hAnsi="Arial" w:cs="Arial"/>
          <w:lang w:val="en-GB"/>
        </w:rPr>
      </w:pPr>
    </w:p>
    <w:p w14:paraId="05861CCC" w14:textId="77777777" w:rsidR="00C57CFD" w:rsidRDefault="00C57CFD" w:rsidP="00855A0A">
      <w:pPr>
        <w:ind w:left="1418" w:hanging="1418"/>
        <w:rPr>
          <w:rFonts w:ascii="Arial" w:hAnsi="Arial" w:cs="Arial"/>
          <w:lang w:val="en-GB"/>
        </w:rPr>
        <w:sectPr w:rsidR="00C57CFD" w:rsidSect="00327DB6">
          <w:headerReference w:type="default" r:id="rId12"/>
          <w:footerReference w:type="default" r:id="rId13"/>
          <w:pgSz w:w="11906" w:h="16838" w:code="9"/>
          <w:pgMar w:top="1418" w:right="1418" w:bottom="1418" w:left="1418" w:header="709" w:footer="709" w:gutter="0"/>
          <w:pgNumType w:fmt="lowerLetter"/>
          <w:cols w:space="708"/>
          <w:docGrid w:linePitch="360"/>
        </w:sectPr>
      </w:pPr>
    </w:p>
    <w:p w14:paraId="050B82D3" w14:textId="77777777" w:rsidR="00832CC9" w:rsidRPr="00B67B63" w:rsidRDefault="00832CC9" w:rsidP="0044500E">
      <w:pPr>
        <w:pStyle w:val="Paragraphedeliste"/>
        <w:numPr>
          <w:ilvl w:val="0"/>
          <w:numId w:val="177"/>
        </w:numPr>
        <w:pBdr>
          <w:bottom w:val="single" w:sz="4" w:space="1" w:color="auto"/>
        </w:pBdr>
        <w:spacing w:line="240" w:lineRule="auto"/>
        <w:jc w:val="both"/>
        <w:outlineLvl w:val="0"/>
        <w:rPr>
          <w:b/>
          <w:bCs/>
          <w:caps/>
          <w:color w:val="44546A"/>
          <w:sz w:val="40"/>
          <w:szCs w:val="44"/>
        </w:rPr>
      </w:pPr>
      <w:bookmarkStart w:id="25" w:name="_Toc124956085"/>
      <w:bookmarkStart w:id="26" w:name="_Toc125384484"/>
      <w:bookmarkStart w:id="27" w:name="_Toc125384873"/>
      <w:bookmarkStart w:id="28" w:name="_Toc127957545"/>
      <w:r w:rsidRPr="00B67B63">
        <w:rPr>
          <w:b/>
          <w:bCs/>
          <w:caps/>
          <w:color w:val="44546A"/>
          <w:sz w:val="40"/>
          <w:szCs w:val="44"/>
        </w:rPr>
        <w:lastRenderedPageBreak/>
        <w:t>Introduction et Contexte</w:t>
      </w:r>
      <w:bookmarkEnd w:id="25"/>
      <w:bookmarkEnd w:id="26"/>
      <w:bookmarkEnd w:id="27"/>
      <w:bookmarkEnd w:id="28"/>
    </w:p>
    <w:p w14:paraId="25A67B6C" w14:textId="77777777" w:rsidR="00832CC9" w:rsidRPr="007F78CE" w:rsidRDefault="00C55177" w:rsidP="0044500E">
      <w:pPr>
        <w:pStyle w:val="TIT2"/>
        <w:numPr>
          <w:ilvl w:val="1"/>
          <w:numId w:val="177"/>
        </w:numPr>
      </w:pPr>
      <w:bookmarkStart w:id="29" w:name="_Toc124314610"/>
      <w:bookmarkStart w:id="30" w:name="_Toc124956086"/>
      <w:bookmarkStart w:id="31" w:name="_Toc125384485"/>
      <w:bookmarkStart w:id="32" w:name="_Toc125384874"/>
      <w:bookmarkStart w:id="33" w:name="_Toc127957546"/>
      <w:r w:rsidRPr="007F78CE">
        <w:t>Contexte du Projet</w:t>
      </w:r>
      <w:bookmarkEnd w:id="29"/>
      <w:bookmarkEnd w:id="30"/>
      <w:bookmarkEnd w:id="31"/>
      <w:bookmarkEnd w:id="32"/>
      <w:bookmarkEnd w:id="33"/>
    </w:p>
    <w:p w14:paraId="7ED99C7F" w14:textId="77777777" w:rsidR="0017227E" w:rsidRPr="0017227E" w:rsidRDefault="0017227E" w:rsidP="0017227E">
      <w:pPr>
        <w:jc w:val="both"/>
        <w:rPr>
          <w:rFonts w:ascii="Arial" w:hAnsi="Arial" w:cs="Arial"/>
        </w:rPr>
      </w:pPr>
      <w:r w:rsidRPr="0017227E">
        <w:rPr>
          <w:rFonts w:ascii="Arial" w:hAnsi="Arial" w:cs="Arial"/>
        </w:rPr>
        <w:t xml:space="preserve">Au cours de ces trois dernières années, les évènements majeurs et leurs conséquences survenus à Madagascar tels </w:t>
      </w:r>
      <w:r w:rsidR="008B7D8B">
        <w:rPr>
          <w:rFonts w:ascii="Arial" w:hAnsi="Arial" w:cs="Arial"/>
        </w:rPr>
        <w:t xml:space="preserve">que </w:t>
      </w:r>
      <w:r w:rsidRPr="0017227E">
        <w:rPr>
          <w:rFonts w:ascii="Arial" w:hAnsi="Arial" w:cs="Arial"/>
        </w:rPr>
        <w:t>marqués par la crise du COVID-19 (récession économique), les impacts négatifs de la guerre en Ukraine (augmentation des prix du carburant et des produits d’importation), les séquelles des évènements météorologiques extrêmes (baisse de la production agricole, dégradation des infrastructures productives et sociales, etc.) ont anéanti les gains économiques de croissance économique obtenus antérieurement en général et ont amené la population du pays à une situation de pauvreté chronique</w:t>
      </w:r>
      <w:r w:rsidRPr="0017227E">
        <w:rPr>
          <w:vertAlign w:val="superscript"/>
        </w:rPr>
        <w:footnoteReference w:id="3"/>
      </w:r>
      <w:r w:rsidRPr="0017227E">
        <w:rPr>
          <w:rFonts w:ascii="Arial" w:hAnsi="Arial" w:cs="Arial"/>
        </w:rPr>
        <w:t xml:space="preserve"> en particulier. </w:t>
      </w:r>
    </w:p>
    <w:p w14:paraId="7D55B22A" w14:textId="77777777" w:rsidR="0017227E" w:rsidRPr="0017227E" w:rsidRDefault="0017227E" w:rsidP="0017227E">
      <w:pPr>
        <w:jc w:val="both"/>
        <w:rPr>
          <w:rFonts w:ascii="Arial" w:hAnsi="Arial" w:cs="Arial"/>
        </w:rPr>
      </w:pPr>
      <w:r w:rsidRPr="0017227E">
        <w:rPr>
          <w:rFonts w:ascii="Arial" w:hAnsi="Arial" w:cs="Arial"/>
        </w:rPr>
        <w:t xml:space="preserve">Pour stimuler et soutenir la croissance économique et réduire la pauvreté, Madagascar doit s’engager dans des </w:t>
      </w:r>
      <w:r w:rsidR="00B85CFC" w:rsidRPr="0017227E">
        <w:rPr>
          <w:rFonts w:ascii="Arial" w:hAnsi="Arial" w:cs="Arial"/>
        </w:rPr>
        <w:t>réformes</w:t>
      </w:r>
      <w:r w:rsidRPr="0017227E">
        <w:rPr>
          <w:rFonts w:ascii="Arial" w:hAnsi="Arial" w:cs="Arial"/>
        </w:rPr>
        <w:t xml:space="preserve"> structurelles profondes basées sur des investissements dans le capital humain et physique, le recours à la transformation structurelle, le développement d’un secteur productif résilient au changement climatique. La stimulation, voire le développement du secteur des nouvelles technologies et du numérique d’une part, un meilleur accès aux infrastructures, notamment à l’énergie pour les communautés dans les zones mal desservies, plus particulièrement dans les zones rurales, d’autre part constitue des vecteurs de développement et d’accélération de la transformation structurelle En effet, l’exploitation combinée de ces deux secteurs permet d’obtenir des résultats de développement plus probants.</w:t>
      </w:r>
    </w:p>
    <w:p w14:paraId="5BA0E32D" w14:textId="77777777" w:rsidR="0017227E" w:rsidRPr="0017227E" w:rsidRDefault="0017227E" w:rsidP="0017227E">
      <w:pPr>
        <w:jc w:val="both"/>
        <w:rPr>
          <w:rFonts w:ascii="Arial" w:hAnsi="Arial" w:cs="Arial"/>
        </w:rPr>
      </w:pPr>
      <w:r w:rsidRPr="0017227E">
        <w:rPr>
          <w:rFonts w:ascii="Arial" w:hAnsi="Arial" w:cs="Arial"/>
        </w:rPr>
        <w:t xml:space="preserve">Sur le plan énergétique, un tiers de la population a accès à l’électricité en 2020 et les abonnés sont confrontés à un service d’électricité défaillant (délestage fréquent, fluctuations de tension) provoquant dans certaines localités des manifestations populaires. Au niveau </w:t>
      </w:r>
      <w:r w:rsidR="008B7D8B" w:rsidRPr="0017227E">
        <w:rPr>
          <w:rFonts w:ascii="Arial" w:hAnsi="Arial" w:cs="Arial"/>
        </w:rPr>
        <w:t>d</w:t>
      </w:r>
      <w:r w:rsidR="008B7D8B">
        <w:rPr>
          <w:rFonts w:ascii="Arial" w:hAnsi="Arial" w:cs="Arial"/>
        </w:rPr>
        <w:t>es</w:t>
      </w:r>
      <w:r w:rsidR="008B7D8B" w:rsidRPr="0017227E">
        <w:rPr>
          <w:rFonts w:ascii="Arial" w:hAnsi="Arial" w:cs="Arial"/>
        </w:rPr>
        <w:t xml:space="preserve"> </w:t>
      </w:r>
      <w:r w:rsidRPr="0017227E">
        <w:rPr>
          <w:rFonts w:ascii="Arial" w:hAnsi="Arial" w:cs="Arial"/>
        </w:rPr>
        <w:t>pouvoir</w:t>
      </w:r>
      <w:r w:rsidR="008B7D8B">
        <w:rPr>
          <w:rFonts w:ascii="Arial" w:hAnsi="Arial" w:cs="Arial"/>
        </w:rPr>
        <w:t>s</w:t>
      </w:r>
      <w:r w:rsidRPr="0017227E">
        <w:rPr>
          <w:rFonts w:ascii="Arial" w:hAnsi="Arial" w:cs="Arial"/>
        </w:rPr>
        <w:t xml:space="preserve"> public</w:t>
      </w:r>
      <w:r w:rsidR="008B7D8B">
        <w:rPr>
          <w:rFonts w:ascii="Arial" w:hAnsi="Arial" w:cs="Arial"/>
        </w:rPr>
        <w:t>s</w:t>
      </w:r>
      <w:r w:rsidRPr="0017227E">
        <w:rPr>
          <w:rFonts w:ascii="Arial" w:hAnsi="Arial" w:cs="Arial"/>
        </w:rPr>
        <w:t>, le Gouvernement de Madagascar s’est engagé à accélérer l’accès de la population à l’électricité. Un objectif d’un taux d’électrification d’au moins 50% est fixé d’ici 2025 (selon la NPE) dont la moitié des nouveaux raccordements sera assuré</w:t>
      </w:r>
      <w:r w:rsidR="00683810">
        <w:rPr>
          <w:rFonts w:ascii="Arial" w:hAnsi="Arial" w:cs="Arial"/>
        </w:rPr>
        <w:t>e</w:t>
      </w:r>
      <w:r w:rsidRPr="0017227E">
        <w:rPr>
          <w:rFonts w:ascii="Arial" w:hAnsi="Arial" w:cs="Arial"/>
        </w:rPr>
        <w:t xml:space="preserve"> par les technologies solaires hors réseau (TSHR) et la moitié par les solutions de réseau (réseau</w:t>
      </w:r>
      <w:r w:rsidRPr="0017227E">
        <w:rPr>
          <w:vertAlign w:val="superscript"/>
        </w:rPr>
        <w:footnoteReference w:id="4"/>
      </w:r>
      <w:r w:rsidRPr="0017227E">
        <w:rPr>
          <w:rFonts w:ascii="Arial" w:hAnsi="Arial" w:cs="Arial"/>
        </w:rPr>
        <w:t>, réseaux isolés</w:t>
      </w:r>
      <w:r w:rsidRPr="0017227E">
        <w:rPr>
          <w:vertAlign w:val="superscript"/>
        </w:rPr>
        <w:footnoteReference w:id="5"/>
      </w:r>
      <w:r w:rsidRPr="0017227E">
        <w:rPr>
          <w:rFonts w:ascii="Arial" w:hAnsi="Arial" w:cs="Arial"/>
        </w:rPr>
        <w:t>, mini-réseaux</w:t>
      </w:r>
      <w:r w:rsidRPr="0017227E">
        <w:rPr>
          <w:vertAlign w:val="superscript"/>
        </w:rPr>
        <w:footnoteReference w:id="6"/>
      </w:r>
      <w:r w:rsidRPr="0017227E">
        <w:rPr>
          <w:rFonts w:ascii="Arial" w:hAnsi="Arial" w:cs="Arial"/>
        </w:rPr>
        <w:t xml:space="preserve">). </w:t>
      </w:r>
    </w:p>
    <w:p w14:paraId="4638212B" w14:textId="77777777" w:rsidR="0017227E" w:rsidRPr="0017227E" w:rsidRDefault="0017227E" w:rsidP="0017227E">
      <w:pPr>
        <w:jc w:val="both"/>
        <w:rPr>
          <w:rFonts w:ascii="Arial" w:hAnsi="Arial" w:cs="Arial"/>
        </w:rPr>
      </w:pPr>
      <w:r w:rsidRPr="0017227E">
        <w:rPr>
          <w:rFonts w:ascii="Arial" w:hAnsi="Arial" w:cs="Arial"/>
        </w:rPr>
        <w:t>Sur le plan numérique, l’accès à la connectivité et l’utilisation des services à large bande est relativement bas à Madagascar (22% de la population sont connectées à l’internet) avec une fracture numérique bien évidente tant sur la répartition géographique (27,1% des urbains utilisent l’internet contre 5,4% des ruraux) que la répartition genrée (les hommes sont plus connectés que les femmes).</w:t>
      </w:r>
    </w:p>
    <w:p w14:paraId="725D5712" w14:textId="77777777" w:rsidR="0017227E" w:rsidRPr="0017227E" w:rsidRDefault="0017227E" w:rsidP="0017227E">
      <w:pPr>
        <w:jc w:val="both"/>
        <w:rPr>
          <w:rFonts w:ascii="Arial" w:hAnsi="Arial" w:cs="Arial"/>
        </w:rPr>
      </w:pPr>
      <w:r w:rsidRPr="0017227E">
        <w:rPr>
          <w:rFonts w:ascii="Arial" w:hAnsi="Arial" w:cs="Arial"/>
        </w:rPr>
        <w:lastRenderedPageBreak/>
        <w:t xml:space="preserve">Conscient que le secteur énergie et le secteur numérique sont parmi les piliers du développement du Pays. Le Gouvernement malagasy demande l’appui financier de la Banque mondiale pour le Projet de Connectivite Numérique et Energétique pour l'Inclusion à Madagascar ou Projet DECIM (Digital and Energy Connectivity for Inclusion in Madagascar). </w:t>
      </w:r>
    </w:p>
    <w:p w14:paraId="01E22F53" w14:textId="77777777" w:rsidR="00C55177" w:rsidRPr="0017227E" w:rsidRDefault="0017227E" w:rsidP="0017227E">
      <w:pPr>
        <w:jc w:val="both"/>
        <w:rPr>
          <w:rFonts w:ascii="Arial" w:hAnsi="Arial" w:cs="Arial"/>
        </w:rPr>
      </w:pPr>
      <w:r w:rsidRPr="0017227E">
        <w:rPr>
          <w:rFonts w:ascii="Arial" w:hAnsi="Arial" w:cs="Arial"/>
        </w:rPr>
        <w:t>Effectivement, le Projet DECIM vise à développer l'accès aux énergies renouvelables et aux services numériques, et d'accroître l'inclusion. Les raccordements à l'électricité et l'adoption accrue de l'internet à haut débit accéléreront en premier lieu la croissance économique par la création de nouvelles possibilités de travail, en particulier dans les zones rurales. Ensuite, d’atténuer le changement climatique par la diminution de l’utilisation des combustions fossiles pour la production de l’électricité et la diminution des déplacements physiques des personnes et des biens. Et enfin, il renforce la résilience en fournissant un accès à l'énergie aux communautés afin d'atténuer les impacts climatiques négatifs.</w:t>
      </w:r>
    </w:p>
    <w:p w14:paraId="5D3E3846" w14:textId="77777777" w:rsidR="00C55177" w:rsidRPr="007F78CE" w:rsidRDefault="00C55177" w:rsidP="0044500E">
      <w:pPr>
        <w:pStyle w:val="TIT2"/>
        <w:numPr>
          <w:ilvl w:val="1"/>
          <w:numId w:val="177"/>
        </w:numPr>
      </w:pPr>
      <w:bookmarkStart w:id="34" w:name="_Toc124314611"/>
      <w:bookmarkStart w:id="35" w:name="_Toc124956087"/>
      <w:bookmarkStart w:id="36" w:name="_Toc125384486"/>
      <w:bookmarkStart w:id="37" w:name="_Toc125384875"/>
      <w:bookmarkStart w:id="38" w:name="_Toc127957547"/>
      <w:r w:rsidRPr="007F78CE">
        <w:t>Objectif de l’étude</w:t>
      </w:r>
      <w:bookmarkEnd w:id="34"/>
      <w:bookmarkEnd w:id="35"/>
      <w:bookmarkEnd w:id="36"/>
      <w:bookmarkEnd w:id="37"/>
      <w:bookmarkEnd w:id="38"/>
    </w:p>
    <w:p w14:paraId="3701CD51" w14:textId="77777777" w:rsidR="00855A0A" w:rsidRPr="00855A0A" w:rsidRDefault="00855A0A" w:rsidP="00855A0A">
      <w:pPr>
        <w:jc w:val="both"/>
        <w:rPr>
          <w:rFonts w:ascii="Arial" w:hAnsi="Arial" w:cs="Arial"/>
        </w:rPr>
      </w:pPr>
      <w:r w:rsidRPr="0056308B">
        <w:rPr>
          <w:rFonts w:ascii="Arial" w:hAnsi="Arial" w:cs="Arial"/>
        </w:rPr>
        <w:t>Ce mandat consiste à réaliser des études environnementales et sociales nécessaires à une mise en œuvre harmonieuse et durable du Projet de Connectivit</w:t>
      </w:r>
      <w:r w:rsidR="00EB098A" w:rsidRPr="00F03C38">
        <w:rPr>
          <w:rFonts w:ascii="Arial" w:hAnsi="Arial" w:cs="Arial"/>
        </w:rPr>
        <w:t>é</w:t>
      </w:r>
      <w:r w:rsidRPr="00F03C38">
        <w:rPr>
          <w:rFonts w:ascii="Arial" w:hAnsi="Arial" w:cs="Arial"/>
        </w:rPr>
        <w:t xml:space="preserve"> Numérique et Energétique pour l'Inclusion à Madagascar.</w:t>
      </w:r>
    </w:p>
    <w:p w14:paraId="5B2E7EE1" w14:textId="77777777" w:rsidR="00855A0A" w:rsidRPr="00855A0A" w:rsidRDefault="00855A0A" w:rsidP="00855A0A">
      <w:pPr>
        <w:jc w:val="both"/>
        <w:rPr>
          <w:rFonts w:ascii="Arial" w:hAnsi="Arial" w:cs="Arial"/>
        </w:rPr>
      </w:pPr>
      <w:r w:rsidRPr="00855A0A">
        <w:rPr>
          <w:rFonts w:ascii="Arial" w:hAnsi="Arial" w:cs="Arial"/>
        </w:rPr>
        <w:t>Plus précisément, il s’agit de définir et d’analyser les différents impacts potentiels du Projet sur l’environnement et sur le milieu social, et de proposer des mesures dans le but de préserver l’environnement et en promouvant le développement social. Tout ceci dans le but de fournir des orientations au</w:t>
      </w:r>
      <w:r>
        <w:rPr>
          <w:rFonts w:ascii="Arial" w:hAnsi="Arial" w:cs="Arial"/>
        </w:rPr>
        <w:t xml:space="preserve">x Ministères de tutelle et à l’Unité de Coordination du Projet </w:t>
      </w:r>
      <w:r w:rsidRPr="00855A0A">
        <w:rPr>
          <w:rFonts w:ascii="Arial" w:hAnsi="Arial" w:cs="Arial"/>
        </w:rPr>
        <w:t xml:space="preserve">pour la mise en œuvre des mesures et des actions concrètes nécessaires pour que le Projet soit exécuté dans le respect du Cadre Environnemental et Social (CES) de la Banque mondiale. </w:t>
      </w:r>
    </w:p>
    <w:p w14:paraId="21C67181" w14:textId="77777777" w:rsidR="00832CC9" w:rsidRPr="007F78CE" w:rsidRDefault="00C55177" w:rsidP="0044500E">
      <w:pPr>
        <w:pStyle w:val="TIT2"/>
        <w:numPr>
          <w:ilvl w:val="1"/>
          <w:numId w:val="177"/>
        </w:numPr>
      </w:pPr>
      <w:bookmarkStart w:id="39" w:name="_Toc124314612"/>
      <w:bookmarkStart w:id="40" w:name="_Toc124956088"/>
      <w:bookmarkStart w:id="41" w:name="_Toc125384487"/>
      <w:bookmarkStart w:id="42" w:name="_Toc125384876"/>
      <w:bookmarkStart w:id="43" w:name="_Toc127957548"/>
      <w:r w:rsidRPr="007F78CE">
        <w:t>Introduction du CES de la Banque</w:t>
      </w:r>
      <w:bookmarkEnd w:id="39"/>
      <w:bookmarkEnd w:id="40"/>
      <w:bookmarkEnd w:id="41"/>
      <w:bookmarkEnd w:id="42"/>
      <w:bookmarkEnd w:id="43"/>
    </w:p>
    <w:p w14:paraId="54FD2DB1" w14:textId="77777777" w:rsidR="007C44F6" w:rsidRPr="00E33E0C" w:rsidRDefault="007C44F6" w:rsidP="007C44F6">
      <w:pPr>
        <w:jc w:val="both"/>
        <w:rPr>
          <w:rFonts w:ascii="Arial" w:hAnsi="Arial" w:cs="Arial"/>
        </w:rPr>
      </w:pPr>
      <w:r w:rsidRPr="00E33E0C">
        <w:rPr>
          <w:rFonts w:ascii="Arial" w:hAnsi="Arial" w:cs="Arial"/>
        </w:rPr>
        <w:t xml:space="preserve">Sachant que </w:t>
      </w:r>
      <w:r w:rsidR="0056308B">
        <w:rPr>
          <w:rFonts w:ascii="Arial" w:hAnsi="Arial" w:cs="Arial"/>
        </w:rPr>
        <w:t xml:space="preserve">ce </w:t>
      </w:r>
      <w:r w:rsidRPr="00E33E0C">
        <w:rPr>
          <w:rFonts w:ascii="Arial" w:hAnsi="Arial" w:cs="Arial"/>
        </w:rPr>
        <w:t xml:space="preserve">Projet est sous le financement de la Banque Mondiale, la mise en œuvre par l’Emprunteur doit se conformer à des procédures et des règles spécifiques. Parmi </w:t>
      </w:r>
      <w:r w:rsidR="008B7D8B" w:rsidRPr="58F5F8BA">
        <w:rPr>
          <w:rFonts w:ascii="Arial" w:hAnsi="Arial" w:cs="Arial"/>
        </w:rPr>
        <w:t>les</w:t>
      </w:r>
      <w:r w:rsidR="008B7D8B">
        <w:rPr>
          <w:rFonts w:ascii="Arial" w:hAnsi="Arial" w:cs="Arial"/>
        </w:rPr>
        <w:t xml:space="preserve"> dites regles</w:t>
      </w:r>
      <w:r w:rsidRPr="00E33E0C">
        <w:rPr>
          <w:rFonts w:ascii="Arial" w:hAnsi="Arial" w:cs="Arial"/>
        </w:rPr>
        <w:t xml:space="preserve">, </w:t>
      </w:r>
      <w:r w:rsidR="72110CA3" w:rsidRPr="58F5F8BA">
        <w:rPr>
          <w:rFonts w:ascii="Arial" w:hAnsi="Arial" w:cs="Arial"/>
        </w:rPr>
        <w:t>il y</w:t>
      </w:r>
      <w:r w:rsidRPr="00E33E0C">
        <w:rPr>
          <w:rFonts w:ascii="Arial" w:hAnsi="Arial" w:cs="Arial"/>
        </w:rPr>
        <w:t xml:space="preserve"> a le Cadre Environnemental et Social (CES). Ce C</w:t>
      </w:r>
      <w:r w:rsidR="22CB4A71" w:rsidRPr="58F5F8BA">
        <w:rPr>
          <w:rFonts w:ascii="Arial" w:hAnsi="Arial" w:cs="Arial"/>
        </w:rPr>
        <w:t>ES</w:t>
      </w:r>
      <w:r w:rsidRPr="00E33E0C">
        <w:rPr>
          <w:rFonts w:ascii="Arial" w:hAnsi="Arial" w:cs="Arial"/>
        </w:rPr>
        <w:t xml:space="preserve"> de la Banque </w:t>
      </w:r>
      <w:r w:rsidR="00AB2037">
        <w:rPr>
          <w:rFonts w:ascii="Arial" w:hAnsi="Arial" w:cs="Arial"/>
        </w:rPr>
        <w:t>m</w:t>
      </w:r>
      <w:r w:rsidRPr="00E33E0C">
        <w:rPr>
          <w:rFonts w:ascii="Arial" w:hAnsi="Arial" w:cs="Arial"/>
        </w:rPr>
        <w:t>ondiale décrit l’engagement de la Banque à promouvoir le développement durable à travers une politique et un ensemble de normes environnementales et sociales conçues pour appuyer les projets des pays emprunteurs dans le but de mettre fin à l’extrême pauvreté et de promouvoir une prospérité partagée.</w:t>
      </w:r>
    </w:p>
    <w:p w14:paraId="0FCEB240" w14:textId="77777777" w:rsidR="007C44F6" w:rsidRPr="00E33E0C" w:rsidRDefault="007C44F6" w:rsidP="007C44F6">
      <w:pPr>
        <w:jc w:val="both"/>
        <w:rPr>
          <w:rFonts w:ascii="Arial" w:hAnsi="Arial" w:cs="Arial"/>
        </w:rPr>
      </w:pPr>
      <w:r w:rsidRPr="00E33E0C">
        <w:rPr>
          <w:rFonts w:ascii="Arial" w:hAnsi="Arial" w:cs="Arial"/>
        </w:rPr>
        <w:t>Le C</w:t>
      </w:r>
      <w:r w:rsidR="4C286295" w:rsidRPr="58F5F8BA">
        <w:rPr>
          <w:rFonts w:ascii="Arial" w:hAnsi="Arial" w:cs="Arial"/>
        </w:rPr>
        <w:t>ES</w:t>
      </w:r>
      <w:r w:rsidRPr="00E33E0C">
        <w:rPr>
          <w:rFonts w:ascii="Arial" w:hAnsi="Arial" w:cs="Arial"/>
        </w:rPr>
        <w:t xml:space="preserve"> comprend :</w:t>
      </w:r>
    </w:p>
    <w:p w14:paraId="0798F7A7" w14:textId="77777777" w:rsidR="007C44F6" w:rsidRPr="007C44F6" w:rsidRDefault="007C44F6" w:rsidP="00687DD2">
      <w:pPr>
        <w:pStyle w:val="Paragraphedeliste"/>
        <w:numPr>
          <w:ilvl w:val="0"/>
          <w:numId w:val="60"/>
        </w:numPr>
        <w:jc w:val="both"/>
        <w:rPr>
          <w:rFonts w:ascii="Arial" w:hAnsi="Arial" w:cs="Arial"/>
        </w:rPr>
      </w:pPr>
      <w:r w:rsidRPr="007C44F6">
        <w:rPr>
          <w:rFonts w:ascii="Arial" w:hAnsi="Arial" w:cs="Arial"/>
        </w:rPr>
        <w:t>Une vision du développement durable, qui décrit les aspirations de la Banque en matière de viabilité environnementale et sociale ;</w:t>
      </w:r>
    </w:p>
    <w:p w14:paraId="12617034" w14:textId="77777777" w:rsidR="007C44F6" w:rsidRPr="007C44F6" w:rsidRDefault="007C44F6" w:rsidP="00687DD2">
      <w:pPr>
        <w:pStyle w:val="Paragraphedeliste"/>
        <w:numPr>
          <w:ilvl w:val="0"/>
          <w:numId w:val="60"/>
        </w:numPr>
        <w:jc w:val="both"/>
        <w:rPr>
          <w:rFonts w:ascii="Arial" w:hAnsi="Arial" w:cs="Arial"/>
        </w:rPr>
      </w:pPr>
      <w:r w:rsidRPr="007C44F6">
        <w:rPr>
          <w:rFonts w:ascii="Arial" w:hAnsi="Arial" w:cs="Arial"/>
        </w:rPr>
        <w:t xml:space="preserve">La Politique environnementale et sociale de la Banque mondiale relative au financement de projets d’investissement, qui énonce les exigences de la Banque ; </w:t>
      </w:r>
    </w:p>
    <w:p w14:paraId="3F1A26A6" w14:textId="77777777" w:rsidR="007C44F6" w:rsidRPr="007C44F6" w:rsidRDefault="007C44F6" w:rsidP="00687DD2">
      <w:pPr>
        <w:pStyle w:val="Paragraphedeliste"/>
        <w:numPr>
          <w:ilvl w:val="0"/>
          <w:numId w:val="60"/>
        </w:numPr>
        <w:jc w:val="both"/>
        <w:rPr>
          <w:rFonts w:ascii="Arial" w:hAnsi="Arial" w:cs="Arial"/>
        </w:rPr>
      </w:pPr>
      <w:r w:rsidRPr="007C44F6">
        <w:rPr>
          <w:rFonts w:ascii="Arial" w:hAnsi="Arial" w:cs="Arial"/>
        </w:rPr>
        <w:t>Les Normes environnementales et sociales et leurs Annexes, qui énoncent les dispositions qui s’appliquent à l’Emprunteur et aux projets.</w:t>
      </w:r>
    </w:p>
    <w:p w14:paraId="69498B23" w14:textId="77777777" w:rsidR="007C44F6" w:rsidRPr="00E33E0C" w:rsidRDefault="007C44F6" w:rsidP="007C44F6">
      <w:pPr>
        <w:jc w:val="both"/>
        <w:rPr>
          <w:rFonts w:ascii="Arial" w:hAnsi="Arial" w:cs="Arial"/>
        </w:rPr>
      </w:pPr>
      <w:r w:rsidRPr="00E33E0C">
        <w:rPr>
          <w:rFonts w:ascii="Arial" w:hAnsi="Arial" w:cs="Arial"/>
        </w:rPr>
        <w:t xml:space="preserve">Dans cette optique, les Normes </w:t>
      </w:r>
      <w:r w:rsidR="00AB2037">
        <w:rPr>
          <w:rFonts w:ascii="Arial" w:hAnsi="Arial" w:cs="Arial"/>
        </w:rPr>
        <w:t>E</w:t>
      </w:r>
      <w:r w:rsidRPr="00E33E0C">
        <w:rPr>
          <w:rFonts w:ascii="Arial" w:hAnsi="Arial" w:cs="Arial"/>
        </w:rPr>
        <w:t xml:space="preserve">nvironnementales et </w:t>
      </w:r>
      <w:r w:rsidR="00AB2037">
        <w:rPr>
          <w:rFonts w:ascii="Arial" w:hAnsi="Arial" w:cs="Arial"/>
        </w:rPr>
        <w:t>S</w:t>
      </w:r>
      <w:r w:rsidRPr="00E33E0C">
        <w:rPr>
          <w:rFonts w:ascii="Arial" w:hAnsi="Arial" w:cs="Arial"/>
        </w:rPr>
        <w:t xml:space="preserve">ociales ou NES ont pour objectifs de : (1) aider les Emprunteurs à appliquer de bonnes pratiques internationales en matière de viabilité environnementale et sociale ; (2) aider les Emprunteurs à s’acquitter de leurs </w:t>
      </w:r>
      <w:r w:rsidRPr="00E33E0C">
        <w:rPr>
          <w:rFonts w:ascii="Arial" w:hAnsi="Arial" w:cs="Arial"/>
        </w:rPr>
        <w:lastRenderedPageBreak/>
        <w:t>obligations environnementales et sociales au niveau national et international ; (3) favoriser la non-discrimination, la transparence, la participation, la responsabilisation et la gouvernance ; et (4) contribuer à améliorer les résultats des projets en matière de développement durable grâce à l’adhésion permanente des parties prenantes.</w:t>
      </w:r>
    </w:p>
    <w:p w14:paraId="456BBFF1" w14:textId="77777777" w:rsidR="007C44F6" w:rsidRPr="00E33E0C" w:rsidRDefault="007C44F6" w:rsidP="007C44F6">
      <w:pPr>
        <w:jc w:val="both"/>
        <w:rPr>
          <w:rFonts w:ascii="Arial" w:hAnsi="Arial" w:cs="Arial"/>
        </w:rPr>
      </w:pPr>
      <w:r w:rsidRPr="00E33E0C">
        <w:rPr>
          <w:rFonts w:ascii="Arial" w:hAnsi="Arial" w:cs="Arial"/>
        </w:rPr>
        <w:t xml:space="preserve">La Banque mondiale a établi dix (10) NES, qui sont : </w:t>
      </w:r>
    </w:p>
    <w:p w14:paraId="51AF4E8D" w14:textId="77777777" w:rsidR="007C44F6" w:rsidRPr="007C44F6" w:rsidRDefault="007C44F6" w:rsidP="00687DD2">
      <w:pPr>
        <w:pStyle w:val="Paragraphedeliste"/>
        <w:numPr>
          <w:ilvl w:val="0"/>
          <w:numId w:val="60"/>
        </w:numPr>
        <w:jc w:val="both"/>
        <w:rPr>
          <w:rFonts w:ascii="Arial" w:hAnsi="Arial" w:cs="Arial"/>
        </w:rPr>
      </w:pPr>
      <w:r w:rsidRPr="007C44F6">
        <w:rPr>
          <w:rFonts w:ascii="Arial" w:hAnsi="Arial" w:cs="Arial"/>
        </w:rPr>
        <w:t>NES1 : Evaluation et gestion des risques et des impacts environnementaux et sociaux ;</w:t>
      </w:r>
    </w:p>
    <w:p w14:paraId="4D65546F" w14:textId="77777777" w:rsidR="007C44F6" w:rsidRPr="007C44F6" w:rsidRDefault="007C44F6" w:rsidP="00687DD2">
      <w:pPr>
        <w:pStyle w:val="Paragraphedeliste"/>
        <w:numPr>
          <w:ilvl w:val="0"/>
          <w:numId w:val="60"/>
        </w:numPr>
        <w:jc w:val="both"/>
        <w:rPr>
          <w:rFonts w:ascii="Arial" w:hAnsi="Arial" w:cs="Arial"/>
        </w:rPr>
      </w:pPr>
      <w:r w:rsidRPr="007C44F6">
        <w:rPr>
          <w:rFonts w:ascii="Arial" w:hAnsi="Arial" w:cs="Arial"/>
        </w:rPr>
        <w:t>NES2 : Emploi et conditions de travail ;</w:t>
      </w:r>
    </w:p>
    <w:p w14:paraId="4364FEAA" w14:textId="77777777" w:rsidR="007C44F6" w:rsidRPr="007C44F6" w:rsidRDefault="007C44F6" w:rsidP="00687DD2">
      <w:pPr>
        <w:pStyle w:val="Paragraphedeliste"/>
        <w:numPr>
          <w:ilvl w:val="0"/>
          <w:numId w:val="60"/>
        </w:numPr>
        <w:jc w:val="both"/>
        <w:rPr>
          <w:rFonts w:ascii="Arial" w:hAnsi="Arial" w:cs="Arial"/>
        </w:rPr>
      </w:pPr>
      <w:r w:rsidRPr="007C44F6">
        <w:rPr>
          <w:rFonts w:ascii="Arial" w:hAnsi="Arial" w:cs="Arial"/>
        </w:rPr>
        <w:t xml:space="preserve">NES3 : Utilisation rationnelle des ressources et prévention et gestion de la pollution ; </w:t>
      </w:r>
    </w:p>
    <w:p w14:paraId="148A9F85" w14:textId="77777777" w:rsidR="007C44F6" w:rsidRPr="007C44F6" w:rsidRDefault="007C44F6" w:rsidP="00687DD2">
      <w:pPr>
        <w:pStyle w:val="Paragraphedeliste"/>
        <w:numPr>
          <w:ilvl w:val="0"/>
          <w:numId w:val="60"/>
        </w:numPr>
        <w:jc w:val="both"/>
        <w:rPr>
          <w:rFonts w:ascii="Arial" w:hAnsi="Arial" w:cs="Arial"/>
        </w:rPr>
      </w:pPr>
      <w:r w:rsidRPr="007C44F6">
        <w:rPr>
          <w:rFonts w:ascii="Arial" w:hAnsi="Arial" w:cs="Arial"/>
        </w:rPr>
        <w:t>NES4 : Santé et sécurité des populations ;</w:t>
      </w:r>
    </w:p>
    <w:p w14:paraId="25166A0A" w14:textId="77777777" w:rsidR="007C44F6" w:rsidRPr="007C44F6" w:rsidRDefault="007C44F6" w:rsidP="00687DD2">
      <w:pPr>
        <w:pStyle w:val="Paragraphedeliste"/>
        <w:numPr>
          <w:ilvl w:val="0"/>
          <w:numId w:val="60"/>
        </w:numPr>
        <w:jc w:val="both"/>
        <w:rPr>
          <w:rFonts w:ascii="Arial" w:hAnsi="Arial" w:cs="Arial"/>
        </w:rPr>
      </w:pPr>
      <w:r w:rsidRPr="007C44F6">
        <w:rPr>
          <w:rFonts w:ascii="Arial" w:hAnsi="Arial" w:cs="Arial"/>
        </w:rPr>
        <w:t>NES5 : Acquisition de terres, restrictions à l’utilisation de terres et réinstallation involontaire ;</w:t>
      </w:r>
    </w:p>
    <w:p w14:paraId="67EEC85D" w14:textId="77777777" w:rsidR="007C44F6" w:rsidRPr="007C44F6" w:rsidRDefault="007C44F6" w:rsidP="00687DD2">
      <w:pPr>
        <w:pStyle w:val="Paragraphedeliste"/>
        <w:numPr>
          <w:ilvl w:val="0"/>
          <w:numId w:val="60"/>
        </w:numPr>
        <w:jc w:val="both"/>
        <w:rPr>
          <w:rFonts w:ascii="Arial" w:hAnsi="Arial" w:cs="Arial"/>
        </w:rPr>
      </w:pPr>
      <w:r w:rsidRPr="007C44F6">
        <w:rPr>
          <w:rFonts w:ascii="Arial" w:hAnsi="Arial" w:cs="Arial"/>
        </w:rPr>
        <w:t>NES6 : Préservation de la biodiversité et gestion durable des ressources naturelles biologiques ;</w:t>
      </w:r>
    </w:p>
    <w:p w14:paraId="4E89839B" w14:textId="77777777" w:rsidR="007C44F6" w:rsidRPr="007C44F6" w:rsidRDefault="007C44F6" w:rsidP="00687DD2">
      <w:pPr>
        <w:pStyle w:val="Paragraphedeliste"/>
        <w:numPr>
          <w:ilvl w:val="0"/>
          <w:numId w:val="60"/>
        </w:numPr>
        <w:jc w:val="both"/>
        <w:rPr>
          <w:rFonts w:ascii="Arial" w:hAnsi="Arial" w:cs="Arial"/>
        </w:rPr>
      </w:pPr>
      <w:r w:rsidRPr="007C44F6">
        <w:rPr>
          <w:rFonts w:ascii="Arial" w:hAnsi="Arial" w:cs="Arial"/>
        </w:rPr>
        <w:t>NES7 : Peuples autochtones / Communautés locales traditionnelles d’Afrique subsaharienne historiquement défavorisées ;</w:t>
      </w:r>
    </w:p>
    <w:p w14:paraId="0C8AB9C3" w14:textId="77777777" w:rsidR="007C44F6" w:rsidRPr="007C44F6" w:rsidRDefault="007C44F6" w:rsidP="00687DD2">
      <w:pPr>
        <w:pStyle w:val="Paragraphedeliste"/>
        <w:numPr>
          <w:ilvl w:val="0"/>
          <w:numId w:val="60"/>
        </w:numPr>
        <w:jc w:val="both"/>
        <w:rPr>
          <w:rFonts w:ascii="Arial" w:hAnsi="Arial" w:cs="Arial"/>
        </w:rPr>
      </w:pPr>
      <w:r w:rsidRPr="007C44F6">
        <w:rPr>
          <w:rFonts w:ascii="Arial" w:hAnsi="Arial" w:cs="Arial"/>
        </w:rPr>
        <w:t>NES8 : Patrimoine culturel ;</w:t>
      </w:r>
    </w:p>
    <w:p w14:paraId="41052942" w14:textId="77777777" w:rsidR="007C44F6" w:rsidRPr="007C44F6" w:rsidRDefault="007C44F6" w:rsidP="00687DD2">
      <w:pPr>
        <w:pStyle w:val="Paragraphedeliste"/>
        <w:numPr>
          <w:ilvl w:val="0"/>
          <w:numId w:val="60"/>
        </w:numPr>
        <w:jc w:val="both"/>
        <w:rPr>
          <w:rFonts w:ascii="Arial" w:hAnsi="Arial" w:cs="Arial"/>
        </w:rPr>
      </w:pPr>
      <w:r w:rsidRPr="007C44F6">
        <w:rPr>
          <w:rFonts w:ascii="Arial" w:hAnsi="Arial" w:cs="Arial"/>
        </w:rPr>
        <w:t xml:space="preserve">NES9 : Intermédiaires financiers ; </w:t>
      </w:r>
    </w:p>
    <w:p w14:paraId="7E0CA463" w14:textId="77777777" w:rsidR="007C44F6" w:rsidRDefault="007C44F6" w:rsidP="00687DD2">
      <w:pPr>
        <w:pStyle w:val="Paragraphedeliste"/>
        <w:numPr>
          <w:ilvl w:val="0"/>
          <w:numId w:val="60"/>
        </w:numPr>
        <w:jc w:val="both"/>
        <w:rPr>
          <w:rFonts w:ascii="Arial" w:hAnsi="Arial" w:cs="Arial"/>
        </w:rPr>
      </w:pPr>
      <w:r w:rsidRPr="007C44F6">
        <w:rPr>
          <w:rFonts w:ascii="Arial" w:hAnsi="Arial" w:cs="Arial"/>
        </w:rPr>
        <w:t xml:space="preserve">NES10 : Mobilisation des parties prenantes et </w:t>
      </w:r>
      <w:r w:rsidR="00F03C38">
        <w:rPr>
          <w:rFonts w:ascii="Arial" w:hAnsi="Arial" w:cs="Arial"/>
        </w:rPr>
        <w:t>diffusion de l’</w:t>
      </w:r>
      <w:r w:rsidRPr="007C44F6">
        <w:rPr>
          <w:rFonts w:ascii="Arial" w:hAnsi="Arial" w:cs="Arial"/>
        </w:rPr>
        <w:t>information.</w:t>
      </w:r>
    </w:p>
    <w:p w14:paraId="460B5AE2" w14:textId="77777777" w:rsidR="007C44F6" w:rsidRPr="007C44F6" w:rsidRDefault="007C44F6" w:rsidP="007C44F6">
      <w:pPr>
        <w:spacing w:before="240" w:after="240" w:line="240" w:lineRule="auto"/>
        <w:jc w:val="both"/>
        <w:rPr>
          <w:rFonts w:ascii="Arial" w:hAnsi="Arial" w:cs="Arial"/>
        </w:rPr>
      </w:pPr>
      <w:r w:rsidRPr="007C44F6">
        <w:rPr>
          <w:rFonts w:ascii="Arial" w:hAnsi="Arial" w:cs="Arial"/>
        </w:rPr>
        <w:t>Pour ce Projet, les NES applicables et pertinentes sont les suivantes : NES1, NES2, NES3, NES4 NES5, NES6, NES8</w:t>
      </w:r>
      <w:r w:rsidR="00597782">
        <w:rPr>
          <w:rFonts w:ascii="Arial" w:hAnsi="Arial" w:cs="Arial"/>
        </w:rPr>
        <w:t xml:space="preserve">, </w:t>
      </w:r>
      <w:r w:rsidR="00597782" w:rsidRPr="00742D67">
        <w:rPr>
          <w:rFonts w:ascii="Arial" w:hAnsi="Arial" w:cs="Arial"/>
        </w:rPr>
        <w:t>NES9</w:t>
      </w:r>
      <w:r w:rsidR="00597782">
        <w:rPr>
          <w:rFonts w:ascii="Arial" w:hAnsi="Arial" w:cs="Arial"/>
        </w:rPr>
        <w:t xml:space="preserve"> </w:t>
      </w:r>
      <w:r w:rsidRPr="007C44F6">
        <w:rPr>
          <w:rFonts w:ascii="Arial" w:hAnsi="Arial" w:cs="Arial"/>
        </w:rPr>
        <w:t xml:space="preserve">et NES10. </w:t>
      </w:r>
    </w:p>
    <w:p w14:paraId="3CAA5FC0" w14:textId="77777777" w:rsidR="007C44F6" w:rsidRPr="007C44F6" w:rsidRDefault="007C44F6" w:rsidP="007C44F6">
      <w:pPr>
        <w:spacing w:after="240" w:line="240" w:lineRule="auto"/>
        <w:jc w:val="both"/>
        <w:rPr>
          <w:rFonts w:ascii="Arial" w:hAnsi="Arial" w:cs="Arial"/>
          <w:sz w:val="32"/>
        </w:rPr>
      </w:pPr>
      <w:r w:rsidRPr="007C44F6">
        <w:rPr>
          <w:rFonts w:ascii="Arial" w:hAnsi="Arial" w:cs="Arial"/>
        </w:rPr>
        <w:t>Conformément à la NES 1 intitulée «</w:t>
      </w:r>
      <w:r w:rsidRPr="007C44F6">
        <w:rPr>
          <w:rFonts w:ascii="Arial" w:hAnsi="Arial" w:cs="Arial"/>
          <w:i/>
        </w:rPr>
        <w:t xml:space="preserve"> Evaluation gestion des risques et des effets environnementaux et sociaux</w:t>
      </w:r>
      <w:r w:rsidRPr="007C44F6">
        <w:rPr>
          <w:rFonts w:ascii="Arial" w:hAnsi="Arial" w:cs="Arial"/>
        </w:rPr>
        <w:t> », qui a pour objet</w:t>
      </w:r>
      <w:r w:rsidR="00AB2037">
        <w:rPr>
          <w:rFonts w:ascii="Arial" w:hAnsi="Arial" w:cs="Arial"/>
        </w:rPr>
        <w:t>s</w:t>
      </w:r>
      <w:r w:rsidRPr="007C44F6">
        <w:rPr>
          <w:rFonts w:ascii="Arial" w:hAnsi="Arial" w:cs="Arial"/>
        </w:rPr>
        <w:t xml:space="preserve"> : </w:t>
      </w:r>
    </w:p>
    <w:p w14:paraId="6F2825CF" w14:textId="77777777" w:rsidR="007C44F6" w:rsidRPr="007C44F6" w:rsidRDefault="007C44F6" w:rsidP="00687DD2">
      <w:pPr>
        <w:numPr>
          <w:ilvl w:val="0"/>
          <w:numId w:val="61"/>
        </w:numPr>
        <w:autoSpaceDE w:val="0"/>
        <w:autoSpaceDN w:val="0"/>
        <w:adjustRightInd w:val="0"/>
        <w:spacing w:after="0" w:line="240" w:lineRule="auto"/>
        <w:jc w:val="both"/>
        <w:rPr>
          <w:rFonts w:ascii="Arial" w:hAnsi="Arial" w:cs="Arial"/>
        </w:rPr>
      </w:pPr>
      <w:r w:rsidRPr="007C44F6">
        <w:rPr>
          <w:rFonts w:ascii="Arial" w:hAnsi="Arial" w:cs="Arial"/>
          <w:szCs w:val="24"/>
        </w:rPr>
        <w:t>De déterminer, évaluer et gérer les risques et effets environnementaux et sociaux du projet d’une manière compatible avec les NES ;</w:t>
      </w:r>
    </w:p>
    <w:p w14:paraId="723F66F7" w14:textId="77777777" w:rsidR="007C44F6" w:rsidRPr="007C44F6" w:rsidRDefault="007C44F6" w:rsidP="00687DD2">
      <w:pPr>
        <w:numPr>
          <w:ilvl w:val="0"/>
          <w:numId w:val="61"/>
        </w:numPr>
        <w:autoSpaceDE w:val="0"/>
        <w:autoSpaceDN w:val="0"/>
        <w:adjustRightInd w:val="0"/>
        <w:spacing w:after="0" w:line="240" w:lineRule="auto"/>
        <w:jc w:val="both"/>
        <w:rPr>
          <w:rFonts w:ascii="Arial" w:hAnsi="Arial" w:cs="Arial"/>
        </w:rPr>
      </w:pPr>
      <w:r w:rsidRPr="007C44F6">
        <w:rPr>
          <w:rFonts w:ascii="Arial" w:hAnsi="Arial" w:cs="Arial"/>
          <w:szCs w:val="24"/>
        </w:rPr>
        <w:t>D’adopter une approche de hiérarchie d’atténuation consistant à : (a) anticiper et éviter les risques et les impacts ; (b) lorsqu’il n’est pas possible de les éviter, minimiser ou réduire les risques et les impacts à des niveaux acceptables ; (c) une fois que les risques et les impacts ont été minimisés ou réduits, les atténuer ; et (d) lorsque les impacts résiduels sont importants, les compenser ou les neutraliser dans la mesure où cela est techniquement et financièrement faisable ;</w:t>
      </w:r>
    </w:p>
    <w:p w14:paraId="055DF9CF" w14:textId="77777777" w:rsidR="007C44F6" w:rsidRPr="007C44F6" w:rsidRDefault="007C44F6" w:rsidP="00687DD2">
      <w:pPr>
        <w:numPr>
          <w:ilvl w:val="0"/>
          <w:numId w:val="61"/>
        </w:numPr>
        <w:autoSpaceDE w:val="0"/>
        <w:autoSpaceDN w:val="0"/>
        <w:adjustRightInd w:val="0"/>
        <w:spacing w:after="0" w:line="240" w:lineRule="auto"/>
        <w:jc w:val="both"/>
        <w:rPr>
          <w:rFonts w:ascii="Arial" w:hAnsi="Arial" w:cs="Arial"/>
        </w:rPr>
      </w:pPr>
      <w:r w:rsidRPr="007C44F6">
        <w:rPr>
          <w:rFonts w:ascii="Arial" w:hAnsi="Arial" w:cs="Arial"/>
          <w:szCs w:val="24"/>
        </w:rPr>
        <w:t>D’adopter des mesures différenciées de sorte que les impacts négatifs ne touchent pas de façon disproportionnée les personnes défavorisées ou vulnérables, et que celles-ci ne soient pas lésées dans le partage des avantages et opportunités de développement qu’offre le projet ;</w:t>
      </w:r>
    </w:p>
    <w:p w14:paraId="01453938" w14:textId="77777777" w:rsidR="007C44F6" w:rsidRPr="007C44F6" w:rsidRDefault="007C44F6" w:rsidP="00687DD2">
      <w:pPr>
        <w:numPr>
          <w:ilvl w:val="0"/>
          <w:numId w:val="61"/>
        </w:numPr>
        <w:autoSpaceDE w:val="0"/>
        <w:autoSpaceDN w:val="0"/>
        <w:adjustRightInd w:val="0"/>
        <w:spacing w:after="0" w:line="240" w:lineRule="auto"/>
        <w:jc w:val="both"/>
        <w:rPr>
          <w:rFonts w:ascii="Arial" w:hAnsi="Arial" w:cs="Arial"/>
        </w:rPr>
      </w:pPr>
      <w:r w:rsidRPr="007C44F6">
        <w:rPr>
          <w:rFonts w:ascii="Arial" w:hAnsi="Arial" w:cs="Arial"/>
          <w:szCs w:val="24"/>
        </w:rPr>
        <w:t xml:space="preserve">D’utiliser, chaque fois qu’il convient, les institutions, lois, procédures, réglementations et systèmes nationaux en matière environnementale et sociale pour l’évaluation, la préparation et la mise en œuvre des projets ; </w:t>
      </w:r>
    </w:p>
    <w:p w14:paraId="57B0C39A" w14:textId="77777777" w:rsidR="007C44F6" w:rsidRPr="007C44F6" w:rsidRDefault="007C44F6" w:rsidP="00687DD2">
      <w:pPr>
        <w:numPr>
          <w:ilvl w:val="0"/>
          <w:numId w:val="61"/>
        </w:numPr>
        <w:autoSpaceDE w:val="0"/>
        <w:autoSpaceDN w:val="0"/>
        <w:adjustRightInd w:val="0"/>
        <w:spacing w:after="0" w:line="240" w:lineRule="auto"/>
        <w:jc w:val="both"/>
        <w:rPr>
          <w:rFonts w:ascii="Arial" w:hAnsi="Arial" w:cs="Arial"/>
        </w:rPr>
      </w:pPr>
      <w:r w:rsidRPr="007C44F6">
        <w:rPr>
          <w:rFonts w:ascii="Arial" w:hAnsi="Arial" w:cs="Arial"/>
          <w:szCs w:val="24"/>
        </w:rPr>
        <w:t xml:space="preserve">De promouvoir l’amélioration des performances environnementales et sociales d’une manière qui prend en compte et renforce les capacités de l’Emprunteur. </w:t>
      </w:r>
    </w:p>
    <w:p w14:paraId="334CD5DF" w14:textId="77777777" w:rsidR="00C55177" w:rsidRPr="007F78CE" w:rsidRDefault="00592898" w:rsidP="0044500E">
      <w:pPr>
        <w:pStyle w:val="TIT2"/>
        <w:numPr>
          <w:ilvl w:val="1"/>
          <w:numId w:val="177"/>
        </w:numPr>
      </w:pPr>
      <w:bookmarkStart w:id="44" w:name="_Toc124314613"/>
      <w:bookmarkStart w:id="45" w:name="_Toc124956089"/>
      <w:bookmarkStart w:id="46" w:name="_Toc125384488"/>
      <w:bookmarkStart w:id="47" w:name="_Toc125384877"/>
      <w:bookmarkStart w:id="48" w:name="_Toc127957549"/>
      <w:r w:rsidRPr="007F78CE">
        <w:t>Introduction du CGES</w:t>
      </w:r>
      <w:bookmarkEnd w:id="44"/>
      <w:bookmarkEnd w:id="45"/>
      <w:bookmarkEnd w:id="46"/>
      <w:bookmarkEnd w:id="47"/>
      <w:bookmarkEnd w:id="48"/>
    </w:p>
    <w:p w14:paraId="25B592AC" w14:textId="77777777" w:rsidR="007C44F6" w:rsidRPr="007C44F6" w:rsidRDefault="007C44F6" w:rsidP="007C44F6">
      <w:pPr>
        <w:spacing w:before="240" w:after="240" w:line="240" w:lineRule="auto"/>
        <w:jc w:val="both"/>
        <w:rPr>
          <w:rFonts w:ascii="Arial" w:hAnsi="Arial" w:cs="Arial"/>
        </w:rPr>
      </w:pPr>
      <w:r w:rsidRPr="007C44F6">
        <w:rPr>
          <w:rFonts w:ascii="Arial" w:hAnsi="Arial" w:cs="Arial"/>
        </w:rPr>
        <w:t xml:space="preserve">En considération des directives de la Banque mondiale en matière d’évaluation environnementale et sociale, il y a lieu de mener cette évaluation au stade préparatoire du Projet, afin que tous les risques et impacts environnementaux et sociaux potentiellement </w:t>
      </w:r>
      <w:r w:rsidRPr="007C44F6">
        <w:rPr>
          <w:rFonts w:ascii="Arial" w:hAnsi="Arial" w:cs="Arial"/>
        </w:rPr>
        <w:lastRenderedPageBreak/>
        <w:t>importants soient recensés, évités sinon minimisés, réduits, et atténués. Ceux-ci doivent être examinés lorsqu’un projet se compose d’un programme et/ou d’une série de sous-projets, et que ces risques et effets ne peuvent être déterminés tant que les détails du programme ou du sous-projet n’ont pas été identifiés. D’où, la nécessité de préparer le document cadre CGES ou Cadre de Gestion Environnementale et Sociale, faisant l’objet du présent rapport.</w:t>
      </w:r>
    </w:p>
    <w:p w14:paraId="41C88EFA" w14:textId="77777777" w:rsidR="007C44F6" w:rsidRPr="007C44F6" w:rsidRDefault="007C44F6" w:rsidP="007C44F6">
      <w:pPr>
        <w:spacing w:before="240" w:after="240" w:line="240" w:lineRule="auto"/>
        <w:jc w:val="both"/>
        <w:rPr>
          <w:rFonts w:ascii="Arial" w:hAnsi="Arial" w:cs="Arial"/>
        </w:rPr>
      </w:pPr>
      <w:r w:rsidRPr="007C44F6">
        <w:rPr>
          <w:rFonts w:ascii="Arial" w:hAnsi="Arial" w:cs="Arial"/>
        </w:rPr>
        <w:t xml:space="preserve">Ce principal instrument de </w:t>
      </w:r>
      <w:r w:rsidR="00C3660F">
        <w:rPr>
          <w:rFonts w:ascii="Arial" w:hAnsi="Arial" w:cs="Arial"/>
        </w:rPr>
        <w:t>gestion des risques</w:t>
      </w:r>
      <w:r w:rsidR="00C3660F" w:rsidRPr="007C44F6">
        <w:rPr>
          <w:rFonts w:ascii="Arial" w:hAnsi="Arial" w:cs="Arial"/>
        </w:rPr>
        <w:t xml:space="preserve"> </w:t>
      </w:r>
      <w:r w:rsidRPr="007C44F6">
        <w:rPr>
          <w:rFonts w:ascii="Arial" w:hAnsi="Arial" w:cs="Arial"/>
        </w:rPr>
        <w:t>environnementa</w:t>
      </w:r>
      <w:r w:rsidR="00C3660F">
        <w:rPr>
          <w:rFonts w:ascii="Arial" w:hAnsi="Arial" w:cs="Arial"/>
        </w:rPr>
        <w:t>ux</w:t>
      </w:r>
      <w:r w:rsidRPr="007C44F6">
        <w:rPr>
          <w:rFonts w:ascii="Arial" w:hAnsi="Arial" w:cs="Arial"/>
        </w:rPr>
        <w:t xml:space="preserve"> et socia</w:t>
      </w:r>
      <w:r w:rsidR="00C3660F">
        <w:rPr>
          <w:rFonts w:ascii="Arial" w:hAnsi="Arial" w:cs="Arial"/>
        </w:rPr>
        <w:t>ux</w:t>
      </w:r>
      <w:r w:rsidRPr="007C44F6">
        <w:rPr>
          <w:rFonts w:ascii="Arial" w:hAnsi="Arial" w:cs="Arial"/>
        </w:rPr>
        <w:t xml:space="preserve"> définit les principes, les règles, les directives et les procédures permettant d’évaluer les risques et les impacts environnementaux et sociaux. Il contient des mesures, des dispositions et des plans visant à (i) réduire, atténuer et/ou compenser les risques et les impacts négatifs, (ii) estimer et budgétiser le coût de ces mesures, et des informations sur l’agence ou les agences chargées de la gestion des risques et des impacts du projet, y compris leurs capacités correspondantes. Par ailleurs, il fournit des informations pertinentes des zones potentiellement concernées par le projet, concernant les vulnérabilités éventuelles de ces dernières en matière environnementale et sociale ; ainsi que des effets qui pourraient se produire et les mesures d’atténuation que l’on pourrait appliquer. </w:t>
      </w:r>
    </w:p>
    <w:p w14:paraId="4621D307" w14:textId="77777777" w:rsidR="00592898" w:rsidRPr="007F78CE" w:rsidRDefault="00592898" w:rsidP="0044500E">
      <w:pPr>
        <w:pStyle w:val="TIT2"/>
        <w:numPr>
          <w:ilvl w:val="1"/>
          <w:numId w:val="177"/>
        </w:numPr>
      </w:pPr>
      <w:bookmarkStart w:id="49" w:name="_Toc124314614"/>
      <w:bookmarkStart w:id="50" w:name="_Toc124956090"/>
      <w:bookmarkStart w:id="51" w:name="_Toc125384489"/>
      <w:bookmarkStart w:id="52" w:name="_Toc125384878"/>
      <w:bookmarkStart w:id="53" w:name="_Toc127957550"/>
      <w:r w:rsidRPr="007F78CE">
        <w:t>Structure du CGES</w:t>
      </w:r>
      <w:bookmarkEnd w:id="49"/>
      <w:bookmarkEnd w:id="50"/>
      <w:bookmarkEnd w:id="51"/>
      <w:bookmarkEnd w:id="52"/>
      <w:bookmarkEnd w:id="53"/>
    </w:p>
    <w:p w14:paraId="1AA994F4" w14:textId="77777777" w:rsidR="00855A0A" w:rsidRPr="00855A0A" w:rsidRDefault="00855A0A" w:rsidP="00855A0A">
      <w:pPr>
        <w:spacing w:after="240" w:line="240" w:lineRule="auto"/>
        <w:jc w:val="both"/>
        <w:rPr>
          <w:rFonts w:ascii="Arial" w:hAnsi="Arial" w:cs="Arial"/>
        </w:rPr>
      </w:pPr>
      <w:r w:rsidRPr="00855A0A">
        <w:rPr>
          <w:rFonts w:ascii="Arial" w:hAnsi="Arial" w:cs="Arial"/>
        </w:rPr>
        <w:t>Les éléments requis pour faire partie intégrante du CGES sont notamment les suivants :</w:t>
      </w:r>
    </w:p>
    <w:p w14:paraId="76C40D35" w14:textId="77777777" w:rsidR="00855A0A" w:rsidRPr="00855A0A" w:rsidRDefault="00855A0A" w:rsidP="00687DD2">
      <w:pPr>
        <w:pStyle w:val="Paragraphedeliste"/>
        <w:numPr>
          <w:ilvl w:val="0"/>
          <w:numId w:val="62"/>
        </w:numPr>
        <w:suppressAutoHyphens/>
        <w:spacing w:after="240" w:line="240" w:lineRule="auto"/>
        <w:jc w:val="both"/>
        <w:rPr>
          <w:rFonts w:ascii="Arial" w:hAnsi="Arial" w:cs="Arial"/>
          <w:b/>
          <w:bCs/>
        </w:rPr>
      </w:pPr>
      <w:r w:rsidRPr="00855A0A">
        <w:rPr>
          <w:rFonts w:ascii="Arial" w:hAnsi="Arial" w:cs="Arial"/>
          <w:b/>
          <w:bCs/>
        </w:rPr>
        <w:t xml:space="preserve">Informations générales sur le projet : activités et composantes </w:t>
      </w:r>
    </w:p>
    <w:p w14:paraId="5A3BAFC6" w14:textId="77777777" w:rsidR="00855A0A" w:rsidRPr="00855A0A" w:rsidRDefault="00855A0A" w:rsidP="00855A0A">
      <w:pPr>
        <w:spacing w:after="240" w:line="240" w:lineRule="auto"/>
        <w:jc w:val="both"/>
        <w:rPr>
          <w:rFonts w:ascii="Arial" w:hAnsi="Arial" w:cs="Arial"/>
        </w:rPr>
      </w:pPr>
      <w:r w:rsidRPr="00855A0A">
        <w:rPr>
          <w:rFonts w:ascii="Arial" w:hAnsi="Arial" w:cs="Arial"/>
        </w:rPr>
        <w:t>Une analyse de la documentation disponible concernant le projet, ses composantes. Il sera présenté les différentes activités prévues dans le cadre du projet et identifiera les composantes qui risquent d’avoir des impacts environnementaux et sociaux positifs et/ou négatifs, au regard des sensibilités et des enjeux environnementaux et sociaux notamment dans les zones ciblées par le projet.</w:t>
      </w:r>
    </w:p>
    <w:p w14:paraId="3ED33325" w14:textId="77777777" w:rsidR="00855A0A" w:rsidRPr="00855A0A" w:rsidRDefault="00855A0A" w:rsidP="00687DD2">
      <w:pPr>
        <w:pStyle w:val="Paragraphedeliste"/>
        <w:numPr>
          <w:ilvl w:val="0"/>
          <w:numId w:val="62"/>
        </w:numPr>
        <w:suppressAutoHyphens/>
        <w:spacing w:after="240" w:line="240" w:lineRule="auto"/>
        <w:jc w:val="both"/>
        <w:rPr>
          <w:rFonts w:ascii="Arial" w:hAnsi="Arial" w:cs="Arial"/>
          <w:b/>
          <w:bCs/>
        </w:rPr>
      </w:pPr>
      <w:r w:rsidRPr="00855A0A">
        <w:rPr>
          <w:rFonts w:ascii="Arial" w:hAnsi="Arial" w:cs="Arial"/>
          <w:b/>
          <w:bCs/>
        </w:rPr>
        <w:t xml:space="preserve">Caractérisation biophysique et socio-économique de l’environnement </w:t>
      </w:r>
    </w:p>
    <w:p w14:paraId="475DE1B7" w14:textId="77777777" w:rsidR="00855A0A" w:rsidRPr="00855A0A" w:rsidRDefault="00855A0A" w:rsidP="00855A0A">
      <w:pPr>
        <w:spacing w:after="240" w:line="240" w:lineRule="auto"/>
        <w:jc w:val="both"/>
        <w:rPr>
          <w:rFonts w:ascii="Arial" w:hAnsi="Arial" w:cs="Arial"/>
          <w:sz w:val="32"/>
        </w:rPr>
      </w:pPr>
      <w:r w:rsidRPr="00855A0A">
        <w:rPr>
          <w:rFonts w:ascii="Arial" w:hAnsi="Arial" w:cs="Arial"/>
        </w:rPr>
        <w:t xml:space="preserve">L’étude présente et analyse les données de base d’ordre environnemental et social du pays et surtout des zones d’influence du projet, (notamment les zones ciblées par le projet), et fait une synthèse des documents récents disponibles pour présenter une brève description et analyse des principaux problèmes environnementaux et sociaux rencontrés ainsi que les causes de ces problèmes et les réponses apportées à ces causes. </w:t>
      </w:r>
    </w:p>
    <w:p w14:paraId="77A90A0F" w14:textId="77777777" w:rsidR="00855A0A" w:rsidRPr="00855A0A" w:rsidRDefault="00855A0A" w:rsidP="00687DD2">
      <w:pPr>
        <w:pStyle w:val="Paragraphedeliste"/>
        <w:numPr>
          <w:ilvl w:val="0"/>
          <w:numId w:val="62"/>
        </w:numPr>
        <w:suppressAutoHyphens/>
        <w:spacing w:after="240" w:line="240" w:lineRule="auto"/>
        <w:jc w:val="both"/>
        <w:rPr>
          <w:rFonts w:ascii="Arial" w:hAnsi="Arial" w:cs="Arial"/>
          <w:b/>
          <w:bCs/>
        </w:rPr>
      </w:pPr>
      <w:r w:rsidRPr="00855A0A">
        <w:rPr>
          <w:rFonts w:ascii="Arial" w:hAnsi="Arial" w:cs="Arial"/>
          <w:b/>
          <w:bCs/>
        </w:rPr>
        <w:t xml:space="preserve">Analyse du cadre légal, réglementaire et administratif </w:t>
      </w:r>
    </w:p>
    <w:p w14:paraId="2AF3E6D3" w14:textId="77777777" w:rsidR="00EB098A" w:rsidRPr="00855A0A" w:rsidRDefault="00855A0A" w:rsidP="00855A0A">
      <w:pPr>
        <w:spacing w:after="240" w:line="240" w:lineRule="auto"/>
        <w:jc w:val="both"/>
        <w:rPr>
          <w:rFonts w:ascii="Arial" w:hAnsi="Arial" w:cs="Arial"/>
          <w:sz w:val="32"/>
        </w:rPr>
      </w:pPr>
      <w:r w:rsidRPr="00855A0A">
        <w:rPr>
          <w:rFonts w:ascii="Arial" w:hAnsi="Arial" w:cs="Arial"/>
        </w:rPr>
        <w:t xml:space="preserve">Cette partie présente une synthèse de la politique nationale de protection de l’environnement de manière générale et sectorielle sur les domaines concernés par le projet. Il caractérise aussi les principaux textes législatifs, réglementaires et administratifs du pays se rapportant à la gestion de l’environnement et des ressources naturelles et aux procédures d’études d’impact environnemental et social, mais aussi au foncier, et les analysera en rapport avec les Normes environnementales et sociales de la Banque mondiale. </w:t>
      </w:r>
    </w:p>
    <w:p w14:paraId="69EAEC6A" w14:textId="77777777" w:rsidR="00855A0A" w:rsidRPr="00855A0A" w:rsidRDefault="00855A0A" w:rsidP="00687DD2">
      <w:pPr>
        <w:pStyle w:val="Paragraphedeliste"/>
        <w:numPr>
          <w:ilvl w:val="0"/>
          <w:numId w:val="62"/>
        </w:numPr>
        <w:suppressAutoHyphens/>
        <w:spacing w:after="240" w:line="240" w:lineRule="auto"/>
        <w:jc w:val="both"/>
        <w:rPr>
          <w:rFonts w:ascii="Arial" w:hAnsi="Arial" w:cs="Arial"/>
          <w:b/>
          <w:bCs/>
        </w:rPr>
      </w:pPr>
      <w:r w:rsidRPr="00855A0A">
        <w:rPr>
          <w:rFonts w:ascii="Arial" w:hAnsi="Arial" w:cs="Arial"/>
          <w:b/>
          <w:bCs/>
        </w:rPr>
        <w:t xml:space="preserve">Identification et évaluation des impacts positifs et négatifs majeurs et mineurs du projet </w:t>
      </w:r>
    </w:p>
    <w:p w14:paraId="747C8E73" w14:textId="77777777" w:rsidR="00855A0A" w:rsidRPr="00855A0A" w:rsidRDefault="00855A0A" w:rsidP="00F01166">
      <w:pPr>
        <w:widowControl w:val="0"/>
        <w:spacing w:after="240" w:line="240" w:lineRule="auto"/>
        <w:jc w:val="both"/>
        <w:rPr>
          <w:rFonts w:ascii="Arial" w:hAnsi="Arial" w:cs="Arial"/>
          <w:sz w:val="32"/>
        </w:rPr>
      </w:pPr>
      <w:r w:rsidRPr="00855A0A">
        <w:rPr>
          <w:rFonts w:ascii="Arial" w:hAnsi="Arial" w:cs="Arial"/>
        </w:rPr>
        <w:t xml:space="preserve">Il est évalué les impacts positifs et négatifs majeurs des composantes et des investissements-types éligibles du projet et en mettant un accent particulier sur l’identification et l'évaluation des changements positifs et négatifs provoqués par le projet par rapport aux situations de base (milieu physique, biologique, humain, socioculturel, activités économiques, opportunités d’emploi, etc.) dans les différents secteurs concernés par les activités du projet, en prenant en considération le contexte socio-culturel prévalant dans les zones d’intervention. </w:t>
      </w:r>
    </w:p>
    <w:p w14:paraId="6971B9DA" w14:textId="77777777" w:rsidR="00855A0A" w:rsidRPr="00855A0A" w:rsidRDefault="00855A0A" w:rsidP="00687DD2">
      <w:pPr>
        <w:pStyle w:val="Paragraphedeliste"/>
        <w:numPr>
          <w:ilvl w:val="0"/>
          <w:numId w:val="62"/>
        </w:numPr>
        <w:suppressAutoHyphens/>
        <w:spacing w:after="240" w:line="240" w:lineRule="auto"/>
        <w:jc w:val="both"/>
        <w:rPr>
          <w:rFonts w:ascii="Arial" w:hAnsi="Arial" w:cs="Arial"/>
          <w:b/>
          <w:bCs/>
        </w:rPr>
      </w:pPr>
      <w:r w:rsidRPr="00855A0A">
        <w:rPr>
          <w:rFonts w:ascii="Arial" w:hAnsi="Arial" w:cs="Arial"/>
          <w:b/>
          <w:bCs/>
        </w:rPr>
        <w:lastRenderedPageBreak/>
        <w:t xml:space="preserve">Processus de consultation </w:t>
      </w:r>
    </w:p>
    <w:p w14:paraId="4AF3C593" w14:textId="77777777" w:rsidR="00855A0A" w:rsidRPr="00855A0A" w:rsidRDefault="00855A0A" w:rsidP="00855A0A">
      <w:pPr>
        <w:spacing w:after="240" w:line="240" w:lineRule="auto"/>
        <w:jc w:val="both"/>
        <w:rPr>
          <w:rFonts w:ascii="Arial" w:hAnsi="Arial" w:cs="Arial"/>
          <w:sz w:val="32"/>
        </w:rPr>
      </w:pPr>
      <w:r w:rsidRPr="00855A0A">
        <w:rPr>
          <w:rFonts w:ascii="Arial" w:hAnsi="Arial" w:cs="Arial"/>
        </w:rPr>
        <w:t xml:space="preserve">Des consultations sont organisées avec l’ensemble des acteurs, dans le cadre d’une large démarche participative et inclusive. Il est identifié l’ensemble des parties prenantes au niveau national, régional et local qui sont consultés et entraînés dans une dynamique de participation à l’élaboration du CGES entre autres : le Projet, </w:t>
      </w:r>
      <w:r w:rsidR="00AB2037">
        <w:rPr>
          <w:rFonts w:ascii="Arial" w:hAnsi="Arial" w:cs="Arial"/>
        </w:rPr>
        <w:t>le Ministère en charge de l’Energie</w:t>
      </w:r>
      <w:r w:rsidR="00F03C38">
        <w:rPr>
          <w:rFonts w:ascii="Arial" w:hAnsi="Arial" w:cs="Arial"/>
        </w:rPr>
        <w:t xml:space="preserve"> et des Hydrocarbures</w:t>
      </w:r>
      <w:r w:rsidR="00AB2037">
        <w:rPr>
          <w:rFonts w:ascii="Arial" w:hAnsi="Arial" w:cs="Arial"/>
        </w:rPr>
        <w:t>, le Ministère en charge des Postes et Tél</w:t>
      </w:r>
      <w:r w:rsidR="00EB098A">
        <w:rPr>
          <w:rFonts w:ascii="Arial" w:hAnsi="Arial" w:cs="Arial"/>
        </w:rPr>
        <w:t>é</w:t>
      </w:r>
      <w:r w:rsidR="00AB2037">
        <w:rPr>
          <w:rFonts w:ascii="Arial" w:hAnsi="Arial" w:cs="Arial"/>
        </w:rPr>
        <w:t xml:space="preserve">communications, </w:t>
      </w:r>
      <w:r w:rsidRPr="00855A0A">
        <w:rPr>
          <w:rFonts w:ascii="Arial" w:hAnsi="Arial" w:cs="Arial"/>
        </w:rPr>
        <w:t xml:space="preserve">le Ministère en charge de la Santé, le Ministère en charge de l’Education, le Ministère en charge de l’Emploi, le Ministère en charge de l’Environnement, mais aussi des Organisations et Associations locales, des ONG et tous autres services et projets impliqués dans les questions d’impact social et environnemental, et surtout les communautés des sites potentiels de mise en œuvre des sous-projets. </w:t>
      </w:r>
    </w:p>
    <w:p w14:paraId="04EF6907" w14:textId="77777777" w:rsidR="00855A0A" w:rsidRPr="00855A0A" w:rsidRDefault="00855A0A" w:rsidP="00687DD2">
      <w:pPr>
        <w:pStyle w:val="Paragraphedeliste"/>
        <w:numPr>
          <w:ilvl w:val="0"/>
          <w:numId w:val="62"/>
        </w:numPr>
        <w:suppressAutoHyphens/>
        <w:spacing w:after="240" w:line="240" w:lineRule="auto"/>
        <w:jc w:val="both"/>
        <w:rPr>
          <w:rFonts w:ascii="Arial" w:hAnsi="Arial" w:cs="Arial"/>
          <w:b/>
          <w:bCs/>
        </w:rPr>
      </w:pPr>
      <w:r w:rsidRPr="00855A0A">
        <w:rPr>
          <w:rFonts w:ascii="Arial" w:hAnsi="Arial" w:cs="Arial"/>
          <w:b/>
          <w:bCs/>
        </w:rPr>
        <w:t xml:space="preserve">Définition de procédures et des responsabilités de gestion environnementale et sociale </w:t>
      </w:r>
    </w:p>
    <w:p w14:paraId="6F9CF61A" w14:textId="77777777" w:rsidR="00855A0A" w:rsidRPr="00855A0A" w:rsidRDefault="00855A0A" w:rsidP="00855A0A">
      <w:pPr>
        <w:spacing w:after="240" w:line="240" w:lineRule="auto"/>
        <w:jc w:val="both"/>
        <w:rPr>
          <w:rFonts w:ascii="Arial" w:hAnsi="Arial" w:cs="Arial"/>
          <w:sz w:val="32"/>
        </w:rPr>
      </w:pPr>
      <w:r w:rsidRPr="00855A0A">
        <w:rPr>
          <w:rFonts w:ascii="Arial" w:hAnsi="Arial" w:cs="Arial"/>
        </w:rPr>
        <w:t>Le CGES définit les procédures et les responsabilités de gestion des préoccupations environnementales et sociales afin de s’assurer que le projet soit conforme aux politiques et règlements du pays, et aux normes environnementales et sociales de la Banque mondiale. Ces procédures définissent les mesures techniques et institutionnelles, faisables et économiques, et susceptibles de ramener les effets potentiellement néfastes sur l’environnement à des niveaux acceptables et de renforcer les impacts positifs du projet afin d’en accroître la performance environnementale et sociale. Il est développé les rôles et les responsabilités des différentes structures impliquées dans la mise en œuvre et le suivi du projet. Il est à caractériser les besoins en formation, renforcement des capacités et autres besoins d'assistance technique nécessaires pour la mise en œuvre du dispositif du CGES.</w:t>
      </w:r>
    </w:p>
    <w:p w14:paraId="739A2500" w14:textId="77777777" w:rsidR="00E33E0C" w:rsidRPr="00E33E0C" w:rsidRDefault="00855A0A" w:rsidP="00E33E0C">
      <w:pPr>
        <w:jc w:val="both"/>
        <w:rPr>
          <w:rFonts w:ascii="Arial" w:hAnsi="Arial" w:cs="Arial"/>
        </w:rPr>
      </w:pPr>
      <w:r>
        <w:rPr>
          <w:rFonts w:ascii="Arial" w:hAnsi="Arial" w:cs="Arial"/>
        </w:rPr>
        <w:t>L</w:t>
      </w:r>
      <w:r w:rsidR="00E33E0C" w:rsidRPr="00E33E0C">
        <w:rPr>
          <w:rFonts w:ascii="Arial" w:hAnsi="Arial" w:cs="Arial"/>
        </w:rPr>
        <w:t xml:space="preserve">e présent CGES se complète avec d’autres instruments </w:t>
      </w:r>
      <w:r w:rsidR="005C1759">
        <w:rPr>
          <w:rFonts w:ascii="Arial" w:hAnsi="Arial" w:cs="Arial"/>
        </w:rPr>
        <w:t xml:space="preserve">d’évaluation environnementale et sociale </w:t>
      </w:r>
      <w:r w:rsidR="00E33E0C" w:rsidRPr="00E33E0C">
        <w:rPr>
          <w:rFonts w:ascii="Arial" w:hAnsi="Arial" w:cs="Arial"/>
        </w:rPr>
        <w:t>tels que le Plan d’Engagement Environnemental et Social (PEES), le Cadre de Réinstallation (CR), le Plan de Mobilisation des Parties Pr</w:t>
      </w:r>
      <w:r w:rsidR="00E33E0C">
        <w:rPr>
          <w:rFonts w:ascii="Arial" w:hAnsi="Arial" w:cs="Arial"/>
        </w:rPr>
        <w:t>enantes (PMPP)</w:t>
      </w:r>
      <w:r w:rsidR="00E33E0C" w:rsidRPr="00E33E0C">
        <w:rPr>
          <w:rFonts w:ascii="Arial" w:hAnsi="Arial" w:cs="Arial"/>
        </w:rPr>
        <w:t>, les Procédures de Gestion de la Main</w:t>
      </w:r>
      <w:r w:rsidR="00F03C38">
        <w:rPr>
          <w:rFonts w:ascii="Arial" w:hAnsi="Arial" w:cs="Arial"/>
        </w:rPr>
        <w:t>-</w:t>
      </w:r>
      <w:r w:rsidR="00E33E0C" w:rsidRPr="00E33E0C">
        <w:rPr>
          <w:rFonts w:ascii="Arial" w:hAnsi="Arial" w:cs="Arial"/>
        </w:rPr>
        <w:t xml:space="preserve">d’œuvre (PGMO) du Projet </w:t>
      </w:r>
      <w:r w:rsidR="00E33E0C">
        <w:rPr>
          <w:rFonts w:ascii="Arial" w:hAnsi="Arial" w:cs="Arial"/>
        </w:rPr>
        <w:t>DECIM</w:t>
      </w:r>
      <w:r w:rsidR="00E33E0C" w:rsidRPr="00E33E0C">
        <w:rPr>
          <w:rFonts w:ascii="Arial" w:hAnsi="Arial" w:cs="Arial"/>
        </w:rPr>
        <w:t>.</w:t>
      </w:r>
    </w:p>
    <w:p w14:paraId="7B8A5E04" w14:textId="77777777" w:rsidR="00592898" w:rsidRPr="007F78CE" w:rsidRDefault="00592898" w:rsidP="0044500E">
      <w:pPr>
        <w:pStyle w:val="TIT2"/>
        <w:numPr>
          <w:ilvl w:val="1"/>
          <w:numId w:val="177"/>
        </w:numPr>
      </w:pPr>
      <w:bookmarkStart w:id="54" w:name="_Toc124314615"/>
      <w:bookmarkStart w:id="55" w:name="_Toc124956091"/>
      <w:bookmarkStart w:id="56" w:name="_Toc125384490"/>
      <w:bookmarkStart w:id="57" w:name="_Toc125384879"/>
      <w:bookmarkStart w:id="58" w:name="_Toc127957551"/>
      <w:r w:rsidRPr="007F78CE">
        <w:t>Approche méthodologique</w:t>
      </w:r>
      <w:bookmarkEnd w:id="54"/>
      <w:bookmarkEnd w:id="55"/>
      <w:bookmarkEnd w:id="56"/>
      <w:bookmarkEnd w:id="57"/>
      <w:bookmarkEnd w:id="58"/>
    </w:p>
    <w:p w14:paraId="0645CAC0" w14:textId="77777777" w:rsidR="00E33E0C" w:rsidRPr="00E33E0C" w:rsidRDefault="00E33E0C" w:rsidP="00E33E0C">
      <w:pPr>
        <w:jc w:val="both"/>
        <w:rPr>
          <w:rFonts w:ascii="Arial" w:hAnsi="Arial" w:cs="Arial"/>
        </w:rPr>
      </w:pPr>
      <w:r w:rsidRPr="00E33E0C">
        <w:rPr>
          <w:rFonts w:ascii="Arial" w:hAnsi="Arial" w:cs="Arial"/>
        </w:rPr>
        <w:t>L’élaboration du CGES s’est appuyée sur 4 approches que sont : (i) la revue documentaire et la préparation des missions de terrain ; (ii) les investigations de terrains ; (iii) les consultations publiques et restreintes de parties prenantes et (iv) l’analyse et le traitement des données et la rédaction du rapport.</w:t>
      </w:r>
    </w:p>
    <w:p w14:paraId="3E7FCEA3" w14:textId="77777777" w:rsidR="00E33E0C" w:rsidRPr="00E33E0C" w:rsidRDefault="00E33E0C" w:rsidP="00E33E0C">
      <w:pPr>
        <w:jc w:val="both"/>
        <w:rPr>
          <w:rFonts w:ascii="Arial" w:hAnsi="Arial" w:cs="Arial"/>
        </w:rPr>
      </w:pPr>
      <w:r w:rsidRPr="00E33E0C">
        <w:rPr>
          <w:rFonts w:ascii="Arial" w:hAnsi="Arial" w:cs="Arial"/>
        </w:rPr>
        <w:t xml:space="preserve">Pendant la phase préparatoire, la démarche a privilégié comme approche méthodologique la capitalisation des documents. Ainsi, divers documents ont été consultés, notamment en rapport avec le nouveau Cadre Environnemental et Social de la Banque </w:t>
      </w:r>
      <w:r w:rsidR="00626686">
        <w:rPr>
          <w:rFonts w:ascii="Arial" w:hAnsi="Arial" w:cs="Arial"/>
        </w:rPr>
        <w:t>m</w:t>
      </w:r>
      <w:r w:rsidRPr="00E33E0C">
        <w:rPr>
          <w:rFonts w:ascii="Arial" w:hAnsi="Arial" w:cs="Arial"/>
        </w:rPr>
        <w:t>ondiale, les Régions concernées, et des documents</w:t>
      </w:r>
      <w:r w:rsidR="00F03C38">
        <w:rPr>
          <w:rFonts w:ascii="Arial" w:hAnsi="Arial" w:cs="Arial"/>
        </w:rPr>
        <w:t>-</w:t>
      </w:r>
      <w:r w:rsidRPr="00E33E0C">
        <w:rPr>
          <w:rFonts w:ascii="Arial" w:hAnsi="Arial" w:cs="Arial"/>
        </w:rPr>
        <w:t xml:space="preserve">cadres des différents projets financés par la Banque </w:t>
      </w:r>
      <w:r w:rsidR="00626686">
        <w:rPr>
          <w:rFonts w:ascii="Arial" w:hAnsi="Arial" w:cs="Arial"/>
        </w:rPr>
        <w:t>m</w:t>
      </w:r>
      <w:r w:rsidRPr="00E33E0C">
        <w:rPr>
          <w:rFonts w:ascii="Arial" w:hAnsi="Arial" w:cs="Arial"/>
        </w:rPr>
        <w:t xml:space="preserve">ondiale, des textes réglementaires et juridiques en rapport avec le Projet. </w:t>
      </w:r>
    </w:p>
    <w:p w14:paraId="48272778" w14:textId="77777777" w:rsidR="00E33E0C" w:rsidRPr="00E33E0C" w:rsidRDefault="00E33E0C" w:rsidP="00E33E0C">
      <w:pPr>
        <w:jc w:val="both"/>
        <w:rPr>
          <w:rFonts w:ascii="Arial" w:hAnsi="Arial" w:cs="Arial"/>
        </w:rPr>
      </w:pPr>
      <w:r w:rsidRPr="00E33E0C">
        <w:rPr>
          <w:rFonts w:ascii="Arial" w:hAnsi="Arial" w:cs="Arial"/>
        </w:rPr>
        <w:t xml:space="preserve">Pendant les travaux sur </w:t>
      </w:r>
      <w:r w:rsidR="00F03C38">
        <w:rPr>
          <w:rFonts w:ascii="Arial" w:hAnsi="Arial" w:cs="Arial"/>
        </w:rPr>
        <w:t xml:space="preserve">le </w:t>
      </w:r>
      <w:r w:rsidRPr="00E33E0C">
        <w:rPr>
          <w:rFonts w:ascii="Arial" w:hAnsi="Arial" w:cs="Arial"/>
        </w:rPr>
        <w:t xml:space="preserve">terrain dans chaque Région, des visites de courtoisie auprès du Gouverneur, Préfet et/ou Chef District et Maires ont été organisées. Elles ont été suivies d’une réunion d’information avec les CTD et STD. Des entretiens avec les différentes parties prenantes ont été effectués pour les informer sur le Projet et collecter des informations </w:t>
      </w:r>
      <w:r w:rsidR="00F03C38" w:rsidRPr="00E33E0C">
        <w:rPr>
          <w:rFonts w:ascii="Arial" w:hAnsi="Arial" w:cs="Arial"/>
        </w:rPr>
        <w:t>le</w:t>
      </w:r>
      <w:r w:rsidR="00F03C38">
        <w:rPr>
          <w:rFonts w:ascii="Arial" w:hAnsi="Arial" w:cs="Arial"/>
        </w:rPr>
        <w:t>s</w:t>
      </w:r>
      <w:r w:rsidR="00F03C38" w:rsidRPr="00E33E0C">
        <w:rPr>
          <w:rFonts w:ascii="Arial" w:hAnsi="Arial" w:cs="Arial"/>
        </w:rPr>
        <w:t xml:space="preserve"> </w:t>
      </w:r>
      <w:r w:rsidRPr="00E33E0C">
        <w:rPr>
          <w:rFonts w:ascii="Arial" w:hAnsi="Arial" w:cs="Arial"/>
        </w:rPr>
        <w:t>concernant (stratégies d’application, activités, résultats escomptés, contraintes, modes de communication,</w:t>
      </w:r>
      <w:r>
        <w:rPr>
          <w:rFonts w:ascii="Arial" w:hAnsi="Arial" w:cs="Arial"/>
        </w:rPr>
        <w:t xml:space="preserve"> etc</w:t>
      </w:r>
      <w:r w:rsidR="00855A0A">
        <w:rPr>
          <w:rFonts w:ascii="Arial" w:hAnsi="Arial" w:cs="Arial"/>
        </w:rPr>
        <w:t>.</w:t>
      </w:r>
      <w:r w:rsidR="00855A0A" w:rsidRPr="00E33E0C">
        <w:rPr>
          <w:rFonts w:ascii="Arial" w:hAnsi="Arial" w:cs="Arial"/>
        </w:rPr>
        <w:t>)</w:t>
      </w:r>
      <w:r w:rsidR="00855A0A">
        <w:rPr>
          <w:rFonts w:ascii="Arial" w:hAnsi="Arial" w:cs="Arial"/>
        </w:rPr>
        <w:t>.</w:t>
      </w:r>
    </w:p>
    <w:p w14:paraId="212201C9" w14:textId="77777777" w:rsidR="00E33E0C" w:rsidRPr="00E33E0C" w:rsidRDefault="00E33E0C" w:rsidP="00E33E0C">
      <w:pPr>
        <w:jc w:val="both"/>
        <w:rPr>
          <w:rFonts w:ascii="Arial" w:hAnsi="Arial" w:cs="Arial"/>
        </w:rPr>
      </w:pPr>
      <w:r w:rsidRPr="00E33E0C">
        <w:rPr>
          <w:rFonts w:ascii="Arial" w:hAnsi="Arial" w:cs="Arial"/>
        </w:rPr>
        <w:lastRenderedPageBreak/>
        <w:t xml:space="preserve">Au niveau de chaque Commune, des entretiens et focus group </w:t>
      </w:r>
      <w:r w:rsidR="000527BB">
        <w:rPr>
          <w:rFonts w:ascii="Arial" w:hAnsi="Arial" w:cs="Arial"/>
        </w:rPr>
        <w:t>avec les</w:t>
      </w:r>
      <w:r w:rsidR="000527BB" w:rsidRPr="00E33E0C">
        <w:rPr>
          <w:rFonts w:ascii="Arial" w:hAnsi="Arial" w:cs="Arial"/>
        </w:rPr>
        <w:t xml:space="preserve"> </w:t>
      </w:r>
      <w:r w:rsidRPr="00E33E0C">
        <w:rPr>
          <w:rFonts w:ascii="Arial" w:hAnsi="Arial" w:cs="Arial"/>
        </w:rPr>
        <w:t xml:space="preserve">responsables au sein de la Commune, des </w:t>
      </w:r>
      <w:r w:rsidR="00BD73EE">
        <w:rPr>
          <w:rFonts w:ascii="Arial" w:hAnsi="Arial" w:cs="Arial"/>
        </w:rPr>
        <w:t>groupes de</w:t>
      </w:r>
      <w:r w:rsidRPr="00E33E0C">
        <w:rPr>
          <w:rFonts w:ascii="Arial" w:hAnsi="Arial" w:cs="Arial"/>
        </w:rPr>
        <w:t xml:space="preserve"> femmes, des jeunes, des notables, ont été réalisés pour collecter des informations sur la structure existante, leurs activités, besoins, attentes, activités, problèmes rencontrés et les solutions déjà entreprises, etc. </w:t>
      </w:r>
    </w:p>
    <w:p w14:paraId="30AB31AB" w14:textId="77777777" w:rsidR="00D164A7" w:rsidRDefault="00E33E0C" w:rsidP="00E33E0C">
      <w:pPr>
        <w:jc w:val="both"/>
        <w:rPr>
          <w:rFonts w:ascii="Arial" w:hAnsi="Arial" w:cs="Arial"/>
        </w:rPr>
      </w:pPr>
      <w:r w:rsidRPr="00E33E0C">
        <w:rPr>
          <w:rFonts w:ascii="Arial" w:hAnsi="Arial" w:cs="Arial"/>
        </w:rPr>
        <w:t>Des diagnostics techniques</w:t>
      </w:r>
      <w:r w:rsidR="00D164A7">
        <w:rPr>
          <w:rFonts w:ascii="Arial" w:hAnsi="Arial" w:cs="Arial"/>
        </w:rPr>
        <w:t xml:space="preserve"> ont été réalisés</w:t>
      </w:r>
      <w:r w:rsidRPr="00E33E0C">
        <w:rPr>
          <w:rFonts w:ascii="Arial" w:hAnsi="Arial" w:cs="Arial"/>
        </w:rPr>
        <w:t xml:space="preserve"> pour observer les éventuels emplacements des sous-projets </w:t>
      </w:r>
      <w:r w:rsidR="00D164A7">
        <w:rPr>
          <w:rFonts w:ascii="Arial" w:hAnsi="Arial" w:cs="Arial"/>
        </w:rPr>
        <w:t xml:space="preserve">et </w:t>
      </w:r>
      <w:r w:rsidRPr="00E33E0C">
        <w:rPr>
          <w:rFonts w:ascii="Arial" w:hAnsi="Arial" w:cs="Arial"/>
        </w:rPr>
        <w:t>pour faire des constats</w:t>
      </w:r>
      <w:r w:rsidR="00D164A7">
        <w:rPr>
          <w:rFonts w:ascii="Arial" w:hAnsi="Arial" w:cs="Arial"/>
        </w:rPr>
        <w:t>suivants :</w:t>
      </w:r>
    </w:p>
    <w:p w14:paraId="329D490F" w14:textId="77777777" w:rsidR="00D164A7" w:rsidRDefault="00E33E0C" w:rsidP="00AE406E">
      <w:pPr>
        <w:pStyle w:val="Paragraphedeliste"/>
        <w:numPr>
          <w:ilvl w:val="1"/>
          <w:numId w:val="184"/>
        </w:numPr>
        <w:jc w:val="both"/>
        <w:rPr>
          <w:rFonts w:ascii="Arial" w:hAnsi="Arial" w:cs="Arial"/>
        </w:rPr>
      </w:pPr>
      <w:r w:rsidRPr="00AE406E">
        <w:rPr>
          <w:rFonts w:ascii="Arial" w:hAnsi="Arial" w:cs="Arial"/>
        </w:rPr>
        <w:t xml:space="preserve">physiques des sites d’implantation et des zones d’influence et décrire les actions envisagées ; </w:t>
      </w:r>
    </w:p>
    <w:p w14:paraId="5708996B" w14:textId="77777777" w:rsidR="00D164A7" w:rsidRDefault="00E33E0C" w:rsidP="00AE406E">
      <w:pPr>
        <w:pStyle w:val="Paragraphedeliste"/>
        <w:numPr>
          <w:ilvl w:val="1"/>
          <w:numId w:val="184"/>
        </w:numPr>
        <w:jc w:val="both"/>
        <w:rPr>
          <w:rFonts w:ascii="Arial" w:hAnsi="Arial" w:cs="Arial"/>
        </w:rPr>
      </w:pPr>
      <w:r w:rsidRPr="00AE406E">
        <w:rPr>
          <w:rFonts w:ascii="Arial" w:hAnsi="Arial" w:cs="Arial"/>
        </w:rPr>
        <w:t xml:space="preserve">environnementaux dans le but de décrire l’environnement physique (occupation du sol, sol, eau, </w:t>
      </w:r>
      <w:r w:rsidR="008B7D8B">
        <w:rPr>
          <w:rFonts w:ascii="Arial" w:hAnsi="Arial" w:cs="Arial"/>
        </w:rPr>
        <w:t xml:space="preserve">air, </w:t>
      </w:r>
      <w:r w:rsidRPr="00AE406E">
        <w:rPr>
          <w:rFonts w:ascii="Arial" w:hAnsi="Arial" w:cs="Arial"/>
        </w:rPr>
        <w:t>etc.)</w:t>
      </w:r>
      <w:r w:rsidR="00D164A7">
        <w:rPr>
          <w:rFonts w:ascii="Arial" w:hAnsi="Arial" w:cs="Arial"/>
        </w:rPr>
        <w:t> ;</w:t>
      </w:r>
    </w:p>
    <w:p w14:paraId="7FF276F5" w14:textId="77777777" w:rsidR="00D164A7" w:rsidRDefault="00E33E0C" w:rsidP="00AE406E">
      <w:pPr>
        <w:pStyle w:val="Paragraphedeliste"/>
        <w:numPr>
          <w:ilvl w:val="1"/>
          <w:numId w:val="184"/>
        </w:numPr>
        <w:jc w:val="both"/>
        <w:rPr>
          <w:rFonts w:ascii="Arial" w:hAnsi="Arial" w:cs="Arial"/>
        </w:rPr>
      </w:pPr>
      <w:r w:rsidRPr="00AE406E">
        <w:rPr>
          <w:rFonts w:ascii="Arial" w:hAnsi="Arial" w:cs="Arial"/>
        </w:rPr>
        <w:t>biologique</w:t>
      </w:r>
      <w:r w:rsidR="00D164A7">
        <w:rPr>
          <w:rFonts w:ascii="Arial" w:hAnsi="Arial" w:cs="Arial"/>
        </w:rPr>
        <w:t>s</w:t>
      </w:r>
      <w:r w:rsidRPr="00AE406E">
        <w:rPr>
          <w:rFonts w:ascii="Arial" w:hAnsi="Arial" w:cs="Arial"/>
        </w:rPr>
        <w:t xml:space="preserve"> (écosystèmes, faune, flore, etc.)</w:t>
      </w:r>
      <w:r w:rsidR="00D164A7">
        <w:rPr>
          <w:rFonts w:ascii="Arial" w:hAnsi="Arial" w:cs="Arial"/>
        </w:rPr>
        <w:t> ;</w:t>
      </w:r>
      <w:r w:rsidRPr="00AE406E">
        <w:rPr>
          <w:rFonts w:ascii="Arial" w:hAnsi="Arial" w:cs="Arial"/>
        </w:rPr>
        <w:t xml:space="preserve"> et </w:t>
      </w:r>
    </w:p>
    <w:p w14:paraId="13CA9416" w14:textId="77777777" w:rsidR="00D164A7" w:rsidRDefault="00E33E0C" w:rsidP="00AE406E">
      <w:pPr>
        <w:pStyle w:val="Paragraphedeliste"/>
        <w:numPr>
          <w:ilvl w:val="1"/>
          <w:numId w:val="184"/>
        </w:numPr>
        <w:jc w:val="both"/>
        <w:rPr>
          <w:rFonts w:ascii="Arial" w:hAnsi="Arial" w:cs="Arial"/>
        </w:rPr>
      </w:pPr>
      <w:r w:rsidRPr="00AE406E">
        <w:rPr>
          <w:rFonts w:ascii="Arial" w:hAnsi="Arial" w:cs="Arial"/>
        </w:rPr>
        <w:t>socio-économiques (population, activités</w:t>
      </w:r>
      <w:r w:rsidR="008B7D8B">
        <w:rPr>
          <w:rFonts w:ascii="Arial" w:hAnsi="Arial" w:cs="Arial"/>
        </w:rPr>
        <w:t xml:space="preserve"> économiques</w:t>
      </w:r>
      <w:r w:rsidRPr="00AE406E">
        <w:rPr>
          <w:rFonts w:ascii="Arial" w:hAnsi="Arial" w:cs="Arial"/>
        </w:rPr>
        <w:t xml:space="preserve">, dynamique sociale, gestion des conflits et populations affectées par le projet ou PAPs). </w:t>
      </w:r>
    </w:p>
    <w:p w14:paraId="5D9FC5DD" w14:textId="77777777" w:rsidR="00E33E0C" w:rsidRPr="00AE406E" w:rsidRDefault="00E33E0C" w:rsidP="00D164A7">
      <w:pPr>
        <w:jc w:val="both"/>
        <w:rPr>
          <w:rFonts w:ascii="Arial" w:hAnsi="Arial" w:cs="Arial"/>
        </w:rPr>
      </w:pPr>
      <w:r w:rsidRPr="00AE406E">
        <w:rPr>
          <w:rFonts w:ascii="Arial" w:hAnsi="Arial" w:cs="Arial"/>
        </w:rPr>
        <w:t xml:space="preserve">Divers outils ont été utilisés pour la collecte des informations / données sur le terrain. </w:t>
      </w:r>
    </w:p>
    <w:p w14:paraId="5576A020" w14:textId="77777777" w:rsidR="00592898" w:rsidRPr="00E33E0C" w:rsidRDefault="00E33E0C" w:rsidP="00E33E0C">
      <w:pPr>
        <w:jc w:val="both"/>
        <w:rPr>
          <w:rFonts w:ascii="Arial" w:hAnsi="Arial" w:cs="Arial"/>
        </w:rPr>
      </w:pPr>
      <w:r w:rsidRPr="00E33E0C">
        <w:rPr>
          <w:rFonts w:ascii="Arial" w:hAnsi="Arial" w:cs="Arial"/>
        </w:rPr>
        <w:t xml:space="preserve">Des consultations publiques ont été organisées au niveau des Communes et au niveau régional dans le but d’informer le public sur le Projet </w:t>
      </w:r>
      <w:r>
        <w:rPr>
          <w:rFonts w:ascii="Arial" w:hAnsi="Arial" w:cs="Arial"/>
        </w:rPr>
        <w:t>DECIM</w:t>
      </w:r>
      <w:r w:rsidRPr="00E33E0C">
        <w:rPr>
          <w:rFonts w:ascii="Arial" w:hAnsi="Arial" w:cs="Arial"/>
        </w:rPr>
        <w:t xml:space="preserve">, les résultats des entretiens, </w:t>
      </w:r>
      <w:r w:rsidR="00626686">
        <w:rPr>
          <w:rFonts w:ascii="Arial" w:hAnsi="Arial" w:cs="Arial"/>
        </w:rPr>
        <w:t>d</w:t>
      </w:r>
      <w:r w:rsidRPr="00E33E0C">
        <w:rPr>
          <w:rFonts w:ascii="Arial" w:hAnsi="Arial" w:cs="Arial"/>
        </w:rPr>
        <w:t xml:space="preserve">es focus group et </w:t>
      </w:r>
      <w:r w:rsidR="00626686">
        <w:rPr>
          <w:rFonts w:ascii="Arial" w:hAnsi="Arial" w:cs="Arial"/>
        </w:rPr>
        <w:t>d</w:t>
      </w:r>
      <w:r w:rsidRPr="00E33E0C">
        <w:rPr>
          <w:rFonts w:ascii="Arial" w:hAnsi="Arial" w:cs="Arial"/>
        </w:rPr>
        <w:t xml:space="preserve">es diagnostics, </w:t>
      </w:r>
      <w:r w:rsidR="00626686">
        <w:rPr>
          <w:rFonts w:ascii="Arial" w:hAnsi="Arial" w:cs="Arial"/>
        </w:rPr>
        <w:t>d</w:t>
      </w:r>
      <w:r w:rsidRPr="00E33E0C">
        <w:rPr>
          <w:rFonts w:ascii="Arial" w:hAnsi="Arial" w:cs="Arial"/>
        </w:rPr>
        <w:t xml:space="preserve">es impacts environnementaux et sociaux positifs et négatifs potentiels, ainsi que de collecter les attentes, craintes / préoccupations et suggestions / recommandations par les participants par la mise en œuvre des activités du Projet </w:t>
      </w:r>
      <w:r>
        <w:rPr>
          <w:rFonts w:ascii="Arial" w:hAnsi="Arial" w:cs="Arial"/>
        </w:rPr>
        <w:t>DECIM</w:t>
      </w:r>
      <w:r w:rsidR="004A1EC7">
        <w:rPr>
          <w:rFonts w:ascii="Arial" w:hAnsi="Arial" w:cs="Arial"/>
        </w:rPr>
        <w:t>.</w:t>
      </w:r>
    </w:p>
    <w:p w14:paraId="42E9DA98" w14:textId="77777777" w:rsidR="00E95156" w:rsidRDefault="00E95156">
      <w:r>
        <w:br w:type="page"/>
      </w:r>
    </w:p>
    <w:p w14:paraId="2073D36F" w14:textId="77777777" w:rsidR="00832CC9" w:rsidRPr="00B67B63" w:rsidRDefault="00832CC9" w:rsidP="0044500E">
      <w:pPr>
        <w:pStyle w:val="Paragraphedeliste"/>
        <w:numPr>
          <w:ilvl w:val="0"/>
          <w:numId w:val="177"/>
        </w:numPr>
        <w:pBdr>
          <w:bottom w:val="single" w:sz="4" w:space="1" w:color="auto"/>
        </w:pBdr>
        <w:spacing w:line="240" w:lineRule="auto"/>
        <w:jc w:val="both"/>
        <w:outlineLvl w:val="0"/>
        <w:rPr>
          <w:b/>
          <w:bCs/>
          <w:caps/>
          <w:color w:val="44546A"/>
          <w:sz w:val="40"/>
          <w:szCs w:val="44"/>
        </w:rPr>
      </w:pPr>
      <w:bookmarkStart w:id="59" w:name="_Toc124956092"/>
      <w:bookmarkStart w:id="60" w:name="_Toc125384491"/>
      <w:bookmarkStart w:id="61" w:name="_Toc125384880"/>
      <w:bookmarkStart w:id="62" w:name="_Toc127957552"/>
      <w:r w:rsidRPr="00B67B63">
        <w:rPr>
          <w:b/>
          <w:bCs/>
          <w:caps/>
          <w:color w:val="44546A"/>
          <w:sz w:val="40"/>
          <w:szCs w:val="44"/>
        </w:rPr>
        <w:t>Description du Projet</w:t>
      </w:r>
      <w:bookmarkEnd w:id="59"/>
      <w:bookmarkEnd w:id="60"/>
      <w:bookmarkEnd w:id="61"/>
      <w:bookmarkEnd w:id="62"/>
    </w:p>
    <w:p w14:paraId="1683177A" w14:textId="77777777" w:rsidR="00BD73EE" w:rsidRPr="007F78CE" w:rsidRDefault="00BD73EE" w:rsidP="0044500E">
      <w:pPr>
        <w:pStyle w:val="TIT2"/>
        <w:numPr>
          <w:ilvl w:val="1"/>
          <w:numId w:val="177"/>
        </w:numPr>
      </w:pPr>
      <w:bookmarkStart w:id="63" w:name="_Toc124312615"/>
      <w:bookmarkStart w:id="64" w:name="_Toc124314616"/>
      <w:bookmarkStart w:id="65" w:name="_Toc124956093"/>
      <w:bookmarkStart w:id="66" w:name="_Toc125384492"/>
      <w:bookmarkStart w:id="67" w:name="_Toc125384881"/>
      <w:bookmarkStart w:id="68" w:name="_Toc127957553"/>
      <w:bookmarkEnd w:id="63"/>
      <w:r w:rsidRPr="007F78CE">
        <w:t>Généralité sur le Projet</w:t>
      </w:r>
      <w:bookmarkEnd w:id="64"/>
      <w:bookmarkEnd w:id="65"/>
      <w:bookmarkEnd w:id="66"/>
      <w:bookmarkEnd w:id="67"/>
      <w:bookmarkEnd w:id="68"/>
    </w:p>
    <w:p w14:paraId="3E28681B" w14:textId="77777777" w:rsidR="00BD73EE" w:rsidRPr="00BD73EE" w:rsidRDefault="00BD73EE" w:rsidP="00BD73EE">
      <w:pPr>
        <w:jc w:val="both"/>
        <w:rPr>
          <w:rFonts w:ascii="Arial" w:hAnsi="Arial" w:cs="Arial"/>
        </w:rPr>
      </w:pPr>
      <w:r w:rsidRPr="00BD73EE">
        <w:rPr>
          <w:rFonts w:ascii="Arial" w:hAnsi="Arial" w:cs="Arial"/>
        </w:rPr>
        <w:t xml:space="preserve">Le projet de connectivité numérique et énergétique pour l’inclusion à Madagascar ou Digital and Energy Connectivity for inclusion in Madagascar (DECIM) est un projet du Gouvernement Malagasy </w:t>
      </w:r>
      <w:r w:rsidRPr="00327DB6">
        <w:rPr>
          <w:rFonts w:ascii="Arial" w:hAnsi="Arial" w:cs="Arial"/>
        </w:rPr>
        <w:t>(</w:t>
      </w:r>
      <w:r w:rsidRPr="00742D67">
        <w:rPr>
          <w:rFonts w:ascii="Arial" w:hAnsi="Arial" w:cs="Arial"/>
        </w:rPr>
        <w:t>G</w:t>
      </w:r>
      <w:r w:rsidR="00DB1EE5" w:rsidRPr="00742D67">
        <w:rPr>
          <w:rFonts w:ascii="Arial" w:hAnsi="Arial" w:cs="Arial"/>
        </w:rPr>
        <w:t>d</w:t>
      </w:r>
      <w:r w:rsidRPr="00742D67">
        <w:rPr>
          <w:rFonts w:ascii="Arial" w:hAnsi="Arial" w:cs="Arial"/>
        </w:rPr>
        <w:t>M</w:t>
      </w:r>
      <w:r w:rsidRPr="00327DB6">
        <w:rPr>
          <w:rFonts w:ascii="Arial" w:hAnsi="Arial" w:cs="Arial"/>
        </w:rPr>
        <w:t>)</w:t>
      </w:r>
      <w:r w:rsidRPr="00BD73EE">
        <w:rPr>
          <w:rFonts w:ascii="Arial" w:hAnsi="Arial" w:cs="Arial"/>
        </w:rPr>
        <w:t xml:space="preserve"> pour contribuer à l’accroissement de l’accès à des infrastructures énergétiques et numériques fiables et abordables, en mettant l’accent sur l’inclusion des communautés mal desservies.</w:t>
      </w:r>
      <w:r>
        <w:rPr>
          <w:rFonts w:ascii="Arial" w:hAnsi="Arial" w:cs="Arial"/>
        </w:rPr>
        <w:t xml:space="preserve"> </w:t>
      </w:r>
    </w:p>
    <w:p w14:paraId="2F2EA3E9" w14:textId="77777777" w:rsidR="00BD73EE" w:rsidRPr="00BD73EE" w:rsidRDefault="00BD73EE" w:rsidP="00BD73EE">
      <w:pPr>
        <w:jc w:val="both"/>
        <w:rPr>
          <w:rFonts w:ascii="Arial" w:hAnsi="Arial" w:cs="Arial"/>
        </w:rPr>
      </w:pPr>
      <w:r w:rsidRPr="00BD73EE">
        <w:rPr>
          <w:rFonts w:ascii="Arial" w:hAnsi="Arial" w:cs="Arial"/>
        </w:rPr>
        <w:t>De par sa nature et son domaine d’intervention, le Projet est placé conjointement sous tutelle du Ministère en charge de l’</w:t>
      </w:r>
      <w:r w:rsidR="009758F4" w:rsidRPr="00BD73EE">
        <w:rPr>
          <w:rFonts w:ascii="Arial" w:hAnsi="Arial" w:cs="Arial"/>
        </w:rPr>
        <w:t>Énergie</w:t>
      </w:r>
      <w:r w:rsidR="00567E1E">
        <w:rPr>
          <w:rFonts w:ascii="Arial" w:hAnsi="Arial" w:cs="Arial"/>
        </w:rPr>
        <w:t xml:space="preserve"> et des Hydrocarbures (MEH)</w:t>
      </w:r>
      <w:r w:rsidRPr="00BD73EE">
        <w:rPr>
          <w:rFonts w:ascii="Arial" w:hAnsi="Arial" w:cs="Arial"/>
        </w:rPr>
        <w:t xml:space="preserve"> et du Ministère en charge des Postes et </w:t>
      </w:r>
      <w:r w:rsidR="009758F4" w:rsidRPr="00BD73EE">
        <w:rPr>
          <w:rFonts w:ascii="Arial" w:hAnsi="Arial" w:cs="Arial"/>
        </w:rPr>
        <w:t>Télécommunications</w:t>
      </w:r>
    </w:p>
    <w:p w14:paraId="2B52DBCA" w14:textId="77777777" w:rsidR="00832CC9" w:rsidRPr="007F78CE" w:rsidRDefault="00592898" w:rsidP="0044500E">
      <w:pPr>
        <w:pStyle w:val="TIT2"/>
        <w:numPr>
          <w:ilvl w:val="1"/>
          <w:numId w:val="177"/>
        </w:numPr>
      </w:pPr>
      <w:bookmarkStart w:id="69" w:name="_Toc124314617"/>
      <w:bookmarkStart w:id="70" w:name="_Toc124956094"/>
      <w:bookmarkStart w:id="71" w:name="_Toc125384493"/>
      <w:bookmarkStart w:id="72" w:name="_Toc125384882"/>
      <w:bookmarkStart w:id="73" w:name="_Toc127957554"/>
      <w:r w:rsidRPr="007F78CE">
        <w:t>Objectif</w:t>
      </w:r>
      <w:r w:rsidR="00DB4448" w:rsidRPr="007F78CE">
        <w:t>s</w:t>
      </w:r>
      <w:r w:rsidRPr="007F78CE">
        <w:t xml:space="preserve"> du Projet</w:t>
      </w:r>
      <w:bookmarkEnd w:id="69"/>
      <w:bookmarkEnd w:id="70"/>
      <w:bookmarkEnd w:id="71"/>
      <w:bookmarkEnd w:id="72"/>
      <w:bookmarkEnd w:id="73"/>
    </w:p>
    <w:p w14:paraId="24C6AC6D" w14:textId="77777777" w:rsidR="00DB4448" w:rsidRPr="00DB4448" w:rsidRDefault="00DB4448" w:rsidP="0044500E">
      <w:pPr>
        <w:pStyle w:val="TIT3"/>
        <w:numPr>
          <w:ilvl w:val="2"/>
          <w:numId w:val="177"/>
        </w:numPr>
      </w:pPr>
      <w:bookmarkStart w:id="74" w:name="_Toc124312618"/>
      <w:bookmarkStart w:id="75" w:name="_Toc124314618"/>
      <w:bookmarkStart w:id="76" w:name="_Toc124956095"/>
      <w:bookmarkStart w:id="77" w:name="_Toc125384494"/>
      <w:bookmarkStart w:id="78" w:name="_Toc125384883"/>
      <w:bookmarkStart w:id="79" w:name="_Toc127957555"/>
      <w:bookmarkEnd w:id="74"/>
      <w:r w:rsidRPr="00DB4448">
        <w:t>Objectif général</w:t>
      </w:r>
      <w:bookmarkEnd w:id="75"/>
      <w:bookmarkEnd w:id="76"/>
      <w:bookmarkEnd w:id="77"/>
      <w:bookmarkEnd w:id="78"/>
      <w:bookmarkEnd w:id="79"/>
    </w:p>
    <w:p w14:paraId="74D1957B" w14:textId="77777777" w:rsidR="00DB4448" w:rsidRPr="00DB4448" w:rsidRDefault="00C84469" w:rsidP="00DB4448">
      <w:pPr>
        <w:jc w:val="both"/>
        <w:rPr>
          <w:rFonts w:ascii="Arial" w:hAnsi="Arial" w:cs="Arial"/>
        </w:rPr>
      </w:pPr>
      <w:r>
        <w:rPr>
          <w:rFonts w:ascii="Arial" w:hAnsi="Arial" w:cs="Arial"/>
        </w:rPr>
        <w:t>Rappelons que l</w:t>
      </w:r>
      <w:r w:rsidR="00DB4448" w:rsidRPr="00DB4448">
        <w:rPr>
          <w:rFonts w:ascii="Arial" w:hAnsi="Arial" w:cs="Arial"/>
        </w:rPr>
        <w:t>'Objectif de Développement du Projet (</w:t>
      </w:r>
      <w:r w:rsidR="00DB1EE5">
        <w:rPr>
          <w:rFonts w:ascii="Arial" w:hAnsi="Arial" w:cs="Arial"/>
        </w:rPr>
        <w:t>O</w:t>
      </w:r>
      <w:r w:rsidR="00DB4448" w:rsidRPr="00DB4448">
        <w:rPr>
          <w:rFonts w:ascii="Arial" w:hAnsi="Arial" w:cs="Arial"/>
        </w:rPr>
        <w:t>D</w:t>
      </w:r>
      <w:r w:rsidR="00DB1EE5">
        <w:rPr>
          <w:rFonts w:ascii="Arial" w:hAnsi="Arial" w:cs="Arial"/>
        </w:rPr>
        <w:t>P</w:t>
      </w:r>
      <w:r w:rsidR="00DB4448" w:rsidRPr="00DB4448">
        <w:rPr>
          <w:rFonts w:ascii="Arial" w:hAnsi="Arial" w:cs="Arial"/>
        </w:rPr>
        <w:t>) est d'élargir l’accès aux énergies renouvelables et aux services numériques et d’accroître l’inclusion.</w:t>
      </w:r>
    </w:p>
    <w:p w14:paraId="27607F41" w14:textId="77777777" w:rsidR="00DB4448" w:rsidRPr="00DB4448" w:rsidRDefault="00DB4448" w:rsidP="00DB4448">
      <w:pPr>
        <w:jc w:val="both"/>
        <w:rPr>
          <w:rFonts w:ascii="Arial" w:hAnsi="Arial" w:cs="Arial"/>
        </w:rPr>
      </w:pPr>
      <w:r w:rsidRPr="00DB4448">
        <w:rPr>
          <w:rFonts w:ascii="Arial" w:hAnsi="Arial" w:cs="Arial"/>
        </w:rPr>
        <w:t>Grâce à une approche de projets combinés basés sur l’énergie et le numérique dont des succès ont été enregistrés dans des zones rurales de quelques pays africains adoptant l’approche</w:t>
      </w:r>
      <w:r w:rsidRPr="00B434A6">
        <w:rPr>
          <w:rFonts w:ascii="Arial" w:hAnsi="Arial"/>
          <w:vertAlign w:val="superscript"/>
        </w:rPr>
        <w:footnoteReference w:id="7"/>
      </w:r>
      <w:r w:rsidRPr="00DB4448">
        <w:rPr>
          <w:rFonts w:ascii="Arial" w:hAnsi="Arial" w:cs="Arial"/>
        </w:rPr>
        <w:t>, le projet (i) visera à maximiser l’impact positif sur les ruraux et plus particulièrement sur les pauvres tout en soutenant une croissance plus équitable et le renforcement de la résilience aux éventuelles crises</w:t>
      </w:r>
      <w:r w:rsidR="004A1EC7">
        <w:rPr>
          <w:rFonts w:ascii="Arial" w:hAnsi="Arial" w:cs="Arial"/>
        </w:rPr>
        <w:t xml:space="preserve"> </w:t>
      </w:r>
      <w:r w:rsidRPr="00DB4448">
        <w:rPr>
          <w:rFonts w:ascii="Arial" w:hAnsi="Arial" w:cs="Arial"/>
        </w:rPr>
        <w:t>; (ii) intensifiera la croissance économique sur fonds d’inclusion sociale (accroissement de la productivité agricole, stimulation des activités non agricoles, création de nouvelles entreprise, création d’emplois, etc.</w:t>
      </w:r>
      <w:r w:rsidR="004A1EC7">
        <w:rPr>
          <w:rFonts w:ascii="Arial" w:hAnsi="Arial" w:cs="Arial"/>
        </w:rPr>
        <w:t>)</w:t>
      </w:r>
      <w:r w:rsidRPr="00DB4448">
        <w:rPr>
          <w:rFonts w:ascii="Arial" w:hAnsi="Arial" w:cs="Arial"/>
        </w:rPr>
        <w:t xml:space="preserve"> dus aux raccordements à l’électricité</w:t>
      </w:r>
      <w:r w:rsidR="004A1EC7">
        <w:rPr>
          <w:rFonts w:ascii="Arial" w:hAnsi="Arial" w:cs="Arial"/>
        </w:rPr>
        <w:t xml:space="preserve"> </w:t>
      </w:r>
      <w:r w:rsidRPr="00DB4448">
        <w:rPr>
          <w:rFonts w:ascii="Arial" w:hAnsi="Arial" w:cs="Arial"/>
        </w:rPr>
        <w:t>; création de nouvelles applications et de nouveaux services numériques par l’adoption de l’internet à haut débit</w:t>
      </w:r>
      <w:r w:rsidR="004A1EC7">
        <w:rPr>
          <w:rFonts w:ascii="Arial" w:hAnsi="Arial" w:cs="Arial"/>
        </w:rPr>
        <w:t xml:space="preserve"> </w:t>
      </w:r>
      <w:r w:rsidRPr="00DB4448">
        <w:rPr>
          <w:rFonts w:ascii="Arial" w:hAnsi="Arial" w:cs="Arial"/>
        </w:rPr>
        <w:t>; (iii) soutiendra l’adaptation au changement climatique et l’atténuation de ses effets par la transformation numérique progressive de l’économie soutenue par un accès à une énergie fiable et durable.</w:t>
      </w:r>
    </w:p>
    <w:p w14:paraId="3BFEA5EC" w14:textId="77777777" w:rsidR="00DB4448" w:rsidRPr="00DB4448" w:rsidRDefault="00DB4448" w:rsidP="0044500E">
      <w:pPr>
        <w:pStyle w:val="TIT3"/>
        <w:numPr>
          <w:ilvl w:val="2"/>
          <w:numId w:val="177"/>
        </w:numPr>
      </w:pPr>
      <w:bookmarkStart w:id="80" w:name="_Toc124314619"/>
      <w:bookmarkStart w:id="81" w:name="_Toc124956096"/>
      <w:bookmarkStart w:id="82" w:name="_Toc125384495"/>
      <w:bookmarkStart w:id="83" w:name="_Toc125384884"/>
      <w:bookmarkStart w:id="84" w:name="_Toc127957556"/>
      <w:r w:rsidRPr="00DB4448">
        <w:t>Objectifs spécifiques</w:t>
      </w:r>
      <w:bookmarkEnd w:id="80"/>
      <w:bookmarkEnd w:id="81"/>
      <w:bookmarkEnd w:id="82"/>
      <w:bookmarkEnd w:id="83"/>
      <w:bookmarkEnd w:id="84"/>
      <w:r w:rsidRPr="00DB4448">
        <w:t xml:space="preserve"> </w:t>
      </w:r>
    </w:p>
    <w:p w14:paraId="33302940" w14:textId="77777777" w:rsidR="009758F4" w:rsidRDefault="00DB4448" w:rsidP="00DB4448">
      <w:pPr>
        <w:jc w:val="both"/>
        <w:rPr>
          <w:rFonts w:ascii="Arial" w:hAnsi="Arial" w:cs="Arial"/>
        </w:rPr>
      </w:pPr>
      <w:r w:rsidRPr="00DB4448">
        <w:rPr>
          <w:rFonts w:ascii="Arial" w:hAnsi="Arial" w:cs="Arial"/>
        </w:rPr>
        <w:t xml:space="preserve">Spécifiquement, le projet interviendra pour répondre aux difficultés d’accès des utilisateurs à la fois aux services énergétique et numérique en agissant sur les aspects offre et demande par la mobilisation de façon optimale des ressources du secteur public et du secteur privé. </w:t>
      </w:r>
    </w:p>
    <w:p w14:paraId="59AB3FE9" w14:textId="77777777" w:rsidR="009758F4" w:rsidRDefault="00DB4448" w:rsidP="00DB4448">
      <w:pPr>
        <w:jc w:val="both"/>
        <w:rPr>
          <w:rFonts w:ascii="Arial" w:hAnsi="Arial" w:cs="Arial"/>
        </w:rPr>
      </w:pPr>
      <w:r w:rsidRPr="00DB4448">
        <w:rPr>
          <w:rFonts w:ascii="Arial" w:hAnsi="Arial" w:cs="Arial"/>
        </w:rPr>
        <w:t>Pour l’offre, le projet va déployer des mesures incitatives via la mise en place de mécanismes de financement attractif (exemple</w:t>
      </w:r>
      <w:r w:rsidR="004A1EC7">
        <w:rPr>
          <w:rFonts w:ascii="Arial" w:hAnsi="Arial" w:cs="Arial"/>
        </w:rPr>
        <w:t xml:space="preserve"> : </w:t>
      </w:r>
      <w:r w:rsidRPr="00DB4448">
        <w:rPr>
          <w:rFonts w:ascii="Arial" w:hAnsi="Arial" w:cs="Arial"/>
        </w:rPr>
        <w:t>subventions publiques par l’utilisation de fonds dédiés tels que FNED</w:t>
      </w:r>
      <w:r w:rsidRPr="00DB4448">
        <w:rPr>
          <w:rFonts w:ascii="Arial" w:hAnsi="Arial"/>
          <w:vertAlign w:val="superscript"/>
        </w:rPr>
        <w:footnoteReference w:id="8"/>
      </w:r>
      <w:r w:rsidRPr="00DB4448">
        <w:rPr>
          <w:rFonts w:ascii="Arial" w:hAnsi="Arial" w:cs="Arial"/>
        </w:rPr>
        <w:t>, FDMHR</w:t>
      </w:r>
      <w:r w:rsidRPr="00DB4448">
        <w:rPr>
          <w:rFonts w:ascii="Arial" w:hAnsi="Arial"/>
          <w:vertAlign w:val="superscript"/>
        </w:rPr>
        <w:footnoteReference w:id="9"/>
      </w:r>
      <w:r w:rsidRPr="00DB4448">
        <w:rPr>
          <w:rFonts w:ascii="Arial" w:hAnsi="Arial" w:cs="Arial"/>
        </w:rPr>
        <w:t>, FDTIC</w:t>
      </w:r>
      <w:r w:rsidRPr="00DB4448">
        <w:rPr>
          <w:rFonts w:ascii="Arial" w:hAnsi="Arial"/>
          <w:vertAlign w:val="superscript"/>
        </w:rPr>
        <w:footnoteReference w:id="10"/>
      </w:r>
      <w:r w:rsidRPr="00B434A6">
        <w:rPr>
          <w:rFonts w:ascii="Arial" w:hAnsi="Arial" w:cs="Arial"/>
        </w:rPr>
        <w:t>)</w:t>
      </w:r>
      <w:r w:rsidRPr="00DB4448">
        <w:rPr>
          <w:rFonts w:ascii="Arial" w:hAnsi="Arial" w:cs="Arial"/>
        </w:rPr>
        <w:t xml:space="preserve"> en vue de solliciter le secteur privé à </w:t>
      </w:r>
      <w:r w:rsidRPr="00DB4448">
        <w:rPr>
          <w:rFonts w:ascii="Arial" w:hAnsi="Arial" w:cs="Arial"/>
        </w:rPr>
        <w:lastRenderedPageBreak/>
        <w:t xml:space="preserve">investir dans les infrastructures et </w:t>
      </w:r>
      <w:r w:rsidR="004A1EC7">
        <w:rPr>
          <w:rFonts w:ascii="Arial" w:hAnsi="Arial" w:cs="Arial"/>
        </w:rPr>
        <w:t>les</w:t>
      </w:r>
      <w:r w:rsidRPr="00DB4448">
        <w:rPr>
          <w:rFonts w:ascii="Arial" w:hAnsi="Arial" w:cs="Arial"/>
        </w:rPr>
        <w:t xml:space="preserve"> services internet de haut débit pour le numérique et dans les installations de mini-réseaux ou les solutions individuelles (kits solaires) pour l’énergétique. </w:t>
      </w:r>
    </w:p>
    <w:p w14:paraId="19BFA84F" w14:textId="77777777" w:rsidR="00DB4448" w:rsidRPr="00DB4448" w:rsidRDefault="00DB4448" w:rsidP="00DB4448">
      <w:pPr>
        <w:jc w:val="both"/>
        <w:rPr>
          <w:rFonts w:ascii="Arial" w:hAnsi="Arial" w:cs="Arial"/>
        </w:rPr>
      </w:pPr>
      <w:r w:rsidRPr="00DB4448">
        <w:rPr>
          <w:rFonts w:ascii="Arial" w:hAnsi="Arial" w:cs="Arial"/>
        </w:rPr>
        <w:t xml:space="preserve">Pour la demande, le projet va soutenir des mécanismes pour une plus grande accessibilité financière des clients utilisateurs finaux aux équipements (appareils numériques, </w:t>
      </w:r>
      <w:r w:rsidR="00766873">
        <w:rPr>
          <w:rFonts w:ascii="Arial" w:hAnsi="Arial" w:cs="Arial"/>
        </w:rPr>
        <w:t>Lampe solaire</w:t>
      </w:r>
      <w:r w:rsidRPr="00DB4448">
        <w:rPr>
          <w:rFonts w:ascii="Arial" w:hAnsi="Arial" w:cs="Arial"/>
        </w:rPr>
        <w:t>, etc.) et il va développer un environnement favorable pour une culture numérique abordable par tous. Des liens seront établis avec d’autres projets en cours (</w:t>
      </w:r>
      <w:r w:rsidR="00F966B6">
        <w:rPr>
          <w:rFonts w:ascii="Arial" w:hAnsi="Arial" w:cs="Arial"/>
        </w:rPr>
        <w:t>LEAD</w:t>
      </w:r>
      <w:r w:rsidRPr="00DB4448">
        <w:rPr>
          <w:rFonts w:ascii="Arial" w:hAnsi="Arial" w:cs="Arial"/>
        </w:rPr>
        <w:t>, PRODIGY) financés par la Banque mondiale pour l’identification et le ciblage des ménages pauvres et vulnérables bénéficiaires.</w:t>
      </w:r>
    </w:p>
    <w:p w14:paraId="68A8B04B" w14:textId="77777777" w:rsidR="00592898" w:rsidRPr="007F78CE" w:rsidRDefault="00592898" w:rsidP="0044500E">
      <w:pPr>
        <w:pStyle w:val="TIT2"/>
        <w:numPr>
          <w:ilvl w:val="1"/>
          <w:numId w:val="177"/>
        </w:numPr>
      </w:pPr>
      <w:bookmarkStart w:id="85" w:name="_Toc124314620"/>
      <w:bookmarkStart w:id="86" w:name="_Toc124956097"/>
      <w:bookmarkStart w:id="87" w:name="_Toc125384496"/>
      <w:bookmarkStart w:id="88" w:name="_Toc125384885"/>
      <w:bookmarkStart w:id="89" w:name="_Toc127957557"/>
      <w:r w:rsidRPr="007F78CE">
        <w:t>Composante</w:t>
      </w:r>
      <w:r w:rsidR="00DB1EE5">
        <w:t>s</w:t>
      </w:r>
      <w:r w:rsidRPr="007F78CE">
        <w:t xml:space="preserve"> du Projet</w:t>
      </w:r>
      <w:bookmarkEnd w:id="85"/>
      <w:bookmarkEnd w:id="86"/>
      <w:bookmarkEnd w:id="87"/>
      <w:bookmarkEnd w:id="88"/>
      <w:bookmarkEnd w:id="89"/>
    </w:p>
    <w:p w14:paraId="2A802608" w14:textId="77777777" w:rsidR="00DB4448" w:rsidRPr="00DB4448" w:rsidRDefault="00DB4448" w:rsidP="00DB4448">
      <w:pPr>
        <w:jc w:val="both"/>
        <w:rPr>
          <w:rFonts w:ascii="Arial" w:hAnsi="Arial" w:cs="Arial"/>
        </w:rPr>
      </w:pPr>
      <w:r w:rsidRPr="00DB4448">
        <w:rPr>
          <w:rFonts w:ascii="Arial" w:hAnsi="Arial" w:cs="Arial"/>
        </w:rPr>
        <w:t>Le Projet DECIM intervient sur plusieurs aspects (soft et hard) pour accroître l’accès aux services énergétiques et numériques fiables et abordables en mettant l’accent sur l’inclusion des communautés mal desservies.</w:t>
      </w:r>
    </w:p>
    <w:p w14:paraId="113FD341" w14:textId="77777777" w:rsidR="00DB4448" w:rsidRPr="00DB4448" w:rsidRDefault="00DB4448" w:rsidP="00DB4448">
      <w:pPr>
        <w:jc w:val="both"/>
        <w:rPr>
          <w:rFonts w:ascii="Arial" w:hAnsi="Arial" w:cs="Arial"/>
        </w:rPr>
      </w:pPr>
      <w:r w:rsidRPr="00DB4448">
        <w:rPr>
          <w:rFonts w:ascii="Arial" w:hAnsi="Arial" w:cs="Arial"/>
        </w:rPr>
        <w:t xml:space="preserve">Le Projet comporte quatre composantes interdépendantes et une composante de réponse d’urgence contingente. </w:t>
      </w:r>
    </w:p>
    <w:p w14:paraId="58982FFD" w14:textId="77777777" w:rsidR="00DB4448" w:rsidRPr="00DB4448" w:rsidRDefault="00DB4448" w:rsidP="0B11C451">
      <w:pPr>
        <w:numPr>
          <w:ilvl w:val="0"/>
          <w:numId w:val="42"/>
        </w:numPr>
        <w:spacing w:before="120" w:line="240" w:lineRule="auto"/>
        <w:ind w:left="714" w:hanging="357"/>
        <w:jc w:val="both"/>
        <w:rPr>
          <w:rFonts w:ascii="Arial" w:hAnsi="Arial" w:cs="Arial"/>
        </w:rPr>
      </w:pPr>
      <w:r w:rsidRPr="48B05EC0">
        <w:rPr>
          <w:rFonts w:ascii="Arial" w:hAnsi="Arial" w:cs="Arial"/>
          <w:b/>
          <w:bCs/>
        </w:rPr>
        <w:t>Composante 1 : Développement de l’infrastructure énergétique et numérique (</w:t>
      </w:r>
      <w:r w:rsidR="004A659F" w:rsidRPr="48B05EC0">
        <w:rPr>
          <w:rFonts w:ascii="Arial" w:hAnsi="Arial" w:cs="Arial"/>
          <w:b/>
          <w:bCs/>
        </w:rPr>
        <w:t>1</w:t>
      </w:r>
      <w:r w:rsidR="3FCC6A48" w:rsidRPr="48B05EC0">
        <w:rPr>
          <w:rFonts w:ascii="Arial" w:hAnsi="Arial" w:cs="Arial"/>
          <w:b/>
          <w:bCs/>
        </w:rPr>
        <w:t>6</w:t>
      </w:r>
      <w:r w:rsidR="120BFD2F" w:rsidRPr="48B05EC0">
        <w:rPr>
          <w:rFonts w:ascii="Arial" w:hAnsi="Arial" w:cs="Arial"/>
          <w:b/>
          <w:bCs/>
        </w:rPr>
        <w:t>0</w:t>
      </w:r>
      <w:r w:rsidR="004A659F" w:rsidRPr="48B05EC0">
        <w:rPr>
          <w:rFonts w:ascii="Arial" w:hAnsi="Arial" w:cs="Arial"/>
          <w:b/>
          <w:bCs/>
        </w:rPr>
        <w:t xml:space="preserve"> </w:t>
      </w:r>
      <w:r w:rsidRPr="48B05EC0">
        <w:rPr>
          <w:rFonts w:ascii="Arial" w:hAnsi="Arial" w:cs="Arial"/>
          <w:b/>
          <w:bCs/>
        </w:rPr>
        <w:t>millions $US)</w:t>
      </w:r>
    </w:p>
    <w:p w14:paraId="6175F2C5" w14:textId="77777777" w:rsidR="00DB4448" w:rsidRPr="00DB4448" w:rsidRDefault="00DB4448" w:rsidP="00DB4448">
      <w:pPr>
        <w:jc w:val="both"/>
        <w:rPr>
          <w:rFonts w:ascii="Arial" w:hAnsi="Arial" w:cs="Arial"/>
        </w:rPr>
      </w:pPr>
      <w:r w:rsidRPr="00DB4448">
        <w:rPr>
          <w:rFonts w:ascii="Arial" w:hAnsi="Arial" w:cs="Arial"/>
        </w:rPr>
        <w:t xml:space="preserve">L'objectif de cette composante est d’améliorer l’accès à l’énergie et aux </w:t>
      </w:r>
      <w:r w:rsidR="004A1EC7" w:rsidRPr="00DB4448">
        <w:rPr>
          <w:rFonts w:ascii="Arial" w:hAnsi="Arial" w:cs="Arial"/>
        </w:rPr>
        <w:t>TIC</w:t>
      </w:r>
      <w:r w:rsidR="004A1EC7">
        <w:rPr>
          <w:rFonts w:ascii="Arial" w:hAnsi="Arial" w:cs="Arial"/>
        </w:rPr>
        <w:t>s</w:t>
      </w:r>
      <w:r w:rsidR="004A1EC7" w:rsidRPr="00DB4448">
        <w:rPr>
          <w:rFonts w:ascii="Arial" w:hAnsi="Arial" w:cs="Arial"/>
        </w:rPr>
        <w:t xml:space="preserve"> </w:t>
      </w:r>
      <w:r w:rsidRPr="00DB4448">
        <w:rPr>
          <w:rFonts w:ascii="Arial" w:hAnsi="Arial" w:cs="Arial"/>
        </w:rPr>
        <w:t>dans les zones mal desservies, notamment dans les zones rurales. Les activités générées par cette composante incitent à une mobilisation d’investissements importants de la part du secteur privé dans les infrastructures au niveau des deux secteurs (énergie, numérique). La composante 1 s’articule autour de 3 sous-composantes :</w:t>
      </w:r>
    </w:p>
    <w:p w14:paraId="04EF650F" w14:textId="77777777" w:rsidR="00DB4448" w:rsidRPr="00DB4448" w:rsidRDefault="00DB4448" w:rsidP="00687DD2">
      <w:pPr>
        <w:numPr>
          <w:ilvl w:val="0"/>
          <w:numId w:val="43"/>
        </w:numPr>
        <w:spacing w:before="120" w:line="240" w:lineRule="auto"/>
        <w:ind w:left="1071" w:hanging="357"/>
        <w:jc w:val="both"/>
        <w:rPr>
          <w:rFonts w:ascii="Arial" w:hAnsi="Arial" w:cs="Arial"/>
          <w:i/>
          <w:szCs w:val="20"/>
        </w:rPr>
      </w:pPr>
      <w:r w:rsidRPr="00DB4448">
        <w:rPr>
          <w:rFonts w:ascii="Arial" w:hAnsi="Arial" w:cs="Arial"/>
          <w:i/>
          <w:szCs w:val="20"/>
        </w:rPr>
        <w:t>Sous-composante 1.1</w:t>
      </w:r>
      <w:r w:rsidR="004A1EC7">
        <w:rPr>
          <w:rFonts w:ascii="Arial" w:hAnsi="Arial" w:cs="Arial"/>
          <w:i/>
          <w:szCs w:val="20"/>
        </w:rPr>
        <w:t xml:space="preserve"> </w:t>
      </w:r>
      <w:r w:rsidRPr="00DB4448">
        <w:rPr>
          <w:rFonts w:ascii="Arial" w:hAnsi="Arial" w:cs="Arial"/>
          <w:i/>
          <w:szCs w:val="20"/>
        </w:rPr>
        <w:t xml:space="preserve">: Hybridation et numérisation des réseaux isolés </w:t>
      </w:r>
    </w:p>
    <w:p w14:paraId="6F049CBB" w14:textId="77777777" w:rsidR="00DB4448" w:rsidRPr="00DB4448" w:rsidRDefault="00DB4448" w:rsidP="00DB4448">
      <w:pPr>
        <w:jc w:val="both"/>
        <w:rPr>
          <w:rFonts w:ascii="Arial" w:hAnsi="Arial" w:cs="Arial"/>
        </w:rPr>
      </w:pPr>
      <w:r w:rsidRPr="00DB4448">
        <w:rPr>
          <w:rFonts w:ascii="Arial" w:hAnsi="Arial" w:cs="Arial"/>
        </w:rPr>
        <w:t>Le projet financera l’hybridation d’un bon nombre de réseaux isolés existants</w:t>
      </w:r>
      <w:r w:rsidRPr="00F966B6">
        <w:rPr>
          <w:rFonts w:ascii="Arial" w:hAnsi="Arial" w:cs="Arial"/>
          <w:vertAlign w:val="superscript"/>
        </w:rPr>
        <w:footnoteReference w:id="11"/>
      </w:r>
      <w:r w:rsidRPr="00DB4448">
        <w:rPr>
          <w:rFonts w:ascii="Arial" w:hAnsi="Arial" w:cs="Arial"/>
        </w:rPr>
        <w:t xml:space="preserve"> afin (i) d’améliorer la fourniture d’électricité par hybridation photovoltaïque des centrales thermiques existants avec l’ajout de batteries de stockage ; ii) d’augmenter la densification et l’extension des réseaux aux ménages environnants.</w:t>
      </w:r>
    </w:p>
    <w:p w14:paraId="1EFD9930" w14:textId="77777777" w:rsidR="00DB4448" w:rsidRPr="00DB4448" w:rsidRDefault="00DB4448" w:rsidP="00DB4448">
      <w:pPr>
        <w:jc w:val="both"/>
        <w:rPr>
          <w:rFonts w:ascii="Arial" w:hAnsi="Arial" w:cs="Arial"/>
        </w:rPr>
      </w:pPr>
      <w:r w:rsidRPr="00DB4448">
        <w:rPr>
          <w:rFonts w:ascii="Arial" w:hAnsi="Arial" w:cs="Arial"/>
        </w:rPr>
        <w:t xml:space="preserve">Le projet soutiendra également la modernisation du réseau par le déploiement de technologie de réseau intelligent (compteurs prépayés, éclairage public intelligent, automatisation de la distribution, etc.) en vue d’une gestion plus efficace et plus écologique. La fourniture d’une assistance technique pour un appui dans l’analyse des données dans le cadre de la mise en place de ce réseau intelligent sera apportée par le projet. </w:t>
      </w:r>
    </w:p>
    <w:p w14:paraId="01EA859B" w14:textId="77777777" w:rsidR="00DB4448" w:rsidRPr="00DB4448" w:rsidRDefault="00DB4448" w:rsidP="00687DD2">
      <w:pPr>
        <w:numPr>
          <w:ilvl w:val="0"/>
          <w:numId w:val="43"/>
        </w:numPr>
        <w:spacing w:before="120" w:line="240" w:lineRule="auto"/>
        <w:ind w:left="1071" w:hanging="357"/>
        <w:jc w:val="both"/>
        <w:rPr>
          <w:rFonts w:ascii="Arial" w:hAnsi="Arial" w:cs="Arial"/>
          <w:i/>
          <w:szCs w:val="20"/>
        </w:rPr>
      </w:pPr>
      <w:r w:rsidRPr="00DB4448">
        <w:rPr>
          <w:rFonts w:ascii="Arial" w:hAnsi="Arial" w:cs="Arial"/>
          <w:i/>
          <w:szCs w:val="20"/>
        </w:rPr>
        <w:t xml:space="preserve">Sous-composante 1.2 : Déploiement de l’infrastructure numérique dans les zones rurales </w:t>
      </w:r>
    </w:p>
    <w:p w14:paraId="1D144382" w14:textId="77777777" w:rsidR="00DB4448" w:rsidRPr="00DB4448" w:rsidRDefault="00DB4448" w:rsidP="00DB4448">
      <w:pPr>
        <w:jc w:val="both"/>
        <w:rPr>
          <w:rFonts w:ascii="Arial" w:hAnsi="Arial" w:cs="Arial"/>
        </w:rPr>
      </w:pPr>
      <w:r w:rsidRPr="00DB4448">
        <w:rPr>
          <w:rFonts w:ascii="Arial" w:hAnsi="Arial" w:cs="Arial"/>
        </w:rPr>
        <w:t xml:space="preserve">Le projet financera (i) des études de cartographie et de faisabilité pour l’identification et la priorisation des zones de couverture ; ii) des mécanismes de financement pour encourager les opérateurs de téléphonie mobile et les fournisseurs de services d’infrastructure à étendre </w:t>
      </w:r>
      <w:r w:rsidRPr="00DB4448">
        <w:rPr>
          <w:rFonts w:ascii="Arial" w:hAnsi="Arial" w:cs="Arial"/>
        </w:rPr>
        <w:lastRenderedPageBreak/>
        <w:t>la couverture de réseaux de données (4G ou plus) aux zones non desservies par aucun signal cellulaire mobile (site « greenfield ») et à mettre à niveau les sites cellulaires 2G en 4G+ (site brownfield) ; iii) le recrutement d’un organisme de contrôle indépendant pour garantir le respect des exigences techniques, environnementales et sociales et des niveaux de service pendant les phases de construction et d’exploitation.</w:t>
      </w:r>
    </w:p>
    <w:p w14:paraId="2D6E8E8C" w14:textId="77777777" w:rsidR="00DB4448" w:rsidRPr="00DB4448" w:rsidRDefault="00DB4448" w:rsidP="00DB4448">
      <w:pPr>
        <w:jc w:val="both"/>
        <w:rPr>
          <w:rFonts w:ascii="Arial" w:hAnsi="Arial" w:cs="Arial"/>
        </w:rPr>
      </w:pPr>
      <w:r w:rsidRPr="00DB4448">
        <w:rPr>
          <w:rFonts w:ascii="Arial" w:hAnsi="Arial" w:cs="Arial"/>
        </w:rPr>
        <w:t xml:space="preserve">Il est spécifié que l’infrastructure numérique auquel le projet intervient est constitué par des tours cellulaires munies de stations de base à large bande avec un réseau 4G (ou plus) pouvant couvrir une localité ou plusieurs localités dispersées. Le projet veillera à ce que les infrastructures installées sont économes en énergie et résiliente au changement climatique. </w:t>
      </w:r>
    </w:p>
    <w:p w14:paraId="055F63CF" w14:textId="77777777" w:rsidR="00DB4448" w:rsidRPr="00DB4448" w:rsidRDefault="00DB4448" w:rsidP="00687DD2">
      <w:pPr>
        <w:numPr>
          <w:ilvl w:val="0"/>
          <w:numId w:val="43"/>
        </w:numPr>
        <w:spacing w:before="120" w:line="240" w:lineRule="auto"/>
        <w:ind w:left="1071" w:hanging="357"/>
        <w:jc w:val="both"/>
        <w:rPr>
          <w:rFonts w:ascii="Arial" w:hAnsi="Arial" w:cs="Arial"/>
          <w:i/>
          <w:szCs w:val="20"/>
        </w:rPr>
      </w:pPr>
      <w:r w:rsidRPr="00DB4448">
        <w:rPr>
          <w:rFonts w:ascii="Arial" w:hAnsi="Arial" w:cs="Arial"/>
          <w:i/>
          <w:szCs w:val="20"/>
        </w:rPr>
        <w:t>Sous-composante 1.3 : Mini-réseaux d’énergie renouvelable Greenfield</w:t>
      </w:r>
    </w:p>
    <w:p w14:paraId="3784B299" w14:textId="77777777" w:rsidR="00DB4448" w:rsidRPr="00DB4448" w:rsidRDefault="00DB4448" w:rsidP="00DB4448">
      <w:pPr>
        <w:jc w:val="both"/>
        <w:rPr>
          <w:rFonts w:ascii="Arial" w:hAnsi="Arial" w:cs="Arial"/>
        </w:rPr>
      </w:pPr>
      <w:r w:rsidRPr="00DB4448">
        <w:rPr>
          <w:rFonts w:ascii="Arial" w:hAnsi="Arial" w:cs="Arial"/>
        </w:rPr>
        <w:t>Le projet financera le déploiement de mini-réseaux avec des réseaux BT locaux alimentés par des sources d’énergie renouvelable améliorée (</w:t>
      </w:r>
      <w:r w:rsidR="0007538F">
        <w:rPr>
          <w:rFonts w:ascii="Arial" w:hAnsi="Arial" w:cs="Arial"/>
        </w:rPr>
        <w:t xml:space="preserve">système </w:t>
      </w:r>
      <w:r w:rsidRPr="00DB4448">
        <w:rPr>
          <w:rFonts w:ascii="Arial" w:hAnsi="Arial" w:cs="Arial"/>
        </w:rPr>
        <w:t xml:space="preserve">solaire photovoltaïque avec des batteries </w:t>
      </w:r>
      <w:r w:rsidR="00597782" w:rsidRPr="00742D67">
        <w:rPr>
          <w:rFonts w:ascii="Arial" w:hAnsi="Arial" w:cs="Arial"/>
        </w:rPr>
        <w:t xml:space="preserve">et/ou des barrages </w:t>
      </w:r>
      <w:r w:rsidRPr="00742D67">
        <w:rPr>
          <w:rFonts w:ascii="Arial" w:hAnsi="Arial" w:cs="Arial"/>
        </w:rPr>
        <w:t>hydroélectri</w:t>
      </w:r>
      <w:r w:rsidR="0097266A">
        <w:rPr>
          <w:rFonts w:ascii="Arial" w:hAnsi="Arial" w:cs="Arial"/>
        </w:rPr>
        <w:t>ques</w:t>
      </w:r>
      <w:r w:rsidRPr="00742D67">
        <w:rPr>
          <w:rFonts w:ascii="Arial" w:hAnsi="Arial" w:cs="Arial"/>
        </w:rPr>
        <w:t>)</w:t>
      </w:r>
      <w:r w:rsidRPr="00DB4448">
        <w:rPr>
          <w:rFonts w:ascii="Arial" w:hAnsi="Arial" w:cs="Arial"/>
        </w:rPr>
        <w:t xml:space="preserve"> mis en œuvre par des approches dirigées par le secteur privé.</w:t>
      </w:r>
    </w:p>
    <w:p w14:paraId="78C46C79" w14:textId="77777777" w:rsidR="00DB4448" w:rsidRPr="00DB4448" w:rsidRDefault="00DB4448" w:rsidP="00DB4448">
      <w:pPr>
        <w:jc w:val="both"/>
        <w:rPr>
          <w:rFonts w:ascii="Arial" w:hAnsi="Arial" w:cs="Arial"/>
        </w:rPr>
      </w:pPr>
      <w:r w:rsidRPr="00DB4448">
        <w:rPr>
          <w:rFonts w:ascii="Arial" w:hAnsi="Arial" w:cs="Arial"/>
        </w:rPr>
        <w:t>Le projet assurera des subventions de financement de la viabilité (couverture de l’écart entre les coûts d’installation, d’exploitation et de maintenance (O&amp;M) du système et les tarifs basés sur l’accessibilité financière des utilisateurs, à disposition des auto-producteurs d’énergie pour l’électrification des ménages environnants à partir des excédents d’énergie obtenus).</w:t>
      </w:r>
    </w:p>
    <w:p w14:paraId="22825672" w14:textId="77777777" w:rsidR="00DB4448" w:rsidRPr="00DB4448" w:rsidRDefault="00DB4448" w:rsidP="00DB4448">
      <w:pPr>
        <w:jc w:val="both"/>
        <w:rPr>
          <w:rFonts w:ascii="Arial" w:hAnsi="Arial" w:cs="Arial"/>
        </w:rPr>
      </w:pPr>
      <w:r w:rsidRPr="00DB4448">
        <w:rPr>
          <w:rFonts w:ascii="Arial" w:hAnsi="Arial" w:cs="Arial"/>
        </w:rPr>
        <w:t>Au niveau de cette sous-composante, le projet mènera des programmes d’utilisation productive de l’énergie pour la stimulation de la croissance économique locale en se basant sur l’égalité des sexes.</w:t>
      </w:r>
    </w:p>
    <w:p w14:paraId="7D3B09E2" w14:textId="77777777" w:rsidR="00DB4448" w:rsidRPr="00DB4448" w:rsidRDefault="00DB4448" w:rsidP="0B11C451">
      <w:pPr>
        <w:numPr>
          <w:ilvl w:val="0"/>
          <w:numId w:val="42"/>
        </w:numPr>
        <w:spacing w:before="120" w:line="240" w:lineRule="auto"/>
        <w:ind w:left="714" w:hanging="357"/>
        <w:jc w:val="both"/>
        <w:rPr>
          <w:rFonts w:ascii="Arial" w:hAnsi="Arial" w:cs="Arial"/>
          <w:b/>
          <w:bCs/>
        </w:rPr>
      </w:pPr>
      <w:r w:rsidRPr="0A1598FD">
        <w:rPr>
          <w:rFonts w:ascii="Arial" w:hAnsi="Arial" w:cs="Arial"/>
          <w:b/>
          <w:bCs/>
        </w:rPr>
        <w:t xml:space="preserve">Composante 2 : Amélioration de l’inclusion énergétique et numérique </w:t>
      </w:r>
      <w:r w:rsidR="004A659F" w:rsidRPr="0A1598FD">
        <w:rPr>
          <w:rFonts w:ascii="Arial" w:hAnsi="Arial" w:cs="Arial"/>
          <w:b/>
          <w:bCs/>
        </w:rPr>
        <w:t>(</w:t>
      </w:r>
      <w:r w:rsidR="4DCAFE6A" w:rsidRPr="0A1598FD">
        <w:rPr>
          <w:rFonts w:ascii="Arial" w:hAnsi="Arial" w:cs="Arial"/>
          <w:b/>
          <w:bCs/>
        </w:rPr>
        <w:t>2</w:t>
      </w:r>
      <w:r w:rsidR="0B9AAD57" w:rsidRPr="0A1598FD">
        <w:rPr>
          <w:rFonts w:ascii="Arial" w:hAnsi="Arial" w:cs="Arial"/>
          <w:b/>
          <w:bCs/>
        </w:rPr>
        <w:t>0</w:t>
      </w:r>
      <w:r w:rsidR="004A659F" w:rsidRPr="0A1598FD">
        <w:rPr>
          <w:rFonts w:ascii="Arial" w:hAnsi="Arial" w:cs="Arial"/>
          <w:b/>
          <w:bCs/>
        </w:rPr>
        <w:t>0 millions $US)</w:t>
      </w:r>
    </w:p>
    <w:p w14:paraId="5CF72553" w14:textId="77777777" w:rsidR="00DB4448" w:rsidRPr="00DB4448" w:rsidRDefault="00DB4448" w:rsidP="00DB4448">
      <w:pPr>
        <w:jc w:val="both"/>
        <w:rPr>
          <w:rFonts w:ascii="Arial" w:hAnsi="Arial" w:cs="Arial"/>
        </w:rPr>
      </w:pPr>
      <w:r w:rsidRPr="00DB4448">
        <w:rPr>
          <w:rFonts w:ascii="Arial" w:hAnsi="Arial" w:cs="Arial"/>
        </w:rPr>
        <w:t>L’objectif de cette composante vise à créer un marché de consommation pour les services énergétiques et numériques en veillant à une plus grande inclusion de bénéficiaires au niveau des zone</w:t>
      </w:r>
      <w:r>
        <w:rPr>
          <w:rFonts w:ascii="Arial" w:hAnsi="Arial" w:cs="Arial"/>
        </w:rPr>
        <w:t>s</w:t>
      </w:r>
      <w:r w:rsidRPr="00DB4448">
        <w:rPr>
          <w:rFonts w:ascii="Arial" w:hAnsi="Arial" w:cs="Arial"/>
        </w:rPr>
        <w:t xml:space="preserve"> cibles définies dans la composante 1. Plus spécifiquement, les activités générées par la composante visent à une plus grande adoption d’utilisation en traitant les problèmes d’accès au numérique et à l’énergie autres que l’aspect défaillance/absence d’infrastructures. Cette composante 2 s’articulera sur 3 sous-composantes :</w:t>
      </w:r>
    </w:p>
    <w:p w14:paraId="105FD5AB" w14:textId="77777777" w:rsidR="00DB4448" w:rsidRPr="00DB4448" w:rsidRDefault="00DB4448" w:rsidP="00687DD2">
      <w:pPr>
        <w:numPr>
          <w:ilvl w:val="0"/>
          <w:numId w:val="43"/>
        </w:numPr>
        <w:spacing w:before="120" w:line="240" w:lineRule="auto"/>
        <w:ind w:left="1071" w:hanging="357"/>
        <w:jc w:val="both"/>
        <w:rPr>
          <w:rFonts w:ascii="Arial" w:hAnsi="Arial" w:cs="Arial"/>
          <w:i/>
          <w:szCs w:val="20"/>
        </w:rPr>
      </w:pPr>
      <w:r w:rsidRPr="00DB4448">
        <w:rPr>
          <w:rFonts w:ascii="Arial" w:hAnsi="Arial" w:cs="Arial"/>
          <w:i/>
          <w:szCs w:val="20"/>
        </w:rPr>
        <w:t>Sous-composante 2.1: Appareils solaires et numériques hors réseau abordables pour les communautés mal desservies et les groupes vulnérables</w:t>
      </w:r>
    </w:p>
    <w:p w14:paraId="4794C5E8" w14:textId="77777777" w:rsidR="00DB4448" w:rsidRPr="00DB4448" w:rsidRDefault="00DB4448" w:rsidP="00DB4448">
      <w:pPr>
        <w:jc w:val="both"/>
        <w:rPr>
          <w:rFonts w:ascii="Arial" w:hAnsi="Arial" w:cs="Arial"/>
        </w:rPr>
      </w:pPr>
      <w:r w:rsidRPr="00DB4448">
        <w:rPr>
          <w:rFonts w:ascii="Arial" w:hAnsi="Arial" w:cs="Arial"/>
        </w:rPr>
        <w:t>Cette sous-composante facilitera l’accès à une plus grande appropriation des produits TSHR (exemples lampe solaire, chargeur solaire …) et des appareils numériques abordables (exemples</w:t>
      </w:r>
      <w:r w:rsidR="004A1EC7">
        <w:rPr>
          <w:rFonts w:ascii="Arial" w:hAnsi="Arial" w:cs="Arial"/>
        </w:rPr>
        <w:t xml:space="preserve"> : </w:t>
      </w:r>
      <w:r w:rsidRPr="00DB4448">
        <w:rPr>
          <w:rFonts w:ascii="Arial" w:hAnsi="Arial" w:cs="Arial"/>
        </w:rPr>
        <w:t>téléphones de fonction, smartphone de base, etc.) via des solutions de financement approprié</w:t>
      </w:r>
      <w:r w:rsidR="009758F4">
        <w:rPr>
          <w:rFonts w:ascii="Arial" w:hAnsi="Arial" w:cs="Arial"/>
        </w:rPr>
        <w:t>es</w:t>
      </w:r>
      <w:r w:rsidRPr="00DB4448">
        <w:rPr>
          <w:rFonts w:ascii="Arial" w:hAnsi="Arial" w:cs="Arial"/>
        </w:rPr>
        <w:t xml:space="preserve"> (subventions, crédits pour fonds de roulement, FAR, etc.). Dans cette optique, le projet appuiera le FDMHR</w:t>
      </w:r>
      <w:r w:rsidRPr="00F966B6">
        <w:rPr>
          <w:rFonts w:ascii="Arial" w:hAnsi="Arial"/>
          <w:vertAlign w:val="superscript"/>
        </w:rPr>
        <w:footnoteReference w:id="12"/>
      </w:r>
      <w:r w:rsidRPr="00DB4448">
        <w:rPr>
          <w:rFonts w:ascii="Arial" w:hAnsi="Arial" w:cs="Arial"/>
        </w:rPr>
        <w:t xml:space="preserve"> pour étendre leurs zones d’intervention et procédera à revoir son fonctionnement pour inclure des entreprises non TSHR. </w:t>
      </w:r>
    </w:p>
    <w:p w14:paraId="31792561" w14:textId="77777777" w:rsidR="00DB4448" w:rsidRPr="00DB4448" w:rsidRDefault="00DB4448" w:rsidP="00DB4448">
      <w:pPr>
        <w:jc w:val="both"/>
        <w:rPr>
          <w:rFonts w:ascii="Arial" w:hAnsi="Arial" w:cs="Arial"/>
        </w:rPr>
      </w:pPr>
      <w:r w:rsidRPr="00DB4448">
        <w:rPr>
          <w:rFonts w:ascii="Arial" w:hAnsi="Arial" w:cs="Arial"/>
        </w:rPr>
        <w:lastRenderedPageBreak/>
        <w:t>Le projet soutiendra des subventions axées sur les résultats pour l’adoption (i) d’équipements d’utilisation productive (EU</w:t>
      </w:r>
      <w:r w:rsidR="004A1EC7">
        <w:rPr>
          <w:rFonts w:ascii="Arial" w:hAnsi="Arial" w:cs="Arial"/>
        </w:rPr>
        <w:t>P</w:t>
      </w:r>
      <w:r w:rsidR="00474262">
        <w:rPr>
          <w:rFonts w:ascii="Arial" w:hAnsi="Arial" w:cs="Arial"/>
        </w:rPr>
        <w:t>)</w:t>
      </w:r>
      <w:r w:rsidRPr="00DB4448">
        <w:rPr>
          <w:rFonts w:ascii="Arial" w:hAnsi="Arial" w:cs="Arial"/>
        </w:rPr>
        <w:t xml:space="preserve"> et d’appareils TIC (ordinateurs portables, tablettes) avec une attention spécifique pour les groupes de femmes ayant une intention de créer une entreprise, (ii) d’équipements de production hors réseau fonctionnant à l’énergie solaire (irrigation et pompage solaire, chambre froide, meunerie, etc.).</w:t>
      </w:r>
    </w:p>
    <w:p w14:paraId="0F9BDAC0" w14:textId="77777777" w:rsidR="00DB4448" w:rsidRPr="00DB4448" w:rsidRDefault="00DB4448" w:rsidP="00687DD2">
      <w:pPr>
        <w:numPr>
          <w:ilvl w:val="0"/>
          <w:numId w:val="43"/>
        </w:numPr>
        <w:spacing w:before="120" w:line="240" w:lineRule="auto"/>
        <w:ind w:left="1071" w:hanging="357"/>
        <w:jc w:val="both"/>
        <w:rPr>
          <w:rFonts w:ascii="Arial" w:hAnsi="Arial" w:cs="Arial"/>
          <w:i/>
          <w:szCs w:val="20"/>
        </w:rPr>
      </w:pPr>
      <w:r w:rsidRPr="00DB4448">
        <w:rPr>
          <w:rFonts w:ascii="Arial" w:hAnsi="Arial" w:cs="Arial"/>
          <w:i/>
          <w:szCs w:val="20"/>
        </w:rPr>
        <w:t>Sous-composante 2.2 : Alphabétisation et sensibilisation au numérique</w:t>
      </w:r>
    </w:p>
    <w:p w14:paraId="6923A96D" w14:textId="77777777" w:rsidR="00DB4448" w:rsidRPr="00DB4448" w:rsidRDefault="00DB4448" w:rsidP="00DB4448">
      <w:pPr>
        <w:jc w:val="both"/>
        <w:rPr>
          <w:rFonts w:ascii="Arial" w:hAnsi="Arial" w:cs="Arial"/>
        </w:rPr>
      </w:pPr>
      <w:r w:rsidRPr="00DB4448">
        <w:rPr>
          <w:rFonts w:ascii="Arial" w:hAnsi="Arial" w:cs="Arial"/>
        </w:rPr>
        <w:t>Pour acquérir et améliorer les compétences numériques, les activités de cette sous-composante sont axées sur (i) la mise en œuvre de programme d’alphabétisation numérique et de formation aux services numériques pour l’ensemble de la population et plus particulièrement pour les jeunes et les groupes vulnérables (jeunes filles et les femmes, les personnes âgées, les personnes handicapées, etc.), (ii) le déploiement de campagne nationale de sensibilisation pour une plus grande connaissance des services numériques et des opportunités qu’ils offrent sur le développement économique et social.</w:t>
      </w:r>
    </w:p>
    <w:p w14:paraId="1827A4D9" w14:textId="77777777" w:rsidR="00DB4448" w:rsidRPr="00DB4448" w:rsidRDefault="00DB4448" w:rsidP="00DB4448">
      <w:pPr>
        <w:jc w:val="both"/>
        <w:rPr>
          <w:rFonts w:ascii="Arial" w:hAnsi="Arial" w:cs="Arial"/>
        </w:rPr>
      </w:pPr>
      <w:r w:rsidRPr="00DB4448">
        <w:rPr>
          <w:rFonts w:ascii="Arial" w:hAnsi="Arial" w:cs="Arial"/>
        </w:rPr>
        <w:t>Pour le secteur énergie, la sous-composante financera des campagnes ciblées d’éducation de la population pour les informer et les former sur les énergies renouvelables et les possibilités offertes par l’éclairage moderne hors réseau.</w:t>
      </w:r>
    </w:p>
    <w:p w14:paraId="43EBE209" w14:textId="77777777" w:rsidR="00DB4448" w:rsidRPr="00DB4448" w:rsidRDefault="00DB4448" w:rsidP="00DB4448">
      <w:pPr>
        <w:jc w:val="both"/>
        <w:rPr>
          <w:rFonts w:ascii="Arial" w:hAnsi="Arial" w:cs="Arial"/>
        </w:rPr>
      </w:pPr>
      <w:r w:rsidRPr="00DB4448">
        <w:rPr>
          <w:rFonts w:ascii="Arial" w:hAnsi="Arial" w:cs="Arial"/>
        </w:rPr>
        <w:t>Le projet mettra en œuvre des programmes et des approches pour l’éducation, la formation et la sensibilisation adaptés aux différents groupes d’utilisateurs, en tenant compte des spécificités régionales et initiés dans les langues locales. Des dispositions spécifiques seront prises à l’endroit des femmes et des jeunes filles pour combler la différence de capacité de compétence entre les hommes et les femmes et pour qu’elles se sentent en sécurité. Les dispositions concernent le choix des lieux, l’intégration de formatrices et d’animatrices, l’adaptation des contenus/programmes aux besoins des femmes.</w:t>
      </w:r>
    </w:p>
    <w:p w14:paraId="4B4B5EDE" w14:textId="77777777" w:rsidR="00DB4448" w:rsidRPr="00DB4448" w:rsidRDefault="00DB4448" w:rsidP="00687DD2">
      <w:pPr>
        <w:numPr>
          <w:ilvl w:val="0"/>
          <w:numId w:val="43"/>
        </w:numPr>
        <w:spacing w:before="120" w:line="240" w:lineRule="auto"/>
        <w:ind w:left="1071" w:hanging="357"/>
        <w:jc w:val="both"/>
        <w:rPr>
          <w:rFonts w:ascii="Arial" w:hAnsi="Arial" w:cs="Arial"/>
          <w:i/>
          <w:szCs w:val="20"/>
        </w:rPr>
      </w:pPr>
      <w:r w:rsidRPr="00DB4448">
        <w:rPr>
          <w:rFonts w:ascii="Arial" w:hAnsi="Arial" w:cs="Arial"/>
          <w:i/>
          <w:szCs w:val="20"/>
        </w:rPr>
        <w:t>Sous-composante 2.3 : Connexion solaire et à large bande hors réseau pour les institutions publiques, y compris les écoles et les centres de santé</w:t>
      </w:r>
    </w:p>
    <w:p w14:paraId="25833E32" w14:textId="77777777" w:rsidR="00DB4448" w:rsidRPr="00DB4448" w:rsidRDefault="00DB4448" w:rsidP="00DB4448">
      <w:pPr>
        <w:jc w:val="both"/>
        <w:rPr>
          <w:rFonts w:ascii="Arial" w:hAnsi="Arial" w:cs="Arial"/>
        </w:rPr>
      </w:pPr>
      <w:r w:rsidRPr="00DB4448">
        <w:rPr>
          <w:rFonts w:ascii="Arial" w:hAnsi="Arial" w:cs="Arial"/>
        </w:rPr>
        <w:t>Au niveau de cette sous-composante, le projet financera l’installation de la connectivité énergétique et numérique aux infrastructures publiques non connectées ou mal desservies telles que les établissements scolaires et les centres de santé de base. Les activités du projet soutiendront la fourniture de services TSHR et de connectivité à large bande, la formation de personnels techniques des institutions connectées dans la gestion et la maintenance des réseaux.</w:t>
      </w:r>
    </w:p>
    <w:p w14:paraId="36F5CBF2" w14:textId="77777777" w:rsidR="00DB4448" w:rsidRPr="00DB4448" w:rsidRDefault="00DB4448" w:rsidP="00DB4448">
      <w:pPr>
        <w:jc w:val="both"/>
        <w:rPr>
          <w:rFonts w:ascii="Arial" w:hAnsi="Arial" w:cs="Arial"/>
        </w:rPr>
      </w:pPr>
      <w:r w:rsidRPr="00DB4448">
        <w:rPr>
          <w:rFonts w:ascii="Arial" w:hAnsi="Arial" w:cs="Arial"/>
        </w:rPr>
        <w:t>Le projet appuiera l’expansion de la connectivité du dernier kilomètre pour les points d’accès Wi-Fi publics gratuits (écoles, bureau</w:t>
      </w:r>
      <w:r w:rsidR="004A1EC7">
        <w:rPr>
          <w:rFonts w:ascii="Arial" w:hAnsi="Arial" w:cs="Arial"/>
        </w:rPr>
        <w:t>x</w:t>
      </w:r>
      <w:r w:rsidRPr="00DB4448">
        <w:rPr>
          <w:rFonts w:ascii="Arial" w:hAnsi="Arial" w:cs="Arial"/>
        </w:rPr>
        <w:t xml:space="preserve"> de poste, gares routières et autres installations communautaires). Il interviendra également dans l’élargissement du projet Hotspot existant du MNPDT.</w:t>
      </w:r>
    </w:p>
    <w:p w14:paraId="0E9DDD35" w14:textId="77777777" w:rsidR="00DB4448" w:rsidRPr="00DB4448" w:rsidRDefault="00DB4448" w:rsidP="0B11C451">
      <w:pPr>
        <w:numPr>
          <w:ilvl w:val="0"/>
          <w:numId w:val="42"/>
        </w:numPr>
        <w:spacing w:before="120" w:line="240" w:lineRule="auto"/>
        <w:ind w:left="714" w:hanging="357"/>
        <w:jc w:val="both"/>
        <w:rPr>
          <w:rFonts w:ascii="Arial" w:hAnsi="Arial" w:cs="Arial"/>
          <w:b/>
          <w:bCs/>
        </w:rPr>
      </w:pPr>
      <w:r w:rsidRPr="48B05EC0">
        <w:rPr>
          <w:rFonts w:ascii="Arial" w:hAnsi="Arial" w:cs="Arial"/>
          <w:b/>
          <w:bCs/>
        </w:rPr>
        <w:t>Composante 3 : Soutien de l’environnement favorable à l’énergie verte et à l’infrastructure numérique</w:t>
      </w:r>
      <w:r w:rsidR="00DD1372" w:rsidRPr="48B05EC0">
        <w:rPr>
          <w:rFonts w:ascii="Arial" w:hAnsi="Arial" w:cs="Arial"/>
          <w:b/>
          <w:bCs/>
        </w:rPr>
        <w:t xml:space="preserve"> </w:t>
      </w:r>
      <w:r w:rsidR="004A659F" w:rsidRPr="48B05EC0">
        <w:rPr>
          <w:rFonts w:ascii="Arial" w:hAnsi="Arial" w:cs="Arial"/>
          <w:b/>
          <w:bCs/>
        </w:rPr>
        <w:t xml:space="preserve"> (2</w:t>
      </w:r>
      <w:r w:rsidR="5A2046E2" w:rsidRPr="48B05EC0">
        <w:rPr>
          <w:rFonts w:ascii="Arial" w:hAnsi="Arial" w:cs="Arial"/>
          <w:b/>
          <w:bCs/>
        </w:rPr>
        <w:t>0</w:t>
      </w:r>
      <w:r w:rsidR="004A659F" w:rsidRPr="48B05EC0">
        <w:rPr>
          <w:rFonts w:ascii="Arial" w:hAnsi="Arial" w:cs="Arial"/>
          <w:b/>
          <w:bCs/>
        </w:rPr>
        <w:t xml:space="preserve"> millions $US)</w:t>
      </w:r>
    </w:p>
    <w:p w14:paraId="593BE902" w14:textId="77777777" w:rsidR="00DB4448" w:rsidRPr="00DB4448" w:rsidRDefault="00DB4448" w:rsidP="00DB4448">
      <w:pPr>
        <w:jc w:val="both"/>
        <w:rPr>
          <w:rFonts w:ascii="Arial" w:hAnsi="Arial" w:cs="Arial"/>
        </w:rPr>
      </w:pPr>
      <w:r w:rsidRPr="00DB4448">
        <w:rPr>
          <w:rFonts w:ascii="Arial" w:hAnsi="Arial" w:cs="Arial"/>
        </w:rPr>
        <w:t xml:space="preserve">Cette composante vise à renforcer l’environnement politique, juridique et règlementaire dans les secteurs du numérique et de l’énergie afin de maximiser le succès, l’efficacité et la </w:t>
      </w:r>
      <w:r w:rsidRPr="00DB4448">
        <w:rPr>
          <w:rFonts w:ascii="Arial" w:hAnsi="Arial" w:cs="Arial"/>
        </w:rPr>
        <w:lastRenderedPageBreak/>
        <w:t>durabilité des activités générées par les composantes 1 et 2. Spécifiquement, des séries de réformes prioritaires ainsi que le soutien à l’atténuation au changement climatique et à la capacité d’adaptation seront mises en évidence. La composante 3 comportera trois sous-composantes :</w:t>
      </w:r>
    </w:p>
    <w:p w14:paraId="6A66D8C0" w14:textId="77777777" w:rsidR="00DB4448" w:rsidRPr="00DB4448" w:rsidRDefault="00DB4448" w:rsidP="00687DD2">
      <w:pPr>
        <w:numPr>
          <w:ilvl w:val="0"/>
          <w:numId w:val="43"/>
        </w:numPr>
        <w:spacing w:before="120" w:line="240" w:lineRule="auto"/>
        <w:ind w:left="1071" w:hanging="357"/>
        <w:jc w:val="both"/>
        <w:rPr>
          <w:rFonts w:ascii="Arial" w:hAnsi="Arial" w:cs="Arial"/>
          <w:i/>
          <w:szCs w:val="20"/>
        </w:rPr>
      </w:pPr>
      <w:r w:rsidRPr="00DB4448">
        <w:rPr>
          <w:rFonts w:ascii="Arial" w:hAnsi="Arial" w:cs="Arial"/>
          <w:i/>
          <w:szCs w:val="20"/>
        </w:rPr>
        <w:t>Sous-composante 3.1 : Appui aux réformes du secteur numérique</w:t>
      </w:r>
    </w:p>
    <w:p w14:paraId="06963497" w14:textId="77777777" w:rsidR="00DB4448" w:rsidRPr="00DB4448" w:rsidRDefault="00DB4448" w:rsidP="00DB4448">
      <w:pPr>
        <w:jc w:val="both"/>
        <w:rPr>
          <w:rFonts w:ascii="Arial" w:hAnsi="Arial" w:cs="Arial"/>
        </w:rPr>
      </w:pPr>
      <w:r w:rsidRPr="00DB4448">
        <w:rPr>
          <w:rFonts w:ascii="Arial" w:hAnsi="Arial" w:cs="Arial"/>
        </w:rPr>
        <w:t>Cette sous-composante soutiendra l’adoption et la mise en œuvre de réformes dans le secteur numérique en partant du principe de la libéralisation de l’infrastructure numérique combinée à une règlementation indépendante et efficace du secteur.</w:t>
      </w:r>
    </w:p>
    <w:p w14:paraId="4B6C3B7A" w14:textId="77777777" w:rsidR="00DB4448" w:rsidRPr="00DB4448" w:rsidRDefault="00DB4448" w:rsidP="00DB4448">
      <w:pPr>
        <w:jc w:val="both"/>
        <w:rPr>
          <w:rFonts w:ascii="Arial" w:hAnsi="Arial" w:cs="Arial"/>
        </w:rPr>
      </w:pPr>
      <w:r w:rsidRPr="00DB4448">
        <w:rPr>
          <w:rFonts w:ascii="Arial" w:hAnsi="Arial" w:cs="Arial"/>
        </w:rPr>
        <w:t>Les interventions du projet se traduisent par :</w:t>
      </w:r>
    </w:p>
    <w:p w14:paraId="1232A11F" w14:textId="77777777" w:rsidR="00DB4448" w:rsidRPr="00DB4448" w:rsidRDefault="00DB4448" w:rsidP="00687DD2">
      <w:pPr>
        <w:pStyle w:val="Paragraphedeliste"/>
        <w:numPr>
          <w:ilvl w:val="0"/>
          <w:numId w:val="44"/>
        </w:numPr>
        <w:spacing w:before="100" w:beforeAutospacing="1" w:after="100" w:afterAutospacing="1" w:line="240" w:lineRule="auto"/>
        <w:jc w:val="both"/>
        <w:rPr>
          <w:rFonts w:ascii="Arial" w:hAnsi="Arial" w:cs="Arial"/>
          <w:szCs w:val="20"/>
        </w:rPr>
      </w:pPr>
      <w:r w:rsidRPr="00DB4448">
        <w:rPr>
          <w:rFonts w:ascii="Arial" w:hAnsi="Arial" w:cs="Arial"/>
          <w:szCs w:val="20"/>
        </w:rPr>
        <w:t>L’assistance technique pour soutenir la révision du cadre juridique et réglementaire, plus particulièrement sur les questions ci-après : la suppression des exclusivités pour la construction et la commercialisation de l’infrastructure numérique ; la concurrence, le pouvoir significatif sur le marché (PSM) ; l’octroi de licence ; le renforcement de la protection des utilisateurs</w:t>
      </w:r>
      <w:r w:rsidR="00AD1D93">
        <w:rPr>
          <w:rFonts w:ascii="Arial" w:hAnsi="Arial" w:cs="Arial"/>
          <w:szCs w:val="20"/>
        </w:rPr>
        <w:t> ;</w:t>
      </w:r>
    </w:p>
    <w:p w14:paraId="3B5BE805" w14:textId="77777777" w:rsidR="00DB4448" w:rsidRPr="00DB4448" w:rsidRDefault="00DB4448" w:rsidP="00687DD2">
      <w:pPr>
        <w:pStyle w:val="Paragraphedeliste"/>
        <w:numPr>
          <w:ilvl w:val="0"/>
          <w:numId w:val="44"/>
        </w:numPr>
        <w:spacing w:before="100" w:beforeAutospacing="1" w:after="100" w:afterAutospacing="1" w:line="240" w:lineRule="auto"/>
        <w:jc w:val="both"/>
        <w:rPr>
          <w:rFonts w:ascii="Arial" w:hAnsi="Arial" w:cs="Arial"/>
          <w:szCs w:val="20"/>
        </w:rPr>
      </w:pPr>
      <w:r w:rsidRPr="00DB4448">
        <w:rPr>
          <w:rFonts w:ascii="Arial" w:hAnsi="Arial" w:cs="Arial"/>
          <w:szCs w:val="20"/>
        </w:rPr>
        <w:t>L’assistance technique pour renforcer l’ARTEC afin que cet organisme de régulation dispose de meilleures ressources et de pouvoirs d’exécution efficaces ;</w:t>
      </w:r>
    </w:p>
    <w:p w14:paraId="4FE0E5C7" w14:textId="77777777" w:rsidR="00DB4448" w:rsidRPr="00DB4448" w:rsidRDefault="00DB4448" w:rsidP="00687DD2">
      <w:pPr>
        <w:pStyle w:val="Paragraphedeliste"/>
        <w:numPr>
          <w:ilvl w:val="0"/>
          <w:numId w:val="44"/>
        </w:numPr>
        <w:spacing w:before="100" w:beforeAutospacing="1" w:after="100" w:afterAutospacing="1" w:line="240" w:lineRule="auto"/>
        <w:jc w:val="both"/>
        <w:rPr>
          <w:rFonts w:ascii="Arial" w:hAnsi="Arial" w:cs="Arial"/>
          <w:szCs w:val="20"/>
        </w:rPr>
      </w:pPr>
      <w:r w:rsidRPr="00DB4448">
        <w:rPr>
          <w:rFonts w:ascii="Arial" w:hAnsi="Arial" w:cs="Arial"/>
          <w:szCs w:val="20"/>
        </w:rPr>
        <w:t>L’assistance technique pour renforcer le FDTIC afin que le Fonds puisse jouer son rôle dans l’élargissement de l’accès aux TIC</w:t>
      </w:r>
      <w:r w:rsidR="004A1EC7">
        <w:rPr>
          <w:rFonts w:ascii="Arial" w:hAnsi="Arial" w:cs="Arial"/>
          <w:szCs w:val="20"/>
        </w:rPr>
        <w:t>s</w:t>
      </w:r>
      <w:r w:rsidRPr="00DB4448">
        <w:rPr>
          <w:rFonts w:ascii="Arial" w:hAnsi="Arial" w:cs="Arial"/>
          <w:szCs w:val="20"/>
        </w:rPr>
        <w:t> ;</w:t>
      </w:r>
    </w:p>
    <w:p w14:paraId="01DBD498" w14:textId="77777777" w:rsidR="00DB4448" w:rsidRPr="00DB4448" w:rsidRDefault="00DB4448" w:rsidP="00687DD2">
      <w:pPr>
        <w:pStyle w:val="Paragraphedeliste"/>
        <w:numPr>
          <w:ilvl w:val="0"/>
          <w:numId w:val="44"/>
        </w:numPr>
        <w:spacing w:before="240" w:beforeAutospacing="1" w:after="240" w:afterAutospacing="1" w:line="240" w:lineRule="auto"/>
        <w:jc w:val="both"/>
        <w:rPr>
          <w:rFonts w:ascii="Arial" w:hAnsi="Arial" w:cs="Arial"/>
          <w:szCs w:val="20"/>
        </w:rPr>
      </w:pPr>
      <w:r w:rsidRPr="00DB4448">
        <w:rPr>
          <w:rFonts w:ascii="Arial" w:hAnsi="Arial" w:cs="Arial"/>
          <w:szCs w:val="20"/>
        </w:rPr>
        <w:t>L’assistance technique pour évaluer des options et de l’impact des stratégies politiques et règlementaires visant à rendre les appareils numériques plus abordables ;</w:t>
      </w:r>
    </w:p>
    <w:p w14:paraId="697781C4" w14:textId="77777777" w:rsidR="00DB4448" w:rsidRPr="00DB4448" w:rsidRDefault="00DB4448" w:rsidP="00687DD2">
      <w:pPr>
        <w:pStyle w:val="Paragraphedeliste"/>
        <w:numPr>
          <w:ilvl w:val="0"/>
          <w:numId w:val="44"/>
        </w:numPr>
        <w:spacing w:before="240" w:beforeAutospacing="1" w:after="240" w:afterAutospacing="1" w:line="240" w:lineRule="auto"/>
        <w:jc w:val="both"/>
        <w:rPr>
          <w:rFonts w:ascii="Arial" w:hAnsi="Arial" w:cs="Arial"/>
          <w:szCs w:val="20"/>
        </w:rPr>
      </w:pPr>
      <w:r w:rsidRPr="00DB4448">
        <w:rPr>
          <w:rFonts w:ascii="Arial" w:hAnsi="Arial" w:cs="Arial"/>
          <w:szCs w:val="20"/>
        </w:rPr>
        <w:t>L’assistance technique pour promouvoir la mise en commun et le partage des infrastructures entre les secteurs.</w:t>
      </w:r>
    </w:p>
    <w:p w14:paraId="28BA1F0A" w14:textId="77777777" w:rsidR="00DB4448" w:rsidRPr="00DB4448" w:rsidRDefault="00DB4448" w:rsidP="00687DD2">
      <w:pPr>
        <w:numPr>
          <w:ilvl w:val="0"/>
          <w:numId w:val="43"/>
        </w:numPr>
        <w:spacing w:before="120" w:line="240" w:lineRule="auto"/>
        <w:ind w:left="1071" w:hanging="357"/>
        <w:jc w:val="both"/>
        <w:rPr>
          <w:rFonts w:ascii="Arial" w:hAnsi="Arial" w:cs="Arial"/>
          <w:i/>
          <w:szCs w:val="20"/>
        </w:rPr>
      </w:pPr>
      <w:r w:rsidRPr="00DB4448">
        <w:rPr>
          <w:rFonts w:ascii="Arial" w:hAnsi="Arial" w:cs="Arial"/>
          <w:i/>
          <w:szCs w:val="20"/>
        </w:rPr>
        <w:t xml:space="preserve">Sous-composante 3.2 : </w:t>
      </w:r>
      <w:r w:rsidRPr="00DB4448">
        <w:rPr>
          <w:rFonts w:ascii="Arial" w:hAnsi="Arial" w:cs="Arial"/>
          <w:i/>
          <w:szCs w:val="20"/>
        </w:rPr>
        <w:tab/>
        <w:t>Appui aux réformes du secteur de l’énergie</w:t>
      </w:r>
    </w:p>
    <w:p w14:paraId="07457D28" w14:textId="77777777" w:rsidR="00DB4448" w:rsidRPr="00DB4448" w:rsidRDefault="00DB4448" w:rsidP="00DB4448">
      <w:pPr>
        <w:jc w:val="both"/>
        <w:rPr>
          <w:rFonts w:ascii="Arial" w:hAnsi="Arial" w:cs="Arial"/>
        </w:rPr>
      </w:pPr>
      <w:r w:rsidRPr="00DB4448">
        <w:rPr>
          <w:rFonts w:ascii="Arial" w:hAnsi="Arial" w:cs="Arial"/>
        </w:rPr>
        <w:t>Cette sous-composante appuiera la mise en œuvre des r</w:t>
      </w:r>
      <w:r w:rsidR="00474262">
        <w:rPr>
          <w:rFonts w:ascii="Arial" w:hAnsi="Arial" w:cs="Arial"/>
        </w:rPr>
        <w:t>é</w:t>
      </w:r>
      <w:r w:rsidRPr="00DB4448">
        <w:rPr>
          <w:rFonts w:ascii="Arial" w:hAnsi="Arial" w:cs="Arial"/>
        </w:rPr>
        <w:t xml:space="preserve">formes sur le secteur énergie portant sur la révision des textes, l’amélioration des performances financières et opérationnelles de la JIRAMA et le renforcement des autres institutions sectorielles. </w:t>
      </w:r>
    </w:p>
    <w:p w14:paraId="0FDF15B1" w14:textId="77777777" w:rsidR="00DB4448" w:rsidRPr="00DB4448" w:rsidRDefault="00DB4448" w:rsidP="00DB4448">
      <w:pPr>
        <w:jc w:val="both"/>
        <w:rPr>
          <w:rFonts w:ascii="Arial" w:hAnsi="Arial" w:cs="Arial"/>
        </w:rPr>
      </w:pPr>
      <w:r w:rsidRPr="00DB4448">
        <w:rPr>
          <w:rFonts w:ascii="Arial" w:hAnsi="Arial" w:cs="Arial"/>
        </w:rPr>
        <w:t>Les actions du projet fournissent de l’assistance technique au niveau de chaque institution telle que :</w:t>
      </w:r>
    </w:p>
    <w:p w14:paraId="7C4FD694" w14:textId="77777777" w:rsidR="00DB4448" w:rsidRPr="00DB4448" w:rsidRDefault="00DB4448" w:rsidP="00687DD2">
      <w:pPr>
        <w:pStyle w:val="Paragraphedeliste"/>
        <w:numPr>
          <w:ilvl w:val="0"/>
          <w:numId w:val="45"/>
        </w:numPr>
        <w:spacing w:before="100" w:beforeAutospacing="1" w:after="100" w:afterAutospacing="1" w:line="240" w:lineRule="auto"/>
        <w:jc w:val="both"/>
        <w:rPr>
          <w:rFonts w:ascii="Arial" w:hAnsi="Arial" w:cs="Arial"/>
          <w:szCs w:val="20"/>
        </w:rPr>
      </w:pPr>
      <w:r w:rsidRPr="00DB4448">
        <w:rPr>
          <w:rFonts w:ascii="Arial" w:hAnsi="Arial" w:cs="Arial"/>
          <w:szCs w:val="20"/>
        </w:rPr>
        <w:t>Au niveau du Ministère en charge de l’énergie :</w:t>
      </w:r>
    </w:p>
    <w:p w14:paraId="1DE7DD36" w14:textId="77777777" w:rsidR="00DB4448" w:rsidRPr="00DB4448" w:rsidRDefault="00DB4448" w:rsidP="00687DD2">
      <w:pPr>
        <w:pStyle w:val="Paragraphedeliste"/>
        <w:numPr>
          <w:ilvl w:val="0"/>
          <w:numId w:val="44"/>
        </w:numPr>
        <w:spacing w:before="100" w:beforeAutospacing="1" w:after="100" w:afterAutospacing="1" w:line="240" w:lineRule="auto"/>
        <w:jc w:val="both"/>
        <w:rPr>
          <w:rFonts w:ascii="Arial" w:hAnsi="Arial" w:cs="Arial"/>
          <w:szCs w:val="20"/>
        </w:rPr>
      </w:pPr>
      <w:r w:rsidRPr="00DB4448">
        <w:rPr>
          <w:rFonts w:ascii="Arial" w:hAnsi="Arial" w:cs="Arial"/>
          <w:szCs w:val="20"/>
        </w:rPr>
        <w:t>L’assistance technique pour des études sectorielles et évaluations techniques dont la mise à jour du LCDP ;</w:t>
      </w:r>
    </w:p>
    <w:p w14:paraId="631E1464" w14:textId="77777777" w:rsidR="00DB4448" w:rsidRPr="00DB4448" w:rsidRDefault="00DB4448" w:rsidP="00687DD2">
      <w:pPr>
        <w:pStyle w:val="Paragraphedeliste"/>
        <w:numPr>
          <w:ilvl w:val="0"/>
          <w:numId w:val="44"/>
        </w:numPr>
        <w:spacing w:before="100" w:beforeAutospacing="1" w:after="100" w:afterAutospacing="1" w:line="240" w:lineRule="auto"/>
        <w:jc w:val="both"/>
        <w:rPr>
          <w:rFonts w:ascii="Arial" w:hAnsi="Arial" w:cs="Arial"/>
          <w:szCs w:val="20"/>
        </w:rPr>
      </w:pPr>
      <w:r w:rsidRPr="00DB4448">
        <w:rPr>
          <w:rFonts w:ascii="Arial" w:hAnsi="Arial" w:cs="Arial"/>
          <w:szCs w:val="20"/>
        </w:rPr>
        <w:t>L’assistance technique pour des études de soutien aux r</w:t>
      </w:r>
      <w:r w:rsidR="00474262">
        <w:rPr>
          <w:rFonts w:ascii="Arial" w:hAnsi="Arial" w:cs="Arial"/>
          <w:szCs w:val="20"/>
        </w:rPr>
        <w:t>é</w:t>
      </w:r>
      <w:r w:rsidRPr="00DB4448">
        <w:rPr>
          <w:rFonts w:ascii="Arial" w:hAnsi="Arial" w:cs="Arial"/>
          <w:szCs w:val="20"/>
        </w:rPr>
        <w:t>formes institutionnelles du secteur (options de restructuration du JIRAMA, évaluations du rôle du régulateur, structure institutionnelle pour l’électrification rurale, rôles et responsabilités des institutions du secteur, renforcement de capacité des institutions du secteur</w:t>
      </w:r>
      <w:r w:rsidR="004A1EC7">
        <w:rPr>
          <w:rFonts w:ascii="Arial" w:hAnsi="Arial" w:cs="Arial"/>
          <w:szCs w:val="20"/>
        </w:rPr>
        <w:t>)</w:t>
      </w:r>
      <w:r w:rsidRPr="00DB4448">
        <w:rPr>
          <w:rFonts w:ascii="Arial" w:hAnsi="Arial" w:cs="Arial"/>
          <w:szCs w:val="20"/>
        </w:rPr>
        <w:t> ;</w:t>
      </w:r>
    </w:p>
    <w:p w14:paraId="14012DE0" w14:textId="77777777" w:rsidR="0046147D" w:rsidRPr="00F01166" w:rsidRDefault="00DB4448" w:rsidP="00F01166">
      <w:pPr>
        <w:pStyle w:val="Paragraphedeliste"/>
        <w:numPr>
          <w:ilvl w:val="0"/>
          <w:numId w:val="44"/>
        </w:numPr>
        <w:spacing w:before="100" w:beforeAutospacing="1" w:after="100" w:afterAutospacing="1" w:line="240" w:lineRule="auto"/>
        <w:contextualSpacing w:val="0"/>
        <w:jc w:val="both"/>
        <w:rPr>
          <w:rFonts w:ascii="Arial" w:hAnsi="Arial" w:cs="Arial"/>
          <w:szCs w:val="20"/>
        </w:rPr>
      </w:pPr>
      <w:r w:rsidRPr="00DB4448">
        <w:rPr>
          <w:rFonts w:ascii="Arial" w:hAnsi="Arial" w:cs="Arial"/>
          <w:szCs w:val="20"/>
        </w:rPr>
        <w:t>L’assistance technique pour le renforcement du cadre réglementaire (examen des lois, décrets et règlements régissant le secteur de l’énergie y compris l’examen du régime tarifaire et l’ajustement tarifaire</w:t>
      </w:r>
      <w:r w:rsidR="004A1EC7">
        <w:rPr>
          <w:rFonts w:ascii="Arial" w:hAnsi="Arial" w:cs="Arial"/>
          <w:szCs w:val="20"/>
        </w:rPr>
        <w:t>)</w:t>
      </w:r>
      <w:r w:rsidR="00AD1D93">
        <w:rPr>
          <w:rFonts w:ascii="Arial" w:hAnsi="Arial" w:cs="Arial"/>
          <w:szCs w:val="20"/>
        </w:rPr>
        <w:t>.</w:t>
      </w:r>
    </w:p>
    <w:p w14:paraId="0C49B349" w14:textId="77777777" w:rsidR="00DB4448" w:rsidRPr="00DB4448" w:rsidRDefault="00DB4448" w:rsidP="00B434A6">
      <w:pPr>
        <w:pStyle w:val="Paragraphedeliste"/>
        <w:numPr>
          <w:ilvl w:val="0"/>
          <w:numId w:val="45"/>
        </w:numPr>
        <w:spacing w:before="120" w:after="100" w:afterAutospacing="1" w:line="240" w:lineRule="auto"/>
        <w:contextualSpacing w:val="0"/>
        <w:jc w:val="both"/>
        <w:rPr>
          <w:rFonts w:ascii="Arial" w:hAnsi="Arial" w:cs="Arial"/>
          <w:szCs w:val="20"/>
        </w:rPr>
      </w:pPr>
      <w:r w:rsidRPr="00DB4448">
        <w:rPr>
          <w:rFonts w:ascii="Arial" w:hAnsi="Arial" w:cs="Arial"/>
          <w:szCs w:val="20"/>
        </w:rPr>
        <w:t>Au niveau de la JIRAMA :</w:t>
      </w:r>
    </w:p>
    <w:p w14:paraId="026FA0E2" w14:textId="77777777" w:rsidR="00DB4448" w:rsidRPr="00F01166" w:rsidRDefault="00DB4448" w:rsidP="00687DD2">
      <w:pPr>
        <w:pStyle w:val="Paragraphedeliste"/>
        <w:numPr>
          <w:ilvl w:val="0"/>
          <w:numId w:val="44"/>
        </w:numPr>
        <w:spacing w:before="240" w:beforeAutospacing="1" w:after="240" w:afterAutospacing="1" w:line="240" w:lineRule="auto"/>
        <w:jc w:val="both"/>
        <w:rPr>
          <w:rFonts w:ascii="Arial" w:hAnsi="Arial" w:cs="Arial"/>
        </w:rPr>
      </w:pPr>
      <w:r w:rsidRPr="00F01166">
        <w:rPr>
          <w:rFonts w:ascii="Arial" w:hAnsi="Arial" w:cs="Arial"/>
        </w:rPr>
        <w:t>L’assistance technique pour réviser la politique de raccordement de la JIRAMA ;</w:t>
      </w:r>
    </w:p>
    <w:p w14:paraId="0F7BBBC5" w14:textId="77777777" w:rsidR="00DB4448" w:rsidRPr="00DB4448" w:rsidRDefault="00DB4448" w:rsidP="00687DD2">
      <w:pPr>
        <w:pStyle w:val="Paragraphedeliste"/>
        <w:numPr>
          <w:ilvl w:val="0"/>
          <w:numId w:val="44"/>
        </w:numPr>
        <w:spacing w:before="100" w:beforeAutospacing="1" w:after="100" w:afterAutospacing="1" w:line="240" w:lineRule="auto"/>
        <w:jc w:val="both"/>
        <w:rPr>
          <w:rFonts w:ascii="Arial" w:hAnsi="Arial" w:cs="Arial"/>
          <w:szCs w:val="20"/>
        </w:rPr>
      </w:pPr>
      <w:r w:rsidRPr="58F5F8BA">
        <w:rPr>
          <w:rFonts w:ascii="Arial" w:hAnsi="Arial" w:cs="Arial"/>
        </w:rPr>
        <w:t xml:space="preserve">L’assistance technique pour évaluer des options afin de permettre à la JIRAMA de mieux gérer et commercialiser son réseau de fibre optique pour soutenir le </w:t>
      </w:r>
      <w:r w:rsidRPr="58F5F8BA">
        <w:rPr>
          <w:rFonts w:ascii="Arial" w:hAnsi="Arial" w:cs="Arial"/>
        </w:rPr>
        <w:lastRenderedPageBreak/>
        <w:t>déploiement à moindre coût des services à large bande et de l’infrastructure du dernier kilomètre dans tout le pays ;</w:t>
      </w:r>
    </w:p>
    <w:p w14:paraId="18DF3ADB" w14:textId="77777777" w:rsidR="00DB4448" w:rsidRPr="00DB4448" w:rsidRDefault="00DB4448" w:rsidP="00687DD2">
      <w:pPr>
        <w:pStyle w:val="Paragraphedeliste"/>
        <w:numPr>
          <w:ilvl w:val="0"/>
          <w:numId w:val="44"/>
        </w:numPr>
        <w:spacing w:before="100" w:beforeAutospacing="1" w:after="100" w:afterAutospacing="1" w:line="240" w:lineRule="auto"/>
        <w:jc w:val="both"/>
        <w:rPr>
          <w:rFonts w:ascii="Arial" w:hAnsi="Arial" w:cs="Arial"/>
          <w:szCs w:val="20"/>
        </w:rPr>
      </w:pPr>
      <w:r w:rsidRPr="58F5F8BA">
        <w:rPr>
          <w:rFonts w:ascii="Arial" w:hAnsi="Arial" w:cs="Arial"/>
        </w:rPr>
        <w:t>L’assistance technique pour l’amélioration des politiques d’appel d’offres ;</w:t>
      </w:r>
    </w:p>
    <w:p w14:paraId="46E19636" w14:textId="77777777" w:rsidR="00DB4448" w:rsidRPr="00DB4448" w:rsidRDefault="00DB4448" w:rsidP="00687DD2">
      <w:pPr>
        <w:pStyle w:val="Paragraphedeliste"/>
        <w:numPr>
          <w:ilvl w:val="0"/>
          <w:numId w:val="44"/>
        </w:numPr>
        <w:spacing w:before="100" w:beforeAutospacing="1" w:after="100" w:afterAutospacing="1" w:line="240" w:lineRule="auto"/>
        <w:jc w:val="both"/>
        <w:rPr>
          <w:rFonts w:ascii="Arial" w:hAnsi="Arial" w:cs="Arial"/>
          <w:szCs w:val="20"/>
        </w:rPr>
      </w:pPr>
      <w:r w:rsidRPr="58F5F8BA">
        <w:rPr>
          <w:rFonts w:ascii="Arial" w:hAnsi="Arial" w:cs="Arial"/>
        </w:rPr>
        <w:t>L’assistance technique pour l’inventaire des actifs et l’élaboration de plans de maintenance des centrales électriques de la JIRAMA.</w:t>
      </w:r>
    </w:p>
    <w:p w14:paraId="574C675D" w14:textId="77777777" w:rsidR="00DB4448" w:rsidRPr="00DB4448" w:rsidRDefault="00DB4448" w:rsidP="00687DD2">
      <w:pPr>
        <w:numPr>
          <w:ilvl w:val="0"/>
          <w:numId w:val="43"/>
        </w:numPr>
        <w:spacing w:before="120" w:line="240" w:lineRule="auto"/>
        <w:ind w:left="1071" w:hanging="357"/>
        <w:jc w:val="both"/>
        <w:rPr>
          <w:rFonts w:ascii="Arial" w:hAnsi="Arial" w:cs="Arial"/>
          <w:i/>
          <w:szCs w:val="20"/>
        </w:rPr>
      </w:pPr>
      <w:r w:rsidRPr="00DB4448">
        <w:rPr>
          <w:rFonts w:ascii="Arial" w:hAnsi="Arial" w:cs="Arial"/>
          <w:i/>
          <w:szCs w:val="20"/>
        </w:rPr>
        <w:t>Sous-composante 3.3 : Environnement favorable à une meilleure adaptation au changement climatique et à l’atténuation de ses effets</w:t>
      </w:r>
    </w:p>
    <w:p w14:paraId="29263B25" w14:textId="77777777" w:rsidR="00DB4448" w:rsidRPr="00DB4448" w:rsidRDefault="00DB4448" w:rsidP="00DB4448">
      <w:pPr>
        <w:jc w:val="both"/>
        <w:rPr>
          <w:rFonts w:ascii="Arial" w:hAnsi="Arial" w:cs="Arial"/>
        </w:rPr>
      </w:pPr>
      <w:r w:rsidRPr="00DB4448">
        <w:rPr>
          <w:rFonts w:ascii="Arial" w:hAnsi="Arial" w:cs="Arial"/>
        </w:rPr>
        <w:t>Cette sous-composante appuiera la transition vers des investissements dans des infrastructures intelligentes de point de vue climatique et le renforcement de capacités pour une augmentation de la capacité de réponse au changement climatique. Les interventions du projet comportent de l’assistance technique telle que :</w:t>
      </w:r>
    </w:p>
    <w:p w14:paraId="3AB7C48C" w14:textId="77777777" w:rsidR="00DB4448" w:rsidRPr="00DB4448" w:rsidRDefault="00DB4448" w:rsidP="00687DD2">
      <w:pPr>
        <w:pStyle w:val="Paragraphedeliste"/>
        <w:numPr>
          <w:ilvl w:val="0"/>
          <w:numId w:val="44"/>
        </w:numPr>
        <w:spacing w:before="240" w:beforeAutospacing="1" w:after="240" w:afterAutospacing="1" w:line="240" w:lineRule="auto"/>
        <w:jc w:val="both"/>
        <w:rPr>
          <w:rFonts w:ascii="Arial" w:hAnsi="Arial" w:cs="Arial"/>
          <w:szCs w:val="20"/>
        </w:rPr>
      </w:pPr>
      <w:r w:rsidRPr="58F5F8BA">
        <w:rPr>
          <w:rFonts w:ascii="Arial" w:hAnsi="Arial" w:cs="Arial"/>
        </w:rPr>
        <w:t>L’assistance technique pour le renforcement des capacités dans l’intégration des données climatiques et l’analyse des risques dans le déploiement des infrastructures numériques et énergétiques ;</w:t>
      </w:r>
    </w:p>
    <w:p w14:paraId="36FBFAFD" w14:textId="77777777" w:rsidR="00DB4448" w:rsidRPr="00DB4448" w:rsidRDefault="00DB4448" w:rsidP="00687DD2">
      <w:pPr>
        <w:pStyle w:val="Paragraphedeliste"/>
        <w:numPr>
          <w:ilvl w:val="0"/>
          <w:numId w:val="44"/>
        </w:numPr>
        <w:spacing w:before="240" w:beforeAutospacing="1" w:after="240" w:afterAutospacing="1" w:line="240" w:lineRule="auto"/>
        <w:jc w:val="both"/>
        <w:rPr>
          <w:rFonts w:ascii="Arial" w:hAnsi="Arial" w:cs="Arial"/>
          <w:szCs w:val="20"/>
        </w:rPr>
      </w:pPr>
      <w:r w:rsidRPr="58F5F8BA">
        <w:rPr>
          <w:rFonts w:ascii="Arial" w:hAnsi="Arial" w:cs="Arial"/>
        </w:rPr>
        <w:t>L’assistance technique pour finaliser les normes relatives aux infrastructures énergétiques et numériques résilientes au climat ;</w:t>
      </w:r>
    </w:p>
    <w:p w14:paraId="7BD8845D" w14:textId="77777777" w:rsidR="00DB4448" w:rsidRPr="00DB4448" w:rsidRDefault="00DB4448" w:rsidP="00687DD2">
      <w:pPr>
        <w:pStyle w:val="Paragraphedeliste"/>
        <w:numPr>
          <w:ilvl w:val="0"/>
          <w:numId w:val="44"/>
        </w:numPr>
        <w:spacing w:before="240" w:beforeAutospacing="1" w:after="240" w:afterAutospacing="1" w:line="240" w:lineRule="auto"/>
        <w:jc w:val="both"/>
        <w:rPr>
          <w:rFonts w:ascii="Arial" w:hAnsi="Arial" w:cs="Arial"/>
          <w:szCs w:val="20"/>
        </w:rPr>
      </w:pPr>
      <w:r w:rsidRPr="0A1598FD">
        <w:rPr>
          <w:rFonts w:ascii="Arial" w:hAnsi="Arial" w:cs="Arial"/>
        </w:rPr>
        <w:t xml:space="preserve">L’assistance technique pour appuyer les autorités compétentes dans la détermination des spécifications techniques et de conception des infrastructures énergétiques et numériques pour les appels </w:t>
      </w:r>
      <w:r w:rsidR="008B7D8B" w:rsidRPr="0A1598FD">
        <w:rPr>
          <w:rFonts w:ascii="Arial" w:hAnsi="Arial" w:cs="Arial"/>
        </w:rPr>
        <w:t>d’o</w:t>
      </w:r>
      <w:r w:rsidR="004A659F" w:rsidRPr="0A1598FD">
        <w:rPr>
          <w:rFonts w:ascii="Arial" w:hAnsi="Arial" w:cs="Arial"/>
        </w:rPr>
        <w:t>ff</w:t>
      </w:r>
      <w:r w:rsidR="008B7D8B" w:rsidRPr="0A1598FD">
        <w:rPr>
          <w:rFonts w:ascii="Arial" w:hAnsi="Arial" w:cs="Arial"/>
        </w:rPr>
        <w:t>res</w:t>
      </w:r>
      <w:r w:rsidRPr="0A1598FD">
        <w:rPr>
          <w:rFonts w:ascii="Arial" w:hAnsi="Arial" w:cs="Arial"/>
        </w:rPr>
        <w:t> ;</w:t>
      </w:r>
    </w:p>
    <w:p w14:paraId="3C5AD66D" w14:textId="77777777" w:rsidR="00DB4448" w:rsidRPr="00DB4448" w:rsidRDefault="00DB4448" w:rsidP="00687DD2">
      <w:pPr>
        <w:pStyle w:val="Paragraphedeliste"/>
        <w:numPr>
          <w:ilvl w:val="0"/>
          <w:numId w:val="44"/>
        </w:numPr>
        <w:spacing w:before="240" w:beforeAutospacing="1" w:after="240" w:afterAutospacing="1" w:line="240" w:lineRule="auto"/>
        <w:jc w:val="both"/>
        <w:rPr>
          <w:rFonts w:ascii="Arial" w:hAnsi="Arial" w:cs="Arial"/>
          <w:szCs w:val="20"/>
        </w:rPr>
      </w:pPr>
      <w:r w:rsidRPr="58F5F8BA">
        <w:rPr>
          <w:rFonts w:ascii="Arial" w:hAnsi="Arial" w:cs="Arial"/>
        </w:rPr>
        <w:t>L’assistance technique pour soutenir le développement d’une stratégie de TIC verte.</w:t>
      </w:r>
    </w:p>
    <w:p w14:paraId="03E0EA25" w14:textId="77777777" w:rsidR="00DB4448" w:rsidRPr="00DB4448" w:rsidRDefault="00DB4448" w:rsidP="0B11C451">
      <w:pPr>
        <w:numPr>
          <w:ilvl w:val="0"/>
          <w:numId w:val="42"/>
        </w:numPr>
        <w:spacing w:before="120" w:line="240" w:lineRule="auto"/>
        <w:ind w:left="714" w:hanging="357"/>
        <w:jc w:val="both"/>
        <w:rPr>
          <w:rFonts w:ascii="Arial" w:hAnsi="Arial" w:cs="Arial"/>
          <w:b/>
          <w:bCs/>
        </w:rPr>
      </w:pPr>
      <w:r w:rsidRPr="48B05EC0">
        <w:rPr>
          <w:rFonts w:ascii="Arial" w:hAnsi="Arial" w:cs="Arial"/>
          <w:b/>
          <w:bCs/>
        </w:rPr>
        <w:t>Composante 4 : Gestion du projet et soutien à la mise en œuvre</w:t>
      </w:r>
      <w:r w:rsidR="00AD1D93" w:rsidRPr="48B05EC0">
        <w:rPr>
          <w:rFonts w:ascii="Arial" w:hAnsi="Arial" w:cs="Arial"/>
          <w:b/>
          <w:bCs/>
        </w:rPr>
        <w:t xml:space="preserve"> </w:t>
      </w:r>
      <w:r w:rsidR="004A659F" w:rsidRPr="48B05EC0">
        <w:rPr>
          <w:rFonts w:ascii="Arial" w:hAnsi="Arial" w:cs="Arial"/>
          <w:b/>
          <w:bCs/>
        </w:rPr>
        <w:t xml:space="preserve"> (</w:t>
      </w:r>
      <w:r w:rsidR="75D1853C" w:rsidRPr="48B05EC0">
        <w:rPr>
          <w:rFonts w:ascii="Arial" w:hAnsi="Arial" w:cs="Arial"/>
          <w:b/>
          <w:bCs/>
        </w:rPr>
        <w:t>20</w:t>
      </w:r>
      <w:r w:rsidR="004A659F" w:rsidRPr="48B05EC0">
        <w:rPr>
          <w:rFonts w:ascii="Arial" w:hAnsi="Arial" w:cs="Arial"/>
          <w:b/>
          <w:bCs/>
        </w:rPr>
        <w:t xml:space="preserve"> millions $US)</w:t>
      </w:r>
    </w:p>
    <w:p w14:paraId="6683390C" w14:textId="77777777" w:rsidR="00DB4448" w:rsidRPr="00DB4448" w:rsidRDefault="00DB4448" w:rsidP="00DB4448">
      <w:pPr>
        <w:jc w:val="both"/>
        <w:rPr>
          <w:rFonts w:ascii="Arial" w:hAnsi="Arial" w:cs="Arial"/>
        </w:rPr>
      </w:pPr>
      <w:r w:rsidRPr="00DB4448">
        <w:rPr>
          <w:rFonts w:ascii="Arial" w:hAnsi="Arial" w:cs="Arial"/>
        </w:rPr>
        <w:t>Cette sous-composante soutiendra tous les aspects de la gestion, de la mise en œuvre et du suivi et de l'évaluation du projet. Elle financera les activités de coordination interministérielle et des parties prenantes effectuées par le Comité de Pilotage, d’engagement des citoyens et de communications.</w:t>
      </w:r>
    </w:p>
    <w:p w14:paraId="5330769F" w14:textId="77777777" w:rsidR="00DB4448" w:rsidRPr="00DB4448" w:rsidRDefault="00DB4448" w:rsidP="00DB4448">
      <w:pPr>
        <w:jc w:val="both"/>
        <w:rPr>
          <w:rFonts w:ascii="Arial" w:hAnsi="Arial" w:cs="Arial"/>
        </w:rPr>
      </w:pPr>
      <w:r w:rsidRPr="00DB4448">
        <w:rPr>
          <w:rFonts w:ascii="Arial" w:hAnsi="Arial" w:cs="Arial"/>
        </w:rPr>
        <w:t>Au niveau de cette sous-composante, le projet financera également des formations et assistances techniques pour soutenir la mise en œuvre des composantes d’investissement via des enquêtes, études de marché, évaluation d’impacts et analyses d’options</w:t>
      </w:r>
      <w:r w:rsidR="00AD1D93">
        <w:rPr>
          <w:rFonts w:ascii="Arial" w:hAnsi="Arial" w:cs="Arial"/>
        </w:rPr>
        <w:t>.</w:t>
      </w:r>
      <w:r w:rsidRPr="00DB4448">
        <w:rPr>
          <w:rFonts w:ascii="Arial" w:hAnsi="Arial" w:cs="Arial"/>
        </w:rPr>
        <w:t xml:space="preserve"> </w:t>
      </w:r>
    </w:p>
    <w:p w14:paraId="054395DF" w14:textId="77777777" w:rsidR="00DB4448" w:rsidRPr="00DB4448" w:rsidRDefault="00DB4448" w:rsidP="00687DD2">
      <w:pPr>
        <w:numPr>
          <w:ilvl w:val="0"/>
          <w:numId w:val="42"/>
        </w:numPr>
        <w:spacing w:before="120" w:line="240" w:lineRule="auto"/>
        <w:ind w:left="714" w:hanging="357"/>
        <w:jc w:val="both"/>
        <w:rPr>
          <w:rFonts w:ascii="Arial" w:hAnsi="Arial" w:cs="Arial"/>
          <w:b/>
          <w:szCs w:val="20"/>
        </w:rPr>
      </w:pPr>
      <w:r w:rsidRPr="00DB4448">
        <w:rPr>
          <w:rFonts w:ascii="Arial" w:hAnsi="Arial" w:cs="Arial"/>
          <w:b/>
          <w:szCs w:val="20"/>
        </w:rPr>
        <w:t>Composante 5 : Composante de réponse d’urgence contingente ou Contingent Emergency Response Component (CERC)</w:t>
      </w:r>
      <w:r w:rsidR="00AD1D93">
        <w:rPr>
          <w:rFonts w:ascii="Arial" w:hAnsi="Arial" w:cs="Arial"/>
          <w:b/>
          <w:szCs w:val="20"/>
        </w:rPr>
        <w:t xml:space="preserve"> </w:t>
      </w:r>
      <w:r w:rsidR="004A659F">
        <w:rPr>
          <w:rFonts w:ascii="Arial" w:hAnsi="Arial" w:cs="Arial"/>
          <w:b/>
          <w:szCs w:val="20"/>
        </w:rPr>
        <w:t xml:space="preserve"> </w:t>
      </w:r>
      <w:r w:rsidR="004A659F" w:rsidRPr="00DB4448">
        <w:rPr>
          <w:rFonts w:ascii="Arial" w:hAnsi="Arial" w:cs="Arial"/>
          <w:b/>
          <w:szCs w:val="20"/>
        </w:rPr>
        <w:t>(</w:t>
      </w:r>
      <w:r w:rsidR="004A659F">
        <w:rPr>
          <w:rFonts w:ascii="Arial" w:hAnsi="Arial" w:cs="Arial"/>
          <w:b/>
          <w:szCs w:val="20"/>
        </w:rPr>
        <w:t>0</w:t>
      </w:r>
      <w:r w:rsidR="004A659F" w:rsidRPr="00DB4448">
        <w:rPr>
          <w:rFonts w:ascii="Arial" w:hAnsi="Arial" w:cs="Arial"/>
          <w:b/>
          <w:szCs w:val="20"/>
        </w:rPr>
        <w:t xml:space="preserve"> $US)</w:t>
      </w:r>
    </w:p>
    <w:p w14:paraId="0CD932E7" w14:textId="77777777" w:rsidR="00DB4448" w:rsidRPr="00DB4448" w:rsidRDefault="00DB4448" w:rsidP="00DB4448">
      <w:pPr>
        <w:jc w:val="both"/>
        <w:rPr>
          <w:rFonts w:ascii="Arial" w:hAnsi="Arial" w:cs="Arial"/>
        </w:rPr>
      </w:pPr>
      <w:r w:rsidRPr="00DB4448">
        <w:rPr>
          <w:rFonts w:ascii="Arial" w:hAnsi="Arial" w:cs="Arial"/>
        </w:rPr>
        <w:t xml:space="preserve">Cette composante permettra une réaffectation rapide des fonds non engagés du crédit en cas d’urgence éligible en réponse à des demandes du </w:t>
      </w:r>
      <w:r w:rsidRPr="00327DB6">
        <w:rPr>
          <w:rFonts w:ascii="Arial" w:hAnsi="Arial" w:cs="Arial"/>
        </w:rPr>
        <w:t xml:space="preserve">Gouvernement </w:t>
      </w:r>
      <w:r w:rsidRPr="00742D67">
        <w:rPr>
          <w:rFonts w:ascii="Arial" w:hAnsi="Arial" w:cs="Arial"/>
        </w:rPr>
        <w:t>(G</w:t>
      </w:r>
      <w:r w:rsidR="00DB1EE5" w:rsidRPr="00742D67">
        <w:rPr>
          <w:rFonts w:ascii="Arial" w:hAnsi="Arial" w:cs="Arial"/>
        </w:rPr>
        <w:t>d</w:t>
      </w:r>
      <w:r w:rsidRPr="00742D67">
        <w:rPr>
          <w:rFonts w:ascii="Arial" w:hAnsi="Arial" w:cs="Arial"/>
        </w:rPr>
        <w:t>M</w:t>
      </w:r>
      <w:r w:rsidRPr="00327DB6">
        <w:rPr>
          <w:rFonts w:ascii="Arial" w:hAnsi="Arial" w:cs="Arial"/>
        </w:rPr>
        <w:t>).</w:t>
      </w:r>
    </w:p>
    <w:p w14:paraId="038285D0" w14:textId="77777777" w:rsidR="00DB4448" w:rsidRPr="007F78CE" w:rsidRDefault="00DB4448" w:rsidP="0044500E">
      <w:pPr>
        <w:pStyle w:val="TIT2"/>
        <w:numPr>
          <w:ilvl w:val="1"/>
          <w:numId w:val="177"/>
        </w:numPr>
      </w:pPr>
      <w:bookmarkStart w:id="90" w:name="_Toc124314621"/>
      <w:bookmarkStart w:id="91" w:name="_Toc124956098"/>
      <w:bookmarkStart w:id="92" w:name="_Toc125384497"/>
      <w:bookmarkStart w:id="93" w:name="_Toc125384886"/>
      <w:bookmarkStart w:id="94" w:name="_Toc127957558"/>
      <w:r w:rsidRPr="007F78CE">
        <w:t>Bénéficiaires du Projet</w:t>
      </w:r>
      <w:bookmarkEnd w:id="90"/>
      <w:bookmarkEnd w:id="91"/>
      <w:bookmarkEnd w:id="92"/>
      <w:bookmarkEnd w:id="93"/>
      <w:bookmarkEnd w:id="94"/>
    </w:p>
    <w:p w14:paraId="41543163" w14:textId="77777777" w:rsidR="00DB4448" w:rsidRPr="00DB4448" w:rsidRDefault="00DB4448" w:rsidP="00DB4448">
      <w:pPr>
        <w:jc w:val="both"/>
        <w:rPr>
          <w:rFonts w:ascii="Arial" w:hAnsi="Arial" w:cs="Arial"/>
        </w:rPr>
      </w:pPr>
      <w:r w:rsidRPr="00DB4448">
        <w:rPr>
          <w:rFonts w:ascii="Arial" w:hAnsi="Arial" w:cs="Arial"/>
        </w:rPr>
        <w:t>Les bénéficiaires du projet sont constitués par :</w:t>
      </w:r>
    </w:p>
    <w:p w14:paraId="55F77EFA" w14:textId="77777777" w:rsidR="00DB4448" w:rsidRPr="00DB4448" w:rsidRDefault="00DB4448" w:rsidP="00687DD2">
      <w:pPr>
        <w:pStyle w:val="Paragraphedeliste"/>
        <w:numPr>
          <w:ilvl w:val="0"/>
          <w:numId w:val="45"/>
        </w:numPr>
        <w:spacing w:before="100" w:beforeAutospacing="1" w:after="100" w:afterAutospacing="1" w:line="240" w:lineRule="auto"/>
        <w:jc w:val="both"/>
        <w:rPr>
          <w:rFonts w:ascii="Arial" w:hAnsi="Arial" w:cs="Arial"/>
          <w:szCs w:val="20"/>
        </w:rPr>
      </w:pPr>
      <w:r w:rsidRPr="00DB4448">
        <w:rPr>
          <w:rFonts w:ascii="Arial" w:hAnsi="Arial" w:cs="Arial"/>
          <w:szCs w:val="20"/>
        </w:rPr>
        <w:t xml:space="preserve">Les ménages, les PME, les centres de santé et les établissements scolaires qui se trouvent actuellement </w:t>
      </w:r>
      <w:r w:rsidR="00F966B6" w:rsidRPr="00DB4448">
        <w:rPr>
          <w:rFonts w:ascii="Arial" w:hAnsi="Arial" w:cs="Arial"/>
          <w:szCs w:val="20"/>
        </w:rPr>
        <w:t>confronté</w:t>
      </w:r>
      <w:r w:rsidR="00AD1D93">
        <w:rPr>
          <w:rFonts w:ascii="Arial" w:hAnsi="Arial" w:cs="Arial"/>
          <w:szCs w:val="20"/>
        </w:rPr>
        <w:t>s</w:t>
      </w:r>
      <w:r w:rsidRPr="00DB4448">
        <w:rPr>
          <w:rFonts w:ascii="Arial" w:hAnsi="Arial" w:cs="Arial"/>
          <w:szCs w:val="20"/>
        </w:rPr>
        <w:t xml:space="preserve"> à un accès extrêmement limité à une énergie fiable et abordable et à la connectivité numérique ;</w:t>
      </w:r>
    </w:p>
    <w:p w14:paraId="12CF18C3" w14:textId="77777777" w:rsidR="00DB4448" w:rsidRPr="00DB4448" w:rsidRDefault="00DB4448" w:rsidP="00687DD2">
      <w:pPr>
        <w:pStyle w:val="Paragraphedeliste"/>
        <w:numPr>
          <w:ilvl w:val="0"/>
          <w:numId w:val="45"/>
        </w:numPr>
        <w:spacing w:before="100" w:beforeAutospacing="1" w:after="100" w:afterAutospacing="1" w:line="240" w:lineRule="auto"/>
        <w:jc w:val="both"/>
        <w:rPr>
          <w:rFonts w:ascii="Arial" w:hAnsi="Arial" w:cs="Arial"/>
          <w:szCs w:val="20"/>
        </w:rPr>
      </w:pPr>
      <w:r w:rsidRPr="00DB4448">
        <w:rPr>
          <w:rFonts w:ascii="Arial" w:hAnsi="Arial" w:cs="Arial"/>
          <w:szCs w:val="20"/>
        </w:rPr>
        <w:t xml:space="preserve">La population mal desservie </w:t>
      </w:r>
      <w:r w:rsidR="00AD1D93">
        <w:rPr>
          <w:rFonts w:ascii="Arial" w:hAnsi="Arial" w:cs="Arial"/>
          <w:szCs w:val="20"/>
        </w:rPr>
        <w:t xml:space="preserve">dans toute l’étendue du territoire nationale, </w:t>
      </w:r>
      <w:r w:rsidRPr="00DB4448">
        <w:rPr>
          <w:rFonts w:ascii="Arial" w:hAnsi="Arial" w:cs="Arial"/>
          <w:szCs w:val="20"/>
        </w:rPr>
        <w:t>qui bénéficiera d’un accès accru aux réseaux et aux services à large bande ;</w:t>
      </w:r>
    </w:p>
    <w:p w14:paraId="2DF59F72" w14:textId="77777777" w:rsidR="00DB4448" w:rsidRPr="00DB4448" w:rsidRDefault="00DB4448" w:rsidP="00687DD2">
      <w:pPr>
        <w:pStyle w:val="Paragraphedeliste"/>
        <w:numPr>
          <w:ilvl w:val="0"/>
          <w:numId w:val="45"/>
        </w:numPr>
        <w:spacing w:before="100" w:beforeAutospacing="1" w:after="100" w:afterAutospacing="1" w:line="240" w:lineRule="auto"/>
        <w:jc w:val="both"/>
        <w:rPr>
          <w:rFonts w:ascii="Arial" w:hAnsi="Arial" w:cs="Arial"/>
          <w:szCs w:val="20"/>
        </w:rPr>
      </w:pPr>
      <w:r w:rsidRPr="00DB4448">
        <w:rPr>
          <w:rFonts w:ascii="Arial" w:hAnsi="Arial" w:cs="Arial"/>
          <w:szCs w:val="20"/>
        </w:rPr>
        <w:t xml:space="preserve">Les jeunes </w:t>
      </w:r>
      <w:r w:rsidR="00AD1D93">
        <w:rPr>
          <w:rFonts w:ascii="Arial" w:hAnsi="Arial" w:cs="Arial"/>
          <w:szCs w:val="20"/>
        </w:rPr>
        <w:t>(</w:t>
      </w:r>
      <w:r w:rsidRPr="00DB4448">
        <w:rPr>
          <w:rFonts w:ascii="Arial" w:hAnsi="Arial" w:cs="Arial"/>
          <w:szCs w:val="20"/>
        </w:rPr>
        <w:t xml:space="preserve">filles et </w:t>
      </w:r>
      <w:r w:rsidR="00AD1D93">
        <w:rPr>
          <w:rFonts w:ascii="Arial" w:hAnsi="Arial" w:cs="Arial"/>
          <w:szCs w:val="20"/>
        </w:rPr>
        <w:t xml:space="preserve">garçons), </w:t>
      </w:r>
      <w:r w:rsidRPr="00DB4448">
        <w:rPr>
          <w:rFonts w:ascii="Arial" w:hAnsi="Arial" w:cs="Arial"/>
          <w:szCs w:val="20"/>
        </w:rPr>
        <w:t>les femmes, les personnes âgées, les personnes handicapées et les autres groupes vulnérables et marginalisés qui constituent des cibles spécifiques du projet ;</w:t>
      </w:r>
    </w:p>
    <w:p w14:paraId="42F2B181" w14:textId="77777777" w:rsidR="00DB4448" w:rsidRPr="00DB4448" w:rsidRDefault="00DB4448" w:rsidP="00687DD2">
      <w:pPr>
        <w:pStyle w:val="Paragraphedeliste"/>
        <w:numPr>
          <w:ilvl w:val="0"/>
          <w:numId w:val="45"/>
        </w:numPr>
        <w:spacing w:before="100" w:beforeAutospacing="1" w:after="100" w:afterAutospacing="1" w:line="240" w:lineRule="auto"/>
        <w:jc w:val="both"/>
        <w:rPr>
          <w:rFonts w:ascii="Arial" w:hAnsi="Arial" w:cs="Arial"/>
          <w:szCs w:val="20"/>
        </w:rPr>
      </w:pPr>
      <w:r w:rsidRPr="00DB4448">
        <w:rPr>
          <w:rFonts w:ascii="Arial" w:hAnsi="Arial" w:cs="Arial"/>
          <w:szCs w:val="20"/>
        </w:rPr>
        <w:lastRenderedPageBreak/>
        <w:t>Le secteur privé dans le domaine de l’énergie composé par :</w:t>
      </w:r>
    </w:p>
    <w:p w14:paraId="73907A93" w14:textId="77777777" w:rsidR="00DB4448" w:rsidRPr="00DB4448" w:rsidRDefault="00DB4448" w:rsidP="00687DD2">
      <w:pPr>
        <w:pStyle w:val="Paragraphedeliste"/>
        <w:numPr>
          <w:ilvl w:val="0"/>
          <w:numId w:val="44"/>
        </w:numPr>
        <w:spacing w:before="240" w:beforeAutospacing="1" w:after="240" w:afterAutospacing="1" w:line="240" w:lineRule="auto"/>
        <w:jc w:val="both"/>
        <w:rPr>
          <w:rFonts w:ascii="Arial" w:hAnsi="Arial" w:cs="Arial"/>
          <w:szCs w:val="20"/>
        </w:rPr>
      </w:pPr>
      <w:r w:rsidRPr="58F5F8BA">
        <w:rPr>
          <w:rFonts w:ascii="Arial" w:hAnsi="Arial" w:cs="Arial"/>
        </w:rPr>
        <w:t>Les entrepreneurs fournissant des services d’infrastructure énergétique ;</w:t>
      </w:r>
    </w:p>
    <w:p w14:paraId="08BB5C02" w14:textId="77777777" w:rsidR="00DB4448" w:rsidRPr="00DB4448" w:rsidRDefault="00DB4448" w:rsidP="00687DD2">
      <w:pPr>
        <w:pStyle w:val="Paragraphedeliste"/>
        <w:numPr>
          <w:ilvl w:val="0"/>
          <w:numId w:val="44"/>
        </w:numPr>
        <w:spacing w:before="240" w:beforeAutospacing="1" w:after="240" w:afterAutospacing="1" w:line="240" w:lineRule="auto"/>
        <w:jc w:val="both"/>
        <w:rPr>
          <w:rFonts w:ascii="Arial" w:hAnsi="Arial" w:cs="Arial"/>
          <w:szCs w:val="20"/>
        </w:rPr>
      </w:pPr>
      <w:r w:rsidRPr="58F5F8BA">
        <w:rPr>
          <w:rFonts w:ascii="Arial" w:hAnsi="Arial" w:cs="Arial"/>
        </w:rPr>
        <w:t>Les PME bénéficiant du raccordement aux mini-réseaux avec des coûts moindres ;</w:t>
      </w:r>
    </w:p>
    <w:p w14:paraId="16C55CEB" w14:textId="77777777" w:rsidR="00DB4448" w:rsidRPr="00DB4448" w:rsidRDefault="00DB4448" w:rsidP="00687DD2">
      <w:pPr>
        <w:pStyle w:val="Paragraphedeliste"/>
        <w:numPr>
          <w:ilvl w:val="0"/>
          <w:numId w:val="44"/>
        </w:numPr>
        <w:spacing w:before="240" w:beforeAutospacing="1" w:after="240" w:afterAutospacing="1" w:line="240" w:lineRule="auto"/>
        <w:jc w:val="both"/>
        <w:rPr>
          <w:rFonts w:ascii="Arial" w:hAnsi="Arial" w:cs="Arial"/>
          <w:szCs w:val="20"/>
        </w:rPr>
      </w:pPr>
      <w:r w:rsidRPr="58F5F8BA">
        <w:rPr>
          <w:rFonts w:ascii="Arial" w:hAnsi="Arial" w:cs="Arial"/>
        </w:rPr>
        <w:t>Les fournisseurs du système TSHR pour les ménages ;</w:t>
      </w:r>
    </w:p>
    <w:p w14:paraId="2C8A72F2" w14:textId="77777777" w:rsidR="00DB4448" w:rsidRPr="00DB4448" w:rsidRDefault="00DB4448" w:rsidP="00687DD2">
      <w:pPr>
        <w:pStyle w:val="Paragraphedeliste"/>
        <w:numPr>
          <w:ilvl w:val="0"/>
          <w:numId w:val="44"/>
        </w:numPr>
        <w:spacing w:before="240" w:beforeAutospacing="1" w:after="240" w:afterAutospacing="1" w:line="240" w:lineRule="auto"/>
        <w:jc w:val="both"/>
        <w:rPr>
          <w:rFonts w:ascii="Arial" w:hAnsi="Arial" w:cs="Arial"/>
          <w:szCs w:val="20"/>
        </w:rPr>
      </w:pPr>
      <w:r w:rsidRPr="58F5F8BA">
        <w:rPr>
          <w:rFonts w:ascii="Arial" w:hAnsi="Arial" w:cs="Arial"/>
        </w:rPr>
        <w:t>Les PME hors réseau pourraient bénéficier du service d’électricité moins cher.</w:t>
      </w:r>
    </w:p>
    <w:p w14:paraId="56688401" w14:textId="77777777" w:rsidR="00DB4448" w:rsidRPr="00DB4448" w:rsidRDefault="00DB4448" w:rsidP="00687DD2">
      <w:pPr>
        <w:pStyle w:val="Paragraphedeliste"/>
        <w:numPr>
          <w:ilvl w:val="0"/>
          <w:numId w:val="45"/>
        </w:numPr>
        <w:spacing w:before="100" w:beforeAutospacing="1" w:after="100" w:afterAutospacing="1" w:line="240" w:lineRule="auto"/>
        <w:jc w:val="both"/>
        <w:rPr>
          <w:rFonts w:ascii="Arial" w:hAnsi="Arial" w:cs="Arial"/>
          <w:szCs w:val="20"/>
        </w:rPr>
      </w:pPr>
      <w:r w:rsidRPr="00DB4448">
        <w:rPr>
          <w:rFonts w:ascii="Arial" w:hAnsi="Arial" w:cs="Arial"/>
          <w:szCs w:val="20"/>
        </w:rPr>
        <w:t>Le secteur privé dans les domaines de la télécommunication et des services numériques formé par :</w:t>
      </w:r>
    </w:p>
    <w:p w14:paraId="029D0F41" w14:textId="77777777" w:rsidR="00DB4448" w:rsidRPr="00DB4448" w:rsidRDefault="00DB4448" w:rsidP="00687DD2">
      <w:pPr>
        <w:pStyle w:val="Paragraphedeliste"/>
        <w:numPr>
          <w:ilvl w:val="0"/>
          <w:numId w:val="44"/>
        </w:numPr>
        <w:spacing w:before="240" w:beforeAutospacing="1" w:after="240" w:afterAutospacing="1" w:line="240" w:lineRule="auto"/>
        <w:jc w:val="both"/>
        <w:rPr>
          <w:rFonts w:ascii="Arial" w:hAnsi="Arial" w:cs="Arial"/>
          <w:szCs w:val="20"/>
        </w:rPr>
      </w:pPr>
      <w:r w:rsidRPr="58F5F8BA">
        <w:rPr>
          <w:rFonts w:ascii="Arial" w:hAnsi="Arial" w:cs="Arial"/>
        </w:rPr>
        <w:t>Les sociétés de télécommunication ;</w:t>
      </w:r>
    </w:p>
    <w:p w14:paraId="5E5EF1E0" w14:textId="77777777" w:rsidR="00DB4448" w:rsidRPr="00DB4448" w:rsidRDefault="00DB4448" w:rsidP="00687DD2">
      <w:pPr>
        <w:pStyle w:val="Paragraphedeliste"/>
        <w:numPr>
          <w:ilvl w:val="0"/>
          <w:numId w:val="44"/>
        </w:numPr>
        <w:spacing w:before="240" w:beforeAutospacing="1" w:after="240" w:afterAutospacing="1" w:line="240" w:lineRule="auto"/>
        <w:jc w:val="both"/>
        <w:rPr>
          <w:rFonts w:ascii="Arial" w:hAnsi="Arial" w:cs="Arial"/>
          <w:szCs w:val="20"/>
        </w:rPr>
      </w:pPr>
      <w:r w:rsidRPr="58F5F8BA">
        <w:rPr>
          <w:rFonts w:ascii="Arial" w:hAnsi="Arial" w:cs="Arial"/>
        </w:rPr>
        <w:t>Les fournisseurs de services et d’équipement</w:t>
      </w:r>
      <w:r w:rsidR="00AD1D93">
        <w:rPr>
          <w:rFonts w:ascii="Arial" w:hAnsi="Arial" w:cs="Arial"/>
        </w:rPr>
        <w:t>s</w:t>
      </w:r>
      <w:r w:rsidRPr="58F5F8BA">
        <w:rPr>
          <w:rFonts w:ascii="Arial" w:hAnsi="Arial" w:cs="Arial"/>
        </w:rPr>
        <w:t xml:space="preserve"> informatiques ;</w:t>
      </w:r>
    </w:p>
    <w:p w14:paraId="7B72003B" w14:textId="77777777" w:rsidR="00DB4448" w:rsidRPr="00DB4448" w:rsidRDefault="00DB4448" w:rsidP="00687DD2">
      <w:pPr>
        <w:pStyle w:val="Paragraphedeliste"/>
        <w:numPr>
          <w:ilvl w:val="0"/>
          <w:numId w:val="44"/>
        </w:numPr>
        <w:spacing w:before="240" w:beforeAutospacing="1" w:after="240" w:afterAutospacing="1" w:line="240" w:lineRule="auto"/>
        <w:jc w:val="both"/>
        <w:rPr>
          <w:rFonts w:ascii="Arial" w:hAnsi="Arial" w:cs="Arial"/>
          <w:szCs w:val="20"/>
        </w:rPr>
      </w:pPr>
      <w:r w:rsidRPr="58F5F8BA">
        <w:rPr>
          <w:rFonts w:ascii="Arial" w:hAnsi="Arial" w:cs="Arial"/>
        </w:rPr>
        <w:t>Les fournisseurs de compétences numériques</w:t>
      </w:r>
      <w:r w:rsidR="00AD1D93">
        <w:rPr>
          <w:rFonts w:ascii="Arial" w:hAnsi="Arial" w:cs="Arial"/>
        </w:rPr>
        <w:t> ;</w:t>
      </w:r>
    </w:p>
    <w:p w14:paraId="5F7FD0D1" w14:textId="77777777" w:rsidR="00DB4448" w:rsidRPr="00DB4448" w:rsidRDefault="00DB4448" w:rsidP="00687DD2">
      <w:pPr>
        <w:pStyle w:val="Paragraphedeliste"/>
        <w:numPr>
          <w:ilvl w:val="0"/>
          <w:numId w:val="44"/>
        </w:numPr>
        <w:spacing w:before="240" w:beforeAutospacing="1" w:after="240" w:afterAutospacing="1" w:line="240" w:lineRule="auto"/>
        <w:jc w:val="both"/>
        <w:rPr>
          <w:rFonts w:ascii="Arial" w:hAnsi="Arial" w:cs="Arial"/>
          <w:szCs w:val="20"/>
        </w:rPr>
      </w:pPr>
      <w:r w:rsidRPr="58F5F8BA">
        <w:rPr>
          <w:rFonts w:ascii="Arial" w:hAnsi="Arial" w:cs="Arial"/>
        </w:rPr>
        <w:t>Les petits fournisseurs</w:t>
      </w:r>
      <w:r w:rsidR="008B7D8B">
        <w:rPr>
          <w:rFonts w:ascii="Arial" w:hAnsi="Arial" w:cs="Arial"/>
        </w:rPr>
        <w:t xml:space="preserve"> locaux</w:t>
      </w:r>
      <w:r w:rsidRPr="58F5F8BA">
        <w:rPr>
          <w:rFonts w:ascii="Arial" w:hAnsi="Arial" w:cs="Arial"/>
        </w:rPr>
        <w:t xml:space="preserve"> d’accès à internet. </w:t>
      </w:r>
    </w:p>
    <w:p w14:paraId="457AC5A8" w14:textId="77777777" w:rsidR="00DB4448" w:rsidRPr="00DB4448" w:rsidRDefault="00DB4448" w:rsidP="00687DD2">
      <w:pPr>
        <w:pStyle w:val="Paragraphedeliste"/>
        <w:numPr>
          <w:ilvl w:val="0"/>
          <w:numId w:val="45"/>
        </w:numPr>
        <w:spacing w:before="100" w:beforeAutospacing="1" w:after="100" w:afterAutospacing="1" w:line="240" w:lineRule="auto"/>
        <w:jc w:val="both"/>
        <w:rPr>
          <w:rFonts w:ascii="Arial" w:hAnsi="Arial" w:cs="Arial"/>
          <w:szCs w:val="20"/>
        </w:rPr>
      </w:pPr>
      <w:r w:rsidRPr="00DB4448">
        <w:rPr>
          <w:rFonts w:ascii="Arial" w:hAnsi="Arial" w:cs="Arial"/>
          <w:szCs w:val="20"/>
        </w:rPr>
        <w:t>Le personnel des ministères sectoriels aux niveaux national et local qui bénéficiera également du renforcement des capacités, tout comme les organismes publics de services (JIRAMA, ADER, ARTEC, ARELEC, etc</w:t>
      </w:r>
      <w:r w:rsidR="00AD1D93">
        <w:rPr>
          <w:rFonts w:ascii="Arial" w:hAnsi="Arial" w:cs="Arial"/>
          <w:szCs w:val="20"/>
        </w:rPr>
        <w:t>.</w:t>
      </w:r>
      <w:r w:rsidR="00EC4731">
        <w:rPr>
          <w:rFonts w:ascii="Arial" w:hAnsi="Arial" w:cs="Arial"/>
          <w:szCs w:val="20"/>
        </w:rPr>
        <w:t>)</w:t>
      </w:r>
      <w:r w:rsidRPr="00DB4448">
        <w:rPr>
          <w:rFonts w:ascii="Arial" w:hAnsi="Arial" w:cs="Arial"/>
          <w:szCs w:val="20"/>
        </w:rPr>
        <w:t xml:space="preserve">. </w:t>
      </w:r>
    </w:p>
    <w:p w14:paraId="11FD8ECF" w14:textId="77777777" w:rsidR="00DB4448" w:rsidRPr="00DB4448" w:rsidRDefault="00DB4448" w:rsidP="00DB4448">
      <w:pPr>
        <w:jc w:val="both"/>
        <w:rPr>
          <w:rFonts w:ascii="Arial" w:hAnsi="Arial" w:cs="Arial"/>
        </w:rPr>
      </w:pPr>
      <w:r w:rsidRPr="00DB4448">
        <w:rPr>
          <w:rFonts w:ascii="Arial" w:hAnsi="Arial" w:cs="Arial"/>
        </w:rPr>
        <w:t xml:space="preserve">Les personnes ciblées bénéficieront d’activités qui favorisent l’accès aux services numériques et l’inclusion numérique telles que l’alphabétisation numérique, </w:t>
      </w:r>
      <w:r w:rsidR="006A2D72">
        <w:rPr>
          <w:rFonts w:ascii="Arial" w:hAnsi="Arial" w:cs="Arial"/>
        </w:rPr>
        <w:t xml:space="preserve">la </w:t>
      </w:r>
      <w:r w:rsidRPr="00DB4448">
        <w:rPr>
          <w:rFonts w:ascii="Arial" w:hAnsi="Arial" w:cs="Arial"/>
        </w:rPr>
        <w:t xml:space="preserve">formation professionnelle, </w:t>
      </w:r>
      <w:r w:rsidR="006A2D72">
        <w:rPr>
          <w:rFonts w:ascii="Arial" w:hAnsi="Arial" w:cs="Arial"/>
        </w:rPr>
        <w:t>l’</w:t>
      </w:r>
      <w:r w:rsidRPr="00DB4448">
        <w:rPr>
          <w:rFonts w:ascii="Arial" w:hAnsi="Arial" w:cs="Arial"/>
        </w:rPr>
        <w:t>acquisition d’appareils TIC, etc.</w:t>
      </w:r>
    </w:p>
    <w:p w14:paraId="475C4755" w14:textId="77777777" w:rsidR="00DB4448" w:rsidRPr="007F78CE" w:rsidRDefault="00F6508C" w:rsidP="0044500E">
      <w:pPr>
        <w:pStyle w:val="TIT2"/>
        <w:numPr>
          <w:ilvl w:val="1"/>
          <w:numId w:val="177"/>
        </w:numPr>
      </w:pPr>
      <w:bookmarkStart w:id="95" w:name="_Toc119312948"/>
      <w:bookmarkStart w:id="96" w:name="_Toc124314622"/>
      <w:bookmarkStart w:id="97" w:name="_Toc124956099"/>
      <w:bookmarkStart w:id="98" w:name="_Toc125384498"/>
      <w:bookmarkStart w:id="99" w:name="_Toc125384887"/>
      <w:bookmarkStart w:id="100" w:name="_Toc127957559"/>
      <w:r w:rsidRPr="007F78CE">
        <w:t>zones d’intervention du projet</w:t>
      </w:r>
      <w:bookmarkEnd w:id="95"/>
      <w:bookmarkEnd w:id="96"/>
      <w:bookmarkEnd w:id="97"/>
      <w:bookmarkEnd w:id="98"/>
      <w:bookmarkEnd w:id="99"/>
      <w:bookmarkEnd w:id="100"/>
    </w:p>
    <w:p w14:paraId="3A296132" w14:textId="77777777" w:rsidR="00DB4448" w:rsidRPr="00DB4448" w:rsidRDefault="00DB4448" w:rsidP="00DB4448">
      <w:pPr>
        <w:jc w:val="both"/>
        <w:rPr>
          <w:rFonts w:ascii="Arial" w:hAnsi="Arial" w:cs="Arial"/>
        </w:rPr>
      </w:pPr>
      <w:r w:rsidRPr="00DB4448">
        <w:rPr>
          <w:rFonts w:ascii="Arial" w:hAnsi="Arial" w:cs="Arial"/>
        </w:rPr>
        <w:t xml:space="preserve">Le projet DECIM adopte une approche nationale, c’est-à-dire que les 23 </w:t>
      </w:r>
      <w:r w:rsidR="00720AD8">
        <w:rPr>
          <w:rFonts w:ascii="Arial" w:hAnsi="Arial" w:cs="Arial"/>
        </w:rPr>
        <w:t>R</w:t>
      </w:r>
      <w:r w:rsidRPr="00DB4448">
        <w:rPr>
          <w:rFonts w:ascii="Arial" w:hAnsi="Arial" w:cs="Arial"/>
        </w:rPr>
        <w:t>égions de Madagascar sont des zones potentielles d’intervention du Projet. Dans la phase actuelle de préparation du projet, les sites prioritaires d’intervention ou du moins les régions cibles ne sont pas encore défini</w:t>
      </w:r>
      <w:r w:rsidR="006A2D72">
        <w:rPr>
          <w:rFonts w:ascii="Arial" w:hAnsi="Arial" w:cs="Arial"/>
        </w:rPr>
        <w:t>e</w:t>
      </w:r>
      <w:r w:rsidRPr="00DB4448">
        <w:rPr>
          <w:rFonts w:ascii="Arial" w:hAnsi="Arial" w:cs="Arial"/>
        </w:rPr>
        <w:t xml:space="preserve">s. </w:t>
      </w:r>
    </w:p>
    <w:p w14:paraId="6082826B" w14:textId="77777777" w:rsidR="00DB4448" w:rsidRPr="007F78CE" w:rsidRDefault="00F6508C" w:rsidP="0044500E">
      <w:pPr>
        <w:pStyle w:val="TIT2"/>
        <w:numPr>
          <w:ilvl w:val="1"/>
          <w:numId w:val="177"/>
        </w:numPr>
      </w:pPr>
      <w:bookmarkStart w:id="101" w:name="_Toc119312949"/>
      <w:bookmarkStart w:id="102" w:name="_Toc124314623"/>
      <w:bookmarkStart w:id="103" w:name="_Toc124956100"/>
      <w:bookmarkStart w:id="104" w:name="_Toc125384499"/>
      <w:bookmarkStart w:id="105" w:name="_Toc125384888"/>
      <w:bookmarkStart w:id="106" w:name="_Toc127957560"/>
      <w:r w:rsidRPr="007F78CE">
        <w:t>types d’activites potentielles</w:t>
      </w:r>
      <w:bookmarkEnd w:id="101"/>
      <w:bookmarkEnd w:id="102"/>
      <w:bookmarkEnd w:id="103"/>
      <w:bookmarkEnd w:id="104"/>
      <w:bookmarkEnd w:id="105"/>
      <w:bookmarkEnd w:id="106"/>
    </w:p>
    <w:p w14:paraId="09D2391D" w14:textId="77777777" w:rsidR="00DB4448" w:rsidRPr="00DB4448" w:rsidRDefault="00DB4448" w:rsidP="00DB4448">
      <w:pPr>
        <w:jc w:val="both"/>
        <w:rPr>
          <w:rFonts w:ascii="Arial" w:hAnsi="Arial" w:cs="Arial"/>
        </w:rPr>
      </w:pPr>
      <w:r w:rsidRPr="00DB4448">
        <w:rPr>
          <w:rFonts w:ascii="Arial" w:hAnsi="Arial" w:cs="Arial"/>
        </w:rPr>
        <w:t>Au cours de l’élaboration de ce document, le projet étant à sa phase de préparation, les activités à mettre en œuvre ne sont pas encore bien définies. Toutefois, des types d’activités peuvent être énoncés en analysant les différentes sous-composantes stipulées dans les divers documents relatifs à la constitution du projet. Il faut souligner que les activités citées ci-après ne revêtent pas un caractère exhaustif :</w:t>
      </w:r>
    </w:p>
    <w:p w14:paraId="60E5B2C6" w14:textId="77777777" w:rsidR="00DB4448" w:rsidRPr="00DB4448" w:rsidRDefault="00DB4448" w:rsidP="00687DD2">
      <w:pPr>
        <w:pStyle w:val="Paragraphedeliste"/>
        <w:numPr>
          <w:ilvl w:val="1"/>
          <w:numId w:val="45"/>
        </w:numPr>
        <w:spacing w:before="100" w:beforeAutospacing="1" w:after="100" w:afterAutospacing="1" w:line="240" w:lineRule="auto"/>
        <w:jc w:val="both"/>
        <w:rPr>
          <w:rFonts w:ascii="Arial" w:hAnsi="Arial" w:cs="Arial"/>
          <w:szCs w:val="20"/>
        </w:rPr>
      </w:pPr>
      <w:r w:rsidRPr="00DB4448">
        <w:rPr>
          <w:rFonts w:ascii="Arial" w:hAnsi="Arial" w:cs="Arial"/>
          <w:szCs w:val="20"/>
        </w:rPr>
        <w:t>Hybridation des réseaux isolés à base de centrales thermiques par de l’énergie renouvelable avec dotation de batteries ;</w:t>
      </w:r>
    </w:p>
    <w:p w14:paraId="67083A55" w14:textId="77777777" w:rsidR="00DB4448" w:rsidRPr="00DB4448" w:rsidRDefault="00DB4448" w:rsidP="00687DD2">
      <w:pPr>
        <w:pStyle w:val="Paragraphedeliste"/>
        <w:numPr>
          <w:ilvl w:val="1"/>
          <w:numId w:val="45"/>
        </w:numPr>
        <w:spacing w:before="100" w:beforeAutospacing="1" w:after="100" w:afterAutospacing="1" w:line="240" w:lineRule="auto"/>
        <w:jc w:val="both"/>
        <w:rPr>
          <w:rFonts w:ascii="Arial" w:hAnsi="Arial" w:cs="Arial"/>
          <w:szCs w:val="20"/>
        </w:rPr>
      </w:pPr>
      <w:r w:rsidRPr="00DB4448">
        <w:rPr>
          <w:rFonts w:ascii="Arial" w:hAnsi="Arial" w:cs="Arial"/>
          <w:szCs w:val="20"/>
        </w:rPr>
        <w:t>Installation de mini-réseaux d’énergie renouvelable ;</w:t>
      </w:r>
    </w:p>
    <w:p w14:paraId="41B2B801" w14:textId="77777777" w:rsidR="00DB4448" w:rsidRPr="00DB4448" w:rsidRDefault="00DB4448" w:rsidP="00687DD2">
      <w:pPr>
        <w:pStyle w:val="Paragraphedeliste"/>
        <w:numPr>
          <w:ilvl w:val="1"/>
          <w:numId w:val="45"/>
        </w:numPr>
        <w:spacing w:before="100" w:beforeAutospacing="1" w:after="100" w:afterAutospacing="1" w:line="240" w:lineRule="auto"/>
        <w:jc w:val="both"/>
        <w:rPr>
          <w:rFonts w:ascii="Arial" w:hAnsi="Arial" w:cs="Arial"/>
          <w:szCs w:val="20"/>
        </w:rPr>
      </w:pPr>
      <w:r w:rsidRPr="00DB4448">
        <w:rPr>
          <w:rFonts w:ascii="Arial" w:hAnsi="Arial" w:cs="Arial"/>
          <w:szCs w:val="20"/>
        </w:rPr>
        <w:t>Densification et extension des réseaux électriques existants ;</w:t>
      </w:r>
    </w:p>
    <w:p w14:paraId="0049D223" w14:textId="77777777" w:rsidR="00DB4448" w:rsidRPr="00DB4448" w:rsidRDefault="00DB4448" w:rsidP="00687DD2">
      <w:pPr>
        <w:pStyle w:val="Paragraphedeliste"/>
        <w:numPr>
          <w:ilvl w:val="1"/>
          <w:numId w:val="45"/>
        </w:numPr>
        <w:spacing w:before="100" w:beforeAutospacing="1" w:after="100" w:afterAutospacing="1" w:line="240" w:lineRule="auto"/>
        <w:jc w:val="both"/>
        <w:rPr>
          <w:rFonts w:ascii="Arial" w:hAnsi="Arial" w:cs="Arial"/>
          <w:szCs w:val="20"/>
        </w:rPr>
      </w:pPr>
      <w:r w:rsidRPr="00DB4448">
        <w:rPr>
          <w:rFonts w:ascii="Arial" w:hAnsi="Arial" w:cs="Arial"/>
          <w:szCs w:val="20"/>
        </w:rPr>
        <w:t>Déploiement de technologie intelligente pour une gestion efficace et plus écologique ;</w:t>
      </w:r>
    </w:p>
    <w:p w14:paraId="2B0F3F0A" w14:textId="77777777" w:rsidR="00DB4448" w:rsidRPr="00DB4448" w:rsidRDefault="00DB4448" w:rsidP="00687DD2">
      <w:pPr>
        <w:pStyle w:val="Paragraphedeliste"/>
        <w:numPr>
          <w:ilvl w:val="1"/>
          <w:numId w:val="45"/>
        </w:numPr>
        <w:spacing w:before="100" w:beforeAutospacing="1" w:after="100" w:afterAutospacing="1" w:line="240" w:lineRule="auto"/>
        <w:jc w:val="both"/>
        <w:rPr>
          <w:rFonts w:ascii="Arial" w:hAnsi="Arial" w:cs="Arial"/>
          <w:szCs w:val="20"/>
        </w:rPr>
      </w:pPr>
      <w:r w:rsidRPr="00DB4448">
        <w:rPr>
          <w:rFonts w:ascii="Arial" w:hAnsi="Arial" w:cs="Arial"/>
          <w:szCs w:val="20"/>
        </w:rPr>
        <w:t>Installation d’infrastructures numériques (exemple tours cellulaires avec stations de base à large bande et réseau 4G ou plus ;</w:t>
      </w:r>
    </w:p>
    <w:p w14:paraId="02F23090" w14:textId="77777777" w:rsidR="00DB4448" w:rsidRPr="00DB4448" w:rsidRDefault="006A2D72" w:rsidP="00687DD2">
      <w:pPr>
        <w:pStyle w:val="Paragraphedeliste"/>
        <w:numPr>
          <w:ilvl w:val="1"/>
          <w:numId w:val="45"/>
        </w:numPr>
        <w:spacing w:before="100" w:beforeAutospacing="1" w:after="100" w:afterAutospacing="1" w:line="240" w:lineRule="auto"/>
        <w:jc w:val="both"/>
        <w:rPr>
          <w:rFonts w:ascii="Arial" w:hAnsi="Arial" w:cs="Arial"/>
          <w:szCs w:val="20"/>
        </w:rPr>
      </w:pPr>
      <w:r w:rsidRPr="00DB4448">
        <w:rPr>
          <w:rFonts w:ascii="Arial" w:hAnsi="Arial" w:cs="Arial"/>
          <w:szCs w:val="20"/>
        </w:rPr>
        <w:t>Facilit</w:t>
      </w:r>
      <w:r>
        <w:rPr>
          <w:rFonts w:ascii="Arial" w:hAnsi="Arial" w:cs="Arial"/>
          <w:szCs w:val="20"/>
        </w:rPr>
        <w:t>ation</w:t>
      </w:r>
      <w:r w:rsidRPr="00DB4448">
        <w:rPr>
          <w:rFonts w:ascii="Arial" w:hAnsi="Arial" w:cs="Arial"/>
          <w:szCs w:val="20"/>
        </w:rPr>
        <w:t xml:space="preserve"> </w:t>
      </w:r>
      <w:r w:rsidR="00DB4448" w:rsidRPr="00DB4448">
        <w:rPr>
          <w:rFonts w:ascii="Arial" w:hAnsi="Arial" w:cs="Arial"/>
          <w:szCs w:val="20"/>
        </w:rPr>
        <w:t>d’accès aux produits TSHR et matériels et équipements numériques (téléphone portable, ordinateur portable, etc.)</w:t>
      </w:r>
    </w:p>
    <w:p w14:paraId="203DC295" w14:textId="77777777" w:rsidR="00DB4448" w:rsidRPr="00DB4448" w:rsidRDefault="00DB4448" w:rsidP="00687DD2">
      <w:pPr>
        <w:pStyle w:val="Paragraphedeliste"/>
        <w:numPr>
          <w:ilvl w:val="1"/>
          <w:numId w:val="45"/>
        </w:numPr>
        <w:spacing w:before="100" w:beforeAutospacing="1" w:after="100" w:afterAutospacing="1" w:line="240" w:lineRule="auto"/>
        <w:jc w:val="both"/>
        <w:rPr>
          <w:rFonts w:ascii="Arial" w:hAnsi="Arial" w:cs="Arial"/>
          <w:szCs w:val="20"/>
        </w:rPr>
      </w:pPr>
      <w:r w:rsidRPr="00DB4448">
        <w:rPr>
          <w:rFonts w:ascii="Arial" w:hAnsi="Arial" w:cs="Arial"/>
          <w:szCs w:val="20"/>
        </w:rPr>
        <w:t>Mise en œuvre de solutions de financement aux utilisateurs (fournisseurs de TSHR, de servies numériques, populations cibles, …) sous forme de subventions, de FAR, de crédits ;</w:t>
      </w:r>
    </w:p>
    <w:p w14:paraId="7C5E7F6E" w14:textId="77777777" w:rsidR="00DB4448" w:rsidRPr="00DB4448" w:rsidRDefault="00DB4448" w:rsidP="00687DD2">
      <w:pPr>
        <w:pStyle w:val="Paragraphedeliste"/>
        <w:numPr>
          <w:ilvl w:val="1"/>
          <w:numId w:val="45"/>
        </w:numPr>
        <w:spacing w:before="100" w:beforeAutospacing="1" w:after="100" w:afterAutospacing="1" w:line="240" w:lineRule="auto"/>
        <w:jc w:val="both"/>
        <w:rPr>
          <w:rFonts w:ascii="Arial" w:hAnsi="Arial" w:cs="Arial"/>
          <w:szCs w:val="20"/>
        </w:rPr>
      </w:pPr>
      <w:r w:rsidRPr="00DB4448">
        <w:rPr>
          <w:rFonts w:ascii="Arial" w:hAnsi="Arial" w:cs="Arial"/>
          <w:szCs w:val="20"/>
        </w:rPr>
        <w:t>Alphabétisation numérique ;</w:t>
      </w:r>
    </w:p>
    <w:p w14:paraId="504BA3BC" w14:textId="77777777" w:rsidR="00DB4448" w:rsidRPr="00DB4448" w:rsidRDefault="00DB4448" w:rsidP="00687DD2">
      <w:pPr>
        <w:pStyle w:val="Paragraphedeliste"/>
        <w:numPr>
          <w:ilvl w:val="1"/>
          <w:numId w:val="45"/>
        </w:numPr>
        <w:spacing w:before="100" w:beforeAutospacing="1" w:after="100" w:afterAutospacing="1" w:line="240" w:lineRule="auto"/>
        <w:jc w:val="both"/>
        <w:rPr>
          <w:rFonts w:ascii="Arial" w:hAnsi="Arial" w:cs="Arial"/>
          <w:szCs w:val="20"/>
        </w:rPr>
      </w:pPr>
      <w:r w:rsidRPr="00DB4448">
        <w:rPr>
          <w:rFonts w:ascii="Arial" w:hAnsi="Arial" w:cs="Arial"/>
          <w:szCs w:val="20"/>
        </w:rPr>
        <w:t>Campagnes de sensibilisation et d’information sur les services numériques et les possibilités offertes par les énergies renouvelables</w:t>
      </w:r>
      <w:r w:rsidR="006A2D72">
        <w:rPr>
          <w:rFonts w:ascii="Arial" w:hAnsi="Arial" w:cs="Arial"/>
          <w:szCs w:val="20"/>
        </w:rPr>
        <w:t> ;</w:t>
      </w:r>
    </w:p>
    <w:p w14:paraId="00D5380C" w14:textId="77777777" w:rsidR="00DB4448" w:rsidRPr="00DB4448" w:rsidRDefault="00DB4448" w:rsidP="00687DD2">
      <w:pPr>
        <w:pStyle w:val="Paragraphedeliste"/>
        <w:numPr>
          <w:ilvl w:val="1"/>
          <w:numId w:val="45"/>
        </w:numPr>
        <w:spacing w:before="100" w:beforeAutospacing="1" w:after="100" w:afterAutospacing="1" w:line="240" w:lineRule="auto"/>
        <w:jc w:val="both"/>
        <w:rPr>
          <w:rFonts w:ascii="Arial" w:hAnsi="Arial" w:cs="Arial"/>
          <w:szCs w:val="20"/>
        </w:rPr>
      </w:pPr>
      <w:r w:rsidRPr="00DB4448">
        <w:rPr>
          <w:rFonts w:ascii="Arial" w:hAnsi="Arial" w:cs="Arial"/>
          <w:szCs w:val="20"/>
        </w:rPr>
        <w:t>Installation de la connectivité numérique et énergétique aux infrastructures sociales publiques (écoles, centres de santé, bureau de poste, etc.) ;</w:t>
      </w:r>
    </w:p>
    <w:p w14:paraId="0ED3C22F" w14:textId="77777777" w:rsidR="00DB4448" w:rsidRPr="00DB4448" w:rsidRDefault="00EC4731" w:rsidP="00687DD2">
      <w:pPr>
        <w:pStyle w:val="Paragraphedeliste"/>
        <w:numPr>
          <w:ilvl w:val="1"/>
          <w:numId w:val="45"/>
        </w:numPr>
        <w:spacing w:before="100" w:beforeAutospacing="1" w:after="100" w:afterAutospacing="1" w:line="240" w:lineRule="auto"/>
        <w:jc w:val="both"/>
        <w:rPr>
          <w:rFonts w:ascii="Arial" w:hAnsi="Arial" w:cs="Arial"/>
          <w:szCs w:val="20"/>
        </w:rPr>
      </w:pPr>
      <w:r w:rsidRPr="00DB4448">
        <w:rPr>
          <w:rFonts w:ascii="Arial" w:hAnsi="Arial" w:cs="Arial"/>
          <w:szCs w:val="20"/>
        </w:rPr>
        <w:lastRenderedPageBreak/>
        <w:t>Élargissement</w:t>
      </w:r>
      <w:r w:rsidR="00DB4448" w:rsidRPr="00DB4448">
        <w:rPr>
          <w:rFonts w:ascii="Arial" w:hAnsi="Arial" w:cs="Arial"/>
          <w:szCs w:val="20"/>
        </w:rPr>
        <w:t xml:space="preserve"> des points WIFI gratuits initiés par le ministère chargé des postes et télécommunications</w:t>
      </w:r>
      <w:r w:rsidR="006A2D72">
        <w:rPr>
          <w:rFonts w:ascii="Arial" w:hAnsi="Arial" w:cs="Arial"/>
          <w:szCs w:val="20"/>
        </w:rPr>
        <w:t> ;</w:t>
      </w:r>
    </w:p>
    <w:p w14:paraId="6CCD43CA" w14:textId="77777777" w:rsidR="00DB4448" w:rsidRPr="00DB4448" w:rsidRDefault="00DB4448" w:rsidP="00687DD2">
      <w:pPr>
        <w:pStyle w:val="Paragraphedeliste"/>
        <w:numPr>
          <w:ilvl w:val="1"/>
          <w:numId w:val="45"/>
        </w:numPr>
        <w:spacing w:before="100" w:beforeAutospacing="1" w:after="100" w:afterAutospacing="1" w:line="240" w:lineRule="auto"/>
        <w:jc w:val="both"/>
        <w:rPr>
          <w:rFonts w:ascii="Arial" w:hAnsi="Arial" w:cs="Arial"/>
          <w:szCs w:val="20"/>
        </w:rPr>
      </w:pPr>
      <w:r w:rsidRPr="00DB4448">
        <w:rPr>
          <w:rFonts w:ascii="Arial" w:hAnsi="Arial" w:cs="Arial"/>
          <w:szCs w:val="20"/>
        </w:rPr>
        <w:t>Fournitures d’assistances techniques diverses</w:t>
      </w:r>
      <w:r w:rsidR="006A2D72">
        <w:rPr>
          <w:rFonts w:ascii="Arial" w:hAnsi="Arial" w:cs="Arial"/>
          <w:szCs w:val="20"/>
        </w:rPr>
        <w:t> ;</w:t>
      </w:r>
    </w:p>
    <w:p w14:paraId="19AE8300" w14:textId="77777777" w:rsidR="00DB4448" w:rsidRPr="00DB4448" w:rsidRDefault="00DB4448" w:rsidP="00687DD2">
      <w:pPr>
        <w:pStyle w:val="Paragraphedeliste"/>
        <w:numPr>
          <w:ilvl w:val="1"/>
          <w:numId w:val="45"/>
        </w:numPr>
        <w:spacing w:before="100" w:beforeAutospacing="1" w:after="100" w:afterAutospacing="1" w:line="240" w:lineRule="auto"/>
        <w:jc w:val="both"/>
        <w:rPr>
          <w:rFonts w:ascii="Arial" w:hAnsi="Arial" w:cs="Arial"/>
          <w:szCs w:val="20"/>
        </w:rPr>
      </w:pPr>
      <w:r w:rsidRPr="00DB4448">
        <w:rPr>
          <w:rFonts w:ascii="Arial" w:hAnsi="Arial" w:cs="Arial"/>
          <w:szCs w:val="20"/>
        </w:rPr>
        <w:t>Renforcement de</w:t>
      </w:r>
      <w:r w:rsidR="006A2D72">
        <w:rPr>
          <w:rFonts w:ascii="Arial" w:hAnsi="Arial" w:cs="Arial"/>
          <w:szCs w:val="20"/>
        </w:rPr>
        <w:t>s</w:t>
      </w:r>
      <w:r w:rsidRPr="00DB4448">
        <w:rPr>
          <w:rFonts w:ascii="Arial" w:hAnsi="Arial" w:cs="Arial"/>
          <w:szCs w:val="20"/>
        </w:rPr>
        <w:t xml:space="preserve"> capacité</w:t>
      </w:r>
      <w:r w:rsidR="006A2D72">
        <w:rPr>
          <w:rFonts w:ascii="Arial" w:hAnsi="Arial" w:cs="Arial"/>
          <w:szCs w:val="20"/>
        </w:rPr>
        <w:t>s</w:t>
      </w:r>
      <w:r w:rsidRPr="00DB4448">
        <w:rPr>
          <w:rFonts w:ascii="Arial" w:hAnsi="Arial" w:cs="Arial"/>
          <w:szCs w:val="20"/>
        </w:rPr>
        <w:t xml:space="preserve"> technique</w:t>
      </w:r>
      <w:r w:rsidR="006A2D72">
        <w:rPr>
          <w:rFonts w:ascii="Arial" w:hAnsi="Arial" w:cs="Arial"/>
          <w:szCs w:val="20"/>
        </w:rPr>
        <w:t>s</w:t>
      </w:r>
      <w:r w:rsidRPr="00DB4448">
        <w:rPr>
          <w:rFonts w:ascii="Arial" w:hAnsi="Arial" w:cs="Arial"/>
          <w:szCs w:val="20"/>
        </w:rPr>
        <w:t xml:space="preserve"> des institutions sectorielles (énergie, numérique) ;</w:t>
      </w:r>
    </w:p>
    <w:p w14:paraId="56E4545D" w14:textId="77777777" w:rsidR="006A2D72" w:rsidRDefault="00DB4448" w:rsidP="00AE406E">
      <w:pPr>
        <w:pStyle w:val="Paragraphedeliste"/>
        <w:numPr>
          <w:ilvl w:val="1"/>
          <w:numId w:val="45"/>
        </w:numPr>
        <w:spacing w:before="100" w:beforeAutospacing="1" w:after="100" w:afterAutospacing="1" w:line="240" w:lineRule="auto"/>
        <w:jc w:val="both"/>
        <w:rPr>
          <w:rFonts w:ascii="Arial" w:hAnsi="Arial" w:cs="Arial"/>
          <w:szCs w:val="20"/>
        </w:rPr>
      </w:pPr>
      <w:r w:rsidRPr="00DB4448">
        <w:rPr>
          <w:rFonts w:ascii="Arial" w:hAnsi="Arial" w:cs="Arial"/>
          <w:szCs w:val="20"/>
        </w:rPr>
        <w:t>Renforcement de l’environnement politique, juridique, et règlementaire dans les secteurs de l’énergie et du numérique</w:t>
      </w:r>
      <w:r w:rsidR="006A2D72">
        <w:rPr>
          <w:rFonts w:ascii="Arial" w:hAnsi="Arial" w:cs="Arial"/>
          <w:szCs w:val="20"/>
        </w:rPr>
        <w:t> ;</w:t>
      </w:r>
    </w:p>
    <w:p w14:paraId="10856AED" w14:textId="77777777" w:rsidR="006A2D72" w:rsidRPr="00AE406E" w:rsidRDefault="006A2D72" w:rsidP="00AE406E">
      <w:pPr>
        <w:pStyle w:val="Paragraphedeliste"/>
        <w:numPr>
          <w:ilvl w:val="1"/>
          <w:numId w:val="45"/>
        </w:numPr>
        <w:spacing w:before="100" w:beforeAutospacing="1" w:after="100" w:afterAutospacing="1" w:line="240" w:lineRule="auto"/>
        <w:jc w:val="both"/>
        <w:rPr>
          <w:rFonts w:ascii="Arial" w:hAnsi="Arial" w:cs="Arial"/>
          <w:szCs w:val="20"/>
        </w:rPr>
      </w:pPr>
      <w:r w:rsidRPr="00AE406E">
        <w:rPr>
          <w:rFonts w:ascii="Arial" w:hAnsi="Arial" w:cs="Arial"/>
          <w:szCs w:val="20"/>
        </w:rPr>
        <w:t>Mise en place de la structure de gestion au niveau national et au niveau régional.</w:t>
      </w:r>
    </w:p>
    <w:p w14:paraId="6963B23A" w14:textId="77777777" w:rsidR="00DB4448" w:rsidRDefault="00DB4448" w:rsidP="00AE406E">
      <w:pPr>
        <w:pStyle w:val="Paragraphedeliste"/>
        <w:spacing w:before="100" w:beforeAutospacing="1" w:after="100" w:afterAutospacing="1" w:line="240" w:lineRule="auto"/>
        <w:ind w:left="1080"/>
        <w:jc w:val="both"/>
        <w:rPr>
          <w:rFonts w:ascii="Arial" w:hAnsi="Arial" w:cs="Arial"/>
          <w:szCs w:val="20"/>
        </w:rPr>
      </w:pPr>
    </w:p>
    <w:p w14:paraId="30B95AC0" w14:textId="77777777" w:rsidR="00592898" w:rsidRPr="00742D67" w:rsidRDefault="00273218" w:rsidP="0044500E">
      <w:pPr>
        <w:pStyle w:val="TIT2"/>
        <w:numPr>
          <w:ilvl w:val="1"/>
          <w:numId w:val="177"/>
        </w:numPr>
        <w:rPr>
          <w:color w:val="auto"/>
        </w:rPr>
      </w:pPr>
      <w:bookmarkStart w:id="107" w:name="_Toc126593014"/>
      <w:bookmarkStart w:id="108" w:name="_Toc125384500"/>
      <w:bookmarkStart w:id="109" w:name="_Toc125384889"/>
      <w:bookmarkStart w:id="110" w:name="_Toc127957561"/>
      <w:bookmarkEnd w:id="107"/>
      <w:r w:rsidRPr="00742D67">
        <w:rPr>
          <w:color w:val="auto"/>
        </w:rPr>
        <w:t>Conclusion partielle</w:t>
      </w:r>
      <w:bookmarkEnd w:id="108"/>
      <w:bookmarkEnd w:id="109"/>
      <w:bookmarkEnd w:id="110"/>
      <w:r w:rsidRPr="00742D67">
        <w:rPr>
          <w:color w:val="auto"/>
        </w:rPr>
        <w:t xml:space="preserve"> </w:t>
      </w:r>
    </w:p>
    <w:p w14:paraId="51DB3F02" w14:textId="77777777" w:rsidR="00273218" w:rsidRPr="00742D67" w:rsidRDefault="00273218" w:rsidP="00B434A6">
      <w:pPr>
        <w:jc w:val="both"/>
        <w:rPr>
          <w:rFonts w:ascii="Arial" w:hAnsi="Arial" w:cs="Arial"/>
        </w:rPr>
      </w:pPr>
      <w:r w:rsidRPr="00742D67">
        <w:rPr>
          <w:rFonts w:ascii="Arial" w:hAnsi="Arial" w:cs="Arial"/>
        </w:rPr>
        <w:t xml:space="preserve">Les activités du projet </w:t>
      </w:r>
      <w:r w:rsidR="00333CF9">
        <w:rPr>
          <w:rFonts w:ascii="Arial" w:hAnsi="Arial" w:cs="Arial"/>
        </w:rPr>
        <w:t xml:space="preserve">DECIM </w:t>
      </w:r>
      <w:r w:rsidRPr="00742D67">
        <w:rPr>
          <w:rFonts w:ascii="Arial" w:hAnsi="Arial" w:cs="Arial"/>
        </w:rPr>
        <w:t>susceptibles d’avoir des impacts sur le mil</w:t>
      </w:r>
      <w:r w:rsidR="0097266A">
        <w:rPr>
          <w:rFonts w:ascii="Arial" w:hAnsi="Arial" w:cs="Arial"/>
        </w:rPr>
        <w:t>i</w:t>
      </w:r>
      <w:r w:rsidRPr="00742D67">
        <w:rPr>
          <w:rFonts w:ascii="Arial" w:hAnsi="Arial" w:cs="Arial"/>
        </w:rPr>
        <w:t>eu environnemental et social</w:t>
      </w:r>
      <w:r w:rsidR="00DB1EE5" w:rsidRPr="00742D67">
        <w:rPr>
          <w:rFonts w:ascii="Arial" w:hAnsi="Arial" w:cs="Arial"/>
        </w:rPr>
        <w:t>,</w:t>
      </w:r>
      <w:r w:rsidRPr="00742D67">
        <w:rPr>
          <w:rFonts w:ascii="Arial" w:hAnsi="Arial" w:cs="Arial"/>
        </w:rPr>
        <w:t xml:space="preserve"> </w:t>
      </w:r>
      <w:r w:rsidR="0097266A">
        <w:rPr>
          <w:rFonts w:ascii="Arial" w:hAnsi="Arial" w:cs="Arial"/>
        </w:rPr>
        <w:t>conformé</w:t>
      </w:r>
      <w:r w:rsidR="0026577A">
        <w:rPr>
          <w:rFonts w:ascii="Arial" w:hAnsi="Arial" w:cs="Arial"/>
        </w:rPr>
        <w:t>me</w:t>
      </w:r>
      <w:r w:rsidR="0097266A">
        <w:rPr>
          <w:rFonts w:ascii="Arial" w:hAnsi="Arial" w:cs="Arial"/>
        </w:rPr>
        <w:t>nt aux</w:t>
      </w:r>
      <w:r w:rsidRPr="00742D67">
        <w:rPr>
          <w:rFonts w:ascii="Arial" w:hAnsi="Arial" w:cs="Arial"/>
        </w:rPr>
        <w:t xml:space="preserve"> NES de la Banque mondiale sont regroupées dans les composantes 1</w:t>
      </w:r>
      <w:r w:rsidR="0070074C">
        <w:rPr>
          <w:rFonts w:ascii="Arial" w:hAnsi="Arial" w:cs="Arial"/>
        </w:rPr>
        <w:t>,</w:t>
      </w:r>
      <w:r w:rsidRPr="00742D67">
        <w:rPr>
          <w:rFonts w:ascii="Arial" w:hAnsi="Arial" w:cs="Arial"/>
        </w:rPr>
        <w:t xml:space="preserve"> 2</w:t>
      </w:r>
      <w:r w:rsidR="0070074C">
        <w:rPr>
          <w:rFonts w:ascii="Arial" w:hAnsi="Arial" w:cs="Arial"/>
        </w:rPr>
        <w:t xml:space="preserve"> et</w:t>
      </w:r>
      <w:r w:rsidR="0026577A">
        <w:rPr>
          <w:rFonts w:ascii="Arial" w:hAnsi="Arial" w:cs="Arial"/>
        </w:rPr>
        <w:t xml:space="preserve"> </w:t>
      </w:r>
      <w:r w:rsidR="0070074C">
        <w:rPr>
          <w:rFonts w:ascii="Arial" w:hAnsi="Arial" w:cs="Arial"/>
        </w:rPr>
        <w:t xml:space="preserve">3 </w:t>
      </w:r>
      <w:r w:rsidR="0026577A">
        <w:rPr>
          <w:rFonts w:ascii="Arial" w:hAnsi="Arial" w:cs="Arial"/>
        </w:rPr>
        <w:t>respectivement</w:t>
      </w:r>
      <w:r w:rsidRPr="00742D67">
        <w:rPr>
          <w:rFonts w:ascii="Arial" w:hAnsi="Arial" w:cs="Arial"/>
        </w:rPr>
        <w:t xml:space="preserve"> relatives au développement de l’infrastructure énergétique et numérique</w:t>
      </w:r>
      <w:r w:rsidR="0070074C">
        <w:rPr>
          <w:rFonts w:ascii="Arial" w:hAnsi="Arial" w:cs="Arial"/>
        </w:rPr>
        <w:t>,</w:t>
      </w:r>
      <w:r w:rsidRPr="00742D67">
        <w:rPr>
          <w:rFonts w:ascii="Arial" w:hAnsi="Arial" w:cs="Arial"/>
        </w:rPr>
        <w:t xml:space="preserve"> l’amélioration de l'énergie et de l'inclusion numérique</w:t>
      </w:r>
      <w:r w:rsidR="0070074C">
        <w:rPr>
          <w:rFonts w:ascii="Arial" w:hAnsi="Arial" w:cs="Arial"/>
        </w:rPr>
        <w:t xml:space="preserve"> et </w:t>
      </w:r>
      <w:r w:rsidR="009B028F">
        <w:rPr>
          <w:rFonts w:ascii="Arial" w:hAnsi="Arial" w:cs="Arial"/>
        </w:rPr>
        <w:t xml:space="preserve">au </w:t>
      </w:r>
      <w:r w:rsidR="009B028F" w:rsidRPr="00AE406E">
        <w:rPr>
          <w:rFonts w:ascii="Arial" w:hAnsi="Arial" w:cs="Arial"/>
        </w:rPr>
        <w:t>s</w:t>
      </w:r>
      <w:r w:rsidR="0070074C" w:rsidRPr="00AE406E">
        <w:rPr>
          <w:rFonts w:ascii="Arial" w:hAnsi="Arial" w:cs="Arial"/>
        </w:rPr>
        <w:t>outien de l’environnement favorable à l’énergie verte et à l’infrastructure numérique</w:t>
      </w:r>
      <w:r w:rsidR="0070074C">
        <w:rPr>
          <w:rFonts w:ascii="Arial" w:hAnsi="Arial" w:cs="Arial"/>
        </w:rPr>
        <w:t xml:space="preserve"> </w:t>
      </w:r>
      <w:r w:rsidRPr="00742D67">
        <w:rPr>
          <w:rFonts w:ascii="Arial" w:hAnsi="Arial" w:cs="Arial"/>
        </w:rPr>
        <w:t xml:space="preserve">. Les </w:t>
      </w:r>
      <w:r w:rsidR="00E95BD1" w:rsidRPr="00742D67">
        <w:rPr>
          <w:rFonts w:ascii="Arial" w:hAnsi="Arial" w:cs="Arial"/>
        </w:rPr>
        <w:t xml:space="preserve">sous projets </w:t>
      </w:r>
      <w:r w:rsidRPr="00742D67">
        <w:rPr>
          <w:rFonts w:ascii="Arial" w:hAnsi="Arial" w:cs="Arial"/>
        </w:rPr>
        <w:t>qui risquent d’avoir des impacts environnementaux et sociaux sont donc :</w:t>
      </w:r>
    </w:p>
    <w:p w14:paraId="630CFF99" w14:textId="77777777" w:rsidR="00273218" w:rsidRPr="00742D67" w:rsidRDefault="00081D61" w:rsidP="0044500E">
      <w:pPr>
        <w:pStyle w:val="Paragraphedeliste"/>
        <w:numPr>
          <w:ilvl w:val="0"/>
          <w:numId w:val="189"/>
        </w:numPr>
        <w:jc w:val="both"/>
        <w:rPr>
          <w:rFonts w:ascii="Arial" w:hAnsi="Arial" w:cs="Arial"/>
          <w:color w:val="auto"/>
        </w:rPr>
      </w:pPr>
      <w:r w:rsidRPr="00742D67">
        <w:rPr>
          <w:rFonts w:ascii="Arial" w:hAnsi="Arial" w:cs="Arial"/>
          <w:color w:val="auto"/>
        </w:rPr>
        <w:t>L’hybridation photovoltaïque des centrales thermiques existantes avec l'ajout de batteries de stockage</w:t>
      </w:r>
      <w:r w:rsidR="003F27AB">
        <w:rPr>
          <w:rFonts w:ascii="Arial" w:hAnsi="Arial" w:cs="Arial"/>
          <w:color w:val="auto"/>
        </w:rPr>
        <w:t> ;</w:t>
      </w:r>
    </w:p>
    <w:p w14:paraId="04B6828D" w14:textId="77777777" w:rsidR="00081D61" w:rsidRPr="00742D67" w:rsidRDefault="00081D61" w:rsidP="0044500E">
      <w:pPr>
        <w:pStyle w:val="Paragraphedeliste"/>
        <w:numPr>
          <w:ilvl w:val="0"/>
          <w:numId w:val="189"/>
        </w:numPr>
        <w:jc w:val="both"/>
        <w:rPr>
          <w:rFonts w:ascii="Arial" w:hAnsi="Arial" w:cs="Arial"/>
          <w:color w:val="auto"/>
        </w:rPr>
      </w:pPr>
      <w:r w:rsidRPr="00742D67">
        <w:rPr>
          <w:rFonts w:ascii="Arial" w:hAnsi="Arial" w:cs="Arial"/>
          <w:color w:val="auto"/>
        </w:rPr>
        <w:t xml:space="preserve">Le </w:t>
      </w:r>
      <w:r w:rsidR="0097266A">
        <w:rPr>
          <w:rFonts w:ascii="Arial" w:hAnsi="Arial" w:cs="Arial"/>
          <w:color w:val="auto"/>
        </w:rPr>
        <w:t>d</w:t>
      </w:r>
      <w:r w:rsidRPr="00742D67">
        <w:rPr>
          <w:rFonts w:ascii="Arial" w:hAnsi="Arial" w:cs="Arial"/>
          <w:color w:val="auto"/>
        </w:rPr>
        <w:t>éploiement de l'infrastructure numérique dans les zones rurales</w:t>
      </w:r>
      <w:r w:rsidR="003F27AB">
        <w:rPr>
          <w:rFonts w:ascii="Arial" w:hAnsi="Arial" w:cs="Arial"/>
          <w:color w:val="auto"/>
        </w:rPr>
        <w:t> ;</w:t>
      </w:r>
    </w:p>
    <w:p w14:paraId="68BB1943" w14:textId="77777777" w:rsidR="00081D61" w:rsidRPr="00742D67" w:rsidRDefault="00081D61" w:rsidP="0044500E">
      <w:pPr>
        <w:pStyle w:val="Paragraphedeliste"/>
        <w:numPr>
          <w:ilvl w:val="0"/>
          <w:numId w:val="189"/>
        </w:numPr>
        <w:jc w:val="both"/>
        <w:rPr>
          <w:rFonts w:ascii="Arial" w:hAnsi="Arial" w:cs="Arial"/>
          <w:color w:val="auto"/>
        </w:rPr>
      </w:pPr>
      <w:r w:rsidRPr="00742D67">
        <w:rPr>
          <w:rFonts w:ascii="Arial" w:hAnsi="Arial" w:cs="Arial"/>
          <w:color w:val="auto"/>
        </w:rPr>
        <w:t>Le déploiement de mini-réseaux avec des réseaux BT locaux et alimentés par des ressources d'énergie renouvelable appropriées (solaire photovoltaïque ou hydroélectri</w:t>
      </w:r>
      <w:r w:rsidR="0097266A">
        <w:rPr>
          <w:rFonts w:ascii="Arial" w:hAnsi="Arial" w:cs="Arial"/>
          <w:color w:val="auto"/>
        </w:rPr>
        <w:t>cité</w:t>
      </w:r>
      <w:r w:rsidRPr="00742D67">
        <w:rPr>
          <w:rFonts w:ascii="Arial" w:hAnsi="Arial" w:cs="Arial"/>
          <w:color w:val="auto"/>
        </w:rPr>
        <w:t>)</w:t>
      </w:r>
      <w:r w:rsidR="003F27AB">
        <w:rPr>
          <w:rFonts w:ascii="Arial" w:hAnsi="Arial" w:cs="Arial"/>
          <w:color w:val="auto"/>
        </w:rPr>
        <w:t> ;</w:t>
      </w:r>
    </w:p>
    <w:p w14:paraId="6CC50876" w14:textId="77777777" w:rsidR="00081D61" w:rsidRPr="00742D67" w:rsidRDefault="00081D61" w:rsidP="0044500E">
      <w:pPr>
        <w:pStyle w:val="Paragraphedeliste"/>
        <w:numPr>
          <w:ilvl w:val="0"/>
          <w:numId w:val="189"/>
        </w:numPr>
        <w:jc w:val="both"/>
        <w:rPr>
          <w:rFonts w:ascii="Arial" w:hAnsi="Arial" w:cs="Arial"/>
          <w:color w:val="auto"/>
        </w:rPr>
      </w:pPr>
      <w:r w:rsidRPr="00742D67">
        <w:rPr>
          <w:rFonts w:ascii="Arial" w:hAnsi="Arial" w:cs="Arial"/>
          <w:color w:val="auto"/>
        </w:rPr>
        <w:t>La facilitation d’accès à des solutions d'électricité hors réseau (par exemple</w:t>
      </w:r>
      <w:r w:rsidR="0097266A">
        <w:rPr>
          <w:rFonts w:ascii="Arial" w:hAnsi="Arial" w:cs="Arial"/>
          <w:color w:val="auto"/>
        </w:rPr>
        <w:t> :</w:t>
      </w:r>
      <w:r w:rsidRPr="00742D67">
        <w:rPr>
          <w:rFonts w:ascii="Arial" w:hAnsi="Arial" w:cs="Arial"/>
          <w:color w:val="auto"/>
        </w:rPr>
        <w:t xml:space="preserve"> lampes solaires, chargeurs solaires) et à des appareils numériques abordables</w:t>
      </w:r>
      <w:r w:rsidR="003F27AB">
        <w:rPr>
          <w:rFonts w:ascii="Arial" w:hAnsi="Arial" w:cs="Arial"/>
          <w:color w:val="auto"/>
        </w:rPr>
        <w:t> ;</w:t>
      </w:r>
    </w:p>
    <w:p w14:paraId="5DE29100" w14:textId="77777777" w:rsidR="00081D61" w:rsidRPr="00742D67" w:rsidRDefault="00081D61" w:rsidP="0044500E">
      <w:pPr>
        <w:pStyle w:val="Paragraphedeliste"/>
        <w:numPr>
          <w:ilvl w:val="0"/>
          <w:numId w:val="189"/>
        </w:numPr>
        <w:jc w:val="both"/>
        <w:rPr>
          <w:rFonts w:ascii="Arial" w:hAnsi="Arial" w:cs="Arial"/>
          <w:color w:val="auto"/>
        </w:rPr>
      </w:pPr>
      <w:r w:rsidRPr="00742D67">
        <w:rPr>
          <w:rFonts w:ascii="Arial" w:hAnsi="Arial" w:cs="Arial"/>
          <w:color w:val="auto"/>
        </w:rPr>
        <w:t>L’alphabétisation et sensibilisation au numérique et aux énergies renouvelables</w:t>
      </w:r>
      <w:r w:rsidR="003F27AB">
        <w:rPr>
          <w:rFonts w:ascii="Arial" w:hAnsi="Arial" w:cs="Arial"/>
          <w:color w:val="auto"/>
        </w:rPr>
        <w:t> ;</w:t>
      </w:r>
    </w:p>
    <w:p w14:paraId="57E189D6" w14:textId="77777777" w:rsidR="00081D61" w:rsidRPr="00742D67" w:rsidRDefault="00081D61" w:rsidP="0044500E">
      <w:pPr>
        <w:pStyle w:val="Paragraphedeliste"/>
        <w:numPr>
          <w:ilvl w:val="0"/>
          <w:numId w:val="189"/>
        </w:numPr>
        <w:jc w:val="both"/>
        <w:rPr>
          <w:rFonts w:ascii="Arial" w:hAnsi="Arial" w:cs="Arial"/>
          <w:color w:val="auto"/>
        </w:rPr>
      </w:pPr>
      <w:r w:rsidRPr="00742D67">
        <w:rPr>
          <w:rFonts w:ascii="Arial" w:hAnsi="Arial" w:cs="Arial"/>
          <w:color w:val="auto"/>
        </w:rPr>
        <w:t xml:space="preserve">La fourniture </w:t>
      </w:r>
      <w:r w:rsidR="00333CF9">
        <w:rPr>
          <w:rFonts w:ascii="Arial" w:hAnsi="Arial" w:cs="Arial"/>
          <w:color w:val="auto"/>
        </w:rPr>
        <w:t xml:space="preserve">de </w:t>
      </w:r>
      <w:r w:rsidRPr="00742D67">
        <w:rPr>
          <w:rFonts w:ascii="Arial" w:hAnsi="Arial" w:cs="Arial"/>
          <w:color w:val="auto"/>
        </w:rPr>
        <w:t>la connectivité aux institutions publiques ciblées non connectées ou mal desservies, en particulier les écoles et les centres de santé</w:t>
      </w:r>
      <w:r w:rsidR="0097266A">
        <w:rPr>
          <w:rFonts w:ascii="Arial" w:hAnsi="Arial" w:cs="Arial"/>
          <w:color w:val="auto"/>
        </w:rPr>
        <w:t>.</w:t>
      </w:r>
    </w:p>
    <w:p w14:paraId="0271B29C" w14:textId="77777777" w:rsidR="00273218" w:rsidRPr="00742D67" w:rsidRDefault="00E95BD1" w:rsidP="00B434A6">
      <w:pPr>
        <w:jc w:val="both"/>
        <w:rPr>
          <w:rFonts w:ascii="Arial" w:hAnsi="Arial" w:cs="Arial"/>
        </w:rPr>
      </w:pPr>
      <w:r w:rsidRPr="00742D67">
        <w:rPr>
          <w:rFonts w:ascii="Arial" w:hAnsi="Arial" w:cs="Arial"/>
        </w:rPr>
        <w:t>L’analyse des impacts environne</w:t>
      </w:r>
      <w:r w:rsidR="0097266A">
        <w:rPr>
          <w:rFonts w:ascii="Arial" w:hAnsi="Arial" w:cs="Arial"/>
        </w:rPr>
        <w:t>men</w:t>
      </w:r>
      <w:r w:rsidRPr="00742D67">
        <w:rPr>
          <w:rFonts w:ascii="Arial" w:hAnsi="Arial" w:cs="Arial"/>
        </w:rPr>
        <w:t xml:space="preserve">taux et sociaux dans le cadre de ce document se baseront alors </w:t>
      </w:r>
      <w:r w:rsidR="0097266A">
        <w:rPr>
          <w:rFonts w:ascii="Arial" w:hAnsi="Arial" w:cs="Arial"/>
        </w:rPr>
        <w:t>sur</w:t>
      </w:r>
      <w:r w:rsidR="0097266A" w:rsidRPr="00742D67">
        <w:rPr>
          <w:rFonts w:ascii="Arial" w:hAnsi="Arial" w:cs="Arial"/>
        </w:rPr>
        <w:t xml:space="preserve"> </w:t>
      </w:r>
      <w:r w:rsidRPr="00742D67">
        <w:rPr>
          <w:rFonts w:ascii="Arial" w:hAnsi="Arial" w:cs="Arial"/>
        </w:rPr>
        <w:t>ces différents sous</w:t>
      </w:r>
      <w:r w:rsidR="003F27AB">
        <w:rPr>
          <w:rFonts w:ascii="Arial" w:hAnsi="Arial" w:cs="Arial"/>
        </w:rPr>
        <w:t>-</w:t>
      </w:r>
      <w:r w:rsidRPr="00742D67">
        <w:rPr>
          <w:rFonts w:ascii="Arial" w:hAnsi="Arial" w:cs="Arial"/>
        </w:rPr>
        <w:t>projet</w:t>
      </w:r>
      <w:r w:rsidR="00DB1EE5" w:rsidRPr="00742D67">
        <w:rPr>
          <w:rFonts w:ascii="Arial" w:hAnsi="Arial" w:cs="Arial"/>
        </w:rPr>
        <w:t>s</w:t>
      </w:r>
      <w:r w:rsidR="009D5FAB" w:rsidRPr="00742D67">
        <w:rPr>
          <w:rFonts w:ascii="Arial" w:hAnsi="Arial" w:cs="Arial"/>
        </w:rPr>
        <w:t xml:space="preserve">. </w:t>
      </w:r>
    </w:p>
    <w:p w14:paraId="5EDDB24F" w14:textId="77777777" w:rsidR="00273218" w:rsidRPr="00B434A6" w:rsidRDefault="00273218" w:rsidP="00B434A6">
      <w:pPr>
        <w:jc w:val="both"/>
        <w:rPr>
          <w:rFonts w:ascii="Arial" w:hAnsi="Arial" w:cs="Arial"/>
        </w:rPr>
      </w:pPr>
    </w:p>
    <w:p w14:paraId="7A0E5DE9" w14:textId="77777777" w:rsidR="00E95156" w:rsidRDefault="00E95156">
      <w:r>
        <w:br w:type="page"/>
      </w:r>
    </w:p>
    <w:p w14:paraId="1435A2FE" w14:textId="77777777" w:rsidR="009E6BA4" w:rsidRPr="00B96EBA" w:rsidRDefault="009E6BA4" w:rsidP="0044500E">
      <w:pPr>
        <w:pStyle w:val="Paragraphedeliste"/>
        <w:numPr>
          <w:ilvl w:val="0"/>
          <w:numId w:val="177"/>
        </w:numPr>
        <w:pBdr>
          <w:bottom w:val="single" w:sz="4" w:space="1" w:color="auto"/>
        </w:pBdr>
        <w:spacing w:line="240" w:lineRule="auto"/>
        <w:jc w:val="both"/>
        <w:outlineLvl w:val="0"/>
        <w:rPr>
          <w:b/>
          <w:bCs/>
          <w:caps/>
          <w:color w:val="44546A"/>
          <w:sz w:val="40"/>
          <w:szCs w:val="44"/>
        </w:rPr>
      </w:pPr>
      <w:bookmarkStart w:id="111" w:name="_Toc124956101"/>
      <w:bookmarkStart w:id="112" w:name="_Toc125384501"/>
      <w:bookmarkStart w:id="113" w:name="_Toc125384890"/>
      <w:bookmarkStart w:id="114" w:name="_Toc127957562"/>
      <w:r w:rsidRPr="00B96EBA">
        <w:rPr>
          <w:b/>
          <w:bCs/>
          <w:caps/>
          <w:color w:val="44546A"/>
          <w:sz w:val="40"/>
          <w:szCs w:val="44"/>
        </w:rPr>
        <w:t>Description des sous projets potentiels</w:t>
      </w:r>
      <w:bookmarkEnd w:id="111"/>
      <w:bookmarkEnd w:id="112"/>
      <w:bookmarkEnd w:id="113"/>
      <w:bookmarkEnd w:id="114"/>
      <w:r w:rsidRPr="00B96EBA">
        <w:rPr>
          <w:b/>
          <w:bCs/>
          <w:caps/>
          <w:color w:val="44546A"/>
          <w:sz w:val="40"/>
          <w:szCs w:val="44"/>
        </w:rPr>
        <w:t xml:space="preserve"> </w:t>
      </w:r>
    </w:p>
    <w:p w14:paraId="68BA9AC0" w14:textId="77777777" w:rsidR="000171C4" w:rsidRPr="007F78CE" w:rsidRDefault="000171C4" w:rsidP="0044500E">
      <w:pPr>
        <w:pStyle w:val="TIT2"/>
        <w:numPr>
          <w:ilvl w:val="1"/>
          <w:numId w:val="177"/>
        </w:numPr>
      </w:pPr>
      <w:bookmarkStart w:id="115" w:name="_Toc124312625"/>
      <w:bookmarkStart w:id="116" w:name="_Toc124314624"/>
      <w:bookmarkStart w:id="117" w:name="_Toc124956102"/>
      <w:bookmarkStart w:id="118" w:name="_Toc125384502"/>
      <w:bookmarkStart w:id="119" w:name="_Toc125384891"/>
      <w:bookmarkStart w:id="120" w:name="_Toc127957563"/>
      <w:bookmarkEnd w:id="115"/>
      <w:r w:rsidRPr="007F78CE">
        <w:t>Hybridation et numérisation des réseaux isolés</w:t>
      </w:r>
      <w:bookmarkEnd w:id="116"/>
      <w:bookmarkEnd w:id="117"/>
      <w:bookmarkEnd w:id="118"/>
      <w:bookmarkEnd w:id="119"/>
      <w:bookmarkEnd w:id="120"/>
      <w:r w:rsidRPr="007F78CE">
        <w:t xml:space="preserve"> </w:t>
      </w:r>
    </w:p>
    <w:p w14:paraId="59CFA598" w14:textId="77777777" w:rsidR="000171C4" w:rsidRPr="00F1516D" w:rsidRDefault="000171C4" w:rsidP="000171C4">
      <w:pPr>
        <w:rPr>
          <w:rFonts w:ascii="Arial" w:hAnsi="Arial" w:cs="Arial"/>
        </w:rPr>
      </w:pPr>
      <w:r w:rsidRPr="00F1516D">
        <w:rPr>
          <w:rFonts w:ascii="Arial" w:hAnsi="Arial" w:cs="Arial"/>
        </w:rPr>
        <w:t xml:space="preserve">L’hybridation consiste </w:t>
      </w:r>
      <w:r w:rsidR="00EC4731">
        <w:rPr>
          <w:rFonts w:ascii="Arial" w:hAnsi="Arial" w:cs="Arial"/>
        </w:rPr>
        <w:t>en</w:t>
      </w:r>
      <w:r w:rsidRPr="00F1516D">
        <w:rPr>
          <w:rFonts w:ascii="Arial" w:hAnsi="Arial" w:cs="Arial"/>
        </w:rPr>
        <w:t xml:space="preserve"> l’installation de centres de production à ressources renouvelables et l’injection de l’énergie produite dans un réseau déjà existant utilisant d’autres ressources (généralement thermique).</w:t>
      </w:r>
    </w:p>
    <w:p w14:paraId="0E109D00" w14:textId="77777777" w:rsidR="000171C4" w:rsidRPr="00F1516D" w:rsidRDefault="000171C4" w:rsidP="000171C4">
      <w:pPr>
        <w:jc w:val="both"/>
        <w:rPr>
          <w:rFonts w:ascii="Arial" w:hAnsi="Arial" w:cs="Arial"/>
        </w:rPr>
      </w:pPr>
      <w:r w:rsidRPr="00F1516D">
        <w:rPr>
          <w:rFonts w:ascii="Arial" w:hAnsi="Arial" w:cs="Arial"/>
        </w:rPr>
        <w:t>Destinée aux réseaux isolés à source hydroélectrique ou thermique, l’hybridation augmente la capacité de production, permettant de supporter plus de charges lors des pics de consommation. De plus, elle permet de réduire la consommation de carburant et la pollution quand la demande est moindre en alléguant les centrales thermiques.</w:t>
      </w:r>
    </w:p>
    <w:p w14:paraId="2E63C83E" w14:textId="77777777" w:rsidR="000171C4" w:rsidRPr="000171C4" w:rsidRDefault="000171C4" w:rsidP="0044500E">
      <w:pPr>
        <w:pStyle w:val="TIT3"/>
        <w:numPr>
          <w:ilvl w:val="2"/>
          <w:numId w:val="177"/>
        </w:numPr>
      </w:pPr>
      <w:bookmarkStart w:id="121" w:name="_Toc124314626"/>
      <w:bookmarkStart w:id="122" w:name="_Toc124956103"/>
      <w:bookmarkStart w:id="123" w:name="_Toc125384503"/>
      <w:bookmarkStart w:id="124" w:name="_Toc125384892"/>
      <w:bookmarkStart w:id="125" w:name="_Toc127957564"/>
      <w:r w:rsidRPr="000171C4">
        <w:t>Hybridation avec le solaire photovoltaïque sans stockage</w:t>
      </w:r>
      <w:bookmarkEnd w:id="121"/>
      <w:bookmarkEnd w:id="122"/>
      <w:bookmarkEnd w:id="123"/>
      <w:bookmarkEnd w:id="124"/>
      <w:bookmarkEnd w:id="125"/>
    </w:p>
    <w:p w14:paraId="4505B1B0" w14:textId="77777777" w:rsidR="000171C4" w:rsidRPr="00F1516D" w:rsidRDefault="000171C4" w:rsidP="000171C4">
      <w:pPr>
        <w:jc w:val="both"/>
        <w:rPr>
          <w:rFonts w:ascii="Arial" w:hAnsi="Arial" w:cs="Arial"/>
        </w:rPr>
      </w:pPr>
      <w:r w:rsidRPr="00F1516D">
        <w:rPr>
          <w:rFonts w:ascii="Arial" w:hAnsi="Arial" w:cs="Arial"/>
        </w:rPr>
        <w:t>L’énergie électrique issue de panneaux solaires est injectée dans le réseau par des onduleurs réseau. La puissance injectée est fluctuante en fonction de l’ensoleillement. Ce type d’hybridation est économique (sans coûts de stockage). Les panneaux solaires sont installés sur des supports fixés sur le sol. Des mesures de sécurisation doivent être prises. Les installations occupent en moyenne 10m</w:t>
      </w:r>
      <w:r w:rsidRPr="00F1516D">
        <w:rPr>
          <w:rFonts w:ascii="Arial" w:hAnsi="Arial" w:cs="Arial"/>
          <w:vertAlign w:val="superscript"/>
        </w:rPr>
        <w:t>2</w:t>
      </w:r>
      <w:r w:rsidRPr="00F1516D">
        <w:rPr>
          <w:rFonts w:ascii="Arial" w:hAnsi="Arial" w:cs="Arial"/>
        </w:rPr>
        <w:t xml:space="preserve">/kWc. </w:t>
      </w:r>
      <w:r w:rsidR="00E573EF">
        <w:rPr>
          <w:rFonts w:ascii="Arial" w:hAnsi="Arial" w:cs="Arial"/>
        </w:rPr>
        <w:t>Des</w:t>
      </w:r>
      <w:r w:rsidR="00E573EF" w:rsidRPr="00F1516D">
        <w:rPr>
          <w:rFonts w:ascii="Arial" w:hAnsi="Arial" w:cs="Arial"/>
        </w:rPr>
        <w:t xml:space="preserve"> transformateurs </w:t>
      </w:r>
      <w:r w:rsidR="00E573EF">
        <w:rPr>
          <w:rFonts w:ascii="Arial" w:hAnsi="Arial" w:cs="Arial"/>
        </w:rPr>
        <w:t>sont installés entre les onduleurs et le réseau dans le cas où la tension de sortie des onduleurs ne correspond pas à celle du réseau</w:t>
      </w:r>
      <w:r w:rsidR="0062627A">
        <w:rPr>
          <w:rFonts w:ascii="Arial" w:hAnsi="Arial" w:cs="Arial"/>
        </w:rPr>
        <w:t>.</w:t>
      </w:r>
    </w:p>
    <w:p w14:paraId="067E8B80" w14:textId="1EA0AC93" w:rsidR="000171C4" w:rsidRDefault="00E97ECD" w:rsidP="000171C4">
      <w:pPr>
        <w:jc w:val="center"/>
      </w:pPr>
      <w:r w:rsidRPr="00977215">
        <w:rPr>
          <w:noProof/>
          <w:lang w:eastAsia="fr-FR"/>
        </w:rPr>
        <w:drawing>
          <wp:inline distT="0" distB="0" distL="0" distR="0" wp14:anchorId="1B78C845" wp14:editId="2B3B57B6">
            <wp:extent cx="3133725" cy="16668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3725" cy="1666875"/>
                    </a:xfrm>
                    <a:prstGeom prst="rect">
                      <a:avLst/>
                    </a:prstGeom>
                    <a:noFill/>
                    <a:ln>
                      <a:noFill/>
                    </a:ln>
                  </pic:spPr>
                </pic:pic>
              </a:graphicData>
            </a:graphic>
          </wp:inline>
        </w:drawing>
      </w:r>
    </w:p>
    <w:p w14:paraId="3FBA69D1" w14:textId="77777777" w:rsidR="000171C4" w:rsidRPr="000171C4" w:rsidRDefault="000171C4" w:rsidP="000171C4">
      <w:pPr>
        <w:pStyle w:val="Lgende"/>
        <w:jc w:val="center"/>
        <w:rPr>
          <w:color w:val="auto"/>
          <w:sz w:val="22"/>
        </w:rPr>
      </w:pPr>
      <w:bookmarkStart w:id="126" w:name="_Toc125402443"/>
      <w:r w:rsidRPr="000171C4">
        <w:rPr>
          <w:color w:val="auto"/>
          <w:sz w:val="22"/>
        </w:rPr>
        <w:t xml:space="preserve">Figure </w:t>
      </w:r>
      <w:r w:rsidRPr="000171C4">
        <w:rPr>
          <w:color w:val="auto"/>
          <w:sz w:val="22"/>
        </w:rPr>
        <w:fldChar w:fldCharType="begin"/>
      </w:r>
      <w:r w:rsidRPr="000171C4">
        <w:rPr>
          <w:color w:val="auto"/>
          <w:sz w:val="22"/>
        </w:rPr>
        <w:instrText xml:space="preserve"> SEQ Figure \* ARABIC </w:instrText>
      </w:r>
      <w:r w:rsidRPr="000171C4">
        <w:rPr>
          <w:color w:val="auto"/>
          <w:sz w:val="22"/>
        </w:rPr>
        <w:fldChar w:fldCharType="separate"/>
      </w:r>
      <w:r w:rsidR="000D22D0">
        <w:rPr>
          <w:noProof/>
          <w:color w:val="auto"/>
          <w:sz w:val="22"/>
        </w:rPr>
        <w:t>1</w:t>
      </w:r>
      <w:r w:rsidRPr="000171C4">
        <w:rPr>
          <w:color w:val="auto"/>
          <w:sz w:val="22"/>
        </w:rPr>
        <w:fldChar w:fldCharType="end"/>
      </w:r>
      <w:r>
        <w:rPr>
          <w:color w:val="auto"/>
          <w:sz w:val="22"/>
        </w:rPr>
        <w:t xml:space="preserve">. </w:t>
      </w:r>
      <w:r w:rsidRPr="000171C4">
        <w:rPr>
          <w:color w:val="auto"/>
          <w:sz w:val="22"/>
        </w:rPr>
        <w:t>Hybridation avec le solaire photovoltaïque sans stockage d’un réseau alimenté par une centrale thermique</w:t>
      </w:r>
      <w:bookmarkEnd w:id="126"/>
    </w:p>
    <w:p w14:paraId="6D7A593B" w14:textId="77777777" w:rsidR="00811F6E" w:rsidRPr="00AE406E" w:rsidRDefault="00811F6E" w:rsidP="0044500E">
      <w:pPr>
        <w:pStyle w:val="TIT3"/>
        <w:numPr>
          <w:ilvl w:val="2"/>
          <w:numId w:val="177"/>
        </w:numPr>
      </w:pPr>
      <w:bookmarkStart w:id="127" w:name="_Toc124956104"/>
      <w:bookmarkStart w:id="128" w:name="_Toc127957565"/>
      <w:bookmarkEnd w:id="127"/>
      <w:r w:rsidRPr="000171C4">
        <w:t>Hybridation avec le solaire photovoltaïque avec stockage</w:t>
      </w:r>
      <w:bookmarkEnd w:id="128"/>
    </w:p>
    <w:p w14:paraId="09BE1244" w14:textId="77777777" w:rsidR="000171C4" w:rsidRPr="00F1516D" w:rsidRDefault="000171C4" w:rsidP="000171C4">
      <w:pPr>
        <w:jc w:val="both"/>
        <w:rPr>
          <w:rFonts w:ascii="Arial" w:hAnsi="Arial" w:cs="Arial"/>
        </w:rPr>
      </w:pPr>
      <w:r w:rsidRPr="00F1516D">
        <w:rPr>
          <w:rFonts w:ascii="Arial" w:hAnsi="Arial" w:cs="Arial"/>
        </w:rPr>
        <w:t>Des batteries de stockage sont ajoutées au système photovoltaïque précédemment présenté. Ces batteries permettent d’accumuler le surplus d’énergie non injecté au réseau, puis de les restituer lors des heures de forte consommation ou quand la production des panneaux solaires n’est plus suffisante. L’hybridation permet ainsi de renforcer la capacité de production, même quand l’ensoleillement diminue (à la limite de la capacité des batteries).</w:t>
      </w:r>
    </w:p>
    <w:p w14:paraId="5BCF687C" w14:textId="569820F6" w:rsidR="000171C4" w:rsidRDefault="00E97ECD" w:rsidP="000171C4">
      <w:pPr>
        <w:jc w:val="center"/>
      </w:pPr>
      <w:r w:rsidRPr="00977215">
        <w:rPr>
          <w:noProof/>
          <w:lang w:eastAsia="fr-FR"/>
        </w:rPr>
        <w:lastRenderedPageBreak/>
        <w:drawing>
          <wp:inline distT="0" distB="0" distL="0" distR="0" wp14:anchorId="03A7D0BE" wp14:editId="2890D069">
            <wp:extent cx="3381375" cy="2076450"/>
            <wp:effectExtent l="0" t="0" r="0" b="0"/>
            <wp:docPr id="3"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1375" cy="2076450"/>
                    </a:xfrm>
                    <a:prstGeom prst="rect">
                      <a:avLst/>
                    </a:prstGeom>
                    <a:noFill/>
                    <a:ln>
                      <a:noFill/>
                    </a:ln>
                  </pic:spPr>
                </pic:pic>
              </a:graphicData>
            </a:graphic>
          </wp:inline>
        </w:drawing>
      </w:r>
    </w:p>
    <w:p w14:paraId="3EE83636" w14:textId="77777777" w:rsidR="000171C4" w:rsidRPr="000171C4" w:rsidRDefault="000171C4" w:rsidP="000171C4">
      <w:pPr>
        <w:pStyle w:val="Lgende"/>
        <w:jc w:val="center"/>
        <w:rPr>
          <w:color w:val="auto"/>
          <w:sz w:val="22"/>
        </w:rPr>
      </w:pPr>
      <w:bookmarkStart w:id="129" w:name="_Toc125402444"/>
      <w:r w:rsidRPr="000171C4">
        <w:rPr>
          <w:color w:val="auto"/>
          <w:sz w:val="22"/>
        </w:rPr>
        <w:t xml:space="preserve">Figure </w:t>
      </w:r>
      <w:r w:rsidRPr="000171C4">
        <w:rPr>
          <w:color w:val="auto"/>
          <w:sz w:val="22"/>
        </w:rPr>
        <w:fldChar w:fldCharType="begin"/>
      </w:r>
      <w:r w:rsidRPr="000171C4">
        <w:rPr>
          <w:color w:val="auto"/>
          <w:sz w:val="22"/>
        </w:rPr>
        <w:instrText xml:space="preserve"> SEQ Figure \* ARABIC </w:instrText>
      </w:r>
      <w:r w:rsidRPr="000171C4">
        <w:rPr>
          <w:color w:val="auto"/>
          <w:sz w:val="22"/>
        </w:rPr>
        <w:fldChar w:fldCharType="separate"/>
      </w:r>
      <w:r w:rsidR="000D22D0">
        <w:rPr>
          <w:noProof/>
          <w:color w:val="auto"/>
          <w:sz w:val="22"/>
        </w:rPr>
        <w:t>2</w:t>
      </w:r>
      <w:r w:rsidRPr="000171C4">
        <w:rPr>
          <w:color w:val="auto"/>
          <w:sz w:val="22"/>
        </w:rPr>
        <w:fldChar w:fldCharType="end"/>
      </w:r>
      <w:r w:rsidRPr="000171C4">
        <w:rPr>
          <w:color w:val="auto"/>
          <w:sz w:val="22"/>
        </w:rPr>
        <w:t xml:space="preserve"> Hybridation avec le solaire photovoltaïque avec stockage d’un réseau alimenté par une centrale thermique</w:t>
      </w:r>
      <w:bookmarkEnd w:id="129"/>
    </w:p>
    <w:p w14:paraId="6D74954C" w14:textId="77777777" w:rsidR="000171C4" w:rsidRPr="007F78CE" w:rsidRDefault="000171C4" w:rsidP="0044500E">
      <w:pPr>
        <w:pStyle w:val="TIT2"/>
        <w:numPr>
          <w:ilvl w:val="1"/>
          <w:numId w:val="177"/>
        </w:numPr>
      </w:pPr>
      <w:bookmarkStart w:id="130" w:name="_Toc124314628"/>
      <w:bookmarkStart w:id="131" w:name="_Toc124956106"/>
      <w:bookmarkStart w:id="132" w:name="_Toc125384505"/>
      <w:bookmarkStart w:id="133" w:name="_Toc125384894"/>
      <w:bookmarkStart w:id="134" w:name="_Toc127957566"/>
      <w:r w:rsidRPr="007F78CE">
        <w:t xml:space="preserve">Déploiement de mini-réseaux </w:t>
      </w:r>
      <w:r w:rsidR="00E573EF">
        <w:t xml:space="preserve">basse tension </w:t>
      </w:r>
      <w:r w:rsidRPr="007F78CE">
        <w:t>à source solaire photovoltaïque avec stockage</w:t>
      </w:r>
      <w:bookmarkEnd w:id="130"/>
      <w:bookmarkEnd w:id="131"/>
      <w:bookmarkEnd w:id="132"/>
      <w:bookmarkEnd w:id="133"/>
      <w:bookmarkEnd w:id="134"/>
    </w:p>
    <w:p w14:paraId="2C908317" w14:textId="77777777" w:rsidR="00E573EF" w:rsidRPr="00327DB6" w:rsidRDefault="00E573EF" w:rsidP="000171C4">
      <w:pPr>
        <w:jc w:val="both"/>
        <w:rPr>
          <w:rFonts w:ascii="Arial" w:hAnsi="Arial" w:cs="Arial"/>
        </w:rPr>
      </w:pPr>
      <w:r w:rsidRPr="00742D67">
        <w:rPr>
          <w:rFonts w:ascii="Arial" w:hAnsi="Arial" w:cs="Arial"/>
        </w:rPr>
        <w:t>Il s’agit de petit réseau en basse tension s’étendant sur quelque</w:t>
      </w:r>
      <w:r w:rsidR="00DB1EE5" w:rsidRPr="00742D67">
        <w:rPr>
          <w:rFonts w:ascii="Arial" w:hAnsi="Arial" w:cs="Arial"/>
        </w:rPr>
        <w:t>s</w:t>
      </w:r>
      <w:r w:rsidRPr="00742D67">
        <w:rPr>
          <w:rFonts w:ascii="Arial" w:hAnsi="Arial" w:cs="Arial"/>
        </w:rPr>
        <w:t xml:space="preserve"> village</w:t>
      </w:r>
      <w:r w:rsidR="00DB1EE5" w:rsidRPr="00742D67">
        <w:rPr>
          <w:rFonts w:ascii="Arial" w:hAnsi="Arial" w:cs="Arial"/>
        </w:rPr>
        <w:t>s</w:t>
      </w:r>
      <w:r w:rsidRPr="00742D67">
        <w:rPr>
          <w:rFonts w:ascii="Arial" w:hAnsi="Arial" w:cs="Arial"/>
        </w:rPr>
        <w:t>. Le dispositif de mini réseau à basse tension alimenté par des panneaux solaires est montré dans la figure suivante</w:t>
      </w:r>
      <w:r w:rsidRPr="00327DB6">
        <w:rPr>
          <w:rFonts w:ascii="Arial" w:hAnsi="Arial" w:cs="Arial"/>
        </w:rPr>
        <w:t>.</w:t>
      </w:r>
    </w:p>
    <w:p w14:paraId="3F01D436" w14:textId="76FD2D8B" w:rsidR="00E573EF" w:rsidRDefault="00E97ECD" w:rsidP="00E573EF">
      <w:pPr>
        <w:keepNext/>
        <w:jc w:val="center"/>
      </w:pPr>
      <w:r w:rsidRPr="00FB04F6">
        <w:rPr>
          <w:rFonts w:ascii="Arial" w:hAnsi="Arial" w:cs="Arial"/>
          <w:noProof/>
          <w:lang w:eastAsia="fr-FR"/>
        </w:rPr>
        <w:drawing>
          <wp:inline distT="0" distB="0" distL="0" distR="0" wp14:anchorId="57FFBC0C" wp14:editId="50EB8940">
            <wp:extent cx="3590925" cy="1619250"/>
            <wp:effectExtent l="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0925" cy="1619250"/>
                    </a:xfrm>
                    <a:prstGeom prst="rect">
                      <a:avLst/>
                    </a:prstGeom>
                    <a:noFill/>
                    <a:ln>
                      <a:noFill/>
                    </a:ln>
                  </pic:spPr>
                </pic:pic>
              </a:graphicData>
            </a:graphic>
          </wp:inline>
        </w:drawing>
      </w:r>
    </w:p>
    <w:p w14:paraId="4436E0B3" w14:textId="77777777" w:rsidR="00E573EF" w:rsidRPr="00B434A6" w:rsidRDefault="00E573EF" w:rsidP="00E573EF">
      <w:pPr>
        <w:pStyle w:val="Lgende"/>
        <w:jc w:val="center"/>
        <w:rPr>
          <w:color w:val="auto"/>
          <w:sz w:val="22"/>
        </w:rPr>
      </w:pPr>
      <w:bookmarkStart w:id="135" w:name="_Toc125402445"/>
      <w:r w:rsidRPr="00B434A6">
        <w:rPr>
          <w:color w:val="auto"/>
          <w:sz w:val="22"/>
        </w:rPr>
        <w:t xml:space="preserve">Figure </w:t>
      </w:r>
      <w:r w:rsidRPr="00B434A6">
        <w:rPr>
          <w:color w:val="auto"/>
          <w:sz w:val="22"/>
        </w:rPr>
        <w:fldChar w:fldCharType="begin"/>
      </w:r>
      <w:r w:rsidRPr="00B434A6">
        <w:rPr>
          <w:color w:val="auto"/>
          <w:sz w:val="22"/>
        </w:rPr>
        <w:instrText xml:space="preserve"> SEQ Figure \* ARABIC </w:instrText>
      </w:r>
      <w:r w:rsidRPr="00B434A6">
        <w:rPr>
          <w:color w:val="auto"/>
          <w:sz w:val="22"/>
        </w:rPr>
        <w:fldChar w:fldCharType="separate"/>
      </w:r>
      <w:r w:rsidR="000D22D0">
        <w:rPr>
          <w:noProof/>
          <w:color w:val="auto"/>
          <w:sz w:val="22"/>
        </w:rPr>
        <w:t>3</w:t>
      </w:r>
      <w:r w:rsidRPr="00B434A6">
        <w:rPr>
          <w:color w:val="auto"/>
          <w:sz w:val="22"/>
        </w:rPr>
        <w:fldChar w:fldCharType="end"/>
      </w:r>
      <w:r w:rsidRPr="00B434A6">
        <w:rPr>
          <w:color w:val="auto"/>
          <w:sz w:val="22"/>
        </w:rPr>
        <w:t xml:space="preserve">. </w:t>
      </w:r>
      <w:r w:rsidRPr="00DB2CAD">
        <w:rPr>
          <w:color w:val="auto"/>
          <w:sz w:val="22"/>
        </w:rPr>
        <w:t>Mini-réseau</w:t>
      </w:r>
      <w:r>
        <w:rPr>
          <w:color w:val="auto"/>
          <w:sz w:val="22"/>
        </w:rPr>
        <w:t>,</w:t>
      </w:r>
      <w:r w:rsidRPr="00DB2CAD">
        <w:rPr>
          <w:color w:val="auto"/>
          <w:sz w:val="22"/>
        </w:rPr>
        <w:t xml:space="preserve"> photovoltaïque avec stockage</w:t>
      </w:r>
      <w:r>
        <w:rPr>
          <w:color w:val="auto"/>
          <w:sz w:val="22"/>
        </w:rPr>
        <w:t>,</w:t>
      </w:r>
      <w:r w:rsidRPr="00DB2CAD">
        <w:rPr>
          <w:color w:val="auto"/>
          <w:sz w:val="22"/>
        </w:rPr>
        <w:t xml:space="preserve"> isolé</w:t>
      </w:r>
      <w:bookmarkEnd w:id="135"/>
    </w:p>
    <w:p w14:paraId="08571F01" w14:textId="77777777" w:rsidR="000171C4" w:rsidRPr="00F1516D" w:rsidRDefault="000171C4" w:rsidP="000171C4">
      <w:pPr>
        <w:jc w:val="both"/>
        <w:rPr>
          <w:rFonts w:ascii="Arial" w:hAnsi="Arial" w:cs="Arial"/>
        </w:rPr>
      </w:pPr>
      <w:r w:rsidRPr="00F1516D">
        <w:rPr>
          <w:rFonts w:ascii="Arial" w:hAnsi="Arial" w:cs="Arial"/>
        </w:rPr>
        <w:t xml:space="preserve">Une centrale photovoltaïque avec stockage produit l’énergie et un réseau de distribution la livre aux utilisateurs. </w:t>
      </w:r>
    </w:p>
    <w:p w14:paraId="114D1307" w14:textId="77777777" w:rsidR="00E573EF" w:rsidRPr="00742D67" w:rsidRDefault="000171C4" w:rsidP="00E573EF">
      <w:pPr>
        <w:jc w:val="both"/>
        <w:rPr>
          <w:rFonts w:ascii="Arial" w:hAnsi="Arial" w:cs="Arial"/>
        </w:rPr>
      </w:pPr>
      <w:r w:rsidRPr="00F1516D">
        <w:rPr>
          <w:rFonts w:ascii="Arial" w:hAnsi="Arial" w:cs="Arial"/>
        </w:rPr>
        <w:t>L’électricité photovoltaïque est produite à partir d’une technologie permettant de convertir l’énergie solaire (photons) en énergie électrique. Cela se fait par l’intermédiaire de cellules photovoltaïques, disposées la plupart du temps sur des panneaux photovoltaïques. Le rayonnement solaire recueilli par les cellules photovoltaïques du panneau solaire permet de produire du courant continu. Une installation photovoltaïque est caractérisée par la puissance électrique que ses panneaux fournissent à 25°C avec une irradiation solaire directe de 1000 W/m².</w:t>
      </w:r>
      <w:r w:rsidR="00E573EF" w:rsidRPr="00742D67">
        <w:rPr>
          <w:rFonts w:ascii="Arial" w:hAnsi="Arial" w:cs="Arial"/>
        </w:rPr>
        <w:t>. La durée de vie d’un panneau solaire est d’environ 20 ans et celle des batteries de 5 ans. Un convertisseur électronique composé d’un régulateur de charge et d’un onduleur gère la charge des batteries et converti</w:t>
      </w:r>
      <w:r w:rsidR="0097266A">
        <w:rPr>
          <w:rFonts w:ascii="Arial" w:hAnsi="Arial" w:cs="Arial"/>
        </w:rPr>
        <w:t>t</w:t>
      </w:r>
      <w:r w:rsidR="00E573EF" w:rsidRPr="00742D67">
        <w:rPr>
          <w:rFonts w:ascii="Arial" w:hAnsi="Arial" w:cs="Arial"/>
        </w:rPr>
        <w:t xml:space="preserve"> le courant continu issu des batteries et des panneaux en courant alternatif de 50Hz. </w:t>
      </w:r>
    </w:p>
    <w:p w14:paraId="54DFA6B8" w14:textId="77777777" w:rsidR="00040088" w:rsidRPr="00742D67" w:rsidRDefault="00E573EF" w:rsidP="00E573EF">
      <w:pPr>
        <w:jc w:val="both"/>
        <w:rPr>
          <w:rFonts w:ascii="Arial" w:hAnsi="Arial" w:cs="Arial"/>
        </w:rPr>
      </w:pPr>
      <w:r w:rsidRPr="00742D67">
        <w:rPr>
          <w:rFonts w:ascii="Arial" w:hAnsi="Arial" w:cs="Arial"/>
        </w:rPr>
        <w:lastRenderedPageBreak/>
        <w:t>Des transformateurs peuvent être utilisés, selon le niveau de tension de sortie des onduleurs pour élever et/ou abaisser la tension avant et/ou après son transport jusqu’au village. La tension de branchement domestique est de 220V entre phase et neutre.</w:t>
      </w:r>
    </w:p>
    <w:p w14:paraId="230BBD02" w14:textId="77777777" w:rsidR="000171C4" w:rsidRPr="00327DB6" w:rsidRDefault="00856D19" w:rsidP="00E573EF">
      <w:pPr>
        <w:jc w:val="both"/>
        <w:rPr>
          <w:rFonts w:ascii="Arial" w:hAnsi="Arial" w:cs="Arial"/>
        </w:rPr>
      </w:pPr>
      <w:r w:rsidRPr="00742D67">
        <w:rPr>
          <w:rFonts w:ascii="Arial" w:hAnsi="Arial" w:cs="Arial"/>
        </w:rPr>
        <w:t>Généralement, l</w:t>
      </w:r>
      <w:r w:rsidR="00040088" w:rsidRPr="00742D67">
        <w:rPr>
          <w:rFonts w:ascii="Arial" w:hAnsi="Arial" w:cs="Arial"/>
        </w:rPr>
        <w:t xml:space="preserve">e raccordement électrique vers les consommateurs </w:t>
      </w:r>
      <w:r w:rsidRPr="00742D67">
        <w:rPr>
          <w:rFonts w:ascii="Arial" w:hAnsi="Arial" w:cs="Arial"/>
        </w:rPr>
        <w:t>se fait à partir des poteaux qui longent les ruelles du village</w:t>
      </w:r>
      <w:r w:rsidR="00801D80">
        <w:rPr>
          <w:rFonts w:ascii="Arial" w:hAnsi="Arial" w:cs="Arial"/>
        </w:rPr>
        <w:t xml:space="preserve"> selon la figure  ci-dessous</w:t>
      </w:r>
      <w:r w:rsidR="00801D80" w:rsidRPr="00742D67">
        <w:rPr>
          <w:rFonts w:ascii="Arial" w:hAnsi="Arial" w:cs="Arial"/>
        </w:rPr>
        <w:t>.</w:t>
      </w:r>
      <w:r w:rsidRPr="00742D67">
        <w:rPr>
          <w:rFonts w:ascii="Arial" w:hAnsi="Arial" w:cs="Arial"/>
        </w:rPr>
        <w:t>.</w:t>
      </w:r>
      <w:r w:rsidRPr="00327DB6">
        <w:rPr>
          <w:rFonts w:ascii="Arial" w:hAnsi="Arial" w:cs="Arial"/>
          <w:highlight w:val="green"/>
        </w:rPr>
        <w:t xml:space="preserve"> </w:t>
      </w:r>
    </w:p>
    <w:p w14:paraId="145EB93D" w14:textId="49FCACD3" w:rsidR="000171C4" w:rsidRDefault="00E97ECD" w:rsidP="000171C4">
      <w:pPr>
        <w:jc w:val="center"/>
      </w:pPr>
      <w:r w:rsidRPr="00977215">
        <w:rPr>
          <w:noProof/>
          <w:lang w:eastAsia="fr-FR"/>
        </w:rPr>
        <w:drawing>
          <wp:inline distT="0" distB="0" distL="0" distR="0" wp14:anchorId="08DE0CF4" wp14:editId="7511E149">
            <wp:extent cx="3714750" cy="1885950"/>
            <wp:effectExtent l="0" t="0" r="0" b="0"/>
            <wp:docPr id="5"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17" cstate="print">
                      <a:extLst>
                        <a:ext uri="{28A0092B-C50C-407E-A947-70E740481C1C}">
                          <a14:useLocalDpi xmlns:a14="http://schemas.microsoft.com/office/drawing/2010/main" val="0"/>
                        </a:ext>
                      </a:extLst>
                    </a:blip>
                    <a:srcRect l="5415" t="16660" r="2402" b="18105"/>
                    <a:stretch>
                      <a:fillRect/>
                    </a:stretch>
                  </pic:blipFill>
                  <pic:spPr bwMode="auto">
                    <a:xfrm>
                      <a:off x="0" y="0"/>
                      <a:ext cx="3714750" cy="1885950"/>
                    </a:xfrm>
                    <a:prstGeom prst="rect">
                      <a:avLst/>
                    </a:prstGeom>
                    <a:noFill/>
                    <a:ln>
                      <a:noFill/>
                    </a:ln>
                  </pic:spPr>
                </pic:pic>
              </a:graphicData>
            </a:graphic>
          </wp:inline>
        </w:drawing>
      </w:r>
    </w:p>
    <w:p w14:paraId="10F525E4" w14:textId="77777777" w:rsidR="000171C4" w:rsidRPr="000171C4" w:rsidRDefault="000171C4" w:rsidP="000171C4">
      <w:pPr>
        <w:pStyle w:val="Lgende"/>
        <w:jc w:val="center"/>
        <w:rPr>
          <w:color w:val="auto"/>
          <w:sz w:val="22"/>
        </w:rPr>
      </w:pPr>
      <w:bookmarkStart w:id="136" w:name="_Toc125402446"/>
      <w:r w:rsidRPr="000171C4">
        <w:rPr>
          <w:color w:val="auto"/>
          <w:sz w:val="22"/>
        </w:rPr>
        <w:t xml:space="preserve">Figure </w:t>
      </w:r>
      <w:r w:rsidRPr="000171C4">
        <w:rPr>
          <w:color w:val="auto"/>
          <w:sz w:val="22"/>
        </w:rPr>
        <w:fldChar w:fldCharType="begin"/>
      </w:r>
      <w:r w:rsidRPr="000171C4">
        <w:rPr>
          <w:color w:val="auto"/>
          <w:sz w:val="22"/>
        </w:rPr>
        <w:instrText xml:space="preserve"> SEQ Figure \* ARABIC </w:instrText>
      </w:r>
      <w:r w:rsidRPr="000171C4">
        <w:rPr>
          <w:color w:val="auto"/>
          <w:sz w:val="22"/>
        </w:rPr>
        <w:fldChar w:fldCharType="separate"/>
      </w:r>
      <w:r w:rsidR="000D22D0">
        <w:rPr>
          <w:noProof/>
          <w:color w:val="auto"/>
          <w:sz w:val="22"/>
        </w:rPr>
        <w:t>4</w:t>
      </w:r>
      <w:r w:rsidRPr="000171C4">
        <w:rPr>
          <w:color w:val="auto"/>
          <w:sz w:val="22"/>
        </w:rPr>
        <w:fldChar w:fldCharType="end"/>
      </w:r>
      <w:r>
        <w:rPr>
          <w:color w:val="auto"/>
          <w:sz w:val="22"/>
        </w:rPr>
        <w:t xml:space="preserve">. </w:t>
      </w:r>
      <w:r w:rsidR="00EC4731" w:rsidRPr="000171C4">
        <w:rPr>
          <w:color w:val="auto"/>
          <w:sz w:val="22"/>
        </w:rPr>
        <w:t>Électricité</w:t>
      </w:r>
      <w:r w:rsidRPr="000171C4">
        <w:rPr>
          <w:color w:val="auto"/>
          <w:sz w:val="22"/>
        </w:rPr>
        <w:t xml:space="preserve"> solaire photovoltaïque</w:t>
      </w:r>
      <w:bookmarkEnd w:id="136"/>
    </w:p>
    <w:p w14:paraId="27BB4F4E" w14:textId="554774D6" w:rsidR="000171C4" w:rsidRDefault="00E97ECD" w:rsidP="000171C4">
      <w:pPr>
        <w:jc w:val="center"/>
      </w:pPr>
      <w:r w:rsidRPr="00977215">
        <w:rPr>
          <w:noProof/>
          <w:lang w:eastAsia="fr-FR"/>
        </w:rPr>
        <w:drawing>
          <wp:inline distT="0" distB="0" distL="0" distR="0" wp14:anchorId="49A39208" wp14:editId="6E6FE23F">
            <wp:extent cx="2609850" cy="2076450"/>
            <wp:effectExtent l="0" t="0" r="0" b="0"/>
            <wp:docPr id="6"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850" cy="2076450"/>
                    </a:xfrm>
                    <a:prstGeom prst="rect">
                      <a:avLst/>
                    </a:prstGeom>
                    <a:noFill/>
                    <a:ln>
                      <a:noFill/>
                    </a:ln>
                  </pic:spPr>
                </pic:pic>
              </a:graphicData>
            </a:graphic>
          </wp:inline>
        </w:drawing>
      </w:r>
    </w:p>
    <w:p w14:paraId="57DE3502" w14:textId="77777777" w:rsidR="000171C4" w:rsidRPr="000171C4" w:rsidRDefault="000171C4" w:rsidP="000171C4">
      <w:pPr>
        <w:pStyle w:val="Lgende"/>
        <w:jc w:val="center"/>
        <w:rPr>
          <w:color w:val="auto"/>
          <w:sz w:val="22"/>
        </w:rPr>
      </w:pPr>
      <w:bookmarkStart w:id="137" w:name="_Toc125402447"/>
      <w:r w:rsidRPr="000171C4">
        <w:rPr>
          <w:color w:val="auto"/>
          <w:sz w:val="22"/>
        </w:rPr>
        <w:t xml:space="preserve">Figure </w:t>
      </w:r>
      <w:r w:rsidRPr="000171C4">
        <w:rPr>
          <w:color w:val="auto"/>
          <w:sz w:val="22"/>
        </w:rPr>
        <w:fldChar w:fldCharType="begin"/>
      </w:r>
      <w:r w:rsidRPr="000171C4">
        <w:rPr>
          <w:color w:val="auto"/>
          <w:sz w:val="22"/>
        </w:rPr>
        <w:instrText xml:space="preserve"> SEQ Figure \* ARABIC </w:instrText>
      </w:r>
      <w:r w:rsidRPr="000171C4">
        <w:rPr>
          <w:color w:val="auto"/>
          <w:sz w:val="22"/>
        </w:rPr>
        <w:fldChar w:fldCharType="separate"/>
      </w:r>
      <w:r w:rsidR="000D22D0">
        <w:rPr>
          <w:noProof/>
          <w:color w:val="auto"/>
          <w:sz w:val="22"/>
        </w:rPr>
        <w:t>5</w:t>
      </w:r>
      <w:r w:rsidRPr="000171C4">
        <w:rPr>
          <w:color w:val="auto"/>
          <w:sz w:val="22"/>
        </w:rPr>
        <w:fldChar w:fldCharType="end"/>
      </w:r>
      <w:r>
        <w:rPr>
          <w:color w:val="auto"/>
          <w:sz w:val="22"/>
        </w:rPr>
        <w:t xml:space="preserve">. </w:t>
      </w:r>
      <w:r w:rsidRPr="000171C4">
        <w:rPr>
          <w:color w:val="auto"/>
          <w:sz w:val="22"/>
        </w:rPr>
        <w:t>Electricité solaire photovoltaïque avec stockage</w:t>
      </w:r>
      <w:bookmarkEnd w:id="137"/>
    </w:p>
    <w:p w14:paraId="02A4671F" w14:textId="77777777" w:rsidR="000171C4" w:rsidRDefault="000171C4" w:rsidP="00F01166">
      <w:pPr>
        <w:spacing w:after="0"/>
      </w:pPr>
    </w:p>
    <w:p w14:paraId="7814B81F" w14:textId="77777777" w:rsidR="000171C4" w:rsidRPr="007F78CE" w:rsidRDefault="000171C4" w:rsidP="0044500E">
      <w:pPr>
        <w:pStyle w:val="TIT2"/>
        <w:numPr>
          <w:ilvl w:val="1"/>
          <w:numId w:val="177"/>
        </w:numPr>
      </w:pPr>
      <w:bookmarkStart w:id="138" w:name="_Toc124314629"/>
      <w:bookmarkStart w:id="139" w:name="_Toc124956107"/>
      <w:bookmarkStart w:id="140" w:name="_Toc125384506"/>
      <w:bookmarkStart w:id="141" w:name="_Toc125384895"/>
      <w:bookmarkStart w:id="142" w:name="_Toc127957567"/>
      <w:r w:rsidRPr="007F78CE">
        <w:t>Déploiement de mini-réseaux à source hydroélectrique</w:t>
      </w:r>
      <w:bookmarkEnd w:id="138"/>
      <w:bookmarkEnd w:id="139"/>
      <w:bookmarkEnd w:id="140"/>
      <w:bookmarkEnd w:id="141"/>
      <w:bookmarkEnd w:id="142"/>
    </w:p>
    <w:p w14:paraId="4DE86F61" w14:textId="77777777" w:rsidR="00856D19" w:rsidRPr="00742D67" w:rsidRDefault="000171C4" w:rsidP="000171C4">
      <w:pPr>
        <w:jc w:val="both"/>
        <w:rPr>
          <w:rFonts w:ascii="Arial" w:hAnsi="Arial" w:cs="Arial"/>
        </w:rPr>
      </w:pPr>
      <w:r w:rsidRPr="00F1516D">
        <w:rPr>
          <w:rFonts w:ascii="Arial" w:hAnsi="Arial" w:cs="Arial"/>
        </w:rPr>
        <w:t xml:space="preserve">L’énergie hydraulique représente l’énergie qui peut être exploitée à partir du mouvement de l’eau, que ce soit grâce aux chutes d’eau, aux courants marins, aux vagues, à la marée… Elle est transformée en électricité dans des centrales hydroélectriques. Celles-ci utilisent la hauteur de chute et le débit d’un cours d’eau pour transformer l’énergie potentielle (chute d’eau) et cinétique (vitesse de l’eau) en électricité notamment grâce à l’utilisation de turbines </w:t>
      </w:r>
      <w:r w:rsidRPr="00327DB6">
        <w:rPr>
          <w:rFonts w:ascii="Arial" w:hAnsi="Arial" w:cs="Arial"/>
        </w:rPr>
        <w:t>qui fait tourner un alternateur. C'est ce dernier qui produit l'électricité</w:t>
      </w:r>
      <w:r w:rsidR="008E6A0F" w:rsidRPr="00327DB6">
        <w:rPr>
          <w:rFonts w:ascii="Arial" w:hAnsi="Arial" w:cs="Arial"/>
        </w:rPr>
        <w:t xml:space="preserve"> </w:t>
      </w:r>
      <w:r w:rsidR="008E6A0F" w:rsidRPr="00742D67">
        <w:rPr>
          <w:rFonts w:ascii="Arial" w:hAnsi="Arial" w:cs="Arial"/>
        </w:rPr>
        <w:t>en courant alternatif. Un système de régulation veille à ce que la fréquence et la tension de sortie soient maintenues à leur niveau normatif. Des transformateurs peuvent être utilisés, selon le niveau de tension de sortie de la centrale pour élever et/ou abaisser la tension avant et/ou après son transport jusqu’au village. La tension de branchement domestique est de 220V</w:t>
      </w:r>
      <w:r w:rsidR="0097266A">
        <w:rPr>
          <w:rFonts w:ascii="Arial" w:hAnsi="Arial" w:cs="Arial"/>
        </w:rPr>
        <w:t xml:space="preserve"> -</w:t>
      </w:r>
      <w:r w:rsidR="008E6A0F" w:rsidRPr="00742D67">
        <w:rPr>
          <w:rFonts w:ascii="Arial" w:hAnsi="Arial" w:cs="Arial"/>
        </w:rPr>
        <w:t xml:space="preserve"> 50Hz entre phase et neutre.</w:t>
      </w:r>
    </w:p>
    <w:p w14:paraId="6905BF37" w14:textId="77777777" w:rsidR="000171C4" w:rsidRPr="00742D67" w:rsidRDefault="00856D19" w:rsidP="000171C4">
      <w:pPr>
        <w:jc w:val="both"/>
        <w:rPr>
          <w:rFonts w:ascii="Arial" w:hAnsi="Arial" w:cs="Arial"/>
        </w:rPr>
      </w:pPr>
      <w:r w:rsidRPr="00742D67">
        <w:rPr>
          <w:rFonts w:ascii="Arial" w:hAnsi="Arial" w:cs="Arial"/>
        </w:rPr>
        <w:lastRenderedPageBreak/>
        <w:t xml:space="preserve">Il existe plusieurs types de barrage hydroélectrique dans le monde, mais la plus utilisée à Madagascar est le barrage au fil de l’eau. En effet, les débits des rivières et cours d’eau </w:t>
      </w:r>
      <w:r w:rsidR="002C279A" w:rsidRPr="00742D67">
        <w:rPr>
          <w:rFonts w:ascii="Arial" w:hAnsi="Arial" w:cs="Arial"/>
        </w:rPr>
        <w:t>et la hauteur de chute d’eau moins important</w:t>
      </w:r>
      <w:r w:rsidR="00D91125" w:rsidRPr="00742D67">
        <w:rPr>
          <w:rFonts w:ascii="Arial" w:hAnsi="Arial" w:cs="Arial"/>
        </w:rPr>
        <w:t>e</w:t>
      </w:r>
      <w:r w:rsidR="002C279A" w:rsidRPr="00742D67">
        <w:rPr>
          <w:rFonts w:ascii="Arial" w:hAnsi="Arial" w:cs="Arial"/>
        </w:rPr>
        <w:t xml:space="preserve"> </w:t>
      </w:r>
      <w:r w:rsidRPr="00742D67">
        <w:rPr>
          <w:rFonts w:ascii="Arial" w:hAnsi="Arial" w:cs="Arial"/>
        </w:rPr>
        <w:t xml:space="preserve">dans la </w:t>
      </w:r>
      <w:r w:rsidR="00D91125" w:rsidRPr="00742D67">
        <w:rPr>
          <w:rFonts w:ascii="Arial" w:hAnsi="Arial" w:cs="Arial"/>
        </w:rPr>
        <w:t>plupart</w:t>
      </w:r>
      <w:r w:rsidRPr="00742D67">
        <w:rPr>
          <w:rFonts w:ascii="Arial" w:hAnsi="Arial" w:cs="Arial"/>
        </w:rPr>
        <w:t xml:space="preserve"> des régions de Madagascar </w:t>
      </w:r>
      <w:r w:rsidR="002C279A" w:rsidRPr="00742D67">
        <w:rPr>
          <w:rFonts w:ascii="Arial" w:hAnsi="Arial" w:cs="Arial"/>
        </w:rPr>
        <w:t>permettent</w:t>
      </w:r>
      <w:r w:rsidRPr="00742D67">
        <w:rPr>
          <w:rFonts w:ascii="Arial" w:hAnsi="Arial" w:cs="Arial"/>
        </w:rPr>
        <w:t xml:space="preserve"> </w:t>
      </w:r>
      <w:r w:rsidR="002C279A" w:rsidRPr="00742D67">
        <w:rPr>
          <w:rFonts w:ascii="Arial" w:hAnsi="Arial" w:cs="Arial"/>
        </w:rPr>
        <w:t xml:space="preserve">la mise en place de ce type de barrage. </w:t>
      </w:r>
    </w:p>
    <w:p w14:paraId="1C859F2A" w14:textId="4DAFE56B" w:rsidR="000171C4" w:rsidRDefault="00E97ECD" w:rsidP="000171C4">
      <w:pPr>
        <w:keepNext/>
        <w:jc w:val="center"/>
      </w:pPr>
      <w:r w:rsidRPr="00977215">
        <w:rPr>
          <w:noProof/>
          <w:lang w:eastAsia="fr-FR"/>
        </w:rPr>
        <w:drawing>
          <wp:inline distT="0" distB="0" distL="0" distR="0" wp14:anchorId="232608E3" wp14:editId="72309ACF">
            <wp:extent cx="2505075" cy="1695450"/>
            <wp:effectExtent l="0" t="0" r="0" b="0"/>
            <wp:docPr id="7"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075" cy="1695450"/>
                    </a:xfrm>
                    <a:prstGeom prst="rect">
                      <a:avLst/>
                    </a:prstGeom>
                    <a:noFill/>
                    <a:ln>
                      <a:noFill/>
                    </a:ln>
                  </pic:spPr>
                </pic:pic>
              </a:graphicData>
            </a:graphic>
          </wp:inline>
        </w:drawing>
      </w:r>
      <w:r w:rsidRPr="00977215">
        <w:rPr>
          <w:noProof/>
          <w:lang w:eastAsia="fr-FR"/>
        </w:rPr>
        <w:drawing>
          <wp:inline distT="0" distB="0" distL="0" distR="0" wp14:anchorId="052FA6FD" wp14:editId="57AFDE95">
            <wp:extent cx="2457450" cy="1733550"/>
            <wp:effectExtent l="0" t="0" r="0" b="0"/>
            <wp:docPr id="8"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7450" cy="1733550"/>
                    </a:xfrm>
                    <a:prstGeom prst="rect">
                      <a:avLst/>
                    </a:prstGeom>
                    <a:noFill/>
                    <a:ln>
                      <a:noFill/>
                    </a:ln>
                  </pic:spPr>
                </pic:pic>
              </a:graphicData>
            </a:graphic>
          </wp:inline>
        </w:drawing>
      </w:r>
    </w:p>
    <w:p w14:paraId="4D37BD3D" w14:textId="77777777" w:rsidR="000171C4" w:rsidRPr="000171C4" w:rsidRDefault="000171C4" w:rsidP="000171C4">
      <w:pPr>
        <w:pStyle w:val="Lgende"/>
        <w:jc w:val="center"/>
        <w:rPr>
          <w:color w:val="auto"/>
          <w:sz w:val="22"/>
        </w:rPr>
      </w:pPr>
      <w:bookmarkStart w:id="143" w:name="_Toc125402448"/>
      <w:r w:rsidRPr="000171C4">
        <w:rPr>
          <w:color w:val="auto"/>
          <w:sz w:val="22"/>
        </w:rPr>
        <w:t xml:space="preserve">Figure </w:t>
      </w:r>
      <w:r w:rsidRPr="000171C4">
        <w:rPr>
          <w:color w:val="auto"/>
          <w:sz w:val="22"/>
        </w:rPr>
        <w:fldChar w:fldCharType="begin"/>
      </w:r>
      <w:r w:rsidRPr="000171C4">
        <w:rPr>
          <w:color w:val="auto"/>
          <w:sz w:val="22"/>
        </w:rPr>
        <w:instrText xml:space="preserve"> SEQ Figure \* ARABIC </w:instrText>
      </w:r>
      <w:r w:rsidRPr="000171C4">
        <w:rPr>
          <w:color w:val="auto"/>
          <w:sz w:val="22"/>
        </w:rPr>
        <w:fldChar w:fldCharType="separate"/>
      </w:r>
      <w:r w:rsidR="000D22D0">
        <w:rPr>
          <w:noProof/>
          <w:color w:val="auto"/>
          <w:sz w:val="22"/>
        </w:rPr>
        <w:t>6</w:t>
      </w:r>
      <w:r w:rsidRPr="000171C4">
        <w:rPr>
          <w:color w:val="auto"/>
          <w:sz w:val="22"/>
        </w:rPr>
        <w:fldChar w:fldCharType="end"/>
      </w:r>
      <w:r>
        <w:rPr>
          <w:color w:val="auto"/>
          <w:sz w:val="22"/>
        </w:rPr>
        <w:t xml:space="preserve">. </w:t>
      </w:r>
      <w:r w:rsidRPr="000171C4">
        <w:rPr>
          <w:color w:val="auto"/>
          <w:sz w:val="22"/>
        </w:rPr>
        <w:t>Barrage hydroélectrique</w:t>
      </w:r>
      <w:bookmarkEnd w:id="143"/>
    </w:p>
    <w:p w14:paraId="6E63A2BA" w14:textId="77777777" w:rsidR="00856D19" w:rsidRPr="00742D67" w:rsidRDefault="0049065B" w:rsidP="00B434A6">
      <w:pPr>
        <w:jc w:val="both"/>
        <w:rPr>
          <w:rFonts w:ascii="Arial" w:hAnsi="Arial" w:cs="Arial"/>
        </w:rPr>
      </w:pPr>
      <w:r w:rsidRPr="00742D67">
        <w:rPr>
          <w:rFonts w:ascii="Arial" w:hAnsi="Arial" w:cs="Arial"/>
        </w:rPr>
        <w:t xml:space="preserve">En 2022, l’Etat Malagasy à travers le Projet PAGOSE a fait une étude de faisabilité du projet de développement de l'électrification rurale par des centrales d'énergie renouvelable et des mini-réseaux. Le résultat de cette étude est synthétisé dans le tableau suivant à titre d’exemple pour </w:t>
      </w:r>
      <w:r w:rsidR="00896CE3" w:rsidRPr="00742D67">
        <w:rPr>
          <w:rFonts w:ascii="Arial" w:hAnsi="Arial" w:cs="Arial"/>
        </w:rPr>
        <w:t>montrer les caractéristiques de site de production hydroélectrique pour une électrification rurale</w:t>
      </w:r>
      <w:r w:rsidR="00674547">
        <w:rPr>
          <w:rFonts w:ascii="Arial" w:hAnsi="Arial" w:cs="Arial"/>
        </w:rPr>
        <w:t>.</w:t>
      </w:r>
    </w:p>
    <w:p w14:paraId="7F66A40A" w14:textId="77777777" w:rsidR="00F00809" w:rsidRPr="00B434A6" w:rsidRDefault="00896CE3" w:rsidP="00B434A6">
      <w:pPr>
        <w:pStyle w:val="Lgende"/>
        <w:jc w:val="center"/>
        <w:rPr>
          <w:sz w:val="20"/>
        </w:rPr>
      </w:pPr>
      <w:bookmarkStart w:id="144" w:name="_Toc127957797"/>
      <w:r w:rsidRPr="00B434A6">
        <w:rPr>
          <w:sz w:val="20"/>
        </w:rPr>
        <w:t xml:space="preserve">Tableau </w:t>
      </w:r>
      <w:r w:rsidRPr="00B434A6">
        <w:rPr>
          <w:sz w:val="20"/>
        </w:rPr>
        <w:fldChar w:fldCharType="begin"/>
      </w:r>
      <w:r w:rsidRPr="00B434A6">
        <w:rPr>
          <w:sz w:val="20"/>
        </w:rPr>
        <w:instrText xml:space="preserve"> SEQ Tableau \* ARABIC </w:instrText>
      </w:r>
      <w:r w:rsidRPr="00B434A6">
        <w:rPr>
          <w:sz w:val="20"/>
        </w:rPr>
        <w:fldChar w:fldCharType="separate"/>
      </w:r>
      <w:r w:rsidR="005430A1">
        <w:rPr>
          <w:noProof/>
          <w:sz w:val="20"/>
        </w:rPr>
        <w:t>1</w:t>
      </w:r>
      <w:r w:rsidRPr="00B434A6">
        <w:rPr>
          <w:sz w:val="20"/>
        </w:rPr>
        <w:fldChar w:fldCharType="end"/>
      </w:r>
      <w:r w:rsidRPr="00B434A6">
        <w:rPr>
          <w:sz w:val="20"/>
        </w:rPr>
        <w:t>. Paramètres technique</w:t>
      </w:r>
      <w:r w:rsidR="00D91125">
        <w:rPr>
          <w:sz w:val="20"/>
        </w:rPr>
        <w:t>s</w:t>
      </w:r>
      <w:r w:rsidRPr="00B434A6">
        <w:rPr>
          <w:sz w:val="20"/>
        </w:rPr>
        <w:t xml:space="preserve"> pour les sites de production hydroélectrique dans le cadre du Programme SREP</w:t>
      </w:r>
      <w:bookmarkEnd w:id="144"/>
      <w:r w:rsidRPr="00B434A6">
        <w:rPr>
          <w:sz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1106"/>
        <w:gridCol w:w="1109"/>
        <w:gridCol w:w="1896"/>
        <w:gridCol w:w="1276"/>
        <w:gridCol w:w="1276"/>
      </w:tblGrid>
      <w:tr w:rsidR="00896CE3" w:rsidRPr="00896CE3" w14:paraId="0C058B36" w14:textId="77777777" w:rsidTr="005D6D41">
        <w:trPr>
          <w:trHeight w:val="621"/>
          <w:tblHeader/>
          <w:jc w:val="center"/>
        </w:trPr>
        <w:tc>
          <w:tcPr>
            <w:tcW w:w="2693" w:type="dxa"/>
            <w:shd w:val="clear" w:color="auto" w:fill="0070C0"/>
            <w:vAlign w:val="center"/>
          </w:tcPr>
          <w:p w14:paraId="1FB0182F" w14:textId="77777777" w:rsidR="00896CE3" w:rsidRPr="00DF7822" w:rsidRDefault="00896CE3" w:rsidP="005D6D41">
            <w:pPr>
              <w:pStyle w:val="TableParagraph"/>
              <w:spacing w:before="0" w:beforeAutospacing="0" w:after="0" w:afterAutospacing="0" w:line="240" w:lineRule="auto"/>
              <w:jc w:val="center"/>
              <w:rPr>
                <w:rFonts w:ascii="Arial" w:hAnsi="Arial" w:cs="Arial"/>
                <w:b/>
                <w:color w:val="FFFFFF"/>
                <w:sz w:val="20"/>
              </w:rPr>
            </w:pPr>
            <w:r w:rsidRPr="00DF7822">
              <w:rPr>
                <w:rFonts w:ascii="Arial" w:hAnsi="Arial" w:cs="Arial"/>
                <w:b/>
                <w:color w:val="FFFFFF"/>
                <w:sz w:val="20"/>
              </w:rPr>
              <w:t>Site</w:t>
            </w:r>
          </w:p>
        </w:tc>
        <w:tc>
          <w:tcPr>
            <w:tcW w:w="1106" w:type="dxa"/>
            <w:shd w:val="clear" w:color="auto" w:fill="0070C0"/>
            <w:vAlign w:val="center"/>
          </w:tcPr>
          <w:p w14:paraId="419C82FD" w14:textId="77777777" w:rsidR="00896CE3" w:rsidRPr="005D6D41" w:rsidRDefault="00896CE3" w:rsidP="005D6D41">
            <w:pPr>
              <w:pStyle w:val="TableParagraph"/>
              <w:spacing w:before="0" w:beforeAutospacing="0" w:after="0" w:afterAutospacing="0" w:line="240" w:lineRule="auto"/>
              <w:jc w:val="center"/>
              <w:rPr>
                <w:rFonts w:ascii="Arial" w:hAnsi="Arial" w:cs="Arial"/>
                <w:b/>
                <w:color w:val="FFFFFF"/>
                <w:sz w:val="20"/>
              </w:rPr>
            </w:pPr>
            <w:r w:rsidRPr="005D6D41">
              <w:rPr>
                <w:rFonts w:ascii="Arial" w:hAnsi="Arial" w:cs="Arial"/>
                <w:b/>
                <w:color w:val="FFFFFF"/>
                <w:sz w:val="20"/>
              </w:rPr>
              <w:t xml:space="preserve">Débit </w:t>
            </w:r>
          </w:p>
          <w:p w14:paraId="2C59FB6E" w14:textId="77777777" w:rsidR="00896CE3" w:rsidRPr="00DF7822" w:rsidRDefault="00896CE3" w:rsidP="005D6D41">
            <w:pPr>
              <w:pStyle w:val="TableParagraph"/>
              <w:spacing w:before="0" w:beforeAutospacing="0" w:after="0" w:afterAutospacing="0" w:line="240" w:lineRule="auto"/>
              <w:jc w:val="center"/>
              <w:rPr>
                <w:rFonts w:ascii="Arial" w:hAnsi="Arial" w:cs="Arial"/>
                <w:b/>
                <w:color w:val="FFFFFF"/>
                <w:sz w:val="20"/>
              </w:rPr>
            </w:pPr>
            <w:r w:rsidRPr="00DF7822">
              <w:rPr>
                <w:rFonts w:ascii="Arial" w:hAnsi="Arial" w:cs="Arial"/>
                <w:b/>
                <w:color w:val="FFFFFF"/>
                <w:sz w:val="20"/>
              </w:rPr>
              <w:t>(m</w:t>
            </w:r>
            <w:r w:rsidRPr="00DF7822">
              <w:rPr>
                <w:rFonts w:ascii="Arial" w:hAnsi="Arial" w:cs="Arial"/>
                <w:b/>
                <w:color w:val="FFFFFF"/>
                <w:position w:val="5"/>
                <w:sz w:val="20"/>
                <w:vertAlign w:val="superscript"/>
              </w:rPr>
              <w:t>3</w:t>
            </w:r>
            <w:r w:rsidRPr="00DF7822">
              <w:rPr>
                <w:rFonts w:ascii="Arial" w:hAnsi="Arial" w:cs="Arial"/>
                <w:b/>
                <w:color w:val="FFFFFF"/>
                <w:position w:val="5"/>
                <w:sz w:val="20"/>
              </w:rPr>
              <w:t xml:space="preserve"> </w:t>
            </w:r>
            <w:r w:rsidRPr="00DF7822">
              <w:rPr>
                <w:rFonts w:ascii="Arial" w:hAnsi="Arial" w:cs="Arial"/>
                <w:b/>
                <w:color w:val="FFFFFF"/>
                <w:sz w:val="20"/>
              </w:rPr>
              <w:t>/s)</w:t>
            </w:r>
          </w:p>
        </w:tc>
        <w:tc>
          <w:tcPr>
            <w:tcW w:w="1109" w:type="dxa"/>
            <w:shd w:val="clear" w:color="auto" w:fill="0070C0"/>
            <w:vAlign w:val="center"/>
          </w:tcPr>
          <w:p w14:paraId="130F646F" w14:textId="77777777" w:rsidR="00896CE3" w:rsidRPr="00DF7822" w:rsidRDefault="00896CE3" w:rsidP="005D6D41">
            <w:pPr>
              <w:pStyle w:val="TableParagraph"/>
              <w:spacing w:before="0" w:beforeAutospacing="0" w:after="0" w:afterAutospacing="0" w:line="240" w:lineRule="auto"/>
              <w:jc w:val="center"/>
              <w:rPr>
                <w:rFonts w:ascii="Arial" w:hAnsi="Arial" w:cs="Arial"/>
                <w:b/>
                <w:color w:val="FFFFFF"/>
                <w:sz w:val="20"/>
              </w:rPr>
            </w:pPr>
            <w:r w:rsidRPr="00DF7822">
              <w:rPr>
                <w:rFonts w:ascii="Arial" w:hAnsi="Arial" w:cs="Arial"/>
                <w:b/>
                <w:color w:val="FFFFFF"/>
                <w:sz w:val="20"/>
              </w:rPr>
              <w:t>Hauteur de Chute (m)</w:t>
            </w:r>
          </w:p>
        </w:tc>
        <w:tc>
          <w:tcPr>
            <w:tcW w:w="1896" w:type="dxa"/>
            <w:shd w:val="clear" w:color="auto" w:fill="0070C0"/>
            <w:vAlign w:val="center"/>
          </w:tcPr>
          <w:p w14:paraId="508CB603" w14:textId="77777777" w:rsidR="00896CE3" w:rsidRPr="00DF7822" w:rsidRDefault="00896CE3" w:rsidP="005D6D41">
            <w:pPr>
              <w:pStyle w:val="TableParagraph"/>
              <w:spacing w:before="0" w:beforeAutospacing="0" w:after="0" w:afterAutospacing="0" w:line="240" w:lineRule="auto"/>
              <w:ind w:left="106"/>
              <w:jc w:val="center"/>
              <w:rPr>
                <w:rFonts w:ascii="Arial" w:hAnsi="Arial" w:cs="Arial"/>
                <w:b/>
                <w:color w:val="FFFFFF"/>
                <w:sz w:val="20"/>
              </w:rPr>
            </w:pPr>
            <w:r w:rsidRPr="005D6D41">
              <w:rPr>
                <w:rFonts w:ascii="Arial" w:hAnsi="Arial" w:cs="Arial"/>
                <w:b/>
                <w:color w:val="FFFFFF"/>
                <w:sz w:val="20"/>
              </w:rPr>
              <w:t>T</w:t>
            </w:r>
            <w:r w:rsidRPr="00DF7822">
              <w:rPr>
                <w:rFonts w:ascii="Arial" w:hAnsi="Arial" w:cs="Arial"/>
                <w:b/>
                <w:color w:val="FFFFFF"/>
                <w:sz w:val="20"/>
              </w:rPr>
              <w:t>ype</w:t>
            </w:r>
            <w:r w:rsidRPr="005D6D41">
              <w:rPr>
                <w:rFonts w:ascii="Arial" w:hAnsi="Arial" w:cs="Arial"/>
                <w:b/>
                <w:color w:val="FFFFFF"/>
                <w:sz w:val="20"/>
              </w:rPr>
              <w:t xml:space="preserve"> </w:t>
            </w:r>
            <w:r w:rsidRPr="00DF7822">
              <w:rPr>
                <w:rFonts w:ascii="Arial" w:hAnsi="Arial" w:cs="Arial"/>
                <w:b/>
                <w:color w:val="FFFFFF"/>
                <w:sz w:val="20"/>
              </w:rPr>
              <w:t xml:space="preserve"> de Turbine</w:t>
            </w:r>
          </w:p>
        </w:tc>
        <w:tc>
          <w:tcPr>
            <w:tcW w:w="1276" w:type="dxa"/>
            <w:shd w:val="clear" w:color="auto" w:fill="0070C0"/>
            <w:vAlign w:val="center"/>
          </w:tcPr>
          <w:p w14:paraId="412F7A11" w14:textId="77777777" w:rsidR="00896CE3" w:rsidRPr="00DF7822" w:rsidRDefault="00896CE3" w:rsidP="005D6D41">
            <w:pPr>
              <w:pStyle w:val="TableParagraph"/>
              <w:spacing w:before="0" w:beforeAutospacing="0" w:after="0" w:afterAutospacing="0" w:line="240" w:lineRule="auto"/>
              <w:jc w:val="center"/>
              <w:rPr>
                <w:rFonts w:ascii="Arial" w:hAnsi="Arial" w:cs="Arial"/>
                <w:b/>
                <w:color w:val="FFFFFF"/>
                <w:sz w:val="20"/>
              </w:rPr>
            </w:pPr>
            <w:r w:rsidRPr="00DF7822">
              <w:rPr>
                <w:rFonts w:ascii="Arial" w:hAnsi="Arial" w:cs="Arial"/>
                <w:b/>
                <w:color w:val="FFFFFF"/>
                <w:sz w:val="20"/>
              </w:rPr>
              <w:t>Puissance</w:t>
            </w:r>
          </w:p>
          <w:p w14:paraId="556AA402" w14:textId="77777777" w:rsidR="00896CE3" w:rsidRPr="00DF7822" w:rsidRDefault="00896CE3" w:rsidP="005D6D41">
            <w:pPr>
              <w:pStyle w:val="TableParagraph"/>
              <w:spacing w:before="0" w:beforeAutospacing="0" w:after="0" w:afterAutospacing="0" w:line="240" w:lineRule="auto"/>
              <w:ind w:left="220"/>
              <w:jc w:val="center"/>
              <w:rPr>
                <w:rFonts w:ascii="Arial" w:hAnsi="Arial" w:cs="Arial"/>
                <w:b/>
                <w:color w:val="FFFFFF"/>
                <w:sz w:val="20"/>
              </w:rPr>
            </w:pPr>
            <w:r w:rsidRPr="00DF7822">
              <w:rPr>
                <w:rFonts w:ascii="Arial" w:hAnsi="Arial" w:cs="Arial"/>
                <w:b/>
                <w:color w:val="FFFFFF"/>
                <w:sz w:val="20"/>
              </w:rPr>
              <w:t>(kW)</w:t>
            </w:r>
          </w:p>
        </w:tc>
        <w:tc>
          <w:tcPr>
            <w:tcW w:w="1276" w:type="dxa"/>
            <w:shd w:val="clear" w:color="auto" w:fill="0070C0"/>
            <w:vAlign w:val="center"/>
          </w:tcPr>
          <w:p w14:paraId="7722C5A7" w14:textId="77777777" w:rsidR="00896CE3" w:rsidRPr="00DF7822" w:rsidRDefault="00896CE3" w:rsidP="005D6D41">
            <w:pPr>
              <w:pStyle w:val="TableParagraph"/>
              <w:spacing w:before="0" w:beforeAutospacing="0" w:after="0" w:afterAutospacing="0" w:line="240" w:lineRule="auto"/>
              <w:ind w:left="109"/>
              <w:jc w:val="center"/>
              <w:rPr>
                <w:rFonts w:ascii="Arial" w:hAnsi="Arial" w:cs="Arial"/>
                <w:b/>
                <w:color w:val="FFFFFF"/>
                <w:sz w:val="20"/>
              </w:rPr>
            </w:pPr>
            <w:r w:rsidRPr="00DF7822">
              <w:rPr>
                <w:b/>
                <w:color w:val="FFFFFF"/>
                <w:sz w:val="20"/>
              </w:rPr>
              <w:t xml:space="preserve">Capacité </w:t>
            </w:r>
            <w:r w:rsidRPr="00DF7822">
              <w:rPr>
                <w:rFonts w:ascii="Arial" w:hAnsi="Arial" w:cs="Arial"/>
                <w:b/>
                <w:color w:val="FFFFFF"/>
                <w:sz w:val="20"/>
              </w:rPr>
              <w:t>(MWh)</w:t>
            </w:r>
          </w:p>
        </w:tc>
      </w:tr>
      <w:tr w:rsidR="00896CE3" w:rsidRPr="00F03C1D" w14:paraId="1F93CC01" w14:textId="77777777" w:rsidTr="005D6D41">
        <w:trPr>
          <w:trHeight w:val="279"/>
          <w:jc w:val="center"/>
        </w:trPr>
        <w:tc>
          <w:tcPr>
            <w:tcW w:w="2693" w:type="dxa"/>
            <w:shd w:val="clear" w:color="auto" w:fill="auto"/>
          </w:tcPr>
          <w:p w14:paraId="4BBA4DB0" w14:textId="77777777" w:rsidR="00896CE3" w:rsidRPr="005D6D41" w:rsidRDefault="00896CE3" w:rsidP="005D6D41">
            <w:pPr>
              <w:pStyle w:val="TableParagraph"/>
              <w:tabs>
                <w:tab w:val="left" w:pos="956"/>
              </w:tabs>
              <w:spacing w:before="0" w:beforeAutospacing="0" w:after="0" w:afterAutospacing="0" w:line="240" w:lineRule="auto"/>
              <w:ind w:right="99"/>
              <w:rPr>
                <w:rFonts w:ascii="Arial" w:hAnsi="Arial" w:cs="Arial"/>
                <w:sz w:val="20"/>
              </w:rPr>
            </w:pPr>
            <w:r w:rsidRPr="005D6D41">
              <w:rPr>
                <w:rFonts w:ascii="Arial" w:hAnsi="Arial" w:cs="Arial"/>
                <w:sz w:val="20"/>
              </w:rPr>
              <w:t xml:space="preserve">Site </w:t>
            </w:r>
            <w:r w:rsidRPr="005D6D41">
              <w:rPr>
                <w:rFonts w:ascii="Arial" w:hAnsi="Arial" w:cs="Arial"/>
                <w:spacing w:val="-7"/>
                <w:sz w:val="20"/>
              </w:rPr>
              <w:t xml:space="preserve">N°1 </w:t>
            </w:r>
            <w:r w:rsidRPr="005D6D41">
              <w:rPr>
                <w:rFonts w:ascii="Arial" w:hAnsi="Arial" w:cs="Arial"/>
                <w:sz w:val="20"/>
              </w:rPr>
              <w:t>Marobakoly</w:t>
            </w:r>
          </w:p>
        </w:tc>
        <w:tc>
          <w:tcPr>
            <w:tcW w:w="1106" w:type="dxa"/>
            <w:shd w:val="clear" w:color="auto" w:fill="auto"/>
          </w:tcPr>
          <w:p w14:paraId="4543462F"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1,8</w:t>
            </w:r>
          </w:p>
        </w:tc>
        <w:tc>
          <w:tcPr>
            <w:tcW w:w="1109" w:type="dxa"/>
            <w:shd w:val="clear" w:color="auto" w:fill="auto"/>
          </w:tcPr>
          <w:p w14:paraId="40E84C78"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13,3</w:t>
            </w:r>
          </w:p>
        </w:tc>
        <w:tc>
          <w:tcPr>
            <w:tcW w:w="1896" w:type="dxa"/>
            <w:shd w:val="clear" w:color="auto" w:fill="auto"/>
          </w:tcPr>
          <w:p w14:paraId="2ACA77CE" w14:textId="77777777" w:rsidR="00896CE3" w:rsidRPr="005D6D41" w:rsidRDefault="00896CE3" w:rsidP="005D6D41">
            <w:pPr>
              <w:pStyle w:val="TableParagraph"/>
              <w:spacing w:before="0" w:beforeAutospacing="0" w:after="0" w:afterAutospacing="0" w:line="240" w:lineRule="auto"/>
              <w:ind w:right="174"/>
              <w:rPr>
                <w:rFonts w:ascii="Arial" w:hAnsi="Arial" w:cs="Arial"/>
                <w:sz w:val="20"/>
              </w:rPr>
            </w:pPr>
            <w:r w:rsidRPr="005D6D41">
              <w:rPr>
                <w:rFonts w:ascii="Arial" w:hAnsi="Arial" w:cs="Arial"/>
                <w:sz w:val="20"/>
              </w:rPr>
              <w:t>Banki Crossflow</w:t>
            </w:r>
          </w:p>
        </w:tc>
        <w:tc>
          <w:tcPr>
            <w:tcW w:w="1276" w:type="dxa"/>
            <w:shd w:val="clear" w:color="auto" w:fill="auto"/>
          </w:tcPr>
          <w:p w14:paraId="3462D601"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178</w:t>
            </w:r>
          </w:p>
        </w:tc>
        <w:tc>
          <w:tcPr>
            <w:tcW w:w="1276" w:type="dxa"/>
            <w:shd w:val="clear" w:color="auto" w:fill="auto"/>
          </w:tcPr>
          <w:p w14:paraId="4EB8B8BB"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1291</w:t>
            </w:r>
          </w:p>
        </w:tc>
      </w:tr>
      <w:tr w:rsidR="00896CE3" w:rsidRPr="00F03C1D" w14:paraId="50E55C4A" w14:textId="77777777" w:rsidTr="005D6D41">
        <w:trPr>
          <w:trHeight w:val="283"/>
          <w:jc w:val="center"/>
        </w:trPr>
        <w:tc>
          <w:tcPr>
            <w:tcW w:w="2693" w:type="dxa"/>
            <w:shd w:val="clear" w:color="auto" w:fill="auto"/>
          </w:tcPr>
          <w:p w14:paraId="040615B0" w14:textId="77777777" w:rsidR="00896CE3" w:rsidRPr="005D6D41" w:rsidRDefault="00896CE3" w:rsidP="005D6D41">
            <w:pPr>
              <w:pStyle w:val="TableParagraph"/>
              <w:tabs>
                <w:tab w:val="left" w:pos="956"/>
              </w:tabs>
              <w:spacing w:before="0" w:beforeAutospacing="0" w:after="0" w:afterAutospacing="0" w:line="240" w:lineRule="auto"/>
              <w:ind w:right="99"/>
              <w:rPr>
                <w:rFonts w:ascii="Arial" w:hAnsi="Arial" w:cs="Arial"/>
                <w:sz w:val="20"/>
              </w:rPr>
            </w:pPr>
            <w:r w:rsidRPr="005D6D41">
              <w:rPr>
                <w:rFonts w:ascii="Arial" w:hAnsi="Arial" w:cs="Arial"/>
                <w:sz w:val="20"/>
              </w:rPr>
              <w:t xml:space="preserve">Site </w:t>
            </w:r>
            <w:r w:rsidRPr="005D6D41">
              <w:rPr>
                <w:rFonts w:ascii="Arial" w:hAnsi="Arial" w:cs="Arial"/>
                <w:spacing w:val="-7"/>
                <w:sz w:val="20"/>
              </w:rPr>
              <w:t xml:space="preserve">N°2 </w:t>
            </w:r>
            <w:r w:rsidRPr="005D6D41">
              <w:rPr>
                <w:rFonts w:ascii="Arial" w:hAnsi="Arial" w:cs="Arial"/>
                <w:sz w:val="20"/>
              </w:rPr>
              <w:t>Betaimboraka</w:t>
            </w:r>
          </w:p>
        </w:tc>
        <w:tc>
          <w:tcPr>
            <w:tcW w:w="1106" w:type="dxa"/>
            <w:shd w:val="clear" w:color="auto" w:fill="auto"/>
          </w:tcPr>
          <w:p w14:paraId="787AB3D0"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0,9</w:t>
            </w:r>
          </w:p>
        </w:tc>
        <w:tc>
          <w:tcPr>
            <w:tcW w:w="1109" w:type="dxa"/>
            <w:shd w:val="clear" w:color="auto" w:fill="auto"/>
          </w:tcPr>
          <w:p w14:paraId="16511938"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53,94</w:t>
            </w:r>
          </w:p>
        </w:tc>
        <w:tc>
          <w:tcPr>
            <w:tcW w:w="1896" w:type="dxa"/>
            <w:shd w:val="clear" w:color="auto" w:fill="auto"/>
          </w:tcPr>
          <w:p w14:paraId="40412720" w14:textId="77777777" w:rsidR="00896CE3" w:rsidRPr="005D6D41" w:rsidRDefault="00896CE3" w:rsidP="005D6D41">
            <w:pPr>
              <w:pStyle w:val="TableParagraph"/>
              <w:spacing w:before="0" w:beforeAutospacing="0" w:after="0" w:afterAutospacing="0" w:line="240" w:lineRule="auto"/>
              <w:ind w:right="174"/>
              <w:rPr>
                <w:rFonts w:ascii="Arial" w:hAnsi="Arial" w:cs="Arial"/>
                <w:sz w:val="20"/>
              </w:rPr>
            </w:pPr>
            <w:r w:rsidRPr="005D6D41">
              <w:rPr>
                <w:rFonts w:ascii="Arial" w:hAnsi="Arial" w:cs="Arial"/>
                <w:sz w:val="20"/>
              </w:rPr>
              <w:t>Banki Crossflow</w:t>
            </w:r>
          </w:p>
        </w:tc>
        <w:tc>
          <w:tcPr>
            <w:tcW w:w="1276" w:type="dxa"/>
            <w:shd w:val="clear" w:color="auto" w:fill="auto"/>
          </w:tcPr>
          <w:p w14:paraId="1E86CFCB"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377</w:t>
            </w:r>
          </w:p>
        </w:tc>
        <w:tc>
          <w:tcPr>
            <w:tcW w:w="1276" w:type="dxa"/>
            <w:shd w:val="clear" w:color="auto" w:fill="auto"/>
          </w:tcPr>
          <w:p w14:paraId="34DE5811"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1442</w:t>
            </w:r>
          </w:p>
        </w:tc>
      </w:tr>
      <w:tr w:rsidR="00896CE3" w:rsidRPr="00F03C1D" w14:paraId="02BA298A" w14:textId="77777777" w:rsidTr="005D6D41">
        <w:trPr>
          <w:trHeight w:val="273"/>
          <w:jc w:val="center"/>
        </w:trPr>
        <w:tc>
          <w:tcPr>
            <w:tcW w:w="2693" w:type="dxa"/>
            <w:shd w:val="clear" w:color="auto" w:fill="auto"/>
          </w:tcPr>
          <w:p w14:paraId="0A12741A" w14:textId="77777777" w:rsidR="00896CE3" w:rsidRPr="005D6D41" w:rsidRDefault="00896CE3" w:rsidP="005D6D41">
            <w:pPr>
              <w:pStyle w:val="TableParagraph"/>
              <w:tabs>
                <w:tab w:val="left" w:pos="956"/>
              </w:tabs>
              <w:spacing w:before="0" w:beforeAutospacing="0" w:after="0" w:afterAutospacing="0" w:line="240" w:lineRule="auto"/>
              <w:ind w:right="99"/>
              <w:rPr>
                <w:rFonts w:ascii="Arial" w:hAnsi="Arial" w:cs="Arial"/>
                <w:sz w:val="20"/>
              </w:rPr>
            </w:pPr>
            <w:r w:rsidRPr="005D6D41">
              <w:rPr>
                <w:rFonts w:ascii="Arial" w:hAnsi="Arial" w:cs="Arial"/>
                <w:sz w:val="20"/>
              </w:rPr>
              <w:t xml:space="preserve">Site </w:t>
            </w:r>
            <w:r w:rsidRPr="005D6D41">
              <w:rPr>
                <w:rFonts w:ascii="Arial" w:hAnsi="Arial" w:cs="Arial"/>
                <w:spacing w:val="-7"/>
                <w:sz w:val="20"/>
              </w:rPr>
              <w:t xml:space="preserve">N°3 </w:t>
            </w:r>
            <w:r w:rsidRPr="005D6D41">
              <w:rPr>
                <w:rFonts w:ascii="Arial" w:hAnsi="Arial" w:cs="Arial"/>
                <w:sz w:val="20"/>
              </w:rPr>
              <w:t>Ambohidava</w:t>
            </w:r>
          </w:p>
        </w:tc>
        <w:tc>
          <w:tcPr>
            <w:tcW w:w="1106" w:type="dxa"/>
            <w:shd w:val="clear" w:color="auto" w:fill="auto"/>
          </w:tcPr>
          <w:p w14:paraId="00FCCE89"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0,23</w:t>
            </w:r>
          </w:p>
        </w:tc>
        <w:tc>
          <w:tcPr>
            <w:tcW w:w="1109" w:type="dxa"/>
            <w:shd w:val="clear" w:color="auto" w:fill="auto"/>
          </w:tcPr>
          <w:p w14:paraId="7D8BFD03"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160,57</w:t>
            </w:r>
          </w:p>
        </w:tc>
        <w:tc>
          <w:tcPr>
            <w:tcW w:w="1896" w:type="dxa"/>
            <w:shd w:val="clear" w:color="auto" w:fill="auto"/>
          </w:tcPr>
          <w:p w14:paraId="7E765279" w14:textId="77777777" w:rsidR="00896CE3" w:rsidRPr="005D6D41" w:rsidRDefault="00896CE3" w:rsidP="005D6D41">
            <w:pPr>
              <w:pStyle w:val="TableParagraph"/>
              <w:spacing w:before="0" w:beforeAutospacing="0" w:after="0" w:afterAutospacing="0" w:line="240" w:lineRule="auto"/>
              <w:ind w:right="128"/>
              <w:rPr>
                <w:rFonts w:ascii="Arial" w:hAnsi="Arial" w:cs="Arial"/>
                <w:sz w:val="20"/>
              </w:rPr>
            </w:pPr>
            <w:r w:rsidRPr="005D6D41">
              <w:rPr>
                <w:rFonts w:ascii="Arial" w:hAnsi="Arial" w:cs="Arial"/>
                <w:sz w:val="20"/>
              </w:rPr>
              <w:t>Banki Crossflow</w:t>
            </w:r>
          </w:p>
        </w:tc>
        <w:tc>
          <w:tcPr>
            <w:tcW w:w="1276" w:type="dxa"/>
            <w:shd w:val="clear" w:color="auto" w:fill="auto"/>
          </w:tcPr>
          <w:p w14:paraId="1C46F767"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287</w:t>
            </w:r>
          </w:p>
        </w:tc>
        <w:tc>
          <w:tcPr>
            <w:tcW w:w="1276" w:type="dxa"/>
            <w:shd w:val="clear" w:color="auto" w:fill="auto"/>
          </w:tcPr>
          <w:p w14:paraId="698DDF3D"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1772</w:t>
            </w:r>
          </w:p>
        </w:tc>
      </w:tr>
      <w:tr w:rsidR="00896CE3" w:rsidRPr="00F03C1D" w14:paraId="7ACA61F9" w14:textId="77777777" w:rsidTr="005D6D41">
        <w:trPr>
          <w:trHeight w:val="276"/>
          <w:jc w:val="center"/>
        </w:trPr>
        <w:tc>
          <w:tcPr>
            <w:tcW w:w="2693" w:type="dxa"/>
            <w:shd w:val="clear" w:color="auto" w:fill="auto"/>
          </w:tcPr>
          <w:p w14:paraId="3AD848B5" w14:textId="77777777" w:rsidR="00896CE3" w:rsidRPr="005D6D41" w:rsidRDefault="00896CE3" w:rsidP="005D6D41">
            <w:pPr>
              <w:pStyle w:val="TableParagraph"/>
              <w:tabs>
                <w:tab w:val="left" w:pos="956"/>
              </w:tabs>
              <w:spacing w:before="0" w:beforeAutospacing="0" w:after="0" w:afterAutospacing="0" w:line="240" w:lineRule="auto"/>
              <w:ind w:right="99"/>
              <w:rPr>
                <w:rFonts w:ascii="Arial" w:hAnsi="Arial" w:cs="Arial"/>
                <w:sz w:val="20"/>
              </w:rPr>
            </w:pPr>
            <w:r w:rsidRPr="005D6D41">
              <w:rPr>
                <w:rFonts w:ascii="Arial" w:hAnsi="Arial" w:cs="Arial"/>
                <w:sz w:val="20"/>
              </w:rPr>
              <w:t xml:space="preserve">Site </w:t>
            </w:r>
            <w:r w:rsidRPr="005D6D41">
              <w:rPr>
                <w:rFonts w:ascii="Arial" w:hAnsi="Arial" w:cs="Arial"/>
                <w:spacing w:val="-7"/>
                <w:sz w:val="20"/>
              </w:rPr>
              <w:t xml:space="preserve">N°4 </w:t>
            </w:r>
            <w:r w:rsidRPr="005D6D41">
              <w:rPr>
                <w:rFonts w:ascii="Arial" w:hAnsi="Arial" w:cs="Arial"/>
                <w:sz w:val="20"/>
              </w:rPr>
              <w:t>Analamanatsiva</w:t>
            </w:r>
          </w:p>
        </w:tc>
        <w:tc>
          <w:tcPr>
            <w:tcW w:w="1106" w:type="dxa"/>
            <w:shd w:val="clear" w:color="auto" w:fill="auto"/>
          </w:tcPr>
          <w:p w14:paraId="166A1CBA"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0,1</w:t>
            </w:r>
          </w:p>
        </w:tc>
        <w:tc>
          <w:tcPr>
            <w:tcW w:w="1109" w:type="dxa"/>
            <w:shd w:val="clear" w:color="auto" w:fill="auto"/>
          </w:tcPr>
          <w:p w14:paraId="7FDCD54C"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370,38</w:t>
            </w:r>
          </w:p>
        </w:tc>
        <w:tc>
          <w:tcPr>
            <w:tcW w:w="1896" w:type="dxa"/>
            <w:shd w:val="clear" w:color="auto" w:fill="auto"/>
          </w:tcPr>
          <w:p w14:paraId="55EFBA9F" w14:textId="77777777" w:rsidR="00896CE3" w:rsidRPr="005D6D41" w:rsidRDefault="00896CE3" w:rsidP="005D6D41">
            <w:pPr>
              <w:pStyle w:val="TableParagraph"/>
              <w:spacing w:before="0" w:beforeAutospacing="0" w:after="0" w:afterAutospacing="0" w:line="240" w:lineRule="auto"/>
              <w:rPr>
                <w:rFonts w:ascii="Arial" w:hAnsi="Arial" w:cs="Arial"/>
                <w:sz w:val="20"/>
              </w:rPr>
            </w:pPr>
            <w:r w:rsidRPr="005D6D41">
              <w:rPr>
                <w:rFonts w:ascii="Arial" w:hAnsi="Arial" w:cs="Arial"/>
                <w:sz w:val="20"/>
              </w:rPr>
              <w:t>Pelton</w:t>
            </w:r>
          </w:p>
        </w:tc>
        <w:tc>
          <w:tcPr>
            <w:tcW w:w="1276" w:type="dxa"/>
            <w:shd w:val="clear" w:color="auto" w:fill="auto"/>
          </w:tcPr>
          <w:p w14:paraId="68D742E5"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310</w:t>
            </w:r>
          </w:p>
        </w:tc>
        <w:tc>
          <w:tcPr>
            <w:tcW w:w="1276" w:type="dxa"/>
            <w:shd w:val="clear" w:color="auto" w:fill="auto"/>
          </w:tcPr>
          <w:p w14:paraId="252E42EE"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2117</w:t>
            </w:r>
          </w:p>
        </w:tc>
      </w:tr>
      <w:tr w:rsidR="00896CE3" w:rsidRPr="00F03C1D" w14:paraId="0FE0F7CB" w14:textId="77777777" w:rsidTr="005D6D41">
        <w:trPr>
          <w:trHeight w:val="280"/>
          <w:jc w:val="center"/>
        </w:trPr>
        <w:tc>
          <w:tcPr>
            <w:tcW w:w="2693" w:type="dxa"/>
            <w:shd w:val="clear" w:color="auto" w:fill="auto"/>
          </w:tcPr>
          <w:p w14:paraId="411D9288" w14:textId="77777777" w:rsidR="00896CE3" w:rsidRPr="005D6D41" w:rsidRDefault="00896CE3" w:rsidP="005D6D41">
            <w:pPr>
              <w:pStyle w:val="TableParagraph"/>
              <w:tabs>
                <w:tab w:val="left" w:pos="956"/>
              </w:tabs>
              <w:spacing w:before="0" w:beforeAutospacing="0" w:after="0" w:afterAutospacing="0" w:line="240" w:lineRule="auto"/>
              <w:ind w:right="99"/>
              <w:rPr>
                <w:rFonts w:ascii="Arial" w:hAnsi="Arial" w:cs="Arial"/>
                <w:sz w:val="20"/>
              </w:rPr>
            </w:pPr>
            <w:r w:rsidRPr="005D6D41">
              <w:rPr>
                <w:rFonts w:ascii="Arial" w:hAnsi="Arial" w:cs="Arial"/>
                <w:sz w:val="20"/>
              </w:rPr>
              <w:t xml:space="preserve">Site </w:t>
            </w:r>
            <w:r w:rsidRPr="005D6D41">
              <w:rPr>
                <w:rFonts w:ascii="Arial" w:hAnsi="Arial" w:cs="Arial"/>
                <w:spacing w:val="-7"/>
                <w:sz w:val="20"/>
              </w:rPr>
              <w:t xml:space="preserve">N°5 </w:t>
            </w:r>
            <w:r w:rsidRPr="005D6D41">
              <w:rPr>
                <w:rFonts w:ascii="Arial" w:hAnsi="Arial" w:cs="Arial"/>
                <w:sz w:val="20"/>
              </w:rPr>
              <w:t>Bihazomaty</w:t>
            </w:r>
          </w:p>
        </w:tc>
        <w:tc>
          <w:tcPr>
            <w:tcW w:w="1106" w:type="dxa"/>
            <w:shd w:val="clear" w:color="auto" w:fill="auto"/>
          </w:tcPr>
          <w:p w14:paraId="268B35A9"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1,35</w:t>
            </w:r>
          </w:p>
        </w:tc>
        <w:tc>
          <w:tcPr>
            <w:tcW w:w="1109" w:type="dxa"/>
            <w:shd w:val="clear" w:color="auto" w:fill="auto"/>
          </w:tcPr>
          <w:p w14:paraId="45966E75"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25,97</w:t>
            </w:r>
          </w:p>
        </w:tc>
        <w:tc>
          <w:tcPr>
            <w:tcW w:w="1896" w:type="dxa"/>
            <w:shd w:val="clear" w:color="auto" w:fill="auto"/>
          </w:tcPr>
          <w:p w14:paraId="37186515" w14:textId="77777777" w:rsidR="00896CE3" w:rsidRPr="005D6D41" w:rsidRDefault="00896CE3" w:rsidP="005D6D41">
            <w:pPr>
              <w:pStyle w:val="TableParagraph"/>
              <w:spacing w:before="0" w:beforeAutospacing="0" w:after="0" w:afterAutospacing="0" w:line="240" w:lineRule="auto"/>
              <w:ind w:right="128"/>
              <w:rPr>
                <w:rFonts w:ascii="Arial" w:hAnsi="Arial" w:cs="Arial"/>
                <w:sz w:val="20"/>
              </w:rPr>
            </w:pPr>
            <w:r w:rsidRPr="005D6D41">
              <w:rPr>
                <w:rFonts w:ascii="Arial" w:hAnsi="Arial" w:cs="Arial"/>
                <w:sz w:val="20"/>
              </w:rPr>
              <w:t>Banki Crossflow</w:t>
            </w:r>
          </w:p>
        </w:tc>
        <w:tc>
          <w:tcPr>
            <w:tcW w:w="1276" w:type="dxa"/>
            <w:shd w:val="clear" w:color="auto" w:fill="auto"/>
          </w:tcPr>
          <w:p w14:paraId="3DEAA3A8"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261</w:t>
            </w:r>
          </w:p>
        </w:tc>
        <w:tc>
          <w:tcPr>
            <w:tcW w:w="1276" w:type="dxa"/>
            <w:shd w:val="clear" w:color="auto" w:fill="auto"/>
          </w:tcPr>
          <w:p w14:paraId="6D953361"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1035</w:t>
            </w:r>
          </w:p>
        </w:tc>
      </w:tr>
      <w:tr w:rsidR="00896CE3" w:rsidRPr="00F03C1D" w14:paraId="6BFDAA48" w14:textId="77777777" w:rsidTr="005D6D41">
        <w:trPr>
          <w:trHeight w:val="262"/>
          <w:jc w:val="center"/>
        </w:trPr>
        <w:tc>
          <w:tcPr>
            <w:tcW w:w="2693" w:type="dxa"/>
            <w:shd w:val="clear" w:color="auto" w:fill="auto"/>
          </w:tcPr>
          <w:p w14:paraId="448EDB6C" w14:textId="77777777" w:rsidR="00896CE3" w:rsidRPr="005D6D41" w:rsidRDefault="00896CE3" w:rsidP="005D6D41">
            <w:pPr>
              <w:pStyle w:val="TableParagraph"/>
              <w:tabs>
                <w:tab w:val="left" w:pos="956"/>
              </w:tabs>
              <w:spacing w:before="0" w:beforeAutospacing="0" w:after="0" w:afterAutospacing="0" w:line="240" w:lineRule="auto"/>
              <w:ind w:right="99"/>
              <w:rPr>
                <w:rFonts w:ascii="Arial" w:hAnsi="Arial" w:cs="Arial"/>
                <w:sz w:val="20"/>
              </w:rPr>
            </w:pPr>
            <w:r w:rsidRPr="005D6D41">
              <w:rPr>
                <w:rFonts w:ascii="Arial" w:hAnsi="Arial" w:cs="Arial"/>
                <w:sz w:val="20"/>
              </w:rPr>
              <w:t xml:space="preserve">Site </w:t>
            </w:r>
            <w:r w:rsidRPr="005D6D41">
              <w:rPr>
                <w:rFonts w:ascii="Arial" w:hAnsi="Arial" w:cs="Arial"/>
                <w:spacing w:val="-7"/>
                <w:sz w:val="20"/>
              </w:rPr>
              <w:t xml:space="preserve">N°6 </w:t>
            </w:r>
            <w:r w:rsidRPr="005D6D41">
              <w:rPr>
                <w:rFonts w:ascii="Arial" w:hAnsi="Arial" w:cs="Arial"/>
                <w:sz w:val="20"/>
              </w:rPr>
              <w:t>Antsavily</w:t>
            </w:r>
          </w:p>
        </w:tc>
        <w:tc>
          <w:tcPr>
            <w:tcW w:w="1106" w:type="dxa"/>
            <w:shd w:val="clear" w:color="auto" w:fill="auto"/>
          </w:tcPr>
          <w:p w14:paraId="37848C4F"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2,5</w:t>
            </w:r>
          </w:p>
        </w:tc>
        <w:tc>
          <w:tcPr>
            <w:tcW w:w="1109" w:type="dxa"/>
            <w:shd w:val="clear" w:color="auto" w:fill="auto"/>
          </w:tcPr>
          <w:p w14:paraId="730796E0"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38,94</w:t>
            </w:r>
          </w:p>
        </w:tc>
        <w:tc>
          <w:tcPr>
            <w:tcW w:w="1896" w:type="dxa"/>
            <w:shd w:val="clear" w:color="auto" w:fill="auto"/>
          </w:tcPr>
          <w:p w14:paraId="053409F6" w14:textId="77777777" w:rsidR="00896CE3" w:rsidRPr="005D6D41" w:rsidRDefault="00896CE3" w:rsidP="005D6D41">
            <w:pPr>
              <w:pStyle w:val="TableParagraph"/>
              <w:spacing w:before="0" w:beforeAutospacing="0" w:after="0" w:afterAutospacing="0" w:line="240" w:lineRule="auto"/>
              <w:ind w:right="128"/>
              <w:rPr>
                <w:rFonts w:ascii="Arial" w:hAnsi="Arial" w:cs="Arial"/>
                <w:sz w:val="20"/>
              </w:rPr>
            </w:pPr>
            <w:r w:rsidRPr="005D6D41">
              <w:rPr>
                <w:rFonts w:ascii="Arial" w:hAnsi="Arial" w:cs="Arial"/>
                <w:sz w:val="20"/>
              </w:rPr>
              <w:t>Banki Crossflow</w:t>
            </w:r>
          </w:p>
        </w:tc>
        <w:tc>
          <w:tcPr>
            <w:tcW w:w="1276" w:type="dxa"/>
            <w:shd w:val="clear" w:color="auto" w:fill="auto"/>
          </w:tcPr>
          <w:p w14:paraId="386EDC23"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724</w:t>
            </w:r>
          </w:p>
        </w:tc>
        <w:tc>
          <w:tcPr>
            <w:tcW w:w="1276" w:type="dxa"/>
            <w:shd w:val="clear" w:color="auto" w:fill="auto"/>
          </w:tcPr>
          <w:p w14:paraId="10000648"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5775</w:t>
            </w:r>
          </w:p>
        </w:tc>
      </w:tr>
      <w:tr w:rsidR="00896CE3" w:rsidRPr="00F03C1D" w14:paraId="5CC9C23A" w14:textId="77777777" w:rsidTr="005D6D41">
        <w:trPr>
          <w:trHeight w:val="280"/>
          <w:jc w:val="center"/>
        </w:trPr>
        <w:tc>
          <w:tcPr>
            <w:tcW w:w="2693" w:type="dxa"/>
            <w:shd w:val="clear" w:color="auto" w:fill="auto"/>
          </w:tcPr>
          <w:p w14:paraId="7D7A79D9" w14:textId="77777777" w:rsidR="00896CE3" w:rsidRPr="005D6D41" w:rsidRDefault="00896CE3" w:rsidP="005D6D41">
            <w:pPr>
              <w:pStyle w:val="TableParagraph"/>
              <w:tabs>
                <w:tab w:val="left" w:pos="956"/>
              </w:tabs>
              <w:spacing w:before="0" w:beforeAutospacing="0" w:after="0" w:afterAutospacing="0" w:line="240" w:lineRule="auto"/>
              <w:rPr>
                <w:rFonts w:ascii="Arial" w:hAnsi="Arial" w:cs="Arial"/>
                <w:sz w:val="20"/>
              </w:rPr>
            </w:pPr>
            <w:r w:rsidRPr="005D6D41">
              <w:rPr>
                <w:rFonts w:ascii="Arial" w:hAnsi="Arial" w:cs="Arial"/>
                <w:sz w:val="20"/>
              </w:rPr>
              <w:t>Site N°7Sisaony</w:t>
            </w:r>
          </w:p>
        </w:tc>
        <w:tc>
          <w:tcPr>
            <w:tcW w:w="1106" w:type="dxa"/>
            <w:shd w:val="clear" w:color="auto" w:fill="auto"/>
          </w:tcPr>
          <w:p w14:paraId="5EA17709"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3</w:t>
            </w:r>
          </w:p>
        </w:tc>
        <w:tc>
          <w:tcPr>
            <w:tcW w:w="1109" w:type="dxa"/>
            <w:shd w:val="clear" w:color="auto" w:fill="auto"/>
          </w:tcPr>
          <w:p w14:paraId="73608230"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13,23</w:t>
            </w:r>
          </w:p>
        </w:tc>
        <w:tc>
          <w:tcPr>
            <w:tcW w:w="1896" w:type="dxa"/>
            <w:shd w:val="clear" w:color="auto" w:fill="auto"/>
          </w:tcPr>
          <w:p w14:paraId="586F572F" w14:textId="77777777" w:rsidR="00896CE3" w:rsidRPr="005D6D41" w:rsidRDefault="00896CE3" w:rsidP="005D6D41">
            <w:pPr>
              <w:pStyle w:val="TableParagraph"/>
              <w:spacing w:before="0" w:beforeAutospacing="0" w:after="0" w:afterAutospacing="0" w:line="240" w:lineRule="auto"/>
              <w:rPr>
                <w:rFonts w:ascii="Arial" w:hAnsi="Arial" w:cs="Arial"/>
                <w:sz w:val="20"/>
              </w:rPr>
            </w:pPr>
            <w:r w:rsidRPr="005D6D41">
              <w:rPr>
                <w:rFonts w:ascii="Arial" w:hAnsi="Arial" w:cs="Arial"/>
                <w:sz w:val="20"/>
              </w:rPr>
              <w:t>Banki</w:t>
            </w:r>
            <w:r w:rsidRPr="005D6D41">
              <w:rPr>
                <w:sz w:val="20"/>
              </w:rPr>
              <w:t xml:space="preserve"> </w:t>
            </w:r>
            <w:r w:rsidRPr="005D6D41">
              <w:rPr>
                <w:rFonts w:ascii="Arial" w:hAnsi="Arial" w:cs="Arial"/>
                <w:sz w:val="20"/>
              </w:rPr>
              <w:t>Crossflow</w:t>
            </w:r>
          </w:p>
        </w:tc>
        <w:tc>
          <w:tcPr>
            <w:tcW w:w="1276" w:type="dxa"/>
            <w:shd w:val="clear" w:color="auto" w:fill="auto"/>
          </w:tcPr>
          <w:p w14:paraId="427087B5"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295</w:t>
            </w:r>
          </w:p>
        </w:tc>
        <w:tc>
          <w:tcPr>
            <w:tcW w:w="1276" w:type="dxa"/>
            <w:shd w:val="clear" w:color="auto" w:fill="auto"/>
          </w:tcPr>
          <w:p w14:paraId="7212F83A"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1388</w:t>
            </w:r>
          </w:p>
        </w:tc>
      </w:tr>
      <w:tr w:rsidR="00896CE3" w:rsidRPr="00F03C1D" w14:paraId="7FED9711" w14:textId="77777777" w:rsidTr="005D6D41">
        <w:trPr>
          <w:trHeight w:val="283"/>
          <w:jc w:val="center"/>
        </w:trPr>
        <w:tc>
          <w:tcPr>
            <w:tcW w:w="2693" w:type="dxa"/>
            <w:shd w:val="clear" w:color="auto" w:fill="auto"/>
          </w:tcPr>
          <w:p w14:paraId="432D2055" w14:textId="77777777" w:rsidR="00896CE3" w:rsidRPr="005D6D41" w:rsidRDefault="00896CE3" w:rsidP="005D6D41">
            <w:pPr>
              <w:pStyle w:val="TableParagraph"/>
              <w:tabs>
                <w:tab w:val="left" w:pos="956"/>
              </w:tabs>
              <w:spacing w:before="0" w:beforeAutospacing="0" w:after="0" w:afterAutospacing="0" w:line="240" w:lineRule="auto"/>
              <w:ind w:right="99"/>
              <w:rPr>
                <w:rFonts w:ascii="Arial" w:hAnsi="Arial" w:cs="Arial"/>
                <w:sz w:val="20"/>
              </w:rPr>
            </w:pPr>
            <w:r w:rsidRPr="005D6D41">
              <w:rPr>
                <w:rFonts w:ascii="Arial" w:hAnsi="Arial" w:cs="Arial"/>
                <w:sz w:val="20"/>
              </w:rPr>
              <w:t xml:space="preserve">Site </w:t>
            </w:r>
            <w:r w:rsidRPr="005D6D41">
              <w:rPr>
                <w:rFonts w:ascii="Arial" w:hAnsi="Arial" w:cs="Arial"/>
                <w:spacing w:val="-7"/>
                <w:sz w:val="20"/>
              </w:rPr>
              <w:t xml:space="preserve">N°8 </w:t>
            </w:r>
            <w:r w:rsidRPr="005D6D41">
              <w:rPr>
                <w:rFonts w:ascii="Arial" w:hAnsi="Arial" w:cs="Arial"/>
                <w:sz w:val="20"/>
              </w:rPr>
              <w:t>Itenda</w:t>
            </w:r>
          </w:p>
        </w:tc>
        <w:tc>
          <w:tcPr>
            <w:tcW w:w="1106" w:type="dxa"/>
            <w:shd w:val="clear" w:color="auto" w:fill="auto"/>
          </w:tcPr>
          <w:p w14:paraId="353E40FC"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5,6</w:t>
            </w:r>
          </w:p>
        </w:tc>
        <w:tc>
          <w:tcPr>
            <w:tcW w:w="1109" w:type="dxa"/>
            <w:shd w:val="clear" w:color="auto" w:fill="auto"/>
          </w:tcPr>
          <w:p w14:paraId="304FD0CD"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17,85</w:t>
            </w:r>
          </w:p>
        </w:tc>
        <w:tc>
          <w:tcPr>
            <w:tcW w:w="1896" w:type="dxa"/>
            <w:shd w:val="clear" w:color="auto" w:fill="auto"/>
          </w:tcPr>
          <w:p w14:paraId="010A065E" w14:textId="77777777" w:rsidR="00896CE3" w:rsidRPr="005D6D41" w:rsidRDefault="00896CE3" w:rsidP="005D6D41">
            <w:pPr>
              <w:pStyle w:val="TableParagraph"/>
              <w:spacing w:before="0" w:beforeAutospacing="0" w:after="0" w:afterAutospacing="0" w:line="240" w:lineRule="auto"/>
              <w:rPr>
                <w:rFonts w:ascii="Arial" w:hAnsi="Arial" w:cs="Arial"/>
                <w:sz w:val="20"/>
              </w:rPr>
            </w:pPr>
            <w:r w:rsidRPr="005D6D41">
              <w:rPr>
                <w:rFonts w:ascii="Arial" w:hAnsi="Arial" w:cs="Arial"/>
                <w:sz w:val="20"/>
              </w:rPr>
              <w:t>Francis</w:t>
            </w:r>
          </w:p>
        </w:tc>
        <w:tc>
          <w:tcPr>
            <w:tcW w:w="1276" w:type="dxa"/>
            <w:shd w:val="clear" w:color="auto" w:fill="auto"/>
          </w:tcPr>
          <w:p w14:paraId="78A2F8F8"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843</w:t>
            </w:r>
          </w:p>
        </w:tc>
        <w:tc>
          <w:tcPr>
            <w:tcW w:w="1276" w:type="dxa"/>
            <w:shd w:val="clear" w:color="auto" w:fill="auto"/>
          </w:tcPr>
          <w:p w14:paraId="1F364479"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6601</w:t>
            </w:r>
          </w:p>
        </w:tc>
      </w:tr>
      <w:tr w:rsidR="00896CE3" w:rsidRPr="00F03C1D" w14:paraId="017AA485" w14:textId="77777777" w:rsidTr="005D6D41">
        <w:trPr>
          <w:trHeight w:val="260"/>
          <w:jc w:val="center"/>
        </w:trPr>
        <w:tc>
          <w:tcPr>
            <w:tcW w:w="2693" w:type="dxa"/>
            <w:shd w:val="clear" w:color="auto" w:fill="auto"/>
          </w:tcPr>
          <w:p w14:paraId="58C96175" w14:textId="77777777" w:rsidR="00896CE3" w:rsidRPr="005D6D41" w:rsidRDefault="00896CE3" w:rsidP="005D6D41">
            <w:pPr>
              <w:pStyle w:val="TableParagraph"/>
              <w:tabs>
                <w:tab w:val="left" w:pos="956"/>
              </w:tabs>
              <w:spacing w:before="0" w:beforeAutospacing="0" w:after="0" w:afterAutospacing="0" w:line="240" w:lineRule="auto"/>
              <w:ind w:right="99"/>
              <w:rPr>
                <w:rFonts w:ascii="Arial" w:hAnsi="Arial" w:cs="Arial"/>
                <w:sz w:val="20"/>
              </w:rPr>
            </w:pPr>
            <w:r w:rsidRPr="005D6D41">
              <w:rPr>
                <w:rFonts w:ascii="Arial" w:hAnsi="Arial" w:cs="Arial"/>
                <w:sz w:val="20"/>
              </w:rPr>
              <w:t xml:space="preserve">Site </w:t>
            </w:r>
            <w:r w:rsidRPr="005D6D41">
              <w:rPr>
                <w:rFonts w:ascii="Arial" w:hAnsi="Arial" w:cs="Arial"/>
                <w:spacing w:val="-7"/>
                <w:sz w:val="20"/>
              </w:rPr>
              <w:t xml:space="preserve">N°9 </w:t>
            </w:r>
            <w:r w:rsidRPr="005D6D41">
              <w:rPr>
                <w:rFonts w:ascii="Arial" w:hAnsi="Arial" w:cs="Arial"/>
                <w:sz w:val="20"/>
              </w:rPr>
              <w:t>Dangoro</w:t>
            </w:r>
          </w:p>
        </w:tc>
        <w:tc>
          <w:tcPr>
            <w:tcW w:w="1106" w:type="dxa"/>
            <w:shd w:val="clear" w:color="auto" w:fill="auto"/>
          </w:tcPr>
          <w:p w14:paraId="40ACB021"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1,1</w:t>
            </w:r>
          </w:p>
        </w:tc>
        <w:tc>
          <w:tcPr>
            <w:tcW w:w="1109" w:type="dxa"/>
            <w:shd w:val="clear" w:color="auto" w:fill="auto"/>
          </w:tcPr>
          <w:p w14:paraId="3BEDA7AC"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59,03</w:t>
            </w:r>
          </w:p>
        </w:tc>
        <w:tc>
          <w:tcPr>
            <w:tcW w:w="1896" w:type="dxa"/>
            <w:shd w:val="clear" w:color="auto" w:fill="auto"/>
          </w:tcPr>
          <w:p w14:paraId="2746487A" w14:textId="77777777" w:rsidR="00896CE3" w:rsidRPr="005D6D41" w:rsidRDefault="00896CE3" w:rsidP="005D6D41">
            <w:pPr>
              <w:pStyle w:val="TableParagraph"/>
              <w:spacing w:before="0" w:beforeAutospacing="0" w:after="0" w:afterAutospacing="0" w:line="240" w:lineRule="auto"/>
              <w:ind w:right="128"/>
              <w:rPr>
                <w:rFonts w:ascii="Arial" w:hAnsi="Arial" w:cs="Arial"/>
                <w:sz w:val="20"/>
              </w:rPr>
            </w:pPr>
            <w:r w:rsidRPr="005D6D41">
              <w:rPr>
                <w:rFonts w:ascii="Arial" w:hAnsi="Arial" w:cs="Arial"/>
                <w:sz w:val="20"/>
              </w:rPr>
              <w:t>Banki Crossflow</w:t>
            </w:r>
          </w:p>
        </w:tc>
        <w:tc>
          <w:tcPr>
            <w:tcW w:w="1276" w:type="dxa"/>
            <w:shd w:val="clear" w:color="auto" w:fill="auto"/>
          </w:tcPr>
          <w:p w14:paraId="4E5745BD"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505</w:t>
            </w:r>
          </w:p>
        </w:tc>
        <w:tc>
          <w:tcPr>
            <w:tcW w:w="1276" w:type="dxa"/>
            <w:shd w:val="clear" w:color="auto" w:fill="auto"/>
          </w:tcPr>
          <w:p w14:paraId="051B4033" w14:textId="77777777" w:rsidR="00896CE3" w:rsidRPr="005D6D41" w:rsidRDefault="00896CE3" w:rsidP="005D6D41">
            <w:pPr>
              <w:pStyle w:val="TableParagraph"/>
              <w:spacing w:before="0" w:beforeAutospacing="0" w:after="0" w:afterAutospacing="0" w:line="240" w:lineRule="auto"/>
              <w:jc w:val="center"/>
              <w:rPr>
                <w:rFonts w:ascii="Arial" w:hAnsi="Arial" w:cs="Arial"/>
                <w:sz w:val="20"/>
              </w:rPr>
            </w:pPr>
            <w:r w:rsidRPr="005D6D41">
              <w:rPr>
                <w:rFonts w:ascii="Arial" w:hAnsi="Arial" w:cs="Arial"/>
                <w:sz w:val="20"/>
              </w:rPr>
              <w:t>4201</w:t>
            </w:r>
          </w:p>
        </w:tc>
      </w:tr>
    </w:tbl>
    <w:p w14:paraId="59063A70" w14:textId="77777777" w:rsidR="00F00809" w:rsidRPr="00B434A6" w:rsidRDefault="00896CE3" w:rsidP="000171C4">
      <w:pPr>
        <w:rPr>
          <w:rFonts w:ascii="Arial" w:hAnsi="Arial" w:cs="Arial"/>
          <w:i/>
          <w:sz w:val="16"/>
        </w:rPr>
      </w:pPr>
      <w:r w:rsidRPr="00B434A6">
        <w:rPr>
          <w:rFonts w:ascii="Arial" w:hAnsi="Arial" w:cs="Arial"/>
          <w:i/>
          <w:sz w:val="16"/>
        </w:rPr>
        <w:t>Source PAGOSE 2022</w:t>
      </w:r>
      <w:r>
        <w:rPr>
          <w:rStyle w:val="Appelnotedebasdep"/>
          <w:rFonts w:ascii="Arial" w:hAnsi="Arial" w:cs="Arial"/>
          <w:i/>
          <w:sz w:val="16"/>
        </w:rPr>
        <w:footnoteReference w:id="13"/>
      </w:r>
    </w:p>
    <w:p w14:paraId="5EFCB666" w14:textId="77777777" w:rsidR="000171C4" w:rsidRPr="007F78CE" w:rsidRDefault="000171C4" w:rsidP="0044500E">
      <w:pPr>
        <w:pStyle w:val="TIT2"/>
        <w:numPr>
          <w:ilvl w:val="1"/>
          <w:numId w:val="177"/>
        </w:numPr>
      </w:pPr>
      <w:bookmarkStart w:id="145" w:name="_Toc124314630"/>
      <w:bookmarkStart w:id="146" w:name="_Toc124956108"/>
      <w:bookmarkStart w:id="147" w:name="_Toc125384507"/>
      <w:bookmarkStart w:id="148" w:name="_Toc125384896"/>
      <w:bookmarkStart w:id="149" w:name="_Toc127957568"/>
      <w:r w:rsidRPr="007F78CE">
        <w:t>Extension et modernisation des réseaux isolés</w:t>
      </w:r>
      <w:bookmarkEnd w:id="145"/>
      <w:bookmarkEnd w:id="146"/>
      <w:bookmarkEnd w:id="147"/>
      <w:bookmarkEnd w:id="148"/>
      <w:bookmarkEnd w:id="149"/>
      <w:r w:rsidRPr="007F78CE">
        <w:t xml:space="preserve"> </w:t>
      </w:r>
    </w:p>
    <w:p w14:paraId="1FEE58F3" w14:textId="77777777" w:rsidR="000171C4" w:rsidRDefault="000171C4" w:rsidP="00F91FA3">
      <w:pPr>
        <w:jc w:val="both"/>
        <w:rPr>
          <w:rFonts w:ascii="Arial" w:hAnsi="Arial" w:cs="Arial"/>
        </w:rPr>
      </w:pPr>
      <w:r w:rsidRPr="00F1516D">
        <w:rPr>
          <w:rFonts w:ascii="Arial" w:hAnsi="Arial" w:cs="Arial"/>
        </w:rPr>
        <w:t>L’extension des réseaux isolés (hybridés ou non) consiste à l’extension du réseau de distribution et le raccordement de plus de clients. Des fils électriques sont tirés sur des poteaux jusqu’aux nouveaux utilisateurs. Les anciens câbles peuvent être remplacés par d’autres de plus grandes sections pour respecter les normes dans le cas où la capacité de production est renforcée.</w:t>
      </w:r>
    </w:p>
    <w:p w14:paraId="15D7195A" w14:textId="77777777" w:rsidR="000171C4" w:rsidRPr="00F1516D" w:rsidRDefault="000171C4" w:rsidP="000171C4">
      <w:pPr>
        <w:rPr>
          <w:rFonts w:ascii="Arial" w:hAnsi="Arial" w:cs="Arial"/>
        </w:rPr>
      </w:pPr>
      <w:r w:rsidRPr="00F1516D">
        <w:rPr>
          <w:rFonts w:ascii="Arial" w:hAnsi="Arial" w:cs="Arial"/>
        </w:rPr>
        <w:lastRenderedPageBreak/>
        <w:t>Quant à la numérisation</w:t>
      </w:r>
      <w:r w:rsidR="00EC1947">
        <w:rPr>
          <w:rFonts w:ascii="Arial" w:hAnsi="Arial" w:cs="Arial"/>
        </w:rPr>
        <w:t xml:space="preserve"> </w:t>
      </w:r>
      <w:r w:rsidR="001852E4">
        <w:rPr>
          <w:rFonts w:ascii="Arial" w:hAnsi="Arial" w:cs="Arial"/>
        </w:rPr>
        <w:t>d</w:t>
      </w:r>
      <w:r w:rsidRPr="00F1516D">
        <w:rPr>
          <w:rFonts w:ascii="Arial" w:hAnsi="Arial" w:cs="Arial"/>
        </w:rPr>
        <w:t>es réseaux :</w:t>
      </w:r>
    </w:p>
    <w:p w14:paraId="77F45893" w14:textId="77777777" w:rsidR="000171C4" w:rsidRPr="00F1516D" w:rsidRDefault="00474262" w:rsidP="00EC4731">
      <w:pPr>
        <w:pStyle w:val="Paragraphedeliste"/>
        <w:numPr>
          <w:ilvl w:val="0"/>
          <w:numId w:val="72"/>
        </w:numPr>
        <w:tabs>
          <w:tab w:val="left" w:pos="993"/>
        </w:tabs>
        <w:spacing w:after="0" w:line="259" w:lineRule="auto"/>
        <w:jc w:val="both"/>
        <w:rPr>
          <w:rFonts w:ascii="Arial" w:hAnsi="Arial" w:cs="Arial"/>
        </w:rPr>
      </w:pPr>
      <w:r>
        <w:rPr>
          <w:rFonts w:ascii="Arial" w:hAnsi="Arial" w:cs="Arial"/>
        </w:rPr>
        <w:t>D</w:t>
      </w:r>
      <w:r w:rsidR="000171C4" w:rsidRPr="00F1516D">
        <w:rPr>
          <w:rFonts w:ascii="Arial" w:hAnsi="Arial" w:cs="Arial"/>
        </w:rPr>
        <w:t>es instruments de mesure connectés doivent être installés :</w:t>
      </w:r>
    </w:p>
    <w:p w14:paraId="73F6F928" w14:textId="77777777" w:rsidR="000171C4" w:rsidRPr="00F1516D" w:rsidRDefault="00264D81" w:rsidP="00687DD2">
      <w:pPr>
        <w:pStyle w:val="Paragraphedeliste"/>
        <w:numPr>
          <w:ilvl w:val="1"/>
          <w:numId w:val="72"/>
        </w:numPr>
        <w:spacing w:after="0" w:line="259" w:lineRule="auto"/>
        <w:jc w:val="both"/>
        <w:rPr>
          <w:rFonts w:ascii="Arial" w:hAnsi="Arial" w:cs="Arial"/>
        </w:rPr>
      </w:pPr>
      <w:r>
        <w:rPr>
          <w:rFonts w:ascii="Arial" w:hAnsi="Arial" w:cs="Arial"/>
        </w:rPr>
        <w:t>S</w:t>
      </w:r>
      <w:r w:rsidR="000171C4" w:rsidRPr="00F1516D">
        <w:rPr>
          <w:rFonts w:ascii="Arial" w:hAnsi="Arial" w:cs="Arial"/>
        </w:rPr>
        <w:t xml:space="preserve">ur les sites de production (énergie produite, consommation de carburant, </w:t>
      </w:r>
      <w:r w:rsidR="00EC1947">
        <w:rPr>
          <w:rFonts w:ascii="Arial" w:hAnsi="Arial" w:cs="Arial"/>
        </w:rPr>
        <w:t>p</w:t>
      </w:r>
      <w:r w:rsidR="000171C4" w:rsidRPr="00F1516D">
        <w:rPr>
          <w:rFonts w:ascii="Arial" w:hAnsi="Arial" w:cs="Arial"/>
        </w:rPr>
        <w:t>aramètres climatiques) [compteurs intelligents, centre d’acquisition de données…];</w:t>
      </w:r>
    </w:p>
    <w:p w14:paraId="64C17A2D" w14:textId="77777777" w:rsidR="000171C4" w:rsidRPr="00F1516D" w:rsidRDefault="00474262" w:rsidP="00687DD2">
      <w:pPr>
        <w:pStyle w:val="Paragraphedeliste"/>
        <w:numPr>
          <w:ilvl w:val="1"/>
          <w:numId w:val="72"/>
        </w:numPr>
        <w:spacing w:after="0" w:line="259" w:lineRule="auto"/>
        <w:jc w:val="both"/>
        <w:rPr>
          <w:rFonts w:ascii="Arial" w:hAnsi="Arial" w:cs="Arial"/>
        </w:rPr>
      </w:pPr>
      <w:r>
        <w:rPr>
          <w:rFonts w:ascii="Arial" w:hAnsi="Arial" w:cs="Arial"/>
        </w:rPr>
        <w:t>S</w:t>
      </w:r>
      <w:r w:rsidR="000171C4" w:rsidRPr="00F1516D">
        <w:rPr>
          <w:rFonts w:ascii="Arial" w:hAnsi="Arial" w:cs="Arial"/>
        </w:rPr>
        <w:t>ur les points de consommation (foyers, installations publiques) [compteurs intelligents] ;</w:t>
      </w:r>
    </w:p>
    <w:p w14:paraId="6D78F9EB" w14:textId="77777777" w:rsidR="000171C4" w:rsidRPr="00F1516D" w:rsidRDefault="000171C4" w:rsidP="00EC4731">
      <w:pPr>
        <w:pStyle w:val="Paragraphedeliste"/>
        <w:numPr>
          <w:ilvl w:val="0"/>
          <w:numId w:val="72"/>
        </w:numPr>
        <w:tabs>
          <w:tab w:val="left" w:pos="993"/>
        </w:tabs>
        <w:spacing w:after="0" w:line="259" w:lineRule="auto"/>
        <w:ind w:left="993" w:hanging="273"/>
        <w:jc w:val="both"/>
        <w:rPr>
          <w:rFonts w:ascii="Arial" w:hAnsi="Arial" w:cs="Arial"/>
        </w:rPr>
      </w:pPr>
      <w:r w:rsidRPr="00F1516D">
        <w:rPr>
          <w:rFonts w:ascii="Arial" w:hAnsi="Arial" w:cs="Arial"/>
        </w:rPr>
        <w:t xml:space="preserve">Des équipements électriques connectés sont installés sur les points stratégiques de distribution et de commande des centrales (automates programmables, sectionneurs, contacteurs, antennes…). </w:t>
      </w:r>
    </w:p>
    <w:p w14:paraId="5518A9F3" w14:textId="77777777" w:rsidR="000171C4" w:rsidRPr="00F1516D" w:rsidRDefault="000171C4" w:rsidP="00EC4731">
      <w:pPr>
        <w:pStyle w:val="Paragraphedeliste"/>
        <w:numPr>
          <w:ilvl w:val="0"/>
          <w:numId w:val="72"/>
        </w:numPr>
        <w:tabs>
          <w:tab w:val="left" w:pos="993"/>
        </w:tabs>
        <w:spacing w:after="0" w:line="259" w:lineRule="auto"/>
        <w:ind w:left="993" w:hanging="273"/>
        <w:jc w:val="both"/>
        <w:rPr>
          <w:rFonts w:ascii="Arial" w:hAnsi="Arial" w:cs="Arial"/>
        </w:rPr>
      </w:pPr>
      <w:r w:rsidRPr="00F1516D">
        <w:rPr>
          <w:rFonts w:ascii="Arial" w:hAnsi="Arial" w:cs="Arial"/>
        </w:rPr>
        <w:t>D’autres équipements intelligents permettent une meilleure efficacité énergétique, telle que des lampes, solaires ou non, à allumage automatique, pour l’éclairage public ;</w:t>
      </w:r>
    </w:p>
    <w:p w14:paraId="2E3CB99A" w14:textId="77777777" w:rsidR="000171C4" w:rsidRPr="00F1516D" w:rsidRDefault="000171C4" w:rsidP="00EC4731">
      <w:pPr>
        <w:pStyle w:val="Paragraphedeliste"/>
        <w:numPr>
          <w:ilvl w:val="0"/>
          <w:numId w:val="72"/>
        </w:numPr>
        <w:tabs>
          <w:tab w:val="left" w:pos="993"/>
        </w:tabs>
        <w:spacing w:after="0" w:line="259" w:lineRule="auto"/>
        <w:ind w:left="993" w:hanging="273"/>
        <w:jc w:val="both"/>
        <w:rPr>
          <w:rFonts w:ascii="Arial" w:hAnsi="Arial" w:cs="Arial"/>
        </w:rPr>
      </w:pPr>
      <w:r w:rsidRPr="00F1516D">
        <w:rPr>
          <w:rFonts w:ascii="Arial" w:hAnsi="Arial" w:cs="Arial"/>
        </w:rPr>
        <w:t>Les données connectées doivent être communiquées et enregistrées dans un serveur (télécommunication à large bande) ;</w:t>
      </w:r>
    </w:p>
    <w:p w14:paraId="6AA9191E" w14:textId="77777777" w:rsidR="000171C4" w:rsidRPr="00F1516D" w:rsidRDefault="000171C4" w:rsidP="00EC4731">
      <w:pPr>
        <w:pStyle w:val="Paragraphedeliste"/>
        <w:numPr>
          <w:ilvl w:val="0"/>
          <w:numId w:val="72"/>
        </w:numPr>
        <w:tabs>
          <w:tab w:val="left" w:pos="993"/>
        </w:tabs>
        <w:spacing w:after="0" w:line="259" w:lineRule="auto"/>
        <w:ind w:left="993" w:hanging="273"/>
        <w:jc w:val="both"/>
        <w:rPr>
          <w:rFonts w:ascii="Arial" w:hAnsi="Arial" w:cs="Arial"/>
        </w:rPr>
      </w:pPr>
      <w:r w:rsidRPr="00F1516D">
        <w:rPr>
          <w:rFonts w:ascii="Arial" w:hAnsi="Arial" w:cs="Arial"/>
        </w:rPr>
        <w:t>A ces données s’ajoutent les données de gestion stratégiques (zones prioritaires [hôpitaux], techniques [limite de courant] et financières [facturation]) ;</w:t>
      </w:r>
    </w:p>
    <w:p w14:paraId="74357B5F" w14:textId="77777777" w:rsidR="000171C4" w:rsidRPr="00F1516D" w:rsidRDefault="000171C4" w:rsidP="00EC4731">
      <w:pPr>
        <w:pStyle w:val="Paragraphedeliste"/>
        <w:numPr>
          <w:ilvl w:val="0"/>
          <w:numId w:val="72"/>
        </w:numPr>
        <w:tabs>
          <w:tab w:val="left" w:pos="993"/>
        </w:tabs>
        <w:spacing w:after="0" w:line="259" w:lineRule="auto"/>
        <w:ind w:left="993" w:hanging="273"/>
        <w:jc w:val="both"/>
        <w:rPr>
          <w:rFonts w:ascii="Arial" w:hAnsi="Arial" w:cs="Arial"/>
        </w:rPr>
      </w:pPr>
      <w:r w:rsidRPr="00F1516D">
        <w:rPr>
          <w:rFonts w:ascii="Arial" w:hAnsi="Arial" w:cs="Arial"/>
        </w:rPr>
        <w:t>Un centre de traitement de données de gestion du réseau est alors nécessaire.</w:t>
      </w:r>
    </w:p>
    <w:p w14:paraId="42CAE5CB" w14:textId="77777777" w:rsidR="000171C4" w:rsidRPr="00F1516D" w:rsidRDefault="000171C4" w:rsidP="00EC4731">
      <w:pPr>
        <w:pStyle w:val="Paragraphedeliste"/>
        <w:numPr>
          <w:ilvl w:val="0"/>
          <w:numId w:val="72"/>
        </w:numPr>
        <w:tabs>
          <w:tab w:val="left" w:pos="993"/>
        </w:tabs>
        <w:spacing w:after="0" w:line="259" w:lineRule="auto"/>
        <w:ind w:left="993" w:hanging="273"/>
        <w:jc w:val="both"/>
        <w:rPr>
          <w:rFonts w:ascii="Arial" w:hAnsi="Arial" w:cs="Arial"/>
        </w:rPr>
      </w:pPr>
      <w:r w:rsidRPr="00F1516D">
        <w:rPr>
          <w:rFonts w:ascii="Arial" w:hAnsi="Arial" w:cs="Arial"/>
        </w:rPr>
        <w:t>A travers les outils numériques, la gestion du réseau sera modernisée et facilitée :</w:t>
      </w:r>
    </w:p>
    <w:p w14:paraId="7CDE875E" w14:textId="77777777" w:rsidR="000171C4" w:rsidRPr="00F1516D" w:rsidRDefault="00474262" w:rsidP="00687DD2">
      <w:pPr>
        <w:pStyle w:val="Paragraphedeliste"/>
        <w:numPr>
          <w:ilvl w:val="1"/>
          <w:numId w:val="72"/>
        </w:numPr>
        <w:spacing w:after="0" w:line="259" w:lineRule="auto"/>
        <w:jc w:val="both"/>
        <w:rPr>
          <w:rFonts w:ascii="Arial" w:hAnsi="Arial" w:cs="Arial"/>
        </w:rPr>
      </w:pPr>
      <w:r>
        <w:rPr>
          <w:rFonts w:ascii="Arial" w:hAnsi="Arial" w:cs="Arial"/>
        </w:rPr>
        <w:t>A</w:t>
      </w:r>
      <w:r w:rsidR="000171C4" w:rsidRPr="00F1516D">
        <w:rPr>
          <w:rFonts w:ascii="Arial" w:hAnsi="Arial" w:cs="Arial"/>
        </w:rPr>
        <w:t>rrêt des centrales thermiques quand la charge est supportée par les sources renouvelables ;</w:t>
      </w:r>
    </w:p>
    <w:p w14:paraId="7FFC0D31" w14:textId="77777777" w:rsidR="000171C4" w:rsidRPr="00F1516D" w:rsidRDefault="00474262" w:rsidP="00687DD2">
      <w:pPr>
        <w:pStyle w:val="Paragraphedeliste"/>
        <w:numPr>
          <w:ilvl w:val="1"/>
          <w:numId w:val="72"/>
        </w:numPr>
        <w:spacing w:after="0" w:line="259" w:lineRule="auto"/>
        <w:jc w:val="both"/>
        <w:rPr>
          <w:rFonts w:ascii="Arial" w:hAnsi="Arial" w:cs="Arial"/>
        </w:rPr>
      </w:pPr>
      <w:r>
        <w:rPr>
          <w:rFonts w:ascii="Arial" w:hAnsi="Arial" w:cs="Arial"/>
        </w:rPr>
        <w:t>S</w:t>
      </w:r>
      <w:r w:rsidR="000171C4" w:rsidRPr="00F1516D">
        <w:rPr>
          <w:rFonts w:ascii="Arial" w:hAnsi="Arial" w:cs="Arial"/>
        </w:rPr>
        <w:t>uivi de la consommation de carburant suivant la production ;</w:t>
      </w:r>
    </w:p>
    <w:p w14:paraId="03930E4F" w14:textId="77777777" w:rsidR="000171C4" w:rsidRPr="00F1516D" w:rsidRDefault="00474262" w:rsidP="00687DD2">
      <w:pPr>
        <w:pStyle w:val="Paragraphedeliste"/>
        <w:numPr>
          <w:ilvl w:val="1"/>
          <w:numId w:val="72"/>
        </w:numPr>
        <w:spacing w:after="0" w:line="259" w:lineRule="auto"/>
        <w:jc w:val="both"/>
        <w:rPr>
          <w:rFonts w:ascii="Arial" w:hAnsi="Arial" w:cs="Arial"/>
        </w:rPr>
      </w:pPr>
      <w:r>
        <w:rPr>
          <w:rFonts w:ascii="Arial" w:hAnsi="Arial" w:cs="Arial"/>
        </w:rPr>
        <w:t>S</w:t>
      </w:r>
      <w:r w:rsidR="000171C4" w:rsidRPr="00F1516D">
        <w:rPr>
          <w:rFonts w:ascii="Arial" w:hAnsi="Arial" w:cs="Arial"/>
        </w:rPr>
        <w:t>uivi en temps réel des performances de l’installation pour la maintenance et les prises de décisions stratégiques [Supervisory Control and Data Acquisition (SCADA)] ;</w:t>
      </w:r>
    </w:p>
    <w:p w14:paraId="3B98A9C4" w14:textId="77777777" w:rsidR="000171C4" w:rsidRPr="00F1516D" w:rsidRDefault="00474262" w:rsidP="00687DD2">
      <w:pPr>
        <w:pStyle w:val="Paragraphedeliste"/>
        <w:numPr>
          <w:ilvl w:val="1"/>
          <w:numId w:val="72"/>
        </w:numPr>
        <w:spacing w:after="0" w:line="259" w:lineRule="auto"/>
        <w:jc w:val="both"/>
        <w:rPr>
          <w:rFonts w:ascii="Arial" w:hAnsi="Arial" w:cs="Arial"/>
        </w:rPr>
      </w:pPr>
      <w:r>
        <w:rPr>
          <w:rFonts w:ascii="Arial" w:hAnsi="Arial" w:cs="Arial"/>
        </w:rPr>
        <w:t>S</w:t>
      </w:r>
      <w:r w:rsidR="000171C4" w:rsidRPr="00F1516D">
        <w:rPr>
          <w:rFonts w:ascii="Arial" w:hAnsi="Arial" w:cs="Arial"/>
        </w:rPr>
        <w:t>uivi de la consommation et facturation ;</w:t>
      </w:r>
    </w:p>
    <w:p w14:paraId="6AB59F77" w14:textId="77777777" w:rsidR="000171C4" w:rsidRPr="00F1516D" w:rsidRDefault="00474262" w:rsidP="00687DD2">
      <w:pPr>
        <w:pStyle w:val="Paragraphedeliste"/>
        <w:numPr>
          <w:ilvl w:val="1"/>
          <w:numId w:val="72"/>
        </w:numPr>
        <w:spacing w:after="0" w:line="259" w:lineRule="auto"/>
        <w:jc w:val="both"/>
        <w:rPr>
          <w:rFonts w:ascii="Arial" w:hAnsi="Arial" w:cs="Arial"/>
        </w:rPr>
      </w:pPr>
      <w:r>
        <w:rPr>
          <w:rFonts w:ascii="Arial" w:hAnsi="Arial" w:cs="Arial"/>
        </w:rPr>
        <w:t>D</w:t>
      </w:r>
      <w:r w:rsidR="000171C4" w:rsidRPr="00F1516D">
        <w:rPr>
          <w:rFonts w:ascii="Arial" w:hAnsi="Arial" w:cs="Arial"/>
        </w:rPr>
        <w:t>ébranchement à distance des points de trop forte consommation (signe de problème électrique…) avant l’intervention sur terrain ;</w:t>
      </w:r>
    </w:p>
    <w:p w14:paraId="54B37B36" w14:textId="77777777" w:rsidR="000171C4" w:rsidRPr="00F1516D" w:rsidRDefault="00474262" w:rsidP="00687DD2">
      <w:pPr>
        <w:pStyle w:val="Paragraphedeliste"/>
        <w:numPr>
          <w:ilvl w:val="1"/>
          <w:numId w:val="72"/>
        </w:numPr>
        <w:spacing w:after="0" w:line="259" w:lineRule="auto"/>
        <w:jc w:val="both"/>
        <w:rPr>
          <w:rFonts w:ascii="Arial" w:hAnsi="Arial" w:cs="Arial"/>
        </w:rPr>
      </w:pPr>
      <w:r>
        <w:rPr>
          <w:rFonts w:ascii="Arial" w:hAnsi="Arial" w:cs="Arial"/>
        </w:rPr>
        <w:t>D</w:t>
      </w:r>
      <w:r w:rsidR="000171C4" w:rsidRPr="00F1516D">
        <w:rPr>
          <w:rFonts w:ascii="Arial" w:hAnsi="Arial" w:cs="Arial"/>
        </w:rPr>
        <w:t>élestage tournant automatique pour les heures de forte consommation.</w:t>
      </w:r>
    </w:p>
    <w:p w14:paraId="048A9E70" w14:textId="77777777" w:rsidR="000171C4" w:rsidRPr="00F1516D" w:rsidRDefault="000171C4" w:rsidP="000171C4">
      <w:pPr>
        <w:rPr>
          <w:rFonts w:ascii="Arial" w:hAnsi="Arial" w:cs="Arial"/>
        </w:rPr>
      </w:pPr>
    </w:p>
    <w:p w14:paraId="54ECDDAB" w14:textId="77777777" w:rsidR="000171C4" w:rsidRPr="007F78CE" w:rsidRDefault="000171C4" w:rsidP="0044500E">
      <w:pPr>
        <w:pStyle w:val="TIT2"/>
        <w:numPr>
          <w:ilvl w:val="1"/>
          <w:numId w:val="177"/>
        </w:numPr>
      </w:pPr>
      <w:bookmarkStart w:id="150" w:name="_Toc124314631"/>
      <w:bookmarkStart w:id="151" w:name="_Toc124956109"/>
      <w:bookmarkStart w:id="152" w:name="_Toc125384508"/>
      <w:bookmarkStart w:id="153" w:name="_Toc125384897"/>
      <w:bookmarkStart w:id="154" w:name="_Toc127957569"/>
      <w:r w:rsidRPr="007F78CE">
        <w:t>Installation solaire hors réseau pour les institutions publiques</w:t>
      </w:r>
      <w:bookmarkEnd w:id="150"/>
      <w:bookmarkEnd w:id="151"/>
      <w:bookmarkEnd w:id="152"/>
      <w:bookmarkEnd w:id="153"/>
      <w:bookmarkEnd w:id="154"/>
    </w:p>
    <w:p w14:paraId="1E00BEB1" w14:textId="77777777" w:rsidR="000171C4" w:rsidRPr="00742D67" w:rsidRDefault="000171C4" w:rsidP="000171C4">
      <w:pPr>
        <w:jc w:val="both"/>
        <w:rPr>
          <w:rFonts w:ascii="Arial" w:hAnsi="Arial" w:cs="Arial"/>
        </w:rPr>
      </w:pPr>
      <w:r w:rsidRPr="00CA3B4E">
        <w:rPr>
          <w:rFonts w:ascii="Arial" w:hAnsi="Arial" w:cs="Arial"/>
        </w:rPr>
        <w:t>Il s</w:t>
      </w:r>
      <w:r w:rsidR="001852E4" w:rsidRPr="00945026">
        <w:rPr>
          <w:rFonts w:ascii="Arial" w:hAnsi="Arial" w:cs="Arial"/>
        </w:rPr>
        <w:t>’agit</w:t>
      </w:r>
      <w:r w:rsidRPr="002212D7">
        <w:rPr>
          <w:rFonts w:ascii="Arial" w:hAnsi="Arial" w:cs="Arial"/>
        </w:rPr>
        <w:t xml:space="preserve"> des installations déconnectées de tout réseau électrique. L’installation à alimenter va </w:t>
      </w:r>
      <w:r w:rsidRPr="00327DB6">
        <w:rPr>
          <w:rFonts w:ascii="Arial" w:hAnsi="Arial" w:cs="Arial"/>
        </w:rPr>
        <w:t>d’une simple lampe à tout un hôpital</w:t>
      </w:r>
      <w:r w:rsidR="00EC4731" w:rsidRPr="00742D67">
        <w:rPr>
          <w:rFonts w:ascii="Arial" w:hAnsi="Arial" w:cs="Arial"/>
        </w:rPr>
        <w:t>.</w:t>
      </w:r>
      <w:r w:rsidR="00597782" w:rsidRPr="00742D67">
        <w:rPr>
          <w:rFonts w:ascii="Arial" w:hAnsi="Arial" w:cs="Arial"/>
        </w:rPr>
        <w:t xml:space="preserve"> Dans le cadre de ce Projet, l</w:t>
      </w:r>
      <w:r w:rsidR="00FB126C" w:rsidRPr="00742D67">
        <w:rPr>
          <w:rFonts w:ascii="Arial" w:hAnsi="Arial" w:cs="Arial"/>
        </w:rPr>
        <w:t xml:space="preserve">es </w:t>
      </w:r>
      <w:r w:rsidR="00597782" w:rsidRPr="00742D67">
        <w:rPr>
          <w:rFonts w:ascii="Arial" w:hAnsi="Arial" w:cs="Arial"/>
        </w:rPr>
        <w:t>infrastructure</w:t>
      </w:r>
      <w:r w:rsidR="00FB126C" w:rsidRPr="00742D67">
        <w:rPr>
          <w:rFonts w:ascii="Arial" w:hAnsi="Arial" w:cs="Arial"/>
        </w:rPr>
        <w:t>s</w:t>
      </w:r>
      <w:r w:rsidR="00597782" w:rsidRPr="00742D67">
        <w:rPr>
          <w:rFonts w:ascii="Arial" w:hAnsi="Arial" w:cs="Arial"/>
        </w:rPr>
        <w:t xml:space="preserve"> à alimenter </w:t>
      </w:r>
      <w:r w:rsidR="00FB126C" w:rsidRPr="00742D67">
        <w:rPr>
          <w:rFonts w:ascii="Arial" w:hAnsi="Arial" w:cs="Arial"/>
        </w:rPr>
        <w:t>par ce système sont les infrastructures publiques comme les EPP, les CSB et les bureaux de Poste.</w:t>
      </w:r>
    </w:p>
    <w:p w14:paraId="1DA0506A" w14:textId="77777777" w:rsidR="008E6A0F" w:rsidRPr="00742D67" w:rsidRDefault="000171C4" w:rsidP="008E6A0F">
      <w:pPr>
        <w:jc w:val="both"/>
        <w:rPr>
          <w:rFonts w:ascii="Arial" w:hAnsi="Arial" w:cs="Arial"/>
        </w:rPr>
      </w:pPr>
      <w:r w:rsidRPr="00327DB6">
        <w:rPr>
          <w:rFonts w:ascii="Arial" w:hAnsi="Arial" w:cs="Arial"/>
        </w:rPr>
        <w:t xml:space="preserve">Des panneaux solaires sont installés sur les toitures ou sur le sol des centres de santé, des écoles (EPP), des bureaux de poste, etc. </w:t>
      </w:r>
      <w:r w:rsidR="00D91125" w:rsidRPr="00742D67">
        <w:rPr>
          <w:rFonts w:ascii="Arial" w:hAnsi="Arial" w:cs="Arial"/>
        </w:rPr>
        <w:t>U</w:t>
      </w:r>
      <w:r w:rsidR="008E6A0F" w:rsidRPr="00742D67">
        <w:rPr>
          <w:rFonts w:ascii="Arial" w:hAnsi="Arial" w:cs="Arial"/>
        </w:rPr>
        <w:t>n régulateur de charge gère l’énergie des batteries. Les batteries stockent l’électricité. La capacité de stockage doit être murement réfléchie pour supporter l’installation lors des heures de consommation sans ensoleillement. Selon les appareils électriques à alimenter, l’électricité en courant continu doit-être ou non convertie en alternatif par un onduleur.</w:t>
      </w:r>
    </w:p>
    <w:p w14:paraId="2A39AA42" w14:textId="77777777" w:rsidR="000171C4" w:rsidRPr="00CB1F35" w:rsidRDefault="008E6A0F" w:rsidP="000171C4">
      <w:pPr>
        <w:jc w:val="both"/>
        <w:rPr>
          <w:rFonts w:ascii="Arial" w:hAnsi="Arial" w:cs="Arial"/>
          <w:color w:val="FF0000"/>
        </w:rPr>
      </w:pPr>
      <w:r w:rsidRPr="00742D67">
        <w:rPr>
          <w:rFonts w:ascii="Arial" w:hAnsi="Arial" w:cs="Arial"/>
        </w:rPr>
        <w:t>Les régulateurs, onduleurs et batteries sont installés dans un local sec et aéré du bâtiment. L’installation électrique du bâtiment doit aussi être réalisée (tableau électrique, lampes, interrupteurs, prises électriques, organes de protection, mise à la terre…).</w:t>
      </w:r>
    </w:p>
    <w:p w14:paraId="01455EDA" w14:textId="6E789319" w:rsidR="000171C4" w:rsidRPr="00B434A6" w:rsidRDefault="00E97ECD" w:rsidP="00B434A6">
      <w:pPr>
        <w:jc w:val="center"/>
        <w:rPr>
          <w:rFonts w:ascii="Arial" w:hAnsi="Arial" w:cs="Arial"/>
        </w:rPr>
      </w:pPr>
      <w:r w:rsidRPr="00FB04F6">
        <w:rPr>
          <w:rFonts w:ascii="Arial" w:hAnsi="Arial" w:cs="Arial"/>
          <w:noProof/>
          <w:lang w:eastAsia="fr-FR"/>
        </w:rPr>
        <w:lastRenderedPageBreak/>
        <w:drawing>
          <wp:inline distT="0" distB="0" distL="0" distR="0" wp14:anchorId="1025E612" wp14:editId="2F1C5F16">
            <wp:extent cx="4143375" cy="2105025"/>
            <wp:effectExtent l="0" t="0" r="0" b="0"/>
            <wp:docPr id="9" name="Image 416468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646897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43375" cy="2105025"/>
                    </a:xfrm>
                    <a:prstGeom prst="rect">
                      <a:avLst/>
                    </a:prstGeom>
                    <a:noFill/>
                    <a:ln>
                      <a:noFill/>
                    </a:ln>
                  </pic:spPr>
                </pic:pic>
              </a:graphicData>
            </a:graphic>
          </wp:inline>
        </w:drawing>
      </w:r>
    </w:p>
    <w:p w14:paraId="5D547F80" w14:textId="77777777" w:rsidR="000310BA" w:rsidRPr="00B434A6" w:rsidRDefault="000171C4" w:rsidP="00B434A6">
      <w:pPr>
        <w:pStyle w:val="Lgende"/>
        <w:jc w:val="center"/>
        <w:rPr>
          <w:smallCaps/>
          <w:color w:val="auto"/>
          <w:sz w:val="22"/>
        </w:rPr>
      </w:pPr>
      <w:bookmarkStart w:id="155" w:name="_Toc125402449"/>
      <w:r w:rsidRPr="000171C4">
        <w:rPr>
          <w:color w:val="auto"/>
          <w:sz w:val="22"/>
        </w:rPr>
        <w:t xml:space="preserve">Figure </w:t>
      </w:r>
      <w:r w:rsidRPr="000171C4">
        <w:rPr>
          <w:b w:val="0"/>
          <w:bCs w:val="0"/>
        </w:rPr>
        <w:fldChar w:fldCharType="begin"/>
      </w:r>
      <w:r w:rsidRPr="000171C4">
        <w:rPr>
          <w:color w:val="auto"/>
          <w:sz w:val="22"/>
        </w:rPr>
        <w:instrText xml:space="preserve"> SEQ Figure \* ARABIC </w:instrText>
      </w:r>
      <w:r w:rsidRPr="000171C4">
        <w:rPr>
          <w:b w:val="0"/>
          <w:bCs w:val="0"/>
        </w:rPr>
        <w:fldChar w:fldCharType="separate"/>
      </w:r>
      <w:r w:rsidR="000D22D0">
        <w:rPr>
          <w:noProof/>
          <w:color w:val="auto"/>
          <w:sz w:val="22"/>
        </w:rPr>
        <w:t>7</w:t>
      </w:r>
      <w:r w:rsidRPr="000171C4">
        <w:rPr>
          <w:b w:val="0"/>
          <w:bCs w:val="0"/>
        </w:rPr>
        <w:fldChar w:fldCharType="end"/>
      </w:r>
      <w:r>
        <w:rPr>
          <w:color w:val="auto"/>
          <w:sz w:val="22"/>
        </w:rPr>
        <w:t xml:space="preserve">. </w:t>
      </w:r>
      <w:r w:rsidR="008E6A0F">
        <w:rPr>
          <w:color w:val="auto"/>
          <w:sz w:val="22"/>
        </w:rPr>
        <w:t>Dispositif d’une i</w:t>
      </w:r>
      <w:r w:rsidR="008E6A0F" w:rsidRPr="00CA3B4E">
        <w:rPr>
          <w:color w:val="auto"/>
          <w:sz w:val="22"/>
        </w:rPr>
        <w:t>nstallation solaire hors-réseau avec stockage</w:t>
      </w:r>
      <w:bookmarkEnd w:id="155"/>
    </w:p>
    <w:p w14:paraId="0DAC3516" w14:textId="77777777" w:rsidR="000171C4" w:rsidRPr="007F78CE" w:rsidRDefault="00E501AD">
      <w:pPr>
        <w:pStyle w:val="TIT2"/>
        <w:numPr>
          <w:ilvl w:val="1"/>
          <w:numId w:val="177"/>
        </w:numPr>
      </w:pPr>
      <w:r>
        <w:t xml:space="preserve"> </w:t>
      </w:r>
      <w:bookmarkStart w:id="156" w:name="_Toc124314632"/>
      <w:bookmarkStart w:id="157" w:name="_Toc124956110"/>
      <w:bookmarkStart w:id="158" w:name="_Toc125384509"/>
      <w:bookmarkStart w:id="159" w:name="_Toc125384898"/>
      <w:bookmarkStart w:id="160" w:name="_Toc127957570"/>
      <w:r w:rsidR="000171C4" w:rsidRPr="007F78CE">
        <w:t>Appareils solaires hors réseau</w:t>
      </w:r>
      <w:bookmarkEnd w:id="156"/>
      <w:bookmarkEnd w:id="157"/>
      <w:bookmarkEnd w:id="158"/>
      <w:bookmarkEnd w:id="159"/>
      <w:bookmarkEnd w:id="160"/>
    </w:p>
    <w:p w14:paraId="227D34EE" w14:textId="77777777" w:rsidR="000171C4" w:rsidRPr="00F1516D" w:rsidRDefault="000171C4" w:rsidP="000171C4">
      <w:pPr>
        <w:jc w:val="both"/>
        <w:rPr>
          <w:rFonts w:ascii="Arial" w:hAnsi="Arial" w:cs="Arial"/>
        </w:rPr>
      </w:pPr>
      <w:r w:rsidRPr="00F1516D">
        <w:rPr>
          <w:rFonts w:ascii="Arial" w:hAnsi="Arial" w:cs="Arial"/>
        </w:rPr>
        <w:t xml:space="preserve">Il s’agit </w:t>
      </w:r>
      <w:r w:rsidR="008E6A0F">
        <w:rPr>
          <w:rFonts w:ascii="Arial" w:hAnsi="Arial" w:cs="Arial"/>
        </w:rPr>
        <w:t>d’équiper</w:t>
      </w:r>
      <w:r w:rsidRPr="00F1516D">
        <w:rPr>
          <w:rFonts w:ascii="Arial" w:hAnsi="Arial" w:cs="Arial"/>
        </w:rPr>
        <w:t xml:space="preserve"> </w:t>
      </w:r>
      <w:r w:rsidR="00D91125">
        <w:rPr>
          <w:rFonts w:ascii="Arial" w:hAnsi="Arial" w:cs="Arial"/>
        </w:rPr>
        <w:t>les</w:t>
      </w:r>
      <w:r w:rsidR="00D91125" w:rsidRPr="00F1516D">
        <w:rPr>
          <w:rFonts w:ascii="Arial" w:hAnsi="Arial" w:cs="Arial"/>
        </w:rPr>
        <w:t xml:space="preserve"> </w:t>
      </w:r>
      <w:r w:rsidRPr="00F1516D">
        <w:rPr>
          <w:rFonts w:ascii="Arial" w:hAnsi="Arial" w:cs="Arial"/>
        </w:rPr>
        <w:t xml:space="preserve">populations cibles du Projet (femmes, jeunes, âgées, handicapées, vulnérables) </w:t>
      </w:r>
      <w:r w:rsidR="008E6A0F">
        <w:rPr>
          <w:rFonts w:ascii="Arial" w:hAnsi="Arial" w:cs="Arial"/>
        </w:rPr>
        <w:t xml:space="preserve">à partir d’un </w:t>
      </w:r>
      <w:r w:rsidRPr="00F1516D">
        <w:rPr>
          <w:rFonts w:ascii="Arial" w:hAnsi="Arial" w:cs="Arial"/>
        </w:rPr>
        <w:t>système identique au PAYGO d’appareils ou installation</w:t>
      </w:r>
      <w:r w:rsidR="00EC4731">
        <w:rPr>
          <w:rFonts w:ascii="Arial" w:hAnsi="Arial" w:cs="Arial"/>
        </w:rPr>
        <w:t>s</w:t>
      </w:r>
      <w:r w:rsidRPr="00F1516D">
        <w:rPr>
          <w:rFonts w:ascii="Arial" w:hAnsi="Arial" w:cs="Arial"/>
        </w:rPr>
        <w:t xml:space="preserve"> rechargeables par effet photovoltaïque individuel</w:t>
      </w:r>
      <w:r w:rsidR="00EC4731">
        <w:rPr>
          <w:rFonts w:ascii="Arial" w:hAnsi="Arial" w:cs="Arial"/>
        </w:rPr>
        <w:t>s</w:t>
      </w:r>
      <w:r w:rsidRPr="00F1516D">
        <w:rPr>
          <w:rFonts w:ascii="Arial" w:hAnsi="Arial" w:cs="Arial"/>
        </w:rPr>
        <w:t xml:space="preserve"> ainsi que des appareils NTIC, tels que :</w:t>
      </w:r>
    </w:p>
    <w:p w14:paraId="3864612F" w14:textId="77777777" w:rsidR="000171C4" w:rsidRPr="00F1516D" w:rsidRDefault="00CB1F35" w:rsidP="00EC4731">
      <w:pPr>
        <w:pStyle w:val="Paragraphedeliste"/>
        <w:numPr>
          <w:ilvl w:val="0"/>
          <w:numId w:val="72"/>
        </w:numPr>
        <w:spacing w:after="0" w:line="259" w:lineRule="auto"/>
        <w:ind w:left="1418" w:hanging="698"/>
        <w:jc w:val="both"/>
        <w:rPr>
          <w:rFonts w:ascii="Arial" w:hAnsi="Arial" w:cs="Arial"/>
        </w:rPr>
      </w:pPr>
      <w:r>
        <w:rPr>
          <w:rFonts w:ascii="Arial" w:hAnsi="Arial" w:cs="Arial"/>
        </w:rPr>
        <w:t>D</w:t>
      </w:r>
      <w:r w:rsidR="000171C4" w:rsidRPr="00F1516D">
        <w:rPr>
          <w:rFonts w:ascii="Arial" w:hAnsi="Arial" w:cs="Arial"/>
        </w:rPr>
        <w:t>es kits solaires domestiques de quelques dizaines à quelques centaines de Watt ;</w:t>
      </w:r>
    </w:p>
    <w:p w14:paraId="7DF10FED" w14:textId="77777777" w:rsidR="000171C4" w:rsidRPr="00F1516D" w:rsidRDefault="00CB1F35" w:rsidP="00687DD2">
      <w:pPr>
        <w:pStyle w:val="Paragraphedeliste"/>
        <w:numPr>
          <w:ilvl w:val="0"/>
          <w:numId w:val="72"/>
        </w:numPr>
        <w:spacing w:after="0" w:line="259" w:lineRule="auto"/>
        <w:jc w:val="both"/>
        <w:rPr>
          <w:rFonts w:ascii="Arial" w:hAnsi="Arial" w:cs="Arial"/>
        </w:rPr>
      </w:pPr>
      <w:r>
        <w:rPr>
          <w:rFonts w:ascii="Arial" w:hAnsi="Arial" w:cs="Arial"/>
        </w:rPr>
        <w:t>D</w:t>
      </w:r>
      <w:r w:rsidR="000171C4" w:rsidRPr="00F1516D">
        <w:rPr>
          <w:rFonts w:ascii="Arial" w:hAnsi="Arial" w:cs="Arial"/>
        </w:rPr>
        <w:t xml:space="preserve">es lampes </w:t>
      </w:r>
      <w:r w:rsidR="181DB911" w:rsidRPr="485754D1">
        <w:rPr>
          <w:rFonts w:ascii="Arial" w:hAnsi="Arial" w:cs="Arial"/>
        </w:rPr>
        <w:t>re</w:t>
      </w:r>
      <w:r w:rsidR="13D3D0CA" w:rsidRPr="485754D1">
        <w:rPr>
          <w:rFonts w:ascii="Arial" w:hAnsi="Arial" w:cs="Arial"/>
        </w:rPr>
        <w:t>cha</w:t>
      </w:r>
      <w:r w:rsidR="6E60055E" w:rsidRPr="485754D1">
        <w:rPr>
          <w:rFonts w:ascii="Arial" w:hAnsi="Arial" w:cs="Arial"/>
        </w:rPr>
        <w:t>r</w:t>
      </w:r>
      <w:r w:rsidR="13D3D0CA" w:rsidRPr="485754D1">
        <w:rPr>
          <w:rFonts w:ascii="Arial" w:hAnsi="Arial" w:cs="Arial"/>
        </w:rPr>
        <w:t>geables</w:t>
      </w:r>
      <w:r w:rsidR="000171C4" w:rsidRPr="00F1516D">
        <w:rPr>
          <w:rFonts w:ascii="Arial" w:hAnsi="Arial" w:cs="Arial"/>
        </w:rPr>
        <w:t> ; </w:t>
      </w:r>
    </w:p>
    <w:p w14:paraId="23FCFEB8" w14:textId="77777777" w:rsidR="000171C4" w:rsidRPr="00F1516D" w:rsidRDefault="00CB1F35" w:rsidP="00687DD2">
      <w:pPr>
        <w:pStyle w:val="Paragraphedeliste"/>
        <w:numPr>
          <w:ilvl w:val="0"/>
          <w:numId w:val="72"/>
        </w:numPr>
        <w:spacing w:after="0" w:line="259" w:lineRule="auto"/>
        <w:jc w:val="both"/>
        <w:rPr>
          <w:rFonts w:ascii="Arial" w:hAnsi="Arial" w:cs="Arial"/>
        </w:rPr>
      </w:pPr>
      <w:r>
        <w:rPr>
          <w:rFonts w:ascii="Arial" w:hAnsi="Arial" w:cs="Arial"/>
        </w:rPr>
        <w:t>D</w:t>
      </w:r>
      <w:r w:rsidR="000171C4" w:rsidRPr="00F1516D">
        <w:rPr>
          <w:rFonts w:ascii="Arial" w:hAnsi="Arial" w:cs="Arial"/>
        </w:rPr>
        <w:t>es chargeurs de téléphones ;</w:t>
      </w:r>
    </w:p>
    <w:p w14:paraId="3BC4A9FE" w14:textId="77777777" w:rsidR="000171C4" w:rsidRPr="00F1516D" w:rsidRDefault="00CB1F35" w:rsidP="00687DD2">
      <w:pPr>
        <w:pStyle w:val="Paragraphedeliste"/>
        <w:numPr>
          <w:ilvl w:val="0"/>
          <w:numId w:val="72"/>
        </w:numPr>
        <w:spacing w:after="0" w:line="259" w:lineRule="auto"/>
        <w:jc w:val="both"/>
        <w:rPr>
          <w:rFonts w:ascii="Arial" w:hAnsi="Arial" w:cs="Arial"/>
        </w:rPr>
      </w:pPr>
      <w:r>
        <w:rPr>
          <w:rFonts w:ascii="Arial" w:hAnsi="Arial" w:cs="Arial"/>
        </w:rPr>
        <w:t>D</w:t>
      </w:r>
      <w:r w:rsidR="000171C4" w:rsidRPr="00F1516D">
        <w:rPr>
          <w:rFonts w:ascii="Arial" w:hAnsi="Arial" w:cs="Arial"/>
        </w:rPr>
        <w:t>es radios rechargeables</w:t>
      </w:r>
      <w:r w:rsidR="00FC5849">
        <w:rPr>
          <w:rFonts w:ascii="Arial" w:hAnsi="Arial" w:cs="Arial"/>
        </w:rPr>
        <w:t> ;</w:t>
      </w:r>
    </w:p>
    <w:p w14:paraId="02BA4440" w14:textId="77777777" w:rsidR="000171C4" w:rsidRPr="00F1516D" w:rsidRDefault="000171C4" w:rsidP="00687DD2">
      <w:pPr>
        <w:pStyle w:val="Paragraphedeliste"/>
        <w:numPr>
          <w:ilvl w:val="0"/>
          <w:numId w:val="72"/>
        </w:numPr>
        <w:spacing w:after="0" w:line="259" w:lineRule="auto"/>
        <w:jc w:val="both"/>
        <w:rPr>
          <w:rFonts w:ascii="Arial" w:hAnsi="Arial" w:cs="Arial"/>
        </w:rPr>
      </w:pPr>
      <w:r w:rsidRPr="00F1516D">
        <w:rPr>
          <w:rFonts w:ascii="Arial" w:hAnsi="Arial" w:cs="Arial"/>
        </w:rPr>
        <w:t>Ordinateur</w:t>
      </w:r>
      <w:r w:rsidR="00FC5849">
        <w:rPr>
          <w:rFonts w:ascii="Arial" w:hAnsi="Arial" w:cs="Arial"/>
        </w:rPr>
        <w:t> ;</w:t>
      </w:r>
    </w:p>
    <w:p w14:paraId="3ED90FF6" w14:textId="77777777" w:rsidR="000171C4" w:rsidRPr="00F1516D" w:rsidRDefault="000171C4" w:rsidP="00687DD2">
      <w:pPr>
        <w:pStyle w:val="Paragraphedeliste"/>
        <w:numPr>
          <w:ilvl w:val="0"/>
          <w:numId w:val="72"/>
        </w:numPr>
        <w:spacing w:after="0" w:line="259" w:lineRule="auto"/>
        <w:jc w:val="both"/>
        <w:rPr>
          <w:rFonts w:ascii="Arial" w:hAnsi="Arial" w:cs="Arial"/>
        </w:rPr>
      </w:pPr>
      <w:r w:rsidRPr="00F1516D">
        <w:rPr>
          <w:rFonts w:ascii="Arial" w:hAnsi="Arial" w:cs="Arial"/>
        </w:rPr>
        <w:t>Smartphone</w:t>
      </w:r>
      <w:r w:rsidR="00FC5849">
        <w:rPr>
          <w:rFonts w:ascii="Arial" w:hAnsi="Arial" w:cs="Arial"/>
        </w:rPr>
        <w:t> ;</w:t>
      </w:r>
    </w:p>
    <w:p w14:paraId="28461980" w14:textId="77777777" w:rsidR="000171C4" w:rsidRPr="00F1516D" w:rsidRDefault="000171C4" w:rsidP="00687DD2">
      <w:pPr>
        <w:pStyle w:val="Paragraphedeliste"/>
        <w:numPr>
          <w:ilvl w:val="0"/>
          <w:numId w:val="72"/>
        </w:numPr>
        <w:spacing w:after="0" w:line="259" w:lineRule="auto"/>
        <w:jc w:val="both"/>
        <w:rPr>
          <w:rFonts w:ascii="Arial" w:hAnsi="Arial" w:cs="Arial"/>
        </w:rPr>
      </w:pPr>
      <w:r w:rsidRPr="00F1516D">
        <w:rPr>
          <w:rFonts w:ascii="Arial" w:hAnsi="Arial" w:cs="Arial"/>
        </w:rPr>
        <w:t>Tablette …</w:t>
      </w:r>
    </w:p>
    <w:p w14:paraId="244D18C5" w14:textId="77777777" w:rsidR="000171C4" w:rsidRPr="00F1516D" w:rsidRDefault="000171C4" w:rsidP="000171C4">
      <w:pPr>
        <w:spacing w:after="0" w:line="259" w:lineRule="auto"/>
        <w:jc w:val="both"/>
        <w:rPr>
          <w:rFonts w:ascii="Arial" w:hAnsi="Arial" w:cs="Arial"/>
        </w:rPr>
      </w:pPr>
    </w:p>
    <w:p w14:paraId="3CBC0C2B" w14:textId="04272CE1" w:rsidR="000171C4" w:rsidRDefault="00E97ECD" w:rsidP="000171C4">
      <w:pPr>
        <w:keepNext/>
        <w:jc w:val="center"/>
      </w:pPr>
      <w:r w:rsidRPr="00977215">
        <w:rPr>
          <w:noProof/>
          <w:lang w:eastAsia="fr-FR"/>
        </w:rPr>
        <w:drawing>
          <wp:inline distT="0" distB="0" distL="0" distR="0" wp14:anchorId="18F7EFD2" wp14:editId="32FBE259">
            <wp:extent cx="1381125" cy="1381125"/>
            <wp:effectExtent l="0" t="0" r="0" b="0"/>
            <wp:docPr id="10"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sidRPr="00977215">
        <w:rPr>
          <w:noProof/>
          <w:lang w:eastAsia="fr-FR"/>
        </w:rPr>
        <w:drawing>
          <wp:inline distT="0" distB="0" distL="0" distR="0" wp14:anchorId="7AB8165D" wp14:editId="4884CA5F">
            <wp:extent cx="1771650" cy="1181100"/>
            <wp:effectExtent l="0" t="0" r="0" b="0"/>
            <wp:docPr id="11"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inline>
        </w:drawing>
      </w:r>
      <w:r w:rsidRPr="00977215">
        <w:rPr>
          <w:noProof/>
          <w:lang w:eastAsia="fr-FR"/>
        </w:rPr>
        <w:drawing>
          <wp:inline distT="0" distB="0" distL="0" distR="0" wp14:anchorId="033EEE24" wp14:editId="4F28A3F9">
            <wp:extent cx="1885950" cy="1657350"/>
            <wp:effectExtent l="0" t="0" r="0" b="0"/>
            <wp:docPr id="12"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24">
                      <a:extLst>
                        <a:ext uri="{28A0092B-C50C-407E-A947-70E740481C1C}">
                          <a14:useLocalDpi xmlns:a14="http://schemas.microsoft.com/office/drawing/2010/main" val="0"/>
                        </a:ext>
                      </a:extLst>
                    </a:blip>
                    <a:srcRect t="6564" b="5556"/>
                    <a:stretch>
                      <a:fillRect/>
                    </a:stretch>
                  </pic:blipFill>
                  <pic:spPr bwMode="auto">
                    <a:xfrm>
                      <a:off x="0" y="0"/>
                      <a:ext cx="1885950" cy="1657350"/>
                    </a:xfrm>
                    <a:prstGeom prst="rect">
                      <a:avLst/>
                    </a:prstGeom>
                    <a:noFill/>
                    <a:ln>
                      <a:noFill/>
                    </a:ln>
                  </pic:spPr>
                </pic:pic>
              </a:graphicData>
            </a:graphic>
          </wp:inline>
        </w:drawing>
      </w:r>
    </w:p>
    <w:p w14:paraId="152B95DB" w14:textId="77777777" w:rsidR="000171C4" w:rsidRPr="000171C4" w:rsidRDefault="000171C4" w:rsidP="000171C4">
      <w:pPr>
        <w:pStyle w:val="Lgende"/>
        <w:jc w:val="center"/>
        <w:rPr>
          <w:color w:val="auto"/>
          <w:sz w:val="22"/>
        </w:rPr>
      </w:pPr>
      <w:bookmarkStart w:id="161" w:name="_Toc125402450"/>
      <w:r w:rsidRPr="000171C4">
        <w:rPr>
          <w:color w:val="auto"/>
          <w:sz w:val="22"/>
        </w:rPr>
        <w:t xml:space="preserve">Figure </w:t>
      </w:r>
      <w:r w:rsidRPr="000171C4">
        <w:rPr>
          <w:color w:val="auto"/>
          <w:sz w:val="22"/>
        </w:rPr>
        <w:fldChar w:fldCharType="begin"/>
      </w:r>
      <w:r w:rsidRPr="000171C4">
        <w:rPr>
          <w:color w:val="auto"/>
          <w:sz w:val="22"/>
        </w:rPr>
        <w:instrText xml:space="preserve"> SEQ Figure \* ARABIC </w:instrText>
      </w:r>
      <w:r w:rsidRPr="000171C4">
        <w:rPr>
          <w:color w:val="auto"/>
          <w:sz w:val="22"/>
        </w:rPr>
        <w:fldChar w:fldCharType="separate"/>
      </w:r>
      <w:r w:rsidR="000D22D0">
        <w:rPr>
          <w:noProof/>
          <w:color w:val="auto"/>
          <w:sz w:val="22"/>
        </w:rPr>
        <w:t>8</w:t>
      </w:r>
      <w:r w:rsidRPr="000171C4">
        <w:rPr>
          <w:color w:val="auto"/>
          <w:sz w:val="22"/>
        </w:rPr>
        <w:fldChar w:fldCharType="end"/>
      </w:r>
      <w:r>
        <w:rPr>
          <w:color w:val="auto"/>
          <w:sz w:val="22"/>
        </w:rPr>
        <w:t xml:space="preserve">. </w:t>
      </w:r>
      <w:r w:rsidRPr="000171C4">
        <w:rPr>
          <w:color w:val="auto"/>
          <w:sz w:val="22"/>
        </w:rPr>
        <w:t>Appareils solaires hors réseau</w:t>
      </w:r>
      <w:bookmarkEnd w:id="161"/>
    </w:p>
    <w:p w14:paraId="4420A9EE" w14:textId="77777777" w:rsidR="000171C4" w:rsidRPr="007F78CE" w:rsidRDefault="000171C4" w:rsidP="0044500E">
      <w:pPr>
        <w:pStyle w:val="TIT2"/>
        <w:numPr>
          <w:ilvl w:val="1"/>
          <w:numId w:val="177"/>
        </w:numPr>
      </w:pPr>
      <w:bookmarkStart w:id="162" w:name="_Toc124314633"/>
      <w:bookmarkStart w:id="163" w:name="_Toc124956111"/>
      <w:bookmarkStart w:id="164" w:name="_Toc125384510"/>
      <w:bookmarkStart w:id="165" w:name="_Toc125384899"/>
      <w:bookmarkStart w:id="166" w:name="_Toc127957571"/>
      <w:r w:rsidRPr="007F78CE">
        <w:t>Infrastructures numérique</w:t>
      </w:r>
      <w:bookmarkEnd w:id="162"/>
      <w:r w:rsidR="00EC4731">
        <w:t>s</w:t>
      </w:r>
      <w:bookmarkEnd w:id="163"/>
      <w:bookmarkEnd w:id="164"/>
      <w:bookmarkEnd w:id="165"/>
      <w:bookmarkEnd w:id="166"/>
      <w:r w:rsidRPr="007F78CE">
        <w:t xml:space="preserve"> </w:t>
      </w:r>
    </w:p>
    <w:p w14:paraId="3423F238" w14:textId="77777777" w:rsidR="000171C4" w:rsidRPr="000171C4" w:rsidRDefault="000171C4" w:rsidP="0044500E">
      <w:pPr>
        <w:pStyle w:val="TIT3"/>
        <w:numPr>
          <w:ilvl w:val="2"/>
          <w:numId w:val="177"/>
        </w:numPr>
      </w:pPr>
      <w:bookmarkStart w:id="167" w:name="_Toc124314634"/>
      <w:bookmarkStart w:id="168" w:name="_Toc124956112"/>
      <w:bookmarkStart w:id="169" w:name="_Toc125384511"/>
      <w:bookmarkStart w:id="170" w:name="_Toc125384900"/>
      <w:bookmarkStart w:id="171" w:name="_Toc127957572"/>
      <w:r w:rsidRPr="000171C4">
        <w:t>Généralité</w:t>
      </w:r>
      <w:bookmarkEnd w:id="167"/>
      <w:bookmarkEnd w:id="168"/>
      <w:bookmarkEnd w:id="169"/>
      <w:bookmarkEnd w:id="170"/>
      <w:bookmarkEnd w:id="171"/>
      <w:r w:rsidRPr="000171C4">
        <w:t xml:space="preserve"> </w:t>
      </w:r>
    </w:p>
    <w:p w14:paraId="62101141" w14:textId="77777777" w:rsidR="000171C4" w:rsidRPr="00F1516D" w:rsidRDefault="000171C4" w:rsidP="000171C4">
      <w:pPr>
        <w:spacing w:before="120" w:after="120"/>
        <w:jc w:val="both"/>
        <w:rPr>
          <w:rFonts w:ascii="Arial" w:hAnsi="Arial" w:cs="Arial"/>
        </w:rPr>
      </w:pPr>
      <w:r w:rsidRPr="00F1516D">
        <w:rPr>
          <w:rFonts w:ascii="Arial" w:hAnsi="Arial" w:cs="Arial"/>
        </w:rPr>
        <w:t>Le déploiement des infrastructures numérique</w:t>
      </w:r>
      <w:r w:rsidR="001852E4">
        <w:rPr>
          <w:rFonts w:ascii="Arial" w:hAnsi="Arial" w:cs="Arial"/>
        </w:rPr>
        <w:t>s</w:t>
      </w:r>
      <w:r w:rsidRPr="00F1516D">
        <w:rPr>
          <w:rFonts w:ascii="Arial" w:hAnsi="Arial" w:cs="Arial"/>
        </w:rPr>
        <w:t xml:space="preserve"> favorise la connectivité à large bande et à réduire ainsi la fracture numérique grâce aux programmes de connectivité rurale. </w:t>
      </w:r>
    </w:p>
    <w:p w14:paraId="1D72CC52" w14:textId="77777777" w:rsidR="000171C4" w:rsidRPr="00F1516D" w:rsidRDefault="000171C4" w:rsidP="000171C4">
      <w:pPr>
        <w:jc w:val="both"/>
        <w:rPr>
          <w:rFonts w:ascii="Arial" w:hAnsi="Arial" w:cs="Arial"/>
        </w:rPr>
      </w:pPr>
      <w:r w:rsidRPr="00F1516D">
        <w:rPr>
          <w:rFonts w:ascii="Arial" w:hAnsi="Arial" w:cs="Arial"/>
        </w:rPr>
        <w:t xml:space="preserve">Le déploiement d’infrastructures numériques en milieu rural pour avoir une connectivité à large bande peut se faire par : </w:t>
      </w:r>
    </w:p>
    <w:p w14:paraId="58153A3B" w14:textId="77777777" w:rsidR="000171C4" w:rsidRPr="00F1516D" w:rsidRDefault="00474262" w:rsidP="00EC4731">
      <w:pPr>
        <w:pStyle w:val="Paragraphedeliste"/>
        <w:numPr>
          <w:ilvl w:val="0"/>
          <w:numId w:val="73"/>
        </w:numPr>
        <w:spacing w:after="240" w:line="259" w:lineRule="auto"/>
        <w:ind w:left="1134" w:hanging="414"/>
        <w:jc w:val="both"/>
        <w:rPr>
          <w:rFonts w:ascii="Arial" w:hAnsi="Arial" w:cs="Arial"/>
        </w:rPr>
      </w:pPr>
      <w:r>
        <w:rPr>
          <w:rFonts w:ascii="Arial" w:hAnsi="Arial" w:cs="Arial"/>
          <w:b/>
          <w:bCs/>
        </w:rPr>
        <w:lastRenderedPageBreak/>
        <w:t>U</w:t>
      </w:r>
      <w:r w:rsidR="000171C4" w:rsidRPr="00F1516D">
        <w:rPr>
          <w:rFonts w:ascii="Arial" w:hAnsi="Arial" w:cs="Arial"/>
          <w:b/>
          <w:bCs/>
        </w:rPr>
        <w:t>ne densification de la couverture réseau</w:t>
      </w:r>
      <w:r w:rsidR="000171C4" w:rsidRPr="00F1516D">
        <w:rPr>
          <w:rFonts w:ascii="Arial" w:hAnsi="Arial" w:cs="Arial"/>
        </w:rPr>
        <w:t xml:space="preserve"> : améliorer et augmenter la couverture nationale </w:t>
      </w:r>
      <w:r w:rsidR="00EC4731">
        <w:rPr>
          <w:rFonts w:ascii="Arial" w:hAnsi="Arial" w:cs="Arial"/>
        </w:rPr>
        <w:t xml:space="preserve">du </w:t>
      </w:r>
      <w:r w:rsidR="000171C4" w:rsidRPr="00F1516D">
        <w:rPr>
          <w:rFonts w:ascii="Arial" w:hAnsi="Arial" w:cs="Arial"/>
        </w:rPr>
        <w:t xml:space="preserve">réseau existant en suivant les textes et procédures de l’ARTEC (Autorité de </w:t>
      </w:r>
      <w:r w:rsidR="001852E4" w:rsidRPr="00F1516D">
        <w:rPr>
          <w:rFonts w:ascii="Arial" w:hAnsi="Arial" w:cs="Arial"/>
        </w:rPr>
        <w:t>R</w:t>
      </w:r>
      <w:r w:rsidR="001852E4">
        <w:rPr>
          <w:rFonts w:ascii="Arial" w:hAnsi="Arial" w:cs="Arial"/>
        </w:rPr>
        <w:t>é</w:t>
      </w:r>
      <w:r w:rsidR="001852E4" w:rsidRPr="00F1516D">
        <w:rPr>
          <w:rFonts w:ascii="Arial" w:hAnsi="Arial" w:cs="Arial"/>
        </w:rPr>
        <w:t>gulation</w:t>
      </w:r>
      <w:r w:rsidR="000171C4" w:rsidRPr="00F1516D">
        <w:rPr>
          <w:rFonts w:ascii="Arial" w:hAnsi="Arial" w:cs="Arial"/>
        </w:rPr>
        <w:t xml:space="preserve"> des Technologies de Communication)</w:t>
      </w:r>
      <w:r w:rsidR="00FC5849">
        <w:rPr>
          <w:rFonts w:ascii="Arial" w:hAnsi="Arial" w:cs="Arial"/>
        </w:rPr>
        <w:t> ;</w:t>
      </w:r>
    </w:p>
    <w:p w14:paraId="4167DE79" w14:textId="77777777" w:rsidR="000171C4" w:rsidRPr="00F1516D" w:rsidRDefault="00474262" w:rsidP="00EC4731">
      <w:pPr>
        <w:pStyle w:val="Paragraphedeliste"/>
        <w:numPr>
          <w:ilvl w:val="0"/>
          <w:numId w:val="73"/>
        </w:numPr>
        <w:spacing w:after="240" w:line="259" w:lineRule="auto"/>
        <w:ind w:left="1134" w:hanging="414"/>
        <w:jc w:val="both"/>
        <w:rPr>
          <w:rFonts w:ascii="Arial" w:hAnsi="Arial" w:cs="Arial"/>
          <w:b/>
          <w:bCs/>
        </w:rPr>
      </w:pPr>
      <w:r>
        <w:rPr>
          <w:rFonts w:ascii="Arial" w:hAnsi="Arial" w:cs="Arial"/>
          <w:b/>
          <w:bCs/>
        </w:rPr>
        <w:t>U</w:t>
      </w:r>
      <w:r w:rsidR="000171C4" w:rsidRPr="00F1516D">
        <w:rPr>
          <w:rFonts w:ascii="Arial" w:hAnsi="Arial" w:cs="Arial"/>
          <w:b/>
          <w:bCs/>
        </w:rPr>
        <w:t xml:space="preserve">n rajout des nouvelles technologies comme 3G, 4G ou 5G : </w:t>
      </w:r>
      <w:r w:rsidR="000171C4" w:rsidRPr="00F1516D">
        <w:rPr>
          <w:rFonts w:ascii="Arial" w:hAnsi="Arial" w:cs="Arial"/>
        </w:rPr>
        <w:t>rajout des nouveaux matériels (technologies) sur l</w:t>
      </w:r>
      <w:r w:rsidR="00EC4731">
        <w:rPr>
          <w:rFonts w:ascii="Arial" w:hAnsi="Arial" w:cs="Arial"/>
        </w:rPr>
        <w:t>es</w:t>
      </w:r>
      <w:r w:rsidR="000171C4" w:rsidRPr="00F1516D">
        <w:rPr>
          <w:rFonts w:ascii="Arial" w:hAnsi="Arial" w:cs="Arial"/>
        </w:rPr>
        <w:t xml:space="preserve"> tour</w:t>
      </w:r>
      <w:r w:rsidR="00EC4731">
        <w:rPr>
          <w:rFonts w:ascii="Arial" w:hAnsi="Arial" w:cs="Arial"/>
        </w:rPr>
        <w:t>s</w:t>
      </w:r>
      <w:r w:rsidR="000171C4" w:rsidRPr="00F1516D">
        <w:rPr>
          <w:rFonts w:ascii="Arial" w:hAnsi="Arial" w:cs="Arial"/>
        </w:rPr>
        <w:t xml:space="preserve"> cellulaire</w:t>
      </w:r>
      <w:r w:rsidR="00EC4731">
        <w:rPr>
          <w:rFonts w:ascii="Arial" w:hAnsi="Arial" w:cs="Arial"/>
        </w:rPr>
        <w:t>s</w:t>
      </w:r>
      <w:r w:rsidR="000171C4" w:rsidRPr="00F1516D">
        <w:rPr>
          <w:rFonts w:ascii="Arial" w:hAnsi="Arial" w:cs="Arial"/>
        </w:rPr>
        <w:t xml:space="preserve"> existant</w:t>
      </w:r>
      <w:r w:rsidR="00EC4731">
        <w:rPr>
          <w:rFonts w:ascii="Arial" w:hAnsi="Arial" w:cs="Arial"/>
        </w:rPr>
        <w:t>es</w:t>
      </w:r>
      <w:r w:rsidR="000171C4" w:rsidRPr="00F1516D">
        <w:rPr>
          <w:rFonts w:ascii="Arial" w:hAnsi="Arial" w:cs="Arial"/>
        </w:rPr>
        <w:t xml:space="preserve"> en respectant les textes et procédures de l’ARTEC</w:t>
      </w:r>
      <w:r w:rsidR="00FC5849">
        <w:rPr>
          <w:rFonts w:ascii="Arial" w:hAnsi="Arial" w:cs="Arial"/>
        </w:rPr>
        <w:t> ;</w:t>
      </w:r>
    </w:p>
    <w:p w14:paraId="48CE9728" w14:textId="77777777" w:rsidR="000171C4" w:rsidRPr="00F1516D" w:rsidRDefault="00474262" w:rsidP="00EC4731">
      <w:pPr>
        <w:pStyle w:val="Paragraphedeliste"/>
        <w:numPr>
          <w:ilvl w:val="0"/>
          <w:numId w:val="73"/>
        </w:numPr>
        <w:spacing w:after="240" w:line="259" w:lineRule="auto"/>
        <w:ind w:left="1134" w:hanging="414"/>
        <w:jc w:val="both"/>
        <w:rPr>
          <w:rFonts w:ascii="Arial" w:hAnsi="Arial" w:cs="Arial"/>
        </w:rPr>
      </w:pPr>
      <w:r>
        <w:rPr>
          <w:rFonts w:ascii="Arial" w:hAnsi="Arial" w:cs="Arial"/>
          <w:b/>
          <w:bCs/>
        </w:rPr>
        <w:t>U</w:t>
      </w:r>
      <w:r w:rsidR="000171C4" w:rsidRPr="00F1516D">
        <w:rPr>
          <w:rFonts w:ascii="Arial" w:hAnsi="Arial" w:cs="Arial"/>
          <w:b/>
          <w:bCs/>
        </w:rPr>
        <w:t>ne nouvelle couverture (déploiement réseau)</w:t>
      </w:r>
      <w:r w:rsidR="000171C4" w:rsidRPr="00F1516D">
        <w:rPr>
          <w:rFonts w:ascii="Arial" w:hAnsi="Arial" w:cs="Arial"/>
        </w:rPr>
        <w:t xml:space="preserve"> : installer de nouveaux équipements pour couvrir une nouvelle zone relative aux installations d’un</w:t>
      </w:r>
      <w:r w:rsidR="00EC4731">
        <w:rPr>
          <w:rFonts w:ascii="Arial" w:hAnsi="Arial" w:cs="Arial"/>
        </w:rPr>
        <w:t>e</w:t>
      </w:r>
      <w:r w:rsidR="000171C4" w:rsidRPr="00F1516D">
        <w:rPr>
          <w:rFonts w:ascii="Arial" w:hAnsi="Arial" w:cs="Arial"/>
        </w:rPr>
        <w:t xml:space="preserve"> tour cellulaire</w:t>
      </w:r>
      <w:r w:rsidR="00801D80">
        <w:rPr>
          <w:rFonts w:ascii="Arial" w:hAnsi="Arial" w:cs="Arial"/>
        </w:rPr>
        <w:t xml:space="preserve"> (cf figure ci après)</w:t>
      </w:r>
      <w:r w:rsidR="000171C4" w:rsidRPr="00F1516D">
        <w:rPr>
          <w:rFonts w:ascii="Arial" w:hAnsi="Arial" w:cs="Arial"/>
        </w:rPr>
        <w:t>.</w:t>
      </w:r>
    </w:p>
    <w:p w14:paraId="3889B325" w14:textId="3EBE35D6" w:rsidR="000171C4" w:rsidRDefault="00E97ECD" w:rsidP="000171C4">
      <w:pPr>
        <w:jc w:val="center"/>
      </w:pPr>
      <w:r w:rsidRPr="00FB04F6">
        <w:rPr>
          <w:rFonts w:ascii="Arial" w:hAnsi="Arial" w:cs="Arial"/>
          <w:noProof/>
          <w:lang w:eastAsia="fr-FR"/>
        </w:rPr>
        <w:drawing>
          <wp:inline distT="0" distB="0" distL="0" distR="0" wp14:anchorId="20429467" wp14:editId="029C3C34">
            <wp:extent cx="3228975" cy="2162175"/>
            <wp:effectExtent l="0" t="0" r="0" b="0"/>
            <wp:docPr id="13"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8975" cy="2162175"/>
                    </a:xfrm>
                    <a:prstGeom prst="rect">
                      <a:avLst/>
                    </a:prstGeom>
                    <a:noFill/>
                    <a:ln>
                      <a:noFill/>
                    </a:ln>
                  </pic:spPr>
                </pic:pic>
              </a:graphicData>
            </a:graphic>
          </wp:inline>
        </w:drawing>
      </w:r>
    </w:p>
    <w:p w14:paraId="15AA7593" w14:textId="77777777" w:rsidR="000171C4" w:rsidRPr="000171C4" w:rsidRDefault="000171C4" w:rsidP="000171C4">
      <w:pPr>
        <w:pStyle w:val="Lgende"/>
        <w:jc w:val="center"/>
        <w:rPr>
          <w:color w:val="auto"/>
          <w:sz w:val="22"/>
        </w:rPr>
      </w:pPr>
      <w:bookmarkStart w:id="172" w:name="_Toc125402451"/>
      <w:r w:rsidRPr="000171C4">
        <w:rPr>
          <w:color w:val="auto"/>
          <w:sz w:val="22"/>
        </w:rPr>
        <w:t xml:space="preserve">Figure </w:t>
      </w:r>
      <w:r w:rsidRPr="000171C4">
        <w:rPr>
          <w:color w:val="auto"/>
          <w:sz w:val="22"/>
        </w:rPr>
        <w:fldChar w:fldCharType="begin"/>
      </w:r>
      <w:r w:rsidRPr="000171C4">
        <w:rPr>
          <w:color w:val="auto"/>
          <w:sz w:val="22"/>
        </w:rPr>
        <w:instrText xml:space="preserve"> SEQ Figure \* ARABIC </w:instrText>
      </w:r>
      <w:r w:rsidRPr="000171C4">
        <w:rPr>
          <w:color w:val="auto"/>
          <w:sz w:val="22"/>
        </w:rPr>
        <w:fldChar w:fldCharType="separate"/>
      </w:r>
      <w:r w:rsidR="000D22D0">
        <w:rPr>
          <w:noProof/>
          <w:color w:val="auto"/>
          <w:sz w:val="22"/>
        </w:rPr>
        <w:t>9</w:t>
      </w:r>
      <w:r w:rsidRPr="000171C4">
        <w:rPr>
          <w:color w:val="auto"/>
          <w:sz w:val="22"/>
        </w:rPr>
        <w:fldChar w:fldCharType="end"/>
      </w:r>
      <w:r>
        <w:rPr>
          <w:color w:val="auto"/>
          <w:sz w:val="22"/>
        </w:rPr>
        <w:t xml:space="preserve">. </w:t>
      </w:r>
      <w:r w:rsidRPr="000171C4">
        <w:rPr>
          <w:color w:val="auto"/>
          <w:sz w:val="22"/>
        </w:rPr>
        <w:t>Représentation d’un</w:t>
      </w:r>
      <w:r w:rsidR="00EC4731">
        <w:rPr>
          <w:color w:val="auto"/>
          <w:sz w:val="22"/>
        </w:rPr>
        <w:t>e</w:t>
      </w:r>
      <w:r w:rsidRPr="000171C4">
        <w:rPr>
          <w:color w:val="auto"/>
          <w:sz w:val="22"/>
        </w:rPr>
        <w:t xml:space="preserve"> tour cellulaire dans un village</w:t>
      </w:r>
      <w:bookmarkEnd w:id="172"/>
    </w:p>
    <w:p w14:paraId="476D47CB" w14:textId="77777777" w:rsidR="000171C4" w:rsidRPr="000171C4" w:rsidRDefault="000171C4" w:rsidP="0044500E">
      <w:pPr>
        <w:pStyle w:val="TIT3"/>
        <w:numPr>
          <w:ilvl w:val="2"/>
          <w:numId w:val="177"/>
        </w:numPr>
      </w:pPr>
      <w:bookmarkStart w:id="173" w:name="_Toc124314635"/>
      <w:bookmarkStart w:id="174" w:name="_Toc124956113"/>
      <w:bookmarkStart w:id="175" w:name="_Toc125384512"/>
      <w:bookmarkStart w:id="176" w:name="_Toc125384901"/>
      <w:bookmarkStart w:id="177" w:name="_Toc127957573"/>
      <w:r w:rsidRPr="000171C4">
        <w:t>Tours cellulaire</w:t>
      </w:r>
      <w:bookmarkEnd w:id="173"/>
      <w:r w:rsidR="00EC4731">
        <w:t>s</w:t>
      </w:r>
      <w:bookmarkEnd w:id="174"/>
      <w:bookmarkEnd w:id="175"/>
      <w:bookmarkEnd w:id="176"/>
      <w:bookmarkEnd w:id="177"/>
      <w:r w:rsidRPr="000171C4">
        <w:t xml:space="preserve"> </w:t>
      </w:r>
    </w:p>
    <w:p w14:paraId="466803D9" w14:textId="77777777" w:rsidR="000171C4" w:rsidRDefault="00EC4731" w:rsidP="000171C4">
      <w:pPr>
        <w:jc w:val="both"/>
        <w:rPr>
          <w:rFonts w:ascii="Arial" w:hAnsi="Arial" w:cs="Arial"/>
        </w:rPr>
      </w:pPr>
      <w:r>
        <w:rPr>
          <w:rFonts w:ascii="Arial" w:hAnsi="Arial" w:cs="Arial"/>
        </w:rPr>
        <w:t>D</w:t>
      </w:r>
      <w:r w:rsidR="000171C4" w:rsidRPr="00F1516D">
        <w:rPr>
          <w:rFonts w:ascii="Arial" w:hAnsi="Arial" w:cs="Arial"/>
        </w:rPr>
        <w:t xml:space="preserve">’une manière générale, la mise en place d’une infrastructure numérique nécessite la mise en place </w:t>
      </w:r>
      <w:r>
        <w:rPr>
          <w:rFonts w:ascii="Arial" w:hAnsi="Arial" w:cs="Arial"/>
        </w:rPr>
        <w:t>« </w:t>
      </w:r>
      <w:r w:rsidR="000171C4" w:rsidRPr="00F1516D">
        <w:rPr>
          <w:rFonts w:ascii="Arial" w:hAnsi="Arial" w:cs="Arial"/>
        </w:rPr>
        <w:t>d’infrastructure fondamentale</w:t>
      </w:r>
      <w:r w:rsidR="000171C4" w:rsidRPr="00B434A6">
        <w:rPr>
          <w:vertAlign w:val="superscript"/>
        </w:rPr>
        <w:footnoteReference w:id="14"/>
      </w:r>
      <w:r w:rsidR="00AD5792">
        <w:rPr>
          <w:rFonts w:ascii="Arial" w:hAnsi="Arial" w:cs="Arial"/>
        </w:rPr>
        <w:t xml:space="preserve"> </w:t>
      </w:r>
      <w:r w:rsidR="000171C4" w:rsidRPr="00F1516D">
        <w:rPr>
          <w:rFonts w:ascii="Arial" w:hAnsi="Arial" w:cs="Arial"/>
        </w:rPr>
        <w:t xml:space="preserve">» appelée plus souvent « tour </w:t>
      </w:r>
      <w:r w:rsidR="000171C4">
        <w:rPr>
          <w:rFonts w:ascii="Arial" w:hAnsi="Arial" w:cs="Arial"/>
        </w:rPr>
        <w:t>cellulaire » ou site cellulaire.</w:t>
      </w:r>
    </w:p>
    <w:p w14:paraId="1F687227" w14:textId="77777777" w:rsidR="000171C4" w:rsidRPr="00F1516D" w:rsidRDefault="000171C4" w:rsidP="000171C4">
      <w:pPr>
        <w:jc w:val="both"/>
        <w:rPr>
          <w:rFonts w:ascii="Arial" w:hAnsi="Arial" w:cs="Arial"/>
        </w:rPr>
      </w:pPr>
      <w:r w:rsidRPr="00F1516D">
        <w:rPr>
          <w:rFonts w:ascii="Arial" w:hAnsi="Arial" w:cs="Arial"/>
        </w:rPr>
        <w:t xml:space="preserve">Une tour cellulaire abrite l'équipement de communication électronique ainsi qu'une antenne pour prendre en charge la communication cellulaire dans un réseau. Une tour cellulaire </w:t>
      </w:r>
      <w:r w:rsidR="00801D80">
        <w:rPr>
          <w:rFonts w:ascii="Arial" w:hAnsi="Arial" w:cs="Arial"/>
        </w:rPr>
        <w:t>(figure ci-dessous)</w:t>
      </w:r>
      <w:r w:rsidR="00801D80" w:rsidRPr="00F1516D">
        <w:rPr>
          <w:rFonts w:ascii="Arial" w:hAnsi="Arial" w:cs="Arial"/>
        </w:rPr>
        <w:t xml:space="preserve"> </w:t>
      </w:r>
      <w:r w:rsidRPr="00F1516D">
        <w:rPr>
          <w:rFonts w:ascii="Arial" w:hAnsi="Arial" w:cs="Arial"/>
        </w:rPr>
        <w:t>est généralement une structure surélevée avec l'antenne, les émetteurs et les récepteurs situés en haut.</w:t>
      </w:r>
    </w:p>
    <w:p w14:paraId="04EFFF3D" w14:textId="77777777" w:rsidR="000171C4" w:rsidRPr="00F1516D" w:rsidRDefault="000171C4" w:rsidP="00B434A6">
      <w:pPr>
        <w:spacing w:after="0"/>
        <w:jc w:val="both"/>
        <w:rPr>
          <w:rFonts w:ascii="Arial" w:hAnsi="Arial" w:cs="Arial"/>
        </w:rPr>
      </w:pPr>
    </w:p>
    <w:p w14:paraId="061F7C10" w14:textId="21BCE1E3" w:rsidR="000171C4" w:rsidRDefault="00E97ECD" w:rsidP="000171C4">
      <w:pPr>
        <w:spacing w:after="120"/>
        <w:jc w:val="center"/>
        <w:rPr>
          <w:rFonts w:ascii="Arial" w:hAnsi="Arial" w:cs="Arial"/>
        </w:rPr>
      </w:pPr>
      <w:r w:rsidRPr="00FB04F6">
        <w:rPr>
          <w:rFonts w:ascii="Arial" w:hAnsi="Arial" w:cs="Arial"/>
          <w:noProof/>
          <w:lang w:eastAsia="fr-FR"/>
        </w:rPr>
        <w:lastRenderedPageBreak/>
        <w:drawing>
          <wp:inline distT="0" distB="0" distL="0" distR="0" wp14:anchorId="3543E52C" wp14:editId="177C9716">
            <wp:extent cx="3171825" cy="2352675"/>
            <wp:effectExtent l="0" t="0" r="0" b="0"/>
            <wp:docPr id="14"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26">
                      <a:clrChange>
                        <a:clrFrom>
                          <a:srgbClr val="D0D0D0"/>
                        </a:clrFrom>
                        <a:clrTo>
                          <a:srgbClr val="D0D0D0">
                            <a:alpha val="0"/>
                          </a:srgbClr>
                        </a:clrTo>
                      </a:clrChange>
                      <a:extLst>
                        <a:ext uri="{28A0092B-C50C-407E-A947-70E740481C1C}">
                          <a14:useLocalDpi xmlns:a14="http://schemas.microsoft.com/office/drawing/2010/main" val="0"/>
                        </a:ext>
                      </a:extLst>
                    </a:blip>
                    <a:srcRect/>
                    <a:stretch>
                      <a:fillRect/>
                    </a:stretch>
                  </pic:blipFill>
                  <pic:spPr bwMode="auto">
                    <a:xfrm>
                      <a:off x="0" y="0"/>
                      <a:ext cx="3171825" cy="2352675"/>
                    </a:xfrm>
                    <a:prstGeom prst="rect">
                      <a:avLst/>
                    </a:prstGeom>
                    <a:noFill/>
                    <a:ln>
                      <a:noFill/>
                    </a:ln>
                  </pic:spPr>
                </pic:pic>
              </a:graphicData>
            </a:graphic>
          </wp:inline>
        </w:drawing>
      </w:r>
    </w:p>
    <w:p w14:paraId="00E72E6F" w14:textId="77777777" w:rsidR="000171C4" w:rsidRPr="000171C4" w:rsidRDefault="000171C4" w:rsidP="000171C4">
      <w:pPr>
        <w:pStyle w:val="Lgende"/>
        <w:jc w:val="center"/>
        <w:rPr>
          <w:color w:val="auto"/>
          <w:sz w:val="22"/>
        </w:rPr>
      </w:pPr>
      <w:bookmarkStart w:id="178" w:name="_Toc125402452"/>
      <w:r w:rsidRPr="000171C4">
        <w:rPr>
          <w:color w:val="auto"/>
          <w:sz w:val="22"/>
        </w:rPr>
        <w:t xml:space="preserve">Figure </w:t>
      </w:r>
      <w:r w:rsidRPr="000171C4">
        <w:rPr>
          <w:color w:val="auto"/>
          <w:sz w:val="22"/>
        </w:rPr>
        <w:fldChar w:fldCharType="begin"/>
      </w:r>
      <w:r w:rsidRPr="000171C4">
        <w:rPr>
          <w:color w:val="auto"/>
          <w:sz w:val="22"/>
        </w:rPr>
        <w:instrText xml:space="preserve"> SEQ Figure \* ARABIC </w:instrText>
      </w:r>
      <w:r w:rsidRPr="000171C4">
        <w:rPr>
          <w:color w:val="auto"/>
          <w:sz w:val="22"/>
        </w:rPr>
        <w:fldChar w:fldCharType="separate"/>
      </w:r>
      <w:r w:rsidR="000D22D0">
        <w:rPr>
          <w:noProof/>
          <w:color w:val="auto"/>
          <w:sz w:val="22"/>
        </w:rPr>
        <w:t>10</w:t>
      </w:r>
      <w:r w:rsidRPr="000171C4">
        <w:rPr>
          <w:color w:val="auto"/>
          <w:sz w:val="22"/>
        </w:rPr>
        <w:fldChar w:fldCharType="end"/>
      </w:r>
      <w:r>
        <w:rPr>
          <w:color w:val="auto"/>
          <w:sz w:val="22"/>
        </w:rPr>
        <w:t xml:space="preserve">. </w:t>
      </w:r>
      <w:r w:rsidRPr="000171C4">
        <w:rPr>
          <w:color w:val="auto"/>
          <w:sz w:val="22"/>
        </w:rPr>
        <w:t>Représentation simplifiée d’un</w:t>
      </w:r>
      <w:r w:rsidR="002D4A3D">
        <w:rPr>
          <w:color w:val="auto"/>
          <w:sz w:val="22"/>
        </w:rPr>
        <w:t>e</w:t>
      </w:r>
      <w:r w:rsidRPr="000171C4">
        <w:rPr>
          <w:color w:val="auto"/>
          <w:sz w:val="22"/>
        </w:rPr>
        <w:t xml:space="preserve"> tour cellulaire</w:t>
      </w:r>
      <w:bookmarkEnd w:id="178"/>
    </w:p>
    <w:p w14:paraId="3FED09C7" w14:textId="77777777" w:rsidR="000171C4" w:rsidRPr="00742D67" w:rsidRDefault="00FB126C" w:rsidP="00CB1F35">
      <w:pPr>
        <w:jc w:val="both"/>
        <w:rPr>
          <w:rFonts w:ascii="Arial" w:hAnsi="Arial" w:cs="Arial"/>
        </w:rPr>
      </w:pPr>
      <w:r w:rsidRPr="00742D67">
        <w:rPr>
          <w:rFonts w:ascii="Arial" w:hAnsi="Arial" w:cs="Arial"/>
        </w:rPr>
        <w:t xml:space="preserve">Afin d’être autonomes, les tours cellulaires peuvent être alimentées par des plaques solaires munies d’une batterie. </w:t>
      </w:r>
    </w:p>
    <w:p w14:paraId="039CECA4" w14:textId="77777777" w:rsidR="000171C4" w:rsidRPr="000171C4" w:rsidRDefault="000171C4" w:rsidP="0044500E">
      <w:pPr>
        <w:pStyle w:val="TIT3"/>
        <w:numPr>
          <w:ilvl w:val="2"/>
          <w:numId w:val="177"/>
        </w:numPr>
      </w:pPr>
      <w:bookmarkStart w:id="179" w:name="_Toc124314636"/>
      <w:bookmarkStart w:id="180" w:name="_Toc124956114"/>
      <w:bookmarkStart w:id="181" w:name="_Toc125384513"/>
      <w:bookmarkStart w:id="182" w:name="_Toc125384902"/>
      <w:bookmarkStart w:id="183" w:name="_Toc127957574"/>
      <w:r w:rsidRPr="000171C4">
        <w:t>Fonction d’une tour cellulaire</w:t>
      </w:r>
      <w:bookmarkEnd w:id="179"/>
      <w:bookmarkEnd w:id="180"/>
      <w:bookmarkEnd w:id="181"/>
      <w:bookmarkEnd w:id="182"/>
      <w:bookmarkEnd w:id="183"/>
    </w:p>
    <w:p w14:paraId="362F0A3F" w14:textId="77777777" w:rsidR="000171C4" w:rsidRPr="00F1516D" w:rsidRDefault="000171C4" w:rsidP="000171C4">
      <w:pPr>
        <w:jc w:val="both"/>
        <w:rPr>
          <w:rFonts w:ascii="Arial" w:hAnsi="Arial" w:cs="Arial"/>
        </w:rPr>
      </w:pPr>
      <w:r w:rsidRPr="00F1516D">
        <w:rPr>
          <w:rFonts w:ascii="Arial" w:hAnsi="Arial" w:cs="Arial"/>
        </w:rPr>
        <w:t>La fonction principale d'une tour cellulaire est d'assurer une élévation appropriée aux antennes qui reçoivent et transmettent des signaux radiofréquences à partir de téléphones cellulaires et d'autres appareils.</w:t>
      </w:r>
    </w:p>
    <w:p w14:paraId="45A8F558" w14:textId="77777777" w:rsidR="000171C4" w:rsidRPr="00F1516D" w:rsidRDefault="000171C4" w:rsidP="000171C4">
      <w:pPr>
        <w:jc w:val="both"/>
        <w:rPr>
          <w:rFonts w:ascii="Arial" w:hAnsi="Arial" w:cs="Arial"/>
        </w:rPr>
      </w:pPr>
      <w:r w:rsidRPr="00F1516D">
        <w:rPr>
          <w:rFonts w:ascii="Arial" w:hAnsi="Arial" w:cs="Arial"/>
        </w:rPr>
        <w:t>Les tours cellulaires sont généralement placées de manière à pouvoir couvrir une large zone. La plage de travail d'une tour cellulaire dépend de nombreux facteurs, tels que :</w:t>
      </w:r>
    </w:p>
    <w:p w14:paraId="7DD8FE5E" w14:textId="77777777" w:rsidR="000171C4" w:rsidRPr="00F1516D" w:rsidRDefault="000171C4" w:rsidP="00687DD2">
      <w:pPr>
        <w:numPr>
          <w:ilvl w:val="0"/>
          <w:numId w:val="74"/>
        </w:numPr>
        <w:spacing w:before="100" w:beforeAutospacing="1" w:after="100" w:afterAutospacing="1" w:line="240" w:lineRule="auto"/>
        <w:rPr>
          <w:rFonts w:ascii="Arial" w:eastAsia="Times New Roman" w:hAnsi="Arial" w:cs="Arial"/>
          <w:lang w:eastAsia="fr-FR"/>
        </w:rPr>
      </w:pPr>
      <w:r w:rsidRPr="00F1516D">
        <w:rPr>
          <w:rFonts w:ascii="Arial" w:eastAsia="Times New Roman" w:hAnsi="Arial" w:cs="Arial"/>
          <w:lang w:eastAsia="fr-FR"/>
        </w:rPr>
        <w:t>Puissance nominale de l'émetteur</w:t>
      </w:r>
      <w:r w:rsidR="001852E4">
        <w:rPr>
          <w:rFonts w:ascii="Arial" w:eastAsia="Times New Roman" w:hAnsi="Arial" w:cs="Arial"/>
          <w:lang w:eastAsia="fr-FR"/>
        </w:rPr>
        <w:t> ;</w:t>
      </w:r>
    </w:p>
    <w:p w14:paraId="08A34E58" w14:textId="77777777" w:rsidR="000171C4" w:rsidRPr="00F1516D" w:rsidRDefault="000171C4" w:rsidP="00687DD2">
      <w:pPr>
        <w:numPr>
          <w:ilvl w:val="0"/>
          <w:numId w:val="74"/>
        </w:numPr>
        <w:spacing w:before="100" w:beforeAutospacing="1" w:after="100" w:afterAutospacing="1" w:line="240" w:lineRule="auto"/>
        <w:rPr>
          <w:rFonts w:ascii="Arial" w:eastAsia="Times New Roman" w:hAnsi="Arial" w:cs="Arial"/>
          <w:lang w:eastAsia="fr-FR"/>
        </w:rPr>
      </w:pPr>
      <w:r w:rsidRPr="00F1516D">
        <w:rPr>
          <w:rFonts w:ascii="Arial" w:eastAsia="Times New Roman" w:hAnsi="Arial" w:cs="Arial"/>
          <w:lang w:eastAsia="fr-FR"/>
        </w:rPr>
        <w:t>Fréquence du signal</w:t>
      </w:r>
      <w:r w:rsidR="001852E4">
        <w:rPr>
          <w:rFonts w:ascii="Arial" w:eastAsia="Times New Roman" w:hAnsi="Arial" w:cs="Arial"/>
          <w:lang w:eastAsia="fr-FR"/>
        </w:rPr>
        <w:t> ;</w:t>
      </w:r>
    </w:p>
    <w:p w14:paraId="7C01328C" w14:textId="77777777" w:rsidR="000171C4" w:rsidRPr="00F1516D" w:rsidRDefault="000171C4" w:rsidP="00687DD2">
      <w:pPr>
        <w:numPr>
          <w:ilvl w:val="0"/>
          <w:numId w:val="74"/>
        </w:numPr>
        <w:spacing w:before="100" w:beforeAutospacing="1" w:after="100" w:afterAutospacing="1" w:line="240" w:lineRule="auto"/>
        <w:rPr>
          <w:rFonts w:ascii="Arial" w:eastAsia="Times New Roman" w:hAnsi="Arial" w:cs="Arial"/>
          <w:lang w:eastAsia="fr-FR"/>
        </w:rPr>
      </w:pPr>
      <w:r w:rsidRPr="00F1516D">
        <w:rPr>
          <w:rFonts w:ascii="Arial" w:eastAsia="Times New Roman" w:hAnsi="Arial" w:cs="Arial"/>
          <w:lang w:eastAsia="fr-FR"/>
        </w:rPr>
        <w:t>Hauteur de l'antenne au-dessus de son environnement</w:t>
      </w:r>
      <w:r w:rsidR="001852E4">
        <w:rPr>
          <w:rFonts w:ascii="Arial" w:eastAsia="Times New Roman" w:hAnsi="Arial" w:cs="Arial"/>
          <w:lang w:eastAsia="fr-FR"/>
        </w:rPr>
        <w:t> ;</w:t>
      </w:r>
    </w:p>
    <w:p w14:paraId="54FD27FC" w14:textId="77777777" w:rsidR="000171C4" w:rsidRPr="00F1516D" w:rsidRDefault="000171C4" w:rsidP="00687DD2">
      <w:pPr>
        <w:numPr>
          <w:ilvl w:val="0"/>
          <w:numId w:val="74"/>
        </w:numPr>
        <w:spacing w:before="100" w:beforeAutospacing="1" w:after="100" w:afterAutospacing="1" w:line="240" w:lineRule="auto"/>
        <w:rPr>
          <w:rFonts w:ascii="Arial" w:eastAsia="Times New Roman" w:hAnsi="Arial" w:cs="Arial"/>
          <w:lang w:eastAsia="fr-FR"/>
        </w:rPr>
      </w:pPr>
      <w:r w:rsidRPr="00F1516D">
        <w:rPr>
          <w:rFonts w:ascii="Arial" w:eastAsia="Times New Roman" w:hAnsi="Arial" w:cs="Arial"/>
          <w:lang w:eastAsia="fr-FR"/>
        </w:rPr>
        <w:t>Débit de liaison montante / liaison descendante requis de l'appareil du client</w:t>
      </w:r>
      <w:r w:rsidR="001852E4">
        <w:rPr>
          <w:rFonts w:ascii="Arial" w:eastAsia="Times New Roman" w:hAnsi="Arial" w:cs="Arial"/>
          <w:lang w:eastAsia="fr-FR"/>
        </w:rPr>
        <w:t> ;</w:t>
      </w:r>
    </w:p>
    <w:p w14:paraId="0EF3C398" w14:textId="77777777" w:rsidR="000171C4" w:rsidRPr="00F1516D" w:rsidRDefault="000171C4" w:rsidP="00687DD2">
      <w:pPr>
        <w:numPr>
          <w:ilvl w:val="0"/>
          <w:numId w:val="74"/>
        </w:numPr>
        <w:spacing w:before="100" w:beforeAutospacing="1" w:after="100" w:afterAutospacing="1" w:line="240" w:lineRule="auto"/>
        <w:rPr>
          <w:rFonts w:ascii="Arial" w:eastAsia="Times New Roman" w:hAnsi="Arial" w:cs="Arial"/>
          <w:lang w:eastAsia="fr-FR"/>
        </w:rPr>
      </w:pPr>
      <w:r w:rsidRPr="00F1516D">
        <w:rPr>
          <w:rFonts w:ascii="Arial" w:eastAsia="Times New Roman" w:hAnsi="Arial" w:cs="Arial"/>
          <w:lang w:eastAsia="fr-FR"/>
        </w:rPr>
        <w:t>Réflexion ou absorption d'énergie radioélectrique par les bâtiments ou la végétation voisin</w:t>
      </w:r>
      <w:r w:rsidR="008E6A0F">
        <w:rPr>
          <w:rFonts w:ascii="Arial" w:eastAsia="Times New Roman" w:hAnsi="Arial" w:cs="Arial"/>
          <w:lang w:eastAsia="fr-FR"/>
        </w:rPr>
        <w:t>e</w:t>
      </w:r>
      <w:r w:rsidR="001852E4">
        <w:rPr>
          <w:rFonts w:ascii="Arial" w:eastAsia="Times New Roman" w:hAnsi="Arial" w:cs="Arial"/>
          <w:lang w:eastAsia="fr-FR"/>
        </w:rPr>
        <w:t> ;</w:t>
      </w:r>
    </w:p>
    <w:p w14:paraId="38A357EA" w14:textId="77777777" w:rsidR="000171C4" w:rsidRPr="00F1516D" w:rsidRDefault="000171C4" w:rsidP="00687DD2">
      <w:pPr>
        <w:numPr>
          <w:ilvl w:val="0"/>
          <w:numId w:val="74"/>
        </w:numPr>
        <w:spacing w:before="100" w:beforeAutospacing="1" w:after="100" w:afterAutospacing="1" w:line="240" w:lineRule="auto"/>
        <w:rPr>
          <w:rFonts w:ascii="Arial" w:eastAsia="Times New Roman" w:hAnsi="Arial" w:cs="Arial"/>
          <w:lang w:eastAsia="fr-FR"/>
        </w:rPr>
      </w:pPr>
      <w:r w:rsidRPr="00F1516D">
        <w:rPr>
          <w:rFonts w:ascii="Arial" w:eastAsia="Times New Roman" w:hAnsi="Arial" w:cs="Arial"/>
          <w:lang w:eastAsia="fr-FR"/>
        </w:rPr>
        <w:t>Conditions météorologiques</w:t>
      </w:r>
      <w:r w:rsidR="001852E4">
        <w:rPr>
          <w:rFonts w:ascii="Arial" w:eastAsia="Times New Roman" w:hAnsi="Arial" w:cs="Arial"/>
          <w:lang w:eastAsia="fr-FR"/>
        </w:rPr>
        <w:t> ;</w:t>
      </w:r>
    </w:p>
    <w:p w14:paraId="6D708099" w14:textId="77777777" w:rsidR="000171C4" w:rsidRPr="00F1516D" w:rsidRDefault="000171C4" w:rsidP="00687DD2">
      <w:pPr>
        <w:numPr>
          <w:ilvl w:val="0"/>
          <w:numId w:val="74"/>
        </w:numPr>
        <w:spacing w:before="100" w:beforeAutospacing="1" w:after="100" w:afterAutospacing="1" w:line="240" w:lineRule="auto"/>
        <w:rPr>
          <w:rFonts w:ascii="Arial" w:eastAsia="Times New Roman" w:hAnsi="Arial" w:cs="Arial"/>
          <w:lang w:eastAsia="fr-FR"/>
        </w:rPr>
      </w:pPr>
      <w:r w:rsidRPr="00F1516D">
        <w:rPr>
          <w:rFonts w:ascii="Arial" w:eastAsia="Times New Roman" w:hAnsi="Arial" w:cs="Arial"/>
          <w:lang w:eastAsia="fr-FR"/>
        </w:rPr>
        <w:t>Facteurs géographiques ou réglementaires</w:t>
      </w:r>
      <w:r w:rsidR="00FC5849">
        <w:rPr>
          <w:rFonts w:ascii="Arial" w:eastAsia="Times New Roman" w:hAnsi="Arial" w:cs="Arial"/>
          <w:lang w:eastAsia="fr-FR"/>
        </w:rPr>
        <w:t>.</w:t>
      </w:r>
    </w:p>
    <w:p w14:paraId="1002708F" w14:textId="77777777" w:rsidR="000171C4" w:rsidRPr="000171C4" w:rsidRDefault="000171C4" w:rsidP="0044500E">
      <w:pPr>
        <w:pStyle w:val="TIT3"/>
        <w:numPr>
          <w:ilvl w:val="2"/>
          <w:numId w:val="177"/>
        </w:numPr>
      </w:pPr>
      <w:bookmarkStart w:id="184" w:name="_Toc124314637"/>
      <w:bookmarkStart w:id="185" w:name="_Toc124956115"/>
      <w:bookmarkStart w:id="186" w:name="_Toc125384514"/>
      <w:bookmarkStart w:id="187" w:name="_Toc125384903"/>
      <w:bookmarkStart w:id="188" w:name="_Toc127957575"/>
      <w:r w:rsidRPr="000171C4">
        <w:t>Infrastructures de diffusion</w:t>
      </w:r>
      <w:bookmarkEnd w:id="184"/>
      <w:bookmarkEnd w:id="185"/>
      <w:bookmarkEnd w:id="186"/>
      <w:bookmarkEnd w:id="187"/>
      <w:bookmarkEnd w:id="188"/>
    </w:p>
    <w:p w14:paraId="48A4E4E8" w14:textId="77777777" w:rsidR="000171C4" w:rsidRPr="00F1516D" w:rsidRDefault="000171C4" w:rsidP="000171C4">
      <w:pPr>
        <w:jc w:val="both"/>
        <w:rPr>
          <w:rFonts w:ascii="Arial" w:hAnsi="Arial" w:cs="Arial"/>
        </w:rPr>
      </w:pPr>
      <w:r w:rsidRPr="00F1516D">
        <w:rPr>
          <w:rFonts w:ascii="Arial" w:hAnsi="Arial" w:cs="Arial"/>
        </w:rPr>
        <w:t xml:space="preserve">Une infrastructure de </w:t>
      </w:r>
      <w:r w:rsidR="00FC5849">
        <w:rPr>
          <w:rFonts w:ascii="Arial" w:hAnsi="Arial" w:cs="Arial"/>
        </w:rPr>
        <w:t>d</w:t>
      </w:r>
      <w:r w:rsidRPr="00F1516D">
        <w:rPr>
          <w:rFonts w:ascii="Arial" w:hAnsi="Arial" w:cs="Arial"/>
        </w:rPr>
        <w:t xml:space="preserve">iffusion désigne les infrastructures passives de type mâts, pylônes, </w:t>
      </w:r>
      <w:r w:rsidR="00FC5849">
        <w:rPr>
          <w:rFonts w:ascii="Arial" w:hAnsi="Arial" w:cs="Arial"/>
        </w:rPr>
        <w:t>t</w:t>
      </w:r>
      <w:r w:rsidRPr="00F1516D">
        <w:rPr>
          <w:rFonts w:ascii="Arial" w:hAnsi="Arial" w:cs="Arial"/>
        </w:rPr>
        <w:t>ours et autres</w:t>
      </w:r>
      <w:r w:rsidR="00801D80">
        <w:rPr>
          <w:rFonts w:ascii="Arial" w:hAnsi="Arial" w:cs="Arial"/>
        </w:rPr>
        <w:t xml:space="preserve"> (figure ci-après)</w:t>
      </w:r>
      <w:r w:rsidR="00801D80" w:rsidRPr="00F1516D">
        <w:rPr>
          <w:rFonts w:ascii="Arial" w:hAnsi="Arial" w:cs="Arial"/>
        </w:rPr>
        <w:t>,</w:t>
      </w:r>
      <w:r w:rsidRPr="00F1516D">
        <w:rPr>
          <w:rFonts w:ascii="Arial" w:hAnsi="Arial" w:cs="Arial"/>
        </w:rPr>
        <w:t>, construites pour porter tout équipement utilisant des fréquences radioélectriques pour la propagation des ondes en espace libre permettant la transmission de signes, signaux, écrits, images ou sons incluant un système d’énergie permettant l’alimentation électrique desdits équipements.</w:t>
      </w:r>
    </w:p>
    <w:p w14:paraId="78EE72A4" w14:textId="77777777" w:rsidR="000171C4" w:rsidRPr="00F1516D" w:rsidRDefault="000171C4" w:rsidP="000171C4">
      <w:pPr>
        <w:jc w:val="both"/>
        <w:rPr>
          <w:rFonts w:ascii="Arial" w:hAnsi="Arial" w:cs="Arial"/>
        </w:rPr>
      </w:pPr>
      <w:r w:rsidRPr="00F1516D">
        <w:rPr>
          <w:rFonts w:ascii="Arial" w:hAnsi="Arial" w:cs="Arial"/>
        </w:rPr>
        <w:t xml:space="preserve">La règle de gestion est </w:t>
      </w:r>
      <w:r w:rsidR="0FE1F882" w:rsidRPr="58F5F8BA">
        <w:rPr>
          <w:rFonts w:ascii="Arial" w:hAnsi="Arial" w:cs="Arial"/>
        </w:rPr>
        <w:t>énonc</w:t>
      </w:r>
      <w:r w:rsidR="720DB511" w:rsidRPr="58F5F8BA">
        <w:rPr>
          <w:rFonts w:ascii="Arial" w:hAnsi="Arial" w:cs="Arial"/>
        </w:rPr>
        <w:t>ée</w:t>
      </w:r>
      <w:r w:rsidRPr="00F1516D">
        <w:rPr>
          <w:rFonts w:ascii="Arial" w:hAnsi="Arial" w:cs="Arial"/>
        </w:rPr>
        <w:t xml:space="preserve"> dans le Décret N°2014-1652 du 30 Octobre 2014 portant Cadrage de la Mutualisation dans le secteur des Télécommunications par le Ministère des Postes, des Télécommunications, et des Nouvelles Technologies</w:t>
      </w:r>
      <w:r w:rsidR="00D91125">
        <w:rPr>
          <w:rFonts w:ascii="Arial" w:hAnsi="Arial" w:cs="Arial"/>
        </w:rPr>
        <w:t>.</w:t>
      </w:r>
    </w:p>
    <w:p w14:paraId="6EB10007" w14:textId="2752B3CB" w:rsidR="000171C4" w:rsidRDefault="00E97ECD" w:rsidP="000171C4">
      <w:pPr>
        <w:spacing w:after="120"/>
        <w:jc w:val="center"/>
        <w:rPr>
          <w:rFonts w:ascii="Arial" w:hAnsi="Arial" w:cs="Arial"/>
        </w:rPr>
      </w:pPr>
      <w:r w:rsidRPr="00FB04F6">
        <w:rPr>
          <w:rFonts w:ascii="Arial" w:hAnsi="Arial" w:cs="Arial"/>
          <w:noProof/>
          <w:lang w:eastAsia="fr-FR"/>
        </w:rPr>
        <w:lastRenderedPageBreak/>
        <w:drawing>
          <wp:inline distT="0" distB="0" distL="0" distR="0" wp14:anchorId="08BBAAD8" wp14:editId="5A87D066">
            <wp:extent cx="2105025" cy="2181225"/>
            <wp:effectExtent l="0" t="0" r="0" b="0"/>
            <wp:docPr id="15" name="Image 38" descr="Description : https://lightning-protection-systems.com/website/wp-content/uploads/2018/05/kit-pylonne-telecommun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Description : https://lightning-protection-systems.com/website/wp-content/uploads/2018/05/kit-pylonne-telecommunicati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5025" cy="2181225"/>
                    </a:xfrm>
                    <a:prstGeom prst="rect">
                      <a:avLst/>
                    </a:prstGeom>
                    <a:noFill/>
                    <a:ln>
                      <a:noFill/>
                    </a:ln>
                  </pic:spPr>
                </pic:pic>
              </a:graphicData>
            </a:graphic>
          </wp:inline>
        </w:drawing>
      </w:r>
    </w:p>
    <w:p w14:paraId="175AEF87" w14:textId="77777777" w:rsidR="000171C4" w:rsidRPr="000171C4" w:rsidRDefault="000171C4" w:rsidP="000171C4">
      <w:pPr>
        <w:pStyle w:val="Lgende"/>
        <w:jc w:val="center"/>
        <w:rPr>
          <w:color w:val="auto"/>
          <w:sz w:val="22"/>
        </w:rPr>
      </w:pPr>
      <w:bookmarkStart w:id="189" w:name="_Toc125402453"/>
      <w:r w:rsidRPr="000171C4">
        <w:rPr>
          <w:color w:val="auto"/>
          <w:sz w:val="22"/>
        </w:rPr>
        <w:t xml:space="preserve">Figure </w:t>
      </w:r>
      <w:r w:rsidRPr="000171C4">
        <w:rPr>
          <w:color w:val="auto"/>
          <w:sz w:val="22"/>
        </w:rPr>
        <w:fldChar w:fldCharType="begin"/>
      </w:r>
      <w:r w:rsidRPr="000171C4">
        <w:rPr>
          <w:color w:val="auto"/>
          <w:sz w:val="22"/>
        </w:rPr>
        <w:instrText xml:space="preserve"> SEQ Figure \* ARABIC </w:instrText>
      </w:r>
      <w:r w:rsidRPr="000171C4">
        <w:rPr>
          <w:color w:val="auto"/>
          <w:sz w:val="22"/>
        </w:rPr>
        <w:fldChar w:fldCharType="separate"/>
      </w:r>
      <w:r w:rsidR="000D22D0">
        <w:rPr>
          <w:noProof/>
          <w:color w:val="auto"/>
          <w:sz w:val="22"/>
        </w:rPr>
        <w:t>11</w:t>
      </w:r>
      <w:r w:rsidRPr="000171C4">
        <w:rPr>
          <w:color w:val="auto"/>
          <w:sz w:val="22"/>
        </w:rPr>
        <w:fldChar w:fldCharType="end"/>
      </w:r>
      <w:r>
        <w:rPr>
          <w:color w:val="auto"/>
          <w:sz w:val="22"/>
        </w:rPr>
        <w:t xml:space="preserve">. </w:t>
      </w:r>
      <w:r w:rsidRPr="000171C4">
        <w:rPr>
          <w:color w:val="auto"/>
          <w:sz w:val="22"/>
        </w:rPr>
        <w:t>Représentation simplifiée d’une infrastructure de Diffusion</w:t>
      </w:r>
      <w:bookmarkEnd w:id="189"/>
    </w:p>
    <w:p w14:paraId="16A3BF93" w14:textId="77777777" w:rsidR="000171C4" w:rsidRPr="00F1516D" w:rsidRDefault="000171C4" w:rsidP="000171C4">
      <w:pPr>
        <w:jc w:val="both"/>
        <w:rPr>
          <w:rFonts w:ascii="Arial" w:hAnsi="Arial" w:cs="Arial"/>
        </w:rPr>
      </w:pPr>
      <w:r w:rsidRPr="00F1516D">
        <w:rPr>
          <w:rFonts w:ascii="Arial" w:hAnsi="Arial" w:cs="Arial"/>
        </w:rPr>
        <w:t xml:space="preserve">Pour la partie énergie, une mesure de maintenance et de recyclage s’avère utile pour l’exploitation des énergies vertes. Mais aussi les remplacements des batteries tous les 5 ans engendrent des déchets impactant l’environnement. De même l’utilisation de groupes électrogènes </w:t>
      </w:r>
      <w:r w:rsidR="002D4A3D">
        <w:rPr>
          <w:rFonts w:ascii="Arial" w:hAnsi="Arial" w:cs="Arial"/>
        </w:rPr>
        <w:t xml:space="preserve">qui </w:t>
      </w:r>
      <w:r w:rsidRPr="00F1516D">
        <w:rPr>
          <w:rFonts w:ascii="Arial" w:hAnsi="Arial" w:cs="Arial"/>
        </w:rPr>
        <w:t>fournissent de l’électricité</w:t>
      </w:r>
      <w:r w:rsidR="002D4A3D">
        <w:rPr>
          <w:rFonts w:ascii="Arial" w:hAnsi="Arial" w:cs="Arial"/>
        </w:rPr>
        <w:t xml:space="preserve"> est source</w:t>
      </w:r>
      <w:r w:rsidRPr="00F1516D">
        <w:rPr>
          <w:rFonts w:ascii="Arial" w:hAnsi="Arial" w:cs="Arial"/>
        </w:rPr>
        <w:t xml:space="preserve"> du dioxyde de carbone par émission de gaz d’échappement nécessitant la maintenance de l’équipement. </w:t>
      </w:r>
    </w:p>
    <w:p w14:paraId="22F9205A" w14:textId="77777777" w:rsidR="000171C4" w:rsidRPr="000171C4" w:rsidRDefault="000171C4" w:rsidP="0044500E">
      <w:pPr>
        <w:pStyle w:val="TIT3"/>
        <w:numPr>
          <w:ilvl w:val="2"/>
          <w:numId w:val="177"/>
        </w:numPr>
      </w:pPr>
      <w:bookmarkStart w:id="190" w:name="_Toc124314638"/>
      <w:bookmarkStart w:id="191" w:name="_Toc124956116"/>
      <w:bookmarkStart w:id="192" w:name="_Toc125384515"/>
      <w:bookmarkStart w:id="193" w:name="_Toc125384904"/>
      <w:bookmarkStart w:id="194" w:name="_Toc127957576"/>
      <w:r w:rsidRPr="000171C4">
        <w:t>Infrastructure de transmission</w:t>
      </w:r>
      <w:bookmarkEnd w:id="190"/>
      <w:bookmarkEnd w:id="191"/>
      <w:bookmarkEnd w:id="192"/>
      <w:bookmarkEnd w:id="193"/>
      <w:bookmarkEnd w:id="194"/>
    </w:p>
    <w:p w14:paraId="4A5AEE24" w14:textId="77777777" w:rsidR="000171C4" w:rsidRPr="00F1516D" w:rsidRDefault="000171C4" w:rsidP="000171C4">
      <w:pPr>
        <w:jc w:val="both"/>
        <w:rPr>
          <w:rFonts w:ascii="Arial" w:hAnsi="Arial" w:cs="Arial"/>
        </w:rPr>
      </w:pPr>
      <w:r w:rsidRPr="000171C4">
        <w:rPr>
          <w:rFonts w:ascii="Arial" w:hAnsi="Arial" w:cs="Arial"/>
        </w:rPr>
        <w:t xml:space="preserve">Une infrastructure de </w:t>
      </w:r>
      <w:r w:rsidR="00FC5849">
        <w:rPr>
          <w:rFonts w:ascii="Arial" w:hAnsi="Arial" w:cs="Arial"/>
        </w:rPr>
        <w:t>t</w:t>
      </w:r>
      <w:r w:rsidRPr="000171C4">
        <w:rPr>
          <w:rFonts w:ascii="Arial" w:hAnsi="Arial" w:cs="Arial"/>
        </w:rPr>
        <w:t xml:space="preserve">ransmission </w:t>
      </w:r>
      <w:r w:rsidR="00801D80">
        <w:rPr>
          <w:rFonts w:ascii="Arial" w:hAnsi="Arial" w:cs="Arial"/>
        </w:rPr>
        <w:t xml:space="preserve">(figure ci-dessous) </w:t>
      </w:r>
      <w:r w:rsidRPr="000171C4">
        <w:rPr>
          <w:rFonts w:ascii="Arial" w:hAnsi="Arial" w:cs="Arial"/>
        </w:rPr>
        <w:t>désigne des liaisons optiques, filaires ou hertziennes,</w:t>
      </w:r>
      <w:r w:rsidRPr="00F1516D">
        <w:rPr>
          <w:rFonts w:ascii="Arial" w:hAnsi="Arial" w:cs="Arial"/>
        </w:rPr>
        <w:t xml:space="preserve"> terrestres, dont l’objet est d’assurer la transmission de données à l’intérieur d’un Réseau Ouvert au Public.</w:t>
      </w:r>
    </w:p>
    <w:p w14:paraId="1D6EC5EE" w14:textId="3A61BB58" w:rsidR="000171C4" w:rsidRDefault="00E97ECD" w:rsidP="000171C4">
      <w:pPr>
        <w:spacing w:after="120"/>
        <w:jc w:val="center"/>
        <w:rPr>
          <w:rFonts w:ascii="Arial" w:hAnsi="Arial" w:cs="Arial"/>
        </w:rPr>
      </w:pPr>
      <w:r w:rsidRPr="00FB04F6">
        <w:rPr>
          <w:rFonts w:ascii="Arial" w:hAnsi="Arial" w:cs="Arial"/>
          <w:noProof/>
          <w:lang w:eastAsia="fr-FR"/>
        </w:rPr>
        <w:drawing>
          <wp:inline distT="0" distB="0" distL="0" distR="0" wp14:anchorId="2295DC7D" wp14:editId="3FF879B4">
            <wp:extent cx="1562100" cy="1590675"/>
            <wp:effectExtent l="0" t="0" r="0" b="0"/>
            <wp:docPr id="1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2100" cy="1590675"/>
                    </a:xfrm>
                    <a:prstGeom prst="rect">
                      <a:avLst/>
                    </a:prstGeom>
                    <a:noFill/>
                    <a:ln>
                      <a:noFill/>
                    </a:ln>
                  </pic:spPr>
                </pic:pic>
              </a:graphicData>
            </a:graphic>
          </wp:inline>
        </w:drawing>
      </w:r>
    </w:p>
    <w:p w14:paraId="3DABEFB0" w14:textId="77777777" w:rsidR="000171C4" w:rsidRPr="000171C4" w:rsidRDefault="000171C4" w:rsidP="000171C4">
      <w:pPr>
        <w:pStyle w:val="Lgende"/>
        <w:jc w:val="center"/>
        <w:rPr>
          <w:color w:val="auto"/>
          <w:sz w:val="22"/>
        </w:rPr>
      </w:pPr>
      <w:bookmarkStart w:id="195" w:name="_Toc125402454"/>
      <w:r w:rsidRPr="000171C4">
        <w:rPr>
          <w:color w:val="auto"/>
          <w:sz w:val="22"/>
        </w:rPr>
        <w:t xml:space="preserve">Figure </w:t>
      </w:r>
      <w:r w:rsidRPr="000171C4">
        <w:rPr>
          <w:color w:val="auto"/>
          <w:sz w:val="22"/>
        </w:rPr>
        <w:fldChar w:fldCharType="begin"/>
      </w:r>
      <w:r w:rsidRPr="000171C4">
        <w:rPr>
          <w:color w:val="auto"/>
          <w:sz w:val="22"/>
        </w:rPr>
        <w:instrText xml:space="preserve"> SEQ Figure \* ARABIC </w:instrText>
      </w:r>
      <w:r w:rsidRPr="000171C4">
        <w:rPr>
          <w:color w:val="auto"/>
          <w:sz w:val="22"/>
        </w:rPr>
        <w:fldChar w:fldCharType="separate"/>
      </w:r>
      <w:r w:rsidR="000D22D0">
        <w:rPr>
          <w:noProof/>
          <w:color w:val="auto"/>
          <w:sz w:val="22"/>
        </w:rPr>
        <w:t>12</w:t>
      </w:r>
      <w:r w:rsidRPr="000171C4">
        <w:rPr>
          <w:color w:val="auto"/>
          <w:sz w:val="22"/>
        </w:rPr>
        <w:fldChar w:fldCharType="end"/>
      </w:r>
      <w:r>
        <w:rPr>
          <w:color w:val="auto"/>
          <w:sz w:val="22"/>
        </w:rPr>
        <w:t xml:space="preserve">. </w:t>
      </w:r>
      <w:r w:rsidRPr="000171C4">
        <w:rPr>
          <w:color w:val="auto"/>
          <w:sz w:val="22"/>
        </w:rPr>
        <w:t xml:space="preserve">Représentation d’une infrastructure de </w:t>
      </w:r>
      <w:r w:rsidR="00FC5849">
        <w:rPr>
          <w:color w:val="auto"/>
          <w:sz w:val="22"/>
        </w:rPr>
        <w:t>t</w:t>
      </w:r>
      <w:r w:rsidRPr="000171C4">
        <w:rPr>
          <w:color w:val="auto"/>
          <w:sz w:val="22"/>
        </w:rPr>
        <w:t>ransmission</w:t>
      </w:r>
      <w:bookmarkEnd w:id="195"/>
    </w:p>
    <w:p w14:paraId="0816FD92" w14:textId="77777777" w:rsidR="000171C4" w:rsidRPr="00F1516D" w:rsidRDefault="000171C4" w:rsidP="000171C4">
      <w:pPr>
        <w:jc w:val="both"/>
        <w:rPr>
          <w:rFonts w:ascii="Arial" w:hAnsi="Arial" w:cs="Arial"/>
        </w:rPr>
      </w:pPr>
      <w:r w:rsidRPr="00F1516D">
        <w:rPr>
          <w:rFonts w:ascii="Arial" w:hAnsi="Arial" w:cs="Arial"/>
        </w:rPr>
        <w:t xml:space="preserve">Il renferme aussi une partie télécommunication </w:t>
      </w:r>
      <w:r w:rsidR="002D4A3D">
        <w:rPr>
          <w:rFonts w:ascii="Arial" w:hAnsi="Arial" w:cs="Arial"/>
        </w:rPr>
        <w:t xml:space="preserve">qui </w:t>
      </w:r>
      <w:r w:rsidRPr="00F1516D">
        <w:rPr>
          <w:rFonts w:ascii="Arial" w:hAnsi="Arial" w:cs="Arial"/>
        </w:rPr>
        <w:t>regroupe les matériels de technologie 3G, 4G ou 5G des opérateurs pour fournir l’internet mobil</w:t>
      </w:r>
      <w:r w:rsidR="002156F0">
        <w:rPr>
          <w:rFonts w:ascii="Arial" w:hAnsi="Arial" w:cs="Arial"/>
        </w:rPr>
        <w:t>e.</w:t>
      </w:r>
    </w:p>
    <w:p w14:paraId="750A7A37" w14:textId="77777777" w:rsidR="000171C4" w:rsidRPr="000171C4" w:rsidRDefault="000171C4" w:rsidP="0044500E">
      <w:pPr>
        <w:pStyle w:val="TIT40"/>
        <w:numPr>
          <w:ilvl w:val="3"/>
          <w:numId w:val="177"/>
        </w:numPr>
        <w:outlineLvl w:val="3"/>
      </w:pPr>
      <w:bookmarkStart w:id="196" w:name="_Toc124314639"/>
      <w:bookmarkStart w:id="197" w:name="_Toc124956117"/>
      <w:bookmarkStart w:id="198" w:name="_Toc125384516"/>
      <w:bookmarkStart w:id="199" w:name="_Toc125384905"/>
      <w:bookmarkStart w:id="200" w:name="_Toc127957577"/>
      <w:r w:rsidRPr="000171C4">
        <w:t>Description de la connectivité à large bande</w:t>
      </w:r>
      <w:bookmarkEnd w:id="196"/>
      <w:bookmarkEnd w:id="197"/>
      <w:bookmarkEnd w:id="198"/>
      <w:bookmarkEnd w:id="199"/>
      <w:bookmarkEnd w:id="200"/>
    </w:p>
    <w:p w14:paraId="2DFF8851" w14:textId="77777777" w:rsidR="000171C4" w:rsidRPr="000171C4" w:rsidRDefault="000171C4" w:rsidP="000171C4">
      <w:pPr>
        <w:jc w:val="both"/>
        <w:rPr>
          <w:rFonts w:ascii="Arial" w:hAnsi="Arial" w:cs="Arial"/>
        </w:rPr>
      </w:pPr>
      <w:r w:rsidRPr="000171C4">
        <w:rPr>
          <w:rFonts w:ascii="Arial" w:hAnsi="Arial" w:cs="Arial"/>
        </w:rPr>
        <w:t xml:space="preserve">La connectivité à « large bande » ou haut débit </w:t>
      </w:r>
      <w:r w:rsidR="002156F0">
        <w:rPr>
          <w:rFonts w:ascii="Arial" w:hAnsi="Arial" w:cs="Arial"/>
        </w:rPr>
        <w:t xml:space="preserve">se définit </w:t>
      </w:r>
      <w:r w:rsidRPr="000171C4">
        <w:rPr>
          <w:rFonts w:ascii="Arial" w:hAnsi="Arial" w:cs="Arial"/>
        </w:rPr>
        <w:t>en fonction</w:t>
      </w:r>
      <w:r w:rsidR="002156F0">
        <w:rPr>
          <w:rFonts w:ascii="Arial" w:hAnsi="Arial" w:cs="Arial"/>
        </w:rPr>
        <w:t> :</w:t>
      </w:r>
      <w:r w:rsidRPr="000171C4">
        <w:rPr>
          <w:rFonts w:ascii="Arial" w:hAnsi="Arial" w:cs="Arial"/>
        </w:rPr>
        <w:t xml:space="preserve"> </w:t>
      </w:r>
    </w:p>
    <w:p w14:paraId="3F1D5A7A" w14:textId="77777777" w:rsidR="000171C4" w:rsidRPr="000171C4" w:rsidRDefault="000171C4" w:rsidP="002D4A3D">
      <w:pPr>
        <w:pStyle w:val="Default"/>
        <w:numPr>
          <w:ilvl w:val="0"/>
          <w:numId w:val="76"/>
        </w:numPr>
        <w:spacing w:after="120"/>
        <w:ind w:firstLine="284"/>
        <w:jc w:val="both"/>
        <w:rPr>
          <w:sz w:val="22"/>
          <w:szCs w:val="22"/>
        </w:rPr>
      </w:pPr>
      <w:r w:rsidRPr="000171C4">
        <w:rPr>
          <w:sz w:val="22"/>
          <w:szCs w:val="22"/>
        </w:rPr>
        <w:t xml:space="preserve">des vitesses minimales de transmission (bien que diverses définitions existent); </w:t>
      </w:r>
    </w:p>
    <w:p w14:paraId="6424C5FF" w14:textId="77777777" w:rsidR="000171C4" w:rsidRPr="000171C4" w:rsidRDefault="000171C4" w:rsidP="002D4A3D">
      <w:pPr>
        <w:pStyle w:val="Default"/>
        <w:numPr>
          <w:ilvl w:val="0"/>
          <w:numId w:val="76"/>
        </w:numPr>
        <w:spacing w:after="120"/>
        <w:ind w:firstLine="284"/>
        <w:jc w:val="both"/>
        <w:rPr>
          <w:sz w:val="22"/>
          <w:szCs w:val="22"/>
        </w:rPr>
      </w:pPr>
      <w:r w:rsidRPr="000171C4">
        <w:rPr>
          <w:sz w:val="22"/>
          <w:szCs w:val="22"/>
        </w:rPr>
        <w:t xml:space="preserve">du type de technologie (par exemple les technologies 3G ou 4G); </w:t>
      </w:r>
    </w:p>
    <w:p w14:paraId="71CCB302" w14:textId="77777777" w:rsidR="000171C4" w:rsidRPr="000171C4" w:rsidRDefault="000171C4" w:rsidP="002D4A3D">
      <w:pPr>
        <w:pStyle w:val="Default"/>
        <w:numPr>
          <w:ilvl w:val="0"/>
          <w:numId w:val="76"/>
        </w:numPr>
        <w:spacing w:after="120"/>
        <w:ind w:firstLine="284"/>
        <w:jc w:val="both"/>
        <w:rPr>
          <w:sz w:val="22"/>
          <w:szCs w:val="22"/>
        </w:rPr>
      </w:pPr>
      <w:r w:rsidRPr="000171C4">
        <w:rPr>
          <w:sz w:val="22"/>
          <w:szCs w:val="22"/>
        </w:rPr>
        <w:t xml:space="preserve">d’un ensemble de concepts fonctionnels, notamment: </w:t>
      </w:r>
    </w:p>
    <w:p w14:paraId="54FC38BB" w14:textId="77777777" w:rsidR="000171C4" w:rsidRPr="000171C4" w:rsidRDefault="000171C4" w:rsidP="00687DD2">
      <w:pPr>
        <w:pStyle w:val="Default"/>
        <w:numPr>
          <w:ilvl w:val="1"/>
          <w:numId w:val="77"/>
        </w:numPr>
        <w:spacing w:after="120"/>
        <w:jc w:val="both"/>
        <w:rPr>
          <w:sz w:val="22"/>
          <w:szCs w:val="22"/>
        </w:rPr>
      </w:pPr>
      <w:r w:rsidRPr="000171C4">
        <w:rPr>
          <w:sz w:val="22"/>
          <w:szCs w:val="22"/>
        </w:rPr>
        <w:lastRenderedPageBreak/>
        <w:t>Accès permanent : le service Internet est mis à jour instantanément en temps réel.</w:t>
      </w:r>
    </w:p>
    <w:p w14:paraId="6B193213" w14:textId="77777777" w:rsidR="000171C4" w:rsidRPr="000171C4" w:rsidRDefault="000171C4" w:rsidP="00687DD2">
      <w:pPr>
        <w:pStyle w:val="Default"/>
        <w:numPr>
          <w:ilvl w:val="1"/>
          <w:numId w:val="77"/>
        </w:numPr>
        <w:spacing w:after="120"/>
        <w:jc w:val="both"/>
        <w:rPr>
          <w:sz w:val="22"/>
          <w:szCs w:val="22"/>
        </w:rPr>
      </w:pPr>
      <w:r w:rsidRPr="000171C4">
        <w:rPr>
          <w:sz w:val="22"/>
          <w:szCs w:val="22"/>
        </w:rPr>
        <w:t>Haute capacité : connexions à faible temps de latence et haute capacité, en mesure d’assurer la transmission d’un grand nombre d’informations par seconde (plutôt que leur débit de transmission).</w:t>
      </w:r>
    </w:p>
    <w:p w14:paraId="40A3026E" w14:textId="77777777" w:rsidR="000171C4" w:rsidRPr="000171C4" w:rsidRDefault="000171C4" w:rsidP="000171C4">
      <w:pPr>
        <w:jc w:val="both"/>
        <w:rPr>
          <w:rFonts w:ascii="Arial" w:hAnsi="Arial" w:cs="Arial"/>
        </w:rPr>
      </w:pPr>
      <w:r w:rsidRPr="000171C4">
        <w:rPr>
          <w:rFonts w:ascii="Arial" w:hAnsi="Arial" w:cs="Arial"/>
        </w:rPr>
        <w:t>Il suffit pour s'en convaincre de se pencher sur les débits minimums pour un certain nombre d'utilisations :</w:t>
      </w:r>
    </w:p>
    <w:p w14:paraId="48A115CB" w14:textId="77777777" w:rsidR="000171C4" w:rsidRPr="000171C4" w:rsidRDefault="00CB1F35" w:rsidP="00687DD2">
      <w:pPr>
        <w:pStyle w:val="Paragraphedeliste"/>
        <w:numPr>
          <w:ilvl w:val="0"/>
          <w:numId w:val="78"/>
        </w:numPr>
        <w:spacing w:after="240" w:line="259" w:lineRule="auto"/>
        <w:jc w:val="both"/>
        <w:rPr>
          <w:rFonts w:ascii="Arial" w:hAnsi="Arial" w:cs="Arial"/>
          <w:lang w:eastAsia="fr-FR"/>
        </w:rPr>
      </w:pPr>
      <w:r>
        <w:rPr>
          <w:rFonts w:ascii="Arial" w:hAnsi="Arial" w:cs="Arial"/>
          <w:lang w:eastAsia="fr-FR"/>
        </w:rPr>
        <w:t>E</w:t>
      </w:r>
      <w:r w:rsidR="000171C4" w:rsidRPr="000171C4">
        <w:rPr>
          <w:rFonts w:ascii="Arial" w:hAnsi="Arial" w:cs="Arial"/>
          <w:lang w:eastAsia="fr-FR"/>
        </w:rPr>
        <w:t>nvoyer un courriel : 1 Mbps</w:t>
      </w:r>
      <w:r w:rsidR="000171C4" w:rsidRPr="000171C4">
        <w:rPr>
          <w:rStyle w:val="Appelnotedebasdep"/>
          <w:rFonts w:ascii="Arial" w:hAnsi="Arial" w:cs="Arial"/>
          <w:lang w:eastAsia="fr-FR"/>
        </w:rPr>
        <w:footnoteReference w:id="15"/>
      </w:r>
      <w:r w:rsidR="000171C4" w:rsidRPr="000171C4">
        <w:rPr>
          <w:rFonts w:ascii="Arial" w:hAnsi="Arial" w:cs="Arial"/>
          <w:lang w:eastAsia="fr-FR"/>
        </w:rPr>
        <w:t> ;</w:t>
      </w:r>
    </w:p>
    <w:p w14:paraId="66CDF2CC" w14:textId="77777777" w:rsidR="000171C4" w:rsidRPr="000171C4" w:rsidRDefault="00CB1F35" w:rsidP="00687DD2">
      <w:pPr>
        <w:pStyle w:val="Paragraphedeliste"/>
        <w:numPr>
          <w:ilvl w:val="0"/>
          <w:numId w:val="78"/>
        </w:numPr>
        <w:spacing w:after="240" w:line="259" w:lineRule="auto"/>
        <w:jc w:val="both"/>
        <w:rPr>
          <w:rFonts w:ascii="Arial" w:hAnsi="Arial" w:cs="Arial"/>
          <w:lang w:eastAsia="fr-FR"/>
        </w:rPr>
      </w:pPr>
      <w:r>
        <w:rPr>
          <w:rFonts w:ascii="Arial" w:hAnsi="Arial" w:cs="Arial"/>
          <w:lang w:eastAsia="fr-FR"/>
        </w:rPr>
        <w:t>N</w:t>
      </w:r>
      <w:r w:rsidR="000171C4" w:rsidRPr="000171C4">
        <w:rPr>
          <w:rFonts w:ascii="Arial" w:hAnsi="Arial" w:cs="Arial"/>
          <w:lang w:eastAsia="fr-FR"/>
        </w:rPr>
        <w:t>aviguer sur internet : entre 5 et 10 Mbps ;</w:t>
      </w:r>
    </w:p>
    <w:p w14:paraId="05E86516" w14:textId="77777777" w:rsidR="000171C4" w:rsidRPr="000171C4" w:rsidRDefault="00CB1F35" w:rsidP="00687DD2">
      <w:pPr>
        <w:pStyle w:val="Paragraphedeliste"/>
        <w:numPr>
          <w:ilvl w:val="0"/>
          <w:numId w:val="78"/>
        </w:numPr>
        <w:spacing w:after="240" w:line="259" w:lineRule="auto"/>
        <w:jc w:val="both"/>
        <w:rPr>
          <w:rFonts w:ascii="Arial" w:hAnsi="Arial" w:cs="Arial"/>
          <w:lang w:eastAsia="fr-FR"/>
        </w:rPr>
      </w:pPr>
      <w:r>
        <w:rPr>
          <w:rFonts w:ascii="Arial" w:hAnsi="Arial" w:cs="Arial"/>
          <w:lang w:eastAsia="fr-FR"/>
        </w:rPr>
        <w:t>C</w:t>
      </w:r>
      <w:r w:rsidR="000171C4" w:rsidRPr="000171C4">
        <w:rPr>
          <w:rFonts w:ascii="Arial" w:hAnsi="Arial" w:cs="Arial"/>
          <w:lang w:eastAsia="fr-FR"/>
        </w:rPr>
        <w:t>onsulter les réseaux sociaux : 10 Mbps ;</w:t>
      </w:r>
    </w:p>
    <w:p w14:paraId="3F7AC2D3" w14:textId="77777777" w:rsidR="000171C4" w:rsidRPr="000171C4" w:rsidRDefault="00CB1F35" w:rsidP="00687DD2">
      <w:pPr>
        <w:pStyle w:val="Paragraphedeliste"/>
        <w:numPr>
          <w:ilvl w:val="0"/>
          <w:numId w:val="78"/>
        </w:numPr>
        <w:spacing w:after="240" w:line="259" w:lineRule="auto"/>
        <w:jc w:val="both"/>
        <w:rPr>
          <w:rFonts w:ascii="Arial" w:hAnsi="Arial" w:cs="Arial"/>
          <w:lang w:eastAsia="fr-FR"/>
        </w:rPr>
      </w:pPr>
      <w:r>
        <w:rPr>
          <w:rFonts w:ascii="Arial" w:hAnsi="Arial" w:cs="Arial"/>
          <w:lang w:eastAsia="fr-FR"/>
        </w:rPr>
        <w:t>R</w:t>
      </w:r>
      <w:r w:rsidR="000171C4" w:rsidRPr="000171C4">
        <w:rPr>
          <w:rFonts w:ascii="Arial" w:hAnsi="Arial" w:cs="Arial"/>
          <w:lang w:eastAsia="fr-FR"/>
        </w:rPr>
        <w:t>éaliser des visioconférences : entre 10 et 20 Mbps ;</w:t>
      </w:r>
    </w:p>
    <w:p w14:paraId="6390FD94" w14:textId="77777777" w:rsidR="000171C4" w:rsidRPr="000171C4" w:rsidRDefault="00CB1F35" w:rsidP="00687DD2">
      <w:pPr>
        <w:pStyle w:val="Paragraphedeliste"/>
        <w:numPr>
          <w:ilvl w:val="0"/>
          <w:numId w:val="78"/>
        </w:numPr>
        <w:spacing w:after="240" w:line="259" w:lineRule="auto"/>
        <w:jc w:val="both"/>
        <w:rPr>
          <w:rFonts w:ascii="Arial" w:hAnsi="Arial" w:cs="Arial"/>
          <w:lang w:eastAsia="fr-FR"/>
        </w:rPr>
      </w:pPr>
      <w:r>
        <w:rPr>
          <w:rFonts w:ascii="Arial" w:hAnsi="Arial" w:cs="Arial"/>
          <w:lang w:eastAsia="fr-FR"/>
        </w:rPr>
        <w:t>R</w:t>
      </w:r>
      <w:r w:rsidR="000171C4" w:rsidRPr="000171C4">
        <w:rPr>
          <w:rFonts w:ascii="Arial" w:hAnsi="Arial" w:cs="Arial"/>
          <w:lang w:eastAsia="fr-FR"/>
        </w:rPr>
        <w:t>egarder des vidéos en streaming HD : entre 10 et 20 Mbps ;</w:t>
      </w:r>
    </w:p>
    <w:p w14:paraId="4C5D0A4E" w14:textId="77777777" w:rsidR="000171C4" w:rsidRPr="000171C4" w:rsidRDefault="00CB1F35" w:rsidP="00687DD2">
      <w:pPr>
        <w:pStyle w:val="Paragraphedeliste"/>
        <w:numPr>
          <w:ilvl w:val="0"/>
          <w:numId w:val="78"/>
        </w:numPr>
        <w:spacing w:after="240" w:line="259" w:lineRule="auto"/>
        <w:jc w:val="both"/>
        <w:rPr>
          <w:rFonts w:ascii="Arial" w:hAnsi="Arial" w:cs="Arial"/>
          <w:lang w:eastAsia="fr-FR"/>
        </w:rPr>
      </w:pPr>
      <w:r>
        <w:rPr>
          <w:rFonts w:ascii="Arial" w:hAnsi="Arial" w:cs="Arial"/>
          <w:lang w:eastAsia="fr-FR"/>
        </w:rPr>
        <w:t>J</w:t>
      </w:r>
      <w:r w:rsidR="000171C4" w:rsidRPr="000171C4">
        <w:rPr>
          <w:rFonts w:ascii="Arial" w:hAnsi="Arial" w:cs="Arial"/>
          <w:lang w:eastAsia="fr-FR"/>
        </w:rPr>
        <w:t>ouer en ligne : entre 25 et 35 Mbps ;</w:t>
      </w:r>
    </w:p>
    <w:p w14:paraId="28612FA0" w14:textId="77777777" w:rsidR="000171C4" w:rsidRPr="000171C4" w:rsidRDefault="00CB1F35" w:rsidP="00687DD2">
      <w:pPr>
        <w:pStyle w:val="Paragraphedeliste"/>
        <w:numPr>
          <w:ilvl w:val="0"/>
          <w:numId w:val="78"/>
        </w:numPr>
        <w:spacing w:after="240" w:line="259" w:lineRule="auto"/>
        <w:jc w:val="both"/>
        <w:rPr>
          <w:rFonts w:ascii="Arial" w:hAnsi="Arial" w:cs="Arial"/>
          <w:lang w:eastAsia="fr-FR"/>
        </w:rPr>
      </w:pPr>
      <w:r>
        <w:rPr>
          <w:rFonts w:ascii="Arial" w:hAnsi="Arial" w:cs="Arial"/>
          <w:lang w:eastAsia="fr-FR"/>
        </w:rPr>
        <w:t>R</w:t>
      </w:r>
      <w:r w:rsidR="000171C4" w:rsidRPr="000171C4">
        <w:rPr>
          <w:rFonts w:ascii="Arial" w:hAnsi="Arial" w:cs="Arial"/>
          <w:lang w:eastAsia="fr-FR"/>
        </w:rPr>
        <w:t>egarder des vidéos 4K en streaming : 35 Mbps.</w:t>
      </w:r>
    </w:p>
    <w:p w14:paraId="336CC612" w14:textId="77777777" w:rsidR="000171C4" w:rsidRPr="000171C4" w:rsidRDefault="000171C4" w:rsidP="000171C4">
      <w:pPr>
        <w:jc w:val="both"/>
        <w:rPr>
          <w:rFonts w:ascii="Arial" w:hAnsi="Arial" w:cs="Arial"/>
        </w:rPr>
      </w:pPr>
      <w:r w:rsidRPr="000171C4">
        <w:rPr>
          <w:rFonts w:ascii="Arial" w:hAnsi="Arial" w:cs="Arial"/>
        </w:rPr>
        <w:t>Les différentes caractéristiques des débits à large bande sont présentées dans le tableau suivant.</w:t>
      </w:r>
    </w:p>
    <w:p w14:paraId="6EF77C2C" w14:textId="77777777" w:rsidR="000171C4" w:rsidRPr="000171C4" w:rsidRDefault="000171C4" w:rsidP="000171C4">
      <w:pPr>
        <w:pStyle w:val="Lgende"/>
        <w:jc w:val="center"/>
        <w:rPr>
          <w:sz w:val="20"/>
        </w:rPr>
      </w:pPr>
      <w:bookmarkStart w:id="201" w:name="_Toc127957798"/>
      <w:r w:rsidRPr="000171C4">
        <w:rPr>
          <w:sz w:val="20"/>
        </w:rPr>
        <w:t xml:space="preserve">Tableau </w:t>
      </w:r>
      <w:r w:rsidRPr="000171C4">
        <w:rPr>
          <w:sz w:val="20"/>
        </w:rPr>
        <w:fldChar w:fldCharType="begin"/>
      </w:r>
      <w:r w:rsidRPr="000171C4">
        <w:rPr>
          <w:sz w:val="20"/>
        </w:rPr>
        <w:instrText xml:space="preserve"> SEQ Tableau \* ARABIC </w:instrText>
      </w:r>
      <w:r w:rsidRPr="000171C4">
        <w:rPr>
          <w:sz w:val="20"/>
        </w:rPr>
        <w:fldChar w:fldCharType="separate"/>
      </w:r>
      <w:r w:rsidR="005430A1">
        <w:rPr>
          <w:noProof/>
          <w:sz w:val="20"/>
        </w:rPr>
        <w:t>2</w:t>
      </w:r>
      <w:r w:rsidRPr="000171C4">
        <w:rPr>
          <w:sz w:val="20"/>
        </w:rPr>
        <w:fldChar w:fldCharType="end"/>
      </w:r>
      <w:r w:rsidRPr="000171C4">
        <w:rPr>
          <w:sz w:val="20"/>
        </w:rPr>
        <w:t>. Exemple de descriptions techniques des technologies 3G, 4G ou 5G</w:t>
      </w:r>
      <w:bookmarkEnd w:id="2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2369"/>
        <w:gridCol w:w="2479"/>
        <w:gridCol w:w="2504"/>
      </w:tblGrid>
      <w:tr w:rsidR="0063584D" w:rsidRPr="007F78CE" w14:paraId="757462F6" w14:textId="77777777" w:rsidTr="007F78CE">
        <w:trPr>
          <w:tblHeader/>
          <w:jc w:val="center"/>
        </w:trPr>
        <w:tc>
          <w:tcPr>
            <w:tcW w:w="1018" w:type="dxa"/>
            <w:shd w:val="clear" w:color="auto" w:fill="auto"/>
            <w:vAlign w:val="center"/>
          </w:tcPr>
          <w:p w14:paraId="2763A9CF" w14:textId="77777777" w:rsidR="000171C4" w:rsidRPr="007F78CE" w:rsidRDefault="000171C4" w:rsidP="007F78CE">
            <w:pPr>
              <w:spacing w:after="0" w:line="240" w:lineRule="auto"/>
              <w:jc w:val="center"/>
              <w:rPr>
                <w:rFonts w:ascii="Arial" w:hAnsi="Arial" w:cs="Arial"/>
                <w:b/>
                <w:bCs/>
              </w:rPr>
            </w:pPr>
            <w:r w:rsidRPr="007F78CE">
              <w:rPr>
                <w:rFonts w:ascii="Arial" w:hAnsi="Arial" w:cs="Arial"/>
                <w:b/>
                <w:bCs/>
                <w:lang w:eastAsia="fr-FR"/>
              </w:rPr>
              <w:t>Réseau</w:t>
            </w:r>
          </w:p>
        </w:tc>
        <w:tc>
          <w:tcPr>
            <w:tcW w:w="2207" w:type="dxa"/>
            <w:shd w:val="clear" w:color="auto" w:fill="auto"/>
            <w:vAlign w:val="center"/>
          </w:tcPr>
          <w:p w14:paraId="35762D90" w14:textId="77777777" w:rsidR="000171C4" w:rsidRPr="007F78CE" w:rsidRDefault="000171C4" w:rsidP="007F78CE">
            <w:pPr>
              <w:spacing w:after="0" w:line="240" w:lineRule="auto"/>
              <w:jc w:val="center"/>
              <w:rPr>
                <w:rFonts w:ascii="Arial" w:hAnsi="Arial" w:cs="Arial"/>
                <w:b/>
                <w:bCs/>
              </w:rPr>
            </w:pPr>
            <w:r w:rsidRPr="007F78CE">
              <w:rPr>
                <w:rFonts w:ascii="Arial" w:hAnsi="Arial" w:cs="Arial"/>
                <w:b/>
                <w:bCs/>
                <w:lang w:eastAsia="fr-FR"/>
              </w:rPr>
              <w:t>Génération</w:t>
            </w:r>
          </w:p>
        </w:tc>
        <w:tc>
          <w:tcPr>
            <w:tcW w:w="2304" w:type="dxa"/>
            <w:shd w:val="clear" w:color="auto" w:fill="auto"/>
            <w:vAlign w:val="center"/>
          </w:tcPr>
          <w:p w14:paraId="11BEAC1B" w14:textId="77777777" w:rsidR="000171C4" w:rsidRPr="007F78CE" w:rsidRDefault="000171C4" w:rsidP="007F78CE">
            <w:pPr>
              <w:spacing w:after="0" w:line="240" w:lineRule="auto"/>
              <w:jc w:val="center"/>
              <w:rPr>
                <w:rFonts w:ascii="Arial" w:hAnsi="Arial" w:cs="Arial"/>
                <w:b/>
                <w:bCs/>
              </w:rPr>
            </w:pPr>
            <w:r w:rsidRPr="007F78CE">
              <w:rPr>
                <w:rFonts w:ascii="Arial" w:hAnsi="Arial" w:cs="Arial"/>
                <w:b/>
                <w:bCs/>
                <w:lang w:eastAsia="fr-FR"/>
              </w:rPr>
              <w:t>Débit</w:t>
            </w:r>
          </w:p>
        </w:tc>
        <w:tc>
          <w:tcPr>
            <w:tcW w:w="2292" w:type="dxa"/>
            <w:shd w:val="clear" w:color="auto" w:fill="auto"/>
          </w:tcPr>
          <w:p w14:paraId="5ADD4386" w14:textId="77777777" w:rsidR="000171C4" w:rsidRPr="007F78CE" w:rsidRDefault="000171C4" w:rsidP="007F78CE">
            <w:pPr>
              <w:spacing w:after="0" w:line="240" w:lineRule="auto"/>
              <w:jc w:val="center"/>
              <w:rPr>
                <w:rFonts w:ascii="Arial" w:hAnsi="Arial" w:cs="Arial"/>
                <w:b/>
                <w:bCs/>
              </w:rPr>
            </w:pPr>
            <w:r w:rsidRPr="007F78CE">
              <w:rPr>
                <w:rFonts w:ascii="Arial" w:hAnsi="Arial" w:cs="Arial"/>
                <w:b/>
                <w:bCs/>
              </w:rPr>
              <w:t>Fréquences</w:t>
            </w:r>
          </w:p>
        </w:tc>
      </w:tr>
      <w:tr w:rsidR="0063584D" w:rsidRPr="007F78CE" w14:paraId="2ABD0392" w14:textId="77777777" w:rsidTr="007F78CE">
        <w:trPr>
          <w:jc w:val="center"/>
        </w:trPr>
        <w:tc>
          <w:tcPr>
            <w:tcW w:w="0" w:type="auto"/>
            <w:vMerge w:val="restart"/>
            <w:shd w:val="clear" w:color="auto" w:fill="auto"/>
            <w:hideMark/>
          </w:tcPr>
          <w:p w14:paraId="0D057E2B" w14:textId="77777777" w:rsidR="000171C4" w:rsidRPr="007F78CE" w:rsidRDefault="000171C4" w:rsidP="007F78CE">
            <w:pPr>
              <w:spacing w:after="0" w:line="240" w:lineRule="auto"/>
              <w:rPr>
                <w:rFonts w:ascii="Arial" w:hAnsi="Arial" w:cs="Arial"/>
                <w:lang w:eastAsia="fr-FR"/>
              </w:rPr>
            </w:pPr>
            <w:r w:rsidRPr="007F78CE">
              <w:rPr>
                <w:rFonts w:ascii="Arial" w:hAnsi="Arial" w:cs="Arial"/>
                <w:lang w:eastAsia="fr-FR"/>
              </w:rPr>
              <w:t>2G</w:t>
            </w:r>
          </w:p>
        </w:tc>
        <w:tc>
          <w:tcPr>
            <w:tcW w:w="0" w:type="auto"/>
            <w:vMerge w:val="restart"/>
            <w:shd w:val="clear" w:color="auto" w:fill="auto"/>
          </w:tcPr>
          <w:p w14:paraId="26C5E268" w14:textId="77777777" w:rsidR="000171C4" w:rsidRPr="007F78CE" w:rsidRDefault="000171C4" w:rsidP="007F78CE">
            <w:pPr>
              <w:spacing w:after="0" w:line="240" w:lineRule="auto"/>
              <w:rPr>
                <w:rFonts w:ascii="Arial" w:hAnsi="Arial" w:cs="Arial"/>
                <w:lang w:eastAsia="fr-FR"/>
              </w:rPr>
            </w:pPr>
            <w:r w:rsidRPr="007F78CE">
              <w:rPr>
                <w:rFonts w:ascii="Arial" w:hAnsi="Arial" w:cs="Arial"/>
              </w:rPr>
              <w:t>Deuxième génération</w:t>
            </w:r>
          </w:p>
        </w:tc>
        <w:tc>
          <w:tcPr>
            <w:tcW w:w="0" w:type="auto"/>
            <w:shd w:val="clear" w:color="auto" w:fill="auto"/>
            <w:hideMark/>
          </w:tcPr>
          <w:p w14:paraId="108B7EC2" w14:textId="77777777" w:rsidR="000171C4" w:rsidRPr="007F78CE" w:rsidRDefault="000171C4" w:rsidP="007F78CE">
            <w:pPr>
              <w:spacing w:after="0" w:line="240" w:lineRule="auto"/>
              <w:rPr>
                <w:rFonts w:ascii="Arial" w:hAnsi="Arial" w:cs="Arial"/>
                <w:lang w:eastAsia="fr-FR"/>
              </w:rPr>
            </w:pPr>
            <w:r w:rsidRPr="007F78CE">
              <w:rPr>
                <w:rFonts w:ascii="Arial" w:hAnsi="Arial" w:cs="Arial"/>
                <w:lang w:eastAsia="fr-FR"/>
              </w:rPr>
              <w:t>9,6Kbit/s</w:t>
            </w:r>
          </w:p>
        </w:tc>
        <w:tc>
          <w:tcPr>
            <w:tcW w:w="0" w:type="auto"/>
            <w:shd w:val="clear" w:color="auto" w:fill="auto"/>
            <w:hideMark/>
          </w:tcPr>
          <w:p w14:paraId="528A9D2F" w14:textId="77777777" w:rsidR="000171C4" w:rsidRPr="007F78CE" w:rsidRDefault="000171C4" w:rsidP="007F78CE">
            <w:pPr>
              <w:spacing w:after="0" w:line="240" w:lineRule="auto"/>
              <w:rPr>
                <w:rFonts w:ascii="Arial" w:hAnsi="Arial" w:cs="Arial"/>
                <w:lang w:eastAsia="fr-FR"/>
              </w:rPr>
            </w:pPr>
            <w:r w:rsidRPr="007F78CE">
              <w:rPr>
                <w:rFonts w:ascii="Arial" w:hAnsi="Arial" w:cs="Arial"/>
                <w:lang w:eastAsia="fr-FR"/>
              </w:rPr>
              <w:t>900 et 1800 MHz</w:t>
            </w:r>
          </w:p>
        </w:tc>
      </w:tr>
      <w:tr w:rsidR="0063584D" w:rsidRPr="007F78CE" w14:paraId="077C7679" w14:textId="77777777" w:rsidTr="007F78CE">
        <w:trPr>
          <w:jc w:val="center"/>
        </w:trPr>
        <w:tc>
          <w:tcPr>
            <w:tcW w:w="0" w:type="auto"/>
            <w:vMerge/>
            <w:shd w:val="clear" w:color="auto" w:fill="auto"/>
          </w:tcPr>
          <w:p w14:paraId="303EB64E" w14:textId="77777777" w:rsidR="000171C4" w:rsidRPr="007F78CE" w:rsidRDefault="000171C4" w:rsidP="007F78CE">
            <w:pPr>
              <w:spacing w:after="0" w:line="240" w:lineRule="auto"/>
              <w:rPr>
                <w:rFonts w:ascii="Arial" w:hAnsi="Arial" w:cs="Arial"/>
                <w:lang w:eastAsia="fr-FR"/>
              </w:rPr>
            </w:pPr>
          </w:p>
        </w:tc>
        <w:tc>
          <w:tcPr>
            <w:tcW w:w="0" w:type="auto"/>
            <w:vMerge/>
            <w:shd w:val="clear" w:color="auto" w:fill="auto"/>
          </w:tcPr>
          <w:p w14:paraId="70E4A600" w14:textId="77777777" w:rsidR="000171C4" w:rsidRPr="007F78CE" w:rsidRDefault="000171C4" w:rsidP="007F78CE">
            <w:pPr>
              <w:spacing w:after="0" w:line="240" w:lineRule="auto"/>
              <w:rPr>
                <w:rFonts w:ascii="Arial" w:hAnsi="Arial" w:cs="Arial"/>
                <w:lang w:eastAsia="fr-FR"/>
              </w:rPr>
            </w:pPr>
          </w:p>
        </w:tc>
        <w:tc>
          <w:tcPr>
            <w:tcW w:w="0" w:type="auto"/>
            <w:shd w:val="clear" w:color="auto" w:fill="auto"/>
            <w:hideMark/>
          </w:tcPr>
          <w:p w14:paraId="0EC13BC6" w14:textId="77777777" w:rsidR="000171C4" w:rsidRPr="007F78CE" w:rsidRDefault="000171C4" w:rsidP="007F78CE">
            <w:pPr>
              <w:spacing w:after="0" w:line="240" w:lineRule="auto"/>
              <w:rPr>
                <w:rFonts w:ascii="Arial" w:hAnsi="Arial" w:cs="Arial"/>
                <w:lang w:eastAsia="fr-FR"/>
              </w:rPr>
            </w:pPr>
            <w:r w:rsidRPr="007F78CE">
              <w:rPr>
                <w:rFonts w:ascii="Arial" w:hAnsi="Arial" w:cs="Arial"/>
                <w:lang w:eastAsia="fr-FR"/>
              </w:rPr>
              <w:t>de 40Kbit/s à 171Kbit/s</w:t>
            </w:r>
          </w:p>
        </w:tc>
        <w:tc>
          <w:tcPr>
            <w:tcW w:w="0" w:type="auto"/>
            <w:shd w:val="clear" w:color="auto" w:fill="auto"/>
            <w:hideMark/>
          </w:tcPr>
          <w:p w14:paraId="261ED274" w14:textId="77777777" w:rsidR="000171C4" w:rsidRPr="007F78CE" w:rsidRDefault="000171C4" w:rsidP="007F78CE">
            <w:pPr>
              <w:spacing w:after="0" w:line="240" w:lineRule="auto"/>
              <w:rPr>
                <w:rFonts w:ascii="Arial" w:hAnsi="Arial" w:cs="Arial"/>
                <w:lang w:eastAsia="fr-FR"/>
              </w:rPr>
            </w:pPr>
            <w:r w:rsidRPr="007F78CE">
              <w:rPr>
                <w:rFonts w:ascii="Arial" w:hAnsi="Arial" w:cs="Arial"/>
                <w:lang w:eastAsia="fr-FR"/>
              </w:rPr>
              <w:t>900 et 1800 MHz</w:t>
            </w:r>
          </w:p>
        </w:tc>
      </w:tr>
      <w:tr w:rsidR="0063584D" w:rsidRPr="007F78CE" w14:paraId="7EF238BD" w14:textId="77777777" w:rsidTr="007F78CE">
        <w:trPr>
          <w:trHeight w:val="262"/>
          <w:jc w:val="center"/>
        </w:trPr>
        <w:tc>
          <w:tcPr>
            <w:tcW w:w="0" w:type="auto"/>
            <w:vMerge/>
            <w:shd w:val="clear" w:color="auto" w:fill="auto"/>
          </w:tcPr>
          <w:p w14:paraId="4CD9BAA0" w14:textId="77777777" w:rsidR="000171C4" w:rsidRPr="007F78CE" w:rsidRDefault="000171C4" w:rsidP="007F78CE">
            <w:pPr>
              <w:spacing w:after="0" w:line="240" w:lineRule="auto"/>
              <w:rPr>
                <w:rFonts w:ascii="Arial" w:hAnsi="Arial" w:cs="Arial"/>
                <w:lang w:eastAsia="fr-FR"/>
              </w:rPr>
            </w:pPr>
          </w:p>
        </w:tc>
        <w:tc>
          <w:tcPr>
            <w:tcW w:w="0" w:type="auto"/>
            <w:vMerge/>
            <w:shd w:val="clear" w:color="auto" w:fill="auto"/>
          </w:tcPr>
          <w:p w14:paraId="57D96E94" w14:textId="77777777" w:rsidR="000171C4" w:rsidRPr="007F78CE" w:rsidRDefault="000171C4" w:rsidP="007F78CE">
            <w:pPr>
              <w:spacing w:after="0" w:line="240" w:lineRule="auto"/>
              <w:rPr>
                <w:rFonts w:ascii="Arial" w:hAnsi="Arial" w:cs="Arial"/>
                <w:lang w:eastAsia="fr-FR"/>
              </w:rPr>
            </w:pPr>
          </w:p>
        </w:tc>
        <w:tc>
          <w:tcPr>
            <w:tcW w:w="0" w:type="auto"/>
            <w:shd w:val="clear" w:color="auto" w:fill="auto"/>
            <w:hideMark/>
          </w:tcPr>
          <w:p w14:paraId="4B741788" w14:textId="77777777" w:rsidR="000171C4" w:rsidRPr="007F78CE" w:rsidRDefault="000171C4" w:rsidP="007F78CE">
            <w:pPr>
              <w:spacing w:after="0" w:line="240" w:lineRule="auto"/>
              <w:rPr>
                <w:rFonts w:ascii="Arial" w:hAnsi="Arial" w:cs="Arial"/>
                <w:lang w:eastAsia="fr-FR"/>
              </w:rPr>
            </w:pPr>
            <w:r w:rsidRPr="007F78CE">
              <w:rPr>
                <w:rFonts w:ascii="Arial" w:hAnsi="Arial" w:cs="Arial"/>
                <w:lang w:eastAsia="fr-FR"/>
              </w:rPr>
              <w:t>1,9Mbit/s</w:t>
            </w:r>
          </w:p>
        </w:tc>
        <w:tc>
          <w:tcPr>
            <w:tcW w:w="0" w:type="auto"/>
            <w:shd w:val="clear" w:color="auto" w:fill="auto"/>
            <w:hideMark/>
          </w:tcPr>
          <w:p w14:paraId="3FB7883C" w14:textId="77777777" w:rsidR="000171C4" w:rsidRPr="007F78CE" w:rsidRDefault="000171C4" w:rsidP="007F78CE">
            <w:pPr>
              <w:spacing w:after="0" w:line="240" w:lineRule="auto"/>
              <w:rPr>
                <w:rFonts w:ascii="Arial" w:hAnsi="Arial" w:cs="Arial"/>
                <w:lang w:eastAsia="fr-FR"/>
              </w:rPr>
            </w:pPr>
            <w:r w:rsidRPr="007F78CE">
              <w:rPr>
                <w:rFonts w:ascii="Arial" w:hAnsi="Arial" w:cs="Arial"/>
                <w:lang w:eastAsia="fr-FR"/>
              </w:rPr>
              <w:t>1900 et 2100 MHz</w:t>
            </w:r>
          </w:p>
        </w:tc>
      </w:tr>
      <w:tr w:rsidR="0063584D" w:rsidRPr="007F78CE" w14:paraId="6FFF27FE" w14:textId="77777777" w:rsidTr="007F78CE">
        <w:trPr>
          <w:jc w:val="center"/>
        </w:trPr>
        <w:tc>
          <w:tcPr>
            <w:tcW w:w="0" w:type="auto"/>
            <w:vMerge w:val="restart"/>
            <w:shd w:val="clear" w:color="auto" w:fill="auto"/>
            <w:hideMark/>
          </w:tcPr>
          <w:p w14:paraId="2D77ADC9" w14:textId="77777777" w:rsidR="000171C4" w:rsidRPr="007F78CE" w:rsidRDefault="000171C4" w:rsidP="007F78CE">
            <w:pPr>
              <w:spacing w:after="0" w:line="240" w:lineRule="auto"/>
              <w:rPr>
                <w:rFonts w:ascii="Arial" w:hAnsi="Arial" w:cs="Arial"/>
                <w:lang w:eastAsia="fr-FR"/>
              </w:rPr>
            </w:pPr>
            <w:r w:rsidRPr="007F78CE">
              <w:rPr>
                <w:rFonts w:ascii="Arial" w:hAnsi="Arial" w:cs="Arial"/>
                <w:lang w:eastAsia="fr-FR"/>
              </w:rPr>
              <w:t>3G</w:t>
            </w:r>
          </w:p>
        </w:tc>
        <w:tc>
          <w:tcPr>
            <w:tcW w:w="0" w:type="auto"/>
            <w:vMerge w:val="restart"/>
            <w:shd w:val="clear" w:color="auto" w:fill="auto"/>
          </w:tcPr>
          <w:p w14:paraId="6352CD10" w14:textId="77777777" w:rsidR="000171C4" w:rsidRPr="007F78CE" w:rsidRDefault="000171C4" w:rsidP="007F78CE">
            <w:pPr>
              <w:spacing w:after="0" w:line="240" w:lineRule="auto"/>
              <w:rPr>
                <w:rFonts w:ascii="Arial" w:hAnsi="Arial" w:cs="Arial"/>
                <w:lang w:eastAsia="fr-FR"/>
              </w:rPr>
            </w:pPr>
            <w:r w:rsidRPr="007F78CE">
              <w:rPr>
                <w:rFonts w:ascii="Arial" w:hAnsi="Arial" w:cs="Arial"/>
              </w:rPr>
              <w:t>Troisième génération</w:t>
            </w:r>
          </w:p>
        </w:tc>
        <w:tc>
          <w:tcPr>
            <w:tcW w:w="0" w:type="auto"/>
            <w:shd w:val="clear" w:color="auto" w:fill="auto"/>
            <w:hideMark/>
          </w:tcPr>
          <w:p w14:paraId="7A91BEDE" w14:textId="77777777" w:rsidR="000171C4" w:rsidRPr="007F78CE" w:rsidRDefault="000171C4" w:rsidP="007F78CE">
            <w:pPr>
              <w:spacing w:after="0" w:line="240" w:lineRule="auto"/>
              <w:rPr>
                <w:rFonts w:ascii="Arial" w:hAnsi="Arial" w:cs="Arial"/>
                <w:lang w:eastAsia="fr-FR"/>
              </w:rPr>
            </w:pPr>
            <w:r w:rsidRPr="007F78CE">
              <w:rPr>
                <w:rFonts w:ascii="Arial" w:hAnsi="Arial" w:cs="Arial"/>
                <w:lang w:eastAsia="fr-FR"/>
              </w:rPr>
              <w:t>1,9Mbit/s</w:t>
            </w:r>
          </w:p>
        </w:tc>
        <w:tc>
          <w:tcPr>
            <w:tcW w:w="0" w:type="auto"/>
            <w:shd w:val="clear" w:color="auto" w:fill="auto"/>
            <w:hideMark/>
          </w:tcPr>
          <w:p w14:paraId="4454459B" w14:textId="77777777" w:rsidR="000171C4" w:rsidRPr="007F78CE" w:rsidRDefault="000171C4" w:rsidP="007F78CE">
            <w:pPr>
              <w:spacing w:after="0" w:line="240" w:lineRule="auto"/>
              <w:rPr>
                <w:rFonts w:ascii="Arial" w:hAnsi="Arial" w:cs="Arial"/>
                <w:lang w:eastAsia="fr-FR"/>
              </w:rPr>
            </w:pPr>
            <w:r w:rsidRPr="007F78CE">
              <w:rPr>
                <w:rFonts w:ascii="Arial" w:hAnsi="Arial" w:cs="Arial"/>
                <w:lang w:eastAsia="fr-FR"/>
              </w:rPr>
              <w:t>1900 et 2100 MHz</w:t>
            </w:r>
          </w:p>
        </w:tc>
      </w:tr>
      <w:tr w:rsidR="0063584D" w:rsidRPr="007F78CE" w14:paraId="10E0EF60" w14:textId="77777777" w:rsidTr="007F78CE">
        <w:trPr>
          <w:jc w:val="center"/>
        </w:trPr>
        <w:tc>
          <w:tcPr>
            <w:tcW w:w="0" w:type="auto"/>
            <w:vMerge/>
            <w:shd w:val="clear" w:color="auto" w:fill="auto"/>
            <w:hideMark/>
          </w:tcPr>
          <w:p w14:paraId="2AAE2F90" w14:textId="77777777" w:rsidR="000171C4" w:rsidRPr="007F78CE" w:rsidRDefault="000171C4" w:rsidP="007F78CE">
            <w:pPr>
              <w:spacing w:after="0" w:line="240" w:lineRule="auto"/>
              <w:rPr>
                <w:rFonts w:ascii="Arial" w:hAnsi="Arial" w:cs="Arial"/>
                <w:lang w:eastAsia="fr-FR"/>
              </w:rPr>
            </w:pPr>
          </w:p>
        </w:tc>
        <w:tc>
          <w:tcPr>
            <w:tcW w:w="0" w:type="auto"/>
            <w:vMerge/>
            <w:shd w:val="clear" w:color="auto" w:fill="auto"/>
          </w:tcPr>
          <w:p w14:paraId="77637D8D" w14:textId="77777777" w:rsidR="000171C4" w:rsidRPr="007F78CE" w:rsidRDefault="000171C4" w:rsidP="007F78CE">
            <w:pPr>
              <w:spacing w:after="0" w:line="240" w:lineRule="auto"/>
              <w:rPr>
                <w:rFonts w:ascii="Arial" w:hAnsi="Arial" w:cs="Arial"/>
                <w:lang w:eastAsia="fr-FR"/>
              </w:rPr>
            </w:pPr>
          </w:p>
        </w:tc>
        <w:tc>
          <w:tcPr>
            <w:tcW w:w="0" w:type="auto"/>
            <w:shd w:val="clear" w:color="auto" w:fill="auto"/>
            <w:hideMark/>
          </w:tcPr>
          <w:p w14:paraId="3ED48D0C" w14:textId="77777777" w:rsidR="000171C4" w:rsidRPr="007F78CE" w:rsidRDefault="000171C4" w:rsidP="007F78CE">
            <w:pPr>
              <w:spacing w:after="0" w:line="240" w:lineRule="auto"/>
              <w:rPr>
                <w:rFonts w:ascii="Arial" w:hAnsi="Arial" w:cs="Arial"/>
                <w:lang w:eastAsia="fr-FR"/>
              </w:rPr>
            </w:pPr>
            <w:r w:rsidRPr="007F78CE">
              <w:rPr>
                <w:rFonts w:ascii="Arial" w:hAnsi="Arial" w:cs="Arial"/>
                <w:lang w:eastAsia="fr-FR"/>
              </w:rPr>
              <w:t>42Mbit/s</w:t>
            </w:r>
          </w:p>
        </w:tc>
        <w:tc>
          <w:tcPr>
            <w:tcW w:w="0" w:type="auto"/>
            <w:shd w:val="clear" w:color="auto" w:fill="auto"/>
            <w:hideMark/>
          </w:tcPr>
          <w:p w14:paraId="7B33E4E4" w14:textId="77777777" w:rsidR="000171C4" w:rsidRPr="007F78CE" w:rsidRDefault="000171C4" w:rsidP="007F78CE">
            <w:pPr>
              <w:spacing w:after="0" w:line="240" w:lineRule="auto"/>
              <w:rPr>
                <w:rFonts w:ascii="Arial" w:hAnsi="Arial" w:cs="Arial"/>
                <w:lang w:eastAsia="fr-FR"/>
              </w:rPr>
            </w:pPr>
            <w:r w:rsidRPr="007F78CE">
              <w:rPr>
                <w:rFonts w:ascii="Arial" w:hAnsi="Arial" w:cs="Arial"/>
                <w:lang w:eastAsia="fr-FR"/>
              </w:rPr>
              <w:t>1900 et 2100 MHz</w:t>
            </w:r>
          </w:p>
        </w:tc>
      </w:tr>
      <w:tr w:rsidR="0063584D" w:rsidRPr="007F78CE" w14:paraId="0A26FEB5" w14:textId="77777777" w:rsidTr="007F78CE">
        <w:trPr>
          <w:jc w:val="center"/>
        </w:trPr>
        <w:tc>
          <w:tcPr>
            <w:tcW w:w="0" w:type="auto"/>
            <w:vMerge w:val="restart"/>
            <w:shd w:val="clear" w:color="auto" w:fill="auto"/>
            <w:hideMark/>
          </w:tcPr>
          <w:p w14:paraId="204BE2C2" w14:textId="77777777" w:rsidR="000171C4" w:rsidRPr="007F78CE" w:rsidRDefault="000171C4" w:rsidP="007F78CE">
            <w:pPr>
              <w:spacing w:after="0" w:line="240" w:lineRule="auto"/>
              <w:rPr>
                <w:rFonts w:ascii="Arial" w:hAnsi="Arial" w:cs="Arial"/>
                <w:lang w:eastAsia="fr-FR"/>
              </w:rPr>
            </w:pPr>
            <w:r w:rsidRPr="007F78CE">
              <w:rPr>
                <w:rFonts w:ascii="Arial" w:hAnsi="Arial" w:cs="Arial"/>
                <w:lang w:eastAsia="fr-FR"/>
              </w:rPr>
              <w:t>4G</w:t>
            </w:r>
          </w:p>
        </w:tc>
        <w:tc>
          <w:tcPr>
            <w:tcW w:w="0" w:type="auto"/>
            <w:vMerge w:val="restart"/>
            <w:shd w:val="clear" w:color="auto" w:fill="auto"/>
          </w:tcPr>
          <w:p w14:paraId="1A46FEC0" w14:textId="77777777" w:rsidR="000171C4" w:rsidRPr="007F78CE" w:rsidRDefault="000171C4" w:rsidP="007F78CE">
            <w:pPr>
              <w:spacing w:after="0" w:line="240" w:lineRule="auto"/>
              <w:rPr>
                <w:rFonts w:ascii="Arial" w:hAnsi="Arial" w:cs="Arial"/>
                <w:lang w:eastAsia="fr-FR"/>
              </w:rPr>
            </w:pPr>
            <w:r w:rsidRPr="007F78CE">
              <w:rPr>
                <w:rFonts w:ascii="Arial" w:hAnsi="Arial" w:cs="Arial"/>
              </w:rPr>
              <w:t>Quatrième génération</w:t>
            </w:r>
          </w:p>
        </w:tc>
        <w:tc>
          <w:tcPr>
            <w:tcW w:w="0" w:type="auto"/>
            <w:shd w:val="clear" w:color="auto" w:fill="auto"/>
            <w:hideMark/>
          </w:tcPr>
          <w:p w14:paraId="30A7D029" w14:textId="77777777" w:rsidR="000171C4" w:rsidRPr="007F78CE" w:rsidRDefault="000171C4" w:rsidP="007F78CE">
            <w:pPr>
              <w:spacing w:after="0" w:line="240" w:lineRule="auto"/>
              <w:rPr>
                <w:rFonts w:ascii="Arial" w:hAnsi="Arial" w:cs="Arial"/>
                <w:lang w:eastAsia="fr-FR"/>
              </w:rPr>
            </w:pPr>
            <w:r w:rsidRPr="007F78CE">
              <w:rPr>
                <w:rFonts w:ascii="Arial" w:hAnsi="Arial" w:cs="Arial"/>
                <w:lang w:eastAsia="fr-FR"/>
              </w:rPr>
              <w:t>150Mbit/s</w:t>
            </w:r>
          </w:p>
        </w:tc>
        <w:tc>
          <w:tcPr>
            <w:tcW w:w="0" w:type="auto"/>
            <w:shd w:val="clear" w:color="auto" w:fill="auto"/>
            <w:hideMark/>
          </w:tcPr>
          <w:p w14:paraId="30E98884" w14:textId="77777777" w:rsidR="000171C4" w:rsidRPr="007F78CE" w:rsidRDefault="000171C4" w:rsidP="007F78CE">
            <w:pPr>
              <w:spacing w:after="0" w:line="240" w:lineRule="auto"/>
              <w:rPr>
                <w:rFonts w:ascii="Arial" w:hAnsi="Arial" w:cs="Arial"/>
                <w:lang w:eastAsia="fr-FR"/>
              </w:rPr>
            </w:pPr>
            <w:r w:rsidRPr="007F78CE">
              <w:rPr>
                <w:rFonts w:ascii="Arial" w:hAnsi="Arial" w:cs="Arial"/>
                <w:lang w:eastAsia="fr-FR"/>
              </w:rPr>
              <w:t>800, 1800 et 2600 MHz</w:t>
            </w:r>
          </w:p>
        </w:tc>
      </w:tr>
      <w:tr w:rsidR="0063584D" w:rsidRPr="007F78CE" w14:paraId="468C6BC9" w14:textId="77777777" w:rsidTr="007F78CE">
        <w:trPr>
          <w:jc w:val="center"/>
        </w:trPr>
        <w:tc>
          <w:tcPr>
            <w:tcW w:w="0" w:type="auto"/>
            <w:vMerge/>
            <w:shd w:val="clear" w:color="auto" w:fill="auto"/>
            <w:hideMark/>
          </w:tcPr>
          <w:p w14:paraId="15061590" w14:textId="77777777" w:rsidR="000171C4" w:rsidRPr="007F78CE" w:rsidRDefault="000171C4" w:rsidP="007F78CE">
            <w:pPr>
              <w:spacing w:after="0" w:line="240" w:lineRule="auto"/>
              <w:rPr>
                <w:rFonts w:ascii="Arial" w:hAnsi="Arial" w:cs="Arial"/>
                <w:lang w:eastAsia="fr-FR"/>
              </w:rPr>
            </w:pPr>
          </w:p>
        </w:tc>
        <w:tc>
          <w:tcPr>
            <w:tcW w:w="0" w:type="auto"/>
            <w:vMerge/>
            <w:shd w:val="clear" w:color="auto" w:fill="auto"/>
          </w:tcPr>
          <w:p w14:paraId="2575E472" w14:textId="77777777" w:rsidR="000171C4" w:rsidRPr="007F78CE" w:rsidRDefault="000171C4" w:rsidP="007F78CE">
            <w:pPr>
              <w:spacing w:after="0" w:line="240" w:lineRule="auto"/>
              <w:rPr>
                <w:rFonts w:ascii="Arial" w:hAnsi="Arial" w:cs="Arial"/>
                <w:lang w:eastAsia="fr-FR"/>
              </w:rPr>
            </w:pPr>
          </w:p>
        </w:tc>
        <w:tc>
          <w:tcPr>
            <w:tcW w:w="0" w:type="auto"/>
            <w:shd w:val="clear" w:color="auto" w:fill="auto"/>
            <w:hideMark/>
          </w:tcPr>
          <w:p w14:paraId="36C9A68E" w14:textId="77777777" w:rsidR="000171C4" w:rsidRPr="007F78CE" w:rsidRDefault="000171C4" w:rsidP="007F78CE">
            <w:pPr>
              <w:spacing w:after="0" w:line="240" w:lineRule="auto"/>
              <w:rPr>
                <w:rFonts w:ascii="Arial" w:hAnsi="Arial" w:cs="Arial"/>
                <w:lang w:eastAsia="fr-FR"/>
              </w:rPr>
            </w:pPr>
            <w:r w:rsidRPr="007F78CE">
              <w:rPr>
                <w:rFonts w:ascii="Arial" w:hAnsi="Arial" w:cs="Arial"/>
                <w:lang w:eastAsia="fr-FR"/>
              </w:rPr>
              <w:t>1Gbit/s</w:t>
            </w:r>
          </w:p>
        </w:tc>
        <w:tc>
          <w:tcPr>
            <w:tcW w:w="0" w:type="auto"/>
            <w:shd w:val="clear" w:color="auto" w:fill="auto"/>
            <w:hideMark/>
          </w:tcPr>
          <w:p w14:paraId="710777D0" w14:textId="77777777" w:rsidR="000171C4" w:rsidRPr="007F78CE" w:rsidRDefault="000171C4" w:rsidP="007F78CE">
            <w:pPr>
              <w:spacing w:after="0" w:line="240" w:lineRule="auto"/>
              <w:rPr>
                <w:rFonts w:ascii="Arial" w:hAnsi="Arial" w:cs="Arial"/>
                <w:lang w:eastAsia="fr-FR"/>
              </w:rPr>
            </w:pPr>
            <w:r w:rsidRPr="007F78CE">
              <w:rPr>
                <w:rFonts w:ascii="Arial" w:hAnsi="Arial" w:cs="Arial"/>
                <w:lang w:eastAsia="fr-FR"/>
              </w:rPr>
              <w:t>800, 1800 et 2600 MHz</w:t>
            </w:r>
          </w:p>
        </w:tc>
      </w:tr>
      <w:tr w:rsidR="0063584D" w:rsidRPr="007F78CE" w14:paraId="660C39ED" w14:textId="77777777" w:rsidTr="007F78CE">
        <w:trPr>
          <w:jc w:val="center"/>
        </w:trPr>
        <w:tc>
          <w:tcPr>
            <w:tcW w:w="0" w:type="auto"/>
            <w:shd w:val="clear" w:color="auto" w:fill="auto"/>
            <w:hideMark/>
          </w:tcPr>
          <w:p w14:paraId="140FD65D" w14:textId="77777777" w:rsidR="000171C4" w:rsidRPr="007F78CE" w:rsidRDefault="000171C4" w:rsidP="007F78CE">
            <w:pPr>
              <w:spacing w:after="0" w:line="240" w:lineRule="auto"/>
              <w:rPr>
                <w:rFonts w:ascii="Arial" w:hAnsi="Arial" w:cs="Arial"/>
                <w:lang w:eastAsia="fr-FR"/>
              </w:rPr>
            </w:pPr>
            <w:r w:rsidRPr="007F78CE">
              <w:rPr>
                <w:rFonts w:ascii="Arial" w:hAnsi="Arial" w:cs="Arial"/>
                <w:lang w:eastAsia="fr-FR"/>
              </w:rPr>
              <w:t>5G</w:t>
            </w:r>
          </w:p>
        </w:tc>
        <w:tc>
          <w:tcPr>
            <w:tcW w:w="0" w:type="auto"/>
            <w:shd w:val="clear" w:color="auto" w:fill="auto"/>
            <w:hideMark/>
          </w:tcPr>
          <w:p w14:paraId="3E9F672E" w14:textId="77777777" w:rsidR="000171C4" w:rsidRPr="007F78CE" w:rsidRDefault="000171C4" w:rsidP="007F78CE">
            <w:pPr>
              <w:spacing w:after="0" w:line="240" w:lineRule="auto"/>
              <w:rPr>
                <w:rFonts w:ascii="Arial" w:hAnsi="Arial" w:cs="Arial"/>
                <w:lang w:eastAsia="fr-FR"/>
              </w:rPr>
            </w:pPr>
            <w:r w:rsidRPr="007F78CE">
              <w:rPr>
                <w:rFonts w:ascii="Arial" w:hAnsi="Arial" w:cs="Arial"/>
                <w:lang w:eastAsia="fr-FR"/>
              </w:rPr>
              <w:t>Cinquième génération</w:t>
            </w:r>
          </w:p>
        </w:tc>
        <w:tc>
          <w:tcPr>
            <w:tcW w:w="0" w:type="auto"/>
            <w:shd w:val="clear" w:color="auto" w:fill="auto"/>
            <w:hideMark/>
          </w:tcPr>
          <w:p w14:paraId="04462ECD" w14:textId="77777777" w:rsidR="000171C4" w:rsidRPr="007F78CE" w:rsidRDefault="000171C4" w:rsidP="007F78CE">
            <w:pPr>
              <w:spacing w:after="0" w:line="240" w:lineRule="auto"/>
              <w:rPr>
                <w:rFonts w:ascii="Arial" w:hAnsi="Arial" w:cs="Arial"/>
                <w:lang w:eastAsia="fr-FR"/>
              </w:rPr>
            </w:pPr>
            <w:r w:rsidRPr="007F78CE">
              <w:rPr>
                <w:rFonts w:ascii="Arial" w:hAnsi="Arial" w:cs="Arial"/>
                <w:lang w:eastAsia="fr-FR"/>
              </w:rPr>
              <w:t>10 Gbit/s</w:t>
            </w:r>
          </w:p>
        </w:tc>
        <w:tc>
          <w:tcPr>
            <w:tcW w:w="0" w:type="auto"/>
            <w:shd w:val="clear" w:color="auto" w:fill="auto"/>
            <w:hideMark/>
          </w:tcPr>
          <w:p w14:paraId="137E0ED8" w14:textId="77777777" w:rsidR="000171C4" w:rsidRPr="007F78CE" w:rsidRDefault="000171C4" w:rsidP="007F78CE">
            <w:pPr>
              <w:spacing w:after="0" w:line="240" w:lineRule="auto"/>
              <w:rPr>
                <w:rFonts w:ascii="Arial" w:hAnsi="Arial" w:cs="Arial"/>
                <w:lang w:eastAsia="fr-FR"/>
              </w:rPr>
            </w:pPr>
            <w:r w:rsidRPr="007F78CE">
              <w:rPr>
                <w:rFonts w:ascii="Arial" w:hAnsi="Arial" w:cs="Arial"/>
                <w:lang w:eastAsia="fr-FR"/>
              </w:rPr>
              <w:t>700, 2100 et 3500 MHz</w:t>
            </w:r>
          </w:p>
        </w:tc>
      </w:tr>
    </w:tbl>
    <w:p w14:paraId="7E17218B" w14:textId="77777777" w:rsidR="000171C4" w:rsidRDefault="000171C4" w:rsidP="000171C4">
      <w:pPr>
        <w:rPr>
          <w:rFonts w:cs="Calibri"/>
        </w:rPr>
      </w:pPr>
    </w:p>
    <w:p w14:paraId="586ED9A4" w14:textId="77777777" w:rsidR="000171C4" w:rsidRPr="000171C4" w:rsidRDefault="000171C4" w:rsidP="0044500E">
      <w:pPr>
        <w:pStyle w:val="TIT40"/>
        <w:numPr>
          <w:ilvl w:val="3"/>
          <w:numId w:val="177"/>
        </w:numPr>
        <w:outlineLvl w:val="3"/>
      </w:pPr>
      <w:bookmarkStart w:id="202" w:name="_Toc124314640"/>
      <w:bookmarkStart w:id="203" w:name="_Toc124956118"/>
      <w:bookmarkStart w:id="204" w:name="_Toc125384517"/>
      <w:bookmarkStart w:id="205" w:name="_Toc125384906"/>
      <w:bookmarkStart w:id="206" w:name="_Toc127957578"/>
      <w:r w:rsidRPr="000171C4">
        <w:t>Valeurs limites d’exposition aux ondes électromagnétiques</w:t>
      </w:r>
      <w:bookmarkEnd w:id="202"/>
      <w:bookmarkEnd w:id="203"/>
      <w:bookmarkEnd w:id="204"/>
      <w:bookmarkEnd w:id="205"/>
      <w:bookmarkEnd w:id="206"/>
    </w:p>
    <w:p w14:paraId="2FA04411" w14:textId="77777777" w:rsidR="000171C4" w:rsidRPr="00F1516D" w:rsidRDefault="000171C4" w:rsidP="000171C4">
      <w:pPr>
        <w:jc w:val="both"/>
        <w:rPr>
          <w:rFonts w:ascii="Arial" w:hAnsi="Arial" w:cs="Arial"/>
        </w:rPr>
      </w:pPr>
      <w:r w:rsidRPr="00F1516D">
        <w:rPr>
          <w:rFonts w:ascii="Arial" w:hAnsi="Arial" w:cs="Arial"/>
        </w:rPr>
        <w:t>Pour une station de base de téléphonie mobile, l’ensemble du corps est exposé. Le paramètre de mesure est le niveau du champ électrique. Les valeurs limites à ne pas dépasser sont :</w:t>
      </w:r>
    </w:p>
    <w:p w14:paraId="326011B3" w14:textId="77777777" w:rsidR="000171C4" w:rsidRPr="00F1516D" w:rsidRDefault="000171C4" w:rsidP="00687DD2">
      <w:pPr>
        <w:pStyle w:val="Paragraphedeliste"/>
        <w:numPr>
          <w:ilvl w:val="0"/>
          <w:numId w:val="75"/>
        </w:numPr>
        <w:spacing w:after="240" w:line="259" w:lineRule="auto"/>
        <w:jc w:val="both"/>
        <w:rPr>
          <w:rFonts w:ascii="Arial" w:hAnsi="Arial" w:cs="Arial"/>
        </w:rPr>
      </w:pPr>
      <w:r w:rsidRPr="00F1516D">
        <w:rPr>
          <w:rFonts w:ascii="Arial" w:hAnsi="Arial" w:cs="Arial"/>
        </w:rPr>
        <w:t>pour une antenne GSM 900 : 41 V/m (</w:t>
      </w:r>
      <w:r w:rsidRPr="00F1516D">
        <w:rPr>
          <w:rStyle w:val="Appelnotedebasdep"/>
          <w:rFonts w:ascii="Arial" w:hAnsi="Arial" w:cs="Arial"/>
        </w:rPr>
        <w:footnoteReference w:id="16"/>
      </w:r>
      <w:r w:rsidRPr="00F1516D">
        <w:rPr>
          <w:rFonts w:ascii="Arial" w:hAnsi="Arial" w:cs="Arial"/>
        </w:rPr>
        <w:t>)</w:t>
      </w:r>
    </w:p>
    <w:p w14:paraId="2A93CB7B" w14:textId="77777777" w:rsidR="000171C4" w:rsidRPr="00F1516D" w:rsidRDefault="000171C4" w:rsidP="00687DD2">
      <w:pPr>
        <w:pStyle w:val="Paragraphedeliste"/>
        <w:numPr>
          <w:ilvl w:val="0"/>
          <w:numId w:val="75"/>
        </w:numPr>
        <w:spacing w:after="240" w:line="259" w:lineRule="auto"/>
        <w:jc w:val="both"/>
        <w:rPr>
          <w:rFonts w:ascii="Arial" w:hAnsi="Arial" w:cs="Arial"/>
        </w:rPr>
      </w:pPr>
      <w:r w:rsidRPr="00F1516D">
        <w:rPr>
          <w:rFonts w:ascii="Arial" w:hAnsi="Arial" w:cs="Arial"/>
        </w:rPr>
        <w:t>pour une antenne GSM 1800 : 58 V/m</w:t>
      </w:r>
    </w:p>
    <w:p w14:paraId="02F20428" w14:textId="77777777" w:rsidR="000171C4" w:rsidRPr="00F1516D" w:rsidRDefault="000171C4" w:rsidP="00687DD2">
      <w:pPr>
        <w:pStyle w:val="Paragraphedeliste"/>
        <w:numPr>
          <w:ilvl w:val="0"/>
          <w:numId w:val="75"/>
        </w:numPr>
        <w:spacing w:after="240" w:line="259" w:lineRule="auto"/>
        <w:jc w:val="both"/>
        <w:rPr>
          <w:rFonts w:ascii="Arial" w:hAnsi="Arial" w:cs="Arial"/>
        </w:rPr>
      </w:pPr>
      <w:r w:rsidRPr="00F1516D">
        <w:rPr>
          <w:rFonts w:ascii="Arial" w:hAnsi="Arial" w:cs="Arial"/>
        </w:rPr>
        <w:t>pour une antenne UMTS (</w:t>
      </w:r>
      <w:r w:rsidRPr="00F1516D">
        <w:rPr>
          <w:rFonts w:ascii="Arial" w:hAnsi="Arial" w:cs="Arial"/>
          <w:shd w:val="clear" w:color="auto" w:fill="FFFFFF"/>
        </w:rPr>
        <w:t>Universal Mobile Télécommunications System)</w:t>
      </w:r>
      <w:r w:rsidRPr="00F1516D">
        <w:rPr>
          <w:rFonts w:ascii="Arial" w:hAnsi="Arial" w:cs="Arial"/>
        </w:rPr>
        <w:t xml:space="preserve"> : 61 V/m</w:t>
      </w:r>
    </w:p>
    <w:p w14:paraId="1996172D" w14:textId="77777777" w:rsidR="000171C4" w:rsidRPr="00F1516D" w:rsidRDefault="000171C4" w:rsidP="00687DD2">
      <w:pPr>
        <w:pStyle w:val="Paragraphedeliste"/>
        <w:numPr>
          <w:ilvl w:val="0"/>
          <w:numId w:val="75"/>
        </w:numPr>
        <w:spacing w:after="240" w:line="259" w:lineRule="auto"/>
        <w:jc w:val="both"/>
        <w:rPr>
          <w:rFonts w:ascii="Arial" w:hAnsi="Arial" w:cs="Arial"/>
        </w:rPr>
      </w:pPr>
      <w:r w:rsidRPr="00F1516D">
        <w:rPr>
          <w:rFonts w:ascii="Arial" w:hAnsi="Arial" w:cs="Arial"/>
        </w:rPr>
        <w:t>pour le wifi : 61 V/m</w:t>
      </w:r>
    </w:p>
    <w:p w14:paraId="2E03C602" w14:textId="77777777" w:rsidR="000171C4" w:rsidRPr="00F1516D" w:rsidRDefault="000171C4" w:rsidP="000171C4">
      <w:pPr>
        <w:jc w:val="both"/>
        <w:rPr>
          <w:rFonts w:ascii="Arial" w:hAnsi="Arial" w:cs="Arial"/>
        </w:rPr>
      </w:pPr>
      <w:r w:rsidRPr="00F1516D">
        <w:rPr>
          <w:rFonts w:ascii="Arial" w:hAnsi="Arial" w:cs="Arial"/>
        </w:rPr>
        <w:t>Les niveaux d’exposition du public aux ondes sont globalement nettement inférieurs aux limites réglementaires en vigueur. Telle est la conclusion de l’Autorité de R</w:t>
      </w:r>
      <w:r w:rsidR="00AD5792">
        <w:rPr>
          <w:rFonts w:ascii="Arial" w:hAnsi="Arial" w:cs="Arial"/>
        </w:rPr>
        <w:t>é</w:t>
      </w:r>
      <w:r w:rsidRPr="00F1516D">
        <w:rPr>
          <w:rFonts w:ascii="Arial" w:hAnsi="Arial" w:cs="Arial"/>
        </w:rPr>
        <w:t xml:space="preserve">gulation des </w:t>
      </w:r>
      <w:r w:rsidRPr="00F1516D">
        <w:rPr>
          <w:rFonts w:ascii="Arial" w:hAnsi="Arial" w:cs="Arial"/>
        </w:rPr>
        <w:lastRenderedPageBreak/>
        <w:t>T</w:t>
      </w:r>
      <w:r w:rsidR="00AD5792">
        <w:rPr>
          <w:rFonts w:ascii="Arial" w:hAnsi="Arial" w:cs="Arial"/>
        </w:rPr>
        <w:t>E</w:t>
      </w:r>
      <w:r w:rsidRPr="00F1516D">
        <w:rPr>
          <w:rFonts w:ascii="Arial" w:hAnsi="Arial" w:cs="Arial"/>
        </w:rPr>
        <w:t xml:space="preserve">chnologies de Communication (ARTEC), qui a dévoilé les conclusions de sa campagne de mesure pendant leurs descentes sur </w:t>
      </w:r>
      <w:r w:rsidR="007A4ABD">
        <w:rPr>
          <w:rFonts w:ascii="Arial" w:hAnsi="Arial" w:cs="Arial"/>
        </w:rPr>
        <w:t xml:space="preserve">le </w:t>
      </w:r>
      <w:r w:rsidRPr="00F1516D">
        <w:rPr>
          <w:rFonts w:ascii="Arial" w:hAnsi="Arial" w:cs="Arial"/>
        </w:rPr>
        <w:t>terrain</w:t>
      </w:r>
      <w:r w:rsidR="0008787B">
        <w:rPr>
          <w:rStyle w:val="Appelnotedebasdep"/>
          <w:rFonts w:ascii="Arial" w:hAnsi="Arial" w:cs="Arial"/>
        </w:rPr>
        <w:footnoteReference w:id="17"/>
      </w:r>
      <w:r w:rsidRPr="00F1516D">
        <w:rPr>
          <w:rFonts w:ascii="Arial" w:hAnsi="Arial" w:cs="Arial"/>
        </w:rPr>
        <w:t>.</w:t>
      </w:r>
    </w:p>
    <w:p w14:paraId="61D00F18" w14:textId="77777777" w:rsidR="000171C4" w:rsidRPr="007F78CE" w:rsidRDefault="000171C4" w:rsidP="0044500E">
      <w:pPr>
        <w:pStyle w:val="TIT2"/>
        <w:numPr>
          <w:ilvl w:val="1"/>
          <w:numId w:val="177"/>
        </w:numPr>
      </w:pPr>
      <w:bookmarkStart w:id="207" w:name="_Toc124314641"/>
      <w:bookmarkStart w:id="208" w:name="_Toc124956119"/>
      <w:bookmarkStart w:id="209" w:name="_Toc125384518"/>
      <w:bookmarkStart w:id="210" w:name="_Toc125384907"/>
      <w:bookmarkStart w:id="211" w:name="_Toc127957579"/>
      <w:r w:rsidRPr="007F78CE">
        <w:t>Culture numérique et sensibilisation</w:t>
      </w:r>
      <w:bookmarkEnd w:id="207"/>
      <w:bookmarkEnd w:id="208"/>
      <w:bookmarkEnd w:id="209"/>
      <w:bookmarkEnd w:id="210"/>
      <w:bookmarkEnd w:id="211"/>
    </w:p>
    <w:p w14:paraId="05DFF9CB" w14:textId="77777777" w:rsidR="000171C4" w:rsidRPr="00F1516D" w:rsidRDefault="000171C4" w:rsidP="000171C4">
      <w:pPr>
        <w:jc w:val="both"/>
        <w:rPr>
          <w:rFonts w:ascii="Arial" w:hAnsi="Arial" w:cs="Arial"/>
        </w:rPr>
      </w:pPr>
      <w:r w:rsidRPr="00F1516D">
        <w:rPr>
          <w:rFonts w:ascii="Arial" w:hAnsi="Arial" w:cs="Arial"/>
        </w:rPr>
        <w:t>La culture numérique est une expression qui fait référence aux changements culturels produits par les développements et la diffusion des technologies numériques et en particulier d’Internet et du web.</w:t>
      </w:r>
    </w:p>
    <w:p w14:paraId="7C7E8DB3" w14:textId="77777777" w:rsidR="000171C4" w:rsidRPr="00F1516D" w:rsidRDefault="000171C4" w:rsidP="000171C4">
      <w:pPr>
        <w:jc w:val="both"/>
        <w:rPr>
          <w:rFonts w:ascii="Arial" w:hAnsi="Arial" w:cs="Arial"/>
        </w:rPr>
      </w:pPr>
      <w:r w:rsidRPr="00F1516D">
        <w:rPr>
          <w:rFonts w:ascii="Arial" w:hAnsi="Arial" w:cs="Arial"/>
        </w:rPr>
        <w:t>La culture numérique est complètement différente de l'accès numérique. Elle ne concerne pas les personnes qui n'ont pas accès à l'internet ou qui n'ont pas d'ordinateurs à mettre en réseau. Diffuser la culture numérique, c'est vouloir faire connaître l'internet et créer une demande pour celui-ci, et apprendre aux gens à utiliser les appareils et le support numérique afin qu'ils puissent exploiter leur potentiel une fois qu'ils y ont accès.</w:t>
      </w:r>
    </w:p>
    <w:p w14:paraId="1E0F0BA2" w14:textId="77777777" w:rsidR="000171C4" w:rsidRPr="000171C4" w:rsidRDefault="000171C4" w:rsidP="0044500E">
      <w:pPr>
        <w:pStyle w:val="TIT3"/>
        <w:numPr>
          <w:ilvl w:val="2"/>
          <w:numId w:val="177"/>
        </w:numPr>
      </w:pPr>
      <w:bookmarkStart w:id="212" w:name="_Toc124314642"/>
      <w:bookmarkStart w:id="213" w:name="_Toc124956120"/>
      <w:bookmarkStart w:id="214" w:name="_Toc125384519"/>
      <w:bookmarkStart w:id="215" w:name="_Toc125384908"/>
      <w:bookmarkStart w:id="216" w:name="_Toc127957580"/>
      <w:r w:rsidRPr="000171C4">
        <w:t>Alphabétisation numérique</w:t>
      </w:r>
      <w:bookmarkEnd w:id="212"/>
      <w:bookmarkEnd w:id="213"/>
      <w:bookmarkEnd w:id="214"/>
      <w:bookmarkEnd w:id="215"/>
      <w:bookmarkEnd w:id="216"/>
    </w:p>
    <w:p w14:paraId="423E0637" w14:textId="77777777" w:rsidR="000171C4" w:rsidRPr="00F1516D" w:rsidRDefault="000171C4" w:rsidP="000171C4">
      <w:pPr>
        <w:jc w:val="both"/>
        <w:rPr>
          <w:rFonts w:ascii="Arial" w:hAnsi="Arial" w:cs="Arial"/>
        </w:rPr>
      </w:pPr>
      <w:r w:rsidRPr="00F1516D">
        <w:rPr>
          <w:rFonts w:ascii="Arial" w:hAnsi="Arial" w:cs="Arial"/>
        </w:rPr>
        <w:t>L'alphabétisation numérique désigne la capacité à utiliser des technologies de toutes sortes, qu'il s'agisse d'internet, d'un smartphone, d'un ordinateur ou d'une tablette. Comme l'indique le mot "alphabétisation", elle implique une sorte de connaissance de base ou la capacité d'utiliser le support numérique. Cependant, la culture numérique ne se limite pas à savoir comment utiliser l'internet</w:t>
      </w:r>
      <w:r w:rsidR="002D4A3D">
        <w:rPr>
          <w:rFonts w:ascii="Arial" w:hAnsi="Arial" w:cs="Arial"/>
        </w:rPr>
        <w:t>.</w:t>
      </w:r>
    </w:p>
    <w:p w14:paraId="608146F1" w14:textId="77777777" w:rsidR="000171C4" w:rsidRPr="00F1516D" w:rsidRDefault="000171C4" w:rsidP="000171C4">
      <w:pPr>
        <w:jc w:val="both"/>
        <w:rPr>
          <w:rFonts w:ascii="Arial" w:hAnsi="Arial" w:cs="Arial"/>
        </w:rPr>
      </w:pPr>
      <w:r w:rsidRPr="00F1516D">
        <w:rPr>
          <w:rFonts w:ascii="Arial" w:hAnsi="Arial" w:cs="Arial"/>
        </w:rPr>
        <w:t>On peut synthéti</w:t>
      </w:r>
      <w:r w:rsidR="00273A72">
        <w:rPr>
          <w:rFonts w:ascii="Arial" w:hAnsi="Arial" w:cs="Arial"/>
        </w:rPr>
        <w:t>ser</w:t>
      </w:r>
      <w:r w:rsidRPr="00F1516D">
        <w:rPr>
          <w:rFonts w:ascii="Arial" w:hAnsi="Arial" w:cs="Arial"/>
        </w:rPr>
        <w:t xml:space="preserve"> par </w:t>
      </w:r>
      <w:r w:rsidR="007A4ABD">
        <w:rPr>
          <w:rFonts w:ascii="Arial" w:hAnsi="Arial" w:cs="Arial"/>
        </w:rPr>
        <w:t>la</w:t>
      </w:r>
      <w:r w:rsidR="007A4ABD" w:rsidRPr="00F1516D">
        <w:rPr>
          <w:rFonts w:ascii="Arial" w:hAnsi="Arial" w:cs="Arial"/>
        </w:rPr>
        <w:t xml:space="preserve"> </w:t>
      </w:r>
      <w:r w:rsidRPr="00F1516D">
        <w:rPr>
          <w:rFonts w:ascii="Arial" w:hAnsi="Arial" w:cs="Arial"/>
        </w:rPr>
        <w:t>figure ci-dessous l’alphabétisation numérique.</w:t>
      </w:r>
    </w:p>
    <w:p w14:paraId="5A8B7905" w14:textId="5945332A" w:rsidR="000171C4" w:rsidRPr="00F828CE" w:rsidRDefault="00E97ECD" w:rsidP="000171C4">
      <w:pPr>
        <w:pStyle w:val="Default"/>
        <w:spacing w:after="120"/>
        <w:jc w:val="both"/>
        <w:rPr>
          <w:rFonts w:ascii="Calibri" w:hAnsi="Calibri" w:cs="Calibri"/>
          <w:sz w:val="22"/>
          <w:szCs w:val="22"/>
        </w:rPr>
      </w:pPr>
      <w:r w:rsidRPr="00977215">
        <w:rPr>
          <w:noProof/>
          <w:lang w:eastAsia="fr-FR"/>
        </w:rPr>
        <w:drawing>
          <wp:inline distT="0" distB="0" distL="0" distR="0" wp14:anchorId="6A386DD7" wp14:editId="027EE5DE">
            <wp:extent cx="5486400" cy="3228975"/>
            <wp:effectExtent l="0" t="0" r="0" b="0"/>
            <wp:docPr id="17" name="Diagramm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e 57"/>
                    <pic:cNvPicPr>
                      <a:picLocks noChangeArrowheads="1"/>
                    </pic:cNvPicPr>
                  </pic:nvPicPr>
                  <pic:blipFill>
                    <a:blip r:embed="rId29">
                      <a:extLst>
                        <a:ext uri="{28A0092B-C50C-407E-A947-70E740481C1C}">
                          <a14:useLocalDpi xmlns:a14="http://schemas.microsoft.com/office/drawing/2010/main" val="0"/>
                        </a:ext>
                      </a:extLst>
                    </a:blip>
                    <a:srcRect l="-14671" r="-14671"/>
                    <a:stretch>
                      <a:fillRect/>
                    </a:stretch>
                  </pic:blipFill>
                  <pic:spPr bwMode="auto">
                    <a:xfrm>
                      <a:off x="0" y="0"/>
                      <a:ext cx="5486400" cy="3228975"/>
                    </a:xfrm>
                    <a:prstGeom prst="rect">
                      <a:avLst/>
                    </a:prstGeom>
                    <a:noFill/>
                    <a:ln>
                      <a:noFill/>
                    </a:ln>
                  </pic:spPr>
                </pic:pic>
              </a:graphicData>
            </a:graphic>
          </wp:inline>
        </w:drawing>
      </w:r>
    </w:p>
    <w:p w14:paraId="33AE9D1E" w14:textId="77777777" w:rsidR="000171C4" w:rsidRPr="000171C4" w:rsidRDefault="000171C4" w:rsidP="000171C4">
      <w:pPr>
        <w:pStyle w:val="Lgende"/>
        <w:jc w:val="center"/>
        <w:rPr>
          <w:color w:val="auto"/>
          <w:sz w:val="22"/>
        </w:rPr>
      </w:pPr>
      <w:bookmarkStart w:id="217" w:name="_Toc125402455"/>
      <w:r w:rsidRPr="000171C4">
        <w:rPr>
          <w:color w:val="auto"/>
          <w:sz w:val="22"/>
        </w:rPr>
        <w:t xml:space="preserve">Figure </w:t>
      </w:r>
      <w:r w:rsidRPr="000171C4">
        <w:rPr>
          <w:color w:val="auto"/>
          <w:sz w:val="22"/>
        </w:rPr>
        <w:fldChar w:fldCharType="begin"/>
      </w:r>
      <w:r w:rsidRPr="000171C4">
        <w:rPr>
          <w:color w:val="auto"/>
          <w:sz w:val="22"/>
        </w:rPr>
        <w:instrText xml:space="preserve"> SEQ Figure \* ARABIC </w:instrText>
      </w:r>
      <w:r w:rsidRPr="000171C4">
        <w:rPr>
          <w:color w:val="auto"/>
          <w:sz w:val="22"/>
        </w:rPr>
        <w:fldChar w:fldCharType="separate"/>
      </w:r>
      <w:r w:rsidR="000D22D0">
        <w:rPr>
          <w:noProof/>
          <w:color w:val="auto"/>
          <w:sz w:val="22"/>
        </w:rPr>
        <w:t>13</w:t>
      </w:r>
      <w:r w:rsidRPr="000171C4">
        <w:rPr>
          <w:color w:val="auto"/>
          <w:sz w:val="22"/>
        </w:rPr>
        <w:fldChar w:fldCharType="end"/>
      </w:r>
      <w:r w:rsidRPr="000171C4">
        <w:rPr>
          <w:color w:val="auto"/>
          <w:sz w:val="22"/>
        </w:rPr>
        <w:t xml:space="preserve"> : Principes </w:t>
      </w:r>
      <w:r w:rsidR="002156F0">
        <w:rPr>
          <w:color w:val="auto"/>
          <w:sz w:val="22"/>
        </w:rPr>
        <w:t>de l’</w:t>
      </w:r>
      <w:r w:rsidRPr="000171C4">
        <w:rPr>
          <w:color w:val="auto"/>
          <w:sz w:val="22"/>
        </w:rPr>
        <w:t>alphabétisation numérique</w:t>
      </w:r>
      <w:bookmarkEnd w:id="217"/>
    </w:p>
    <w:p w14:paraId="4CCE5BBE" w14:textId="77777777" w:rsidR="000171C4" w:rsidRDefault="000171C4" w:rsidP="000171C4"/>
    <w:p w14:paraId="23A26BAE" w14:textId="77777777" w:rsidR="000171C4" w:rsidRPr="000171C4" w:rsidRDefault="000171C4" w:rsidP="0044500E">
      <w:pPr>
        <w:pStyle w:val="TIT3"/>
        <w:numPr>
          <w:ilvl w:val="2"/>
          <w:numId w:val="177"/>
        </w:numPr>
      </w:pPr>
      <w:bookmarkStart w:id="218" w:name="_Toc124314643"/>
      <w:bookmarkStart w:id="219" w:name="_Toc124956121"/>
      <w:bookmarkStart w:id="220" w:name="_Toc125384520"/>
      <w:bookmarkStart w:id="221" w:name="_Toc125384909"/>
      <w:bookmarkStart w:id="222" w:name="_Toc127957581"/>
      <w:r w:rsidRPr="000171C4">
        <w:lastRenderedPageBreak/>
        <w:t>Sensibilisation</w:t>
      </w:r>
      <w:bookmarkEnd w:id="218"/>
      <w:bookmarkEnd w:id="219"/>
      <w:bookmarkEnd w:id="220"/>
      <w:bookmarkEnd w:id="221"/>
      <w:bookmarkEnd w:id="222"/>
      <w:r w:rsidRPr="000171C4">
        <w:t xml:space="preserve"> </w:t>
      </w:r>
    </w:p>
    <w:p w14:paraId="2909BC04" w14:textId="77777777" w:rsidR="000171C4" w:rsidRPr="000171C4" w:rsidRDefault="000171C4" w:rsidP="000171C4">
      <w:pPr>
        <w:jc w:val="both"/>
        <w:rPr>
          <w:rFonts w:ascii="Arial" w:hAnsi="Arial" w:cs="Arial"/>
        </w:rPr>
      </w:pPr>
      <w:r w:rsidRPr="000171C4">
        <w:rPr>
          <w:rFonts w:ascii="Arial" w:hAnsi="Arial" w:cs="Arial"/>
        </w:rPr>
        <w:t>La sensibilisation a pour mission de contribuer à réduire la fracture numérique et</w:t>
      </w:r>
      <w:r w:rsidR="002156F0">
        <w:rPr>
          <w:rFonts w:ascii="Arial" w:hAnsi="Arial" w:cs="Arial"/>
        </w:rPr>
        <w:t xml:space="preserve"> à promouvoir</w:t>
      </w:r>
      <w:r w:rsidRPr="000171C4">
        <w:rPr>
          <w:rFonts w:ascii="Arial" w:hAnsi="Arial" w:cs="Arial"/>
        </w:rPr>
        <w:t xml:space="preserve"> l’utilisation des appareils TIC et les services numériques. Le principe et l’objectif de la sensibilisation </w:t>
      </w:r>
      <w:r w:rsidR="002156F0">
        <w:rPr>
          <w:rFonts w:ascii="Arial" w:hAnsi="Arial" w:cs="Arial"/>
        </w:rPr>
        <w:t>sont</w:t>
      </w:r>
      <w:r w:rsidR="002156F0" w:rsidRPr="000171C4">
        <w:rPr>
          <w:rFonts w:ascii="Arial" w:hAnsi="Arial" w:cs="Arial"/>
        </w:rPr>
        <w:t xml:space="preserve"> </w:t>
      </w:r>
      <w:r w:rsidRPr="000171C4">
        <w:rPr>
          <w:rFonts w:ascii="Arial" w:hAnsi="Arial" w:cs="Arial"/>
        </w:rPr>
        <w:t>représentés dans la figure suivante</w:t>
      </w:r>
      <w:r w:rsidR="002156F0">
        <w:rPr>
          <w:rFonts w:ascii="Arial" w:hAnsi="Arial" w:cs="Arial"/>
        </w:rPr>
        <w:t> :</w:t>
      </w:r>
    </w:p>
    <w:p w14:paraId="757EBC11" w14:textId="36D3AF34" w:rsidR="000171C4" w:rsidRDefault="00E97ECD" w:rsidP="000171C4">
      <w:pPr>
        <w:pStyle w:val="Default"/>
        <w:spacing w:after="120"/>
        <w:jc w:val="center"/>
        <w:rPr>
          <w:sz w:val="22"/>
          <w:szCs w:val="22"/>
        </w:rPr>
      </w:pPr>
      <w:r w:rsidRPr="00FB04F6">
        <w:rPr>
          <w:noProof/>
          <w:sz w:val="22"/>
          <w:szCs w:val="22"/>
          <w:lang w:eastAsia="fr-FR"/>
        </w:rPr>
        <w:drawing>
          <wp:inline distT="0" distB="0" distL="0" distR="0" wp14:anchorId="11DAC76C" wp14:editId="3B07D719">
            <wp:extent cx="4476750" cy="2714625"/>
            <wp:effectExtent l="0" t="0" r="0" b="0"/>
            <wp:docPr id="18" name="Diagramm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e 58"/>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6750" cy="2714625"/>
                    </a:xfrm>
                    <a:prstGeom prst="rect">
                      <a:avLst/>
                    </a:prstGeom>
                    <a:noFill/>
                    <a:ln>
                      <a:noFill/>
                    </a:ln>
                  </pic:spPr>
                </pic:pic>
              </a:graphicData>
            </a:graphic>
          </wp:inline>
        </w:drawing>
      </w:r>
    </w:p>
    <w:p w14:paraId="1A01D77B" w14:textId="77777777" w:rsidR="000171C4" w:rsidRPr="000171C4" w:rsidRDefault="000171C4" w:rsidP="000171C4">
      <w:pPr>
        <w:pStyle w:val="Lgende"/>
        <w:jc w:val="center"/>
        <w:rPr>
          <w:color w:val="auto"/>
          <w:sz w:val="22"/>
        </w:rPr>
      </w:pPr>
      <w:bookmarkStart w:id="223" w:name="_Toc125402456"/>
      <w:r w:rsidRPr="000171C4">
        <w:rPr>
          <w:color w:val="auto"/>
          <w:sz w:val="22"/>
        </w:rPr>
        <w:t xml:space="preserve">Figure </w:t>
      </w:r>
      <w:r w:rsidRPr="000171C4">
        <w:rPr>
          <w:color w:val="auto"/>
          <w:sz w:val="22"/>
        </w:rPr>
        <w:fldChar w:fldCharType="begin"/>
      </w:r>
      <w:r w:rsidRPr="000171C4">
        <w:rPr>
          <w:color w:val="auto"/>
          <w:sz w:val="22"/>
        </w:rPr>
        <w:instrText xml:space="preserve"> SEQ Figure \* ARABIC </w:instrText>
      </w:r>
      <w:r w:rsidRPr="000171C4">
        <w:rPr>
          <w:color w:val="auto"/>
          <w:sz w:val="22"/>
        </w:rPr>
        <w:fldChar w:fldCharType="separate"/>
      </w:r>
      <w:r w:rsidR="000D22D0">
        <w:rPr>
          <w:noProof/>
          <w:color w:val="auto"/>
          <w:sz w:val="22"/>
        </w:rPr>
        <w:t>14</w:t>
      </w:r>
      <w:r w:rsidRPr="000171C4">
        <w:rPr>
          <w:color w:val="auto"/>
          <w:sz w:val="22"/>
        </w:rPr>
        <w:fldChar w:fldCharType="end"/>
      </w:r>
      <w:r w:rsidRPr="000171C4">
        <w:rPr>
          <w:color w:val="auto"/>
          <w:sz w:val="22"/>
        </w:rPr>
        <w:t>. Objectifs de la sensibilisation</w:t>
      </w:r>
      <w:bookmarkEnd w:id="223"/>
    </w:p>
    <w:p w14:paraId="53B45489" w14:textId="77777777" w:rsidR="000171C4" w:rsidRDefault="000171C4" w:rsidP="00B434A6">
      <w:pPr>
        <w:spacing w:after="0"/>
      </w:pPr>
    </w:p>
    <w:p w14:paraId="481BF737" w14:textId="77777777" w:rsidR="000171C4" w:rsidRPr="000171C4" w:rsidRDefault="000171C4" w:rsidP="0044500E">
      <w:pPr>
        <w:pStyle w:val="TIT3"/>
        <w:numPr>
          <w:ilvl w:val="2"/>
          <w:numId w:val="177"/>
        </w:numPr>
        <w:spacing w:before="120" w:beforeAutospacing="0" w:after="100"/>
      </w:pPr>
      <w:bookmarkStart w:id="224" w:name="_Toc124314644"/>
      <w:bookmarkStart w:id="225" w:name="_Toc124956122"/>
      <w:bookmarkStart w:id="226" w:name="_Toc125384521"/>
      <w:bookmarkStart w:id="227" w:name="_Toc125384910"/>
      <w:bookmarkStart w:id="228" w:name="_Toc127957582"/>
      <w:r w:rsidRPr="000171C4">
        <w:t xml:space="preserve">Actions </w:t>
      </w:r>
      <w:r w:rsidR="002D4A3D">
        <w:t xml:space="preserve">à </w:t>
      </w:r>
      <w:r w:rsidRPr="000171C4">
        <w:t>men</w:t>
      </w:r>
      <w:bookmarkEnd w:id="224"/>
      <w:r w:rsidR="002D4A3D">
        <w:t>er</w:t>
      </w:r>
      <w:bookmarkEnd w:id="225"/>
      <w:bookmarkEnd w:id="226"/>
      <w:bookmarkEnd w:id="227"/>
      <w:bookmarkEnd w:id="228"/>
    </w:p>
    <w:p w14:paraId="73E7E4F3" w14:textId="77777777" w:rsidR="000171C4" w:rsidRPr="000171C4" w:rsidRDefault="000171C4" w:rsidP="000171C4">
      <w:pPr>
        <w:pStyle w:val="Default"/>
        <w:spacing w:after="120"/>
        <w:jc w:val="both"/>
        <w:rPr>
          <w:color w:val="141412"/>
          <w:sz w:val="22"/>
          <w:szCs w:val="22"/>
          <w:shd w:val="clear" w:color="auto" w:fill="FFFFFF"/>
        </w:rPr>
      </w:pPr>
      <w:r w:rsidRPr="000171C4">
        <w:rPr>
          <w:color w:val="141412"/>
          <w:sz w:val="22"/>
          <w:szCs w:val="22"/>
          <w:shd w:val="clear" w:color="auto" w:fill="FFFFFF"/>
        </w:rPr>
        <w:t xml:space="preserve">Pour mener à bien l’alphabétisation numérique et la sensibilisation sur l’inclusion de la numérique, les actions suivantes sont à </w:t>
      </w:r>
      <w:r w:rsidR="002156F0">
        <w:rPr>
          <w:color w:val="141412"/>
          <w:sz w:val="22"/>
          <w:szCs w:val="22"/>
          <w:shd w:val="clear" w:color="auto" w:fill="FFFFFF"/>
        </w:rPr>
        <w:t>considérer</w:t>
      </w:r>
      <w:r w:rsidRPr="000171C4">
        <w:rPr>
          <w:color w:val="141412"/>
          <w:sz w:val="22"/>
          <w:szCs w:val="22"/>
          <w:shd w:val="clear" w:color="auto" w:fill="FFFFFF"/>
        </w:rPr>
        <w:t xml:space="preserve">. </w:t>
      </w:r>
    </w:p>
    <w:p w14:paraId="224734AB" w14:textId="77777777" w:rsidR="000171C4" w:rsidRPr="000171C4" w:rsidRDefault="000171C4" w:rsidP="002D4A3D">
      <w:pPr>
        <w:pStyle w:val="Default"/>
        <w:numPr>
          <w:ilvl w:val="0"/>
          <w:numId w:val="79"/>
        </w:numPr>
        <w:spacing w:after="120"/>
        <w:ind w:firstLine="284"/>
        <w:jc w:val="both"/>
        <w:rPr>
          <w:color w:val="141412"/>
          <w:sz w:val="22"/>
          <w:szCs w:val="22"/>
          <w:shd w:val="clear" w:color="auto" w:fill="FFFFFF"/>
        </w:rPr>
      </w:pPr>
      <w:r w:rsidRPr="000171C4">
        <w:rPr>
          <w:color w:val="141412"/>
          <w:sz w:val="22"/>
          <w:szCs w:val="22"/>
          <w:shd w:val="clear" w:color="auto" w:fill="FFFFFF"/>
        </w:rPr>
        <w:t>Aide personnalisée</w:t>
      </w:r>
      <w:r w:rsidR="002D4A3D">
        <w:rPr>
          <w:color w:val="141412"/>
          <w:sz w:val="22"/>
          <w:szCs w:val="22"/>
          <w:shd w:val="clear" w:color="auto" w:fill="FFFFFF"/>
        </w:rPr>
        <w:t> :</w:t>
      </w:r>
    </w:p>
    <w:p w14:paraId="20BC374D" w14:textId="77777777" w:rsidR="000171C4" w:rsidRPr="000171C4" w:rsidRDefault="000171C4" w:rsidP="00687DD2">
      <w:pPr>
        <w:pStyle w:val="Default"/>
        <w:numPr>
          <w:ilvl w:val="0"/>
          <w:numId w:val="80"/>
        </w:numPr>
        <w:spacing w:after="120"/>
        <w:jc w:val="both"/>
        <w:rPr>
          <w:color w:val="141412"/>
          <w:sz w:val="22"/>
          <w:szCs w:val="22"/>
          <w:shd w:val="clear" w:color="auto" w:fill="FFFFFF"/>
        </w:rPr>
      </w:pPr>
      <w:r w:rsidRPr="000171C4">
        <w:rPr>
          <w:color w:val="141412"/>
          <w:sz w:val="22"/>
          <w:szCs w:val="22"/>
          <w:shd w:val="clear" w:color="auto" w:fill="FFFFFF"/>
        </w:rPr>
        <w:t>En fournissant, au cas par cas, une assistante individuelle pour la recherche d’une formation appropriée et/ou d’une connexion internet avec un débit satisfaisant,</w:t>
      </w:r>
    </w:p>
    <w:p w14:paraId="6FA23AC5" w14:textId="77777777" w:rsidR="000171C4" w:rsidRPr="000171C4" w:rsidRDefault="000171C4" w:rsidP="00687DD2">
      <w:pPr>
        <w:pStyle w:val="Default"/>
        <w:numPr>
          <w:ilvl w:val="0"/>
          <w:numId w:val="80"/>
        </w:numPr>
        <w:spacing w:after="120"/>
        <w:jc w:val="both"/>
        <w:rPr>
          <w:color w:val="141412"/>
          <w:sz w:val="22"/>
          <w:szCs w:val="22"/>
          <w:shd w:val="clear" w:color="auto" w:fill="FFFFFF"/>
        </w:rPr>
      </w:pPr>
      <w:r w:rsidRPr="000171C4">
        <w:rPr>
          <w:color w:val="141412"/>
          <w:sz w:val="22"/>
          <w:szCs w:val="22"/>
          <w:shd w:val="clear" w:color="auto" w:fill="FFFFFF"/>
        </w:rPr>
        <w:t>En aidant les collectivités et les associations à rapprocher les populations éloignées du numérique des structures existantes de formations et d’assistance, et le cas échéant, à faire émerger de nouvelles solutions</w:t>
      </w:r>
      <w:r w:rsidR="002156F0">
        <w:rPr>
          <w:color w:val="141412"/>
          <w:sz w:val="22"/>
          <w:szCs w:val="22"/>
          <w:shd w:val="clear" w:color="auto" w:fill="FFFFFF"/>
        </w:rPr>
        <w:t> ;</w:t>
      </w:r>
    </w:p>
    <w:p w14:paraId="3DB58171" w14:textId="77777777" w:rsidR="000171C4" w:rsidRPr="000171C4" w:rsidRDefault="000171C4" w:rsidP="002D4A3D">
      <w:pPr>
        <w:pStyle w:val="Default"/>
        <w:numPr>
          <w:ilvl w:val="0"/>
          <w:numId w:val="79"/>
        </w:numPr>
        <w:spacing w:after="120"/>
        <w:ind w:firstLine="284"/>
        <w:jc w:val="both"/>
        <w:rPr>
          <w:color w:val="141412"/>
          <w:sz w:val="22"/>
          <w:szCs w:val="22"/>
          <w:shd w:val="clear" w:color="auto" w:fill="FFFFFF"/>
        </w:rPr>
      </w:pPr>
      <w:r w:rsidRPr="000171C4">
        <w:rPr>
          <w:color w:val="141412"/>
          <w:sz w:val="22"/>
          <w:szCs w:val="22"/>
          <w:shd w:val="clear" w:color="auto" w:fill="FFFFFF"/>
        </w:rPr>
        <w:t>Animation de réunions publiques : au service des organismes impliqués dans la lutte contre la fracture numérique</w:t>
      </w:r>
      <w:r w:rsidR="007A4ABD">
        <w:rPr>
          <w:color w:val="141412"/>
          <w:sz w:val="22"/>
          <w:szCs w:val="22"/>
          <w:shd w:val="clear" w:color="auto" w:fill="FFFFFF"/>
        </w:rPr>
        <w:t> ;</w:t>
      </w:r>
    </w:p>
    <w:p w14:paraId="773398D9" w14:textId="77777777" w:rsidR="000171C4" w:rsidRPr="000171C4" w:rsidRDefault="000171C4" w:rsidP="002D4A3D">
      <w:pPr>
        <w:pStyle w:val="Default"/>
        <w:numPr>
          <w:ilvl w:val="0"/>
          <w:numId w:val="79"/>
        </w:numPr>
        <w:spacing w:after="120"/>
        <w:ind w:firstLine="284"/>
        <w:jc w:val="both"/>
        <w:rPr>
          <w:color w:val="141412"/>
          <w:sz w:val="22"/>
          <w:szCs w:val="22"/>
          <w:shd w:val="clear" w:color="auto" w:fill="FFFFFF"/>
        </w:rPr>
      </w:pPr>
      <w:r w:rsidRPr="000171C4">
        <w:rPr>
          <w:color w:val="141412"/>
          <w:sz w:val="22"/>
          <w:szCs w:val="22"/>
          <w:shd w:val="clear" w:color="auto" w:fill="FFFFFF"/>
        </w:rPr>
        <w:t>Veille informationnelle</w:t>
      </w:r>
      <w:r w:rsidR="002D4A3D">
        <w:rPr>
          <w:color w:val="141412"/>
          <w:sz w:val="22"/>
          <w:szCs w:val="22"/>
          <w:shd w:val="clear" w:color="auto" w:fill="FFFFFF"/>
        </w:rPr>
        <w:t> :</w:t>
      </w:r>
    </w:p>
    <w:p w14:paraId="117BC401" w14:textId="77777777" w:rsidR="000171C4" w:rsidRPr="000171C4" w:rsidRDefault="000171C4" w:rsidP="00687DD2">
      <w:pPr>
        <w:pStyle w:val="Default"/>
        <w:numPr>
          <w:ilvl w:val="0"/>
          <w:numId w:val="81"/>
        </w:numPr>
        <w:spacing w:after="120"/>
        <w:jc w:val="both"/>
        <w:rPr>
          <w:color w:val="141412"/>
          <w:sz w:val="22"/>
          <w:szCs w:val="22"/>
          <w:shd w:val="clear" w:color="auto" w:fill="FFFFFF"/>
        </w:rPr>
      </w:pPr>
      <w:r w:rsidRPr="000171C4">
        <w:rPr>
          <w:color w:val="141412"/>
          <w:sz w:val="22"/>
          <w:szCs w:val="22"/>
          <w:shd w:val="clear" w:color="auto" w:fill="FFFFFF"/>
        </w:rPr>
        <w:t>Veille informationnelle auprès des institutions et des entités en charge de la réduction de la fracture numérique au niveau national dans le but de recenser les structures locales existantes impliquées dans la lutte contre la fracture numérique.</w:t>
      </w:r>
    </w:p>
    <w:p w14:paraId="541B27EA" w14:textId="77777777" w:rsidR="000171C4" w:rsidRPr="000171C4" w:rsidRDefault="000171C4" w:rsidP="00687DD2">
      <w:pPr>
        <w:pStyle w:val="Default"/>
        <w:numPr>
          <w:ilvl w:val="0"/>
          <w:numId w:val="81"/>
        </w:numPr>
        <w:spacing w:after="120"/>
        <w:jc w:val="both"/>
        <w:rPr>
          <w:sz w:val="22"/>
          <w:szCs w:val="22"/>
        </w:rPr>
      </w:pPr>
      <w:r w:rsidRPr="000171C4">
        <w:rPr>
          <w:color w:val="141412"/>
          <w:sz w:val="22"/>
          <w:szCs w:val="22"/>
          <w:shd w:val="clear" w:color="auto" w:fill="FFFFFF"/>
        </w:rPr>
        <w:t xml:space="preserve">Information donnée </w:t>
      </w:r>
      <w:r w:rsidR="002156F0">
        <w:rPr>
          <w:color w:val="141412"/>
          <w:sz w:val="22"/>
          <w:szCs w:val="22"/>
          <w:shd w:val="clear" w:color="auto" w:fill="FFFFFF"/>
        </w:rPr>
        <w:t>aux</w:t>
      </w:r>
      <w:r w:rsidRPr="000171C4">
        <w:rPr>
          <w:color w:val="141412"/>
          <w:sz w:val="22"/>
          <w:szCs w:val="22"/>
          <w:shd w:val="clear" w:color="auto" w:fill="FFFFFF"/>
        </w:rPr>
        <w:t xml:space="preserve"> adhérents et partenaires locaux</w:t>
      </w:r>
      <w:r w:rsidR="007A4ABD">
        <w:rPr>
          <w:color w:val="141412"/>
          <w:sz w:val="22"/>
          <w:szCs w:val="22"/>
          <w:shd w:val="clear" w:color="auto" w:fill="FFFFFF"/>
        </w:rPr>
        <w:t>.</w:t>
      </w:r>
      <w:r w:rsidRPr="000171C4">
        <w:rPr>
          <w:sz w:val="22"/>
          <w:szCs w:val="22"/>
        </w:rPr>
        <w:t xml:space="preserve"> </w:t>
      </w:r>
    </w:p>
    <w:p w14:paraId="30D715C6" w14:textId="77777777" w:rsidR="000171C4" w:rsidRPr="000171C4" w:rsidRDefault="000171C4" w:rsidP="000171C4">
      <w:pPr>
        <w:spacing w:after="120"/>
        <w:jc w:val="both"/>
        <w:rPr>
          <w:rFonts w:ascii="Arial" w:hAnsi="Arial" w:cs="Arial"/>
        </w:rPr>
      </w:pPr>
      <w:r w:rsidRPr="000171C4">
        <w:rPr>
          <w:rFonts w:ascii="Arial" w:hAnsi="Arial" w:cs="Arial"/>
        </w:rPr>
        <w:t>Une formation simple et</w:t>
      </w:r>
      <w:r w:rsidRPr="000171C4">
        <w:rPr>
          <w:rFonts w:ascii="Arial" w:hAnsi="Arial" w:cs="Arial"/>
          <w:spacing w:val="1"/>
        </w:rPr>
        <w:t xml:space="preserve"> </w:t>
      </w:r>
      <w:r w:rsidRPr="000171C4">
        <w:rPr>
          <w:rFonts w:ascii="Arial" w:hAnsi="Arial" w:cs="Arial"/>
        </w:rPr>
        <w:t>la</w:t>
      </w:r>
      <w:r w:rsidRPr="000171C4">
        <w:rPr>
          <w:rFonts w:ascii="Arial" w:hAnsi="Arial" w:cs="Arial"/>
          <w:spacing w:val="3"/>
        </w:rPr>
        <w:t xml:space="preserve"> </w:t>
      </w:r>
      <w:r w:rsidRPr="000171C4">
        <w:rPr>
          <w:rFonts w:ascii="Arial" w:hAnsi="Arial" w:cs="Arial"/>
        </w:rPr>
        <w:t>mise</w:t>
      </w:r>
      <w:r w:rsidRPr="000171C4">
        <w:rPr>
          <w:rFonts w:ascii="Arial" w:hAnsi="Arial" w:cs="Arial"/>
          <w:spacing w:val="4"/>
        </w:rPr>
        <w:t xml:space="preserve"> </w:t>
      </w:r>
      <w:r w:rsidRPr="000171C4">
        <w:rPr>
          <w:rFonts w:ascii="Arial" w:hAnsi="Arial" w:cs="Arial"/>
        </w:rPr>
        <w:t>en</w:t>
      </w:r>
      <w:r w:rsidRPr="000171C4">
        <w:rPr>
          <w:rFonts w:ascii="Arial" w:hAnsi="Arial" w:cs="Arial"/>
          <w:spacing w:val="3"/>
        </w:rPr>
        <w:t xml:space="preserve"> </w:t>
      </w:r>
      <w:r w:rsidRPr="000171C4">
        <w:rPr>
          <w:rFonts w:ascii="Arial" w:hAnsi="Arial" w:cs="Arial"/>
        </w:rPr>
        <w:t>œuvre</w:t>
      </w:r>
      <w:r w:rsidRPr="000171C4">
        <w:rPr>
          <w:rFonts w:ascii="Arial" w:hAnsi="Arial" w:cs="Arial"/>
          <w:spacing w:val="4"/>
        </w:rPr>
        <w:t xml:space="preserve"> </w:t>
      </w:r>
      <w:r w:rsidRPr="000171C4">
        <w:rPr>
          <w:rFonts w:ascii="Arial" w:hAnsi="Arial" w:cs="Arial"/>
        </w:rPr>
        <w:t>de</w:t>
      </w:r>
      <w:r w:rsidRPr="000171C4">
        <w:rPr>
          <w:rFonts w:ascii="Arial" w:hAnsi="Arial" w:cs="Arial"/>
          <w:spacing w:val="4"/>
        </w:rPr>
        <w:t xml:space="preserve"> </w:t>
      </w:r>
      <w:r w:rsidRPr="000171C4">
        <w:rPr>
          <w:rFonts w:ascii="Arial" w:hAnsi="Arial" w:cs="Arial"/>
        </w:rPr>
        <w:t>programmes</w:t>
      </w:r>
      <w:r w:rsidRPr="000171C4">
        <w:rPr>
          <w:rFonts w:ascii="Arial" w:hAnsi="Arial" w:cs="Arial"/>
          <w:spacing w:val="3"/>
        </w:rPr>
        <w:t xml:space="preserve"> </w:t>
      </w:r>
      <w:r w:rsidRPr="000171C4">
        <w:rPr>
          <w:rFonts w:ascii="Arial" w:hAnsi="Arial" w:cs="Arial"/>
        </w:rPr>
        <w:t>de</w:t>
      </w:r>
      <w:r w:rsidRPr="000171C4">
        <w:rPr>
          <w:rFonts w:ascii="Arial" w:hAnsi="Arial" w:cs="Arial"/>
          <w:spacing w:val="4"/>
        </w:rPr>
        <w:t xml:space="preserve"> </w:t>
      </w:r>
      <w:r w:rsidRPr="000171C4">
        <w:rPr>
          <w:rFonts w:ascii="Arial" w:hAnsi="Arial" w:cs="Arial"/>
        </w:rPr>
        <w:t>TIC</w:t>
      </w:r>
      <w:r w:rsidRPr="000171C4">
        <w:rPr>
          <w:rFonts w:ascii="Arial" w:hAnsi="Arial" w:cs="Arial"/>
          <w:spacing w:val="4"/>
        </w:rPr>
        <w:t xml:space="preserve"> </w:t>
      </w:r>
      <w:r w:rsidRPr="000171C4">
        <w:rPr>
          <w:rFonts w:ascii="Arial" w:hAnsi="Arial" w:cs="Arial"/>
        </w:rPr>
        <w:t>dans</w:t>
      </w:r>
      <w:r w:rsidRPr="000171C4">
        <w:rPr>
          <w:rFonts w:ascii="Arial" w:hAnsi="Arial" w:cs="Arial"/>
          <w:spacing w:val="2"/>
        </w:rPr>
        <w:t xml:space="preserve"> </w:t>
      </w:r>
      <w:r w:rsidRPr="000171C4">
        <w:rPr>
          <w:rFonts w:ascii="Arial" w:hAnsi="Arial" w:cs="Arial"/>
        </w:rPr>
        <w:t>un</w:t>
      </w:r>
      <w:r w:rsidRPr="000171C4">
        <w:rPr>
          <w:rFonts w:ascii="Arial" w:hAnsi="Arial" w:cs="Arial"/>
          <w:spacing w:val="3"/>
        </w:rPr>
        <w:t xml:space="preserve"> </w:t>
      </w:r>
      <w:r w:rsidRPr="000171C4">
        <w:rPr>
          <w:rFonts w:ascii="Arial" w:hAnsi="Arial" w:cs="Arial"/>
        </w:rPr>
        <w:t>langage</w:t>
      </w:r>
      <w:r w:rsidRPr="000171C4">
        <w:rPr>
          <w:rFonts w:ascii="Arial" w:hAnsi="Arial" w:cs="Arial"/>
          <w:spacing w:val="3"/>
        </w:rPr>
        <w:t xml:space="preserve"> </w:t>
      </w:r>
      <w:r w:rsidRPr="000171C4">
        <w:rPr>
          <w:rFonts w:ascii="Arial" w:hAnsi="Arial" w:cs="Arial"/>
        </w:rPr>
        <w:t>facile</w:t>
      </w:r>
      <w:r w:rsidRPr="000171C4">
        <w:rPr>
          <w:rFonts w:ascii="Arial" w:hAnsi="Arial" w:cs="Arial"/>
          <w:spacing w:val="4"/>
        </w:rPr>
        <w:t xml:space="preserve"> </w:t>
      </w:r>
      <w:r w:rsidRPr="000171C4">
        <w:rPr>
          <w:rFonts w:ascii="Arial" w:hAnsi="Arial" w:cs="Arial"/>
        </w:rPr>
        <w:t>à</w:t>
      </w:r>
      <w:r w:rsidRPr="000171C4">
        <w:rPr>
          <w:rFonts w:ascii="Arial" w:hAnsi="Arial" w:cs="Arial"/>
          <w:spacing w:val="3"/>
        </w:rPr>
        <w:t xml:space="preserve"> </w:t>
      </w:r>
      <w:r w:rsidRPr="000171C4">
        <w:rPr>
          <w:rFonts w:ascii="Arial" w:hAnsi="Arial" w:cs="Arial"/>
        </w:rPr>
        <w:t>comprendre</w:t>
      </w:r>
      <w:r w:rsidRPr="000171C4">
        <w:rPr>
          <w:rFonts w:ascii="Arial" w:hAnsi="Arial" w:cs="Arial"/>
          <w:spacing w:val="2"/>
        </w:rPr>
        <w:t xml:space="preserve"> </w:t>
      </w:r>
      <w:r w:rsidRPr="000171C4">
        <w:rPr>
          <w:rFonts w:ascii="Arial" w:hAnsi="Arial" w:cs="Arial"/>
        </w:rPr>
        <w:t>ont</w:t>
      </w:r>
      <w:r w:rsidRPr="000171C4">
        <w:rPr>
          <w:rFonts w:ascii="Arial" w:hAnsi="Arial" w:cs="Arial"/>
          <w:spacing w:val="3"/>
        </w:rPr>
        <w:t xml:space="preserve"> </w:t>
      </w:r>
      <w:r w:rsidRPr="000171C4">
        <w:rPr>
          <w:rFonts w:ascii="Arial" w:hAnsi="Arial" w:cs="Arial"/>
        </w:rPr>
        <w:t>le</w:t>
      </w:r>
      <w:r w:rsidRPr="000171C4">
        <w:rPr>
          <w:rFonts w:ascii="Arial" w:hAnsi="Arial" w:cs="Arial"/>
          <w:spacing w:val="1"/>
        </w:rPr>
        <w:t xml:space="preserve"> </w:t>
      </w:r>
      <w:r w:rsidRPr="000171C4">
        <w:rPr>
          <w:rFonts w:ascii="Arial" w:hAnsi="Arial" w:cs="Arial"/>
        </w:rPr>
        <w:t>potentiel de provoquer une révolution dans le développement rural.</w:t>
      </w:r>
    </w:p>
    <w:p w14:paraId="466B17A2" w14:textId="77777777" w:rsidR="00E95156" w:rsidRDefault="00E95156">
      <w:r>
        <w:br w:type="page"/>
      </w:r>
    </w:p>
    <w:p w14:paraId="15767F5D" w14:textId="77777777" w:rsidR="00832CC9" w:rsidRPr="00B96EBA" w:rsidRDefault="00832CC9" w:rsidP="0044500E">
      <w:pPr>
        <w:pStyle w:val="Paragraphedeliste"/>
        <w:numPr>
          <w:ilvl w:val="0"/>
          <w:numId w:val="177"/>
        </w:numPr>
        <w:pBdr>
          <w:bottom w:val="single" w:sz="4" w:space="1" w:color="auto"/>
        </w:pBdr>
        <w:spacing w:line="240" w:lineRule="auto"/>
        <w:jc w:val="both"/>
        <w:outlineLvl w:val="0"/>
        <w:rPr>
          <w:b/>
          <w:bCs/>
          <w:caps/>
          <w:color w:val="44546A"/>
          <w:sz w:val="40"/>
          <w:szCs w:val="44"/>
        </w:rPr>
      </w:pPr>
      <w:bookmarkStart w:id="229" w:name="_Toc124956123"/>
      <w:bookmarkStart w:id="230" w:name="_Toc125384522"/>
      <w:bookmarkStart w:id="231" w:name="_Toc125384911"/>
      <w:bookmarkStart w:id="232" w:name="_Toc127957583"/>
      <w:r w:rsidRPr="00B96EBA">
        <w:rPr>
          <w:b/>
          <w:bCs/>
          <w:caps/>
          <w:color w:val="44546A"/>
          <w:sz w:val="40"/>
          <w:szCs w:val="44"/>
        </w:rPr>
        <w:t>Caractérisation biophysique et socio-économique de l’environnement</w:t>
      </w:r>
      <w:bookmarkEnd w:id="229"/>
      <w:bookmarkEnd w:id="230"/>
      <w:bookmarkEnd w:id="231"/>
      <w:r w:rsidR="00801D80">
        <w:rPr>
          <w:b/>
          <w:bCs/>
          <w:caps/>
          <w:color w:val="44546A"/>
          <w:sz w:val="40"/>
          <w:szCs w:val="44"/>
        </w:rPr>
        <w:t xml:space="preserve"> in</w:t>
      </w:r>
      <w:r w:rsidR="00524CF6">
        <w:rPr>
          <w:b/>
          <w:bCs/>
          <w:caps/>
          <w:color w:val="44546A"/>
          <w:sz w:val="40"/>
          <w:szCs w:val="44"/>
        </w:rPr>
        <w:t>I</w:t>
      </w:r>
      <w:r w:rsidR="00801D80">
        <w:rPr>
          <w:b/>
          <w:bCs/>
          <w:caps/>
          <w:color w:val="44546A"/>
          <w:sz w:val="40"/>
          <w:szCs w:val="44"/>
        </w:rPr>
        <w:t>tial</w:t>
      </w:r>
      <w:bookmarkEnd w:id="232"/>
    </w:p>
    <w:p w14:paraId="7E00E0A2" w14:textId="77777777" w:rsidR="00592898" w:rsidRPr="007F78CE" w:rsidRDefault="00592898" w:rsidP="0044500E">
      <w:pPr>
        <w:pStyle w:val="TIT2"/>
        <w:numPr>
          <w:ilvl w:val="1"/>
          <w:numId w:val="177"/>
        </w:numPr>
      </w:pPr>
      <w:bookmarkStart w:id="233" w:name="_Toc124312647"/>
      <w:bookmarkStart w:id="234" w:name="_Toc124314645"/>
      <w:bookmarkStart w:id="235" w:name="_Toc124956124"/>
      <w:bookmarkStart w:id="236" w:name="_Toc125384523"/>
      <w:bookmarkStart w:id="237" w:name="_Toc125384912"/>
      <w:bookmarkStart w:id="238" w:name="_Toc127957584"/>
      <w:bookmarkEnd w:id="233"/>
      <w:r w:rsidRPr="007F78CE">
        <w:t>Milieu physique</w:t>
      </w:r>
      <w:bookmarkEnd w:id="234"/>
      <w:bookmarkEnd w:id="235"/>
      <w:bookmarkEnd w:id="236"/>
      <w:bookmarkEnd w:id="237"/>
      <w:bookmarkEnd w:id="238"/>
      <w:r w:rsidRPr="007F78CE">
        <w:t xml:space="preserve"> </w:t>
      </w:r>
    </w:p>
    <w:p w14:paraId="02B69C7E" w14:textId="77777777" w:rsidR="004A574D" w:rsidRPr="004A574D" w:rsidRDefault="004A574D" w:rsidP="0044500E">
      <w:pPr>
        <w:pStyle w:val="TIT3"/>
        <w:numPr>
          <w:ilvl w:val="2"/>
          <w:numId w:val="177"/>
        </w:numPr>
      </w:pPr>
      <w:bookmarkStart w:id="239" w:name="_Toc124314646"/>
      <w:bookmarkStart w:id="240" w:name="_Toc124956125"/>
      <w:bookmarkStart w:id="241" w:name="_Toc125384524"/>
      <w:bookmarkStart w:id="242" w:name="_Toc125384913"/>
      <w:bookmarkStart w:id="243" w:name="_Toc127957585"/>
      <w:r w:rsidRPr="004A574D">
        <w:t>Zone d’implantation du Projet</w:t>
      </w:r>
      <w:bookmarkEnd w:id="239"/>
      <w:bookmarkEnd w:id="240"/>
      <w:bookmarkEnd w:id="241"/>
      <w:bookmarkEnd w:id="242"/>
      <w:bookmarkEnd w:id="243"/>
    </w:p>
    <w:p w14:paraId="329E4825" w14:textId="77777777" w:rsidR="00E33E0C" w:rsidRDefault="00E33E0C" w:rsidP="00E33E0C">
      <w:pPr>
        <w:jc w:val="both"/>
        <w:rPr>
          <w:rFonts w:ascii="Arial" w:hAnsi="Arial" w:cs="Arial"/>
        </w:rPr>
      </w:pPr>
      <w:r>
        <w:rPr>
          <w:rFonts w:ascii="Arial" w:hAnsi="Arial" w:cs="Arial"/>
        </w:rPr>
        <w:t xml:space="preserve">La zone d’intervention du Projet DECIM </w:t>
      </w:r>
      <w:r w:rsidR="002156F0">
        <w:rPr>
          <w:rFonts w:ascii="Arial" w:hAnsi="Arial" w:cs="Arial"/>
        </w:rPr>
        <w:t xml:space="preserve">concerne </w:t>
      </w:r>
      <w:r>
        <w:rPr>
          <w:rFonts w:ascii="Arial" w:hAnsi="Arial" w:cs="Arial"/>
        </w:rPr>
        <w:t xml:space="preserve">toutes les Régions de Madagascar. </w:t>
      </w:r>
      <w:r w:rsidRPr="00E33E0C">
        <w:rPr>
          <w:rFonts w:ascii="Arial" w:hAnsi="Arial" w:cs="Arial"/>
        </w:rPr>
        <w:t xml:space="preserve">Ainsi, afin de pouvoir mieux saisir les enjeux environnementaux et sociaux, il s’avère important de donner une vue synoptique des cinq grandes régions écologiques de </w:t>
      </w:r>
      <w:r w:rsidR="002156F0" w:rsidRPr="00E33E0C">
        <w:rPr>
          <w:rFonts w:ascii="Arial" w:hAnsi="Arial" w:cs="Arial"/>
        </w:rPr>
        <w:t>l’</w:t>
      </w:r>
      <w:r w:rsidR="002156F0">
        <w:rPr>
          <w:rFonts w:ascii="Arial" w:hAnsi="Arial" w:cs="Arial"/>
        </w:rPr>
        <w:t>I</w:t>
      </w:r>
      <w:r w:rsidR="002156F0" w:rsidRPr="00E33E0C">
        <w:rPr>
          <w:rFonts w:ascii="Arial" w:hAnsi="Arial" w:cs="Arial"/>
        </w:rPr>
        <w:t>le</w:t>
      </w:r>
      <w:r w:rsidRPr="00E33E0C">
        <w:rPr>
          <w:rFonts w:ascii="Arial" w:hAnsi="Arial" w:cs="Arial"/>
        </w:rPr>
        <w:t>.</w:t>
      </w:r>
      <w:r>
        <w:rPr>
          <w:rFonts w:ascii="Arial" w:hAnsi="Arial" w:cs="Arial"/>
        </w:rPr>
        <w:t xml:space="preserve"> Du point de vue </w:t>
      </w:r>
      <w:r w:rsidR="00055101">
        <w:rPr>
          <w:rFonts w:ascii="Arial" w:hAnsi="Arial" w:cs="Arial"/>
        </w:rPr>
        <w:t>administratif</w:t>
      </w:r>
      <w:r>
        <w:rPr>
          <w:rFonts w:ascii="Arial" w:hAnsi="Arial" w:cs="Arial"/>
        </w:rPr>
        <w:t xml:space="preserve">, la Grande </w:t>
      </w:r>
      <w:r w:rsidR="002D4A3D">
        <w:rPr>
          <w:rFonts w:ascii="Arial" w:hAnsi="Arial" w:cs="Arial"/>
        </w:rPr>
        <w:t>î</w:t>
      </w:r>
      <w:r>
        <w:rPr>
          <w:rFonts w:ascii="Arial" w:hAnsi="Arial" w:cs="Arial"/>
        </w:rPr>
        <w:t xml:space="preserve">le est </w:t>
      </w:r>
      <w:r w:rsidR="00055101">
        <w:rPr>
          <w:rFonts w:ascii="Arial" w:hAnsi="Arial" w:cs="Arial"/>
        </w:rPr>
        <w:t>subdivisée</w:t>
      </w:r>
      <w:r>
        <w:rPr>
          <w:rFonts w:ascii="Arial" w:hAnsi="Arial" w:cs="Arial"/>
        </w:rPr>
        <w:t xml:space="preserve"> en 23 Régions</w:t>
      </w:r>
      <w:r w:rsidR="002156F0">
        <w:rPr>
          <w:rFonts w:ascii="Arial" w:hAnsi="Arial" w:cs="Arial"/>
        </w:rPr>
        <w:t>,</w:t>
      </w:r>
      <w:r>
        <w:rPr>
          <w:rFonts w:ascii="Arial" w:hAnsi="Arial" w:cs="Arial"/>
        </w:rPr>
        <w:t xml:space="preserve"> 118 District</w:t>
      </w:r>
      <w:r w:rsidR="002156F0">
        <w:rPr>
          <w:rFonts w:ascii="Arial" w:hAnsi="Arial" w:cs="Arial"/>
        </w:rPr>
        <w:t>s</w:t>
      </w:r>
      <w:r>
        <w:rPr>
          <w:rFonts w:ascii="Arial" w:hAnsi="Arial" w:cs="Arial"/>
        </w:rPr>
        <w:t xml:space="preserve"> et 1549 Communes.</w:t>
      </w:r>
    </w:p>
    <w:p w14:paraId="7D427A06" w14:textId="77777777" w:rsidR="00592898" w:rsidRPr="00592898" w:rsidRDefault="00592898" w:rsidP="0044500E">
      <w:pPr>
        <w:pStyle w:val="TIT3"/>
        <w:numPr>
          <w:ilvl w:val="2"/>
          <w:numId w:val="177"/>
        </w:numPr>
      </w:pPr>
      <w:bookmarkStart w:id="244" w:name="_Toc124314647"/>
      <w:bookmarkStart w:id="245" w:name="_Toc124956126"/>
      <w:bookmarkStart w:id="246" w:name="_Toc125384525"/>
      <w:bookmarkStart w:id="247" w:name="_Toc125384914"/>
      <w:bookmarkStart w:id="248" w:name="_Toc127957586"/>
      <w:r w:rsidRPr="00592898">
        <w:t>Climat</w:t>
      </w:r>
      <w:bookmarkEnd w:id="244"/>
      <w:bookmarkEnd w:id="245"/>
      <w:bookmarkEnd w:id="246"/>
      <w:bookmarkEnd w:id="247"/>
      <w:bookmarkEnd w:id="248"/>
      <w:r w:rsidRPr="00592898">
        <w:t xml:space="preserve"> </w:t>
      </w:r>
    </w:p>
    <w:p w14:paraId="7A502D11" w14:textId="77777777" w:rsidR="0003695B" w:rsidRDefault="00C165ED" w:rsidP="0003695B">
      <w:pPr>
        <w:jc w:val="both"/>
        <w:rPr>
          <w:rFonts w:ascii="Arial" w:hAnsi="Arial" w:cs="Arial"/>
        </w:rPr>
      </w:pPr>
      <w:r w:rsidRPr="00C165ED">
        <w:rPr>
          <w:rFonts w:ascii="Arial" w:hAnsi="Arial" w:cs="Arial"/>
        </w:rPr>
        <w:t>En général</w:t>
      </w:r>
      <w:r>
        <w:rPr>
          <w:rFonts w:ascii="Arial" w:hAnsi="Arial" w:cs="Arial"/>
        </w:rPr>
        <w:t>, Madagascar est caractérisé par un climat de type tropical avec deux saisons bien distinctes</w:t>
      </w:r>
      <w:r w:rsidR="0003695B">
        <w:rPr>
          <w:rFonts w:ascii="Arial" w:hAnsi="Arial" w:cs="Arial"/>
        </w:rPr>
        <w:t> :</w:t>
      </w:r>
      <w:r w:rsidR="0003695B" w:rsidRPr="00B02BFA">
        <w:rPr>
          <w:rFonts w:ascii="Arial" w:hAnsi="Arial" w:cs="Arial"/>
        </w:rPr>
        <w:t xml:space="preserve"> </w:t>
      </w:r>
      <w:r w:rsidR="00B02BFA" w:rsidRPr="00B02BFA">
        <w:rPr>
          <w:rFonts w:ascii="Arial" w:hAnsi="Arial" w:cs="Arial"/>
        </w:rPr>
        <w:t xml:space="preserve">une saison sèche et une saison humide qui s’étendent respectivement de </w:t>
      </w:r>
      <w:r w:rsidR="004407B1">
        <w:rPr>
          <w:rFonts w:ascii="Arial" w:hAnsi="Arial" w:cs="Arial"/>
        </w:rPr>
        <w:t>m</w:t>
      </w:r>
      <w:r w:rsidR="00B02BFA" w:rsidRPr="00B02BFA">
        <w:rPr>
          <w:rFonts w:ascii="Arial" w:hAnsi="Arial" w:cs="Arial"/>
        </w:rPr>
        <w:t xml:space="preserve">ai à </w:t>
      </w:r>
      <w:r w:rsidR="004407B1">
        <w:rPr>
          <w:rFonts w:ascii="Arial" w:hAnsi="Arial" w:cs="Arial"/>
        </w:rPr>
        <w:t>o</w:t>
      </w:r>
      <w:r w:rsidR="00B02BFA" w:rsidRPr="00B02BFA">
        <w:rPr>
          <w:rFonts w:ascii="Arial" w:hAnsi="Arial" w:cs="Arial"/>
        </w:rPr>
        <w:t xml:space="preserve">ctobre, et de </w:t>
      </w:r>
      <w:r w:rsidR="004407B1">
        <w:rPr>
          <w:rFonts w:ascii="Arial" w:hAnsi="Arial" w:cs="Arial"/>
        </w:rPr>
        <w:t>n</w:t>
      </w:r>
      <w:r w:rsidR="00B02BFA" w:rsidRPr="00B02BFA">
        <w:rPr>
          <w:rFonts w:ascii="Arial" w:hAnsi="Arial" w:cs="Arial"/>
        </w:rPr>
        <w:t xml:space="preserve">ovembre à </w:t>
      </w:r>
      <w:r w:rsidR="004407B1">
        <w:rPr>
          <w:rFonts w:ascii="Arial" w:hAnsi="Arial" w:cs="Arial"/>
        </w:rPr>
        <w:t>a</w:t>
      </w:r>
      <w:r w:rsidR="00B02BFA" w:rsidRPr="00B02BFA">
        <w:rPr>
          <w:rFonts w:ascii="Arial" w:hAnsi="Arial" w:cs="Arial"/>
        </w:rPr>
        <w:t>vril. Elles sont séparées par des intersaisons de très courte durée.</w:t>
      </w:r>
    </w:p>
    <w:p w14:paraId="70DDCCCD" w14:textId="77777777" w:rsidR="00642266" w:rsidRPr="00642266" w:rsidRDefault="00642266" w:rsidP="0003695B">
      <w:pPr>
        <w:jc w:val="both"/>
        <w:rPr>
          <w:rFonts w:ascii="Arial" w:hAnsi="Arial" w:cs="Arial"/>
        </w:rPr>
      </w:pPr>
      <w:r w:rsidRPr="00642266">
        <w:rPr>
          <w:rFonts w:ascii="Arial" w:hAnsi="Arial" w:cs="Arial"/>
        </w:rPr>
        <w:t xml:space="preserve">Le climat de Madagascar est entre autres caractérisé par le régime des précipitations et de la température. La partie Est de </w:t>
      </w:r>
      <w:r w:rsidR="00801D80">
        <w:rPr>
          <w:rFonts w:ascii="Arial" w:hAnsi="Arial" w:cs="Arial"/>
        </w:rPr>
        <w:t>l’île</w:t>
      </w:r>
      <w:r w:rsidRPr="00642266">
        <w:rPr>
          <w:rFonts w:ascii="Arial" w:hAnsi="Arial" w:cs="Arial"/>
        </w:rPr>
        <w:t xml:space="preserve"> est la plus arrosée avec plus de 3000 mm de pluie par an, tandis que la partie Sud-Ouest est la plus aride avec moins de 400 mm de pluie annuelle. La côte Ouest est plus chaude que la côte Est de 1°C à 3°C. Le maximum de température est atteint pour la plupart des régions en Janvier et Février mais, au mois de Novembre sur les hauts plateaux et le Nord-Ouest. Le minimum est souvent observé en mois de Juillet</w:t>
      </w:r>
      <w:r>
        <w:rPr>
          <w:rStyle w:val="Appelnotedebasdep"/>
          <w:rFonts w:ascii="Arial" w:hAnsi="Arial" w:cs="Arial"/>
        </w:rPr>
        <w:footnoteReference w:id="18"/>
      </w:r>
      <w:r w:rsidRPr="00642266">
        <w:rPr>
          <w:rFonts w:ascii="Arial" w:hAnsi="Arial" w:cs="Arial"/>
        </w:rPr>
        <w:t>.</w:t>
      </w:r>
    </w:p>
    <w:p w14:paraId="0806B668" w14:textId="77777777" w:rsidR="00DD76AA" w:rsidRDefault="00DD76AA" w:rsidP="0003695B">
      <w:pPr>
        <w:jc w:val="both"/>
        <w:rPr>
          <w:rFonts w:ascii="Arial" w:hAnsi="Arial" w:cs="Arial"/>
        </w:rPr>
      </w:pPr>
      <w:r>
        <w:rPr>
          <w:rFonts w:ascii="Arial" w:hAnsi="Arial" w:cs="Arial"/>
        </w:rPr>
        <w:t>Le service d</w:t>
      </w:r>
      <w:r w:rsidR="00D36A5E">
        <w:rPr>
          <w:rFonts w:ascii="Arial" w:hAnsi="Arial" w:cs="Arial"/>
        </w:rPr>
        <w:t>e l</w:t>
      </w:r>
      <w:r>
        <w:rPr>
          <w:rFonts w:ascii="Arial" w:hAnsi="Arial" w:cs="Arial"/>
        </w:rPr>
        <w:t xml:space="preserve">a météorologie de Madagascar a subdivisé </w:t>
      </w:r>
      <w:r w:rsidR="00801D80">
        <w:rPr>
          <w:rFonts w:ascii="Arial" w:hAnsi="Arial" w:cs="Arial"/>
        </w:rPr>
        <w:t>l’île</w:t>
      </w:r>
      <w:r>
        <w:rPr>
          <w:rFonts w:ascii="Arial" w:hAnsi="Arial" w:cs="Arial"/>
        </w:rPr>
        <w:t xml:space="preserve"> en 10 zones climatique</w:t>
      </w:r>
      <w:r w:rsidR="00D36A5E">
        <w:rPr>
          <w:rFonts w:ascii="Arial" w:hAnsi="Arial" w:cs="Arial"/>
        </w:rPr>
        <w:t>s</w:t>
      </w:r>
      <w:r>
        <w:rPr>
          <w:rFonts w:ascii="Arial" w:hAnsi="Arial" w:cs="Arial"/>
        </w:rPr>
        <w:t xml:space="preserve"> suivant </w:t>
      </w:r>
      <w:r w:rsidR="00B02BFA" w:rsidRPr="00DD76AA">
        <w:rPr>
          <w:rFonts w:ascii="Arial" w:hAnsi="Arial" w:cs="Arial"/>
        </w:rPr>
        <w:t xml:space="preserve">la topographie, l’influence maritime, </w:t>
      </w:r>
      <w:r w:rsidR="00D36A5E">
        <w:rPr>
          <w:rFonts w:ascii="Arial" w:hAnsi="Arial" w:cs="Arial"/>
        </w:rPr>
        <w:t>le</w:t>
      </w:r>
      <w:r w:rsidR="00D36A5E" w:rsidRPr="00DD76AA">
        <w:rPr>
          <w:rFonts w:ascii="Arial" w:hAnsi="Arial" w:cs="Arial"/>
        </w:rPr>
        <w:t xml:space="preserve"> </w:t>
      </w:r>
      <w:r w:rsidR="00B02BFA" w:rsidRPr="00DD76AA">
        <w:rPr>
          <w:rFonts w:ascii="Arial" w:hAnsi="Arial" w:cs="Arial"/>
        </w:rPr>
        <w:t>régime des vents et d’autres facteurs climatiques comme la radiation solaire, l’humidité relative</w:t>
      </w:r>
      <w:r w:rsidR="00B02BFA">
        <w:rPr>
          <w:rStyle w:val="Appelnotedebasdep"/>
          <w:rFonts w:ascii="Arial" w:hAnsi="Arial" w:cs="Arial"/>
        </w:rPr>
        <w:footnoteReference w:id="19"/>
      </w:r>
      <w:r w:rsidR="00B02BFA">
        <w:rPr>
          <w:rFonts w:ascii="Arial" w:hAnsi="Arial" w:cs="Arial"/>
        </w:rPr>
        <w:t>. Les différentes subdivisions sont relatées dans le tableau et la carte ci-dessous</w:t>
      </w:r>
      <w:r w:rsidR="00EF30B0">
        <w:rPr>
          <w:rFonts w:ascii="Arial" w:hAnsi="Arial" w:cs="Arial"/>
        </w:rPr>
        <w:t>.</w:t>
      </w:r>
      <w:r w:rsidR="00B02BFA">
        <w:rPr>
          <w:rFonts w:ascii="Arial" w:hAnsi="Arial" w:cs="Arial"/>
        </w:rPr>
        <w:t xml:space="preserve"> </w:t>
      </w:r>
    </w:p>
    <w:p w14:paraId="049076D9" w14:textId="77777777" w:rsidR="00B02BFA" w:rsidRPr="00B02BFA" w:rsidRDefault="00B02BFA" w:rsidP="00B02BFA">
      <w:pPr>
        <w:pStyle w:val="Lgende"/>
        <w:jc w:val="center"/>
        <w:rPr>
          <w:rFonts w:ascii="Arial" w:hAnsi="Arial" w:cs="Arial"/>
          <w:sz w:val="20"/>
        </w:rPr>
      </w:pPr>
      <w:bookmarkStart w:id="249" w:name="_Toc127957799"/>
      <w:r w:rsidRPr="00B02BFA">
        <w:rPr>
          <w:sz w:val="20"/>
        </w:rPr>
        <w:t xml:space="preserve">Tableau </w:t>
      </w:r>
      <w:r w:rsidRPr="00B02BFA">
        <w:rPr>
          <w:sz w:val="20"/>
        </w:rPr>
        <w:fldChar w:fldCharType="begin"/>
      </w:r>
      <w:r w:rsidRPr="00B02BFA">
        <w:rPr>
          <w:sz w:val="20"/>
        </w:rPr>
        <w:instrText xml:space="preserve"> SEQ Tableau \* ARABIC </w:instrText>
      </w:r>
      <w:r w:rsidRPr="00B02BFA">
        <w:rPr>
          <w:sz w:val="20"/>
        </w:rPr>
        <w:fldChar w:fldCharType="separate"/>
      </w:r>
      <w:r w:rsidR="005430A1">
        <w:rPr>
          <w:noProof/>
          <w:sz w:val="20"/>
        </w:rPr>
        <w:t>3</w:t>
      </w:r>
      <w:r w:rsidRPr="00B02BFA">
        <w:rPr>
          <w:sz w:val="20"/>
        </w:rPr>
        <w:fldChar w:fldCharType="end"/>
      </w:r>
      <w:r w:rsidRPr="00B02BFA">
        <w:rPr>
          <w:sz w:val="20"/>
        </w:rPr>
        <w:t>. Caractéristique des différentes zones climatique</w:t>
      </w:r>
      <w:r w:rsidR="00D36A5E">
        <w:rPr>
          <w:sz w:val="20"/>
        </w:rPr>
        <w:t>s</w:t>
      </w:r>
      <w:r w:rsidRPr="00B02BFA">
        <w:rPr>
          <w:sz w:val="20"/>
        </w:rPr>
        <w:t xml:space="preserve"> de Madagascar</w:t>
      </w:r>
      <w:bookmarkEnd w:id="249"/>
    </w:p>
    <w:tbl>
      <w:tblPr>
        <w:tblW w:w="7940"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1948"/>
        <w:gridCol w:w="3010"/>
        <w:gridCol w:w="1480"/>
        <w:gridCol w:w="1502"/>
      </w:tblGrid>
      <w:tr w:rsidR="0063584D" w:rsidRPr="007F78CE" w14:paraId="66D261A5" w14:textId="77777777" w:rsidTr="007F78CE">
        <w:trPr>
          <w:trHeight w:val="900"/>
          <w:tblHeader/>
          <w:jc w:val="center"/>
        </w:trPr>
        <w:tc>
          <w:tcPr>
            <w:tcW w:w="1960" w:type="dxa"/>
            <w:tcBorders>
              <w:top w:val="single" w:sz="8" w:space="0" w:color="7BA0CD"/>
              <w:left w:val="single" w:sz="8" w:space="0" w:color="7BA0CD"/>
              <w:bottom w:val="single" w:sz="8" w:space="0" w:color="7BA0CD"/>
            </w:tcBorders>
            <w:shd w:val="clear" w:color="auto" w:fill="4F81BD"/>
            <w:vAlign w:val="center"/>
            <w:hideMark/>
          </w:tcPr>
          <w:p w14:paraId="352C05C0" w14:textId="77777777" w:rsidR="00B02BFA" w:rsidRPr="007F78CE" w:rsidRDefault="00B02BFA" w:rsidP="007F78CE">
            <w:pPr>
              <w:spacing w:after="0" w:line="240" w:lineRule="auto"/>
              <w:jc w:val="center"/>
              <w:rPr>
                <w:rFonts w:eastAsia="Times New Roman" w:cs="Calibri"/>
                <w:b/>
                <w:bCs/>
                <w:color w:val="000000"/>
                <w:lang w:eastAsia="fr-FR"/>
              </w:rPr>
            </w:pPr>
            <w:r w:rsidRPr="007F78CE">
              <w:rPr>
                <w:rFonts w:eastAsia="Times New Roman" w:cs="Calibri"/>
                <w:b/>
                <w:bCs/>
                <w:color w:val="000000"/>
                <w:lang w:eastAsia="fr-FR"/>
              </w:rPr>
              <w:t>Zones</w:t>
            </w:r>
          </w:p>
        </w:tc>
        <w:tc>
          <w:tcPr>
            <w:tcW w:w="3040" w:type="dxa"/>
            <w:tcBorders>
              <w:top w:val="single" w:sz="8" w:space="0" w:color="7BA0CD"/>
              <w:bottom w:val="single" w:sz="8" w:space="0" w:color="7BA0CD"/>
            </w:tcBorders>
            <w:shd w:val="clear" w:color="auto" w:fill="4F81BD"/>
            <w:vAlign w:val="center"/>
            <w:hideMark/>
          </w:tcPr>
          <w:p w14:paraId="74E562F3" w14:textId="77777777" w:rsidR="00B02BFA" w:rsidRPr="007F78CE" w:rsidRDefault="00B02BFA" w:rsidP="007F78CE">
            <w:pPr>
              <w:spacing w:after="0" w:line="240" w:lineRule="auto"/>
              <w:jc w:val="center"/>
              <w:rPr>
                <w:rFonts w:eastAsia="Times New Roman" w:cs="Calibri"/>
                <w:b/>
                <w:bCs/>
                <w:color w:val="000000"/>
                <w:lang w:eastAsia="fr-FR"/>
              </w:rPr>
            </w:pPr>
            <w:r w:rsidRPr="007F78CE">
              <w:rPr>
                <w:rFonts w:eastAsia="Times New Roman" w:cs="Calibri"/>
                <w:b/>
                <w:bCs/>
                <w:color w:val="000000"/>
                <w:lang w:eastAsia="fr-FR"/>
              </w:rPr>
              <w:t>Caractéristiques</w:t>
            </w:r>
          </w:p>
        </w:tc>
        <w:tc>
          <w:tcPr>
            <w:tcW w:w="1460" w:type="dxa"/>
            <w:tcBorders>
              <w:top w:val="single" w:sz="8" w:space="0" w:color="7BA0CD"/>
              <w:bottom w:val="single" w:sz="8" w:space="0" w:color="7BA0CD"/>
            </w:tcBorders>
            <w:shd w:val="clear" w:color="auto" w:fill="4F81BD"/>
            <w:vAlign w:val="center"/>
            <w:hideMark/>
          </w:tcPr>
          <w:p w14:paraId="1F11FA11" w14:textId="77777777" w:rsidR="00B02BFA" w:rsidRPr="007F78CE" w:rsidRDefault="00B02BFA" w:rsidP="007F78CE">
            <w:pPr>
              <w:spacing w:after="0" w:line="240" w:lineRule="auto"/>
              <w:jc w:val="center"/>
              <w:rPr>
                <w:rFonts w:eastAsia="Times New Roman" w:cs="Calibri"/>
                <w:b/>
                <w:bCs/>
                <w:color w:val="000000"/>
                <w:lang w:eastAsia="fr-FR"/>
              </w:rPr>
            </w:pPr>
            <w:r w:rsidRPr="007F78CE">
              <w:rPr>
                <w:rFonts w:eastAsia="Times New Roman" w:cs="Calibri"/>
                <w:b/>
                <w:bCs/>
                <w:color w:val="000000"/>
                <w:lang w:eastAsia="fr-FR"/>
              </w:rPr>
              <w:t>Précipitations annuelles (mm)</w:t>
            </w:r>
          </w:p>
        </w:tc>
        <w:tc>
          <w:tcPr>
            <w:tcW w:w="1480" w:type="dxa"/>
            <w:tcBorders>
              <w:top w:val="single" w:sz="8" w:space="0" w:color="7BA0CD"/>
              <w:bottom w:val="single" w:sz="8" w:space="0" w:color="7BA0CD"/>
              <w:right w:val="single" w:sz="8" w:space="0" w:color="7BA0CD"/>
            </w:tcBorders>
            <w:shd w:val="clear" w:color="auto" w:fill="4F81BD"/>
            <w:vAlign w:val="center"/>
            <w:hideMark/>
          </w:tcPr>
          <w:p w14:paraId="0FB32656" w14:textId="77777777" w:rsidR="00B02BFA" w:rsidRPr="007F78CE" w:rsidRDefault="00B02BFA" w:rsidP="007F78CE">
            <w:pPr>
              <w:spacing w:after="0" w:line="240" w:lineRule="auto"/>
              <w:jc w:val="center"/>
              <w:rPr>
                <w:rFonts w:eastAsia="Times New Roman" w:cs="Calibri"/>
                <w:b/>
                <w:bCs/>
                <w:color w:val="000000"/>
                <w:lang w:eastAsia="fr-FR"/>
              </w:rPr>
            </w:pPr>
            <w:r w:rsidRPr="007F78CE">
              <w:rPr>
                <w:rFonts w:eastAsia="Times New Roman" w:cs="Calibri"/>
                <w:b/>
                <w:bCs/>
                <w:color w:val="000000"/>
                <w:lang w:eastAsia="fr-FR"/>
              </w:rPr>
              <w:t>Températures moyennes annuelles (°C)</w:t>
            </w:r>
          </w:p>
        </w:tc>
      </w:tr>
      <w:tr w:rsidR="0063584D" w:rsidRPr="007F78CE" w14:paraId="24CC7C0F" w14:textId="77777777" w:rsidTr="007F78CE">
        <w:trPr>
          <w:trHeight w:val="900"/>
          <w:jc w:val="center"/>
        </w:trPr>
        <w:tc>
          <w:tcPr>
            <w:tcW w:w="1960" w:type="dxa"/>
            <w:shd w:val="clear" w:color="auto" w:fill="D3DFEE"/>
            <w:hideMark/>
          </w:tcPr>
          <w:p w14:paraId="2FF8DDD2" w14:textId="77777777" w:rsidR="00B02BFA" w:rsidRPr="007F78CE" w:rsidRDefault="00B02BFA" w:rsidP="007F78CE">
            <w:pPr>
              <w:spacing w:after="0" w:line="240" w:lineRule="auto"/>
              <w:rPr>
                <w:rFonts w:eastAsia="Times New Roman" w:cs="Calibri"/>
                <w:b/>
                <w:bCs/>
                <w:color w:val="000000"/>
                <w:lang w:eastAsia="fr-FR"/>
              </w:rPr>
            </w:pPr>
            <w:r w:rsidRPr="007F78CE">
              <w:rPr>
                <w:rFonts w:eastAsia="Times New Roman" w:cs="Calibri"/>
                <w:b/>
                <w:bCs/>
                <w:color w:val="000000"/>
                <w:lang w:eastAsia="fr-FR"/>
              </w:rPr>
              <w:t>Zone A : Très humide toute l’année</w:t>
            </w:r>
          </w:p>
        </w:tc>
        <w:tc>
          <w:tcPr>
            <w:tcW w:w="3040" w:type="dxa"/>
            <w:shd w:val="clear" w:color="auto" w:fill="D3DFEE"/>
            <w:hideMark/>
          </w:tcPr>
          <w:p w14:paraId="796283D2" w14:textId="77777777" w:rsidR="00B02BFA" w:rsidRPr="007F78CE" w:rsidRDefault="00B02BFA" w:rsidP="007F78CE">
            <w:pPr>
              <w:spacing w:after="0" w:line="240" w:lineRule="auto"/>
              <w:rPr>
                <w:rFonts w:eastAsia="Times New Roman" w:cs="Calibri"/>
                <w:color w:val="000000"/>
                <w:lang w:eastAsia="fr-FR"/>
              </w:rPr>
            </w:pPr>
            <w:r w:rsidRPr="007F78CE">
              <w:rPr>
                <w:rFonts w:eastAsia="Times New Roman" w:cs="Calibri"/>
                <w:color w:val="000000"/>
                <w:lang w:eastAsia="fr-FR"/>
              </w:rPr>
              <w:t>Exposée directement aux courants d’alizés</w:t>
            </w:r>
          </w:p>
        </w:tc>
        <w:tc>
          <w:tcPr>
            <w:tcW w:w="1460" w:type="dxa"/>
            <w:shd w:val="clear" w:color="auto" w:fill="D3DFEE"/>
            <w:hideMark/>
          </w:tcPr>
          <w:p w14:paraId="53681AE1" w14:textId="77777777" w:rsidR="00B02BFA" w:rsidRPr="007F78CE" w:rsidRDefault="00B02BFA" w:rsidP="007F78CE">
            <w:pPr>
              <w:spacing w:after="0" w:line="240" w:lineRule="auto"/>
              <w:jc w:val="center"/>
              <w:rPr>
                <w:rFonts w:eastAsia="Times New Roman" w:cs="Calibri"/>
                <w:color w:val="000000"/>
                <w:lang w:eastAsia="fr-FR"/>
              </w:rPr>
            </w:pPr>
            <w:r w:rsidRPr="007F78CE">
              <w:rPr>
                <w:rFonts w:eastAsia="Times New Roman" w:cs="Calibri"/>
                <w:color w:val="000000"/>
                <w:lang w:eastAsia="fr-FR"/>
              </w:rPr>
              <w:t>2500 – 3700</w:t>
            </w:r>
          </w:p>
        </w:tc>
        <w:tc>
          <w:tcPr>
            <w:tcW w:w="1480" w:type="dxa"/>
            <w:shd w:val="clear" w:color="auto" w:fill="D3DFEE"/>
            <w:hideMark/>
          </w:tcPr>
          <w:p w14:paraId="5BDC12DC" w14:textId="77777777" w:rsidR="00B02BFA" w:rsidRPr="007F78CE" w:rsidRDefault="00B02BFA" w:rsidP="007F78CE">
            <w:pPr>
              <w:spacing w:after="0" w:line="240" w:lineRule="auto"/>
              <w:jc w:val="center"/>
              <w:rPr>
                <w:rFonts w:eastAsia="Times New Roman" w:cs="Calibri"/>
                <w:color w:val="000000"/>
                <w:lang w:eastAsia="fr-FR"/>
              </w:rPr>
            </w:pPr>
            <w:r w:rsidRPr="007F78CE">
              <w:rPr>
                <w:rFonts w:eastAsia="Times New Roman" w:cs="Calibri"/>
                <w:color w:val="000000"/>
                <w:lang w:eastAsia="fr-FR"/>
              </w:rPr>
              <w:t>≥23,6</w:t>
            </w:r>
          </w:p>
        </w:tc>
      </w:tr>
      <w:tr w:rsidR="0063584D" w:rsidRPr="007F78CE" w14:paraId="47A4C135" w14:textId="77777777" w:rsidTr="007F78CE">
        <w:trPr>
          <w:trHeight w:val="600"/>
          <w:jc w:val="center"/>
        </w:trPr>
        <w:tc>
          <w:tcPr>
            <w:tcW w:w="1960" w:type="dxa"/>
            <w:tcBorders>
              <w:right w:val="nil"/>
            </w:tcBorders>
            <w:shd w:val="clear" w:color="auto" w:fill="auto"/>
            <w:hideMark/>
          </w:tcPr>
          <w:p w14:paraId="53C001C5" w14:textId="77777777" w:rsidR="00B02BFA" w:rsidRPr="007F78CE" w:rsidRDefault="00B02BFA" w:rsidP="007F78CE">
            <w:pPr>
              <w:spacing w:after="0" w:line="240" w:lineRule="auto"/>
              <w:rPr>
                <w:rFonts w:eastAsia="Times New Roman" w:cs="Calibri"/>
                <w:b/>
                <w:bCs/>
                <w:color w:val="000000"/>
                <w:lang w:eastAsia="fr-FR"/>
              </w:rPr>
            </w:pPr>
            <w:r w:rsidRPr="007F78CE">
              <w:rPr>
                <w:rFonts w:eastAsia="Times New Roman" w:cs="Calibri"/>
                <w:b/>
                <w:bCs/>
                <w:color w:val="000000"/>
                <w:lang w:eastAsia="fr-FR"/>
              </w:rPr>
              <w:t>Zone B : Très humide</w:t>
            </w:r>
          </w:p>
        </w:tc>
        <w:tc>
          <w:tcPr>
            <w:tcW w:w="3040" w:type="dxa"/>
            <w:tcBorders>
              <w:left w:val="nil"/>
              <w:right w:val="nil"/>
            </w:tcBorders>
            <w:shd w:val="clear" w:color="auto" w:fill="auto"/>
            <w:hideMark/>
          </w:tcPr>
          <w:p w14:paraId="0810D6DC" w14:textId="77777777" w:rsidR="00B02BFA" w:rsidRPr="007F78CE" w:rsidRDefault="00B02BFA" w:rsidP="007F78CE">
            <w:pPr>
              <w:spacing w:after="0" w:line="240" w:lineRule="auto"/>
              <w:rPr>
                <w:rFonts w:eastAsia="Times New Roman" w:cs="Calibri"/>
                <w:color w:val="000000"/>
                <w:lang w:eastAsia="fr-FR"/>
              </w:rPr>
            </w:pPr>
            <w:r w:rsidRPr="007F78CE">
              <w:rPr>
                <w:rFonts w:eastAsia="Times New Roman" w:cs="Calibri"/>
                <w:color w:val="000000"/>
                <w:lang w:eastAsia="fr-FR"/>
              </w:rPr>
              <w:t>Influence des régimes d’alizé atténuée</w:t>
            </w:r>
          </w:p>
        </w:tc>
        <w:tc>
          <w:tcPr>
            <w:tcW w:w="1460" w:type="dxa"/>
            <w:tcBorders>
              <w:left w:val="nil"/>
              <w:right w:val="nil"/>
            </w:tcBorders>
            <w:shd w:val="clear" w:color="auto" w:fill="auto"/>
            <w:hideMark/>
          </w:tcPr>
          <w:p w14:paraId="090F65CE" w14:textId="77777777" w:rsidR="00B02BFA" w:rsidRPr="007F78CE" w:rsidRDefault="00B02BFA" w:rsidP="007F78CE">
            <w:pPr>
              <w:spacing w:after="0" w:line="240" w:lineRule="auto"/>
              <w:jc w:val="center"/>
              <w:rPr>
                <w:rFonts w:eastAsia="Times New Roman" w:cs="Calibri"/>
                <w:color w:val="000000"/>
                <w:lang w:eastAsia="fr-FR"/>
              </w:rPr>
            </w:pPr>
            <w:r w:rsidRPr="007F78CE">
              <w:rPr>
                <w:rFonts w:eastAsia="Times New Roman" w:cs="Calibri"/>
                <w:color w:val="000000"/>
                <w:lang w:eastAsia="fr-FR"/>
              </w:rPr>
              <w:t>1350 – 2500</w:t>
            </w:r>
          </w:p>
        </w:tc>
        <w:tc>
          <w:tcPr>
            <w:tcW w:w="1480" w:type="dxa"/>
            <w:tcBorders>
              <w:left w:val="nil"/>
            </w:tcBorders>
            <w:shd w:val="clear" w:color="auto" w:fill="auto"/>
            <w:hideMark/>
          </w:tcPr>
          <w:p w14:paraId="2EC145EF" w14:textId="77777777" w:rsidR="00B02BFA" w:rsidRPr="007F78CE" w:rsidRDefault="00B02BFA" w:rsidP="007F78CE">
            <w:pPr>
              <w:spacing w:after="0" w:line="240" w:lineRule="auto"/>
              <w:jc w:val="center"/>
              <w:rPr>
                <w:rFonts w:eastAsia="Times New Roman" w:cs="Calibri"/>
                <w:color w:val="000000"/>
                <w:lang w:eastAsia="fr-FR"/>
              </w:rPr>
            </w:pPr>
            <w:r w:rsidRPr="007F78CE">
              <w:rPr>
                <w:rFonts w:eastAsia="Times New Roman" w:cs="Calibri"/>
                <w:color w:val="000000"/>
                <w:lang w:eastAsia="fr-FR"/>
              </w:rPr>
              <w:t>18°C - 22°C</w:t>
            </w:r>
          </w:p>
        </w:tc>
      </w:tr>
      <w:tr w:rsidR="0063584D" w:rsidRPr="007F78CE" w14:paraId="4FCFA034" w14:textId="77777777" w:rsidTr="007F78CE">
        <w:trPr>
          <w:trHeight w:val="600"/>
          <w:jc w:val="center"/>
        </w:trPr>
        <w:tc>
          <w:tcPr>
            <w:tcW w:w="1960" w:type="dxa"/>
            <w:shd w:val="clear" w:color="auto" w:fill="D3DFEE"/>
            <w:hideMark/>
          </w:tcPr>
          <w:p w14:paraId="1694F0DD" w14:textId="77777777" w:rsidR="00B02BFA" w:rsidRPr="007F78CE" w:rsidRDefault="00B02BFA" w:rsidP="007F78CE">
            <w:pPr>
              <w:spacing w:after="0" w:line="240" w:lineRule="auto"/>
              <w:rPr>
                <w:rFonts w:eastAsia="Times New Roman" w:cs="Calibri"/>
                <w:b/>
                <w:bCs/>
                <w:color w:val="000000"/>
                <w:lang w:eastAsia="fr-FR"/>
              </w:rPr>
            </w:pPr>
            <w:r w:rsidRPr="007F78CE">
              <w:rPr>
                <w:rFonts w:eastAsia="Times New Roman" w:cs="Calibri"/>
                <w:b/>
                <w:bCs/>
                <w:color w:val="000000"/>
                <w:lang w:eastAsia="fr-FR"/>
              </w:rPr>
              <w:lastRenderedPageBreak/>
              <w:t>Zone C : Humide à forte pluviosité</w:t>
            </w:r>
          </w:p>
        </w:tc>
        <w:tc>
          <w:tcPr>
            <w:tcW w:w="3040" w:type="dxa"/>
            <w:shd w:val="clear" w:color="auto" w:fill="D3DFEE"/>
            <w:hideMark/>
          </w:tcPr>
          <w:p w14:paraId="6AE90342" w14:textId="77777777" w:rsidR="00B02BFA" w:rsidRPr="007F78CE" w:rsidRDefault="00B02BFA" w:rsidP="007F78CE">
            <w:pPr>
              <w:spacing w:after="0" w:line="240" w:lineRule="auto"/>
              <w:rPr>
                <w:rFonts w:eastAsia="Times New Roman" w:cs="Calibri"/>
                <w:color w:val="000000"/>
                <w:lang w:eastAsia="fr-FR"/>
              </w:rPr>
            </w:pPr>
            <w:r w:rsidRPr="007F78CE">
              <w:rPr>
                <w:rFonts w:eastAsia="Times New Roman" w:cs="Calibri"/>
                <w:color w:val="000000"/>
                <w:lang w:eastAsia="fr-FR"/>
              </w:rPr>
              <w:t>Exposée directement au régime de mousson en été</w:t>
            </w:r>
          </w:p>
        </w:tc>
        <w:tc>
          <w:tcPr>
            <w:tcW w:w="1460" w:type="dxa"/>
            <w:shd w:val="clear" w:color="auto" w:fill="D3DFEE"/>
            <w:hideMark/>
          </w:tcPr>
          <w:p w14:paraId="082EE4EE" w14:textId="77777777" w:rsidR="00B02BFA" w:rsidRPr="007F78CE" w:rsidRDefault="00B02BFA" w:rsidP="007F78CE">
            <w:pPr>
              <w:spacing w:after="0" w:line="240" w:lineRule="auto"/>
              <w:jc w:val="center"/>
              <w:rPr>
                <w:rFonts w:eastAsia="Times New Roman" w:cs="Calibri"/>
                <w:color w:val="000000"/>
                <w:lang w:eastAsia="fr-FR"/>
              </w:rPr>
            </w:pPr>
            <w:r w:rsidRPr="007F78CE">
              <w:rPr>
                <w:rFonts w:eastAsia="Times New Roman" w:cs="Calibri"/>
                <w:color w:val="000000"/>
                <w:lang w:eastAsia="fr-FR"/>
              </w:rPr>
              <w:t>1200 – 2000</w:t>
            </w:r>
          </w:p>
        </w:tc>
        <w:tc>
          <w:tcPr>
            <w:tcW w:w="1480" w:type="dxa"/>
            <w:shd w:val="clear" w:color="auto" w:fill="D3DFEE"/>
            <w:hideMark/>
          </w:tcPr>
          <w:p w14:paraId="0A112BF2" w14:textId="77777777" w:rsidR="00B02BFA" w:rsidRPr="007F78CE" w:rsidRDefault="00B02BFA" w:rsidP="007F78CE">
            <w:pPr>
              <w:spacing w:after="0" w:line="240" w:lineRule="auto"/>
              <w:jc w:val="center"/>
              <w:rPr>
                <w:rFonts w:eastAsia="Times New Roman" w:cs="Calibri"/>
                <w:color w:val="000000"/>
                <w:lang w:eastAsia="fr-FR"/>
              </w:rPr>
            </w:pPr>
            <w:r w:rsidRPr="007F78CE">
              <w:rPr>
                <w:rFonts w:eastAsia="Times New Roman" w:cs="Calibri"/>
                <w:color w:val="000000"/>
                <w:lang w:eastAsia="fr-FR"/>
              </w:rPr>
              <w:t>≥26 °C</w:t>
            </w:r>
          </w:p>
        </w:tc>
      </w:tr>
      <w:tr w:rsidR="0063584D" w:rsidRPr="007F78CE" w14:paraId="5B47DC53" w14:textId="77777777" w:rsidTr="007F78CE">
        <w:trPr>
          <w:trHeight w:val="600"/>
          <w:jc w:val="center"/>
        </w:trPr>
        <w:tc>
          <w:tcPr>
            <w:tcW w:w="1960" w:type="dxa"/>
            <w:tcBorders>
              <w:right w:val="nil"/>
            </w:tcBorders>
            <w:shd w:val="clear" w:color="auto" w:fill="auto"/>
            <w:hideMark/>
          </w:tcPr>
          <w:p w14:paraId="6B41DB0E" w14:textId="77777777" w:rsidR="00B02BFA" w:rsidRPr="007F78CE" w:rsidRDefault="00B02BFA" w:rsidP="007F78CE">
            <w:pPr>
              <w:spacing w:after="0" w:line="240" w:lineRule="auto"/>
              <w:rPr>
                <w:rFonts w:eastAsia="Times New Roman" w:cs="Calibri"/>
                <w:b/>
                <w:bCs/>
                <w:color w:val="000000"/>
                <w:lang w:eastAsia="fr-FR"/>
              </w:rPr>
            </w:pPr>
            <w:r w:rsidRPr="007F78CE">
              <w:rPr>
                <w:rFonts w:eastAsia="Times New Roman" w:cs="Calibri"/>
                <w:b/>
                <w:bCs/>
                <w:color w:val="000000"/>
                <w:lang w:eastAsia="fr-FR"/>
              </w:rPr>
              <w:t>Zone D : Humide</w:t>
            </w:r>
          </w:p>
        </w:tc>
        <w:tc>
          <w:tcPr>
            <w:tcW w:w="3040" w:type="dxa"/>
            <w:tcBorders>
              <w:left w:val="nil"/>
              <w:right w:val="nil"/>
            </w:tcBorders>
            <w:shd w:val="clear" w:color="auto" w:fill="auto"/>
            <w:hideMark/>
          </w:tcPr>
          <w:p w14:paraId="587DA511" w14:textId="77777777" w:rsidR="00B02BFA" w:rsidRPr="007F78CE" w:rsidRDefault="00B02BFA" w:rsidP="007F78CE">
            <w:pPr>
              <w:spacing w:after="0" w:line="240" w:lineRule="auto"/>
              <w:rPr>
                <w:rFonts w:eastAsia="Times New Roman" w:cs="Calibri"/>
                <w:color w:val="000000"/>
                <w:lang w:eastAsia="fr-FR"/>
              </w:rPr>
            </w:pPr>
            <w:r w:rsidRPr="007F78CE">
              <w:rPr>
                <w:rFonts w:eastAsia="Times New Roman" w:cs="Calibri"/>
                <w:color w:val="000000"/>
                <w:lang w:eastAsia="fr-FR"/>
              </w:rPr>
              <w:t>Climat adouci par le relief ; pluie concentrée en été</w:t>
            </w:r>
          </w:p>
        </w:tc>
        <w:tc>
          <w:tcPr>
            <w:tcW w:w="1460" w:type="dxa"/>
            <w:tcBorders>
              <w:left w:val="nil"/>
              <w:right w:val="nil"/>
            </w:tcBorders>
            <w:shd w:val="clear" w:color="auto" w:fill="auto"/>
            <w:hideMark/>
          </w:tcPr>
          <w:p w14:paraId="6732561D" w14:textId="77777777" w:rsidR="00B02BFA" w:rsidRPr="007F78CE" w:rsidRDefault="00B02BFA" w:rsidP="007F78CE">
            <w:pPr>
              <w:spacing w:after="0" w:line="240" w:lineRule="auto"/>
              <w:jc w:val="center"/>
              <w:rPr>
                <w:rFonts w:eastAsia="Times New Roman" w:cs="Calibri"/>
                <w:color w:val="000000"/>
                <w:lang w:eastAsia="fr-FR"/>
              </w:rPr>
            </w:pPr>
            <w:r w:rsidRPr="007F78CE">
              <w:rPr>
                <w:rFonts w:eastAsia="Times New Roman" w:cs="Calibri"/>
                <w:color w:val="000000"/>
                <w:lang w:eastAsia="fr-FR"/>
              </w:rPr>
              <w:t>1250-1500</w:t>
            </w:r>
          </w:p>
        </w:tc>
        <w:tc>
          <w:tcPr>
            <w:tcW w:w="1480" w:type="dxa"/>
            <w:tcBorders>
              <w:left w:val="nil"/>
            </w:tcBorders>
            <w:shd w:val="clear" w:color="auto" w:fill="auto"/>
            <w:hideMark/>
          </w:tcPr>
          <w:p w14:paraId="111E87AE" w14:textId="77777777" w:rsidR="00B02BFA" w:rsidRPr="007F78CE" w:rsidRDefault="00B02BFA" w:rsidP="007F78CE">
            <w:pPr>
              <w:spacing w:after="0" w:line="240" w:lineRule="auto"/>
              <w:jc w:val="center"/>
              <w:rPr>
                <w:rFonts w:eastAsia="Times New Roman" w:cs="Calibri"/>
                <w:color w:val="000000"/>
                <w:lang w:eastAsia="fr-FR"/>
              </w:rPr>
            </w:pPr>
            <w:r w:rsidRPr="007F78CE">
              <w:rPr>
                <w:rFonts w:eastAsia="Times New Roman" w:cs="Calibri"/>
                <w:color w:val="000000"/>
                <w:lang w:eastAsia="fr-FR"/>
              </w:rPr>
              <w:t>≥19 °C</w:t>
            </w:r>
          </w:p>
        </w:tc>
      </w:tr>
      <w:tr w:rsidR="0063584D" w:rsidRPr="007F78CE" w14:paraId="6975DB8C" w14:textId="77777777" w:rsidTr="007F78CE">
        <w:trPr>
          <w:trHeight w:val="600"/>
          <w:jc w:val="center"/>
        </w:trPr>
        <w:tc>
          <w:tcPr>
            <w:tcW w:w="1960" w:type="dxa"/>
            <w:shd w:val="clear" w:color="auto" w:fill="D3DFEE"/>
            <w:hideMark/>
          </w:tcPr>
          <w:p w14:paraId="6EDC4C3E" w14:textId="77777777" w:rsidR="00B02BFA" w:rsidRPr="007F78CE" w:rsidRDefault="00B02BFA" w:rsidP="007F78CE">
            <w:pPr>
              <w:spacing w:after="0" w:line="240" w:lineRule="auto"/>
              <w:rPr>
                <w:rFonts w:eastAsia="Times New Roman" w:cs="Calibri"/>
                <w:b/>
                <w:bCs/>
                <w:color w:val="000000"/>
                <w:lang w:eastAsia="fr-FR"/>
              </w:rPr>
            </w:pPr>
            <w:r w:rsidRPr="007F78CE">
              <w:rPr>
                <w:rFonts w:eastAsia="Times New Roman" w:cs="Calibri"/>
                <w:b/>
                <w:bCs/>
                <w:color w:val="000000"/>
                <w:lang w:eastAsia="fr-FR"/>
              </w:rPr>
              <w:t>Zone E : Humide toute l’année</w:t>
            </w:r>
          </w:p>
        </w:tc>
        <w:tc>
          <w:tcPr>
            <w:tcW w:w="3040" w:type="dxa"/>
            <w:shd w:val="clear" w:color="auto" w:fill="D3DFEE"/>
            <w:hideMark/>
          </w:tcPr>
          <w:p w14:paraId="1465DC8A" w14:textId="77777777" w:rsidR="00B02BFA" w:rsidRPr="007F78CE" w:rsidRDefault="00B02BFA" w:rsidP="007F78CE">
            <w:pPr>
              <w:spacing w:after="0" w:line="240" w:lineRule="auto"/>
              <w:rPr>
                <w:rFonts w:eastAsia="Times New Roman" w:cs="Calibri"/>
                <w:color w:val="000000"/>
                <w:lang w:eastAsia="fr-FR"/>
              </w:rPr>
            </w:pPr>
            <w:r w:rsidRPr="007F78CE">
              <w:rPr>
                <w:rFonts w:eastAsia="Times New Roman" w:cs="Calibri"/>
                <w:color w:val="000000"/>
                <w:lang w:eastAsia="fr-FR"/>
              </w:rPr>
              <w:t>Exposée directement au régime d’alizé</w:t>
            </w:r>
          </w:p>
        </w:tc>
        <w:tc>
          <w:tcPr>
            <w:tcW w:w="1460" w:type="dxa"/>
            <w:shd w:val="clear" w:color="auto" w:fill="D3DFEE"/>
            <w:hideMark/>
          </w:tcPr>
          <w:p w14:paraId="22CA50E8" w14:textId="77777777" w:rsidR="00B02BFA" w:rsidRPr="007F78CE" w:rsidRDefault="00B02BFA" w:rsidP="007F78CE">
            <w:pPr>
              <w:spacing w:after="0" w:line="240" w:lineRule="auto"/>
              <w:jc w:val="center"/>
              <w:rPr>
                <w:rFonts w:eastAsia="Times New Roman" w:cs="Calibri"/>
                <w:color w:val="000000"/>
                <w:lang w:eastAsia="fr-FR"/>
              </w:rPr>
            </w:pPr>
            <w:r w:rsidRPr="007F78CE">
              <w:rPr>
                <w:rFonts w:eastAsia="Times New Roman" w:cs="Calibri"/>
                <w:color w:val="000000"/>
                <w:lang w:eastAsia="fr-FR"/>
              </w:rPr>
              <w:t>1400 – 1700</w:t>
            </w:r>
          </w:p>
        </w:tc>
        <w:tc>
          <w:tcPr>
            <w:tcW w:w="1480" w:type="dxa"/>
            <w:shd w:val="clear" w:color="auto" w:fill="D3DFEE"/>
            <w:hideMark/>
          </w:tcPr>
          <w:p w14:paraId="468EA5A7" w14:textId="77777777" w:rsidR="00B02BFA" w:rsidRPr="007F78CE" w:rsidRDefault="00B02BFA" w:rsidP="007F78CE">
            <w:pPr>
              <w:spacing w:after="0" w:line="240" w:lineRule="auto"/>
              <w:jc w:val="center"/>
              <w:rPr>
                <w:rFonts w:eastAsia="Times New Roman" w:cs="Calibri"/>
                <w:color w:val="000000"/>
                <w:lang w:eastAsia="fr-FR"/>
              </w:rPr>
            </w:pPr>
            <w:r w:rsidRPr="007F78CE">
              <w:rPr>
                <w:rFonts w:eastAsia="Times New Roman" w:cs="Calibri"/>
                <w:color w:val="000000"/>
                <w:lang w:eastAsia="fr-FR"/>
              </w:rPr>
              <w:t>≥21 °C</w:t>
            </w:r>
          </w:p>
        </w:tc>
      </w:tr>
      <w:tr w:rsidR="0063584D" w:rsidRPr="007F78CE" w14:paraId="532D67E5" w14:textId="77777777" w:rsidTr="007F78CE">
        <w:trPr>
          <w:trHeight w:val="600"/>
          <w:jc w:val="center"/>
        </w:trPr>
        <w:tc>
          <w:tcPr>
            <w:tcW w:w="1960" w:type="dxa"/>
            <w:tcBorders>
              <w:right w:val="nil"/>
            </w:tcBorders>
            <w:shd w:val="clear" w:color="auto" w:fill="auto"/>
            <w:hideMark/>
          </w:tcPr>
          <w:p w14:paraId="69746891" w14:textId="77777777" w:rsidR="00B02BFA" w:rsidRPr="007F78CE" w:rsidRDefault="00B02BFA" w:rsidP="007F78CE">
            <w:pPr>
              <w:spacing w:after="0" w:line="240" w:lineRule="auto"/>
              <w:rPr>
                <w:rFonts w:eastAsia="Times New Roman" w:cs="Calibri"/>
                <w:b/>
                <w:bCs/>
                <w:color w:val="000000"/>
                <w:lang w:eastAsia="fr-FR"/>
              </w:rPr>
            </w:pPr>
            <w:r w:rsidRPr="007F78CE">
              <w:rPr>
                <w:rFonts w:eastAsia="Times New Roman" w:cs="Calibri"/>
                <w:b/>
                <w:bCs/>
                <w:color w:val="000000"/>
                <w:lang w:eastAsia="fr-FR"/>
              </w:rPr>
              <w:t>Zone F : Humide à faible précipitation</w:t>
            </w:r>
          </w:p>
        </w:tc>
        <w:tc>
          <w:tcPr>
            <w:tcW w:w="3040" w:type="dxa"/>
            <w:tcBorders>
              <w:left w:val="nil"/>
              <w:right w:val="nil"/>
            </w:tcBorders>
            <w:shd w:val="clear" w:color="auto" w:fill="auto"/>
            <w:hideMark/>
          </w:tcPr>
          <w:p w14:paraId="31DC734B" w14:textId="77777777" w:rsidR="00B02BFA" w:rsidRPr="007F78CE" w:rsidRDefault="00B02BFA" w:rsidP="007F78CE">
            <w:pPr>
              <w:spacing w:after="0" w:line="240" w:lineRule="auto"/>
              <w:rPr>
                <w:rFonts w:eastAsia="Times New Roman" w:cs="Calibri"/>
                <w:color w:val="000000"/>
                <w:lang w:eastAsia="fr-FR"/>
              </w:rPr>
            </w:pPr>
            <w:r w:rsidRPr="007F78CE">
              <w:rPr>
                <w:rFonts w:eastAsia="Times New Roman" w:cs="Calibri"/>
                <w:color w:val="000000"/>
                <w:lang w:eastAsia="fr-FR"/>
              </w:rPr>
              <w:t>Hiver sec</w:t>
            </w:r>
          </w:p>
        </w:tc>
        <w:tc>
          <w:tcPr>
            <w:tcW w:w="1460" w:type="dxa"/>
            <w:tcBorders>
              <w:left w:val="nil"/>
              <w:right w:val="nil"/>
            </w:tcBorders>
            <w:shd w:val="clear" w:color="auto" w:fill="auto"/>
            <w:hideMark/>
          </w:tcPr>
          <w:p w14:paraId="713FDE4F" w14:textId="77777777" w:rsidR="00B02BFA" w:rsidRPr="007F78CE" w:rsidRDefault="00B02BFA" w:rsidP="007F78CE">
            <w:pPr>
              <w:spacing w:after="0" w:line="240" w:lineRule="auto"/>
              <w:jc w:val="center"/>
              <w:rPr>
                <w:rFonts w:eastAsia="Times New Roman" w:cs="Calibri"/>
                <w:color w:val="000000"/>
                <w:lang w:eastAsia="fr-FR"/>
              </w:rPr>
            </w:pPr>
            <w:r w:rsidRPr="007F78CE">
              <w:rPr>
                <w:rFonts w:eastAsia="Times New Roman" w:cs="Calibri"/>
                <w:color w:val="000000"/>
                <w:lang w:eastAsia="fr-FR"/>
              </w:rPr>
              <w:t>800 – 1100</w:t>
            </w:r>
          </w:p>
        </w:tc>
        <w:tc>
          <w:tcPr>
            <w:tcW w:w="1480" w:type="dxa"/>
            <w:tcBorders>
              <w:left w:val="nil"/>
            </w:tcBorders>
            <w:shd w:val="clear" w:color="auto" w:fill="auto"/>
            <w:hideMark/>
          </w:tcPr>
          <w:p w14:paraId="3A406347" w14:textId="77777777" w:rsidR="00B02BFA" w:rsidRPr="007F78CE" w:rsidRDefault="00B02BFA" w:rsidP="007F78CE">
            <w:pPr>
              <w:spacing w:after="0" w:line="240" w:lineRule="auto"/>
              <w:jc w:val="center"/>
              <w:rPr>
                <w:rFonts w:eastAsia="Times New Roman" w:cs="Calibri"/>
                <w:color w:val="000000"/>
                <w:lang w:eastAsia="fr-FR"/>
              </w:rPr>
            </w:pPr>
            <w:r w:rsidRPr="007F78CE">
              <w:rPr>
                <w:rFonts w:eastAsia="Times New Roman" w:cs="Calibri"/>
                <w:color w:val="000000"/>
                <w:lang w:eastAsia="fr-FR"/>
              </w:rPr>
              <w:t>18°C- 25°C</w:t>
            </w:r>
          </w:p>
        </w:tc>
      </w:tr>
      <w:tr w:rsidR="0063584D" w:rsidRPr="007F78CE" w14:paraId="144B78E4" w14:textId="77777777" w:rsidTr="007F78CE">
        <w:trPr>
          <w:trHeight w:val="600"/>
          <w:jc w:val="center"/>
        </w:trPr>
        <w:tc>
          <w:tcPr>
            <w:tcW w:w="1960" w:type="dxa"/>
            <w:shd w:val="clear" w:color="auto" w:fill="D3DFEE"/>
            <w:hideMark/>
          </w:tcPr>
          <w:p w14:paraId="0FF79283" w14:textId="77777777" w:rsidR="00B02BFA" w:rsidRPr="007F78CE" w:rsidRDefault="00B02BFA" w:rsidP="007F78CE">
            <w:pPr>
              <w:spacing w:after="0" w:line="240" w:lineRule="auto"/>
              <w:rPr>
                <w:rFonts w:eastAsia="Times New Roman" w:cs="Calibri"/>
                <w:b/>
                <w:bCs/>
                <w:color w:val="000000"/>
                <w:lang w:eastAsia="fr-FR"/>
              </w:rPr>
            </w:pPr>
            <w:r w:rsidRPr="007F78CE">
              <w:rPr>
                <w:rFonts w:eastAsia="Times New Roman" w:cs="Calibri"/>
                <w:b/>
                <w:bCs/>
                <w:color w:val="000000"/>
                <w:lang w:eastAsia="fr-FR"/>
              </w:rPr>
              <w:t>Zone G : Semi humide venteux</w:t>
            </w:r>
          </w:p>
        </w:tc>
        <w:tc>
          <w:tcPr>
            <w:tcW w:w="3040" w:type="dxa"/>
            <w:shd w:val="clear" w:color="auto" w:fill="D3DFEE"/>
            <w:hideMark/>
          </w:tcPr>
          <w:p w14:paraId="27BC68A9" w14:textId="77777777" w:rsidR="00B02BFA" w:rsidRPr="007F78CE" w:rsidRDefault="00B02BFA" w:rsidP="007F78CE">
            <w:pPr>
              <w:spacing w:after="0" w:line="240" w:lineRule="auto"/>
              <w:rPr>
                <w:rFonts w:eastAsia="Times New Roman" w:cs="Calibri"/>
                <w:color w:val="000000"/>
                <w:lang w:eastAsia="fr-FR"/>
              </w:rPr>
            </w:pPr>
            <w:r w:rsidRPr="007F78CE">
              <w:rPr>
                <w:rFonts w:eastAsia="Times New Roman" w:cs="Calibri"/>
                <w:color w:val="000000"/>
                <w:lang w:eastAsia="fr-FR"/>
              </w:rPr>
              <w:t>Influence des régimes d’alizé</w:t>
            </w:r>
          </w:p>
        </w:tc>
        <w:tc>
          <w:tcPr>
            <w:tcW w:w="1460" w:type="dxa"/>
            <w:shd w:val="clear" w:color="auto" w:fill="D3DFEE"/>
            <w:hideMark/>
          </w:tcPr>
          <w:p w14:paraId="0207D04C" w14:textId="77777777" w:rsidR="00B02BFA" w:rsidRPr="007F78CE" w:rsidRDefault="00B02BFA" w:rsidP="007F78CE">
            <w:pPr>
              <w:spacing w:after="0" w:line="240" w:lineRule="auto"/>
              <w:jc w:val="center"/>
              <w:rPr>
                <w:rFonts w:eastAsia="Times New Roman" w:cs="Calibri"/>
                <w:color w:val="000000"/>
                <w:lang w:eastAsia="fr-FR"/>
              </w:rPr>
            </w:pPr>
            <w:r w:rsidRPr="007F78CE">
              <w:rPr>
                <w:rFonts w:eastAsia="Times New Roman" w:cs="Calibri"/>
                <w:color w:val="000000"/>
                <w:lang w:eastAsia="fr-FR"/>
              </w:rPr>
              <w:t>700 – 1200</w:t>
            </w:r>
          </w:p>
        </w:tc>
        <w:tc>
          <w:tcPr>
            <w:tcW w:w="1480" w:type="dxa"/>
            <w:shd w:val="clear" w:color="auto" w:fill="D3DFEE"/>
            <w:hideMark/>
          </w:tcPr>
          <w:p w14:paraId="00CEB03B" w14:textId="77777777" w:rsidR="00B02BFA" w:rsidRPr="007F78CE" w:rsidRDefault="00B02BFA" w:rsidP="007F78CE">
            <w:pPr>
              <w:spacing w:after="0" w:line="240" w:lineRule="auto"/>
              <w:jc w:val="center"/>
              <w:rPr>
                <w:rFonts w:eastAsia="Times New Roman" w:cs="Calibri"/>
                <w:color w:val="000000"/>
                <w:lang w:eastAsia="fr-FR"/>
              </w:rPr>
            </w:pPr>
            <w:r w:rsidRPr="007F78CE">
              <w:rPr>
                <w:rFonts w:eastAsia="Times New Roman" w:cs="Calibri"/>
                <w:color w:val="000000"/>
                <w:lang w:eastAsia="fr-FR"/>
              </w:rPr>
              <w:t>≥23 °C</w:t>
            </w:r>
          </w:p>
        </w:tc>
      </w:tr>
      <w:tr w:rsidR="0063584D" w:rsidRPr="007F78CE" w14:paraId="32114D6C" w14:textId="77777777" w:rsidTr="007F78CE">
        <w:trPr>
          <w:trHeight w:val="600"/>
          <w:jc w:val="center"/>
        </w:trPr>
        <w:tc>
          <w:tcPr>
            <w:tcW w:w="1960" w:type="dxa"/>
            <w:tcBorders>
              <w:right w:val="nil"/>
            </w:tcBorders>
            <w:shd w:val="clear" w:color="auto" w:fill="auto"/>
            <w:hideMark/>
          </w:tcPr>
          <w:p w14:paraId="2E6988CF" w14:textId="77777777" w:rsidR="00B02BFA" w:rsidRPr="007F78CE" w:rsidRDefault="00B02BFA" w:rsidP="007F78CE">
            <w:pPr>
              <w:spacing w:after="0" w:line="240" w:lineRule="auto"/>
              <w:rPr>
                <w:rFonts w:eastAsia="Times New Roman" w:cs="Calibri"/>
                <w:b/>
                <w:bCs/>
                <w:color w:val="000000"/>
                <w:lang w:eastAsia="fr-FR"/>
              </w:rPr>
            </w:pPr>
            <w:r w:rsidRPr="007F78CE">
              <w:rPr>
                <w:rFonts w:eastAsia="Times New Roman" w:cs="Calibri"/>
                <w:b/>
                <w:bCs/>
                <w:color w:val="000000"/>
                <w:lang w:eastAsia="fr-FR"/>
              </w:rPr>
              <w:t>Zone H : Semi humide</w:t>
            </w:r>
          </w:p>
        </w:tc>
        <w:tc>
          <w:tcPr>
            <w:tcW w:w="3040" w:type="dxa"/>
            <w:tcBorders>
              <w:left w:val="nil"/>
              <w:right w:val="nil"/>
            </w:tcBorders>
            <w:shd w:val="clear" w:color="auto" w:fill="auto"/>
            <w:hideMark/>
          </w:tcPr>
          <w:p w14:paraId="21B22694" w14:textId="77777777" w:rsidR="00B02BFA" w:rsidRPr="007F78CE" w:rsidRDefault="00B02BFA" w:rsidP="007F78CE">
            <w:pPr>
              <w:spacing w:after="0" w:line="240" w:lineRule="auto"/>
              <w:rPr>
                <w:rFonts w:eastAsia="Times New Roman" w:cs="Calibri"/>
                <w:color w:val="000000"/>
                <w:lang w:eastAsia="fr-FR"/>
              </w:rPr>
            </w:pPr>
            <w:r w:rsidRPr="007F78CE">
              <w:rPr>
                <w:rFonts w:eastAsia="Times New Roman" w:cs="Calibri"/>
                <w:color w:val="000000"/>
                <w:lang w:eastAsia="fr-FR"/>
              </w:rPr>
              <w:t>Influence des effets locaux (brises)</w:t>
            </w:r>
          </w:p>
        </w:tc>
        <w:tc>
          <w:tcPr>
            <w:tcW w:w="1460" w:type="dxa"/>
            <w:tcBorders>
              <w:left w:val="nil"/>
              <w:right w:val="nil"/>
            </w:tcBorders>
            <w:shd w:val="clear" w:color="auto" w:fill="auto"/>
            <w:hideMark/>
          </w:tcPr>
          <w:p w14:paraId="4A7EBC5A" w14:textId="77777777" w:rsidR="00B02BFA" w:rsidRPr="007F78CE" w:rsidRDefault="00B02BFA" w:rsidP="007F78CE">
            <w:pPr>
              <w:spacing w:after="0" w:line="240" w:lineRule="auto"/>
              <w:jc w:val="center"/>
              <w:rPr>
                <w:rFonts w:eastAsia="Times New Roman" w:cs="Calibri"/>
                <w:color w:val="000000"/>
                <w:lang w:eastAsia="fr-FR"/>
              </w:rPr>
            </w:pPr>
            <w:r w:rsidRPr="007F78CE">
              <w:rPr>
                <w:rFonts w:eastAsia="Times New Roman" w:cs="Calibri"/>
                <w:color w:val="000000"/>
                <w:lang w:eastAsia="fr-FR"/>
              </w:rPr>
              <w:t>600 – 800</w:t>
            </w:r>
          </w:p>
        </w:tc>
        <w:tc>
          <w:tcPr>
            <w:tcW w:w="1480" w:type="dxa"/>
            <w:tcBorders>
              <w:left w:val="nil"/>
            </w:tcBorders>
            <w:shd w:val="clear" w:color="auto" w:fill="auto"/>
            <w:hideMark/>
          </w:tcPr>
          <w:p w14:paraId="7B0CB88F" w14:textId="77777777" w:rsidR="00B02BFA" w:rsidRPr="007F78CE" w:rsidRDefault="00B02BFA" w:rsidP="007F78CE">
            <w:pPr>
              <w:spacing w:after="0" w:line="240" w:lineRule="auto"/>
              <w:jc w:val="center"/>
              <w:rPr>
                <w:rFonts w:eastAsia="Times New Roman" w:cs="Calibri"/>
                <w:color w:val="000000"/>
                <w:lang w:eastAsia="fr-FR"/>
              </w:rPr>
            </w:pPr>
            <w:r w:rsidRPr="007F78CE">
              <w:rPr>
                <w:rFonts w:eastAsia="Times New Roman" w:cs="Calibri"/>
                <w:color w:val="000000"/>
                <w:lang w:eastAsia="fr-FR"/>
              </w:rPr>
              <w:t>≥23 °C</w:t>
            </w:r>
          </w:p>
        </w:tc>
      </w:tr>
      <w:tr w:rsidR="0063584D" w:rsidRPr="007F78CE" w14:paraId="6B1FE508" w14:textId="77777777" w:rsidTr="007F78CE">
        <w:trPr>
          <w:trHeight w:val="900"/>
          <w:jc w:val="center"/>
        </w:trPr>
        <w:tc>
          <w:tcPr>
            <w:tcW w:w="1960" w:type="dxa"/>
            <w:shd w:val="clear" w:color="auto" w:fill="D3DFEE"/>
            <w:hideMark/>
          </w:tcPr>
          <w:p w14:paraId="5CD3EB4B" w14:textId="77777777" w:rsidR="00B02BFA" w:rsidRPr="007F78CE" w:rsidRDefault="00B02BFA" w:rsidP="007F78CE">
            <w:pPr>
              <w:spacing w:after="0" w:line="240" w:lineRule="auto"/>
              <w:rPr>
                <w:rFonts w:eastAsia="Times New Roman" w:cs="Calibri"/>
                <w:b/>
                <w:bCs/>
                <w:color w:val="000000"/>
                <w:lang w:eastAsia="fr-FR"/>
              </w:rPr>
            </w:pPr>
            <w:r w:rsidRPr="007F78CE">
              <w:rPr>
                <w:rFonts w:eastAsia="Times New Roman" w:cs="Calibri"/>
                <w:b/>
                <w:bCs/>
                <w:color w:val="000000"/>
                <w:lang w:eastAsia="fr-FR"/>
              </w:rPr>
              <w:t>Zone I : Semi humide à faible pluviosité</w:t>
            </w:r>
          </w:p>
        </w:tc>
        <w:tc>
          <w:tcPr>
            <w:tcW w:w="3040" w:type="dxa"/>
            <w:shd w:val="clear" w:color="auto" w:fill="D3DFEE"/>
            <w:hideMark/>
          </w:tcPr>
          <w:p w14:paraId="48F68BE4" w14:textId="77777777" w:rsidR="00B02BFA" w:rsidRPr="007F78CE" w:rsidRDefault="00B02BFA" w:rsidP="007F78CE">
            <w:pPr>
              <w:spacing w:after="0" w:line="240" w:lineRule="auto"/>
              <w:rPr>
                <w:rFonts w:eastAsia="Times New Roman" w:cs="Calibri"/>
                <w:color w:val="000000"/>
                <w:lang w:eastAsia="fr-FR"/>
              </w:rPr>
            </w:pPr>
          </w:p>
        </w:tc>
        <w:tc>
          <w:tcPr>
            <w:tcW w:w="1460" w:type="dxa"/>
            <w:shd w:val="clear" w:color="auto" w:fill="D3DFEE"/>
            <w:hideMark/>
          </w:tcPr>
          <w:p w14:paraId="35617608" w14:textId="77777777" w:rsidR="00B02BFA" w:rsidRPr="007F78CE" w:rsidRDefault="00B02BFA" w:rsidP="007F78CE">
            <w:pPr>
              <w:spacing w:after="0" w:line="240" w:lineRule="auto"/>
              <w:jc w:val="center"/>
              <w:rPr>
                <w:rFonts w:eastAsia="Times New Roman" w:cs="Calibri"/>
                <w:color w:val="000000"/>
                <w:lang w:eastAsia="fr-FR"/>
              </w:rPr>
            </w:pPr>
            <w:r w:rsidRPr="007F78CE">
              <w:rPr>
                <w:rFonts w:eastAsia="Times New Roman" w:cs="Calibri"/>
                <w:color w:val="000000"/>
                <w:lang w:eastAsia="fr-FR"/>
              </w:rPr>
              <w:t>~500</w:t>
            </w:r>
          </w:p>
        </w:tc>
        <w:tc>
          <w:tcPr>
            <w:tcW w:w="1480" w:type="dxa"/>
            <w:shd w:val="clear" w:color="auto" w:fill="D3DFEE"/>
            <w:hideMark/>
          </w:tcPr>
          <w:p w14:paraId="76F9E054" w14:textId="77777777" w:rsidR="00B02BFA" w:rsidRPr="007F78CE" w:rsidRDefault="00B02BFA" w:rsidP="007F78CE">
            <w:pPr>
              <w:spacing w:after="0" w:line="240" w:lineRule="auto"/>
              <w:jc w:val="center"/>
              <w:rPr>
                <w:rFonts w:eastAsia="Times New Roman" w:cs="Calibri"/>
                <w:color w:val="000000"/>
                <w:lang w:eastAsia="fr-FR"/>
              </w:rPr>
            </w:pPr>
            <w:r w:rsidRPr="007F78CE">
              <w:rPr>
                <w:rFonts w:eastAsia="Times New Roman" w:cs="Calibri"/>
                <w:color w:val="000000"/>
                <w:lang w:eastAsia="fr-FR"/>
              </w:rPr>
              <w:t>≥23 °C</w:t>
            </w:r>
          </w:p>
        </w:tc>
      </w:tr>
      <w:tr w:rsidR="0063584D" w:rsidRPr="007F78CE" w14:paraId="37D9F700" w14:textId="77777777" w:rsidTr="007F78CE">
        <w:trPr>
          <w:trHeight w:val="600"/>
          <w:jc w:val="center"/>
        </w:trPr>
        <w:tc>
          <w:tcPr>
            <w:tcW w:w="1960" w:type="dxa"/>
            <w:tcBorders>
              <w:right w:val="nil"/>
            </w:tcBorders>
            <w:shd w:val="clear" w:color="auto" w:fill="auto"/>
            <w:hideMark/>
          </w:tcPr>
          <w:p w14:paraId="41A2611D" w14:textId="77777777" w:rsidR="00B02BFA" w:rsidRPr="007F78CE" w:rsidRDefault="00B02BFA" w:rsidP="007F78CE">
            <w:pPr>
              <w:spacing w:after="0" w:line="240" w:lineRule="auto"/>
              <w:rPr>
                <w:rFonts w:eastAsia="Times New Roman" w:cs="Calibri"/>
                <w:b/>
                <w:bCs/>
                <w:color w:val="000000"/>
                <w:lang w:eastAsia="fr-FR"/>
              </w:rPr>
            </w:pPr>
            <w:r w:rsidRPr="007F78CE">
              <w:rPr>
                <w:rFonts w:eastAsia="Times New Roman" w:cs="Calibri"/>
                <w:b/>
                <w:bCs/>
                <w:color w:val="000000"/>
                <w:lang w:eastAsia="fr-FR"/>
              </w:rPr>
              <w:t>Zone J : Semi-aride</w:t>
            </w:r>
          </w:p>
        </w:tc>
        <w:tc>
          <w:tcPr>
            <w:tcW w:w="3040" w:type="dxa"/>
            <w:tcBorders>
              <w:left w:val="nil"/>
              <w:right w:val="nil"/>
            </w:tcBorders>
            <w:shd w:val="clear" w:color="auto" w:fill="auto"/>
            <w:hideMark/>
          </w:tcPr>
          <w:p w14:paraId="0D745D18" w14:textId="77777777" w:rsidR="00B02BFA" w:rsidRPr="007F78CE" w:rsidRDefault="00B02BFA" w:rsidP="009A08CB">
            <w:pPr>
              <w:spacing w:after="0" w:line="240" w:lineRule="auto"/>
              <w:rPr>
                <w:rFonts w:eastAsia="Times New Roman" w:cs="Calibri"/>
                <w:color w:val="000000"/>
                <w:lang w:eastAsia="fr-FR"/>
              </w:rPr>
            </w:pPr>
            <w:r w:rsidRPr="007F78CE">
              <w:rPr>
                <w:rFonts w:eastAsia="Times New Roman" w:cs="Calibri"/>
                <w:color w:val="000000"/>
                <w:lang w:eastAsia="fr-FR"/>
              </w:rPr>
              <w:t>Nombre annuel de jours de pluie</w:t>
            </w:r>
          </w:p>
        </w:tc>
        <w:tc>
          <w:tcPr>
            <w:tcW w:w="1460" w:type="dxa"/>
            <w:tcBorders>
              <w:left w:val="nil"/>
              <w:right w:val="nil"/>
            </w:tcBorders>
            <w:shd w:val="clear" w:color="auto" w:fill="auto"/>
            <w:hideMark/>
          </w:tcPr>
          <w:p w14:paraId="4424271A" w14:textId="77777777" w:rsidR="00B02BFA" w:rsidRPr="007F78CE" w:rsidRDefault="00B02BFA" w:rsidP="007F78CE">
            <w:pPr>
              <w:spacing w:after="0" w:line="240" w:lineRule="auto"/>
              <w:jc w:val="center"/>
              <w:rPr>
                <w:rFonts w:eastAsia="Times New Roman" w:cs="Calibri"/>
                <w:color w:val="000000"/>
                <w:lang w:eastAsia="fr-FR"/>
              </w:rPr>
            </w:pPr>
            <w:r w:rsidRPr="007F78CE">
              <w:rPr>
                <w:rFonts w:eastAsia="Times New Roman" w:cs="Calibri"/>
                <w:color w:val="000000"/>
                <w:lang w:eastAsia="fr-FR"/>
              </w:rPr>
              <w:t>&lt; 500</w:t>
            </w:r>
          </w:p>
        </w:tc>
        <w:tc>
          <w:tcPr>
            <w:tcW w:w="1480" w:type="dxa"/>
            <w:tcBorders>
              <w:left w:val="nil"/>
            </w:tcBorders>
            <w:shd w:val="clear" w:color="auto" w:fill="auto"/>
            <w:hideMark/>
          </w:tcPr>
          <w:p w14:paraId="39FCF1ED" w14:textId="77777777" w:rsidR="00B02BFA" w:rsidRPr="007F78CE" w:rsidRDefault="00B02BFA" w:rsidP="007F78CE">
            <w:pPr>
              <w:spacing w:after="0" w:line="240" w:lineRule="auto"/>
              <w:jc w:val="center"/>
              <w:rPr>
                <w:rFonts w:eastAsia="Times New Roman" w:cs="Calibri"/>
                <w:color w:val="000000"/>
                <w:lang w:eastAsia="fr-FR"/>
              </w:rPr>
            </w:pPr>
            <w:r w:rsidRPr="007F78CE">
              <w:rPr>
                <w:rFonts w:eastAsia="Times New Roman" w:cs="Calibri"/>
                <w:color w:val="000000"/>
                <w:lang w:eastAsia="fr-FR"/>
              </w:rPr>
              <w:t>≥22 °C</w:t>
            </w:r>
          </w:p>
        </w:tc>
      </w:tr>
    </w:tbl>
    <w:p w14:paraId="3FE5960A" w14:textId="77777777" w:rsidR="00DD76AA" w:rsidRDefault="00B02BFA" w:rsidP="00B9552E">
      <w:pPr>
        <w:ind w:left="567"/>
        <w:jc w:val="both"/>
        <w:rPr>
          <w:rFonts w:ascii="Arial" w:hAnsi="Arial" w:cs="Arial"/>
          <w:i/>
          <w:sz w:val="16"/>
        </w:rPr>
      </w:pPr>
      <w:r w:rsidRPr="00B02BFA">
        <w:rPr>
          <w:rFonts w:ascii="Arial" w:hAnsi="Arial" w:cs="Arial"/>
          <w:i/>
          <w:sz w:val="16"/>
        </w:rPr>
        <w:t>Source : Météo Malagasy, 2014</w:t>
      </w:r>
      <w:r w:rsidR="00B9552E">
        <w:rPr>
          <w:rStyle w:val="Appelnotedebasdep"/>
          <w:rFonts w:ascii="Arial" w:hAnsi="Arial" w:cs="Arial"/>
          <w:i/>
          <w:sz w:val="16"/>
        </w:rPr>
        <w:footnoteReference w:id="20"/>
      </w:r>
    </w:p>
    <w:p w14:paraId="65B9CBB5" w14:textId="77777777" w:rsidR="00C67CB4" w:rsidRDefault="00C67CB4">
      <w:pPr>
        <w:spacing w:after="0" w:line="240" w:lineRule="auto"/>
        <w:rPr>
          <w:rFonts w:ascii="Arial" w:hAnsi="Arial" w:cs="Arial"/>
        </w:rPr>
      </w:pPr>
      <w:r>
        <w:rPr>
          <w:rFonts w:ascii="Arial" w:hAnsi="Arial" w:cs="Arial"/>
        </w:rPr>
        <w:br w:type="page"/>
      </w:r>
    </w:p>
    <w:p w14:paraId="23C8C2EF" w14:textId="77777777" w:rsidR="00C67CB4" w:rsidRPr="00B02BFA" w:rsidRDefault="00813C50" w:rsidP="00813C50">
      <w:pPr>
        <w:pStyle w:val="Lgende"/>
        <w:jc w:val="center"/>
        <w:rPr>
          <w:rFonts w:ascii="Arial" w:hAnsi="Arial" w:cs="Arial"/>
          <w:sz w:val="22"/>
        </w:rPr>
      </w:pPr>
      <w:bookmarkStart w:id="250" w:name="_Toc125409067"/>
      <w:r>
        <w:t xml:space="preserve">Carte </w:t>
      </w:r>
      <w:r>
        <w:fldChar w:fldCharType="begin"/>
      </w:r>
      <w:r>
        <w:instrText xml:space="preserve"> SEQ Carte \* ARABIC </w:instrText>
      </w:r>
      <w:r>
        <w:fldChar w:fldCharType="separate"/>
      </w:r>
      <w:r w:rsidR="00FD558F">
        <w:rPr>
          <w:noProof/>
        </w:rPr>
        <w:t>1</w:t>
      </w:r>
      <w:r>
        <w:fldChar w:fldCharType="end"/>
      </w:r>
      <w:r>
        <w:t xml:space="preserve">: </w:t>
      </w:r>
      <w:r w:rsidRPr="00611110">
        <w:t>Les différentes zones climatiques de Madagascar selon le service de la Météorologie</w:t>
      </w:r>
      <w:bookmarkEnd w:id="250"/>
      <w:r w:rsidR="00C67CB4" w:rsidRPr="00B02BFA">
        <w:rPr>
          <w:sz w:val="22"/>
        </w:rPr>
        <w:t xml:space="preserve"> </w:t>
      </w:r>
    </w:p>
    <w:p w14:paraId="67EB1F0B" w14:textId="1EF52BDF" w:rsidR="00C67CB4" w:rsidRDefault="00E97ECD" w:rsidP="00C67CB4">
      <w:pPr>
        <w:jc w:val="center"/>
        <w:rPr>
          <w:rFonts w:ascii="Arial" w:hAnsi="Arial" w:cs="Arial"/>
        </w:rPr>
      </w:pPr>
      <w:r w:rsidRPr="00977215">
        <w:rPr>
          <w:noProof/>
          <w:lang w:eastAsia="fr-FR"/>
        </w:rPr>
        <w:drawing>
          <wp:inline distT="0" distB="0" distL="0" distR="0" wp14:anchorId="11212672" wp14:editId="2FFD2EB2">
            <wp:extent cx="4562475" cy="6457950"/>
            <wp:effectExtent l="0" t="0" r="0" b="0"/>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2475" cy="6457950"/>
                    </a:xfrm>
                    <a:prstGeom prst="rect">
                      <a:avLst/>
                    </a:prstGeom>
                    <a:noFill/>
                    <a:ln>
                      <a:noFill/>
                    </a:ln>
                  </pic:spPr>
                </pic:pic>
              </a:graphicData>
            </a:graphic>
          </wp:inline>
        </w:drawing>
      </w:r>
    </w:p>
    <w:p w14:paraId="4212C921" w14:textId="77777777" w:rsidR="00C67CB4" w:rsidRPr="00F77D01" w:rsidRDefault="00C67CB4" w:rsidP="00C67CB4">
      <w:pPr>
        <w:jc w:val="both"/>
        <w:rPr>
          <w:rFonts w:ascii="Arial" w:hAnsi="Arial" w:cs="Arial"/>
        </w:rPr>
      </w:pPr>
    </w:p>
    <w:p w14:paraId="65BAD28C" w14:textId="77777777" w:rsidR="00695BD7" w:rsidRPr="00742D67" w:rsidRDefault="00C67CB4" w:rsidP="00B434A6">
      <w:pPr>
        <w:jc w:val="both"/>
        <w:rPr>
          <w:rFonts w:ascii="Arial" w:hAnsi="Arial" w:cs="Arial"/>
        </w:rPr>
      </w:pPr>
      <w:r>
        <w:rPr>
          <w:rFonts w:ascii="Arial" w:hAnsi="Arial" w:cs="Arial"/>
        </w:rPr>
        <w:br w:type="page"/>
      </w:r>
      <w:r w:rsidR="00695BD7" w:rsidRPr="00742D67">
        <w:rPr>
          <w:rFonts w:ascii="Arial" w:hAnsi="Arial" w:cs="Arial"/>
        </w:rPr>
        <w:lastRenderedPageBreak/>
        <w:t xml:space="preserve">En ce qui concerne </w:t>
      </w:r>
      <w:r w:rsidR="00AF42E5" w:rsidRPr="00742D67">
        <w:rPr>
          <w:rFonts w:ascii="Arial" w:hAnsi="Arial" w:cs="Arial"/>
        </w:rPr>
        <w:t>l’ensoleillement, Madagascar</w:t>
      </w:r>
      <w:r w:rsidR="00695BD7" w:rsidRPr="00742D67">
        <w:rPr>
          <w:rFonts w:ascii="Arial" w:hAnsi="Arial" w:cs="Arial"/>
        </w:rPr>
        <w:t xml:space="preserve"> bénéficie de plus de 2 800 heures d'ensoleillement annuel, le soleil peut fournir ainsi une énergie de 2 000 kWh/m²/an en moyenne</w:t>
      </w:r>
      <w:r w:rsidR="00695BD7" w:rsidRPr="00742D67">
        <w:rPr>
          <w:rStyle w:val="Appelnotedebasdep"/>
          <w:rFonts w:ascii="Arial" w:hAnsi="Arial" w:cs="Arial"/>
        </w:rPr>
        <w:footnoteReference w:id="21"/>
      </w:r>
      <w:r w:rsidR="00695BD7" w:rsidRPr="00742D67">
        <w:rPr>
          <w:rFonts w:ascii="Arial" w:hAnsi="Arial" w:cs="Arial"/>
        </w:rPr>
        <w:t xml:space="preserve">. </w:t>
      </w:r>
      <w:r w:rsidR="00C40FCB" w:rsidRPr="00742D67">
        <w:rPr>
          <w:rFonts w:ascii="Arial" w:hAnsi="Arial" w:cs="Arial"/>
        </w:rPr>
        <w:t xml:space="preserve">Il semble que l’ensoleillement se répartisse de façon inégale pour la </w:t>
      </w:r>
      <w:r w:rsidR="00AF42E5" w:rsidRPr="00742D67">
        <w:rPr>
          <w:rFonts w:ascii="Arial" w:hAnsi="Arial" w:cs="Arial"/>
        </w:rPr>
        <w:t>G</w:t>
      </w:r>
      <w:r w:rsidR="00C40FCB" w:rsidRPr="00742D67">
        <w:rPr>
          <w:rFonts w:ascii="Arial" w:hAnsi="Arial" w:cs="Arial"/>
        </w:rPr>
        <w:t xml:space="preserve">rande </w:t>
      </w:r>
      <w:r w:rsidR="00AF42E5" w:rsidRPr="00742D67">
        <w:rPr>
          <w:rFonts w:ascii="Arial" w:hAnsi="Arial" w:cs="Arial"/>
        </w:rPr>
        <w:t>I</w:t>
      </w:r>
      <w:r w:rsidR="00C40FCB" w:rsidRPr="00742D67">
        <w:rPr>
          <w:rFonts w:ascii="Arial" w:hAnsi="Arial" w:cs="Arial"/>
        </w:rPr>
        <w:t>le. Effectivement, le tableau ci-dessous montre que la partie Occidentale et le Nord de Madagascar s</w:t>
      </w:r>
      <w:r w:rsidR="00674547">
        <w:rPr>
          <w:rFonts w:ascii="Arial" w:hAnsi="Arial" w:cs="Arial"/>
        </w:rPr>
        <w:t>on</w:t>
      </w:r>
      <w:r w:rsidR="00C40FCB" w:rsidRPr="00742D67">
        <w:rPr>
          <w:rFonts w:ascii="Arial" w:hAnsi="Arial" w:cs="Arial"/>
        </w:rPr>
        <w:t xml:space="preserve">t </w:t>
      </w:r>
      <w:r w:rsidR="00AF42E5" w:rsidRPr="00742D67">
        <w:rPr>
          <w:rFonts w:ascii="Arial" w:hAnsi="Arial" w:cs="Arial"/>
        </w:rPr>
        <w:t>l</w:t>
      </w:r>
      <w:r w:rsidR="00674547">
        <w:rPr>
          <w:rFonts w:ascii="Arial" w:hAnsi="Arial" w:cs="Arial"/>
        </w:rPr>
        <w:t>es</w:t>
      </w:r>
      <w:r w:rsidR="00AF42E5" w:rsidRPr="00742D67">
        <w:rPr>
          <w:rFonts w:ascii="Arial" w:hAnsi="Arial" w:cs="Arial"/>
        </w:rPr>
        <w:t xml:space="preserve"> </w:t>
      </w:r>
      <w:r w:rsidR="00C40FCB" w:rsidRPr="00742D67">
        <w:rPr>
          <w:rFonts w:ascii="Arial" w:hAnsi="Arial" w:cs="Arial"/>
        </w:rPr>
        <w:t xml:space="preserve">plus ensoleillés avec plus de 8 heures </w:t>
      </w:r>
      <w:r w:rsidR="005D6D41" w:rsidRPr="00742D67">
        <w:rPr>
          <w:rFonts w:ascii="Arial" w:hAnsi="Arial" w:cs="Arial"/>
        </w:rPr>
        <w:t xml:space="preserve">d’ensoleillement </w:t>
      </w:r>
      <w:r w:rsidR="00C40FCB" w:rsidRPr="00742D67">
        <w:rPr>
          <w:rFonts w:ascii="Arial" w:hAnsi="Arial" w:cs="Arial"/>
        </w:rPr>
        <w:t>par jour contre moins de 7 heures par jour pour la partie Orientale.</w:t>
      </w:r>
    </w:p>
    <w:p w14:paraId="4B2C43B6" w14:textId="77777777" w:rsidR="00695BD7" w:rsidRPr="00B434A6" w:rsidRDefault="00C40FCB" w:rsidP="00B434A6">
      <w:pPr>
        <w:pStyle w:val="Lgende"/>
        <w:jc w:val="center"/>
        <w:rPr>
          <w:sz w:val="20"/>
        </w:rPr>
      </w:pPr>
      <w:bookmarkStart w:id="251" w:name="_Toc127957800"/>
      <w:r w:rsidRPr="00B434A6">
        <w:rPr>
          <w:sz w:val="20"/>
        </w:rPr>
        <w:t xml:space="preserve">Tableau </w:t>
      </w:r>
      <w:r w:rsidRPr="00B434A6">
        <w:rPr>
          <w:sz w:val="20"/>
        </w:rPr>
        <w:fldChar w:fldCharType="begin"/>
      </w:r>
      <w:r w:rsidRPr="00B434A6">
        <w:rPr>
          <w:sz w:val="20"/>
        </w:rPr>
        <w:instrText xml:space="preserve"> SEQ Tableau \* ARABIC </w:instrText>
      </w:r>
      <w:r w:rsidRPr="00B434A6">
        <w:rPr>
          <w:sz w:val="20"/>
        </w:rPr>
        <w:fldChar w:fldCharType="separate"/>
      </w:r>
      <w:r w:rsidR="005430A1">
        <w:rPr>
          <w:noProof/>
          <w:sz w:val="20"/>
        </w:rPr>
        <w:t>4</w:t>
      </w:r>
      <w:r w:rsidRPr="00B434A6">
        <w:rPr>
          <w:sz w:val="20"/>
        </w:rPr>
        <w:fldChar w:fldCharType="end"/>
      </w:r>
      <w:r w:rsidRPr="00B434A6">
        <w:rPr>
          <w:sz w:val="20"/>
        </w:rPr>
        <w:t>. Répartition des heures d’ensoleillement moyen au niveau de chaque Région</w:t>
      </w:r>
      <w:bookmarkEnd w:id="251"/>
    </w:p>
    <w:tbl>
      <w:tblPr>
        <w:tblW w:w="4520" w:type="dxa"/>
        <w:jc w:val="center"/>
        <w:tblCellMar>
          <w:left w:w="70" w:type="dxa"/>
          <w:right w:w="70" w:type="dxa"/>
        </w:tblCellMar>
        <w:tblLook w:val="04A0" w:firstRow="1" w:lastRow="0" w:firstColumn="1" w:lastColumn="0" w:noHBand="0" w:noVBand="1"/>
      </w:tblPr>
      <w:tblGrid>
        <w:gridCol w:w="2000"/>
        <w:gridCol w:w="1180"/>
        <w:gridCol w:w="1340"/>
      </w:tblGrid>
      <w:tr w:rsidR="00C40FCB" w:rsidRPr="00C40FCB" w14:paraId="54D17156" w14:textId="77777777" w:rsidTr="00B434A6">
        <w:trPr>
          <w:trHeight w:val="630"/>
          <w:jc w:val="center"/>
        </w:trPr>
        <w:tc>
          <w:tcPr>
            <w:tcW w:w="2000"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C2E8ACF" w14:textId="77777777" w:rsidR="00C40FCB" w:rsidRPr="00C40FCB" w:rsidRDefault="00C40FCB" w:rsidP="00C40FCB">
            <w:pPr>
              <w:spacing w:after="0" w:line="240" w:lineRule="auto"/>
              <w:jc w:val="center"/>
              <w:rPr>
                <w:rFonts w:ascii="Arial" w:eastAsia="Times New Roman" w:hAnsi="Arial" w:cs="Arial"/>
                <w:b/>
                <w:bCs/>
                <w:color w:val="FFFFFF"/>
                <w:sz w:val="20"/>
                <w:szCs w:val="20"/>
                <w:lang w:eastAsia="fr-FR"/>
              </w:rPr>
            </w:pPr>
            <w:r w:rsidRPr="00C40FCB">
              <w:rPr>
                <w:rFonts w:ascii="Arial" w:eastAsia="Times New Roman" w:hAnsi="Arial" w:cs="Arial"/>
                <w:b/>
                <w:bCs/>
                <w:color w:val="FFFFFF"/>
                <w:sz w:val="20"/>
                <w:szCs w:val="20"/>
                <w:lang w:eastAsia="fr-FR"/>
              </w:rPr>
              <w:t>Région</w:t>
            </w:r>
          </w:p>
        </w:tc>
        <w:tc>
          <w:tcPr>
            <w:tcW w:w="2520" w:type="dxa"/>
            <w:gridSpan w:val="2"/>
            <w:tcBorders>
              <w:top w:val="single" w:sz="4" w:space="0" w:color="auto"/>
              <w:left w:val="nil"/>
              <w:bottom w:val="single" w:sz="4" w:space="0" w:color="auto"/>
              <w:right w:val="single" w:sz="4" w:space="0" w:color="auto"/>
            </w:tcBorders>
            <w:shd w:val="clear" w:color="000000" w:fill="002060"/>
            <w:vAlign w:val="center"/>
            <w:hideMark/>
          </w:tcPr>
          <w:p w14:paraId="20902468" w14:textId="77777777" w:rsidR="00C40FCB" w:rsidRPr="00C40FCB" w:rsidRDefault="00C40FCB" w:rsidP="00C40FCB">
            <w:pPr>
              <w:spacing w:after="0" w:line="240" w:lineRule="auto"/>
              <w:jc w:val="center"/>
              <w:rPr>
                <w:rFonts w:ascii="Arial" w:eastAsia="Times New Roman" w:hAnsi="Arial" w:cs="Arial"/>
                <w:b/>
                <w:bCs/>
                <w:color w:val="FFFFFF"/>
                <w:sz w:val="20"/>
                <w:szCs w:val="20"/>
                <w:lang w:eastAsia="fr-FR"/>
              </w:rPr>
            </w:pPr>
            <w:r w:rsidRPr="00C40FCB">
              <w:rPr>
                <w:rFonts w:ascii="Arial" w:eastAsia="Times New Roman" w:hAnsi="Arial" w:cs="Arial"/>
                <w:b/>
                <w:bCs/>
                <w:color w:val="FFFFFF"/>
                <w:sz w:val="20"/>
                <w:szCs w:val="20"/>
                <w:lang w:eastAsia="fr-FR"/>
              </w:rPr>
              <w:t xml:space="preserve">Heure d'ensoleillement moyen </w:t>
            </w:r>
          </w:p>
        </w:tc>
      </w:tr>
      <w:tr w:rsidR="00C40FCB" w:rsidRPr="00C40FCB" w14:paraId="05688D7A" w14:textId="77777777" w:rsidTr="00B434A6">
        <w:trPr>
          <w:trHeight w:val="300"/>
          <w:jc w:val="center"/>
        </w:trPr>
        <w:tc>
          <w:tcPr>
            <w:tcW w:w="2000" w:type="dxa"/>
            <w:vMerge/>
            <w:tcBorders>
              <w:top w:val="single" w:sz="4" w:space="0" w:color="auto"/>
              <w:left w:val="single" w:sz="4" w:space="0" w:color="auto"/>
              <w:bottom w:val="single" w:sz="4" w:space="0" w:color="auto"/>
              <w:right w:val="single" w:sz="4" w:space="0" w:color="auto"/>
            </w:tcBorders>
            <w:vAlign w:val="center"/>
            <w:hideMark/>
          </w:tcPr>
          <w:p w14:paraId="01F5DBFE" w14:textId="77777777" w:rsidR="00C40FCB" w:rsidRPr="00C40FCB" w:rsidRDefault="00C40FCB" w:rsidP="00C40FCB">
            <w:pPr>
              <w:spacing w:after="0" w:line="240" w:lineRule="auto"/>
              <w:rPr>
                <w:rFonts w:ascii="Arial" w:eastAsia="Times New Roman" w:hAnsi="Arial" w:cs="Arial"/>
                <w:b/>
                <w:bCs/>
                <w:color w:val="FFFFFF"/>
                <w:sz w:val="20"/>
                <w:szCs w:val="20"/>
                <w:lang w:eastAsia="fr-FR"/>
              </w:rPr>
            </w:pPr>
          </w:p>
        </w:tc>
        <w:tc>
          <w:tcPr>
            <w:tcW w:w="1180" w:type="dxa"/>
            <w:tcBorders>
              <w:top w:val="nil"/>
              <w:left w:val="nil"/>
              <w:bottom w:val="single" w:sz="4" w:space="0" w:color="auto"/>
              <w:right w:val="single" w:sz="4" w:space="0" w:color="auto"/>
            </w:tcBorders>
            <w:shd w:val="clear" w:color="000000" w:fill="002060"/>
            <w:vAlign w:val="center"/>
            <w:hideMark/>
          </w:tcPr>
          <w:p w14:paraId="50055A64" w14:textId="77777777" w:rsidR="00C40FCB" w:rsidRPr="00C40FCB" w:rsidRDefault="00C40FCB" w:rsidP="00C40FCB">
            <w:pPr>
              <w:spacing w:after="0" w:line="240" w:lineRule="auto"/>
              <w:jc w:val="center"/>
              <w:rPr>
                <w:rFonts w:ascii="Arial" w:eastAsia="Times New Roman" w:hAnsi="Arial" w:cs="Arial"/>
                <w:b/>
                <w:bCs/>
                <w:color w:val="FFFFFF"/>
                <w:sz w:val="20"/>
                <w:szCs w:val="20"/>
                <w:lang w:eastAsia="fr-FR"/>
              </w:rPr>
            </w:pPr>
            <w:r w:rsidRPr="00C40FCB">
              <w:rPr>
                <w:rFonts w:ascii="Arial" w:eastAsia="Times New Roman" w:hAnsi="Arial" w:cs="Arial"/>
                <w:b/>
                <w:bCs/>
                <w:color w:val="FFFFFF"/>
                <w:sz w:val="20"/>
                <w:szCs w:val="20"/>
                <w:lang w:eastAsia="fr-FR"/>
              </w:rPr>
              <w:t>Journalier</w:t>
            </w:r>
          </w:p>
        </w:tc>
        <w:tc>
          <w:tcPr>
            <w:tcW w:w="1340" w:type="dxa"/>
            <w:tcBorders>
              <w:top w:val="nil"/>
              <w:left w:val="nil"/>
              <w:bottom w:val="single" w:sz="4" w:space="0" w:color="auto"/>
              <w:right w:val="single" w:sz="4" w:space="0" w:color="auto"/>
            </w:tcBorders>
            <w:shd w:val="clear" w:color="000000" w:fill="002060"/>
            <w:noWrap/>
            <w:vAlign w:val="center"/>
            <w:hideMark/>
          </w:tcPr>
          <w:p w14:paraId="7869943B" w14:textId="77777777" w:rsidR="00C40FCB" w:rsidRPr="00C40FCB" w:rsidRDefault="00C40FCB" w:rsidP="00C40FCB">
            <w:pPr>
              <w:spacing w:after="0" w:line="240" w:lineRule="auto"/>
              <w:jc w:val="center"/>
              <w:rPr>
                <w:rFonts w:ascii="Arial" w:eastAsia="Times New Roman" w:hAnsi="Arial" w:cs="Arial"/>
                <w:b/>
                <w:bCs/>
                <w:color w:val="FFFFFF"/>
                <w:sz w:val="20"/>
                <w:szCs w:val="20"/>
                <w:lang w:eastAsia="fr-FR"/>
              </w:rPr>
            </w:pPr>
            <w:r w:rsidRPr="00C40FCB">
              <w:rPr>
                <w:rFonts w:ascii="Arial" w:eastAsia="Times New Roman" w:hAnsi="Arial" w:cs="Arial"/>
                <w:b/>
                <w:bCs/>
                <w:color w:val="FFFFFF"/>
                <w:sz w:val="20"/>
                <w:szCs w:val="20"/>
                <w:lang w:eastAsia="fr-FR"/>
              </w:rPr>
              <w:t>Annuel</w:t>
            </w:r>
          </w:p>
        </w:tc>
      </w:tr>
      <w:tr w:rsidR="00C40FCB" w:rsidRPr="00C40FCB" w14:paraId="51139370" w14:textId="77777777" w:rsidTr="00B434A6">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708467B" w14:textId="77777777" w:rsidR="00C40FCB" w:rsidRPr="00C40FCB" w:rsidRDefault="00C40FCB" w:rsidP="00C40FCB">
            <w:pPr>
              <w:spacing w:after="0" w:line="240" w:lineRule="auto"/>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Alaotra Mangoro</w:t>
            </w:r>
          </w:p>
        </w:tc>
        <w:tc>
          <w:tcPr>
            <w:tcW w:w="1180" w:type="dxa"/>
            <w:tcBorders>
              <w:top w:val="nil"/>
              <w:left w:val="nil"/>
              <w:bottom w:val="single" w:sz="4" w:space="0" w:color="auto"/>
              <w:right w:val="single" w:sz="4" w:space="0" w:color="auto"/>
            </w:tcBorders>
            <w:shd w:val="clear" w:color="auto" w:fill="auto"/>
            <w:hideMark/>
          </w:tcPr>
          <w:p w14:paraId="3384A943"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8,2</w:t>
            </w:r>
          </w:p>
        </w:tc>
        <w:tc>
          <w:tcPr>
            <w:tcW w:w="1340" w:type="dxa"/>
            <w:tcBorders>
              <w:top w:val="nil"/>
              <w:left w:val="nil"/>
              <w:bottom w:val="single" w:sz="4" w:space="0" w:color="auto"/>
              <w:right w:val="single" w:sz="4" w:space="0" w:color="auto"/>
            </w:tcBorders>
            <w:shd w:val="clear" w:color="auto" w:fill="auto"/>
            <w:noWrap/>
            <w:vAlign w:val="bottom"/>
            <w:hideMark/>
          </w:tcPr>
          <w:p w14:paraId="035E3B3F"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3011</w:t>
            </w:r>
          </w:p>
        </w:tc>
      </w:tr>
      <w:tr w:rsidR="00C40FCB" w:rsidRPr="00C40FCB" w14:paraId="0A609FBD" w14:textId="77777777" w:rsidTr="00B434A6">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70C0853" w14:textId="77777777" w:rsidR="00C40FCB" w:rsidRPr="00C40FCB" w:rsidRDefault="00C40FCB" w:rsidP="00C40FCB">
            <w:pPr>
              <w:spacing w:after="0" w:line="240" w:lineRule="auto"/>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Analamanga</w:t>
            </w:r>
          </w:p>
        </w:tc>
        <w:tc>
          <w:tcPr>
            <w:tcW w:w="1180" w:type="dxa"/>
            <w:tcBorders>
              <w:top w:val="nil"/>
              <w:left w:val="nil"/>
              <w:bottom w:val="single" w:sz="4" w:space="0" w:color="auto"/>
              <w:right w:val="single" w:sz="4" w:space="0" w:color="auto"/>
            </w:tcBorders>
            <w:shd w:val="clear" w:color="auto" w:fill="auto"/>
            <w:vAlign w:val="center"/>
            <w:hideMark/>
          </w:tcPr>
          <w:p w14:paraId="23A853C9"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7,1</w:t>
            </w:r>
          </w:p>
        </w:tc>
        <w:tc>
          <w:tcPr>
            <w:tcW w:w="1340" w:type="dxa"/>
            <w:tcBorders>
              <w:top w:val="nil"/>
              <w:left w:val="nil"/>
              <w:bottom w:val="single" w:sz="4" w:space="0" w:color="auto"/>
              <w:right w:val="single" w:sz="4" w:space="0" w:color="auto"/>
            </w:tcBorders>
            <w:shd w:val="clear" w:color="auto" w:fill="auto"/>
            <w:noWrap/>
            <w:vAlign w:val="bottom"/>
            <w:hideMark/>
          </w:tcPr>
          <w:p w14:paraId="0BA314C6"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2592</w:t>
            </w:r>
          </w:p>
        </w:tc>
      </w:tr>
      <w:tr w:rsidR="00C40FCB" w:rsidRPr="00C40FCB" w14:paraId="172F5587" w14:textId="77777777" w:rsidTr="00B434A6">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7DCC4CA" w14:textId="77777777" w:rsidR="00C40FCB" w:rsidRPr="00C40FCB" w:rsidRDefault="00C40FCB" w:rsidP="00C40FCB">
            <w:pPr>
              <w:spacing w:after="0" w:line="240" w:lineRule="auto"/>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Analanjirofo</w:t>
            </w:r>
          </w:p>
        </w:tc>
        <w:tc>
          <w:tcPr>
            <w:tcW w:w="1180" w:type="dxa"/>
            <w:tcBorders>
              <w:top w:val="nil"/>
              <w:left w:val="nil"/>
              <w:bottom w:val="single" w:sz="4" w:space="0" w:color="auto"/>
              <w:right w:val="single" w:sz="4" w:space="0" w:color="auto"/>
            </w:tcBorders>
            <w:shd w:val="clear" w:color="auto" w:fill="auto"/>
            <w:vAlign w:val="center"/>
            <w:hideMark/>
          </w:tcPr>
          <w:p w14:paraId="2B765CE4"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6,6</w:t>
            </w:r>
          </w:p>
        </w:tc>
        <w:tc>
          <w:tcPr>
            <w:tcW w:w="1340" w:type="dxa"/>
            <w:tcBorders>
              <w:top w:val="nil"/>
              <w:left w:val="nil"/>
              <w:bottom w:val="single" w:sz="4" w:space="0" w:color="auto"/>
              <w:right w:val="single" w:sz="4" w:space="0" w:color="auto"/>
            </w:tcBorders>
            <w:shd w:val="clear" w:color="auto" w:fill="auto"/>
            <w:noWrap/>
            <w:vAlign w:val="bottom"/>
            <w:hideMark/>
          </w:tcPr>
          <w:p w14:paraId="76D652B1"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2409</w:t>
            </w:r>
          </w:p>
        </w:tc>
      </w:tr>
      <w:tr w:rsidR="00C40FCB" w:rsidRPr="00C40FCB" w14:paraId="42A9ED25" w14:textId="77777777" w:rsidTr="00B434A6">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DF0CE06" w14:textId="77777777" w:rsidR="00C40FCB" w:rsidRPr="00C40FCB" w:rsidRDefault="00C40FCB" w:rsidP="00C40FCB">
            <w:pPr>
              <w:spacing w:after="0" w:line="240" w:lineRule="auto"/>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Anosy</w:t>
            </w:r>
          </w:p>
        </w:tc>
        <w:tc>
          <w:tcPr>
            <w:tcW w:w="1180" w:type="dxa"/>
            <w:tcBorders>
              <w:top w:val="nil"/>
              <w:left w:val="nil"/>
              <w:bottom w:val="single" w:sz="4" w:space="0" w:color="auto"/>
              <w:right w:val="single" w:sz="4" w:space="0" w:color="auto"/>
            </w:tcBorders>
            <w:shd w:val="clear" w:color="auto" w:fill="auto"/>
            <w:vAlign w:val="center"/>
            <w:hideMark/>
          </w:tcPr>
          <w:p w14:paraId="6A1C7593"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7,6</w:t>
            </w:r>
          </w:p>
        </w:tc>
        <w:tc>
          <w:tcPr>
            <w:tcW w:w="1340" w:type="dxa"/>
            <w:tcBorders>
              <w:top w:val="nil"/>
              <w:left w:val="nil"/>
              <w:bottom w:val="single" w:sz="4" w:space="0" w:color="auto"/>
              <w:right w:val="single" w:sz="4" w:space="0" w:color="auto"/>
            </w:tcBorders>
            <w:shd w:val="clear" w:color="auto" w:fill="auto"/>
            <w:noWrap/>
            <w:vAlign w:val="bottom"/>
            <w:hideMark/>
          </w:tcPr>
          <w:p w14:paraId="60D7677C"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2774</w:t>
            </w:r>
          </w:p>
        </w:tc>
      </w:tr>
      <w:tr w:rsidR="00C40FCB" w:rsidRPr="00C40FCB" w14:paraId="0101BBDC" w14:textId="77777777" w:rsidTr="00B434A6">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BFB69E7" w14:textId="77777777" w:rsidR="00C40FCB" w:rsidRPr="00C40FCB" w:rsidRDefault="00C40FCB" w:rsidP="00C40FCB">
            <w:pPr>
              <w:spacing w:after="0" w:line="240" w:lineRule="auto"/>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Atsimo-Andrefana</w:t>
            </w:r>
          </w:p>
        </w:tc>
        <w:tc>
          <w:tcPr>
            <w:tcW w:w="1180" w:type="dxa"/>
            <w:tcBorders>
              <w:top w:val="nil"/>
              <w:left w:val="nil"/>
              <w:bottom w:val="single" w:sz="4" w:space="0" w:color="auto"/>
              <w:right w:val="single" w:sz="4" w:space="0" w:color="auto"/>
            </w:tcBorders>
            <w:shd w:val="clear" w:color="auto" w:fill="auto"/>
            <w:vAlign w:val="center"/>
            <w:hideMark/>
          </w:tcPr>
          <w:p w14:paraId="471A8501"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9,9</w:t>
            </w:r>
          </w:p>
        </w:tc>
        <w:tc>
          <w:tcPr>
            <w:tcW w:w="1340" w:type="dxa"/>
            <w:tcBorders>
              <w:top w:val="nil"/>
              <w:left w:val="nil"/>
              <w:bottom w:val="single" w:sz="4" w:space="0" w:color="auto"/>
              <w:right w:val="single" w:sz="4" w:space="0" w:color="auto"/>
            </w:tcBorders>
            <w:shd w:val="clear" w:color="auto" w:fill="auto"/>
            <w:noWrap/>
            <w:vAlign w:val="bottom"/>
            <w:hideMark/>
          </w:tcPr>
          <w:p w14:paraId="5F6D5925"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3614</w:t>
            </w:r>
          </w:p>
        </w:tc>
      </w:tr>
      <w:tr w:rsidR="00C40FCB" w:rsidRPr="00C40FCB" w14:paraId="5E99D271" w14:textId="77777777" w:rsidTr="00B434A6">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A908B1D" w14:textId="77777777" w:rsidR="00C40FCB" w:rsidRPr="00C40FCB" w:rsidRDefault="00C40FCB" w:rsidP="00C40FCB">
            <w:pPr>
              <w:spacing w:after="0" w:line="240" w:lineRule="auto"/>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Atsinanana</w:t>
            </w:r>
          </w:p>
        </w:tc>
        <w:tc>
          <w:tcPr>
            <w:tcW w:w="1180" w:type="dxa"/>
            <w:tcBorders>
              <w:top w:val="nil"/>
              <w:left w:val="nil"/>
              <w:bottom w:val="single" w:sz="4" w:space="0" w:color="auto"/>
              <w:right w:val="single" w:sz="4" w:space="0" w:color="auto"/>
            </w:tcBorders>
            <w:shd w:val="clear" w:color="auto" w:fill="auto"/>
            <w:vAlign w:val="center"/>
            <w:hideMark/>
          </w:tcPr>
          <w:p w14:paraId="5635A71C"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6,7</w:t>
            </w:r>
          </w:p>
        </w:tc>
        <w:tc>
          <w:tcPr>
            <w:tcW w:w="1340" w:type="dxa"/>
            <w:tcBorders>
              <w:top w:val="nil"/>
              <w:left w:val="nil"/>
              <w:bottom w:val="single" w:sz="4" w:space="0" w:color="auto"/>
              <w:right w:val="single" w:sz="4" w:space="0" w:color="auto"/>
            </w:tcBorders>
            <w:shd w:val="clear" w:color="auto" w:fill="auto"/>
            <w:noWrap/>
            <w:vAlign w:val="bottom"/>
            <w:hideMark/>
          </w:tcPr>
          <w:p w14:paraId="6358BEBA"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2446</w:t>
            </w:r>
          </w:p>
        </w:tc>
      </w:tr>
      <w:tr w:rsidR="00C40FCB" w:rsidRPr="00C40FCB" w14:paraId="45128225" w14:textId="77777777" w:rsidTr="00B434A6">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E2B0FF8" w14:textId="77777777" w:rsidR="00C40FCB" w:rsidRPr="00C40FCB" w:rsidRDefault="00C40FCB" w:rsidP="00C40FCB">
            <w:pPr>
              <w:spacing w:after="0" w:line="240" w:lineRule="auto"/>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Boeny</w:t>
            </w:r>
          </w:p>
        </w:tc>
        <w:tc>
          <w:tcPr>
            <w:tcW w:w="1180" w:type="dxa"/>
            <w:tcBorders>
              <w:top w:val="nil"/>
              <w:left w:val="nil"/>
              <w:bottom w:val="single" w:sz="4" w:space="0" w:color="auto"/>
              <w:right w:val="single" w:sz="4" w:space="0" w:color="auto"/>
            </w:tcBorders>
            <w:shd w:val="clear" w:color="auto" w:fill="auto"/>
            <w:vAlign w:val="center"/>
            <w:hideMark/>
          </w:tcPr>
          <w:p w14:paraId="65106B8B"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8,4</w:t>
            </w:r>
          </w:p>
        </w:tc>
        <w:tc>
          <w:tcPr>
            <w:tcW w:w="1340" w:type="dxa"/>
            <w:tcBorders>
              <w:top w:val="nil"/>
              <w:left w:val="nil"/>
              <w:bottom w:val="single" w:sz="4" w:space="0" w:color="auto"/>
              <w:right w:val="single" w:sz="4" w:space="0" w:color="auto"/>
            </w:tcBorders>
            <w:shd w:val="clear" w:color="auto" w:fill="auto"/>
            <w:noWrap/>
            <w:vAlign w:val="bottom"/>
            <w:hideMark/>
          </w:tcPr>
          <w:p w14:paraId="41FA9427"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3066</w:t>
            </w:r>
          </w:p>
        </w:tc>
      </w:tr>
      <w:tr w:rsidR="00C40FCB" w:rsidRPr="00C40FCB" w14:paraId="14EC9DFB" w14:textId="77777777" w:rsidTr="00B434A6">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217A772" w14:textId="77777777" w:rsidR="00C40FCB" w:rsidRPr="00C40FCB" w:rsidRDefault="00C40FCB" w:rsidP="00C40FCB">
            <w:pPr>
              <w:spacing w:after="0" w:line="240" w:lineRule="auto"/>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Diana</w:t>
            </w:r>
          </w:p>
        </w:tc>
        <w:tc>
          <w:tcPr>
            <w:tcW w:w="1180" w:type="dxa"/>
            <w:tcBorders>
              <w:top w:val="nil"/>
              <w:left w:val="nil"/>
              <w:bottom w:val="single" w:sz="4" w:space="0" w:color="auto"/>
              <w:right w:val="single" w:sz="4" w:space="0" w:color="auto"/>
            </w:tcBorders>
            <w:shd w:val="clear" w:color="auto" w:fill="auto"/>
            <w:vAlign w:val="center"/>
            <w:hideMark/>
          </w:tcPr>
          <w:p w14:paraId="107FB0BC"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8,3</w:t>
            </w:r>
          </w:p>
        </w:tc>
        <w:tc>
          <w:tcPr>
            <w:tcW w:w="1340" w:type="dxa"/>
            <w:tcBorders>
              <w:top w:val="nil"/>
              <w:left w:val="nil"/>
              <w:bottom w:val="single" w:sz="4" w:space="0" w:color="auto"/>
              <w:right w:val="single" w:sz="4" w:space="0" w:color="auto"/>
            </w:tcBorders>
            <w:shd w:val="clear" w:color="auto" w:fill="auto"/>
            <w:noWrap/>
            <w:vAlign w:val="bottom"/>
            <w:hideMark/>
          </w:tcPr>
          <w:p w14:paraId="0DABDA91"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3030</w:t>
            </w:r>
          </w:p>
        </w:tc>
      </w:tr>
      <w:tr w:rsidR="00C40FCB" w:rsidRPr="00C40FCB" w14:paraId="6A1A59D6" w14:textId="77777777" w:rsidTr="00B434A6">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4756D97" w14:textId="77777777" w:rsidR="00C40FCB" w:rsidRPr="00C40FCB" w:rsidRDefault="00C40FCB" w:rsidP="00C40FCB">
            <w:pPr>
              <w:spacing w:after="0" w:line="240" w:lineRule="auto"/>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Ihorombe</w:t>
            </w:r>
          </w:p>
        </w:tc>
        <w:tc>
          <w:tcPr>
            <w:tcW w:w="1180" w:type="dxa"/>
            <w:tcBorders>
              <w:top w:val="nil"/>
              <w:left w:val="nil"/>
              <w:bottom w:val="single" w:sz="4" w:space="0" w:color="auto"/>
              <w:right w:val="single" w:sz="4" w:space="0" w:color="auto"/>
            </w:tcBorders>
            <w:shd w:val="clear" w:color="auto" w:fill="auto"/>
            <w:vAlign w:val="center"/>
            <w:hideMark/>
          </w:tcPr>
          <w:p w14:paraId="37FA17AB"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9,6</w:t>
            </w:r>
          </w:p>
        </w:tc>
        <w:tc>
          <w:tcPr>
            <w:tcW w:w="1340" w:type="dxa"/>
            <w:tcBorders>
              <w:top w:val="nil"/>
              <w:left w:val="nil"/>
              <w:bottom w:val="single" w:sz="4" w:space="0" w:color="auto"/>
              <w:right w:val="single" w:sz="4" w:space="0" w:color="auto"/>
            </w:tcBorders>
            <w:shd w:val="clear" w:color="auto" w:fill="auto"/>
            <w:noWrap/>
            <w:vAlign w:val="bottom"/>
            <w:hideMark/>
          </w:tcPr>
          <w:p w14:paraId="106ABE7C"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3504</w:t>
            </w:r>
          </w:p>
        </w:tc>
      </w:tr>
      <w:tr w:rsidR="00C40FCB" w:rsidRPr="00C40FCB" w14:paraId="62055CD0" w14:textId="77777777" w:rsidTr="00B434A6">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FF548D4" w14:textId="77777777" w:rsidR="00C40FCB" w:rsidRPr="00C40FCB" w:rsidRDefault="00C40FCB" w:rsidP="00C40FCB">
            <w:pPr>
              <w:spacing w:after="0" w:line="240" w:lineRule="auto"/>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Itasy</w:t>
            </w:r>
          </w:p>
        </w:tc>
        <w:tc>
          <w:tcPr>
            <w:tcW w:w="1180" w:type="dxa"/>
            <w:tcBorders>
              <w:top w:val="nil"/>
              <w:left w:val="nil"/>
              <w:bottom w:val="single" w:sz="4" w:space="0" w:color="auto"/>
              <w:right w:val="single" w:sz="4" w:space="0" w:color="auto"/>
            </w:tcBorders>
            <w:shd w:val="clear" w:color="auto" w:fill="auto"/>
            <w:vAlign w:val="center"/>
            <w:hideMark/>
          </w:tcPr>
          <w:p w14:paraId="4FF79793"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7,1</w:t>
            </w:r>
          </w:p>
        </w:tc>
        <w:tc>
          <w:tcPr>
            <w:tcW w:w="1340" w:type="dxa"/>
            <w:tcBorders>
              <w:top w:val="nil"/>
              <w:left w:val="nil"/>
              <w:bottom w:val="single" w:sz="4" w:space="0" w:color="auto"/>
              <w:right w:val="single" w:sz="4" w:space="0" w:color="auto"/>
            </w:tcBorders>
            <w:shd w:val="clear" w:color="auto" w:fill="auto"/>
            <w:noWrap/>
            <w:vAlign w:val="bottom"/>
            <w:hideMark/>
          </w:tcPr>
          <w:p w14:paraId="687EC2D5"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2592</w:t>
            </w:r>
          </w:p>
        </w:tc>
      </w:tr>
      <w:tr w:rsidR="00C40FCB" w:rsidRPr="00C40FCB" w14:paraId="4038D92C" w14:textId="77777777" w:rsidTr="00B434A6">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2C685F0" w14:textId="77777777" w:rsidR="00C40FCB" w:rsidRPr="00C40FCB" w:rsidRDefault="00C40FCB" w:rsidP="00C40FCB">
            <w:pPr>
              <w:spacing w:after="0" w:line="240" w:lineRule="auto"/>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Melaky</w:t>
            </w:r>
          </w:p>
        </w:tc>
        <w:tc>
          <w:tcPr>
            <w:tcW w:w="1180" w:type="dxa"/>
            <w:tcBorders>
              <w:top w:val="nil"/>
              <w:left w:val="nil"/>
              <w:bottom w:val="single" w:sz="4" w:space="0" w:color="auto"/>
              <w:right w:val="single" w:sz="4" w:space="0" w:color="auto"/>
            </w:tcBorders>
            <w:shd w:val="clear" w:color="auto" w:fill="auto"/>
            <w:vAlign w:val="center"/>
            <w:hideMark/>
          </w:tcPr>
          <w:p w14:paraId="150CEAA8"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9,4</w:t>
            </w:r>
          </w:p>
        </w:tc>
        <w:tc>
          <w:tcPr>
            <w:tcW w:w="1340" w:type="dxa"/>
            <w:tcBorders>
              <w:top w:val="nil"/>
              <w:left w:val="nil"/>
              <w:bottom w:val="single" w:sz="4" w:space="0" w:color="auto"/>
              <w:right w:val="single" w:sz="4" w:space="0" w:color="auto"/>
            </w:tcBorders>
            <w:shd w:val="clear" w:color="auto" w:fill="auto"/>
            <w:noWrap/>
            <w:vAlign w:val="bottom"/>
            <w:hideMark/>
          </w:tcPr>
          <w:p w14:paraId="2B92F7CA"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3431</w:t>
            </w:r>
          </w:p>
        </w:tc>
      </w:tr>
      <w:tr w:rsidR="00C40FCB" w:rsidRPr="00C40FCB" w14:paraId="4D5F9F11" w14:textId="77777777" w:rsidTr="00B434A6">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FF05030" w14:textId="77777777" w:rsidR="00C40FCB" w:rsidRPr="00C40FCB" w:rsidRDefault="00C40FCB" w:rsidP="00C40FCB">
            <w:pPr>
              <w:spacing w:after="0" w:line="240" w:lineRule="auto"/>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Menabe</w:t>
            </w:r>
          </w:p>
        </w:tc>
        <w:tc>
          <w:tcPr>
            <w:tcW w:w="1180" w:type="dxa"/>
            <w:tcBorders>
              <w:top w:val="nil"/>
              <w:left w:val="nil"/>
              <w:bottom w:val="single" w:sz="4" w:space="0" w:color="auto"/>
              <w:right w:val="single" w:sz="4" w:space="0" w:color="auto"/>
            </w:tcBorders>
            <w:shd w:val="clear" w:color="auto" w:fill="auto"/>
            <w:vAlign w:val="center"/>
            <w:hideMark/>
          </w:tcPr>
          <w:p w14:paraId="21412E29"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9,9</w:t>
            </w:r>
          </w:p>
        </w:tc>
        <w:tc>
          <w:tcPr>
            <w:tcW w:w="1340" w:type="dxa"/>
            <w:tcBorders>
              <w:top w:val="nil"/>
              <w:left w:val="nil"/>
              <w:bottom w:val="single" w:sz="4" w:space="0" w:color="auto"/>
              <w:right w:val="single" w:sz="4" w:space="0" w:color="auto"/>
            </w:tcBorders>
            <w:shd w:val="clear" w:color="auto" w:fill="auto"/>
            <w:noWrap/>
            <w:vAlign w:val="bottom"/>
            <w:hideMark/>
          </w:tcPr>
          <w:p w14:paraId="5C94A3E0"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3614</w:t>
            </w:r>
          </w:p>
        </w:tc>
      </w:tr>
      <w:tr w:rsidR="00C40FCB" w:rsidRPr="00C40FCB" w14:paraId="39A8891A" w14:textId="77777777" w:rsidTr="00B434A6">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8662F15" w14:textId="77777777" w:rsidR="00C40FCB" w:rsidRPr="00C40FCB" w:rsidRDefault="00C40FCB" w:rsidP="00C40FCB">
            <w:pPr>
              <w:spacing w:after="0" w:line="240" w:lineRule="auto"/>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Sava</w:t>
            </w:r>
          </w:p>
        </w:tc>
        <w:tc>
          <w:tcPr>
            <w:tcW w:w="1180" w:type="dxa"/>
            <w:tcBorders>
              <w:top w:val="nil"/>
              <w:left w:val="nil"/>
              <w:bottom w:val="single" w:sz="4" w:space="0" w:color="auto"/>
              <w:right w:val="single" w:sz="4" w:space="0" w:color="auto"/>
            </w:tcBorders>
            <w:shd w:val="clear" w:color="auto" w:fill="auto"/>
            <w:vAlign w:val="center"/>
            <w:hideMark/>
          </w:tcPr>
          <w:p w14:paraId="332925A7"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8,7</w:t>
            </w:r>
          </w:p>
        </w:tc>
        <w:tc>
          <w:tcPr>
            <w:tcW w:w="1340" w:type="dxa"/>
            <w:tcBorders>
              <w:top w:val="nil"/>
              <w:left w:val="nil"/>
              <w:bottom w:val="single" w:sz="4" w:space="0" w:color="auto"/>
              <w:right w:val="single" w:sz="4" w:space="0" w:color="auto"/>
            </w:tcBorders>
            <w:shd w:val="clear" w:color="auto" w:fill="auto"/>
            <w:noWrap/>
            <w:vAlign w:val="bottom"/>
            <w:hideMark/>
          </w:tcPr>
          <w:p w14:paraId="4C963628"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3176</w:t>
            </w:r>
          </w:p>
        </w:tc>
      </w:tr>
      <w:tr w:rsidR="00C40FCB" w:rsidRPr="00C40FCB" w14:paraId="56EF7D81" w14:textId="77777777" w:rsidTr="00B434A6">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1A08BDB" w14:textId="77777777" w:rsidR="00C40FCB" w:rsidRPr="00C40FCB" w:rsidRDefault="00C40FCB" w:rsidP="00C40FCB">
            <w:pPr>
              <w:spacing w:after="0" w:line="240" w:lineRule="auto"/>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Haute Matsiatra</w:t>
            </w:r>
          </w:p>
        </w:tc>
        <w:tc>
          <w:tcPr>
            <w:tcW w:w="1180" w:type="dxa"/>
            <w:tcBorders>
              <w:top w:val="nil"/>
              <w:left w:val="nil"/>
              <w:bottom w:val="single" w:sz="4" w:space="0" w:color="auto"/>
              <w:right w:val="single" w:sz="4" w:space="0" w:color="auto"/>
            </w:tcBorders>
            <w:shd w:val="clear" w:color="auto" w:fill="auto"/>
            <w:vAlign w:val="center"/>
            <w:hideMark/>
          </w:tcPr>
          <w:p w14:paraId="57220921"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6,5</w:t>
            </w:r>
          </w:p>
        </w:tc>
        <w:tc>
          <w:tcPr>
            <w:tcW w:w="1340" w:type="dxa"/>
            <w:tcBorders>
              <w:top w:val="nil"/>
              <w:left w:val="nil"/>
              <w:bottom w:val="single" w:sz="4" w:space="0" w:color="auto"/>
              <w:right w:val="single" w:sz="4" w:space="0" w:color="auto"/>
            </w:tcBorders>
            <w:shd w:val="clear" w:color="auto" w:fill="auto"/>
            <w:noWrap/>
            <w:vAlign w:val="bottom"/>
            <w:hideMark/>
          </w:tcPr>
          <w:p w14:paraId="4FC51626"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2373</w:t>
            </w:r>
          </w:p>
        </w:tc>
      </w:tr>
      <w:tr w:rsidR="00C40FCB" w:rsidRPr="00C40FCB" w14:paraId="479CC7A1" w14:textId="77777777" w:rsidTr="00B434A6">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CAEA591" w14:textId="77777777" w:rsidR="00C40FCB" w:rsidRPr="00C40FCB" w:rsidRDefault="00C40FCB" w:rsidP="00C40FCB">
            <w:pPr>
              <w:spacing w:after="0" w:line="240" w:lineRule="auto"/>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Vakinankaratra</w:t>
            </w:r>
          </w:p>
        </w:tc>
        <w:tc>
          <w:tcPr>
            <w:tcW w:w="1180" w:type="dxa"/>
            <w:tcBorders>
              <w:top w:val="nil"/>
              <w:left w:val="nil"/>
              <w:bottom w:val="single" w:sz="4" w:space="0" w:color="auto"/>
              <w:right w:val="single" w:sz="4" w:space="0" w:color="auto"/>
            </w:tcBorders>
            <w:shd w:val="clear" w:color="auto" w:fill="auto"/>
            <w:vAlign w:val="center"/>
            <w:hideMark/>
          </w:tcPr>
          <w:p w14:paraId="13126E24"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7,5</w:t>
            </w:r>
          </w:p>
        </w:tc>
        <w:tc>
          <w:tcPr>
            <w:tcW w:w="1340" w:type="dxa"/>
            <w:tcBorders>
              <w:top w:val="nil"/>
              <w:left w:val="nil"/>
              <w:bottom w:val="single" w:sz="4" w:space="0" w:color="auto"/>
              <w:right w:val="single" w:sz="4" w:space="0" w:color="auto"/>
            </w:tcBorders>
            <w:shd w:val="clear" w:color="auto" w:fill="auto"/>
            <w:noWrap/>
            <w:vAlign w:val="bottom"/>
            <w:hideMark/>
          </w:tcPr>
          <w:p w14:paraId="451812FA"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2738</w:t>
            </w:r>
          </w:p>
        </w:tc>
      </w:tr>
      <w:tr w:rsidR="00C40FCB" w:rsidRPr="00C40FCB" w14:paraId="216721F3" w14:textId="77777777" w:rsidTr="00B434A6">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4A337EA" w14:textId="77777777" w:rsidR="00C40FCB" w:rsidRPr="00C40FCB" w:rsidRDefault="00C40FCB" w:rsidP="00C40FCB">
            <w:pPr>
              <w:spacing w:after="0" w:line="240" w:lineRule="auto"/>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Vatovavy Fitovinany</w:t>
            </w:r>
          </w:p>
        </w:tc>
        <w:tc>
          <w:tcPr>
            <w:tcW w:w="1180" w:type="dxa"/>
            <w:tcBorders>
              <w:top w:val="nil"/>
              <w:left w:val="nil"/>
              <w:bottom w:val="single" w:sz="4" w:space="0" w:color="auto"/>
              <w:right w:val="single" w:sz="4" w:space="0" w:color="auto"/>
            </w:tcBorders>
            <w:shd w:val="clear" w:color="auto" w:fill="auto"/>
            <w:vAlign w:val="center"/>
            <w:hideMark/>
          </w:tcPr>
          <w:p w14:paraId="64A4F056"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6,6</w:t>
            </w:r>
          </w:p>
        </w:tc>
        <w:tc>
          <w:tcPr>
            <w:tcW w:w="1340" w:type="dxa"/>
            <w:tcBorders>
              <w:top w:val="nil"/>
              <w:left w:val="nil"/>
              <w:bottom w:val="single" w:sz="4" w:space="0" w:color="auto"/>
              <w:right w:val="single" w:sz="4" w:space="0" w:color="auto"/>
            </w:tcBorders>
            <w:shd w:val="clear" w:color="auto" w:fill="auto"/>
            <w:noWrap/>
            <w:vAlign w:val="bottom"/>
            <w:hideMark/>
          </w:tcPr>
          <w:p w14:paraId="26A4F566"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2409</w:t>
            </w:r>
          </w:p>
        </w:tc>
      </w:tr>
      <w:tr w:rsidR="00C40FCB" w:rsidRPr="00C40FCB" w14:paraId="1FC3E010" w14:textId="77777777" w:rsidTr="00B434A6">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C8E1D3B" w14:textId="77777777" w:rsidR="00C40FCB" w:rsidRPr="00C40FCB" w:rsidRDefault="00C40FCB" w:rsidP="00C40FCB">
            <w:pPr>
              <w:spacing w:after="0" w:line="240" w:lineRule="auto"/>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Androy</w:t>
            </w:r>
          </w:p>
        </w:tc>
        <w:tc>
          <w:tcPr>
            <w:tcW w:w="1180" w:type="dxa"/>
            <w:tcBorders>
              <w:top w:val="nil"/>
              <w:left w:val="nil"/>
              <w:bottom w:val="single" w:sz="4" w:space="0" w:color="auto"/>
              <w:right w:val="single" w:sz="4" w:space="0" w:color="auto"/>
            </w:tcBorders>
            <w:shd w:val="clear" w:color="auto" w:fill="auto"/>
            <w:vAlign w:val="center"/>
            <w:hideMark/>
          </w:tcPr>
          <w:p w14:paraId="43040B84"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9,6</w:t>
            </w:r>
          </w:p>
        </w:tc>
        <w:tc>
          <w:tcPr>
            <w:tcW w:w="1340" w:type="dxa"/>
            <w:tcBorders>
              <w:top w:val="nil"/>
              <w:left w:val="nil"/>
              <w:bottom w:val="single" w:sz="4" w:space="0" w:color="auto"/>
              <w:right w:val="single" w:sz="4" w:space="0" w:color="auto"/>
            </w:tcBorders>
            <w:shd w:val="clear" w:color="auto" w:fill="auto"/>
            <w:noWrap/>
            <w:vAlign w:val="bottom"/>
            <w:hideMark/>
          </w:tcPr>
          <w:p w14:paraId="0D3AB1CE" w14:textId="77777777" w:rsidR="00C40FCB" w:rsidRPr="00C40FCB" w:rsidRDefault="00C40FCB" w:rsidP="00C40FCB">
            <w:pPr>
              <w:spacing w:after="0" w:line="240" w:lineRule="auto"/>
              <w:jc w:val="right"/>
              <w:rPr>
                <w:rFonts w:ascii="Arial" w:eastAsia="Times New Roman" w:hAnsi="Arial" w:cs="Arial"/>
                <w:color w:val="000000"/>
                <w:sz w:val="20"/>
                <w:szCs w:val="20"/>
                <w:lang w:eastAsia="fr-FR"/>
              </w:rPr>
            </w:pPr>
            <w:r w:rsidRPr="00C40FCB">
              <w:rPr>
                <w:rFonts w:ascii="Arial" w:eastAsia="Times New Roman" w:hAnsi="Arial" w:cs="Arial"/>
                <w:color w:val="000000"/>
                <w:sz w:val="20"/>
                <w:szCs w:val="20"/>
                <w:lang w:eastAsia="fr-FR"/>
              </w:rPr>
              <w:t>3504</w:t>
            </w:r>
          </w:p>
        </w:tc>
      </w:tr>
    </w:tbl>
    <w:p w14:paraId="38779071" w14:textId="77777777" w:rsidR="00C40FCB" w:rsidRPr="00B434A6" w:rsidRDefault="00C40FCB" w:rsidP="00B434A6">
      <w:pPr>
        <w:ind w:left="2268"/>
        <w:jc w:val="both"/>
        <w:rPr>
          <w:rFonts w:ascii="Arial" w:hAnsi="Arial" w:cs="Arial"/>
          <w:i/>
          <w:sz w:val="14"/>
        </w:rPr>
      </w:pPr>
      <w:r w:rsidRPr="00B434A6">
        <w:rPr>
          <w:rFonts w:ascii="Arial" w:hAnsi="Arial" w:cs="Arial"/>
          <w:i/>
          <w:sz w:val="14"/>
        </w:rPr>
        <w:t>Source : Données mondiale. com</w:t>
      </w:r>
      <w:r w:rsidRPr="00B434A6">
        <w:rPr>
          <w:rStyle w:val="Appelnotedebasdep"/>
          <w:rFonts w:ascii="Arial" w:hAnsi="Arial" w:cs="Arial"/>
          <w:i/>
          <w:sz w:val="14"/>
        </w:rPr>
        <w:footnoteReference w:id="22"/>
      </w:r>
    </w:p>
    <w:p w14:paraId="5DED1597" w14:textId="77777777" w:rsidR="00C40FCB" w:rsidRDefault="00C40FCB" w:rsidP="00B434A6">
      <w:pPr>
        <w:jc w:val="both"/>
        <w:rPr>
          <w:rFonts w:ascii="Arial" w:hAnsi="Arial" w:cs="Arial"/>
        </w:rPr>
      </w:pPr>
    </w:p>
    <w:p w14:paraId="6B623A30" w14:textId="77777777" w:rsidR="00C67CB4" w:rsidRDefault="00C67CB4" w:rsidP="00327DB6">
      <w:pPr>
        <w:pStyle w:val="Lgende"/>
        <w:jc w:val="center"/>
        <w:rPr>
          <w:rFonts w:ascii="Arial" w:hAnsi="Arial" w:cs="Arial"/>
        </w:rPr>
      </w:pPr>
      <w:r>
        <w:rPr>
          <w:rFonts w:ascii="Arial" w:hAnsi="Arial" w:cs="Arial"/>
        </w:rPr>
        <w:br w:type="page"/>
      </w:r>
      <w:bookmarkStart w:id="252" w:name="_Toc125409068"/>
      <w:r w:rsidR="00813C50">
        <w:lastRenderedPageBreak/>
        <w:t xml:space="preserve">Carte </w:t>
      </w:r>
      <w:r w:rsidR="00813C50">
        <w:fldChar w:fldCharType="begin"/>
      </w:r>
      <w:r w:rsidR="00813C50">
        <w:instrText xml:space="preserve"> SEQ Carte \* ARABIC </w:instrText>
      </w:r>
      <w:r w:rsidR="00813C50">
        <w:fldChar w:fldCharType="separate"/>
      </w:r>
      <w:r w:rsidR="00813C50">
        <w:rPr>
          <w:noProof/>
        </w:rPr>
        <w:t>2</w:t>
      </w:r>
      <w:r w:rsidR="00813C50">
        <w:fldChar w:fldCharType="end"/>
      </w:r>
      <w:r w:rsidR="00813C50">
        <w:t xml:space="preserve">: </w:t>
      </w:r>
      <w:r w:rsidR="00813C50" w:rsidRPr="002273E6">
        <w:t>Niveau de radiation solaire à Madagascar</w:t>
      </w:r>
      <w:bookmarkEnd w:id="252"/>
    </w:p>
    <w:p w14:paraId="325F38B4" w14:textId="77777777" w:rsidR="00813C50" w:rsidRDefault="00813C50">
      <w:pPr>
        <w:spacing w:after="0" w:line="240" w:lineRule="auto"/>
        <w:rPr>
          <w:rFonts w:ascii="Arial" w:hAnsi="Arial" w:cs="Arial"/>
        </w:rPr>
      </w:pPr>
    </w:p>
    <w:p w14:paraId="0A0F0F36" w14:textId="2DD5B685" w:rsidR="00C67CB4" w:rsidRDefault="00E97ECD" w:rsidP="00B434A6">
      <w:pPr>
        <w:jc w:val="both"/>
        <w:rPr>
          <w:rFonts w:ascii="Arial" w:hAnsi="Arial" w:cs="Arial"/>
        </w:rPr>
      </w:pPr>
      <w:r w:rsidRPr="00FB04F6">
        <w:rPr>
          <w:rFonts w:ascii="Arial" w:hAnsi="Arial" w:cs="Arial"/>
          <w:noProof/>
          <w:lang w:eastAsia="fr-FR"/>
        </w:rPr>
        <w:drawing>
          <wp:inline distT="0" distB="0" distL="0" distR="0" wp14:anchorId="3FCC9D55" wp14:editId="7C6AF213">
            <wp:extent cx="5762625" cy="8153400"/>
            <wp:effectExtent l="0" t="0" r="0" b="0"/>
            <wp:docPr id="20" name="Image 913799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37997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8153400"/>
                    </a:xfrm>
                    <a:prstGeom prst="rect">
                      <a:avLst/>
                    </a:prstGeom>
                    <a:noFill/>
                    <a:ln>
                      <a:noFill/>
                    </a:ln>
                  </pic:spPr>
                </pic:pic>
              </a:graphicData>
            </a:graphic>
          </wp:inline>
        </w:drawing>
      </w:r>
    </w:p>
    <w:p w14:paraId="7EC73878" w14:textId="77777777" w:rsidR="000F6597" w:rsidRPr="006623E9" w:rsidRDefault="00C67CB4" w:rsidP="0044500E">
      <w:pPr>
        <w:pStyle w:val="TIT3"/>
        <w:numPr>
          <w:ilvl w:val="2"/>
          <w:numId w:val="177"/>
        </w:numPr>
      </w:pPr>
      <w:r>
        <w:rPr>
          <w:rFonts w:cs="Arial"/>
        </w:rPr>
        <w:br w:type="page"/>
      </w:r>
      <w:bookmarkStart w:id="253" w:name="_Toc124312651"/>
      <w:bookmarkStart w:id="254" w:name="_Toc124314648"/>
      <w:bookmarkStart w:id="255" w:name="_Toc124956127"/>
      <w:bookmarkStart w:id="256" w:name="_Toc125384526"/>
      <w:bookmarkStart w:id="257" w:name="_Toc125384915"/>
      <w:bookmarkStart w:id="258" w:name="_Toc127957587"/>
      <w:bookmarkEnd w:id="253"/>
      <w:r w:rsidR="000F6597" w:rsidRPr="006623E9">
        <w:lastRenderedPageBreak/>
        <w:t>Risque</w:t>
      </w:r>
      <w:r w:rsidR="000F6597">
        <w:t>s</w:t>
      </w:r>
      <w:r w:rsidR="000F6597" w:rsidRPr="006623E9">
        <w:t xml:space="preserve"> climatiques</w:t>
      </w:r>
      <w:bookmarkEnd w:id="254"/>
      <w:bookmarkEnd w:id="255"/>
      <w:bookmarkEnd w:id="256"/>
      <w:bookmarkEnd w:id="257"/>
      <w:bookmarkEnd w:id="258"/>
    </w:p>
    <w:p w14:paraId="3BCE5A17" w14:textId="77777777" w:rsidR="000F6597" w:rsidRPr="006623E9" w:rsidRDefault="000F6597" w:rsidP="0044500E">
      <w:pPr>
        <w:pStyle w:val="TIT40"/>
        <w:numPr>
          <w:ilvl w:val="3"/>
          <w:numId w:val="177"/>
        </w:numPr>
        <w:outlineLvl w:val="3"/>
      </w:pPr>
      <w:bookmarkStart w:id="259" w:name="_Toc124314649"/>
      <w:bookmarkStart w:id="260" w:name="_Toc124956128"/>
      <w:bookmarkStart w:id="261" w:name="_Toc125384527"/>
      <w:bookmarkStart w:id="262" w:name="_Toc125384916"/>
      <w:bookmarkStart w:id="263" w:name="_Toc127957588"/>
      <w:r w:rsidRPr="006623E9">
        <w:t>Cyclones</w:t>
      </w:r>
      <w:bookmarkEnd w:id="259"/>
      <w:bookmarkEnd w:id="260"/>
      <w:bookmarkEnd w:id="261"/>
      <w:bookmarkEnd w:id="262"/>
      <w:bookmarkEnd w:id="263"/>
      <w:r w:rsidRPr="006623E9">
        <w:t xml:space="preserve"> </w:t>
      </w:r>
    </w:p>
    <w:p w14:paraId="7662FFFD" w14:textId="77777777" w:rsidR="000F6597" w:rsidRDefault="000F6597" w:rsidP="000F6597">
      <w:pPr>
        <w:jc w:val="both"/>
        <w:rPr>
          <w:rFonts w:ascii="Arial" w:hAnsi="Arial" w:cs="Arial"/>
        </w:rPr>
      </w:pPr>
      <w:r>
        <w:rPr>
          <w:rFonts w:ascii="Arial" w:hAnsi="Arial" w:cs="Arial"/>
        </w:rPr>
        <w:t>Selon le CPGU</w:t>
      </w:r>
      <w:r>
        <w:rPr>
          <w:rStyle w:val="Appelnotedebasdep"/>
          <w:rFonts w:ascii="Arial" w:hAnsi="Arial" w:cs="Arial"/>
        </w:rPr>
        <w:footnoteReference w:id="23"/>
      </w:r>
      <w:r>
        <w:rPr>
          <w:rFonts w:ascii="Arial" w:hAnsi="Arial" w:cs="Arial"/>
        </w:rPr>
        <w:t xml:space="preserve"> Madagascar figure au 3</w:t>
      </w:r>
      <w:r w:rsidRPr="00AA1DAD">
        <w:rPr>
          <w:rFonts w:ascii="Arial" w:hAnsi="Arial" w:cs="Arial"/>
          <w:vertAlign w:val="superscript"/>
        </w:rPr>
        <w:t>ème</w:t>
      </w:r>
      <w:r w:rsidRPr="00AA1DAD">
        <w:rPr>
          <w:rFonts w:ascii="Arial" w:hAnsi="Arial" w:cs="Arial"/>
        </w:rPr>
        <w:t xml:space="preserve"> rang mondial</w:t>
      </w:r>
      <w:r>
        <w:rPr>
          <w:rFonts w:ascii="Arial" w:hAnsi="Arial" w:cs="Arial"/>
        </w:rPr>
        <w:t xml:space="preserve"> </w:t>
      </w:r>
      <w:r w:rsidRPr="00AA1DAD">
        <w:rPr>
          <w:rFonts w:ascii="Arial" w:hAnsi="Arial" w:cs="Arial"/>
        </w:rPr>
        <w:t>des pays les plus fortement exposés aux cyclones tropicaux et au p</w:t>
      </w:r>
      <w:r>
        <w:rPr>
          <w:rFonts w:ascii="Arial" w:hAnsi="Arial" w:cs="Arial"/>
        </w:rPr>
        <w:t>remier rang des pays africains.</w:t>
      </w:r>
      <w:r w:rsidRPr="00B26EE4">
        <w:rPr>
          <w:rFonts w:ascii="Arial" w:hAnsi="Arial" w:cs="Arial"/>
        </w:rPr>
        <w:t xml:space="preserve"> La saison cyclonique s’étend du 1er novembre au 30 avril, la période la plus active étant située entre mi-décembre et mi-mars</w:t>
      </w:r>
      <w:r>
        <w:rPr>
          <w:rFonts w:ascii="Arial" w:hAnsi="Arial" w:cs="Arial"/>
        </w:rPr>
        <w:t xml:space="preserve">. </w:t>
      </w:r>
    </w:p>
    <w:p w14:paraId="4F0392BB" w14:textId="77777777" w:rsidR="000F6597" w:rsidRDefault="000F6597" w:rsidP="000F6597">
      <w:pPr>
        <w:jc w:val="both"/>
        <w:rPr>
          <w:rFonts w:ascii="Arial" w:eastAsia="Times New Roman" w:hAnsi="Arial" w:cs="Arial"/>
          <w:color w:val="000000"/>
          <w:lang w:eastAsia="fr-FR"/>
        </w:rPr>
      </w:pPr>
      <w:r>
        <w:rPr>
          <w:rFonts w:ascii="Arial" w:hAnsi="Arial" w:cs="Arial"/>
        </w:rPr>
        <w:t xml:space="preserve">Depuis 2019, dix (10) cyclones intenses ont frappés Madagascar dont la majorité est entrée dans la partie orientale. </w:t>
      </w:r>
      <w:r w:rsidRPr="00AA1DAD">
        <w:rPr>
          <w:rFonts w:ascii="Arial" w:hAnsi="Arial" w:cs="Arial"/>
        </w:rPr>
        <w:t>Ces cyclones et les occurrences de pluies de très forte intensité et de durée parfois longue causent beaucoup d’inondations et des crues dans tout le pays</w:t>
      </w:r>
      <w:r>
        <w:rPr>
          <w:rFonts w:ascii="Arial" w:hAnsi="Arial" w:cs="Arial"/>
        </w:rPr>
        <w:t xml:space="preserve">. Ils </w:t>
      </w:r>
      <w:r w:rsidRPr="0082469B">
        <w:rPr>
          <w:rFonts w:ascii="Arial" w:eastAsia="Times New Roman" w:hAnsi="Arial" w:cs="Arial"/>
          <w:color w:val="000000"/>
          <w:lang w:eastAsia="fr-FR"/>
        </w:rPr>
        <w:t xml:space="preserve">peuvent </w:t>
      </w:r>
      <w:r>
        <w:rPr>
          <w:rFonts w:ascii="Arial" w:eastAsia="Times New Roman" w:hAnsi="Arial" w:cs="Arial"/>
          <w:color w:val="000000"/>
          <w:lang w:eastAsia="fr-FR"/>
        </w:rPr>
        <w:t xml:space="preserve">ainsi </w:t>
      </w:r>
      <w:r w:rsidRPr="0082469B">
        <w:rPr>
          <w:rFonts w:ascii="Arial" w:eastAsia="Times New Roman" w:hAnsi="Arial" w:cs="Arial"/>
          <w:color w:val="000000"/>
          <w:lang w:eastAsia="fr-FR"/>
        </w:rPr>
        <w:t>contribuer à la dégradation de diverse</w:t>
      </w:r>
      <w:r>
        <w:rPr>
          <w:rFonts w:ascii="Arial" w:eastAsia="Times New Roman" w:hAnsi="Arial" w:cs="Arial"/>
          <w:color w:val="000000"/>
          <w:lang w:eastAsia="fr-FR"/>
        </w:rPr>
        <w:t>s infrastructures dont les centrales photovoltaïques</w:t>
      </w:r>
      <w:r w:rsidR="00577849">
        <w:rPr>
          <w:rFonts w:ascii="Arial" w:eastAsia="Times New Roman" w:hAnsi="Arial" w:cs="Arial"/>
          <w:color w:val="000000"/>
          <w:lang w:eastAsia="fr-FR"/>
        </w:rPr>
        <w:t xml:space="preserve"> </w:t>
      </w:r>
      <w:r w:rsidR="00577849" w:rsidRPr="00742D67">
        <w:rPr>
          <w:rFonts w:ascii="Arial" w:eastAsia="Times New Roman" w:hAnsi="Arial" w:cs="Arial"/>
          <w:lang w:eastAsia="fr-FR"/>
        </w:rPr>
        <w:t>ainsi que les lignes de transport et de distribution électrique</w:t>
      </w:r>
      <w:r>
        <w:rPr>
          <w:rFonts w:ascii="Arial" w:eastAsia="Times New Roman" w:hAnsi="Arial" w:cs="Arial"/>
          <w:color w:val="000000"/>
          <w:lang w:eastAsia="fr-FR"/>
        </w:rPr>
        <w:t xml:space="preserve">. </w:t>
      </w:r>
    </w:p>
    <w:p w14:paraId="5720F9A8" w14:textId="77777777" w:rsidR="008A4716" w:rsidRDefault="008A4716" w:rsidP="00D46C93">
      <w:pPr>
        <w:jc w:val="both"/>
        <w:rPr>
          <w:rFonts w:ascii="Arial" w:eastAsia="Times New Roman" w:hAnsi="Arial" w:cs="Arial"/>
          <w:color w:val="000000"/>
          <w:lang w:eastAsia="fr-FR"/>
        </w:rPr>
      </w:pPr>
      <w:r w:rsidRPr="0082469B">
        <w:rPr>
          <w:rFonts w:ascii="Arial" w:eastAsia="Times New Roman" w:hAnsi="Arial" w:cs="Arial"/>
          <w:lang w:eastAsia="fr-FR"/>
        </w:rPr>
        <w:t xml:space="preserve">Le tableau </w:t>
      </w:r>
      <w:r>
        <w:rPr>
          <w:rFonts w:ascii="Arial" w:eastAsia="Times New Roman" w:hAnsi="Arial" w:cs="Arial"/>
          <w:lang w:eastAsia="fr-FR"/>
        </w:rPr>
        <w:t>ci-après</w:t>
      </w:r>
      <w:r w:rsidRPr="0082469B">
        <w:rPr>
          <w:rFonts w:ascii="Arial" w:eastAsia="Times New Roman" w:hAnsi="Arial" w:cs="Arial"/>
          <w:lang w:eastAsia="fr-FR"/>
        </w:rPr>
        <w:t xml:space="preserve"> montre les </w:t>
      </w:r>
      <w:r>
        <w:rPr>
          <w:rFonts w:ascii="Arial" w:eastAsia="Times New Roman" w:hAnsi="Arial" w:cs="Arial"/>
          <w:lang w:eastAsia="fr-FR"/>
        </w:rPr>
        <w:t>passages cycloniques à Madagascar de 2019 à 2022.</w:t>
      </w:r>
    </w:p>
    <w:p w14:paraId="27168730" w14:textId="77777777" w:rsidR="008A4716" w:rsidRPr="008A4716" w:rsidRDefault="008A4716" w:rsidP="008A4716">
      <w:pPr>
        <w:pStyle w:val="Lgende"/>
        <w:jc w:val="center"/>
        <w:rPr>
          <w:sz w:val="20"/>
        </w:rPr>
      </w:pPr>
      <w:bookmarkStart w:id="264" w:name="_Toc127957801"/>
      <w:r w:rsidRPr="008A4716">
        <w:rPr>
          <w:sz w:val="20"/>
        </w:rPr>
        <w:t xml:space="preserve">Tableau </w:t>
      </w:r>
      <w:r w:rsidRPr="008A4716">
        <w:rPr>
          <w:sz w:val="20"/>
        </w:rPr>
        <w:fldChar w:fldCharType="begin"/>
      </w:r>
      <w:r w:rsidRPr="008A4716">
        <w:rPr>
          <w:sz w:val="20"/>
        </w:rPr>
        <w:instrText xml:space="preserve"> SEQ Tableau \* ARABIC </w:instrText>
      </w:r>
      <w:r w:rsidRPr="008A4716">
        <w:rPr>
          <w:sz w:val="20"/>
        </w:rPr>
        <w:fldChar w:fldCharType="separate"/>
      </w:r>
      <w:r w:rsidR="005430A1">
        <w:rPr>
          <w:noProof/>
          <w:sz w:val="20"/>
        </w:rPr>
        <w:t>5</w:t>
      </w:r>
      <w:r w:rsidRPr="008A4716">
        <w:rPr>
          <w:sz w:val="20"/>
        </w:rPr>
        <w:fldChar w:fldCharType="end"/>
      </w:r>
      <w:r w:rsidRPr="008A4716">
        <w:rPr>
          <w:sz w:val="20"/>
        </w:rPr>
        <w:t xml:space="preserve">. Caractéristiques des cyclones </w:t>
      </w:r>
      <w:r w:rsidR="00323F80">
        <w:rPr>
          <w:sz w:val="20"/>
        </w:rPr>
        <w:t>ayant touché</w:t>
      </w:r>
      <w:r w:rsidR="00323F80" w:rsidRPr="008A4716">
        <w:rPr>
          <w:sz w:val="20"/>
        </w:rPr>
        <w:t xml:space="preserve"> </w:t>
      </w:r>
      <w:r w:rsidRPr="008A4716">
        <w:rPr>
          <w:sz w:val="20"/>
        </w:rPr>
        <w:t>Madagascar entre 2019 et 2022</w:t>
      </w:r>
      <w:bookmarkEnd w:id="264"/>
      <w:r w:rsidRPr="008A4716">
        <w:rPr>
          <w:sz w:val="20"/>
        </w:rPr>
        <w:t xml:space="preserve">  </w:t>
      </w:r>
    </w:p>
    <w:tbl>
      <w:tblPr>
        <w:tblW w:w="9170" w:type="dxa"/>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502"/>
        <w:gridCol w:w="1818"/>
        <w:gridCol w:w="3780"/>
        <w:gridCol w:w="2070"/>
      </w:tblGrid>
      <w:tr w:rsidR="0063584D" w:rsidRPr="007F78CE" w14:paraId="150ABD33" w14:textId="77777777" w:rsidTr="00B434A6">
        <w:trPr>
          <w:tblHeader/>
          <w:jc w:val="center"/>
        </w:trPr>
        <w:tc>
          <w:tcPr>
            <w:tcW w:w="1502" w:type="dxa"/>
            <w:shd w:val="clear" w:color="auto" w:fill="4F81BD"/>
            <w:vAlign w:val="center"/>
          </w:tcPr>
          <w:p w14:paraId="264CF828" w14:textId="77777777" w:rsidR="006B368E" w:rsidRPr="007F78CE" w:rsidRDefault="006B368E" w:rsidP="007F78CE">
            <w:pPr>
              <w:spacing w:after="0" w:line="240" w:lineRule="auto"/>
              <w:jc w:val="center"/>
              <w:rPr>
                <w:rFonts w:ascii="Arial" w:hAnsi="Arial" w:cs="Arial"/>
                <w:b/>
                <w:bCs/>
                <w:color w:val="FFFFFF"/>
              </w:rPr>
            </w:pPr>
            <w:r w:rsidRPr="007F78CE">
              <w:rPr>
                <w:rFonts w:ascii="Arial" w:hAnsi="Arial" w:cs="Arial"/>
                <w:b/>
                <w:bCs/>
                <w:color w:val="FFFFFF"/>
              </w:rPr>
              <w:t>Nom du Cyclone</w:t>
            </w:r>
          </w:p>
        </w:tc>
        <w:tc>
          <w:tcPr>
            <w:tcW w:w="1818" w:type="dxa"/>
            <w:shd w:val="clear" w:color="auto" w:fill="4F81BD"/>
            <w:vAlign w:val="center"/>
          </w:tcPr>
          <w:p w14:paraId="71D8E773" w14:textId="77777777" w:rsidR="006B368E" w:rsidRPr="007F78CE" w:rsidRDefault="006B368E" w:rsidP="007F78CE">
            <w:pPr>
              <w:spacing w:after="0" w:line="240" w:lineRule="auto"/>
              <w:jc w:val="center"/>
              <w:rPr>
                <w:rFonts w:ascii="Arial" w:hAnsi="Arial" w:cs="Arial"/>
                <w:b/>
                <w:bCs/>
                <w:color w:val="FFFFFF"/>
              </w:rPr>
            </w:pPr>
            <w:r w:rsidRPr="007F78CE">
              <w:rPr>
                <w:rFonts w:ascii="Arial" w:hAnsi="Arial" w:cs="Arial"/>
                <w:b/>
                <w:bCs/>
                <w:color w:val="FFFFFF"/>
              </w:rPr>
              <w:t>Date</w:t>
            </w:r>
          </w:p>
        </w:tc>
        <w:tc>
          <w:tcPr>
            <w:tcW w:w="3780" w:type="dxa"/>
            <w:shd w:val="clear" w:color="auto" w:fill="4F81BD"/>
            <w:vAlign w:val="center"/>
          </w:tcPr>
          <w:p w14:paraId="29342D93" w14:textId="77777777" w:rsidR="006B368E" w:rsidRPr="007F78CE" w:rsidRDefault="006B368E" w:rsidP="007F78CE">
            <w:pPr>
              <w:spacing w:after="0" w:line="240" w:lineRule="auto"/>
              <w:jc w:val="center"/>
              <w:rPr>
                <w:rFonts w:ascii="Arial" w:hAnsi="Arial" w:cs="Arial"/>
                <w:b/>
                <w:bCs/>
                <w:color w:val="FFFFFF"/>
              </w:rPr>
            </w:pPr>
            <w:r w:rsidRPr="007F78CE">
              <w:rPr>
                <w:rFonts w:ascii="Arial" w:hAnsi="Arial" w:cs="Arial"/>
                <w:b/>
                <w:bCs/>
                <w:color w:val="FFFFFF"/>
              </w:rPr>
              <w:t>Caractéristiques</w:t>
            </w:r>
          </w:p>
        </w:tc>
        <w:tc>
          <w:tcPr>
            <w:tcW w:w="2070" w:type="dxa"/>
            <w:shd w:val="clear" w:color="auto" w:fill="4F81BD"/>
            <w:vAlign w:val="center"/>
          </w:tcPr>
          <w:p w14:paraId="51C5318D" w14:textId="77777777" w:rsidR="006B368E" w:rsidRPr="007F78CE" w:rsidRDefault="006B368E" w:rsidP="007F78CE">
            <w:pPr>
              <w:spacing w:after="0" w:line="240" w:lineRule="auto"/>
              <w:jc w:val="center"/>
              <w:rPr>
                <w:rFonts w:ascii="Arial" w:hAnsi="Arial" w:cs="Arial"/>
                <w:b/>
                <w:bCs/>
                <w:color w:val="FFFFFF"/>
              </w:rPr>
            </w:pPr>
            <w:r w:rsidRPr="007F78CE">
              <w:rPr>
                <w:rFonts w:ascii="Arial" w:hAnsi="Arial" w:cs="Arial"/>
                <w:b/>
                <w:bCs/>
                <w:color w:val="FFFFFF"/>
              </w:rPr>
              <w:t>Régions touchées</w:t>
            </w:r>
          </w:p>
        </w:tc>
      </w:tr>
      <w:tr w:rsidR="0063584D" w:rsidRPr="007F78CE" w14:paraId="12B01E1C" w14:textId="77777777" w:rsidTr="00B434A6">
        <w:trPr>
          <w:jc w:val="center"/>
        </w:trPr>
        <w:tc>
          <w:tcPr>
            <w:tcW w:w="1502" w:type="dxa"/>
            <w:tcBorders>
              <w:top w:val="single" w:sz="8" w:space="0" w:color="4F81BD"/>
              <w:left w:val="single" w:sz="8" w:space="0" w:color="4F81BD"/>
              <w:bottom w:val="single" w:sz="8" w:space="0" w:color="4F81BD"/>
            </w:tcBorders>
            <w:shd w:val="clear" w:color="auto" w:fill="auto"/>
          </w:tcPr>
          <w:p w14:paraId="5809123C" w14:textId="77777777" w:rsidR="006B368E" w:rsidRPr="007F78CE" w:rsidRDefault="006B368E" w:rsidP="007F78CE">
            <w:pPr>
              <w:spacing w:after="0" w:line="240" w:lineRule="auto"/>
              <w:rPr>
                <w:rFonts w:ascii="Arial" w:hAnsi="Arial" w:cs="Arial"/>
                <w:b/>
                <w:bCs/>
                <w:sz w:val="20"/>
              </w:rPr>
            </w:pPr>
            <w:r w:rsidRPr="007F78CE">
              <w:rPr>
                <w:rFonts w:ascii="Arial" w:eastAsia="Times New Roman" w:hAnsi="Arial" w:cs="Arial"/>
                <w:b/>
                <w:bCs/>
                <w:sz w:val="20"/>
                <w:lang w:eastAsia="fr-FR"/>
              </w:rPr>
              <w:t>Jasmine</w:t>
            </w:r>
          </w:p>
        </w:tc>
        <w:tc>
          <w:tcPr>
            <w:tcW w:w="1818" w:type="dxa"/>
            <w:tcBorders>
              <w:top w:val="single" w:sz="8" w:space="0" w:color="4F81BD"/>
              <w:bottom w:val="single" w:sz="8" w:space="0" w:color="4F81BD"/>
            </w:tcBorders>
            <w:shd w:val="clear" w:color="auto" w:fill="auto"/>
          </w:tcPr>
          <w:p w14:paraId="6F0D774A" w14:textId="77777777" w:rsidR="006B368E" w:rsidRPr="007F78CE" w:rsidRDefault="006B368E" w:rsidP="007F78CE">
            <w:pPr>
              <w:spacing w:after="0" w:line="240" w:lineRule="auto"/>
              <w:rPr>
                <w:rFonts w:ascii="Arial" w:eastAsia="Times New Roman" w:hAnsi="Arial" w:cs="Arial"/>
                <w:sz w:val="20"/>
                <w:lang w:eastAsia="fr-FR"/>
              </w:rPr>
            </w:pPr>
            <w:r w:rsidRPr="007F78CE">
              <w:rPr>
                <w:rFonts w:ascii="Arial" w:eastAsia="Times New Roman" w:hAnsi="Arial" w:cs="Arial"/>
                <w:sz w:val="20"/>
                <w:lang w:eastAsia="fr-FR"/>
              </w:rPr>
              <w:t>24 au 28 avril 2022</w:t>
            </w:r>
          </w:p>
        </w:tc>
        <w:tc>
          <w:tcPr>
            <w:tcW w:w="3780" w:type="dxa"/>
            <w:tcBorders>
              <w:top w:val="single" w:sz="8" w:space="0" w:color="4F81BD"/>
              <w:bottom w:val="single" w:sz="8" w:space="0" w:color="4F81BD"/>
            </w:tcBorders>
            <w:shd w:val="clear" w:color="auto" w:fill="auto"/>
          </w:tcPr>
          <w:p w14:paraId="72A63682" w14:textId="77777777" w:rsidR="006B368E" w:rsidRPr="007F78CE" w:rsidRDefault="006B368E" w:rsidP="007F78CE">
            <w:pPr>
              <w:spacing w:after="0" w:line="240" w:lineRule="auto"/>
              <w:rPr>
                <w:rFonts w:ascii="Arial" w:eastAsia="Times New Roman" w:hAnsi="Arial" w:cs="Arial"/>
                <w:color w:val="000000"/>
                <w:sz w:val="20"/>
                <w:lang w:eastAsia="fr-FR"/>
              </w:rPr>
            </w:pPr>
            <w:r w:rsidRPr="007F78CE">
              <w:rPr>
                <w:rFonts w:ascii="Arial" w:eastAsia="Times New Roman" w:hAnsi="Arial" w:cs="Arial"/>
                <w:color w:val="000000"/>
                <w:sz w:val="20"/>
                <w:lang w:eastAsia="fr-FR"/>
              </w:rPr>
              <w:t>Vitesse du vent</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100 km/h</w:t>
            </w:r>
          </w:p>
          <w:p w14:paraId="6D861754" w14:textId="77777777" w:rsidR="006B368E" w:rsidRPr="007F78CE" w:rsidRDefault="006B368E" w:rsidP="007F78CE">
            <w:pPr>
              <w:spacing w:after="0" w:line="240" w:lineRule="auto"/>
              <w:rPr>
                <w:rFonts w:ascii="Arial" w:eastAsia="Times New Roman" w:hAnsi="Arial" w:cs="Arial"/>
                <w:color w:val="000000"/>
                <w:sz w:val="20"/>
                <w:lang w:eastAsia="fr-FR"/>
              </w:rPr>
            </w:pPr>
            <w:r w:rsidRPr="007F78CE">
              <w:rPr>
                <w:rFonts w:ascii="Arial" w:eastAsia="Times New Roman" w:hAnsi="Arial" w:cs="Arial"/>
                <w:color w:val="000000"/>
                <w:sz w:val="20"/>
                <w:lang w:eastAsia="fr-FR"/>
              </w:rPr>
              <w:t>Diamètre</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963 km</w:t>
            </w:r>
          </w:p>
          <w:p w14:paraId="4C39E654" w14:textId="77777777" w:rsidR="006B368E" w:rsidRPr="007F78CE" w:rsidRDefault="006B368E" w:rsidP="007F78CE">
            <w:pPr>
              <w:spacing w:after="0" w:line="240" w:lineRule="auto"/>
              <w:rPr>
                <w:rFonts w:ascii="Arial" w:eastAsia="Times New Roman" w:hAnsi="Arial" w:cs="Arial"/>
                <w:color w:val="000000"/>
                <w:sz w:val="20"/>
                <w:lang w:eastAsia="fr-FR"/>
              </w:rPr>
            </w:pPr>
            <w:r w:rsidRPr="007F78CE">
              <w:rPr>
                <w:rFonts w:ascii="Arial" w:eastAsia="Times New Roman" w:hAnsi="Arial" w:cs="Arial"/>
                <w:color w:val="000000"/>
                <w:sz w:val="20"/>
                <w:lang w:eastAsia="fr-FR"/>
              </w:rPr>
              <w:t>Pression de l'air</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dessous 984 mbar</w:t>
            </w:r>
          </w:p>
          <w:p w14:paraId="6446053F" w14:textId="77777777" w:rsidR="006B368E" w:rsidRPr="007F78CE" w:rsidRDefault="006B368E" w:rsidP="007F78CE">
            <w:pPr>
              <w:spacing w:after="0" w:line="240" w:lineRule="auto"/>
              <w:rPr>
                <w:rFonts w:ascii="Arial" w:hAnsi="Arial" w:cs="Arial"/>
                <w:color w:val="000000"/>
                <w:sz w:val="20"/>
                <w:shd w:val="clear" w:color="auto" w:fill="FAFAFA"/>
              </w:rPr>
            </w:pPr>
            <w:r w:rsidRPr="007F78CE">
              <w:rPr>
                <w:rFonts w:ascii="Arial" w:eastAsia="Times New Roman" w:hAnsi="Arial" w:cs="Arial"/>
                <w:color w:val="000000"/>
                <w:sz w:val="20"/>
                <w:lang w:eastAsia="fr-FR"/>
              </w:rPr>
              <w:t>Échelle de Saffir-Simpson</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tempête tropicale</w:t>
            </w:r>
          </w:p>
        </w:tc>
        <w:tc>
          <w:tcPr>
            <w:tcW w:w="2070" w:type="dxa"/>
            <w:tcBorders>
              <w:top w:val="single" w:sz="8" w:space="0" w:color="4F81BD"/>
              <w:bottom w:val="single" w:sz="8" w:space="0" w:color="4F81BD"/>
              <w:right w:val="single" w:sz="8" w:space="0" w:color="4F81BD"/>
            </w:tcBorders>
            <w:shd w:val="clear" w:color="auto" w:fill="auto"/>
          </w:tcPr>
          <w:p w14:paraId="6D442ED4" w14:textId="77777777" w:rsidR="00B5475C" w:rsidRPr="007F78CE" w:rsidRDefault="006B368E" w:rsidP="007F78CE">
            <w:pPr>
              <w:spacing w:after="0" w:line="240" w:lineRule="auto"/>
              <w:rPr>
                <w:rFonts w:ascii="Arial" w:hAnsi="Arial" w:cs="Arial"/>
                <w:color w:val="000000"/>
                <w:sz w:val="20"/>
                <w:shd w:val="clear" w:color="auto" w:fill="FAFAFA"/>
              </w:rPr>
            </w:pPr>
            <w:r w:rsidRPr="007F78CE">
              <w:rPr>
                <w:rFonts w:ascii="Arial" w:hAnsi="Arial" w:cs="Arial"/>
                <w:color w:val="000000"/>
                <w:sz w:val="20"/>
                <w:shd w:val="clear" w:color="auto" w:fill="FAFAFA"/>
              </w:rPr>
              <w:t>Atsimo-Andrefana</w:t>
            </w:r>
          </w:p>
          <w:p w14:paraId="6BC57F43" w14:textId="77777777" w:rsidR="006B368E" w:rsidRPr="007F78CE" w:rsidRDefault="006B368E" w:rsidP="007F78CE">
            <w:pPr>
              <w:spacing w:after="0" w:line="240" w:lineRule="auto"/>
              <w:rPr>
                <w:rFonts w:ascii="Arial" w:hAnsi="Arial" w:cs="Arial"/>
                <w:sz w:val="20"/>
              </w:rPr>
            </w:pPr>
            <w:r w:rsidRPr="007F78CE">
              <w:rPr>
                <w:rFonts w:ascii="Arial" w:hAnsi="Arial" w:cs="Arial"/>
                <w:color w:val="000000"/>
                <w:sz w:val="20"/>
                <w:shd w:val="clear" w:color="auto" w:fill="FAFAFA"/>
              </w:rPr>
              <w:t>Atsimo-Atsinanana</w:t>
            </w:r>
          </w:p>
        </w:tc>
      </w:tr>
      <w:tr w:rsidR="0063584D" w:rsidRPr="007F78CE" w14:paraId="3A32C59D" w14:textId="77777777" w:rsidTr="00B434A6">
        <w:trPr>
          <w:jc w:val="center"/>
        </w:trPr>
        <w:tc>
          <w:tcPr>
            <w:tcW w:w="1502" w:type="dxa"/>
            <w:shd w:val="clear" w:color="auto" w:fill="auto"/>
          </w:tcPr>
          <w:p w14:paraId="097FD9E3" w14:textId="77777777" w:rsidR="006B368E" w:rsidRPr="007F78CE" w:rsidRDefault="006B368E" w:rsidP="007F78CE">
            <w:pPr>
              <w:spacing w:after="0" w:line="240" w:lineRule="auto"/>
              <w:rPr>
                <w:rFonts w:ascii="Arial" w:eastAsia="Times New Roman" w:hAnsi="Arial" w:cs="Arial"/>
                <w:b/>
                <w:bCs/>
                <w:sz w:val="20"/>
                <w:lang w:eastAsia="fr-FR"/>
              </w:rPr>
            </w:pPr>
            <w:r w:rsidRPr="007F78CE">
              <w:rPr>
                <w:rFonts w:ascii="Arial" w:eastAsia="Times New Roman" w:hAnsi="Arial" w:cs="Arial"/>
                <w:b/>
                <w:bCs/>
                <w:sz w:val="20"/>
                <w:lang w:eastAsia="fr-FR"/>
              </w:rPr>
              <w:t>Gombe</w:t>
            </w:r>
          </w:p>
        </w:tc>
        <w:tc>
          <w:tcPr>
            <w:tcW w:w="1818" w:type="dxa"/>
            <w:shd w:val="clear" w:color="auto" w:fill="auto"/>
          </w:tcPr>
          <w:p w14:paraId="08D69869" w14:textId="77777777" w:rsidR="006B368E" w:rsidRPr="007F78CE" w:rsidRDefault="006B368E" w:rsidP="007F78CE">
            <w:pPr>
              <w:spacing w:after="0" w:line="240" w:lineRule="auto"/>
              <w:rPr>
                <w:rFonts w:ascii="Arial" w:eastAsia="Times New Roman" w:hAnsi="Arial" w:cs="Arial"/>
                <w:sz w:val="20"/>
                <w:lang w:eastAsia="fr-FR"/>
              </w:rPr>
            </w:pPr>
            <w:r w:rsidRPr="007F78CE">
              <w:rPr>
                <w:rFonts w:ascii="Arial" w:eastAsia="Times New Roman" w:hAnsi="Arial" w:cs="Arial"/>
                <w:sz w:val="20"/>
                <w:lang w:eastAsia="fr-FR"/>
              </w:rPr>
              <w:t>8 au 14 mars 2022</w:t>
            </w:r>
          </w:p>
        </w:tc>
        <w:tc>
          <w:tcPr>
            <w:tcW w:w="3780" w:type="dxa"/>
            <w:shd w:val="clear" w:color="auto" w:fill="auto"/>
          </w:tcPr>
          <w:p w14:paraId="2BA19770" w14:textId="77777777" w:rsidR="006B368E" w:rsidRPr="007F78CE" w:rsidRDefault="006B368E" w:rsidP="007F78CE">
            <w:pPr>
              <w:spacing w:after="0" w:line="240" w:lineRule="auto"/>
              <w:rPr>
                <w:rFonts w:ascii="Arial" w:eastAsia="Times New Roman" w:hAnsi="Arial" w:cs="Arial"/>
                <w:color w:val="000000"/>
                <w:sz w:val="20"/>
                <w:lang w:eastAsia="fr-FR"/>
              </w:rPr>
            </w:pPr>
            <w:r w:rsidRPr="007F78CE">
              <w:rPr>
                <w:rFonts w:ascii="Arial" w:eastAsia="Times New Roman" w:hAnsi="Arial" w:cs="Arial"/>
                <w:color w:val="000000"/>
                <w:sz w:val="20"/>
                <w:lang w:eastAsia="fr-FR"/>
              </w:rPr>
              <w:t>Vitesse du vent</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59 km/h</w:t>
            </w:r>
          </w:p>
          <w:p w14:paraId="713B6C5E" w14:textId="77777777" w:rsidR="006B368E" w:rsidRPr="007F78CE" w:rsidRDefault="006B368E" w:rsidP="007F78CE">
            <w:pPr>
              <w:spacing w:after="0" w:line="240" w:lineRule="auto"/>
              <w:rPr>
                <w:rFonts w:ascii="Arial" w:eastAsia="Times New Roman" w:hAnsi="Arial" w:cs="Arial"/>
                <w:color w:val="000000"/>
                <w:sz w:val="20"/>
                <w:lang w:eastAsia="fr-FR"/>
              </w:rPr>
            </w:pPr>
            <w:r w:rsidRPr="007F78CE">
              <w:rPr>
                <w:rFonts w:ascii="Arial" w:eastAsia="Times New Roman" w:hAnsi="Arial" w:cs="Arial"/>
                <w:color w:val="000000"/>
                <w:sz w:val="20"/>
                <w:lang w:eastAsia="fr-FR"/>
              </w:rPr>
              <w:t>Diamètre</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111 km</w:t>
            </w:r>
          </w:p>
          <w:p w14:paraId="0FB93355" w14:textId="77777777" w:rsidR="006B368E" w:rsidRPr="007F78CE" w:rsidRDefault="006B368E" w:rsidP="007F78CE">
            <w:pPr>
              <w:spacing w:after="0" w:line="240" w:lineRule="auto"/>
              <w:rPr>
                <w:rFonts w:ascii="Arial" w:eastAsia="Times New Roman" w:hAnsi="Arial" w:cs="Arial"/>
                <w:color w:val="000000"/>
                <w:sz w:val="20"/>
                <w:lang w:eastAsia="fr-FR"/>
              </w:rPr>
            </w:pPr>
            <w:r w:rsidRPr="007F78CE">
              <w:rPr>
                <w:rFonts w:ascii="Arial" w:eastAsia="Times New Roman" w:hAnsi="Arial" w:cs="Arial"/>
                <w:color w:val="000000"/>
                <w:sz w:val="20"/>
                <w:lang w:eastAsia="fr-FR"/>
              </w:rPr>
              <w:t>Pression de l'air</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dessous 959 mbar</w:t>
            </w:r>
          </w:p>
          <w:p w14:paraId="4EF30DFB" w14:textId="77777777" w:rsidR="006B368E" w:rsidRPr="007F78CE" w:rsidRDefault="006B368E" w:rsidP="007F78CE">
            <w:pPr>
              <w:spacing w:after="0" w:line="240" w:lineRule="auto"/>
              <w:rPr>
                <w:rFonts w:ascii="Arial" w:hAnsi="Arial" w:cs="Arial"/>
                <w:color w:val="000000"/>
                <w:sz w:val="20"/>
                <w:shd w:val="clear" w:color="auto" w:fill="FAFAFA"/>
              </w:rPr>
            </w:pPr>
            <w:r w:rsidRPr="007F78CE">
              <w:rPr>
                <w:rFonts w:ascii="Arial" w:eastAsia="Times New Roman" w:hAnsi="Arial" w:cs="Arial"/>
                <w:color w:val="000000"/>
                <w:sz w:val="20"/>
                <w:lang w:eastAsia="fr-FR"/>
              </w:rPr>
              <w:t>Échelle de Saffir-Simpson</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catégorie 3</w:t>
            </w:r>
          </w:p>
        </w:tc>
        <w:tc>
          <w:tcPr>
            <w:tcW w:w="2070" w:type="dxa"/>
            <w:shd w:val="clear" w:color="auto" w:fill="auto"/>
          </w:tcPr>
          <w:p w14:paraId="5D6C48AC" w14:textId="77777777" w:rsidR="00B5475C" w:rsidRPr="007F78CE" w:rsidRDefault="006B368E" w:rsidP="007F78CE">
            <w:pPr>
              <w:spacing w:after="0" w:line="240" w:lineRule="auto"/>
              <w:rPr>
                <w:rFonts w:ascii="Arial" w:hAnsi="Arial" w:cs="Arial"/>
                <w:color w:val="000000"/>
                <w:sz w:val="20"/>
                <w:shd w:val="clear" w:color="auto" w:fill="FAFAFA"/>
              </w:rPr>
            </w:pPr>
            <w:r w:rsidRPr="007F78CE">
              <w:rPr>
                <w:rFonts w:ascii="Arial" w:hAnsi="Arial" w:cs="Arial"/>
                <w:color w:val="000000"/>
                <w:sz w:val="20"/>
                <w:shd w:val="clear" w:color="auto" w:fill="FAFAFA"/>
              </w:rPr>
              <w:t>Analanjirofo</w:t>
            </w:r>
          </w:p>
          <w:p w14:paraId="1E2CDD4E" w14:textId="77777777" w:rsidR="006B368E" w:rsidRPr="007F78CE" w:rsidRDefault="006B368E" w:rsidP="007F78CE">
            <w:pPr>
              <w:spacing w:after="0" w:line="240" w:lineRule="auto"/>
              <w:rPr>
                <w:rFonts w:ascii="Arial" w:hAnsi="Arial" w:cs="Arial"/>
                <w:sz w:val="20"/>
              </w:rPr>
            </w:pPr>
            <w:r w:rsidRPr="007F78CE">
              <w:rPr>
                <w:rFonts w:ascii="Arial" w:hAnsi="Arial" w:cs="Arial"/>
                <w:color w:val="000000"/>
                <w:sz w:val="20"/>
                <w:shd w:val="clear" w:color="auto" w:fill="FAFAFA"/>
              </w:rPr>
              <w:t>Sofia</w:t>
            </w:r>
          </w:p>
        </w:tc>
      </w:tr>
      <w:tr w:rsidR="0063584D" w:rsidRPr="00345918" w14:paraId="433BF777" w14:textId="77777777" w:rsidTr="00B434A6">
        <w:trPr>
          <w:jc w:val="center"/>
        </w:trPr>
        <w:tc>
          <w:tcPr>
            <w:tcW w:w="1502" w:type="dxa"/>
            <w:tcBorders>
              <w:top w:val="single" w:sz="8" w:space="0" w:color="4F81BD"/>
              <w:left w:val="single" w:sz="8" w:space="0" w:color="4F81BD"/>
              <w:bottom w:val="single" w:sz="8" w:space="0" w:color="4F81BD"/>
            </w:tcBorders>
            <w:shd w:val="clear" w:color="auto" w:fill="auto"/>
          </w:tcPr>
          <w:p w14:paraId="48D3EE6D" w14:textId="77777777" w:rsidR="006B368E" w:rsidRPr="007F78CE" w:rsidRDefault="006B368E" w:rsidP="007F78CE">
            <w:pPr>
              <w:spacing w:after="0" w:line="240" w:lineRule="auto"/>
              <w:rPr>
                <w:rFonts w:ascii="Arial" w:hAnsi="Arial" w:cs="Arial"/>
                <w:b/>
                <w:bCs/>
                <w:sz w:val="20"/>
              </w:rPr>
            </w:pPr>
            <w:r w:rsidRPr="007F78CE">
              <w:rPr>
                <w:rFonts w:ascii="Arial" w:eastAsia="Times New Roman" w:hAnsi="Arial" w:cs="Arial"/>
                <w:b/>
                <w:bCs/>
                <w:sz w:val="20"/>
                <w:lang w:eastAsia="fr-FR"/>
              </w:rPr>
              <w:t>Emnati</w:t>
            </w:r>
          </w:p>
        </w:tc>
        <w:tc>
          <w:tcPr>
            <w:tcW w:w="1818" w:type="dxa"/>
            <w:tcBorders>
              <w:top w:val="single" w:sz="8" w:space="0" w:color="4F81BD"/>
              <w:bottom w:val="single" w:sz="8" w:space="0" w:color="4F81BD"/>
            </w:tcBorders>
            <w:shd w:val="clear" w:color="auto" w:fill="auto"/>
          </w:tcPr>
          <w:p w14:paraId="056EB600" w14:textId="77777777" w:rsidR="006B368E" w:rsidRPr="007F78CE" w:rsidRDefault="006B368E" w:rsidP="007F78CE">
            <w:pPr>
              <w:spacing w:after="0" w:line="240" w:lineRule="auto"/>
              <w:rPr>
                <w:rFonts w:ascii="Arial" w:eastAsia="Times New Roman" w:hAnsi="Arial" w:cs="Arial"/>
                <w:sz w:val="20"/>
                <w:lang w:eastAsia="fr-FR"/>
              </w:rPr>
            </w:pPr>
            <w:r w:rsidRPr="007F78CE">
              <w:rPr>
                <w:rFonts w:ascii="Arial" w:eastAsia="Times New Roman" w:hAnsi="Arial" w:cs="Arial"/>
                <w:sz w:val="20"/>
                <w:lang w:eastAsia="fr-FR"/>
              </w:rPr>
              <w:t>16 au 24 février 2022</w:t>
            </w:r>
          </w:p>
        </w:tc>
        <w:tc>
          <w:tcPr>
            <w:tcW w:w="3780" w:type="dxa"/>
            <w:tcBorders>
              <w:top w:val="single" w:sz="8" w:space="0" w:color="4F81BD"/>
              <w:bottom w:val="single" w:sz="8" w:space="0" w:color="4F81BD"/>
            </w:tcBorders>
            <w:shd w:val="clear" w:color="auto" w:fill="auto"/>
          </w:tcPr>
          <w:p w14:paraId="0348CEC8" w14:textId="77777777" w:rsidR="006B368E" w:rsidRPr="007F78CE" w:rsidRDefault="006B368E" w:rsidP="007F78CE">
            <w:pPr>
              <w:spacing w:after="0" w:line="240" w:lineRule="auto"/>
              <w:rPr>
                <w:rFonts w:ascii="Arial" w:eastAsia="Times New Roman" w:hAnsi="Arial" w:cs="Arial"/>
                <w:color w:val="000000"/>
                <w:sz w:val="20"/>
                <w:lang w:eastAsia="fr-FR"/>
              </w:rPr>
            </w:pPr>
            <w:r w:rsidRPr="007F78CE">
              <w:rPr>
                <w:rFonts w:ascii="Arial" w:eastAsia="Times New Roman" w:hAnsi="Arial" w:cs="Arial"/>
                <w:color w:val="000000"/>
                <w:sz w:val="20"/>
                <w:lang w:eastAsia="fr-FR"/>
              </w:rPr>
              <w:t>Vitesse du vent</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130 km/h</w:t>
            </w:r>
          </w:p>
          <w:p w14:paraId="1B318BA7" w14:textId="77777777" w:rsidR="006B368E" w:rsidRPr="007F78CE" w:rsidRDefault="006B368E" w:rsidP="007F78CE">
            <w:pPr>
              <w:spacing w:after="0" w:line="240" w:lineRule="auto"/>
              <w:rPr>
                <w:rFonts w:ascii="Arial" w:eastAsia="Times New Roman" w:hAnsi="Arial" w:cs="Arial"/>
                <w:color w:val="000000"/>
                <w:sz w:val="20"/>
                <w:lang w:eastAsia="fr-FR"/>
              </w:rPr>
            </w:pPr>
            <w:r w:rsidRPr="007F78CE">
              <w:rPr>
                <w:rFonts w:ascii="Arial" w:eastAsia="Times New Roman" w:hAnsi="Arial" w:cs="Arial"/>
                <w:color w:val="000000"/>
                <w:sz w:val="20"/>
                <w:lang w:eastAsia="fr-FR"/>
              </w:rPr>
              <w:t>Diamètre</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296 km</w:t>
            </w:r>
          </w:p>
          <w:p w14:paraId="56C7339A" w14:textId="77777777" w:rsidR="006B368E" w:rsidRPr="007F78CE" w:rsidRDefault="006B368E" w:rsidP="007F78CE">
            <w:pPr>
              <w:spacing w:after="0" w:line="240" w:lineRule="auto"/>
              <w:rPr>
                <w:rFonts w:ascii="Arial" w:eastAsia="Times New Roman" w:hAnsi="Arial" w:cs="Arial"/>
                <w:color w:val="000000"/>
                <w:sz w:val="20"/>
                <w:lang w:eastAsia="fr-FR"/>
              </w:rPr>
            </w:pPr>
            <w:r w:rsidRPr="007F78CE">
              <w:rPr>
                <w:rFonts w:ascii="Arial" w:eastAsia="Times New Roman" w:hAnsi="Arial" w:cs="Arial"/>
                <w:color w:val="000000"/>
                <w:sz w:val="20"/>
                <w:lang w:eastAsia="fr-FR"/>
              </w:rPr>
              <w:t>Pression de l'air</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dessous 941 mbar</w:t>
            </w:r>
          </w:p>
          <w:p w14:paraId="331372B0" w14:textId="77777777" w:rsidR="006B368E" w:rsidRPr="007F78CE" w:rsidRDefault="006B368E" w:rsidP="007F78CE">
            <w:pPr>
              <w:spacing w:after="0" w:line="240" w:lineRule="auto"/>
              <w:rPr>
                <w:rFonts w:ascii="Arial" w:hAnsi="Arial" w:cs="Arial"/>
                <w:color w:val="000000"/>
                <w:sz w:val="20"/>
                <w:shd w:val="clear" w:color="auto" w:fill="FAFAFA"/>
              </w:rPr>
            </w:pPr>
            <w:r w:rsidRPr="007F78CE">
              <w:rPr>
                <w:rFonts w:ascii="Arial" w:eastAsia="Times New Roman" w:hAnsi="Arial" w:cs="Arial"/>
                <w:color w:val="000000"/>
                <w:sz w:val="20"/>
                <w:lang w:eastAsia="fr-FR"/>
              </w:rPr>
              <w:t>Échelle de Saffir-Simpson</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catégorie 4</w:t>
            </w:r>
          </w:p>
        </w:tc>
        <w:tc>
          <w:tcPr>
            <w:tcW w:w="2070" w:type="dxa"/>
            <w:tcBorders>
              <w:top w:val="single" w:sz="8" w:space="0" w:color="4F81BD"/>
              <w:bottom w:val="single" w:sz="8" w:space="0" w:color="4F81BD"/>
              <w:right w:val="single" w:sz="8" w:space="0" w:color="4F81BD"/>
            </w:tcBorders>
            <w:shd w:val="clear" w:color="auto" w:fill="auto"/>
          </w:tcPr>
          <w:p w14:paraId="0C239851" w14:textId="77777777" w:rsidR="00B5475C" w:rsidRPr="007F78CE" w:rsidRDefault="006B368E" w:rsidP="007F78CE">
            <w:pPr>
              <w:spacing w:after="0" w:line="240" w:lineRule="auto"/>
              <w:rPr>
                <w:rFonts w:ascii="Arial" w:hAnsi="Arial" w:cs="Arial"/>
                <w:color w:val="000000"/>
                <w:sz w:val="20"/>
                <w:shd w:val="clear" w:color="auto" w:fill="FAFAFA"/>
                <w:lang w:val="en-US"/>
              </w:rPr>
            </w:pPr>
            <w:r w:rsidRPr="007F78CE">
              <w:rPr>
                <w:rFonts w:ascii="Arial" w:hAnsi="Arial" w:cs="Arial"/>
                <w:color w:val="000000"/>
                <w:sz w:val="20"/>
                <w:shd w:val="clear" w:color="auto" w:fill="FAFAFA"/>
                <w:lang w:val="en-US"/>
              </w:rPr>
              <w:t>Vatovavy Fitovinany</w:t>
            </w:r>
          </w:p>
          <w:p w14:paraId="4C970EC0" w14:textId="77777777" w:rsidR="00B5475C" w:rsidRPr="007F78CE" w:rsidRDefault="006B368E" w:rsidP="007F78CE">
            <w:pPr>
              <w:spacing w:after="0" w:line="240" w:lineRule="auto"/>
              <w:rPr>
                <w:rFonts w:ascii="Arial" w:hAnsi="Arial" w:cs="Arial"/>
                <w:color w:val="000000"/>
                <w:sz w:val="20"/>
                <w:shd w:val="clear" w:color="auto" w:fill="FAFAFA"/>
                <w:lang w:val="en-US"/>
              </w:rPr>
            </w:pPr>
            <w:r w:rsidRPr="007F78CE">
              <w:rPr>
                <w:rFonts w:ascii="Arial" w:hAnsi="Arial" w:cs="Arial"/>
                <w:color w:val="000000"/>
                <w:sz w:val="20"/>
                <w:shd w:val="clear" w:color="auto" w:fill="FAFAFA"/>
                <w:lang w:val="en-US"/>
              </w:rPr>
              <w:t>Atsimo-Atsinanana</w:t>
            </w:r>
          </w:p>
          <w:p w14:paraId="5A1DC5D9" w14:textId="77777777" w:rsidR="006B368E" w:rsidRPr="007F78CE" w:rsidRDefault="006B368E" w:rsidP="007F78CE">
            <w:pPr>
              <w:spacing w:after="0" w:line="240" w:lineRule="auto"/>
              <w:rPr>
                <w:rFonts w:ascii="Arial" w:hAnsi="Arial" w:cs="Arial"/>
                <w:sz w:val="20"/>
                <w:lang w:val="en-US"/>
              </w:rPr>
            </w:pPr>
            <w:r w:rsidRPr="007F78CE">
              <w:rPr>
                <w:rFonts w:ascii="Arial" w:hAnsi="Arial" w:cs="Arial"/>
                <w:color w:val="000000"/>
                <w:sz w:val="20"/>
                <w:shd w:val="clear" w:color="auto" w:fill="FAFAFA"/>
                <w:lang w:val="en-US"/>
              </w:rPr>
              <w:t>Androy</w:t>
            </w:r>
          </w:p>
        </w:tc>
      </w:tr>
      <w:tr w:rsidR="0063584D" w:rsidRPr="00345918" w14:paraId="1DE53D7B" w14:textId="77777777" w:rsidTr="00B434A6">
        <w:trPr>
          <w:jc w:val="center"/>
        </w:trPr>
        <w:tc>
          <w:tcPr>
            <w:tcW w:w="1502" w:type="dxa"/>
            <w:shd w:val="clear" w:color="auto" w:fill="auto"/>
          </w:tcPr>
          <w:p w14:paraId="6E915DB4" w14:textId="77777777" w:rsidR="006B368E" w:rsidRPr="007F78CE" w:rsidRDefault="006B368E" w:rsidP="007F78CE">
            <w:pPr>
              <w:spacing w:after="0" w:line="240" w:lineRule="auto"/>
              <w:rPr>
                <w:rFonts w:ascii="Arial" w:hAnsi="Arial" w:cs="Arial"/>
                <w:b/>
                <w:bCs/>
                <w:sz w:val="20"/>
                <w:lang w:val="en-US"/>
              </w:rPr>
            </w:pPr>
            <w:r w:rsidRPr="007F78CE">
              <w:rPr>
                <w:rFonts w:ascii="Arial" w:eastAsia="Times New Roman" w:hAnsi="Arial" w:cs="Arial"/>
                <w:b/>
                <w:bCs/>
                <w:sz w:val="20"/>
                <w:lang w:eastAsia="fr-FR"/>
              </w:rPr>
              <w:t>Dumako</w:t>
            </w:r>
          </w:p>
        </w:tc>
        <w:tc>
          <w:tcPr>
            <w:tcW w:w="1818" w:type="dxa"/>
            <w:shd w:val="clear" w:color="auto" w:fill="auto"/>
          </w:tcPr>
          <w:p w14:paraId="59C4BB8C" w14:textId="77777777" w:rsidR="006B368E" w:rsidRPr="007F78CE" w:rsidRDefault="006B368E" w:rsidP="007F78CE">
            <w:pPr>
              <w:spacing w:after="0" w:line="240" w:lineRule="auto"/>
              <w:rPr>
                <w:rFonts w:ascii="Arial" w:eastAsia="Times New Roman" w:hAnsi="Arial" w:cs="Arial"/>
                <w:sz w:val="20"/>
                <w:lang w:eastAsia="fr-FR"/>
              </w:rPr>
            </w:pPr>
            <w:r w:rsidRPr="007F78CE">
              <w:rPr>
                <w:rFonts w:ascii="Arial" w:eastAsia="Times New Roman" w:hAnsi="Arial" w:cs="Arial"/>
                <w:sz w:val="20"/>
                <w:lang w:eastAsia="fr-FR"/>
              </w:rPr>
              <w:t>13 au 16 février 2022</w:t>
            </w:r>
          </w:p>
        </w:tc>
        <w:tc>
          <w:tcPr>
            <w:tcW w:w="3780" w:type="dxa"/>
            <w:shd w:val="clear" w:color="auto" w:fill="auto"/>
          </w:tcPr>
          <w:p w14:paraId="6B5BDF1F" w14:textId="77777777" w:rsidR="006B368E" w:rsidRPr="007F78CE" w:rsidRDefault="006B368E" w:rsidP="007F78CE">
            <w:pPr>
              <w:spacing w:after="0" w:line="240" w:lineRule="auto"/>
              <w:rPr>
                <w:rFonts w:ascii="Arial" w:eastAsia="Times New Roman" w:hAnsi="Arial" w:cs="Arial"/>
                <w:color w:val="000000"/>
                <w:sz w:val="20"/>
                <w:lang w:eastAsia="fr-FR"/>
              </w:rPr>
            </w:pPr>
            <w:r w:rsidRPr="007F78CE">
              <w:rPr>
                <w:rFonts w:ascii="Arial" w:eastAsia="Times New Roman" w:hAnsi="Arial" w:cs="Arial"/>
                <w:color w:val="000000"/>
                <w:sz w:val="20"/>
                <w:lang w:eastAsia="fr-FR"/>
              </w:rPr>
              <w:t>Vitesse du vent</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78 km/h</w:t>
            </w:r>
          </w:p>
          <w:p w14:paraId="3E8B8C5E" w14:textId="77777777" w:rsidR="006B368E" w:rsidRPr="007F78CE" w:rsidRDefault="006B368E" w:rsidP="007F78CE">
            <w:pPr>
              <w:spacing w:after="0" w:line="240" w:lineRule="auto"/>
              <w:rPr>
                <w:rFonts w:ascii="Arial" w:eastAsia="Times New Roman" w:hAnsi="Arial" w:cs="Arial"/>
                <w:color w:val="000000"/>
                <w:sz w:val="20"/>
                <w:lang w:eastAsia="fr-FR"/>
              </w:rPr>
            </w:pPr>
            <w:r w:rsidRPr="007F78CE">
              <w:rPr>
                <w:rFonts w:ascii="Arial" w:eastAsia="Times New Roman" w:hAnsi="Arial" w:cs="Arial"/>
                <w:color w:val="000000"/>
                <w:sz w:val="20"/>
                <w:lang w:eastAsia="fr-FR"/>
              </w:rPr>
              <w:t>Diamètre</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93 km</w:t>
            </w:r>
          </w:p>
          <w:p w14:paraId="0A94BF67" w14:textId="77777777" w:rsidR="006B368E" w:rsidRPr="007F78CE" w:rsidRDefault="006B368E" w:rsidP="007F78CE">
            <w:pPr>
              <w:spacing w:after="0" w:line="240" w:lineRule="auto"/>
              <w:rPr>
                <w:rFonts w:ascii="Arial" w:eastAsia="Times New Roman" w:hAnsi="Arial" w:cs="Arial"/>
                <w:color w:val="000000"/>
                <w:sz w:val="20"/>
                <w:lang w:eastAsia="fr-FR"/>
              </w:rPr>
            </w:pPr>
            <w:r w:rsidRPr="007F78CE">
              <w:rPr>
                <w:rFonts w:ascii="Arial" w:eastAsia="Times New Roman" w:hAnsi="Arial" w:cs="Arial"/>
                <w:color w:val="000000"/>
                <w:sz w:val="20"/>
                <w:lang w:eastAsia="fr-FR"/>
              </w:rPr>
              <w:t>Pression de l'air</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dessous 995 mbar</w:t>
            </w:r>
          </w:p>
          <w:p w14:paraId="077F9050" w14:textId="77777777" w:rsidR="006B368E" w:rsidRPr="007F78CE" w:rsidRDefault="006B368E" w:rsidP="007F78CE">
            <w:pPr>
              <w:spacing w:after="0" w:line="240" w:lineRule="auto"/>
              <w:rPr>
                <w:rFonts w:ascii="Arial" w:hAnsi="Arial" w:cs="Arial"/>
                <w:color w:val="000000"/>
                <w:sz w:val="20"/>
                <w:shd w:val="clear" w:color="auto" w:fill="FAFAFA"/>
              </w:rPr>
            </w:pPr>
            <w:r w:rsidRPr="007F78CE">
              <w:rPr>
                <w:rFonts w:ascii="Arial" w:eastAsia="Times New Roman" w:hAnsi="Arial" w:cs="Arial"/>
                <w:color w:val="000000"/>
                <w:sz w:val="20"/>
                <w:lang w:eastAsia="fr-FR"/>
              </w:rPr>
              <w:t>Échelle de Saffir-Simpson</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tempête tropicale</w:t>
            </w:r>
          </w:p>
        </w:tc>
        <w:tc>
          <w:tcPr>
            <w:tcW w:w="2070" w:type="dxa"/>
            <w:shd w:val="clear" w:color="auto" w:fill="auto"/>
          </w:tcPr>
          <w:p w14:paraId="43D001E3" w14:textId="77777777" w:rsidR="006B368E" w:rsidRPr="007F78CE" w:rsidRDefault="006B368E" w:rsidP="007F78CE">
            <w:pPr>
              <w:spacing w:after="0" w:line="240" w:lineRule="auto"/>
              <w:rPr>
                <w:rFonts w:ascii="Arial" w:hAnsi="Arial" w:cs="Arial"/>
                <w:sz w:val="20"/>
                <w:lang w:val="en-US"/>
              </w:rPr>
            </w:pPr>
            <w:r w:rsidRPr="007F78CE">
              <w:rPr>
                <w:rFonts w:ascii="Arial" w:hAnsi="Arial" w:cs="Arial"/>
                <w:color w:val="000000"/>
                <w:sz w:val="20"/>
                <w:shd w:val="clear" w:color="auto" w:fill="FAFAFA"/>
                <w:lang w:val="en-US"/>
              </w:rPr>
              <w:t>Analanjirofo</w:t>
            </w:r>
            <w:r w:rsidRPr="007F78CE">
              <w:rPr>
                <w:rFonts w:ascii="Arial" w:hAnsi="Arial" w:cs="Arial"/>
                <w:color w:val="000000"/>
                <w:sz w:val="20"/>
                <w:lang w:val="en-US"/>
              </w:rPr>
              <w:br/>
            </w:r>
            <w:r w:rsidRPr="007F78CE">
              <w:rPr>
                <w:rFonts w:ascii="Arial" w:hAnsi="Arial" w:cs="Arial"/>
                <w:color w:val="000000"/>
                <w:sz w:val="20"/>
                <w:shd w:val="clear" w:color="auto" w:fill="FAFAFA"/>
                <w:lang w:val="en-US"/>
              </w:rPr>
              <w:t>Atsinanana</w:t>
            </w:r>
            <w:r w:rsidRPr="007F78CE">
              <w:rPr>
                <w:rFonts w:ascii="Arial" w:hAnsi="Arial" w:cs="Arial"/>
                <w:color w:val="000000"/>
                <w:sz w:val="20"/>
                <w:lang w:val="en-US"/>
              </w:rPr>
              <w:br/>
            </w:r>
            <w:r w:rsidRPr="007F78CE">
              <w:rPr>
                <w:rFonts w:ascii="Arial" w:hAnsi="Arial" w:cs="Arial"/>
                <w:color w:val="000000"/>
                <w:sz w:val="20"/>
                <w:shd w:val="clear" w:color="auto" w:fill="FAFAFA"/>
                <w:lang w:val="en-US"/>
              </w:rPr>
              <w:t>Alaotra Mangoro</w:t>
            </w:r>
            <w:r w:rsidRPr="007F78CE">
              <w:rPr>
                <w:rFonts w:ascii="Arial" w:hAnsi="Arial" w:cs="Arial"/>
                <w:color w:val="000000"/>
                <w:sz w:val="20"/>
                <w:lang w:val="en-US"/>
              </w:rPr>
              <w:br/>
            </w:r>
            <w:r w:rsidRPr="007F78CE">
              <w:rPr>
                <w:rFonts w:ascii="Arial" w:hAnsi="Arial" w:cs="Arial"/>
                <w:color w:val="000000"/>
                <w:sz w:val="20"/>
                <w:shd w:val="clear" w:color="auto" w:fill="FAFAFA"/>
                <w:lang w:val="en-US"/>
              </w:rPr>
              <w:t>Betsiboka</w:t>
            </w:r>
            <w:r w:rsidRPr="007F78CE">
              <w:rPr>
                <w:rFonts w:ascii="Arial" w:hAnsi="Arial" w:cs="Arial"/>
                <w:color w:val="000000"/>
                <w:sz w:val="20"/>
                <w:lang w:val="en-US"/>
              </w:rPr>
              <w:br/>
            </w:r>
            <w:r w:rsidRPr="007F78CE">
              <w:rPr>
                <w:rFonts w:ascii="Arial" w:hAnsi="Arial" w:cs="Arial"/>
                <w:color w:val="000000"/>
                <w:sz w:val="20"/>
                <w:shd w:val="clear" w:color="auto" w:fill="FAFAFA"/>
                <w:lang w:val="en-US"/>
              </w:rPr>
              <w:t>Boeny</w:t>
            </w:r>
            <w:r w:rsidRPr="007F78CE">
              <w:rPr>
                <w:rFonts w:ascii="Arial" w:hAnsi="Arial" w:cs="Arial"/>
                <w:color w:val="000000"/>
                <w:sz w:val="20"/>
                <w:lang w:val="en-US"/>
              </w:rPr>
              <w:br/>
            </w:r>
            <w:r w:rsidRPr="007F78CE">
              <w:rPr>
                <w:rFonts w:ascii="Arial" w:hAnsi="Arial" w:cs="Arial"/>
                <w:color w:val="000000"/>
                <w:sz w:val="20"/>
                <w:shd w:val="clear" w:color="auto" w:fill="FAFAFA"/>
                <w:lang w:val="en-US"/>
              </w:rPr>
              <w:t>Melaky</w:t>
            </w:r>
          </w:p>
        </w:tc>
      </w:tr>
      <w:tr w:rsidR="0063584D" w:rsidRPr="007F78CE" w14:paraId="0F480ED6" w14:textId="77777777" w:rsidTr="00B434A6">
        <w:trPr>
          <w:jc w:val="center"/>
        </w:trPr>
        <w:tc>
          <w:tcPr>
            <w:tcW w:w="1502" w:type="dxa"/>
            <w:tcBorders>
              <w:top w:val="single" w:sz="8" w:space="0" w:color="4F81BD"/>
              <w:left w:val="single" w:sz="8" w:space="0" w:color="4F81BD"/>
              <w:bottom w:val="single" w:sz="8" w:space="0" w:color="4F81BD"/>
            </w:tcBorders>
            <w:shd w:val="clear" w:color="auto" w:fill="auto"/>
          </w:tcPr>
          <w:p w14:paraId="7E744D41" w14:textId="77777777" w:rsidR="006B368E" w:rsidRPr="007F78CE" w:rsidRDefault="006B368E" w:rsidP="007F78CE">
            <w:pPr>
              <w:spacing w:after="0" w:line="240" w:lineRule="auto"/>
              <w:rPr>
                <w:rFonts w:ascii="Arial" w:hAnsi="Arial" w:cs="Arial"/>
                <w:b/>
                <w:bCs/>
                <w:sz w:val="20"/>
                <w:lang w:val="en-US"/>
              </w:rPr>
            </w:pPr>
            <w:r w:rsidRPr="007F78CE">
              <w:rPr>
                <w:rFonts w:ascii="Arial" w:eastAsia="Times New Roman" w:hAnsi="Arial" w:cs="Arial"/>
                <w:b/>
                <w:bCs/>
                <w:sz w:val="20"/>
                <w:lang w:eastAsia="fr-FR"/>
              </w:rPr>
              <w:t>Batsirai</w:t>
            </w:r>
          </w:p>
        </w:tc>
        <w:tc>
          <w:tcPr>
            <w:tcW w:w="1818" w:type="dxa"/>
            <w:tcBorders>
              <w:top w:val="single" w:sz="8" w:space="0" w:color="4F81BD"/>
              <w:bottom w:val="single" w:sz="8" w:space="0" w:color="4F81BD"/>
            </w:tcBorders>
            <w:shd w:val="clear" w:color="auto" w:fill="auto"/>
          </w:tcPr>
          <w:p w14:paraId="4EC4B1F2" w14:textId="77777777" w:rsidR="006B368E" w:rsidRPr="007F78CE" w:rsidRDefault="006B368E" w:rsidP="007F78CE">
            <w:pPr>
              <w:spacing w:after="0" w:line="240" w:lineRule="auto"/>
              <w:rPr>
                <w:rFonts w:ascii="Arial" w:eastAsia="Times New Roman" w:hAnsi="Arial" w:cs="Arial"/>
                <w:sz w:val="20"/>
                <w:lang w:eastAsia="fr-FR"/>
              </w:rPr>
            </w:pPr>
            <w:r w:rsidRPr="007F78CE">
              <w:rPr>
                <w:rFonts w:ascii="Arial" w:eastAsia="Times New Roman" w:hAnsi="Arial" w:cs="Arial"/>
                <w:sz w:val="20"/>
                <w:lang w:eastAsia="fr-FR"/>
              </w:rPr>
              <w:t>27 janvier au 8 février 2022</w:t>
            </w:r>
          </w:p>
        </w:tc>
        <w:tc>
          <w:tcPr>
            <w:tcW w:w="3780" w:type="dxa"/>
            <w:tcBorders>
              <w:top w:val="single" w:sz="8" w:space="0" w:color="4F81BD"/>
              <w:bottom w:val="single" w:sz="8" w:space="0" w:color="4F81BD"/>
            </w:tcBorders>
            <w:shd w:val="clear" w:color="auto" w:fill="auto"/>
          </w:tcPr>
          <w:p w14:paraId="6AEB6A27" w14:textId="77777777" w:rsidR="006B368E" w:rsidRPr="007F78CE" w:rsidRDefault="006B368E" w:rsidP="007F78CE">
            <w:pPr>
              <w:spacing w:after="0" w:line="240" w:lineRule="auto"/>
              <w:rPr>
                <w:rFonts w:ascii="Arial" w:eastAsia="Times New Roman" w:hAnsi="Arial" w:cs="Arial"/>
                <w:color w:val="000000"/>
                <w:sz w:val="20"/>
                <w:lang w:eastAsia="fr-FR"/>
              </w:rPr>
            </w:pPr>
            <w:r w:rsidRPr="007F78CE">
              <w:rPr>
                <w:rFonts w:ascii="Arial" w:eastAsia="Times New Roman" w:hAnsi="Arial" w:cs="Arial"/>
                <w:color w:val="000000"/>
                <w:sz w:val="20"/>
                <w:lang w:eastAsia="fr-FR"/>
              </w:rPr>
              <w:t>Vitesse du vent</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183 km/h</w:t>
            </w:r>
          </w:p>
          <w:p w14:paraId="645440D1" w14:textId="77777777" w:rsidR="006B368E" w:rsidRPr="007F78CE" w:rsidRDefault="006B368E" w:rsidP="007F78CE">
            <w:pPr>
              <w:spacing w:after="0" w:line="240" w:lineRule="auto"/>
              <w:rPr>
                <w:rFonts w:ascii="Arial" w:eastAsia="Times New Roman" w:hAnsi="Arial" w:cs="Arial"/>
                <w:color w:val="000000"/>
                <w:sz w:val="20"/>
                <w:lang w:eastAsia="fr-FR"/>
              </w:rPr>
            </w:pPr>
            <w:r w:rsidRPr="007F78CE">
              <w:rPr>
                <w:rFonts w:ascii="Arial" w:eastAsia="Times New Roman" w:hAnsi="Arial" w:cs="Arial"/>
                <w:color w:val="000000"/>
                <w:sz w:val="20"/>
                <w:lang w:eastAsia="fr-FR"/>
              </w:rPr>
              <w:t>Diamètre</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259 km</w:t>
            </w:r>
          </w:p>
          <w:p w14:paraId="0F478C70" w14:textId="77777777" w:rsidR="006B368E" w:rsidRPr="007F78CE" w:rsidRDefault="006B368E" w:rsidP="007F78CE">
            <w:pPr>
              <w:spacing w:after="0" w:line="240" w:lineRule="auto"/>
              <w:rPr>
                <w:rFonts w:ascii="Arial" w:eastAsia="Times New Roman" w:hAnsi="Arial" w:cs="Arial"/>
                <w:color w:val="000000"/>
                <w:sz w:val="20"/>
                <w:lang w:eastAsia="fr-FR"/>
              </w:rPr>
            </w:pPr>
            <w:r w:rsidRPr="007F78CE">
              <w:rPr>
                <w:rFonts w:ascii="Arial" w:eastAsia="Times New Roman" w:hAnsi="Arial" w:cs="Arial"/>
                <w:color w:val="000000"/>
                <w:sz w:val="20"/>
                <w:lang w:eastAsia="fr-FR"/>
              </w:rPr>
              <w:t>Pression de l'air</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dessous 932 mbar</w:t>
            </w:r>
          </w:p>
          <w:p w14:paraId="46E3577D" w14:textId="77777777" w:rsidR="006B368E" w:rsidRPr="007F78CE" w:rsidRDefault="006B368E" w:rsidP="007F78CE">
            <w:pPr>
              <w:spacing w:after="0" w:line="240" w:lineRule="auto"/>
              <w:rPr>
                <w:rFonts w:ascii="Arial" w:hAnsi="Arial" w:cs="Arial"/>
                <w:color w:val="000000"/>
                <w:sz w:val="20"/>
                <w:shd w:val="clear" w:color="auto" w:fill="FAFAFA"/>
              </w:rPr>
            </w:pPr>
            <w:r w:rsidRPr="007F78CE">
              <w:rPr>
                <w:rFonts w:ascii="Arial" w:eastAsia="Times New Roman" w:hAnsi="Arial" w:cs="Arial"/>
                <w:color w:val="000000"/>
                <w:sz w:val="20"/>
                <w:lang w:eastAsia="fr-FR"/>
              </w:rPr>
              <w:t>Échelle de Saffir-Simpson</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catégorie 4</w:t>
            </w:r>
          </w:p>
        </w:tc>
        <w:tc>
          <w:tcPr>
            <w:tcW w:w="2070" w:type="dxa"/>
            <w:tcBorders>
              <w:top w:val="single" w:sz="8" w:space="0" w:color="4F81BD"/>
              <w:bottom w:val="single" w:sz="8" w:space="0" w:color="4F81BD"/>
              <w:right w:val="single" w:sz="8" w:space="0" w:color="4F81BD"/>
            </w:tcBorders>
            <w:shd w:val="clear" w:color="auto" w:fill="auto"/>
          </w:tcPr>
          <w:p w14:paraId="1AA03619" w14:textId="77777777" w:rsidR="006B368E" w:rsidRPr="007F78CE" w:rsidRDefault="006B368E" w:rsidP="007F78CE">
            <w:pPr>
              <w:spacing w:after="0" w:line="240" w:lineRule="auto"/>
              <w:rPr>
                <w:rFonts w:ascii="Arial" w:hAnsi="Arial" w:cs="Arial"/>
                <w:sz w:val="20"/>
                <w:lang w:val="en-US"/>
              </w:rPr>
            </w:pPr>
            <w:r w:rsidRPr="007F78CE">
              <w:rPr>
                <w:rFonts w:ascii="Arial" w:hAnsi="Arial" w:cs="Arial"/>
                <w:color w:val="000000"/>
                <w:sz w:val="20"/>
                <w:shd w:val="clear" w:color="auto" w:fill="FAFAFA"/>
              </w:rPr>
              <w:t>Vatovavy Fitovinany</w:t>
            </w:r>
            <w:r w:rsidRPr="007F78CE">
              <w:rPr>
                <w:rFonts w:ascii="Arial" w:hAnsi="Arial" w:cs="Arial"/>
                <w:color w:val="000000"/>
                <w:sz w:val="20"/>
              </w:rPr>
              <w:br/>
            </w:r>
            <w:r w:rsidRPr="007F78CE">
              <w:rPr>
                <w:rFonts w:ascii="Arial" w:hAnsi="Arial" w:cs="Arial"/>
                <w:color w:val="000000"/>
                <w:sz w:val="20"/>
                <w:shd w:val="clear" w:color="auto" w:fill="FAFAFA"/>
              </w:rPr>
              <w:t>Haute Matsiatra</w:t>
            </w:r>
            <w:r w:rsidRPr="007F78CE">
              <w:rPr>
                <w:rFonts w:ascii="Arial" w:hAnsi="Arial" w:cs="Arial"/>
                <w:color w:val="000000"/>
                <w:sz w:val="20"/>
              </w:rPr>
              <w:br/>
            </w:r>
            <w:r w:rsidRPr="007F78CE">
              <w:rPr>
                <w:rFonts w:ascii="Arial" w:hAnsi="Arial" w:cs="Arial"/>
                <w:color w:val="000000"/>
                <w:sz w:val="20"/>
                <w:shd w:val="clear" w:color="auto" w:fill="FAFAFA"/>
              </w:rPr>
              <w:t>Atsimo-Andrefana</w:t>
            </w:r>
          </w:p>
        </w:tc>
      </w:tr>
      <w:tr w:rsidR="0063584D" w:rsidRPr="007F78CE" w14:paraId="3AB9F0C0" w14:textId="77777777" w:rsidTr="00B434A6">
        <w:trPr>
          <w:jc w:val="center"/>
        </w:trPr>
        <w:tc>
          <w:tcPr>
            <w:tcW w:w="1502" w:type="dxa"/>
            <w:shd w:val="clear" w:color="auto" w:fill="auto"/>
          </w:tcPr>
          <w:p w14:paraId="5A6DF298" w14:textId="77777777" w:rsidR="006B368E" w:rsidRPr="007F78CE" w:rsidRDefault="006B368E" w:rsidP="007F78CE">
            <w:pPr>
              <w:spacing w:after="0" w:line="240" w:lineRule="auto"/>
              <w:rPr>
                <w:rFonts w:ascii="Arial" w:hAnsi="Arial" w:cs="Arial"/>
                <w:b/>
                <w:bCs/>
                <w:sz w:val="20"/>
                <w:lang w:val="en-US"/>
              </w:rPr>
            </w:pPr>
            <w:r w:rsidRPr="007F78CE">
              <w:rPr>
                <w:rFonts w:ascii="Arial" w:eastAsia="Times New Roman" w:hAnsi="Arial" w:cs="Arial"/>
                <w:b/>
                <w:bCs/>
                <w:sz w:val="20"/>
                <w:lang w:eastAsia="fr-FR"/>
              </w:rPr>
              <w:t>Eloise</w:t>
            </w:r>
          </w:p>
        </w:tc>
        <w:tc>
          <w:tcPr>
            <w:tcW w:w="1818" w:type="dxa"/>
            <w:shd w:val="clear" w:color="auto" w:fill="auto"/>
          </w:tcPr>
          <w:p w14:paraId="47009CAA" w14:textId="77777777" w:rsidR="006B368E" w:rsidRPr="007F78CE" w:rsidRDefault="006B368E" w:rsidP="007F78CE">
            <w:pPr>
              <w:spacing w:after="0" w:line="240" w:lineRule="auto"/>
              <w:rPr>
                <w:rFonts w:ascii="Arial" w:eastAsia="Times New Roman" w:hAnsi="Arial" w:cs="Arial"/>
                <w:sz w:val="20"/>
                <w:lang w:eastAsia="fr-FR"/>
              </w:rPr>
            </w:pPr>
            <w:r w:rsidRPr="007F78CE">
              <w:rPr>
                <w:rFonts w:ascii="Arial" w:eastAsia="Times New Roman" w:hAnsi="Arial" w:cs="Arial"/>
                <w:sz w:val="20"/>
                <w:lang w:eastAsia="fr-FR"/>
              </w:rPr>
              <w:t>17 au 21 janvier 2021</w:t>
            </w:r>
          </w:p>
        </w:tc>
        <w:tc>
          <w:tcPr>
            <w:tcW w:w="3780" w:type="dxa"/>
            <w:shd w:val="clear" w:color="auto" w:fill="auto"/>
          </w:tcPr>
          <w:p w14:paraId="7D8711BA" w14:textId="77777777" w:rsidR="006B368E" w:rsidRPr="007F78CE" w:rsidRDefault="006B368E" w:rsidP="007F78CE">
            <w:pPr>
              <w:spacing w:after="0" w:line="240" w:lineRule="auto"/>
              <w:rPr>
                <w:rFonts w:ascii="Arial" w:eastAsia="Times New Roman" w:hAnsi="Arial" w:cs="Arial"/>
                <w:color w:val="000000"/>
                <w:sz w:val="20"/>
                <w:lang w:eastAsia="fr-FR"/>
              </w:rPr>
            </w:pPr>
            <w:r w:rsidRPr="007F78CE">
              <w:rPr>
                <w:rFonts w:ascii="Arial" w:eastAsia="Times New Roman" w:hAnsi="Arial" w:cs="Arial"/>
                <w:color w:val="000000"/>
                <w:sz w:val="20"/>
                <w:lang w:eastAsia="fr-FR"/>
              </w:rPr>
              <w:t>Vitesse du vent</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83 km/h</w:t>
            </w:r>
          </w:p>
          <w:p w14:paraId="41C002F5" w14:textId="77777777" w:rsidR="006B368E" w:rsidRPr="007F78CE" w:rsidRDefault="006B368E" w:rsidP="007F78CE">
            <w:pPr>
              <w:spacing w:after="0" w:line="240" w:lineRule="auto"/>
              <w:rPr>
                <w:rFonts w:ascii="Arial" w:eastAsia="Times New Roman" w:hAnsi="Arial" w:cs="Arial"/>
                <w:color w:val="000000"/>
                <w:sz w:val="20"/>
                <w:lang w:eastAsia="fr-FR"/>
              </w:rPr>
            </w:pPr>
            <w:r w:rsidRPr="007F78CE">
              <w:rPr>
                <w:rFonts w:ascii="Arial" w:eastAsia="Times New Roman" w:hAnsi="Arial" w:cs="Arial"/>
                <w:color w:val="000000"/>
                <w:sz w:val="20"/>
                <w:lang w:eastAsia="fr-FR"/>
              </w:rPr>
              <w:t>Diamètre</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370 km</w:t>
            </w:r>
          </w:p>
          <w:p w14:paraId="7E3E4A8A" w14:textId="77777777" w:rsidR="006B368E" w:rsidRPr="007F78CE" w:rsidRDefault="006B368E" w:rsidP="007F78CE">
            <w:pPr>
              <w:spacing w:after="0" w:line="240" w:lineRule="auto"/>
              <w:rPr>
                <w:rFonts w:ascii="Arial" w:eastAsia="Times New Roman" w:hAnsi="Arial" w:cs="Arial"/>
                <w:color w:val="000000"/>
                <w:sz w:val="20"/>
                <w:lang w:eastAsia="fr-FR"/>
              </w:rPr>
            </w:pPr>
            <w:r w:rsidRPr="007F78CE">
              <w:rPr>
                <w:rFonts w:ascii="Arial" w:eastAsia="Times New Roman" w:hAnsi="Arial" w:cs="Arial"/>
                <w:color w:val="000000"/>
                <w:sz w:val="20"/>
                <w:lang w:eastAsia="fr-FR"/>
              </w:rPr>
              <w:t>Pression de l'air</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dessous 994 mbar</w:t>
            </w:r>
          </w:p>
          <w:p w14:paraId="36BE92A9" w14:textId="77777777" w:rsidR="006B368E" w:rsidRPr="007F78CE" w:rsidRDefault="006B368E" w:rsidP="007F78CE">
            <w:pPr>
              <w:spacing w:after="0" w:line="240" w:lineRule="auto"/>
              <w:rPr>
                <w:rFonts w:ascii="Arial" w:hAnsi="Arial" w:cs="Arial"/>
                <w:sz w:val="20"/>
              </w:rPr>
            </w:pPr>
            <w:r w:rsidRPr="007F78CE">
              <w:rPr>
                <w:rFonts w:ascii="Arial" w:eastAsia="Times New Roman" w:hAnsi="Arial" w:cs="Arial"/>
                <w:color w:val="000000"/>
                <w:sz w:val="20"/>
                <w:lang w:eastAsia="fr-FR"/>
              </w:rPr>
              <w:t>Échelle de Saffir-Simpson</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tempête tropicale</w:t>
            </w:r>
          </w:p>
        </w:tc>
        <w:tc>
          <w:tcPr>
            <w:tcW w:w="2070" w:type="dxa"/>
            <w:shd w:val="clear" w:color="auto" w:fill="auto"/>
          </w:tcPr>
          <w:p w14:paraId="480D210E" w14:textId="77777777" w:rsidR="006B368E" w:rsidRPr="007F78CE" w:rsidRDefault="006B368E" w:rsidP="007F78CE">
            <w:pPr>
              <w:spacing w:after="0" w:line="240" w:lineRule="auto"/>
              <w:rPr>
                <w:rFonts w:ascii="Arial" w:hAnsi="Arial" w:cs="Arial"/>
                <w:sz w:val="20"/>
                <w:lang w:val="en-US"/>
              </w:rPr>
            </w:pPr>
            <w:r w:rsidRPr="007F78CE">
              <w:rPr>
                <w:rFonts w:ascii="Arial" w:hAnsi="Arial" w:cs="Arial"/>
                <w:sz w:val="20"/>
                <w:lang w:val="en-US"/>
              </w:rPr>
              <w:t xml:space="preserve">Analanjirofo </w:t>
            </w:r>
          </w:p>
        </w:tc>
      </w:tr>
      <w:tr w:rsidR="0063584D" w:rsidRPr="007F78CE" w14:paraId="67CD8040" w14:textId="77777777" w:rsidTr="00B434A6">
        <w:trPr>
          <w:jc w:val="center"/>
        </w:trPr>
        <w:tc>
          <w:tcPr>
            <w:tcW w:w="1502" w:type="dxa"/>
            <w:tcBorders>
              <w:top w:val="single" w:sz="8" w:space="0" w:color="4F81BD"/>
              <w:left w:val="single" w:sz="8" w:space="0" w:color="4F81BD"/>
              <w:bottom w:val="single" w:sz="8" w:space="0" w:color="4F81BD"/>
            </w:tcBorders>
            <w:shd w:val="clear" w:color="auto" w:fill="auto"/>
          </w:tcPr>
          <w:p w14:paraId="0A55C75A" w14:textId="77777777" w:rsidR="006B368E" w:rsidRPr="007F78CE" w:rsidRDefault="006B368E" w:rsidP="007F78CE">
            <w:pPr>
              <w:spacing w:after="0" w:line="240" w:lineRule="auto"/>
              <w:rPr>
                <w:rFonts w:ascii="Arial" w:hAnsi="Arial" w:cs="Arial"/>
                <w:b/>
                <w:bCs/>
                <w:sz w:val="20"/>
                <w:lang w:val="en-US"/>
              </w:rPr>
            </w:pPr>
            <w:r w:rsidRPr="007F78CE">
              <w:rPr>
                <w:rFonts w:ascii="Arial" w:eastAsia="Times New Roman" w:hAnsi="Arial" w:cs="Arial"/>
                <w:b/>
                <w:bCs/>
                <w:sz w:val="20"/>
                <w:lang w:eastAsia="fr-FR"/>
              </w:rPr>
              <w:t>Chalane</w:t>
            </w:r>
          </w:p>
        </w:tc>
        <w:tc>
          <w:tcPr>
            <w:tcW w:w="1818" w:type="dxa"/>
            <w:tcBorders>
              <w:top w:val="single" w:sz="8" w:space="0" w:color="4F81BD"/>
              <w:bottom w:val="single" w:sz="8" w:space="0" w:color="4F81BD"/>
            </w:tcBorders>
            <w:shd w:val="clear" w:color="auto" w:fill="auto"/>
          </w:tcPr>
          <w:p w14:paraId="17CD73C2" w14:textId="77777777" w:rsidR="006B368E" w:rsidRPr="007F78CE" w:rsidRDefault="006B368E" w:rsidP="007F78CE">
            <w:pPr>
              <w:spacing w:after="0" w:line="240" w:lineRule="auto"/>
              <w:rPr>
                <w:rFonts w:ascii="Arial" w:eastAsia="Times New Roman" w:hAnsi="Arial" w:cs="Arial"/>
                <w:sz w:val="20"/>
                <w:lang w:eastAsia="fr-FR"/>
              </w:rPr>
            </w:pPr>
            <w:r w:rsidRPr="007F78CE">
              <w:rPr>
                <w:rFonts w:ascii="Arial" w:eastAsia="Times New Roman" w:hAnsi="Arial" w:cs="Arial"/>
                <w:sz w:val="20"/>
                <w:lang w:eastAsia="fr-FR"/>
              </w:rPr>
              <w:t>25 au 30 décembre 2020</w:t>
            </w:r>
          </w:p>
        </w:tc>
        <w:tc>
          <w:tcPr>
            <w:tcW w:w="3780" w:type="dxa"/>
            <w:tcBorders>
              <w:top w:val="single" w:sz="8" w:space="0" w:color="4F81BD"/>
              <w:bottom w:val="single" w:sz="8" w:space="0" w:color="4F81BD"/>
            </w:tcBorders>
            <w:shd w:val="clear" w:color="auto" w:fill="auto"/>
          </w:tcPr>
          <w:p w14:paraId="3FDE8576" w14:textId="77777777" w:rsidR="006B368E" w:rsidRPr="007F78CE" w:rsidRDefault="006B368E" w:rsidP="007F78CE">
            <w:pPr>
              <w:spacing w:after="0" w:line="240" w:lineRule="auto"/>
              <w:rPr>
                <w:rFonts w:ascii="Arial" w:eastAsia="Times New Roman" w:hAnsi="Arial" w:cs="Arial"/>
                <w:color w:val="000000"/>
                <w:sz w:val="20"/>
                <w:lang w:eastAsia="fr-FR"/>
              </w:rPr>
            </w:pPr>
            <w:r w:rsidRPr="007F78CE">
              <w:rPr>
                <w:rFonts w:ascii="Arial" w:eastAsia="Times New Roman" w:hAnsi="Arial" w:cs="Arial"/>
                <w:color w:val="000000"/>
                <w:sz w:val="20"/>
                <w:lang w:eastAsia="fr-FR"/>
              </w:rPr>
              <w:t>Vitesse du vent</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65 km/h</w:t>
            </w:r>
          </w:p>
          <w:p w14:paraId="56B2CB3E" w14:textId="77777777" w:rsidR="006B368E" w:rsidRPr="007F78CE" w:rsidRDefault="006B368E" w:rsidP="007F78CE">
            <w:pPr>
              <w:spacing w:after="0" w:line="240" w:lineRule="auto"/>
              <w:rPr>
                <w:rFonts w:ascii="Arial" w:eastAsia="Times New Roman" w:hAnsi="Arial" w:cs="Arial"/>
                <w:color w:val="000000"/>
                <w:sz w:val="20"/>
                <w:lang w:eastAsia="fr-FR"/>
              </w:rPr>
            </w:pPr>
            <w:r w:rsidRPr="007F78CE">
              <w:rPr>
                <w:rFonts w:ascii="Arial" w:eastAsia="Times New Roman" w:hAnsi="Arial" w:cs="Arial"/>
                <w:color w:val="000000"/>
                <w:sz w:val="20"/>
                <w:lang w:eastAsia="fr-FR"/>
              </w:rPr>
              <w:t>Diamètre</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241 km</w:t>
            </w:r>
          </w:p>
          <w:p w14:paraId="242BFF63" w14:textId="77777777" w:rsidR="006B368E" w:rsidRPr="007F78CE" w:rsidRDefault="006B368E" w:rsidP="007F78CE">
            <w:pPr>
              <w:spacing w:after="0" w:line="240" w:lineRule="auto"/>
              <w:rPr>
                <w:rFonts w:ascii="Arial" w:eastAsia="Times New Roman" w:hAnsi="Arial" w:cs="Arial"/>
                <w:color w:val="000000"/>
                <w:sz w:val="20"/>
                <w:lang w:eastAsia="fr-FR"/>
              </w:rPr>
            </w:pPr>
            <w:r w:rsidRPr="007F78CE">
              <w:rPr>
                <w:rFonts w:ascii="Arial" w:eastAsia="Times New Roman" w:hAnsi="Arial" w:cs="Arial"/>
                <w:color w:val="000000"/>
                <w:sz w:val="20"/>
                <w:lang w:eastAsia="fr-FR"/>
              </w:rPr>
              <w:t>Pression de l'air</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dessous 990 mbar</w:t>
            </w:r>
          </w:p>
          <w:p w14:paraId="46F14817" w14:textId="77777777" w:rsidR="006B368E" w:rsidRPr="007F78CE" w:rsidRDefault="006B368E" w:rsidP="007F78CE">
            <w:pPr>
              <w:spacing w:after="0" w:line="240" w:lineRule="auto"/>
              <w:rPr>
                <w:rFonts w:ascii="Arial" w:hAnsi="Arial" w:cs="Arial"/>
                <w:color w:val="000000"/>
                <w:sz w:val="20"/>
                <w:shd w:val="clear" w:color="auto" w:fill="FAFAFA"/>
              </w:rPr>
            </w:pPr>
            <w:r w:rsidRPr="007F78CE">
              <w:rPr>
                <w:rFonts w:ascii="Arial" w:eastAsia="Times New Roman" w:hAnsi="Arial" w:cs="Arial"/>
                <w:color w:val="000000"/>
                <w:sz w:val="20"/>
                <w:lang w:eastAsia="fr-FR"/>
              </w:rPr>
              <w:lastRenderedPageBreak/>
              <w:t>Échelle de Saffir-Simpson</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tempête tropicale</w:t>
            </w:r>
          </w:p>
        </w:tc>
        <w:tc>
          <w:tcPr>
            <w:tcW w:w="2070" w:type="dxa"/>
            <w:tcBorders>
              <w:top w:val="single" w:sz="8" w:space="0" w:color="4F81BD"/>
              <w:bottom w:val="single" w:sz="8" w:space="0" w:color="4F81BD"/>
              <w:right w:val="single" w:sz="8" w:space="0" w:color="4F81BD"/>
            </w:tcBorders>
            <w:shd w:val="clear" w:color="auto" w:fill="auto"/>
          </w:tcPr>
          <w:p w14:paraId="31676D01" w14:textId="77777777" w:rsidR="006B368E" w:rsidRPr="007F78CE" w:rsidRDefault="006B368E" w:rsidP="007F78CE">
            <w:pPr>
              <w:spacing w:after="0" w:line="240" w:lineRule="auto"/>
              <w:rPr>
                <w:rFonts w:ascii="Arial" w:hAnsi="Arial" w:cs="Arial"/>
                <w:sz w:val="20"/>
              </w:rPr>
            </w:pPr>
            <w:r w:rsidRPr="007F78CE">
              <w:rPr>
                <w:rFonts w:ascii="Arial" w:hAnsi="Arial" w:cs="Arial"/>
                <w:color w:val="000000"/>
                <w:sz w:val="20"/>
                <w:shd w:val="clear" w:color="auto" w:fill="FAFAFA"/>
              </w:rPr>
              <w:lastRenderedPageBreak/>
              <w:t>Analanjirofo</w:t>
            </w:r>
            <w:r w:rsidRPr="007F78CE">
              <w:rPr>
                <w:rFonts w:ascii="Arial" w:hAnsi="Arial" w:cs="Arial"/>
                <w:color w:val="000000"/>
                <w:sz w:val="20"/>
              </w:rPr>
              <w:br/>
            </w:r>
            <w:r w:rsidRPr="007F78CE">
              <w:rPr>
                <w:rFonts w:ascii="Arial" w:hAnsi="Arial" w:cs="Arial"/>
                <w:color w:val="000000"/>
                <w:sz w:val="20"/>
                <w:shd w:val="clear" w:color="auto" w:fill="FAFAFA"/>
              </w:rPr>
              <w:t>Alaotra Mangoro</w:t>
            </w:r>
            <w:r w:rsidRPr="007F78CE">
              <w:rPr>
                <w:rFonts w:ascii="Arial" w:hAnsi="Arial" w:cs="Arial"/>
                <w:color w:val="000000"/>
                <w:sz w:val="20"/>
              </w:rPr>
              <w:br/>
            </w:r>
            <w:r w:rsidRPr="007F78CE">
              <w:rPr>
                <w:rFonts w:ascii="Arial" w:hAnsi="Arial" w:cs="Arial"/>
                <w:color w:val="000000"/>
                <w:sz w:val="20"/>
                <w:shd w:val="clear" w:color="auto" w:fill="FAFAFA"/>
              </w:rPr>
              <w:t>Analamanga</w:t>
            </w:r>
            <w:r w:rsidRPr="007F78CE">
              <w:rPr>
                <w:rFonts w:ascii="Arial" w:hAnsi="Arial" w:cs="Arial"/>
                <w:color w:val="000000"/>
                <w:sz w:val="20"/>
              </w:rPr>
              <w:br/>
            </w:r>
            <w:r w:rsidRPr="007F78CE">
              <w:rPr>
                <w:rFonts w:ascii="Arial" w:hAnsi="Arial" w:cs="Arial"/>
                <w:color w:val="000000"/>
                <w:sz w:val="20"/>
                <w:shd w:val="clear" w:color="auto" w:fill="FAFAFA"/>
              </w:rPr>
              <w:lastRenderedPageBreak/>
              <w:t>Bongolava</w:t>
            </w:r>
            <w:r w:rsidRPr="007F78CE">
              <w:rPr>
                <w:rFonts w:ascii="Arial" w:hAnsi="Arial" w:cs="Arial"/>
                <w:color w:val="000000"/>
                <w:sz w:val="20"/>
              </w:rPr>
              <w:br/>
            </w:r>
            <w:r w:rsidRPr="007F78CE">
              <w:rPr>
                <w:rFonts w:ascii="Arial" w:hAnsi="Arial" w:cs="Arial"/>
                <w:color w:val="000000"/>
                <w:sz w:val="20"/>
                <w:shd w:val="clear" w:color="auto" w:fill="FAFAFA"/>
              </w:rPr>
              <w:t>Menabe</w:t>
            </w:r>
          </w:p>
        </w:tc>
      </w:tr>
      <w:tr w:rsidR="0063584D" w:rsidRPr="007F78CE" w14:paraId="0675027A" w14:textId="77777777" w:rsidTr="00B434A6">
        <w:trPr>
          <w:jc w:val="center"/>
        </w:trPr>
        <w:tc>
          <w:tcPr>
            <w:tcW w:w="1502" w:type="dxa"/>
            <w:shd w:val="clear" w:color="auto" w:fill="auto"/>
          </w:tcPr>
          <w:p w14:paraId="51BDFCA1" w14:textId="77777777" w:rsidR="006B368E" w:rsidRPr="007F78CE" w:rsidRDefault="006B368E" w:rsidP="007F78CE">
            <w:pPr>
              <w:spacing w:after="0" w:line="240" w:lineRule="auto"/>
              <w:rPr>
                <w:rFonts w:ascii="Arial" w:hAnsi="Arial" w:cs="Arial"/>
                <w:b/>
                <w:bCs/>
                <w:sz w:val="20"/>
              </w:rPr>
            </w:pPr>
            <w:r w:rsidRPr="007F78CE">
              <w:rPr>
                <w:rFonts w:ascii="Arial" w:eastAsia="Times New Roman" w:hAnsi="Arial" w:cs="Arial"/>
                <w:b/>
                <w:bCs/>
                <w:sz w:val="20"/>
                <w:lang w:eastAsia="fr-FR"/>
              </w:rPr>
              <w:lastRenderedPageBreak/>
              <w:t>Francisco</w:t>
            </w:r>
          </w:p>
        </w:tc>
        <w:tc>
          <w:tcPr>
            <w:tcW w:w="1818" w:type="dxa"/>
            <w:shd w:val="clear" w:color="auto" w:fill="auto"/>
          </w:tcPr>
          <w:p w14:paraId="00917D1E" w14:textId="77777777" w:rsidR="006B368E" w:rsidRPr="007F78CE" w:rsidRDefault="006B368E" w:rsidP="007F78CE">
            <w:pPr>
              <w:spacing w:after="0" w:line="240" w:lineRule="auto"/>
              <w:rPr>
                <w:rFonts w:ascii="Arial" w:eastAsia="Times New Roman" w:hAnsi="Arial" w:cs="Arial"/>
                <w:sz w:val="20"/>
                <w:lang w:eastAsia="fr-FR"/>
              </w:rPr>
            </w:pPr>
            <w:r w:rsidRPr="007F78CE">
              <w:rPr>
                <w:rFonts w:ascii="Arial" w:eastAsia="Times New Roman" w:hAnsi="Arial" w:cs="Arial"/>
                <w:sz w:val="20"/>
                <w:lang w:eastAsia="fr-FR"/>
              </w:rPr>
              <w:t>3 au 15 février 2020</w:t>
            </w:r>
          </w:p>
        </w:tc>
        <w:tc>
          <w:tcPr>
            <w:tcW w:w="3780" w:type="dxa"/>
            <w:shd w:val="clear" w:color="auto" w:fill="auto"/>
          </w:tcPr>
          <w:p w14:paraId="68798618" w14:textId="77777777" w:rsidR="006B368E" w:rsidRPr="007F78CE" w:rsidRDefault="006B368E" w:rsidP="007F78CE">
            <w:pPr>
              <w:spacing w:after="0" w:line="240" w:lineRule="auto"/>
              <w:rPr>
                <w:rFonts w:ascii="Arial" w:eastAsia="Times New Roman" w:hAnsi="Arial" w:cs="Arial"/>
                <w:color w:val="000000"/>
                <w:sz w:val="20"/>
                <w:lang w:eastAsia="fr-FR"/>
              </w:rPr>
            </w:pPr>
            <w:r w:rsidRPr="007F78CE">
              <w:rPr>
                <w:rFonts w:ascii="Arial" w:eastAsia="Times New Roman" w:hAnsi="Arial" w:cs="Arial"/>
                <w:color w:val="000000"/>
                <w:sz w:val="20"/>
                <w:lang w:eastAsia="fr-FR"/>
              </w:rPr>
              <w:t>Vitesse du vent</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74 km/h</w:t>
            </w:r>
          </w:p>
          <w:p w14:paraId="191A2847" w14:textId="77777777" w:rsidR="006B368E" w:rsidRPr="007F78CE" w:rsidRDefault="006B368E" w:rsidP="007F78CE">
            <w:pPr>
              <w:spacing w:after="0" w:line="240" w:lineRule="auto"/>
              <w:rPr>
                <w:rFonts w:ascii="Arial" w:eastAsia="Times New Roman" w:hAnsi="Arial" w:cs="Arial"/>
                <w:color w:val="000000"/>
                <w:sz w:val="20"/>
                <w:lang w:eastAsia="fr-FR"/>
              </w:rPr>
            </w:pPr>
            <w:r w:rsidRPr="007F78CE">
              <w:rPr>
                <w:rFonts w:ascii="Arial" w:eastAsia="Times New Roman" w:hAnsi="Arial" w:cs="Arial"/>
                <w:color w:val="000000"/>
                <w:sz w:val="20"/>
                <w:lang w:eastAsia="fr-FR"/>
              </w:rPr>
              <w:t>Diamètre</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185 km</w:t>
            </w:r>
          </w:p>
          <w:p w14:paraId="1B87FDC4" w14:textId="77777777" w:rsidR="006B368E" w:rsidRPr="007F78CE" w:rsidRDefault="006B368E" w:rsidP="007F78CE">
            <w:pPr>
              <w:spacing w:after="0" w:line="240" w:lineRule="auto"/>
              <w:rPr>
                <w:rFonts w:ascii="Arial" w:eastAsia="Times New Roman" w:hAnsi="Arial" w:cs="Arial"/>
                <w:color w:val="000000"/>
                <w:sz w:val="20"/>
                <w:lang w:eastAsia="fr-FR"/>
              </w:rPr>
            </w:pPr>
            <w:r w:rsidRPr="007F78CE">
              <w:rPr>
                <w:rFonts w:ascii="Arial" w:eastAsia="Times New Roman" w:hAnsi="Arial" w:cs="Arial"/>
                <w:color w:val="000000"/>
                <w:sz w:val="20"/>
                <w:lang w:eastAsia="fr-FR"/>
              </w:rPr>
              <w:t>Pression de l'air</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dessous 993 mbar</w:t>
            </w:r>
          </w:p>
          <w:p w14:paraId="4B1F171A" w14:textId="77777777" w:rsidR="006B368E" w:rsidRPr="007F78CE" w:rsidRDefault="006B368E" w:rsidP="007F78CE">
            <w:pPr>
              <w:spacing w:after="0" w:line="240" w:lineRule="auto"/>
              <w:rPr>
                <w:rFonts w:ascii="Arial" w:hAnsi="Arial" w:cs="Arial"/>
                <w:sz w:val="20"/>
              </w:rPr>
            </w:pPr>
            <w:r w:rsidRPr="007F78CE">
              <w:rPr>
                <w:rFonts w:ascii="Arial" w:eastAsia="Times New Roman" w:hAnsi="Arial" w:cs="Arial"/>
                <w:color w:val="000000"/>
                <w:sz w:val="20"/>
                <w:lang w:eastAsia="fr-FR"/>
              </w:rPr>
              <w:t>Échelle de Saffir-Simpson</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tempête tropicale</w:t>
            </w:r>
          </w:p>
        </w:tc>
        <w:tc>
          <w:tcPr>
            <w:tcW w:w="2070" w:type="dxa"/>
            <w:shd w:val="clear" w:color="auto" w:fill="auto"/>
          </w:tcPr>
          <w:p w14:paraId="02C6248E" w14:textId="77777777" w:rsidR="006B368E" w:rsidRPr="007F78CE" w:rsidRDefault="006B368E" w:rsidP="007F78CE">
            <w:pPr>
              <w:spacing w:after="0" w:line="240" w:lineRule="auto"/>
              <w:rPr>
                <w:rFonts w:ascii="Arial" w:hAnsi="Arial" w:cs="Arial"/>
                <w:sz w:val="20"/>
              </w:rPr>
            </w:pPr>
            <w:r w:rsidRPr="007F78CE">
              <w:rPr>
                <w:rFonts w:ascii="Arial" w:hAnsi="Arial" w:cs="Arial"/>
                <w:sz w:val="20"/>
              </w:rPr>
              <w:t>Atsianana</w:t>
            </w:r>
          </w:p>
        </w:tc>
      </w:tr>
      <w:tr w:rsidR="0063584D" w:rsidRPr="00345918" w14:paraId="3921EC37" w14:textId="77777777" w:rsidTr="00B434A6">
        <w:trPr>
          <w:jc w:val="center"/>
        </w:trPr>
        <w:tc>
          <w:tcPr>
            <w:tcW w:w="1502" w:type="dxa"/>
            <w:tcBorders>
              <w:top w:val="single" w:sz="8" w:space="0" w:color="4F81BD"/>
              <w:left w:val="single" w:sz="8" w:space="0" w:color="4F81BD"/>
              <w:bottom w:val="single" w:sz="8" w:space="0" w:color="4F81BD"/>
            </w:tcBorders>
            <w:shd w:val="clear" w:color="auto" w:fill="auto"/>
          </w:tcPr>
          <w:p w14:paraId="51ECC036" w14:textId="77777777" w:rsidR="006B368E" w:rsidRPr="007F78CE" w:rsidRDefault="006B368E" w:rsidP="007F78CE">
            <w:pPr>
              <w:spacing w:after="0" w:line="240" w:lineRule="auto"/>
              <w:rPr>
                <w:rFonts w:ascii="Arial" w:hAnsi="Arial" w:cs="Arial"/>
                <w:b/>
                <w:bCs/>
                <w:sz w:val="20"/>
              </w:rPr>
            </w:pPr>
            <w:r w:rsidRPr="007F78CE">
              <w:rPr>
                <w:rFonts w:ascii="Arial" w:eastAsia="Times New Roman" w:hAnsi="Arial" w:cs="Arial"/>
                <w:b/>
                <w:bCs/>
                <w:sz w:val="20"/>
                <w:lang w:eastAsia="fr-FR"/>
              </w:rPr>
              <w:t>Diane</w:t>
            </w:r>
          </w:p>
        </w:tc>
        <w:tc>
          <w:tcPr>
            <w:tcW w:w="1818" w:type="dxa"/>
            <w:tcBorders>
              <w:top w:val="single" w:sz="8" w:space="0" w:color="4F81BD"/>
              <w:bottom w:val="single" w:sz="8" w:space="0" w:color="4F81BD"/>
            </w:tcBorders>
            <w:shd w:val="clear" w:color="auto" w:fill="auto"/>
          </w:tcPr>
          <w:p w14:paraId="0296C9CD" w14:textId="77777777" w:rsidR="006B368E" w:rsidRPr="007F78CE" w:rsidRDefault="006B368E" w:rsidP="007F78CE">
            <w:pPr>
              <w:spacing w:after="0" w:line="240" w:lineRule="auto"/>
              <w:rPr>
                <w:rFonts w:ascii="Arial" w:eastAsia="Times New Roman" w:hAnsi="Arial" w:cs="Arial"/>
                <w:sz w:val="20"/>
                <w:lang w:eastAsia="fr-FR"/>
              </w:rPr>
            </w:pPr>
            <w:r w:rsidRPr="007F78CE">
              <w:rPr>
                <w:rFonts w:ascii="Arial" w:eastAsia="Times New Roman" w:hAnsi="Arial" w:cs="Arial"/>
                <w:sz w:val="20"/>
                <w:lang w:eastAsia="fr-FR"/>
              </w:rPr>
              <w:t>22 au 29 janvier 2020</w:t>
            </w:r>
          </w:p>
        </w:tc>
        <w:tc>
          <w:tcPr>
            <w:tcW w:w="3780" w:type="dxa"/>
            <w:tcBorders>
              <w:top w:val="single" w:sz="8" w:space="0" w:color="4F81BD"/>
              <w:bottom w:val="single" w:sz="8" w:space="0" w:color="4F81BD"/>
            </w:tcBorders>
            <w:shd w:val="clear" w:color="auto" w:fill="auto"/>
          </w:tcPr>
          <w:p w14:paraId="6DC88121" w14:textId="77777777" w:rsidR="006B368E" w:rsidRPr="007F78CE" w:rsidRDefault="006B368E" w:rsidP="007F78CE">
            <w:pPr>
              <w:spacing w:after="0" w:line="240" w:lineRule="auto"/>
              <w:rPr>
                <w:rFonts w:ascii="Arial" w:eastAsia="Times New Roman" w:hAnsi="Arial" w:cs="Arial"/>
                <w:color w:val="000000"/>
                <w:sz w:val="20"/>
                <w:lang w:eastAsia="fr-FR"/>
              </w:rPr>
            </w:pPr>
            <w:r w:rsidRPr="007F78CE">
              <w:rPr>
                <w:rFonts w:ascii="Arial" w:eastAsia="Times New Roman" w:hAnsi="Arial" w:cs="Arial"/>
                <w:color w:val="000000"/>
                <w:sz w:val="20"/>
                <w:lang w:eastAsia="fr-FR"/>
              </w:rPr>
              <w:t>Vitesse du vent</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56 km/h</w:t>
            </w:r>
          </w:p>
          <w:p w14:paraId="400ED004" w14:textId="77777777" w:rsidR="006B368E" w:rsidRPr="007F78CE" w:rsidRDefault="006B368E" w:rsidP="007F78CE">
            <w:pPr>
              <w:spacing w:after="0" w:line="240" w:lineRule="auto"/>
              <w:rPr>
                <w:rFonts w:ascii="Arial" w:eastAsia="Times New Roman" w:hAnsi="Arial" w:cs="Arial"/>
                <w:color w:val="000000"/>
                <w:sz w:val="20"/>
                <w:lang w:eastAsia="fr-FR"/>
              </w:rPr>
            </w:pPr>
            <w:r w:rsidRPr="007F78CE">
              <w:rPr>
                <w:rFonts w:ascii="Arial" w:eastAsia="Times New Roman" w:hAnsi="Arial" w:cs="Arial"/>
                <w:color w:val="000000"/>
                <w:sz w:val="20"/>
                <w:lang w:eastAsia="fr-FR"/>
              </w:rPr>
              <w:t>Diamètre</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444 km</w:t>
            </w:r>
          </w:p>
          <w:p w14:paraId="134F1222" w14:textId="77777777" w:rsidR="006B368E" w:rsidRPr="007F78CE" w:rsidRDefault="006B368E" w:rsidP="007F78CE">
            <w:pPr>
              <w:spacing w:after="0" w:line="240" w:lineRule="auto"/>
              <w:rPr>
                <w:rFonts w:ascii="Arial" w:eastAsia="Times New Roman" w:hAnsi="Arial" w:cs="Arial"/>
                <w:color w:val="000000"/>
                <w:sz w:val="20"/>
                <w:lang w:eastAsia="fr-FR"/>
              </w:rPr>
            </w:pPr>
            <w:r w:rsidRPr="007F78CE">
              <w:rPr>
                <w:rFonts w:ascii="Arial" w:eastAsia="Times New Roman" w:hAnsi="Arial" w:cs="Arial"/>
                <w:color w:val="000000"/>
                <w:sz w:val="20"/>
                <w:lang w:eastAsia="fr-FR"/>
              </w:rPr>
              <w:t>Pression de l'air</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dessous 985 mbar</w:t>
            </w:r>
          </w:p>
          <w:p w14:paraId="5B774C4F" w14:textId="77777777" w:rsidR="006B368E" w:rsidRPr="007F78CE" w:rsidRDefault="006B368E" w:rsidP="007F78CE">
            <w:pPr>
              <w:spacing w:after="0" w:line="240" w:lineRule="auto"/>
              <w:rPr>
                <w:rFonts w:ascii="Arial" w:hAnsi="Arial" w:cs="Arial"/>
                <w:color w:val="000000"/>
                <w:sz w:val="20"/>
                <w:shd w:val="clear" w:color="auto" w:fill="FAFAFA"/>
              </w:rPr>
            </w:pPr>
            <w:r w:rsidRPr="007F78CE">
              <w:rPr>
                <w:rFonts w:ascii="Arial" w:eastAsia="Times New Roman" w:hAnsi="Arial" w:cs="Arial"/>
                <w:color w:val="000000"/>
                <w:sz w:val="20"/>
                <w:lang w:eastAsia="fr-FR"/>
              </w:rPr>
              <w:t>Échelle de Saffir-Simpson</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tempête tropicale</w:t>
            </w:r>
          </w:p>
        </w:tc>
        <w:tc>
          <w:tcPr>
            <w:tcW w:w="2070" w:type="dxa"/>
            <w:tcBorders>
              <w:top w:val="single" w:sz="8" w:space="0" w:color="4F81BD"/>
              <w:bottom w:val="single" w:sz="8" w:space="0" w:color="4F81BD"/>
              <w:right w:val="single" w:sz="8" w:space="0" w:color="4F81BD"/>
            </w:tcBorders>
            <w:shd w:val="clear" w:color="auto" w:fill="auto"/>
          </w:tcPr>
          <w:p w14:paraId="0AB7681E" w14:textId="77777777" w:rsidR="006B368E" w:rsidRPr="007F78CE" w:rsidRDefault="006B368E" w:rsidP="007F78CE">
            <w:pPr>
              <w:spacing w:after="0" w:line="240" w:lineRule="auto"/>
              <w:rPr>
                <w:rFonts w:ascii="Arial" w:hAnsi="Arial" w:cs="Arial"/>
                <w:sz w:val="20"/>
                <w:lang w:val="en-US"/>
              </w:rPr>
            </w:pPr>
            <w:r w:rsidRPr="00AE406E">
              <w:rPr>
                <w:rFonts w:ascii="Arial" w:eastAsia="Times New Roman" w:hAnsi="Arial" w:cs="Arial"/>
                <w:color w:val="000000"/>
                <w:sz w:val="20"/>
                <w:lang w:val="en-US" w:eastAsia="fr-FR"/>
              </w:rPr>
              <w:t>Melaky</w:t>
            </w:r>
            <w:r w:rsidRPr="00AE406E">
              <w:rPr>
                <w:rFonts w:ascii="Arial" w:eastAsia="Times New Roman" w:hAnsi="Arial" w:cs="Arial"/>
                <w:color w:val="000000"/>
                <w:sz w:val="20"/>
                <w:lang w:val="en-US" w:eastAsia="fr-FR"/>
              </w:rPr>
              <w:br/>
              <w:t>Boeny</w:t>
            </w:r>
            <w:r w:rsidRPr="00AE406E">
              <w:rPr>
                <w:rFonts w:ascii="Arial" w:eastAsia="Times New Roman" w:hAnsi="Arial" w:cs="Arial"/>
                <w:color w:val="000000"/>
                <w:sz w:val="20"/>
                <w:lang w:val="en-US" w:eastAsia="fr-FR"/>
              </w:rPr>
              <w:br/>
              <w:t>Betsiboka</w:t>
            </w:r>
            <w:r w:rsidRPr="00AE406E">
              <w:rPr>
                <w:rFonts w:ascii="Arial" w:eastAsia="Times New Roman" w:hAnsi="Arial" w:cs="Arial"/>
                <w:color w:val="000000"/>
                <w:sz w:val="20"/>
                <w:lang w:val="en-US" w:eastAsia="fr-FR"/>
              </w:rPr>
              <w:br/>
              <w:t>Alaotra Mangoro</w:t>
            </w:r>
            <w:r w:rsidRPr="00AE406E">
              <w:rPr>
                <w:rFonts w:ascii="Arial" w:eastAsia="Times New Roman" w:hAnsi="Arial" w:cs="Arial"/>
                <w:color w:val="000000"/>
                <w:sz w:val="20"/>
                <w:lang w:val="en-US" w:eastAsia="fr-FR"/>
              </w:rPr>
              <w:br/>
              <w:t>Atsinanana</w:t>
            </w:r>
          </w:p>
        </w:tc>
      </w:tr>
      <w:tr w:rsidR="0063584D" w:rsidRPr="007F78CE" w14:paraId="3D0D336A" w14:textId="77777777" w:rsidTr="00B434A6">
        <w:trPr>
          <w:jc w:val="center"/>
        </w:trPr>
        <w:tc>
          <w:tcPr>
            <w:tcW w:w="1502" w:type="dxa"/>
            <w:shd w:val="clear" w:color="auto" w:fill="auto"/>
          </w:tcPr>
          <w:p w14:paraId="656FBEFD" w14:textId="77777777" w:rsidR="006B368E" w:rsidRPr="007F78CE" w:rsidRDefault="006B368E" w:rsidP="007F78CE">
            <w:pPr>
              <w:spacing w:after="0" w:line="240" w:lineRule="auto"/>
              <w:rPr>
                <w:rFonts w:ascii="Arial" w:hAnsi="Arial" w:cs="Arial"/>
                <w:b/>
                <w:bCs/>
                <w:sz w:val="20"/>
                <w:lang w:val="en-US"/>
              </w:rPr>
            </w:pPr>
            <w:r w:rsidRPr="007F78CE">
              <w:rPr>
                <w:rFonts w:ascii="Arial" w:eastAsia="Times New Roman" w:hAnsi="Arial" w:cs="Arial"/>
                <w:b/>
                <w:bCs/>
                <w:sz w:val="20"/>
                <w:lang w:eastAsia="fr-FR"/>
              </w:rPr>
              <w:t>Belna</w:t>
            </w:r>
          </w:p>
        </w:tc>
        <w:tc>
          <w:tcPr>
            <w:tcW w:w="1818" w:type="dxa"/>
            <w:shd w:val="clear" w:color="auto" w:fill="auto"/>
          </w:tcPr>
          <w:p w14:paraId="0AFED4EB" w14:textId="77777777" w:rsidR="006B368E" w:rsidRPr="007F78CE" w:rsidRDefault="006B368E" w:rsidP="007F78CE">
            <w:pPr>
              <w:spacing w:after="0" w:line="240" w:lineRule="auto"/>
              <w:rPr>
                <w:rFonts w:ascii="Arial" w:eastAsia="Times New Roman" w:hAnsi="Arial" w:cs="Arial"/>
                <w:sz w:val="20"/>
                <w:lang w:eastAsia="fr-FR"/>
              </w:rPr>
            </w:pPr>
            <w:r w:rsidRPr="007F78CE">
              <w:rPr>
                <w:rFonts w:ascii="Arial" w:eastAsia="Times New Roman" w:hAnsi="Arial" w:cs="Arial"/>
                <w:sz w:val="20"/>
                <w:lang w:eastAsia="fr-FR"/>
              </w:rPr>
              <w:t>2 au 11 décembre 2019</w:t>
            </w:r>
          </w:p>
        </w:tc>
        <w:tc>
          <w:tcPr>
            <w:tcW w:w="3780" w:type="dxa"/>
            <w:shd w:val="clear" w:color="auto" w:fill="auto"/>
          </w:tcPr>
          <w:p w14:paraId="6D3AE926" w14:textId="77777777" w:rsidR="006B368E" w:rsidRPr="007F78CE" w:rsidRDefault="006B368E" w:rsidP="007F78CE">
            <w:pPr>
              <w:spacing w:after="0" w:line="240" w:lineRule="auto"/>
              <w:rPr>
                <w:rFonts w:ascii="Arial" w:eastAsia="Times New Roman" w:hAnsi="Arial" w:cs="Arial"/>
                <w:color w:val="000000"/>
                <w:sz w:val="20"/>
                <w:lang w:eastAsia="fr-FR"/>
              </w:rPr>
            </w:pPr>
            <w:r w:rsidRPr="007F78CE">
              <w:rPr>
                <w:rFonts w:ascii="Arial" w:eastAsia="Times New Roman" w:hAnsi="Arial" w:cs="Arial"/>
                <w:color w:val="000000"/>
                <w:sz w:val="20"/>
                <w:lang w:eastAsia="fr-FR"/>
              </w:rPr>
              <w:t>Vitesse du vent</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93 km/h</w:t>
            </w:r>
          </w:p>
          <w:p w14:paraId="080F5656" w14:textId="77777777" w:rsidR="006B368E" w:rsidRPr="007F78CE" w:rsidRDefault="006B368E" w:rsidP="007F78CE">
            <w:pPr>
              <w:spacing w:after="0" w:line="240" w:lineRule="auto"/>
              <w:rPr>
                <w:rFonts w:ascii="Arial" w:eastAsia="Times New Roman" w:hAnsi="Arial" w:cs="Arial"/>
                <w:color w:val="000000"/>
                <w:sz w:val="20"/>
                <w:lang w:eastAsia="fr-FR"/>
              </w:rPr>
            </w:pPr>
            <w:r w:rsidRPr="007F78CE">
              <w:rPr>
                <w:rFonts w:ascii="Arial" w:eastAsia="Times New Roman" w:hAnsi="Arial" w:cs="Arial"/>
                <w:color w:val="000000"/>
                <w:sz w:val="20"/>
                <w:lang w:eastAsia="fr-FR"/>
              </w:rPr>
              <w:t>Diamètre</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204 km</w:t>
            </w:r>
          </w:p>
          <w:p w14:paraId="4F6FDAB6" w14:textId="77777777" w:rsidR="006B368E" w:rsidRPr="007F78CE" w:rsidRDefault="006B368E" w:rsidP="007F78CE">
            <w:pPr>
              <w:spacing w:after="0" w:line="240" w:lineRule="auto"/>
              <w:rPr>
                <w:rFonts w:ascii="Arial" w:eastAsia="Times New Roman" w:hAnsi="Arial" w:cs="Arial"/>
                <w:color w:val="000000"/>
                <w:sz w:val="20"/>
                <w:lang w:eastAsia="fr-FR"/>
              </w:rPr>
            </w:pPr>
            <w:r w:rsidRPr="007F78CE">
              <w:rPr>
                <w:rFonts w:ascii="Arial" w:eastAsia="Times New Roman" w:hAnsi="Arial" w:cs="Arial"/>
                <w:color w:val="000000"/>
                <w:sz w:val="20"/>
                <w:lang w:eastAsia="fr-FR"/>
              </w:rPr>
              <w:t>Pression de l'air</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dessous 957 mbar</w:t>
            </w:r>
          </w:p>
          <w:p w14:paraId="11265E2C" w14:textId="77777777" w:rsidR="006B368E" w:rsidRPr="007F78CE" w:rsidRDefault="006B368E" w:rsidP="007F78CE">
            <w:pPr>
              <w:spacing w:after="0" w:line="240" w:lineRule="auto"/>
              <w:rPr>
                <w:rFonts w:ascii="Arial" w:hAnsi="Arial" w:cs="Arial"/>
                <w:color w:val="000000"/>
                <w:sz w:val="20"/>
                <w:shd w:val="clear" w:color="auto" w:fill="FAFAFA"/>
              </w:rPr>
            </w:pPr>
            <w:r w:rsidRPr="007F78CE">
              <w:rPr>
                <w:rFonts w:ascii="Arial" w:eastAsia="Times New Roman" w:hAnsi="Arial" w:cs="Arial"/>
                <w:color w:val="000000"/>
                <w:sz w:val="20"/>
                <w:lang w:eastAsia="fr-FR"/>
              </w:rPr>
              <w:t>Échelle de Saffir-Simpson</w:t>
            </w:r>
            <w:r w:rsidR="004B776B" w:rsidRPr="007F78CE">
              <w:rPr>
                <w:rFonts w:ascii="Arial" w:eastAsia="Times New Roman" w:hAnsi="Arial" w:cs="Arial"/>
                <w:color w:val="000000"/>
                <w:sz w:val="20"/>
                <w:lang w:eastAsia="fr-FR"/>
              </w:rPr>
              <w:t xml:space="preserve"> </w:t>
            </w:r>
            <w:r w:rsidRPr="007F78CE">
              <w:rPr>
                <w:rFonts w:ascii="Arial" w:eastAsia="Times New Roman" w:hAnsi="Arial" w:cs="Arial"/>
                <w:color w:val="000000"/>
                <w:sz w:val="20"/>
                <w:lang w:eastAsia="fr-FR"/>
              </w:rPr>
              <w:t>: catégorie 3</w:t>
            </w:r>
          </w:p>
        </w:tc>
        <w:tc>
          <w:tcPr>
            <w:tcW w:w="2070" w:type="dxa"/>
            <w:shd w:val="clear" w:color="auto" w:fill="auto"/>
          </w:tcPr>
          <w:p w14:paraId="07F78099" w14:textId="77777777" w:rsidR="006B368E" w:rsidRPr="007F78CE" w:rsidRDefault="006B368E" w:rsidP="007F78CE">
            <w:pPr>
              <w:spacing w:after="0" w:line="240" w:lineRule="auto"/>
              <w:rPr>
                <w:rFonts w:ascii="Arial" w:hAnsi="Arial" w:cs="Arial"/>
                <w:sz w:val="20"/>
                <w:lang w:val="en-US"/>
              </w:rPr>
            </w:pPr>
            <w:r w:rsidRPr="007F78CE">
              <w:rPr>
                <w:rFonts w:ascii="Arial" w:hAnsi="Arial" w:cs="Arial"/>
                <w:color w:val="000000"/>
                <w:sz w:val="20"/>
                <w:shd w:val="clear" w:color="auto" w:fill="FAFAFA"/>
              </w:rPr>
              <w:t>Menabe</w:t>
            </w:r>
            <w:r w:rsidRPr="007F78CE">
              <w:rPr>
                <w:rFonts w:ascii="Arial" w:hAnsi="Arial" w:cs="Arial"/>
                <w:color w:val="000000"/>
                <w:sz w:val="20"/>
              </w:rPr>
              <w:br/>
            </w:r>
            <w:r w:rsidRPr="007F78CE">
              <w:rPr>
                <w:rFonts w:ascii="Arial" w:hAnsi="Arial" w:cs="Arial"/>
                <w:color w:val="000000"/>
                <w:sz w:val="20"/>
                <w:shd w:val="clear" w:color="auto" w:fill="FAFAFA"/>
              </w:rPr>
              <w:t>Atsimo-Andrefana</w:t>
            </w:r>
          </w:p>
        </w:tc>
      </w:tr>
    </w:tbl>
    <w:p w14:paraId="3E7A4E70" w14:textId="77777777" w:rsidR="006B368E" w:rsidRPr="00553487" w:rsidRDefault="00553487" w:rsidP="00D46C93">
      <w:pPr>
        <w:jc w:val="both"/>
        <w:rPr>
          <w:rFonts w:ascii="Arial" w:hAnsi="Arial" w:cs="Arial"/>
          <w:i/>
          <w:sz w:val="16"/>
        </w:rPr>
      </w:pPr>
      <w:r w:rsidRPr="00553487">
        <w:rPr>
          <w:rFonts w:ascii="Arial" w:hAnsi="Arial" w:cs="Arial"/>
          <w:i/>
          <w:sz w:val="16"/>
        </w:rPr>
        <w:t>Source : Données mondiales 2022</w:t>
      </w:r>
      <w:r>
        <w:rPr>
          <w:rStyle w:val="Appelnotedebasdep"/>
          <w:rFonts w:ascii="Arial" w:hAnsi="Arial" w:cs="Arial"/>
          <w:i/>
          <w:sz w:val="16"/>
        </w:rPr>
        <w:footnoteReference w:id="24"/>
      </w:r>
    </w:p>
    <w:p w14:paraId="751FEBDC" w14:textId="77777777" w:rsidR="006623E9" w:rsidRPr="006623E9" w:rsidRDefault="006623E9" w:rsidP="0044500E">
      <w:pPr>
        <w:pStyle w:val="TIT40"/>
        <w:numPr>
          <w:ilvl w:val="3"/>
          <w:numId w:val="177"/>
        </w:numPr>
        <w:outlineLvl w:val="3"/>
      </w:pPr>
      <w:bookmarkStart w:id="265" w:name="_Toc124314650"/>
      <w:bookmarkStart w:id="266" w:name="_Toc124956129"/>
      <w:bookmarkStart w:id="267" w:name="_Toc125384528"/>
      <w:bookmarkStart w:id="268" w:name="_Toc125384917"/>
      <w:bookmarkStart w:id="269" w:name="_Toc127957589"/>
      <w:r w:rsidRPr="006623E9">
        <w:t>Inondation</w:t>
      </w:r>
      <w:bookmarkEnd w:id="265"/>
      <w:bookmarkEnd w:id="266"/>
      <w:bookmarkEnd w:id="267"/>
      <w:bookmarkEnd w:id="268"/>
      <w:bookmarkEnd w:id="269"/>
      <w:r w:rsidRPr="006623E9">
        <w:t xml:space="preserve"> </w:t>
      </w:r>
    </w:p>
    <w:p w14:paraId="64A85A92" w14:textId="77777777" w:rsidR="002D37A6" w:rsidRDefault="008A4716" w:rsidP="008A4716">
      <w:pPr>
        <w:jc w:val="both"/>
        <w:rPr>
          <w:rFonts w:ascii="Arial" w:hAnsi="Arial" w:cs="Arial"/>
        </w:rPr>
      </w:pPr>
      <w:r w:rsidRPr="008A4716">
        <w:rPr>
          <w:rFonts w:ascii="Arial" w:hAnsi="Arial" w:cs="Arial"/>
        </w:rPr>
        <w:t xml:space="preserve">A Madagascar, </w:t>
      </w:r>
      <w:r w:rsidR="002D37A6">
        <w:rPr>
          <w:rFonts w:ascii="Arial" w:hAnsi="Arial" w:cs="Arial"/>
        </w:rPr>
        <w:t>l’inondation est liée</w:t>
      </w:r>
      <w:r w:rsidRPr="008A4716">
        <w:rPr>
          <w:rFonts w:ascii="Arial" w:hAnsi="Arial" w:cs="Arial"/>
        </w:rPr>
        <w:t xml:space="preserve"> aux occurrences de pluie</w:t>
      </w:r>
      <w:r w:rsidR="00801D80">
        <w:rPr>
          <w:rFonts w:ascii="Arial" w:hAnsi="Arial" w:cs="Arial"/>
        </w:rPr>
        <w:t>s</w:t>
      </w:r>
      <w:r w:rsidRPr="008A4716">
        <w:rPr>
          <w:rFonts w:ascii="Arial" w:hAnsi="Arial" w:cs="Arial"/>
        </w:rPr>
        <w:t xml:space="preserve"> de très forte intensité et de</w:t>
      </w:r>
      <w:r w:rsidR="002D37A6">
        <w:rPr>
          <w:rFonts w:ascii="Arial" w:hAnsi="Arial" w:cs="Arial"/>
        </w:rPr>
        <w:t xml:space="preserve"> sa</w:t>
      </w:r>
      <w:r w:rsidRPr="008A4716">
        <w:rPr>
          <w:rFonts w:ascii="Arial" w:hAnsi="Arial" w:cs="Arial"/>
        </w:rPr>
        <w:t xml:space="preserve"> durée parfois longue. Les désastres environnementaux causés sont, entre autres, des glissements de terrain et des inondations qui </w:t>
      </w:r>
      <w:r w:rsidR="00801D80" w:rsidRPr="008A4716">
        <w:rPr>
          <w:rFonts w:ascii="Arial" w:hAnsi="Arial" w:cs="Arial"/>
        </w:rPr>
        <w:t xml:space="preserve">entraînent </w:t>
      </w:r>
      <w:r w:rsidRPr="008A4716">
        <w:rPr>
          <w:rFonts w:ascii="Arial" w:hAnsi="Arial" w:cs="Arial"/>
        </w:rPr>
        <w:t>des conséquences très graves sur les activités socio-économiques, sur les infrastructures de développement et sur les populations concernées</w:t>
      </w:r>
      <w:r w:rsidR="002D37A6">
        <w:rPr>
          <w:rFonts w:ascii="Arial" w:hAnsi="Arial" w:cs="Arial"/>
        </w:rPr>
        <w:t xml:space="preserve">. </w:t>
      </w:r>
    </w:p>
    <w:p w14:paraId="29A7726D" w14:textId="77777777" w:rsidR="002D37A6" w:rsidRDefault="002D37A6" w:rsidP="008A4716">
      <w:pPr>
        <w:jc w:val="both"/>
        <w:rPr>
          <w:rFonts w:ascii="Arial" w:hAnsi="Arial" w:cs="Arial"/>
        </w:rPr>
      </w:pPr>
      <w:r>
        <w:rPr>
          <w:rFonts w:ascii="Arial" w:hAnsi="Arial" w:cs="Arial"/>
        </w:rPr>
        <w:t xml:space="preserve">Les </w:t>
      </w:r>
      <w:r w:rsidRPr="002D37A6">
        <w:rPr>
          <w:rFonts w:ascii="Arial" w:hAnsi="Arial" w:cs="Arial"/>
        </w:rPr>
        <w:t xml:space="preserve">cyclones et les fortes pluies entraînent des risques élevés d'inondation partout </w:t>
      </w:r>
      <w:r w:rsidR="00577849">
        <w:rPr>
          <w:rFonts w:ascii="Arial" w:hAnsi="Arial" w:cs="Arial"/>
        </w:rPr>
        <w:t>où ils passent</w:t>
      </w:r>
      <w:r w:rsidRPr="002D37A6">
        <w:rPr>
          <w:rFonts w:ascii="Arial" w:hAnsi="Arial" w:cs="Arial"/>
        </w:rPr>
        <w:t>.</w:t>
      </w:r>
      <w:r>
        <w:rPr>
          <w:rFonts w:ascii="Arial" w:hAnsi="Arial" w:cs="Arial"/>
        </w:rPr>
        <w:t xml:space="preserve"> Ainsi, les zones de basse altitude, </w:t>
      </w:r>
      <w:r w:rsidR="00B26EE4">
        <w:rPr>
          <w:rFonts w:ascii="Arial" w:hAnsi="Arial" w:cs="Arial"/>
        </w:rPr>
        <w:t>les vallées</w:t>
      </w:r>
      <w:r>
        <w:rPr>
          <w:rFonts w:ascii="Arial" w:hAnsi="Arial" w:cs="Arial"/>
        </w:rPr>
        <w:t xml:space="preserve">, les zones près des cours d’eau </w:t>
      </w:r>
      <w:r w:rsidR="00B26EE4" w:rsidRPr="00B26EE4">
        <w:rPr>
          <w:rFonts w:ascii="Arial" w:hAnsi="Arial" w:cs="Arial"/>
        </w:rPr>
        <w:t>condui</w:t>
      </w:r>
      <w:r w:rsidR="004B776B">
        <w:rPr>
          <w:rFonts w:ascii="Arial" w:hAnsi="Arial" w:cs="Arial"/>
        </w:rPr>
        <w:t>sen</w:t>
      </w:r>
      <w:r w:rsidR="00B26EE4" w:rsidRPr="00B26EE4">
        <w:rPr>
          <w:rFonts w:ascii="Arial" w:hAnsi="Arial" w:cs="Arial"/>
        </w:rPr>
        <w:t>t à une plus grande exposition aux risques d'inondation croissants associés à l'intensité accrue des fortes précipitations, aux cyclones et à l'élévation du niveau de la mer.</w:t>
      </w:r>
    </w:p>
    <w:p w14:paraId="17DD7BD8" w14:textId="77777777" w:rsidR="008E47FF" w:rsidRDefault="00B5475C" w:rsidP="008A4716">
      <w:pPr>
        <w:jc w:val="both"/>
        <w:rPr>
          <w:rFonts w:ascii="Arial" w:hAnsi="Arial" w:cs="Arial"/>
        </w:rPr>
      </w:pPr>
      <w:r>
        <w:rPr>
          <w:rFonts w:ascii="Arial" w:hAnsi="Arial" w:cs="Arial"/>
        </w:rPr>
        <w:t>D’après la carte élaborée par CPGU en 2020</w:t>
      </w:r>
      <w:r w:rsidR="004B776B">
        <w:rPr>
          <w:rFonts w:ascii="Arial" w:hAnsi="Arial" w:cs="Arial"/>
        </w:rPr>
        <w:t>,</w:t>
      </w:r>
      <w:r>
        <w:rPr>
          <w:rFonts w:ascii="Arial" w:hAnsi="Arial" w:cs="Arial"/>
        </w:rPr>
        <w:t xml:space="preserve"> les zones les plus </w:t>
      </w:r>
      <w:r w:rsidR="008E47FF">
        <w:rPr>
          <w:rFonts w:ascii="Arial" w:hAnsi="Arial" w:cs="Arial"/>
        </w:rPr>
        <w:t>vulnérables</w:t>
      </w:r>
      <w:r>
        <w:rPr>
          <w:rFonts w:ascii="Arial" w:hAnsi="Arial" w:cs="Arial"/>
        </w:rPr>
        <w:t xml:space="preserve"> par l’inondation sont </w:t>
      </w:r>
      <w:r w:rsidR="00F41270">
        <w:rPr>
          <w:rFonts w:ascii="Arial" w:hAnsi="Arial" w:cs="Arial"/>
        </w:rPr>
        <w:t>représenté</w:t>
      </w:r>
      <w:r w:rsidR="004B776B">
        <w:rPr>
          <w:rFonts w:ascii="Arial" w:hAnsi="Arial" w:cs="Arial"/>
        </w:rPr>
        <w:t>es</w:t>
      </w:r>
      <w:r w:rsidR="00F41270">
        <w:rPr>
          <w:rFonts w:ascii="Arial" w:hAnsi="Arial" w:cs="Arial"/>
        </w:rPr>
        <w:t xml:space="preserve"> dans le tableau suivant</w:t>
      </w:r>
      <w:r w:rsidR="005D6D41">
        <w:rPr>
          <w:rFonts w:ascii="Arial" w:hAnsi="Arial" w:cs="Arial"/>
        </w:rPr>
        <w:t>.</w:t>
      </w:r>
      <w:r w:rsidR="00F41270">
        <w:rPr>
          <w:rFonts w:ascii="Arial" w:hAnsi="Arial" w:cs="Arial"/>
        </w:rPr>
        <w:t xml:space="preserve"> </w:t>
      </w:r>
    </w:p>
    <w:p w14:paraId="26E4C272" w14:textId="77777777" w:rsidR="00B5475C" w:rsidRPr="00F41270" w:rsidRDefault="00F41270" w:rsidP="00F41270">
      <w:pPr>
        <w:pStyle w:val="Lgende"/>
        <w:jc w:val="center"/>
        <w:rPr>
          <w:sz w:val="20"/>
        </w:rPr>
      </w:pPr>
      <w:bookmarkStart w:id="270" w:name="_Toc127957802"/>
      <w:r w:rsidRPr="00F41270">
        <w:rPr>
          <w:sz w:val="20"/>
        </w:rPr>
        <w:t xml:space="preserve">Tableau </w:t>
      </w:r>
      <w:r w:rsidRPr="00F41270">
        <w:rPr>
          <w:sz w:val="20"/>
        </w:rPr>
        <w:fldChar w:fldCharType="begin"/>
      </w:r>
      <w:r w:rsidRPr="00F41270">
        <w:rPr>
          <w:sz w:val="20"/>
        </w:rPr>
        <w:instrText xml:space="preserve"> SEQ Tableau \* ARABIC </w:instrText>
      </w:r>
      <w:r w:rsidRPr="00F41270">
        <w:rPr>
          <w:sz w:val="20"/>
        </w:rPr>
        <w:fldChar w:fldCharType="separate"/>
      </w:r>
      <w:r w:rsidR="005430A1">
        <w:rPr>
          <w:noProof/>
          <w:sz w:val="20"/>
        </w:rPr>
        <w:t>6</w:t>
      </w:r>
      <w:r w:rsidRPr="00F41270">
        <w:rPr>
          <w:sz w:val="20"/>
        </w:rPr>
        <w:fldChar w:fldCharType="end"/>
      </w:r>
      <w:r w:rsidRPr="00F41270">
        <w:rPr>
          <w:sz w:val="20"/>
        </w:rPr>
        <w:t>. Liste des District</w:t>
      </w:r>
      <w:r w:rsidR="00ED039B">
        <w:rPr>
          <w:sz w:val="20"/>
        </w:rPr>
        <w:t>s</w:t>
      </w:r>
      <w:r w:rsidRPr="00F41270">
        <w:rPr>
          <w:sz w:val="20"/>
        </w:rPr>
        <w:t xml:space="preserve"> vulnérable</w:t>
      </w:r>
      <w:r w:rsidR="00ED039B">
        <w:rPr>
          <w:sz w:val="20"/>
        </w:rPr>
        <w:t>s</w:t>
      </w:r>
      <w:r w:rsidRPr="00F41270">
        <w:rPr>
          <w:sz w:val="20"/>
        </w:rPr>
        <w:t xml:space="preserve"> face à l’inondation</w:t>
      </w:r>
      <w:bookmarkEnd w:id="270"/>
      <w:r w:rsidRPr="00F41270">
        <w:rPr>
          <w:sz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747"/>
      </w:tblGrid>
      <w:tr w:rsidR="008E47FF" w:rsidRPr="007F78CE" w14:paraId="70CE5461" w14:textId="77777777" w:rsidTr="007F78CE">
        <w:trPr>
          <w:tblHeader/>
          <w:jc w:val="center"/>
        </w:trPr>
        <w:tc>
          <w:tcPr>
            <w:tcW w:w="2552" w:type="dxa"/>
            <w:shd w:val="clear" w:color="auto" w:fill="002060"/>
            <w:vAlign w:val="center"/>
          </w:tcPr>
          <w:p w14:paraId="31045300" w14:textId="77777777" w:rsidR="008E47FF" w:rsidRPr="007F78CE" w:rsidRDefault="008E47FF" w:rsidP="007F78CE">
            <w:pPr>
              <w:spacing w:after="0" w:line="240" w:lineRule="auto"/>
              <w:jc w:val="center"/>
              <w:rPr>
                <w:rFonts w:ascii="Arial" w:hAnsi="Arial" w:cs="Arial"/>
                <w:b/>
                <w:color w:val="FFFFFF"/>
              </w:rPr>
            </w:pPr>
            <w:r w:rsidRPr="007F78CE">
              <w:rPr>
                <w:rFonts w:ascii="Arial" w:hAnsi="Arial" w:cs="Arial"/>
                <w:b/>
                <w:color w:val="FFFFFF"/>
              </w:rPr>
              <w:t>Région</w:t>
            </w:r>
          </w:p>
        </w:tc>
        <w:tc>
          <w:tcPr>
            <w:tcW w:w="3747" w:type="dxa"/>
            <w:shd w:val="clear" w:color="auto" w:fill="002060"/>
            <w:vAlign w:val="center"/>
          </w:tcPr>
          <w:p w14:paraId="0DF0FAB3" w14:textId="77777777" w:rsidR="008E47FF" w:rsidRPr="007F78CE" w:rsidRDefault="008E47FF" w:rsidP="007F78CE">
            <w:pPr>
              <w:spacing w:after="0" w:line="240" w:lineRule="auto"/>
              <w:jc w:val="center"/>
              <w:rPr>
                <w:rFonts w:ascii="Arial" w:hAnsi="Arial" w:cs="Arial"/>
                <w:b/>
                <w:color w:val="FFFFFF"/>
              </w:rPr>
            </w:pPr>
            <w:r w:rsidRPr="007F78CE">
              <w:rPr>
                <w:rFonts w:ascii="Arial" w:hAnsi="Arial" w:cs="Arial"/>
                <w:b/>
                <w:color w:val="FFFFFF"/>
              </w:rPr>
              <w:t xml:space="preserve">District </w:t>
            </w:r>
            <w:r w:rsidR="00F41270" w:rsidRPr="007F78CE">
              <w:rPr>
                <w:rFonts w:ascii="Arial" w:hAnsi="Arial" w:cs="Arial"/>
                <w:b/>
                <w:color w:val="FFFFFF"/>
              </w:rPr>
              <w:t xml:space="preserve">vulnérable face à </w:t>
            </w:r>
            <w:r w:rsidRPr="007F78CE">
              <w:rPr>
                <w:rFonts w:ascii="Arial" w:hAnsi="Arial" w:cs="Arial"/>
                <w:b/>
                <w:color w:val="FFFFFF"/>
              </w:rPr>
              <w:t xml:space="preserve"> l’inondation</w:t>
            </w:r>
          </w:p>
        </w:tc>
      </w:tr>
      <w:tr w:rsidR="008E47FF" w:rsidRPr="007F78CE" w14:paraId="336490C8" w14:textId="77777777" w:rsidTr="007F78CE">
        <w:trPr>
          <w:jc w:val="center"/>
        </w:trPr>
        <w:tc>
          <w:tcPr>
            <w:tcW w:w="2552" w:type="dxa"/>
            <w:shd w:val="clear" w:color="auto" w:fill="auto"/>
          </w:tcPr>
          <w:p w14:paraId="368805A6" w14:textId="77777777" w:rsidR="008E47FF" w:rsidRPr="007F78CE" w:rsidRDefault="008E47FF" w:rsidP="007F78CE">
            <w:pPr>
              <w:spacing w:after="0" w:line="240" w:lineRule="auto"/>
              <w:jc w:val="both"/>
              <w:rPr>
                <w:rFonts w:ascii="Arial" w:hAnsi="Arial" w:cs="Arial"/>
              </w:rPr>
            </w:pPr>
            <w:r w:rsidRPr="007F78CE">
              <w:rPr>
                <w:rFonts w:ascii="Arial" w:hAnsi="Arial" w:cs="Arial"/>
              </w:rPr>
              <w:t xml:space="preserve">Analamanga </w:t>
            </w:r>
          </w:p>
        </w:tc>
        <w:tc>
          <w:tcPr>
            <w:tcW w:w="3747" w:type="dxa"/>
            <w:shd w:val="clear" w:color="auto" w:fill="auto"/>
          </w:tcPr>
          <w:p w14:paraId="1B4D8740" w14:textId="77777777" w:rsidR="008E47FF" w:rsidRPr="007F78CE" w:rsidRDefault="008E47FF" w:rsidP="007F78CE">
            <w:pPr>
              <w:spacing w:after="0" w:line="240" w:lineRule="auto"/>
              <w:jc w:val="both"/>
              <w:rPr>
                <w:rFonts w:ascii="Arial" w:hAnsi="Arial" w:cs="Arial"/>
              </w:rPr>
            </w:pPr>
            <w:r w:rsidRPr="007F78CE">
              <w:rPr>
                <w:rFonts w:ascii="Arial" w:hAnsi="Arial" w:cs="Arial"/>
              </w:rPr>
              <w:t>Antananarivo Rénivohitra</w:t>
            </w:r>
          </w:p>
          <w:p w14:paraId="084A62D8" w14:textId="77777777" w:rsidR="008E47FF" w:rsidRPr="007F78CE" w:rsidRDefault="008E47FF" w:rsidP="007F78CE">
            <w:pPr>
              <w:spacing w:after="0" w:line="240" w:lineRule="auto"/>
              <w:jc w:val="both"/>
              <w:rPr>
                <w:rFonts w:ascii="Arial" w:hAnsi="Arial" w:cs="Arial"/>
              </w:rPr>
            </w:pPr>
            <w:r w:rsidRPr="007F78CE">
              <w:rPr>
                <w:rFonts w:ascii="Arial" w:hAnsi="Arial" w:cs="Arial"/>
              </w:rPr>
              <w:t>Antananrivo Avaradrano</w:t>
            </w:r>
          </w:p>
          <w:p w14:paraId="28BE9B9D" w14:textId="77777777" w:rsidR="008E47FF" w:rsidRPr="007F78CE" w:rsidRDefault="008E47FF" w:rsidP="007F78CE">
            <w:pPr>
              <w:spacing w:after="0" w:line="240" w:lineRule="auto"/>
              <w:jc w:val="both"/>
              <w:rPr>
                <w:rFonts w:ascii="Arial" w:hAnsi="Arial" w:cs="Arial"/>
              </w:rPr>
            </w:pPr>
            <w:r w:rsidRPr="007F78CE">
              <w:rPr>
                <w:rFonts w:ascii="Arial" w:hAnsi="Arial" w:cs="Arial"/>
              </w:rPr>
              <w:t>Ambohidratrimo</w:t>
            </w:r>
          </w:p>
        </w:tc>
      </w:tr>
      <w:tr w:rsidR="008E47FF" w:rsidRPr="007F78CE" w14:paraId="458DE271" w14:textId="77777777" w:rsidTr="007F78CE">
        <w:trPr>
          <w:jc w:val="center"/>
        </w:trPr>
        <w:tc>
          <w:tcPr>
            <w:tcW w:w="2552" w:type="dxa"/>
            <w:shd w:val="clear" w:color="auto" w:fill="auto"/>
          </w:tcPr>
          <w:p w14:paraId="34130BB8" w14:textId="77777777" w:rsidR="008E47FF" w:rsidRPr="007F78CE" w:rsidRDefault="00F41270" w:rsidP="007F78CE">
            <w:pPr>
              <w:spacing w:after="0" w:line="240" w:lineRule="auto"/>
              <w:jc w:val="both"/>
              <w:rPr>
                <w:rFonts w:ascii="Arial" w:hAnsi="Arial" w:cs="Arial"/>
              </w:rPr>
            </w:pPr>
            <w:r w:rsidRPr="007F78CE">
              <w:rPr>
                <w:rFonts w:ascii="Arial" w:hAnsi="Arial" w:cs="Arial"/>
              </w:rPr>
              <w:t>Alaotra Mangoro</w:t>
            </w:r>
          </w:p>
        </w:tc>
        <w:tc>
          <w:tcPr>
            <w:tcW w:w="3747" w:type="dxa"/>
            <w:shd w:val="clear" w:color="auto" w:fill="auto"/>
          </w:tcPr>
          <w:p w14:paraId="59B55B1F" w14:textId="77777777" w:rsidR="008E47FF" w:rsidRPr="007F78CE" w:rsidRDefault="00F41270" w:rsidP="007F78CE">
            <w:pPr>
              <w:spacing w:after="0" w:line="240" w:lineRule="auto"/>
              <w:jc w:val="both"/>
              <w:rPr>
                <w:rFonts w:ascii="Arial" w:hAnsi="Arial" w:cs="Arial"/>
              </w:rPr>
            </w:pPr>
            <w:r w:rsidRPr="007F78CE">
              <w:rPr>
                <w:rFonts w:ascii="Arial" w:hAnsi="Arial" w:cs="Arial"/>
              </w:rPr>
              <w:t>Amparafaravola</w:t>
            </w:r>
          </w:p>
          <w:p w14:paraId="1D75A6D4" w14:textId="77777777" w:rsidR="00F41270" w:rsidRPr="007F78CE" w:rsidRDefault="00F41270" w:rsidP="007F78CE">
            <w:pPr>
              <w:spacing w:after="0" w:line="240" w:lineRule="auto"/>
              <w:jc w:val="both"/>
              <w:rPr>
                <w:rFonts w:ascii="Arial" w:hAnsi="Arial" w:cs="Arial"/>
              </w:rPr>
            </w:pPr>
            <w:r w:rsidRPr="007F78CE">
              <w:rPr>
                <w:rFonts w:ascii="Arial" w:hAnsi="Arial" w:cs="Arial"/>
              </w:rPr>
              <w:t>Ambatondrazaka</w:t>
            </w:r>
          </w:p>
        </w:tc>
      </w:tr>
      <w:tr w:rsidR="008E47FF" w:rsidRPr="007F78CE" w14:paraId="0B3C64A6" w14:textId="77777777" w:rsidTr="007F78CE">
        <w:trPr>
          <w:jc w:val="center"/>
        </w:trPr>
        <w:tc>
          <w:tcPr>
            <w:tcW w:w="2552" w:type="dxa"/>
            <w:shd w:val="clear" w:color="auto" w:fill="auto"/>
          </w:tcPr>
          <w:p w14:paraId="6F34D134" w14:textId="77777777" w:rsidR="008E47FF" w:rsidRPr="007F78CE" w:rsidRDefault="00F41270" w:rsidP="007F78CE">
            <w:pPr>
              <w:spacing w:after="0" w:line="240" w:lineRule="auto"/>
              <w:jc w:val="both"/>
              <w:rPr>
                <w:rFonts w:ascii="Arial" w:hAnsi="Arial" w:cs="Arial"/>
              </w:rPr>
            </w:pPr>
            <w:r w:rsidRPr="007F78CE">
              <w:rPr>
                <w:rFonts w:ascii="Arial" w:hAnsi="Arial" w:cs="Arial"/>
              </w:rPr>
              <w:t>Atsinana</w:t>
            </w:r>
            <w:r w:rsidR="00ED039B">
              <w:rPr>
                <w:rFonts w:ascii="Arial" w:hAnsi="Arial" w:cs="Arial"/>
              </w:rPr>
              <w:t>na</w:t>
            </w:r>
          </w:p>
        </w:tc>
        <w:tc>
          <w:tcPr>
            <w:tcW w:w="3747" w:type="dxa"/>
            <w:shd w:val="clear" w:color="auto" w:fill="auto"/>
          </w:tcPr>
          <w:p w14:paraId="584AB505" w14:textId="77777777" w:rsidR="008E47FF" w:rsidRPr="007F78CE" w:rsidRDefault="00F41270" w:rsidP="007F78CE">
            <w:pPr>
              <w:spacing w:after="0" w:line="240" w:lineRule="auto"/>
              <w:jc w:val="both"/>
              <w:rPr>
                <w:rFonts w:ascii="Arial" w:hAnsi="Arial" w:cs="Arial"/>
              </w:rPr>
            </w:pPr>
            <w:r w:rsidRPr="007F78CE">
              <w:rPr>
                <w:rFonts w:ascii="Arial" w:hAnsi="Arial" w:cs="Arial"/>
              </w:rPr>
              <w:t>Toamasina II</w:t>
            </w:r>
          </w:p>
          <w:p w14:paraId="450F67D8" w14:textId="77777777" w:rsidR="00F41270" w:rsidRPr="007F78CE" w:rsidRDefault="00F41270" w:rsidP="007F78CE">
            <w:pPr>
              <w:spacing w:after="0" w:line="240" w:lineRule="auto"/>
              <w:jc w:val="both"/>
              <w:rPr>
                <w:rFonts w:ascii="Arial" w:hAnsi="Arial" w:cs="Arial"/>
              </w:rPr>
            </w:pPr>
            <w:r w:rsidRPr="007F78CE">
              <w:rPr>
                <w:rFonts w:ascii="Arial" w:hAnsi="Arial" w:cs="Arial"/>
              </w:rPr>
              <w:t>Brickaville</w:t>
            </w:r>
          </w:p>
          <w:p w14:paraId="7B0F99F0" w14:textId="77777777" w:rsidR="00F41270" w:rsidRPr="007F78CE" w:rsidRDefault="00F41270" w:rsidP="007F78CE">
            <w:pPr>
              <w:spacing w:after="0" w:line="240" w:lineRule="auto"/>
              <w:jc w:val="both"/>
              <w:rPr>
                <w:rFonts w:ascii="Arial" w:hAnsi="Arial" w:cs="Arial"/>
              </w:rPr>
            </w:pPr>
            <w:r w:rsidRPr="007F78CE">
              <w:rPr>
                <w:rFonts w:ascii="Arial" w:hAnsi="Arial" w:cs="Arial"/>
              </w:rPr>
              <w:t>Vatomandry</w:t>
            </w:r>
          </w:p>
          <w:p w14:paraId="20918F8A" w14:textId="77777777" w:rsidR="00F41270" w:rsidRPr="007F78CE" w:rsidRDefault="00F41270" w:rsidP="007F78CE">
            <w:pPr>
              <w:spacing w:after="0" w:line="240" w:lineRule="auto"/>
              <w:jc w:val="both"/>
              <w:rPr>
                <w:rFonts w:ascii="Arial" w:hAnsi="Arial" w:cs="Arial"/>
              </w:rPr>
            </w:pPr>
            <w:r w:rsidRPr="007F78CE">
              <w:rPr>
                <w:rFonts w:ascii="Arial" w:hAnsi="Arial" w:cs="Arial"/>
              </w:rPr>
              <w:t>Mahanoro</w:t>
            </w:r>
          </w:p>
        </w:tc>
      </w:tr>
      <w:tr w:rsidR="008E47FF" w:rsidRPr="00345918" w14:paraId="71DD8C67" w14:textId="77777777" w:rsidTr="007F78CE">
        <w:trPr>
          <w:jc w:val="center"/>
        </w:trPr>
        <w:tc>
          <w:tcPr>
            <w:tcW w:w="2552" w:type="dxa"/>
            <w:shd w:val="clear" w:color="auto" w:fill="auto"/>
          </w:tcPr>
          <w:p w14:paraId="26EDDAAB" w14:textId="77777777" w:rsidR="008E47FF" w:rsidRPr="007F78CE" w:rsidRDefault="00F41270" w:rsidP="007F78CE">
            <w:pPr>
              <w:spacing w:after="0" w:line="240" w:lineRule="auto"/>
              <w:jc w:val="both"/>
              <w:rPr>
                <w:rFonts w:ascii="Arial" w:hAnsi="Arial" w:cs="Arial"/>
              </w:rPr>
            </w:pPr>
            <w:r w:rsidRPr="007F78CE">
              <w:rPr>
                <w:rFonts w:ascii="Arial" w:hAnsi="Arial" w:cs="Arial"/>
              </w:rPr>
              <w:t>Boeny</w:t>
            </w:r>
          </w:p>
        </w:tc>
        <w:tc>
          <w:tcPr>
            <w:tcW w:w="3747" w:type="dxa"/>
            <w:shd w:val="clear" w:color="auto" w:fill="auto"/>
          </w:tcPr>
          <w:p w14:paraId="0DEAABF7" w14:textId="77777777" w:rsidR="008E47FF" w:rsidRPr="007F78CE" w:rsidRDefault="00F41270" w:rsidP="007F78CE">
            <w:pPr>
              <w:spacing w:after="0" w:line="240" w:lineRule="auto"/>
              <w:jc w:val="both"/>
              <w:rPr>
                <w:rFonts w:ascii="Arial" w:hAnsi="Arial" w:cs="Arial"/>
                <w:lang w:val="en-US"/>
              </w:rPr>
            </w:pPr>
            <w:r w:rsidRPr="007F78CE">
              <w:rPr>
                <w:rFonts w:ascii="Arial" w:hAnsi="Arial" w:cs="Arial"/>
                <w:lang w:val="en-US"/>
              </w:rPr>
              <w:t>Ambato Boeny</w:t>
            </w:r>
          </w:p>
          <w:p w14:paraId="7ED3CE09" w14:textId="77777777" w:rsidR="00F41270" w:rsidRPr="007F78CE" w:rsidRDefault="00F41270" w:rsidP="007F78CE">
            <w:pPr>
              <w:spacing w:after="0" w:line="240" w:lineRule="auto"/>
              <w:jc w:val="both"/>
              <w:rPr>
                <w:rFonts w:ascii="Arial" w:hAnsi="Arial" w:cs="Arial"/>
                <w:lang w:val="en-US"/>
              </w:rPr>
            </w:pPr>
            <w:r w:rsidRPr="007F78CE">
              <w:rPr>
                <w:rFonts w:ascii="Arial" w:hAnsi="Arial" w:cs="Arial"/>
                <w:lang w:val="en-US"/>
              </w:rPr>
              <w:t>Marovoay</w:t>
            </w:r>
          </w:p>
          <w:p w14:paraId="1E942F06" w14:textId="77777777" w:rsidR="00F41270" w:rsidRPr="007F78CE" w:rsidRDefault="00F41270" w:rsidP="007F78CE">
            <w:pPr>
              <w:spacing w:after="0" w:line="240" w:lineRule="auto"/>
              <w:jc w:val="both"/>
              <w:rPr>
                <w:rFonts w:ascii="Arial" w:hAnsi="Arial" w:cs="Arial"/>
                <w:lang w:val="en-US"/>
              </w:rPr>
            </w:pPr>
            <w:r w:rsidRPr="007F78CE">
              <w:rPr>
                <w:rFonts w:ascii="Arial" w:hAnsi="Arial" w:cs="Arial"/>
                <w:lang w:val="en-US"/>
              </w:rPr>
              <w:t>Mahajanga II</w:t>
            </w:r>
          </w:p>
          <w:p w14:paraId="35DCC77B" w14:textId="77777777" w:rsidR="00F41270" w:rsidRPr="007F78CE" w:rsidRDefault="00F41270" w:rsidP="007F78CE">
            <w:pPr>
              <w:spacing w:after="0" w:line="240" w:lineRule="auto"/>
              <w:jc w:val="both"/>
              <w:rPr>
                <w:rFonts w:ascii="Arial" w:hAnsi="Arial" w:cs="Arial"/>
                <w:lang w:val="en-US"/>
              </w:rPr>
            </w:pPr>
            <w:r w:rsidRPr="007F78CE">
              <w:rPr>
                <w:rFonts w:ascii="Arial" w:hAnsi="Arial" w:cs="Arial"/>
                <w:lang w:val="en-US"/>
              </w:rPr>
              <w:lastRenderedPageBreak/>
              <w:t>Mitsinjo</w:t>
            </w:r>
          </w:p>
        </w:tc>
      </w:tr>
      <w:tr w:rsidR="008E47FF" w:rsidRPr="007F78CE" w14:paraId="78EB26EE" w14:textId="77777777" w:rsidTr="007F78CE">
        <w:trPr>
          <w:jc w:val="center"/>
        </w:trPr>
        <w:tc>
          <w:tcPr>
            <w:tcW w:w="2552" w:type="dxa"/>
            <w:shd w:val="clear" w:color="auto" w:fill="auto"/>
          </w:tcPr>
          <w:p w14:paraId="5B6039A3" w14:textId="77777777" w:rsidR="008E47FF" w:rsidRPr="007F78CE" w:rsidRDefault="00F41270" w:rsidP="007F78CE">
            <w:pPr>
              <w:spacing w:after="0" w:line="240" w:lineRule="auto"/>
              <w:jc w:val="both"/>
              <w:rPr>
                <w:rFonts w:ascii="Arial" w:hAnsi="Arial" w:cs="Arial"/>
                <w:lang w:val="en-US"/>
              </w:rPr>
            </w:pPr>
            <w:r w:rsidRPr="007F78CE">
              <w:rPr>
                <w:rFonts w:ascii="Arial" w:hAnsi="Arial" w:cs="Arial"/>
                <w:lang w:val="en-US"/>
              </w:rPr>
              <w:lastRenderedPageBreak/>
              <w:t xml:space="preserve">Sofia </w:t>
            </w:r>
          </w:p>
        </w:tc>
        <w:tc>
          <w:tcPr>
            <w:tcW w:w="3747" w:type="dxa"/>
            <w:shd w:val="clear" w:color="auto" w:fill="auto"/>
          </w:tcPr>
          <w:p w14:paraId="1590038D" w14:textId="77777777" w:rsidR="008E47FF" w:rsidRPr="007F78CE" w:rsidRDefault="00F41270" w:rsidP="007F78CE">
            <w:pPr>
              <w:spacing w:after="0" w:line="240" w:lineRule="auto"/>
              <w:jc w:val="both"/>
              <w:rPr>
                <w:rFonts w:ascii="Arial" w:hAnsi="Arial" w:cs="Arial"/>
                <w:lang w:val="en-US"/>
              </w:rPr>
            </w:pPr>
            <w:r w:rsidRPr="007F78CE">
              <w:rPr>
                <w:rFonts w:ascii="Arial" w:hAnsi="Arial" w:cs="Arial"/>
                <w:lang w:val="en-US"/>
              </w:rPr>
              <w:t xml:space="preserve">Port Berger </w:t>
            </w:r>
          </w:p>
          <w:p w14:paraId="50E4E9D3" w14:textId="77777777" w:rsidR="00F41270" w:rsidRPr="007F78CE" w:rsidRDefault="00F41270" w:rsidP="007F78CE">
            <w:pPr>
              <w:spacing w:after="0" w:line="240" w:lineRule="auto"/>
              <w:jc w:val="both"/>
              <w:rPr>
                <w:rFonts w:ascii="Arial" w:hAnsi="Arial" w:cs="Arial"/>
                <w:lang w:val="en-US"/>
              </w:rPr>
            </w:pPr>
            <w:r w:rsidRPr="007F78CE">
              <w:rPr>
                <w:rFonts w:ascii="Arial" w:hAnsi="Arial" w:cs="Arial"/>
                <w:lang w:val="en-US"/>
              </w:rPr>
              <w:t>Mampikony</w:t>
            </w:r>
          </w:p>
        </w:tc>
      </w:tr>
      <w:tr w:rsidR="008E47FF" w:rsidRPr="007F78CE" w14:paraId="7311F4ED" w14:textId="77777777" w:rsidTr="007F78CE">
        <w:trPr>
          <w:jc w:val="center"/>
        </w:trPr>
        <w:tc>
          <w:tcPr>
            <w:tcW w:w="2552" w:type="dxa"/>
            <w:shd w:val="clear" w:color="auto" w:fill="auto"/>
          </w:tcPr>
          <w:p w14:paraId="70416C26" w14:textId="77777777" w:rsidR="008E47FF" w:rsidRPr="007F78CE" w:rsidRDefault="00F41270" w:rsidP="007F78CE">
            <w:pPr>
              <w:spacing w:after="0" w:line="240" w:lineRule="auto"/>
              <w:jc w:val="both"/>
              <w:rPr>
                <w:rFonts w:ascii="Arial" w:hAnsi="Arial" w:cs="Arial"/>
                <w:lang w:val="en-US"/>
              </w:rPr>
            </w:pPr>
            <w:r w:rsidRPr="007F78CE">
              <w:rPr>
                <w:rFonts w:ascii="Arial" w:hAnsi="Arial" w:cs="Arial"/>
                <w:lang w:val="en-US"/>
              </w:rPr>
              <w:t>Menabe</w:t>
            </w:r>
          </w:p>
        </w:tc>
        <w:tc>
          <w:tcPr>
            <w:tcW w:w="3747" w:type="dxa"/>
            <w:shd w:val="clear" w:color="auto" w:fill="auto"/>
          </w:tcPr>
          <w:p w14:paraId="18DED908" w14:textId="77777777" w:rsidR="008E47FF" w:rsidRPr="007F78CE" w:rsidRDefault="00F41270" w:rsidP="007F78CE">
            <w:pPr>
              <w:spacing w:after="0" w:line="240" w:lineRule="auto"/>
              <w:jc w:val="both"/>
              <w:rPr>
                <w:rFonts w:ascii="Arial" w:hAnsi="Arial" w:cs="Arial"/>
                <w:lang w:val="en-US"/>
              </w:rPr>
            </w:pPr>
            <w:r w:rsidRPr="007F78CE">
              <w:rPr>
                <w:rFonts w:ascii="Arial" w:hAnsi="Arial" w:cs="Arial"/>
                <w:lang w:val="en-US"/>
              </w:rPr>
              <w:t>Miandrivazo</w:t>
            </w:r>
          </w:p>
          <w:p w14:paraId="3838B8AF" w14:textId="77777777" w:rsidR="00F41270" w:rsidRPr="007F78CE" w:rsidRDefault="00F41270" w:rsidP="007F78CE">
            <w:pPr>
              <w:spacing w:after="0" w:line="240" w:lineRule="auto"/>
              <w:jc w:val="both"/>
              <w:rPr>
                <w:rFonts w:ascii="Arial" w:hAnsi="Arial" w:cs="Arial"/>
                <w:lang w:val="en-US"/>
              </w:rPr>
            </w:pPr>
            <w:r w:rsidRPr="007F78CE">
              <w:rPr>
                <w:rFonts w:ascii="Arial" w:hAnsi="Arial" w:cs="Arial"/>
                <w:lang w:val="en-US"/>
              </w:rPr>
              <w:t>Belo sur Tsiribihina</w:t>
            </w:r>
          </w:p>
        </w:tc>
      </w:tr>
      <w:tr w:rsidR="008E47FF" w:rsidRPr="007F78CE" w14:paraId="38AE4E4B" w14:textId="77777777" w:rsidTr="007F78CE">
        <w:trPr>
          <w:jc w:val="center"/>
        </w:trPr>
        <w:tc>
          <w:tcPr>
            <w:tcW w:w="2552" w:type="dxa"/>
            <w:shd w:val="clear" w:color="auto" w:fill="auto"/>
          </w:tcPr>
          <w:p w14:paraId="12EE22C2" w14:textId="77777777" w:rsidR="008E47FF" w:rsidRPr="007F78CE" w:rsidRDefault="00F41270" w:rsidP="007F78CE">
            <w:pPr>
              <w:spacing w:after="0" w:line="240" w:lineRule="auto"/>
              <w:jc w:val="both"/>
              <w:rPr>
                <w:rFonts w:ascii="Arial" w:hAnsi="Arial" w:cs="Arial"/>
                <w:lang w:val="en-US"/>
              </w:rPr>
            </w:pPr>
            <w:r w:rsidRPr="007F78CE">
              <w:rPr>
                <w:rFonts w:ascii="Arial" w:hAnsi="Arial" w:cs="Arial"/>
                <w:lang w:val="en-US"/>
              </w:rPr>
              <w:t>Melaky</w:t>
            </w:r>
          </w:p>
        </w:tc>
        <w:tc>
          <w:tcPr>
            <w:tcW w:w="3747" w:type="dxa"/>
            <w:shd w:val="clear" w:color="auto" w:fill="auto"/>
          </w:tcPr>
          <w:p w14:paraId="54B82D4A" w14:textId="77777777" w:rsidR="008E47FF" w:rsidRPr="007F78CE" w:rsidRDefault="00F41270" w:rsidP="007F78CE">
            <w:pPr>
              <w:spacing w:after="0" w:line="240" w:lineRule="auto"/>
              <w:jc w:val="both"/>
              <w:rPr>
                <w:rFonts w:ascii="Arial" w:hAnsi="Arial" w:cs="Arial"/>
                <w:lang w:val="en-US"/>
              </w:rPr>
            </w:pPr>
            <w:r w:rsidRPr="007F78CE">
              <w:rPr>
                <w:rFonts w:ascii="Arial" w:hAnsi="Arial" w:cs="Arial"/>
                <w:lang w:val="en-US"/>
              </w:rPr>
              <w:t>Antsalova</w:t>
            </w:r>
          </w:p>
        </w:tc>
      </w:tr>
      <w:tr w:rsidR="00F41270" w:rsidRPr="007F78CE" w14:paraId="063B3F3F" w14:textId="77777777" w:rsidTr="007F78CE">
        <w:trPr>
          <w:jc w:val="center"/>
        </w:trPr>
        <w:tc>
          <w:tcPr>
            <w:tcW w:w="2552" w:type="dxa"/>
            <w:shd w:val="clear" w:color="auto" w:fill="auto"/>
          </w:tcPr>
          <w:p w14:paraId="11FE67FE" w14:textId="77777777" w:rsidR="00F41270" w:rsidRPr="007F78CE" w:rsidRDefault="00F41270" w:rsidP="007F78CE">
            <w:pPr>
              <w:spacing w:after="0" w:line="240" w:lineRule="auto"/>
              <w:jc w:val="both"/>
              <w:rPr>
                <w:rFonts w:ascii="Arial" w:hAnsi="Arial" w:cs="Arial"/>
                <w:lang w:val="en-US"/>
              </w:rPr>
            </w:pPr>
            <w:r w:rsidRPr="007F78CE">
              <w:rPr>
                <w:rFonts w:ascii="Arial" w:hAnsi="Arial" w:cs="Arial"/>
                <w:lang w:val="en-US"/>
              </w:rPr>
              <w:t>Fitovinany</w:t>
            </w:r>
          </w:p>
        </w:tc>
        <w:tc>
          <w:tcPr>
            <w:tcW w:w="3747" w:type="dxa"/>
            <w:shd w:val="clear" w:color="auto" w:fill="auto"/>
          </w:tcPr>
          <w:p w14:paraId="67E83F75" w14:textId="77777777" w:rsidR="00F41270" w:rsidRPr="007F78CE" w:rsidRDefault="00F41270" w:rsidP="007F78CE">
            <w:pPr>
              <w:spacing w:after="0" w:line="240" w:lineRule="auto"/>
              <w:jc w:val="both"/>
              <w:rPr>
                <w:rFonts w:ascii="Arial" w:hAnsi="Arial" w:cs="Arial"/>
                <w:lang w:val="en-US"/>
              </w:rPr>
            </w:pPr>
            <w:r w:rsidRPr="007F78CE">
              <w:rPr>
                <w:rFonts w:ascii="Arial" w:hAnsi="Arial" w:cs="Arial"/>
                <w:lang w:val="en-US"/>
              </w:rPr>
              <w:t>Manakara</w:t>
            </w:r>
          </w:p>
          <w:p w14:paraId="53D75095" w14:textId="77777777" w:rsidR="00F41270" w:rsidRPr="007F78CE" w:rsidRDefault="00F41270" w:rsidP="007F78CE">
            <w:pPr>
              <w:spacing w:after="0" w:line="240" w:lineRule="auto"/>
              <w:jc w:val="both"/>
              <w:rPr>
                <w:rFonts w:ascii="Arial" w:hAnsi="Arial" w:cs="Arial"/>
                <w:lang w:val="en-US"/>
              </w:rPr>
            </w:pPr>
            <w:r w:rsidRPr="007F78CE">
              <w:rPr>
                <w:rFonts w:ascii="Arial" w:hAnsi="Arial" w:cs="Arial"/>
                <w:lang w:val="en-US"/>
              </w:rPr>
              <w:t>Vohipeno</w:t>
            </w:r>
          </w:p>
        </w:tc>
      </w:tr>
      <w:tr w:rsidR="00F41270" w:rsidRPr="007F78CE" w14:paraId="784EFB70" w14:textId="77777777" w:rsidTr="007F78CE">
        <w:trPr>
          <w:jc w:val="center"/>
        </w:trPr>
        <w:tc>
          <w:tcPr>
            <w:tcW w:w="2552" w:type="dxa"/>
            <w:shd w:val="clear" w:color="auto" w:fill="auto"/>
          </w:tcPr>
          <w:p w14:paraId="29F60292" w14:textId="77777777" w:rsidR="00F41270" w:rsidRPr="007F78CE" w:rsidRDefault="00F41270" w:rsidP="007F78CE">
            <w:pPr>
              <w:spacing w:after="0" w:line="240" w:lineRule="auto"/>
              <w:jc w:val="both"/>
              <w:rPr>
                <w:rFonts w:ascii="Arial" w:hAnsi="Arial" w:cs="Arial"/>
                <w:lang w:val="en-US"/>
              </w:rPr>
            </w:pPr>
            <w:r w:rsidRPr="007F78CE">
              <w:rPr>
                <w:rFonts w:ascii="Arial" w:hAnsi="Arial" w:cs="Arial"/>
                <w:lang w:val="en-US"/>
              </w:rPr>
              <w:t>Vatovavy</w:t>
            </w:r>
          </w:p>
        </w:tc>
        <w:tc>
          <w:tcPr>
            <w:tcW w:w="3747" w:type="dxa"/>
            <w:shd w:val="clear" w:color="auto" w:fill="auto"/>
          </w:tcPr>
          <w:p w14:paraId="5DCD54BB" w14:textId="77777777" w:rsidR="00F41270" w:rsidRPr="007F78CE" w:rsidRDefault="00F41270" w:rsidP="007F78CE">
            <w:pPr>
              <w:spacing w:after="0" w:line="240" w:lineRule="auto"/>
              <w:jc w:val="both"/>
              <w:rPr>
                <w:rFonts w:ascii="Arial" w:hAnsi="Arial" w:cs="Arial"/>
                <w:lang w:val="en-US"/>
              </w:rPr>
            </w:pPr>
            <w:r w:rsidRPr="007F78CE">
              <w:rPr>
                <w:rFonts w:ascii="Arial" w:hAnsi="Arial" w:cs="Arial"/>
                <w:lang w:val="en-US"/>
              </w:rPr>
              <w:t>Nosy Varika</w:t>
            </w:r>
          </w:p>
          <w:p w14:paraId="293884E5" w14:textId="77777777" w:rsidR="00F41270" w:rsidRPr="007F78CE" w:rsidRDefault="00F41270" w:rsidP="007F78CE">
            <w:pPr>
              <w:spacing w:after="0" w:line="240" w:lineRule="auto"/>
              <w:jc w:val="both"/>
              <w:rPr>
                <w:rFonts w:ascii="Arial" w:hAnsi="Arial" w:cs="Arial"/>
                <w:lang w:val="en-US"/>
              </w:rPr>
            </w:pPr>
            <w:r w:rsidRPr="007F78CE">
              <w:rPr>
                <w:rFonts w:ascii="Arial" w:hAnsi="Arial" w:cs="Arial"/>
                <w:lang w:val="en-US"/>
              </w:rPr>
              <w:t>Mananjary</w:t>
            </w:r>
          </w:p>
        </w:tc>
      </w:tr>
      <w:tr w:rsidR="00F41270" w:rsidRPr="007F78CE" w14:paraId="753FA9D8" w14:textId="77777777" w:rsidTr="007F78CE">
        <w:trPr>
          <w:jc w:val="center"/>
        </w:trPr>
        <w:tc>
          <w:tcPr>
            <w:tcW w:w="2552" w:type="dxa"/>
            <w:shd w:val="clear" w:color="auto" w:fill="auto"/>
          </w:tcPr>
          <w:p w14:paraId="0910E503" w14:textId="77777777" w:rsidR="00F41270" w:rsidRPr="007F78CE" w:rsidRDefault="00F41270" w:rsidP="007F78CE">
            <w:pPr>
              <w:spacing w:after="0" w:line="240" w:lineRule="auto"/>
              <w:jc w:val="both"/>
              <w:rPr>
                <w:rFonts w:ascii="Arial" w:hAnsi="Arial" w:cs="Arial"/>
                <w:lang w:val="en-US"/>
              </w:rPr>
            </w:pPr>
            <w:r w:rsidRPr="007F78CE">
              <w:rPr>
                <w:rFonts w:ascii="Arial" w:hAnsi="Arial" w:cs="Arial"/>
                <w:lang w:val="en-US"/>
              </w:rPr>
              <w:t>Atsimo Atsinana</w:t>
            </w:r>
            <w:r w:rsidR="00ED039B">
              <w:rPr>
                <w:rFonts w:ascii="Arial" w:hAnsi="Arial" w:cs="Arial"/>
                <w:lang w:val="en-US"/>
              </w:rPr>
              <w:t>na</w:t>
            </w:r>
          </w:p>
        </w:tc>
        <w:tc>
          <w:tcPr>
            <w:tcW w:w="3747" w:type="dxa"/>
            <w:shd w:val="clear" w:color="auto" w:fill="auto"/>
          </w:tcPr>
          <w:p w14:paraId="682E582A" w14:textId="77777777" w:rsidR="00F41270" w:rsidRPr="007F78CE" w:rsidRDefault="00F41270" w:rsidP="007F78CE">
            <w:pPr>
              <w:spacing w:after="0" w:line="240" w:lineRule="auto"/>
              <w:jc w:val="both"/>
              <w:rPr>
                <w:rFonts w:ascii="Arial" w:hAnsi="Arial" w:cs="Arial"/>
                <w:lang w:val="en-US"/>
              </w:rPr>
            </w:pPr>
            <w:r w:rsidRPr="007F78CE">
              <w:rPr>
                <w:rFonts w:ascii="Arial" w:hAnsi="Arial" w:cs="Arial"/>
                <w:lang w:val="en-US"/>
              </w:rPr>
              <w:t>Farafangana</w:t>
            </w:r>
          </w:p>
          <w:p w14:paraId="54F92650" w14:textId="77777777" w:rsidR="00F41270" w:rsidRPr="007F78CE" w:rsidRDefault="00F41270" w:rsidP="007F78CE">
            <w:pPr>
              <w:spacing w:after="0" w:line="240" w:lineRule="auto"/>
              <w:jc w:val="both"/>
              <w:rPr>
                <w:rFonts w:ascii="Arial" w:hAnsi="Arial" w:cs="Arial"/>
                <w:lang w:val="en-US"/>
              </w:rPr>
            </w:pPr>
            <w:r w:rsidRPr="007F78CE">
              <w:rPr>
                <w:rFonts w:ascii="Arial" w:hAnsi="Arial" w:cs="Arial"/>
                <w:lang w:val="en-US"/>
              </w:rPr>
              <w:t>Va</w:t>
            </w:r>
            <w:r w:rsidR="002D11EB">
              <w:rPr>
                <w:rFonts w:ascii="Arial" w:hAnsi="Arial" w:cs="Arial"/>
                <w:lang w:val="en-US"/>
              </w:rPr>
              <w:t>i</w:t>
            </w:r>
            <w:r w:rsidRPr="007F78CE">
              <w:rPr>
                <w:rFonts w:ascii="Arial" w:hAnsi="Arial" w:cs="Arial"/>
                <w:lang w:val="en-US"/>
              </w:rPr>
              <w:t>ngandrano</w:t>
            </w:r>
          </w:p>
        </w:tc>
      </w:tr>
      <w:tr w:rsidR="00F41270" w:rsidRPr="007F78CE" w14:paraId="627A66A4" w14:textId="77777777" w:rsidTr="007F78CE">
        <w:trPr>
          <w:jc w:val="center"/>
        </w:trPr>
        <w:tc>
          <w:tcPr>
            <w:tcW w:w="2552" w:type="dxa"/>
            <w:shd w:val="clear" w:color="auto" w:fill="auto"/>
          </w:tcPr>
          <w:p w14:paraId="2663BB0E" w14:textId="77777777" w:rsidR="00F41270" w:rsidRPr="007F78CE" w:rsidRDefault="00F41270" w:rsidP="007F78CE">
            <w:pPr>
              <w:spacing w:after="0" w:line="240" w:lineRule="auto"/>
              <w:jc w:val="both"/>
              <w:rPr>
                <w:rFonts w:ascii="Arial" w:hAnsi="Arial" w:cs="Arial"/>
                <w:lang w:val="en-US"/>
              </w:rPr>
            </w:pPr>
            <w:r w:rsidRPr="007F78CE">
              <w:rPr>
                <w:rFonts w:ascii="Arial" w:hAnsi="Arial" w:cs="Arial"/>
                <w:lang w:val="en-US"/>
              </w:rPr>
              <w:t>Atsimo Andrefana</w:t>
            </w:r>
          </w:p>
        </w:tc>
        <w:tc>
          <w:tcPr>
            <w:tcW w:w="3747" w:type="dxa"/>
            <w:shd w:val="clear" w:color="auto" w:fill="auto"/>
          </w:tcPr>
          <w:p w14:paraId="5B0BDE07" w14:textId="77777777" w:rsidR="00F41270" w:rsidRPr="007F78CE" w:rsidRDefault="00F41270" w:rsidP="007F78CE">
            <w:pPr>
              <w:spacing w:after="0" w:line="240" w:lineRule="auto"/>
              <w:jc w:val="both"/>
              <w:rPr>
                <w:rFonts w:ascii="Arial" w:hAnsi="Arial" w:cs="Arial"/>
                <w:lang w:val="en-US"/>
              </w:rPr>
            </w:pPr>
            <w:r w:rsidRPr="007F78CE">
              <w:rPr>
                <w:rFonts w:ascii="Arial" w:hAnsi="Arial" w:cs="Arial"/>
                <w:lang w:val="en-US"/>
              </w:rPr>
              <w:t>Toliara II</w:t>
            </w:r>
          </w:p>
          <w:p w14:paraId="7151997E" w14:textId="77777777" w:rsidR="00F41270" w:rsidRPr="007F78CE" w:rsidRDefault="00F41270" w:rsidP="007F78CE">
            <w:pPr>
              <w:spacing w:after="0" w:line="240" w:lineRule="auto"/>
              <w:jc w:val="both"/>
              <w:rPr>
                <w:rFonts w:ascii="Arial" w:hAnsi="Arial" w:cs="Arial"/>
                <w:lang w:val="en-US"/>
              </w:rPr>
            </w:pPr>
            <w:r w:rsidRPr="007F78CE">
              <w:rPr>
                <w:rFonts w:ascii="Arial" w:hAnsi="Arial" w:cs="Arial"/>
                <w:lang w:val="en-US"/>
              </w:rPr>
              <w:t>Betioky Atsimo</w:t>
            </w:r>
          </w:p>
        </w:tc>
      </w:tr>
      <w:tr w:rsidR="00F41270" w:rsidRPr="007F78CE" w14:paraId="76C2F08F" w14:textId="77777777" w:rsidTr="007F78CE">
        <w:trPr>
          <w:jc w:val="center"/>
        </w:trPr>
        <w:tc>
          <w:tcPr>
            <w:tcW w:w="2552" w:type="dxa"/>
            <w:shd w:val="clear" w:color="auto" w:fill="auto"/>
          </w:tcPr>
          <w:p w14:paraId="0CC082C3" w14:textId="77777777" w:rsidR="00F41270" w:rsidRPr="007F78CE" w:rsidRDefault="00F41270" w:rsidP="007F78CE">
            <w:pPr>
              <w:spacing w:after="0" w:line="240" w:lineRule="auto"/>
              <w:jc w:val="both"/>
              <w:rPr>
                <w:rFonts w:ascii="Arial" w:hAnsi="Arial" w:cs="Arial"/>
                <w:lang w:val="en-US"/>
              </w:rPr>
            </w:pPr>
            <w:r w:rsidRPr="007F78CE">
              <w:rPr>
                <w:rFonts w:ascii="Arial" w:hAnsi="Arial" w:cs="Arial"/>
                <w:lang w:val="en-US"/>
              </w:rPr>
              <w:t>Analanjiro</w:t>
            </w:r>
            <w:r w:rsidR="002D11EB">
              <w:rPr>
                <w:rFonts w:ascii="Arial" w:hAnsi="Arial" w:cs="Arial"/>
                <w:lang w:val="en-US"/>
              </w:rPr>
              <w:t>f</w:t>
            </w:r>
            <w:r w:rsidRPr="007F78CE">
              <w:rPr>
                <w:rFonts w:ascii="Arial" w:hAnsi="Arial" w:cs="Arial"/>
                <w:lang w:val="en-US"/>
              </w:rPr>
              <w:t>o</w:t>
            </w:r>
          </w:p>
        </w:tc>
        <w:tc>
          <w:tcPr>
            <w:tcW w:w="3747" w:type="dxa"/>
            <w:shd w:val="clear" w:color="auto" w:fill="auto"/>
          </w:tcPr>
          <w:p w14:paraId="50653CDE" w14:textId="77777777" w:rsidR="00F41270" w:rsidRPr="007F78CE" w:rsidRDefault="00F41270" w:rsidP="007F78CE">
            <w:pPr>
              <w:spacing w:after="0" w:line="240" w:lineRule="auto"/>
              <w:jc w:val="both"/>
              <w:rPr>
                <w:rFonts w:ascii="Arial" w:hAnsi="Arial" w:cs="Arial"/>
                <w:lang w:val="en-US"/>
              </w:rPr>
            </w:pPr>
            <w:r w:rsidRPr="007F78CE">
              <w:rPr>
                <w:rFonts w:ascii="Arial" w:hAnsi="Arial" w:cs="Arial"/>
                <w:lang w:val="en-US"/>
              </w:rPr>
              <w:t>Soanierana Ivongo</w:t>
            </w:r>
          </w:p>
          <w:p w14:paraId="56DCFC2B" w14:textId="77777777" w:rsidR="00F41270" w:rsidRPr="007F78CE" w:rsidRDefault="00F41270" w:rsidP="007F78CE">
            <w:pPr>
              <w:spacing w:after="0" w:line="240" w:lineRule="auto"/>
              <w:jc w:val="both"/>
              <w:rPr>
                <w:rFonts w:ascii="Arial" w:hAnsi="Arial" w:cs="Arial"/>
                <w:lang w:val="en-US"/>
              </w:rPr>
            </w:pPr>
            <w:r w:rsidRPr="007F78CE">
              <w:rPr>
                <w:rFonts w:ascii="Arial" w:hAnsi="Arial" w:cs="Arial"/>
                <w:lang w:val="en-US"/>
              </w:rPr>
              <w:t>Maroantsetra</w:t>
            </w:r>
          </w:p>
        </w:tc>
      </w:tr>
    </w:tbl>
    <w:p w14:paraId="2F939037" w14:textId="77777777" w:rsidR="00B5475C" w:rsidRPr="002D4A3D" w:rsidRDefault="00F41270" w:rsidP="002D4A3D">
      <w:pPr>
        <w:ind w:left="1418"/>
        <w:jc w:val="both"/>
        <w:rPr>
          <w:rFonts w:ascii="Arial" w:hAnsi="Arial" w:cs="Arial"/>
          <w:i/>
          <w:sz w:val="16"/>
          <w:lang w:val="en-US"/>
        </w:rPr>
      </w:pPr>
      <w:r w:rsidRPr="00F41270">
        <w:rPr>
          <w:rFonts w:ascii="Arial" w:hAnsi="Arial" w:cs="Arial"/>
          <w:i/>
          <w:sz w:val="16"/>
          <w:lang w:val="en-US"/>
        </w:rPr>
        <w:t>Source: CPGU 2020</w:t>
      </w:r>
    </w:p>
    <w:p w14:paraId="4B1067F8" w14:textId="77777777" w:rsidR="00C57A96" w:rsidRPr="006623E9" w:rsidRDefault="00C57A96" w:rsidP="0044500E">
      <w:pPr>
        <w:pStyle w:val="TIT3"/>
        <w:numPr>
          <w:ilvl w:val="2"/>
          <w:numId w:val="177"/>
        </w:numPr>
      </w:pPr>
      <w:bookmarkStart w:id="271" w:name="_Toc124314651"/>
      <w:bookmarkStart w:id="272" w:name="_Toc124956130"/>
      <w:bookmarkStart w:id="273" w:name="_Toc125384529"/>
      <w:bookmarkStart w:id="274" w:name="_Toc125384918"/>
      <w:bookmarkStart w:id="275" w:name="_Toc127957590"/>
      <w:r w:rsidRPr="006623E9">
        <w:t>Changement climatique</w:t>
      </w:r>
      <w:bookmarkEnd w:id="271"/>
      <w:bookmarkEnd w:id="272"/>
      <w:bookmarkEnd w:id="273"/>
      <w:bookmarkEnd w:id="274"/>
      <w:bookmarkEnd w:id="275"/>
      <w:r w:rsidRPr="006623E9">
        <w:t xml:space="preserve"> </w:t>
      </w:r>
    </w:p>
    <w:p w14:paraId="4F7174B4" w14:textId="77777777" w:rsidR="00C57A96" w:rsidRPr="00497A8F" w:rsidRDefault="00C57A96" w:rsidP="00C57A96">
      <w:pPr>
        <w:shd w:val="clear" w:color="auto" w:fill="FFFFFF"/>
        <w:spacing w:after="100" w:afterAutospacing="1" w:line="240" w:lineRule="auto"/>
        <w:jc w:val="both"/>
        <w:rPr>
          <w:rFonts w:ascii="Arial" w:eastAsia="Times New Roman" w:hAnsi="Arial" w:cs="Arial"/>
          <w:color w:val="131B13"/>
          <w:szCs w:val="24"/>
          <w:lang w:eastAsia="fr-FR"/>
        </w:rPr>
      </w:pPr>
      <w:r w:rsidRPr="00497A8F">
        <w:rPr>
          <w:rFonts w:ascii="Arial" w:eastAsia="Times New Roman" w:hAnsi="Arial" w:cs="Arial"/>
          <w:color w:val="131B13"/>
          <w:szCs w:val="24"/>
          <w:lang w:eastAsia="fr-FR"/>
        </w:rPr>
        <w:t>D’après l’UNICEF en 2021</w:t>
      </w:r>
      <w:r w:rsidRPr="00497A8F">
        <w:rPr>
          <w:rStyle w:val="Appelnotedebasdep"/>
          <w:rFonts w:ascii="Arial" w:eastAsia="Times New Roman" w:hAnsi="Arial" w:cs="Arial"/>
          <w:color w:val="131B13"/>
          <w:szCs w:val="24"/>
          <w:lang w:eastAsia="fr-FR"/>
        </w:rPr>
        <w:footnoteReference w:id="25"/>
      </w:r>
      <w:r w:rsidR="002F45B5">
        <w:rPr>
          <w:rFonts w:ascii="Arial" w:eastAsia="Times New Roman" w:hAnsi="Arial" w:cs="Arial"/>
          <w:color w:val="131B13"/>
          <w:szCs w:val="24"/>
          <w:lang w:eastAsia="fr-FR"/>
        </w:rPr>
        <w:t xml:space="preserve">, </w:t>
      </w:r>
      <w:r w:rsidRPr="00497A8F">
        <w:rPr>
          <w:rFonts w:ascii="Arial" w:eastAsia="Times New Roman" w:hAnsi="Arial" w:cs="Arial"/>
          <w:color w:val="131B13"/>
          <w:szCs w:val="24"/>
          <w:lang w:eastAsia="fr-FR"/>
        </w:rPr>
        <w:t>Madagascar est</w:t>
      </w:r>
      <w:r>
        <w:rPr>
          <w:rFonts w:ascii="Arial" w:eastAsia="Times New Roman" w:hAnsi="Arial" w:cs="Arial"/>
          <w:color w:val="131B13"/>
          <w:szCs w:val="24"/>
          <w:lang w:eastAsia="fr-FR"/>
        </w:rPr>
        <w:t xml:space="preserve"> classé </w:t>
      </w:r>
      <w:r w:rsidRPr="00497A8F">
        <w:rPr>
          <w:rFonts w:ascii="Arial" w:eastAsia="Times New Roman" w:hAnsi="Arial" w:cs="Arial"/>
          <w:color w:val="131B13"/>
          <w:szCs w:val="24"/>
          <w:lang w:eastAsia="fr-FR"/>
        </w:rPr>
        <w:t xml:space="preserve">parmi les pays les plus vulnérables au changement climatique. </w:t>
      </w:r>
    </w:p>
    <w:p w14:paraId="4E96EE8A" w14:textId="77777777" w:rsidR="00C57A96" w:rsidRPr="00497A8F" w:rsidRDefault="00C57A96" w:rsidP="00C57A96">
      <w:pPr>
        <w:shd w:val="clear" w:color="auto" w:fill="FFFFFF"/>
        <w:spacing w:after="100" w:afterAutospacing="1" w:line="240" w:lineRule="auto"/>
        <w:jc w:val="both"/>
        <w:rPr>
          <w:rFonts w:ascii="Arial" w:eastAsia="Times New Roman" w:hAnsi="Arial" w:cs="Arial"/>
          <w:color w:val="131B13"/>
          <w:szCs w:val="24"/>
          <w:lang w:eastAsia="fr-FR"/>
        </w:rPr>
      </w:pPr>
      <w:r w:rsidRPr="00497A8F">
        <w:rPr>
          <w:rFonts w:ascii="Arial" w:eastAsia="Times New Roman" w:hAnsi="Arial" w:cs="Arial"/>
          <w:color w:val="131B13"/>
          <w:szCs w:val="24"/>
          <w:lang w:eastAsia="fr-FR"/>
        </w:rPr>
        <w:t>Selon le service météorologique</w:t>
      </w:r>
      <w:r>
        <w:rPr>
          <w:rStyle w:val="Appelnotedebasdep"/>
          <w:rFonts w:ascii="Arial" w:eastAsia="Times New Roman" w:hAnsi="Arial" w:cs="Arial"/>
          <w:color w:val="131B13"/>
          <w:szCs w:val="24"/>
          <w:lang w:eastAsia="fr-FR"/>
        </w:rPr>
        <w:footnoteReference w:id="26"/>
      </w:r>
      <w:r w:rsidRPr="00497A8F">
        <w:rPr>
          <w:rFonts w:ascii="Arial" w:eastAsia="Times New Roman" w:hAnsi="Arial" w:cs="Arial"/>
          <w:color w:val="131B13"/>
          <w:szCs w:val="24"/>
          <w:lang w:eastAsia="fr-FR"/>
        </w:rPr>
        <w:t>, le réchauffement a commencé dans la partie Sud dès 1950 et s’est étendu au Nord à partir de 1970. En l’an 2000, le niveau de réchauffement de la partie Sud de Madagascar est plus important que celui du Nord. Le réchauffement se manifeste par l’augmentation des températures extrêmes (surtout pour les températures minimales).</w:t>
      </w:r>
      <w:r>
        <w:rPr>
          <w:rFonts w:ascii="Arial" w:eastAsia="Times New Roman" w:hAnsi="Arial" w:cs="Arial"/>
          <w:color w:val="131B13"/>
          <w:szCs w:val="24"/>
          <w:lang w:eastAsia="fr-FR"/>
        </w:rPr>
        <w:t xml:space="preserve"> </w:t>
      </w:r>
    </w:p>
    <w:p w14:paraId="0F49F31C" w14:textId="77777777" w:rsidR="00C57A96" w:rsidRPr="00497A8F" w:rsidRDefault="00C57A96" w:rsidP="00C57A96">
      <w:pPr>
        <w:shd w:val="clear" w:color="auto" w:fill="FFFFFF"/>
        <w:spacing w:after="100" w:afterAutospacing="1" w:line="240" w:lineRule="auto"/>
        <w:jc w:val="both"/>
        <w:rPr>
          <w:rFonts w:ascii="Arial" w:eastAsia="Times New Roman" w:hAnsi="Arial" w:cs="Arial"/>
          <w:color w:val="131B13"/>
          <w:szCs w:val="24"/>
          <w:lang w:eastAsia="fr-FR"/>
        </w:rPr>
      </w:pPr>
      <w:r w:rsidRPr="00497A8F">
        <w:rPr>
          <w:rFonts w:ascii="Arial" w:eastAsia="Times New Roman" w:hAnsi="Arial" w:cs="Arial"/>
          <w:color w:val="131B13"/>
          <w:szCs w:val="24"/>
          <w:lang w:eastAsia="fr-FR"/>
        </w:rPr>
        <w:t xml:space="preserve">Les séquences sèches s’allongent sur les Hautes Terres </w:t>
      </w:r>
      <w:r w:rsidR="002F45B5">
        <w:rPr>
          <w:rFonts w:ascii="Arial" w:eastAsia="Times New Roman" w:hAnsi="Arial" w:cs="Arial"/>
          <w:color w:val="131B13"/>
          <w:szCs w:val="24"/>
          <w:lang w:eastAsia="fr-FR"/>
        </w:rPr>
        <w:t>c</w:t>
      </w:r>
      <w:r w:rsidRPr="00497A8F">
        <w:rPr>
          <w:rFonts w:ascii="Arial" w:eastAsia="Times New Roman" w:hAnsi="Arial" w:cs="Arial"/>
          <w:color w:val="131B13"/>
          <w:szCs w:val="24"/>
          <w:lang w:eastAsia="fr-FR"/>
        </w:rPr>
        <w:t>entrales ainsi que sur la côte Est. Cela se remarque par le recul de la saison de pluie. Les précipitations deviennent de plus en plus intenses sur la partie Ouest. Pour la partie Sud, les précipitations augmentent avec la température. Dans la partie Nord, les précipitations augmentent quand la température diminue. Bref, au cours des 100 dernières années, le niveau des précipitations à Madagascar a connu une grande variabilité qui est essentiellement marqué</w:t>
      </w:r>
      <w:r w:rsidR="002F45B5">
        <w:rPr>
          <w:rFonts w:ascii="Arial" w:eastAsia="Times New Roman" w:hAnsi="Arial" w:cs="Arial"/>
          <w:color w:val="131B13"/>
          <w:szCs w:val="24"/>
          <w:lang w:eastAsia="fr-FR"/>
        </w:rPr>
        <w:t xml:space="preserve">e </w:t>
      </w:r>
      <w:r w:rsidRPr="00497A8F">
        <w:rPr>
          <w:rFonts w:ascii="Arial" w:eastAsia="Times New Roman" w:hAnsi="Arial" w:cs="Arial"/>
          <w:color w:val="131B13"/>
          <w:szCs w:val="24"/>
          <w:lang w:eastAsia="fr-FR"/>
        </w:rPr>
        <w:t>par un allongement des séquences sèches.</w:t>
      </w:r>
    </w:p>
    <w:p w14:paraId="23003DE2" w14:textId="77777777" w:rsidR="00C57A96" w:rsidRPr="00497A8F" w:rsidRDefault="00C57A96" w:rsidP="00C57A96">
      <w:pPr>
        <w:shd w:val="clear" w:color="auto" w:fill="FFFFFF"/>
        <w:spacing w:after="100" w:afterAutospacing="1" w:line="240" w:lineRule="auto"/>
        <w:jc w:val="both"/>
        <w:rPr>
          <w:rFonts w:ascii="Arial" w:eastAsia="Times New Roman" w:hAnsi="Arial" w:cs="Arial"/>
          <w:color w:val="131B13"/>
          <w:szCs w:val="24"/>
          <w:lang w:eastAsia="fr-FR"/>
        </w:rPr>
      </w:pPr>
      <w:r w:rsidRPr="00497A8F">
        <w:rPr>
          <w:rFonts w:ascii="Arial" w:eastAsia="Times New Roman" w:hAnsi="Arial" w:cs="Arial"/>
          <w:color w:val="131B13"/>
          <w:szCs w:val="24"/>
          <w:lang w:eastAsia="fr-FR"/>
        </w:rPr>
        <w:t xml:space="preserve">Ces 25 dernières années, le nombre moyen annuel de cyclones qui touchent Madagascar n’a pas changé, mais le nombre de cyclones intenses (vents supérieurs à 150 km/h) a augmenté. </w:t>
      </w:r>
      <w:r w:rsidR="002F45B5">
        <w:rPr>
          <w:rFonts w:ascii="Arial" w:eastAsia="Times New Roman" w:hAnsi="Arial" w:cs="Arial"/>
          <w:color w:val="131B13"/>
          <w:szCs w:val="24"/>
          <w:lang w:eastAsia="fr-FR"/>
        </w:rPr>
        <w:t>À</w:t>
      </w:r>
      <w:r w:rsidRPr="00497A8F">
        <w:rPr>
          <w:rFonts w:ascii="Arial" w:eastAsia="Times New Roman" w:hAnsi="Arial" w:cs="Arial"/>
          <w:color w:val="131B13"/>
          <w:szCs w:val="24"/>
          <w:lang w:eastAsia="fr-FR"/>
        </w:rPr>
        <w:t xml:space="preserve"> partir de 1994, ces cyclones intenses ont touché une plus grande partie du territoire et la zone la plus touchée a migré vers le Nord, essentiellement vers le Nord-Est.</w:t>
      </w:r>
    </w:p>
    <w:p w14:paraId="5B52D03B" w14:textId="77777777" w:rsidR="00FE67B4" w:rsidRDefault="00FE67B4" w:rsidP="00FE67B4">
      <w:pPr>
        <w:shd w:val="clear" w:color="auto" w:fill="FFFFFF"/>
        <w:spacing w:after="100" w:afterAutospacing="1" w:line="240" w:lineRule="auto"/>
        <w:jc w:val="both"/>
        <w:rPr>
          <w:rFonts w:ascii="Arial" w:eastAsia="Times New Roman" w:hAnsi="Arial" w:cs="Arial"/>
          <w:color w:val="131B13"/>
          <w:szCs w:val="24"/>
          <w:lang w:eastAsia="fr-FR"/>
        </w:rPr>
      </w:pPr>
      <w:r>
        <w:rPr>
          <w:rFonts w:ascii="Arial" w:eastAsia="Times New Roman" w:hAnsi="Arial" w:cs="Arial"/>
          <w:color w:val="131B13"/>
          <w:szCs w:val="24"/>
          <w:lang w:eastAsia="fr-FR"/>
        </w:rPr>
        <w:t>Ainsi d</w:t>
      </w:r>
      <w:r w:rsidRPr="00C57A96">
        <w:rPr>
          <w:rFonts w:ascii="Arial" w:eastAsia="Times New Roman" w:hAnsi="Arial" w:cs="Arial"/>
          <w:color w:val="131B13"/>
          <w:szCs w:val="24"/>
          <w:lang w:eastAsia="fr-FR"/>
        </w:rPr>
        <w:t xml:space="preserve">es perturbations des régimes climatiques pourraient se manifester par un raccourcissement de la saison sèche, un allongement de périodes de sècheresse, une augmentation de la pluviosité dans les régions des tropiques où la pluviométrie est déjà </w:t>
      </w:r>
      <w:r w:rsidRPr="00C57A96">
        <w:rPr>
          <w:rFonts w:ascii="Arial" w:eastAsia="Times New Roman" w:hAnsi="Arial" w:cs="Arial"/>
          <w:color w:val="131B13"/>
          <w:szCs w:val="24"/>
          <w:lang w:eastAsia="fr-FR"/>
        </w:rPr>
        <w:lastRenderedPageBreak/>
        <w:t>élevée, des tempêtes plus fréquentes et plus violentes découlant de l’augmentation de la température et de l’humidité de l’air.</w:t>
      </w:r>
    </w:p>
    <w:p w14:paraId="130B4C11" w14:textId="77777777" w:rsidR="00592898" w:rsidRPr="00592898" w:rsidRDefault="00F477F4" w:rsidP="0044500E">
      <w:pPr>
        <w:pStyle w:val="TIT3"/>
        <w:numPr>
          <w:ilvl w:val="2"/>
          <w:numId w:val="177"/>
        </w:numPr>
      </w:pPr>
      <w:bookmarkStart w:id="276" w:name="_Toc124314652"/>
      <w:bookmarkStart w:id="277" w:name="_Toc124956131"/>
      <w:bookmarkStart w:id="278" w:name="_Toc125384530"/>
      <w:bookmarkStart w:id="279" w:name="_Toc125384919"/>
      <w:bookmarkStart w:id="280" w:name="_Toc127957591"/>
      <w:r>
        <w:t>Relief et gé</w:t>
      </w:r>
      <w:r w:rsidR="00592898" w:rsidRPr="00592898">
        <w:t>omorphologie</w:t>
      </w:r>
      <w:bookmarkEnd w:id="276"/>
      <w:bookmarkEnd w:id="277"/>
      <w:bookmarkEnd w:id="278"/>
      <w:bookmarkEnd w:id="279"/>
      <w:bookmarkEnd w:id="280"/>
      <w:r w:rsidR="00592898" w:rsidRPr="00592898">
        <w:t xml:space="preserve"> </w:t>
      </w:r>
    </w:p>
    <w:p w14:paraId="3371D97B" w14:textId="77777777" w:rsidR="002F45B5" w:rsidRPr="0017227E" w:rsidRDefault="002F45B5" w:rsidP="002F45B5">
      <w:pPr>
        <w:jc w:val="both"/>
        <w:rPr>
          <w:rFonts w:ascii="Arial" w:hAnsi="Arial" w:cs="Arial"/>
        </w:rPr>
      </w:pPr>
      <w:r w:rsidRPr="0017227E">
        <w:rPr>
          <w:rFonts w:ascii="Arial" w:hAnsi="Arial" w:cs="Arial"/>
        </w:rPr>
        <w:t>Madagascar est c</w:t>
      </w:r>
      <w:r w:rsidR="00ED039B">
        <w:rPr>
          <w:rFonts w:ascii="Arial" w:hAnsi="Arial" w:cs="Arial"/>
        </w:rPr>
        <w:t>a</w:t>
      </w:r>
      <w:r w:rsidRPr="0017227E">
        <w:rPr>
          <w:rFonts w:ascii="Arial" w:hAnsi="Arial" w:cs="Arial"/>
        </w:rPr>
        <w:t>ra</w:t>
      </w:r>
      <w:r w:rsidR="00ED039B">
        <w:rPr>
          <w:rFonts w:ascii="Arial" w:hAnsi="Arial" w:cs="Arial"/>
        </w:rPr>
        <w:t>c</w:t>
      </w:r>
      <w:r w:rsidRPr="0017227E">
        <w:rPr>
          <w:rFonts w:ascii="Arial" w:hAnsi="Arial" w:cs="Arial"/>
        </w:rPr>
        <w:t>térisé par un relief accidenté et ne présente que très peu de surface</w:t>
      </w:r>
      <w:r w:rsidR="004B776B">
        <w:rPr>
          <w:rFonts w:ascii="Arial" w:hAnsi="Arial" w:cs="Arial"/>
        </w:rPr>
        <w:t>s</w:t>
      </w:r>
      <w:r w:rsidRPr="0017227E">
        <w:rPr>
          <w:rFonts w:ascii="Arial" w:hAnsi="Arial" w:cs="Arial"/>
        </w:rPr>
        <w:t xml:space="preserve"> plane</w:t>
      </w:r>
      <w:r w:rsidR="004B776B">
        <w:rPr>
          <w:rFonts w:ascii="Arial" w:hAnsi="Arial" w:cs="Arial"/>
        </w:rPr>
        <w:t>s</w:t>
      </w:r>
      <w:r w:rsidR="00801D80">
        <w:rPr>
          <w:rFonts w:ascii="Arial" w:hAnsi="Arial" w:cs="Arial"/>
        </w:rPr>
        <w:t xml:space="preserve"> (cf carte ci-dessous)</w:t>
      </w:r>
      <w:r w:rsidRPr="0017227E">
        <w:rPr>
          <w:rFonts w:ascii="Arial" w:hAnsi="Arial" w:cs="Arial"/>
        </w:rPr>
        <w:t>. Avec une longueur de 1.500 km du Nord au Sud et 500 km environ d'Est en Ouest, l'île est constituée par un ensemble de hautes terres occupant les 2/3 du pays. Les plus hauts massifs sont localisés sur un axe Nord-Sud décentré vers l'Est, ce qui explique la dissymétrie entre l'Ouest et l'Est de l'île</w:t>
      </w:r>
    </w:p>
    <w:p w14:paraId="31B10B17" w14:textId="77777777" w:rsidR="002F45B5" w:rsidRPr="0017227E" w:rsidRDefault="002F45B5" w:rsidP="002F45B5">
      <w:pPr>
        <w:jc w:val="both"/>
        <w:rPr>
          <w:rFonts w:ascii="Arial" w:hAnsi="Arial" w:cs="Arial"/>
        </w:rPr>
      </w:pPr>
      <w:r w:rsidRPr="0017227E">
        <w:rPr>
          <w:rFonts w:ascii="Arial" w:hAnsi="Arial" w:cs="Arial"/>
        </w:rPr>
        <w:t>Les Hautes Terres présente</w:t>
      </w:r>
      <w:r w:rsidR="002D11EB">
        <w:rPr>
          <w:rFonts w:ascii="Arial" w:hAnsi="Arial" w:cs="Arial"/>
        </w:rPr>
        <w:t>nt</w:t>
      </w:r>
      <w:r w:rsidRPr="0017227E">
        <w:rPr>
          <w:rFonts w:ascii="Arial" w:hAnsi="Arial" w:cs="Arial"/>
        </w:rPr>
        <w:t xml:space="preserve"> un relief tourmenté, </w:t>
      </w:r>
      <w:r w:rsidR="004B776B">
        <w:rPr>
          <w:rFonts w:ascii="Arial" w:hAnsi="Arial" w:cs="Arial"/>
        </w:rPr>
        <w:t xml:space="preserve">qui </w:t>
      </w:r>
      <w:r w:rsidRPr="0017227E">
        <w:rPr>
          <w:rFonts w:ascii="Arial" w:hAnsi="Arial" w:cs="Arial"/>
        </w:rPr>
        <w:t>correspond au socle précambrien soulevé, faillé et soumis à l'érosion, s'élevant en moyenne entre 800 m et 1.600 m d'altitude ; les hauts reliefs culminent à plus de 2.500 m (Tsaratanana, Andringitra</w:t>
      </w:r>
      <w:r w:rsidR="00ED039B">
        <w:rPr>
          <w:rFonts w:ascii="Arial" w:hAnsi="Arial" w:cs="Arial"/>
        </w:rPr>
        <w:t>,</w:t>
      </w:r>
      <w:r w:rsidRPr="0017227E">
        <w:rPr>
          <w:rFonts w:ascii="Arial" w:hAnsi="Arial" w:cs="Arial"/>
        </w:rPr>
        <w:t xml:space="preserve"> Ankaratra).</w:t>
      </w:r>
    </w:p>
    <w:p w14:paraId="70034F2A" w14:textId="77777777" w:rsidR="00F477F4" w:rsidRPr="0017227E" w:rsidRDefault="00F477F4" w:rsidP="00F477F4">
      <w:pPr>
        <w:jc w:val="both"/>
        <w:rPr>
          <w:rFonts w:ascii="Arial" w:hAnsi="Arial" w:cs="Arial"/>
        </w:rPr>
      </w:pPr>
      <w:r w:rsidRPr="0017227E">
        <w:rPr>
          <w:rFonts w:ascii="Arial" w:hAnsi="Arial" w:cs="Arial"/>
        </w:rPr>
        <w:t xml:space="preserve">Le versant Oriental descend par un escarpement : (falaise) abrupt sur l'Océan Indien, jusqu'au niveau d'une étroite plaine côtière, </w:t>
      </w:r>
      <w:r w:rsidR="007726D3" w:rsidRPr="0017227E">
        <w:rPr>
          <w:rFonts w:ascii="Arial" w:hAnsi="Arial" w:cs="Arial"/>
        </w:rPr>
        <w:t>rectiligne</w:t>
      </w:r>
      <w:r w:rsidR="007726D3">
        <w:rPr>
          <w:rFonts w:ascii="Arial" w:hAnsi="Arial" w:cs="Arial"/>
        </w:rPr>
        <w:t>,</w:t>
      </w:r>
      <w:r w:rsidRPr="0017227E">
        <w:rPr>
          <w:rFonts w:ascii="Arial" w:hAnsi="Arial" w:cs="Arial"/>
        </w:rPr>
        <w:t xml:space="preserve"> bordée de lagunes reliées artificiellement sur une longueur de 600 km pour former le canal des Pangalanes.</w:t>
      </w:r>
    </w:p>
    <w:p w14:paraId="4A00E7FB" w14:textId="77777777" w:rsidR="00F477F4" w:rsidRPr="0017227E" w:rsidRDefault="00F477F4" w:rsidP="00F477F4">
      <w:pPr>
        <w:jc w:val="both"/>
        <w:rPr>
          <w:rFonts w:ascii="Arial" w:hAnsi="Arial" w:cs="Arial"/>
        </w:rPr>
      </w:pPr>
      <w:r w:rsidRPr="0017227E">
        <w:rPr>
          <w:rFonts w:ascii="Arial" w:hAnsi="Arial" w:cs="Arial"/>
        </w:rPr>
        <w:t>Le versant Occidental s'incline par une pente prolongée vers le canal de Mozambique. Le versant est caractérisé par l’érosion différentielle des roches sédimentaires. Il en résulte, en dehors des grands bassins de Mahajanga et de Morondava, un paysage de cuestas gréseuses ou calcaires. Les premières sont découpées par de profonds canyons ou morcelées en massifs ruiniformes</w:t>
      </w:r>
      <w:r w:rsidR="003B6BEC">
        <w:rPr>
          <w:rFonts w:ascii="Arial" w:hAnsi="Arial" w:cs="Arial"/>
        </w:rPr>
        <w:t xml:space="preserve"> </w:t>
      </w:r>
      <w:r w:rsidRPr="0017227E">
        <w:rPr>
          <w:rFonts w:ascii="Arial" w:hAnsi="Arial" w:cs="Arial"/>
        </w:rPr>
        <w:t>; les secondes ont tendance à développer des faciès karstiques plus ou moins prononcés (antsingy, grottes). La côte est découpée de bancs de coraux et d'îles particulièrement dans le Nord-Ouest.</w:t>
      </w:r>
    </w:p>
    <w:p w14:paraId="1FD06D6A" w14:textId="77777777" w:rsidR="00F477F4" w:rsidRPr="0017227E" w:rsidRDefault="00F477F4" w:rsidP="00F477F4">
      <w:pPr>
        <w:jc w:val="both"/>
        <w:rPr>
          <w:rFonts w:ascii="Arial" w:hAnsi="Arial" w:cs="Arial"/>
        </w:rPr>
      </w:pPr>
      <w:r w:rsidRPr="0017227E">
        <w:rPr>
          <w:rFonts w:ascii="Arial" w:hAnsi="Arial" w:cs="Arial"/>
        </w:rPr>
        <w:t>Les régions méridionales, enfin, prennent l'aspect d’une pénéplaine, formée à l'Est par le massif volcanique de l’Androy, à l'Ouest par le plateau calcaire du Mahafaly. Dans l'Extrême Sud, la côte est bordée par un important cordon dunaire.</w:t>
      </w:r>
    </w:p>
    <w:p w14:paraId="1A023E32" w14:textId="77777777" w:rsidR="00B63262" w:rsidRDefault="00B63262" w:rsidP="00327DB6">
      <w:pPr>
        <w:pStyle w:val="Lgende"/>
        <w:jc w:val="center"/>
        <w:rPr>
          <w:rFonts w:ascii="Arial" w:hAnsi="Arial" w:cs="Arial"/>
          <w:color w:val="FF0000"/>
        </w:rPr>
      </w:pPr>
      <w:r>
        <w:rPr>
          <w:rFonts w:ascii="Arial" w:hAnsi="Arial" w:cs="Arial"/>
          <w:color w:val="FF0000"/>
        </w:rPr>
        <w:br w:type="page"/>
      </w:r>
      <w:bookmarkStart w:id="281" w:name="_Toc125409069"/>
      <w:r w:rsidR="00813C50">
        <w:lastRenderedPageBreak/>
        <w:t xml:space="preserve">Carte </w:t>
      </w:r>
      <w:r w:rsidR="00813C50">
        <w:fldChar w:fldCharType="begin"/>
      </w:r>
      <w:r w:rsidR="00813C50">
        <w:instrText xml:space="preserve"> SEQ Carte \* ARABIC </w:instrText>
      </w:r>
      <w:r w:rsidR="00813C50">
        <w:fldChar w:fldCharType="separate"/>
      </w:r>
      <w:r w:rsidR="00813C50">
        <w:rPr>
          <w:noProof/>
        </w:rPr>
        <w:t>3</w:t>
      </w:r>
      <w:r w:rsidR="00813C50">
        <w:fldChar w:fldCharType="end"/>
      </w:r>
      <w:r w:rsidR="00813C50">
        <w:t xml:space="preserve">: </w:t>
      </w:r>
      <w:r w:rsidR="00813C50" w:rsidRPr="001A547F">
        <w:t>Relief et topographie de Madagascar</w:t>
      </w:r>
      <w:bookmarkEnd w:id="281"/>
    </w:p>
    <w:p w14:paraId="6318D0F7" w14:textId="038DA9E2" w:rsidR="00B63262" w:rsidRDefault="00E97ECD">
      <w:pPr>
        <w:rPr>
          <w:rFonts w:ascii="Arial" w:hAnsi="Arial" w:cs="Arial"/>
          <w:color w:val="FF0000"/>
        </w:rPr>
      </w:pPr>
      <w:r w:rsidRPr="00FB04F6">
        <w:rPr>
          <w:rFonts w:ascii="Arial" w:hAnsi="Arial" w:cs="Arial"/>
          <w:noProof/>
          <w:color w:val="FF0000"/>
          <w:lang w:eastAsia="fr-FR"/>
        </w:rPr>
        <w:drawing>
          <wp:inline distT="0" distB="0" distL="0" distR="0" wp14:anchorId="27BCAF61" wp14:editId="0344DAE1">
            <wp:extent cx="5762625" cy="8153400"/>
            <wp:effectExtent l="0" t="0" r="0" b="0"/>
            <wp:docPr id="2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8153400"/>
                    </a:xfrm>
                    <a:prstGeom prst="rect">
                      <a:avLst/>
                    </a:prstGeom>
                    <a:noFill/>
                    <a:ln>
                      <a:noFill/>
                    </a:ln>
                  </pic:spPr>
                </pic:pic>
              </a:graphicData>
            </a:graphic>
          </wp:inline>
        </w:drawing>
      </w:r>
    </w:p>
    <w:p w14:paraId="4A15748A" w14:textId="77777777" w:rsidR="00B63262" w:rsidRDefault="00B63262" w:rsidP="00F01166">
      <w:pPr>
        <w:spacing w:after="0"/>
        <w:rPr>
          <w:rFonts w:ascii="Arial" w:hAnsi="Arial" w:cs="Arial"/>
          <w:color w:val="FF0000"/>
        </w:rPr>
      </w:pPr>
      <w:r>
        <w:rPr>
          <w:rFonts w:ascii="Arial" w:hAnsi="Arial" w:cs="Arial"/>
          <w:color w:val="FF0000"/>
        </w:rPr>
        <w:br w:type="page"/>
      </w:r>
    </w:p>
    <w:p w14:paraId="34249FAF" w14:textId="77777777" w:rsidR="00592898" w:rsidRPr="00592898" w:rsidRDefault="00592898" w:rsidP="00F01166">
      <w:pPr>
        <w:pStyle w:val="TIT3"/>
        <w:numPr>
          <w:ilvl w:val="2"/>
          <w:numId w:val="177"/>
        </w:numPr>
        <w:spacing w:before="120" w:beforeAutospacing="0" w:after="100"/>
      </w:pPr>
      <w:bookmarkStart w:id="282" w:name="_Toc124314653"/>
      <w:bookmarkStart w:id="283" w:name="_Toc124956132"/>
      <w:bookmarkStart w:id="284" w:name="_Toc125384531"/>
      <w:bookmarkStart w:id="285" w:name="_Toc125384920"/>
      <w:bookmarkStart w:id="286" w:name="_Toc127957592"/>
      <w:r w:rsidRPr="00592898">
        <w:t>Pédologie</w:t>
      </w:r>
      <w:bookmarkEnd w:id="282"/>
      <w:bookmarkEnd w:id="283"/>
      <w:bookmarkEnd w:id="284"/>
      <w:bookmarkEnd w:id="285"/>
      <w:bookmarkEnd w:id="286"/>
      <w:r w:rsidRPr="00592898">
        <w:t xml:space="preserve"> </w:t>
      </w:r>
    </w:p>
    <w:p w14:paraId="7C0ED656" w14:textId="77777777" w:rsidR="00592898" w:rsidRDefault="00676F3B" w:rsidP="00506FFA">
      <w:pPr>
        <w:jc w:val="both"/>
        <w:rPr>
          <w:rFonts w:ascii="Arial" w:hAnsi="Arial" w:cs="Arial"/>
        </w:rPr>
      </w:pPr>
      <w:r w:rsidRPr="00506FFA">
        <w:rPr>
          <w:rFonts w:ascii="Arial" w:hAnsi="Arial" w:cs="Arial"/>
        </w:rPr>
        <w:t>RIQUIER</w:t>
      </w:r>
      <w:r w:rsidR="0056308B" w:rsidRPr="0A1598FD">
        <w:rPr>
          <w:rFonts w:ascii="Arial" w:hAnsi="Arial" w:cs="Arial"/>
        </w:rPr>
        <w:t>,</w:t>
      </w:r>
      <w:r w:rsidRPr="00506FFA">
        <w:rPr>
          <w:rFonts w:ascii="Arial" w:hAnsi="Arial" w:cs="Arial"/>
        </w:rPr>
        <w:t xml:space="preserve"> R. et </w:t>
      </w:r>
      <w:r>
        <w:rPr>
          <w:rFonts w:ascii="Arial" w:hAnsi="Arial" w:cs="Arial"/>
        </w:rPr>
        <w:t>MOUREAUX</w:t>
      </w:r>
      <w:r w:rsidR="0056308B" w:rsidRPr="0A1598FD">
        <w:rPr>
          <w:rFonts w:ascii="Arial" w:hAnsi="Arial" w:cs="Arial"/>
        </w:rPr>
        <w:t>,</w:t>
      </w:r>
      <w:r>
        <w:rPr>
          <w:rFonts w:ascii="Arial" w:hAnsi="Arial" w:cs="Arial"/>
        </w:rPr>
        <w:t xml:space="preserve"> C</w:t>
      </w:r>
      <w:r w:rsidR="0056308B" w:rsidRPr="0A1598FD">
        <w:rPr>
          <w:rFonts w:ascii="Arial" w:hAnsi="Arial" w:cs="Arial"/>
        </w:rPr>
        <w:t>.</w:t>
      </w:r>
      <w:r>
        <w:rPr>
          <w:rFonts w:ascii="Arial" w:hAnsi="Arial" w:cs="Arial"/>
        </w:rPr>
        <w:t xml:space="preserve"> en 19</w:t>
      </w:r>
      <w:r w:rsidR="00876061">
        <w:rPr>
          <w:rFonts w:ascii="Arial" w:hAnsi="Arial" w:cs="Arial"/>
        </w:rPr>
        <w:t>57</w:t>
      </w:r>
      <w:r w:rsidR="00055101">
        <w:rPr>
          <w:rStyle w:val="Appelnotedebasdep"/>
          <w:rFonts w:ascii="Arial" w:hAnsi="Arial" w:cs="Arial"/>
        </w:rPr>
        <w:footnoteReference w:id="27"/>
      </w:r>
      <w:r w:rsidR="00876061">
        <w:rPr>
          <w:rFonts w:ascii="Arial" w:hAnsi="Arial" w:cs="Arial"/>
        </w:rPr>
        <w:t xml:space="preserve"> ont classifié le sol malagasy</w:t>
      </w:r>
      <w:r>
        <w:rPr>
          <w:rFonts w:ascii="Arial" w:hAnsi="Arial" w:cs="Arial"/>
        </w:rPr>
        <w:t xml:space="preserve"> en </w:t>
      </w:r>
      <w:r w:rsidR="00506FFA">
        <w:rPr>
          <w:rFonts w:ascii="Arial" w:hAnsi="Arial" w:cs="Arial"/>
        </w:rPr>
        <w:t xml:space="preserve">six (06) grands groupes : </w:t>
      </w:r>
    </w:p>
    <w:p w14:paraId="6041924F" w14:textId="77777777" w:rsidR="00506FFA" w:rsidRPr="00506FFA" w:rsidRDefault="00ED039B" w:rsidP="00687DD2">
      <w:pPr>
        <w:pStyle w:val="Paragraphedeliste"/>
        <w:numPr>
          <w:ilvl w:val="0"/>
          <w:numId w:val="4"/>
        </w:numPr>
        <w:jc w:val="both"/>
        <w:rPr>
          <w:rFonts w:ascii="Arial" w:hAnsi="Arial" w:cs="Arial"/>
        </w:rPr>
      </w:pPr>
      <w:r>
        <w:rPr>
          <w:rFonts w:ascii="Arial" w:hAnsi="Arial" w:cs="Arial"/>
        </w:rPr>
        <w:t>S</w:t>
      </w:r>
      <w:r w:rsidR="00506FFA" w:rsidRPr="00506FFA">
        <w:rPr>
          <w:rFonts w:ascii="Arial" w:hAnsi="Arial" w:cs="Arial"/>
        </w:rPr>
        <w:t>ols ferra</w:t>
      </w:r>
      <w:r w:rsidR="003B6BEC">
        <w:rPr>
          <w:rFonts w:ascii="Arial" w:hAnsi="Arial" w:cs="Arial"/>
        </w:rPr>
        <w:t>l</w:t>
      </w:r>
      <w:r w:rsidR="00506FFA" w:rsidRPr="00506FFA">
        <w:rPr>
          <w:rFonts w:ascii="Arial" w:hAnsi="Arial" w:cs="Arial"/>
        </w:rPr>
        <w:t>litiques</w:t>
      </w:r>
      <w:r w:rsidR="003B6BEC">
        <w:rPr>
          <w:rFonts w:ascii="Arial" w:hAnsi="Arial" w:cs="Arial"/>
        </w:rPr>
        <w:t> ;</w:t>
      </w:r>
    </w:p>
    <w:p w14:paraId="4E96BE49" w14:textId="77777777" w:rsidR="00506FFA" w:rsidRPr="00506FFA" w:rsidRDefault="00506FFA" w:rsidP="00687DD2">
      <w:pPr>
        <w:pStyle w:val="Paragraphedeliste"/>
        <w:numPr>
          <w:ilvl w:val="0"/>
          <w:numId w:val="4"/>
        </w:numPr>
        <w:jc w:val="both"/>
        <w:rPr>
          <w:rFonts w:ascii="Arial" w:hAnsi="Arial" w:cs="Arial"/>
        </w:rPr>
      </w:pPr>
      <w:r w:rsidRPr="00506FFA">
        <w:rPr>
          <w:rFonts w:ascii="Arial" w:hAnsi="Arial" w:cs="Arial"/>
        </w:rPr>
        <w:t>Sols ferrugineux tropicaux ;</w:t>
      </w:r>
    </w:p>
    <w:p w14:paraId="080ECB58" w14:textId="77777777" w:rsidR="00506FFA" w:rsidRPr="00506FFA" w:rsidRDefault="00506FFA" w:rsidP="00687DD2">
      <w:pPr>
        <w:pStyle w:val="Paragraphedeliste"/>
        <w:numPr>
          <w:ilvl w:val="0"/>
          <w:numId w:val="4"/>
        </w:numPr>
        <w:jc w:val="both"/>
        <w:rPr>
          <w:rFonts w:ascii="Arial" w:hAnsi="Arial" w:cs="Arial"/>
        </w:rPr>
      </w:pPr>
      <w:r w:rsidRPr="00506FFA">
        <w:rPr>
          <w:rFonts w:ascii="Arial" w:hAnsi="Arial" w:cs="Arial"/>
        </w:rPr>
        <w:t>Sols hydromorphes</w:t>
      </w:r>
      <w:r w:rsidR="003B6BEC">
        <w:rPr>
          <w:rFonts w:ascii="Arial" w:hAnsi="Arial" w:cs="Arial"/>
        </w:rPr>
        <w:t> ;</w:t>
      </w:r>
    </w:p>
    <w:p w14:paraId="3A9B93C2" w14:textId="77777777" w:rsidR="00506FFA" w:rsidRPr="00506FFA" w:rsidRDefault="00506FFA" w:rsidP="00687DD2">
      <w:pPr>
        <w:pStyle w:val="Paragraphedeliste"/>
        <w:numPr>
          <w:ilvl w:val="0"/>
          <w:numId w:val="4"/>
        </w:numPr>
        <w:jc w:val="both"/>
        <w:rPr>
          <w:rFonts w:ascii="Arial" w:hAnsi="Arial" w:cs="Arial"/>
        </w:rPr>
      </w:pPr>
      <w:r w:rsidRPr="00506FFA">
        <w:rPr>
          <w:rFonts w:ascii="Arial" w:hAnsi="Arial" w:cs="Arial"/>
        </w:rPr>
        <w:t>Sols calcimorphes ;</w:t>
      </w:r>
    </w:p>
    <w:p w14:paraId="7D805A6E" w14:textId="77777777" w:rsidR="00506FFA" w:rsidRPr="00506FFA" w:rsidRDefault="00506FFA" w:rsidP="00687DD2">
      <w:pPr>
        <w:pStyle w:val="Paragraphedeliste"/>
        <w:numPr>
          <w:ilvl w:val="0"/>
          <w:numId w:val="4"/>
        </w:numPr>
        <w:jc w:val="both"/>
        <w:rPr>
          <w:rFonts w:ascii="Arial" w:hAnsi="Arial" w:cs="Arial"/>
        </w:rPr>
      </w:pPr>
      <w:r w:rsidRPr="00506FFA">
        <w:rPr>
          <w:rFonts w:ascii="Arial" w:hAnsi="Arial" w:cs="Arial"/>
        </w:rPr>
        <w:t>Sols halomorphes ;</w:t>
      </w:r>
    </w:p>
    <w:p w14:paraId="401A2FD0" w14:textId="77777777" w:rsidR="00506FFA" w:rsidRDefault="00506FFA" w:rsidP="00687DD2">
      <w:pPr>
        <w:pStyle w:val="Paragraphedeliste"/>
        <w:numPr>
          <w:ilvl w:val="0"/>
          <w:numId w:val="4"/>
        </w:numPr>
        <w:jc w:val="both"/>
        <w:rPr>
          <w:rFonts w:ascii="Arial" w:hAnsi="Arial" w:cs="Arial"/>
        </w:rPr>
      </w:pPr>
      <w:r w:rsidRPr="00506FFA">
        <w:rPr>
          <w:rFonts w:ascii="Arial" w:hAnsi="Arial" w:cs="Arial"/>
        </w:rPr>
        <w:t>Sols jeunes non évolués, lithosols et régosols.</w:t>
      </w:r>
    </w:p>
    <w:p w14:paraId="47A91029" w14:textId="77777777" w:rsidR="00506FFA" w:rsidRPr="00506FFA" w:rsidRDefault="00506FFA" w:rsidP="00506FFA">
      <w:pPr>
        <w:pStyle w:val="Paragraphedeliste"/>
        <w:jc w:val="both"/>
        <w:rPr>
          <w:rFonts w:ascii="Arial" w:hAnsi="Arial" w:cs="Arial"/>
        </w:rPr>
      </w:pPr>
    </w:p>
    <w:p w14:paraId="3BDDC751" w14:textId="77777777" w:rsidR="00676F3B" w:rsidRPr="00676F3B" w:rsidRDefault="00506FFA" w:rsidP="00687DD2">
      <w:pPr>
        <w:pStyle w:val="Paragraphedeliste"/>
        <w:numPr>
          <w:ilvl w:val="0"/>
          <w:numId w:val="3"/>
        </w:numPr>
        <w:jc w:val="both"/>
        <w:rPr>
          <w:rFonts w:ascii="Arial" w:hAnsi="Arial" w:cs="Arial"/>
          <w:b/>
        </w:rPr>
      </w:pPr>
      <w:r>
        <w:rPr>
          <w:rFonts w:ascii="Arial" w:hAnsi="Arial" w:cs="Arial"/>
          <w:b/>
        </w:rPr>
        <w:t>Sols ferra</w:t>
      </w:r>
      <w:r w:rsidR="003B6BEC">
        <w:rPr>
          <w:rFonts w:ascii="Arial" w:hAnsi="Arial" w:cs="Arial"/>
          <w:b/>
        </w:rPr>
        <w:t>l</w:t>
      </w:r>
      <w:r>
        <w:rPr>
          <w:rFonts w:ascii="Arial" w:hAnsi="Arial" w:cs="Arial"/>
          <w:b/>
        </w:rPr>
        <w:t>litique</w:t>
      </w:r>
      <w:r w:rsidR="00676F3B" w:rsidRPr="00676F3B">
        <w:rPr>
          <w:rFonts w:ascii="Arial" w:hAnsi="Arial" w:cs="Arial"/>
          <w:b/>
        </w:rPr>
        <w:t>s</w:t>
      </w:r>
    </w:p>
    <w:p w14:paraId="463440C6" w14:textId="77777777" w:rsidR="00676F3B" w:rsidRPr="00676F3B" w:rsidRDefault="00506FFA" w:rsidP="00AE406E">
      <w:pPr>
        <w:jc w:val="both"/>
        <w:rPr>
          <w:rFonts w:ascii="Arial" w:hAnsi="Arial" w:cs="Arial"/>
        </w:rPr>
      </w:pPr>
      <w:r>
        <w:rPr>
          <w:rFonts w:ascii="Arial" w:hAnsi="Arial" w:cs="Arial"/>
        </w:rPr>
        <w:t>Ce type de sol occupe la partie E</w:t>
      </w:r>
      <w:r w:rsidR="00676F3B" w:rsidRPr="00676F3B">
        <w:rPr>
          <w:rFonts w:ascii="Arial" w:hAnsi="Arial" w:cs="Arial"/>
        </w:rPr>
        <w:t xml:space="preserve">st et </w:t>
      </w:r>
      <w:r w:rsidR="003B6BEC">
        <w:rPr>
          <w:rFonts w:ascii="Arial" w:hAnsi="Arial" w:cs="Arial"/>
        </w:rPr>
        <w:t>C</w:t>
      </w:r>
      <w:r w:rsidR="00676F3B" w:rsidRPr="00676F3B">
        <w:rPr>
          <w:rFonts w:ascii="Arial" w:hAnsi="Arial" w:cs="Arial"/>
        </w:rPr>
        <w:t xml:space="preserve">entre de Madagascar. Ils sont caractérisés par leur teneur en fer et en alumine, leur faible capacité d'échange, leur faible teneur en bases, leur couleur rouge, </w:t>
      </w:r>
      <w:r>
        <w:rPr>
          <w:rFonts w:ascii="Arial" w:hAnsi="Arial" w:cs="Arial"/>
        </w:rPr>
        <w:t xml:space="preserve">et </w:t>
      </w:r>
      <w:r w:rsidR="00676F3B" w:rsidRPr="00676F3B">
        <w:rPr>
          <w:rFonts w:ascii="Arial" w:hAnsi="Arial" w:cs="Arial"/>
        </w:rPr>
        <w:t xml:space="preserve">leur pH bas. </w:t>
      </w:r>
    </w:p>
    <w:p w14:paraId="5DA5B74E" w14:textId="77777777" w:rsidR="00676F3B" w:rsidRPr="00676F3B" w:rsidRDefault="00676F3B" w:rsidP="00676F3B">
      <w:pPr>
        <w:jc w:val="both"/>
        <w:rPr>
          <w:rFonts w:ascii="Arial" w:hAnsi="Arial" w:cs="Arial"/>
        </w:rPr>
      </w:pPr>
      <w:r w:rsidRPr="00676F3B">
        <w:rPr>
          <w:rFonts w:ascii="Arial" w:hAnsi="Arial" w:cs="Arial"/>
        </w:rPr>
        <w:t>Suivant l’altitude on peut distinguer</w:t>
      </w:r>
      <w:r w:rsidR="003B6BEC">
        <w:rPr>
          <w:rFonts w:ascii="Arial" w:hAnsi="Arial" w:cs="Arial"/>
        </w:rPr>
        <w:t> :</w:t>
      </w:r>
    </w:p>
    <w:p w14:paraId="39762133" w14:textId="77777777" w:rsidR="00676F3B" w:rsidRPr="00676F3B" w:rsidRDefault="00676F3B" w:rsidP="00687DD2">
      <w:pPr>
        <w:pStyle w:val="Paragraphedeliste"/>
        <w:numPr>
          <w:ilvl w:val="0"/>
          <w:numId w:val="1"/>
        </w:numPr>
        <w:jc w:val="both"/>
        <w:rPr>
          <w:rFonts w:ascii="Arial" w:hAnsi="Arial" w:cs="Arial"/>
        </w:rPr>
      </w:pPr>
      <w:r w:rsidRPr="00676F3B">
        <w:rPr>
          <w:rFonts w:ascii="Arial" w:hAnsi="Arial" w:cs="Arial"/>
        </w:rPr>
        <w:t>Sols ferra</w:t>
      </w:r>
      <w:r w:rsidR="003B6BEC">
        <w:rPr>
          <w:rFonts w:ascii="Arial" w:hAnsi="Arial" w:cs="Arial"/>
        </w:rPr>
        <w:t>l</w:t>
      </w:r>
      <w:r w:rsidRPr="00676F3B">
        <w:rPr>
          <w:rFonts w:ascii="Arial" w:hAnsi="Arial" w:cs="Arial"/>
        </w:rPr>
        <w:t>litiques humifères : rencontrés le plus souvent dans des zones volcaniques comme à Ankaratra</w:t>
      </w:r>
      <w:r w:rsidR="003B6BEC">
        <w:rPr>
          <w:rFonts w:ascii="Arial" w:hAnsi="Arial" w:cs="Arial"/>
        </w:rPr>
        <w:t> ;</w:t>
      </w:r>
    </w:p>
    <w:p w14:paraId="03E470A8" w14:textId="77777777" w:rsidR="00676F3B" w:rsidRPr="00676F3B" w:rsidRDefault="00676F3B" w:rsidP="00687DD2">
      <w:pPr>
        <w:pStyle w:val="Paragraphedeliste"/>
        <w:numPr>
          <w:ilvl w:val="0"/>
          <w:numId w:val="1"/>
        </w:numPr>
        <w:jc w:val="both"/>
        <w:rPr>
          <w:rFonts w:ascii="Arial" w:hAnsi="Arial" w:cs="Arial"/>
        </w:rPr>
      </w:pPr>
      <w:r w:rsidRPr="00676F3B">
        <w:rPr>
          <w:rFonts w:ascii="Arial" w:hAnsi="Arial" w:cs="Arial"/>
        </w:rPr>
        <w:t>Les sols ferra</w:t>
      </w:r>
      <w:r w:rsidR="003B6BEC">
        <w:rPr>
          <w:rFonts w:ascii="Arial" w:hAnsi="Arial" w:cs="Arial"/>
        </w:rPr>
        <w:t>l</w:t>
      </w:r>
      <w:r w:rsidRPr="00676F3B">
        <w:rPr>
          <w:rFonts w:ascii="Arial" w:hAnsi="Arial" w:cs="Arial"/>
        </w:rPr>
        <w:t>litiques à cuirasse et concrétions : On les trouve sur pénéplaine migmatitique (Ankazobe, Menazomby, Horombe) ou sur coulée volcanique plane (Ankaratra). Les cuirasses sont actuelles ou fossiles mais toujours dues à un mauvais drainage de surface plane.</w:t>
      </w:r>
    </w:p>
    <w:p w14:paraId="6DC28950" w14:textId="77777777" w:rsidR="00676F3B" w:rsidRDefault="00676F3B" w:rsidP="00687DD2">
      <w:pPr>
        <w:pStyle w:val="Paragraphedeliste"/>
        <w:numPr>
          <w:ilvl w:val="0"/>
          <w:numId w:val="1"/>
        </w:numPr>
        <w:jc w:val="both"/>
        <w:rPr>
          <w:rFonts w:ascii="Arial" w:hAnsi="Arial" w:cs="Arial"/>
        </w:rPr>
      </w:pPr>
      <w:r w:rsidRPr="00676F3B">
        <w:rPr>
          <w:rFonts w:ascii="Arial" w:hAnsi="Arial" w:cs="Arial"/>
        </w:rPr>
        <w:t>Sol faiblement ferra</w:t>
      </w:r>
      <w:r w:rsidR="003B6BEC">
        <w:rPr>
          <w:rFonts w:ascii="Arial" w:hAnsi="Arial" w:cs="Arial"/>
        </w:rPr>
        <w:t>l</w:t>
      </w:r>
      <w:r w:rsidRPr="00676F3B">
        <w:rPr>
          <w:rFonts w:ascii="Arial" w:hAnsi="Arial" w:cs="Arial"/>
        </w:rPr>
        <w:t xml:space="preserve">litique </w:t>
      </w:r>
    </w:p>
    <w:p w14:paraId="5B1AA950" w14:textId="77777777" w:rsidR="00676F3B" w:rsidRPr="00676F3B" w:rsidRDefault="00676F3B" w:rsidP="00676F3B">
      <w:pPr>
        <w:pStyle w:val="Paragraphedeliste"/>
        <w:jc w:val="both"/>
        <w:rPr>
          <w:rFonts w:ascii="Arial" w:hAnsi="Arial" w:cs="Arial"/>
        </w:rPr>
      </w:pPr>
    </w:p>
    <w:p w14:paraId="28DE4798" w14:textId="77777777" w:rsidR="00676F3B" w:rsidRPr="00676F3B" w:rsidRDefault="00676F3B" w:rsidP="00687DD2">
      <w:pPr>
        <w:pStyle w:val="Paragraphedeliste"/>
        <w:numPr>
          <w:ilvl w:val="0"/>
          <w:numId w:val="3"/>
        </w:numPr>
        <w:jc w:val="both"/>
        <w:rPr>
          <w:rFonts w:ascii="Arial" w:hAnsi="Arial" w:cs="Arial"/>
          <w:b/>
        </w:rPr>
      </w:pPr>
      <w:r w:rsidRPr="00676F3B">
        <w:rPr>
          <w:rFonts w:ascii="Arial" w:hAnsi="Arial" w:cs="Arial"/>
          <w:b/>
        </w:rPr>
        <w:t>Sol</w:t>
      </w:r>
      <w:r w:rsidR="00674547">
        <w:rPr>
          <w:rFonts w:ascii="Arial" w:hAnsi="Arial" w:cs="Arial"/>
          <w:b/>
        </w:rPr>
        <w:t>s</w:t>
      </w:r>
      <w:r w:rsidRPr="00676F3B">
        <w:rPr>
          <w:rFonts w:ascii="Arial" w:hAnsi="Arial" w:cs="Arial"/>
          <w:b/>
        </w:rPr>
        <w:t xml:space="preserve"> ferrugineux tropicaux</w:t>
      </w:r>
    </w:p>
    <w:p w14:paraId="726D4A6A" w14:textId="77777777" w:rsidR="00676F3B" w:rsidRPr="00676F3B" w:rsidRDefault="00506FFA" w:rsidP="00676F3B">
      <w:pPr>
        <w:jc w:val="both"/>
        <w:rPr>
          <w:rFonts w:ascii="Arial" w:hAnsi="Arial" w:cs="Arial"/>
        </w:rPr>
      </w:pPr>
      <w:r>
        <w:rPr>
          <w:rFonts w:ascii="Arial" w:hAnsi="Arial" w:cs="Arial"/>
        </w:rPr>
        <w:t xml:space="preserve">Les sols ferrugineux tropicaux sont </w:t>
      </w:r>
      <w:r w:rsidRPr="00676F3B">
        <w:rPr>
          <w:rFonts w:ascii="Arial" w:hAnsi="Arial" w:cs="Arial"/>
        </w:rPr>
        <w:t>moins épais et moins argileux</w:t>
      </w:r>
      <w:r w:rsidR="00676F3B" w:rsidRPr="00676F3B">
        <w:rPr>
          <w:rFonts w:ascii="Arial" w:hAnsi="Arial" w:cs="Arial"/>
        </w:rPr>
        <w:t>. Ils sont, comme les sols ferra</w:t>
      </w:r>
      <w:r w:rsidR="003B6BEC">
        <w:rPr>
          <w:rFonts w:ascii="Arial" w:hAnsi="Arial" w:cs="Arial"/>
        </w:rPr>
        <w:t>l</w:t>
      </w:r>
      <w:r w:rsidR="00676F3B" w:rsidRPr="00676F3B">
        <w:rPr>
          <w:rFonts w:ascii="Arial" w:hAnsi="Arial" w:cs="Arial"/>
        </w:rPr>
        <w:t>litiques, pauvres en base échangeable et de faible capacité d'échange. Ce sont avant tout des sols rubéfiés à oxydes de fer plus ou moins déshydratés ; cependant, dans des conditions de forte pluviosité ou de mauvais drainage</w:t>
      </w:r>
      <w:r w:rsidR="003B6BEC">
        <w:rPr>
          <w:rFonts w:ascii="Arial" w:hAnsi="Arial" w:cs="Arial"/>
        </w:rPr>
        <w:t>,</w:t>
      </w:r>
      <w:r w:rsidR="00676F3B" w:rsidRPr="00676F3B">
        <w:rPr>
          <w:rFonts w:ascii="Arial" w:hAnsi="Arial" w:cs="Arial"/>
        </w:rPr>
        <w:t xml:space="preserve"> le sol est jaune. Ces sols occupent tous les terrains sédimentaires de l'</w:t>
      </w:r>
      <w:r w:rsidR="003B6BEC">
        <w:rPr>
          <w:rFonts w:ascii="Arial" w:hAnsi="Arial" w:cs="Arial"/>
        </w:rPr>
        <w:t>O</w:t>
      </w:r>
      <w:r w:rsidR="00676F3B" w:rsidRPr="00676F3B">
        <w:rPr>
          <w:rFonts w:ascii="Arial" w:hAnsi="Arial" w:cs="Arial"/>
        </w:rPr>
        <w:t xml:space="preserve">uest et du </w:t>
      </w:r>
      <w:r w:rsidR="003B6BEC">
        <w:rPr>
          <w:rFonts w:ascii="Arial" w:hAnsi="Arial" w:cs="Arial"/>
        </w:rPr>
        <w:t>S</w:t>
      </w:r>
      <w:r w:rsidR="00676F3B" w:rsidRPr="00676F3B">
        <w:rPr>
          <w:rFonts w:ascii="Arial" w:hAnsi="Arial" w:cs="Arial"/>
        </w:rPr>
        <w:t>ud de Madagascar.</w:t>
      </w:r>
      <w:r w:rsidR="003B6BEC">
        <w:rPr>
          <w:rFonts w:ascii="Arial" w:hAnsi="Arial" w:cs="Arial"/>
        </w:rPr>
        <w:t xml:space="preserve"> On distingue :</w:t>
      </w:r>
    </w:p>
    <w:p w14:paraId="65CCA730" w14:textId="77777777" w:rsidR="00676F3B" w:rsidRPr="00676F3B" w:rsidRDefault="00676F3B" w:rsidP="00687DD2">
      <w:pPr>
        <w:pStyle w:val="Paragraphedeliste"/>
        <w:numPr>
          <w:ilvl w:val="0"/>
          <w:numId w:val="1"/>
        </w:numPr>
        <w:jc w:val="both"/>
        <w:rPr>
          <w:rFonts w:ascii="Arial" w:hAnsi="Arial" w:cs="Arial"/>
        </w:rPr>
      </w:pPr>
      <w:r w:rsidRPr="00676F3B">
        <w:rPr>
          <w:rFonts w:ascii="Arial" w:hAnsi="Arial" w:cs="Arial"/>
        </w:rPr>
        <w:t>Sols ferrugineux tropicaux sur grès ou sable</w:t>
      </w:r>
      <w:r w:rsidR="003B6BEC">
        <w:rPr>
          <w:rFonts w:ascii="Arial" w:hAnsi="Arial" w:cs="Arial"/>
        </w:rPr>
        <w:t> ;</w:t>
      </w:r>
    </w:p>
    <w:p w14:paraId="7736BED1" w14:textId="77777777" w:rsidR="00676F3B" w:rsidRPr="00676F3B" w:rsidRDefault="00676F3B" w:rsidP="00687DD2">
      <w:pPr>
        <w:pStyle w:val="Paragraphedeliste"/>
        <w:numPr>
          <w:ilvl w:val="0"/>
          <w:numId w:val="1"/>
        </w:numPr>
        <w:jc w:val="both"/>
        <w:rPr>
          <w:rFonts w:ascii="Arial" w:hAnsi="Arial" w:cs="Arial"/>
        </w:rPr>
      </w:pPr>
      <w:r w:rsidRPr="00676F3B">
        <w:rPr>
          <w:rFonts w:ascii="Arial" w:hAnsi="Arial" w:cs="Arial"/>
        </w:rPr>
        <w:t>Sols ferrugineux tropicaux sur calcaire</w:t>
      </w:r>
      <w:r w:rsidR="003B6BEC">
        <w:rPr>
          <w:rFonts w:ascii="Arial" w:hAnsi="Arial" w:cs="Arial"/>
        </w:rPr>
        <w:t> ;</w:t>
      </w:r>
    </w:p>
    <w:p w14:paraId="0A4344BA" w14:textId="77777777" w:rsidR="00676F3B" w:rsidRPr="00676F3B" w:rsidRDefault="00676F3B" w:rsidP="00687DD2">
      <w:pPr>
        <w:pStyle w:val="Paragraphedeliste"/>
        <w:numPr>
          <w:ilvl w:val="0"/>
          <w:numId w:val="1"/>
        </w:numPr>
        <w:jc w:val="both"/>
        <w:rPr>
          <w:rFonts w:ascii="Arial" w:hAnsi="Arial" w:cs="Arial"/>
        </w:rPr>
      </w:pPr>
      <w:r w:rsidRPr="00676F3B">
        <w:rPr>
          <w:rFonts w:ascii="Arial" w:hAnsi="Arial" w:cs="Arial"/>
        </w:rPr>
        <w:t>Sols ferrugineux tropicaux sur basalte</w:t>
      </w:r>
      <w:r w:rsidR="003B6BEC">
        <w:rPr>
          <w:rFonts w:ascii="Arial" w:hAnsi="Arial" w:cs="Arial"/>
        </w:rPr>
        <w:t> ;</w:t>
      </w:r>
    </w:p>
    <w:p w14:paraId="51B03D28" w14:textId="77777777" w:rsidR="00676F3B" w:rsidRDefault="00676F3B" w:rsidP="00687DD2">
      <w:pPr>
        <w:pStyle w:val="Paragraphedeliste"/>
        <w:numPr>
          <w:ilvl w:val="0"/>
          <w:numId w:val="1"/>
        </w:numPr>
        <w:jc w:val="both"/>
        <w:rPr>
          <w:rFonts w:ascii="Arial" w:hAnsi="Arial" w:cs="Arial"/>
        </w:rPr>
      </w:pPr>
      <w:r w:rsidRPr="00676F3B">
        <w:rPr>
          <w:rFonts w:ascii="Arial" w:hAnsi="Arial" w:cs="Arial"/>
        </w:rPr>
        <w:t>Sols ferrugineux tropicaux sur gneiss</w:t>
      </w:r>
      <w:r w:rsidR="003B6BEC">
        <w:rPr>
          <w:rFonts w:ascii="Arial" w:hAnsi="Arial" w:cs="Arial"/>
        </w:rPr>
        <w:t>.</w:t>
      </w:r>
    </w:p>
    <w:p w14:paraId="7126FA19" w14:textId="77777777" w:rsidR="00676F3B" w:rsidRPr="00676F3B" w:rsidRDefault="00353921" w:rsidP="00676F3B">
      <w:pPr>
        <w:pStyle w:val="Paragraphedeliste"/>
        <w:jc w:val="both"/>
        <w:rPr>
          <w:rFonts w:ascii="Arial" w:hAnsi="Arial" w:cs="Arial"/>
        </w:rPr>
      </w:pPr>
      <w:r>
        <w:rPr>
          <w:rFonts w:ascii="Arial" w:hAnsi="Arial" w:cs="Arial"/>
        </w:rPr>
        <w:br w:type="page"/>
      </w:r>
    </w:p>
    <w:p w14:paraId="7F5597BA" w14:textId="77777777" w:rsidR="00676F3B" w:rsidRPr="00676F3B" w:rsidRDefault="00676F3B" w:rsidP="00687DD2">
      <w:pPr>
        <w:pStyle w:val="Paragraphedeliste"/>
        <w:numPr>
          <w:ilvl w:val="0"/>
          <w:numId w:val="3"/>
        </w:numPr>
        <w:jc w:val="both"/>
        <w:rPr>
          <w:rFonts w:ascii="Arial" w:hAnsi="Arial" w:cs="Arial"/>
          <w:b/>
        </w:rPr>
      </w:pPr>
      <w:r w:rsidRPr="00676F3B">
        <w:rPr>
          <w:rFonts w:ascii="Arial" w:hAnsi="Arial" w:cs="Arial"/>
          <w:b/>
        </w:rPr>
        <w:t>Sols hydromorphes</w:t>
      </w:r>
    </w:p>
    <w:p w14:paraId="11AAA426" w14:textId="77777777" w:rsidR="00676F3B" w:rsidRDefault="00676F3B" w:rsidP="00676F3B">
      <w:pPr>
        <w:jc w:val="both"/>
        <w:rPr>
          <w:rFonts w:ascii="Arial" w:hAnsi="Arial" w:cs="Arial"/>
        </w:rPr>
      </w:pPr>
      <w:r w:rsidRPr="00676F3B">
        <w:rPr>
          <w:rFonts w:ascii="Arial" w:hAnsi="Arial" w:cs="Arial"/>
        </w:rPr>
        <w:t>Ce sont les sols qui occupent toutes les vallées et plaines des hauts-plateaux. Le drainage est toujours gêné d'où une série continue de sols depuis l'alluvion évolu</w:t>
      </w:r>
      <w:r w:rsidR="003B6BEC">
        <w:rPr>
          <w:rFonts w:ascii="Arial" w:hAnsi="Arial" w:cs="Arial"/>
        </w:rPr>
        <w:t>e</w:t>
      </w:r>
      <w:r w:rsidRPr="00676F3B">
        <w:rPr>
          <w:rFonts w:ascii="Arial" w:hAnsi="Arial" w:cs="Arial"/>
        </w:rPr>
        <w:t xml:space="preserve"> jusqu</w:t>
      </w:r>
      <w:r w:rsidR="003B6BEC">
        <w:rPr>
          <w:rFonts w:ascii="Arial" w:hAnsi="Arial" w:cs="Arial"/>
        </w:rPr>
        <w:t>’</w:t>
      </w:r>
      <w:r w:rsidRPr="00676F3B">
        <w:rPr>
          <w:rFonts w:ascii="Arial" w:hAnsi="Arial" w:cs="Arial"/>
        </w:rPr>
        <w:t>au sol de marais tourbeux. On distingue à Madagascar</w:t>
      </w:r>
      <w:r w:rsidR="003B6BEC">
        <w:rPr>
          <w:rFonts w:ascii="Arial" w:hAnsi="Arial" w:cs="Arial"/>
        </w:rPr>
        <w:t> :</w:t>
      </w:r>
    </w:p>
    <w:p w14:paraId="5A67F6BB" w14:textId="77777777" w:rsidR="00506FFA" w:rsidRPr="00506FFA" w:rsidRDefault="00506FFA" w:rsidP="00687DD2">
      <w:pPr>
        <w:pStyle w:val="Paragraphedeliste"/>
        <w:numPr>
          <w:ilvl w:val="0"/>
          <w:numId w:val="1"/>
        </w:numPr>
        <w:jc w:val="both"/>
        <w:rPr>
          <w:rFonts w:ascii="Arial" w:hAnsi="Arial" w:cs="Arial"/>
        </w:rPr>
      </w:pPr>
      <w:r w:rsidRPr="00506FFA">
        <w:rPr>
          <w:rFonts w:ascii="Arial" w:hAnsi="Arial" w:cs="Arial"/>
        </w:rPr>
        <w:t xml:space="preserve">Sols </w:t>
      </w:r>
      <w:r w:rsidR="003B6BEC" w:rsidRPr="00506FFA">
        <w:rPr>
          <w:rFonts w:ascii="Arial" w:hAnsi="Arial" w:cs="Arial"/>
        </w:rPr>
        <w:t>tachetés</w:t>
      </w:r>
      <w:r w:rsidR="003B6BEC">
        <w:rPr>
          <w:rFonts w:ascii="Arial" w:hAnsi="Arial" w:cs="Arial"/>
        </w:rPr>
        <w:t> </w:t>
      </w:r>
      <w:r w:rsidRPr="00506FFA">
        <w:rPr>
          <w:rFonts w:ascii="Arial" w:hAnsi="Arial" w:cs="Arial"/>
        </w:rPr>
        <w:t>: faible horizon organique en surface et sous-sol à tache rouille</w:t>
      </w:r>
      <w:r w:rsidR="003B6BEC">
        <w:rPr>
          <w:rFonts w:ascii="Arial" w:hAnsi="Arial" w:cs="Arial"/>
        </w:rPr>
        <w:t> ;</w:t>
      </w:r>
    </w:p>
    <w:p w14:paraId="61715539" w14:textId="77777777" w:rsidR="00506FFA" w:rsidRPr="00506FFA" w:rsidRDefault="00506FFA" w:rsidP="00687DD2">
      <w:pPr>
        <w:pStyle w:val="Paragraphedeliste"/>
        <w:numPr>
          <w:ilvl w:val="0"/>
          <w:numId w:val="1"/>
        </w:numPr>
        <w:jc w:val="both"/>
        <w:rPr>
          <w:rFonts w:ascii="Arial" w:hAnsi="Arial" w:cs="Arial"/>
        </w:rPr>
      </w:pPr>
      <w:r w:rsidRPr="00506FFA">
        <w:rPr>
          <w:rFonts w:ascii="Arial" w:hAnsi="Arial" w:cs="Arial"/>
        </w:rPr>
        <w:t>Sols de tany manga</w:t>
      </w:r>
      <w:r w:rsidR="003B6BEC">
        <w:rPr>
          <w:rFonts w:ascii="Arial" w:hAnsi="Arial" w:cs="Arial"/>
        </w:rPr>
        <w:t> </w:t>
      </w:r>
      <w:r w:rsidRPr="00506FFA">
        <w:rPr>
          <w:rFonts w:ascii="Arial" w:hAnsi="Arial" w:cs="Arial"/>
        </w:rPr>
        <w:t>: semblables aux précédents mais en dessous des taches rouilles horizon compact, gris bleu ou horizon de gley</w:t>
      </w:r>
      <w:r w:rsidR="003B6BEC">
        <w:rPr>
          <w:rFonts w:ascii="Arial" w:hAnsi="Arial" w:cs="Arial"/>
        </w:rPr>
        <w:t> ;</w:t>
      </w:r>
    </w:p>
    <w:p w14:paraId="53DF5E1F" w14:textId="77777777" w:rsidR="00506FFA" w:rsidRDefault="00506FFA" w:rsidP="00687DD2">
      <w:pPr>
        <w:pStyle w:val="Paragraphedeliste"/>
        <w:numPr>
          <w:ilvl w:val="0"/>
          <w:numId w:val="1"/>
        </w:numPr>
        <w:jc w:val="both"/>
        <w:rPr>
          <w:rFonts w:ascii="Arial" w:hAnsi="Arial" w:cs="Arial"/>
        </w:rPr>
      </w:pPr>
      <w:r w:rsidRPr="00506FFA">
        <w:rPr>
          <w:rFonts w:ascii="Arial" w:hAnsi="Arial" w:cs="Arial"/>
        </w:rPr>
        <w:t>Sols marécageux</w:t>
      </w:r>
      <w:r w:rsidR="003B6BEC">
        <w:rPr>
          <w:rFonts w:ascii="Arial" w:hAnsi="Arial" w:cs="Arial"/>
        </w:rPr>
        <w:t> </w:t>
      </w:r>
      <w:r w:rsidRPr="00506FFA">
        <w:rPr>
          <w:rFonts w:ascii="Arial" w:hAnsi="Arial" w:cs="Arial"/>
        </w:rPr>
        <w:t>: hydromorphie encore plus poussée, la matière organique mal décomposée s</w:t>
      </w:r>
      <w:r w:rsidR="003B6BEC">
        <w:rPr>
          <w:rFonts w:ascii="Arial" w:hAnsi="Arial" w:cs="Arial"/>
        </w:rPr>
        <w:t>’</w:t>
      </w:r>
      <w:r w:rsidRPr="00506FFA">
        <w:rPr>
          <w:rFonts w:ascii="Arial" w:hAnsi="Arial" w:cs="Arial"/>
        </w:rPr>
        <w:t>accumule en surface</w:t>
      </w:r>
      <w:r w:rsidR="003B6BEC">
        <w:rPr>
          <w:rFonts w:ascii="Arial" w:hAnsi="Arial" w:cs="Arial"/>
        </w:rPr>
        <w:t> ;</w:t>
      </w:r>
    </w:p>
    <w:p w14:paraId="3B2AB31D" w14:textId="77777777" w:rsidR="00506FFA" w:rsidRDefault="00506FFA" w:rsidP="00B434A6">
      <w:pPr>
        <w:pStyle w:val="Paragraphedeliste"/>
        <w:numPr>
          <w:ilvl w:val="0"/>
          <w:numId w:val="1"/>
        </w:numPr>
        <w:contextualSpacing w:val="0"/>
        <w:jc w:val="both"/>
        <w:rPr>
          <w:rFonts w:ascii="Arial" w:hAnsi="Arial" w:cs="Arial"/>
        </w:rPr>
      </w:pPr>
      <w:r w:rsidRPr="00506FFA">
        <w:rPr>
          <w:rFonts w:ascii="Arial" w:hAnsi="Arial" w:cs="Arial"/>
        </w:rPr>
        <w:t>Sols tourbeux : horizon organique épais reposa</w:t>
      </w:r>
      <w:r>
        <w:rPr>
          <w:rFonts w:ascii="Arial" w:hAnsi="Arial" w:cs="Arial"/>
        </w:rPr>
        <w:t>nt</w:t>
      </w:r>
      <w:r w:rsidRPr="00506FFA">
        <w:rPr>
          <w:rFonts w:ascii="Arial" w:hAnsi="Arial" w:cs="Arial"/>
        </w:rPr>
        <w:t xml:space="preserve"> sur argile grise ou </w:t>
      </w:r>
      <w:r>
        <w:rPr>
          <w:rFonts w:ascii="Arial" w:hAnsi="Arial" w:cs="Arial"/>
        </w:rPr>
        <w:t>bleutée compacte</w:t>
      </w:r>
      <w:r w:rsidR="003B6BEC">
        <w:rPr>
          <w:rFonts w:ascii="Arial" w:hAnsi="Arial" w:cs="Arial"/>
        </w:rPr>
        <w:t>.</w:t>
      </w:r>
    </w:p>
    <w:p w14:paraId="70262FEE" w14:textId="77777777" w:rsidR="00676F3B" w:rsidRPr="00676F3B" w:rsidRDefault="00676F3B" w:rsidP="00687DD2">
      <w:pPr>
        <w:pStyle w:val="Paragraphedeliste"/>
        <w:numPr>
          <w:ilvl w:val="0"/>
          <w:numId w:val="3"/>
        </w:numPr>
        <w:jc w:val="both"/>
        <w:rPr>
          <w:rFonts w:ascii="Arial" w:hAnsi="Arial" w:cs="Arial"/>
          <w:b/>
        </w:rPr>
      </w:pPr>
      <w:r w:rsidRPr="00676F3B">
        <w:rPr>
          <w:rFonts w:ascii="Arial" w:hAnsi="Arial" w:cs="Arial"/>
          <w:b/>
        </w:rPr>
        <w:t>Sol</w:t>
      </w:r>
      <w:r w:rsidR="00674547">
        <w:rPr>
          <w:rFonts w:ascii="Arial" w:hAnsi="Arial" w:cs="Arial"/>
          <w:b/>
        </w:rPr>
        <w:t>s</w:t>
      </w:r>
      <w:r w:rsidRPr="00676F3B">
        <w:rPr>
          <w:rFonts w:ascii="Arial" w:hAnsi="Arial" w:cs="Arial"/>
          <w:b/>
        </w:rPr>
        <w:t xml:space="preserve"> calcimorphe</w:t>
      </w:r>
      <w:r w:rsidR="00674547">
        <w:rPr>
          <w:rFonts w:ascii="Arial" w:hAnsi="Arial" w:cs="Arial"/>
          <w:b/>
        </w:rPr>
        <w:t>s</w:t>
      </w:r>
      <w:r w:rsidRPr="00676F3B">
        <w:rPr>
          <w:rFonts w:ascii="Arial" w:hAnsi="Arial" w:cs="Arial"/>
          <w:b/>
        </w:rPr>
        <w:t xml:space="preserve"> </w:t>
      </w:r>
    </w:p>
    <w:p w14:paraId="0409B9D9" w14:textId="77777777" w:rsidR="00676F3B" w:rsidRPr="00676F3B" w:rsidRDefault="00676F3B" w:rsidP="00676F3B">
      <w:pPr>
        <w:jc w:val="both"/>
        <w:rPr>
          <w:rFonts w:ascii="Arial" w:hAnsi="Arial" w:cs="Arial"/>
        </w:rPr>
      </w:pPr>
      <w:r w:rsidRPr="00676F3B">
        <w:rPr>
          <w:rFonts w:ascii="Arial" w:hAnsi="Arial" w:cs="Arial"/>
        </w:rPr>
        <w:t>Ce sont des sols rendzinoïdes, ou des sols bruns légèrement décalcifiés. Que l'on trouve sporadiquement sur le calcaire sédimentaire, surtout les calcaires tendres ou marneux. Le pH est neutre et des filaments ou des pierres calcaires subsistent dans les sols</w:t>
      </w:r>
      <w:r w:rsidR="00ED039B">
        <w:rPr>
          <w:rFonts w:ascii="Arial" w:hAnsi="Arial" w:cs="Arial"/>
        </w:rPr>
        <w:t>.</w:t>
      </w:r>
    </w:p>
    <w:p w14:paraId="042B5B07" w14:textId="77777777" w:rsidR="00676F3B" w:rsidRPr="00676F3B" w:rsidRDefault="00676F3B" w:rsidP="00B434A6">
      <w:pPr>
        <w:pStyle w:val="Paragraphedeliste"/>
        <w:numPr>
          <w:ilvl w:val="0"/>
          <w:numId w:val="3"/>
        </w:numPr>
        <w:contextualSpacing w:val="0"/>
        <w:jc w:val="both"/>
        <w:rPr>
          <w:rFonts w:ascii="Arial" w:hAnsi="Arial" w:cs="Arial"/>
          <w:b/>
        </w:rPr>
      </w:pPr>
      <w:r w:rsidRPr="00676F3B">
        <w:rPr>
          <w:rFonts w:ascii="Arial" w:hAnsi="Arial" w:cs="Arial"/>
          <w:b/>
        </w:rPr>
        <w:t>Sols jeunes non évolués, lithosols et régosols</w:t>
      </w:r>
    </w:p>
    <w:p w14:paraId="0E4FE0EE" w14:textId="77777777" w:rsidR="00676F3B" w:rsidRPr="00676F3B" w:rsidRDefault="00676F3B" w:rsidP="00687DD2">
      <w:pPr>
        <w:pStyle w:val="Paragraphedeliste"/>
        <w:numPr>
          <w:ilvl w:val="0"/>
          <w:numId w:val="2"/>
        </w:numPr>
        <w:jc w:val="both"/>
        <w:rPr>
          <w:rFonts w:ascii="Arial" w:hAnsi="Arial" w:cs="Arial"/>
        </w:rPr>
      </w:pPr>
      <w:r w:rsidRPr="00676F3B">
        <w:rPr>
          <w:rFonts w:ascii="Arial" w:hAnsi="Arial" w:cs="Arial"/>
        </w:rPr>
        <w:t>Les alluvions des vallées des hauts-plateaux : provenant directement de l'érosion des sols latéritiques. Elles sont relativement riches si le sable n'est pas trop abondant par rapport au limon. Ce sont les « baiboh</w:t>
      </w:r>
      <w:r w:rsidR="003B6BEC">
        <w:rPr>
          <w:rFonts w:ascii="Arial" w:hAnsi="Arial" w:cs="Arial"/>
        </w:rPr>
        <w:t>o</w:t>
      </w:r>
      <w:r w:rsidRPr="00676F3B">
        <w:rPr>
          <w:rFonts w:ascii="Arial" w:hAnsi="Arial" w:cs="Arial"/>
        </w:rPr>
        <w:t> » selon le terme local ;</w:t>
      </w:r>
    </w:p>
    <w:p w14:paraId="2974C595" w14:textId="77777777" w:rsidR="00676F3B" w:rsidRPr="00676F3B" w:rsidRDefault="00676F3B" w:rsidP="00687DD2">
      <w:pPr>
        <w:pStyle w:val="Paragraphedeliste"/>
        <w:numPr>
          <w:ilvl w:val="0"/>
          <w:numId w:val="2"/>
        </w:numPr>
        <w:jc w:val="both"/>
        <w:rPr>
          <w:rFonts w:ascii="Arial" w:hAnsi="Arial" w:cs="Arial"/>
        </w:rPr>
      </w:pPr>
      <w:r w:rsidRPr="00676F3B">
        <w:rPr>
          <w:rFonts w:ascii="Arial" w:hAnsi="Arial" w:cs="Arial"/>
        </w:rPr>
        <w:t>Les alluvions des vallées de l'Est : non calcaires, assez humifères, légèrement hydromorphes, souvent jaunes en sous-sol, riches en potasse. Ce sont les meilleures terres à caféiers</w:t>
      </w:r>
      <w:r w:rsidR="003B6BEC">
        <w:rPr>
          <w:rFonts w:ascii="Arial" w:hAnsi="Arial" w:cs="Arial"/>
        </w:rPr>
        <w:t> ;</w:t>
      </w:r>
    </w:p>
    <w:p w14:paraId="7FCCA4AA" w14:textId="77777777" w:rsidR="00676F3B" w:rsidRPr="00676F3B" w:rsidRDefault="00676F3B" w:rsidP="00687DD2">
      <w:pPr>
        <w:pStyle w:val="Paragraphedeliste"/>
        <w:numPr>
          <w:ilvl w:val="0"/>
          <w:numId w:val="2"/>
        </w:numPr>
        <w:jc w:val="both"/>
        <w:rPr>
          <w:rFonts w:ascii="Arial" w:hAnsi="Arial" w:cs="Arial"/>
        </w:rPr>
      </w:pPr>
      <w:r w:rsidRPr="00676F3B">
        <w:rPr>
          <w:rFonts w:ascii="Arial" w:hAnsi="Arial" w:cs="Arial"/>
        </w:rPr>
        <w:t>Les alluvions des vallées de l'Ouest : calcaires, très peu évolués, peu humifères mais riches en éléments échangeables. Ces sols, mis à part des taches sableuses ou à alcalis, sont très riches. De vastes surfaces attendent une mise en valeur par irrigation, car les pluies sont insuffisantes (Mangoky)</w:t>
      </w:r>
      <w:r w:rsidR="00D67A4A">
        <w:rPr>
          <w:rFonts w:ascii="Arial" w:hAnsi="Arial" w:cs="Arial"/>
        </w:rPr>
        <w:t>.</w:t>
      </w:r>
    </w:p>
    <w:p w14:paraId="68D60F28" w14:textId="77777777" w:rsidR="00592898" w:rsidRPr="00592898" w:rsidRDefault="00592898" w:rsidP="0044500E">
      <w:pPr>
        <w:pStyle w:val="TIT3"/>
        <w:numPr>
          <w:ilvl w:val="2"/>
          <w:numId w:val="177"/>
        </w:numPr>
      </w:pPr>
      <w:bookmarkStart w:id="287" w:name="_Toc124312658"/>
      <w:bookmarkStart w:id="288" w:name="_Toc124314654"/>
      <w:bookmarkStart w:id="289" w:name="_Toc124956133"/>
      <w:bookmarkStart w:id="290" w:name="_Toc125384532"/>
      <w:bookmarkStart w:id="291" w:name="_Toc125384921"/>
      <w:bookmarkStart w:id="292" w:name="_Toc127957593"/>
      <w:bookmarkEnd w:id="287"/>
      <w:r w:rsidRPr="00592898">
        <w:t>Ressource</w:t>
      </w:r>
      <w:r w:rsidR="002D4A3D">
        <w:t>s</w:t>
      </w:r>
      <w:r w:rsidRPr="00592898">
        <w:t xml:space="preserve"> en eau</w:t>
      </w:r>
      <w:bookmarkEnd w:id="288"/>
      <w:bookmarkEnd w:id="289"/>
      <w:bookmarkEnd w:id="290"/>
      <w:bookmarkEnd w:id="291"/>
      <w:bookmarkEnd w:id="292"/>
    </w:p>
    <w:p w14:paraId="7710660B" w14:textId="77777777" w:rsidR="00055101" w:rsidRPr="00055101" w:rsidRDefault="00055101" w:rsidP="0044500E">
      <w:pPr>
        <w:pStyle w:val="TIT40"/>
        <w:numPr>
          <w:ilvl w:val="3"/>
          <w:numId w:val="177"/>
        </w:numPr>
        <w:outlineLvl w:val="3"/>
      </w:pPr>
      <w:bookmarkStart w:id="293" w:name="_Toc124314655"/>
      <w:bookmarkStart w:id="294" w:name="_Toc124956134"/>
      <w:bookmarkStart w:id="295" w:name="_Toc125384533"/>
      <w:bookmarkStart w:id="296" w:name="_Toc125384922"/>
      <w:bookmarkStart w:id="297" w:name="_Toc127957594"/>
      <w:r w:rsidRPr="00055101">
        <w:t>Rivières</w:t>
      </w:r>
      <w:bookmarkEnd w:id="293"/>
      <w:bookmarkEnd w:id="294"/>
      <w:bookmarkEnd w:id="295"/>
      <w:bookmarkEnd w:id="296"/>
      <w:bookmarkEnd w:id="297"/>
      <w:r w:rsidRPr="00055101">
        <w:t xml:space="preserve"> </w:t>
      </w:r>
    </w:p>
    <w:p w14:paraId="4B279F25" w14:textId="77777777" w:rsidR="00592898" w:rsidRDefault="00CA7F16" w:rsidP="00AE406E">
      <w:pPr>
        <w:jc w:val="both"/>
        <w:rPr>
          <w:rFonts w:ascii="Arial" w:hAnsi="Arial" w:cs="Arial"/>
        </w:rPr>
      </w:pPr>
      <w:r w:rsidRPr="00CA7F16">
        <w:rPr>
          <w:rFonts w:ascii="Arial" w:hAnsi="Arial" w:cs="Arial"/>
        </w:rPr>
        <w:t xml:space="preserve">Madagascar est drainé par de nombreux fleuves et </w:t>
      </w:r>
      <w:r w:rsidR="002F45B5">
        <w:rPr>
          <w:rFonts w:ascii="Arial" w:hAnsi="Arial" w:cs="Arial"/>
        </w:rPr>
        <w:t>rivières se jetant soit vers l’E</w:t>
      </w:r>
      <w:r w:rsidRPr="00CA7F16">
        <w:rPr>
          <w:rFonts w:ascii="Arial" w:hAnsi="Arial" w:cs="Arial"/>
        </w:rPr>
        <w:t>st dans l’Océan Indien</w:t>
      </w:r>
      <w:r w:rsidR="003B6BEC">
        <w:rPr>
          <w:rFonts w:ascii="Arial" w:hAnsi="Arial" w:cs="Arial"/>
        </w:rPr>
        <w:t>, soit</w:t>
      </w:r>
      <w:r w:rsidRPr="00CA7F16">
        <w:rPr>
          <w:rFonts w:ascii="Arial" w:hAnsi="Arial" w:cs="Arial"/>
        </w:rPr>
        <w:t xml:space="preserve"> vers l’</w:t>
      </w:r>
      <w:r w:rsidR="003B6BEC">
        <w:rPr>
          <w:rFonts w:ascii="Arial" w:hAnsi="Arial" w:cs="Arial"/>
        </w:rPr>
        <w:t>O</w:t>
      </w:r>
      <w:r w:rsidRPr="00CA7F16">
        <w:rPr>
          <w:rFonts w:ascii="Arial" w:hAnsi="Arial" w:cs="Arial"/>
        </w:rPr>
        <w:t>uest dans le Canal de Mozambique. Tous prennent leur source dans les hautes terres centrales qui divisent l’écoulement oriental</w:t>
      </w:r>
      <w:r w:rsidR="009E26A4">
        <w:rPr>
          <w:rFonts w:ascii="Arial" w:hAnsi="Arial" w:cs="Arial"/>
        </w:rPr>
        <w:t xml:space="preserve"> </w:t>
      </w:r>
      <w:r w:rsidR="0005345A">
        <w:rPr>
          <w:rFonts w:ascii="Arial" w:hAnsi="Arial" w:cs="Arial"/>
        </w:rPr>
        <w:t xml:space="preserve"> </w:t>
      </w:r>
      <w:r w:rsidRPr="00CA7F16">
        <w:rPr>
          <w:rFonts w:ascii="Arial" w:hAnsi="Arial" w:cs="Arial"/>
        </w:rPr>
        <w:t>souvent torrentiel</w:t>
      </w:r>
      <w:r w:rsidR="0005345A">
        <w:rPr>
          <w:rFonts w:ascii="Arial" w:hAnsi="Arial" w:cs="Arial"/>
        </w:rPr>
        <w:t xml:space="preserve"> </w:t>
      </w:r>
      <w:r w:rsidR="009E26A4">
        <w:rPr>
          <w:rFonts w:ascii="Arial" w:hAnsi="Arial" w:cs="Arial"/>
        </w:rPr>
        <w:t xml:space="preserve"> </w:t>
      </w:r>
      <w:r w:rsidRPr="00CA7F16">
        <w:rPr>
          <w:rFonts w:ascii="Arial" w:hAnsi="Arial" w:cs="Arial"/>
        </w:rPr>
        <w:t>de l’écoulement occidental</w:t>
      </w:r>
      <w:r w:rsidR="009E26A4">
        <w:rPr>
          <w:rFonts w:ascii="Arial" w:hAnsi="Arial" w:cs="Arial"/>
        </w:rPr>
        <w:t xml:space="preserve"> </w:t>
      </w:r>
      <w:r w:rsidRPr="00CA7F16">
        <w:rPr>
          <w:rFonts w:ascii="Arial" w:hAnsi="Arial" w:cs="Arial"/>
        </w:rPr>
        <w:t xml:space="preserve">–lent et irrégulier. </w:t>
      </w:r>
    </w:p>
    <w:p w14:paraId="4A111EB0" w14:textId="77777777" w:rsidR="002F45B5" w:rsidRDefault="00CA7F16" w:rsidP="00CA7F16">
      <w:pPr>
        <w:jc w:val="both"/>
        <w:rPr>
          <w:rFonts w:ascii="Arial" w:hAnsi="Arial" w:cs="Arial"/>
        </w:rPr>
      </w:pPr>
      <w:r w:rsidRPr="00CA7F16">
        <w:rPr>
          <w:rFonts w:ascii="Arial" w:hAnsi="Arial" w:cs="Arial"/>
        </w:rPr>
        <w:t xml:space="preserve">Les cours d’eau sont généralement temporaires dans le </w:t>
      </w:r>
      <w:r w:rsidR="00D21FE2">
        <w:rPr>
          <w:rFonts w:ascii="Arial" w:hAnsi="Arial" w:cs="Arial"/>
        </w:rPr>
        <w:t>S</w:t>
      </w:r>
      <w:r w:rsidRPr="00CA7F16">
        <w:rPr>
          <w:rFonts w:ascii="Arial" w:hAnsi="Arial" w:cs="Arial"/>
        </w:rPr>
        <w:t xml:space="preserve">ud où le climat est plus sec. De manière </w:t>
      </w:r>
      <w:r w:rsidR="00CA127B" w:rsidRPr="00CA7F16">
        <w:rPr>
          <w:rFonts w:ascii="Arial" w:hAnsi="Arial" w:cs="Arial"/>
        </w:rPr>
        <w:t>générale</w:t>
      </w:r>
      <w:r w:rsidRPr="00CA7F16">
        <w:rPr>
          <w:rFonts w:ascii="Arial" w:hAnsi="Arial" w:cs="Arial"/>
        </w:rPr>
        <w:t xml:space="preserve">, le régime des eaux est très lié à celui des précipitations. Tout retard ou irrégularité </w:t>
      </w:r>
      <w:r w:rsidR="00D21FE2">
        <w:rPr>
          <w:rFonts w:ascii="Arial" w:hAnsi="Arial" w:cs="Arial"/>
        </w:rPr>
        <w:t xml:space="preserve">de la pluie </w:t>
      </w:r>
      <w:r w:rsidRPr="00CA7F16">
        <w:rPr>
          <w:rFonts w:ascii="Arial" w:hAnsi="Arial" w:cs="Arial"/>
        </w:rPr>
        <w:t xml:space="preserve">affecte l’approvisionnement en eau. </w:t>
      </w:r>
    </w:p>
    <w:p w14:paraId="0DD33463" w14:textId="77777777" w:rsidR="00CA127B" w:rsidRDefault="00472B26" w:rsidP="00CA7F16">
      <w:pPr>
        <w:jc w:val="both"/>
        <w:rPr>
          <w:rFonts w:ascii="Arial" w:hAnsi="Arial" w:cs="Arial"/>
        </w:rPr>
      </w:pPr>
      <w:r>
        <w:rPr>
          <w:rFonts w:ascii="Arial" w:hAnsi="Arial" w:cs="Arial"/>
        </w:rPr>
        <w:t xml:space="preserve">Le tableau suivant montre les caractéristiques des principaux cours d’eau capable de fournir </w:t>
      </w:r>
      <w:r w:rsidR="0044196E">
        <w:rPr>
          <w:rFonts w:ascii="Arial" w:hAnsi="Arial" w:cs="Arial"/>
        </w:rPr>
        <w:t xml:space="preserve">en </w:t>
      </w:r>
      <w:r>
        <w:rPr>
          <w:rFonts w:ascii="Arial" w:hAnsi="Arial" w:cs="Arial"/>
        </w:rPr>
        <w:t xml:space="preserve">énergies hydroélectrique </w:t>
      </w:r>
      <w:r w:rsidR="0044196E">
        <w:rPr>
          <w:rFonts w:ascii="Arial" w:hAnsi="Arial" w:cs="Arial"/>
        </w:rPr>
        <w:t>différent</w:t>
      </w:r>
      <w:r w:rsidR="00610711">
        <w:rPr>
          <w:rFonts w:ascii="Arial" w:hAnsi="Arial" w:cs="Arial"/>
        </w:rPr>
        <w:t>e</w:t>
      </w:r>
      <w:r w:rsidR="0044196E">
        <w:rPr>
          <w:rFonts w:ascii="Arial" w:hAnsi="Arial" w:cs="Arial"/>
        </w:rPr>
        <w:t xml:space="preserve">s localités de Madagascar </w:t>
      </w:r>
      <w:r>
        <w:rPr>
          <w:rFonts w:ascii="Arial" w:hAnsi="Arial" w:cs="Arial"/>
        </w:rPr>
        <w:t xml:space="preserve">ainsi que la puissance qu’on peut installer </w:t>
      </w:r>
    </w:p>
    <w:p w14:paraId="7A8D6366" w14:textId="77777777" w:rsidR="00CA127B" w:rsidRPr="00B434A6" w:rsidRDefault="00472B26" w:rsidP="00B434A6">
      <w:pPr>
        <w:pStyle w:val="Lgende"/>
        <w:jc w:val="center"/>
        <w:rPr>
          <w:sz w:val="20"/>
        </w:rPr>
      </w:pPr>
      <w:bookmarkStart w:id="298" w:name="_Toc127957803"/>
      <w:r w:rsidRPr="00B434A6">
        <w:rPr>
          <w:sz w:val="20"/>
        </w:rPr>
        <w:lastRenderedPageBreak/>
        <w:t xml:space="preserve">Tableau </w:t>
      </w:r>
      <w:r w:rsidRPr="00B434A6">
        <w:rPr>
          <w:sz w:val="20"/>
        </w:rPr>
        <w:fldChar w:fldCharType="begin"/>
      </w:r>
      <w:r w:rsidRPr="00B434A6">
        <w:rPr>
          <w:sz w:val="20"/>
        </w:rPr>
        <w:instrText xml:space="preserve"> SEQ Tableau \* ARABIC </w:instrText>
      </w:r>
      <w:r w:rsidRPr="00B434A6">
        <w:rPr>
          <w:sz w:val="20"/>
        </w:rPr>
        <w:fldChar w:fldCharType="separate"/>
      </w:r>
      <w:r w:rsidR="005430A1">
        <w:rPr>
          <w:noProof/>
          <w:sz w:val="20"/>
        </w:rPr>
        <w:t>7</w:t>
      </w:r>
      <w:r w:rsidRPr="00B434A6">
        <w:rPr>
          <w:sz w:val="20"/>
        </w:rPr>
        <w:fldChar w:fldCharType="end"/>
      </w:r>
      <w:r w:rsidRPr="00B434A6">
        <w:rPr>
          <w:sz w:val="20"/>
        </w:rPr>
        <w:t>. Caractéristiques des principaux cours d’eau avec leur puissance</w:t>
      </w:r>
      <w:bookmarkEnd w:id="298"/>
      <w:r w:rsidRPr="00B434A6">
        <w:rPr>
          <w:sz w:val="20"/>
        </w:rPr>
        <w:t xml:space="preserve"> </w:t>
      </w:r>
    </w:p>
    <w:tbl>
      <w:tblPr>
        <w:tblW w:w="8840" w:type="dxa"/>
        <w:tblInd w:w="55" w:type="dxa"/>
        <w:tblCellMar>
          <w:left w:w="70" w:type="dxa"/>
          <w:right w:w="70" w:type="dxa"/>
        </w:tblCellMar>
        <w:tblLook w:val="04A0" w:firstRow="1" w:lastRow="0" w:firstColumn="1" w:lastColumn="0" w:noHBand="0" w:noVBand="1"/>
      </w:tblPr>
      <w:tblGrid>
        <w:gridCol w:w="1840"/>
        <w:gridCol w:w="920"/>
        <w:gridCol w:w="1120"/>
        <w:gridCol w:w="1360"/>
        <w:gridCol w:w="1180"/>
        <w:gridCol w:w="1300"/>
        <w:gridCol w:w="1120"/>
      </w:tblGrid>
      <w:tr w:rsidR="00472B26" w:rsidRPr="00472B26" w14:paraId="5348F7C9" w14:textId="77777777" w:rsidTr="00B434A6">
        <w:trPr>
          <w:trHeight w:val="480"/>
          <w:tblHeader/>
        </w:trPr>
        <w:tc>
          <w:tcPr>
            <w:tcW w:w="1840" w:type="dxa"/>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1D2B2B0E" w14:textId="77777777" w:rsidR="00472B26" w:rsidRPr="00B434A6" w:rsidRDefault="00472B26" w:rsidP="00472B26">
            <w:pPr>
              <w:spacing w:after="0" w:line="240" w:lineRule="auto"/>
              <w:jc w:val="center"/>
              <w:rPr>
                <w:rFonts w:ascii="Arial" w:eastAsia="Times New Roman" w:hAnsi="Arial" w:cs="Arial"/>
                <w:b/>
                <w:bCs/>
                <w:color w:val="FFFFFF"/>
                <w:sz w:val="20"/>
                <w:szCs w:val="18"/>
                <w:lang w:eastAsia="fr-FR"/>
              </w:rPr>
            </w:pPr>
            <w:r w:rsidRPr="00B434A6">
              <w:rPr>
                <w:rFonts w:ascii="Arial" w:eastAsia="Times New Roman" w:hAnsi="Arial" w:cs="Arial"/>
                <w:b/>
                <w:bCs/>
                <w:color w:val="FFFFFF"/>
                <w:sz w:val="20"/>
                <w:szCs w:val="18"/>
                <w:lang w:eastAsia="fr-FR"/>
              </w:rPr>
              <w:t>Cours d'eau</w:t>
            </w:r>
          </w:p>
        </w:tc>
        <w:tc>
          <w:tcPr>
            <w:tcW w:w="920" w:type="dxa"/>
            <w:tcBorders>
              <w:top w:val="single" w:sz="4" w:space="0" w:color="000000"/>
              <w:left w:val="nil"/>
              <w:bottom w:val="single" w:sz="4" w:space="0" w:color="000000"/>
              <w:right w:val="single" w:sz="4" w:space="0" w:color="000000"/>
            </w:tcBorders>
            <w:shd w:val="clear" w:color="auto" w:fill="0070C0"/>
            <w:vAlign w:val="center"/>
            <w:hideMark/>
          </w:tcPr>
          <w:p w14:paraId="1C1F7A40" w14:textId="77777777" w:rsidR="00472B26" w:rsidRPr="00B434A6" w:rsidRDefault="00472B26" w:rsidP="00472B26">
            <w:pPr>
              <w:spacing w:after="0" w:line="240" w:lineRule="auto"/>
              <w:jc w:val="center"/>
              <w:rPr>
                <w:rFonts w:ascii="Arial" w:eastAsia="Times New Roman" w:hAnsi="Arial" w:cs="Arial"/>
                <w:b/>
                <w:bCs/>
                <w:color w:val="FFFFFF"/>
                <w:sz w:val="20"/>
                <w:szCs w:val="18"/>
                <w:lang w:eastAsia="fr-FR"/>
              </w:rPr>
            </w:pPr>
            <w:r w:rsidRPr="00B434A6">
              <w:rPr>
                <w:rFonts w:ascii="Arial" w:eastAsia="Times New Roman" w:hAnsi="Arial" w:cs="Arial"/>
                <w:b/>
                <w:bCs/>
                <w:color w:val="FFFFFF"/>
                <w:sz w:val="20"/>
                <w:szCs w:val="18"/>
                <w:lang w:eastAsia="fr-FR"/>
              </w:rPr>
              <w:t>B.V. (km²)</w:t>
            </w:r>
          </w:p>
        </w:tc>
        <w:tc>
          <w:tcPr>
            <w:tcW w:w="1120" w:type="dxa"/>
            <w:tcBorders>
              <w:top w:val="single" w:sz="4" w:space="0" w:color="000000"/>
              <w:left w:val="nil"/>
              <w:bottom w:val="single" w:sz="4" w:space="0" w:color="000000"/>
              <w:right w:val="single" w:sz="4" w:space="0" w:color="000000"/>
            </w:tcBorders>
            <w:shd w:val="clear" w:color="auto" w:fill="0070C0"/>
            <w:vAlign w:val="center"/>
            <w:hideMark/>
          </w:tcPr>
          <w:p w14:paraId="7EA1ABA2" w14:textId="77777777" w:rsidR="00472B26" w:rsidRPr="00B434A6" w:rsidRDefault="00472B26" w:rsidP="00472B26">
            <w:pPr>
              <w:spacing w:after="0" w:line="240" w:lineRule="auto"/>
              <w:jc w:val="center"/>
              <w:rPr>
                <w:rFonts w:ascii="Arial" w:eastAsia="Times New Roman" w:hAnsi="Arial" w:cs="Arial"/>
                <w:b/>
                <w:bCs/>
                <w:color w:val="FFFFFF"/>
                <w:sz w:val="20"/>
                <w:szCs w:val="18"/>
                <w:lang w:eastAsia="fr-FR"/>
              </w:rPr>
            </w:pPr>
            <w:r w:rsidRPr="00B434A6">
              <w:rPr>
                <w:rFonts w:ascii="Arial" w:eastAsia="Times New Roman" w:hAnsi="Arial" w:cs="Arial"/>
                <w:b/>
                <w:bCs/>
                <w:color w:val="FFFFFF"/>
                <w:sz w:val="20"/>
                <w:szCs w:val="18"/>
                <w:lang w:eastAsia="fr-FR"/>
              </w:rPr>
              <w:t>Module m</w:t>
            </w:r>
            <w:r w:rsidRPr="00B434A6">
              <w:rPr>
                <w:rFonts w:ascii="Arial" w:eastAsia="Times New Roman" w:hAnsi="Arial" w:cs="Arial"/>
                <w:b/>
                <w:bCs/>
                <w:color w:val="FFFFFF"/>
                <w:sz w:val="20"/>
                <w:szCs w:val="18"/>
                <w:vertAlign w:val="superscript"/>
                <w:lang w:eastAsia="fr-FR"/>
              </w:rPr>
              <w:t>3</w:t>
            </w:r>
            <w:r w:rsidRPr="00B434A6">
              <w:rPr>
                <w:rFonts w:ascii="Arial" w:eastAsia="Times New Roman" w:hAnsi="Arial" w:cs="Arial"/>
                <w:b/>
                <w:bCs/>
                <w:color w:val="FFFFFF"/>
                <w:sz w:val="20"/>
                <w:szCs w:val="18"/>
                <w:lang w:eastAsia="fr-FR"/>
              </w:rPr>
              <w:t>/s</w:t>
            </w:r>
          </w:p>
        </w:tc>
        <w:tc>
          <w:tcPr>
            <w:tcW w:w="1360" w:type="dxa"/>
            <w:tcBorders>
              <w:top w:val="single" w:sz="4" w:space="0" w:color="000000"/>
              <w:left w:val="nil"/>
              <w:bottom w:val="single" w:sz="4" w:space="0" w:color="000000"/>
              <w:right w:val="single" w:sz="4" w:space="0" w:color="000000"/>
            </w:tcBorders>
            <w:shd w:val="clear" w:color="auto" w:fill="0070C0"/>
            <w:vAlign w:val="center"/>
            <w:hideMark/>
          </w:tcPr>
          <w:p w14:paraId="1B426382" w14:textId="77777777" w:rsidR="00472B26" w:rsidRPr="00B434A6" w:rsidRDefault="00472B26" w:rsidP="00472B26">
            <w:pPr>
              <w:spacing w:after="0" w:line="240" w:lineRule="auto"/>
              <w:jc w:val="center"/>
              <w:rPr>
                <w:rFonts w:ascii="Arial" w:eastAsia="Times New Roman" w:hAnsi="Arial" w:cs="Arial"/>
                <w:b/>
                <w:bCs/>
                <w:color w:val="FFFFFF"/>
                <w:sz w:val="20"/>
                <w:szCs w:val="18"/>
                <w:lang w:eastAsia="fr-FR"/>
              </w:rPr>
            </w:pPr>
            <w:r w:rsidRPr="00B434A6">
              <w:rPr>
                <w:rFonts w:ascii="Arial" w:eastAsia="Times New Roman" w:hAnsi="Arial" w:cs="Arial"/>
                <w:b/>
                <w:bCs/>
                <w:color w:val="FFFFFF"/>
                <w:sz w:val="20"/>
                <w:szCs w:val="18"/>
                <w:lang w:eastAsia="fr-FR"/>
              </w:rPr>
              <w:t>Hauteur de chute (m)</w:t>
            </w:r>
          </w:p>
        </w:tc>
        <w:tc>
          <w:tcPr>
            <w:tcW w:w="1180" w:type="dxa"/>
            <w:tcBorders>
              <w:top w:val="single" w:sz="4" w:space="0" w:color="000000"/>
              <w:left w:val="nil"/>
              <w:bottom w:val="single" w:sz="4" w:space="0" w:color="000000"/>
              <w:right w:val="single" w:sz="4" w:space="0" w:color="000000"/>
            </w:tcBorders>
            <w:shd w:val="clear" w:color="auto" w:fill="0070C0"/>
            <w:vAlign w:val="center"/>
            <w:hideMark/>
          </w:tcPr>
          <w:p w14:paraId="5CF03D3A" w14:textId="77777777" w:rsidR="00472B26" w:rsidRPr="00B434A6" w:rsidRDefault="00472B26" w:rsidP="00472B26">
            <w:pPr>
              <w:spacing w:after="0" w:line="240" w:lineRule="auto"/>
              <w:jc w:val="center"/>
              <w:rPr>
                <w:rFonts w:ascii="Arial" w:eastAsia="Times New Roman" w:hAnsi="Arial" w:cs="Arial"/>
                <w:b/>
                <w:bCs/>
                <w:color w:val="FFFFFF"/>
                <w:sz w:val="20"/>
                <w:szCs w:val="18"/>
                <w:lang w:eastAsia="fr-FR"/>
              </w:rPr>
            </w:pPr>
            <w:r w:rsidRPr="00B434A6">
              <w:rPr>
                <w:rFonts w:ascii="Arial" w:eastAsia="Times New Roman" w:hAnsi="Arial" w:cs="Arial"/>
                <w:b/>
                <w:bCs/>
                <w:color w:val="FFFFFF"/>
                <w:sz w:val="20"/>
                <w:szCs w:val="18"/>
                <w:lang w:eastAsia="fr-FR"/>
              </w:rPr>
              <w:t>Débit équipé (m</w:t>
            </w:r>
            <w:r w:rsidRPr="00B434A6">
              <w:rPr>
                <w:rFonts w:ascii="Arial" w:eastAsia="Times New Roman" w:hAnsi="Arial" w:cs="Arial"/>
                <w:b/>
                <w:bCs/>
                <w:color w:val="FFFFFF"/>
                <w:sz w:val="20"/>
                <w:szCs w:val="18"/>
                <w:vertAlign w:val="superscript"/>
                <w:lang w:eastAsia="fr-FR"/>
              </w:rPr>
              <w:t>3</w:t>
            </w:r>
            <w:r w:rsidRPr="00B434A6">
              <w:rPr>
                <w:rFonts w:ascii="Arial" w:eastAsia="Times New Roman" w:hAnsi="Arial" w:cs="Arial"/>
                <w:b/>
                <w:bCs/>
                <w:color w:val="FFFFFF"/>
                <w:sz w:val="20"/>
                <w:szCs w:val="18"/>
                <w:lang w:eastAsia="fr-FR"/>
              </w:rPr>
              <w:t>/s)</w:t>
            </w:r>
          </w:p>
        </w:tc>
        <w:tc>
          <w:tcPr>
            <w:tcW w:w="1300" w:type="dxa"/>
            <w:tcBorders>
              <w:top w:val="single" w:sz="4" w:space="0" w:color="000000"/>
              <w:left w:val="nil"/>
              <w:bottom w:val="single" w:sz="4" w:space="0" w:color="000000"/>
              <w:right w:val="single" w:sz="4" w:space="0" w:color="000000"/>
            </w:tcBorders>
            <w:shd w:val="clear" w:color="auto" w:fill="0070C0"/>
            <w:vAlign w:val="center"/>
            <w:hideMark/>
          </w:tcPr>
          <w:p w14:paraId="0769D375" w14:textId="77777777" w:rsidR="00472B26" w:rsidRPr="00B434A6" w:rsidRDefault="00472B26" w:rsidP="00472B26">
            <w:pPr>
              <w:spacing w:after="0" w:line="240" w:lineRule="auto"/>
              <w:jc w:val="center"/>
              <w:rPr>
                <w:rFonts w:ascii="Arial" w:eastAsia="Times New Roman" w:hAnsi="Arial" w:cs="Arial"/>
                <w:b/>
                <w:bCs/>
                <w:color w:val="FFFFFF"/>
                <w:sz w:val="20"/>
                <w:szCs w:val="18"/>
                <w:lang w:eastAsia="fr-FR"/>
              </w:rPr>
            </w:pPr>
            <w:r w:rsidRPr="00B434A6">
              <w:rPr>
                <w:rFonts w:ascii="Arial" w:eastAsia="Times New Roman" w:hAnsi="Arial" w:cs="Arial"/>
                <w:b/>
                <w:bCs/>
                <w:color w:val="FFFFFF"/>
                <w:sz w:val="20"/>
                <w:szCs w:val="18"/>
                <w:lang w:eastAsia="fr-FR"/>
              </w:rPr>
              <w:t>Puissance installée (MW)</w:t>
            </w:r>
          </w:p>
        </w:tc>
        <w:tc>
          <w:tcPr>
            <w:tcW w:w="1120" w:type="dxa"/>
            <w:tcBorders>
              <w:top w:val="single" w:sz="4" w:space="0" w:color="000000"/>
              <w:left w:val="nil"/>
              <w:bottom w:val="single" w:sz="4" w:space="0" w:color="000000"/>
              <w:right w:val="single" w:sz="4" w:space="0" w:color="000000"/>
            </w:tcBorders>
            <w:shd w:val="clear" w:color="auto" w:fill="0070C0"/>
            <w:vAlign w:val="center"/>
            <w:hideMark/>
          </w:tcPr>
          <w:p w14:paraId="01E1ECE0" w14:textId="77777777" w:rsidR="00472B26" w:rsidRPr="00B434A6" w:rsidRDefault="00472B26" w:rsidP="00472B26">
            <w:pPr>
              <w:spacing w:after="0" w:line="240" w:lineRule="auto"/>
              <w:jc w:val="center"/>
              <w:rPr>
                <w:rFonts w:ascii="Arial" w:eastAsia="Times New Roman" w:hAnsi="Arial" w:cs="Arial"/>
                <w:b/>
                <w:bCs/>
                <w:color w:val="FFFFFF"/>
                <w:sz w:val="20"/>
                <w:szCs w:val="18"/>
                <w:lang w:eastAsia="fr-FR"/>
              </w:rPr>
            </w:pPr>
            <w:r w:rsidRPr="00B434A6">
              <w:rPr>
                <w:rFonts w:ascii="Arial" w:eastAsia="Times New Roman" w:hAnsi="Arial" w:cs="Arial"/>
                <w:b/>
                <w:bCs/>
                <w:color w:val="FFFFFF"/>
                <w:sz w:val="20"/>
                <w:szCs w:val="18"/>
                <w:lang w:eastAsia="fr-FR"/>
              </w:rPr>
              <w:t>Product (GWh/an)</w:t>
            </w:r>
          </w:p>
        </w:tc>
      </w:tr>
      <w:tr w:rsidR="00472B26" w:rsidRPr="00472B26" w14:paraId="2F700F69" w14:textId="77777777" w:rsidTr="00472B26">
        <w:trPr>
          <w:trHeight w:val="300"/>
        </w:trPr>
        <w:tc>
          <w:tcPr>
            <w:tcW w:w="1840" w:type="dxa"/>
            <w:tcBorders>
              <w:top w:val="nil"/>
              <w:left w:val="single" w:sz="4" w:space="0" w:color="000000"/>
              <w:bottom w:val="single" w:sz="4" w:space="0" w:color="000000"/>
              <w:right w:val="single" w:sz="4" w:space="0" w:color="000000"/>
            </w:tcBorders>
            <w:shd w:val="clear" w:color="auto" w:fill="auto"/>
            <w:vAlign w:val="center"/>
            <w:hideMark/>
          </w:tcPr>
          <w:p w14:paraId="3156AC85" w14:textId="77777777" w:rsidR="00472B26" w:rsidRPr="00B434A6" w:rsidRDefault="00472B26" w:rsidP="00472B26">
            <w:pPr>
              <w:spacing w:after="0" w:line="240" w:lineRule="auto"/>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Mania</w:t>
            </w:r>
          </w:p>
        </w:tc>
        <w:tc>
          <w:tcPr>
            <w:tcW w:w="920" w:type="dxa"/>
            <w:tcBorders>
              <w:top w:val="nil"/>
              <w:left w:val="nil"/>
              <w:bottom w:val="single" w:sz="4" w:space="0" w:color="000000"/>
              <w:right w:val="single" w:sz="4" w:space="0" w:color="000000"/>
            </w:tcBorders>
            <w:shd w:val="clear" w:color="000000" w:fill="FFFFFF"/>
            <w:vAlign w:val="center"/>
            <w:hideMark/>
          </w:tcPr>
          <w:p w14:paraId="65253445"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7115</w:t>
            </w:r>
          </w:p>
        </w:tc>
        <w:tc>
          <w:tcPr>
            <w:tcW w:w="1120" w:type="dxa"/>
            <w:tcBorders>
              <w:top w:val="nil"/>
              <w:left w:val="nil"/>
              <w:bottom w:val="single" w:sz="4" w:space="0" w:color="000000"/>
              <w:right w:val="single" w:sz="4" w:space="0" w:color="000000"/>
            </w:tcBorders>
            <w:shd w:val="clear" w:color="000000" w:fill="FFFFFF"/>
            <w:vAlign w:val="center"/>
            <w:hideMark/>
          </w:tcPr>
          <w:p w14:paraId="5F531F9E"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165</w:t>
            </w:r>
          </w:p>
        </w:tc>
        <w:tc>
          <w:tcPr>
            <w:tcW w:w="1360" w:type="dxa"/>
            <w:tcBorders>
              <w:top w:val="nil"/>
              <w:left w:val="nil"/>
              <w:bottom w:val="single" w:sz="4" w:space="0" w:color="000000"/>
              <w:right w:val="single" w:sz="4" w:space="0" w:color="000000"/>
            </w:tcBorders>
            <w:shd w:val="clear" w:color="000000" w:fill="FFFFFF"/>
            <w:vAlign w:val="center"/>
            <w:hideMark/>
          </w:tcPr>
          <w:p w14:paraId="12F0E776"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220</w:t>
            </w:r>
          </w:p>
        </w:tc>
        <w:tc>
          <w:tcPr>
            <w:tcW w:w="1180" w:type="dxa"/>
            <w:tcBorders>
              <w:top w:val="nil"/>
              <w:left w:val="nil"/>
              <w:bottom w:val="single" w:sz="4" w:space="0" w:color="000000"/>
              <w:right w:val="single" w:sz="4" w:space="0" w:color="000000"/>
            </w:tcBorders>
            <w:shd w:val="clear" w:color="000000" w:fill="FFFFFF"/>
            <w:vAlign w:val="center"/>
            <w:hideMark/>
          </w:tcPr>
          <w:p w14:paraId="3EEC6565"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115</w:t>
            </w:r>
          </w:p>
        </w:tc>
        <w:tc>
          <w:tcPr>
            <w:tcW w:w="1300" w:type="dxa"/>
            <w:tcBorders>
              <w:top w:val="nil"/>
              <w:left w:val="nil"/>
              <w:bottom w:val="single" w:sz="4" w:space="0" w:color="000000"/>
              <w:right w:val="single" w:sz="4" w:space="0" w:color="000000"/>
            </w:tcBorders>
            <w:shd w:val="clear" w:color="000000" w:fill="FFFFFF"/>
            <w:vAlign w:val="center"/>
            <w:hideMark/>
          </w:tcPr>
          <w:p w14:paraId="0DFAB121"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210</w:t>
            </w:r>
          </w:p>
        </w:tc>
        <w:tc>
          <w:tcPr>
            <w:tcW w:w="1120" w:type="dxa"/>
            <w:tcBorders>
              <w:top w:val="nil"/>
              <w:left w:val="nil"/>
              <w:bottom w:val="single" w:sz="4" w:space="0" w:color="000000"/>
              <w:right w:val="single" w:sz="4" w:space="0" w:color="000000"/>
            </w:tcBorders>
            <w:shd w:val="clear" w:color="000000" w:fill="FFFFFF"/>
            <w:vAlign w:val="center"/>
            <w:hideMark/>
          </w:tcPr>
          <w:p w14:paraId="656A05DE"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1550</w:t>
            </w:r>
          </w:p>
        </w:tc>
      </w:tr>
      <w:tr w:rsidR="00472B26" w:rsidRPr="00472B26" w14:paraId="748C2339" w14:textId="77777777" w:rsidTr="00472B26">
        <w:trPr>
          <w:trHeight w:val="300"/>
        </w:trPr>
        <w:tc>
          <w:tcPr>
            <w:tcW w:w="1840" w:type="dxa"/>
            <w:tcBorders>
              <w:top w:val="nil"/>
              <w:left w:val="single" w:sz="4" w:space="0" w:color="000000"/>
              <w:bottom w:val="single" w:sz="4" w:space="0" w:color="000000"/>
              <w:right w:val="single" w:sz="4" w:space="0" w:color="000000"/>
            </w:tcBorders>
            <w:shd w:val="clear" w:color="auto" w:fill="auto"/>
            <w:vAlign w:val="center"/>
            <w:hideMark/>
          </w:tcPr>
          <w:p w14:paraId="790BE8FC"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Maintinandry</w:t>
            </w:r>
          </w:p>
        </w:tc>
        <w:tc>
          <w:tcPr>
            <w:tcW w:w="920" w:type="dxa"/>
            <w:tcBorders>
              <w:top w:val="nil"/>
              <w:left w:val="nil"/>
              <w:bottom w:val="single" w:sz="4" w:space="0" w:color="000000"/>
              <w:right w:val="single" w:sz="4" w:space="0" w:color="000000"/>
            </w:tcBorders>
            <w:shd w:val="clear" w:color="000000" w:fill="FFFFFF"/>
            <w:vAlign w:val="center"/>
            <w:hideMark/>
          </w:tcPr>
          <w:p w14:paraId="58F61471"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294</w:t>
            </w:r>
          </w:p>
        </w:tc>
        <w:tc>
          <w:tcPr>
            <w:tcW w:w="1120" w:type="dxa"/>
            <w:tcBorders>
              <w:top w:val="nil"/>
              <w:left w:val="nil"/>
              <w:bottom w:val="single" w:sz="4" w:space="0" w:color="000000"/>
              <w:right w:val="single" w:sz="4" w:space="0" w:color="000000"/>
            </w:tcBorders>
            <w:shd w:val="clear" w:color="000000" w:fill="FFFFFF"/>
            <w:vAlign w:val="center"/>
            <w:hideMark/>
          </w:tcPr>
          <w:p w14:paraId="737B077E"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17</w:t>
            </w:r>
          </w:p>
        </w:tc>
        <w:tc>
          <w:tcPr>
            <w:tcW w:w="1360" w:type="dxa"/>
            <w:tcBorders>
              <w:top w:val="nil"/>
              <w:left w:val="nil"/>
              <w:bottom w:val="single" w:sz="4" w:space="0" w:color="000000"/>
              <w:right w:val="single" w:sz="4" w:space="0" w:color="000000"/>
            </w:tcBorders>
            <w:shd w:val="clear" w:color="000000" w:fill="FFFFFF"/>
            <w:vAlign w:val="center"/>
            <w:hideMark/>
          </w:tcPr>
          <w:p w14:paraId="51DB61D0"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350</w:t>
            </w:r>
          </w:p>
        </w:tc>
        <w:tc>
          <w:tcPr>
            <w:tcW w:w="1180" w:type="dxa"/>
            <w:tcBorders>
              <w:top w:val="nil"/>
              <w:left w:val="nil"/>
              <w:bottom w:val="single" w:sz="4" w:space="0" w:color="000000"/>
              <w:right w:val="single" w:sz="4" w:space="0" w:color="000000"/>
            </w:tcBorders>
            <w:shd w:val="clear" w:color="000000" w:fill="FFFFFF"/>
            <w:vAlign w:val="center"/>
            <w:hideMark/>
          </w:tcPr>
          <w:p w14:paraId="684437E9"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5</w:t>
            </w:r>
          </w:p>
        </w:tc>
        <w:tc>
          <w:tcPr>
            <w:tcW w:w="1300" w:type="dxa"/>
            <w:tcBorders>
              <w:top w:val="nil"/>
              <w:left w:val="nil"/>
              <w:bottom w:val="single" w:sz="4" w:space="0" w:color="000000"/>
              <w:right w:val="single" w:sz="4" w:space="0" w:color="000000"/>
            </w:tcBorders>
            <w:shd w:val="clear" w:color="000000" w:fill="FFFFFF"/>
            <w:vAlign w:val="center"/>
            <w:hideMark/>
          </w:tcPr>
          <w:p w14:paraId="1C21CD33"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14</w:t>
            </w:r>
          </w:p>
        </w:tc>
        <w:tc>
          <w:tcPr>
            <w:tcW w:w="1120" w:type="dxa"/>
            <w:tcBorders>
              <w:top w:val="nil"/>
              <w:left w:val="nil"/>
              <w:bottom w:val="single" w:sz="4" w:space="0" w:color="000000"/>
              <w:right w:val="single" w:sz="4" w:space="0" w:color="000000"/>
            </w:tcBorders>
            <w:shd w:val="clear" w:color="000000" w:fill="FFFFFF"/>
            <w:vAlign w:val="center"/>
            <w:hideMark/>
          </w:tcPr>
          <w:p w14:paraId="57C9D20D"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417</w:t>
            </w:r>
          </w:p>
        </w:tc>
      </w:tr>
      <w:tr w:rsidR="00472B26" w:rsidRPr="00472B26" w14:paraId="45A6E8F9" w14:textId="77777777" w:rsidTr="00472B26">
        <w:trPr>
          <w:trHeight w:val="300"/>
        </w:trPr>
        <w:tc>
          <w:tcPr>
            <w:tcW w:w="1840" w:type="dxa"/>
            <w:tcBorders>
              <w:top w:val="nil"/>
              <w:left w:val="single" w:sz="4" w:space="0" w:color="000000"/>
              <w:bottom w:val="single" w:sz="4" w:space="0" w:color="000000"/>
              <w:right w:val="single" w:sz="4" w:space="0" w:color="000000"/>
            </w:tcBorders>
            <w:shd w:val="clear" w:color="auto" w:fill="auto"/>
            <w:vAlign w:val="center"/>
            <w:hideMark/>
          </w:tcPr>
          <w:p w14:paraId="3F302E21"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Namorona</w:t>
            </w:r>
          </w:p>
        </w:tc>
        <w:tc>
          <w:tcPr>
            <w:tcW w:w="920" w:type="dxa"/>
            <w:tcBorders>
              <w:top w:val="nil"/>
              <w:left w:val="nil"/>
              <w:bottom w:val="single" w:sz="4" w:space="0" w:color="000000"/>
              <w:right w:val="single" w:sz="4" w:space="0" w:color="000000"/>
            </w:tcBorders>
            <w:shd w:val="clear" w:color="000000" w:fill="FFFFFF"/>
            <w:vAlign w:val="center"/>
            <w:hideMark/>
          </w:tcPr>
          <w:p w14:paraId="36667B89"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693</w:t>
            </w:r>
          </w:p>
        </w:tc>
        <w:tc>
          <w:tcPr>
            <w:tcW w:w="1120" w:type="dxa"/>
            <w:tcBorders>
              <w:top w:val="nil"/>
              <w:left w:val="nil"/>
              <w:bottom w:val="single" w:sz="4" w:space="0" w:color="000000"/>
              <w:right w:val="single" w:sz="4" w:space="0" w:color="000000"/>
            </w:tcBorders>
            <w:shd w:val="clear" w:color="000000" w:fill="FFFFFF"/>
            <w:vAlign w:val="center"/>
            <w:hideMark/>
          </w:tcPr>
          <w:p w14:paraId="149DFE8E"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19,8</w:t>
            </w:r>
          </w:p>
        </w:tc>
        <w:tc>
          <w:tcPr>
            <w:tcW w:w="1360" w:type="dxa"/>
            <w:tcBorders>
              <w:top w:val="nil"/>
              <w:left w:val="nil"/>
              <w:bottom w:val="single" w:sz="4" w:space="0" w:color="000000"/>
              <w:right w:val="single" w:sz="4" w:space="0" w:color="000000"/>
            </w:tcBorders>
            <w:shd w:val="clear" w:color="000000" w:fill="FFFFFF"/>
            <w:vAlign w:val="center"/>
            <w:hideMark/>
          </w:tcPr>
          <w:p w14:paraId="0C3B4184"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92</w:t>
            </w:r>
          </w:p>
        </w:tc>
        <w:tc>
          <w:tcPr>
            <w:tcW w:w="1180" w:type="dxa"/>
            <w:tcBorders>
              <w:top w:val="nil"/>
              <w:left w:val="nil"/>
              <w:bottom w:val="single" w:sz="4" w:space="0" w:color="000000"/>
              <w:right w:val="single" w:sz="4" w:space="0" w:color="000000"/>
            </w:tcBorders>
            <w:shd w:val="clear" w:color="000000" w:fill="FFFFFF"/>
            <w:vAlign w:val="center"/>
            <w:hideMark/>
          </w:tcPr>
          <w:p w14:paraId="584D13B5"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20</w:t>
            </w:r>
          </w:p>
        </w:tc>
        <w:tc>
          <w:tcPr>
            <w:tcW w:w="1300" w:type="dxa"/>
            <w:tcBorders>
              <w:top w:val="nil"/>
              <w:left w:val="nil"/>
              <w:bottom w:val="single" w:sz="4" w:space="0" w:color="000000"/>
              <w:right w:val="single" w:sz="4" w:space="0" w:color="000000"/>
            </w:tcBorders>
            <w:shd w:val="clear" w:color="000000" w:fill="FFFFFF"/>
            <w:vAlign w:val="center"/>
            <w:hideMark/>
          </w:tcPr>
          <w:p w14:paraId="1FF9EDC8"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16</w:t>
            </w:r>
          </w:p>
        </w:tc>
        <w:tc>
          <w:tcPr>
            <w:tcW w:w="1120" w:type="dxa"/>
            <w:tcBorders>
              <w:top w:val="nil"/>
              <w:left w:val="nil"/>
              <w:bottom w:val="single" w:sz="4" w:space="0" w:color="000000"/>
              <w:right w:val="single" w:sz="4" w:space="0" w:color="000000"/>
            </w:tcBorders>
            <w:shd w:val="clear" w:color="000000" w:fill="FFFFFF"/>
            <w:vAlign w:val="center"/>
            <w:hideMark/>
          </w:tcPr>
          <w:p w14:paraId="5223E221"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126</w:t>
            </w:r>
          </w:p>
        </w:tc>
      </w:tr>
      <w:tr w:rsidR="00472B26" w:rsidRPr="00472B26" w14:paraId="306BE147" w14:textId="77777777" w:rsidTr="00472B26">
        <w:trPr>
          <w:trHeight w:val="300"/>
        </w:trPr>
        <w:tc>
          <w:tcPr>
            <w:tcW w:w="1840" w:type="dxa"/>
            <w:tcBorders>
              <w:top w:val="nil"/>
              <w:left w:val="single" w:sz="4" w:space="0" w:color="000000"/>
              <w:bottom w:val="single" w:sz="4" w:space="0" w:color="000000"/>
              <w:right w:val="single" w:sz="4" w:space="0" w:color="000000"/>
            </w:tcBorders>
            <w:shd w:val="clear" w:color="auto" w:fill="auto"/>
            <w:vAlign w:val="center"/>
            <w:hideMark/>
          </w:tcPr>
          <w:p w14:paraId="2F448242"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Mananara</w:t>
            </w:r>
          </w:p>
        </w:tc>
        <w:tc>
          <w:tcPr>
            <w:tcW w:w="920" w:type="dxa"/>
            <w:tcBorders>
              <w:top w:val="nil"/>
              <w:left w:val="nil"/>
              <w:bottom w:val="single" w:sz="4" w:space="0" w:color="000000"/>
              <w:right w:val="single" w:sz="4" w:space="0" w:color="000000"/>
            </w:tcBorders>
            <w:shd w:val="clear" w:color="000000" w:fill="FFFFFF"/>
            <w:vAlign w:val="center"/>
            <w:hideMark/>
          </w:tcPr>
          <w:p w14:paraId="7245E3BB"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14460</w:t>
            </w:r>
          </w:p>
        </w:tc>
        <w:tc>
          <w:tcPr>
            <w:tcW w:w="1120" w:type="dxa"/>
            <w:tcBorders>
              <w:top w:val="nil"/>
              <w:left w:val="nil"/>
              <w:bottom w:val="single" w:sz="4" w:space="0" w:color="000000"/>
              <w:right w:val="single" w:sz="4" w:space="0" w:color="000000"/>
            </w:tcBorders>
            <w:shd w:val="clear" w:color="000000" w:fill="FFFFFF"/>
            <w:vAlign w:val="center"/>
            <w:hideMark/>
          </w:tcPr>
          <w:p w14:paraId="7E3E8141"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p>
        </w:tc>
        <w:tc>
          <w:tcPr>
            <w:tcW w:w="1360" w:type="dxa"/>
            <w:tcBorders>
              <w:top w:val="nil"/>
              <w:left w:val="nil"/>
              <w:bottom w:val="single" w:sz="4" w:space="0" w:color="000000"/>
              <w:right w:val="single" w:sz="4" w:space="0" w:color="000000"/>
            </w:tcBorders>
            <w:shd w:val="clear" w:color="000000" w:fill="FFFFFF"/>
            <w:vAlign w:val="center"/>
            <w:hideMark/>
          </w:tcPr>
          <w:p w14:paraId="3EF1926D"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400</w:t>
            </w:r>
          </w:p>
        </w:tc>
        <w:tc>
          <w:tcPr>
            <w:tcW w:w="1180" w:type="dxa"/>
            <w:tcBorders>
              <w:top w:val="nil"/>
              <w:left w:val="nil"/>
              <w:bottom w:val="single" w:sz="4" w:space="0" w:color="000000"/>
              <w:right w:val="single" w:sz="4" w:space="0" w:color="000000"/>
            </w:tcBorders>
            <w:shd w:val="clear" w:color="000000" w:fill="FFFFFF"/>
            <w:vAlign w:val="center"/>
            <w:hideMark/>
          </w:tcPr>
          <w:p w14:paraId="548B2428"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110</w:t>
            </w:r>
          </w:p>
        </w:tc>
        <w:tc>
          <w:tcPr>
            <w:tcW w:w="1300" w:type="dxa"/>
            <w:tcBorders>
              <w:top w:val="nil"/>
              <w:left w:val="nil"/>
              <w:bottom w:val="single" w:sz="4" w:space="0" w:color="000000"/>
              <w:right w:val="single" w:sz="4" w:space="0" w:color="000000"/>
            </w:tcBorders>
            <w:shd w:val="clear" w:color="000000" w:fill="FFFFFF"/>
            <w:vAlign w:val="center"/>
            <w:hideMark/>
          </w:tcPr>
          <w:p w14:paraId="78F6F416"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360</w:t>
            </w:r>
          </w:p>
        </w:tc>
        <w:tc>
          <w:tcPr>
            <w:tcW w:w="1120" w:type="dxa"/>
            <w:tcBorders>
              <w:top w:val="nil"/>
              <w:left w:val="nil"/>
              <w:bottom w:val="single" w:sz="4" w:space="0" w:color="000000"/>
              <w:right w:val="single" w:sz="4" w:space="0" w:color="000000"/>
            </w:tcBorders>
            <w:shd w:val="clear" w:color="000000" w:fill="FFFFFF"/>
            <w:vAlign w:val="center"/>
            <w:hideMark/>
          </w:tcPr>
          <w:p w14:paraId="34FEDCDD"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2800</w:t>
            </w:r>
          </w:p>
        </w:tc>
      </w:tr>
      <w:tr w:rsidR="00472B26" w:rsidRPr="00472B26" w14:paraId="08F7CEF9" w14:textId="77777777" w:rsidTr="00472B26">
        <w:trPr>
          <w:trHeight w:val="300"/>
        </w:trPr>
        <w:tc>
          <w:tcPr>
            <w:tcW w:w="1840" w:type="dxa"/>
            <w:tcBorders>
              <w:top w:val="nil"/>
              <w:left w:val="single" w:sz="4" w:space="0" w:color="000000"/>
              <w:bottom w:val="single" w:sz="4" w:space="0" w:color="000000"/>
              <w:right w:val="single" w:sz="4" w:space="0" w:color="000000"/>
            </w:tcBorders>
            <w:shd w:val="clear" w:color="auto" w:fill="auto"/>
            <w:vAlign w:val="center"/>
            <w:hideMark/>
          </w:tcPr>
          <w:p w14:paraId="35AE3636"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Ivoanana</w:t>
            </w:r>
          </w:p>
        </w:tc>
        <w:tc>
          <w:tcPr>
            <w:tcW w:w="920" w:type="dxa"/>
            <w:tcBorders>
              <w:top w:val="nil"/>
              <w:left w:val="nil"/>
              <w:bottom w:val="single" w:sz="4" w:space="0" w:color="000000"/>
              <w:right w:val="single" w:sz="4" w:space="0" w:color="000000"/>
            </w:tcBorders>
            <w:shd w:val="clear" w:color="000000" w:fill="FFFFFF"/>
            <w:vAlign w:val="center"/>
            <w:hideMark/>
          </w:tcPr>
          <w:p w14:paraId="77629227"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835</w:t>
            </w:r>
          </w:p>
        </w:tc>
        <w:tc>
          <w:tcPr>
            <w:tcW w:w="1120" w:type="dxa"/>
            <w:tcBorders>
              <w:top w:val="nil"/>
              <w:left w:val="nil"/>
              <w:bottom w:val="single" w:sz="4" w:space="0" w:color="000000"/>
              <w:right w:val="single" w:sz="4" w:space="0" w:color="000000"/>
            </w:tcBorders>
            <w:shd w:val="clear" w:color="000000" w:fill="FFFFFF"/>
            <w:vAlign w:val="center"/>
            <w:hideMark/>
          </w:tcPr>
          <w:p w14:paraId="1B8DC886"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44</w:t>
            </w:r>
          </w:p>
        </w:tc>
        <w:tc>
          <w:tcPr>
            <w:tcW w:w="1360" w:type="dxa"/>
            <w:tcBorders>
              <w:top w:val="nil"/>
              <w:left w:val="nil"/>
              <w:bottom w:val="single" w:sz="4" w:space="0" w:color="000000"/>
              <w:right w:val="single" w:sz="4" w:space="0" w:color="000000"/>
            </w:tcBorders>
            <w:shd w:val="clear" w:color="000000" w:fill="FFFFFF"/>
            <w:vAlign w:val="center"/>
            <w:hideMark/>
          </w:tcPr>
          <w:p w14:paraId="295274F4"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217</w:t>
            </w:r>
          </w:p>
        </w:tc>
        <w:tc>
          <w:tcPr>
            <w:tcW w:w="1180" w:type="dxa"/>
            <w:tcBorders>
              <w:top w:val="nil"/>
              <w:left w:val="nil"/>
              <w:bottom w:val="single" w:sz="4" w:space="0" w:color="000000"/>
              <w:right w:val="single" w:sz="4" w:space="0" w:color="000000"/>
            </w:tcBorders>
            <w:shd w:val="clear" w:color="000000" w:fill="FFFFFF"/>
            <w:vAlign w:val="center"/>
            <w:hideMark/>
          </w:tcPr>
          <w:p w14:paraId="5B5D77ED"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15</w:t>
            </w:r>
          </w:p>
        </w:tc>
        <w:tc>
          <w:tcPr>
            <w:tcW w:w="1300" w:type="dxa"/>
            <w:tcBorders>
              <w:top w:val="nil"/>
              <w:left w:val="nil"/>
              <w:bottom w:val="single" w:sz="4" w:space="0" w:color="000000"/>
              <w:right w:val="single" w:sz="4" w:space="0" w:color="000000"/>
            </w:tcBorders>
            <w:shd w:val="clear" w:color="000000" w:fill="FFFFFF"/>
            <w:vAlign w:val="center"/>
            <w:hideMark/>
          </w:tcPr>
          <w:p w14:paraId="2BCE9D49"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24</w:t>
            </w:r>
          </w:p>
        </w:tc>
        <w:tc>
          <w:tcPr>
            <w:tcW w:w="1120" w:type="dxa"/>
            <w:tcBorders>
              <w:top w:val="nil"/>
              <w:left w:val="nil"/>
              <w:bottom w:val="single" w:sz="4" w:space="0" w:color="000000"/>
              <w:right w:val="single" w:sz="4" w:space="0" w:color="000000"/>
            </w:tcBorders>
            <w:shd w:val="clear" w:color="000000" w:fill="FFFFFF"/>
            <w:vAlign w:val="center"/>
            <w:hideMark/>
          </w:tcPr>
          <w:p w14:paraId="3074B95C"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175</w:t>
            </w:r>
          </w:p>
        </w:tc>
      </w:tr>
      <w:tr w:rsidR="00472B26" w:rsidRPr="00472B26" w14:paraId="32FA4FD6" w14:textId="77777777" w:rsidTr="00472B26">
        <w:trPr>
          <w:trHeight w:val="300"/>
        </w:trPr>
        <w:tc>
          <w:tcPr>
            <w:tcW w:w="1840" w:type="dxa"/>
            <w:tcBorders>
              <w:top w:val="nil"/>
              <w:left w:val="single" w:sz="4" w:space="0" w:color="000000"/>
              <w:bottom w:val="single" w:sz="4" w:space="0" w:color="000000"/>
              <w:right w:val="single" w:sz="4" w:space="0" w:color="000000"/>
            </w:tcBorders>
            <w:shd w:val="clear" w:color="auto" w:fill="auto"/>
            <w:vAlign w:val="center"/>
            <w:hideMark/>
          </w:tcPr>
          <w:p w14:paraId="25CBE40D"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Imorona</w:t>
            </w:r>
          </w:p>
        </w:tc>
        <w:tc>
          <w:tcPr>
            <w:tcW w:w="920" w:type="dxa"/>
            <w:tcBorders>
              <w:top w:val="nil"/>
              <w:left w:val="nil"/>
              <w:bottom w:val="single" w:sz="4" w:space="0" w:color="000000"/>
              <w:right w:val="single" w:sz="4" w:space="0" w:color="000000"/>
            </w:tcBorders>
            <w:shd w:val="clear" w:color="000000" w:fill="FFFFFF"/>
            <w:vAlign w:val="center"/>
            <w:hideMark/>
          </w:tcPr>
          <w:p w14:paraId="19F8860A"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p>
        </w:tc>
        <w:tc>
          <w:tcPr>
            <w:tcW w:w="1120" w:type="dxa"/>
            <w:tcBorders>
              <w:top w:val="nil"/>
              <w:left w:val="nil"/>
              <w:bottom w:val="single" w:sz="4" w:space="0" w:color="000000"/>
              <w:right w:val="single" w:sz="4" w:space="0" w:color="000000"/>
            </w:tcBorders>
            <w:shd w:val="clear" w:color="000000" w:fill="FFFFFF"/>
            <w:vAlign w:val="center"/>
            <w:hideMark/>
          </w:tcPr>
          <w:p w14:paraId="6E3AF3C3"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44</w:t>
            </w:r>
          </w:p>
        </w:tc>
        <w:tc>
          <w:tcPr>
            <w:tcW w:w="1360" w:type="dxa"/>
            <w:tcBorders>
              <w:top w:val="nil"/>
              <w:left w:val="nil"/>
              <w:bottom w:val="single" w:sz="4" w:space="0" w:color="000000"/>
              <w:right w:val="single" w:sz="4" w:space="0" w:color="000000"/>
            </w:tcBorders>
            <w:shd w:val="clear" w:color="000000" w:fill="FFFFFF"/>
            <w:vAlign w:val="center"/>
            <w:hideMark/>
          </w:tcPr>
          <w:p w14:paraId="66A680A4"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28,5</w:t>
            </w:r>
          </w:p>
        </w:tc>
        <w:tc>
          <w:tcPr>
            <w:tcW w:w="1180" w:type="dxa"/>
            <w:tcBorders>
              <w:top w:val="nil"/>
              <w:left w:val="nil"/>
              <w:bottom w:val="single" w:sz="4" w:space="0" w:color="000000"/>
              <w:right w:val="single" w:sz="4" w:space="0" w:color="000000"/>
            </w:tcBorders>
            <w:shd w:val="clear" w:color="000000" w:fill="FFFFFF"/>
            <w:vAlign w:val="center"/>
            <w:hideMark/>
          </w:tcPr>
          <w:p w14:paraId="1CA1F6B6"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1,5</w:t>
            </w:r>
          </w:p>
        </w:tc>
        <w:tc>
          <w:tcPr>
            <w:tcW w:w="1300" w:type="dxa"/>
            <w:tcBorders>
              <w:top w:val="nil"/>
              <w:left w:val="nil"/>
              <w:bottom w:val="single" w:sz="4" w:space="0" w:color="000000"/>
              <w:right w:val="single" w:sz="4" w:space="0" w:color="000000"/>
            </w:tcBorders>
            <w:shd w:val="clear" w:color="000000" w:fill="FFFFFF"/>
            <w:vAlign w:val="center"/>
            <w:hideMark/>
          </w:tcPr>
          <w:p w14:paraId="0C826383"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0,32</w:t>
            </w:r>
          </w:p>
        </w:tc>
        <w:tc>
          <w:tcPr>
            <w:tcW w:w="1120" w:type="dxa"/>
            <w:tcBorders>
              <w:top w:val="nil"/>
              <w:left w:val="nil"/>
              <w:bottom w:val="single" w:sz="4" w:space="0" w:color="000000"/>
              <w:right w:val="single" w:sz="4" w:space="0" w:color="000000"/>
            </w:tcBorders>
            <w:shd w:val="clear" w:color="000000" w:fill="FFFFFF"/>
            <w:vAlign w:val="center"/>
            <w:hideMark/>
          </w:tcPr>
          <w:p w14:paraId="01303F55"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2,5</w:t>
            </w:r>
          </w:p>
        </w:tc>
      </w:tr>
      <w:tr w:rsidR="00472B26" w:rsidRPr="00472B26" w14:paraId="3FADB258" w14:textId="77777777" w:rsidTr="00B434A6">
        <w:trPr>
          <w:trHeight w:val="278"/>
        </w:trPr>
        <w:tc>
          <w:tcPr>
            <w:tcW w:w="1840" w:type="dxa"/>
            <w:tcBorders>
              <w:top w:val="nil"/>
              <w:left w:val="single" w:sz="4" w:space="0" w:color="000000"/>
              <w:bottom w:val="single" w:sz="4" w:space="0" w:color="000000"/>
              <w:right w:val="single" w:sz="4" w:space="0" w:color="000000"/>
            </w:tcBorders>
            <w:shd w:val="clear" w:color="auto" w:fill="auto"/>
            <w:vAlign w:val="center"/>
            <w:hideMark/>
          </w:tcPr>
          <w:p w14:paraId="47D581CF"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Ramena</w:t>
            </w:r>
          </w:p>
        </w:tc>
        <w:tc>
          <w:tcPr>
            <w:tcW w:w="920" w:type="dxa"/>
            <w:tcBorders>
              <w:top w:val="nil"/>
              <w:left w:val="nil"/>
              <w:bottom w:val="single" w:sz="4" w:space="0" w:color="000000"/>
              <w:right w:val="single" w:sz="4" w:space="0" w:color="000000"/>
            </w:tcBorders>
            <w:shd w:val="clear" w:color="000000" w:fill="FFFFFF"/>
            <w:vAlign w:val="center"/>
            <w:hideMark/>
          </w:tcPr>
          <w:p w14:paraId="64E1C8F6"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759</w:t>
            </w:r>
          </w:p>
        </w:tc>
        <w:tc>
          <w:tcPr>
            <w:tcW w:w="1120" w:type="dxa"/>
            <w:tcBorders>
              <w:top w:val="nil"/>
              <w:left w:val="nil"/>
              <w:bottom w:val="single" w:sz="4" w:space="0" w:color="000000"/>
              <w:right w:val="single" w:sz="4" w:space="0" w:color="000000"/>
            </w:tcBorders>
            <w:shd w:val="clear" w:color="000000" w:fill="FFFFFF"/>
            <w:vAlign w:val="center"/>
            <w:hideMark/>
          </w:tcPr>
          <w:p w14:paraId="44E776F5"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38,2</w:t>
            </w:r>
          </w:p>
        </w:tc>
        <w:tc>
          <w:tcPr>
            <w:tcW w:w="1360" w:type="dxa"/>
            <w:tcBorders>
              <w:top w:val="nil"/>
              <w:left w:val="nil"/>
              <w:bottom w:val="single" w:sz="4" w:space="0" w:color="000000"/>
              <w:right w:val="single" w:sz="4" w:space="0" w:color="000000"/>
            </w:tcBorders>
            <w:shd w:val="clear" w:color="000000" w:fill="FFFFFF"/>
            <w:vAlign w:val="center"/>
            <w:hideMark/>
          </w:tcPr>
          <w:p w14:paraId="7ECB7CED"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89</w:t>
            </w:r>
          </w:p>
        </w:tc>
        <w:tc>
          <w:tcPr>
            <w:tcW w:w="1180" w:type="dxa"/>
            <w:tcBorders>
              <w:top w:val="nil"/>
              <w:left w:val="nil"/>
              <w:bottom w:val="single" w:sz="4" w:space="0" w:color="000000"/>
              <w:right w:val="single" w:sz="4" w:space="0" w:color="000000"/>
            </w:tcBorders>
            <w:shd w:val="clear" w:color="000000" w:fill="FFFFFF"/>
            <w:vAlign w:val="center"/>
            <w:hideMark/>
          </w:tcPr>
          <w:p w14:paraId="5F848DD3"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9,7</w:t>
            </w:r>
          </w:p>
        </w:tc>
        <w:tc>
          <w:tcPr>
            <w:tcW w:w="1300" w:type="dxa"/>
            <w:tcBorders>
              <w:top w:val="nil"/>
              <w:left w:val="nil"/>
              <w:bottom w:val="single" w:sz="4" w:space="0" w:color="000000"/>
              <w:right w:val="single" w:sz="4" w:space="0" w:color="000000"/>
            </w:tcBorders>
            <w:shd w:val="clear" w:color="000000" w:fill="FFFFFF"/>
            <w:vAlign w:val="center"/>
            <w:hideMark/>
          </w:tcPr>
          <w:p w14:paraId="7B41D00F"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6,75</w:t>
            </w:r>
          </w:p>
        </w:tc>
        <w:tc>
          <w:tcPr>
            <w:tcW w:w="1120" w:type="dxa"/>
            <w:tcBorders>
              <w:top w:val="nil"/>
              <w:left w:val="nil"/>
              <w:bottom w:val="single" w:sz="4" w:space="0" w:color="000000"/>
              <w:right w:val="single" w:sz="4" w:space="0" w:color="000000"/>
            </w:tcBorders>
            <w:shd w:val="clear" w:color="000000" w:fill="FFFFFF"/>
            <w:vAlign w:val="center"/>
            <w:hideMark/>
          </w:tcPr>
          <w:p w14:paraId="26D7CBAF"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56</w:t>
            </w:r>
          </w:p>
        </w:tc>
      </w:tr>
      <w:tr w:rsidR="00472B26" w:rsidRPr="00472B26" w14:paraId="656F579E" w14:textId="77777777" w:rsidTr="00B434A6">
        <w:trPr>
          <w:trHeight w:val="281"/>
        </w:trPr>
        <w:tc>
          <w:tcPr>
            <w:tcW w:w="1840" w:type="dxa"/>
            <w:tcBorders>
              <w:top w:val="nil"/>
              <w:left w:val="single" w:sz="4" w:space="0" w:color="000000"/>
              <w:bottom w:val="single" w:sz="4" w:space="0" w:color="000000"/>
              <w:right w:val="single" w:sz="4" w:space="0" w:color="000000"/>
            </w:tcBorders>
            <w:shd w:val="clear" w:color="auto" w:fill="auto"/>
            <w:vAlign w:val="center"/>
            <w:hideMark/>
          </w:tcPr>
          <w:p w14:paraId="059FB589" w14:textId="77777777" w:rsidR="00472B26" w:rsidRPr="00E41B22" w:rsidRDefault="00472B26" w:rsidP="00CB1F35">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Mahavavy-Nord</w:t>
            </w:r>
          </w:p>
        </w:tc>
        <w:tc>
          <w:tcPr>
            <w:tcW w:w="920" w:type="dxa"/>
            <w:tcBorders>
              <w:top w:val="nil"/>
              <w:left w:val="nil"/>
              <w:bottom w:val="single" w:sz="4" w:space="0" w:color="000000"/>
              <w:right w:val="single" w:sz="4" w:space="0" w:color="000000"/>
            </w:tcBorders>
            <w:shd w:val="clear" w:color="000000" w:fill="FFFFFF"/>
            <w:vAlign w:val="center"/>
            <w:hideMark/>
          </w:tcPr>
          <w:p w14:paraId="5B03FAE5"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800</w:t>
            </w:r>
          </w:p>
        </w:tc>
        <w:tc>
          <w:tcPr>
            <w:tcW w:w="1120" w:type="dxa"/>
            <w:tcBorders>
              <w:top w:val="nil"/>
              <w:left w:val="nil"/>
              <w:bottom w:val="single" w:sz="4" w:space="0" w:color="000000"/>
              <w:right w:val="single" w:sz="4" w:space="0" w:color="000000"/>
            </w:tcBorders>
            <w:shd w:val="clear" w:color="000000" w:fill="FFFFFF"/>
            <w:vAlign w:val="center"/>
            <w:hideMark/>
          </w:tcPr>
          <w:p w14:paraId="42BD10E3"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11,4</w:t>
            </w:r>
          </w:p>
        </w:tc>
        <w:tc>
          <w:tcPr>
            <w:tcW w:w="1360" w:type="dxa"/>
            <w:tcBorders>
              <w:top w:val="nil"/>
              <w:left w:val="nil"/>
              <w:bottom w:val="single" w:sz="4" w:space="0" w:color="000000"/>
              <w:right w:val="single" w:sz="4" w:space="0" w:color="000000"/>
            </w:tcBorders>
            <w:shd w:val="clear" w:color="000000" w:fill="FFFFFF"/>
            <w:vAlign w:val="center"/>
            <w:hideMark/>
          </w:tcPr>
          <w:p w14:paraId="6A3DAB4E"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150</w:t>
            </w:r>
          </w:p>
        </w:tc>
        <w:tc>
          <w:tcPr>
            <w:tcW w:w="1180" w:type="dxa"/>
            <w:tcBorders>
              <w:top w:val="nil"/>
              <w:left w:val="nil"/>
              <w:bottom w:val="single" w:sz="4" w:space="0" w:color="000000"/>
              <w:right w:val="single" w:sz="4" w:space="0" w:color="000000"/>
            </w:tcBorders>
            <w:shd w:val="clear" w:color="000000" w:fill="FFFFFF"/>
            <w:vAlign w:val="center"/>
            <w:hideMark/>
          </w:tcPr>
          <w:p w14:paraId="5AE1BD2E"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15</w:t>
            </w:r>
          </w:p>
        </w:tc>
        <w:tc>
          <w:tcPr>
            <w:tcW w:w="1300" w:type="dxa"/>
            <w:tcBorders>
              <w:top w:val="nil"/>
              <w:left w:val="nil"/>
              <w:bottom w:val="single" w:sz="4" w:space="0" w:color="000000"/>
              <w:right w:val="single" w:sz="4" w:space="0" w:color="000000"/>
            </w:tcBorders>
            <w:shd w:val="clear" w:color="000000" w:fill="FFFFFF"/>
            <w:vAlign w:val="center"/>
            <w:hideMark/>
          </w:tcPr>
          <w:p w14:paraId="2123727E"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15</w:t>
            </w:r>
          </w:p>
        </w:tc>
        <w:tc>
          <w:tcPr>
            <w:tcW w:w="1120" w:type="dxa"/>
            <w:tcBorders>
              <w:top w:val="nil"/>
              <w:left w:val="nil"/>
              <w:bottom w:val="single" w:sz="4" w:space="0" w:color="000000"/>
              <w:right w:val="single" w:sz="4" w:space="0" w:color="000000"/>
            </w:tcBorders>
            <w:shd w:val="clear" w:color="000000" w:fill="FFFFFF"/>
            <w:vAlign w:val="center"/>
            <w:hideMark/>
          </w:tcPr>
          <w:p w14:paraId="67EC0B03"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114</w:t>
            </w:r>
          </w:p>
        </w:tc>
      </w:tr>
      <w:tr w:rsidR="00472B26" w:rsidRPr="00472B26" w14:paraId="79DAA078" w14:textId="77777777" w:rsidTr="00472B26">
        <w:trPr>
          <w:trHeight w:val="300"/>
        </w:trPr>
        <w:tc>
          <w:tcPr>
            <w:tcW w:w="1840" w:type="dxa"/>
            <w:tcBorders>
              <w:top w:val="nil"/>
              <w:left w:val="single" w:sz="4" w:space="0" w:color="000000"/>
              <w:bottom w:val="single" w:sz="4" w:space="0" w:color="000000"/>
              <w:right w:val="single" w:sz="4" w:space="0" w:color="000000"/>
            </w:tcBorders>
            <w:shd w:val="clear" w:color="auto" w:fill="auto"/>
            <w:vAlign w:val="center"/>
            <w:hideMark/>
          </w:tcPr>
          <w:p w14:paraId="7B8126F4" w14:textId="77777777" w:rsidR="00472B26" w:rsidRPr="00E41B22" w:rsidRDefault="00472B26" w:rsidP="00CB1F35">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Lokoho</w:t>
            </w:r>
          </w:p>
        </w:tc>
        <w:tc>
          <w:tcPr>
            <w:tcW w:w="920" w:type="dxa"/>
            <w:tcBorders>
              <w:top w:val="nil"/>
              <w:left w:val="nil"/>
              <w:bottom w:val="single" w:sz="4" w:space="0" w:color="000000"/>
              <w:right w:val="single" w:sz="4" w:space="0" w:color="000000"/>
            </w:tcBorders>
            <w:shd w:val="clear" w:color="000000" w:fill="FFFFFF"/>
            <w:vAlign w:val="center"/>
            <w:hideMark/>
          </w:tcPr>
          <w:p w14:paraId="24C067B0"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1075</w:t>
            </w:r>
          </w:p>
        </w:tc>
        <w:tc>
          <w:tcPr>
            <w:tcW w:w="1120" w:type="dxa"/>
            <w:tcBorders>
              <w:top w:val="nil"/>
              <w:left w:val="nil"/>
              <w:bottom w:val="single" w:sz="4" w:space="0" w:color="000000"/>
              <w:right w:val="single" w:sz="4" w:space="0" w:color="000000"/>
            </w:tcBorders>
            <w:shd w:val="clear" w:color="000000" w:fill="FFFFFF"/>
            <w:vAlign w:val="center"/>
            <w:hideMark/>
          </w:tcPr>
          <w:p w14:paraId="045686F6"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56</w:t>
            </w:r>
          </w:p>
        </w:tc>
        <w:tc>
          <w:tcPr>
            <w:tcW w:w="1360" w:type="dxa"/>
            <w:tcBorders>
              <w:top w:val="nil"/>
              <w:left w:val="nil"/>
              <w:bottom w:val="single" w:sz="4" w:space="0" w:color="000000"/>
              <w:right w:val="single" w:sz="4" w:space="0" w:color="000000"/>
            </w:tcBorders>
            <w:shd w:val="clear" w:color="000000" w:fill="FFFFFF"/>
            <w:vAlign w:val="center"/>
            <w:hideMark/>
          </w:tcPr>
          <w:p w14:paraId="06842B71"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52,2</w:t>
            </w:r>
          </w:p>
        </w:tc>
        <w:tc>
          <w:tcPr>
            <w:tcW w:w="1180" w:type="dxa"/>
            <w:tcBorders>
              <w:top w:val="nil"/>
              <w:left w:val="nil"/>
              <w:bottom w:val="single" w:sz="4" w:space="0" w:color="000000"/>
              <w:right w:val="single" w:sz="4" w:space="0" w:color="000000"/>
            </w:tcBorders>
            <w:shd w:val="clear" w:color="000000" w:fill="FFFFFF"/>
            <w:vAlign w:val="center"/>
            <w:hideMark/>
          </w:tcPr>
          <w:p w14:paraId="178337A4"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15</w:t>
            </w:r>
          </w:p>
        </w:tc>
        <w:tc>
          <w:tcPr>
            <w:tcW w:w="1300" w:type="dxa"/>
            <w:tcBorders>
              <w:top w:val="nil"/>
              <w:left w:val="nil"/>
              <w:bottom w:val="single" w:sz="4" w:space="0" w:color="000000"/>
              <w:right w:val="single" w:sz="4" w:space="0" w:color="000000"/>
            </w:tcBorders>
            <w:shd w:val="clear" w:color="000000" w:fill="FFFFFF"/>
            <w:vAlign w:val="center"/>
            <w:hideMark/>
          </w:tcPr>
          <w:p w14:paraId="1FFA3ACA"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6</w:t>
            </w:r>
          </w:p>
        </w:tc>
        <w:tc>
          <w:tcPr>
            <w:tcW w:w="1120" w:type="dxa"/>
            <w:tcBorders>
              <w:top w:val="nil"/>
              <w:left w:val="nil"/>
              <w:bottom w:val="single" w:sz="4" w:space="0" w:color="000000"/>
              <w:right w:val="single" w:sz="4" w:space="0" w:color="000000"/>
            </w:tcBorders>
            <w:shd w:val="clear" w:color="000000" w:fill="FFFFFF"/>
            <w:vAlign w:val="center"/>
            <w:hideMark/>
          </w:tcPr>
          <w:p w14:paraId="5DAE114D"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24</w:t>
            </w:r>
          </w:p>
        </w:tc>
      </w:tr>
      <w:tr w:rsidR="00472B26" w:rsidRPr="00472B26" w14:paraId="566FE163" w14:textId="77777777" w:rsidTr="00472B26">
        <w:trPr>
          <w:trHeight w:val="300"/>
        </w:trPr>
        <w:tc>
          <w:tcPr>
            <w:tcW w:w="1840" w:type="dxa"/>
            <w:tcBorders>
              <w:top w:val="nil"/>
              <w:left w:val="single" w:sz="4" w:space="0" w:color="000000"/>
              <w:bottom w:val="single" w:sz="4" w:space="0" w:color="000000"/>
              <w:right w:val="single" w:sz="4" w:space="0" w:color="000000"/>
            </w:tcBorders>
            <w:shd w:val="clear" w:color="auto" w:fill="auto"/>
            <w:vAlign w:val="center"/>
            <w:hideMark/>
          </w:tcPr>
          <w:p w14:paraId="534B1234"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Mania</w:t>
            </w:r>
          </w:p>
        </w:tc>
        <w:tc>
          <w:tcPr>
            <w:tcW w:w="920" w:type="dxa"/>
            <w:tcBorders>
              <w:top w:val="nil"/>
              <w:left w:val="nil"/>
              <w:bottom w:val="single" w:sz="4" w:space="0" w:color="000000"/>
              <w:right w:val="single" w:sz="4" w:space="0" w:color="000000"/>
            </w:tcBorders>
            <w:shd w:val="clear" w:color="auto" w:fill="auto"/>
            <w:vAlign w:val="center"/>
            <w:hideMark/>
          </w:tcPr>
          <w:p w14:paraId="0206436A"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17 163</w:t>
            </w:r>
          </w:p>
        </w:tc>
        <w:tc>
          <w:tcPr>
            <w:tcW w:w="1120" w:type="dxa"/>
            <w:tcBorders>
              <w:top w:val="nil"/>
              <w:left w:val="nil"/>
              <w:bottom w:val="single" w:sz="4" w:space="0" w:color="000000"/>
              <w:right w:val="single" w:sz="4" w:space="0" w:color="000000"/>
            </w:tcBorders>
            <w:shd w:val="clear" w:color="auto" w:fill="auto"/>
            <w:vAlign w:val="center"/>
            <w:hideMark/>
          </w:tcPr>
          <w:p w14:paraId="4554E9E9"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378</w:t>
            </w:r>
          </w:p>
        </w:tc>
        <w:tc>
          <w:tcPr>
            <w:tcW w:w="1360" w:type="dxa"/>
            <w:tcBorders>
              <w:top w:val="nil"/>
              <w:left w:val="nil"/>
              <w:bottom w:val="single" w:sz="4" w:space="0" w:color="000000"/>
              <w:right w:val="single" w:sz="4" w:space="0" w:color="000000"/>
            </w:tcBorders>
            <w:shd w:val="clear" w:color="auto" w:fill="auto"/>
            <w:vAlign w:val="center"/>
            <w:hideMark/>
          </w:tcPr>
          <w:p w14:paraId="659E7685"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57</w:t>
            </w:r>
          </w:p>
        </w:tc>
        <w:tc>
          <w:tcPr>
            <w:tcW w:w="1180" w:type="dxa"/>
            <w:tcBorders>
              <w:top w:val="nil"/>
              <w:left w:val="nil"/>
              <w:bottom w:val="single" w:sz="4" w:space="0" w:color="000000"/>
              <w:right w:val="single" w:sz="4" w:space="0" w:color="000000"/>
            </w:tcBorders>
            <w:shd w:val="clear" w:color="auto" w:fill="auto"/>
            <w:vAlign w:val="center"/>
            <w:hideMark/>
          </w:tcPr>
          <w:p w14:paraId="0B35CC39"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80</w:t>
            </w:r>
          </w:p>
        </w:tc>
        <w:tc>
          <w:tcPr>
            <w:tcW w:w="1300" w:type="dxa"/>
            <w:tcBorders>
              <w:top w:val="nil"/>
              <w:left w:val="nil"/>
              <w:bottom w:val="single" w:sz="4" w:space="0" w:color="000000"/>
              <w:right w:val="single" w:sz="4" w:space="0" w:color="000000"/>
            </w:tcBorders>
            <w:shd w:val="clear" w:color="auto" w:fill="auto"/>
            <w:vAlign w:val="center"/>
            <w:hideMark/>
          </w:tcPr>
          <w:p w14:paraId="29E85C82"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36</w:t>
            </w:r>
          </w:p>
        </w:tc>
        <w:tc>
          <w:tcPr>
            <w:tcW w:w="1120" w:type="dxa"/>
            <w:tcBorders>
              <w:top w:val="nil"/>
              <w:left w:val="nil"/>
              <w:bottom w:val="single" w:sz="4" w:space="0" w:color="000000"/>
              <w:right w:val="single" w:sz="4" w:space="0" w:color="000000"/>
            </w:tcBorders>
            <w:shd w:val="clear" w:color="auto" w:fill="auto"/>
            <w:vAlign w:val="center"/>
            <w:hideMark/>
          </w:tcPr>
          <w:p w14:paraId="5231AABC"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1 510</w:t>
            </w:r>
          </w:p>
        </w:tc>
      </w:tr>
      <w:tr w:rsidR="00472B26" w:rsidRPr="00472B26" w14:paraId="7EAAAC4D" w14:textId="77777777" w:rsidTr="00472B26">
        <w:trPr>
          <w:trHeight w:val="300"/>
        </w:trPr>
        <w:tc>
          <w:tcPr>
            <w:tcW w:w="1840" w:type="dxa"/>
            <w:tcBorders>
              <w:top w:val="nil"/>
              <w:left w:val="single" w:sz="4" w:space="0" w:color="000000"/>
              <w:bottom w:val="single" w:sz="4" w:space="0" w:color="000000"/>
              <w:right w:val="single" w:sz="4" w:space="0" w:color="000000"/>
            </w:tcBorders>
            <w:shd w:val="clear" w:color="000000" w:fill="FFFFFF"/>
            <w:vAlign w:val="center"/>
            <w:hideMark/>
          </w:tcPr>
          <w:p w14:paraId="1D266CCE"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Iandratsay</w:t>
            </w:r>
          </w:p>
        </w:tc>
        <w:tc>
          <w:tcPr>
            <w:tcW w:w="920" w:type="dxa"/>
            <w:tcBorders>
              <w:top w:val="nil"/>
              <w:left w:val="nil"/>
              <w:bottom w:val="single" w:sz="4" w:space="0" w:color="000000"/>
              <w:right w:val="single" w:sz="4" w:space="0" w:color="000000"/>
            </w:tcBorders>
            <w:shd w:val="clear" w:color="000000" w:fill="FFFFFF"/>
            <w:vAlign w:val="center"/>
            <w:hideMark/>
          </w:tcPr>
          <w:p w14:paraId="6628EC81"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2 248</w:t>
            </w:r>
          </w:p>
        </w:tc>
        <w:tc>
          <w:tcPr>
            <w:tcW w:w="1120" w:type="dxa"/>
            <w:tcBorders>
              <w:top w:val="nil"/>
              <w:left w:val="nil"/>
              <w:bottom w:val="single" w:sz="4" w:space="0" w:color="000000"/>
              <w:right w:val="single" w:sz="4" w:space="0" w:color="000000"/>
            </w:tcBorders>
            <w:shd w:val="clear" w:color="000000" w:fill="FFFFFF"/>
            <w:vAlign w:val="center"/>
            <w:hideMark/>
          </w:tcPr>
          <w:p w14:paraId="4B06109E"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57</w:t>
            </w:r>
          </w:p>
        </w:tc>
        <w:tc>
          <w:tcPr>
            <w:tcW w:w="1360" w:type="dxa"/>
            <w:tcBorders>
              <w:top w:val="nil"/>
              <w:left w:val="nil"/>
              <w:bottom w:val="single" w:sz="4" w:space="0" w:color="000000"/>
              <w:right w:val="single" w:sz="4" w:space="0" w:color="000000"/>
            </w:tcBorders>
            <w:shd w:val="clear" w:color="000000" w:fill="FFFFFF"/>
            <w:vAlign w:val="center"/>
            <w:hideMark/>
          </w:tcPr>
          <w:p w14:paraId="42B84BA0"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140</w:t>
            </w:r>
          </w:p>
        </w:tc>
        <w:tc>
          <w:tcPr>
            <w:tcW w:w="1180" w:type="dxa"/>
            <w:tcBorders>
              <w:top w:val="nil"/>
              <w:left w:val="nil"/>
              <w:bottom w:val="single" w:sz="4" w:space="0" w:color="000000"/>
              <w:right w:val="single" w:sz="4" w:space="0" w:color="000000"/>
            </w:tcBorders>
            <w:shd w:val="clear" w:color="000000" w:fill="FFFFFF"/>
            <w:vAlign w:val="center"/>
            <w:hideMark/>
          </w:tcPr>
          <w:p w14:paraId="333A04E1"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50</w:t>
            </w:r>
          </w:p>
        </w:tc>
        <w:tc>
          <w:tcPr>
            <w:tcW w:w="1300" w:type="dxa"/>
            <w:tcBorders>
              <w:top w:val="nil"/>
              <w:left w:val="nil"/>
              <w:bottom w:val="single" w:sz="4" w:space="0" w:color="000000"/>
              <w:right w:val="single" w:sz="4" w:space="0" w:color="000000"/>
            </w:tcBorders>
            <w:shd w:val="clear" w:color="000000" w:fill="FFFFFF"/>
            <w:vAlign w:val="center"/>
            <w:hideMark/>
          </w:tcPr>
          <w:p w14:paraId="53D9F7B7"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55</w:t>
            </w:r>
          </w:p>
        </w:tc>
        <w:tc>
          <w:tcPr>
            <w:tcW w:w="1120" w:type="dxa"/>
            <w:tcBorders>
              <w:top w:val="nil"/>
              <w:left w:val="nil"/>
              <w:bottom w:val="single" w:sz="4" w:space="0" w:color="000000"/>
              <w:right w:val="single" w:sz="4" w:space="0" w:color="000000"/>
            </w:tcBorders>
            <w:shd w:val="clear" w:color="000000" w:fill="FFFFFF"/>
            <w:vAlign w:val="center"/>
            <w:hideMark/>
          </w:tcPr>
          <w:p w14:paraId="6C01085C"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559</w:t>
            </w:r>
          </w:p>
        </w:tc>
      </w:tr>
      <w:tr w:rsidR="00472B26" w:rsidRPr="00472B26" w14:paraId="3F9AC177" w14:textId="77777777" w:rsidTr="00472B26">
        <w:trPr>
          <w:trHeight w:val="300"/>
        </w:trPr>
        <w:tc>
          <w:tcPr>
            <w:tcW w:w="1840" w:type="dxa"/>
            <w:tcBorders>
              <w:top w:val="nil"/>
              <w:left w:val="single" w:sz="4" w:space="0" w:color="000000"/>
              <w:bottom w:val="single" w:sz="4" w:space="0" w:color="000000"/>
              <w:right w:val="single" w:sz="4" w:space="0" w:color="000000"/>
            </w:tcBorders>
            <w:shd w:val="clear" w:color="000000" w:fill="FFFFFF"/>
            <w:vAlign w:val="center"/>
            <w:hideMark/>
          </w:tcPr>
          <w:p w14:paraId="74A101FA"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Iandratsay</w:t>
            </w:r>
          </w:p>
        </w:tc>
        <w:tc>
          <w:tcPr>
            <w:tcW w:w="920" w:type="dxa"/>
            <w:tcBorders>
              <w:top w:val="nil"/>
              <w:left w:val="nil"/>
              <w:bottom w:val="single" w:sz="4" w:space="0" w:color="000000"/>
              <w:right w:val="single" w:sz="4" w:space="0" w:color="000000"/>
            </w:tcBorders>
            <w:shd w:val="clear" w:color="000000" w:fill="FFFFFF"/>
            <w:vAlign w:val="center"/>
            <w:hideMark/>
          </w:tcPr>
          <w:p w14:paraId="5FD5C556"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3 429</w:t>
            </w:r>
          </w:p>
        </w:tc>
        <w:tc>
          <w:tcPr>
            <w:tcW w:w="1120" w:type="dxa"/>
            <w:tcBorders>
              <w:top w:val="nil"/>
              <w:left w:val="nil"/>
              <w:bottom w:val="single" w:sz="4" w:space="0" w:color="000000"/>
              <w:right w:val="single" w:sz="4" w:space="0" w:color="000000"/>
            </w:tcBorders>
            <w:shd w:val="clear" w:color="000000" w:fill="FFFFFF"/>
            <w:vAlign w:val="center"/>
            <w:hideMark/>
          </w:tcPr>
          <w:p w14:paraId="27005547"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85</w:t>
            </w:r>
          </w:p>
        </w:tc>
        <w:tc>
          <w:tcPr>
            <w:tcW w:w="1360" w:type="dxa"/>
            <w:tcBorders>
              <w:top w:val="nil"/>
              <w:left w:val="nil"/>
              <w:bottom w:val="single" w:sz="4" w:space="0" w:color="000000"/>
              <w:right w:val="single" w:sz="4" w:space="0" w:color="000000"/>
            </w:tcBorders>
            <w:shd w:val="clear" w:color="000000" w:fill="FFFFFF"/>
            <w:vAlign w:val="center"/>
            <w:hideMark/>
          </w:tcPr>
          <w:p w14:paraId="52D440E2"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175</w:t>
            </w:r>
          </w:p>
        </w:tc>
        <w:tc>
          <w:tcPr>
            <w:tcW w:w="1180" w:type="dxa"/>
            <w:tcBorders>
              <w:top w:val="nil"/>
              <w:left w:val="nil"/>
              <w:bottom w:val="single" w:sz="4" w:space="0" w:color="000000"/>
              <w:right w:val="single" w:sz="4" w:space="0" w:color="000000"/>
            </w:tcBorders>
            <w:shd w:val="clear" w:color="000000" w:fill="FFFFFF"/>
            <w:vAlign w:val="center"/>
            <w:hideMark/>
          </w:tcPr>
          <w:p w14:paraId="33CA11DE"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75</w:t>
            </w:r>
          </w:p>
        </w:tc>
        <w:tc>
          <w:tcPr>
            <w:tcW w:w="1300" w:type="dxa"/>
            <w:tcBorders>
              <w:top w:val="nil"/>
              <w:left w:val="nil"/>
              <w:bottom w:val="single" w:sz="4" w:space="0" w:color="000000"/>
              <w:right w:val="single" w:sz="4" w:space="0" w:color="000000"/>
            </w:tcBorders>
            <w:shd w:val="clear" w:color="000000" w:fill="FFFFFF"/>
            <w:vAlign w:val="center"/>
            <w:hideMark/>
          </w:tcPr>
          <w:p w14:paraId="6A1C3D79"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105</w:t>
            </w:r>
          </w:p>
        </w:tc>
        <w:tc>
          <w:tcPr>
            <w:tcW w:w="1120" w:type="dxa"/>
            <w:tcBorders>
              <w:top w:val="nil"/>
              <w:left w:val="nil"/>
              <w:bottom w:val="single" w:sz="4" w:space="0" w:color="000000"/>
              <w:right w:val="single" w:sz="4" w:space="0" w:color="000000"/>
            </w:tcBorders>
            <w:shd w:val="clear" w:color="000000" w:fill="FFFFFF"/>
            <w:vAlign w:val="center"/>
            <w:hideMark/>
          </w:tcPr>
          <w:p w14:paraId="586F4444"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920</w:t>
            </w:r>
          </w:p>
        </w:tc>
      </w:tr>
      <w:tr w:rsidR="00472B26" w:rsidRPr="00472B26" w14:paraId="36E24DD9" w14:textId="77777777" w:rsidTr="00472B26">
        <w:trPr>
          <w:trHeight w:val="300"/>
        </w:trPr>
        <w:tc>
          <w:tcPr>
            <w:tcW w:w="18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EFCC720"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Maintinandry</w:t>
            </w:r>
          </w:p>
        </w:tc>
        <w:tc>
          <w:tcPr>
            <w:tcW w:w="920" w:type="dxa"/>
            <w:tcBorders>
              <w:top w:val="nil"/>
              <w:left w:val="nil"/>
              <w:bottom w:val="single" w:sz="4" w:space="0" w:color="000000"/>
              <w:right w:val="single" w:sz="4" w:space="0" w:color="000000"/>
            </w:tcBorders>
            <w:shd w:val="clear" w:color="000000" w:fill="FFFFFF"/>
            <w:vAlign w:val="center"/>
            <w:hideMark/>
          </w:tcPr>
          <w:p w14:paraId="326FE8BF"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294</w:t>
            </w:r>
          </w:p>
        </w:tc>
        <w:tc>
          <w:tcPr>
            <w:tcW w:w="1120" w:type="dxa"/>
            <w:tcBorders>
              <w:top w:val="nil"/>
              <w:left w:val="nil"/>
              <w:bottom w:val="single" w:sz="4" w:space="0" w:color="000000"/>
              <w:right w:val="single" w:sz="4" w:space="0" w:color="000000"/>
            </w:tcBorders>
            <w:shd w:val="clear" w:color="000000" w:fill="FFFFFF"/>
            <w:vAlign w:val="center"/>
            <w:hideMark/>
          </w:tcPr>
          <w:p w14:paraId="0A40C43A"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17</w:t>
            </w:r>
          </w:p>
        </w:tc>
        <w:tc>
          <w:tcPr>
            <w:tcW w:w="1360" w:type="dxa"/>
            <w:tcBorders>
              <w:top w:val="nil"/>
              <w:left w:val="nil"/>
              <w:bottom w:val="single" w:sz="4" w:space="0" w:color="000000"/>
              <w:right w:val="single" w:sz="4" w:space="0" w:color="000000"/>
            </w:tcBorders>
            <w:shd w:val="clear" w:color="000000" w:fill="FFFFFF"/>
            <w:vAlign w:val="center"/>
            <w:hideMark/>
          </w:tcPr>
          <w:p w14:paraId="71B49A91"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350</w:t>
            </w:r>
          </w:p>
        </w:tc>
        <w:tc>
          <w:tcPr>
            <w:tcW w:w="1180" w:type="dxa"/>
            <w:tcBorders>
              <w:top w:val="nil"/>
              <w:left w:val="nil"/>
              <w:bottom w:val="single" w:sz="4" w:space="0" w:color="000000"/>
              <w:right w:val="single" w:sz="4" w:space="0" w:color="000000"/>
            </w:tcBorders>
            <w:shd w:val="clear" w:color="000000" w:fill="FFFFFF"/>
            <w:vAlign w:val="center"/>
            <w:hideMark/>
          </w:tcPr>
          <w:p w14:paraId="389AA10A"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5</w:t>
            </w:r>
          </w:p>
        </w:tc>
        <w:tc>
          <w:tcPr>
            <w:tcW w:w="1300" w:type="dxa"/>
            <w:tcBorders>
              <w:top w:val="nil"/>
              <w:left w:val="nil"/>
              <w:bottom w:val="single" w:sz="4" w:space="0" w:color="000000"/>
              <w:right w:val="single" w:sz="4" w:space="0" w:color="000000"/>
            </w:tcBorders>
            <w:shd w:val="clear" w:color="000000" w:fill="FFFFFF"/>
            <w:vAlign w:val="center"/>
            <w:hideMark/>
          </w:tcPr>
          <w:p w14:paraId="1F20D9EC"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14</w:t>
            </w:r>
          </w:p>
        </w:tc>
        <w:tc>
          <w:tcPr>
            <w:tcW w:w="1120" w:type="dxa"/>
            <w:tcBorders>
              <w:top w:val="nil"/>
              <w:left w:val="nil"/>
              <w:bottom w:val="single" w:sz="4" w:space="0" w:color="000000"/>
              <w:right w:val="single" w:sz="4" w:space="0" w:color="000000"/>
            </w:tcBorders>
            <w:shd w:val="clear" w:color="000000" w:fill="FFFFFF"/>
            <w:vAlign w:val="center"/>
            <w:hideMark/>
          </w:tcPr>
          <w:p w14:paraId="4A54EBAE"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417</w:t>
            </w:r>
          </w:p>
        </w:tc>
      </w:tr>
      <w:tr w:rsidR="00472B26" w:rsidRPr="00472B26" w14:paraId="2EC21BC0" w14:textId="77777777" w:rsidTr="00472B26">
        <w:trPr>
          <w:trHeight w:val="300"/>
        </w:trPr>
        <w:tc>
          <w:tcPr>
            <w:tcW w:w="1840" w:type="dxa"/>
            <w:vMerge/>
            <w:tcBorders>
              <w:top w:val="nil"/>
              <w:left w:val="single" w:sz="4" w:space="0" w:color="000000"/>
              <w:bottom w:val="single" w:sz="4" w:space="0" w:color="000000"/>
              <w:right w:val="single" w:sz="4" w:space="0" w:color="000000"/>
            </w:tcBorders>
            <w:vAlign w:val="center"/>
            <w:hideMark/>
          </w:tcPr>
          <w:p w14:paraId="22D15D4B" w14:textId="77777777" w:rsidR="00472B26" w:rsidRPr="00E41B22" w:rsidRDefault="00472B26" w:rsidP="00CB1F35">
            <w:pPr>
              <w:spacing w:after="0" w:line="240" w:lineRule="auto"/>
              <w:rPr>
                <w:rFonts w:ascii="Arial" w:eastAsia="Times New Roman" w:hAnsi="Arial" w:cs="Arial"/>
                <w:color w:val="000000"/>
                <w:sz w:val="18"/>
                <w:szCs w:val="18"/>
                <w:lang w:eastAsia="fr-FR"/>
              </w:rPr>
            </w:pPr>
          </w:p>
        </w:tc>
        <w:tc>
          <w:tcPr>
            <w:tcW w:w="920" w:type="dxa"/>
            <w:tcBorders>
              <w:top w:val="nil"/>
              <w:left w:val="nil"/>
              <w:bottom w:val="single" w:sz="4" w:space="0" w:color="000000"/>
              <w:right w:val="single" w:sz="4" w:space="0" w:color="000000"/>
            </w:tcBorders>
            <w:shd w:val="clear" w:color="auto" w:fill="auto"/>
            <w:vAlign w:val="center"/>
            <w:hideMark/>
          </w:tcPr>
          <w:p w14:paraId="54F4C975"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310</w:t>
            </w:r>
          </w:p>
        </w:tc>
        <w:tc>
          <w:tcPr>
            <w:tcW w:w="1120" w:type="dxa"/>
            <w:tcBorders>
              <w:top w:val="nil"/>
              <w:left w:val="nil"/>
              <w:bottom w:val="single" w:sz="4" w:space="0" w:color="000000"/>
              <w:right w:val="single" w:sz="4" w:space="0" w:color="000000"/>
            </w:tcBorders>
            <w:shd w:val="clear" w:color="auto" w:fill="auto"/>
            <w:vAlign w:val="center"/>
            <w:hideMark/>
          </w:tcPr>
          <w:p w14:paraId="4DE164B8"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w:t>
            </w:r>
          </w:p>
        </w:tc>
        <w:tc>
          <w:tcPr>
            <w:tcW w:w="1360" w:type="dxa"/>
            <w:tcBorders>
              <w:top w:val="nil"/>
              <w:left w:val="nil"/>
              <w:bottom w:val="single" w:sz="4" w:space="0" w:color="000000"/>
              <w:right w:val="single" w:sz="4" w:space="0" w:color="000000"/>
            </w:tcBorders>
            <w:shd w:val="clear" w:color="auto" w:fill="auto"/>
            <w:vAlign w:val="center"/>
            <w:hideMark/>
          </w:tcPr>
          <w:p w14:paraId="5AE1D12A"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322</w:t>
            </w:r>
          </w:p>
        </w:tc>
        <w:tc>
          <w:tcPr>
            <w:tcW w:w="1180" w:type="dxa"/>
            <w:tcBorders>
              <w:top w:val="nil"/>
              <w:left w:val="nil"/>
              <w:bottom w:val="single" w:sz="4" w:space="0" w:color="000000"/>
              <w:right w:val="single" w:sz="4" w:space="0" w:color="000000"/>
            </w:tcBorders>
            <w:shd w:val="clear" w:color="auto" w:fill="auto"/>
            <w:vAlign w:val="center"/>
            <w:hideMark/>
          </w:tcPr>
          <w:p w14:paraId="24222ECC"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13</w:t>
            </w:r>
          </w:p>
        </w:tc>
        <w:tc>
          <w:tcPr>
            <w:tcW w:w="1300" w:type="dxa"/>
            <w:tcBorders>
              <w:top w:val="nil"/>
              <w:left w:val="nil"/>
              <w:bottom w:val="single" w:sz="4" w:space="0" w:color="000000"/>
              <w:right w:val="single" w:sz="4" w:space="0" w:color="000000"/>
            </w:tcBorders>
            <w:shd w:val="clear" w:color="auto" w:fill="auto"/>
            <w:vAlign w:val="center"/>
            <w:hideMark/>
          </w:tcPr>
          <w:p w14:paraId="4E6A0939"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33</w:t>
            </w:r>
          </w:p>
        </w:tc>
        <w:tc>
          <w:tcPr>
            <w:tcW w:w="1120" w:type="dxa"/>
            <w:tcBorders>
              <w:top w:val="nil"/>
              <w:left w:val="nil"/>
              <w:bottom w:val="single" w:sz="4" w:space="0" w:color="000000"/>
              <w:right w:val="single" w:sz="4" w:space="0" w:color="000000"/>
            </w:tcBorders>
            <w:shd w:val="clear" w:color="auto" w:fill="auto"/>
            <w:vAlign w:val="center"/>
            <w:hideMark/>
          </w:tcPr>
          <w:p w14:paraId="54F0A3A0"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260</w:t>
            </w:r>
          </w:p>
        </w:tc>
      </w:tr>
      <w:tr w:rsidR="00472B26" w:rsidRPr="00472B26" w14:paraId="197C247B" w14:textId="77777777" w:rsidTr="00472B26">
        <w:trPr>
          <w:trHeight w:val="300"/>
        </w:trPr>
        <w:tc>
          <w:tcPr>
            <w:tcW w:w="18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7AF5A6E"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Onive</w:t>
            </w:r>
          </w:p>
        </w:tc>
        <w:tc>
          <w:tcPr>
            <w:tcW w:w="920" w:type="dxa"/>
            <w:tcBorders>
              <w:top w:val="nil"/>
              <w:left w:val="nil"/>
              <w:bottom w:val="single" w:sz="4" w:space="0" w:color="000000"/>
              <w:right w:val="single" w:sz="4" w:space="0" w:color="000000"/>
            </w:tcBorders>
            <w:shd w:val="clear" w:color="000000" w:fill="FFFFFF"/>
            <w:vAlign w:val="center"/>
            <w:hideMark/>
          </w:tcPr>
          <w:p w14:paraId="4D2D2B51"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4700</w:t>
            </w:r>
          </w:p>
        </w:tc>
        <w:tc>
          <w:tcPr>
            <w:tcW w:w="1120" w:type="dxa"/>
            <w:tcBorders>
              <w:top w:val="nil"/>
              <w:left w:val="nil"/>
              <w:bottom w:val="single" w:sz="4" w:space="0" w:color="000000"/>
              <w:right w:val="single" w:sz="4" w:space="0" w:color="000000"/>
            </w:tcBorders>
            <w:shd w:val="clear" w:color="000000" w:fill="FFFFFF"/>
            <w:vAlign w:val="center"/>
            <w:hideMark/>
          </w:tcPr>
          <w:p w14:paraId="58E397D8"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w:t>
            </w:r>
          </w:p>
        </w:tc>
        <w:tc>
          <w:tcPr>
            <w:tcW w:w="1360" w:type="dxa"/>
            <w:tcBorders>
              <w:top w:val="nil"/>
              <w:left w:val="nil"/>
              <w:bottom w:val="single" w:sz="4" w:space="0" w:color="000000"/>
              <w:right w:val="single" w:sz="4" w:space="0" w:color="000000"/>
            </w:tcBorders>
            <w:shd w:val="clear" w:color="000000" w:fill="FFFFFF"/>
            <w:vAlign w:val="center"/>
            <w:hideMark/>
          </w:tcPr>
          <w:p w14:paraId="2E451602"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650</w:t>
            </w:r>
          </w:p>
        </w:tc>
        <w:tc>
          <w:tcPr>
            <w:tcW w:w="1180" w:type="dxa"/>
            <w:tcBorders>
              <w:top w:val="nil"/>
              <w:left w:val="nil"/>
              <w:bottom w:val="single" w:sz="4" w:space="0" w:color="000000"/>
              <w:right w:val="single" w:sz="4" w:space="0" w:color="000000"/>
            </w:tcBorders>
            <w:shd w:val="clear" w:color="000000" w:fill="FFFFFF"/>
            <w:vAlign w:val="center"/>
            <w:hideMark/>
          </w:tcPr>
          <w:p w14:paraId="2B6A0AB8"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20</w:t>
            </w:r>
          </w:p>
        </w:tc>
        <w:tc>
          <w:tcPr>
            <w:tcW w:w="1300" w:type="dxa"/>
            <w:tcBorders>
              <w:top w:val="nil"/>
              <w:left w:val="nil"/>
              <w:bottom w:val="single" w:sz="4" w:space="0" w:color="000000"/>
              <w:right w:val="single" w:sz="4" w:space="0" w:color="000000"/>
            </w:tcBorders>
            <w:shd w:val="clear" w:color="000000" w:fill="FFFFFF"/>
            <w:vAlign w:val="center"/>
            <w:hideMark/>
          </w:tcPr>
          <w:p w14:paraId="1E29ECF8"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105</w:t>
            </w:r>
          </w:p>
        </w:tc>
        <w:tc>
          <w:tcPr>
            <w:tcW w:w="1120" w:type="dxa"/>
            <w:tcBorders>
              <w:top w:val="nil"/>
              <w:left w:val="nil"/>
              <w:bottom w:val="single" w:sz="4" w:space="0" w:color="000000"/>
              <w:right w:val="single" w:sz="4" w:space="0" w:color="000000"/>
            </w:tcBorders>
            <w:shd w:val="clear" w:color="000000" w:fill="FFFFFF"/>
            <w:vAlign w:val="center"/>
            <w:hideMark/>
          </w:tcPr>
          <w:p w14:paraId="49749B71"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919,8</w:t>
            </w:r>
          </w:p>
        </w:tc>
      </w:tr>
      <w:tr w:rsidR="00472B26" w:rsidRPr="00472B26" w14:paraId="1078F8DA" w14:textId="77777777" w:rsidTr="00472B26">
        <w:trPr>
          <w:trHeight w:val="300"/>
        </w:trPr>
        <w:tc>
          <w:tcPr>
            <w:tcW w:w="1840" w:type="dxa"/>
            <w:vMerge/>
            <w:tcBorders>
              <w:top w:val="nil"/>
              <w:left w:val="single" w:sz="4" w:space="0" w:color="000000"/>
              <w:bottom w:val="single" w:sz="4" w:space="0" w:color="000000"/>
              <w:right w:val="single" w:sz="4" w:space="0" w:color="000000"/>
            </w:tcBorders>
            <w:vAlign w:val="center"/>
            <w:hideMark/>
          </w:tcPr>
          <w:p w14:paraId="4A9041C6" w14:textId="77777777" w:rsidR="00472B26" w:rsidRPr="00E41B22" w:rsidRDefault="00472B26" w:rsidP="00CB1F35">
            <w:pPr>
              <w:spacing w:after="0" w:line="240" w:lineRule="auto"/>
              <w:rPr>
                <w:rFonts w:ascii="Arial" w:eastAsia="Times New Roman" w:hAnsi="Arial" w:cs="Arial"/>
                <w:color w:val="000000"/>
                <w:sz w:val="18"/>
                <w:szCs w:val="18"/>
                <w:lang w:eastAsia="fr-FR"/>
              </w:rPr>
            </w:pPr>
          </w:p>
        </w:tc>
        <w:tc>
          <w:tcPr>
            <w:tcW w:w="920" w:type="dxa"/>
            <w:tcBorders>
              <w:top w:val="nil"/>
              <w:left w:val="nil"/>
              <w:bottom w:val="single" w:sz="4" w:space="0" w:color="000000"/>
              <w:right w:val="single" w:sz="4" w:space="0" w:color="000000"/>
            </w:tcBorders>
            <w:shd w:val="clear" w:color="auto" w:fill="auto"/>
            <w:vAlign w:val="center"/>
            <w:hideMark/>
          </w:tcPr>
          <w:p w14:paraId="1B382086"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4700</w:t>
            </w:r>
          </w:p>
        </w:tc>
        <w:tc>
          <w:tcPr>
            <w:tcW w:w="1120" w:type="dxa"/>
            <w:tcBorders>
              <w:top w:val="nil"/>
              <w:left w:val="nil"/>
              <w:bottom w:val="single" w:sz="4" w:space="0" w:color="000000"/>
              <w:right w:val="single" w:sz="4" w:space="0" w:color="000000"/>
            </w:tcBorders>
            <w:shd w:val="clear" w:color="auto" w:fill="auto"/>
            <w:vAlign w:val="center"/>
            <w:hideMark/>
          </w:tcPr>
          <w:p w14:paraId="5344751E"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106</w:t>
            </w:r>
          </w:p>
        </w:tc>
        <w:tc>
          <w:tcPr>
            <w:tcW w:w="1360" w:type="dxa"/>
            <w:tcBorders>
              <w:top w:val="nil"/>
              <w:left w:val="nil"/>
              <w:bottom w:val="single" w:sz="4" w:space="0" w:color="000000"/>
              <w:right w:val="single" w:sz="4" w:space="0" w:color="000000"/>
            </w:tcBorders>
            <w:shd w:val="clear" w:color="auto" w:fill="auto"/>
            <w:vAlign w:val="center"/>
            <w:hideMark/>
          </w:tcPr>
          <w:p w14:paraId="044DE1D5"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700</w:t>
            </w:r>
          </w:p>
        </w:tc>
        <w:tc>
          <w:tcPr>
            <w:tcW w:w="1180" w:type="dxa"/>
            <w:tcBorders>
              <w:top w:val="nil"/>
              <w:left w:val="nil"/>
              <w:bottom w:val="single" w:sz="4" w:space="0" w:color="000000"/>
              <w:right w:val="single" w:sz="4" w:space="0" w:color="000000"/>
            </w:tcBorders>
            <w:shd w:val="clear" w:color="auto" w:fill="auto"/>
            <w:vAlign w:val="center"/>
            <w:hideMark/>
          </w:tcPr>
          <w:p w14:paraId="3ADD6B5E"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28,6</w:t>
            </w:r>
          </w:p>
        </w:tc>
        <w:tc>
          <w:tcPr>
            <w:tcW w:w="1300" w:type="dxa"/>
            <w:tcBorders>
              <w:top w:val="nil"/>
              <w:left w:val="nil"/>
              <w:bottom w:val="single" w:sz="4" w:space="0" w:color="000000"/>
              <w:right w:val="single" w:sz="4" w:space="0" w:color="000000"/>
            </w:tcBorders>
            <w:shd w:val="clear" w:color="auto" w:fill="auto"/>
            <w:vAlign w:val="center"/>
            <w:hideMark/>
          </w:tcPr>
          <w:p w14:paraId="5B6CB775"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160</w:t>
            </w:r>
          </w:p>
        </w:tc>
        <w:tc>
          <w:tcPr>
            <w:tcW w:w="1120" w:type="dxa"/>
            <w:tcBorders>
              <w:top w:val="nil"/>
              <w:left w:val="nil"/>
              <w:bottom w:val="single" w:sz="4" w:space="0" w:color="000000"/>
              <w:right w:val="single" w:sz="4" w:space="0" w:color="000000"/>
            </w:tcBorders>
            <w:shd w:val="clear" w:color="auto" w:fill="auto"/>
            <w:vAlign w:val="center"/>
            <w:hideMark/>
          </w:tcPr>
          <w:p w14:paraId="74C6FA30"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1260</w:t>
            </w:r>
          </w:p>
        </w:tc>
      </w:tr>
      <w:tr w:rsidR="00472B26" w:rsidRPr="00472B26" w14:paraId="1546FF89" w14:textId="77777777" w:rsidTr="00472B26">
        <w:trPr>
          <w:trHeight w:val="300"/>
        </w:trPr>
        <w:tc>
          <w:tcPr>
            <w:tcW w:w="18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BEF8EF4"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Mangoro</w:t>
            </w:r>
          </w:p>
        </w:tc>
        <w:tc>
          <w:tcPr>
            <w:tcW w:w="920" w:type="dxa"/>
            <w:tcBorders>
              <w:top w:val="nil"/>
              <w:left w:val="nil"/>
              <w:bottom w:val="single" w:sz="4" w:space="0" w:color="000000"/>
              <w:right w:val="single" w:sz="4" w:space="0" w:color="000000"/>
            </w:tcBorders>
            <w:shd w:val="clear" w:color="000000" w:fill="FFFFFF"/>
            <w:vAlign w:val="center"/>
            <w:hideMark/>
          </w:tcPr>
          <w:p w14:paraId="004BCC42"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11 500</w:t>
            </w:r>
          </w:p>
        </w:tc>
        <w:tc>
          <w:tcPr>
            <w:tcW w:w="1120" w:type="dxa"/>
            <w:tcBorders>
              <w:top w:val="nil"/>
              <w:left w:val="nil"/>
              <w:bottom w:val="single" w:sz="4" w:space="0" w:color="000000"/>
              <w:right w:val="single" w:sz="4" w:space="0" w:color="000000"/>
            </w:tcBorders>
            <w:shd w:val="clear" w:color="000000" w:fill="FFFFFF"/>
            <w:vAlign w:val="center"/>
            <w:hideMark/>
          </w:tcPr>
          <w:p w14:paraId="76E7BA7E"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297</w:t>
            </w:r>
          </w:p>
        </w:tc>
        <w:tc>
          <w:tcPr>
            <w:tcW w:w="1360" w:type="dxa"/>
            <w:tcBorders>
              <w:top w:val="nil"/>
              <w:left w:val="nil"/>
              <w:bottom w:val="single" w:sz="4" w:space="0" w:color="000000"/>
              <w:right w:val="single" w:sz="4" w:space="0" w:color="000000"/>
            </w:tcBorders>
            <w:shd w:val="clear" w:color="000000" w:fill="FFFFFF"/>
            <w:vAlign w:val="center"/>
            <w:hideMark/>
          </w:tcPr>
          <w:p w14:paraId="32EA6EA9"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106</w:t>
            </w:r>
          </w:p>
        </w:tc>
        <w:tc>
          <w:tcPr>
            <w:tcW w:w="1180" w:type="dxa"/>
            <w:tcBorders>
              <w:top w:val="nil"/>
              <w:left w:val="nil"/>
              <w:bottom w:val="single" w:sz="4" w:space="0" w:color="000000"/>
              <w:right w:val="single" w:sz="4" w:space="0" w:color="000000"/>
            </w:tcBorders>
            <w:shd w:val="clear" w:color="000000" w:fill="FFFFFF"/>
            <w:vAlign w:val="center"/>
            <w:hideMark/>
          </w:tcPr>
          <w:p w14:paraId="66A4070F"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110</w:t>
            </w:r>
          </w:p>
        </w:tc>
        <w:tc>
          <w:tcPr>
            <w:tcW w:w="1300" w:type="dxa"/>
            <w:tcBorders>
              <w:top w:val="nil"/>
              <w:left w:val="nil"/>
              <w:bottom w:val="single" w:sz="4" w:space="0" w:color="000000"/>
              <w:right w:val="single" w:sz="4" w:space="0" w:color="000000"/>
            </w:tcBorders>
            <w:shd w:val="clear" w:color="000000" w:fill="FFFFFF"/>
            <w:vAlign w:val="center"/>
            <w:hideMark/>
          </w:tcPr>
          <w:p w14:paraId="3DAFB719"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93</w:t>
            </w:r>
          </w:p>
        </w:tc>
        <w:tc>
          <w:tcPr>
            <w:tcW w:w="1120" w:type="dxa"/>
            <w:tcBorders>
              <w:top w:val="nil"/>
              <w:left w:val="nil"/>
              <w:bottom w:val="single" w:sz="4" w:space="0" w:color="000000"/>
              <w:right w:val="single" w:sz="4" w:space="0" w:color="000000"/>
            </w:tcBorders>
            <w:shd w:val="clear" w:color="000000" w:fill="FFFFFF"/>
            <w:vAlign w:val="center"/>
            <w:hideMark/>
          </w:tcPr>
          <w:p w14:paraId="190FFC19"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815</w:t>
            </w:r>
          </w:p>
        </w:tc>
      </w:tr>
      <w:tr w:rsidR="00472B26" w:rsidRPr="00472B26" w14:paraId="43E82FBB" w14:textId="77777777" w:rsidTr="00472B26">
        <w:trPr>
          <w:trHeight w:val="300"/>
        </w:trPr>
        <w:tc>
          <w:tcPr>
            <w:tcW w:w="1840" w:type="dxa"/>
            <w:vMerge/>
            <w:tcBorders>
              <w:top w:val="nil"/>
              <w:left w:val="single" w:sz="4" w:space="0" w:color="000000"/>
              <w:bottom w:val="single" w:sz="4" w:space="0" w:color="000000"/>
              <w:right w:val="single" w:sz="4" w:space="0" w:color="000000"/>
            </w:tcBorders>
            <w:vAlign w:val="center"/>
            <w:hideMark/>
          </w:tcPr>
          <w:p w14:paraId="5FC5E3F0" w14:textId="77777777" w:rsidR="00472B26" w:rsidRPr="00E41B22" w:rsidRDefault="00472B26" w:rsidP="00CB1F35">
            <w:pPr>
              <w:spacing w:after="0" w:line="240" w:lineRule="auto"/>
              <w:rPr>
                <w:rFonts w:ascii="Arial" w:eastAsia="Times New Roman" w:hAnsi="Arial" w:cs="Arial"/>
                <w:color w:val="000000"/>
                <w:sz w:val="18"/>
                <w:szCs w:val="18"/>
                <w:lang w:eastAsia="fr-FR"/>
              </w:rPr>
            </w:pPr>
          </w:p>
        </w:tc>
        <w:tc>
          <w:tcPr>
            <w:tcW w:w="920" w:type="dxa"/>
            <w:tcBorders>
              <w:top w:val="nil"/>
              <w:left w:val="nil"/>
              <w:bottom w:val="single" w:sz="4" w:space="0" w:color="000000"/>
              <w:right w:val="single" w:sz="4" w:space="0" w:color="000000"/>
            </w:tcBorders>
            <w:shd w:val="clear" w:color="auto" w:fill="auto"/>
            <w:vAlign w:val="center"/>
            <w:hideMark/>
          </w:tcPr>
          <w:p w14:paraId="45C65EBB"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11 500</w:t>
            </w:r>
          </w:p>
        </w:tc>
        <w:tc>
          <w:tcPr>
            <w:tcW w:w="1120" w:type="dxa"/>
            <w:tcBorders>
              <w:top w:val="nil"/>
              <w:left w:val="nil"/>
              <w:bottom w:val="single" w:sz="4" w:space="0" w:color="000000"/>
              <w:right w:val="single" w:sz="4" w:space="0" w:color="000000"/>
            </w:tcBorders>
            <w:shd w:val="clear" w:color="auto" w:fill="auto"/>
            <w:vAlign w:val="center"/>
            <w:hideMark/>
          </w:tcPr>
          <w:p w14:paraId="662CFF07"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314</w:t>
            </w:r>
          </w:p>
        </w:tc>
        <w:tc>
          <w:tcPr>
            <w:tcW w:w="1360" w:type="dxa"/>
            <w:tcBorders>
              <w:top w:val="nil"/>
              <w:left w:val="nil"/>
              <w:bottom w:val="single" w:sz="4" w:space="0" w:color="000000"/>
              <w:right w:val="single" w:sz="4" w:space="0" w:color="000000"/>
            </w:tcBorders>
            <w:shd w:val="clear" w:color="auto" w:fill="auto"/>
            <w:vAlign w:val="center"/>
            <w:hideMark/>
          </w:tcPr>
          <w:p w14:paraId="67409A3D"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109</w:t>
            </w:r>
          </w:p>
        </w:tc>
        <w:tc>
          <w:tcPr>
            <w:tcW w:w="1180" w:type="dxa"/>
            <w:tcBorders>
              <w:top w:val="nil"/>
              <w:left w:val="nil"/>
              <w:bottom w:val="single" w:sz="4" w:space="0" w:color="000000"/>
              <w:right w:val="single" w:sz="4" w:space="0" w:color="000000"/>
            </w:tcBorders>
            <w:shd w:val="clear" w:color="auto" w:fill="auto"/>
            <w:vAlign w:val="center"/>
            <w:hideMark/>
          </w:tcPr>
          <w:p w14:paraId="346A092D"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150</w:t>
            </w:r>
          </w:p>
        </w:tc>
        <w:tc>
          <w:tcPr>
            <w:tcW w:w="1300" w:type="dxa"/>
            <w:tcBorders>
              <w:top w:val="nil"/>
              <w:left w:val="nil"/>
              <w:bottom w:val="single" w:sz="4" w:space="0" w:color="000000"/>
              <w:right w:val="single" w:sz="4" w:space="0" w:color="000000"/>
            </w:tcBorders>
            <w:shd w:val="clear" w:color="auto" w:fill="auto"/>
            <w:vAlign w:val="center"/>
            <w:hideMark/>
          </w:tcPr>
          <w:p w14:paraId="62EED637"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120</w:t>
            </w:r>
          </w:p>
        </w:tc>
        <w:tc>
          <w:tcPr>
            <w:tcW w:w="1120" w:type="dxa"/>
            <w:tcBorders>
              <w:top w:val="nil"/>
              <w:left w:val="nil"/>
              <w:bottom w:val="single" w:sz="4" w:space="0" w:color="000000"/>
              <w:right w:val="single" w:sz="4" w:space="0" w:color="000000"/>
            </w:tcBorders>
            <w:shd w:val="clear" w:color="auto" w:fill="auto"/>
            <w:vAlign w:val="center"/>
            <w:hideMark/>
          </w:tcPr>
          <w:p w14:paraId="7F9CF822"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915</w:t>
            </w:r>
          </w:p>
        </w:tc>
      </w:tr>
      <w:tr w:rsidR="00472B26" w:rsidRPr="00472B26" w14:paraId="13693DF5" w14:textId="77777777" w:rsidTr="00472B26">
        <w:trPr>
          <w:trHeight w:val="300"/>
        </w:trPr>
        <w:tc>
          <w:tcPr>
            <w:tcW w:w="1840" w:type="dxa"/>
            <w:tcBorders>
              <w:top w:val="nil"/>
              <w:left w:val="single" w:sz="4" w:space="0" w:color="000000"/>
              <w:bottom w:val="single" w:sz="4" w:space="0" w:color="000000"/>
              <w:right w:val="single" w:sz="4" w:space="0" w:color="000000"/>
            </w:tcBorders>
            <w:shd w:val="clear" w:color="000000" w:fill="FFFFFF"/>
            <w:vAlign w:val="center"/>
            <w:hideMark/>
          </w:tcPr>
          <w:p w14:paraId="3D7BEAAE"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Ikopa</w:t>
            </w:r>
          </w:p>
        </w:tc>
        <w:tc>
          <w:tcPr>
            <w:tcW w:w="920" w:type="dxa"/>
            <w:tcBorders>
              <w:top w:val="nil"/>
              <w:left w:val="nil"/>
              <w:bottom w:val="single" w:sz="4" w:space="0" w:color="000000"/>
              <w:right w:val="single" w:sz="4" w:space="0" w:color="000000"/>
            </w:tcBorders>
            <w:shd w:val="clear" w:color="000000" w:fill="FFFFFF"/>
            <w:vAlign w:val="center"/>
            <w:hideMark/>
          </w:tcPr>
          <w:p w14:paraId="55E6F591"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9 800</w:t>
            </w:r>
          </w:p>
        </w:tc>
        <w:tc>
          <w:tcPr>
            <w:tcW w:w="1120" w:type="dxa"/>
            <w:tcBorders>
              <w:top w:val="nil"/>
              <w:left w:val="nil"/>
              <w:bottom w:val="single" w:sz="4" w:space="0" w:color="000000"/>
              <w:right w:val="single" w:sz="4" w:space="0" w:color="000000"/>
            </w:tcBorders>
            <w:shd w:val="clear" w:color="000000" w:fill="FFFFFF"/>
            <w:vAlign w:val="center"/>
            <w:hideMark/>
          </w:tcPr>
          <w:p w14:paraId="1867AC25"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206</w:t>
            </w:r>
          </w:p>
        </w:tc>
        <w:tc>
          <w:tcPr>
            <w:tcW w:w="1360" w:type="dxa"/>
            <w:tcBorders>
              <w:top w:val="nil"/>
              <w:left w:val="nil"/>
              <w:bottom w:val="single" w:sz="4" w:space="0" w:color="000000"/>
              <w:right w:val="single" w:sz="4" w:space="0" w:color="000000"/>
            </w:tcBorders>
            <w:shd w:val="clear" w:color="000000" w:fill="FFFFFF"/>
            <w:vAlign w:val="center"/>
            <w:hideMark/>
          </w:tcPr>
          <w:p w14:paraId="5C43D391"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243</w:t>
            </w:r>
          </w:p>
        </w:tc>
        <w:tc>
          <w:tcPr>
            <w:tcW w:w="1180" w:type="dxa"/>
            <w:tcBorders>
              <w:top w:val="nil"/>
              <w:left w:val="nil"/>
              <w:bottom w:val="single" w:sz="4" w:space="0" w:color="000000"/>
              <w:right w:val="single" w:sz="4" w:space="0" w:color="000000"/>
            </w:tcBorders>
            <w:shd w:val="clear" w:color="000000" w:fill="FFFFFF"/>
            <w:vAlign w:val="center"/>
            <w:hideMark/>
          </w:tcPr>
          <w:p w14:paraId="3118507F"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210</w:t>
            </w:r>
          </w:p>
        </w:tc>
        <w:tc>
          <w:tcPr>
            <w:tcW w:w="1300" w:type="dxa"/>
            <w:tcBorders>
              <w:top w:val="nil"/>
              <w:left w:val="nil"/>
              <w:bottom w:val="single" w:sz="4" w:space="0" w:color="000000"/>
              <w:right w:val="single" w:sz="4" w:space="0" w:color="000000"/>
            </w:tcBorders>
            <w:shd w:val="clear" w:color="000000" w:fill="FFFFFF"/>
            <w:vAlign w:val="center"/>
            <w:hideMark/>
          </w:tcPr>
          <w:p w14:paraId="0CD4E46B"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520</w:t>
            </w:r>
          </w:p>
        </w:tc>
        <w:tc>
          <w:tcPr>
            <w:tcW w:w="1120" w:type="dxa"/>
            <w:tcBorders>
              <w:top w:val="nil"/>
              <w:left w:val="nil"/>
              <w:bottom w:val="single" w:sz="4" w:space="0" w:color="000000"/>
              <w:right w:val="single" w:sz="4" w:space="0" w:color="000000"/>
            </w:tcBorders>
            <w:shd w:val="clear" w:color="000000" w:fill="FFFFFF"/>
            <w:vAlign w:val="center"/>
            <w:hideMark/>
          </w:tcPr>
          <w:p w14:paraId="5E4B8CE6"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2 910</w:t>
            </w:r>
          </w:p>
        </w:tc>
      </w:tr>
      <w:tr w:rsidR="00472B26" w:rsidRPr="00472B26" w14:paraId="6CCCEA43" w14:textId="77777777" w:rsidTr="00472B26">
        <w:trPr>
          <w:trHeight w:val="300"/>
        </w:trPr>
        <w:tc>
          <w:tcPr>
            <w:tcW w:w="1840" w:type="dxa"/>
            <w:tcBorders>
              <w:top w:val="nil"/>
              <w:left w:val="single" w:sz="4" w:space="0" w:color="000000"/>
              <w:bottom w:val="single" w:sz="4" w:space="0" w:color="000000"/>
              <w:right w:val="single" w:sz="4" w:space="0" w:color="000000"/>
            </w:tcBorders>
            <w:shd w:val="clear" w:color="000000" w:fill="FFFFFF"/>
            <w:vAlign w:val="center"/>
            <w:hideMark/>
          </w:tcPr>
          <w:p w14:paraId="477A90C8"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Ikopa</w:t>
            </w:r>
          </w:p>
        </w:tc>
        <w:tc>
          <w:tcPr>
            <w:tcW w:w="920" w:type="dxa"/>
            <w:tcBorders>
              <w:top w:val="nil"/>
              <w:left w:val="nil"/>
              <w:bottom w:val="single" w:sz="4" w:space="0" w:color="000000"/>
              <w:right w:val="single" w:sz="4" w:space="0" w:color="000000"/>
            </w:tcBorders>
            <w:shd w:val="clear" w:color="auto" w:fill="auto"/>
            <w:vAlign w:val="center"/>
            <w:hideMark/>
          </w:tcPr>
          <w:p w14:paraId="44112C03"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11 870</w:t>
            </w:r>
          </w:p>
        </w:tc>
        <w:tc>
          <w:tcPr>
            <w:tcW w:w="1120" w:type="dxa"/>
            <w:tcBorders>
              <w:top w:val="nil"/>
              <w:left w:val="nil"/>
              <w:bottom w:val="single" w:sz="4" w:space="0" w:color="000000"/>
              <w:right w:val="single" w:sz="4" w:space="0" w:color="000000"/>
            </w:tcBorders>
            <w:shd w:val="clear" w:color="auto" w:fill="auto"/>
            <w:vAlign w:val="center"/>
            <w:hideMark/>
          </w:tcPr>
          <w:p w14:paraId="61D24362"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257</w:t>
            </w:r>
          </w:p>
        </w:tc>
        <w:tc>
          <w:tcPr>
            <w:tcW w:w="1360" w:type="dxa"/>
            <w:tcBorders>
              <w:top w:val="nil"/>
              <w:left w:val="nil"/>
              <w:bottom w:val="single" w:sz="4" w:space="0" w:color="000000"/>
              <w:right w:val="single" w:sz="4" w:space="0" w:color="000000"/>
            </w:tcBorders>
            <w:shd w:val="clear" w:color="auto" w:fill="auto"/>
            <w:vAlign w:val="center"/>
            <w:hideMark/>
          </w:tcPr>
          <w:p w14:paraId="5A6FEDB4"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140</w:t>
            </w:r>
          </w:p>
        </w:tc>
        <w:tc>
          <w:tcPr>
            <w:tcW w:w="1180" w:type="dxa"/>
            <w:tcBorders>
              <w:top w:val="nil"/>
              <w:left w:val="nil"/>
              <w:bottom w:val="single" w:sz="4" w:space="0" w:color="000000"/>
              <w:right w:val="single" w:sz="4" w:space="0" w:color="000000"/>
            </w:tcBorders>
            <w:shd w:val="clear" w:color="auto" w:fill="auto"/>
            <w:vAlign w:val="center"/>
            <w:hideMark/>
          </w:tcPr>
          <w:p w14:paraId="12FEE9D6"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223</w:t>
            </w:r>
          </w:p>
        </w:tc>
        <w:tc>
          <w:tcPr>
            <w:tcW w:w="1300" w:type="dxa"/>
            <w:tcBorders>
              <w:top w:val="nil"/>
              <w:left w:val="nil"/>
              <w:bottom w:val="single" w:sz="4" w:space="0" w:color="000000"/>
              <w:right w:val="single" w:sz="4" w:space="0" w:color="000000"/>
            </w:tcBorders>
            <w:shd w:val="clear" w:color="auto" w:fill="auto"/>
            <w:vAlign w:val="center"/>
            <w:hideMark/>
          </w:tcPr>
          <w:p w14:paraId="585D693E"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250</w:t>
            </w:r>
          </w:p>
        </w:tc>
        <w:tc>
          <w:tcPr>
            <w:tcW w:w="1120" w:type="dxa"/>
            <w:tcBorders>
              <w:top w:val="nil"/>
              <w:left w:val="nil"/>
              <w:bottom w:val="single" w:sz="4" w:space="0" w:color="000000"/>
              <w:right w:val="single" w:sz="4" w:space="0" w:color="000000"/>
            </w:tcBorders>
            <w:shd w:val="clear" w:color="auto" w:fill="auto"/>
            <w:vAlign w:val="center"/>
            <w:hideMark/>
          </w:tcPr>
          <w:p w14:paraId="129B59B3"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2 207,52</w:t>
            </w:r>
          </w:p>
        </w:tc>
      </w:tr>
      <w:tr w:rsidR="00472B26" w:rsidRPr="00472B26" w14:paraId="1BF13B51" w14:textId="77777777" w:rsidTr="00472B26">
        <w:trPr>
          <w:trHeight w:val="300"/>
        </w:trPr>
        <w:tc>
          <w:tcPr>
            <w:tcW w:w="18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C43FC10"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Ivondro</w:t>
            </w:r>
          </w:p>
        </w:tc>
        <w:tc>
          <w:tcPr>
            <w:tcW w:w="920" w:type="dxa"/>
            <w:tcBorders>
              <w:top w:val="nil"/>
              <w:left w:val="nil"/>
              <w:bottom w:val="single" w:sz="4" w:space="0" w:color="000000"/>
              <w:right w:val="single" w:sz="4" w:space="0" w:color="000000"/>
            </w:tcBorders>
            <w:shd w:val="clear" w:color="000000" w:fill="FFFFFF"/>
            <w:vAlign w:val="center"/>
            <w:hideMark/>
          </w:tcPr>
          <w:p w14:paraId="27299EB2"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2 700</w:t>
            </w:r>
          </w:p>
        </w:tc>
        <w:tc>
          <w:tcPr>
            <w:tcW w:w="1120" w:type="dxa"/>
            <w:tcBorders>
              <w:top w:val="nil"/>
              <w:left w:val="nil"/>
              <w:bottom w:val="single" w:sz="4" w:space="0" w:color="000000"/>
              <w:right w:val="single" w:sz="4" w:space="0" w:color="000000"/>
            </w:tcBorders>
            <w:shd w:val="clear" w:color="000000" w:fill="FFFFFF"/>
            <w:vAlign w:val="center"/>
            <w:hideMark/>
          </w:tcPr>
          <w:p w14:paraId="02B9E4F0"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102</w:t>
            </w:r>
          </w:p>
        </w:tc>
        <w:tc>
          <w:tcPr>
            <w:tcW w:w="1360" w:type="dxa"/>
            <w:tcBorders>
              <w:top w:val="nil"/>
              <w:left w:val="nil"/>
              <w:bottom w:val="single" w:sz="4" w:space="0" w:color="000000"/>
              <w:right w:val="single" w:sz="4" w:space="0" w:color="000000"/>
            </w:tcBorders>
            <w:shd w:val="clear" w:color="000000" w:fill="FFFFFF"/>
            <w:vAlign w:val="center"/>
            <w:hideMark/>
          </w:tcPr>
          <w:p w14:paraId="30908F99"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100</w:t>
            </w:r>
          </w:p>
        </w:tc>
        <w:tc>
          <w:tcPr>
            <w:tcW w:w="1180" w:type="dxa"/>
            <w:tcBorders>
              <w:top w:val="nil"/>
              <w:left w:val="nil"/>
              <w:bottom w:val="single" w:sz="4" w:space="0" w:color="000000"/>
              <w:right w:val="single" w:sz="4" w:space="0" w:color="000000"/>
            </w:tcBorders>
            <w:shd w:val="clear" w:color="000000" w:fill="FFFFFF"/>
            <w:vAlign w:val="center"/>
            <w:hideMark/>
          </w:tcPr>
          <w:p w14:paraId="34E1B435"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56</w:t>
            </w:r>
          </w:p>
        </w:tc>
        <w:tc>
          <w:tcPr>
            <w:tcW w:w="1300" w:type="dxa"/>
            <w:tcBorders>
              <w:top w:val="nil"/>
              <w:left w:val="nil"/>
              <w:bottom w:val="single" w:sz="4" w:space="0" w:color="000000"/>
              <w:right w:val="single" w:sz="4" w:space="0" w:color="000000"/>
            </w:tcBorders>
            <w:shd w:val="clear" w:color="000000" w:fill="FFFFFF"/>
            <w:vAlign w:val="center"/>
            <w:hideMark/>
          </w:tcPr>
          <w:p w14:paraId="51CB14A4"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45</w:t>
            </w:r>
          </w:p>
        </w:tc>
        <w:tc>
          <w:tcPr>
            <w:tcW w:w="1120" w:type="dxa"/>
            <w:tcBorders>
              <w:top w:val="nil"/>
              <w:left w:val="nil"/>
              <w:bottom w:val="single" w:sz="4" w:space="0" w:color="000000"/>
              <w:right w:val="single" w:sz="4" w:space="0" w:color="000000"/>
            </w:tcBorders>
            <w:shd w:val="clear" w:color="000000" w:fill="FFFFFF"/>
            <w:vAlign w:val="center"/>
            <w:hideMark/>
          </w:tcPr>
          <w:p w14:paraId="76E3CB0A"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350</w:t>
            </w:r>
          </w:p>
        </w:tc>
      </w:tr>
      <w:tr w:rsidR="00472B26" w:rsidRPr="00472B26" w14:paraId="571FA896" w14:textId="77777777" w:rsidTr="00472B26">
        <w:trPr>
          <w:trHeight w:val="300"/>
        </w:trPr>
        <w:tc>
          <w:tcPr>
            <w:tcW w:w="1840" w:type="dxa"/>
            <w:vMerge/>
            <w:tcBorders>
              <w:top w:val="nil"/>
              <w:left w:val="single" w:sz="4" w:space="0" w:color="000000"/>
              <w:bottom w:val="single" w:sz="4" w:space="0" w:color="000000"/>
              <w:right w:val="single" w:sz="4" w:space="0" w:color="000000"/>
            </w:tcBorders>
            <w:vAlign w:val="center"/>
            <w:hideMark/>
          </w:tcPr>
          <w:p w14:paraId="107D4F7F" w14:textId="77777777" w:rsidR="00472B26" w:rsidRPr="00E41B22" w:rsidRDefault="00472B26" w:rsidP="00CB1F35">
            <w:pPr>
              <w:spacing w:after="0" w:line="240" w:lineRule="auto"/>
              <w:rPr>
                <w:rFonts w:ascii="Arial" w:eastAsia="Times New Roman" w:hAnsi="Arial" w:cs="Arial"/>
                <w:color w:val="000000"/>
                <w:sz w:val="18"/>
                <w:szCs w:val="18"/>
                <w:lang w:eastAsia="fr-FR"/>
              </w:rPr>
            </w:pPr>
          </w:p>
        </w:tc>
        <w:tc>
          <w:tcPr>
            <w:tcW w:w="920" w:type="dxa"/>
            <w:tcBorders>
              <w:top w:val="nil"/>
              <w:left w:val="nil"/>
              <w:bottom w:val="single" w:sz="4" w:space="0" w:color="000000"/>
              <w:right w:val="single" w:sz="4" w:space="0" w:color="000000"/>
            </w:tcBorders>
            <w:shd w:val="clear" w:color="auto" w:fill="auto"/>
            <w:vAlign w:val="center"/>
            <w:hideMark/>
          </w:tcPr>
          <w:p w14:paraId="325F700A"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2 700</w:t>
            </w:r>
          </w:p>
        </w:tc>
        <w:tc>
          <w:tcPr>
            <w:tcW w:w="1120" w:type="dxa"/>
            <w:tcBorders>
              <w:top w:val="nil"/>
              <w:left w:val="nil"/>
              <w:bottom w:val="single" w:sz="4" w:space="0" w:color="000000"/>
              <w:right w:val="single" w:sz="4" w:space="0" w:color="000000"/>
            </w:tcBorders>
            <w:shd w:val="clear" w:color="auto" w:fill="auto"/>
            <w:vAlign w:val="center"/>
            <w:hideMark/>
          </w:tcPr>
          <w:p w14:paraId="1259EC41"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112</w:t>
            </w:r>
          </w:p>
        </w:tc>
        <w:tc>
          <w:tcPr>
            <w:tcW w:w="1360" w:type="dxa"/>
            <w:tcBorders>
              <w:top w:val="nil"/>
              <w:left w:val="nil"/>
              <w:bottom w:val="single" w:sz="4" w:space="0" w:color="000000"/>
              <w:right w:val="single" w:sz="4" w:space="0" w:color="000000"/>
            </w:tcBorders>
            <w:shd w:val="clear" w:color="auto" w:fill="auto"/>
            <w:vAlign w:val="center"/>
            <w:hideMark/>
          </w:tcPr>
          <w:p w14:paraId="1EC92B11"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100</w:t>
            </w:r>
          </w:p>
        </w:tc>
        <w:tc>
          <w:tcPr>
            <w:tcW w:w="1180" w:type="dxa"/>
            <w:tcBorders>
              <w:top w:val="nil"/>
              <w:left w:val="nil"/>
              <w:bottom w:val="single" w:sz="4" w:space="0" w:color="000000"/>
              <w:right w:val="single" w:sz="4" w:space="0" w:color="000000"/>
            </w:tcBorders>
            <w:shd w:val="clear" w:color="auto" w:fill="auto"/>
            <w:vAlign w:val="center"/>
            <w:hideMark/>
          </w:tcPr>
          <w:p w14:paraId="26860085"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113</w:t>
            </w:r>
          </w:p>
        </w:tc>
        <w:tc>
          <w:tcPr>
            <w:tcW w:w="1300" w:type="dxa"/>
            <w:tcBorders>
              <w:top w:val="nil"/>
              <w:left w:val="nil"/>
              <w:bottom w:val="single" w:sz="4" w:space="0" w:color="000000"/>
              <w:right w:val="single" w:sz="4" w:space="0" w:color="000000"/>
            </w:tcBorders>
            <w:shd w:val="clear" w:color="auto" w:fill="auto"/>
            <w:vAlign w:val="center"/>
            <w:hideMark/>
          </w:tcPr>
          <w:p w14:paraId="7DCEC3E2"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90</w:t>
            </w:r>
          </w:p>
        </w:tc>
        <w:tc>
          <w:tcPr>
            <w:tcW w:w="1120" w:type="dxa"/>
            <w:tcBorders>
              <w:top w:val="nil"/>
              <w:left w:val="nil"/>
              <w:bottom w:val="single" w:sz="4" w:space="0" w:color="000000"/>
              <w:right w:val="single" w:sz="4" w:space="0" w:color="000000"/>
            </w:tcBorders>
            <w:shd w:val="clear" w:color="auto" w:fill="auto"/>
            <w:vAlign w:val="center"/>
            <w:hideMark/>
          </w:tcPr>
          <w:p w14:paraId="003D9F94"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590</w:t>
            </w:r>
          </w:p>
        </w:tc>
      </w:tr>
      <w:tr w:rsidR="00472B26" w:rsidRPr="00472B26" w14:paraId="2415D054" w14:textId="77777777" w:rsidTr="00472B26">
        <w:trPr>
          <w:trHeight w:val="300"/>
        </w:trPr>
        <w:tc>
          <w:tcPr>
            <w:tcW w:w="1840" w:type="dxa"/>
            <w:tcBorders>
              <w:top w:val="nil"/>
              <w:left w:val="single" w:sz="4" w:space="0" w:color="000000"/>
              <w:bottom w:val="single" w:sz="4" w:space="0" w:color="000000"/>
              <w:right w:val="single" w:sz="4" w:space="0" w:color="000000"/>
            </w:tcBorders>
            <w:shd w:val="clear" w:color="000000" w:fill="FFFFFF"/>
            <w:vAlign w:val="center"/>
            <w:hideMark/>
          </w:tcPr>
          <w:p w14:paraId="749368B1"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Ivondro</w:t>
            </w:r>
          </w:p>
        </w:tc>
        <w:tc>
          <w:tcPr>
            <w:tcW w:w="920" w:type="dxa"/>
            <w:tcBorders>
              <w:top w:val="nil"/>
              <w:left w:val="nil"/>
              <w:bottom w:val="single" w:sz="4" w:space="0" w:color="000000"/>
              <w:right w:val="single" w:sz="4" w:space="0" w:color="000000"/>
            </w:tcBorders>
            <w:shd w:val="clear" w:color="000000" w:fill="FFFFFF"/>
            <w:vAlign w:val="center"/>
            <w:hideMark/>
          </w:tcPr>
          <w:p w14:paraId="56245399"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2 700</w:t>
            </w:r>
          </w:p>
        </w:tc>
        <w:tc>
          <w:tcPr>
            <w:tcW w:w="1120" w:type="dxa"/>
            <w:tcBorders>
              <w:top w:val="nil"/>
              <w:left w:val="nil"/>
              <w:bottom w:val="single" w:sz="4" w:space="0" w:color="000000"/>
              <w:right w:val="single" w:sz="4" w:space="0" w:color="000000"/>
            </w:tcBorders>
            <w:shd w:val="clear" w:color="000000" w:fill="FFFFFF"/>
            <w:vAlign w:val="center"/>
            <w:hideMark/>
          </w:tcPr>
          <w:p w14:paraId="4AA7F3D1"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102</w:t>
            </w:r>
          </w:p>
        </w:tc>
        <w:tc>
          <w:tcPr>
            <w:tcW w:w="1360" w:type="dxa"/>
            <w:tcBorders>
              <w:top w:val="nil"/>
              <w:left w:val="nil"/>
              <w:bottom w:val="single" w:sz="4" w:space="0" w:color="000000"/>
              <w:right w:val="single" w:sz="4" w:space="0" w:color="000000"/>
            </w:tcBorders>
            <w:shd w:val="clear" w:color="000000" w:fill="FFFFFF"/>
            <w:vAlign w:val="center"/>
            <w:hideMark/>
          </w:tcPr>
          <w:p w14:paraId="28416D99"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83</w:t>
            </w:r>
          </w:p>
        </w:tc>
        <w:tc>
          <w:tcPr>
            <w:tcW w:w="1180" w:type="dxa"/>
            <w:tcBorders>
              <w:top w:val="nil"/>
              <w:left w:val="nil"/>
              <w:bottom w:val="single" w:sz="4" w:space="0" w:color="000000"/>
              <w:right w:val="single" w:sz="4" w:space="0" w:color="000000"/>
            </w:tcBorders>
            <w:shd w:val="clear" w:color="000000" w:fill="FFFFFF"/>
            <w:vAlign w:val="center"/>
            <w:hideMark/>
          </w:tcPr>
          <w:p w14:paraId="711643CC"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47</w:t>
            </w:r>
          </w:p>
        </w:tc>
        <w:tc>
          <w:tcPr>
            <w:tcW w:w="1300" w:type="dxa"/>
            <w:tcBorders>
              <w:top w:val="nil"/>
              <w:left w:val="nil"/>
              <w:bottom w:val="single" w:sz="4" w:space="0" w:color="000000"/>
              <w:right w:val="single" w:sz="4" w:space="0" w:color="000000"/>
            </w:tcBorders>
            <w:shd w:val="clear" w:color="000000" w:fill="FFFFFF"/>
            <w:vAlign w:val="center"/>
            <w:hideMark/>
          </w:tcPr>
          <w:p w14:paraId="7E33D24E"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31</w:t>
            </w:r>
          </w:p>
        </w:tc>
        <w:tc>
          <w:tcPr>
            <w:tcW w:w="1120" w:type="dxa"/>
            <w:tcBorders>
              <w:top w:val="nil"/>
              <w:left w:val="nil"/>
              <w:bottom w:val="single" w:sz="4" w:space="0" w:color="000000"/>
              <w:right w:val="single" w:sz="4" w:space="0" w:color="000000"/>
            </w:tcBorders>
            <w:shd w:val="clear" w:color="000000" w:fill="FFFFFF"/>
            <w:vAlign w:val="center"/>
            <w:hideMark/>
          </w:tcPr>
          <w:p w14:paraId="2517FB70"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276</w:t>
            </w:r>
          </w:p>
        </w:tc>
      </w:tr>
      <w:tr w:rsidR="00472B26" w:rsidRPr="00472B26" w14:paraId="7C145877" w14:textId="77777777" w:rsidTr="00472B26">
        <w:trPr>
          <w:trHeight w:val="300"/>
        </w:trPr>
        <w:tc>
          <w:tcPr>
            <w:tcW w:w="1840" w:type="dxa"/>
            <w:tcBorders>
              <w:top w:val="nil"/>
              <w:left w:val="single" w:sz="4" w:space="0" w:color="000000"/>
              <w:bottom w:val="single" w:sz="4" w:space="0" w:color="000000"/>
              <w:right w:val="single" w:sz="4" w:space="0" w:color="000000"/>
            </w:tcBorders>
            <w:shd w:val="clear" w:color="000000" w:fill="FFFFFF"/>
            <w:vAlign w:val="center"/>
            <w:hideMark/>
          </w:tcPr>
          <w:p w14:paraId="73E5FBC8"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Sahanivotry</w:t>
            </w:r>
          </w:p>
        </w:tc>
        <w:tc>
          <w:tcPr>
            <w:tcW w:w="920" w:type="dxa"/>
            <w:tcBorders>
              <w:top w:val="nil"/>
              <w:left w:val="nil"/>
              <w:bottom w:val="single" w:sz="4" w:space="0" w:color="000000"/>
              <w:right w:val="single" w:sz="4" w:space="0" w:color="000000"/>
            </w:tcBorders>
            <w:shd w:val="clear" w:color="000000" w:fill="FFFFFF"/>
            <w:vAlign w:val="center"/>
            <w:hideMark/>
          </w:tcPr>
          <w:p w14:paraId="58F91C9E"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400</w:t>
            </w:r>
          </w:p>
        </w:tc>
        <w:tc>
          <w:tcPr>
            <w:tcW w:w="1120" w:type="dxa"/>
            <w:tcBorders>
              <w:top w:val="nil"/>
              <w:left w:val="nil"/>
              <w:bottom w:val="single" w:sz="4" w:space="0" w:color="000000"/>
              <w:right w:val="single" w:sz="4" w:space="0" w:color="000000"/>
            </w:tcBorders>
            <w:shd w:val="clear" w:color="000000" w:fill="FFFFFF"/>
            <w:vAlign w:val="center"/>
            <w:hideMark/>
          </w:tcPr>
          <w:p w14:paraId="67CBC811"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10</w:t>
            </w:r>
          </w:p>
        </w:tc>
        <w:tc>
          <w:tcPr>
            <w:tcW w:w="1360" w:type="dxa"/>
            <w:tcBorders>
              <w:top w:val="nil"/>
              <w:left w:val="nil"/>
              <w:bottom w:val="single" w:sz="4" w:space="0" w:color="000000"/>
              <w:right w:val="single" w:sz="4" w:space="0" w:color="000000"/>
            </w:tcBorders>
            <w:shd w:val="clear" w:color="000000" w:fill="FFFFFF"/>
            <w:vAlign w:val="center"/>
            <w:hideMark/>
          </w:tcPr>
          <w:p w14:paraId="0FC718E2"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270</w:t>
            </w:r>
          </w:p>
        </w:tc>
        <w:tc>
          <w:tcPr>
            <w:tcW w:w="1180" w:type="dxa"/>
            <w:tcBorders>
              <w:top w:val="nil"/>
              <w:left w:val="nil"/>
              <w:bottom w:val="single" w:sz="4" w:space="0" w:color="000000"/>
              <w:right w:val="single" w:sz="4" w:space="0" w:color="000000"/>
            </w:tcBorders>
            <w:shd w:val="clear" w:color="000000" w:fill="FFFFFF"/>
            <w:vAlign w:val="center"/>
            <w:hideMark/>
          </w:tcPr>
          <w:p w14:paraId="64124E5F"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3</w:t>
            </w:r>
          </w:p>
        </w:tc>
        <w:tc>
          <w:tcPr>
            <w:tcW w:w="1300" w:type="dxa"/>
            <w:tcBorders>
              <w:top w:val="nil"/>
              <w:left w:val="nil"/>
              <w:bottom w:val="single" w:sz="4" w:space="0" w:color="000000"/>
              <w:right w:val="single" w:sz="4" w:space="0" w:color="000000"/>
            </w:tcBorders>
            <w:shd w:val="clear" w:color="000000" w:fill="FFFFFF"/>
            <w:vAlign w:val="center"/>
            <w:hideMark/>
          </w:tcPr>
          <w:p w14:paraId="2D557C29"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7</w:t>
            </w:r>
          </w:p>
        </w:tc>
        <w:tc>
          <w:tcPr>
            <w:tcW w:w="1120" w:type="dxa"/>
            <w:tcBorders>
              <w:top w:val="nil"/>
              <w:left w:val="nil"/>
              <w:bottom w:val="single" w:sz="4" w:space="0" w:color="000000"/>
              <w:right w:val="single" w:sz="4" w:space="0" w:color="000000"/>
            </w:tcBorders>
            <w:shd w:val="clear" w:color="000000" w:fill="FFFFFF"/>
            <w:vAlign w:val="center"/>
            <w:hideMark/>
          </w:tcPr>
          <w:p w14:paraId="43890F14"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44</w:t>
            </w:r>
          </w:p>
        </w:tc>
      </w:tr>
      <w:tr w:rsidR="00472B26" w:rsidRPr="00472B26" w14:paraId="005D4635" w14:textId="77777777" w:rsidTr="00472B26">
        <w:trPr>
          <w:trHeight w:val="300"/>
        </w:trPr>
        <w:tc>
          <w:tcPr>
            <w:tcW w:w="1840" w:type="dxa"/>
            <w:tcBorders>
              <w:top w:val="nil"/>
              <w:left w:val="single" w:sz="4" w:space="0" w:color="000000"/>
              <w:bottom w:val="single" w:sz="4" w:space="0" w:color="000000"/>
              <w:right w:val="single" w:sz="4" w:space="0" w:color="000000"/>
            </w:tcBorders>
            <w:shd w:val="clear" w:color="000000" w:fill="FFFFFF"/>
            <w:vAlign w:val="center"/>
            <w:hideMark/>
          </w:tcPr>
          <w:p w14:paraId="3392C425"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Andromba</w:t>
            </w:r>
          </w:p>
        </w:tc>
        <w:tc>
          <w:tcPr>
            <w:tcW w:w="920" w:type="dxa"/>
            <w:tcBorders>
              <w:top w:val="nil"/>
              <w:left w:val="nil"/>
              <w:bottom w:val="single" w:sz="4" w:space="0" w:color="000000"/>
              <w:right w:val="single" w:sz="4" w:space="0" w:color="000000"/>
            </w:tcBorders>
            <w:shd w:val="clear" w:color="000000" w:fill="FFFFFF"/>
            <w:vAlign w:val="center"/>
            <w:hideMark/>
          </w:tcPr>
          <w:p w14:paraId="207B7D1C"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312</w:t>
            </w:r>
          </w:p>
        </w:tc>
        <w:tc>
          <w:tcPr>
            <w:tcW w:w="1120" w:type="dxa"/>
            <w:tcBorders>
              <w:top w:val="nil"/>
              <w:left w:val="nil"/>
              <w:bottom w:val="single" w:sz="4" w:space="0" w:color="000000"/>
              <w:right w:val="single" w:sz="4" w:space="0" w:color="000000"/>
            </w:tcBorders>
            <w:shd w:val="clear" w:color="000000" w:fill="FFFFFF"/>
            <w:vAlign w:val="center"/>
            <w:hideMark/>
          </w:tcPr>
          <w:p w14:paraId="3C7B6175"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8</w:t>
            </w:r>
          </w:p>
        </w:tc>
        <w:tc>
          <w:tcPr>
            <w:tcW w:w="1360" w:type="dxa"/>
            <w:tcBorders>
              <w:top w:val="nil"/>
              <w:left w:val="nil"/>
              <w:bottom w:val="single" w:sz="4" w:space="0" w:color="000000"/>
              <w:right w:val="single" w:sz="4" w:space="0" w:color="000000"/>
            </w:tcBorders>
            <w:shd w:val="clear" w:color="000000" w:fill="FFFFFF"/>
            <w:vAlign w:val="center"/>
            <w:hideMark/>
          </w:tcPr>
          <w:p w14:paraId="64568784"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15</w:t>
            </w:r>
          </w:p>
        </w:tc>
        <w:tc>
          <w:tcPr>
            <w:tcW w:w="1180" w:type="dxa"/>
            <w:tcBorders>
              <w:top w:val="nil"/>
              <w:left w:val="nil"/>
              <w:bottom w:val="single" w:sz="4" w:space="0" w:color="000000"/>
              <w:right w:val="single" w:sz="4" w:space="0" w:color="000000"/>
            </w:tcBorders>
            <w:shd w:val="clear" w:color="000000" w:fill="FFFFFF"/>
            <w:vAlign w:val="center"/>
            <w:hideMark/>
          </w:tcPr>
          <w:p w14:paraId="6699ADC4"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12</w:t>
            </w:r>
          </w:p>
        </w:tc>
        <w:tc>
          <w:tcPr>
            <w:tcW w:w="1300" w:type="dxa"/>
            <w:tcBorders>
              <w:top w:val="nil"/>
              <w:left w:val="nil"/>
              <w:bottom w:val="single" w:sz="4" w:space="0" w:color="000000"/>
              <w:right w:val="single" w:sz="4" w:space="0" w:color="000000"/>
            </w:tcBorders>
            <w:shd w:val="clear" w:color="000000" w:fill="FFFFFF"/>
            <w:vAlign w:val="center"/>
            <w:hideMark/>
          </w:tcPr>
          <w:p w14:paraId="30AC17BD"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1,4</w:t>
            </w:r>
          </w:p>
        </w:tc>
        <w:tc>
          <w:tcPr>
            <w:tcW w:w="1120" w:type="dxa"/>
            <w:tcBorders>
              <w:top w:val="nil"/>
              <w:left w:val="nil"/>
              <w:bottom w:val="single" w:sz="4" w:space="0" w:color="000000"/>
              <w:right w:val="single" w:sz="4" w:space="0" w:color="000000"/>
            </w:tcBorders>
            <w:shd w:val="clear" w:color="000000" w:fill="FFFFFF"/>
            <w:vAlign w:val="center"/>
            <w:hideMark/>
          </w:tcPr>
          <w:p w14:paraId="551777D7"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11</w:t>
            </w:r>
          </w:p>
        </w:tc>
      </w:tr>
      <w:tr w:rsidR="00472B26" w:rsidRPr="00472B26" w14:paraId="09A4CBDD" w14:textId="77777777" w:rsidTr="00472B26">
        <w:trPr>
          <w:trHeight w:val="300"/>
        </w:trPr>
        <w:tc>
          <w:tcPr>
            <w:tcW w:w="1840" w:type="dxa"/>
            <w:tcBorders>
              <w:top w:val="nil"/>
              <w:left w:val="single" w:sz="4" w:space="0" w:color="000000"/>
              <w:bottom w:val="single" w:sz="4" w:space="0" w:color="000000"/>
              <w:right w:val="single" w:sz="4" w:space="0" w:color="000000"/>
            </w:tcBorders>
            <w:shd w:val="clear" w:color="000000" w:fill="FFFFFF"/>
            <w:vAlign w:val="center"/>
            <w:hideMark/>
          </w:tcPr>
          <w:p w14:paraId="155AFD3A"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Manandona</w:t>
            </w:r>
          </w:p>
        </w:tc>
        <w:tc>
          <w:tcPr>
            <w:tcW w:w="920" w:type="dxa"/>
            <w:tcBorders>
              <w:top w:val="nil"/>
              <w:left w:val="nil"/>
              <w:bottom w:val="single" w:sz="4" w:space="0" w:color="000000"/>
              <w:right w:val="single" w:sz="4" w:space="0" w:color="000000"/>
            </w:tcBorders>
            <w:shd w:val="clear" w:color="000000" w:fill="FFFFFF"/>
            <w:vAlign w:val="center"/>
            <w:hideMark/>
          </w:tcPr>
          <w:p w14:paraId="5EB166B9"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1 550</w:t>
            </w:r>
          </w:p>
        </w:tc>
        <w:tc>
          <w:tcPr>
            <w:tcW w:w="1120" w:type="dxa"/>
            <w:tcBorders>
              <w:top w:val="nil"/>
              <w:left w:val="nil"/>
              <w:bottom w:val="single" w:sz="4" w:space="0" w:color="000000"/>
              <w:right w:val="single" w:sz="4" w:space="0" w:color="000000"/>
            </w:tcBorders>
            <w:shd w:val="clear" w:color="000000" w:fill="FFFFFF"/>
            <w:vAlign w:val="center"/>
            <w:hideMark/>
          </w:tcPr>
          <w:p w14:paraId="56BEA872"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39</w:t>
            </w:r>
          </w:p>
        </w:tc>
        <w:tc>
          <w:tcPr>
            <w:tcW w:w="1360" w:type="dxa"/>
            <w:tcBorders>
              <w:top w:val="nil"/>
              <w:left w:val="nil"/>
              <w:bottom w:val="single" w:sz="4" w:space="0" w:color="000000"/>
              <w:right w:val="single" w:sz="4" w:space="0" w:color="000000"/>
            </w:tcBorders>
            <w:shd w:val="clear" w:color="000000" w:fill="FFFFFF"/>
            <w:vAlign w:val="center"/>
            <w:hideMark/>
          </w:tcPr>
          <w:p w14:paraId="6B50F647"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121,5</w:t>
            </w:r>
          </w:p>
        </w:tc>
        <w:tc>
          <w:tcPr>
            <w:tcW w:w="1180" w:type="dxa"/>
            <w:tcBorders>
              <w:top w:val="nil"/>
              <w:left w:val="nil"/>
              <w:bottom w:val="single" w:sz="4" w:space="0" w:color="000000"/>
              <w:right w:val="single" w:sz="4" w:space="0" w:color="000000"/>
            </w:tcBorders>
            <w:shd w:val="clear" w:color="000000" w:fill="FFFFFF"/>
            <w:vAlign w:val="center"/>
            <w:hideMark/>
          </w:tcPr>
          <w:p w14:paraId="1C04EBF8"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15</w:t>
            </w:r>
          </w:p>
        </w:tc>
        <w:tc>
          <w:tcPr>
            <w:tcW w:w="1300" w:type="dxa"/>
            <w:tcBorders>
              <w:top w:val="nil"/>
              <w:left w:val="nil"/>
              <w:bottom w:val="single" w:sz="4" w:space="0" w:color="000000"/>
              <w:right w:val="single" w:sz="4" w:space="0" w:color="000000"/>
            </w:tcBorders>
            <w:shd w:val="clear" w:color="000000" w:fill="FFFFFF"/>
            <w:vAlign w:val="center"/>
            <w:hideMark/>
          </w:tcPr>
          <w:p w14:paraId="03DD4B69"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15</w:t>
            </w:r>
          </w:p>
        </w:tc>
        <w:tc>
          <w:tcPr>
            <w:tcW w:w="1120" w:type="dxa"/>
            <w:tcBorders>
              <w:top w:val="nil"/>
              <w:left w:val="nil"/>
              <w:bottom w:val="single" w:sz="4" w:space="0" w:color="000000"/>
              <w:right w:val="single" w:sz="4" w:space="0" w:color="000000"/>
            </w:tcBorders>
            <w:shd w:val="clear" w:color="000000" w:fill="FFFFFF"/>
            <w:vAlign w:val="center"/>
            <w:hideMark/>
          </w:tcPr>
          <w:p w14:paraId="5BA2A51A"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110</w:t>
            </w:r>
          </w:p>
        </w:tc>
      </w:tr>
      <w:tr w:rsidR="00472B26" w:rsidRPr="00472B26" w14:paraId="19468FF0" w14:textId="77777777" w:rsidTr="00472B26">
        <w:trPr>
          <w:trHeight w:val="300"/>
        </w:trPr>
        <w:tc>
          <w:tcPr>
            <w:tcW w:w="1840" w:type="dxa"/>
            <w:tcBorders>
              <w:top w:val="nil"/>
              <w:left w:val="single" w:sz="4" w:space="0" w:color="000000"/>
              <w:bottom w:val="single" w:sz="4" w:space="0" w:color="000000"/>
              <w:right w:val="single" w:sz="4" w:space="0" w:color="000000"/>
            </w:tcBorders>
            <w:shd w:val="clear" w:color="000000" w:fill="FFFFFF"/>
            <w:vAlign w:val="center"/>
            <w:hideMark/>
          </w:tcPr>
          <w:p w14:paraId="122D829A"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Andratsay</w:t>
            </w:r>
          </w:p>
        </w:tc>
        <w:tc>
          <w:tcPr>
            <w:tcW w:w="920" w:type="dxa"/>
            <w:tcBorders>
              <w:top w:val="nil"/>
              <w:left w:val="nil"/>
              <w:bottom w:val="single" w:sz="4" w:space="0" w:color="000000"/>
              <w:right w:val="single" w:sz="4" w:space="0" w:color="000000"/>
            </w:tcBorders>
            <w:shd w:val="clear" w:color="000000" w:fill="FFFFFF"/>
            <w:vAlign w:val="center"/>
            <w:hideMark/>
          </w:tcPr>
          <w:p w14:paraId="76F812F4"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w:t>
            </w:r>
          </w:p>
        </w:tc>
        <w:tc>
          <w:tcPr>
            <w:tcW w:w="1120" w:type="dxa"/>
            <w:tcBorders>
              <w:top w:val="nil"/>
              <w:left w:val="nil"/>
              <w:bottom w:val="single" w:sz="4" w:space="0" w:color="000000"/>
              <w:right w:val="single" w:sz="4" w:space="0" w:color="000000"/>
            </w:tcBorders>
            <w:shd w:val="clear" w:color="000000" w:fill="FFFFFF"/>
            <w:vAlign w:val="center"/>
            <w:hideMark/>
          </w:tcPr>
          <w:p w14:paraId="25FBFFA5"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6</w:t>
            </w:r>
          </w:p>
        </w:tc>
        <w:tc>
          <w:tcPr>
            <w:tcW w:w="1360" w:type="dxa"/>
            <w:tcBorders>
              <w:top w:val="nil"/>
              <w:left w:val="nil"/>
              <w:bottom w:val="single" w:sz="4" w:space="0" w:color="000000"/>
              <w:right w:val="single" w:sz="4" w:space="0" w:color="000000"/>
            </w:tcBorders>
            <w:shd w:val="clear" w:color="000000" w:fill="FFFFFF"/>
            <w:vAlign w:val="center"/>
            <w:hideMark/>
          </w:tcPr>
          <w:p w14:paraId="4F8B3116"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30,3</w:t>
            </w:r>
          </w:p>
        </w:tc>
        <w:tc>
          <w:tcPr>
            <w:tcW w:w="1180" w:type="dxa"/>
            <w:tcBorders>
              <w:top w:val="nil"/>
              <w:left w:val="nil"/>
              <w:bottom w:val="single" w:sz="4" w:space="0" w:color="000000"/>
              <w:right w:val="single" w:sz="4" w:space="0" w:color="000000"/>
            </w:tcBorders>
            <w:shd w:val="clear" w:color="000000" w:fill="FFFFFF"/>
            <w:vAlign w:val="center"/>
            <w:hideMark/>
          </w:tcPr>
          <w:p w14:paraId="29E6F229"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6</w:t>
            </w:r>
          </w:p>
        </w:tc>
        <w:tc>
          <w:tcPr>
            <w:tcW w:w="1300" w:type="dxa"/>
            <w:tcBorders>
              <w:top w:val="nil"/>
              <w:left w:val="nil"/>
              <w:bottom w:val="single" w:sz="4" w:space="0" w:color="000000"/>
              <w:right w:val="single" w:sz="4" w:space="0" w:color="000000"/>
            </w:tcBorders>
            <w:shd w:val="clear" w:color="000000" w:fill="FFFFFF"/>
            <w:vAlign w:val="center"/>
            <w:hideMark/>
          </w:tcPr>
          <w:p w14:paraId="1BE4C838"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1,38</w:t>
            </w:r>
          </w:p>
        </w:tc>
        <w:tc>
          <w:tcPr>
            <w:tcW w:w="1120" w:type="dxa"/>
            <w:tcBorders>
              <w:top w:val="nil"/>
              <w:left w:val="nil"/>
              <w:bottom w:val="single" w:sz="4" w:space="0" w:color="000000"/>
              <w:right w:val="single" w:sz="4" w:space="0" w:color="000000"/>
            </w:tcBorders>
            <w:shd w:val="clear" w:color="000000" w:fill="FFFFFF"/>
            <w:vAlign w:val="center"/>
            <w:hideMark/>
          </w:tcPr>
          <w:p w14:paraId="32E1BE19"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11</w:t>
            </w:r>
          </w:p>
        </w:tc>
      </w:tr>
      <w:tr w:rsidR="00472B26" w:rsidRPr="00472B26" w14:paraId="269714EA" w14:textId="77777777" w:rsidTr="00472B26">
        <w:trPr>
          <w:trHeight w:val="300"/>
        </w:trPr>
        <w:tc>
          <w:tcPr>
            <w:tcW w:w="1840" w:type="dxa"/>
            <w:tcBorders>
              <w:top w:val="nil"/>
              <w:left w:val="single" w:sz="4" w:space="0" w:color="000000"/>
              <w:bottom w:val="single" w:sz="4" w:space="0" w:color="000000"/>
              <w:right w:val="single" w:sz="4" w:space="0" w:color="000000"/>
            </w:tcBorders>
            <w:shd w:val="clear" w:color="000000" w:fill="FFFFFF"/>
            <w:vAlign w:val="center"/>
            <w:hideMark/>
          </w:tcPr>
          <w:p w14:paraId="430CAF46"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Mangoro</w:t>
            </w:r>
          </w:p>
        </w:tc>
        <w:tc>
          <w:tcPr>
            <w:tcW w:w="920" w:type="dxa"/>
            <w:tcBorders>
              <w:top w:val="nil"/>
              <w:left w:val="nil"/>
              <w:bottom w:val="single" w:sz="4" w:space="0" w:color="000000"/>
              <w:right w:val="single" w:sz="4" w:space="0" w:color="000000"/>
            </w:tcBorders>
            <w:shd w:val="clear" w:color="000000" w:fill="FFFFFF"/>
            <w:vAlign w:val="center"/>
            <w:hideMark/>
          </w:tcPr>
          <w:p w14:paraId="58ACD609"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5 200</w:t>
            </w:r>
          </w:p>
        </w:tc>
        <w:tc>
          <w:tcPr>
            <w:tcW w:w="1120" w:type="dxa"/>
            <w:tcBorders>
              <w:top w:val="nil"/>
              <w:left w:val="nil"/>
              <w:bottom w:val="single" w:sz="4" w:space="0" w:color="000000"/>
              <w:right w:val="single" w:sz="4" w:space="0" w:color="000000"/>
            </w:tcBorders>
            <w:shd w:val="clear" w:color="000000" w:fill="FFFFFF"/>
            <w:vAlign w:val="center"/>
            <w:hideMark/>
          </w:tcPr>
          <w:p w14:paraId="799C0DA7"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130</w:t>
            </w:r>
          </w:p>
        </w:tc>
        <w:tc>
          <w:tcPr>
            <w:tcW w:w="1360" w:type="dxa"/>
            <w:tcBorders>
              <w:top w:val="nil"/>
              <w:left w:val="nil"/>
              <w:bottom w:val="single" w:sz="4" w:space="0" w:color="000000"/>
              <w:right w:val="single" w:sz="4" w:space="0" w:color="000000"/>
            </w:tcBorders>
            <w:shd w:val="clear" w:color="000000" w:fill="FFFFFF"/>
            <w:vAlign w:val="center"/>
            <w:hideMark/>
          </w:tcPr>
          <w:p w14:paraId="72C4BF91"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52</w:t>
            </w:r>
          </w:p>
        </w:tc>
        <w:tc>
          <w:tcPr>
            <w:tcW w:w="1180" w:type="dxa"/>
            <w:tcBorders>
              <w:top w:val="nil"/>
              <w:left w:val="nil"/>
              <w:bottom w:val="single" w:sz="4" w:space="0" w:color="000000"/>
              <w:right w:val="single" w:sz="4" w:space="0" w:color="000000"/>
            </w:tcBorders>
            <w:shd w:val="clear" w:color="000000" w:fill="FFFFFF"/>
            <w:vAlign w:val="center"/>
            <w:hideMark/>
          </w:tcPr>
          <w:p w14:paraId="00F62048"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72</w:t>
            </w:r>
          </w:p>
        </w:tc>
        <w:tc>
          <w:tcPr>
            <w:tcW w:w="1300" w:type="dxa"/>
            <w:tcBorders>
              <w:top w:val="nil"/>
              <w:left w:val="nil"/>
              <w:bottom w:val="single" w:sz="4" w:space="0" w:color="000000"/>
              <w:right w:val="single" w:sz="4" w:space="0" w:color="000000"/>
            </w:tcBorders>
            <w:shd w:val="clear" w:color="000000" w:fill="FFFFFF"/>
            <w:vAlign w:val="center"/>
            <w:hideMark/>
          </w:tcPr>
          <w:p w14:paraId="7D410E58"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30</w:t>
            </w:r>
          </w:p>
        </w:tc>
        <w:tc>
          <w:tcPr>
            <w:tcW w:w="1120" w:type="dxa"/>
            <w:tcBorders>
              <w:top w:val="nil"/>
              <w:left w:val="nil"/>
              <w:bottom w:val="single" w:sz="4" w:space="0" w:color="000000"/>
              <w:right w:val="single" w:sz="4" w:space="0" w:color="000000"/>
            </w:tcBorders>
            <w:shd w:val="clear" w:color="000000" w:fill="FFFFFF"/>
            <w:vAlign w:val="center"/>
            <w:hideMark/>
          </w:tcPr>
          <w:p w14:paraId="43D03BE8"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196</w:t>
            </w:r>
          </w:p>
        </w:tc>
      </w:tr>
      <w:tr w:rsidR="00472B26" w:rsidRPr="00472B26" w14:paraId="5CA087E5" w14:textId="77777777" w:rsidTr="00472B26">
        <w:trPr>
          <w:trHeight w:val="300"/>
        </w:trPr>
        <w:tc>
          <w:tcPr>
            <w:tcW w:w="1840" w:type="dxa"/>
            <w:tcBorders>
              <w:top w:val="nil"/>
              <w:left w:val="single" w:sz="4" w:space="0" w:color="000000"/>
              <w:bottom w:val="single" w:sz="4" w:space="0" w:color="000000"/>
              <w:right w:val="single" w:sz="4" w:space="0" w:color="000000"/>
            </w:tcBorders>
            <w:shd w:val="clear" w:color="000000" w:fill="FFFFFF"/>
            <w:vAlign w:val="center"/>
            <w:hideMark/>
          </w:tcPr>
          <w:p w14:paraId="0D0A227D"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Ikopa</w:t>
            </w:r>
          </w:p>
        </w:tc>
        <w:tc>
          <w:tcPr>
            <w:tcW w:w="920" w:type="dxa"/>
            <w:tcBorders>
              <w:top w:val="nil"/>
              <w:left w:val="nil"/>
              <w:bottom w:val="single" w:sz="4" w:space="0" w:color="000000"/>
              <w:right w:val="single" w:sz="4" w:space="0" w:color="000000"/>
            </w:tcBorders>
            <w:shd w:val="clear" w:color="000000" w:fill="FFFFFF"/>
            <w:vAlign w:val="center"/>
            <w:hideMark/>
          </w:tcPr>
          <w:p w14:paraId="58D9C1D7"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19 745</w:t>
            </w:r>
          </w:p>
        </w:tc>
        <w:tc>
          <w:tcPr>
            <w:tcW w:w="1120" w:type="dxa"/>
            <w:tcBorders>
              <w:top w:val="nil"/>
              <w:left w:val="nil"/>
              <w:bottom w:val="single" w:sz="4" w:space="0" w:color="000000"/>
              <w:right w:val="single" w:sz="4" w:space="0" w:color="000000"/>
            </w:tcBorders>
            <w:shd w:val="clear" w:color="000000" w:fill="FFFFFF"/>
            <w:vAlign w:val="center"/>
            <w:hideMark/>
          </w:tcPr>
          <w:p w14:paraId="34EE4A4B"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473</w:t>
            </w:r>
          </w:p>
        </w:tc>
        <w:tc>
          <w:tcPr>
            <w:tcW w:w="1360" w:type="dxa"/>
            <w:tcBorders>
              <w:top w:val="nil"/>
              <w:left w:val="nil"/>
              <w:bottom w:val="single" w:sz="4" w:space="0" w:color="000000"/>
              <w:right w:val="single" w:sz="4" w:space="0" w:color="000000"/>
            </w:tcBorders>
            <w:shd w:val="clear" w:color="000000" w:fill="FFFFFF"/>
            <w:vAlign w:val="center"/>
            <w:hideMark/>
          </w:tcPr>
          <w:p w14:paraId="34A4FC62"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133</w:t>
            </w:r>
          </w:p>
        </w:tc>
        <w:tc>
          <w:tcPr>
            <w:tcW w:w="1180" w:type="dxa"/>
            <w:tcBorders>
              <w:top w:val="nil"/>
              <w:left w:val="nil"/>
              <w:bottom w:val="single" w:sz="4" w:space="0" w:color="000000"/>
              <w:right w:val="single" w:sz="4" w:space="0" w:color="000000"/>
            </w:tcBorders>
            <w:shd w:val="clear" w:color="000000" w:fill="FFFFFF"/>
            <w:vAlign w:val="center"/>
            <w:hideMark/>
          </w:tcPr>
          <w:p w14:paraId="38730CF9"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385</w:t>
            </w:r>
          </w:p>
        </w:tc>
        <w:tc>
          <w:tcPr>
            <w:tcW w:w="1300" w:type="dxa"/>
            <w:tcBorders>
              <w:top w:val="nil"/>
              <w:left w:val="nil"/>
              <w:bottom w:val="single" w:sz="4" w:space="0" w:color="000000"/>
              <w:right w:val="single" w:sz="4" w:space="0" w:color="000000"/>
            </w:tcBorders>
            <w:shd w:val="clear" w:color="000000" w:fill="FFFFFF"/>
            <w:vAlign w:val="center"/>
            <w:hideMark/>
          </w:tcPr>
          <w:p w14:paraId="30C59056"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410</w:t>
            </w:r>
          </w:p>
        </w:tc>
        <w:tc>
          <w:tcPr>
            <w:tcW w:w="1120" w:type="dxa"/>
            <w:tcBorders>
              <w:top w:val="nil"/>
              <w:left w:val="nil"/>
              <w:bottom w:val="single" w:sz="4" w:space="0" w:color="000000"/>
              <w:right w:val="single" w:sz="4" w:space="0" w:color="000000"/>
            </w:tcBorders>
            <w:shd w:val="clear" w:color="000000" w:fill="FFFFFF"/>
            <w:vAlign w:val="center"/>
            <w:hideMark/>
          </w:tcPr>
          <w:p w14:paraId="263F11F4"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3030</w:t>
            </w:r>
          </w:p>
        </w:tc>
      </w:tr>
      <w:tr w:rsidR="00472B26" w:rsidRPr="00472B26" w14:paraId="7224FAB3" w14:textId="77777777" w:rsidTr="00472B26">
        <w:trPr>
          <w:trHeight w:val="300"/>
        </w:trPr>
        <w:tc>
          <w:tcPr>
            <w:tcW w:w="1840" w:type="dxa"/>
            <w:tcBorders>
              <w:top w:val="nil"/>
              <w:left w:val="single" w:sz="4" w:space="0" w:color="000000"/>
              <w:bottom w:val="single" w:sz="4" w:space="0" w:color="000000"/>
              <w:right w:val="single" w:sz="4" w:space="0" w:color="000000"/>
            </w:tcBorders>
            <w:shd w:val="clear" w:color="000000" w:fill="FFFFFF"/>
            <w:vAlign w:val="center"/>
            <w:hideMark/>
          </w:tcPr>
          <w:p w14:paraId="158A3642"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Ba</w:t>
            </w:r>
            <w:r w:rsidR="00E41B22">
              <w:rPr>
                <w:rFonts w:ascii="Arial" w:eastAsia="Times New Roman" w:hAnsi="Arial" w:cs="Arial"/>
                <w:color w:val="000000"/>
                <w:sz w:val="18"/>
                <w:szCs w:val="18"/>
                <w:lang w:eastAsia="fr-FR"/>
              </w:rPr>
              <w:t>s</w:t>
            </w:r>
            <w:r w:rsidRPr="00E41B22">
              <w:rPr>
                <w:rFonts w:ascii="Arial" w:eastAsia="Times New Roman" w:hAnsi="Arial" w:cs="Arial"/>
                <w:color w:val="000000"/>
                <w:sz w:val="18"/>
                <w:szCs w:val="18"/>
                <w:lang w:eastAsia="fr-FR"/>
              </w:rPr>
              <w:t xml:space="preserve"> Mantasoa</w:t>
            </w:r>
          </w:p>
        </w:tc>
        <w:tc>
          <w:tcPr>
            <w:tcW w:w="920" w:type="dxa"/>
            <w:tcBorders>
              <w:top w:val="nil"/>
              <w:left w:val="nil"/>
              <w:bottom w:val="single" w:sz="4" w:space="0" w:color="000000"/>
              <w:right w:val="single" w:sz="4" w:space="0" w:color="000000"/>
            </w:tcBorders>
            <w:shd w:val="clear" w:color="000000" w:fill="FFFFFF"/>
            <w:vAlign w:val="center"/>
            <w:hideMark/>
          </w:tcPr>
          <w:p w14:paraId="72504230"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w:t>
            </w:r>
          </w:p>
        </w:tc>
        <w:tc>
          <w:tcPr>
            <w:tcW w:w="1120" w:type="dxa"/>
            <w:tcBorders>
              <w:top w:val="nil"/>
              <w:left w:val="nil"/>
              <w:bottom w:val="single" w:sz="4" w:space="0" w:color="000000"/>
              <w:right w:val="single" w:sz="4" w:space="0" w:color="000000"/>
            </w:tcBorders>
            <w:shd w:val="clear" w:color="000000" w:fill="FFFFFF"/>
            <w:vAlign w:val="center"/>
            <w:hideMark/>
          </w:tcPr>
          <w:p w14:paraId="0C081ED5"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w:t>
            </w:r>
          </w:p>
        </w:tc>
        <w:tc>
          <w:tcPr>
            <w:tcW w:w="1360" w:type="dxa"/>
            <w:tcBorders>
              <w:top w:val="nil"/>
              <w:left w:val="nil"/>
              <w:bottom w:val="single" w:sz="4" w:space="0" w:color="000000"/>
              <w:right w:val="single" w:sz="4" w:space="0" w:color="000000"/>
            </w:tcBorders>
            <w:shd w:val="clear" w:color="000000" w:fill="FFFFFF"/>
            <w:vAlign w:val="center"/>
            <w:hideMark/>
          </w:tcPr>
          <w:p w14:paraId="2E937A5E"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480</w:t>
            </w:r>
          </w:p>
        </w:tc>
        <w:tc>
          <w:tcPr>
            <w:tcW w:w="1180" w:type="dxa"/>
            <w:tcBorders>
              <w:top w:val="nil"/>
              <w:left w:val="nil"/>
              <w:bottom w:val="single" w:sz="4" w:space="0" w:color="000000"/>
              <w:right w:val="single" w:sz="4" w:space="0" w:color="000000"/>
            </w:tcBorders>
            <w:shd w:val="clear" w:color="000000" w:fill="FFFFFF"/>
            <w:vAlign w:val="center"/>
            <w:hideMark/>
          </w:tcPr>
          <w:p w14:paraId="6ACA2955"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16</w:t>
            </w:r>
          </w:p>
        </w:tc>
        <w:tc>
          <w:tcPr>
            <w:tcW w:w="1300" w:type="dxa"/>
            <w:tcBorders>
              <w:top w:val="nil"/>
              <w:left w:val="nil"/>
              <w:bottom w:val="single" w:sz="4" w:space="0" w:color="000000"/>
              <w:right w:val="single" w:sz="4" w:space="0" w:color="000000"/>
            </w:tcBorders>
            <w:shd w:val="clear" w:color="000000" w:fill="FFFFFF"/>
            <w:vAlign w:val="center"/>
            <w:hideMark/>
          </w:tcPr>
          <w:p w14:paraId="68A0A321"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58</w:t>
            </w:r>
          </w:p>
        </w:tc>
        <w:tc>
          <w:tcPr>
            <w:tcW w:w="1120" w:type="dxa"/>
            <w:tcBorders>
              <w:top w:val="nil"/>
              <w:left w:val="nil"/>
              <w:bottom w:val="single" w:sz="4" w:space="0" w:color="000000"/>
              <w:right w:val="single" w:sz="4" w:space="0" w:color="000000"/>
            </w:tcBorders>
            <w:shd w:val="clear" w:color="000000" w:fill="FFFFFF"/>
            <w:vAlign w:val="center"/>
            <w:hideMark/>
          </w:tcPr>
          <w:p w14:paraId="759F0F90"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80</w:t>
            </w:r>
          </w:p>
        </w:tc>
      </w:tr>
      <w:tr w:rsidR="00472B26" w:rsidRPr="00472B26" w14:paraId="4397362B" w14:textId="77777777" w:rsidTr="00472B26">
        <w:trPr>
          <w:trHeight w:val="300"/>
        </w:trPr>
        <w:tc>
          <w:tcPr>
            <w:tcW w:w="1840" w:type="dxa"/>
            <w:tcBorders>
              <w:top w:val="nil"/>
              <w:left w:val="single" w:sz="4" w:space="0" w:color="000000"/>
              <w:bottom w:val="single" w:sz="4" w:space="0" w:color="000000"/>
              <w:right w:val="single" w:sz="4" w:space="0" w:color="000000"/>
            </w:tcBorders>
            <w:shd w:val="clear" w:color="000000" w:fill="FFFFFF"/>
            <w:vAlign w:val="center"/>
            <w:hideMark/>
          </w:tcPr>
          <w:p w14:paraId="0FB29ABE"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Betsiboka</w:t>
            </w:r>
          </w:p>
        </w:tc>
        <w:tc>
          <w:tcPr>
            <w:tcW w:w="920" w:type="dxa"/>
            <w:tcBorders>
              <w:top w:val="nil"/>
              <w:left w:val="nil"/>
              <w:bottom w:val="single" w:sz="4" w:space="0" w:color="000000"/>
              <w:right w:val="single" w:sz="4" w:space="0" w:color="000000"/>
            </w:tcBorders>
            <w:shd w:val="clear" w:color="000000" w:fill="FFFFFF"/>
            <w:vAlign w:val="center"/>
            <w:hideMark/>
          </w:tcPr>
          <w:p w14:paraId="51E72C49"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7 060</w:t>
            </w:r>
          </w:p>
        </w:tc>
        <w:tc>
          <w:tcPr>
            <w:tcW w:w="1120" w:type="dxa"/>
            <w:tcBorders>
              <w:top w:val="nil"/>
              <w:left w:val="nil"/>
              <w:bottom w:val="single" w:sz="4" w:space="0" w:color="000000"/>
              <w:right w:val="single" w:sz="4" w:space="0" w:color="000000"/>
            </w:tcBorders>
            <w:shd w:val="clear" w:color="000000" w:fill="FFFFFF"/>
            <w:vAlign w:val="center"/>
            <w:hideMark/>
          </w:tcPr>
          <w:p w14:paraId="2C9ACE61"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151</w:t>
            </w:r>
          </w:p>
        </w:tc>
        <w:tc>
          <w:tcPr>
            <w:tcW w:w="1360" w:type="dxa"/>
            <w:tcBorders>
              <w:top w:val="nil"/>
              <w:left w:val="nil"/>
              <w:bottom w:val="single" w:sz="4" w:space="0" w:color="000000"/>
              <w:right w:val="single" w:sz="4" w:space="0" w:color="000000"/>
            </w:tcBorders>
            <w:shd w:val="clear" w:color="000000" w:fill="FFFFFF"/>
            <w:vAlign w:val="center"/>
            <w:hideMark/>
          </w:tcPr>
          <w:p w14:paraId="49EC1B41"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122</w:t>
            </w:r>
          </w:p>
        </w:tc>
        <w:tc>
          <w:tcPr>
            <w:tcW w:w="1180" w:type="dxa"/>
            <w:tcBorders>
              <w:top w:val="nil"/>
              <w:left w:val="nil"/>
              <w:bottom w:val="single" w:sz="4" w:space="0" w:color="000000"/>
              <w:right w:val="single" w:sz="4" w:space="0" w:color="000000"/>
            </w:tcBorders>
            <w:shd w:val="clear" w:color="000000" w:fill="FFFFFF"/>
            <w:vAlign w:val="center"/>
            <w:hideMark/>
          </w:tcPr>
          <w:p w14:paraId="01DE796A"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154</w:t>
            </w:r>
          </w:p>
        </w:tc>
        <w:tc>
          <w:tcPr>
            <w:tcW w:w="1300" w:type="dxa"/>
            <w:tcBorders>
              <w:top w:val="nil"/>
              <w:left w:val="nil"/>
              <w:bottom w:val="single" w:sz="4" w:space="0" w:color="000000"/>
              <w:right w:val="single" w:sz="4" w:space="0" w:color="000000"/>
            </w:tcBorders>
            <w:shd w:val="clear" w:color="000000" w:fill="FFFFFF"/>
            <w:vAlign w:val="center"/>
            <w:hideMark/>
          </w:tcPr>
          <w:p w14:paraId="4EE48118"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150</w:t>
            </w:r>
          </w:p>
        </w:tc>
        <w:tc>
          <w:tcPr>
            <w:tcW w:w="1120" w:type="dxa"/>
            <w:tcBorders>
              <w:top w:val="nil"/>
              <w:left w:val="nil"/>
              <w:bottom w:val="single" w:sz="4" w:space="0" w:color="000000"/>
              <w:right w:val="single" w:sz="4" w:space="0" w:color="000000"/>
            </w:tcBorders>
            <w:shd w:val="clear" w:color="000000" w:fill="FFFFFF"/>
            <w:vAlign w:val="center"/>
            <w:hideMark/>
          </w:tcPr>
          <w:p w14:paraId="2F39484B"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980</w:t>
            </w:r>
          </w:p>
        </w:tc>
      </w:tr>
      <w:tr w:rsidR="00472B26" w:rsidRPr="00472B26" w14:paraId="52DB2F51" w14:textId="77777777" w:rsidTr="00472B26">
        <w:trPr>
          <w:trHeight w:val="300"/>
        </w:trPr>
        <w:tc>
          <w:tcPr>
            <w:tcW w:w="1840" w:type="dxa"/>
            <w:tcBorders>
              <w:top w:val="nil"/>
              <w:left w:val="single" w:sz="4" w:space="0" w:color="000000"/>
              <w:bottom w:val="single" w:sz="4" w:space="0" w:color="000000"/>
              <w:right w:val="single" w:sz="4" w:space="0" w:color="000000"/>
            </w:tcBorders>
            <w:shd w:val="clear" w:color="000000" w:fill="FFFFFF"/>
            <w:vAlign w:val="center"/>
            <w:hideMark/>
          </w:tcPr>
          <w:p w14:paraId="1B05F00E"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Maintinandry</w:t>
            </w:r>
          </w:p>
        </w:tc>
        <w:tc>
          <w:tcPr>
            <w:tcW w:w="920" w:type="dxa"/>
            <w:tcBorders>
              <w:top w:val="nil"/>
              <w:left w:val="nil"/>
              <w:bottom w:val="single" w:sz="4" w:space="0" w:color="000000"/>
              <w:right w:val="single" w:sz="4" w:space="0" w:color="000000"/>
            </w:tcBorders>
            <w:shd w:val="clear" w:color="000000" w:fill="FFFFFF"/>
            <w:vAlign w:val="center"/>
            <w:hideMark/>
          </w:tcPr>
          <w:p w14:paraId="4DD71A28"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w:t>
            </w:r>
          </w:p>
        </w:tc>
        <w:tc>
          <w:tcPr>
            <w:tcW w:w="1120" w:type="dxa"/>
            <w:tcBorders>
              <w:top w:val="nil"/>
              <w:left w:val="nil"/>
              <w:bottom w:val="single" w:sz="4" w:space="0" w:color="000000"/>
              <w:right w:val="single" w:sz="4" w:space="0" w:color="000000"/>
            </w:tcBorders>
            <w:shd w:val="clear" w:color="000000" w:fill="FFFFFF"/>
            <w:vAlign w:val="center"/>
            <w:hideMark/>
          </w:tcPr>
          <w:p w14:paraId="50135EE6"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9,3</w:t>
            </w:r>
          </w:p>
        </w:tc>
        <w:tc>
          <w:tcPr>
            <w:tcW w:w="1360" w:type="dxa"/>
            <w:tcBorders>
              <w:top w:val="nil"/>
              <w:left w:val="nil"/>
              <w:bottom w:val="single" w:sz="4" w:space="0" w:color="000000"/>
              <w:right w:val="single" w:sz="4" w:space="0" w:color="000000"/>
            </w:tcBorders>
            <w:shd w:val="clear" w:color="000000" w:fill="FFFFFF"/>
            <w:vAlign w:val="center"/>
            <w:hideMark/>
          </w:tcPr>
          <w:p w14:paraId="122C8CC0"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99,8</w:t>
            </w:r>
          </w:p>
        </w:tc>
        <w:tc>
          <w:tcPr>
            <w:tcW w:w="1180" w:type="dxa"/>
            <w:tcBorders>
              <w:top w:val="nil"/>
              <w:left w:val="nil"/>
              <w:bottom w:val="single" w:sz="4" w:space="0" w:color="000000"/>
              <w:right w:val="single" w:sz="4" w:space="0" w:color="000000"/>
            </w:tcBorders>
            <w:shd w:val="clear" w:color="000000" w:fill="FFFFFF"/>
            <w:vAlign w:val="center"/>
            <w:hideMark/>
          </w:tcPr>
          <w:p w14:paraId="52206A81"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3</w:t>
            </w:r>
          </w:p>
        </w:tc>
        <w:tc>
          <w:tcPr>
            <w:tcW w:w="1300" w:type="dxa"/>
            <w:tcBorders>
              <w:top w:val="nil"/>
              <w:left w:val="nil"/>
              <w:bottom w:val="single" w:sz="4" w:space="0" w:color="000000"/>
              <w:right w:val="single" w:sz="4" w:space="0" w:color="000000"/>
            </w:tcBorders>
            <w:shd w:val="clear" w:color="000000" w:fill="FFFFFF"/>
            <w:vAlign w:val="center"/>
            <w:hideMark/>
          </w:tcPr>
          <w:p w14:paraId="40A2BF04"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2,4</w:t>
            </w:r>
          </w:p>
        </w:tc>
        <w:tc>
          <w:tcPr>
            <w:tcW w:w="1120" w:type="dxa"/>
            <w:tcBorders>
              <w:top w:val="nil"/>
              <w:left w:val="nil"/>
              <w:bottom w:val="single" w:sz="4" w:space="0" w:color="000000"/>
              <w:right w:val="single" w:sz="4" w:space="0" w:color="000000"/>
            </w:tcBorders>
            <w:shd w:val="clear" w:color="000000" w:fill="FFFFFF"/>
            <w:vAlign w:val="center"/>
            <w:hideMark/>
          </w:tcPr>
          <w:p w14:paraId="3E86C25D"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51</w:t>
            </w:r>
          </w:p>
        </w:tc>
      </w:tr>
      <w:tr w:rsidR="00472B26" w:rsidRPr="00472B26" w14:paraId="581773D8" w14:textId="77777777" w:rsidTr="00472B26">
        <w:trPr>
          <w:trHeight w:val="300"/>
        </w:trPr>
        <w:tc>
          <w:tcPr>
            <w:tcW w:w="1840" w:type="dxa"/>
            <w:tcBorders>
              <w:top w:val="nil"/>
              <w:left w:val="single" w:sz="4" w:space="0" w:color="000000"/>
              <w:bottom w:val="single" w:sz="4" w:space="0" w:color="000000"/>
              <w:right w:val="single" w:sz="4" w:space="0" w:color="000000"/>
            </w:tcBorders>
            <w:shd w:val="clear" w:color="000000" w:fill="FFFFFF"/>
            <w:vAlign w:val="center"/>
            <w:hideMark/>
          </w:tcPr>
          <w:p w14:paraId="3DB325D8"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Lily</w:t>
            </w:r>
          </w:p>
        </w:tc>
        <w:tc>
          <w:tcPr>
            <w:tcW w:w="920" w:type="dxa"/>
            <w:tcBorders>
              <w:top w:val="nil"/>
              <w:left w:val="nil"/>
              <w:bottom w:val="single" w:sz="4" w:space="0" w:color="000000"/>
              <w:right w:val="single" w:sz="4" w:space="0" w:color="000000"/>
            </w:tcBorders>
            <w:shd w:val="clear" w:color="000000" w:fill="FFFFFF"/>
            <w:vAlign w:val="center"/>
            <w:hideMark/>
          </w:tcPr>
          <w:p w14:paraId="1CBFAD22"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w:t>
            </w:r>
          </w:p>
        </w:tc>
        <w:tc>
          <w:tcPr>
            <w:tcW w:w="1120" w:type="dxa"/>
            <w:tcBorders>
              <w:top w:val="nil"/>
              <w:left w:val="nil"/>
              <w:bottom w:val="single" w:sz="4" w:space="0" w:color="000000"/>
              <w:right w:val="single" w:sz="4" w:space="0" w:color="000000"/>
            </w:tcBorders>
            <w:shd w:val="clear" w:color="000000" w:fill="FFFFFF"/>
            <w:vAlign w:val="center"/>
            <w:hideMark/>
          </w:tcPr>
          <w:p w14:paraId="0061A6C8"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13,7</w:t>
            </w:r>
          </w:p>
        </w:tc>
        <w:tc>
          <w:tcPr>
            <w:tcW w:w="1360" w:type="dxa"/>
            <w:tcBorders>
              <w:top w:val="nil"/>
              <w:left w:val="nil"/>
              <w:bottom w:val="single" w:sz="4" w:space="0" w:color="000000"/>
              <w:right w:val="single" w:sz="4" w:space="0" w:color="000000"/>
            </w:tcBorders>
            <w:shd w:val="clear" w:color="000000" w:fill="FFFFFF"/>
            <w:vAlign w:val="center"/>
            <w:hideMark/>
          </w:tcPr>
          <w:p w14:paraId="3D47E753"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74,9</w:t>
            </w:r>
          </w:p>
        </w:tc>
        <w:tc>
          <w:tcPr>
            <w:tcW w:w="1180" w:type="dxa"/>
            <w:tcBorders>
              <w:top w:val="nil"/>
              <w:left w:val="nil"/>
              <w:bottom w:val="single" w:sz="4" w:space="0" w:color="000000"/>
              <w:right w:val="single" w:sz="4" w:space="0" w:color="000000"/>
            </w:tcBorders>
            <w:shd w:val="clear" w:color="000000" w:fill="FFFFFF"/>
            <w:vAlign w:val="center"/>
            <w:hideMark/>
          </w:tcPr>
          <w:p w14:paraId="0A823C7D"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6</w:t>
            </w:r>
          </w:p>
        </w:tc>
        <w:tc>
          <w:tcPr>
            <w:tcW w:w="1300" w:type="dxa"/>
            <w:tcBorders>
              <w:top w:val="nil"/>
              <w:left w:val="nil"/>
              <w:bottom w:val="single" w:sz="4" w:space="0" w:color="000000"/>
              <w:right w:val="single" w:sz="4" w:space="0" w:color="000000"/>
            </w:tcBorders>
            <w:shd w:val="clear" w:color="000000" w:fill="FFFFFF"/>
            <w:vAlign w:val="center"/>
            <w:hideMark/>
          </w:tcPr>
          <w:p w14:paraId="41574766"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3,6</w:t>
            </w:r>
          </w:p>
        </w:tc>
        <w:tc>
          <w:tcPr>
            <w:tcW w:w="1120" w:type="dxa"/>
            <w:tcBorders>
              <w:top w:val="nil"/>
              <w:left w:val="nil"/>
              <w:bottom w:val="single" w:sz="4" w:space="0" w:color="000000"/>
              <w:right w:val="single" w:sz="4" w:space="0" w:color="000000"/>
            </w:tcBorders>
            <w:shd w:val="clear" w:color="000000" w:fill="FFFFFF"/>
            <w:vAlign w:val="center"/>
            <w:hideMark/>
          </w:tcPr>
          <w:p w14:paraId="4C5AF28A" w14:textId="77777777" w:rsidR="00472B26" w:rsidRPr="00B434A6" w:rsidRDefault="00472B26" w:rsidP="00B434A6">
            <w:pPr>
              <w:spacing w:after="0" w:line="240" w:lineRule="auto"/>
              <w:jc w:val="center"/>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24</w:t>
            </w:r>
          </w:p>
        </w:tc>
      </w:tr>
      <w:tr w:rsidR="00472B26" w:rsidRPr="00472B26" w14:paraId="4B37D256" w14:textId="77777777" w:rsidTr="00472B26">
        <w:trPr>
          <w:trHeight w:val="300"/>
        </w:trPr>
        <w:tc>
          <w:tcPr>
            <w:tcW w:w="1840" w:type="dxa"/>
            <w:tcBorders>
              <w:top w:val="nil"/>
              <w:left w:val="single" w:sz="4" w:space="0" w:color="000000"/>
              <w:bottom w:val="single" w:sz="4" w:space="0" w:color="000000"/>
              <w:right w:val="single" w:sz="4" w:space="0" w:color="000000"/>
            </w:tcBorders>
            <w:shd w:val="clear" w:color="auto" w:fill="auto"/>
            <w:vAlign w:val="center"/>
            <w:hideMark/>
          </w:tcPr>
          <w:p w14:paraId="16C40BE6" w14:textId="77777777" w:rsidR="00472B26" w:rsidRPr="00CB1F35" w:rsidRDefault="00472B26" w:rsidP="00E41B22">
            <w:pPr>
              <w:spacing w:after="0" w:line="240" w:lineRule="auto"/>
              <w:rPr>
                <w:rFonts w:ascii="Arial" w:eastAsia="Times New Roman" w:hAnsi="Arial" w:cs="Arial"/>
                <w:color w:val="000000"/>
                <w:sz w:val="18"/>
                <w:szCs w:val="18"/>
                <w:lang w:eastAsia="fr-FR"/>
              </w:rPr>
            </w:pPr>
            <w:r w:rsidRPr="00CB1F35">
              <w:rPr>
                <w:rFonts w:ascii="Arial" w:eastAsia="Times New Roman" w:hAnsi="Arial" w:cs="Arial"/>
                <w:color w:val="000000"/>
                <w:sz w:val="18"/>
                <w:szCs w:val="18"/>
                <w:lang w:eastAsia="fr-FR"/>
              </w:rPr>
              <w:t>Ikopa</w:t>
            </w:r>
          </w:p>
        </w:tc>
        <w:tc>
          <w:tcPr>
            <w:tcW w:w="920" w:type="dxa"/>
            <w:tcBorders>
              <w:top w:val="nil"/>
              <w:left w:val="nil"/>
              <w:bottom w:val="single" w:sz="4" w:space="0" w:color="000000"/>
              <w:right w:val="single" w:sz="4" w:space="0" w:color="000000"/>
            </w:tcBorders>
            <w:shd w:val="clear" w:color="auto" w:fill="auto"/>
            <w:vAlign w:val="center"/>
            <w:hideMark/>
          </w:tcPr>
          <w:p w14:paraId="7A0935A4" w14:textId="77777777" w:rsidR="00472B26" w:rsidRPr="00CB1F35" w:rsidRDefault="00472B26" w:rsidP="00E41B22">
            <w:pPr>
              <w:spacing w:after="0" w:line="240" w:lineRule="auto"/>
              <w:jc w:val="center"/>
              <w:rPr>
                <w:rFonts w:ascii="Arial" w:eastAsia="Times New Roman" w:hAnsi="Arial" w:cs="Arial"/>
                <w:color w:val="000000"/>
                <w:sz w:val="18"/>
                <w:szCs w:val="18"/>
                <w:lang w:eastAsia="fr-FR"/>
              </w:rPr>
            </w:pPr>
            <w:r w:rsidRPr="00CB1F35">
              <w:rPr>
                <w:rFonts w:ascii="Arial" w:eastAsia="Times New Roman" w:hAnsi="Arial" w:cs="Arial"/>
                <w:color w:val="000000"/>
                <w:sz w:val="18"/>
                <w:szCs w:val="18"/>
                <w:lang w:eastAsia="fr-FR"/>
              </w:rPr>
              <w:t>18 650</w:t>
            </w:r>
          </w:p>
        </w:tc>
        <w:tc>
          <w:tcPr>
            <w:tcW w:w="1120" w:type="dxa"/>
            <w:tcBorders>
              <w:top w:val="nil"/>
              <w:left w:val="nil"/>
              <w:bottom w:val="single" w:sz="4" w:space="0" w:color="000000"/>
              <w:right w:val="single" w:sz="4" w:space="0" w:color="000000"/>
            </w:tcBorders>
            <w:shd w:val="clear" w:color="auto" w:fill="auto"/>
            <w:vAlign w:val="center"/>
            <w:hideMark/>
          </w:tcPr>
          <w:p w14:paraId="4E5BD288" w14:textId="77777777" w:rsidR="00472B26" w:rsidRPr="00CB1F35" w:rsidRDefault="00472B26" w:rsidP="00E41B22">
            <w:pPr>
              <w:spacing w:after="0" w:line="240" w:lineRule="auto"/>
              <w:jc w:val="center"/>
              <w:rPr>
                <w:rFonts w:ascii="Arial" w:eastAsia="Times New Roman" w:hAnsi="Arial" w:cs="Arial"/>
                <w:color w:val="000000"/>
                <w:sz w:val="18"/>
                <w:szCs w:val="18"/>
                <w:lang w:eastAsia="fr-FR"/>
              </w:rPr>
            </w:pPr>
            <w:r w:rsidRPr="00CB1F35">
              <w:rPr>
                <w:rFonts w:ascii="Arial" w:eastAsia="Times New Roman" w:hAnsi="Arial" w:cs="Arial"/>
                <w:color w:val="000000"/>
                <w:sz w:val="18"/>
                <w:szCs w:val="18"/>
                <w:lang w:eastAsia="fr-FR"/>
              </w:rPr>
              <w:t>443</w:t>
            </w:r>
          </w:p>
        </w:tc>
        <w:tc>
          <w:tcPr>
            <w:tcW w:w="1360" w:type="dxa"/>
            <w:tcBorders>
              <w:top w:val="nil"/>
              <w:left w:val="nil"/>
              <w:bottom w:val="single" w:sz="4" w:space="0" w:color="000000"/>
              <w:right w:val="single" w:sz="4" w:space="0" w:color="000000"/>
            </w:tcBorders>
            <w:shd w:val="clear" w:color="auto" w:fill="auto"/>
            <w:vAlign w:val="center"/>
            <w:hideMark/>
          </w:tcPr>
          <w:p w14:paraId="33A89249" w14:textId="77777777" w:rsidR="00472B26" w:rsidRPr="00CB1F35" w:rsidRDefault="00472B26" w:rsidP="00E41B22">
            <w:pPr>
              <w:spacing w:after="0" w:line="240" w:lineRule="auto"/>
              <w:jc w:val="center"/>
              <w:rPr>
                <w:rFonts w:ascii="Arial" w:eastAsia="Times New Roman" w:hAnsi="Arial" w:cs="Arial"/>
                <w:color w:val="000000"/>
                <w:sz w:val="18"/>
                <w:szCs w:val="18"/>
                <w:lang w:eastAsia="fr-FR"/>
              </w:rPr>
            </w:pPr>
            <w:r w:rsidRPr="00CB1F35">
              <w:rPr>
                <w:rFonts w:ascii="Arial" w:eastAsia="Times New Roman" w:hAnsi="Arial" w:cs="Arial"/>
                <w:color w:val="000000"/>
                <w:sz w:val="18"/>
                <w:szCs w:val="18"/>
                <w:lang w:eastAsia="fr-FR"/>
              </w:rPr>
              <w:t>195</w:t>
            </w:r>
          </w:p>
        </w:tc>
        <w:tc>
          <w:tcPr>
            <w:tcW w:w="1180" w:type="dxa"/>
            <w:tcBorders>
              <w:top w:val="nil"/>
              <w:left w:val="single" w:sz="4" w:space="0" w:color="000000"/>
              <w:bottom w:val="single" w:sz="4" w:space="0" w:color="000000"/>
              <w:right w:val="single" w:sz="4" w:space="0" w:color="000000"/>
            </w:tcBorders>
            <w:shd w:val="clear" w:color="auto" w:fill="auto"/>
            <w:vAlign w:val="center"/>
            <w:hideMark/>
          </w:tcPr>
          <w:p w14:paraId="6500BD0E" w14:textId="77777777" w:rsidR="00472B26" w:rsidRPr="00CB1F35" w:rsidRDefault="00472B26" w:rsidP="00E41B22">
            <w:pPr>
              <w:spacing w:after="0" w:line="240" w:lineRule="auto"/>
              <w:jc w:val="center"/>
              <w:rPr>
                <w:rFonts w:ascii="Arial" w:eastAsia="Times New Roman" w:hAnsi="Arial" w:cs="Arial"/>
                <w:color w:val="000000"/>
                <w:sz w:val="18"/>
                <w:szCs w:val="18"/>
                <w:lang w:eastAsia="fr-FR"/>
              </w:rPr>
            </w:pPr>
            <w:r w:rsidRPr="00CB1F35">
              <w:rPr>
                <w:rFonts w:ascii="Arial" w:eastAsia="Times New Roman" w:hAnsi="Arial" w:cs="Arial"/>
                <w:color w:val="000000"/>
                <w:sz w:val="18"/>
                <w:szCs w:val="18"/>
                <w:lang w:eastAsia="fr-FR"/>
              </w:rPr>
              <w:t>370</w:t>
            </w:r>
          </w:p>
        </w:tc>
        <w:tc>
          <w:tcPr>
            <w:tcW w:w="1300" w:type="dxa"/>
            <w:tcBorders>
              <w:top w:val="nil"/>
              <w:left w:val="nil"/>
              <w:bottom w:val="single" w:sz="4" w:space="0" w:color="000000"/>
              <w:right w:val="single" w:sz="4" w:space="0" w:color="000000"/>
            </w:tcBorders>
            <w:shd w:val="clear" w:color="auto" w:fill="auto"/>
            <w:vAlign w:val="center"/>
            <w:hideMark/>
          </w:tcPr>
          <w:p w14:paraId="6861A750" w14:textId="77777777" w:rsidR="00472B26" w:rsidRPr="00CB1F35" w:rsidRDefault="00472B26" w:rsidP="00CB1F35">
            <w:pPr>
              <w:spacing w:after="0" w:line="240" w:lineRule="auto"/>
              <w:jc w:val="center"/>
              <w:rPr>
                <w:rFonts w:ascii="Arial" w:eastAsia="Times New Roman" w:hAnsi="Arial" w:cs="Arial"/>
                <w:color w:val="000000"/>
                <w:sz w:val="18"/>
                <w:szCs w:val="18"/>
                <w:lang w:eastAsia="fr-FR"/>
              </w:rPr>
            </w:pPr>
            <w:r w:rsidRPr="00CB1F35">
              <w:rPr>
                <w:rFonts w:ascii="Arial" w:eastAsia="Times New Roman" w:hAnsi="Arial" w:cs="Arial"/>
                <w:color w:val="000000"/>
                <w:sz w:val="18"/>
                <w:szCs w:val="18"/>
                <w:lang w:eastAsia="fr-FR"/>
              </w:rPr>
              <w:t>579</w:t>
            </w:r>
          </w:p>
        </w:tc>
        <w:tc>
          <w:tcPr>
            <w:tcW w:w="1120" w:type="dxa"/>
            <w:tcBorders>
              <w:top w:val="nil"/>
              <w:left w:val="nil"/>
              <w:bottom w:val="single" w:sz="4" w:space="0" w:color="000000"/>
              <w:right w:val="single" w:sz="4" w:space="0" w:color="000000"/>
            </w:tcBorders>
            <w:shd w:val="clear" w:color="auto" w:fill="auto"/>
            <w:vAlign w:val="center"/>
            <w:hideMark/>
          </w:tcPr>
          <w:p w14:paraId="055C911E" w14:textId="77777777" w:rsidR="00472B26" w:rsidRPr="00CB1F35" w:rsidRDefault="00472B26" w:rsidP="00E41B22">
            <w:pPr>
              <w:spacing w:after="0" w:line="240" w:lineRule="auto"/>
              <w:jc w:val="center"/>
              <w:rPr>
                <w:rFonts w:ascii="Arial" w:eastAsia="Times New Roman" w:hAnsi="Arial" w:cs="Arial"/>
                <w:color w:val="000000"/>
                <w:sz w:val="18"/>
                <w:szCs w:val="18"/>
                <w:lang w:eastAsia="fr-FR"/>
              </w:rPr>
            </w:pPr>
            <w:r w:rsidRPr="00CB1F35">
              <w:rPr>
                <w:rFonts w:ascii="Arial" w:eastAsia="Times New Roman" w:hAnsi="Arial" w:cs="Arial"/>
                <w:color w:val="000000"/>
                <w:sz w:val="18"/>
                <w:szCs w:val="18"/>
                <w:lang w:eastAsia="fr-FR"/>
              </w:rPr>
              <w:t>4 350</w:t>
            </w:r>
          </w:p>
        </w:tc>
      </w:tr>
      <w:tr w:rsidR="00472B26" w:rsidRPr="00472B26" w14:paraId="19E30EFB" w14:textId="77777777" w:rsidTr="00472B26">
        <w:trPr>
          <w:trHeight w:val="300"/>
        </w:trPr>
        <w:tc>
          <w:tcPr>
            <w:tcW w:w="1840" w:type="dxa"/>
            <w:tcBorders>
              <w:top w:val="nil"/>
              <w:left w:val="single" w:sz="4" w:space="0" w:color="000000"/>
              <w:bottom w:val="single" w:sz="4" w:space="0" w:color="000000"/>
              <w:right w:val="single" w:sz="4" w:space="0" w:color="000000"/>
            </w:tcBorders>
            <w:shd w:val="clear" w:color="auto" w:fill="auto"/>
            <w:vAlign w:val="center"/>
            <w:hideMark/>
          </w:tcPr>
          <w:p w14:paraId="378D0E0D"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Betsiboka</w:t>
            </w:r>
          </w:p>
        </w:tc>
        <w:tc>
          <w:tcPr>
            <w:tcW w:w="920" w:type="dxa"/>
            <w:tcBorders>
              <w:top w:val="nil"/>
              <w:left w:val="nil"/>
              <w:bottom w:val="single" w:sz="4" w:space="0" w:color="000000"/>
              <w:right w:val="single" w:sz="4" w:space="0" w:color="000000"/>
            </w:tcBorders>
            <w:shd w:val="clear" w:color="auto" w:fill="auto"/>
            <w:vAlign w:val="center"/>
            <w:hideMark/>
          </w:tcPr>
          <w:p w14:paraId="3960D646"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w:t>
            </w:r>
          </w:p>
        </w:tc>
        <w:tc>
          <w:tcPr>
            <w:tcW w:w="1120" w:type="dxa"/>
            <w:tcBorders>
              <w:top w:val="nil"/>
              <w:left w:val="nil"/>
              <w:bottom w:val="single" w:sz="4" w:space="0" w:color="000000"/>
              <w:right w:val="single" w:sz="4" w:space="0" w:color="000000"/>
            </w:tcBorders>
            <w:shd w:val="clear" w:color="auto" w:fill="auto"/>
            <w:vAlign w:val="center"/>
            <w:hideMark/>
          </w:tcPr>
          <w:p w14:paraId="53091531"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271</w:t>
            </w:r>
          </w:p>
        </w:tc>
        <w:tc>
          <w:tcPr>
            <w:tcW w:w="1360" w:type="dxa"/>
            <w:tcBorders>
              <w:top w:val="nil"/>
              <w:left w:val="nil"/>
              <w:bottom w:val="single" w:sz="4" w:space="0" w:color="000000"/>
              <w:right w:val="single" w:sz="4" w:space="0" w:color="000000"/>
            </w:tcBorders>
            <w:shd w:val="clear" w:color="auto" w:fill="auto"/>
            <w:vAlign w:val="center"/>
            <w:hideMark/>
          </w:tcPr>
          <w:p w14:paraId="1E7EE9DF"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134</w:t>
            </w:r>
          </w:p>
        </w:tc>
        <w:tc>
          <w:tcPr>
            <w:tcW w:w="1180" w:type="dxa"/>
            <w:tcBorders>
              <w:top w:val="nil"/>
              <w:left w:val="single" w:sz="4" w:space="0" w:color="000000"/>
              <w:bottom w:val="single" w:sz="4" w:space="0" w:color="000000"/>
              <w:right w:val="single" w:sz="4" w:space="0" w:color="000000"/>
            </w:tcBorders>
            <w:shd w:val="clear" w:color="auto" w:fill="auto"/>
            <w:vAlign w:val="center"/>
            <w:hideMark/>
          </w:tcPr>
          <w:p w14:paraId="05DEC72A"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279</w:t>
            </w:r>
          </w:p>
        </w:tc>
        <w:tc>
          <w:tcPr>
            <w:tcW w:w="1300" w:type="dxa"/>
            <w:tcBorders>
              <w:top w:val="nil"/>
              <w:left w:val="nil"/>
              <w:bottom w:val="single" w:sz="4" w:space="0" w:color="000000"/>
              <w:right w:val="single" w:sz="4" w:space="0" w:color="000000"/>
            </w:tcBorders>
            <w:shd w:val="clear" w:color="auto" w:fill="auto"/>
            <w:vAlign w:val="center"/>
            <w:hideMark/>
          </w:tcPr>
          <w:p w14:paraId="4E8B3DBF" w14:textId="77777777" w:rsidR="00472B26" w:rsidRPr="00E41B22" w:rsidRDefault="00472B26" w:rsidP="00CB1F35">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300</w:t>
            </w:r>
          </w:p>
        </w:tc>
        <w:tc>
          <w:tcPr>
            <w:tcW w:w="1120" w:type="dxa"/>
            <w:tcBorders>
              <w:top w:val="nil"/>
              <w:left w:val="nil"/>
              <w:bottom w:val="single" w:sz="4" w:space="0" w:color="000000"/>
              <w:right w:val="single" w:sz="4" w:space="0" w:color="000000"/>
            </w:tcBorders>
            <w:shd w:val="clear" w:color="auto" w:fill="auto"/>
            <w:vAlign w:val="center"/>
            <w:hideMark/>
          </w:tcPr>
          <w:p w14:paraId="4ECC97A9"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2 090</w:t>
            </w:r>
          </w:p>
        </w:tc>
      </w:tr>
      <w:tr w:rsidR="00472B26" w:rsidRPr="00472B26" w14:paraId="7996AC2A" w14:textId="77777777" w:rsidTr="00472B26">
        <w:trPr>
          <w:trHeight w:val="300"/>
        </w:trPr>
        <w:tc>
          <w:tcPr>
            <w:tcW w:w="1840" w:type="dxa"/>
            <w:tcBorders>
              <w:top w:val="nil"/>
              <w:left w:val="single" w:sz="4" w:space="0" w:color="000000"/>
              <w:bottom w:val="single" w:sz="4" w:space="0" w:color="000000"/>
              <w:right w:val="single" w:sz="4" w:space="0" w:color="000000"/>
            </w:tcBorders>
            <w:shd w:val="clear" w:color="auto" w:fill="auto"/>
            <w:vAlign w:val="center"/>
            <w:hideMark/>
          </w:tcPr>
          <w:p w14:paraId="36C26BD5"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Demoka</w:t>
            </w:r>
          </w:p>
        </w:tc>
        <w:tc>
          <w:tcPr>
            <w:tcW w:w="920" w:type="dxa"/>
            <w:tcBorders>
              <w:top w:val="nil"/>
              <w:left w:val="nil"/>
              <w:bottom w:val="single" w:sz="4" w:space="0" w:color="000000"/>
              <w:right w:val="single" w:sz="4" w:space="0" w:color="000000"/>
            </w:tcBorders>
            <w:shd w:val="clear" w:color="auto" w:fill="auto"/>
            <w:vAlign w:val="center"/>
            <w:hideMark/>
          </w:tcPr>
          <w:p w14:paraId="5BAF8A24"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1 356</w:t>
            </w:r>
          </w:p>
        </w:tc>
        <w:tc>
          <w:tcPr>
            <w:tcW w:w="1120" w:type="dxa"/>
            <w:tcBorders>
              <w:top w:val="nil"/>
              <w:left w:val="nil"/>
              <w:bottom w:val="single" w:sz="4" w:space="0" w:color="000000"/>
              <w:right w:val="single" w:sz="4" w:space="0" w:color="000000"/>
            </w:tcBorders>
            <w:shd w:val="clear" w:color="auto" w:fill="auto"/>
            <w:vAlign w:val="center"/>
            <w:hideMark/>
          </w:tcPr>
          <w:p w14:paraId="78537705"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12</w:t>
            </w:r>
          </w:p>
        </w:tc>
        <w:tc>
          <w:tcPr>
            <w:tcW w:w="1360" w:type="dxa"/>
            <w:tcBorders>
              <w:top w:val="nil"/>
              <w:left w:val="nil"/>
              <w:bottom w:val="single" w:sz="4" w:space="0" w:color="000000"/>
              <w:right w:val="single" w:sz="4" w:space="0" w:color="000000"/>
            </w:tcBorders>
            <w:shd w:val="clear" w:color="auto" w:fill="auto"/>
            <w:vAlign w:val="center"/>
            <w:hideMark/>
          </w:tcPr>
          <w:p w14:paraId="3509E2E5"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8,6</w:t>
            </w:r>
          </w:p>
        </w:tc>
        <w:tc>
          <w:tcPr>
            <w:tcW w:w="1180" w:type="dxa"/>
            <w:tcBorders>
              <w:top w:val="nil"/>
              <w:left w:val="single" w:sz="4" w:space="0" w:color="000000"/>
              <w:bottom w:val="single" w:sz="4" w:space="0" w:color="000000"/>
              <w:right w:val="single" w:sz="4" w:space="0" w:color="000000"/>
            </w:tcBorders>
            <w:shd w:val="clear" w:color="auto" w:fill="auto"/>
            <w:vAlign w:val="center"/>
            <w:hideMark/>
          </w:tcPr>
          <w:p w14:paraId="57522A34"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10</w:t>
            </w:r>
          </w:p>
        </w:tc>
        <w:tc>
          <w:tcPr>
            <w:tcW w:w="1300" w:type="dxa"/>
            <w:tcBorders>
              <w:top w:val="nil"/>
              <w:left w:val="nil"/>
              <w:bottom w:val="single" w:sz="4" w:space="0" w:color="000000"/>
              <w:right w:val="single" w:sz="4" w:space="0" w:color="000000"/>
            </w:tcBorders>
            <w:shd w:val="clear" w:color="auto" w:fill="auto"/>
            <w:vAlign w:val="center"/>
            <w:hideMark/>
          </w:tcPr>
          <w:p w14:paraId="062A03E1" w14:textId="77777777" w:rsidR="00472B26" w:rsidRPr="00E41B22" w:rsidRDefault="00472B26" w:rsidP="00CB1F35">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0,6</w:t>
            </w:r>
          </w:p>
        </w:tc>
        <w:tc>
          <w:tcPr>
            <w:tcW w:w="1120" w:type="dxa"/>
            <w:tcBorders>
              <w:top w:val="nil"/>
              <w:left w:val="nil"/>
              <w:bottom w:val="single" w:sz="4" w:space="0" w:color="000000"/>
              <w:right w:val="single" w:sz="4" w:space="0" w:color="000000"/>
            </w:tcBorders>
            <w:shd w:val="clear" w:color="auto" w:fill="auto"/>
            <w:vAlign w:val="center"/>
            <w:hideMark/>
          </w:tcPr>
          <w:p w14:paraId="14E3934D"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5</w:t>
            </w:r>
          </w:p>
        </w:tc>
      </w:tr>
      <w:tr w:rsidR="00472B26" w:rsidRPr="00472B26" w14:paraId="61F96E14" w14:textId="77777777" w:rsidTr="00472B26">
        <w:trPr>
          <w:trHeight w:val="300"/>
        </w:trPr>
        <w:tc>
          <w:tcPr>
            <w:tcW w:w="1840" w:type="dxa"/>
            <w:tcBorders>
              <w:top w:val="nil"/>
              <w:left w:val="single" w:sz="4" w:space="0" w:color="000000"/>
              <w:bottom w:val="single" w:sz="4" w:space="0" w:color="000000"/>
              <w:right w:val="single" w:sz="4" w:space="0" w:color="000000"/>
            </w:tcBorders>
            <w:shd w:val="clear" w:color="auto" w:fill="auto"/>
            <w:vAlign w:val="center"/>
            <w:hideMark/>
          </w:tcPr>
          <w:p w14:paraId="2457B421"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Anjingo</w:t>
            </w:r>
          </w:p>
        </w:tc>
        <w:tc>
          <w:tcPr>
            <w:tcW w:w="920" w:type="dxa"/>
            <w:tcBorders>
              <w:top w:val="nil"/>
              <w:left w:val="nil"/>
              <w:bottom w:val="single" w:sz="4" w:space="0" w:color="000000"/>
              <w:right w:val="single" w:sz="4" w:space="0" w:color="000000"/>
            </w:tcBorders>
            <w:shd w:val="clear" w:color="auto" w:fill="auto"/>
            <w:vAlign w:val="center"/>
            <w:hideMark/>
          </w:tcPr>
          <w:p w14:paraId="53A62CFB"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1 500</w:t>
            </w:r>
          </w:p>
        </w:tc>
        <w:tc>
          <w:tcPr>
            <w:tcW w:w="1120" w:type="dxa"/>
            <w:tcBorders>
              <w:top w:val="nil"/>
              <w:left w:val="nil"/>
              <w:bottom w:val="single" w:sz="4" w:space="0" w:color="000000"/>
              <w:right w:val="single" w:sz="4" w:space="0" w:color="000000"/>
            </w:tcBorders>
            <w:shd w:val="clear" w:color="auto" w:fill="auto"/>
            <w:vAlign w:val="center"/>
            <w:hideMark/>
          </w:tcPr>
          <w:p w14:paraId="29186E9B"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7,2</w:t>
            </w:r>
          </w:p>
        </w:tc>
        <w:tc>
          <w:tcPr>
            <w:tcW w:w="1360" w:type="dxa"/>
            <w:tcBorders>
              <w:top w:val="nil"/>
              <w:left w:val="nil"/>
              <w:bottom w:val="single" w:sz="4" w:space="0" w:color="000000"/>
              <w:right w:val="single" w:sz="4" w:space="0" w:color="000000"/>
            </w:tcBorders>
            <w:shd w:val="clear" w:color="auto" w:fill="auto"/>
            <w:vAlign w:val="center"/>
            <w:hideMark/>
          </w:tcPr>
          <w:p w14:paraId="2957E67C"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20,7</w:t>
            </w:r>
          </w:p>
        </w:tc>
        <w:tc>
          <w:tcPr>
            <w:tcW w:w="1180" w:type="dxa"/>
            <w:tcBorders>
              <w:top w:val="nil"/>
              <w:left w:val="single" w:sz="4" w:space="0" w:color="000000"/>
              <w:bottom w:val="single" w:sz="4" w:space="0" w:color="000000"/>
              <w:right w:val="single" w:sz="4" w:space="0" w:color="000000"/>
            </w:tcBorders>
            <w:shd w:val="clear" w:color="auto" w:fill="auto"/>
            <w:vAlign w:val="center"/>
            <w:hideMark/>
          </w:tcPr>
          <w:p w14:paraId="2C31E30A"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5</w:t>
            </w:r>
          </w:p>
        </w:tc>
        <w:tc>
          <w:tcPr>
            <w:tcW w:w="1300" w:type="dxa"/>
            <w:tcBorders>
              <w:top w:val="nil"/>
              <w:left w:val="nil"/>
              <w:bottom w:val="single" w:sz="4" w:space="0" w:color="000000"/>
              <w:right w:val="single" w:sz="4" w:space="0" w:color="000000"/>
            </w:tcBorders>
            <w:shd w:val="clear" w:color="auto" w:fill="auto"/>
            <w:vAlign w:val="center"/>
            <w:hideMark/>
          </w:tcPr>
          <w:p w14:paraId="10DFAEC2" w14:textId="77777777" w:rsidR="00472B26" w:rsidRPr="00E41B22" w:rsidRDefault="00472B26" w:rsidP="00CB1F35">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0,8</w:t>
            </w:r>
          </w:p>
        </w:tc>
        <w:tc>
          <w:tcPr>
            <w:tcW w:w="1120" w:type="dxa"/>
            <w:tcBorders>
              <w:top w:val="nil"/>
              <w:left w:val="nil"/>
              <w:bottom w:val="single" w:sz="4" w:space="0" w:color="000000"/>
              <w:right w:val="single" w:sz="4" w:space="0" w:color="000000"/>
            </w:tcBorders>
            <w:shd w:val="clear" w:color="auto" w:fill="auto"/>
            <w:vAlign w:val="center"/>
            <w:hideMark/>
          </w:tcPr>
          <w:p w14:paraId="703FFDD3"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6,5</w:t>
            </w:r>
          </w:p>
        </w:tc>
      </w:tr>
      <w:tr w:rsidR="00472B26" w:rsidRPr="00472B26" w14:paraId="6EE51595" w14:textId="77777777" w:rsidTr="00472B26">
        <w:trPr>
          <w:trHeight w:val="300"/>
        </w:trPr>
        <w:tc>
          <w:tcPr>
            <w:tcW w:w="1840" w:type="dxa"/>
            <w:tcBorders>
              <w:top w:val="nil"/>
              <w:left w:val="single" w:sz="4" w:space="0" w:color="000000"/>
              <w:bottom w:val="single" w:sz="4" w:space="0" w:color="000000"/>
              <w:right w:val="single" w:sz="4" w:space="0" w:color="000000"/>
            </w:tcBorders>
            <w:shd w:val="clear" w:color="auto" w:fill="auto"/>
            <w:vAlign w:val="center"/>
            <w:hideMark/>
          </w:tcPr>
          <w:p w14:paraId="3900DACB"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Beandrarezona</w:t>
            </w:r>
          </w:p>
        </w:tc>
        <w:tc>
          <w:tcPr>
            <w:tcW w:w="920" w:type="dxa"/>
            <w:tcBorders>
              <w:top w:val="nil"/>
              <w:left w:val="nil"/>
              <w:bottom w:val="single" w:sz="4" w:space="0" w:color="000000"/>
              <w:right w:val="single" w:sz="4" w:space="0" w:color="000000"/>
            </w:tcBorders>
            <w:shd w:val="clear" w:color="auto" w:fill="auto"/>
            <w:vAlign w:val="center"/>
            <w:hideMark/>
          </w:tcPr>
          <w:p w14:paraId="70D67C4E"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w:t>
            </w:r>
          </w:p>
        </w:tc>
        <w:tc>
          <w:tcPr>
            <w:tcW w:w="1120" w:type="dxa"/>
            <w:tcBorders>
              <w:top w:val="nil"/>
              <w:left w:val="nil"/>
              <w:bottom w:val="single" w:sz="4" w:space="0" w:color="000000"/>
              <w:right w:val="single" w:sz="4" w:space="0" w:color="000000"/>
            </w:tcBorders>
            <w:shd w:val="clear" w:color="auto" w:fill="auto"/>
            <w:vAlign w:val="center"/>
            <w:hideMark/>
          </w:tcPr>
          <w:p w14:paraId="6F6B9F04"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w:t>
            </w:r>
          </w:p>
        </w:tc>
        <w:tc>
          <w:tcPr>
            <w:tcW w:w="1360" w:type="dxa"/>
            <w:tcBorders>
              <w:top w:val="nil"/>
              <w:left w:val="nil"/>
              <w:bottom w:val="single" w:sz="4" w:space="0" w:color="000000"/>
              <w:right w:val="single" w:sz="4" w:space="0" w:color="000000"/>
            </w:tcBorders>
            <w:shd w:val="clear" w:color="auto" w:fill="auto"/>
            <w:vAlign w:val="center"/>
            <w:hideMark/>
          </w:tcPr>
          <w:p w14:paraId="0EC03ED6"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35,8</w:t>
            </w:r>
          </w:p>
        </w:tc>
        <w:tc>
          <w:tcPr>
            <w:tcW w:w="1180" w:type="dxa"/>
            <w:tcBorders>
              <w:top w:val="nil"/>
              <w:left w:val="single" w:sz="4" w:space="0" w:color="000000"/>
              <w:bottom w:val="single" w:sz="4" w:space="0" w:color="000000"/>
              <w:right w:val="single" w:sz="4" w:space="0" w:color="000000"/>
            </w:tcBorders>
            <w:shd w:val="clear" w:color="auto" w:fill="auto"/>
            <w:vAlign w:val="center"/>
            <w:hideMark/>
          </w:tcPr>
          <w:p w14:paraId="00375E41"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1,6</w:t>
            </w:r>
          </w:p>
        </w:tc>
        <w:tc>
          <w:tcPr>
            <w:tcW w:w="1300" w:type="dxa"/>
            <w:tcBorders>
              <w:top w:val="nil"/>
              <w:left w:val="nil"/>
              <w:bottom w:val="single" w:sz="4" w:space="0" w:color="000000"/>
              <w:right w:val="single" w:sz="4" w:space="0" w:color="000000"/>
            </w:tcBorders>
            <w:shd w:val="clear" w:color="auto" w:fill="auto"/>
            <w:vAlign w:val="center"/>
            <w:hideMark/>
          </w:tcPr>
          <w:p w14:paraId="6727942A" w14:textId="77777777" w:rsidR="00472B26" w:rsidRPr="00E41B22" w:rsidRDefault="00472B26" w:rsidP="00CB1F35">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0,43</w:t>
            </w:r>
          </w:p>
        </w:tc>
        <w:tc>
          <w:tcPr>
            <w:tcW w:w="1120" w:type="dxa"/>
            <w:tcBorders>
              <w:top w:val="nil"/>
              <w:left w:val="nil"/>
              <w:bottom w:val="single" w:sz="4" w:space="0" w:color="000000"/>
              <w:right w:val="single" w:sz="4" w:space="0" w:color="000000"/>
            </w:tcBorders>
            <w:shd w:val="clear" w:color="auto" w:fill="auto"/>
            <w:vAlign w:val="center"/>
            <w:hideMark/>
          </w:tcPr>
          <w:p w14:paraId="746C0412"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3</w:t>
            </w:r>
          </w:p>
        </w:tc>
      </w:tr>
      <w:tr w:rsidR="00472B26" w:rsidRPr="00472B26" w14:paraId="4500FC37" w14:textId="77777777" w:rsidTr="00472B26">
        <w:trPr>
          <w:trHeight w:val="300"/>
        </w:trPr>
        <w:tc>
          <w:tcPr>
            <w:tcW w:w="1840" w:type="dxa"/>
            <w:tcBorders>
              <w:top w:val="nil"/>
              <w:left w:val="single" w:sz="4" w:space="0" w:color="000033"/>
              <w:bottom w:val="single" w:sz="4" w:space="0" w:color="000033"/>
              <w:right w:val="single" w:sz="4" w:space="0" w:color="000033"/>
            </w:tcBorders>
            <w:shd w:val="clear" w:color="auto" w:fill="auto"/>
            <w:vAlign w:val="center"/>
            <w:hideMark/>
          </w:tcPr>
          <w:p w14:paraId="6579D675"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Ivondro</w:t>
            </w:r>
          </w:p>
        </w:tc>
        <w:tc>
          <w:tcPr>
            <w:tcW w:w="920" w:type="dxa"/>
            <w:tcBorders>
              <w:top w:val="nil"/>
              <w:left w:val="nil"/>
              <w:bottom w:val="single" w:sz="4" w:space="0" w:color="000033"/>
              <w:right w:val="single" w:sz="4" w:space="0" w:color="000033"/>
            </w:tcBorders>
            <w:shd w:val="clear" w:color="auto" w:fill="auto"/>
            <w:vAlign w:val="center"/>
            <w:hideMark/>
          </w:tcPr>
          <w:p w14:paraId="0E2544E9"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2 700</w:t>
            </w:r>
          </w:p>
        </w:tc>
        <w:tc>
          <w:tcPr>
            <w:tcW w:w="1120" w:type="dxa"/>
            <w:tcBorders>
              <w:top w:val="nil"/>
              <w:left w:val="nil"/>
              <w:bottom w:val="single" w:sz="4" w:space="0" w:color="000033"/>
              <w:right w:val="single" w:sz="4" w:space="0" w:color="000033"/>
            </w:tcBorders>
            <w:shd w:val="clear" w:color="auto" w:fill="auto"/>
            <w:vAlign w:val="center"/>
            <w:hideMark/>
          </w:tcPr>
          <w:p w14:paraId="46D16288"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102</w:t>
            </w:r>
          </w:p>
        </w:tc>
        <w:tc>
          <w:tcPr>
            <w:tcW w:w="1360" w:type="dxa"/>
            <w:tcBorders>
              <w:top w:val="nil"/>
              <w:left w:val="nil"/>
              <w:bottom w:val="single" w:sz="4" w:space="0" w:color="000033"/>
              <w:right w:val="single" w:sz="4" w:space="0" w:color="000033"/>
            </w:tcBorders>
            <w:shd w:val="clear" w:color="auto" w:fill="auto"/>
            <w:vAlign w:val="center"/>
            <w:hideMark/>
          </w:tcPr>
          <w:p w14:paraId="69BDC49C"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100</w:t>
            </w:r>
          </w:p>
        </w:tc>
        <w:tc>
          <w:tcPr>
            <w:tcW w:w="1180" w:type="dxa"/>
            <w:tcBorders>
              <w:top w:val="nil"/>
              <w:left w:val="nil"/>
              <w:bottom w:val="single" w:sz="4" w:space="0" w:color="000033"/>
              <w:right w:val="single" w:sz="4" w:space="0" w:color="000033"/>
            </w:tcBorders>
            <w:shd w:val="clear" w:color="auto" w:fill="auto"/>
            <w:vAlign w:val="center"/>
            <w:hideMark/>
          </w:tcPr>
          <w:p w14:paraId="302C8045"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56</w:t>
            </w:r>
          </w:p>
        </w:tc>
        <w:tc>
          <w:tcPr>
            <w:tcW w:w="1300" w:type="dxa"/>
            <w:tcBorders>
              <w:top w:val="nil"/>
              <w:left w:val="nil"/>
              <w:bottom w:val="single" w:sz="4" w:space="0" w:color="000033"/>
              <w:right w:val="single" w:sz="4" w:space="0" w:color="000033"/>
            </w:tcBorders>
            <w:shd w:val="clear" w:color="auto" w:fill="auto"/>
            <w:vAlign w:val="center"/>
            <w:hideMark/>
          </w:tcPr>
          <w:p w14:paraId="3641AA9D" w14:textId="77777777" w:rsidR="00472B26" w:rsidRPr="00E41B22" w:rsidRDefault="00472B26" w:rsidP="00CB1F35">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45</w:t>
            </w:r>
          </w:p>
        </w:tc>
        <w:tc>
          <w:tcPr>
            <w:tcW w:w="1120" w:type="dxa"/>
            <w:tcBorders>
              <w:top w:val="nil"/>
              <w:left w:val="nil"/>
              <w:bottom w:val="single" w:sz="4" w:space="0" w:color="000033"/>
              <w:right w:val="single" w:sz="4" w:space="0" w:color="000033"/>
            </w:tcBorders>
            <w:shd w:val="clear" w:color="auto" w:fill="auto"/>
            <w:vAlign w:val="center"/>
            <w:hideMark/>
          </w:tcPr>
          <w:p w14:paraId="103B10D2"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350</w:t>
            </w:r>
          </w:p>
        </w:tc>
      </w:tr>
      <w:tr w:rsidR="00472B26" w:rsidRPr="00472B26" w14:paraId="0AA98C38" w14:textId="77777777" w:rsidTr="00472B26">
        <w:trPr>
          <w:trHeight w:val="300"/>
        </w:trPr>
        <w:tc>
          <w:tcPr>
            <w:tcW w:w="1840" w:type="dxa"/>
            <w:tcBorders>
              <w:top w:val="nil"/>
              <w:left w:val="single" w:sz="4" w:space="0" w:color="000033"/>
              <w:bottom w:val="single" w:sz="4" w:space="0" w:color="000033"/>
              <w:right w:val="single" w:sz="4" w:space="0" w:color="000033"/>
            </w:tcBorders>
            <w:shd w:val="clear" w:color="auto" w:fill="auto"/>
            <w:vAlign w:val="center"/>
            <w:hideMark/>
          </w:tcPr>
          <w:p w14:paraId="51D89F19"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Maningory</w:t>
            </w:r>
          </w:p>
        </w:tc>
        <w:tc>
          <w:tcPr>
            <w:tcW w:w="920" w:type="dxa"/>
            <w:tcBorders>
              <w:top w:val="nil"/>
              <w:left w:val="nil"/>
              <w:bottom w:val="single" w:sz="4" w:space="0" w:color="000033"/>
              <w:right w:val="single" w:sz="4" w:space="0" w:color="000033"/>
            </w:tcBorders>
            <w:shd w:val="clear" w:color="auto" w:fill="auto"/>
            <w:vAlign w:val="center"/>
            <w:hideMark/>
          </w:tcPr>
          <w:p w14:paraId="7E5C691B"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7 600</w:t>
            </w:r>
          </w:p>
        </w:tc>
        <w:tc>
          <w:tcPr>
            <w:tcW w:w="1120" w:type="dxa"/>
            <w:tcBorders>
              <w:top w:val="nil"/>
              <w:left w:val="nil"/>
              <w:bottom w:val="single" w:sz="4" w:space="0" w:color="000033"/>
              <w:right w:val="single" w:sz="4" w:space="0" w:color="000033"/>
            </w:tcBorders>
            <w:shd w:val="clear" w:color="auto" w:fill="auto"/>
            <w:vAlign w:val="center"/>
            <w:hideMark/>
          </w:tcPr>
          <w:p w14:paraId="3A3927A5"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76,7</w:t>
            </w:r>
          </w:p>
        </w:tc>
        <w:tc>
          <w:tcPr>
            <w:tcW w:w="1360" w:type="dxa"/>
            <w:tcBorders>
              <w:top w:val="nil"/>
              <w:left w:val="nil"/>
              <w:bottom w:val="single" w:sz="4" w:space="0" w:color="000033"/>
              <w:right w:val="single" w:sz="4" w:space="0" w:color="000033"/>
            </w:tcBorders>
            <w:shd w:val="clear" w:color="auto" w:fill="auto"/>
            <w:vAlign w:val="center"/>
            <w:hideMark/>
          </w:tcPr>
          <w:p w14:paraId="3DB2C214"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100</w:t>
            </w:r>
          </w:p>
        </w:tc>
        <w:tc>
          <w:tcPr>
            <w:tcW w:w="1180" w:type="dxa"/>
            <w:tcBorders>
              <w:top w:val="nil"/>
              <w:left w:val="nil"/>
              <w:bottom w:val="single" w:sz="4" w:space="0" w:color="000033"/>
              <w:right w:val="single" w:sz="4" w:space="0" w:color="000033"/>
            </w:tcBorders>
            <w:shd w:val="clear" w:color="auto" w:fill="auto"/>
            <w:vAlign w:val="center"/>
            <w:hideMark/>
          </w:tcPr>
          <w:p w14:paraId="0DCC4AA4"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68</w:t>
            </w:r>
          </w:p>
        </w:tc>
        <w:tc>
          <w:tcPr>
            <w:tcW w:w="1300" w:type="dxa"/>
            <w:tcBorders>
              <w:top w:val="nil"/>
              <w:left w:val="nil"/>
              <w:bottom w:val="single" w:sz="4" w:space="0" w:color="000033"/>
              <w:right w:val="single" w:sz="4" w:space="0" w:color="000033"/>
            </w:tcBorders>
            <w:shd w:val="clear" w:color="auto" w:fill="auto"/>
            <w:vAlign w:val="center"/>
            <w:hideMark/>
          </w:tcPr>
          <w:p w14:paraId="71583317" w14:textId="77777777" w:rsidR="00472B26" w:rsidRPr="00E41B22" w:rsidRDefault="00472B26" w:rsidP="00CB1F35">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54</w:t>
            </w:r>
          </w:p>
        </w:tc>
        <w:tc>
          <w:tcPr>
            <w:tcW w:w="1120" w:type="dxa"/>
            <w:tcBorders>
              <w:top w:val="nil"/>
              <w:left w:val="nil"/>
              <w:bottom w:val="single" w:sz="4" w:space="0" w:color="000033"/>
              <w:right w:val="single" w:sz="4" w:space="0" w:color="000033"/>
            </w:tcBorders>
            <w:shd w:val="clear" w:color="auto" w:fill="auto"/>
            <w:vAlign w:val="center"/>
            <w:hideMark/>
          </w:tcPr>
          <w:p w14:paraId="5FACFE6D"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470</w:t>
            </w:r>
          </w:p>
        </w:tc>
      </w:tr>
      <w:tr w:rsidR="00472B26" w:rsidRPr="00472B26" w14:paraId="6FF50266" w14:textId="77777777" w:rsidTr="00472B26">
        <w:trPr>
          <w:trHeight w:val="300"/>
        </w:trPr>
        <w:tc>
          <w:tcPr>
            <w:tcW w:w="1840" w:type="dxa"/>
            <w:tcBorders>
              <w:top w:val="nil"/>
              <w:left w:val="single" w:sz="4" w:space="0" w:color="000033"/>
              <w:bottom w:val="single" w:sz="4" w:space="0" w:color="000033"/>
              <w:right w:val="single" w:sz="4" w:space="0" w:color="000033"/>
            </w:tcBorders>
            <w:shd w:val="clear" w:color="auto" w:fill="auto"/>
            <w:vAlign w:val="center"/>
            <w:hideMark/>
          </w:tcPr>
          <w:p w14:paraId="2574F40C"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Sahanilahy</w:t>
            </w:r>
          </w:p>
        </w:tc>
        <w:tc>
          <w:tcPr>
            <w:tcW w:w="920" w:type="dxa"/>
            <w:tcBorders>
              <w:top w:val="nil"/>
              <w:left w:val="nil"/>
              <w:bottom w:val="single" w:sz="4" w:space="0" w:color="000033"/>
              <w:right w:val="single" w:sz="4" w:space="0" w:color="000033"/>
            </w:tcBorders>
            <w:shd w:val="clear" w:color="auto" w:fill="auto"/>
            <w:vAlign w:val="center"/>
            <w:hideMark/>
          </w:tcPr>
          <w:p w14:paraId="12C33093"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160</w:t>
            </w:r>
          </w:p>
        </w:tc>
        <w:tc>
          <w:tcPr>
            <w:tcW w:w="1120" w:type="dxa"/>
            <w:tcBorders>
              <w:top w:val="nil"/>
              <w:left w:val="nil"/>
              <w:bottom w:val="single" w:sz="4" w:space="0" w:color="000033"/>
              <w:right w:val="single" w:sz="4" w:space="0" w:color="000033"/>
            </w:tcBorders>
            <w:shd w:val="clear" w:color="auto" w:fill="auto"/>
            <w:vAlign w:val="center"/>
            <w:hideMark/>
          </w:tcPr>
          <w:p w14:paraId="652B446D"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1,6</w:t>
            </w:r>
          </w:p>
        </w:tc>
        <w:tc>
          <w:tcPr>
            <w:tcW w:w="1360" w:type="dxa"/>
            <w:tcBorders>
              <w:top w:val="nil"/>
              <w:left w:val="nil"/>
              <w:bottom w:val="single" w:sz="4" w:space="0" w:color="000033"/>
              <w:right w:val="single" w:sz="4" w:space="0" w:color="000033"/>
            </w:tcBorders>
            <w:shd w:val="clear" w:color="auto" w:fill="auto"/>
            <w:vAlign w:val="center"/>
            <w:hideMark/>
          </w:tcPr>
          <w:p w14:paraId="47ECFF4F"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125</w:t>
            </w:r>
          </w:p>
        </w:tc>
        <w:tc>
          <w:tcPr>
            <w:tcW w:w="1180" w:type="dxa"/>
            <w:tcBorders>
              <w:top w:val="nil"/>
              <w:left w:val="nil"/>
              <w:bottom w:val="single" w:sz="4" w:space="0" w:color="000033"/>
              <w:right w:val="single" w:sz="4" w:space="0" w:color="000033"/>
            </w:tcBorders>
            <w:shd w:val="clear" w:color="auto" w:fill="auto"/>
            <w:vAlign w:val="center"/>
            <w:hideMark/>
          </w:tcPr>
          <w:p w14:paraId="6A0B613F"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1,4</w:t>
            </w:r>
          </w:p>
        </w:tc>
        <w:tc>
          <w:tcPr>
            <w:tcW w:w="1300" w:type="dxa"/>
            <w:tcBorders>
              <w:top w:val="nil"/>
              <w:left w:val="nil"/>
              <w:bottom w:val="single" w:sz="4" w:space="0" w:color="000033"/>
              <w:right w:val="single" w:sz="4" w:space="0" w:color="000033"/>
            </w:tcBorders>
            <w:shd w:val="clear" w:color="auto" w:fill="auto"/>
            <w:vAlign w:val="center"/>
            <w:hideMark/>
          </w:tcPr>
          <w:p w14:paraId="519EAF23" w14:textId="77777777" w:rsidR="00472B26" w:rsidRPr="00E41B22" w:rsidRDefault="00472B26" w:rsidP="00CB1F35">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1,4</w:t>
            </w:r>
          </w:p>
        </w:tc>
        <w:tc>
          <w:tcPr>
            <w:tcW w:w="1120" w:type="dxa"/>
            <w:tcBorders>
              <w:top w:val="nil"/>
              <w:left w:val="nil"/>
              <w:bottom w:val="single" w:sz="4" w:space="0" w:color="000033"/>
              <w:right w:val="single" w:sz="4" w:space="0" w:color="000033"/>
            </w:tcBorders>
            <w:shd w:val="clear" w:color="auto" w:fill="auto"/>
            <w:vAlign w:val="center"/>
            <w:hideMark/>
          </w:tcPr>
          <w:p w14:paraId="4FB1B837"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12</w:t>
            </w:r>
          </w:p>
        </w:tc>
      </w:tr>
      <w:tr w:rsidR="00472B26" w:rsidRPr="00472B26" w14:paraId="4967682F" w14:textId="77777777" w:rsidTr="00472B26">
        <w:trPr>
          <w:trHeight w:val="300"/>
        </w:trPr>
        <w:tc>
          <w:tcPr>
            <w:tcW w:w="1840" w:type="dxa"/>
            <w:tcBorders>
              <w:top w:val="nil"/>
              <w:left w:val="single" w:sz="4" w:space="0" w:color="000033"/>
              <w:bottom w:val="single" w:sz="4" w:space="0" w:color="000033"/>
              <w:right w:val="single" w:sz="4" w:space="0" w:color="000033"/>
            </w:tcBorders>
            <w:shd w:val="clear" w:color="auto" w:fill="auto"/>
            <w:vAlign w:val="center"/>
            <w:hideMark/>
          </w:tcPr>
          <w:p w14:paraId="2569FCE4"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lastRenderedPageBreak/>
              <w:t>Mananara Nord</w:t>
            </w:r>
          </w:p>
        </w:tc>
        <w:tc>
          <w:tcPr>
            <w:tcW w:w="920" w:type="dxa"/>
            <w:tcBorders>
              <w:top w:val="nil"/>
              <w:left w:val="nil"/>
              <w:bottom w:val="single" w:sz="4" w:space="0" w:color="000033"/>
              <w:right w:val="single" w:sz="4" w:space="0" w:color="000033"/>
            </w:tcBorders>
            <w:shd w:val="clear" w:color="auto" w:fill="auto"/>
            <w:vAlign w:val="center"/>
            <w:hideMark/>
          </w:tcPr>
          <w:p w14:paraId="6E1777CA" w14:textId="77777777" w:rsidR="00472B26" w:rsidRPr="00E41B22" w:rsidRDefault="00472B26" w:rsidP="00CB1F35">
            <w:pPr>
              <w:spacing w:after="0" w:line="240" w:lineRule="auto"/>
              <w:jc w:val="center"/>
              <w:rPr>
                <w:rFonts w:ascii="Arial" w:eastAsia="Times New Roman" w:hAnsi="Arial" w:cs="Arial"/>
                <w:color w:val="000000"/>
                <w:sz w:val="18"/>
                <w:szCs w:val="18"/>
                <w:lang w:eastAsia="fr-FR"/>
              </w:rPr>
            </w:pPr>
          </w:p>
        </w:tc>
        <w:tc>
          <w:tcPr>
            <w:tcW w:w="1120" w:type="dxa"/>
            <w:tcBorders>
              <w:top w:val="nil"/>
              <w:left w:val="nil"/>
              <w:bottom w:val="single" w:sz="4" w:space="0" w:color="000033"/>
              <w:right w:val="single" w:sz="4" w:space="0" w:color="000033"/>
            </w:tcBorders>
            <w:shd w:val="clear" w:color="auto" w:fill="auto"/>
            <w:vAlign w:val="center"/>
            <w:hideMark/>
          </w:tcPr>
          <w:p w14:paraId="155B6CBB"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122</w:t>
            </w:r>
          </w:p>
        </w:tc>
        <w:tc>
          <w:tcPr>
            <w:tcW w:w="1360" w:type="dxa"/>
            <w:tcBorders>
              <w:top w:val="nil"/>
              <w:left w:val="nil"/>
              <w:bottom w:val="single" w:sz="4" w:space="0" w:color="000033"/>
              <w:right w:val="single" w:sz="4" w:space="0" w:color="000033"/>
            </w:tcBorders>
            <w:shd w:val="clear" w:color="auto" w:fill="auto"/>
            <w:vAlign w:val="center"/>
            <w:hideMark/>
          </w:tcPr>
          <w:p w14:paraId="6F670E95"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3</w:t>
            </w:r>
          </w:p>
        </w:tc>
        <w:tc>
          <w:tcPr>
            <w:tcW w:w="1180" w:type="dxa"/>
            <w:tcBorders>
              <w:top w:val="nil"/>
              <w:left w:val="nil"/>
              <w:bottom w:val="single" w:sz="4" w:space="0" w:color="000033"/>
              <w:right w:val="single" w:sz="4" w:space="0" w:color="000033"/>
            </w:tcBorders>
            <w:shd w:val="clear" w:color="auto" w:fill="auto"/>
            <w:vAlign w:val="center"/>
            <w:hideMark/>
          </w:tcPr>
          <w:p w14:paraId="5FA7635C"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54</w:t>
            </w:r>
          </w:p>
        </w:tc>
        <w:tc>
          <w:tcPr>
            <w:tcW w:w="1300" w:type="dxa"/>
            <w:tcBorders>
              <w:top w:val="nil"/>
              <w:left w:val="nil"/>
              <w:bottom w:val="single" w:sz="4" w:space="0" w:color="000033"/>
              <w:right w:val="single" w:sz="4" w:space="0" w:color="000033"/>
            </w:tcBorders>
            <w:shd w:val="clear" w:color="auto" w:fill="auto"/>
            <w:vAlign w:val="center"/>
            <w:hideMark/>
          </w:tcPr>
          <w:p w14:paraId="339BBCBB" w14:textId="77777777" w:rsidR="00472B26" w:rsidRPr="00E41B22" w:rsidRDefault="00472B26" w:rsidP="00CB1F35">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1,3</w:t>
            </w:r>
          </w:p>
        </w:tc>
        <w:tc>
          <w:tcPr>
            <w:tcW w:w="1120" w:type="dxa"/>
            <w:tcBorders>
              <w:top w:val="nil"/>
              <w:left w:val="nil"/>
              <w:bottom w:val="single" w:sz="4" w:space="0" w:color="000033"/>
              <w:right w:val="single" w:sz="4" w:space="0" w:color="000033"/>
            </w:tcBorders>
            <w:shd w:val="clear" w:color="auto" w:fill="auto"/>
            <w:vAlign w:val="center"/>
            <w:hideMark/>
          </w:tcPr>
          <w:p w14:paraId="78A41285"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10</w:t>
            </w:r>
          </w:p>
        </w:tc>
      </w:tr>
      <w:tr w:rsidR="00472B26" w:rsidRPr="00472B26" w14:paraId="799F9C6E" w14:textId="77777777" w:rsidTr="00472B26">
        <w:trPr>
          <w:trHeight w:val="300"/>
        </w:trPr>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14B442"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Efaho</w:t>
            </w:r>
          </w:p>
        </w:tc>
        <w:tc>
          <w:tcPr>
            <w:tcW w:w="920" w:type="dxa"/>
            <w:tcBorders>
              <w:top w:val="single" w:sz="4" w:space="0" w:color="000000"/>
              <w:left w:val="nil"/>
              <w:bottom w:val="single" w:sz="4" w:space="0" w:color="000000"/>
              <w:right w:val="single" w:sz="4" w:space="0" w:color="000000"/>
            </w:tcBorders>
            <w:shd w:val="clear" w:color="auto" w:fill="auto"/>
            <w:vAlign w:val="center"/>
            <w:hideMark/>
          </w:tcPr>
          <w:p w14:paraId="78541201"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21</w:t>
            </w:r>
          </w:p>
        </w:tc>
        <w:tc>
          <w:tcPr>
            <w:tcW w:w="1120" w:type="dxa"/>
            <w:tcBorders>
              <w:top w:val="single" w:sz="4" w:space="0" w:color="000000"/>
              <w:left w:val="nil"/>
              <w:bottom w:val="single" w:sz="4" w:space="0" w:color="000000"/>
              <w:right w:val="single" w:sz="4" w:space="0" w:color="000000"/>
            </w:tcBorders>
            <w:shd w:val="clear" w:color="auto" w:fill="auto"/>
            <w:vAlign w:val="center"/>
            <w:hideMark/>
          </w:tcPr>
          <w:p w14:paraId="4C439BE3"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1,49</w:t>
            </w:r>
          </w:p>
        </w:tc>
        <w:tc>
          <w:tcPr>
            <w:tcW w:w="1360" w:type="dxa"/>
            <w:tcBorders>
              <w:top w:val="single" w:sz="4" w:space="0" w:color="000000"/>
              <w:left w:val="nil"/>
              <w:bottom w:val="single" w:sz="4" w:space="0" w:color="000000"/>
              <w:right w:val="single" w:sz="4" w:space="0" w:color="000000"/>
            </w:tcBorders>
            <w:shd w:val="clear" w:color="auto" w:fill="auto"/>
            <w:vAlign w:val="center"/>
            <w:hideMark/>
          </w:tcPr>
          <w:p w14:paraId="58C0201E"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157</w:t>
            </w:r>
          </w:p>
        </w:tc>
        <w:tc>
          <w:tcPr>
            <w:tcW w:w="1180" w:type="dxa"/>
            <w:tcBorders>
              <w:top w:val="single" w:sz="4" w:space="0" w:color="000000"/>
              <w:left w:val="nil"/>
              <w:bottom w:val="single" w:sz="4" w:space="0" w:color="000000"/>
              <w:right w:val="single" w:sz="4" w:space="0" w:color="000000"/>
            </w:tcBorders>
            <w:shd w:val="clear" w:color="auto" w:fill="auto"/>
            <w:vAlign w:val="center"/>
            <w:hideMark/>
          </w:tcPr>
          <w:p w14:paraId="5D9CF1C5"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1</w:t>
            </w:r>
          </w:p>
        </w:tc>
        <w:tc>
          <w:tcPr>
            <w:tcW w:w="1300" w:type="dxa"/>
            <w:tcBorders>
              <w:top w:val="single" w:sz="4" w:space="0" w:color="000000"/>
              <w:left w:val="nil"/>
              <w:bottom w:val="single" w:sz="4" w:space="0" w:color="000000"/>
              <w:right w:val="single" w:sz="4" w:space="0" w:color="000000"/>
            </w:tcBorders>
            <w:shd w:val="clear" w:color="auto" w:fill="auto"/>
            <w:vAlign w:val="center"/>
            <w:hideMark/>
          </w:tcPr>
          <w:p w14:paraId="68F3E85B" w14:textId="77777777" w:rsidR="00472B26" w:rsidRPr="00E41B22" w:rsidRDefault="00472B26" w:rsidP="00CB1F35">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1,2</w:t>
            </w:r>
          </w:p>
        </w:tc>
        <w:tc>
          <w:tcPr>
            <w:tcW w:w="1120" w:type="dxa"/>
            <w:tcBorders>
              <w:top w:val="single" w:sz="4" w:space="0" w:color="000000"/>
              <w:left w:val="nil"/>
              <w:bottom w:val="single" w:sz="4" w:space="0" w:color="000000"/>
              <w:right w:val="single" w:sz="4" w:space="0" w:color="000000"/>
            </w:tcBorders>
            <w:shd w:val="clear" w:color="auto" w:fill="auto"/>
            <w:vAlign w:val="center"/>
            <w:hideMark/>
          </w:tcPr>
          <w:p w14:paraId="7025EA6F"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2,1</w:t>
            </w:r>
          </w:p>
        </w:tc>
      </w:tr>
      <w:tr w:rsidR="00472B26" w:rsidRPr="00472B26" w14:paraId="718BE324" w14:textId="77777777" w:rsidTr="00472B26">
        <w:trPr>
          <w:trHeight w:val="480"/>
        </w:trPr>
        <w:tc>
          <w:tcPr>
            <w:tcW w:w="1840" w:type="dxa"/>
            <w:tcBorders>
              <w:top w:val="nil"/>
              <w:left w:val="single" w:sz="4" w:space="0" w:color="000000"/>
              <w:bottom w:val="single" w:sz="4" w:space="0" w:color="000000"/>
              <w:right w:val="single" w:sz="4" w:space="0" w:color="000000"/>
            </w:tcBorders>
            <w:shd w:val="clear" w:color="auto" w:fill="auto"/>
            <w:vAlign w:val="center"/>
            <w:hideMark/>
          </w:tcPr>
          <w:p w14:paraId="7B412EC1" w14:textId="77777777" w:rsidR="00472B26" w:rsidRPr="00E41B22" w:rsidRDefault="00472B26" w:rsidP="00E41B22">
            <w:pPr>
              <w:spacing w:after="0" w:line="240" w:lineRule="auto"/>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Mangoky</w:t>
            </w:r>
          </w:p>
        </w:tc>
        <w:tc>
          <w:tcPr>
            <w:tcW w:w="920" w:type="dxa"/>
            <w:tcBorders>
              <w:top w:val="nil"/>
              <w:left w:val="nil"/>
              <w:bottom w:val="single" w:sz="4" w:space="0" w:color="000000"/>
              <w:right w:val="single" w:sz="4" w:space="0" w:color="000000"/>
            </w:tcBorders>
            <w:shd w:val="clear" w:color="auto" w:fill="auto"/>
            <w:vAlign w:val="center"/>
            <w:hideMark/>
          </w:tcPr>
          <w:p w14:paraId="0EAB99A1"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55 000</w:t>
            </w:r>
          </w:p>
        </w:tc>
        <w:tc>
          <w:tcPr>
            <w:tcW w:w="1120" w:type="dxa"/>
            <w:tcBorders>
              <w:top w:val="nil"/>
              <w:left w:val="nil"/>
              <w:bottom w:val="single" w:sz="4" w:space="0" w:color="000000"/>
              <w:right w:val="single" w:sz="4" w:space="0" w:color="000000"/>
            </w:tcBorders>
            <w:shd w:val="clear" w:color="auto" w:fill="auto"/>
            <w:vAlign w:val="center"/>
            <w:hideMark/>
          </w:tcPr>
          <w:p w14:paraId="68315E2C"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490</w:t>
            </w:r>
          </w:p>
        </w:tc>
        <w:tc>
          <w:tcPr>
            <w:tcW w:w="1360" w:type="dxa"/>
            <w:tcBorders>
              <w:top w:val="nil"/>
              <w:left w:val="nil"/>
              <w:bottom w:val="single" w:sz="4" w:space="0" w:color="000000"/>
              <w:right w:val="single" w:sz="4" w:space="0" w:color="000000"/>
            </w:tcBorders>
            <w:shd w:val="clear" w:color="auto" w:fill="auto"/>
            <w:vAlign w:val="center"/>
            <w:hideMark/>
          </w:tcPr>
          <w:p w14:paraId="48F6B006"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(Barrage)</w:t>
            </w:r>
            <w:r w:rsidR="00A31C21">
              <w:rPr>
                <w:rFonts w:ascii="Arial" w:eastAsia="Times New Roman" w:hAnsi="Arial" w:cs="Arial"/>
                <w:color w:val="000000"/>
                <w:sz w:val="18"/>
                <w:szCs w:val="18"/>
                <w:lang w:eastAsia="fr-FR"/>
              </w:rPr>
              <w:t xml:space="preserve"> </w:t>
            </w:r>
            <w:r w:rsidRPr="00E41B22">
              <w:rPr>
                <w:rFonts w:ascii="Arial" w:eastAsia="Times New Roman" w:hAnsi="Arial" w:cs="Arial"/>
                <w:color w:val="000000"/>
                <w:sz w:val="18"/>
                <w:szCs w:val="18"/>
                <w:lang w:eastAsia="fr-FR"/>
              </w:rPr>
              <w:t>15m</w:t>
            </w:r>
          </w:p>
        </w:tc>
        <w:tc>
          <w:tcPr>
            <w:tcW w:w="1180" w:type="dxa"/>
            <w:tcBorders>
              <w:top w:val="nil"/>
              <w:left w:val="nil"/>
              <w:bottom w:val="single" w:sz="4" w:space="0" w:color="000000"/>
              <w:right w:val="single" w:sz="4" w:space="0" w:color="000000"/>
            </w:tcBorders>
            <w:shd w:val="clear" w:color="auto" w:fill="auto"/>
            <w:vAlign w:val="center"/>
            <w:hideMark/>
          </w:tcPr>
          <w:p w14:paraId="3ACBC18D"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160</w:t>
            </w:r>
          </w:p>
        </w:tc>
        <w:tc>
          <w:tcPr>
            <w:tcW w:w="1300" w:type="dxa"/>
            <w:tcBorders>
              <w:top w:val="nil"/>
              <w:left w:val="nil"/>
              <w:bottom w:val="single" w:sz="4" w:space="0" w:color="000000"/>
              <w:right w:val="single" w:sz="4" w:space="0" w:color="000000"/>
            </w:tcBorders>
            <w:shd w:val="clear" w:color="auto" w:fill="auto"/>
            <w:vAlign w:val="center"/>
            <w:hideMark/>
          </w:tcPr>
          <w:p w14:paraId="35CD233A" w14:textId="77777777" w:rsidR="00472B26" w:rsidRPr="00E41B22" w:rsidRDefault="00472B26" w:rsidP="00CB1F35">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20</w:t>
            </w:r>
          </w:p>
        </w:tc>
        <w:tc>
          <w:tcPr>
            <w:tcW w:w="1120" w:type="dxa"/>
            <w:tcBorders>
              <w:top w:val="nil"/>
              <w:left w:val="nil"/>
              <w:bottom w:val="single" w:sz="4" w:space="0" w:color="000000"/>
              <w:right w:val="single" w:sz="4" w:space="0" w:color="000000"/>
            </w:tcBorders>
            <w:shd w:val="clear" w:color="auto" w:fill="auto"/>
            <w:vAlign w:val="center"/>
            <w:hideMark/>
          </w:tcPr>
          <w:p w14:paraId="19CD3C38" w14:textId="77777777" w:rsidR="00472B26" w:rsidRPr="00E41B22" w:rsidRDefault="00472B26" w:rsidP="00E41B22">
            <w:pPr>
              <w:spacing w:after="0" w:line="240" w:lineRule="auto"/>
              <w:jc w:val="center"/>
              <w:rPr>
                <w:rFonts w:ascii="Arial" w:eastAsia="Times New Roman" w:hAnsi="Arial" w:cs="Arial"/>
                <w:color w:val="000000"/>
                <w:sz w:val="18"/>
                <w:szCs w:val="18"/>
                <w:lang w:eastAsia="fr-FR"/>
              </w:rPr>
            </w:pPr>
            <w:r w:rsidRPr="00E41B22">
              <w:rPr>
                <w:rFonts w:ascii="Arial" w:eastAsia="Times New Roman" w:hAnsi="Arial" w:cs="Arial"/>
                <w:color w:val="000000"/>
                <w:sz w:val="18"/>
                <w:szCs w:val="18"/>
                <w:lang w:eastAsia="fr-FR"/>
              </w:rPr>
              <w:t>158</w:t>
            </w:r>
          </w:p>
        </w:tc>
      </w:tr>
    </w:tbl>
    <w:p w14:paraId="1E95E221" w14:textId="77777777" w:rsidR="00CA127B" w:rsidRPr="00B434A6" w:rsidRDefault="0044196E" w:rsidP="00CA7F16">
      <w:pPr>
        <w:jc w:val="both"/>
        <w:rPr>
          <w:rFonts w:ascii="Arial" w:hAnsi="Arial" w:cs="Arial"/>
          <w:sz w:val="12"/>
        </w:rPr>
      </w:pPr>
      <w:r w:rsidRPr="00B434A6">
        <w:rPr>
          <w:rStyle w:val="Accentuation"/>
          <w:rFonts w:ascii="Arial" w:hAnsi="Arial" w:cs="Arial"/>
          <w:color w:val="000000"/>
          <w:sz w:val="16"/>
          <w:szCs w:val="27"/>
        </w:rPr>
        <w:t>Source JIRAMA 2002 - Mise à jour ORE 2007</w:t>
      </w:r>
      <w:r>
        <w:rPr>
          <w:rStyle w:val="Appelnotedebasdep"/>
          <w:rFonts w:ascii="Arial" w:hAnsi="Arial" w:cs="Arial"/>
          <w:i/>
          <w:iCs/>
          <w:color w:val="000000"/>
          <w:sz w:val="16"/>
          <w:szCs w:val="27"/>
        </w:rPr>
        <w:footnoteReference w:id="28"/>
      </w:r>
    </w:p>
    <w:p w14:paraId="7710BDD0" w14:textId="77777777" w:rsidR="00055101" w:rsidRPr="00055101" w:rsidRDefault="00055101" w:rsidP="0044500E">
      <w:pPr>
        <w:pStyle w:val="TIT40"/>
        <w:numPr>
          <w:ilvl w:val="3"/>
          <w:numId w:val="177"/>
        </w:numPr>
        <w:outlineLvl w:val="3"/>
      </w:pPr>
      <w:bookmarkStart w:id="299" w:name="_Toc125384534"/>
      <w:bookmarkStart w:id="300" w:name="_Toc125384923"/>
      <w:bookmarkStart w:id="301" w:name="_Toc124314656"/>
      <w:bookmarkStart w:id="302" w:name="_Toc124956135"/>
      <w:bookmarkStart w:id="303" w:name="_Toc127957595"/>
      <w:r w:rsidRPr="00055101">
        <w:t xml:space="preserve">Lacs </w:t>
      </w:r>
      <w:r>
        <w:t>et marais</w:t>
      </w:r>
      <w:bookmarkEnd w:id="299"/>
      <w:bookmarkEnd w:id="300"/>
      <w:bookmarkEnd w:id="301"/>
      <w:bookmarkEnd w:id="302"/>
      <w:bookmarkEnd w:id="303"/>
      <w:r>
        <w:t xml:space="preserve"> </w:t>
      </w:r>
    </w:p>
    <w:p w14:paraId="584ECCBF" w14:textId="77777777" w:rsidR="00CA7F16" w:rsidRPr="00CA7F16" w:rsidRDefault="000B2264" w:rsidP="00CA7F16">
      <w:pPr>
        <w:jc w:val="both"/>
        <w:rPr>
          <w:rFonts w:ascii="Arial" w:hAnsi="Arial" w:cs="Arial"/>
        </w:rPr>
      </w:pPr>
      <w:r>
        <w:rPr>
          <w:rFonts w:ascii="Arial" w:hAnsi="Arial" w:cs="Arial"/>
        </w:rPr>
        <w:t>Madagascar compte environ 1 300 lacs et lagunes</w:t>
      </w:r>
      <w:r w:rsidR="00D21FE2">
        <w:rPr>
          <w:rFonts w:ascii="Arial" w:hAnsi="Arial" w:cs="Arial"/>
        </w:rPr>
        <w:t xml:space="preserve"> dont</w:t>
      </w:r>
      <w:r>
        <w:rPr>
          <w:rFonts w:ascii="Arial" w:hAnsi="Arial" w:cs="Arial"/>
        </w:rPr>
        <w:t xml:space="preserve"> l</w:t>
      </w:r>
      <w:r w:rsidR="00CA7F16" w:rsidRPr="00CA7F16">
        <w:rPr>
          <w:rFonts w:ascii="Arial" w:hAnsi="Arial" w:cs="Arial"/>
        </w:rPr>
        <w:t>es plus grands lacs naturels sont Kinkony, Anketraka, Ihotry, Tsimanampetsotsa à l’</w:t>
      </w:r>
      <w:r w:rsidR="00D21FE2">
        <w:rPr>
          <w:rFonts w:ascii="Arial" w:hAnsi="Arial" w:cs="Arial"/>
        </w:rPr>
        <w:t>O</w:t>
      </w:r>
      <w:r w:rsidR="00CA7F16" w:rsidRPr="00CA7F16">
        <w:rPr>
          <w:rFonts w:ascii="Arial" w:hAnsi="Arial" w:cs="Arial"/>
        </w:rPr>
        <w:t>uest, Alaotra à l’</w:t>
      </w:r>
      <w:r w:rsidR="00D21FE2">
        <w:rPr>
          <w:rFonts w:ascii="Arial" w:hAnsi="Arial" w:cs="Arial"/>
        </w:rPr>
        <w:t>E</w:t>
      </w:r>
      <w:r w:rsidR="00CA7F16" w:rsidRPr="00CA7F16">
        <w:rPr>
          <w:rFonts w:ascii="Arial" w:hAnsi="Arial" w:cs="Arial"/>
        </w:rPr>
        <w:t xml:space="preserve">st et Itasy au </w:t>
      </w:r>
      <w:r w:rsidR="00D21FE2">
        <w:rPr>
          <w:rFonts w:ascii="Arial" w:hAnsi="Arial" w:cs="Arial"/>
        </w:rPr>
        <w:t>C</w:t>
      </w:r>
      <w:r w:rsidR="00CA7F16" w:rsidRPr="00CA7F16">
        <w:rPr>
          <w:rFonts w:ascii="Arial" w:hAnsi="Arial" w:cs="Arial"/>
        </w:rPr>
        <w:t>entre. Les principaux lacs littoraux sont concentrés à l’</w:t>
      </w:r>
      <w:r w:rsidR="00D21FE2">
        <w:rPr>
          <w:rFonts w:ascii="Arial" w:hAnsi="Arial" w:cs="Arial"/>
        </w:rPr>
        <w:t>E</w:t>
      </w:r>
      <w:r w:rsidR="00CA7F16" w:rsidRPr="00CA7F16">
        <w:rPr>
          <w:rFonts w:ascii="Arial" w:hAnsi="Arial" w:cs="Arial"/>
        </w:rPr>
        <w:t xml:space="preserve">st. Neuf sites sont listés Ramsar en 2013 pour une superficie cumulée de plus d’un million </w:t>
      </w:r>
      <w:r w:rsidR="009E26A4">
        <w:rPr>
          <w:rFonts w:ascii="Arial" w:hAnsi="Arial" w:cs="Arial"/>
        </w:rPr>
        <w:t>d’</w:t>
      </w:r>
      <w:r w:rsidR="00CA7F16" w:rsidRPr="00CA7F16">
        <w:rPr>
          <w:rFonts w:ascii="Arial" w:hAnsi="Arial" w:cs="Arial"/>
        </w:rPr>
        <w:t xml:space="preserve">ha, dont 0.7 million </w:t>
      </w:r>
      <w:r w:rsidR="009E26A4">
        <w:rPr>
          <w:rFonts w:ascii="Arial" w:hAnsi="Arial" w:cs="Arial"/>
        </w:rPr>
        <w:t>d’</w:t>
      </w:r>
      <w:r w:rsidR="00CA7F16" w:rsidRPr="00CA7F16">
        <w:rPr>
          <w:rFonts w:ascii="Arial" w:hAnsi="Arial" w:cs="Arial"/>
        </w:rPr>
        <w:t>ha pour les zones humides entourant le lac Alaotra et plus de 0.35 million</w:t>
      </w:r>
      <w:r w:rsidR="00D21FE2">
        <w:rPr>
          <w:rFonts w:ascii="Arial" w:hAnsi="Arial" w:cs="Arial"/>
        </w:rPr>
        <w:t>s d’</w:t>
      </w:r>
      <w:r w:rsidR="00CA7F16" w:rsidRPr="00CA7F16">
        <w:rPr>
          <w:rFonts w:ascii="Arial" w:hAnsi="Arial" w:cs="Arial"/>
        </w:rPr>
        <w:t>ha pour la rivière Nosivolo et ses affluents (Ramsar, 2013</w:t>
      </w:r>
      <w:r>
        <w:rPr>
          <w:rStyle w:val="Appelnotedebasdep"/>
          <w:rFonts w:ascii="Arial" w:hAnsi="Arial" w:cs="Arial"/>
        </w:rPr>
        <w:footnoteReference w:id="29"/>
      </w:r>
      <w:r w:rsidR="00CA7F16" w:rsidRPr="00CA7F16">
        <w:rPr>
          <w:rFonts w:ascii="Arial" w:hAnsi="Arial" w:cs="Arial"/>
        </w:rPr>
        <w:t>).</w:t>
      </w:r>
    </w:p>
    <w:p w14:paraId="6211A2B6" w14:textId="77777777" w:rsidR="00055101" w:rsidRPr="00055101" w:rsidRDefault="00055101" w:rsidP="0044500E">
      <w:pPr>
        <w:pStyle w:val="TIT40"/>
        <w:numPr>
          <w:ilvl w:val="3"/>
          <w:numId w:val="177"/>
        </w:numPr>
        <w:outlineLvl w:val="3"/>
      </w:pPr>
      <w:bookmarkStart w:id="304" w:name="_Toc124314657"/>
      <w:bookmarkStart w:id="305" w:name="_Toc124956136"/>
      <w:bookmarkStart w:id="306" w:name="_Toc125384535"/>
      <w:bookmarkStart w:id="307" w:name="_Toc125384924"/>
      <w:bookmarkStart w:id="308" w:name="_Toc127957596"/>
      <w:r w:rsidRPr="00055101">
        <w:t>Eaux souterraines</w:t>
      </w:r>
      <w:bookmarkEnd w:id="304"/>
      <w:bookmarkEnd w:id="305"/>
      <w:bookmarkEnd w:id="306"/>
      <w:bookmarkEnd w:id="307"/>
      <w:bookmarkEnd w:id="308"/>
    </w:p>
    <w:p w14:paraId="599C0C76" w14:textId="77777777" w:rsidR="00CA7F16" w:rsidRPr="00CA7F16" w:rsidRDefault="00CA7F16" w:rsidP="00CA7F16">
      <w:pPr>
        <w:jc w:val="both"/>
        <w:rPr>
          <w:rFonts w:ascii="Arial" w:hAnsi="Arial" w:cs="Arial"/>
        </w:rPr>
      </w:pPr>
      <w:r w:rsidRPr="00CA7F16">
        <w:rPr>
          <w:rFonts w:ascii="Arial" w:hAnsi="Arial" w:cs="Arial"/>
        </w:rPr>
        <w:t xml:space="preserve">Les eaux souterraines sont utilisées principalement dans les zones semi-arides du </w:t>
      </w:r>
      <w:r w:rsidR="00610711">
        <w:rPr>
          <w:rFonts w:ascii="Arial" w:hAnsi="Arial" w:cs="Arial"/>
        </w:rPr>
        <w:t>S</w:t>
      </w:r>
      <w:r w:rsidRPr="00CA7F16">
        <w:rPr>
          <w:rFonts w:ascii="Arial" w:hAnsi="Arial" w:cs="Arial"/>
        </w:rPr>
        <w:t>ud et très peu dans les zones humides orientales. Les eaux souterraines renouvelables sont estimées à 55 000 millions m³/an. Compte tenu d’une partie commune</w:t>
      </w:r>
      <w:r w:rsidR="00A70CEF">
        <w:rPr>
          <w:rStyle w:val="Appelnotedebasdep"/>
          <w:rFonts w:ascii="Arial" w:hAnsi="Arial" w:cs="Arial"/>
        </w:rPr>
        <w:footnoteReference w:id="30"/>
      </w:r>
      <w:r w:rsidRPr="00CA7F16">
        <w:rPr>
          <w:rFonts w:ascii="Arial" w:hAnsi="Arial" w:cs="Arial"/>
        </w:rPr>
        <w:t xml:space="preserve"> entre eaux de surface et eaux souterraines estimée à 50 000 millions m³/an, les ressources renouvelables totales seraient de 337 000 millions m³/an, soit 13 900 m³/an/habitant en 2015. Les 13 retenues les plus importantes ont une capacité totale d’environ 493 millions de m</w:t>
      </w:r>
      <w:r w:rsidRPr="00CA7F16">
        <w:rPr>
          <w:rFonts w:ascii="Arial" w:hAnsi="Arial" w:cs="Arial"/>
          <w:vertAlign w:val="superscript"/>
        </w:rPr>
        <w:t>3</w:t>
      </w:r>
      <w:r w:rsidRPr="00CA7F16">
        <w:rPr>
          <w:rFonts w:ascii="Arial" w:hAnsi="Arial" w:cs="Arial"/>
        </w:rPr>
        <w:t>, dont 108 millions sont destinés à l’irrigation et 385 millions à l’hydroélectricité.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B2264" w:rsidRPr="007F78CE" w14:paraId="0590DA3C" w14:textId="77777777" w:rsidTr="007F78CE">
        <w:tc>
          <w:tcPr>
            <w:tcW w:w="9212" w:type="dxa"/>
            <w:shd w:val="clear" w:color="auto" w:fill="auto"/>
          </w:tcPr>
          <w:p w14:paraId="5296FDBB" w14:textId="77777777" w:rsidR="000B2264" w:rsidRPr="007F78CE" w:rsidRDefault="000B2264" w:rsidP="007F78CE">
            <w:pPr>
              <w:spacing w:after="0" w:line="240" w:lineRule="auto"/>
              <w:jc w:val="both"/>
              <w:rPr>
                <w:rFonts w:ascii="Arial" w:hAnsi="Arial" w:cs="Arial"/>
                <w:i/>
              </w:rPr>
            </w:pPr>
            <w:r w:rsidRPr="007F78CE">
              <w:rPr>
                <w:rFonts w:ascii="Arial" w:hAnsi="Arial" w:cs="Arial"/>
                <w:i/>
              </w:rPr>
              <w:t>Malgré cette abondance de l’eau, sa répartition reste inégale. Effectivement, si l’eau est abondante et ne pose pas de problème pour la partie orientale de l’île, elle est problématique dans la zone sud de Madagascar surtout pendant la saison sèche.</w:t>
            </w:r>
          </w:p>
        </w:tc>
      </w:tr>
    </w:tbl>
    <w:p w14:paraId="2110E779" w14:textId="77777777" w:rsidR="000B2264" w:rsidRPr="00CA7F16" w:rsidRDefault="000B2264" w:rsidP="00CA7F16">
      <w:pPr>
        <w:jc w:val="both"/>
        <w:rPr>
          <w:rFonts w:ascii="Arial" w:hAnsi="Arial" w:cs="Arial"/>
        </w:rPr>
      </w:pPr>
    </w:p>
    <w:p w14:paraId="208CBEDD" w14:textId="77777777" w:rsidR="00592898" w:rsidRPr="007F78CE" w:rsidRDefault="00592898" w:rsidP="0044500E">
      <w:pPr>
        <w:pStyle w:val="TIT2"/>
        <w:numPr>
          <w:ilvl w:val="1"/>
          <w:numId w:val="177"/>
        </w:numPr>
      </w:pPr>
      <w:bookmarkStart w:id="309" w:name="_Toc124314658"/>
      <w:bookmarkStart w:id="310" w:name="_Toc124956137"/>
      <w:bookmarkStart w:id="311" w:name="_Toc125384536"/>
      <w:bookmarkStart w:id="312" w:name="_Toc125384925"/>
      <w:bookmarkStart w:id="313" w:name="_Toc127957597"/>
      <w:r w:rsidRPr="007F78CE">
        <w:t>Milieu biologique</w:t>
      </w:r>
      <w:bookmarkEnd w:id="309"/>
      <w:bookmarkEnd w:id="310"/>
      <w:bookmarkEnd w:id="311"/>
      <w:bookmarkEnd w:id="312"/>
      <w:bookmarkEnd w:id="313"/>
      <w:r w:rsidRPr="007F78CE">
        <w:t xml:space="preserve"> </w:t>
      </w:r>
    </w:p>
    <w:p w14:paraId="5282D6B6" w14:textId="77777777" w:rsidR="00592898" w:rsidRPr="00513948" w:rsidRDefault="00E66B6E" w:rsidP="0044500E">
      <w:pPr>
        <w:pStyle w:val="TIT3"/>
        <w:numPr>
          <w:ilvl w:val="2"/>
          <w:numId w:val="177"/>
        </w:numPr>
      </w:pPr>
      <w:bookmarkStart w:id="314" w:name="_Toc124312664"/>
      <w:bookmarkStart w:id="315" w:name="_Toc124314180"/>
      <w:bookmarkStart w:id="316" w:name="_Toc124314659"/>
      <w:bookmarkStart w:id="317" w:name="_Toc124315147"/>
      <w:bookmarkStart w:id="318" w:name="_Toc124315387"/>
      <w:bookmarkStart w:id="319" w:name="_Toc124315627"/>
      <w:bookmarkStart w:id="320" w:name="_Toc124315867"/>
      <w:bookmarkStart w:id="321" w:name="_Toc124316110"/>
      <w:bookmarkStart w:id="322" w:name="_Toc124316355"/>
      <w:bookmarkStart w:id="323" w:name="_Toc124316602"/>
      <w:bookmarkStart w:id="324" w:name="_Toc124316857"/>
      <w:bookmarkStart w:id="325" w:name="_Toc124314660"/>
      <w:bookmarkStart w:id="326" w:name="_Toc124956138"/>
      <w:bookmarkStart w:id="327" w:name="_Toc125384537"/>
      <w:bookmarkStart w:id="328" w:name="_Toc125384926"/>
      <w:bookmarkStart w:id="329" w:name="_Toc127957598"/>
      <w:bookmarkEnd w:id="314"/>
      <w:bookmarkEnd w:id="315"/>
      <w:bookmarkEnd w:id="316"/>
      <w:bookmarkEnd w:id="317"/>
      <w:bookmarkEnd w:id="318"/>
      <w:bookmarkEnd w:id="319"/>
      <w:bookmarkEnd w:id="320"/>
      <w:bookmarkEnd w:id="321"/>
      <w:bookmarkEnd w:id="322"/>
      <w:bookmarkEnd w:id="323"/>
      <w:bookmarkEnd w:id="324"/>
      <w:r>
        <w:t>Habitat et V</w:t>
      </w:r>
      <w:r w:rsidR="00513948" w:rsidRPr="00513948">
        <w:t>égétation</w:t>
      </w:r>
      <w:bookmarkEnd w:id="325"/>
      <w:bookmarkEnd w:id="326"/>
      <w:bookmarkEnd w:id="327"/>
      <w:bookmarkEnd w:id="328"/>
      <w:bookmarkEnd w:id="329"/>
    </w:p>
    <w:p w14:paraId="0073E754" w14:textId="77777777" w:rsidR="00513948" w:rsidRPr="00953B21" w:rsidRDefault="00953B21" w:rsidP="0044500E">
      <w:pPr>
        <w:pStyle w:val="TIT40"/>
        <w:numPr>
          <w:ilvl w:val="3"/>
          <w:numId w:val="177"/>
        </w:numPr>
        <w:outlineLvl w:val="3"/>
      </w:pPr>
      <w:bookmarkStart w:id="330" w:name="_Toc124312666"/>
      <w:bookmarkStart w:id="331" w:name="_Toc124314661"/>
      <w:bookmarkStart w:id="332" w:name="_Toc124956139"/>
      <w:bookmarkStart w:id="333" w:name="_Toc125384538"/>
      <w:bookmarkStart w:id="334" w:name="_Toc125384927"/>
      <w:bookmarkStart w:id="335" w:name="_Toc127957599"/>
      <w:bookmarkEnd w:id="330"/>
      <w:r w:rsidRPr="00953B21">
        <w:t>Habitat naturel</w:t>
      </w:r>
      <w:bookmarkEnd w:id="331"/>
      <w:bookmarkEnd w:id="332"/>
      <w:bookmarkEnd w:id="333"/>
      <w:bookmarkEnd w:id="334"/>
      <w:bookmarkEnd w:id="335"/>
    </w:p>
    <w:p w14:paraId="797E2182" w14:textId="77777777" w:rsidR="00953B21" w:rsidRPr="00E66B6E" w:rsidRDefault="00E66B6E" w:rsidP="00687DD2">
      <w:pPr>
        <w:pStyle w:val="Paragraphedeliste"/>
        <w:numPr>
          <w:ilvl w:val="0"/>
          <w:numId w:val="5"/>
        </w:numPr>
        <w:spacing w:before="120" w:line="240" w:lineRule="auto"/>
        <w:ind w:left="714" w:hanging="357"/>
        <w:rPr>
          <w:rFonts w:ascii="Arial" w:eastAsia="Times New Roman" w:hAnsi="Arial" w:cs="Arial"/>
          <w:b/>
          <w:bCs/>
          <w:color w:val="222222"/>
          <w:lang w:eastAsia="fr-FR"/>
        </w:rPr>
      </w:pPr>
      <w:r w:rsidRPr="00E66B6E">
        <w:rPr>
          <w:rFonts w:ascii="Arial" w:eastAsia="Times New Roman" w:hAnsi="Arial" w:cs="Arial"/>
          <w:b/>
          <w:bCs/>
          <w:color w:val="222222"/>
          <w:lang w:eastAsia="fr-FR"/>
        </w:rPr>
        <w:t>Formation</w:t>
      </w:r>
      <w:r w:rsidR="00A623F3">
        <w:rPr>
          <w:rFonts w:ascii="Arial" w:eastAsia="Times New Roman" w:hAnsi="Arial" w:cs="Arial"/>
          <w:b/>
          <w:bCs/>
          <w:color w:val="222222"/>
          <w:lang w:eastAsia="fr-FR"/>
        </w:rPr>
        <w:t>s</w:t>
      </w:r>
      <w:r w:rsidRPr="00E66B6E">
        <w:rPr>
          <w:rFonts w:ascii="Arial" w:eastAsia="Times New Roman" w:hAnsi="Arial" w:cs="Arial"/>
          <w:b/>
          <w:bCs/>
          <w:color w:val="222222"/>
          <w:lang w:eastAsia="fr-FR"/>
        </w:rPr>
        <w:t xml:space="preserve"> forestières </w:t>
      </w:r>
    </w:p>
    <w:p w14:paraId="76D86791" w14:textId="77777777" w:rsidR="00080C8C" w:rsidRPr="007E75D3" w:rsidRDefault="00E66B6E" w:rsidP="007E75D3">
      <w:pPr>
        <w:jc w:val="both"/>
        <w:rPr>
          <w:rFonts w:ascii="Arial" w:hAnsi="Arial" w:cs="Arial"/>
        </w:rPr>
      </w:pPr>
      <w:r>
        <w:rPr>
          <w:rFonts w:ascii="Arial" w:hAnsi="Arial" w:cs="Arial"/>
        </w:rPr>
        <w:t>L</w:t>
      </w:r>
      <w:r w:rsidR="00A623F3">
        <w:rPr>
          <w:rFonts w:ascii="Arial" w:hAnsi="Arial" w:cs="Arial"/>
        </w:rPr>
        <w:t>es</w:t>
      </w:r>
      <w:r>
        <w:rPr>
          <w:rFonts w:ascii="Arial" w:hAnsi="Arial" w:cs="Arial"/>
        </w:rPr>
        <w:t xml:space="preserve"> formation</w:t>
      </w:r>
      <w:r w:rsidR="00A623F3">
        <w:rPr>
          <w:rFonts w:ascii="Arial" w:hAnsi="Arial" w:cs="Arial"/>
        </w:rPr>
        <w:t>s</w:t>
      </w:r>
      <w:r>
        <w:rPr>
          <w:rFonts w:ascii="Arial" w:hAnsi="Arial" w:cs="Arial"/>
        </w:rPr>
        <w:t xml:space="preserve"> forestière</w:t>
      </w:r>
      <w:r w:rsidR="00A623F3">
        <w:rPr>
          <w:rFonts w:ascii="Arial" w:hAnsi="Arial" w:cs="Arial"/>
        </w:rPr>
        <w:t>s</w:t>
      </w:r>
      <w:r>
        <w:rPr>
          <w:rFonts w:ascii="Arial" w:hAnsi="Arial" w:cs="Arial"/>
        </w:rPr>
        <w:t xml:space="preserve"> représente</w:t>
      </w:r>
      <w:r w:rsidR="00A623F3">
        <w:rPr>
          <w:rFonts w:ascii="Arial" w:hAnsi="Arial" w:cs="Arial"/>
        </w:rPr>
        <w:t>nt</w:t>
      </w:r>
      <w:r>
        <w:rPr>
          <w:rFonts w:ascii="Arial" w:hAnsi="Arial" w:cs="Arial"/>
        </w:rPr>
        <w:t xml:space="preserve"> plus de 15%</w:t>
      </w:r>
      <w:r w:rsidR="00833686" w:rsidRPr="00F20BDA">
        <w:rPr>
          <w:vertAlign w:val="superscript"/>
        </w:rPr>
        <w:footnoteReference w:id="31"/>
      </w:r>
      <w:r>
        <w:rPr>
          <w:rFonts w:ascii="Arial" w:hAnsi="Arial" w:cs="Arial"/>
        </w:rPr>
        <w:t xml:space="preserve"> de la surface des habitats naturels</w:t>
      </w:r>
      <w:r w:rsidR="00A623F3">
        <w:rPr>
          <w:rFonts w:ascii="Arial" w:hAnsi="Arial" w:cs="Arial"/>
        </w:rPr>
        <w:t xml:space="preserve">. </w:t>
      </w:r>
      <w:r w:rsidR="00A623F3" w:rsidRPr="00A623F3">
        <w:rPr>
          <w:rFonts w:ascii="Arial" w:hAnsi="Arial" w:cs="Arial"/>
        </w:rPr>
        <w:t>Ces écosystèmes sont les habitats naturels très diversifiés des êtres-vivants</w:t>
      </w:r>
      <w:r w:rsidR="00A623F3">
        <w:rPr>
          <w:rFonts w:ascii="Arial" w:hAnsi="Arial" w:cs="Arial"/>
        </w:rPr>
        <w:t xml:space="preserve">, effectivement, les formations forestières sont très riches en espèces végétales </w:t>
      </w:r>
      <w:r w:rsidR="00BD0449">
        <w:rPr>
          <w:rFonts w:ascii="Arial" w:hAnsi="Arial" w:cs="Arial"/>
        </w:rPr>
        <w:t>et l’habitat de plusieurs espèces animales considérés comme en dangers comme les lémuriens et les autres mammifères sauvages. De plus, l’é</w:t>
      </w:r>
      <w:r w:rsidR="00833686">
        <w:rPr>
          <w:rFonts w:ascii="Arial" w:hAnsi="Arial" w:cs="Arial"/>
        </w:rPr>
        <w:t xml:space="preserve">cosystème forestier assure la production en bois de la </w:t>
      </w:r>
      <w:r w:rsidR="00833686">
        <w:rPr>
          <w:rFonts w:ascii="Arial" w:hAnsi="Arial" w:cs="Arial"/>
        </w:rPr>
        <w:lastRenderedPageBreak/>
        <w:t>population locale comme les bois d’œuvre et les bois d’énergie ainsi que les Produit</w:t>
      </w:r>
      <w:r w:rsidR="00D21FE2">
        <w:rPr>
          <w:rFonts w:ascii="Arial" w:hAnsi="Arial" w:cs="Arial"/>
        </w:rPr>
        <w:t>s</w:t>
      </w:r>
      <w:r w:rsidR="00833686">
        <w:rPr>
          <w:rFonts w:ascii="Arial" w:hAnsi="Arial" w:cs="Arial"/>
        </w:rPr>
        <w:t xml:space="preserve"> Forestier</w:t>
      </w:r>
      <w:r w:rsidR="00D21FE2">
        <w:rPr>
          <w:rFonts w:ascii="Arial" w:hAnsi="Arial" w:cs="Arial"/>
        </w:rPr>
        <w:t>s</w:t>
      </w:r>
      <w:r w:rsidR="00833686">
        <w:rPr>
          <w:rFonts w:ascii="Arial" w:hAnsi="Arial" w:cs="Arial"/>
        </w:rPr>
        <w:t xml:space="preserve"> Non ligneux (</w:t>
      </w:r>
      <w:r w:rsidR="00833686" w:rsidRPr="00BD0449">
        <w:rPr>
          <w:rFonts w:ascii="Arial" w:hAnsi="Arial" w:cs="Arial"/>
        </w:rPr>
        <w:t>tubercules, fruits, miel, champignons, plantes médicinales, gibier, etc.)</w:t>
      </w:r>
      <w:r w:rsidR="00833686">
        <w:rPr>
          <w:rFonts w:ascii="Arial" w:hAnsi="Arial" w:cs="Arial"/>
        </w:rPr>
        <w:t xml:space="preserve">. </w:t>
      </w:r>
      <w:r w:rsidR="001D0987">
        <w:rPr>
          <w:rFonts w:ascii="Arial" w:hAnsi="Arial" w:cs="Arial"/>
        </w:rPr>
        <w:t>L’écosystème forestier assure</w:t>
      </w:r>
      <w:r w:rsidR="00833686">
        <w:rPr>
          <w:rFonts w:ascii="Arial" w:hAnsi="Arial" w:cs="Arial"/>
        </w:rPr>
        <w:t xml:space="preserve"> aussi le maintien de services environnementaux tels que le cycle de l’eau, la régulation du climat et le recyclage des substances nutritives et la protection des sols contre l’érosion. </w:t>
      </w:r>
    </w:p>
    <w:p w14:paraId="670A2E45" w14:textId="77777777" w:rsidR="00080C8C" w:rsidRDefault="00833686" w:rsidP="00833686">
      <w:pPr>
        <w:jc w:val="both"/>
        <w:rPr>
          <w:rFonts w:ascii="Arial" w:hAnsi="Arial" w:cs="Arial"/>
        </w:rPr>
      </w:pPr>
      <w:r>
        <w:rPr>
          <w:rFonts w:ascii="Arial" w:hAnsi="Arial" w:cs="Arial"/>
        </w:rPr>
        <w:t>Le ME</w:t>
      </w:r>
      <w:r w:rsidR="00900302">
        <w:rPr>
          <w:rFonts w:ascii="Arial" w:hAnsi="Arial" w:cs="Arial"/>
        </w:rPr>
        <w:t>ED</w:t>
      </w:r>
      <w:r>
        <w:rPr>
          <w:rFonts w:ascii="Arial" w:hAnsi="Arial" w:cs="Arial"/>
        </w:rPr>
        <w:t xml:space="preserve"> en </w:t>
      </w:r>
      <w:r w:rsidR="00900302">
        <w:rPr>
          <w:rFonts w:ascii="Arial" w:hAnsi="Arial" w:cs="Arial"/>
        </w:rPr>
        <w:t>2014</w:t>
      </w:r>
      <w:r w:rsidR="00900302">
        <w:rPr>
          <w:rStyle w:val="Appelnotedebasdep"/>
          <w:rFonts w:ascii="Arial" w:hAnsi="Arial" w:cs="Arial"/>
        </w:rPr>
        <w:footnoteReference w:id="32"/>
      </w:r>
      <w:r w:rsidR="00900302">
        <w:rPr>
          <w:rFonts w:ascii="Arial" w:hAnsi="Arial" w:cs="Arial"/>
        </w:rPr>
        <w:t xml:space="preserve">, classifie l’écosystème forestier climatique en plusieurs types de forêt : </w:t>
      </w:r>
    </w:p>
    <w:p w14:paraId="0C9DEC01" w14:textId="77777777" w:rsidR="00900302" w:rsidRDefault="00900302" w:rsidP="00687DD2">
      <w:pPr>
        <w:pStyle w:val="Paragraphedeliste"/>
        <w:numPr>
          <w:ilvl w:val="0"/>
          <w:numId w:val="38"/>
        </w:numPr>
        <w:jc w:val="both"/>
        <w:rPr>
          <w:rFonts w:ascii="Arial" w:hAnsi="Arial" w:cs="Arial"/>
        </w:rPr>
      </w:pPr>
      <w:r w:rsidRPr="00900302">
        <w:rPr>
          <w:rFonts w:ascii="Arial" w:hAnsi="Arial" w:cs="Arial"/>
        </w:rPr>
        <w:t>Forêts humides de l’Est et du Sambirano : localisée</w:t>
      </w:r>
      <w:r w:rsidR="009D1B89">
        <w:rPr>
          <w:rFonts w:ascii="Arial" w:hAnsi="Arial" w:cs="Arial"/>
        </w:rPr>
        <w:t>s</w:t>
      </w:r>
      <w:r w:rsidRPr="00900302">
        <w:rPr>
          <w:rFonts w:ascii="Arial" w:hAnsi="Arial" w:cs="Arial"/>
        </w:rPr>
        <w:t xml:space="preserve"> dans la partie Est de l’ile</w:t>
      </w:r>
      <w:r w:rsidR="00D21FE2">
        <w:rPr>
          <w:rFonts w:ascii="Arial" w:hAnsi="Arial" w:cs="Arial"/>
        </w:rPr>
        <w:t>,</w:t>
      </w:r>
      <w:r w:rsidRPr="00900302">
        <w:rPr>
          <w:rFonts w:ascii="Arial" w:hAnsi="Arial" w:cs="Arial"/>
        </w:rPr>
        <w:t xml:space="preserve"> dans la Région de SAVA jusqu’à </w:t>
      </w:r>
      <w:r w:rsidR="00E41B22">
        <w:rPr>
          <w:rFonts w:ascii="Arial" w:hAnsi="Arial" w:cs="Arial"/>
        </w:rPr>
        <w:t>Taolagnaro</w:t>
      </w:r>
      <w:r w:rsidRPr="00900302">
        <w:rPr>
          <w:rFonts w:ascii="Arial" w:hAnsi="Arial" w:cs="Arial"/>
        </w:rPr>
        <w:t xml:space="preserve"> ainsi que dans la partie d’Ambanja et Ambilobe. Ce type de formation correspond à la forêt dense humide sempervirente de basse et moyenne altitude (0-1300m) représentée respectivement par les cortèges floristiques de la série à MYRISTICACEAE et </w:t>
      </w:r>
      <w:r w:rsidRPr="00900302">
        <w:rPr>
          <w:rFonts w:ascii="Arial" w:hAnsi="Arial" w:cs="Arial"/>
          <w:i/>
        </w:rPr>
        <w:t>Anthostema</w:t>
      </w:r>
      <w:r w:rsidRPr="00900302">
        <w:rPr>
          <w:rFonts w:ascii="Arial" w:hAnsi="Arial" w:cs="Arial"/>
        </w:rPr>
        <w:t xml:space="preserve">, et de la série à </w:t>
      </w:r>
      <w:r w:rsidRPr="00900302">
        <w:rPr>
          <w:rFonts w:ascii="Arial" w:hAnsi="Arial" w:cs="Arial"/>
          <w:i/>
        </w:rPr>
        <w:t>Weinmannia</w:t>
      </w:r>
      <w:r w:rsidRPr="00900302">
        <w:rPr>
          <w:rFonts w:ascii="Arial" w:hAnsi="Arial" w:cs="Arial"/>
        </w:rPr>
        <w:t xml:space="preserve"> et </w:t>
      </w:r>
      <w:r w:rsidRPr="00900302">
        <w:rPr>
          <w:rFonts w:ascii="Arial" w:hAnsi="Arial" w:cs="Arial"/>
          <w:i/>
        </w:rPr>
        <w:t>Tambourissa</w:t>
      </w:r>
      <w:r w:rsidRPr="00900302">
        <w:rPr>
          <w:rFonts w:ascii="Arial" w:hAnsi="Arial" w:cs="Arial"/>
        </w:rPr>
        <w:t>. Il couvre une superficie de 47 737 km</w:t>
      </w:r>
      <w:r w:rsidRPr="00B434A6">
        <w:rPr>
          <w:rFonts w:ascii="Arial" w:hAnsi="Arial" w:cs="Arial"/>
          <w:vertAlign w:val="superscript"/>
        </w:rPr>
        <w:t>2</w:t>
      </w:r>
      <w:r w:rsidRPr="00900302">
        <w:rPr>
          <w:rFonts w:ascii="Arial" w:hAnsi="Arial" w:cs="Arial"/>
        </w:rPr>
        <w:t xml:space="preserve">, dont 39% dans des aires </w:t>
      </w:r>
      <w:r>
        <w:rPr>
          <w:rFonts w:ascii="Arial" w:hAnsi="Arial" w:cs="Arial"/>
        </w:rPr>
        <w:t>protégées.</w:t>
      </w:r>
    </w:p>
    <w:p w14:paraId="21739B29" w14:textId="77777777" w:rsidR="00D60272" w:rsidRDefault="00D60272" w:rsidP="00687DD2">
      <w:pPr>
        <w:pStyle w:val="Paragraphedeliste"/>
        <w:numPr>
          <w:ilvl w:val="0"/>
          <w:numId w:val="38"/>
        </w:numPr>
        <w:jc w:val="both"/>
        <w:rPr>
          <w:rFonts w:ascii="Arial" w:hAnsi="Arial" w:cs="Arial"/>
        </w:rPr>
      </w:pPr>
      <w:r w:rsidRPr="00D60272">
        <w:rPr>
          <w:rFonts w:ascii="Arial" w:hAnsi="Arial" w:cs="Arial"/>
        </w:rPr>
        <w:t>Forêt</w:t>
      </w:r>
      <w:r w:rsidR="00610711">
        <w:rPr>
          <w:rFonts w:ascii="Arial" w:hAnsi="Arial" w:cs="Arial"/>
        </w:rPr>
        <w:t>s</w:t>
      </w:r>
      <w:r w:rsidRPr="00D60272">
        <w:rPr>
          <w:rFonts w:ascii="Arial" w:hAnsi="Arial" w:cs="Arial"/>
        </w:rPr>
        <w:t xml:space="preserve"> dense</w:t>
      </w:r>
      <w:r w:rsidR="00610711">
        <w:rPr>
          <w:rFonts w:ascii="Arial" w:hAnsi="Arial" w:cs="Arial"/>
        </w:rPr>
        <w:t>s</w:t>
      </w:r>
      <w:r w:rsidRPr="00D60272">
        <w:rPr>
          <w:rFonts w:ascii="Arial" w:hAnsi="Arial" w:cs="Arial"/>
        </w:rPr>
        <w:t xml:space="preserve"> humide</w:t>
      </w:r>
      <w:r w:rsidR="00610711">
        <w:rPr>
          <w:rFonts w:ascii="Arial" w:hAnsi="Arial" w:cs="Arial"/>
        </w:rPr>
        <w:t>s</w:t>
      </w:r>
      <w:r w:rsidRPr="00D60272">
        <w:rPr>
          <w:rFonts w:ascii="Arial" w:hAnsi="Arial" w:cs="Arial"/>
        </w:rPr>
        <w:t xml:space="preserve"> de montagne</w:t>
      </w:r>
      <w:r w:rsidR="009D1B89">
        <w:rPr>
          <w:rFonts w:ascii="Arial" w:hAnsi="Arial" w:cs="Arial"/>
        </w:rPr>
        <w:t>.</w:t>
      </w:r>
      <w:r>
        <w:rPr>
          <w:rFonts w:ascii="Arial" w:hAnsi="Arial" w:cs="Arial"/>
        </w:rPr>
        <w:t xml:space="preserve"> </w:t>
      </w:r>
      <w:r w:rsidRPr="00D60272">
        <w:rPr>
          <w:rFonts w:ascii="Arial" w:hAnsi="Arial" w:cs="Arial"/>
        </w:rPr>
        <w:t xml:space="preserve">Ce type d’écosystème n’existe plus que sous forme de reliques en altitude supérieure à 1600m. Toute la végétation naturelle a été modifiée par des actions anthropiques. La forêt de montagne se réfère floristiquement à la série à </w:t>
      </w:r>
      <w:r w:rsidRPr="00D60272">
        <w:rPr>
          <w:rFonts w:ascii="Arial" w:hAnsi="Arial" w:cs="Arial"/>
          <w:i/>
        </w:rPr>
        <w:t>Weinmannia</w:t>
      </w:r>
      <w:r w:rsidRPr="00D60272">
        <w:rPr>
          <w:rFonts w:ascii="Arial" w:hAnsi="Arial" w:cs="Arial"/>
        </w:rPr>
        <w:t xml:space="preserve"> et à </w:t>
      </w:r>
      <w:r w:rsidRPr="00D60272">
        <w:rPr>
          <w:rFonts w:ascii="Arial" w:hAnsi="Arial" w:cs="Arial"/>
          <w:i/>
        </w:rPr>
        <w:t>Tambourissa</w:t>
      </w:r>
      <w:r w:rsidRPr="00D60272">
        <w:rPr>
          <w:rFonts w:ascii="Arial" w:hAnsi="Arial" w:cs="Arial"/>
        </w:rPr>
        <w:t xml:space="preserve">. Elle abrite la seule espèce de résineux endémique </w:t>
      </w:r>
      <w:r w:rsidRPr="00D60272">
        <w:rPr>
          <w:rFonts w:ascii="Arial" w:hAnsi="Arial" w:cs="Arial"/>
          <w:i/>
        </w:rPr>
        <w:t>Podocarpus madagascariensis</w:t>
      </w:r>
      <w:r w:rsidRPr="00D60272">
        <w:rPr>
          <w:rFonts w:ascii="Arial" w:hAnsi="Arial" w:cs="Arial"/>
        </w:rPr>
        <w:t xml:space="preserve"> de la famille des PODOCARPACEAE.</w:t>
      </w:r>
    </w:p>
    <w:p w14:paraId="6B144198" w14:textId="77777777" w:rsidR="00900302" w:rsidRDefault="00900302" w:rsidP="00687DD2">
      <w:pPr>
        <w:pStyle w:val="Paragraphedeliste"/>
        <w:numPr>
          <w:ilvl w:val="0"/>
          <w:numId w:val="38"/>
        </w:numPr>
        <w:autoSpaceDE w:val="0"/>
        <w:autoSpaceDN w:val="0"/>
        <w:adjustRightInd w:val="0"/>
        <w:spacing w:after="0" w:line="240" w:lineRule="auto"/>
        <w:jc w:val="both"/>
        <w:rPr>
          <w:rFonts w:ascii="Arial" w:hAnsi="Arial" w:cs="Arial"/>
        </w:rPr>
      </w:pPr>
      <w:r w:rsidRPr="00900302">
        <w:rPr>
          <w:rFonts w:ascii="Arial" w:hAnsi="Arial" w:cs="Arial"/>
        </w:rPr>
        <w:t>Forêt</w:t>
      </w:r>
      <w:r w:rsidR="009D1B89">
        <w:rPr>
          <w:rFonts w:ascii="Arial" w:hAnsi="Arial" w:cs="Arial"/>
        </w:rPr>
        <w:t>s</w:t>
      </w:r>
      <w:r w:rsidRPr="00900302">
        <w:rPr>
          <w:rFonts w:ascii="Arial" w:hAnsi="Arial" w:cs="Arial"/>
        </w:rPr>
        <w:t xml:space="preserve"> de tapia qui couvre</w:t>
      </w:r>
      <w:r w:rsidR="00610711">
        <w:rPr>
          <w:rFonts w:ascii="Arial" w:hAnsi="Arial" w:cs="Arial"/>
        </w:rPr>
        <w:t>nt</w:t>
      </w:r>
      <w:r w:rsidRPr="00900302">
        <w:rPr>
          <w:rFonts w:ascii="Arial" w:hAnsi="Arial" w:cs="Arial"/>
        </w:rPr>
        <w:t xml:space="preserve"> environ 1 319 km² dont 20,60% protégées. Ce type de formation végétale est rencontré dans les hautes terres sur le plateau occidental. Il correspond à la forêt sclérophylle de moyenne altitude (800-1300m). Le cortège floristique dirigé par l’espèce endémique </w:t>
      </w:r>
      <w:r w:rsidRPr="00511D6C">
        <w:rPr>
          <w:rFonts w:ascii="Arial" w:hAnsi="Arial" w:cs="Arial"/>
          <w:i/>
        </w:rPr>
        <w:t>Uapaca bojeri</w:t>
      </w:r>
      <w:r w:rsidRPr="00900302">
        <w:rPr>
          <w:rFonts w:ascii="Arial" w:hAnsi="Arial" w:cs="Arial"/>
        </w:rPr>
        <w:t xml:space="preserve"> (localement appelée ‘Tapia’) se réfère à la série à </w:t>
      </w:r>
      <w:r w:rsidRPr="00511D6C">
        <w:rPr>
          <w:rFonts w:ascii="Arial" w:hAnsi="Arial" w:cs="Arial"/>
          <w:i/>
        </w:rPr>
        <w:t>Uapaca bojeri</w:t>
      </w:r>
      <w:r w:rsidRPr="00900302">
        <w:rPr>
          <w:rFonts w:ascii="Arial" w:hAnsi="Arial" w:cs="Arial"/>
        </w:rPr>
        <w:t xml:space="preserve"> et </w:t>
      </w:r>
      <w:r w:rsidR="00511D6C" w:rsidRPr="00900302">
        <w:rPr>
          <w:rFonts w:ascii="Arial" w:hAnsi="Arial" w:cs="Arial"/>
        </w:rPr>
        <w:t xml:space="preserve">CHLAENACEAE </w:t>
      </w:r>
      <w:r w:rsidRPr="00900302">
        <w:rPr>
          <w:rFonts w:ascii="Arial" w:hAnsi="Arial" w:cs="Arial"/>
        </w:rPr>
        <w:t xml:space="preserve">avec les espèces les plus caractéristiques dont </w:t>
      </w:r>
      <w:r w:rsidRPr="00511D6C">
        <w:rPr>
          <w:rFonts w:ascii="Arial" w:hAnsi="Arial" w:cs="Arial"/>
          <w:i/>
        </w:rPr>
        <w:t xml:space="preserve">Sarcolaena oblongifolia, Schizolaena microphylla, Asteropeia labati, Weinmannia </w:t>
      </w:r>
      <w:r w:rsidR="00511D6C" w:rsidRPr="00511D6C">
        <w:rPr>
          <w:rFonts w:ascii="Arial" w:hAnsi="Arial" w:cs="Arial"/>
          <w:i/>
        </w:rPr>
        <w:t>spp</w:t>
      </w:r>
      <w:r w:rsidR="00511D6C" w:rsidRPr="00900302">
        <w:rPr>
          <w:rFonts w:ascii="Arial" w:hAnsi="Arial" w:cs="Arial"/>
        </w:rPr>
        <w:t>.</w:t>
      </w:r>
      <w:r w:rsidRPr="00900302">
        <w:rPr>
          <w:rFonts w:ascii="Arial" w:hAnsi="Arial" w:cs="Arial"/>
        </w:rPr>
        <w:t xml:space="preserve"> et </w:t>
      </w:r>
      <w:r w:rsidRPr="00511D6C">
        <w:rPr>
          <w:rFonts w:ascii="Arial" w:hAnsi="Arial" w:cs="Arial"/>
          <w:i/>
        </w:rPr>
        <w:t>Agauria spp</w:t>
      </w:r>
      <w:r w:rsidRPr="00900302">
        <w:rPr>
          <w:rFonts w:ascii="Arial" w:hAnsi="Arial" w:cs="Arial"/>
        </w:rPr>
        <w:t>.</w:t>
      </w:r>
    </w:p>
    <w:p w14:paraId="03254BEC" w14:textId="77777777" w:rsidR="00900302" w:rsidRPr="00D60272" w:rsidRDefault="00511D6C" w:rsidP="00687DD2">
      <w:pPr>
        <w:pStyle w:val="Paragraphedeliste"/>
        <w:numPr>
          <w:ilvl w:val="0"/>
          <w:numId w:val="38"/>
        </w:numPr>
        <w:autoSpaceDE w:val="0"/>
        <w:autoSpaceDN w:val="0"/>
        <w:adjustRightInd w:val="0"/>
        <w:spacing w:after="0" w:line="240" w:lineRule="auto"/>
        <w:jc w:val="both"/>
        <w:rPr>
          <w:rFonts w:ascii="Arial" w:hAnsi="Arial" w:cs="Arial"/>
        </w:rPr>
      </w:pPr>
      <w:r w:rsidRPr="00511D6C">
        <w:rPr>
          <w:rFonts w:ascii="Arial" w:hAnsi="Arial" w:cs="Arial"/>
        </w:rPr>
        <w:t>Forêt</w:t>
      </w:r>
      <w:r w:rsidR="00610711">
        <w:rPr>
          <w:rFonts w:ascii="Arial" w:hAnsi="Arial" w:cs="Arial"/>
        </w:rPr>
        <w:t>s</w:t>
      </w:r>
      <w:r w:rsidRPr="00511D6C">
        <w:rPr>
          <w:rFonts w:ascii="Arial" w:hAnsi="Arial" w:cs="Arial"/>
        </w:rPr>
        <w:t xml:space="preserve"> sèche</w:t>
      </w:r>
      <w:r w:rsidR="00610711">
        <w:rPr>
          <w:rFonts w:ascii="Arial" w:hAnsi="Arial" w:cs="Arial"/>
        </w:rPr>
        <w:t>s</w:t>
      </w:r>
      <w:r w:rsidRPr="00511D6C">
        <w:rPr>
          <w:rFonts w:ascii="Arial" w:hAnsi="Arial" w:cs="Arial"/>
        </w:rPr>
        <w:t xml:space="preserve"> de l’Ouest avec une superficie de </w:t>
      </w:r>
      <w:r w:rsidRPr="00511D6C">
        <w:rPr>
          <w:rFonts w:ascii="Arial" w:eastAsia="Times New Roman" w:hAnsi="Arial" w:cs="Arial"/>
          <w:color w:val="222222"/>
          <w:lang w:eastAsia="fr-FR"/>
        </w:rPr>
        <w:t xml:space="preserve">2 534 192 ha soit 4,71% des formations naturelles. </w:t>
      </w:r>
      <w:r w:rsidRPr="00511D6C">
        <w:rPr>
          <w:rFonts w:ascii="Arial" w:hAnsi="Arial" w:cs="Arial"/>
        </w:rPr>
        <w:t xml:space="preserve">Ce type de végétation s’étend du fleuve Mangoky au </w:t>
      </w:r>
      <w:r w:rsidR="00703FFA">
        <w:rPr>
          <w:rFonts w:ascii="Arial" w:hAnsi="Arial" w:cs="Arial"/>
        </w:rPr>
        <w:t>S</w:t>
      </w:r>
      <w:r w:rsidRPr="00511D6C">
        <w:rPr>
          <w:rFonts w:ascii="Arial" w:hAnsi="Arial" w:cs="Arial"/>
        </w:rPr>
        <w:t xml:space="preserve">ud jusqu’à Antsiranana au </w:t>
      </w:r>
      <w:r w:rsidR="00703FFA">
        <w:rPr>
          <w:rFonts w:ascii="Arial" w:hAnsi="Arial" w:cs="Arial"/>
        </w:rPr>
        <w:t>N</w:t>
      </w:r>
      <w:r w:rsidRPr="00511D6C">
        <w:rPr>
          <w:rFonts w:ascii="Arial" w:hAnsi="Arial" w:cs="Arial"/>
        </w:rPr>
        <w:t xml:space="preserve">ord. </w:t>
      </w:r>
      <w:r w:rsidR="00610711">
        <w:rPr>
          <w:rFonts w:ascii="Arial" w:hAnsi="Arial" w:cs="Arial"/>
        </w:rPr>
        <w:t>Cette formation forestière</w:t>
      </w:r>
      <w:r w:rsidR="00610711" w:rsidRPr="00511D6C">
        <w:rPr>
          <w:rFonts w:ascii="Arial" w:hAnsi="Arial" w:cs="Arial"/>
        </w:rPr>
        <w:t xml:space="preserve"> </w:t>
      </w:r>
      <w:r w:rsidRPr="00511D6C">
        <w:rPr>
          <w:rFonts w:ascii="Arial" w:hAnsi="Arial" w:cs="Arial"/>
        </w:rPr>
        <w:t xml:space="preserve">est interrompue par des montagnes plus humides telles que la montagne d’Ambre et celle de Manongarivo.  Ce type d’écosystème est l’équivalent de la forêt dense sèche caducifoliée ou décidue de basse et moyenne altitude (0-1600m) avec le cortège floristique de la série à </w:t>
      </w:r>
      <w:r w:rsidRPr="00D60272">
        <w:rPr>
          <w:rFonts w:ascii="Arial" w:hAnsi="Arial" w:cs="Arial"/>
          <w:i/>
        </w:rPr>
        <w:t>Dalbergia, Commiphora</w:t>
      </w:r>
      <w:r w:rsidRPr="00511D6C">
        <w:rPr>
          <w:rFonts w:ascii="Arial" w:hAnsi="Arial" w:cs="Arial"/>
        </w:rPr>
        <w:t xml:space="preserve"> et </w:t>
      </w:r>
      <w:r w:rsidRPr="00D60272">
        <w:rPr>
          <w:rFonts w:ascii="Arial" w:hAnsi="Arial" w:cs="Arial"/>
          <w:i/>
        </w:rPr>
        <w:t>Hildegardia.</w:t>
      </w:r>
    </w:p>
    <w:p w14:paraId="48DE5F32" w14:textId="77777777" w:rsidR="00D60272" w:rsidRDefault="00D60272" w:rsidP="00687DD2">
      <w:pPr>
        <w:pStyle w:val="Paragraphedeliste"/>
        <w:numPr>
          <w:ilvl w:val="0"/>
          <w:numId w:val="38"/>
        </w:numPr>
        <w:autoSpaceDE w:val="0"/>
        <w:autoSpaceDN w:val="0"/>
        <w:adjustRightInd w:val="0"/>
        <w:spacing w:after="0" w:line="240" w:lineRule="auto"/>
        <w:jc w:val="both"/>
        <w:rPr>
          <w:rFonts w:ascii="Arial" w:hAnsi="Arial" w:cs="Arial"/>
        </w:rPr>
      </w:pPr>
      <w:r w:rsidRPr="00D60272">
        <w:rPr>
          <w:rFonts w:ascii="Arial" w:hAnsi="Arial" w:cs="Arial"/>
        </w:rPr>
        <w:t>Forêt</w:t>
      </w:r>
      <w:r w:rsidR="00703FFA">
        <w:rPr>
          <w:rFonts w:ascii="Arial" w:hAnsi="Arial" w:cs="Arial"/>
        </w:rPr>
        <w:t>s</w:t>
      </w:r>
      <w:r w:rsidRPr="00D60272">
        <w:rPr>
          <w:rFonts w:ascii="Arial" w:hAnsi="Arial" w:cs="Arial"/>
        </w:rPr>
        <w:t xml:space="preserve"> sèche</w:t>
      </w:r>
      <w:r w:rsidR="00703FFA">
        <w:rPr>
          <w:rFonts w:ascii="Arial" w:hAnsi="Arial" w:cs="Arial"/>
        </w:rPr>
        <w:t>s</w:t>
      </w:r>
      <w:r w:rsidRPr="00D60272">
        <w:rPr>
          <w:rFonts w:ascii="Arial" w:hAnsi="Arial" w:cs="Arial"/>
        </w:rPr>
        <w:t xml:space="preserve"> épineuse</w:t>
      </w:r>
      <w:r w:rsidR="00703FFA">
        <w:rPr>
          <w:rFonts w:ascii="Arial" w:hAnsi="Arial" w:cs="Arial"/>
        </w:rPr>
        <w:t>s</w:t>
      </w:r>
      <w:r w:rsidRPr="00D60272">
        <w:rPr>
          <w:rFonts w:ascii="Arial" w:hAnsi="Arial" w:cs="Arial"/>
        </w:rPr>
        <w:t xml:space="preserve"> du sud-ouest : Elle</w:t>
      </w:r>
      <w:r w:rsidR="00703FFA">
        <w:rPr>
          <w:rFonts w:ascii="Arial" w:hAnsi="Arial" w:cs="Arial"/>
        </w:rPr>
        <w:t>s</w:t>
      </w:r>
      <w:r w:rsidRPr="00D60272">
        <w:rPr>
          <w:rFonts w:ascii="Arial" w:hAnsi="Arial" w:cs="Arial"/>
        </w:rPr>
        <w:t xml:space="preserve"> occupe</w:t>
      </w:r>
      <w:r w:rsidR="00703FFA">
        <w:rPr>
          <w:rFonts w:ascii="Arial" w:hAnsi="Arial" w:cs="Arial"/>
        </w:rPr>
        <w:t>nt</w:t>
      </w:r>
      <w:r w:rsidRPr="00D60272">
        <w:rPr>
          <w:rFonts w:ascii="Arial" w:hAnsi="Arial" w:cs="Arial"/>
        </w:rPr>
        <w:t xml:space="preserve"> principalement les plateaux calcaires et socle/grès à l’intérieur des terres à partir d’Andohahela à l’</w:t>
      </w:r>
      <w:r w:rsidR="00D21FE2">
        <w:rPr>
          <w:rFonts w:ascii="Arial" w:hAnsi="Arial" w:cs="Arial"/>
        </w:rPr>
        <w:t>E</w:t>
      </w:r>
      <w:r w:rsidRPr="00D60272">
        <w:rPr>
          <w:rFonts w:ascii="Arial" w:hAnsi="Arial" w:cs="Arial"/>
        </w:rPr>
        <w:t>st et s’étend</w:t>
      </w:r>
      <w:r w:rsidR="001A24FD">
        <w:rPr>
          <w:rFonts w:ascii="Arial" w:hAnsi="Arial" w:cs="Arial"/>
        </w:rPr>
        <w:t>ent</w:t>
      </w:r>
      <w:r w:rsidRPr="00D60272">
        <w:rPr>
          <w:rFonts w:ascii="Arial" w:hAnsi="Arial" w:cs="Arial"/>
        </w:rPr>
        <w:t xml:space="preserve"> jusqu’à Morombe à l’</w:t>
      </w:r>
      <w:r w:rsidR="00D21FE2">
        <w:rPr>
          <w:rFonts w:ascii="Arial" w:hAnsi="Arial" w:cs="Arial"/>
        </w:rPr>
        <w:t>O</w:t>
      </w:r>
      <w:r w:rsidRPr="00D60272">
        <w:rPr>
          <w:rFonts w:ascii="Arial" w:hAnsi="Arial" w:cs="Arial"/>
        </w:rPr>
        <w:t>uest. Elle</w:t>
      </w:r>
      <w:r w:rsidR="001A24FD">
        <w:rPr>
          <w:rFonts w:ascii="Arial" w:hAnsi="Arial" w:cs="Arial"/>
        </w:rPr>
        <w:t>s</w:t>
      </w:r>
      <w:r w:rsidRPr="00D60272">
        <w:rPr>
          <w:rFonts w:ascii="Arial" w:hAnsi="Arial" w:cs="Arial"/>
        </w:rPr>
        <w:t xml:space="preserve"> varie</w:t>
      </w:r>
      <w:r w:rsidR="001A24FD">
        <w:rPr>
          <w:rFonts w:ascii="Arial" w:hAnsi="Arial" w:cs="Arial"/>
        </w:rPr>
        <w:t>nt</w:t>
      </w:r>
      <w:r w:rsidRPr="00D60272">
        <w:rPr>
          <w:rFonts w:ascii="Arial" w:hAnsi="Arial" w:cs="Arial"/>
        </w:rPr>
        <w:t xml:space="preserve"> d’une forêt à un fourré impénétrable en fonction des substrats et de la pluviométrie. Elle</w:t>
      </w:r>
      <w:r w:rsidR="001A24FD">
        <w:rPr>
          <w:rFonts w:ascii="Arial" w:hAnsi="Arial" w:cs="Arial"/>
        </w:rPr>
        <w:t>s</w:t>
      </w:r>
      <w:r w:rsidRPr="00D60272">
        <w:rPr>
          <w:rFonts w:ascii="Arial" w:hAnsi="Arial" w:cs="Arial"/>
        </w:rPr>
        <w:t xml:space="preserve"> compren</w:t>
      </w:r>
      <w:r w:rsidR="001A24FD">
        <w:rPr>
          <w:rFonts w:ascii="Arial" w:hAnsi="Arial" w:cs="Arial"/>
        </w:rPr>
        <w:t>nent</w:t>
      </w:r>
      <w:r w:rsidRPr="00D60272">
        <w:rPr>
          <w:rFonts w:ascii="Arial" w:hAnsi="Arial" w:cs="Arial"/>
        </w:rPr>
        <w:t xml:space="preserve"> également le fourré xérophytique et caducifolié du </w:t>
      </w:r>
      <w:r w:rsidR="001A24FD">
        <w:rPr>
          <w:rFonts w:ascii="Arial" w:hAnsi="Arial" w:cs="Arial"/>
        </w:rPr>
        <w:t>S</w:t>
      </w:r>
      <w:r w:rsidRPr="00D60272">
        <w:rPr>
          <w:rFonts w:ascii="Arial" w:hAnsi="Arial" w:cs="Arial"/>
        </w:rPr>
        <w:t>ud-</w:t>
      </w:r>
      <w:r w:rsidR="001A24FD">
        <w:rPr>
          <w:rFonts w:ascii="Arial" w:hAnsi="Arial" w:cs="Arial"/>
        </w:rPr>
        <w:t>O</w:t>
      </w:r>
      <w:r w:rsidRPr="00D60272">
        <w:rPr>
          <w:rFonts w:ascii="Arial" w:hAnsi="Arial" w:cs="Arial"/>
        </w:rPr>
        <w:t>uest et se réfère</w:t>
      </w:r>
      <w:r w:rsidR="001A24FD">
        <w:rPr>
          <w:rFonts w:ascii="Arial" w:hAnsi="Arial" w:cs="Arial"/>
        </w:rPr>
        <w:t>nt</w:t>
      </w:r>
      <w:r w:rsidRPr="00D60272">
        <w:rPr>
          <w:rFonts w:ascii="Arial" w:hAnsi="Arial" w:cs="Arial"/>
        </w:rPr>
        <w:t xml:space="preserve"> à la série à </w:t>
      </w:r>
      <w:r w:rsidRPr="00D60272">
        <w:rPr>
          <w:rFonts w:ascii="Arial" w:hAnsi="Arial" w:cs="Arial"/>
          <w:i/>
        </w:rPr>
        <w:t>Didierea et Euphorbia</w:t>
      </w:r>
      <w:r w:rsidRPr="00D60272">
        <w:rPr>
          <w:rFonts w:ascii="Arial" w:hAnsi="Arial" w:cs="Arial"/>
        </w:rPr>
        <w:t xml:space="preserve">. Ce fourré se trouve généralement à des altitudes comprises entre 0 et 300m. La formation est basse et buissonnante (bush). Les taxa caractéristiques sont : </w:t>
      </w:r>
      <w:r w:rsidRPr="00D60272">
        <w:rPr>
          <w:rFonts w:ascii="Arial" w:hAnsi="Arial" w:cs="Arial"/>
          <w:i/>
        </w:rPr>
        <w:t>Didierea madagascariensis, Givotia madagascariensis, Adansonia rubrostipa, Adansonia za, Adansonia grandidieri, Alluaudia procera, Alluaudia montagnacii, Alluaudia comosa et Cedrelopsis greve</w:t>
      </w:r>
      <w:r w:rsidRPr="00D60272">
        <w:rPr>
          <w:rFonts w:ascii="Arial" w:hAnsi="Arial" w:cs="Arial"/>
        </w:rPr>
        <w:t>i.</w:t>
      </w:r>
    </w:p>
    <w:p w14:paraId="15F6DF6E" w14:textId="77777777" w:rsidR="007D5D1E" w:rsidRDefault="007D5D1E" w:rsidP="00F20BDA">
      <w:pPr>
        <w:jc w:val="both"/>
        <w:rPr>
          <w:rFonts w:ascii="Arial" w:hAnsi="Arial" w:cs="Arial"/>
        </w:rPr>
      </w:pPr>
    </w:p>
    <w:p w14:paraId="3AE63669" w14:textId="77777777" w:rsidR="000432F4" w:rsidRDefault="00F20BDA" w:rsidP="00F20BDA">
      <w:pPr>
        <w:jc w:val="both"/>
        <w:rPr>
          <w:rFonts w:ascii="Arial" w:hAnsi="Arial" w:cs="Arial"/>
        </w:rPr>
      </w:pPr>
      <w:r>
        <w:rPr>
          <w:rFonts w:ascii="Arial" w:hAnsi="Arial" w:cs="Arial"/>
        </w:rPr>
        <w:t>A cause de s</w:t>
      </w:r>
      <w:r w:rsidR="009D1B89">
        <w:rPr>
          <w:rFonts w:ascii="Arial" w:hAnsi="Arial" w:cs="Arial"/>
        </w:rPr>
        <w:t>a</w:t>
      </w:r>
      <w:r>
        <w:rPr>
          <w:rFonts w:ascii="Arial" w:hAnsi="Arial" w:cs="Arial"/>
        </w:rPr>
        <w:t xml:space="preserve"> surexploitation, les forêts naturelles se trouvent actuellement dans des zones éloignées de la zone d’habitation et dans des endroits difficiles d’accès. En outre, la grande </w:t>
      </w:r>
      <w:r>
        <w:rPr>
          <w:rFonts w:ascii="Arial" w:hAnsi="Arial" w:cs="Arial"/>
        </w:rPr>
        <w:lastRenderedPageBreak/>
        <w:t>majorité de cette formation végétale sont localisée</w:t>
      </w:r>
      <w:r w:rsidR="00D21FE2">
        <w:rPr>
          <w:rFonts w:ascii="Arial" w:hAnsi="Arial" w:cs="Arial"/>
        </w:rPr>
        <w:t>s</w:t>
      </w:r>
      <w:r>
        <w:rPr>
          <w:rFonts w:ascii="Arial" w:hAnsi="Arial" w:cs="Arial"/>
        </w:rPr>
        <w:t xml:space="preserve"> dans des aires protégées ou sont déjà gérée</w:t>
      </w:r>
      <w:r w:rsidR="00D21FE2">
        <w:rPr>
          <w:rFonts w:ascii="Arial" w:hAnsi="Arial" w:cs="Arial"/>
        </w:rPr>
        <w:t>s</w:t>
      </w:r>
      <w:r>
        <w:rPr>
          <w:rFonts w:ascii="Arial" w:hAnsi="Arial" w:cs="Arial"/>
        </w:rPr>
        <w:t xml:space="preserve"> par la population locale à travers la TGRN. </w:t>
      </w:r>
    </w:p>
    <w:p w14:paraId="2CC21D82" w14:textId="77777777" w:rsidR="00607755" w:rsidRDefault="00607755" w:rsidP="00B434A6">
      <w:pPr>
        <w:pStyle w:val="Paragraphedeliste"/>
        <w:numPr>
          <w:ilvl w:val="0"/>
          <w:numId w:val="5"/>
        </w:numPr>
        <w:spacing w:before="120" w:line="240" w:lineRule="auto"/>
        <w:ind w:left="714" w:hanging="357"/>
        <w:rPr>
          <w:rFonts w:ascii="Arial" w:eastAsia="Times New Roman" w:hAnsi="Arial" w:cs="Arial"/>
          <w:b/>
          <w:bCs/>
          <w:color w:val="222222"/>
          <w:lang w:eastAsia="fr-FR"/>
        </w:rPr>
      </w:pPr>
      <w:r w:rsidRPr="3CB7C1AD">
        <w:rPr>
          <w:rFonts w:ascii="Arial" w:eastAsia="Times New Roman" w:hAnsi="Arial" w:cs="Arial"/>
          <w:b/>
          <w:bCs/>
          <w:color w:val="222222"/>
          <w:lang w:eastAsia="fr-FR"/>
        </w:rPr>
        <w:t>Formation</w:t>
      </w:r>
      <w:r w:rsidR="001A24FD">
        <w:rPr>
          <w:rFonts w:ascii="Arial" w:eastAsia="Times New Roman" w:hAnsi="Arial" w:cs="Arial"/>
          <w:b/>
          <w:bCs/>
          <w:color w:val="222222"/>
          <w:lang w:eastAsia="fr-FR"/>
        </w:rPr>
        <w:t>s</w:t>
      </w:r>
      <w:r w:rsidRPr="3CB7C1AD">
        <w:rPr>
          <w:rFonts w:ascii="Arial" w:eastAsia="Times New Roman" w:hAnsi="Arial" w:cs="Arial"/>
          <w:b/>
          <w:bCs/>
          <w:color w:val="222222"/>
          <w:lang w:eastAsia="fr-FR"/>
        </w:rPr>
        <w:t xml:space="preserve"> secondaire</w:t>
      </w:r>
      <w:r w:rsidR="001A24FD">
        <w:rPr>
          <w:rFonts w:ascii="Arial" w:eastAsia="Times New Roman" w:hAnsi="Arial" w:cs="Arial"/>
          <w:b/>
          <w:bCs/>
          <w:color w:val="222222"/>
          <w:lang w:eastAsia="fr-FR"/>
        </w:rPr>
        <w:t>s</w:t>
      </w:r>
      <w:r w:rsidRPr="3CB7C1AD">
        <w:rPr>
          <w:rFonts w:ascii="Arial" w:eastAsia="Times New Roman" w:hAnsi="Arial" w:cs="Arial"/>
          <w:b/>
          <w:bCs/>
          <w:color w:val="222222"/>
          <w:lang w:eastAsia="fr-FR"/>
        </w:rPr>
        <w:t xml:space="preserve"> </w:t>
      </w:r>
    </w:p>
    <w:p w14:paraId="2DF2C305" w14:textId="77777777" w:rsidR="00607755" w:rsidRPr="00327DB6" w:rsidRDefault="00607755" w:rsidP="00607755">
      <w:pPr>
        <w:jc w:val="both"/>
        <w:rPr>
          <w:rFonts w:ascii="Arial" w:hAnsi="Arial" w:cs="Arial"/>
        </w:rPr>
      </w:pPr>
      <w:r w:rsidRPr="00327DB6">
        <w:rPr>
          <w:rFonts w:ascii="Arial" w:hAnsi="Arial" w:cs="Arial"/>
        </w:rPr>
        <w:t xml:space="preserve">Il s’agit d’une formation végétale qui pousse sur les terres forestières après défrichement. </w:t>
      </w:r>
      <w:r w:rsidRPr="00742D67">
        <w:rPr>
          <w:rFonts w:ascii="Arial" w:hAnsi="Arial" w:cs="Arial"/>
        </w:rPr>
        <w:t>La formation secondaire se trouve généralement dans la partie orientale de l’ile et représente environ 9% des végétations existant</w:t>
      </w:r>
      <w:r w:rsidR="001A24FD" w:rsidRPr="00742D67">
        <w:rPr>
          <w:rFonts w:ascii="Arial" w:hAnsi="Arial" w:cs="Arial"/>
        </w:rPr>
        <w:t>e</w:t>
      </w:r>
      <w:r w:rsidRPr="00742D67">
        <w:rPr>
          <w:rFonts w:ascii="Arial" w:hAnsi="Arial" w:cs="Arial"/>
        </w:rPr>
        <w:t xml:space="preserve">s (4 850 654 </w:t>
      </w:r>
      <w:r w:rsidR="00432287">
        <w:rPr>
          <w:rFonts w:ascii="Arial" w:hAnsi="Arial" w:cs="Arial"/>
        </w:rPr>
        <w:t>h</w:t>
      </w:r>
      <w:r w:rsidRPr="00742D67">
        <w:rPr>
          <w:rFonts w:ascii="Arial" w:hAnsi="Arial" w:cs="Arial"/>
        </w:rPr>
        <w:t>a).</w:t>
      </w:r>
      <w:r w:rsidRPr="00327DB6">
        <w:rPr>
          <w:rFonts w:ascii="Arial" w:hAnsi="Arial" w:cs="Arial"/>
        </w:rPr>
        <w:t xml:space="preserve"> </w:t>
      </w:r>
    </w:p>
    <w:p w14:paraId="55305289" w14:textId="77777777" w:rsidR="00607755" w:rsidRPr="00F20BDA" w:rsidRDefault="00607755" w:rsidP="00607755">
      <w:pPr>
        <w:jc w:val="both"/>
        <w:rPr>
          <w:rFonts w:ascii="Arial" w:hAnsi="Arial" w:cs="Arial"/>
        </w:rPr>
      </w:pPr>
      <w:r w:rsidRPr="00F20BDA">
        <w:rPr>
          <w:rFonts w:ascii="Arial" w:hAnsi="Arial" w:cs="Arial"/>
        </w:rPr>
        <w:t>Ce type de formation végétale a une composition floristique variable</w:t>
      </w:r>
      <w:r>
        <w:rPr>
          <w:rFonts w:ascii="Arial" w:hAnsi="Arial" w:cs="Arial"/>
        </w:rPr>
        <w:t>.</w:t>
      </w:r>
      <w:r w:rsidRPr="00F20BDA">
        <w:rPr>
          <w:rFonts w:ascii="Arial" w:hAnsi="Arial" w:cs="Arial"/>
        </w:rPr>
        <w:t xml:space="preserve"> </w:t>
      </w:r>
      <w:r>
        <w:rPr>
          <w:rFonts w:ascii="Arial" w:hAnsi="Arial" w:cs="Arial"/>
        </w:rPr>
        <w:t>E</w:t>
      </w:r>
      <w:r w:rsidRPr="00F20BDA">
        <w:rPr>
          <w:rFonts w:ascii="Arial" w:hAnsi="Arial" w:cs="Arial"/>
        </w:rPr>
        <w:t>lle présente des espèces forestières qui sont rapidement étouffées par des végétations abusivement denses constituée</w:t>
      </w:r>
      <w:r>
        <w:rPr>
          <w:rFonts w:ascii="Arial" w:hAnsi="Arial" w:cs="Arial"/>
        </w:rPr>
        <w:t>s</w:t>
      </w:r>
      <w:r w:rsidRPr="00F20BDA">
        <w:rPr>
          <w:rFonts w:ascii="Arial" w:hAnsi="Arial" w:cs="Arial"/>
        </w:rPr>
        <w:t xml:space="preserve"> par des espèces à large distribution comme </w:t>
      </w:r>
      <w:r w:rsidRPr="00F20BDA">
        <w:rPr>
          <w:rFonts w:ascii="Arial" w:hAnsi="Arial" w:cs="Arial"/>
          <w:i/>
        </w:rPr>
        <w:t>Clidenia hirta</w:t>
      </w:r>
      <w:r w:rsidRPr="00F20BDA">
        <w:rPr>
          <w:rFonts w:ascii="Arial" w:hAnsi="Arial" w:cs="Arial"/>
        </w:rPr>
        <w:t xml:space="preserve"> (MELASTOMATACEAE), </w:t>
      </w:r>
      <w:r w:rsidRPr="00F20BDA">
        <w:rPr>
          <w:rFonts w:ascii="Arial" w:hAnsi="Arial" w:cs="Arial"/>
          <w:i/>
        </w:rPr>
        <w:t>Aframomum anguistifolium</w:t>
      </w:r>
      <w:r w:rsidRPr="00F20BDA">
        <w:rPr>
          <w:rFonts w:ascii="Arial" w:hAnsi="Arial" w:cs="Arial"/>
        </w:rPr>
        <w:t xml:space="preserve"> (ZENZIBERACEAE), </w:t>
      </w:r>
      <w:r w:rsidRPr="00F20BDA">
        <w:rPr>
          <w:rFonts w:ascii="Arial" w:hAnsi="Arial" w:cs="Arial"/>
          <w:i/>
        </w:rPr>
        <w:t>Albizzia gummifera</w:t>
      </w:r>
      <w:r w:rsidRPr="00F20BDA">
        <w:rPr>
          <w:rFonts w:ascii="Arial" w:hAnsi="Arial" w:cs="Arial"/>
        </w:rPr>
        <w:t xml:space="preserve"> (FABACEAE), </w:t>
      </w:r>
      <w:r w:rsidRPr="00F20BDA">
        <w:rPr>
          <w:rFonts w:ascii="Arial" w:hAnsi="Arial" w:cs="Arial"/>
          <w:i/>
        </w:rPr>
        <w:t xml:space="preserve">Ravenala madagascariensis </w:t>
      </w:r>
      <w:r w:rsidRPr="00F20BDA">
        <w:rPr>
          <w:rFonts w:ascii="Arial" w:hAnsi="Arial" w:cs="Arial"/>
        </w:rPr>
        <w:t xml:space="preserve">(STRELIZIACEAE), </w:t>
      </w:r>
      <w:r w:rsidRPr="00F20BDA">
        <w:rPr>
          <w:rFonts w:ascii="Arial" w:hAnsi="Arial" w:cs="Arial"/>
          <w:i/>
        </w:rPr>
        <w:t>Haronga madagascariensis</w:t>
      </w:r>
      <w:r>
        <w:rPr>
          <w:rFonts w:ascii="Arial" w:hAnsi="Arial" w:cs="Arial"/>
        </w:rPr>
        <w:t xml:space="preserve"> (HYPER</w:t>
      </w:r>
      <w:r w:rsidRPr="00F20BDA">
        <w:rPr>
          <w:rFonts w:ascii="Arial" w:hAnsi="Arial" w:cs="Arial"/>
        </w:rPr>
        <w:t xml:space="preserve">ICACEAE). </w:t>
      </w:r>
    </w:p>
    <w:p w14:paraId="39DB22B1" w14:textId="77777777" w:rsidR="00607755" w:rsidRDefault="00607755" w:rsidP="00607755">
      <w:pPr>
        <w:jc w:val="both"/>
        <w:rPr>
          <w:rFonts w:ascii="Arial" w:hAnsi="Arial" w:cs="Arial"/>
        </w:rPr>
      </w:pPr>
      <w:r>
        <w:rPr>
          <w:rFonts w:ascii="Arial" w:hAnsi="Arial" w:cs="Arial"/>
        </w:rPr>
        <w:t>D’une façon générale, les formations secondaires se trouvent à la lisière des forêts naturelles. Même s’il s’agit d’une ancienne zone de culture, cette formation végétale se trouve éloignée des zones d’agglomération.</w:t>
      </w:r>
    </w:p>
    <w:p w14:paraId="26CEC0BC" w14:textId="77777777" w:rsidR="00607755" w:rsidRPr="00D60272" w:rsidRDefault="00607755" w:rsidP="00B434A6">
      <w:pPr>
        <w:pStyle w:val="Paragraphedeliste"/>
        <w:numPr>
          <w:ilvl w:val="0"/>
          <w:numId w:val="5"/>
        </w:numPr>
        <w:spacing w:before="120" w:line="240" w:lineRule="auto"/>
        <w:ind w:left="714" w:hanging="357"/>
        <w:rPr>
          <w:rFonts w:ascii="Arial" w:eastAsia="Times New Roman" w:hAnsi="Arial" w:cs="Arial"/>
          <w:b/>
          <w:bCs/>
          <w:color w:val="222222"/>
          <w:lang w:eastAsia="fr-FR"/>
        </w:rPr>
      </w:pPr>
      <w:r w:rsidRPr="00D60272">
        <w:rPr>
          <w:rFonts w:ascii="Arial" w:eastAsia="Times New Roman" w:hAnsi="Arial" w:cs="Arial"/>
          <w:b/>
          <w:bCs/>
          <w:color w:val="222222"/>
          <w:lang w:eastAsia="fr-FR"/>
        </w:rPr>
        <w:t>Mangrove</w:t>
      </w:r>
      <w:r>
        <w:rPr>
          <w:rFonts w:ascii="Arial" w:eastAsia="Times New Roman" w:hAnsi="Arial" w:cs="Arial"/>
          <w:b/>
          <w:bCs/>
          <w:color w:val="222222"/>
          <w:lang w:eastAsia="fr-FR"/>
        </w:rPr>
        <w:t>s</w:t>
      </w:r>
      <w:r w:rsidRPr="00D60272">
        <w:rPr>
          <w:rFonts w:ascii="Arial" w:eastAsia="Times New Roman" w:hAnsi="Arial" w:cs="Arial"/>
          <w:b/>
          <w:bCs/>
          <w:color w:val="222222"/>
          <w:lang w:eastAsia="fr-FR"/>
        </w:rPr>
        <w:t xml:space="preserve"> </w:t>
      </w:r>
    </w:p>
    <w:p w14:paraId="64C4BD5E" w14:textId="77777777" w:rsidR="00607755" w:rsidRPr="00D60272" w:rsidRDefault="00607755" w:rsidP="00607755">
      <w:pPr>
        <w:jc w:val="both"/>
        <w:rPr>
          <w:rFonts w:ascii="Arial" w:hAnsi="Arial" w:cs="Arial"/>
        </w:rPr>
      </w:pPr>
      <w:r w:rsidRPr="00D60272">
        <w:rPr>
          <w:rFonts w:ascii="Arial" w:hAnsi="Arial" w:cs="Arial"/>
        </w:rPr>
        <w:t>Les mangroves sont des peuplements forestiers fermés ou ouverts (si elles sont dégradées), installés sur la zone</w:t>
      </w:r>
      <w:r>
        <w:rPr>
          <w:rFonts w:ascii="Arial" w:hAnsi="Arial" w:cs="Arial"/>
        </w:rPr>
        <w:t xml:space="preserve"> </w:t>
      </w:r>
      <w:r w:rsidRPr="00D60272">
        <w:rPr>
          <w:rFonts w:ascii="Arial" w:hAnsi="Arial" w:cs="Arial"/>
        </w:rPr>
        <w:t xml:space="preserve">intertidale. Elles couvrent une superficie de l’ordre de </w:t>
      </w:r>
      <w:r w:rsidRPr="0009159F">
        <w:rPr>
          <w:rFonts w:ascii="Arial" w:hAnsi="Arial" w:cs="Arial"/>
        </w:rPr>
        <w:t>270 955</w:t>
      </w:r>
      <w:r w:rsidRPr="005E446A">
        <w:rPr>
          <w:rFonts w:ascii="Arial" w:hAnsi="Arial" w:cs="Arial"/>
        </w:rPr>
        <w:t xml:space="preserve"> </w:t>
      </w:r>
      <w:r>
        <w:rPr>
          <w:rFonts w:ascii="Arial" w:hAnsi="Arial" w:cs="Arial"/>
        </w:rPr>
        <w:t>h</w:t>
      </w:r>
      <w:r w:rsidRPr="005E446A">
        <w:rPr>
          <w:rFonts w:ascii="Arial" w:hAnsi="Arial" w:cs="Arial"/>
        </w:rPr>
        <w:t>a</w:t>
      </w:r>
      <w:r>
        <w:rPr>
          <w:rFonts w:ascii="Arial" w:hAnsi="Arial" w:cs="Arial"/>
        </w:rPr>
        <w:t xml:space="preserve"> soit environ </w:t>
      </w:r>
      <w:r w:rsidRPr="0009159F">
        <w:rPr>
          <w:rFonts w:ascii="Arial" w:hAnsi="Arial" w:cs="Arial"/>
        </w:rPr>
        <w:t>1% de la couverture forestière totale de Madagascar</w:t>
      </w:r>
      <w:r>
        <w:rPr>
          <w:rStyle w:val="Appelnotedebasdep"/>
          <w:rFonts w:ascii="Arial" w:hAnsi="Arial" w:cs="Arial"/>
        </w:rPr>
        <w:footnoteReference w:id="33"/>
      </w:r>
      <w:r w:rsidRPr="00D60272">
        <w:rPr>
          <w:rFonts w:ascii="Arial" w:hAnsi="Arial" w:cs="Arial"/>
        </w:rPr>
        <w:t>.</w:t>
      </w:r>
      <w:r>
        <w:rPr>
          <w:rFonts w:ascii="Arial" w:hAnsi="Arial" w:cs="Arial"/>
        </w:rPr>
        <w:t xml:space="preserve"> Presque la totalité</w:t>
      </w:r>
      <w:r w:rsidRPr="005E446A">
        <w:rPr>
          <w:rFonts w:ascii="Arial" w:hAnsi="Arial" w:cs="Arial"/>
        </w:rPr>
        <w:t xml:space="preserve"> de ces formations se trouvent réparties le long de la côte Ouest, occupant notamment les fonds des baies,</w:t>
      </w:r>
      <w:r>
        <w:rPr>
          <w:rFonts w:ascii="Arial" w:hAnsi="Arial" w:cs="Arial"/>
        </w:rPr>
        <w:t xml:space="preserve"> </w:t>
      </w:r>
      <w:r w:rsidRPr="005E446A">
        <w:rPr>
          <w:rFonts w:ascii="Arial" w:hAnsi="Arial" w:cs="Arial"/>
        </w:rPr>
        <w:t>tandis que celles de la côte Est sont de petite taille et localisées essentiellement dans le Nord Est, entre Mananara</w:t>
      </w:r>
      <w:r>
        <w:rPr>
          <w:rFonts w:ascii="Arial" w:hAnsi="Arial" w:cs="Arial"/>
        </w:rPr>
        <w:t xml:space="preserve"> </w:t>
      </w:r>
      <w:r w:rsidRPr="005E446A">
        <w:rPr>
          <w:rFonts w:ascii="Arial" w:hAnsi="Arial" w:cs="Arial"/>
        </w:rPr>
        <w:t>Nord et Antsiranana</w:t>
      </w:r>
      <w:r>
        <w:rPr>
          <w:rFonts w:ascii="Arial" w:hAnsi="Arial" w:cs="Arial"/>
        </w:rPr>
        <w:t xml:space="preserve">. </w:t>
      </w:r>
    </w:p>
    <w:p w14:paraId="6AA1AD84" w14:textId="77777777" w:rsidR="00811F6E" w:rsidRDefault="00607755" w:rsidP="00FD558F">
      <w:pPr>
        <w:pStyle w:val="Lgende"/>
        <w:jc w:val="both"/>
        <w:rPr>
          <w:rFonts w:ascii="Arial" w:hAnsi="Arial" w:cs="Arial"/>
          <w:i/>
        </w:rPr>
      </w:pPr>
      <w:r w:rsidRPr="00FD558F">
        <w:rPr>
          <w:rFonts w:ascii="Arial" w:hAnsi="Arial" w:cs="Arial"/>
          <w:b w:val="0"/>
          <w:bCs w:val="0"/>
          <w:color w:val="auto"/>
          <w:sz w:val="22"/>
          <w:szCs w:val="22"/>
        </w:rPr>
        <w:t>Floristiquement, elle est pauvre car seulement 11 espèces sont connues à Madagascar</w:t>
      </w:r>
      <w:r w:rsidRPr="00FD558F">
        <w:rPr>
          <w:rFonts w:ascii="Arial" w:hAnsi="Arial" w:cs="Arial"/>
          <w:b w:val="0"/>
          <w:bCs w:val="0"/>
          <w:color w:val="auto"/>
          <w:sz w:val="22"/>
          <w:szCs w:val="22"/>
          <w:vertAlign w:val="superscript"/>
        </w:rPr>
        <w:footnoteReference w:id="34"/>
      </w:r>
      <w:r w:rsidRPr="00FD558F">
        <w:rPr>
          <w:rFonts w:ascii="Arial" w:hAnsi="Arial" w:cs="Arial"/>
          <w:b w:val="0"/>
          <w:bCs w:val="0"/>
          <w:color w:val="auto"/>
          <w:sz w:val="22"/>
          <w:szCs w:val="22"/>
        </w:rPr>
        <w:t>. Les espèces les plus courantes sont Rhizophora mucronata, Bruguiera gymnorrhiza, Ceriops tagal, Avicenia marina, Sonneratia alba, Lumnitzera racemosa</w:t>
      </w:r>
      <w:r>
        <w:rPr>
          <w:rFonts w:ascii="Arial" w:hAnsi="Arial" w:cs="Arial"/>
          <w:i/>
        </w:rPr>
        <w:t>.</w:t>
      </w:r>
    </w:p>
    <w:p w14:paraId="578A9025" w14:textId="77777777" w:rsidR="00811F6E" w:rsidRDefault="00811F6E">
      <w:pPr>
        <w:spacing w:after="0" w:line="240" w:lineRule="auto"/>
        <w:rPr>
          <w:rFonts w:ascii="Arial" w:hAnsi="Arial" w:cs="Arial"/>
          <w:b/>
          <w:bCs/>
          <w:i/>
          <w:color w:val="4F81BD"/>
          <w:sz w:val="18"/>
          <w:szCs w:val="18"/>
        </w:rPr>
      </w:pPr>
      <w:r>
        <w:rPr>
          <w:rFonts w:ascii="Arial" w:hAnsi="Arial" w:cs="Arial"/>
          <w:i/>
        </w:rPr>
        <w:br w:type="page"/>
      </w:r>
    </w:p>
    <w:p w14:paraId="79C8CA8F" w14:textId="77777777" w:rsidR="00FD558F" w:rsidRDefault="00FD558F" w:rsidP="00FD558F">
      <w:pPr>
        <w:pStyle w:val="Lgende"/>
        <w:jc w:val="both"/>
        <w:rPr>
          <w:rFonts w:ascii="Arial" w:hAnsi="Arial" w:cs="Arial"/>
          <w:i/>
        </w:rPr>
      </w:pPr>
    </w:p>
    <w:p w14:paraId="270FB81A" w14:textId="77777777" w:rsidR="00607755" w:rsidRDefault="00813C50" w:rsidP="00327DB6">
      <w:pPr>
        <w:pStyle w:val="Lgende"/>
        <w:jc w:val="center"/>
        <w:rPr>
          <w:rFonts w:ascii="Arial" w:hAnsi="Arial" w:cs="Arial"/>
        </w:rPr>
      </w:pPr>
      <w:bookmarkStart w:id="336" w:name="_Toc125409070"/>
      <w:r>
        <w:t xml:space="preserve">Carte </w:t>
      </w:r>
      <w:r>
        <w:fldChar w:fldCharType="begin"/>
      </w:r>
      <w:r>
        <w:instrText xml:space="preserve"> SEQ Carte \* ARABIC </w:instrText>
      </w:r>
      <w:r>
        <w:fldChar w:fldCharType="separate"/>
      </w:r>
      <w:r>
        <w:rPr>
          <w:noProof/>
        </w:rPr>
        <w:t>4</w:t>
      </w:r>
      <w:r>
        <w:fldChar w:fldCharType="end"/>
      </w:r>
      <w:r>
        <w:t xml:space="preserve">: </w:t>
      </w:r>
      <w:r w:rsidRPr="001F3174">
        <w:t>Formations Végétales de Madagascar</w:t>
      </w:r>
      <w:bookmarkEnd w:id="336"/>
    </w:p>
    <w:p w14:paraId="21168381" w14:textId="679F5CBF" w:rsidR="000432F4" w:rsidRDefault="00E97ECD" w:rsidP="00F91FA3">
      <w:pPr>
        <w:jc w:val="center"/>
      </w:pPr>
      <w:r w:rsidRPr="00977215">
        <w:rPr>
          <w:noProof/>
          <w:lang w:eastAsia="fr-FR"/>
        </w:rPr>
        <w:drawing>
          <wp:inline distT="0" distB="0" distL="0" distR="0" wp14:anchorId="0CA0EC7D" wp14:editId="58DB141C">
            <wp:extent cx="5267325" cy="7458075"/>
            <wp:effectExtent l="0" t="0" r="0" b="0"/>
            <wp:docPr id="22"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7325" cy="7458075"/>
                    </a:xfrm>
                    <a:prstGeom prst="rect">
                      <a:avLst/>
                    </a:prstGeom>
                    <a:noFill/>
                    <a:ln>
                      <a:noFill/>
                    </a:ln>
                  </pic:spPr>
                </pic:pic>
              </a:graphicData>
            </a:graphic>
          </wp:inline>
        </w:drawing>
      </w:r>
    </w:p>
    <w:p w14:paraId="77BFBF55" w14:textId="77777777" w:rsidR="000432F4" w:rsidRDefault="000432F4" w:rsidP="00F01166">
      <w:pPr>
        <w:spacing w:after="0"/>
      </w:pPr>
      <w:r>
        <w:br w:type="page"/>
      </w:r>
    </w:p>
    <w:p w14:paraId="121C070F" w14:textId="77777777" w:rsidR="00D60272" w:rsidRPr="005E446A" w:rsidRDefault="00D60272" w:rsidP="00B434A6">
      <w:pPr>
        <w:pStyle w:val="Paragraphedeliste"/>
        <w:numPr>
          <w:ilvl w:val="0"/>
          <w:numId w:val="5"/>
        </w:numPr>
        <w:spacing w:before="120" w:line="240" w:lineRule="auto"/>
        <w:ind w:left="714" w:hanging="357"/>
        <w:rPr>
          <w:rFonts w:ascii="Arial" w:eastAsia="Times New Roman" w:hAnsi="Arial" w:cs="Arial"/>
          <w:b/>
          <w:bCs/>
          <w:color w:val="222222"/>
          <w:lang w:eastAsia="fr-FR"/>
        </w:rPr>
      </w:pPr>
      <w:r w:rsidRPr="005E446A">
        <w:rPr>
          <w:rFonts w:ascii="Arial" w:eastAsia="Times New Roman" w:hAnsi="Arial" w:cs="Arial"/>
          <w:b/>
          <w:bCs/>
          <w:color w:val="222222"/>
          <w:lang w:eastAsia="fr-FR"/>
        </w:rPr>
        <w:t xml:space="preserve">Formation </w:t>
      </w:r>
      <w:r w:rsidR="005E446A">
        <w:rPr>
          <w:rFonts w:ascii="Arial" w:eastAsia="Times New Roman" w:hAnsi="Arial" w:cs="Arial"/>
          <w:b/>
          <w:bCs/>
          <w:color w:val="222222"/>
          <w:lang w:eastAsia="fr-FR"/>
        </w:rPr>
        <w:t xml:space="preserve">marécageuse </w:t>
      </w:r>
    </w:p>
    <w:p w14:paraId="58478292" w14:textId="77777777" w:rsidR="00D60272" w:rsidRDefault="00024001" w:rsidP="0009159F">
      <w:pPr>
        <w:jc w:val="both"/>
      </w:pPr>
      <w:r w:rsidRPr="00024001">
        <w:rPr>
          <w:rFonts w:ascii="Arial" w:hAnsi="Arial" w:cs="Arial"/>
        </w:rPr>
        <w:t>Les zones humides et eaux continentales s’étendent sur une aire de 5 339 km</w:t>
      </w:r>
      <w:r w:rsidRPr="00024001">
        <w:rPr>
          <w:rFonts w:ascii="Arial" w:hAnsi="Arial" w:cs="Arial"/>
          <w:vertAlign w:val="superscript"/>
        </w:rPr>
        <w:t>2</w:t>
      </w:r>
      <w:r w:rsidRPr="00024001">
        <w:rPr>
          <w:rFonts w:ascii="Arial" w:hAnsi="Arial" w:cs="Arial"/>
        </w:rPr>
        <w:t>. Elles sont constituées par les milieux lentiques (lacs, marais, marécages) qui occupent une superficie de 2 000 km</w:t>
      </w:r>
      <w:r w:rsidRPr="00024001">
        <w:rPr>
          <w:rFonts w:ascii="Arial" w:hAnsi="Arial" w:cs="Arial"/>
          <w:vertAlign w:val="superscript"/>
        </w:rPr>
        <w:t>2</w:t>
      </w:r>
      <w:r>
        <w:rPr>
          <w:rFonts w:ascii="Arial" w:hAnsi="Arial" w:cs="Arial"/>
        </w:rPr>
        <w:t xml:space="preserve">. </w:t>
      </w:r>
      <w:r w:rsidRPr="00024001">
        <w:rPr>
          <w:rFonts w:ascii="Arial" w:hAnsi="Arial" w:cs="Arial"/>
        </w:rPr>
        <w:t xml:space="preserve">La forêt marécageuse est caractérisée par </w:t>
      </w:r>
      <w:r w:rsidRPr="00024001">
        <w:rPr>
          <w:rFonts w:ascii="Arial" w:hAnsi="Arial" w:cs="Arial"/>
          <w:i/>
        </w:rPr>
        <w:t>Anthostema madagascariensis</w:t>
      </w:r>
      <w:r w:rsidRPr="00024001">
        <w:rPr>
          <w:rFonts w:ascii="Arial" w:hAnsi="Arial" w:cs="Arial"/>
        </w:rPr>
        <w:t xml:space="preserve">, </w:t>
      </w:r>
      <w:r w:rsidRPr="00024001">
        <w:rPr>
          <w:rFonts w:ascii="Arial" w:hAnsi="Arial" w:cs="Arial"/>
          <w:i/>
        </w:rPr>
        <w:t>Pandanus spp, Typhonodorum lindleyanum</w:t>
      </w:r>
      <w:r w:rsidRPr="00024001">
        <w:rPr>
          <w:rFonts w:ascii="Arial" w:hAnsi="Arial" w:cs="Arial"/>
        </w:rPr>
        <w:t xml:space="preserve"> ainsi que des espèces de la famille des CYPERACEAE. Dans l’écorégion occidentale,</w:t>
      </w:r>
      <w:r>
        <w:rPr>
          <w:rFonts w:ascii="Arial" w:hAnsi="Arial" w:cs="Arial"/>
        </w:rPr>
        <w:t xml:space="preserve"> </w:t>
      </w:r>
      <w:r w:rsidRPr="00024001">
        <w:rPr>
          <w:rFonts w:ascii="Arial" w:hAnsi="Arial" w:cs="Arial"/>
        </w:rPr>
        <w:t>il existe des marais permanents occupant des dépressions dans lesquelles se développe</w:t>
      </w:r>
      <w:r w:rsidR="00293A1A">
        <w:rPr>
          <w:rFonts w:ascii="Arial" w:hAnsi="Arial" w:cs="Arial"/>
        </w:rPr>
        <w:t>nt</w:t>
      </w:r>
      <w:r w:rsidRPr="00024001">
        <w:rPr>
          <w:rFonts w:ascii="Arial" w:hAnsi="Arial" w:cs="Arial"/>
        </w:rPr>
        <w:t xml:space="preserve"> l’espèce </w:t>
      </w:r>
      <w:r w:rsidRPr="00024001">
        <w:rPr>
          <w:rFonts w:ascii="Arial" w:hAnsi="Arial" w:cs="Arial"/>
          <w:i/>
        </w:rPr>
        <w:t>Raphia farinifera</w:t>
      </w:r>
      <w:r>
        <w:rPr>
          <w:rFonts w:ascii="Arial" w:hAnsi="Arial" w:cs="Arial"/>
        </w:rPr>
        <w:t xml:space="preserve"> </w:t>
      </w:r>
      <w:r w:rsidRPr="00024001">
        <w:rPr>
          <w:rFonts w:ascii="Arial" w:hAnsi="Arial" w:cs="Arial"/>
        </w:rPr>
        <w:t xml:space="preserve">avec des fougères, des </w:t>
      </w:r>
      <w:r w:rsidRPr="00024001">
        <w:rPr>
          <w:rFonts w:ascii="Arial" w:hAnsi="Arial" w:cs="Arial"/>
          <w:i/>
        </w:rPr>
        <w:t xml:space="preserve">Cyperus </w:t>
      </w:r>
      <w:r w:rsidRPr="00024001">
        <w:rPr>
          <w:rFonts w:ascii="Arial" w:hAnsi="Arial" w:cs="Arial"/>
        </w:rPr>
        <w:t xml:space="preserve">et plusieurs espèces de </w:t>
      </w:r>
      <w:r w:rsidRPr="00B434A6">
        <w:rPr>
          <w:rFonts w:ascii="Arial" w:hAnsi="Arial" w:cs="Arial"/>
          <w:i/>
          <w:iCs/>
        </w:rPr>
        <w:t>Pandanus</w:t>
      </w:r>
      <w:r w:rsidRPr="00024001">
        <w:rPr>
          <w:rFonts w:ascii="Arial" w:hAnsi="Arial" w:cs="Arial"/>
        </w:rPr>
        <w:t>.</w:t>
      </w:r>
      <w:r>
        <w:rPr>
          <w:rFonts w:ascii="Arial" w:hAnsi="Arial" w:cs="Arial"/>
        </w:rPr>
        <w:t xml:space="preserve"> Au niveau des lacs, la végétation est dominée par des espèces comme </w:t>
      </w:r>
      <w:r w:rsidRPr="00023A07">
        <w:rPr>
          <w:rFonts w:ascii="Arial" w:hAnsi="Arial" w:cs="Arial"/>
          <w:i/>
        </w:rPr>
        <w:t>Typha anguistifolia</w:t>
      </w:r>
      <w:r>
        <w:rPr>
          <w:rFonts w:ascii="Arial" w:hAnsi="Arial" w:cs="Arial"/>
        </w:rPr>
        <w:t xml:space="preserve"> (</w:t>
      </w:r>
      <w:r w:rsidRPr="00024001">
        <w:rPr>
          <w:rFonts w:ascii="Arial" w:hAnsi="Arial" w:cs="Arial"/>
        </w:rPr>
        <w:t>TYPHACEAE)</w:t>
      </w:r>
      <w:r w:rsidR="00023A07">
        <w:rPr>
          <w:rFonts w:ascii="Arial" w:hAnsi="Arial" w:cs="Arial"/>
        </w:rPr>
        <w:t>,</w:t>
      </w:r>
      <w:r w:rsidR="00AA4A90">
        <w:rPr>
          <w:rFonts w:ascii="Arial" w:hAnsi="Arial" w:cs="Arial"/>
        </w:rPr>
        <w:t xml:space="preserve"> </w:t>
      </w:r>
      <w:r w:rsidR="00AA4A90" w:rsidRPr="00AA4A90">
        <w:rPr>
          <w:rFonts w:ascii="Arial" w:hAnsi="Arial" w:cs="Arial"/>
          <w:i/>
        </w:rPr>
        <w:t>Polygonum lapathifolium</w:t>
      </w:r>
      <w:r w:rsidR="00AA4A90">
        <w:rPr>
          <w:rFonts w:ascii="Arial" w:hAnsi="Arial" w:cs="Arial"/>
        </w:rPr>
        <w:t xml:space="preserve"> (POLYGONACEAE), </w:t>
      </w:r>
      <w:r w:rsidR="00AA4A90" w:rsidRPr="00AA4A90">
        <w:rPr>
          <w:rFonts w:ascii="Arial" w:hAnsi="Arial" w:cs="Arial"/>
          <w:i/>
        </w:rPr>
        <w:t>Typhonodorum lindleanum</w:t>
      </w:r>
      <w:r w:rsidR="00AA4A90">
        <w:rPr>
          <w:rFonts w:ascii="Arial" w:hAnsi="Arial" w:cs="Arial"/>
          <w:i/>
        </w:rPr>
        <w:t xml:space="preserve"> (ARACEAE</w:t>
      </w:r>
      <w:r w:rsidR="00AA4A90" w:rsidRPr="00AA4A90">
        <w:rPr>
          <w:rFonts w:ascii="Arial" w:hAnsi="Arial" w:cs="Arial"/>
        </w:rPr>
        <w:t>), les espèc</w:t>
      </w:r>
      <w:r w:rsidR="00AA4A90">
        <w:rPr>
          <w:rFonts w:ascii="Arial" w:hAnsi="Arial" w:cs="Arial"/>
        </w:rPr>
        <w:t xml:space="preserve">es de la famille des CYPERACEAE comme les </w:t>
      </w:r>
      <w:r w:rsidR="00AA4A90" w:rsidRPr="00B434A6">
        <w:rPr>
          <w:rFonts w:ascii="Arial" w:hAnsi="Arial" w:cs="Arial"/>
          <w:i/>
          <w:iCs/>
        </w:rPr>
        <w:t>Cyperus madagascariensis</w:t>
      </w:r>
      <w:r w:rsidR="00AA4A90">
        <w:rPr>
          <w:rFonts w:ascii="Arial" w:hAnsi="Arial" w:cs="Arial"/>
        </w:rPr>
        <w:t xml:space="preserve">, </w:t>
      </w:r>
      <w:r w:rsidR="00AA4A90" w:rsidRPr="00B434A6">
        <w:rPr>
          <w:rFonts w:ascii="Arial" w:hAnsi="Arial" w:cs="Arial"/>
          <w:i/>
          <w:iCs/>
        </w:rPr>
        <w:t>Cyperus papyrus</w:t>
      </w:r>
      <w:r w:rsidR="00AA4A90">
        <w:rPr>
          <w:rFonts w:ascii="Arial" w:hAnsi="Arial" w:cs="Arial"/>
        </w:rPr>
        <w:t>, e</w:t>
      </w:r>
      <w:r w:rsidR="009D1B89">
        <w:rPr>
          <w:rFonts w:ascii="Arial" w:hAnsi="Arial" w:cs="Arial"/>
        </w:rPr>
        <w:t>t</w:t>
      </w:r>
      <w:r w:rsidR="00AA4A90">
        <w:rPr>
          <w:rFonts w:ascii="Arial" w:hAnsi="Arial" w:cs="Arial"/>
        </w:rPr>
        <w:t>c. sur l’eau, les plantes flottantes sont composées par</w:t>
      </w:r>
      <w:r w:rsidR="00023A07">
        <w:rPr>
          <w:rFonts w:ascii="Arial" w:hAnsi="Arial" w:cs="Arial"/>
        </w:rPr>
        <w:t xml:space="preserve"> </w:t>
      </w:r>
      <w:r w:rsidR="00AA4A90" w:rsidRPr="00AA4A90">
        <w:rPr>
          <w:rFonts w:ascii="Arial" w:hAnsi="Arial" w:cs="Arial"/>
          <w:i/>
        </w:rPr>
        <w:t>Nymphea stellata</w:t>
      </w:r>
      <w:r w:rsidR="00AA4A90">
        <w:rPr>
          <w:rFonts w:ascii="Arial" w:hAnsi="Arial" w:cs="Arial"/>
          <w:i/>
        </w:rPr>
        <w:t xml:space="preserve"> (NYMPHEAEAE)</w:t>
      </w:r>
      <w:r w:rsidR="00AA4A90" w:rsidRPr="00AA4A90">
        <w:rPr>
          <w:rFonts w:ascii="Arial" w:hAnsi="Arial" w:cs="Arial"/>
          <w:i/>
        </w:rPr>
        <w:t>, Hydrocotyle sp</w:t>
      </w:r>
      <w:r w:rsidR="00AA4A90">
        <w:rPr>
          <w:rFonts w:ascii="Arial" w:hAnsi="Arial" w:cs="Arial"/>
          <w:i/>
        </w:rPr>
        <w:t xml:space="preserve"> (HYDROCOTYLOIDEAE)</w:t>
      </w:r>
      <w:r w:rsidR="00AA4A90">
        <w:t xml:space="preserve">. </w:t>
      </w:r>
    </w:p>
    <w:p w14:paraId="4A68F6C0" w14:textId="77777777" w:rsidR="00AA4A90" w:rsidRDefault="00AA4A90" w:rsidP="0009159F">
      <w:pPr>
        <w:jc w:val="both"/>
        <w:rPr>
          <w:rFonts w:ascii="Arial" w:hAnsi="Arial" w:cs="Arial"/>
        </w:rPr>
      </w:pPr>
      <w:r w:rsidRPr="00AA4A90">
        <w:rPr>
          <w:rFonts w:ascii="Arial" w:hAnsi="Arial" w:cs="Arial"/>
        </w:rPr>
        <w:t xml:space="preserve">Les zones humides ont un </w:t>
      </w:r>
      <w:r>
        <w:rPr>
          <w:rFonts w:ascii="Arial" w:hAnsi="Arial" w:cs="Arial"/>
        </w:rPr>
        <w:t>service</w:t>
      </w:r>
      <w:r w:rsidRPr="00AA4A90">
        <w:rPr>
          <w:rFonts w:ascii="Arial" w:hAnsi="Arial" w:cs="Arial"/>
        </w:rPr>
        <w:t xml:space="preserve"> </w:t>
      </w:r>
      <w:r w:rsidR="00030978">
        <w:rPr>
          <w:rFonts w:ascii="Arial" w:hAnsi="Arial" w:cs="Arial"/>
        </w:rPr>
        <w:t>écosystémique</w:t>
      </w:r>
      <w:r>
        <w:rPr>
          <w:rFonts w:ascii="Arial" w:hAnsi="Arial" w:cs="Arial"/>
        </w:rPr>
        <w:t xml:space="preserve"> important. En effet, elles jouent </w:t>
      </w:r>
      <w:r w:rsidRPr="00AA4A90">
        <w:rPr>
          <w:rFonts w:ascii="Arial" w:hAnsi="Arial" w:cs="Arial"/>
        </w:rPr>
        <w:t>un rôle important dans la régulation du régime hydrographique d’un bassin versant.</w:t>
      </w:r>
      <w:r w:rsidR="00F20BDA">
        <w:rPr>
          <w:rFonts w:ascii="Arial" w:hAnsi="Arial" w:cs="Arial"/>
        </w:rPr>
        <w:t xml:space="preserve"> </w:t>
      </w:r>
      <w:r w:rsidR="00F20BDA" w:rsidRPr="00F20BDA">
        <w:rPr>
          <w:rFonts w:ascii="Arial" w:hAnsi="Arial" w:cs="Arial"/>
        </w:rPr>
        <w:t>En réduisant la quantité des eaux de ruissellement qui arrivent dans les rivières, ces zones humides permettent souvent d’éviter des crues en aval.</w:t>
      </w:r>
    </w:p>
    <w:tbl>
      <w:tblPr>
        <w:tblW w:w="0" w:type="auto"/>
        <w:tblLook w:val="04A0" w:firstRow="1" w:lastRow="0" w:firstColumn="1" w:lastColumn="0" w:noHBand="0" w:noVBand="1"/>
      </w:tblPr>
      <w:tblGrid>
        <w:gridCol w:w="4511"/>
        <w:gridCol w:w="4561"/>
      </w:tblGrid>
      <w:tr w:rsidR="0016457E" w:rsidRPr="007F78CE" w14:paraId="7D70A10F" w14:textId="77777777" w:rsidTr="007F78CE">
        <w:tc>
          <w:tcPr>
            <w:tcW w:w="4606" w:type="dxa"/>
            <w:shd w:val="clear" w:color="auto" w:fill="auto"/>
          </w:tcPr>
          <w:p w14:paraId="37CF0A2E" w14:textId="72DC6B5D" w:rsidR="0016457E" w:rsidRPr="007F78CE" w:rsidRDefault="00E97ECD" w:rsidP="007F78CE">
            <w:pPr>
              <w:spacing w:after="0" w:line="240" w:lineRule="auto"/>
              <w:jc w:val="center"/>
              <w:rPr>
                <w:rFonts w:ascii="Arial" w:hAnsi="Arial" w:cs="Arial"/>
              </w:rPr>
            </w:pPr>
            <w:r w:rsidRPr="00FB04F6">
              <w:rPr>
                <w:rFonts w:ascii="Arial" w:hAnsi="Arial" w:cs="Arial"/>
                <w:noProof/>
                <w:lang w:eastAsia="fr-FR"/>
              </w:rPr>
              <w:drawing>
                <wp:inline distT="0" distB="0" distL="0" distR="0" wp14:anchorId="149D3F7F" wp14:editId="68612BDB">
                  <wp:extent cx="2400300" cy="1800225"/>
                  <wp:effectExtent l="0" t="0" r="0" b="0"/>
                  <wp:docPr id="23"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tc>
        <w:tc>
          <w:tcPr>
            <w:tcW w:w="4606" w:type="dxa"/>
            <w:shd w:val="clear" w:color="auto" w:fill="auto"/>
          </w:tcPr>
          <w:p w14:paraId="1CC645CE" w14:textId="4C63147A" w:rsidR="0016457E" w:rsidRPr="007F78CE" w:rsidRDefault="00E97ECD" w:rsidP="007F78CE">
            <w:pPr>
              <w:spacing w:after="0" w:line="240" w:lineRule="auto"/>
              <w:jc w:val="both"/>
              <w:rPr>
                <w:rFonts w:ascii="Arial" w:hAnsi="Arial" w:cs="Arial"/>
              </w:rPr>
            </w:pPr>
            <w:r>
              <w:rPr>
                <w:noProof/>
              </w:rPr>
              <w:drawing>
                <wp:anchor distT="0" distB="0" distL="114300" distR="114300" simplePos="0" relativeHeight="251662336" behindDoc="0" locked="0" layoutInCell="1" allowOverlap="1" wp14:anchorId="52734F39" wp14:editId="35F9D4BD">
                  <wp:simplePos x="0" y="0"/>
                  <wp:positionH relativeFrom="column">
                    <wp:posOffset>13335</wp:posOffset>
                  </wp:positionH>
                  <wp:positionV relativeFrom="paragraph">
                    <wp:posOffset>135255</wp:posOffset>
                  </wp:positionV>
                  <wp:extent cx="2604770" cy="1594485"/>
                  <wp:effectExtent l="0" t="0" r="0" b="0"/>
                  <wp:wrapSquare wrapText="bothSides"/>
                  <wp:docPr id="62"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4770" cy="15944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6457E" w:rsidRPr="007F78CE" w14:paraId="40F58614" w14:textId="77777777" w:rsidTr="007F78CE">
        <w:tc>
          <w:tcPr>
            <w:tcW w:w="4606" w:type="dxa"/>
            <w:shd w:val="clear" w:color="auto" w:fill="auto"/>
          </w:tcPr>
          <w:p w14:paraId="64DFC99D" w14:textId="77777777" w:rsidR="0016457E" w:rsidRPr="007F78CE" w:rsidRDefault="00C7287F" w:rsidP="007F78CE">
            <w:pPr>
              <w:spacing w:after="0" w:line="240" w:lineRule="auto"/>
              <w:jc w:val="center"/>
              <w:rPr>
                <w:rFonts w:ascii="Arial" w:hAnsi="Arial" w:cs="Arial"/>
              </w:rPr>
            </w:pPr>
            <w:r w:rsidRPr="007F78CE">
              <w:rPr>
                <w:rFonts w:ascii="Arial" w:hAnsi="Arial" w:cs="Arial"/>
                <w:sz w:val="20"/>
              </w:rPr>
              <w:t>Mar</w:t>
            </w:r>
            <w:r w:rsidR="009D1B89">
              <w:rPr>
                <w:rFonts w:ascii="Arial" w:hAnsi="Arial" w:cs="Arial"/>
                <w:sz w:val="20"/>
              </w:rPr>
              <w:t>é</w:t>
            </w:r>
            <w:r w:rsidRPr="007F78CE">
              <w:rPr>
                <w:rFonts w:ascii="Arial" w:hAnsi="Arial" w:cs="Arial"/>
                <w:sz w:val="20"/>
              </w:rPr>
              <w:t xml:space="preserve">cage à </w:t>
            </w:r>
            <w:r w:rsidRPr="007F78CE">
              <w:rPr>
                <w:rFonts w:ascii="Arial" w:hAnsi="Arial" w:cs="Arial"/>
                <w:i/>
                <w:sz w:val="20"/>
              </w:rPr>
              <w:t>Nymphea sp</w:t>
            </w:r>
            <w:r w:rsidRPr="007F78CE">
              <w:rPr>
                <w:rFonts w:ascii="Arial" w:hAnsi="Arial" w:cs="Arial"/>
                <w:sz w:val="20"/>
              </w:rPr>
              <w:t xml:space="preserve"> et </w:t>
            </w:r>
            <w:r w:rsidRPr="007F78CE">
              <w:rPr>
                <w:rFonts w:ascii="Arial" w:hAnsi="Arial" w:cs="Arial"/>
                <w:i/>
                <w:sz w:val="20"/>
              </w:rPr>
              <w:t>Cyperus sp</w:t>
            </w:r>
          </w:p>
        </w:tc>
        <w:tc>
          <w:tcPr>
            <w:tcW w:w="4606" w:type="dxa"/>
            <w:shd w:val="clear" w:color="auto" w:fill="auto"/>
          </w:tcPr>
          <w:p w14:paraId="78466DF7" w14:textId="77777777" w:rsidR="0016457E" w:rsidRPr="007F78CE" w:rsidRDefault="00C7287F" w:rsidP="007F78CE">
            <w:pPr>
              <w:spacing w:after="0" w:line="240" w:lineRule="auto"/>
              <w:jc w:val="center"/>
              <w:rPr>
                <w:rFonts w:ascii="Arial" w:hAnsi="Arial" w:cs="Arial"/>
              </w:rPr>
            </w:pPr>
            <w:r w:rsidRPr="007F78CE">
              <w:rPr>
                <w:rFonts w:ascii="Arial" w:hAnsi="Arial" w:cs="Arial"/>
                <w:sz w:val="20"/>
              </w:rPr>
              <w:t xml:space="preserve">Marécage à </w:t>
            </w:r>
            <w:r w:rsidRPr="007F78CE">
              <w:rPr>
                <w:rFonts w:ascii="Arial" w:hAnsi="Arial" w:cs="Arial"/>
                <w:i/>
                <w:sz w:val="20"/>
              </w:rPr>
              <w:t>Hydrocotyle sp</w:t>
            </w:r>
          </w:p>
        </w:tc>
      </w:tr>
    </w:tbl>
    <w:p w14:paraId="26259618" w14:textId="77777777" w:rsidR="0016457E" w:rsidRDefault="0016457E" w:rsidP="0009159F">
      <w:pPr>
        <w:jc w:val="both"/>
        <w:rPr>
          <w:rFonts w:ascii="Arial" w:hAnsi="Arial" w:cs="Arial"/>
        </w:rPr>
      </w:pPr>
    </w:p>
    <w:p w14:paraId="0AFBCE9E" w14:textId="77777777" w:rsidR="00382606" w:rsidRDefault="00382606" w:rsidP="00327DB6">
      <w:pPr>
        <w:pStyle w:val="Lgende"/>
        <w:jc w:val="center"/>
      </w:pPr>
      <w:bookmarkStart w:id="337" w:name="_Toc125409954"/>
      <w:r>
        <w:t xml:space="preserve">Photo </w:t>
      </w:r>
      <w:r>
        <w:fldChar w:fldCharType="begin"/>
      </w:r>
      <w:r>
        <w:instrText xml:space="preserve"> SEQ Photo \* ARABIC </w:instrText>
      </w:r>
      <w:r>
        <w:fldChar w:fldCharType="separate"/>
      </w:r>
      <w:r>
        <w:rPr>
          <w:noProof/>
        </w:rPr>
        <w:t>1</w:t>
      </w:r>
      <w:r>
        <w:fldChar w:fldCharType="end"/>
      </w:r>
      <w:r>
        <w:t xml:space="preserve">: </w:t>
      </w:r>
      <w:r w:rsidRPr="0049317B">
        <w:t>Différents types de marécage</w:t>
      </w:r>
      <w:bookmarkEnd w:id="337"/>
    </w:p>
    <w:p w14:paraId="79324A34" w14:textId="77777777" w:rsidR="00AA4A90" w:rsidRPr="00B942FB" w:rsidRDefault="00B942FB" w:rsidP="0044500E">
      <w:pPr>
        <w:pStyle w:val="Paragraphedeliste"/>
        <w:numPr>
          <w:ilvl w:val="0"/>
          <w:numId w:val="183"/>
        </w:numPr>
        <w:spacing w:before="120" w:line="240" w:lineRule="auto"/>
        <w:ind w:left="714" w:hanging="357"/>
        <w:rPr>
          <w:rFonts w:ascii="Arial" w:eastAsia="Times New Roman" w:hAnsi="Arial" w:cs="Arial"/>
          <w:b/>
          <w:bCs/>
          <w:color w:val="222222"/>
          <w:lang w:eastAsia="fr-FR"/>
        </w:rPr>
      </w:pPr>
      <w:r w:rsidRPr="00B942FB">
        <w:rPr>
          <w:rFonts w:ascii="Arial" w:eastAsia="Times New Roman" w:hAnsi="Arial" w:cs="Arial"/>
          <w:b/>
          <w:bCs/>
          <w:color w:val="222222"/>
          <w:lang w:eastAsia="fr-FR"/>
        </w:rPr>
        <w:t xml:space="preserve">Formation savanicole </w:t>
      </w:r>
    </w:p>
    <w:p w14:paraId="19559FAF" w14:textId="77777777" w:rsidR="00B942FB" w:rsidRPr="00B942FB" w:rsidRDefault="00B942FB" w:rsidP="00B942FB">
      <w:pPr>
        <w:jc w:val="both"/>
        <w:rPr>
          <w:rFonts w:ascii="Arial" w:hAnsi="Arial" w:cs="Arial"/>
        </w:rPr>
      </w:pPr>
      <w:r w:rsidRPr="00B942FB">
        <w:rPr>
          <w:rFonts w:ascii="Arial" w:hAnsi="Arial" w:cs="Arial"/>
        </w:rPr>
        <w:t xml:space="preserve">Les savanes sont largement représentées à Madagascar puisqu’elles couvrent 70% du territoire. </w:t>
      </w:r>
      <w:r w:rsidR="002E3D83">
        <w:rPr>
          <w:rFonts w:ascii="Arial" w:hAnsi="Arial" w:cs="Arial"/>
        </w:rPr>
        <w:t>L</w:t>
      </w:r>
      <w:r w:rsidRPr="00B942FB">
        <w:rPr>
          <w:rFonts w:ascii="Arial" w:hAnsi="Arial" w:cs="Arial"/>
        </w:rPr>
        <w:t xml:space="preserve">es savanes sont </w:t>
      </w:r>
      <w:r w:rsidR="00166A3C">
        <w:rPr>
          <w:rFonts w:ascii="Arial" w:hAnsi="Arial" w:cs="Arial"/>
        </w:rPr>
        <w:t xml:space="preserve">caractérisées par sa </w:t>
      </w:r>
      <w:r w:rsidRPr="00B942FB">
        <w:rPr>
          <w:rFonts w:ascii="Arial" w:hAnsi="Arial" w:cs="Arial"/>
        </w:rPr>
        <w:t xml:space="preserve">pauvreté floristique (moins de 5% de la biodiversité) et </w:t>
      </w:r>
      <w:r w:rsidR="00166A3C">
        <w:rPr>
          <w:rFonts w:ascii="Arial" w:hAnsi="Arial" w:cs="Arial"/>
        </w:rPr>
        <w:t>son</w:t>
      </w:r>
      <w:r w:rsidR="00166A3C" w:rsidRPr="00B942FB">
        <w:rPr>
          <w:rFonts w:ascii="Arial" w:hAnsi="Arial" w:cs="Arial"/>
        </w:rPr>
        <w:t xml:space="preserve"> </w:t>
      </w:r>
      <w:r w:rsidRPr="00B942FB">
        <w:rPr>
          <w:rFonts w:ascii="Arial" w:hAnsi="Arial" w:cs="Arial"/>
        </w:rPr>
        <w:t>homogénéité physionomique. 72% des savanes à Madagascar sont localisées dans la région occidentale et 20% dans la région orientale. En haute altitude (&gt; 1800 m), les savanes sont rares (0,5 %). La grande majorité (68%) se situe entre 0 – 800 m (basse altitude) et 32% entre 800 et 1800 m d’altitude.</w:t>
      </w:r>
    </w:p>
    <w:p w14:paraId="04DBBA8B" w14:textId="77777777" w:rsidR="00B942FB" w:rsidRPr="00B942FB" w:rsidRDefault="00B942FB" w:rsidP="00B942FB">
      <w:pPr>
        <w:jc w:val="both"/>
        <w:rPr>
          <w:rFonts w:ascii="Arial" w:hAnsi="Arial" w:cs="Arial"/>
        </w:rPr>
      </w:pPr>
      <w:r w:rsidRPr="00B942FB">
        <w:rPr>
          <w:rFonts w:ascii="Arial" w:hAnsi="Arial" w:cs="Arial"/>
        </w:rPr>
        <w:t xml:space="preserve">Les savanes sont constituées d’une mosaïque de formations herbeuses boisées ou buissonnantes selon le type de végétation dominante. Cette formation végétale domine les hauts plateaux mais s’étend jusqu’à l’ouest et au nord. Elle est dominée par des espèces de la famille des POACEAE comme </w:t>
      </w:r>
      <w:r w:rsidRPr="00B942FB">
        <w:rPr>
          <w:rFonts w:ascii="Arial" w:hAnsi="Arial" w:cs="Arial"/>
          <w:i/>
        </w:rPr>
        <w:t xml:space="preserve">Aristida rufescens, Hyparrhenia ssp, Heteropogon contortus, Loudetia simplex, Ctenium concinnum </w:t>
      </w:r>
      <w:r w:rsidRPr="00B434A6">
        <w:rPr>
          <w:rFonts w:ascii="Arial" w:hAnsi="Arial" w:cs="Arial"/>
          <w:iCs/>
        </w:rPr>
        <w:t xml:space="preserve">et parsemée par des espèces arbustives </w:t>
      </w:r>
      <w:r w:rsidRPr="00B434A6">
        <w:rPr>
          <w:rFonts w:ascii="Arial" w:hAnsi="Arial" w:cs="Arial"/>
          <w:iCs/>
        </w:rPr>
        <w:lastRenderedPageBreak/>
        <w:t>telles que</w:t>
      </w:r>
      <w:r w:rsidRPr="00B942FB">
        <w:rPr>
          <w:rFonts w:ascii="Arial" w:hAnsi="Arial" w:cs="Arial"/>
          <w:i/>
        </w:rPr>
        <w:t xml:space="preserve"> Stereospermum euphorioides, Sclerocarya birrea, Gymnosporia longifolia, Dicoma incana </w:t>
      </w:r>
      <w:r w:rsidRPr="00B434A6">
        <w:rPr>
          <w:rFonts w:ascii="Arial" w:hAnsi="Arial" w:cs="Arial"/>
          <w:iCs/>
        </w:rPr>
        <w:t>et</w:t>
      </w:r>
      <w:r w:rsidRPr="00B942FB">
        <w:rPr>
          <w:rFonts w:ascii="Arial" w:hAnsi="Arial" w:cs="Arial"/>
          <w:i/>
        </w:rPr>
        <w:t xml:space="preserve"> Acridocarpus excelsus</w:t>
      </w:r>
      <w:r w:rsidRPr="00B942FB">
        <w:rPr>
          <w:rFonts w:ascii="Arial" w:hAnsi="Arial" w:cs="Arial"/>
        </w:rPr>
        <w:t>.</w:t>
      </w:r>
    </w:p>
    <w:p w14:paraId="7C902249" w14:textId="77777777" w:rsidR="00B942FB" w:rsidRPr="00B942FB" w:rsidRDefault="00B942FB" w:rsidP="00B942FB">
      <w:pPr>
        <w:jc w:val="both"/>
        <w:rPr>
          <w:rFonts w:ascii="Arial" w:hAnsi="Arial" w:cs="Arial"/>
        </w:rPr>
      </w:pPr>
      <w:r w:rsidRPr="00B942FB">
        <w:rPr>
          <w:rFonts w:ascii="Arial" w:hAnsi="Arial" w:cs="Arial"/>
        </w:rPr>
        <w:t xml:space="preserve">Pour les savanes arborées et arbustives, elles abritent quelques vestiges de la série à </w:t>
      </w:r>
      <w:r w:rsidRPr="00B942FB">
        <w:rPr>
          <w:rFonts w:ascii="Arial" w:hAnsi="Arial" w:cs="Arial"/>
          <w:i/>
        </w:rPr>
        <w:t>Weinmannia</w:t>
      </w:r>
      <w:r w:rsidRPr="00B942FB">
        <w:rPr>
          <w:rFonts w:ascii="Arial" w:hAnsi="Arial" w:cs="Arial"/>
        </w:rPr>
        <w:t xml:space="preserve"> et </w:t>
      </w:r>
      <w:r w:rsidRPr="00B942FB">
        <w:rPr>
          <w:rFonts w:ascii="Arial" w:hAnsi="Arial" w:cs="Arial"/>
          <w:i/>
        </w:rPr>
        <w:t>Tambourissa</w:t>
      </w:r>
      <w:r w:rsidRPr="00B942FB">
        <w:rPr>
          <w:rFonts w:ascii="Arial" w:hAnsi="Arial" w:cs="Arial"/>
        </w:rPr>
        <w:t xml:space="preserve"> sur les Hautes Terres Centrales de l’</w:t>
      </w:r>
      <w:r w:rsidR="00801D80">
        <w:rPr>
          <w:rFonts w:ascii="Arial" w:hAnsi="Arial" w:cs="Arial"/>
        </w:rPr>
        <w:t>î</w:t>
      </w:r>
      <w:r w:rsidRPr="00B942FB">
        <w:rPr>
          <w:rFonts w:ascii="Arial" w:hAnsi="Arial" w:cs="Arial"/>
        </w:rPr>
        <w:t xml:space="preserve">le (surtout dans les vallées). Ce type d’écosystème est qualifié de pyroclimacique par le fait qu’il est fortement modelé par les passages fréquents des feux pour le renouvellement des pâturages et le défrichement des champs de cultures. En haute montagne, les genres floristiques caractéristiques y sont </w:t>
      </w:r>
      <w:r w:rsidRPr="00B434A6">
        <w:rPr>
          <w:rFonts w:ascii="Arial" w:hAnsi="Arial" w:cs="Arial"/>
          <w:i/>
          <w:iCs/>
        </w:rPr>
        <w:t>Erica</w:t>
      </w:r>
      <w:r w:rsidRPr="00B942FB">
        <w:rPr>
          <w:rFonts w:ascii="Arial" w:hAnsi="Arial" w:cs="Arial"/>
        </w:rPr>
        <w:t xml:space="preserve">, </w:t>
      </w:r>
      <w:r w:rsidRPr="00B942FB">
        <w:rPr>
          <w:rFonts w:ascii="Arial" w:hAnsi="Arial" w:cs="Arial"/>
          <w:i/>
        </w:rPr>
        <w:t>Helichrysum, Cynorkis, Vernonia, Psiadia, Vitex</w:t>
      </w:r>
      <w:r w:rsidRPr="00B942FB">
        <w:rPr>
          <w:rFonts w:ascii="Arial" w:hAnsi="Arial" w:cs="Arial"/>
        </w:rPr>
        <w:t xml:space="preserve">, entre autres. </w:t>
      </w:r>
    </w:p>
    <w:p w14:paraId="408048C6" w14:textId="77777777" w:rsidR="00B942FB" w:rsidRPr="00B942FB" w:rsidRDefault="00B942FB" w:rsidP="00B942FB">
      <w:pPr>
        <w:jc w:val="both"/>
        <w:rPr>
          <w:rFonts w:ascii="Arial" w:hAnsi="Arial" w:cs="Arial"/>
        </w:rPr>
      </w:pPr>
      <w:r w:rsidRPr="00B942FB">
        <w:rPr>
          <w:rFonts w:ascii="Arial" w:hAnsi="Arial" w:cs="Arial"/>
        </w:rPr>
        <w:t xml:space="preserve">Sur les hautes terres, les savanes sont aménagées pour la mise en place d’une végétation ligneuse représentée particulièrement par des plantations forestières avec des espèces introduites du genre </w:t>
      </w:r>
      <w:r w:rsidRPr="00B434A6">
        <w:rPr>
          <w:rFonts w:ascii="Arial" w:hAnsi="Arial" w:cs="Arial"/>
          <w:i/>
          <w:iCs/>
        </w:rPr>
        <w:t>Pinus, Eucalyptus et Acacia</w:t>
      </w:r>
      <w:r w:rsidRPr="00B942FB">
        <w:rPr>
          <w:rFonts w:ascii="Arial" w:hAnsi="Arial" w:cs="Arial"/>
        </w:rPr>
        <w:t>.</w:t>
      </w:r>
    </w:p>
    <w:p w14:paraId="1474B052" w14:textId="77777777" w:rsidR="00B942FB" w:rsidRPr="00B942FB" w:rsidRDefault="00B942FB" w:rsidP="00B942FB">
      <w:pPr>
        <w:jc w:val="both"/>
        <w:rPr>
          <w:rFonts w:ascii="Arial" w:hAnsi="Arial" w:cs="Arial"/>
        </w:rPr>
      </w:pPr>
      <w:r w:rsidRPr="00B942FB">
        <w:rPr>
          <w:rFonts w:ascii="Arial" w:hAnsi="Arial" w:cs="Arial"/>
        </w:rPr>
        <w:t>Dans l’</w:t>
      </w:r>
      <w:r w:rsidR="00030978">
        <w:rPr>
          <w:rFonts w:ascii="Arial" w:hAnsi="Arial" w:cs="Arial"/>
        </w:rPr>
        <w:t>O</w:t>
      </w:r>
      <w:r w:rsidRPr="00B942FB">
        <w:rPr>
          <w:rFonts w:ascii="Arial" w:hAnsi="Arial" w:cs="Arial"/>
        </w:rPr>
        <w:t xml:space="preserve">uest, la composante ligneuse des savanes est dominée par </w:t>
      </w:r>
      <w:r w:rsidRPr="00B942FB">
        <w:rPr>
          <w:rFonts w:ascii="Arial" w:hAnsi="Arial" w:cs="Arial"/>
          <w:i/>
        </w:rPr>
        <w:t>Tamarindus indica, Stereospermum euphorioides, Poupartia caffra, Ziziphus spp</w:t>
      </w:r>
      <w:r w:rsidRPr="00B942FB">
        <w:rPr>
          <w:rFonts w:ascii="Arial" w:hAnsi="Arial" w:cs="Arial"/>
        </w:rPr>
        <w:t xml:space="preserve"> ainsi que des espèces de palmiers telles </w:t>
      </w:r>
      <w:r w:rsidRPr="00B942FB">
        <w:rPr>
          <w:rFonts w:ascii="Arial" w:hAnsi="Arial" w:cs="Arial"/>
          <w:i/>
        </w:rPr>
        <w:t>Bismarkia nobilis et Hyphaene shatan</w:t>
      </w:r>
      <w:r w:rsidRPr="00B942FB">
        <w:rPr>
          <w:rFonts w:ascii="Arial" w:hAnsi="Arial" w:cs="Arial"/>
        </w:rPr>
        <w:t>.</w:t>
      </w:r>
    </w:p>
    <w:p w14:paraId="5B9CEBD7" w14:textId="77777777" w:rsidR="00B942FB" w:rsidRDefault="00B942FB" w:rsidP="00B942FB">
      <w:pPr>
        <w:jc w:val="both"/>
        <w:rPr>
          <w:rFonts w:ascii="Arial" w:hAnsi="Arial" w:cs="Arial"/>
        </w:rPr>
      </w:pPr>
      <w:r w:rsidRPr="00B942FB">
        <w:rPr>
          <w:rFonts w:ascii="Arial" w:hAnsi="Arial" w:cs="Arial"/>
        </w:rPr>
        <w:t>Contrairement aux formations forestières, les formations savanicoles se trouvent très proches des villages sur les versants des montagnes. Ainsi, les savanes jouent un rôle économique majeur car elles assurent l'essentiel de l'alimentation des troupeaux dans les systèmes d'élevage extensif</w:t>
      </w:r>
      <w:r>
        <w:rPr>
          <w:rFonts w:ascii="Arial" w:hAnsi="Arial" w:cs="Arial"/>
        </w:rPr>
        <w:t>.</w:t>
      </w:r>
    </w:p>
    <w:tbl>
      <w:tblPr>
        <w:tblW w:w="0" w:type="auto"/>
        <w:tblLook w:val="04A0" w:firstRow="1" w:lastRow="0" w:firstColumn="1" w:lastColumn="0" w:noHBand="0" w:noVBand="1"/>
      </w:tblPr>
      <w:tblGrid>
        <w:gridCol w:w="9072"/>
      </w:tblGrid>
      <w:tr w:rsidR="00F966B6" w:rsidRPr="007F78CE" w14:paraId="49B82F57" w14:textId="77777777" w:rsidTr="007F78CE">
        <w:tc>
          <w:tcPr>
            <w:tcW w:w="9212" w:type="dxa"/>
            <w:shd w:val="clear" w:color="auto" w:fill="auto"/>
          </w:tcPr>
          <w:p w14:paraId="2E107DD5" w14:textId="6940FBCD" w:rsidR="00F966B6" w:rsidRPr="007F78CE" w:rsidRDefault="00E97ECD" w:rsidP="007F78CE">
            <w:pPr>
              <w:spacing w:after="0" w:line="240" w:lineRule="auto"/>
              <w:jc w:val="center"/>
              <w:rPr>
                <w:rFonts w:ascii="Arial" w:hAnsi="Arial" w:cs="Arial"/>
              </w:rPr>
            </w:pPr>
            <w:r w:rsidRPr="00FB04F6">
              <w:rPr>
                <w:rFonts w:ascii="Arial" w:hAnsi="Arial" w:cs="Arial"/>
                <w:noProof/>
                <w:lang w:eastAsia="fr-FR"/>
              </w:rPr>
              <w:drawing>
                <wp:inline distT="0" distB="0" distL="0" distR="0" wp14:anchorId="6F999492" wp14:editId="46DB61BA">
                  <wp:extent cx="5314950" cy="2162175"/>
                  <wp:effectExtent l="0" t="0" r="0" b="0"/>
                  <wp:docPr id="24" name="Image 268" descr="Description : F:\DECIM\Photo Terrain Tsiroanomandidy december 2022\PANO_20221219_08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8" descr="Description : F:\DECIM\Photo Terrain Tsiroanomandidy december 2022\PANO_20221219_08064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14950" cy="2162175"/>
                          </a:xfrm>
                          <a:prstGeom prst="rect">
                            <a:avLst/>
                          </a:prstGeom>
                          <a:noFill/>
                          <a:ln>
                            <a:noFill/>
                          </a:ln>
                        </pic:spPr>
                      </pic:pic>
                    </a:graphicData>
                  </a:graphic>
                </wp:inline>
              </w:drawing>
            </w:r>
          </w:p>
        </w:tc>
      </w:tr>
    </w:tbl>
    <w:p w14:paraId="39FD0A14" w14:textId="77777777" w:rsidR="00382606" w:rsidRDefault="00382606" w:rsidP="00327DB6">
      <w:bookmarkStart w:id="338" w:name="_Toc124312668"/>
      <w:bookmarkStart w:id="339" w:name="_Toc124314662"/>
      <w:bookmarkStart w:id="340" w:name="_Toc124956140"/>
      <w:bookmarkStart w:id="341" w:name="_Toc125384539"/>
      <w:bookmarkStart w:id="342" w:name="_Toc125384928"/>
      <w:bookmarkEnd w:id="338"/>
    </w:p>
    <w:p w14:paraId="3B786334" w14:textId="77777777" w:rsidR="00382606" w:rsidRDefault="00382606" w:rsidP="00327DB6">
      <w:pPr>
        <w:pStyle w:val="Lgende"/>
        <w:jc w:val="center"/>
      </w:pPr>
      <w:bookmarkStart w:id="343" w:name="_Toc125409955"/>
      <w:r>
        <w:t xml:space="preserve">Photo </w:t>
      </w:r>
      <w:r>
        <w:fldChar w:fldCharType="begin"/>
      </w:r>
      <w:r>
        <w:instrText xml:space="preserve"> SEQ Photo \* ARABIC </w:instrText>
      </w:r>
      <w:r>
        <w:fldChar w:fldCharType="separate"/>
      </w:r>
      <w:r>
        <w:rPr>
          <w:noProof/>
        </w:rPr>
        <w:t>2</w:t>
      </w:r>
      <w:r>
        <w:fldChar w:fldCharType="end"/>
      </w:r>
      <w:r>
        <w:t xml:space="preserve">: </w:t>
      </w:r>
      <w:r w:rsidRPr="007902CB">
        <w:t>Formation savanicole des hautes terres</w:t>
      </w:r>
      <w:bookmarkEnd w:id="343"/>
    </w:p>
    <w:p w14:paraId="148295BD" w14:textId="77777777" w:rsidR="00B942FB" w:rsidRPr="00B942FB" w:rsidRDefault="00B942FB" w:rsidP="0044500E">
      <w:pPr>
        <w:pStyle w:val="TIT40"/>
        <w:numPr>
          <w:ilvl w:val="3"/>
          <w:numId w:val="177"/>
        </w:numPr>
        <w:outlineLvl w:val="3"/>
      </w:pPr>
      <w:bookmarkStart w:id="344" w:name="_Toc127957600"/>
      <w:r w:rsidRPr="00B942FB">
        <w:t>Habitats modifiés</w:t>
      </w:r>
      <w:bookmarkEnd w:id="339"/>
      <w:bookmarkEnd w:id="340"/>
      <w:bookmarkEnd w:id="341"/>
      <w:bookmarkEnd w:id="342"/>
      <w:bookmarkEnd w:id="344"/>
      <w:r w:rsidRPr="00B942FB">
        <w:t xml:space="preserve"> </w:t>
      </w:r>
    </w:p>
    <w:p w14:paraId="70B730F3" w14:textId="77777777" w:rsidR="00B942FB" w:rsidRPr="00B942FB" w:rsidRDefault="00B942FB" w:rsidP="00687DD2">
      <w:pPr>
        <w:pStyle w:val="Paragraphedeliste"/>
        <w:numPr>
          <w:ilvl w:val="0"/>
          <w:numId w:val="39"/>
        </w:numPr>
        <w:spacing w:before="120" w:line="240" w:lineRule="auto"/>
        <w:rPr>
          <w:rFonts w:ascii="Arial" w:eastAsia="Times New Roman" w:hAnsi="Arial" w:cs="Arial"/>
          <w:b/>
          <w:bCs/>
          <w:color w:val="222222"/>
          <w:lang w:eastAsia="fr-FR"/>
        </w:rPr>
      </w:pPr>
      <w:r w:rsidRPr="00B942FB">
        <w:rPr>
          <w:rFonts w:ascii="Arial" w:eastAsia="Times New Roman" w:hAnsi="Arial" w:cs="Arial"/>
          <w:b/>
          <w:bCs/>
          <w:color w:val="222222"/>
          <w:lang w:eastAsia="fr-FR"/>
        </w:rPr>
        <w:t xml:space="preserve">Reboisement </w:t>
      </w:r>
    </w:p>
    <w:p w14:paraId="3EDDCA72" w14:textId="77777777" w:rsidR="006C4CB8" w:rsidRPr="00B942FB" w:rsidRDefault="00B942FB" w:rsidP="006C4CB8">
      <w:pPr>
        <w:jc w:val="both"/>
        <w:rPr>
          <w:rFonts w:ascii="Arial" w:hAnsi="Arial" w:cs="Arial"/>
        </w:rPr>
      </w:pPr>
      <w:r>
        <w:rPr>
          <w:rFonts w:ascii="Arial" w:hAnsi="Arial" w:cs="Arial"/>
        </w:rPr>
        <w:t>Il s’agit d’une formation mono spécifique constituée par des essences forestières introduite</w:t>
      </w:r>
      <w:r w:rsidR="00030978">
        <w:rPr>
          <w:rFonts w:ascii="Arial" w:hAnsi="Arial" w:cs="Arial"/>
        </w:rPr>
        <w:t>s</w:t>
      </w:r>
      <w:r>
        <w:rPr>
          <w:rFonts w:ascii="Arial" w:hAnsi="Arial" w:cs="Arial"/>
        </w:rPr>
        <w:t xml:space="preserve"> comme le genre </w:t>
      </w:r>
      <w:r w:rsidRPr="00B942FB">
        <w:rPr>
          <w:rFonts w:ascii="Arial" w:hAnsi="Arial" w:cs="Arial"/>
          <w:i/>
        </w:rPr>
        <w:t>Pinus, Eucalyptus et Acacia</w:t>
      </w:r>
      <w:r>
        <w:rPr>
          <w:rFonts w:ascii="Arial" w:hAnsi="Arial" w:cs="Arial"/>
        </w:rPr>
        <w:t xml:space="preserve">. Le reboisement est effectué afin de combler les gaps </w:t>
      </w:r>
      <w:r w:rsidR="006C4CB8">
        <w:rPr>
          <w:rFonts w:ascii="Arial" w:hAnsi="Arial" w:cs="Arial"/>
        </w:rPr>
        <w:t xml:space="preserve">laissés par la déforestation. Selon </w:t>
      </w:r>
      <w:r w:rsidR="00AB71B4">
        <w:rPr>
          <w:rFonts w:ascii="Arial" w:hAnsi="Arial" w:cs="Arial"/>
        </w:rPr>
        <w:t>MEF</w:t>
      </w:r>
      <w:r w:rsidR="006C4CB8">
        <w:rPr>
          <w:rFonts w:ascii="Arial" w:hAnsi="Arial" w:cs="Arial"/>
        </w:rPr>
        <w:t xml:space="preserve"> en 2018</w:t>
      </w:r>
      <w:r w:rsidR="006C4CB8">
        <w:rPr>
          <w:rStyle w:val="Appelnotedebasdep"/>
          <w:rFonts w:ascii="Arial" w:hAnsi="Arial" w:cs="Arial"/>
        </w:rPr>
        <w:footnoteReference w:id="35"/>
      </w:r>
      <w:r w:rsidR="006C4CB8">
        <w:rPr>
          <w:rFonts w:ascii="Arial" w:hAnsi="Arial" w:cs="Arial"/>
        </w:rPr>
        <w:t xml:space="preserve">, </w:t>
      </w:r>
      <w:r w:rsidR="009175BB">
        <w:rPr>
          <w:rFonts w:ascii="Arial" w:hAnsi="Arial" w:cs="Arial"/>
        </w:rPr>
        <w:t>l</w:t>
      </w:r>
      <w:r w:rsidR="006C4CB8" w:rsidRPr="00B942FB">
        <w:rPr>
          <w:rFonts w:ascii="Arial" w:hAnsi="Arial" w:cs="Arial"/>
        </w:rPr>
        <w:t>es forêts de reboisement réparties dans le pays ne comptent actuellement q</w:t>
      </w:r>
      <w:r w:rsidR="006C4CB8">
        <w:rPr>
          <w:rFonts w:ascii="Arial" w:hAnsi="Arial" w:cs="Arial"/>
        </w:rPr>
        <w:t xml:space="preserve">u’une superficie de 415 000 ha. </w:t>
      </w:r>
      <w:r w:rsidR="009175BB">
        <w:rPr>
          <w:rFonts w:ascii="Arial" w:hAnsi="Arial" w:cs="Arial"/>
        </w:rPr>
        <w:t>L</w:t>
      </w:r>
      <w:r w:rsidR="006C4CB8">
        <w:rPr>
          <w:rFonts w:ascii="Arial" w:hAnsi="Arial" w:cs="Arial"/>
        </w:rPr>
        <w:t xml:space="preserve">es </w:t>
      </w:r>
      <w:r w:rsidR="006C4CB8">
        <w:rPr>
          <w:rFonts w:ascii="Arial" w:hAnsi="Arial" w:cs="Arial"/>
        </w:rPr>
        <w:lastRenderedPageBreak/>
        <w:t xml:space="preserve">reboisements sont surtout localisés dans </w:t>
      </w:r>
      <w:r w:rsidR="009175BB">
        <w:rPr>
          <w:rFonts w:ascii="Arial" w:hAnsi="Arial" w:cs="Arial"/>
        </w:rPr>
        <w:t>les r</w:t>
      </w:r>
      <w:r w:rsidR="006C4CB8">
        <w:rPr>
          <w:rFonts w:ascii="Arial" w:hAnsi="Arial" w:cs="Arial"/>
        </w:rPr>
        <w:t>égion</w:t>
      </w:r>
      <w:r w:rsidR="009175BB">
        <w:rPr>
          <w:rFonts w:ascii="Arial" w:hAnsi="Arial" w:cs="Arial"/>
        </w:rPr>
        <w:t>s</w:t>
      </w:r>
      <w:r w:rsidR="006C4CB8">
        <w:rPr>
          <w:rFonts w:ascii="Arial" w:hAnsi="Arial" w:cs="Arial"/>
        </w:rPr>
        <w:t xml:space="preserve"> Analamanga, Vakinakaratra, Alaotra Mangoro, DIANA, Amoron’</w:t>
      </w:r>
      <w:r w:rsidR="003D6C53">
        <w:rPr>
          <w:rFonts w:ascii="Arial" w:hAnsi="Arial" w:cs="Arial"/>
        </w:rPr>
        <w:t>i</w:t>
      </w:r>
      <w:r w:rsidR="006C4CB8">
        <w:rPr>
          <w:rFonts w:ascii="Arial" w:hAnsi="Arial" w:cs="Arial"/>
        </w:rPr>
        <w:t xml:space="preserve"> Mania et Haute Matsiatra. </w:t>
      </w:r>
    </w:p>
    <w:p w14:paraId="5DAC4E1B" w14:textId="77777777" w:rsidR="006C4CB8" w:rsidRDefault="006C4CB8" w:rsidP="00B942FB">
      <w:pPr>
        <w:jc w:val="both"/>
        <w:rPr>
          <w:rFonts w:ascii="Arial" w:hAnsi="Arial" w:cs="Arial"/>
        </w:rPr>
      </w:pPr>
      <w:r>
        <w:rPr>
          <w:rFonts w:ascii="Arial" w:hAnsi="Arial" w:cs="Arial"/>
        </w:rPr>
        <w:t xml:space="preserve">Comme la population locale utilise ces bois comme bois d’énergie et bois d’œuvre, la zone de reboisement n’est pas éloignée des zones d’habitation. </w:t>
      </w:r>
    </w:p>
    <w:p w14:paraId="363D41B8" w14:textId="77777777" w:rsidR="00B942FB" w:rsidRPr="006C4CB8" w:rsidRDefault="006C4CB8" w:rsidP="00687DD2">
      <w:pPr>
        <w:pStyle w:val="Paragraphedeliste"/>
        <w:numPr>
          <w:ilvl w:val="0"/>
          <w:numId w:val="39"/>
        </w:numPr>
        <w:spacing w:before="120" w:line="240" w:lineRule="auto"/>
        <w:rPr>
          <w:rFonts w:ascii="Arial" w:eastAsia="Times New Roman" w:hAnsi="Arial" w:cs="Arial"/>
          <w:b/>
          <w:bCs/>
          <w:color w:val="222222"/>
          <w:lang w:eastAsia="fr-FR"/>
        </w:rPr>
      </w:pPr>
      <w:r w:rsidRPr="006C4CB8">
        <w:rPr>
          <w:rFonts w:ascii="Arial" w:eastAsia="Times New Roman" w:hAnsi="Arial" w:cs="Arial"/>
          <w:b/>
          <w:bCs/>
          <w:color w:val="222222"/>
          <w:lang w:eastAsia="fr-FR"/>
        </w:rPr>
        <w:t xml:space="preserve">Cultures </w:t>
      </w:r>
    </w:p>
    <w:p w14:paraId="670EF680" w14:textId="77777777" w:rsidR="006C4CB8" w:rsidRPr="00C7287F" w:rsidRDefault="006C4CB8" w:rsidP="006C4CB8">
      <w:pPr>
        <w:jc w:val="both"/>
        <w:rPr>
          <w:rFonts w:ascii="Arial" w:hAnsi="Arial" w:cs="Arial"/>
        </w:rPr>
      </w:pPr>
      <w:r w:rsidRPr="00C7287F">
        <w:rPr>
          <w:rFonts w:ascii="Arial" w:hAnsi="Arial" w:cs="Arial"/>
        </w:rPr>
        <w:t>La superficie totale des champs agricoles a été estimée à 23 522 km</w:t>
      </w:r>
      <w:r w:rsidRPr="00C7287F">
        <w:rPr>
          <w:rFonts w:ascii="Arial" w:hAnsi="Arial" w:cs="Arial"/>
          <w:vertAlign w:val="superscript"/>
        </w:rPr>
        <w:t>2</w:t>
      </w:r>
      <w:r w:rsidRPr="00C7287F">
        <w:rPr>
          <w:rFonts w:ascii="Arial" w:hAnsi="Arial" w:cs="Arial"/>
        </w:rPr>
        <w:t xml:space="preserve"> (Moat &amp; Smith, 2007)</w:t>
      </w:r>
      <w:r w:rsidRPr="00C7287F">
        <w:rPr>
          <w:rStyle w:val="Appelnotedebasdep"/>
          <w:rFonts w:ascii="Arial" w:hAnsi="Arial" w:cs="Arial"/>
        </w:rPr>
        <w:footnoteReference w:id="36"/>
      </w:r>
      <w:r w:rsidRPr="00C7287F">
        <w:rPr>
          <w:rFonts w:ascii="Arial" w:hAnsi="Arial" w:cs="Arial"/>
        </w:rPr>
        <w:t>. Le type d’agriculture pratiqué par les producteurs peut varier s</w:t>
      </w:r>
      <w:r w:rsidR="009175BB">
        <w:rPr>
          <w:rFonts w:ascii="Arial" w:hAnsi="Arial" w:cs="Arial"/>
        </w:rPr>
        <w:t>elon</w:t>
      </w:r>
      <w:r w:rsidRPr="00C7287F">
        <w:rPr>
          <w:rFonts w:ascii="Arial" w:hAnsi="Arial" w:cs="Arial"/>
        </w:rPr>
        <w:t xml:space="preserve"> les conditions climatiques et les types de sols. </w:t>
      </w:r>
    </w:p>
    <w:p w14:paraId="4413715B" w14:textId="77777777" w:rsidR="006C4CB8" w:rsidRPr="00C7287F" w:rsidRDefault="006C4CB8" w:rsidP="00687DD2">
      <w:pPr>
        <w:pStyle w:val="Paragraphedeliste"/>
        <w:numPr>
          <w:ilvl w:val="0"/>
          <w:numId w:val="16"/>
        </w:numPr>
        <w:jc w:val="both"/>
        <w:rPr>
          <w:rFonts w:ascii="Arial" w:hAnsi="Arial" w:cs="Arial"/>
        </w:rPr>
      </w:pPr>
      <w:r w:rsidRPr="00C7287F">
        <w:rPr>
          <w:rFonts w:ascii="Arial" w:hAnsi="Arial" w:cs="Arial"/>
        </w:rPr>
        <w:t xml:space="preserve">Sur la bande côtière </w:t>
      </w:r>
      <w:r w:rsidR="00030978">
        <w:rPr>
          <w:rFonts w:ascii="Arial" w:hAnsi="Arial" w:cs="Arial"/>
        </w:rPr>
        <w:t>E</w:t>
      </w:r>
      <w:r w:rsidRPr="00C7287F">
        <w:rPr>
          <w:rFonts w:ascii="Arial" w:hAnsi="Arial" w:cs="Arial"/>
        </w:rPr>
        <w:t>st, plutôt humide, on observe surtout les cultures pérennes de rente (arbres fruitiers tropicaux, vanilliers, poivriers, etc.) ;</w:t>
      </w:r>
    </w:p>
    <w:p w14:paraId="38F07644" w14:textId="77777777" w:rsidR="006C4CB8" w:rsidRPr="00C7287F" w:rsidRDefault="006C4CB8" w:rsidP="00687DD2">
      <w:pPr>
        <w:pStyle w:val="Paragraphedeliste"/>
        <w:numPr>
          <w:ilvl w:val="0"/>
          <w:numId w:val="16"/>
        </w:numPr>
        <w:jc w:val="both"/>
        <w:rPr>
          <w:rFonts w:ascii="Arial" w:hAnsi="Arial" w:cs="Arial"/>
        </w:rPr>
      </w:pPr>
      <w:r w:rsidRPr="00C7287F">
        <w:rPr>
          <w:rFonts w:ascii="Arial" w:hAnsi="Arial" w:cs="Arial"/>
        </w:rPr>
        <w:t xml:space="preserve">Dans </w:t>
      </w:r>
      <w:r w:rsidR="009175BB">
        <w:rPr>
          <w:rFonts w:ascii="Arial" w:hAnsi="Arial" w:cs="Arial"/>
        </w:rPr>
        <w:t>l</w:t>
      </w:r>
      <w:r w:rsidRPr="00C7287F">
        <w:rPr>
          <w:rFonts w:ascii="Arial" w:hAnsi="Arial" w:cs="Arial"/>
        </w:rPr>
        <w:t xml:space="preserve">es hauts plateaux centraux </w:t>
      </w:r>
      <w:r w:rsidR="002D5071">
        <w:rPr>
          <w:rFonts w:ascii="Arial" w:hAnsi="Arial" w:cs="Arial"/>
        </w:rPr>
        <w:t xml:space="preserve">qui </w:t>
      </w:r>
      <w:r w:rsidRPr="00C7287F">
        <w:rPr>
          <w:rFonts w:ascii="Arial" w:hAnsi="Arial" w:cs="Arial"/>
        </w:rPr>
        <w:t>sont des zones à climat tempéré</w:t>
      </w:r>
      <w:r w:rsidR="002D5071">
        <w:rPr>
          <w:rFonts w:ascii="Arial" w:hAnsi="Arial" w:cs="Arial"/>
        </w:rPr>
        <w:t>,</w:t>
      </w:r>
      <w:r w:rsidRPr="00C7287F">
        <w:rPr>
          <w:rFonts w:ascii="Arial" w:hAnsi="Arial" w:cs="Arial"/>
        </w:rPr>
        <w:t xml:space="preserve"> prédominent les cultures vivrières de base et les cultures fourragères destinées à l’élevage des ruminants ;</w:t>
      </w:r>
    </w:p>
    <w:p w14:paraId="7BF5F01B" w14:textId="77777777" w:rsidR="006C4CB8" w:rsidRPr="00C7287F" w:rsidRDefault="006C4CB8" w:rsidP="00687DD2">
      <w:pPr>
        <w:pStyle w:val="Paragraphedeliste"/>
        <w:numPr>
          <w:ilvl w:val="0"/>
          <w:numId w:val="16"/>
        </w:numPr>
        <w:jc w:val="both"/>
        <w:rPr>
          <w:rFonts w:ascii="Arial" w:hAnsi="Arial" w:cs="Arial"/>
        </w:rPr>
      </w:pPr>
      <w:r w:rsidRPr="00C7287F">
        <w:rPr>
          <w:rFonts w:ascii="Arial" w:hAnsi="Arial" w:cs="Arial"/>
        </w:rPr>
        <w:t>Dans l’Ouest et le Sud, avec un climat semi-aride à aride, les populations s’adonnent aux cultures sèches (manioc, patate douce, etc.) et, en période de décrues, elles profitent de l’humidité des berges inondables pour produire les cultures de subsistance à cycle court.</w:t>
      </w:r>
    </w:p>
    <w:p w14:paraId="2509411C" w14:textId="77777777" w:rsidR="006C4CB8" w:rsidRPr="00C7287F" w:rsidRDefault="006C4CB8" w:rsidP="006C4CB8">
      <w:pPr>
        <w:jc w:val="both"/>
        <w:rPr>
          <w:rFonts w:ascii="Arial" w:hAnsi="Arial" w:cs="Arial"/>
        </w:rPr>
      </w:pPr>
      <w:r w:rsidRPr="00C7287F">
        <w:rPr>
          <w:rFonts w:ascii="Arial" w:hAnsi="Arial" w:cs="Arial"/>
        </w:rPr>
        <w:t>Suivant la topographie du terrain, différents types d’écosystèmes agricoles peuvent être distingués :</w:t>
      </w:r>
    </w:p>
    <w:p w14:paraId="6F13880A" w14:textId="77777777" w:rsidR="006C4CB8" w:rsidRPr="00C7287F" w:rsidRDefault="006C4CB8" w:rsidP="00687DD2">
      <w:pPr>
        <w:pStyle w:val="Paragraphedeliste"/>
        <w:numPr>
          <w:ilvl w:val="0"/>
          <w:numId w:val="15"/>
        </w:numPr>
        <w:jc w:val="both"/>
        <w:rPr>
          <w:rFonts w:ascii="Arial" w:hAnsi="Arial" w:cs="Arial"/>
        </w:rPr>
      </w:pPr>
      <w:r w:rsidRPr="00C7287F">
        <w:rPr>
          <w:rFonts w:ascii="Arial" w:hAnsi="Arial" w:cs="Arial"/>
        </w:rPr>
        <w:t xml:space="preserve">Ecosystèmes agricoles dans les bas-fonds : riziculture en saison pluvieuse, cultures de contre-saison après le riz en saison sèche (pomme de terre, haricot-vert, diverses cultures </w:t>
      </w:r>
      <w:r w:rsidR="00801D80" w:rsidRPr="00C7287F">
        <w:rPr>
          <w:rFonts w:ascii="Arial" w:hAnsi="Arial" w:cs="Arial"/>
        </w:rPr>
        <w:t>mara</w:t>
      </w:r>
      <w:r w:rsidR="00801D80">
        <w:rPr>
          <w:rFonts w:ascii="Arial" w:hAnsi="Arial" w:cs="Arial"/>
        </w:rPr>
        <w:t>î</w:t>
      </w:r>
      <w:r w:rsidR="00801D80" w:rsidRPr="00C7287F">
        <w:rPr>
          <w:rFonts w:ascii="Arial" w:hAnsi="Arial" w:cs="Arial"/>
        </w:rPr>
        <w:t>chères</w:t>
      </w:r>
      <w:r w:rsidRPr="00C7287F">
        <w:rPr>
          <w:rFonts w:ascii="Arial" w:hAnsi="Arial" w:cs="Arial"/>
        </w:rPr>
        <w:t>, cultures fourragères, etc.) ;</w:t>
      </w:r>
    </w:p>
    <w:p w14:paraId="5B56E2AA" w14:textId="77777777" w:rsidR="006C4CB8" w:rsidRPr="00C7287F" w:rsidRDefault="006C4CB8" w:rsidP="00687DD2">
      <w:pPr>
        <w:pStyle w:val="Paragraphedeliste"/>
        <w:numPr>
          <w:ilvl w:val="0"/>
          <w:numId w:val="15"/>
        </w:numPr>
        <w:jc w:val="both"/>
        <w:rPr>
          <w:rFonts w:ascii="Arial" w:hAnsi="Arial" w:cs="Arial"/>
        </w:rPr>
      </w:pPr>
      <w:r w:rsidRPr="00C7287F">
        <w:rPr>
          <w:rFonts w:ascii="Arial" w:hAnsi="Arial" w:cs="Arial"/>
        </w:rPr>
        <w:t xml:space="preserve">Ecosystèmes agricoles dans les bas de pente : cultures </w:t>
      </w:r>
      <w:r w:rsidR="00801D80" w:rsidRPr="00C7287F">
        <w:rPr>
          <w:rFonts w:ascii="Arial" w:hAnsi="Arial" w:cs="Arial"/>
        </w:rPr>
        <w:t>mara</w:t>
      </w:r>
      <w:r w:rsidR="00801D80">
        <w:rPr>
          <w:rFonts w:ascii="Arial" w:hAnsi="Arial" w:cs="Arial"/>
        </w:rPr>
        <w:t>î</w:t>
      </w:r>
      <w:r w:rsidR="00801D80" w:rsidRPr="00C7287F">
        <w:rPr>
          <w:rFonts w:ascii="Arial" w:hAnsi="Arial" w:cs="Arial"/>
        </w:rPr>
        <w:t>chères</w:t>
      </w:r>
      <w:r w:rsidRPr="00C7287F">
        <w:rPr>
          <w:rFonts w:ascii="Arial" w:hAnsi="Arial" w:cs="Arial"/>
        </w:rPr>
        <w:t xml:space="preserve"> toute l’année avec, sur les hauts plateaux, </w:t>
      </w:r>
      <w:r w:rsidR="009175BB">
        <w:rPr>
          <w:rFonts w:ascii="Arial" w:hAnsi="Arial" w:cs="Arial"/>
        </w:rPr>
        <w:t xml:space="preserve">des </w:t>
      </w:r>
      <w:r w:rsidRPr="00C7287F">
        <w:rPr>
          <w:rFonts w:ascii="Arial" w:hAnsi="Arial" w:cs="Arial"/>
        </w:rPr>
        <w:t>cultures fourragères pour les vaches laitières ;</w:t>
      </w:r>
    </w:p>
    <w:p w14:paraId="2F42777D" w14:textId="77777777" w:rsidR="006C4CB8" w:rsidRPr="00C7287F" w:rsidRDefault="4D78772C" w:rsidP="00FE3B2A">
      <w:pPr>
        <w:pStyle w:val="Paragraphedeliste"/>
        <w:ind w:left="360"/>
        <w:jc w:val="both"/>
        <w:rPr>
          <w:rFonts w:ascii="Arial" w:hAnsi="Arial" w:cs="Arial"/>
        </w:rPr>
      </w:pPr>
      <w:r w:rsidRPr="3CB7C1AD">
        <w:rPr>
          <w:rFonts w:ascii="Arial" w:hAnsi="Arial" w:cs="Arial"/>
        </w:rPr>
        <w:t>.</w:t>
      </w:r>
    </w:p>
    <w:tbl>
      <w:tblPr>
        <w:tblW w:w="0" w:type="auto"/>
        <w:tblLook w:val="04A0" w:firstRow="1" w:lastRow="0" w:firstColumn="1" w:lastColumn="0" w:noHBand="0" w:noVBand="1"/>
      </w:tblPr>
      <w:tblGrid>
        <w:gridCol w:w="4536"/>
        <w:gridCol w:w="4536"/>
      </w:tblGrid>
      <w:tr w:rsidR="00F966B6" w:rsidRPr="007F78CE" w14:paraId="5C8D425A" w14:textId="77777777" w:rsidTr="007F78CE">
        <w:tc>
          <w:tcPr>
            <w:tcW w:w="4606" w:type="dxa"/>
            <w:shd w:val="clear" w:color="auto" w:fill="auto"/>
          </w:tcPr>
          <w:p w14:paraId="23EEC72F" w14:textId="5D7683EF" w:rsidR="00F966B6" w:rsidRPr="007F78CE" w:rsidRDefault="00E97ECD" w:rsidP="007F78CE">
            <w:pPr>
              <w:spacing w:after="0" w:line="240" w:lineRule="auto"/>
              <w:jc w:val="center"/>
              <w:rPr>
                <w:rFonts w:ascii="Arial" w:hAnsi="Arial" w:cs="Arial"/>
                <w:color w:val="FF0000"/>
              </w:rPr>
            </w:pPr>
            <w:r w:rsidRPr="00FB04F6">
              <w:rPr>
                <w:rFonts w:ascii="Arial" w:hAnsi="Arial" w:cs="Arial"/>
                <w:noProof/>
                <w:color w:val="FF0000"/>
                <w:lang w:eastAsia="fr-FR"/>
              </w:rPr>
              <w:drawing>
                <wp:inline distT="0" distB="0" distL="0" distR="0" wp14:anchorId="71E59009" wp14:editId="37FF6FF3">
                  <wp:extent cx="2876550" cy="2162175"/>
                  <wp:effectExtent l="0" t="0" r="0" b="0"/>
                  <wp:docPr id="25" name="Image 272" descr="Description : F:\DECIM\Photo\Photo_BOeny\ANDRANOFASIKA\IMG_20221218_103907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2" descr="Description : F:\DECIM\Photo\Photo_BOeny\ANDRANOFASIKA\IMG_20221218_10390761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606" w:type="dxa"/>
            <w:shd w:val="clear" w:color="auto" w:fill="auto"/>
          </w:tcPr>
          <w:p w14:paraId="1A5C2893" w14:textId="7DD52917" w:rsidR="00F966B6" w:rsidRPr="007F78CE" w:rsidRDefault="00E97ECD" w:rsidP="007F78CE">
            <w:pPr>
              <w:spacing w:after="0" w:line="240" w:lineRule="auto"/>
              <w:jc w:val="both"/>
              <w:rPr>
                <w:rFonts w:ascii="Arial" w:hAnsi="Arial" w:cs="Arial"/>
                <w:color w:val="FF0000"/>
              </w:rPr>
            </w:pPr>
            <w:r w:rsidRPr="00FB04F6">
              <w:rPr>
                <w:rFonts w:ascii="Arial" w:hAnsi="Arial" w:cs="Arial"/>
                <w:noProof/>
                <w:color w:val="FF0000"/>
                <w:lang w:eastAsia="fr-FR"/>
              </w:rPr>
              <w:drawing>
                <wp:inline distT="0" distB="0" distL="0" distR="0" wp14:anchorId="0ED391CC" wp14:editId="2B5F3085">
                  <wp:extent cx="2876550" cy="2162175"/>
                  <wp:effectExtent l="0" t="0" r="0" b="0"/>
                  <wp:docPr id="26" name="Image 276" descr="Description : F:\DECIM\Photo Terrain Tsiroanomandidy december 2022\IMG_20221219_11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6" descr="Description : F:\DECIM\Photo Terrain Tsiroanomandidy december 2022\IMG_20221219_11283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bl>
    <w:p w14:paraId="32376451" w14:textId="77777777" w:rsidR="00382606" w:rsidRDefault="00382606" w:rsidP="00C7287F">
      <w:pPr>
        <w:pStyle w:val="Lgende"/>
        <w:jc w:val="center"/>
        <w:rPr>
          <w:rFonts w:ascii="Arial" w:hAnsi="Arial" w:cs="Arial"/>
          <w:b w:val="0"/>
          <w:bCs w:val="0"/>
          <w:color w:val="auto"/>
          <w:sz w:val="20"/>
          <w:szCs w:val="22"/>
        </w:rPr>
      </w:pPr>
    </w:p>
    <w:p w14:paraId="1210474D" w14:textId="77777777" w:rsidR="00382606" w:rsidRPr="00FE3B2A" w:rsidRDefault="00382606" w:rsidP="00FE3B2A">
      <w:pPr>
        <w:pStyle w:val="Lgende"/>
        <w:jc w:val="center"/>
      </w:pPr>
      <w:bookmarkStart w:id="345" w:name="_Toc125409956"/>
      <w:r>
        <w:t xml:space="preserve">Photo </w:t>
      </w:r>
      <w:r>
        <w:fldChar w:fldCharType="begin"/>
      </w:r>
      <w:r>
        <w:instrText xml:space="preserve"> SEQ Photo \* ARABIC </w:instrText>
      </w:r>
      <w:r>
        <w:fldChar w:fldCharType="separate"/>
      </w:r>
      <w:r>
        <w:rPr>
          <w:noProof/>
        </w:rPr>
        <w:t>3</w:t>
      </w:r>
      <w:r>
        <w:fldChar w:fldCharType="end"/>
      </w:r>
      <w:r>
        <w:t xml:space="preserve">: </w:t>
      </w:r>
      <w:r w:rsidRPr="001014E7">
        <w:t>Terrains de cultures</w:t>
      </w:r>
      <w:bookmarkEnd w:id="345"/>
    </w:p>
    <w:p w14:paraId="158C2094" w14:textId="77777777" w:rsidR="00382606" w:rsidRPr="00FE3B2A" w:rsidRDefault="00FE3B2A" w:rsidP="00FE3B2A">
      <w:pPr>
        <w:pStyle w:val="Paragraphedeliste"/>
        <w:numPr>
          <w:ilvl w:val="0"/>
          <w:numId w:val="15"/>
        </w:numPr>
        <w:jc w:val="both"/>
        <w:rPr>
          <w:rFonts w:ascii="Arial" w:hAnsi="Arial" w:cs="Arial"/>
        </w:rPr>
      </w:pPr>
      <w:r w:rsidRPr="00FE3B2A">
        <w:rPr>
          <w:rFonts w:ascii="Arial" w:hAnsi="Arial" w:cs="Arial"/>
        </w:rPr>
        <w:lastRenderedPageBreak/>
        <w:t>Ecosystèmes agricoles sur les tanety : cultures pratiquées en saison pluviale (maïs, riz pluvial qui est en progression, etc.) ou encore toute l’année comme le manioc, la patate douce, etc</w:t>
      </w:r>
      <w:r>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607755" w:rsidRPr="00607755" w14:paraId="753C5E66" w14:textId="77777777" w:rsidTr="005D6D41">
        <w:tc>
          <w:tcPr>
            <w:tcW w:w="9212" w:type="dxa"/>
            <w:shd w:val="clear" w:color="auto" w:fill="auto"/>
          </w:tcPr>
          <w:p w14:paraId="3BCA8BCF" w14:textId="77777777" w:rsidR="00607755" w:rsidRPr="00DF7822" w:rsidRDefault="00607755" w:rsidP="005D6D41">
            <w:pPr>
              <w:jc w:val="both"/>
              <w:rPr>
                <w:rFonts w:ascii="Arial" w:hAnsi="Arial" w:cs="Arial"/>
                <w:i/>
              </w:rPr>
            </w:pPr>
            <w:r w:rsidRPr="00DF7822">
              <w:rPr>
                <w:rFonts w:ascii="Arial" w:hAnsi="Arial" w:cs="Arial"/>
                <w:i/>
              </w:rPr>
              <w:t xml:space="preserve">D’une façon générale, la </w:t>
            </w:r>
            <w:r w:rsidR="002D5071" w:rsidRPr="00DF7822">
              <w:rPr>
                <w:rFonts w:ascii="Arial" w:hAnsi="Arial" w:cs="Arial"/>
                <w:i/>
              </w:rPr>
              <w:t>plupart</w:t>
            </w:r>
            <w:r w:rsidRPr="00DF7822">
              <w:rPr>
                <w:rFonts w:ascii="Arial" w:hAnsi="Arial" w:cs="Arial"/>
                <w:i/>
              </w:rPr>
              <w:t xml:space="preserve"> des infrastructures à mettre en place se trouve non loin des zones d’habitation (cas des tours cellulaires et centrale PV). Ces sites sont occupés par des végétations à large distribution comme les savanes, les terrains de cultures ou des zones dénudées.</w:t>
            </w:r>
          </w:p>
          <w:p w14:paraId="646246F5" w14:textId="77777777" w:rsidR="00607755" w:rsidRPr="00DF7822" w:rsidRDefault="00607755" w:rsidP="005D6D41">
            <w:pPr>
              <w:jc w:val="both"/>
              <w:rPr>
                <w:rFonts w:ascii="Arial" w:hAnsi="Arial" w:cs="Arial"/>
                <w:i/>
              </w:rPr>
            </w:pPr>
            <w:r w:rsidRPr="00DF7822">
              <w:rPr>
                <w:rFonts w:ascii="Arial" w:hAnsi="Arial" w:cs="Arial"/>
                <w:i/>
              </w:rPr>
              <w:t xml:space="preserve">Pour les barrages hydroélectriques, l’emprise est aussi occupée par des végétations buissonnantes et quelques arbres qui poussent le long des cours d’eau. </w:t>
            </w:r>
          </w:p>
          <w:p w14:paraId="29491F24" w14:textId="77777777" w:rsidR="00607755" w:rsidRPr="00DF7822" w:rsidRDefault="00607755" w:rsidP="005D6D41">
            <w:pPr>
              <w:jc w:val="both"/>
              <w:rPr>
                <w:rFonts w:ascii="Arial" w:hAnsi="Arial" w:cs="Arial"/>
                <w:i/>
                <w:color w:val="FF0000"/>
              </w:rPr>
            </w:pPr>
            <w:r w:rsidRPr="00DF7822">
              <w:rPr>
                <w:rFonts w:ascii="Arial" w:hAnsi="Arial" w:cs="Arial"/>
                <w:i/>
              </w:rPr>
              <w:t>En somme, les formations naturelles et fragiles comme les forêts ne sont pas impacté</w:t>
            </w:r>
            <w:r w:rsidR="002D5071">
              <w:rPr>
                <w:rFonts w:ascii="Arial" w:hAnsi="Arial" w:cs="Arial"/>
                <w:i/>
              </w:rPr>
              <w:t>fe</w:t>
            </w:r>
            <w:r w:rsidRPr="00DF7822">
              <w:rPr>
                <w:rFonts w:ascii="Arial" w:hAnsi="Arial" w:cs="Arial"/>
                <w:i/>
              </w:rPr>
              <w:t>s par le Projet</w:t>
            </w:r>
            <w:r w:rsidR="00A31C21">
              <w:rPr>
                <w:rFonts w:ascii="Arial" w:hAnsi="Arial" w:cs="Arial"/>
                <w:i/>
              </w:rPr>
              <w:t>.</w:t>
            </w:r>
          </w:p>
        </w:tc>
      </w:tr>
    </w:tbl>
    <w:p w14:paraId="27FE6358" w14:textId="77777777" w:rsidR="00513948" w:rsidRPr="00513948" w:rsidRDefault="0075210A" w:rsidP="0044500E">
      <w:pPr>
        <w:pStyle w:val="TIT3"/>
        <w:numPr>
          <w:ilvl w:val="2"/>
          <w:numId w:val="177"/>
        </w:numPr>
      </w:pPr>
      <w:bookmarkStart w:id="346" w:name="_Toc124314663"/>
      <w:bookmarkStart w:id="347" w:name="_Toc124956141"/>
      <w:bookmarkStart w:id="348" w:name="_Toc125384540"/>
      <w:bookmarkStart w:id="349" w:name="_Toc125384929"/>
      <w:bookmarkStart w:id="350" w:name="_Toc127957601"/>
      <w:r>
        <w:t xml:space="preserve">Flore et </w:t>
      </w:r>
      <w:r w:rsidR="00513948" w:rsidRPr="00513948">
        <w:t>Faune</w:t>
      </w:r>
      <w:bookmarkEnd w:id="346"/>
      <w:bookmarkEnd w:id="347"/>
      <w:bookmarkEnd w:id="348"/>
      <w:bookmarkEnd w:id="349"/>
      <w:bookmarkEnd w:id="350"/>
      <w:r w:rsidR="00513948" w:rsidRPr="00513948">
        <w:t xml:space="preserve"> </w:t>
      </w:r>
    </w:p>
    <w:p w14:paraId="6535FD36" w14:textId="77777777" w:rsidR="00FA7742" w:rsidRPr="0017227E" w:rsidRDefault="00651B50" w:rsidP="00FA7742">
      <w:pPr>
        <w:jc w:val="both"/>
        <w:rPr>
          <w:rFonts w:ascii="Arial" w:hAnsi="Arial" w:cs="Arial"/>
        </w:rPr>
      </w:pPr>
      <w:r w:rsidRPr="0017227E">
        <w:rPr>
          <w:rFonts w:ascii="Arial" w:hAnsi="Arial" w:cs="Arial"/>
        </w:rPr>
        <w:t xml:space="preserve">Madagascar dispose d’une grande richesse en matière de diversité biologique. Cette diversité est d’une importance capitale pour le </w:t>
      </w:r>
      <w:r w:rsidR="00030978" w:rsidRPr="0017227E">
        <w:rPr>
          <w:rFonts w:ascii="Arial" w:hAnsi="Arial" w:cs="Arial"/>
        </w:rPr>
        <w:t>bien-être</w:t>
      </w:r>
      <w:r w:rsidRPr="0017227E">
        <w:rPr>
          <w:rFonts w:ascii="Arial" w:hAnsi="Arial" w:cs="Arial"/>
        </w:rPr>
        <w:t xml:space="preserve"> de la population, dans le domaine économique, socio-culturel, environnemental et scientifique. </w:t>
      </w:r>
    </w:p>
    <w:p w14:paraId="633FDD14" w14:textId="77777777" w:rsidR="0075210A" w:rsidRPr="0017227E" w:rsidRDefault="0075210A" w:rsidP="0044500E">
      <w:pPr>
        <w:pStyle w:val="TIT40"/>
        <w:numPr>
          <w:ilvl w:val="3"/>
          <w:numId w:val="177"/>
        </w:numPr>
        <w:outlineLvl w:val="3"/>
      </w:pPr>
      <w:bookmarkStart w:id="351" w:name="_Toc124314664"/>
      <w:bookmarkStart w:id="352" w:name="_Toc124956142"/>
      <w:bookmarkStart w:id="353" w:name="_Toc125384541"/>
      <w:bookmarkStart w:id="354" w:name="_Toc125384930"/>
      <w:bookmarkStart w:id="355" w:name="_Toc127957602"/>
      <w:r w:rsidRPr="0017227E">
        <w:t>Espèces floristique</w:t>
      </w:r>
      <w:r w:rsidR="00030978">
        <w:t>s</w:t>
      </w:r>
      <w:bookmarkEnd w:id="351"/>
      <w:bookmarkEnd w:id="352"/>
      <w:bookmarkEnd w:id="353"/>
      <w:bookmarkEnd w:id="354"/>
      <w:bookmarkEnd w:id="355"/>
    </w:p>
    <w:p w14:paraId="241127A7" w14:textId="77777777" w:rsidR="0075210A" w:rsidRPr="0017227E" w:rsidRDefault="00423294" w:rsidP="00FA7742">
      <w:pPr>
        <w:jc w:val="both"/>
        <w:rPr>
          <w:rFonts w:ascii="Arial" w:hAnsi="Arial" w:cs="Arial"/>
        </w:rPr>
      </w:pPr>
      <w:r w:rsidRPr="0017227E">
        <w:rPr>
          <w:rFonts w:ascii="Arial" w:hAnsi="Arial" w:cs="Arial"/>
        </w:rPr>
        <w:t>Madagascar est reconnue pour la richesse de sa flore autochtone, caractérisée par une grande diversité spécifique et une haute endémicité, tant au niveau de l’espèce, avec environ 90% de plantes vasculaires endémiques de l'île, que de la famille (5 endémiques). Plus de 11 399 espèces de plantes vasculaires sont connues actuellement (MBG, Madagascar Catalogue, 2022)</w:t>
      </w:r>
      <w:r w:rsidR="009A32F1" w:rsidRPr="0017227E">
        <w:rPr>
          <w:rFonts w:ascii="Arial" w:hAnsi="Arial" w:cs="Arial"/>
        </w:rPr>
        <w:t>.</w:t>
      </w:r>
    </w:p>
    <w:p w14:paraId="412AEDE9" w14:textId="77777777" w:rsidR="009A32F1" w:rsidRPr="0017227E" w:rsidRDefault="009A32F1" w:rsidP="00FA7742">
      <w:pPr>
        <w:jc w:val="both"/>
        <w:rPr>
          <w:rFonts w:ascii="Arial" w:hAnsi="Arial" w:cs="Arial"/>
        </w:rPr>
      </w:pPr>
      <w:r w:rsidRPr="0017227E">
        <w:rPr>
          <w:rFonts w:ascii="Arial" w:hAnsi="Arial" w:cs="Arial"/>
        </w:rPr>
        <w:t xml:space="preserve">Au regard des connaissances actuelles, Madagascar compte environ 350 familles de plantes, dont 249 familles de plantes vasculaires parmi lesquelles cinq </w:t>
      </w:r>
      <w:r w:rsidR="00801D80">
        <w:rPr>
          <w:rFonts w:ascii="Arial" w:hAnsi="Arial" w:cs="Arial"/>
        </w:rPr>
        <w:t xml:space="preserve">(05) </w:t>
      </w:r>
      <w:r w:rsidRPr="0017227E">
        <w:rPr>
          <w:rFonts w:ascii="Arial" w:hAnsi="Arial" w:cs="Arial"/>
        </w:rPr>
        <w:t>sont strictement endémiques : ASTEROPEIACEAE, BARBEUIACEAE, PHYSENACEAE, SARCOLAENACEAE et SPHAEROSEPALACEAE (MBG, Madagascar Catalogue, 2022)</w:t>
      </w:r>
      <w:r w:rsidR="002D4A3D">
        <w:rPr>
          <w:rFonts w:ascii="Arial" w:hAnsi="Arial" w:cs="Arial"/>
        </w:rPr>
        <w:t>.</w:t>
      </w:r>
    </w:p>
    <w:p w14:paraId="26F5DEFC" w14:textId="77777777" w:rsidR="000432F4" w:rsidRPr="000432F4" w:rsidRDefault="000432F4" w:rsidP="000432F4">
      <w:pPr>
        <w:pStyle w:val="Lgende"/>
        <w:jc w:val="center"/>
        <w:rPr>
          <w:sz w:val="20"/>
        </w:rPr>
      </w:pPr>
      <w:bookmarkStart w:id="356" w:name="_Toc127957804"/>
      <w:r w:rsidRPr="000432F4">
        <w:rPr>
          <w:sz w:val="20"/>
        </w:rPr>
        <w:t xml:space="preserve">Tableau </w:t>
      </w:r>
      <w:r w:rsidRPr="000432F4">
        <w:rPr>
          <w:sz w:val="20"/>
        </w:rPr>
        <w:fldChar w:fldCharType="begin"/>
      </w:r>
      <w:r w:rsidRPr="000432F4">
        <w:rPr>
          <w:sz w:val="20"/>
        </w:rPr>
        <w:instrText xml:space="preserve"> SEQ Tableau \* ARABIC </w:instrText>
      </w:r>
      <w:r w:rsidRPr="000432F4">
        <w:rPr>
          <w:sz w:val="20"/>
        </w:rPr>
        <w:fldChar w:fldCharType="separate"/>
      </w:r>
      <w:r w:rsidR="005430A1">
        <w:rPr>
          <w:noProof/>
          <w:sz w:val="20"/>
        </w:rPr>
        <w:t>8</w:t>
      </w:r>
      <w:r w:rsidRPr="000432F4">
        <w:rPr>
          <w:sz w:val="20"/>
        </w:rPr>
        <w:fldChar w:fldCharType="end"/>
      </w:r>
      <w:r w:rsidRPr="000432F4">
        <w:rPr>
          <w:sz w:val="20"/>
        </w:rPr>
        <w:t>. Nombre d’espèces floristiques et taux d’endémicité</w:t>
      </w:r>
      <w:bookmarkEnd w:id="356"/>
      <w:r w:rsidRPr="000432F4">
        <w:rPr>
          <w:sz w:val="20"/>
        </w:rPr>
        <w:t xml:space="preserve"> </w:t>
      </w:r>
    </w:p>
    <w:tbl>
      <w:tblPr>
        <w:tblW w:w="584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600" w:firstRow="0" w:lastRow="0" w:firstColumn="0" w:lastColumn="0" w:noHBand="1" w:noVBand="1"/>
      </w:tblPr>
      <w:tblGrid>
        <w:gridCol w:w="2417"/>
        <w:gridCol w:w="1443"/>
        <w:gridCol w:w="1980"/>
      </w:tblGrid>
      <w:tr w:rsidR="0063584D" w:rsidRPr="007F78CE" w14:paraId="6D3BD84F" w14:textId="77777777" w:rsidTr="00B434A6">
        <w:trPr>
          <w:tblHeader/>
          <w:jc w:val="center"/>
        </w:trPr>
        <w:tc>
          <w:tcPr>
            <w:tcW w:w="2417" w:type="dxa"/>
            <w:shd w:val="clear" w:color="auto" w:fill="0070C0"/>
            <w:vAlign w:val="center"/>
          </w:tcPr>
          <w:p w14:paraId="41782D22" w14:textId="77777777" w:rsidR="00423294" w:rsidRPr="007F78CE" w:rsidRDefault="00423294" w:rsidP="007F78CE">
            <w:pPr>
              <w:spacing w:after="0" w:line="240" w:lineRule="auto"/>
              <w:jc w:val="center"/>
              <w:rPr>
                <w:rFonts w:ascii="Arial" w:hAnsi="Arial" w:cs="Arial"/>
                <w:b/>
                <w:color w:val="FFFFFF"/>
              </w:rPr>
            </w:pPr>
            <w:r w:rsidRPr="007F78CE">
              <w:rPr>
                <w:rFonts w:ascii="Arial" w:hAnsi="Arial" w:cs="Arial"/>
                <w:b/>
                <w:color w:val="FFFFFF"/>
              </w:rPr>
              <w:t>Espèces</w:t>
            </w:r>
          </w:p>
        </w:tc>
        <w:tc>
          <w:tcPr>
            <w:tcW w:w="1443" w:type="dxa"/>
            <w:shd w:val="clear" w:color="auto" w:fill="0070C0"/>
            <w:vAlign w:val="center"/>
          </w:tcPr>
          <w:p w14:paraId="3A68450C" w14:textId="77777777" w:rsidR="00423294" w:rsidRPr="007F78CE" w:rsidRDefault="00423294" w:rsidP="007F78CE">
            <w:pPr>
              <w:spacing w:after="0" w:line="240" w:lineRule="auto"/>
              <w:jc w:val="center"/>
              <w:rPr>
                <w:rFonts w:ascii="Arial" w:hAnsi="Arial" w:cs="Arial"/>
                <w:b/>
                <w:color w:val="FFFFFF"/>
              </w:rPr>
            </w:pPr>
            <w:r w:rsidRPr="007F78CE">
              <w:rPr>
                <w:rFonts w:ascii="Arial" w:hAnsi="Arial" w:cs="Arial"/>
                <w:b/>
                <w:color w:val="FFFFFF"/>
              </w:rPr>
              <w:t>Nombre d’espèce</w:t>
            </w:r>
            <w:r w:rsidR="009175BB">
              <w:rPr>
                <w:rFonts w:ascii="Arial" w:hAnsi="Arial" w:cs="Arial"/>
                <w:b/>
                <w:color w:val="FFFFFF"/>
              </w:rPr>
              <w:t>s</w:t>
            </w:r>
          </w:p>
        </w:tc>
        <w:tc>
          <w:tcPr>
            <w:tcW w:w="1980" w:type="dxa"/>
            <w:shd w:val="clear" w:color="auto" w:fill="0070C0"/>
            <w:vAlign w:val="center"/>
          </w:tcPr>
          <w:p w14:paraId="4D2DB314" w14:textId="77777777" w:rsidR="00423294" w:rsidRPr="007F78CE" w:rsidRDefault="00423294" w:rsidP="007F78CE">
            <w:pPr>
              <w:spacing w:after="0" w:line="240" w:lineRule="auto"/>
              <w:jc w:val="center"/>
              <w:rPr>
                <w:rFonts w:ascii="Arial" w:hAnsi="Arial" w:cs="Arial"/>
                <w:b/>
                <w:color w:val="FFFFFF"/>
              </w:rPr>
            </w:pPr>
            <w:r w:rsidRPr="007F78CE">
              <w:rPr>
                <w:rFonts w:ascii="Arial" w:hAnsi="Arial" w:cs="Arial"/>
                <w:b/>
                <w:color w:val="FFFFFF"/>
              </w:rPr>
              <w:t>Taux d’endémicité (%)</w:t>
            </w:r>
          </w:p>
        </w:tc>
      </w:tr>
      <w:tr w:rsidR="00423294" w:rsidRPr="007F78CE" w14:paraId="29767726" w14:textId="77777777" w:rsidTr="00B434A6">
        <w:trPr>
          <w:jc w:val="center"/>
        </w:trPr>
        <w:tc>
          <w:tcPr>
            <w:tcW w:w="2417" w:type="dxa"/>
            <w:shd w:val="clear" w:color="auto" w:fill="auto"/>
          </w:tcPr>
          <w:p w14:paraId="2BE64AEF" w14:textId="77777777" w:rsidR="00423294" w:rsidRPr="007F78CE" w:rsidRDefault="00423294" w:rsidP="007F78CE">
            <w:pPr>
              <w:spacing w:after="0" w:line="240" w:lineRule="auto"/>
              <w:rPr>
                <w:rFonts w:ascii="Arial" w:hAnsi="Arial" w:cs="Arial"/>
              </w:rPr>
            </w:pPr>
            <w:r w:rsidRPr="007F78CE">
              <w:rPr>
                <w:rFonts w:ascii="Arial" w:hAnsi="Arial" w:cs="Arial"/>
              </w:rPr>
              <w:t>Plantes vasculaires</w:t>
            </w:r>
          </w:p>
        </w:tc>
        <w:tc>
          <w:tcPr>
            <w:tcW w:w="1443" w:type="dxa"/>
            <w:shd w:val="clear" w:color="auto" w:fill="auto"/>
          </w:tcPr>
          <w:p w14:paraId="3CD56C98" w14:textId="77777777" w:rsidR="00423294" w:rsidRPr="007F78CE" w:rsidRDefault="00423294" w:rsidP="007F78CE">
            <w:pPr>
              <w:spacing w:after="0" w:line="240" w:lineRule="auto"/>
              <w:jc w:val="right"/>
              <w:rPr>
                <w:rFonts w:ascii="Arial" w:hAnsi="Arial" w:cs="Arial"/>
              </w:rPr>
            </w:pPr>
            <w:r w:rsidRPr="007F78CE">
              <w:rPr>
                <w:rFonts w:ascii="Arial" w:hAnsi="Arial" w:cs="Arial"/>
              </w:rPr>
              <w:t>13000</w:t>
            </w:r>
          </w:p>
        </w:tc>
        <w:tc>
          <w:tcPr>
            <w:tcW w:w="1980" w:type="dxa"/>
            <w:shd w:val="clear" w:color="auto" w:fill="auto"/>
          </w:tcPr>
          <w:p w14:paraId="62B3DEC8" w14:textId="77777777" w:rsidR="00423294" w:rsidRPr="007F78CE" w:rsidRDefault="00423294" w:rsidP="007F78CE">
            <w:pPr>
              <w:spacing w:after="0" w:line="240" w:lineRule="auto"/>
              <w:jc w:val="right"/>
              <w:rPr>
                <w:rFonts w:ascii="Arial" w:hAnsi="Arial" w:cs="Arial"/>
              </w:rPr>
            </w:pPr>
            <w:r w:rsidRPr="007F78CE">
              <w:rPr>
                <w:rFonts w:ascii="Arial" w:hAnsi="Arial" w:cs="Arial"/>
              </w:rPr>
              <w:t>95</w:t>
            </w:r>
          </w:p>
        </w:tc>
      </w:tr>
      <w:tr w:rsidR="00423294" w:rsidRPr="007F78CE" w14:paraId="6498A2E3" w14:textId="77777777" w:rsidTr="00B434A6">
        <w:trPr>
          <w:jc w:val="center"/>
        </w:trPr>
        <w:tc>
          <w:tcPr>
            <w:tcW w:w="2417" w:type="dxa"/>
            <w:shd w:val="clear" w:color="auto" w:fill="auto"/>
          </w:tcPr>
          <w:p w14:paraId="40C5B423" w14:textId="77777777" w:rsidR="00423294" w:rsidRPr="007F78CE" w:rsidRDefault="00423294" w:rsidP="007F78CE">
            <w:pPr>
              <w:spacing w:after="0" w:line="240" w:lineRule="auto"/>
              <w:rPr>
                <w:rFonts w:ascii="Arial" w:hAnsi="Arial" w:cs="Arial"/>
              </w:rPr>
            </w:pPr>
            <w:r w:rsidRPr="007F78CE">
              <w:rPr>
                <w:rFonts w:ascii="Arial" w:hAnsi="Arial" w:cs="Arial"/>
              </w:rPr>
              <w:t>Ptéridophytes</w:t>
            </w:r>
          </w:p>
        </w:tc>
        <w:tc>
          <w:tcPr>
            <w:tcW w:w="1443" w:type="dxa"/>
            <w:shd w:val="clear" w:color="auto" w:fill="auto"/>
          </w:tcPr>
          <w:p w14:paraId="7B9C798E" w14:textId="77777777" w:rsidR="00423294" w:rsidRPr="007F78CE" w:rsidRDefault="00423294" w:rsidP="007F78CE">
            <w:pPr>
              <w:spacing w:after="0" w:line="240" w:lineRule="auto"/>
              <w:jc w:val="right"/>
              <w:rPr>
                <w:rFonts w:ascii="Arial" w:hAnsi="Arial" w:cs="Arial"/>
              </w:rPr>
            </w:pPr>
            <w:r w:rsidRPr="007F78CE">
              <w:rPr>
                <w:rFonts w:ascii="Arial" w:hAnsi="Arial" w:cs="Arial"/>
              </w:rPr>
              <w:t>586</w:t>
            </w:r>
          </w:p>
        </w:tc>
        <w:tc>
          <w:tcPr>
            <w:tcW w:w="1980" w:type="dxa"/>
            <w:shd w:val="clear" w:color="auto" w:fill="auto"/>
          </w:tcPr>
          <w:p w14:paraId="3CF02A6E" w14:textId="77777777" w:rsidR="00423294" w:rsidRPr="007F78CE" w:rsidRDefault="00423294" w:rsidP="007F78CE">
            <w:pPr>
              <w:spacing w:after="0" w:line="240" w:lineRule="auto"/>
              <w:jc w:val="right"/>
              <w:rPr>
                <w:rFonts w:ascii="Arial" w:hAnsi="Arial" w:cs="Arial"/>
              </w:rPr>
            </w:pPr>
            <w:r w:rsidRPr="007F78CE">
              <w:rPr>
                <w:rFonts w:ascii="Arial" w:hAnsi="Arial" w:cs="Arial"/>
              </w:rPr>
              <w:t>45</w:t>
            </w:r>
          </w:p>
        </w:tc>
      </w:tr>
      <w:tr w:rsidR="00423294" w:rsidRPr="007F78CE" w14:paraId="13183AAD" w14:textId="77777777" w:rsidTr="00B434A6">
        <w:trPr>
          <w:jc w:val="center"/>
        </w:trPr>
        <w:tc>
          <w:tcPr>
            <w:tcW w:w="2417" w:type="dxa"/>
            <w:shd w:val="clear" w:color="auto" w:fill="auto"/>
          </w:tcPr>
          <w:p w14:paraId="4EADD201" w14:textId="77777777" w:rsidR="00423294" w:rsidRPr="007F78CE" w:rsidRDefault="00423294" w:rsidP="007F78CE">
            <w:pPr>
              <w:spacing w:after="0" w:line="240" w:lineRule="auto"/>
              <w:rPr>
                <w:rFonts w:ascii="Arial" w:hAnsi="Arial" w:cs="Arial"/>
              </w:rPr>
            </w:pPr>
            <w:r w:rsidRPr="007F78CE">
              <w:rPr>
                <w:rFonts w:ascii="Arial" w:hAnsi="Arial" w:cs="Arial"/>
              </w:rPr>
              <w:t>Palmier</w:t>
            </w:r>
          </w:p>
        </w:tc>
        <w:tc>
          <w:tcPr>
            <w:tcW w:w="1443" w:type="dxa"/>
            <w:shd w:val="clear" w:color="auto" w:fill="auto"/>
          </w:tcPr>
          <w:p w14:paraId="7D5E4DA5" w14:textId="77777777" w:rsidR="00423294" w:rsidRPr="007F78CE" w:rsidRDefault="00423294" w:rsidP="007F78CE">
            <w:pPr>
              <w:spacing w:after="0" w:line="240" w:lineRule="auto"/>
              <w:jc w:val="right"/>
              <w:rPr>
                <w:rFonts w:ascii="Arial" w:hAnsi="Arial" w:cs="Arial"/>
              </w:rPr>
            </w:pPr>
            <w:r w:rsidRPr="007F78CE">
              <w:rPr>
                <w:rFonts w:ascii="Arial" w:hAnsi="Arial" w:cs="Arial"/>
              </w:rPr>
              <w:t>202</w:t>
            </w:r>
          </w:p>
        </w:tc>
        <w:tc>
          <w:tcPr>
            <w:tcW w:w="1980" w:type="dxa"/>
            <w:shd w:val="clear" w:color="auto" w:fill="auto"/>
          </w:tcPr>
          <w:p w14:paraId="25D5B89E" w14:textId="77777777" w:rsidR="00423294" w:rsidRPr="007F78CE" w:rsidRDefault="00423294" w:rsidP="007F78CE">
            <w:pPr>
              <w:spacing w:after="0" w:line="240" w:lineRule="auto"/>
              <w:jc w:val="right"/>
              <w:rPr>
                <w:rFonts w:ascii="Arial" w:hAnsi="Arial" w:cs="Arial"/>
              </w:rPr>
            </w:pPr>
            <w:r w:rsidRPr="007F78CE">
              <w:rPr>
                <w:rFonts w:ascii="Arial" w:hAnsi="Arial" w:cs="Arial"/>
              </w:rPr>
              <w:t>96</w:t>
            </w:r>
          </w:p>
        </w:tc>
      </w:tr>
      <w:tr w:rsidR="00423294" w:rsidRPr="007F78CE" w14:paraId="21110E6E" w14:textId="77777777" w:rsidTr="00B434A6">
        <w:trPr>
          <w:jc w:val="center"/>
        </w:trPr>
        <w:tc>
          <w:tcPr>
            <w:tcW w:w="2417" w:type="dxa"/>
            <w:shd w:val="clear" w:color="auto" w:fill="auto"/>
          </w:tcPr>
          <w:p w14:paraId="238FB7F2" w14:textId="77777777" w:rsidR="00423294" w:rsidRPr="007F78CE" w:rsidRDefault="00423294" w:rsidP="007F78CE">
            <w:pPr>
              <w:spacing w:after="0" w:line="240" w:lineRule="auto"/>
              <w:rPr>
                <w:rFonts w:ascii="Arial" w:hAnsi="Arial" w:cs="Arial"/>
              </w:rPr>
            </w:pPr>
            <w:r w:rsidRPr="007F78CE">
              <w:rPr>
                <w:rFonts w:ascii="Arial" w:hAnsi="Arial" w:cs="Arial"/>
              </w:rPr>
              <w:t>Orchidée</w:t>
            </w:r>
          </w:p>
        </w:tc>
        <w:tc>
          <w:tcPr>
            <w:tcW w:w="1443" w:type="dxa"/>
            <w:shd w:val="clear" w:color="auto" w:fill="auto"/>
          </w:tcPr>
          <w:p w14:paraId="5B908220" w14:textId="77777777" w:rsidR="00423294" w:rsidRPr="007F78CE" w:rsidRDefault="00423294" w:rsidP="007F78CE">
            <w:pPr>
              <w:spacing w:after="0" w:line="240" w:lineRule="auto"/>
              <w:jc w:val="right"/>
              <w:rPr>
                <w:rFonts w:ascii="Arial" w:hAnsi="Arial" w:cs="Arial"/>
              </w:rPr>
            </w:pPr>
            <w:r w:rsidRPr="007F78CE">
              <w:rPr>
                <w:rFonts w:ascii="Arial" w:hAnsi="Arial" w:cs="Arial"/>
              </w:rPr>
              <w:t>1000</w:t>
            </w:r>
          </w:p>
        </w:tc>
        <w:tc>
          <w:tcPr>
            <w:tcW w:w="1980" w:type="dxa"/>
            <w:shd w:val="clear" w:color="auto" w:fill="auto"/>
          </w:tcPr>
          <w:p w14:paraId="51DCDCD7" w14:textId="77777777" w:rsidR="00423294" w:rsidRPr="007F78CE" w:rsidRDefault="00423294" w:rsidP="007F78CE">
            <w:pPr>
              <w:spacing w:after="0" w:line="240" w:lineRule="auto"/>
              <w:jc w:val="right"/>
              <w:rPr>
                <w:rFonts w:ascii="Arial" w:hAnsi="Arial" w:cs="Arial"/>
              </w:rPr>
            </w:pPr>
            <w:r w:rsidRPr="007F78CE">
              <w:rPr>
                <w:rFonts w:ascii="Arial" w:hAnsi="Arial" w:cs="Arial"/>
              </w:rPr>
              <w:t>86</w:t>
            </w:r>
          </w:p>
        </w:tc>
      </w:tr>
      <w:tr w:rsidR="00423294" w:rsidRPr="007F78CE" w14:paraId="0ED91473" w14:textId="77777777" w:rsidTr="00B434A6">
        <w:trPr>
          <w:jc w:val="center"/>
        </w:trPr>
        <w:tc>
          <w:tcPr>
            <w:tcW w:w="2417" w:type="dxa"/>
            <w:shd w:val="clear" w:color="auto" w:fill="auto"/>
          </w:tcPr>
          <w:p w14:paraId="26636223" w14:textId="77777777" w:rsidR="00423294" w:rsidRPr="007F78CE" w:rsidRDefault="00423294" w:rsidP="007F78CE">
            <w:pPr>
              <w:spacing w:after="0" w:line="240" w:lineRule="auto"/>
              <w:rPr>
                <w:rFonts w:ascii="Arial" w:hAnsi="Arial" w:cs="Arial"/>
              </w:rPr>
            </w:pPr>
            <w:r w:rsidRPr="007F78CE">
              <w:rPr>
                <w:rFonts w:ascii="Arial" w:hAnsi="Arial" w:cs="Arial"/>
              </w:rPr>
              <w:t>Baobab</w:t>
            </w:r>
          </w:p>
        </w:tc>
        <w:tc>
          <w:tcPr>
            <w:tcW w:w="1443" w:type="dxa"/>
            <w:shd w:val="clear" w:color="auto" w:fill="auto"/>
          </w:tcPr>
          <w:p w14:paraId="4DB899D4" w14:textId="77777777" w:rsidR="00423294" w:rsidRPr="007F78CE" w:rsidRDefault="00423294" w:rsidP="007F78CE">
            <w:pPr>
              <w:spacing w:after="0" w:line="240" w:lineRule="auto"/>
              <w:jc w:val="right"/>
              <w:rPr>
                <w:rFonts w:ascii="Arial" w:hAnsi="Arial" w:cs="Arial"/>
              </w:rPr>
            </w:pPr>
            <w:r w:rsidRPr="007F78CE">
              <w:rPr>
                <w:rFonts w:ascii="Arial" w:hAnsi="Arial" w:cs="Arial"/>
              </w:rPr>
              <w:t>8</w:t>
            </w:r>
          </w:p>
        </w:tc>
        <w:tc>
          <w:tcPr>
            <w:tcW w:w="1980" w:type="dxa"/>
            <w:shd w:val="clear" w:color="auto" w:fill="auto"/>
          </w:tcPr>
          <w:p w14:paraId="3DF22DF0" w14:textId="77777777" w:rsidR="00423294" w:rsidRPr="007F78CE" w:rsidRDefault="00423294" w:rsidP="007F78CE">
            <w:pPr>
              <w:spacing w:after="0" w:line="240" w:lineRule="auto"/>
              <w:jc w:val="right"/>
              <w:rPr>
                <w:rFonts w:ascii="Arial" w:hAnsi="Arial" w:cs="Arial"/>
              </w:rPr>
            </w:pPr>
            <w:r w:rsidRPr="007F78CE">
              <w:rPr>
                <w:rFonts w:ascii="Arial" w:hAnsi="Arial" w:cs="Arial"/>
              </w:rPr>
              <w:t>88</w:t>
            </w:r>
          </w:p>
        </w:tc>
      </w:tr>
      <w:tr w:rsidR="00423294" w:rsidRPr="007F78CE" w14:paraId="16F62525" w14:textId="77777777" w:rsidTr="00B434A6">
        <w:trPr>
          <w:jc w:val="center"/>
        </w:trPr>
        <w:tc>
          <w:tcPr>
            <w:tcW w:w="2417" w:type="dxa"/>
            <w:shd w:val="clear" w:color="auto" w:fill="auto"/>
          </w:tcPr>
          <w:p w14:paraId="38F24576" w14:textId="77777777" w:rsidR="00423294" w:rsidRPr="007F78CE" w:rsidRDefault="00423294" w:rsidP="007F78CE">
            <w:pPr>
              <w:spacing w:after="0" w:line="240" w:lineRule="auto"/>
              <w:rPr>
                <w:rFonts w:ascii="Arial" w:hAnsi="Arial" w:cs="Arial"/>
              </w:rPr>
            </w:pPr>
            <w:r w:rsidRPr="007F78CE">
              <w:rPr>
                <w:rFonts w:ascii="Arial" w:hAnsi="Arial" w:cs="Arial"/>
              </w:rPr>
              <w:t>Aloe</w:t>
            </w:r>
          </w:p>
        </w:tc>
        <w:tc>
          <w:tcPr>
            <w:tcW w:w="1443" w:type="dxa"/>
            <w:shd w:val="clear" w:color="auto" w:fill="auto"/>
          </w:tcPr>
          <w:p w14:paraId="415F96DC" w14:textId="77777777" w:rsidR="00423294" w:rsidRPr="007F78CE" w:rsidRDefault="00423294" w:rsidP="007F78CE">
            <w:pPr>
              <w:spacing w:after="0" w:line="240" w:lineRule="auto"/>
              <w:jc w:val="right"/>
              <w:rPr>
                <w:rFonts w:ascii="Arial" w:hAnsi="Arial" w:cs="Arial"/>
              </w:rPr>
            </w:pPr>
            <w:r w:rsidRPr="007F78CE">
              <w:rPr>
                <w:rFonts w:ascii="Arial" w:hAnsi="Arial" w:cs="Arial"/>
              </w:rPr>
              <w:t>151</w:t>
            </w:r>
          </w:p>
        </w:tc>
        <w:tc>
          <w:tcPr>
            <w:tcW w:w="1980" w:type="dxa"/>
            <w:shd w:val="clear" w:color="auto" w:fill="auto"/>
          </w:tcPr>
          <w:p w14:paraId="0B2B4B58" w14:textId="77777777" w:rsidR="00423294" w:rsidRPr="007F78CE" w:rsidRDefault="00423294" w:rsidP="007F78CE">
            <w:pPr>
              <w:spacing w:after="0" w:line="240" w:lineRule="auto"/>
              <w:jc w:val="right"/>
              <w:rPr>
                <w:rFonts w:ascii="Arial" w:hAnsi="Arial" w:cs="Arial"/>
              </w:rPr>
            </w:pPr>
            <w:r w:rsidRPr="007F78CE">
              <w:rPr>
                <w:rFonts w:ascii="Arial" w:hAnsi="Arial" w:cs="Arial"/>
              </w:rPr>
              <w:t>100</w:t>
            </w:r>
          </w:p>
        </w:tc>
      </w:tr>
      <w:tr w:rsidR="00423294" w:rsidRPr="007F78CE" w14:paraId="0D0374ED" w14:textId="77777777" w:rsidTr="00B434A6">
        <w:trPr>
          <w:jc w:val="center"/>
        </w:trPr>
        <w:tc>
          <w:tcPr>
            <w:tcW w:w="2417" w:type="dxa"/>
            <w:shd w:val="clear" w:color="auto" w:fill="auto"/>
          </w:tcPr>
          <w:p w14:paraId="7BFBBC6D" w14:textId="77777777" w:rsidR="00423294" w:rsidRPr="007F78CE" w:rsidRDefault="00423294" w:rsidP="007F78CE">
            <w:pPr>
              <w:spacing w:after="0" w:line="240" w:lineRule="auto"/>
              <w:rPr>
                <w:rFonts w:ascii="Arial" w:hAnsi="Arial" w:cs="Arial"/>
              </w:rPr>
            </w:pPr>
            <w:r w:rsidRPr="007F78CE">
              <w:rPr>
                <w:rFonts w:ascii="Arial" w:hAnsi="Arial" w:cs="Arial"/>
              </w:rPr>
              <w:t>Plante d’eau douce</w:t>
            </w:r>
          </w:p>
        </w:tc>
        <w:tc>
          <w:tcPr>
            <w:tcW w:w="1443" w:type="dxa"/>
            <w:shd w:val="clear" w:color="auto" w:fill="auto"/>
          </w:tcPr>
          <w:p w14:paraId="0378A673" w14:textId="77777777" w:rsidR="00423294" w:rsidRPr="007F78CE" w:rsidRDefault="00423294" w:rsidP="007F78CE">
            <w:pPr>
              <w:spacing w:after="0" w:line="240" w:lineRule="auto"/>
              <w:jc w:val="right"/>
              <w:rPr>
                <w:rFonts w:ascii="Arial" w:hAnsi="Arial" w:cs="Arial"/>
              </w:rPr>
            </w:pPr>
            <w:r w:rsidRPr="007F78CE">
              <w:rPr>
                <w:rFonts w:ascii="Arial" w:hAnsi="Arial" w:cs="Arial"/>
              </w:rPr>
              <w:t>159</w:t>
            </w:r>
          </w:p>
        </w:tc>
        <w:tc>
          <w:tcPr>
            <w:tcW w:w="1980" w:type="dxa"/>
            <w:shd w:val="clear" w:color="auto" w:fill="auto"/>
          </w:tcPr>
          <w:p w14:paraId="46963F33" w14:textId="77777777" w:rsidR="00423294" w:rsidRPr="007F78CE" w:rsidRDefault="00423294" w:rsidP="007F78CE">
            <w:pPr>
              <w:spacing w:after="0" w:line="240" w:lineRule="auto"/>
              <w:jc w:val="right"/>
              <w:rPr>
                <w:rFonts w:ascii="Arial" w:hAnsi="Arial" w:cs="Arial"/>
              </w:rPr>
            </w:pPr>
            <w:r w:rsidRPr="007F78CE">
              <w:rPr>
                <w:rFonts w:ascii="Arial" w:hAnsi="Arial" w:cs="Arial"/>
              </w:rPr>
              <w:t>66</w:t>
            </w:r>
          </w:p>
        </w:tc>
      </w:tr>
    </w:tbl>
    <w:p w14:paraId="58A96311" w14:textId="77777777" w:rsidR="0075210A" w:rsidRPr="00F91FA3" w:rsidRDefault="5121A795" w:rsidP="3CB7C1AD">
      <w:pPr>
        <w:ind w:left="1843"/>
        <w:jc w:val="both"/>
        <w:rPr>
          <w:rFonts w:ascii="Arial" w:hAnsi="Arial" w:cs="Arial"/>
          <w:sz w:val="16"/>
          <w:szCs w:val="16"/>
        </w:rPr>
      </w:pPr>
      <w:r w:rsidRPr="3CB7C1AD">
        <w:rPr>
          <w:rFonts w:ascii="Arial" w:hAnsi="Arial" w:cs="Arial"/>
          <w:sz w:val="16"/>
          <w:szCs w:val="16"/>
        </w:rPr>
        <w:t xml:space="preserve">Source </w:t>
      </w:r>
      <w:r w:rsidR="0051637C" w:rsidRPr="00C47906">
        <w:rPr>
          <w:rFonts w:ascii="Arial" w:hAnsi="Arial" w:cs="Arial"/>
          <w:color w:val="FF0000"/>
          <w:sz w:val="16"/>
          <w:szCs w:val="16"/>
        </w:rPr>
        <w:t xml:space="preserve">: </w:t>
      </w:r>
      <w:r w:rsidR="5DE51984" w:rsidRPr="00742D67">
        <w:rPr>
          <w:rFonts w:ascii="Arial" w:hAnsi="Arial" w:cs="Arial"/>
          <w:sz w:val="16"/>
          <w:szCs w:val="16"/>
        </w:rPr>
        <w:t xml:space="preserve">TBE </w:t>
      </w:r>
      <w:r w:rsidR="785F4ACE" w:rsidRPr="00742D67">
        <w:rPr>
          <w:rFonts w:ascii="Arial" w:hAnsi="Arial" w:cs="Arial"/>
          <w:sz w:val="16"/>
          <w:szCs w:val="16"/>
        </w:rPr>
        <w:t xml:space="preserve">National </w:t>
      </w:r>
      <w:r w:rsidR="5DE51984" w:rsidRPr="00742D67">
        <w:rPr>
          <w:rFonts w:ascii="Arial" w:hAnsi="Arial" w:cs="Arial"/>
          <w:sz w:val="16"/>
          <w:szCs w:val="16"/>
        </w:rPr>
        <w:t>2022</w:t>
      </w:r>
      <w:r w:rsidR="00C81B85" w:rsidRPr="3CB7C1AD">
        <w:rPr>
          <w:rStyle w:val="Appelnotedebasdep"/>
          <w:rFonts w:ascii="Arial" w:hAnsi="Arial" w:cs="Arial"/>
          <w:sz w:val="16"/>
          <w:szCs w:val="16"/>
        </w:rPr>
        <w:footnoteReference w:id="37"/>
      </w:r>
    </w:p>
    <w:p w14:paraId="754A5B23" w14:textId="77777777" w:rsidR="0075210A" w:rsidRDefault="008C38B0" w:rsidP="00FA7742">
      <w:pPr>
        <w:jc w:val="both"/>
        <w:rPr>
          <w:rFonts w:ascii="Arial" w:hAnsi="Arial" w:cs="Arial"/>
          <w:shd w:val="clear" w:color="auto" w:fill="FFFFFF"/>
        </w:rPr>
      </w:pPr>
      <w:r w:rsidRPr="0017227E">
        <w:rPr>
          <w:rFonts w:ascii="Arial" w:hAnsi="Arial" w:cs="Arial"/>
        </w:rPr>
        <w:lastRenderedPageBreak/>
        <w:t xml:space="preserve">Heureusement, la grande majorité des plantes natives se trouvent dans les formations forestières. </w:t>
      </w:r>
      <w:r w:rsidR="00801D80">
        <w:rPr>
          <w:rFonts w:ascii="Arial" w:hAnsi="Arial" w:cs="Arial"/>
        </w:rPr>
        <w:t>Cependant</w:t>
      </w:r>
      <w:r w:rsidRPr="0017227E">
        <w:rPr>
          <w:rFonts w:ascii="Arial" w:hAnsi="Arial" w:cs="Arial"/>
        </w:rPr>
        <w:t xml:space="preserve">, les espèces végétales rencontrées au niveau de la zone d’emprise du projet sont constituées </w:t>
      </w:r>
      <w:r w:rsidR="00C67CB4">
        <w:rPr>
          <w:rFonts w:ascii="Arial" w:hAnsi="Arial" w:cs="Arial"/>
        </w:rPr>
        <w:t xml:space="preserve">principalement </w:t>
      </w:r>
      <w:r w:rsidRPr="0017227E">
        <w:rPr>
          <w:rFonts w:ascii="Arial" w:hAnsi="Arial" w:cs="Arial"/>
        </w:rPr>
        <w:t>par des espèces rudérales cosmopolite</w:t>
      </w:r>
      <w:r w:rsidR="009175BB">
        <w:rPr>
          <w:rFonts w:ascii="Arial" w:hAnsi="Arial" w:cs="Arial"/>
        </w:rPr>
        <w:t>s</w:t>
      </w:r>
      <w:r w:rsidRPr="0017227E">
        <w:rPr>
          <w:rFonts w:ascii="Arial" w:hAnsi="Arial" w:cs="Arial"/>
        </w:rPr>
        <w:t xml:space="preserve"> et à large distribution. </w:t>
      </w:r>
      <w:r w:rsidR="003B4DB5" w:rsidRPr="0017227E">
        <w:rPr>
          <w:rFonts w:ascii="Arial" w:hAnsi="Arial" w:cs="Arial"/>
        </w:rPr>
        <w:t xml:space="preserve">Effectivement, les espèces de plantes rencontrées dans la zone d’emprise du projet sont dominées par des POACEAE telles que : </w:t>
      </w:r>
      <w:r w:rsidR="003B4DB5" w:rsidRPr="0017227E">
        <w:rPr>
          <w:rFonts w:ascii="Arial" w:hAnsi="Arial" w:cs="Arial"/>
          <w:i/>
        </w:rPr>
        <w:t xml:space="preserve">Panicum maximum, Rhychelitrum repens, Pennisetum sp, Hyparrhenia rufa, Imperata cylindrica. Des ASTERACEAE comme Bidens Pilosa, Taraxacum officinale, </w:t>
      </w:r>
      <w:r w:rsidR="000D4ADC" w:rsidRPr="0017227E">
        <w:rPr>
          <w:rFonts w:ascii="Arial" w:hAnsi="Arial" w:cs="Arial"/>
          <w:i/>
        </w:rPr>
        <w:t xml:space="preserve">Cosmos caudatus, Tridax procumbens. </w:t>
      </w:r>
      <w:r w:rsidR="000D4ADC" w:rsidRPr="0017227E">
        <w:rPr>
          <w:rFonts w:ascii="Arial" w:hAnsi="Arial" w:cs="Arial"/>
        </w:rPr>
        <w:t>Outre ces espèces,</w:t>
      </w:r>
      <w:r w:rsidR="000D4ADC" w:rsidRPr="0017227E">
        <w:rPr>
          <w:rFonts w:ascii="Arial" w:hAnsi="Arial" w:cs="Arial"/>
          <w:i/>
        </w:rPr>
        <w:t xml:space="preserve"> </w:t>
      </w:r>
      <w:r w:rsidR="000D4ADC" w:rsidRPr="0017227E">
        <w:rPr>
          <w:rFonts w:ascii="Arial" w:hAnsi="Arial" w:cs="Arial"/>
        </w:rPr>
        <w:t xml:space="preserve">les plantes buissonnantes comme </w:t>
      </w:r>
      <w:r w:rsidR="000D4ADC" w:rsidRPr="0017227E">
        <w:rPr>
          <w:rFonts w:ascii="Arial" w:hAnsi="Arial" w:cs="Arial"/>
          <w:i/>
        </w:rPr>
        <w:t>Lantana camara (VERBENACEAE)</w:t>
      </w:r>
      <w:r w:rsidR="000D4ADC" w:rsidRPr="0017227E">
        <w:rPr>
          <w:rFonts w:ascii="Arial" w:hAnsi="Arial" w:cs="Arial"/>
        </w:rPr>
        <w:t xml:space="preserve">, </w:t>
      </w:r>
      <w:r w:rsidR="000D4ADC" w:rsidRPr="00F01166">
        <w:rPr>
          <w:rFonts w:ascii="Arial" w:hAnsi="Arial" w:cs="Arial"/>
          <w:i/>
          <w:iCs/>
          <w:shd w:val="clear" w:color="auto" w:fill="FFFFFF"/>
        </w:rPr>
        <w:t>Cymbopogon sp</w:t>
      </w:r>
      <w:r w:rsidR="000D4ADC" w:rsidRPr="0017227E">
        <w:rPr>
          <w:rFonts w:ascii="Arial" w:hAnsi="Arial" w:cs="Arial"/>
          <w:shd w:val="clear" w:color="auto" w:fill="FFFFFF"/>
        </w:rPr>
        <w:t xml:space="preserve"> (POACEAE) sont aussi les plus observées. Tandis que les arbres sont constitués essentiellement par des arbres fruitiers comme les </w:t>
      </w:r>
      <w:r w:rsidR="009175BB">
        <w:rPr>
          <w:rFonts w:ascii="Arial" w:hAnsi="Arial" w:cs="Arial"/>
          <w:shd w:val="clear" w:color="auto" w:fill="FFFFFF"/>
        </w:rPr>
        <w:t>m</w:t>
      </w:r>
      <w:r w:rsidR="000D4ADC" w:rsidRPr="0017227E">
        <w:rPr>
          <w:rFonts w:ascii="Arial" w:hAnsi="Arial" w:cs="Arial"/>
          <w:shd w:val="clear" w:color="auto" w:fill="FFFFFF"/>
        </w:rPr>
        <w:t xml:space="preserve">anguiers, </w:t>
      </w:r>
      <w:r w:rsidR="009175BB">
        <w:rPr>
          <w:rFonts w:ascii="Arial" w:hAnsi="Arial" w:cs="Arial"/>
          <w:shd w:val="clear" w:color="auto" w:fill="FFFFFF"/>
        </w:rPr>
        <w:t>a</w:t>
      </w:r>
      <w:r w:rsidR="000D4ADC" w:rsidRPr="0017227E">
        <w:rPr>
          <w:rFonts w:ascii="Arial" w:hAnsi="Arial" w:cs="Arial"/>
          <w:shd w:val="clear" w:color="auto" w:fill="FFFFFF"/>
        </w:rPr>
        <w:t>vocatiers, papayer</w:t>
      </w:r>
      <w:r w:rsidR="00030978">
        <w:rPr>
          <w:rFonts w:ascii="Arial" w:hAnsi="Arial" w:cs="Arial"/>
          <w:shd w:val="clear" w:color="auto" w:fill="FFFFFF"/>
        </w:rPr>
        <w:t>s</w:t>
      </w:r>
      <w:r w:rsidR="000D4ADC" w:rsidRPr="0017227E">
        <w:rPr>
          <w:rFonts w:ascii="Arial" w:hAnsi="Arial" w:cs="Arial"/>
          <w:shd w:val="clear" w:color="auto" w:fill="FFFFFF"/>
        </w:rPr>
        <w:t xml:space="preserve"> ainsi que des arbres d’ornementation comme le </w:t>
      </w:r>
      <w:r w:rsidR="000B2264" w:rsidRPr="0017227E">
        <w:rPr>
          <w:rFonts w:ascii="Arial" w:hAnsi="Arial" w:cs="Arial"/>
          <w:i/>
          <w:shd w:val="clear" w:color="auto" w:fill="FFFFFF"/>
        </w:rPr>
        <w:t>Terminalia, Cupre</w:t>
      </w:r>
      <w:r w:rsidR="001D3A29" w:rsidRPr="0017227E">
        <w:rPr>
          <w:rFonts w:ascii="Arial" w:hAnsi="Arial" w:cs="Arial"/>
          <w:i/>
          <w:shd w:val="clear" w:color="auto" w:fill="FFFFFF"/>
        </w:rPr>
        <w:t>sus</w:t>
      </w:r>
      <w:r w:rsidR="001D3A29" w:rsidRPr="0017227E">
        <w:rPr>
          <w:rFonts w:ascii="Arial" w:hAnsi="Arial" w:cs="Arial"/>
          <w:shd w:val="clear" w:color="auto" w:fill="FFFFFF"/>
        </w:rPr>
        <w:t xml:space="preserve">, etc. </w:t>
      </w:r>
      <w:r w:rsidR="00030978">
        <w:rPr>
          <w:rFonts w:ascii="Arial" w:hAnsi="Arial" w:cs="Arial"/>
          <w:shd w:val="clear" w:color="auto" w:fill="FFFFFF"/>
        </w:rPr>
        <w:t>I</w:t>
      </w:r>
      <w:r w:rsidR="001D3A29" w:rsidRPr="0017227E">
        <w:rPr>
          <w:rFonts w:ascii="Arial" w:hAnsi="Arial" w:cs="Arial"/>
          <w:shd w:val="clear" w:color="auto" w:fill="FFFFFF"/>
        </w:rPr>
        <w:t>l n’est pas rare aussi de rencontr</w:t>
      </w:r>
      <w:r w:rsidR="00030978">
        <w:rPr>
          <w:rFonts w:ascii="Arial" w:hAnsi="Arial" w:cs="Arial"/>
          <w:shd w:val="clear" w:color="auto" w:fill="FFFFFF"/>
        </w:rPr>
        <w:t>er</w:t>
      </w:r>
      <w:r w:rsidR="001D3A29" w:rsidRPr="0017227E">
        <w:rPr>
          <w:rFonts w:ascii="Arial" w:hAnsi="Arial" w:cs="Arial"/>
          <w:shd w:val="clear" w:color="auto" w:fill="FFFFFF"/>
        </w:rPr>
        <w:t xml:space="preserve"> des espèces </w:t>
      </w:r>
      <w:r w:rsidR="000B2264" w:rsidRPr="0017227E">
        <w:rPr>
          <w:rFonts w:ascii="Arial" w:hAnsi="Arial" w:cs="Arial"/>
          <w:shd w:val="clear" w:color="auto" w:fill="FFFFFF"/>
        </w:rPr>
        <w:t xml:space="preserve">de reboisement </w:t>
      </w:r>
      <w:r w:rsidR="001D3A29" w:rsidRPr="0017227E">
        <w:rPr>
          <w:rFonts w:ascii="Arial" w:hAnsi="Arial" w:cs="Arial"/>
          <w:shd w:val="clear" w:color="auto" w:fill="FFFFFF"/>
        </w:rPr>
        <w:t>comme les pins et les eucalyptus.</w:t>
      </w:r>
    </w:p>
    <w:p w14:paraId="4097575C" w14:textId="77777777" w:rsidR="0075210A" w:rsidRPr="0075210A" w:rsidRDefault="0075210A" w:rsidP="0044500E">
      <w:pPr>
        <w:pStyle w:val="TIT40"/>
        <w:numPr>
          <w:ilvl w:val="3"/>
          <w:numId w:val="177"/>
        </w:numPr>
        <w:outlineLvl w:val="3"/>
      </w:pPr>
      <w:bookmarkStart w:id="357" w:name="_Toc124314665"/>
      <w:bookmarkStart w:id="358" w:name="_Toc124956143"/>
      <w:bookmarkStart w:id="359" w:name="_Toc125384542"/>
      <w:bookmarkStart w:id="360" w:name="_Toc125384931"/>
      <w:bookmarkStart w:id="361" w:name="_Toc127957603"/>
      <w:r w:rsidRPr="0075210A">
        <w:t>Espèces faunistiques</w:t>
      </w:r>
      <w:bookmarkEnd w:id="357"/>
      <w:bookmarkEnd w:id="358"/>
      <w:bookmarkEnd w:id="359"/>
      <w:bookmarkEnd w:id="360"/>
      <w:bookmarkEnd w:id="361"/>
      <w:r w:rsidRPr="0075210A">
        <w:t xml:space="preserve"> </w:t>
      </w:r>
    </w:p>
    <w:p w14:paraId="08FF31D4" w14:textId="77777777" w:rsidR="00FA7742" w:rsidRPr="0017227E" w:rsidRDefault="00FA7742" w:rsidP="00FA7742">
      <w:pPr>
        <w:jc w:val="both"/>
        <w:rPr>
          <w:rFonts w:ascii="Arial" w:hAnsi="Arial" w:cs="Arial"/>
        </w:rPr>
      </w:pPr>
      <w:r w:rsidRPr="0017227E">
        <w:rPr>
          <w:rFonts w:ascii="Arial" w:hAnsi="Arial" w:cs="Arial"/>
        </w:rPr>
        <w:t>La faune constitue un patrimoine naturel unique pour Madagascar dont une grande partie est d’une valeur universelle. En effet, outre la présence d’une radiation adaptative remarquable au sein de nombreux taxa, aucun pays au monde n’est plus riche en espèces endémiques que Madagascar.</w:t>
      </w:r>
    </w:p>
    <w:p w14:paraId="4127377B" w14:textId="77777777" w:rsidR="006A3595" w:rsidRPr="0017227E" w:rsidRDefault="00FA7742" w:rsidP="00FA7742">
      <w:pPr>
        <w:jc w:val="both"/>
        <w:rPr>
          <w:rFonts w:ascii="Arial" w:hAnsi="Arial" w:cs="Arial"/>
        </w:rPr>
      </w:pPr>
      <w:r w:rsidRPr="0017227E">
        <w:rPr>
          <w:rFonts w:ascii="Arial" w:hAnsi="Arial" w:cs="Arial"/>
        </w:rPr>
        <w:t>Effectivement, la faune de Madagascar présente un niveau d’endémisme qui s’étend jusqu’à la superfamille (lémuriens) et à la famille pour certains groupes taxinomiques</w:t>
      </w:r>
      <w:r w:rsidR="006A3595" w:rsidRPr="0017227E">
        <w:rPr>
          <w:rFonts w:ascii="Arial" w:hAnsi="Arial" w:cs="Arial"/>
        </w:rPr>
        <w:t xml:space="preserve">. D’après le tableau suivant, </w:t>
      </w:r>
      <w:r w:rsidRPr="0017227E">
        <w:rPr>
          <w:rFonts w:ascii="Arial" w:hAnsi="Arial" w:cs="Arial"/>
        </w:rPr>
        <w:t xml:space="preserve">le taux d’endémisme atteint 100 % pour certains </w:t>
      </w:r>
      <w:r w:rsidR="006A3595" w:rsidRPr="0017227E">
        <w:rPr>
          <w:rFonts w:ascii="Arial" w:hAnsi="Arial" w:cs="Arial"/>
        </w:rPr>
        <w:t xml:space="preserve">taxa comme les Amphibiens et les primates. </w:t>
      </w:r>
    </w:p>
    <w:p w14:paraId="18883CA2" w14:textId="77777777" w:rsidR="006A3595" w:rsidRPr="0017227E" w:rsidRDefault="00DC393D" w:rsidP="00FA7742">
      <w:pPr>
        <w:jc w:val="both"/>
        <w:rPr>
          <w:rFonts w:ascii="Arial" w:hAnsi="Arial" w:cs="Arial"/>
        </w:rPr>
      </w:pPr>
      <w:r w:rsidRPr="0017227E">
        <w:rPr>
          <w:rFonts w:ascii="Arial" w:hAnsi="Arial" w:cs="Arial"/>
        </w:rPr>
        <w:t>Le tableau suivant montre la richesse faunique de Madagascar</w:t>
      </w:r>
    </w:p>
    <w:p w14:paraId="3D8AC940" w14:textId="77777777" w:rsidR="00FA7742" w:rsidRPr="006A3595" w:rsidRDefault="006A3595" w:rsidP="006A3595">
      <w:pPr>
        <w:pStyle w:val="Lgende"/>
        <w:jc w:val="center"/>
        <w:rPr>
          <w:sz w:val="20"/>
        </w:rPr>
      </w:pPr>
      <w:bookmarkStart w:id="362" w:name="_Toc127957805"/>
      <w:r w:rsidRPr="006A3595">
        <w:rPr>
          <w:sz w:val="20"/>
        </w:rPr>
        <w:t xml:space="preserve">Tableau </w:t>
      </w:r>
      <w:r w:rsidRPr="006A3595">
        <w:rPr>
          <w:sz w:val="20"/>
        </w:rPr>
        <w:fldChar w:fldCharType="begin"/>
      </w:r>
      <w:r w:rsidRPr="006A3595">
        <w:rPr>
          <w:sz w:val="20"/>
        </w:rPr>
        <w:instrText xml:space="preserve"> SEQ Tableau \* ARABIC </w:instrText>
      </w:r>
      <w:r w:rsidRPr="006A3595">
        <w:rPr>
          <w:sz w:val="20"/>
        </w:rPr>
        <w:fldChar w:fldCharType="separate"/>
      </w:r>
      <w:r w:rsidR="005430A1">
        <w:rPr>
          <w:noProof/>
          <w:sz w:val="20"/>
        </w:rPr>
        <w:t>9</w:t>
      </w:r>
      <w:r w:rsidRPr="006A3595">
        <w:rPr>
          <w:sz w:val="20"/>
        </w:rPr>
        <w:fldChar w:fldCharType="end"/>
      </w:r>
      <w:r w:rsidRPr="006A3595">
        <w:rPr>
          <w:sz w:val="20"/>
        </w:rPr>
        <w:t>. Nombre d'espèces et taux d'endémicité pour quelques groupes de vertébrés de Madagascar</w:t>
      </w:r>
      <w:bookmarkEnd w:id="362"/>
    </w:p>
    <w:tbl>
      <w:tblPr>
        <w:tblW w:w="8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95"/>
        <w:gridCol w:w="3263"/>
        <w:gridCol w:w="1506"/>
        <w:gridCol w:w="2038"/>
      </w:tblGrid>
      <w:tr w:rsidR="0063584D" w:rsidRPr="007F78CE" w14:paraId="6927721F" w14:textId="77777777" w:rsidTr="00B434A6">
        <w:trPr>
          <w:tblHeader/>
          <w:jc w:val="center"/>
        </w:trPr>
        <w:tc>
          <w:tcPr>
            <w:tcW w:w="1795" w:type="dxa"/>
            <w:shd w:val="clear" w:color="auto" w:fill="002060"/>
            <w:vAlign w:val="center"/>
          </w:tcPr>
          <w:p w14:paraId="10577126" w14:textId="77777777" w:rsidR="006A3595" w:rsidRPr="00B434A6" w:rsidRDefault="006A3595" w:rsidP="007F78CE">
            <w:pPr>
              <w:widowControl w:val="0"/>
              <w:pBdr>
                <w:top w:val="nil"/>
                <w:left w:val="nil"/>
                <w:bottom w:val="nil"/>
                <w:right w:val="nil"/>
                <w:between w:val="nil"/>
              </w:pBdr>
              <w:spacing w:after="0" w:line="240" w:lineRule="auto"/>
              <w:jc w:val="center"/>
              <w:rPr>
                <w:rFonts w:ascii="Arial" w:hAnsi="Arial" w:cs="Arial"/>
                <w:b/>
                <w:color w:val="FFFFFF"/>
                <w:sz w:val="20"/>
                <w:szCs w:val="20"/>
              </w:rPr>
            </w:pPr>
            <w:r w:rsidRPr="00B434A6">
              <w:rPr>
                <w:rFonts w:ascii="Arial" w:hAnsi="Arial" w:cs="Arial"/>
                <w:b/>
                <w:color w:val="FFFFFF"/>
                <w:sz w:val="20"/>
                <w:szCs w:val="20"/>
              </w:rPr>
              <w:t>Taxa</w:t>
            </w:r>
          </w:p>
        </w:tc>
        <w:tc>
          <w:tcPr>
            <w:tcW w:w="3263" w:type="dxa"/>
            <w:shd w:val="clear" w:color="auto" w:fill="002060"/>
            <w:vAlign w:val="center"/>
          </w:tcPr>
          <w:p w14:paraId="059C6A91" w14:textId="77777777" w:rsidR="006A3595" w:rsidRPr="00B434A6" w:rsidRDefault="006A3595" w:rsidP="007F78CE">
            <w:pPr>
              <w:widowControl w:val="0"/>
              <w:pBdr>
                <w:top w:val="nil"/>
                <w:left w:val="nil"/>
                <w:bottom w:val="nil"/>
                <w:right w:val="nil"/>
                <w:between w:val="nil"/>
              </w:pBdr>
              <w:spacing w:after="0" w:line="240" w:lineRule="auto"/>
              <w:jc w:val="center"/>
              <w:rPr>
                <w:rFonts w:ascii="Arial" w:hAnsi="Arial" w:cs="Arial"/>
                <w:b/>
                <w:color w:val="FFFFFF"/>
                <w:sz w:val="20"/>
                <w:szCs w:val="20"/>
              </w:rPr>
            </w:pPr>
            <w:r w:rsidRPr="00B434A6">
              <w:rPr>
                <w:rFonts w:ascii="Arial" w:hAnsi="Arial" w:cs="Arial"/>
                <w:b/>
                <w:color w:val="FFFFFF"/>
                <w:sz w:val="20"/>
                <w:szCs w:val="20"/>
              </w:rPr>
              <w:t>Richesse spécifique</w:t>
            </w:r>
          </w:p>
        </w:tc>
        <w:tc>
          <w:tcPr>
            <w:tcW w:w="1506" w:type="dxa"/>
            <w:shd w:val="clear" w:color="auto" w:fill="002060"/>
            <w:vAlign w:val="center"/>
          </w:tcPr>
          <w:p w14:paraId="5CB0F326" w14:textId="77777777" w:rsidR="006A3595" w:rsidRPr="00B434A6" w:rsidRDefault="006A3595" w:rsidP="007F78CE">
            <w:pPr>
              <w:widowControl w:val="0"/>
              <w:pBdr>
                <w:top w:val="nil"/>
                <w:left w:val="nil"/>
                <w:bottom w:val="nil"/>
                <w:right w:val="nil"/>
                <w:between w:val="nil"/>
              </w:pBdr>
              <w:spacing w:after="0" w:line="240" w:lineRule="auto"/>
              <w:jc w:val="center"/>
              <w:rPr>
                <w:rFonts w:ascii="Arial" w:hAnsi="Arial" w:cs="Arial"/>
                <w:b/>
                <w:color w:val="FFFFFF"/>
                <w:sz w:val="20"/>
                <w:szCs w:val="20"/>
              </w:rPr>
            </w:pPr>
            <w:r w:rsidRPr="00B434A6">
              <w:rPr>
                <w:rFonts w:ascii="Arial" w:hAnsi="Arial" w:cs="Arial"/>
                <w:b/>
                <w:color w:val="FFFFFF"/>
                <w:sz w:val="20"/>
                <w:szCs w:val="20"/>
              </w:rPr>
              <w:t>Endémicité (%)</w:t>
            </w:r>
          </w:p>
        </w:tc>
        <w:tc>
          <w:tcPr>
            <w:tcW w:w="2038" w:type="dxa"/>
            <w:shd w:val="clear" w:color="auto" w:fill="002060"/>
          </w:tcPr>
          <w:p w14:paraId="0B6CD4AC" w14:textId="77777777" w:rsidR="006A3595" w:rsidRPr="00B434A6" w:rsidRDefault="006A3595" w:rsidP="007F78CE">
            <w:pPr>
              <w:widowControl w:val="0"/>
              <w:pBdr>
                <w:top w:val="nil"/>
                <w:left w:val="nil"/>
                <w:bottom w:val="nil"/>
                <w:right w:val="nil"/>
                <w:between w:val="nil"/>
              </w:pBdr>
              <w:spacing w:after="0" w:line="240" w:lineRule="auto"/>
              <w:jc w:val="center"/>
              <w:rPr>
                <w:rFonts w:ascii="Arial" w:hAnsi="Arial" w:cs="Arial"/>
                <w:b/>
                <w:color w:val="FFFFFF"/>
                <w:sz w:val="20"/>
                <w:szCs w:val="20"/>
              </w:rPr>
            </w:pPr>
            <w:r w:rsidRPr="00B434A6">
              <w:rPr>
                <w:rFonts w:ascii="Arial" w:hAnsi="Arial" w:cs="Arial"/>
                <w:b/>
                <w:color w:val="FFFFFF"/>
                <w:sz w:val="20"/>
                <w:szCs w:val="20"/>
              </w:rPr>
              <w:t xml:space="preserve">Nb espèces en danger </w:t>
            </w:r>
            <w:r w:rsidR="007B17E5" w:rsidRPr="00B434A6">
              <w:rPr>
                <w:rFonts w:ascii="Arial" w:hAnsi="Arial" w:cs="Arial"/>
                <w:b/>
                <w:color w:val="FFFFFF"/>
                <w:sz w:val="20"/>
                <w:szCs w:val="20"/>
              </w:rPr>
              <w:t xml:space="preserve">selon UICN </w:t>
            </w:r>
          </w:p>
        </w:tc>
      </w:tr>
      <w:tr w:rsidR="0063584D" w:rsidRPr="007F78CE" w14:paraId="1B82EE88" w14:textId="77777777" w:rsidTr="00AE406E">
        <w:trPr>
          <w:jc w:val="center"/>
        </w:trPr>
        <w:tc>
          <w:tcPr>
            <w:tcW w:w="1795" w:type="dxa"/>
            <w:shd w:val="clear" w:color="auto" w:fill="auto"/>
            <w:vAlign w:val="center"/>
          </w:tcPr>
          <w:p w14:paraId="2951EC79" w14:textId="77777777" w:rsidR="006A3595" w:rsidRPr="007F78CE" w:rsidRDefault="006A3595" w:rsidP="00FD3415">
            <w:pPr>
              <w:widowControl w:val="0"/>
              <w:pBdr>
                <w:top w:val="nil"/>
                <w:left w:val="nil"/>
                <w:bottom w:val="nil"/>
                <w:right w:val="nil"/>
                <w:between w:val="nil"/>
              </w:pBdr>
              <w:spacing w:after="0" w:line="240" w:lineRule="auto"/>
              <w:rPr>
                <w:rFonts w:ascii="Arial" w:hAnsi="Arial" w:cs="Arial"/>
                <w:b/>
                <w:sz w:val="20"/>
                <w:szCs w:val="20"/>
              </w:rPr>
            </w:pPr>
            <w:r w:rsidRPr="007F78CE">
              <w:rPr>
                <w:rFonts w:ascii="Arial" w:hAnsi="Arial" w:cs="Arial"/>
                <w:b/>
                <w:sz w:val="20"/>
                <w:szCs w:val="20"/>
              </w:rPr>
              <w:t xml:space="preserve">Reptiles </w:t>
            </w:r>
          </w:p>
        </w:tc>
        <w:tc>
          <w:tcPr>
            <w:tcW w:w="3263" w:type="dxa"/>
            <w:shd w:val="clear" w:color="auto" w:fill="auto"/>
          </w:tcPr>
          <w:p w14:paraId="46E9B64C" w14:textId="77777777" w:rsidR="006A3595" w:rsidRPr="007F78CE" w:rsidRDefault="00423294" w:rsidP="007F78CE">
            <w:pPr>
              <w:widowControl w:val="0"/>
              <w:pBdr>
                <w:top w:val="nil"/>
                <w:left w:val="nil"/>
                <w:bottom w:val="nil"/>
                <w:right w:val="nil"/>
                <w:between w:val="nil"/>
              </w:pBdr>
              <w:spacing w:after="0" w:line="240" w:lineRule="auto"/>
              <w:rPr>
                <w:rFonts w:ascii="Arial" w:hAnsi="Arial" w:cs="Arial"/>
                <w:sz w:val="20"/>
                <w:szCs w:val="20"/>
              </w:rPr>
            </w:pPr>
            <w:r w:rsidRPr="007F78CE">
              <w:rPr>
                <w:rFonts w:ascii="Arial" w:hAnsi="Arial" w:cs="Arial"/>
                <w:sz w:val="20"/>
                <w:szCs w:val="20"/>
              </w:rPr>
              <w:t>420</w:t>
            </w:r>
            <w:r w:rsidR="00B053DD" w:rsidRPr="007F78CE">
              <w:rPr>
                <w:rFonts w:ascii="Arial" w:hAnsi="Arial" w:cs="Arial"/>
                <w:sz w:val="20"/>
                <w:szCs w:val="20"/>
              </w:rPr>
              <w:t>*</w:t>
            </w:r>
          </w:p>
        </w:tc>
        <w:tc>
          <w:tcPr>
            <w:tcW w:w="1506" w:type="dxa"/>
            <w:shd w:val="clear" w:color="auto" w:fill="auto"/>
            <w:vAlign w:val="center"/>
          </w:tcPr>
          <w:p w14:paraId="0F03615F" w14:textId="77777777" w:rsidR="006A3595" w:rsidRPr="007F78CE" w:rsidRDefault="006A3595" w:rsidP="00FD3415">
            <w:pPr>
              <w:widowControl w:val="0"/>
              <w:pBdr>
                <w:top w:val="nil"/>
                <w:left w:val="nil"/>
                <w:bottom w:val="nil"/>
                <w:right w:val="nil"/>
                <w:between w:val="nil"/>
              </w:pBdr>
              <w:spacing w:after="0" w:line="240" w:lineRule="auto"/>
              <w:jc w:val="center"/>
              <w:rPr>
                <w:rFonts w:ascii="Arial" w:hAnsi="Arial" w:cs="Arial"/>
                <w:sz w:val="20"/>
                <w:szCs w:val="20"/>
              </w:rPr>
            </w:pPr>
            <w:r w:rsidRPr="007F78CE">
              <w:rPr>
                <w:rFonts w:ascii="Arial" w:hAnsi="Arial" w:cs="Arial"/>
                <w:sz w:val="20"/>
                <w:szCs w:val="20"/>
              </w:rPr>
              <w:t>9</w:t>
            </w:r>
            <w:r w:rsidR="00423294" w:rsidRPr="007F78CE">
              <w:rPr>
                <w:rFonts w:ascii="Arial" w:hAnsi="Arial" w:cs="Arial"/>
                <w:sz w:val="20"/>
                <w:szCs w:val="20"/>
              </w:rPr>
              <w:t>8</w:t>
            </w:r>
            <w:r w:rsidR="00B053DD" w:rsidRPr="007F78CE">
              <w:rPr>
                <w:rFonts w:ascii="Arial" w:hAnsi="Arial" w:cs="Arial"/>
                <w:sz w:val="20"/>
                <w:szCs w:val="20"/>
              </w:rPr>
              <w:t>*</w:t>
            </w:r>
          </w:p>
        </w:tc>
        <w:tc>
          <w:tcPr>
            <w:tcW w:w="2038" w:type="dxa"/>
            <w:shd w:val="clear" w:color="auto" w:fill="auto"/>
            <w:vAlign w:val="center"/>
          </w:tcPr>
          <w:p w14:paraId="0FBB323C" w14:textId="77777777" w:rsidR="006A3595" w:rsidRPr="007F78CE" w:rsidRDefault="006A3595" w:rsidP="00FD3415">
            <w:pPr>
              <w:widowControl w:val="0"/>
              <w:pBdr>
                <w:top w:val="nil"/>
                <w:left w:val="nil"/>
                <w:bottom w:val="nil"/>
                <w:right w:val="nil"/>
                <w:between w:val="nil"/>
              </w:pBdr>
              <w:spacing w:after="0" w:line="240" w:lineRule="auto"/>
              <w:jc w:val="center"/>
              <w:rPr>
                <w:rFonts w:ascii="Arial" w:hAnsi="Arial" w:cs="Arial"/>
                <w:sz w:val="20"/>
                <w:szCs w:val="20"/>
              </w:rPr>
            </w:pPr>
            <w:r w:rsidRPr="007F78CE">
              <w:rPr>
                <w:rFonts w:ascii="Arial" w:hAnsi="Arial" w:cs="Arial"/>
                <w:sz w:val="20"/>
                <w:szCs w:val="20"/>
              </w:rPr>
              <w:t>139</w:t>
            </w:r>
          </w:p>
        </w:tc>
      </w:tr>
      <w:tr w:rsidR="0063584D" w:rsidRPr="007F78CE" w14:paraId="6CC587C3" w14:textId="77777777" w:rsidTr="00AE406E">
        <w:trPr>
          <w:jc w:val="center"/>
        </w:trPr>
        <w:tc>
          <w:tcPr>
            <w:tcW w:w="1795" w:type="dxa"/>
            <w:shd w:val="clear" w:color="auto" w:fill="auto"/>
            <w:vAlign w:val="center"/>
          </w:tcPr>
          <w:p w14:paraId="09059CDE" w14:textId="77777777" w:rsidR="006A3595" w:rsidRPr="007F78CE" w:rsidRDefault="006A3595" w:rsidP="00FD3415">
            <w:pPr>
              <w:widowControl w:val="0"/>
              <w:pBdr>
                <w:top w:val="nil"/>
                <w:left w:val="nil"/>
                <w:bottom w:val="nil"/>
                <w:right w:val="nil"/>
                <w:between w:val="nil"/>
              </w:pBdr>
              <w:spacing w:after="0" w:line="240" w:lineRule="auto"/>
              <w:rPr>
                <w:rFonts w:ascii="Arial" w:hAnsi="Arial" w:cs="Arial"/>
                <w:b/>
                <w:sz w:val="20"/>
                <w:szCs w:val="20"/>
              </w:rPr>
            </w:pPr>
            <w:r w:rsidRPr="007F78CE">
              <w:rPr>
                <w:rFonts w:ascii="Arial" w:hAnsi="Arial" w:cs="Arial"/>
                <w:b/>
                <w:sz w:val="20"/>
                <w:szCs w:val="20"/>
              </w:rPr>
              <w:t xml:space="preserve">Amphibiens </w:t>
            </w:r>
          </w:p>
        </w:tc>
        <w:tc>
          <w:tcPr>
            <w:tcW w:w="3263" w:type="dxa"/>
            <w:shd w:val="clear" w:color="auto" w:fill="auto"/>
          </w:tcPr>
          <w:p w14:paraId="375FB2BC" w14:textId="77777777" w:rsidR="006A3595" w:rsidRPr="007F78CE" w:rsidRDefault="006A3595" w:rsidP="007F78CE">
            <w:pPr>
              <w:pBdr>
                <w:top w:val="nil"/>
                <w:left w:val="nil"/>
                <w:bottom w:val="nil"/>
                <w:right w:val="nil"/>
                <w:between w:val="nil"/>
              </w:pBdr>
              <w:spacing w:after="0" w:line="240" w:lineRule="auto"/>
              <w:rPr>
                <w:rFonts w:ascii="Arial" w:hAnsi="Arial" w:cs="Arial"/>
                <w:sz w:val="20"/>
                <w:szCs w:val="20"/>
              </w:rPr>
            </w:pPr>
            <w:r w:rsidRPr="007F78CE">
              <w:rPr>
                <w:rFonts w:ascii="Arial" w:hAnsi="Arial" w:cs="Arial"/>
                <w:sz w:val="20"/>
                <w:szCs w:val="20"/>
              </w:rPr>
              <w:t>Aux environs de 500 (278 décrits et 150 en instance de description)</w:t>
            </w:r>
          </w:p>
        </w:tc>
        <w:tc>
          <w:tcPr>
            <w:tcW w:w="1506" w:type="dxa"/>
            <w:shd w:val="clear" w:color="auto" w:fill="auto"/>
            <w:vAlign w:val="center"/>
          </w:tcPr>
          <w:p w14:paraId="6D58B813" w14:textId="77777777" w:rsidR="006A3595" w:rsidRPr="007F78CE" w:rsidRDefault="006A3595" w:rsidP="00FD3415">
            <w:pPr>
              <w:widowControl w:val="0"/>
              <w:pBdr>
                <w:top w:val="nil"/>
                <w:left w:val="nil"/>
                <w:bottom w:val="nil"/>
                <w:right w:val="nil"/>
                <w:between w:val="nil"/>
              </w:pBdr>
              <w:spacing w:after="0" w:line="240" w:lineRule="auto"/>
              <w:jc w:val="center"/>
              <w:rPr>
                <w:rFonts w:ascii="Arial" w:hAnsi="Arial" w:cs="Arial"/>
                <w:sz w:val="20"/>
                <w:szCs w:val="20"/>
              </w:rPr>
            </w:pPr>
            <w:r w:rsidRPr="007F78CE">
              <w:rPr>
                <w:rFonts w:ascii="Arial" w:hAnsi="Arial" w:cs="Arial"/>
                <w:sz w:val="20"/>
                <w:szCs w:val="20"/>
              </w:rPr>
              <w:t>100</w:t>
            </w:r>
          </w:p>
        </w:tc>
        <w:tc>
          <w:tcPr>
            <w:tcW w:w="2038" w:type="dxa"/>
            <w:shd w:val="clear" w:color="auto" w:fill="auto"/>
            <w:vAlign w:val="center"/>
          </w:tcPr>
          <w:p w14:paraId="7F9AB2AD" w14:textId="77777777" w:rsidR="006A3595" w:rsidRPr="007F78CE" w:rsidRDefault="006A3595" w:rsidP="00FD3415">
            <w:pPr>
              <w:widowControl w:val="0"/>
              <w:pBdr>
                <w:top w:val="nil"/>
                <w:left w:val="nil"/>
                <w:bottom w:val="nil"/>
                <w:right w:val="nil"/>
                <w:between w:val="nil"/>
              </w:pBdr>
              <w:spacing w:after="0" w:line="240" w:lineRule="auto"/>
              <w:jc w:val="center"/>
              <w:rPr>
                <w:rFonts w:ascii="Arial" w:hAnsi="Arial" w:cs="Arial"/>
                <w:sz w:val="20"/>
                <w:szCs w:val="20"/>
              </w:rPr>
            </w:pPr>
            <w:r w:rsidRPr="007F78CE">
              <w:rPr>
                <w:rFonts w:ascii="Arial" w:hAnsi="Arial" w:cs="Arial"/>
                <w:sz w:val="20"/>
                <w:szCs w:val="20"/>
              </w:rPr>
              <w:t>145</w:t>
            </w:r>
          </w:p>
        </w:tc>
      </w:tr>
      <w:tr w:rsidR="0063584D" w:rsidRPr="007F78CE" w14:paraId="69C29896" w14:textId="77777777" w:rsidTr="00AE406E">
        <w:trPr>
          <w:jc w:val="center"/>
        </w:trPr>
        <w:tc>
          <w:tcPr>
            <w:tcW w:w="1795" w:type="dxa"/>
            <w:shd w:val="clear" w:color="auto" w:fill="auto"/>
            <w:vAlign w:val="center"/>
          </w:tcPr>
          <w:p w14:paraId="70F639D9" w14:textId="77777777" w:rsidR="006A3595" w:rsidRPr="007F78CE" w:rsidRDefault="006A3595" w:rsidP="00FD3415">
            <w:pPr>
              <w:widowControl w:val="0"/>
              <w:pBdr>
                <w:top w:val="nil"/>
                <w:left w:val="nil"/>
                <w:bottom w:val="nil"/>
                <w:right w:val="nil"/>
                <w:between w:val="nil"/>
              </w:pBdr>
              <w:spacing w:after="0" w:line="240" w:lineRule="auto"/>
              <w:rPr>
                <w:rFonts w:ascii="Arial" w:hAnsi="Arial" w:cs="Arial"/>
                <w:b/>
                <w:sz w:val="20"/>
                <w:szCs w:val="20"/>
              </w:rPr>
            </w:pPr>
            <w:r w:rsidRPr="007F78CE">
              <w:rPr>
                <w:rFonts w:ascii="Arial" w:hAnsi="Arial" w:cs="Arial"/>
                <w:b/>
                <w:sz w:val="20"/>
                <w:szCs w:val="20"/>
              </w:rPr>
              <w:t xml:space="preserve">Oiseaux </w:t>
            </w:r>
          </w:p>
        </w:tc>
        <w:tc>
          <w:tcPr>
            <w:tcW w:w="3263" w:type="dxa"/>
            <w:shd w:val="clear" w:color="auto" w:fill="auto"/>
          </w:tcPr>
          <w:p w14:paraId="31163D55" w14:textId="77777777" w:rsidR="006A3595" w:rsidRPr="007F78CE" w:rsidRDefault="004B5DAC" w:rsidP="007F78CE">
            <w:pPr>
              <w:widowControl w:val="0"/>
              <w:pBdr>
                <w:top w:val="nil"/>
                <w:left w:val="nil"/>
                <w:bottom w:val="nil"/>
                <w:right w:val="nil"/>
                <w:between w:val="nil"/>
              </w:pBdr>
              <w:spacing w:after="0" w:line="240" w:lineRule="auto"/>
              <w:rPr>
                <w:rFonts w:ascii="Arial" w:hAnsi="Arial" w:cs="Arial"/>
                <w:sz w:val="20"/>
                <w:szCs w:val="20"/>
              </w:rPr>
            </w:pPr>
            <w:r w:rsidRPr="007F78CE">
              <w:rPr>
                <w:rFonts w:ascii="Arial" w:hAnsi="Arial" w:cs="Arial"/>
                <w:sz w:val="20"/>
                <w:szCs w:val="20"/>
              </w:rPr>
              <w:t>307</w:t>
            </w:r>
            <w:r w:rsidR="00B053DD" w:rsidRPr="007F78CE">
              <w:rPr>
                <w:rFonts w:ascii="Arial" w:hAnsi="Arial" w:cs="Arial"/>
                <w:sz w:val="20"/>
                <w:szCs w:val="20"/>
              </w:rPr>
              <w:t>*</w:t>
            </w:r>
          </w:p>
        </w:tc>
        <w:tc>
          <w:tcPr>
            <w:tcW w:w="1506" w:type="dxa"/>
            <w:shd w:val="clear" w:color="auto" w:fill="auto"/>
            <w:vAlign w:val="center"/>
          </w:tcPr>
          <w:p w14:paraId="3D3BB754" w14:textId="77777777" w:rsidR="006A3595" w:rsidRPr="007F78CE" w:rsidRDefault="006A3595" w:rsidP="00FD3415">
            <w:pPr>
              <w:widowControl w:val="0"/>
              <w:pBdr>
                <w:top w:val="nil"/>
                <w:left w:val="nil"/>
                <w:bottom w:val="nil"/>
                <w:right w:val="nil"/>
                <w:between w:val="nil"/>
              </w:pBdr>
              <w:spacing w:after="0" w:line="240" w:lineRule="auto"/>
              <w:jc w:val="center"/>
              <w:rPr>
                <w:rFonts w:ascii="Arial" w:hAnsi="Arial" w:cs="Arial"/>
                <w:sz w:val="20"/>
                <w:szCs w:val="20"/>
              </w:rPr>
            </w:pPr>
            <w:r w:rsidRPr="007F78CE">
              <w:rPr>
                <w:rFonts w:ascii="Arial" w:hAnsi="Arial" w:cs="Arial"/>
                <w:sz w:val="20"/>
                <w:szCs w:val="20"/>
              </w:rPr>
              <w:t>37</w:t>
            </w:r>
          </w:p>
        </w:tc>
        <w:tc>
          <w:tcPr>
            <w:tcW w:w="2038" w:type="dxa"/>
            <w:shd w:val="clear" w:color="auto" w:fill="auto"/>
            <w:vAlign w:val="center"/>
          </w:tcPr>
          <w:p w14:paraId="36F4D600" w14:textId="77777777" w:rsidR="006A3595" w:rsidRPr="007F78CE" w:rsidRDefault="004B5DAC" w:rsidP="00FD3415">
            <w:pPr>
              <w:widowControl w:val="0"/>
              <w:pBdr>
                <w:top w:val="nil"/>
                <w:left w:val="nil"/>
                <w:bottom w:val="nil"/>
                <w:right w:val="nil"/>
                <w:between w:val="nil"/>
              </w:pBdr>
              <w:spacing w:after="0" w:line="240" w:lineRule="auto"/>
              <w:jc w:val="center"/>
              <w:rPr>
                <w:rFonts w:ascii="Arial" w:hAnsi="Arial" w:cs="Arial"/>
                <w:sz w:val="20"/>
                <w:szCs w:val="20"/>
              </w:rPr>
            </w:pPr>
            <w:r w:rsidRPr="007F78CE">
              <w:rPr>
                <w:rFonts w:ascii="Arial" w:hAnsi="Arial" w:cs="Arial"/>
                <w:sz w:val="20"/>
                <w:szCs w:val="20"/>
              </w:rPr>
              <w:t>42</w:t>
            </w:r>
          </w:p>
        </w:tc>
      </w:tr>
      <w:tr w:rsidR="0063584D" w:rsidRPr="007F78CE" w14:paraId="4D25081D" w14:textId="77777777" w:rsidTr="00AE406E">
        <w:trPr>
          <w:trHeight w:val="380"/>
          <w:jc w:val="center"/>
        </w:trPr>
        <w:tc>
          <w:tcPr>
            <w:tcW w:w="1795" w:type="dxa"/>
            <w:vMerge w:val="restart"/>
            <w:shd w:val="clear" w:color="auto" w:fill="auto"/>
            <w:vAlign w:val="center"/>
          </w:tcPr>
          <w:p w14:paraId="6964A37B" w14:textId="77777777" w:rsidR="006A3595" w:rsidRPr="007F78CE" w:rsidRDefault="006A3595" w:rsidP="00FD3415">
            <w:pPr>
              <w:widowControl w:val="0"/>
              <w:pBdr>
                <w:top w:val="nil"/>
                <w:left w:val="nil"/>
                <w:bottom w:val="nil"/>
                <w:right w:val="nil"/>
                <w:between w:val="nil"/>
              </w:pBdr>
              <w:spacing w:after="0" w:line="240" w:lineRule="auto"/>
              <w:rPr>
                <w:rFonts w:ascii="Arial" w:hAnsi="Arial" w:cs="Arial"/>
                <w:b/>
                <w:sz w:val="20"/>
                <w:szCs w:val="20"/>
              </w:rPr>
            </w:pPr>
            <w:r w:rsidRPr="007F78CE">
              <w:rPr>
                <w:rFonts w:ascii="Arial" w:hAnsi="Arial" w:cs="Arial"/>
                <w:b/>
                <w:sz w:val="20"/>
                <w:szCs w:val="20"/>
              </w:rPr>
              <w:t>Mammifères</w:t>
            </w:r>
          </w:p>
        </w:tc>
        <w:tc>
          <w:tcPr>
            <w:tcW w:w="3263" w:type="dxa"/>
            <w:shd w:val="clear" w:color="auto" w:fill="auto"/>
          </w:tcPr>
          <w:p w14:paraId="54E0A297" w14:textId="77777777" w:rsidR="006A3595" w:rsidRPr="007F78CE" w:rsidRDefault="006A3595" w:rsidP="007F78CE">
            <w:pPr>
              <w:widowControl w:val="0"/>
              <w:pBdr>
                <w:top w:val="nil"/>
                <w:left w:val="nil"/>
                <w:bottom w:val="nil"/>
                <w:right w:val="nil"/>
                <w:between w:val="nil"/>
              </w:pBdr>
              <w:spacing w:after="0" w:line="240" w:lineRule="auto"/>
              <w:rPr>
                <w:rFonts w:ascii="Arial" w:hAnsi="Arial" w:cs="Arial"/>
                <w:sz w:val="20"/>
                <w:szCs w:val="20"/>
              </w:rPr>
            </w:pPr>
            <w:r w:rsidRPr="007F78CE">
              <w:rPr>
                <w:rFonts w:ascii="Arial" w:hAnsi="Arial" w:cs="Arial"/>
                <w:sz w:val="20"/>
                <w:szCs w:val="20"/>
              </w:rPr>
              <w:t xml:space="preserve">109 Primates </w:t>
            </w:r>
          </w:p>
        </w:tc>
        <w:tc>
          <w:tcPr>
            <w:tcW w:w="1506" w:type="dxa"/>
            <w:shd w:val="clear" w:color="auto" w:fill="auto"/>
            <w:vAlign w:val="center"/>
          </w:tcPr>
          <w:p w14:paraId="48CA4CD4" w14:textId="77777777" w:rsidR="006A3595" w:rsidRPr="007F78CE" w:rsidRDefault="002D4695" w:rsidP="00FD3415">
            <w:pPr>
              <w:widowControl w:val="0"/>
              <w:pBdr>
                <w:top w:val="nil"/>
                <w:left w:val="nil"/>
                <w:bottom w:val="nil"/>
                <w:right w:val="nil"/>
                <w:between w:val="nil"/>
              </w:pBdr>
              <w:spacing w:after="0" w:line="240" w:lineRule="auto"/>
              <w:jc w:val="center"/>
              <w:rPr>
                <w:rFonts w:ascii="Arial" w:hAnsi="Arial" w:cs="Arial"/>
                <w:sz w:val="20"/>
                <w:szCs w:val="20"/>
              </w:rPr>
            </w:pPr>
            <w:r w:rsidRPr="007F78CE">
              <w:rPr>
                <w:rFonts w:ascii="Arial" w:hAnsi="Arial" w:cs="Arial"/>
                <w:sz w:val="20"/>
                <w:szCs w:val="20"/>
              </w:rPr>
              <w:t>96</w:t>
            </w:r>
          </w:p>
        </w:tc>
        <w:tc>
          <w:tcPr>
            <w:tcW w:w="2038" w:type="dxa"/>
            <w:vMerge w:val="restart"/>
            <w:shd w:val="clear" w:color="auto" w:fill="auto"/>
            <w:vAlign w:val="center"/>
          </w:tcPr>
          <w:p w14:paraId="13F22FEB" w14:textId="77777777" w:rsidR="006A3595" w:rsidRPr="007F78CE" w:rsidRDefault="006A3595" w:rsidP="00FD3415">
            <w:pPr>
              <w:widowControl w:val="0"/>
              <w:pBdr>
                <w:top w:val="nil"/>
                <w:left w:val="nil"/>
                <w:bottom w:val="nil"/>
                <w:right w:val="nil"/>
                <w:between w:val="nil"/>
              </w:pBdr>
              <w:spacing w:after="0" w:line="240" w:lineRule="auto"/>
              <w:jc w:val="center"/>
              <w:rPr>
                <w:rFonts w:ascii="Arial" w:hAnsi="Arial" w:cs="Arial"/>
                <w:sz w:val="20"/>
                <w:szCs w:val="20"/>
              </w:rPr>
            </w:pPr>
            <w:r w:rsidRPr="007F78CE">
              <w:rPr>
                <w:rFonts w:ascii="Arial" w:hAnsi="Arial" w:cs="Arial"/>
                <w:sz w:val="20"/>
                <w:szCs w:val="20"/>
              </w:rPr>
              <w:t>122</w:t>
            </w:r>
          </w:p>
        </w:tc>
      </w:tr>
      <w:tr w:rsidR="0063584D" w:rsidRPr="007F78CE" w14:paraId="543E2115" w14:textId="77777777" w:rsidTr="00AE406E">
        <w:trPr>
          <w:trHeight w:val="380"/>
          <w:jc w:val="center"/>
        </w:trPr>
        <w:tc>
          <w:tcPr>
            <w:tcW w:w="1795" w:type="dxa"/>
            <w:vMerge/>
            <w:shd w:val="clear" w:color="auto" w:fill="auto"/>
            <w:vAlign w:val="center"/>
          </w:tcPr>
          <w:p w14:paraId="20B50DCA" w14:textId="77777777" w:rsidR="006A3595" w:rsidRPr="007F78CE" w:rsidRDefault="006A3595">
            <w:pPr>
              <w:widowControl w:val="0"/>
              <w:pBdr>
                <w:top w:val="nil"/>
                <w:left w:val="nil"/>
                <w:bottom w:val="nil"/>
                <w:right w:val="nil"/>
                <w:between w:val="nil"/>
              </w:pBdr>
              <w:spacing w:after="0" w:line="240" w:lineRule="auto"/>
              <w:rPr>
                <w:rFonts w:ascii="Arial" w:hAnsi="Arial" w:cs="Arial"/>
                <w:b/>
                <w:sz w:val="20"/>
                <w:szCs w:val="20"/>
              </w:rPr>
            </w:pPr>
          </w:p>
        </w:tc>
        <w:tc>
          <w:tcPr>
            <w:tcW w:w="3263" w:type="dxa"/>
            <w:shd w:val="clear" w:color="auto" w:fill="auto"/>
          </w:tcPr>
          <w:p w14:paraId="5CDEBC46" w14:textId="77777777" w:rsidR="006A3595" w:rsidRPr="007F78CE" w:rsidRDefault="006A3595" w:rsidP="007F78CE">
            <w:pPr>
              <w:widowControl w:val="0"/>
              <w:pBdr>
                <w:top w:val="nil"/>
                <w:left w:val="nil"/>
                <w:bottom w:val="nil"/>
                <w:right w:val="nil"/>
                <w:between w:val="nil"/>
              </w:pBdr>
              <w:spacing w:after="0" w:line="240" w:lineRule="auto"/>
              <w:rPr>
                <w:rFonts w:ascii="Arial" w:hAnsi="Arial" w:cs="Arial"/>
                <w:sz w:val="20"/>
                <w:szCs w:val="20"/>
              </w:rPr>
            </w:pPr>
            <w:r w:rsidRPr="007F78CE">
              <w:rPr>
                <w:rFonts w:ascii="Arial" w:hAnsi="Arial" w:cs="Arial"/>
                <w:sz w:val="20"/>
                <w:szCs w:val="20"/>
              </w:rPr>
              <w:t>60 Petits mammifères non-volants</w:t>
            </w:r>
          </w:p>
        </w:tc>
        <w:tc>
          <w:tcPr>
            <w:tcW w:w="1506" w:type="dxa"/>
            <w:shd w:val="clear" w:color="auto" w:fill="auto"/>
            <w:vAlign w:val="center"/>
          </w:tcPr>
          <w:p w14:paraId="67E9A49E" w14:textId="77777777" w:rsidR="006A3595" w:rsidRPr="007F78CE" w:rsidRDefault="006A3595" w:rsidP="00FD3415">
            <w:pPr>
              <w:widowControl w:val="0"/>
              <w:pBdr>
                <w:top w:val="nil"/>
                <w:left w:val="nil"/>
                <w:bottom w:val="nil"/>
                <w:right w:val="nil"/>
                <w:between w:val="nil"/>
              </w:pBdr>
              <w:spacing w:after="0" w:line="240" w:lineRule="auto"/>
              <w:jc w:val="center"/>
              <w:rPr>
                <w:rFonts w:ascii="Arial" w:hAnsi="Arial" w:cs="Arial"/>
                <w:sz w:val="20"/>
                <w:szCs w:val="20"/>
              </w:rPr>
            </w:pPr>
            <w:r w:rsidRPr="007F78CE">
              <w:rPr>
                <w:rFonts w:ascii="Arial" w:hAnsi="Arial" w:cs="Arial"/>
                <w:sz w:val="20"/>
                <w:szCs w:val="20"/>
              </w:rPr>
              <w:t>92</w:t>
            </w:r>
          </w:p>
        </w:tc>
        <w:tc>
          <w:tcPr>
            <w:tcW w:w="2038" w:type="dxa"/>
            <w:vMerge/>
            <w:shd w:val="clear" w:color="auto" w:fill="auto"/>
            <w:vAlign w:val="center"/>
          </w:tcPr>
          <w:p w14:paraId="095D1D6A" w14:textId="77777777" w:rsidR="006A3595" w:rsidRPr="007F78CE" w:rsidRDefault="006A3595">
            <w:pPr>
              <w:widowControl w:val="0"/>
              <w:pBdr>
                <w:top w:val="nil"/>
                <w:left w:val="nil"/>
                <w:bottom w:val="nil"/>
                <w:right w:val="nil"/>
                <w:between w:val="nil"/>
              </w:pBdr>
              <w:spacing w:after="0" w:line="240" w:lineRule="auto"/>
              <w:jc w:val="center"/>
              <w:rPr>
                <w:rFonts w:ascii="Arial" w:hAnsi="Arial" w:cs="Arial"/>
                <w:sz w:val="20"/>
                <w:szCs w:val="20"/>
              </w:rPr>
            </w:pPr>
          </w:p>
        </w:tc>
      </w:tr>
      <w:tr w:rsidR="0063584D" w:rsidRPr="007F78CE" w14:paraId="5E604F71" w14:textId="77777777" w:rsidTr="00AE406E">
        <w:trPr>
          <w:trHeight w:val="380"/>
          <w:jc w:val="center"/>
        </w:trPr>
        <w:tc>
          <w:tcPr>
            <w:tcW w:w="1795" w:type="dxa"/>
            <w:vMerge/>
            <w:shd w:val="clear" w:color="auto" w:fill="auto"/>
            <w:vAlign w:val="center"/>
          </w:tcPr>
          <w:p w14:paraId="6E87F798" w14:textId="77777777" w:rsidR="006A3595" w:rsidRPr="007F78CE" w:rsidRDefault="006A3595">
            <w:pPr>
              <w:widowControl w:val="0"/>
              <w:pBdr>
                <w:top w:val="nil"/>
                <w:left w:val="nil"/>
                <w:bottom w:val="nil"/>
                <w:right w:val="nil"/>
                <w:between w:val="nil"/>
              </w:pBdr>
              <w:spacing w:after="0" w:line="240" w:lineRule="auto"/>
              <w:rPr>
                <w:rFonts w:ascii="Arial" w:hAnsi="Arial" w:cs="Arial"/>
                <w:b/>
                <w:sz w:val="20"/>
                <w:szCs w:val="20"/>
              </w:rPr>
            </w:pPr>
          </w:p>
        </w:tc>
        <w:tc>
          <w:tcPr>
            <w:tcW w:w="3263" w:type="dxa"/>
            <w:shd w:val="clear" w:color="auto" w:fill="auto"/>
          </w:tcPr>
          <w:p w14:paraId="713281AB" w14:textId="77777777" w:rsidR="006A3595" w:rsidRPr="007F78CE" w:rsidRDefault="006A3595" w:rsidP="007F78CE">
            <w:pPr>
              <w:widowControl w:val="0"/>
              <w:pBdr>
                <w:top w:val="nil"/>
                <w:left w:val="nil"/>
                <w:bottom w:val="nil"/>
                <w:right w:val="nil"/>
                <w:between w:val="nil"/>
              </w:pBdr>
              <w:spacing w:after="0" w:line="240" w:lineRule="auto"/>
              <w:rPr>
                <w:rFonts w:ascii="Arial" w:hAnsi="Arial" w:cs="Arial"/>
                <w:sz w:val="20"/>
                <w:szCs w:val="20"/>
              </w:rPr>
            </w:pPr>
            <w:r w:rsidRPr="007F78CE">
              <w:rPr>
                <w:rFonts w:ascii="Arial" w:hAnsi="Arial" w:cs="Arial"/>
                <w:sz w:val="20"/>
                <w:szCs w:val="20"/>
              </w:rPr>
              <w:t>43 Chauves-souris</w:t>
            </w:r>
          </w:p>
        </w:tc>
        <w:tc>
          <w:tcPr>
            <w:tcW w:w="1506" w:type="dxa"/>
            <w:shd w:val="clear" w:color="auto" w:fill="auto"/>
            <w:vAlign w:val="center"/>
          </w:tcPr>
          <w:p w14:paraId="39A57C46" w14:textId="77777777" w:rsidR="006A3595" w:rsidRPr="007F78CE" w:rsidRDefault="006A3595" w:rsidP="00FD3415">
            <w:pPr>
              <w:widowControl w:val="0"/>
              <w:pBdr>
                <w:top w:val="nil"/>
                <w:left w:val="nil"/>
                <w:bottom w:val="nil"/>
                <w:right w:val="nil"/>
                <w:between w:val="nil"/>
              </w:pBdr>
              <w:spacing w:after="0" w:line="240" w:lineRule="auto"/>
              <w:jc w:val="center"/>
              <w:rPr>
                <w:rFonts w:ascii="Arial" w:hAnsi="Arial" w:cs="Arial"/>
                <w:sz w:val="20"/>
                <w:szCs w:val="20"/>
              </w:rPr>
            </w:pPr>
            <w:r w:rsidRPr="007F78CE">
              <w:rPr>
                <w:rFonts w:ascii="Arial" w:hAnsi="Arial" w:cs="Arial"/>
                <w:sz w:val="20"/>
                <w:szCs w:val="20"/>
              </w:rPr>
              <w:t>73</w:t>
            </w:r>
          </w:p>
        </w:tc>
        <w:tc>
          <w:tcPr>
            <w:tcW w:w="2038" w:type="dxa"/>
            <w:vMerge/>
            <w:shd w:val="clear" w:color="auto" w:fill="auto"/>
            <w:vAlign w:val="center"/>
          </w:tcPr>
          <w:p w14:paraId="1C9D6CB6" w14:textId="77777777" w:rsidR="006A3595" w:rsidRPr="007F78CE" w:rsidRDefault="006A3595">
            <w:pPr>
              <w:widowControl w:val="0"/>
              <w:pBdr>
                <w:top w:val="nil"/>
                <w:left w:val="nil"/>
                <w:bottom w:val="nil"/>
                <w:right w:val="nil"/>
                <w:between w:val="nil"/>
              </w:pBdr>
              <w:spacing w:after="0" w:line="240" w:lineRule="auto"/>
              <w:jc w:val="center"/>
              <w:rPr>
                <w:rFonts w:ascii="Arial" w:hAnsi="Arial" w:cs="Arial"/>
                <w:sz w:val="20"/>
                <w:szCs w:val="20"/>
              </w:rPr>
            </w:pPr>
          </w:p>
        </w:tc>
      </w:tr>
      <w:tr w:rsidR="0063584D" w:rsidRPr="007F78CE" w14:paraId="7AE95D71" w14:textId="77777777" w:rsidTr="00AE406E">
        <w:trPr>
          <w:trHeight w:val="380"/>
          <w:jc w:val="center"/>
        </w:trPr>
        <w:tc>
          <w:tcPr>
            <w:tcW w:w="1795" w:type="dxa"/>
            <w:vMerge/>
            <w:shd w:val="clear" w:color="auto" w:fill="auto"/>
            <w:vAlign w:val="center"/>
          </w:tcPr>
          <w:p w14:paraId="2FD48D46" w14:textId="77777777" w:rsidR="006A3595" w:rsidRPr="007F78CE" w:rsidRDefault="006A3595">
            <w:pPr>
              <w:widowControl w:val="0"/>
              <w:pBdr>
                <w:top w:val="nil"/>
                <w:left w:val="nil"/>
                <w:bottom w:val="nil"/>
                <w:right w:val="nil"/>
                <w:between w:val="nil"/>
              </w:pBdr>
              <w:spacing w:after="0" w:line="240" w:lineRule="auto"/>
              <w:rPr>
                <w:rFonts w:ascii="Arial" w:hAnsi="Arial" w:cs="Arial"/>
                <w:b/>
                <w:sz w:val="20"/>
                <w:szCs w:val="20"/>
              </w:rPr>
            </w:pPr>
          </w:p>
        </w:tc>
        <w:tc>
          <w:tcPr>
            <w:tcW w:w="3263" w:type="dxa"/>
            <w:shd w:val="clear" w:color="auto" w:fill="auto"/>
          </w:tcPr>
          <w:p w14:paraId="083C8D80" w14:textId="77777777" w:rsidR="006A3595" w:rsidRPr="007F78CE" w:rsidRDefault="006A3595" w:rsidP="007F78CE">
            <w:pPr>
              <w:widowControl w:val="0"/>
              <w:pBdr>
                <w:top w:val="nil"/>
                <w:left w:val="nil"/>
                <w:bottom w:val="nil"/>
                <w:right w:val="nil"/>
                <w:between w:val="nil"/>
              </w:pBdr>
              <w:spacing w:after="0" w:line="240" w:lineRule="auto"/>
              <w:rPr>
                <w:rFonts w:ascii="Arial" w:hAnsi="Arial" w:cs="Arial"/>
                <w:sz w:val="20"/>
                <w:szCs w:val="20"/>
              </w:rPr>
            </w:pPr>
            <w:r w:rsidRPr="007F78CE">
              <w:rPr>
                <w:rFonts w:ascii="Arial" w:hAnsi="Arial" w:cs="Arial"/>
                <w:sz w:val="20"/>
                <w:szCs w:val="20"/>
              </w:rPr>
              <w:t xml:space="preserve">13 Carnivores </w:t>
            </w:r>
          </w:p>
        </w:tc>
        <w:tc>
          <w:tcPr>
            <w:tcW w:w="1506" w:type="dxa"/>
            <w:shd w:val="clear" w:color="auto" w:fill="auto"/>
            <w:vAlign w:val="center"/>
          </w:tcPr>
          <w:p w14:paraId="160D1D87" w14:textId="77777777" w:rsidR="006A3595" w:rsidRPr="007F78CE" w:rsidRDefault="006A3595" w:rsidP="00FD3415">
            <w:pPr>
              <w:widowControl w:val="0"/>
              <w:pBdr>
                <w:top w:val="nil"/>
                <w:left w:val="nil"/>
                <w:bottom w:val="nil"/>
                <w:right w:val="nil"/>
                <w:between w:val="nil"/>
              </w:pBdr>
              <w:spacing w:after="0" w:line="240" w:lineRule="auto"/>
              <w:jc w:val="center"/>
              <w:rPr>
                <w:rFonts w:ascii="Arial" w:hAnsi="Arial" w:cs="Arial"/>
                <w:sz w:val="20"/>
                <w:szCs w:val="20"/>
              </w:rPr>
            </w:pPr>
            <w:r w:rsidRPr="007F78CE">
              <w:rPr>
                <w:rFonts w:ascii="Arial" w:hAnsi="Arial" w:cs="Arial"/>
                <w:sz w:val="20"/>
                <w:szCs w:val="20"/>
              </w:rPr>
              <w:t>77</w:t>
            </w:r>
          </w:p>
        </w:tc>
        <w:tc>
          <w:tcPr>
            <w:tcW w:w="2038" w:type="dxa"/>
            <w:vMerge/>
            <w:shd w:val="clear" w:color="auto" w:fill="auto"/>
            <w:vAlign w:val="center"/>
          </w:tcPr>
          <w:p w14:paraId="10327619" w14:textId="77777777" w:rsidR="006A3595" w:rsidRPr="007F78CE" w:rsidRDefault="006A3595">
            <w:pPr>
              <w:widowControl w:val="0"/>
              <w:pBdr>
                <w:top w:val="nil"/>
                <w:left w:val="nil"/>
                <w:bottom w:val="nil"/>
                <w:right w:val="nil"/>
                <w:between w:val="nil"/>
              </w:pBdr>
              <w:spacing w:after="0" w:line="240" w:lineRule="auto"/>
              <w:jc w:val="center"/>
              <w:rPr>
                <w:rFonts w:ascii="Arial" w:hAnsi="Arial" w:cs="Arial"/>
                <w:sz w:val="20"/>
                <w:szCs w:val="20"/>
              </w:rPr>
            </w:pPr>
          </w:p>
        </w:tc>
      </w:tr>
      <w:tr w:rsidR="0063584D" w:rsidRPr="007F78CE" w14:paraId="3A0421B5" w14:textId="77777777" w:rsidTr="00AE406E">
        <w:trPr>
          <w:jc w:val="center"/>
        </w:trPr>
        <w:tc>
          <w:tcPr>
            <w:tcW w:w="1795" w:type="dxa"/>
            <w:shd w:val="clear" w:color="auto" w:fill="auto"/>
            <w:vAlign w:val="center"/>
          </w:tcPr>
          <w:p w14:paraId="65B2B960" w14:textId="77777777" w:rsidR="006A3595" w:rsidRPr="007F78CE" w:rsidRDefault="006A3595" w:rsidP="00FD3415">
            <w:pPr>
              <w:widowControl w:val="0"/>
              <w:pBdr>
                <w:top w:val="nil"/>
                <w:left w:val="nil"/>
                <w:bottom w:val="nil"/>
                <w:right w:val="nil"/>
                <w:between w:val="nil"/>
              </w:pBdr>
              <w:spacing w:after="0" w:line="240" w:lineRule="auto"/>
              <w:rPr>
                <w:rFonts w:ascii="Arial" w:hAnsi="Arial" w:cs="Arial"/>
                <w:b/>
                <w:sz w:val="20"/>
                <w:szCs w:val="20"/>
              </w:rPr>
            </w:pPr>
            <w:r w:rsidRPr="007F78CE">
              <w:rPr>
                <w:rFonts w:ascii="Arial" w:hAnsi="Arial" w:cs="Arial"/>
                <w:b/>
                <w:sz w:val="20"/>
                <w:szCs w:val="20"/>
              </w:rPr>
              <w:t>Poissons d’eau douce</w:t>
            </w:r>
          </w:p>
        </w:tc>
        <w:tc>
          <w:tcPr>
            <w:tcW w:w="3263" w:type="dxa"/>
            <w:shd w:val="clear" w:color="auto" w:fill="auto"/>
          </w:tcPr>
          <w:p w14:paraId="147E8580" w14:textId="77777777" w:rsidR="006A3595" w:rsidRPr="007F78CE" w:rsidRDefault="006A3595" w:rsidP="007F78CE">
            <w:pPr>
              <w:widowControl w:val="0"/>
              <w:pBdr>
                <w:top w:val="nil"/>
                <w:left w:val="nil"/>
                <w:bottom w:val="nil"/>
                <w:right w:val="nil"/>
                <w:between w:val="nil"/>
              </w:pBdr>
              <w:spacing w:after="0" w:line="240" w:lineRule="auto"/>
              <w:rPr>
                <w:rFonts w:ascii="Arial" w:hAnsi="Arial" w:cs="Arial"/>
                <w:sz w:val="20"/>
                <w:szCs w:val="20"/>
              </w:rPr>
            </w:pPr>
            <w:r w:rsidRPr="007F78CE">
              <w:rPr>
                <w:rFonts w:ascii="Arial" w:hAnsi="Arial" w:cs="Arial"/>
                <w:sz w:val="20"/>
                <w:szCs w:val="20"/>
              </w:rPr>
              <w:t xml:space="preserve">159 </w:t>
            </w:r>
          </w:p>
        </w:tc>
        <w:tc>
          <w:tcPr>
            <w:tcW w:w="1506" w:type="dxa"/>
            <w:shd w:val="clear" w:color="auto" w:fill="auto"/>
            <w:vAlign w:val="center"/>
          </w:tcPr>
          <w:p w14:paraId="54D42902" w14:textId="77777777" w:rsidR="006A3595" w:rsidRPr="007F78CE" w:rsidRDefault="006A3595" w:rsidP="00FD3415">
            <w:pPr>
              <w:widowControl w:val="0"/>
              <w:pBdr>
                <w:top w:val="nil"/>
                <w:left w:val="nil"/>
                <w:bottom w:val="nil"/>
                <w:right w:val="nil"/>
                <w:between w:val="nil"/>
              </w:pBdr>
              <w:spacing w:after="0" w:line="240" w:lineRule="auto"/>
              <w:jc w:val="center"/>
              <w:rPr>
                <w:rFonts w:ascii="Arial" w:hAnsi="Arial" w:cs="Arial"/>
                <w:sz w:val="20"/>
                <w:szCs w:val="20"/>
              </w:rPr>
            </w:pPr>
            <w:r w:rsidRPr="007F78CE">
              <w:rPr>
                <w:rFonts w:ascii="Arial" w:hAnsi="Arial" w:cs="Arial"/>
                <w:sz w:val="20"/>
                <w:szCs w:val="20"/>
              </w:rPr>
              <w:t>66</w:t>
            </w:r>
          </w:p>
        </w:tc>
        <w:tc>
          <w:tcPr>
            <w:tcW w:w="2038" w:type="dxa"/>
            <w:shd w:val="clear" w:color="auto" w:fill="auto"/>
            <w:vAlign w:val="center"/>
          </w:tcPr>
          <w:p w14:paraId="6A3623B1" w14:textId="77777777" w:rsidR="006A3595" w:rsidRPr="007F78CE" w:rsidRDefault="007B17E5" w:rsidP="00FD3415">
            <w:pPr>
              <w:widowControl w:val="0"/>
              <w:pBdr>
                <w:top w:val="nil"/>
                <w:left w:val="nil"/>
                <w:bottom w:val="nil"/>
                <w:right w:val="nil"/>
                <w:between w:val="nil"/>
              </w:pBdr>
              <w:spacing w:after="0" w:line="240" w:lineRule="auto"/>
              <w:jc w:val="center"/>
              <w:rPr>
                <w:rFonts w:ascii="Arial" w:hAnsi="Arial" w:cs="Arial"/>
                <w:sz w:val="20"/>
                <w:szCs w:val="20"/>
              </w:rPr>
            </w:pPr>
            <w:r w:rsidRPr="007F78CE">
              <w:rPr>
                <w:rFonts w:ascii="Arial" w:hAnsi="Arial" w:cs="Arial"/>
                <w:sz w:val="20"/>
                <w:szCs w:val="20"/>
              </w:rPr>
              <w:t>81</w:t>
            </w:r>
          </w:p>
        </w:tc>
      </w:tr>
    </w:tbl>
    <w:p w14:paraId="4B8DDF84" w14:textId="77777777" w:rsidR="00FA7742" w:rsidRPr="0017227E" w:rsidRDefault="5AAD3C40" w:rsidP="3CB7C1AD">
      <w:pPr>
        <w:ind w:left="284"/>
        <w:jc w:val="both"/>
        <w:rPr>
          <w:rFonts w:ascii="Arial" w:hAnsi="Arial" w:cs="Arial"/>
          <w:i/>
          <w:iCs/>
          <w:sz w:val="18"/>
          <w:szCs w:val="18"/>
        </w:rPr>
      </w:pPr>
      <w:r w:rsidRPr="3CB7C1AD">
        <w:rPr>
          <w:rFonts w:ascii="Arial" w:hAnsi="Arial" w:cs="Arial"/>
          <w:i/>
          <w:iCs/>
          <w:sz w:val="18"/>
          <w:szCs w:val="18"/>
        </w:rPr>
        <w:t xml:space="preserve">Source </w:t>
      </w:r>
      <w:r w:rsidRPr="00C47906">
        <w:rPr>
          <w:rFonts w:ascii="Arial" w:hAnsi="Arial" w:cs="Arial"/>
          <w:i/>
          <w:iCs/>
          <w:sz w:val="18"/>
          <w:szCs w:val="18"/>
        </w:rPr>
        <w:t xml:space="preserve">ONE </w:t>
      </w:r>
      <w:r w:rsidRPr="00327DB6">
        <w:rPr>
          <w:rFonts w:ascii="Arial" w:hAnsi="Arial" w:cs="Arial"/>
          <w:i/>
          <w:iCs/>
          <w:sz w:val="18"/>
          <w:szCs w:val="18"/>
        </w:rPr>
        <w:t xml:space="preserve">TBE </w:t>
      </w:r>
      <w:r w:rsidR="00166A3C" w:rsidRPr="00742D67">
        <w:rPr>
          <w:rFonts w:ascii="Arial" w:hAnsi="Arial" w:cs="Arial"/>
          <w:i/>
          <w:iCs/>
          <w:sz w:val="18"/>
          <w:szCs w:val="18"/>
        </w:rPr>
        <w:t>national</w:t>
      </w:r>
      <w:r w:rsidR="00166A3C" w:rsidRPr="00C47906">
        <w:rPr>
          <w:rFonts w:ascii="Arial" w:hAnsi="Arial" w:cs="Arial"/>
          <w:i/>
          <w:iCs/>
          <w:sz w:val="18"/>
          <w:szCs w:val="18"/>
        </w:rPr>
        <w:t xml:space="preserve"> </w:t>
      </w:r>
      <w:r w:rsidRPr="00C47906">
        <w:rPr>
          <w:rFonts w:ascii="Arial" w:hAnsi="Arial" w:cs="Arial"/>
          <w:i/>
          <w:iCs/>
          <w:sz w:val="18"/>
          <w:szCs w:val="18"/>
        </w:rPr>
        <w:t>2020</w:t>
      </w:r>
      <w:r w:rsidR="4B605A1E" w:rsidRPr="00C47906">
        <w:rPr>
          <w:rFonts w:ascii="Arial" w:hAnsi="Arial" w:cs="Arial"/>
          <w:i/>
          <w:iCs/>
          <w:sz w:val="18"/>
          <w:szCs w:val="18"/>
        </w:rPr>
        <w:t xml:space="preserve"> * valeur actualisé</w:t>
      </w:r>
      <w:r w:rsidR="00432287">
        <w:rPr>
          <w:rFonts w:ascii="Arial" w:hAnsi="Arial" w:cs="Arial"/>
          <w:i/>
          <w:iCs/>
          <w:sz w:val="18"/>
          <w:szCs w:val="18"/>
        </w:rPr>
        <w:t>e</w:t>
      </w:r>
      <w:r w:rsidR="4B605A1E" w:rsidRPr="3CB7C1AD">
        <w:rPr>
          <w:rFonts w:ascii="Arial" w:hAnsi="Arial" w:cs="Arial"/>
          <w:i/>
          <w:iCs/>
          <w:sz w:val="18"/>
          <w:szCs w:val="18"/>
        </w:rPr>
        <w:t xml:space="preserve"> </w:t>
      </w:r>
      <w:r w:rsidR="6ADD38D7" w:rsidRPr="3CB7C1AD">
        <w:rPr>
          <w:rFonts w:ascii="Arial" w:hAnsi="Arial" w:cs="Arial"/>
          <w:i/>
          <w:iCs/>
          <w:sz w:val="18"/>
          <w:szCs w:val="18"/>
        </w:rPr>
        <w:t xml:space="preserve"> </w:t>
      </w:r>
    </w:p>
    <w:p w14:paraId="1CC49EBA" w14:textId="77777777" w:rsidR="00DC393D" w:rsidRPr="00DC393D" w:rsidRDefault="006E3A00" w:rsidP="00687DD2">
      <w:pPr>
        <w:pStyle w:val="Paragraphedeliste"/>
        <w:numPr>
          <w:ilvl w:val="0"/>
          <w:numId w:val="40"/>
        </w:numPr>
        <w:jc w:val="both"/>
        <w:rPr>
          <w:rFonts w:ascii="Arial" w:hAnsi="Arial" w:cs="Arial"/>
        </w:rPr>
      </w:pPr>
      <w:r>
        <w:rPr>
          <w:rFonts w:ascii="Arial" w:hAnsi="Arial" w:cs="Arial"/>
        </w:rPr>
        <w:t>Les ichtyofaunes</w:t>
      </w:r>
      <w:r w:rsidR="00DC393D" w:rsidRPr="00DC393D">
        <w:rPr>
          <w:rFonts w:ascii="Arial" w:hAnsi="Arial" w:cs="Arial"/>
        </w:rPr>
        <w:t xml:space="preserve"> d’eau douce </w:t>
      </w:r>
      <w:r w:rsidRPr="00DC393D">
        <w:rPr>
          <w:rFonts w:ascii="Arial" w:hAnsi="Arial" w:cs="Arial"/>
        </w:rPr>
        <w:t>sont</w:t>
      </w:r>
      <w:r w:rsidR="00DC393D" w:rsidRPr="00DC393D">
        <w:rPr>
          <w:rFonts w:ascii="Arial" w:hAnsi="Arial" w:cs="Arial"/>
        </w:rPr>
        <w:t xml:space="preserve"> caractérisé</w:t>
      </w:r>
      <w:r>
        <w:rPr>
          <w:rFonts w:ascii="Arial" w:hAnsi="Arial" w:cs="Arial"/>
        </w:rPr>
        <w:t>s</w:t>
      </w:r>
      <w:r w:rsidR="00DC393D" w:rsidRPr="00DC393D">
        <w:rPr>
          <w:rFonts w:ascii="Arial" w:hAnsi="Arial" w:cs="Arial"/>
        </w:rPr>
        <w:t xml:space="preserve"> par </w:t>
      </w:r>
      <w:r>
        <w:rPr>
          <w:rFonts w:ascii="Arial" w:hAnsi="Arial" w:cs="Arial"/>
        </w:rPr>
        <w:t xml:space="preserve">sa pauvreté en nombre d’espèces </w:t>
      </w:r>
      <w:r w:rsidR="00DC393D" w:rsidRPr="00DC393D">
        <w:rPr>
          <w:rFonts w:ascii="Arial" w:hAnsi="Arial" w:cs="Arial"/>
        </w:rPr>
        <w:t>avec seulement 159 espè</w:t>
      </w:r>
      <w:r>
        <w:rPr>
          <w:rFonts w:ascii="Arial" w:hAnsi="Arial" w:cs="Arial"/>
        </w:rPr>
        <w:t xml:space="preserve">ces regroupées dans 116 genres </w:t>
      </w:r>
      <w:r w:rsidR="00DC393D" w:rsidRPr="00DC393D">
        <w:rPr>
          <w:rFonts w:ascii="Arial" w:hAnsi="Arial" w:cs="Arial"/>
        </w:rPr>
        <w:t>et 64 familles. Parmi ces espèces</w:t>
      </w:r>
      <w:r w:rsidR="008A73C5">
        <w:rPr>
          <w:rFonts w:ascii="Arial" w:hAnsi="Arial" w:cs="Arial"/>
        </w:rPr>
        <w:t>,</w:t>
      </w:r>
      <w:r w:rsidR="00DC393D" w:rsidRPr="00DC393D">
        <w:rPr>
          <w:rFonts w:ascii="Arial" w:hAnsi="Arial" w:cs="Arial"/>
        </w:rPr>
        <w:t xml:space="preserve"> 66% sont considérées comme endémique</w:t>
      </w:r>
      <w:r w:rsidR="009175BB">
        <w:rPr>
          <w:rFonts w:ascii="Arial" w:hAnsi="Arial" w:cs="Arial"/>
        </w:rPr>
        <w:t>s</w:t>
      </w:r>
      <w:r w:rsidR="00DC393D" w:rsidRPr="00DC393D">
        <w:rPr>
          <w:rFonts w:ascii="Arial" w:hAnsi="Arial" w:cs="Arial"/>
        </w:rPr>
        <w:t xml:space="preserve"> à Madagascar dont </w:t>
      </w:r>
      <w:r w:rsidR="009175BB">
        <w:rPr>
          <w:rFonts w:ascii="Arial" w:hAnsi="Arial" w:cs="Arial"/>
        </w:rPr>
        <w:t>d</w:t>
      </w:r>
      <w:r w:rsidR="00DC393D" w:rsidRPr="00DC393D">
        <w:rPr>
          <w:rFonts w:ascii="Arial" w:hAnsi="Arial" w:cs="Arial"/>
        </w:rPr>
        <w:t xml:space="preserve">eux </w:t>
      </w:r>
      <w:r w:rsidR="00DC393D">
        <w:rPr>
          <w:rFonts w:ascii="Arial" w:hAnsi="Arial" w:cs="Arial"/>
        </w:rPr>
        <w:t xml:space="preserve">(02) </w:t>
      </w:r>
      <w:r w:rsidR="00DC393D" w:rsidRPr="00DC393D">
        <w:rPr>
          <w:rFonts w:ascii="Arial" w:hAnsi="Arial" w:cs="Arial"/>
        </w:rPr>
        <w:t>familles</w:t>
      </w:r>
      <w:r w:rsidR="008A73C5">
        <w:rPr>
          <w:rFonts w:ascii="Arial" w:hAnsi="Arial" w:cs="Arial"/>
        </w:rPr>
        <w:t xml:space="preserve"> </w:t>
      </w:r>
      <w:r w:rsidR="00DC393D" w:rsidRPr="00DC393D">
        <w:rPr>
          <w:rFonts w:ascii="Arial" w:hAnsi="Arial" w:cs="Arial"/>
        </w:rPr>
        <w:t>: ANCHARIIDAE et BEDOTIIDAE ainsi que 13 genre</w:t>
      </w:r>
      <w:r w:rsidR="00DC393D">
        <w:rPr>
          <w:rFonts w:ascii="Arial" w:hAnsi="Arial" w:cs="Arial"/>
        </w:rPr>
        <w:t>s. Actuellement, t</w:t>
      </w:r>
      <w:r w:rsidR="00DC393D" w:rsidRPr="00DC393D">
        <w:rPr>
          <w:rFonts w:ascii="Arial" w:hAnsi="Arial" w:cs="Arial"/>
        </w:rPr>
        <w:t xml:space="preserve">rès peu d’espèces </w:t>
      </w:r>
      <w:r w:rsidR="008A73C5">
        <w:rPr>
          <w:rFonts w:ascii="Arial" w:hAnsi="Arial" w:cs="Arial"/>
        </w:rPr>
        <w:t>se trouvent</w:t>
      </w:r>
      <w:r w:rsidR="00DC393D" w:rsidRPr="00DC393D">
        <w:rPr>
          <w:rFonts w:ascii="Arial" w:hAnsi="Arial" w:cs="Arial"/>
        </w:rPr>
        <w:t xml:space="preserve"> dans les zones bénéficiant d’un statut d’aires protégées, la plupart </w:t>
      </w:r>
      <w:r w:rsidR="006F45CC">
        <w:rPr>
          <w:rFonts w:ascii="Arial" w:hAnsi="Arial" w:cs="Arial"/>
        </w:rPr>
        <w:t>sont</w:t>
      </w:r>
      <w:r w:rsidR="006F45CC" w:rsidRPr="00DC393D">
        <w:rPr>
          <w:rFonts w:ascii="Arial" w:hAnsi="Arial" w:cs="Arial"/>
        </w:rPr>
        <w:t xml:space="preserve"> </w:t>
      </w:r>
      <w:r w:rsidR="00DC393D" w:rsidRPr="00DC393D">
        <w:rPr>
          <w:rFonts w:ascii="Arial" w:hAnsi="Arial" w:cs="Arial"/>
        </w:rPr>
        <w:t>rencontrée</w:t>
      </w:r>
      <w:r w:rsidR="006F45CC">
        <w:rPr>
          <w:rFonts w:ascii="Arial" w:hAnsi="Arial" w:cs="Arial"/>
        </w:rPr>
        <w:t>s</w:t>
      </w:r>
      <w:r w:rsidR="00DC393D" w:rsidRPr="00DC393D">
        <w:rPr>
          <w:rFonts w:ascii="Arial" w:hAnsi="Arial" w:cs="Arial"/>
        </w:rPr>
        <w:t xml:space="preserve"> dans les zones non protégées</w:t>
      </w:r>
      <w:r w:rsidR="008A73C5">
        <w:rPr>
          <w:rFonts w:ascii="Arial" w:hAnsi="Arial" w:cs="Arial"/>
        </w:rPr>
        <w:t> ;</w:t>
      </w:r>
    </w:p>
    <w:p w14:paraId="3E09FBE5" w14:textId="77777777" w:rsidR="000F1157" w:rsidRPr="002D4A3D" w:rsidRDefault="000F1157" w:rsidP="002D4A3D">
      <w:pPr>
        <w:pStyle w:val="Paragraphedeliste"/>
        <w:numPr>
          <w:ilvl w:val="0"/>
          <w:numId w:val="40"/>
        </w:numPr>
        <w:jc w:val="both"/>
        <w:rPr>
          <w:rFonts w:ascii="Arial" w:hAnsi="Arial" w:cs="Arial"/>
        </w:rPr>
      </w:pPr>
      <w:r w:rsidRPr="002D4A3D">
        <w:rPr>
          <w:rFonts w:ascii="Arial" w:hAnsi="Arial" w:cs="Arial"/>
        </w:rPr>
        <w:lastRenderedPageBreak/>
        <w:t>L’</w:t>
      </w:r>
      <w:r w:rsidR="003D6C53" w:rsidRPr="002D4A3D">
        <w:rPr>
          <w:rFonts w:ascii="Arial" w:hAnsi="Arial" w:cs="Arial"/>
        </w:rPr>
        <w:t>herpétofaune</w:t>
      </w:r>
      <w:r w:rsidRPr="002D4A3D">
        <w:rPr>
          <w:rFonts w:ascii="Arial" w:hAnsi="Arial" w:cs="Arial"/>
        </w:rPr>
        <w:t xml:space="preserve"> terrestre comprend plus de 400 espèces connus dont 98% sont endémiques. Pour le cas des caméléons, Madagascar compte à lui seul les 2/3 de la population mondiale avec 53 espèces. Parmi ces espèces on peut citer le genre </w:t>
      </w:r>
      <w:r w:rsidRPr="002D4A3D">
        <w:rPr>
          <w:rFonts w:ascii="Arial" w:hAnsi="Arial" w:cs="Arial"/>
          <w:i/>
          <w:iCs/>
        </w:rPr>
        <w:t xml:space="preserve">Brookesia avec 21 </w:t>
      </w:r>
      <w:r w:rsidR="003100C0" w:rsidRPr="002D4A3D">
        <w:rPr>
          <w:rFonts w:ascii="Arial" w:hAnsi="Arial" w:cs="Arial"/>
          <w:i/>
          <w:iCs/>
        </w:rPr>
        <w:t>espèces</w:t>
      </w:r>
      <w:r w:rsidRPr="002D4A3D">
        <w:rPr>
          <w:rFonts w:ascii="Arial" w:hAnsi="Arial" w:cs="Arial"/>
          <w:i/>
          <w:iCs/>
        </w:rPr>
        <w:t>, Chamaeleo</w:t>
      </w:r>
      <w:r w:rsidRPr="002D4A3D">
        <w:rPr>
          <w:rFonts w:ascii="Arial" w:hAnsi="Arial" w:cs="Arial"/>
        </w:rPr>
        <w:t xml:space="preserve"> et </w:t>
      </w:r>
      <w:r w:rsidRPr="002D4A3D">
        <w:rPr>
          <w:rFonts w:ascii="Arial" w:hAnsi="Arial" w:cs="Arial"/>
          <w:i/>
          <w:iCs/>
        </w:rPr>
        <w:t>Furcifer</w:t>
      </w:r>
      <w:r w:rsidRPr="002D4A3D">
        <w:rPr>
          <w:rFonts w:ascii="Arial" w:hAnsi="Arial" w:cs="Arial"/>
        </w:rPr>
        <w:t> comptent 32 espèces dont 30 sont endémiques.</w:t>
      </w:r>
      <w:r w:rsidR="003100C0" w:rsidRPr="002D4A3D">
        <w:rPr>
          <w:rFonts w:ascii="Arial" w:hAnsi="Arial" w:cs="Arial"/>
        </w:rPr>
        <w:t xml:space="preserve"> </w:t>
      </w:r>
    </w:p>
    <w:p w14:paraId="20114E1E" w14:textId="77777777" w:rsidR="000F1157" w:rsidRPr="000F1157" w:rsidRDefault="000F1157" w:rsidP="00687DD2">
      <w:pPr>
        <w:pStyle w:val="Paragraphedeliste"/>
        <w:numPr>
          <w:ilvl w:val="0"/>
          <w:numId w:val="40"/>
        </w:numPr>
        <w:jc w:val="both"/>
        <w:rPr>
          <w:rFonts w:ascii="Arial" w:hAnsi="Arial" w:cs="Arial"/>
        </w:rPr>
      </w:pPr>
      <w:r w:rsidRPr="000F1157">
        <w:rPr>
          <w:rFonts w:ascii="Arial" w:hAnsi="Arial" w:cs="Arial"/>
        </w:rPr>
        <w:t>L</w:t>
      </w:r>
      <w:r w:rsidR="00067E59" w:rsidRPr="000F1157">
        <w:rPr>
          <w:rFonts w:ascii="Arial" w:hAnsi="Arial" w:cs="Arial"/>
        </w:rPr>
        <w:t>es amphibiens à Madagascar comptent environ 278 espèces décrite</w:t>
      </w:r>
      <w:r w:rsidR="009175BB">
        <w:rPr>
          <w:rFonts w:ascii="Arial" w:hAnsi="Arial" w:cs="Arial"/>
        </w:rPr>
        <w:t>s</w:t>
      </w:r>
      <w:r w:rsidR="00067E59" w:rsidRPr="000F1157">
        <w:rPr>
          <w:rFonts w:ascii="Arial" w:hAnsi="Arial" w:cs="Arial"/>
        </w:rPr>
        <w:t xml:space="preserve"> et 150 en instance de description. A part trois espèces introduites (</w:t>
      </w:r>
      <w:r w:rsidR="00067E59" w:rsidRPr="000F1157">
        <w:rPr>
          <w:rFonts w:ascii="Arial" w:hAnsi="Arial" w:cs="Arial"/>
          <w:i/>
        </w:rPr>
        <w:t>Hoplobatrachus tigerinus, Duttaphrynus melanostictus et Ptychadena mascareniensis</w:t>
      </w:r>
      <w:r w:rsidR="00067E59" w:rsidRPr="000F1157">
        <w:rPr>
          <w:rFonts w:ascii="Arial" w:hAnsi="Arial" w:cs="Arial"/>
        </w:rPr>
        <w:t>), tous les amphibiens malgaches sont endémiques, ainsi qu’une famille endémique</w:t>
      </w:r>
      <w:r w:rsidRPr="000F1157">
        <w:rPr>
          <w:rFonts w:ascii="Arial" w:hAnsi="Arial" w:cs="Arial"/>
        </w:rPr>
        <w:t xml:space="preserve"> constituée par les Mantellidae. Une grande partie </w:t>
      </w:r>
      <w:r w:rsidR="003100C0">
        <w:rPr>
          <w:rFonts w:ascii="Arial" w:hAnsi="Arial" w:cs="Arial"/>
        </w:rPr>
        <w:t>des</w:t>
      </w:r>
      <w:r w:rsidRPr="000F1157">
        <w:rPr>
          <w:rFonts w:ascii="Arial" w:hAnsi="Arial" w:cs="Arial"/>
        </w:rPr>
        <w:t xml:space="preserve"> Batraciens vit dans </w:t>
      </w:r>
      <w:r>
        <w:rPr>
          <w:rFonts w:ascii="Arial" w:hAnsi="Arial" w:cs="Arial"/>
        </w:rPr>
        <w:t xml:space="preserve">les forêts denses humides. Ils peuvent être </w:t>
      </w:r>
      <w:r w:rsidRPr="000F1157">
        <w:rPr>
          <w:rFonts w:ascii="Arial" w:hAnsi="Arial" w:cs="Arial"/>
        </w:rPr>
        <w:t>aquatiques, terrestres, arboricoles ou terricoles. Certaines espèces (g</w:t>
      </w:r>
      <w:r>
        <w:rPr>
          <w:rFonts w:ascii="Arial" w:hAnsi="Arial" w:cs="Arial"/>
        </w:rPr>
        <w:t>enre</w:t>
      </w:r>
      <w:r w:rsidRPr="000F1157">
        <w:rPr>
          <w:rFonts w:ascii="Arial" w:hAnsi="Arial" w:cs="Arial"/>
          <w:i/>
        </w:rPr>
        <w:t>. Rhacophorus</w:t>
      </w:r>
      <w:r w:rsidRPr="000F1157">
        <w:rPr>
          <w:rFonts w:ascii="Arial" w:hAnsi="Arial" w:cs="Arial"/>
        </w:rPr>
        <w:t>) sont collectées en quantité i</w:t>
      </w:r>
      <w:r>
        <w:rPr>
          <w:rFonts w:ascii="Arial" w:hAnsi="Arial" w:cs="Arial"/>
        </w:rPr>
        <w:t>mportante pour la consommation alors que</w:t>
      </w:r>
      <w:r w:rsidRPr="000F1157">
        <w:rPr>
          <w:rFonts w:ascii="Arial" w:hAnsi="Arial" w:cs="Arial"/>
        </w:rPr>
        <w:t xml:space="preserve"> d’autres (g</w:t>
      </w:r>
      <w:r>
        <w:rPr>
          <w:rFonts w:ascii="Arial" w:hAnsi="Arial" w:cs="Arial"/>
        </w:rPr>
        <w:t>enre</w:t>
      </w:r>
      <w:r w:rsidRPr="000F1157">
        <w:rPr>
          <w:rFonts w:ascii="Arial" w:hAnsi="Arial" w:cs="Arial"/>
        </w:rPr>
        <w:t>. </w:t>
      </w:r>
      <w:r w:rsidRPr="000F1157">
        <w:rPr>
          <w:rFonts w:ascii="Arial" w:hAnsi="Arial" w:cs="Arial"/>
          <w:i/>
        </w:rPr>
        <w:t>Mantella</w:t>
      </w:r>
      <w:r w:rsidRPr="000F1157">
        <w:rPr>
          <w:rFonts w:ascii="Arial" w:hAnsi="Arial" w:cs="Arial"/>
        </w:rPr>
        <w:t>) font l’objet d’une forte exploitation pour le commerce extérieur</w:t>
      </w:r>
      <w:r>
        <w:rPr>
          <w:rFonts w:ascii="Arial" w:hAnsi="Arial" w:cs="Arial"/>
        </w:rPr>
        <w:t>.</w:t>
      </w:r>
    </w:p>
    <w:p w14:paraId="52EEAB24" w14:textId="77777777" w:rsidR="004B5DAC" w:rsidRPr="004B5DAC" w:rsidRDefault="00CF25D4" w:rsidP="00687DD2">
      <w:pPr>
        <w:pStyle w:val="Paragraphedeliste"/>
        <w:numPr>
          <w:ilvl w:val="0"/>
          <w:numId w:val="40"/>
        </w:numPr>
        <w:jc w:val="both"/>
        <w:rPr>
          <w:rFonts w:ascii="Arial" w:hAnsi="Arial" w:cs="Arial"/>
        </w:rPr>
      </w:pPr>
      <w:r w:rsidRPr="004B5DAC">
        <w:rPr>
          <w:rFonts w:ascii="Arial" w:hAnsi="Arial" w:cs="Arial"/>
        </w:rPr>
        <w:t xml:space="preserve">L’avifaune malagasy compte environ </w:t>
      </w:r>
      <w:r w:rsidR="004B5DAC" w:rsidRPr="004B5DAC">
        <w:rPr>
          <w:rFonts w:ascii="Arial" w:hAnsi="Arial" w:cs="Arial"/>
        </w:rPr>
        <w:t>307</w:t>
      </w:r>
      <w:r w:rsidRPr="004B5DAC">
        <w:rPr>
          <w:rFonts w:ascii="Arial" w:hAnsi="Arial" w:cs="Arial"/>
        </w:rPr>
        <w:t xml:space="preserve"> espèces réparties en 67 familles dont </w:t>
      </w:r>
      <w:r w:rsidR="004B5DAC" w:rsidRPr="004B5DAC">
        <w:rPr>
          <w:rFonts w:ascii="Arial" w:hAnsi="Arial" w:cs="Arial"/>
        </w:rPr>
        <w:t>209 nicheurs, 52 migrants non-nicheurs, 40 vagabonds et 6 introductions non indigènes</w:t>
      </w:r>
      <w:r w:rsidR="004B5DAC" w:rsidRPr="000F1157">
        <w:rPr>
          <w:vertAlign w:val="superscript"/>
        </w:rPr>
        <w:footnoteReference w:id="38"/>
      </w:r>
      <w:r w:rsidR="004B5DAC" w:rsidRPr="004B5DAC">
        <w:rPr>
          <w:rFonts w:ascii="Arial" w:hAnsi="Arial" w:cs="Arial"/>
        </w:rPr>
        <w:t xml:space="preserve">. </w:t>
      </w:r>
      <w:r w:rsidRPr="004B5DAC">
        <w:rPr>
          <w:rFonts w:ascii="Arial" w:hAnsi="Arial" w:cs="Arial"/>
        </w:rPr>
        <w:t>Le taux d’endémicité des oiseaux est assez faible puisque 37% des espèces seulement sont endémique</w:t>
      </w:r>
      <w:r w:rsidR="009175BB">
        <w:rPr>
          <w:rFonts w:ascii="Arial" w:hAnsi="Arial" w:cs="Arial"/>
        </w:rPr>
        <w:t>s</w:t>
      </w:r>
      <w:r w:rsidRPr="004B5DAC">
        <w:rPr>
          <w:rFonts w:ascii="Arial" w:hAnsi="Arial" w:cs="Arial"/>
        </w:rPr>
        <w:t xml:space="preserve"> à </w:t>
      </w:r>
      <w:r w:rsidR="004B5DAC" w:rsidRPr="004B5DAC">
        <w:rPr>
          <w:rFonts w:ascii="Arial" w:hAnsi="Arial" w:cs="Arial"/>
        </w:rPr>
        <w:t>Madagascar. Une bonne partie de l’avifaune malgache se compose d’espèces spécialistes des forêts</w:t>
      </w:r>
      <w:r w:rsidR="004B5DAC">
        <w:rPr>
          <w:rFonts w:ascii="Arial" w:hAnsi="Arial" w:cs="Arial"/>
        </w:rPr>
        <w:t xml:space="preserve">. </w:t>
      </w:r>
    </w:p>
    <w:p w14:paraId="2928608B" w14:textId="77777777" w:rsidR="000F1157" w:rsidRPr="004B5DAC" w:rsidRDefault="000F1157" w:rsidP="00687DD2">
      <w:pPr>
        <w:pStyle w:val="Paragraphedeliste"/>
        <w:numPr>
          <w:ilvl w:val="0"/>
          <w:numId w:val="40"/>
        </w:numPr>
        <w:jc w:val="both"/>
        <w:rPr>
          <w:rFonts w:ascii="Arial" w:hAnsi="Arial" w:cs="Arial"/>
        </w:rPr>
      </w:pPr>
      <w:r>
        <w:rPr>
          <w:rFonts w:ascii="Arial" w:hAnsi="Arial" w:cs="Arial"/>
        </w:rPr>
        <w:t>Le</w:t>
      </w:r>
      <w:r w:rsidR="007D4781">
        <w:rPr>
          <w:rFonts w:ascii="Arial" w:hAnsi="Arial" w:cs="Arial"/>
        </w:rPr>
        <w:t>s</w:t>
      </w:r>
      <w:r>
        <w:rPr>
          <w:rFonts w:ascii="Arial" w:hAnsi="Arial" w:cs="Arial"/>
        </w:rPr>
        <w:t xml:space="preserve"> mammifère</w:t>
      </w:r>
      <w:r w:rsidR="007D4781">
        <w:rPr>
          <w:rFonts w:ascii="Arial" w:hAnsi="Arial" w:cs="Arial"/>
        </w:rPr>
        <w:t>s</w:t>
      </w:r>
      <w:r w:rsidRPr="004B5DAC">
        <w:rPr>
          <w:rFonts w:ascii="Arial" w:hAnsi="Arial" w:cs="Arial"/>
        </w:rPr>
        <w:t xml:space="preserve"> compren</w:t>
      </w:r>
      <w:r w:rsidR="007D4781">
        <w:rPr>
          <w:rFonts w:ascii="Arial" w:hAnsi="Arial" w:cs="Arial"/>
        </w:rPr>
        <w:t>nent</w:t>
      </w:r>
      <w:r w:rsidRPr="004B5DAC">
        <w:rPr>
          <w:rFonts w:ascii="Arial" w:hAnsi="Arial" w:cs="Arial"/>
        </w:rPr>
        <w:t xml:space="preserve"> plusieurs espèces réparties dans cinq sous ordres : les Carnivores, les Chiroptères, les Insectivores, les Rongeurs et les Primates. 221 des 231 espèces indigènes connues de mammifères sont endémiques de Madagascar soit un taux d’endémicité de l’ordre de 95%. Madagascar abrite 20% de tous les genres de primates du monde dont le taux d’endémicité est très élevé et qui représente plus de 95% des primates dans l’île. En outre sur les 384 mammifères recensés, 122 sont déclarées par l’UICN comme en danger, parmi les espèces les plus vulnérables se trouvent les primates et les carnivores. </w:t>
      </w:r>
    </w:p>
    <w:p w14:paraId="0D0C6D85" w14:textId="77777777" w:rsidR="00AB2135" w:rsidRPr="0017227E" w:rsidRDefault="00DC393D" w:rsidP="00FA7742">
      <w:pPr>
        <w:jc w:val="both"/>
        <w:rPr>
          <w:rFonts w:ascii="Arial" w:hAnsi="Arial" w:cs="Arial"/>
        </w:rPr>
      </w:pPr>
      <w:r w:rsidRPr="0017227E">
        <w:rPr>
          <w:rFonts w:ascii="Arial" w:hAnsi="Arial" w:cs="Arial"/>
        </w:rPr>
        <w:t xml:space="preserve">Il importe de noter que </w:t>
      </w:r>
      <w:r w:rsidR="00CF25D4" w:rsidRPr="0017227E">
        <w:rPr>
          <w:rFonts w:ascii="Arial" w:hAnsi="Arial" w:cs="Arial"/>
        </w:rPr>
        <w:t>les 80% de la biodiversité animale malgache sont inféodés aux biotopes forestiers (aquatiques, terrestres, arboricoles ou terricoles)</w:t>
      </w:r>
      <w:r w:rsidR="009175BB">
        <w:rPr>
          <w:rFonts w:ascii="Arial" w:hAnsi="Arial" w:cs="Arial"/>
        </w:rPr>
        <w:t xml:space="preserve"> </w:t>
      </w:r>
      <w:r w:rsidR="00CF25D4" w:rsidRPr="0017227E">
        <w:rPr>
          <w:rFonts w:ascii="Arial" w:hAnsi="Arial" w:cs="Arial"/>
        </w:rPr>
        <w:t>; les 20% restants vivent en majeure partie dans les zones humides et seules quelques espèces sont savanicoles ou se sont adaptées secondairement aux savanes.</w:t>
      </w:r>
      <w:r w:rsidRPr="0017227E">
        <w:rPr>
          <w:rFonts w:ascii="Arial" w:hAnsi="Arial" w:cs="Arial"/>
        </w:rPr>
        <w:t xml:space="preserve"> Les espèces qui sont localisées dans les milieux ouverts comme les savanes sont tous des espèces </w:t>
      </w:r>
      <w:r w:rsidR="00C3284A" w:rsidRPr="0017227E">
        <w:rPr>
          <w:rFonts w:ascii="Arial" w:hAnsi="Arial" w:cs="Arial"/>
        </w:rPr>
        <w:t xml:space="preserve">à large distribution. Parmi ces espèces on peut trouver : des lézards du genre de </w:t>
      </w:r>
      <w:r w:rsidR="00C3284A" w:rsidRPr="0017227E">
        <w:rPr>
          <w:rFonts w:ascii="Arial" w:hAnsi="Arial" w:cs="Arial"/>
          <w:i/>
        </w:rPr>
        <w:t>Oplurus, Hemidacylus</w:t>
      </w:r>
      <w:r w:rsidR="00C3284A" w:rsidRPr="0017227E">
        <w:rPr>
          <w:rFonts w:ascii="Arial" w:hAnsi="Arial" w:cs="Arial"/>
        </w:rPr>
        <w:t xml:space="preserve">, les caméléons comme </w:t>
      </w:r>
      <w:r w:rsidR="00C3284A" w:rsidRPr="0017227E">
        <w:rPr>
          <w:rFonts w:ascii="Arial" w:hAnsi="Arial" w:cs="Arial"/>
          <w:i/>
        </w:rPr>
        <w:t>Furcifer oustaleti</w:t>
      </w:r>
      <w:r w:rsidR="00C3284A" w:rsidRPr="0017227E">
        <w:rPr>
          <w:rFonts w:ascii="Arial" w:hAnsi="Arial" w:cs="Arial"/>
        </w:rPr>
        <w:t xml:space="preserve"> et </w:t>
      </w:r>
      <w:r w:rsidR="00C3284A" w:rsidRPr="0017227E">
        <w:rPr>
          <w:rFonts w:ascii="Arial" w:hAnsi="Arial" w:cs="Arial"/>
          <w:i/>
        </w:rPr>
        <w:t xml:space="preserve">Furcifer lateralis. </w:t>
      </w:r>
      <w:r w:rsidR="00C3284A" w:rsidRPr="0017227E">
        <w:rPr>
          <w:rFonts w:ascii="Arial" w:hAnsi="Arial" w:cs="Arial"/>
        </w:rPr>
        <w:t xml:space="preserve">Dans les zones basses et marécageuses se trouve les espèces comme </w:t>
      </w:r>
      <w:r w:rsidR="00C3284A" w:rsidRPr="0017227E">
        <w:rPr>
          <w:rFonts w:ascii="Arial" w:hAnsi="Arial" w:cs="Arial"/>
          <w:i/>
        </w:rPr>
        <w:t>Bibilava lateralis</w:t>
      </w:r>
      <w:r w:rsidR="00C3284A" w:rsidRPr="0017227E">
        <w:rPr>
          <w:rFonts w:ascii="Arial" w:hAnsi="Arial" w:cs="Arial"/>
        </w:rPr>
        <w:t xml:space="preserve"> (reptile), </w:t>
      </w:r>
      <w:r w:rsidR="00C3284A" w:rsidRPr="0017227E">
        <w:rPr>
          <w:rFonts w:ascii="Arial" w:hAnsi="Arial" w:cs="Arial"/>
          <w:i/>
        </w:rPr>
        <w:t>Ptychadena mascareniensis</w:t>
      </w:r>
      <w:r w:rsidR="00C3284A" w:rsidRPr="0017227E">
        <w:rPr>
          <w:rFonts w:ascii="Arial" w:hAnsi="Arial" w:cs="Arial"/>
        </w:rPr>
        <w:t xml:space="preserve"> (grenouille). Alors que les oiseaux </w:t>
      </w:r>
      <w:r w:rsidR="003B4DB5" w:rsidRPr="0017227E">
        <w:rPr>
          <w:rFonts w:ascii="Arial" w:hAnsi="Arial" w:cs="Arial"/>
        </w:rPr>
        <w:t xml:space="preserve">sont représentés par </w:t>
      </w:r>
      <w:r w:rsidR="003B4DB5" w:rsidRPr="0017227E">
        <w:rPr>
          <w:rFonts w:ascii="Arial" w:hAnsi="Arial" w:cs="Arial"/>
          <w:i/>
        </w:rPr>
        <w:t xml:space="preserve">Bubulcus ibis, Foudia madagascariensis, Corvus </w:t>
      </w:r>
      <w:r w:rsidR="00BC06BA" w:rsidRPr="0017227E">
        <w:rPr>
          <w:rFonts w:ascii="Arial" w:hAnsi="Arial" w:cs="Arial"/>
          <w:i/>
        </w:rPr>
        <w:t>albus</w:t>
      </w:r>
      <w:r w:rsidR="003B4DB5" w:rsidRPr="0017227E">
        <w:rPr>
          <w:rFonts w:ascii="Arial" w:hAnsi="Arial" w:cs="Arial"/>
          <w:i/>
        </w:rPr>
        <w:t>, Falco newtoni</w:t>
      </w:r>
      <w:r w:rsidR="00C81B85" w:rsidRPr="0017227E">
        <w:rPr>
          <w:rFonts w:ascii="Arial" w:hAnsi="Arial" w:cs="Arial"/>
          <w:i/>
        </w:rPr>
        <w:t xml:space="preserve">, Acridotheres tristis </w:t>
      </w:r>
      <w:r w:rsidR="003B4DB5" w:rsidRPr="0017227E">
        <w:rPr>
          <w:rFonts w:ascii="Arial" w:hAnsi="Arial" w:cs="Arial"/>
          <w:i/>
        </w:rPr>
        <w:t xml:space="preserve">etc. </w:t>
      </w:r>
      <w:r w:rsidR="00C67CB4">
        <w:rPr>
          <w:rFonts w:ascii="Arial" w:hAnsi="Arial" w:cs="Arial"/>
          <w:i/>
        </w:rPr>
        <w:t xml:space="preserve">ces espèces sont les plus répendues dans la zone d’emprise du projet </w:t>
      </w:r>
    </w:p>
    <w:tbl>
      <w:tblPr>
        <w:tblW w:w="0" w:type="auto"/>
        <w:tblLook w:val="04A0" w:firstRow="1" w:lastRow="0" w:firstColumn="1" w:lastColumn="0" w:noHBand="0" w:noVBand="1"/>
      </w:tblPr>
      <w:tblGrid>
        <w:gridCol w:w="4485"/>
        <w:gridCol w:w="4587"/>
      </w:tblGrid>
      <w:tr w:rsidR="00DF11CD" w:rsidRPr="007F78CE" w14:paraId="1AEFFA79" w14:textId="77777777" w:rsidTr="007F78CE">
        <w:tc>
          <w:tcPr>
            <w:tcW w:w="4606" w:type="dxa"/>
            <w:shd w:val="clear" w:color="auto" w:fill="auto"/>
          </w:tcPr>
          <w:p w14:paraId="30D2438F" w14:textId="05561872" w:rsidR="00DF11CD" w:rsidRPr="007F78CE" w:rsidRDefault="00E97ECD" w:rsidP="007F78CE">
            <w:pPr>
              <w:spacing w:after="0" w:line="240" w:lineRule="auto"/>
              <w:jc w:val="both"/>
              <w:rPr>
                <w:rFonts w:ascii="Arial" w:hAnsi="Arial" w:cs="Arial"/>
                <w:color w:val="FF0000"/>
              </w:rPr>
            </w:pPr>
            <w:r>
              <w:rPr>
                <w:noProof/>
              </w:rPr>
              <w:lastRenderedPageBreak/>
              <w:drawing>
                <wp:anchor distT="0" distB="0" distL="114300" distR="114300" simplePos="0" relativeHeight="251649024" behindDoc="0" locked="0" layoutInCell="1" allowOverlap="1" wp14:anchorId="2CB32DBA" wp14:editId="620F705A">
                  <wp:simplePos x="0" y="0"/>
                  <wp:positionH relativeFrom="column">
                    <wp:posOffset>-25400</wp:posOffset>
                  </wp:positionH>
                  <wp:positionV relativeFrom="paragraph">
                    <wp:posOffset>47625</wp:posOffset>
                  </wp:positionV>
                  <wp:extent cx="2762250" cy="1562735"/>
                  <wp:effectExtent l="0" t="0" r="0" b="0"/>
                  <wp:wrapSquare wrapText="bothSides"/>
                  <wp:docPr id="61"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2250" cy="15627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06" w:type="dxa"/>
            <w:shd w:val="clear" w:color="auto" w:fill="auto"/>
          </w:tcPr>
          <w:p w14:paraId="0D76A04A" w14:textId="0B430734" w:rsidR="00DF11CD" w:rsidRPr="007F78CE" w:rsidRDefault="00E97ECD" w:rsidP="007F78CE">
            <w:pPr>
              <w:spacing w:after="0" w:line="240" w:lineRule="auto"/>
              <w:jc w:val="both"/>
              <w:rPr>
                <w:rFonts w:ascii="Arial" w:hAnsi="Arial" w:cs="Arial"/>
                <w:color w:val="FF0000"/>
              </w:rPr>
            </w:pPr>
            <w:r>
              <w:rPr>
                <w:noProof/>
              </w:rPr>
              <w:drawing>
                <wp:anchor distT="0" distB="0" distL="114300" distR="114300" simplePos="0" relativeHeight="251650048" behindDoc="0" locked="0" layoutInCell="1" allowOverlap="1" wp14:anchorId="70EE0140" wp14:editId="035C695F">
                  <wp:simplePos x="0" y="0"/>
                  <wp:positionH relativeFrom="column">
                    <wp:posOffset>-12700</wp:posOffset>
                  </wp:positionH>
                  <wp:positionV relativeFrom="paragraph">
                    <wp:posOffset>47625</wp:posOffset>
                  </wp:positionV>
                  <wp:extent cx="2828290" cy="1590675"/>
                  <wp:effectExtent l="0" t="0" r="0" b="0"/>
                  <wp:wrapSquare wrapText="bothSides"/>
                  <wp:docPr id="60"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829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F11CD" w:rsidRPr="007F78CE" w14:paraId="0AE00AFF" w14:textId="77777777" w:rsidTr="007F78CE">
        <w:tc>
          <w:tcPr>
            <w:tcW w:w="4606" w:type="dxa"/>
            <w:shd w:val="clear" w:color="auto" w:fill="auto"/>
          </w:tcPr>
          <w:p w14:paraId="0368A14B" w14:textId="77777777" w:rsidR="00DF11CD" w:rsidRPr="005226F4" w:rsidRDefault="00DF11CD">
            <w:pPr>
              <w:pStyle w:val="Lgende"/>
              <w:spacing w:after="0"/>
              <w:jc w:val="center"/>
              <w:rPr>
                <w:rFonts w:ascii="Arial" w:hAnsi="Arial" w:cs="Arial"/>
                <w:color w:val="FF0000"/>
                <w:lang w:val="fr-FR" w:eastAsia="en-US"/>
              </w:rPr>
            </w:pPr>
            <w:bookmarkStart w:id="363" w:name="_Toc125409957"/>
            <w:r w:rsidRPr="005226F4">
              <w:rPr>
                <w:rFonts w:ascii="Arial" w:hAnsi="Arial" w:cs="Arial"/>
                <w:sz w:val="20"/>
                <w:lang w:val="fr-FR" w:eastAsia="en-US"/>
              </w:rPr>
              <w:t xml:space="preserve">Photo </w:t>
            </w:r>
            <w:r w:rsidRPr="005226F4">
              <w:rPr>
                <w:rFonts w:ascii="Arial" w:hAnsi="Arial" w:cs="Arial"/>
                <w:sz w:val="20"/>
                <w:lang w:val="fr-FR" w:eastAsia="en-US"/>
              </w:rPr>
              <w:fldChar w:fldCharType="begin"/>
            </w:r>
            <w:r w:rsidRPr="005226F4">
              <w:rPr>
                <w:rFonts w:ascii="Arial" w:hAnsi="Arial" w:cs="Arial"/>
                <w:sz w:val="20"/>
                <w:lang w:val="fr-FR" w:eastAsia="en-US"/>
              </w:rPr>
              <w:instrText xml:space="preserve"> SEQ Photo \* ARABIC </w:instrText>
            </w:r>
            <w:r w:rsidRPr="005226F4">
              <w:rPr>
                <w:rFonts w:ascii="Arial" w:hAnsi="Arial" w:cs="Arial"/>
                <w:sz w:val="20"/>
                <w:lang w:val="fr-FR" w:eastAsia="en-US"/>
              </w:rPr>
              <w:fldChar w:fldCharType="separate"/>
            </w:r>
            <w:r w:rsidR="00382606" w:rsidRPr="005226F4">
              <w:rPr>
                <w:rFonts w:ascii="Arial" w:hAnsi="Arial" w:cs="Arial"/>
                <w:noProof/>
                <w:sz w:val="20"/>
                <w:lang w:val="fr-FR" w:eastAsia="en-US"/>
              </w:rPr>
              <w:t>4</w:t>
            </w:r>
            <w:r w:rsidRPr="005226F4">
              <w:rPr>
                <w:rFonts w:ascii="Arial" w:hAnsi="Arial" w:cs="Arial"/>
                <w:sz w:val="20"/>
                <w:lang w:val="fr-FR" w:eastAsia="en-US"/>
              </w:rPr>
              <w:fldChar w:fldCharType="end"/>
            </w:r>
            <w:r w:rsidRPr="005226F4">
              <w:rPr>
                <w:rFonts w:ascii="Arial" w:hAnsi="Arial" w:cs="Arial"/>
                <w:sz w:val="20"/>
                <w:lang w:val="fr-FR" w:eastAsia="en-US"/>
              </w:rPr>
              <w:t xml:space="preserve">. </w:t>
            </w:r>
            <w:r w:rsidRPr="005226F4">
              <w:rPr>
                <w:rFonts w:ascii="Arial" w:hAnsi="Arial" w:cs="Arial"/>
                <w:i/>
                <w:sz w:val="20"/>
                <w:lang w:val="fr-FR" w:eastAsia="en-US"/>
              </w:rPr>
              <w:t>Furcifer oustaleti</w:t>
            </w:r>
            <w:bookmarkEnd w:id="363"/>
          </w:p>
        </w:tc>
        <w:tc>
          <w:tcPr>
            <w:tcW w:w="4606" w:type="dxa"/>
            <w:shd w:val="clear" w:color="auto" w:fill="auto"/>
          </w:tcPr>
          <w:p w14:paraId="60006999" w14:textId="77777777" w:rsidR="00DF11CD" w:rsidRPr="005226F4" w:rsidRDefault="00DF11CD" w:rsidP="007F78CE">
            <w:pPr>
              <w:pStyle w:val="Lgende"/>
              <w:spacing w:after="0"/>
              <w:jc w:val="center"/>
              <w:rPr>
                <w:rFonts w:ascii="Arial" w:hAnsi="Arial" w:cs="Arial"/>
                <w:color w:val="FF0000"/>
                <w:lang w:val="fr-FR" w:eastAsia="en-US"/>
              </w:rPr>
            </w:pPr>
            <w:bookmarkStart w:id="364" w:name="_Toc125409958"/>
            <w:r w:rsidRPr="005226F4">
              <w:rPr>
                <w:rFonts w:ascii="Arial" w:hAnsi="Arial" w:cs="Arial"/>
                <w:sz w:val="20"/>
                <w:lang w:val="fr-FR" w:eastAsia="en-US"/>
              </w:rPr>
              <w:t xml:space="preserve">Photo </w:t>
            </w:r>
            <w:r w:rsidRPr="005226F4">
              <w:rPr>
                <w:rFonts w:ascii="Arial" w:hAnsi="Arial" w:cs="Arial"/>
                <w:sz w:val="20"/>
                <w:lang w:val="fr-FR" w:eastAsia="en-US"/>
              </w:rPr>
              <w:fldChar w:fldCharType="begin"/>
            </w:r>
            <w:r w:rsidRPr="005226F4">
              <w:rPr>
                <w:rFonts w:ascii="Arial" w:hAnsi="Arial" w:cs="Arial"/>
                <w:sz w:val="20"/>
                <w:lang w:val="fr-FR" w:eastAsia="en-US"/>
              </w:rPr>
              <w:instrText xml:space="preserve"> SEQ Photo \* ARABIC </w:instrText>
            </w:r>
            <w:r w:rsidRPr="005226F4">
              <w:rPr>
                <w:rFonts w:ascii="Arial" w:hAnsi="Arial" w:cs="Arial"/>
                <w:sz w:val="20"/>
                <w:lang w:val="fr-FR" w:eastAsia="en-US"/>
              </w:rPr>
              <w:fldChar w:fldCharType="separate"/>
            </w:r>
            <w:r w:rsidR="00382606" w:rsidRPr="005226F4">
              <w:rPr>
                <w:rFonts w:ascii="Arial" w:hAnsi="Arial" w:cs="Arial"/>
                <w:noProof/>
                <w:sz w:val="20"/>
                <w:lang w:val="fr-FR" w:eastAsia="en-US"/>
              </w:rPr>
              <w:t>5</w:t>
            </w:r>
            <w:r w:rsidRPr="005226F4">
              <w:rPr>
                <w:rFonts w:ascii="Arial" w:hAnsi="Arial" w:cs="Arial"/>
                <w:sz w:val="20"/>
                <w:lang w:val="fr-FR" w:eastAsia="en-US"/>
              </w:rPr>
              <w:fldChar w:fldCharType="end"/>
            </w:r>
            <w:r w:rsidRPr="005226F4">
              <w:rPr>
                <w:rFonts w:ascii="Arial" w:hAnsi="Arial" w:cs="Arial"/>
                <w:sz w:val="20"/>
                <w:lang w:val="fr-FR" w:eastAsia="en-US"/>
              </w:rPr>
              <w:t xml:space="preserve">. </w:t>
            </w:r>
            <w:r w:rsidRPr="005226F4">
              <w:rPr>
                <w:rFonts w:ascii="Arial" w:hAnsi="Arial" w:cs="Arial"/>
                <w:i/>
                <w:sz w:val="20"/>
                <w:lang w:val="fr-FR" w:eastAsia="en-US"/>
              </w:rPr>
              <w:t>Ptychadena madagascareniensis</w:t>
            </w:r>
            <w:bookmarkEnd w:id="364"/>
          </w:p>
        </w:tc>
      </w:tr>
      <w:tr w:rsidR="00DF11CD" w:rsidRPr="007F78CE" w14:paraId="2BE50C71" w14:textId="77777777" w:rsidTr="007F78CE">
        <w:tc>
          <w:tcPr>
            <w:tcW w:w="4606" w:type="dxa"/>
            <w:shd w:val="clear" w:color="auto" w:fill="auto"/>
          </w:tcPr>
          <w:p w14:paraId="50128824" w14:textId="3DF690A8" w:rsidR="00DF11CD" w:rsidRPr="007F78CE" w:rsidRDefault="00E97ECD" w:rsidP="007F78CE">
            <w:pPr>
              <w:spacing w:after="0" w:line="240" w:lineRule="auto"/>
              <w:jc w:val="center"/>
              <w:rPr>
                <w:rFonts w:ascii="Arial" w:hAnsi="Arial" w:cs="Arial"/>
                <w:color w:val="FF0000"/>
              </w:rPr>
            </w:pPr>
            <w:r w:rsidRPr="00FB04F6">
              <w:rPr>
                <w:rFonts w:ascii="Arial" w:hAnsi="Arial" w:cs="Arial"/>
                <w:noProof/>
                <w:color w:val="FF0000"/>
                <w:lang w:eastAsia="fr-FR"/>
              </w:rPr>
              <w:drawing>
                <wp:inline distT="0" distB="0" distL="0" distR="0" wp14:anchorId="658D0192" wp14:editId="14814311">
                  <wp:extent cx="2390775" cy="1552575"/>
                  <wp:effectExtent l="0" t="0" r="0" b="0"/>
                  <wp:docPr id="27" name="Image 269" descr="Description : F:\DECIM\Photo\Photo_BOeny\mAROSAKOA\IMG_20221219_112927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9" descr="Description : F:\DECIM\Photo\Photo_BOeny\mAROSAKOA\IMG_20221219_11292749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90775" cy="1552575"/>
                          </a:xfrm>
                          <a:prstGeom prst="rect">
                            <a:avLst/>
                          </a:prstGeom>
                          <a:noFill/>
                          <a:ln>
                            <a:noFill/>
                          </a:ln>
                        </pic:spPr>
                      </pic:pic>
                    </a:graphicData>
                  </a:graphic>
                </wp:inline>
              </w:drawing>
            </w:r>
          </w:p>
        </w:tc>
        <w:tc>
          <w:tcPr>
            <w:tcW w:w="4606" w:type="dxa"/>
            <w:shd w:val="clear" w:color="auto" w:fill="auto"/>
          </w:tcPr>
          <w:p w14:paraId="71FDAD0F" w14:textId="30B860F4" w:rsidR="00DF11CD" w:rsidRPr="007F78CE" w:rsidRDefault="00E97ECD" w:rsidP="007F78CE">
            <w:pPr>
              <w:spacing w:after="0" w:line="240" w:lineRule="auto"/>
              <w:jc w:val="center"/>
              <w:rPr>
                <w:rFonts w:ascii="Arial" w:hAnsi="Arial" w:cs="Arial"/>
                <w:color w:val="FF0000"/>
              </w:rPr>
            </w:pPr>
            <w:r w:rsidRPr="00FB04F6">
              <w:rPr>
                <w:rFonts w:ascii="Arial" w:hAnsi="Arial" w:cs="Arial"/>
                <w:noProof/>
                <w:color w:val="FF0000"/>
                <w:lang w:eastAsia="fr-FR"/>
              </w:rPr>
              <w:drawing>
                <wp:inline distT="0" distB="0" distL="0" distR="0" wp14:anchorId="6D821C4C" wp14:editId="771D0E3E">
                  <wp:extent cx="2324100" cy="1552575"/>
                  <wp:effectExtent l="0" t="0" r="0" b="0"/>
                  <wp:docPr id="28"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24100" cy="1552575"/>
                          </a:xfrm>
                          <a:prstGeom prst="rect">
                            <a:avLst/>
                          </a:prstGeom>
                          <a:noFill/>
                          <a:ln>
                            <a:noFill/>
                          </a:ln>
                        </pic:spPr>
                      </pic:pic>
                    </a:graphicData>
                  </a:graphic>
                </wp:inline>
              </w:drawing>
            </w:r>
          </w:p>
        </w:tc>
      </w:tr>
      <w:tr w:rsidR="00DF11CD" w:rsidRPr="007F78CE" w14:paraId="38F71DD0" w14:textId="77777777" w:rsidTr="007F78CE">
        <w:tc>
          <w:tcPr>
            <w:tcW w:w="4606" w:type="dxa"/>
            <w:shd w:val="clear" w:color="auto" w:fill="auto"/>
          </w:tcPr>
          <w:p w14:paraId="0D1B056C" w14:textId="77777777" w:rsidR="00DF11CD" w:rsidRPr="005226F4" w:rsidRDefault="00302D69" w:rsidP="007F78CE">
            <w:pPr>
              <w:pStyle w:val="Lgende"/>
              <w:spacing w:after="0"/>
              <w:jc w:val="center"/>
              <w:rPr>
                <w:lang w:val="fr-FR" w:eastAsia="en-US"/>
              </w:rPr>
            </w:pPr>
            <w:bookmarkStart w:id="365" w:name="_Toc125409959"/>
            <w:r w:rsidRPr="005226F4">
              <w:rPr>
                <w:rFonts w:ascii="Arial" w:hAnsi="Arial" w:cs="Arial"/>
                <w:sz w:val="20"/>
                <w:lang w:val="fr-FR" w:eastAsia="en-US"/>
              </w:rPr>
              <w:t xml:space="preserve">Photo </w:t>
            </w:r>
            <w:r w:rsidRPr="005226F4">
              <w:rPr>
                <w:rFonts w:ascii="Arial" w:hAnsi="Arial" w:cs="Arial"/>
                <w:sz w:val="20"/>
                <w:lang w:val="fr-FR" w:eastAsia="en-US"/>
              </w:rPr>
              <w:fldChar w:fldCharType="begin"/>
            </w:r>
            <w:r w:rsidRPr="005226F4">
              <w:rPr>
                <w:rFonts w:ascii="Arial" w:hAnsi="Arial" w:cs="Arial"/>
                <w:sz w:val="20"/>
                <w:lang w:val="fr-FR" w:eastAsia="en-US"/>
              </w:rPr>
              <w:instrText xml:space="preserve"> SEQ Photo \* ARABIC </w:instrText>
            </w:r>
            <w:r w:rsidRPr="005226F4">
              <w:rPr>
                <w:rFonts w:ascii="Arial" w:hAnsi="Arial" w:cs="Arial"/>
                <w:sz w:val="20"/>
                <w:lang w:val="fr-FR" w:eastAsia="en-US"/>
              </w:rPr>
              <w:fldChar w:fldCharType="separate"/>
            </w:r>
            <w:r w:rsidR="00382606" w:rsidRPr="005226F4">
              <w:rPr>
                <w:rFonts w:ascii="Arial" w:hAnsi="Arial" w:cs="Arial"/>
                <w:noProof/>
                <w:sz w:val="20"/>
                <w:lang w:val="fr-FR" w:eastAsia="en-US"/>
              </w:rPr>
              <w:t>6</w:t>
            </w:r>
            <w:r w:rsidRPr="005226F4">
              <w:rPr>
                <w:rFonts w:ascii="Arial" w:hAnsi="Arial" w:cs="Arial"/>
                <w:sz w:val="20"/>
                <w:lang w:val="fr-FR" w:eastAsia="en-US"/>
              </w:rPr>
              <w:fldChar w:fldCharType="end"/>
            </w:r>
            <w:r w:rsidRPr="005226F4">
              <w:rPr>
                <w:rFonts w:ascii="Arial" w:hAnsi="Arial" w:cs="Arial"/>
                <w:sz w:val="20"/>
                <w:lang w:val="fr-FR" w:eastAsia="en-US"/>
              </w:rPr>
              <w:t xml:space="preserve">. </w:t>
            </w:r>
            <w:r w:rsidRPr="005226F4">
              <w:rPr>
                <w:rFonts w:ascii="Arial" w:hAnsi="Arial" w:cs="Arial"/>
                <w:i/>
                <w:sz w:val="20"/>
                <w:lang w:val="fr-FR" w:eastAsia="en-US"/>
              </w:rPr>
              <w:t>Oplurus sp</w:t>
            </w:r>
            <w:bookmarkEnd w:id="365"/>
          </w:p>
        </w:tc>
        <w:tc>
          <w:tcPr>
            <w:tcW w:w="4606" w:type="dxa"/>
            <w:shd w:val="clear" w:color="auto" w:fill="auto"/>
          </w:tcPr>
          <w:p w14:paraId="60ABC6D1" w14:textId="77777777" w:rsidR="00DF11CD" w:rsidRPr="005226F4" w:rsidRDefault="00BC06BA" w:rsidP="007F78CE">
            <w:pPr>
              <w:pStyle w:val="Lgende"/>
              <w:spacing w:after="0"/>
              <w:jc w:val="center"/>
              <w:rPr>
                <w:rFonts w:ascii="Arial" w:hAnsi="Arial" w:cs="Arial"/>
                <w:color w:val="FF0000"/>
                <w:lang w:val="fr-FR" w:eastAsia="en-US"/>
              </w:rPr>
            </w:pPr>
            <w:bookmarkStart w:id="366" w:name="_Toc125409960"/>
            <w:r w:rsidRPr="005226F4">
              <w:rPr>
                <w:rFonts w:ascii="Arial" w:hAnsi="Arial" w:cs="Arial"/>
                <w:sz w:val="20"/>
                <w:lang w:val="fr-FR" w:eastAsia="en-US"/>
              </w:rPr>
              <w:t xml:space="preserve">Photo </w:t>
            </w:r>
            <w:r w:rsidRPr="005226F4">
              <w:rPr>
                <w:rFonts w:ascii="Arial" w:hAnsi="Arial" w:cs="Arial"/>
                <w:sz w:val="20"/>
                <w:lang w:val="fr-FR" w:eastAsia="en-US"/>
              </w:rPr>
              <w:fldChar w:fldCharType="begin"/>
            </w:r>
            <w:r w:rsidRPr="005226F4">
              <w:rPr>
                <w:rFonts w:ascii="Arial" w:hAnsi="Arial" w:cs="Arial"/>
                <w:sz w:val="20"/>
                <w:lang w:val="fr-FR" w:eastAsia="en-US"/>
              </w:rPr>
              <w:instrText xml:space="preserve"> SEQ Photo \* ARABIC </w:instrText>
            </w:r>
            <w:r w:rsidRPr="005226F4">
              <w:rPr>
                <w:rFonts w:ascii="Arial" w:hAnsi="Arial" w:cs="Arial"/>
                <w:sz w:val="20"/>
                <w:lang w:val="fr-FR" w:eastAsia="en-US"/>
              </w:rPr>
              <w:fldChar w:fldCharType="separate"/>
            </w:r>
            <w:r w:rsidR="00382606" w:rsidRPr="005226F4">
              <w:rPr>
                <w:rFonts w:ascii="Arial" w:hAnsi="Arial" w:cs="Arial"/>
                <w:noProof/>
                <w:sz w:val="20"/>
                <w:lang w:val="fr-FR" w:eastAsia="en-US"/>
              </w:rPr>
              <w:t>7</w:t>
            </w:r>
            <w:r w:rsidRPr="005226F4">
              <w:rPr>
                <w:rFonts w:ascii="Arial" w:hAnsi="Arial" w:cs="Arial"/>
                <w:sz w:val="20"/>
                <w:lang w:val="fr-FR" w:eastAsia="en-US"/>
              </w:rPr>
              <w:fldChar w:fldCharType="end"/>
            </w:r>
            <w:r w:rsidRPr="005226F4">
              <w:rPr>
                <w:rFonts w:ascii="Arial" w:hAnsi="Arial" w:cs="Arial"/>
                <w:sz w:val="20"/>
                <w:lang w:val="fr-FR" w:eastAsia="en-US"/>
              </w:rPr>
              <w:t xml:space="preserve">. </w:t>
            </w:r>
            <w:r w:rsidRPr="005226F4">
              <w:rPr>
                <w:rFonts w:ascii="Arial" w:hAnsi="Arial" w:cs="Arial"/>
                <w:i/>
                <w:sz w:val="20"/>
                <w:lang w:val="fr-FR" w:eastAsia="en-US"/>
              </w:rPr>
              <w:t>Corbus albus</w:t>
            </w:r>
            <w:r w:rsidRPr="005226F4">
              <w:rPr>
                <w:rStyle w:val="Appelnotedebasdep"/>
                <w:rFonts w:ascii="Arial" w:hAnsi="Arial" w:cs="Arial"/>
                <w:i/>
                <w:sz w:val="20"/>
                <w:lang w:val="fr-FR" w:eastAsia="en-US"/>
              </w:rPr>
              <w:footnoteReference w:id="39"/>
            </w:r>
            <w:bookmarkEnd w:id="366"/>
          </w:p>
        </w:tc>
      </w:tr>
      <w:tr w:rsidR="00DF11CD" w:rsidRPr="007F78CE" w14:paraId="1DC6C774" w14:textId="77777777" w:rsidTr="007F78CE">
        <w:tc>
          <w:tcPr>
            <w:tcW w:w="4606" w:type="dxa"/>
            <w:shd w:val="clear" w:color="auto" w:fill="auto"/>
          </w:tcPr>
          <w:p w14:paraId="7B3F7EE3" w14:textId="1A0B2D9C" w:rsidR="00DF11CD" w:rsidRPr="007F78CE" w:rsidRDefault="00E97ECD" w:rsidP="007F78CE">
            <w:pPr>
              <w:spacing w:after="0" w:line="240" w:lineRule="auto"/>
              <w:jc w:val="both"/>
              <w:rPr>
                <w:rFonts w:ascii="Arial" w:hAnsi="Arial" w:cs="Arial"/>
                <w:color w:val="FF0000"/>
              </w:rPr>
            </w:pPr>
            <w:r w:rsidRPr="00FB04F6">
              <w:rPr>
                <w:rFonts w:ascii="Arial" w:hAnsi="Arial" w:cs="Arial"/>
                <w:noProof/>
                <w:color w:val="FF0000"/>
                <w:lang w:eastAsia="fr-FR"/>
              </w:rPr>
              <w:drawing>
                <wp:inline distT="0" distB="0" distL="0" distR="0" wp14:anchorId="33847CC8" wp14:editId="0A3478CE">
                  <wp:extent cx="2590800" cy="1800225"/>
                  <wp:effectExtent l="0" t="0" r="0" b="0"/>
                  <wp:docPr id="29"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90800" cy="1800225"/>
                          </a:xfrm>
                          <a:prstGeom prst="rect">
                            <a:avLst/>
                          </a:prstGeom>
                          <a:noFill/>
                          <a:ln>
                            <a:noFill/>
                          </a:ln>
                        </pic:spPr>
                      </pic:pic>
                    </a:graphicData>
                  </a:graphic>
                </wp:inline>
              </w:drawing>
            </w:r>
          </w:p>
        </w:tc>
        <w:tc>
          <w:tcPr>
            <w:tcW w:w="4606" w:type="dxa"/>
            <w:shd w:val="clear" w:color="auto" w:fill="auto"/>
          </w:tcPr>
          <w:p w14:paraId="4DF3D1DC" w14:textId="77777777" w:rsidR="00DF11CD" w:rsidRPr="007F78CE" w:rsidRDefault="00DF11CD" w:rsidP="007F78CE">
            <w:pPr>
              <w:keepNext/>
              <w:spacing w:after="0" w:line="240" w:lineRule="auto"/>
              <w:jc w:val="both"/>
              <w:rPr>
                <w:rFonts w:ascii="Arial" w:hAnsi="Arial" w:cs="Arial"/>
                <w:color w:val="FF0000"/>
              </w:rPr>
            </w:pPr>
          </w:p>
        </w:tc>
      </w:tr>
      <w:tr w:rsidR="0016457E" w:rsidRPr="007F78CE" w14:paraId="0D64A502" w14:textId="77777777" w:rsidTr="007F78CE">
        <w:tc>
          <w:tcPr>
            <w:tcW w:w="4606" w:type="dxa"/>
            <w:shd w:val="clear" w:color="auto" w:fill="auto"/>
          </w:tcPr>
          <w:p w14:paraId="6DDE8182" w14:textId="77777777" w:rsidR="0016457E" w:rsidRPr="005226F4" w:rsidRDefault="0016457E" w:rsidP="007F78CE">
            <w:pPr>
              <w:pStyle w:val="Lgende"/>
              <w:spacing w:after="0"/>
              <w:jc w:val="center"/>
              <w:rPr>
                <w:rFonts w:ascii="Arial" w:hAnsi="Arial" w:cs="Arial"/>
                <w:color w:val="FF0000"/>
                <w:lang w:val="fr-FR" w:eastAsia="en-US"/>
              </w:rPr>
            </w:pPr>
            <w:bookmarkStart w:id="367" w:name="_Toc125409961"/>
            <w:r w:rsidRPr="005226F4">
              <w:rPr>
                <w:rFonts w:ascii="Arial" w:hAnsi="Arial" w:cs="Arial"/>
                <w:sz w:val="20"/>
                <w:lang w:val="fr-FR" w:eastAsia="en-US"/>
              </w:rPr>
              <w:t xml:space="preserve">Photo </w:t>
            </w:r>
            <w:r w:rsidRPr="005226F4">
              <w:rPr>
                <w:rFonts w:ascii="Arial" w:hAnsi="Arial" w:cs="Arial"/>
                <w:sz w:val="20"/>
                <w:lang w:val="fr-FR" w:eastAsia="en-US"/>
              </w:rPr>
              <w:fldChar w:fldCharType="begin"/>
            </w:r>
            <w:r w:rsidRPr="005226F4">
              <w:rPr>
                <w:rFonts w:ascii="Arial" w:hAnsi="Arial" w:cs="Arial"/>
                <w:sz w:val="20"/>
                <w:lang w:val="fr-FR" w:eastAsia="en-US"/>
              </w:rPr>
              <w:instrText xml:space="preserve"> SEQ Photo \* ARABIC </w:instrText>
            </w:r>
            <w:r w:rsidRPr="005226F4">
              <w:rPr>
                <w:rFonts w:ascii="Arial" w:hAnsi="Arial" w:cs="Arial"/>
                <w:sz w:val="20"/>
                <w:lang w:val="fr-FR" w:eastAsia="en-US"/>
              </w:rPr>
              <w:fldChar w:fldCharType="separate"/>
            </w:r>
            <w:r w:rsidR="00382606" w:rsidRPr="005226F4">
              <w:rPr>
                <w:rFonts w:ascii="Arial" w:hAnsi="Arial" w:cs="Arial"/>
                <w:noProof/>
                <w:sz w:val="20"/>
                <w:lang w:val="fr-FR" w:eastAsia="en-US"/>
              </w:rPr>
              <w:t>8</w:t>
            </w:r>
            <w:r w:rsidRPr="005226F4">
              <w:rPr>
                <w:rFonts w:ascii="Arial" w:hAnsi="Arial" w:cs="Arial"/>
                <w:sz w:val="20"/>
                <w:lang w:val="fr-FR" w:eastAsia="en-US"/>
              </w:rPr>
              <w:fldChar w:fldCharType="end"/>
            </w:r>
            <w:r w:rsidRPr="005226F4">
              <w:rPr>
                <w:rFonts w:ascii="Arial" w:hAnsi="Arial" w:cs="Arial"/>
                <w:sz w:val="20"/>
                <w:lang w:val="fr-FR" w:eastAsia="en-US"/>
              </w:rPr>
              <w:t xml:space="preserve">. </w:t>
            </w:r>
            <w:r w:rsidRPr="005226F4">
              <w:rPr>
                <w:rFonts w:ascii="Arial" w:hAnsi="Arial" w:cs="Arial"/>
                <w:i/>
                <w:sz w:val="20"/>
                <w:lang w:val="fr-FR" w:eastAsia="en-US"/>
              </w:rPr>
              <w:t>Bibilava lateralis</w:t>
            </w:r>
            <w:bookmarkEnd w:id="367"/>
          </w:p>
        </w:tc>
        <w:tc>
          <w:tcPr>
            <w:tcW w:w="4606" w:type="dxa"/>
            <w:shd w:val="clear" w:color="auto" w:fill="auto"/>
          </w:tcPr>
          <w:p w14:paraId="0C1B464D" w14:textId="77777777" w:rsidR="0016457E" w:rsidRPr="007F78CE" w:rsidRDefault="0016457E" w:rsidP="007F78CE">
            <w:pPr>
              <w:keepNext/>
              <w:spacing w:after="0" w:line="240" w:lineRule="auto"/>
              <w:jc w:val="both"/>
              <w:rPr>
                <w:rFonts w:ascii="Arial" w:hAnsi="Arial" w:cs="Arial"/>
                <w:color w:val="FF0000"/>
              </w:rPr>
            </w:pPr>
          </w:p>
        </w:tc>
      </w:tr>
    </w:tbl>
    <w:p w14:paraId="691AF792" w14:textId="77777777" w:rsidR="00BC06BA" w:rsidRDefault="00BC06BA" w:rsidP="0016457E">
      <w:pPr>
        <w:pStyle w:val="Lgende"/>
      </w:pPr>
    </w:p>
    <w:p w14:paraId="4A987E92" w14:textId="77777777" w:rsidR="00592898" w:rsidRPr="007F78CE" w:rsidRDefault="00592898" w:rsidP="0044500E">
      <w:pPr>
        <w:pStyle w:val="TIT2"/>
        <w:numPr>
          <w:ilvl w:val="1"/>
          <w:numId w:val="177"/>
        </w:numPr>
      </w:pPr>
      <w:bookmarkStart w:id="368" w:name="_Toc124314666"/>
      <w:bookmarkStart w:id="369" w:name="_Toc124956144"/>
      <w:bookmarkStart w:id="370" w:name="_Toc125384543"/>
      <w:bookmarkStart w:id="371" w:name="_Toc125384932"/>
      <w:bookmarkStart w:id="372" w:name="_Toc127957604"/>
      <w:r w:rsidRPr="007F78CE">
        <w:t>Milieu Humain</w:t>
      </w:r>
      <w:bookmarkEnd w:id="368"/>
      <w:bookmarkEnd w:id="369"/>
      <w:bookmarkEnd w:id="370"/>
      <w:bookmarkEnd w:id="371"/>
      <w:bookmarkEnd w:id="372"/>
      <w:r w:rsidRPr="007F78CE">
        <w:t xml:space="preserve"> </w:t>
      </w:r>
    </w:p>
    <w:p w14:paraId="573C7B68" w14:textId="77777777" w:rsidR="00F6711A" w:rsidRPr="00F6711A" w:rsidRDefault="00F6711A" w:rsidP="0044500E">
      <w:pPr>
        <w:pStyle w:val="TIT3"/>
        <w:numPr>
          <w:ilvl w:val="2"/>
          <w:numId w:val="177"/>
        </w:numPr>
      </w:pPr>
      <w:bookmarkStart w:id="373" w:name="_Toc124312674"/>
      <w:bookmarkStart w:id="374" w:name="_Toc124314667"/>
      <w:bookmarkStart w:id="375" w:name="_Toc124956145"/>
      <w:bookmarkStart w:id="376" w:name="_Toc125384544"/>
      <w:bookmarkStart w:id="377" w:name="_Toc125384933"/>
      <w:bookmarkStart w:id="378" w:name="_Toc127957605"/>
      <w:bookmarkEnd w:id="373"/>
      <w:r w:rsidRPr="00F6711A">
        <w:t>Localisation</w:t>
      </w:r>
      <w:bookmarkEnd w:id="374"/>
      <w:bookmarkEnd w:id="375"/>
      <w:bookmarkEnd w:id="376"/>
      <w:bookmarkEnd w:id="377"/>
      <w:bookmarkEnd w:id="378"/>
      <w:r w:rsidRPr="00F6711A">
        <w:t xml:space="preserve"> </w:t>
      </w:r>
    </w:p>
    <w:p w14:paraId="465732DA" w14:textId="77777777" w:rsidR="0059553D" w:rsidRDefault="00F6711A" w:rsidP="0016457E">
      <w:pPr>
        <w:jc w:val="both"/>
        <w:rPr>
          <w:rFonts w:ascii="Arial" w:hAnsi="Arial" w:cs="Arial"/>
        </w:rPr>
      </w:pPr>
      <w:r>
        <w:rPr>
          <w:rFonts w:ascii="Arial" w:hAnsi="Arial" w:cs="Arial"/>
        </w:rPr>
        <w:t xml:space="preserve">Rappelons que le Projet DECIM </w:t>
      </w:r>
      <w:r w:rsidR="00A31C21">
        <w:rPr>
          <w:rFonts w:ascii="Arial" w:hAnsi="Arial" w:cs="Arial"/>
        </w:rPr>
        <w:t xml:space="preserve">concerné </w:t>
      </w:r>
      <w:r>
        <w:rPr>
          <w:rFonts w:ascii="Arial" w:hAnsi="Arial" w:cs="Arial"/>
        </w:rPr>
        <w:t>est un projet d’envergure national</w:t>
      </w:r>
      <w:r w:rsidR="002D4A3D">
        <w:rPr>
          <w:rFonts w:ascii="Arial" w:hAnsi="Arial" w:cs="Arial"/>
        </w:rPr>
        <w:t>e</w:t>
      </w:r>
      <w:r w:rsidR="0016457E">
        <w:rPr>
          <w:rFonts w:ascii="Arial" w:hAnsi="Arial" w:cs="Arial"/>
        </w:rPr>
        <w:t xml:space="preserve"> car il touche toute</w:t>
      </w:r>
      <w:r w:rsidR="002D4A3D">
        <w:rPr>
          <w:rFonts w:ascii="Arial" w:hAnsi="Arial" w:cs="Arial"/>
        </w:rPr>
        <w:t>s</w:t>
      </w:r>
      <w:r w:rsidR="0016457E">
        <w:rPr>
          <w:rFonts w:ascii="Arial" w:hAnsi="Arial" w:cs="Arial"/>
        </w:rPr>
        <w:t xml:space="preserve"> les Régions de Madagascar. Comme en montr</w:t>
      </w:r>
      <w:r w:rsidR="007D4781">
        <w:rPr>
          <w:rFonts w:ascii="Arial" w:hAnsi="Arial" w:cs="Arial"/>
        </w:rPr>
        <w:t>e</w:t>
      </w:r>
      <w:r w:rsidR="0016457E">
        <w:rPr>
          <w:rFonts w:ascii="Arial" w:hAnsi="Arial" w:cs="Arial"/>
        </w:rPr>
        <w:t xml:space="preserve"> la carte suivante, le P</w:t>
      </w:r>
      <w:r w:rsidRPr="0016457E">
        <w:rPr>
          <w:rFonts w:ascii="Arial" w:hAnsi="Arial" w:cs="Arial"/>
        </w:rPr>
        <w:t xml:space="preserve">ays </w:t>
      </w:r>
      <w:r w:rsidR="0016457E">
        <w:rPr>
          <w:rFonts w:ascii="Arial" w:hAnsi="Arial" w:cs="Arial"/>
        </w:rPr>
        <w:t>est</w:t>
      </w:r>
      <w:r w:rsidRPr="0016457E">
        <w:rPr>
          <w:rFonts w:ascii="Arial" w:hAnsi="Arial" w:cs="Arial"/>
        </w:rPr>
        <w:t xml:space="preserve"> </w:t>
      </w:r>
      <w:r w:rsidR="002D4A3D">
        <w:rPr>
          <w:rFonts w:ascii="Arial" w:hAnsi="Arial" w:cs="Arial"/>
        </w:rPr>
        <w:t>sub</w:t>
      </w:r>
      <w:r w:rsidRPr="0016457E">
        <w:rPr>
          <w:rFonts w:ascii="Arial" w:hAnsi="Arial" w:cs="Arial"/>
        </w:rPr>
        <w:t>divisé en 2</w:t>
      </w:r>
      <w:r w:rsidR="0016457E">
        <w:rPr>
          <w:rFonts w:ascii="Arial" w:hAnsi="Arial" w:cs="Arial"/>
        </w:rPr>
        <w:t>3</w:t>
      </w:r>
      <w:r w:rsidRPr="0016457E">
        <w:rPr>
          <w:rFonts w:ascii="Arial" w:hAnsi="Arial" w:cs="Arial"/>
        </w:rPr>
        <w:t xml:space="preserve"> Régions et comprend 118 Districts et 1 549 Communes, dont 45 Communes urbaines.</w:t>
      </w:r>
    </w:p>
    <w:p w14:paraId="1A46A885" w14:textId="77777777" w:rsidR="0059553D" w:rsidRDefault="0059553D" w:rsidP="00FD558F">
      <w:pPr>
        <w:pStyle w:val="Lgende"/>
        <w:jc w:val="center"/>
        <w:rPr>
          <w:rFonts w:ascii="Arial" w:hAnsi="Arial" w:cs="Arial"/>
        </w:rPr>
      </w:pPr>
      <w:r>
        <w:rPr>
          <w:rFonts w:ascii="Arial" w:hAnsi="Arial" w:cs="Arial"/>
        </w:rPr>
        <w:br w:type="page"/>
      </w:r>
      <w:bookmarkStart w:id="379" w:name="_Toc125409071"/>
      <w:r w:rsidR="00FD558F">
        <w:lastRenderedPageBreak/>
        <w:t xml:space="preserve">Carte </w:t>
      </w:r>
      <w:r w:rsidR="00FD558F">
        <w:fldChar w:fldCharType="begin"/>
      </w:r>
      <w:r w:rsidR="00FD558F">
        <w:instrText xml:space="preserve"> SEQ Carte \* ARABIC </w:instrText>
      </w:r>
      <w:r w:rsidR="00FD558F">
        <w:fldChar w:fldCharType="separate"/>
      </w:r>
      <w:r w:rsidR="00FD558F">
        <w:rPr>
          <w:noProof/>
        </w:rPr>
        <w:t>5</w:t>
      </w:r>
      <w:r w:rsidR="00FD558F">
        <w:fldChar w:fldCharType="end"/>
      </w:r>
      <w:r w:rsidR="00FD558F">
        <w:t xml:space="preserve">: </w:t>
      </w:r>
      <w:r w:rsidR="00FD558F" w:rsidRPr="00D04107">
        <w:t>Les 23 Régions de Madagascar</w:t>
      </w:r>
      <w:bookmarkEnd w:id="379"/>
    </w:p>
    <w:p w14:paraId="23BBA932" w14:textId="701F815C" w:rsidR="00F6711A" w:rsidRDefault="00E97ECD" w:rsidP="000432F4">
      <w:pPr>
        <w:jc w:val="center"/>
        <w:rPr>
          <w:rFonts w:ascii="Arial" w:hAnsi="Arial" w:cs="Arial"/>
          <w:color w:val="FF0000"/>
        </w:rPr>
      </w:pPr>
      <w:r w:rsidRPr="00FB04F6">
        <w:rPr>
          <w:rFonts w:ascii="Arial" w:hAnsi="Arial" w:cs="Arial"/>
          <w:noProof/>
          <w:color w:val="FF0000"/>
          <w:lang w:eastAsia="fr-FR"/>
        </w:rPr>
        <w:drawing>
          <wp:inline distT="0" distB="0" distL="0" distR="0" wp14:anchorId="7CB3D128" wp14:editId="13E26A95">
            <wp:extent cx="4362450" cy="6172200"/>
            <wp:effectExtent l="0" t="0" r="0" b="0"/>
            <wp:docPr id="30"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2450" cy="6172200"/>
                    </a:xfrm>
                    <a:prstGeom prst="rect">
                      <a:avLst/>
                    </a:prstGeom>
                    <a:noFill/>
                    <a:ln>
                      <a:noFill/>
                    </a:ln>
                  </pic:spPr>
                </pic:pic>
              </a:graphicData>
            </a:graphic>
          </wp:inline>
        </w:drawing>
      </w:r>
    </w:p>
    <w:p w14:paraId="7156A373" w14:textId="77777777" w:rsidR="00F6711A" w:rsidRDefault="00F6711A" w:rsidP="00F6711A">
      <w:pPr>
        <w:jc w:val="both"/>
        <w:rPr>
          <w:rFonts w:ascii="Arial" w:hAnsi="Arial" w:cs="Arial"/>
          <w:color w:val="FF0000"/>
        </w:rPr>
      </w:pPr>
    </w:p>
    <w:p w14:paraId="23C96D23" w14:textId="77777777" w:rsidR="00592898" w:rsidRPr="00592898" w:rsidRDefault="00262AF5" w:rsidP="00F01166">
      <w:pPr>
        <w:pStyle w:val="TIT3"/>
        <w:numPr>
          <w:ilvl w:val="2"/>
          <w:numId w:val="177"/>
        </w:numPr>
        <w:spacing w:before="0" w:beforeAutospacing="0" w:after="100"/>
      </w:pPr>
      <w:bookmarkStart w:id="380" w:name="_Toc124314668"/>
      <w:bookmarkStart w:id="381" w:name="_Toc124956146"/>
      <w:bookmarkStart w:id="382" w:name="_Toc125384545"/>
      <w:bookmarkStart w:id="383" w:name="_Toc125384934"/>
      <w:bookmarkStart w:id="384" w:name="_Toc127957606"/>
      <w:r>
        <w:t>Aspect socio</w:t>
      </w:r>
      <w:r w:rsidR="005C3134">
        <w:t>-</w:t>
      </w:r>
      <w:r>
        <w:t>d</w:t>
      </w:r>
      <w:r w:rsidR="00592898" w:rsidRPr="00592898">
        <w:t>ém</w:t>
      </w:r>
      <w:r>
        <w:t>ographique</w:t>
      </w:r>
      <w:bookmarkEnd w:id="380"/>
      <w:bookmarkEnd w:id="381"/>
      <w:bookmarkEnd w:id="382"/>
      <w:bookmarkEnd w:id="383"/>
      <w:bookmarkEnd w:id="384"/>
      <w:r w:rsidR="00592898" w:rsidRPr="00592898">
        <w:t xml:space="preserve"> </w:t>
      </w:r>
    </w:p>
    <w:p w14:paraId="016CA306" w14:textId="77777777" w:rsidR="00262AF5" w:rsidRPr="00262AF5" w:rsidRDefault="00262AF5" w:rsidP="0044500E">
      <w:pPr>
        <w:pStyle w:val="TIT40"/>
        <w:numPr>
          <w:ilvl w:val="3"/>
          <w:numId w:val="177"/>
        </w:numPr>
        <w:outlineLvl w:val="3"/>
      </w:pPr>
      <w:bookmarkStart w:id="385" w:name="_Toc124314669"/>
      <w:bookmarkStart w:id="386" w:name="_Toc124956147"/>
      <w:bookmarkStart w:id="387" w:name="_Toc125384546"/>
      <w:bookmarkStart w:id="388" w:name="_Toc125384935"/>
      <w:bookmarkStart w:id="389" w:name="_Toc127957607"/>
      <w:r w:rsidRPr="00262AF5">
        <w:t>Démographie</w:t>
      </w:r>
      <w:bookmarkEnd w:id="385"/>
      <w:bookmarkEnd w:id="386"/>
      <w:bookmarkEnd w:id="387"/>
      <w:bookmarkEnd w:id="388"/>
      <w:bookmarkEnd w:id="389"/>
      <w:r w:rsidRPr="00262AF5">
        <w:t xml:space="preserve"> </w:t>
      </w:r>
    </w:p>
    <w:p w14:paraId="3FB6BF59" w14:textId="77777777" w:rsidR="007207CA" w:rsidRPr="00630B78" w:rsidRDefault="002D4856" w:rsidP="007207CA">
      <w:pPr>
        <w:jc w:val="both"/>
        <w:rPr>
          <w:rFonts w:ascii="Arial" w:hAnsi="Arial" w:cs="Arial"/>
        </w:rPr>
      </w:pPr>
      <w:r w:rsidRPr="00630B78">
        <w:rPr>
          <w:rFonts w:ascii="Arial" w:hAnsi="Arial" w:cs="Arial"/>
        </w:rPr>
        <w:t xml:space="preserve">L’analyse de l’accroissement de la population montre que le nombre des </w:t>
      </w:r>
      <w:r w:rsidR="00630B78" w:rsidRPr="00630B78">
        <w:rPr>
          <w:rFonts w:ascii="Arial" w:hAnsi="Arial" w:cs="Arial"/>
        </w:rPr>
        <w:t>M</w:t>
      </w:r>
      <w:r w:rsidRPr="00630B78">
        <w:rPr>
          <w:rFonts w:ascii="Arial" w:hAnsi="Arial" w:cs="Arial"/>
        </w:rPr>
        <w:t xml:space="preserve">algaches </w:t>
      </w:r>
      <w:r w:rsidR="00630B78" w:rsidRPr="00630B78">
        <w:rPr>
          <w:rFonts w:ascii="Arial" w:hAnsi="Arial" w:cs="Arial"/>
        </w:rPr>
        <w:t>a</w:t>
      </w:r>
      <w:r w:rsidRPr="00630B78">
        <w:rPr>
          <w:rFonts w:ascii="Arial" w:hAnsi="Arial" w:cs="Arial"/>
        </w:rPr>
        <w:t xml:space="preserve"> triplé en 43 ans. Effectivement, si Madagascar compt</w:t>
      </w:r>
      <w:r w:rsidR="007D4781">
        <w:rPr>
          <w:rFonts w:ascii="Arial" w:hAnsi="Arial" w:cs="Arial"/>
        </w:rPr>
        <w:t>ait</w:t>
      </w:r>
      <w:r w:rsidRPr="00630B78">
        <w:rPr>
          <w:rFonts w:ascii="Arial" w:hAnsi="Arial" w:cs="Arial"/>
        </w:rPr>
        <w:t xml:space="preserve"> 7 603 790 habitants en 1975, en 2018</w:t>
      </w:r>
      <w:r w:rsidR="00630B78" w:rsidRPr="00630B78">
        <w:rPr>
          <w:rFonts w:ascii="Arial" w:hAnsi="Arial" w:cs="Arial"/>
        </w:rPr>
        <w:t xml:space="preserve"> sa population</w:t>
      </w:r>
      <w:r w:rsidRPr="00630B78">
        <w:rPr>
          <w:rFonts w:ascii="Arial" w:hAnsi="Arial" w:cs="Arial"/>
        </w:rPr>
        <w:t xml:space="preserve"> est autour de 25 674 196 dont 20 731 294 vivent en milieu rural et 4 942 902 </w:t>
      </w:r>
      <w:r w:rsidR="00630B78" w:rsidRPr="00630B78">
        <w:rPr>
          <w:rFonts w:ascii="Arial" w:hAnsi="Arial" w:cs="Arial"/>
        </w:rPr>
        <w:t xml:space="preserve">en </w:t>
      </w:r>
      <w:r w:rsidR="00630B78" w:rsidRPr="00630B78">
        <w:rPr>
          <w:rFonts w:ascii="Arial" w:hAnsi="Arial" w:cs="Arial"/>
        </w:rPr>
        <w:lastRenderedPageBreak/>
        <w:t>m</w:t>
      </w:r>
      <w:r w:rsidRPr="00630B78">
        <w:rPr>
          <w:rFonts w:ascii="Arial" w:hAnsi="Arial" w:cs="Arial"/>
        </w:rPr>
        <w:t>ilieu urbain</w:t>
      </w:r>
      <w:r w:rsidRPr="00630B78">
        <w:rPr>
          <w:rStyle w:val="Appelnotedebasdep"/>
          <w:rFonts w:ascii="Arial" w:hAnsi="Arial" w:cs="Arial"/>
        </w:rPr>
        <w:footnoteReference w:id="40"/>
      </w:r>
      <w:r w:rsidRPr="00630B78">
        <w:rPr>
          <w:rFonts w:ascii="Arial" w:hAnsi="Arial" w:cs="Arial"/>
        </w:rPr>
        <w:t xml:space="preserve">. </w:t>
      </w:r>
      <w:r w:rsidR="007207CA" w:rsidRPr="00630B78">
        <w:rPr>
          <w:rFonts w:ascii="Arial" w:hAnsi="Arial" w:cs="Arial"/>
        </w:rPr>
        <w:t>En appliquant le taux d’accroissement moyen annuel de 3%</w:t>
      </w:r>
      <w:r w:rsidR="007207CA" w:rsidRPr="00630B78">
        <w:rPr>
          <w:rFonts w:ascii="Arial" w:hAnsi="Arial" w:cs="Arial"/>
          <w:vertAlign w:val="superscript"/>
        </w:rPr>
        <w:t>1</w:t>
      </w:r>
      <w:r w:rsidR="007207CA" w:rsidRPr="00630B78">
        <w:rPr>
          <w:rFonts w:ascii="Arial" w:hAnsi="Arial" w:cs="Arial"/>
        </w:rPr>
        <w:t xml:space="preserve">, la population </w:t>
      </w:r>
      <w:r w:rsidR="00630B78" w:rsidRPr="00630B78">
        <w:rPr>
          <w:rFonts w:ascii="Arial" w:hAnsi="Arial" w:cs="Arial"/>
        </w:rPr>
        <w:t>m</w:t>
      </w:r>
      <w:r w:rsidR="007207CA" w:rsidRPr="00630B78">
        <w:rPr>
          <w:rFonts w:ascii="Arial" w:hAnsi="Arial" w:cs="Arial"/>
        </w:rPr>
        <w:t>alagasy est estimée à 28 896 533 dont 50,7 % sont des femmes et 49,3% sont des hommes.</w:t>
      </w:r>
    </w:p>
    <w:p w14:paraId="60D78C94" w14:textId="77777777" w:rsidR="007207CA" w:rsidRPr="00630B78" w:rsidRDefault="007207CA" w:rsidP="007207CA">
      <w:pPr>
        <w:jc w:val="both"/>
        <w:rPr>
          <w:rFonts w:ascii="Arial" w:hAnsi="Arial" w:cs="Arial"/>
        </w:rPr>
      </w:pPr>
      <w:r w:rsidRPr="00630B78">
        <w:rPr>
          <w:rFonts w:ascii="Arial" w:hAnsi="Arial" w:cs="Arial"/>
        </w:rPr>
        <w:t>La pyramide des âges représenté</w:t>
      </w:r>
      <w:r w:rsidR="007D4781">
        <w:rPr>
          <w:rFonts w:ascii="Arial" w:hAnsi="Arial" w:cs="Arial"/>
        </w:rPr>
        <w:t>e</w:t>
      </w:r>
      <w:r w:rsidRPr="00630B78">
        <w:rPr>
          <w:rFonts w:ascii="Arial" w:hAnsi="Arial" w:cs="Arial"/>
        </w:rPr>
        <w:t xml:space="preserve"> dans la figure ci-dessous révèle que </w:t>
      </w:r>
      <w:r w:rsidR="005626CD" w:rsidRPr="00630B78">
        <w:rPr>
          <w:rFonts w:ascii="Arial" w:hAnsi="Arial" w:cs="Arial"/>
        </w:rPr>
        <w:t xml:space="preserve">les </w:t>
      </w:r>
      <w:r w:rsidR="00630B78" w:rsidRPr="00630B78">
        <w:rPr>
          <w:rFonts w:ascii="Arial" w:hAnsi="Arial" w:cs="Arial"/>
        </w:rPr>
        <w:t>M</w:t>
      </w:r>
      <w:r w:rsidR="005626CD" w:rsidRPr="00630B78">
        <w:rPr>
          <w:rFonts w:ascii="Arial" w:hAnsi="Arial" w:cs="Arial"/>
        </w:rPr>
        <w:t>alagasy sont relativement jeune</w:t>
      </w:r>
      <w:r w:rsidR="00630B78" w:rsidRPr="00630B78">
        <w:rPr>
          <w:rFonts w:ascii="Arial" w:hAnsi="Arial" w:cs="Arial"/>
        </w:rPr>
        <w:t xml:space="preserve">s </w:t>
      </w:r>
      <w:r w:rsidR="005626CD" w:rsidRPr="00630B78">
        <w:rPr>
          <w:rFonts w:ascii="Arial" w:hAnsi="Arial" w:cs="Arial"/>
        </w:rPr>
        <w:t xml:space="preserve">puisque plus de la moitié de la population </w:t>
      </w:r>
      <w:r w:rsidR="00731397">
        <w:rPr>
          <w:rFonts w:ascii="Arial" w:hAnsi="Arial" w:cs="Arial"/>
        </w:rPr>
        <w:t>a</w:t>
      </w:r>
      <w:r w:rsidR="005626CD" w:rsidRPr="00630B78">
        <w:rPr>
          <w:rFonts w:ascii="Arial" w:hAnsi="Arial" w:cs="Arial"/>
        </w:rPr>
        <w:t xml:space="preserve"> moins de 20 ans. En outre, plus de 54% des habitants sont considérés comme population active (comprise entre 15 ans et 59 ans). </w:t>
      </w:r>
      <w:r w:rsidR="00262AF5" w:rsidRPr="00630B78">
        <w:rPr>
          <w:rFonts w:ascii="Arial" w:hAnsi="Arial" w:cs="Arial"/>
        </w:rPr>
        <w:t>Mais</w:t>
      </w:r>
      <w:r w:rsidR="005C3134">
        <w:rPr>
          <w:rFonts w:ascii="Arial" w:hAnsi="Arial" w:cs="Arial"/>
        </w:rPr>
        <w:t>,</w:t>
      </w:r>
      <w:r w:rsidR="00262AF5" w:rsidRPr="00630B78">
        <w:rPr>
          <w:rFonts w:ascii="Arial" w:hAnsi="Arial" w:cs="Arial"/>
        </w:rPr>
        <w:t xml:space="preserve"> il semble que la population active est plus importante en milieu urbain qu’en milieu rural avec un taux respectivement égal à 61,1% et 52,6%.</w:t>
      </w:r>
    </w:p>
    <w:p w14:paraId="4838E780" w14:textId="62876889" w:rsidR="00C73C3A" w:rsidRPr="00C73C3A" w:rsidRDefault="00E97ECD" w:rsidP="00C73C3A">
      <w:pPr>
        <w:jc w:val="both"/>
        <w:rPr>
          <w:rFonts w:ascii="Arial" w:hAnsi="Arial" w:cs="Arial"/>
          <w:color w:val="FF0000"/>
        </w:rPr>
      </w:pPr>
      <w:r w:rsidRPr="00977215">
        <w:rPr>
          <w:noProof/>
          <w:lang w:eastAsia="fr-FR"/>
        </w:rPr>
        <w:drawing>
          <wp:inline distT="0" distB="0" distL="0" distR="0" wp14:anchorId="196BD6D5" wp14:editId="7BCC2A80">
            <wp:extent cx="5753100" cy="3352800"/>
            <wp:effectExtent l="0" t="0" r="0" b="0"/>
            <wp:docPr id="31" name="Graphiqu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5"/>
                    <pic:cNvPicPr>
                      <a:picLocks noChangeArrowheads="1"/>
                    </pic:cNvPicPr>
                  </pic:nvPicPr>
                  <pic:blipFill>
                    <a:blip r:embed="rId46">
                      <a:extLst>
                        <a:ext uri="{28A0092B-C50C-407E-A947-70E740481C1C}">
                          <a14:useLocalDpi xmlns:a14="http://schemas.microsoft.com/office/drawing/2010/main" val="0"/>
                        </a:ext>
                      </a:extLst>
                    </a:blip>
                    <a:srcRect b="-76"/>
                    <a:stretch>
                      <a:fillRect/>
                    </a:stretch>
                  </pic:blipFill>
                  <pic:spPr bwMode="auto">
                    <a:xfrm>
                      <a:off x="0" y="0"/>
                      <a:ext cx="5753100" cy="3352800"/>
                    </a:xfrm>
                    <a:prstGeom prst="rect">
                      <a:avLst/>
                    </a:prstGeom>
                    <a:noFill/>
                    <a:ln>
                      <a:noFill/>
                    </a:ln>
                  </pic:spPr>
                </pic:pic>
              </a:graphicData>
            </a:graphic>
          </wp:inline>
        </w:drawing>
      </w:r>
    </w:p>
    <w:p w14:paraId="4A15FC41" w14:textId="77777777" w:rsidR="00DC7889" w:rsidRPr="00262AF5" w:rsidRDefault="00262AF5" w:rsidP="004D51D8">
      <w:pPr>
        <w:pStyle w:val="Lgende"/>
        <w:jc w:val="center"/>
        <w:rPr>
          <w:rFonts w:ascii="Arial" w:hAnsi="Arial" w:cs="Arial"/>
          <w:color w:val="auto"/>
          <w:sz w:val="22"/>
        </w:rPr>
      </w:pPr>
      <w:bookmarkStart w:id="390" w:name="_Toc125402457"/>
      <w:r w:rsidRPr="00262AF5">
        <w:rPr>
          <w:color w:val="auto"/>
          <w:sz w:val="22"/>
        </w:rPr>
        <w:t xml:space="preserve">Figure </w:t>
      </w:r>
      <w:r w:rsidRPr="00262AF5">
        <w:rPr>
          <w:color w:val="auto"/>
          <w:sz w:val="22"/>
        </w:rPr>
        <w:fldChar w:fldCharType="begin"/>
      </w:r>
      <w:r w:rsidRPr="00262AF5">
        <w:rPr>
          <w:color w:val="auto"/>
          <w:sz w:val="22"/>
        </w:rPr>
        <w:instrText xml:space="preserve"> SEQ Figure \* ARABIC </w:instrText>
      </w:r>
      <w:r w:rsidRPr="00262AF5">
        <w:rPr>
          <w:color w:val="auto"/>
          <w:sz w:val="22"/>
        </w:rPr>
        <w:fldChar w:fldCharType="separate"/>
      </w:r>
      <w:r w:rsidR="000D22D0">
        <w:rPr>
          <w:noProof/>
          <w:color w:val="auto"/>
          <w:sz w:val="22"/>
        </w:rPr>
        <w:t>15</w:t>
      </w:r>
      <w:r w:rsidRPr="00262AF5">
        <w:rPr>
          <w:color w:val="auto"/>
          <w:sz w:val="22"/>
        </w:rPr>
        <w:fldChar w:fldCharType="end"/>
      </w:r>
      <w:r w:rsidRPr="00262AF5">
        <w:rPr>
          <w:color w:val="auto"/>
          <w:sz w:val="22"/>
        </w:rPr>
        <w:t>. Pyramide des âges de la population à Madagascar</w:t>
      </w:r>
      <w:bookmarkEnd w:id="390"/>
    </w:p>
    <w:p w14:paraId="487B32E3" w14:textId="77777777" w:rsidR="000B313E" w:rsidRPr="000B313E" w:rsidRDefault="000B313E" w:rsidP="0044500E">
      <w:pPr>
        <w:pStyle w:val="TIT40"/>
        <w:numPr>
          <w:ilvl w:val="3"/>
          <w:numId w:val="177"/>
        </w:numPr>
        <w:outlineLvl w:val="3"/>
      </w:pPr>
      <w:bookmarkStart w:id="391" w:name="_Toc124312678"/>
      <w:bookmarkStart w:id="392" w:name="_Toc124314670"/>
      <w:bookmarkStart w:id="393" w:name="_Toc124956148"/>
      <w:bookmarkStart w:id="394" w:name="_Toc125384547"/>
      <w:bookmarkStart w:id="395" w:name="_Toc125384936"/>
      <w:bookmarkStart w:id="396" w:name="_Toc127957608"/>
      <w:bookmarkEnd w:id="391"/>
      <w:r w:rsidRPr="000B313E">
        <w:t>Ethnie et cultures</w:t>
      </w:r>
      <w:bookmarkEnd w:id="392"/>
      <w:bookmarkEnd w:id="393"/>
      <w:bookmarkEnd w:id="394"/>
      <w:bookmarkEnd w:id="395"/>
      <w:bookmarkEnd w:id="396"/>
      <w:r w:rsidRPr="000B313E">
        <w:t xml:space="preserve"> </w:t>
      </w:r>
    </w:p>
    <w:p w14:paraId="395C102C" w14:textId="77777777" w:rsidR="000B313E" w:rsidRPr="00284743" w:rsidRDefault="1B7B8F0B" w:rsidP="000B313E">
      <w:pPr>
        <w:jc w:val="both"/>
        <w:rPr>
          <w:rFonts w:ascii="Arial" w:hAnsi="Arial" w:cs="Arial"/>
        </w:rPr>
      </w:pPr>
      <w:r w:rsidRPr="3CB7C1AD">
        <w:rPr>
          <w:rFonts w:ascii="Arial" w:hAnsi="Arial" w:cs="Arial"/>
        </w:rPr>
        <w:t>Le peuple malagasy se divise en plusieurs groupes de population</w:t>
      </w:r>
      <w:r w:rsidR="7AAD7819" w:rsidRPr="3CB7C1AD">
        <w:rPr>
          <w:rFonts w:ascii="Arial" w:hAnsi="Arial" w:cs="Arial"/>
        </w:rPr>
        <w:t>s</w:t>
      </w:r>
      <w:r w:rsidRPr="3CB7C1AD">
        <w:rPr>
          <w:rFonts w:ascii="Arial" w:hAnsi="Arial" w:cs="Arial"/>
        </w:rPr>
        <w:t xml:space="preserve"> appelés ethnie. Chaque ethnie s’est établie dans une zone géographique déterminée. Et si chaque groupe possède sa propre langue et ses coutumes, cela n’a pas empêché un grand métissage au fil du temps. Ainsi</w:t>
      </w:r>
      <w:r w:rsidR="517BFE7C" w:rsidRPr="3CB7C1AD">
        <w:rPr>
          <w:rFonts w:ascii="Arial" w:hAnsi="Arial" w:cs="Arial"/>
        </w:rPr>
        <w:t>, on observe :</w:t>
      </w:r>
      <w:r w:rsidRPr="3CB7C1AD">
        <w:rPr>
          <w:rFonts w:ascii="Arial" w:hAnsi="Arial" w:cs="Arial"/>
        </w:rPr>
        <w:t xml:space="preserve"> </w:t>
      </w:r>
    </w:p>
    <w:p w14:paraId="1BE53C6E" w14:textId="77777777" w:rsidR="000B313E" w:rsidRPr="00284743" w:rsidRDefault="000B313E" w:rsidP="00687DD2">
      <w:pPr>
        <w:pStyle w:val="Paragraphedeliste"/>
        <w:numPr>
          <w:ilvl w:val="0"/>
          <w:numId w:val="15"/>
        </w:numPr>
        <w:jc w:val="both"/>
        <w:rPr>
          <w:rFonts w:ascii="Arial" w:hAnsi="Arial" w:cs="Arial"/>
        </w:rPr>
      </w:pPr>
      <w:r w:rsidRPr="00284743">
        <w:rPr>
          <w:rFonts w:ascii="Arial" w:hAnsi="Arial" w:cs="Arial"/>
        </w:rPr>
        <w:t>Sur la côte Est</w:t>
      </w:r>
      <w:r w:rsidR="007D4781">
        <w:rPr>
          <w:rFonts w:ascii="Arial" w:hAnsi="Arial" w:cs="Arial"/>
        </w:rPr>
        <w:t>,</w:t>
      </w:r>
      <w:r w:rsidRPr="00284743">
        <w:rPr>
          <w:rFonts w:ascii="Arial" w:hAnsi="Arial" w:cs="Arial"/>
        </w:rPr>
        <w:t xml:space="preserve"> les Betsimisaraka qui sont des </w:t>
      </w:r>
      <w:r w:rsidR="007D4781">
        <w:rPr>
          <w:rFonts w:ascii="Arial" w:hAnsi="Arial" w:cs="Arial"/>
        </w:rPr>
        <w:t>planteurs</w:t>
      </w:r>
      <w:r w:rsidR="007D4781" w:rsidRPr="00284743">
        <w:rPr>
          <w:rFonts w:ascii="Arial" w:hAnsi="Arial" w:cs="Arial"/>
        </w:rPr>
        <w:t xml:space="preserve"> </w:t>
      </w:r>
      <w:r w:rsidRPr="00284743">
        <w:rPr>
          <w:rFonts w:ascii="Arial" w:hAnsi="Arial" w:cs="Arial"/>
        </w:rPr>
        <w:t xml:space="preserve">de café, girofle et canne à sucre. Leur habitat traditionnel est construit sur pilotis, </w:t>
      </w:r>
      <w:r w:rsidR="007D4781">
        <w:rPr>
          <w:rFonts w:ascii="Arial" w:hAnsi="Arial" w:cs="Arial"/>
        </w:rPr>
        <w:t xml:space="preserve">pour </w:t>
      </w:r>
      <w:r w:rsidRPr="00284743">
        <w:rPr>
          <w:rFonts w:ascii="Arial" w:hAnsi="Arial" w:cs="Arial"/>
        </w:rPr>
        <w:t>une protection contre les eaux et l’humidité. Les parois et les toitures de leurs maisons sont faites de matières végétales.</w:t>
      </w:r>
    </w:p>
    <w:p w14:paraId="444C16A3" w14:textId="77777777" w:rsidR="000B313E" w:rsidRPr="00284743" w:rsidRDefault="000B313E" w:rsidP="00687DD2">
      <w:pPr>
        <w:pStyle w:val="Paragraphedeliste"/>
        <w:numPr>
          <w:ilvl w:val="0"/>
          <w:numId w:val="15"/>
        </w:numPr>
        <w:jc w:val="both"/>
        <w:rPr>
          <w:rFonts w:ascii="Arial" w:hAnsi="Arial" w:cs="Arial"/>
        </w:rPr>
      </w:pPr>
      <w:r w:rsidRPr="00284743">
        <w:rPr>
          <w:rFonts w:ascii="Arial" w:hAnsi="Arial" w:cs="Arial"/>
        </w:rPr>
        <w:t>Dans la partie occidentale</w:t>
      </w:r>
      <w:r w:rsidR="007D4781">
        <w:rPr>
          <w:rFonts w:ascii="Arial" w:hAnsi="Arial" w:cs="Arial"/>
        </w:rPr>
        <w:t>,</w:t>
      </w:r>
      <w:r w:rsidRPr="00284743">
        <w:rPr>
          <w:rFonts w:ascii="Arial" w:hAnsi="Arial" w:cs="Arial"/>
        </w:rPr>
        <w:t xml:space="preserve"> </w:t>
      </w:r>
      <w:r w:rsidR="005C3134">
        <w:rPr>
          <w:rFonts w:ascii="Arial" w:hAnsi="Arial" w:cs="Arial"/>
        </w:rPr>
        <w:t>S</w:t>
      </w:r>
      <w:r w:rsidRPr="00284743">
        <w:rPr>
          <w:rFonts w:ascii="Arial" w:hAnsi="Arial" w:cs="Arial"/>
        </w:rPr>
        <w:t xml:space="preserve">akalava qui se divisent en deux grands groupes le </w:t>
      </w:r>
      <w:r w:rsidR="005C3134">
        <w:rPr>
          <w:rFonts w:ascii="Arial" w:hAnsi="Arial" w:cs="Arial"/>
        </w:rPr>
        <w:t>S</w:t>
      </w:r>
      <w:r w:rsidRPr="00284743">
        <w:rPr>
          <w:rFonts w:ascii="Arial" w:hAnsi="Arial" w:cs="Arial"/>
        </w:rPr>
        <w:t xml:space="preserve">akalava de Boina au </w:t>
      </w:r>
      <w:r w:rsidR="007D4781">
        <w:rPr>
          <w:rFonts w:ascii="Arial" w:hAnsi="Arial" w:cs="Arial"/>
        </w:rPr>
        <w:t>N</w:t>
      </w:r>
      <w:r w:rsidRPr="00284743">
        <w:rPr>
          <w:rFonts w:ascii="Arial" w:hAnsi="Arial" w:cs="Arial"/>
        </w:rPr>
        <w:t xml:space="preserve">ord et celle du Menabe au </w:t>
      </w:r>
      <w:r w:rsidR="007D4781">
        <w:rPr>
          <w:rFonts w:ascii="Arial" w:hAnsi="Arial" w:cs="Arial"/>
        </w:rPr>
        <w:t>S</w:t>
      </w:r>
      <w:r w:rsidRPr="00284743">
        <w:rPr>
          <w:rFonts w:ascii="Arial" w:hAnsi="Arial" w:cs="Arial"/>
        </w:rPr>
        <w:t xml:space="preserve">ud. Ils représentent également une grande partie de la population de Mayotte. Cette ethnie est généralement </w:t>
      </w:r>
      <w:r w:rsidR="005C3134">
        <w:rPr>
          <w:rFonts w:ascii="Arial" w:hAnsi="Arial" w:cs="Arial"/>
        </w:rPr>
        <w:t xml:space="preserve">constituée </w:t>
      </w:r>
      <w:r w:rsidRPr="00284743">
        <w:rPr>
          <w:rFonts w:ascii="Arial" w:hAnsi="Arial" w:cs="Arial"/>
        </w:rPr>
        <w:t xml:space="preserve">des éleveurs de zébu, mais elle cultive </w:t>
      </w:r>
      <w:r w:rsidR="007D5D1E" w:rsidRPr="00284743">
        <w:rPr>
          <w:rFonts w:ascii="Arial" w:hAnsi="Arial" w:cs="Arial"/>
        </w:rPr>
        <w:t>aussi du</w:t>
      </w:r>
      <w:r w:rsidRPr="00284743">
        <w:rPr>
          <w:rFonts w:ascii="Arial" w:hAnsi="Arial" w:cs="Arial"/>
        </w:rPr>
        <w:t xml:space="preserve"> maïs, de manioc et du riz. </w:t>
      </w:r>
    </w:p>
    <w:p w14:paraId="360D3A6A" w14:textId="77777777" w:rsidR="000B313E" w:rsidRPr="00284743" w:rsidRDefault="007D4781" w:rsidP="00687DD2">
      <w:pPr>
        <w:pStyle w:val="Paragraphedeliste"/>
        <w:numPr>
          <w:ilvl w:val="0"/>
          <w:numId w:val="15"/>
        </w:numPr>
        <w:jc w:val="both"/>
        <w:rPr>
          <w:rFonts w:ascii="Arial" w:hAnsi="Arial" w:cs="Arial"/>
        </w:rPr>
      </w:pPr>
      <w:r>
        <w:rPr>
          <w:rFonts w:ascii="Arial" w:hAnsi="Arial" w:cs="Arial"/>
        </w:rPr>
        <w:lastRenderedPageBreak/>
        <w:t>Sur l</w:t>
      </w:r>
      <w:r w:rsidR="000B313E" w:rsidRPr="00284743">
        <w:rPr>
          <w:rFonts w:ascii="Arial" w:hAnsi="Arial" w:cs="Arial"/>
        </w:rPr>
        <w:t>a partie centrale</w:t>
      </w:r>
      <w:r>
        <w:rPr>
          <w:rFonts w:ascii="Arial" w:hAnsi="Arial" w:cs="Arial"/>
        </w:rPr>
        <w:t>,</w:t>
      </w:r>
      <w:r w:rsidR="000B313E" w:rsidRPr="00284743">
        <w:rPr>
          <w:rFonts w:ascii="Arial" w:hAnsi="Arial" w:cs="Arial"/>
        </w:rPr>
        <w:t xml:space="preserve"> de la région d’Ambatondrazaka à Fianarantsoa plusieurs ethnies </w:t>
      </w:r>
      <w:r>
        <w:rPr>
          <w:rFonts w:ascii="Arial" w:hAnsi="Arial" w:cs="Arial"/>
        </w:rPr>
        <w:t xml:space="preserve">cohabitent </w:t>
      </w:r>
      <w:r w:rsidR="000B313E" w:rsidRPr="00284743">
        <w:rPr>
          <w:rFonts w:ascii="Arial" w:hAnsi="Arial" w:cs="Arial"/>
        </w:rPr>
        <w:t xml:space="preserve">telles que </w:t>
      </w:r>
      <w:r w:rsidR="007D5D1E" w:rsidRPr="00284743">
        <w:rPr>
          <w:rFonts w:ascii="Arial" w:hAnsi="Arial" w:cs="Arial"/>
        </w:rPr>
        <w:t>les Merinas</w:t>
      </w:r>
      <w:r w:rsidR="000B313E" w:rsidRPr="00284743">
        <w:rPr>
          <w:rFonts w:ascii="Arial" w:hAnsi="Arial" w:cs="Arial"/>
        </w:rPr>
        <w:t>, les Betsileo, les Sihanaka, et les Bezanozano. Ces peuples sont connus pour être des grands agriculteurs</w:t>
      </w:r>
      <w:r w:rsidR="008F5370">
        <w:rPr>
          <w:rFonts w:ascii="Arial" w:hAnsi="Arial" w:cs="Arial"/>
        </w:rPr>
        <w:t> ;</w:t>
      </w:r>
      <w:r w:rsidR="000B313E" w:rsidRPr="00284743">
        <w:rPr>
          <w:rFonts w:ascii="Arial" w:hAnsi="Arial" w:cs="Arial"/>
        </w:rPr>
        <w:t xml:space="preserve"> </w:t>
      </w:r>
      <w:r w:rsidR="005C3134">
        <w:rPr>
          <w:rFonts w:ascii="Arial" w:hAnsi="Arial" w:cs="Arial"/>
        </w:rPr>
        <w:t>ils</w:t>
      </w:r>
      <w:r w:rsidR="005C3134" w:rsidRPr="00284743">
        <w:rPr>
          <w:rFonts w:ascii="Arial" w:hAnsi="Arial" w:cs="Arial"/>
        </w:rPr>
        <w:t xml:space="preserve"> </w:t>
      </w:r>
      <w:r w:rsidR="000B313E" w:rsidRPr="00284743">
        <w:rPr>
          <w:rFonts w:ascii="Arial" w:hAnsi="Arial" w:cs="Arial"/>
        </w:rPr>
        <w:t>cultivent principalement le riz</w:t>
      </w:r>
      <w:r w:rsidR="005C3134">
        <w:rPr>
          <w:rFonts w:ascii="Arial" w:hAnsi="Arial" w:cs="Arial"/>
        </w:rPr>
        <w:t xml:space="preserve"> et</w:t>
      </w:r>
      <w:r w:rsidR="005C3134" w:rsidRPr="00284743">
        <w:rPr>
          <w:rFonts w:ascii="Arial" w:hAnsi="Arial" w:cs="Arial"/>
        </w:rPr>
        <w:t xml:space="preserve"> </w:t>
      </w:r>
      <w:r w:rsidR="000B313E" w:rsidRPr="00284743">
        <w:rPr>
          <w:rFonts w:ascii="Arial" w:hAnsi="Arial" w:cs="Arial"/>
        </w:rPr>
        <w:t>le manioc</w:t>
      </w:r>
      <w:r>
        <w:rPr>
          <w:rFonts w:ascii="Arial" w:hAnsi="Arial" w:cs="Arial"/>
        </w:rPr>
        <w:t> ;</w:t>
      </w:r>
    </w:p>
    <w:p w14:paraId="3486CE20" w14:textId="77777777" w:rsidR="000B313E" w:rsidRPr="00284743" w:rsidRDefault="007D4781" w:rsidP="00687DD2">
      <w:pPr>
        <w:pStyle w:val="Paragraphedeliste"/>
        <w:numPr>
          <w:ilvl w:val="0"/>
          <w:numId w:val="15"/>
        </w:numPr>
        <w:jc w:val="both"/>
        <w:rPr>
          <w:rFonts w:ascii="Arial" w:hAnsi="Arial" w:cs="Arial"/>
        </w:rPr>
      </w:pPr>
      <w:r>
        <w:rPr>
          <w:rFonts w:ascii="Arial" w:hAnsi="Arial" w:cs="Arial"/>
        </w:rPr>
        <w:t>D</w:t>
      </w:r>
      <w:r w:rsidR="000B313E" w:rsidRPr="00284743">
        <w:rPr>
          <w:rFonts w:ascii="Arial" w:hAnsi="Arial" w:cs="Arial"/>
        </w:rPr>
        <w:t>ans la partie Sud-Ouest</w:t>
      </w:r>
      <w:r w:rsidR="00E32DF4">
        <w:rPr>
          <w:rFonts w:ascii="Arial" w:hAnsi="Arial" w:cs="Arial"/>
        </w:rPr>
        <w:t>,</w:t>
      </w:r>
      <w:r w:rsidR="000B313E" w:rsidRPr="00284743">
        <w:rPr>
          <w:rFonts w:ascii="Arial" w:hAnsi="Arial" w:cs="Arial"/>
        </w:rPr>
        <w:t xml:space="preserve"> se trouve</w:t>
      </w:r>
      <w:r w:rsidR="00E32DF4">
        <w:rPr>
          <w:rFonts w:ascii="Arial" w:hAnsi="Arial" w:cs="Arial"/>
        </w:rPr>
        <w:t>nt</w:t>
      </w:r>
      <w:r w:rsidR="000B313E" w:rsidRPr="00284743">
        <w:rPr>
          <w:rFonts w:ascii="Arial" w:hAnsi="Arial" w:cs="Arial"/>
        </w:rPr>
        <w:t xml:space="preserve"> les Mahafaly</w:t>
      </w:r>
      <w:r w:rsidR="008F5370">
        <w:rPr>
          <w:rFonts w:ascii="Arial" w:hAnsi="Arial" w:cs="Arial"/>
        </w:rPr>
        <w:t>,</w:t>
      </w:r>
      <w:r w:rsidR="000B313E" w:rsidRPr="00284743">
        <w:rPr>
          <w:rFonts w:ascii="Arial" w:hAnsi="Arial" w:cs="Arial"/>
        </w:rPr>
        <w:t xml:space="preserve"> </w:t>
      </w:r>
      <w:r w:rsidR="00E32DF4">
        <w:rPr>
          <w:rFonts w:ascii="Arial" w:hAnsi="Arial" w:cs="Arial"/>
        </w:rPr>
        <w:t>une</w:t>
      </w:r>
      <w:r w:rsidR="00E32DF4" w:rsidRPr="00284743">
        <w:rPr>
          <w:rFonts w:ascii="Arial" w:hAnsi="Arial" w:cs="Arial"/>
        </w:rPr>
        <w:t xml:space="preserve"> ethnie</w:t>
      </w:r>
      <w:r w:rsidR="000B313E" w:rsidRPr="00284743">
        <w:rPr>
          <w:rFonts w:ascii="Arial" w:hAnsi="Arial" w:cs="Arial"/>
        </w:rPr>
        <w:t xml:space="preserve"> </w:t>
      </w:r>
      <w:r w:rsidR="00E32DF4">
        <w:rPr>
          <w:rFonts w:ascii="Arial" w:hAnsi="Arial" w:cs="Arial"/>
        </w:rPr>
        <w:t xml:space="preserve">localisée </w:t>
      </w:r>
      <w:r w:rsidR="000B313E" w:rsidRPr="00284743">
        <w:rPr>
          <w:rFonts w:ascii="Arial" w:hAnsi="Arial" w:cs="Arial"/>
        </w:rPr>
        <w:t>en petits groupe</w:t>
      </w:r>
      <w:r w:rsidR="00E32DF4">
        <w:rPr>
          <w:rFonts w:ascii="Arial" w:hAnsi="Arial" w:cs="Arial"/>
        </w:rPr>
        <w:t>s</w:t>
      </w:r>
      <w:r w:rsidR="000B313E" w:rsidRPr="00284743">
        <w:rPr>
          <w:rFonts w:ascii="Arial" w:hAnsi="Arial" w:cs="Arial"/>
        </w:rPr>
        <w:t xml:space="preserve"> sur un vaste plateau entre les fleuves Menarandra et Onilahy. Cette population est très attachée aux ancêtres. Excellents sculpteurs, leur art s’exprime surtout dans l’orfèvrerie et la sculpture du bois.</w:t>
      </w:r>
    </w:p>
    <w:p w14:paraId="329E5E65" w14:textId="77777777" w:rsidR="000B313E" w:rsidRPr="00742D67" w:rsidRDefault="000B313E" w:rsidP="00687DD2">
      <w:pPr>
        <w:pStyle w:val="Paragraphedeliste"/>
        <w:numPr>
          <w:ilvl w:val="0"/>
          <w:numId w:val="15"/>
        </w:numPr>
        <w:jc w:val="both"/>
        <w:rPr>
          <w:rFonts w:ascii="Arial" w:hAnsi="Arial" w:cs="Arial"/>
          <w:color w:val="auto"/>
        </w:rPr>
      </w:pPr>
      <w:r w:rsidRPr="00284743">
        <w:rPr>
          <w:rFonts w:ascii="Arial" w:hAnsi="Arial" w:cs="Arial"/>
        </w:rPr>
        <w:t xml:space="preserve">Le long des </w:t>
      </w:r>
      <w:r w:rsidR="00E32DF4">
        <w:rPr>
          <w:rFonts w:ascii="Arial" w:hAnsi="Arial" w:cs="Arial"/>
        </w:rPr>
        <w:t>c</w:t>
      </w:r>
      <w:r w:rsidRPr="00284743">
        <w:rPr>
          <w:rFonts w:ascii="Arial" w:hAnsi="Arial" w:cs="Arial"/>
        </w:rPr>
        <w:t>ôtes sud-ouest</w:t>
      </w:r>
      <w:r w:rsidR="00E32DF4">
        <w:rPr>
          <w:rFonts w:ascii="Arial" w:hAnsi="Arial" w:cs="Arial"/>
        </w:rPr>
        <w:t>, de</w:t>
      </w:r>
      <w:r w:rsidRPr="00284743">
        <w:rPr>
          <w:rFonts w:ascii="Arial" w:hAnsi="Arial" w:cs="Arial"/>
        </w:rPr>
        <w:t xml:space="preserve"> Morombe (au nord) à T</w:t>
      </w:r>
      <w:r w:rsidR="00731397">
        <w:rPr>
          <w:rFonts w:ascii="Arial" w:hAnsi="Arial" w:cs="Arial"/>
        </w:rPr>
        <w:t>oliara</w:t>
      </w:r>
      <w:r w:rsidRPr="00284743">
        <w:rPr>
          <w:rFonts w:ascii="Arial" w:hAnsi="Arial" w:cs="Arial"/>
        </w:rPr>
        <w:t xml:space="preserve"> (au sud)</w:t>
      </w:r>
      <w:r w:rsidR="00E32DF4">
        <w:rPr>
          <w:rFonts w:ascii="Arial" w:hAnsi="Arial" w:cs="Arial"/>
        </w:rPr>
        <w:t>,</w:t>
      </w:r>
      <w:r w:rsidRPr="00284743">
        <w:rPr>
          <w:rFonts w:ascii="Arial" w:hAnsi="Arial" w:cs="Arial"/>
        </w:rPr>
        <w:t xml:space="preserve"> s’installent les Vezo. Ce sont d’excellents marins et vivant essentiellement des produits </w:t>
      </w:r>
      <w:r w:rsidR="00E32DF4">
        <w:rPr>
          <w:rFonts w:ascii="Arial" w:hAnsi="Arial" w:cs="Arial"/>
        </w:rPr>
        <w:t>de</w:t>
      </w:r>
      <w:r w:rsidRPr="00284743">
        <w:rPr>
          <w:rFonts w:ascii="Arial" w:hAnsi="Arial" w:cs="Arial"/>
        </w:rPr>
        <w:t xml:space="preserve"> pêche. </w:t>
      </w:r>
      <w:r w:rsidR="00166A3C" w:rsidRPr="00742D67">
        <w:rPr>
          <w:rFonts w:ascii="Arial" w:hAnsi="Arial" w:cs="Arial"/>
          <w:color w:val="auto"/>
        </w:rPr>
        <w:t xml:space="preserve">Comme ce groupe ethnique vit de la pêche, </w:t>
      </w:r>
      <w:r w:rsidR="00F501E6">
        <w:rPr>
          <w:rFonts w:ascii="Arial" w:hAnsi="Arial" w:cs="Arial"/>
          <w:color w:val="auto"/>
        </w:rPr>
        <w:t>et</w:t>
      </w:r>
      <w:r w:rsidR="00166A3C" w:rsidRPr="00742D67">
        <w:rPr>
          <w:rFonts w:ascii="Arial" w:hAnsi="Arial" w:cs="Arial"/>
          <w:color w:val="auto"/>
        </w:rPr>
        <w:t xml:space="preserve"> a tendance à être des population</w:t>
      </w:r>
      <w:r w:rsidR="008F5370" w:rsidRPr="00742D67">
        <w:rPr>
          <w:rFonts w:ascii="Arial" w:hAnsi="Arial" w:cs="Arial"/>
          <w:color w:val="auto"/>
        </w:rPr>
        <w:t>s</w:t>
      </w:r>
      <w:r w:rsidR="00166A3C" w:rsidRPr="00742D67">
        <w:rPr>
          <w:rFonts w:ascii="Arial" w:hAnsi="Arial" w:cs="Arial"/>
          <w:color w:val="auto"/>
        </w:rPr>
        <w:t xml:space="preserve"> nomade</w:t>
      </w:r>
      <w:r w:rsidR="008F5370" w:rsidRPr="00742D67">
        <w:rPr>
          <w:rFonts w:ascii="Arial" w:hAnsi="Arial" w:cs="Arial"/>
          <w:color w:val="auto"/>
        </w:rPr>
        <w:t>s</w:t>
      </w:r>
      <w:r w:rsidR="00166A3C" w:rsidRPr="00742D67">
        <w:rPr>
          <w:rFonts w:ascii="Arial" w:hAnsi="Arial" w:cs="Arial"/>
          <w:color w:val="auto"/>
        </w:rPr>
        <w:t>, ainsi les vezo sont aussi localisé</w:t>
      </w:r>
      <w:r w:rsidR="008F5370" w:rsidRPr="00742D67">
        <w:rPr>
          <w:rFonts w:ascii="Arial" w:hAnsi="Arial" w:cs="Arial"/>
          <w:color w:val="auto"/>
        </w:rPr>
        <w:t>s</w:t>
      </w:r>
      <w:r w:rsidR="00166A3C" w:rsidRPr="00742D67">
        <w:rPr>
          <w:rFonts w:ascii="Arial" w:hAnsi="Arial" w:cs="Arial"/>
          <w:color w:val="auto"/>
        </w:rPr>
        <w:t xml:space="preserve"> dans la partie Occidentale</w:t>
      </w:r>
      <w:r w:rsidR="008F5370" w:rsidRPr="00742D67">
        <w:rPr>
          <w:rFonts w:ascii="Arial" w:hAnsi="Arial" w:cs="Arial"/>
          <w:color w:val="auto"/>
        </w:rPr>
        <w:t>,</w:t>
      </w:r>
      <w:r w:rsidR="00166A3C" w:rsidRPr="00742D67">
        <w:rPr>
          <w:rFonts w:ascii="Arial" w:hAnsi="Arial" w:cs="Arial"/>
          <w:color w:val="auto"/>
        </w:rPr>
        <w:t xml:space="preserve"> dans la région de Menabe et Boeny.</w:t>
      </w:r>
    </w:p>
    <w:p w14:paraId="00980816" w14:textId="77777777" w:rsidR="000B313E" w:rsidRPr="00284743" w:rsidRDefault="000B313E" w:rsidP="00687DD2">
      <w:pPr>
        <w:pStyle w:val="Paragraphedeliste"/>
        <w:numPr>
          <w:ilvl w:val="0"/>
          <w:numId w:val="15"/>
        </w:numPr>
        <w:jc w:val="both"/>
        <w:rPr>
          <w:rFonts w:ascii="Arial" w:hAnsi="Arial" w:cs="Arial"/>
        </w:rPr>
      </w:pPr>
      <w:r w:rsidRPr="00742D67">
        <w:rPr>
          <w:rFonts w:ascii="Arial" w:hAnsi="Arial" w:cs="Arial"/>
          <w:color w:val="auto"/>
        </w:rPr>
        <w:t>À l’extrême sud</w:t>
      </w:r>
      <w:r w:rsidR="00E32DF4" w:rsidRPr="00742D67">
        <w:rPr>
          <w:rFonts w:ascii="Arial" w:hAnsi="Arial" w:cs="Arial"/>
          <w:color w:val="auto"/>
        </w:rPr>
        <w:t>,</w:t>
      </w:r>
      <w:r w:rsidRPr="00742D67">
        <w:rPr>
          <w:rFonts w:ascii="Arial" w:hAnsi="Arial" w:cs="Arial"/>
          <w:color w:val="auto"/>
        </w:rPr>
        <w:t xml:space="preserve"> se trouve</w:t>
      </w:r>
      <w:r w:rsidR="00E32DF4" w:rsidRPr="00742D67">
        <w:rPr>
          <w:rFonts w:ascii="Arial" w:hAnsi="Arial" w:cs="Arial"/>
          <w:color w:val="auto"/>
        </w:rPr>
        <w:t>nt</w:t>
      </w:r>
      <w:r w:rsidRPr="00742D67">
        <w:rPr>
          <w:rFonts w:ascii="Arial" w:hAnsi="Arial" w:cs="Arial"/>
          <w:color w:val="auto"/>
        </w:rPr>
        <w:t xml:space="preserve"> les Antandroy</w:t>
      </w:r>
      <w:r w:rsidRPr="00284743">
        <w:rPr>
          <w:rFonts w:ascii="Arial" w:hAnsi="Arial" w:cs="Arial"/>
        </w:rPr>
        <w:t xml:space="preserve"> qui sont des peuples pastoraux</w:t>
      </w:r>
      <w:r w:rsidR="00E32DF4">
        <w:rPr>
          <w:rFonts w:ascii="Arial" w:hAnsi="Arial" w:cs="Arial"/>
        </w:rPr>
        <w:t>.</w:t>
      </w:r>
      <w:r w:rsidRPr="00284743">
        <w:rPr>
          <w:rFonts w:ascii="Arial" w:hAnsi="Arial" w:cs="Arial"/>
        </w:rPr>
        <w:t xml:space="preserve"> </w:t>
      </w:r>
      <w:r w:rsidR="00E32DF4">
        <w:rPr>
          <w:rFonts w:ascii="Arial" w:hAnsi="Arial" w:cs="Arial"/>
        </w:rPr>
        <w:t>C</w:t>
      </w:r>
      <w:r w:rsidRPr="00284743">
        <w:rPr>
          <w:rFonts w:ascii="Arial" w:hAnsi="Arial" w:cs="Arial"/>
        </w:rPr>
        <w:t xml:space="preserve">ette ethnie est connue </w:t>
      </w:r>
      <w:r w:rsidR="005C3134">
        <w:rPr>
          <w:rFonts w:ascii="Arial" w:hAnsi="Arial" w:cs="Arial"/>
        </w:rPr>
        <w:t>pour</w:t>
      </w:r>
      <w:r w:rsidR="005C3134" w:rsidRPr="00284743">
        <w:rPr>
          <w:rFonts w:ascii="Arial" w:hAnsi="Arial" w:cs="Arial"/>
        </w:rPr>
        <w:t xml:space="preserve"> </w:t>
      </w:r>
      <w:r w:rsidR="005C3134">
        <w:rPr>
          <w:rFonts w:ascii="Arial" w:hAnsi="Arial" w:cs="Arial"/>
        </w:rPr>
        <w:t>sa</w:t>
      </w:r>
      <w:r w:rsidR="005C3134" w:rsidRPr="00284743">
        <w:rPr>
          <w:rFonts w:ascii="Arial" w:hAnsi="Arial" w:cs="Arial"/>
        </w:rPr>
        <w:t xml:space="preserve"> </w:t>
      </w:r>
      <w:r w:rsidRPr="00284743">
        <w:rPr>
          <w:rFonts w:ascii="Arial" w:hAnsi="Arial" w:cs="Arial"/>
        </w:rPr>
        <w:t>culture particulière sur la mor</w:t>
      </w:r>
      <w:r w:rsidR="00731397">
        <w:rPr>
          <w:rFonts w:ascii="Arial" w:hAnsi="Arial" w:cs="Arial"/>
        </w:rPr>
        <w:t>t.</w:t>
      </w:r>
    </w:p>
    <w:p w14:paraId="637ADABA" w14:textId="77777777" w:rsidR="000B313E" w:rsidRPr="00284743" w:rsidRDefault="000B313E" w:rsidP="00687DD2">
      <w:pPr>
        <w:pStyle w:val="Paragraphedeliste"/>
        <w:numPr>
          <w:ilvl w:val="0"/>
          <w:numId w:val="15"/>
        </w:numPr>
        <w:jc w:val="both"/>
        <w:rPr>
          <w:rFonts w:ascii="Arial" w:hAnsi="Arial" w:cs="Arial"/>
        </w:rPr>
      </w:pPr>
      <w:r w:rsidRPr="00284743">
        <w:rPr>
          <w:rFonts w:ascii="Arial" w:hAnsi="Arial" w:cs="Arial"/>
        </w:rPr>
        <w:t>Dans la partie Sud Est vive</w:t>
      </w:r>
      <w:r w:rsidR="00731397">
        <w:rPr>
          <w:rFonts w:ascii="Arial" w:hAnsi="Arial" w:cs="Arial"/>
        </w:rPr>
        <w:t>nt</w:t>
      </w:r>
      <w:r w:rsidRPr="00284743">
        <w:rPr>
          <w:rFonts w:ascii="Arial" w:hAnsi="Arial" w:cs="Arial"/>
        </w:rPr>
        <w:t xml:space="preserve"> les Antanosy, cette peuplade vit de la pêche, de l’élevage et de la riziculture. </w:t>
      </w:r>
      <w:r w:rsidR="005C3134">
        <w:rPr>
          <w:rFonts w:ascii="Arial" w:hAnsi="Arial" w:cs="Arial"/>
        </w:rPr>
        <w:t>Les Antanosy</w:t>
      </w:r>
      <w:r w:rsidR="005C3134" w:rsidRPr="00284743">
        <w:rPr>
          <w:rFonts w:ascii="Arial" w:hAnsi="Arial" w:cs="Arial"/>
        </w:rPr>
        <w:t xml:space="preserve"> </w:t>
      </w:r>
      <w:r w:rsidRPr="00284743">
        <w:rPr>
          <w:rFonts w:ascii="Arial" w:hAnsi="Arial" w:cs="Arial"/>
        </w:rPr>
        <w:t>sont aussi connus pour leurs talents de forgerons et de charpentiers.</w:t>
      </w:r>
    </w:p>
    <w:p w14:paraId="7B260E40" w14:textId="77777777" w:rsidR="000B313E" w:rsidRPr="00284743" w:rsidRDefault="000B313E" w:rsidP="00687DD2">
      <w:pPr>
        <w:pStyle w:val="Paragraphedeliste"/>
        <w:numPr>
          <w:ilvl w:val="0"/>
          <w:numId w:val="15"/>
        </w:numPr>
        <w:jc w:val="both"/>
        <w:rPr>
          <w:rFonts w:ascii="Arial" w:hAnsi="Arial" w:cs="Arial"/>
        </w:rPr>
      </w:pPr>
      <w:r w:rsidRPr="00284743">
        <w:rPr>
          <w:rFonts w:ascii="Arial" w:hAnsi="Arial" w:cs="Arial"/>
        </w:rPr>
        <w:t xml:space="preserve">Les Bara </w:t>
      </w:r>
      <w:r w:rsidR="00E32DF4">
        <w:rPr>
          <w:rFonts w:ascii="Arial" w:hAnsi="Arial" w:cs="Arial"/>
        </w:rPr>
        <w:t>qui occupent</w:t>
      </w:r>
      <w:r w:rsidR="00E32DF4" w:rsidRPr="00284743">
        <w:rPr>
          <w:rFonts w:ascii="Arial" w:hAnsi="Arial" w:cs="Arial"/>
        </w:rPr>
        <w:t xml:space="preserve"> </w:t>
      </w:r>
      <w:r w:rsidRPr="00284743">
        <w:rPr>
          <w:rFonts w:ascii="Arial" w:hAnsi="Arial" w:cs="Arial"/>
        </w:rPr>
        <w:t xml:space="preserve">les grands plateaux du </w:t>
      </w:r>
      <w:r w:rsidR="00E32DF4">
        <w:rPr>
          <w:rFonts w:ascii="Arial" w:hAnsi="Arial" w:cs="Arial"/>
        </w:rPr>
        <w:t>S</w:t>
      </w:r>
      <w:r w:rsidRPr="00284743">
        <w:rPr>
          <w:rFonts w:ascii="Arial" w:hAnsi="Arial" w:cs="Arial"/>
        </w:rPr>
        <w:t>ud du pays, notamment dans la région d’Ihorombe. Ils sont connus pour l’élevage de zébus, mais aussi pour leur curieuse culture qui consiste à voler du bétail pour pouvoir se clamer être un « vrai homme ».</w:t>
      </w:r>
    </w:p>
    <w:p w14:paraId="7DFD9C24" w14:textId="77777777" w:rsidR="000B313E" w:rsidRPr="00284743" w:rsidRDefault="000B313E" w:rsidP="00687DD2">
      <w:pPr>
        <w:pStyle w:val="Paragraphedeliste"/>
        <w:numPr>
          <w:ilvl w:val="0"/>
          <w:numId w:val="15"/>
        </w:numPr>
        <w:jc w:val="both"/>
        <w:rPr>
          <w:rFonts w:ascii="Arial" w:hAnsi="Arial" w:cs="Arial"/>
        </w:rPr>
      </w:pPr>
      <w:r w:rsidRPr="00284743">
        <w:rPr>
          <w:rFonts w:ascii="Arial" w:hAnsi="Arial" w:cs="Arial"/>
        </w:rPr>
        <w:t>Les Antesaka</w:t>
      </w:r>
      <w:r w:rsidR="00E32DF4">
        <w:rPr>
          <w:rFonts w:ascii="Arial" w:hAnsi="Arial" w:cs="Arial"/>
        </w:rPr>
        <w:t xml:space="preserve"> qui</w:t>
      </w:r>
      <w:r w:rsidRPr="00284743">
        <w:rPr>
          <w:rFonts w:ascii="Arial" w:hAnsi="Arial" w:cs="Arial"/>
        </w:rPr>
        <w:t xml:space="preserve"> se trouvent au nord des Antano</w:t>
      </w:r>
      <w:r w:rsidR="00E32DF4">
        <w:rPr>
          <w:rFonts w:ascii="Arial" w:hAnsi="Arial" w:cs="Arial"/>
        </w:rPr>
        <w:t>s</w:t>
      </w:r>
      <w:r w:rsidRPr="00284743">
        <w:rPr>
          <w:rFonts w:ascii="Arial" w:hAnsi="Arial" w:cs="Arial"/>
        </w:rPr>
        <w:t>y</w:t>
      </w:r>
      <w:r w:rsidR="005C3134">
        <w:rPr>
          <w:rFonts w:ascii="Arial" w:hAnsi="Arial" w:cs="Arial"/>
        </w:rPr>
        <w:t>.</w:t>
      </w:r>
      <w:r w:rsidRPr="00284743">
        <w:rPr>
          <w:rFonts w:ascii="Arial" w:hAnsi="Arial" w:cs="Arial"/>
        </w:rPr>
        <w:t xml:space="preserve"> </w:t>
      </w:r>
      <w:r w:rsidR="00E32DF4">
        <w:rPr>
          <w:rFonts w:ascii="Arial" w:hAnsi="Arial" w:cs="Arial"/>
        </w:rPr>
        <w:t>I</w:t>
      </w:r>
      <w:r w:rsidRPr="00284743">
        <w:rPr>
          <w:rFonts w:ascii="Arial" w:hAnsi="Arial" w:cs="Arial"/>
        </w:rPr>
        <w:t>ls sont connus pour être de grands riziculteurs</w:t>
      </w:r>
      <w:r w:rsidR="00E32DF4">
        <w:rPr>
          <w:rFonts w:ascii="Arial" w:hAnsi="Arial" w:cs="Arial"/>
        </w:rPr>
        <w:t>. Ils cultivent également les</w:t>
      </w:r>
      <w:r w:rsidRPr="00284743">
        <w:rPr>
          <w:rFonts w:ascii="Arial" w:hAnsi="Arial" w:cs="Arial"/>
        </w:rPr>
        <w:t xml:space="preserve"> patates douces et </w:t>
      </w:r>
      <w:r w:rsidR="00E32DF4">
        <w:rPr>
          <w:rFonts w:ascii="Arial" w:hAnsi="Arial" w:cs="Arial"/>
        </w:rPr>
        <w:t>les</w:t>
      </w:r>
      <w:r w:rsidR="00E32DF4" w:rsidRPr="00284743">
        <w:rPr>
          <w:rFonts w:ascii="Arial" w:hAnsi="Arial" w:cs="Arial"/>
        </w:rPr>
        <w:t xml:space="preserve"> </w:t>
      </w:r>
      <w:r w:rsidRPr="00284743">
        <w:rPr>
          <w:rFonts w:ascii="Arial" w:hAnsi="Arial" w:cs="Arial"/>
        </w:rPr>
        <w:t>fruits tropicaux</w:t>
      </w:r>
      <w:r w:rsidR="005C3134">
        <w:rPr>
          <w:rFonts w:ascii="Arial" w:hAnsi="Arial" w:cs="Arial"/>
        </w:rPr>
        <w:t>.</w:t>
      </w:r>
    </w:p>
    <w:p w14:paraId="055C0AB1" w14:textId="77777777" w:rsidR="000B313E" w:rsidRPr="00284743" w:rsidRDefault="000B313E" w:rsidP="00687DD2">
      <w:pPr>
        <w:pStyle w:val="Paragraphedeliste"/>
        <w:numPr>
          <w:ilvl w:val="0"/>
          <w:numId w:val="15"/>
        </w:numPr>
        <w:jc w:val="both"/>
        <w:rPr>
          <w:rFonts w:ascii="Arial" w:hAnsi="Arial" w:cs="Arial"/>
        </w:rPr>
      </w:pPr>
      <w:r w:rsidRPr="00284743">
        <w:rPr>
          <w:rFonts w:ascii="Arial" w:hAnsi="Arial" w:cs="Arial"/>
        </w:rPr>
        <w:t>Dans la partie Sud</w:t>
      </w:r>
      <w:r w:rsidR="00E32DF4">
        <w:rPr>
          <w:rFonts w:ascii="Arial" w:hAnsi="Arial" w:cs="Arial"/>
        </w:rPr>
        <w:t>-</w:t>
      </w:r>
      <w:r w:rsidRPr="00284743">
        <w:rPr>
          <w:rFonts w:ascii="Arial" w:hAnsi="Arial" w:cs="Arial"/>
        </w:rPr>
        <w:t>Est</w:t>
      </w:r>
      <w:r w:rsidR="00E32DF4">
        <w:rPr>
          <w:rFonts w:ascii="Arial" w:hAnsi="Arial" w:cs="Arial"/>
        </w:rPr>
        <w:t>,</w:t>
      </w:r>
      <w:r w:rsidRPr="00284743">
        <w:rPr>
          <w:rFonts w:ascii="Arial" w:hAnsi="Arial" w:cs="Arial"/>
        </w:rPr>
        <w:t xml:space="preserve"> se trouve</w:t>
      </w:r>
      <w:r w:rsidR="00E32DF4">
        <w:rPr>
          <w:rFonts w:ascii="Arial" w:hAnsi="Arial" w:cs="Arial"/>
        </w:rPr>
        <w:t>nt</w:t>
      </w:r>
      <w:r w:rsidRPr="00284743">
        <w:rPr>
          <w:rFonts w:ascii="Arial" w:hAnsi="Arial" w:cs="Arial"/>
        </w:rPr>
        <w:t xml:space="preserve"> aussi les Antemoro connus pour leurs systèmes d’écriture « sorabe ». Ce sont aussi des peuples réputés dans l’art divinatoire. </w:t>
      </w:r>
    </w:p>
    <w:p w14:paraId="3712D449" w14:textId="77777777" w:rsidR="000B313E" w:rsidRPr="00284743" w:rsidRDefault="000B313E" w:rsidP="00687DD2">
      <w:pPr>
        <w:pStyle w:val="Paragraphedeliste"/>
        <w:numPr>
          <w:ilvl w:val="0"/>
          <w:numId w:val="15"/>
        </w:numPr>
        <w:jc w:val="both"/>
        <w:rPr>
          <w:rFonts w:ascii="Arial" w:hAnsi="Arial" w:cs="Arial"/>
        </w:rPr>
      </w:pPr>
      <w:r w:rsidRPr="00284743">
        <w:rPr>
          <w:rFonts w:ascii="Arial" w:hAnsi="Arial" w:cs="Arial"/>
        </w:rPr>
        <w:t>Les Tanala se trouvant dans la partie sud-est de Madagascar, ils sont des peuples qui vivent de la chasse et de la culture de riz sur brûlis</w:t>
      </w:r>
      <w:r w:rsidR="00E32DF4">
        <w:rPr>
          <w:rFonts w:ascii="Arial" w:hAnsi="Arial" w:cs="Arial"/>
        </w:rPr>
        <w:t>.</w:t>
      </w:r>
    </w:p>
    <w:p w14:paraId="6866BFE5" w14:textId="77777777" w:rsidR="000B313E" w:rsidRPr="00284743" w:rsidRDefault="000B313E" w:rsidP="000B313E">
      <w:pPr>
        <w:jc w:val="both"/>
        <w:rPr>
          <w:rFonts w:ascii="Arial" w:hAnsi="Arial" w:cs="Arial"/>
        </w:rPr>
      </w:pPr>
      <w:r w:rsidRPr="00284743">
        <w:rPr>
          <w:rFonts w:ascii="Arial" w:hAnsi="Arial" w:cs="Arial"/>
        </w:rPr>
        <w:t xml:space="preserve">Chaque groupe ethnique possède </w:t>
      </w:r>
      <w:r w:rsidR="005C3134">
        <w:rPr>
          <w:rFonts w:ascii="Arial" w:hAnsi="Arial" w:cs="Arial"/>
        </w:rPr>
        <w:t>ses</w:t>
      </w:r>
      <w:r w:rsidR="005C3134" w:rsidRPr="00284743">
        <w:rPr>
          <w:rFonts w:ascii="Arial" w:hAnsi="Arial" w:cs="Arial"/>
        </w:rPr>
        <w:t xml:space="preserve"> </w:t>
      </w:r>
      <w:r w:rsidRPr="00284743">
        <w:rPr>
          <w:rFonts w:ascii="Arial" w:hAnsi="Arial" w:cs="Arial"/>
        </w:rPr>
        <w:t>propres us et coutumes. Mais en général, les Malgaches sont des peuples superstitieux</w:t>
      </w:r>
      <w:r w:rsidR="00E32DF4">
        <w:rPr>
          <w:rFonts w:ascii="Arial" w:hAnsi="Arial" w:cs="Arial"/>
        </w:rPr>
        <w:t>.</w:t>
      </w:r>
      <w:r w:rsidRPr="00284743">
        <w:rPr>
          <w:rFonts w:ascii="Arial" w:hAnsi="Arial" w:cs="Arial"/>
        </w:rPr>
        <w:t xml:space="preserve"> </w:t>
      </w:r>
      <w:r w:rsidR="00E32DF4">
        <w:rPr>
          <w:rFonts w:ascii="Arial" w:hAnsi="Arial" w:cs="Arial"/>
        </w:rPr>
        <w:t>I</w:t>
      </w:r>
      <w:r w:rsidRPr="00284743">
        <w:rPr>
          <w:rFonts w:ascii="Arial" w:hAnsi="Arial" w:cs="Arial"/>
        </w:rPr>
        <w:t xml:space="preserve">ls consultent les </w:t>
      </w:r>
      <w:r w:rsidR="00E32DF4">
        <w:rPr>
          <w:rFonts w:ascii="Arial" w:hAnsi="Arial" w:cs="Arial"/>
        </w:rPr>
        <w:t>« </w:t>
      </w:r>
      <w:r w:rsidRPr="00284743">
        <w:rPr>
          <w:rFonts w:ascii="Arial" w:hAnsi="Arial" w:cs="Arial"/>
        </w:rPr>
        <w:t>mpanandro</w:t>
      </w:r>
      <w:r w:rsidR="00E32DF4">
        <w:rPr>
          <w:rFonts w:ascii="Arial" w:hAnsi="Arial" w:cs="Arial"/>
        </w:rPr>
        <w:t> »</w:t>
      </w:r>
      <w:r w:rsidRPr="00284743">
        <w:rPr>
          <w:rFonts w:ascii="Arial" w:hAnsi="Arial" w:cs="Arial"/>
        </w:rPr>
        <w:t xml:space="preserve"> </w:t>
      </w:r>
      <w:r w:rsidR="00E32DF4">
        <w:rPr>
          <w:rFonts w:ascii="Arial" w:hAnsi="Arial" w:cs="Arial"/>
        </w:rPr>
        <w:t xml:space="preserve">(divins) </w:t>
      </w:r>
      <w:r w:rsidRPr="00284743">
        <w:rPr>
          <w:rFonts w:ascii="Arial" w:hAnsi="Arial" w:cs="Arial"/>
        </w:rPr>
        <w:t xml:space="preserve">pour </w:t>
      </w:r>
      <w:r w:rsidR="00E32DF4">
        <w:rPr>
          <w:rFonts w:ascii="Arial" w:hAnsi="Arial" w:cs="Arial"/>
        </w:rPr>
        <w:t>demander des</w:t>
      </w:r>
      <w:r w:rsidR="00E32DF4" w:rsidRPr="00284743">
        <w:rPr>
          <w:rFonts w:ascii="Arial" w:hAnsi="Arial" w:cs="Arial"/>
        </w:rPr>
        <w:t xml:space="preserve"> </w:t>
      </w:r>
      <w:r w:rsidRPr="00284743">
        <w:rPr>
          <w:rFonts w:ascii="Arial" w:hAnsi="Arial" w:cs="Arial"/>
        </w:rPr>
        <w:t>conseil</w:t>
      </w:r>
      <w:r w:rsidR="00E32DF4">
        <w:rPr>
          <w:rFonts w:ascii="Arial" w:hAnsi="Arial" w:cs="Arial"/>
        </w:rPr>
        <w:t>s</w:t>
      </w:r>
      <w:r w:rsidRPr="00284743">
        <w:rPr>
          <w:rFonts w:ascii="Arial" w:hAnsi="Arial" w:cs="Arial"/>
        </w:rPr>
        <w:t xml:space="preserve"> sur les grandes décisions comme la tenue d’un voyage, ou la construction d’un logement. Pour avoir la bénédiction du </w:t>
      </w:r>
      <w:r w:rsidR="00E32DF4">
        <w:rPr>
          <w:rFonts w:ascii="Arial" w:hAnsi="Arial" w:cs="Arial"/>
        </w:rPr>
        <w:t>« </w:t>
      </w:r>
      <w:r w:rsidRPr="00284743">
        <w:rPr>
          <w:rFonts w:ascii="Arial" w:hAnsi="Arial" w:cs="Arial"/>
        </w:rPr>
        <w:t>Zanahary</w:t>
      </w:r>
      <w:r w:rsidR="00E32DF4">
        <w:rPr>
          <w:rFonts w:ascii="Arial" w:hAnsi="Arial" w:cs="Arial"/>
        </w:rPr>
        <w:t> » (Dieu)</w:t>
      </w:r>
      <w:r w:rsidRPr="00284743">
        <w:rPr>
          <w:rFonts w:ascii="Arial" w:hAnsi="Arial" w:cs="Arial"/>
        </w:rPr>
        <w:t xml:space="preserve"> et les ancêtres, les devins les conseil</w:t>
      </w:r>
      <w:r w:rsidR="00E32DF4">
        <w:rPr>
          <w:rFonts w:ascii="Arial" w:hAnsi="Arial" w:cs="Arial"/>
        </w:rPr>
        <w:t>lent</w:t>
      </w:r>
      <w:r w:rsidRPr="00284743">
        <w:rPr>
          <w:rFonts w:ascii="Arial" w:hAnsi="Arial" w:cs="Arial"/>
        </w:rPr>
        <w:t xml:space="preserve"> sur le jour</w:t>
      </w:r>
      <w:r w:rsidR="00E32DF4">
        <w:rPr>
          <w:rFonts w:ascii="Arial" w:hAnsi="Arial" w:cs="Arial"/>
        </w:rPr>
        <w:t>,</w:t>
      </w:r>
      <w:r w:rsidRPr="00284743">
        <w:rPr>
          <w:rFonts w:ascii="Arial" w:hAnsi="Arial" w:cs="Arial"/>
        </w:rPr>
        <w:t xml:space="preserve"> l’heure et même l’itinéraire à suivre lors d’un grand moment comme les funérailles, le mariage ou la construction d’un bâtiment ou autres infrastructures. </w:t>
      </w:r>
    </w:p>
    <w:p w14:paraId="48DCAA0E" w14:textId="77777777" w:rsidR="000B313E" w:rsidRPr="00284743" w:rsidRDefault="00A61E65" w:rsidP="000B313E">
      <w:pPr>
        <w:jc w:val="both"/>
        <w:rPr>
          <w:rFonts w:ascii="Arial" w:hAnsi="Arial" w:cs="Arial"/>
        </w:rPr>
      </w:pPr>
      <w:r w:rsidRPr="0A1598FD">
        <w:rPr>
          <w:rFonts w:ascii="Arial" w:hAnsi="Arial" w:cs="Arial"/>
        </w:rPr>
        <w:t xml:space="preserve">La pratique de culte des ancêtres </w:t>
      </w:r>
      <w:r w:rsidR="006F45CC" w:rsidRPr="0A1598FD">
        <w:rPr>
          <w:rFonts w:ascii="Arial" w:hAnsi="Arial" w:cs="Arial"/>
        </w:rPr>
        <w:t xml:space="preserve"> </w:t>
      </w:r>
      <w:r w:rsidR="000B313E" w:rsidRPr="0A1598FD">
        <w:rPr>
          <w:rFonts w:ascii="Arial" w:hAnsi="Arial" w:cs="Arial"/>
        </w:rPr>
        <w:t>permet de faire le lien entre le monde vivant et le monde surnaturel. Les Malgaches ont l’habitude d’invoquer les ancêtres à l’occasion de tous types de rituels, cela en vue d’assurer la protection de leur descendance.</w:t>
      </w:r>
    </w:p>
    <w:p w14:paraId="5474AA36" w14:textId="77777777" w:rsidR="000B313E" w:rsidRDefault="000B313E" w:rsidP="000B313E">
      <w:pPr>
        <w:jc w:val="both"/>
        <w:rPr>
          <w:rFonts w:ascii="Arial" w:hAnsi="Arial" w:cs="Arial"/>
        </w:rPr>
      </w:pPr>
      <w:r w:rsidRPr="00284743">
        <w:rPr>
          <w:rFonts w:ascii="Arial" w:hAnsi="Arial" w:cs="Arial"/>
        </w:rPr>
        <w:t xml:space="preserve">Outre ces croyances, divers tabous ou « fady » sont aussi respectés. Il s’agit des recommandations parfois improbables et étranges qu’il vous faut respecter dans certains lieux et sites sacrés. Ils sont ancrés dans la tradition malgache. Même si certains « fady » sont considérés comme des superstitions, ils sont respectés jusqu’à aujourd’hui dans certains endroits. Ces interdits peuvent être liés à une tenue vestimentaire, à un jour d’accès, à une coutume alimentaire, etc. Par exemple, il est interdit de toucher ou d’uriner </w:t>
      </w:r>
      <w:r w:rsidRPr="00284743">
        <w:rPr>
          <w:rFonts w:ascii="Arial" w:hAnsi="Arial" w:cs="Arial"/>
        </w:rPr>
        <w:lastRenderedPageBreak/>
        <w:t>sur des édifices mortuaires et des tombeaux. Il en est de même pour les arbres sacrés. Toutefois, ils varient d’une région à une autre.</w:t>
      </w:r>
    </w:p>
    <w:p w14:paraId="1AB2AC44" w14:textId="77777777" w:rsidR="00FD3415" w:rsidRPr="00244E1F" w:rsidRDefault="00FD3415" w:rsidP="00FD3415">
      <w:pPr>
        <w:jc w:val="both"/>
        <w:rPr>
          <w:rFonts w:ascii="Arial" w:hAnsi="Arial" w:cs="Arial"/>
        </w:rPr>
      </w:pPr>
      <w:r w:rsidRPr="00322143">
        <w:rPr>
          <w:rFonts w:ascii="Arial" w:hAnsi="Arial" w:cs="Arial"/>
        </w:rPr>
        <w:t>Du point de vu</w:t>
      </w:r>
      <w:r w:rsidR="00524CF6">
        <w:rPr>
          <w:rFonts w:ascii="Arial" w:hAnsi="Arial" w:cs="Arial"/>
        </w:rPr>
        <w:t>e</w:t>
      </w:r>
      <w:r w:rsidRPr="00322143">
        <w:rPr>
          <w:rFonts w:ascii="Arial" w:hAnsi="Arial" w:cs="Arial"/>
        </w:rPr>
        <w:t xml:space="preserve"> de l</w:t>
      </w:r>
      <w:r>
        <w:rPr>
          <w:rFonts w:ascii="Arial" w:hAnsi="Arial" w:cs="Arial"/>
        </w:rPr>
        <w:t>a</w:t>
      </w:r>
      <w:r w:rsidRPr="00322143">
        <w:rPr>
          <w:rFonts w:ascii="Arial" w:hAnsi="Arial" w:cs="Arial"/>
        </w:rPr>
        <w:t xml:space="preserve"> religion, d’après l’EDBM (</w:t>
      </w:r>
      <w:r>
        <w:rPr>
          <w:rFonts w:ascii="Arial" w:hAnsi="Arial" w:cs="Arial"/>
        </w:rPr>
        <w:t xml:space="preserve">en </w:t>
      </w:r>
      <w:r w:rsidRPr="00322143">
        <w:rPr>
          <w:rFonts w:ascii="Arial" w:hAnsi="Arial" w:cs="Arial"/>
        </w:rPr>
        <w:t xml:space="preserve">2017), Madagasikara compte environ </w:t>
      </w:r>
      <w:r w:rsidRPr="00244E1F">
        <w:rPr>
          <w:rFonts w:ascii="Arial" w:hAnsi="Arial" w:cs="Arial"/>
        </w:rPr>
        <w:t>52% adeptes des croyances traditionnelles basées sur le respect des ancêtres ; 41% de Chrétiens qui sont essentiellement Catholiques et Protestants et 7% de croyance Musulmane</w:t>
      </w:r>
      <w:r w:rsidRPr="00AE406E">
        <w:rPr>
          <w:vertAlign w:val="superscript"/>
        </w:rPr>
        <w:footnoteReference w:id="41"/>
      </w:r>
    </w:p>
    <w:p w14:paraId="53876D97" w14:textId="77777777" w:rsidR="00435050" w:rsidRPr="00435050" w:rsidRDefault="00435050" w:rsidP="0044500E">
      <w:pPr>
        <w:pStyle w:val="TIT40"/>
        <w:numPr>
          <w:ilvl w:val="3"/>
          <w:numId w:val="177"/>
        </w:numPr>
        <w:outlineLvl w:val="3"/>
      </w:pPr>
      <w:bookmarkStart w:id="397" w:name="_Toc124314671"/>
      <w:bookmarkStart w:id="398" w:name="_Toc124956149"/>
      <w:bookmarkStart w:id="399" w:name="_Toc125384548"/>
      <w:bookmarkStart w:id="400" w:name="_Toc125384937"/>
      <w:bookmarkStart w:id="401" w:name="_Toc127957609"/>
      <w:r w:rsidRPr="00435050">
        <w:t>Migration</w:t>
      </w:r>
      <w:bookmarkEnd w:id="397"/>
      <w:bookmarkEnd w:id="398"/>
      <w:bookmarkEnd w:id="399"/>
      <w:bookmarkEnd w:id="400"/>
      <w:bookmarkEnd w:id="401"/>
      <w:r w:rsidRPr="00435050">
        <w:t xml:space="preserve"> </w:t>
      </w:r>
    </w:p>
    <w:p w14:paraId="0D841F3D" w14:textId="77777777" w:rsidR="00D80286" w:rsidRPr="00A931EA" w:rsidRDefault="00630B78" w:rsidP="00ED7CAD">
      <w:pPr>
        <w:jc w:val="both"/>
        <w:rPr>
          <w:rFonts w:ascii="Arial" w:hAnsi="Arial" w:cs="Arial"/>
        </w:rPr>
      </w:pPr>
      <w:r w:rsidRPr="00A931EA">
        <w:rPr>
          <w:rFonts w:ascii="Arial" w:hAnsi="Arial" w:cs="Arial"/>
        </w:rPr>
        <w:t xml:space="preserve">L’analyse </w:t>
      </w:r>
      <w:r w:rsidR="00357EF4" w:rsidRPr="00A931EA">
        <w:rPr>
          <w:rFonts w:ascii="Arial" w:hAnsi="Arial" w:cs="Arial"/>
        </w:rPr>
        <w:t>effectuée</w:t>
      </w:r>
      <w:r w:rsidRPr="00A931EA">
        <w:rPr>
          <w:rFonts w:ascii="Arial" w:hAnsi="Arial" w:cs="Arial"/>
        </w:rPr>
        <w:t xml:space="preserve"> par INSTAT en 2021</w:t>
      </w:r>
      <w:r w:rsidRPr="00A931EA">
        <w:rPr>
          <w:rStyle w:val="Appelnotedebasdep"/>
          <w:rFonts w:ascii="Arial" w:hAnsi="Arial" w:cs="Arial"/>
        </w:rPr>
        <w:footnoteReference w:id="42"/>
      </w:r>
      <w:r w:rsidRPr="00A931EA">
        <w:rPr>
          <w:rFonts w:ascii="Arial" w:hAnsi="Arial" w:cs="Arial"/>
        </w:rPr>
        <w:t xml:space="preserve"> </w:t>
      </w:r>
      <w:r w:rsidR="00357EF4" w:rsidRPr="00A931EA">
        <w:rPr>
          <w:rFonts w:ascii="Arial" w:hAnsi="Arial" w:cs="Arial"/>
        </w:rPr>
        <w:t>montre que s</w:t>
      </w:r>
      <w:r w:rsidRPr="00A931EA">
        <w:rPr>
          <w:rFonts w:ascii="Arial" w:hAnsi="Arial" w:cs="Arial"/>
        </w:rPr>
        <w:t>ur les 25 674 196 personnes résident</w:t>
      </w:r>
      <w:r w:rsidR="00D11083" w:rsidRPr="00A931EA">
        <w:rPr>
          <w:rFonts w:ascii="Arial" w:hAnsi="Arial" w:cs="Arial"/>
        </w:rPr>
        <w:t>es</w:t>
      </w:r>
      <w:r w:rsidRPr="00A931EA">
        <w:rPr>
          <w:rFonts w:ascii="Arial" w:hAnsi="Arial" w:cs="Arial"/>
        </w:rPr>
        <w:t xml:space="preserve"> à</w:t>
      </w:r>
      <w:r w:rsidR="00357EF4" w:rsidRPr="00A931EA">
        <w:rPr>
          <w:rFonts w:ascii="Arial" w:hAnsi="Arial" w:cs="Arial"/>
        </w:rPr>
        <w:t xml:space="preserve"> </w:t>
      </w:r>
      <w:r w:rsidRPr="00A931EA">
        <w:rPr>
          <w:rFonts w:ascii="Arial" w:hAnsi="Arial" w:cs="Arial"/>
        </w:rPr>
        <w:t xml:space="preserve">Madagascar en 2018, on dénombre </w:t>
      </w:r>
      <w:r w:rsidR="00BA5ACC" w:rsidRPr="00A931EA">
        <w:rPr>
          <w:rFonts w:ascii="Arial" w:hAnsi="Arial" w:cs="Arial"/>
        </w:rPr>
        <w:t xml:space="preserve">3 103 411 </w:t>
      </w:r>
      <w:r w:rsidRPr="00A931EA">
        <w:rPr>
          <w:rFonts w:ascii="Arial" w:hAnsi="Arial" w:cs="Arial"/>
        </w:rPr>
        <w:t xml:space="preserve">résidents </w:t>
      </w:r>
      <w:r w:rsidR="00ED7CAD" w:rsidRPr="00A931EA">
        <w:rPr>
          <w:rFonts w:ascii="Arial" w:hAnsi="Arial" w:cs="Arial"/>
        </w:rPr>
        <w:t>qui ont déclaré</w:t>
      </w:r>
      <w:r w:rsidR="00B30478" w:rsidRPr="00A931EA">
        <w:rPr>
          <w:rFonts w:ascii="Arial" w:hAnsi="Arial" w:cs="Arial"/>
        </w:rPr>
        <w:t xml:space="preserve"> </w:t>
      </w:r>
      <w:r w:rsidR="00ED7CAD" w:rsidRPr="00A931EA">
        <w:rPr>
          <w:rFonts w:ascii="Arial" w:hAnsi="Arial" w:cs="Arial"/>
        </w:rPr>
        <w:t>avoir changé de District de résidence s</w:t>
      </w:r>
      <w:r w:rsidRPr="00A931EA">
        <w:rPr>
          <w:rFonts w:ascii="Arial" w:hAnsi="Arial" w:cs="Arial"/>
        </w:rPr>
        <w:t>oit d</w:t>
      </w:r>
      <w:r w:rsidR="00D11083" w:rsidRPr="00A931EA">
        <w:rPr>
          <w:rFonts w:ascii="Arial" w:hAnsi="Arial" w:cs="Arial"/>
        </w:rPr>
        <w:t>’</w:t>
      </w:r>
      <w:r w:rsidR="00ED7CAD" w:rsidRPr="00A931EA">
        <w:rPr>
          <w:rFonts w:ascii="Arial" w:hAnsi="Arial" w:cs="Arial"/>
        </w:rPr>
        <w:t xml:space="preserve">un taux de migration égal à </w:t>
      </w:r>
      <w:r w:rsidR="00BA5ACC" w:rsidRPr="00A931EA">
        <w:rPr>
          <w:rFonts w:ascii="Arial" w:hAnsi="Arial" w:cs="Arial"/>
        </w:rPr>
        <w:t>12,09</w:t>
      </w:r>
      <w:r w:rsidR="00ED7CAD" w:rsidRPr="00A931EA">
        <w:rPr>
          <w:rFonts w:ascii="Arial" w:hAnsi="Arial" w:cs="Arial"/>
        </w:rPr>
        <w:t xml:space="preserve"> %</w:t>
      </w:r>
      <w:r w:rsidRPr="00A931EA">
        <w:rPr>
          <w:rFonts w:ascii="Arial" w:hAnsi="Arial" w:cs="Arial"/>
        </w:rPr>
        <w:t>.</w:t>
      </w:r>
      <w:r w:rsidR="00ED7CAD" w:rsidRPr="00A931EA">
        <w:rPr>
          <w:rFonts w:ascii="Arial" w:hAnsi="Arial" w:cs="Arial"/>
        </w:rPr>
        <w:t xml:space="preserve"> </w:t>
      </w:r>
    </w:p>
    <w:p w14:paraId="20AF116C" w14:textId="77777777" w:rsidR="00BA5ACC" w:rsidRPr="00A931EA" w:rsidRDefault="00BA5ACC" w:rsidP="00ED7CAD">
      <w:pPr>
        <w:jc w:val="both"/>
        <w:rPr>
          <w:rFonts w:ascii="Arial" w:hAnsi="Arial" w:cs="Arial"/>
        </w:rPr>
      </w:pPr>
      <w:r w:rsidRPr="00A931EA">
        <w:rPr>
          <w:rFonts w:ascii="Arial" w:hAnsi="Arial" w:cs="Arial"/>
        </w:rPr>
        <w:t xml:space="preserve">Le tableau ci-dessous montre que la Région Analamanga est la destination favorite </w:t>
      </w:r>
      <w:r w:rsidR="00ED374A" w:rsidRPr="00A931EA">
        <w:rPr>
          <w:rFonts w:ascii="Arial" w:hAnsi="Arial" w:cs="Arial"/>
        </w:rPr>
        <w:t xml:space="preserve">des migrants. En effet, 27% des migrants se trouvent dans la Région Analamanga contre 1% dans la Région Androy et Atsimo Atsinanana. </w:t>
      </w:r>
      <w:r w:rsidR="000E0BE4" w:rsidRPr="00A931EA">
        <w:rPr>
          <w:rFonts w:ascii="Arial" w:hAnsi="Arial" w:cs="Arial"/>
        </w:rPr>
        <w:t>En outre</w:t>
      </w:r>
      <w:r w:rsidR="0039128A">
        <w:rPr>
          <w:rFonts w:ascii="Arial" w:hAnsi="Arial" w:cs="Arial"/>
        </w:rPr>
        <w:t>,</w:t>
      </w:r>
      <w:r w:rsidR="000E0BE4" w:rsidRPr="00A931EA">
        <w:rPr>
          <w:rFonts w:ascii="Arial" w:hAnsi="Arial" w:cs="Arial"/>
        </w:rPr>
        <w:t xml:space="preserve"> il est </w:t>
      </w:r>
      <w:r w:rsidR="00C36A18">
        <w:rPr>
          <w:rFonts w:ascii="Arial" w:hAnsi="Arial" w:cs="Arial"/>
        </w:rPr>
        <w:t>constaté</w:t>
      </w:r>
      <w:r w:rsidR="00C36A18" w:rsidRPr="00A931EA">
        <w:rPr>
          <w:rFonts w:ascii="Arial" w:hAnsi="Arial" w:cs="Arial"/>
        </w:rPr>
        <w:t xml:space="preserve"> </w:t>
      </w:r>
      <w:r w:rsidR="000E0BE4" w:rsidRPr="00A931EA">
        <w:rPr>
          <w:rFonts w:ascii="Arial" w:hAnsi="Arial" w:cs="Arial"/>
        </w:rPr>
        <w:t>que le taux de migration dans 05 Régions incluant les chefs lieu de province</w:t>
      </w:r>
      <w:r w:rsidR="00C36A18">
        <w:rPr>
          <w:rFonts w:ascii="Arial" w:hAnsi="Arial" w:cs="Arial"/>
        </w:rPr>
        <w:t xml:space="preserve"> (Atsimo Andrefana, Atsinanana, Boeny, D</w:t>
      </w:r>
      <w:r w:rsidR="001848BD">
        <w:rPr>
          <w:rFonts w:ascii="Arial" w:hAnsi="Arial" w:cs="Arial"/>
        </w:rPr>
        <w:t>IANA</w:t>
      </w:r>
      <w:r w:rsidR="00C36A18">
        <w:rPr>
          <w:rFonts w:ascii="Arial" w:hAnsi="Arial" w:cs="Arial"/>
        </w:rPr>
        <w:t>, Haute Matsiatra)</w:t>
      </w:r>
      <w:r w:rsidR="000E0BE4" w:rsidRPr="00A931EA">
        <w:rPr>
          <w:rFonts w:ascii="Arial" w:hAnsi="Arial" w:cs="Arial"/>
        </w:rPr>
        <w:t xml:space="preserve"> </w:t>
      </w:r>
      <w:r w:rsidR="00040088">
        <w:rPr>
          <w:rFonts w:ascii="Arial" w:hAnsi="Arial" w:cs="Arial"/>
        </w:rPr>
        <w:t>est</w:t>
      </w:r>
      <w:r w:rsidR="00040088" w:rsidRPr="00A931EA">
        <w:rPr>
          <w:rFonts w:ascii="Arial" w:hAnsi="Arial" w:cs="Arial"/>
        </w:rPr>
        <w:t xml:space="preserve"> </w:t>
      </w:r>
      <w:r w:rsidR="000E0BE4" w:rsidRPr="00A931EA">
        <w:rPr>
          <w:rFonts w:ascii="Arial" w:hAnsi="Arial" w:cs="Arial"/>
        </w:rPr>
        <w:t xml:space="preserve">aussi </w:t>
      </w:r>
      <w:r w:rsidR="00040088" w:rsidRPr="00A931EA">
        <w:rPr>
          <w:rFonts w:ascii="Arial" w:hAnsi="Arial" w:cs="Arial"/>
        </w:rPr>
        <w:t>élevé</w:t>
      </w:r>
      <w:r w:rsidR="00D11083" w:rsidRPr="00A931EA">
        <w:rPr>
          <w:rFonts w:ascii="Arial" w:hAnsi="Arial" w:cs="Arial"/>
        </w:rPr>
        <w:t xml:space="preserve"> </w:t>
      </w:r>
      <w:r w:rsidR="000E0BE4" w:rsidRPr="00A931EA">
        <w:rPr>
          <w:rFonts w:ascii="Arial" w:hAnsi="Arial" w:cs="Arial"/>
        </w:rPr>
        <w:t>par rapport aux autres Région</w:t>
      </w:r>
      <w:r w:rsidR="00C36A18">
        <w:rPr>
          <w:rFonts w:ascii="Arial" w:hAnsi="Arial" w:cs="Arial"/>
        </w:rPr>
        <w:t>s</w:t>
      </w:r>
      <w:r w:rsidR="000E0BE4" w:rsidRPr="00A931EA">
        <w:rPr>
          <w:rFonts w:ascii="Arial" w:hAnsi="Arial" w:cs="Arial"/>
        </w:rPr>
        <w:t>. D’après RAKOTOMAVOHARINAIVONAMBININA, L</w:t>
      </w:r>
      <w:r w:rsidR="0039128A">
        <w:rPr>
          <w:rFonts w:ascii="Arial" w:hAnsi="Arial" w:cs="Arial"/>
        </w:rPr>
        <w:t>.</w:t>
      </w:r>
      <w:r w:rsidR="000E0BE4" w:rsidRPr="00A931EA">
        <w:rPr>
          <w:rFonts w:ascii="Arial" w:hAnsi="Arial" w:cs="Arial"/>
        </w:rPr>
        <w:t xml:space="preserve"> en 2012</w:t>
      </w:r>
      <w:r w:rsidR="00D11083" w:rsidRPr="00A931EA">
        <w:rPr>
          <w:rStyle w:val="Appelnotedebasdep"/>
          <w:rFonts w:ascii="Arial" w:hAnsi="Arial" w:cs="Arial"/>
        </w:rPr>
        <w:footnoteReference w:id="43"/>
      </w:r>
      <w:r w:rsidR="000E0BE4" w:rsidRPr="00A931EA">
        <w:rPr>
          <w:rFonts w:ascii="Arial" w:hAnsi="Arial" w:cs="Arial"/>
        </w:rPr>
        <w:t xml:space="preserve">, plusieurs facteurs </w:t>
      </w:r>
      <w:r w:rsidR="00D11083" w:rsidRPr="00A931EA">
        <w:rPr>
          <w:rFonts w:ascii="Arial" w:hAnsi="Arial" w:cs="Arial"/>
        </w:rPr>
        <w:t>sont en cause de la migration</w:t>
      </w:r>
      <w:r w:rsidR="00C36A18">
        <w:rPr>
          <w:rFonts w:ascii="Arial" w:hAnsi="Arial" w:cs="Arial"/>
        </w:rPr>
        <w:t xml:space="preserve"> et</w:t>
      </w:r>
      <w:r w:rsidR="00D11083" w:rsidRPr="00A931EA">
        <w:rPr>
          <w:rFonts w:ascii="Arial" w:hAnsi="Arial" w:cs="Arial"/>
        </w:rPr>
        <w:t xml:space="preserve"> parmi eux</w:t>
      </w:r>
      <w:r w:rsidR="00B30478" w:rsidRPr="00A931EA">
        <w:rPr>
          <w:rFonts w:ascii="Arial" w:hAnsi="Arial" w:cs="Arial"/>
        </w:rPr>
        <w:t xml:space="preserve">, </w:t>
      </w:r>
      <w:r w:rsidR="00D11083" w:rsidRPr="00A931EA">
        <w:rPr>
          <w:rFonts w:ascii="Arial" w:hAnsi="Arial" w:cs="Arial"/>
        </w:rPr>
        <w:t xml:space="preserve">on peut citer : l’inégalité de développement du milieu urbain et rural, l’opportunité d’emploi en milieu urbain, l’insuffisance des terres cultivables en milieu rural, etc. </w:t>
      </w:r>
    </w:p>
    <w:p w14:paraId="773C20CA" w14:textId="77777777" w:rsidR="00D80286" w:rsidRPr="00D80286" w:rsidRDefault="00D80286" w:rsidP="00D80286">
      <w:pPr>
        <w:pStyle w:val="Lgende"/>
        <w:jc w:val="center"/>
        <w:rPr>
          <w:sz w:val="20"/>
        </w:rPr>
      </w:pPr>
      <w:bookmarkStart w:id="402" w:name="_Toc127957806"/>
      <w:r w:rsidRPr="00D80286">
        <w:rPr>
          <w:sz w:val="20"/>
        </w:rPr>
        <w:t xml:space="preserve">Tableau </w:t>
      </w:r>
      <w:r w:rsidRPr="00D80286">
        <w:rPr>
          <w:sz w:val="20"/>
        </w:rPr>
        <w:fldChar w:fldCharType="begin"/>
      </w:r>
      <w:r w:rsidRPr="00D80286">
        <w:rPr>
          <w:sz w:val="20"/>
        </w:rPr>
        <w:instrText xml:space="preserve"> SEQ Tableau \* ARABIC </w:instrText>
      </w:r>
      <w:r w:rsidRPr="00D80286">
        <w:rPr>
          <w:sz w:val="20"/>
        </w:rPr>
        <w:fldChar w:fldCharType="separate"/>
      </w:r>
      <w:r w:rsidR="005430A1">
        <w:rPr>
          <w:noProof/>
          <w:sz w:val="20"/>
        </w:rPr>
        <w:t>10</w:t>
      </w:r>
      <w:r w:rsidRPr="00D80286">
        <w:rPr>
          <w:sz w:val="20"/>
        </w:rPr>
        <w:fldChar w:fldCharType="end"/>
      </w:r>
      <w:r w:rsidRPr="00D80286">
        <w:rPr>
          <w:sz w:val="20"/>
        </w:rPr>
        <w:t xml:space="preserve">. Répartition des migrants internes anciens et récents par Région </w:t>
      </w:r>
      <w:r>
        <w:rPr>
          <w:sz w:val="20"/>
        </w:rPr>
        <w:t>de destination</w:t>
      </w:r>
      <w:bookmarkEnd w:id="402"/>
    </w:p>
    <w:tbl>
      <w:tblPr>
        <w:tblW w:w="8140" w:type="dxa"/>
        <w:jc w:val="center"/>
        <w:tblCellMar>
          <w:left w:w="70" w:type="dxa"/>
          <w:right w:w="70" w:type="dxa"/>
        </w:tblCellMar>
        <w:tblLook w:val="04A0" w:firstRow="1" w:lastRow="0" w:firstColumn="1" w:lastColumn="0" w:noHBand="0" w:noVBand="1"/>
      </w:tblPr>
      <w:tblGrid>
        <w:gridCol w:w="2200"/>
        <w:gridCol w:w="1200"/>
        <w:gridCol w:w="860"/>
        <w:gridCol w:w="1200"/>
        <w:gridCol w:w="760"/>
        <w:gridCol w:w="940"/>
        <w:gridCol w:w="980"/>
      </w:tblGrid>
      <w:tr w:rsidR="00D80286" w:rsidRPr="007F78CE" w14:paraId="40E05F93" w14:textId="77777777" w:rsidTr="00D80286">
        <w:trPr>
          <w:trHeight w:val="615"/>
          <w:tblHeader/>
          <w:jc w:val="center"/>
        </w:trPr>
        <w:tc>
          <w:tcPr>
            <w:tcW w:w="2200" w:type="dxa"/>
            <w:vMerge w:val="restar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58C2ED4D" w14:textId="77777777" w:rsidR="00D80286" w:rsidRPr="00D80286" w:rsidRDefault="00D80286" w:rsidP="00D80286">
            <w:pPr>
              <w:spacing w:after="0" w:line="240" w:lineRule="auto"/>
              <w:jc w:val="center"/>
              <w:rPr>
                <w:rFonts w:ascii="Arial" w:eastAsia="Times New Roman" w:hAnsi="Arial" w:cs="Arial"/>
                <w:b/>
                <w:bCs/>
                <w:color w:val="FFFFFF"/>
                <w:sz w:val="20"/>
                <w:szCs w:val="20"/>
                <w:lang w:eastAsia="fr-FR"/>
              </w:rPr>
            </w:pPr>
            <w:r w:rsidRPr="00D80286">
              <w:rPr>
                <w:rFonts w:ascii="Arial" w:eastAsia="Times New Roman" w:hAnsi="Arial" w:cs="Arial"/>
                <w:b/>
                <w:bCs/>
                <w:color w:val="FFFFFF"/>
                <w:sz w:val="20"/>
                <w:szCs w:val="20"/>
                <w:lang w:eastAsia="fr-FR"/>
              </w:rPr>
              <w:t>Région</w:t>
            </w:r>
          </w:p>
        </w:tc>
        <w:tc>
          <w:tcPr>
            <w:tcW w:w="2060" w:type="dxa"/>
            <w:gridSpan w:val="2"/>
            <w:tcBorders>
              <w:top w:val="single" w:sz="4" w:space="0" w:color="auto"/>
              <w:left w:val="nil"/>
              <w:bottom w:val="single" w:sz="4" w:space="0" w:color="auto"/>
              <w:right w:val="single" w:sz="4" w:space="0" w:color="auto"/>
            </w:tcBorders>
            <w:shd w:val="clear" w:color="000000" w:fill="0070C0"/>
            <w:vAlign w:val="center"/>
            <w:hideMark/>
          </w:tcPr>
          <w:p w14:paraId="49168FFE" w14:textId="77777777" w:rsidR="00D80286" w:rsidRPr="00D80286" w:rsidRDefault="00D80286" w:rsidP="00D80286">
            <w:pPr>
              <w:spacing w:after="0" w:line="240" w:lineRule="auto"/>
              <w:jc w:val="center"/>
              <w:rPr>
                <w:rFonts w:ascii="Arial" w:eastAsia="Times New Roman" w:hAnsi="Arial" w:cs="Arial"/>
                <w:b/>
                <w:bCs/>
                <w:color w:val="FFFFFF"/>
                <w:sz w:val="20"/>
                <w:szCs w:val="20"/>
                <w:lang w:eastAsia="fr-FR"/>
              </w:rPr>
            </w:pPr>
            <w:r w:rsidRPr="00D80286">
              <w:rPr>
                <w:rFonts w:ascii="Arial" w:eastAsia="Times New Roman" w:hAnsi="Arial" w:cs="Arial"/>
                <w:b/>
                <w:bCs/>
                <w:color w:val="FFFFFF"/>
                <w:sz w:val="20"/>
                <w:szCs w:val="20"/>
                <w:lang w:eastAsia="fr-FR"/>
              </w:rPr>
              <w:t>Migrant interne ancienne</w:t>
            </w:r>
          </w:p>
        </w:tc>
        <w:tc>
          <w:tcPr>
            <w:tcW w:w="1960" w:type="dxa"/>
            <w:gridSpan w:val="2"/>
            <w:tcBorders>
              <w:top w:val="single" w:sz="4" w:space="0" w:color="auto"/>
              <w:left w:val="nil"/>
              <w:bottom w:val="single" w:sz="4" w:space="0" w:color="auto"/>
              <w:right w:val="single" w:sz="4" w:space="0" w:color="auto"/>
            </w:tcBorders>
            <w:shd w:val="clear" w:color="000000" w:fill="0070C0"/>
            <w:vAlign w:val="center"/>
            <w:hideMark/>
          </w:tcPr>
          <w:p w14:paraId="019EE822" w14:textId="77777777" w:rsidR="00D80286" w:rsidRPr="00D80286" w:rsidRDefault="00D80286" w:rsidP="00D80286">
            <w:pPr>
              <w:spacing w:after="0" w:line="240" w:lineRule="auto"/>
              <w:jc w:val="center"/>
              <w:rPr>
                <w:rFonts w:ascii="Arial" w:eastAsia="Times New Roman" w:hAnsi="Arial" w:cs="Arial"/>
                <w:b/>
                <w:bCs/>
                <w:color w:val="FFFFFF"/>
                <w:sz w:val="20"/>
                <w:szCs w:val="20"/>
                <w:lang w:eastAsia="fr-FR"/>
              </w:rPr>
            </w:pPr>
            <w:r w:rsidRPr="00D80286">
              <w:rPr>
                <w:rFonts w:ascii="Arial" w:eastAsia="Times New Roman" w:hAnsi="Arial" w:cs="Arial"/>
                <w:b/>
                <w:bCs/>
                <w:color w:val="FFFFFF"/>
                <w:sz w:val="20"/>
                <w:szCs w:val="20"/>
                <w:lang w:eastAsia="fr-FR"/>
              </w:rPr>
              <w:t>Migrant interne récent</w:t>
            </w:r>
          </w:p>
        </w:tc>
        <w:tc>
          <w:tcPr>
            <w:tcW w:w="1920" w:type="dxa"/>
            <w:gridSpan w:val="2"/>
            <w:tcBorders>
              <w:top w:val="single" w:sz="4" w:space="0" w:color="auto"/>
              <w:left w:val="nil"/>
              <w:bottom w:val="single" w:sz="4" w:space="0" w:color="auto"/>
              <w:right w:val="single" w:sz="4" w:space="0" w:color="auto"/>
            </w:tcBorders>
            <w:shd w:val="clear" w:color="000000" w:fill="0070C0"/>
            <w:vAlign w:val="center"/>
            <w:hideMark/>
          </w:tcPr>
          <w:p w14:paraId="483C0032" w14:textId="77777777" w:rsidR="00D80286" w:rsidRPr="00D80286" w:rsidRDefault="00D80286" w:rsidP="00D80286">
            <w:pPr>
              <w:spacing w:after="0" w:line="240" w:lineRule="auto"/>
              <w:jc w:val="center"/>
              <w:rPr>
                <w:rFonts w:ascii="Arial" w:eastAsia="Times New Roman" w:hAnsi="Arial" w:cs="Arial"/>
                <w:b/>
                <w:bCs/>
                <w:color w:val="FFFFFF"/>
                <w:sz w:val="20"/>
                <w:szCs w:val="20"/>
                <w:lang w:eastAsia="fr-FR"/>
              </w:rPr>
            </w:pPr>
            <w:r w:rsidRPr="00D80286">
              <w:rPr>
                <w:rFonts w:ascii="Arial" w:eastAsia="Times New Roman" w:hAnsi="Arial" w:cs="Arial"/>
                <w:b/>
                <w:bCs/>
                <w:color w:val="FFFFFF"/>
                <w:sz w:val="20"/>
                <w:szCs w:val="20"/>
                <w:lang w:eastAsia="fr-FR"/>
              </w:rPr>
              <w:t>Total Migrant interne</w:t>
            </w:r>
          </w:p>
        </w:tc>
      </w:tr>
      <w:tr w:rsidR="00D80286" w:rsidRPr="007F78CE" w14:paraId="7E273AC6" w14:textId="77777777" w:rsidTr="00D80286">
        <w:trPr>
          <w:trHeight w:val="300"/>
          <w:tblHeader/>
          <w:jc w:val="center"/>
        </w:trPr>
        <w:tc>
          <w:tcPr>
            <w:tcW w:w="2200" w:type="dxa"/>
            <w:vMerge/>
            <w:tcBorders>
              <w:top w:val="single" w:sz="4" w:space="0" w:color="auto"/>
              <w:left w:val="single" w:sz="4" w:space="0" w:color="auto"/>
              <w:bottom w:val="single" w:sz="4" w:space="0" w:color="auto"/>
              <w:right w:val="single" w:sz="4" w:space="0" w:color="auto"/>
            </w:tcBorders>
            <w:vAlign w:val="center"/>
            <w:hideMark/>
          </w:tcPr>
          <w:p w14:paraId="7ABF4E6F" w14:textId="77777777" w:rsidR="00D80286" w:rsidRPr="00D80286" w:rsidRDefault="00D80286" w:rsidP="00D80286">
            <w:pPr>
              <w:spacing w:after="0" w:line="240" w:lineRule="auto"/>
              <w:jc w:val="center"/>
              <w:rPr>
                <w:rFonts w:ascii="Arial" w:eastAsia="Times New Roman" w:hAnsi="Arial" w:cs="Arial"/>
                <w:b/>
                <w:bCs/>
                <w:color w:val="FFFFFF"/>
                <w:sz w:val="20"/>
                <w:szCs w:val="20"/>
                <w:lang w:eastAsia="fr-FR"/>
              </w:rPr>
            </w:pPr>
          </w:p>
        </w:tc>
        <w:tc>
          <w:tcPr>
            <w:tcW w:w="1200" w:type="dxa"/>
            <w:tcBorders>
              <w:top w:val="nil"/>
              <w:left w:val="nil"/>
              <w:bottom w:val="single" w:sz="4" w:space="0" w:color="auto"/>
              <w:right w:val="single" w:sz="4" w:space="0" w:color="auto"/>
            </w:tcBorders>
            <w:shd w:val="clear" w:color="000000" w:fill="0070C0"/>
            <w:vAlign w:val="center"/>
            <w:hideMark/>
          </w:tcPr>
          <w:p w14:paraId="1830F5D5" w14:textId="77777777" w:rsidR="00D80286" w:rsidRPr="00D80286" w:rsidRDefault="00D80286" w:rsidP="00D80286">
            <w:pPr>
              <w:spacing w:after="0" w:line="240" w:lineRule="auto"/>
              <w:jc w:val="center"/>
              <w:rPr>
                <w:rFonts w:ascii="Arial" w:eastAsia="Times New Roman" w:hAnsi="Arial" w:cs="Arial"/>
                <w:b/>
                <w:bCs/>
                <w:color w:val="FFFFFF"/>
                <w:sz w:val="20"/>
                <w:szCs w:val="20"/>
                <w:lang w:eastAsia="fr-FR"/>
              </w:rPr>
            </w:pPr>
            <w:r w:rsidRPr="00D80286">
              <w:rPr>
                <w:rFonts w:ascii="Arial" w:eastAsia="Times New Roman" w:hAnsi="Arial" w:cs="Arial"/>
                <w:b/>
                <w:bCs/>
                <w:color w:val="FFFFFF"/>
                <w:sz w:val="20"/>
                <w:szCs w:val="20"/>
                <w:lang w:eastAsia="fr-FR"/>
              </w:rPr>
              <w:t>Nb</w:t>
            </w:r>
          </w:p>
        </w:tc>
        <w:tc>
          <w:tcPr>
            <w:tcW w:w="860" w:type="dxa"/>
            <w:tcBorders>
              <w:top w:val="nil"/>
              <w:left w:val="nil"/>
              <w:bottom w:val="single" w:sz="4" w:space="0" w:color="auto"/>
              <w:right w:val="single" w:sz="4" w:space="0" w:color="auto"/>
            </w:tcBorders>
            <w:shd w:val="clear" w:color="000000" w:fill="0070C0"/>
            <w:vAlign w:val="center"/>
            <w:hideMark/>
          </w:tcPr>
          <w:p w14:paraId="2953A972" w14:textId="77777777" w:rsidR="00D80286" w:rsidRPr="00D80286" w:rsidRDefault="00D80286" w:rsidP="00D80286">
            <w:pPr>
              <w:spacing w:after="0" w:line="240" w:lineRule="auto"/>
              <w:jc w:val="center"/>
              <w:rPr>
                <w:rFonts w:ascii="Arial" w:eastAsia="Times New Roman" w:hAnsi="Arial" w:cs="Arial"/>
                <w:b/>
                <w:bCs/>
                <w:color w:val="FFFFFF"/>
                <w:sz w:val="20"/>
                <w:szCs w:val="20"/>
                <w:lang w:eastAsia="fr-FR"/>
              </w:rPr>
            </w:pPr>
            <w:r w:rsidRPr="00D80286">
              <w:rPr>
                <w:rFonts w:ascii="Arial" w:eastAsia="Times New Roman" w:hAnsi="Arial" w:cs="Arial"/>
                <w:b/>
                <w:bCs/>
                <w:color w:val="FFFFFF"/>
                <w:sz w:val="20"/>
                <w:szCs w:val="20"/>
                <w:lang w:eastAsia="fr-FR"/>
              </w:rPr>
              <w:t>%</w:t>
            </w:r>
          </w:p>
        </w:tc>
        <w:tc>
          <w:tcPr>
            <w:tcW w:w="1200" w:type="dxa"/>
            <w:tcBorders>
              <w:top w:val="nil"/>
              <w:left w:val="nil"/>
              <w:bottom w:val="single" w:sz="4" w:space="0" w:color="auto"/>
              <w:right w:val="single" w:sz="4" w:space="0" w:color="auto"/>
            </w:tcBorders>
            <w:shd w:val="clear" w:color="000000" w:fill="0070C0"/>
            <w:vAlign w:val="center"/>
            <w:hideMark/>
          </w:tcPr>
          <w:p w14:paraId="099855AE" w14:textId="77777777" w:rsidR="00D80286" w:rsidRPr="00D80286" w:rsidRDefault="00D80286" w:rsidP="00D80286">
            <w:pPr>
              <w:spacing w:after="0" w:line="240" w:lineRule="auto"/>
              <w:jc w:val="center"/>
              <w:rPr>
                <w:rFonts w:ascii="Arial" w:eastAsia="Times New Roman" w:hAnsi="Arial" w:cs="Arial"/>
                <w:b/>
                <w:bCs/>
                <w:color w:val="FFFFFF"/>
                <w:sz w:val="20"/>
                <w:szCs w:val="20"/>
                <w:lang w:eastAsia="fr-FR"/>
              </w:rPr>
            </w:pPr>
            <w:r w:rsidRPr="00D80286">
              <w:rPr>
                <w:rFonts w:ascii="Arial" w:eastAsia="Times New Roman" w:hAnsi="Arial" w:cs="Arial"/>
                <w:b/>
                <w:bCs/>
                <w:color w:val="FFFFFF"/>
                <w:sz w:val="20"/>
                <w:szCs w:val="20"/>
                <w:lang w:eastAsia="fr-FR"/>
              </w:rPr>
              <w:t>Nb</w:t>
            </w:r>
          </w:p>
        </w:tc>
        <w:tc>
          <w:tcPr>
            <w:tcW w:w="760" w:type="dxa"/>
            <w:tcBorders>
              <w:top w:val="nil"/>
              <w:left w:val="nil"/>
              <w:bottom w:val="single" w:sz="4" w:space="0" w:color="auto"/>
              <w:right w:val="single" w:sz="4" w:space="0" w:color="auto"/>
            </w:tcBorders>
            <w:shd w:val="clear" w:color="000000" w:fill="0070C0"/>
            <w:vAlign w:val="center"/>
            <w:hideMark/>
          </w:tcPr>
          <w:p w14:paraId="341BB0D4" w14:textId="77777777" w:rsidR="00D80286" w:rsidRPr="00D80286" w:rsidRDefault="00D80286" w:rsidP="00D80286">
            <w:pPr>
              <w:spacing w:after="0" w:line="240" w:lineRule="auto"/>
              <w:jc w:val="center"/>
              <w:rPr>
                <w:rFonts w:ascii="Arial" w:eastAsia="Times New Roman" w:hAnsi="Arial" w:cs="Arial"/>
                <w:b/>
                <w:bCs/>
                <w:color w:val="FFFFFF"/>
                <w:sz w:val="20"/>
                <w:szCs w:val="20"/>
                <w:lang w:eastAsia="fr-FR"/>
              </w:rPr>
            </w:pPr>
            <w:r w:rsidRPr="00D80286">
              <w:rPr>
                <w:rFonts w:ascii="Arial" w:eastAsia="Times New Roman" w:hAnsi="Arial" w:cs="Arial"/>
                <w:b/>
                <w:bCs/>
                <w:color w:val="FFFFFF"/>
                <w:sz w:val="20"/>
                <w:szCs w:val="20"/>
                <w:lang w:eastAsia="fr-FR"/>
              </w:rPr>
              <w:t>%</w:t>
            </w:r>
          </w:p>
        </w:tc>
        <w:tc>
          <w:tcPr>
            <w:tcW w:w="940" w:type="dxa"/>
            <w:tcBorders>
              <w:top w:val="nil"/>
              <w:left w:val="nil"/>
              <w:bottom w:val="single" w:sz="4" w:space="0" w:color="auto"/>
              <w:right w:val="single" w:sz="4" w:space="0" w:color="auto"/>
            </w:tcBorders>
            <w:shd w:val="clear" w:color="000000" w:fill="0070C0"/>
            <w:vAlign w:val="center"/>
            <w:hideMark/>
          </w:tcPr>
          <w:p w14:paraId="255B8CD5" w14:textId="77777777" w:rsidR="00D80286" w:rsidRPr="00D80286" w:rsidRDefault="00D80286" w:rsidP="00D80286">
            <w:pPr>
              <w:spacing w:after="0" w:line="240" w:lineRule="auto"/>
              <w:jc w:val="center"/>
              <w:rPr>
                <w:rFonts w:ascii="Arial" w:eastAsia="Times New Roman" w:hAnsi="Arial" w:cs="Arial"/>
                <w:b/>
                <w:bCs/>
                <w:color w:val="FFFFFF"/>
                <w:sz w:val="20"/>
                <w:szCs w:val="20"/>
                <w:lang w:eastAsia="fr-FR"/>
              </w:rPr>
            </w:pPr>
            <w:r w:rsidRPr="00D80286">
              <w:rPr>
                <w:rFonts w:ascii="Arial" w:eastAsia="Times New Roman" w:hAnsi="Arial" w:cs="Arial"/>
                <w:b/>
                <w:bCs/>
                <w:color w:val="FFFFFF"/>
                <w:sz w:val="20"/>
                <w:szCs w:val="20"/>
                <w:lang w:eastAsia="fr-FR"/>
              </w:rPr>
              <w:t>Nb</w:t>
            </w:r>
          </w:p>
        </w:tc>
        <w:tc>
          <w:tcPr>
            <w:tcW w:w="980" w:type="dxa"/>
            <w:tcBorders>
              <w:top w:val="nil"/>
              <w:left w:val="nil"/>
              <w:bottom w:val="single" w:sz="4" w:space="0" w:color="auto"/>
              <w:right w:val="single" w:sz="4" w:space="0" w:color="auto"/>
            </w:tcBorders>
            <w:shd w:val="clear" w:color="000000" w:fill="0070C0"/>
            <w:vAlign w:val="center"/>
            <w:hideMark/>
          </w:tcPr>
          <w:p w14:paraId="44369CB9" w14:textId="77777777" w:rsidR="00D80286" w:rsidRPr="00D80286" w:rsidRDefault="00D80286" w:rsidP="00D80286">
            <w:pPr>
              <w:spacing w:after="0" w:line="240" w:lineRule="auto"/>
              <w:jc w:val="center"/>
              <w:rPr>
                <w:rFonts w:ascii="Arial" w:eastAsia="Times New Roman" w:hAnsi="Arial" w:cs="Arial"/>
                <w:b/>
                <w:bCs/>
                <w:color w:val="FFFFFF"/>
                <w:sz w:val="20"/>
                <w:szCs w:val="20"/>
                <w:lang w:eastAsia="fr-FR"/>
              </w:rPr>
            </w:pPr>
            <w:r w:rsidRPr="00D80286">
              <w:rPr>
                <w:rFonts w:ascii="Arial" w:eastAsia="Times New Roman" w:hAnsi="Arial" w:cs="Arial"/>
                <w:b/>
                <w:bCs/>
                <w:color w:val="FFFFFF"/>
                <w:sz w:val="20"/>
                <w:szCs w:val="20"/>
                <w:lang w:eastAsia="fr-FR"/>
              </w:rPr>
              <w:t>%</w:t>
            </w:r>
          </w:p>
        </w:tc>
      </w:tr>
      <w:tr w:rsidR="00D80286" w:rsidRPr="007F78CE" w14:paraId="4F7D20A6" w14:textId="77777777" w:rsidTr="00D80286">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4206A867" w14:textId="77777777" w:rsidR="00D80286" w:rsidRPr="00D80286" w:rsidRDefault="00D80286" w:rsidP="00D80286">
            <w:pPr>
              <w:spacing w:after="0" w:line="240" w:lineRule="auto"/>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Analamanga</w:t>
            </w:r>
          </w:p>
        </w:tc>
        <w:tc>
          <w:tcPr>
            <w:tcW w:w="1200" w:type="dxa"/>
            <w:tcBorders>
              <w:top w:val="nil"/>
              <w:left w:val="nil"/>
              <w:bottom w:val="single" w:sz="4" w:space="0" w:color="auto"/>
              <w:right w:val="single" w:sz="4" w:space="0" w:color="auto"/>
            </w:tcBorders>
            <w:shd w:val="clear" w:color="auto" w:fill="auto"/>
            <w:vAlign w:val="center"/>
            <w:hideMark/>
          </w:tcPr>
          <w:p w14:paraId="1477559B"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799 436</w:t>
            </w:r>
          </w:p>
        </w:tc>
        <w:tc>
          <w:tcPr>
            <w:tcW w:w="860" w:type="dxa"/>
            <w:tcBorders>
              <w:top w:val="nil"/>
              <w:left w:val="nil"/>
              <w:bottom w:val="single" w:sz="4" w:space="0" w:color="auto"/>
              <w:right w:val="single" w:sz="4" w:space="0" w:color="auto"/>
            </w:tcBorders>
            <w:shd w:val="clear" w:color="auto" w:fill="auto"/>
            <w:vAlign w:val="center"/>
            <w:hideMark/>
          </w:tcPr>
          <w:p w14:paraId="411BDB26"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27</w:t>
            </w:r>
          </w:p>
        </w:tc>
        <w:tc>
          <w:tcPr>
            <w:tcW w:w="1200" w:type="dxa"/>
            <w:tcBorders>
              <w:top w:val="nil"/>
              <w:left w:val="nil"/>
              <w:bottom w:val="single" w:sz="4" w:space="0" w:color="auto"/>
              <w:right w:val="single" w:sz="4" w:space="0" w:color="auto"/>
            </w:tcBorders>
            <w:shd w:val="clear" w:color="auto" w:fill="auto"/>
            <w:vAlign w:val="center"/>
            <w:hideMark/>
          </w:tcPr>
          <w:p w14:paraId="64B3115A"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46 032</w:t>
            </w:r>
          </w:p>
        </w:tc>
        <w:tc>
          <w:tcPr>
            <w:tcW w:w="760" w:type="dxa"/>
            <w:tcBorders>
              <w:top w:val="nil"/>
              <w:left w:val="nil"/>
              <w:bottom w:val="single" w:sz="4" w:space="0" w:color="auto"/>
              <w:right w:val="single" w:sz="4" w:space="0" w:color="auto"/>
            </w:tcBorders>
            <w:shd w:val="clear" w:color="auto" w:fill="auto"/>
            <w:vAlign w:val="center"/>
            <w:hideMark/>
          </w:tcPr>
          <w:p w14:paraId="44AD8DA6" w14:textId="77777777" w:rsidR="00D80286" w:rsidRPr="00D80286" w:rsidRDefault="00D80286" w:rsidP="00D80286">
            <w:pPr>
              <w:spacing w:after="0" w:line="240" w:lineRule="auto"/>
              <w:ind w:firstLineChars="100" w:firstLine="200"/>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32</w:t>
            </w:r>
          </w:p>
        </w:tc>
        <w:tc>
          <w:tcPr>
            <w:tcW w:w="940" w:type="dxa"/>
            <w:tcBorders>
              <w:top w:val="nil"/>
              <w:left w:val="nil"/>
              <w:bottom w:val="single" w:sz="4" w:space="0" w:color="auto"/>
              <w:right w:val="single" w:sz="4" w:space="0" w:color="auto"/>
            </w:tcBorders>
            <w:shd w:val="clear" w:color="auto" w:fill="auto"/>
            <w:noWrap/>
            <w:vAlign w:val="bottom"/>
            <w:hideMark/>
          </w:tcPr>
          <w:p w14:paraId="511FFEFB"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845 468</w:t>
            </w:r>
          </w:p>
        </w:tc>
        <w:tc>
          <w:tcPr>
            <w:tcW w:w="980" w:type="dxa"/>
            <w:tcBorders>
              <w:top w:val="nil"/>
              <w:left w:val="nil"/>
              <w:bottom w:val="single" w:sz="4" w:space="0" w:color="auto"/>
              <w:right w:val="single" w:sz="4" w:space="0" w:color="auto"/>
            </w:tcBorders>
            <w:shd w:val="clear" w:color="auto" w:fill="auto"/>
            <w:noWrap/>
            <w:vAlign w:val="bottom"/>
            <w:hideMark/>
          </w:tcPr>
          <w:p w14:paraId="5385CFAE"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27,2</w:t>
            </w:r>
          </w:p>
        </w:tc>
      </w:tr>
      <w:tr w:rsidR="00D80286" w:rsidRPr="007F78CE" w14:paraId="793312FB" w14:textId="77777777" w:rsidTr="00D80286">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0E5A635D" w14:textId="77777777" w:rsidR="00D80286" w:rsidRPr="00D80286" w:rsidRDefault="00D80286" w:rsidP="00D80286">
            <w:pPr>
              <w:spacing w:after="0" w:line="240" w:lineRule="auto"/>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Vakinankaratra</w:t>
            </w:r>
          </w:p>
        </w:tc>
        <w:tc>
          <w:tcPr>
            <w:tcW w:w="1200" w:type="dxa"/>
            <w:tcBorders>
              <w:top w:val="nil"/>
              <w:left w:val="nil"/>
              <w:bottom w:val="single" w:sz="4" w:space="0" w:color="auto"/>
              <w:right w:val="single" w:sz="4" w:space="0" w:color="auto"/>
            </w:tcBorders>
            <w:shd w:val="clear" w:color="auto" w:fill="auto"/>
            <w:vAlign w:val="center"/>
            <w:hideMark/>
          </w:tcPr>
          <w:p w14:paraId="3CA29F35"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133 504</w:t>
            </w:r>
          </w:p>
        </w:tc>
        <w:tc>
          <w:tcPr>
            <w:tcW w:w="860" w:type="dxa"/>
            <w:tcBorders>
              <w:top w:val="nil"/>
              <w:left w:val="nil"/>
              <w:bottom w:val="single" w:sz="4" w:space="0" w:color="auto"/>
              <w:right w:val="single" w:sz="4" w:space="0" w:color="auto"/>
            </w:tcBorders>
            <w:shd w:val="clear" w:color="auto" w:fill="auto"/>
            <w:vAlign w:val="center"/>
            <w:hideMark/>
          </w:tcPr>
          <w:p w14:paraId="45C2857A"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4,5</w:t>
            </w:r>
          </w:p>
        </w:tc>
        <w:tc>
          <w:tcPr>
            <w:tcW w:w="1200" w:type="dxa"/>
            <w:tcBorders>
              <w:top w:val="nil"/>
              <w:left w:val="nil"/>
              <w:bottom w:val="single" w:sz="4" w:space="0" w:color="auto"/>
              <w:right w:val="single" w:sz="4" w:space="0" w:color="auto"/>
            </w:tcBorders>
            <w:shd w:val="clear" w:color="auto" w:fill="auto"/>
            <w:vAlign w:val="center"/>
            <w:hideMark/>
          </w:tcPr>
          <w:p w14:paraId="52876F43"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6 442</w:t>
            </w:r>
          </w:p>
        </w:tc>
        <w:tc>
          <w:tcPr>
            <w:tcW w:w="760" w:type="dxa"/>
            <w:tcBorders>
              <w:top w:val="nil"/>
              <w:left w:val="nil"/>
              <w:bottom w:val="single" w:sz="4" w:space="0" w:color="auto"/>
              <w:right w:val="single" w:sz="4" w:space="0" w:color="auto"/>
            </w:tcBorders>
            <w:shd w:val="clear" w:color="auto" w:fill="auto"/>
            <w:vAlign w:val="center"/>
            <w:hideMark/>
          </w:tcPr>
          <w:p w14:paraId="30C4444B" w14:textId="77777777" w:rsidR="00D80286" w:rsidRPr="00D80286" w:rsidRDefault="00D80286" w:rsidP="00D80286">
            <w:pPr>
              <w:spacing w:after="0" w:line="240" w:lineRule="auto"/>
              <w:ind w:firstLineChars="100" w:firstLine="200"/>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4,5</w:t>
            </w:r>
          </w:p>
        </w:tc>
        <w:tc>
          <w:tcPr>
            <w:tcW w:w="940" w:type="dxa"/>
            <w:tcBorders>
              <w:top w:val="nil"/>
              <w:left w:val="nil"/>
              <w:bottom w:val="single" w:sz="4" w:space="0" w:color="auto"/>
              <w:right w:val="single" w:sz="4" w:space="0" w:color="auto"/>
            </w:tcBorders>
            <w:shd w:val="clear" w:color="auto" w:fill="auto"/>
            <w:noWrap/>
            <w:vAlign w:val="bottom"/>
            <w:hideMark/>
          </w:tcPr>
          <w:p w14:paraId="747CBABF"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139 946</w:t>
            </w:r>
          </w:p>
        </w:tc>
        <w:tc>
          <w:tcPr>
            <w:tcW w:w="980" w:type="dxa"/>
            <w:tcBorders>
              <w:top w:val="nil"/>
              <w:left w:val="nil"/>
              <w:bottom w:val="single" w:sz="4" w:space="0" w:color="auto"/>
              <w:right w:val="single" w:sz="4" w:space="0" w:color="auto"/>
            </w:tcBorders>
            <w:shd w:val="clear" w:color="auto" w:fill="auto"/>
            <w:noWrap/>
            <w:vAlign w:val="bottom"/>
            <w:hideMark/>
          </w:tcPr>
          <w:p w14:paraId="701538DB"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4,5</w:t>
            </w:r>
          </w:p>
        </w:tc>
      </w:tr>
      <w:tr w:rsidR="00D80286" w:rsidRPr="007F78CE" w14:paraId="4C131A99" w14:textId="77777777" w:rsidTr="00D80286">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376C16E7" w14:textId="77777777" w:rsidR="00D80286" w:rsidRPr="00D80286" w:rsidRDefault="00D80286" w:rsidP="00D80286">
            <w:pPr>
              <w:spacing w:after="0" w:line="240" w:lineRule="auto"/>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Itasy</w:t>
            </w:r>
          </w:p>
        </w:tc>
        <w:tc>
          <w:tcPr>
            <w:tcW w:w="1200" w:type="dxa"/>
            <w:tcBorders>
              <w:top w:val="nil"/>
              <w:left w:val="nil"/>
              <w:bottom w:val="single" w:sz="4" w:space="0" w:color="auto"/>
              <w:right w:val="single" w:sz="4" w:space="0" w:color="auto"/>
            </w:tcBorders>
            <w:shd w:val="clear" w:color="auto" w:fill="auto"/>
            <w:vAlign w:val="center"/>
            <w:hideMark/>
          </w:tcPr>
          <w:p w14:paraId="48B76F2A"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151 745</w:t>
            </w:r>
          </w:p>
        </w:tc>
        <w:tc>
          <w:tcPr>
            <w:tcW w:w="860" w:type="dxa"/>
            <w:tcBorders>
              <w:top w:val="nil"/>
              <w:left w:val="nil"/>
              <w:bottom w:val="single" w:sz="4" w:space="0" w:color="auto"/>
              <w:right w:val="single" w:sz="4" w:space="0" w:color="auto"/>
            </w:tcBorders>
            <w:shd w:val="clear" w:color="auto" w:fill="auto"/>
            <w:vAlign w:val="center"/>
            <w:hideMark/>
          </w:tcPr>
          <w:p w14:paraId="40307088"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5,1</w:t>
            </w:r>
          </w:p>
        </w:tc>
        <w:tc>
          <w:tcPr>
            <w:tcW w:w="1200" w:type="dxa"/>
            <w:tcBorders>
              <w:top w:val="nil"/>
              <w:left w:val="nil"/>
              <w:bottom w:val="single" w:sz="4" w:space="0" w:color="auto"/>
              <w:right w:val="single" w:sz="4" w:space="0" w:color="auto"/>
            </w:tcBorders>
            <w:shd w:val="clear" w:color="auto" w:fill="auto"/>
            <w:vAlign w:val="center"/>
            <w:hideMark/>
          </w:tcPr>
          <w:p w14:paraId="1D59D5D1"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3 627</w:t>
            </w:r>
          </w:p>
        </w:tc>
        <w:tc>
          <w:tcPr>
            <w:tcW w:w="760" w:type="dxa"/>
            <w:tcBorders>
              <w:top w:val="nil"/>
              <w:left w:val="nil"/>
              <w:bottom w:val="single" w:sz="4" w:space="0" w:color="auto"/>
              <w:right w:val="single" w:sz="4" w:space="0" w:color="auto"/>
            </w:tcBorders>
            <w:shd w:val="clear" w:color="auto" w:fill="auto"/>
            <w:vAlign w:val="center"/>
            <w:hideMark/>
          </w:tcPr>
          <w:p w14:paraId="1A6C868C" w14:textId="77777777" w:rsidR="00D80286" w:rsidRPr="00D80286" w:rsidRDefault="00D80286" w:rsidP="00D80286">
            <w:pPr>
              <w:spacing w:after="0" w:line="240" w:lineRule="auto"/>
              <w:ind w:firstLineChars="100" w:firstLine="200"/>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2,5</w:t>
            </w:r>
          </w:p>
        </w:tc>
        <w:tc>
          <w:tcPr>
            <w:tcW w:w="940" w:type="dxa"/>
            <w:tcBorders>
              <w:top w:val="nil"/>
              <w:left w:val="nil"/>
              <w:bottom w:val="single" w:sz="4" w:space="0" w:color="auto"/>
              <w:right w:val="single" w:sz="4" w:space="0" w:color="auto"/>
            </w:tcBorders>
            <w:shd w:val="clear" w:color="auto" w:fill="auto"/>
            <w:noWrap/>
            <w:vAlign w:val="bottom"/>
            <w:hideMark/>
          </w:tcPr>
          <w:p w14:paraId="5072779C"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155 372</w:t>
            </w:r>
          </w:p>
        </w:tc>
        <w:tc>
          <w:tcPr>
            <w:tcW w:w="980" w:type="dxa"/>
            <w:tcBorders>
              <w:top w:val="nil"/>
              <w:left w:val="nil"/>
              <w:bottom w:val="single" w:sz="4" w:space="0" w:color="auto"/>
              <w:right w:val="single" w:sz="4" w:space="0" w:color="auto"/>
            </w:tcBorders>
            <w:shd w:val="clear" w:color="auto" w:fill="auto"/>
            <w:noWrap/>
            <w:vAlign w:val="bottom"/>
            <w:hideMark/>
          </w:tcPr>
          <w:p w14:paraId="526371D7"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5,0</w:t>
            </w:r>
          </w:p>
        </w:tc>
      </w:tr>
      <w:tr w:rsidR="00D80286" w:rsidRPr="007F78CE" w14:paraId="560DF27C" w14:textId="77777777" w:rsidTr="00D80286">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13F04317" w14:textId="77777777" w:rsidR="00D80286" w:rsidRPr="00D80286" w:rsidRDefault="00D80286" w:rsidP="00D80286">
            <w:pPr>
              <w:spacing w:after="0" w:line="240" w:lineRule="auto"/>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Bongolava</w:t>
            </w:r>
          </w:p>
        </w:tc>
        <w:tc>
          <w:tcPr>
            <w:tcW w:w="1200" w:type="dxa"/>
            <w:tcBorders>
              <w:top w:val="nil"/>
              <w:left w:val="nil"/>
              <w:bottom w:val="single" w:sz="4" w:space="0" w:color="auto"/>
              <w:right w:val="single" w:sz="4" w:space="0" w:color="auto"/>
            </w:tcBorders>
            <w:shd w:val="clear" w:color="auto" w:fill="auto"/>
            <w:vAlign w:val="center"/>
            <w:hideMark/>
          </w:tcPr>
          <w:p w14:paraId="034A853A"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224 881</w:t>
            </w:r>
          </w:p>
        </w:tc>
        <w:tc>
          <w:tcPr>
            <w:tcW w:w="860" w:type="dxa"/>
            <w:tcBorders>
              <w:top w:val="nil"/>
              <w:left w:val="nil"/>
              <w:bottom w:val="single" w:sz="4" w:space="0" w:color="auto"/>
              <w:right w:val="single" w:sz="4" w:space="0" w:color="auto"/>
            </w:tcBorders>
            <w:shd w:val="clear" w:color="auto" w:fill="auto"/>
            <w:vAlign w:val="center"/>
            <w:hideMark/>
          </w:tcPr>
          <w:p w14:paraId="5CE5BA91"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7,6</w:t>
            </w:r>
          </w:p>
        </w:tc>
        <w:tc>
          <w:tcPr>
            <w:tcW w:w="1200" w:type="dxa"/>
            <w:tcBorders>
              <w:top w:val="nil"/>
              <w:left w:val="nil"/>
              <w:bottom w:val="single" w:sz="4" w:space="0" w:color="auto"/>
              <w:right w:val="single" w:sz="4" w:space="0" w:color="auto"/>
            </w:tcBorders>
            <w:shd w:val="clear" w:color="auto" w:fill="auto"/>
            <w:vAlign w:val="center"/>
            <w:hideMark/>
          </w:tcPr>
          <w:p w14:paraId="743324DE"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3 935</w:t>
            </w:r>
          </w:p>
        </w:tc>
        <w:tc>
          <w:tcPr>
            <w:tcW w:w="760" w:type="dxa"/>
            <w:tcBorders>
              <w:top w:val="nil"/>
              <w:left w:val="nil"/>
              <w:bottom w:val="single" w:sz="4" w:space="0" w:color="auto"/>
              <w:right w:val="single" w:sz="4" w:space="0" w:color="auto"/>
            </w:tcBorders>
            <w:shd w:val="clear" w:color="auto" w:fill="auto"/>
            <w:vAlign w:val="center"/>
            <w:hideMark/>
          </w:tcPr>
          <w:p w14:paraId="691A4179" w14:textId="77777777" w:rsidR="00D80286" w:rsidRPr="00D80286" w:rsidRDefault="00D80286" w:rsidP="00D80286">
            <w:pPr>
              <w:spacing w:after="0" w:line="240" w:lineRule="auto"/>
              <w:ind w:firstLineChars="100" w:firstLine="200"/>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2,7</w:t>
            </w:r>
          </w:p>
        </w:tc>
        <w:tc>
          <w:tcPr>
            <w:tcW w:w="940" w:type="dxa"/>
            <w:tcBorders>
              <w:top w:val="nil"/>
              <w:left w:val="nil"/>
              <w:bottom w:val="single" w:sz="4" w:space="0" w:color="auto"/>
              <w:right w:val="single" w:sz="4" w:space="0" w:color="auto"/>
            </w:tcBorders>
            <w:shd w:val="clear" w:color="auto" w:fill="auto"/>
            <w:noWrap/>
            <w:vAlign w:val="bottom"/>
            <w:hideMark/>
          </w:tcPr>
          <w:p w14:paraId="2F4E9D4B"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228 816</w:t>
            </w:r>
          </w:p>
        </w:tc>
        <w:tc>
          <w:tcPr>
            <w:tcW w:w="980" w:type="dxa"/>
            <w:tcBorders>
              <w:top w:val="nil"/>
              <w:left w:val="nil"/>
              <w:bottom w:val="single" w:sz="4" w:space="0" w:color="auto"/>
              <w:right w:val="single" w:sz="4" w:space="0" w:color="auto"/>
            </w:tcBorders>
            <w:shd w:val="clear" w:color="auto" w:fill="auto"/>
            <w:noWrap/>
            <w:vAlign w:val="bottom"/>
            <w:hideMark/>
          </w:tcPr>
          <w:p w14:paraId="75F51405"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7,4</w:t>
            </w:r>
          </w:p>
        </w:tc>
      </w:tr>
      <w:tr w:rsidR="00D80286" w:rsidRPr="007F78CE" w14:paraId="5C012E18" w14:textId="77777777" w:rsidTr="00D80286">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701C63D3" w14:textId="77777777" w:rsidR="00D80286" w:rsidRPr="00D80286" w:rsidRDefault="00D80286" w:rsidP="00D80286">
            <w:pPr>
              <w:spacing w:after="0" w:line="240" w:lineRule="auto"/>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Haute Matsiatra</w:t>
            </w:r>
          </w:p>
        </w:tc>
        <w:tc>
          <w:tcPr>
            <w:tcW w:w="1200" w:type="dxa"/>
            <w:tcBorders>
              <w:top w:val="nil"/>
              <w:left w:val="nil"/>
              <w:bottom w:val="single" w:sz="4" w:space="0" w:color="auto"/>
              <w:right w:val="single" w:sz="4" w:space="0" w:color="auto"/>
            </w:tcBorders>
            <w:shd w:val="clear" w:color="auto" w:fill="auto"/>
            <w:vAlign w:val="center"/>
            <w:hideMark/>
          </w:tcPr>
          <w:p w14:paraId="0C2E7B42"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114 507</w:t>
            </w:r>
          </w:p>
        </w:tc>
        <w:tc>
          <w:tcPr>
            <w:tcW w:w="860" w:type="dxa"/>
            <w:tcBorders>
              <w:top w:val="nil"/>
              <w:left w:val="nil"/>
              <w:bottom w:val="single" w:sz="4" w:space="0" w:color="auto"/>
              <w:right w:val="single" w:sz="4" w:space="0" w:color="auto"/>
            </w:tcBorders>
            <w:shd w:val="clear" w:color="auto" w:fill="auto"/>
            <w:vAlign w:val="center"/>
            <w:hideMark/>
          </w:tcPr>
          <w:p w14:paraId="6E3B5223"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3,9</w:t>
            </w:r>
          </w:p>
        </w:tc>
        <w:tc>
          <w:tcPr>
            <w:tcW w:w="1200" w:type="dxa"/>
            <w:tcBorders>
              <w:top w:val="nil"/>
              <w:left w:val="nil"/>
              <w:bottom w:val="single" w:sz="4" w:space="0" w:color="auto"/>
              <w:right w:val="single" w:sz="4" w:space="0" w:color="auto"/>
            </w:tcBorders>
            <w:shd w:val="clear" w:color="auto" w:fill="auto"/>
            <w:vAlign w:val="center"/>
            <w:hideMark/>
          </w:tcPr>
          <w:p w14:paraId="74CB0DA2"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7 190</w:t>
            </w:r>
          </w:p>
        </w:tc>
        <w:tc>
          <w:tcPr>
            <w:tcW w:w="760" w:type="dxa"/>
            <w:tcBorders>
              <w:top w:val="nil"/>
              <w:left w:val="nil"/>
              <w:bottom w:val="single" w:sz="4" w:space="0" w:color="auto"/>
              <w:right w:val="single" w:sz="4" w:space="0" w:color="auto"/>
            </w:tcBorders>
            <w:shd w:val="clear" w:color="auto" w:fill="auto"/>
            <w:vAlign w:val="center"/>
            <w:hideMark/>
          </w:tcPr>
          <w:p w14:paraId="2CD7090C" w14:textId="77777777" w:rsidR="00D80286" w:rsidRPr="00D80286" w:rsidRDefault="00D80286" w:rsidP="00D80286">
            <w:pPr>
              <w:spacing w:after="0" w:line="240" w:lineRule="auto"/>
              <w:ind w:firstLineChars="100" w:firstLine="200"/>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5</w:t>
            </w:r>
          </w:p>
        </w:tc>
        <w:tc>
          <w:tcPr>
            <w:tcW w:w="940" w:type="dxa"/>
            <w:tcBorders>
              <w:top w:val="nil"/>
              <w:left w:val="nil"/>
              <w:bottom w:val="single" w:sz="4" w:space="0" w:color="auto"/>
              <w:right w:val="single" w:sz="4" w:space="0" w:color="auto"/>
            </w:tcBorders>
            <w:shd w:val="clear" w:color="auto" w:fill="auto"/>
            <w:noWrap/>
            <w:vAlign w:val="bottom"/>
            <w:hideMark/>
          </w:tcPr>
          <w:p w14:paraId="5082DB50"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121 697</w:t>
            </w:r>
          </w:p>
        </w:tc>
        <w:tc>
          <w:tcPr>
            <w:tcW w:w="980" w:type="dxa"/>
            <w:tcBorders>
              <w:top w:val="nil"/>
              <w:left w:val="nil"/>
              <w:bottom w:val="single" w:sz="4" w:space="0" w:color="auto"/>
              <w:right w:val="single" w:sz="4" w:space="0" w:color="auto"/>
            </w:tcBorders>
            <w:shd w:val="clear" w:color="auto" w:fill="auto"/>
            <w:noWrap/>
            <w:vAlign w:val="bottom"/>
            <w:hideMark/>
          </w:tcPr>
          <w:p w14:paraId="4724709E"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3,9</w:t>
            </w:r>
          </w:p>
        </w:tc>
      </w:tr>
      <w:tr w:rsidR="00D80286" w:rsidRPr="007F78CE" w14:paraId="4C5C5653" w14:textId="77777777" w:rsidTr="00D80286">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3452409C" w14:textId="77777777" w:rsidR="00D80286" w:rsidRPr="00D80286" w:rsidRDefault="00D80286" w:rsidP="00D80286">
            <w:pPr>
              <w:spacing w:after="0" w:line="240" w:lineRule="auto"/>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Amoron’i Mania</w:t>
            </w:r>
          </w:p>
        </w:tc>
        <w:tc>
          <w:tcPr>
            <w:tcW w:w="1200" w:type="dxa"/>
            <w:tcBorders>
              <w:top w:val="nil"/>
              <w:left w:val="nil"/>
              <w:bottom w:val="single" w:sz="4" w:space="0" w:color="auto"/>
              <w:right w:val="single" w:sz="4" w:space="0" w:color="auto"/>
            </w:tcBorders>
            <w:shd w:val="clear" w:color="auto" w:fill="auto"/>
            <w:vAlign w:val="center"/>
            <w:hideMark/>
          </w:tcPr>
          <w:p w14:paraId="52857E1B"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77 752</w:t>
            </w:r>
          </w:p>
        </w:tc>
        <w:tc>
          <w:tcPr>
            <w:tcW w:w="860" w:type="dxa"/>
            <w:tcBorders>
              <w:top w:val="nil"/>
              <w:left w:val="nil"/>
              <w:bottom w:val="single" w:sz="4" w:space="0" w:color="auto"/>
              <w:right w:val="single" w:sz="4" w:space="0" w:color="auto"/>
            </w:tcBorders>
            <w:shd w:val="clear" w:color="auto" w:fill="auto"/>
            <w:vAlign w:val="center"/>
            <w:hideMark/>
          </w:tcPr>
          <w:p w14:paraId="6643BF0D"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2,6</w:t>
            </w:r>
          </w:p>
        </w:tc>
        <w:tc>
          <w:tcPr>
            <w:tcW w:w="1200" w:type="dxa"/>
            <w:tcBorders>
              <w:top w:val="nil"/>
              <w:left w:val="nil"/>
              <w:bottom w:val="single" w:sz="4" w:space="0" w:color="auto"/>
              <w:right w:val="single" w:sz="4" w:space="0" w:color="auto"/>
            </w:tcBorders>
            <w:shd w:val="clear" w:color="auto" w:fill="auto"/>
            <w:vAlign w:val="center"/>
            <w:hideMark/>
          </w:tcPr>
          <w:p w14:paraId="50054F7B"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4 110</w:t>
            </w:r>
          </w:p>
        </w:tc>
        <w:tc>
          <w:tcPr>
            <w:tcW w:w="760" w:type="dxa"/>
            <w:tcBorders>
              <w:top w:val="nil"/>
              <w:left w:val="nil"/>
              <w:bottom w:val="single" w:sz="4" w:space="0" w:color="auto"/>
              <w:right w:val="single" w:sz="4" w:space="0" w:color="auto"/>
            </w:tcBorders>
            <w:shd w:val="clear" w:color="auto" w:fill="auto"/>
            <w:vAlign w:val="center"/>
            <w:hideMark/>
          </w:tcPr>
          <w:p w14:paraId="76C701E3" w14:textId="77777777" w:rsidR="00D80286" w:rsidRPr="00D80286" w:rsidRDefault="00D80286" w:rsidP="00D80286">
            <w:pPr>
              <w:spacing w:after="0" w:line="240" w:lineRule="auto"/>
              <w:ind w:firstLineChars="100" w:firstLine="200"/>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2,9</w:t>
            </w:r>
          </w:p>
        </w:tc>
        <w:tc>
          <w:tcPr>
            <w:tcW w:w="940" w:type="dxa"/>
            <w:tcBorders>
              <w:top w:val="nil"/>
              <w:left w:val="nil"/>
              <w:bottom w:val="single" w:sz="4" w:space="0" w:color="auto"/>
              <w:right w:val="single" w:sz="4" w:space="0" w:color="auto"/>
            </w:tcBorders>
            <w:shd w:val="clear" w:color="auto" w:fill="auto"/>
            <w:noWrap/>
            <w:vAlign w:val="bottom"/>
            <w:hideMark/>
          </w:tcPr>
          <w:p w14:paraId="4BA06A5C"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81 862</w:t>
            </w:r>
          </w:p>
        </w:tc>
        <w:tc>
          <w:tcPr>
            <w:tcW w:w="980" w:type="dxa"/>
            <w:tcBorders>
              <w:top w:val="nil"/>
              <w:left w:val="nil"/>
              <w:bottom w:val="single" w:sz="4" w:space="0" w:color="auto"/>
              <w:right w:val="single" w:sz="4" w:space="0" w:color="auto"/>
            </w:tcBorders>
            <w:shd w:val="clear" w:color="auto" w:fill="auto"/>
            <w:noWrap/>
            <w:vAlign w:val="bottom"/>
            <w:hideMark/>
          </w:tcPr>
          <w:p w14:paraId="641D1FDD"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2,6</w:t>
            </w:r>
          </w:p>
        </w:tc>
      </w:tr>
      <w:tr w:rsidR="00D80286" w:rsidRPr="007F78CE" w14:paraId="22F67750" w14:textId="77777777" w:rsidTr="00D80286">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0D687D5B" w14:textId="77777777" w:rsidR="00D80286" w:rsidRPr="00D80286" w:rsidRDefault="00D80286" w:rsidP="00D80286">
            <w:pPr>
              <w:spacing w:after="0" w:line="240" w:lineRule="auto"/>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Vatovavy Fitovinany</w:t>
            </w:r>
          </w:p>
        </w:tc>
        <w:tc>
          <w:tcPr>
            <w:tcW w:w="1200" w:type="dxa"/>
            <w:tcBorders>
              <w:top w:val="nil"/>
              <w:left w:val="nil"/>
              <w:bottom w:val="single" w:sz="4" w:space="0" w:color="auto"/>
              <w:right w:val="single" w:sz="4" w:space="0" w:color="auto"/>
            </w:tcBorders>
            <w:shd w:val="clear" w:color="auto" w:fill="auto"/>
            <w:vAlign w:val="center"/>
            <w:hideMark/>
          </w:tcPr>
          <w:p w14:paraId="7C9DBF4E"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55 622</w:t>
            </w:r>
          </w:p>
        </w:tc>
        <w:tc>
          <w:tcPr>
            <w:tcW w:w="860" w:type="dxa"/>
            <w:tcBorders>
              <w:top w:val="nil"/>
              <w:left w:val="nil"/>
              <w:bottom w:val="single" w:sz="4" w:space="0" w:color="auto"/>
              <w:right w:val="single" w:sz="4" w:space="0" w:color="auto"/>
            </w:tcBorders>
            <w:shd w:val="clear" w:color="auto" w:fill="auto"/>
            <w:vAlign w:val="center"/>
            <w:hideMark/>
          </w:tcPr>
          <w:p w14:paraId="4AC11CD4"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1,9</w:t>
            </w:r>
          </w:p>
        </w:tc>
        <w:tc>
          <w:tcPr>
            <w:tcW w:w="1200" w:type="dxa"/>
            <w:tcBorders>
              <w:top w:val="nil"/>
              <w:left w:val="nil"/>
              <w:bottom w:val="single" w:sz="4" w:space="0" w:color="auto"/>
              <w:right w:val="single" w:sz="4" w:space="0" w:color="auto"/>
            </w:tcBorders>
            <w:shd w:val="clear" w:color="auto" w:fill="auto"/>
            <w:vAlign w:val="center"/>
            <w:hideMark/>
          </w:tcPr>
          <w:p w14:paraId="6D7BD6D7"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2 873</w:t>
            </w:r>
          </w:p>
        </w:tc>
        <w:tc>
          <w:tcPr>
            <w:tcW w:w="760" w:type="dxa"/>
            <w:tcBorders>
              <w:top w:val="nil"/>
              <w:left w:val="nil"/>
              <w:bottom w:val="single" w:sz="4" w:space="0" w:color="auto"/>
              <w:right w:val="single" w:sz="4" w:space="0" w:color="auto"/>
            </w:tcBorders>
            <w:shd w:val="clear" w:color="auto" w:fill="auto"/>
            <w:vAlign w:val="center"/>
            <w:hideMark/>
          </w:tcPr>
          <w:p w14:paraId="42EDF08A" w14:textId="77777777" w:rsidR="00D80286" w:rsidRPr="00D80286" w:rsidRDefault="00D80286" w:rsidP="00D80286">
            <w:pPr>
              <w:spacing w:after="0" w:line="240" w:lineRule="auto"/>
              <w:ind w:firstLineChars="100" w:firstLine="200"/>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2</w:t>
            </w:r>
          </w:p>
        </w:tc>
        <w:tc>
          <w:tcPr>
            <w:tcW w:w="940" w:type="dxa"/>
            <w:tcBorders>
              <w:top w:val="nil"/>
              <w:left w:val="nil"/>
              <w:bottom w:val="single" w:sz="4" w:space="0" w:color="auto"/>
              <w:right w:val="single" w:sz="4" w:space="0" w:color="auto"/>
            </w:tcBorders>
            <w:shd w:val="clear" w:color="auto" w:fill="auto"/>
            <w:noWrap/>
            <w:vAlign w:val="bottom"/>
            <w:hideMark/>
          </w:tcPr>
          <w:p w14:paraId="3D31B07B"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58 495</w:t>
            </w:r>
          </w:p>
        </w:tc>
        <w:tc>
          <w:tcPr>
            <w:tcW w:w="980" w:type="dxa"/>
            <w:tcBorders>
              <w:top w:val="nil"/>
              <w:left w:val="nil"/>
              <w:bottom w:val="single" w:sz="4" w:space="0" w:color="auto"/>
              <w:right w:val="single" w:sz="4" w:space="0" w:color="auto"/>
            </w:tcBorders>
            <w:shd w:val="clear" w:color="auto" w:fill="auto"/>
            <w:noWrap/>
            <w:vAlign w:val="bottom"/>
            <w:hideMark/>
          </w:tcPr>
          <w:p w14:paraId="364C2A10"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1,9</w:t>
            </w:r>
          </w:p>
        </w:tc>
      </w:tr>
      <w:tr w:rsidR="00D80286" w:rsidRPr="007F78CE" w14:paraId="12725681" w14:textId="77777777" w:rsidTr="00D80286">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644C072F" w14:textId="77777777" w:rsidR="00D80286" w:rsidRPr="00D80286" w:rsidRDefault="00D80286" w:rsidP="00D80286">
            <w:pPr>
              <w:spacing w:after="0" w:line="240" w:lineRule="auto"/>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Ihorombe</w:t>
            </w:r>
          </w:p>
        </w:tc>
        <w:tc>
          <w:tcPr>
            <w:tcW w:w="1200" w:type="dxa"/>
            <w:tcBorders>
              <w:top w:val="nil"/>
              <w:left w:val="nil"/>
              <w:bottom w:val="single" w:sz="4" w:space="0" w:color="auto"/>
              <w:right w:val="single" w:sz="4" w:space="0" w:color="auto"/>
            </w:tcBorders>
            <w:shd w:val="clear" w:color="auto" w:fill="auto"/>
            <w:vAlign w:val="center"/>
            <w:hideMark/>
          </w:tcPr>
          <w:p w14:paraId="53BC8F15"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105 978</w:t>
            </w:r>
          </w:p>
        </w:tc>
        <w:tc>
          <w:tcPr>
            <w:tcW w:w="860" w:type="dxa"/>
            <w:tcBorders>
              <w:top w:val="nil"/>
              <w:left w:val="nil"/>
              <w:bottom w:val="single" w:sz="4" w:space="0" w:color="auto"/>
              <w:right w:val="single" w:sz="4" w:space="0" w:color="auto"/>
            </w:tcBorders>
            <w:shd w:val="clear" w:color="auto" w:fill="auto"/>
            <w:vAlign w:val="center"/>
            <w:hideMark/>
          </w:tcPr>
          <w:p w14:paraId="03C9FFE2"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3,6</w:t>
            </w:r>
          </w:p>
        </w:tc>
        <w:tc>
          <w:tcPr>
            <w:tcW w:w="1200" w:type="dxa"/>
            <w:tcBorders>
              <w:top w:val="nil"/>
              <w:left w:val="nil"/>
              <w:bottom w:val="single" w:sz="4" w:space="0" w:color="auto"/>
              <w:right w:val="single" w:sz="4" w:space="0" w:color="auto"/>
            </w:tcBorders>
            <w:shd w:val="clear" w:color="auto" w:fill="auto"/>
            <w:vAlign w:val="center"/>
            <w:hideMark/>
          </w:tcPr>
          <w:p w14:paraId="776A401D"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4 340</w:t>
            </w:r>
          </w:p>
        </w:tc>
        <w:tc>
          <w:tcPr>
            <w:tcW w:w="760" w:type="dxa"/>
            <w:tcBorders>
              <w:top w:val="nil"/>
              <w:left w:val="nil"/>
              <w:bottom w:val="single" w:sz="4" w:space="0" w:color="auto"/>
              <w:right w:val="single" w:sz="4" w:space="0" w:color="auto"/>
            </w:tcBorders>
            <w:shd w:val="clear" w:color="auto" w:fill="auto"/>
            <w:vAlign w:val="center"/>
            <w:hideMark/>
          </w:tcPr>
          <w:p w14:paraId="422A8F85" w14:textId="77777777" w:rsidR="00D80286" w:rsidRPr="00D80286" w:rsidRDefault="00D80286" w:rsidP="00D80286">
            <w:pPr>
              <w:spacing w:after="0" w:line="240" w:lineRule="auto"/>
              <w:ind w:firstLineChars="100" w:firstLine="200"/>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3</w:t>
            </w:r>
          </w:p>
        </w:tc>
        <w:tc>
          <w:tcPr>
            <w:tcW w:w="940" w:type="dxa"/>
            <w:tcBorders>
              <w:top w:val="nil"/>
              <w:left w:val="nil"/>
              <w:bottom w:val="single" w:sz="4" w:space="0" w:color="auto"/>
              <w:right w:val="single" w:sz="4" w:space="0" w:color="auto"/>
            </w:tcBorders>
            <w:shd w:val="clear" w:color="auto" w:fill="auto"/>
            <w:noWrap/>
            <w:vAlign w:val="bottom"/>
            <w:hideMark/>
          </w:tcPr>
          <w:p w14:paraId="75D0CC3C"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110 318</w:t>
            </w:r>
          </w:p>
        </w:tc>
        <w:tc>
          <w:tcPr>
            <w:tcW w:w="980" w:type="dxa"/>
            <w:tcBorders>
              <w:top w:val="nil"/>
              <w:left w:val="nil"/>
              <w:bottom w:val="single" w:sz="4" w:space="0" w:color="auto"/>
              <w:right w:val="single" w:sz="4" w:space="0" w:color="auto"/>
            </w:tcBorders>
            <w:shd w:val="clear" w:color="auto" w:fill="auto"/>
            <w:noWrap/>
            <w:vAlign w:val="bottom"/>
            <w:hideMark/>
          </w:tcPr>
          <w:p w14:paraId="663821B7"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3,6</w:t>
            </w:r>
          </w:p>
        </w:tc>
      </w:tr>
      <w:tr w:rsidR="00D80286" w:rsidRPr="007F78CE" w14:paraId="231C173E" w14:textId="77777777" w:rsidTr="00D80286">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476D515A" w14:textId="77777777" w:rsidR="00D80286" w:rsidRPr="00D80286" w:rsidRDefault="00D80286" w:rsidP="00D80286">
            <w:pPr>
              <w:spacing w:after="0" w:line="240" w:lineRule="auto"/>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Atsimo Atsinanana</w:t>
            </w:r>
          </w:p>
        </w:tc>
        <w:tc>
          <w:tcPr>
            <w:tcW w:w="1200" w:type="dxa"/>
            <w:tcBorders>
              <w:top w:val="nil"/>
              <w:left w:val="nil"/>
              <w:bottom w:val="single" w:sz="4" w:space="0" w:color="auto"/>
              <w:right w:val="single" w:sz="4" w:space="0" w:color="auto"/>
            </w:tcBorders>
            <w:shd w:val="clear" w:color="auto" w:fill="auto"/>
            <w:vAlign w:val="center"/>
            <w:hideMark/>
          </w:tcPr>
          <w:p w14:paraId="47D6D644"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29 604</w:t>
            </w:r>
          </w:p>
        </w:tc>
        <w:tc>
          <w:tcPr>
            <w:tcW w:w="860" w:type="dxa"/>
            <w:tcBorders>
              <w:top w:val="nil"/>
              <w:left w:val="nil"/>
              <w:bottom w:val="single" w:sz="4" w:space="0" w:color="auto"/>
              <w:right w:val="single" w:sz="4" w:space="0" w:color="auto"/>
            </w:tcBorders>
            <w:shd w:val="clear" w:color="auto" w:fill="auto"/>
            <w:vAlign w:val="center"/>
            <w:hideMark/>
          </w:tcPr>
          <w:p w14:paraId="17E6D01D"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1</w:t>
            </w:r>
          </w:p>
        </w:tc>
        <w:tc>
          <w:tcPr>
            <w:tcW w:w="1200" w:type="dxa"/>
            <w:tcBorders>
              <w:top w:val="nil"/>
              <w:left w:val="nil"/>
              <w:bottom w:val="single" w:sz="4" w:space="0" w:color="auto"/>
              <w:right w:val="single" w:sz="4" w:space="0" w:color="auto"/>
            </w:tcBorders>
            <w:shd w:val="clear" w:color="auto" w:fill="auto"/>
            <w:vAlign w:val="center"/>
            <w:hideMark/>
          </w:tcPr>
          <w:p w14:paraId="0CCAA11C"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1 382</w:t>
            </w:r>
          </w:p>
        </w:tc>
        <w:tc>
          <w:tcPr>
            <w:tcW w:w="760" w:type="dxa"/>
            <w:tcBorders>
              <w:top w:val="nil"/>
              <w:left w:val="nil"/>
              <w:bottom w:val="single" w:sz="4" w:space="0" w:color="auto"/>
              <w:right w:val="single" w:sz="4" w:space="0" w:color="auto"/>
            </w:tcBorders>
            <w:shd w:val="clear" w:color="auto" w:fill="auto"/>
            <w:vAlign w:val="center"/>
            <w:hideMark/>
          </w:tcPr>
          <w:p w14:paraId="549367F7" w14:textId="77777777" w:rsidR="00D80286" w:rsidRPr="00D80286" w:rsidRDefault="00D80286" w:rsidP="00D80286">
            <w:pPr>
              <w:spacing w:after="0" w:line="240" w:lineRule="auto"/>
              <w:ind w:firstLineChars="100" w:firstLine="200"/>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1</w:t>
            </w:r>
          </w:p>
        </w:tc>
        <w:tc>
          <w:tcPr>
            <w:tcW w:w="940" w:type="dxa"/>
            <w:tcBorders>
              <w:top w:val="nil"/>
              <w:left w:val="nil"/>
              <w:bottom w:val="single" w:sz="4" w:space="0" w:color="auto"/>
              <w:right w:val="single" w:sz="4" w:space="0" w:color="auto"/>
            </w:tcBorders>
            <w:shd w:val="clear" w:color="auto" w:fill="auto"/>
            <w:noWrap/>
            <w:vAlign w:val="bottom"/>
            <w:hideMark/>
          </w:tcPr>
          <w:p w14:paraId="360862CC"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30 986</w:t>
            </w:r>
          </w:p>
        </w:tc>
        <w:tc>
          <w:tcPr>
            <w:tcW w:w="980" w:type="dxa"/>
            <w:tcBorders>
              <w:top w:val="nil"/>
              <w:left w:val="nil"/>
              <w:bottom w:val="single" w:sz="4" w:space="0" w:color="auto"/>
              <w:right w:val="single" w:sz="4" w:space="0" w:color="auto"/>
            </w:tcBorders>
            <w:shd w:val="clear" w:color="auto" w:fill="auto"/>
            <w:noWrap/>
            <w:vAlign w:val="bottom"/>
            <w:hideMark/>
          </w:tcPr>
          <w:p w14:paraId="7AC2ED72"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1,0</w:t>
            </w:r>
          </w:p>
        </w:tc>
      </w:tr>
      <w:tr w:rsidR="00D80286" w:rsidRPr="007F78CE" w14:paraId="3E517A17" w14:textId="77777777" w:rsidTr="00D80286">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07B45D80" w14:textId="77777777" w:rsidR="00D80286" w:rsidRPr="00D80286" w:rsidRDefault="00D80286" w:rsidP="00D80286">
            <w:pPr>
              <w:spacing w:after="0" w:line="240" w:lineRule="auto"/>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Atsinanana</w:t>
            </w:r>
          </w:p>
        </w:tc>
        <w:tc>
          <w:tcPr>
            <w:tcW w:w="1200" w:type="dxa"/>
            <w:tcBorders>
              <w:top w:val="nil"/>
              <w:left w:val="nil"/>
              <w:bottom w:val="single" w:sz="4" w:space="0" w:color="auto"/>
              <w:right w:val="single" w:sz="4" w:space="0" w:color="auto"/>
            </w:tcBorders>
            <w:shd w:val="clear" w:color="auto" w:fill="auto"/>
            <w:vAlign w:val="center"/>
            <w:hideMark/>
          </w:tcPr>
          <w:p w14:paraId="2D739EEA"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206 950</w:t>
            </w:r>
          </w:p>
        </w:tc>
        <w:tc>
          <w:tcPr>
            <w:tcW w:w="860" w:type="dxa"/>
            <w:tcBorders>
              <w:top w:val="nil"/>
              <w:left w:val="nil"/>
              <w:bottom w:val="single" w:sz="4" w:space="0" w:color="auto"/>
              <w:right w:val="single" w:sz="4" w:space="0" w:color="auto"/>
            </w:tcBorders>
            <w:shd w:val="clear" w:color="auto" w:fill="auto"/>
            <w:vAlign w:val="center"/>
            <w:hideMark/>
          </w:tcPr>
          <w:p w14:paraId="47A43F50"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7</w:t>
            </w:r>
          </w:p>
        </w:tc>
        <w:tc>
          <w:tcPr>
            <w:tcW w:w="1200" w:type="dxa"/>
            <w:tcBorders>
              <w:top w:val="nil"/>
              <w:left w:val="nil"/>
              <w:bottom w:val="single" w:sz="4" w:space="0" w:color="auto"/>
              <w:right w:val="single" w:sz="4" w:space="0" w:color="auto"/>
            </w:tcBorders>
            <w:shd w:val="clear" w:color="auto" w:fill="auto"/>
            <w:vAlign w:val="center"/>
            <w:hideMark/>
          </w:tcPr>
          <w:p w14:paraId="031DC4C5"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11 404</w:t>
            </w:r>
          </w:p>
        </w:tc>
        <w:tc>
          <w:tcPr>
            <w:tcW w:w="760" w:type="dxa"/>
            <w:tcBorders>
              <w:top w:val="nil"/>
              <w:left w:val="nil"/>
              <w:bottom w:val="single" w:sz="4" w:space="0" w:color="auto"/>
              <w:right w:val="single" w:sz="4" w:space="0" w:color="auto"/>
            </w:tcBorders>
            <w:shd w:val="clear" w:color="auto" w:fill="auto"/>
            <w:vAlign w:val="center"/>
            <w:hideMark/>
          </w:tcPr>
          <w:p w14:paraId="281271D7" w14:textId="77777777" w:rsidR="00D80286" w:rsidRPr="00D80286" w:rsidRDefault="00D80286" w:rsidP="00D80286">
            <w:pPr>
              <w:spacing w:after="0" w:line="240" w:lineRule="auto"/>
              <w:ind w:firstLineChars="100" w:firstLine="200"/>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7,9</w:t>
            </w:r>
          </w:p>
        </w:tc>
        <w:tc>
          <w:tcPr>
            <w:tcW w:w="940" w:type="dxa"/>
            <w:tcBorders>
              <w:top w:val="nil"/>
              <w:left w:val="nil"/>
              <w:bottom w:val="single" w:sz="4" w:space="0" w:color="auto"/>
              <w:right w:val="single" w:sz="4" w:space="0" w:color="auto"/>
            </w:tcBorders>
            <w:shd w:val="clear" w:color="auto" w:fill="auto"/>
            <w:noWrap/>
            <w:vAlign w:val="bottom"/>
            <w:hideMark/>
          </w:tcPr>
          <w:p w14:paraId="66A60864"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218 354</w:t>
            </w:r>
          </w:p>
        </w:tc>
        <w:tc>
          <w:tcPr>
            <w:tcW w:w="980" w:type="dxa"/>
            <w:tcBorders>
              <w:top w:val="nil"/>
              <w:left w:val="nil"/>
              <w:bottom w:val="single" w:sz="4" w:space="0" w:color="auto"/>
              <w:right w:val="single" w:sz="4" w:space="0" w:color="auto"/>
            </w:tcBorders>
            <w:shd w:val="clear" w:color="auto" w:fill="auto"/>
            <w:noWrap/>
            <w:vAlign w:val="bottom"/>
            <w:hideMark/>
          </w:tcPr>
          <w:p w14:paraId="0A9CD985"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7,0</w:t>
            </w:r>
          </w:p>
        </w:tc>
      </w:tr>
      <w:tr w:rsidR="00D80286" w:rsidRPr="007F78CE" w14:paraId="6D0C4132" w14:textId="77777777" w:rsidTr="00D80286">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56C595BA" w14:textId="77777777" w:rsidR="00D80286" w:rsidRPr="00D80286" w:rsidRDefault="00D80286" w:rsidP="00D80286">
            <w:pPr>
              <w:spacing w:after="0" w:line="240" w:lineRule="auto"/>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Analanjirofo</w:t>
            </w:r>
          </w:p>
        </w:tc>
        <w:tc>
          <w:tcPr>
            <w:tcW w:w="1200" w:type="dxa"/>
            <w:tcBorders>
              <w:top w:val="nil"/>
              <w:left w:val="nil"/>
              <w:bottom w:val="single" w:sz="4" w:space="0" w:color="auto"/>
              <w:right w:val="single" w:sz="4" w:space="0" w:color="auto"/>
            </w:tcBorders>
            <w:shd w:val="clear" w:color="auto" w:fill="auto"/>
            <w:vAlign w:val="center"/>
            <w:hideMark/>
          </w:tcPr>
          <w:p w14:paraId="750DE472"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51 306</w:t>
            </w:r>
          </w:p>
        </w:tc>
        <w:tc>
          <w:tcPr>
            <w:tcW w:w="860" w:type="dxa"/>
            <w:tcBorders>
              <w:top w:val="nil"/>
              <w:left w:val="nil"/>
              <w:bottom w:val="single" w:sz="4" w:space="0" w:color="auto"/>
              <w:right w:val="single" w:sz="4" w:space="0" w:color="auto"/>
            </w:tcBorders>
            <w:shd w:val="clear" w:color="auto" w:fill="auto"/>
            <w:vAlign w:val="center"/>
            <w:hideMark/>
          </w:tcPr>
          <w:p w14:paraId="3101EE7D"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1,7</w:t>
            </w:r>
          </w:p>
        </w:tc>
        <w:tc>
          <w:tcPr>
            <w:tcW w:w="1200" w:type="dxa"/>
            <w:tcBorders>
              <w:top w:val="nil"/>
              <w:left w:val="nil"/>
              <w:bottom w:val="single" w:sz="4" w:space="0" w:color="auto"/>
              <w:right w:val="single" w:sz="4" w:space="0" w:color="auto"/>
            </w:tcBorders>
            <w:shd w:val="clear" w:color="auto" w:fill="auto"/>
            <w:vAlign w:val="center"/>
            <w:hideMark/>
          </w:tcPr>
          <w:p w14:paraId="3226FBAA"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3 975</w:t>
            </w:r>
          </w:p>
        </w:tc>
        <w:tc>
          <w:tcPr>
            <w:tcW w:w="760" w:type="dxa"/>
            <w:tcBorders>
              <w:top w:val="nil"/>
              <w:left w:val="nil"/>
              <w:bottom w:val="single" w:sz="4" w:space="0" w:color="auto"/>
              <w:right w:val="single" w:sz="4" w:space="0" w:color="auto"/>
            </w:tcBorders>
            <w:shd w:val="clear" w:color="auto" w:fill="auto"/>
            <w:vAlign w:val="center"/>
            <w:hideMark/>
          </w:tcPr>
          <w:p w14:paraId="1C9182D3" w14:textId="77777777" w:rsidR="00D80286" w:rsidRPr="00D80286" w:rsidRDefault="00D80286" w:rsidP="00D80286">
            <w:pPr>
              <w:spacing w:after="0" w:line="240" w:lineRule="auto"/>
              <w:ind w:firstLineChars="100" w:firstLine="200"/>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2,8</w:t>
            </w:r>
          </w:p>
        </w:tc>
        <w:tc>
          <w:tcPr>
            <w:tcW w:w="940" w:type="dxa"/>
            <w:tcBorders>
              <w:top w:val="nil"/>
              <w:left w:val="nil"/>
              <w:bottom w:val="single" w:sz="4" w:space="0" w:color="auto"/>
              <w:right w:val="single" w:sz="4" w:space="0" w:color="auto"/>
            </w:tcBorders>
            <w:shd w:val="clear" w:color="auto" w:fill="auto"/>
            <w:noWrap/>
            <w:vAlign w:val="bottom"/>
            <w:hideMark/>
          </w:tcPr>
          <w:p w14:paraId="155498DE"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55 281</w:t>
            </w:r>
          </w:p>
        </w:tc>
        <w:tc>
          <w:tcPr>
            <w:tcW w:w="980" w:type="dxa"/>
            <w:tcBorders>
              <w:top w:val="nil"/>
              <w:left w:val="nil"/>
              <w:bottom w:val="single" w:sz="4" w:space="0" w:color="auto"/>
              <w:right w:val="single" w:sz="4" w:space="0" w:color="auto"/>
            </w:tcBorders>
            <w:shd w:val="clear" w:color="auto" w:fill="auto"/>
            <w:noWrap/>
            <w:vAlign w:val="bottom"/>
            <w:hideMark/>
          </w:tcPr>
          <w:p w14:paraId="697949AC"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1,8</w:t>
            </w:r>
          </w:p>
        </w:tc>
      </w:tr>
      <w:tr w:rsidR="00D80286" w:rsidRPr="007F78CE" w14:paraId="262EB2BA" w14:textId="77777777" w:rsidTr="00D80286">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0A2E02B8" w14:textId="77777777" w:rsidR="00D80286" w:rsidRPr="00D80286" w:rsidRDefault="00D80286" w:rsidP="00D80286">
            <w:pPr>
              <w:spacing w:after="0" w:line="240" w:lineRule="auto"/>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Alaotra Mangoro</w:t>
            </w:r>
          </w:p>
        </w:tc>
        <w:tc>
          <w:tcPr>
            <w:tcW w:w="1200" w:type="dxa"/>
            <w:tcBorders>
              <w:top w:val="nil"/>
              <w:left w:val="nil"/>
              <w:bottom w:val="single" w:sz="4" w:space="0" w:color="auto"/>
              <w:right w:val="single" w:sz="4" w:space="0" w:color="auto"/>
            </w:tcBorders>
            <w:shd w:val="clear" w:color="auto" w:fill="auto"/>
            <w:vAlign w:val="center"/>
            <w:hideMark/>
          </w:tcPr>
          <w:p w14:paraId="222B0185"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136 344</w:t>
            </w:r>
          </w:p>
        </w:tc>
        <w:tc>
          <w:tcPr>
            <w:tcW w:w="860" w:type="dxa"/>
            <w:tcBorders>
              <w:top w:val="nil"/>
              <w:left w:val="nil"/>
              <w:bottom w:val="single" w:sz="4" w:space="0" w:color="auto"/>
              <w:right w:val="single" w:sz="4" w:space="0" w:color="auto"/>
            </w:tcBorders>
            <w:shd w:val="clear" w:color="auto" w:fill="auto"/>
            <w:vAlign w:val="center"/>
            <w:hideMark/>
          </w:tcPr>
          <w:p w14:paraId="66E61964"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4,6</w:t>
            </w:r>
          </w:p>
        </w:tc>
        <w:tc>
          <w:tcPr>
            <w:tcW w:w="1200" w:type="dxa"/>
            <w:tcBorders>
              <w:top w:val="nil"/>
              <w:left w:val="nil"/>
              <w:bottom w:val="single" w:sz="4" w:space="0" w:color="auto"/>
              <w:right w:val="single" w:sz="4" w:space="0" w:color="auto"/>
            </w:tcBorders>
            <w:shd w:val="clear" w:color="auto" w:fill="auto"/>
            <w:vAlign w:val="center"/>
            <w:hideMark/>
          </w:tcPr>
          <w:p w14:paraId="2468F582"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4 311</w:t>
            </w:r>
          </w:p>
        </w:tc>
        <w:tc>
          <w:tcPr>
            <w:tcW w:w="760" w:type="dxa"/>
            <w:tcBorders>
              <w:top w:val="nil"/>
              <w:left w:val="nil"/>
              <w:bottom w:val="single" w:sz="4" w:space="0" w:color="auto"/>
              <w:right w:val="single" w:sz="4" w:space="0" w:color="auto"/>
            </w:tcBorders>
            <w:shd w:val="clear" w:color="auto" w:fill="auto"/>
            <w:vAlign w:val="center"/>
            <w:hideMark/>
          </w:tcPr>
          <w:p w14:paraId="699F5072" w14:textId="77777777" w:rsidR="00D80286" w:rsidRPr="00D80286" w:rsidRDefault="00D80286" w:rsidP="00D80286">
            <w:pPr>
              <w:spacing w:after="0" w:line="240" w:lineRule="auto"/>
              <w:ind w:firstLineChars="100" w:firstLine="200"/>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3</w:t>
            </w:r>
          </w:p>
        </w:tc>
        <w:tc>
          <w:tcPr>
            <w:tcW w:w="940" w:type="dxa"/>
            <w:tcBorders>
              <w:top w:val="nil"/>
              <w:left w:val="nil"/>
              <w:bottom w:val="single" w:sz="4" w:space="0" w:color="auto"/>
              <w:right w:val="single" w:sz="4" w:space="0" w:color="auto"/>
            </w:tcBorders>
            <w:shd w:val="clear" w:color="auto" w:fill="auto"/>
            <w:noWrap/>
            <w:vAlign w:val="bottom"/>
            <w:hideMark/>
          </w:tcPr>
          <w:p w14:paraId="1FDE058D"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140 655</w:t>
            </w:r>
          </w:p>
        </w:tc>
        <w:tc>
          <w:tcPr>
            <w:tcW w:w="980" w:type="dxa"/>
            <w:tcBorders>
              <w:top w:val="nil"/>
              <w:left w:val="nil"/>
              <w:bottom w:val="single" w:sz="4" w:space="0" w:color="auto"/>
              <w:right w:val="single" w:sz="4" w:space="0" w:color="auto"/>
            </w:tcBorders>
            <w:shd w:val="clear" w:color="auto" w:fill="auto"/>
            <w:noWrap/>
            <w:vAlign w:val="bottom"/>
            <w:hideMark/>
          </w:tcPr>
          <w:p w14:paraId="2387A76C"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4,5</w:t>
            </w:r>
          </w:p>
        </w:tc>
      </w:tr>
      <w:tr w:rsidR="00D80286" w:rsidRPr="007F78CE" w14:paraId="0A6CE404" w14:textId="77777777" w:rsidTr="00D80286">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688B50E6" w14:textId="77777777" w:rsidR="00D80286" w:rsidRPr="00D80286" w:rsidRDefault="00D80286" w:rsidP="00D80286">
            <w:pPr>
              <w:spacing w:after="0" w:line="240" w:lineRule="auto"/>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Boeny</w:t>
            </w:r>
          </w:p>
        </w:tc>
        <w:tc>
          <w:tcPr>
            <w:tcW w:w="1200" w:type="dxa"/>
            <w:tcBorders>
              <w:top w:val="nil"/>
              <w:left w:val="nil"/>
              <w:bottom w:val="single" w:sz="4" w:space="0" w:color="auto"/>
              <w:right w:val="single" w:sz="4" w:space="0" w:color="auto"/>
            </w:tcBorders>
            <w:shd w:val="clear" w:color="auto" w:fill="auto"/>
            <w:vAlign w:val="center"/>
            <w:hideMark/>
          </w:tcPr>
          <w:p w14:paraId="43AB84C3"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227 037</w:t>
            </w:r>
          </w:p>
        </w:tc>
        <w:tc>
          <w:tcPr>
            <w:tcW w:w="860" w:type="dxa"/>
            <w:tcBorders>
              <w:top w:val="nil"/>
              <w:left w:val="nil"/>
              <w:bottom w:val="single" w:sz="4" w:space="0" w:color="auto"/>
              <w:right w:val="single" w:sz="4" w:space="0" w:color="auto"/>
            </w:tcBorders>
            <w:shd w:val="clear" w:color="auto" w:fill="auto"/>
            <w:vAlign w:val="center"/>
            <w:hideMark/>
          </w:tcPr>
          <w:p w14:paraId="2610F453"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7,7</w:t>
            </w:r>
          </w:p>
        </w:tc>
        <w:tc>
          <w:tcPr>
            <w:tcW w:w="1200" w:type="dxa"/>
            <w:tcBorders>
              <w:top w:val="nil"/>
              <w:left w:val="nil"/>
              <w:bottom w:val="single" w:sz="4" w:space="0" w:color="auto"/>
              <w:right w:val="single" w:sz="4" w:space="0" w:color="auto"/>
            </w:tcBorders>
            <w:shd w:val="clear" w:color="auto" w:fill="auto"/>
            <w:vAlign w:val="center"/>
            <w:hideMark/>
          </w:tcPr>
          <w:p w14:paraId="7379D291"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9 236</w:t>
            </w:r>
          </w:p>
        </w:tc>
        <w:tc>
          <w:tcPr>
            <w:tcW w:w="760" w:type="dxa"/>
            <w:tcBorders>
              <w:top w:val="nil"/>
              <w:left w:val="nil"/>
              <w:bottom w:val="single" w:sz="4" w:space="0" w:color="auto"/>
              <w:right w:val="single" w:sz="4" w:space="0" w:color="auto"/>
            </w:tcBorders>
            <w:shd w:val="clear" w:color="auto" w:fill="auto"/>
            <w:vAlign w:val="center"/>
            <w:hideMark/>
          </w:tcPr>
          <w:p w14:paraId="238FEA48" w14:textId="77777777" w:rsidR="00D80286" w:rsidRPr="00D80286" w:rsidRDefault="00D80286" w:rsidP="00D80286">
            <w:pPr>
              <w:spacing w:after="0" w:line="240" w:lineRule="auto"/>
              <w:ind w:firstLineChars="100" w:firstLine="200"/>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6,4</w:t>
            </w:r>
          </w:p>
        </w:tc>
        <w:tc>
          <w:tcPr>
            <w:tcW w:w="940" w:type="dxa"/>
            <w:tcBorders>
              <w:top w:val="nil"/>
              <w:left w:val="nil"/>
              <w:bottom w:val="single" w:sz="4" w:space="0" w:color="auto"/>
              <w:right w:val="single" w:sz="4" w:space="0" w:color="auto"/>
            </w:tcBorders>
            <w:shd w:val="clear" w:color="auto" w:fill="auto"/>
            <w:noWrap/>
            <w:vAlign w:val="bottom"/>
            <w:hideMark/>
          </w:tcPr>
          <w:p w14:paraId="631B8B52"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236 273</w:t>
            </w:r>
          </w:p>
        </w:tc>
        <w:tc>
          <w:tcPr>
            <w:tcW w:w="980" w:type="dxa"/>
            <w:tcBorders>
              <w:top w:val="nil"/>
              <w:left w:val="nil"/>
              <w:bottom w:val="single" w:sz="4" w:space="0" w:color="auto"/>
              <w:right w:val="single" w:sz="4" w:space="0" w:color="auto"/>
            </w:tcBorders>
            <w:shd w:val="clear" w:color="auto" w:fill="auto"/>
            <w:noWrap/>
            <w:vAlign w:val="bottom"/>
            <w:hideMark/>
          </w:tcPr>
          <w:p w14:paraId="32BCA75A"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7,6</w:t>
            </w:r>
          </w:p>
        </w:tc>
      </w:tr>
      <w:tr w:rsidR="00D80286" w:rsidRPr="007F78CE" w14:paraId="168E871D" w14:textId="77777777" w:rsidTr="00D80286">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0E742966" w14:textId="77777777" w:rsidR="00D80286" w:rsidRPr="00D80286" w:rsidRDefault="00D80286" w:rsidP="00D80286">
            <w:pPr>
              <w:spacing w:after="0" w:line="240" w:lineRule="auto"/>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Sofia</w:t>
            </w:r>
          </w:p>
        </w:tc>
        <w:tc>
          <w:tcPr>
            <w:tcW w:w="1200" w:type="dxa"/>
            <w:tcBorders>
              <w:top w:val="nil"/>
              <w:left w:val="nil"/>
              <w:bottom w:val="single" w:sz="4" w:space="0" w:color="auto"/>
              <w:right w:val="single" w:sz="4" w:space="0" w:color="auto"/>
            </w:tcBorders>
            <w:shd w:val="clear" w:color="auto" w:fill="auto"/>
            <w:vAlign w:val="center"/>
            <w:hideMark/>
          </w:tcPr>
          <w:p w14:paraId="1964ED86"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71 566</w:t>
            </w:r>
          </w:p>
        </w:tc>
        <w:tc>
          <w:tcPr>
            <w:tcW w:w="860" w:type="dxa"/>
            <w:tcBorders>
              <w:top w:val="nil"/>
              <w:left w:val="nil"/>
              <w:bottom w:val="single" w:sz="4" w:space="0" w:color="auto"/>
              <w:right w:val="single" w:sz="4" w:space="0" w:color="auto"/>
            </w:tcBorders>
            <w:shd w:val="clear" w:color="auto" w:fill="auto"/>
            <w:vAlign w:val="center"/>
            <w:hideMark/>
          </w:tcPr>
          <w:p w14:paraId="4FF8DB63"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2,4</w:t>
            </w:r>
          </w:p>
        </w:tc>
        <w:tc>
          <w:tcPr>
            <w:tcW w:w="1200" w:type="dxa"/>
            <w:tcBorders>
              <w:top w:val="nil"/>
              <w:left w:val="nil"/>
              <w:bottom w:val="single" w:sz="4" w:space="0" w:color="auto"/>
              <w:right w:val="single" w:sz="4" w:space="0" w:color="auto"/>
            </w:tcBorders>
            <w:shd w:val="clear" w:color="auto" w:fill="auto"/>
            <w:vAlign w:val="center"/>
            <w:hideMark/>
          </w:tcPr>
          <w:p w14:paraId="1905372A"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4 097</w:t>
            </w:r>
          </w:p>
        </w:tc>
        <w:tc>
          <w:tcPr>
            <w:tcW w:w="760" w:type="dxa"/>
            <w:tcBorders>
              <w:top w:val="nil"/>
              <w:left w:val="nil"/>
              <w:bottom w:val="single" w:sz="4" w:space="0" w:color="auto"/>
              <w:right w:val="single" w:sz="4" w:space="0" w:color="auto"/>
            </w:tcBorders>
            <w:shd w:val="clear" w:color="auto" w:fill="auto"/>
            <w:vAlign w:val="center"/>
            <w:hideMark/>
          </w:tcPr>
          <w:p w14:paraId="782203B2" w14:textId="77777777" w:rsidR="00D80286" w:rsidRPr="00D80286" w:rsidRDefault="00D80286" w:rsidP="00D80286">
            <w:pPr>
              <w:spacing w:after="0" w:line="240" w:lineRule="auto"/>
              <w:ind w:firstLineChars="100" w:firstLine="200"/>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2,8</w:t>
            </w:r>
          </w:p>
        </w:tc>
        <w:tc>
          <w:tcPr>
            <w:tcW w:w="940" w:type="dxa"/>
            <w:tcBorders>
              <w:top w:val="nil"/>
              <w:left w:val="nil"/>
              <w:bottom w:val="single" w:sz="4" w:space="0" w:color="auto"/>
              <w:right w:val="single" w:sz="4" w:space="0" w:color="auto"/>
            </w:tcBorders>
            <w:shd w:val="clear" w:color="auto" w:fill="auto"/>
            <w:noWrap/>
            <w:vAlign w:val="bottom"/>
            <w:hideMark/>
          </w:tcPr>
          <w:p w14:paraId="4BF4C1C5"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75 663</w:t>
            </w:r>
          </w:p>
        </w:tc>
        <w:tc>
          <w:tcPr>
            <w:tcW w:w="980" w:type="dxa"/>
            <w:tcBorders>
              <w:top w:val="nil"/>
              <w:left w:val="nil"/>
              <w:bottom w:val="single" w:sz="4" w:space="0" w:color="auto"/>
              <w:right w:val="single" w:sz="4" w:space="0" w:color="auto"/>
            </w:tcBorders>
            <w:shd w:val="clear" w:color="auto" w:fill="auto"/>
            <w:noWrap/>
            <w:vAlign w:val="bottom"/>
            <w:hideMark/>
          </w:tcPr>
          <w:p w14:paraId="07BA7105"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2,4</w:t>
            </w:r>
          </w:p>
        </w:tc>
      </w:tr>
      <w:tr w:rsidR="00D80286" w:rsidRPr="007F78CE" w14:paraId="2047D516" w14:textId="77777777" w:rsidTr="00D80286">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74E22325" w14:textId="77777777" w:rsidR="00D80286" w:rsidRPr="00D80286" w:rsidRDefault="00D80286" w:rsidP="00D80286">
            <w:pPr>
              <w:spacing w:after="0" w:line="240" w:lineRule="auto"/>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lastRenderedPageBreak/>
              <w:t>Betsiboka</w:t>
            </w:r>
          </w:p>
        </w:tc>
        <w:tc>
          <w:tcPr>
            <w:tcW w:w="1200" w:type="dxa"/>
            <w:tcBorders>
              <w:top w:val="nil"/>
              <w:left w:val="nil"/>
              <w:bottom w:val="single" w:sz="4" w:space="0" w:color="auto"/>
              <w:right w:val="single" w:sz="4" w:space="0" w:color="auto"/>
            </w:tcBorders>
            <w:shd w:val="clear" w:color="auto" w:fill="auto"/>
            <w:vAlign w:val="center"/>
            <w:hideMark/>
          </w:tcPr>
          <w:p w14:paraId="226B4AD0"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68 013</w:t>
            </w:r>
          </w:p>
        </w:tc>
        <w:tc>
          <w:tcPr>
            <w:tcW w:w="860" w:type="dxa"/>
            <w:tcBorders>
              <w:top w:val="nil"/>
              <w:left w:val="nil"/>
              <w:bottom w:val="single" w:sz="4" w:space="0" w:color="auto"/>
              <w:right w:val="single" w:sz="4" w:space="0" w:color="auto"/>
            </w:tcBorders>
            <w:shd w:val="clear" w:color="auto" w:fill="auto"/>
            <w:vAlign w:val="center"/>
            <w:hideMark/>
          </w:tcPr>
          <w:p w14:paraId="0921D785"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2,3</w:t>
            </w:r>
          </w:p>
        </w:tc>
        <w:tc>
          <w:tcPr>
            <w:tcW w:w="1200" w:type="dxa"/>
            <w:tcBorders>
              <w:top w:val="nil"/>
              <w:left w:val="nil"/>
              <w:bottom w:val="single" w:sz="4" w:space="0" w:color="auto"/>
              <w:right w:val="single" w:sz="4" w:space="0" w:color="auto"/>
            </w:tcBorders>
            <w:shd w:val="clear" w:color="auto" w:fill="auto"/>
            <w:vAlign w:val="center"/>
            <w:hideMark/>
          </w:tcPr>
          <w:p w14:paraId="7255C781"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2 362</w:t>
            </w:r>
          </w:p>
        </w:tc>
        <w:tc>
          <w:tcPr>
            <w:tcW w:w="760" w:type="dxa"/>
            <w:tcBorders>
              <w:top w:val="nil"/>
              <w:left w:val="nil"/>
              <w:bottom w:val="single" w:sz="4" w:space="0" w:color="auto"/>
              <w:right w:val="single" w:sz="4" w:space="0" w:color="auto"/>
            </w:tcBorders>
            <w:shd w:val="clear" w:color="auto" w:fill="auto"/>
            <w:vAlign w:val="center"/>
            <w:hideMark/>
          </w:tcPr>
          <w:p w14:paraId="5FD396EC" w14:textId="77777777" w:rsidR="00D80286" w:rsidRPr="00D80286" w:rsidRDefault="00D80286" w:rsidP="00D80286">
            <w:pPr>
              <w:spacing w:after="0" w:line="240" w:lineRule="auto"/>
              <w:ind w:firstLineChars="100" w:firstLine="200"/>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1,6</w:t>
            </w:r>
          </w:p>
        </w:tc>
        <w:tc>
          <w:tcPr>
            <w:tcW w:w="940" w:type="dxa"/>
            <w:tcBorders>
              <w:top w:val="nil"/>
              <w:left w:val="nil"/>
              <w:bottom w:val="single" w:sz="4" w:space="0" w:color="auto"/>
              <w:right w:val="single" w:sz="4" w:space="0" w:color="auto"/>
            </w:tcBorders>
            <w:shd w:val="clear" w:color="auto" w:fill="auto"/>
            <w:noWrap/>
            <w:vAlign w:val="bottom"/>
            <w:hideMark/>
          </w:tcPr>
          <w:p w14:paraId="5351CDB3"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70 375</w:t>
            </w:r>
          </w:p>
        </w:tc>
        <w:tc>
          <w:tcPr>
            <w:tcW w:w="980" w:type="dxa"/>
            <w:tcBorders>
              <w:top w:val="nil"/>
              <w:left w:val="nil"/>
              <w:bottom w:val="single" w:sz="4" w:space="0" w:color="auto"/>
              <w:right w:val="single" w:sz="4" w:space="0" w:color="auto"/>
            </w:tcBorders>
            <w:shd w:val="clear" w:color="auto" w:fill="auto"/>
            <w:noWrap/>
            <w:vAlign w:val="bottom"/>
            <w:hideMark/>
          </w:tcPr>
          <w:p w14:paraId="044D306F"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2,3</w:t>
            </w:r>
          </w:p>
        </w:tc>
      </w:tr>
      <w:tr w:rsidR="00D80286" w:rsidRPr="007F78CE" w14:paraId="020BEDE9" w14:textId="77777777" w:rsidTr="00D80286">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7EC680C2" w14:textId="77777777" w:rsidR="00D80286" w:rsidRPr="00D80286" w:rsidRDefault="00D80286" w:rsidP="00D80286">
            <w:pPr>
              <w:spacing w:after="0" w:line="240" w:lineRule="auto"/>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Melaky</w:t>
            </w:r>
          </w:p>
        </w:tc>
        <w:tc>
          <w:tcPr>
            <w:tcW w:w="1200" w:type="dxa"/>
            <w:tcBorders>
              <w:top w:val="nil"/>
              <w:left w:val="nil"/>
              <w:bottom w:val="single" w:sz="4" w:space="0" w:color="auto"/>
              <w:right w:val="single" w:sz="4" w:space="0" w:color="auto"/>
            </w:tcBorders>
            <w:shd w:val="clear" w:color="auto" w:fill="auto"/>
            <w:vAlign w:val="center"/>
            <w:hideMark/>
          </w:tcPr>
          <w:p w14:paraId="20469587"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28 607</w:t>
            </w:r>
          </w:p>
        </w:tc>
        <w:tc>
          <w:tcPr>
            <w:tcW w:w="860" w:type="dxa"/>
            <w:tcBorders>
              <w:top w:val="nil"/>
              <w:left w:val="nil"/>
              <w:bottom w:val="single" w:sz="4" w:space="0" w:color="auto"/>
              <w:right w:val="single" w:sz="4" w:space="0" w:color="auto"/>
            </w:tcBorders>
            <w:shd w:val="clear" w:color="auto" w:fill="auto"/>
            <w:vAlign w:val="center"/>
            <w:hideMark/>
          </w:tcPr>
          <w:p w14:paraId="4EE32A0B"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1</w:t>
            </w:r>
          </w:p>
        </w:tc>
        <w:tc>
          <w:tcPr>
            <w:tcW w:w="1200" w:type="dxa"/>
            <w:tcBorders>
              <w:top w:val="nil"/>
              <w:left w:val="nil"/>
              <w:bottom w:val="single" w:sz="4" w:space="0" w:color="auto"/>
              <w:right w:val="single" w:sz="4" w:space="0" w:color="auto"/>
            </w:tcBorders>
            <w:shd w:val="clear" w:color="auto" w:fill="auto"/>
            <w:vAlign w:val="center"/>
            <w:hideMark/>
          </w:tcPr>
          <w:p w14:paraId="7BD0C534"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1 609</w:t>
            </w:r>
          </w:p>
        </w:tc>
        <w:tc>
          <w:tcPr>
            <w:tcW w:w="760" w:type="dxa"/>
            <w:tcBorders>
              <w:top w:val="nil"/>
              <w:left w:val="nil"/>
              <w:bottom w:val="single" w:sz="4" w:space="0" w:color="auto"/>
              <w:right w:val="single" w:sz="4" w:space="0" w:color="auto"/>
            </w:tcBorders>
            <w:shd w:val="clear" w:color="auto" w:fill="auto"/>
            <w:vAlign w:val="center"/>
            <w:hideMark/>
          </w:tcPr>
          <w:p w14:paraId="132A5A99" w14:textId="77777777" w:rsidR="00D80286" w:rsidRPr="00D80286" w:rsidRDefault="00D80286" w:rsidP="00D80286">
            <w:pPr>
              <w:spacing w:after="0" w:line="240" w:lineRule="auto"/>
              <w:ind w:firstLineChars="100" w:firstLine="200"/>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1,1</w:t>
            </w:r>
          </w:p>
        </w:tc>
        <w:tc>
          <w:tcPr>
            <w:tcW w:w="940" w:type="dxa"/>
            <w:tcBorders>
              <w:top w:val="nil"/>
              <w:left w:val="nil"/>
              <w:bottom w:val="single" w:sz="4" w:space="0" w:color="auto"/>
              <w:right w:val="single" w:sz="4" w:space="0" w:color="auto"/>
            </w:tcBorders>
            <w:shd w:val="clear" w:color="auto" w:fill="auto"/>
            <w:noWrap/>
            <w:vAlign w:val="bottom"/>
            <w:hideMark/>
          </w:tcPr>
          <w:p w14:paraId="5AE2590D"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30 216</w:t>
            </w:r>
          </w:p>
        </w:tc>
        <w:tc>
          <w:tcPr>
            <w:tcW w:w="980" w:type="dxa"/>
            <w:tcBorders>
              <w:top w:val="nil"/>
              <w:left w:val="nil"/>
              <w:bottom w:val="single" w:sz="4" w:space="0" w:color="auto"/>
              <w:right w:val="single" w:sz="4" w:space="0" w:color="auto"/>
            </w:tcBorders>
            <w:shd w:val="clear" w:color="auto" w:fill="auto"/>
            <w:noWrap/>
            <w:vAlign w:val="bottom"/>
            <w:hideMark/>
          </w:tcPr>
          <w:p w14:paraId="387F2DC7"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1,0</w:t>
            </w:r>
          </w:p>
        </w:tc>
      </w:tr>
      <w:tr w:rsidR="00D80286" w:rsidRPr="007F78CE" w14:paraId="14E4A5C3" w14:textId="77777777" w:rsidTr="00D80286">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1EB2A31E" w14:textId="77777777" w:rsidR="00D80286" w:rsidRPr="00D80286" w:rsidRDefault="00D80286" w:rsidP="00D80286">
            <w:pPr>
              <w:spacing w:after="0" w:line="240" w:lineRule="auto"/>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Atsimo Andrefana</w:t>
            </w:r>
          </w:p>
        </w:tc>
        <w:tc>
          <w:tcPr>
            <w:tcW w:w="1200" w:type="dxa"/>
            <w:tcBorders>
              <w:top w:val="nil"/>
              <w:left w:val="nil"/>
              <w:bottom w:val="single" w:sz="4" w:space="0" w:color="auto"/>
              <w:right w:val="single" w:sz="4" w:space="0" w:color="auto"/>
            </w:tcBorders>
            <w:shd w:val="clear" w:color="auto" w:fill="auto"/>
            <w:vAlign w:val="center"/>
            <w:hideMark/>
          </w:tcPr>
          <w:p w14:paraId="46287477"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95 730</w:t>
            </w:r>
          </w:p>
        </w:tc>
        <w:tc>
          <w:tcPr>
            <w:tcW w:w="860" w:type="dxa"/>
            <w:tcBorders>
              <w:top w:val="nil"/>
              <w:left w:val="nil"/>
              <w:bottom w:val="single" w:sz="4" w:space="0" w:color="auto"/>
              <w:right w:val="single" w:sz="4" w:space="0" w:color="auto"/>
            </w:tcBorders>
            <w:shd w:val="clear" w:color="auto" w:fill="auto"/>
            <w:vAlign w:val="center"/>
            <w:hideMark/>
          </w:tcPr>
          <w:p w14:paraId="1908DD6A"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3,2</w:t>
            </w:r>
          </w:p>
        </w:tc>
        <w:tc>
          <w:tcPr>
            <w:tcW w:w="1200" w:type="dxa"/>
            <w:tcBorders>
              <w:top w:val="nil"/>
              <w:left w:val="nil"/>
              <w:bottom w:val="single" w:sz="4" w:space="0" w:color="auto"/>
              <w:right w:val="single" w:sz="4" w:space="0" w:color="auto"/>
            </w:tcBorders>
            <w:shd w:val="clear" w:color="auto" w:fill="auto"/>
            <w:vAlign w:val="center"/>
            <w:hideMark/>
          </w:tcPr>
          <w:p w14:paraId="0422D95E"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5 105</w:t>
            </w:r>
          </w:p>
        </w:tc>
        <w:tc>
          <w:tcPr>
            <w:tcW w:w="760" w:type="dxa"/>
            <w:tcBorders>
              <w:top w:val="nil"/>
              <w:left w:val="nil"/>
              <w:bottom w:val="single" w:sz="4" w:space="0" w:color="auto"/>
              <w:right w:val="single" w:sz="4" w:space="0" w:color="auto"/>
            </w:tcBorders>
            <w:shd w:val="clear" w:color="auto" w:fill="auto"/>
            <w:vAlign w:val="center"/>
            <w:hideMark/>
          </w:tcPr>
          <w:p w14:paraId="47F9A4EB" w14:textId="77777777" w:rsidR="00D80286" w:rsidRPr="00D80286" w:rsidRDefault="00D80286" w:rsidP="00D80286">
            <w:pPr>
              <w:spacing w:after="0" w:line="240" w:lineRule="auto"/>
              <w:ind w:firstLineChars="100" w:firstLine="200"/>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3,5</w:t>
            </w:r>
          </w:p>
        </w:tc>
        <w:tc>
          <w:tcPr>
            <w:tcW w:w="940" w:type="dxa"/>
            <w:tcBorders>
              <w:top w:val="nil"/>
              <w:left w:val="nil"/>
              <w:bottom w:val="single" w:sz="4" w:space="0" w:color="auto"/>
              <w:right w:val="single" w:sz="4" w:space="0" w:color="auto"/>
            </w:tcBorders>
            <w:shd w:val="clear" w:color="auto" w:fill="auto"/>
            <w:noWrap/>
            <w:vAlign w:val="bottom"/>
            <w:hideMark/>
          </w:tcPr>
          <w:p w14:paraId="4F38A6EF"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100 835</w:t>
            </w:r>
          </w:p>
        </w:tc>
        <w:tc>
          <w:tcPr>
            <w:tcW w:w="980" w:type="dxa"/>
            <w:tcBorders>
              <w:top w:val="nil"/>
              <w:left w:val="nil"/>
              <w:bottom w:val="single" w:sz="4" w:space="0" w:color="auto"/>
              <w:right w:val="single" w:sz="4" w:space="0" w:color="auto"/>
            </w:tcBorders>
            <w:shd w:val="clear" w:color="auto" w:fill="auto"/>
            <w:noWrap/>
            <w:vAlign w:val="bottom"/>
            <w:hideMark/>
          </w:tcPr>
          <w:p w14:paraId="4B68F750"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3,2</w:t>
            </w:r>
          </w:p>
        </w:tc>
      </w:tr>
      <w:tr w:rsidR="00D80286" w:rsidRPr="007F78CE" w14:paraId="4BE27D60" w14:textId="77777777" w:rsidTr="00D80286">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22B7DA52" w14:textId="77777777" w:rsidR="00D80286" w:rsidRPr="00D80286" w:rsidRDefault="00D80286" w:rsidP="00D80286">
            <w:pPr>
              <w:spacing w:after="0" w:line="240" w:lineRule="auto"/>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Androy</w:t>
            </w:r>
          </w:p>
        </w:tc>
        <w:tc>
          <w:tcPr>
            <w:tcW w:w="1200" w:type="dxa"/>
            <w:tcBorders>
              <w:top w:val="nil"/>
              <w:left w:val="nil"/>
              <w:bottom w:val="single" w:sz="4" w:space="0" w:color="auto"/>
              <w:right w:val="single" w:sz="4" w:space="0" w:color="auto"/>
            </w:tcBorders>
            <w:shd w:val="clear" w:color="auto" w:fill="auto"/>
            <w:vAlign w:val="center"/>
            <w:hideMark/>
          </w:tcPr>
          <w:p w14:paraId="023F4346"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30 537</w:t>
            </w:r>
          </w:p>
        </w:tc>
        <w:tc>
          <w:tcPr>
            <w:tcW w:w="860" w:type="dxa"/>
            <w:tcBorders>
              <w:top w:val="nil"/>
              <w:left w:val="nil"/>
              <w:bottom w:val="single" w:sz="4" w:space="0" w:color="auto"/>
              <w:right w:val="single" w:sz="4" w:space="0" w:color="auto"/>
            </w:tcBorders>
            <w:shd w:val="clear" w:color="auto" w:fill="auto"/>
            <w:vAlign w:val="center"/>
            <w:hideMark/>
          </w:tcPr>
          <w:p w14:paraId="500492D8"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1</w:t>
            </w:r>
          </w:p>
        </w:tc>
        <w:tc>
          <w:tcPr>
            <w:tcW w:w="1200" w:type="dxa"/>
            <w:tcBorders>
              <w:top w:val="nil"/>
              <w:left w:val="nil"/>
              <w:bottom w:val="single" w:sz="4" w:space="0" w:color="auto"/>
              <w:right w:val="single" w:sz="4" w:space="0" w:color="auto"/>
            </w:tcBorders>
            <w:shd w:val="clear" w:color="auto" w:fill="auto"/>
            <w:vAlign w:val="center"/>
            <w:hideMark/>
          </w:tcPr>
          <w:p w14:paraId="5A824E13"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1 307</w:t>
            </w:r>
          </w:p>
        </w:tc>
        <w:tc>
          <w:tcPr>
            <w:tcW w:w="760" w:type="dxa"/>
            <w:tcBorders>
              <w:top w:val="nil"/>
              <w:left w:val="nil"/>
              <w:bottom w:val="single" w:sz="4" w:space="0" w:color="auto"/>
              <w:right w:val="single" w:sz="4" w:space="0" w:color="auto"/>
            </w:tcBorders>
            <w:shd w:val="clear" w:color="auto" w:fill="auto"/>
            <w:vAlign w:val="center"/>
            <w:hideMark/>
          </w:tcPr>
          <w:p w14:paraId="53FA0512" w14:textId="77777777" w:rsidR="00D80286" w:rsidRPr="00D80286" w:rsidRDefault="00D80286" w:rsidP="00D80286">
            <w:pPr>
              <w:spacing w:after="0" w:line="240" w:lineRule="auto"/>
              <w:ind w:firstLineChars="100" w:firstLine="200"/>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0,9</w:t>
            </w:r>
          </w:p>
        </w:tc>
        <w:tc>
          <w:tcPr>
            <w:tcW w:w="940" w:type="dxa"/>
            <w:tcBorders>
              <w:top w:val="nil"/>
              <w:left w:val="nil"/>
              <w:bottom w:val="single" w:sz="4" w:space="0" w:color="auto"/>
              <w:right w:val="single" w:sz="4" w:space="0" w:color="auto"/>
            </w:tcBorders>
            <w:shd w:val="clear" w:color="auto" w:fill="auto"/>
            <w:noWrap/>
            <w:vAlign w:val="bottom"/>
            <w:hideMark/>
          </w:tcPr>
          <w:p w14:paraId="39A15908"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31 844</w:t>
            </w:r>
          </w:p>
        </w:tc>
        <w:tc>
          <w:tcPr>
            <w:tcW w:w="980" w:type="dxa"/>
            <w:tcBorders>
              <w:top w:val="nil"/>
              <w:left w:val="nil"/>
              <w:bottom w:val="single" w:sz="4" w:space="0" w:color="auto"/>
              <w:right w:val="single" w:sz="4" w:space="0" w:color="auto"/>
            </w:tcBorders>
            <w:shd w:val="clear" w:color="auto" w:fill="auto"/>
            <w:noWrap/>
            <w:vAlign w:val="bottom"/>
            <w:hideMark/>
          </w:tcPr>
          <w:p w14:paraId="7DE16B68"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1,0</w:t>
            </w:r>
          </w:p>
        </w:tc>
      </w:tr>
      <w:tr w:rsidR="00D80286" w:rsidRPr="007F78CE" w14:paraId="5D7B2D30" w14:textId="77777777" w:rsidTr="00D80286">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4AF0AACF" w14:textId="77777777" w:rsidR="00D80286" w:rsidRPr="00D80286" w:rsidRDefault="00D80286" w:rsidP="00D80286">
            <w:pPr>
              <w:spacing w:after="0" w:line="240" w:lineRule="auto"/>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Anosy</w:t>
            </w:r>
          </w:p>
        </w:tc>
        <w:tc>
          <w:tcPr>
            <w:tcW w:w="1200" w:type="dxa"/>
            <w:tcBorders>
              <w:top w:val="nil"/>
              <w:left w:val="nil"/>
              <w:bottom w:val="single" w:sz="4" w:space="0" w:color="auto"/>
              <w:right w:val="single" w:sz="4" w:space="0" w:color="auto"/>
            </w:tcBorders>
            <w:shd w:val="clear" w:color="auto" w:fill="auto"/>
            <w:vAlign w:val="center"/>
            <w:hideMark/>
          </w:tcPr>
          <w:p w14:paraId="0DD5A65D"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43 892</w:t>
            </w:r>
          </w:p>
        </w:tc>
        <w:tc>
          <w:tcPr>
            <w:tcW w:w="860" w:type="dxa"/>
            <w:tcBorders>
              <w:top w:val="nil"/>
              <w:left w:val="nil"/>
              <w:bottom w:val="single" w:sz="4" w:space="0" w:color="auto"/>
              <w:right w:val="single" w:sz="4" w:space="0" w:color="auto"/>
            </w:tcBorders>
            <w:shd w:val="clear" w:color="auto" w:fill="auto"/>
            <w:vAlign w:val="center"/>
            <w:hideMark/>
          </w:tcPr>
          <w:p w14:paraId="585BE51F"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1,5</w:t>
            </w:r>
          </w:p>
        </w:tc>
        <w:tc>
          <w:tcPr>
            <w:tcW w:w="1200" w:type="dxa"/>
            <w:tcBorders>
              <w:top w:val="nil"/>
              <w:left w:val="nil"/>
              <w:bottom w:val="single" w:sz="4" w:space="0" w:color="auto"/>
              <w:right w:val="single" w:sz="4" w:space="0" w:color="auto"/>
            </w:tcBorders>
            <w:shd w:val="clear" w:color="auto" w:fill="auto"/>
            <w:vAlign w:val="center"/>
            <w:hideMark/>
          </w:tcPr>
          <w:p w14:paraId="5871BDF6"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1 666</w:t>
            </w:r>
          </w:p>
        </w:tc>
        <w:tc>
          <w:tcPr>
            <w:tcW w:w="760" w:type="dxa"/>
            <w:tcBorders>
              <w:top w:val="nil"/>
              <w:left w:val="nil"/>
              <w:bottom w:val="single" w:sz="4" w:space="0" w:color="auto"/>
              <w:right w:val="single" w:sz="4" w:space="0" w:color="auto"/>
            </w:tcBorders>
            <w:shd w:val="clear" w:color="auto" w:fill="auto"/>
            <w:vAlign w:val="center"/>
            <w:hideMark/>
          </w:tcPr>
          <w:p w14:paraId="1E916F32" w14:textId="77777777" w:rsidR="00D80286" w:rsidRPr="00D80286" w:rsidRDefault="00D80286" w:rsidP="00D80286">
            <w:pPr>
              <w:spacing w:after="0" w:line="240" w:lineRule="auto"/>
              <w:ind w:firstLineChars="100" w:firstLine="200"/>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1,2</w:t>
            </w:r>
          </w:p>
        </w:tc>
        <w:tc>
          <w:tcPr>
            <w:tcW w:w="940" w:type="dxa"/>
            <w:tcBorders>
              <w:top w:val="nil"/>
              <w:left w:val="nil"/>
              <w:bottom w:val="single" w:sz="4" w:space="0" w:color="auto"/>
              <w:right w:val="single" w:sz="4" w:space="0" w:color="auto"/>
            </w:tcBorders>
            <w:shd w:val="clear" w:color="auto" w:fill="auto"/>
            <w:noWrap/>
            <w:vAlign w:val="bottom"/>
            <w:hideMark/>
          </w:tcPr>
          <w:p w14:paraId="4C63890F"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45 558</w:t>
            </w:r>
          </w:p>
        </w:tc>
        <w:tc>
          <w:tcPr>
            <w:tcW w:w="980" w:type="dxa"/>
            <w:tcBorders>
              <w:top w:val="nil"/>
              <w:left w:val="nil"/>
              <w:bottom w:val="single" w:sz="4" w:space="0" w:color="auto"/>
              <w:right w:val="single" w:sz="4" w:space="0" w:color="auto"/>
            </w:tcBorders>
            <w:shd w:val="clear" w:color="auto" w:fill="auto"/>
            <w:noWrap/>
            <w:vAlign w:val="bottom"/>
            <w:hideMark/>
          </w:tcPr>
          <w:p w14:paraId="218DF19F"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1,5</w:t>
            </w:r>
          </w:p>
        </w:tc>
      </w:tr>
      <w:tr w:rsidR="00D80286" w:rsidRPr="007F78CE" w14:paraId="1CD84B5C" w14:textId="77777777" w:rsidTr="00D80286">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59816EC4" w14:textId="77777777" w:rsidR="00D80286" w:rsidRPr="00D80286" w:rsidRDefault="00D80286" w:rsidP="00D80286">
            <w:pPr>
              <w:spacing w:after="0" w:line="240" w:lineRule="auto"/>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Menabe</w:t>
            </w:r>
          </w:p>
        </w:tc>
        <w:tc>
          <w:tcPr>
            <w:tcW w:w="1200" w:type="dxa"/>
            <w:tcBorders>
              <w:top w:val="nil"/>
              <w:left w:val="nil"/>
              <w:bottom w:val="single" w:sz="4" w:space="0" w:color="auto"/>
              <w:right w:val="single" w:sz="4" w:space="0" w:color="auto"/>
            </w:tcBorders>
            <w:shd w:val="clear" w:color="auto" w:fill="auto"/>
            <w:vAlign w:val="center"/>
            <w:hideMark/>
          </w:tcPr>
          <w:p w14:paraId="5583375C"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78 850</w:t>
            </w:r>
          </w:p>
        </w:tc>
        <w:tc>
          <w:tcPr>
            <w:tcW w:w="860" w:type="dxa"/>
            <w:tcBorders>
              <w:top w:val="nil"/>
              <w:left w:val="nil"/>
              <w:bottom w:val="single" w:sz="4" w:space="0" w:color="auto"/>
              <w:right w:val="single" w:sz="4" w:space="0" w:color="auto"/>
            </w:tcBorders>
            <w:shd w:val="clear" w:color="auto" w:fill="auto"/>
            <w:vAlign w:val="center"/>
            <w:hideMark/>
          </w:tcPr>
          <w:p w14:paraId="25EF9C51"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2,7</w:t>
            </w:r>
          </w:p>
        </w:tc>
        <w:tc>
          <w:tcPr>
            <w:tcW w:w="1200" w:type="dxa"/>
            <w:tcBorders>
              <w:top w:val="nil"/>
              <w:left w:val="nil"/>
              <w:bottom w:val="single" w:sz="4" w:space="0" w:color="auto"/>
              <w:right w:val="single" w:sz="4" w:space="0" w:color="auto"/>
            </w:tcBorders>
            <w:shd w:val="clear" w:color="auto" w:fill="auto"/>
            <w:vAlign w:val="center"/>
            <w:hideMark/>
          </w:tcPr>
          <w:p w14:paraId="744C855F"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2 966</w:t>
            </w:r>
          </w:p>
        </w:tc>
        <w:tc>
          <w:tcPr>
            <w:tcW w:w="760" w:type="dxa"/>
            <w:tcBorders>
              <w:top w:val="nil"/>
              <w:left w:val="nil"/>
              <w:bottom w:val="single" w:sz="4" w:space="0" w:color="auto"/>
              <w:right w:val="single" w:sz="4" w:space="0" w:color="auto"/>
            </w:tcBorders>
            <w:shd w:val="clear" w:color="auto" w:fill="auto"/>
            <w:vAlign w:val="center"/>
            <w:hideMark/>
          </w:tcPr>
          <w:p w14:paraId="36A58553" w14:textId="77777777" w:rsidR="00D80286" w:rsidRPr="00D80286" w:rsidRDefault="00D80286" w:rsidP="00D80286">
            <w:pPr>
              <w:spacing w:after="0" w:line="240" w:lineRule="auto"/>
              <w:ind w:firstLineChars="100" w:firstLine="200"/>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2,1</w:t>
            </w:r>
          </w:p>
        </w:tc>
        <w:tc>
          <w:tcPr>
            <w:tcW w:w="940" w:type="dxa"/>
            <w:tcBorders>
              <w:top w:val="nil"/>
              <w:left w:val="nil"/>
              <w:bottom w:val="single" w:sz="4" w:space="0" w:color="auto"/>
              <w:right w:val="single" w:sz="4" w:space="0" w:color="auto"/>
            </w:tcBorders>
            <w:shd w:val="clear" w:color="auto" w:fill="auto"/>
            <w:noWrap/>
            <w:vAlign w:val="bottom"/>
            <w:hideMark/>
          </w:tcPr>
          <w:p w14:paraId="06F885B7"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81 816</w:t>
            </w:r>
          </w:p>
        </w:tc>
        <w:tc>
          <w:tcPr>
            <w:tcW w:w="980" w:type="dxa"/>
            <w:tcBorders>
              <w:top w:val="nil"/>
              <w:left w:val="nil"/>
              <w:bottom w:val="single" w:sz="4" w:space="0" w:color="auto"/>
              <w:right w:val="single" w:sz="4" w:space="0" w:color="auto"/>
            </w:tcBorders>
            <w:shd w:val="clear" w:color="auto" w:fill="auto"/>
            <w:noWrap/>
            <w:vAlign w:val="bottom"/>
            <w:hideMark/>
          </w:tcPr>
          <w:p w14:paraId="072E78AD"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2,6</w:t>
            </w:r>
          </w:p>
        </w:tc>
      </w:tr>
      <w:tr w:rsidR="00D80286" w:rsidRPr="007F78CE" w14:paraId="4F933945" w14:textId="77777777" w:rsidTr="00D80286">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30CFB8FA" w14:textId="77777777" w:rsidR="00D80286" w:rsidRPr="00D80286" w:rsidRDefault="001848BD" w:rsidP="00D80286">
            <w:pPr>
              <w:spacing w:after="0" w:line="240" w:lineRule="auto"/>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D</w:t>
            </w:r>
            <w:r>
              <w:rPr>
                <w:rFonts w:ascii="Arial" w:eastAsia="Times New Roman" w:hAnsi="Arial" w:cs="Arial"/>
                <w:color w:val="000000"/>
                <w:sz w:val="20"/>
                <w:szCs w:val="20"/>
                <w:lang w:eastAsia="fr-FR"/>
              </w:rPr>
              <w:t>IANA</w:t>
            </w:r>
          </w:p>
        </w:tc>
        <w:tc>
          <w:tcPr>
            <w:tcW w:w="1200" w:type="dxa"/>
            <w:tcBorders>
              <w:top w:val="nil"/>
              <w:left w:val="nil"/>
              <w:bottom w:val="single" w:sz="4" w:space="0" w:color="auto"/>
              <w:right w:val="single" w:sz="4" w:space="0" w:color="auto"/>
            </w:tcBorders>
            <w:shd w:val="clear" w:color="auto" w:fill="auto"/>
            <w:vAlign w:val="center"/>
            <w:hideMark/>
          </w:tcPr>
          <w:p w14:paraId="2BF81D46"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165 813</w:t>
            </w:r>
          </w:p>
        </w:tc>
        <w:tc>
          <w:tcPr>
            <w:tcW w:w="860" w:type="dxa"/>
            <w:tcBorders>
              <w:top w:val="nil"/>
              <w:left w:val="nil"/>
              <w:bottom w:val="single" w:sz="4" w:space="0" w:color="auto"/>
              <w:right w:val="single" w:sz="4" w:space="0" w:color="auto"/>
            </w:tcBorders>
            <w:shd w:val="clear" w:color="auto" w:fill="auto"/>
            <w:vAlign w:val="center"/>
            <w:hideMark/>
          </w:tcPr>
          <w:p w14:paraId="6887C0B9"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5,6</w:t>
            </w:r>
          </w:p>
        </w:tc>
        <w:tc>
          <w:tcPr>
            <w:tcW w:w="1200" w:type="dxa"/>
            <w:tcBorders>
              <w:top w:val="nil"/>
              <w:left w:val="nil"/>
              <w:bottom w:val="single" w:sz="4" w:space="0" w:color="auto"/>
              <w:right w:val="single" w:sz="4" w:space="0" w:color="auto"/>
            </w:tcBorders>
            <w:shd w:val="clear" w:color="auto" w:fill="auto"/>
            <w:vAlign w:val="center"/>
            <w:hideMark/>
          </w:tcPr>
          <w:p w14:paraId="3AF95F2F"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10 074</w:t>
            </w:r>
          </w:p>
        </w:tc>
        <w:tc>
          <w:tcPr>
            <w:tcW w:w="760" w:type="dxa"/>
            <w:tcBorders>
              <w:top w:val="nil"/>
              <w:left w:val="nil"/>
              <w:bottom w:val="single" w:sz="4" w:space="0" w:color="auto"/>
              <w:right w:val="single" w:sz="4" w:space="0" w:color="auto"/>
            </w:tcBorders>
            <w:shd w:val="clear" w:color="auto" w:fill="auto"/>
            <w:vAlign w:val="center"/>
            <w:hideMark/>
          </w:tcPr>
          <w:p w14:paraId="0BC57015" w14:textId="77777777" w:rsidR="00D80286" w:rsidRPr="00D80286" w:rsidRDefault="00D80286" w:rsidP="00D80286">
            <w:pPr>
              <w:spacing w:after="0" w:line="240" w:lineRule="auto"/>
              <w:ind w:firstLineChars="100" w:firstLine="200"/>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7</w:t>
            </w:r>
          </w:p>
        </w:tc>
        <w:tc>
          <w:tcPr>
            <w:tcW w:w="940" w:type="dxa"/>
            <w:tcBorders>
              <w:top w:val="nil"/>
              <w:left w:val="nil"/>
              <w:bottom w:val="single" w:sz="4" w:space="0" w:color="auto"/>
              <w:right w:val="single" w:sz="4" w:space="0" w:color="auto"/>
            </w:tcBorders>
            <w:shd w:val="clear" w:color="auto" w:fill="auto"/>
            <w:noWrap/>
            <w:vAlign w:val="bottom"/>
            <w:hideMark/>
          </w:tcPr>
          <w:p w14:paraId="30699F96"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175 887</w:t>
            </w:r>
          </w:p>
        </w:tc>
        <w:tc>
          <w:tcPr>
            <w:tcW w:w="980" w:type="dxa"/>
            <w:tcBorders>
              <w:top w:val="nil"/>
              <w:left w:val="nil"/>
              <w:bottom w:val="single" w:sz="4" w:space="0" w:color="auto"/>
              <w:right w:val="single" w:sz="4" w:space="0" w:color="auto"/>
            </w:tcBorders>
            <w:shd w:val="clear" w:color="auto" w:fill="auto"/>
            <w:noWrap/>
            <w:vAlign w:val="bottom"/>
            <w:hideMark/>
          </w:tcPr>
          <w:p w14:paraId="5F1BFBAE"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5,7</w:t>
            </w:r>
          </w:p>
        </w:tc>
      </w:tr>
      <w:tr w:rsidR="00D80286" w:rsidRPr="007F78CE" w14:paraId="0A4575C2" w14:textId="77777777" w:rsidTr="00D80286">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5E08FDF5" w14:textId="77777777" w:rsidR="00D80286" w:rsidRPr="00D80286" w:rsidRDefault="001848BD" w:rsidP="00D80286">
            <w:pPr>
              <w:spacing w:after="0" w:line="240" w:lineRule="auto"/>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S</w:t>
            </w:r>
            <w:r>
              <w:rPr>
                <w:rFonts w:ascii="Arial" w:eastAsia="Times New Roman" w:hAnsi="Arial" w:cs="Arial"/>
                <w:color w:val="000000"/>
                <w:sz w:val="20"/>
                <w:szCs w:val="20"/>
                <w:lang w:eastAsia="fr-FR"/>
              </w:rPr>
              <w:t>AVA</w:t>
            </w:r>
          </w:p>
        </w:tc>
        <w:tc>
          <w:tcPr>
            <w:tcW w:w="1200" w:type="dxa"/>
            <w:tcBorders>
              <w:top w:val="nil"/>
              <w:left w:val="nil"/>
              <w:bottom w:val="single" w:sz="4" w:space="0" w:color="auto"/>
              <w:right w:val="single" w:sz="4" w:space="0" w:color="auto"/>
            </w:tcBorders>
            <w:shd w:val="clear" w:color="auto" w:fill="auto"/>
            <w:vAlign w:val="center"/>
            <w:hideMark/>
          </w:tcPr>
          <w:p w14:paraId="1A037D71"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61 671</w:t>
            </w:r>
          </w:p>
        </w:tc>
        <w:tc>
          <w:tcPr>
            <w:tcW w:w="860" w:type="dxa"/>
            <w:tcBorders>
              <w:top w:val="nil"/>
              <w:left w:val="nil"/>
              <w:bottom w:val="single" w:sz="4" w:space="0" w:color="auto"/>
              <w:right w:val="single" w:sz="4" w:space="0" w:color="auto"/>
            </w:tcBorders>
            <w:shd w:val="clear" w:color="auto" w:fill="auto"/>
            <w:vAlign w:val="center"/>
            <w:hideMark/>
          </w:tcPr>
          <w:p w14:paraId="12F01EF0"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2,1</w:t>
            </w:r>
          </w:p>
        </w:tc>
        <w:tc>
          <w:tcPr>
            <w:tcW w:w="1200" w:type="dxa"/>
            <w:tcBorders>
              <w:top w:val="nil"/>
              <w:left w:val="nil"/>
              <w:bottom w:val="single" w:sz="4" w:space="0" w:color="auto"/>
              <w:right w:val="single" w:sz="4" w:space="0" w:color="auto"/>
            </w:tcBorders>
            <w:shd w:val="clear" w:color="auto" w:fill="auto"/>
            <w:vAlign w:val="center"/>
            <w:hideMark/>
          </w:tcPr>
          <w:p w14:paraId="20DF8A39" w14:textId="77777777" w:rsidR="00D80286" w:rsidRPr="00D80286" w:rsidRDefault="00D80286" w:rsidP="00D80286">
            <w:pPr>
              <w:spacing w:after="0" w:line="240" w:lineRule="auto"/>
              <w:jc w:val="right"/>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6 023</w:t>
            </w:r>
          </w:p>
        </w:tc>
        <w:tc>
          <w:tcPr>
            <w:tcW w:w="760" w:type="dxa"/>
            <w:tcBorders>
              <w:top w:val="nil"/>
              <w:left w:val="nil"/>
              <w:bottom w:val="single" w:sz="4" w:space="0" w:color="auto"/>
              <w:right w:val="single" w:sz="4" w:space="0" w:color="auto"/>
            </w:tcBorders>
            <w:shd w:val="clear" w:color="auto" w:fill="auto"/>
            <w:vAlign w:val="center"/>
            <w:hideMark/>
          </w:tcPr>
          <w:p w14:paraId="3AC6668D" w14:textId="77777777" w:rsidR="00D80286" w:rsidRPr="00D80286" w:rsidRDefault="00D80286" w:rsidP="00D80286">
            <w:pPr>
              <w:spacing w:after="0" w:line="240" w:lineRule="auto"/>
              <w:ind w:firstLineChars="100" w:firstLine="200"/>
              <w:rPr>
                <w:rFonts w:ascii="Arial" w:eastAsia="Times New Roman" w:hAnsi="Arial" w:cs="Arial"/>
                <w:color w:val="000000"/>
                <w:sz w:val="20"/>
                <w:szCs w:val="20"/>
                <w:lang w:eastAsia="fr-FR"/>
              </w:rPr>
            </w:pPr>
            <w:r w:rsidRPr="00D80286">
              <w:rPr>
                <w:rFonts w:ascii="Arial" w:eastAsia="Times New Roman" w:hAnsi="Arial" w:cs="Arial"/>
                <w:color w:val="000000"/>
                <w:sz w:val="20"/>
                <w:szCs w:val="20"/>
                <w:lang w:eastAsia="fr-FR"/>
              </w:rPr>
              <w:t>4,2</w:t>
            </w:r>
          </w:p>
        </w:tc>
        <w:tc>
          <w:tcPr>
            <w:tcW w:w="940" w:type="dxa"/>
            <w:tcBorders>
              <w:top w:val="nil"/>
              <w:left w:val="nil"/>
              <w:bottom w:val="single" w:sz="4" w:space="0" w:color="auto"/>
              <w:right w:val="single" w:sz="4" w:space="0" w:color="auto"/>
            </w:tcBorders>
            <w:shd w:val="clear" w:color="auto" w:fill="auto"/>
            <w:noWrap/>
            <w:vAlign w:val="bottom"/>
            <w:hideMark/>
          </w:tcPr>
          <w:p w14:paraId="685911C0"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67 694</w:t>
            </w:r>
          </w:p>
        </w:tc>
        <w:tc>
          <w:tcPr>
            <w:tcW w:w="980" w:type="dxa"/>
            <w:tcBorders>
              <w:top w:val="nil"/>
              <w:left w:val="nil"/>
              <w:bottom w:val="single" w:sz="4" w:space="0" w:color="auto"/>
              <w:right w:val="single" w:sz="4" w:space="0" w:color="auto"/>
            </w:tcBorders>
            <w:shd w:val="clear" w:color="auto" w:fill="auto"/>
            <w:noWrap/>
            <w:vAlign w:val="bottom"/>
            <w:hideMark/>
          </w:tcPr>
          <w:p w14:paraId="3C0AED7C" w14:textId="77777777" w:rsidR="00D80286" w:rsidRPr="00D80286" w:rsidRDefault="00D80286" w:rsidP="00D80286">
            <w:pPr>
              <w:spacing w:after="0" w:line="240" w:lineRule="auto"/>
              <w:jc w:val="right"/>
              <w:rPr>
                <w:rFonts w:eastAsia="Times New Roman" w:cs="Calibri"/>
                <w:color w:val="000000"/>
                <w:lang w:eastAsia="fr-FR"/>
              </w:rPr>
            </w:pPr>
            <w:r w:rsidRPr="00D80286">
              <w:rPr>
                <w:rFonts w:eastAsia="Times New Roman" w:cs="Calibri"/>
                <w:color w:val="000000"/>
                <w:lang w:eastAsia="fr-FR"/>
              </w:rPr>
              <w:t>2,2</w:t>
            </w:r>
          </w:p>
        </w:tc>
      </w:tr>
    </w:tbl>
    <w:p w14:paraId="25C3406F" w14:textId="77777777" w:rsidR="00630B78" w:rsidRPr="00D80286" w:rsidRDefault="00D80286" w:rsidP="00A931EA">
      <w:pPr>
        <w:ind w:left="567"/>
        <w:jc w:val="both"/>
        <w:rPr>
          <w:rFonts w:ascii="Arial" w:hAnsi="Arial" w:cs="Arial"/>
          <w:i/>
          <w:sz w:val="16"/>
        </w:rPr>
      </w:pPr>
      <w:r w:rsidRPr="00D80286">
        <w:rPr>
          <w:rFonts w:ascii="Arial" w:hAnsi="Arial" w:cs="Arial"/>
          <w:i/>
          <w:sz w:val="16"/>
        </w:rPr>
        <w:t>Source : INSTAT, 2021</w:t>
      </w:r>
      <w:r w:rsidR="00A931EA">
        <w:rPr>
          <w:rStyle w:val="Appelnotedebasdep"/>
          <w:rFonts w:ascii="Arial" w:hAnsi="Arial" w:cs="Arial"/>
          <w:i/>
          <w:sz w:val="16"/>
        </w:rPr>
        <w:footnoteReference w:id="44"/>
      </w:r>
    </w:p>
    <w:p w14:paraId="4E8BBB90" w14:textId="77777777" w:rsidR="007046BD" w:rsidRPr="002D4A3D" w:rsidRDefault="007046BD" w:rsidP="002D4A3D">
      <w:pPr>
        <w:pBdr>
          <w:top w:val="single" w:sz="4" w:space="1" w:color="auto"/>
          <w:left w:val="single" w:sz="4" w:space="4" w:color="auto"/>
          <w:bottom w:val="single" w:sz="4" w:space="1" w:color="auto"/>
          <w:right w:val="single" w:sz="4" w:space="4" w:color="auto"/>
        </w:pBdr>
        <w:jc w:val="both"/>
        <w:rPr>
          <w:rFonts w:ascii="Arial" w:hAnsi="Arial" w:cs="Arial"/>
          <w:i/>
        </w:rPr>
      </w:pPr>
      <w:r w:rsidRPr="00333F01">
        <w:rPr>
          <w:rFonts w:ascii="Arial" w:hAnsi="Arial" w:cs="Arial"/>
          <w:i/>
        </w:rPr>
        <w:t xml:space="preserve">L’électrification et le développement de la numérique </w:t>
      </w:r>
      <w:r w:rsidR="00333F01" w:rsidRPr="00333F01">
        <w:rPr>
          <w:rFonts w:ascii="Arial" w:hAnsi="Arial" w:cs="Arial"/>
          <w:i/>
        </w:rPr>
        <w:t xml:space="preserve">sont un levier pour le développement d’une ville ou </w:t>
      </w:r>
      <w:r w:rsidR="002D4A3D">
        <w:rPr>
          <w:rFonts w:ascii="Arial" w:hAnsi="Arial" w:cs="Arial"/>
          <w:i/>
        </w:rPr>
        <w:t xml:space="preserve">d’un </w:t>
      </w:r>
      <w:r w:rsidR="00333F01" w:rsidRPr="00333F01">
        <w:rPr>
          <w:rFonts w:ascii="Arial" w:hAnsi="Arial" w:cs="Arial"/>
          <w:i/>
        </w:rPr>
        <w:t>village. Ils peuvent ainsi stopper la migration vers les centres urbains comme Antananarivo</w:t>
      </w:r>
      <w:r w:rsidR="002D4A3D">
        <w:rPr>
          <w:rFonts w:ascii="Arial" w:hAnsi="Arial" w:cs="Arial"/>
          <w:i/>
        </w:rPr>
        <w:t>.</w:t>
      </w:r>
      <w:r w:rsidR="00333F01" w:rsidRPr="00333F01">
        <w:rPr>
          <w:rFonts w:ascii="Arial" w:hAnsi="Arial" w:cs="Arial"/>
          <w:i/>
        </w:rPr>
        <w:t xml:space="preserve"> </w:t>
      </w:r>
      <w:r w:rsidR="006F45CC">
        <w:rPr>
          <w:rFonts w:ascii="Arial" w:hAnsi="Arial" w:cs="Arial"/>
          <w:i/>
        </w:rPr>
        <w:t>Cependant</w:t>
      </w:r>
      <w:r w:rsidR="00333F01" w:rsidRPr="00333F01">
        <w:rPr>
          <w:rFonts w:ascii="Arial" w:hAnsi="Arial" w:cs="Arial"/>
          <w:i/>
        </w:rPr>
        <w:t xml:space="preserve"> un risque de migration massive de la population aux alentours est à craindre.</w:t>
      </w:r>
    </w:p>
    <w:p w14:paraId="61A769F6" w14:textId="77777777" w:rsidR="007A11DD" w:rsidRDefault="00E704F1" w:rsidP="0044500E">
      <w:pPr>
        <w:pStyle w:val="TIT40"/>
        <w:numPr>
          <w:ilvl w:val="3"/>
          <w:numId w:val="177"/>
        </w:numPr>
        <w:outlineLvl w:val="3"/>
      </w:pPr>
      <w:bookmarkStart w:id="403" w:name="_Toc124314672"/>
      <w:bookmarkStart w:id="404" w:name="_Toc124956150"/>
      <w:bookmarkStart w:id="405" w:name="_Toc125384549"/>
      <w:bookmarkStart w:id="406" w:name="_Toc125384938"/>
      <w:bookmarkStart w:id="407" w:name="_Toc127957610"/>
      <w:r w:rsidRPr="00E704F1">
        <w:t>Gestion des déchets</w:t>
      </w:r>
      <w:bookmarkEnd w:id="403"/>
      <w:bookmarkEnd w:id="404"/>
      <w:bookmarkEnd w:id="405"/>
      <w:bookmarkEnd w:id="406"/>
      <w:bookmarkEnd w:id="407"/>
      <w:r w:rsidRPr="00E704F1">
        <w:t xml:space="preserve"> </w:t>
      </w:r>
    </w:p>
    <w:p w14:paraId="6E98FCB9" w14:textId="77777777" w:rsidR="00E704F1" w:rsidRPr="00742D67" w:rsidRDefault="00E704F1" w:rsidP="00E704F1">
      <w:pPr>
        <w:jc w:val="both"/>
        <w:rPr>
          <w:rFonts w:ascii="Arial" w:hAnsi="Arial" w:cs="Arial"/>
        </w:rPr>
      </w:pPr>
      <w:r w:rsidRPr="0017227E">
        <w:rPr>
          <w:rFonts w:ascii="Arial" w:hAnsi="Arial" w:cs="Arial"/>
        </w:rPr>
        <w:t>Les déchets sont reconnus comme étant une source de nuisance assez considérable. Son éparpillement génère des pollutions des habitations et mauvaise</w:t>
      </w:r>
      <w:r w:rsidR="0017227E" w:rsidRPr="0017227E">
        <w:rPr>
          <w:rFonts w:ascii="Arial" w:hAnsi="Arial" w:cs="Arial"/>
        </w:rPr>
        <w:t xml:space="preserve">s </w:t>
      </w:r>
      <w:r w:rsidRPr="0017227E">
        <w:rPr>
          <w:rFonts w:ascii="Arial" w:hAnsi="Arial" w:cs="Arial"/>
        </w:rPr>
        <w:t>vision</w:t>
      </w:r>
      <w:r w:rsidR="0017227E" w:rsidRPr="0017227E">
        <w:rPr>
          <w:rFonts w:ascii="Arial" w:hAnsi="Arial" w:cs="Arial"/>
        </w:rPr>
        <w:t xml:space="preserve">s </w:t>
      </w:r>
      <w:r w:rsidR="00C36A18">
        <w:rPr>
          <w:rFonts w:ascii="Arial" w:hAnsi="Arial" w:cs="Arial"/>
        </w:rPr>
        <w:t>du paysage</w:t>
      </w:r>
      <w:r w:rsidRPr="0017227E">
        <w:rPr>
          <w:rFonts w:ascii="Arial" w:hAnsi="Arial" w:cs="Arial"/>
        </w:rPr>
        <w:t xml:space="preserve">. A Madagascar, les déchets sont déposés </w:t>
      </w:r>
      <w:r w:rsidR="1F496BB5" w:rsidRPr="1D1C7254">
        <w:rPr>
          <w:rFonts w:ascii="Arial" w:hAnsi="Arial" w:cs="Arial"/>
        </w:rPr>
        <w:t xml:space="preserve">la plupart du temps </w:t>
      </w:r>
      <w:r w:rsidRPr="0017227E">
        <w:rPr>
          <w:rFonts w:ascii="Arial" w:hAnsi="Arial" w:cs="Arial"/>
        </w:rPr>
        <w:t xml:space="preserve">le long des routes ou dans des sites illégaux, déversés dans les égouts, </w:t>
      </w:r>
      <w:r w:rsidR="00C36A18">
        <w:rPr>
          <w:rFonts w:ascii="Arial" w:hAnsi="Arial" w:cs="Arial"/>
        </w:rPr>
        <w:t>r</w:t>
      </w:r>
      <w:r w:rsidR="0017227E" w:rsidRPr="0017227E">
        <w:rPr>
          <w:rFonts w:ascii="Arial" w:hAnsi="Arial" w:cs="Arial"/>
        </w:rPr>
        <w:t>ivière</w:t>
      </w:r>
      <w:r w:rsidR="001848BD">
        <w:rPr>
          <w:rFonts w:ascii="Arial" w:hAnsi="Arial" w:cs="Arial"/>
        </w:rPr>
        <w:t>s</w:t>
      </w:r>
      <w:r w:rsidRPr="0017227E">
        <w:rPr>
          <w:rFonts w:ascii="Arial" w:hAnsi="Arial" w:cs="Arial"/>
        </w:rPr>
        <w:t xml:space="preserve">, ou bien accumulés dans des décharges </w:t>
      </w:r>
      <w:r w:rsidRPr="00327DB6">
        <w:rPr>
          <w:rFonts w:ascii="Arial" w:hAnsi="Arial" w:cs="Arial"/>
        </w:rPr>
        <w:t>sauvages à ciel ouvert et non réglementé</w:t>
      </w:r>
      <w:r w:rsidR="001848BD" w:rsidRPr="00327DB6">
        <w:rPr>
          <w:rFonts w:ascii="Arial" w:hAnsi="Arial" w:cs="Arial"/>
        </w:rPr>
        <w:t>es</w:t>
      </w:r>
      <w:r w:rsidRPr="00327DB6">
        <w:rPr>
          <w:rFonts w:ascii="Arial" w:hAnsi="Arial" w:cs="Arial"/>
        </w:rPr>
        <w:t>, et accessible</w:t>
      </w:r>
      <w:r w:rsidR="001848BD" w:rsidRPr="00327DB6">
        <w:rPr>
          <w:rFonts w:ascii="Arial" w:hAnsi="Arial" w:cs="Arial"/>
        </w:rPr>
        <w:t>s</w:t>
      </w:r>
      <w:r w:rsidRPr="00327DB6">
        <w:rPr>
          <w:rFonts w:ascii="Arial" w:hAnsi="Arial" w:cs="Arial"/>
        </w:rPr>
        <w:t xml:space="preserve"> à tous. </w:t>
      </w:r>
      <w:r w:rsidR="00AC5E7F" w:rsidRPr="00742D67">
        <w:rPr>
          <w:rFonts w:ascii="Arial" w:hAnsi="Arial" w:cs="Arial"/>
        </w:rPr>
        <w:t>Les seules décharges existantes sont dans quelques grandes villes comme Antananarivo, Toamasina, Fian</w:t>
      </w:r>
      <w:r w:rsidR="0036277D" w:rsidRPr="00742D67">
        <w:rPr>
          <w:rFonts w:ascii="Arial" w:hAnsi="Arial" w:cs="Arial"/>
        </w:rPr>
        <w:t>a</w:t>
      </w:r>
      <w:r w:rsidR="00AC5E7F" w:rsidRPr="00742D67">
        <w:rPr>
          <w:rFonts w:ascii="Arial" w:hAnsi="Arial" w:cs="Arial"/>
        </w:rPr>
        <w:t>rantsoa, Toliara, Antsirabe, etc.</w:t>
      </w:r>
    </w:p>
    <w:p w14:paraId="7E2436CB" w14:textId="77777777" w:rsidR="0018026D" w:rsidRDefault="00E704F1" w:rsidP="00E704F1">
      <w:pPr>
        <w:jc w:val="both"/>
        <w:rPr>
          <w:rFonts w:ascii="Arial" w:hAnsi="Arial" w:cs="Arial"/>
        </w:rPr>
      </w:pPr>
      <w:r w:rsidRPr="0017227E">
        <w:rPr>
          <w:rFonts w:ascii="Arial" w:hAnsi="Arial" w:cs="Arial"/>
        </w:rPr>
        <w:t xml:space="preserve">Le diagnostic de la gestion des déchets solides dans les communes urbaines </w:t>
      </w:r>
      <w:r w:rsidR="006F45CC">
        <w:rPr>
          <w:rFonts w:ascii="Arial" w:hAnsi="Arial" w:cs="Arial"/>
        </w:rPr>
        <w:t xml:space="preserve">(cf photo suivante) </w:t>
      </w:r>
      <w:r w:rsidRPr="0017227E">
        <w:rPr>
          <w:rFonts w:ascii="Arial" w:hAnsi="Arial" w:cs="Arial"/>
        </w:rPr>
        <w:t>a permis de relever des d</w:t>
      </w:r>
      <w:r w:rsidR="0017227E" w:rsidRPr="0017227E">
        <w:rPr>
          <w:rFonts w:ascii="Arial" w:hAnsi="Arial" w:cs="Arial"/>
        </w:rPr>
        <w:t>y</w:t>
      </w:r>
      <w:r w:rsidRPr="0017227E">
        <w:rPr>
          <w:rFonts w:ascii="Arial" w:hAnsi="Arial" w:cs="Arial"/>
        </w:rPr>
        <w:t>sfonctionnements sur le plan organisationnel ainsi que l’absence de savoir-faire en matière de modernisation de la collecte, de stockage, de transport, de traitement et d’élimination. Effectivement, dans certaines villes de Madagascar, les collectes des déchets n’atteignent même pas la moitié des déchets générés</w:t>
      </w:r>
      <w:r w:rsidRPr="0017227E">
        <w:rPr>
          <w:rFonts w:ascii="Arial" w:hAnsi="Arial" w:cs="Arial"/>
          <w:vertAlign w:val="superscript"/>
        </w:rPr>
        <w:footnoteReference w:id="45"/>
      </w:r>
      <w:r w:rsidRPr="0017227E">
        <w:rPr>
          <w:rFonts w:ascii="Arial" w:hAnsi="Arial" w:cs="Arial"/>
        </w:rPr>
        <w:t xml:space="preserve">. </w:t>
      </w:r>
      <w:r w:rsidR="0018026D" w:rsidRPr="00AE406E">
        <w:rPr>
          <w:rFonts w:ascii="Arial" w:hAnsi="Arial" w:cs="Arial"/>
        </w:rPr>
        <w:t>En ce qui concerne les gisements : les ordures ménégères produites par ans sont d’environ 689 850Tonnes, avec un taux de collecte de 48%, ce qui donne une collecte de 329 960 Tonnes d’ordures ménagères pour le pays. Parmi les déchets classés comme dangereux, en 2014, Madagascar a produit environ 4940 Tonnes métriques de piles et autres accumulateurs</w:t>
      </w:r>
      <w:r w:rsidR="0018026D" w:rsidRPr="00AE406E">
        <w:rPr>
          <w:rStyle w:val="Appelnotedebasdep"/>
          <w:rFonts w:ascii="Arial" w:hAnsi="Arial" w:cs="Arial"/>
        </w:rPr>
        <w:footnoteReference w:id="46"/>
      </w:r>
    </w:p>
    <w:p w14:paraId="4E571809" w14:textId="77777777" w:rsidR="00954559" w:rsidRDefault="00E704F1" w:rsidP="00E704F1">
      <w:pPr>
        <w:jc w:val="both"/>
        <w:rPr>
          <w:rFonts w:ascii="Arial" w:hAnsi="Arial" w:cs="Arial"/>
        </w:rPr>
      </w:pPr>
      <w:r w:rsidRPr="0017227E">
        <w:rPr>
          <w:rFonts w:ascii="Arial" w:hAnsi="Arial" w:cs="Arial"/>
        </w:rPr>
        <w:t xml:space="preserve">Sur le plan national, il est constaté que presque la moitié des habitations du pays (46,5 %) jettent les ordures tout simplement dans la nature. Pour le reste, les ordures sont soit brûlées </w:t>
      </w:r>
      <w:r w:rsidRPr="0017227E">
        <w:rPr>
          <w:rFonts w:ascii="Arial" w:hAnsi="Arial" w:cs="Arial"/>
        </w:rPr>
        <w:lastRenderedPageBreak/>
        <w:t>(36,1 %), soit déposée</w:t>
      </w:r>
      <w:r w:rsidR="0017227E" w:rsidRPr="0017227E">
        <w:rPr>
          <w:rFonts w:ascii="Arial" w:hAnsi="Arial" w:cs="Arial"/>
        </w:rPr>
        <w:t xml:space="preserve">s </w:t>
      </w:r>
      <w:r w:rsidRPr="0017227E">
        <w:rPr>
          <w:rFonts w:ascii="Arial" w:hAnsi="Arial" w:cs="Arial"/>
        </w:rPr>
        <w:t>dans une poubelle pour ramassage (14,2 %)</w:t>
      </w:r>
      <w:r w:rsidRPr="0017227E">
        <w:rPr>
          <w:rStyle w:val="Appelnotedebasdep"/>
          <w:rFonts w:ascii="Arial" w:hAnsi="Arial" w:cs="Arial"/>
        </w:rPr>
        <w:footnoteReference w:id="47"/>
      </w:r>
      <w:r w:rsidRPr="0017227E">
        <w:rPr>
          <w:rFonts w:ascii="Arial" w:hAnsi="Arial" w:cs="Arial"/>
        </w:rPr>
        <w:t xml:space="preserve">. La proportion des habitations qui jettent les ordures dans la nature est très </w:t>
      </w:r>
      <w:r w:rsidR="00954559" w:rsidRPr="0017227E">
        <w:rPr>
          <w:rFonts w:ascii="Arial" w:hAnsi="Arial" w:cs="Arial"/>
        </w:rPr>
        <w:t>élevée</w:t>
      </w:r>
      <w:r w:rsidRPr="0017227E">
        <w:rPr>
          <w:rFonts w:ascii="Arial" w:hAnsi="Arial" w:cs="Arial"/>
        </w:rPr>
        <w:t xml:space="preserve"> dans le milieu rural avec un taux de 92% contre 60% en milieu urbain. </w:t>
      </w:r>
    </w:p>
    <w:p w14:paraId="7E41E8B5" w14:textId="77777777" w:rsidR="006E13C8" w:rsidRPr="00AE406E" w:rsidRDefault="006E13C8" w:rsidP="006E13C8">
      <w:pPr>
        <w:jc w:val="both"/>
        <w:rPr>
          <w:rFonts w:ascii="Arial" w:hAnsi="Arial" w:cs="Arial"/>
        </w:rPr>
      </w:pPr>
      <w:r w:rsidRPr="00AE406E">
        <w:rPr>
          <w:rFonts w:ascii="Arial" w:hAnsi="Arial" w:cs="Arial"/>
        </w:rPr>
        <w:t>D’aure part, les estimations faites sur les potentialités de recyclage des déchets suivant le type montre que près de 89 681 Tonnes métriques de déchets de type papier ou cartons peuvent être recyclés. De même, 13 797 Tonnes de métaux.</w:t>
      </w:r>
      <w:r w:rsidRPr="00AE406E">
        <w:rPr>
          <w:rStyle w:val="Appelnotedebasdep"/>
          <w:rFonts w:ascii="Arial" w:hAnsi="Arial" w:cs="Arial"/>
        </w:rPr>
        <w:footnoteReference w:id="48"/>
      </w:r>
    </w:p>
    <w:tbl>
      <w:tblPr>
        <w:tblW w:w="0" w:type="auto"/>
        <w:tblLook w:val="04A0" w:firstRow="1" w:lastRow="0" w:firstColumn="1" w:lastColumn="0" w:noHBand="0" w:noVBand="1"/>
      </w:tblPr>
      <w:tblGrid>
        <w:gridCol w:w="9072"/>
      </w:tblGrid>
      <w:tr w:rsidR="00302D69" w:rsidRPr="007F78CE" w14:paraId="4F409582" w14:textId="77777777" w:rsidTr="007F78CE">
        <w:tc>
          <w:tcPr>
            <w:tcW w:w="9212" w:type="dxa"/>
            <w:shd w:val="clear" w:color="auto" w:fill="auto"/>
          </w:tcPr>
          <w:p w14:paraId="418966FB" w14:textId="0421F3F7" w:rsidR="00302D69" w:rsidRPr="007F78CE" w:rsidRDefault="00E97ECD" w:rsidP="007F78CE">
            <w:pPr>
              <w:spacing w:after="0" w:line="240" w:lineRule="auto"/>
              <w:jc w:val="both"/>
              <w:rPr>
                <w:rFonts w:ascii="Arial" w:hAnsi="Arial" w:cs="Arial"/>
                <w:color w:val="FF0000"/>
              </w:rPr>
            </w:pPr>
            <w:r>
              <w:rPr>
                <w:noProof/>
              </w:rPr>
              <w:drawing>
                <wp:anchor distT="0" distB="0" distL="114300" distR="114300" simplePos="0" relativeHeight="251655168" behindDoc="0" locked="0" layoutInCell="1" allowOverlap="1" wp14:anchorId="75B2D56E" wp14:editId="4DB3C1E3">
                  <wp:simplePos x="0" y="0"/>
                  <wp:positionH relativeFrom="column">
                    <wp:posOffset>1220470</wp:posOffset>
                  </wp:positionH>
                  <wp:positionV relativeFrom="paragraph">
                    <wp:posOffset>28575</wp:posOffset>
                  </wp:positionV>
                  <wp:extent cx="3365500" cy="1892300"/>
                  <wp:effectExtent l="0" t="0" r="0" b="0"/>
                  <wp:wrapSquare wrapText="bothSides"/>
                  <wp:docPr id="59"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65500" cy="1892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BB46C66" w14:textId="77777777" w:rsidR="00302D69" w:rsidRPr="00302D69" w:rsidRDefault="00302D69" w:rsidP="00302D69">
      <w:pPr>
        <w:pStyle w:val="Lgende"/>
        <w:jc w:val="center"/>
        <w:rPr>
          <w:rFonts w:ascii="Arial" w:hAnsi="Arial" w:cs="Arial"/>
          <w:color w:val="FF0000"/>
          <w:sz w:val="20"/>
        </w:rPr>
      </w:pPr>
      <w:bookmarkStart w:id="409" w:name="_Toc125409962"/>
      <w:r w:rsidRPr="00302D69">
        <w:rPr>
          <w:rFonts w:ascii="Arial" w:hAnsi="Arial" w:cs="Arial"/>
          <w:sz w:val="20"/>
        </w:rPr>
        <w:t xml:space="preserve">Photo </w:t>
      </w:r>
      <w:r w:rsidRPr="00302D69">
        <w:rPr>
          <w:rFonts w:ascii="Arial" w:hAnsi="Arial" w:cs="Arial"/>
          <w:sz w:val="20"/>
        </w:rPr>
        <w:fldChar w:fldCharType="begin"/>
      </w:r>
      <w:r w:rsidRPr="00302D69">
        <w:rPr>
          <w:rFonts w:ascii="Arial" w:hAnsi="Arial" w:cs="Arial"/>
          <w:sz w:val="20"/>
        </w:rPr>
        <w:instrText xml:space="preserve"> SEQ Photo \* ARABIC </w:instrText>
      </w:r>
      <w:r w:rsidRPr="00302D69">
        <w:rPr>
          <w:rFonts w:ascii="Arial" w:hAnsi="Arial" w:cs="Arial"/>
          <w:sz w:val="20"/>
        </w:rPr>
        <w:fldChar w:fldCharType="separate"/>
      </w:r>
      <w:r w:rsidR="00382606">
        <w:rPr>
          <w:rFonts w:ascii="Arial" w:hAnsi="Arial" w:cs="Arial"/>
          <w:noProof/>
          <w:sz w:val="20"/>
        </w:rPr>
        <w:t>9</w:t>
      </w:r>
      <w:r w:rsidRPr="00302D69">
        <w:rPr>
          <w:rFonts w:ascii="Arial" w:hAnsi="Arial" w:cs="Arial"/>
          <w:sz w:val="20"/>
        </w:rPr>
        <w:fldChar w:fldCharType="end"/>
      </w:r>
      <w:r w:rsidRPr="00302D69">
        <w:rPr>
          <w:rFonts w:ascii="Arial" w:hAnsi="Arial" w:cs="Arial"/>
          <w:sz w:val="20"/>
        </w:rPr>
        <w:t xml:space="preserve">. </w:t>
      </w:r>
      <w:r w:rsidR="009528B4" w:rsidRPr="00302D69">
        <w:rPr>
          <w:rFonts w:ascii="Arial" w:hAnsi="Arial" w:cs="Arial"/>
          <w:sz w:val="20"/>
        </w:rPr>
        <w:t>Décharge publique</w:t>
      </w:r>
      <w:r w:rsidRPr="00302D69">
        <w:rPr>
          <w:rFonts w:ascii="Arial" w:hAnsi="Arial" w:cs="Arial"/>
          <w:sz w:val="20"/>
        </w:rPr>
        <w:t xml:space="preserve"> près d’une zone humide (Antananarivo)</w:t>
      </w:r>
      <w:bookmarkEnd w:id="4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7227E" w:rsidRPr="007F78CE" w14:paraId="0BE37168" w14:textId="77777777" w:rsidTr="08964A2F">
        <w:tc>
          <w:tcPr>
            <w:tcW w:w="9212" w:type="dxa"/>
            <w:shd w:val="clear" w:color="auto" w:fill="auto"/>
          </w:tcPr>
          <w:p w14:paraId="53AF6C88" w14:textId="77777777" w:rsidR="00954559" w:rsidRPr="007F78CE" w:rsidRDefault="339DDAB5" w:rsidP="08964A2F">
            <w:pPr>
              <w:spacing w:after="0" w:line="240" w:lineRule="auto"/>
              <w:jc w:val="both"/>
              <w:rPr>
                <w:rFonts w:ascii="Arial" w:hAnsi="Arial" w:cs="Arial"/>
                <w:i/>
                <w:iCs/>
              </w:rPr>
            </w:pPr>
            <w:r w:rsidRPr="08964A2F">
              <w:rPr>
                <w:rFonts w:ascii="Arial" w:hAnsi="Arial" w:cs="Arial"/>
                <w:i/>
                <w:iCs/>
              </w:rPr>
              <w:t>La gestion des déchets surtout en milieu rural reste problématique pour le Projet puisqu</w:t>
            </w:r>
            <w:r w:rsidR="0017227E" w:rsidRPr="08964A2F">
              <w:rPr>
                <w:rFonts w:ascii="Arial" w:hAnsi="Arial" w:cs="Arial"/>
                <w:i/>
                <w:iCs/>
              </w:rPr>
              <w:t>’</w:t>
            </w:r>
            <w:r w:rsidRPr="08964A2F">
              <w:rPr>
                <w:rFonts w:ascii="Arial" w:hAnsi="Arial" w:cs="Arial"/>
                <w:i/>
                <w:iCs/>
              </w:rPr>
              <w:t xml:space="preserve">une grande partie des </w:t>
            </w:r>
            <w:r w:rsidR="4137ED15" w:rsidRPr="08964A2F">
              <w:rPr>
                <w:rFonts w:ascii="Arial" w:hAnsi="Arial" w:cs="Arial"/>
                <w:i/>
                <w:iCs/>
              </w:rPr>
              <w:t>C</w:t>
            </w:r>
            <w:r w:rsidRPr="08964A2F">
              <w:rPr>
                <w:rFonts w:ascii="Arial" w:hAnsi="Arial" w:cs="Arial"/>
                <w:i/>
                <w:iCs/>
              </w:rPr>
              <w:t xml:space="preserve">ommunes n’a pas de système de gestion de </w:t>
            </w:r>
            <w:r w:rsidR="001848BD" w:rsidRPr="08964A2F">
              <w:rPr>
                <w:rFonts w:ascii="Arial" w:hAnsi="Arial" w:cs="Arial"/>
                <w:i/>
                <w:iCs/>
              </w:rPr>
              <w:t>d</w:t>
            </w:r>
            <w:r w:rsidRPr="08964A2F">
              <w:rPr>
                <w:rFonts w:ascii="Arial" w:hAnsi="Arial" w:cs="Arial"/>
                <w:i/>
                <w:iCs/>
              </w:rPr>
              <w:t>échet</w:t>
            </w:r>
            <w:r w:rsidR="001848BD" w:rsidRPr="08964A2F">
              <w:rPr>
                <w:rFonts w:ascii="Arial" w:hAnsi="Arial" w:cs="Arial"/>
                <w:i/>
                <w:iCs/>
              </w:rPr>
              <w:t>s</w:t>
            </w:r>
            <w:r w:rsidRPr="08964A2F">
              <w:rPr>
                <w:rFonts w:ascii="Arial" w:hAnsi="Arial" w:cs="Arial"/>
                <w:i/>
                <w:iCs/>
              </w:rPr>
              <w:t>. Afin d’éviter tout éparpillement des déchets issus du Projet</w:t>
            </w:r>
            <w:r w:rsidR="2E12BDA9" w:rsidRPr="08964A2F">
              <w:rPr>
                <w:rFonts w:ascii="Arial" w:hAnsi="Arial" w:cs="Arial"/>
                <w:i/>
                <w:iCs/>
              </w:rPr>
              <w:t>,</w:t>
            </w:r>
            <w:r w:rsidRPr="08964A2F">
              <w:rPr>
                <w:rFonts w:ascii="Arial" w:hAnsi="Arial" w:cs="Arial"/>
                <w:i/>
                <w:iCs/>
              </w:rPr>
              <w:t xml:space="preserve"> DECIM est sollicité </w:t>
            </w:r>
            <w:r w:rsidR="2FBACD85" w:rsidRPr="08964A2F">
              <w:rPr>
                <w:rFonts w:ascii="Arial" w:hAnsi="Arial" w:cs="Arial"/>
                <w:i/>
                <w:iCs/>
              </w:rPr>
              <w:t xml:space="preserve">de </w:t>
            </w:r>
            <w:r w:rsidRPr="08964A2F">
              <w:rPr>
                <w:rFonts w:ascii="Arial" w:hAnsi="Arial" w:cs="Arial"/>
                <w:i/>
                <w:iCs/>
              </w:rPr>
              <w:t>mettre en place un Plan de Gestion de Déchet</w:t>
            </w:r>
            <w:r w:rsidR="001848BD" w:rsidRPr="08964A2F">
              <w:rPr>
                <w:rFonts w:ascii="Arial" w:hAnsi="Arial" w:cs="Arial"/>
                <w:i/>
                <w:iCs/>
              </w:rPr>
              <w:t>s</w:t>
            </w:r>
            <w:r w:rsidR="7E3A112B" w:rsidRPr="08964A2F">
              <w:rPr>
                <w:rFonts w:ascii="Arial" w:hAnsi="Arial" w:cs="Arial"/>
                <w:i/>
                <w:iCs/>
              </w:rPr>
              <w:t xml:space="preserve"> issus de ses activités</w:t>
            </w:r>
            <w:r w:rsidR="4137ED15" w:rsidRPr="08964A2F">
              <w:rPr>
                <w:rFonts w:ascii="Arial" w:hAnsi="Arial" w:cs="Arial"/>
                <w:i/>
                <w:iCs/>
              </w:rPr>
              <w:t>.</w:t>
            </w:r>
            <w:r w:rsidRPr="08964A2F">
              <w:rPr>
                <w:rFonts w:ascii="Arial" w:hAnsi="Arial" w:cs="Arial"/>
                <w:i/>
                <w:iCs/>
              </w:rPr>
              <w:t xml:space="preserve"> </w:t>
            </w:r>
          </w:p>
        </w:tc>
      </w:tr>
    </w:tbl>
    <w:p w14:paraId="2F8247A6" w14:textId="77777777" w:rsidR="001027FE" w:rsidRPr="00637007" w:rsidRDefault="00C359DD" w:rsidP="0044500E">
      <w:pPr>
        <w:pStyle w:val="TIT3"/>
        <w:numPr>
          <w:ilvl w:val="2"/>
          <w:numId w:val="177"/>
        </w:numPr>
      </w:pPr>
      <w:bookmarkStart w:id="410" w:name="_Toc124312682"/>
      <w:bookmarkStart w:id="411" w:name="_Toc124314673"/>
      <w:bookmarkStart w:id="412" w:name="_Toc124956151"/>
      <w:bookmarkStart w:id="413" w:name="_Toc125384550"/>
      <w:bookmarkStart w:id="414" w:name="_Toc125384939"/>
      <w:bookmarkStart w:id="415" w:name="_Toc127957611"/>
      <w:bookmarkEnd w:id="410"/>
      <w:r>
        <w:t>Activité</w:t>
      </w:r>
      <w:r w:rsidR="009528B4">
        <w:t>s</w:t>
      </w:r>
      <w:r>
        <w:t xml:space="preserve"> économique</w:t>
      </w:r>
      <w:r w:rsidR="009528B4">
        <w:t>s</w:t>
      </w:r>
      <w:bookmarkEnd w:id="411"/>
      <w:bookmarkEnd w:id="412"/>
      <w:bookmarkEnd w:id="413"/>
      <w:bookmarkEnd w:id="414"/>
      <w:bookmarkEnd w:id="415"/>
      <w:r w:rsidR="00435050">
        <w:t xml:space="preserve"> </w:t>
      </w:r>
      <w:r w:rsidR="00592898" w:rsidRPr="00592898">
        <w:t xml:space="preserve"> </w:t>
      </w:r>
    </w:p>
    <w:p w14:paraId="34036CDE" w14:textId="77777777" w:rsidR="008B54CE" w:rsidRPr="009220B5" w:rsidRDefault="223A3FD7" w:rsidP="0044500E">
      <w:pPr>
        <w:pStyle w:val="TIT40"/>
        <w:numPr>
          <w:ilvl w:val="3"/>
          <w:numId w:val="177"/>
        </w:numPr>
        <w:outlineLvl w:val="3"/>
      </w:pPr>
      <w:bookmarkStart w:id="416" w:name="_Toc124314674"/>
      <w:bookmarkStart w:id="417" w:name="_Toc124956152"/>
      <w:bookmarkStart w:id="418" w:name="_Toc125384551"/>
      <w:bookmarkStart w:id="419" w:name="_Toc125384940"/>
      <w:bookmarkStart w:id="420" w:name="_Toc127957612"/>
      <w:r w:rsidRPr="00742D67">
        <w:rPr>
          <w:color w:val="auto"/>
        </w:rPr>
        <w:t>Secteur</w:t>
      </w:r>
      <w:r w:rsidR="3886CD23">
        <w:t xml:space="preserve"> primaire</w:t>
      </w:r>
      <w:bookmarkEnd w:id="416"/>
      <w:bookmarkEnd w:id="417"/>
      <w:bookmarkEnd w:id="418"/>
      <w:bookmarkEnd w:id="419"/>
      <w:bookmarkEnd w:id="420"/>
    </w:p>
    <w:p w14:paraId="02745805" w14:textId="77777777" w:rsidR="008B54CE" w:rsidRPr="00E704F1" w:rsidRDefault="00637007" w:rsidP="00AF2ACD">
      <w:pPr>
        <w:jc w:val="both"/>
        <w:rPr>
          <w:rFonts w:ascii="Arial" w:hAnsi="Arial" w:cs="Arial"/>
        </w:rPr>
      </w:pPr>
      <w:r w:rsidRPr="00E704F1">
        <w:rPr>
          <w:rFonts w:ascii="Arial" w:hAnsi="Arial" w:cs="Arial"/>
        </w:rPr>
        <w:t>L’activité économique des Malagasy est dominé</w:t>
      </w:r>
      <w:r w:rsidR="005436C0">
        <w:rPr>
          <w:rFonts w:ascii="Arial" w:hAnsi="Arial" w:cs="Arial"/>
        </w:rPr>
        <w:t>e par l</w:t>
      </w:r>
      <w:r w:rsidRPr="00E704F1">
        <w:rPr>
          <w:rFonts w:ascii="Arial" w:hAnsi="Arial" w:cs="Arial"/>
        </w:rPr>
        <w:t>’activité primaire (agriculture, pêche</w:t>
      </w:r>
      <w:r w:rsidR="005436C0">
        <w:rPr>
          <w:rFonts w:ascii="Arial" w:hAnsi="Arial" w:cs="Arial"/>
        </w:rPr>
        <w:t xml:space="preserve">, </w:t>
      </w:r>
      <w:r w:rsidRPr="00E704F1">
        <w:rPr>
          <w:rFonts w:ascii="Arial" w:hAnsi="Arial" w:cs="Arial"/>
        </w:rPr>
        <w:t xml:space="preserve">et sylviculture). Selon les données de la </w:t>
      </w:r>
      <w:r w:rsidR="009528B4">
        <w:rPr>
          <w:rFonts w:ascii="Arial" w:hAnsi="Arial" w:cs="Arial"/>
        </w:rPr>
        <w:t>B</w:t>
      </w:r>
      <w:r w:rsidRPr="00E704F1">
        <w:rPr>
          <w:rFonts w:ascii="Arial" w:hAnsi="Arial" w:cs="Arial"/>
        </w:rPr>
        <w:t>anque mondiale</w:t>
      </w:r>
      <w:r w:rsidRPr="00E704F1">
        <w:rPr>
          <w:rStyle w:val="Appelnotedebasdep"/>
          <w:rFonts w:ascii="Arial" w:hAnsi="Arial" w:cs="Arial"/>
        </w:rPr>
        <w:footnoteReference w:id="49"/>
      </w:r>
      <w:r w:rsidRPr="00E704F1">
        <w:rPr>
          <w:rFonts w:ascii="Arial" w:hAnsi="Arial" w:cs="Arial"/>
        </w:rPr>
        <w:t>, l’activité primaire représente 25,1% du PIB et emploie 64% de la population même si la population est majoritairement agricole. Effectivement</w:t>
      </w:r>
      <w:r w:rsidR="005436C0">
        <w:rPr>
          <w:rFonts w:ascii="Arial" w:hAnsi="Arial" w:cs="Arial"/>
        </w:rPr>
        <w:t xml:space="preserve">, </w:t>
      </w:r>
      <w:r w:rsidRPr="00E704F1">
        <w:rPr>
          <w:rFonts w:ascii="Arial" w:hAnsi="Arial" w:cs="Arial"/>
        </w:rPr>
        <w:t>les données de l’INSTAT</w:t>
      </w:r>
      <w:r w:rsidR="009220B5" w:rsidRPr="00E704F1">
        <w:rPr>
          <w:rStyle w:val="Appelnotedebasdep"/>
          <w:rFonts w:ascii="Arial" w:hAnsi="Arial" w:cs="Arial"/>
        </w:rPr>
        <w:footnoteReference w:id="50"/>
      </w:r>
      <w:r w:rsidRPr="00E704F1">
        <w:rPr>
          <w:rFonts w:ascii="Arial" w:hAnsi="Arial" w:cs="Arial"/>
        </w:rPr>
        <w:t xml:space="preserve"> en 2018 mettent en évidence qu’environ 83,2 % des </w:t>
      </w:r>
      <w:r w:rsidR="005436C0">
        <w:rPr>
          <w:rFonts w:ascii="Arial" w:hAnsi="Arial" w:cs="Arial"/>
        </w:rPr>
        <w:t>M</w:t>
      </w:r>
      <w:r w:rsidRPr="00E704F1">
        <w:rPr>
          <w:rFonts w:ascii="Arial" w:hAnsi="Arial" w:cs="Arial"/>
        </w:rPr>
        <w:t xml:space="preserve">alagasy vivent de l’agriculture, de l’élevage et de la pêche. C’est aussi l’activité </w:t>
      </w:r>
      <w:r w:rsidR="00D03A1A" w:rsidRPr="00E704F1">
        <w:rPr>
          <w:rFonts w:ascii="Arial" w:hAnsi="Arial" w:cs="Arial"/>
        </w:rPr>
        <w:t xml:space="preserve">la plus </w:t>
      </w:r>
      <w:r w:rsidR="00040088" w:rsidRPr="00E704F1">
        <w:rPr>
          <w:rFonts w:ascii="Arial" w:hAnsi="Arial" w:cs="Arial"/>
        </w:rPr>
        <w:t>rép</w:t>
      </w:r>
      <w:r w:rsidR="00040088">
        <w:rPr>
          <w:rFonts w:ascii="Arial" w:hAnsi="Arial" w:cs="Arial"/>
        </w:rPr>
        <w:t>a</w:t>
      </w:r>
      <w:r w:rsidR="00040088" w:rsidRPr="00E704F1">
        <w:rPr>
          <w:rFonts w:ascii="Arial" w:hAnsi="Arial" w:cs="Arial"/>
        </w:rPr>
        <w:t>ndue</w:t>
      </w:r>
      <w:r w:rsidR="00D03A1A" w:rsidRPr="00E704F1">
        <w:rPr>
          <w:rFonts w:ascii="Arial" w:hAnsi="Arial" w:cs="Arial"/>
        </w:rPr>
        <w:t xml:space="preserve"> chez les femmes et les jeunes avec un taux re</w:t>
      </w:r>
      <w:r w:rsidR="009220B5" w:rsidRPr="00E704F1">
        <w:rPr>
          <w:rFonts w:ascii="Arial" w:hAnsi="Arial" w:cs="Arial"/>
        </w:rPr>
        <w:t>spectivement égal à 75% et 78%.</w:t>
      </w:r>
    </w:p>
    <w:p w14:paraId="4461635A" w14:textId="77777777" w:rsidR="00D03A1A" w:rsidRPr="00E704F1" w:rsidRDefault="00D03A1A" w:rsidP="00AF2ACD">
      <w:pPr>
        <w:jc w:val="both"/>
        <w:rPr>
          <w:rFonts w:ascii="Arial" w:hAnsi="Arial" w:cs="Arial"/>
        </w:rPr>
      </w:pPr>
      <w:r w:rsidRPr="00E704F1">
        <w:rPr>
          <w:rFonts w:ascii="Arial" w:hAnsi="Arial" w:cs="Arial"/>
        </w:rPr>
        <w:t xml:space="preserve">Même si l’agriculture et l’élevage </w:t>
      </w:r>
      <w:r w:rsidR="005436C0">
        <w:rPr>
          <w:rFonts w:ascii="Arial" w:hAnsi="Arial" w:cs="Arial"/>
        </w:rPr>
        <w:t>son</w:t>
      </w:r>
      <w:r w:rsidRPr="00E704F1">
        <w:rPr>
          <w:rFonts w:ascii="Arial" w:hAnsi="Arial" w:cs="Arial"/>
        </w:rPr>
        <w:t>t l’activité la plus pratiquée, elle reste limité</w:t>
      </w:r>
      <w:r w:rsidR="005436C0">
        <w:rPr>
          <w:rFonts w:ascii="Arial" w:hAnsi="Arial" w:cs="Arial"/>
        </w:rPr>
        <w:t xml:space="preserve">e </w:t>
      </w:r>
      <w:r w:rsidRPr="00E704F1">
        <w:rPr>
          <w:rFonts w:ascii="Arial" w:hAnsi="Arial" w:cs="Arial"/>
        </w:rPr>
        <w:t xml:space="preserve">par une faible productivité due à l'utilisation minimale des techniques agricoles modernes, au manque d'infrastructures et à une grande vulnérabilité aux fluctuations climatiques. </w:t>
      </w:r>
      <w:r w:rsidR="006E3A00" w:rsidRPr="00E704F1">
        <w:rPr>
          <w:rFonts w:ascii="Arial" w:hAnsi="Arial" w:cs="Arial"/>
        </w:rPr>
        <w:t>Ainsi, le secteur agricole ne génère que de faibles ressources pour les ménages même si elle</w:t>
      </w:r>
      <w:r w:rsidR="001848BD">
        <w:rPr>
          <w:rFonts w:ascii="Arial" w:hAnsi="Arial" w:cs="Arial"/>
        </w:rPr>
        <w:t>s</w:t>
      </w:r>
      <w:r w:rsidR="006E3A00" w:rsidRPr="00E704F1">
        <w:rPr>
          <w:rFonts w:ascii="Arial" w:hAnsi="Arial" w:cs="Arial"/>
        </w:rPr>
        <w:t xml:space="preserve"> </w:t>
      </w:r>
      <w:r w:rsidR="006E3A00" w:rsidRPr="00E704F1">
        <w:rPr>
          <w:rFonts w:ascii="Arial" w:hAnsi="Arial" w:cs="Arial"/>
        </w:rPr>
        <w:lastRenderedPageBreak/>
        <w:t>form</w:t>
      </w:r>
      <w:r w:rsidR="001848BD">
        <w:rPr>
          <w:rFonts w:ascii="Arial" w:hAnsi="Arial" w:cs="Arial"/>
        </w:rPr>
        <w:t>ent</w:t>
      </w:r>
      <w:r w:rsidR="006E3A00" w:rsidRPr="00E704F1">
        <w:rPr>
          <w:rFonts w:ascii="Arial" w:hAnsi="Arial" w:cs="Arial"/>
        </w:rPr>
        <w:t xml:space="preserve"> la majeure partie de leurs revenus</w:t>
      </w:r>
      <w:r w:rsidR="00936C83">
        <w:rPr>
          <w:rFonts w:ascii="Arial" w:hAnsi="Arial" w:cs="Arial"/>
        </w:rPr>
        <w:t>.</w:t>
      </w:r>
      <w:r w:rsidR="006E3A00" w:rsidRPr="00E704F1">
        <w:rPr>
          <w:rFonts w:ascii="Arial" w:hAnsi="Arial" w:cs="Arial"/>
        </w:rPr>
        <w:t xml:space="preserve"> </w:t>
      </w:r>
      <w:r w:rsidR="009528B4">
        <w:rPr>
          <w:rFonts w:ascii="Arial" w:hAnsi="Arial" w:cs="Arial"/>
        </w:rPr>
        <w:t>C</w:t>
      </w:r>
      <w:r w:rsidR="006E3A00" w:rsidRPr="00E704F1">
        <w:rPr>
          <w:rFonts w:ascii="Arial" w:hAnsi="Arial" w:cs="Arial"/>
        </w:rPr>
        <w:t>’est pourquoi une grande partie des exploitants agricoles figure parmi</w:t>
      </w:r>
      <w:r w:rsidR="005436C0">
        <w:rPr>
          <w:rFonts w:ascii="Arial" w:hAnsi="Arial" w:cs="Arial"/>
        </w:rPr>
        <w:t xml:space="preserve"> </w:t>
      </w:r>
      <w:r w:rsidR="006E3A00" w:rsidRPr="00E704F1">
        <w:rPr>
          <w:rFonts w:ascii="Arial" w:hAnsi="Arial" w:cs="Arial"/>
        </w:rPr>
        <w:t xml:space="preserve">la catégorie </w:t>
      </w:r>
      <w:r w:rsidR="00176F5E" w:rsidRPr="00E704F1">
        <w:rPr>
          <w:rFonts w:ascii="Arial" w:hAnsi="Arial" w:cs="Arial"/>
        </w:rPr>
        <w:t>des populations pauvres</w:t>
      </w:r>
      <w:r w:rsidR="00176F5E" w:rsidRPr="00E704F1">
        <w:rPr>
          <w:rStyle w:val="Appelnotedebasdep"/>
          <w:rFonts w:ascii="Arial" w:hAnsi="Arial" w:cs="Arial"/>
        </w:rPr>
        <w:footnoteReference w:id="51"/>
      </w:r>
      <w:r w:rsidR="00176F5E" w:rsidRPr="00E704F1">
        <w:rPr>
          <w:rFonts w:ascii="Arial" w:hAnsi="Arial" w:cs="Arial"/>
        </w:rPr>
        <w:t xml:space="preserve">. </w:t>
      </w:r>
    </w:p>
    <w:p w14:paraId="672D3BA0" w14:textId="77777777" w:rsidR="006E3A00" w:rsidRPr="00E704F1" w:rsidRDefault="006E3A00" w:rsidP="00AF2ACD">
      <w:pPr>
        <w:jc w:val="both"/>
        <w:rPr>
          <w:rFonts w:ascii="Arial" w:hAnsi="Arial" w:cs="Arial"/>
        </w:rPr>
      </w:pPr>
      <w:r w:rsidRPr="00E704F1">
        <w:rPr>
          <w:rFonts w:ascii="Arial" w:hAnsi="Arial" w:cs="Arial"/>
        </w:rPr>
        <w:t>Plus de 80 % des exploitations agricoles représentant les deux</w:t>
      </w:r>
      <w:r w:rsidR="005436C0">
        <w:rPr>
          <w:rFonts w:ascii="Arial" w:hAnsi="Arial" w:cs="Arial"/>
        </w:rPr>
        <w:t xml:space="preserve"> </w:t>
      </w:r>
      <w:r w:rsidRPr="00E704F1">
        <w:rPr>
          <w:rFonts w:ascii="Arial" w:hAnsi="Arial" w:cs="Arial"/>
        </w:rPr>
        <w:t xml:space="preserve">tiers de la population figurent ainsi dans la catégorie des pauvres. L’activité agricole reste en effet majoritairement </w:t>
      </w:r>
      <w:r w:rsidR="009528B4">
        <w:rPr>
          <w:rFonts w:ascii="Arial" w:hAnsi="Arial" w:cs="Arial"/>
        </w:rPr>
        <w:t>une culture de</w:t>
      </w:r>
      <w:r w:rsidR="009528B4" w:rsidRPr="00E704F1">
        <w:rPr>
          <w:rFonts w:ascii="Arial" w:hAnsi="Arial" w:cs="Arial"/>
        </w:rPr>
        <w:t xml:space="preserve"> </w:t>
      </w:r>
      <w:r w:rsidRPr="00E704F1">
        <w:rPr>
          <w:rFonts w:ascii="Arial" w:hAnsi="Arial" w:cs="Arial"/>
        </w:rPr>
        <w:t>subsistance : environ 60 % du revenu agricole est autoconsommé.</w:t>
      </w:r>
    </w:p>
    <w:p w14:paraId="4D55685A" w14:textId="77777777" w:rsidR="00637007" w:rsidRPr="009220B5" w:rsidRDefault="37DA5A2E" w:rsidP="0044500E">
      <w:pPr>
        <w:pStyle w:val="TIT40"/>
        <w:numPr>
          <w:ilvl w:val="3"/>
          <w:numId w:val="177"/>
        </w:numPr>
        <w:outlineLvl w:val="3"/>
      </w:pPr>
      <w:bookmarkStart w:id="421" w:name="_Toc124314675"/>
      <w:bookmarkStart w:id="422" w:name="_Toc124956153"/>
      <w:bookmarkStart w:id="423" w:name="_Toc125384552"/>
      <w:bookmarkStart w:id="424" w:name="_Toc125384941"/>
      <w:bookmarkStart w:id="425" w:name="_Toc127957613"/>
      <w:r w:rsidRPr="00742D67">
        <w:rPr>
          <w:color w:val="auto"/>
        </w:rPr>
        <w:t>Secteur</w:t>
      </w:r>
      <w:r w:rsidR="6AFE982E">
        <w:t xml:space="preserve"> secondaire</w:t>
      </w:r>
      <w:bookmarkEnd w:id="421"/>
      <w:bookmarkEnd w:id="422"/>
      <w:bookmarkEnd w:id="423"/>
      <w:bookmarkEnd w:id="424"/>
      <w:bookmarkEnd w:id="425"/>
      <w:r w:rsidR="6AFE982E">
        <w:t xml:space="preserve"> </w:t>
      </w:r>
    </w:p>
    <w:p w14:paraId="60912EDE" w14:textId="77777777" w:rsidR="00D96A50" w:rsidRPr="005436C0" w:rsidRDefault="005436C0" w:rsidP="00AF2ACD">
      <w:pPr>
        <w:jc w:val="both"/>
        <w:rPr>
          <w:rFonts w:ascii="Arial" w:hAnsi="Arial" w:cs="Arial"/>
        </w:rPr>
      </w:pPr>
      <w:r w:rsidRPr="005436C0">
        <w:rPr>
          <w:rFonts w:ascii="Arial" w:hAnsi="Arial" w:cs="Arial"/>
        </w:rPr>
        <w:t>À</w:t>
      </w:r>
      <w:r w:rsidR="00D96A50" w:rsidRPr="005436C0">
        <w:rPr>
          <w:rFonts w:ascii="Arial" w:hAnsi="Arial" w:cs="Arial"/>
        </w:rPr>
        <w:t xml:space="preserve"> Madagascar, le secteur secondaire est dominé par l'exploitation minière (pierres précieuses</w:t>
      </w:r>
      <w:r w:rsidRPr="005436C0">
        <w:rPr>
          <w:rFonts w:ascii="Arial" w:hAnsi="Arial" w:cs="Arial"/>
        </w:rPr>
        <w:t xml:space="preserve">, </w:t>
      </w:r>
      <w:r w:rsidR="00D96A50" w:rsidRPr="005436C0">
        <w:rPr>
          <w:rFonts w:ascii="Arial" w:hAnsi="Arial" w:cs="Arial"/>
        </w:rPr>
        <w:t>dont rubis, saphir, émeraude, etc.), le textile et l'agro-industrie. Les autres secteurs d'activité comprennent la fabrication de savon, la verrerie, le ciment, l'assemblage automobile, le papier et le pétrole. Actuellement</w:t>
      </w:r>
      <w:r w:rsidRPr="005436C0">
        <w:rPr>
          <w:rFonts w:ascii="Arial" w:hAnsi="Arial" w:cs="Arial"/>
        </w:rPr>
        <w:t xml:space="preserve">, </w:t>
      </w:r>
      <w:r w:rsidR="00D96A50" w:rsidRPr="005436C0">
        <w:rPr>
          <w:rFonts w:ascii="Arial" w:hAnsi="Arial" w:cs="Arial"/>
        </w:rPr>
        <w:t>5% de la population malagasy sont dans ce secteur</w:t>
      </w:r>
      <w:r w:rsidRPr="005436C0">
        <w:rPr>
          <w:rFonts w:ascii="Arial" w:hAnsi="Arial" w:cs="Arial"/>
        </w:rPr>
        <w:t xml:space="preserve">, </w:t>
      </w:r>
      <w:r w:rsidR="00D96A50" w:rsidRPr="005436C0">
        <w:rPr>
          <w:rFonts w:ascii="Arial" w:hAnsi="Arial" w:cs="Arial"/>
        </w:rPr>
        <w:t>dont 6% des femmes et 4% des jeunes. Ce secteur est développé en milieu urbain puisque 10% de la population urbain</w:t>
      </w:r>
      <w:r w:rsidRPr="005436C0">
        <w:rPr>
          <w:rFonts w:ascii="Arial" w:hAnsi="Arial" w:cs="Arial"/>
        </w:rPr>
        <w:t xml:space="preserve">e </w:t>
      </w:r>
      <w:r w:rsidR="00D96A50" w:rsidRPr="005436C0">
        <w:rPr>
          <w:rFonts w:ascii="Arial" w:hAnsi="Arial" w:cs="Arial"/>
        </w:rPr>
        <w:t xml:space="preserve">sont dans ce secteur contre 4% en milieu rural. </w:t>
      </w:r>
    </w:p>
    <w:p w14:paraId="3CBFE340" w14:textId="77777777" w:rsidR="00D96A50" w:rsidRPr="005436C0" w:rsidRDefault="00D96A50" w:rsidP="00AF2ACD">
      <w:pPr>
        <w:jc w:val="both"/>
        <w:rPr>
          <w:rFonts w:ascii="Arial" w:hAnsi="Arial" w:cs="Arial"/>
        </w:rPr>
      </w:pPr>
      <w:r w:rsidRPr="005436C0">
        <w:rPr>
          <w:rFonts w:ascii="Arial" w:hAnsi="Arial" w:cs="Arial"/>
        </w:rPr>
        <w:t>Malgré ce faible taux</w:t>
      </w:r>
      <w:r w:rsidR="005436C0" w:rsidRPr="005436C0">
        <w:rPr>
          <w:rFonts w:ascii="Arial" w:hAnsi="Arial" w:cs="Arial"/>
        </w:rPr>
        <w:t>, l</w:t>
      </w:r>
      <w:r w:rsidRPr="005436C0">
        <w:rPr>
          <w:rFonts w:ascii="Arial" w:hAnsi="Arial" w:cs="Arial"/>
        </w:rPr>
        <w:t>e secteur industriel contribue à 19,5% du PIB et emploie 9% de la population active (Banque mondiale).</w:t>
      </w:r>
    </w:p>
    <w:p w14:paraId="287DD79B" w14:textId="77777777" w:rsidR="00391F68" w:rsidRPr="00391F68" w:rsidRDefault="66AC5709" w:rsidP="0044500E">
      <w:pPr>
        <w:pStyle w:val="TIT40"/>
        <w:numPr>
          <w:ilvl w:val="3"/>
          <w:numId w:val="177"/>
        </w:numPr>
        <w:outlineLvl w:val="3"/>
      </w:pPr>
      <w:bookmarkStart w:id="426" w:name="_Toc124314676"/>
      <w:bookmarkStart w:id="427" w:name="_Toc124956154"/>
      <w:bookmarkStart w:id="428" w:name="_Toc125384553"/>
      <w:bookmarkStart w:id="429" w:name="_Toc125384942"/>
      <w:bookmarkStart w:id="430" w:name="_Toc127957614"/>
      <w:r w:rsidRPr="00742D67">
        <w:rPr>
          <w:color w:val="auto"/>
        </w:rPr>
        <w:t>Secteur</w:t>
      </w:r>
      <w:r w:rsidR="657B3656">
        <w:t xml:space="preserve"> tertiaire</w:t>
      </w:r>
      <w:bookmarkEnd w:id="426"/>
      <w:bookmarkEnd w:id="427"/>
      <w:bookmarkEnd w:id="428"/>
      <w:bookmarkEnd w:id="429"/>
      <w:bookmarkEnd w:id="430"/>
      <w:r w:rsidR="657B3656">
        <w:t xml:space="preserve"> </w:t>
      </w:r>
    </w:p>
    <w:p w14:paraId="7EC5287A" w14:textId="77777777" w:rsidR="00391F68" w:rsidRPr="005436C0" w:rsidRDefault="00391F68" w:rsidP="00391F68">
      <w:pPr>
        <w:jc w:val="both"/>
        <w:rPr>
          <w:rFonts w:ascii="Arial" w:hAnsi="Arial" w:cs="Arial"/>
        </w:rPr>
      </w:pPr>
      <w:r w:rsidRPr="005436C0">
        <w:rPr>
          <w:rFonts w:ascii="Arial" w:hAnsi="Arial" w:cs="Arial"/>
        </w:rPr>
        <w:t>Le secteur tertiaire regroupe plusieurs activités à savoir : le BTP, les transports de marchandises, les transports de voyageurs, auxiliaires de transports, les télécommunications, le commerce, la banque, les assurances, les services, l’administration. Cette activité est la plus développé</w:t>
      </w:r>
      <w:r w:rsidR="005436C0" w:rsidRPr="005436C0">
        <w:rPr>
          <w:rFonts w:ascii="Arial" w:hAnsi="Arial" w:cs="Arial"/>
        </w:rPr>
        <w:t xml:space="preserve">e </w:t>
      </w:r>
      <w:r w:rsidRPr="005436C0">
        <w:rPr>
          <w:rFonts w:ascii="Arial" w:hAnsi="Arial" w:cs="Arial"/>
        </w:rPr>
        <w:t>dans le</w:t>
      </w:r>
      <w:r w:rsidR="009528B4">
        <w:rPr>
          <w:rFonts w:ascii="Arial" w:hAnsi="Arial" w:cs="Arial"/>
        </w:rPr>
        <w:t>s</w:t>
      </w:r>
      <w:r w:rsidRPr="005436C0">
        <w:rPr>
          <w:rFonts w:ascii="Arial" w:hAnsi="Arial" w:cs="Arial"/>
        </w:rPr>
        <w:t xml:space="preserve"> centre</w:t>
      </w:r>
      <w:r w:rsidR="009528B4">
        <w:rPr>
          <w:rFonts w:ascii="Arial" w:hAnsi="Arial" w:cs="Arial"/>
        </w:rPr>
        <w:t>s</w:t>
      </w:r>
      <w:r w:rsidRPr="005436C0">
        <w:rPr>
          <w:rFonts w:ascii="Arial" w:hAnsi="Arial" w:cs="Arial"/>
        </w:rPr>
        <w:t xml:space="preserve"> urbain</w:t>
      </w:r>
      <w:r w:rsidR="009528B4">
        <w:rPr>
          <w:rFonts w:ascii="Arial" w:hAnsi="Arial" w:cs="Arial"/>
        </w:rPr>
        <w:t>s</w:t>
      </w:r>
      <w:r w:rsidRPr="005436C0">
        <w:rPr>
          <w:rFonts w:ascii="Arial" w:hAnsi="Arial" w:cs="Arial"/>
        </w:rPr>
        <w:t xml:space="preserve"> comme les chefs lieu de Région et District. Effectivement</w:t>
      </w:r>
      <w:r w:rsidR="009528B4">
        <w:rPr>
          <w:rFonts w:ascii="Arial" w:hAnsi="Arial" w:cs="Arial"/>
        </w:rPr>
        <w:t>,</w:t>
      </w:r>
      <w:r w:rsidRPr="005436C0">
        <w:rPr>
          <w:rFonts w:ascii="Arial" w:hAnsi="Arial" w:cs="Arial"/>
        </w:rPr>
        <w:t xml:space="preserve"> elle représente plus 65% des activités en milieu urbain</w:t>
      </w:r>
      <w:r w:rsidR="005436C0" w:rsidRPr="005436C0">
        <w:rPr>
          <w:rFonts w:ascii="Arial" w:hAnsi="Arial" w:cs="Arial"/>
        </w:rPr>
        <w:t xml:space="preserve">, </w:t>
      </w:r>
      <w:r w:rsidRPr="005436C0">
        <w:rPr>
          <w:rFonts w:ascii="Arial" w:hAnsi="Arial" w:cs="Arial"/>
        </w:rPr>
        <w:t xml:space="preserve">dont 65% </w:t>
      </w:r>
      <w:r w:rsidR="009528B4">
        <w:rPr>
          <w:rFonts w:ascii="Arial" w:hAnsi="Arial" w:cs="Arial"/>
        </w:rPr>
        <w:t xml:space="preserve">sont exercés par </w:t>
      </w:r>
      <w:r w:rsidRPr="005436C0">
        <w:rPr>
          <w:rFonts w:ascii="Arial" w:hAnsi="Arial" w:cs="Arial"/>
        </w:rPr>
        <w:t>des femmes et 63%</w:t>
      </w:r>
      <w:r w:rsidR="005436C0" w:rsidRPr="005436C0">
        <w:rPr>
          <w:rFonts w:ascii="Arial" w:hAnsi="Arial" w:cs="Arial"/>
        </w:rPr>
        <w:t xml:space="preserve">, </w:t>
      </w:r>
      <w:r w:rsidRPr="005436C0">
        <w:rPr>
          <w:rFonts w:ascii="Arial" w:hAnsi="Arial" w:cs="Arial"/>
        </w:rPr>
        <w:t>au niveau des jeunes</w:t>
      </w:r>
      <w:r w:rsidRPr="005436C0">
        <w:rPr>
          <w:rStyle w:val="Appelnotedebasdep"/>
          <w:rFonts w:ascii="Arial" w:hAnsi="Arial" w:cs="Arial"/>
        </w:rPr>
        <w:footnoteReference w:id="52"/>
      </w:r>
      <w:r w:rsidRPr="005436C0">
        <w:rPr>
          <w:rFonts w:ascii="Arial" w:hAnsi="Arial" w:cs="Arial"/>
        </w:rPr>
        <w:t xml:space="preserve">. </w:t>
      </w:r>
    </w:p>
    <w:p w14:paraId="6CAEC1FC" w14:textId="77777777" w:rsidR="00637007" w:rsidRPr="005436C0" w:rsidRDefault="00391F68" w:rsidP="00AF2ACD">
      <w:pPr>
        <w:jc w:val="both"/>
        <w:rPr>
          <w:rFonts w:ascii="Arial" w:hAnsi="Arial" w:cs="Arial"/>
        </w:rPr>
      </w:pPr>
      <w:r w:rsidRPr="005436C0">
        <w:rPr>
          <w:rFonts w:ascii="Arial" w:hAnsi="Arial" w:cs="Arial"/>
        </w:rPr>
        <w:t xml:space="preserve">Selon la </w:t>
      </w:r>
      <w:r w:rsidR="009528B4">
        <w:rPr>
          <w:rFonts w:ascii="Arial" w:hAnsi="Arial" w:cs="Arial"/>
        </w:rPr>
        <w:t>B</w:t>
      </w:r>
      <w:r w:rsidRPr="005436C0">
        <w:rPr>
          <w:rFonts w:ascii="Arial" w:hAnsi="Arial" w:cs="Arial"/>
        </w:rPr>
        <w:t>anque mondiale</w:t>
      </w:r>
      <w:r w:rsidRPr="005436C0">
        <w:rPr>
          <w:rStyle w:val="Appelnotedebasdep"/>
          <w:rFonts w:ascii="Arial" w:hAnsi="Arial" w:cs="Arial"/>
        </w:rPr>
        <w:footnoteReference w:id="53"/>
      </w:r>
      <w:r w:rsidRPr="005436C0">
        <w:rPr>
          <w:rFonts w:ascii="Arial" w:hAnsi="Arial" w:cs="Arial"/>
        </w:rPr>
        <w:t xml:space="preserve">, </w:t>
      </w:r>
      <w:r w:rsidR="005436C0" w:rsidRPr="005436C0">
        <w:rPr>
          <w:rFonts w:ascii="Arial" w:hAnsi="Arial" w:cs="Arial"/>
        </w:rPr>
        <w:t>l</w:t>
      </w:r>
      <w:r w:rsidR="00637007" w:rsidRPr="005436C0">
        <w:rPr>
          <w:rFonts w:ascii="Arial" w:hAnsi="Arial" w:cs="Arial"/>
        </w:rPr>
        <w:t>e secteur tertiaire contribue à 49,6% du PIB et emploie 27% de la population active. Le commerce a bien performé ces dernières années (avec une croissance d'environ 5% par an), ainsi que le tourisme, qui est l'un des principaux atouts du pays et dont le potentiel est encore inexploité.</w:t>
      </w:r>
    </w:p>
    <w:p w14:paraId="0754CF85" w14:textId="77777777" w:rsidR="00284743" w:rsidRPr="007540AE" w:rsidRDefault="00284743" w:rsidP="0044500E">
      <w:pPr>
        <w:pStyle w:val="TIT3"/>
        <w:numPr>
          <w:ilvl w:val="2"/>
          <w:numId w:val="177"/>
        </w:numPr>
      </w:pPr>
      <w:bookmarkStart w:id="431" w:name="_Toc124314677"/>
      <w:bookmarkStart w:id="432" w:name="_Toc124956155"/>
      <w:bookmarkStart w:id="433" w:name="_Toc125384554"/>
      <w:bookmarkStart w:id="434" w:name="_Toc125384943"/>
      <w:bookmarkStart w:id="435" w:name="_Toc127957615"/>
      <w:r w:rsidRPr="007540AE">
        <w:t>Secteur éducation</w:t>
      </w:r>
      <w:bookmarkEnd w:id="431"/>
      <w:bookmarkEnd w:id="432"/>
      <w:bookmarkEnd w:id="433"/>
      <w:bookmarkEnd w:id="434"/>
      <w:bookmarkEnd w:id="435"/>
      <w:r w:rsidRPr="007540AE">
        <w:t xml:space="preserve"> </w:t>
      </w:r>
    </w:p>
    <w:p w14:paraId="5BA9D53E" w14:textId="77777777" w:rsidR="00284743" w:rsidRPr="00340B95" w:rsidRDefault="00284743" w:rsidP="0044500E">
      <w:pPr>
        <w:pStyle w:val="TIT40"/>
        <w:numPr>
          <w:ilvl w:val="3"/>
          <w:numId w:val="177"/>
        </w:numPr>
        <w:outlineLvl w:val="3"/>
      </w:pPr>
      <w:bookmarkStart w:id="436" w:name="_Toc124314678"/>
      <w:bookmarkStart w:id="437" w:name="_Toc124956156"/>
      <w:bookmarkStart w:id="438" w:name="_Toc125384555"/>
      <w:bookmarkStart w:id="439" w:name="_Toc125384944"/>
      <w:bookmarkStart w:id="440" w:name="_Toc127957616"/>
      <w:r w:rsidRPr="00340B95">
        <w:t>Niveau d’éducation</w:t>
      </w:r>
      <w:bookmarkEnd w:id="436"/>
      <w:bookmarkEnd w:id="437"/>
      <w:bookmarkEnd w:id="438"/>
      <w:bookmarkEnd w:id="439"/>
      <w:bookmarkEnd w:id="440"/>
      <w:r w:rsidRPr="00340B95">
        <w:t xml:space="preserve"> </w:t>
      </w:r>
    </w:p>
    <w:p w14:paraId="1D6680A5" w14:textId="77777777" w:rsidR="00340B95" w:rsidRPr="005436C0" w:rsidRDefault="2CABB99F" w:rsidP="00340B95">
      <w:pPr>
        <w:jc w:val="both"/>
        <w:rPr>
          <w:rFonts w:ascii="Arial" w:hAnsi="Arial" w:cs="Arial"/>
        </w:rPr>
      </w:pPr>
      <w:r w:rsidRPr="005436C0">
        <w:rPr>
          <w:rFonts w:ascii="Arial" w:hAnsi="Arial" w:cs="Arial"/>
        </w:rPr>
        <w:t>En termes de niveau d’éducation, la qualité de la population potentiellement active est assez faible à Madagascar. D’après l’analyse statistique de l’INSTAT en 2021</w:t>
      </w:r>
      <w:r w:rsidR="00340B95" w:rsidRPr="005436C0">
        <w:rPr>
          <w:rStyle w:val="Appelnotedebasdep"/>
          <w:rFonts w:ascii="Arial" w:hAnsi="Arial" w:cs="Arial"/>
        </w:rPr>
        <w:footnoteReference w:id="54"/>
      </w:r>
      <w:r w:rsidRPr="005436C0">
        <w:rPr>
          <w:rFonts w:ascii="Arial" w:hAnsi="Arial" w:cs="Arial"/>
        </w:rPr>
        <w:t xml:space="preserve">, environ 70% des </w:t>
      </w:r>
      <w:r w:rsidR="2FBACD85" w:rsidRPr="005436C0">
        <w:rPr>
          <w:rFonts w:ascii="Arial" w:hAnsi="Arial" w:cs="Arial"/>
        </w:rPr>
        <w:t>M</w:t>
      </w:r>
      <w:r w:rsidRPr="005436C0">
        <w:rPr>
          <w:rFonts w:ascii="Arial" w:hAnsi="Arial" w:cs="Arial"/>
        </w:rPr>
        <w:t xml:space="preserve">alagasy ne dépassent </w:t>
      </w:r>
      <w:r w:rsidR="2E12BDA9">
        <w:rPr>
          <w:rFonts w:ascii="Arial" w:hAnsi="Arial" w:cs="Arial"/>
        </w:rPr>
        <w:t xml:space="preserve">pas </w:t>
      </w:r>
      <w:r w:rsidRPr="005436C0">
        <w:rPr>
          <w:rFonts w:ascii="Arial" w:hAnsi="Arial" w:cs="Arial"/>
        </w:rPr>
        <w:t xml:space="preserve">le niveau primaire en 2018 (23% sont sans instruction et 47% ont un niveau primaire). Cet écart est plus flagrant entre le milieu urbain et </w:t>
      </w:r>
      <w:r w:rsidR="2E12BDA9">
        <w:rPr>
          <w:rFonts w:ascii="Arial" w:hAnsi="Arial" w:cs="Arial"/>
        </w:rPr>
        <w:t xml:space="preserve">le milieu </w:t>
      </w:r>
      <w:r w:rsidRPr="005436C0">
        <w:rPr>
          <w:rFonts w:ascii="Arial" w:hAnsi="Arial" w:cs="Arial"/>
        </w:rPr>
        <w:t>rural. En effet</w:t>
      </w:r>
      <w:r w:rsidR="2E12BDA9">
        <w:rPr>
          <w:rFonts w:ascii="Arial" w:hAnsi="Arial" w:cs="Arial"/>
        </w:rPr>
        <w:t>,</w:t>
      </w:r>
      <w:r w:rsidRPr="005436C0">
        <w:rPr>
          <w:rFonts w:ascii="Arial" w:hAnsi="Arial" w:cs="Arial"/>
        </w:rPr>
        <w:t xml:space="preserve"> si la proportion des individus ne dépassant pas le niveau primaire est relativement </w:t>
      </w:r>
      <w:r w:rsidRPr="005436C0">
        <w:rPr>
          <w:rFonts w:ascii="Arial" w:hAnsi="Arial" w:cs="Arial"/>
        </w:rPr>
        <w:lastRenderedPageBreak/>
        <w:t xml:space="preserve">faible en milieu urbain avec un taux de l’ordre de 42%, dans le milieu rural ce taux est égal à 82%. Suivant le sexe, la différence de pourcentage des hommes et des femmes qui ne dépassent pas le primaire n’est pas </w:t>
      </w:r>
      <w:r w:rsidR="2FBACD85" w:rsidRPr="005436C0">
        <w:rPr>
          <w:rFonts w:ascii="Arial" w:hAnsi="Arial" w:cs="Arial"/>
        </w:rPr>
        <w:t>significatif</w:t>
      </w:r>
      <w:r w:rsidRPr="005436C0">
        <w:rPr>
          <w:rFonts w:ascii="Arial" w:hAnsi="Arial" w:cs="Arial"/>
        </w:rPr>
        <w:t xml:space="preserve"> avec un taux respectivement égal à 70% et 71%.</w:t>
      </w:r>
    </w:p>
    <w:p w14:paraId="0061FA9C" w14:textId="77777777" w:rsidR="005D1F11" w:rsidRPr="005436C0" w:rsidRDefault="00340B95" w:rsidP="00284743">
      <w:pPr>
        <w:jc w:val="both"/>
        <w:rPr>
          <w:rFonts w:ascii="Arial" w:hAnsi="Arial" w:cs="Arial"/>
        </w:rPr>
      </w:pPr>
      <w:r w:rsidRPr="005436C0">
        <w:rPr>
          <w:rFonts w:ascii="Arial" w:hAnsi="Arial" w:cs="Arial"/>
        </w:rPr>
        <w:t>Suivant l</w:t>
      </w:r>
      <w:r w:rsidR="005436C0" w:rsidRPr="005436C0">
        <w:rPr>
          <w:rFonts w:ascii="Arial" w:hAnsi="Arial" w:cs="Arial"/>
        </w:rPr>
        <w:t>e</w:t>
      </w:r>
      <w:r w:rsidRPr="005436C0">
        <w:rPr>
          <w:rFonts w:ascii="Arial" w:hAnsi="Arial" w:cs="Arial"/>
        </w:rPr>
        <w:t xml:space="preserve"> graphique </w:t>
      </w:r>
      <w:r w:rsidR="006F45CC">
        <w:rPr>
          <w:rFonts w:ascii="Arial" w:hAnsi="Arial" w:cs="Arial"/>
        </w:rPr>
        <w:t xml:space="preserve">de la figure </w:t>
      </w:r>
      <w:r w:rsidR="009528B4">
        <w:rPr>
          <w:rFonts w:ascii="Arial" w:hAnsi="Arial" w:cs="Arial"/>
        </w:rPr>
        <w:t>ci-dessous</w:t>
      </w:r>
      <w:r w:rsidRPr="005436C0">
        <w:rPr>
          <w:rFonts w:ascii="Arial" w:hAnsi="Arial" w:cs="Arial"/>
        </w:rPr>
        <w:t>, les personnes handicapées sont les moins instruit</w:t>
      </w:r>
      <w:r w:rsidR="005436C0" w:rsidRPr="005436C0">
        <w:rPr>
          <w:rFonts w:ascii="Arial" w:hAnsi="Arial" w:cs="Arial"/>
        </w:rPr>
        <w:t xml:space="preserve">es </w:t>
      </w:r>
      <w:r w:rsidR="005D1F11" w:rsidRPr="005436C0">
        <w:rPr>
          <w:rFonts w:ascii="Arial" w:hAnsi="Arial" w:cs="Arial"/>
        </w:rPr>
        <w:t>puisque</w:t>
      </w:r>
      <w:r w:rsidRPr="005436C0">
        <w:rPr>
          <w:rFonts w:ascii="Arial" w:hAnsi="Arial" w:cs="Arial"/>
        </w:rPr>
        <w:t xml:space="preserve"> 31,4% </w:t>
      </w:r>
      <w:r w:rsidR="005D1F11" w:rsidRPr="005436C0">
        <w:rPr>
          <w:rFonts w:ascii="Arial" w:hAnsi="Arial" w:cs="Arial"/>
        </w:rPr>
        <w:t>d’entre e</w:t>
      </w:r>
      <w:r w:rsidR="0080792F">
        <w:rPr>
          <w:rFonts w:ascii="Arial" w:hAnsi="Arial" w:cs="Arial"/>
        </w:rPr>
        <w:t>lles</w:t>
      </w:r>
      <w:r w:rsidR="005D1F11" w:rsidRPr="005436C0">
        <w:rPr>
          <w:rFonts w:ascii="Arial" w:hAnsi="Arial" w:cs="Arial"/>
        </w:rPr>
        <w:t xml:space="preserve"> sont sans instruction, suivi</w:t>
      </w:r>
      <w:r w:rsidR="0080792F">
        <w:rPr>
          <w:rFonts w:ascii="Arial" w:hAnsi="Arial" w:cs="Arial"/>
        </w:rPr>
        <w:t>es</w:t>
      </w:r>
      <w:r w:rsidR="005D1F11" w:rsidRPr="005436C0">
        <w:rPr>
          <w:rFonts w:ascii="Arial" w:hAnsi="Arial" w:cs="Arial"/>
        </w:rPr>
        <w:t xml:space="preserve"> par les personnes âgées avec un taux de 30,9%. Pour les femmes et les jeunes, les personnes sans instruction</w:t>
      </w:r>
      <w:r w:rsidR="005436C0" w:rsidRPr="005436C0">
        <w:rPr>
          <w:rFonts w:ascii="Arial" w:hAnsi="Arial" w:cs="Arial"/>
        </w:rPr>
        <w:t xml:space="preserve"> </w:t>
      </w:r>
      <w:r w:rsidR="005D1F11" w:rsidRPr="005436C0">
        <w:rPr>
          <w:rFonts w:ascii="Arial" w:hAnsi="Arial" w:cs="Arial"/>
        </w:rPr>
        <w:t>représente</w:t>
      </w:r>
      <w:r w:rsidR="005436C0" w:rsidRPr="005436C0">
        <w:rPr>
          <w:rFonts w:ascii="Arial" w:hAnsi="Arial" w:cs="Arial"/>
        </w:rPr>
        <w:t xml:space="preserve">nt </w:t>
      </w:r>
      <w:r w:rsidR="005D1F11" w:rsidRPr="005436C0">
        <w:rPr>
          <w:rFonts w:ascii="Arial" w:hAnsi="Arial" w:cs="Arial"/>
        </w:rPr>
        <w:t>respectivement 22%</w:t>
      </w:r>
      <w:r w:rsidR="005436C0" w:rsidRPr="005436C0">
        <w:rPr>
          <w:rFonts w:ascii="Arial" w:hAnsi="Arial" w:cs="Arial"/>
        </w:rPr>
        <w:t xml:space="preserve"> </w:t>
      </w:r>
      <w:r w:rsidR="005D1F11" w:rsidRPr="005436C0">
        <w:rPr>
          <w:rFonts w:ascii="Arial" w:hAnsi="Arial" w:cs="Arial"/>
        </w:rPr>
        <w:t xml:space="preserve">et 25% de la population. </w:t>
      </w:r>
    </w:p>
    <w:p w14:paraId="49D7DCC8" w14:textId="0A317CB7" w:rsidR="00284743" w:rsidRDefault="00E97ECD" w:rsidP="007A11DD">
      <w:pPr>
        <w:jc w:val="center"/>
        <w:rPr>
          <w:rFonts w:ascii="Arial" w:hAnsi="Arial" w:cs="Arial"/>
          <w:color w:val="FF0000"/>
        </w:rPr>
      </w:pPr>
      <w:r w:rsidRPr="00977215">
        <w:rPr>
          <w:noProof/>
          <w:lang w:eastAsia="fr-FR"/>
        </w:rPr>
        <w:drawing>
          <wp:inline distT="0" distB="0" distL="0" distR="0" wp14:anchorId="591D610D" wp14:editId="2F4F2454">
            <wp:extent cx="4572000" cy="2752725"/>
            <wp:effectExtent l="0" t="0" r="0" b="0"/>
            <wp:docPr id="32" name="Graphiqu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7"/>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793DC1A4" w14:textId="77777777" w:rsidR="00284743" w:rsidRPr="007A11DD" w:rsidRDefault="007A11DD" w:rsidP="007A11DD">
      <w:pPr>
        <w:pStyle w:val="Lgende"/>
        <w:jc w:val="center"/>
        <w:rPr>
          <w:color w:val="auto"/>
          <w:sz w:val="22"/>
        </w:rPr>
      </w:pPr>
      <w:bookmarkStart w:id="441" w:name="_Toc125402458"/>
      <w:r w:rsidRPr="007A11DD">
        <w:rPr>
          <w:color w:val="auto"/>
          <w:sz w:val="22"/>
        </w:rPr>
        <w:t xml:space="preserve">Figure </w:t>
      </w:r>
      <w:r w:rsidRPr="007A11DD">
        <w:rPr>
          <w:color w:val="auto"/>
          <w:sz w:val="22"/>
        </w:rPr>
        <w:fldChar w:fldCharType="begin"/>
      </w:r>
      <w:r w:rsidRPr="007A11DD">
        <w:rPr>
          <w:color w:val="auto"/>
          <w:sz w:val="22"/>
        </w:rPr>
        <w:instrText xml:space="preserve"> SEQ Figure \* ARABIC </w:instrText>
      </w:r>
      <w:r w:rsidRPr="007A11DD">
        <w:rPr>
          <w:color w:val="auto"/>
          <w:sz w:val="22"/>
        </w:rPr>
        <w:fldChar w:fldCharType="separate"/>
      </w:r>
      <w:r w:rsidR="000D22D0">
        <w:rPr>
          <w:noProof/>
          <w:color w:val="auto"/>
          <w:sz w:val="22"/>
        </w:rPr>
        <w:t>16</w:t>
      </w:r>
      <w:r w:rsidRPr="007A11DD">
        <w:rPr>
          <w:color w:val="auto"/>
          <w:sz w:val="22"/>
        </w:rPr>
        <w:fldChar w:fldCharType="end"/>
      </w:r>
      <w:r w:rsidRPr="007A11DD">
        <w:rPr>
          <w:color w:val="auto"/>
          <w:sz w:val="22"/>
        </w:rPr>
        <w:t xml:space="preserve">. </w:t>
      </w:r>
      <w:r w:rsidR="001D3A29" w:rsidRPr="007A11DD">
        <w:rPr>
          <w:color w:val="auto"/>
          <w:sz w:val="22"/>
        </w:rPr>
        <w:t>Niveau d’</w:t>
      </w:r>
      <w:r w:rsidRPr="007A11DD">
        <w:rPr>
          <w:color w:val="auto"/>
          <w:sz w:val="22"/>
        </w:rPr>
        <w:t>éducation de la population locale</w:t>
      </w:r>
      <w:bookmarkEnd w:id="441"/>
      <w:r w:rsidRPr="007A11DD">
        <w:rPr>
          <w:color w:val="auto"/>
          <w:sz w:val="22"/>
        </w:rPr>
        <w:t xml:space="preserve"> </w:t>
      </w:r>
    </w:p>
    <w:p w14:paraId="513AA8C3" w14:textId="77777777" w:rsidR="007213FD" w:rsidRPr="005D1F11" w:rsidRDefault="007213FD" w:rsidP="0044500E">
      <w:pPr>
        <w:pStyle w:val="TIT40"/>
        <w:numPr>
          <w:ilvl w:val="3"/>
          <w:numId w:val="177"/>
        </w:numPr>
        <w:outlineLvl w:val="3"/>
      </w:pPr>
      <w:bookmarkStart w:id="442" w:name="_Toc124314679"/>
      <w:bookmarkStart w:id="443" w:name="_Toc124956157"/>
      <w:bookmarkStart w:id="444" w:name="_Toc125384556"/>
      <w:bookmarkStart w:id="445" w:name="_Toc125384945"/>
      <w:bookmarkStart w:id="446" w:name="_Toc127957617"/>
      <w:r w:rsidRPr="005D1F11">
        <w:t>Aptitude à parler une langue</w:t>
      </w:r>
      <w:bookmarkEnd w:id="442"/>
      <w:bookmarkEnd w:id="443"/>
      <w:bookmarkEnd w:id="444"/>
      <w:bookmarkEnd w:id="445"/>
      <w:bookmarkEnd w:id="446"/>
      <w:r w:rsidRPr="005D1F11">
        <w:t xml:space="preserve"> </w:t>
      </w:r>
    </w:p>
    <w:p w14:paraId="5269282A" w14:textId="77777777" w:rsidR="007213FD" w:rsidRPr="005436C0" w:rsidRDefault="005D1F11" w:rsidP="00284743">
      <w:pPr>
        <w:jc w:val="both"/>
        <w:rPr>
          <w:rFonts w:ascii="Arial" w:hAnsi="Arial" w:cs="Arial"/>
        </w:rPr>
      </w:pPr>
      <w:r w:rsidRPr="005436C0">
        <w:rPr>
          <w:rFonts w:ascii="Arial" w:hAnsi="Arial" w:cs="Arial"/>
        </w:rPr>
        <w:t>L’aptitude à comprendre (</w:t>
      </w:r>
      <w:r w:rsidR="009528B4" w:rsidRPr="005436C0">
        <w:rPr>
          <w:rFonts w:ascii="Arial" w:hAnsi="Arial" w:cs="Arial"/>
        </w:rPr>
        <w:t>parl</w:t>
      </w:r>
      <w:r w:rsidR="009528B4">
        <w:rPr>
          <w:rFonts w:ascii="Arial" w:hAnsi="Arial" w:cs="Arial"/>
        </w:rPr>
        <w:t xml:space="preserve">er </w:t>
      </w:r>
      <w:r w:rsidRPr="005436C0">
        <w:rPr>
          <w:rFonts w:ascii="Arial" w:hAnsi="Arial" w:cs="Arial"/>
        </w:rPr>
        <w:t xml:space="preserve">et écrire) une langue étrangère </w:t>
      </w:r>
      <w:r w:rsidR="006F45CC">
        <w:rPr>
          <w:rFonts w:ascii="Arial" w:hAnsi="Arial" w:cs="Arial"/>
        </w:rPr>
        <w:t xml:space="preserve">(tableau ci après) </w:t>
      </w:r>
      <w:r w:rsidRPr="005436C0">
        <w:rPr>
          <w:rFonts w:ascii="Arial" w:hAnsi="Arial" w:cs="Arial"/>
        </w:rPr>
        <w:t>est très important</w:t>
      </w:r>
      <w:r w:rsidR="005436C0" w:rsidRPr="005436C0">
        <w:rPr>
          <w:rFonts w:ascii="Arial" w:hAnsi="Arial" w:cs="Arial"/>
        </w:rPr>
        <w:t xml:space="preserve">e </w:t>
      </w:r>
      <w:r w:rsidRPr="005436C0">
        <w:rPr>
          <w:rFonts w:ascii="Arial" w:hAnsi="Arial" w:cs="Arial"/>
        </w:rPr>
        <w:t>dans la numérique. Effectivement, une grande partie des applications et des informations sur l’internet sont en langue étrangère (anglais, français, e</w:t>
      </w:r>
      <w:r w:rsidR="005436C0" w:rsidRPr="005436C0">
        <w:rPr>
          <w:rFonts w:ascii="Arial" w:hAnsi="Arial" w:cs="Arial"/>
        </w:rPr>
        <w:t>tc</w:t>
      </w:r>
      <w:r w:rsidRPr="005436C0">
        <w:rPr>
          <w:rFonts w:ascii="Arial" w:hAnsi="Arial" w:cs="Arial"/>
        </w:rPr>
        <w:t>.). Les personnes capables de parler, écrire une langue étrangère à Madagascar restent très faible</w:t>
      </w:r>
      <w:r w:rsidR="005436C0" w:rsidRPr="005436C0">
        <w:rPr>
          <w:rFonts w:ascii="Arial" w:hAnsi="Arial" w:cs="Arial"/>
        </w:rPr>
        <w:t>s.</w:t>
      </w:r>
      <w:r w:rsidRPr="005436C0">
        <w:rPr>
          <w:rFonts w:ascii="Arial" w:hAnsi="Arial" w:cs="Arial"/>
        </w:rPr>
        <w:t xml:space="preserve"> Même si la langue française fait partie de la langue d’enseignement à Madagascar, seul</w:t>
      </w:r>
      <w:r w:rsidR="005436C0" w:rsidRPr="005436C0">
        <w:rPr>
          <w:rFonts w:ascii="Arial" w:hAnsi="Arial" w:cs="Arial"/>
        </w:rPr>
        <w:t xml:space="preserve">s </w:t>
      </w:r>
      <w:r w:rsidRPr="005436C0">
        <w:rPr>
          <w:rFonts w:ascii="Arial" w:hAnsi="Arial" w:cs="Arial"/>
        </w:rPr>
        <w:t>30% des jeunes ont vraiment la capacité de parler et écrire le français, ce taux est de 27% pour les femmes et 26</w:t>
      </w:r>
      <w:r w:rsidR="00997DD9">
        <w:rPr>
          <w:rFonts w:ascii="Arial" w:hAnsi="Arial" w:cs="Arial"/>
        </w:rPr>
        <w:t>%</w:t>
      </w:r>
      <w:r w:rsidRPr="005436C0">
        <w:rPr>
          <w:rFonts w:ascii="Arial" w:hAnsi="Arial" w:cs="Arial"/>
        </w:rPr>
        <w:t xml:space="preserve"> pour les personnes âgées. En ce qui concerne l’anglais</w:t>
      </w:r>
      <w:r w:rsidR="005436C0" w:rsidRPr="005436C0">
        <w:rPr>
          <w:rFonts w:ascii="Arial" w:hAnsi="Arial" w:cs="Arial"/>
        </w:rPr>
        <w:t xml:space="preserve">, </w:t>
      </w:r>
      <w:r w:rsidRPr="005436C0">
        <w:rPr>
          <w:rFonts w:ascii="Arial" w:hAnsi="Arial" w:cs="Arial"/>
        </w:rPr>
        <w:t>ce taux varie de 7% (personnes âgées) à 13% (jeunes)</w:t>
      </w:r>
      <w:r w:rsidR="005436C0" w:rsidRPr="005436C0">
        <w:rPr>
          <w:rFonts w:ascii="Arial" w:hAnsi="Arial" w:cs="Arial"/>
        </w:rPr>
        <w:t xml:space="preserve">. </w:t>
      </w:r>
    </w:p>
    <w:p w14:paraId="2736BF9B" w14:textId="77777777" w:rsidR="005D1F11" w:rsidRPr="005D1F11" w:rsidRDefault="005D1F11" w:rsidP="005D1F11">
      <w:pPr>
        <w:pStyle w:val="Lgende"/>
        <w:jc w:val="center"/>
        <w:rPr>
          <w:sz w:val="20"/>
        </w:rPr>
      </w:pPr>
      <w:bookmarkStart w:id="447" w:name="_Toc127957807"/>
      <w:r w:rsidRPr="005D1F11">
        <w:rPr>
          <w:sz w:val="20"/>
        </w:rPr>
        <w:t xml:space="preserve">Tableau </w:t>
      </w:r>
      <w:r w:rsidRPr="005D1F11">
        <w:rPr>
          <w:sz w:val="20"/>
        </w:rPr>
        <w:fldChar w:fldCharType="begin"/>
      </w:r>
      <w:r w:rsidRPr="005D1F11">
        <w:rPr>
          <w:sz w:val="20"/>
        </w:rPr>
        <w:instrText xml:space="preserve"> SEQ Tableau \* ARABIC </w:instrText>
      </w:r>
      <w:r w:rsidRPr="005D1F11">
        <w:rPr>
          <w:sz w:val="20"/>
        </w:rPr>
        <w:fldChar w:fldCharType="separate"/>
      </w:r>
      <w:r w:rsidR="005430A1">
        <w:rPr>
          <w:noProof/>
          <w:sz w:val="20"/>
        </w:rPr>
        <w:t>11</w:t>
      </w:r>
      <w:r w:rsidRPr="005D1F11">
        <w:rPr>
          <w:sz w:val="20"/>
        </w:rPr>
        <w:fldChar w:fldCharType="end"/>
      </w:r>
      <w:r w:rsidRPr="005D1F11">
        <w:rPr>
          <w:sz w:val="20"/>
        </w:rPr>
        <w:t>. Taux d’aptitude à parler et écrire une langue</w:t>
      </w:r>
      <w:bookmarkEnd w:id="447"/>
      <w:r w:rsidRPr="005D1F11">
        <w:rPr>
          <w:sz w:val="20"/>
        </w:rPr>
        <w:t xml:space="preserve"> </w:t>
      </w:r>
    </w:p>
    <w:tbl>
      <w:tblPr>
        <w:tblW w:w="7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3"/>
        <w:gridCol w:w="1280"/>
        <w:gridCol w:w="1118"/>
        <w:gridCol w:w="979"/>
        <w:gridCol w:w="1202"/>
      </w:tblGrid>
      <w:tr w:rsidR="007213FD" w:rsidRPr="007F78CE" w14:paraId="57B6872C" w14:textId="77777777" w:rsidTr="08964A2F">
        <w:trPr>
          <w:trHeight w:val="300"/>
          <w:tblHeader/>
          <w:jc w:val="center"/>
        </w:trPr>
        <w:tc>
          <w:tcPr>
            <w:tcW w:w="2513" w:type="dxa"/>
            <w:vMerge w:val="restart"/>
            <w:shd w:val="clear" w:color="auto" w:fill="0070C0"/>
            <w:noWrap/>
            <w:vAlign w:val="bottom"/>
            <w:hideMark/>
          </w:tcPr>
          <w:p w14:paraId="7A6169CF" w14:textId="77777777" w:rsidR="007213FD" w:rsidRPr="007213FD" w:rsidRDefault="007213FD" w:rsidP="007213FD">
            <w:pPr>
              <w:spacing w:after="0" w:line="240" w:lineRule="auto"/>
              <w:jc w:val="center"/>
              <w:rPr>
                <w:rFonts w:ascii="Arial" w:eastAsia="Times New Roman" w:hAnsi="Arial" w:cs="Arial"/>
                <w:color w:val="000000"/>
                <w:lang w:eastAsia="fr-FR"/>
              </w:rPr>
            </w:pPr>
          </w:p>
        </w:tc>
        <w:tc>
          <w:tcPr>
            <w:tcW w:w="4579" w:type="dxa"/>
            <w:gridSpan w:val="4"/>
            <w:shd w:val="clear" w:color="auto" w:fill="0070C0"/>
            <w:noWrap/>
            <w:vAlign w:val="center"/>
            <w:hideMark/>
          </w:tcPr>
          <w:p w14:paraId="06251580" w14:textId="77777777" w:rsidR="007213FD" w:rsidRPr="007F78CE" w:rsidRDefault="007213FD" w:rsidP="00795311">
            <w:pPr>
              <w:spacing w:after="0" w:line="240" w:lineRule="auto"/>
              <w:jc w:val="center"/>
              <w:rPr>
                <w:rFonts w:ascii="Arial" w:eastAsia="Times New Roman" w:hAnsi="Arial" w:cs="Arial"/>
                <w:b/>
                <w:color w:val="FFFFFF"/>
                <w:lang w:eastAsia="fr-FR"/>
              </w:rPr>
            </w:pPr>
            <w:r w:rsidRPr="007F78CE">
              <w:rPr>
                <w:rFonts w:ascii="Arial" w:eastAsia="Times New Roman" w:hAnsi="Arial" w:cs="Arial"/>
                <w:b/>
                <w:color w:val="FFFFFF"/>
                <w:lang w:eastAsia="fr-FR"/>
              </w:rPr>
              <w:t>Langue Parlée et Ecrit</w:t>
            </w:r>
            <w:r w:rsidR="0080792F">
              <w:rPr>
                <w:rFonts w:ascii="Arial" w:eastAsia="Times New Roman" w:hAnsi="Arial" w:cs="Arial"/>
                <w:b/>
                <w:color w:val="FFFFFF"/>
                <w:lang w:eastAsia="fr-FR"/>
              </w:rPr>
              <w:t>e</w:t>
            </w:r>
          </w:p>
        </w:tc>
      </w:tr>
      <w:tr w:rsidR="007213FD" w:rsidRPr="007F78CE" w14:paraId="377CFB4F" w14:textId="77777777" w:rsidTr="08964A2F">
        <w:trPr>
          <w:trHeight w:val="300"/>
          <w:tblHeader/>
          <w:jc w:val="center"/>
        </w:trPr>
        <w:tc>
          <w:tcPr>
            <w:tcW w:w="2513" w:type="dxa"/>
            <w:vMerge/>
            <w:vAlign w:val="center"/>
            <w:hideMark/>
          </w:tcPr>
          <w:p w14:paraId="106C7B41" w14:textId="77777777" w:rsidR="007213FD" w:rsidRPr="007213FD" w:rsidRDefault="007213FD" w:rsidP="007213FD">
            <w:pPr>
              <w:spacing w:after="0" w:line="240" w:lineRule="auto"/>
              <w:rPr>
                <w:rFonts w:ascii="Arial" w:eastAsia="Times New Roman" w:hAnsi="Arial" w:cs="Arial"/>
                <w:color w:val="000000"/>
                <w:lang w:eastAsia="fr-FR"/>
              </w:rPr>
            </w:pPr>
          </w:p>
        </w:tc>
        <w:tc>
          <w:tcPr>
            <w:tcW w:w="1280" w:type="dxa"/>
            <w:shd w:val="clear" w:color="auto" w:fill="0070C0"/>
            <w:noWrap/>
            <w:vAlign w:val="center"/>
            <w:hideMark/>
          </w:tcPr>
          <w:p w14:paraId="2CC11F0B" w14:textId="77777777" w:rsidR="007213FD" w:rsidRPr="007F78CE" w:rsidRDefault="007213FD" w:rsidP="00795311">
            <w:pPr>
              <w:spacing w:after="0" w:line="240" w:lineRule="auto"/>
              <w:jc w:val="center"/>
              <w:rPr>
                <w:rFonts w:ascii="Arial" w:eastAsia="Times New Roman" w:hAnsi="Arial" w:cs="Arial"/>
                <w:b/>
                <w:color w:val="FFFFFF"/>
                <w:lang w:eastAsia="fr-FR"/>
              </w:rPr>
            </w:pPr>
            <w:r w:rsidRPr="007F78CE">
              <w:rPr>
                <w:rFonts w:ascii="Arial" w:eastAsia="Times New Roman" w:hAnsi="Arial" w:cs="Arial"/>
                <w:b/>
                <w:color w:val="FFFFFF"/>
                <w:lang w:eastAsia="fr-FR"/>
              </w:rPr>
              <w:t>Malagasy</w:t>
            </w:r>
          </w:p>
        </w:tc>
        <w:tc>
          <w:tcPr>
            <w:tcW w:w="1118" w:type="dxa"/>
            <w:shd w:val="clear" w:color="auto" w:fill="0070C0"/>
            <w:noWrap/>
            <w:vAlign w:val="center"/>
            <w:hideMark/>
          </w:tcPr>
          <w:p w14:paraId="07D0A5D7" w14:textId="77777777" w:rsidR="007213FD" w:rsidRPr="007F78CE" w:rsidRDefault="007213FD" w:rsidP="00795311">
            <w:pPr>
              <w:spacing w:after="0" w:line="240" w:lineRule="auto"/>
              <w:jc w:val="center"/>
              <w:rPr>
                <w:rFonts w:ascii="Arial" w:eastAsia="Times New Roman" w:hAnsi="Arial" w:cs="Arial"/>
                <w:b/>
                <w:color w:val="FFFFFF"/>
                <w:lang w:eastAsia="fr-FR"/>
              </w:rPr>
            </w:pPr>
            <w:r w:rsidRPr="007F78CE">
              <w:rPr>
                <w:rFonts w:ascii="Arial" w:eastAsia="Times New Roman" w:hAnsi="Arial" w:cs="Arial"/>
                <w:b/>
                <w:color w:val="FFFFFF"/>
                <w:lang w:eastAsia="fr-FR"/>
              </w:rPr>
              <w:t>Français</w:t>
            </w:r>
          </w:p>
        </w:tc>
        <w:tc>
          <w:tcPr>
            <w:tcW w:w="979" w:type="dxa"/>
            <w:shd w:val="clear" w:color="auto" w:fill="0070C0"/>
            <w:noWrap/>
            <w:vAlign w:val="center"/>
            <w:hideMark/>
          </w:tcPr>
          <w:p w14:paraId="6A76EF76" w14:textId="77777777" w:rsidR="007213FD" w:rsidRPr="007F78CE" w:rsidRDefault="007213FD" w:rsidP="00795311">
            <w:pPr>
              <w:spacing w:after="0" w:line="240" w:lineRule="auto"/>
              <w:jc w:val="center"/>
              <w:rPr>
                <w:rFonts w:ascii="Arial" w:eastAsia="Times New Roman" w:hAnsi="Arial" w:cs="Arial"/>
                <w:b/>
                <w:color w:val="FFFFFF"/>
                <w:lang w:eastAsia="fr-FR"/>
              </w:rPr>
            </w:pPr>
            <w:r w:rsidRPr="007F78CE">
              <w:rPr>
                <w:rFonts w:ascii="Arial" w:eastAsia="Times New Roman" w:hAnsi="Arial" w:cs="Arial"/>
                <w:b/>
                <w:color w:val="FFFFFF"/>
                <w:lang w:eastAsia="fr-FR"/>
              </w:rPr>
              <w:t>Anglais</w:t>
            </w:r>
          </w:p>
        </w:tc>
        <w:tc>
          <w:tcPr>
            <w:tcW w:w="1202" w:type="dxa"/>
            <w:shd w:val="clear" w:color="auto" w:fill="0070C0"/>
            <w:noWrap/>
            <w:vAlign w:val="center"/>
            <w:hideMark/>
          </w:tcPr>
          <w:p w14:paraId="6FCD7135" w14:textId="77777777" w:rsidR="007213FD" w:rsidRPr="007F78CE" w:rsidRDefault="007213FD" w:rsidP="00795311">
            <w:pPr>
              <w:spacing w:after="0" w:line="240" w:lineRule="auto"/>
              <w:jc w:val="center"/>
              <w:rPr>
                <w:rFonts w:ascii="Arial" w:eastAsia="Times New Roman" w:hAnsi="Arial" w:cs="Arial"/>
                <w:b/>
                <w:color w:val="FFFFFF"/>
                <w:lang w:eastAsia="fr-FR"/>
              </w:rPr>
            </w:pPr>
            <w:r w:rsidRPr="007F78CE">
              <w:rPr>
                <w:rFonts w:ascii="Arial" w:eastAsia="Times New Roman" w:hAnsi="Arial" w:cs="Arial"/>
                <w:b/>
                <w:color w:val="FFFFFF"/>
                <w:lang w:eastAsia="fr-FR"/>
              </w:rPr>
              <w:t>Autres langues</w:t>
            </w:r>
          </w:p>
        </w:tc>
      </w:tr>
      <w:tr w:rsidR="007213FD" w:rsidRPr="007F78CE" w14:paraId="2B8EAE18" w14:textId="77777777" w:rsidTr="08964A2F">
        <w:trPr>
          <w:trHeight w:val="300"/>
          <w:jc w:val="center"/>
        </w:trPr>
        <w:tc>
          <w:tcPr>
            <w:tcW w:w="2513" w:type="dxa"/>
            <w:shd w:val="clear" w:color="auto" w:fill="auto"/>
            <w:noWrap/>
            <w:vAlign w:val="bottom"/>
            <w:hideMark/>
          </w:tcPr>
          <w:p w14:paraId="50C1E5AF" w14:textId="77777777" w:rsidR="007213FD" w:rsidRPr="007213FD" w:rsidRDefault="007213FD" w:rsidP="007213FD">
            <w:pPr>
              <w:spacing w:after="0" w:line="240" w:lineRule="auto"/>
              <w:rPr>
                <w:rFonts w:ascii="Arial" w:eastAsia="Times New Roman" w:hAnsi="Arial" w:cs="Arial"/>
                <w:color w:val="000000"/>
                <w:lang w:eastAsia="fr-FR"/>
              </w:rPr>
            </w:pPr>
            <w:r w:rsidRPr="007213FD">
              <w:rPr>
                <w:rFonts w:ascii="Arial" w:eastAsia="Times New Roman" w:hAnsi="Arial" w:cs="Arial"/>
                <w:color w:val="000000"/>
                <w:lang w:eastAsia="fr-FR"/>
              </w:rPr>
              <w:t>Femme</w:t>
            </w:r>
            <w:r w:rsidR="00936C83">
              <w:rPr>
                <w:rFonts w:ascii="Arial" w:eastAsia="Times New Roman" w:hAnsi="Arial" w:cs="Arial"/>
                <w:color w:val="000000"/>
                <w:lang w:eastAsia="fr-FR"/>
              </w:rPr>
              <w:t>s</w:t>
            </w:r>
          </w:p>
        </w:tc>
        <w:tc>
          <w:tcPr>
            <w:tcW w:w="1280" w:type="dxa"/>
            <w:shd w:val="clear" w:color="auto" w:fill="auto"/>
            <w:noWrap/>
            <w:vAlign w:val="bottom"/>
            <w:hideMark/>
          </w:tcPr>
          <w:p w14:paraId="39953833" w14:textId="77777777" w:rsidR="007213FD" w:rsidRPr="007213FD" w:rsidRDefault="007213FD" w:rsidP="007213FD">
            <w:pPr>
              <w:spacing w:after="0" w:line="240" w:lineRule="auto"/>
              <w:jc w:val="right"/>
              <w:rPr>
                <w:rFonts w:ascii="Arial" w:eastAsia="Times New Roman" w:hAnsi="Arial" w:cs="Arial"/>
                <w:color w:val="000000"/>
                <w:lang w:eastAsia="fr-FR"/>
              </w:rPr>
            </w:pPr>
            <w:r w:rsidRPr="007213FD">
              <w:rPr>
                <w:rFonts w:ascii="Arial" w:eastAsia="Times New Roman" w:hAnsi="Arial" w:cs="Arial"/>
                <w:color w:val="000000"/>
                <w:lang w:eastAsia="fr-FR"/>
              </w:rPr>
              <w:t>99,9</w:t>
            </w:r>
          </w:p>
        </w:tc>
        <w:tc>
          <w:tcPr>
            <w:tcW w:w="1118" w:type="dxa"/>
            <w:shd w:val="clear" w:color="auto" w:fill="auto"/>
            <w:noWrap/>
            <w:vAlign w:val="bottom"/>
            <w:hideMark/>
          </w:tcPr>
          <w:p w14:paraId="2C99DD43" w14:textId="77777777" w:rsidR="007213FD" w:rsidRPr="007213FD" w:rsidRDefault="007213FD" w:rsidP="007213FD">
            <w:pPr>
              <w:spacing w:after="0" w:line="240" w:lineRule="auto"/>
              <w:jc w:val="right"/>
              <w:rPr>
                <w:rFonts w:ascii="Arial" w:eastAsia="Times New Roman" w:hAnsi="Arial" w:cs="Arial"/>
                <w:color w:val="000000"/>
                <w:lang w:eastAsia="fr-FR"/>
              </w:rPr>
            </w:pPr>
            <w:r w:rsidRPr="007213FD">
              <w:rPr>
                <w:rFonts w:ascii="Arial" w:eastAsia="Times New Roman" w:hAnsi="Arial" w:cs="Arial"/>
                <w:color w:val="000000"/>
                <w:lang w:eastAsia="fr-FR"/>
              </w:rPr>
              <w:t>27,4</w:t>
            </w:r>
          </w:p>
        </w:tc>
        <w:tc>
          <w:tcPr>
            <w:tcW w:w="979" w:type="dxa"/>
            <w:shd w:val="clear" w:color="auto" w:fill="auto"/>
            <w:noWrap/>
            <w:vAlign w:val="bottom"/>
            <w:hideMark/>
          </w:tcPr>
          <w:p w14:paraId="25CA19ED" w14:textId="77777777" w:rsidR="007213FD" w:rsidRPr="007213FD" w:rsidRDefault="007213FD" w:rsidP="007213FD">
            <w:pPr>
              <w:spacing w:after="0" w:line="240" w:lineRule="auto"/>
              <w:jc w:val="right"/>
              <w:rPr>
                <w:rFonts w:ascii="Arial" w:eastAsia="Times New Roman" w:hAnsi="Arial" w:cs="Arial"/>
                <w:color w:val="000000"/>
                <w:lang w:eastAsia="fr-FR"/>
              </w:rPr>
            </w:pPr>
            <w:r w:rsidRPr="007213FD">
              <w:rPr>
                <w:rFonts w:ascii="Arial" w:eastAsia="Times New Roman" w:hAnsi="Arial" w:cs="Arial"/>
                <w:color w:val="000000"/>
                <w:lang w:eastAsia="fr-FR"/>
              </w:rPr>
              <w:t>10,6</w:t>
            </w:r>
          </w:p>
        </w:tc>
        <w:tc>
          <w:tcPr>
            <w:tcW w:w="1202" w:type="dxa"/>
            <w:shd w:val="clear" w:color="auto" w:fill="auto"/>
            <w:noWrap/>
            <w:vAlign w:val="bottom"/>
            <w:hideMark/>
          </w:tcPr>
          <w:p w14:paraId="5551509E" w14:textId="77777777" w:rsidR="007213FD" w:rsidRPr="007213FD" w:rsidRDefault="007213FD" w:rsidP="007213FD">
            <w:pPr>
              <w:spacing w:after="0" w:line="240" w:lineRule="auto"/>
              <w:jc w:val="right"/>
              <w:rPr>
                <w:rFonts w:ascii="Arial" w:eastAsia="Times New Roman" w:hAnsi="Arial" w:cs="Arial"/>
                <w:color w:val="000000"/>
                <w:lang w:eastAsia="fr-FR"/>
              </w:rPr>
            </w:pPr>
            <w:r w:rsidRPr="007213FD">
              <w:rPr>
                <w:rFonts w:ascii="Arial" w:eastAsia="Times New Roman" w:hAnsi="Arial" w:cs="Arial"/>
                <w:color w:val="000000"/>
                <w:lang w:eastAsia="fr-FR"/>
              </w:rPr>
              <w:t>0,8</w:t>
            </w:r>
          </w:p>
        </w:tc>
      </w:tr>
      <w:tr w:rsidR="007213FD" w:rsidRPr="007F78CE" w14:paraId="1A0B4C51" w14:textId="77777777" w:rsidTr="08964A2F">
        <w:trPr>
          <w:trHeight w:val="300"/>
          <w:jc w:val="center"/>
        </w:trPr>
        <w:tc>
          <w:tcPr>
            <w:tcW w:w="2513" w:type="dxa"/>
            <w:shd w:val="clear" w:color="auto" w:fill="auto"/>
            <w:noWrap/>
            <w:vAlign w:val="bottom"/>
            <w:hideMark/>
          </w:tcPr>
          <w:p w14:paraId="1BB98964" w14:textId="77777777" w:rsidR="007213FD" w:rsidRPr="007213FD" w:rsidRDefault="007213FD" w:rsidP="007213FD">
            <w:pPr>
              <w:spacing w:after="0" w:line="240" w:lineRule="auto"/>
              <w:rPr>
                <w:rFonts w:ascii="Arial" w:eastAsia="Times New Roman" w:hAnsi="Arial" w:cs="Arial"/>
                <w:color w:val="000000"/>
                <w:lang w:eastAsia="fr-FR"/>
              </w:rPr>
            </w:pPr>
            <w:r w:rsidRPr="007213FD">
              <w:rPr>
                <w:rFonts w:ascii="Arial" w:eastAsia="Times New Roman" w:hAnsi="Arial" w:cs="Arial"/>
                <w:color w:val="000000"/>
                <w:lang w:eastAsia="fr-FR"/>
              </w:rPr>
              <w:t xml:space="preserve">Jeunes </w:t>
            </w:r>
          </w:p>
        </w:tc>
        <w:tc>
          <w:tcPr>
            <w:tcW w:w="1280" w:type="dxa"/>
            <w:shd w:val="clear" w:color="auto" w:fill="auto"/>
            <w:noWrap/>
            <w:vAlign w:val="bottom"/>
            <w:hideMark/>
          </w:tcPr>
          <w:p w14:paraId="37D87D6C" w14:textId="77777777" w:rsidR="007213FD" w:rsidRPr="007213FD" w:rsidRDefault="007213FD" w:rsidP="007213FD">
            <w:pPr>
              <w:spacing w:after="0" w:line="240" w:lineRule="auto"/>
              <w:jc w:val="right"/>
              <w:rPr>
                <w:rFonts w:ascii="Arial" w:eastAsia="Times New Roman" w:hAnsi="Arial" w:cs="Arial"/>
                <w:color w:val="000000"/>
                <w:lang w:eastAsia="fr-FR"/>
              </w:rPr>
            </w:pPr>
            <w:r w:rsidRPr="007213FD">
              <w:rPr>
                <w:rFonts w:ascii="Arial" w:eastAsia="Times New Roman" w:hAnsi="Arial" w:cs="Arial"/>
                <w:color w:val="000000"/>
                <w:lang w:eastAsia="fr-FR"/>
              </w:rPr>
              <w:t>99,9</w:t>
            </w:r>
          </w:p>
        </w:tc>
        <w:tc>
          <w:tcPr>
            <w:tcW w:w="1118" w:type="dxa"/>
            <w:shd w:val="clear" w:color="auto" w:fill="auto"/>
            <w:noWrap/>
            <w:vAlign w:val="bottom"/>
            <w:hideMark/>
          </w:tcPr>
          <w:p w14:paraId="075065A4" w14:textId="77777777" w:rsidR="007213FD" w:rsidRPr="007213FD" w:rsidRDefault="007213FD" w:rsidP="007213FD">
            <w:pPr>
              <w:spacing w:after="0" w:line="240" w:lineRule="auto"/>
              <w:jc w:val="right"/>
              <w:rPr>
                <w:rFonts w:ascii="Arial" w:eastAsia="Times New Roman" w:hAnsi="Arial" w:cs="Arial"/>
                <w:color w:val="000000"/>
                <w:lang w:eastAsia="fr-FR"/>
              </w:rPr>
            </w:pPr>
            <w:r w:rsidRPr="007213FD">
              <w:rPr>
                <w:rFonts w:ascii="Arial" w:eastAsia="Times New Roman" w:hAnsi="Arial" w:cs="Arial"/>
                <w:color w:val="000000"/>
                <w:lang w:eastAsia="fr-FR"/>
              </w:rPr>
              <w:t>30</w:t>
            </w:r>
          </w:p>
        </w:tc>
        <w:tc>
          <w:tcPr>
            <w:tcW w:w="979" w:type="dxa"/>
            <w:shd w:val="clear" w:color="auto" w:fill="auto"/>
            <w:noWrap/>
            <w:vAlign w:val="bottom"/>
            <w:hideMark/>
          </w:tcPr>
          <w:p w14:paraId="3257EA0B" w14:textId="77777777" w:rsidR="007213FD" w:rsidRPr="007213FD" w:rsidRDefault="007213FD" w:rsidP="007213FD">
            <w:pPr>
              <w:spacing w:after="0" w:line="240" w:lineRule="auto"/>
              <w:jc w:val="right"/>
              <w:rPr>
                <w:rFonts w:ascii="Arial" w:eastAsia="Times New Roman" w:hAnsi="Arial" w:cs="Arial"/>
                <w:color w:val="000000"/>
                <w:lang w:eastAsia="fr-FR"/>
              </w:rPr>
            </w:pPr>
            <w:r w:rsidRPr="007213FD">
              <w:rPr>
                <w:rFonts w:ascii="Arial" w:eastAsia="Times New Roman" w:hAnsi="Arial" w:cs="Arial"/>
                <w:color w:val="000000"/>
                <w:lang w:eastAsia="fr-FR"/>
              </w:rPr>
              <w:t>13</w:t>
            </w:r>
          </w:p>
        </w:tc>
        <w:tc>
          <w:tcPr>
            <w:tcW w:w="1202" w:type="dxa"/>
            <w:shd w:val="clear" w:color="auto" w:fill="auto"/>
            <w:noWrap/>
            <w:vAlign w:val="bottom"/>
            <w:hideMark/>
          </w:tcPr>
          <w:p w14:paraId="71BA7AF0" w14:textId="77777777" w:rsidR="007213FD" w:rsidRPr="007213FD" w:rsidRDefault="007213FD" w:rsidP="007213FD">
            <w:pPr>
              <w:spacing w:after="0" w:line="240" w:lineRule="auto"/>
              <w:jc w:val="right"/>
              <w:rPr>
                <w:rFonts w:ascii="Arial" w:eastAsia="Times New Roman" w:hAnsi="Arial" w:cs="Arial"/>
                <w:color w:val="000000"/>
                <w:lang w:eastAsia="fr-FR"/>
              </w:rPr>
            </w:pPr>
            <w:r w:rsidRPr="007213FD">
              <w:rPr>
                <w:rFonts w:ascii="Arial" w:eastAsia="Times New Roman" w:hAnsi="Arial" w:cs="Arial"/>
                <w:color w:val="000000"/>
                <w:lang w:eastAsia="fr-FR"/>
              </w:rPr>
              <w:t>0,9</w:t>
            </w:r>
          </w:p>
        </w:tc>
      </w:tr>
      <w:tr w:rsidR="007213FD" w:rsidRPr="007F78CE" w14:paraId="04783EDA" w14:textId="77777777" w:rsidTr="08964A2F">
        <w:trPr>
          <w:trHeight w:val="300"/>
          <w:jc w:val="center"/>
        </w:trPr>
        <w:tc>
          <w:tcPr>
            <w:tcW w:w="2513" w:type="dxa"/>
            <w:shd w:val="clear" w:color="auto" w:fill="auto"/>
            <w:noWrap/>
            <w:vAlign w:val="bottom"/>
            <w:hideMark/>
          </w:tcPr>
          <w:p w14:paraId="3E7B6E1B" w14:textId="77777777" w:rsidR="007213FD" w:rsidRPr="007213FD" w:rsidRDefault="0D2D3B60" w:rsidP="007213FD">
            <w:pPr>
              <w:spacing w:after="0" w:line="240" w:lineRule="auto"/>
              <w:rPr>
                <w:rFonts w:ascii="Arial" w:eastAsia="Times New Roman" w:hAnsi="Arial" w:cs="Arial"/>
                <w:color w:val="000000"/>
                <w:lang w:eastAsia="fr-FR"/>
              </w:rPr>
            </w:pPr>
            <w:r w:rsidRPr="005D6D41">
              <w:rPr>
                <w:rFonts w:ascii="Arial" w:eastAsia="Times New Roman" w:hAnsi="Arial" w:cs="Arial"/>
                <w:color w:val="000000"/>
                <w:lang w:eastAsia="fr-FR"/>
              </w:rPr>
              <w:t>Personne</w:t>
            </w:r>
            <w:r w:rsidR="37C9879E" w:rsidRPr="005D6D41">
              <w:rPr>
                <w:rFonts w:ascii="Arial" w:eastAsia="Times New Roman" w:hAnsi="Arial" w:cs="Arial"/>
                <w:color w:val="000000"/>
                <w:lang w:eastAsia="fr-FR"/>
              </w:rPr>
              <w:t>s</w:t>
            </w:r>
            <w:r w:rsidRPr="005D6D41">
              <w:rPr>
                <w:rFonts w:ascii="Arial" w:eastAsia="Times New Roman" w:hAnsi="Arial" w:cs="Arial"/>
                <w:color w:val="000000"/>
                <w:lang w:eastAsia="fr-FR"/>
              </w:rPr>
              <w:t xml:space="preserve"> âgée</w:t>
            </w:r>
            <w:r w:rsidR="09774569" w:rsidRPr="005D6D41">
              <w:rPr>
                <w:rFonts w:ascii="Arial" w:eastAsia="Times New Roman" w:hAnsi="Arial" w:cs="Arial"/>
                <w:color w:val="000000"/>
                <w:lang w:eastAsia="fr-FR"/>
              </w:rPr>
              <w:t>s</w:t>
            </w:r>
          </w:p>
        </w:tc>
        <w:tc>
          <w:tcPr>
            <w:tcW w:w="1280" w:type="dxa"/>
            <w:shd w:val="clear" w:color="auto" w:fill="auto"/>
            <w:noWrap/>
            <w:vAlign w:val="bottom"/>
            <w:hideMark/>
          </w:tcPr>
          <w:p w14:paraId="203BE1DE" w14:textId="77777777" w:rsidR="007213FD" w:rsidRPr="007213FD" w:rsidRDefault="007213FD" w:rsidP="007213FD">
            <w:pPr>
              <w:spacing w:after="0" w:line="240" w:lineRule="auto"/>
              <w:jc w:val="right"/>
              <w:rPr>
                <w:rFonts w:ascii="Arial" w:eastAsia="Times New Roman" w:hAnsi="Arial" w:cs="Arial"/>
                <w:color w:val="000000"/>
                <w:lang w:eastAsia="fr-FR"/>
              </w:rPr>
            </w:pPr>
            <w:r w:rsidRPr="007213FD">
              <w:rPr>
                <w:rFonts w:ascii="Arial" w:eastAsia="Times New Roman" w:hAnsi="Arial" w:cs="Arial"/>
                <w:color w:val="000000"/>
                <w:lang w:eastAsia="fr-FR"/>
              </w:rPr>
              <w:t>99,9</w:t>
            </w:r>
          </w:p>
        </w:tc>
        <w:tc>
          <w:tcPr>
            <w:tcW w:w="1118" w:type="dxa"/>
            <w:shd w:val="clear" w:color="auto" w:fill="auto"/>
            <w:noWrap/>
            <w:vAlign w:val="bottom"/>
            <w:hideMark/>
          </w:tcPr>
          <w:p w14:paraId="3454D63E" w14:textId="77777777" w:rsidR="007213FD" w:rsidRPr="007213FD" w:rsidRDefault="007213FD" w:rsidP="007213FD">
            <w:pPr>
              <w:spacing w:after="0" w:line="240" w:lineRule="auto"/>
              <w:jc w:val="right"/>
              <w:rPr>
                <w:rFonts w:ascii="Arial" w:eastAsia="Times New Roman" w:hAnsi="Arial" w:cs="Arial"/>
                <w:color w:val="000000"/>
                <w:lang w:eastAsia="fr-FR"/>
              </w:rPr>
            </w:pPr>
            <w:r w:rsidRPr="007213FD">
              <w:rPr>
                <w:rFonts w:ascii="Arial" w:eastAsia="Times New Roman" w:hAnsi="Arial" w:cs="Arial"/>
                <w:color w:val="000000"/>
                <w:lang w:eastAsia="fr-FR"/>
              </w:rPr>
              <w:t>26,3</w:t>
            </w:r>
          </w:p>
        </w:tc>
        <w:tc>
          <w:tcPr>
            <w:tcW w:w="979" w:type="dxa"/>
            <w:shd w:val="clear" w:color="auto" w:fill="auto"/>
            <w:noWrap/>
            <w:vAlign w:val="bottom"/>
            <w:hideMark/>
          </w:tcPr>
          <w:p w14:paraId="35ABE523" w14:textId="77777777" w:rsidR="007213FD" w:rsidRPr="007213FD" w:rsidRDefault="007213FD" w:rsidP="007213FD">
            <w:pPr>
              <w:spacing w:after="0" w:line="240" w:lineRule="auto"/>
              <w:jc w:val="right"/>
              <w:rPr>
                <w:rFonts w:ascii="Arial" w:eastAsia="Times New Roman" w:hAnsi="Arial" w:cs="Arial"/>
                <w:color w:val="000000"/>
                <w:lang w:eastAsia="fr-FR"/>
              </w:rPr>
            </w:pPr>
            <w:r w:rsidRPr="007213FD">
              <w:rPr>
                <w:rFonts w:ascii="Arial" w:eastAsia="Times New Roman" w:hAnsi="Arial" w:cs="Arial"/>
                <w:color w:val="000000"/>
                <w:lang w:eastAsia="fr-FR"/>
              </w:rPr>
              <w:t>7,3</w:t>
            </w:r>
          </w:p>
        </w:tc>
        <w:tc>
          <w:tcPr>
            <w:tcW w:w="1202" w:type="dxa"/>
            <w:shd w:val="clear" w:color="auto" w:fill="auto"/>
            <w:noWrap/>
            <w:vAlign w:val="bottom"/>
            <w:hideMark/>
          </w:tcPr>
          <w:p w14:paraId="1E8236AD" w14:textId="77777777" w:rsidR="007213FD" w:rsidRPr="007213FD" w:rsidRDefault="007213FD" w:rsidP="007213FD">
            <w:pPr>
              <w:spacing w:after="0" w:line="240" w:lineRule="auto"/>
              <w:jc w:val="right"/>
              <w:rPr>
                <w:rFonts w:ascii="Arial" w:eastAsia="Times New Roman" w:hAnsi="Arial" w:cs="Arial"/>
                <w:color w:val="000000"/>
                <w:lang w:eastAsia="fr-FR"/>
              </w:rPr>
            </w:pPr>
            <w:r w:rsidRPr="007213FD">
              <w:rPr>
                <w:rFonts w:ascii="Arial" w:eastAsia="Times New Roman" w:hAnsi="Arial" w:cs="Arial"/>
                <w:color w:val="000000"/>
                <w:lang w:eastAsia="fr-FR"/>
              </w:rPr>
              <w:t>0,9</w:t>
            </w:r>
          </w:p>
        </w:tc>
      </w:tr>
      <w:tr w:rsidR="007213FD" w:rsidRPr="007F78CE" w14:paraId="30E4CF6F" w14:textId="77777777" w:rsidTr="08964A2F">
        <w:trPr>
          <w:trHeight w:val="300"/>
          <w:jc w:val="center"/>
        </w:trPr>
        <w:tc>
          <w:tcPr>
            <w:tcW w:w="2513" w:type="dxa"/>
            <w:shd w:val="clear" w:color="auto" w:fill="auto"/>
            <w:noWrap/>
            <w:vAlign w:val="bottom"/>
            <w:hideMark/>
          </w:tcPr>
          <w:p w14:paraId="140FE6EC" w14:textId="77777777" w:rsidR="007213FD" w:rsidRPr="007213FD" w:rsidRDefault="0D2D3B60" w:rsidP="007213FD">
            <w:pPr>
              <w:spacing w:after="0" w:line="240" w:lineRule="auto"/>
              <w:rPr>
                <w:rFonts w:ascii="Arial" w:eastAsia="Times New Roman" w:hAnsi="Arial" w:cs="Arial"/>
                <w:color w:val="000000"/>
                <w:lang w:eastAsia="fr-FR"/>
              </w:rPr>
            </w:pPr>
            <w:r w:rsidRPr="005D6D41">
              <w:rPr>
                <w:rFonts w:ascii="Arial" w:eastAsia="Times New Roman" w:hAnsi="Arial" w:cs="Arial"/>
                <w:color w:val="000000"/>
                <w:lang w:eastAsia="fr-FR"/>
              </w:rPr>
              <w:t>Personne</w:t>
            </w:r>
            <w:r w:rsidR="5E58B992" w:rsidRPr="005D6D41">
              <w:rPr>
                <w:rFonts w:ascii="Arial" w:eastAsia="Times New Roman" w:hAnsi="Arial" w:cs="Arial"/>
                <w:color w:val="000000"/>
                <w:lang w:eastAsia="fr-FR"/>
              </w:rPr>
              <w:t>s</w:t>
            </w:r>
            <w:r w:rsidRPr="005D6D41">
              <w:rPr>
                <w:rFonts w:ascii="Arial" w:eastAsia="Times New Roman" w:hAnsi="Arial" w:cs="Arial"/>
                <w:color w:val="000000"/>
                <w:lang w:eastAsia="fr-FR"/>
              </w:rPr>
              <w:t xml:space="preserve"> handicapées</w:t>
            </w:r>
          </w:p>
        </w:tc>
        <w:tc>
          <w:tcPr>
            <w:tcW w:w="1280" w:type="dxa"/>
            <w:shd w:val="clear" w:color="auto" w:fill="auto"/>
            <w:noWrap/>
            <w:vAlign w:val="center"/>
            <w:hideMark/>
          </w:tcPr>
          <w:p w14:paraId="411AA847" w14:textId="77777777" w:rsidR="007213FD" w:rsidRPr="007213FD" w:rsidRDefault="007213FD" w:rsidP="007213FD">
            <w:pPr>
              <w:spacing w:after="0" w:line="240" w:lineRule="auto"/>
              <w:jc w:val="center"/>
              <w:rPr>
                <w:rFonts w:ascii="Arial" w:eastAsia="Times New Roman" w:hAnsi="Arial" w:cs="Arial"/>
                <w:color w:val="000000"/>
                <w:lang w:eastAsia="fr-FR"/>
              </w:rPr>
            </w:pPr>
            <w:r w:rsidRPr="007213FD">
              <w:rPr>
                <w:rFonts w:ascii="Arial" w:eastAsia="Times New Roman" w:hAnsi="Arial" w:cs="Arial"/>
                <w:color w:val="000000"/>
                <w:lang w:eastAsia="fr-FR"/>
              </w:rPr>
              <w:t>Nd</w:t>
            </w:r>
          </w:p>
        </w:tc>
        <w:tc>
          <w:tcPr>
            <w:tcW w:w="1118" w:type="dxa"/>
            <w:shd w:val="clear" w:color="auto" w:fill="auto"/>
            <w:noWrap/>
            <w:vAlign w:val="center"/>
            <w:hideMark/>
          </w:tcPr>
          <w:p w14:paraId="36B67CA4" w14:textId="77777777" w:rsidR="007213FD" w:rsidRPr="007213FD" w:rsidRDefault="007213FD" w:rsidP="007213FD">
            <w:pPr>
              <w:spacing w:after="0" w:line="240" w:lineRule="auto"/>
              <w:jc w:val="center"/>
              <w:rPr>
                <w:rFonts w:ascii="Arial" w:eastAsia="Times New Roman" w:hAnsi="Arial" w:cs="Arial"/>
                <w:color w:val="000000"/>
                <w:lang w:eastAsia="fr-FR"/>
              </w:rPr>
            </w:pPr>
            <w:r w:rsidRPr="007213FD">
              <w:rPr>
                <w:rFonts w:ascii="Arial" w:eastAsia="Times New Roman" w:hAnsi="Arial" w:cs="Arial"/>
                <w:color w:val="000000"/>
                <w:lang w:eastAsia="fr-FR"/>
              </w:rPr>
              <w:t>Nd</w:t>
            </w:r>
          </w:p>
        </w:tc>
        <w:tc>
          <w:tcPr>
            <w:tcW w:w="979" w:type="dxa"/>
            <w:shd w:val="clear" w:color="auto" w:fill="auto"/>
            <w:noWrap/>
            <w:vAlign w:val="center"/>
            <w:hideMark/>
          </w:tcPr>
          <w:p w14:paraId="11D8790C" w14:textId="77777777" w:rsidR="007213FD" w:rsidRPr="007213FD" w:rsidRDefault="007213FD" w:rsidP="007213FD">
            <w:pPr>
              <w:spacing w:after="0" w:line="240" w:lineRule="auto"/>
              <w:jc w:val="center"/>
              <w:rPr>
                <w:rFonts w:ascii="Arial" w:eastAsia="Times New Roman" w:hAnsi="Arial" w:cs="Arial"/>
                <w:color w:val="000000"/>
                <w:lang w:eastAsia="fr-FR"/>
              </w:rPr>
            </w:pPr>
            <w:r w:rsidRPr="007213FD">
              <w:rPr>
                <w:rFonts w:ascii="Arial" w:eastAsia="Times New Roman" w:hAnsi="Arial" w:cs="Arial"/>
                <w:color w:val="000000"/>
                <w:lang w:eastAsia="fr-FR"/>
              </w:rPr>
              <w:t>Nd</w:t>
            </w:r>
          </w:p>
        </w:tc>
        <w:tc>
          <w:tcPr>
            <w:tcW w:w="1202" w:type="dxa"/>
            <w:shd w:val="clear" w:color="auto" w:fill="auto"/>
            <w:noWrap/>
            <w:vAlign w:val="center"/>
            <w:hideMark/>
          </w:tcPr>
          <w:p w14:paraId="38A87031" w14:textId="77777777" w:rsidR="007213FD" w:rsidRPr="007213FD" w:rsidRDefault="007213FD" w:rsidP="007213FD">
            <w:pPr>
              <w:spacing w:after="0" w:line="240" w:lineRule="auto"/>
              <w:jc w:val="center"/>
              <w:rPr>
                <w:rFonts w:ascii="Arial" w:eastAsia="Times New Roman" w:hAnsi="Arial" w:cs="Arial"/>
                <w:color w:val="000000"/>
                <w:lang w:eastAsia="fr-FR"/>
              </w:rPr>
            </w:pPr>
            <w:r w:rsidRPr="007213FD">
              <w:rPr>
                <w:rFonts w:ascii="Arial" w:eastAsia="Times New Roman" w:hAnsi="Arial" w:cs="Arial"/>
                <w:color w:val="000000"/>
                <w:lang w:eastAsia="fr-FR"/>
              </w:rPr>
              <w:t>Nd</w:t>
            </w:r>
          </w:p>
        </w:tc>
      </w:tr>
    </w:tbl>
    <w:p w14:paraId="54F6A1AD" w14:textId="77777777" w:rsidR="007213FD" w:rsidRDefault="007213FD" w:rsidP="00284743">
      <w:pPr>
        <w:jc w:val="both"/>
        <w:rPr>
          <w:rFonts w:ascii="Arial" w:hAnsi="Arial" w:cs="Arial"/>
          <w:color w:val="FF0000"/>
        </w:rPr>
      </w:pPr>
    </w:p>
    <w:p w14:paraId="14A54736" w14:textId="77777777" w:rsidR="007213FD" w:rsidRPr="005D1F11" w:rsidRDefault="007213FD" w:rsidP="0044500E">
      <w:pPr>
        <w:pStyle w:val="TIT40"/>
        <w:numPr>
          <w:ilvl w:val="3"/>
          <w:numId w:val="177"/>
        </w:numPr>
        <w:outlineLvl w:val="3"/>
      </w:pPr>
      <w:bookmarkStart w:id="448" w:name="_Toc124314680"/>
      <w:bookmarkStart w:id="449" w:name="_Toc124956158"/>
      <w:bookmarkStart w:id="450" w:name="_Toc125384557"/>
      <w:bookmarkStart w:id="451" w:name="_Toc125384946"/>
      <w:bookmarkStart w:id="452" w:name="_Toc127957618"/>
      <w:r w:rsidRPr="005D1F11">
        <w:lastRenderedPageBreak/>
        <w:t xml:space="preserve">Infrastructure </w:t>
      </w:r>
      <w:r w:rsidR="00A230C4">
        <w:t>scolaire</w:t>
      </w:r>
      <w:bookmarkEnd w:id="448"/>
      <w:bookmarkEnd w:id="449"/>
      <w:bookmarkEnd w:id="450"/>
      <w:bookmarkEnd w:id="451"/>
      <w:bookmarkEnd w:id="452"/>
      <w:r w:rsidR="00A230C4" w:rsidRPr="005D1F11">
        <w:t xml:space="preserve"> </w:t>
      </w:r>
    </w:p>
    <w:p w14:paraId="23A9A288" w14:textId="77777777" w:rsidR="005D1F11" w:rsidRPr="005436C0" w:rsidRDefault="005436C0" w:rsidP="005D1F11">
      <w:pPr>
        <w:jc w:val="both"/>
        <w:rPr>
          <w:rFonts w:ascii="Arial" w:hAnsi="Arial" w:cs="Arial"/>
        </w:rPr>
      </w:pPr>
      <w:r w:rsidRPr="005436C0">
        <w:rPr>
          <w:rFonts w:ascii="Arial" w:hAnsi="Arial" w:cs="Arial"/>
        </w:rPr>
        <w:t>L’infrastructure</w:t>
      </w:r>
      <w:r w:rsidR="005D1F11" w:rsidRPr="005436C0">
        <w:rPr>
          <w:rFonts w:ascii="Arial" w:hAnsi="Arial" w:cs="Arial"/>
        </w:rPr>
        <w:t xml:space="preserve"> scolaire publique </w:t>
      </w:r>
      <w:r w:rsidR="006F45CC">
        <w:rPr>
          <w:rFonts w:ascii="Arial" w:hAnsi="Arial" w:cs="Arial"/>
        </w:rPr>
        <w:t xml:space="preserve">(cf tableau suivant) </w:t>
      </w:r>
      <w:r w:rsidR="005D1F11" w:rsidRPr="005436C0">
        <w:rPr>
          <w:rFonts w:ascii="Arial" w:hAnsi="Arial" w:cs="Arial"/>
        </w:rPr>
        <w:t xml:space="preserve">épouse la politique de l’Administration avec au moins : </w:t>
      </w:r>
    </w:p>
    <w:p w14:paraId="3DCD12EC" w14:textId="77777777" w:rsidR="005D1F11" w:rsidRPr="005436C0" w:rsidRDefault="005D1F11" w:rsidP="00687DD2">
      <w:pPr>
        <w:pStyle w:val="Paragraphedeliste"/>
        <w:numPr>
          <w:ilvl w:val="0"/>
          <w:numId w:val="37"/>
        </w:numPr>
        <w:jc w:val="both"/>
        <w:rPr>
          <w:rFonts w:ascii="Arial" w:hAnsi="Arial" w:cs="Arial"/>
        </w:rPr>
      </w:pPr>
      <w:r w:rsidRPr="005436C0">
        <w:rPr>
          <w:rFonts w:ascii="Arial" w:hAnsi="Arial" w:cs="Arial"/>
        </w:rPr>
        <w:t xml:space="preserve">une École Primaire Publique (EPP) par Fokontany ; </w:t>
      </w:r>
    </w:p>
    <w:p w14:paraId="7F5BC790" w14:textId="77777777" w:rsidR="005D1F11" w:rsidRPr="005436C0" w:rsidRDefault="005D1F11" w:rsidP="00687DD2">
      <w:pPr>
        <w:pStyle w:val="Paragraphedeliste"/>
        <w:numPr>
          <w:ilvl w:val="0"/>
          <w:numId w:val="37"/>
        </w:numPr>
        <w:jc w:val="both"/>
        <w:rPr>
          <w:rFonts w:ascii="Arial" w:hAnsi="Arial" w:cs="Arial"/>
        </w:rPr>
      </w:pPr>
      <w:r w:rsidRPr="005436C0">
        <w:rPr>
          <w:rFonts w:ascii="Arial" w:hAnsi="Arial" w:cs="Arial"/>
        </w:rPr>
        <w:t xml:space="preserve">un Collège d’Enseignement Général (CEG) par Commune ; </w:t>
      </w:r>
    </w:p>
    <w:p w14:paraId="7F03EBB9" w14:textId="77777777" w:rsidR="005D1F11" w:rsidRPr="005436C0" w:rsidRDefault="005D1F11" w:rsidP="00687DD2">
      <w:pPr>
        <w:pStyle w:val="Paragraphedeliste"/>
        <w:numPr>
          <w:ilvl w:val="0"/>
          <w:numId w:val="37"/>
        </w:numPr>
        <w:jc w:val="both"/>
        <w:rPr>
          <w:rFonts w:ascii="Arial" w:hAnsi="Arial" w:cs="Arial"/>
        </w:rPr>
      </w:pPr>
      <w:r w:rsidRPr="005436C0">
        <w:rPr>
          <w:rFonts w:ascii="Arial" w:hAnsi="Arial" w:cs="Arial"/>
        </w:rPr>
        <w:t xml:space="preserve">un Lycée par District ; </w:t>
      </w:r>
    </w:p>
    <w:p w14:paraId="547727B2" w14:textId="77777777" w:rsidR="005D1F11" w:rsidRPr="005436C0" w:rsidRDefault="005D1F11" w:rsidP="00687DD2">
      <w:pPr>
        <w:pStyle w:val="Paragraphedeliste"/>
        <w:numPr>
          <w:ilvl w:val="0"/>
          <w:numId w:val="37"/>
        </w:numPr>
        <w:jc w:val="both"/>
        <w:rPr>
          <w:rFonts w:ascii="Arial" w:hAnsi="Arial" w:cs="Arial"/>
        </w:rPr>
      </w:pPr>
      <w:r w:rsidRPr="005436C0">
        <w:rPr>
          <w:rFonts w:ascii="Arial" w:hAnsi="Arial" w:cs="Arial"/>
        </w:rPr>
        <w:t xml:space="preserve">une Université par Région. </w:t>
      </w:r>
    </w:p>
    <w:p w14:paraId="7A3AAB81" w14:textId="77777777" w:rsidR="00536F83" w:rsidRPr="00536F83" w:rsidRDefault="00536F83" w:rsidP="00536F83">
      <w:pPr>
        <w:pStyle w:val="Lgende"/>
        <w:jc w:val="center"/>
        <w:rPr>
          <w:sz w:val="20"/>
        </w:rPr>
      </w:pPr>
      <w:bookmarkStart w:id="453" w:name="_Toc127957808"/>
      <w:r w:rsidRPr="00536F83">
        <w:rPr>
          <w:sz w:val="20"/>
        </w:rPr>
        <w:t xml:space="preserve">Tableau </w:t>
      </w:r>
      <w:r w:rsidRPr="00536F83">
        <w:rPr>
          <w:sz w:val="20"/>
        </w:rPr>
        <w:fldChar w:fldCharType="begin"/>
      </w:r>
      <w:r w:rsidRPr="00536F83">
        <w:rPr>
          <w:sz w:val="20"/>
        </w:rPr>
        <w:instrText xml:space="preserve"> SEQ Tableau \* ARABIC </w:instrText>
      </w:r>
      <w:r w:rsidRPr="00536F83">
        <w:rPr>
          <w:sz w:val="20"/>
        </w:rPr>
        <w:fldChar w:fldCharType="separate"/>
      </w:r>
      <w:r w:rsidR="005430A1">
        <w:rPr>
          <w:noProof/>
          <w:sz w:val="20"/>
        </w:rPr>
        <w:t>12</w:t>
      </w:r>
      <w:r w:rsidRPr="00536F83">
        <w:rPr>
          <w:sz w:val="20"/>
        </w:rPr>
        <w:fldChar w:fldCharType="end"/>
      </w:r>
      <w:r w:rsidRPr="00536F83">
        <w:rPr>
          <w:sz w:val="20"/>
        </w:rPr>
        <w:t>. Infrastructures Scolaire</w:t>
      </w:r>
      <w:r w:rsidR="00AB28C8">
        <w:rPr>
          <w:sz w:val="20"/>
        </w:rPr>
        <w:t>s</w:t>
      </w:r>
      <w:r w:rsidRPr="00536F83">
        <w:rPr>
          <w:sz w:val="20"/>
        </w:rPr>
        <w:t xml:space="preserve"> dans les Régions de Madagascar</w:t>
      </w:r>
      <w:bookmarkEnd w:id="453"/>
    </w:p>
    <w:tbl>
      <w:tblPr>
        <w:tblW w:w="8033" w:type="dxa"/>
        <w:jc w:val="center"/>
        <w:tblCellMar>
          <w:left w:w="70" w:type="dxa"/>
          <w:right w:w="70" w:type="dxa"/>
        </w:tblCellMar>
        <w:tblLook w:val="04A0" w:firstRow="1" w:lastRow="0" w:firstColumn="1" w:lastColumn="0" w:noHBand="0" w:noVBand="1"/>
      </w:tblPr>
      <w:tblGrid>
        <w:gridCol w:w="2542"/>
        <w:gridCol w:w="1040"/>
        <w:gridCol w:w="1260"/>
        <w:gridCol w:w="1260"/>
        <w:gridCol w:w="749"/>
        <w:gridCol w:w="710"/>
        <w:gridCol w:w="651"/>
      </w:tblGrid>
      <w:tr w:rsidR="00536F83" w:rsidRPr="007F78CE" w14:paraId="6691D039" w14:textId="77777777" w:rsidTr="00F016FE">
        <w:trPr>
          <w:trHeight w:val="405"/>
          <w:tblHeader/>
          <w:jc w:val="center"/>
        </w:trPr>
        <w:tc>
          <w:tcPr>
            <w:tcW w:w="2542" w:type="dxa"/>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7D27DE2" w14:textId="77777777" w:rsidR="00536F83" w:rsidRPr="007F78CE" w:rsidRDefault="00536F83" w:rsidP="00536F83">
            <w:pPr>
              <w:spacing w:after="0" w:line="240" w:lineRule="auto"/>
              <w:jc w:val="center"/>
              <w:rPr>
                <w:rFonts w:ascii="Arial" w:eastAsia="Times New Roman" w:hAnsi="Arial" w:cs="Arial"/>
                <w:b/>
                <w:bCs/>
                <w:color w:val="FFFFFF"/>
                <w:sz w:val="20"/>
                <w:szCs w:val="20"/>
                <w:lang w:eastAsia="fr-FR"/>
              </w:rPr>
            </w:pPr>
            <w:r w:rsidRPr="007F78CE">
              <w:rPr>
                <w:rFonts w:ascii="Arial" w:eastAsia="Times New Roman" w:hAnsi="Arial" w:cs="Arial"/>
                <w:b/>
                <w:bCs/>
                <w:color w:val="FFFFFF"/>
                <w:sz w:val="20"/>
                <w:szCs w:val="20"/>
                <w:lang w:eastAsia="fr-FR"/>
              </w:rPr>
              <w:t>Région</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134110F" w14:textId="77777777" w:rsidR="00536F83" w:rsidRPr="007F78CE" w:rsidRDefault="00536F83" w:rsidP="00536F83">
            <w:pPr>
              <w:spacing w:after="0" w:line="240" w:lineRule="auto"/>
              <w:jc w:val="center"/>
              <w:rPr>
                <w:rFonts w:ascii="Arial" w:eastAsia="Times New Roman" w:hAnsi="Arial" w:cs="Arial"/>
                <w:b/>
                <w:bCs/>
                <w:color w:val="FFFFFF"/>
                <w:sz w:val="20"/>
                <w:szCs w:val="20"/>
                <w:lang w:eastAsia="fr-FR"/>
              </w:rPr>
            </w:pPr>
            <w:r w:rsidRPr="007F78CE">
              <w:rPr>
                <w:rFonts w:ascii="Arial" w:eastAsia="Times New Roman" w:hAnsi="Arial" w:cs="Arial"/>
                <w:b/>
                <w:bCs/>
                <w:color w:val="FFFFFF"/>
                <w:sz w:val="20"/>
                <w:szCs w:val="20"/>
                <w:lang w:eastAsia="fr-FR"/>
              </w:rPr>
              <w:t>Nb District</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57F2AA3" w14:textId="77777777" w:rsidR="00536F83" w:rsidRPr="007F78CE" w:rsidRDefault="00536F83" w:rsidP="00536F83">
            <w:pPr>
              <w:spacing w:after="0" w:line="240" w:lineRule="auto"/>
              <w:jc w:val="center"/>
              <w:rPr>
                <w:rFonts w:ascii="Arial" w:eastAsia="Times New Roman" w:hAnsi="Arial" w:cs="Arial"/>
                <w:b/>
                <w:bCs/>
                <w:color w:val="FFFFFF"/>
                <w:sz w:val="20"/>
                <w:szCs w:val="20"/>
                <w:lang w:eastAsia="fr-FR"/>
              </w:rPr>
            </w:pPr>
            <w:r w:rsidRPr="007F78CE">
              <w:rPr>
                <w:rFonts w:ascii="Arial" w:eastAsia="Times New Roman" w:hAnsi="Arial" w:cs="Arial"/>
                <w:b/>
                <w:bCs/>
                <w:color w:val="FFFFFF"/>
                <w:sz w:val="20"/>
                <w:szCs w:val="20"/>
                <w:lang w:eastAsia="fr-FR"/>
              </w:rPr>
              <w:t>Nb Commune</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A93A646" w14:textId="77777777" w:rsidR="00536F83" w:rsidRPr="007F78CE" w:rsidRDefault="00536F83" w:rsidP="00536F83">
            <w:pPr>
              <w:spacing w:after="0" w:line="240" w:lineRule="auto"/>
              <w:jc w:val="center"/>
              <w:rPr>
                <w:rFonts w:ascii="Arial" w:eastAsia="Times New Roman" w:hAnsi="Arial" w:cs="Arial"/>
                <w:b/>
                <w:bCs/>
                <w:color w:val="FFFFFF"/>
                <w:sz w:val="20"/>
                <w:szCs w:val="20"/>
                <w:lang w:eastAsia="fr-FR"/>
              </w:rPr>
            </w:pPr>
            <w:r w:rsidRPr="007F78CE">
              <w:rPr>
                <w:rFonts w:ascii="Arial" w:eastAsia="Times New Roman" w:hAnsi="Arial" w:cs="Arial"/>
                <w:b/>
                <w:bCs/>
                <w:color w:val="FFFFFF"/>
                <w:sz w:val="20"/>
                <w:szCs w:val="20"/>
                <w:lang w:eastAsia="fr-FR"/>
              </w:rPr>
              <w:t>Nb Fokontany</w:t>
            </w:r>
          </w:p>
        </w:tc>
        <w:tc>
          <w:tcPr>
            <w:tcW w:w="1931" w:type="dxa"/>
            <w:gridSpan w:val="3"/>
            <w:tcBorders>
              <w:top w:val="single" w:sz="4" w:space="0" w:color="auto"/>
              <w:left w:val="nil"/>
              <w:bottom w:val="single" w:sz="4" w:space="0" w:color="auto"/>
              <w:right w:val="single" w:sz="4" w:space="0" w:color="auto"/>
            </w:tcBorders>
            <w:shd w:val="clear" w:color="auto" w:fill="0070C0"/>
            <w:vAlign w:val="center"/>
            <w:hideMark/>
          </w:tcPr>
          <w:p w14:paraId="6D5EBD51" w14:textId="77777777" w:rsidR="00536F83" w:rsidRPr="007F78CE" w:rsidRDefault="00536F83" w:rsidP="00536F83">
            <w:pPr>
              <w:spacing w:after="0" w:line="240" w:lineRule="auto"/>
              <w:jc w:val="center"/>
              <w:rPr>
                <w:rFonts w:ascii="Arial" w:eastAsia="Times New Roman" w:hAnsi="Arial" w:cs="Arial"/>
                <w:b/>
                <w:color w:val="FFFFFF"/>
                <w:lang w:eastAsia="fr-FR"/>
              </w:rPr>
            </w:pPr>
            <w:r w:rsidRPr="007F78CE">
              <w:rPr>
                <w:rFonts w:ascii="Arial" w:eastAsia="Times New Roman" w:hAnsi="Arial" w:cs="Arial"/>
                <w:b/>
                <w:color w:val="FFFFFF"/>
                <w:lang w:eastAsia="fr-FR"/>
              </w:rPr>
              <w:t>Nombre d'Ecole</w:t>
            </w:r>
            <w:r w:rsidR="0080792F">
              <w:rPr>
                <w:rFonts w:ascii="Arial" w:eastAsia="Times New Roman" w:hAnsi="Arial" w:cs="Arial"/>
                <w:b/>
                <w:color w:val="FFFFFF"/>
                <w:lang w:eastAsia="fr-FR"/>
              </w:rPr>
              <w:t>s</w:t>
            </w:r>
            <w:r w:rsidRPr="007F78CE">
              <w:rPr>
                <w:rFonts w:ascii="Arial" w:eastAsia="Times New Roman" w:hAnsi="Arial" w:cs="Arial"/>
                <w:b/>
                <w:color w:val="FFFFFF"/>
                <w:lang w:eastAsia="fr-FR"/>
              </w:rPr>
              <w:t xml:space="preserve"> Publi</w:t>
            </w:r>
            <w:r w:rsidR="0080792F">
              <w:rPr>
                <w:rFonts w:ascii="Arial" w:eastAsia="Times New Roman" w:hAnsi="Arial" w:cs="Arial"/>
                <w:b/>
                <w:color w:val="FFFFFF"/>
                <w:lang w:eastAsia="fr-FR"/>
              </w:rPr>
              <w:t>ques</w:t>
            </w:r>
          </w:p>
        </w:tc>
      </w:tr>
      <w:tr w:rsidR="00F016FE" w:rsidRPr="007F78CE" w14:paraId="5E4B29CB" w14:textId="77777777" w:rsidTr="00F016FE">
        <w:trPr>
          <w:trHeight w:val="480"/>
          <w:tblHeader/>
          <w:jc w:val="center"/>
        </w:trPr>
        <w:tc>
          <w:tcPr>
            <w:tcW w:w="2542"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02EE0808" w14:textId="77777777" w:rsidR="00536F83" w:rsidRPr="007F78CE" w:rsidRDefault="00536F83" w:rsidP="00536F83">
            <w:pPr>
              <w:spacing w:after="0" w:line="240" w:lineRule="auto"/>
              <w:jc w:val="center"/>
              <w:rPr>
                <w:rFonts w:ascii="Arial" w:eastAsia="Times New Roman" w:hAnsi="Arial" w:cs="Arial"/>
                <w:b/>
                <w:bCs/>
                <w:color w:val="FFFFFF"/>
                <w:sz w:val="20"/>
                <w:szCs w:val="20"/>
                <w:lang w:eastAsia="fr-FR"/>
              </w:rPr>
            </w:pPr>
          </w:p>
        </w:tc>
        <w:tc>
          <w:tcPr>
            <w:tcW w:w="1040"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00B6CEE9" w14:textId="77777777" w:rsidR="00536F83" w:rsidRPr="007F78CE" w:rsidRDefault="00536F83" w:rsidP="00536F83">
            <w:pPr>
              <w:spacing w:after="0" w:line="240" w:lineRule="auto"/>
              <w:jc w:val="center"/>
              <w:rPr>
                <w:rFonts w:ascii="Arial" w:eastAsia="Times New Roman" w:hAnsi="Arial" w:cs="Arial"/>
                <w:b/>
                <w:bCs/>
                <w:color w:val="FFFFFF"/>
                <w:sz w:val="20"/>
                <w:szCs w:val="20"/>
                <w:lang w:eastAsia="fr-FR"/>
              </w:rPr>
            </w:pPr>
          </w:p>
        </w:tc>
        <w:tc>
          <w:tcPr>
            <w:tcW w:w="1260"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002C7660" w14:textId="77777777" w:rsidR="00536F83" w:rsidRPr="007F78CE" w:rsidRDefault="00536F83" w:rsidP="00536F83">
            <w:pPr>
              <w:spacing w:after="0" w:line="240" w:lineRule="auto"/>
              <w:jc w:val="center"/>
              <w:rPr>
                <w:rFonts w:ascii="Arial" w:eastAsia="Times New Roman" w:hAnsi="Arial" w:cs="Arial"/>
                <w:b/>
                <w:bCs/>
                <w:color w:val="FFFFFF"/>
                <w:sz w:val="20"/>
                <w:szCs w:val="20"/>
                <w:lang w:eastAsia="fr-FR"/>
              </w:rPr>
            </w:pPr>
          </w:p>
        </w:tc>
        <w:tc>
          <w:tcPr>
            <w:tcW w:w="1260"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44C5EE0D" w14:textId="77777777" w:rsidR="00536F83" w:rsidRPr="007F78CE" w:rsidRDefault="00536F83" w:rsidP="00536F83">
            <w:pPr>
              <w:spacing w:after="0" w:line="240" w:lineRule="auto"/>
              <w:jc w:val="center"/>
              <w:rPr>
                <w:rFonts w:ascii="Arial" w:eastAsia="Times New Roman" w:hAnsi="Arial" w:cs="Arial"/>
                <w:b/>
                <w:bCs/>
                <w:color w:val="FFFFFF"/>
                <w:sz w:val="20"/>
                <w:szCs w:val="20"/>
                <w:lang w:eastAsia="fr-FR"/>
              </w:rPr>
            </w:pPr>
          </w:p>
        </w:tc>
        <w:tc>
          <w:tcPr>
            <w:tcW w:w="749" w:type="dxa"/>
            <w:tcBorders>
              <w:top w:val="nil"/>
              <w:left w:val="nil"/>
              <w:bottom w:val="single" w:sz="4" w:space="0" w:color="auto"/>
              <w:right w:val="single" w:sz="4" w:space="0" w:color="auto"/>
            </w:tcBorders>
            <w:shd w:val="clear" w:color="auto" w:fill="0070C0"/>
            <w:vAlign w:val="center"/>
            <w:hideMark/>
          </w:tcPr>
          <w:p w14:paraId="784A43BD" w14:textId="77777777" w:rsidR="00536F83" w:rsidRPr="007F78CE" w:rsidRDefault="00536F83" w:rsidP="00536F83">
            <w:pPr>
              <w:spacing w:after="0" w:line="240" w:lineRule="auto"/>
              <w:jc w:val="center"/>
              <w:rPr>
                <w:rFonts w:ascii="Arial" w:eastAsia="Times New Roman" w:hAnsi="Arial" w:cs="Arial"/>
                <w:b/>
                <w:bCs/>
                <w:color w:val="FFFFFF"/>
                <w:sz w:val="18"/>
                <w:szCs w:val="18"/>
                <w:lang w:eastAsia="fr-FR"/>
              </w:rPr>
            </w:pPr>
            <w:r w:rsidRPr="007F78CE">
              <w:rPr>
                <w:rFonts w:ascii="Arial" w:eastAsia="Times New Roman" w:hAnsi="Arial" w:cs="Arial"/>
                <w:b/>
                <w:bCs/>
                <w:color w:val="FFFFFF"/>
                <w:sz w:val="18"/>
                <w:szCs w:val="18"/>
                <w:lang w:eastAsia="fr-FR"/>
              </w:rPr>
              <w:t>EPP</w:t>
            </w:r>
          </w:p>
        </w:tc>
        <w:tc>
          <w:tcPr>
            <w:tcW w:w="710" w:type="dxa"/>
            <w:tcBorders>
              <w:top w:val="nil"/>
              <w:left w:val="nil"/>
              <w:bottom w:val="single" w:sz="4" w:space="0" w:color="auto"/>
              <w:right w:val="single" w:sz="4" w:space="0" w:color="auto"/>
            </w:tcBorders>
            <w:shd w:val="clear" w:color="auto" w:fill="0070C0"/>
            <w:vAlign w:val="center"/>
            <w:hideMark/>
          </w:tcPr>
          <w:p w14:paraId="5415A8D0" w14:textId="77777777" w:rsidR="00536F83" w:rsidRPr="007F78CE" w:rsidRDefault="00536F83" w:rsidP="00536F83">
            <w:pPr>
              <w:spacing w:after="0" w:line="240" w:lineRule="auto"/>
              <w:jc w:val="center"/>
              <w:rPr>
                <w:rFonts w:ascii="Arial" w:eastAsia="Times New Roman" w:hAnsi="Arial" w:cs="Arial"/>
                <w:b/>
                <w:bCs/>
                <w:color w:val="FFFFFF"/>
                <w:sz w:val="18"/>
                <w:szCs w:val="18"/>
                <w:lang w:eastAsia="fr-FR"/>
              </w:rPr>
            </w:pPr>
            <w:r w:rsidRPr="007F78CE">
              <w:rPr>
                <w:rFonts w:ascii="Arial" w:eastAsia="Times New Roman" w:hAnsi="Arial" w:cs="Arial"/>
                <w:b/>
                <w:bCs/>
                <w:color w:val="FFFFFF"/>
                <w:sz w:val="18"/>
                <w:szCs w:val="18"/>
                <w:lang w:eastAsia="fr-FR"/>
              </w:rPr>
              <w:t>CEG</w:t>
            </w:r>
          </w:p>
        </w:tc>
        <w:tc>
          <w:tcPr>
            <w:tcW w:w="472" w:type="dxa"/>
            <w:tcBorders>
              <w:top w:val="nil"/>
              <w:left w:val="nil"/>
              <w:bottom w:val="single" w:sz="4" w:space="0" w:color="auto"/>
              <w:right w:val="single" w:sz="4" w:space="0" w:color="auto"/>
            </w:tcBorders>
            <w:shd w:val="clear" w:color="auto" w:fill="0070C0"/>
            <w:vAlign w:val="center"/>
            <w:hideMark/>
          </w:tcPr>
          <w:p w14:paraId="5DFA16D7" w14:textId="77777777" w:rsidR="00536F83" w:rsidRPr="007F78CE" w:rsidRDefault="00536F83" w:rsidP="00536F83">
            <w:pPr>
              <w:spacing w:after="0" w:line="240" w:lineRule="auto"/>
              <w:jc w:val="center"/>
              <w:rPr>
                <w:rFonts w:ascii="Arial" w:eastAsia="Times New Roman" w:hAnsi="Arial" w:cs="Arial"/>
                <w:b/>
                <w:bCs/>
                <w:color w:val="FFFFFF"/>
                <w:sz w:val="18"/>
                <w:szCs w:val="18"/>
                <w:lang w:eastAsia="fr-FR"/>
              </w:rPr>
            </w:pPr>
            <w:r w:rsidRPr="007F78CE">
              <w:rPr>
                <w:rFonts w:ascii="Arial" w:eastAsia="Times New Roman" w:hAnsi="Arial" w:cs="Arial"/>
                <w:b/>
                <w:bCs/>
                <w:color w:val="FFFFFF"/>
                <w:sz w:val="18"/>
                <w:szCs w:val="18"/>
                <w:lang w:eastAsia="fr-FR"/>
              </w:rPr>
              <w:t>Lycée</w:t>
            </w:r>
          </w:p>
        </w:tc>
      </w:tr>
      <w:tr w:rsidR="00536F83" w:rsidRPr="007F78CE" w14:paraId="3F07ABDF" w14:textId="77777777" w:rsidTr="00F016FE">
        <w:trPr>
          <w:trHeight w:val="300"/>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14:paraId="048F3BF9" w14:textId="77777777" w:rsidR="00536F83" w:rsidRPr="00536F83" w:rsidRDefault="00536F83" w:rsidP="00536F83">
            <w:pPr>
              <w:spacing w:after="0" w:line="240" w:lineRule="auto"/>
              <w:rPr>
                <w:rFonts w:ascii="Arial" w:eastAsia="Times New Roman" w:hAnsi="Arial" w:cs="Arial"/>
                <w:sz w:val="18"/>
                <w:szCs w:val="18"/>
                <w:lang w:eastAsia="fr-FR"/>
              </w:rPr>
            </w:pPr>
            <w:r w:rsidRPr="00536F83">
              <w:rPr>
                <w:rFonts w:ascii="Arial" w:eastAsia="Times New Roman" w:hAnsi="Arial" w:cs="Arial"/>
                <w:sz w:val="18"/>
                <w:szCs w:val="18"/>
                <w:lang w:eastAsia="fr-FR"/>
              </w:rPr>
              <w:t>ALAOTRA MANGORO</w:t>
            </w:r>
          </w:p>
        </w:tc>
        <w:tc>
          <w:tcPr>
            <w:tcW w:w="1040" w:type="dxa"/>
            <w:tcBorders>
              <w:top w:val="nil"/>
              <w:left w:val="nil"/>
              <w:bottom w:val="single" w:sz="4" w:space="0" w:color="auto"/>
              <w:right w:val="single" w:sz="4" w:space="0" w:color="auto"/>
            </w:tcBorders>
            <w:shd w:val="clear" w:color="auto" w:fill="auto"/>
            <w:noWrap/>
            <w:vAlign w:val="center"/>
            <w:hideMark/>
          </w:tcPr>
          <w:p w14:paraId="05FC702A"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5</w:t>
            </w:r>
          </w:p>
        </w:tc>
        <w:tc>
          <w:tcPr>
            <w:tcW w:w="1260" w:type="dxa"/>
            <w:tcBorders>
              <w:top w:val="nil"/>
              <w:left w:val="nil"/>
              <w:bottom w:val="single" w:sz="4" w:space="0" w:color="auto"/>
              <w:right w:val="single" w:sz="4" w:space="0" w:color="auto"/>
            </w:tcBorders>
            <w:shd w:val="clear" w:color="auto" w:fill="auto"/>
            <w:noWrap/>
            <w:vAlign w:val="bottom"/>
            <w:hideMark/>
          </w:tcPr>
          <w:p w14:paraId="4067B148" w14:textId="77777777" w:rsidR="00536F83" w:rsidRPr="00536F83" w:rsidRDefault="00536F83" w:rsidP="00536F83">
            <w:pPr>
              <w:spacing w:after="0" w:line="240" w:lineRule="auto"/>
              <w:jc w:val="right"/>
              <w:rPr>
                <w:rFonts w:ascii="Arial" w:eastAsia="Times New Roman" w:hAnsi="Arial" w:cs="Arial"/>
                <w:color w:val="000000"/>
                <w:sz w:val="20"/>
                <w:szCs w:val="20"/>
                <w:lang w:eastAsia="fr-FR"/>
              </w:rPr>
            </w:pPr>
            <w:r w:rsidRPr="00536F83">
              <w:rPr>
                <w:rFonts w:ascii="Arial" w:eastAsia="Times New Roman" w:hAnsi="Arial" w:cs="Arial"/>
                <w:color w:val="000000"/>
                <w:sz w:val="20"/>
                <w:szCs w:val="20"/>
                <w:lang w:eastAsia="fr-FR"/>
              </w:rPr>
              <w:t>78</w:t>
            </w:r>
          </w:p>
        </w:tc>
        <w:tc>
          <w:tcPr>
            <w:tcW w:w="1260" w:type="dxa"/>
            <w:tcBorders>
              <w:top w:val="nil"/>
              <w:left w:val="nil"/>
              <w:bottom w:val="single" w:sz="4" w:space="0" w:color="auto"/>
              <w:right w:val="single" w:sz="4" w:space="0" w:color="auto"/>
            </w:tcBorders>
            <w:shd w:val="clear" w:color="auto" w:fill="auto"/>
            <w:noWrap/>
            <w:vAlign w:val="bottom"/>
            <w:hideMark/>
          </w:tcPr>
          <w:p w14:paraId="6508EF92" w14:textId="77777777" w:rsidR="00536F83" w:rsidRPr="00536F83" w:rsidRDefault="00536F83" w:rsidP="00536F83">
            <w:pPr>
              <w:spacing w:after="0" w:line="240" w:lineRule="auto"/>
              <w:jc w:val="right"/>
              <w:rPr>
                <w:rFonts w:ascii="Arial" w:eastAsia="Times New Roman" w:hAnsi="Arial" w:cs="Arial"/>
                <w:color w:val="000000"/>
                <w:sz w:val="20"/>
                <w:szCs w:val="20"/>
                <w:lang w:eastAsia="fr-FR"/>
              </w:rPr>
            </w:pPr>
            <w:r w:rsidRPr="00536F83">
              <w:rPr>
                <w:rFonts w:ascii="Arial" w:eastAsia="Times New Roman" w:hAnsi="Arial" w:cs="Arial"/>
                <w:color w:val="000000"/>
                <w:sz w:val="20"/>
                <w:szCs w:val="20"/>
                <w:lang w:eastAsia="fr-FR"/>
              </w:rPr>
              <w:t>692</w:t>
            </w:r>
          </w:p>
        </w:tc>
        <w:tc>
          <w:tcPr>
            <w:tcW w:w="749" w:type="dxa"/>
            <w:tcBorders>
              <w:top w:val="nil"/>
              <w:left w:val="nil"/>
              <w:bottom w:val="single" w:sz="4" w:space="0" w:color="auto"/>
              <w:right w:val="single" w:sz="4" w:space="0" w:color="auto"/>
            </w:tcBorders>
            <w:shd w:val="clear" w:color="auto" w:fill="auto"/>
            <w:noWrap/>
            <w:vAlign w:val="bottom"/>
            <w:hideMark/>
          </w:tcPr>
          <w:p w14:paraId="22DB9AC5"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1 197</w:t>
            </w:r>
          </w:p>
        </w:tc>
        <w:tc>
          <w:tcPr>
            <w:tcW w:w="710" w:type="dxa"/>
            <w:tcBorders>
              <w:top w:val="nil"/>
              <w:left w:val="nil"/>
              <w:bottom w:val="single" w:sz="4" w:space="0" w:color="auto"/>
              <w:right w:val="single" w:sz="4" w:space="0" w:color="auto"/>
            </w:tcBorders>
            <w:shd w:val="clear" w:color="auto" w:fill="auto"/>
            <w:noWrap/>
            <w:vAlign w:val="bottom"/>
            <w:hideMark/>
          </w:tcPr>
          <w:p w14:paraId="5DCD2C2A"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173</w:t>
            </w:r>
          </w:p>
        </w:tc>
        <w:tc>
          <w:tcPr>
            <w:tcW w:w="472" w:type="dxa"/>
            <w:tcBorders>
              <w:top w:val="nil"/>
              <w:left w:val="nil"/>
              <w:bottom w:val="single" w:sz="4" w:space="0" w:color="auto"/>
              <w:right w:val="single" w:sz="4" w:space="0" w:color="auto"/>
            </w:tcBorders>
            <w:shd w:val="clear" w:color="auto" w:fill="auto"/>
            <w:noWrap/>
            <w:vAlign w:val="bottom"/>
            <w:hideMark/>
          </w:tcPr>
          <w:p w14:paraId="232434BB"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20</w:t>
            </w:r>
          </w:p>
        </w:tc>
      </w:tr>
      <w:tr w:rsidR="00536F83" w:rsidRPr="007F78CE" w14:paraId="4D2F9A71" w14:textId="77777777" w:rsidTr="00F016FE">
        <w:trPr>
          <w:trHeight w:val="300"/>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14:paraId="24595DDC" w14:textId="77777777" w:rsidR="00536F83" w:rsidRPr="00536F83" w:rsidRDefault="00536F83" w:rsidP="00536F83">
            <w:pPr>
              <w:spacing w:after="0" w:line="240" w:lineRule="auto"/>
              <w:rPr>
                <w:rFonts w:ascii="Arial" w:eastAsia="Times New Roman" w:hAnsi="Arial" w:cs="Arial"/>
                <w:sz w:val="18"/>
                <w:szCs w:val="18"/>
                <w:lang w:eastAsia="fr-FR"/>
              </w:rPr>
            </w:pPr>
            <w:r w:rsidRPr="00536F83">
              <w:rPr>
                <w:rFonts w:ascii="Arial" w:eastAsia="Times New Roman" w:hAnsi="Arial" w:cs="Arial"/>
                <w:sz w:val="18"/>
                <w:szCs w:val="18"/>
                <w:lang w:eastAsia="fr-FR"/>
              </w:rPr>
              <w:t>AMORON'I MANIA</w:t>
            </w:r>
          </w:p>
        </w:tc>
        <w:tc>
          <w:tcPr>
            <w:tcW w:w="1040" w:type="dxa"/>
            <w:tcBorders>
              <w:top w:val="nil"/>
              <w:left w:val="nil"/>
              <w:bottom w:val="single" w:sz="4" w:space="0" w:color="auto"/>
              <w:right w:val="single" w:sz="4" w:space="0" w:color="auto"/>
            </w:tcBorders>
            <w:shd w:val="clear" w:color="auto" w:fill="auto"/>
            <w:noWrap/>
            <w:vAlign w:val="center"/>
            <w:hideMark/>
          </w:tcPr>
          <w:p w14:paraId="13727E37"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4</w:t>
            </w:r>
          </w:p>
        </w:tc>
        <w:tc>
          <w:tcPr>
            <w:tcW w:w="1260" w:type="dxa"/>
            <w:tcBorders>
              <w:top w:val="nil"/>
              <w:left w:val="nil"/>
              <w:bottom w:val="single" w:sz="4" w:space="0" w:color="auto"/>
              <w:right w:val="single" w:sz="4" w:space="0" w:color="auto"/>
            </w:tcBorders>
            <w:shd w:val="clear" w:color="auto" w:fill="auto"/>
            <w:noWrap/>
            <w:vAlign w:val="center"/>
            <w:hideMark/>
          </w:tcPr>
          <w:p w14:paraId="2A60CDC9"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55</w:t>
            </w:r>
          </w:p>
        </w:tc>
        <w:tc>
          <w:tcPr>
            <w:tcW w:w="1260" w:type="dxa"/>
            <w:tcBorders>
              <w:top w:val="nil"/>
              <w:left w:val="nil"/>
              <w:bottom w:val="single" w:sz="4" w:space="0" w:color="auto"/>
              <w:right w:val="single" w:sz="4" w:space="0" w:color="auto"/>
            </w:tcBorders>
            <w:shd w:val="clear" w:color="auto" w:fill="auto"/>
            <w:noWrap/>
            <w:vAlign w:val="bottom"/>
            <w:hideMark/>
          </w:tcPr>
          <w:p w14:paraId="5EC36EA3" w14:textId="77777777" w:rsidR="00536F83" w:rsidRPr="00536F83" w:rsidRDefault="00536F83" w:rsidP="00536F83">
            <w:pPr>
              <w:spacing w:after="0" w:line="240" w:lineRule="auto"/>
              <w:jc w:val="right"/>
              <w:rPr>
                <w:rFonts w:ascii="Arial" w:eastAsia="Times New Roman" w:hAnsi="Arial" w:cs="Arial"/>
                <w:color w:val="000000"/>
                <w:sz w:val="20"/>
                <w:szCs w:val="20"/>
                <w:lang w:eastAsia="fr-FR"/>
              </w:rPr>
            </w:pPr>
            <w:r w:rsidRPr="00536F83">
              <w:rPr>
                <w:rFonts w:ascii="Arial" w:eastAsia="Times New Roman" w:hAnsi="Arial" w:cs="Arial"/>
                <w:color w:val="000000"/>
                <w:sz w:val="20"/>
                <w:szCs w:val="20"/>
                <w:lang w:eastAsia="fr-FR"/>
              </w:rPr>
              <w:t>785</w:t>
            </w:r>
          </w:p>
        </w:tc>
        <w:tc>
          <w:tcPr>
            <w:tcW w:w="749" w:type="dxa"/>
            <w:tcBorders>
              <w:top w:val="nil"/>
              <w:left w:val="nil"/>
              <w:bottom w:val="single" w:sz="4" w:space="0" w:color="auto"/>
              <w:right w:val="single" w:sz="4" w:space="0" w:color="auto"/>
            </w:tcBorders>
            <w:shd w:val="clear" w:color="auto" w:fill="auto"/>
            <w:noWrap/>
            <w:vAlign w:val="bottom"/>
            <w:hideMark/>
          </w:tcPr>
          <w:p w14:paraId="0A783C29"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999</w:t>
            </w:r>
          </w:p>
        </w:tc>
        <w:tc>
          <w:tcPr>
            <w:tcW w:w="710" w:type="dxa"/>
            <w:tcBorders>
              <w:top w:val="nil"/>
              <w:left w:val="nil"/>
              <w:bottom w:val="single" w:sz="4" w:space="0" w:color="auto"/>
              <w:right w:val="single" w:sz="4" w:space="0" w:color="auto"/>
            </w:tcBorders>
            <w:shd w:val="clear" w:color="auto" w:fill="auto"/>
            <w:noWrap/>
            <w:vAlign w:val="bottom"/>
            <w:hideMark/>
          </w:tcPr>
          <w:p w14:paraId="41A8954F"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150</w:t>
            </w:r>
          </w:p>
        </w:tc>
        <w:tc>
          <w:tcPr>
            <w:tcW w:w="472" w:type="dxa"/>
            <w:tcBorders>
              <w:top w:val="nil"/>
              <w:left w:val="nil"/>
              <w:bottom w:val="single" w:sz="4" w:space="0" w:color="auto"/>
              <w:right w:val="single" w:sz="4" w:space="0" w:color="auto"/>
            </w:tcBorders>
            <w:shd w:val="clear" w:color="auto" w:fill="auto"/>
            <w:noWrap/>
            <w:vAlign w:val="bottom"/>
            <w:hideMark/>
          </w:tcPr>
          <w:p w14:paraId="7B74DC2D"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24</w:t>
            </w:r>
          </w:p>
        </w:tc>
      </w:tr>
      <w:tr w:rsidR="00536F83" w:rsidRPr="007F78CE" w14:paraId="18EC0092" w14:textId="77777777" w:rsidTr="00F016FE">
        <w:trPr>
          <w:trHeight w:val="300"/>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14:paraId="3644B0B3" w14:textId="77777777" w:rsidR="00536F83" w:rsidRPr="00536F83" w:rsidRDefault="00536F83" w:rsidP="00536F83">
            <w:pPr>
              <w:spacing w:after="0" w:line="240" w:lineRule="auto"/>
              <w:rPr>
                <w:rFonts w:ascii="Arial" w:eastAsia="Times New Roman" w:hAnsi="Arial" w:cs="Arial"/>
                <w:sz w:val="18"/>
                <w:szCs w:val="18"/>
                <w:lang w:eastAsia="fr-FR"/>
              </w:rPr>
            </w:pPr>
            <w:r w:rsidRPr="00536F83">
              <w:rPr>
                <w:rFonts w:ascii="Arial" w:eastAsia="Times New Roman" w:hAnsi="Arial" w:cs="Arial"/>
                <w:sz w:val="18"/>
                <w:szCs w:val="18"/>
                <w:lang w:eastAsia="fr-FR"/>
              </w:rPr>
              <w:t>ANALAMANGA</w:t>
            </w:r>
          </w:p>
        </w:tc>
        <w:tc>
          <w:tcPr>
            <w:tcW w:w="1040" w:type="dxa"/>
            <w:tcBorders>
              <w:top w:val="nil"/>
              <w:left w:val="nil"/>
              <w:bottom w:val="single" w:sz="4" w:space="0" w:color="auto"/>
              <w:right w:val="single" w:sz="4" w:space="0" w:color="auto"/>
            </w:tcBorders>
            <w:shd w:val="clear" w:color="auto" w:fill="auto"/>
            <w:noWrap/>
            <w:vAlign w:val="center"/>
            <w:hideMark/>
          </w:tcPr>
          <w:p w14:paraId="043BA018"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8</w:t>
            </w:r>
          </w:p>
        </w:tc>
        <w:tc>
          <w:tcPr>
            <w:tcW w:w="1260" w:type="dxa"/>
            <w:tcBorders>
              <w:top w:val="nil"/>
              <w:left w:val="nil"/>
              <w:bottom w:val="single" w:sz="4" w:space="0" w:color="auto"/>
              <w:right w:val="single" w:sz="4" w:space="0" w:color="auto"/>
            </w:tcBorders>
            <w:shd w:val="clear" w:color="auto" w:fill="auto"/>
            <w:noWrap/>
            <w:vAlign w:val="center"/>
            <w:hideMark/>
          </w:tcPr>
          <w:p w14:paraId="7E795CC1"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131</w:t>
            </w:r>
          </w:p>
        </w:tc>
        <w:tc>
          <w:tcPr>
            <w:tcW w:w="1260" w:type="dxa"/>
            <w:tcBorders>
              <w:top w:val="nil"/>
              <w:left w:val="nil"/>
              <w:bottom w:val="single" w:sz="4" w:space="0" w:color="auto"/>
              <w:right w:val="single" w:sz="4" w:space="0" w:color="auto"/>
            </w:tcBorders>
            <w:shd w:val="clear" w:color="auto" w:fill="auto"/>
            <w:noWrap/>
            <w:vAlign w:val="bottom"/>
            <w:hideMark/>
          </w:tcPr>
          <w:p w14:paraId="10E8667B" w14:textId="77777777" w:rsidR="00536F83" w:rsidRPr="00536F83" w:rsidRDefault="00536F83" w:rsidP="00536F83">
            <w:pPr>
              <w:spacing w:after="0" w:line="240" w:lineRule="auto"/>
              <w:jc w:val="right"/>
              <w:rPr>
                <w:rFonts w:ascii="Arial" w:eastAsia="Times New Roman" w:hAnsi="Arial" w:cs="Arial"/>
                <w:color w:val="000000"/>
                <w:sz w:val="20"/>
                <w:szCs w:val="20"/>
                <w:lang w:eastAsia="fr-FR"/>
              </w:rPr>
            </w:pPr>
            <w:r w:rsidRPr="00536F83">
              <w:rPr>
                <w:rFonts w:ascii="Arial" w:eastAsia="Times New Roman" w:hAnsi="Arial" w:cs="Arial"/>
                <w:color w:val="000000"/>
                <w:sz w:val="20"/>
                <w:szCs w:val="20"/>
                <w:lang w:eastAsia="fr-FR"/>
              </w:rPr>
              <w:t>1660</w:t>
            </w:r>
          </w:p>
        </w:tc>
        <w:tc>
          <w:tcPr>
            <w:tcW w:w="749" w:type="dxa"/>
            <w:tcBorders>
              <w:top w:val="nil"/>
              <w:left w:val="nil"/>
              <w:bottom w:val="single" w:sz="4" w:space="0" w:color="auto"/>
              <w:right w:val="single" w:sz="4" w:space="0" w:color="auto"/>
            </w:tcBorders>
            <w:shd w:val="clear" w:color="auto" w:fill="auto"/>
            <w:noWrap/>
            <w:vAlign w:val="bottom"/>
            <w:hideMark/>
          </w:tcPr>
          <w:p w14:paraId="3EB034A8"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1 589</w:t>
            </w:r>
          </w:p>
        </w:tc>
        <w:tc>
          <w:tcPr>
            <w:tcW w:w="710" w:type="dxa"/>
            <w:tcBorders>
              <w:top w:val="nil"/>
              <w:left w:val="nil"/>
              <w:bottom w:val="single" w:sz="4" w:space="0" w:color="auto"/>
              <w:right w:val="single" w:sz="4" w:space="0" w:color="auto"/>
            </w:tcBorders>
            <w:shd w:val="clear" w:color="auto" w:fill="auto"/>
            <w:noWrap/>
            <w:vAlign w:val="bottom"/>
            <w:hideMark/>
          </w:tcPr>
          <w:p w14:paraId="08E0DECF"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243</w:t>
            </w:r>
          </w:p>
        </w:tc>
        <w:tc>
          <w:tcPr>
            <w:tcW w:w="472" w:type="dxa"/>
            <w:tcBorders>
              <w:top w:val="nil"/>
              <w:left w:val="nil"/>
              <w:bottom w:val="single" w:sz="4" w:space="0" w:color="auto"/>
              <w:right w:val="single" w:sz="4" w:space="0" w:color="auto"/>
            </w:tcBorders>
            <w:shd w:val="clear" w:color="auto" w:fill="auto"/>
            <w:noWrap/>
            <w:vAlign w:val="bottom"/>
            <w:hideMark/>
          </w:tcPr>
          <w:p w14:paraId="35D07382"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61</w:t>
            </w:r>
          </w:p>
        </w:tc>
      </w:tr>
      <w:tr w:rsidR="00536F83" w:rsidRPr="007F78CE" w14:paraId="35F8130E" w14:textId="77777777" w:rsidTr="00F016FE">
        <w:trPr>
          <w:trHeight w:val="300"/>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14:paraId="30DE9950" w14:textId="77777777" w:rsidR="00536F83" w:rsidRPr="00536F83" w:rsidRDefault="00536F83" w:rsidP="00536F83">
            <w:pPr>
              <w:spacing w:after="0" w:line="240" w:lineRule="auto"/>
              <w:rPr>
                <w:rFonts w:ascii="Arial" w:eastAsia="Times New Roman" w:hAnsi="Arial" w:cs="Arial"/>
                <w:sz w:val="18"/>
                <w:szCs w:val="18"/>
                <w:lang w:eastAsia="fr-FR"/>
              </w:rPr>
            </w:pPr>
            <w:r w:rsidRPr="00536F83">
              <w:rPr>
                <w:rFonts w:ascii="Arial" w:eastAsia="Times New Roman" w:hAnsi="Arial" w:cs="Arial"/>
                <w:sz w:val="18"/>
                <w:szCs w:val="18"/>
                <w:lang w:eastAsia="fr-FR"/>
              </w:rPr>
              <w:t>ANALANJIROFO</w:t>
            </w:r>
          </w:p>
        </w:tc>
        <w:tc>
          <w:tcPr>
            <w:tcW w:w="1040" w:type="dxa"/>
            <w:tcBorders>
              <w:top w:val="nil"/>
              <w:left w:val="nil"/>
              <w:bottom w:val="single" w:sz="4" w:space="0" w:color="auto"/>
              <w:right w:val="single" w:sz="4" w:space="0" w:color="auto"/>
            </w:tcBorders>
            <w:shd w:val="clear" w:color="auto" w:fill="auto"/>
            <w:noWrap/>
            <w:vAlign w:val="center"/>
            <w:hideMark/>
          </w:tcPr>
          <w:p w14:paraId="66AC5559"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6</w:t>
            </w:r>
          </w:p>
        </w:tc>
        <w:tc>
          <w:tcPr>
            <w:tcW w:w="1260" w:type="dxa"/>
            <w:tcBorders>
              <w:top w:val="nil"/>
              <w:left w:val="nil"/>
              <w:bottom w:val="single" w:sz="4" w:space="0" w:color="auto"/>
              <w:right w:val="single" w:sz="4" w:space="0" w:color="auto"/>
            </w:tcBorders>
            <w:shd w:val="clear" w:color="auto" w:fill="auto"/>
            <w:noWrap/>
            <w:vAlign w:val="center"/>
            <w:hideMark/>
          </w:tcPr>
          <w:p w14:paraId="7C531583"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60</w:t>
            </w:r>
          </w:p>
        </w:tc>
        <w:tc>
          <w:tcPr>
            <w:tcW w:w="1260" w:type="dxa"/>
            <w:tcBorders>
              <w:top w:val="nil"/>
              <w:left w:val="nil"/>
              <w:bottom w:val="single" w:sz="4" w:space="0" w:color="auto"/>
              <w:right w:val="single" w:sz="4" w:space="0" w:color="auto"/>
            </w:tcBorders>
            <w:shd w:val="clear" w:color="auto" w:fill="auto"/>
            <w:noWrap/>
            <w:vAlign w:val="bottom"/>
            <w:hideMark/>
          </w:tcPr>
          <w:p w14:paraId="1A6D4F28" w14:textId="77777777" w:rsidR="00536F83" w:rsidRPr="00536F83" w:rsidRDefault="00536F83" w:rsidP="00536F83">
            <w:pPr>
              <w:spacing w:after="0" w:line="240" w:lineRule="auto"/>
              <w:jc w:val="right"/>
              <w:rPr>
                <w:rFonts w:ascii="Arial" w:eastAsia="Times New Roman" w:hAnsi="Arial" w:cs="Arial"/>
                <w:color w:val="000000"/>
                <w:sz w:val="20"/>
                <w:szCs w:val="20"/>
                <w:lang w:eastAsia="fr-FR"/>
              </w:rPr>
            </w:pPr>
            <w:r w:rsidRPr="00536F83">
              <w:rPr>
                <w:rFonts w:ascii="Arial" w:eastAsia="Times New Roman" w:hAnsi="Arial" w:cs="Arial"/>
                <w:color w:val="000000"/>
                <w:sz w:val="20"/>
                <w:szCs w:val="20"/>
                <w:lang w:eastAsia="fr-FR"/>
              </w:rPr>
              <w:t>754</w:t>
            </w:r>
          </w:p>
        </w:tc>
        <w:tc>
          <w:tcPr>
            <w:tcW w:w="749" w:type="dxa"/>
            <w:tcBorders>
              <w:top w:val="nil"/>
              <w:left w:val="nil"/>
              <w:bottom w:val="single" w:sz="4" w:space="0" w:color="auto"/>
              <w:right w:val="single" w:sz="4" w:space="0" w:color="auto"/>
            </w:tcBorders>
            <w:shd w:val="clear" w:color="auto" w:fill="auto"/>
            <w:noWrap/>
            <w:vAlign w:val="bottom"/>
            <w:hideMark/>
          </w:tcPr>
          <w:p w14:paraId="6E828214"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1 356</w:t>
            </w:r>
          </w:p>
        </w:tc>
        <w:tc>
          <w:tcPr>
            <w:tcW w:w="710" w:type="dxa"/>
            <w:tcBorders>
              <w:top w:val="nil"/>
              <w:left w:val="nil"/>
              <w:bottom w:val="single" w:sz="4" w:space="0" w:color="auto"/>
              <w:right w:val="single" w:sz="4" w:space="0" w:color="auto"/>
            </w:tcBorders>
            <w:shd w:val="clear" w:color="auto" w:fill="auto"/>
            <w:noWrap/>
            <w:vAlign w:val="bottom"/>
            <w:hideMark/>
          </w:tcPr>
          <w:p w14:paraId="1FC51D39"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152</w:t>
            </w:r>
          </w:p>
        </w:tc>
        <w:tc>
          <w:tcPr>
            <w:tcW w:w="472" w:type="dxa"/>
            <w:tcBorders>
              <w:top w:val="nil"/>
              <w:left w:val="nil"/>
              <w:bottom w:val="single" w:sz="4" w:space="0" w:color="auto"/>
              <w:right w:val="single" w:sz="4" w:space="0" w:color="auto"/>
            </w:tcBorders>
            <w:shd w:val="clear" w:color="auto" w:fill="auto"/>
            <w:noWrap/>
            <w:vAlign w:val="bottom"/>
            <w:hideMark/>
          </w:tcPr>
          <w:p w14:paraId="67FED32B"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16</w:t>
            </w:r>
          </w:p>
        </w:tc>
      </w:tr>
      <w:tr w:rsidR="00536F83" w:rsidRPr="007F78CE" w14:paraId="0E6E4AB2" w14:textId="77777777" w:rsidTr="00F016FE">
        <w:trPr>
          <w:trHeight w:val="300"/>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14:paraId="08FFD249" w14:textId="77777777" w:rsidR="00536F83" w:rsidRPr="00536F83" w:rsidRDefault="00536F83" w:rsidP="00536F83">
            <w:pPr>
              <w:spacing w:after="0" w:line="240" w:lineRule="auto"/>
              <w:rPr>
                <w:rFonts w:ascii="Arial" w:eastAsia="Times New Roman" w:hAnsi="Arial" w:cs="Arial"/>
                <w:sz w:val="18"/>
                <w:szCs w:val="18"/>
                <w:lang w:eastAsia="fr-FR"/>
              </w:rPr>
            </w:pPr>
            <w:r w:rsidRPr="00536F83">
              <w:rPr>
                <w:rFonts w:ascii="Arial" w:eastAsia="Times New Roman" w:hAnsi="Arial" w:cs="Arial"/>
                <w:sz w:val="18"/>
                <w:szCs w:val="18"/>
                <w:lang w:eastAsia="fr-FR"/>
              </w:rPr>
              <w:t>ANDROY</w:t>
            </w:r>
          </w:p>
        </w:tc>
        <w:tc>
          <w:tcPr>
            <w:tcW w:w="1040" w:type="dxa"/>
            <w:tcBorders>
              <w:top w:val="nil"/>
              <w:left w:val="nil"/>
              <w:bottom w:val="single" w:sz="4" w:space="0" w:color="auto"/>
              <w:right w:val="single" w:sz="4" w:space="0" w:color="auto"/>
            </w:tcBorders>
            <w:shd w:val="clear" w:color="auto" w:fill="auto"/>
            <w:noWrap/>
            <w:vAlign w:val="center"/>
            <w:hideMark/>
          </w:tcPr>
          <w:p w14:paraId="5932F7F6"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4</w:t>
            </w:r>
          </w:p>
        </w:tc>
        <w:tc>
          <w:tcPr>
            <w:tcW w:w="1260" w:type="dxa"/>
            <w:tcBorders>
              <w:top w:val="nil"/>
              <w:left w:val="nil"/>
              <w:bottom w:val="single" w:sz="4" w:space="0" w:color="auto"/>
              <w:right w:val="single" w:sz="4" w:space="0" w:color="auto"/>
            </w:tcBorders>
            <w:shd w:val="clear" w:color="auto" w:fill="auto"/>
            <w:noWrap/>
            <w:vAlign w:val="center"/>
            <w:hideMark/>
          </w:tcPr>
          <w:p w14:paraId="135F701C"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51</w:t>
            </w:r>
          </w:p>
        </w:tc>
        <w:tc>
          <w:tcPr>
            <w:tcW w:w="1260" w:type="dxa"/>
            <w:tcBorders>
              <w:top w:val="nil"/>
              <w:left w:val="nil"/>
              <w:bottom w:val="single" w:sz="4" w:space="0" w:color="auto"/>
              <w:right w:val="single" w:sz="4" w:space="0" w:color="auto"/>
            </w:tcBorders>
            <w:shd w:val="clear" w:color="auto" w:fill="auto"/>
            <w:noWrap/>
            <w:vAlign w:val="bottom"/>
            <w:hideMark/>
          </w:tcPr>
          <w:p w14:paraId="4F5CB08C" w14:textId="77777777" w:rsidR="00536F83" w:rsidRPr="00536F83" w:rsidRDefault="00536F83" w:rsidP="00536F83">
            <w:pPr>
              <w:spacing w:after="0" w:line="240" w:lineRule="auto"/>
              <w:jc w:val="right"/>
              <w:rPr>
                <w:rFonts w:ascii="Arial" w:eastAsia="Times New Roman" w:hAnsi="Arial" w:cs="Arial"/>
                <w:color w:val="000000"/>
                <w:sz w:val="20"/>
                <w:szCs w:val="20"/>
                <w:lang w:eastAsia="fr-FR"/>
              </w:rPr>
            </w:pPr>
            <w:r w:rsidRPr="00536F83">
              <w:rPr>
                <w:rFonts w:ascii="Arial" w:eastAsia="Times New Roman" w:hAnsi="Arial" w:cs="Arial"/>
                <w:color w:val="000000"/>
                <w:sz w:val="20"/>
                <w:szCs w:val="20"/>
                <w:lang w:eastAsia="fr-FR"/>
              </w:rPr>
              <w:t>1039</w:t>
            </w:r>
          </w:p>
        </w:tc>
        <w:tc>
          <w:tcPr>
            <w:tcW w:w="749" w:type="dxa"/>
            <w:tcBorders>
              <w:top w:val="nil"/>
              <w:left w:val="nil"/>
              <w:bottom w:val="single" w:sz="4" w:space="0" w:color="auto"/>
              <w:right w:val="single" w:sz="4" w:space="0" w:color="auto"/>
            </w:tcBorders>
            <w:shd w:val="clear" w:color="auto" w:fill="auto"/>
            <w:noWrap/>
            <w:vAlign w:val="bottom"/>
            <w:hideMark/>
          </w:tcPr>
          <w:p w14:paraId="31EDC48D"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1 201</w:t>
            </w:r>
          </w:p>
        </w:tc>
        <w:tc>
          <w:tcPr>
            <w:tcW w:w="710" w:type="dxa"/>
            <w:tcBorders>
              <w:top w:val="nil"/>
              <w:left w:val="nil"/>
              <w:bottom w:val="single" w:sz="4" w:space="0" w:color="auto"/>
              <w:right w:val="single" w:sz="4" w:space="0" w:color="auto"/>
            </w:tcBorders>
            <w:shd w:val="clear" w:color="auto" w:fill="auto"/>
            <w:noWrap/>
            <w:vAlign w:val="bottom"/>
            <w:hideMark/>
          </w:tcPr>
          <w:p w14:paraId="099A18F6"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41</w:t>
            </w:r>
          </w:p>
        </w:tc>
        <w:tc>
          <w:tcPr>
            <w:tcW w:w="472" w:type="dxa"/>
            <w:tcBorders>
              <w:top w:val="nil"/>
              <w:left w:val="nil"/>
              <w:bottom w:val="single" w:sz="4" w:space="0" w:color="auto"/>
              <w:right w:val="single" w:sz="4" w:space="0" w:color="auto"/>
            </w:tcBorders>
            <w:shd w:val="clear" w:color="auto" w:fill="auto"/>
            <w:noWrap/>
            <w:vAlign w:val="bottom"/>
            <w:hideMark/>
          </w:tcPr>
          <w:p w14:paraId="77BC50A2"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8</w:t>
            </w:r>
          </w:p>
        </w:tc>
      </w:tr>
      <w:tr w:rsidR="00536F83" w:rsidRPr="007F78CE" w14:paraId="7300916E" w14:textId="77777777" w:rsidTr="00F016FE">
        <w:trPr>
          <w:trHeight w:val="300"/>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14:paraId="38343B3F" w14:textId="77777777" w:rsidR="00536F83" w:rsidRPr="00536F83" w:rsidRDefault="00536F83" w:rsidP="00536F83">
            <w:pPr>
              <w:spacing w:after="0" w:line="240" w:lineRule="auto"/>
              <w:rPr>
                <w:rFonts w:ascii="Arial" w:eastAsia="Times New Roman" w:hAnsi="Arial" w:cs="Arial"/>
                <w:sz w:val="18"/>
                <w:szCs w:val="18"/>
                <w:lang w:eastAsia="fr-FR"/>
              </w:rPr>
            </w:pPr>
            <w:r w:rsidRPr="00536F83">
              <w:rPr>
                <w:rFonts w:ascii="Arial" w:eastAsia="Times New Roman" w:hAnsi="Arial" w:cs="Arial"/>
                <w:sz w:val="18"/>
                <w:szCs w:val="18"/>
                <w:lang w:eastAsia="fr-FR"/>
              </w:rPr>
              <w:t>ANOSY</w:t>
            </w:r>
          </w:p>
        </w:tc>
        <w:tc>
          <w:tcPr>
            <w:tcW w:w="1040" w:type="dxa"/>
            <w:tcBorders>
              <w:top w:val="nil"/>
              <w:left w:val="nil"/>
              <w:bottom w:val="single" w:sz="4" w:space="0" w:color="auto"/>
              <w:right w:val="single" w:sz="4" w:space="0" w:color="auto"/>
            </w:tcBorders>
            <w:shd w:val="clear" w:color="auto" w:fill="auto"/>
            <w:noWrap/>
            <w:vAlign w:val="center"/>
            <w:hideMark/>
          </w:tcPr>
          <w:p w14:paraId="46D1BCA6"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3</w:t>
            </w:r>
          </w:p>
        </w:tc>
        <w:tc>
          <w:tcPr>
            <w:tcW w:w="1260" w:type="dxa"/>
            <w:tcBorders>
              <w:top w:val="nil"/>
              <w:left w:val="nil"/>
              <w:bottom w:val="single" w:sz="4" w:space="0" w:color="auto"/>
              <w:right w:val="single" w:sz="4" w:space="0" w:color="auto"/>
            </w:tcBorders>
            <w:shd w:val="clear" w:color="auto" w:fill="auto"/>
            <w:noWrap/>
            <w:vAlign w:val="center"/>
            <w:hideMark/>
          </w:tcPr>
          <w:p w14:paraId="773F0132"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63</w:t>
            </w:r>
          </w:p>
        </w:tc>
        <w:tc>
          <w:tcPr>
            <w:tcW w:w="1260" w:type="dxa"/>
            <w:tcBorders>
              <w:top w:val="nil"/>
              <w:left w:val="nil"/>
              <w:bottom w:val="single" w:sz="4" w:space="0" w:color="auto"/>
              <w:right w:val="single" w:sz="4" w:space="0" w:color="auto"/>
            </w:tcBorders>
            <w:shd w:val="clear" w:color="auto" w:fill="auto"/>
            <w:noWrap/>
            <w:vAlign w:val="bottom"/>
            <w:hideMark/>
          </w:tcPr>
          <w:p w14:paraId="471DD3A6" w14:textId="77777777" w:rsidR="00536F83" w:rsidRPr="00536F83" w:rsidRDefault="00536F83" w:rsidP="00536F83">
            <w:pPr>
              <w:spacing w:after="0" w:line="240" w:lineRule="auto"/>
              <w:jc w:val="right"/>
              <w:rPr>
                <w:rFonts w:ascii="Arial" w:eastAsia="Times New Roman" w:hAnsi="Arial" w:cs="Arial"/>
                <w:color w:val="000000"/>
                <w:sz w:val="20"/>
                <w:szCs w:val="20"/>
                <w:lang w:eastAsia="fr-FR"/>
              </w:rPr>
            </w:pPr>
            <w:r w:rsidRPr="00536F83">
              <w:rPr>
                <w:rFonts w:ascii="Arial" w:eastAsia="Times New Roman" w:hAnsi="Arial" w:cs="Arial"/>
                <w:color w:val="000000"/>
                <w:sz w:val="20"/>
                <w:szCs w:val="20"/>
                <w:lang w:eastAsia="fr-FR"/>
              </w:rPr>
              <w:t>628</w:t>
            </w:r>
          </w:p>
        </w:tc>
        <w:tc>
          <w:tcPr>
            <w:tcW w:w="749" w:type="dxa"/>
            <w:tcBorders>
              <w:top w:val="nil"/>
              <w:left w:val="nil"/>
              <w:bottom w:val="single" w:sz="4" w:space="0" w:color="auto"/>
              <w:right w:val="single" w:sz="4" w:space="0" w:color="auto"/>
            </w:tcBorders>
            <w:shd w:val="clear" w:color="auto" w:fill="auto"/>
            <w:noWrap/>
            <w:vAlign w:val="bottom"/>
            <w:hideMark/>
          </w:tcPr>
          <w:p w14:paraId="5E4D6424"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718</w:t>
            </w:r>
          </w:p>
        </w:tc>
        <w:tc>
          <w:tcPr>
            <w:tcW w:w="710" w:type="dxa"/>
            <w:tcBorders>
              <w:top w:val="nil"/>
              <w:left w:val="nil"/>
              <w:bottom w:val="single" w:sz="4" w:space="0" w:color="auto"/>
              <w:right w:val="single" w:sz="4" w:space="0" w:color="auto"/>
            </w:tcBorders>
            <w:shd w:val="clear" w:color="auto" w:fill="auto"/>
            <w:noWrap/>
            <w:vAlign w:val="bottom"/>
            <w:hideMark/>
          </w:tcPr>
          <w:p w14:paraId="5A0794F0"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53</w:t>
            </w:r>
          </w:p>
        </w:tc>
        <w:tc>
          <w:tcPr>
            <w:tcW w:w="472" w:type="dxa"/>
            <w:tcBorders>
              <w:top w:val="nil"/>
              <w:left w:val="nil"/>
              <w:bottom w:val="single" w:sz="4" w:space="0" w:color="auto"/>
              <w:right w:val="single" w:sz="4" w:space="0" w:color="auto"/>
            </w:tcBorders>
            <w:shd w:val="clear" w:color="auto" w:fill="auto"/>
            <w:noWrap/>
            <w:vAlign w:val="bottom"/>
            <w:hideMark/>
          </w:tcPr>
          <w:p w14:paraId="6FE9AF8C"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10</w:t>
            </w:r>
          </w:p>
        </w:tc>
      </w:tr>
      <w:tr w:rsidR="00536F83" w:rsidRPr="007F78CE" w14:paraId="1F39A4DC" w14:textId="77777777" w:rsidTr="00F016FE">
        <w:trPr>
          <w:trHeight w:val="300"/>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14:paraId="77D827A9" w14:textId="77777777" w:rsidR="00536F83" w:rsidRPr="00536F83" w:rsidRDefault="00536F83" w:rsidP="00536F83">
            <w:pPr>
              <w:spacing w:after="0" w:line="240" w:lineRule="auto"/>
              <w:rPr>
                <w:rFonts w:ascii="Arial" w:eastAsia="Times New Roman" w:hAnsi="Arial" w:cs="Arial"/>
                <w:sz w:val="18"/>
                <w:szCs w:val="18"/>
                <w:lang w:eastAsia="fr-FR"/>
              </w:rPr>
            </w:pPr>
            <w:r w:rsidRPr="00536F83">
              <w:rPr>
                <w:rFonts w:ascii="Arial" w:eastAsia="Times New Roman" w:hAnsi="Arial" w:cs="Arial"/>
                <w:sz w:val="18"/>
                <w:szCs w:val="18"/>
                <w:lang w:eastAsia="fr-FR"/>
              </w:rPr>
              <w:t>ATSIMO ANDREFANA</w:t>
            </w:r>
          </w:p>
        </w:tc>
        <w:tc>
          <w:tcPr>
            <w:tcW w:w="1040" w:type="dxa"/>
            <w:tcBorders>
              <w:top w:val="nil"/>
              <w:left w:val="nil"/>
              <w:bottom w:val="single" w:sz="4" w:space="0" w:color="auto"/>
              <w:right w:val="single" w:sz="4" w:space="0" w:color="auto"/>
            </w:tcBorders>
            <w:shd w:val="clear" w:color="auto" w:fill="auto"/>
            <w:noWrap/>
            <w:vAlign w:val="center"/>
            <w:hideMark/>
          </w:tcPr>
          <w:p w14:paraId="3A768497"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9</w:t>
            </w:r>
          </w:p>
        </w:tc>
        <w:tc>
          <w:tcPr>
            <w:tcW w:w="1260" w:type="dxa"/>
            <w:tcBorders>
              <w:top w:val="nil"/>
              <w:left w:val="nil"/>
              <w:bottom w:val="single" w:sz="4" w:space="0" w:color="auto"/>
              <w:right w:val="single" w:sz="4" w:space="0" w:color="auto"/>
            </w:tcBorders>
            <w:shd w:val="clear" w:color="auto" w:fill="auto"/>
            <w:noWrap/>
            <w:vAlign w:val="center"/>
            <w:hideMark/>
          </w:tcPr>
          <w:p w14:paraId="6FC97AFB"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110</w:t>
            </w:r>
          </w:p>
        </w:tc>
        <w:tc>
          <w:tcPr>
            <w:tcW w:w="1260" w:type="dxa"/>
            <w:tcBorders>
              <w:top w:val="nil"/>
              <w:left w:val="nil"/>
              <w:bottom w:val="single" w:sz="4" w:space="0" w:color="auto"/>
              <w:right w:val="single" w:sz="4" w:space="0" w:color="auto"/>
            </w:tcBorders>
            <w:shd w:val="clear" w:color="auto" w:fill="auto"/>
            <w:noWrap/>
            <w:vAlign w:val="bottom"/>
            <w:hideMark/>
          </w:tcPr>
          <w:p w14:paraId="1F7FDF21" w14:textId="77777777" w:rsidR="00536F83" w:rsidRPr="00536F83" w:rsidRDefault="00536F83" w:rsidP="00536F83">
            <w:pPr>
              <w:spacing w:after="0" w:line="240" w:lineRule="auto"/>
              <w:jc w:val="right"/>
              <w:rPr>
                <w:rFonts w:ascii="Arial" w:eastAsia="Times New Roman" w:hAnsi="Arial" w:cs="Arial"/>
                <w:color w:val="000000"/>
                <w:sz w:val="20"/>
                <w:szCs w:val="20"/>
                <w:lang w:eastAsia="fr-FR"/>
              </w:rPr>
            </w:pPr>
            <w:r w:rsidRPr="00536F83">
              <w:rPr>
                <w:rFonts w:ascii="Arial" w:eastAsia="Times New Roman" w:hAnsi="Arial" w:cs="Arial"/>
                <w:color w:val="000000"/>
                <w:sz w:val="20"/>
                <w:szCs w:val="20"/>
                <w:lang w:eastAsia="fr-FR"/>
              </w:rPr>
              <w:t>1527</w:t>
            </w:r>
          </w:p>
        </w:tc>
        <w:tc>
          <w:tcPr>
            <w:tcW w:w="749" w:type="dxa"/>
            <w:tcBorders>
              <w:top w:val="nil"/>
              <w:left w:val="nil"/>
              <w:bottom w:val="single" w:sz="4" w:space="0" w:color="auto"/>
              <w:right w:val="single" w:sz="4" w:space="0" w:color="auto"/>
            </w:tcBorders>
            <w:shd w:val="clear" w:color="auto" w:fill="auto"/>
            <w:noWrap/>
            <w:vAlign w:val="bottom"/>
            <w:hideMark/>
          </w:tcPr>
          <w:p w14:paraId="079FB6DB"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1 627</w:t>
            </w:r>
          </w:p>
        </w:tc>
        <w:tc>
          <w:tcPr>
            <w:tcW w:w="710" w:type="dxa"/>
            <w:tcBorders>
              <w:top w:val="nil"/>
              <w:left w:val="nil"/>
              <w:bottom w:val="single" w:sz="4" w:space="0" w:color="auto"/>
              <w:right w:val="single" w:sz="4" w:space="0" w:color="auto"/>
            </w:tcBorders>
            <w:shd w:val="clear" w:color="auto" w:fill="auto"/>
            <w:noWrap/>
            <w:vAlign w:val="bottom"/>
            <w:hideMark/>
          </w:tcPr>
          <w:p w14:paraId="15369613"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94</w:t>
            </w:r>
          </w:p>
        </w:tc>
        <w:tc>
          <w:tcPr>
            <w:tcW w:w="472" w:type="dxa"/>
            <w:tcBorders>
              <w:top w:val="nil"/>
              <w:left w:val="nil"/>
              <w:bottom w:val="single" w:sz="4" w:space="0" w:color="auto"/>
              <w:right w:val="single" w:sz="4" w:space="0" w:color="auto"/>
            </w:tcBorders>
            <w:shd w:val="clear" w:color="auto" w:fill="auto"/>
            <w:noWrap/>
            <w:vAlign w:val="bottom"/>
            <w:hideMark/>
          </w:tcPr>
          <w:p w14:paraId="6A281850"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22</w:t>
            </w:r>
          </w:p>
        </w:tc>
      </w:tr>
      <w:tr w:rsidR="00536F83" w:rsidRPr="007F78CE" w14:paraId="633D8981" w14:textId="77777777" w:rsidTr="00F016FE">
        <w:trPr>
          <w:trHeight w:val="300"/>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14:paraId="01763FB4" w14:textId="77777777" w:rsidR="00536F83" w:rsidRPr="00536F83" w:rsidRDefault="00536F83" w:rsidP="00536F83">
            <w:pPr>
              <w:spacing w:after="0" w:line="240" w:lineRule="auto"/>
              <w:rPr>
                <w:rFonts w:ascii="Arial" w:eastAsia="Times New Roman" w:hAnsi="Arial" w:cs="Arial"/>
                <w:sz w:val="18"/>
                <w:szCs w:val="18"/>
                <w:lang w:eastAsia="fr-FR"/>
              </w:rPr>
            </w:pPr>
            <w:r w:rsidRPr="00536F83">
              <w:rPr>
                <w:rFonts w:ascii="Arial" w:eastAsia="Times New Roman" w:hAnsi="Arial" w:cs="Arial"/>
                <w:sz w:val="18"/>
                <w:szCs w:val="18"/>
                <w:lang w:eastAsia="fr-FR"/>
              </w:rPr>
              <w:t>ATSIMO ATSINANANA</w:t>
            </w:r>
          </w:p>
        </w:tc>
        <w:tc>
          <w:tcPr>
            <w:tcW w:w="1040" w:type="dxa"/>
            <w:tcBorders>
              <w:top w:val="nil"/>
              <w:left w:val="nil"/>
              <w:bottom w:val="single" w:sz="4" w:space="0" w:color="auto"/>
              <w:right w:val="single" w:sz="4" w:space="0" w:color="auto"/>
            </w:tcBorders>
            <w:shd w:val="clear" w:color="auto" w:fill="auto"/>
            <w:noWrap/>
            <w:vAlign w:val="center"/>
            <w:hideMark/>
          </w:tcPr>
          <w:p w14:paraId="30767D36"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5</w:t>
            </w:r>
          </w:p>
        </w:tc>
        <w:tc>
          <w:tcPr>
            <w:tcW w:w="1260" w:type="dxa"/>
            <w:tcBorders>
              <w:top w:val="nil"/>
              <w:left w:val="nil"/>
              <w:bottom w:val="single" w:sz="4" w:space="0" w:color="auto"/>
              <w:right w:val="single" w:sz="4" w:space="0" w:color="auto"/>
            </w:tcBorders>
            <w:shd w:val="clear" w:color="auto" w:fill="auto"/>
            <w:noWrap/>
            <w:vAlign w:val="center"/>
            <w:hideMark/>
          </w:tcPr>
          <w:p w14:paraId="4CAE4986"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89</w:t>
            </w:r>
          </w:p>
        </w:tc>
        <w:tc>
          <w:tcPr>
            <w:tcW w:w="1260" w:type="dxa"/>
            <w:tcBorders>
              <w:top w:val="nil"/>
              <w:left w:val="nil"/>
              <w:bottom w:val="single" w:sz="4" w:space="0" w:color="auto"/>
              <w:right w:val="single" w:sz="4" w:space="0" w:color="auto"/>
            </w:tcBorders>
            <w:shd w:val="clear" w:color="auto" w:fill="auto"/>
            <w:noWrap/>
            <w:vAlign w:val="bottom"/>
            <w:hideMark/>
          </w:tcPr>
          <w:p w14:paraId="554774E7" w14:textId="77777777" w:rsidR="00536F83" w:rsidRPr="00536F83" w:rsidRDefault="00536F83" w:rsidP="00536F83">
            <w:pPr>
              <w:spacing w:after="0" w:line="240" w:lineRule="auto"/>
              <w:jc w:val="right"/>
              <w:rPr>
                <w:rFonts w:ascii="Arial" w:eastAsia="Times New Roman" w:hAnsi="Arial" w:cs="Arial"/>
                <w:color w:val="000000"/>
                <w:sz w:val="20"/>
                <w:szCs w:val="20"/>
                <w:lang w:eastAsia="fr-FR"/>
              </w:rPr>
            </w:pPr>
            <w:r w:rsidRPr="00536F83">
              <w:rPr>
                <w:rFonts w:ascii="Arial" w:eastAsia="Times New Roman" w:hAnsi="Arial" w:cs="Arial"/>
                <w:color w:val="000000"/>
                <w:sz w:val="20"/>
                <w:szCs w:val="20"/>
                <w:lang w:eastAsia="fr-FR"/>
              </w:rPr>
              <w:t>745</w:t>
            </w:r>
          </w:p>
        </w:tc>
        <w:tc>
          <w:tcPr>
            <w:tcW w:w="749" w:type="dxa"/>
            <w:tcBorders>
              <w:top w:val="nil"/>
              <w:left w:val="nil"/>
              <w:bottom w:val="single" w:sz="4" w:space="0" w:color="auto"/>
              <w:right w:val="single" w:sz="4" w:space="0" w:color="auto"/>
            </w:tcBorders>
            <w:shd w:val="clear" w:color="auto" w:fill="auto"/>
            <w:noWrap/>
            <w:vAlign w:val="bottom"/>
            <w:hideMark/>
          </w:tcPr>
          <w:p w14:paraId="315CB48F"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1 225</w:t>
            </w:r>
          </w:p>
        </w:tc>
        <w:tc>
          <w:tcPr>
            <w:tcW w:w="710" w:type="dxa"/>
            <w:tcBorders>
              <w:top w:val="nil"/>
              <w:left w:val="nil"/>
              <w:bottom w:val="single" w:sz="4" w:space="0" w:color="auto"/>
              <w:right w:val="single" w:sz="4" w:space="0" w:color="auto"/>
            </w:tcBorders>
            <w:shd w:val="clear" w:color="auto" w:fill="auto"/>
            <w:noWrap/>
            <w:vAlign w:val="bottom"/>
            <w:hideMark/>
          </w:tcPr>
          <w:p w14:paraId="4C87A857"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111</w:t>
            </w:r>
          </w:p>
        </w:tc>
        <w:tc>
          <w:tcPr>
            <w:tcW w:w="472" w:type="dxa"/>
            <w:tcBorders>
              <w:top w:val="nil"/>
              <w:left w:val="nil"/>
              <w:bottom w:val="single" w:sz="4" w:space="0" w:color="auto"/>
              <w:right w:val="single" w:sz="4" w:space="0" w:color="auto"/>
            </w:tcBorders>
            <w:shd w:val="clear" w:color="auto" w:fill="auto"/>
            <w:noWrap/>
            <w:vAlign w:val="bottom"/>
            <w:hideMark/>
          </w:tcPr>
          <w:p w14:paraId="0B51FC02"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12</w:t>
            </w:r>
          </w:p>
        </w:tc>
      </w:tr>
      <w:tr w:rsidR="00536F83" w:rsidRPr="007F78CE" w14:paraId="3F9C5430" w14:textId="77777777" w:rsidTr="00F016FE">
        <w:trPr>
          <w:trHeight w:val="300"/>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14:paraId="4AD0FD38" w14:textId="77777777" w:rsidR="00536F83" w:rsidRPr="00536F83" w:rsidRDefault="00536F83" w:rsidP="00536F83">
            <w:pPr>
              <w:spacing w:after="0" w:line="240" w:lineRule="auto"/>
              <w:rPr>
                <w:rFonts w:ascii="Arial" w:eastAsia="Times New Roman" w:hAnsi="Arial" w:cs="Arial"/>
                <w:sz w:val="18"/>
                <w:szCs w:val="18"/>
                <w:lang w:eastAsia="fr-FR"/>
              </w:rPr>
            </w:pPr>
            <w:r w:rsidRPr="00536F83">
              <w:rPr>
                <w:rFonts w:ascii="Arial" w:eastAsia="Times New Roman" w:hAnsi="Arial" w:cs="Arial"/>
                <w:sz w:val="18"/>
                <w:szCs w:val="18"/>
                <w:lang w:eastAsia="fr-FR"/>
              </w:rPr>
              <w:t>ATSINANANA</w:t>
            </w:r>
          </w:p>
        </w:tc>
        <w:tc>
          <w:tcPr>
            <w:tcW w:w="1040" w:type="dxa"/>
            <w:tcBorders>
              <w:top w:val="nil"/>
              <w:left w:val="nil"/>
              <w:bottom w:val="single" w:sz="4" w:space="0" w:color="auto"/>
              <w:right w:val="single" w:sz="4" w:space="0" w:color="auto"/>
            </w:tcBorders>
            <w:shd w:val="clear" w:color="auto" w:fill="auto"/>
            <w:noWrap/>
            <w:vAlign w:val="center"/>
            <w:hideMark/>
          </w:tcPr>
          <w:p w14:paraId="4E8F21A3"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7</w:t>
            </w:r>
          </w:p>
        </w:tc>
        <w:tc>
          <w:tcPr>
            <w:tcW w:w="1260" w:type="dxa"/>
            <w:tcBorders>
              <w:top w:val="nil"/>
              <w:left w:val="nil"/>
              <w:bottom w:val="single" w:sz="4" w:space="0" w:color="auto"/>
              <w:right w:val="single" w:sz="4" w:space="0" w:color="auto"/>
            </w:tcBorders>
            <w:shd w:val="clear" w:color="auto" w:fill="auto"/>
            <w:noWrap/>
            <w:vAlign w:val="center"/>
            <w:hideMark/>
          </w:tcPr>
          <w:p w14:paraId="640A5150"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89</w:t>
            </w:r>
          </w:p>
        </w:tc>
        <w:tc>
          <w:tcPr>
            <w:tcW w:w="1260" w:type="dxa"/>
            <w:tcBorders>
              <w:top w:val="nil"/>
              <w:left w:val="nil"/>
              <w:bottom w:val="single" w:sz="4" w:space="0" w:color="auto"/>
              <w:right w:val="single" w:sz="4" w:space="0" w:color="auto"/>
            </w:tcBorders>
            <w:shd w:val="clear" w:color="auto" w:fill="auto"/>
            <w:noWrap/>
            <w:vAlign w:val="bottom"/>
            <w:hideMark/>
          </w:tcPr>
          <w:p w14:paraId="7ADE67DD" w14:textId="77777777" w:rsidR="00536F83" w:rsidRPr="00536F83" w:rsidRDefault="00536F83" w:rsidP="00536F83">
            <w:pPr>
              <w:spacing w:after="0" w:line="240" w:lineRule="auto"/>
              <w:jc w:val="right"/>
              <w:rPr>
                <w:rFonts w:ascii="Arial" w:eastAsia="Times New Roman" w:hAnsi="Arial" w:cs="Arial"/>
                <w:color w:val="000000"/>
                <w:sz w:val="20"/>
                <w:szCs w:val="20"/>
                <w:lang w:eastAsia="fr-FR"/>
              </w:rPr>
            </w:pPr>
            <w:r w:rsidRPr="00536F83">
              <w:rPr>
                <w:rFonts w:ascii="Arial" w:eastAsia="Times New Roman" w:hAnsi="Arial" w:cs="Arial"/>
                <w:color w:val="000000"/>
                <w:sz w:val="20"/>
                <w:szCs w:val="20"/>
                <w:lang w:eastAsia="fr-FR"/>
              </w:rPr>
              <w:t>1075</w:t>
            </w:r>
          </w:p>
        </w:tc>
        <w:tc>
          <w:tcPr>
            <w:tcW w:w="749" w:type="dxa"/>
            <w:tcBorders>
              <w:top w:val="nil"/>
              <w:left w:val="nil"/>
              <w:bottom w:val="single" w:sz="4" w:space="0" w:color="auto"/>
              <w:right w:val="single" w:sz="4" w:space="0" w:color="auto"/>
            </w:tcBorders>
            <w:shd w:val="clear" w:color="auto" w:fill="auto"/>
            <w:noWrap/>
            <w:vAlign w:val="bottom"/>
            <w:hideMark/>
          </w:tcPr>
          <w:p w14:paraId="41438883"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1 663</w:t>
            </w:r>
          </w:p>
        </w:tc>
        <w:tc>
          <w:tcPr>
            <w:tcW w:w="710" w:type="dxa"/>
            <w:tcBorders>
              <w:top w:val="nil"/>
              <w:left w:val="nil"/>
              <w:bottom w:val="single" w:sz="4" w:space="0" w:color="auto"/>
              <w:right w:val="single" w:sz="4" w:space="0" w:color="auto"/>
            </w:tcBorders>
            <w:shd w:val="clear" w:color="auto" w:fill="auto"/>
            <w:noWrap/>
            <w:vAlign w:val="bottom"/>
            <w:hideMark/>
          </w:tcPr>
          <w:p w14:paraId="56D8F3E9"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138</w:t>
            </w:r>
          </w:p>
        </w:tc>
        <w:tc>
          <w:tcPr>
            <w:tcW w:w="472" w:type="dxa"/>
            <w:tcBorders>
              <w:top w:val="nil"/>
              <w:left w:val="nil"/>
              <w:bottom w:val="single" w:sz="4" w:space="0" w:color="auto"/>
              <w:right w:val="single" w:sz="4" w:space="0" w:color="auto"/>
            </w:tcBorders>
            <w:shd w:val="clear" w:color="auto" w:fill="auto"/>
            <w:noWrap/>
            <w:vAlign w:val="bottom"/>
            <w:hideMark/>
          </w:tcPr>
          <w:p w14:paraId="5C12282E"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14</w:t>
            </w:r>
          </w:p>
        </w:tc>
      </w:tr>
      <w:tr w:rsidR="00536F83" w:rsidRPr="007F78CE" w14:paraId="627E685C" w14:textId="77777777" w:rsidTr="00F016FE">
        <w:trPr>
          <w:trHeight w:val="300"/>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14:paraId="6B56895B" w14:textId="77777777" w:rsidR="00536F83" w:rsidRPr="00536F83" w:rsidRDefault="00536F83" w:rsidP="00536F83">
            <w:pPr>
              <w:spacing w:after="0" w:line="240" w:lineRule="auto"/>
              <w:rPr>
                <w:rFonts w:ascii="Arial" w:eastAsia="Times New Roman" w:hAnsi="Arial" w:cs="Arial"/>
                <w:sz w:val="18"/>
                <w:szCs w:val="18"/>
                <w:lang w:eastAsia="fr-FR"/>
              </w:rPr>
            </w:pPr>
            <w:r w:rsidRPr="00536F83">
              <w:rPr>
                <w:rFonts w:ascii="Arial" w:eastAsia="Times New Roman" w:hAnsi="Arial" w:cs="Arial"/>
                <w:sz w:val="18"/>
                <w:szCs w:val="18"/>
                <w:lang w:eastAsia="fr-FR"/>
              </w:rPr>
              <w:t>BETSIBOKA</w:t>
            </w:r>
          </w:p>
        </w:tc>
        <w:tc>
          <w:tcPr>
            <w:tcW w:w="1040" w:type="dxa"/>
            <w:tcBorders>
              <w:top w:val="nil"/>
              <w:left w:val="nil"/>
              <w:bottom w:val="single" w:sz="4" w:space="0" w:color="auto"/>
              <w:right w:val="single" w:sz="4" w:space="0" w:color="auto"/>
            </w:tcBorders>
            <w:shd w:val="clear" w:color="auto" w:fill="auto"/>
            <w:noWrap/>
            <w:vAlign w:val="center"/>
            <w:hideMark/>
          </w:tcPr>
          <w:p w14:paraId="71E052AE"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3</w:t>
            </w:r>
          </w:p>
        </w:tc>
        <w:tc>
          <w:tcPr>
            <w:tcW w:w="1260" w:type="dxa"/>
            <w:tcBorders>
              <w:top w:val="nil"/>
              <w:left w:val="nil"/>
              <w:bottom w:val="single" w:sz="4" w:space="0" w:color="auto"/>
              <w:right w:val="single" w:sz="4" w:space="0" w:color="auto"/>
            </w:tcBorders>
            <w:shd w:val="clear" w:color="auto" w:fill="auto"/>
            <w:noWrap/>
            <w:vAlign w:val="center"/>
            <w:hideMark/>
          </w:tcPr>
          <w:p w14:paraId="45D0C955"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35</w:t>
            </w:r>
          </w:p>
        </w:tc>
        <w:tc>
          <w:tcPr>
            <w:tcW w:w="1260" w:type="dxa"/>
            <w:tcBorders>
              <w:top w:val="nil"/>
              <w:left w:val="nil"/>
              <w:bottom w:val="single" w:sz="4" w:space="0" w:color="auto"/>
              <w:right w:val="single" w:sz="4" w:space="0" w:color="auto"/>
            </w:tcBorders>
            <w:shd w:val="clear" w:color="auto" w:fill="auto"/>
            <w:noWrap/>
            <w:vAlign w:val="bottom"/>
            <w:hideMark/>
          </w:tcPr>
          <w:p w14:paraId="75C89FE9" w14:textId="77777777" w:rsidR="00536F83" w:rsidRPr="00536F83" w:rsidRDefault="00536F83" w:rsidP="00536F83">
            <w:pPr>
              <w:spacing w:after="0" w:line="240" w:lineRule="auto"/>
              <w:jc w:val="right"/>
              <w:rPr>
                <w:rFonts w:ascii="Arial" w:eastAsia="Times New Roman" w:hAnsi="Arial" w:cs="Arial"/>
                <w:color w:val="000000"/>
                <w:sz w:val="20"/>
                <w:szCs w:val="20"/>
                <w:lang w:eastAsia="fr-FR"/>
              </w:rPr>
            </w:pPr>
            <w:r w:rsidRPr="00536F83">
              <w:rPr>
                <w:rFonts w:ascii="Arial" w:eastAsia="Times New Roman" w:hAnsi="Arial" w:cs="Arial"/>
                <w:color w:val="000000"/>
                <w:sz w:val="20"/>
                <w:szCs w:val="20"/>
                <w:lang w:eastAsia="fr-FR"/>
              </w:rPr>
              <w:t>370</w:t>
            </w:r>
          </w:p>
        </w:tc>
        <w:tc>
          <w:tcPr>
            <w:tcW w:w="749" w:type="dxa"/>
            <w:tcBorders>
              <w:top w:val="nil"/>
              <w:left w:val="nil"/>
              <w:bottom w:val="single" w:sz="4" w:space="0" w:color="auto"/>
              <w:right w:val="single" w:sz="4" w:space="0" w:color="auto"/>
            </w:tcBorders>
            <w:shd w:val="clear" w:color="auto" w:fill="auto"/>
            <w:noWrap/>
            <w:vAlign w:val="bottom"/>
            <w:hideMark/>
          </w:tcPr>
          <w:p w14:paraId="2CABAC46"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503</w:t>
            </w:r>
          </w:p>
        </w:tc>
        <w:tc>
          <w:tcPr>
            <w:tcW w:w="710" w:type="dxa"/>
            <w:tcBorders>
              <w:top w:val="nil"/>
              <w:left w:val="nil"/>
              <w:bottom w:val="single" w:sz="4" w:space="0" w:color="auto"/>
              <w:right w:val="single" w:sz="4" w:space="0" w:color="auto"/>
            </w:tcBorders>
            <w:shd w:val="clear" w:color="auto" w:fill="auto"/>
            <w:noWrap/>
            <w:vAlign w:val="bottom"/>
            <w:hideMark/>
          </w:tcPr>
          <w:p w14:paraId="50FCD25E"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36</w:t>
            </w:r>
          </w:p>
        </w:tc>
        <w:tc>
          <w:tcPr>
            <w:tcW w:w="472" w:type="dxa"/>
            <w:tcBorders>
              <w:top w:val="nil"/>
              <w:left w:val="nil"/>
              <w:bottom w:val="single" w:sz="4" w:space="0" w:color="auto"/>
              <w:right w:val="single" w:sz="4" w:space="0" w:color="auto"/>
            </w:tcBorders>
            <w:shd w:val="clear" w:color="auto" w:fill="auto"/>
            <w:noWrap/>
            <w:vAlign w:val="bottom"/>
            <w:hideMark/>
          </w:tcPr>
          <w:p w14:paraId="0E1F514B"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8</w:t>
            </w:r>
          </w:p>
        </w:tc>
      </w:tr>
      <w:tr w:rsidR="00536F83" w:rsidRPr="007F78CE" w14:paraId="7E70450F" w14:textId="77777777" w:rsidTr="00F016FE">
        <w:trPr>
          <w:trHeight w:val="300"/>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14:paraId="26768184" w14:textId="77777777" w:rsidR="00536F83" w:rsidRPr="00536F83" w:rsidRDefault="00536F83" w:rsidP="00536F83">
            <w:pPr>
              <w:spacing w:after="0" w:line="240" w:lineRule="auto"/>
              <w:rPr>
                <w:rFonts w:ascii="Arial" w:eastAsia="Times New Roman" w:hAnsi="Arial" w:cs="Arial"/>
                <w:sz w:val="18"/>
                <w:szCs w:val="18"/>
                <w:lang w:eastAsia="fr-FR"/>
              </w:rPr>
            </w:pPr>
            <w:r w:rsidRPr="00536F83">
              <w:rPr>
                <w:rFonts w:ascii="Arial" w:eastAsia="Times New Roman" w:hAnsi="Arial" w:cs="Arial"/>
                <w:sz w:val="18"/>
                <w:szCs w:val="18"/>
                <w:lang w:eastAsia="fr-FR"/>
              </w:rPr>
              <w:t>BOENY</w:t>
            </w:r>
          </w:p>
        </w:tc>
        <w:tc>
          <w:tcPr>
            <w:tcW w:w="1040" w:type="dxa"/>
            <w:tcBorders>
              <w:top w:val="nil"/>
              <w:left w:val="nil"/>
              <w:bottom w:val="single" w:sz="4" w:space="0" w:color="auto"/>
              <w:right w:val="single" w:sz="4" w:space="0" w:color="auto"/>
            </w:tcBorders>
            <w:shd w:val="clear" w:color="auto" w:fill="auto"/>
            <w:noWrap/>
            <w:vAlign w:val="center"/>
            <w:hideMark/>
          </w:tcPr>
          <w:p w14:paraId="2B53749A"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6</w:t>
            </w:r>
          </w:p>
        </w:tc>
        <w:tc>
          <w:tcPr>
            <w:tcW w:w="1260" w:type="dxa"/>
            <w:tcBorders>
              <w:top w:val="nil"/>
              <w:left w:val="nil"/>
              <w:bottom w:val="single" w:sz="4" w:space="0" w:color="auto"/>
              <w:right w:val="single" w:sz="4" w:space="0" w:color="auto"/>
            </w:tcBorders>
            <w:shd w:val="clear" w:color="auto" w:fill="auto"/>
            <w:noWrap/>
            <w:vAlign w:val="center"/>
            <w:hideMark/>
          </w:tcPr>
          <w:p w14:paraId="3BAD1502"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45</w:t>
            </w:r>
          </w:p>
        </w:tc>
        <w:tc>
          <w:tcPr>
            <w:tcW w:w="1260" w:type="dxa"/>
            <w:tcBorders>
              <w:top w:val="nil"/>
              <w:left w:val="nil"/>
              <w:bottom w:val="single" w:sz="4" w:space="0" w:color="auto"/>
              <w:right w:val="single" w:sz="4" w:space="0" w:color="auto"/>
            </w:tcBorders>
            <w:shd w:val="clear" w:color="auto" w:fill="auto"/>
            <w:noWrap/>
            <w:vAlign w:val="bottom"/>
            <w:hideMark/>
          </w:tcPr>
          <w:p w14:paraId="7A0BB821" w14:textId="77777777" w:rsidR="00536F83" w:rsidRPr="00536F83" w:rsidRDefault="00536F83" w:rsidP="00536F83">
            <w:pPr>
              <w:spacing w:after="0" w:line="240" w:lineRule="auto"/>
              <w:jc w:val="right"/>
              <w:rPr>
                <w:rFonts w:ascii="Arial" w:eastAsia="Times New Roman" w:hAnsi="Arial" w:cs="Arial"/>
                <w:color w:val="000000"/>
                <w:sz w:val="20"/>
                <w:szCs w:val="20"/>
                <w:lang w:eastAsia="fr-FR"/>
              </w:rPr>
            </w:pPr>
            <w:r w:rsidRPr="00536F83">
              <w:rPr>
                <w:rFonts w:ascii="Arial" w:eastAsia="Times New Roman" w:hAnsi="Arial" w:cs="Arial"/>
                <w:color w:val="000000"/>
                <w:sz w:val="20"/>
                <w:szCs w:val="20"/>
                <w:lang w:eastAsia="fr-FR"/>
              </w:rPr>
              <w:t>489</w:t>
            </w:r>
          </w:p>
        </w:tc>
        <w:tc>
          <w:tcPr>
            <w:tcW w:w="749" w:type="dxa"/>
            <w:tcBorders>
              <w:top w:val="nil"/>
              <w:left w:val="nil"/>
              <w:bottom w:val="single" w:sz="4" w:space="0" w:color="auto"/>
              <w:right w:val="single" w:sz="4" w:space="0" w:color="auto"/>
            </w:tcBorders>
            <w:shd w:val="clear" w:color="auto" w:fill="auto"/>
            <w:noWrap/>
            <w:vAlign w:val="bottom"/>
            <w:hideMark/>
          </w:tcPr>
          <w:p w14:paraId="2EA3B1FD"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703</w:t>
            </w:r>
          </w:p>
        </w:tc>
        <w:tc>
          <w:tcPr>
            <w:tcW w:w="710" w:type="dxa"/>
            <w:tcBorders>
              <w:top w:val="nil"/>
              <w:left w:val="nil"/>
              <w:bottom w:val="single" w:sz="4" w:space="0" w:color="auto"/>
              <w:right w:val="single" w:sz="4" w:space="0" w:color="auto"/>
            </w:tcBorders>
            <w:shd w:val="clear" w:color="auto" w:fill="auto"/>
            <w:noWrap/>
            <w:vAlign w:val="bottom"/>
            <w:hideMark/>
          </w:tcPr>
          <w:p w14:paraId="58F0153E"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50</w:t>
            </w:r>
          </w:p>
        </w:tc>
        <w:tc>
          <w:tcPr>
            <w:tcW w:w="472" w:type="dxa"/>
            <w:tcBorders>
              <w:top w:val="nil"/>
              <w:left w:val="nil"/>
              <w:bottom w:val="single" w:sz="4" w:space="0" w:color="auto"/>
              <w:right w:val="single" w:sz="4" w:space="0" w:color="auto"/>
            </w:tcBorders>
            <w:shd w:val="clear" w:color="auto" w:fill="auto"/>
            <w:noWrap/>
            <w:vAlign w:val="bottom"/>
            <w:hideMark/>
          </w:tcPr>
          <w:p w14:paraId="0D6BDFAA"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10</w:t>
            </w:r>
          </w:p>
        </w:tc>
      </w:tr>
      <w:tr w:rsidR="00536F83" w:rsidRPr="007F78CE" w14:paraId="190C25D4" w14:textId="77777777" w:rsidTr="00F016FE">
        <w:trPr>
          <w:trHeight w:val="300"/>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14:paraId="34165B84" w14:textId="77777777" w:rsidR="00536F83" w:rsidRPr="00536F83" w:rsidRDefault="00536F83" w:rsidP="00536F83">
            <w:pPr>
              <w:spacing w:after="0" w:line="240" w:lineRule="auto"/>
              <w:rPr>
                <w:rFonts w:ascii="Arial" w:eastAsia="Times New Roman" w:hAnsi="Arial" w:cs="Arial"/>
                <w:sz w:val="18"/>
                <w:szCs w:val="18"/>
                <w:lang w:eastAsia="fr-FR"/>
              </w:rPr>
            </w:pPr>
            <w:r w:rsidRPr="00536F83">
              <w:rPr>
                <w:rFonts w:ascii="Arial" w:eastAsia="Times New Roman" w:hAnsi="Arial" w:cs="Arial"/>
                <w:sz w:val="18"/>
                <w:szCs w:val="18"/>
                <w:lang w:eastAsia="fr-FR"/>
              </w:rPr>
              <w:t>BONGOLAVA</w:t>
            </w:r>
          </w:p>
        </w:tc>
        <w:tc>
          <w:tcPr>
            <w:tcW w:w="1040" w:type="dxa"/>
            <w:tcBorders>
              <w:top w:val="nil"/>
              <w:left w:val="nil"/>
              <w:bottom w:val="single" w:sz="4" w:space="0" w:color="auto"/>
              <w:right w:val="single" w:sz="4" w:space="0" w:color="auto"/>
            </w:tcBorders>
            <w:shd w:val="clear" w:color="auto" w:fill="auto"/>
            <w:noWrap/>
            <w:vAlign w:val="center"/>
            <w:hideMark/>
          </w:tcPr>
          <w:p w14:paraId="58C1B596"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2</w:t>
            </w:r>
          </w:p>
        </w:tc>
        <w:tc>
          <w:tcPr>
            <w:tcW w:w="1260" w:type="dxa"/>
            <w:tcBorders>
              <w:top w:val="nil"/>
              <w:left w:val="nil"/>
              <w:bottom w:val="single" w:sz="4" w:space="0" w:color="auto"/>
              <w:right w:val="single" w:sz="4" w:space="0" w:color="auto"/>
            </w:tcBorders>
            <w:shd w:val="clear" w:color="auto" w:fill="auto"/>
            <w:noWrap/>
            <w:vAlign w:val="center"/>
            <w:hideMark/>
          </w:tcPr>
          <w:p w14:paraId="1A602525"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26</w:t>
            </w:r>
          </w:p>
        </w:tc>
        <w:tc>
          <w:tcPr>
            <w:tcW w:w="1260" w:type="dxa"/>
            <w:tcBorders>
              <w:top w:val="nil"/>
              <w:left w:val="nil"/>
              <w:bottom w:val="single" w:sz="4" w:space="0" w:color="auto"/>
              <w:right w:val="single" w:sz="4" w:space="0" w:color="auto"/>
            </w:tcBorders>
            <w:shd w:val="clear" w:color="auto" w:fill="auto"/>
            <w:noWrap/>
            <w:vAlign w:val="bottom"/>
            <w:hideMark/>
          </w:tcPr>
          <w:p w14:paraId="757DB443" w14:textId="77777777" w:rsidR="00536F83" w:rsidRPr="00536F83" w:rsidRDefault="00536F83" w:rsidP="00536F83">
            <w:pPr>
              <w:spacing w:after="0" w:line="240" w:lineRule="auto"/>
              <w:jc w:val="right"/>
              <w:rPr>
                <w:rFonts w:ascii="Arial" w:eastAsia="Times New Roman" w:hAnsi="Arial" w:cs="Arial"/>
                <w:color w:val="000000"/>
                <w:sz w:val="20"/>
                <w:szCs w:val="20"/>
                <w:lang w:eastAsia="fr-FR"/>
              </w:rPr>
            </w:pPr>
            <w:r w:rsidRPr="00536F83">
              <w:rPr>
                <w:rFonts w:ascii="Arial" w:eastAsia="Times New Roman" w:hAnsi="Arial" w:cs="Arial"/>
                <w:color w:val="000000"/>
                <w:sz w:val="20"/>
                <w:szCs w:val="20"/>
                <w:lang w:eastAsia="fr-FR"/>
              </w:rPr>
              <w:t>315</w:t>
            </w:r>
          </w:p>
        </w:tc>
        <w:tc>
          <w:tcPr>
            <w:tcW w:w="749" w:type="dxa"/>
            <w:tcBorders>
              <w:top w:val="nil"/>
              <w:left w:val="nil"/>
              <w:bottom w:val="single" w:sz="4" w:space="0" w:color="auto"/>
              <w:right w:val="single" w:sz="4" w:space="0" w:color="auto"/>
            </w:tcBorders>
            <w:shd w:val="clear" w:color="auto" w:fill="auto"/>
            <w:noWrap/>
            <w:vAlign w:val="bottom"/>
            <w:hideMark/>
          </w:tcPr>
          <w:p w14:paraId="7279548A"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554</w:t>
            </w:r>
          </w:p>
        </w:tc>
        <w:tc>
          <w:tcPr>
            <w:tcW w:w="710" w:type="dxa"/>
            <w:tcBorders>
              <w:top w:val="nil"/>
              <w:left w:val="nil"/>
              <w:bottom w:val="single" w:sz="4" w:space="0" w:color="auto"/>
              <w:right w:val="single" w:sz="4" w:space="0" w:color="auto"/>
            </w:tcBorders>
            <w:shd w:val="clear" w:color="auto" w:fill="auto"/>
            <w:noWrap/>
            <w:vAlign w:val="bottom"/>
            <w:hideMark/>
          </w:tcPr>
          <w:p w14:paraId="33AD290C"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58</w:t>
            </w:r>
          </w:p>
        </w:tc>
        <w:tc>
          <w:tcPr>
            <w:tcW w:w="472" w:type="dxa"/>
            <w:tcBorders>
              <w:top w:val="nil"/>
              <w:left w:val="nil"/>
              <w:bottom w:val="single" w:sz="4" w:space="0" w:color="auto"/>
              <w:right w:val="single" w:sz="4" w:space="0" w:color="auto"/>
            </w:tcBorders>
            <w:shd w:val="clear" w:color="auto" w:fill="auto"/>
            <w:noWrap/>
            <w:vAlign w:val="bottom"/>
            <w:hideMark/>
          </w:tcPr>
          <w:p w14:paraId="150C6F07"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12</w:t>
            </w:r>
          </w:p>
        </w:tc>
      </w:tr>
      <w:tr w:rsidR="00536F83" w:rsidRPr="007F78CE" w14:paraId="6C63881A" w14:textId="77777777" w:rsidTr="00F016FE">
        <w:trPr>
          <w:trHeight w:val="300"/>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14:paraId="0213F808" w14:textId="77777777" w:rsidR="00536F83" w:rsidRPr="00536F83" w:rsidRDefault="00536F83" w:rsidP="00536F83">
            <w:pPr>
              <w:spacing w:after="0" w:line="240" w:lineRule="auto"/>
              <w:rPr>
                <w:rFonts w:ascii="Arial" w:eastAsia="Times New Roman" w:hAnsi="Arial" w:cs="Arial"/>
                <w:sz w:val="18"/>
                <w:szCs w:val="18"/>
                <w:lang w:eastAsia="fr-FR"/>
              </w:rPr>
            </w:pPr>
            <w:r w:rsidRPr="00536F83">
              <w:rPr>
                <w:rFonts w:ascii="Arial" w:eastAsia="Times New Roman" w:hAnsi="Arial" w:cs="Arial"/>
                <w:sz w:val="18"/>
                <w:szCs w:val="18"/>
                <w:lang w:eastAsia="fr-FR"/>
              </w:rPr>
              <w:t>DIANA</w:t>
            </w:r>
          </w:p>
        </w:tc>
        <w:tc>
          <w:tcPr>
            <w:tcW w:w="1040" w:type="dxa"/>
            <w:tcBorders>
              <w:top w:val="nil"/>
              <w:left w:val="nil"/>
              <w:bottom w:val="single" w:sz="4" w:space="0" w:color="auto"/>
              <w:right w:val="single" w:sz="4" w:space="0" w:color="auto"/>
            </w:tcBorders>
            <w:shd w:val="clear" w:color="auto" w:fill="auto"/>
            <w:noWrap/>
            <w:vAlign w:val="center"/>
            <w:hideMark/>
          </w:tcPr>
          <w:p w14:paraId="531EFF5B"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5</w:t>
            </w:r>
          </w:p>
        </w:tc>
        <w:tc>
          <w:tcPr>
            <w:tcW w:w="1260" w:type="dxa"/>
            <w:tcBorders>
              <w:top w:val="nil"/>
              <w:left w:val="nil"/>
              <w:bottom w:val="single" w:sz="4" w:space="0" w:color="auto"/>
              <w:right w:val="single" w:sz="4" w:space="0" w:color="auto"/>
            </w:tcBorders>
            <w:shd w:val="clear" w:color="auto" w:fill="auto"/>
            <w:noWrap/>
            <w:vAlign w:val="center"/>
            <w:hideMark/>
          </w:tcPr>
          <w:p w14:paraId="67372598"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65</w:t>
            </w:r>
          </w:p>
        </w:tc>
        <w:tc>
          <w:tcPr>
            <w:tcW w:w="1260" w:type="dxa"/>
            <w:tcBorders>
              <w:top w:val="nil"/>
              <w:left w:val="nil"/>
              <w:bottom w:val="single" w:sz="4" w:space="0" w:color="auto"/>
              <w:right w:val="single" w:sz="4" w:space="0" w:color="auto"/>
            </w:tcBorders>
            <w:shd w:val="clear" w:color="auto" w:fill="auto"/>
            <w:noWrap/>
            <w:vAlign w:val="bottom"/>
            <w:hideMark/>
          </w:tcPr>
          <w:p w14:paraId="49AA1967" w14:textId="77777777" w:rsidR="00536F83" w:rsidRPr="00536F83" w:rsidRDefault="00536F83" w:rsidP="00536F83">
            <w:pPr>
              <w:spacing w:after="0" w:line="240" w:lineRule="auto"/>
              <w:jc w:val="right"/>
              <w:rPr>
                <w:rFonts w:ascii="Arial" w:eastAsia="Times New Roman" w:hAnsi="Arial" w:cs="Arial"/>
                <w:color w:val="000000"/>
                <w:sz w:val="20"/>
                <w:szCs w:val="20"/>
                <w:lang w:eastAsia="fr-FR"/>
              </w:rPr>
            </w:pPr>
            <w:r w:rsidRPr="00536F83">
              <w:rPr>
                <w:rFonts w:ascii="Arial" w:eastAsia="Times New Roman" w:hAnsi="Arial" w:cs="Arial"/>
                <w:color w:val="000000"/>
                <w:sz w:val="20"/>
                <w:szCs w:val="20"/>
                <w:lang w:eastAsia="fr-FR"/>
              </w:rPr>
              <w:t>526</w:t>
            </w:r>
          </w:p>
        </w:tc>
        <w:tc>
          <w:tcPr>
            <w:tcW w:w="749" w:type="dxa"/>
            <w:tcBorders>
              <w:top w:val="nil"/>
              <w:left w:val="nil"/>
              <w:bottom w:val="single" w:sz="4" w:space="0" w:color="auto"/>
              <w:right w:val="single" w:sz="4" w:space="0" w:color="auto"/>
            </w:tcBorders>
            <w:shd w:val="clear" w:color="auto" w:fill="auto"/>
            <w:noWrap/>
            <w:vAlign w:val="bottom"/>
            <w:hideMark/>
          </w:tcPr>
          <w:p w14:paraId="1D9D4E73"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778</w:t>
            </w:r>
          </w:p>
        </w:tc>
        <w:tc>
          <w:tcPr>
            <w:tcW w:w="710" w:type="dxa"/>
            <w:tcBorders>
              <w:top w:val="nil"/>
              <w:left w:val="nil"/>
              <w:bottom w:val="single" w:sz="4" w:space="0" w:color="auto"/>
              <w:right w:val="single" w:sz="4" w:space="0" w:color="auto"/>
            </w:tcBorders>
            <w:shd w:val="clear" w:color="auto" w:fill="auto"/>
            <w:noWrap/>
            <w:vAlign w:val="bottom"/>
            <w:hideMark/>
          </w:tcPr>
          <w:p w14:paraId="36D756F0"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84</w:t>
            </w:r>
          </w:p>
        </w:tc>
        <w:tc>
          <w:tcPr>
            <w:tcW w:w="472" w:type="dxa"/>
            <w:tcBorders>
              <w:top w:val="nil"/>
              <w:left w:val="nil"/>
              <w:bottom w:val="single" w:sz="4" w:space="0" w:color="auto"/>
              <w:right w:val="single" w:sz="4" w:space="0" w:color="auto"/>
            </w:tcBorders>
            <w:shd w:val="clear" w:color="auto" w:fill="auto"/>
            <w:noWrap/>
            <w:vAlign w:val="bottom"/>
            <w:hideMark/>
          </w:tcPr>
          <w:p w14:paraId="7E2F01C3"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14</w:t>
            </w:r>
          </w:p>
        </w:tc>
      </w:tr>
      <w:tr w:rsidR="00536F83" w:rsidRPr="007F78CE" w14:paraId="340A303A" w14:textId="77777777" w:rsidTr="00F016FE">
        <w:trPr>
          <w:trHeight w:val="300"/>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14:paraId="41694DCC" w14:textId="77777777" w:rsidR="00536F83" w:rsidRPr="00536F83" w:rsidRDefault="00536F83" w:rsidP="00536F83">
            <w:pPr>
              <w:spacing w:after="0" w:line="240" w:lineRule="auto"/>
              <w:rPr>
                <w:rFonts w:ascii="Arial" w:eastAsia="Times New Roman" w:hAnsi="Arial" w:cs="Arial"/>
                <w:sz w:val="18"/>
                <w:szCs w:val="18"/>
                <w:lang w:eastAsia="fr-FR"/>
              </w:rPr>
            </w:pPr>
            <w:r w:rsidRPr="00536F83">
              <w:rPr>
                <w:rFonts w:ascii="Arial" w:eastAsia="Times New Roman" w:hAnsi="Arial" w:cs="Arial"/>
                <w:sz w:val="18"/>
                <w:szCs w:val="18"/>
                <w:lang w:eastAsia="fr-FR"/>
              </w:rPr>
              <w:t>HAUTE MATSIATRA</w:t>
            </w:r>
          </w:p>
        </w:tc>
        <w:tc>
          <w:tcPr>
            <w:tcW w:w="1040" w:type="dxa"/>
            <w:tcBorders>
              <w:top w:val="nil"/>
              <w:left w:val="nil"/>
              <w:bottom w:val="single" w:sz="4" w:space="0" w:color="auto"/>
              <w:right w:val="single" w:sz="4" w:space="0" w:color="auto"/>
            </w:tcBorders>
            <w:shd w:val="clear" w:color="auto" w:fill="auto"/>
            <w:noWrap/>
            <w:vAlign w:val="center"/>
            <w:hideMark/>
          </w:tcPr>
          <w:p w14:paraId="7FDA6ACA"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7</w:t>
            </w:r>
          </w:p>
        </w:tc>
        <w:tc>
          <w:tcPr>
            <w:tcW w:w="1260" w:type="dxa"/>
            <w:tcBorders>
              <w:top w:val="nil"/>
              <w:left w:val="nil"/>
              <w:bottom w:val="single" w:sz="4" w:space="0" w:color="auto"/>
              <w:right w:val="single" w:sz="4" w:space="0" w:color="auto"/>
            </w:tcBorders>
            <w:shd w:val="clear" w:color="auto" w:fill="auto"/>
            <w:noWrap/>
            <w:vAlign w:val="center"/>
            <w:hideMark/>
          </w:tcPr>
          <w:p w14:paraId="793FC5DC"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88</w:t>
            </w:r>
          </w:p>
        </w:tc>
        <w:tc>
          <w:tcPr>
            <w:tcW w:w="1260" w:type="dxa"/>
            <w:tcBorders>
              <w:top w:val="nil"/>
              <w:left w:val="nil"/>
              <w:bottom w:val="single" w:sz="4" w:space="0" w:color="auto"/>
              <w:right w:val="single" w:sz="4" w:space="0" w:color="auto"/>
            </w:tcBorders>
            <w:shd w:val="clear" w:color="auto" w:fill="auto"/>
            <w:noWrap/>
            <w:vAlign w:val="bottom"/>
            <w:hideMark/>
          </w:tcPr>
          <w:p w14:paraId="1E967A24" w14:textId="77777777" w:rsidR="00536F83" w:rsidRPr="00536F83" w:rsidRDefault="00536F83" w:rsidP="00536F83">
            <w:pPr>
              <w:spacing w:after="0" w:line="240" w:lineRule="auto"/>
              <w:jc w:val="right"/>
              <w:rPr>
                <w:rFonts w:ascii="Arial" w:eastAsia="Times New Roman" w:hAnsi="Arial" w:cs="Arial"/>
                <w:color w:val="000000"/>
                <w:sz w:val="20"/>
                <w:szCs w:val="20"/>
                <w:lang w:eastAsia="fr-FR"/>
              </w:rPr>
            </w:pPr>
            <w:r w:rsidRPr="00536F83">
              <w:rPr>
                <w:rFonts w:ascii="Arial" w:eastAsia="Times New Roman" w:hAnsi="Arial" w:cs="Arial"/>
                <w:color w:val="000000"/>
                <w:sz w:val="20"/>
                <w:szCs w:val="20"/>
                <w:lang w:eastAsia="fr-FR"/>
              </w:rPr>
              <w:t>787</w:t>
            </w:r>
          </w:p>
        </w:tc>
        <w:tc>
          <w:tcPr>
            <w:tcW w:w="749" w:type="dxa"/>
            <w:tcBorders>
              <w:top w:val="nil"/>
              <w:left w:val="nil"/>
              <w:bottom w:val="single" w:sz="4" w:space="0" w:color="auto"/>
              <w:right w:val="single" w:sz="4" w:space="0" w:color="auto"/>
            </w:tcBorders>
            <w:shd w:val="clear" w:color="auto" w:fill="auto"/>
            <w:noWrap/>
            <w:vAlign w:val="bottom"/>
            <w:hideMark/>
          </w:tcPr>
          <w:p w14:paraId="0DD87C3E"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1 110</w:t>
            </w:r>
          </w:p>
        </w:tc>
        <w:tc>
          <w:tcPr>
            <w:tcW w:w="710" w:type="dxa"/>
            <w:tcBorders>
              <w:top w:val="nil"/>
              <w:left w:val="nil"/>
              <w:bottom w:val="single" w:sz="4" w:space="0" w:color="auto"/>
              <w:right w:val="single" w:sz="4" w:space="0" w:color="auto"/>
            </w:tcBorders>
            <w:shd w:val="clear" w:color="auto" w:fill="auto"/>
            <w:noWrap/>
            <w:vAlign w:val="bottom"/>
            <w:hideMark/>
          </w:tcPr>
          <w:p w14:paraId="4522FCBD"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161</w:t>
            </w:r>
          </w:p>
        </w:tc>
        <w:tc>
          <w:tcPr>
            <w:tcW w:w="472" w:type="dxa"/>
            <w:tcBorders>
              <w:top w:val="nil"/>
              <w:left w:val="nil"/>
              <w:bottom w:val="single" w:sz="4" w:space="0" w:color="auto"/>
              <w:right w:val="single" w:sz="4" w:space="0" w:color="auto"/>
            </w:tcBorders>
            <w:shd w:val="clear" w:color="auto" w:fill="auto"/>
            <w:noWrap/>
            <w:vAlign w:val="bottom"/>
            <w:hideMark/>
          </w:tcPr>
          <w:p w14:paraId="6A46AA8F"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42</w:t>
            </w:r>
          </w:p>
        </w:tc>
      </w:tr>
      <w:tr w:rsidR="00536F83" w:rsidRPr="007F78CE" w14:paraId="3E492483" w14:textId="77777777" w:rsidTr="00F016FE">
        <w:trPr>
          <w:trHeight w:val="300"/>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14:paraId="05E8F9B7" w14:textId="77777777" w:rsidR="00536F83" w:rsidRPr="00536F83" w:rsidRDefault="00536F83" w:rsidP="00536F83">
            <w:pPr>
              <w:spacing w:after="0" w:line="240" w:lineRule="auto"/>
              <w:rPr>
                <w:rFonts w:ascii="Arial" w:eastAsia="Times New Roman" w:hAnsi="Arial" w:cs="Arial"/>
                <w:sz w:val="18"/>
                <w:szCs w:val="18"/>
                <w:lang w:eastAsia="fr-FR"/>
              </w:rPr>
            </w:pPr>
            <w:r w:rsidRPr="00536F83">
              <w:rPr>
                <w:rFonts w:ascii="Arial" w:eastAsia="Times New Roman" w:hAnsi="Arial" w:cs="Arial"/>
                <w:sz w:val="18"/>
                <w:szCs w:val="18"/>
                <w:lang w:eastAsia="fr-FR"/>
              </w:rPr>
              <w:t>IHOROMBE</w:t>
            </w:r>
          </w:p>
        </w:tc>
        <w:tc>
          <w:tcPr>
            <w:tcW w:w="1040" w:type="dxa"/>
            <w:tcBorders>
              <w:top w:val="nil"/>
              <w:left w:val="nil"/>
              <w:bottom w:val="single" w:sz="4" w:space="0" w:color="auto"/>
              <w:right w:val="single" w:sz="4" w:space="0" w:color="auto"/>
            </w:tcBorders>
            <w:shd w:val="clear" w:color="auto" w:fill="auto"/>
            <w:noWrap/>
            <w:vAlign w:val="center"/>
            <w:hideMark/>
          </w:tcPr>
          <w:p w14:paraId="55C09062"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3</w:t>
            </w:r>
          </w:p>
        </w:tc>
        <w:tc>
          <w:tcPr>
            <w:tcW w:w="1260" w:type="dxa"/>
            <w:tcBorders>
              <w:top w:val="nil"/>
              <w:left w:val="nil"/>
              <w:bottom w:val="single" w:sz="4" w:space="0" w:color="auto"/>
              <w:right w:val="single" w:sz="4" w:space="0" w:color="auto"/>
            </w:tcBorders>
            <w:shd w:val="clear" w:color="auto" w:fill="auto"/>
            <w:noWrap/>
            <w:vAlign w:val="center"/>
            <w:hideMark/>
          </w:tcPr>
          <w:p w14:paraId="576FF490"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29</w:t>
            </w:r>
          </w:p>
        </w:tc>
        <w:tc>
          <w:tcPr>
            <w:tcW w:w="1260" w:type="dxa"/>
            <w:tcBorders>
              <w:top w:val="nil"/>
              <w:left w:val="nil"/>
              <w:bottom w:val="single" w:sz="4" w:space="0" w:color="auto"/>
              <w:right w:val="single" w:sz="4" w:space="0" w:color="auto"/>
            </w:tcBorders>
            <w:shd w:val="clear" w:color="auto" w:fill="auto"/>
            <w:noWrap/>
            <w:vAlign w:val="bottom"/>
            <w:hideMark/>
          </w:tcPr>
          <w:p w14:paraId="7D0626E7" w14:textId="77777777" w:rsidR="00536F83" w:rsidRPr="00536F83" w:rsidRDefault="00536F83" w:rsidP="00536F83">
            <w:pPr>
              <w:spacing w:after="0" w:line="240" w:lineRule="auto"/>
              <w:jc w:val="right"/>
              <w:rPr>
                <w:rFonts w:ascii="Arial" w:eastAsia="Times New Roman" w:hAnsi="Arial" w:cs="Arial"/>
                <w:color w:val="000000"/>
                <w:sz w:val="20"/>
                <w:szCs w:val="20"/>
                <w:lang w:eastAsia="fr-FR"/>
              </w:rPr>
            </w:pPr>
            <w:r w:rsidRPr="00536F83">
              <w:rPr>
                <w:rFonts w:ascii="Arial" w:eastAsia="Times New Roman" w:hAnsi="Arial" w:cs="Arial"/>
                <w:color w:val="000000"/>
                <w:sz w:val="20"/>
                <w:szCs w:val="20"/>
                <w:lang w:eastAsia="fr-FR"/>
              </w:rPr>
              <w:t>245</w:t>
            </w:r>
          </w:p>
        </w:tc>
        <w:tc>
          <w:tcPr>
            <w:tcW w:w="749" w:type="dxa"/>
            <w:tcBorders>
              <w:top w:val="nil"/>
              <w:left w:val="nil"/>
              <w:bottom w:val="single" w:sz="4" w:space="0" w:color="auto"/>
              <w:right w:val="single" w:sz="4" w:space="0" w:color="auto"/>
            </w:tcBorders>
            <w:shd w:val="clear" w:color="auto" w:fill="auto"/>
            <w:noWrap/>
            <w:vAlign w:val="bottom"/>
            <w:hideMark/>
          </w:tcPr>
          <w:p w14:paraId="700F7004"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595</w:t>
            </w:r>
          </w:p>
        </w:tc>
        <w:tc>
          <w:tcPr>
            <w:tcW w:w="710" w:type="dxa"/>
            <w:tcBorders>
              <w:top w:val="nil"/>
              <w:left w:val="nil"/>
              <w:bottom w:val="single" w:sz="4" w:space="0" w:color="auto"/>
              <w:right w:val="single" w:sz="4" w:space="0" w:color="auto"/>
            </w:tcBorders>
            <w:shd w:val="clear" w:color="auto" w:fill="auto"/>
            <w:noWrap/>
            <w:vAlign w:val="bottom"/>
            <w:hideMark/>
          </w:tcPr>
          <w:p w14:paraId="1B492C49"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22</w:t>
            </w:r>
          </w:p>
        </w:tc>
        <w:tc>
          <w:tcPr>
            <w:tcW w:w="472" w:type="dxa"/>
            <w:tcBorders>
              <w:top w:val="nil"/>
              <w:left w:val="nil"/>
              <w:bottom w:val="single" w:sz="4" w:space="0" w:color="auto"/>
              <w:right w:val="single" w:sz="4" w:space="0" w:color="auto"/>
            </w:tcBorders>
            <w:shd w:val="clear" w:color="auto" w:fill="auto"/>
            <w:noWrap/>
            <w:vAlign w:val="bottom"/>
            <w:hideMark/>
          </w:tcPr>
          <w:p w14:paraId="6134B679"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5</w:t>
            </w:r>
          </w:p>
        </w:tc>
      </w:tr>
      <w:tr w:rsidR="00536F83" w:rsidRPr="007F78CE" w14:paraId="0F987AD0" w14:textId="77777777" w:rsidTr="00F016FE">
        <w:trPr>
          <w:trHeight w:val="300"/>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14:paraId="170A864A" w14:textId="77777777" w:rsidR="00536F83" w:rsidRPr="00536F83" w:rsidRDefault="00536F83" w:rsidP="00536F83">
            <w:pPr>
              <w:spacing w:after="0" w:line="240" w:lineRule="auto"/>
              <w:rPr>
                <w:rFonts w:ascii="Arial" w:eastAsia="Times New Roman" w:hAnsi="Arial" w:cs="Arial"/>
                <w:sz w:val="18"/>
                <w:szCs w:val="18"/>
                <w:lang w:eastAsia="fr-FR"/>
              </w:rPr>
            </w:pPr>
            <w:r w:rsidRPr="00536F83">
              <w:rPr>
                <w:rFonts w:ascii="Arial" w:eastAsia="Times New Roman" w:hAnsi="Arial" w:cs="Arial"/>
                <w:sz w:val="18"/>
                <w:szCs w:val="18"/>
                <w:lang w:eastAsia="fr-FR"/>
              </w:rPr>
              <w:t>ITASY</w:t>
            </w:r>
          </w:p>
        </w:tc>
        <w:tc>
          <w:tcPr>
            <w:tcW w:w="1040" w:type="dxa"/>
            <w:tcBorders>
              <w:top w:val="nil"/>
              <w:left w:val="nil"/>
              <w:bottom w:val="single" w:sz="4" w:space="0" w:color="auto"/>
              <w:right w:val="single" w:sz="4" w:space="0" w:color="auto"/>
            </w:tcBorders>
            <w:shd w:val="clear" w:color="auto" w:fill="auto"/>
            <w:noWrap/>
            <w:vAlign w:val="center"/>
            <w:hideMark/>
          </w:tcPr>
          <w:p w14:paraId="09CE906A"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3</w:t>
            </w:r>
          </w:p>
        </w:tc>
        <w:tc>
          <w:tcPr>
            <w:tcW w:w="1260" w:type="dxa"/>
            <w:tcBorders>
              <w:top w:val="nil"/>
              <w:left w:val="nil"/>
              <w:bottom w:val="single" w:sz="4" w:space="0" w:color="auto"/>
              <w:right w:val="single" w:sz="4" w:space="0" w:color="auto"/>
            </w:tcBorders>
            <w:shd w:val="clear" w:color="auto" w:fill="auto"/>
            <w:noWrap/>
            <w:vAlign w:val="center"/>
            <w:hideMark/>
          </w:tcPr>
          <w:p w14:paraId="5486E994"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51</w:t>
            </w:r>
          </w:p>
        </w:tc>
        <w:tc>
          <w:tcPr>
            <w:tcW w:w="1260" w:type="dxa"/>
            <w:tcBorders>
              <w:top w:val="nil"/>
              <w:left w:val="nil"/>
              <w:bottom w:val="single" w:sz="4" w:space="0" w:color="auto"/>
              <w:right w:val="single" w:sz="4" w:space="0" w:color="auto"/>
            </w:tcBorders>
            <w:shd w:val="clear" w:color="auto" w:fill="auto"/>
            <w:noWrap/>
            <w:vAlign w:val="bottom"/>
            <w:hideMark/>
          </w:tcPr>
          <w:p w14:paraId="56BBC003" w14:textId="77777777" w:rsidR="00536F83" w:rsidRPr="00536F83" w:rsidRDefault="00536F83" w:rsidP="00536F83">
            <w:pPr>
              <w:spacing w:after="0" w:line="240" w:lineRule="auto"/>
              <w:jc w:val="right"/>
              <w:rPr>
                <w:rFonts w:ascii="Arial" w:eastAsia="Times New Roman" w:hAnsi="Arial" w:cs="Arial"/>
                <w:color w:val="000000"/>
                <w:sz w:val="20"/>
                <w:szCs w:val="20"/>
                <w:lang w:eastAsia="fr-FR"/>
              </w:rPr>
            </w:pPr>
            <w:r w:rsidRPr="00536F83">
              <w:rPr>
                <w:rFonts w:ascii="Arial" w:eastAsia="Times New Roman" w:hAnsi="Arial" w:cs="Arial"/>
                <w:color w:val="000000"/>
                <w:sz w:val="20"/>
                <w:szCs w:val="20"/>
                <w:lang w:eastAsia="fr-FR"/>
              </w:rPr>
              <w:t>556</w:t>
            </w:r>
          </w:p>
        </w:tc>
        <w:tc>
          <w:tcPr>
            <w:tcW w:w="749" w:type="dxa"/>
            <w:tcBorders>
              <w:top w:val="nil"/>
              <w:left w:val="nil"/>
              <w:bottom w:val="single" w:sz="4" w:space="0" w:color="auto"/>
              <w:right w:val="single" w:sz="4" w:space="0" w:color="auto"/>
            </w:tcBorders>
            <w:shd w:val="clear" w:color="auto" w:fill="auto"/>
            <w:noWrap/>
            <w:vAlign w:val="bottom"/>
            <w:hideMark/>
          </w:tcPr>
          <w:p w14:paraId="7BC2067B"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634</w:t>
            </w:r>
          </w:p>
        </w:tc>
        <w:tc>
          <w:tcPr>
            <w:tcW w:w="710" w:type="dxa"/>
            <w:tcBorders>
              <w:top w:val="nil"/>
              <w:left w:val="nil"/>
              <w:bottom w:val="single" w:sz="4" w:space="0" w:color="auto"/>
              <w:right w:val="single" w:sz="4" w:space="0" w:color="auto"/>
            </w:tcBorders>
            <w:shd w:val="clear" w:color="auto" w:fill="auto"/>
            <w:noWrap/>
            <w:vAlign w:val="bottom"/>
            <w:hideMark/>
          </w:tcPr>
          <w:p w14:paraId="5D7FA341"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81</w:t>
            </w:r>
          </w:p>
        </w:tc>
        <w:tc>
          <w:tcPr>
            <w:tcW w:w="472" w:type="dxa"/>
            <w:tcBorders>
              <w:top w:val="nil"/>
              <w:left w:val="nil"/>
              <w:bottom w:val="single" w:sz="4" w:space="0" w:color="auto"/>
              <w:right w:val="single" w:sz="4" w:space="0" w:color="auto"/>
            </w:tcBorders>
            <w:shd w:val="clear" w:color="auto" w:fill="auto"/>
            <w:noWrap/>
            <w:vAlign w:val="bottom"/>
            <w:hideMark/>
          </w:tcPr>
          <w:p w14:paraId="04A6D726"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14</w:t>
            </w:r>
          </w:p>
        </w:tc>
      </w:tr>
      <w:tr w:rsidR="00536F83" w:rsidRPr="007F78CE" w14:paraId="4E534ADE" w14:textId="77777777" w:rsidTr="00F016FE">
        <w:trPr>
          <w:trHeight w:val="300"/>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14:paraId="67AC4544" w14:textId="77777777" w:rsidR="00536F83" w:rsidRPr="00536F83" w:rsidRDefault="00536F83" w:rsidP="00536F83">
            <w:pPr>
              <w:spacing w:after="0" w:line="240" w:lineRule="auto"/>
              <w:rPr>
                <w:rFonts w:ascii="Arial" w:eastAsia="Times New Roman" w:hAnsi="Arial" w:cs="Arial"/>
                <w:sz w:val="18"/>
                <w:szCs w:val="18"/>
                <w:lang w:eastAsia="fr-FR"/>
              </w:rPr>
            </w:pPr>
            <w:r w:rsidRPr="00536F83">
              <w:rPr>
                <w:rFonts w:ascii="Arial" w:eastAsia="Times New Roman" w:hAnsi="Arial" w:cs="Arial"/>
                <w:sz w:val="18"/>
                <w:szCs w:val="18"/>
                <w:lang w:eastAsia="fr-FR"/>
              </w:rPr>
              <w:t>MELAKY</w:t>
            </w:r>
          </w:p>
        </w:tc>
        <w:tc>
          <w:tcPr>
            <w:tcW w:w="1040" w:type="dxa"/>
            <w:tcBorders>
              <w:top w:val="nil"/>
              <w:left w:val="nil"/>
              <w:bottom w:val="single" w:sz="4" w:space="0" w:color="auto"/>
              <w:right w:val="single" w:sz="4" w:space="0" w:color="auto"/>
            </w:tcBorders>
            <w:shd w:val="clear" w:color="auto" w:fill="auto"/>
            <w:noWrap/>
            <w:vAlign w:val="center"/>
            <w:hideMark/>
          </w:tcPr>
          <w:p w14:paraId="56EA3B63"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5</w:t>
            </w:r>
          </w:p>
        </w:tc>
        <w:tc>
          <w:tcPr>
            <w:tcW w:w="1260" w:type="dxa"/>
            <w:tcBorders>
              <w:top w:val="nil"/>
              <w:left w:val="nil"/>
              <w:bottom w:val="single" w:sz="4" w:space="0" w:color="auto"/>
              <w:right w:val="single" w:sz="4" w:space="0" w:color="auto"/>
            </w:tcBorders>
            <w:shd w:val="clear" w:color="auto" w:fill="auto"/>
            <w:noWrap/>
            <w:vAlign w:val="center"/>
            <w:hideMark/>
          </w:tcPr>
          <w:p w14:paraId="72F51E34"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37</w:t>
            </w:r>
          </w:p>
        </w:tc>
        <w:tc>
          <w:tcPr>
            <w:tcW w:w="1260" w:type="dxa"/>
            <w:tcBorders>
              <w:top w:val="nil"/>
              <w:left w:val="nil"/>
              <w:bottom w:val="single" w:sz="4" w:space="0" w:color="auto"/>
              <w:right w:val="single" w:sz="4" w:space="0" w:color="auto"/>
            </w:tcBorders>
            <w:shd w:val="clear" w:color="auto" w:fill="auto"/>
            <w:noWrap/>
            <w:vAlign w:val="bottom"/>
            <w:hideMark/>
          </w:tcPr>
          <w:p w14:paraId="4094978B" w14:textId="77777777" w:rsidR="00536F83" w:rsidRPr="00536F83" w:rsidRDefault="00536F83" w:rsidP="00536F83">
            <w:pPr>
              <w:spacing w:after="0" w:line="240" w:lineRule="auto"/>
              <w:jc w:val="right"/>
              <w:rPr>
                <w:rFonts w:ascii="Arial" w:eastAsia="Times New Roman" w:hAnsi="Arial" w:cs="Arial"/>
                <w:color w:val="000000"/>
                <w:sz w:val="20"/>
                <w:szCs w:val="20"/>
                <w:lang w:eastAsia="fr-FR"/>
              </w:rPr>
            </w:pPr>
            <w:r w:rsidRPr="00536F83">
              <w:rPr>
                <w:rFonts w:ascii="Arial" w:eastAsia="Times New Roman" w:hAnsi="Arial" w:cs="Arial"/>
                <w:color w:val="000000"/>
                <w:sz w:val="20"/>
                <w:szCs w:val="20"/>
                <w:lang w:eastAsia="fr-FR"/>
              </w:rPr>
              <w:t>293</w:t>
            </w:r>
          </w:p>
        </w:tc>
        <w:tc>
          <w:tcPr>
            <w:tcW w:w="749" w:type="dxa"/>
            <w:tcBorders>
              <w:top w:val="nil"/>
              <w:left w:val="nil"/>
              <w:bottom w:val="single" w:sz="4" w:space="0" w:color="auto"/>
              <w:right w:val="single" w:sz="4" w:space="0" w:color="auto"/>
            </w:tcBorders>
            <w:shd w:val="clear" w:color="auto" w:fill="auto"/>
            <w:noWrap/>
            <w:vAlign w:val="bottom"/>
            <w:hideMark/>
          </w:tcPr>
          <w:p w14:paraId="1F8683A5"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410</w:t>
            </w:r>
          </w:p>
        </w:tc>
        <w:tc>
          <w:tcPr>
            <w:tcW w:w="710" w:type="dxa"/>
            <w:tcBorders>
              <w:top w:val="nil"/>
              <w:left w:val="nil"/>
              <w:bottom w:val="single" w:sz="4" w:space="0" w:color="auto"/>
              <w:right w:val="single" w:sz="4" w:space="0" w:color="auto"/>
            </w:tcBorders>
            <w:shd w:val="clear" w:color="auto" w:fill="auto"/>
            <w:noWrap/>
            <w:vAlign w:val="bottom"/>
            <w:hideMark/>
          </w:tcPr>
          <w:p w14:paraId="067503BF"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14</w:t>
            </w:r>
          </w:p>
        </w:tc>
        <w:tc>
          <w:tcPr>
            <w:tcW w:w="472" w:type="dxa"/>
            <w:tcBorders>
              <w:top w:val="nil"/>
              <w:left w:val="nil"/>
              <w:bottom w:val="single" w:sz="4" w:space="0" w:color="auto"/>
              <w:right w:val="single" w:sz="4" w:space="0" w:color="auto"/>
            </w:tcBorders>
            <w:shd w:val="clear" w:color="auto" w:fill="auto"/>
            <w:noWrap/>
            <w:vAlign w:val="bottom"/>
            <w:hideMark/>
          </w:tcPr>
          <w:p w14:paraId="521D6FB5"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5</w:t>
            </w:r>
          </w:p>
        </w:tc>
      </w:tr>
      <w:tr w:rsidR="00536F83" w:rsidRPr="007F78CE" w14:paraId="625A107B" w14:textId="77777777" w:rsidTr="00F016FE">
        <w:trPr>
          <w:trHeight w:val="300"/>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14:paraId="6C6C17DD" w14:textId="77777777" w:rsidR="00536F83" w:rsidRPr="00536F83" w:rsidRDefault="00536F83" w:rsidP="00536F83">
            <w:pPr>
              <w:spacing w:after="0" w:line="240" w:lineRule="auto"/>
              <w:rPr>
                <w:rFonts w:ascii="Arial" w:eastAsia="Times New Roman" w:hAnsi="Arial" w:cs="Arial"/>
                <w:sz w:val="18"/>
                <w:szCs w:val="18"/>
                <w:lang w:eastAsia="fr-FR"/>
              </w:rPr>
            </w:pPr>
            <w:r w:rsidRPr="00536F83">
              <w:rPr>
                <w:rFonts w:ascii="Arial" w:eastAsia="Times New Roman" w:hAnsi="Arial" w:cs="Arial"/>
                <w:sz w:val="18"/>
                <w:szCs w:val="18"/>
                <w:lang w:eastAsia="fr-FR"/>
              </w:rPr>
              <w:t>MENABE</w:t>
            </w:r>
          </w:p>
        </w:tc>
        <w:tc>
          <w:tcPr>
            <w:tcW w:w="1040" w:type="dxa"/>
            <w:tcBorders>
              <w:top w:val="nil"/>
              <w:left w:val="nil"/>
              <w:bottom w:val="single" w:sz="4" w:space="0" w:color="auto"/>
              <w:right w:val="single" w:sz="4" w:space="0" w:color="auto"/>
            </w:tcBorders>
            <w:shd w:val="clear" w:color="auto" w:fill="auto"/>
            <w:noWrap/>
            <w:vAlign w:val="center"/>
            <w:hideMark/>
          </w:tcPr>
          <w:p w14:paraId="09DC64BC"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5</w:t>
            </w:r>
          </w:p>
        </w:tc>
        <w:tc>
          <w:tcPr>
            <w:tcW w:w="1260" w:type="dxa"/>
            <w:tcBorders>
              <w:top w:val="nil"/>
              <w:left w:val="nil"/>
              <w:bottom w:val="single" w:sz="4" w:space="0" w:color="auto"/>
              <w:right w:val="single" w:sz="4" w:space="0" w:color="auto"/>
            </w:tcBorders>
            <w:shd w:val="clear" w:color="auto" w:fill="auto"/>
            <w:noWrap/>
            <w:vAlign w:val="center"/>
            <w:hideMark/>
          </w:tcPr>
          <w:p w14:paraId="6711460E"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50</w:t>
            </w:r>
          </w:p>
        </w:tc>
        <w:tc>
          <w:tcPr>
            <w:tcW w:w="1260" w:type="dxa"/>
            <w:tcBorders>
              <w:top w:val="nil"/>
              <w:left w:val="nil"/>
              <w:bottom w:val="single" w:sz="4" w:space="0" w:color="auto"/>
              <w:right w:val="single" w:sz="4" w:space="0" w:color="auto"/>
            </w:tcBorders>
            <w:shd w:val="clear" w:color="auto" w:fill="auto"/>
            <w:noWrap/>
            <w:vAlign w:val="bottom"/>
            <w:hideMark/>
          </w:tcPr>
          <w:p w14:paraId="1CB9650C" w14:textId="77777777" w:rsidR="00536F83" w:rsidRPr="00536F83" w:rsidRDefault="00536F83" w:rsidP="00536F83">
            <w:pPr>
              <w:spacing w:after="0" w:line="240" w:lineRule="auto"/>
              <w:jc w:val="right"/>
              <w:rPr>
                <w:rFonts w:ascii="Arial" w:eastAsia="Times New Roman" w:hAnsi="Arial" w:cs="Arial"/>
                <w:color w:val="000000"/>
                <w:sz w:val="20"/>
                <w:szCs w:val="20"/>
                <w:lang w:eastAsia="fr-FR"/>
              </w:rPr>
            </w:pPr>
            <w:r w:rsidRPr="00536F83">
              <w:rPr>
                <w:rFonts w:ascii="Arial" w:eastAsia="Times New Roman" w:hAnsi="Arial" w:cs="Arial"/>
                <w:color w:val="000000"/>
                <w:sz w:val="20"/>
                <w:szCs w:val="20"/>
                <w:lang w:eastAsia="fr-FR"/>
              </w:rPr>
              <w:t>541</w:t>
            </w:r>
          </w:p>
        </w:tc>
        <w:tc>
          <w:tcPr>
            <w:tcW w:w="749" w:type="dxa"/>
            <w:tcBorders>
              <w:top w:val="nil"/>
              <w:left w:val="nil"/>
              <w:bottom w:val="single" w:sz="4" w:space="0" w:color="auto"/>
              <w:right w:val="single" w:sz="4" w:space="0" w:color="auto"/>
            </w:tcBorders>
            <w:shd w:val="clear" w:color="auto" w:fill="auto"/>
            <w:noWrap/>
            <w:vAlign w:val="bottom"/>
            <w:hideMark/>
          </w:tcPr>
          <w:p w14:paraId="0F664EA9"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547</w:t>
            </w:r>
          </w:p>
        </w:tc>
        <w:tc>
          <w:tcPr>
            <w:tcW w:w="710" w:type="dxa"/>
            <w:tcBorders>
              <w:top w:val="nil"/>
              <w:left w:val="nil"/>
              <w:bottom w:val="single" w:sz="4" w:space="0" w:color="auto"/>
              <w:right w:val="single" w:sz="4" w:space="0" w:color="auto"/>
            </w:tcBorders>
            <w:shd w:val="clear" w:color="auto" w:fill="auto"/>
            <w:noWrap/>
            <w:vAlign w:val="bottom"/>
            <w:hideMark/>
          </w:tcPr>
          <w:p w14:paraId="62E45FF1"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36</w:t>
            </w:r>
          </w:p>
        </w:tc>
        <w:tc>
          <w:tcPr>
            <w:tcW w:w="472" w:type="dxa"/>
            <w:tcBorders>
              <w:top w:val="nil"/>
              <w:left w:val="nil"/>
              <w:bottom w:val="single" w:sz="4" w:space="0" w:color="auto"/>
              <w:right w:val="single" w:sz="4" w:space="0" w:color="auto"/>
            </w:tcBorders>
            <w:shd w:val="clear" w:color="auto" w:fill="auto"/>
            <w:noWrap/>
            <w:vAlign w:val="bottom"/>
            <w:hideMark/>
          </w:tcPr>
          <w:p w14:paraId="6E418361"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10</w:t>
            </w:r>
          </w:p>
        </w:tc>
      </w:tr>
      <w:tr w:rsidR="00536F83" w:rsidRPr="007F78CE" w14:paraId="1B35AA67" w14:textId="77777777" w:rsidTr="00F016FE">
        <w:trPr>
          <w:trHeight w:val="300"/>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14:paraId="34371C6C" w14:textId="77777777" w:rsidR="00536F83" w:rsidRPr="00536F83" w:rsidRDefault="00536F83" w:rsidP="00536F83">
            <w:pPr>
              <w:spacing w:after="0" w:line="240" w:lineRule="auto"/>
              <w:rPr>
                <w:rFonts w:ascii="Arial" w:eastAsia="Times New Roman" w:hAnsi="Arial" w:cs="Arial"/>
                <w:sz w:val="18"/>
                <w:szCs w:val="18"/>
                <w:lang w:eastAsia="fr-FR"/>
              </w:rPr>
            </w:pPr>
            <w:r w:rsidRPr="00536F83">
              <w:rPr>
                <w:rFonts w:ascii="Arial" w:eastAsia="Times New Roman" w:hAnsi="Arial" w:cs="Arial"/>
                <w:sz w:val="18"/>
                <w:szCs w:val="18"/>
                <w:lang w:eastAsia="fr-FR"/>
              </w:rPr>
              <w:t>SAVA</w:t>
            </w:r>
          </w:p>
        </w:tc>
        <w:tc>
          <w:tcPr>
            <w:tcW w:w="1040" w:type="dxa"/>
            <w:tcBorders>
              <w:top w:val="nil"/>
              <w:left w:val="nil"/>
              <w:bottom w:val="single" w:sz="4" w:space="0" w:color="auto"/>
              <w:right w:val="single" w:sz="4" w:space="0" w:color="auto"/>
            </w:tcBorders>
            <w:shd w:val="clear" w:color="auto" w:fill="auto"/>
            <w:noWrap/>
            <w:vAlign w:val="center"/>
            <w:hideMark/>
          </w:tcPr>
          <w:p w14:paraId="414A17A0"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4</w:t>
            </w:r>
          </w:p>
        </w:tc>
        <w:tc>
          <w:tcPr>
            <w:tcW w:w="1260" w:type="dxa"/>
            <w:tcBorders>
              <w:top w:val="nil"/>
              <w:left w:val="nil"/>
              <w:bottom w:val="single" w:sz="4" w:space="0" w:color="auto"/>
              <w:right w:val="single" w:sz="4" w:space="0" w:color="auto"/>
            </w:tcBorders>
            <w:shd w:val="clear" w:color="auto" w:fill="auto"/>
            <w:noWrap/>
            <w:vAlign w:val="center"/>
            <w:hideMark/>
          </w:tcPr>
          <w:p w14:paraId="52793E66"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79</w:t>
            </w:r>
          </w:p>
        </w:tc>
        <w:tc>
          <w:tcPr>
            <w:tcW w:w="1260" w:type="dxa"/>
            <w:tcBorders>
              <w:top w:val="nil"/>
              <w:left w:val="nil"/>
              <w:bottom w:val="single" w:sz="4" w:space="0" w:color="auto"/>
              <w:right w:val="single" w:sz="4" w:space="0" w:color="auto"/>
            </w:tcBorders>
            <w:shd w:val="clear" w:color="auto" w:fill="auto"/>
            <w:noWrap/>
            <w:vAlign w:val="bottom"/>
            <w:hideMark/>
          </w:tcPr>
          <w:p w14:paraId="105BB0C4" w14:textId="77777777" w:rsidR="00536F83" w:rsidRPr="00536F83" w:rsidRDefault="00536F83" w:rsidP="00536F83">
            <w:pPr>
              <w:spacing w:after="0" w:line="240" w:lineRule="auto"/>
              <w:jc w:val="right"/>
              <w:rPr>
                <w:rFonts w:ascii="Arial" w:eastAsia="Times New Roman" w:hAnsi="Arial" w:cs="Arial"/>
                <w:color w:val="000000"/>
                <w:sz w:val="20"/>
                <w:szCs w:val="20"/>
                <w:lang w:eastAsia="fr-FR"/>
              </w:rPr>
            </w:pPr>
            <w:r w:rsidRPr="00536F83">
              <w:rPr>
                <w:rFonts w:ascii="Arial" w:eastAsia="Times New Roman" w:hAnsi="Arial" w:cs="Arial"/>
                <w:color w:val="000000"/>
                <w:sz w:val="20"/>
                <w:szCs w:val="20"/>
                <w:lang w:eastAsia="fr-FR"/>
              </w:rPr>
              <w:t>808</w:t>
            </w:r>
          </w:p>
        </w:tc>
        <w:tc>
          <w:tcPr>
            <w:tcW w:w="749" w:type="dxa"/>
            <w:tcBorders>
              <w:top w:val="nil"/>
              <w:left w:val="nil"/>
              <w:bottom w:val="single" w:sz="4" w:space="0" w:color="auto"/>
              <w:right w:val="single" w:sz="4" w:space="0" w:color="auto"/>
            </w:tcBorders>
            <w:shd w:val="clear" w:color="auto" w:fill="auto"/>
            <w:noWrap/>
            <w:vAlign w:val="bottom"/>
            <w:hideMark/>
          </w:tcPr>
          <w:p w14:paraId="2898FD49"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1 264</w:t>
            </w:r>
          </w:p>
        </w:tc>
        <w:tc>
          <w:tcPr>
            <w:tcW w:w="710" w:type="dxa"/>
            <w:tcBorders>
              <w:top w:val="nil"/>
              <w:left w:val="nil"/>
              <w:bottom w:val="single" w:sz="4" w:space="0" w:color="auto"/>
              <w:right w:val="single" w:sz="4" w:space="0" w:color="auto"/>
            </w:tcBorders>
            <w:shd w:val="clear" w:color="auto" w:fill="auto"/>
            <w:noWrap/>
            <w:vAlign w:val="bottom"/>
            <w:hideMark/>
          </w:tcPr>
          <w:p w14:paraId="1039A833"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107</w:t>
            </w:r>
          </w:p>
        </w:tc>
        <w:tc>
          <w:tcPr>
            <w:tcW w:w="472" w:type="dxa"/>
            <w:tcBorders>
              <w:top w:val="nil"/>
              <w:left w:val="nil"/>
              <w:bottom w:val="single" w:sz="4" w:space="0" w:color="auto"/>
              <w:right w:val="single" w:sz="4" w:space="0" w:color="auto"/>
            </w:tcBorders>
            <w:shd w:val="clear" w:color="auto" w:fill="auto"/>
            <w:noWrap/>
            <w:vAlign w:val="bottom"/>
            <w:hideMark/>
          </w:tcPr>
          <w:p w14:paraId="0EF6555E"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14</w:t>
            </w:r>
          </w:p>
        </w:tc>
      </w:tr>
      <w:tr w:rsidR="00536F83" w:rsidRPr="007F78CE" w14:paraId="2F45929F" w14:textId="77777777" w:rsidTr="00F016FE">
        <w:trPr>
          <w:trHeight w:val="300"/>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14:paraId="74D6EE2F" w14:textId="77777777" w:rsidR="00536F83" w:rsidRPr="00536F83" w:rsidRDefault="00536F83" w:rsidP="00536F83">
            <w:pPr>
              <w:spacing w:after="0" w:line="240" w:lineRule="auto"/>
              <w:rPr>
                <w:rFonts w:ascii="Arial" w:eastAsia="Times New Roman" w:hAnsi="Arial" w:cs="Arial"/>
                <w:sz w:val="18"/>
                <w:szCs w:val="18"/>
                <w:lang w:eastAsia="fr-FR"/>
              </w:rPr>
            </w:pPr>
            <w:r w:rsidRPr="00536F83">
              <w:rPr>
                <w:rFonts w:ascii="Arial" w:eastAsia="Times New Roman" w:hAnsi="Arial" w:cs="Arial"/>
                <w:sz w:val="18"/>
                <w:szCs w:val="18"/>
                <w:lang w:eastAsia="fr-FR"/>
              </w:rPr>
              <w:t>SOFIA</w:t>
            </w:r>
          </w:p>
        </w:tc>
        <w:tc>
          <w:tcPr>
            <w:tcW w:w="1040" w:type="dxa"/>
            <w:tcBorders>
              <w:top w:val="nil"/>
              <w:left w:val="nil"/>
              <w:bottom w:val="single" w:sz="4" w:space="0" w:color="auto"/>
              <w:right w:val="single" w:sz="4" w:space="0" w:color="auto"/>
            </w:tcBorders>
            <w:shd w:val="clear" w:color="auto" w:fill="auto"/>
            <w:noWrap/>
            <w:vAlign w:val="center"/>
            <w:hideMark/>
          </w:tcPr>
          <w:p w14:paraId="747C66D3"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7</w:t>
            </w:r>
          </w:p>
        </w:tc>
        <w:tc>
          <w:tcPr>
            <w:tcW w:w="1260" w:type="dxa"/>
            <w:tcBorders>
              <w:top w:val="nil"/>
              <w:left w:val="nil"/>
              <w:bottom w:val="single" w:sz="4" w:space="0" w:color="auto"/>
              <w:right w:val="single" w:sz="4" w:space="0" w:color="auto"/>
            </w:tcBorders>
            <w:shd w:val="clear" w:color="auto" w:fill="auto"/>
            <w:noWrap/>
            <w:vAlign w:val="center"/>
            <w:hideMark/>
          </w:tcPr>
          <w:p w14:paraId="6381A044"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108</w:t>
            </w:r>
          </w:p>
        </w:tc>
        <w:tc>
          <w:tcPr>
            <w:tcW w:w="1260" w:type="dxa"/>
            <w:tcBorders>
              <w:top w:val="nil"/>
              <w:left w:val="nil"/>
              <w:bottom w:val="single" w:sz="4" w:space="0" w:color="auto"/>
              <w:right w:val="single" w:sz="4" w:space="0" w:color="auto"/>
            </w:tcBorders>
            <w:shd w:val="clear" w:color="auto" w:fill="auto"/>
            <w:noWrap/>
            <w:vAlign w:val="bottom"/>
            <w:hideMark/>
          </w:tcPr>
          <w:p w14:paraId="7EEE3507" w14:textId="77777777" w:rsidR="00536F83" w:rsidRPr="00536F83" w:rsidRDefault="00536F83" w:rsidP="00536F83">
            <w:pPr>
              <w:spacing w:after="0" w:line="240" w:lineRule="auto"/>
              <w:jc w:val="right"/>
              <w:rPr>
                <w:rFonts w:ascii="Arial" w:eastAsia="Times New Roman" w:hAnsi="Arial" w:cs="Arial"/>
                <w:color w:val="000000"/>
                <w:sz w:val="20"/>
                <w:szCs w:val="20"/>
                <w:lang w:eastAsia="fr-FR"/>
              </w:rPr>
            </w:pPr>
            <w:r w:rsidRPr="00536F83">
              <w:rPr>
                <w:rFonts w:ascii="Arial" w:eastAsia="Times New Roman" w:hAnsi="Arial" w:cs="Arial"/>
                <w:color w:val="000000"/>
                <w:sz w:val="20"/>
                <w:szCs w:val="20"/>
                <w:lang w:eastAsia="fr-FR"/>
              </w:rPr>
              <w:t>1329</w:t>
            </w:r>
          </w:p>
        </w:tc>
        <w:tc>
          <w:tcPr>
            <w:tcW w:w="749" w:type="dxa"/>
            <w:tcBorders>
              <w:top w:val="nil"/>
              <w:left w:val="nil"/>
              <w:bottom w:val="single" w:sz="4" w:space="0" w:color="auto"/>
              <w:right w:val="single" w:sz="4" w:space="0" w:color="auto"/>
            </w:tcBorders>
            <w:shd w:val="clear" w:color="auto" w:fill="auto"/>
            <w:noWrap/>
            <w:vAlign w:val="bottom"/>
            <w:hideMark/>
          </w:tcPr>
          <w:p w14:paraId="13755611"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2 209</w:t>
            </w:r>
          </w:p>
        </w:tc>
        <w:tc>
          <w:tcPr>
            <w:tcW w:w="710" w:type="dxa"/>
            <w:tcBorders>
              <w:top w:val="nil"/>
              <w:left w:val="nil"/>
              <w:bottom w:val="single" w:sz="4" w:space="0" w:color="auto"/>
              <w:right w:val="single" w:sz="4" w:space="0" w:color="auto"/>
            </w:tcBorders>
            <w:shd w:val="clear" w:color="auto" w:fill="auto"/>
            <w:noWrap/>
            <w:vAlign w:val="bottom"/>
            <w:hideMark/>
          </w:tcPr>
          <w:p w14:paraId="17737BDB"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209</w:t>
            </w:r>
          </w:p>
        </w:tc>
        <w:tc>
          <w:tcPr>
            <w:tcW w:w="472" w:type="dxa"/>
            <w:tcBorders>
              <w:top w:val="nil"/>
              <w:left w:val="nil"/>
              <w:bottom w:val="single" w:sz="4" w:space="0" w:color="auto"/>
              <w:right w:val="single" w:sz="4" w:space="0" w:color="auto"/>
            </w:tcBorders>
            <w:shd w:val="clear" w:color="auto" w:fill="auto"/>
            <w:noWrap/>
            <w:vAlign w:val="bottom"/>
            <w:hideMark/>
          </w:tcPr>
          <w:p w14:paraId="44634472"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29</w:t>
            </w:r>
          </w:p>
        </w:tc>
      </w:tr>
      <w:tr w:rsidR="00536F83" w:rsidRPr="007F78CE" w14:paraId="6AA1E10E" w14:textId="77777777" w:rsidTr="00F016FE">
        <w:trPr>
          <w:trHeight w:val="300"/>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14:paraId="1B16A2FF" w14:textId="77777777" w:rsidR="00536F83" w:rsidRPr="00536F83" w:rsidRDefault="00536F83" w:rsidP="00536F83">
            <w:pPr>
              <w:spacing w:after="0" w:line="240" w:lineRule="auto"/>
              <w:rPr>
                <w:rFonts w:ascii="Arial" w:eastAsia="Times New Roman" w:hAnsi="Arial" w:cs="Arial"/>
                <w:sz w:val="18"/>
                <w:szCs w:val="18"/>
                <w:lang w:eastAsia="fr-FR"/>
              </w:rPr>
            </w:pPr>
            <w:r w:rsidRPr="00536F83">
              <w:rPr>
                <w:rFonts w:ascii="Arial" w:eastAsia="Times New Roman" w:hAnsi="Arial" w:cs="Arial"/>
                <w:sz w:val="18"/>
                <w:szCs w:val="18"/>
                <w:lang w:eastAsia="fr-FR"/>
              </w:rPr>
              <w:t>VAKINANKARATRA</w:t>
            </w:r>
          </w:p>
        </w:tc>
        <w:tc>
          <w:tcPr>
            <w:tcW w:w="1040" w:type="dxa"/>
            <w:tcBorders>
              <w:top w:val="nil"/>
              <w:left w:val="nil"/>
              <w:bottom w:val="single" w:sz="4" w:space="0" w:color="auto"/>
              <w:right w:val="single" w:sz="4" w:space="0" w:color="auto"/>
            </w:tcBorders>
            <w:shd w:val="clear" w:color="auto" w:fill="auto"/>
            <w:noWrap/>
            <w:vAlign w:val="center"/>
            <w:hideMark/>
          </w:tcPr>
          <w:p w14:paraId="4E77E42E"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7</w:t>
            </w:r>
          </w:p>
        </w:tc>
        <w:tc>
          <w:tcPr>
            <w:tcW w:w="1260" w:type="dxa"/>
            <w:tcBorders>
              <w:top w:val="nil"/>
              <w:left w:val="nil"/>
              <w:bottom w:val="single" w:sz="4" w:space="0" w:color="auto"/>
              <w:right w:val="single" w:sz="4" w:space="0" w:color="auto"/>
            </w:tcBorders>
            <w:shd w:val="clear" w:color="auto" w:fill="auto"/>
            <w:noWrap/>
            <w:vAlign w:val="center"/>
            <w:hideMark/>
          </w:tcPr>
          <w:p w14:paraId="6879A6DA"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90</w:t>
            </w:r>
          </w:p>
        </w:tc>
        <w:tc>
          <w:tcPr>
            <w:tcW w:w="1260" w:type="dxa"/>
            <w:tcBorders>
              <w:top w:val="nil"/>
              <w:left w:val="nil"/>
              <w:bottom w:val="single" w:sz="4" w:space="0" w:color="auto"/>
              <w:right w:val="single" w:sz="4" w:space="0" w:color="auto"/>
            </w:tcBorders>
            <w:shd w:val="clear" w:color="auto" w:fill="auto"/>
            <w:noWrap/>
            <w:vAlign w:val="bottom"/>
            <w:hideMark/>
          </w:tcPr>
          <w:p w14:paraId="1E02F9D9" w14:textId="77777777" w:rsidR="00536F83" w:rsidRPr="00536F83" w:rsidRDefault="00536F83" w:rsidP="00536F83">
            <w:pPr>
              <w:spacing w:after="0" w:line="240" w:lineRule="auto"/>
              <w:jc w:val="right"/>
              <w:rPr>
                <w:rFonts w:ascii="Arial" w:eastAsia="Times New Roman" w:hAnsi="Arial" w:cs="Arial"/>
                <w:color w:val="000000"/>
                <w:sz w:val="20"/>
                <w:szCs w:val="20"/>
                <w:lang w:eastAsia="fr-FR"/>
              </w:rPr>
            </w:pPr>
            <w:r w:rsidRPr="00536F83">
              <w:rPr>
                <w:rFonts w:ascii="Arial" w:eastAsia="Times New Roman" w:hAnsi="Arial" w:cs="Arial"/>
                <w:color w:val="000000"/>
                <w:sz w:val="20"/>
                <w:szCs w:val="20"/>
                <w:lang w:eastAsia="fr-FR"/>
              </w:rPr>
              <w:t>998</w:t>
            </w:r>
          </w:p>
        </w:tc>
        <w:tc>
          <w:tcPr>
            <w:tcW w:w="749" w:type="dxa"/>
            <w:tcBorders>
              <w:top w:val="nil"/>
              <w:left w:val="nil"/>
              <w:bottom w:val="single" w:sz="4" w:space="0" w:color="auto"/>
              <w:right w:val="single" w:sz="4" w:space="0" w:color="auto"/>
            </w:tcBorders>
            <w:shd w:val="clear" w:color="auto" w:fill="auto"/>
            <w:noWrap/>
            <w:vAlign w:val="bottom"/>
            <w:hideMark/>
          </w:tcPr>
          <w:p w14:paraId="7337CEF3"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1 291</w:t>
            </w:r>
          </w:p>
        </w:tc>
        <w:tc>
          <w:tcPr>
            <w:tcW w:w="710" w:type="dxa"/>
            <w:tcBorders>
              <w:top w:val="nil"/>
              <w:left w:val="nil"/>
              <w:bottom w:val="single" w:sz="4" w:space="0" w:color="auto"/>
              <w:right w:val="single" w:sz="4" w:space="0" w:color="auto"/>
            </w:tcBorders>
            <w:shd w:val="clear" w:color="auto" w:fill="auto"/>
            <w:noWrap/>
            <w:vAlign w:val="bottom"/>
            <w:hideMark/>
          </w:tcPr>
          <w:p w14:paraId="3F0B274E"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165</w:t>
            </w:r>
          </w:p>
        </w:tc>
        <w:tc>
          <w:tcPr>
            <w:tcW w:w="472" w:type="dxa"/>
            <w:tcBorders>
              <w:top w:val="nil"/>
              <w:left w:val="nil"/>
              <w:bottom w:val="single" w:sz="4" w:space="0" w:color="auto"/>
              <w:right w:val="single" w:sz="4" w:space="0" w:color="auto"/>
            </w:tcBorders>
            <w:shd w:val="clear" w:color="auto" w:fill="auto"/>
            <w:noWrap/>
            <w:vAlign w:val="bottom"/>
            <w:hideMark/>
          </w:tcPr>
          <w:p w14:paraId="29EFABE3"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24</w:t>
            </w:r>
          </w:p>
        </w:tc>
      </w:tr>
      <w:tr w:rsidR="00536F83" w:rsidRPr="007F78CE" w14:paraId="4CF478B2" w14:textId="77777777" w:rsidTr="00F016FE">
        <w:trPr>
          <w:trHeight w:val="300"/>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14:paraId="5F43BBC3" w14:textId="77777777" w:rsidR="00536F83" w:rsidRPr="00536F83" w:rsidRDefault="00536F83" w:rsidP="00536F83">
            <w:pPr>
              <w:spacing w:after="0" w:line="240" w:lineRule="auto"/>
              <w:rPr>
                <w:rFonts w:ascii="Arial" w:eastAsia="Times New Roman" w:hAnsi="Arial" w:cs="Arial"/>
                <w:sz w:val="18"/>
                <w:szCs w:val="18"/>
                <w:lang w:eastAsia="fr-FR"/>
              </w:rPr>
            </w:pPr>
            <w:r w:rsidRPr="00536F83">
              <w:rPr>
                <w:rFonts w:ascii="Arial" w:eastAsia="Times New Roman" w:hAnsi="Arial" w:cs="Arial"/>
                <w:sz w:val="18"/>
                <w:szCs w:val="18"/>
                <w:lang w:eastAsia="fr-FR"/>
              </w:rPr>
              <w:t>VATOVAVY FITOVINANY</w:t>
            </w:r>
          </w:p>
        </w:tc>
        <w:tc>
          <w:tcPr>
            <w:tcW w:w="1040" w:type="dxa"/>
            <w:tcBorders>
              <w:top w:val="nil"/>
              <w:left w:val="nil"/>
              <w:bottom w:val="single" w:sz="4" w:space="0" w:color="auto"/>
              <w:right w:val="single" w:sz="4" w:space="0" w:color="auto"/>
            </w:tcBorders>
            <w:shd w:val="clear" w:color="auto" w:fill="auto"/>
            <w:noWrap/>
            <w:vAlign w:val="center"/>
            <w:hideMark/>
          </w:tcPr>
          <w:p w14:paraId="44871456"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6</w:t>
            </w:r>
          </w:p>
        </w:tc>
        <w:tc>
          <w:tcPr>
            <w:tcW w:w="1260" w:type="dxa"/>
            <w:tcBorders>
              <w:top w:val="nil"/>
              <w:left w:val="nil"/>
              <w:bottom w:val="single" w:sz="4" w:space="0" w:color="auto"/>
              <w:right w:val="single" w:sz="4" w:space="0" w:color="auto"/>
            </w:tcBorders>
            <w:shd w:val="clear" w:color="auto" w:fill="auto"/>
            <w:noWrap/>
            <w:vAlign w:val="center"/>
            <w:hideMark/>
          </w:tcPr>
          <w:p w14:paraId="0D2401AF" w14:textId="77777777" w:rsidR="00536F83" w:rsidRPr="00536F83" w:rsidRDefault="00536F83" w:rsidP="00536F83">
            <w:pPr>
              <w:spacing w:after="0" w:line="240" w:lineRule="auto"/>
              <w:jc w:val="right"/>
              <w:rPr>
                <w:rFonts w:ascii="Arial" w:eastAsia="Times New Roman" w:hAnsi="Arial" w:cs="Arial"/>
                <w:sz w:val="20"/>
                <w:szCs w:val="20"/>
                <w:lang w:eastAsia="fr-FR"/>
              </w:rPr>
            </w:pPr>
            <w:r w:rsidRPr="00536F83">
              <w:rPr>
                <w:rFonts w:ascii="Arial" w:eastAsia="Times New Roman" w:hAnsi="Arial" w:cs="Arial"/>
                <w:sz w:val="20"/>
                <w:szCs w:val="20"/>
                <w:lang w:eastAsia="fr-FR"/>
              </w:rPr>
              <w:t>135</w:t>
            </w:r>
          </w:p>
        </w:tc>
        <w:tc>
          <w:tcPr>
            <w:tcW w:w="1260" w:type="dxa"/>
            <w:tcBorders>
              <w:top w:val="nil"/>
              <w:left w:val="nil"/>
              <w:bottom w:val="single" w:sz="4" w:space="0" w:color="auto"/>
              <w:right w:val="single" w:sz="4" w:space="0" w:color="auto"/>
            </w:tcBorders>
            <w:shd w:val="clear" w:color="auto" w:fill="auto"/>
            <w:noWrap/>
            <w:vAlign w:val="bottom"/>
            <w:hideMark/>
          </w:tcPr>
          <w:p w14:paraId="39615344" w14:textId="77777777" w:rsidR="00536F83" w:rsidRPr="00536F83" w:rsidRDefault="00536F83" w:rsidP="00536F83">
            <w:pPr>
              <w:spacing w:after="0" w:line="240" w:lineRule="auto"/>
              <w:jc w:val="right"/>
              <w:rPr>
                <w:rFonts w:ascii="Arial" w:eastAsia="Times New Roman" w:hAnsi="Arial" w:cs="Arial"/>
                <w:color w:val="000000"/>
                <w:sz w:val="20"/>
                <w:szCs w:val="20"/>
                <w:lang w:eastAsia="fr-FR"/>
              </w:rPr>
            </w:pPr>
            <w:r w:rsidRPr="00536F83">
              <w:rPr>
                <w:rFonts w:ascii="Arial" w:eastAsia="Times New Roman" w:hAnsi="Arial" w:cs="Arial"/>
                <w:color w:val="000000"/>
                <w:sz w:val="20"/>
                <w:szCs w:val="20"/>
                <w:lang w:eastAsia="fr-FR"/>
              </w:rPr>
              <w:t>1323</w:t>
            </w:r>
          </w:p>
        </w:tc>
        <w:tc>
          <w:tcPr>
            <w:tcW w:w="749" w:type="dxa"/>
            <w:tcBorders>
              <w:top w:val="nil"/>
              <w:left w:val="nil"/>
              <w:bottom w:val="single" w:sz="4" w:space="0" w:color="auto"/>
              <w:right w:val="single" w:sz="4" w:space="0" w:color="auto"/>
            </w:tcBorders>
            <w:shd w:val="clear" w:color="auto" w:fill="auto"/>
            <w:noWrap/>
            <w:vAlign w:val="bottom"/>
            <w:hideMark/>
          </w:tcPr>
          <w:p w14:paraId="65C4367C"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2 295</w:t>
            </w:r>
          </w:p>
        </w:tc>
        <w:tc>
          <w:tcPr>
            <w:tcW w:w="710" w:type="dxa"/>
            <w:tcBorders>
              <w:top w:val="nil"/>
              <w:left w:val="nil"/>
              <w:bottom w:val="single" w:sz="4" w:space="0" w:color="auto"/>
              <w:right w:val="single" w:sz="4" w:space="0" w:color="auto"/>
            </w:tcBorders>
            <w:shd w:val="clear" w:color="auto" w:fill="auto"/>
            <w:noWrap/>
            <w:vAlign w:val="bottom"/>
            <w:hideMark/>
          </w:tcPr>
          <w:p w14:paraId="336B2AA2"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184</w:t>
            </w:r>
          </w:p>
        </w:tc>
        <w:tc>
          <w:tcPr>
            <w:tcW w:w="472" w:type="dxa"/>
            <w:tcBorders>
              <w:top w:val="nil"/>
              <w:left w:val="nil"/>
              <w:bottom w:val="single" w:sz="4" w:space="0" w:color="auto"/>
              <w:right w:val="single" w:sz="4" w:space="0" w:color="auto"/>
            </w:tcBorders>
            <w:shd w:val="clear" w:color="auto" w:fill="auto"/>
            <w:noWrap/>
            <w:vAlign w:val="bottom"/>
            <w:hideMark/>
          </w:tcPr>
          <w:p w14:paraId="314F5ECC" w14:textId="77777777" w:rsidR="00536F83" w:rsidRPr="00536F83" w:rsidRDefault="00536F83" w:rsidP="00536F83">
            <w:pPr>
              <w:spacing w:after="0" w:line="240" w:lineRule="auto"/>
              <w:jc w:val="center"/>
              <w:rPr>
                <w:rFonts w:ascii="Arial" w:eastAsia="Times New Roman" w:hAnsi="Arial" w:cs="Arial"/>
                <w:sz w:val="20"/>
                <w:szCs w:val="20"/>
                <w:lang w:eastAsia="fr-FR"/>
              </w:rPr>
            </w:pPr>
            <w:r w:rsidRPr="00536F83">
              <w:rPr>
                <w:rFonts w:ascii="Arial" w:eastAsia="Times New Roman" w:hAnsi="Arial" w:cs="Arial"/>
                <w:sz w:val="20"/>
                <w:szCs w:val="20"/>
                <w:lang w:eastAsia="fr-FR"/>
              </w:rPr>
              <w:t>26</w:t>
            </w:r>
          </w:p>
        </w:tc>
      </w:tr>
      <w:tr w:rsidR="00F016FE" w:rsidRPr="007F78CE" w14:paraId="47301461" w14:textId="77777777" w:rsidTr="00F016FE">
        <w:trPr>
          <w:trHeight w:val="300"/>
          <w:jc w:val="center"/>
        </w:trPr>
        <w:tc>
          <w:tcPr>
            <w:tcW w:w="2542" w:type="dxa"/>
            <w:tcBorders>
              <w:top w:val="nil"/>
              <w:left w:val="single" w:sz="4" w:space="0" w:color="auto"/>
              <w:bottom w:val="single" w:sz="4" w:space="0" w:color="auto"/>
              <w:right w:val="single" w:sz="4" w:space="0" w:color="auto"/>
            </w:tcBorders>
            <w:shd w:val="clear" w:color="DCE6F1" w:fill="DCE6F1"/>
            <w:noWrap/>
            <w:vAlign w:val="center"/>
            <w:hideMark/>
          </w:tcPr>
          <w:p w14:paraId="59C73488" w14:textId="77777777" w:rsidR="00536F83" w:rsidRPr="00536F83" w:rsidRDefault="00536F83" w:rsidP="00536F83">
            <w:pPr>
              <w:spacing w:after="0" w:line="240" w:lineRule="auto"/>
              <w:jc w:val="center"/>
              <w:rPr>
                <w:rFonts w:ascii="Arial" w:eastAsia="Times New Roman" w:hAnsi="Arial" w:cs="Arial"/>
                <w:b/>
                <w:bCs/>
                <w:color w:val="000000"/>
                <w:sz w:val="18"/>
                <w:szCs w:val="18"/>
                <w:lang w:eastAsia="fr-FR"/>
              </w:rPr>
            </w:pPr>
            <w:r w:rsidRPr="00536F83">
              <w:rPr>
                <w:rFonts w:ascii="Arial" w:eastAsia="Times New Roman" w:hAnsi="Arial" w:cs="Arial"/>
                <w:b/>
                <w:bCs/>
                <w:color w:val="000000"/>
                <w:sz w:val="18"/>
                <w:szCs w:val="18"/>
                <w:lang w:eastAsia="fr-FR"/>
              </w:rPr>
              <w:t>ENSEMBLE</w:t>
            </w:r>
          </w:p>
        </w:tc>
        <w:tc>
          <w:tcPr>
            <w:tcW w:w="1040" w:type="dxa"/>
            <w:tcBorders>
              <w:top w:val="nil"/>
              <w:left w:val="nil"/>
              <w:bottom w:val="single" w:sz="4" w:space="0" w:color="auto"/>
              <w:right w:val="single" w:sz="4" w:space="0" w:color="auto"/>
            </w:tcBorders>
            <w:shd w:val="clear" w:color="DCE6F1" w:fill="DCE6F1"/>
            <w:noWrap/>
            <w:vAlign w:val="center"/>
            <w:hideMark/>
          </w:tcPr>
          <w:p w14:paraId="4A372683" w14:textId="77777777" w:rsidR="00536F83" w:rsidRPr="00536F83" w:rsidRDefault="00F016FE" w:rsidP="004C37C5">
            <w:pPr>
              <w:spacing w:after="0" w:line="240" w:lineRule="auto"/>
              <w:jc w:val="right"/>
              <w:rPr>
                <w:rFonts w:ascii="Arial" w:eastAsia="Times New Roman" w:hAnsi="Arial" w:cs="Arial"/>
                <w:b/>
                <w:bCs/>
                <w:color w:val="000000"/>
                <w:sz w:val="18"/>
                <w:szCs w:val="18"/>
                <w:lang w:eastAsia="fr-FR"/>
              </w:rPr>
            </w:pPr>
            <w:r>
              <w:rPr>
                <w:rFonts w:ascii="Arial" w:eastAsia="Times New Roman" w:hAnsi="Arial" w:cs="Arial"/>
                <w:b/>
                <w:bCs/>
                <w:color w:val="000000"/>
                <w:sz w:val="18"/>
                <w:szCs w:val="18"/>
                <w:lang w:eastAsia="fr-FR"/>
              </w:rPr>
              <w:t>114</w:t>
            </w:r>
          </w:p>
        </w:tc>
        <w:tc>
          <w:tcPr>
            <w:tcW w:w="1260" w:type="dxa"/>
            <w:tcBorders>
              <w:top w:val="nil"/>
              <w:left w:val="nil"/>
              <w:bottom w:val="single" w:sz="4" w:space="0" w:color="auto"/>
              <w:right w:val="single" w:sz="4" w:space="0" w:color="auto"/>
            </w:tcBorders>
            <w:shd w:val="clear" w:color="DCE6F1" w:fill="DCE6F1"/>
            <w:noWrap/>
            <w:vAlign w:val="center"/>
            <w:hideMark/>
          </w:tcPr>
          <w:p w14:paraId="40CD5904" w14:textId="77777777" w:rsidR="00536F83" w:rsidRPr="00536F83" w:rsidRDefault="00536F83" w:rsidP="004C37C5">
            <w:pPr>
              <w:spacing w:after="0" w:line="240" w:lineRule="auto"/>
              <w:jc w:val="right"/>
              <w:rPr>
                <w:rFonts w:ascii="Arial" w:eastAsia="Times New Roman" w:hAnsi="Arial" w:cs="Arial"/>
                <w:b/>
                <w:bCs/>
                <w:color w:val="000000"/>
                <w:sz w:val="18"/>
                <w:szCs w:val="18"/>
                <w:lang w:eastAsia="fr-FR"/>
              </w:rPr>
            </w:pPr>
            <w:r w:rsidRPr="00536F83">
              <w:rPr>
                <w:rFonts w:ascii="Arial" w:eastAsia="Times New Roman" w:hAnsi="Arial" w:cs="Arial"/>
                <w:b/>
                <w:bCs/>
                <w:color w:val="000000"/>
                <w:sz w:val="18"/>
                <w:szCs w:val="18"/>
                <w:lang w:eastAsia="fr-FR"/>
              </w:rPr>
              <w:t>1564</w:t>
            </w:r>
          </w:p>
        </w:tc>
        <w:tc>
          <w:tcPr>
            <w:tcW w:w="1260" w:type="dxa"/>
            <w:tcBorders>
              <w:top w:val="nil"/>
              <w:left w:val="nil"/>
              <w:bottom w:val="single" w:sz="4" w:space="0" w:color="auto"/>
              <w:right w:val="single" w:sz="4" w:space="0" w:color="auto"/>
            </w:tcBorders>
            <w:shd w:val="clear" w:color="DCE6F1" w:fill="DCE6F1"/>
            <w:noWrap/>
            <w:vAlign w:val="center"/>
            <w:hideMark/>
          </w:tcPr>
          <w:p w14:paraId="20DCB7BC" w14:textId="77777777" w:rsidR="00536F83" w:rsidRPr="00536F83" w:rsidRDefault="00536F83" w:rsidP="004C37C5">
            <w:pPr>
              <w:spacing w:after="0" w:line="240" w:lineRule="auto"/>
              <w:jc w:val="right"/>
              <w:rPr>
                <w:rFonts w:ascii="Arial" w:eastAsia="Times New Roman" w:hAnsi="Arial" w:cs="Arial"/>
                <w:b/>
                <w:bCs/>
                <w:color w:val="000000"/>
                <w:sz w:val="18"/>
                <w:szCs w:val="18"/>
                <w:lang w:eastAsia="fr-FR"/>
              </w:rPr>
            </w:pPr>
            <w:r w:rsidRPr="00536F83">
              <w:rPr>
                <w:rFonts w:ascii="Arial" w:eastAsia="Times New Roman" w:hAnsi="Arial" w:cs="Arial"/>
                <w:b/>
                <w:bCs/>
                <w:color w:val="000000"/>
                <w:sz w:val="18"/>
                <w:szCs w:val="18"/>
                <w:lang w:eastAsia="fr-FR"/>
              </w:rPr>
              <w:t>17485</w:t>
            </w:r>
          </w:p>
        </w:tc>
        <w:tc>
          <w:tcPr>
            <w:tcW w:w="749" w:type="dxa"/>
            <w:tcBorders>
              <w:top w:val="nil"/>
              <w:left w:val="nil"/>
              <w:bottom w:val="single" w:sz="4" w:space="0" w:color="auto"/>
              <w:right w:val="single" w:sz="4" w:space="0" w:color="auto"/>
            </w:tcBorders>
            <w:shd w:val="clear" w:color="DCE6F1" w:fill="DCE6F1"/>
            <w:noWrap/>
            <w:vAlign w:val="center"/>
            <w:hideMark/>
          </w:tcPr>
          <w:p w14:paraId="4E817380" w14:textId="77777777" w:rsidR="00536F83" w:rsidRPr="00536F83" w:rsidRDefault="00536F83" w:rsidP="004C37C5">
            <w:pPr>
              <w:spacing w:after="0" w:line="240" w:lineRule="auto"/>
              <w:jc w:val="right"/>
              <w:rPr>
                <w:rFonts w:ascii="Arial" w:eastAsia="Times New Roman" w:hAnsi="Arial" w:cs="Arial"/>
                <w:b/>
                <w:bCs/>
                <w:color w:val="000000"/>
                <w:sz w:val="18"/>
                <w:szCs w:val="18"/>
                <w:lang w:eastAsia="fr-FR"/>
              </w:rPr>
            </w:pPr>
            <w:r w:rsidRPr="00536F83">
              <w:rPr>
                <w:rFonts w:ascii="Arial" w:eastAsia="Times New Roman" w:hAnsi="Arial" w:cs="Arial"/>
                <w:b/>
                <w:bCs/>
                <w:color w:val="000000"/>
                <w:sz w:val="18"/>
                <w:szCs w:val="18"/>
                <w:lang w:eastAsia="fr-FR"/>
              </w:rPr>
              <w:t>24 468</w:t>
            </w:r>
          </w:p>
        </w:tc>
        <w:tc>
          <w:tcPr>
            <w:tcW w:w="710" w:type="dxa"/>
            <w:tcBorders>
              <w:top w:val="nil"/>
              <w:left w:val="nil"/>
              <w:bottom w:val="single" w:sz="4" w:space="0" w:color="auto"/>
              <w:right w:val="single" w:sz="4" w:space="0" w:color="auto"/>
            </w:tcBorders>
            <w:shd w:val="clear" w:color="DCE6F1" w:fill="DCE6F1"/>
            <w:noWrap/>
            <w:vAlign w:val="center"/>
            <w:hideMark/>
          </w:tcPr>
          <w:p w14:paraId="5738C4EC" w14:textId="77777777" w:rsidR="00536F83" w:rsidRPr="00536F83" w:rsidRDefault="00536F83" w:rsidP="004C37C5">
            <w:pPr>
              <w:spacing w:after="0" w:line="240" w:lineRule="auto"/>
              <w:jc w:val="right"/>
              <w:rPr>
                <w:rFonts w:ascii="Arial" w:eastAsia="Times New Roman" w:hAnsi="Arial" w:cs="Arial"/>
                <w:b/>
                <w:bCs/>
                <w:color w:val="000000"/>
                <w:sz w:val="18"/>
                <w:szCs w:val="18"/>
                <w:lang w:eastAsia="fr-FR"/>
              </w:rPr>
            </w:pPr>
            <w:r w:rsidRPr="00536F83">
              <w:rPr>
                <w:rFonts w:ascii="Arial" w:eastAsia="Times New Roman" w:hAnsi="Arial" w:cs="Arial"/>
                <w:b/>
                <w:bCs/>
                <w:color w:val="000000"/>
                <w:sz w:val="18"/>
                <w:szCs w:val="18"/>
                <w:lang w:eastAsia="fr-FR"/>
              </w:rPr>
              <w:t>2 362</w:t>
            </w:r>
          </w:p>
        </w:tc>
        <w:tc>
          <w:tcPr>
            <w:tcW w:w="472" w:type="dxa"/>
            <w:tcBorders>
              <w:top w:val="nil"/>
              <w:left w:val="nil"/>
              <w:bottom w:val="single" w:sz="4" w:space="0" w:color="auto"/>
              <w:right w:val="single" w:sz="4" w:space="0" w:color="auto"/>
            </w:tcBorders>
            <w:shd w:val="clear" w:color="000000" w:fill="DCE6F1"/>
            <w:noWrap/>
            <w:vAlign w:val="center"/>
            <w:hideMark/>
          </w:tcPr>
          <w:p w14:paraId="37E78041" w14:textId="77777777" w:rsidR="00536F83" w:rsidRPr="00536F83" w:rsidRDefault="00536F83" w:rsidP="004C37C5">
            <w:pPr>
              <w:spacing w:after="0" w:line="240" w:lineRule="auto"/>
              <w:jc w:val="right"/>
              <w:rPr>
                <w:rFonts w:ascii="Arial" w:eastAsia="Times New Roman" w:hAnsi="Arial" w:cs="Arial"/>
                <w:b/>
                <w:bCs/>
                <w:sz w:val="18"/>
                <w:szCs w:val="18"/>
                <w:lang w:eastAsia="fr-FR"/>
              </w:rPr>
            </w:pPr>
            <w:r w:rsidRPr="00536F83">
              <w:rPr>
                <w:rFonts w:ascii="Arial" w:eastAsia="Times New Roman" w:hAnsi="Arial" w:cs="Arial"/>
                <w:b/>
                <w:bCs/>
                <w:sz w:val="18"/>
                <w:szCs w:val="18"/>
                <w:lang w:eastAsia="fr-FR"/>
              </w:rPr>
              <w:t>400</w:t>
            </w:r>
          </w:p>
        </w:tc>
      </w:tr>
    </w:tbl>
    <w:p w14:paraId="1A8AB41E" w14:textId="77777777" w:rsidR="00795311" w:rsidRDefault="00795311" w:rsidP="00F016FE">
      <w:pPr>
        <w:ind w:left="567"/>
        <w:jc w:val="both"/>
        <w:rPr>
          <w:rFonts w:ascii="Arial" w:hAnsi="Arial" w:cs="Arial"/>
          <w:i/>
          <w:sz w:val="16"/>
        </w:rPr>
      </w:pPr>
      <w:r w:rsidRPr="00795311">
        <w:rPr>
          <w:rFonts w:ascii="Arial" w:hAnsi="Arial" w:cs="Arial"/>
          <w:i/>
          <w:sz w:val="16"/>
        </w:rPr>
        <w:t>Source : MEN, 2015</w:t>
      </w:r>
    </w:p>
    <w:p w14:paraId="562CA56F" w14:textId="77777777" w:rsidR="005436C0" w:rsidRPr="005436C0" w:rsidRDefault="00F016FE" w:rsidP="005436C0">
      <w:pPr>
        <w:jc w:val="both"/>
        <w:rPr>
          <w:rFonts w:ascii="Arial" w:hAnsi="Arial" w:cs="Arial"/>
        </w:rPr>
      </w:pPr>
      <w:r w:rsidRPr="005436C0">
        <w:rPr>
          <w:rFonts w:ascii="Arial" w:hAnsi="Arial" w:cs="Arial"/>
        </w:rPr>
        <w:t xml:space="preserve">Il est à noter que chaque </w:t>
      </w:r>
      <w:r w:rsidR="00997DD9">
        <w:rPr>
          <w:rFonts w:ascii="Arial" w:hAnsi="Arial" w:cs="Arial"/>
        </w:rPr>
        <w:t>région</w:t>
      </w:r>
      <w:r w:rsidRPr="005436C0">
        <w:rPr>
          <w:rFonts w:ascii="Arial" w:hAnsi="Arial" w:cs="Arial"/>
        </w:rPr>
        <w:t xml:space="preserve"> dispose actuellement d’un centre universitaire. En ce qui concerne l’électrification des écoles, seule</w:t>
      </w:r>
      <w:r w:rsidR="005436C0" w:rsidRPr="005436C0">
        <w:rPr>
          <w:rFonts w:ascii="Arial" w:hAnsi="Arial" w:cs="Arial"/>
        </w:rPr>
        <w:t xml:space="preserve">s </w:t>
      </w:r>
      <w:r w:rsidRPr="005436C0">
        <w:rPr>
          <w:rFonts w:ascii="Arial" w:hAnsi="Arial" w:cs="Arial"/>
        </w:rPr>
        <w:t xml:space="preserve">les écoles en milieu urbain </w:t>
      </w:r>
      <w:r w:rsidR="004C37C5" w:rsidRPr="005436C0">
        <w:rPr>
          <w:rFonts w:ascii="Arial" w:hAnsi="Arial" w:cs="Arial"/>
        </w:rPr>
        <w:t xml:space="preserve">et périurbain </w:t>
      </w:r>
      <w:r w:rsidRPr="005436C0">
        <w:rPr>
          <w:rFonts w:ascii="Arial" w:hAnsi="Arial" w:cs="Arial"/>
        </w:rPr>
        <w:t>dispose</w:t>
      </w:r>
      <w:r w:rsidR="004C37C5" w:rsidRPr="005436C0">
        <w:rPr>
          <w:rFonts w:ascii="Arial" w:hAnsi="Arial" w:cs="Arial"/>
        </w:rPr>
        <w:t>nt</w:t>
      </w:r>
      <w:r w:rsidRPr="005436C0">
        <w:rPr>
          <w:rFonts w:ascii="Arial" w:hAnsi="Arial" w:cs="Arial"/>
        </w:rPr>
        <w:t xml:space="preserve"> d’un système électrique. Les écoles dans les milieux ruraux </w:t>
      </w:r>
      <w:r w:rsidR="004C37C5" w:rsidRPr="005436C0">
        <w:rPr>
          <w:rFonts w:ascii="Arial" w:hAnsi="Arial" w:cs="Arial"/>
        </w:rPr>
        <w:t>ne sont pas électrifiées</w:t>
      </w:r>
      <w:r w:rsidR="005436C0" w:rsidRPr="005436C0">
        <w:rPr>
          <w:rFonts w:ascii="Arial" w:hAnsi="Arial" w:cs="Arial"/>
        </w:rPr>
        <w:t xml:space="preserve">, </w:t>
      </w:r>
      <w:r w:rsidR="004C37C5" w:rsidRPr="005436C0">
        <w:rPr>
          <w:rFonts w:ascii="Arial" w:hAnsi="Arial" w:cs="Arial"/>
        </w:rPr>
        <w:t>étant donné que le taux l’électrification rurale demeure très faible avec seulement 6%</w:t>
      </w:r>
      <w:r w:rsidR="004C37C5" w:rsidRPr="005436C0">
        <w:rPr>
          <w:vertAlign w:val="superscript"/>
        </w:rPr>
        <w:footnoteReference w:id="55"/>
      </w:r>
      <w:r w:rsidR="005436C0" w:rsidRPr="005436C0">
        <w:rPr>
          <w:rFonts w:ascii="Arial" w:hAnsi="Arial" w:cs="Arial"/>
          <w:vertAlign w:val="superscript"/>
        </w:rPr>
        <w:t>.</w:t>
      </w:r>
    </w:p>
    <w:p w14:paraId="09D3788E" w14:textId="77777777" w:rsidR="00284743" w:rsidRPr="007540AE" w:rsidRDefault="00284743" w:rsidP="0044500E">
      <w:pPr>
        <w:pStyle w:val="TIT3"/>
        <w:numPr>
          <w:ilvl w:val="2"/>
          <w:numId w:val="177"/>
        </w:numPr>
      </w:pPr>
      <w:bookmarkStart w:id="454" w:name="_Toc124314681"/>
      <w:bookmarkStart w:id="455" w:name="_Toc124956159"/>
      <w:bookmarkStart w:id="456" w:name="_Toc125384558"/>
      <w:bookmarkStart w:id="457" w:name="_Toc125384947"/>
      <w:bookmarkStart w:id="458" w:name="_Toc127957619"/>
      <w:r w:rsidRPr="007540AE">
        <w:t>Secteur santé</w:t>
      </w:r>
      <w:bookmarkEnd w:id="454"/>
      <w:bookmarkEnd w:id="455"/>
      <w:bookmarkEnd w:id="456"/>
      <w:bookmarkEnd w:id="457"/>
      <w:bookmarkEnd w:id="458"/>
      <w:r w:rsidRPr="007540AE">
        <w:t xml:space="preserve"> </w:t>
      </w:r>
    </w:p>
    <w:p w14:paraId="10C4A246" w14:textId="77777777" w:rsidR="00C1566E" w:rsidRPr="005436C0" w:rsidRDefault="00EE7307" w:rsidP="00666FA1">
      <w:pPr>
        <w:jc w:val="both"/>
        <w:rPr>
          <w:rFonts w:ascii="Arial" w:hAnsi="Arial" w:cs="Arial"/>
        </w:rPr>
      </w:pPr>
      <w:r w:rsidRPr="005436C0">
        <w:rPr>
          <w:rFonts w:ascii="Arial" w:hAnsi="Arial" w:cs="Arial"/>
        </w:rPr>
        <w:t>Le tableau suivant récapitule le nombre de centre</w:t>
      </w:r>
      <w:r w:rsidR="00936C83">
        <w:rPr>
          <w:rFonts w:ascii="Arial" w:hAnsi="Arial" w:cs="Arial"/>
        </w:rPr>
        <w:t>s</w:t>
      </w:r>
      <w:r w:rsidRPr="005436C0">
        <w:rPr>
          <w:rFonts w:ascii="Arial" w:hAnsi="Arial" w:cs="Arial"/>
        </w:rPr>
        <w:t xml:space="preserve"> de santé </w:t>
      </w:r>
      <w:r w:rsidR="00936C83" w:rsidRPr="005436C0">
        <w:rPr>
          <w:rFonts w:ascii="Arial" w:hAnsi="Arial" w:cs="Arial"/>
        </w:rPr>
        <w:t>publi</w:t>
      </w:r>
      <w:r w:rsidR="00936C83">
        <w:rPr>
          <w:rFonts w:ascii="Arial" w:hAnsi="Arial" w:cs="Arial"/>
        </w:rPr>
        <w:t>cs</w:t>
      </w:r>
      <w:r w:rsidR="00936C83" w:rsidRPr="005436C0">
        <w:rPr>
          <w:rFonts w:ascii="Arial" w:hAnsi="Arial" w:cs="Arial"/>
        </w:rPr>
        <w:t xml:space="preserve"> </w:t>
      </w:r>
      <w:r w:rsidRPr="005436C0">
        <w:rPr>
          <w:rFonts w:ascii="Arial" w:hAnsi="Arial" w:cs="Arial"/>
        </w:rPr>
        <w:t>dans les différentes Régions de Madagascar</w:t>
      </w:r>
      <w:r w:rsidR="0080792F">
        <w:rPr>
          <w:rFonts w:ascii="Arial" w:hAnsi="Arial" w:cs="Arial"/>
        </w:rPr>
        <w:t>.</w:t>
      </w:r>
      <w:r w:rsidRPr="005436C0">
        <w:rPr>
          <w:rFonts w:ascii="Arial" w:hAnsi="Arial" w:cs="Arial"/>
        </w:rPr>
        <w:t xml:space="preserve"> </w:t>
      </w:r>
    </w:p>
    <w:p w14:paraId="6292243B" w14:textId="77777777" w:rsidR="00656722" w:rsidRPr="00656722" w:rsidRDefault="00656722" w:rsidP="00656722">
      <w:pPr>
        <w:pStyle w:val="Lgende"/>
        <w:jc w:val="center"/>
        <w:rPr>
          <w:sz w:val="20"/>
        </w:rPr>
      </w:pPr>
      <w:bookmarkStart w:id="459" w:name="_Toc127957809"/>
      <w:r w:rsidRPr="00656722">
        <w:rPr>
          <w:sz w:val="20"/>
        </w:rPr>
        <w:t xml:space="preserve">Tableau </w:t>
      </w:r>
      <w:r w:rsidRPr="00656722">
        <w:rPr>
          <w:sz w:val="20"/>
        </w:rPr>
        <w:fldChar w:fldCharType="begin"/>
      </w:r>
      <w:r w:rsidRPr="00656722">
        <w:rPr>
          <w:sz w:val="20"/>
        </w:rPr>
        <w:instrText xml:space="preserve"> SEQ Tableau \* ARABIC </w:instrText>
      </w:r>
      <w:r w:rsidRPr="00656722">
        <w:rPr>
          <w:sz w:val="20"/>
        </w:rPr>
        <w:fldChar w:fldCharType="separate"/>
      </w:r>
      <w:r w:rsidR="005430A1">
        <w:rPr>
          <w:noProof/>
          <w:sz w:val="20"/>
        </w:rPr>
        <w:t>13</w:t>
      </w:r>
      <w:r w:rsidRPr="00656722">
        <w:rPr>
          <w:sz w:val="20"/>
        </w:rPr>
        <w:fldChar w:fldCharType="end"/>
      </w:r>
      <w:r w:rsidRPr="00656722">
        <w:rPr>
          <w:sz w:val="20"/>
        </w:rPr>
        <w:t xml:space="preserve">. Infrastructures </w:t>
      </w:r>
      <w:r w:rsidR="00AB28C8">
        <w:rPr>
          <w:sz w:val="20"/>
        </w:rPr>
        <w:t>s</w:t>
      </w:r>
      <w:r w:rsidRPr="00656722">
        <w:rPr>
          <w:sz w:val="20"/>
        </w:rPr>
        <w:t>anitaires dans les Région de Madagascar</w:t>
      </w:r>
      <w:bookmarkEnd w:id="459"/>
    </w:p>
    <w:tbl>
      <w:tblPr>
        <w:tblW w:w="5116" w:type="pct"/>
        <w:jc w:val="center"/>
        <w:tblCellMar>
          <w:left w:w="70" w:type="dxa"/>
          <w:right w:w="70" w:type="dxa"/>
        </w:tblCellMar>
        <w:tblLook w:val="04A0" w:firstRow="1" w:lastRow="0" w:firstColumn="1" w:lastColumn="0" w:noHBand="0" w:noVBand="1"/>
      </w:tblPr>
      <w:tblGrid>
        <w:gridCol w:w="1496"/>
        <w:gridCol w:w="761"/>
        <w:gridCol w:w="1021"/>
        <w:gridCol w:w="1051"/>
        <w:gridCol w:w="641"/>
        <w:gridCol w:w="641"/>
        <w:gridCol w:w="580"/>
        <w:gridCol w:w="630"/>
        <w:gridCol w:w="530"/>
        <w:gridCol w:w="530"/>
        <w:gridCol w:w="1391"/>
      </w:tblGrid>
      <w:tr w:rsidR="0085321D" w:rsidRPr="007F78CE" w14:paraId="4BC0E200" w14:textId="77777777" w:rsidTr="001D3A29">
        <w:trPr>
          <w:trHeight w:val="765"/>
          <w:tblHeader/>
          <w:jc w:val="center"/>
        </w:trPr>
        <w:tc>
          <w:tcPr>
            <w:tcW w:w="898" w:type="pct"/>
            <w:tcBorders>
              <w:top w:val="single" w:sz="4" w:space="0" w:color="auto"/>
              <w:left w:val="single" w:sz="4" w:space="0" w:color="auto"/>
              <w:bottom w:val="single" w:sz="4" w:space="0" w:color="auto"/>
              <w:right w:val="single" w:sz="4" w:space="0" w:color="auto"/>
            </w:tcBorders>
            <w:shd w:val="clear" w:color="000000" w:fill="0070C0"/>
            <w:vAlign w:val="center"/>
            <w:hideMark/>
          </w:tcPr>
          <w:p w14:paraId="1B84CC3E" w14:textId="77777777" w:rsidR="0085321D" w:rsidRPr="0085321D" w:rsidRDefault="0085321D" w:rsidP="0085321D">
            <w:pPr>
              <w:spacing w:after="0" w:line="240" w:lineRule="auto"/>
              <w:jc w:val="center"/>
              <w:rPr>
                <w:rFonts w:ascii="Arial" w:eastAsia="Times New Roman" w:hAnsi="Arial" w:cs="Arial"/>
                <w:b/>
                <w:bCs/>
                <w:color w:val="FFFFFF"/>
                <w:sz w:val="18"/>
                <w:szCs w:val="20"/>
                <w:lang w:eastAsia="fr-FR"/>
              </w:rPr>
            </w:pPr>
            <w:r w:rsidRPr="0085321D">
              <w:rPr>
                <w:rFonts w:ascii="Arial" w:eastAsia="Times New Roman" w:hAnsi="Arial" w:cs="Arial"/>
                <w:b/>
                <w:bCs/>
                <w:color w:val="FFFFFF"/>
                <w:sz w:val="18"/>
                <w:szCs w:val="20"/>
                <w:lang w:eastAsia="fr-FR"/>
              </w:rPr>
              <w:t>Région</w:t>
            </w:r>
          </w:p>
        </w:tc>
        <w:tc>
          <w:tcPr>
            <w:tcW w:w="402" w:type="pct"/>
            <w:tcBorders>
              <w:top w:val="single" w:sz="4" w:space="0" w:color="auto"/>
              <w:left w:val="nil"/>
              <w:bottom w:val="single" w:sz="4" w:space="0" w:color="auto"/>
              <w:right w:val="single" w:sz="4" w:space="0" w:color="auto"/>
            </w:tcBorders>
            <w:shd w:val="clear" w:color="000000" w:fill="0070C0"/>
            <w:vAlign w:val="center"/>
            <w:hideMark/>
          </w:tcPr>
          <w:p w14:paraId="509C3413" w14:textId="77777777" w:rsidR="0085321D" w:rsidRPr="0085321D" w:rsidRDefault="0085321D" w:rsidP="0085321D">
            <w:pPr>
              <w:spacing w:after="0" w:line="240" w:lineRule="auto"/>
              <w:jc w:val="center"/>
              <w:rPr>
                <w:rFonts w:ascii="Arial" w:eastAsia="Times New Roman" w:hAnsi="Arial" w:cs="Arial"/>
                <w:b/>
                <w:bCs/>
                <w:color w:val="FFFFFF"/>
                <w:sz w:val="18"/>
                <w:szCs w:val="20"/>
                <w:lang w:eastAsia="fr-FR"/>
              </w:rPr>
            </w:pPr>
            <w:r w:rsidRPr="0085321D">
              <w:rPr>
                <w:rFonts w:ascii="Arial" w:eastAsia="Times New Roman" w:hAnsi="Arial" w:cs="Arial"/>
                <w:b/>
                <w:bCs/>
                <w:color w:val="FFFFFF"/>
                <w:sz w:val="18"/>
                <w:szCs w:val="20"/>
                <w:lang w:eastAsia="fr-FR"/>
              </w:rPr>
              <w:t>Nb District</w:t>
            </w:r>
          </w:p>
        </w:tc>
        <w:tc>
          <w:tcPr>
            <w:tcW w:w="538" w:type="pct"/>
            <w:tcBorders>
              <w:top w:val="single" w:sz="4" w:space="0" w:color="auto"/>
              <w:left w:val="nil"/>
              <w:bottom w:val="single" w:sz="4" w:space="0" w:color="auto"/>
              <w:right w:val="single" w:sz="4" w:space="0" w:color="auto"/>
            </w:tcBorders>
            <w:shd w:val="clear" w:color="000000" w:fill="0070C0"/>
            <w:vAlign w:val="center"/>
            <w:hideMark/>
          </w:tcPr>
          <w:p w14:paraId="138696AB" w14:textId="77777777" w:rsidR="0085321D" w:rsidRPr="0085321D" w:rsidRDefault="0085321D" w:rsidP="0085321D">
            <w:pPr>
              <w:spacing w:after="0" w:line="240" w:lineRule="auto"/>
              <w:jc w:val="center"/>
              <w:rPr>
                <w:rFonts w:ascii="Arial" w:eastAsia="Times New Roman" w:hAnsi="Arial" w:cs="Arial"/>
                <w:b/>
                <w:bCs/>
                <w:color w:val="FFFFFF"/>
                <w:sz w:val="18"/>
                <w:szCs w:val="20"/>
                <w:lang w:eastAsia="fr-FR"/>
              </w:rPr>
            </w:pPr>
            <w:r w:rsidRPr="0085321D">
              <w:rPr>
                <w:rFonts w:ascii="Arial" w:eastAsia="Times New Roman" w:hAnsi="Arial" w:cs="Arial"/>
                <w:b/>
                <w:bCs/>
                <w:color w:val="FFFFFF"/>
                <w:sz w:val="18"/>
                <w:szCs w:val="20"/>
                <w:lang w:eastAsia="fr-FR"/>
              </w:rPr>
              <w:t>Nb Commune</w:t>
            </w:r>
          </w:p>
        </w:tc>
        <w:tc>
          <w:tcPr>
            <w:tcW w:w="554" w:type="pct"/>
            <w:tcBorders>
              <w:top w:val="single" w:sz="4" w:space="0" w:color="auto"/>
              <w:left w:val="nil"/>
              <w:bottom w:val="single" w:sz="4" w:space="0" w:color="auto"/>
              <w:right w:val="single" w:sz="4" w:space="0" w:color="auto"/>
            </w:tcBorders>
            <w:shd w:val="clear" w:color="000000" w:fill="0070C0"/>
            <w:vAlign w:val="center"/>
            <w:hideMark/>
          </w:tcPr>
          <w:p w14:paraId="2D4EE8D3" w14:textId="77777777" w:rsidR="0085321D" w:rsidRPr="0085321D" w:rsidRDefault="0085321D" w:rsidP="0085321D">
            <w:pPr>
              <w:spacing w:after="0" w:line="240" w:lineRule="auto"/>
              <w:jc w:val="center"/>
              <w:rPr>
                <w:rFonts w:ascii="Arial" w:eastAsia="Times New Roman" w:hAnsi="Arial" w:cs="Arial"/>
                <w:b/>
                <w:bCs/>
                <w:color w:val="FFFFFF"/>
                <w:sz w:val="18"/>
                <w:szCs w:val="20"/>
                <w:lang w:eastAsia="fr-FR"/>
              </w:rPr>
            </w:pPr>
            <w:r w:rsidRPr="0085321D">
              <w:rPr>
                <w:rFonts w:ascii="Arial" w:eastAsia="Times New Roman" w:hAnsi="Arial" w:cs="Arial"/>
                <w:b/>
                <w:bCs/>
                <w:color w:val="FFFFFF"/>
                <w:sz w:val="18"/>
                <w:szCs w:val="20"/>
                <w:lang w:eastAsia="fr-FR"/>
              </w:rPr>
              <w:t>Nb Fokontany</w:t>
            </w:r>
          </w:p>
        </w:tc>
        <w:tc>
          <w:tcPr>
            <w:tcW w:w="338" w:type="pct"/>
            <w:tcBorders>
              <w:top w:val="single" w:sz="4" w:space="0" w:color="auto"/>
              <w:left w:val="nil"/>
              <w:bottom w:val="single" w:sz="4" w:space="0" w:color="auto"/>
              <w:right w:val="single" w:sz="4" w:space="0" w:color="auto"/>
            </w:tcBorders>
            <w:shd w:val="clear" w:color="000000" w:fill="0070C0"/>
            <w:vAlign w:val="center"/>
            <w:hideMark/>
          </w:tcPr>
          <w:p w14:paraId="4746C42A" w14:textId="77777777" w:rsidR="0085321D" w:rsidRPr="0085321D" w:rsidRDefault="0085321D" w:rsidP="0085321D">
            <w:pPr>
              <w:spacing w:after="0" w:line="240" w:lineRule="auto"/>
              <w:jc w:val="center"/>
              <w:rPr>
                <w:rFonts w:ascii="Arial" w:eastAsia="Times New Roman" w:hAnsi="Arial" w:cs="Arial"/>
                <w:b/>
                <w:bCs/>
                <w:color w:val="FFFFFF"/>
                <w:sz w:val="18"/>
                <w:szCs w:val="20"/>
                <w:lang w:eastAsia="fr-FR"/>
              </w:rPr>
            </w:pPr>
            <w:r w:rsidRPr="0085321D">
              <w:rPr>
                <w:rFonts w:ascii="Arial" w:eastAsia="Times New Roman" w:hAnsi="Arial" w:cs="Arial"/>
                <w:b/>
                <w:bCs/>
                <w:color w:val="FFFFFF"/>
                <w:sz w:val="18"/>
                <w:szCs w:val="20"/>
                <w:lang w:eastAsia="fr-FR"/>
              </w:rPr>
              <w:t>CSBI</w:t>
            </w:r>
          </w:p>
        </w:tc>
        <w:tc>
          <w:tcPr>
            <w:tcW w:w="338" w:type="pct"/>
            <w:tcBorders>
              <w:top w:val="single" w:sz="4" w:space="0" w:color="auto"/>
              <w:left w:val="nil"/>
              <w:bottom w:val="single" w:sz="4" w:space="0" w:color="auto"/>
              <w:right w:val="single" w:sz="4" w:space="0" w:color="auto"/>
            </w:tcBorders>
            <w:shd w:val="clear" w:color="000000" w:fill="0070C0"/>
            <w:vAlign w:val="center"/>
            <w:hideMark/>
          </w:tcPr>
          <w:p w14:paraId="00E04D1D" w14:textId="77777777" w:rsidR="0085321D" w:rsidRPr="0085321D" w:rsidRDefault="0085321D" w:rsidP="0085321D">
            <w:pPr>
              <w:spacing w:after="0" w:line="240" w:lineRule="auto"/>
              <w:jc w:val="center"/>
              <w:rPr>
                <w:rFonts w:ascii="Arial" w:eastAsia="Times New Roman" w:hAnsi="Arial" w:cs="Arial"/>
                <w:b/>
                <w:bCs/>
                <w:color w:val="FFFFFF"/>
                <w:sz w:val="18"/>
                <w:szCs w:val="20"/>
                <w:lang w:eastAsia="fr-FR"/>
              </w:rPr>
            </w:pPr>
            <w:r w:rsidRPr="0085321D">
              <w:rPr>
                <w:rFonts w:ascii="Arial" w:eastAsia="Times New Roman" w:hAnsi="Arial" w:cs="Arial"/>
                <w:b/>
                <w:bCs/>
                <w:color w:val="FFFFFF"/>
                <w:sz w:val="18"/>
                <w:szCs w:val="20"/>
                <w:lang w:eastAsia="fr-FR"/>
              </w:rPr>
              <w:t>CSBII</w:t>
            </w:r>
          </w:p>
        </w:tc>
        <w:tc>
          <w:tcPr>
            <w:tcW w:w="306" w:type="pct"/>
            <w:tcBorders>
              <w:top w:val="single" w:sz="4" w:space="0" w:color="auto"/>
              <w:left w:val="nil"/>
              <w:bottom w:val="single" w:sz="4" w:space="0" w:color="auto"/>
              <w:right w:val="single" w:sz="4" w:space="0" w:color="auto"/>
            </w:tcBorders>
            <w:shd w:val="clear" w:color="000000" w:fill="0070C0"/>
            <w:vAlign w:val="center"/>
            <w:hideMark/>
          </w:tcPr>
          <w:p w14:paraId="37FAFA72" w14:textId="77777777" w:rsidR="0085321D" w:rsidRPr="0085321D" w:rsidRDefault="0085321D" w:rsidP="0085321D">
            <w:pPr>
              <w:spacing w:after="0" w:line="240" w:lineRule="auto"/>
              <w:jc w:val="center"/>
              <w:rPr>
                <w:rFonts w:ascii="Arial" w:eastAsia="Times New Roman" w:hAnsi="Arial" w:cs="Arial"/>
                <w:b/>
                <w:bCs/>
                <w:color w:val="FFFFFF"/>
                <w:sz w:val="18"/>
                <w:szCs w:val="20"/>
                <w:lang w:eastAsia="fr-FR"/>
              </w:rPr>
            </w:pPr>
            <w:r w:rsidRPr="0085321D">
              <w:rPr>
                <w:rFonts w:ascii="Arial" w:eastAsia="Times New Roman" w:hAnsi="Arial" w:cs="Arial"/>
                <w:b/>
                <w:bCs/>
                <w:color w:val="FFFFFF"/>
                <w:sz w:val="18"/>
                <w:szCs w:val="20"/>
                <w:lang w:eastAsia="fr-FR"/>
              </w:rPr>
              <w:t>CHDI</w:t>
            </w:r>
          </w:p>
        </w:tc>
        <w:tc>
          <w:tcPr>
            <w:tcW w:w="333" w:type="pct"/>
            <w:tcBorders>
              <w:top w:val="single" w:sz="4" w:space="0" w:color="auto"/>
              <w:left w:val="nil"/>
              <w:bottom w:val="single" w:sz="4" w:space="0" w:color="auto"/>
              <w:right w:val="single" w:sz="4" w:space="0" w:color="auto"/>
            </w:tcBorders>
            <w:shd w:val="clear" w:color="000000" w:fill="0070C0"/>
            <w:vAlign w:val="center"/>
            <w:hideMark/>
          </w:tcPr>
          <w:p w14:paraId="3266C800" w14:textId="77777777" w:rsidR="0085321D" w:rsidRPr="0085321D" w:rsidRDefault="0085321D" w:rsidP="0085321D">
            <w:pPr>
              <w:spacing w:after="0" w:line="240" w:lineRule="auto"/>
              <w:jc w:val="center"/>
              <w:rPr>
                <w:rFonts w:ascii="Arial" w:eastAsia="Times New Roman" w:hAnsi="Arial" w:cs="Arial"/>
                <w:b/>
                <w:bCs/>
                <w:color w:val="FFFFFF"/>
                <w:sz w:val="18"/>
                <w:szCs w:val="20"/>
                <w:lang w:eastAsia="fr-FR"/>
              </w:rPr>
            </w:pPr>
            <w:r w:rsidRPr="0085321D">
              <w:rPr>
                <w:rFonts w:ascii="Arial" w:eastAsia="Times New Roman" w:hAnsi="Arial" w:cs="Arial"/>
                <w:b/>
                <w:bCs/>
                <w:color w:val="FFFFFF"/>
                <w:sz w:val="18"/>
                <w:szCs w:val="20"/>
                <w:lang w:eastAsia="fr-FR"/>
              </w:rPr>
              <w:t>CHDII</w:t>
            </w:r>
          </w:p>
        </w:tc>
        <w:tc>
          <w:tcPr>
            <w:tcW w:w="280" w:type="pct"/>
            <w:tcBorders>
              <w:top w:val="single" w:sz="4" w:space="0" w:color="auto"/>
              <w:left w:val="nil"/>
              <w:bottom w:val="single" w:sz="4" w:space="0" w:color="auto"/>
              <w:right w:val="single" w:sz="4" w:space="0" w:color="auto"/>
            </w:tcBorders>
            <w:shd w:val="clear" w:color="000000" w:fill="0070C0"/>
            <w:vAlign w:val="center"/>
            <w:hideMark/>
          </w:tcPr>
          <w:p w14:paraId="2C136C1D" w14:textId="77777777" w:rsidR="0085321D" w:rsidRPr="0085321D" w:rsidRDefault="0085321D" w:rsidP="0085321D">
            <w:pPr>
              <w:spacing w:after="0" w:line="240" w:lineRule="auto"/>
              <w:jc w:val="center"/>
              <w:rPr>
                <w:rFonts w:ascii="Arial" w:eastAsia="Times New Roman" w:hAnsi="Arial" w:cs="Arial"/>
                <w:b/>
                <w:bCs/>
                <w:color w:val="FFFFFF"/>
                <w:sz w:val="18"/>
                <w:szCs w:val="20"/>
                <w:lang w:eastAsia="fr-FR"/>
              </w:rPr>
            </w:pPr>
            <w:r w:rsidRPr="0085321D">
              <w:rPr>
                <w:rFonts w:ascii="Arial" w:eastAsia="Times New Roman" w:hAnsi="Arial" w:cs="Arial"/>
                <w:b/>
                <w:bCs/>
                <w:color w:val="FFFFFF"/>
                <w:sz w:val="18"/>
                <w:szCs w:val="20"/>
                <w:lang w:eastAsia="fr-FR"/>
              </w:rPr>
              <w:t>CHR</w:t>
            </w:r>
          </w:p>
        </w:tc>
        <w:tc>
          <w:tcPr>
            <w:tcW w:w="280" w:type="pct"/>
            <w:tcBorders>
              <w:top w:val="single" w:sz="4" w:space="0" w:color="auto"/>
              <w:left w:val="nil"/>
              <w:bottom w:val="single" w:sz="4" w:space="0" w:color="auto"/>
              <w:right w:val="single" w:sz="4" w:space="0" w:color="auto"/>
            </w:tcBorders>
            <w:shd w:val="clear" w:color="000000" w:fill="0070C0"/>
            <w:vAlign w:val="center"/>
            <w:hideMark/>
          </w:tcPr>
          <w:p w14:paraId="00274C49" w14:textId="77777777" w:rsidR="0085321D" w:rsidRPr="0085321D" w:rsidRDefault="0085321D" w:rsidP="0085321D">
            <w:pPr>
              <w:spacing w:after="0" w:line="240" w:lineRule="auto"/>
              <w:jc w:val="center"/>
              <w:rPr>
                <w:rFonts w:ascii="Arial" w:eastAsia="Times New Roman" w:hAnsi="Arial" w:cs="Arial"/>
                <w:b/>
                <w:bCs/>
                <w:color w:val="FFFFFF"/>
                <w:sz w:val="18"/>
                <w:szCs w:val="20"/>
                <w:lang w:eastAsia="fr-FR"/>
              </w:rPr>
            </w:pPr>
            <w:r w:rsidRPr="0085321D">
              <w:rPr>
                <w:rFonts w:ascii="Arial" w:eastAsia="Times New Roman" w:hAnsi="Arial" w:cs="Arial"/>
                <w:b/>
                <w:bCs/>
                <w:color w:val="FFFFFF"/>
                <w:sz w:val="18"/>
                <w:szCs w:val="20"/>
                <w:lang w:eastAsia="fr-FR"/>
              </w:rPr>
              <w:t>CHU</w:t>
            </w:r>
          </w:p>
        </w:tc>
        <w:tc>
          <w:tcPr>
            <w:tcW w:w="734" w:type="pct"/>
            <w:tcBorders>
              <w:top w:val="single" w:sz="4" w:space="0" w:color="auto"/>
              <w:left w:val="nil"/>
              <w:bottom w:val="single" w:sz="4" w:space="0" w:color="auto"/>
              <w:right w:val="single" w:sz="4" w:space="0" w:color="auto"/>
            </w:tcBorders>
            <w:shd w:val="clear" w:color="000000" w:fill="0070C0"/>
            <w:vAlign w:val="center"/>
            <w:hideMark/>
          </w:tcPr>
          <w:p w14:paraId="7EA64563" w14:textId="77777777" w:rsidR="0085321D" w:rsidRPr="0085321D" w:rsidRDefault="0085321D" w:rsidP="0085321D">
            <w:pPr>
              <w:spacing w:after="0" w:line="240" w:lineRule="auto"/>
              <w:jc w:val="center"/>
              <w:rPr>
                <w:rFonts w:ascii="Arial" w:eastAsia="Times New Roman" w:hAnsi="Arial" w:cs="Arial"/>
                <w:b/>
                <w:bCs/>
                <w:color w:val="FFFFFF"/>
                <w:sz w:val="18"/>
                <w:szCs w:val="20"/>
                <w:lang w:eastAsia="fr-FR"/>
              </w:rPr>
            </w:pPr>
            <w:r w:rsidRPr="0085321D">
              <w:rPr>
                <w:rFonts w:ascii="Arial" w:eastAsia="Times New Roman" w:hAnsi="Arial" w:cs="Arial"/>
                <w:b/>
                <w:bCs/>
                <w:color w:val="FFFFFF"/>
                <w:sz w:val="18"/>
                <w:szCs w:val="20"/>
                <w:lang w:eastAsia="fr-FR"/>
              </w:rPr>
              <w:t>Recouvrement de CSB II</w:t>
            </w:r>
            <w:r w:rsidR="0036277D">
              <w:rPr>
                <w:rFonts w:ascii="Arial" w:eastAsia="Times New Roman" w:hAnsi="Arial" w:cs="Arial"/>
                <w:b/>
                <w:bCs/>
                <w:color w:val="FFFFFF"/>
                <w:sz w:val="18"/>
                <w:szCs w:val="20"/>
                <w:lang w:eastAsia="fr-FR"/>
              </w:rPr>
              <w:t>*</w:t>
            </w:r>
            <w:r w:rsidR="0036277D">
              <w:rPr>
                <w:rStyle w:val="Appelnotedebasdep"/>
                <w:rFonts w:ascii="Arial" w:eastAsia="Times New Roman" w:hAnsi="Arial" w:cs="Arial"/>
                <w:b/>
                <w:bCs/>
                <w:color w:val="FFFFFF"/>
                <w:sz w:val="18"/>
                <w:szCs w:val="20"/>
                <w:lang w:eastAsia="fr-FR"/>
              </w:rPr>
              <w:footnoteReference w:id="56"/>
            </w:r>
            <w:r>
              <w:rPr>
                <w:rFonts w:ascii="Arial" w:eastAsia="Times New Roman" w:hAnsi="Arial" w:cs="Arial"/>
                <w:b/>
                <w:bCs/>
                <w:color w:val="FFFFFF"/>
                <w:sz w:val="18"/>
                <w:szCs w:val="20"/>
                <w:lang w:eastAsia="fr-FR"/>
              </w:rPr>
              <w:t>(%)</w:t>
            </w:r>
          </w:p>
        </w:tc>
      </w:tr>
      <w:tr w:rsidR="0085321D" w:rsidRPr="007F78CE" w14:paraId="4717BC25" w14:textId="77777777" w:rsidTr="0085321D">
        <w:trPr>
          <w:trHeight w:val="315"/>
          <w:jc w:val="center"/>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41AAE59A" w14:textId="77777777" w:rsidR="0085321D" w:rsidRPr="0085321D" w:rsidRDefault="0085321D" w:rsidP="0085321D">
            <w:pPr>
              <w:spacing w:after="0" w:line="240" w:lineRule="auto"/>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Alaotra Mangoro</w:t>
            </w:r>
          </w:p>
        </w:tc>
        <w:tc>
          <w:tcPr>
            <w:tcW w:w="402" w:type="pct"/>
            <w:tcBorders>
              <w:top w:val="nil"/>
              <w:left w:val="nil"/>
              <w:bottom w:val="single" w:sz="4" w:space="0" w:color="auto"/>
              <w:right w:val="single" w:sz="4" w:space="0" w:color="auto"/>
            </w:tcBorders>
            <w:shd w:val="clear" w:color="auto" w:fill="auto"/>
            <w:noWrap/>
            <w:vAlign w:val="center"/>
            <w:hideMark/>
          </w:tcPr>
          <w:p w14:paraId="54372959"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5</w:t>
            </w:r>
          </w:p>
        </w:tc>
        <w:tc>
          <w:tcPr>
            <w:tcW w:w="538" w:type="pct"/>
            <w:tcBorders>
              <w:top w:val="nil"/>
              <w:left w:val="nil"/>
              <w:bottom w:val="single" w:sz="4" w:space="0" w:color="auto"/>
              <w:right w:val="single" w:sz="4" w:space="0" w:color="auto"/>
            </w:tcBorders>
            <w:shd w:val="clear" w:color="auto" w:fill="auto"/>
            <w:noWrap/>
            <w:vAlign w:val="center"/>
            <w:hideMark/>
          </w:tcPr>
          <w:p w14:paraId="633A2474"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78</w:t>
            </w:r>
          </w:p>
        </w:tc>
        <w:tc>
          <w:tcPr>
            <w:tcW w:w="554" w:type="pct"/>
            <w:tcBorders>
              <w:top w:val="nil"/>
              <w:left w:val="nil"/>
              <w:bottom w:val="single" w:sz="4" w:space="0" w:color="auto"/>
              <w:right w:val="single" w:sz="4" w:space="0" w:color="auto"/>
            </w:tcBorders>
            <w:shd w:val="clear" w:color="auto" w:fill="auto"/>
            <w:noWrap/>
            <w:vAlign w:val="center"/>
            <w:hideMark/>
          </w:tcPr>
          <w:p w14:paraId="48957046"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692</w:t>
            </w:r>
          </w:p>
        </w:tc>
        <w:tc>
          <w:tcPr>
            <w:tcW w:w="338" w:type="pct"/>
            <w:tcBorders>
              <w:top w:val="nil"/>
              <w:left w:val="nil"/>
              <w:bottom w:val="single" w:sz="4" w:space="0" w:color="auto"/>
              <w:right w:val="single" w:sz="4" w:space="0" w:color="auto"/>
            </w:tcBorders>
            <w:shd w:val="clear" w:color="auto" w:fill="auto"/>
            <w:vAlign w:val="center"/>
            <w:hideMark/>
          </w:tcPr>
          <w:p w14:paraId="28010A1E"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91</w:t>
            </w:r>
          </w:p>
        </w:tc>
        <w:tc>
          <w:tcPr>
            <w:tcW w:w="338" w:type="pct"/>
            <w:tcBorders>
              <w:top w:val="nil"/>
              <w:left w:val="nil"/>
              <w:bottom w:val="single" w:sz="4" w:space="0" w:color="auto"/>
              <w:right w:val="single" w:sz="4" w:space="0" w:color="auto"/>
            </w:tcBorders>
            <w:shd w:val="clear" w:color="auto" w:fill="auto"/>
            <w:vAlign w:val="center"/>
            <w:hideMark/>
          </w:tcPr>
          <w:p w14:paraId="4AEDEED3"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101</w:t>
            </w:r>
          </w:p>
        </w:tc>
        <w:tc>
          <w:tcPr>
            <w:tcW w:w="306" w:type="pct"/>
            <w:tcBorders>
              <w:top w:val="nil"/>
              <w:left w:val="nil"/>
              <w:bottom w:val="single" w:sz="4" w:space="0" w:color="auto"/>
              <w:right w:val="single" w:sz="4" w:space="0" w:color="auto"/>
            </w:tcBorders>
            <w:shd w:val="clear" w:color="auto" w:fill="auto"/>
            <w:vAlign w:val="center"/>
            <w:hideMark/>
          </w:tcPr>
          <w:p w14:paraId="24EFEAE6"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w:t>
            </w:r>
          </w:p>
        </w:tc>
        <w:tc>
          <w:tcPr>
            <w:tcW w:w="333" w:type="pct"/>
            <w:tcBorders>
              <w:top w:val="nil"/>
              <w:left w:val="nil"/>
              <w:bottom w:val="single" w:sz="4" w:space="0" w:color="auto"/>
              <w:right w:val="single" w:sz="4" w:space="0" w:color="auto"/>
            </w:tcBorders>
            <w:shd w:val="clear" w:color="auto" w:fill="auto"/>
            <w:vAlign w:val="center"/>
            <w:hideMark/>
          </w:tcPr>
          <w:p w14:paraId="23132FA8"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3</w:t>
            </w:r>
          </w:p>
        </w:tc>
        <w:tc>
          <w:tcPr>
            <w:tcW w:w="280" w:type="pct"/>
            <w:tcBorders>
              <w:top w:val="nil"/>
              <w:left w:val="nil"/>
              <w:bottom w:val="single" w:sz="4" w:space="0" w:color="auto"/>
              <w:right w:val="single" w:sz="4" w:space="0" w:color="auto"/>
            </w:tcBorders>
            <w:shd w:val="clear" w:color="auto" w:fill="auto"/>
            <w:vAlign w:val="center"/>
            <w:hideMark/>
          </w:tcPr>
          <w:p w14:paraId="3217F90E"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w:t>
            </w:r>
          </w:p>
        </w:tc>
        <w:tc>
          <w:tcPr>
            <w:tcW w:w="280" w:type="pct"/>
            <w:tcBorders>
              <w:top w:val="nil"/>
              <w:left w:val="nil"/>
              <w:bottom w:val="single" w:sz="4" w:space="0" w:color="auto"/>
              <w:right w:val="single" w:sz="4" w:space="0" w:color="auto"/>
            </w:tcBorders>
            <w:shd w:val="clear" w:color="auto" w:fill="auto"/>
            <w:vAlign w:val="center"/>
            <w:hideMark/>
          </w:tcPr>
          <w:p w14:paraId="5CBA4A54"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0</w:t>
            </w:r>
          </w:p>
        </w:tc>
        <w:tc>
          <w:tcPr>
            <w:tcW w:w="734" w:type="pct"/>
            <w:tcBorders>
              <w:top w:val="nil"/>
              <w:left w:val="nil"/>
              <w:bottom w:val="single" w:sz="4" w:space="0" w:color="auto"/>
              <w:right w:val="single" w:sz="4" w:space="0" w:color="auto"/>
            </w:tcBorders>
            <w:shd w:val="clear" w:color="auto" w:fill="auto"/>
            <w:noWrap/>
            <w:vAlign w:val="center"/>
            <w:hideMark/>
          </w:tcPr>
          <w:p w14:paraId="71C253DA"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129,49</w:t>
            </w:r>
          </w:p>
        </w:tc>
      </w:tr>
      <w:tr w:rsidR="0085321D" w:rsidRPr="007F78CE" w14:paraId="435EC26D" w14:textId="77777777" w:rsidTr="0085321D">
        <w:trPr>
          <w:trHeight w:val="300"/>
          <w:jc w:val="center"/>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7499AB49" w14:textId="77777777" w:rsidR="0085321D" w:rsidRPr="0085321D" w:rsidRDefault="0085321D" w:rsidP="0085321D">
            <w:pPr>
              <w:spacing w:after="0" w:line="240" w:lineRule="auto"/>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Amoron'i Mania</w:t>
            </w:r>
          </w:p>
        </w:tc>
        <w:tc>
          <w:tcPr>
            <w:tcW w:w="402" w:type="pct"/>
            <w:tcBorders>
              <w:top w:val="nil"/>
              <w:left w:val="nil"/>
              <w:bottom w:val="single" w:sz="4" w:space="0" w:color="auto"/>
              <w:right w:val="single" w:sz="4" w:space="0" w:color="auto"/>
            </w:tcBorders>
            <w:shd w:val="clear" w:color="auto" w:fill="auto"/>
            <w:noWrap/>
            <w:vAlign w:val="center"/>
            <w:hideMark/>
          </w:tcPr>
          <w:p w14:paraId="464CF32D"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4</w:t>
            </w:r>
          </w:p>
        </w:tc>
        <w:tc>
          <w:tcPr>
            <w:tcW w:w="538" w:type="pct"/>
            <w:tcBorders>
              <w:top w:val="nil"/>
              <w:left w:val="nil"/>
              <w:bottom w:val="single" w:sz="4" w:space="0" w:color="auto"/>
              <w:right w:val="single" w:sz="4" w:space="0" w:color="auto"/>
            </w:tcBorders>
            <w:shd w:val="clear" w:color="auto" w:fill="auto"/>
            <w:noWrap/>
            <w:vAlign w:val="center"/>
            <w:hideMark/>
          </w:tcPr>
          <w:p w14:paraId="1119CF4E"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55</w:t>
            </w:r>
          </w:p>
        </w:tc>
        <w:tc>
          <w:tcPr>
            <w:tcW w:w="554" w:type="pct"/>
            <w:tcBorders>
              <w:top w:val="nil"/>
              <w:left w:val="nil"/>
              <w:bottom w:val="single" w:sz="4" w:space="0" w:color="auto"/>
              <w:right w:val="single" w:sz="4" w:space="0" w:color="auto"/>
            </w:tcBorders>
            <w:shd w:val="clear" w:color="auto" w:fill="auto"/>
            <w:noWrap/>
            <w:vAlign w:val="center"/>
            <w:hideMark/>
          </w:tcPr>
          <w:p w14:paraId="2632A187"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785</w:t>
            </w:r>
          </w:p>
        </w:tc>
        <w:tc>
          <w:tcPr>
            <w:tcW w:w="338" w:type="pct"/>
            <w:tcBorders>
              <w:top w:val="nil"/>
              <w:left w:val="nil"/>
              <w:bottom w:val="single" w:sz="4" w:space="0" w:color="auto"/>
              <w:right w:val="single" w:sz="4" w:space="0" w:color="auto"/>
            </w:tcBorders>
            <w:shd w:val="clear" w:color="auto" w:fill="auto"/>
            <w:vAlign w:val="center"/>
            <w:hideMark/>
          </w:tcPr>
          <w:p w14:paraId="7F6B88BD"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58</w:t>
            </w:r>
          </w:p>
        </w:tc>
        <w:tc>
          <w:tcPr>
            <w:tcW w:w="338" w:type="pct"/>
            <w:tcBorders>
              <w:top w:val="nil"/>
              <w:left w:val="nil"/>
              <w:bottom w:val="single" w:sz="4" w:space="0" w:color="auto"/>
              <w:right w:val="single" w:sz="4" w:space="0" w:color="auto"/>
            </w:tcBorders>
            <w:shd w:val="clear" w:color="auto" w:fill="auto"/>
            <w:vAlign w:val="center"/>
            <w:hideMark/>
          </w:tcPr>
          <w:p w14:paraId="5B69AC8D"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74</w:t>
            </w:r>
          </w:p>
        </w:tc>
        <w:tc>
          <w:tcPr>
            <w:tcW w:w="306" w:type="pct"/>
            <w:tcBorders>
              <w:top w:val="nil"/>
              <w:left w:val="nil"/>
              <w:bottom w:val="single" w:sz="4" w:space="0" w:color="auto"/>
              <w:right w:val="single" w:sz="4" w:space="0" w:color="auto"/>
            </w:tcBorders>
            <w:shd w:val="clear" w:color="auto" w:fill="auto"/>
            <w:vAlign w:val="center"/>
            <w:hideMark/>
          </w:tcPr>
          <w:p w14:paraId="000D7AAA"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2</w:t>
            </w:r>
          </w:p>
        </w:tc>
        <w:tc>
          <w:tcPr>
            <w:tcW w:w="333" w:type="pct"/>
            <w:tcBorders>
              <w:top w:val="nil"/>
              <w:left w:val="nil"/>
              <w:bottom w:val="single" w:sz="4" w:space="0" w:color="auto"/>
              <w:right w:val="single" w:sz="4" w:space="0" w:color="auto"/>
            </w:tcBorders>
            <w:shd w:val="clear" w:color="auto" w:fill="auto"/>
            <w:vAlign w:val="center"/>
            <w:hideMark/>
          </w:tcPr>
          <w:p w14:paraId="20276C47"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w:t>
            </w:r>
          </w:p>
        </w:tc>
        <w:tc>
          <w:tcPr>
            <w:tcW w:w="280" w:type="pct"/>
            <w:tcBorders>
              <w:top w:val="nil"/>
              <w:left w:val="nil"/>
              <w:bottom w:val="single" w:sz="4" w:space="0" w:color="auto"/>
              <w:right w:val="single" w:sz="4" w:space="0" w:color="auto"/>
            </w:tcBorders>
            <w:shd w:val="clear" w:color="auto" w:fill="auto"/>
            <w:vAlign w:val="center"/>
            <w:hideMark/>
          </w:tcPr>
          <w:p w14:paraId="2371B331"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w:t>
            </w:r>
          </w:p>
        </w:tc>
        <w:tc>
          <w:tcPr>
            <w:tcW w:w="280" w:type="pct"/>
            <w:tcBorders>
              <w:top w:val="nil"/>
              <w:left w:val="nil"/>
              <w:bottom w:val="single" w:sz="4" w:space="0" w:color="auto"/>
              <w:right w:val="single" w:sz="4" w:space="0" w:color="auto"/>
            </w:tcBorders>
            <w:shd w:val="clear" w:color="auto" w:fill="auto"/>
            <w:vAlign w:val="center"/>
            <w:hideMark/>
          </w:tcPr>
          <w:p w14:paraId="5BF42648"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0</w:t>
            </w:r>
          </w:p>
        </w:tc>
        <w:tc>
          <w:tcPr>
            <w:tcW w:w="734" w:type="pct"/>
            <w:tcBorders>
              <w:top w:val="nil"/>
              <w:left w:val="nil"/>
              <w:bottom w:val="single" w:sz="4" w:space="0" w:color="auto"/>
              <w:right w:val="single" w:sz="4" w:space="0" w:color="auto"/>
            </w:tcBorders>
            <w:shd w:val="clear" w:color="auto" w:fill="auto"/>
            <w:noWrap/>
            <w:vAlign w:val="center"/>
            <w:hideMark/>
          </w:tcPr>
          <w:p w14:paraId="406D7CEF"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134,55</w:t>
            </w:r>
          </w:p>
        </w:tc>
      </w:tr>
      <w:tr w:rsidR="0085321D" w:rsidRPr="007F78CE" w14:paraId="5F9F7450" w14:textId="77777777" w:rsidTr="0085321D">
        <w:trPr>
          <w:trHeight w:val="300"/>
          <w:jc w:val="center"/>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2555B521" w14:textId="77777777" w:rsidR="0085321D" w:rsidRPr="0085321D" w:rsidRDefault="0085321D" w:rsidP="0085321D">
            <w:pPr>
              <w:spacing w:after="0" w:line="240" w:lineRule="auto"/>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Analamanga</w:t>
            </w:r>
          </w:p>
        </w:tc>
        <w:tc>
          <w:tcPr>
            <w:tcW w:w="402" w:type="pct"/>
            <w:tcBorders>
              <w:top w:val="nil"/>
              <w:left w:val="nil"/>
              <w:bottom w:val="single" w:sz="4" w:space="0" w:color="auto"/>
              <w:right w:val="single" w:sz="4" w:space="0" w:color="auto"/>
            </w:tcBorders>
            <w:shd w:val="clear" w:color="auto" w:fill="auto"/>
            <w:noWrap/>
            <w:vAlign w:val="center"/>
            <w:hideMark/>
          </w:tcPr>
          <w:p w14:paraId="64126B2F"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8</w:t>
            </w:r>
          </w:p>
        </w:tc>
        <w:tc>
          <w:tcPr>
            <w:tcW w:w="538" w:type="pct"/>
            <w:tcBorders>
              <w:top w:val="nil"/>
              <w:left w:val="nil"/>
              <w:bottom w:val="single" w:sz="4" w:space="0" w:color="auto"/>
              <w:right w:val="single" w:sz="4" w:space="0" w:color="auto"/>
            </w:tcBorders>
            <w:shd w:val="clear" w:color="auto" w:fill="auto"/>
            <w:noWrap/>
            <w:vAlign w:val="center"/>
            <w:hideMark/>
          </w:tcPr>
          <w:p w14:paraId="31A6CCC2"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131</w:t>
            </w:r>
          </w:p>
        </w:tc>
        <w:tc>
          <w:tcPr>
            <w:tcW w:w="554" w:type="pct"/>
            <w:tcBorders>
              <w:top w:val="nil"/>
              <w:left w:val="nil"/>
              <w:bottom w:val="single" w:sz="4" w:space="0" w:color="auto"/>
              <w:right w:val="single" w:sz="4" w:space="0" w:color="auto"/>
            </w:tcBorders>
            <w:shd w:val="clear" w:color="auto" w:fill="auto"/>
            <w:noWrap/>
            <w:vAlign w:val="center"/>
            <w:hideMark/>
          </w:tcPr>
          <w:p w14:paraId="6709EA6B"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1660</w:t>
            </w:r>
          </w:p>
        </w:tc>
        <w:tc>
          <w:tcPr>
            <w:tcW w:w="338" w:type="pct"/>
            <w:tcBorders>
              <w:top w:val="nil"/>
              <w:left w:val="nil"/>
              <w:bottom w:val="single" w:sz="4" w:space="0" w:color="auto"/>
              <w:right w:val="single" w:sz="4" w:space="0" w:color="auto"/>
            </w:tcBorders>
            <w:shd w:val="clear" w:color="auto" w:fill="auto"/>
            <w:vAlign w:val="center"/>
            <w:hideMark/>
          </w:tcPr>
          <w:p w14:paraId="0272F0B4"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59</w:t>
            </w:r>
          </w:p>
        </w:tc>
        <w:tc>
          <w:tcPr>
            <w:tcW w:w="338" w:type="pct"/>
            <w:tcBorders>
              <w:top w:val="nil"/>
              <w:left w:val="nil"/>
              <w:bottom w:val="single" w:sz="4" w:space="0" w:color="auto"/>
              <w:right w:val="single" w:sz="4" w:space="0" w:color="auto"/>
            </w:tcBorders>
            <w:shd w:val="clear" w:color="auto" w:fill="auto"/>
            <w:vAlign w:val="center"/>
            <w:hideMark/>
          </w:tcPr>
          <w:p w14:paraId="0E88D71A"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403</w:t>
            </w:r>
          </w:p>
        </w:tc>
        <w:tc>
          <w:tcPr>
            <w:tcW w:w="306" w:type="pct"/>
            <w:tcBorders>
              <w:top w:val="nil"/>
              <w:left w:val="nil"/>
              <w:bottom w:val="single" w:sz="4" w:space="0" w:color="auto"/>
              <w:right w:val="single" w:sz="4" w:space="0" w:color="auto"/>
            </w:tcBorders>
            <w:shd w:val="clear" w:color="auto" w:fill="auto"/>
            <w:vAlign w:val="center"/>
            <w:hideMark/>
          </w:tcPr>
          <w:p w14:paraId="32B0AC48"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5</w:t>
            </w:r>
          </w:p>
        </w:tc>
        <w:tc>
          <w:tcPr>
            <w:tcW w:w="333" w:type="pct"/>
            <w:tcBorders>
              <w:top w:val="nil"/>
              <w:left w:val="nil"/>
              <w:bottom w:val="single" w:sz="4" w:space="0" w:color="auto"/>
              <w:right w:val="single" w:sz="4" w:space="0" w:color="auto"/>
            </w:tcBorders>
            <w:shd w:val="clear" w:color="auto" w:fill="auto"/>
            <w:vAlign w:val="center"/>
            <w:hideMark/>
          </w:tcPr>
          <w:p w14:paraId="3ECE1A9A"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37</w:t>
            </w:r>
          </w:p>
        </w:tc>
        <w:tc>
          <w:tcPr>
            <w:tcW w:w="280" w:type="pct"/>
            <w:tcBorders>
              <w:top w:val="nil"/>
              <w:left w:val="nil"/>
              <w:bottom w:val="single" w:sz="4" w:space="0" w:color="auto"/>
              <w:right w:val="single" w:sz="4" w:space="0" w:color="auto"/>
            </w:tcBorders>
            <w:shd w:val="clear" w:color="auto" w:fill="auto"/>
            <w:vAlign w:val="center"/>
            <w:hideMark/>
          </w:tcPr>
          <w:p w14:paraId="03DF54A0"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0</w:t>
            </w:r>
          </w:p>
        </w:tc>
        <w:tc>
          <w:tcPr>
            <w:tcW w:w="280" w:type="pct"/>
            <w:tcBorders>
              <w:top w:val="nil"/>
              <w:left w:val="nil"/>
              <w:bottom w:val="single" w:sz="4" w:space="0" w:color="auto"/>
              <w:right w:val="single" w:sz="4" w:space="0" w:color="auto"/>
            </w:tcBorders>
            <w:shd w:val="clear" w:color="auto" w:fill="auto"/>
            <w:vAlign w:val="center"/>
            <w:hideMark/>
          </w:tcPr>
          <w:p w14:paraId="29BE26F6"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12</w:t>
            </w:r>
          </w:p>
        </w:tc>
        <w:tc>
          <w:tcPr>
            <w:tcW w:w="734" w:type="pct"/>
            <w:tcBorders>
              <w:top w:val="nil"/>
              <w:left w:val="nil"/>
              <w:bottom w:val="single" w:sz="4" w:space="0" w:color="auto"/>
              <w:right w:val="single" w:sz="4" w:space="0" w:color="auto"/>
            </w:tcBorders>
            <w:shd w:val="clear" w:color="auto" w:fill="auto"/>
            <w:noWrap/>
            <w:vAlign w:val="center"/>
            <w:hideMark/>
          </w:tcPr>
          <w:p w14:paraId="7EE984FA"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307,63</w:t>
            </w:r>
          </w:p>
        </w:tc>
      </w:tr>
      <w:tr w:rsidR="0085321D" w:rsidRPr="007F78CE" w14:paraId="44836EC9" w14:textId="77777777" w:rsidTr="0085321D">
        <w:trPr>
          <w:trHeight w:val="300"/>
          <w:jc w:val="center"/>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033E06E5" w14:textId="77777777" w:rsidR="0085321D" w:rsidRPr="0085321D" w:rsidRDefault="0085321D" w:rsidP="0085321D">
            <w:pPr>
              <w:spacing w:after="0" w:line="240" w:lineRule="auto"/>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Analanjirofo</w:t>
            </w:r>
          </w:p>
        </w:tc>
        <w:tc>
          <w:tcPr>
            <w:tcW w:w="402" w:type="pct"/>
            <w:tcBorders>
              <w:top w:val="nil"/>
              <w:left w:val="nil"/>
              <w:bottom w:val="single" w:sz="4" w:space="0" w:color="auto"/>
              <w:right w:val="single" w:sz="4" w:space="0" w:color="auto"/>
            </w:tcBorders>
            <w:shd w:val="clear" w:color="auto" w:fill="auto"/>
            <w:noWrap/>
            <w:vAlign w:val="center"/>
            <w:hideMark/>
          </w:tcPr>
          <w:p w14:paraId="7D9B2CE5"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6</w:t>
            </w:r>
          </w:p>
        </w:tc>
        <w:tc>
          <w:tcPr>
            <w:tcW w:w="538" w:type="pct"/>
            <w:tcBorders>
              <w:top w:val="nil"/>
              <w:left w:val="nil"/>
              <w:bottom w:val="single" w:sz="4" w:space="0" w:color="auto"/>
              <w:right w:val="single" w:sz="4" w:space="0" w:color="auto"/>
            </w:tcBorders>
            <w:shd w:val="clear" w:color="auto" w:fill="auto"/>
            <w:noWrap/>
            <w:vAlign w:val="center"/>
            <w:hideMark/>
          </w:tcPr>
          <w:p w14:paraId="451645C1"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60</w:t>
            </w:r>
          </w:p>
        </w:tc>
        <w:tc>
          <w:tcPr>
            <w:tcW w:w="554" w:type="pct"/>
            <w:tcBorders>
              <w:top w:val="nil"/>
              <w:left w:val="nil"/>
              <w:bottom w:val="single" w:sz="4" w:space="0" w:color="auto"/>
              <w:right w:val="single" w:sz="4" w:space="0" w:color="auto"/>
            </w:tcBorders>
            <w:shd w:val="clear" w:color="auto" w:fill="auto"/>
            <w:noWrap/>
            <w:vAlign w:val="center"/>
            <w:hideMark/>
          </w:tcPr>
          <w:p w14:paraId="027ED190"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754</w:t>
            </w:r>
          </w:p>
        </w:tc>
        <w:tc>
          <w:tcPr>
            <w:tcW w:w="338" w:type="pct"/>
            <w:tcBorders>
              <w:top w:val="nil"/>
              <w:left w:val="nil"/>
              <w:bottom w:val="single" w:sz="4" w:space="0" w:color="auto"/>
              <w:right w:val="single" w:sz="4" w:space="0" w:color="auto"/>
            </w:tcBorders>
            <w:shd w:val="clear" w:color="auto" w:fill="auto"/>
            <w:vAlign w:val="center"/>
            <w:hideMark/>
          </w:tcPr>
          <w:p w14:paraId="563A299F"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55</w:t>
            </w:r>
          </w:p>
        </w:tc>
        <w:tc>
          <w:tcPr>
            <w:tcW w:w="338" w:type="pct"/>
            <w:tcBorders>
              <w:top w:val="nil"/>
              <w:left w:val="nil"/>
              <w:bottom w:val="single" w:sz="4" w:space="0" w:color="auto"/>
              <w:right w:val="single" w:sz="4" w:space="0" w:color="auto"/>
            </w:tcBorders>
            <w:shd w:val="clear" w:color="auto" w:fill="auto"/>
            <w:vAlign w:val="center"/>
            <w:hideMark/>
          </w:tcPr>
          <w:p w14:paraId="105BAE54"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66</w:t>
            </w:r>
          </w:p>
        </w:tc>
        <w:tc>
          <w:tcPr>
            <w:tcW w:w="306" w:type="pct"/>
            <w:tcBorders>
              <w:top w:val="nil"/>
              <w:left w:val="nil"/>
              <w:bottom w:val="single" w:sz="4" w:space="0" w:color="auto"/>
              <w:right w:val="single" w:sz="4" w:space="0" w:color="auto"/>
            </w:tcBorders>
            <w:shd w:val="clear" w:color="auto" w:fill="auto"/>
            <w:vAlign w:val="center"/>
            <w:hideMark/>
          </w:tcPr>
          <w:p w14:paraId="283B96C5"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2</w:t>
            </w:r>
          </w:p>
        </w:tc>
        <w:tc>
          <w:tcPr>
            <w:tcW w:w="333" w:type="pct"/>
            <w:tcBorders>
              <w:top w:val="nil"/>
              <w:left w:val="nil"/>
              <w:bottom w:val="single" w:sz="4" w:space="0" w:color="auto"/>
              <w:right w:val="single" w:sz="4" w:space="0" w:color="auto"/>
            </w:tcBorders>
            <w:shd w:val="clear" w:color="auto" w:fill="auto"/>
            <w:vAlign w:val="center"/>
            <w:hideMark/>
          </w:tcPr>
          <w:p w14:paraId="1113DDA2"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3</w:t>
            </w:r>
          </w:p>
        </w:tc>
        <w:tc>
          <w:tcPr>
            <w:tcW w:w="280" w:type="pct"/>
            <w:tcBorders>
              <w:top w:val="nil"/>
              <w:left w:val="nil"/>
              <w:bottom w:val="single" w:sz="4" w:space="0" w:color="auto"/>
              <w:right w:val="single" w:sz="4" w:space="0" w:color="auto"/>
            </w:tcBorders>
            <w:shd w:val="clear" w:color="auto" w:fill="auto"/>
            <w:vAlign w:val="center"/>
            <w:hideMark/>
          </w:tcPr>
          <w:p w14:paraId="422A5011"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w:t>
            </w:r>
          </w:p>
        </w:tc>
        <w:tc>
          <w:tcPr>
            <w:tcW w:w="280" w:type="pct"/>
            <w:tcBorders>
              <w:top w:val="nil"/>
              <w:left w:val="nil"/>
              <w:bottom w:val="single" w:sz="4" w:space="0" w:color="auto"/>
              <w:right w:val="single" w:sz="4" w:space="0" w:color="auto"/>
            </w:tcBorders>
            <w:shd w:val="clear" w:color="auto" w:fill="auto"/>
            <w:vAlign w:val="center"/>
            <w:hideMark/>
          </w:tcPr>
          <w:p w14:paraId="6C4E6933"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0</w:t>
            </w:r>
          </w:p>
        </w:tc>
        <w:tc>
          <w:tcPr>
            <w:tcW w:w="734" w:type="pct"/>
            <w:tcBorders>
              <w:top w:val="nil"/>
              <w:left w:val="nil"/>
              <w:bottom w:val="single" w:sz="4" w:space="0" w:color="auto"/>
              <w:right w:val="single" w:sz="4" w:space="0" w:color="auto"/>
            </w:tcBorders>
            <w:shd w:val="clear" w:color="auto" w:fill="auto"/>
            <w:noWrap/>
            <w:vAlign w:val="center"/>
            <w:hideMark/>
          </w:tcPr>
          <w:p w14:paraId="1726BF3E"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110,00</w:t>
            </w:r>
          </w:p>
        </w:tc>
      </w:tr>
      <w:tr w:rsidR="0085321D" w:rsidRPr="007F78CE" w14:paraId="0454013E" w14:textId="77777777" w:rsidTr="0085321D">
        <w:trPr>
          <w:trHeight w:val="300"/>
          <w:jc w:val="center"/>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013DF6E1" w14:textId="77777777" w:rsidR="0085321D" w:rsidRPr="0085321D" w:rsidRDefault="0085321D" w:rsidP="0085321D">
            <w:pPr>
              <w:spacing w:after="0" w:line="240" w:lineRule="auto"/>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Androy</w:t>
            </w:r>
          </w:p>
        </w:tc>
        <w:tc>
          <w:tcPr>
            <w:tcW w:w="402" w:type="pct"/>
            <w:tcBorders>
              <w:top w:val="nil"/>
              <w:left w:val="nil"/>
              <w:bottom w:val="single" w:sz="4" w:space="0" w:color="auto"/>
              <w:right w:val="single" w:sz="4" w:space="0" w:color="auto"/>
            </w:tcBorders>
            <w:shd w:val="clear" w:color="auto" w:fill="auto"/>
            <w:noWrap/>
            <w:vAlign w:val="center"/>
            <w:hideMark/>
          </w:tcPr>
          <w:p w14:paraId="4134D1C2"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4</w:t>
            </w:r>
          </w:p>
        </w:tc>
        <w:tc>
          <w:tcPr>
            <w:tcW w:w="538" w:type="pct"/>
            <w:tcBorders>
              <w:top w:val="nil"/>
              <w:left w:val="nil"/>
              <w:bottom w:val="single" w:sz="4" w:space="0" w:color="auto"/>
              <w:right w:val="single" w:sz="4" w:space="0" w:color="auto"/>
            </w:tcBorders>
            <w:shd w:val="clear" w:color="auto" w:fill="auto"/>
            <w:noWrap/>
            <w:vAlign w:val="center"/>
            <w:hideMark/>
          </w:tcPr>
          <w:p w14:paraId="225FC5EA"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51</w:t>
            </w:r>
          </w:p>
        </w:tc>
        <w:tc>
          <w:tcPr>
            <w:tcW w:w="554" w:type="pct"/>
            <w:tcBorders>
              <w:top w:val="nil"/>
              <w:left w:val="nil"/>
              <w:bottom w:val="single" w:sz="4" w:space="0" w:color="auto"/>
              <w:right w:val="single" w:sz="4" w:space="0" w:color="auto"/>
            </w:tcBorders>
            <w:shd w:val="clear" w:color="auto" w:fill="auto"/>
            <w:noWrap/>
            <w:vAlign w:val="center"/>
            <w:hideMark/>
          </w:tcPr>
          <w:p w14:paraId="4F38570E"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1039</w:t>
            </w:r>
          </w:p>
        </w:tc>
        <w:tc>
          <w:tcPr>
            <w:tcW w:w="338" w:type="pct"/>
            <w:tcBorders>
              <w:top w:val="nil"/>
              <w:left w:val="nil"/>
              <w:bottom w:val="single" w:sz="4" w:space="0" w:color="auto"/>
              <w:right w:val="single" w:sz="4" w:space="0" w:color="auto"/>
            </w:tcBorders>
            <w:shd w:val="clear" w:color="auto" w:fill="auto"/>
            <w:vAlign w:val="center"/>
            <w:hideMark/>
          </w:tcPr>
          <w:p w14:paraId="3F70A501"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29</w:t>
            </w:r>
          </w:p>
        </w:tc>
        <w:tc>
          <w:tcPr>
            <w:tcW w:w="338" w:type="pct"/>
            <w:tcBorders>
              <w:top w:val="nil"/>
              <w:left w:val="nil"/>
              <w:bottom w:val="single" w:sz="4" w:space="0" w:color="auto"/>
              <w:right w:val="single" w:sz="4" w:space="0" w:color="auto"/>
            </w:tcBorders>
            <w:shd w:val="clear" w:color="auto" w:fill="auto"/>
            <w:vAlign w:val="center"/>
            <w:hideMark/>
          </w:tcPr>
          <w:p w14:paraId="5F76E6EF"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49</w:t>
            </w:r>
          </w:p>
        </w:tc>
        <w:tc>
          <w:tcPr>
            <w:tcW w:w="306" w:type="pct"/>
            <w:tcBorders>
              <w:top w:val="nil"/>
              <w:left w:val="nil"/>
              <w:bottom w:val="single" w:sz="4" w:space="0" w:color="auto"/>
              <w:right w:val="single" w:sz="4" w:space="0" w:color="auto"/>
            </w:tcBorders>
            <w:shd w:val="clear" w:color="auto" w:fill="auto"/>
            <w:vAlign w:val="center"/>
            <w:hideMark/>
          </w:tcPr>
          <w:p w14:paraId="6F865B47"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3</w:t>
            </w:r>
          </w:p>
        </w:tc>
        <w:tc>
          <w:tcPr>
            <w:tcW w:w="333" w:type="pct"/>
            <w:tcBorders>
              <w:top w:val="nil"/>
              <w:left w:val="nil"/>
              <w:bottom w:val="single" w:sz="4" w:space="0" w:color="auto"/>
              <w:right w:val="single" w:sz="4" w:space="0" w:color="auto"/>
            </w:tcBorders>
            <w:shd w:val="clear" w:color="auto" w:fill="auto"/>
            <w:vAlign w:val="center"/>
            <w:hideMark/>
          </w:tcPr>
          <w:p w14:paraId="1068A7AF"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0</w:t>
            </w:r>
          </w:p>
        </w:tc>
        <w:tc>
          <w:tcPr>
            <w:tcW w:w="280" w:type="pct"/>
            <w:tcBorders>
              <w:top w:val="nil"/>
              <w:left w:val="nil"/>
              <w:bottom w:val="single" w:sz="4" w:space="0" w:color="auto"/>
              <w:right w:val="single" w:sz="4" w:space="0" w:color="auto"/>
            </w:tcBorders>
            <w:shd w:val="clear" w:color="auto" w:fill="auto"/>
            <w:vAlign w:val="center"/>
            <w:hideMark/>
          </w:tcPr>
          <w:p w14:paraId="19F5A5D7"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w:t>
            </w:r>
          </w:p>
        </w:tc>
        <w:tc>
          <w:tcPr>
            <w:tcW w:w="280" w:type="pct"/>
            <w:tcBorders>
              <w:top w:val="nil"/>
              <w:left w:val="nil"/>
              <w:bottom w:val="single" w:sz="4" w:space="0" w:color="auto"/>
              <w:right w:val="single" w:sz="4" w:space="0" w:color="auto"/>
            </w:tcBorders>
            <w:shd w:val="clear" w:color="auto" w:fill="auto"/>
            <w:vAlign w:val="center"/>
            <w:hideMark/>
          </w:tcPr>
          <w:p w14:paraId="7FE7E498"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0</w:t>
            </w:r>
          </w:p>
        </w:tc>
        <w:tc>
          <w:tcPr>
            <w:tcW w:w="734" w:type="pct"/>
            <w:tcBorders>
              <w:top w:val="nil"/>
              <w:left w:val="nil"/>
              <w:bottom w:val="single" w:sz="4" w:space="0" w:color="auto"/>
              <w:right w:val="single" w:sz="4" w:space="0" w:color="auto"/>
            </w:tcBorders>
            <w:shd w:val="clear" w:color="auto" w:fill="auto"/>
            <w:noWrap/>
            <w:vAlign w:val="center"/>
            <w:hideMark/>
          </w:tcPr>
          <w:p w14:paraId="7E39A3F6"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96,08</w:t>
            </w:r>
          </w:p>
        </w:tc>
      </w:tr>
      <w:tr w:rsidR="0085321D" w:rsidRPr="007F78CE" w14:paraId="3275684C" w14:textId="77777777" w:rsidTr="0085321D">
        <w:trPr>
          <w:trHeight w:val="300"/>
          <w:jc w:val="center"/>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25C05827" w14:textId="77777777" w:rsidR="0085321D" w:rsidRPr="0085321D" w:rsidRDefault="0085321D" w:rsidP="0085321D">
            <w:pPr>
              <w:spacing w:after="0" w:line="240" w:lineRule="auto"/>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Anosy</w:t>
            </w:r>
          </w:p>
        </w:tc>
        <w:tc>
          <w:tcPr>
            <w:tcW w:w="402" w:type="pct"/>
            <w:tcBorders>
              <w:top w:val="nil"/>
              <w:left w:val="nil"/>
              <w:bottom w:val="single" w:sz="4" w:space="0" w:color="auto"/>
              <w:right w:val="single" w:sz="4" w:space="0" w:color="auto"/>
            </w:tcBorders>
            <w:shd w:val="clear" w:color="auto" w:fill="auto"/>
            <w:noWrap/>
            <w:vAlign w:val="center"/>
            <w:hideMark/>
          </w:tcPr>
          <w:p w14:paraId="5F02A596"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3</w:t>
            </w:r>
          </w:p>
        </w:tc>
        <w:tc>
          <w:tcPr>
            <w:tcW w:w="538" w:type="pct"/>
            <w:tcBorders>
              <w:top w:val="nil"/>
              <w:left w:val="nil"/>
              <w:bottom w:val="single" w:sz="4" w:space="0" w:color="auto"/>
              <w:right w:val="single" w:sz="4" w:space="0" w:color="auto"/>
            </w:tcBorders>
            <w:shd w:val="clear" w:color="auto" w:fill="auto"/>
            <w:noWrap/>
            <w:vAlign w:val="center"/>
            <w:hideMark/>
          </w:tcPr>
          <w:p w14:paraId="03974808"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63</w:t>
            </w:r>
          </w:p>
        </w:tc>
        <w:tc>
          <w:tcPr>
            <w:tcW w:w="554" w:type="pct"/>
            <w:tcBorders>
              <w:top w:val="nil"/>
              <w:left w:val="nil"/>
              <w:bottom w:val="single" w:sz="4" w:space="0" w:color="auto"/>
              <w:right w:val="single" w:sz="4" w:space="0" w:color="auto"/>
            </w:tcBorders>
            <w:shd w:val="clear" w:color="auto" w:fill="auto"/>
            <w:noWrap/>
            <w:vAlign w:val="center"/>
            <w:hideMark/>
          </w:tcPr>
          <w:p w14:paraId="5DB31AE5"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628</w:t>
            </w:r>
          </w:p>
        </w:tc>
        <w:tc>
          <w:tcPr>
            <w:tcW w:w="338" w:type="pct"/>
            <w:tcBorders>
              <w:top w:val="nil"/>
              <w:left w:val="nil"/>
              <w:bottom w:val="single" w:sz="4" w:space="0" w:color="auto"/>
              <w:right w:val="single" w:sz="4" w:space="0" w:color="auto"/>
            </w:tcBorders>
            <w:shd w:val="clear" w:color="auto" w:fill="auto"/>
            <w:vAlign w:val="center"/>
            <w:hideMark/>
          </w:tcPr>
          <w:p w14:paraId="3B1BA1AD"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23</w:t>
            </w:r>
          </w:p>
        </w:tc>
        <w:tc>
          <w:tcPr>
            <w:tcW w:w="338" w:type="pct"/>
            <w:tcBorders>
              <w:top w:val="nil"/>
              <w:left w:val="nil"/>
              <w:bottom w:val="single" w:sz="4" w:space="0" w:color="auto"/>
              <w:right w:val="single" w:sz="4" w:space="0" w:color="auto"/>
            </w:tcBorders>
            <w:shd w:val="clear" w:color="auto" w:fill="auto"/>
            <w:vAlign w:val="center"/>
            <w:hideMark/>
          </w:tcPr>
          <w:p w14:paraId="2E164590"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70</w:t>
            </w:r>
          </w:p>
        </w:tc>
        <w:tc>
          <w:tcPr>
            <w:tcW w:w="306" w:type="pct"/>
            <w:tcBorders>
              <w:top w:val="nil"/>
              <w:left w:val="nil"/>
              <w:bottom w:val="single" w:sz="4" w:space="0" w:color="auto"/>
              <w:right w:val="single" w:sz="4" w:space="0" w:color="auto"/>
            </w:tcBorders>
            <w:shd w:val="clear" w:color="auto" w:fill="auto"/>
            <w:vAlign w:val="center"/>
            <w:hideMark/>
          </w:tcPr>
          <w:p w14:paraId="27776561"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2</w:t>
            </w:r>
          </w:p>
        </w:tc>
        <w:tc>
          <w:tcPr>
            <w:tcW w:w="333" w:type="pct"/>
            <w:tcBorders>
              <w:top w:val="nil"/>
              <w:left w:val="nil"/>
              <w:bottom w:val="single" w:sz="4" w:space="0" w:color="auto"/>
              <w:right w:val="single" w:sz="4" w:space="0" w:color="auto"/>
            </w:tcBorders>
            <w:shd w:val="clear" w:color="auto" w:fill="auto"/>
            <w:vAlign w:val="center"/>
            <w:hideMark/>
          </w:tcPr>
          <w:p w14:paraId="2A78F954"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2</w:t>
            </w:r>
          </w:p>
        </w:tc>
        <w:tc>
          <w:tcPr>
            <w:tcW w:w="280" w:type="pct"/>
            <w:tcBorders>
              <w:top w:val="nil"/>
              <w:left w:val="nil"/>
              <w:bottom w:val="single" w:sz="4" w:space="0" w:color="auto"/>
              <w:right w:val="single" w:sz="4" w:space="0" w:color="auto"/>
            </w:tcBorders>
            <w:shd w:val="clear" w:color="auto" w:fill="auto"/>
            <w:vAlign w:val="center"/>
            <w:hideMark/>
          </w:tcPr>
          <w:p w14:paraId="7E01E31A"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w:t>
            </w:r>
          </w:p>
        </w:tc>
        <w:tc>
          <w:tcPr>
            <w:tcW w:w="280" w:type="pct"/>
            <w:tcBorders>
              <w:top w:val="nil"/>
              <w:left w:val="nil"/>
              <w:bottom w:val="single" w:sz="4" w:space="0" w:color="auto"/>
              <w:right w:val="single" w:sz="4" w:space="0" w:color="auto"/>
            </w:tcBorders>
            <w:shd w:val="clear" w:color="auto" w:fill="auto"/>
            <w:vAlign w:val="center"/>
            <w:hideMark/>
          </w:tcPr>
          <w:p w14:paraId="2972699D"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0</w:t>
            </w:r>
          </w:p>
        </w:tc>
        <w:tc>
          <w:tcPr>
            <w:tcW w:w="734" w:type="pct"/>
            <w:tcBorders>
              <w:top w:val="nil"/>
              <w:left w:val="nil"/>
              <w:bottom w:val="single" w:sz="4" w:space="0" w:color="auto"/>
              <w:right w:val="single" w:sz="4" w:space="0" w:color="auto"/>
            </w:tcBorders>
            <w:shd w:val="clear" w:color="auto" w:fill="auto"/>
            <w:noWrap/>
            <w:vAlign w:val="center"/>
            <w:hideMark/>
          </w:tcPr>
          <w:p w14:paraId="254A679B"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111,11</w:t>
            </w:r>
          </w:p>
        </w:tc>
      </w:tr>
      <w:tr w:rsidR="0085321D" w:rsidRPr="007F78CE" w14:paraId="5437AE17" w14:textId="77777777" w:rsidTr="0085321D">
        <w:trPr>
          <w:trHeight w:val="300"/>
          <w:jc w:val="center"/>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5D2EEDEB" w14:textId="77777777" w:rsidR="0085321D" w:rsidRPr="0085321D" w:rsidRDefault="0085321D" w:rsidP="0085321D">
            <w:pPr>
              <w:spacing w:after="0" w:line="240" w:lineRule="auto"/>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Atsimo Andrefana</w:t>
            </w:r>
          </w:p>
        </w:tc>
        <w:tc>
          <w:tcPr>
            <w:tcW w:w="402" w:type="pct"/>
            <w:tcBorders>
              <w:top w:val="nil"/>
              <w:left w:val="nil"/>
              <w:bottom w:val="single" w:sz="4" w:space="0" w:color="auto"/>
              <w:right w:val="single" w:sz="4" w:space="0" w:color="auto"/>
            </w:tcBorders>
            <w:shd w:val="clear" w:color="auto" w:fill="auto"/>
            <w:noWrap/>
            <w:vAlign w:val="center"/>
            <w:hideMark/>
          </w:tcPr>
          <w:p w14:paraId="6C6A470E"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9</w:t>
            </w:r>
          </w:p>
        </w:tc>
        <w:tc>
          <w:tcPr>
            <w:tcW w:w="538" w:type="pct"/>
            <w:tcBorders>
              <w:top w:val="nil"/>
              <w:left w:val="nil"/>
              <w:bottom w:val="single" w:sz="4" w:space="0" w:color="auto"/>
              <w:right w:val="single" w:sz="4" w:space="0" w:color="auto"/>
            </w:tcBorders>
            <w:shd w:val="clear" w:color="auto" w:fill="auto"/>
            <w:noWrap/>
            <w:vAlign w:val="center"/>
            <w:hideMark/>
          </w:tcPr>
          <w:p w14:paraId="4434D980"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110</w:t>
            </w:r>
          </w:p>
        </w:tc>
        <w:tc>
          <w:tcPr>
            <w:tcW w:w="554" w:type="pct"/>
            <w:tcBorders>
              <w:top w:val="nil"/>
              <w:left w:val="nil"/>
              <w:bottom w:val="single" w:sz="4" w:space="0" w:color="auto"/>
              <w:right w:val="single" w:sz="4" w:space="0" w:color="auto"/>
            </w:tcBorders>
            <w:shd w:val="clear" w:color="auto" w:fill="auto"/>
            <w:noWrap/>
            <w:vAlign w:val="center"/>
            <w:hideMark/>
          </w:tcPr>
          <w:p w14:paraId="3A88CF41"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1527</w:t>
            </w:r>
          </w:p>
        </w:tc>
        <w:tc>
          <w:tcPr>
            <w:tcW w:w="338" w:type="pct"/>
            <w:tcBorders>
              <w:top w:val="nil"/>
              <w:left w:val="nil"/>
              <w:bottom w:val="single" w:sz="4" w:space="0" w:color="auto"/>
              <w:right w:val="single" w:sz="4" w:space="0" w:color="auto"/>
            </w:tcBorders>
            <w:shd w:val="clear" w:color="auto" w:fill="auto"/>
            <w:vAlign w:val="center"/>
            <w:hideMark/>
          </w:tcPr>
          <w:p w14:paraId="2D83BC98"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90</w:t>
            </w:r>
          </w:p>
        </w:tc>
        <w:tc>
          <w:tcPr>
            <w:tcW w:w="338" w:type="pct"/>
            <w:tcBorders>
              <w:top w:val="nil"/>
              <w:left w:val="nil"/>
              <w:bottom w:val="single" w:sz="4" w:space="0" w:color="auto"/>
              <w:right w:val="single" w:sz="4" w:space="0" w:color="auto"/>
            </w:tcBorders>
            <w:shd w:val="clear" w:color="auto" w:fill="auto"/>
            <w:vAlign w:val="center"/>
            <w:hideMark/>
          </w:tcPr>
          <w:p w14:paraId="31E6CDBD"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136</w:t>
            </w:r>
          </w:p>
        </w:tc>
        <w:tc>
          <w:tcPr>
            <w:tcW w:w="306" w:type="pct"/>
            <w:tcBorders>
              <w:top w:val="nil"/>
              <w:left w:val="nil"/>
              <w:bottom w:val="single" w:sz="4" w:space="0" w:color="auto"/>
              <w:right w:val="single" w:sz="4" w:space="0" w:color="auto"/>
            </w:tcBorders>
            <w:shd w:val="clear" w:color="auto" w:fill="auto"/>
            <w:vAlign w:val="center"/>
            <w:hideMark/>
          </w:tcPr>
          <w:p w14:paraId="7E6FA02D"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7</w:t>
            </w:r>
          </w:p>
        </w:tc>
        <w:tc>
          <w:tcPr>
            <w:tcW w:w="333" w:type="pct"/>
            <w:tcBorders>
              <w:top w:val="nil"/>
              <w:left w:val="nil"/>
              <w:bottom w:val="single" w:sz="4" w:space="0" w:color="auto"/>
              <w:right w:val="single" w:sz="4" w:space="0" w:color="auto"/>
            </w:tcBorders>
            <w:shd w:val="clear" w:color="auto" w:fill="auto"/>
            <w:vAlign w:val="center"/>
            <w:hideMark/>
          </w:tcPr>
          <w:p w14:paraId="1B60DA5B"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6</w:t>
            </w:r>
          </w:p>
        </w:tc>
        <w:tc>
          <w:tcPr>
            <w:tcW w:w="280" w:type="pct"/>
            <w:tcBorders>
              <w:top w:val="nil"/>
              <w:left w:val="nil"/>
              <w:bottom w:val="single" w:sz="4" w:space="0" w:color="auto"/>
              <w:right w:val="single" w:sz="4" w:space="0" w:color="auto"/>
            </w:tcBorders>
            <w:shd w:val="clear" w:color="auto" w:fill="auto"/>
            <w:vAlign w:val="center"/>
            <w:hideMark/>
          </w:tcPr>
          <w:p w14:paraId="6DA5A036"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0</w:t>
            </w:r>
          </w:p>
        </w:tc>
        <w:tc>
          <w:tcPr>
            <w:tcW w:w="280" w:type="pct"/>
            <w:tcBorders>
              <w:top w:val="nil"/>
              <w:left w:val="nil"/>
              <w:bottom w:val="single" w:sz="4" w:space="0" w:color="auto"/>
              <w:right w:val="single" w:sz="4" w:space="0" w:color="auto"/>
            </w:tcBorders>
            <w:shd w:val="clear" w:color="auto" w:fill="auto"/>
            <w:vAlign w:val="center"/>
            <w:hideMark/>
          </w:tcPr>
          <w:p w14:paraId="06001894"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w:t>
            </w:r>
          </w:p>
        </w:tc>
        <w:tc>
          <w:tcPr>
            <w:tcW w:w="734" w:type="pct"/>
            <w:tcBorders>
              <w:top w:val="nil"/>
              <w:left w:val="nil"/>
              <w:bottom w:val="single" w:sz="4" w:space="0" w:color="auto"/>
              <w:right w:val="single" w:sz="4" w:space="0" w:color="auto"/>
            </w:tcBorders>
            <w:shd w:val="clear" w:color="auto" w:fill="auto"/>
            <w:noWrap/>
            <w:vAlign w:val="center"/>
            <w:hideMark/>
          </w:tcPr>
          <w:p w14:paraId="4CBB9B0A"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123,64</w:t>
            </w:r>
          </w:p>
        </w:tc>
      </w:tr>
      <w:tr w:rsidR="0085321D" w:rsidRPr="007F78CE" w14:paraId="165C01EE" w14:textId="77777777" w:rsidTr="0085321D">
        <w:trPr>
          <w:trHeight w:val="300"/>
          <w:jc w:val="center"/>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771E91ED" w14:textId="77777777" w:rsidR="0085321D" w:rsidRPr="0085321D" w:rsidRDefault="0085321D" w:rsidP="0085321D">
            <w:pPr>
              <w:spacing w:after="0" w:line="240" w:lineRule="auto"/>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Atsimo Antsinanana</w:t>
            </w:r>
          </w:p>
        </w:tc>
        <w:tc>
          <w:tcPr>
            <w:tcW w:w="402" w:type="pct"/>
            <w:tcBorders>
              <w:top w:val="nil"/>
              <w:left w:val="nil"/>
              <w:bottom w:val="single" w:sz="4" w:space="0" w:color="auto"/>
              <w:right w:val="single" w:sz="4" w:space="0" w:color="auto"/>
            </w:tcBorders>
            <w:shd w:val="clear" w:color="auto" w:fill="auto"/>
            <w:noWrap/>
            <w:vAlign w:val="center"/>
            <w:hideMark/>
          </w:tcPr>
          <w:p w14:paraId="6AD12EAD"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5</w:t>
            </w:r>
          </w:p>
        </w:tc>
        <w:tc>
          <w:tcPr>
            <w:tcW w:w="538" w:type="pct"/>
            <w:tcBorders>
              <w:top w:val="nil"/>
              <w:left w:val="nil"/>
              <w:bottom w:val="single" w:sz="4" w:space="0" w:color="auto"/>
              <w:right w:val="single" w:sz="4" w:space="0" w:color="auto"/>
            </w:tcBorders>
            <w:shd w:val="clear" w:color="auto" w:fill="auto"/>
            <w:noWrap/>
            <w:vAlign w:val="center"/>
            <w:hideMark/>
          </w:tcPr>
          <w:p w14:paraId="75F88D2B"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89</w:t>
            </w:r>
          </w:p>
        </w:tc>
        <w:tc>
          <w:tcPr>
            <w:tcW w:w="554" w:type="pct"/>
            <w:tcBorders>
              <w:top w:val="nil"/>
              <w:left w:val="nil"/>
              <w:bottom w:val="single" w:sz="4" w:space="0" w:color="auto"/>
              <w:right w:val="single" w:sz="4" w:space="0" w:color="auto"/>
            </w:tcBorders>
            <w:shd w:val="clear" w:color="auto" w:fill="auto"/>
            <w:noWrap/>
            <w:vAlign w:val="center"/>
            <w:hideMark/>
          </w:tcPr>
          <w:p w14:paraId="5B4CA13B"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745</w:t>
            </w:r>
          </w:p>
        </w:tc>
        <w:tc>
          <w:tcPr>
            <w:tcW w:w="338" w:type="pct"/>
            <w:tcBorders>
              <w:top w:val="nil"/>
              <w:left w:val="nil"/>
              <w:bottom w:val="single" w:sz="4" w:space="0" w:color="auto"/>
              <w:right w:val="single" w:sz="4" w:space="0" w:color="auto"/>
            </w:tcBorders>
            <w:shd w:val="clear" w:color="auto" w:fill="auto"/>
            <w:vAlign w:val="center"/>
            <w:hideMark/>
          </w:tcPr>
          <w:p w14:paraId="25D242F4"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34</w:t>
            </w:r>
          </w:p>
        </w:tc>
        <w:tc>
          <w:tcPr>
            <w:tcW w:w="338" w:type="pct"/>
            <w:tcBorders>
              <w:top w:val="nil"/>
              <w:left w:val="nil"/>
              <w:bottom w:val="single" w:sz="4" w:space="0" w:color="auto"/>
              <w:right w:val="single" w:sz="4" w:space="0" w:color="auto"/>
            </w:tcBorders>
            <w:shd w:val="clear" w:color="auto" w:fill="auto"/>
            <w:vAlign w:val="center"/>
            <w:hideMark/>
          </w:tcPr>
          <w:p w14:paraId="0E5F6169"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93</w:t>
            </w:r>
          </w:p>
        </w:tc>
        <w:tc>
          <w:tcPr>
            <w:tcW w:w="306" w:type="pct"/>
            <w:tcBorders>
              <w:top w:val="nil"/>
              <w:left w:val="nil"/>
              <w:bottom w:val="single" w:sz="4" w:space="0" w:color="auto"/>
              <w:right w:val="single" w:sz="4" w:space="0" w:color="auto"/>
            </w:tcBorders>
            <w:shd w:val="clear" w:color="auto" w:fill="auto"/>
            <w:vAlign w:val="center"/>
            <w:hideMark/>
          </w:tcPr>
          <w:p w14:paraId="7C28B9A8"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3</w:t>
            </w:r>
          </w:p>
        </w:tc>
        <w:tc>
          <w:tcPr>
            <w:tcW w:w="333" w:type="pct"/>
            <w:tcBorders>
              <w:top w:val="nil"/>
              <w:left w:val="nil"/>
              <w:bottom w:val="single" w:sz="4" w:space="0" w:color="auto"/>
              <w:right w:val="single" w:sz="4" w:space="0" w:color="auto"/>
            </w:tcBorders>
            <w:shd w:val="clear" w:color="auto" w:fill="auto"/>
            <w:vAlign w:val="center"/>
            <w:hideMark/>
          </w:tcPr>
          <w:p w14:paraId="41674AEE"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3</w:t>
            </w:r>
          </w:p>
        </w:tc>
        <w:tc>
          <w:tcPr>
            <w:tcW w:w="280" w:type="pct"/>
            <w:tcBorders>
              <w:top w:val="nil"/>
              <w:left w:val="nil"/>
              <w:bottom w:val="single" w:sz="4" w:space="0" w:color="auto"/>
              <w:right w:val="single" w:sz="4" w:space="0" w:color="auto"/>
            </w:tcBorders>
            <w:shd w:val="clear" w:color="auto" w:fill="auto"/>
            <w:vAlign w:val="center"/>
            <w:hideMark/>
          </w:tcPr>
          <w:p w14:paraId="32B271B1"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w:t>
            </w:r>
          </w:p>
        </w:tc>
        <w:tc>
          <w:tcPr>
            <w:tcW w:w="280" w:type="pct"/>
            <w:tcBorders>
              <w:top w:val="nil"/>
              <w:left w:val="nil"/>
              <w:bottom w:val="single" w:sz="4" w:space="0" w:color="auto"/>
              <w:right w:val="single" w:sz="4" w:space="0" w:color="auto"/>
            </w:tcBorders>
            <w:shd w:val="clear" w:color="auto" w:fill="auto"/>
            <w:vAlign w:val="center"/>
            <w:hideMark/>
          </w:tcPr>
          <w:p w14:paraId="02C055FE"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0</w:t>
            </w:r>
          </w:p>
        </w:tc>
        <w:tc>
          <w:tcPr>
            <w:tcW w:w="734" w:type="pct"/>
            <w:tcBorders>
              <w:top w:val="nil"/>
              <w:left w:val="nil"/>
              <w:bottom w:val="single" w:sz="4" w:space="0" w:color="auto"/>
              <w:right w:val="single" w:sz="4" w:space="0" w:color="auto"/>
            </w:tcBorders>
            <w:shd w:val="clear" w:color="auto" w:fill="auto"/>
            <w:noWrap/>
            <w:vAlign w:val="center"/>
            <w:hideMark/>
          </w:tcPr>
          <w:p w14:paraId="27AF97B7"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104,49</w:t>
            </w:r>
          </w:p>
        </w:tc>
      </w:tr>
      <w:tr w:rsidR="0085321D" w:rsidRPr="007F78CE" w14:paraId="0874DFE0" w14:textId="77777777" w:rsidTr="0085321D">
        <w:trPr>
          <w:trHeight w:val="300"/>
          <w:jc w:val="center"/>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62C2C5A6" w14:textId="77777777" w:rsidR="0085321D" w:rsidRPr="0085321D" w:rsidRDefault="0085321D" w:rsidP="0085321D">
            <w:pPr>
              <w:spacing w:after="0" w:line="240" w:lineRule="auto"/>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Atsinanana</w:t>
            </w:r>
          </w:p>
        </w:tc>
        <w:tc>
          <w:tcPr>
            <w:tcW w:w="402" w:type="pct"/>
            <w:tcBorders>
              <w:top w:val="nil"/>
              <w:left w:val="nil"/>
              <w:bottom w:val="single" w:sz="4" w:space="0" w:color="auto"/>
              <w:right w:val="single" w:sz="4" w:space="0" w:color="auto"/>
            </w:tcBorders>
            <w:shd w:val="clear" w:color="auto" w:fill="auto"/>
            <w:noWrap/>
            <w:vAlign w:val="center"/>
            <w:hideMark/>
          </w:tcPr>
          <w:p w14:paraId="6525685D"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7</w:t>
            </w:r>
          </w:p>
        </w:tc>
        <w:tc>
          <w:tcPr>
            <w:tcW w:w="538" w:type="pct"/>
            <w:tcBorders>
              <w:top w:val="nil"/>
              <w:left w:val="nil"/>
              <w:bottom w:val="single" w:sz="4" w:space="0" w:color="auto"/>
              <w:right w:val="single" w:sz="4" w:space="0" w:color="auto"/>
            </w:tcBorders>
            <w:shd w:val="clear" w:color="auto" w:fill="auto"/>
            <w:noWrap/>
            <w:vAlign w:val="center"/>
            <w:hideMark/>
          </w:tcPr>
          <w:p w14:paraId="6721A9AD"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89</w:t>
            </w:r>
          </w:p>
        </w:tc>
        <w:tc>
          <w:tcPr>
            <w:tcW w:w="554" w:type="pct"/>
            <w:tcBorders>
              <w:top w:val="nil"/>
              <w:left w:val="nil"/>
              <w:bottom w:val="single" w:sz="4" w:space="0" w:color="auto"/>
              <w:right w:val="single" w:sz="4" w:space="0" w:color="auto"/>
            </w:tcBorders>
            <w:shd w:val="clear" w:color="auto" w:fill="auto"/>
            <w:noWrap/>
            <w:vAlign w:val="center"/>
            <w:hideMark/>
          </w:tcPr>
          <w:p w14:paraId="11772F49"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1075</w:t>
            </w:r>
          </w:p>
        </w:tc>
        <w:tc>
          <w:tcPr>
            <w:tcW w:w="338" w:type="pct"/>
            <w:tcBorders>
              <w:top w:val="nil"/>
              <w:left w:val="nil"/>
              <w:bottom w:val="single" w:sz="4" w:space="0" w:color="auto"/>
              <w:right w:val="single" w:sz="4" w:space="0" w:color="auto"/>
            </w:tcBorders>
            <w:shd w:val="clear" w:color="auto" w:fill="auto"/>
            <w:vAlign w:val="center"/>
            <w:hideMark/>
          </w:tcPr>
          <w:p w14:paraId="245DCA67"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86</w:t>
            </w:r>
          </w:p>
        </w:tc>
        <w:tc>
          <w:tcPr>
            <w:tcW w:w="338" w:type="pct"/>
            <w:tcBorders>
              <w:top w:val="nil"/>
              <w:left w:val="nil"/>
              <w:bottom w:val="single" w:sz="4" w:space="0" w:color="auto"/>
              <w:right w:val="single" w:sz="4" w:space="0" w:color="auto"/>
            </w:tcBorders>
            <w:shd w:val="clear" w:color="auto" w:fill="auto"/>
            <w:vAlign w:val="center"/>
            <w:hideMark/>
          </w:tcPr>
          <w:p w14:paraId="3D2AA4D0"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111</w:t>
            </w:r>
          </w:p>
        </w:tc>
        <w:tc>
          <w:tcPr>
            <w:tcW w:w="306" w:type="pct"/>
            <w:tcBorders>
              <w:top w:val="nil"/>
              <w:left w:val="nil"/>
              <w:bottom w:val="single" w:sz="4" w:space="0" w:color="auto"/>
              <w:right w:val="single" w:sz="4" w:space="0" w:color="auto"/>
            </w:tcBorders>
            <w:shd w:val="clear" w:color="auto" w:fill="auto"/>
            <w:vAlign w:val="center"/>
            <w:hideMark/>
          </w:tcPr>
          <w:p w14:paraId="28019FC6"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2</w:t>
            </w:r>
          </w:p>
        </w:tc>
        <w:tc>
          <w:tcPr>
            <w:tcW w:w="333" w:type="pct"/>
            <w:tcBorders>
              <w:top w:val="nil"/>
              <w:left w:val="nil"/>
              <w:bottom w:val="single" w:sz="4" w:space="0" w:color="auto"/>
              <w:right w:val="single" w:sz="4" w:space="0" w:color="auto"/>
            </w:tcBorders>
            <w:shd w:val="clear" w:color="auto" w:fill="auto"/>
            <w:vAlign w:val="center"/>
            <w:hideMark/>
          </w:tcPr>
          <w:p w14:paraId="615B2B18"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6</w:t>
            </w:r>
          </w:p>
        </w:tc>
        <w:tc>
          <w:tcPr>
            <w:tcW w:w="280" w:type="pct"/>
            <w:tcBorders>
              <w:top w:val="nil"/>
              <w:left w:val="nil"/>
              <w:bottom w:val="single" w:sz="4" w:space="0" w:color="auto"/>
              <w:right w:val="single" w:sz="4" w:space="0" w:color="auto"/>
            </w:tcBorders>
            <w:shd w:val="clear" w:color="auto" w:fill="auto"/>
            <w:vAlign w:val="center"/>
            <w:hideMark/>
          </w:tcPr>
          <w:p w14:paraId="01913275"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0</w:t>
            </w:r>
          </w:p>
        </w:tc>
        <w:tc>
          <w:tcPr>
            <w:tcW w:w="280" w:type="pct"/>
            <w:tcBorders>
              <w:top w:val="nil"/>
              <w:left w:val="nil"/>
              <w:bottom w:val="single" w:sz="4" w:space="0" w:color="auto"/>
              <w:right w:val="single" w:sz="4" w:space="0" w:color="auto"/>
            </w:tcBorders>
            <w:shd w:val="clear" w:color="auto" w:fill="auto"/>
            <w:vAlign w:val="center"/>
            <w:hideMark/>
          </w:tcPr>
          <w:p w14:paraId="3A4953D9"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w:t>
            </w:r>
          </w:p>
        </w:tc>
        <w:tc>
          <w:tcPr>
            <w:tcW w:w="734" w:type="pct"/>
            <w:tcBorders>
              <w:top w:val="nil"/>
              <w:left w:val="nil"/>
              <w:bottom w:val="single" w:sz="4" w:space="0" w:color="auto"/>
              <w:right w:val="single" w:sz="4" w:space="0" w:color="auto"/>
            </w:tcBorders>
            <w:shd w:val="clear" w:color="auto" w:fill="auto"/>
            <w:noWrap/>
            <w:vAlign w:val="center"/>
            <w:hideMark/>
          </w:tcPr>
          <w:p w14:paraId="2A227F28"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124,72</w:t>
            </w:r>
          </w:p>
        </w:tc>
      </w:tr>
      <w:tr w:rsidR="0085321D" w:rsidRPr="007F78CE" w14:paraId="27EC820E" w14:textId="77777777" w:rsidTr="0085321D">
        <w:trPr>
          <w:trHeight w:val="300"/>
          <w:jc w:val="center"/>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06BD4CA6" w14:textId="77777777" w:rsidR="0085321D" w:rsidRPr="0085321D" w:rsidRDefault="0085321D" w:rsidP="0085321D">
            <w:pPr>
              <w:spacing w:after="0" w:line="240" w:lineRule="auto"/>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Betsiboka</w:t>
            </w:r>
          </w:p>
        </w:tc>
        <w:tc>
          <w:tcPr>
            <w:tcW w:w="402" w:type="pct"/>
            <w:tcBorders>
              <w:top w:val="nil"/>
              <w:left w:val="nil"/>
              <w:bottom w:val="single" w:sz="4" w:space="0" w:color="auto"/>
              <w:right w:val="single" w:sz="4" w:space="0" w:color="auto"/>
            </w:tcBorders>
            <w:shd w:val="clear" w:color="auto" w:fill="auto"/>
            <w:noWrap/>
            <w:vAlign w:val="center"/>
            <w:hideMark/>
          </w:tcPr>
          <w:p w14:paraId="27323F98"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3</w:t>
            </w:r>
          </w:p>
        </w:tc>
        <w:tc>
          <w:tcPr>
            <w:tcW w:w="538" w:type="pct"/>
            <w:tcBorders>
              <w:top w:val="nil"/>
              <w:left w:val="nil"/>
              <w:bottom w:val="single" w:sz="4" w:space="0" w:color="auto"/>
              <w:right w:val="single" w:sz="4" w:space="0" w:color="auto"/>
            </w:tcBorders>
            <w:shd w:val="clear" w:color="auto" w:fill="auto"/>
            <w:noWrap/>
            <w:vAlign w:val="center"/>
            <w:hideMark/>
          </w:tcPr>
          <w:p w14:paraId="4DBE620A"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35</w:t>
            </w:r>
          </w:p>
        </w:tc>
        <w:tc>
          <w:tcPr>
            <w:tcW w:w="554" w:type="pct"/>
            <w:tcBorders>
              <w:top w:val="nil"/>
              <w:left w:val="nil"/>
              <w:bottom w:val="single" w:sz="4" w:space="0" w:color="auto"/>
              <w:right w:val="single" w:sz="4" w:space="0" w:color="auto"/>
            </w:tcBorders>
            <w:shd w:val="clear" w:color="auto" w:fill="auto"/>
            <w:noWrap/>
            <w:vAlign w:val="center"/>
            <w:hideMark/>
          </w:tcPr>
          <w:p w14:paraId="1BC3FFD6"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370</w:t>
            </w:r>
          </w:p>
        </w:tc>
        <w:tc>
          <w:tcPr>
            <w:tcW w:w="338" w:type="pct"/>
            <w:tcBorders>
              <w:top w:val="nil"/>
              <w:left w:val="nil"/>
              <w:bottom w:val="single" w:sz="4" w:space="0" w:color="auto"/>
              <w:right w:val="single" w:sz="4" w:space="0" w:color="auto"/>
            </w:tcBorders>
            <w:shd w:val="clear" w:color="auto" w:fill="auto"/>
            <w:vAlign w:val="center"/>
            <w:hideMark/>
          </w:tcPr>
          <w:p w14:paraId="493A854A"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20</w:t>
            </w:r>
          </w:p>
        </w:tc>
        <w:tc>
          <w:tcPr>
            <w:tcW w:w="338" w:type="pct"/>
            <w:tcBorders>
              <w:top w:val="nil"/>
              <w:left w:val="nil"/>
              <w:bottom w:val="single" w:sz="4" w:space="0" w:color="auto"/>
              <w:right w:val="single" w:sz="4" w:space="0" w:color="auto"/>
            </w:tcBorders>
            <w:shd w:val="clear" w:color="auto" w:fill="auto"/>
            <w:vAlign w:val="center"/>
            <w:hideMark/>
          </w:tcPr>
          <w:p w14:paraId="65184BD6"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35</w:t>
            </w:r>
          </w:p>
        </w:tc>
        <w:tc>
          <w:tcPr>
            <w:tcW w:w="306" w:type="pct"/>
            <w:tcBorders>
              <w:top w:val="nil"/>
              <w:left w:val="nil"/>
              <w:bottom w:val="single" w:sz="4" w:space="0" w:color="auto"/>
              <w:right w:val="single" w:sz="4" w:space="0" w:color="auto"/>
            </w:tcBorders>
            <w:shd w:val="clear" w:color="auto" w:fill="auto"/>
            <w:vAlign w:val="center"/>
            <w:hideMark/>
          </w:tcPr>
          <w:p w14:paraId="7022366B"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w:t>
            </w:r>
          </w:p>
        </w:tc>
        <w:tc>
          <w:tcPr>
            <w:tcW w:w="333" w:type="pct"/>
            <w:tcBorders>
              <w:top w:val="nil"/>
              <w:left w:val="nil"/>
              <w:bottom w:val="single" w:sz="4" w:space="0" w:color="auto"/>
              <w:right w:val="single" w:sz="4" w:space="0" w:color="auto"/>
            </w:tcBorders>
            <w:shd w:val="clear" w:color="auto" w:fill="auto"/>
            <w:vAlign w:val="center"/>
            <w:hideMark/>
          </w:tcPr>
          <w:p w14:paraId="6B8E935D"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w:t>
            </w:r>
          </w:p>
        </w:tc>
        <w:tc>
          <w:tcPr>
            <w:tcW w:w="280" w:type="pct"/>
            <w:tcBorders>
              <w:top w:val="nil"/>
              <w:left w:val="nil"/>
              <w:bottom w:val="single" w:sz="4" w:space="0" w:color="auto"/>
              <w:right w:val="single" w:sz="4" w:space="0" w:color="auto"/>
            </w:tcBorders>
            <w:shd w:val="clear" w:color="auto" w:fill="auto"/>
            <w:vAlign w:val="center"/>
            <w:hideMark/>
          </w:tcPr>
          <w:p w14:paraId="57B85796"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w:t>
            </w:r>
          </w:p>
        </w:tc>
        <w:tc>
          <w:tcPr>
            <w:tcW w:w="280" w:type="pct"/>
            <w:tcBorders>
              <w:top w:val="nil"/>
              <w:left w:val="nil"/>
              <w:bottom w:val="single" w:sz="4" w:space="0" w:color="auto"/>
              <w:right w:val="single" w:sz="4" w:space="0" w:color="auto"/>
            </w:tcBorders>
            <w:shd w:val="clear" w:color="auto" w:fill="auto"/>
            <w:vAlign w:val="center"/>
            <w:hideMark/>
          </w:tcPr>
          <w:p w14:paraId="5604F89F"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0</w:t>
            </w:r>
          </w:p>
        </w:tc>
        <w:tc>
          <w:tcPr>
            <w:tcW w:w="734" w:type="pct"/>
            <w:tcBorders>
              <w:top w:val="nil"/>
              <w:left w:val="nil"/>
              <w:bottom w:val="single" w:sz="4" w:space="0" w:color="auto"/>
              <w:right w:val="single" w:sz="4" w:space="0" w:color="auto"/>
            </w:tcBorders>
            <w:shd w:val="clear" w:color="auto" w:fill="auto"/>
            <w:noWrap/>
            <w:vAlign w:val="center"/>
            <w:hideMark/>
          </w:tcPr>
          <w:p w14:paraId="17C2D184"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100,00</w:t>
            </w:r>
          </w:p>
        </w:tc>
      </w:tr>
      <w:tr w:rsidR="0085321D" w:rsidRPr="007F78CE" w14:paraId="3EF2EEFC" w14:textId="77777777" w:rsidTr="0085321D">
        <w:trPr>
          <w:trHeight w:val="300"/>
          <w:jc w:val="center"/>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37462967" w14:textId="77777777" w:rsidR="0085321D" w:rsidRPr="0085321D" w:rsidRDefault="0085321D" w:rsidP="0085321D">
            <w:pPr>
              <w:spacing w:after="0" w:line="240" w:lineRule="auto"/>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Boeny</w:t>
            </w:r>
          </w:p>
        </w:tc>
        <w:tc>
          <w:tcPr>
            <w:tcW w:w="402" w:type="pct"/>
            <w:tcBorders>
              <w:top w:val="nil"/>
              <w:left w:val="nil"/>
              <w:bottom w:val="single" w:sz="4" w:space="0" w:color="auto"/>
              <w:right w:val="single" w:sz="4" w:space="0" w:color="auto"/>
            </w:tcBorders>
            <w:shd w:val="clear" w:color="auto" w:fill="auto"/>
            <w:noWrap/>
            <w:vAlign w:val="center"/>
            <w:hideMark/>
          </w:tcPr>
          <w:p w14:paraId="19AF37DA"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6</w:t>
            </w:r>
          </w:p>
        </w:tc>
        <w:tc>
          <w:tcPr>
            <w:tcW w:w="538" w:type="pct"/>
            <w:tcBorders>
              <w:top w:val="nil"/>
              <w:left w:val="nil"/>
              <w:bottom w:val="single" w:sz="4" w:space="0" w:color="auto"/>
              <w:right w:val="single" w:sz="4" w:space="0" w:color="auto"/>
            </w:tcBorders>
            <w:shd w:val="clear" w:color="auto" w:fill="auto"/>
            <w:noWrap/>
            <w:vAlign w:val="center"/>
            <w:hideMark/>
          </w:tcPr>
          <w:p w14:paraId="71FE5B18"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45</w:t>
            </w:r>
          </w:p>
        </w:tc>
        <w:tc>
          <w:tcPr>
            <w:tcW w:w="554" w:type="pct"/>
            <w:tcBorders>
              <w:top w:val="nil"/>
              <w:left w:val="nil"/>
              <w:bottom w:val="single" w:sz="4" w:space="0" w:color="auto"/>
              <w:right w:val="single" w:sz="4" w:space="0" w:color="auto"/>
            </w:tcBorders>
            <w:shd w:val="clear" w:color="auto" w:fill="auto"/>
            <w:noWrap/>
            <w:vAlign w:val="center"/>
            <w:hideMark/>
          </w:tcPr>
          <w:p w14:paraId="45F98AB3"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489</w:t>
            </w:r>
          </w:p>
        </w:tc>
        <w:tc>
          <w:tcPr>
            <w:tcW w:w="338" w:type="pct"/>
            <w:tcBorders>
              <w:top w:val="nil"/>
              <w:left w:val="nil"/>
              <w:bottom w:val="single" w:sz="4" w:space="0" w:color="auto"/>
              <w:right w:val="single" w:sz="4" w:space="0" w:color="auto"/>
            </w:tcBorders>
            <w:shd w:val="clear" w:color="auto" w:fill="auto"/>
            <w:vAlign w:val="center"/>
            <w:hideMark/>
          </w:tcPr>
          <w:p w14:paraId="114ACCEC"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47</w:t>
            </w:r>
          </w:p>
        </w:tc>
        <w:tc>
          <w:tcPr>
            <w:tcW w:w="338" w:type="pct"/>
            <w:tcBorders>
              <w:top w:val="nil"/>
              <w:left w:val="nil"/>
              <w:bottom w:val="single" w:sz="4" w:space="0" w:color="auto"/>
              <w:right w:val="single" w:sz="4" w:space="0" w:color="auto"/>
            </w:tcBorders>
            <w:shd w:val="clear" w:color="auto" w:fill="auto"/>
            <w:vAlign w:val="center"/>
            <w:hideMark/>
          </w:tcPr>
          <w:p w14:paraId="7DA42FAE"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77</w:t>
            </w:r>
          </w:p>
        </w:tc>
        <w:tc>
          <w:tcPr>
            <w:tcW w:w="306" w:type="pct"/>
            <w:tcBorders>
              <w:top w:val="nil"/>
              <w:left w:val="nil"/>
              <w:bottom w:val="single" w:sz="4" w:space="0" w:color="auto"/>
              <w:right w:val="single" w:sz="4" w:space="0" w:color="auto"/>
            </w:tcBorders>
            <w:shd w:val="clear" w:color="auto" w:fill="auto"/>
            <w:vAlign w:val="center"/>
            <w:hideMark/>
          </w:tcPr>
          <w:p w14:paraId="1EC61E06"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3</w:t>
            </w:r>
          </w:p>
        </w:tc>
        <w:tc>
          <w:tcPr>
            <w:tcW w:w="333" w:type="pct"/>
            <w:tcBorders>
              <w:top w:val="nil"/>
              <w:left w:val="nil"/>
              <w:bottom w:val="single" w:sz="4" w:space="0" w:color="auto"/>
              <w:right w:val="single" w:sz="4" w:space="0" w:color="auto"/>
            </w:tcBorders>
            <w:shd w:val="clear" w:color="auto" w:fill="auto"/>
            <w:vAlign w:val="center"/>
            <w:hideMark/>
          </w:tcPr>
          <w:p w14:paraId="317A90BE"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8</w:t>
            </w:r>
          </w:p>
        </w:tc>
        <w:tc>
          <w:tcPr>
            <w:tcW w:w="280" w:type="pct"/>
            <w:tcBorders>
              <w:top w:val="nil"/>
              <w:left w:val="nil"/>
              <w:bottom w:val="single" w:sz="4" w:space="0" w:color="auto"/>
              <w:right w:val="single" w:sz="4" w:space="0" w:color="auto"/>
            </w:tcBorders>
            <w:shd w:val="clear" w:color="auto" w:fill="auto"/>
            <w:vAlign w:val="center"/>
            <w:hideMark/>
          </w:tcPr>
          <w:p w14:paraId="460F8437"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0</w:t>
            </w:r>
          </w:p>
        </w:tc>
        <w:tc>
          <w:tcPr>
            <w:tcW w:w="280" w:type="pct"/>
            <w:tcBorders>
              <w:top w:val="nil"/>
              <w:left w:val="nil"/>
              <w:bottom w:val="single" w:sz="4" w:space="0" w:color="auto"/>
              <w:right w:val="single" w:sz="4" w:space="0" w:color="auto"/>
            </w:tcBorders>
            <w:shd w:val="clear" w:color="auto" w:fill="auto"/>
            <w:vAlign w:val="center"/>
            <w:hideMark/>
          </w:tcPr>
          <w:p w14:paraId="5C501EDA"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2</w:t>
            </w:r>
          </w:p>
        </w:tc>
        <w:tc>
          <w:tcPr>
            <w:tcW w:w="734" w:type="pct"/>
            <w:tcBorders>
              <w:top w:val="nil"/>
              <w:left w:val="nil"/>
              <w:bottom w:val="single" w:sz="4" w:space="0" w:color="auto"/>
              <w:right w:val="single" w:sz="4" w:space="0" w:color="auto"/>
            </w:tcBorders>
            <w:shd w:val="clear" w:color="auto" w:fill="auto"/>
            <w:noWrap/>
            <w:vAlign w:val="center"/>
            <w:hideMark/>
          </w:tcPr>
          <w:p w14:paraId="08BC681E"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171,11</w:t>
            </w:r>
          </w:p>
        </w:tc>
      </w:tr>
      <w:tr w:rsidR="0085321D" w:rsidRPr="007F78CE" w14:paraId="0C5FC1BD" w14:textId="77777777" w:rsidTr="0085321D">
        <w:trPr>
          <w:trHeight w:val="300"/>
          <w:jc w:val="center"/>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08C71A35" w14:textId="77777777" w:rsidR="0085321D" w:rsidRPr="0085321D" w:rsidRDefault="0085321D" w:rsidP="0085321D">
            <w:pPr>
              <w:spacing w:after="0" w:line="240" w:lineRule="auto"/>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Bongolava</w:t>
            </w:r>
          </w:p>
        </w:tc>
        <w:tc>
          <w:tcPr>
            <w:tcW w:w="402" w:type="pct"/>
            <w:tcBorders>
              <w:top w:val="nil"/>
              <w:left w:val="nil"/>
              <w:bottom w:val="single" w:sz="4" w:space="0" w:color="auto"/>
              <w:right w:val="single" w:sz="4" w:space="0" w:color="auto"/>
            </w:tcBorders>
            <w:shd w:val="clear" w:color="auto" w:fill="auto"/>
            <w:noWrap/>
            <w:vAlign w:val="center"/>
            <w:hideMark/>
          </w:tcPr>
          <w:p w14:paraId="594522DE"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2</w:t>
            </w:r>
          </w:p>
        </w:tc>
        <w:tc>
          <w:tcPr>
            <w:tcW w:w="538" w:type="pct"/>
            <w:tcBorders>
              <w:top w:val="nil"/>
              <w:left w:val="nil"/>
              <w:bottom w:val="single" w:sz="4" w:space="0" w:color="auto"/>
              <w:right w:val="single" w:sz="4" w:space="0" w:color="auto"/>
            </w:tcBorders>
            <w:shd w:val="clear" w:color="auto" w:fill="auto"/>
            <w:noWrap/>
            <w:vAlign w:val="center"/>
            <w:hideMark/>
          </w:tcPr>
          <w:p w14:paraId="4C5780A7"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26</w:t>
            </w:r>
          </w:p>
        </w:tc>
        <w:tc>
          <w:tcPr>
            <w:tcW w:w="554" w:type="pct"/>
            <w:tcBorders>
              <w:top w:val="nil"/>
              <w:left w:val="nil"/>
              <w:bottom w:val="single" w:sz="4" w:space="0" w:color="auto"/>
              <w:right w:val="single" w:sz="4" w:space="0" w:color="auto"/>
            </w:tcBorders>
            <w:shd w:val="clear" w:color="auto" w:fill="auto"/>
            <w:noWrap/>
            <w:vAlign w:val="center"/>
            <w:hideMark/>
          </w:tcPr>
          <w:p w14:paraId="53EF76FC"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315</w:t>
            </w:r>
          </w:p>
        </w:tc>
        <w:tc>
          <w:tcPr>
            <w:tcW w:w="338" w:type="pct"/>
            <w:tcBorders>
              <w:top w:val="nil"/>
              <w:left w:val="nil"/>
              <w:bottom w:val="single" w:sz="4" w:space="0" w:color="auto"/>
              <w:right w:val="single" w:sz="4" w:space="0" w:color="auto"/>
            </w:tcBorders>
            <w:shd w:val="clear" w:color="auto" w:fill="auto"/>
            <w:vAlign w:val="center"/>
            <w:hideMark/>
          </w:tcPr>
          <w:p w14:paraId="24B4861A"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15</w:t>
            </w:r>
          </w:p>
        </w:tc>
        <w:tc>
          <w:tcPr>
            <w:tcW w:w="338" w:type="pct"/>
            <w:tcBorders>
              <w:top w:val="nil"/>
              <w:left w:val="nil"/>
              <w:bottom w:val="single" w:sz="4" w:space="0" w:color="auto"/>
              <w:right w:val="single" w:sz="4" w:space="0" w:color="auto"/>
            </w:tcBorders>
            <w:shd w:val="clear" w:color="auto" w:fill="auto"/>
            <w:vAlign w:val="center"/>
            <w:hideMark/>
          </w:tcPr>
          <w:p w14:paraId="3C896425"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31</w:t>
            </w:r>
          </w:p>
        </w:tc>
        <w:tc>
          <w:tcPr>
            <w:tcW w:w="306" w:type="pct"/>
            <w:tcBorders>
              <w:top w:val="nil"/>
              <w:left w:val="nil"/>
              <w:bottom w:val="single" w:sz="4" w:space="0" w:color="auto"/>
              <w:right w:val="single" w:sz="4" w:space="0" w:color="auto"/>
            </w:tcBorders>
            <w:shd w:val="clear" w:color="auto" w:fill="auto"/>
            <w:vAlign w:val="center"/>
            <w:hideMark/>
          </w:tcPr>
          <w:p w14:paraId="7DD3AAF7"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0</w:t>
            </w:r>
          </w:p>
        </w:tc>
        <w:tc>
          <w:tcPr>
            <w:tcW w:w="333" w:type="pct"/>
            <w:tcBorders>
              <w:top w:val="nil"/>
              <w:left w:val="nil"/>
              <w:bottom w:val="single" w:sz="4" w:space="0" w:color="auto"/>
              <w:right w:val="single" w:sz="4" w:space="0" w:color="auto"/>
            </w:tcBorders>
            <w:shd w:val="clear" w:color="auto" w:fill="auto"/>
            <w:vAlign w:val="center"/>
            <w:hideMark/>
          </w:tcPr>
          <w:p w14:paraId="3C52C988"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w:t>
            </w:r>
          </w:p>
        </w:tc>
        <w:tc>
          <w:tcPr>
            <w:tcW w:w="280" w:type="pct"/>
            <w:tcBorders>
              <w:top w:val="nil"/>
              <w:left w:val="nil"/>
              <w:bottom w:val="single" w:sz="4" w:space="0" w:color="auto"/>
              <w:right w:val="single" w:sz="4" w:space="0" w:color="auto"/>
            </w:tcBorders>
            <w:shd w:val="clear" w:color="auto" w:fill="auto"/>
            <w:vAlign w:val="center"/>
            <w:hideMark/>
          </w:tcPr>
          <w:p w14:paraId="4F0A2D5D"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w:t>
            </w:r>
          </w:p>
        </w:tc>
        <w:tc>
          <w:tcPr>
            <w:tcW w:w="280" w:type="pct"/>
            <w:tcBorders>
              <w:top w:val="nil"/>
              <w:left w:val="nil"/>
              <w:bottom w:val="single" w:sz="4" w:space="0" w:color="auto"/>
              <w:right w:val="single" w:sz="4" w:space="0" w:color="auto"/>
            </w:tcBorders>
            <w:shd w:val="clear" w:color="auto" w:fill="auto"/>
            <w:vAlign w:val="center"/>
            <w:hideMark/>
          </w:tcPr>
          <w:p w14:paraId="547B2326"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0</w:t>
            </w:r>
          </w:p>
        </w:tc>
        <w:tc>
          <w:tcPr>
            <w:tcW w:w="734" w:type="pct"/>
            <w:tcBorders>
              <w:top w:val="nil"/>
              <w:left w:val="nil"/>
              <w:bottom w:val="single" w:sz="4" w:space="0" w:color="auto"/>
              <w:right w:val="single" w:sz="4" w:space="0" w:color="auto"/>
            </w:tcBorders>
            <w:shd w:val="clear" w:color="auto" w:fill="auto"/>
            <w:noWrap/>
            <w:vAlign w:val="center"/>
            <w:hideMark/>
          </w:tcPr>
          <w:p w14:paraId="130044E5"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119,23</w:t>
            </w:r>
          </w:p>
        </w:tc>
      </w:tr>
      <w:tr w:rsidR="0085321D" w:rsidRPr="007F78CE" w14:paraId="48869AA7" w14:textId="77777777" w:rsidTr="0085321D">
        <w:trPr>
          <w:trHeight w:val="300"/>
          <w:jc w:val="center"/>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50981A25" w14:textId="77777777" w:rsidR="0085321D" w:rsidRPr="0085321D" w:rsidRDefault="0080792F" w:rsidP="0085321D">
            <w:pPr>
              <w:spacing w:after="0" w:line="240" w:lineRule="auto"/>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D</w:t>
            </w:r>
            <w:r>
              <w:rPr>
                <w:rFonts w:ascii="Arial" w:eastAsia="Times New Roman" w:hAnsi="Arial" w:cs="Arial"/>
                <w:color w:val="000000"/>
                <w:sz w:val="20"/>
                <w:szCs w:val="20"/>
                <w:lang w:eastAsia="fr-FR"/>
              </w:rPr>
              <w:t>IANA</w:t>
            </w:r>
          </w:p>
        </w:tc>
        <w:tc>
          <w:tcPr>
            <w:tcW w:w="402" w:type="pct"/>
            <w:tcBorders>
              <w:top w:val="nil"/>
              <w:left w:val="nil"/>
              <w:bottom w:val="single" w:sz="4" w:space="0" w:color="auto"/>
              <w:right w:val="single" w:sz="4" w:space="0" w:color="auto"/>
            </w:tcBorders>
            <w:shd w:val="clear" w:color="auto" w:fill="auto"/>
            <w:noWrap/>
            <w:vAlign w:val="center"/>
            <w:hideMark/>
          </w:tcPr>
          <w:p w14:paraId="762FD6E7"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5</w:t>
            </w:r>
          </w:p>
        </w:tc>
        <w:tc>
          <w:tcPr>
            <w:tcW w:w="538" w:type="pct"/>
            <w:tcBorders>
              <w:top w:val="nil"/>
              <w:left w:val="nil"/>
              <w:bottom w:val="single" w:sz="4" w:space="0" w:color="auto"/>
              <w:right w:val="single" w:sz="4" w:space="0" w:color="auto"/>
            </w:tcBorders>
            <w:shd w:val="clear" w:color="auto" w:fill="auto"/>
            <w:noWrap/>
            <w:vAlign w:val="center"/>
            <w:hideMark/>
          </w:tcPr>
          <w:p w14:paraId="2454577A"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65</w:t>
            </w:r>
          </w:p>
        </w:tc>
        <w:tc>
          <w:tcPr>
            <w:tcW w:w="554" w:type="pct"/>
            <w:tcBorders>
              <w:top w:val="nil"/>
              <w:left w:val="nil"/>
              <w:bottom w:val="single" w:sz="4" w:space="0" w:color="auto"/>
              <w:right w:val="single" w:sz="4" w:space="0" w:color="auto"/>
            </w:tcBorders>
            <w:shd w:val="clear" w:color="auto" w:fill="auto"/>
            <w:noWrap/>
            <w:vAlign w:val="center"/>
            <w:hideMark/>
          </w:tcPr>
          <w:p w14:paraId="52ACAB07"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526</w:t>
            </w:r>
          </w:p>
        </w:tc>
        <w:tc>
          <w:tcPr>
            <w:tcW w:w="338" w:type="pct"/>
            <w:tcBorders>
              <w:top w:val="nil"/>
              <w:left w:val="nil"/>
              <w:bottom w:val="single" w:sz="4" w:space="0" w:color="auto"/>
              <w:right w:val="single" w:sz="4" w:space="0" w:color="auto"/>
            </w:tcBorders>
            <w:shd w:val="clear" w:color="auto" w:fill="auto"/>
            <w:vAlign w:val="center"/>
            <w:hideMark/>
          </w:tcPr>
          <w:p w14:paraId="4529FEDD"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44</w:t>
            </w:r>
          </w:p>
        </w:tc>
        <w:tc>
          <w:tcPr>
            <w:tcW w:w="338" w:type="pct"/>
            <w:tcBorders>
              <w:top w:val="nil"/>
              <w:left w:val="nil"/>
              <w:bottom w:val="single" w:sz="4" w:space="0" w:color="auto"/>
              <w:right w:val="single" w:sz="4" w:space="0" w:color="auto"/>
            </w:tcBorders>
            <w:shd w:val="clear" w:color="auto" w:fill="auto"/>
            <w:vAlign w:val="center"/>
            <w:hideMark/>
          </w:tcPr>
          <w:p w14:paraId="77233D86"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83</w:t>
            </w:r>
          </w:p>
        </w:tc>
        <w:tc>
          <w:tcPr>
            <w:tcW w:w="306" w:type="pct"/>
            <w:tcBorders>
              <w:top w:val="nil"/>
              <w:left w:val="nil"/>
              <w:bottom w:val="single" w:sz="4" w:space="0" w:color="auto"/>
              <w:right w:val="single" w:sz="4" w:space="0" w:color="auto"/>
            </w:tcBorders>
            <w:shd w:val="clear" w:color="auto" w:fill="auto"/>
            <w:vAlign w:val="center"/>
            <w:hideMark/>
          </w:tcPr>
          <w:p w14:paraId="1DFC2455"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2</w:t>
            </w:r>
          </w:p>
        </w:tc>
        <w:tc>
          <w:tcPr>
            <w:tcW w:w="333" w:type="pct"/>
            <w:tcBorders>
              <w:top w:val="nil"/>
              <w:left w:val="nil"/>
              <w:bottom w:val="single" w:sz="4" w:space="0" w:color="auto"/>
              <w:right w:val="single" w:sz="4" w:space="0" w:color="auto"/>
            </w:tcBorders>
            <w:shd w:val="clear" w:color="auto" w:fill="auto"/>
            <w:vAlign w:val="center"/>
            <w:hideMark/>
          </w:tcPr>
          <w:p w14:paraId="6D0AA505"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3</w:t>
            </w:r>
          </w:p>
        </w:tc>
        <w:tc>
          <w:tcPr>
            <w:tcW w:w="280" w:type="pct"/>
            <w:tcBorders>
              <w:top w:val="nil"/>
              <w:left w:val="nil"/>
              <w:bottom w:val="single" w:sz="4" w:space="0" w:color="auto"/>
              <w:right w:val="single" w:sz="4" w:space="0" w:color="auto"/>
            </w:tcBorders>
            <w:shd w:val="clear" w:color="auto" w:fill="auto"/>
            <w:vAlign w:val="center"/>
            <w:hideMark/>
          </w:tcPr>
          <w:p w14:paraId="4C69B058"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0</w:t>
            </w:r>
          </w:p>
        </w:tc>
        <w:tc>
          <w:tcPr>
            <w:tcW w:w="280" w:type="pct"/>
            <w:tcBorders>
              <w:top w:val="nil"/>
              <w:left w:val="nil"/>
              <w:bottom w:val="single" w:sz="4" w:space="0" w:color="auto"/>
              <w:right w:val="single" w:sz="4" w:space="0" w:color="auto"/>
            </w:tcBorders>
            <w:shd w:val="clear" w:color="auto" w:fill="auto"/>
            <w:vAlign w:val="center"/>
            <w:hideMark/>
          </w:tcPr>
          <w:p w14:paraId="0D9EFFCE"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w:t>
            </w:r>
          </w:p>
        </w:tc>
        <w:tc>
          <w:tcPr>
            <w:tcW w:w="734" w:type="pct"/>
            <w:tcBorders>
              <w:top w:val="nil"/>
              <w:left w:val="nil"/>
              <w:bottom w:val="single" w:sz="4" w:space="0" w:color="auto"/>
              <w:right w:val="single" w:sz="4" w:space="0" w:color="auto"/>
            </w:tcBorders>
            <w:shd w:val="clear" w:color="auto" w:fill="auto"/>
            <w:noWrap/>
            <w:vAlign w:val="center"/>
            <w:hideMark/>
          </w:tcPr>
          <w:p w14:paraId="27C84187"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127,69</w:t>
            </w:r>
          </w:p>
        </w:tc>
      </w:tr>
      <w:tr w:rsidR="0085321D" w:rsidRPr="007F78CE" w14:paraId="6CBFB0F5" w14:textId="77777777" w:rsidTr="0085321D">
        <w:trPr>
          <w:trHeight w:val="300"/>
          <w:jc w:val="center"/>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6EE7E4DD" w14:textId="77777777" w:rsidR="0085321D" w:rsidRPr="0085321D" w:rsidRDefault="0085321D" w:rsidP="0085321D">
            <w:pPr>
              <w:spacing w:after="0" w:line="240" w:lineRule="auto"/>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Haute Matsiatra</w:t>
            </w:r>
          </w:p>
        </w:tc>
        <w:tc>
          <w:tcPr>
            <w:tcW w:w="402" w:type="pct"/>
            <w:tcBorders>
              <w:top w:val="nil"/>
              <w:left w:val="nil"/>
              <w:bottom w:val="single" w:sz="4" w:space="0" w:color="auto"/>
              <w:right w:val="single" w:sz="4" w:space="0" w:color="auto"/>
            </w:tcBorders>
            <w:shd w:val="clear" w:color="auto" w:fill="auto"/>
            <w:noWrap/>
            <w:vAlign w:val="center"/>
            <w:hideMark/>
          </w:tcPr>
          <w:p w14:paraId="5143D736"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7</w:t>
            </w:r>
          </w:p>
        </w:tc>
        <w:tc>
          <w:tcPr>
            <w:tcW w:w="538" w:type="pct"/>
            <w:tcBorders>
              <w:top w:val="nil"/>
              <w:left w:val="nil"/>
              <w:bottom w:val="single" w:sz="4" w:space="0" w:color="auto"/>
              <w:right w:val="single" w:sz="4" w:space="0" w:color="auto"/>
            </w:tcBorders>
            <w:shd w:val="clear" w:color="auto" w:fill="auto"/>
            <w:noWrap/>
            <w:vAlign w:val="center"/>
            <w:hideMark/>
          </w:tcPr>
          <w:p w14:paraId="32A4263C"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88</w:t>
            </w:r>
          </w:p>
        </w:tc>
        <w:tc>
          <w:tcPr>
            <w:tcW w:w="554" w:type="pct"/>
            <w:tcBorders>
              <w:top w:val="nil"/>
              <w:left w:val="nil"/>
              <w:bottom w:val="single" w:sz="4" w:space="0" w:color="auto"/>
              <w:right w:val="single" w:sz="4" w:space="0" w:color="auto"/>
            </w:tcBorders>
            <w:shd w:val="clear" w:color="auto" w:fill="auto"/>
            <w:noWrap/>
            <w:vAlign w:val="center"/>
            <w:hideMark/>
          </w:tcPr>
          <w:p w14:paraId="5E5B89B0"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787</w:t>
            </w:r>
          </w:p>
        </w:tc>
        <w:tc>
          <w:tcPr>
            <w:tcW w:w="338" w:type="pct"/>
            <w:tcBorders>
              <w:top w:val="nil"/>
              <w:left w:val="nil"/>
              <w:bottom w:val="single" w:sz="4" w:space="0" w:color="auto"/>
              <w:right w:val="single" w:sz="4" w:space="0" w:color="auto"/>
            </w:tcBorders>
            <w:shd w:val="clear" w:color="auto" w:fill="auto"/>
            <w:vAlign w:val="center"/>
            <w:hideMark/>
          </w:tcPr>
          <w:p w14:paraId="78BE001F"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34</w:t>
            </w:r>
          </w:p>
        </w:tc>
        <w:tc>
          <w:tcPr>
            <w:tcW w:w="338" w:type="pct"/>
            <w:tcBorders>
              <w:top w:val="nil"/>
              <w:left w:val="nil"/>
              <w:bottom w:val="single" w:sz="4" w:space="0" w:color="auto"/>
              <w:right w:val="single" w:sz="4" w:space="0" w:color="auto"/>
            </w:tcBorders>
            <w:shd w:val="clear" w:color="auto" w:fill="auto"/>
            <w:vAlign w:val="center"/>
            <w:hideMark/>
          </w:tcPr>
          <w:p w14:paraId="2C17A7A3"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123</w:t>
            </w:r>
          </w:p>
        </w:tc>
        <w:tc>
          <w:tcPr>
            <w:tcW w:w="306" w:type="pct"/>
            <w:tcBorders>
              <w:top w:val="nil"/>
              <w:left w:val="nil"/>
              <w:bottom w:val="single" w:sz="4" w:space="0" w:color="auto"/>
              <w:right w:val="single" w:sz="4" w:space="0" w:color="auto"/>
            </w:tcBorders>
            <w:shd w:val="clear" w:color="auto" w:fill="auto"/>
            <w:vAlign w:val="center"/>
            <w:hideMark/>
          </w:tcPr>
          <w:p w14:paraId="2286F427"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3</w:t>
            </w:r>
          </w:p>
        </w:tc>
        <w:tc>
          <w:tcPr>
            <w:tcW w:w="333" w:type="pct"/>
            <w:tcBorders>
              <w:top w:val="nil"/>
              <w:left w:val="nil"/>
              <w:bottom w:val="single" w:sz="4" w:space="0" w:color="auto"/>
              <w:right w:val="single" w:sz="4" w:space="0" w:color="auto"/>
            </w:tcBorders>
            <w:shd w:val="clear" w:color="auto" w:fill="auto"/>
            <w:vAlign w:val="center"/>
            <w:hideMark/>
          </w:tcPr>
          <w:p w14:paraId="2E515123"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2</w:t>
            </w:r>
          </w:p>
        </w:tc>
        <w:tc>
          <w:tcPr>
            <w:tcW w:w="280" w:type="pct"/>
            <w:tcBorders>
              <w:top w:val="nil"/>
              <w:left w:val="nil"/>
              <w:bottom w:val="single" w:sz="4" w:space="0" w:color="auto"/>
              <w:right w:val="single" w:sz="4" w:space="0" w:color="auto"/>
            </w:tcBorders>
            <w:shd w:val="clear" w:color="auto" w:fill="auto"/>
            <w:vAlign w:val="center"/>
            <w:hideMark/>
          </w:tcPr>
          <w:p w14:paraId="00A284CF"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0</w:t>
            </w:r>
          </w:p>
        </w:tc>
        <w:tc>
          <w:tcPr>
            <w:tcW w:w="280" w:type="pct"/>
            <w:tcBorders>
              <w:top w:val="nil"/>
              <w:left w:val="nil"/>
              <w:bottom w:val="single" w:sz="4" w:space="0" w:color="auto"/>
              <w:right w:val="single" w:sz="4" w:space="0" w:color="auto"/>
            </w:tcBorders>
            <w:shd w:val="clear" w:color="auto" w:fill="auto"/>
            <w:vAlign w:val="center"/>
            <w:hideMark/>
          </w:tcPr>
          <w:p w14:paraId="75CDAB8C"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w:t>
            </w:r>
          </w:p>
        </w:tc>
        <w:tc>
          <w:tcPr>
            <w:tcW w:w="734" w:type="pct"/>
            <w:tcBorders>
              <w:top w:val="nil"/>
              <w:left w:val="nil"/>
              <w:bottom w:val="single" w:sz="4" w:space="0" w:color="auto"/>
              <w:right w:val="single" w:sz="4" w:space="0" w:color="auto"/>
            </w:tcBorders>
            <w:shd w:val="clear" w:color="auto" w:fill="auto"/>
            <w:noWrap/>
            <w:vAlign w:val="center"/>
            <w:hideMark/>
          </w:tcPr>
          <w:p w14:paraId="6E3B1C75"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139,77</w:t>
            </w:r>
          </w:p>
        </w:tc>
      </w:tr>
      <w:tr w:rsidR="0085321D" w:rsidRPr="007F78CE" w14:paraId="3D78E38B" w14:textId="77777777" w:rsidTr="0085321D">
        <w:trPr>
          <w:trHeight w:val="300"/>
          <w:jc w:val="center"/>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10F49BF8" w14:textId="77777777" w:rsidR="0085321D" w:rsidRPr="0085321D" w:rsidRDefault="0085321D" w:rsidP="0085321D">
            <w:pPr>
              <w:spacing w:after="0" w:line="240" w:lineRule="auto"/>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Ihorombe</w:t>
            </w:r>
          </w:p>
        </w:tc>
        <w:tc>
          <w:tcPr>
            <w:tcW w:w="402" w:type="pct"/>
            <w:tcBorders>
              <w:top w:val="nil"/>
              <w:left w:val="nil"/>
              <w:bottom w:val="single" w:sz="4" w:space="0" w:color="auto"/>
              <w:right w:val="single" w:sz="4" w:space="0" w:color="auto"/>
            </w:tcBorders>
            <w:shd w:val="clear" w:color="auto" w:fill="auto"/>
            <w:noWrap/>
            <w:vAlign w:val="center"/>
            <w:hideMark/>
          </w:tcPr>
          <w:p w14:paraId="13104167"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3</w:t>
            </w:r>
          </w:p>
        </w:tc>
        <w:tc>
          <w:tcPr>
            <w:tcW w:w="538" w:type="pct"/>
            <w:tcBorders>
              <w:top w:val="nil"/>
              <w:left w:val="nil"/>
              <w:bottom w:val="single" w:sz="4" w:space="0" w:color="auto"/>
              <w:right w:val="single" w:sz="4" w:space="0" w:color="auto"/>
            </w:tcBorders>
            <w:shd w:val="clear" w:color="auto" w:fill="auto"/>
            <w:noWrap/>
            <w:vAlign w:val="center"/>
            <w:hideMark/>
          </w:tcPr>
          <w:p w14:paraId="71A9CAC1"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29</w:t>
            </w:r>
          </w:p>
        </w:tc>
        <w:tc>
          <w:tcPr>
            <w:tcW w:w="554" w:type="pct"/>
            <w:tcBorders>
              <w:top w:val="nil"/>
              <w:left w:val="nil"/>
              <w:bottom w:val="single" w:sz="4" w:space="0" w:color="auto"/>
              <w:right w:val="single" w:sz="4" w:space="0" w:color="auto"/>
            </w:tcBorders>
            <w:shd w:val="clear" w:color="auto" w:fill="auto"/>
            <w:noWrap/>
            <w:vAlign w:val="center"/>
            <w:hideMark/>
          </w:tcPr>
          <w:p w14:paraId="19D4531D"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245</w:t>
            </w:r>
          </w:p>
        </w:tc>
        <w:tc>
          <w:tcPr>
            <w:tcW w:w="338" w:type="pct"/>
            <w:tcBorders>
              <w:top w:val="nil"/>
              <w:left w:val="nil"/>
              <w:bottom w:val="single" w:sz="4" w:space="0" w:color="auto"/>
              <w:right w:val="single" w:sz="4" w:space="0" w:color="auto"/>
            </w:tcBorders>
            <w:shd w:val="clear" w:color="auto" w:fill="auto"/>
            <w:vAlign w:val="center"/>
            <w:hideMark/>
          </w:tcPr>
          <w:p w14:paraId="018542E6"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18</w:t>
            </w:r>
          </w:p>
        </w:tc>
        <w:tc>
          <w:tcPr>
            <w:tcW w:w="338" w:type="pct"/>
            <w:tcBorders>
              <w:top w:val="nil"/>
              <w:left w:val="nil"/>
              <w:bottom w:val="single" w:sz="4" w:space="0" w:color="auto"/>
              <w:right w:val="single" w:sz="4" w:space="0" w:color="auto"/>
            </w:tcBorders>
            <w:shd w:val="clear" w:color="auto" w:fill="auto"/>
            <w:vAlign w:val="center"/>
            <w:hideMark/>
          </w:tcPr>
          <w:p w14:paraId="70643058"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29</w:t>
            </w:r>
          </w:p>
        </w:tc>
        <w:tc>
          <w:tcPr>
            <w:tcW w:w="306" w:type="pct"/>
            <w:tcBorders>
              <w:top w:val="nil"/>
              <w:left w:val="nil"/>
              <w:bottom w:val="single" w:sz="4" w:space="0" w:color="auto"/>
              <w:right w:val="single" w:sz="4" w:space="0" w:color="auto"/>
            </w:tcBorders>
            <w:shd w:val="clear" w:color="auto" w:fill="auto"/>
            <w:vAlign w:val="center"/>
            <w:hideMark/>
          </w:tcPr>
          <w:p w14:paraId="4E9F820D"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2</w:t>
            </w:r>
          </w:p>
        </w:tc>
        <w:tc>
          <w:tcPr>
            <w:tcW w:w="333" w:type="pct"/>
            <w:tcBorders>
              <w:top w:val="nil"/>
              <w:left w:val="nil"/>
              <w:bottom w:val="single" w:sz="4" w:space="0" w:color="auto"/>
              <w:right w:val="single" w:sz="4" w:space="0" w:color="auto"/>
            </w:tcBorders>
            <w:shd w:val="clear" w:color="auto" w:fill="auto"/>
            <w:vAlign w:val="center"/>
            <w:hideMark/>
          </w:tcPr>
          <w:p w14:paraId="584D0942"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w:t>
            </w:r>
          </w:p>
        </w:tc>
        <w:tc>
          <w:tcPr>
            <w:tcW w:w="280" w:type="pct"/>
            <w:tcBorders>
              <w:top w:val="nil"/>
              <w:left w:val="nil"/>
              <w:bottom w:val="single" w:sz="4" w:space="0" w:color="auto"/>
              <w:right w:val="single" w:sz="4" w:space="0" w:color="auto"/>
            </w:tcBorders>
            <w:shd w:val="clear" w:color="auto" w:fill="auto"/>
            <w:vAlign w:val="center"/>
            <w:hideMark/>
          </w:tcPr>
          <w:p w14:paraId="1E690F55"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w:t>
            </w:r>
          </w:p>
        </w:tc>
        <w:tc>
          <w:tcPr>
            <w:tcW w:w="280" w:type="pct"/>
            <w:tcBorders>
              <w:top w:val="nil"/>
              <w:left w:val="nil"/>
              <w:bottom w:val="single" w:sz="4" w:space="0" w:color="auto"/>
              <w:right w:val="single" w:sz="4" w:space="0" w:color="auto"/>
            </w:tcBorders>
            <w:shd w:val="clear" w:color="auto" w:fill="auto"/>
            <w:vAlign w:val="center"/>
            <w:hideMark/>
          </w:tcPr>
          <w:p w14:paraId="3F7DE800"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0</w:t>
            </w:r>
          </w:p>
        </w:tc>
        <w:tc>
          <w:tcPr>
            <w:tcW w:w="734" w:type="pct"/>
            <w:tcBorders>
              <w:top w:val="nil"/>
              <w:left w:val="nil"/>
              <w:bottom w:val="single" w:sz="4" w:space="0" w:color="auto"/>
              <w:right w:val="single" w:sz="4" w:space="0" w:color="auto"/>
            </w:tcBorders>
            <w:shd w:val="clear" w:color="auto" w:fill="auto"/>
            <w:noWrap/>
            <w:vAlign w:val="center"/>
            <w:hideMark/>
          </w:tcPr>
          <w:p w14:paraId="5C3A23B6"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100,00</w:t>
            </w:r>
          </w:p>
        </w:tc>
      </w:tr>
      <w:tr w:rsidR="0085321D" w:rsidRPr="007F78CE" w14:paraId="2AE8EA9C" w14:textId="77777777" w:rsidTr="0085321D">
        <w:trPr>
          <w:trHeight w:val="300"/>
          <w:jc w:val="center"/>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61BE30F3" w14:textId="77777777" w:rsidR="0085321D" w:rsidRPr="0085321D" w:rsidRDefault="0085321D" w:rsidP="0085321D">
            <w:pPr>
              <w:spacing w:after="0" w:line="240" w:lineRule="auto"/>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Itasy</w:t>
            </w:r>
          </w:p>
        </w:tc>
        <w:tc>
          <w:tcPr>
            <w:tcW w:w="402" w:type="pct"/>
            <w:tcBorders>
              <w:top w:val="nil"/>
              <w:left w:val="nil"/>
              <w:bottom w:val="single" w:sz="4" w:space="0" w:color="auto"/>
              <w:right w:val="single" w:sz="4" w:space="0" w:color="auto"/>
            </w:tcBorders>
            <w:shd w:val="clear" w:color="auto" w:fill="auto"/>
            <w:noWrap/>
            <w:vAlign w:val="center"/>
            <w:hideMark/>
          </w:tcPr>
          <w:p w14:paraId="5868B1DE"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3</w:t>
            </w:r>
          </w:p>
        </w:tc>
        <w:tc>
          <w:tcPr>
            <w:tcW w:w="538" w:type="pct"/>
            <w:tcBorders>
              <w:top w:val="nil"/>
              <w:left w:val="nil"/>
              <w:bottom w:val="single" w:sz="4" w:space="0" w:color="auto"/>
              <w:right w:val="single" w:sz="4" w:space="0" w:color="auto"/>
            </w:tcBorders>
            <w:shd w:val="clear" w:color="auto" w:fill="auto"/>
            <w:noWrap/>
            <w:vAlign w:val="center"/>
            <w:hideMark/>
          </w:tcPr>
          <w:p w14:paraId="437C7873"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51</w:t>
            </w:r>
          </w:p>
        </w:tc>
        <w:tc>
          <w:tcPr>
            <w:tcW w:w="554" w:type="pct"/>
            <w:tcBorders>
              <w:top w:val="nil"/>
              <w:left w:val="nil"/>
              <w:bottom w:val="single" w:sz="4" w:space="0" w:color="auto"/>
              <w:right w:val="single" w:sz="4" w:space="0" w:color="auto"/>
            </w:tcBorders>
            <w:shd w:val="clear" w:color="auto" w:fill="auto"/>
            <w:noWrap/>
            <w:vAlign w:val="center"/>
            <w:hideMark/>
          </w:tcPr>
          <w:p w14:paraId="1925B5B6"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556</w:t>
            </w:r>
          </w:p>
        </w:tc>
        <w:tc>
          <w:tcPr>
            <w:tcW w:w="338" w:type="pct"/>
            <w:tcBorders>
              <w:top w:val="nil"/>
              <w:left w:val="nil"/>
              <w:bottom w:val="single" w:sz="4" w:space="0" w:color="auto"/>
              <w:right w:val="single" w:sz="4" w:space="0" w:color="auto"/>
            </w:tcBorders>
            <w:shd w:val="clear" w:color="auto" w:fill="auto"/>
            <w:vAlign w:val="center"/>
            <w:hideMark/>
          </w:tcPr>
          <w:p w14:paraId="56B8CA1A"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29</w:t>
            </w:r>
          </w:p>
        </w:tc>
        <w:tc>
          <w:tcPr>
            <w:tcW w:w="338" w:type="pct"/>
            <w:tcBorders>
              <w:top w:val="nil"/>
              <w:left w:val="nil"/>
              <w:bottom w:val="single" w:sz="4" w:space="0" w:color="auto"/>
              <w:right w:val="single" w:sz="4" w:space="0" w:color="auto"/>
            </w:tcBorders>
            <w:shd w:val="clear" w:color="auto" w:fill="auto"/>
            <w:vAlign w:val="center"/>
            <w:hideMark/>
          </w:tcPr>
          <w:p w14:paraId="0A2E3020"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68</w:t>
            </w:r>
          </w:p>
        </w:tc>
        <w:tc>
          <w:tcPr>
            <w:tcW w:w="306" w:type="pct"/>
            <w:tcBorders>
              <w:top w:val="nil"/>
              <w:left w:val="nil"/>
              <w:bottom w:val="single" w:sz="4" w:space="0" w:color="auto"/>
              <w:right w:val="single" w:sz="4" w:space="0" w:color="auto"/>
            </w:tcBorders>
            <w:shd w:val="clear" w:color="auto" w:fill="auto"/>
            <w:vAlign w:val="center"/>
            <w:hideMark/>
          </w:tcPr>
          <w:p w14:paraId="28F8E596"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2</w:t>
            </w:r>
          </w:p>
        </w:tc>
        <w:tc>
          <w:tcPr>
            <w:tcW w:w="333" w:type="pct"/>
            <w:tcBorders>
              <w:top w:val="nil"/>
              <w:left w:val="nil"/>
              <w:bottom w:val="single" w:sz="4" w:space="0" w:color="auto"/>
              <w:right w:val="single" w:sz="4" w:space="0" w:color="auto"/>
            </w:tcBorders>
            <w:shd w:val="clear" w:color="auto" w:fill="auto"/>
            <w:vAlign w:val="center"/>
            <w:hideMark/>
          </w:tcPr>
          <w:p w14:paraId="6F8C7A8A"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0</w:t>
            </w:r>
          </w:p>
        </w:tc>
        <w:tc>
          <w:tcPr>
            <w:tcW w:w="280" w:type="pct"/>
            <w:tcBorders>
              <w:top w:val="nil"/>
              <w:left w:val="nil"/>
              <w:bottom w:val="single" w:sz="4" w:space="0" w:color="auto"/>
              <w:right w:val="single" w:sz="4" w:space="0" w:color="auto"/>
            </w:tcBorders>
            <w:shd w:val="clear" w:color="auto" w:fill="auto"/>
            <w:vAlign w:val="center"/>
            <w:hideMark/>
          </w:tcPr>
          <w:p w14:paraId="7B45F22C"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w:t>
            </w:r>
          </w:p>
        </w:tc>
        <w:tc>
          <w:tcPr>
            <w:tcW w:w="280" w:type="pct"/>
            <w:tcBorders>
              <w:top w:val="nil"/>
              <w:left w:val="nil"/>
              <w:bottom w:val="single" w:sz="4" w:space="0" w:color="auto"/>
              <w:right w:val="single" w:sz="4" w:space="0" w:color="auto"/>
            </w:tcBorders>
            <w:shd w:val="clear" w:color="auto" w:fill="auto"/>
            <w:vAlign w:val="center"/>
            <w:hideMark/>
          </w:tcPr>
          <w:p w14:paraId="45686D82"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0</w:t>
            </w:r>
          </w:p>
        </w:tc>
        <w:tc>
          <w:tcPr>
            <w:tcW w:w="734" w:type="pct"/>
            <w:tcBorders>
              <w:top w:val="nil"/>
              <w:left w:val="nil"/>
              <w:bottom w:val="single" w:sz="4" w:space="0" w:color="auto"/>
              <w:right w:val="single" w:sz="4" w:space="0" w:color="auto"/>
            </w:tcBorders>
            <w:shd w:val="clear" w:color="auto" w:fill="auto"/>
            <w:noWrap/>
            <w:vAlign w:val="center"/>
            <w:hideMark/>
          </w:tcPr>
          <w:p w14:paraId="523DE0E1"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133,33</w:t>
            </w:r>
          </w:p>
        </w:tc>
      </w:tr>
      <w:tr w:rsidR="0085321D" w:rsidRPr="007F78CE" w14:paraId="1241D44D" w14:textId="77777777" w:rsidTr="0085321D">
        <w:trPr>
          <w:trHeight w:val="300"/>
          <w:jc w:val="center"/>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447D3877" w14:textId="77777777" w:rsidR="0085321D" w:rsidRPr="0085321D" w:rsidRDefault="0085321D" w:rsidP="0085321D">
            <w:pPr>
              <w:spacing w:after="0" w:line="240" w:lineRule="auto"/>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Melaky</w:t>
            </w:r>
          </w:p>
        </w:tc>
        <w:tc>
          <w:tcPr>
            <w:tcW w:w="402" w:type="pct"/>
            <w:tcBorders>
              <w:top w:val="nil"/>
              <w:left w:val="nil"/>
              <w:bottom w:val="single" w:sz="4" w:space="0" w:color="auto"/>
              <w:right w:val="single" w:sz="4" w:space="0" w:color="auto"/>
            </w:tcBorders>
            <w:shd w:val="clear" w:color="auto" w:fill="auto"/>
            <w:noWrap/>
            <w:vAlign w:val="center"/>
            <w:hideMark/>
          </w:tcPr>
          <w:p w14:paraId="12EC0640"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5</w:t>
            </w:r>
          </w:p>
        </w:tc>
        <w:tc>
          <w:tcPr>
            <w:tcW w:w="538" w:type="pct"/>
            <w:tcBorders>
              <w:top w:val="nil"/>
              <w:left w:val="nil"/>
              <w:bottom w:val="single" w:sz="4" w:space="0" w:color="auto"/>
              <w:right w:val="single" w:sz="4" w:space="0" w:color="auto"/>
            </w:tcBorders>
            <w:shd w:val="clear" w:color="auto" w:fill="auto"/>
            <w:noWrap/>
            <w:vAlign w:val="center"/>
            <w:hideMark/>
          </w:tcPr>
          <w:p w14:paraId="03B870A3"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37</w:t>
            </w:r>
          </w:p>
        </w:tc>
        <w:tc>
          <w:tcPr>
            <w:tcW w:w="554" w:type="pct"/>
            <w:tcBorders>
              <w:top w:val="nil"/>
              <w:left w:val="nil"/>
              <w:bottom w:val="single" w:sz="4" w:space="0" w:color="auto"/>
              <w:right w:val="single" w:sz="4" w:space="0" w:color="auto"/>
            </w:tcBorders>
            <w:shd w:val="clear" w:color="auto" w:fill="auto"/>
            <w:noWrap/>
            <w:vAlign w:val="center"/>
            <w:hideMark/>
          </w:tcPr>
          <w:p w14:paraId="55C5D735"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293</w:t>
            </w:r>
          </w:p>
        </w:tc>
        <w:tc>
          <w:tcPr>
            <w:tcW w:w="338" w:type="pct"/>
            <w:tcBorders>
              <w:top w:val="nil"/>
              <w:left w:val="nil"/>
              <w:bottom w:val="single" w:sz="4" w:space="0" w:color="auto"/>
              <w:right w:val="single" w:sz="4" w:space="0" w:color="auto"/>
            </w:tcBorders>
            <w:shd w:val="clear" w:color="auto" w:fill="auto"/>
            <w:vAlign w:val="center"/>
            <w:hideMark/>
          </w:tcPr>
          <w:p w14:paraId="21DDFCB9"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25</w:t>
            </w:r>
          </w:p>
        </w:tc>
        <w:tc>
          <w:tcPr>
            <w:tcW w:w="338" w:type="pct"/>
            <w:tcBorders>
              <w:top w:val="nil"/>
              <w:left w:val="nil"/>
              <w:bottom w:val="single" w:sz="4" w:space="0" w:color="auto"/>
              <w:right w:val="single" w:sz="4" w:space="0" w:color="auto"/>
            </w:tcBorders>
            <w:shd w:val="clear" w:color="auto" w:fill="auto"/>
            <w:vAlign w:val="center"/>
            <w:hideMark/>
          </w:tcPr>
          <w:p w14:paraId="5C351155"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40</w:t>
            </w:r>
          </w:p>
        </w:tc>
        <w:tc>
          <w:tcPr>
            <w:tcW w:w="306" w:type="pct"/>
            <w:tcBorders>
              <w:top w:val="nil"/>
              <w:left w:val="nil"/>
              <w:bottom w:val="single" w:sz="4" w:space="0" w:color="auto"/>
              <w:right w:val="single" w:sz="4" w:space="0" w:color="auto"/>
            </w:tcBorders>
            <w:shd w:val="clear" w:color="auto" w:fill="auto"/>
            <w:vAlign w:val="center"/>
            <w:hideMark/>
          </w:tcPr>
          <w:p w14:paraId="7AE6D8B2"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3</w:t>
            </w:r>
          </w:p>
        </w:tc>
        <w:tc>
          <w:tcPr>
            <w:tcW w:w="333" w:type="pct"/>
            <w:tcBorders>
              <w:top w:val="nil"/>
              <w:left w:val="nil"/>
              <w:bottom w:val="single" w:sz="4" w:space="0" w:color="auto"/>
              <w:right w:val="single" w:sz="4" w:space="0" w:color="auto"/>
            </w:tcBorders>
            <w:shd w:val="clear" w:color="auto" w:fill="auto"/>
            <w:vAlign w:val="center"/>
            <w:hideMark/>
          </w:tcPr>
          <w:p w14:paraId="0514174F"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w:t>
            </w:r>
          </w:p>
        </w:tc>
        <w:tc>
          <w:tcPr>
            <w:tcW w:w="280" w:type="pct"/>
            <w:tcBorders>
              <w:top w:val="nil"/>
              <w:left w:val="nil"/>
              <w:bottom w:val="single" w:sz="4" w:space="0" w:color="auto"/>
              <w:right w:val="single" w:sz="4" w:space="0" w:color="auto"/>
            </w:tcBorders>
            <w:shd w:val="clear" w:color="auto" w:fill="auto"/>
            <w:vAlign w:val="center"/>
            <w:hideMark/>
          </w:tcPr>
          <w:p w14:paraId="6ECEE1E0"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w:t>
            </w:r>
          </w:p>
        </w:tc>
        <w:tc>
          <w:tcPr>
            <w:tcW w:w="280" w:type="pct"/>
            <w:tcBorders>
              <w:top w:val="nil"/>
              <w:left w:val="nil"/>
              <w:bottom w:val="single" w:sz="4" w:space="0" w:color="auto"/>
              <w:right w:val="single" w:sz="4" w:space="0" w:color="auto"/>
            </w:tcBorders>
            <w:shd w:val="clear" w:color="auto" w:fill="auto"/>
            <w:vAlign w:val="center"/>
            <w:hideMark/>
          </w:tcPr>
          <w:p w14:paraId="11BC46B7"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0</w:t>
            </w:r>
          </w:p>
        </w:tc>
        <w:tc>
          <w:tcPr>
            <w:tcW w:w="734" w:type="pct"/>
            <w:tcBorders>
              <w:top w:val="nil"/>
              <w:left w:val="nil"/>
              <w:bottom w:val="single" w:sz="4" w:space="0" w:color="auto"/>
              <w:right w:val="single" w:sz="4" w:space="0" w:color="auto"/>
            </w:tcBorders>
            <w:shd w:val="clear" w:color="auto" w:fill="auto"/>
            <w:noWrap/>
            <w:vAlign w:val="center"/>
            <w:hideMark/>
          </w:tcPr>
          <w:p w14:paraId="7EF1832A"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108,11</w:t>
            </w:r>
          </w:p>
        </w:tc>
      </w:tr>
      <w:tr w:rsidR="0085321D" w:rsidRPr="007F78CE" w14:paraId="718A2CC7" w14:textId="77777777" w:rsidTr="0085321D">
        <w:trPr>
          <w:trHeight w:val="300"/>
          <w:jc w:val="center"/>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027A5323" w14:textId="77777777" w:rsidR="0085321D" w:rsidRPr="0085321D" w:rsidRDefault="0085321D" w:rsidP="0085321D">
            <w:pPr>
              <w:spacing w:after="0" w:line="240" w:lineRule="auto"/>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Menabe</w:t>
            </w:r>
          </w:p>
        </w:tc>
        <w:tc>
          <w:tcPr>
            <w:tcW w:w="402" w:type="pct"/>
            <w:tcBorders>
              <w:top w:val="nil"/>
              <w:left w:val="nil"/>
              <w:bottom w:val="single" w:sz="4" w:space="0" w:color="auto"/>
              <w:right w:val="single" w:sz="4" w:space="0" w:color="auto"/>
            </w:tcBorders>
            <w:shd w:val="clear" w:color="auto" w:fill="auto"/>
            <w:noWrap/>
            <w:vAlign w:val="center"/>
            <w:hideMark/>
          </w:tcPr>
          <w:p w14:paraId="29D40BEE"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5</w:t>
            </w:r>
          </w:p>
        </w:tc>
        <w:tc>
          <w:tcPr>
            <w:tcW w:w="538" w:type="pct"/>
            <w:tcBorders>
              <w:top w:val="nil"/>
              <w:left w:val="nil"/>
              <w:bottom w:val="single" w:sz="4" w:space="0" w:color="auto"/>
              <w:right w:val="single" w:sz="4" w:space="0" w:color="auto"/>
            </w:tcBorders>
            <w:shd w:val="clear" w:color="auto" w:fill="auto"/>
            <w:noWrap/>
            <w:vAlign w:val="center"/>
            <w:hideMark/>
          </w:tcPr>
          <w:p w14:paraId="46DA755E"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50</w:t>
            </w:r>
          </w:p>
        </w:tc>
        <w:tc>
          <w:tcPr>
            <w:tcW w:w="554" w:type="pct"/>
            <w:tcBorders>
              <w:top w:val="nil"/>
              <w:left w:val="nil"/>
              <w:bottom w:val="single" w:sz="4" w:space="0" w:color="auto"/>
              <w:right w:val="single" w:sz="4" w:space="0" w:color="auto"/>
            </w:tcBorders>
            <w:shd w:val="clear" w:color="auto" w:fill="auto"/>
            <w:noWrap/>
            <w:vAlign w:val="center"/>
            <w:hideMark/>
          </w:tcPr>
          <w:p w14:paraId="45D561B4"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541</w:t>
            </w:r>
          </w:p>
        </w:tc>
        <w:tc>
          <w:tcPr>
            <w:tcW w:w="338" w:type="pct"/>
            <w:tcBorders>
              <w:top w:val="nil"/>
              <w:left w:val="nil"/>
              <w:bottom w:val="single" w:sz="4" w:space="0" w:color="auto"/>
              <w:right w:val="single" w:sz="4" w:space="0" w:color="auto"/>
            </w:tcBorders>
            <w:shd w:val="clear" w:color="auto" w:fill="auto"/>
            <w:vAlign w:val="center"/>
            <w:hideMark/>
          </w:tcPr>
          <w:p w14:paraId="261205F7"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37</w:t>
            </w:r>
          </w:p>
        </w:tc>
        <w:tc>
          <w:tcPr>
            <w:tcW w:w="338" w:type="pct"/>
            <w:tcBorders>
              <w:top w:val="nil"/>
              <w:left w:val="nil"/>
              <w:bottom w:val="single" w:sz="4" w:space="0" w:color="auto"/>
              <w:right w:val="single" w:sz="4" w:space="0" w:color="auto"/>
            </w:tcBorders>
            <w:shd w:val="clear" w:color="auto" w:fill="auto"/>
            <w:vAlign w:val="center"/>
            <w:hideMark/>
          </w:tcPr>
          <w:p w14:paraId="1C7BAAD3"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58</w:t>
            </w:r>
          </w:p>
        </w:tc>
        <w:tc>
          <w:tcPr>
            <w:tcW w:w="306" w:type="pct"/>
            <w:tcBorders>
              <w:top w:val="nil"/>
              <w:left w:val="nil"/>
              <w:bottom w:val="single" w:sz="4" w:space="0" w:color="auto"/>
              <w:right w:val="single" w:sz="4" w:space="0" w:color="auto"/>
            </w:tcBorders>
            <w:shd w:val="clear" w:color="auto" w:fill="auto"/>
            <w:vAlign w:val="center"/>
            <w:hideMark/>
          </w:tcPr>
          <w:p w14:paraId="4F552F2D"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3</w:t>
            </w:r>
          </w:p>
        </w:tc>
        <w:tc>
          <w:tcPr>
            <w:tcW w:w="333" w:type="pct"/>
            <w:tcBorders>
              <w:top w:val="nil"/>
              <w:left w:val="nil"/>
              <w:bottom w:val="single" w:sz="4" w:space="0" w:color="auto"/>
              <w:right w:val="single" w:sz="4" w:space="0" w:color="auto"/>
            </w:tcBorders>
            <w:shd w:val="clear" w:color="auto" w:fill="auto"/>
            <w:vAlign w:val="center"/>
            <w:hideMark/>
          </w:tcPr>
          <w:p w14:paraId="11FFB8FA"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2</w:t>
            </w:r>
          </w:p>
        </w:tc>
        <w:tc>
          <w:tcPr>
            <w:tcW w:w="280" w:type="pct"/>
            <w:tcBorders>
              <w:top w:val="nil"/>
              <w:left w:val="nil"/>
              <w:bottom w:val="single" w:sz="4" w:space="0" w:color="auto"/>
              <w:right w:val="single" w:sz="4" w:space="0" w:color="auto"/>
            </w:tcBorders>
            <w:shd w:val="clear" w:color="auto" w:fill="auto"/>
            <w:vAlign w:val="center"/>
            <w:hideMark/>
          </w:tcPr>
          <w:p w14:paraId="1A680A51"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w:t>
            </w:r>
          </w:p>
        </w:tc>
        <w:tc>
          <w:tcPr>
            <w:tcW w:w="280" w:type="pct"/>
            <w:tcBorders>
              <w:top w:val="nil"/>
              <w:left w:val="nil"/>
              <w:bottom w:val="single" w:sz="4" w:space="0" w:color="auto"/>
              <w:right w:val="single" w:sz="4" w:space="0" w:color="auto"/>
            </w:tcBorders>
            <w:shd w:val="clear" w:color="auto" w:fill="auto"/>
            <w:vAlign w:val="center"/>
            <w:hideMark/>
          </w:tcPr>
          <w:p w14:paraId="24608172"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0</w:t>
            </w:r>
          </w:p>
        </w:tc>
        <w:tc>
          <w:tcPr>
            <w:tcW w:w="734" w:type="pct"/>
            <w:tcBorders>
              <w:top w:val="nil"/>
              <w:left w:val="nil"/>
              <w:bottom w:val="single" w:sz="4" w:space="0" w:color="auto"/>
              <w:right w:val="single" w:sz="4" w:space="0" w:color="auto"/>
            </w:tcBorders>
            <w:shd w:val="clear" w:color="auto" w:fill="auto"/>
            <w:noWrap/>
            <w:vAlign w:val="center"/>
            <w:hideMark/>
          </w:tcPr>
          <w:p w14:paraId="2552B8D9"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116,00</w:t>
            </w:r>
          </w:p>
        </w:tc>
      </w:tr>
      <w:tr w:rsidR="0085321D" w:rsidRPr="007F78CE" w14:paraId="6DDFC32E" w14:textId="77777777" w:rsidTr="0085321D">
        <w:trPr>
          <w:trHeight w:val="300"/>
          <w:jc w:val="center"/>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5CE4C73A" w14:textId="77777777" w:rsidR="0085321D" w:rsidRPr="0085321D" w:rsidRDefault="0080792F" w:rsidP="0085321D">
            <w:pPr>
              <w:spacing w:after="0" w:line="240" w:lineRule="auto"/>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S</w:t>
            </w:r>
            <w:r>
              <w:rPr>
                <w:rFonts w:ascii="Arial" w:eastAsia="Times New Roman" w:hAnsi="Arial" w:cs="Arial"/>
                <w:color w:val="000000"/>
                <w:sz w:val="20"/>
                <w:szCs w:val="20"/>
                <w:lang w:eastAsia="fr-FR"/>
              </w:rPr>
              <w:t>AVA</w:t>
            </w:r>
          </w:p>
        </w:tc>
        <w:tc>
          <w:tcPr>
            <w:tcW w:w="402" w:type="pct"/>
            <w:tcBorders>
              <w:top w:val="nil"/>
              <w:left w:val="nil"/>
              <w:bottom w:val="single" w:sz="4" w:space="0" w:color="auto"/>
              <w:right w:val="single" w:sz="4" w:space="0" w:color="auto"/>
            </w:tcBorders>
            <w:shd w:val="clear" w:color="auto" w:fill="auto"/>
            <w:noWrap/>
            <w:vAlign w:val="center"/>
            <w:hideMark/>
          </w:tcPr>
          <w:p w14:paraId="4FBBDC81"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4</w:t>
            </w:r>
          </w:p>
        </w:tc>
        <w:tc>
          <w:tcPr>
            <w:tcW w:w="538" w:type="pct"/>
            <w:tcBorders>
              <w:top w:val="nil"/>
              <w:left w:val="nil"/>
              <w:bottom w:val="single" w:sz="4" w:space="0" w:color="auto"/>
              <w:right w:val="single" w:sz="4" w:space="0" w:color="auto"/>
            </w:tcBorders>
            <w:shd w:val="clear" w:color="auto" w:fill="auto"/>
            <w:noWrap/>
            <w:vAlign w:val="center"/>
            <w:hideMark/>
          </w:tcPr>
          <w:p w14:paraId="750711EF"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79</w:t>
            </w:r>
          </w:p>
        </w:tc>
        <w:tc>
          <w:tcPr>
            <w:tcW w:w="554" w:type="pct"/>
            <w:tcBorders>
              <w:top w:val="nil"/>
              <w:left w:val="nil"/>
              <w:bottom w:val="single" w:sz="4" w:space="0" w:color="auto"/>
              <w:right w:val="single" w:sz="4" w:space="0" w:color="auto"/>
            </w:tcBorders>
            <w:shd w:val="clear" w:color="auto" w:fill="auto"/>
            <w:noWrap/>
            <w:vAlign w:val="center"/>
            <w:hideMark/>
          </w:tcPr>
          <w:p w14:paraId="2B47EC32"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808</w:t>
            </w:r>
          </w:p>
        </w:tc>
        <w:tc>
          <w:tcPr>
            <w:tcW w:w="338" w:type="pct"/>
            <w:tcBorders>
              <w:top w:val="nil"/>
              <w:left w:val="nil"/>
              <w:bottom w:val="single" w:sz="4" w:space="0" w:color="auto"/>
              <w:right w:val="single" w:sz="4" w:space="0" w:color="auto"/>
            </w:tcBorders>
            <w:shd w:val="clear" w:color="auto" w:fill="auto"/>
            <w:vAlign w:val="center"/>
            <w:hideMark/>
          </w:tcPr>
          <w:p w14:paraId="013D0313"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52</w:t>
            </w:r>
          </w:p>
        </w:tc>
        <w:tc>
          <w:tcPr>
            <w:tcW w:w="338" w:type="pct"/>
            <w:tcBorders>
              <w:top w:val="nil"/>
              <w:left w:val="nil"/>
              <w:bottom w:val="single" w:sz="4" w:space="0" w:color="auto"/>
              <w:right w:val="single" w:sz="4" w:space="0" w:color="auto"/>
            </w:tcBorders>
            <w:shd w:val="clear" w:color="auto" w:fill="auto"/>
            <w:vAlign w:val="center"/>
            <w:hideMark/>
          </w:tcPr>
          <w:p w14:paraId="1CAB9944"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104</w:t>
            </w:r>
          </w:p>
        </w:tc>
        <w:tc>
          <w:tcPr>
            <w:tcW w:w="306" w:type="pct"/>
            <w:tcBorders>
              <w:top w:val="nil"/>
              <w:left w:val="nil"/>
              <w:bottom w:val="single" w:sz="4" w:space="0" w:color="auto"/>
              <w:right w:val="single" w:sz="4" w:space="0" w:color="auto"/>
            </w:tcBorders>
            <w:shd w:val="clear" w:color="auto" w:fill="auto"/>
            <w:vAlign w:val="center"/>
            <w:hideMark/>
          </w:tcPr>
          <w:p w14:paraId="7E23835E"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7</w:t>
            </w:r>
          </w:p>
        </w:tc>
        <w:tc>
          <w:tcPr>
            <w:tcW w:w="333" w:type="pct"/>
            <w:tcBorders>
              <w:top w:val="nil"/>
              <w:left w:val="nil"/>
              <w:bottom w:val="single" w:sz="4" w:space="0" w:color="auto"/>
              <w:right w:val="single" w:sz="4" w:space="0" w:color="auto"/>
            </w:tcBorders>
            <w:shd w:val="clear" w:color="auto" w:fill="auto"/>
            <w:vAlign w:val="center"/>
            <w:hideMark/>
          </w:tcPr>
          <w:p w14:paraId="3373A54C"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3</w:t>
            </w:r>
          </w:p>
        </w:tc>
        <w:tc>
          <w:tcPr>
            <w:tcW w:w="280" w:type="pct"/>
            <w:tcBorders>
              <w:top w:val="nil"/>
              <w:left w:val="nil"/>
              <w:bottom w:val="single" w:sz="4" w:space="0" w:color="auto"/>
              <w:right w:val="single" w:sz="4" w:space="0" w:color="auto"/>
            </w:tcBorders>
            <w:shd w:val="clear" w:color="auto" w:fill="auto"/>
            <w:vAlign w:val="center"/>
            <w:hideMark/>
          </w:tcPr>
          <w:p w14:paraId="7699254E"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w:t>
            </w:r>
          </w:p>
        </w:tc>
        <w:tc>
          <w:tcPr>
            <w:tcW w:w="280" w:type="pct"/>
            <w:tcBorders>
              <w:top w:val="nil"/>
              <w:left w:val="nil"/>
              <w:bottom w:val="single" w:sz="4" w:space="0" w:color="auto"/>
              <w:right w:val="single" w:sz="4" w:space="0" w:color="auto"/>
            </w:tcBorders>
            <w:shd w:val="clear" w:color="auto" w:fill="auto"/>
            <w:vAlign w:val="center"/>
            <w:hideMark/>
          </w:tcPr>
          <w:p w14:paraId="6C391339"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0</w:t>
            </w:r>
          </w:p>
        </w:tc>
        <w:tc>
          <w:tcPr>
            <w:tcW w:w="734" w:type="pct"/>
            <w:tcBorders>
              <w:top w:val="nil"/>
              <w:left w:val="nil"/>
              <w:bottom w:val="single" w:sz="4" w:space="0" w:color="auto"/>
              <w:right w:val="single" w:sz="4" w:space="0" w:color="auto"/>
            </w:tcBorders>
            <w:shd w:val="clear" w:color="auto" w:fill="auto"/>
            <w:noWrap/>
            <w:vAlign w:val="center"/>
            <w:hideMark/>
          </w:tcPr>
          <w:p w14:paraId="64A37581"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131,65</w:t>
            </w:r>
          </w:p>
        </w:tc>
      </w:tr>
      <w:tr w:rsidR="0085321D" w:rsidRPr="007F78CE" w14:paraId="70A01424" w14:textId="77777777" w:rsidTr="0085321D">
        <w:trPr>
          <w:trHeight w:val="300"/>
          <w:jc w:val="center"/>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3C4FBC70" w14:textId="77777777" w:rsidR="0085321D" w:rsidRPr="0085321D" w:rsidRDefault="0085321D" w:rsidP="0085321D">
            <w:pPr>
              <w:spacing w:after="0" w:line="240" w:lineRule="auto"/>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Sofia</w:t>
            </w:r>
          </w:p>
        </w:tc>
        <w:tc>
          <w:tcPr>
            <w:tcW w:w="402" w:type="pct"/>
            <w:tcBorders>
              <w:top w:val="nil"/>
              <w:left w:val="nil"/>
              <w:bottom w:val="single" w:sz="4" w:space="0" w:color="auto"/>
              <w:right w:val="single" w:sz="4" w:space="0" w:color="auto"/>
            </w:tcBorders>
            <w:shd w:val="clear" w:color="auto" w:fill="auto"/>
            <w:noWrap/>
            <w:vAlign w:val="center"/>
            <w:hideMark/>
          </w:tcPr>
          <w:p w14:paraId="59FCF0EC"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7</w:t>
            </w:r>
          </w:p>
        </w:tc>
        <w:tc>
          <w:tcPr>
            <w:tcW w:w="538" w:type="pct"/>
            <w:tcBorders>
              <w:top w:val="nil"/>
              <w:left w:val="nil"/>
              <w:bottom w:val="single" w:sz="4" w:space="0" w:color="auto"/>
              <w:right w:val="single" w:sz="4" w:space="0" w:color="auto"/>
            </w:tcBorders>
            <w:shd w:val="clear" w:color="auto" w:fill="auto"/>
            <w:noWrap/>
            <w:vAlign w:val="center"/>
            <w:hideMark/>
          </w:tcPr>
          <w:p w14:paraId="57B37E93"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108</w:t>
            </w:r>
          </w:p>
        </w:tc>
        <w:tc>
          <w:tcPr>
            <w:tcW w:w="554" w:type="pct"/>
            <w:tcBorders>
              <w:top w:val="nil"/>
              <w:left w:val="nil"/>
              <w:bottom w:val="single" w:sz="4" w:space="0" w:color="auto"/>
              <w:right w:val="single" w:sz="4" w:space="0" w:color="auto"/>
            </w:tcBorders>
            <w:shd w:val="clear" w:color="auto" w:fill="auto"/>
            <w:noWrap/>
            <w:vAlign w:val="center"/>
            <w:hideMark/>
          </w:tcPr>
          <w:p w14:paraId="1C0BBC60"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1329</w:t>
            </w:r>
          </w:p>
        </w:tc>
        <w:tc>
          <w:tcPr>
            <w:tcW w:w="338" w:type="pct"/>
            <w:tcBorders>
              <w:top w:val="nil"/>
              <w:left w:val="nil"/>
              <w:bottom w:val="single" w:sz="4" w:space="0" w:color="auto"/>
              <w:right w:val="single" w:sz="4" w:space="0" w:color="auto"/>
            </w:tcBorders>
            <w:shd w:val="clear" w:color="auto" w:fill="auto"/>
            <w:vAlign w:val="center"/>
            <w:hideMark/>
          </w:tcPr>
          <w:p w14:paraId="094662BB"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111</w:t>
            </w:r>
          </w:p>
        </w:tc>
        <w:tc>
          <w:tcPr>
            <w:tcW w:w="338" w:type="pct"/>
            <w:tcBorders>
              <w:top w:val="nil"/>
              <w:left w:val="nil"/>
              <w:bottom w:val="single" w:sz="4" w:space="0" w:color="auto"/>
              <w:right w:val="single" w:sz="4" w:space="0" w:color="auto"/>
            </w:tcBorders>
            <w:shd w:val="clear" w:color="auto" w:fill="auto"/>
            <w:vAlign w:val="center"/>
            <w:hideMark/>
          </w:tcPr>
          <w:p w14:paraId="6C4647B8"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104</w:t>
            </w:r>
          </w:p>
        </w:tc>
        <w:tc>
          <w:tcPr>
            <w:tcW w:w="306" w:type="pct"/>
            <w:tcBorders>
              <w:top w:val="nil"/>
              <w:left w:val="nil"/>
              <w:bottom w:val="single" w:sz="4" w:space="0" w:color="auto"/>
              <w:right w:val="single" w:sz="4" w:space="0" w:color="auto"/>
            </w:tcBorders>
            <w:shd w:val="clear" w:color="auto" w:fill="auto"/>
            <w:vAlign w:val="center"/>
            <w:hideMark/>
          </w:tcPr>
          <w:p w14:paraId="5F3A48FD"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7</w:t>
            </w:r>
          </w:p>
        </w:tc>
        <w:tc>
          <w:tcPr>
            <w:tcW w:w="333" w:type="pct"/>
            <w:tcBorders>
              <w:top w:val="nil"/>
              <w:left w:val="nil"/>
              <w:bottom w:val="single" w:sz="4" w:space="0" w:color="auto"/>
              <w:right w:val="single" w:sz="4" w:space="0" w:color="auto"/>
            </w:tcBorders>
            <w:shd w:val="clear" w:color="auto" w:fill="auto"/>
            <w:vAlign w:val="center"/>
            <w:hideMark/>
          </w:tcPr>
          <w:p w14:paraId="5A0F0885"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3</w:t>
            </w:r>
          </w:p>
        </w:tc>
        <w:tc>
          <w:tcPr>
            <w:tcW w:w="280" w:type="pct"/>
            <w:tcBorders>
              <w:top w:val="nil"/>
              <w:left w:val="nil"/>
              <w:bottom w:val="single" w:sz="4" w:space="0" w:color="auto"/>
              <w:right w:val="single" w:sz="4" w:space="0" w:color="auto"/>
            </w:tcBorders>
            <w:shd w:val="clear" w:color="auto" w:fill="auto"/>
            <w:vAlign w:val="center"/>
            <w:hideMark/>
          </w:tcPr>
          <w:p w14:paraId="0DC6C4C4"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w:t>
            </w:r>
          </w:p>
        </w:tc>
        <w:tc>
          <w:tcPr>
            <w:tcW w:w="280" w:type="pct"/>
            <w:tcBorders>
              <w:top w:val="nil"/>
              <w:left w:val="nil"/>
              <w:bottom w:val="single" w:sz="4" w:space="0" w:color="auto"/>
              <w:right w:val="single" w:sz="4" w:space="0" w:color="auto"/>
            </w:tcBorders>
            <w:shd w:val="clear" w:color="auto" w:fill="auto"/>
            <w:vAlign w:val="center"/>
            <w:hideMark/>
          </w:tcPr>
          <w:p w14:paraId="1D773CA4"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0</w:t>
            </w:r>
          </w:p>
        </w:tc>
        <w:tc>
          <w:tcPr>
            <w:tcW w:w="734" w:type="pct"/>
            <w:tcBorders>
              <w:top w:val="nil"/>
              <w:left w:val="nil"/>
              <w:bottom w:val="single" w:sz="4" w:space="0" w:color="auto"/>
              <w:right w:val="single" w:sz="4" w:space="0" w:color="auto"/>
            </w:tcBorders>
            <w:shd w:val="clear" w:color="auto" w:fill="auto"/>
            <w:noWrap/>
            <w:vAlign w:val="center"/>
            <w:hideMark/>
          </w:tcPr>
          <w:p w14:paraId="025E2437"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96,30</w:t>
            </w:r>
          </w:p>
        </w:tc>
      </w:tr>
      <w:tr w:rsidR="0085321D" w:rsidRPr="007F78CE" w14:paraId="140CA30E" w14:textId="77777777" w:rsidTr="0085321D">
        <w:trPr>
          <w:trHeight w:val="300"/>
          <w:jc w:val="center"/>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483191D4" w14:textId="77777777" w:rsidR="0085321D" w:rsidRPr="0085321D" w:rsidRDefault="0085321D" w:rsidP="0085321D">
            <w:pPr>
              <w:spacing w:after="0" w:line="240" w:lineRule="auto"/>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Vakinankaratra</w:t>
            </w:r>
          </w:p>
        </w:tc>
        <w:tc>
          <w:tcPr>
            <w:tcW w:w="402" w:type="pct"/>
            <w:tcBorders>
              <w:top w:val="nil"/>
              <w:left w:val="nil"/>
              <w:bottom w:val="single" w:sz="4" w:space="0" w:color="auto"/>
              <w:right w:val="single" w:sz="4" w:space="0" w:color="auto"/>
            </w:tcBorders>
            <w:shd w:val="clear" w:color="auto" w:fill="auto"/>
            <w:noWrap/>
            <w:vAlign w:val="center"/>
            <w:hideMark/>
          </w:tcPr>
          <w:p w14:paraId="30B46063"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7</w:t>
            </w:r>
          </w:p>
        </w:tc>
        <w:tc>
          <w:tcPr>
            <w:tcW w:w="538" w:type="pct"/>
            <w:tcBorders>
              <w:top w:val="nil"/>
              <w:left w:val="nil"/>
              <w:bottom w:val="single" w:sz="4" w:space="0" w:color="auto"/>
              <w:right w:val="single" w:sz="4" w:space="0" w:color="auto"/>
            </w:tcBorders>
            <w:shd w:val="clear" w:color="auto" w:fill="auto"/>
            <w:noWrap/>
            <w:vAlign w:val="center"/>
            <w:hideMark/>
          </w:tcPr>
          <w:p w14:paraId="12E27ECC"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90</w:t>
            </w:r>
          </w:p>
        </w:tc>
        <w:tc>
          <w:tcPr>
            <w:tcW w:w="554" w:type="pct"/>
            <w:tcBorders>
              <w:top w:val="nil"/>
              <w:left w:val="nil"/>
              <w:bottom w:val="single" w:sz="4" w:space="0" w:color="auto"/>
              <w:right w:val="single" w:sz="4" w:space="0" w:color="auto"/>
            </w:tcBorders>
            <w:shd w:val="clear" w:color="auto" w:fill="auto"/>
            <w:noWrap/>
            <w:vAlign w:val="center"/>
            <w:hideMark/>
          </w:tcPr>
          <w:p w14:paraId="162720DE"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998</w:t>
            </w:r>
          </w:p>
        </w:tc>
        <w:tc>
          <w:tcPr>
            <w:tcW w:w="338" w:type="pct"/>
            <w:tcBorders>
              <w:top w:val="nil"/>
              <w:left w:val="nil"/>
              <w:bottom w:val="single" w:sz="4" w:space="0" w:color="auto"/>
              <w:right w:val="single" w:sz="4" w:space="0" w:color="auto"/>
            </w:tcBorders>
            <w:shd w:val="clear" w:color="auto" w:fill="auto"/>
            <w:vAlign w:val="center"/>
            <w:hideMark/>
          </w:tcPr>
          <w:p w14:paraId="7624A66F"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62</w:t>
            </w:r>
          </w:p>
        </w:tc>
        <w:tc>
          <w:tcPr>
            <w:tcW w:w="338" w:type="pct"/>
            <w:tcBorders>
              <w:top w:val="nil"/>
              <w:left w:val="nil"/>
              <w:bottom w:val="single" w:sz="4" w:space="0" w:color="auto"/>
              <w:right w:val="single" w:sz="4" w:space="0" w:color="auto"/>
            </w:tcBorders>
            <w:shd w:val="clear" w:color="auto" w:fill="auto"/>
            <w:vAlign w:val="center"/>
            <w:hideMark/>
          </w:tcPr>
          <w:p w14:paraId="7711DC98"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138</w:t>
            </w:r>
          </w:p>
        </w:tc>
        <w:tc>
          <w:tcPr>
            <w:tcW w:w="306" w:type="pct"/>
            <w:tcBorders>
              <w:top w:val="nil"/>
              <w:left w:val="nil"/>
              <w:bottom w:val="single" w:sz="4" w:space="0" w:color="auto"/>
              <w:right w:val="single" w:sz="4" w:space="0" w:color="auto"/>
            </w:tcBorders>
            <w:shd w:val="clear" w:color="auto" w:fill="auto"/>
            <w:vAlign w:val="center"/>
            <w:hideMark/>
          </w:tcPr>
          <w:p w14:paraId="03489F32"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3</w:t>
            </w:r>
          </w:p>
        </w:tc>
        <w:tc>
          <w:tcPr>
            <w:tcW w:w="333" w:type="pct"/>
            <w:tcBorders>
              <w:top w:val="nil"/>
              <w:left w:val="nil"/>
              <w:bottom w:val="single" w:sz="4" w:space="0" w:color="auto"/>
              <w:right w:val="single" w:sz="4" w:space="0" w:color="auto"/>
            </w:tcBorders>
            <w:shd w:val="clear" w:color="auto" w:fill="auto"/>
            <w:vAlign w:val="center"/>
            <w:hideMark/>
          </w:tcPr>
          <w:p w14:paraId="140FEAE7"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4</w:t>
            </w:r>
          </w:p>
        </w:tc>
        <w:tc>
          <w:tcPr>
            <w:tcW w:w="280" w:type="pct"/>
            <w:tcBorders>
              <w:top w:val="nil"/>
              <w:left w:val="nil"/>
              <w:bottom w:val="single" w:sz="4" w:space="0" w:color="auto"/>
              <w:right w:val="single" w:sz="4" w:space="0" w:color="auto"/>
            </w:tcBorders>
            <w:shd w:val="clear" w:color="auto" w:fill="auto"/>
            <w:vAlign w:val="center"/>
            <w:hideMark/>
          </w:tcPr>
          <w:p w14:paraId="41B35A11"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w:t>
            </w:r>
          </w:p>
        </w:tc>
        <w:tc>
          <w:tcPr>
            <w:tcW w:w="280" w:type="pct"/>
            <w:tcBorders>
              <w:top w:val="nil"/>
              <w:left w:val="nil"/>
              <w:bottom w:val="single" w:sz="4" w:space="0" w:color="auto"/>
              <w:right w:val="single" w:sz="4" w:space="0" w:color="auto"/>
            </w:tcBorders>
            <w:shd w:val="clear" w:color="auto" w:fill="auto"/>
            <w:vAlign w:val="center"/>
            <w:hideMark/>
          </w:tcPr>
          <w:p w14:paraId="189306DC"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2</w:t>
            </w:r>
          </w:p>
        </w:tc>
        <w:tc>
          <w:tcPr>
            <w:tcW w:w="734" w:type="pct"/>
            <w:tcBorders>
              <w:top w:val="nil"/>
              <w:left w:val="nil"/>
              <w:bottom w:val="single" w:sz="4" w:space="0" w:color="auto"/>
              <w:right w:val="single" w:sz="4" w:space="0" w:color="auto"/>
            </w:tcBorders>
            <w:shd w:val="clear" w:color="auto" w:fill="auto"/>
            <w:noWrap/>
            <w:vAlign w:val="center"/>
            <w:hideMark/>
          </w:tcPr>
          <w:p w14:paraId="5B7AE0BD"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153,33</w:t>
            </w:r>
          </w:p>
        </w:tc>
      </w:tr>
      <w:tr w:rsidR="0085321D" w:rsidRPr="007F78CE" w14:paraId="4C25BDC8" w14:textId="77777777" w:rsidTr="0085321D">
        <w:trPr>
          <w:trHeight w:val="300"/>
          <w:jc w:val="center"/>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43D8153F" w14:textId="77777777" w:rsidR="0085321D" w:rsidRPr="0085321D" w:rsidRDefault="0085321D" w:rsidP="0085321D">
            <w:pPr>
              <w:spacing w:after="0" w:line="240" w:lineRule="auto"/>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Vatovavy Fitovinany</w:t>
            </w:r>
          </w:p>
        </w:tc>
        <w:tc>
          <w:tcPr>
            <w:tcW w:w="402" w:type="pct"/>
            <w:tcBorders>
              <w:top w:val="nil"/>
              <w:left w:val="nil"/>
              <w:bottom w:val="single" w:sz="4" w:space="0" w:color="auto"/>
              <w:right w:val="single" w:sz="4" w:space="0" w:color="auto"/>
            </w:tcBorders>
            <w:shd w:val="clear" w:color="auto" w:fill="auto"/>
            <w:noWrap/>
            <w:vAlign w:val="center"/>
            <w:hideMark/>
          </w:tcPr>
          <w:p w14:paraId="53B3DE76"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6</w:t>
            </w:r>
          </w:p>
        </w:tc>
        <w:tc>
          <w:tcPr>
            <w:tcW w:w="538" w:type="pct"/>
            <w:tcBorders>
              <w:top w:val="nil"/>
              <w:left w:val="nil"/>
              <w:bottom w:val="single" w:sz="4" w:space="0" w:color="auto"/>
              <w:right w:val="single" w:sz="4" w:space="0" w:color="auto"/>
            </w:tcBorders>
            <w:shd w:val="clear" w:color="auto" w:fill="auto"/>
            <w:noWrap/>
            <w:vAlign w:val="center"/>
            <w:hideMark/>
          </w:tcPr>
          <w:p w14:paraId="366A4722" w14:textId="77777777" w:rsidR="0085321D" w:rsidRPr="0085321D" w:rsidRDefault="0085321D" w:rsidP="0085321D">
            <w:pPr>
              <w:spacing w:after="0" w:line="240" w:lineRule="auto"/>
              <w:jc w:val="center"/>
              <w:rPr>
                <w:rFonts w:ascii="Arial" w:eastAsia="Times New Roman" w:hAnsi="Arial" w:cs="Arial"/>
                <w:sz w:val="20"/>
                <w:szCs w:val="20"/>
                <w:lang w:eastAsia="fr-FR"/>
              </w:rPr>
            </w:pPr>
            <w:r w:rsidRPr="0085321D">
              <w:rPr>
                <w:rFonts w:ascii="Arial" w:eastAsia="Times New Roman" w:hAnsi="Arial" w:cs="Arial"/>
                <w:sz w:val="20"/>
                <w:szCs w:val="20"/>
                <w:lang w:eastAsia="fr-FR"/>
              </w:rPr>
              <w:t>135</w:t>
            </w:r>
          </w:p>
        </w:tc>
        <w:tc>
          <w:tcPr>
            <w:tcW w:w="554" w:type="pct"/>
            <w:tcBorders>
              <w:top w:val="nil"/>
              <w:left w:val="nil"/>
              <w:bottom w:val="single" w:sz="4" w:space="0" w:color="auto"/>
              <w:right w:val="single" w:sz="4" w:space="0" w:color="auto"/>
            </w:tcBorders>
            <w:shd w:val="clear" w:color="auto" w:fill="auto"/>
            <w:noWrap/>
            <w:vAlign w:val="center"/>
            <w:hideMark/>
          </w:tcPr>
          <w:p w14:paraId="2637BD44"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1323</w:t>
            </w:r>
          </w:p>
        </w:tc>
        <w:tc>
          <w:tcPr>
            <w:tcW w:w="338" w:type="pct"/>
            <w:tcBorders>
              <w:top w:val="nil"/>
              <w:left w:val="nil"/>
              <w:bottom w:val="single" w:sz="4" w:space="0" w:color="auto"/>
              <w:right w:val="single" w:sz="4" w:space="0" w:color="auto"/>
            </w:tcBorders>
            <w:shd w:val="clear" w:color="auto" w:fill="auto"/>
            <w:vAlign w:val="center"/>
            <w:hideMark/>
          </w:tcPr>
          <w:p w14:paraId="4364B258"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57</w:t>
            </w:r>
          </w:p>
        </w:tc>
        <w:tc>
          <w:tcPr>
            <w:tcW w:w="338" w:type="pct"/>
            <w:tcBorders>
              <w:top w:val="nil"/>
              <w:left w:val="nil"/>
              <w:bottom w:val="single" w:sz="4" w:space="0" w:color="auto"/>
              <w:right w:val="single" w:sz="4" w:space="0" w:color="auto"/>
            </w:tcBorders>
            <w:shd w:val="clear" w:color="auto" w:fill="auto"/>
            <w:vAlign w:val="center"/>
            <w:hideMark/>
          </w:tcPr>
          <w:p w14:paraId="091AAF3E"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147</w:t>
            </w:r>
          </w:p>
        </w:tc>
        <w:tc>
          <w:tcPr>
            <w:tcW w:w="306" w:type="pct"/>
            <w:tcBorders>
              <w:top w:val="nil"/>
              <w:left w:val="nil"/>
              <w:bottom w:val="single" w:sz="4" w:space="0" w:color="auto"/>
              <w:right w:val="single" w:sz="4" w:space="0" w:color="auto"/>
            </w:tcBorders>
            <w:shd w:val="clear" w:color="auto" w:fill="auto"/>
            <w:vAlign w:val="center"/>
            <w:hideMark/>
          </w:tcPr>
          <w:p w14:paraId="5FC185C2"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3</w:t>
            </w:r>
          </w:p>
        </w:tc>
        <w:tc>
          <w:tcPr>
            <w:tcW w:w="333" w:type="pct"/>
            <w:tcBorders>
              <w:top w:val="nil"/>
              <w:left w:val="nil"/>
              <w:bottom w:val="single" w:sz="4" w:space="0" w:color="auto"/>
              <w:right w:val="single" w:sz="4" w:space="0" w:color="auto"/>
            </w:tcBorders>
            <w:shd w:val="clear" w:color="auto" w:fill="auto"/>
            <w:vAlign w:val="center"/>
            <w:hideMark/>
          </w:tcPr>
          <w:p w14:paraId="1E355213"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5</w:t>
            </w:r>
          </w:p>
        </w:tc>
        <w:tc>
          <w:tcPr>
            <w:tcW w:w="280" w:type="pct"/>
            <w:tcBorders>
              <w:top w:val="nil"/>
              <w:left w:val="nil"/>
              <w:bottom w:val="single" w:sz="4" w:space="0" w:color="auto"/>
              <w:right w:val="single" w:sz="4" w:space="0" w:color="auto"/>
            </w:tcBorders>
            <w:shd w:val="clear" w:color="auto" w:fill="auto"/>
            <w:vAlign w:val="center"/>
            <w:hideMark/>
          </w:tcPr>
          <w:p w14:paraId="7E9A5A45"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w:t>
            </w:r>
          </w:p>
        </w:tc>
        <w:tc>
          <w:tcPr>
            <w:tcW w:w="280" w:type="pct"/>
            <w:tcBorders>
              <w:top w:val="nil"/>
              <w:left w:val="nil"/>
              <w:bottom w:val="single" w:sz="4" w:space="0" w:color="auto"/>
              <w:right w:val="single" w:sz="4" w:space="0" w:color="auto"/>
            </w:tcBorders>
            <w:shd w:val="clear" w:color="auto" w:fill="auto"/>
            <w:vAlign w:val="center"/>
            <w:hideMark/>
          </w:tcPr>
          <w:p w14:paraId="02861230"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0</w:t>
            </w:r>
          </w:p>
        </w:tc>
        <w:tc>
          <w:tcPr>
            <w:tcW w:w="734" w:type="pct"/>
            <w:tcBorders>
              <w:top w:val="nil"/>
              <w:left w:val="nil"/>
              <w:bottom w:val="single" w:sz="4" w:space="0" w:color="auto"/>
              <w:right w:val="single" w:sz="4" w:space="0" w:color="auto"/>
            </w:tcBorders>
            <w:shd w:val="clear" w:color="auto" w:fill="auto"/>
            <w:noWrap/>
            <w:vAlign w:val="center"/>
            <w:hideMark/>
          </w:tcPr>
          <w:p w14:paraId="6C747E7F" w14:textId="77777777" w:rsidR="0085321D" w:rsidRPr="0085321D" w:rsidRDefault="0085321D" w:rsidP="0085321D">
            <w:pPr>
              <w:spacing w:after="0" w:line="240" w:lineRule="auto"/>
              <w:jc w:val="center"/>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108,89</w:t>
            </w:r>
          </w:p>
        </w:tc>
      </w:tr>
      <w:tr w:rsidR="0063584D" w:rsidRPr="007F78CE" w14:paraId="1183D877" w14:textId="77777777" w:rsidTr="007F78CE">
        <w:trPr>
          <w:trHeight w:val="300"/>
          <w:jc w:val="center"/>
        </w:trPr>
        <w:tc>
          <w:tcPr>
            <w:tcW w:w="898" w:type="pct"/>
            <w:tcBorders>
              <w:top w:val="nil"/>
              <w:left w:val="single" w:sz="4" w:space="0" w:color="auto"/>
              <w:bottom w:val="single" w:sz="4" w:space="0" w:color="auto"/>
              <w:right w:val="single" w:sz="4" w:space="0" w:color="auto"/>
            </w:tcBorders>
            <w:shd w:val="clear" w:color="auto" w:fill="B6DDE8"/>
            <w:noWrap/>
            <w:vAlign w:val="bottom"/>
            <w:hideMark/>
          </w:tcPr>
          <w:p w14:paraId="5EEE84EF" w14:textId="77777777" w:rsidR="0085321D" w:rsidRPr="0085321D" w:rsidRDefault="0085321D" w:rsidP="0085321D">
            <w:pPr>
              <w:spacing w:after="0" w:line="240" w:lineRule="auto"/>
              <w:rPr>
                <w:rFonts w:ascii="Arial" w:eastAsia="Times New Roman" w:hAnsi="Arial" w:cs="Arial"/>
                <w:color w:val="000000"/>
                <w:sz w:val="20"/>
                <w:szCs w:val="20"/>
                <w:lang w:eastAsia="fr-FR"/>
              </w:rPr>
            </w:pPr>
            <w:r w:rsidRPr="0085321D">
              <w:rPr>
                <w:rFonts w:ascii="Arial" w:eastAsia="Times New Roman" w:hAnsi="Arial" w:cs="Arial"/>
                <w:color w:val="000000"/>
                <w:sz w:val="20"/>
                <w:szCs w:val="20"/>
                <w:lang w:eastAsia="fr-FR"/>
              </w:rPr>
              <w:t>T</w:t>
            </w:r>
            <w:r w:rsidRPr="0085321D">
              <w:rPr>
                <w:rFonts w:ascii="Arial" w:eastAsia="Times New Roman" w:hAnsi="Arial" w:cs="Arial"/>
                <w:b/>
                <w:bCs/>
                <w:color w:val="000000"/>
                <w:sz w:val="20"/>
                <w:szCs w:val="20"/>
                <w:lang w:eastAsia="fr-FR"/>
              </w:rPr>
              <w:t>otal</w:t>
            </w:r>
          </w:p>
        </w:tc>
        <w:tc>
          <w:tcPr>
            <w:tcW w:w="402" w:type="pct"/>
            <w:tcBorders>
              <w:top w:val="nil"/>
              <w:left w:val="nil"/>
              <w:bottom w:val="single" w:sz="4" w:space="0" w:color="auto"/>
              <w:right w:val="single" w:sz="4" w:space="0" w:color="auto"/>
            </w:tcBorders>
            <w:shd w:val="clear" w:color="auto" w:fill="B6DDE8"/>
            <w:noWrap/>
            <w:vAlign w:val="center"/>
            <w:hideMark/>
          </w:tcPr>
          <w:p w14:paraId="7F6EB883" w14:textId="77777777" w:rsidR="0085321D" w:rsidRPr="0085321D" w:rsidRDefault="0085321D" w:rsidP="0085321D">
            <w:pPr>
              <w:spacing w:after="0" w:line="240" w:lineRule="auto"/>
              <w:jc w:val="center"/>
              <w:rPr>
                <w:rFonts w:ascii="Arial" w:eastAsia="Times New Roman" w:hAnsi="Arial" w:cs="Arial"/>
                <w:b/>
                <w:bCs/>
                <w:color w:val="000000"/>
                <w:sz w:val="20"/>
                <w:szCs w:val="20"/>
                <w:lang w:eastAsia="fr-FR"/>
              </w:rPr>
            </w:pPr>
            <w:r w:rsidRPr="0085321D">
              <w:rPr>
                <w:rFonts w:ascii="Arial" w:eastAsia="Times New Roman" w:hAnsi="Arial" w:cs="Arial"/>
                <w:b/>
                <w:bCs/>
                <w:color w:val="000000"/>
                <w:sz w:val="20"/>
                <w:szCs w:val="20"/>
                <w:lang w:eastAsia="fr-FR"/>
              </w:rPr>
              <w:t>114</w:t>
            </w:r>
          </w:p>
        </w:tc>
        <w:tc>
          <w:tcPr>
            <w:tcW w:w="538" w:type="pct"/>
            <w:tcBorders>
              <w:top w:val="nil"/>
              <w:left w:val="nil"/>
              <w:bottom w:val="single" w:sz="4" w:space="0" w:color="auto"/>
              <w:right w:val="single" w:sz="4" w:space="0" w:color="auto"/>
            </w:tcBorders>
            <w:shd w:val="clear" w:color="auto" w:fill="B6DDE8"/>
            <w:noWrap/>
            <w:vAlign w:val="center"/>
            <w:hideMark/>
          </w:tcPr>
          <w:p w14:paraId="55A964D0" w14:textId="77777777" w:rsidR="0085321D" w:rsidRPr="0085321D" w:rsidRDefault="0085321D" w:rsidP="0085321D">
            <w:pPr>
              <w:spacing w:after="0" w:line="240" w:lineRule="auto"/>
              <w:jc w:val="right"/>
              <w:rPr>
                <w:rFonts w:ascii="Arial" w:eastAsia="Times New Roman" w:hAnsi="Arial" w:cs="Arial"/>
                <w:b/>
                <w:bCs/>
                <w:color w:val="000000"/>
                <w:sz w:val="20"/>
                <w:szCs w:val="20"/>
                <w:lang w:eastAsia="fr-FR"/>
              </w:rPr>
            </w:pPr>
            <w:r w:rsidRPr="0085321D">
              <w:rPr>
                <w:rFonts w:ascii="Arial" w:eastAsia="Times New Roman" w:hAnsi="Arial" w:cs="Arial"/>
                <w:b/>
                <w:bCs/>
                <w:color w:val="000000"/>
                <w:sz w:val="20"/>
                <w:szCs w:val="20"/>
                <w:lang w:eastAsia="fr-FR"/>
              </w:rPr>
              <w:t>1564</w:t>
            </w:r>
          </w:p>
        </w:tc>
        <w:tc>
          <w:tcPr>
            <w:tcW w:w="554" w:type="pct"/>
            <w:tcBorders>
              <w:top w:val="nil"/>
              <w:left w:val="nil"/>
              <w:bottom w:val="single" w:sz="4" w:space="0" w:color="auto"/>
              <w:right w:val="single" w:sz="4" w:space="0" w:color="auto"/>
            </w:tcBorders>
            <w:shd w:val="clear" w:color="auto" w:fill="B6DDE8"/>
            <w:noWrap/>
            <w:vAlign w:val="center"/>
            <w:hideMark/>
          </w:tcPr>
          <w:p w14:paraId="5E8D56B4" w14:textId="77777777" w:rsidR="0085321D" w:rsidRPr="0085321D" w:rsidRDefault="0085321D" w:rsidP="0085321D">
            <w:pPr>
              <w:spacing w:after="0" w:line="240" w:lineRule="auto"/>
              <w:jc w:val="center"/>
              <w:rPr>
                <w:rFonts w:ascii="Arial" w:eastAsia="Times New Roman" w:hAnsi="Arial" w:cs="Arial"/>
                <w:b/>
                <w:bCs/>
                <w:color w:val="000000"/>
                <w:sz w:val="20"/>
                <w:szCs w:val="20"/>
                <w:lang w:eastAsia="fr-FR"/>
              </w:rPr>
            </w:pPr>
            <w:r w:rsidRPr="0085321D">
              <w:rPr>
                <w:rFonts w:ascii="Arial" w:eastAsia="Times New Roman" w:hAnsi="Arial" w:cs="Arial"/>
                <w:b/>
                <w:bCs/>
                <w:color w:val="000000"/>
                <w:sz w:val="20"/>
                <w:szCs w:val="20"/>
                <w:lang w:eastAsia="fr-FR"/>
              </w:rPr>
              <w:t>17485</w:t>
            </w:r>
          </w:p>
        </w:tc>
        <w:tc>
          <w:tcPr>
            <w:tcW w:w="338" w:type="pct"/>
            <w:tcBorders>
              <w:top w:val="nil"/>
              <w:left w:val="nil"/>
              <w:bottom w:val="single" w:sz="4" w:space="0" w:color="auto"/>
              <w:right w:val="single" w:sz="4" w:space="0" w:color="auto"/>
            </w:tcBorders>
            <w:shd w:val="clear" w:color="auto" w:fill="B6DDE8"/>
            <w:noWrap/>
            <w:vAlign w:val="center"/>
            <w:hideMark/>
          </w:tcPr>
          <w:p w14:paraId="6F441ABE" w14:textId="77777777" w:rsidR="0085321D" w:rsidRPr="0085321D" w:rsidRDefault="0085321D" w:rsidP="0085321D">
            <w:pPr>
              <w:spacing w:after="0" w:line="240" w:lineRule="auto"/>
              <w:jc w:val="center"/>
              <w:rPr>
                <w:rFonts w:ascii="Arial" w:eastAsia="Times New Roman" w:hAnsi="Arial" w:cs="Arial"/>
                <w:b/>
                <w:bCs/>
                <w:color w:val="000000"/>
                <w:sz w:val="20"/>
                <w:szCs w:val="20"/>
                <w:lang w:eastAsia="fr-FR"/>
              </w:rPr>
            </w:pPr>
            <w:r w:rsidRPr="0085321D">
              <w:rPr>
                <w:rFonts w:ascii="Arial" w:eastAsia="Times New Roman" w:hAnsi="Arial" w:cs="Arial"/>
                <w:b/>
                <w:bCs/>
                <w:color w:val="000000"/>
                <w:sz w:val="20"/>
                <w:szCs w:val="20"/>
                <w:lang w:eastAsia="fr-FR"/>
              </w:rPr>
              <w:t>1 076</w:t>
            </w:r>
          </w:p>
        </w:tc>
        <w:tc>
          <w:tcPr>
            <w:tcW w:w="338" w:type="pct"/>
            <w:tcBorders>
              <w:top w:val="nil"/>
              <w:left w:val="nil"/>
              <w:bottom w:val="single" w:sz="4" w:space="0" w:color="auto"/>
              <w:right w:val="single" w:sz="4" w:space="0" w:color="auto"/>
            </w:tcBorders>
            <w:shd w:val="clear" w:color="auto" w:fill="B6DDE8"/>
            <w:noWrap/>
            <w:vAlign w:val="center"/>
            <w:hideMark/>
          </w:tcPr>
          <w:p w14:paraId="22C2E5AF" w14:textId="77777777" w:rsidR="0085321D" w:rsidRPr="0085321D" w:rsidRDefault="0085321D" w:rsidP="0085321D">
            <w:pPr>
              <w:spacing w:after="0" w:line="240" w:lineRule="auto"/>
              <w:jc w:val="center"/>
              <w:rPr>
                <w:rFonts w:ascii="Arial" w:eastAsia="Times New Roman" w:hAnsi="Arial" w:cs="Arial"/>
                <w:b/>
                <w:bCs/>
                <w:color w:val="000000"/>
                <w:sz w:val="20"/>
                <w:szCs w:val="20"/>
                <w:lang w:eastAsia="fr-FR"/>
              </w:rPr>
            </w:pPr>
            <w:r w:rsidRPr="0085321D">
              <w:rPr>
                <w:rFonts w:ascii="Arial" w:eastAsia="Times New Roman" w:hAnsi="Arial" w:cs="Arial"/>
                <w:b/>
                <w:bCs/>
                <w:color w:val="000000"/>
                <w:sz w:val="20"/>
                <w:szCs w:val="20"/>
                <w:lang w:eastAsia="fr-FR"/>
              </w:rPr>
              <w:t>2 140</w:t>
            </w:r>
          </w:p>
        </w:tc>
        <w:tc>
          <w:tcPr>
            <w:tcW w:w="306" w:type="pct"/>
            <w:tcBorders>
              <w:top w:val="nil"/>
              <w:left w:val="nil"/>
              <w:bottom w:val="single" w:sz="4" w:space="0" w:color="auto"/>
              <w:right w:val="single" w:sz="4" w:space="0" w:color="auto"/>
            </w:tcBorders>
            <w:shd w:val="clear" w:color="auto" w:fill="B6DDE8"/>
            <w:noWrap/>
            <w:vAlign w:val="center"/>
            <w:hideMark/>
          </w:tcPr>
          <w:p w14:paraId="29F22B64" w14:textId="77777777" w:rsidR="0085321D" w:rsidRPr="0085321D" w:rsidRDefault="0085321D" w:rsidP="0085321D">
            <w:pPr>
              <w:spacing w:after="0" w:line="240" w:lineRule="auto"/>
              <w:jc w:val="center"/>
              <w:rPr>
                <w:rFonts w:ascii="Arial" w:eastAsia="Times New Roman" w:hAnsi="Arial" w:cs="Arial"/>
                <w:b/>
                <w:bCs/>
                <w:color w:val="000000"/>
                <w:sz w:val="20"/>
                <w:szCs w:val="20"/>
                <w:lang w:eastAsia="fr-FR"/>
              </w:rPr>
            </w:pPr>
            <w:r w:rsidRPr="0085321D">
              <w:rPr>
                <w:rFonts w:ascii="Arial" w:eastAsia="Times New Roman" w:hAnsi="Arial" w:cs="Arial"/>
                <w:b/>
                <w:bCs/>
                <w:color w:val="000000"/>
                <w:sz w:val="20"/>
                <w:szCs w:val="20"/>
                <w:lang w:eastAsia="fr-FR"/>
              </w:rPr>
              <w:t>66</w:t>
            </w:r>
          </w:p>
        </w:tc>
        <w:tc>
          <w:tcPr>
            <w:tcW w:w="333" w:type="pct"/>
            <w:tcBorders>
              <w:top w:val="nil"/>
              <w:left w:val="nil"/>
              <w:bottom w:val="single" w:sz="4" w:space="0" w:color="auto"/>
              <w:right w:val="single" w:sz="4" w:space="0" w:color="auto"/>
            </w:tcBorders>
            <w:shd w:val="clear" w:color="auto" w:fill="B6DDE8"/>
            <w:noWrap/>
            <w:vAlign w:val="center"/>
            <w:hideMark/>
          </w:tcPr>
          <w:p w14:paraId="4A775360" w14:textId="77777777" w:rsidR="0085321D" w:rsidRPr="0085321D" w:rsidRDefault="0085321D" w:rsidP="0085321D">
            <w:pPr>
              <w:spacing w:after="0" w:line="240" w:lineRule="auto"/>
              <w:jc w:val="center"/>
              <w:rPr>
                <w:rFonts w:ascii="Arial" w:eastAsia="Times New Roman" w:hAnsi="Arial" w:cs="Arial"/>
                <w:b/>
                <w:bCs/>
                <w:color w:val="000000"/>
                <w:sz w:val="20"/>
                <w:szCs w:val="20"/>
                <w:lang w:eastAsia="fr-FR"/>
              </w:rPr>
            </w:pPr>
            <w:r w:rsidRPr="0085321D">
              <w:rPr>
                <w:rFonts w:ascii="Arial" w:eastAsia="Times New Roman" w:hAnsi="Arial" w:cs="Arial"/>
                <w:b/>
                <w:bCs/>
                <w:color w:val="000000"/>
                <w:sz w:val="20"/>
                <w:szCs w:val="20"/>
                <w:lang w:eastAsia="fr-FR"/>
              </w:rPr>
              <w:t>95</w:t>
            </w:r>
          </w:p>
        </w:tc>
        <w:tc>
          <w:tcPr>
            <w:tcW w:w="280" w:type="pct"/>
            <w:tcBorders>
              <w:top w:val="nil"/>
              <w:left w:val="nil"/>
              <w:bottom w:val="single" w:sz="4" w:space="0" w:color="auto"/>
              <w:right w:val="single" w:sz="4" w:space="0" w:color="auto"/>
            </w:tcBorders>
            <w:shd w:val="clear" w:color="auto" w:fill="B6DDE8"/>
            <w:noWrap/>
            <w:vAlign w:val="center"/>
            <w:hideMark/>
          </w:tcPr>
          <w:p w14:paraId="5EC65E9E" w14:textId="77777777" w:rsidR="0085321D" w:rsidRPr="0085321D" w:rsidRDefault="0085321D" w:rsidP="0085321D">
            <w:pPr>
              <w:spacing w:after="0" w:line="240" w:lineRule="auto"/>
              <w:jc w:val="center"/>
              <w:rPr>
                <w:rFonts w:ascii="Arial" w:eastAsia="Times New Roman" w:hAnsi="Arial" w:cs="Arial"/>
                <w:b/>
                <w:bCs/>
                <w:color w:val="000000"/>
                <w:sz w:val="20"/>
                <w:szCs w:val="20"/>
                <w:lang w:eastAsia="fr-FR"/>
              </w:rPr>
            </w:pPr>
            <w:r w:rsidRPr="0085321D">
              <w:rPr>
                <w:rFonts w:ascii="Arial" w:eastAsia="Times New Roman" w:hAnsi="Arial" w:cs="Arial"/>
                <w:b/>
                <w:bCs/>
                <w:color w:val="000000"/>
                <w:sz w:val="20"/>
                <w:szCs w:val="20"/>
                <w:lang w:eastAsia="fr-FR"/>
              </w:rPr>
              <w:t>16</w:t>
            </w:r>
          </w:p>
        </w:tc>
        <w:tc>
          <w:tcPr>
            <w:tcW w:w="280" w:type="pct"/>
            <w:tcBorders>
              <w:top w:val="nil"/>
              <w:left w:val="nil"/>
              <w:bottom w:val="single" w:sz="4" w:space="0" w:color="auto"/>
              <w:right w:val="single" w:sz="4" w:space="0" w:color="auto"/>
            </w:tcBorders>
            <w:shd w:val="clear" w:color="auto" w:fill="B6DDE8"/>
            <w:noWrap/>
            <w:vAlign w:val="center"/>
            <w:hideMark/>
          </w:tcPr>
          <w:p w14:paraId="7B28BDF1" w14:textId="77777777" w:rsidR="0085321D" w:rsidRPr="0085321D" w:rsidRDefault="0085321D" w:rsidP="0085321D">
            <w:pPr>
              <w:spacing w:after="0" w:line="240" w:lineRule="auto"/>
              <w:jc w:val="center"/>
              <w:rPr>
                <w:rFonts w:ascii="Arial" w:eastAsia="Times New Roman" w:hAnsi="Arial" w:cs="Arial"/>
                <w:b/>
                <w:bCs/>
                <w:color w:val="000000"/>
                <w:sz w:val="20"/>
                <w:szCs w:val="20"/>
                <w:lang w:eastAsia="fr-FR"/>
              </w:rPr>
            </w:pPr>
            <w:r w:rsidRPr="0085321D">
              <w:rPr>
                <w:rFonts w:ascii="Arial" w:eastAsia="Times New Roman" w:hAnsi="Arial" w:cs="Arial"/>
                <w:b/>
                <w:bCs/>
                <w:color w:val="000000"/>
                <w:sz w:val="20"/>
                <w:szCs w:val="20"/>
                <w:lang w:eastAsia="fr-FR"/>
              </w:rPr>
              <w:t>20</w:t>
            </w:r>
          </w:p>
        </w:tc>
        <w:tc>
          <w:tcPr>
            <w:tcW w:w="734" w:type="pct"/>
            <w:tcBorders>
              <w:top w:val="nil"/>
              <w:left w:val="nil"/>
              <w:bottom w:val="single" w:sz="4" w:space="0" w:color="auto"/>
              <w:right w:val="single" w:sz="4" w:space="0" w:color="auto"/>
            </w:tcBorders>
            <w:shd w:val="clear" w:color="auto" w:fill="B6DDE8"/>
            <w:noWrap/>
            <w:vAlign w:val="center"/>
            <w:hideMark/>
          </w:tcPr>
          <w:p w14:paraId="650BD1FE" w14:textId="77777777" w:rsidR="0085321D" w:rsidRPr="0085321D" w:rsidRDefault="0085321D" w:rsidP="0085321D">
            <w:pPr>
              <w:spacing w:after="0" w:line="240" w:lineRule="auto"/>
              <w:jc w:val="center"/>
              <w:rPr>
                <w:rFonts w:ascii="Arial" w:eastAsia="Times New Roman" w:hAnsi="Arial" w:cs="Arial"/>
                <w:b/>
                <w:bCs/>
                <w:color w:val="000000"/>
                <w:sz w:val="20"/>
                <w:szCs w:val="20"/>
                <w:lang w:eastAsia="fr-FR"/>
              </w:rPr>
            </w:pPr>
            <w:r w:rsidRPr="0085321D">
              <w:rPr>
                <w:rFonts w:ascii="Arial" w:eastAsia="Times New Roman" w:hAnsi="Arial" w:cs="Arial"/>
                <w:b/>
                <w:bCs/>
                <w:color w:val="000000"/>
                <w:sz w:val="20"/>
                <w:szCs w:val="20"/>
                <w:lang w:eastAsia="fr-FR"/>
              </w:rPr>
              <w:t>137</w:t>
            </w:r>
          </w:p>
        </w:tc>
      </w:tr>
    </w:tbl>
    <w:p w14:paraId="0A1402E2" w14:textId="77777777" w:rsidR="00DF004F" w:rsidRDefault="00F016FE" w:rsidP="00B434A6">
      <w:pPr>
        <w:spacing w:after="0" w:line="240" w:lineRule="auto"/>
        <w:ind w:left="1134"/>
        <w:rPr>
          <w:i/>
          <w:sz w:val="18"/>
        </w:rPr>
      </w:pPr>
      <w:r w:rsidRPr="00F016FE">
        <w:rPr>
          <w:i/>
          <w:sz w:val="18"/>
        </w:rPr>
        <w:t>Source INSTAT 2013</w:t>
      </w:r>
    </w:p>
    <w:p w14:paraId="3CBF4DAD" w14:textId="77777777" w:rsidR="00BD60DD" w:rsidRPr="00BE7250" w:rsidRDefault="00666FA1" w:rsidP="00656722">
      <w:pPr>
        <w:jc w:val="both"/>
        <w:rPr>
          <w:rFonts w:ascii="Arial" w:hAnsi="Arial" w:cs="Arial"/>
        </w:rPr>
      </w:pPr>
      <w:r w:rsidRPr="00BE7250">
        <w:rPr>
          <w:rFonts w:ascii="Arial" w:hAnsi="Arial" w:cs="Arial"/>
        </w:rPr>
        <w:t xml:space="preserve">L’accès à la santé reste inégal à Madagascar puisque la plupart des centres de santé sont concentrés au niveau des hauts plateaux </w:t>
      </w:r>
      <w:r w:rsidR="0085321D" w:rsidRPr="00BE7250">
        <w:rPr>
          <w:rFonts w:ascii="Arial" w:hAnsi="Arial" w:cs="Arial"/>
        </w:rPr>
        <w:t>et la c</w:t>
      </w:r>
      <w:r w:rsidR="00936C83">
        <w:rPr>
          <w:rFonts w:ascii="Arial" w:hAnsi="Arial" w:cs="Arial"/>
        </w:rPr>
        <w:t>ô</w:t>
      </w:r>
      <w:r w:rsidR="0085321D" w:rsidRPr="00BE7250">
        <w:rPr>
          <w:rFonts w:ascii="Arial" w:hAnsi="Arial" w:cs="Arial"/>
        </w:rPr>
        <w:t>te Est (Région Analamanga, Vakina</w:t>
      </w:r>
      <w:r w:rsidR="0080792F">
        <w:rPr>
          <w:rFonts w:ascii="Arial" w:hAnsi="Arial" w:cs="Arial"/>
        </w:rPr>
        <w:t>n</w:t>
      </w:r>
      <w:r w:rsidR="0085321D" w:rsidRPr="00BE7250">
        <w:rPr>
          <w:rFonts w:ascii="Arial" w:hAnsi="Arial" w:cs="Arial"/>
        </w:rPr>
        <w:t>karatra, et Atsinana</w:t>
      </w:r>
      <w:r w:rsidR="00997DD9">
        <w:rPr>
          <w:rFonts w:ascii="Arial" w:hAnsi="Arial" w:cs="Arial"/>
        </w:rPr>
        <w:t>na</w:t>
      </w:r>
      <w:r w:rsidR="0085321D" w:rsidRPr="00BE7250">
        <w:rPr>
          <w:rFonts w:ascii="Arial" w:hAnsi="Arial" w:cs="Arial"/>
        </w:rPr>
        <w:t xml:space="preserve">). </w:t>
      </w:r>
      <w:r w:rsidR="006F45CC">
        <w:rPr>
          <w:rFonts w:ascii="Arial" w:hAnsi="Arial" w:cs="Arial"/>
        </w:rPr>
        <w:t>Cependant</w:t>
      </w:r>
      <w:r w:rsidR="00BE7250" w:rsidRPr="00BE7250">
        <w:rPr>
          <w:rFonts w:ascii="Arial" w:hAnsi="Arial" w:cs="Arial"/>
        </w:rPr>
        <w:t xml:space="preserve">, </w:t>
      </w:r>
      <w:r w:rsidR="0085321D" w:rsidRPr="00BE7250">
        <w:rPr>
          <w:rFonts w:ascii="Arial" w:hAnsi="Arial" w:cs="Arial"/>
        </w:rPr>
        <w:t>le taux de recouvrement de CSB II est assez élevé puisqu’il est de 13</w:t>
      </w:r>
      <w:r w:rsidR="0036277D">
        <w:rPr>
          <w:rFonts w:ascii="Arial" w:hAnsi="Arial" w:cs="Arial"/>
        </w:rPr>
        <w:t>7</w:t>
      </w:r>
      <w:r w:rsidR="0085321D" w:rsidRPr="00BE7250">
        <w:rPr>
          <w:rFonts w:ascii="Arial" w:hAnsi="Arial" w:cs="Arial"/>
        </w:rPr>
        <w:t xml:space="preserve">%. C’est-à-dire qu’il existe des Communes qui ont plusieurs CSB II. </w:t>
      </w:r>
    </w:p>
    <w:p w14:paraId="1213BAD2" w14:textId="77777777" w:rsidR="00666FA1" w:rsidRPr="00327DB6" w:rsidRDefault="0085321D" w:rsidP="00666FA1">
      <w:pPr>
        <w:jc w:val="both"/>
        <w:rPr>
          <w:rFonts w:ascii="Arial" w:hAnsi="Arial" w:cs="Arial"/>
        </w:rPr>
      </w:pPr>
      <w:r w:rsidRPr="00BE7250">
        <w:rPr>
          <w:rFonts w:ascii="Arial" w:hAnsi="Arial" w:cs="Arial"/>
        </w:rPr>
        <w:t>Malheureusement</w:t>
      </w:r>
      <w:r w:rsidR="00666FA1" w:rsidRPr="00BE7250">
        <w:rPr>
          <w:rFonts w:ascii="Arial" w:hAnsi="Arial" w:cs="Arial"/>
        </w:rPr>
        <w:t>, le système de santé est très défaillant à Madagascar à cause du manque de personnels suffisants en nombre et en qualification</w:t>
      </w:r>
      <w:r w:rsidR="00666FA1" w:rsidRPr="00BE7250">
        <w:rPr>
          <w:rFonts w:ascii="Arial" w:hAnsi="Arial" w:cs="Arial"/>
          <w:vertAlign w:val="superscript"/>
        </w:rPr>
        <w:footnoteReference w:id="57"/>
      </w:r>
      <w:r w:rsidR="00666FA1" w:rsidRPr="00BE7250">
        <w:rPr>
          <w:rFonts w:ascii="Arial" w:hAnsi="Arial" w:cs="Arial"/>
        </w:rPr>
        <w:t>. Effectivement, le taux de mortalité maternel de 1993 à 2018 n’a pas connu un changement significatif</w:t>
      </w:r>
      <w:r w:rsidR="00997DD9">
        <w:rPr>
          <w:rFonts w:ascii="Arial" w:hAnsi="Arial" w:cs="Arial"/>
        </w:rPr>
        <w:t>,</w:t>
      </w:r>
      <w:r w:rsidR="00666FA1" w:rsidRPr="00BE7250">
        <w:rPr>
          <w:rFonts w:ascii="Arial" w:hAnsi="Arial" w:cs="Arial"/>
        </w:rPr>
        <w:t xml:space="preserve"> </w:t>
      </w:r>
      <w:r w:rsidR="00997DD9">
        <w:rPr>
          <w:rFonts w:ascii="Arial" w:hAnsi="Arial" w:cs="Arial"/>
        </w:rPr>
        <w:t>a</w:t>
      </w:r>
      <w:r w:rsidR="00666FA1" w:rsidRPr="00BE7250">
        <w:rPr>
          <w:rFonts w:ascii="Arial" w:hAnsi="Arial" w:cs="Arial"/>
        </w:rPr>
        <w:t>vec un taux de mortalité maternelle de 408 pour 100 000 en 2018 contre 169 pour 100 00</w:t>
      </w:r>
      <w:r w:rsidR="00997DD9">
        <w:rPr>
          <w:rFonts w:ascii="Arial" w:hAnsi="Arial" w:cs="Arial"/>
        </w:rPr>
        <w:t>0</w:t>
      </w:r>
      <w:r w:rsidR="00666FA1" w:rsidRPr="00BE7250">
        <w:rPr>
          <w:rFonts w:ascii="Arial" w:hAnsi="Arial" w:cs="Arial"/>
        </w:rPr>
        <w:t xml:space="preserve"> en 1993</w:t>
      </w:r>
      <w:r w:rsidR="00666FA1" w:rsidRPr="00BE7250">
        <w:rPr>
          <w:vertAlign w:val="superscript"/>
        </w:rPr>
        <w:footnoteReference w:id="58"/>
      </w:r>
      <w:r w:rsidR="00666FA1" w:rsidRPr="00BE7250">
        <w:rPr>
          <w:rFonts w:ascii="Arial" w:hAnsi="Arial" w:cs="Arial"/>
          <w:vertAlign w:val="superscript"/>
        </w:rPr>
        <w:t>.</w:t>
      </w:r>
      <w:r w:rsidR="00666FA1" w:rsidRPr="00BE7250">
        <w:rPr>
          <w:rFonts w:ascii="Arial" w:hAnsi="Arial" w:cs="Arial"/>
        </w:rPr>
        <w:t xml:space="preserve"> En plus, environ la moitié des femmes enceintes ne se font pas examiner durant leur grossesse et accouchent sans la présence d’un personnel médical</w:t>
      </w:r>
      <w:r w:rsidR="00997DD9">
        <w:rPr>
          <w:rFonts w:ascii="Arial" w:hAnsi="Arial" w:cs="Arial"/>
        </w:rPr>
        <w:t xml:space="preserve"> qualifié</w:t>
      </w:r>
      <w:r w:rsidR="00666FA1" w:rsidRPr="00BE7250">
        <w:rPr>
          <w:rFonts w:ascii="Arial" w:hAnsi="Arial" w:cs="Arial"/>
        </w:rPr>
        <w:t xml:space="preserve">. En outre, nombreuses sont les épidémies qui traversent sporadiquement le territoire. C’est le cas de l’épidémie de peste bubonique et de peste pulmonaire, particulièrement virulente entre septembre et novembre 2017, qui </w:t>
      </w:r>
      <w:r w:rsidR="00BE7250" w:rsidRPr="00BE7250">
        <w:rPr>
          <w:rFonts w:ascii="Arial" w:hAnsi="Arial" w:cs="Arial"/>
        </w:rPr>
        <w:t>a</w:t>
      </w:r>
      <w:r w:rsidR="00666FA1" w:rsidRPr="00BE7250">
        <w:rPr>
          <w:rFonts w:ascii="Arial" w:hAnsi="Arial" w:cs="Arial"/>
        </w:rPr>
        <w:t xml:space="preserve"> touché </w:t>
      </w:r>
      <w:r w:rsidR="00666FA1" w:rsidRPr="00327DB6">
        <w:rPr>
          <w:rFonts w:ascii="Arial" w:hAnsi="Arial" w:cs="Arial"/>
        </w:rPr>
        <w:t>plusieurs villes du pays</w:t>
      </w:r>
      <w:r w:rsidR="00BE7250" w:rsidRPr="00327DB6">
        <w:rPr>
          <w:rFonts w:ascii="Arial" w:hAnsi="Arial" w:cs="Arial"/>
        </w:rPr>
        <w:t xml:space="preserve">, </w:t>
      </w:r>
      <w:r w:rsidR="00666FA1" w:rsidRPr="00742D67">
        <w:rPr>
          <w:rFonts w:ascii="Arial" w:hAnsi="Arial" w:cs="Arial"/>
        </w:rPr>
        <w:t>dont la capitale</w:t>
      </w:r>
      <w:r w:rsidR="008A571F" w:rsidRPr="00742D67">
        <w:rPr>
          <w:rFonts w:ascii="Arial" w:hAnsi="Arial" w:cs="Arial"/>
        </w:rPr>
        <w:t xml:space="preserve"> et aussi la</w:t>
      </w:r>
      <w:r w:rsidR="0036277D" w:rsidRPr="00742D67">
        <w:rPr>
          <w:rFonts w:ascii="Arial" w:hAnsi="Arial" w:cs="Arial"/>
        </w:rPr>
        <w:t xml:space="preserve"> pandémie de COVID 19 qui a touché Madagascar durant l’année 2020 et 2021</w:t>
      </w:r>
      <w:r w:rsidR="00056AF9" w:rsidRPr="00327DB6">
        <w:rPr>
          <w:rFonts w:ascii="Arial" w:hAnsi="Arial" w:cs="Arial"/>
        </w:rPr>
        <w:t>.</w:t>
      </w:r>
    </w:p>
    <w:p w14:paraId="19F2BD05" w14:textId="77777777" w:rsidR="001D3A29" w:rsidRDefault="001D3A29" w:rsidP="0044500E">
      <w:pPr>
        <w:pStyle w:val="TIT3"/>
        <w:numPr>
          <w:ilvl w:val="2"/>
          <w:numId w:val="177"/>
        </w:numPr>
      </w:pPr>
      <w:bookmarkStart w:id="460" w:name="_Toc124314682"/>
      <w:bookmarkStart w:id="461" w:name="_Toc124956160"/>
      <w:bookmarkStart w:id="462" w:name="_Toc125384559"/>
      <w:bookmarkStart w:id="463" w:name="_Toc125384948"/>
      <w:bookmarkStart w:id="464" w:name="_Toc127957620"/>
      <w:r w:rsidRPr="001D3A29">
        <w:t>Secteur énergie</w:t>
      </w:r>
      <w:bookmarkEnd w:id="460"/>
      <w:bookmarkEnd w:id="461"/>
      <w:bookmarkEnd w:id="462"/>
      <w:bookmarkEnd w:id="463"/>
      <w:bookmarkEnd w:id="464"/>
      <w:r w:rsidRPr="001D3A29">
        <w:t xml:space="preserve"> </w:t>
      </w:r>
    </w:p>
    <w:p w14:paraId="104A1B2C" w14:textId="77777777" w:rsidR="0007493B" w:rsidRPr="0007493B" w:rsidRDefault="0007493B" w:rsidP="0044500E">
      <w:pPr>
        <w:pStyle w:val="TIT40"/>
        <w:numPr>
          <w:ilvl w:val="3"/>
          <w:numId w:val="177"/>
        </w:numPr>
        <w:outlineLvl w:val="3"/>
      </w:pPr>
      <w:bookmarkStart w:id="465" w:name="_Toc124314683"/>
      <w:bookmarkStart w:id="466" w:name="_Toc124956161"/>
      <w:bookmarkStart w:id="467" w:name="_Toc125384560"/>
      <w:bookmarkStart w:id="468" w:name="_Toc125384949"/>
      <w:bookmarkStart w:id="469" w:name="_Toc127957621"/>
      <w:r w:rsidRPr="0007493B">
        <w:t>Production énergétique</w:t>
      </w:r>
      <w:bookmarkEnd w:id="465"/>
      <w:bookmarkEnd w:id="466"/>
      <w:bookmarkEnd w:id="467"/>
      <w:bookmarkEnd w:id="468"/>
      <w:bookmarkEnd w:id="469"/>
      <w:r w:rsidRPr="0007493B">
        <w:t xml:space="preserve"> </w:t>
      </w:r>
    </w:p>
    <w:p w14:paraId="06011CDD" w14:textId="77777777" w:rsidR="0007493B" w:rsidRPr="00742D67" w:rsidRDefault="63D8C5E7" w:rsidP="0007493B">
      <w:pPr>
        <w:jc w:val="both"/>
        <w:rPr>
          <w:rFonts w:ascii="Arial" w:hAnsi="Arial" w:cs="Arial"/>
        </w:rPr>
      </w:pPr>
      <w:r w:rsidRPr="00327DB6">
        <w:rPr>
          <w:rFonts w:ascii="Arial" w:hAnsi="Arial" w:cs="Arial"/>
        </w:rPr>
        <w:t xml:space="preserve">A Madagascar, la fourniture en énergie électrique </w:t>
      </w:r>
      <w:r w:rsidR="00A72ED1" w:rsidRPr="00327DB6">
        <w:rPr>
          <w:rFonts w:ascii="Arial" w:hAnsi="Arial" w:cs="Arial"/>
        </w:rPr>
        <w:t xml:space="preserve">en milieu urbain </w:t>
      </w:r>
      <w:r w:rsidRPr="00327DB6">
        <w:rPr>
          <w:rFonts w:ascii="Arial" w:hAnsi="Arial" w:cs="Arial"/>
        </w:rPr>
        <w:t xml:space="preserve">est assurée par le réseau de la société </w:t>
      </w:r>
      <w:r w:rsidR="6F1162E4" w:rsidRPr="00327DB6">
        <w:rPr>
          <w:rFonts w:ascii="Arial" w:hAnsi="Arial" w:cs="Arial"/>
        </w:rPr>
        <w:t xml:space="preserve">publique </w:t>
      </w:r>
      <w:r w:rsidRPr="00327DB6">
        <w:rPr>
          <w:rFonts w:ascii="Arial" w:hAnsi="Arial" w:cs="Arial"/>
        </w:rPr>
        <w:t xml:space="preserve">JIRAMA </w:t>
      </w:r>
      <w:r w:rsidR="00A72ED1" w:rsidRPr="00742D67">
        <w:rPr>
          <w:rFonts w:ascii="Arial" w:hAnsi="Arial" w:cs="Arial"/>
        </w:rPr>
        <w:t xml:space="preserve">alors qu’en milieu rural, c’est </w:t>
      </w:r>
      <w:r w:rsidRPr="00742D67">
        <w:rPr>
          <w:rFonts w:ascii="Arial" w:hAnsi="Arial" w:cs="Arial"/>
        </w:rPr>
        <w:t>ADER</w:t>
      </w:r>
      <w:r w:rsidRPr="00327DB6">
        <w:rPr>
          <w:rFonts w:ascii="Arial" w:hAnsi="Arial" w:cs="Arial"/>
        </w:rPr>
        <w:t xml:space="preserve">, </w:t>
      </w:r>
      <w:r w:rsidRPr="00742D67">
        <w:rPr>
          <w:rFonts w:ascii="Arial" w:hAnsi="Arial" w:cs="Arial"/>
        </w:rPr>
        <w:t xml:space="preserve">une structure chargée par le Ministère </w:t>
      </w:r>
      <w:r w:rsidR="6F1162E4" w:rsidRPr="00742D67">
        <w:rPr>
          <w:rFonts w:ascii="Arial" w:hAnsi="Arial" w:cs="Arial"/>
        </w:rPr>
        <w:t xml:space="preserve">en charge </w:t>
      </w:r>
      <w:r w:rsidRPr="00742D67">
        <w:rPr>
          <w:rFonts w:ascii="Arial" w:hAnsi="Arial" w:cs="Arial"/>
        </w:rPr>
        <w:t>de l’</w:t>
      </w:r>
      <w:r w:rsidR="2B75A4A1" w:rsidRPr="00742D67">
        <w:rPr>
          <w:rFonts w:ascii="Arial" w:hAnsi="Arial" w:cs="Arial"/>
        </w:rPr>
        <w:t>É</w:t>
      </w:r>
      <w:r w:rsidRPr="00742D67">
        <w:rPr>
          <w:rFonts w:ascii="Arial" w:hAnsi="Arial" w:cs="Arial"/>
        </w:rPr>
        <w:t>nergie</w:t>
      </w:r>
      <w:r w:rsidR="00432287">
        <w:rPr>
          <w:rFonts w:ascii="Arial" w:hAnsi="Arial" w:cs="Arial"/>
        </w:rPr>
        <w:t xml:space="preserve"> </w:t>
      </w:r>
      <w:r w:rsidR="00A72ED1" w:rsidRPr="00742D67">
        <w:rPr>
          <w:rFonts w:ascii="Arial" w:hAnsi="Arial" w:cs="Arial"/>
        </w:rPr>
        <w:t xml:space="preserve">qui assure la régulation et la promotion de la fourniture de service de </w:t>
      </w:r>
      <w:r w:rsidR="00C47906" w:rsidRPr="00742D67">
        <w:rPr>
          <w:rFonts w:ascii="Arial" w:hAnsi="Arial" w:cs="Arial"/>
        </w:rPr>
        <w:t>l’électricité.</w:t>
      </w:r>
      <w:r w:rsidRPr="00742D67">
        <w:rPr>
          <w:rFonts w:ascii="Arial" w:hAnsi="Arial" w:cs="Arial"/>
        </w:rPr>
        <w:t xml:space="preserve"> </w:t>
      </w:r>
    </w:p>
    <w:p w14:paraId="73BCEE66" w14:textId="77777777" w:rsidR="00E64348" w:rsidRPr="00056AF9" w:rsidRDefault="00E64348" w:rsidP="0007493B">
      <w:pPr>
        <w:jc w:val="both"/>
        <w:rPr>
          <w:rFonts w:ascii="Arial" w:hAnsi="Arial" w:cs="Arial"/>
        </w:rPr>
      </w:pPr>
      <w:r w:rsidRPr="00056AF9">
        <w:rPr>
          <w:rFonts w:ascii="Arial" w:hAnsi="Arial" w:cs="Arial"/>
        </w:rPr>
        <w:t xml:space="preserve">D’après la figure </w:t>
      </w:r>
      <w:r w:rsidR="00A11570" w:rsidRPr="002212D7">
        <w:rPr>
          <w:rFonts w:ascii="Arial" w:hAnsi="Arial" w:cs="Arial"/>
        </w:rPr>
        <w:t>ci-dessous</w:t>
      </w:r>
      <w:r w:rsidRPr="00056AF9">
        <w:rPr>
          <w:rStyle w:val="Appelnotedebasdep"/>
          <w:rFonts w:ascii="Arial" w:hAnsi="Arial" w:cs="Arial"/>
        </w:rPr>
        <w:footnoteReference w:id="59"/>
      </w:r>
      <w:r w:rsidRPr="00056AF9">
        <w:rPr>
          <w:rFonts w:ascii="Arial" w:hAnsi="Arial" w:cs="Arial"/>
        </w:rPr>
        <w:t>, la production en électricité n’a cessé d’augment</w:t>
      </w:r>
      <w:r w:rsidR="00E341AA" w:rsidRPr="00056AF9">
        <w:rPr>
          <w:rFonts w:ascii="Arial" w:hAnsi="Arial" w:cs="Arial"/>
        </w:rPr>
        <w:t>er</w:t>
      </w:r>
      <w:r w:rsidRPr="00056AF9">
        <w:rPr>
          <w:rFonts w:ascii="Arial" w:hAnsi="Arial" w:cs="Arial"/>
        </w:rPr>
        <w:t xml:space="preserve"> à partir de l’année 2002. </w:t>
      </w:r>
      <w:r w:rsidR="00997DD9" w:rsidRPr="002212D7">
        <w:rPr>
          <w:rFonts w:ascii="Arial" w:hAnsi="Arial" w:cs="Arial"/>
        </w:rPr>
        <w:t>L</w:t>
      </w:r>
      <w:r w:rsidRPr="002212D7">
        <w:rPr>
          <w:rFonts w:ascii="Arial" w:hAnsi="Arial" w:cs="Arial"/>
        </w:rPr>
        <w:t>’</w:t>
      </w:r>
      <w:r w:rsidR="00E341AA" w:rsidRPr="004F6F03">
        <w:rPr>
          <w:rFonts w:ascii="Arial" w:hAnsi="Arial" w:cs="Arial"/>
        </w:rPr>
        <w:t>É</w:t>
      </w:r>
      <w:r w:rsidRPr="00315772">
        <w:rPr>
          <w:rFonts w:ascii="Arial" w:hAnsi="Arial" w:cs="Arial"/>
        </w:rPr>
        <w:t xml:space="preserve">tat a misé sur les groupes électrogènes pour alimenter les différentes villes de Madagascar. D’après la </w:t>
      </w:r>
      <w:r w:rsidR="00997DD9" w:rsidRPr="00BE7620">
        <w:rPr>
          <w:rFonts w:ascii="Arial" w:hAnsi="Arial" w:cs="Arial"/>
        </w:rPr>
        <w:t>B</w:t>
      </w:r>
      <w:r w:rsidRPr="00BE7620">
        <w:rPr>
          <w:rFonts w:ascii="Arial" w:hAnsi="Arial" w:cs="Arial"/>
        </w:rPr>
        <w:t xml:space="preserve">anque </w:t>
      </w:r>
      <w:r w:rsidR="00997DD9" w:rsidRPr="003710EB">
        <w:rPr>
          <w:rFonts w:ascii="Arial" w:hAnsi="Arial" w:cs="Arial"/>
        </w:rPr>
        <w:t>m</w:t>
      </w:r>
      <w:r w:rsidRPr="003710EB">
        <w:rPr>
          <w:rFonts w:ascii="Arial" w:hAnsi="Arial" w:cs="Arial"/>
        </w:rPr>
        <w:t>ondiale, le pays ne possédait qu’une capacité installée de production de 570 MW, essentiellement thermique (60%) et hydroélectrique (40%)</w:t>
      </w:r>
      <w:r w:rsidRPr="00056AF9">
        <w:rPr>
          <w:rStyle w:val="Appelnotedebasdep"/>
          <w:rFonts w:ascii="Arial" w:hAnsi="Arial" w:cs="Arial"/>
        </w:rPr>
        <w:footnoteReference w:id="60"/>
      </w:r>
      <w:r w:rsidRPr="00056AF9">
        <w:rPr>
          <w:rFonts w:ascii="Arial" w:hAnsi="Arial" w:cs="Arial"/>
        </w:rPr>
        <w:t>. Mais à défaut de maintenance des machines et des infrastructures, seul</w:t>
      </w:r>
      <w:r w:rsidR="00E341AA" w:rsidRPr="002212D7">
        <w:rPr>
          <w:rFonts w:ascii="Arial" w:hAnsi="Arial" w:cs="Arial"/>
        </w:rPr>
        <w:t xml:space="preserve">s </w:t>
      </w:r>
      <w:r w:rsidRPr="002212D7">
        <w:rPr>
          <w:rFonts w:ascii="Arial" w:hAnsi="Arial" w:cs="Arial"/>
        </w:rPr>
        <w:t>60% d</w:t>
      </w:r>
      <w:r w:rsidRPr="004F6F03">
        <w:rPr>
          <w:rFonts w:ascii="Arial" w:hAnsi="Arial" w:cs="Arial"/>
        </w:rPr>
        <w:t>e c</w:t>
      </w:r>
      <w:r w:rsidRPr="00315772">
        <w:rPr>
          <w:rFonts w:ascii="Arial" w:hAnsi="Arial" w:cs="Arial"/>
        </w:rPr>
        <w:t xml:space="preserve">ette énergie </w:t>
      </w:r>
      <w:r w:rsidR="00997DD9" w:rsidRPr="00315772">
        <w:rPr>
          <w:rFonts w:ascii="Arial" w:hAnsi="Arial" w:cs="Arial"/>
        </w:rPr>
        <w:t xml:space="preserve">sont </w:t>
      </w:r>
      <w:r w:rsidRPr="00BE7620">
        <w:rPr>
          <w:rFonts w:ascii="Arial" w:hAnsi="Arial" w:cs="Arial"/>
        </w:rPr>
        <w:t>disponible</w:t>
      </w:r>
      <w:r w:rsidR="00997DD9" w:rsidRPr="00BE7620">
        <w:rPr>
          <w:rFonts w:ascii="Arial" w:hAnsi="Arial" w:cs="Arial"/>
        </w:rPr>
        <w:t>s</w:t>
      </w:r>
      <w:r w:rsidRPr="003710EB">
        <w:rPr>
          <w:rFonts w:ascii="Arial" w:hAnsi="Arial" w:cs="Arial"/>
        </w:rPr>
        <w:t xml:space="preserve">. </w:t>
      </w:r>
      <w:r w:rsidR="00A11570" w:rsidRPr="003710EB">
        <w:rPr>
          <w:rFonts w:ascii="Arial" w:hAnsi="Arial" w:cs="Arial"/>
        </w:rPr>
        <w:t>Ces difficultés du secteur de l’énergie</w:t>
      </w:r>
      <w:r w:rsidRPr="00056AF9">
        <w:rPr>
          <w:rFonts w:ascii="Arial" w:hAnsi="Arial" w:cs="Arial"/>
        </w:rPr>
        <w:t xml:space="preserve"> </w:t>
      </w:r>
      <w:r w:rsidR="00A11570" w:rsidRPr="00056AF9">
        <w:rPr>
          <w:rFonts w:ascii="Arial" w:hAnsi="Arial" w:cs="Arial"/>
        </w:rPr>
        <w:t>minent les quotidiens des habitants avec le délestage tournant.</w:t>
      </w:r>
    </w:p>
    <w:p w14:paraId="3212AE06" w14:textId="0B27DE7B" w:rsidR="00E64348" w:rsidRDefault="00E97ECD" w:rsidP="00AE406E">
      <w:pPr>
        <w:jc w:val="center"/>
        <w:rPr>
          <w:rFonts w:ascii="Arial" w:hAnsi="Arial" w:cs="Arial"/>
          <w:color w:val="FF0000"/>
        </w:rPr>
      </w:pPr>
      <w:r w:rsidRPr="00977215">
        <w:rPr>
          <w:noProof/>
          <w:lang w:eastAsia="fr-FR"/>
        </w:rPr>
        <w:drawing>
          <wp:inline distT="0" distB="0" distL="0" distR="0" wp14:anchorId="572107FD" wp14:editId="374FCAE7">
            <wp:extent cx="4181475" cy="2190750"/>
            <wp:effectExtent l="0" t="0" r="0" b="0"/>
            <wp:docPr id="33" name="Graphiqu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1"/>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81475" cy="2190750"/>
                    </a:xfrm>
                    <a:prstGeom prst="rect">
                      <a:avLst/>
                    </a:prstGeom>
                    <a:noFill/>
                    <a:ln>
                      <a:noFill/>
                    </a:ln>
                  </pic:spPr>
                </pic:pic>
              </a:graphicData>
            </a:graphic>
          </wp:inline>
        </w:drawing>
      </w:r>
    </w:p>
    <w:p w14:paraId="11AAF679" w14:textId="77777777" w:rsidR="00E64348" w:rsidRPr="0007493B" w:rsidRDefault="00A11570" w:rsidP="00B434A6">
      <w:pPr>
        <w:pStyle w:val="Lgende"/>
        <w:jc w:val="center"/>
      </w:pPr>
      <w:bookmarkStart w:id="470" w:name="_Toc125402459"/>
      <w:r w:rsidRPr="00A11570">
        <w:rPr>
          <w:color w:val="auto"/>
          <w:sz w:val="22"/>
        </w:rPr>
        <w:t xml:space="preserve">Figure </w:t>
      </w:r>
      <w:r w:rsidRPr="00A11570">
        <w:rPr>
          <w:bCs w:val="0"/>
        </w:rPr>
        <w:fldChar w:fldCharType="begin"/>
      </w:r>
      <w:r w:rsidRPr="00A11570">
        <w:rPr>
          <w:color w:val="auto"/>
          <w:sz w:val="22"/>
        </w:rPr>
        <w:instrText xml:space="preserve"> SEQ Figure \* ARABIC </w:instrText>
      </w:r>
      <w:r w:rsidRPr="00A11570">
        <w:rPr>
          <w:bCs w:val="0"/>
        </w:rPr>
        <w:fldChar w:fldCharType="separate"/>
      </w:r>
      <w:r w:rsidR="000D22D0">
        <w:rPr>
          <w:noProof/>
          <w:color w:val="auto"/>
          <w:sz w:val="22"/>
        </w:rPr>
        <w:t>17</w:t>
      </w:r>
      <w:r w:rsidRPr="00A11570">
        <w:rPr>
          <w:bCs w:val="0"/>
        </w:rPr>
        <w:fldChar w:fldCharType="end"/>
      </w:r>
      <w:r w:rsidRPr="00A11570">
        <w:rPr>
          <w:color w:val="auto"/>
          <w:sz w:val="22"/>
        </w:rPr>
        <w:t>. Evolution de la production en électricité (MW)</w:t>
      </w:r>
      <w:bookmarkEnd w:id="470"/>
    </w:p>
    <w:p w14:paraId="66BE2EB6" w14:textId="77777777" w:rsidR="0007493B" w:rsidRPr="0007493B" w:rsidRDefault="0007493B" w:rsidP="0044500E">
      <w:pPr>
        <w:pStyle w:val="TIT40"/>
        <w:numPr>
          <w:ilvl w:val="3"/>
          <w:numId w:val="177"/>
        </w:numPr>
        <w:outlineLvl w:val="3"/>
      </w:pPr>
      <w:bookmarkStart w:id="471" w:name="_Toc124314684"/>
      <w:bookmarkStart w:id="472" w:name="_Toc124956162"/>
      <w:bookmarkStart w:id="473" w:name="_Toc125384561"/>
      <w:bookmarkStart w:id="474" w:name="_Toc125384950"/>
      <w:bookmarkStart w:id="475" w:name="_Toc127957622"/>
      <w:r w:rsidRPr="0007493B">
        <w:t>Accès à l’énergie</w:t>
      </w:r>
      <w:bookmarkEnd w:id="471"/>
      <w:bookmarkEnd w:id="472"/>
      <w:bookmarkEnd w:id="473"/>
      <w:bookmarkEnd w:id="474"/>
      <w:bookmarkEnd w:id="475"/>
    </w:p>
    <w:p w14:paraId="2912E325" w14:textId="77777777" w:rsidR="001D3A29" w:rsidRPr="00E341AA" w:rsidRDefault="375F3F9E" w:rsidP="001D3A29">
      <w:pPr>
        <w:jc w:val="both"/>
        <w:rPr>
          <w:rFonts w:ascii="Arial" w:hAnsi="Arial" w:cs="Arial"/>
        </w:rPr>
      </w:pPr>
      <w:r w:rsidRPr="08964A2F">
        <w:rPr>
          <w:rFonts w:ascii="Arial" w:hAnsi="Arial" w:cs="Arial"/>
        </w:rPr>
        <w:t xml:space="preserve">La desserte en électricité des habitations est assurée par la JIRAMA dans les milieux urbains ou périurbains tandis que dans les </w:t>
      </w:r>
      <w:r w:rsidRPr="00327DB6">
        <w:rPr>
          <w:rFonts w:ascii="Arial" w:hAnsi="Arial" w:cs="Arial"/>
        </w:rPr>
        <w:t xml:space="preserve">milieux </w:t>
      </w:r>
      <w:r w:rsidR="6F1162E4" w:rsidRPr="00742D67">
        <w:rPr>
          <w:rFonts w:ascii="Arial" w:hAnsi="Arial" w:cs="Arial"/>
        </w:rPr>
        <w:t xml:space="preserve">ruraux </w:t>
      </w:r>
      <w:r w:rsidR="00AB28C8" w:rsidRPr="00742D67">
        <w:rPr>
          <w:rFonts w:ascii="Arial" w:hAnsi="Arial" w:cs="Arial"/>
        </w:rPr>
        <w:t>c</w:t>
      </w:r>
      <w:r w:rsidR="00A72ED1" w:rsidRPr="00742D67">
        <w:rPr>
          <w:rFonts w:ascii="Arial" w:hAnsi="Arial" w:cs="Arial"/>
        </w:rPr>
        <w:t xml:space="preserve">e sont des </w:t>
      </w:r>
      <w:r w:rsidR="00F0160D" w:rsidRPr="00742D67">
        <w:rPr>
          <w:rFonts w:ascii="Arial" w:hAnsi="Arial" w:cs="Arial"/>
        </w:rPr>
        <w:t>sociétés</w:t>
      </w:r>
      <w:r w:rsidR="00A72ED1" w:rsidRPr="00742D67">
        <w:rPr>
          <w:rFonts w:ascii="Arial" w:hAnsi="Arial" w:cs="Arial"/>
        </w:rPr>
        <w:t xml:space="preserve"> privée</w:t>
      </w:r>
      <w:r w:rsidR="00F0160D" w:rsidRPr="00742D67">
        <w:rPr>
          <w:rFonts w:ascii="Arial" w:hAnsi="Arial" w:cs="Arial"/>
        </w:rPr>
        <w:t>s</w:t>
      </w:r>
      <w:r w:rsidR="00A72ED1" w:rsidRPr="00742D67">
        <w:rPr>
          <w:rFonts w:ascii="Arial" w:hAnsi="Arial" w:cs="Arial"/>
        </w:rPr>
        <w:t xml:space="preserve"> comme </w:t>
      </w:r>
      <w:r w:rsidR="00F0160D" w:rsidRPr="00742D67">
        <w:rPr>
          <w:rFonts w:ascii="Arial" w:hAnsi="Arial" w:cs="Arial"/>
        </w:rPr>
        <w:t>Welight</w:t>
      </w:r>
      <w:r w:rsidR="00A72ED1" w:rsidRPr="00742D67">
        <w:rPr>
          <w:rFonts w:ascii="Arial" w:hAnsi="Arial" w:cs="Arial"/>
        </w:rPr>
        <w:t>, CASIELEC, EDM</w:t>
      </w:r>
      <w:r w:rsidR="00F0160D" w:rsidRPr="00742D67">
        <w:rPr>
          <w:rFonts w:ascii="Arial" w:hAnsi="Arial" w:cs="Arial"/>
        </w:rPr>
        <w:t xml:space="preserve">, AIDER, etc. </w:t>
      </w:r>
      <w:r w:rsidRPr="00742D67">
        <w:rPr>
          <w:rFonts w:ascii="Arial" w:hAnsi="Arial" w:cs="Arial"/>
        </w:rPr>
        <w:t>qui se charge</w:t>
      </w:r>
      <w:r w:rsidR="00F0160D" w:rsidRPr="00742D67">
        <w:rPr>
          <w:rFonts w:ascii="Arial" w:hAnsi="Arial" w:cs="Arial"/>
        </w:rPr>
        <w:t>nt</w:t>
      </w:r>
      <w:r w:rsidRPr="00742D67">
        <w:rPr>
          <w:rFonts w:ascii="Arial" w:hAnsi="Arial" w:cs="Arial"/>
        </w:rPr>
        <w:t xml:space="preserve"> de l’électrification des villages</w:t>
      </w:r>
      <w:r w:rsidRPr="00327DB6">
        <w:rPr>
          <w:rFonts w:ascii="Arial" w:hAnsi="Arial" w:cs="Arial"/>
        </w:rPr>
        <w:t>. Ainsi, sur le plan national, l’accès à l’électricité demeure très faible puisque</w:t>
      </w:r>
      <w:r w:rsidRPr="08964A2F">
        <w:rPr>
          <w:rFonts w:ascii="Arial" w:hAnsi="Arial" w:cs="Arial"/>
        </w:rPr>
        <w:t xml:space="preserve"> seulement 38,1 % des habitations sont desservies en électricité. Le taux d’électrification est plus important dans le milieu urbain avec 71,5 % de maison électrifié</w:t>
      </w:r>
      <w:r w:rsidR="6F1162E4" w:rsidRPr="08964A2F">
        <w:rPr>
          <w:rFonts w:ascii="Arial" w:hAnsi="Arial" w:cs="Arial"/>
        </w:rPr>
        <w:t>e</w:t>
      </w:r>
      <w:r w:rsidRPr="08964A2F">
        <w:rPr>
          <w:rFonts w:ascii="Arial" w:hAnsi="Arial" w:cs="Arial"/>
        </w:rPr>
        <w:t xml:space="preserve"> contre 29,2 % pour le milieu rural. Au niveau régional, c’est Analamanga qui est le plus électrifié avec 71 % d’habitation</w:t>
      </w:r>
      <w:r w:rsidR="00594B49">
        <w:rPr>
          <w:rFonts w:ascii="Arial" w:hAnsi="Arial" w:cs="Arial"/>
        </w:rPr>
        <w:t>s</w:t>
      </w:r>
      <w:r w:rsidRPr="08964A2F">
        <w:rPr>
          <w:rFonts w:ascii="Arial" w:hAnsi="Arial" w:cs="Arial"/>
        </w:rPr>
        <w:t xml:space="preserve"> possédant de l’électricité suivi par la Région d’Analanjirofo, de </w:t>
      </w:r>
      <w:r w:rsidR="6A3AF366" w:rsidRPr="08964A2F">
        <w:rPr>
          <w:rFonts w:ascii="Arial" w:hAnsi="Arial" w:cs="Arial"/>
        </w:rPr>
        <w:t>SAVA</w:t>
      </w:r>
      <w:r w:rsidRPr="08964A2F">
        <w:rPr>
          <w:rFonts w:ascii="Arial" w:hAnsi="Arial" w:cs="Arial"/>
        </w:rPr>
        <w:t xml:space="preserve">, de </w:t>
      </w:r>
      <w:r w:rsidR="6A3AF366" w:rsidRPr="08964A2F">
        <w:rPr>
          <w:rFonts w:ascii="Arial" w:hAnsi="Arial" w:cs="Arial"/>
        </w:rPr>
        <w:t>DIANA</w:t>
      </w:r>
      <w:r w:rsidRPr="08964A2F">
        <w:rPr>
          <w:rFonts w:ascii="Arial" w:hAnsi="Arial" w:cs="Arial"/>
        </w:rPr>
        <w:t>, d’Atsinanana, de Sofia, et de Menabe dont le taux de desserte en électricité varie de 40% à 65%. Par contre</w:t>
      </w:r>
      <w:r w:rsidR="00594B49">
        <w:rPr>
          <w:rFonts w:ascii="Arial" w:hAnsi="Arial" w:cs="Arial"/>
        </w:rPr>
        <w:t>,</w:t>
      </w:r>
      <w:r w:rsidRPr="08964A2F">
        <w:rPr>
          <w:rFonts w:ascii="Arial" w:hAnsi="Arial" w:cs="Arial"/>
        </w:rPr>
        <w:t xml:space="preserve"> dans l</w:t>
      </w:r>
      <w:r w:rsidR="6B0F5A2E" w:rsidRPr="08964A2F">
        <w:rPr>
          <w:rFonts w:ascii="Arial" w:hAnsi="Arial" w:cs="Arial"/>
        </w:rPr>
        <w:t>es</w:t>
      </w:r>
      <w:r w:rsidRPr="08964A2F">
        <w:rPr>
          <w:rFonts w:ascii="Arial" w:hAnsi="Arial" w:cs="Arial"/>
        </w:rPr>
        <w:t xml:space="preserve"> région</w:t>
      </w:r>
      <w:r w:rsidR="6B0F5A2E" w:rsidRPr="08964A2F">
        <w:rPr>
          <w:rFonts w:ascii="Arial" w:hAnsi="Arial" w:cs="Arial"/>
        </w:rPr>
        <w:t>s</w:t>
      </w:r>
      <w:r w:rsidRPr="08964A2F">
        <w:rPr>
          <w:rFonts w:ascii="Arial" w:hAnsi="Arial" w:cs="Arial"/>
        </w:rPr>
        <w:t xml:space="preserve"> Amoron’i Mania, Atsimo Andrefana, Melaky, Ihorombe, Anosy, Atsimo Atsinanana et Androy</w:t>
      </w:r>
      <w:r w:rsidR="6F1162E4" w:rsidRPr="08964A2F">
        <w:rPr>
          <w:rFonts w:ascii="Arial" w:hAnsi="Arial" w:cs="Arial"/>
        </w:rPr>
        <w:t>,</w:t>
      </w:r>
      <w:r w:rsidRPr="08964A2F">
        <w:rPr>
          <w:rFonts w:ascii="Arial" w:hAnsi="Arial" w:cs="Arial"/>
        </w:rPr>
        <w:t xml:space="preserve"> </w:t>
      </w:r>
      <w:r w:rsidR="6A3AF366" w:rsidRPr="08964A2F">
        <w:rPr>
          <w:rFonts w:ascii="Arial" w:hAnsi="Arial" w:cs="Arial"/>
        </w:rPr>
        <w:t>le</w:t>
      </w:r>
      <w:r w:rsidRPr="08964A2F">
        <w:rPr>
          <w:rFonts w:ascii="Arial" w:hAnsi="Arial" w:cs="Arial"/>
        </w:rPr>
        <w:t xml:space="preserve"> taux de desserte en électricité reste très faible puisqu’ il est inférieur à 20%.</w:t>
      </w:r>
    </w:p>
    <w:p w14:paraId="54A0D2EA" w14:textId="77777777" w:rsidR="001D3A29" w:rsidRPr="00E341AA" w:rsidRDefault="001D3A29" w:rsidP="001D3A29">
      <w:pPr>
        <w:jc w:val="both"/>
        <w:rPr>
          <w:rFonts w:ascii="Arial" w:hAnsi="Arial" w:cs="Arial"/>
        </w:rPr>
      </w:pPr>
      <w:r w:rsidRPr="00E341AA">
        <w:rPr>
          <w:rFonts w:ascii="Arial" w:hAnsi="Arial" w:cs="Arial"/>
        </w:rPr>
        <w:t>En ce qui concerne la consommation</w:t>
      </w:r>
      <w:r w:rsidR="007620EA">
        <w:rPr>
          <w:rFonts w:ascii="Arial" w:hAnsi="Arial" w:cs="Arial"/>
        </w:rPr>
        <w:t xml:space="preserve"> en électricité</w:t>
      </w:r>
      <w:r w:rsidRPr="00E341AA">
        <w:rPr>
          <w:rFonts w:ascii="Arial" w:hAnsi="Arial" w:cs="Arial"/>
        </w:rPr>
        <w:t>, la figure suivante montre que 55% de l’énergie électrique sont consommé</w:t>
      </w:r>
      <w:r w:rsidR="007620EA">
        <w:rPr>
          <w:rFonts w:ascii="Arial" w:hAnsi="Arial" w:cs="Arial"/>
        </w:rPr>
        <w:t>s par</w:t>
      </w:r>
      <w:r w:rsidRPr="00E341AA">
        <w:rPr>
          <w:rFonts w:ascii="Arial" w:hAnsi="Arial" w:cs="Arial"/>
        </w:rPr>
        <w:t xml:space="preserve"> le secteur résidentiel, suivi par les grand</w:t>
      </w:r>
      <w:r w:rsidR="00E341AA" w:rsidRPr="00E341AA">
        <w:rPr>
          <w:rFonts w:ascii="Arial" w:hAnsi="Arial" w:cs="Arial"/>
        </w:rPr>
        <w:t>es</w:t>
      </w:r>
      <w:r w:rsidRPr="00E341AA">
        <w:rPr>
          <w:rFonts w:ascii="Arial" w:hAnsi="Arial" w:cs="Arial"/>
        </w:rPr>
        <w:t xml:space="preserve"> industries qui consomme</w:t>
      </w:r>
      <w:r w:rsidR="007620EA">
        <w:rPr>
          <w:rFonts w:ascii="Arial" w:hAnsi="Arial" w:cs="Arial"/>
        </w:rPr>
        <w:t>nt</w:t>
      </w:r>
      <w:r w:rsidRPr="00E341AA">
        <w:rPr>
          <w:rFonts w:ascii="Arial" w:hAnsi="Arial" w:cs="Arial"/>
        </w:rPr>
        <w:t xml:space="preserve"> presque le quart de l’énergie. Pour le secteur tertiaire </w:t>
      </w:r>
      <w:r w:rsidR="007620EA">
        <w:rPr>
          <w:rFonts w:ascii="Arial" w:hAnsi="Arial" w:cs="Arial"/>
        </w:rPr>
        <w:t>(c</w:t>
      </w:r>
      <w:r w:rsidRPr="00E341AA">
        <w:rPr>
          <w:rFonts w:ascii="Arial" w:hAnsi="Arial" w:cs="Arial"/>
        </w:rPr>
        <w:t>ommerce, service, transport, communication</w:t>
      </w:r>
      <w:r w:rsidR="0080792F">
        <w:rPr>
          <w:rFonts w:ascii="Arial" w:hAnsi="Arial" w:cs="Arial"/>
        </w:rPr>
        <w:t>,</w:t>
      </w:r>
      <w:r w:rsidRPr="00E341AA">
        <w:rPr>
          <w:rFonts w:ascii="Arial" w:hAnsi="Arial" w:cs="Arial"/>
        </w:rPr>
        <w:t xml:space="preserve"> administration), la part de la consommation d’énergie est de 14% alors que le secteur prima</w:t>
      </w:r>
      <w:r w:rsidR="004943F6" w:rsidRPr="00E341AA">
        <w:rPr>
          <w:rFonts w:ascii="Arial" w:hAnsi="Arial" w:cs="Arial"/>
        </w:rPr>
        <w:t>ire ne consomme quasiment rien.</w:t>
      </w:r>
    </w:p>
    <w:p w14:paraId="38C837FF" w14:textId="41AC9383" w:rsidR="001D3A29" w:rsidRPr="001D3A29" w:rsidRDefault="00E97ECD" w:rsidP="001D3A29">
      <w:pPr>
        <w:jc w:val="center"/>
        <w:rPr>
          <w:rFonts w:ascii="Arial" w:hAnsi="Arial" w:cs="Arial"/>
          <w:color w:val="FF0000"/>
        </w:rPr>
      </w:pPr>
      <w:r w:rsidRPr="00FB04F6">
        <w:rPr>
          <w:rFonts w:ascii="Arial" w:hAnsi="Arial" w:cs="Arial"/>
          <w:noProof/>
          <w:color w:val="FF0000"/>
          <w:lang w:eastAsia="fr-FR"/>
        </w:rPr>
        <w:drawing>
          <wp:inline distT="0" distB="0" distL="0" distR="0" wp14:anchorId="293C4DB4" wp14:editId="22C02DDF">
            <wp:extent cx="4324350" cy="2114550"/>
            <wp:effectExtent l="0" t="0" r="0" b="0"/>
            <wp:docPr id="34" name="Graphiqu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8"/>
                    <pic:cNvPicPr>
                      <a:picLocks noChangeArrowheads="1"/>
                    </pic:cNvPicPr>
                  </pic:nvPicPr>
                  <pic:blipFill>
                    <a:blip r:embed="rId50">
                      <a:extLst>
                        <a:ext uri="{28A0092B-C50C-407E-A947-70E740481C1C}">
                          <a14:useLocalDpi xmlns:a14="http://schemas.microsoft.com/office/drawing/2010/main" val="0"/>
                        </a:ext>
                      </a:extLst>
                    </a:blip>
                    <a:srcRect t="7491" b="9363"/>
                    <a:stretch>
                      <a:fillRect/>
                    </a:stretch>
                  </pic:blipFill>
                  <pic:spPr bwMode="auto">
                    <a:xfrm>
                      <a:off x="0" y="0"/>
                      <a:ext cx="4324350" cy="2114550"/>
                    </a:xfrm>
                    <a:prstGeom prst="rect">
                      <a:avLst/>
                    </a:prstGeom>
                    <a:noFill/>
                    <a:ln>
                      <a:noFill/>
                    </a:ln>
                  </pic:spPr>
                </pic:pic>
              </a:graphicData>
            </a:graphic>
          </wp:inline>
        </w:drawing>
      </w:r>
    </w:p>
    <w:p w14:paraId="7418F512" w14:textId="77777777" w:rsidR="001D3A29" w:rsidRPr="004D51D8" w:rsidRDefault="001D3A29" w:rsidP="001D3A29">
      <w:pPr>
        <w:pStyle w:val="Lgende"/>
        <w:jc w:val="center"/>
        <w:rPr>
          <w:color w:val="auto"/>
          <w:sz w:val="22"/>
        </w:rPr>
      </w:pPr>
      <w:bookmarkStart w:id="476" w:name="_Toc125402460"/>
      <w:r w:rsidRPr="004D51D8">
        <w:rPr>
          <w:color w:val="auto"/>
          <w:sz w:val="22"/>
        </w:rPr>
        <w:t xml:space="preserve">Figure </w:t>
      </w:r>
      <w:r w:rsidRPr="004D51D8">
        <w:rPr>
          <w:color w:val="auto"/>
          <w:sz w:val="22"/>
        </w:rPr>
        <w:fldChar w:fldCharType="begin"/>
      </w:r>
      <w:r w:rsidRPr="004D51D8">
        <w:rPr>
          <w:color w:val="auto"/>
          <w:sz w:val="22"/>
        </w:rPr>
        <w:instrText xml:space="preserve"> SEQ Figure \* ARABIC </w:instrText>
      </w:r>
      <w:r w:rsidRPr="004D51D8">
        <w:rPr>
          <w:color w:val="auto"/>
          <w:sz w:val="22"/>
        </w:rPr>
        <w:fldChar w:fldCharType="separate"/>
      </w:r>
      <w:r w:rsidR="000D22D0">
        <w:rPr>
          <w:noProof/>
          <w:color w:val="auto"/>
          <w:sz w:val="22"/>
        </w:rPr>
        <w:t>18</w:t>
      </w:r>
      <w:r w:rsidRPr="004D51D8">
        <w:rPr>
          <w:color w:val="auto"/>
          <w:sz w:val="22"/>
        </w:rPr>
        <w:fldChar w:fldCharType="end"/>
      </w:r>
      <w:r w:rsidRPr="004D51D8">
        <w:rPr>
          <w:color w:val="auto"/>
          <w:sz w:val="22"/>
        </w:rPr>
        <w:t>. Structure de vente de l’électricité</w:t>
      </w:r>
      <w:bookmarkEnd w:id="476"/>
    </w:p>
    <w:p w14:paraId="7C7E9FA8" w14:textId="77777777" w:rsidR="001D3A29" w:rsidRPr="00E341AA" w:rsidRDefault="001D3A29" w:rsidP="001D3A29">
      <w:pPr>
        <w:jc w:val="both"/>
        <w:rPr>
          <w:rFonts w:ascii="Arial" w:hAnsi="Arial" w:cs="Arial"/>
        </w:rPr>
      </w:pPr>
      <w:r w:rsidRPr="00E341AA">
        <w:rPr>
          <w:rFonts w:ascii="Arial" w:hAnsi="Arial" w:cs="Arial"/>
        </w:rPr>
        <w:t>Au niveau des sources d’éclairage, plus de la moitié des Malagasy utilise encore des lampes à pétrole. Ce type d’éclair</w:t>
      </w:r>
      <w:r w:rsidR="00E341AA" w:rsidRPr="00E341AA">
        <w:rPr>
          <w:rFonts w:ascii="Arial" w:hAnsi="Arial" w:cs="Arial"/>
        </w:rPr>
        <w:t xml:space="preserve">age </w:t>
      </w:r>
      <w:r w:rsidRPr="00E341AA">
        <w:rPr>
          <w:rFonts w:ascii="Arial" w:hAnsi="Arial" w:cs="Arial"/>
        </w:rPr>
        <w:t xml:space="preserve">est surtout très utilisé dans le milieu rural avec 57,9 % de la population contre 20% en milieu urbain. </w:t>
      </w:r>
      <w:r w:rsidR="00D037B9">
        <w:rPr>
          <w:rFonts w:ascii="Arial" w:hAnsi="Arial" w:cs="Arial"/>
        </w:rPr>
        <w:t>En revanche</w:t>
      </w:r>
      <w:r w:rsidRPr="00E341AA">
        <w:rPr>
          <w:rFonts w:ascii="Arial" w:hAnsi="Arial" w:cs="Arial"/>
        </w:rPr>
        <w:t xml:space="preserve">, l’électricité est très dominante dans </w:t>
      </w:r>
      <w:r w:rsidR="007620EA">
        <w:rPr>
          <w:rFonts w:ascii="Arial" w:hAnsi="Arial" w:cs="Arial"/>
        </w:rPr>
        <w:t xml:space="preserve">le </w:t>
      </w:r>
      <w:r w:rsidRPr="00E341AA">
        <w:rPr>
          <w:rFonts w:ascii="Arial" w:hAnsi="Arial" w:cs="Arial"/>
        </w:rPr>
        <w:t>milieu urbain</w:t>
      </w:r>
      <w:r w:rsidR="00E341AA" w:rsidRPr="00E341AA">
        <w:rPr>
          <w:rFonts w:ascii="Arial" w:hAnsi="Arial" w:cs="Arial"/>
        </w:rPr>
        <w:t xml:space="preserve">, </w:t>
      </w:r>
      <w:r w:rsidRPr="00E341AA">
        <w:rPr>
          <w:rFonts w:ascii="Arial" w:hAnsi="Arial" w:cs="Arial"/>
        </w:rPr>
        <w:t xml:space="preserve">avec 71% de la population alors que seulement 28% de la population rurale l’utilise comme source d’éclairage.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D3A29" w:rsidRPr="007F78CE" w14:paraId="7F10F84C" w14:textId="77777777" w:rsidTr="007F78CE">
        <w:tc>
          <w:tcPr>
            <w:tcW w:w="9212" w:type="dxa"/>
            <w:shd w:val="clear" w:color="auto" w:fill="auto"/>
          </w:tcPr>
          <w:p w14:paraId="20BFF46F" w14:textId="77777777" w:rsidR="001D3A29" w:rsidRPr="007F78CE" w:rsidRDefault="001D3A29" w:rsidP="007F78CE">
            <w:pPr>
              <w:spacing w:after="0" w:line="240" w:lineRule="auto"/>
              <w:jc w:val="both"/>
              <w:rPr>
                <w:rFonts w:ascii="Arial" w:hAnsi="Arial" w:cs="Arial"/>
                <w:i/>
                <w:color w:val="FF0000"/>
              </w:rPr>
            </w:pPr>
            <w:r w:rsidRPr="007F78CE">
              <w:rPr>
                <w:rFonts w:ascii="Arial" w:hAnsi="Arial" w:cs="Arial"/>
                <w:i/>
              </w:rPr>
              <w:t>L</w:t>
            </w:r>
            <w:r w:rsidR="00707E88">
              <w:rPr>
                <w:rFonts w:ascii="Arial" w:hAnsi="Arial" w:cs="Arial"/>
                <w:i/>
              </w:rPr>
              <w:t xml:space="preserve">’augmentation du </w:t>
            </w:r>
            <w:r w:rsidRPr="007F78CE">
              <w:rPr>
                <w:rFonts w:ascii="Arial" w:hAnsi="Arial" w:cs="Arial"/>
                <w:i/>
              </w:rPr>
              <w:t xml:space="preserve">taux d’accès à l’électricité </w:t>
            </w:r>
            <w:r w:rsidR="00707E88">
              <w:rPr>
                <w:rFonts w:ascii="Arial" w:hAnsi="Arial" w:cs="Arial"/>
                <w:i/>
              </w:rPr>
              <w:t xml:space="preserve">est </w:t>
            </w:r>
            <w:r w:rsidRPr="007F78CE">
              <w:rPr>
                <w:rFonts w:ascii="Arial" w:hAnsi="Arial" w:cs="Arial"/>
                <w:i/>
              </w:rPr>
              <w:t xml:space="preserve">surtout </w:t>
            </w:r>
            <w:r w:rsidR="00707E88">
              <w:rPr>
                <w:rFonts w:ascii="Arial" w:hAnsi="Arial" w:cs="Arial"/>
                <w:i/>
              </w:rPr>
              <w:t xml:space="preserve">bénéfique pour </w:t>
            </w:r>
            <w:r w:rsidRPr="007F78CE">
              <w:rPr>
                <w:rFonts w:ascii="Arial" w:hAnsi="Arial" w:cs="Arial"/>
                <w:i/>
              </w:rPr>
              <w:t>le milieu rural</w:t>
            </w:r>
            <w:r w:rsidR="00707E88">
              <w:rPr>
                <w:rFonts w:ascii="Arial" w:hAnsi="Arial" w:cs="Arial"/>
                <w:i/>
              </w:rPr>
              <w:t xml:space="preserve">. Néanmoins, elle </w:t>
            </w:r>
            <w:r w:rsidRPr="007F78CE">
              <w:rPr>
                <w:rFonts w:ascii="Arial" w:hAnsi="Arial" w:cs="Arial"/>
                <w:i/>
              </w:rPr>
              <w:t xml:space="preserve">pourrait </w:t>
            </w:r>
            <w:r w:rsidR="00707E88">
              <w:rPr>
                <w:rFonts w:ascii="Arial" w:hAnsi="Arial" w:cs="Arial"/>
                <w:i/>
              </w:rPr>
              <w:t xml:space="preserve">aussi </w:t>
            </w:r>
            <w:r w:rsidRPr="007F78CE">
              <w:rPr>
                <w:rFonts w:ascii="Arial" w:hAnsi="Arial" w:cs="Arial"/>
                <w:i/>
              </w:rPr>
              <w:t>porter atteinte à la sécurité et à la santé de la population rurale puisqu’une mauvaise manipulation des appareils électriques ou de fil électrique provoquerait une électrocution ou un incendie par court-circuit.</w:t>
            </w:r>
          </w:p>
        </w:tc>
      </w:tr>
    </w:tbl>
    <w:p w14:paraId="491281BB" w14:textId="77777777" w:rsidR="001D3A29" w:rsidRDefault="001D3A29" w:rsidP="00656722">
      <w:pPr>
        <w:jc w:val="both"/>
        <w:rPr>
          <w:rFonts w:ascii="Arial" w:hAnsi="Arial" w:cs="Arial"/>
          <w:color w:val="FF0000"/>
        </w:rPr>
      </w:pPr>
    </w:p>
    <w:p w14:paraId="6607C22A" w14:textId="77777777" w:rsidR="001D3A29" w:rsidRPr="001D3A29" w:rsidRDefault="001D3A29" w:rsidP="0044500E">
      <w:pPr>
        <w:pStyle w:val="TIT3"/>
        <w:numPr>
          <w:ilvl w:val="2"/>
          <w:numId w:val="177"/>
        </w:numPr>
      </w:pPr>
      <w:bookmarkStart w:id="477" w:name="_Toc124314685"/>
      <w:bookmarkStart w:id="478" w:name="_Toc124956163"/>
      <w:bookmarkStart w:id="479" w:name="_Toc125384562"/>
      <w:bookmarkStart w:id="480" w:name="_Toc125384951"/>
      <w:bookmarkStart w:id="481" w:name="_Toc127957623"/>
      <w:r w:rsidRPr="001D3A29">
        <w:t>Secteur nouvel</w:t>
      </w:r>
      <w:r w:rsidR="007620EA">
        <w:t>le</w:t>
      </w:r>
      <w:r w:rsidRPr="001D3A29">
        <w:t xml:space="preserve"> Technologie</w:t>
      </w:r>
      <w:bookmarkEnd w:id="477"/>
      <w:bookmarkEnd w:id="478"/>
      <w:bookmarkEnd w:id="479"/>
      <w:bookmarkEnd w:id="480"/>
      <w:bookmarkEnd w:id="481"/>
      <w:r w:rsidRPr="001D3A29">
        <w:t xml:space="preserve"> </w:t>
      </w:r>
    </w:p>
    <w:p w14:paraId="52B0C04A" w14:textId="77777777" w:rsidR="001D3A29" w:rsidRPr="00E341AA" w:rsidRDefault="001D3A29" w:rsidP="001D3A29">
      <w:pPr>
        <w:jc w:val="both"/>
        <w:rPr>
          <w:rFonts w:ascii="Arial" w:hAnsi="Arial" w:cs="Arial"/>
        </w:rPr>
      </w:pPr>
      <w:r w:rsidRPr="00E341AA">
        <w:rPr>
          <w:rFonts w:ascii="Arial" w:hAnsi="Arial" w:cs="Arial"/>
        </w:rPr>
        <w:t>Durant cette dernière décennie, le secteur TIC a connu une forte croissance avec un taux de croissance de 8,5% en 2013 et de 4% entre 2015 à 2017</w:t>
      </w:r>
      <w:r w:rsidRPr="00E341AA">
        <w:rPr>
          <w:vertAlign w:val="superscript"/>
        </w:rPr>
        <w:footnoteReference w:id="61"/>
      </w:r>
      <w:r w:rsidRPr="00E341AA">
        <w:rPr>
          <w:rFonts w:ascii="Arial" w:hAnsi="Arial" w:cs="Arial"/>
        </w:rPr>
        <w:t xml:space="preserve">. D’après les données de la Banque </w:t>
      </w:r>
      <w:r w:rsidR="007620EA">
        <w:rPr>
          <w:rFonts w:ascii="Arial" w:hAnsi="Arial" w:cs="Arial"/>
        </w:rPr>
        <w:t>m</w:t>
      </w:r>
      <w:r w:rsidRPr="00E341AA">
        <w:rPr>
          <w:rFonts w:ascii="Arial" w:hAnsi="Arial" w:cs="Arial"/>
        </w:rPr>
        <w:t>ondiale</w:t>
      </w:r>
      <w:r w:rsidRPr="00E341AA">
        <w:rPr>
          <w:vertAlign w:val="superscript"/>
        </w:rPr>
        <w:footnoteReference w:id="62"/>
      </w:r>
      <w:r w:rsidRPr="00E341AA">
        <w:rPr>
          <w:rFonts w:ascii="Arial" w:hAnsi="Arial" w:cs="Arial"/>
        </w:rPr>
        <w:t xml:space="preserve">, plus de la moitié des </w:t>
      </w:r>
      <w:r w:rsidR="00E341AA" w:rsidRPr="00E341AA">
        <w:rPr>
          <w:rFonts w:ascii="Arial" w:hAnsi="Arial" w:cs="Arial"/>
        </w:rPr>
        <w:t>M</w:t>
      </w:r>
      <w:r w:rsidRPr="00E341AA">
        <w:rPr>
          <w:rFonts w:ascii="Arial" w:hAnsi="Arial" w:cs="Arial"/>
        </w:rPr>
        <w:t xml:space="preserve">alagasy utilisent un téléphone portable, </w:t>
      </w:r>
      <w:r w:rsidR="00D037B9">
        <w:rPr>
          <w:rFonts w:ascii="Arial" w:hAnsi="Arial" w:cs="Arial"/>
        </w:rPr>
        <w:t xml:space="preserve">en revanche </w:t>
      </w:r>
      <w:r w:rsidRPr="00E341AA">
        <w:rPr>
          <w:rFonts w:ascii="Arial" w:hAnsi="Arial" w:cs="Arial"/>
        </w:rPr>
        <w:t>l’utilisation de</w:t>
      </w:r>
      <w:r w:rsidR="007620EA">
        <w:rPr>
          <w:rFonts w:ascii="Arial" w:hAnsi="Arial" w:cs="Arial"/>
        </w:rPr>
        <w:t xml:space="preserve"> l’</w:t>
      </w:r>
      <w:r w:rsidRPr="00E341AA">
        <w:rPr>
          <w:rFonts w:ascii="Arial" w:hAnsi="Arial" w:cs="Arial"/>
        </w:rPr>
        <w:t xml:space="preserve">internet reste précaire avec seulement 15% de la population en 2018. Suivant la figure </w:t>
      </w:r>
      <w:r w:rsidR="007620EA">
        <w:rPr>
          <w:rFonts w:ascii="Arial" w:hAnsi="Arial" w:cs="Arial"/>
        </w:rPr>
        <w:t>ci-dessous</w:t>
      </w:r>
      <w:r w:rsidRPr="00E341AA">
        <w:rPr>
          <w:rFonts w:ascii="Arial" w:hAnsi="Arial" w:cs="Arial"/>
        </w:rPr>
        <w:t xml:space="preserve">, l’utilisation des téléphones mobiles connait une évolution à partir de 2005 et l’internet s’est développé </w:t>
      </w:r>
      <w:r w:rsidR="00AB28C8">
        <w:rPr>
          <w:rFonts w:ascii="Arial" w:hAnsi="Arial" w:cs="Arial"/>
        </w:rPr>
        <w:t>à partir de</w:t>
      </w:r>
      <w:r w:rsidR="00AB28C8" w:rsidRPr="00E341AA">
        <w:rPr>
          <w:rFonts w:ascii="Arial" w:hAnsi="Arial" w:cs="Arial"/>
        </w:rPr>
        <w:t xml:space="preserve"> </w:t>
      </w:r>
      <w:r w:rsidRPr="00E341AA">
        <w:rPr>
          <w:rFonts w:ascii="Arial" w:hAnsi="Arial" w:cs="Arial"/>
        </w:rPr>
        <w:t xml:space="preserve">l’année 2017. </w:t>
      </w:r>
    </w:p>
    <w:p w14:paraId="61CDBA76" w14:textId="4D5E7160" w:rsidR="001D3A29" w:rsidRPr="001D3A29" w:rsidRDefault="00E97ECD" w:rsidP="001D3A29">
      <w:pPr>
        <w:jc w:val="center"/>
        <w:rPr>
          <w:rFonts w:ascii="Arial" w:hAnsi="Arial" w:cs="Arial"/>
          <w:i/>
          <w:color w:val="FF0000"/>
          <w:sz w:val="16"/>
        </w:rPr>
      </w:pPr>
      <w:r w:rsidRPr="00FB04F6">
        <w:rPr>
          <w:rFonts w:ascii="Arial" w:hAnsi="Arial" w:cs="Arial"/>
          <w:i/>
          <w:noProof/>
          <w:color w:val="FF0000"/>
          <w:sz w:val="16"/>
          <w:lang w:eastAsia="fr-FR"/>
        </w:rPr>
        <w:drawing>
          <wp:inline distT="0" distB="0" distL="0" distR="0" wp14:anchorId="097DAF3C" wp14:editId="6BFC693E">
            <wp:extent cx="3943350" cy="2390775"/>
            <wp:effectExtent l="0" t="0" r="0" b="0"/>
            <wp:docPr id="35" name="Graphiqu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9"/>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43350" cy="2390775"/>
                    </a:xfrm>
                    <a:prstGeom prst="rect">
                      <a:avLst/>
                    </a:prstGeom>
                    <a:noFill/>
                    <a:ln>
                      <a:noFill/>
                    </a:ln>
                  </pic:spPr>
                </pic:pic>
              </a:graphicData>
            </a:graphic>
          </wp:inline>
        </w:drawing>
      </w:r>
    </w:p>
    <w:p w14:paraId="2C772A11" w14:textId="77777777" w:rsidR="001D3A29" w:rsidRPr="00E341AA" w:rsidRDefault="001D3A29" w:rsidP="001D3A29">
      <w:pPr>
        <w:ind w:left="1560"/>
        <w:jc w:val="both"/>
        <w:rPr>
          <w:rFonts w:ascii="Arial" w:hAnsi="Arial" w:cs="Arial"/>
          <w:i/>
          <w:sz w:val="16"/>
        </w:rPr>
      </w:pPr>
      <w:r w:rsidRPr="00E341AA">
        <w:rPr>
          <w:rFonts w:ascii="Arial" w:hAnsi="Arial" w:cs="Arial"/>
          <w:i/>
          <w:sz w:val="16"/>
        </w:rPr>
        <w:t xml:space="preserve">Source : Banque </w:t>
      </w:r>
      <w:r w:rsidR="007620EA">
        <w:rPr>
          <w:rFonts w:ascii="Arial" w:hAnsi="Arial" w:cs="Arial"/>
          <w:i/>
          <w:sz w:val="16"/>
        </w:rPr>
        <w:t>m</w:t>
      </w:r>
      <w:r w:rsidRPr="00E341AA">
        <w:rPr>
          <w:rFonts w:ascii="Arial" w:hAnsi="Arial" w:cs="Arial"/>
          <w:i/>
          <w:sz w:val="16"/>
        </w:rPr>
        <w:t>ondiale, 2020</w:t>
      </w:r>
    </w:p>
    <w:p w14:paraId="7295A8E9" w14:textId="77777777" w:rsidR="001D3A29" w:rsidRPr="001D3A29" w:rsidRDefault="001D3A29" w:rsidP="001D3A29">
      <w:pPr>
        <w:pStyle w:val="Lgende"/>
        <w:jc w:val="center"/>
        <w:rPr>
          <w:color w:val="auto"/>
          <w:sz w:val="22"/>
        </w:rPr>
      </w:pPr>
      <w:bookmarkStart w:id="482" w:name="_Toc125402461"/>
      <w:r w:rsidRPr="00262AF5">
        <w:rPr>
          <w:color w:val="auto"/>
          <w:sz w:val="22"/>
        </w:rPr>
        <w:t xml:space="preserve">Figure </w:t>
      </w:r>
      <w:r w:rsidRPr="00262AF5">
        <w:rPr>
          <w:color w:val="auto"/>
          <w:sz w:val="22"/>
        </w:rPr>
        <w:fldChar w:fldCharType="begin"/>
      </w:r>
      <w:r w:rsidRPr="00262AF5">
        <w:rPr>
          <w:color w:val="auto"/>
          <w:sz w:val="22"/>
        </w:rPr>
        <w:instrText xml:space="preserve"> SEQ Figure \* ARABIC </w:instrText>
      </w:r>
      <w:r w:rsidRPr="00262AF5">
        <w:rPr>
          <w:color w:val="auto"/>
          <w:sz w:val="22"/>
        </w:rPr>
        <w:fldChar w:fldCharType="separate"/>
      </w:r>
      <w:r w:rsidR="000D22D0">
        <w:rPr>
          <w:noProof/>
          <w:color w:val="auto"/>
          <w:sz w:val="22"/>
        </w:rPr>
        <w:t>19</w:t>
      </w:r>
      <w:r w:rsidRPr="00262AF5">
        <w:rPr>
          <w:color w:val="auto"/>
          <w:sz w:val="22"/>
        </w:rPr>
        <w:fldChar w:fldCharType="end"/>
      </w:r>
      <w:r w:rsidRPr="00262AF5">
        <w:rPr>
          <w:color w:val="auto"/>
          <w:sz w:val="22"/>
        </w:rPr>
        <w:t xml:space="preserve">. </w:t>
      </w:r>
      <w:r>
        <w:rPr>
          <w:color w:val="auto"/>
          <w:sz w:val="22"/>
        </w:rPr>
        <w:t>Evolution de l’utilisation de téléphone Mobile et internet à Madagascar</w:t>
      </w:r>
      <w:bookmarkEnd w:id="482"/>
      <w:r>
        <w:rPr>
          <w:color w:val="auto"/>
          <w:sz w:val="22"/>
        </w:rPr>
        <w:t xml:space="preserve"> </w:t>
      </w:r>
    </w:p>
    <w:p w14:paraId="727DF192" w14:textId="77777777" w:rsidR="001D3A29" w:rsidRPr="00E341AA" w:rsidRDefault="001D3A29" w:rsidP="00E341AA">
      <w:pPr>
        <w:jc w:val="both"/>
        <w:rPr>
          <w:rFonts w:ascii="Arial" w:hAnsi="Arial" w:cs="Arial"/>
        </w:rPr>
      </w:pPr>
      <w:r w:rsidRPr="00E341AA">
        <w:rPr>
          <w:rFonts w:ascii="Arial" w:hAnsi="Arial" w:cs="Arial"/>
        </w:rPr>
        <w:t xml:space="preserve">L’augmentation vertigineuse de l’utilisation de téléphone portable et de l’internet coïncide avec le développement de la technologie 3G et 4G dans les Régions de Madagascar. L’étude menée par KACENELENBOGEN, F. et </w:t>
      </w:r>
      <w:r w:rsidRPr="004F454E">
        <w:rPr>
          <w:rFonts w:ascii="Arial" w:hAnsi="Arial" w:cs="Arial"/>
          <w:i/>
        </w:rPr>
        <w:t>al</w:t>
      </w:r>
      <w:r w:rsidRPr="00E341AA">
        <w:rPr>
          <w:rFonts w:ascii="Arial" w:hAnsi="Arial" w:cs="Arial"/>
        </w:rPr>
        <w:t>. en 2020</w:t>
      </w:r>
      <w:r w:rsidRPr="00E341AA">
        <w:rPr>
          <w:rFonts w:ascii="Arial" w:hAnsi="Arial" w:cs="Arial"/>
          <w:vertAlign w:val="superscript"/>
        </w:rPr>
        <w:footnoteReference w:id="63"/>
      </w:r>
      <w:r w:rsidRPr="00E341AA">
        <w:rPr>
          <w:rFonts w:ascii="Arial" w:hAnsi="Arial" w:cs="Arial"/>
        </w:rPr>
        <w:t xml:space="preserve"> montre que plus de 60% des  communes de Madagascar sont déjà couvert</w:t>
      </w:r>
      <w:r w:rsidR="007620EA">
        <w:rPr>
          <w:rFonts w:ascii="Arial" w:hAnsi="Arial" w:cs="Arial"/>
        </w:rPr>
        <w:t>s</w:t>
      </w:r>
      <w:r w:rsidRPr="00E341AA">
        <w:rPr>
          <w:rFonts w:ascii="Arial" w:hAnsi="Arial" w:cs="Arial"/>
        </w:rPr>
        <w:t xml:space="preserve"> par le réseau 3G et 21% par le réseau 4G. </w:t>
      </w:r>
    </w:p>
    <w:p w14:paraId="64A962DA" w14:textId="77777777" w:rsidR="001D3A29" w:rsidRPr="00E341AA" w:rsidRDefault="001D3A29" w:rsidP="00E341AA">
      <w:pPr>
        <w:jc w:val="both"/>
        <w:rPr>
          <w:rFonts w:ascii="Arial" w:hAnsi="Arial" w:cs="Arial"/>
        </w:rPr>
      </w:pPr>
      <w:r w:rsidRPr="00E341AA">
        <w:rPr>
          <w:rFonts w:ascii="Arial" w:hAnsi="Arial" w:cs="Arial"/>
        </w:rPr>
        <w:t>Suivant le sexe, l’</w:t>
      </w:r>
      <w:r w:rsidR="006D616A">
        <w:rPr>
          <w:rFonts w:ascii="Arial" w:hAnsi="Arial" w:cs="Arial"/>
        </w:rPr>
        <w:t>e</w:t>
      </w:r>
      <w:r w:rsidRPr="00E341AA">
        <w:rPr>
          <w:rFonts w:ascii="Arial" w:hAnsi="Arial" w:cs="Arial"/>
        </w:rPr>
        <w:t>nquête par grappe à indicateurs multiples effectué</w:t>
      </w:r>
      <w:r w:rsidR="00E341AA" w:rsidRPr="00E341AA">
        <w:rPr>
          <w:rFonts w:ascii="Arial" w:hAnsi="Arial" w:cs="Arial"/>
        </w:rPr>
        <w:t xml:space="preserve">e </w:t>
      </w:r>
      <w:r w:rsidRPr="00E341AA">
        <w:rPr>
          <w:rFonts w:ascii="Arial" w:hAnsi="Arial" w:cs="Arial"/>
        </w:rPr>
        <w:t>par l’INSTAT en 2019</w:t>
      </w:r>
      <w:r w:rsidRPr="00E341AA">
        <w:rPr>
          <w:rFonts w:ascii="Arial" w:hAnsi="Arial" w:cs="Arial"/>
          <w:vertAlign w:val="superscript"/>
        </w:rPr>
        <w:footnoteReference w:id="64"/>
      </w:r>
      <w:r w:rsidR="00E341AA" w:rsidRPr="00E341AA">
        <w:rPr>
          <w:rFonts w:ascii="Arial" w:hAnsi="Arial" w:cs="Arial"/>
        </w:rPr>
        <w:t xml:space="preserve">, </w:t>
      </w:r>
      <w:r w:rsidRPr="00E341AA">
        <w:rPr>
          <w:rFonts w:ascii="Arial" w:hAnsi="Arial" w:cs="Arial"/>
        </w:rPr>
        <w:t xml:space="preserve">révèle que </w:t>
      </w:r>
      <w:r w:rsidR="00707E88">
        <w:rPr>
          <w:rFonts w:ascii="Arial" w:hAnsi="Arial" w:cs="Arial"/>
        </w:rPr>
        <w:t xml:space="preserve">le </w:t>
      </w:r>
      <w:r w:rsidRPr="00E341AA">
        <w:rPr>
          <w:rFonts w:ascii="Arial" w:hAnsi="Arial" w:cs="Arial"/>
        </w:rPr>
        <w:t xml:space="preserve">taux d’utilisation d’internet </w:t>
      </w:r>
      <w:r w:rsidR="007620EA">
        <w:rPr>
          <w:rFonts w:ascii="Arial" w:hAnsi="Arial" w:cs="Arial"/>
        </w:rPr>
        <w:t xml:space="preserve">est </w:t>
      </w:r>
      <w:r w:rsidRPr="00E341AA">
        <w:rPr>
          <w:rFonts w:ascii="Arial" w:hAnsi="Arial" w:cs="Arial"/>
        </w:rPr>
        <w:t xml:space="preserve">de l’ordre de 12% pour les hommes et 8% pour les femmes. Suivant le tableau ci-dessous, les utilisateurs </w:t>
      </w:r>
      <w:r w:rsidR="00E341AA" w:rsidRPr="00E341AA">
        <w:rPr>
          <w:rFonts w:ascii="Arial" w:hAnsi="Arial" w:cs="Arial"/>
        </w:rPr>
        <w:t>de TIC (Ordinateur, Téléphone m</w:t>
      </w:r>
      <w:r w:rsidRPr="00E341AA">
        <w:rPr>
          <w:rFonts w:ascii="Arial" w:hAnsi="Arial" w:cs="Arial"/>
        </w:rPr>
        <w:t>obile et Internet) sont concentrés dans l</w:t>
      </w:r>
      <w:r w:rsidR="00707E88">
        <w:rPr>
          <w:rFonts w:ascii="Arial" w:hAnsi="Arial" w:cs="Arial"/>
        </w:rPr>
        <w:t>es</w:t>
      </w:r>
      <w:r w:rsidRPr="00E341AA">
        <w:rPr>
          <w:rFonts w:ascii="Arial" w:hAnsi="Arial" w:cs="Arial"/>
        </w:rPr>
        <w:t xml:space="preserve"> région</w:t>
      </w:r>
      <w:r w:rsidR="00707E88">
        <w:rPr>
          <w:rFonts w:ascii="Arial" w:hAnsi="Arial" w:cs="Arial"/>
        </w:rPr>
        <w:t>s</w:t>
      </w:r>
      <w:r w:rsidRPr="00E341AA">
        <w:rPr>
          <w:rFonts w:ascii="Arial" w:hAnsi="Arial" w:cs="Arial"/>
        </w:rPr>
        <w:t xml:space="preserve"> Analamanga et DIANA. </w:t>
      </w:r>
    </w:p>
    <w:p w14:paraId="514225ED" w14:textId="77777777" w:rsidR="001D3A29" w:rsidRPr="00C21808" w:rsidRDefault="00707E88" w:rsidP="001D3A29">
      <w:pPr>
        <w:pStyle w:val="Lgende"/>
        <w:jc w:val="center"/>
        <w:rPr>
          <w:sz w:val="20"/>
        </w:rPr>
      </w:pPr>
      <w:r>
        <w:rPr>
          <w:sz w:val="20"/>
        </w:rPr>
        <w:br w:type="page"/>
      </w:r>
      <w:bookmarkStart w:id="483" w:name="_Toc127957810"/>
      <w:r w:rsidR="001D3A29" w:rsidRPr="00C21808">
        <w:rPr>
          <w:sz w:val="20"/>
        </w:rPr>
        <w:t xml:space="preserve">Tableau </w:t>
      </w:r>
      <w:r w:rsidR="001D3A29" w:rsidRPr="00C21808">
        <w:rPr>
          <w:sz w:val="20"/>
        </w:rPr>
        <w:fldChar w:fldCharType="begin"/>
      </w:r>
      <w:r w:rsidR="001D3A29" w:rsidRPr="00C21808">
        <w:rPr>
          <w:sz w:val="20"/>
        </w:rPr>
        <w:instrText xml:space="preserve"> SEQ Tableau \* ARABIC </w:instrText>
      </w:r>
      <w:r w:rsidR="001D3A29" w:rsidRPr="00C21808">
        <w:rPr>
          <w:sz w:val="20"/>
        </w:rPr>
        <w:fldChar w:fldCharType="separate"/>
      </w:r>
      <w:r w:rsidR="005430A1">
        <w:rPr>
          <w:noProof/>
          <w:sz w:val="20"/>
        </w:rPr>
        <w:t>14</w:t>
      </w:r>
      <w:r w:rsidR="001D3A29" w:rsidRPr="00C21808">
        <w:rPr>
          <w:sz w:val="20"/>
        </w:rPr>
        <w:fldChar w:fldCharType="end"/>
      </w:r>
      <w:r w:rsidR="001D3A29" w:rsidRPr="00C21808">
        <w:rPr>
          <w:sz w:val="20"/>
        </w:rPr>
        <w:t>. Taux d’utilisation des NTIC selon le sexe au niveau de chaque Région</w:t>
      </w:r>
      <w:bookmarkEnd w:id="483"/>
    </w:p>
    <w:tbl>
      <w:tblPr>
        <w:tblW w:w="5434" w:type="pct"/>
        <w:jc w:val="center"/>
        <w:tblCellMar>
          <w:left w:w="70" w:type="dxa"/>
          <w:right w:w="70" w:type="dxa"/>
        </w:tblCellMar>
        <w:tblLook w:val="04A0" w:firstRow="1" w:lastRow="0" w:firstColumn="1" w:lastColumn="0" w:noHBand="0" w:noVBand="1"/>
      </w:tblPr>
      <w:tblGrid>
        <w:gridCol w:w="2101"/>
        <w:gridCol w:w="985"/>
        <w:gridCol w:w="952"/>
        <w:gridCol w:w="985"/>
        <w:gridCol w:w="952"/>
        <w:gridCol w:w="985"/>
        <w:gridCol w:w="952"/>
        <w:gridCol w:w="985"/>
        <w:gridCol w:w="952"/>
      </w:tblGrid>
      <w:tr w:rsidR="001D3A29" w:rsidRPr="007F78CE" w14:paraId="5EEDBE89" w14:textId="77777777" w:rsidTr="007F78CE">
        <w:trPr>
          <w:trHeight w:val="1136"/>
          <w:tblHeader/>
          <w:jc w:val="center"/>
        </w:trPr>
        <w:tc>
          <w:tcPr>
            <w:tcW w:w="1129" w:type="pct"/>
            <w:vMerge w:val="restart"/>
            <w:tcBorders>
              <w:top w:val="single" w:sz="4" w:space="0" w:color="auto"/>
              <w:left w:val="single" w:sz="4" w:space="0" w:color="auto"/>
              <w:bottom w:val="single" w:sz="4" w:space="0" w:color="000000"/>
              <w:right w:val="single" w:sz="4" w:space="0" w:color="auto"/>
            </w:tcBorders>
            <w:shd w:val="clear" w:color="auto" w:fill="1F497D"/>
            <w:vAlign w:val="center"/>
            <w:hideMark/>
          </w:tcPr>
          <w:p w14:paraId="71B5E20A" w14:textId="77777777" w:rsidR="001D3A29" w:rsidRPr="00412095" w:rsidRDefault="001D3A29" w:rsidP="00637007">
            <w:pPr>
              <w:spacing w:after="0" w:line="240" w:lineRule="auto"/>
              <w:jc w:val="center"/>
              <w:rPr>
                <w:rFonts w:ascii="Arial" w:eastAsia="Times New Roman" w:hAnsi="Arial" w:cs="Arial"/>
                <w:b/>
                <w:bCs/>
                <w:color w:val="FFFFFF"/>
                <w:sz w:val="20"/>
                <w:szCs w:val="20"/>
                <w:lang w:eastAsia="fr-FR"/>
              </w:rPr>
            </w:pPr>
            <w:r w:rsidRPr="00412095">
              <w:rPr>
                <w:rFonts w:ascii="Arial" w:eastAsia="Times New Roman" w:hAnsi="Arial" w:cs="Arial"/>
                <w:b/>
                <w:bCs/>
                <w:color w:val="FFFFFF"/>
                <w:sz w:val="20"/>
                <w:szCs w:val="20"/>
                <w:lang w:eastAsia="fr-FR"/>
              </w:rPr>
              <w:t>Région</w:t>
            </w:r>
          </w:p>
        </w:tc>
        <w:tc>
          <w:tcPr>
            <w:tcW w:w="967" w:type="pct"/>
            <w:gridSpan w:val="2"/>
            <w:tcBorders>
              <w:top w:val="single" w:sz="4" w:space="0" w:color="auto"/>
              <w:left w:val="nil"/>
              <w:bottom w:val="single" w:sz="4" w:space="0" w:color="auto"/>
              <w:right w:val="single" w:sz="4" w:space="0" w:color="auto"/>
            </w:tcBorders>
            <w:shd w:val="clear" w:color="auto" w:fill="1F497D"/>
            <w:vAlign w:val="center"/>
            <w:hideMark/>
          </w:tcPr>
          <w:p w14:paraId="69AD9DE1" w14:textId="77777777" w:rsidR="001D3A29" w:rsidRPr="00412095" w:rsidRDefault="001D3A29" w:rsidP="00637007">
            <w:pPr>
              <w:spacing w:after="0" w:line="240" w:lineRule="auto"/>
              <w:jc w:val="center"/>
              <w:rPr>
                <w:rFonts w:ascii="Arial" w:eastAsia="Times New Roman" w:hAnsi="Arial" w:cs="Arial"/>
                <w:b/>
                <w:bCs/>
                <w:color w:val="FFFFFF"/>
                <w:sz w:val="20"/>
                <w:szCs w:val="20"/>
                <w:lang w:eastAsia="fr-FR"/>
              </w:rPr>
            </w:pPr>
            <w:r w:rsidRPr="00412095">
              <w:rPr>
                <w:rFonts w:ascii="Arial" w:eastAsia="Times New Roman" w:hAnsi="Arial" w:cs="Arial"/>
                <w:b/>
                <w:bCs/>
                <w:color w:val="FFFFFF"/>
                <w:sz w:val="20"/>
                <w:szCs w:val="20"/>
                <w:lang w:eastAsia="fr-FR"/>
              </w:rPr>
              <w:t>Utilisation d’ordinateur</w:t>
            </w:r>
          </w:p>
        </w:tc>
        <w:tc>
          <w:tcPr>
            <w:tcW w:w="967" w:type="pct"/>
            <w:gridSpan w:val="2"/>
            <w:tcBorders>
              <w:top w:val="single" w:sz="4" w:space="0" w:color="auto"/>
              <w:left w:val="nil"/>
              <w:bottom w:val="single" w:sz="4" w:space="0" w:color="auto"/>
              <w:right w:val="single" w:sz="4" w:space="0" w:color="auto"/>
            </w:tcBorders>
            <w:shd w:val="clear" w:color="auto" w:fill="1F497D"/>
            <w:vAlign w:val="center"/>
            <w:hideMark/>
          </w:tcPr>
          <w:p w14:paraId="448EB181" w14:textId="77777777" w:rsidR="001D3A29" w:rsidRPr="00412095" w:rsidRDefault="001D3A29" w:rsidP="00637007">
            <w:pPr>
              <w:spacing w:after="0" w:line="240" w:lineRule="auto"/>
              <w:jc w:val="center"/>
              <w:rPr>
                <w:rFonts w:ascii="Arial" w:eastAsia="Times New Roman" w:hAnsi="Arial" w:cs="Arial"/>
                <w:b/>
                <w:bCs/>
                <w:color w:val="FFFFFF"/>
                <w:sz w:val="20"/>
                <w:szCs w:val="20"/>
                <w:lang w:eastAsia="fr-FR"/>
              </w:rPr>
            </w:pPr>
            <w:r w:rsidRPr="00412095">
              <w:rPr>
                <w:rFonts w:ascii="Arial" w:eastAsia="Times New Roman" w:hAnsi="Arial" w:cs="Arial"/>
                <w:b/>
                <w:bCs/>
                <w:color w:val="FFFFFF"/>
                <w:sz w:val="20"/>
                <w:szCs w:val="20"/>
                <w:lang w:eastAsia="fr-FR"/>
              </w:rPr>
              <w:t>Utilisation de téléphone mobile</w:t>
            </w:r>
          </w:p>
        </w:tc>
        <w:tc>
          <w:tcPr>
            <w:tcW w:w="968" w:type="pct"/>
            <w:gridSpan w:val="2"/>
            <w:tcBorders>
              <w:top w:val="single" w:sz="4" w:space="0" w:color="auto"/>
              <w:left w:val="nil"/>
              <w:bottom w:val="single" w:sz="4" w:space="0" w:color="auto"/>
              <w:right w:val="single" w:sz="4" w:space="0" w:color="auto"/>
            </w:tcBorders>
            <w:shd w:val="clear" w:color="auto" w:fill="1F497D"/>
            <w:vAlign w:val="center"/>
            <w:hideMark/>
          </w:tcPr>
          <w:p w14:paraId="313C89DD" w14:textId="77777777" w:rsidR="001D3A29" w:rsidRPr="00412095" w:rsidRDefault="001D3A29" w:rsidP="00637007">
            <w:pPr>
              <w:spacing w:after="0" w:line="240" w:lineRule="auto"/>
              <w:jc w:val="center"/>
              <w:rPr>
                <w:rFonts w:ascii="Arial" w:eastAsia="Times New Roman" w:hAnsi="Arial" w:cs="Arial"/>
                <w:b/>
                <w:bCs/>
                <w:color w:val="FFFFFF"/>
                <w:sz w:val="20"/>
                <w:szCs w:val="20"/>
                <w:lang w:eastAsia="fr-FR"/>
              </w:rPr>
            </w:pPr>
            <w:r w:rsidRPr="00412095">
              <w:rPr>
                <w:rFonts w:ascii="Arial" w:eastAsia="Times New Roman" w:hAnsi="Arial" w:cs="Arial"/>
                <w:b/>
                <w:bCs/>
                <w:color w:val="FFFFFF"/>
                <w:sz w:val="20"/>
                <w:szCs w:val="20"/>
                <w:lang w:eastAsia="fr-FR"/>
              </w:rPr>
              <w:t>Utilisation d’Internet</w:t>
            </w:r>
          </w:p>
        </w:tc>
        <w:tc>
          <w:tcPr>
            <w:tcW w:w="968" w:type="pct"/>
            <w:gridSpan w:val="2"/>
            <w:tcBorders>
              <w:top w:val="single" w:sz="4" w:space="0" w:color="auto"/>
              <w:left w:val="nil"/>
              <w:bottom w:val="single" w:sz="4" w:space="0" w:color="auto"/>
              <w:right w:val="single" w:sz="4" w:space="0" w:color="auto"/>
            </w:tcBorders>
            <w:shd w:val="clear" w:color="auto" w:fill="1F497D"/>
            <w:vAlign w:val="center"/>
            <w:hideMark/>
          </w:tcPr>
          <w:p w14:paraId="7A81C19E" w14:textId="77777777" w:rsidR="001D3A29" w:rsidRPr="00412095" w:rsidRDefault="001D3A29" w:rsidP="00637007">
            <w:pPr>
              <w:spacing w:after="0" w:line="240" w:lineRule="auto"/>
              <w:jc w:val="center"/>
              <w:rPr>
                <w:rFonts w:ascii="Arial" w:eastAsia="Times New Roman" w:hAnsi="Arial" w:cs="Arial"/>
                <w:b/>
                <w:bCs/>
                <w:color w:val="FFFFFF"/>
                <w:sz w:val="20"/>
                <w:szCs w:val="20"/>
                <w:lang w:eastAsia="fr-FR"/>
              </w:rPr>
            </w:pPr>
            <w:r w:rsidRPr="00412095">
              <w:rPr>
                <w:rFonts w:ascii="Arial" w:eastAsia="Times New Roman" w:hAnsi="Arial" w:cs="Arial"/>
                <w:b/>
                <w:bCs/>
                <w:color w:val="FFFFFF"/>
                <w:sz w:val="20"/>
                <w:szCs w:val="20"/>
                <w:lang w:eastAsia="fr-FR"/>
              </w:rPr>
              <w:t>Ayant effectué au moins une activité NTIC (liée à l’informatique)</w:t>
            </w:r>
          </w:p>
        </w:tc>
      </w:tr>
      <w:tr w:rsidR="0063584D" w:rsidRPr="007F78CE" w14:paraId="055830F7" w14:textId="77777777" w:rsidTr="007F78CE">
        <w:trPr>
          <w:trHeight w:val="675"/>
          <w:tblHeader/>
          <w:jc w:val="center"/>
        </w:trPr>
        <w:tc>
          <w:tcPr>
            <w:tcW w:w="1129" w:type="pct"/>
            <w:vMerge/>
            <w:tcBorders>
              <w:top w:val="single" w:sz="4" w:space="0" w:color="auto"/>
              <w:left w:val="single" w:sz="4" w:space="0" w:color="auto"/>
              <w:bottom w:val="single" w:sz="4" w:space="0" w:color="000000"/>
              <w:right w:val="single" w:sz="4" w:space="0" w:color="auto"/>
            </w:tcBorders>
            <w:shd w:val="clear" w:color="auto" w:fill="1F497D"/>
            <w:vAlign w:val="center"/>
            <w:hideMark/>
          </w:tcPr>
          <w:p w14:paraId="61B37C96" w14:textId="77777777" w:rsidR="001D3A29" w:rsidRPr="00412095" w:rsidRDefault="001D3A29" w:rsidP="00637007">
            <w:pPr>
              <w:spacing w:after="0" w:line="240" w:lineRule="auto"/>
              <w:jc w:val="center"/>
              <w:rPr>
                <w:rFonts w:ascii="Arial" w:eastAsia="Times New Roman" w:hAnsi="Arial" w:cs="Arial"/>
                <w:b/>
                <w:bCs/>
                <w:color w:val="FFFFFF"/>
                <w:sz w:val="20"/>
                <w:szCs w:val="20"/>
                <w:lang w:eastAsia="fr-FR"/>
              </w:rPr>
            </w:pPr>
          </w:p>
        </w:tc>
        <w:tc>
          <w:tcPr>
            <w:tcW w:w="492" w:type="pct"/>
            <w:tcBorders>
              <w:top w:val="nil"/>
              <w:left w:val="nil"/>
              <w:bottom w:val="single" w:sz="4" w:space="0" w:color="auto"/>
              <w:right w:val="single" w:sz="4" w:space="0" w:color="auto"/>
            </w:tcBorders>
            <w:shd w:val="clear" w:color="auto" w:fill="1F497D"/>
            <w:vAlign w:val="center"/>
            <w:hideMark/>
          </w:tcPr>
          <w:p w14:paraId="3DBF7922" w14:textId="77777777" w:rsidR="001D3A29" w:rsidRPr="00412095" w:rsidRDefault="001D3A29" w:rsidP="00637007">
            <w:pPr>
              <w:spacing w:after="0" w:line="240" w:lineRule="auto"/>
              <w:jc w:val="center"/>
              <w:rPr>
                <w:rFonts w:ascii="Arial" w:eastAsia="Times New Roman" w:hAnsi="Arial" w:cs="Arial"/>
                <w:b/>
                <w:bCs/>
                <w:color w:val="FFFFFF"/>
                <w:sz w:val="20"/>
                <w:szCs w:val="20"/>
                <w:lang w:eastAsia="fr-FR"/>
              </w:rPr>
            </w:pPr>
            <w:r w:rsidRPr="00412095">
              <w:rPr>
                <w:rFonts w:ascii="Arial" w:eastAsia="Times New Roman" w:hAnsi="Arial" w:cs="Arial"/>
                <w:b/>
                <w:bCs/>
                <w:color w:val="FFFFFF"/>
                <w:sz w:val="20"/>
                <w:szCs w:val="20"/>
                <w:lang w:eastAsia="fr-FR"/>
              </w:rPr>
              <w:t>% Hommes</w:t>
            </w:r>
          </w:p>
        </w:tc>
        <w:tc>
          <w:tcPr>
            <w:tcW w:w="475" w:type="pct"/>
            <w:tcBorders>
              <w:top w:val="nil"/>
              <w:left w:val="nil"/>
              <w:bottom w:val="single" w:sz="4" w:space="0" w:color="auto"/>
              <w:right w:val="single" w:sz="4" w:space="0" w:color="auto"/>
            </w:tcBorders>
            <w:shd w:val="clear" w:color="auto" w:fill="1F497D"/>
            <w:vAlign w:val="center"/>
            <w:hideMark/>
          </w:tcPr>
          <w:p w14:paraId="7596E3BE" w14:textId="77777777" w:rsidR="001D3A29" w:rsidRPr="00412095" w:rsidRDefault="001D3A29" w:rsidP="00637007">
            <w:pPr>
              <w:spacing w:after="0" w:line="240" w:lineRule="auto"/>
              <w:jc w:val="center"/>
              <w:rPr>
                <w:rFonts w:ascii="Arial" w:eastAsia="Times New Roman" w:hAnsi="Arial" w:cs="Arial"/>
                <w:b/>
                <w:bCs/>
                <w:color w:val="FFFFFF"/>
                <w:sz w:val="20"/>
                <w:szCs w:val="20"/>
                <w:lang w:eastAsia="fr-FR"/>
              </w:rPr>
            </w:pPr>
            <w:r w:rsidRPr="00412095">
              <w:rPr>
                <w:rFonts w:ascii="Arial" w:eastAsia="Times New Roman" w:hAnsi="Arial" w:cs="Arial"/>
                <w:b/>
                <w:bCs/>
                <w:color w:val="FFFFFF"/>
                <w:sz w:val="20"/>
                <w:szCs w:val="20"/>
                <w:lang w:eastAsia="fr-FR"/>
              </w:rPr>
              <w:t>% Femmes</w:t>
            </w:r>
          </w:p>
        </w:tc>
        <w:tc>
          <w:tcPr>
            <w:tcW w:w="492" w:type="pct"/>
            <w:tcBorders>
              <w:top w:val="nil"/>
              <w:left w:val="nil"/>
              <w:bottom w:val="single" w:sz="4" w:space="0" w:color="auto"/>
              <w:right w:val="single" w:sz="4" w:space="0" w:color="auto"/>
            </w:tcBorders>
            <w:shd w:val="clear" w:color="auto" w:fill="1F497D"/>
            <w:vAlign w:val="center"/>
            <w:hideMark/>
          </w:tcPr>
          <w:p w14:paraId="38ABDA6C" w14:textId="77777777" w:rsidR="001D3A29" w:rsidRPr="00412095" w:rsidRDefault="001D3A29" w:rsidP="00637007">
            <w:pPr>
              <w:spacing w:after="0" w:line="240" w:lineRule="auto"/>
              <w:ind w:firstLineChars="100" w:firstLine="201"/>
              <w:jc w:val="center"/>
              <w:rPr>
                <w:rFonts w:ascii="Arial" w:eastAsia="Times New Roman" w:hAnsi="Arial" w:cs="Arial"/>
                <w:b/>
                <w:bCs/>
                <w:color w:val="FFFFFF"/>
                <w:sz w:val="20"/>
                <w:szCs w:val="20"/>
                <w:lang w:eastAsia="fr-FR"/>
              </w:rPr>
            </w:pPr>
            <w:r w:rsidRPr="00412095">
              <w:rPr>
                <w:rFonts w:ascii="Arial" w:eastAsia="Times New Roman" w:hAnsi="Arial" w:cs="Arial"/>
                <w:b/>
                <w:bCs/>
                <w:color w:val="FFFFFF"/>
                <w:sz w:val="20"/>
                <w:szCs w:val="20"/>
                <w:lang w:eastAsia="fr-FR"/>
              </w:rPr>
              <w:t>% Hommes</w:t>
            </w:r>
          </w:p>
        </w:tc>
        <w:tc>
          <w:tcPr>
            <w:tcW w:w="475" w:type="pct"/>
            <w:tcBorders>
              <w:top w:val="nil"/>
              <w:left w:val="nil"/>
              <w:bottom w:val="single" w:sz="4" w:space="0" w:color="auto"/>
              <w:right w:val="single" w:sz="4" w:space="0" w:color="auto"/>
            </w:tcBorders>
            <w:shd w:val="clear" w:color="auto" w:fill="1F497D"/>
            <w:vAlign w:val="center"/>
            <w:hideMark/>
          </w:tcPr>
          <w:p w14:paraId="33E73861" w14:textId="77777777" w:rsidR="001D3A29" w:rsidRPr="00412095" w:rsidRDefault="001D3A29" w:rsidP="00637007">
            <w:pPr>
              <w:spacing w:after="0" w:line="240" w:lineRule="auto"/>
              <w:jc w:val="center"/>
              <w:rPr>
                <w:rFonts w:ascii="Arial" w:eastAsia="Times New Roman" w:hAnsi="Arial" w:cs="Arial"/>
                <w:b/>
                <w:bCs/>
                <w:color w:val="FFFFFF"/>
                <w:sz w:val="20"/>
                <w:szCs w:val="20"/>
                <w:lang w:eastAsia="fr-FR"/>
              </w:rPr>
            </w:pPr>
            <w:r w:rsidRPr="00412095">
              <w:rPr>
                <w:rFonts w:ascii="Arial" w:eastAsia="Times New Roman" w:hAnsi="Arial" w:cs="Arial"/>
                <w:b/>
                <w:bCs/>
                <w:color w:val="FFFFFF"/>
                <w:sz w:val="20"/>
                <w:szCs w:val="20"/>
                <w:lang w:eastAsia="fr-FR"/>
              </w:rPr>
              <w:t>% Femmes</w:t>
            </w:r>
          </w:p>
        </w:tc>
        <w:tc>
          <w:tcPr>
            <w:tcW w:w="492" w:type="pct"/>
            <w:tcBorders>
              <w:top w:val="nil"/>
              <w:left w:val="nil"/>
              <w:bottom w:val="single" w:sz="4" w:space="0" w:color="auto"/>
              <w:right w:val="single" w:sz="4" w:space="0" w:color="auto"/>
            </w:tcBorders>
            <w:shd w:val="clear" w:color="auto" w:fill="1F497D"/>
            <w:vAlign w:val="center"/>
            <w:hideMark/>
          </w:tcPr>
          <w:p w14:paraId="486A9E3B" w14:textId="77777777" w:rsidR="001D3A29" w:rsidRPr="00412095" w:rsidRDefault="001D3A29" w:rsidP="00637007">
            <w:pPr>
              <w:spacing w:after="0" w:line="240" w:lineRule="auto"/>
              <w:ind w:firstLineChars="100" w:firstLine="201"/>
              <w:jc w:val="center"/>
              <w:rPr>
                <w:rFonts w:ascii="Arial" w:eastAsia="Times New Roman" w:hAnsi="Arial" w:cs="Arial"/>
                <w:b/>
                <w:bCs/>
                <w:color w:val="FFFFFF"/>
                <w:sz w:val="20"/>
                <w:szCs w:val="20"/>
                <w:lang w:eastAsia="fr-FR"/>
              </w:rPr>
            </w:pPr>
            <w:r w:rsidRPr="00412095">
              <w:rPr>
                <w:rFonts w:ascii="Arial" w:eastAsia="Times New Roman" w:hAnsi="Arial" w:cs="Arial"/>
                <w:b/>
                <w:bCs/>
                <w:color w:val="FFFFFF"/>
                <w:sz w:val="20"/>
                <w:szCs w:val="20"/>
                <w:lang w:eastAsia="fr-FR"/>
              </w:rPr>
              <w:t>% Hommes</w:t>
            </w:r>
          </w:p>
        </w:tc>
        <w:tc>
          <w:tcPr>
            <w:tcW w:w="475" w:type="pct"/>
            <w:tcBorders>
              <w:top w:val="nil"/>
              <w:left w:val="nil"/>
              <w:bottom w:val="single" w:sz="4" w:space="0" w:color="auto"/>
              <w:right w:val="single" w:sz="4" w:space="0" w:color="auto"/>
            </w:tcBorders>
            <w:shd w:val="clear" w:color="auto" w:fill="1F497D"/>
            <w:vAlign w:val="center"/>
            <w:hideMark/>
          </w:tcPr>
          <w:p w14:paraId="3D4511BA" w14:textId="77777777" w:rsidR="001D3A29" w:rsidRPr="00412095" w:rsidRDefault="001D3A29" w:rsidP="00637007">
            <w:pPr>
              <w:spacing w:after="0" w:line="240" w:lineRule="auto"/>
              <w:jc w:val="center"/>
              <w:rPr>
                <w:rFonts w:ascii="Arial" w:eastAsia="Times New Roman" w:hAnsi="Arial" w:cs="Arial"/>
                <w:b/>
                <w:bCs/>
                <w:color w:val="FFFFFF"/>
                <w:sz w:val="20"/>
                <w:szCs w:val="20"/>
                <w:lang w:eastAsia="fr-FR"/>
              </w:rPr>
            </w:pPr>
            <w:r w:rsidRPr="00412095">
              <w:rPr>
                <w:rFonts w:ascii="Arial" w:eastAsia="Times New Roman" w:hAnsi="Arial" w:cs="Arial"/>
                <w:b/>
                <w:bCs/>
                <w:color w:val="FFFFFF"/>
                <w:sz w:val="20"/>
                <w:szCs w:val="20"/>
                <w:lang w:eastAsia="fr-FR"/>
              </w:rPr>
              <w:t>% Femmes</w:t>
            </w:r>
          </w:p>
        </w:tc>
        <w:tc>
          <w:tcPr>
            <w:tcW w:w="492" w:type="pct"/>
            <w:tcBorders>
              <w:top w:val="nil"/>
              <w:left w:val="nil"/>
              <w:bottom w:val="single" w:sz="4" w:space="0" w:color="auto"/>
              <w:right w:val="single" w:sz="4" w:space="0" w:color="auto"/>
            </w:tcBorders>
            <w:shd w:val="clear" w:color="auto" w:fill="1F497D"/>
            <w:vAlign w:val="center"/>
            <w:hideMark/>
          </w:tcPr>
          <w:p w14:paraId="1DC5F3AD" w14:textId="77777777" w:rsidR="001D3A29" w:rsidRPr="00412095" w:rsidRDefault="001D3A29" w:rsidP="00637007">
            <w:pPr>
              <w:spacing w:after="0" w:line="240" w:lineRule="auto"/>
              <w:ind w:firstLineChars="100" w:firstLine="201"/>
              <w:jc w:val="center"/>
              <w:rPr>
                <w:rFonts w:ascii="Arial" w:eastAsia="Times New Roman" w:hAnsi="Arial" w:cs="Arial"/>
                <w:b/>
                <w:bCs/>
                <w:color w:val="FFFFFF"/>
                <w:sz w:val="20"/>
                <w:szCs w:val="20"/>
                <w:lang w:eastAsia="fr-FR"/>
              </w:rPr>
            </w:pPr>
            <w:r w:rsidRPr="00412095">
              <w:rPr>
                <w:rFonts w:ascii="Arial" w:eastAsia="Times New Roman" w:hAnsi="Arial" w:cs="Arial"/>
                <w:b/>
                <w:bCs/>
                <w:color w:val="FFFFFF"/>
                <w:sz w:val="20"/>
                <w:szCs w:val="20"/>
                <w:lang w:eastAsia="fr-FR"/>
              </w:rPr>
              <w:t>% Hommes</w:t>
            </w:r>
          </w:p>
        </w:tc>
        <w:tc>
          <w:tcPr>
            <w:tcW w:w="475" w:type="pct"/>
            <w:tcBorders>
              <w:top w:val="nil"/>
              <w:left w:val="nil"/>
              <w:bottom w:val="single" w:sz="4" w:space="0" w:color="auto"/>
              <w:right w:val="single" w:sz="4" w:space="0" w:color="auto"/>
            </w:tcBorders>
            <w:shd w:val="clear" w:color="auto" w:fill="1F497D"/>
            <w:vAlign w:val="center"/>
            <w:hideMark/>
          </w:tcPr>
          <w:p w14:paraId="4E21E4ED" w14:textId="77777777" w:rsidR="001D3A29" w:rsidRPr="00412095" w:rsidRDefault="001D3A29" w:rsidP="00637007">
            <w:pPr>
              <w:spacing w:after="0" w:line="240" w:lineRule="auto"/>
              <w:jc w:val="center"/>
              <w:rPr>
                <w:rFonts w:ascii="Arial" w:eastAsia="Times New Roman" w:hAnsi="Arial" w:cs="Arial"/>
                <w:b/>
                <w:bCs/>
                <w:color w:val="FFFFFF"/>
                <w:sz w:val="20"/>
                <w:szCs w:val="20"/>
                <w:lang w:eastAsia="fr-FR"/>
              </w:rPr>
            </w:pPr>
            <w:r w:rsidRPr="00412095">
              <w:rPr>
                <w:rFonts w:ascii="Arial" w:eastAsia="Times New Roman" w:hAnsi="Arial" w:cs="Arial"/>
                <w:b/>
                <w:bCs/>
                <w:color w:val="FFFFFF"/>
                <w:sz w:val="20"/>
                <w:szCs w:val="20"/>
                <w:lang w:eastAsia="fr-FR"/>
              </w:rPr>
              <w:t>% Femmes</w:t>
            </w:r>
          </w:p>
        </w:tc>
      </w:tr>
      <w:tr w:rsidR="001D3A29" w:rsidRPr="007F78CE" w14:paraId="792FD17F" w14:textId="77777777" w:rsidTr="00637007">
        <w:trPr>
          <w:trHeight w:val="300"/>
          <w:jc w:val="center"/>
        </w:trPr>
        <w:tc>
          <w:tcPr>
            <w:tcW w:w="1129" w:type="pct"/>
            <w:tcBorders>
              <w:top w:val="nil"/>
              <w:left w:val="single" w:sz="4" w:space="0" w:color="auto"/>
              <w:bottom w:val="single" w:sz="4" w:space="0" w:color="auto"/>
              <w:right w:val="single" w:sz="4" w:space="0" w:color="auto"/>
            </w:tcBorders>
            <w:shd w:val="clear" w:color="auto" w:fill="auto"/>
            <w:vAlign w:val="center"/>
            <w:hideMark/>
          </w:tcPr>
          <w:p w14:paraId="235B378B" w14:textId="77777777" w:rsidR="001D3A29" w:rsidRPr="00412095" w:rsidRDefault="001D3A29" w:rsidP="00637007">
            <w:pPr>
              <w:spacing w:after="0" w:line="240" w:lineRule="auto"/>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Analamanga</w:t>
            </w:r>
          </w:p>
        </w:tc>
        <w:tc>
          <w:tcPr>
            <w:tcW w:w="492" w:type="pct"/>
            <w:tcBorders>
              <w:top w:val="nil"/>
              <w:left w:val="nil"/>
              <w:bottom w:val="single" w:sz="4" w:space="0" w:color="auto"/>
              <w:right w:val="single" w:sz="4" w:space="0" w:color="auto"/>
            </w:tcBorders>
            <w:shd w:val="clear" w:color="auto" w:fill="auto"/>
            <w:vAlign w:val="center"/>
            <w:hideMark/>
          </w:tcPr>
          <w:p w14:paraId="7D6E91BB"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22</w:t>
            </w:r>
          </w:p>
        </w:tc>
        <w:tc>
          <w:tcPr>
            <w:tcW w:w="475" w:type="pct"/>
            <w:tcBorders>
              <w:top w:val="nil"/>
              <w:left w:val="nil"/>
              <w:bottom w:val="single" w:sz="4" w:space="0" w:color="auto"/>
              <w:right w:val="single" w:sz="4" w:space="0" w:color="auto"/>
            </w:tcBorders>
            <w:shd w:val="clear" w:color="auto" w:fill="auto"/>
            <w:vAlign w:val="center"/>
            <w:hideMark/>
          </w:tcPr>
          <w:p w14:paraId="15D9A2A8"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18</w:t>
            </w:r>
          </w:p>
        </w:tc>
        <w:tc>
          <w:tcPr>
            <w:tcW w:w="492" w:type="pct"/>
            <w:tcBorders>
              <w:top w:val="nil"/>
              <w:left w:val="nil"/>
              <w:bottom w:val="single" w:sz="4" w:space="0" w:color="auto"/>
              <w:right w:val="single" w:sz="4" w:space="0" w:color="auto"/>
            </w:tcBorders>
            <w:shd w:val="clear" w:color="auto" w:fill="auto"/>
            <w:vAlign w:val="center"/>
            <w:hideMark/>
          </w:tcPr>
          <w:p w14:paraId="5941B3E9"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75</w:t>
            </w:r>
          </w:p>
        </w:tc>
        <w:tc>
          <w:tcPr>
            <w:tcW w:w="475" w:type="pct"/>
            <w:tcBorders>
              <w:top w:val="nil"/>
              <w:left w:val="nil"/>
              <w:bottom w:val="single" w:sz="4" w:space="0" w:color="auto"/>
              <w:right w:val="single" w:sz="4" w:space="0" w:color="auto"/>
            </w:tcBorders>
            <w:shd w:val="clear" w:color="auto" w:fill="auto"/>
            <w:vAlign w:val="center"/>
            <w:hideMark/>
          </w:tcPr>
          <w:p w14:paraId="489FEA47"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72</w:t>
            </w:r>
          </w:p>
        </w:tc>
        <w:tc>
          <w:tcPr>
            <w:tcW w:w="492" w:type="pct"/>
            <w:tcBorders>
              <w:top w:val="nil"/>
              <w:left w:val="nil"/>
              <w:bottom w:val="single" w:sz="4" w:space="0" w:color="auto"/>
              <w:right w:val="single" w:sz="4" w:space="0" w:color="auto"/>
            </w:tcBorders>
            <w:shd w:val="clear" w:color="auto" w:fill="auto"/>
            <w:vAlign w:val="center"/>
            <w:hideMark/>
          </w:tcPr>
          <w:p w14:paraId="39EB9091"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32</w:t>
            </w:r>
          </w:p>
        </w:tc>
        <w:tc>
          <w:tcPr>
            <w:tcW w:w="475" w:type="pct"/>
            <w:tcBorders>
              <w:top w:val="nil"/>
              <w:left w:val="nil"/>
              <w:bottom w:val="single" w:sz="4" w:space="0" w:color="auto"/>
              <w:right w:val="single" w:sz="4" w:space="0" w:color="auto"/>
            </w:tcBorders>
            <w:shd w:val="clear" w:color="auto" w:fill="auto"/>
            <w:vAlign w:val="center"/>
            <w:hideMark/>
          </w:tcPr>
          <w:p w14:paraId="1D15DE4C"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22</w:t>
            </w:r>
          </w:p>
        </w:tc>
        <w:tc>
          <w:tcPr>
            <w:tcW w:w="492" w:type="pct"/>
            <w:tcBorders>
              <w:top w:val="nil"/>
              <w:left w:val="nil"/>
              <w:bottom w:val="single" w:sz="4" w:space="0" w:color="auto"/>
              <w:right w:val="single" w:sz="4" w:space="0" w:color="auto"/>
            </w:tcBorders>
            <w:shd w:val="clear" w:color="auto" w:fill="auto"/>
            <w:vAlign w:val="center"/>
            <w:hideMark/>
          </w:tcPr>
          <w:p w14:paraId="6AFDD85B"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20</w:t>
            </w:r>
          </w:p>
        </w:tc>
        <w:tc>
          <w:tcPr>
            <w:tcW w:w="475" w:type="pct"/>
            <w:tcBorders>
              <w:top w:val="nil"/>
              <w:left w:val="nil"/>
              <w:bottom w:val="single" w:sz="4" w:space="0" w:color="auto"/>
              <w:right w:val="single" w:sz="4" w:space="0" w:color="auto"/>
            </w:tcBorders>
            <w:shd w:val="clear" w:color="auto" w:fill="auto"/>
            <w:vAlign w:val="center"/>
            <w:hideMark/>
          </w:tcPr>
          <w:p w14:paraId="27621797"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14</w:t>
            </w:r>
          </w:p>
        </w:tc>
      </w:tr>
      <w:tr w:rsidR="001D3A29" w:rsidRPr="007F78CE" w14:paraId="36483A19" w14:textId="77777777" w:rsidTr="00637007">
        <w:trPr>
          <w:trHeight w:val="300"/>
          <w:jc w:val="center"/>
        </w:trPr>
        <w:tc>
          <w:tcPr>
            <w:tcW w:w="1129" w:type="pct"/>
            <w:tcBorders>
              <w:top w:val="nil"/>
              <w:left w:val="single" w:sz="4" w:space="0" w:color="auto"/>
              <w:bottom w:val="single" w:sz="4" w:space="0" w:color="auto"/>
              <w:right w:val="single" w:sz="4" w:space="0" w:color="auto"/>
            </w:tcBorders>
            <w:shd w:val="clear" w:color="auto" w:fill="auto"/>
            <w:vAlign w:val="center"/>
            <w:hideMark/>
          </w:tcPr>
          <w:p w14:paraId="3A84E694" w14:textId="77777777" w:rsidR="001D3A29" w:rsidRPr="00F34A21" w:rsidRDefault="001D3A29" w:rsidP="00637007">
            <w:pPr>
              <w:spacing w:after="0" w:line="240" w:lineRule="auto"/>
              <w:rPr>
                <w:rFonts w:ascii="Arial" w:eastAsia="Times New Roman" w:hAnsi="Arial" w:cs="Arial"/>
                <w:color w:val="231F20"/>
                <w:sz w:val="20"/>
                <w:lang w:eastAsia="fr-FR"/>
              </w:rPr>
            </w:pPr>
            <w:r w:rsidRPr="00412095">
              <w:rPr>
                <w:rFonts w:ascii="Arial" w:eastAsia="Times New Roman" w:hAnsi="Arial" w:cs="Arial"/>
                <w:color w:val="231F20"/>
                <w:sz w:val="20"/>
                <w:lang w:eastAsia="fr-FR"/>
              </w:rPr>
              <w:t>Vakinankaratra</w:t>
            </w:r>
          </w:p>
        </w:tc>
        <w:tc>
          <w:tcPr>
            <w:tcW w:w="492" w:type="pct"/>
            <w:tcBorders>
              <w:top w:val="nil"/>
              <w:left w:val="nil"/>
              <w:bottom w:val="single" w:sz="4" w:space="0" w:color="auto"/>
              <w:right w:val="single" w:sz="4" w:space="0" w:color="auto"/>
            </w:tcBorders>
            <w:shd w:val="clear" w:color="auto" w:fill="auto"/>
            <w:vAlign w:val="center"/>
            <w:hideMark/>
          </w:tcPr>
          <w:p w14:paraId="178E95E8"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10</w:t>
            </w:r>
          </w:p>
        </w:tc>
        <w:tc>
          <w:tcPr>
            <w:tcW w:w="475" w:type="pct"/>
            <w:tcBorders>
              <w:top w:val="nil"/>
              <w:left w:val="nil"/>
              <w:bottom w:val="single" w:sz="4" w:space="0" w:color="auto"/>
              <w:right w:val="single" w:sz="4" w:space="0" w:color="auto"/>
            </w:tcBorders>
            <w:shd w:val="clear" w:color="auto" w:fill="auto"/>
            <w:vAlign w:val="center"/>
            <w:hideMark/>
          </w:tcPr>
          <w:p w14:paraId="5419AC76"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3</w:t>
            </w:r>
          </w:p>
        </w:tc>
        <w:tc>
          <w:tcPr>
            <w:tcW w:w="492" w:type="pct"/>
            <w:tcBorders>
              <w:top w:val="nil"/>
              <w:left w:val="nil"/>
              <w:bottom w:val="single" w:sz="4" w:space="0" w:color="auto"/>
              <w:right w:val="single" w:sz="4" w:space="0" w:color="auto"/>
            </w:tcBorders>
            <w:shd w:val="clear" w:color="auto" w:fill="auto"/>
            <w:vAlign w:val="center"/>
            <w:hideMark/>
          </w:tcPr>
          <w:p w14:paraId="77FA1A22"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64</w:t>
            </w:r>
          </w:p>
        </w:tc>
        <w:tc>
          <w:tcPr>
            <w:tcW w:w="475" w:type="pct"/>
            <w:tcBorders>
              <w:top w:val="nil"/>
              <w:left w:val="nil"/>
              <w:bottom w:val="single" w:sz="4" w:space="0" w:color="auto"/>
              <w:right w:val="single" w:sz="4" w:space="0" w:color="auto"/>
            </w:tcBorders>
            <w:shd w:val="clear" w:color="auto" w:fill="auto"/>
            <w:vAlign w:val="center"/>
            <w:hideMark/>
          </w:tcPr>
          <w:p w14:paraId="50C98070"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48</w:t>
            </w:r>
          </w:p>
        </w:tc>
        <w:tc>
          <w:tcPr>
            <w:tcW w:w="492" w:type="pct"/>
            <w:tcBorders>
              <w:top w:val="nil"/>
              <w:left w:val="nil"/>
              <w:bottom w:val="single" w:sz="4" w:space="0" w:color="auto"/>
              <w:right w:val="single" w:sz="4" w:space="0" w:color="auto"/>
            </w:tcBorders>
            <w:shd w:val="clear" w:color="auto" w:fill="auto"/>
            <w:vAlign w:val="center"/>
            <w:hideMark/>
          </w:tcPr>
          <w:p w14:paraId="5D512CB7"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13</w:t>
            </w:r>
          </w:p>
        </w:tc>
        <w:tc>
          <w:tcPr>
            <w:tcW w:w="475" w:type="pct"/>
            <w:tcBorders>
              <w:top w:val="nil"/>
              <w:left w:val="nil"/>
              <w:bottom w:val="single" w:sz="4" w:space="0" w:color="auto"/>
              <w:right w:val="single" w:sz="4" w:space="0" w:color="auto"/>
            </w:tcBorders>
            <w:shd w:val="clear" w:color="auto" w:fill="auto"/>
            <w:vAlign w:val="center"/>
            <w:hideMark/>
          </w:tcPr>
          <w:p w14:paraId="0E2D5521"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w:t>
            </w:r>
          </w:p>
        </w:tc>
        <w:tc>
          <w:tcPr>
            <w:tcW w:w="492" w:type="pct"/>
            <w:tcBorders>
              <w:top w:val="nil"/>
              <w:left w:val="nil"/>
              <w:bottom w:val="single" w:sz="4" w:space="0" w:color="auto"/>
              <w:right w:val="single" w:sz="4" w:space="0" w:color="auto"/>
            </w:tcBorders>
            <w:shd w:val="clear" w:color="auto" w:fill="auto"/>
            <w:vAlign w:val="center"/>
            <w:hideMark/>
          </w:tcPr>
          <w:p w14:paraId="7C2794FF"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9</w:t>
            </w:r>
          </w:p>
        </w:tc>
        <w:tc>
          <w:tcPr>
            <w:tcW w:w="475" w:type="pct"/>
            <w:tcBorders>
              <w:top w:val="nil"/>
              <w:left w:val="nil"/>
              <w:bottom w:val="single" w:sz="4" w:space="0" w:color="auto"/>
              <w:right w:val="single" w:sz="4" w:space="0" w:color="auto"/>
            </w:tcBorders>
            <w:shd w:val="clear" w:color="auto" w:fill="auto"/>
            <w:vAlign w:val="center"/>
            <w:hideMark/>
          </w:tcPr>
          <w:p w14:paraId="158BFBD1"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2</w:t>
            </w:r>
          </w:p>
        </w:tc>
      </w:tr>
      <w:tr w:rsidR="001D3A29" w:rsidRPr="007F78CE" w14:paraId="0B64FA8E" w14:textId="77777777" w:rsidTr="00637007">
        <w:trPr>
          <w:trHeight w:val="300"/>
          <w:jc w:val="center"/>
        </w:trPr>
        <w:tc>
          <w:tcPr>
            <w:tcW w:w="1129" w:type="pct"/>
            <w:tcBorders>
              <w:top w:val="nil"/>
              <w:left w:val="single" w:sz="4" w:space="0" w:color="auto"/>
              <w:bottom w:val="single" w:sz="4" w:space="0" w:color="auto"/>
              <w:right w:val="single" w:sz="4" w:space="0" w:color="auto"/>
            </w:tcBorders>
            <w:shd w:val="clear" w:color="auto" w:fill="auto"/>
            <w:vAlign w:val="center"/>
            <w:hideMark/>
          </w:tcPr>
          <w:p w14:paraId="0BE99B44" w14:textId="77777777" w:rsidR="001D3A29" w:rsidRPr="00F34A21" w:rsidRDefault="001D3A29" w:rsidP="00637007">
            <w:pPr>
              <w:spacing w:after="0" w:line="240" w:lineRule="auto"/>
              <w:rPr>
                <w:rFonts w:ascii="Arial" w:eastAsia="Times New Roman" w:hAnsi="Arial" w:cs="Arial"/>
                <w:color w:val="231F20"/>
                <w:sz w:val="20"/>
                <w:lang w:eastAsia="fr-FR"/>
              </w:rPr>
            </w:pPr>
            <w:r w:rsidRPr="00412095">
              <w:rPr>
                <w:rFonts w:ascii="Arial" w:eastAsia="Times New Roman" w:hAnsi="Arial" w:cs="Arial"/>
                <w:color w:val="231F20"/>
                <w:sz w:val="20"/>
                <w:lang w:eastAsia="fr-FR"/>
              </w:rPr>
              <w:t>Itasy</w:t>
            </w:r>
          </w:p>
        </w:tc>
        <w:tc>
          <w:tcPr>
            <w:tcW w:w="492" w:type="pct"/>
            <w:tcBorders>
              <w:top w:val="nil"/>
              <w:left w:val="nil"/>
              <w:bottom w:val="single" w:sz="4" w:space="0" w:color="auto"/>
              <w:right w:val="single" w:sz="4" w:space="0" w:color="auto"/>
            </w:tcBorders>
            <w:shd w:val="clear" w:color="auto" w:fill="auto"/>
            <w:vAlign w:val="center"/>
            <w:hideMark/>
          </w:tcPr>
          <w:p w14:paraId="1BF62C70"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w:t>
            </w:r>
          </w:p>
        </w:tc>
        <w:tc>
          <w:tcPr>
            <w:tcW w:w="475" w:type="pct"/>
            <w:tcBorders>
              <w:top w:val="nil"/>
              <w:left w:val="nil"/>
              <w:bottom w:val="single" w:sz="4" w:space="0" w:color="auto"/>
              <w:right w:val="single" w:sz="4" w:space="0" w:color="auto"/>
            </w:tcBorders>
            <w:shd w:val="clear" w:color="auto" w:fill="auto"/>
            <w:vAlign w:val="center"/>
            <w:hideMark/>
          </w:tcPr>
          <w:p w14:paraId="4E138906"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3</w:t>
            </w:r>
          </w:p>
        </w:tc>
        <w:tc>
          <w:tcPr>
            <w:tcW w:w="492" w:type="pct"/>
            <w:tcBorders>
              <w:top w:val="nil"/>
              <w:left w:val="nil"/>
              <w:bottom w:val="single" w:sz="4" w:space="0" w:color="auto"/>
              <w:right w:val="single" w:sz="4" w:space="0" w:color="auto"/>
            </w:tcBorders>
            <w:shd w:val="clear" w:color="auto" w:fill="auto"/>
            <w:vAlign w:val="center"/>
            <w:hideMark/>
          </w:tcPr>
          <w:p w14:paraId="5E7C77D4"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47</w:t>
            </w:r>
          </w:p>
        </w:tc>
        <w:tc>
          <w:tcPr>
            <w:tcW w:w="475" w:type="pct"/>
            <w:tcBorders>
              <w:top w:val="nil"/>
              <w:left w:val="nil"/>
              <w:bottom w:val="single" w:sz="4" w:space="0" w:color="auto"/>
              <w:right w:val="single" w:sz="4" w:space="0" w:color="auto"/>
            </w:tcBorders>
            <w:shd w:val="clear" w:color="auto" w:fill="auto"/>
            <w:vAlign w:val="center"/>
            <w:hideMark/>
          </w:tcPr>
          <w:p w14:paraId="680DF93F"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46</w:t>
            </w:r>
          </w:p>
        </w:tc>
        <w:tc>
          <w:tcPr>
            <w:tcW w:w="492" w:type="pct"/>
            <w:tcBorders>
              <w:top w:val="nil"/>
              <w:left w:val="nil"/>
              <w:bottom w:val="single" w:sz="4" w:space="0" w:color="auto"/>
              <w:right w:val="single" w:sz="4" w:space="0" w:color="auto"/>
            </w:tcBorders>
            <w:shd w:val="clear" w:color="auto" w:fill="auto"/>
            <w:vAlign w:val="center"/>
            <w:hideMark/>
          </w:tcPr>
          <w:p w14:paraId="7B1FE20A"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6</w:t>
            </w:r>
          </w:p>
        </w:tc>
        <w:tc>
          <w:tcPr>
            <w:tcW w:w="475" w:type="pct"/>
            <w:tcBorders>
              <w:top w:val="nil"/>
              <w:left w:val="nil"/>
              <w:bottom w:val="single" w:sz="4" w:space="0" w:color="auto"/>
              <w:right w:val="single" w:sz="4" w:space="0" w:color="auto"/>
            </w:tcBorders>
            <w:shd w:val="clear" w:color="auto" w:fill="auto"/>
            <w:vAlign w:val="center"/>
            <w:hideMark/>
          </w:tcPr>
          <w:p w14:paraId="112F9904"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5</w:t>
            </w:r>
          </w:p>
        </w:tc>
        <w:tc>
          <w:tcPr>
            <w:tcW w:w="492" w:type="pct"/>
            <w:tcBorders>
              <w:top w:val="nil"/>
              <w:left w:val="nil"/>
              <w:bottom w:val="single" w:sz="4" w:space="0" w:color="auto"/>
              <w:right w:val="single" w:sz="4" w:space="0" w:color="auto"/>
            </w:tcBorders>
            <w:shd w:val="clear" w:color="auto" w:fill="auto"/>
            <w:vAlign w:val="center"/>
            <w:hideMark/>
          </w:tcPr>
          <w:p w14:paraId="6A0DD9D6"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3</w:t>
            </w:r>
          </w:p>
        </w:tc>
        <w:tc>
          <w:tcPr>
            <w:tcW w:w="475" w:type="pct"/>
            <w:tcBorders>
              <w:top w:val="nil"/>
              <w:left w:val="nil"/>
              <w:bottom w:val="single" w:sz="4" w:space="0" w:color="auto"/>
              <w:right w:val="single" w:sz="4" w:space="0" w:color="auto"/>
            </w:tcBorders>
            <w:shd w:val="clear" w:color="auto" w:fill="auto"/>
            <w:vAlign w:val="center"/>
            <w:hideMark/>
          </w:tcPr>
          <w:p w14:paraId="306AC71A"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3</w:t>
            </w:r>
          </w:p>
        </w:tc>
      </w:tr>
      <w:tr w:rsidR="001D3A29" w:rsidRPr="007F78CE" w14:paraId="709D9E44" w14:textId="77777777" w:rsidTr="00637007">
        <w:trPr>
          <w:trHeight w:val="300"/>
          <w:jc w:val="center"/>
        </w:trPr>
        <w:tc>
          <w:tcPr>
            <w:tcW w:w="1129" w:type="pct"/>
            <w:tcBorders>
              <w:top w:val="nil"/>
              <w:left w:val="single" w:sz="4" w:space="0" w:color="auto"/>
              <w:bottom w:val="single" w:sz="4" w:space="0" w:color="auto"/>
              <w:right w:val="single" w:sz="4" w:space="0" w:color="auto"/>
            </w:tcBorders>
            <w:shd w:val="clear" w:color="auto" w:fill="auto"/>
            <w:vAlign w:val="center"/>
            <w:hideMark/>
          </w:tcPr>
          <w:p w14:paraId="3BECBF5A" w14:textId="77777777" w:rsidR="001D3A29" w:rsidRPr="00F34A21" w:rsidRDefault="001D3A29" w:rsidP="00637007">
            <w:pPr>
              <w:spacing w:after="0" w:line="240" w:lineRule="auto"/>
              <w:rPr>
                <w:rFonts w:ascii="Arial" w:eastAsia="Times New Roman" w:hAnsi="Arial" w:cs="Arial"/>
                <w:color w:val="231F20"/>
                <w:sz w:val="20"/>
                <w:lang w:eastAsia="fr-FR"/>
              </w:rPr>
            </w:pPr>
            <w:r w:rsidRPr="00412095">
              <w:rPr>
                <w:rFonts w:ascii="Arial" w:eastAsia="Times New Roman" w:hAnsi="Arial" w:cs="Arial"/>
                <w:color w:val="231F20"/>
                <w:sz w:val="20"/>
                <w:lang w:eastAsia="fr-FR"/>
              </w:rPr>
              <w:t>Bongolava</w:t>
            </w:r>
          </w:p>
        </w:tc>
        <w:tc>
          <w:tcPr>
            <w:tcW w:w="492" w:type="pct"/>
            <w:tcBorders>
              <w:top w:val="nil"/>
              <w:left w:val="nil"/>
              <w:bottom w:val="single" w:sz="4" w:space="0" w:color="auto"/>
              <w:right w:val="single" w:sz="4" w:space="0" w:color="auto"/>
            </w:tcBorders>
            <w:shd w:val="clear" w:color="auto" w:fill="auto"/>
            <w:vAlign w:val="center"/>
            <w:hideMark/>
          </w:tcPr>
          <w:p w14:paraId="0475A828"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3</w:t>
            </w:r>
          </w:p>
        </w:tc>
        <w:tc>
          <w:tcPr>
            <w:tcW w:w="475" w:type="pct"/>
            <w:tcBorders>
              <w:top w:val="nil"/>
              <w:left w:val="nil"/>
              <w:bottom w:val="single" w:sz="4" w:space="0" w:color="auto"/>
              <w:right w:val="single" w:sz="4" w:space="0" w:color="auto"/>
            </w:tcBorders>
            <w:shd w:val="clear" w:color="auto" w:fill="auto"/>
            <w:vAlign w:val="center"/>
            <w:hideMark/>
          </w:tcPr>
          <w:p w14:paraId="30C0AC72"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0,9</w:t>
            </w:r>
          </w:p>
        </w:tc>
        <w:tc>
          <w:tcPr>
            <w:tcW w:w="492" w:type="pct"/>
            <w:tcBorders>
              <w:top w:val="nil"/>
              <w:left w:val="nil"/>
              <w:bottom w:val="single" w:sz="4" w:space="0" w:color="auto"/>
              <w:right w:val="single" w:sz="4" w:space="0" w:color="auto"/>
            </w:tcBorders>
            <w:shd w:val="clear" w:color="auto" w:fill="auto"/>
            <w:vAlign w:val="center"/>
            <w:hideMark/>
          </w:tcPr>
          <w:p w14:paraId="6AA467CE"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39</w:t>
            </w:r>
          </w:p>
        </w:tc>
        <w:tc>
          <w:tcPr>
            <w:tcW w:w="475" w:type="pct"/>
            <w:tcBorders>
              <w:top w:val="nil"/>
              <w:left w:val="nil"/>
              <w:bottom w:val="single" w:sz="4" w:space="0" w:color="auto"/>
              <w:right w:val="single" w:sz="4" w:space="0" w:color="auto"/>
            </w:tcBorders>
            <w:shd w:val="clear" w:color="auto" w:fill="auto"/>
            <w:vAlign w:val="center"/>
            <w:hideMark/>
          </w:tcPr>
          <w:p w14:paraId="402F343C"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47</w:t>
            </w:r>
          </w:p>
        </w:tc>
        <w:tc>
          <w:tcPr>
            <w:tcW w:w="492" w:type="pct"/>
            <w:tcBorders>
              <w:top w:val="nil"/>
              <w:left w:val="nil"/>
              <w:bottom w:val="single" w:sz="4" w:space="0" w:color="auto"/>
              <w:right w:val="single" w:sz="4" w:space="0" w:color="auto"/>
            </w:tcBorders>
            <w:shd w:val="clear" w:color="auto" w:fill="auto"/>
            <w:vAlign w:val="center"/>
            <w:hideMark/>
          </w:tcPr>
          <w:p w14:paraId="6DF3B8F0"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3</w:t>
            </w:r>
          </w:p>
        </w:tc>
        <w:tc>
          <w:tcPr>
            <w:tcW w:w="475" w:type="pct"/>
            <w:tcBorders>
              <w:top w:val="nil"/>
              <w:left w:val="nil"/>
              <w:bottom w:val="single" w:sz="4" w:space="0" w:color="auto"/>
              <w:right w:val="single" w:sz="4" w:space="0" w:color="auto"/>
            </w:tcBorders>
            <w:shd w:val="clear" w:color="auto" w:fill="auto"/>
            <w:vAlign w:val="center"/>
            <w:hideMark/>
          </w:tcPr>
          <w:p w14:paraId="3A0AB28B"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3</w:t>
            </w:r>
          </w:p>
        </w:tc>
        <w:tc>
          <w:tcPr>
            <w:tcW w:w="492" w:type="pct"/>
            <w:tcBorders>
              <w:top w:val="nil"/>
              <w:left w:val="nil"/>
              <w:bottom w:val="single" w:sz="4" w:space="0" w:color="auto"/>
              <w:right w:val="single" w:sz="4" w:space="0" w:color="auto"/>
            </w:tcBorders>
            <w:shd w:val="clear" w:color="auto" w:fill="auto"/>
            <w:vAlign w:val="center"/>
            <w:hideMark/>
          </w:tcPr>
          <w:p w14:paraId="477052F1"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3</w:t>
            </w:r>
          </w:p>
        </w:tc>
        <w:tc>
          <w:tcPr>
            <w:tcW w:w="475" w:type="pct"/>
            <w:tcBorders>
              <w:top w:val="nil"/>
              <w:left w:val="nil"/>
              <w:bottom w:val="single" w:sz="4" w:space="0" w:color="auto"/>
              <w:right w:val="single" w:sz="4" w:space="0" w:color="auto"/>
            </w:tcBorders>
            <w:shd w:val="clear" w:color="auto" w:fill="auto"/>
            <w:vAlign w:val="center"/>
            <w:hideMark/>
          </w:tcPr>
          <w:p w14:paraId="3B2AB63A"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0,9</w:t>
            </w:r>
          </w:p>
        </w:tc>
      </w:tr>
      <w:tr w:rsidR="001D3A29" w:rsidRPr="007F78CE" w14:paraId="2C0C3250" w14:textId="77777777" w:rsidTr="00637007">
        <w:trPr>
          <w:trHeight w:val="300"/>
          <w:jc w:val="center"/>
        </w:trPr>
        <w:tc>
          <w:tcPr>
            <w:tcW w:w="1129" w:type="pct"/>
            <w:tcBorders>
              <w:top w:val="nil"/>
              <w:left w:val="single" w:sz="4" w:space="0" w:color="auto"/>
              <w:bottom w:val="single" w:sz="4" w:space="0" w:color="auto"/>
              <w:right w:val="single" w:sz="4" w:space="0" w:color="auto"/>
            </w:tcBorders>
            <w:shd w:val="clear" w:color="auto" w:fill="auto"/>
            <w:vAlign w:val="center"/>
            <w:hideMark/>
          </w:tcPr>
          <w:p w14:paraId="69CD96AE" w14:textId="77777777" w:rsidR="001D3A29" w:rsidRPr="00F34A21" w:rsidRDefault="001D3A29" w:rsidP="00637007">
            <w:pPr>
              <w:spacing w:after="0" w:line="240" w:lineRule="auto"/>
              <w:rPr>
                <w:rFonts w:ascii="Arial" w:eastAsia="Times New Roman" w:hAnsi="Arial" w:cs="Arial"/>
                <w:color w:val="231F20"/>
                <w:sz w:val="20"/>
                <w:lang w:eastAsia="fr-FR"/>
              </w:rPr>
            </w:pPr>
            <w:r w:rsidRPr="00412095">
              <w:rPr>
                <w:rFonts w:ascii="Arial" w:eastAsia="Times New Roman" w:hAnsi="Arial" w:cs="Arial"/>
                <w:color w:val="231F20"/>
                <w:sz w:val="20"/>
                <w:lang w:eastAsia="fr-FR"/>
              </w:rPr>
              <w:t>Haute Matsiatra</w:t>
            </w:r>
          </w:p>
        </w:tc>
        <w:tc>
          <w:tcPr>
            <w:tcW w:w="492" w:type="pct"/>
            <w:tcBorders>
              <w:top w:val="nil"/>
              <w:left w:val="nil"/>
              <w:bottom w:val="single" w:sz="4" w:space="0" w:color="auto"/>
              <w:right w:val="single" w:sz="4" w:space="0" w:color="auto"/>
            </w:tcBorders>
            <w:shd w:val="clear" w:color="auto" w:fill="auto"/>
            <w:vAlign w:val="center"/>
            <w:hideMark/>
          </w:tcPr>
          <w:p w14:paraId="0F1A7458"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w:t>
            </w:r>
          </w:p>
        </w:tc>
        <w:tc>
          <w:tcPr>
            <w:tcW w:w="475" w:type="pct"/>
            <w:tcBorders>
              <w:top w:val="nil"/>
              <w:left w:val="nil"/>
              <w:bottom w:val="single" w:sz="4" w:space="0" w:color="auto"/>
              <w:right w:val="single" w:sz="4" w:space="0" w:color="auto"/>
            </w:tcBorders>
            <w:shd w:val="clear" w:color="auto" w:fill="auto"/>
            <w:vAlign w:val="center"/>
            <w:hideMark/>
          </w:tcPr>
          <w:p w14:paraId="04EE135D"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w:t>
            </w:r>
          </w:p>
        </w:tc>
        <w:tc>
          <w:tcPr>
            <w:tcW w:w="492" w:type="pct"/>
            <w:tcBorders>
              <w:top w:val="nil"/>
              <w:left w:val="nil"/>
              <w:bottom w:val="single" w:sz="4" w:space="0" w:color="auto"/>
              <w:right w:val="single" w:sz="4" w:space="0" w:color="auto"/>
            </w:tcBorders>
            <w:shd w:val="clear" w:color="auto" w:fill="auto"/>
            <w:vAlign w:val="center"/>
            <w:hideMark/>
          </w:tcPr>
          <w:p w14:paraId="3C697D86"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56</w:t>
            </w:r>
          </w:p>
        </w:tc>
        <w:tc>
          <w:tcPr>
            <w:tcW w:w="475" w:type="pct"/>
            <w:tcBorders>
              <w:top w:val="nil"/>
              <w:left w:val="nil"/>
              <w:bottom w:val="single" w:sz="4" w:space="0" w:color="auto"/>
              <w:right w:val="single" w:sz="4" w:space="0" w:color="auto"/>
            </w:tcBorders>
            <w:shd w:val="clear" w:color="auto" w:fill="auto"/>
            <w:vAlign w:val="center"/>
            <w:hideMark/>
          </w:tcPr>
          <w:p w14:paraId="360153FF"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46</w:t>
            </w:r>
          </w:p>
        </w:tc>
        <w:tc>
          <w:tcPr>
            <w:tcW w:w="492" w:type="pct"/>
            <w:tcBorders>
              <w:top w:val="nil"/>
              <w:left w:val="nil"/>
              <w:bottom w:val="single" w:sz="4" w:space="0" w:color="auto"/>
              <w:right w:val="single" w:sz="4" w:space="0" w:color="auto"/>
            </w:tcBorders>
            <w:shd w:val="clear" w:color="auto" w:fill="auto"/>
            <w:vAlign w:val="center"/>
            <w:hideMark/>
          </w:tcPr>
          <w:p w14:paraId="6C004110"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6</w:t>
            </w:r>
          </w:p>
        </w:tc>
        <w:tc>
          <w:tcPr>
            <w:tcW w:w="475" w:type="pct"/>
            <w:tcBorders>
              <w:top w:val="nil"/>
              <w:left w:val="nil"/>
              <w:bottom w:val="single" w:sz="4" w:space="0" w:color="auto"/>
              <w:right w:val="single" w:sz="4" w:space="0" w:color="auto"/>
            </w:tcBorders>
            <w:shd w:val="clear" w:color="auto" w:fill="auto"/>
            <w:vAlign w:val="center"/>
            <w:hideMark/>
          </w:tcPr>
          <w:p w14:paraId="60CD0470"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6</w:t>
            </w:r>
          </w:p>
        </w:tc>
        <w:tc>
          <w:tcPr>
            <w:tcW w:w="492" w:type="pct"/>
            <w:tcBorders>
              <w:top w:val="nil"/>
              <w:left w:val="nil"/>
              <w:bottom w:val="single" w:sz="4" w:space="0" w:color="auto"/>
              <w:right w:val="single" w:sz="4" w:space="0" w:color="auto"/>
            </w:tcBorders>
            <w:shd w:val="clear" w:color="auto" w:fill="auto"/>
            <w:vAlign w:val="center"/>
            <w:hideMark/>
          </w:tcPr>
          <w:p w14:paraId="34301FD2"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w:t>
            </w:r>
          </w:p>
        </w:tc>
        <w:tc>
          <w:tcPr>
            <w:tcW w:w="475" w:type="pct"/>
            <w:tcBorders>
              <w:top w:val="nil"/>
              <w:left w:val="nil"/>
              <w:bottom w:val="single" w:sz="4" w:space="0" w:color="auto"/>
              <w:right w:val="single" w:sz="4" w:space="0" w:color="auto"/>
            </w:tcBorders>
            <w:shd w:val="clear" w:color="auto" w:fill="auto"/>
            <w:vAlign w:val="center"/>
            <w:hideMark/>
          </w:tcPr>
          <w:p w14:paraId="35417AAE"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3</w:t>
            </w:r>
          </w:p>
        </w:tc>
      </w:tr>
      <w:tr w:rsidR="001D3A29" w:rsidRPr="007F78CE" w14:paraId="0B31100D" w14:textId="77777777" w:rsidTr="00637007">
        <w:trPr>
          <w:trHeight w:val="300"/>
          <w:jc w:val="center"/>
        </w:trPr>
        <w:tc>
          <w:tcPr>
            <w:tcW w:w="1129" w:type="pct"/>
            <w:tcBorders>
              <w:top w:val="nil"/>
              <w:left w:val="single" w:sz="4" w:space="0" w:color="auto"/>
              <w:bottom w:val="single" w:sz="4" w:space="0" w:color="auto"/>
              <w:right w:val="single" w:sz="4" w:space="0" w:color="auto"/>
            </w:tcBorders>
            <w:shd w:val="clear" w:color="auto" w:fill="auto"/>
            <w:vAlign w:val="center"/>
            <w:hideMark/>
          </w:tcPr>
          <w:p w14:paraId="6AF2FD61" w14:textId="77777777" w:rsidR="001D3A29" w:rsidRPr="00F34A21" w:rsidRDefault="001D3A29" w:rsidP="00637007">
            <w:pPr>
              <w:spacing w:after="0" w:line="240" w:lineRule="auto"/>
              <w:rPr>
                <w:rFonts w:ascii="Arial" w:eastAsia="Times New Roman" w:hAnsi="Arial" w:cs="Arial"/>
                <w:color w:val="231F20"/>
                <w:sz w:val="20"/>
                <w:lang w:eastAsia="fr-FR"/>
              </w:rPr>
            </w:pPr>
            <w:r w:rsidRPr="00412095">
              <w:rPr>
                <w:rFonts w:ascii="Arial" w:eastAsia="Times New Roman" w:hAnsi="Arial" w:cs="Arial"/>
                <w:color w:val="231F20"/>
                <w:sz w:val="20"/>
                <w:lang w:eastAsia="fr-FR"/>
              </w:rPr>
              <w:t>Amoron’i Mania</w:t>
            </w:r>
          </w:p>
        </w:tc>
        <w:tc>
          <w:tcPr>
            <w:tcW w:w="492" w:type="pct"/>
            <w:tcBorders>
              <w:top w:val="nil"/>
              <w:left w:val="nil"/>
              <w:bottom w:val="single" w:sz="4" w:space="0" w:color="auto"/>
              <w:right w:val="single" w:sz="4" w:space="0" w:color="auto"/>
            </w:tcBorders>
            <w:shd w:val="clear" w:color="auto" w:fill="auto"/>
            <w:vAlign w:val="center"/>
            <w:hideMark/>
          </w:tcPr>
          <w:p w14:paraId="06EF55AC"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5</w:t>
            </w:r>
          </w:p>
        </w:tc>
        <w:tc>
          <w:tcPr>
            <w:tcW w:w="475" w:type="pct"/>
            <w:tcBorders>
              <w:top w:val="nil"/>
              <w:left w:val="nil"/>
              <w:bottom w:val="single" w:sz="4" w:space="0" w:color="auto"/>
              <w:right w:val="single" w:sz="4" w:space="0" w:color="auto"/>
            </w:tcBorders>
            <w:shd w:val="clear" w:color="auto" w:fill="auto"/>
            <w:vAlign w:val="center"/>
            <w:hideMark/>
          </w:tcPr>
          <w:p w14:paraId="26B65C76"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2</w:t>
            </w:r>
          </w:p>
        </w:tc>
        <w:tc>
          <w:tcPr>
            <w:tcW w:w="492" w:type="pct"/>
            <w:tcBorders>
              <w:top w:val="nil"/>
              <w:left w:val="nil"/>
              <w:bottom w:val="single" w:sz="4" w:space="0" w:color="auto"/>
              <w:right w:val="single" w:sz="4" w:space="0" w:color="auto"/>
            </w:tcBorders>
            <w:shd w:val="clear" w:color="auto" w:fill="auto"/>
            <w:vAlign w:val="center"/>
            <w:hideMark/>
          </w:tcPr>
          <w:p w14:paraId="3D05DE74"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45</w:t>
            </w:r>
          </w:p>
        </w:tc>
        <w:tc>
          <w:tcPr>
            <w:tcW w:w="475" w:type="pct"/>
            <w:tcBorders>
              <w:top w:val="nil"/>
              <w:left w:val="nil"/>
              <w:bottom w:val="single" w:sz="4" w:space="0" w:color="auto"/>
              <w:right w:val="single" w:sz="4" w:space="0" w:color="auto"/>
            </w:tcBorders>
            <w:shd w:val="clear" w:color="auto" w:fill="auto"/>
            <w:vAlign w:val="center"/>
            <w:hideMark/>
          </w:tcPr>
          <w:p w14:paraId="2533DBD6"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36</w:t>
            </w:r>
          </w:p>
        </w:tc>
        <w:tc>
          <w:tcPr>
            <w:tcW w:w="492" w:type="pct"/>
            <w:tcBorders>
              <w:top w:val="nil"/>
              <w:left w:val="nil"/>
              <w:bottom w:val="single" w:sz="4" w:space="0" w:color="auto"/>
              <w:right w:val="single" w:sz="4" w:space="0" w:color="auto"/>
            </w:tcBorders>
            <w:shd w:val="clear" w:color="auto" w:fill="auto"/>
            <w:vAlign w:val="center"/>
            <w:hideMark/>
          </w:tcPr>
          <w:p w14:paraId="51857676"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8</w:t>
            </w:r>
          </w:p>
        </w:tc>
        <w:tc>
          <w:tcPr>
            <w:tcW w:w="475" w:type="pct"/>
            <w:tcBorders>
              <w:top w:val="nil"/>
              <w:left w:val="nil"/>
              <w:bottom w:val="single" w:sz="4" w:space="0" w:color="auto"/>
              <w:right w:val="single" w:sz="4" w:space="0" w:color="auto"/>
            </w:tcBorders>
            <w:shd w:val="clear" w:color="auto" w:fill="auto"/>
            <w:vAlign w:val="center"/>
            <w:hideMark/>
          </w:tcPr>
          <w:p w14:paraId="081E5EEB"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w:t>
            </w:r>
          </w:p>
        </w:tc>
        <w:tc>
          <w:tcPr>
            <w:tcW w:w="492" w:type="pct"/>
            <w:tcBorders>
              <w:top w:val="nil"/>
              <w:left w:val="nil"/>
              <w:bottom w:val="single" w:sz="4" w:space="0" w:color="auto"/>
              <w:right w:val="single" w:sz="4" w:space="0" w:color="auto"/>
            </w:tcBorders>
            <w:shd w:val="clear" w:color="auto" w:fill="auto"/>
            <w:vAlign w:val="center"/>
            <w:hideMark/>
          </w:tcPr>
          <w:p w14:paraId="102C0CE1"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w:t>
            </w:r>
          </w:p>
        </w:tc>
        <w:tc>
          <w:tcPr>
            <w:tcW w:w="475" w:type="pct"/>
            <w:tcBorders>
              <w:top w:val="nil"/>
              <w:left w:val="nil"/>
              <w:bottom w:val="single" w:sz="4" w:space="0" w:color="auto"/>
              <w:right w:val="single" w:sz="4" w:space="0" w:color="auto"/>
            </w:tcBorders>
            <w:shd w:val="clear" w:color="auto" w:fill="auto"/>
            <w:vAlign w:val="center"/>
            <w:hideMark/>
          </w:tcPr>
          <w:p w14:paraId="04F6CD5D"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2</w:t>
            </w:r>
          </w:p>
        </w:tc>
      </w:tr>
      <w:tr w:rsidR="001D3A29" w:rsidRPr="007F78CE" w14:paraId="5ED12929" w14:textId="77777777" w:rsidTr="00637007">
        <w:trPr>
          <w:trHeight w:val="300"/>
          <w:jc w:val="center"/>
        </w:trPr>
        <w:tc>
          <w:tcPr>
            <w:tcW w:w="1129" w:type="pct"/>
            <w:tcBorders>
              <w:top w:val="nil"/>
              <w:left w:val="single" w:sz="4" w:space="0" w:color="auto"/>
              <w:bottom w:val="single" w:sz="4" w:space="0" w:color="auto"/>
              <w:right w:val="single" w:sz="4" w:space="0" w:color="auto"/>
            </w:tcBorders>
            <w:shd w:val="clear" w:color="auto" w:fill="auto"/>
            <w:vAlign w:val="center"/>
            <w:hideMark/>
          </w:tcPr>
          <w:p w14:paraId="74417D17" w14:textId="77777777" w:rsidR="001D3A29" w:rsidRPr="00F34A21" w:rsidRDefault="001D3A29" w:rsidP="00637007">
            <w:pPr>
              <w:spacing w:after="0" w:line="240" w:lineRule="auto"/>
              <w:rPr>
                <w:rFonts w:ascii="Arial" w:eastAsia="Times New Roman" w:hAnsi="Arial" w:cs="Arial"/>
                <w:color w:val="231F20"/>
                <w:sz w:val="20"/>
                <w:lang w:eastAsia="fr-FR"/>
              </w:rPr>
            </w:pPr>
            <w:r w:rsidRPr="00412095">
              <w:rPr>
                <w:rFonts w:ascii="Arial" w:eastAsia="Times New Roman" w:hAnsi="Arial" w:cs="Arial"/>
                <w:color w:val="231F20"/>
                <w:sz w:val="20"/>
                <w:lang w:eastAsia="fr-FR"/>
              </w:rPr>
              <w:t>Vatovavy Fitovinany</w:t>
            </w:r>
          </w:p>
        </w:tc>
        <w:tc>
          <w:tcPr>
            <w:tcW w:w="492" w:type="pct"/>
            <w:tcBorders>
              <w:top w:val="nil"/>
              <w:left w:val="nil"/>
              <w:bottom w:val="single" w:sz="4" w:space="0" w:color="auto"/>
              <w:right w:val="single" w:sz="4" w:space="0" w:color="auto"/>
            </w:tcBorders>
            <w:shd w:val="clear" w:color="auto" w:fill="auto"/>
            <w:vAlign w:val="center"/>
            <w:hideMark/>
          </w:tcPr>
          <w:p w14:paraId="0F68C84E"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w:t>
            </w:r>
          </w:p>
        </w:tc>
        <w:tc>
          <w:tcPr>
            <w:tcW w:w="475" w:type="pct"/>
            <w:tcBorders>
              <w:top w:val="nil"/>
              <w:left w:val="nil"/>
              <w:bottom w:val="single" w:sz="4" w:space="0" w:color="auto"/>
              <w:right w:val="single" w:sz="4" w:space="0" w:color="auto"/>
            </w:tcBorders>
            <w:shd w:val="clear" w:color="auto" w:fill="auto"/>
            <w:vAlign w:val="center"/>
            <w:hideMark/>
          </w:tcPr>
          <w:p w14:paraId="41D91002"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3</w:t>
            </w:r>
          </w:p>
        </w:tc>
        <w:tc>
          <w:tcPr>
            <w:tcW w:w="492" w:type="pct"/>
            <w:tcBorders>
              <w:top w:val="nil"/>
              <w:left w:val="nil"/>
              <w:bottom w:val="single" w:sz="4" w:space="0" w:color="auto"/>
              <w:right w:val="single" w:sz="4" w:space="0" w:color="auto"/>
            </w:tcBorders>
            <w:shd w:val="clear" w:color="auto" w:fill="auto"/>
            <w:vAlign w:val="center"/>
            <w:hideMark/>
          </w:tcPr>
          <w:p w14:paraId="3F47F4FE"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33</w:t>
            </w:r>
          </w:p>
        </w:tc>
        <w:tc>
          <w:tcPr>
            <w:tcW w:w="475" w:type="pct"/>
            <w:tcBorders>
              <w:top w:val="nil"/>
              <w:left w:val="nil"/>
              <w:bottom w:val="single" w:sz="4" w:space="0" w:color="auto"/>
              <w:right w:val="single" w:sz="4" w:space="0" w:color="auto"/>
            </w:tcBorders>
            <w:shd w:val="clear" w:color="auto" w:fill="auto"/>
            <w:vAlign w:val="center"/>
            <w:hideMark/>
          </w:tcPr>
          <w:p w14:paraId="468E8D10"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29</w:t>
            </w:r>
          </w:p>
        </w:tc>
        <w:tc>
          <w:tcPr>
            <w:tcW w:w="492" w:type="pct"/>
            <w:tcBorders>
              <w:top w:val="nil"/>
              <w:left w:val="nil"/>
              <w:bottom w:val="single" w:sz="4" w:space="0" w:color="auto"/>
              <w:right w:val="single" w:sz="4" w:space="0" w:color="auto"/>
            </w:tcBorders>
            <w:shd w:val="clear" w:color="auto" w:fill="auto"/>
            <w:vAlign w:val="center"/>
            <w:hideMark/>
          </w:tcPr>
          <w:p w14:paraId="65C68204"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6</w:t>
            </w:r>
          </w:p>
        </w:tc>
        <w:tc>
          <w:tcPr>
            <w:tcW w:w="475" w:type="pct"/>
            <w:tcBorders>
              <w:top w:val="nil"/>
              <w:left w:val="nil"/>
              <w:bottom w:val="single" w:sz="4" w:space="0" w:color="auto"/>
              <w:right w:val="single" w:sz="4" w:space="0" w:color="auto"/>
            </w:tcBorders>
            <w:shd w:val="clear" w:color="auto" w:fill="auto"/>
            <w:vAlign w:val="center"/>
            <w:hideMark/>
          </w:tcPr>
          <w:p w14:paraId="0B76C02D"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w:t>
            </w:r>
          </w:p>
        </w:tc>
        <w:tc>
          <w:tcPr>
            <w:tcW w:w="492" w:type="pct"/>
            <w:tcBorders>
              <w:top w:val="nil"/>
              <w:left w:val="nil"/>
              <w:bottom w:val="single" w:sz="4" w:space="0" w:color="auto"/>
              <w:right w:val="single" w:sz="4" w:space="0" w:color="auto"/>
            </w:tcBorders>
            <w:shd w:val="clear" w:color="auto" w:fill="auto"/>
            <w:vAlign w:val="center"/>
            <w:hideMark/>
          </w:tcPr>
          <w:p w14:paraId="65B74753"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w:t>
            </w:r>
          </w:p>
        </w:tc>
        <w:tc>
          <w:tcPr>
            <w:tcW w:w="475" w:type="pct"/>
            <w:tcBorders>
              <w:top w:val="nil"/>
              <w:left w:val="nil"/>
              <w:bottom w:val="single" w:sz="4" w:space="0" w:color="auto"/>
              <w:right w:val="single" w:sz="4" w:space="0" w:color="auto"/>
            </w:tcBorders>
            <w:shd w:val="clear" w:color="auto" w:fill="auto"/>
            <w:vAlign w:val="center"/>
            <w:hideMark/>
          </w:tcPr>
          <w:p w14:paraId="43383835"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2</w:t>
            </w:r>
          </w:p>
        </w:tc>
      </w:tr>
      <w:tr w:rsidR="001D3A29" w:rsidRPr="007F78CE" w14:paraId="30DA788C" w14:textId="77777777" w:rsidTr="00637007">
        <w:trPr>
          <w:trHeight w:val="300"/>
          <w:jc w:val="center"/>
        </w:trPr>
        <w:tc>
          <w:tcPr>
            <w:tcW w:w="1129" w:type="pct"/>
            <w:tcBorders>
              <w:top w:val="nil"/>
              <w:left w:val="single" w:sz="4" w:space="0" w:color="auto"/>
              <w:bottom w:val="single" w:sz="4" w:space="0" w:color="auto"/>
              <w:right w:val="single" w:sz="4" w:space="0" w:color="auto"/>
            </w:tcBorders>
            <w:shd w:val="clear" w:color="auto" w:fill="auto"/>
            <w:vAlign w:val="center"/>
            <w:hideMark/>
          </w:tcPr>
          <w:p w14:paraId="1924F6EB" w14:textId="77777777" w:rsidR="001D3A29" w:rsidRPr="00F34A21" w:rsidRDefault="001D3A29" w:rsidP="00637007">
            <w:pPr>
              <w:spacing w:after="0" w:line="240" w:lineRule="auto"/>
              <w:rPr>
                <w:rFonts w:ascii="Arial" w:eastAsia="Times New Roman" w:hAnsi="Arial" w:cs="Arial"/>
                <w:color w:val="231F20"/>
                <w:sz w:val="20"/>
                <w:lang w:eastAsia="fr-FR"/>
              </w:rPr>
            </w:pPr>
            <w:r w:rsidRPr="00412095">
              <w:rPr>
                <w:rFonts w:ascii="Arial" w:eastAsia="Times New Roman" w:hAnsi="Arial" w:cs="Arial"/>
                <w:color w:val="231F20"/>
                <w:sz w:val="20"/>
                <w:lang w:eastAsia="fr-FR"/>
              </w:rPr>
              <w:t>Ihorombe</w:t>
            </w:r>
          </w:p>
        </w:tc>
        <w:tc>
          <w:tcPr>
            <w:tcW w:w="492" w:type="pct"/>
            <w:tcBorders>
              <w:top w:val="nil"/>
              <w:left w:val="nil"/>
              <w:bottom w:val="single" w:sz="4" w:space="0" w:color="auto"/>
              <w:right w:val="single" w:sz="4" w:space="0" w:color="auto"/>
            </w:tcBorders>
            <w:shd w:val="clear" w:color="auto" w:fill="auto"/>
            <w:vAlign w:val="center"/>
            <w:hideMark/>
          </w:tcPr>
          <w:p w14:paraId="3A2153DD"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6</w:t>
            </w:r>
          </w:p>
        </w:tc>
        <w:tc>
          <w:tcPr>
            <w:tcW w:w="475" w:type="pct"/>
            <w:tcBorders>
              <w:top w:val="nil"/>
              <w:left w:val="nil"/>
              <w:bottom w:val="single" w:sz="4" w:space="0" w:color="auto"/>
              <w:right w:val="single" w:sz="4" w:space="0" w:color="auto"/>
            </w:tcBorders>
            <w:shd w:val="clear" w:color="auto" w:fill="auto"/>
            <w:vAlign w:val="center"/>
            <w:hideMark/>
          </w:tcPr>
          <w:p w14:paraId="2B9B0B7F"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3</w:t>
            </w:r>
          </w:p>
        </w:tc>
        <w:tc>
          <w:tcPr>
            <w:tcW w:w="492" w:type="pct"/>
            <w:tcBorders>
              <w:top w:val="nil"/>
              <w:left w:val="nil"/>
              <w:bottom w:val="single" w:sz="4" w:space="0" w:color="auto"/>
              <w:right w:val="single" w:sz="4" w:space="0" w:color="auto"/>
            </w:tcBorders>
            <w:shd w:val="clear" w:color="auto" w:fill="auto"/>
            <w:vAlign w:val="center"/>
            <w:hideMark/>
          </w:tcPr>
          <w:p w14:paraId="7614C22D"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56</w:t>
            </w:r>
          </w:p>
        </w:tc>
        <w:tc>
          <w:tcPr>
            <w:tcW w:w="475" w:type="pct"/>
            <w:tcBorders>
              <w:top w:val="nil"/>
              <w:left w:val="nil"/>
              <w:bottom w:val="single" w:sz="4" w:space="0" w:color="auto"/>
              <w:right w:val="single" w:sz="4" w:space="0" w:color="auto"/>
            </w:tcBorders>
            <w:shd w:val="clear" w:color="auto" w:fill="auto"/>
            <w:vAlign w:val="center"/>
            <w:hideMark/>
          </w:tcPr>
          <w:p w14:paraId="156A3DA6"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41</w:t>
            </w:r>
          </w:p>
        </w:tc>
        <w:tc>
          <w:tcPr>
            <w:tcW w:w="492" w:type="pct"/>
            <w:tcBorders>
              <w:top w:val="nil"/>
              <w:left w:val="nil"/>
              <w:bottom w:val="single" w:sz="4" w:space="0" w:color="auto"/>
              <w:right w:val="single" w:sz="4" w:space="0" w:color="auto"/>
            </w:tcBorders>
            <w:shd w:val="clear" w:color="auto" w:fill="auto"/>
            <w:vAlign w:val="center"/>
            <w:hideMark/>
          </w:tcPr>
          <w:p w14:paraId="27CBC22D"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10</w:t>
            </w:r>
          </w:p>
        </w:tc>
        <w:tc>
          <w:tcPr>
            <w:tcW w:w="475" w:type="pct"/>
            <w:tcBorders>
              <w:top w:val="nil"/>
              <w:left w:val="nil"/>
              <w:bottom w:val="single" w:sz="4" w:space="0" w:color="auto"/>
              <w:right w:val="single" w:sz="4" w:space="0" w:color="auto"/>
            </w:tcBorders>
            <w:shd w:val="clear" w:color="auto" w:fill="auto"/>
            <w:vAlign w:val="center"/>
            <w:hideMark/>
          </w:tcPr>
          <w:p w14:paraId="4EE50D04"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3</w:t>
            </w:r>
          </w:p>
        </w:tc>
        <w:tc>
          <w:tcPr>
            <w:tcW w:w="492" w:type="pct"/>
            <w:tcBorders>
              <w:top w:val="nil"/>
              <w:left w:val="nil"/>
              <w:bottom w:val="single" w:sz="4" w:space="0" w:color="auto"/>
              <w:right w:val="single" w:sz="4" w:space="0" w:color="auto"/>
            </w:tcBorders>
            <w:shd w:val="clear" w:color="auto" w:fill="auto"/>
            <w:vAlign w:val="center"/>
            <w:hideMark/>
          </w:tcPr>
          <w:p w14:paraId="44313608"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5</w:t>
            </w:r>
          </w:p>
        </w:tc>
        <w:tc>
          <w:tcPr>
            <w:tcW w:w="475" w:type="pct"/>
            <w:tcBorders>
              <w:top w:val="nil"/>
              <w:left w:val="nil"/>
              <w:bottom w:val="single" w:sz="4" w:space="0" w:color="auto"/>
              <w:right w:val="single" w:sz="4" w:space="0" w:color="auto"/>
            </w:tcBorders>
            <w:shd w:val="clear" w:color="auto" w:fill="auto"/>
            <w:vAlign w:val="center"/>
            <w:hideMark/>
          </w:tcPr>
          <w:p w14:paraId="2EF2BA1B"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2</w:t>
            </w:r>
          </w:p>
        </w:tc>
      </w:tr>
      <w:tr w:rsidR="001D3A29" w:rsidRPr="007F78CE" w14:paraId="50C91BFF" w14:textId="77777777" w:rsidTr="00637007">
        <w:trPr>
          <w:trHeight w:val="300"/>
          <w:jc w:val="center"/>
        </w:trPr>
        <w:tc>
          <w:tcPr>
            <w:tcW w:w="1129" w:type="pct"/>
            <w:tcBorders>
              <w:top w:val="nil"/>
              <w:left w:val="single" w:sz="4" w:space="0" w:color="auto"/>
              <w:bottom w:val="single" w:sz="4" w:space="0" w:color="auto"/>
              <w:right w:val="single" w:sz="4" w:space="0" w:color="auto"/>
            </w:tcBorders>
            <w:shd w:val="clear" w:color="auto" w:fill="auto"/>
            <w:vAlign w:val="center"/>
            <w:hideMark/>
          </w:tcPr>
          <w:p w14:paraId="484F6B6D" w14:textId="77777777" w:rsidR="001D3A29" w:rsidRPr="00F34A21" w:rsidRDefault="001D3A29" w:rsidP="00637007">
            <w:pPr>
              <w:spacing w:after="0" w:line="240" w:lineRule="auto"/>
              <w:rPr>
                <w:rFonts w:ascii="Arial" w:eastAsia="Times New Roman" w:hAnsi="Arial" w:cs="Arial"/>
                <w:color w:val="231F20"/>
                <w:sz w:val="20"/>
                <w:lang w:eastAsia="fr-FR"/>
              </w:rPr>
            </w:pPr>
            <w:r w:rsidRPr="00412095">
              <w:rPr>
                <w:rFonts w:ascii="Arial" w:eastAsia="Times New Roman" w:hAnsi="Arial" w:cs="Arial"/>
                <w:color w:val="231F20"/>
                <w:sz w:val="20"/>
                <w:lang w:eastAsia="fr-FR"/>
              </w:rPr>
              <w:t>Atsimo Atsinanana</w:t>
            </w:r>
          </w:p>
        </w:tc>
        <w:tc>
          <w:tcPr>
            <w:tcW w:w="492" w:type="pct"/>
            <w:tcBorders>
              <w:top w:val="nil"/>
              <w:left w:val="nil"/>
              <w:bottom w:val="single" w:sz="4" w:space="0" w:color="auto"/>
              <w:right w:val="single" w:sz="4" w:space="0" w:color="auto"/>
            </w:tcBorders>
            <w:shd w:val="clear" w:color="auto" w:fill="auto"/>
            <w:vAlign w:val="center"/>
            <w:hideMark/>
          </w:tcPr>
          <w:p w14:paraId="29D902E6"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0,9</w:t>
            </w:r>
          </w:p>
        </w:tc>
        <w:tc>
          <w:tcPr>
            <w:tcW w:w="475" w:type="pct"/>
            <w:tcBorders>
              <w:top w:val="nil"/>
              <w:left w:val="nil"/>
              <w:bottom w:val="single" w:sz="4" w:space="0" w:color="auto"/>
              <w:right w:val="single" w:sz="4" w:space="0" w:color="auto"/>
            </w:tcBorders>
            <w:shd w:val="clear" w:color="auto" w:fill="auto"/>
            <w:vAlign w:val="center"/>
            <w:hideMark/>
          </w:tcPr>
          <w:p w14:paraId="05510448"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1</w:t>
            </w:r>
          </w:p>
        </w:tc>
        <w:tc>
          <w:tcPr>
            <w:tcW w:w="492" w:type="pct"/>
            <w:tcBorders>
              <w:top w:val="nil"/>
              <w:left w:val="nil"/>
              <w:bottom w:val="single" w:sz="4" w:space="0" w:color="auto"/>
              <w:right w:val="single" w:sz="4" w:space="0" w:color="auto"/>
            </w:tcBorders>
            <w:shd w:val="clear" w:color="auto" w:fill="auto"/>
            <w:vAlign w:val="center"/>
            <w:hideMark/>
          </w:tcPr>
          <w:p w14:paraId="101DDFA7"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21</w:t>
            </w:r>
          </w:p>
        </w:tc>
        <w:tc>
          <w:tcPr>
            <w:tcW w:w="475" w:type="pct"/>
            <w:tcBorders>
              <w:top w:val="nil"/>
              <w:left w:val="nil"/>
              <w:bottom w:val="single" w:sz="4" w:space="0" w:color="auto"/>
              <w:right w:val="single" w:sz="4" w:space="0" w:color="auto"/>
            </w:tcBorders>
            <w:shd w:val="clear" w:color="auto" w:fill="auto"/>
            <w:vAlign w:val="center"/>
            <w:hideMark/>
          </w:tcPr>
          <w:p w14:paraId="6519C48F"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17</w:t>
            </w:r>
          </w:p>
        </w:tc>
        <w:tc>
          <w:tcPr>
            <w:tcW w:w="492" w:type="pct"/>
            <w:tcBorders>
              <w:top w:val="nil"/>
              <w:left w:val="nil"/>
              <w:bottom w:val="single" w:sz="4" w:space="0" w:color="auto"/>
              <w:right w:val="single" w:sz="4" w:space="0" w:color="auto"/>
            </w:tcBorders>
            <w:shd w:val="clear" w:color="auto" w:fill="auto"/>
            <w:vAlign w:val="center"/>
            <w:hideMark/>
          </w:tcPr>
          <w:p w14:paraId="28969950"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2</w:t>
            </w:r>
          </w:p>
        </w:tc>
        <w:tc>
          <w:tcPr>
            <w:tcW w:w="475" w:type="pct"/>
            <w:tcBorders>
              <w:top w:val="nil"/>
              <w:left w:val="nil"/>
              <w:bottom w:val="single" w:sz="4" w:space="0" w:color="auto"/>
              <w:right w:val="single" w:sz="4" w:space="0" w:color="auto"/>
            </w:tcBorders>
            <w:shd w:val="clear" w:color="auto" w:fill="auto"/>
            <w:vAlign w:val="center"/>
            <w:hideMark/>
          </w:tcPr>
          <w:p w14:paraId="3484531A"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3</w:t>
            </w:r>
          </w:p>
        </w:tc>
        <w:tc>
          <w:tcPr>
            <w:tcW w:w="492" w:type="pct"/>
            <w:tcBorders>
              <w:top w:val="nil"/>
              <w:left w:val="nil"/>
              <w:bottom w:val="single" w:sz="4" w:space="0" w:color="auto"/>
              <w:right w:val="single" w:sz="4" w:space="0" w:color="auto"/>
            </w:tcBorders>
            <w:shd w:val="clear" w:color="auto" w:fill="auto"/>
            <w:vAlign w:val="center"/>
            <w:hideMark/>
          </w:tcPr>
          <w:p w14:paraId="5374D965"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0,7</w:t>
            </w:r>
          </w:p>
        </w:tc>
        <w:tc>
          <w:tcPr>
            <w:tcW w:w="475" w:type="pct"/>
            <w:tcBorders>
              <w:top w:val="nil"/>
              <w:left w:val="nil"/>
              <w:bottom w:val="single" w:sz="4" w:space="0" w:color="auto"/>
              <w:right w:val="single" w:sz="4" w:space="0" w:color="auto"/>
            </w:tcBorders>
            <w:shd w:val="clear" w:color="auto" w:fill="auto"/>
            <w:vAlign w:val="center"/>
            <w:hideMark/>
          </w:tcPr>
          <w:p w14:paraId="44C4E66F"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0,8</w:t>
            </w:r>
          </w:p>
        </w:tc>
      </w:tr>
      <w:tr w:rsidR="001D3A29" w:rsidRPr="007F78CE" w14:paraId="546B1386" w14:textId="77777777" w:rsidTr="00637007">
        <w:trPr>
          <w:trHeight w:val="300"/>
          <w:jc w:val="center"/>
        </w:trPr>
        <w:tc>
          <w:tcPr>
            <w:tcW w:w="1129" w:type="pct"/>
            <w:tcBorders>
              <w:top w:val="nil"/>
              <w:left w:val="single" w:sz="4" w:space="0" w:color="auto"/>
              <w:bottom w:val="single" w:sz="4" w:space="0" w:color="auto"/>
              <w:right w:val="single" w:sz="4" w:space="0" w:color="auto"/>
            </w:tcBorders>
            <w:shd w:val="clear" w:color="auto" w:fill="auto"/>
            <w:vAlign w:val="center"/>
            <w:hideMark/>
          </w:tcPr>
          <w:p w14:paraId="4E43E026" w14:textId="77777777" w:rsidR="001D3A29" w:rsidRPr="00F34A21" w:rsidRDefault="001D3A29" w:rsidP="00637007">
            <w:pPr>
              <w:spacing w:after="0" w:line="240" w:lineRule="auto"/>
              <w:rPr>
                <w:rFonts w:ascii="Arial" w:eastAsia="Times New Roman" w:hAnsi="Arial" w:cs="Arial"/>
                <w:color w:val="231F20"/>
                <w:sz w:val="20"/>
                <w:lang w:eastAsia="fr-FR"/>
              </w:rPr>
            </w:pPr>
            <w:r w:rsidRPr="00412095">
              <w:rPr>
                <w:rFonts w:ascii="Arial" w:eastAsia="Times New Roman" w:hAnsi="Arial" w:cs="Arial"/>
                <w:color w:val="231F20"/>
                <w:sz w:val="20"/>
                <w:lang w:eastAsia="fr-FR"/>
              </w:rPr>
              <w:t>Atsinanana</w:t>
            </w:r>
          </w:p>
        </w:tc>
        <w:tc>
          <w:tcPr>
            <w:tcW w:w="492" w:type="pct"/>
            <w:tcBorders>
              <w:top w:val="nil"/>
              <w:left w:val="nil"/>
              <w:bottom w:val="single" w:sz="4" w:space="0" w:color="auto"/>
              <w:right w:val="single" w:sz="4" w:space="0" w:color="auto"/>
            </w:tcBorders>
            <w:shd w:val="clear" w:color="auto" w:fill="auto"/>
            <w:vAlign w:val="center"/>
            <w:hideMark/>
          </w:tcPr>
          <w:p w14:paraId="1CFAFBD5"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6</w:t>
            </w:r>
          </w:p>
        </w:tc>
        <w:tc>
          <w:tcPr>
            <w:tcW w:w="475" w:type="pct"/>
            <w:tcBorders>
              <w:top w:val="nil"/>
              <w:left w:val="nil"/>
              <w:bottom w:val="single" w:sz="4" w:space="0" w:color="auto"/>
              <w:right w:val="single" w:sz="4" w:space="0" w:color="auto"/>
            </w:tcBorders>
            <w:shd w:val="clear" w:color="auto" w:fill="auto"/>
            <w:vAlign w:val="center"/>
            <w:hideMark/>
          </w:tcPr>
          <w:p w14:paraId="639BCEAD"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7</w:t>
            </w:r>
          </w:p>
        </w:tc>
        <w:tc>
          <w:tcPr>
            <w:tcW w:w="492" w:type="pct"/>
            <w:tcBorders>
              <w:top w:val="nil"/>
              <w:left w:val="nil"/>
              <w:bottom w:val="single" w:sz="4" w:space="0" w:color="auto"/>
              <w:right w:val="single" w:sz="4" w:space="0" w:color="auto"/>
            </w:tcBorders>
            <w:shd w:val="clear" w:color="auto" w:fill="auto"/>
            <w:vAlign w:val="center"/>
            <w:hideMark/>
          </w:tcPr>
          <w:p w14:paraId="6B54BACE"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46</w:t>
            </w:r>
          </w:p>
        </w:tc>
        <w:tc>
          <w:tcPr>
            <w:tcW w:w="475" w:type="pct"/>
            <w:tcBorders>
              <w:top w:val="nil"/>
              <w:left w:val="nil"/>
              <w:bottom w:val="single" w:sz="4" w:space="0" w:color="auto"/>
              <w:right w:val="single" w:sz="4" w:space="0" w:color="auto"/>
            </w:tcBorders>
            <w:shd w:val="clear" w:color="auto" w:fill="auto"/>
            <w:vAlign w:val="center"/>
            <w:hideMark/>
          </w:tcPr>
          <w:p w14:paraId="2C8F699F"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44</w:t>
            </w:r>
          </w:p>
        </w:tc>
        <w:tc>
          <w:tcPr>
            <w:tcW w:w="492" w:type="pct"/>
            <w:tcBorders>
              <w:top w:val="nil"/>
              <w:left w:val="nil"/>
              <w:bottom w:val="single" w:sz="4" w:space="0" w:color="auto"/>
              <w:right w:val="single" w:sz="4" w:space="0" w:color="auto"/>
            </w:tcBorders>
            <w:shd w:val="clear" w:color="auto" w:fill="auto"/>
            <w:vAlign w:val="center"/>
            <w:hideMark/>
          </w:tcPr>
          <w:p w14:paraId="14D3CB1C"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9</w:t>
            </w:r>
          </w:p>
        </w:tc>
        <w:tc>
          <w:tcPr>
            <w:tcW w:w="475" w:type="pct"/>
            <w:tcBorders>
              <w:top w:val="nil"/>
              <w:left w:val="nil"/>
              <w:bottom w:val="single" w:sz="4" w:space="0" w:color="auto"/>
              <w:right w:val="single" w:sz="4" w:space="0" w:color="auto"/>
            </w:tcBorders>
            <w:shd w:val="clear" w:color="auto" w:fill="auto"/>
            <w:vAlign w:val="center"/>
            <w:hideMark/>
          </w:tcPr>
          <w:p w14:paraId="1C23BC8D"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10</w:t>
            </w:r>
          </w:p>
        </w:tc>
        <w:tc>
          <w:tcPr>
            <w:tcW w:w="492" w:type="pct"/>
            <w:tcBorders>
              <w:top w:val="nil"/>
              <w:left w:val="nil"/>
              <w:bottom w:val="single" w:sz="4" w:space="0" w:color="auto"/>
              <w:right w:val="single" w:sz="4" w:space="0" w:color="auto"/>
            </w:tcBorders>
            <w:shd w:val="clear" w:color="auto" w:fill="auto"/>
            <w:vAlign w:val="center"/>
            <w:hideMark/>
          </w:tcPr>
          <w:p w14:paraId="22053CB9"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5</w:t>
            </w:r>
          </w:p>
        </w:tc>
        <w:tc>
          <w:tcPr>
            <w:tcW w:w="475" w:type="pct"/>
            <w:tcBorders>
              <w:top w:val="nil"/>
              <w:left w:val="nil"/>
              <w:bottom w:val="single" w:sz="4" w:space="0" w:color="auto"/>
              <w:right w:val="single" w:sz="4" w:space="0" w:color="auto"/>
            </w:tcBorders>
            <w:shd w:val="clear" w:color="auto" w:fill="auto"/>
            <w:vAlign w:val="center"/>
            <w:hideMark/>
          </w:tcPr>
          <w:p w14:paraId="3DF75455"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6</w:t>
            </w:r>
          </w:p>
        </w:tc>
      </w:tr>
      <w:tr w:rsidR="001D3A29" w:rsidRPr="007F78CE" w14:paraId="58EC9EB8" w14:textId="77777777" w:rsidTr="00637007">
        <w:trPr>
          <w:trHeight w:val="300"/>
          <w:jc w:val="center"/>
        </w:trPr>
        <w:tc>
          <w:tcPr>
            <w:tcW w:w="1129" w:type="pct"/>
            <w:tcBorders>
              <w:top w:val="nil"/>
              <w:left w:val="single" w:sz="4" w:space="0" w:color="auto"/>
              <w:bottom w:val="single" w:sz="4" w:space="0" w:color="auto"/>
              <w:right w:val="single" w:sz="4" w:space="0" w:color="auto"/>
            </w:tcBorders>
            <w:shd w:val="clear" w:color="auto" w:fill="auto"/>
            <w:vAlign w:val="center"/>
            <w:hideMark/>
          </w:tcPr>
          <w:p w14:paraId="2AD8E2EF" w14:textId="77777777" w:rsidR="001D3A29" w:rsidRPr="00F34A21" w:rsidRDefault="001D3A29" w:rsidP="00637007">
            <w:pPr>
              <w:spacing w:after="0" w:line="240" w:lineRule="auto"/>
              <w:rPr>
                <w:rFonts w:ascii="Arial" w:eastAsia="Times New Roman" w:hAnsi="Arial" w:cs="Arial"/>
                <w:color w:val="231F20"/>
                <w:sz w:val="20"/>
                <w:lang w:eastAsia="fr-FR"/>
              </w:rPr>
            </w:pPr>
            <w:r w:rsidRPr="00412095">
              <w:rPr>
                <w:rFonts w:ascii="Arial" w:eastAsia="Times New Roman" w:hAnsi="Arial" w:cs="Arial"/>
                <w:color w:val="231F20"/>
                <w:sz w:val="20"/>
                <w:lang w:eastAsia="fr-FR"/>
              </w:rPr>
              <w:t>Analanjirofo</w:t>
            </w:r>
          </w:p>
        </w:tc>
        <w:tc>
          <w:tcPr>
            <w:tcW w:w="492" w:type="pct"/>
            <w:tcBorders>
              <w:top w:val="nil"/>
              <w:left w:val="nil"/>
              <w:bottom w:val="single" w:sz="4" w:space="0" w:color="auto"/>
              <w:right w:val="single" w:sz="4" w:space="0" w:color="auto"/>
            </w:tcBorders>
            <w:shd w:val="clear" w:color="auto" w:fill="auto"/>
            <w:vAlign w:val="center"/>
            <w:hideMark/>
          </w:tcPr>
          <w:p w14:paraId="5D86A9D6"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7</w:t>
            </w:r>
          </w:p>
        </w:tc>
        <w:tc>
          <w:tcPr>
            <w:tcW w:w="475" w:type="pct"/>
            <w:tcBorders>
              <w:top w:val="nil"/>
              <w:left w:val="nil"/>
              <w:bottom w:val="single" w:sz="4" w:space="0" w:color="auto"/>
              <w:right w:val="single" w:sz="4" w:space="0" w:color="auto"/>
            </w:tcBorders>
            <w:shd w:val="clear" w:color="auto" w:fill="auto"/>
            <w:vAlign w:val="center"/>
            <w:hideMark/>
          </w:tcPr>
          <w:p w14:paraId="122E6DBB"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w:t>
            </w:r>
          </w:p>
        </w:tc>
        <w:tc>
          <w:tcPr>
            <w:tcW w:w="492" w:type="pct"/>
            <w:tcBorders>
              <w:top w:val="nil"/>
              <w:left w:val="nil"/>
              <w:bottom w:val="single" w:sz="4" w:space="0" w:color="auto"/>
              <w:right w:val="single" w:sz="4" w:space="0" w:color="auto"/>
            </w:tcBorders>
            <w:shd w:val="clear" w:color="auto" w:fill="auto"/>
            <w:vAlign w:val="center"/>
            <w:hideMark/>
          </w:tcPr>
          <w:p w14:paraId="1A34637F"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52</w:t>
            </w:r>
          </w:p>
        </w:tc>
        <w:tc>
          <w:tcPr>
            <w:tcW w:w="475" w:type="pct"/>
            <w:tcBorders>
              <w:top w:val="nil"/>
              <w:left w:val="nil"/>
              <w:bottom w:val="single" w:sz="4" w:space="0" w:color="auto"/>
              <w:right w:val="single" w:sz="4" w:space="0" w:color="auto"/>
            </w:tcBorders>
            <w:shd w:val="clear" w:color="auto" w:fill="auto"/>
            <w:vAlign w:val="center"/>
            <w:hideMark/>
          </w:tcPr>
          <w:p w14:paraId="66D9BA54"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57</w:t>
            </w:r>
          </w:p>
        </w:tc>
        <w:tc>
          <w:tcPr>
            <w:tcW w:w="492" w:type="pct"/>
            <w:tcBorders>
              <w:top w:val="nil"/>
              <w:left w:val="nil"/>
              <w:bottom w:val="single" w:sz="4" w:space="0" w:color="auto"/>
              <w:right w:val="single" w:sz="4" w:space="0" w:color="auto"/>
            </w:tcBorders>
            <w:shd w:val="clear" w:color="auto" w:fill="auto"/>
            <w:vAlign w:val="center"/>
            <w:hideMark/>
          </w:tcPr>
          <w:p w14:paraId="49CE1563"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9</w:t>
            </w:r>
          </w:p>
        </w:tc>
        <w:tc>
          <w:tcPr>
            <w:tcW w:w="475" w:type="pct"/>
            <w:tcBorders>
              <w:top w:val="nil"/>
              <w:left w:val="nil"/>
              <w:bottom w:val="single" w:sz="4" w:space="0" w:color="auto"/>
              <w:right w:val="single" w:sz="4" w:space="0" w:color="auto"/>
            </w:tcBorders>
            <w:shd w:val="clear" w:color="auto" w:fill="auto"/>
            <w:vAlign w:val="center"/>
            <w:hideMark/>
          </w:tcPr>
          <w:p w14:paraId="02174DE3"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5</w:t>
            </w:r>
          </w:p>
        </w:tc>
        <w:tc>
          <w:tcPr>
            <w:tcW w:w="492" w:type="pct"/>
            <w:tcBorders>
              <w:top w:val="nil"/>
              <w:left w:val="nil"/>
              <w:bottom w:val="single" w:sz="4" w:space="0" w:color="auto"/>
              <w:right w:val="single" w:sz="4" w:space="0" w:color="auto"/>
            </w:tcBorders>
            <w:shd w:val="clear" w:color="auto" w:fill="auto"/>
            <w:vAlign w:val="center"/>
            <w:hideMark/>
          </w:tcPr>
          <w:p w14:paraId="5313A58D"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7</w:t>
            </w:r>
          </w:p>
        </w:tc>
        <w:tc>
          <w:tcPr>
            <w:tcW w:w="475" w:type="pct"/>
            <w:tcBorders>
              <w:top w:val="nil"/>
              <w:left w:val="nil"/>
              <w:bottom w:val="single" w:sz="4" w:space="0" w:color="auto"/>
              <w:right w:val="single" w:sz="4" w:space="0" w:color="auto"/>
            </w:tcBorders>
            <w:shd w:val="clear" w:color="auto" w:fill="auto"/>
            <w:vAlign w:val="center"/>
            <w:hideMark/>
          </w:tcPr>
          <w:p w14:paraId="33C2F2E2"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w:t>
            </w:r>
          </w:p>
        </w:tc>
      </w:tr>
      <w:tr w:rsidR="001D3A29" w:rsidRPr="007F78CE" w14:paraId="4BE1866B" w14:textId="77777777" w:rsidTr="00637007">
        <w:trPr>
          <w:trHeight w:val="300"/>
          <w:jc w:val="center"/>
        </w:trPr>
        <w:tc>
          <w:tcPr>
            <w:tcW w:w="1129" w:type="pct"/>
            <w:tcBorders>
              <w:top w:val="nil"/>
              <w:left w:val="single" w:sz="4" w:space="0" w:color="auto"/>
              <w:bottom w:val="single" w:sz="4" w:space="0" w:color="auto"/>
              <w:right w:val="single" w:sz="4" w:space="0" w:color="auto"/>
            </w:tcBorders>
            <w:shd w:val="clear" w:color="auto" w:fill="auto"/>
            <w:vAlign w:val="center"/>
            <w:hideMark/>
          </w:tcPr>
          <w:p w14:paraId="0891D1CA" w14:textId="77777777" w:rsidR="001D3A29" w:rsidRPr="00F34A21" w:rsidRDefault="001D3A29" w:rsidP="00637007">
            <w:pPr>
              <w:spacing w:after="0" w:line="240" w:lineRule="auto"/>
              <w:rPr>
                <w:rFonts w:ascii="Arial" w:eastAsia="Times New Roman" w:hAnsi="Arial" w:cs="Arial"/>
                <w:color w:val="231F20"/>
                <w:sz w:val="20"/>
                <w:lang w:eastAsia="fr-FR"/>
              </w:rPr>
            </w:pPr>
            <w:r w:rsidRPr="00412095">
              <w:rPr>
                <w:rFonts w:ascii="Arial" w:eastAsia="Times New Roman" w:hAnsi="Arial" w:cs="Arial"/>
                <w:color w:val="231F20"/>
                <w:sz w:val="20"/>
                <w:lang w:eastAsia="fr-FR"/>
              </w:rPr>
              <w:t>Alaotra Mangoro</w:t>
            </w:r>
          </w:p>
        </w:tc>
        <w:tc>
          <w:tcPr>
            <w:tcW w:w="492" w:type="pct"/>
            <w:tcBorders>
              <w:top w:val="nil"/>
              <w:left w:val="nil"/>
              <w:bottom w:val="single" w:sz="4" w:space="0" w:color="auto"/>
              <w:right w:val="single" w:sz="4" w:space="0" w:color="auto"/>
            </w:tcBorders>
            <w:shd w:val="clear" w:color="auto" w:fill="auto"/>
            <w:vAlign w:val="center"/>
            <w:hideMark/>
          </w:tcPr>
          <w:p w14:paraId="5D29D6CC"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w:t>
            </w:r>
          </w:p>
        </w:tc>
        <w:tc>
          <w:tcPr>
            <w:tcW w:w="475" w:type="pct"/>
            <w:tcBorders>
              <w:top w:val="nil"/>
              <w:left w:val="nil"/>
              <w:bottom w:val="single" w:sz="4" w:space="0" w:color="auto"/>
              <w:right w:val="single" w:sz="4" w:space="0" w:color="auto"/>
            </w:tcBorders>
            <w:shd w:val="clear" w:color="auto" w:fill="auto"/>
            <w:vAlign w:val="center"/>
            <w:hideMark/>
          </w:tcPr>
          <w:p w14:paraId="29223497"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3</w:t>
            </w:r>
          </w:p>
        </w:tc>
        <w:tc>
          <w:tcPr>
            <w:tcW w:w="492" w:type="pct"/>
            <w:tcBorders>
              <w:top w:val="nil"/>
              <w:left w:val="nil"/>
              <w:bottom w:val="single" w:sz="4" w:space="0" w:color="auto"/>
              <w:right w:val="single" w:sz="4" w:space="0" w:color="auto"/>
            </w:tcBorders>
            <w:shd w:val="clear" w:color="auto" w:fill="auto"/>
            <w:vAlign w:val="center"/>
            <w:hideMark/>
          </w:tcPr>
          <w:p w14:paraId="20484E96"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50</w:t>
            </w:r>
          </w:p>
        </w:tc>
        <w:tc>
          <w:tcPr>
            <w:tcW w:w="475" w:type="pct"/>
            <w:tcBorders>
              <w:top w:val="nil"/>
              <w:left w:val="nil"/>
              <w:bottom w:val="single" w:sz="4" w:space="0" w:color="auto"/>
              <w:right w:val="single" w:sz="4" w:space="0" w:color="auto"/>
            </w:tcBorders>
            <w:shd w:val="clear" w:color="auto" w:fill="auto"/>
            <w:vAlign w:val="center"/>
            <w:hideMark/>
          </w:tcPr>
          <w:p w14:paraId="10FBA025"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45</w:t>
            </w:r>
          </w:p>
        </w:tc>
        <w:tc>
          <w:tcPr>
            <w:tcW w:w="492" w:type="pct"/>
            <w:tcBorders>
              <w:top w:val="nil"/>
              <w:left w:val="nil"/>
              <w:bottom w:val="single" w:sz="4" w:space="0" w:color="auto"/>
              <w:right w:val="single" w:sz="4" w:space="0" w:color="auto"/>
            </w:tcBorders>
            <w:shd w:val="clear" w:color="auto" w:fill="auto"/>
            <w:vAlign w:val="center"/>
            <w:hideMark/>
          </w:tcPr>
          <w:p w14:paraId="203B6224"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9</w:t>
            </w:r>
          </w:p>
        </w:tc>
        <w:tc>
          <w:tcPr>
            <w:tcW w:w="475" w:type="pct"/>
            <w:tcBorders>
              <w:top w:val="nil"/>
              <w:left w:val="nil"/>
              <w:bottom w:val="single" w:sz="4" w:space="0" w:color="auto"/>
              <w:right w:val="single" w:sz="4" w:space="0" w:color="auto"/>
            </w:tcBorders>
            <w:shd w:val="clear" w:color="auto" w:fill="auto"/>
            <w:vAlign w:val="center"/>
            <w:hideMark/>
          </w:tcPr>
          <w:p w14:paraId="2130C97C"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6</w:t>
            </w:r>
          </w:p>
        </w:tc>
        <w:tc>
          <w:tcPr>
            <w:tcW w:w="492" w:type="pct"/>
            <w:tcBorders>
              <w:top w:val="nil"/>
              <w:left w:val="nil"/>
              <w:bottom w:val="single" w:sz="4" w:space="0" w:color="auto"/>
              <w:right w:val="single" w:sz="4" w:space="0" w:color="auto"/>
            </w:tcBorders>
            <w:shd w:val="clear" w:color="auto" w:fill="auto"/>
            <w:vAlign w:val="center"/>
            <w:hideMark/>
          </w:tcPr>
          <w:p w14:paraId="67AE5BAF"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w:t>
            </w:r>
          </w:p>
        </w:tc>
        <w:tc>
          <w:tcPr>
            <w:tcW w:w="475" w:type="pct"/>
            <w:tcBorders>
              <w:top w:val="nil"/>
              <w:left w:val="nil"/>
              <w:bottom w:val="single" w:sz="4" w:space="0" w:color="auto"/>
              <w:right w:val="single" w:sz="4" w:space="0" w:color="auto"/>
            </w:tcBorders>
            <w:shd w:val="clear" w:color="auto" w:fill="auto"/>
            <w:vAlign w:val="center"/>
            <w:hideMark/>
          </w:tcPr>
          <w:p w14:paraId="270026E9"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2</w:t>
            </w:r>
          </w:p>
        </w:tc>
      </w:tr>
      <w:tr w:rsidR="001D3A29" w:rsidRPr="007F78CE" w14:paraId="108919B6" w14:textId="77777777" w:rsidTr="00637007">
        <w:trPr>
          <w:trHeight w:val="300"/>
          <w:jc w:val="center"/>
        </w:trPr>
        <w:tc>
          <w:tcPr>
            <w:tcW w:w="1129" w:type="pct"/>
            <w:tcBorders>
              <w:top w:val="nil"/>
              <w:left w:val="single" w:sz="4" w:space="0" w:color="auto"/>
              <w:bottom w:val="single" w:sz="4" w:space="0" w:color="auto"/>
              <w:right w:val="single" w:sz="4" w:space="0" w:color="auto"/>
            </w:tcBorders>
            <w:shd w:val="clear" w:color="auto" w:fill="auto"/>
            <w:vAlign w:val="center"/>
            <w:hideMark/>
          </w:tcPr>
          <w:p w14:paraId="25EEA58B" w14:textId="77777777" w:rsidR="001D3A29" w:rsidRPr="00F34A21" w:rsidRDefault="001D3A29" w:rsidP="00637007">
            <w:pPr>
              <w:spacing w:after="0" w:line="240" w:lineRule="auto"/>
              <w:rPr>
                <w:rFonts w:ascii="Arial" w:eastAsia="Times New Roman" w:hAnsi="Arial" w:cs="Arial"/>
                <w:color w:val="231F20"/>
                <w:sz w:val="20"/>
                <w:lang w:eastAsia="fr-FR"/>
              </w:rPr>
            </w:pPr>
            <w:r w:rsidRPr="00412095">
              <w:rPr>
                <w:rFonts w:ascii="Arial" w:eastAsia="Times New Roman" w:hAnsi="Arial" w:cs="Arial"/>
                <w:color w:val="231F20"/>
                <w:sz w:val="20"/>
                <w:lang w:eastAsia="fr-FR"/>
              </w:rPr>
              <w:t>Boeny</w:t>
            </w:r>
          </w:p>
        </w:tc>
        <w:tc>
          <w:tcPr>
            <w:tcW w:w="492" w:type="pct"/>
            <w:tcBorders>
              <w:top w:val="nil"/>
              <w:left w:val="nil"/>
              <w:bottom w:val="single" w:sz="4" w:space="0" w:color="auto"/>
              <w:right w:val="single" w:sz="4" w:space="0" w:color="auto"/>
            </w:tcBorders>
            <w:shd w:val="clear" w:color="auto" w:fill="auto"/>
            <w:vAlign w:val="center"/>
            <w:hideMark/>
          </w:tcPr>
          <w:p w14:paraId="4F5183D6"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8</w:t>
            </w:r>
          </w:p>
        </w:tc>
        <w:tc>
          <w:tcPr>
            <w:tcW w:w="475" w:type="pct"/>
            <w:tcBorders>
              <w:top w:val="nil"/>
              <w:left w:val="nil"/>
              <w:bottom w:val="single" w:sz="4" w:space="0" w:color="auto"/>
              <w:right w:val="single" w:sz="4" w:space="0" w:color="auto"/>
            </w:tcBorders>
            <w:shd w:val="clear" w:color="auto" w:fill="auto"/>
            <w:vAlign w:val="center"/>
            <w:hideMark/>
          </w:tcPr>
          <w:p w14:paraId="053B8761"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w:t>
            </w:r>
          </w:p>
        </w:tc>
        <w:tc>
          <w:tcPr>
            <w:tcW w:w="492" w:type="pct"/>
            <w:tcBorders>
              <w:top w:val="nil"/>
              <w:left w:val="nil"/>
              <w:bottom w:val="single" w:sz="4" w:space="0" w:color="auto"/>
              <w:right w:val="single" w:sz="4" w:space="0" w:color="auto"/>
            </w:tcBorders>
            <w:shd w:val="clear" w:color="auto" w:fill="auto"/>
            <w:vAlign w:val="center"/>
            <w:hideMark/>
          </w:tcPr>
          <w:p w14:paraId="57C55786"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61</w:t>
            </w:r>
          </w:p>
        </w:tc>
        <w:tc>
          <w:tcPr>
            <w:tcW w:w="475" w:type="pct"/>
            <w:tcBorders>
              <w:top w:val="nil"/>
              <w:left w:val="nil"/>
              <w:bottom w:val="single" w:sz="4" w:space="0" w:color="auto"/>
              <w:right w:val="single" w:sz="4" w:space="0" w:color="auto"/>
            </w:tcBorders>
            <w:shd w:val="clear" w:color="auto" w:fill="auto"/>
            <w:vAlign w:val="center"/>
            <w:hideMark/>
          </w:tcPr>
          <w:p w14:paraId="48BB8DDD"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56</w:t>
            </w:r>
          </w:p>
        </w:tc>
        <w:tc>
          <w:tcPr>
            <w:tcW w:w="492" w:type="pct"/>
            <w:tcBorders>
              <w:top w:val="nil"/>
              <w:left w:val="nil"/>
              <w:bottom w:val="single" w:sz="4" w:space="0" w:color="auto"/>
              <w:right w:val="single" w:sz="4" w:space="0" w:color="auto"/>
            </w:tcBorders>
            <w:shd w:val="clear" w:color="auto" w:fill="auto"/>
            <w:vAlign w:val="center"/>
            <w:hideMark/>
          </w:tcPr>
          <w:p w14:paraId="5E3E3D7C"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14</w:t>
            </w:r>
          </w:p>
        </w:tc>
        <w:tc>
          <w:tcPr>
            <w:tcW w:w="475" w:type="pct"/>
            <w:tcBorders>
              <w:top w:val="nil"/>
              <w:left w:val="nil"/>
              <w:bottom w:val="single" w:sz="4" w:space="0" w:color="auto"/>
              <w:right w:val="single" w:sz="4" w:space="0" w:color="auto"/>
            </w:tcBorders>
            <w:shd w:val="clear" w:color="auto" w:fill="auto"/>
            <w:vAlign w:val="center"/>
            <w:hideMark/>
          </w:tcPr>
          <w:p w14:paraId="14C9B4F6"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7</w:t>
            </w:r>
          </w:p>
        </w:tc>
        <w:tc>
          <w:tcPr>
            <w:tcW w:w="492" w:type="pct"/>
            <w:tcBorders>
              <w:top w:val="nil"/>
              <w:left w:val="nil"/>
              <w:bottom w:val="single" w:sz="4" w:space="0" w:color="auto"/>
              <w:right w:val="single" w:sz="4" w:space="0" w:color="auto"/>
            </w:tcBorders>
            <w:shd w:val="clear" w:color="auto" w:fill="auto"/>
            <w:vAlign w:val="center"/>
            <w:hideMark/>
          </w:tcPr>
          <w:p w14:paraId="192FFEF6"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7</w:t>
            </w:r>
          </w:p>
        </w:tc>
        <w:tc>
          <w:tcPr>
            <w:tcW w:w="475" w:type="pct"/>
            <w:tcBorders>
              <w:top w:val="nil"/>
              <w:left w:val="nil"/>
              <w:bottom w:val="single" w:sz="4" w:space="0" w:color="auto"/>
              <w:right w:val="single" w:sz="4" w:space="0" w:color="auto"/>
            </w:tcBorders>
            <w:shd w:val="clear" w:color="auto" w:fill="auto"/>
            <w:vAlign w:val="center"/>
            <w:hideMark/>
          </w:tcPr>
          <w:p w14:paraId="6154E2AE"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w:t>
            </w:r>
          </w:p>
        </w:tc>
      </w:tr>
      <w:tr w:rsidR="001D3A29" w:rsidRPr="007F78CE" w14:paraId="6851728B" w14:textId="77777777" w:rsidTr="00637007">
        <w:trPr>
          <w:trHeight w:val="300"/>
          <w:jc w:val="center"/>
        </w:trPr>
        <w:tc>
          <w:tcPr>
            <w:tcW w:w="1129" w:type="pct"/>
            <w:tcBorders>
              <w:top w:val="nil"/>
              <w:left w:val="single" w:sz="4" w:space="0" w:color="auto"/>
              <w:bottom w:val="single" w:sz="4" w:space="0" w:color="auto"/>
              <w:right w:val="single" w:sz="4" w:space="0" w:color="auto"/>
            </w:tcBorders>
            <w:shd w:val="clear" w:color="auto" w:fill="auto"/>
            <w:vAlign w:val="center"/>
            <w:hideMark/>
          </w:tcPr>
          <w:p w14:paraId="76AC0F30" w14:textId="77777777" w:rsidR="001D3A29" w:rsidRPr="00F34A21" w:rsidRDefault="001D3A29" w:rsidP="00637007">
            <w:pPr>
              <w:spacing w:after="0" w:line="240" w:lineRule="auto"/>
              <w:rPr>
                <w:rFonts w:ascii="Arial" w:eastAsia="Times New Roman" w:hAnsi="Arial" w:cs="Arial"/>
                <w:color w:val="231F20"/>
                <w:sz w:val="20"/>
                <w:lang w:eastAsia="fr-FR"/>
              </w:rPr>
            </w:pPr>
            <w:r w:rsidRPr="00412095">
              <w:rPr>
                <w:rFonts w:ascii="Arial" w:eastAsia="Times New Roman" w:hAnsi="Arial" w:cs="Arial"/>
                <w:color w:val="231F20"/>
                <w:sz w:val="20"/>
                <w:lang w:eastAsia="fr-FR"/>
              </w:rPr>
              <w:t>Sofia</w:t>
            </w:r>
          </w:p>
        </w:tc>
        <w:tc>
          <w:tcPr>
            <w:tcW w:w="492" w:type="pct"/>
            <w:tcBorders>
              <w:top w:val="nil"/>
              <w:left w:val="nil"/>
              <w:bottom w:val="single" w:sz="4" w:space="0" w:color="auto"/>
              <w:right w:val="single" w:sz="4" w:space="0" w:color="auto"/>
            </w:tcBorders>
            <w:shd w:val="clear" w:color="auto" w:fill="auto"/>
            <w:vAlign w:val="center"/>
            <w:hideMark/>
          </w:tcPr>
          <w:p w14:paraId="41CFADDB"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w:t>
            </w:r>
          </w:p>
        </w:tc>
        <w:tc>
          <w:tcPr>
            <w:tcW w:w="475" w:type="pct"/>
            <w:tcBorders>
              <w:top w:val="nil"/>
              <w:left w:val="nil"/>
              <w:bottom w:val="single" w:sz="4" w:space="0" w:color="auto"/>
              <w:right w:val="single" w:sz="4" w:space="0" w:color="auto"/>
            </w:tcBorders>
            <w:shd w:val="clear" w:color="auto" w:fill="auto"/>
            <w:vAlign w:val="center"/>
            <w:hideMark/>
          </w:tcPr>
          <w:p w14:paraId="574D897E"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3</w:t>
            </w:r>
          </w:p>
        </w:tc>
        <w:tc>
          <w:tcPr>
            <w:tcW w:w="492" w:type="pct"/>
            <w:tcBorders>
              <w:top w:val="nil"/>
              <w:left w:val="nil"/>
              <w:bottom w:val="single" w:sz="4" w:space="0" w:color="auto"/>
              <w:right w:val="single" w:sz="4" w:space="0" w:color="auto"/>
            </w:tcBorders>
            <w:shd w:val="clear" w:color="auto" w:fill="auto"/>
            <w:vAlign w:val="center"/>
            <w:hideMark/>
          </w:tcPr>
          <w:p w14:paraId="54A085EE"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67</w:t>
            </w:r>
          </w:p>
        </w:tc>
        <w:tc>
          <w:tcPr>
            <w:tcW w:w="475" w:type="pct"/>
            <w:tcBorders>
              <w:top w:val="nil"/>
              <w:left w:val="nil"/>
              <w:bottom w:val="single" w:sz="4" w:space="0" w:color="auto"/>
              <w:right w:val="single" w:sz="4" w:space="0" w:color="auto"/>
            </w:tcBorders>
            <w:shd w:val="clear" w:color="auto" w:fill="auto"/>
            <w:vAlign w:val="center"/>
            <w:hideMark/>
          </w:tcPr>
          <w:p w14:paraId="2D3EEF87"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58</w:t>
            </w:r>
          </w:p>
        </w:tc>
        <w:tc>
          <w:tcPr>
            <w:tcW w:w="492" w:type="pct"/>
            <w:tcBorders>
              <w:top w:val="nil"/>
              <w:left w:val="nil"/>
              <w:bottom w:val="single" w:sz="4" w:space="0" w:color="auto"/>
              <w:right w:val="single" w:sz="4" w:space="0" w:color="auto"/>
            </w:tcBorders>
            <w:shd w:val="clear" w:color="auto" w:fill="auto"/>
            <w:vAlign w:val="center"/>
            <w:hideMark/>
          </w:tcPr>
          <w:p w14:paraId="6277CF61"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5</w:t>
            </w:r>
          </w:p>
        </w:tc>
        <w:tc>
          <w:tcPr>
            <w:tcW w:w="475" w:type="pct"/>
            <w:tcBorders>
              <w:top w:val="nil"/>
              <w:left w:val="nil"/>
              <w:bottom w:val="single" w:sz="4" w:space="0" w:color="auto"/>
              <w:right w:val="single" w:sz="4" w:space="0" w:color="auto"/>
            </w:tcBorders>
            <w:shd w:val="clear" w:color="auto" w:fill="auto"/>
            <w:vAlign w:val="center"/>
            <w:hideMark/>
          </w:tcPr>
          <w:p w14:paraId="295BA511"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7</w:t>
            </w:r>
          </w:p>
        </w:tc>
        <w:tc>
          <w:tcPr>
            <w:tcW w:w="492" w:type="pct"/>
            <w:tcBorders>
              <w:top w:val="nil"/>
              <w:left w:val="nil"/>
              <w:bottom w:val="single" w:sz="4" w:space="0" w:color="auto"/>
              <w:right w:val="single" w:sz="4" w:space="0" w:color="auto"/>
            </w:tcBorders>
            <w:shd w:val="clear" w:color="auto" w:fill="auto"/>
            <w:vAlign w:val="center"/>
            <w:hideMark/>
          </w:tcPr>
          <w:p w14:paraId="3BD83513"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w:t>
            </w:r>
          </w:p>
        </w:tc>
        <w:tc>
          <w:tcPr>
            <w:tcW w:w="475" w:type="pct"/>
            <w:tcBorders>
              <w:top w:val="nil"/>
              <w:left w:val="nil"/>
              <w:bottom w:val="single" w:sz="4" w:space="0" w:color="auto"/>
              <w:right w:val="single" w:sz="4" w:space="0" w:color="auto"/>
            </w:tcBorders>
            <w:shd w:val="clear" w:color="auto" w:fill="auto"/>
            <w:vAlign w:val="center"/>
            <w:hideMark/>
          </w:tcPr>
          <w:p w14:paraId="7078E0B5"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2</w:t>
            </w:r>
          </w:p>
        </w:tc>
      </w:tr>
      <w:tr w:rsidR="001D3A29" w:rsidRPr="007F78CE" w14:paraId="3617194D" w14:textId="77777777" w:rsidTr="00637007">
        <w:trPr>
          <w:trHeight w:val="300"/>
          <w:jc w:val="center"/>
        </w:trPr>
        <w:tc>
          <w:tcPr>
            <w:tcW w:w="1129" w:type="pct"/>
            <w:tcBorders>
              <w:top w:val="nil"/>
              <w:left w:val="single" w:sz="4" w:space="0" w:color="auto"/>
              <w:bottom w:val="single" w:sz="4" w:space="0" w:color="auto"/>
              <w:right w:val="single" w:sz="4" w:space="0" w:color="auto"/>
            </w:tcBorders>
            <w:shd w:val="clear" w:color="auto" w:fill="auto"/>
            <w:vAlign w:val="center"/>
            <w:hideMark/>
          </w:tcPr>
          <w:p w14:paraId="17A422D4" w14:textId="77777777" w:rsidR="001D3A29" w:rsidRPr="00F34A21" w:rsidRDefault="001D3A29" w:rsidP="00637007">
            <w:pPr>
              <w:spacing w:after="0" w:line="240" w:lineRule="auto"/>
              <w:rPr>
                <w:rFonts w:ascii="Arial" w:eastAsia="Times New Roman" w:hAnsi="Arial" w:cs="Arial"/>
                <w:color w:val="231F20"/>
                <w:sz w:val="20"/>
                <w:lang w:eastAsia="fr-FR"/>
              </w:rPr>
            </w:pPr>
            <w:r w:rsidRPr="00412095">
              <w:rPr>
                <w:rFonts w:ascii="Arial" w:eastAsia="Times New Roman" w:hAnsi="Arial" w:cs="Arial"/>
                <w:color w:val="231F20"/>
                <w:sz w:val="20"/>
                <w:lang w:eastAsia="fr-FR"/>
              </w:rPr>
              <w:t>Betsiboka</w:t>
            </w:r>
          </w:p>
        </w:tc>
        <w:tc>
          <w:tcPr>
            <w:tcW w:w="492" w:type="pct"/>
            <w:tcBorders>
              <w:top w:val="nil"/>
              <w:left w:val="nil"/>
              <w:bottom w:val="single" w:sz="4" w:space="0" w:color="auto"/>
              <w:right w:val="single" w:sz="4" w:space="0" w:color="auto"/>
            </w:tcBorders>
            <w:shd w:val="clear" w:color="auto" w:fill="auto"/>
            <w:vAlign w:val="center"/>
            <w:hideMark/>
          </w:tcPr>
          <w:p w14:paraId="0ED8DAD0"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5</w:t>
            </w:r>
          </w:p>
        </w:tc>
        <w:tc>
          <w:tcPr>
            <w:tcW w:w="475" w:type="pct"/>
            <w:tcBorders>
              <w:top w:val="nil"/>
              <w:left w:val="nil"/>
              <w:bottom w:val="single" w:sz="4" w:space="0" w:color="auto"/>
              <w:right w:val="single" w:sz="4" w:space="0" w:color="auto"/>
            </w:tcBorders>
            <w:shd w:val="clear" w:color="auto" w:fill="auto"/>
            <w:vAlign w:val="center"/>
            <w:hideMark/>
          </w:tcPr>
          <w:p w14:paraId="304F0F17"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2</w:t>
            </w:r>
          </w:p>
        </w:tc>
        <w:tc>
          <w:tcPr>
            <w:tcW w:w="492" w:type="pct"/>
            <w:tcBorders>
              <w:top w:val="nil"/>
              <w:left w:val="nil"/>
              <w:bottom w:val="single" w:sz="4" w:space="0" w:color="auto"/>
              <w:right w:val="single" w:sz="4" w:space="0" w:color="auto"/>
            </w:tcBorders>
            <w:shd w:val="clear" w:color="auto" w:fill="auto"/>
            <w:vAlign w:val="center"/>
            <w:hideMark/>
          </w:tcPr>
          <w:p w14:paraId="6402C1AA"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58</w:t>
            </w:r>
          </w:p>
        </w:tc>
        <w:tc>
          <w:tcPr>
            <w:tcW w:w="475" w:type="pct"/>
            <w:tcBorders>
              <w:top w:val="nil"/>
              <w:left w:val="nil"/>
              <w:bottom w:val="single" w:sz="4" w:space="0" w:color="auto"/>
              <w:right w:val="single" w:sz="4" w:space="0" w:color="auto"/>
            </w:tcBorders>
            <w:shd w:val="clear" w:color="auto" w:fill="auto"/>
            <w:vAlign w:val="center"/>
            <w:hideMark/>
          </w:tcPr>
          <w:p w14:paraId="58CC8E91"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42</w:t>
            </w:r>
          </w:p>
        </w:tc>
        <w:tc>
          <w:tcPr>
            <w:tcW w:w="492" w:type="pct"/>
            <w:tcBorders>
              <w:top w:val="nil"/>
              <w:left w:val="nil"/>
              <w:bottom w:val="single" w:sz="4" w:space="0" w:color="auto"/>
              <w:right w:val="single" w:sz="4" w:space="0" w:color="auto"/>
            </w:tcBorders>
            <w:shd w:val="clear" w:color="auto" w:fill="auto"/>
            <w:vAlign w:val="center"/>
            <w:hideMark/>
          </w:tcPr>
          <w:p w14:paraId="3A863B86"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6</w:t>
            </w:r>
          </w:p>
        </w:tc>
        <w:tc>
          <w:tcPr>
            <w:tcW w:w="475" w:type="pct"/>
            <w:tcBorders>
              <w:top w:val="nil"/>
              <w:left w:val="nil"/>
              <w:bottom w:val="single" w:sz="4" w:space="0" w:color="auto"/>
              <w:right w:val="single" w:sz="4" w:space="0" w:color="auto"/>
            </w:tcBorders>
            <w:shd w:val="clear" w:color="auto" w:fill="auto"/>
            <w:vAlign w:val="center"/>
            <w:hideMark/>
          </w:tcPr>
          <w:p w14:paraId="4AA65E45"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3</w:t>
            </w:r>
          </w:p>
        </w:tc>
        <w:tc>
          <w:tcPr>
            <w:tcW w:w="492" w:type="pct"/>
            <w:tcBorders>
              <w:top w:val="nil"/>
              <w:left w:val="nil"/>
              <w:bottom w:val="single" w:sz="4" w:space="0" w:color="auto"/>
              <w:right w:val="single" w:sz="4" w:space="0" w:color="auto"/>
            </w:tcBorders>
            <w:shd w:val="clear" w:color="auto" w:fill="auto"/>
            <w:vAlign w:val="center"/>
            <w:hideMark/>
          </w:tcPr>
          <w:p w14:paraId="6B7B47B1"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5</w:t>
            </w:r>
          </w:p>
        </w:tc>
        <w:tc>
          <w:tcPr>
            <w:tcW w:w="475" w:type="pct"/>
            <w:tcBorders>
              <w:top w:val="nil"/>
              <w:left w:val="nil"/>
              <w:bottom w:val="single" w:sz="4" w:space="0" w:color="auto"/>
              <w:right w:val="single" w:sz="4" w:space="0" w:color="auto"/>
            </w:tcBorders>
            <w:shd w:val="clear" w:color="auto" w:fill="auto"/>
            <w:vAlign w:val="center"/>
            <w:hideMark/>
          </w:tcPr>
          <w:p w14:paraId="737A4E34"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1</w:t>
            </w:r>
          </w:p>
        </w:tc>
      </w:tr>
      <w:tr w:rsidR="001D3A29" w:rsidRPr="007F78CE" w14:paraId="05C94985" w14:textId="77777777" w:rsidTr="00637007">
        <w:trPr>
          <w:trHeight w:val="300"/>
          <w:jc w:val="center"/>
        </w:trPr>
        <w:tc>
          <w:tcPr>
            <w:tcW w:w="1129" w:type="pct"/>
            <w:tcBorders>
              <w:top w:val="nil"/>
              <w:left w:val="single" w:sz="4" w:space="0" w:color="auto"/>
              <w:bottom w:val="single" w:sz="4" w:space="0" w:color="auto"/>
              <w:right w:val="single" w:sz="4" w:space="0" w:color="auto"/>
            </w:tcBorders>
            <w:shd w:val="clear" w:color="auto" w:fill="auto"/>
            <w:vAlign w:val="center"/>
            <w:hideMark/>
          </w:tcPr>
          <w:p w14:paraId="2F3274EB" w14:textId="77777777" w:rsidR="001D3A29" w:rsidRPr="00F34A21" w:rsidRDefault="001D3A29" w:rsidP="00637007">
            <w:pPr>
              <w:spacing w:after="0" w:line="240" w:lineRule="auto"/>
              <w:rPr>
                <w:rFonts w:ascii="Arial" w:eastAsia="Times New Roman" w:hAnsi="Arial" w:cs="Arial"/>
                <w:color w:val="231F20"/>
                <w:sz w:val="20"/>
                <w:lang w:eastAsia="fr-FR"/>
              </w:rPr>
            </w:pPr>
            <w:r w:rsidRPr="00412095">
              <w:rPr>
                <w:rFonts w:ascii="Arial" w:eastAsia="Times New Roman" w:hAnsi="Arial" w:cs="Arial"/>
                <w:color w:val="231F20"/>
                <w:sz w:val="20"/>
                <w:lang w:eastAsia="fr-FR"/>
              </w:rPr>
              <w:t>Melaky</w:t>
            </w:r>
          </w:p>
        </w:tc>
        <w:tc>
          <w:tcPr>
            <w:tcW w:w="492" w:type="pct"/>
            <w:tcBorders>
              <w:top w:val="nil"/>
              <w:left w:val="nil"/>
              <w:bottom w:val="single" w:sz="4" w:space="0" w:color="auto"/>
              <w:right w:val="single" w:sz="4" w:space="0" w:color="auto"/>
            </w:tcBorders>
            <w:shd w:val="clear" w:color="auto" w:fill="auto"/>
            <w:vAlign w:val="center"/>
            <w:hideMark/>
          </w:tcPr>
          <w:p w14:paraId="3DBC1BF6"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2</w:t>
            </w:r>
          </w:p>
        </w:tc>
        <w:tc>
          <w:tcPr>
            <w:tcW w:w="475" w:type="pct"/>
            <w:tcBorders>
              <w:top w:val="nil"/>
              <w:left w:val="nil"/>
              <w:bottom w:val="single" w:sz="4" w:space="0" w:color="auto"/>
              <w:right w:val="single" w:sz="4" w:space="0" w:color="auto"/>
            </w:tcBorders>
            <w:shd w:val="clear" w:color="auto" w:fill="auto"/>
            <w:vAlign w:val="center"/>
            <w:hideMark/>
          </w:tcPr>
          <w:p w14:paraId="748975DE"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0,7</w:t>
            </w:r>
          </w:p>
        </w:tc>
        <w:tc>
          <w:tcPr>
            <w:tcW w:w="492" w:type="pct"/>
            <w:tcBorders>
              <w:top w:val="nil"/>
              <w:left w:val="nil"/>
              <w:bottom w:val="single" w:sz="4" w:space="0" w:color="auto"/>
              <w:right w:val="single" w:sz="4" w:space="0" w:color="auto"/>
            </w:tcBorders>
            <w:shd w:val="clear" w:color="auto" w:fill="auto"/>
            <w:vAlign w:val="center"/>
            <w:hideMark/>
          </w:tcPr>
          <w:p w14:paraId="587BCD1E"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42</w:t>
            </w:r>
          </w:p>
        </w:tc>
        <w:tc>
          <w:tcPr>
            <w:tcW w:w="475" w:type="pct"/>
            <w:tcBorders>
              <w:top w:val="nil"/>
              <w:left w:val="nil"/>
              <w:bottom w:val="single" w:sz="4" w:space="0" w:color="auto"/>
              <w:right w:val="single" w:sz="4" w:space="0" w:color="auto"/>
            </w:tcBorders>
            <w:shd w:val="clear" w:color="auto" w:fill="auto"/>
            <w:vAlign w:val="center"/>
            <w:hideMark/>
          </w:tcPr>
          <w:p w14:paraId="2078E153"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41</w:t>
            </w:r>
          </w:p>
        </w:tc>
        <w:tc>
          <w:tcPr>
            <w:tcW w:w="492" w:type="pct"/>
            <w:tcBorders>
              <w:top w:val="nil"/>
              <w:left w:val="nil"/>
              <w:bottom w:val="single" w:sz="4" w:space="0" w:color="auto"/>
              <w:right w:val="single" w:sz="4" w:space="0" w:color="auto"/>
            </w:tcBorders>
            <w:shd w:val="clear" w:color="auto" w:fill="auto"/>
            <w:vAlign w:val="center"/>
            <w:hideMark/>
          </w:tcPr>
          <w:p w14:paraId="5868F66E"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3</w:t>
            </w:r>
          </w:p>
        </w:tc>
        <w:tc>
          <w:tcPr>
            <w:tcW w:w="475" w:type="pct"/>
            <w:tcBorders>
              <w:top w:val="nil"/>
              <w:left w:val="nil"/>
              <w:bottom w:val="single" w:sz="4" w:space="0" w:color="auto"/>
              <w:right w:val="single" w:sz="4" w:space="0" w:color="auto"/>
            </w:tcBorders>
            <w:shd w:val="clear" w:color="auto" w:fill="auto"/>
            <w:vAlign w:val="center"/>
            <w:hideMark/>
          </w:tcPr>
          <w:p w14:paraId="4DC2CC87"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0,6</w:t>
            </w:r>
          </w:p>
        </w:tc>
        <w:tc>
          <w:tcPr>
            <w:tcW w:w="492" w:type="pct"/>
            <w:tcBorders>
              <w:top w:val="nil"/>
              <w:left w:val="nil"/>
              <w:bottom w:val="single" w:sz="4" w:space="0" w:color="auto"/>
              <w:right w:val="single" w:sz="4" w:space="0" w:color="auto"/>
            </w:tcBorders>
            <w:shd w:val="clear" w:color="auto" w:fill="auto"/>
            <w:vAlign w:val="center"/>
            <w:hideMark/>
          </w:tcPr>
          <w:p w14:paraId="452D2678"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2</w:t>
            </w:r>
          </w:p>
        </w:tc>
        <w:tc>
          <w:tcPr>
            <w:tcW w:w="475" w:type="pct"/>
            <w:tcBorders>
              <w:top w:val="nil"/>
              <w:left w:val="nil"/>
              <w:bottom w:val="single" w:sz="4" w:space="0" w:color="auto"/>
              <w:right w:val="single" w:sz="4" w:space="0" w:color="auto"/>
            </w:tcBorders>
            <w:shd w:val="clear" w:color="auto" w:fill="auto"/>
            <w:vAlign w:val="center"/>
            <w:hideMark/>
          </w:tcPr>
          <w:p w14:paraId="702991BF"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0,5</w:t>
            </w:r>
          </w:p>
        </w:tc>
      </w:tr>
      <w:tr w:rsidR="001D3A29" w:rsidRPr="007F78CE" w14:paraId="362221A0" w14:textId="77777777" w:rsidTr="00637007">
        <w:trPr>
          <w:trHeight w:val="300"/>
          <w:jc w:val="center"/>
        </w:trPr>
        <w:tc>
          <w:tcPr>
            <w:tcW w:w="1129" w:type="pct"/>
            <w:tcBorders>
              <w:top w:val="nil"/>
              <w:left w:val="single" w:sz="4" w:space="0" w:color="auto"/>
              <w:bottom w:val="single" w:sz="4" w:space="0" w:color="auto"/>
              <w:right w:val="single" w:sz="4" w:space="0" w:color="auto"/>
            </w:tcBorders>
            <w:shd w:val="clear" w:color="auto" w:fill="auto"/>
            <w:vAlign w:val="center"/>
            <w:hideMark/>
          </w:tcPr>
          <w:p w14:paraId="161633FB" w14:textId="77777777" w:rsidR="001D3A29" w:rsidRPr="00F34A21" w:rsidRDefault="001D3A29" w:rsidP="00637007">
            <w:pPr>
              <w:spacing w:after="0" w:line="240" w:lineRule="auto"/>
              <w:rPr>
                <w:rFonts w:ascii="Arial" w:eastAsia="Times New Roman" w:hAnsi="Arial" w:cs="Arial"/>
                <w:color w:val="231F20"/>
                <w:sz w:val="20"/>
                <w:lang w:eastAsia="fr-FR"/>
              </w:rPr>
            </w:pPr>
            <w:r w:rsidRPr="00412095">
              <w:rPr>
                <w:rFonts w:ascii="Arial" w:eastAsia="Times New Roman" w:hAnsi="Arial" w:cs="Arial"/>
                <w:color w:val="231F20"/>
                <w:sz w:val="20"/>
                <w:lang w:eastAsia="fr-FR"/>
              </w:rPr>
              <w:t>Atsimo Andrefana</w:t>
            </w:r>
          </w:p>
        </w:tc>
        <w:tc>
          <w:tcPr>
            <w:tcW w:w="492" w:type="pct"/>
            <w:tcBorders>
              <w:top w:val="nil"/>
              <w:left w:val="nil"/>
              <w:bottom w:val="single" w:sz="4" w:space="0" w:color="auto"/>
              <w:right w:val="single" w:sz="4" w:space="0" w:color="auto"/>
            </w:tcBorders>
            <w:shd w:val="clear" w:color="auto" w:fill="auto"/>
            <w:vAlign w:val="center"/>
            <w:hideMark/>
          </w:tcPr>
          <w:p w14:paraId="6CD4F4A7"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w:t>
            </w:r>
          </w:p>
        </w:tc>
        <w:tc>
          <w:tcPr>
            <w:tcW w:w="475" w:type="pct"/>
            <w:tcBorders>
              <w:top w:val="nil"/>
              <w:left w:val="nil"/>
              <w:bottom w:val="single" w:sz="4" w:space="0" w:color="auto"/>
              <w:right w:val="single" w:sz="4" w:space="0" w:color="auto"/>
            </w:tcBorders>
            <w:shd w:val="clear" w:color="auto" w:fill="auto"/>
            <w:vAlign w:val="center"/>
            <w:hideMark/>
          </w:tcPr>
          <w:p w14:paraId="40BAAE04"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1</w:t>
            </w:r>
          </w:p>
        </w:tc>
        <w:tc>
          <w:tcPr>
            <w:tcW w:w="492" w:type="pct"/>
            <w:tcBorders>
              <w:top w:val="nil"/>
              <w:left w:val="nil"/>
              <w:bottom w:val="single" w:sz="4" w:space="0" w:color="auto"/>
              <w:right w:val="single" w:sz="4" w:space="0" w:color="auto"/>
            </w:tcBorders>
            <w:shd w:val="clear" w:color="auto" w:fill="auto"/>
            <w:vAlign w:val="center"/>
            <w:hideMark/>
          </w:tcPr>
          <w:p w14:paraId="54B2B953"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43</w:t>
            </w:r>
          </w:p>
        </w:tc>
        <w:tc>
          <w:tcPr>
            <w:tcW w:w="475" w:type="pct"/>
            <w:tcBorders>
              <w:top w:val="nil"/>
              <w:left w:val="nil"/>
              <w:bottom w:val="single" w:sz="4" w:space="0" w:color="auto"/>
              <w:right w:val="single" w:sz="4" w:space="0" w:color="auto"/>
            </w:tcBorders>
            <w:shd w:val="clear" w:color="auto" w:fill="auto"/>
            <w:vAlign w:val="center"/>
            <w:hideMark/>
          </w:tcPr>
          <w:p w14:paraId="677C983D"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32</w:t>
            </w:r>
          </w:p>
        </w:tc>
        <w:tc>
          <w:tcPr>
            <w:tcW w:w="492" w:type="pct"/>
            <w:tcBorders>
              <w:top w:val="nil"/>
              <w:left w:val="nil"/>
              <w:bottom w:val="single" w:sz="4" w:space="0" w:color="auto"/>
              <w:right w:val="single" w:sz="4" w:space="0" w:color="auto"/>
            </w:tcBorders>
            <w:shd w:val="clear" w:color="auto" w:fill="auto"/>
            <w:vAlign w:val="center"/>
            <w:hideMark/>
          </w:tcPr>
          <w:p w14:paraId="31E95C5D"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5</w:t>
            </w:r>
          </w:p>
        </w:tc>
        <w:tc>
          <w:tcPr>
            <w:tcW w:w="475" w:type="pct"/>
            <w:tcBorders>
              <w:top w:val="nil"/>
              <w:left w:val="nil"/>
              <w:bottom w:val="single" w:sz="4" w:space="0" w:color="auto"/>
              <w:right w:val="single" w:sz="4" w:space="0" w:color="auto"/>
            </w:tcBorders>
            <w:shd w:val="clear" w:color="auto" w:fill="auto"/>
            <w:vAlign w:val="center"/>
            <w:hideMark/>
          </w:tcPr>
          <w:p w14:paraId="60892D75"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3</w:t>
            </w:r>
          </w:p>
        </w:tc>
        <w:tc>
          <w:tcPr>
            <w:tcW w:w="492" w:type="pct"/>
            <w:tcBorders>
              <w:top w:val="nil"/>
              <w:left w:val="nil"/>
              <w:bottom w:val="single" w:sz="4" w:space="0" w:color="auto"/>
              <w:right w:val="single" w:sz="4" w:space="0" w:color="auto"/>
            </w:tcBorders>
            <w:shd w:val="clear" w:color="auto" w:fill="auto"/>
            <w:vAlign w:val="center"/>
            <w:hideMark/>
          </w:tcPr>
          <w:p w14:paraId="09A1BAE6"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w:t>
            </w:r>
          </w:p>
        </w:tc>
        <w:tc>
          <w:tcPr>
            <w:tcW w:w="475" w:type="pct"/>
            <w:tcBorders>
              <w:top w:val="nil"/>
              <w:left w:val="nil"/>
              <w:bottom w:val="single" w:sz="4" w:space="0" w:color="auto"/>
              <w:right w:val="single" w:sz="4" w:space="0" w:color="auto"/>
            </w:tcBorders>
            <w:shd w:val="clear" w:color="auto" w:fill="auto"/>
            <w:vAlign w:val="center"/>
            <w:hideMark/>
          </w:tcPr>
          <w:p w14:paraId="1C8BB16B"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0,5</w:t>
            </w:r>
          </w:p>
        </w:tc>
      </w:tr>
      <w:tr w:rsidR="001D3A29" w:rsidRPr="007F78CE" w14:paraId="284D4155" w14:textId="77777777" w:rsidTr="00637007">
        <w:trPr>
          <w:trHeight w:val="300"/>
          <w:jc w:val="center"/>
        </w:trPr>
        <w:tc>
          <w:tcPr>
            <w:tcW w:w="1129" w:type="pct"/>
            <w:tcBorders>
              <w:top w:val="nil"/>
              <w:left w:val="single" w:sz="4" w:space="0" w:color="auto"/>
              <w:bottom w:val="single" w:sz="4" w:space="0" w:color="auto"/>
              <w:right w:val="single" w:sz="4" w:space="0" w:color="auto"/>
            </w:tcBorders>
            <w:shd w:val="clear" w:color="auto" w:fill="auto"/>
            <w:vAlign w:val="center"/>
            <w:hideMark/>
          </w:tcPr>
          <w:p w14:paraId="5670C31A" w14:textId="77777777" w:rsidR="001D3A29" w:rsidRPr="00F34A21" w:rsidRDefault="001D3A29" w:rsidP="00637007">
            <w:pPr>
              <w:spacing w:after="0" w:line="240" w:lineRule="auto"/>
              <w:rPr>
                <w:rFonts w:ascii="Arial" w:eastAsia="Times New Roman" w:hAnsi="Arial" w:cs="Arial"/>
                <w:color w:val="231F20"/>
                <w:sz w:val="20"/>
                <w:lang w:eastAsia="fr-FR"/>
              </w:rPr>
            </w:pPr>
            <w:r w:rsidRPr="00412095">
              <w:rPr>
                <w:rFonts w:ascii="Arial" w:eastAsia="Times New Roman" w:hAnsi="Arial" w:cs="Arial"/>
                <w:color w:val="231F20"/>
                <w:sz w:val="20"/>
                <w:lang w:eastAsia="fr-FR"/>
              </w:rPr>
              <w:t>Androy</w:t>
            </w:r>
          </w:p>
        </w:tc>
        <w:tc>
          <w:tcPr>
            <w:tcW w:w="492" w:type="pct"/>
            <w:tcBorders>
              <w:top w:val="nil"/>
              <w:left w:val="nil"/>
              <w:bottom w:val="single" w:sz="4" w:space="0" w:color="auto"/>
              <w:right w:val="single" w:sz="4" w:space="0" w:color="auto"/>
            </w:tcBorders>
            <w:shd w:val="clear" w:color="auto" w:fill="auto"/>
            <w:vAlign w:val="center"/>
            <w:hideMark/>
          </w:tcPr>
          <w:p w14:paraId="3EF99D54"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2</w:t>
            </w:r>
          </w:p>
        </w:tc>
        <w:tc>
          <w:tcPr>
            <w:tcW w:w="475" w:type="pct"/>
            <w:tcBorders>
              <w:top w:val="nil"/>
              <w:left w:val="nil"/>
              <w:bottom w:val="single" w:sz="4" w:space="0" w:color="auto"/>
              <w:right w:val="single" w:sz="4" w:space="0" w:color="auto"/>
            </w:tcBorders>
            <w:shd w:val="clear" w:color="auto" w:fill="auto"/>
            <w:vAlign w:val="center"/>
            <w:hideMark/>
          </w:tcPr>
          <w:p w14:paraId="0915740A"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0,5</w:t>
            </w:r>
          </w:p>
        </w:tc>
        <w:tc>
          <w:tcPr>
            <w:tcW w:w="492" w:type="pct"/>
            <w:tcBorders>
              <w:top w:val="nil"/>
              <w:left w:val="nil"/>
              <w:bottom w:val="single" w:sz="4" w:space="0" w:color="auto"/>
              <w:right w:val="single" w:sz="4" w:space="0" w:color="auto"/>
            </w:tcBorders>
            <w:shd w:val="clear" w:color="auto" w:fill="auto"/>
            <w:vAlign w:val="center"/>
            <w:hideMark/>
          </w:tcPr>
          <w:p w14:paraId="171152EA"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49</w:t>
            </w:r>
          </w:p>
        </w:tc>
        <w:tc>
          <w:tcPr>
            <w:tcW w:w="475" w:type="pct"/>
            <w:tcBorders>
              <w:top w:val="nil"/>
              <w:left w:val="nil"/>
              <w:bottom w:val="single" w:sz="4" w:space="0" w:color="auto"/>
              <w:right w:val="single" w:sz="4" w:space="0" w:color="auto"/>
            </w:tcBorders>
            <w:shd w:val="clear" w:color="auto" w:fill="auto"/>
            <w:vAlign w:val="center"/>
            <w:hideMark/>
          </w:tcPr>
          <w:p w14:paraId="0EA6A617"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28</w:t>
            </w:r>
          </w:p>
        </w:tc>
        <w:tc>
          <w:tcPr>
            <w:tcW w:w="492" w:type="pct"/>
            <w:tcBorders>
              <w:top w:val="nil"/>
              <w:left w:val="nil"/>
              <w:bottom w:val="single" w:sz="4" w:space="0" w:color="auto"/>
              <w:right w:val="single" w:sz="4" w:space="0" w:color="auto"/>
            </w:tcBorders>
            <w:shd w:val="clear" w:color="auto" w:fill="auto"/>
            <w:vAlign w:val="center"/>
            <w:hideMark/>
          </w:tcPr>
          <w:p w14:paraId="2A3E73FC"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2</w:t>
            </w:r>
          </w:p>
        </w:tc>
        <w:tc>
          <w:tcPr>
            <w:tcW w:w="475" w:type="pct"/>
            <w:tcBorders>
              <w:top w:val="nil"/>
              <w:left w:val="nil"/>
              <w:bottom w:val="single" w:sz="4" w:space="0" w:color="auto"/>
              <w:right w:val="single" w:sz="4" w:space="0" w:color="auto"/>
            </w:tcBorders>
            <w:shd w:val="clear" w:color="auto" w:fill="auto"/>
            <w:vAlign w:val="center"/>
            <w:hideMark/>
          </w:tcPr>
          <w:p w14:paraId="38F443CB"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1</w:t>
            </w:r>
          </w:p>
        </w:tc>
        <w:tc>
          <w:tcPr>
            <w:tcW w:w="492" w:type="pct"/>
            <w:tcBorders>
              <w:top w:val="nil"/>
              <w:left w:val="nil"/>
              <w:bottom w:val="single" w:sz="4" w:space="0" w:color="auto"/>
              <w:right w:val="single" w:sz="4" w:space="0" w:color="auto"/>
            </w:tcBorders>
            <w:shd w:val="clear" w:color="auto" w:fill="auto"/>
            <w:vAlign w:val="center"/>
            <w:hideMark/>
          </w:tcPr>
          <w:p w14:paraId="0DD993E6"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2</w:t>
            </w:r>
          </w:p>
        </w:tc>
        <w:tc>
          <w:tcPr>
            <w:tcW w:w="475" w:type="pct"/>
            <w:tcBorders>
              <w:top w:val="nil"/>
              <w:left w:val="nil"/>
              <w:bottom w:val="single" w:sz="4" w:space="0" w:color="auto"/>
              <w:right w:val="single" w:sz="4" w:space="0" w:color="auto"/>
            </w:tcBorders>
            <w:shd w:val="clear" w:color="auto" w:fill="auto"/>
            <w:vAlign w:val="center"/>
            <w:hideMark/>
          </w:tcPr>
          <w:p w14:paraId="6F0B872A"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0,5</w:t>
            </w:r>
          </w:p>
        </w:tc>
      </w:tr>
      <w:tr w:rsidR="001D3A29" w:rsidRPr="007F78CE" w14:paraId="7CB6AB8C" w14:textId="77777777" w:rsidTr="00637007">
        <w:trPr>
          <w:trHeight w:val="300"/>
          <w:jc w:val="center"/>
        </w:trPr>
        <w:tc>
          <w:tcPr>
            <w:tcW w:w="1129" w:type="pct"/>
            <w:tcBorders>
              <w:top w:val="nil"/>
              <w:left w:val="single" w:sz="4" w:space="0" w:color="auto"/>
              <w:bottom w:val="single" w:sz="4" w:space="0" w:color="auto"/>
              <w:right w:val="single" w:sz="4" w:space="0" w:color="auto"/>
            </w:tcBorders>
            <w:shd w:val="clear" w:color="auto" w:fill="auto"/>
            <w:vAlign w:val="center"/>
            <w:hideMark/>
          </w:tcPr>
          <w:p w14:paraId="36D02316" w14:textId="77777777" w:rsidR="001D3A29" w:rsidRPr="00F34A21" w:rsidRDefault="001D3A29" w:rsidP="00637007">
            <w:pPr>
              <w:spacing w:after="0" w:line="240" w:lineRule="auto"/>
              <w:rPr>
                <w:rFonts w:ascii="Arial" w:eastAsia="Times New Roman" w:hAnsi="Arial" w:cs="Arial"/>
                <w:color w:val="231F20"/>
                <w:sz w:val="20"/>
                <w:lang w:eastAsia="fr-FR"/>
              </w:rPr>
            </w:pPr>
            <w:r w:rsidRPr="00412095">
              <w:rPr>
                <w:rFonts w:ascii="Arial" w:eastAsia="Times New Roman" w:hAnsi="Arial" w:cs="Arial"/>
                <w:color w:val="231F20"/>
                <w:sz w:val="20"/>
                <w:lang w:eastAsia="fr-FR"/>
              </w:rPr>
              <w:t>Anosy</w:t>
            </w:r>
          </w:p>
        </w:tc>
        <w:tc>
          <w:tcPr>
            <w:tcW w:w="492" w:type="pct"/>
            <w:tcBorders>
              <w:top w:val="nil"/>
              <w:left w:val="nil"/>
              <w:bottom w:val="single" w:sz="4" w:space="0" w:color="auto"/>
              <w:right w:val="single" w:sz="4" w:space="0" w:color="auto"/>
            </w:tcBorders>
            <w:shd w:val="clear" w:color="auto" w:fill="auto"/>
            <w:vAlign w:val="center"/>
            <w:hideMark/>
          </w:tcPr>
          <w:p w14:paraId="69DEC839"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5</w:t>
            </w:r>
          </w:p>
        </w:tc>
        <w:tc>
          <w:tcPr>
            <w:tcW w:w="475" w:type="pct"/>
            <w:tcBorders>
              <w:top w:val="nil"/>
              <w:left w:val="nil"/>
              <w:bottom w:val="single" w:sz="4" w:space="0" w:color="auto"/>
              <w:right w:val="single" w:sz="4" w:space="0" w:color="auto"/>
            </w:tcBorders>
            <w:shd w:val="clear" w:color="auto" w:fill="auto"/>
            <w:vAlign w:val="center"/>
            <w:hideMark/>
          </w:tcPr>
          <w:p w14:paraId="22B42C9E"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3</w:t>
            </w:r>
          </w:p>
        </w:tc>
        <w:tc>
          <w:tcPr>
            <w:tcW w:w="492" w:type="pct"/>
            <w:tcBorders>
              <w:top w:val="nil"/>
              <w:left w:val="nil"/>
              <w:bottom w:val="single" w:sz="4" w:space="0" w:color="auto"/>
              <w:right w:val="single" w:sz="4" w:space="0" w:color="auto"/>
            </w:tcBorders>
            <w:shd w:val="clear" w:color="auto" w:fill="auto"/>
            <w:vAlign w:val="center"/>
            <w:hideMark/>
          </w:tcPr>
          <w:p w14:paraId="7520712D"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57</w:t>
            </w:r>
          </w:p>
        </w:tc>
        <w:tc>
          <w:tcPr>
            <w:tcW w:w="475" w:type="pct"/>
            <w:tcBorders>
              <w:top w:val="nil"/>
              <w:left w:val="nil"/>
              <w:bottom w:val="single" w:sz="4" w:space="0" w:color="auto"/>
              <w:right w:val="single" w:sz="4" w:space="0" w:color="auto"/>
            </w:tcBorders>
            <w:shd w:val="clear" w:color="auto" w:fill="auto"/>
            <w:vAlign w:val="center"/>
            <w:hideMark/>
          </w:tcPr>
          <w:p w14:paraId="78A2CBFF"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32</w:t>
            </w:r>
          </w:p>
        </w:tc>
        <w:tc>
          <w:tcPr>
            <w:tcW w:w="492" w:type="pct"/>
            <w:tcBorders>
              <w:top w:val="nil"/>
              <w:left w:val="nil"/>
              <w:bottom w:val="single" w:sz="4" w:space="0" w:color="auto"/>
              <w:right w:val="single" w:sz="4" w:space="0" w:color="auto"/>
            </w:tcBorders>
            <w:shd w:val="clear" w:color="auto" w:fill="auto"/>
            <w:vAlign w:val="center"/>
            <w:hideMark/>
          </w:tcPr>
          <w:p w14:paraId="1878F132"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7</w:t>
            </w:r>
          </w:p>
        </w:tc>
        <w:tc>
          <w:tcPr>
            <w:tcW w:w="475" w:type="pct"/>
            <w:tcBorders>
              <w:top w:val="nil"/>
              <w:left w:val="nil"/>
              <w:bottom w:val="single" w:sz="4" w:space="0" w:color="auto"/>
              <w:right w:val="single" w:sz="4" w:space="0" w:color="auto"/>
            </w:tcBorders>
            <w:shd w:val="clear" w:color="auto" w:fill="auto"/>
            <w:vAlign w:val="center"/>
            <w:hideMark/>
          </w:tcPr>
          <w:p w14:paraId="72C9D2DE"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5</w:t>
            </w:r>
          </w:p>
        </w:tc>
        <w:tc>
          <w:tcPr>
            <w:tcW w:w="492" w:type="pct"/>
            <w:tcBorders>
              <w:top w:val="nil"/>
              <w:left w:val="nil"/>
              <w:bottom w:val="single" w:sz="4" w:space="0" w:color="auto"/>
              <w:right w:val="single" w:sz="4" w:space="0" w:color="auto"/>
            </w:tcBorders>
            <w:shd w:val="clear" w:color="auto" w:fill="auto"/>
            <w:vAlign w:val="center"/>
            <w:hideMark/>
          </w:tcPr>
          <w:p w14:paraId="43AB8855"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5</w:t>
            </w:r>
          </w:p>
        </w:tc>
        <w:tc>
          <w:tcPr>
            <w:tcW w:w="475" w:type="pct"/>
            <w:tcBorders>
              <w:top w:val="nil"/>
              <w:left w:val="nil"/>
              <w:bottom w:val="single" w:sz="4" w:space="0" w:color="auto"/>
              <w:right w:val="single" w:sz="4" w:space="0" w:color="auto"/>
            </w:tcBorders>
            <w:shd w:val="clear" w:color="auto" w:fill="auto"/>
            <w:vAlign w:val="center"/>
            <w:hideMark/>
          </w:tcPr>
          <w:p w14:paraId="2699FE1F"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3</w:t>
            </w:r>
          </w:p>
        </w:tc>
      </w:tr>
      <w:tr w:rsidR="001D3A29" w:rsidRPr="007F78CE" w14:paraId="7F1C0712" w14:textId="77777777" w:rsidTr="00637007">
        <w:trPr>
          <w:trHeight w:val="300"/>
          <w:jc w:val="center"/>
        </w:trPr>
        <w:tc>
          <w:tcPr>
            <w:tcW w:w="1129" w:type="pct"/>
            <w:tcBorders>
              <w:top w:val="nil"/>
              <w:left w:val="single" w:sz="4" w:space="0" w:color="auto"/>
              <w:bottom w:val="single" w:sz="4" w:space="0" w:color="auto"/>
              <w:right w:val="single" w:sz="4" w:space="0" w:color="auto"/>
            </w:tcBorders>
            <w:shd w:val="clear" w:color="auto" w:fill="auto"/>
            <w:vAlign w:val="center"/>
            <w:hideMark/>
          </w:tcPr>
          <w:p w14:paraId="06E01439" w14:textId="77777777" w:rsidR="001D3A29" w:rsidRPr="00F34A21" w:rsidRDefault="001D3A29" w:rsidP="00637007">
            <w:pPr>
              <w:spacing w:after="0" w:line="240" w:lineRule="auto"/>
              <w:rPr>
                <w:rFonts w:ascii="Arial" w:eastAsia="Times New Roman" w:hAnsi="Arial" w:cs="Arial"/>
                <w:color w:val="231F20"/>
                <w:sz w:val="20"/>
                <w:lang w:eastAsia="fr-FR"/>
              </w:rPr>
            </w:pPr>
            <w:r w:rsidRPr="00412095">
              <w:rPr>
                <w:rFonts w:ascii="Arial" w:eastAsia="Times New Roman" w:hAnsi="Arial" w:cs="Arial"/>
                <w:color w:val="231F20"/>
                <w:sz w:val="20"/>
                <w:lang w:eastAsia="fr-FR"/>
              </w:rPr>
              <w:t>Menabe</w:t>
            </w:r>
          </w:p>
        </w:tc>
        <w:tc>
          <w:tcPr>
            <w:tcW w:w="492" w:type="pct"/>
            <w:tcBorders>
              <w:top w:val="nil"/>
              <w:left w:val="nil"/>
              <w:bottom w:val="single" w:sz="4" w:space="0" w:color="auto"/>
              <w:right w:val="single" w:sz="4" w:space="0" w:color="auto"/>
            </w:tcBorders>
            <w:shd w:val="clear" w:color="auto" w:fill="auto"/>
            <w:vAlign w:val="center"/>
            <w:hideMark/>
          </w:tcPr>
          <w:p w14:paraId="5D7473A5"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w:t>
            </w:r>
          </w:p>
        </w:tc>
        <w:tc>
          <w:tcPr>
            <w:tcW w:w="475" w:type="pct"/>
            <w:tcBorders>
              <w:top w:val="nil"/>
              <w:left w:val="nil"/>
              <w:bottom w:val="single" w:sz="4" w:space="0" w:color="auto"/>
              <w:right w:val="single" w:sz="4" w:space="0" w:color="auto"/>
            </w:tcBorders>
            <w:shd w:val="clear" w:color="auto" w:fill="auto"/>
            <w:vAlign w:val="center"/>
            <w:hideMark/>
          </w:tcPr>
          <w:p w14:paraId="57856FD6"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1</w:t>
            </w:r>
          </w:p>
        </w:tc>
        <w:tc>
          <w:tcPr>
            <w:tcW w:w="492" w:type="pct"/>
            <w:tcBorders>
              <w:top w:val="nil"/>
              <w:left w:val="nil"/>
              <w:bottom w:val="single" w:sz="4" w:space="0" w:color="auto"/>
              <w:right w:val="single" w:sz="4" w:space="0" w:color="auto"/>
            </w:tcBorders>
            <w:shd w:val="clear" w:color="auto" w:fill="auto"/>
            <w:vAlign w:val="center"/>
            <w:hideMark/>
          </w:tcPr>
          <w:p w14:paraId="352037FD"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60</w:t>
            </w:r>
          </w:p>
        </w:tc>
        <w:tc>
          <w:tcPr>
            <w:tcW w:w="475" w:type="pct"/>
            <w:tcBorders>
              <w:top w:val="nil"/>
              <w:left w:val="nil"/>
              <w:bottom w:val="single" w:sz="4" w:space="0" w:color="auto"/>
              <w:right w:val="single" w:sz="4" w:space="0" w:color="auto"/>
            </w:tcBorders>
            <w:shd w:val="clear" w:color="auto" w:fill="auto"/>
            <w:vAlign w:val="center"/>
            <w:hideMark/>
          </w:tcPr>
          <w:p w14:paraId="3010B72F"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44</w:t>
            </w:r>
          </w:p>
        </w:tc>
        <w:tc>
          <w:tcPr>
            <w:tcW w:w="492" w:type="pct"/>
            <w:tcBorders>
              <w:top w:val="nil"/>
              <w:left w:val="nil"/>
              <w:bottom w:val="single" w:sz="4" w:space="0" w:color="auto"/>
              <w:right w:val="single" w:sz="4" w:space="0" w:color="auto"/>
            </w:tcBorders>
            <w:shd w:val="clear" w:color="auto" w:fill="auto"/>
            <w:vAlign w:val="center"/>
            <w:hideMark/>
          </w:tcPr>
          <w:p w14:paraId="0C504A7D"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8</w:t>
            </w:r>
          </w:p>
        </w:tc>
        <w:tc>
          <w:tcPr>
            <w:tcW w:w="475" w:type="pct"/>
            <w:tcBorders>
              <w:top w:val="nil"/>
              <w:left w:val="nil"/>
              <w:bottom w:val="single" w:sz="4" w:space="0" w:color="auto"/>
              <w:right w:val="single" w:sz="4" w:space="0" w:color="auto"/>
            </w:tcBorders>
            <w:shd w:val="clear" w:color="auto" w:fill="auto"/>
            <w:vAlign w:val="center"/>
            <w:hideMark/>
          </w:tcPr>
          <w:p w14:paraId="7F464AAA"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w:t>
            </w:r>
          </w:p>
        </w:tc>
        <w:tc>
          <w:tcPr>
            <w:tcW w:w="492" w:type="pct"/>
            <w:tcBorders>
              <w:top w:val="nil"/>
              <w:left w:val="nil"/>
              <w:bottom w:val="single" w:sz="4" w:space="0" w:color="auto"/>
              <w:right w:val="single" w:sz="4" w:space="0" w:color="auto"/>
            </w:tcBorders>
            <w:shd w:val="clear" w:color="auto" w:fill="auto"/>
            <w:vAlign w:val="center"/>
            <w:hideMark/>
          </w:tcPr>
          <w:p w14:paraId="46AB50DF"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w:t>
            </w:r>
          </w:p>
        </w:tc>
        <w:tc>
          <w:tcPr>
            <w:tcW w:w="475" w:type="pct"/>
            <w:tcBorders>
              <w:top w:val="nil"/>
              <w:left w:val="nil"/>
              <w:bottom w:val="single" w:sz="4" w:space="0" w:color="auto"/>
              <w:right w:val="single" w:sz="4" w:space="0" w:color="auto"/>
            </w:tcBorders>
            <w:shd w:val="clear" w:color="auto" w:fill="auto"/>
            <w:vAlign w:val="center"/>
            <w:hideMark/>
          </w:tcPr>
          <w:p w14:paraId="354A5141"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1</w:t>
            </w:r>
          </w:p>
        </w:tc>
      </w:tr>
      <w:tr w:rsidR="001D3A29" w:rsidRPr="007F78CE" w14:paraId="660E08B5" w14:textId="77777777" w:rsidTr="00637007">
        <w:trPr>
          <w:trHeight w:val="300"/>
          <w:jc w:val="center"/>
        </w:trPr>
        <w:tc>
          <w:tcPr>
            <w:tcW w:w="1129" w:type="pct"/>
            <w:tcBorders>
              <w:top w:val="nil"/>
              <w:left w:val="single" w:sz="4" w:space="0" w:color="auto"/>
              <w:bottom w:val="single" w:sz="4" w:space="0" w:color="auto"/>
              <w:right w:val="single" w:sz="4" w:space="0" w:color="auto"/>
            </w:tcBorders>
            <w:shd w:val="clear" w:color="auto" w:fill="auto"/>
            <w:vAlign w:val="center"/>
            <w:hideMark/>
          </w:tcPr>
          <w:p w14:paraId="71484349" w14:textId="77777777" w:rsidR="001D3A29" w:rsidRPr="00F34A21" w:rsidRDefault="006D616A" w:rsidP="00637007">
            <w:pPr>
              <w:spacing w:after="0" w:line="240" w:lineRule="auto"/>
              <w:rPr>
                <w:rFonts w:ascii="Arial" w:eastAsia="Times New Roman" w:hAnsi="Arial" w:cs="Arial"/>
                <w:color w:val="231F20"/>
                <w:sz w:val="20"/>
                <w:lang w:eastAsia="fr-FR"/>
              </w:rPr>
            </w:pPr>
            <w:r w:rsidRPr="00412095">
              <w:rPr>
                <w:rFonts w:ascii="Arial" w:eastAsia="Times New Roman" w:hAnsi="Arial" w:cs="Arial"/>
                <w:color w:val="231F20"/>
                <w:sz w:val="20"/>
                <w:lang w:eastAsia="fr-FR"/>
              </w:rPr>
              <w:t>D</w:t>
            </w:r>
            <w:r>
              <w:rPr>
                <w:rFonts w:ascii="Arial" w:eastAsia="Times New Roman" w:hAnsi="Arial" w:cs="Arial"/>
                <w:color w:val="231F20"/>
                <w:sz w:val="20"/>
                <w:lang w:eastAsia="fr-FR"/>
              </w:rPr>
              <w:t>IANA</w:t>
            </w:r>
          </w:p>
        </w:tc>
        <w:tc>
          <w:tcPr>
            <w:tcW w:w="492" w:type="pct"/>
            <w:tcBorders>
              <w:top w:val="nil"/>
              <w:left w:val="nil"/>
              <w:bottom w:val="single" w:sz="4" w:space="0" w:color="auto"/>
              <w:right w:val="single" w:sz="4" w:space="0" w:color="auto"/>
            </w:tcBorders>
            <w:shd w:val="clear" w:color="auto" w:fill="auto"/>
            <w:vAlign w:val="center"/>
            <w:hideMark/>
          </w:tcPr>
          <w:p w14:paraId="7C4A2A32"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12</w:t>
            </w:r>
          </w:p>
        </w:tc>
        <w:tc>
          <w:tcPr>
            <w:tcW w:w="475" w:type="pct"/>
            <w:tcBorders>
              <w:top w:val="nil"/>
              <w:left w:val="nil"/>
              <w:bottom w:val="single" w:sz="4" w:space="0" w:color="auto"/>
              <w:right w:val="single" w:sz="4" w:space="0" w:color="auto"/>
            </w:tcBorders>
            <w:shd w:val="clear" w:color="auto" w:fill="auto"/>
            <w:vAlign w:val="center"/>
            <w:hideMark/>
          </w:tcPr>
          <w:p w14:paraId="4441C8E9"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7</w:t>
            </w:r>
          </w:p>
        </w:tc>
        <w:tc>
          <w:tcPr>
            <w:tcW w:w="492" w:type="pct"/>
            <w:tcBorders>
              <w:top w:val="nil"/>
              <w:left w:val="nil"/>
              <w:bottom w:val="single" w:sz="4" w:space="0" w:color="auto"/>
              <w:right w:val="single" w:sz="4" w:space="0" w:color="auto"/>
            </w:tcBorders>
            <w:shd w:val="clear" w:color="auto" w:fill="auto"/>
            <w:vAlign w:val="center"/>
            <w:hideMark/>
          </w:tcPr>
          <w:p w14:paraId="2AC55927"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83</w:t>
            </w:r>
          </w:p>
        </w:tc>
        <w:tc>
          <w:tcPr>
            <w:tcW w:w="475" w:type="pct"/>
            <w:tcBorders>
              <w:top w:val="nil"/>
              <w:left w:val="nil"/>
              <w:bottom w:val="single" w:sz="4" w:space="0" w:color="auto"/>
              <w:right w:val="single" w:sz="4" w:space="0" w:color="auto"/>
            </w:tcBorders>
            <w:shd w:val="clear" w:color="auto" w:fill="auto"/>
            <w:vAlign w:val="center"/>
            <w:hideMark/>
          </w:tcPr>
          <w:p w14:paraId="6FFA0415"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87</w:t>
            </w:r>
          </w:p>
        </w:tc>
        <w:tc>
          <w:tcPr>
            <w:tcW w:w="492" w:type="pct"/>
            <w:tcBorders>
              <w:top w:val="nil"/>
              <w:left w:val="nil"/>
              <w:bottom w:val="single" w:sz="4" w:space="0" w:color="auto"/>
              <w:right w:val="single" w:sz="4" w:space="0" w:color="auto"/>
            </w:tcBorders>
            <w:shd w:val="clear" w:color="auto" w:fill="auto"/>
            <w:vAlign w:val="center"/>
            <w:hideMark/>
          </w:tcPr>
          <w:p w14:paraId="657B8E71"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16</w:t>
            </w:r>
          </w:p>
        </w:tc>
        <w:tc>
          <w:tcPr>
            <w:tcW w:w="475" w:type="pct"/>
            <w:tcBorders>
              <w:top w:val="nil"/>
              <w:left w:val="nil"/>
              <w:bottom w:val="single" w:sz="4" w:space="0" w:color="auto"/>
              <w:right w:val="single" w:sz="4" w:space="0" w:color="auto"/>
            </w:tcBorders>
            <w:shd w:val="clear" w:color="auto" w:fill="auto"/>
            <w:vAlign w:val="center"/>
            <w:hideMark/>
          </w:tcPr>
          <w:p w14:paraId="501465C8"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16</w:t>
            </w:r>
          </w:p>
        </w:tc>
        <w:tc>
          <w:tcPr>
            <w:tcW w:w="492" w:type="pct"/>
            <w:tcBorders>
              <w:top w:val="nil"/>
              <w:left w:val="nil"/>
              <w:bottom w:val="single" w:sz="4" w:space="0" w:color="auto"/>
              <w:right w:val="single" w:sz="4" w:space="0" w:color="auto"/>
            </w:tcBorders>
            <w:shd w:val="clear" w:color="auto" w:fill="auto"/>
            <w:vAlign w:val="center"/>
            <w:hideMark/>
          </w:tcPr>
          <w:p w14:paraId="3991969A"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12</w:t>
            </w:r>
          </w:p>
        </w:tc>
        <w:tc>
          <w:tcPr>
            <w:tcW w:w="475" w:type="pct"/>
            <w:tcBorders>
              <w:top w:val="nil"/>
              <w:left w:val="nil"/>
              <w:bottom w:val="single" w:sz="4" w:space="0" w:color="auto"/>
              <w:right w:val="single" w:sz="4" w:space="0" w:color="auto"/>
            </w:tcBorders>
            <w:shd w:val="clear" w:color="auto" w:fill="auto"/>
            <w:vAlign w:val="center"/>
            <w:hideMark/>
          </w:tcPr>
          <w:p w14:paraId="214B6FD5"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6</w:t>
            </w:r>
          </w:p>
        </w:tc>
      </w:tr>
      <w:tr w:rsidR="001D3A29" w:rsidRPr="007F78CE" w14:paraId="50236989" w14:textId="77777777" w:rsidTr="00637007">
        <w:trPr>
          <w:trHeight w:val="300"/>
          <w:jc w:val="center"/>
        </w:trPr>
        <w:tc>
          <w:tcPr>
            <w:tcW w:w="1129" w:type="pct"/>
            <w:tcBorders>
              <w:top w:val="nil"/>
              <w:left w:val="single" w:sz="4" w:space="0" w:color="auto"/>
              <w:bottom w:val="single" w:sz="4" w:space="0" w:color="auto"/>
              <w:right w:val="single" w:sz="4" w:space="0" w:color="auto"/>
            </w:tcBorders>
            <w:shd w:val="clear" w:color="auto" w:fill="auto"/>
            <w:vAlign w:val="center"/>
            <w:hideMark/>
          </w:tcPr>
          <w:p w14:paraId="4370E8C9" w14:textId="77777777" w:rsidR="001D3A29" w:rsidRPr="00F34A21" w:rsidRDefault="006D616A" w:rsidP="00637007">
            <w:pPr>
              <w:spacing w:after="0" w:line="240" w:lineRule="auto"/>
              <w:rPr>
                <w:rFonts w:ascii="Arial" w:eastAsia="Times New Roman" w:hAnsi="Arial" w:cs="Arial"/>
                <w:color w:val="231F20"/>
                <w:sz w:val="20"/>
                <w:lang w:eastAsia="fr-FR"/>
              </w:rPr>
            </w:pPr>
            <w:r w:rsidRPr="00412095">
              <w:rPr>
                <w:rFonts w:ascii="Arial" w:eastAsia="Times New Roman" w:hAnsi="Arial" w:cs="Arial"/>
                <w:color w:val="231F20"/>
                <w:sz w:val="20"/>
                <w:lang w:eastAsia="fr-FR"/>
              </w:rPr>
              <w:t>S</w:t>
            </w:r>
            <w:r>
              <w:rPr>
                <w:rFonts w:ascii="Arial" w:eastAsia="Times New Roman" w:hAnsi="Arial" w:cs="Arial"/>
                <w:color w:val="231F20"/>
                <w:sz w:val="20"/>
                <w:lang w:eastAsia="fr-FR"/>
              </w:rPr>
              <w:t>AVA</w:t>
            </w:r>
          </w:p>
        </w:tc>
        <w:tc>
          <w:tcPr>
            <w:tcW w:w="492" w:type="pct"/>
            <w:tcBorders>
              <w:top w:val="nil"/>
              <w:left w:val="nil"/>
              <w:bottom w:val="single" w:sz="4" w:space="0" w:color="auto"/>
              <w:right w:val="single" w:sz="4" w:space="0" w:color="auto"/>
            </w:tcBorders>
            <w:shd w:val="clear" w:color="auto" w:fill="auto"/>
            <w:vAlign w:val="center"/>
            <w:hideMark/>
          </w:tcPr>
          <w:p w14:paraId="5D9F4979"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5</w:t>
            </w:r>
          </w:p>
        </w:tc>
        <w:tc>
          <w:tcPr>
            <w:tcW w:w="475" w:type="pct"/>
            <w:tcBorders>
              <w:top w:val="nil"/>
              <w:left w:val="nil"/>
              <w:bottom w:val="single" w:sz="4" w:space="0" w:color="auto"/>
              <w:right w:val="single" w:sz="4" w:space="0" w:color="auto"/>
            </w:tcBorders>
            <w:shd w:val="clear" w:color="auto" w:fill="auto"/>
            <w:vAlign w:val="center"/>
            <w:hideMark/>
          </w:tcPr>
          <w:p w14:paraId="42D29AB9"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3</w:t>
            </w:r>
          </w:p>
        </w:tc>
        <w:tc>
          <w:tcPr>
            <w:tcW w:w="492" w:type="pct"/>
            <w:tcBorders>
              <w:top w:val="nil"/>
              <w:left w:val="nil"/>
              <w:bottom w:val="single" w:sz="4" w:space="0" w:color="auto"/>
              <w:right w:val="single" w:sz="4" w:space="0" w:color="auto"/>
            </w:tcBorders>
            <w:shd w:val="clear" w:color="auto" w:fill="auto"/>
            <w:vAlign w:val="center"/>
            <w:hideMark/>
          </w:tcPr>
          <w:p w14:paraId="24867709"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66</w:t>
            </w:r>
          </w:p>
        </w:tc>
        <w:tc>
          <w:tcPr>
            <w:tcW w:w="475" w:type="pct"/>
            <w:tcBorders>
              <w:top w:val="nil"/>
              <w:left w:val="nil"/>
              <w:bottom w:val="single" w:sz="4" w:space="0" w:color="auto"/>
              <w:right w:val="single" w:sz="4" w:space="0" w:color="auto"/>
            </w:tcBorders>
            <w:shd w:val="clear" w:color="auto" w:fill="auto"/>
            <w:vAlign w:val="center"/>
            <w:hideMark/>
          </w:tcPr>
          <w:p w14:paraId="55916737"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67</w:t>
            </w:r>
          </w:p>
        </w:tc>
        <w:tc>
          <w:tcPr>
            <w:tcW w:w="492" w:type="pct"/>
            <w:tcBorders>
              <w:top w:val="nil"/>
              <w:left w:val="nil"/>
              <w:bottom w:val="single" w:sz="4" w:space="0" w:color="auto"/>
              <w:right w:val="single" w:sz="4" w:space="0" w:color="auto"/>
            </w:tcBorders>
            <w:shd w:val="clear" w:color="auto" w:fill="auto"/>
            <w:vAlign w:val="center"/>
            <w:hideMark/>
          </w:tcPr>
          <w:p w14:paraId="463185BE"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14</w:t>
            </w:r>
          </w:p>
        </w:tc>
        <w:tc>
          <w:tcPr>
            <w:tcW w:w="475" w:type="pct"/>
            <w:tcBorders>
              <w:top w:val="nil"/>
              <w:left w:val="nil"/>
              <w:bottom w:val="single" w:sz="4" w:space="0" w:color="auto"/>
              <w:right w:val="single" w:sz="4" w:space="0" w:color="auto"/>
            </w:tcBorders>
            <w:shd w:val="clear" w:color="auto" w:fill="auto"/>
            <w:vAlign w:val="center"/>
            <w:hideMark/>
          </w:tcPr>
          <w:p w14:paraId="74E49EEA"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8</w:t>
            </w:r>
          </w:p>
        </w:tc>
        <w:tc>
          <w:tcPr>
            <w:tcW w:w="492" w:type="pct"/>
            <w:tcBorders>
              <w:top w:val="nil"/>
              <w:left w:val="nil"/>
              <w:bottom w:val="single" w:sz="4" w:space="0" w:color="auto"/>
              <w:right w:val="single" w:sz="4" w:space="0" w:color="auto"/>
            </w:tcBorders>
            <w:shd w:val="clear" w:color="auto" w:fill="auto"/>
            <w:vAlign w:val="center"/>
            <w:hideMark/>
          </w:tcPr>
          <w:p w14:paraId="01B16F7F"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4</w:t>
            </w:r>
          </w:p>
        </w:tc>
        <w:tc>
          <w:tcPr>
            <w:tcW w:w="475" w:type="pct"/>
            <w:tcBorders>
              <w:top w:val="nil"/>
              <w:left w:val="nil"/>
              <w:bottom w:val="single" w:sz="4" w:space="0" w:color="auto"/>
              <w:right w:val="single" w:sz="4" w:space="0" w:color="auto"/>
            </w:tcBorders>
            <w:shd w:val="clear" w:color="auto" w:fill="auto"/>
            <w:vAlign w:val="center"/>
            <w:hideMark/>
          </w:tcPr>
          <w:p w14:paraId="0F0F119D" w14:textId="77777777" w:rsidR="001D3A29" w:rsidRPr="00412095" w:rsidRDefault="001D3A29" w:rsidP="00637007">
            <w:pPr>
              <w:spacing w:after="0" w:line="240" w:lineRule="auto"/>
              <w:jc w:val="right"/>
              <w:rPr>
                <w:rFonts w:ascii="Arial" w:eastAsia="Times New Roman" w:hAnsi="Arial" w:cs="Arial"/>
                <w:color w:val="231F20"/>
                <w:sz w:val="20"/>
                <w:szCs w:val="20"/>
                <w:lang w:eastAsia="fr-FR"/>
              </w:rPr>
            </w:pPr>
            <w:r w:rsidRPr="00412095">
              <w:rPr>
                <w:rFonts w:ascii="Arial" w:eastAsia="Times New Roman" w:hAnsi="Arial" w:cs="Arial"/>
                <w:color w:val="231F20"/>
                <w:sz w:val="20"/>
                <w:lang w:eastAsia="fr-FR"/>
              </w:rPr>
              <w:t>2</w:t>
            </w:r>
          </w:p>
        </w:tc>
      </w:tr>
      <w:tr w:rsidR="0063584D" w:rsidRPr="007F78CE" w14:paraId="65E335F9" w14:textId="77777777" w:rsidTr="007F78CE">
        <w:trPr>
          <w:trHeight w:val="300"/>
          <w:jc w:val="center"/>
        </w:trPr>
        <w:tc>
          <w:tcPr>
            <w:tcW w:w="1129" w:type="pct"/>
            <w:tcBorders>
              <w:top w:val="nil"/>
              <w:left w:val="single" w:sz="4" w:space="0" w:color="auto"/>
              <w:bottom w:val="single" w:sz="4" w:space="0" w:color="auto"/>
              <w:right w:val="single" w:sz="4" w:space="0" w:color="auto"/>
            </w:tcBorders>
            <w:shd w:val="clear" w:color="auto" w:fill="1F497D"/>
            <w:vAlign w:val="center"/>
            <w:hideMark/>
          </w:tcPr>
          <w:p w14:paraId="799491C5" w14:textId="77777777" w:rsidR="001D3A29" w:rsidRPr="00412095" w:rsidRDefault="001D3A29" w:rsidP="00637007">
            <w:pPr>
              <w:spacing w:after="0" w:line="240" w:lineRule="auto"/>
              <w:rPr>
                <w:rFonts w:ascii="Arial" w:eastAsia="Times New Roman" w:hAnsi="Arial" w:cs="Arial"/>
                <w:b/>
                <w:bCs/>
                <w:color w:val="FFFFFF"/>
                <w:sz w:val="20"/>
                <w:szCs w:val="20"/>
                <w:lang w:eastAsia="fr-FR"/>
              </w:rPr>
            </w:pPr>
            <w:r w:rsidRPr="00412095">
              <w:rPr>
                <w:rFonts w:ascii="Arial" w:eastAsia="Times New Roman" w:hAnsi="Arial" w:cs="Arial"/>
                <w:b/>
                <w:bCs/>
                <w:color w:val="FFFFFF"/>
                <w:sz w:val="20"/>
                <w:lang w:eastAsia="fr-FR"/>
              </w:rPr>
              <w:t>National</w:t>
            </w:r>
          </w:p>
        </w:tc>
        <w:tc>
          <w:tcPr>
            <w:tcW w:w="492" w:type="pct"/>
            <w:tcBorders>
              <w:top w:val="nil"/>
              <w:left w:val="nil"/>
              <w:bottom w:val="single" w:sz="4" w:space="0" w:color="auto"/>
              <w:right w:val="single" w:sz="4" w:space="0" w:color="auto"/>
            </w:tcBorders>
            <w:shd w:val="clear" w:color="auto" w:fill="1F497D"/>
            <w:vAlign w:val="center"/>
            <w:hideMark/>
          </w:tcPr>
          <w:p w14:paraId="53A92D13" w14:textId="77777777" w:rsidR="001D3A29" w:rsidRPr="00412095" w:rsidRDefault="001D3A29" w:rsidP="00637007">
            <w:pPr>
              <w:spacing w:after="0" w:line="240" w:lineRule="auto"/>
              <w:jc w:val="right"/>
              <w:rPr>
                <w:rFonts w:ascii="Arial" w:eastAsia="Times New Roman" w:hAnsi="Arial" w:cs="Arial"/>
                <w:b/>
                <w:bCs/>
                <w:color w:val="FFFFFF"/>
                <w:sz w:val="20"/>
                <w:szCs w:val="20"/>
                <w:lang w:eastAsia="fr-FR"/>
              </w:rPr>
            </w:pPr>
            <w:r w:rsidRPr="00412095">
              <w:rPr>
                <w:rFonts w:ascii="Arial" w:eastAsia="Times New Roman" w:hAnsi="Arial" w:cs="Arial"/>
                <w:b/>
                <w:bCs/>
                <w:color w:val="FFFFFF"/>
                <w:sz w:val="20"/>
                <w:lang w:eastAsia="fr-FR"/>
              </w:rPr>
              <w:t>8</w:t>
            </w:r>
          </w:p>
        </w:tc>
        <w:tc>
          <w:tcPr>
            <w:tcW w:w="475" w:type="pct"/>
            <w:tcBorders>
              <w:top w:val="nil"/>
              <w:left w:val="nil"/>
              <w:bottom w:val="single" w:sz="4" w:space="0" w:color="auto"/>
              <w:right w:val="single" w:sz="4" w:space="0" w:color="auto"/>
            </w:tcBorders>
            <w:shd w:val="clear" w:color="auto" w:fill="1F497D"/>
            <w:vAlign w:val="center"/>
            <w:hideMark/>
          </w:tcPr>
          <w:p w14:paraId="1C330B25" w14:textId="77777777" w:rsidR="001D3A29" w:rsidRPr="00412095" w:rsidRDefault="001D3A29" w:rsidP="00637007">
            <w:pPr>
              <w:spacing w:after="0" w:line="240" w:lineRule="auto"/>
              <w:jc w:val="right"/>
              <w:rPr>
                <w:rFonts w:ascii="Arial" w:eastAsia="Times New Roman" w:hAnsi="Arial" w:cs="Arial"/>
                <w:b/>
                <w:bCs/>
                <w:color w:val="FFFFFF"/>
                <w:sz w:val="20"/>
                <w:szCs w:val="20"/>
                <w:lang w:eastAsia="fr-FR"/>
              </w:rPr>
            </w:pPr>
            <w:r w:rsidRPr="00412095">
              <w:rPr>
                <w:rFonts w:ascii="Arial" w:eastAsia="Times New Roman" w:hAnsi="Arial" w:cs="Arial"/>
                <w:b/>
                <w:bCs/>
                <w:color w:val="FFFFFF"/>
                <w:sz w:val="20"/>
                <w:lang w:eastAsia="fr-FR"/>
              </w:rPr>
              <w:t>5</w:t>
            </w:r>
          </w:p>
        </w:tc>
        <w:tc>
          <w:tcPr>
            <w:tcW w:w="492" w:type="pct"/>
            <w:tcBorders>
              <w:top w:val="nil"/>
              <w:left w:val="nil"/>
              <w:bottom w:val="single" w:sz="4" w:space="0" w:color="auto"/>
              <w:right w:val="single" w:sz="4" w:space="0" w:color="auto"/>
            </w:tcBorders>
            <w:shd w:val="clear" w:color="auto" w:fill="1F497D"/>
            <w:vAlign w:val="center"/>
            <w:hideMark/>
          </w:tcPr>
          <w:p w14:paraId="6D3F4ABA" w14:textId="77777777" w:rsidR="001D3A29" w:rsidRPr="00412095" w:rsidRDefault="001D3A29" w:rsidP="00637007">
            <w:pPr>
              <w:spacing w:after="0" w:line="240" w:lineRule="auto"/>
              <w:jc w:val="right"/>
              <w:rPr>
                <w:rFonts w:ascii="Arial" w:eastAsia="Times New Roman" w:hAnsi="Arial" w:cs="Arial"/>
                <w:b/>
                <w:bCs/>
                <w:color w:val="FFFFFF"/>
                <w:sz w:val="20"/>
                <w:szCs w:val="20"/>
                <w:lang w:eastAsia="fr-FR"/>
              </w:rPr>
            </w:pPr>
            <w:r w:rsidRPr="00412095">
              <w:rPr>
                <w:rFonts w:ascii="Arial" w:eastAsia="Times New Roman" w:hAnsi="Arial" w:cs="Arial"/>
                <w:b/>
                <w:bCs/>
                <w:color w:val="FFFFFF"/>
                <w:sz w:val="20"/>
                <w:lang w:eastAsia="fr-FR"/>
              </w:rPr>
              <w:t>56</w:t>
            </w:r>
          </w:p>
        </w:tc>
        <w:tc>
          <w:tcPr>
            <w:tcW w:w="475" w:type="pct"/>
            <w:tcBorders>
              <w:top w:val="nil"/>
              <w:left w:val="nil"/>
              <w:bottom w:val="single" w:sz="4" w:space="0" w:color="auto"/>
              <w:right w:val="single" w:sz="4" w:space="0" w:color="auto"/>
            </w:tcBorders>
            <w:shd w:val="clear" w:color="auto" w:fill="1F497D"/>
            <w:vAlign w:val="center"/>
            <w:hideMark/>
          </w:tcPr>
          <w:p w14:paraId="3022BBEE" w14:textId="77777777" w:rsidR="001D3A29" w:rsidRPr="00412095" w:rsidRDefault="001D3A29" w:rsidP="00637007">
            <w:pPr>
              <w:spacing w:after="0" w:line="240" w:lineRule="auto"/>
              <w:jc w:val="right"/>
              <w:rPr>
                <w:rFonts w:ascii="Arial" w:eastAsia="Times New Roman" w:hAnsi="Arial" w:cs="Arial"/>
                <w:b/>
                <w:bCs/>
                <w:color w:val="FFFFFF"/>
                <w:sz w:val="20"/>
                <w:szCs w:val="20"/>
                <w:lang w:eastAsia="fr-FR"/>
              </w:rPr>
            </w:pPr>
            <w:r w:rsidRPr="00412095">
              <w:rPr>
                <w:rFonts w:ascii="Arial" w:eastAsia="Times New Roman" w:hAnsi="Arial" w:cs="Arial"/>
                <w:b/>
                <w:bCs/>
                <w:color w:val="FFFFFF"/>
                <w:sz w:val="20"/>
                <w:lang w:eastAsia="fr-FR"/>
              </w:rPr>
              <w:t>49</w:t>
            </w:r>
          </w:p>
        </w:tc>
        <w:tc>
          <w:tcPr>
            <w:tcW w:w="492" w:type="pct"/>
            <w:tcBorders>
              <w:top w:val="nil"/>
              <w:left w:val="nil"/>
              <w:bottom w:val="single" w:sz="4" w:space="0" w:color="auto"/>
              <w:right w:val="single" w:sz="4" w:space="0" w:color="auto"/>
            </w:tcBorders>
            <w:shd w:val="clear" w:color="auto" w:fill="1F497D"/>
            <w:vAlign w:val="center"/>
            <w:hideMark/>
          </w:tcPr>
          <w:p w14:paraId="3F9064C4" w14:textId="77777777" w:rsidR="001D3A29" w:rsidRPr="00412095" w:rsidRDefault="001D3A29" w:rsidP="00637007">
            <w:pPr>
              <w:spacing w:after="0" w:line="240" w:lineRule="auto"/>
              <w:jc w:val="right"/>
              <w:rPr>
                <w:rFonts w:ascii="Arial" w:eastAsia="Times New Roman" w:hAnsi="Arial" w:cs="Arial"/>
                <w:b/>
                <w:bCs/>
                <w:color w:val="FFFFFF"/>
                <w:sz w:val="20"/>
                <w:szCs w:val="20"/>
                <w:lang w:eastAsia="fr-FR"/>
              </w:rPr>
            </w:pPr>
            <w:r w:rsidRPr="00412095">
              <w:rPr>
                <w:rFonts w:ascii="Arial" w:eastAsia="Times New Roman" w:hAnsi="Arial" w:cs="Arial"/>
                <w:b/>
                <w:bCs/>
                <w:color w:val="FFFFFF"/>
                <w:sz w:val="20"/>
                <w:lang w:eastAsia="fr-FR"/>
              </w:rPr>
              <w:t>12</w:t>
            </w:r>
          </w:p>
        </w:tc>
        <w:tc>
          <w:tcPr>
            <w:tcW w:w="475" w:type="pct"/>
            <w:tcBorders>
              <w:top w:val="nil"/>
              <w:left w:val="nil"/>
              <w:bottom w:val="single" w:sz="4" w:space="0" w:color="auto"/>
              <w:right w:val="single" w:sz="4" w:space="0" w:color="auto"/>
            </w:tcBorders>
            <w:shd w:val="clear" w:color="auto" w:fill="1F497D"/>
            <w:vAlign w:val="center"/>
            <w:hideMark/>
          </w:tcPr>
          <w:p w14:paraId="21767BBC" w14:textId="77777777" w:rsidR="001D3A29" w:rsidRPr="00412095" w:rsidRDefault="001D3A29" w:rsidP="00637007">
            <w:pPr>
              <w:spacing w:after="0" w:line="240" w:lineRule="auto"/>
              <w:jc w:val="right"/>
              <w:rPr>
                <w:rFonts w:ascii="Arial" w:eastAsia="Times New Roman" w:hAnsi="Arial" w:cs="Arial"/>
                <w:b/>
                <w:bCs/>
                <w:color w:val="FFFFFF"/>
                <w:sz w:val="20"/>
                <w:szCs w:val="20"/>
                <w:lang w:eastAsia="fr-FR"/>
              </w:rPr>
            </w:pPr>
            <w:r w:rsidRPr="00412095">
              <w:rPr>
                <w:rFonts w:ascii="Arial" w:eastAsia="Times New Roman" w:hAnsi="Arial" w:cs="Arial"/>
                <w:b/>
                <w:bCs/>
                <w:color w:val="FFFFFF"/>
                <w:sz w:val="20"/>
                <w:lang w:eastAsia="fr-FR"/>
              </w:rPr>
              <w:t>8</w:t>
            </w:r>
          </w:p>
        </w:tc>
        <w:tc>
          <w:tcPr>
            <w:tcW w:w="492" w:type="pct"/>
            <w:tcBorders>
              <w:top w:val="nil"/>
              <w:left w:val="nil"/>
              <w:bottom w:val="single" w:sz="4" w:space="0" w:color="auto"/>
              <w:right w:val="single" w:sz="4" w:space="0" w:color="auto"/>
            </w:tcBorders>
            <w:shd w:val="clear" w:color="auto" w:fill="1F497D"/>
            <w:vAlign w:val="center"/>
            <w:hideMark/>
          </w:tcPr>
          <w:p w14:paraId="5975AE8A" w14:textId="77777777" w:rsidR="001D3A29" w:rsidRPr="00412095" w:rsidRDefault="001D3A29" w:rsidP="00637007">
            <w:pPr>
              <w:spacing w:after="0" w:line="240" w:lineRule="auto"/>
              <w:jc w:val="right"/>
              <w:rPr>
                <w:rFonts w:ascii="Arial" w:eastAsia="Times New Roman" w:hAnsi="Arial" w:cs="Arial"/>
                <w:b/>
                <w:bCs/>
                <w:color w:val="FFFFFF"/>
                <w:sz w:val="20"/>
                <w:szCs w:val="20"/>
                <w:lang w:eastAsia="fr-FR"/>
              </w:rPr>
            </w:pPr>
            <w:r w:rsidRPr="00412095">
              <w:rPr>
                <w:rFonts w:ascii="Arial" w:eastAsia="Times New Roman" w:hAnsi="Arial" w:cs="Arial"/>
                <w:b/>
                <w:bCs/>
                <w:color w:val="FFFFFF"/>
                <w:sz w:val="20"/>
                <w:lang w:eastAsia="fr-FR"/>
              </w:rPr>
              <w:t>7</w:t>
            </w:r>
          </w:p>
        </w:tc>
        <w:tc>
          <w:tcPr>
            <w:tcW w:w="475" w:type="pct"/>
            <w:tcBorders>
              <w:top w:val="nil"/>
              <w:left w:val="nil"/>
              <w:bottom w:val="single" w:sz="4" w:space="0" w:color="auto"/>
              <w:right w:val="single" w:sz="4" w:space="0" w:color="auto"/>
            </w:tcBorders>
            <w:shd w:val="clear" w:color="auto" w:fill="1F497D"/>
            <w:vAlign w:val="center"/>
            <w:hideMark/>
          </w:tcPr>
          <w:p w14:paraId="12B5DCC5" w14:textId="77777777" w:rsidR="001D3A29" w:rsidRPr="00412095" w:rsidRDefault="001D3A29" w:rsidP="00637007">
            <w:pPr>
              <w:spacing w:after="0" w:line="240" w:lineRule="auto"/>
              <w:jc w:val="right"/>
              <w:rPr>
                <w:rFonts w:ascii="Arial" w:eastAsia="Times New Roman" w:hAnsi="Arial" w:cs="Arial"/>
                <w:b/>
                <w:bCs/>
                <w:color w:val="FFFFFF"/>
                <w:sz w:val="20"/>
                <w:szCs w:val="20"/>
                <w:lang w:eastAsia="fr-FR"/>
              </w:rPr>
            </w:pPr>
            <w:r w:rsidRPr="00412095">
              <w:rPr>
                <w:rFonts w:ascii="Arial" w:eastAsia="Times New Roman" w:hAnsi="Arial" w:cs="Arial"/>
                <w:b/>
                <w:bCs/>
                <w:color w:val="FFFFFF"/>
                <w:sz w:val="20"/>
                <w:lang w:eastAsia="fr-FR"/>
              </w:rPr>
              <w:t>4</w:t>
            </w:r>
          </w:p>
        </w:tc>
      </w:tr>
    </w:tbl>
    <w:p w14:paraId="589A8B70" w14:textId="77777777" w:rsidR="001D3A29" w:rsidRPr="00E341AA" w:rsidRDefault="001D3A29" w:rsidP="001D3A29">
      <w:pPr>
        <w:jc w:val="both"/>
        <w:rPr>
          <w:rFonts w:ascii="Arial" w:hAnsi="Arial" w:cs="Arial"/>
          <w:i/>
          <w:sz w:val="16"/>
        </w:rPr>
      </w:pPr>
      <w:r w:rsidRPr="00E341AA">
        <w:rPr>
          <w:rFonts w:ascii="Arial" w:hAnsi="Arial" w:cs="Arial"/>
          <w:i/>
          <w:sz w:val="16"/>
        </w:rPr>
        <w:t>Source : INSTAT, 2019</w:t>
      </w:r>
    </w:p>
    <w:p w14:paraId="3BE43CCD" w14:textId="77777777" w:rsidR="001D3A29" w:rsidRPr="00656722" w:rsidRDefault="001D3A29" w:rsidP="00F01166">
      <w:pPr>
        <w:spacing w:after="0"/>
        <w:jc w:val="both"/>
        <w:rPr>
          <w:rFonts w:ascii="Arial" w:hAnsi="Arial" w:cs="Arial"/>
          <w:color w:val="FF0000"/>
        </w:rPr>
      </w:pPr>
    </w:p>
    <w:p w14:paraId="3DFD5AA4" w14:textId="77777777" w:rsidR="00536F83" w:rsidRPr="00AA39E5" w:rsidRDefault="00AA39E5" w:rsidP="00F01166">
      <w:pPr>
        <w:pStyle w:val="TIT3"/>
        <w:numPr>
          <w:ilvl w:val="2"/>
          <w:numId w:val="177"/>
        </w:numPr>
        <w:spacing w:before="0" w:beforeAutospacing="0" w:after="100"/>
      </w:pPr>
      <w:bookmarkStart w:id="484" w:name="_Toc124314686"/>
      <w:bookmarkStart w:id="485" w:name="_Toc124956164"/>
      <w:bookmarkStart w:id="486" w:name="_Toc125384563"/>
      <w:bookmarkStart w:id="487" w:name="_Toc125384952"/>
      <w:bookmarkStart w:id="488" w:name="_Toc127957624"/>
      <w:r w:rsidRPr="00AA39E5">
        <w:t>Statut des femmes et violence basée sur le genre</w:t>
      </w:r>
      <w:bookmarkEnd w:id="484"/>
      <w:bookmarkEnd w:id="485"/>
      <w:bookmarkEnd w:id="486"/>
      <w:bookmarkEnd w:id="487"/>
      <w:bookmarkEnd w:id="488"/>
    </w:p>
    <w:p w14:paraId="3B8B1B12" w14:textId="77777777" w:rsidR="00536F83" w:rsidRPr="007A11DD" w:rsidRDefault="00AA39E5" w:rsidP="0044500E">
      <w:pPr>
        <w:pStyle w:val="TIT40"/>
        <w:numPr>
          <w:ilvl w:val="3"/>
          <w:numId w:val="177"/>
        </w:numPr>
        <w:outlineLvl w:val="3"/>
      </w:pPr>
      <w:bookmarkStart w:id="489" w:name="_Toc124314687"/>
      <w:bookmarkStart w:id="490" w:name="_Toc124956165"/>
      <w:bookmarkStart w:id="491" w:name="_Toc125384564"/>
      <w:bookmarkStart w:id="492" w:name="_Toc125384953"/>
      <w:bookmarkStart w:id="493" w:name="_Toc127957625"/>
      <w:r w:rsidRPr="007A11DD">
        <w:t>Statut des femmes</w:t>
      </w:r>
      <w:bookmarkEnd w:id="489"/>
      <w:bookmarkEnd w:id="490"/>
      <w:bookmarkEnd w:id="491"/>
      <w:bookmarkEnd w:id="492"/>
      <w:bookmarkEnd w:id="493"/>
    </w:p>
    <w:p w14:paraId="629A650B" w14:textId="77777777" w:rsidR="00E341AA" w:rsidRDefault="00BD60DD" w:rsidP="00656722">
      <w:pPr>
        <w:jc w:val="both"/>
        <w:rPr>
          <w:rFonts w:ascii="Arial" w:hAnsi="Arial" w:cs="Arial"/>
          <w:color w:val="FF0000"/>
        </w:rPr>
      </w:pPr>
      <w:r w:rsidRPr="00EC002F">
        <w:rPr>
          <w:rFonts w:ascii="Arial" w:hAnsi="Arial" w:cs="Arial"/>
        </w:rPr>
        <w:t>Les</w:t>
      </w:r>
      <w:r w:rsidR="00AA39E5" w:rsidRPr="00EC002F">
        <w:rPr>
          <w:rFonts w:ascii="Arial" w:hAnsi="Arial" w:cs="Arial"/>
        </w:rPr>
        <w:t xml:space="preserve"> femmes malagasy </w:t>
      </w:r>
      <w:r w:rsidRPr="00EC002F">
        <w:rPr>
          <w:rFonts w:ascii="Arial" w:hAnsi="Arial" w:cs="Arial"/>
        </w:rPr>
        <w:t>sont</w:t>
      </w:r>
      <w:r w:rsidR="00AA39E5" w:rsidRPr="00EC002F">
        <w:rPr>
          <w:rFonts w:ascii="Arial" w:hAnsi="Arial" w:cs="Arial"/>
        </w:rPr>
        <w:t xml:space="preserve"> au cœur du développement et ont constitué une véritable force de travail. En effet, elles ont toujours contribué à la production de richesse aussi bien au niveau familial que national</w:t>
      </w:r>
      <w:r w:rsidR="00E341AA">
        <w:rPr>
          <w:rFonts w:ascii="Arial" w:hAnsi="Arial" w:cs="Arial"/>
        </w:rPr>
        <w:t>.</w:t>
      </w:r>
      <w:r w:rsidR="00AA39E5" w:rsidRPr="00EC002F">
        <w:rPr>
          <w:rFonts w:ascii="Arial" w:hAnsi="Arial" w:cs="Arial"/>
        </w:rPr>
        <w:t xml:space="preserve"> Dans certains cas, les femmes constituent le soutien de</w:t>
      </w:r>
      <w:r w:rsidRPr="00EC002F">
        <w:rPr>
          <w:rFonts w:ascii="Arial" w:hAnsi="Arial" w:cs="Arial"/>
        </w:rPr>
        <w:t xml:space="preserve"> toute la famille et en assurent la survie</w:t>
      </w:r>
      <w:r w:rsidR="00E341AA">
        <w:rPr>
          <w:rFonts w:ascii="Arial" w:hAnsi="Arial" w:cs="Arial"/>
          <w:color w:val="FF0000"/>
        </w:rPr>
        <w:t>.</w:t>
      </w:r>
    </w:p>
    <w:p w14:paraId="5823393A" w14:textId="77777777" w:rsidR="00AA39E5" w:rsidRPr="00EC002F" w:rsidRDefault="00BD60DD" w:rsidP="00656722">
      <w:pPr>
        <w:jc w:val="both"/>
        <w:rPr>
          <w:rFonts w:ascii="Arial" w:hAnsi="Arial" w:cs="Arial"/>
        </w:rPr>
      </w:pPr>
      <w:r w:rsidRPr="00EC002F">
        <w:rPr>
          <w:rFonts w:ascii="Arial" w:hAnsi="Arial" w:cs="Arial"/>
        </w:rPr>
        <w:t>En milieu rural, la femme connaît un surcroît de travail et de responsabilités à cause de la crise et de l’exode des hommes. En plus des tâches domestiques et des travaux agricoles qui sont déjà très éprouvants, elle travaille dans le secteur informel afin de subvenir aux besoins de la famille.</w:t>
      </w:r>
    </w:p>
    <w:p w14:paraId="5A5744EE" w14:textId="77777777" w:rsidR="00BD60DD" w:rsidRPr="00EC002F" w:rsidRDefault="00BD60DD" w:rsidP="00656722">
      <w:pPr>
        <w:jc w:val="both"/>
        <w:rPr>
          <w:rFonts w:ascii="Arial" w:hAnsi="Arial" w:cs="Arial"/>
        </w:rPr>
      </w:pPr>
      <w:r w:rsidRPr="00EC002F">
        <w:rPr>
          <w:rFonts w:ascii="Arial" w:hAnsi="Arial" w:cs="Arial"/>
        </w:rPr>
        <w:t>Les femmes malagasy occupent en grande majorité des positions marginales dans l’environnement socioculturel et dans les politiques de développement. Elles ont un accès limité aux opportunités d’investissement et d’emploi et aux ressources comme le foncier ou l’héritage. De ce fait, elles se retrouvent dans des conditions de vie précaire et sont exposées à toutes sortes d’abus et d’exploitation, dont les violences basées sur le genre.</w:t>
      </w:r>
    </w:p>
    <w:p w14:paraId="60FC36A6" w14:textId="77777777" w:rsidR="00AA39E5" w:rsidRPr="00F91FA3" w:rsidRDefault="00AA39E5" w:rsidP="0044500E">
      <w:pPr>
        <w:pStyle w:val="TIT40"/>
        <w:numPr>
          <w:ilvl w:val="3"/>
          <w:numId w:val="177"/>
        </w:numPr>
        <w:outlineLvl w:val="3"/>
      </w:pPr>
      <w:bookmarkStart w:id="494" w:name="_Toc124312698"/>
      <w:bookmarkStart w:id="495" w:name="_Toc124314209"/>
      <w:bookmarkStart w:id="496" w:name="_Toc124314688"/>
      <w:bookmarkStart w:id="497" w:name="_Toc124315176"/>
      <w:bookmarkStart w:id="498" w:name="_Toc124315416"/>
      <w:bookmarkStart w:id="499" w:name="_Toc124315656"/>
      <w:bookmarkStart w:id="500" w:name="_Toc124315896"/>
      <w:bookmarkStart w:id="501" w:name="_Toc124316139"/>
      <w:bookmarkStart w:id="502" w:name="_Toc124316384"/>
      <w:bookmarkStart w:id="503" w:name="_Toc124316631"/>
      <w:bookmarkStart w:id="504" w:name="_Toc124316886"/>
      <w:bookmarkStart w:id="505" w:name="_Toc124314689"/>
      <w:bookmarkStart w:id="506" w:name="_Toc124956166"/>
      <w:bookmarkStart w:id="507" w:name="_Toc125384565"/>
      <w:bookmarkStart w:id="508" w:name="_Toc125384954"/>
      <w:bookmarkStart w:id="509" w:name="_Toc127957626"/>
      <w:bookmarkEnd w:id="494"/>
      <w:bookmarkEnd w:id="495"/>
      <w:bookmarkEnd w:id="496"/>
      <w:bookmarkEnd w:id="497"/>
      <w:bookmarkEnd w:id="498"/>
      <w:bookmarkEnd w:id="499"/>
      <w:bookmarkEnd w:id="500"/>
      <w:bookmarkEnd w:id="501"/>
      <w:bookmarkEnd w:id="502"/>
      <w:bookmarkEnd w:id="503"/>
      <w:bookmarkEnd w:id="504"/>
      <w:r w:rsidRPr="00F91FA3">
        <w:t>Violence</w:t>
      </w:r>
      <w:r w:rsidR="00057CD2">
        <w:t>s</w:t>
      </w:r>
      <w:r w:rsidRPr="00F91FA3">
        <w:t xml:space="preserve"> basée</w:t>
      </w:r>
      <w:r w:rsidR="00057CD2">
        <w:t>s</w:t>
      </w:r>
      <w:r w:rsidRPr="00F91FA3">
        <w:t xml:space="preserve"> sur le genre</w:t>
      </w:r>
      <w:bookmarkEnd w:id="505"/>
      <w:bookmarkEnd w:id="506"/>
      <w:bookmarkEnd w:id="507"/>
      <w:bookmarkEnd w:id="508"/>
      <w:bookmarkEnd w:id="509"/>
    </w:p>
    <w:p w14:paraId="46C9767D" w14:textId="77777777" w:rsidR="004C72B9" w:rsidRDefault="00AA39E5" w:rsidP="00E85EBC">
      <w:pPr>
        <w:jc w:val="both"/>
        <w:rPr>
          <w:rFonts w:ascii="Arial" w:hAnsi="Arial" w:cs="Arial"/>
        </w:rPr>
      </w:pPr>
      <w:r w:rsidRPr="00EC002F">
        <w:rPr>
          <w:rFonts w:ascii="Arial" w:hAnsi="Arial" w:cs="Arial"/>
        </w:rPr>
        <w:t xml:space="preserve">Les violences basées sur le genre (VBG) constituent une violation des droits humains. Madagascar n’est pas épargné par ce fléau qui n’a cessé de s’amplifier </w:t>
      </w:r>
      <w:r w:rsidR="00D037B9">
        <w:rPr>
          <w:rFonts w:ascii="Arial" w:hAnsi="Arial" w:cs="Arial"/>
        </w:rPr>
        <w:t>à la suite des</w:t>
      </w:r>
      <w:r w:rsidRPr="00EC002F">
        <w:rPr>
          <w:rFonts w:ascii="Arial" w:hAnsi="Arial" w:cs="Arial"/>
        </w:rPr>
        <w:t xml:space="preserve"> crises sociopolitiques qui ont frappé le pays ces dernières années.</w:t>
      </w:r>
      <w:r w:rsidR="003E0CB3" w:rsidRPr="003E0CB3">
        <w:rPr>
          <w:rFonts w:ascii="Arial" w:hAnsi="Arial" w:cs="Arial"/>
        </w:rPr>
        <w:t xml:space="preserve"> </w:t>
      </w:r>
      <w:r w:rsidR="004C72B9">
        <w:rPr>
          <w:rFonts w:ascii="Arial" w:hAnsi="Arial" w:cs="Arial"/>
        </w:rPr>
        <w:t>A Madagascar, 41% des femmes et 29% des hommes pense</w:t>
      </w:r>
      <w:r w:rsidR="00B95ABA">
        <w:rPr>
          <w:rFonts w:ascii="Arial" w:hAnsi="Arial" w:cs="Arial"/>
        </w:rPr>
        <w:t xml:space="preserve">nt </w:t>
      </w:r>
      <w:r w:rsidR="004C72B9">
        <w:rPr>
          <w:rFonts w:ascii="Arial" w:hAnsi="Arial" w:cs="Arial"/>
        </w:rPr>
        <w:t xml:space="preserve">que les hommes ont le droit de battre leurs femmes pour </w:t>
      </w:r>
      <w:r w:rsidR="007B0915">
        <w:rPr>
          <w:rFonts w:ascii="Arial" w:hAnsi="Arial" w:cs="Arial"/>
        </w:rPr>
        <w:t>des raisons de négligence dans les activités domestique</w:t>
      </w:r>
      <w:r w:rsidR="00B95ABA">
        <w:rPr>
          <w:rFonts w:ascii="Arial" w:hAnsi="Arial" w:cs="Arial"/>
        </w:rPr>
        <w:t>s,</w:t>
      </w:r>
      <w:r w:rsidR="007B0915">
        <w:rPr>
          <w:rFonts w:ascii="Arial" w:hAnsi="Arial" w:cs="Arial"/>
        </w:rPr>
        <w:t xml:space="preserve"> négligence des enfants, refus d’avoir un rapport sexuel</w:t>
      </w:r>
      <w:r w:rsidR="007B0915">
        <w:rPr>
          <w:rStyle w:val="Appelnotedebasdep"/>
          <w:rFonts w:ascii="Arial" w:hAnsi="Arial" w:cs="Arial"/>
        </w:rPr>
        <w:footnoteReference w:id="65"/>
      </w:r>
      <w:r w:rsidR="007B0915">
        <w:rPr>
          <w:rFonts w:ascii="Arial" w:hAnsi="Arial" w:cs="Arial"/>
        </w:rPr>
        <w:t xml:space="preserve">.  </w:t>
      </w:r>
    </w:p>
    <w:p w14:paraId="39D380BD" w14:textId="77777777" w:rsidR="004C72B9" w:rsidRDefault="003E0CB3" w:rsidP="00E85EBC">
      <w:pPr>
        <w:jc w:val="both"/>
        <w:rPr>
          <w:rFonts w:ascii="Arial" w:hAnsi="Arial" w:cs="Arial"/>
        </w:rPr>
      </w:pPr>
      <w:r w:rsidRPr="004943F6">
        <w:rPr>
          <w:rFonts w:ascii="Arial" w:hAnsi="Arial" w:cs="Arial"/>
        </w:rPr>
        <w:t>Force est de constater que les cas de violences rapporté</w:t>
      </w:r>
      <w:r w:rsidR="00D037B9">
        <w:rPr>
          <w:rFonts w:ascii="Arial" w:hAnsi="Arial" w:cs="Arial"/>
        </w:rPr>
        <w:t>e</w:t>
      </w:r>
      <w:r w:rsidRPr="004943F6">
        <w:rPr>
          <w:rFonts w:ascii="Arial" w:hAnsi="Arial" w:cs="Arial"/>
        </w:rPr>
        <w:t>s sont dans une certaine mesure à un niveau inférieur par rapport à la tendance nationale. Les valeurs rapportées sont issues des enquêtes nationales MICS en 2018</w:t>
      </w:r>
      <w:r w:rsidR="00E85EBC">
        <w:rPr>
          <w:rStyle w:val="Appelnotedebasdep"/>
          <w:rFonts w:ascii="Arial" w:hAnsi="Arial" w:cs="Arial"/>
        </w:rPr>
        <w:footnoteReference w:id="66"/>
      </w:r>
      <w:r w:rsidRPr="004943F6">
        <w:rPr>
          <w:rFonts w:ascii="Arial" w:hAnsi="Arial" w:cs="Arial"/>
        </w:rPr>
        <w:t>.</w:t>
      </w:r>
      <w:r>
        <w:rPr>
          <w:rFonts w:ascii="Arial" w:hAnsi="Arial" w:cs="Arial"/>
        </w:rPr>
        <w:t xml:space="preserve"> </w:t>
      </w:r>
    </w:p>
    <w:p w14:paraId="01FE98A6" w14:textId="77777777" w:rsidR="003E0CB3" w:rsidRDefault="003E0CB3" w:rsidP="00E85EBC">
      <w:pPr>
        <w:jc w:val="both"/>
        <w:rPr>
          <w:rFonts w:ascii="Arial" w:hAnsi="Arial" w:cs="Arial"/>
        </w:rPr>
      </w:pPr>
      <w:r w:rsidRPr="004943F6">
        <w:rPr>
          <w:rFonts w:ascii="Arial" w:hAnsi="Arial" w:cs="Arial"/>
        </w:rPr>
        <w:t>En effet, le pourcentage d</w:t>
      </w:r>
      <w:r>
        <w:rPr>
          <w:rFonts w:ascii="Arial" w:hAnsi="Arial" w:cs="Arial"/>
        </w:rPr>
        <w:t>es femmes victimes de violences est estimé à 41%. Le dénombrement de la violence envers les femmes est comme suit</w:t>
      </w:r>
      <w:r w:rsidR="00B95ABA">
        <w:rPr>
          <w:rFonts w:ascii="Arial" w:hAnsi="Arial" w:cs="Arial"/>
        </w:rPr>
        <w:t xml:space="preserve"> : </w:t>
      </w:r>
    </w:p>
    <w:p w14:paraId="1F32BE72" w14:textId="77777777" w:rsidR="003E0CB3" w:rsidRPr="003E0CB3" w:rsidRDefault="003E0CB3" w:rsidP="00687DD2">
      <w:pPr>
        <w:pStyle w:val="Paragraphedeliste"/>
        <w:numPr>
          <w:ilvl w:val="0"/>
          <w:numId w:val="41"/>
        </w:numPr>
        <w:jc w:val="both"/>
        <w:rPr>
          <w:rFonts w:ascii="Arial" w:hAnsi="Arial" w:cs="Arial"/>
        </w:rPr>
      </w:pPr>
      <w:r w:rsidRPr="003E0CB3">
        <w:rPr>
          <w:rFonts w:ascii="Arial" w:hAnsi="Arial" w:cs="Arial"/>
        </w:rPr>
        <w:t>34% des femmes ayant déclaré avoir subi une violence émotionnelle</w:t>
      </w:r>
      <w:r w:rsidR="007620EA">
        <w:rPr>
          <w:rFonts w:ascii="Arial" w:hAnsi="Arial" w:cs="Arial"/>
        </w:rPr>
        <w:t> ;</w:t>
      </w:r>
    </w:p>
    <w:p w14:paraId="78C0E059" w14:textId="77777777" w:rsidR="003E0CB3" w:rsidRPr="003E0CB3" w:rsidRDefault="003E0CB3" w:rsidP="00687DD2">
      <w:pPr>
        <w:pStyle w:val="Paragraphedeliste"/>
        <w:numPr>
          <w:ilvl w:val="0"/>
          <w:numId w:val="41"/>
        </w:numPr>
        <w:jc w:val="both"/>
        <w:rPr>
          <w:rFonts w:ascii="Arial" w:hAnsi="Arial" w:cs="Arial"/>
        </w:rPr>
      </w:pPr>
      <w:r w:rsidRPr="003E0CB3">
        <w:rPr>
          <w:rFonts w:ascii="Arial" w:hAnsi="Arial" w:cs="Arial"/>
        </w:rPr>
        <w:t>23% déclare être victime de violence physique</w:t>
      </w:r>
      <w:r w:rsidR="007620EA">
        <w:rPr>
          <w:rFonts w:ascii="Arial" w:hAnsi="Arial" w:cs="Arial"/>
        </w:rPr>
        <w:t> ;</w:t>
      </w:r>
    </w:p>
    <w:p w14:paraId="1A6BAB5F" w14:textId="77777777" w:rsidR="003E0CB3" w:rsidRPr="003E0CB3" w:rsidRDefault="003E0CB3" w:rsidP="00687DD2">
      <w:pPr>
        <w:pStyle w:val="Paragraphedeliste"/>
        <w:numPr>
          <w:ilvl w:val="0"/>
          <w:numId w:val="41"/>
        </w:numPr>
        <w:jc w:val="both"/>
        <w:rPr>
          <w:rFonts w:ascii="Arial" w:hAnsi="Arial" w:cs="Arial"/>
        </w:rPr>
      </w:pPr>
      <w:r w:rsidRPr="003E0CB3">
        <w:rPr>
          <w:rFonts w:ascii="Arial" w:hAnsi="Arial" w:cs="Arial"/>
        </w:rPr>
        <w:t>11% sont victimes de violence sexuelle</w:t>
      </w:r>
      <w:r w:rsidR="007620EA">
        <w:rPr>
          <w:rFonts w:ascii="Arial" w:hAnsi="Arial" w:cs="Arial"/>
        </w:rPr>
        <w:t>.</w:t>
      </w:r>
    </w:p>
    <w:p w14:paraId="2F9A2ADD" w14:textId="77777777" w:rsidR="003E0CB3" w:rsidRDefault="003E0CB3" w:rsidP="003E0CB3">
      <w:pPr>
        <w:jc w:val="both"/>
        <w:rPr>
          <w:rFonts w:ascii="Arial" w:hAnsi="Arial" w:cs="Arial"/>
        </w:rPr>
      </w:pPr>
      <w:r>
        <w:rPr>
          <w:rFonts w:ascii="Arial" w:hAnsi="Arial" w:cs="Arial"/>
        </w:rPr>
        <w:t>Suivant l</w:t>
      </w:r>
      <w:r w:rsidR="007620EA">
        <w:rPr>
          <w:rFonts w:ascii="Arial" w:hAnsi="Arial" w:cs="Arial"/>
        </w:rPr>
        <w:t>es</w:t>
      </w:r>
      <w:r>
        <w:rPr>
          <w:rFonts w:ascii="Arial" w:hAnsi="Arial" w:cs="Arial"/>
        </w:rPr>
        <w:t xml:space="preserve"> Région</w:t>
      </w:r>
      <w:r w:rsidR="007620EA">
        <w:rPr>
          <w:rFonts w:ascii="Arial" w:hAnsi="Arial" w:cs="Arial"/>
        </w:rPr>
        <w:t>s,</w:t>
      </w:r>
      <w:r>
        <w:rPr>
          <w:rFonts w:ascii="Arial" w:hAnsi="Arial" w:cs="Arial"/>
        </w:rPr>
        <w:t xml:space="preserve"> il est constaté que la violence envers les femmes est plus fréquente dans </w:t>
      </w:r>
      <w:r w:rsidR="007620EA">
        <w:rPr>
          <w:rFonts w:ascii="Arial" w:hAnsi="Arial" w:cs="Arial"/>
        </w:rPr>
        <w:t>la région d’Analamanga</w:t>
      </w:r>
      <w:r w:rsidR="00700E61">
        <w:rPr>
          <w:rFonts w:ascii="Arial" w:hAnsi="Arial" w:cs="Arial"/>
        </w:rPr>
        <w:t xml:space="preserve"> où le taux de VBG atteint plus de </w:t>
      </w:r>
      <w:r w:rsidR="00C05389">
        <w:rPr>
          <w:rFonts w:ascii="Arial" w:hAnsi="Arial" w:cs="Arial"/>
        </w:rPr>
        <w:t>de 45</w:t>
      </w:r>
      <w:r w:rsidR="00700E61">
        <w:rPr>
          <w:rFonts w:ascii="Arial" w:hAnsi="Arial" w:cs="Arial"/>
        </w:rPr>
        <w:t xml:space="preserve">%. </w:t>
      </w:r>
    </w:p>
    <w:p w14:paraId="486B2179" w14:textId="77777777" w:rsidR="003E0CB3" w:rsidRDefault="00E85EBC" w:rsidP="003E0CB3">
      <w:pPr>
        <w:jc w:val="both"/>
        <w:rPr>
          <w:rFonts w:ascii="Arial" w:hAnsi="Arial" w:cs="Arial"/>
        </w:rPr>
      </w:pPr>
      <w:r w:rsidRPr="00E85EBC">
        <w:rPr>
          <w:rFonts w:ascii="Arial" w:hAnsi="Arial" w:cs="Arial"/>
        </w:rPr>
        <w:t>Le tableau suivant renseigne sur les statistiques de toutes les formes de violences conjugables subies par les femmes</w:t>
      </w:r>
      <w:r w:rsidR="00C05389">
        <w:rPr>
          <w:rFonts w:ascii="Arial" w:hAnsi="Arial" w:cs="Arial"/>
        </w:rPr>
        <w:t xml:space="preserve"> au niveau des différentes régions.</w:t>
      </w:r>
    </w:p>
    <w:p w14:paraId="50EFF9D8" w14:textId="77777777" w:rsidR="003E0CB3" w:rsidRPr="00E85EBC" w:rsidRDefault="00E85EBC" w:rsidP="00E85EBC">
      <w:pPr>
        <w:pStyle w:val="Lgende"/>
        <w:jc w:val="center"/>
        <w:rPr>
          <w:sz w:val="20"/>
        </w:rPr>
      </w:pPr>
      <w:bookmarkStart w:id="510" w:name="_Toc127957811"/>
      <w:r w:rsidRPr="00E85EBC">
        <w:rPr>
          <w:sz w:val="20"/>
        </w:rPr>
        <w:t xml:space="preserve">Tableau </w:t>
      </w:r>
      <w:r w:rsidRPr="00E85EBC">
        <w:rPr>
          <w:sz w:val="20"/>
        </w:rPr>
        <w:fldChar w:fldCharType="begin"/>
      </w:r>
      <w:r w:rsidRPr="00E85EBC">
        <w:rPr>
          <w:sz w:val="20"/>
        </w:rPr>
        <w:instrText xml:space="preserve"> SEQ Tableau \* ARABIC </w:instrText>
      </w:r>
      <w:r w:rsidRPr="00E85EBC">
        <w:rPr>
          <w:sz w:val="20"/>
        </w:rPr>
        <w:fldChar w:fldCharType="separate"/>
      </w:r>
      <w:r w:rsidR="005430A1">
        <w:rPr>
          <w:noProof/>
          <w:sz w:val="20"/>
        </w:rPr>
        <w:t>15</w:t>
      </w:r>
      <w:r w:rsidRPr="00E85EBC">
        <w:rPr>
          <w:sz w:val="20"/>
        </w:rPr>
        <w:fldChar w:fldCharType="end"/>
      </w:r>
      <w:r w:rsidRPr="00E85EBC">
        <w:rPr>
          <w:sz w:val="20"/>
        </w:rPr>
        <w:t>. Pourcentage des femmes entre 19 et 45 ans ayant subi les formes de violences conjugales</w:t>
      </w:r>
      <w:bookmarkEnd w:id="510"/>
    </w:p>
    <w:tbl>
      <w:tblPr>
        <w:tblW w:w="8575" w:type="dxa"/>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436"/>
        <w:gridCol w:w="1549"/>
        <w:gridCol w:w="1329"/>
        <w:gridCol w:w="1560"/>
        <w:gridCol w:w="1701"/>
      </w:tblGrid>
      <w:tr w:rsidR="0063584D" w:rsidRPr="007F78CE" w14:paraId="1A869655" w14:textId="77777777" w:rsidTr="007F78CE">
        <w:trPr>
          <w:trHeight w:val="1020"/>
          <w:tblHeader/>
          <w:jc w:val="center"/>
        </w:trPr>
        <w:tc>
          <w:tcPr>
            <w:tcW w:w="2436" w:type="dxa"/>
            <w:shd w:val="clear" w:color="auto" w:fill="4F81BD"/>
            <w:vAlign w:val="center"/>
            <w:hideMark/>
          </w:tcPr>
          <w:p w14:paraId="2150B9F9" w14:textId="77777777" w:rsidR="00700E61" w:rsidRPr="007F78CE" w:rsidRDefault="00700E61" w:rsidP="007F78CE">
            <w:pPr>
              <w:spacing w:after="0" w:line="240" w:lineRule="auto"/>
              <w:ind w:firstLineChars="100" w:firstLine="219"/>
              <w:rPr>
                <w:rFonts w:ascii="Arial" w:eastAsia="Times New Roman" w:hAnsi="Arial" w:cs="Arial"/>
                <w:b/>
                <w:bCs/>
                <w:color w:val="FFFFFF"/>
                <w:lang w:eastAsia="fr-FR"/>
              </w:rPr>
            </w:pPr>
            <w:r w:rsidRPr="007F78CE">
              <w:rPr>
                <w:rFonts w:ascii="Arial" w:eastAsia="Times New Roman" w:hAnsi="Arial" w:cs="Arial"/>
                <w:b/>
                <w:bCs/>
                <w:color w:val="FFFFFF"/>
                <w:spacing w:val="-2"/>
                <w:lang w:eastAsia="fr-FR"/>
              </w:rPr>
              <w:t>Région</w:t>
            </w:r>
          </w:p>
        </w:tc>
        <w:tc>
          <w:tcPr>
            <w:tcW w:w="1549" w:type="dxa"/>
            <w:shd w:val="clear" w:color="auto" w:fill="4F81BD"/>
            <w:vAlign w:val="center"/>
            <w:hideMark/>
          </w:tcPr>
          <w:p w14:paraId="30FB4B84" w14:textId="77777777" w:rsidR="00700E61" w:rsidRPr="007F78CE" w:rsidRDefault="00700E61" w:rsidP="007F78CE">
            <w:pPr>
              <w:spacing w:after="0" w:line="240" w:lineRule="auto"/>
              <w:ind w:firstLineChars="100" w:firstLine="219"/>
              <w:rPr>
                <w:rFonts w:ascii="Arial" w:eastAsia="Times New Roman" w:hAnsi="Arial" w:cs="Arial"/>
                <w:b/>
                <w:bCs/>
                <w:color w:val="FFFFFF"/>
                <w:spacing w:val="-2"/>
                <w:lang w:eastAsia="fr-FR"/>
              </w:rPr>
            </w:pPr>
            <w:r w:rsidRPr="007F78CE">
              <w:rPr>
                <w:rFonts w:ascii="Arial" w:eastAsia="Times New Roman" w:hAnsi="Arial" w:cs="Arial"/>
                <w:b/>
                <w:bCs/>
                <w:color w:val="FFFFFF"/>
                <w:spacing w:val="-2"/>
                <w:lang w:eastAsia="fr-FR"/>
              </w:rPr>
              <w:t>Violence émotionnelle</w:t>
            </w:r>
          </w:p>
        </w:tc>
        <w:tc>
          <w:tcPr>
            <w:tcW w:w="1329" w:type="dxa"/>
            <w:shd w:val="clear" w:color="auto" w:fill="4F81BD"/>
            <w:vAlign w:val="center"/>
            <w:hideMark/>
          </w:tcPr>
          <w:p w14:paraId="338CDA6D" w14:textId="77777777" w:rsidR="00700E61" w:rsidRPr="007F78CE" w:rsidRDefault="00700E61" w:rsidP="007F78CE">
            <w:pPr>
              <w:spacing w:after="0" w:line="240" w:lineRule="auto"/>
              <w:jc w:val="center"/>
              <w:rPr>
                <w:rFonts w:ascii="Arial" w:eastAsia="Times New Roman" w:hAnsi="Arial" w:cs="Arial"/>
                <w:b/>
                <w:bCs/>
                <w:color w:val="FFFFFF"/>
                <w:spacing w:val="-2"/>
                <w:lang w:eastAsia="fr-FR"/>
              </w:rPr>
            </w:pPr>
            <w:r w:rsidRPr="007F78CE">
              <w:rPr>
                <w:rFonts w:ascii="Arial" w:eastAsia="Times New Roman" w:hAnsi="Arial" w:cs="Arial"/>
                <w:b/>
                <w:bCs/>
                <w:color w:val="FFFFFF"/>
                <w:spacing w:val="-2"/>
                <w:lang w:eastAsia="fr-FR"/>
              </w:rPr>
              <w:t>Violence physique</w:t>
            </w:r>
          </w:p>
        </w:tc>
        <w:tc>
          <w:tcPr>
            <w:tcW w:w="1560" w:type="dxa"/>
            <w:shd w:val="clear" w:color="auto" w:fill="4F81BD"/>
            <w:vAlign w:val="center"/>
            <w:hideMark/>
          </w:tcPr>
          <w:p w14:paraId="3DA44869" w14:textId="77777777" w:rsidR="00700E61" w:rsidRPr="007F78CE" w:rsidRDefault="00700E61" w:rsidP="007F78CE">
            <w:pPr>
              <w:spacing w:after="0" w:line="240" w:lineRule="auto"/>
              <w:jc w:val="center"/>
              <w:rPr>
                <w:rFonts w:ascii="Arial" w:eastAsia="Times New Roman" w:hAnsi="Arial" w:cs="Arial"/>
                <w:b/>
                <w:bCs/>
                <w:color w:val="FFFFFF"/>
                <w:spacing w:val="-2"/>
                <w:lang w:eastAsia="fr-FR"/>
              </w:rPr>
            </w:pPr>
            <w:r w:rsidRPr="007F78CE">
              <w:rPr>
                <w:rFonts w:ascii="Arial" w:eastAsia="Times New Roman" w:hAnsi="Arial" w:cs="Arial"/>
                <w:b/>
                <w:bCs/>
                <w:color w:val="FFFFFF"/>
                <w:spacing w:val="-2"/>
                <w:lang w:eastAsia="fr-FR"/>
              </w:rPr>
              <w:t>Violence sexuelle</w:t>
            </w:r>
          </w:p>
        </w:tc>
        <w:tc>
          <w:tcPr>
            <w:tcW w:w="1701" w:type="dxa"/>
            <w:shd w:val="clear" w:color="auto" w:fill="4F81BD"/>
            <w:vAlign w:val="center"/>
            <w:hideMark/>
          </w:tcPr>
          <w:p w14:paraId="627AC28D" w14:textId="77777777" w:rsidR="00700E61" w:rsidRPr="007F78CE" w:rsidRDefault="00700E61" w:rsidP="007F78CE">
            <w:pPr>
              <w:spacing w:after="0" w:line="240" w:lineRule="auto"/>
              <w:jc w:val="center"/>
              <w:rPr>
                <w:rFonts w:ascii="Arial" w:eastAsia="Times New Roman" w:hAnsi="Arial" w:cs="Arial"/>
                <w:b/>
                <w:bCs/>
                <w:color w:val="FFFFFF"/>
                <w:spacing w:val="-2"/>
                <w:lang w:eastAsia="fr-FR"/>
              </w:rPr>
            </w:pPr>
            <w:r w:rsidRPr="007F78CE">
              <w:rPr>
                <w:rFonts w:ascii="Arial" w:eastAsia="Times New Roman" w:hAnsi="Arial" w:cs="Arial"/>
                <w:b/>
                <w:bCs/>
                <w:color w:val="FFFFFF"/>
                <w:spacing w:val="-2"/>
                <w:lang w:eastAsia="fr-FR"/>
              </w:rPr>
              <w:t>Violence physique ou sexuelle</w:t>
            </w:r>
          </w:p>
        </w:tc>
      </w:tr>
      <w:tr w:rsidR="0063584D" w:rsidRPr="007F78CE" w14:paraId="0B5EBB64" w14:textId="77777777" w:rsidTr="007F78CE">
        <w:trPr>
          <w:trHeight w:val="300"/>
          <w:jc w:val="center"/>
        </w:trPr>
        <w:tc>
          <w:tcPr>
            <w:tcW w:w="2436" w:type="dxa"/>
            <w:tcBorders>
              <w:top w:val="single" w:sz="8" w:space="0" w:color="4F81BD"/>
              <w:left w:val="single" w:sz="8" w:space="0" w:color="4F81BD"/>
              <w:bottom w:val="single" w:sz="8" w:space="0" w:color="4F81BD"/>
            </w:tcBorders>
            <w:shd w:val="clear" w:color="auto" w:fill="auto"/>
            <w:hideMark/>
          </w:tcPr>
          <w:p w14:paraId="3841FF10" w14:textId="77777777" w:rsidR="00700E61" w:rsidRPr="007F78CE" w:rsidRDefault="00700E61" w:rsidP="007F78CE">
            <w:pPr>
              <w:spacing w:after="0" w:line="240" w:lineRule="auto"/>
              <w:rPr>
                <w:rFonts w:ascii="Arial" w:eastAsia="Times New Roman" w:hAnsi="Arial" w:cs="Arial"/>
                <w:b/>
                <w:bCs/>
                <w:color w:val="231F20"/>
                <w:lang w:eastAsia="fr-FR"/>
              </w:rPr>
            </w:pPr>
            <w:r w:rsidRPr="007F78CE">
              <w:rPr>
                <w:rFonts w:ascii="Arial" w:eastAsia="Times New Roman" w:hAnsi="Arial" w:cs="Arial"/>
                <w:b/>
                <w:bCs/>
                <w:color w:val="231F20"/>
                <w:spacing w:val="-2"/>
                <w:lang w:eastAsia="fr-FR"/>
              </w:rPr>
              <w:t>Analamanga</w:t>
            </w:r>
          </w:p>
        </w:tc>
        <w:tc>
          <w:tcPr>
            <w:tcW w:w="1549" w:type="dxa"/>
            <w:tcBorders>
              <w:top w:val="single" w:sz="8" w:space="0" w:color="4F81BD"/>
              <w:bottom w:val="single" w:sz="8" w:space="0" w:color="4F81BD"/>
            </w:tcBorders>
            <w:shd w:val="clear" w:color="auto" w:fill="auto"/>
            <w:hideMark/>
          </w:tcPr>
          <w:p w14:paraId="56E2EDE4"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43</w:t>
            </w:r>
          </w:p>
        </w:tc>
        <w:tc>
          <w:tcPr>
            <w:tcW w:w="1329" w:type="dxa"/>
            <w:tcBorders>
              <w:top w:val="single" w:sz="8" w:space="0" w:color="4F81BD"/>
              <w:bottom w:val="single" w:sz="8" w:space="0" w:color="4F81BD"/>
            </w:tcBorders>
            <w:shd w:val="clear" w:color="auto" w:fill="auto"/>
            <w:hideMark/>
          </w:tcPr>
          <w:p w14:paraId="5ACD1EF1"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39</w:t>
            </w:r>
          </w:p>
        </w:tc>
        <w:tc>
          <w:tcPr>
            <w:tcW w:w="1560" w:type="dxa"/>
            <w:tcBorders>
              <w:top w:val="single" w:sz="8" w:space="0" w:color="4F81BD"/>
              <w:bottom w:val="single" w:sz="8" w:space="0" w:color="4F81BD"/>
            </w:tcBorders>
            <w:shd w:val="clear" w:color="auto" w:fill="auto"/>
            <w:hideMark/>
          </w:tcPr>
          <w:p w14:paraId="0A28D899"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18</w:t>
            </w:r>
          </w:p>
        </w:tc>
        <w:tc>
          <w:tcPr>
            <w:tcW w:w="1701" w:type="dxa"/>
            <w:tcBorders>
              <w:top w:val="single" w:sz="8" w:space="0" w:color="4F81BD"/>
              <w:bottom w:val="single" w:sz="8" w:space="0" w:color="4F81BD"/>
              <w:right w:val="single" w:sz="8" w:space="0" w:color="4F81BD"/>
            </w:tcBorders>
            <w:shd w:val="clear" w:color="auto" w:fill="auto"/>
            <w:hideMark/>
          </w:tcPr>
          <w:p w14:paraId="5C0A1F47"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44</w:t>
            </w:r>
          </w:p>
        </w:tc>
      </w:tr>
      <w:tr w:rsidR="0063584D" w:rsidRPr="007F78CE" w14:paraId="25A1C10A" w14:textId="77777777" w:rsidTr="007F78CE">
        <w:trPr>
          <w:trHeight w:val="300"/>
          <w:jc w:val="center"/>
        </w:trPr>
        <w:tc>
          <w:tcPr>
            <w:tcW w:w="2436" w:type="dxa"/>
            <w:shd w:val="clear" w:color="auto" w:fill="auto"/>
            <w:hideMark/>
          </w:tcPr>
          <w:p w14:paraId="4C47A193" w14:textId="77777777" w:rsidR="00700E61" w:rsidRPr="007F78CE" w:rsidRDefault="00700E61" w:rsidP="007F78CE">
            <w:pPr>
              <w:spacing w:after="0" w:line="240" w:lineRule="auto"/>
              <w:rPr>
                <w:rFonts w:ascii="Arial" w:eastAsia="Times New Roman" w:hAnsi="Arial" w:cs="Arial"/>
                <w:b/>
                <w:bCs/>
                <w:color w:val="231F20"/>
                <w:lang w:eastAsia="fr-FR"/>
              </w:rPr>
            </w:pPr>
            <w:r w:rsidRPr="007F78CE">
              <w:rPr>
                <w:rFonts w:ascii="Arial" w:eastAsia="Times New Roman" w:hAnsi="Arial" w:cs="Arial"/>
                <w:b/>
                <w:bCs/>
                <w:color w:val="231F20"/>
                <w:spacing w:val="-2"/>
                <w:lang w:eastAsia="fr-FR"/>
              </w:rPr>
              <w:t>Vakinankaratra</w:t>
            </w:r>
          </w:p>
        </w:tc>
        <w:tc>
          <w:tcPr>
            <w:tcW w:w="1549" w:type="dxa"/>
            <w:shd w:val="clear" w:color="auto" w:fill="auto"/>
            <w:hideMark/>
          </w:tcPr>
          <w:p w14:paraId="730E71B8"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41</w:t>
            </w:r>
          </w:p>
        </w:tc>
        <w:tc>
          <w:tcPr>
            <w:tcW w:w="1329" w:type="dxa"/>
            <w:shd w:val="clear" w:color="auto" w:fill="auto"/>
            <w:hideMark/>
          </w:tcPr>
          <w:p w14:paraId="0C2DA093"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30</w:t>
            </w:r>
          </w:p>
        </w:tc>
        <w:tc>
          <w:tcPr>
            <w:tcW w:w="1560" w:type="dxa"/>
            <w:shd w:val="clear" w:color="auto" w:fill="auto"/>
            <w:hideMark/>
          </w:tcPr>
          <w:p w14:paraId="4D75DD46"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16</w:t>
            </w:r>
          </w:p>
        </w:tc>
        <w:tc>
          <w:tcPr>
            <w:tcW w:w="1701" w:type="dxa"/>
            <w:shd w:val="clear" w:color="auto" w:fill="auto"/>
            <w:hideMark/>
          </w:tcPr>
          <w:p w14:paraId="3DB6B746"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37</w:t>
            </w:r>
          </w:p>
        </w:tc>
      </w:tr>
      <w:tr w:rsidR="0063584D" w:rsidRPr="007F78CE" w14:paraId="7A663991" w14:textId="77777777" w:rsidTr="007F78CE">
        <w:trPr>
          <w:trHeight w:val="300"/>
          <w:jc w:val="center"/>
        </w:trPr>
        <w:tc>
          <w:tcPr>
            <w:tcW w:w="2436" w:type="dxa"/>
            <w:tcBorders>
              <w:top w:val="single" w:sz="8" w:space="0" w:color="4F81BD"/>
              <w:left w:val="single" w:sz="8" w:space="0" w:color="4F81BD"/>
              <w:bottom w:val="single" w:sz="8" w:space="0" w:color="4F81BD"/>
            </w:tcBorders>
            <w:shd w:val="clear" w:color="auto" w:fill="auto"/>
            <w:hideMark/>
          </w:tcPr>
          <w:p w14:paraId="4977507C" w14:textId="77777777" w:rsidR="00700E61" w:rsidRPr="007F78CE" w:rsidRDefault="00700E61" w:rsidP="007F78CE">
            <w:pPr>
              <w:spacing w:after="0" w:line="240" w:lineRule="auto"/>
              <w:rPr>
                <w:rFonts w:ascii="Arial" w:eastAsia="Times New Roman" w:hAnsi="Arial" w:cs="Arial"/>
                <w:b/>
                <w:bCs/>
                <w:color w:val="231F20"/>
                <w:lang w:eastAsia="fr-FR"/>
              </w:rPr>
            </w:pPr>
            <w:r w:rsidRPr="007F78CE">
              <w:rPr>
                <w:rFonts w:ascii="Arial" w:eastAsia="Times New Roman" w:hAnsi="Arial" w:cs="Arial"/>
                <w:b/>
                <w:bCs/>
                <w:color w:val="231F20"/>
                <w:spacing w:val="-2"/>
                <w:lang w:eastAsia="fr-FR"/>
              </w:rPr>
              <w:t>Itasy</w:t>
            </w:r>
          </w:p>
        </w:tc>
        <w:tc>
          <w:tcPr>
            <w:tcW w:w="1549" w:type="dxa"/>
            <w:tcBorders>
              <w:top w:val="single" w:sz="8" w:space="0" w:color="4F81BD"/>
              <w:bottom w:val="single" w:sz="8" w:space="0" w:color="4F81BD"/>
            </w:tcBorders>
            <w:shd w:val="clear" w:color="auto" w:fill="auto"/>
            <w:hideMark/>
          </w:tcPr>
          <w:p w14:paraId="01577334"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41</w:t>
            </w:r>
          </w:p>
        </w:tc>
        <w:tc>
          <w:tcPr>
            <w:tcW w:w="1329" w:type="dxa"/>
            <w:tcBorders>
              <w:top w:val="single" w:sz="8" w:space="0" w:color="4F81BD"/>
              <w:bottom w:val="single" w:sz="8" w:space="0" w:color="4F81BD"/>
            </w:tcBorders>
            <w:shd w:val="clear" w:color="auto" w:fill="auto"/>
            <w:hideMark/>
          </w:tcPr>
          <w:p w14:paraId="12EB3051"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31</w:t>
            </w:r>
          </w:p>
        </w:tc>
        <w:tc>
          <w:tcPr>
            <w:tcW w:w="1560" w:type="dxa"/>
            <w:tcBorders>
              <w:top w:val="single" w:sz="8" w:space="0" w:color="4F81BD"/>
              <w:bottom w:val="single" w:sz="8" w:space="0" w:color="4F81BD"/>
            </w:tcBorders>
            <w:shd w:val="clear" w:color="auto" w:fill="auto"/>
            <w:hideMark/>
          </w:tcPr>
          <w:p w14:paraId="63A93D29"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19</w:t>
            </w:r>
          </w:p>
        </w:tc>
        <w:tc>
          <w:tcPr>
            <w:tcW w:w="1701" w:type="dxa"/>
            <w:tcBorders>
              <w:top w:val="single" w:sz="8" w:space="0" w:color="4F81BD"/>
              <w:bottom w:val="single" w:sz="8" w:space="0" w:color="4F81BD"/>
              <w:right w:val="single" w:sz="8" w:space="0" w:color="4F81BD"/>
            </w:tcBorders>
            <w:shd w:val="clear" w:color="auto" w:fill="auto"/>
            <w:hideMark/>
          </w:tcPr>
          <w:p w14:paraId="6E9C39E7"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40</w:t>
            </w:r>
          </w:p>
        </w:tc>
      </w:tr>
      <w:tr w:rsidR="0063584D" w:rsidRPr="007F78CE" w14:paraId="4B3EBEC9" w14:textId="77777777" w:rsidTr="007F78CE">
        <w:trPr>
          <w:trHeight w:val="300"/>
          <w:jc w:val="center"/>
        </w:trPr>
        <w:tc>
          <w:tcPr>
            <w:tcW w:w="2436" w:type="dxa"/>
            <w:shd w:val="clear" w:color="auto" w:fill="auto"/>
            <w:hideMark/>
          </w:tcPr>
          <w:p w14:paraId="3EBB6A2F" w14:textId="77777777" w:rsidR="00700E61" w:rsidRPr="007F78CE" w:rsidRDefault="00700E61" w:rsidP="007F78CE">
            <w:pPr>
              <w:spacing w:after="0" w:line="240" w:lineRule="auto"/>
              <w:rPr>
                <w:rFonts w:ascii="Arial" w:eastAsia="Times New Roman" w:hAnsi="Arial" w:cs="Arial"/>
                <w:b/>
                <w:bCs/>
                <w:color w:val="231F20"/>
                <w:lang w:eastAsia="fr-FR"/>
              </w:rPr>
            </w:pPr>
            <w:r w:rsidRPr="007F78CE">
              <w:rPr>
                <w:rFonts w:ascii="Arial" w:eastAsia="Times New Roman" w:hAnsi="Arial" w:cs="Arial"/>
                <w:b/>
                <w:bCs/>
                <w:color w:val="231F20"/>
                <w:spacing w:val="-2"/>
                <w:lang w:eastAsia="fr-FR"/>
              </w:rPr>
              <w:t>Bongolava</w:t>
            </w:r>
          </w:p>
        </w:tc>
        <w:tc>
          <w:tcPr>
            <w:tcW w:w="1549" w:type="dxa"/>
            <w:shd w:val="clear" w:color="auto" w:fill="auto"/>
            <w:hideMark/>
          </w:tcPr>
          <w:p w14:paraId="36E56651"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42</w:t>
            </w:r>
          </w:p>
        </w:tc>
        <w:tc>
          <w:tcPr>
            <w:tcW w:w="1329" w:type="dxa"/>
            <w:shd w:val="clear" w:color="auto" w:fill="auto"/>
            <w:hideMark/>
          </w:tcPr>
          <w:p w14:paraId="1992F1B8"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30</w:t>
            </w:r>
          </w:p>
        </w:tc>
        <w:tc>
          <w:tcPr>
            <w:tcW w:w="1560" w:type="dxa"/>
            <w:shd w:val="clear" w:color="auto" w:fill="auto"/>
            <w:hideMark/>
          </w:tcPr>
          <w:p w14:paraId="354FCD7A"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16</w:t>
            </w:r>
          </w:p>
        </w:tc>
        <w:tc>
          <w:tcPr>
            <w:tcW w:w="1701" w:type="dxa"/>
            <w:shd w:val="clear" w:color="auto" w:fill="auto"/>
            <w:hideMark/>
          </w:tcPr>
          <w:p w14:paraId="518A8C8C"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38</w:t>
            </w:r>
          </w:p>
        </w:tc>
      </w:tr>
      <w:tr w:rsidR="0063584D" w:rsidRPr="007F78CE" w14:paraId="4C324F0F" w14:textId="77777777" w:rsidTr="007F78CE">
        <w:trPr>
          <w:trHeight w:val="300"/>
          <w:jc w:val="center"/>
        </w:trPr>
        <w:tc>
          <w:tcPr>
            <w:tcW w:w="2436" w:type="dxa"/>
            <w:tcBorders>
              <w:top w:val="single" w:sz="8" w:space="0" w:color="4F81BD"/>
              <w:left w:val="single" w:sz="8" w:space="0" w:color="4F81BD"/>
              <w:bottom w:val="single" w:sz="8" w:space="0" w:color="4F81BD"/>
            </w:tcBorders>
            <w:shd w:val="clear" w:color="auto" w:fill="auto"/>
            <w:hideMark/>
          </w:tcPr>
          <w:p w14:paraId="4129FC63" w14:textId="77777777" w:rsidR="00700E61" w:rsidRPr="007F78CE" w:rsidRDefault="00700E61" w:rsidP="007F78CE">
            <w:pPr>
              <w:spacing w:after="0" w:line="240" w:lineRule="auto"/>
              <w:rPr>
                <w:rFonts w:ascii="Arial" w:eastAsia="Times New Roman" w:hAnsi="Arial" w:cs="Arial"/>
                <w:b/>
                <w:bCs/>
                <w:color w:val="231F20"/>
                <w:lang w:eastAsia="fr-FR"/>
              </w:rPr>
            </w:pPr>
            <w:r w:rsidRPr="007F78CE">
              <w:rPr>
                <w:rFonts w:ascii="Arial" w:eastAsia="Times New Roman" w:hAnsi="Arial" w:cs="Arial"/>
                <w:b/>
                <w:bCs/>
                <w:color w:val="231F20"/>
                <w:lang w:eastAsia="fr-FR"/>
              </w:rPr>
              <w:t>Haute Matsiatra</w:t>
            </w:r>
          </w:p>
        </w:tc>
        <w:tc>
          <w:tcPr>
            <w:tcW w:w="1549" w:type="dxa"/>
            <w:tcBorders>
              <w:top w:val="single" w:sz="8" w:space="0" w:color="4F81BD"/>
              <w:bottom w:val="single" w:sz="8" w:space="0" w:color="4F81BD"/>
            </w:tcBorders>
            <w:shd w:val="clear" w:color="auto" w:fill="auto"/>
            <w:hideMark/>
          </w:tcPr>
          <w:p w14:paraId="02C433DE"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41</w:t>
            </w:r>
          </w:p>
        </w:tc>
        <w:tc>
          <w:tcPr>
            <w:tcW w:w="1329" w:type="dxa"/>
            <w:tcBorders>
              <w:top w:val="single" w:sz="8" w:space="0" w:color="4F81BD"/>
              <w:bottom w:val="single" w:sz="8" w:space="0" w:color="4F81BD"/>
            </w:tcBorders>
            <w:shd w:val="clear" w:color="auto" w:fill="auto"/>
            <w:hideMark/>
          </w:tcPr>
          <w:p w14:paraId="3C066D38"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29</w:t>
            </w:r>
          </w:p>
        </w:tc>
        <w:tc>
          <w:tcPr>
            <w:tcW w:w="1560" w:type="dxa"/>
            <w:tcBorders>
              <w:top w:val="single" w:sz="8" w:space="0" w:color="4F81BD"/>
              <w:bottom w:val="single" w:sz="8" w:space="0" w:color="4F81BD"/>
            </w:tcBorders>
            <w:shd w:val="clear" w:color="auto" w:fill="auto"/>
            <w:hideMark/>
          </w:tcPr>
          <w:p w14:paraId="5D98BF35"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lang w:eastAsia="fr-FR"/>
              </w:rPr>
              <w:t>3</w:t>
            </w:r>
          </w:p>
        </w:tc>
        <w:tc>
          <w:tcPr>
            <w:tcW w:w="1701" w:type="dxa"/>
            <w:tcBorders>
              <w:top w:val="single" w:sz="8" w:space="0" w:color="4F81BD"/>
              <w:bottom w:val="single" w:sz="8" w:space="0" w:color="4F81BD"/>
              <w:right w:val="single" w:sz="8" w:space="0" w:color="4F81BD"/>
            </w:tcBorders>
            <w:shd w:val="clear" w:color="auto" w:fill="auto"/>
            <w:hideMark/>
          </w:tcPr>
          <w:p w14:paraId="47EC3822"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30</w:t>
            </w:r>
          </w:p>
        </w:tc>
      </w:tr>
      <w:tr w:rsidR="0063584D" w:rsidRPr="007F78CE" w14:paraId="50BDE112" w14:textId="77777777" w:rsidTr="007F78CE">
        <w:trPr>
          <w:trHeight w:val="300"/>
          <w:jc w:val="center"/>
        </w:trPr>
        <w:tc>
          <w:tcPr>
            <w:tcW w:w="2436" w:type="dxa"/>
            <w:shd w:val="clear" w:color="auto" w:fill="auto"/>
            <w:hideMark/>
          </w:tcPr>
          <w:p w14:paraId="410FE311" w14:textId="77777777" w:rsidR="00700E61" w:rsidRPr="007F78CE" w:rsidRDefault="00700E61" w:rsidP="007F78CE">
            <w:pPr>
              <w:spacing w:after="0" w:line="240" w:lineRule="auto"/>
              <w:rPr>
                <w:rFonts w:ascii="Arial" w:eastAsia="Times New Roman" w:hAnsi="Arial" w:cs="Arial"/>
                <w:b/>
                <w:bCs/>
                <w:color w:val="231F20"/>
                <w:lang w:eastAsia="fr-FR"/>
              </w:rPr>
            </w:pPr>
            <w:r w:rsidRPr="007F78CE">
              <w:rPr>
                <w:rFonts w:ascii="Arial" w:eastAsia="Times New Roman" w:hAnsi="Arial" w:cs="Arial"/>
                <w:b/>
                <w:bCs/>
                <w:color w:val="231F20"/>
                <w:lang w:eastAsia="fr-FR"/>
              </w:rPr>
              <w:t>Amoron’i Mania</w:t>
            </w:r>
          </w:p>
        </w:tc>
        <w:tc>
          <w:tcPr>
            <w:tcW w:w="1549" w:type="dxa"/>
            <w:shd w:val="clear" w:color="auto" w:fill="auto"/>
            <w:hideMark/>
          </w:tcPr>
          <w:p w14:paraId="1986DD3E"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33</w:t>
            </w:r>
          </w:p>
        </w:tc>
        <w:tc>
          <w:tcPr>
            <w:tcW w:w="1329" w:type="dxa"/>
            <w:shd w:val="clear" w:color="auto" w:fill="auto"/>
            <w:hideMark/>
          </w:tcPr>
          <w:p w14:paraId="65E253BC"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19</w:t>
            </w:r>
          </w:p>
        </w:tc>
        <w:tc>
          <w:tcPr>
            <w:tcW w:w="1560" w:type="dxa"/>
            <w:shd w:val="clear" w:color="auto" w:fill="auto"/>
            <w:hideMark/>
          </w:tcPr>
          <w:p w14:paraId="36B346B0"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lang w:eastAsia="fr-FR"/>
              </w:rPr>
              <w:t>8</w:t>
            </w:r>
          </w:p>
        </w:tc>
        <w:tc>
          <w:tcPr>
            <w:tcW w:w="1701" w:type="dxa"/>
            <w:shd w:val="clear" w:color="auto" w:fill="auto"/>
            <w:hideMark/>
          </w:tcPr>
          <w:p w14:paraId="16AB9D4A"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24</w:t>
            </w:r>
          </w:p>
        </w:tc>
      </w:tr>
      <w:tr w:rsidR="0063584D" w:rsidRPr="007F78CE" w14:paraId="64B8C87E" w14:textId="77777777" w:rsidTr="007F78CE">
        <w:trPr>
          <w:trHeight w:val="300"/>
          <w:jc w:val="center"/>
        </w:trPr>
        <w:tc>
          <w:tcPr>
            <w:tcW w:w="2436" w:type="dxa"/>
            <w:tcBorders>
              <w:top w:val="single" w:sz="8" w:space="0" w:color="4F81BD"/>
              <w:left w:val="single" w:sz="8" w:space="0" w:color="4F81BD"/>
              <w:bottom w:val="single" w:sz="8" w:space="0" w:color="4F81BD"/>
            </w:tcBorders>
            <w:shd w:val="clear" w:color="auto" w:fill="auto"/>
            <w:hideMark/>
          </w:tcPr>
          <w:p w14:paraId="1F704A6E" w14:textId="77777777" w:rsidR="00700E61" w:rsidRPr="007F78CE" w:rsidRDefault="00700E61" w:rsidP="007F78CE">
            <w:pPr>
              <w:spacing w:after="0" w:line="240" w:lineRule="auto"/>
              <w:rPr>
                <w:rFonts w:ascii="Arial" w:eastAsia="Times New Roman" w:hAnsi="Arial" w:cs="Arial"/>
                <w:b/>
                <w:bCs/>
                <w:color w:val="231F20"/>
                <w:lang w:eastAsia="fr-FR"/>
              </w:rPr>
            </w:pPr>
            <w:r w:rsidRPr="007F78CE">
              <w:rPr>
                <w:rFonts w:ascii="Arial" w:eastAsia="Times New Roman" w:hAnsi="Arial" w:cs="Arial"/>
                <w:b/>
                <w:bCs/>
                <w:color w:val="231F20"/>
                <w:spacing w:val="-2"/>
                <w:lang w:eastAsia="fr-FR"/>
              </w:rPr>
              <w:t>Vatovavy Fitovinany</w:t>
            </w:r>
          </w:p>
        </w:tc>
        <w:tc>
          <w:tcPr>
            <w:tcW w:w="1549" w:type="dxa"/>
            <w:tcBorders>
              <w:top w:val="single" w:sz="8" w:space="0" w:color="4F81BD"/>
              <w:bottom w:val="single" w:sz="8" w:space="0" w:color="4F81BD"/>
            </w:tcBorders>
            <w:shd w:val="clear" w:color="auto" w:fill="auto"/>
            <w:hideMark/>
          </w:tcPr>
          <w:p w14:paraId="31E41E1A"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34</w:t>
            </w:r>
          </w:p>
        </w:tc>
        <w:tc>
          <w:tcPr>
            <w:tcW w:w="1329" w:type="dxa"/>
            <w:tcBorders>
              <w:top w:val="single" w:sz="8" w:space="0" w:color="4F81BD"/>
              <w:bottom w:val="single" w:sz="8" w:space="0" w:color="4F81BD"/>
            </w:tcBorders>
            <w:shd w:val="clear" w:color="auto" w:fill="auto"/>
            <w:hideMark/>
          </w:tcPr>
          <w:p w14:paraId="17639182"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14</w:t>
            </w:r>
          </w:p>
        </w:tc>
        <w:tc>
          <w:tcPr>
            <w:tcW w:w="1560" w:type="dxa"/>
            <w:tcBorders>
              <w:top w:val="single" w:sz="8" w:space="0" w:color="4F81BD"/>
              <w:bottom w:val="single" w:sz="8" w:space="0" w:color="4F81BD"/>
            </w:tcBorders>
            <w:shd w:val="clear" w:color="auto" w:fill="auto"/>
            <w:hideMark/>
          </w:tcPr>
          <w:p w14:paraId="61D1D555"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lang w:eastAsia="fr-FR"/>
              </w:rPr>
              <w:t>6</w:t>
            </w:r>
          </w:p>
        </w:tc>
        <w:tc>
          <w:tcPr>
            <w:tcW w:w="1701" w:type="dxa"/>
            <w:tcBorders>
              <w:top w:val="single" w:sz="8" w:space="0" w:color="4F81BD"/>
              <w:bottom w:val="single" w:sz="8" w:space="0" w:color="4F81BD"/>
              <w:right w:val="single" w:sz="8" w:space="0" w:color="4F81BD"/>
            </w:tcBorders>
            <w:shd w:val="clear" w:color="auto" w:fill="auto"/>
            <w:hideMark/>
          </w:tcPr>
          <w:p w14:paraId="49F2050E"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18</w:t>
            </w:r>
          </w:p>
        </w:tc>
      </w:tr>
      <w:tr w:rsidR="0063584D" w:rsidRPr="007F78CE" w14:paraId="1B2183E4" w14:textId="77777777" w:rsidTr="007F78CE">
        <w:trPr>
          <w:trHeight w:val="300"/>
          <w:jc w:val="center"/>
        </w:trPr>
        <w:tc>
          <w:tcPr>
            <w:tcW w:w="2436" w:type="dxa"/>
            <w:shd w:val="clear" w:color="auto" w:fill="auto"/>
            <w:hideMark/>
          </w:tcPr>
          <w:p w14:paraId="1FF084E2" w14:textId="77777777" w:rsidR="00700E61" w:rsidRPr="007F78CE" w:rsidRDefault="00700E61" w:rsidP="007F78CE">
            <w:pPr>
              <w:spacing w:after="0" w:line="240" w:lineRule="auto"/>
              <w:rPr>
                <w:rFonts w:ascii="Arial" w:eastAsia="Times New Roman" w:hAnsi="Arial" w:cs="Arial"/>
                <w:b/>
                <w:bCs/>
                <w:color w:val="231F20"/>
                <w:lang w:eastAsia="fr-FR"/>
              </w:rPr>
            </w:pPr>
            <w:r w:rsidRPr="007F78CE">
              <w:rPr>
                <w:rFonts w:ascii="Arial" w:eastAsia="Times New Roman" w:hAnsi="Arial" w:cs="Arial"/>
                <w:b/>
                <w:bCs/>
                <w:color w:val="231F20"/>
                <w:spacing w:val="-2"/>
                <w:lang w:eastAsia="fr-FR"/>
              </w:rPr>
              <w:t>Ihorombe</w:t>
            </w:r>
          </w:p>
        </w:tc>
        <w:tc>
          <w:tcPr>
            <w:tcW w:w="1549" w:type="dxa"/>
            <w:shd w:val="clear" w:color="auto" w:fill="auto"/>
            <w:hideMark/>
          </w:tcPr>
          <w:p w14:paraId="69269649"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32</w:t>
            </w:r>
          </w:p>
        </w:tc>
        <w:tc>
          <w:tcPr>
            <w:tcW w:w="1329" w:type="dxa"/>
            <w:shd w:val="clear" w:color="auto" w:fill="auto"/>
            <w:hideMark/>
          </w:tcPr>
          <w:p w14:paraId="0860539A"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20</w:t>
            </w:r>
          </w:p>
        </w:tc>
        <w:tc>
          <w:tcPr>
            <w:tcW w:w="1560" w:type="dxa"/>
            <w:shd w:val="clear" w:color="auto" w:fill="auto"/>
            <w:hideMark/>
          </w:tcPr>
          <w:p w14:paraId="7273EFB1"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lang w:eastAsia="fr-FR"/>
              </w:rPr>
              <w:t>6</w:t>
            </w:r>
          </w:p>
        </w:tc>
        <w:tc>
          <w:tcPr>
            <w:tcW w:w="1701" w:type="dxa"/>
            <w:shd w:val="clear" w:color="auto" w:fill="auto"/>
            <w:hideMark/>
          </w:tcPr>
          <w:p w14:paraId="64BF54B5"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22</w:t>
            </w:r>
          </w:p>
        </w:tc>
      </w:tr>
      <w:tr w:rsidR="0063584D" w:rsidRPr="007F78CE" w14:paraId="4E372944" w14:textId="77777777" w:rsidTr="007F78CE">
        <w:trPr>
          <w:trHeight w:val="300"/>
          <w:jc w:val="center"/>
        </w:trPr>
        <w:tc>
          <w:tcPr>
            <w:tcW w:w="2436" w:type="dxa"/>
            <w:tcBorders>
              <w:top w:val="single" w:sz="8" w:space="0" w:color="4F81BD"/>
              <w:left w:val="single" w:sz="8" w:space="0" w:color="4F81BD"/>
              <w:bottom w:val="single" w:sz="8" w:space="0" w:color="4F81BD"/>
            </w:tcBorders>
            <w:shd w:val="clear" w:color="auto" w:fill="auto"/>
            <w:hideMark/>
          </w:tcPr>
          <w:p w14:paraId="6FCD7706" w14:textId="77777777" w:rsidR="00700E61" w:rsidRPr="007F78CE" w:rsidRDefault="00700E61" w:rsidP="007F78CE">
            <w:pPr>
              <w:spacing w:after="0" w:line="240" w:lineRule="auto"/>
              <w:rPr>
                <w:rFonts w:ascii="Arial" w:eastAsia="Times New Roman" w:hAnsi="Arial" w:cs="Arial"/>
                <w:b/>
                <w:bCs/>
                <w:color w:val="231F20"/>
                <w:lang w:eastAsia="fr-FR"/>
              </w:rPr>
            </w:pPr>
            <w:r w:rsidRPr="007F78CE">
              <w:rPr>
                <w:rFonts w:ascii="Arial" w:eastAsia="Times New Roman" w:hAnsi="Arial" w:cs="Arial"/>
                <w:b/>
                <w:bCs/>
                <w:color w:val="231F20"/>
                <w:lang w:eastAsia="fr-FR"/>
              </w:rPr>
              <w:t>Atsimo Atsinanana</w:t>
            </w:r>
          </w:p>
        </w:tc>
        <w:tc>
          <w:tcPr>
            <w:tcW w:w="1549" w:type="dxa"/>
            <w:tcBorders>
              <w:top w:val="single" w:sz="8" w:space="0" w:color="4F81BD"/>
              <w:bottom w:val="single" w:sz="8" w:space="0" w:color="4F81BD"/>
            </w:tcBorders>
            <w:shd w:val="clear" w:color="auto" w:fill="auto"/>
            <w:hideMark/>
          </w:tcPr>
          <w:p w14:paraId="385C2009"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34</w:t>
            </w:r>
          </w:p>
        </w:tc>
        <w:tc>
          <w:tcPr>
            <w:tcW w:w="1329" w:type="dxa"/>
            <w:tcBorders>
              <w:top w:val="single" w:sz="8" w:space="0" w:color="4F81BD"/>
              <w:bottom w:val="single" w:sz="8" w:space="0" w:color="4F81BD"/>
            </w:tcBorders>
            <w:shd w:val="clear" w:color="auto" w:fill="auto"/>
            <w:hideMark/>
          </w:tcPr>
          <w:p w14:paraId="4145C0AD"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12</w:t>
            </w:r>
          </w:p>
        </w:tc>
        <w:tc>
          <w:tcPr>
            <w:tcW w:w="1560" w:type="dxa"/>
            <w:tcBorders>
              <w:top w:val="single" w:sz="8" w:space="0" w:color="4F81BD"/>
              <w:bottom w:val="single" w:sz="8" w:space="0" w:color="4F81BD"/>
            </w:tcBorders>
            <w:shd w:val="clear" w:color="auto" w:fill="auto"/>
            <w:hideMark/>
          </w:tcPr>
          <w:p w14:paraId="2BFD8AA9"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13</w:t>
            </w:r>
          </w:p>
        </w:tc>
        <w:tc>
          <w:tcPr>
            <w:tcW w:w="1701" w:type="dxa"/>
            <w:tcBorders>
              <w:top w:val="single" w:sz="8" w:space="0" w:color="4F81BD"/>
              <w:bottom w:val="single" w:sz="8" w:space="0" w:color="4F81BD"/>
              <w:right w:val="single" w:sz="8" w:space="0" w:color="4F81BD"/>
            </w:tcBorders>
            <w:shd w:val="clear" w:color="auto" w:fill="auto"/>
            <w:hideMark/>
          </w:tcPr>
          <w:p w14:paraId="38BD38C1"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19</w:t>
            </w:r>
          </w:p>
        </w:tc>
      </w:tr>
      <w:tr w:rsidR="0063584D" w:rsidRPr="007F78CE" w14:paraId="30924C24" w14:textId="77777777" w:rsidTr="007F78CE">
        <w:trPr>
          <w:trHeight w:val="300"/>
          <w:jc w:val="center"/>
        </w:trPr>
        <w:tc>
          <w:tcPr>
            <w:tcW w:w="2436" w:type="dxa"/>
            <w:shd w:val="clear" w:color="auto" w:fill="auto"/>
            <w:hideMark/>
          </w:tcPr>
          <w:p w14:paraId="3536F7C9" w14:textId="77777777" w:rsidR="00700E61" w:rsidRPr="007F78CE" w:rsidRDefault="00700E61" w:rsidP="007F78CE">
            <w:pPr>
              <w:spacing w:after="0" w:line="240" w:lineRule="auto"/>
              <w:rPr>
                <w:rFonts w:ascii="Arial" w:eastAsia="Times New Roman" w:hAnsi="Arial" w:cs="Arial"/>
                <w:b/>
                <w:bCs/>
                <w:color w:val="231F20"/>
                <w:lang w:eastAsia="fr-FR"/>
              </w:rPr>
            </w:pPr>
            <w:r w:rsidRPr="007F78CE">
              <w:rPr>
                <w:rFonts w:ascii="Arial" w:eastAsia="Times New Roman" w:hAnsi="Arial" w:cs="Arial"/>
                <w:b/>
                <w:bCs/>
                <w:color w:val="231F20"/>
                <w:spacing w:val="-2"/>
                <w:lang w:eastAsia="fr-FR"/>
              </w:rPr>
              <w:t>Atsinanana</w:t>
            </w:r>
          </w:p>
        </w:tc>
        <w:tc>
          <w:tcPr>
            <w:tcW w:w="1549" w:type="dxa"/>
            <w:shd w:val="clear" w:color="auto" w:fill="auto"/>
            <w:hideMark/>
          </w:tcPr>
          <w:p w14:paraId="18CCAAF2"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29</w:t>
            </w:r>
          </w:p>
        </w:tc>
        <w:tc>
          <w:tcPr>
            <w:tcW w:w="1329" w:type="dxa"/>
            <w:shd w:val="clear" w:color="auto" w:fill="auto"/>
            <w:hideMark/>
          </w:tcPr>
          <w:p w14:paraId="7EC6BFFB"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25</w:t>
            </w:r>
          </w:p>
        </w:tc>
        <w:tc>
          <w:tcPr>
            <w:tcW w:w="1560" w:type="dxa"/>
            <w:shd w:val="clear" w:color="auto" w:fill="auto"/>
            <w:hideMark/>
          </w:tcPr>
          <w:p w14:paraId="29BFF79F"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lang w:eastAsia="fr-FR"/>
              </w:rPr>
              <w:t>7</w:t>
            </w:r>
          </w:p>
        </w:tc>
        <w:tc>
          <w:tcPr>
            <w:tcW w:w="1701" w:type="dxa"/>
            <w:shd w:val="clear" w:color="auto" w:fill="auto"/>
            <w:hideMark/>
          </w:tcPr>
          <w:p w14:paraId="448B56EB"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28</w:t>
            </w:r>
          </w:p>
        </w:tc>
      </w:tr>
      <w:tr w:rsidR="0063584D" w:rsidRPr="007F78CE" w14:paraId="317A4814" w14:textId="77777777" w:rsidTr="007F78CE">
        <w:trPr>
          <w:trHeight w:val="300"/>
          <w:jc w:val="center"/>
        </w:trPr>
        <w:tc>
          <w:tcPr>
            <w:tcW w:w="2436" w:type="dxa"/>
            <w:tcBorders>
              <w:top w:val="single" w:sz="8" w:space="0" w:color="4F81BD"/>
              <w:left w:val="single" w:sz="8" w:space="0" w:color="4F81BD"/>
              <w:bottom w:val="single" w:sz="8" w:space="0" w:color="4F81BD"/>
            </w:tcBorders>
            <w:shd w:val="clear" w:color="auto" w:fill="auto"/>
            <w:hideMark/>
          </w:tcPr>
          <w:p w14:paraId="777FC197" w14:textId="77777777" w:rsidR="00700E61" w:rsidRPr="007F78CE" w:rsidRDefault="00700E61" w:rsidP="007F78CE">
            <w:pPr>
              <w:spacing w:after="0" w:line="240" w:lineRule="auto"/>
              <w:rPr>
                <w:rFonts w:ascii="Arial" w:eastAsia="Times New Roman" w:hAnsi="Arial" w:cs="Arial"/>
                <w:b/>
                <w:bCs/>
                <w:color w:val="231F20"/>
                <w:lang w:eastAsia="fr-FR"/>
              </w:rPr>
            </w:pPr>
            <w:r w:rsidRPr="007F78CE">
              <w:rPr>
                <w:rFonts w:ascii="Arial" w:eastAsia="Times New Roman" w:hAnsi="Arial" w:cs="Arial"/>
                <w:b/>
                <w:bCs/>
                <w:color w:val="231F20"/>
                <w:spacing w:val="-2"/>
                <w:lang w:eastAsia="fr-FR"/>
              </w:rPr>
              <w:t>Analanjirofo</w:t>
            </w:r>
          </w:p>
        </w:tc>
        <w:tc>
          <w:tcPr>
            <w:tcW w:w="1549" w:type="dxa"/>
            <w:tcBorders>
              <w:top w:val="single" w:sz="8" w:space="0" w:color="4F81BD"/>
              <w:bottom w:val="single" w:sz="8" w:space="0" w:color="4F81BD"/>
            </w:tcBorders>
            <w:shd w:val="clear" w:color="auto" w:fill="auto"/>
            <w:hideMark/>
          </w:tcPr>
          <w:p w14:paraId="7B32A6C0"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21</w:t>
            </w:r>
          </w:p>
        </w:tc>
        <w:tc>
          <w:tcPr>
            <w:tcW w:w="1329" w:type="dxa"/>
            <w:tcBorders>
              <w:top w:val="single" w:sz="8" w:space="0" w:color="4F81BD"/>
              <w:bottom w:val="single" w:sz="8" w:space="0" w:color="4F81BD"/>
            </w:tcBorders>
            <w:shd w:val="clear" w:color="auto" w:fill="auto"/>
            <w:hideMark/>
          </w:tcPr>
          <w:p w14:paraId="61341F57"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19</w:t>
            </w:r>
          </w:p>
        </w:tc>
        <w:tc>
          <w:tcPr>
            <w:tcW w:w="1560" w:type="dxa"/>
            <w:tcBorders>
              <w:top w:val="single" w:sz="8" w:space="0" w:color="4F81BD"/>
              <w:bottom w:val="single" w:sz="8" w:space="0" w:color="4F81BD"/>
            </w:tcBorders>
            <w:shd w:val="clear" w:color="auto" w:fill="auto"/>
            <w:hideMark/>
          </w:tcPr>
          <w:p w14:paraId="27A335BB"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12</w:t>
            </w:r>
          </w:p>
        </w:tc>
        <w:tc>
          <w:tcPr>
            <w:tcW w:w="1701" w:type="dxa"/>
            <w:tcBorders>
              <w:top w:val="single" w:sz="8" w:space="0" w:color="4F81BD"/>
              <w:bottom w:val="single" w:sz="8" w:space="0" w:color="4F81BD"/>
              <w:right w:val="single" w:sz="8" w:space="0" w:color="4F81BD"/>
            </w:tcBorders>
            <w:shd w:val="clear" w:color="auto" w:fill="auto"/>
            <w:hideMark/>
          </w:tcPr>
          <w:p w14:paraId="3B511AB4"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24</w:t>
            </w:r>
          </w:p>
        </w:tc>
      </w:tr>
      <w:tr w:rsidR="0063584D" w:rsidRPr="007F78CE" w14:paraId="19BF40E1" w14:textId="77777777" w:rsidTr="007F78CE">
        <w:trPr>
          <w:trHeight w:val="300"/>
          <w:jc w:val="center"/>
        </w:trPr>
        <w:tc>
          <w:tcPr>
            <w:tcW w:w="2436" w:type="dxa"/>
            <w:shd w:val="clear" w:color="auto" w:fill="auto"/>
            <w:hideMark/>
          </w:tcPr>
          <w:p w14:paraId="3B2BF531" w14:textId="77777777" w:rsidR="00700E61" w:rsidRPr="007F78CE" w:rsidRDefault="00700E61" w:rsidP="007F78CE">
            <w:pPr>
              <w:spacing w:after="0" w:line="240" w:lineRule="auto"/>
              <w:rPr>
                <w:rFonts w:ascii="Arial" w:eastAsia="Times New Roman" w:hAnsi="Arial" w:cs="Arial"/>
                <w:b/>
                <w:bCs/>
                <w:color w:val="231F20"/>
                <w:lang w:eastAsia="fr-FR"/>
              </w:rPr>
            </w:pPr>
            <w:r w:rsidRPr="007F78CE">
              <w:rPr>
                <w:rFonts w:ascii="Arial" w:eastAsia="Times New Roman" w:hAnsi="Arial" w:cs="Arial"/>
                <w:b/>
                <w:bCs/>
                <w:color w:val="231F20"/>
                <w:lang w:eastAsia="fr-FR"/>
              </w:rPr>
              <w:t>Alaotra Mangoro</w:t>
            </w:r>
          </w:p>
        </w:tc>
        <w:tc>
          <w:tcPr>
            <w:tcW w:w="1549" w:type="dxa"/>
            <w:shd w:val="clear" w:color="auto" w:fill="auto"/>
            <w:hideMark/>
          </w:tcPr>
          <w:p w14:paraId="206A2F0C"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41</w:t>
            </w:r>
          </w:p>
        </w:tc>
        <w:tc>
          <w:tcPr>
            <w:tcW w:w="1329" w:type="dxa"/>
            <w:shd w:val="clear" w:color="auto" w:fill="auto"/>
            <w:hideMark/>
          </w:tcPr>
          <w:p w14:paraId="249B9576"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34</w:t>
            </w:r>
          </w:p>
        </w:tc>
        <w:tc>
          <w:tcPr>
            <w:tcW w:w="1560" w:type="dxa"/>
            <w:shd w:val="clear" w:color="auto" w:fill="auto"/>
            <w:hideMark/>
          </w:tcPr>
          <w:p w14:paraId="7FC188E2"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10</w:t>
            </w:r>
          </w:p>
        </w:tc>
        <w:tc>
          <w:tcPr>
            <w:tcW w:w="1701" w:type="dxa"/>
            <w:shd w:val="clear" w:color="auto" w:fill="auto"/>
            <w:hideMark/>
          </w:tcPr>
          <w:p w14:paraId="3EAD4F12"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39</w:t>
            </w:r>
          </w:p>
        </w:tc>
      </w:tr>
      <w:tr w:rsidR="0063584D" w:rsidRPr="007F78CE" w14:paraId="6A030BCE" w14:textId="77777777" w:rsidTr="007F78CE">
        <w:trPr>
          <w:trHeight w:val="300"/>
          <w:jc w:val="center"/>
        </w:trPr>
        <w:tc>
          <w:tcPr>
            <w:tcW w:w="2436" w:type="dxa"/>
            <w:tcBorders>
              <w:top w:val="single" w:sz="8" w:space="0" w:color="4F81BD"/>
              <w:left w:val="single" w:sz="8" w:space="0" w:color="4F81BD"/>
              <w:bottom w:val="single" w:sz="8" w:space="0" w:color="4F81BD"/>
            </w:tcBorders>
            <w:shd w:val="clear" w:color="auto" w:fill="auto"/>
            <w:hideMark/>
          </w:tcPr>
          <w:p w14:paraId="5928BB53" w14:textId="77777777" w:rsidR="00700E61" w:rsidRPr="007F78CE" w:rsidRDefault="00700E61" w:rsidP="007F78CE">
            <w:pPr>
              <w:spacing w:after="0" w:line="240" w:lineRule="auto"/>
              <w:rPr>
                <w:rFonts w:ascii="Arial" w:eastAsia="Times New Roman" w:hAnsi="Arial" w:cs="Arial"/>
                <w:b/>
                <w:bCs/>
                <w:color w:val="231F20"/>
                <w:lang w:eastAsia="fr-FR"/>
              </w:rPr>
            </w:pPr>
            <w:r w:rsidRPr="007F78CE">
              <w:rPr>
                <w:rFonts w:ascii="Arial" w:eastAsia="Times New Roman" w:hAnsi="Arial" w:cs="Arial"/>
                <w:b/>
                <w:bCs/>
                <w:color w:val="231F20"/>
                <w:spacing w:val="-2"/>
                <w:lang w:eastAsia="fr-FR"/>
              </w:rPr>
              <w:t>Boeny</w:t>
            </w:r>
          </w:p>
        </w:tc>
        <w:tc>
          <w:tcPr>
            <w:tcW w:w="1549" w:type="dxa"/>
            <w:tcBorders>
              <w:top w:val="single" w:sz="8" w:space="0" w:color="4F81BD"/>
              <w:bottom w:val="single" w:sz="8" w:space="0" w:color="4F81BD"/>
            </w:tcBorders>
            <w:shd w:val="clear" w:color="auto" w:fill="auto"/>
            <w:hideMark/>
          </w:tcPr>
          <w:p w14:paraId="0AA732DA"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28</w:t>
            </w:r>
          </w:p>
        </w:tc>
        <w:tc>
          <w:tcPr>
            <w:tcW w:w="1329" w:type="dxa"/>
            <w:tcBorders>
              <w:top w:val="single" w:sz="8" w:space="0" w:color="4F81BD"/>
              <w:bottom w:val="single" w:sz="8" w:space="0" w:color="4F81BD"/>
            </w:tcBorders>
            <w:shd w:val="clear" w:color="auto" w:fill="auto"/>
            <w:hideMark/>
          </w:tcPr>
          <w:p w14:paraId="4B56848D"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22</w:t>
            </w:r>
          </w:p>
        </w:tc>
        <w:tc>
          <w:tcPr>
            <w:tcW w:w="1560" w:type="dxa"/>
            <w:tcBorders>
              <w:top w:val="single" w:sz="8" w:space="0" w:color="4F81BD"/>
              <w:bottom w:val="single" w:sz="8" w:space="0" w:color="4F81BD"/>
            </w:tcBorders>
            <w:shd w:val="clear" w:color="auto" w:fill="auto"/>
            <w:hideMark/>
          </w:tcPr>
          <w:p w14:paraId="5127E745"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10</w:t>
            </w:r>
          </w:p>
        </w:tc>
        <w:tc>
          <w:tcPr>
            <w:tcW w:w="1701" w:type="dxa"/>
            <w:tcBorders>
              <w:top w:val="single" w:sz="8" w:space="0" w:color="4F81BD"/>
              <w:bottom w:val="single" w:sz="8" w:space="0" w:color="4F81BD"/>
              <w:right w:val="single" w:sz="8" w:space="0" w:color="4F81BD"/>
            </w:tcBorders>
            <w:shd w:val="clear" w:color="auto" w:fill="auto"/>
            <w:hideMark/>
          </w:tcPr>
          <w:p w14:paraId="02E017F0"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24</w:t>
            </w:r>
          </w:p>
        </w:tc>
      </w:tr>
      <w:tr w:rsidR="0063584D" w:rsidRPr="007F78CE" w14:paraId="439288CB" w14:textId="77777777" w:rsidTr="007F78CE">
        <w:trPr>
          <w:trHeight w:val="300"/>
          <w:jc w:val="center"/>
        </w:trPr>
        <w:tc>
          <w:tcPr>
            <w:tcW w:w="2436" w:type="dxa"/>
            <w:shd w:val="clear" w:color="auto" w:fill="auto"/>
            <w:hideMark/>
          </w:tcPr>
          <w:p w14:paraId="11E8D1D5" w14:textId="77777777" w:rsidR="00700E61" w:rsidRPr="007F78CE" w:rsidRDefault="00700E61" w:rsidP="007F78CE">
            <w:pPr>
              <w:spacing w:after="0" w:line="240" w:lineRule="auto"/>
              <w:rPr>
                <w:rFonts w:ascii="Arial" w:eastAsia="Times New Roman" w:hAnsi="Arial" w:cs="Arial"/>
                <w:b/>
                <w:bCs/>
                <w:color w:val="231F20"/>
                <w:lang w:eastAsia="fr-FR"/>
              </w:rPr>
            </w:pPr>
            <w:r w:rsidRPr="007F78CE">
              <w:rPr>
                <w:rFonts w:ascii="Arial" w:eastAsia="Times New Roman" w:hAnsi="Arial" w:cs="Arial"/>
                <w:b/>
                <w:bCs/>
                <w:color w:val="231F20"/>
                <w:spacing w:val="-2"/>
                <w:lang w:eastAsia="fr-FR"/>
              </w:rPr>
              <w:t>Sofia</w:t>
            </w:r>
          </w:p>
        </w:tc>
        <w:tc>
          <w:tcPr>
            <w:tcW w:w="1549" w:type="dxa"/>
            <w:shd w:val="clear" w:color="auto" w:fill="auto"/>
            <w:hideMark/>
          </w:tcPr>
          <w:p w14:paraId="2BC68364"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45</w:t>
            </w:r>
          </w:p>
        </w:tc>
        <w:tc>
          <w:tcPr>
            <w:tcW w:w="1329" w:type="dxa"/>
            <w:shd w:val="clear" w:color="auto" w:fill="auto"/>
            <w:hideMark/>
          </w:tcPr>
          <w:p w14:paraId="79AB50D7"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19</w:t>
            </w:r>
          </w:p>
        </w:tc>
        <w:tc>
          <w:tcPr>
            <w:tcW w:w="1560" w:type="dxa"/>
            <w:shd w:val="clear" w:color="auto" w:fill="auto"/>
            <w:hideMark/>
          </w:tcPr>
          <w:p w14:paraId="3C494D2E"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11</w:t>
            </w:r>
          </w:p>
        </w:tc>
        <w:tc>
          <w:tcPr>
            <w:tcW w:w="1701" w:type="dxa"/>
            <w:shd w:val="clear" w:color="auto" w:fill="auto"/>
            <w:hideMark/>
          </w:tcPr>
          <w:p w14:paraId="6322A7F7"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26</w:t>
            </w:r>
          </w:p>
        </w:tc>
      </w:tr>
      <w:tr w:rsidR="0063584D" w:rsidRPr="007F78CE" w14:paraId="11313EF8" w14:textId="77777777" w:rsidTr="007F78CE">
        <w:trPr>
          <w:trHeight w:val="300"/>
          <w:jc w:val="center"/>
        </w:trPr>
        <w:tc>
          <w:tcPr>
            <w:tcW w:w="2436" w:type="dxa"/>
            <w:tcBorders>
              <w:top w:val="single" w:sz="8" w:space="0" w:color="4F81BD"/>
              <w:left w:val="single" w:sz="8" w:space="0" w:color="4F81BD"/>
              <w:bottom w:val="single" w:sz="8" w:space="0" w:color="4F81BD"/>
            </w:tcBorders>
            <w:shd w:val="clear" w:color="auto" w:fill="auto"/>
            <w:hideMark/>
          </w:tcPr>
          <w:p w14:paraId="6796BA52" w14:textId="77777777" w:rsidR="00700E61" w:rsidRPr="007F78CE" w:rsidRDefault="00700E61" w:rsidP="007F78CE">
            <w:pPr>
              <w:spacing w:after="0" w:line="240" w:lineRule="auto"/>
              <w:rPr>
                <w:rFonts w:ascii="Arial" w:eastAsia="Times New Roman" w:hAnsi="Arial" w:cs="Arial"/>
                <w:b/>
                <w:bCs/>
                <w:color w:val="231F20"/>
                <w:lang w:eastAsia="fr-FR"/>
              </w:rPr>
            </w:pPr>
            <w:r w:rsidRPr="007F78CE">
              <w:rPr>
                <w:rFonts w:ascii="Arial" w:eastAsia="Times New Roman" w:hAnsi="Arial" w:cs="Arial"/>
                <w:b/>
                <w:bCs/>
                <w:color w:val="231F20"/>
                <w:spacing w:val="-2"/>
                <w:lang w:eastAsia="fr-FR"/>
              </w:rPr>
              <w:t>Betsiboka</w:t>
            </w:r>
          </w:p>
        </w:tc>
        <w:tc>
          <w:tcPr>
            <w:tcW w:w="1549" w:type="dxa"/>
            <w:tcBorders>
              <w:top w:val="single" w:sz="8" w:space="0" w:color="4F81BD"/>
              <w:bottom w:val="single" w:sz="8" w:space="0" w:color="4F81BD"/>
            </w:tcBorders>
            <w:shd w:val="clear" w:color="auto" w:fill="auto"/>
            <w:hideMark/>
          </w:tcPr>
          <w:p w14:paraId="1C76CF2E"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45</w:t>
            </w:r>
          </w:p>
        </w:tc>
        <w:tc>
          <w:tcPr>
            <w:tcW w:w="1329" w:type="dxa"/>
            <w:tcBorders>
              <w:top w:val="single" w:sz="8" w:space="0" w:color="4F81BD"/>
              <w:bottom w:val="single" w:sz="8" w:space="0" w:color="4F81BD"/>
            </w:tcBorders>
            <w:shd w:val="clear" w:color="auto" w:fill="auto"/>
            <w:hideMark/>
          </w:tcPr>
          <w:p w14:paraId="14F6E710"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16</w:t>
            </w:r>
          </w:p>
        </w:tc>
        <w:tc>
          <w:tcPr>
            <w:tcW w:w="1560" w:type="dxa"/>
            <w:tcBorders>
              <w:top w:val="single" w:sz="8" w:space="0" w:color="4F81BD"/>
              <w:bottom w:val="single" w:sz="8" w:space="0" w:color="4F81BD"/>
            </w:tcBorders>
            <w:shd w:val="clear" w:color="auto" w:fill="auto"/>
            <w:hideMark/>
          </w:tcPr>
          <w:p w14:paraId="5F0B1200"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16</w:t>
            </w:r>
          </w:p>
        </w:tc>
        <w:tc>
          <w:tcPr>
            <w:tcW w:w="1701" w:type="dxa"/>
            <w:tcBorders>
              <w:top w:val="single" w:sz="8" w:space="0" w:color="4F81BD"/>
              <w:bottom w:val="single" w:sz="8" w:space="0" w:color="4F81BD"/>
              <w:right w:val="single" w:sz="8" w:space="0" w:color="4F81BD"/>
            </w:tcBorders>
            <w:shd w:val="clear" w:color="auto" w:fill="auto"/>
            <w:hideMark/>
          </w:tcPr>
          <w:p w14:paraId="46BE64E3"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25</w:t>
            </w:r>
          </w:p>
        </w:tc>
      </w:tr>
      <w:tr w:rsidR="0063584D" w:rsidRPr="007F78CE" w14:paraId="612BA443" w14:textId="77777777" w:rsidTr="007F78CE">
        <w:trPr>
          <w:trHeight w:val="300"/>
          <w:jc w:val="center"/>
        </w:trPr>
        <w:tc>
          <w:tcPr>
            <w:tcW w:w="2436" w:type="dxa"/>
            <w:shd w:val="clear" w:color="auto" w:fill="auto"/>
            <w:hideMark/>
          </w:tcPr>
          <w:p w14:paraId="29497627" w14:textId="77777777" w:rsidR="00700E61" w:rsidRPr="007F78CE" w:rsidRDefault="00700E61" w:rsidP="007F78CE">
            <w:pPr>
              <w:spacing w:after="0" w:line="240" w:lineRule="auto"/>
              <w:rPr>
                <w:rFonts w:ascii="Arial" w:eastAsia="Times New Roman" w:hAnsi="Arial" w:cs="Arial"/>
                <w:b/>
                <w:bCs/>
                <w:color w:val="231F20"/>
                <w:lang w:eastAsia="fr-FR"/>
              </w:rPr>
            </w:pPr>
            <w:r w:rsidRPr="007F78CE">
              <w:rPr>
                <w:rFonts w:ascii="Arial" w:eastAsia="Times New Roman" w:hAnsi="Arial" w:cs="Arial"/>
                <w:b/>
                <w:bCs/>
                <w:color w:val="231F20"/>
                <w:spacing w:val="-2"/>
                <w:lang w:eastAsia="fr-FR"/>
              </w:rPr>
              <w:t>Melaky</w:t>
            </w:r>
          </w:p>
        </w:tc>
        <w:tc>
          <w:tcPr>
            <w:tcW w:w="1549" w:type="dxa"/>
            <w:shd w:val="clear" w:color="auto" w:fill="auto"/>
            <w:hideMark/>
          </w:tcPr>
          <w:p w14:paraId="024689A4"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20</w:t>
            </w:r>
          </w:p>
        </w:tc>
        <w:tc>
          <w:tcPr>
            <w:tcW w:w="1329" w:type="dxa"/>
            <w:shd w:val="clear" w:color="auto" w:fill="auto"/>
            <w:hideMark/>
          </w:tcPr>
          <w:p w14:paraId="671B1964"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10</w:t>
            </w:r>
          </w:p>
        </w:tc>
        <w:tc>
          <w:tcPr>
            <w:tcW w:w="1560" w:type="dxa"/>
            <w:shd w:val="clear" w:color="auto" w:fill="auto"/>
            <w:hideMark/>
          </w:tcPr>
          <w:p w14:paraId="15A9EFBE"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lang w:eastAsia="fr-FR"/>
              </w:rPr>
              <w:t>7</w:t>
            </w:r>
          </w:p>
        </w:tc>
        <w:tc>
          <w:tcPr>
            <w:tcW w:w="1701" w:type="dxa"/>
            <w:shd w:val="clear" w:color="auto" w:fill="auto"/>
            <w:hideMark/>
          </w:tcPr>
          <w:p w14:paraId="335F1168"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13</w:t>
            </w:r>
          </w:p>
        </w:tc>
      </w:tr>
      <w:tr w:rsidR="0063584D" w:rsidRPr="007F78CE" w14:paraId="35361387" w14:textId="77777777" w:rsidTr="007F78CE">
        <w:trPr>
          <w:trHeight w:val="300"/>
          <w:jc w:val="center"/>
        </w:trPr>
        <w:tc>
          <w:tcPr>
            <w:tcW w:w="2436" w:type="dxa"/>
            <w:tcBorders>
              <w:top w:val="single" w:sz="8" w:space="0" w:color="4F81BD"/>
              <w:left w:val="single" w:sz="8" w:space="0" w:color="4F81BD"/>
              <w:bottom w:val="single" w:sz="8" w:space="0" w:color="4F81BD"/>
            </w:tcBorders>
            <w:shd w:val="clear" w:color="auto" w:fill="auto"/>
            <w:hideMark/>
          </w:tcPr>
          <w:p w14:paraId="6249843E" w14:textId="77777777" w:rsidR="00700E61" w:rsidRPr="007F78CE" w:rsidRDefault="00700E61" w:rsidP="007F78CE">
            <w:pPr>
              <w:spacing w:after="0" w:line="240" w:lineRule="auto"/>
              <w:rPr>
                <w:rFonts w:ascii="Arial" w:eastAsia="Times New Roman" w:hAnsi="Arial" w:cs="Arial"/>
                <w:b/>
                <w:bCs/>
                <w:color w:val="231F20"/>
                <w:lang w:eastAsia="fr-FR"/>
              </w:rPr>
            </w:pPr>
            <w:r w:rsidRPr="007F78CE">
              <w:rPr>
                <w:rFonts w:ascii="Arial" w:eastAsia="Times New Roman" w:hAnsi="Arial" w:cs="Arial"/>
                <w:b/>
                <w:bCs/>
                <w:color w:val="231F20"/>
                <w:lang w:eastAsia="fr-FR"/>
              </w:rPr>
              <w:t>Atsimo Andrefana</w:t>
            </w:r>
          </w:p>
        </w:tc>
        <w:tc>
          <w:tcPr>
            <w:tcW w:w="1549" w:type="dxa"/>
            <w:tcBorders>
              <w:top w:val="single" w:sz="8" w:space="0" w:color="4F81BD"/>
              <w:bottom w:val="single" w:sz="8" w:space="0" w:color="4F81BD"/>
            </w:tcBorders>
            <w:shd w:val="clear" w:color="auto" w:fill="auto"/>
            <w:hideMark/>
          </w:tcPr>
          <w:p w14:paraId="39631990"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11</w:t>
            </w:r>
          </w:p>
        </w:tc>
        <w:tc>
          <w:tcPr>
            <w:tcW w:w="1329" w:type="dxa"/>
            <w:tcBorders>
              <w:top w:val="single" w:sz="8" w:space="0" w:color="4F81BD"/>
              <w:bottom w:val="single" w:sz="8" w:space="0" w:color="4F81BD"/>
            </w:tcBorders>
            <w:shd w:val="clear" w:color="auto" w:fill="auto"/>
            <w:hideMark/>
          </w:tcPr>
          <w:p w14:paraId="29D87764"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10</w:t>
            </w:r>
          </w:p>
        </w:tc>
        <w:tc>
          <w:tcPr>
            <w:tcW w:w="1560" w:type="dxa"/>
            <w:tcBorders>
              <w:top w:val="single" w:sz="8" w:space="0" w:color="4F81BD"/>
              <w:bottom w:val="single" w:sz="8" w:space="0" w:color="4F81BD"/>
            </w:tcBorders>
            <w:shd w:val="clear" w:color="auto" w:fill="auto"/>
            <w:hideMark/>
          </w:tcPr>
          <w:p w14:paraId="7068F524"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lang w:eastAsia="fr-FR"/>
              </w:rPr>
              <w:t>2</w:t>
            </w:r>
          </w:p>
        </w:tc>
        <w:tc>
          <w:tcPr>
            <w:tcW w:w="1701" w:type="dxa"/>
            <w:tcBorders>
              <w:top w:val="single" w:sz="8" w:space="0" w:color="4F81BD"/>
              <w:bottom w:val="single" w:sz="8" w:space="0" w:color="4F81BD"/>
              <w:right w:val="single" w:sz="8" w:space="0" w:color="4F81BD"/>
            </w:tcBorders>
            <w:shd w:val="clear" w:color="auto" w:fill="auto"/>
            <w:hideMark/>
          </w:tcPr>
          <w:p w14:paraId="059160AA"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10</w:t>
            </w:r>
          </w:p>
        </w:tc>
      </w:tr>
      <w:tr w:rsidR="0063584D" w:rsidRPr="007F78CE" w14:paraId="5F227048" w14:textId="77777777" w:rsidTr="007F78CE">
        <w:trPr>
          <w:trHeight w:val="300"/>
          <w:jc w:val="center"/>
        </w:trPr>
        <w:tc>
          <w:tcPr>
            <w:tcW w:w="2436" w:type="dxa"/>
            <w:shd w:val="clear" w:color="auto" w:fill="auto"/>
            <w:hideMark/>
          </w:tcPr>
          <w:p w14:paraId="7697FD9A" w14:textId="77777777" w:rsidR="00700E61" w:rsidRPr="007F78CE" w:rsidRDefault="00700E61" w:rsidP="007F78CE">
            <w:pPr>
              <w:spacing w:after="0" w:line="240" w:lineRule="auto"/>
              <w:rPr>
                <w:rFonts w:ascii="Arial" w:eastAsia="Times New Roman" w:hAnsi="Arial" w:cs="Arial"/>
                <w:b/>
                <w:bCs/>
                <w:color w:val="231F20"/>
                <w:lang w:eastAsia="fr-FR"/>
              </w:rPr>
            </w:pPr>
            <w:r w:rsidRPr="007F78CE">
              <w:rPr>
                <w:rFonts w:ascii="Arial" w:eastAsia="Times New Roman" w:hAnsi="Arial" w:cs="Arial"/>
                <w:b/>
                <w:bCs/>
                <w:color w:val="231F20"/>
                <w:spacing w:val="-2"/>
                <w:lang w:eastAsia="fr-FR"/>
              </w:rPr>
              <w:t>Androy</w:t>
            </w:r>
          </w:p>
        </w:tc>
        <w:tc>
          <w:tcPr>
            <w:tcW w:w="1549" w:type="dxa"/>
            <w:shd w:val="clear" w:color="auto" w:fill="auto"/>
            <w:hideMark/>
          </w:tcPr>
          <w:p w14:paraId="3FE8FBCD"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22</w:t>
            </w:r>
          </w:p>
        </w:tc>
        <w:tc>
          <w:tcPr>
            <w:tcW w:w="1329" w:type="dxa"/>
            <w:shd w:val="clear" w:color="auto" w:fill="auto"/>
            <w:hideMark/>
          </w:tcPr>
          <w:p w14:paraId="6810AEE1"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11</w:t>
            </w:r>
          </w:p>
        </w:tc>
        <w:tc>
          <w:tcPr>
            <w:tcW w:w="1560" w:type="dxa"/>
            <w:shd w:val="clear" w:color="auto" w:fill="auto"/>
            <w:hideMark/>
          </w:tcPr>
          <w:p w14:paraId="6311CB8C"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lang w:eastAsia="fr-FR"/>
              </w:rPr>
              <w:t>3</w:t>
            </w:r>
          </w:p>
        </w:tc>
        <w:tc>
          <w:tcPr>
            <w:tcW w:w="1701" w:type="dxa"/>
            <w:shd w:val="clear" w:color="auto" w:fill="auto"/>
            <w:hideMark/>
          </w:tcPr>
          <w:p w14:paraId="3CBAA395"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13</w:t>
            </w:r>
          </w:p>
        </w:tc>
      </w:tr>
      <w:tr w:rsidR="0063584D" w:rsidRPr="007F78CE" w14:paraId="164DBBCA" w14:textId="77777777" w:rsidTr="007F78CE">
        <w:trPr>
          <w:trHeight w:val="300"/>
          <w:jc w:val="center"/>
        </w:trPr>
        <w:tc>
          <w:tcPr>
            <w:tcW w:w="2436" w:type="dxa"/>
            <w:tcBorders>
              <w:top w:val="single" w:sz="8" w:space="0" w:color="4F81BD"/>
              <w:left w:val="single" w:sz="8" w:space="0" w:color="4F81BD"/>
              <w:bottom w:val="single" w:sz="8" w:space="0" w:color="4F81BD"/>
            </w:tcBorders>
            <w:shd w:val="clear" w:color="auto" w:fill="auto"/>
            <w:hideMark/>
          </w:tcPr>
          <w:p w14:paraId="473A5C3D" w14:textId="77777777" w:rsidR="00700E61" w:rsidRPr="007F78CE" w:rsidRDefault="00700E61" w:rsidP="007F78CE">
            <w:pPr>
              <w:spacing w:after="0" w:line="240" w:lineRule="auto"/>
              <w:rPr>
                <w:rFonts w:ascii="Arial" w:eastAsia="Times New Roman" w:hAnsi="Arial" w:cs="Arial"/>
                <w:b/>
                <w:bCs/>
                <w:color w:val="231F20"/>
                <w:lang w:eastAsia="fr-FR"/>
              </w:rPr>
            </w:pPr>
            <w:r w:rsidRPr="007F78CE">
              <w:rPr>
                <w:rFonts w:ascii="Arial" w:eastAsia="Times New Roman" w:hAnsi="Arial" w:cs="Arial"/>
                <w:b/>
                <w:bCs/>
                <w:color w:val="231F20"/>
                <w:spacing w:val="-2"/>
                <w:lang w:eastAsia="fr-FR"/>
              </w:rPr>
              <w:t>Anosy</w:t>
            </w:r>
          </w:p>
        </w:tc>
        <w:tc>
          <w:tcPr>
            <w:tcW w:w="1549" w:type="dxa"/>
            <w:tcBorders>
              <w:top w:val="single" w:sz="8" w:space="0" w:color="4F81BD"/>
              <w:bottom w:val="single" w:sz="8" w:space="0" w:color="4F81BD"/>
            </w:tcBorders>
            <w:shd w:val="clear" w:color="auto" w:fill="auto"/>
            <w:hideMark/>
          </w:tcPr>
          <w:p w14:paraId="24F16116"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30</w:t>
            </w:r>
          </w:p>
        </w:tc>
        <w:tc>
          <w:tcPr>
            <w:tcW w:w="1329" w:type="dxa"/>
            <w:tcBorders>
              <w:top w:val="single" w:sz="8" w:space="0" w:color="4F81BD"/>
              <w:bottom w:val="single" w:sz="8" w:space="0" w:color="4F81BD"/>
            </w:tcBorders>
            <w:shd w:val="clear" w:color="auto" w:fill="auto"/>
            <w:hideMark/>
          </w:tcPr>
          <w:p w14:paraId="5B26430F"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11</w:t>
            </w:r>
          </w:p>
        </w:tc>
        <w:tc>
          <w:tcPr>
            <w:tcW w:w="1560" w:type="dxa"/>
            <w:tcBorders>
              <w:top w:val="single" w:sz="8" w:space="0" w:color="4F81BD"/>
              <w:bottom w:val="single" w:sz="8" w:space="0" w:color="4F81BD"/>
            </w:tcBorders>
            <w:shd w:val="clear" w:color="auto" w:fill="auto"/>
            <w:hideMark/>
          </w:tcPr>
          <w:p w14:paraId="65E78DE2"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21</w:t>
            </w:r>
          </w:p>
        </w:tc>
        <w:tc>
          <w:tcPr>
            <w:tcW w:w="1701" w:type="dxa"/>
            <w:tcBorders>
              <w:top w:val="single" w:sz="8" w:space="0" w:color="4F81BD"/>
              <w:bottom w:val="single" w:sz="8" w:space="0" w:color="4F81BD"/>
              <w:right w:val="single" w:sz="8" w:space="0" w:color="4F81BD"/>
            </w:tcBorders>
            <w:shd w:val="clear" w:color="auto" w:fill="auto"/>
            <w:hideMark/>
          </w:tcPr>
          <w:p w14:paraId="7F3B0578"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27</w:t>
            </w:r>
          </w:p>
        </w:tc>
      </w:tr>
      <w:tr w:rsidR="0063584D" w:rsidRPr="007F78CE" w14:paraId="6267651B" w14:textId="77777777" w:rsidTr="007F78CE">
        <w:trPr>
          <w:trHeight w:val="300"/>
          <w:jc w:val="center"/>
        </w:trPr>
        <w:tc>
          <w:tcPr>
            <w:tcW w:w="2436" w:type="dxa"/>
            <w:shd w:val="clear" w:color="auto" w:fill="auto"/>
            <w:hideMark/>
          </w:tcPr>
          <w:p w14:paraId="3F29FD23" w14:textId="77777777" w:rsidR="00700E61" w:rsidRPr="007F78CE" w:rsidRDefault="00700E61" w:rsidP="007F78CE">
            <w:pPr>
              <w:spacing w:after="0" w:line="240" w:lineRule="auto"/>
              <w:rPr>
                <w:rFonts w:ascii="Arial" w:eastAsia="Times New Roman" w:hAnsi="Arial" w:cs="Arial"/>
                <w:b/>
                <w:bCs/>
                <w:color w:val="231F20"/>
                <w:lang w:eastAsia="fr-FR"/>
              </w:rPr>
            </w:pPr>
            <w:r w:rsidRPr="007F78CE">
              <w:rPr>
                <w:rFonts w:ascii="Arial" w:eastAsia="Times New Roman" w:hAnsi="Arial" w:cs="Arial"/>
                <w:b/>
                <w:bCs/>
                <w:color w:val="231F20"/>
                <w:spacing w:val="-2"/>
                <w:lang w:eastAsia="fr-FR"/>
              </w:rPr>
              <w:t>Menabe</w:t>
            </w:r>
          </w:p>
        </w:tc>
        <w:tc>
          <w:tcPr>
            <w:tcW w:w="1549" w:type="dxa"/>
            <w:shd w:val="clear" w:color="auto" w:fill="auto"/>
            <w:hideMark/>
          </w:tcPr>
          <w:p w14:paraId="48E10FDD"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25</w:t>
            </w:r>
          </w:p>
        </w:tc>
        <w:tc>
          <w:tcPr>
            <w:tcW w:w="1329" w:type="dxa"/>
            <w:shd w:val="clear" w:color="auto" w:fill="auto"/>
            <w:hideMark/>
          </w:tcPr>
          <w:p w14:paraId="7D2A7D8E"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20</w:t>
            </w:r>
          </w:p>
        </w:tc>
        <w:tc>
          <w:tcPr>
            <w:tcW w:w="1560" w:type="dxa"/>
            <w:shd w:val="clear" w:color="auto" w:fill="auto"/>
            <w:hideMark/>
          </w:tcPr>
          <w:p w14:paraId="621F9C7B"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17</w:t>
            </w:r>
          </w:p>
        </w:tc>
        <w:tc>
          <w:tcPr>
            <w:tcW w:w="1701" w:type="dxa"/>
            <w:shd w:val="clear" w:color="auto" w:fill="auto"/>
            <w:hideMark/>
          </w:tcPr>
          <w:p w14:paraId="71C30A19"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29</w:t>
            </w:r>
          </w:p>
        </w:tc>
      </w:tr>
      <w:tr w:rsidR="0063584D" w:rsidRPr="007F78CE" w14:paraId="13D2A611" w14:textId="77777777" w:rsidTr="007F78CE">
        <w:trPr>
          <w:trHeight w:val="300"/>
          <w:jc w:val="center"/>
        </w:trPr>
        <w:tc>
          <w:tcPr>
            <w:tcW w:w="2436" w:type="dxa"/>
            <w:tcBorders>
              <w:top w:val="single" w:sz="8" w:space="0" w:color="4F81BD"/>
              <w:left w:val="single" w:sz="8" w:space="0" w:color="4F81BD"/>
              <w:bottom w:val="single" w:sz="8" w:space="0" w:color="4F81BD"/>
            </w:tcBorders>
            <w:shd w:val="clear" w:color="auto" w:fill="auto"/>
            <w:hideMark/>
          </w:tcPr>
          <w:p w14:paraId="339E98BF" w14:textId="77777777" w:rsidR="00700E61" w:rsidRPr="007F78CE" w:rsidRDefault="006D616A" w:rsidP="007F78CE">
            <w:pPr>
              <w:spacing w:after="0" w:line="240" w:lineRule="auto"/>
              <w:rPr>
                <w:rFonts w:ascii="Arial" w:eastAsia="Times New Roman" w:hAnsi="Arial" w:cs="Arial"/>
                <w:b/>
                <w:bCs/>
                <w:color w:val="231F20"/>
                <w:lang w:eastAsia="fr-FR"/>
              </w:rPr>
            </w:pPr>
            <w:r w:rsidRPr="007F78CE">
              <w:rPr>
                <w:rFonts w:ascii="Arial" w:eastAsia="Times New Roman" w:hAnsi="Arial" w:cs="Arial"/>
                <w:b/>
                <w:bCs/>
                <w:color w:val="231F20"/>
                <w:spacing w:val="-2"/>
                <w:lang w:eastAsia="fr-FR"/>
              </w:rPr>
              <w:t>D</w:t>
            </w:r>
            <w:r>
              <w:rPr>
                <w:rFonts w:ascii="Arial" w:eastAsia="Times New Roman" w:hAnsi="Arial" w:cs="Arial"/>
                <w:b/>
                <w:bCs/>
                <w:color w:val="231F20"/>
                <w:spacing w:val="-2"/>
                <w:lang w:eastAsia="fr-FR"/>
              </w:rPr>
              <w:t>IANA</w:t>
            </w:r>
          </w:p>
        </w:tc>
        <w:tc>
          <w:tcPr>
            <w:tcW w:w="1549" w:type="dxa"/>
            <w:tcBorders>
              <w:top w:val="single" w:sz="8" w:space="0" w:color="4F81BD"/>
              <w:bottom w:val="single" w:sz="8" w:space="0" w:color="4F81BD"/>
            </w:tcBorders>
            <w:shd w:val="clear" w:color="auto" w:fill="auto"/>
            <w:hideMark/>
          </w:tcPr>
          <w:p w14:paraId="6656AC5A"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30</w:t>
            </w:r>
          </w:p>
        </w:tc>
        <w:tc>
          <w:tcPr>
            <w:tcW w:w="1329" w:type="dxa"/>
            <w:tcBorders>
              <w:top w:val="single" w:sz="8" w:space="0" w:color="4F81BD"/>
              <w:bottom w:val="single" w:sz="8" w:space="0" w:color="4F81BD"/>
            </w:tcBorders>
            <w:shd w:val="clear" w:color="auto" w:fill="auto"/>
            <w:hideMark/>
          </w:tcPr>
          <w:p w14:paraId="261EF826"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15</w:t>
            </w:r>
          </w:p>
        </w:tc>
        <w:tc>
          <w:tcPr>
            <w:tcW w:w="1560" w:type="dxa"/>
            <w:tcBorders>
              <w:top w:val="single" w:sz="8" w:space="0" w:color="4F81BD"/>
              <w:bottom w:val="single" w:sz="8" w:space="0" w:color="4F81BD"/>
            </w:tcBorders>
            <w:shd w:val="clear" w:color="auto" w:fill="auto"/>
            <w:hideMark/>
          </w:tcPr>
          <w:p w14:paraId="0D22A286"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lang w:eastAsia="fr-FR"/>
              </w:rPr>
              <w:t>4</w:t>
            </w:r>
          </w:p>
        </w:tc>
        <w:tc>
          <w:tcPr>
            <w:tcW w:w="1701" w:type="dxa"/>
            <w:tcBorders>
              <w:top w:val="single" w:sz="8" w:space="0" w:color="4F81BD"/>
              <w:bottom w:val="single" w:sz="8" w:space="0" w:color="4F81BD"/>
              <w:right w:val="single" w:sz="8" w:space="0" w:color="4F81BD"/>
            </w:tcBorders>
            <w:shd w:val="clear" w:color="auto" w:fill="auto"/>
            <w:hideMark/>
          </w:tcPr>
          <w:p w14:paraId="04C1A48F"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17</w:t>
            </w:r>
          </w:p>
        </w:tc>
      </w:tr>
      <w:tr w:rsidR="0063584D" w:rsidRPr="007F78CE" w14:paraId="5CD2703A" w14:textId="77777777" w:rsidTr="007F78CE">
        <w:trPr>
          <w:trHeight w:val="300"/>
          <w:jc w:val="center"/>
        </w:trPr>
        <w:tc>
          <w:tcPr>
            <w:tcW w:w="2436" w:type="dxa"/>
            <w:shd w:val="clear" w:color="auto" w:fill="auto"/>
            <w:hideMark/>
          </w:tcPr>
          <w:p w14:paraId="1339A2C9" w14:textId="77777777" w:rsidR="00700E61" w:rsidRPr="007F78CE" w:rsidRDefault="006D616A" w:rsidP="007F78CE">
            <w:pPr>
              <w:spacing w:after="0" w:line="240" w:lineRule="auto"/>
              <w:rPr>
                <w:rFonts w:ascii="Arial" w:eastAsia="Times New Roman" w:hAnsi="Arial" w:cs="Arial"/>
                <w:b/>
                <w:bCs/>
                <w:color w:val="231F20"/>
                <w:lang w:eastAsia="fr-FR"/>
              </w:rPr>
            </w:pPr>
            <w:r w:rsidRPr="007F78CE">
              <w:rPr>
                <w:rFonts w:ascii="Arial" w:eastAsia="Times New Roman" w:hAnsi="Arial" w:cs="Arial"/>
                <w:b/>
                <w:bCs/>
                <w:color w:val="231F20"/>
                <w:spacing w:val="-4"/>
                <w:lang w:eastAsia="fr-FR"/>
              </w:rPr>
              <w:t>S</w:t>
            </w:r>
            <w:r>
              <w:rPr>
                <w:rFonts w:ascii="Arial" w:eastAsia="Times New Roman" w:hAnsi="Arial" w:cs="Arial"/>
                <w:b/>
                <w:bCs/>
                <w:color w:val="231F20"/>
                <w:spacing w:val="-4"/>
                <w:lang w:eastAsia="fr-FR"/>
              </w:rPr>
              <w:t>AVA</w:t>
            </w:r>
          </w:p>
        </w:tc>
        <w:tc>
          <w:tcPr>
            <w:tcW w:w="1549" w:type="dxa"/>
            <w:shd w:val="clear" w:color="auto" w:fill="auto"/>
            <w:hideMark/>
          </w:tcPr>
          <w:p w14:paraId="2526ACDF"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24</w:t>
            </w:r>
          </w:p>
        </w:tc>
        <w:tc>
          <w:tcPr>
            <w:tcW w:w="1329" w:type="dxa"/>
            <w:shd w:val="clear" w:color="auto" w:fill="auto"/>
            <w:hideMark/>
          </w:tcPr>
          <w:p w14:paraId="57C2B529"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20</w:t>
            </w:r>
          </w:p>
        </w:tc>
        <w:tc>
          <w:tcPr>
            <w:tcW w:w="1560" w:type="dxa"/>
            <w:shd w:val="clear" w:color="auto" w:fill="auto"/>
            <w:hideMark/>
          </w:tcPr>
          <w:p w14:paraId="63ACD10A"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lang w:eastAsia="fr-FR"/>
              </w:rPr>
              <w:t>3</w:t>
            </w:r>
          </w:p>
        </w:tc>
        <w:tc>
          <w:tcPr>
            <w:tcW w:w="1701" w:type="dxa"/>
            <w:shd w:val="clear" w:color="auto" w:fill="auto"/>
            <w:hideMark/>
          </w:tcPr>
          <w:p w14:paraId="77DC6317"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20</w:t>
            </w:r>
          </w:p>
        </w:tc>
      </w:tr>
      <w:tr w:rsidR="0063584D" w:rsidRPr="007F78CE" w14:paraId="35EBBED9" w14:textId="77777777" w:rsidTr="007F78CE">
        <w:trPr>
          <w:trHeight w:val="300"/>
          <w:jc w:val="center"/>
        </w:trPr>
        <w:tc>
          <w:tcPr>
            <w:tcW w:w="2436" w:type="dxa"/>
            <w:tcBorders>
              <w:top w:val="single" w:sz="8" w:space="0" w:color="4F81BD"/>
              <w:left w:val="single" w:sz="8" w:space="0" w:color="4F81BD"/>
              <w:bottom w:val="single" w:sz="8" w:space="0" w:color="4F81BD"/>
            </w:tcBorders>
            <w:shd w:val="clear" w:color="auto" w:fill="auto"/>
            <w:hideMark/>
          </w:tcPr>
          <w:p w14:paraId="1028391D" w14:textId="77777777" w:rsidR="00700E61" w:rsidRPr="007F78CE" w:rsidRDefault="00700E61" w:rsidP="007F78CE">
            <w:pPr>
              <w:spacing w:after="0" w:line="240" w:lineRule="auto"/>
              <w:rPr>
                <w:rFonts w:ascii="Arial" w:eastAsia="Times New Roman" w:hAnsi="Arial" w:cs="Arial"/>
                <w:b/>
                <w:bCs/>
                <w:color w:val="231F20"/>
                <w:lang w:eastAsia="fr-FR"/>
              </w:rPr>
            </w:pPr>
            <w:r w:rsidRPr="007F78CE">
              <w:rPr>
                <w:rFonts w:ascii="Arial" w:eastAsia="Times New Roman" w:hAnsi="Arial" w:cs="Arial"/>
                <w:b/>
                <w:bCs/>
                <w:color w:val="231F20"/>
                <w:spacing w:val="-2"/>
                <w:lang w:eastAsia="fr-FR"/>
              </w:rPr>
              <w:t>National</w:t>
            </w:r>
          </w:p>
        </w:tc>
        <w:tc>
          <w:tcPr>
            <w:tcW w:w="1549" w:type="dxa"/>
            <w:tcBorders>
              <w:top w:val="single" w:sz="8" w:space="0" w:color="4F81BD"/>
              <w:bottom w:val="single" w:sz="8" w:space="0" w:color="4F81BD"/>
            </w:tcBorders>
            <w:shd w:val="clear" w:color="auto" w:fill="auto"/>
            <w:hideMark/>
          </w:tcPr>
          <w:p w14:paraId="7223D16B"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34</w:t>
            </w:r>
          </w:p>
        </w:tc>
        <w:tc>
          <w:tcPr>
            <w:tcW w:w="1329" w:type="dxa"/>
            <w:tcBorders>
              <w:top w:val="single" w:sz="8" w:space="0" w:color="4F81BD"/>
              <w:bottom w:val="single" w:sz="8" w:space="0" w:color="4F81BD"/>
            </w:tcBorders>
            <w:shd w:val="clear" w:color="auto" w:fill="auto"/>
            <w:hideMark/>
          </w:tcPr>
          <w:p w14:paraId="6325E570"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23</w:t>
            </w:r>
          </w:p>
        </w:tc>
        <w:tc>
          <w:tcPr>
            <w:tcW w:w="1560" w:type="dxa"/>
            <w:tcBorders>
              <w:top w:val="single" w:sz="8" w:space="0" w:color="4F81BD"/>
              <w:bottom w:val="single" w:sz="8" w:space="0" w:color="4F81BD"/>
            </w:tcBorders>
            <w:shd w:val="clear" w:color="auto" w:fill="auto"/>
            <w:hideMark/>
          </w:tcPr>
          <w:p w14:paraId="3FDFE55C"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11</w:t>
            </w:r>
          </w:p>
        </w:tc>
        <w:tc>
          <w:tcPr>
            <w:tcW w:w="1701" w:type="dxa"/>
            <w:tcBorders>
              <w:top w:val="single" w:sz="8" w:space="0" w:color="4F81BD"/>
              <w:bottom w:val="single" w:sz="8" w:space="0" w:color="4F81BD"/>
              <w:right w:val="single" w:sz="8" w:space="0" w:color="4F81BD"/>
            </w:tcBorders>
            <w:shd w:val="clear" w:color="auto" w:fill="auto"/>
            <w:hideMark/>
          </w:tcPr>
          <w:p w14:paraId="0B6ED4F0" w14:textId="77777777" w:rsidR="00700E61" w:rsidRPr="007F78CE" w:rsidRDefault="00700E61" w:rsidP="007F78CE">
            <w:pPr>
              <w:spacing w:after="0" w:line="240" w:lineRule="auto"/>
              <w:jc w:val="center"/>
              <w:rPr>
                <w:rFonts w:ascii="Arial" w:eastAsia="Times New Roman" w:hAnsi="Arial" w:cs="Arial"/>
                <w:color w:val="231F20"/>
                <w:lang w:eastAsia="fr-FR"/>
              </w:rPr>
            </w:pPr>
            <w:r w:rsidRPr="007F78CE">
              <w:rPr>
                <w:rFonts w:ascii="Arial" w:eastAsia="Times New Roman" w:hAnsi="Arial" w:cs="Arial"/>
                <w:color w:val="231F20"/>
                <w:spacing w:val="-5"/>
                <w:lang w:eastAsia="fr-FR"/>
              </w:rPr>
              <w:t>28</w:t>
            </w:r>
          </w:p>
        </w:tc>
      </w:tr>
    </w:tbl>
    <w:p w14:paraId="3005657F" w14:textId="77777777" w:rsidR="00700E61" w:rsidRPr="00B95ABA" w:rsidRDefault="00E85EBC" w:rsidP="00656722">
      <w:pPr>
        <w:jc w:val="both"/>
        <w:rPr>
          <w:rFonts w:ascii="Arial" w:hAnsi="Arial" w:cs="Arial"/>
          <w:i/>
          <w:sz w:val="16"/>
        </w:rPr>
      </w:pPr>
      <w:r w:rsidRPr="00B95ABA">
        <w:rPr>
          <w:rFonts w:ascii="Arial" w:hAnsi="Arial" w:cs="Arial"/>
          <w:i/>
          <w:sz w:val="16"/>
        </w:rPr>
        <w:t>Source : MIC 2019</w:t>
      </w:r>
    </w:p>
    <w:p w14:paraId="5A138ABB" w14:textId="77777777" w:rsidR="00700E61" w:rsidRPr="00E71009" w:rsidRDefault="00E85EBC" w:rsidP="00656722">
      <w:pPr>
        <w:jc w:val="both"/>
        <w:rPr>
          <w:rFonts w:ascii="Arial" w:hAnsi="Arial" w:cs="Arial"/>
        </w:rPr>
      </w:pPr>
      <w:r w:rsidRPr="00E71009">
        <w:rPr>
          <w:rFonts w:ascii="Arial" w:hAnsi="Arial" w:cs="Arial"/>
        </w:rPr>
        <w:t xml:space="preserve">L’enquête menée auprès des femmes victimes de violence montre que la moitié d’entre elles préfèrent garder </w:t>
      </w:r>
      <w:r w:rsidR="00C05389">
        <w:rPr>
          <w:rFonts w:ascii="Arial" w:hAnsi="Arial" w:cs="Arial"/>
        </w:rPr>
        <w:t xml:space="preserve">le silence ou </w:t>
      </w:r>
      <w:r w:rsidRPr="00E71009">
        <w:rPr>
          <w:rFonts w:ascii="Arial" w:hAnsi="Arial" w:cs="Arial"/>
        </w:rPr>
        <w:t>le problème. Selon la figure</w:t>
      </w:r>
      <w:r w:rsidR="00B82B66" w:rsidRPr="00E71009">
        <w:rPr>
          <w:rStyle w:val="Appelnotedebasdep"/>
          <w:rFonts w:ascii="Arial" w:hAnsi="Arial" w:cs="Arial"/>
        </w:rPr>
        <w:footnoteReference w:id="67"/>
      </w:r>
      <w:r w:rsidRPr="00E71009">
        <w:rPr>
          <w:rFonts w:ascii="Arial" w:hAnsi="Arial" w:cs="Arial"/>
        </w:rPr>
        <w:t xml:space="preserve"> suivante, le cas de </w:t>
      </w:r>
      <w:r w:rsidR="00057CD2" w:rsidRPr="00E71009">
        <w:rPr>
          <w:rFonts w:ascii="Arial" w:hAnsi="Arial" w:cs="Arial"/>
        </w:rPr>
        <w:t>non-partage</w:t>
      </w:r>
      <w:r w:rsidRPr="00E71009">
        <w:rPr>
          <w:rFonts w:ascii="Arial" w:hAnsi="Arial" w:cs="Arial"/>
        </w:rPr>
        <w:t xml:space="preserve"> </w:t>
      </w:r>
      <w:r w:rsidR="004C72B9" w:rsidRPr="00E71009">
        <w:rPr>
          <w:rFonts w:ascii="Arial" w:hAnsi="Arial" w:cs="Arial"/>
        </w:rPr>
        <w:t xml:space="preserve">est plus important chez les victimes d’agression sexuelle </w:t>
      </w:r>
    </w:p>
    <w:p w14:paraId="3ABE20B8" w14:textId="4320381F" w:rsidR="00E85EBC" w:rsidRDefault="00E97ECD" w:rsidP="00E85EBC">
      <w:pPr>
        <w:jc w:val="center"/>
        <w:rPr>
          <w:rFonts w:ascii="Arial" w:hAnsi="Arial" w:cs="Arial"/>
          <w:color w:val="FF0000"/>
        </w:rPr>
      </w:pPr>
      <w:r w:rsidRPr="00977215">
        <w:rPr>
          <w:noProof/>
          <w:lang w:eastAsia="fr-FR"/>
        </w:rPr>
        <w:drawing>
          <wp:inline distT="0" distB="0" distL="0" distR="0" wp14:anchorId="35B85728" wp14:editId="7C181666">
            <wp:extent cx="4257675" cy="2552700"/>
            <wp:effectExtent l="0" t="0" r="0" b="0"/>
            <wp:docPr id="36" name="Graphiqu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57675" cy="2552700"/>
                    </a:xfrm>
                    <a:prstGeom prst="rect">
                      <a:avLst/>
                    </a:prstGeom>
                    <a:noFill/>
                    <a:ln>
                      <a:noFill/>
                    </a:ln>
                  </pic:spPr>
                </pic:pic>
              </a:graphicData>
            </a:graphic>
          </wp:inline>
        </w:drawing>
      </w:r>
    </w:p>
    <w:p w14:paraId="2AFA0531" w14:textId="77777777" w:rsidR="00E85EBC" w:rsidRPr="004C72B9" w:rsidRDefault="004C72B9" w:rsidP="004C72B9">
      <w:pPr>
        <w:pStyle w:val="Lgende"/>
        <w:jc w:val="center"/>
        <w:rPr>
          <w:color w:val="auto"/>
          <w:sz w:val="22"/>
        </w:rPr>
      </w:pPr>
      <w:bookmarkStart w:id="511" w:name="_Toc125402462"/>
      <w:r w:rsidRPr="004C72B9">
        <w:rPr>
          <w:color w:val="auto"/>
          <w:sz w:val="22"/>
        </w:rPr>
        <w:t xml:space="preserve">Figure </w:t>
      </w:r>
      <w:r w:rsidRPr="004C72B9">
        <w:rPr>
          <w:color w:val="auto"/>
          <w:sz w:val="22"/>
        </w:rPr>
        <w:fldChar w:fldCharType="begin"/>
      </w:r>
      <w:r w:rsidRPr="004C72B9">
        <w:rPr>
          <w:color w:val="auto"/>
          <w:sz w:val="22"/>
        </w:rPr>
        <w:instrText xml:space="preserve"> SEQ Figure \* ARABIC </w:instrText>
      </w:r>
      <w:r w:rsidRPr="004C72B9">
        <w:rPr>
          <w:color w:val="auto"/>
          <w:sz w:val="22"/>
        </w:rPr>
        <w:fldChar w:fldCharType="separate"/>
      </w:r>
      <w:r w:rsidR="000D22D0">
        <w:rPr>
          <w:noProof/>
          <w:color w:val="auto"/>
          <w:sz w:val="22"/>
        </w:rPr>
        <w:t>20</w:t>
      </w:r>
      <w:r w:rsidRPr="004C72B9">
        <w:rPr>
          <w:color w:val="auto"/>
          <w:sz w:val="22"/>
        </w:rPr>
        <w:fldChar w:fldCharType="end"/>
      </w:r>
      <w:r w:rsidRPr="004C72B9">
        <w:rPr>
          <w:color w:val="auto"/>
          <w:sz w:val="22"/>
        </w:rPr>
        <w:t>. Recherche d’aide pour arrêter la violence</w:t>
      </w:r>
      <w:bookmarkEnd w:id="511"/>
    </w:p>
    <w:p w14:paraId="54A5F42D" w14:textId="77777777" w:rsidR="004C72B9" w:rsidRPr="00E71009" w:rsidRDefault="004C72B9" w:rsidP="004C72B9">
      <w:pPr>
        <w:jc w:val="both"/>
        <w:rPr>
          <w:rFonts w:ascii="Arial" w:hAnsi="Arial" w:cs="Arial"/>
        </w:rPr>
      </w:pPr>
      <w:r w:rsidRPr="00E71009">
        <w:rPr>
          <w:rFonts w:ascii="Arial" w:hAnsi="Arial" w:cs="Arial"/>
        </w:rPr>
        <w:t xml:space="preserve">Quel que soit le type de violence, la majorité des femmes (66%) cherchent </w:t>
      </w:r>
      <w:r w:rsidR="00B82B66" w:rsidRPr="00E71009">
        <w:rPr>
          <w:rFonts w:ascii="Arial" w:hAnsi="Arial" w:cs="Arial"/>
        </w:rPr>
        <w:t xml:space="preserve">tout d’abord </w:t>
      </w:r>
      <w:r w:rsidRPr="00E71009">
        <w:rPr>
          <w:rFonts w:ascii="Arial" w:hAnsi="Arial" w:cs="Arial"/>
        </w:rPr>
        <w:t>l’aide dans leurs propres familles</w:t>
      </w:r>
      <w:r w:rsidR="00B82B66" w:rsidRPr="00E71009">
        <w:rPr>
          <w:rFonts w:ascii="Arial" w:hAnsi="Arial" w:cs="Arial"/>
        </w:rPr>
        <w:t xml:space="preserve"> ou dans la famille du mari (18%). Les aides auprès des institutions publiques comme </w:t>
      </w:r>
      <w:r w:rsidRPr="00E71009">
        <w:rPr>
          <w:rFonts w:ascii="Arial" w:hAnsi="Arial" w:cs="Arial"/>
        </w:rPr>
        <w:t xml:space="preserve">le centre d’écoute et de conseil, la police ou </w:t>
      </w:r>
      <w:r w:rsidR="00C05389">
        <w:rPr>
          <w:rFonts w:ascii="Arial" w:hAnsi="Arial" w:cs="Arial"/>
        </w:rPr>
        <w:t xml:space="preserve">la </w:t>
      </w:r>
      <w:r w:rsidRPr="00E71009">
        <w:rPr>
          <w:rFonts w:ascii="Arial" w:hAnsi="Arial" w:cs="Arial"/>
        </w:rPr>
        <w:t>gendarmerie</w:t>
      </w:r>
      <w:r w:rsidR="00C05389">
        <w:rPr>
          <w:rFonts w:ascii="Arial" w:hAnsi="Arial" w:cs="Arial"/>
        </w:rPr>
        <w:t xml:space="preserve"> nationale,</w:t>
      </w:r>
      <w:r w:rsidRPr="00E71009">
        <w:rPr>
          <w:rFonts w:ascii="Arial" w:hAnsi="Arial" w:cs="Arial"/>
        </w:rPr>
        <w:t xml:space="preserve"> le service social, l’autorité locale de proximité, la société civile, le service </w:t>
      </w:r>
      <w:r w:rsidR="00B82B66" w:rsidRPr="00E71009">
        <w:rPr>
          <w:rFonts w:ascii="Arial" w:hAnsi="Arial" w:cs="Arial"/>
        </w:rPr>
        <w:t>social</w:t>
      </w:r>
      <w:r w:rsidRPr="00E71009">
        <w:rPr>
          <w:rFonts w:ascii="Arial" w:hAnsi="Arial" w:cs="Arial"/>
        </w:rPr>
        <w:t xml:space="preserve"> de commune, etc., </w:t>
      </w:r>
      <w:r w:rsidR="00B82B66" w:rsidRPr="00E71009">
        <w:rPr>
          <w:rFonts w:ascii="Arial" w:hAnsi="Arial" w:cs="Arial"/>
        </w:rPr>
        <w:t>sont très peu contacté</w:t>
      </w:r>
      <w:r w:rsidR="00C05389">
        <w:rPr>
          <w:rFonts w:ascii="Arial" w:hAnsi="Arial" w:cs="Arial"/>
        </w:rPr>
        <w:t>es</w:t>
      </w:r>
      <w:r w:rsidR="00B82B66" w:rsidRPr="00E71009">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0915" w:rsidRPr="007F78CE" w14:paraId="6565DEBD" w14:textId="77777777" w:rsidTr="007F78CE">
        <w:tc>
          <w:tcPr>
            <w:tcW w:w="9212" w:type="dxa"/>
            <w:shd w:val="clear" w:color="auto" w:fill="auto"/>
          </w:tcPr>
          <w:p w14:paraId="7D955835" w14:textId="77777777" w:rsidR="007B0915" w:rsidRPr="007F78CE" w:rsidRDefault="007B0915" w:rsidP="007F78CE">
            <w:pPr>
              <w:spacing w:after="0" w:line="240" w:lineRule="auto"/>
              <w:jc w:val="both"/>
              <w:rPr>
                <w:rFonts w:ascii="Arial" w:hAnsi="Arial" w:cs="Arial"/>
                <w:i/>
              </w:rPr>
            </w:pPr>
            <w:r w:rsidRPr="007F78CE">
              <w:rPr>
                <w:rFonts w:ascii="Arial" w:hAnsi="Arial" w:cs="Arial"/>
                <w:i/>
              </w:rPr>
              <w:t xml:space="preserve">Les VBG existent bel et bien à Madagascar, pourtant les survivantes préfèrent se taire et ne pas porter l’affaire devant les institutions spécialisées. Dans le cadre de ce Projet, un renforcement </w:t>
            </w:r>
            <w:r w:rsidR="00C05389" w:rsidRPr="007F78CE">
              <w:rPr>
                <w:rFonts w:ascii="Arial" w:hAnsi="Arial" w:cs="Arial"/>
                <w:i/>
              </w:rPr>
              <w:t xml:space="preserve">de </w:t>
            </w:r>
            <w:r w:rsidRPr="007F78CE">
              <w:rPr>
                <w:rFonts w:ascii="Arial" w:hAnsi="Arial" w:cs="Arial"/>
                <w:i/>
              </w:rPr>
              <w:t>campagne de sensibilisation contre l</w:t>
            </w:r>
            <w:r w:rsidR="00707E88">
              <w:rPr>
                <w:rFonts w:ascii="Arial" w:hAnsi="Arial" w:cs="Arial"/>
                <w:i/>
              </w:rPr>
              <w:t xml:space="preserve">es </w:t>
            </w:r>
            <w:r w:rsidRPr="007F78CE">
              <w:rPr>
                <w:rFonts w:ascii="Arial" w:hAnsi="Arial" w:cs="Arial"/>
                <w:i/>
              </w:rPr>
              <w:t xml:space="preserve">VBG EAS/HS </w:t>
            </w:r>
            <w:r w:rsidR="00707E88">
              <w:rPr>
                <w:rFonts w:ascii="Arial" w:hAnsi="Arial" w:cs="Arial"/>
                <w:i/>
              </w:rPr>
              <w:t>s’avère nécessaire</w:t>
            </w:r>
            <w:r w:rsidRPr="007F78CE">
              <w:rPr>
                <w:rFonts w:ascii="Arial" w:hAnsi="Arial" w:cs="Arial"/>
                <w:i/>
              </w:rPr>
              <w:t>.</w:t>
            </w:r>
          </w:p>
        </w:tc>
      </w:tr>
    </w:tbl>
    <w:p w14:paraId="101EF1AC" w14:textId="77777777" w:rsidR="004C72B9" w:rsidRPr="00656722" w:rsidRDefault="004C72B9" w:rsidP="00656722">
      <w:pPr>
        <w:jc w:val="both"/>
        <w:rPr>
          <w:rFonts w:ascii="Arial" w:hAnsi="Arial" w:cs="Arial"/>
          <w:color w:val="FF0000"/>
        </w:rPr>
      </w:pPr>
    </w:p>
    <w:p w14:paraId="0E2A1460" w14:textId="77777777" w:rsidR="00C93409" w:rsidRPr="007F78CE" w:rsidRDefault="00C93409" w:rsidP="0044500E">
      <w:pPr>
        <w:pStyle w:val="TIT2"/>
        <w:numPr>
          <w:ilvl w:val="1"/>
          <w:numId w:val="177"/>
        </w:numPr>
      </w:pPr>
      <w:bookmarkStart w:id="512" w:name="_Toc124314690"/>
      <w:bookmarkStart w:id="513" w:name="_Toc124956167"/>
      <w:bookmarkStart w:id="514" w:name="_Toc125384566"/>
      <w:bookmarkStart w:id="515" w:name="_Toc125384955"/>
      <w:bookmarkStart w:id="516" w:name="_Toc127957627"/>
      <w:r w:rsidRPr="007F78CE">
        <w:t>Analyse des enjeux environnementaux et sociaux</w:t>
      </w:r>
      <w:bookmarkEnd w:id="512"/>
      <w:bookmarkEnd w:id="513"/>
      <w:bookmarkEnd w:id="514"/>
      <w:bookmarkEnd w:id="515"/>
      <w:bookmarkEnd w:id="516"/>
      <w:r w:rsidRPr="007F78CE">
        <w:t xml:space="preserve"> </w:t>
      </w:r>
    </w:p>
    <w:p w14:paraId="7F5C65E3" w14:textId="77777777" w:rsidR="00C93409" w:rsidRPr="00B95ABA" w:rsidRDefault="00D6390B" w:rsidP="00D6390B">
      <w:pPr>
        <w:jc w:val="both"/>
        <w:rPr>
          <w:rFonts w:ascii="Arial" w:hAnsi="Arial" w:cs="Arial"/>
        </w:rPr>
      </w:pPr>
      <w:r w:rsidRPr="00B95ABA">
        <w:rPr>
          <w:rFonts w:ascii="Arial" w:hAnsi="Arial" w:cs="Arial"/>
        </w:rPr>
        <w:t xml:space="preserve">Les enjeux </w:t>
      </w:r>
      <w:r w:rsidR="009B627D" w:rsidRPr="00B95ABA">
        <w:rPr>
          <w:rFonts w:ascii="Arial" w:hAnsi="Arial" w:cs="Arial"/>
        </w:rPr>
        <w:t>environnementaux et sociaux liés au Projet DECIM sont synthétisés dans le tableau suivant.</w:t>
      </w:r>
    </w:p>
    <w:p w14:paraId="16BDAC74" w14:textId="77777777" w:rsidR="00D6390B" w:rsidRPr="007B50B8" w:rsidRDefault="007B50B8" w:rsidP="007B50B8">
      <w:pPr>
        <w:pStyle w:val="Lgende"/>
        <w:jc w:val="center"/>
        <w:rPr>
          <w:sz w:val="20"/>
        </w:rPr>
      </w:pPr>
      <w:bookmarkStart w:id="517" w:name="_Toc127957812"/>
      <w:r w:rsidRPr="007B50B8">
        <w:rPr>
          <w:sz w:val="20"/>
        </w:rPr>
        <w:t xml:space="preserve">Tableau </w:t>
      </w:r>
      <w:r w:rsidRPr="007B50B8">
        <w:rPr>
          <w:sz w:val="20"/>
        </w:rPr>
        <w:fldChar w:fldCharType="begin"/>
      </w:r>
      <w:r w:rsidRPr="007B50B8">
        <w:rPr>
          <w:sz w:val="20"/>
        </w:rPr>
        <w:instrText xml:space="preserve"> SEQ Tableau \* ARABIC </w:instrText>
      </w:r>
      <w:r w:rsidRPr="007B50B8">
        <w:rPr>
          <w:sz w:val="20"/>
        </w:rPr>
        <w:fldChar w:fldCharType="separate"/>
      </w:r>
      <w:r w:rsidR="005430A1">
        <w:rPr>
          <w:noProof/>
          <w:sz w:val="20"/>
        </w:rPr>
        <w:t>16</w:t>
      </w:r>
      <w:r w:rsidRPr="007B50B8">
        <w:rPr>
          <w:sz w:val="20"/>
        </w:rPr>
        <w:fldChar w:fldCharType="end"/>
      </w:r>
      <w:r w:rsidRPr="007B50B8">
        <w:rPr>
          <w:sz w:val="20"/>
        </w:rPr>
        <w:t>. Synthèse des enjeux environnementaux et sociaux du Projet DECIM</w:t>
      </w:r>
      <w:bookmarkEnd w:id="517"/>
    </w:p>
    <w:tbl>
      <w:tblPr>
        <w:tblW w:w="9067"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972"/>
        <w:gridCol w:w="6095"/>
      </w:tblGrid>
      <w:tr w:rsidR="0063584D" w:rsidRPr="007F78CE" w14:paraId="2815D700" w14:textId="77777777" w:rsidTr="08964A2F">
        <w:trPr>
          <w:trHeight w:val="299"/>
        </w:trPr>
        <w:tc>
          <w:tcPr>
            <w:tcW w:w="2972" w:type="dxa"/>
            <w:shd w:val="clear" w:color="auto" w:fill="4F81BD"/>
          </w:tcPr>
          <w:p w14:paraId="058DA2B4" w14:textId="77777777" w:rsidR="009B627D" w:rsidRPr="007F78CE" w:rsidRDefault="009B627D" w:rsidP="007F78CE">
            <w:pPr>
              <w:autoSpaceDE w:val="0"/>
              <w:autoSpaceDN w:val="0"/>
              <w:adjustRightInd w:val="0"/>
              <w:spacing w:after="0" w:line="240" w:lineRule="auto"/>
              <w:jc w:val="center"/>
              <w:rPr>
                <w:rFonts w:ascii="Arial" w:hAnsi="Arial" w:cs="Arial"/>
                <w:bCs/>
                <w:color w:val="FFFFFF"/>
                <w:sz w:val="20"/>
                <w:szCs w:val="20"/>
              </w:rPr>
            </w:pPr>
            <w:r w:rsidRPr="007F78CE">
              <w:rPr>
                <w:rFonts w:ascii="Arial" w:hAnsi="Arial" w:cs="Arial"/>
                <w:b/>
                <w:bCs/>
                <w:color w:val="FFFFFF"/>
                <w:sz w:val="20"/>
                <w:szCs w:val="20"/>
              </w:rPr>
              <w:t>Thématique/Typologie</w:t>
            </w:r>
          </w:p>
        </w:tc>
        <w:tc>
          <w:tcPr>
            <w:tcW w:w="6095" w:type="dxa"/>
            <w:shd w:val="clear" w:color="auto" w:fill="4F81BD"/>
          </w:tcPr>
          <w:p w14:paraId="25A78E96" w14:textId="77777777" w:rsidR="009B627D" w:rsidRPr="007F78CE" w:rsidRDefault="009B627D" w:rsidP="007F78CE">
            <w:pPr>
              <w:autoSpaceDE w:val="0"/>
              <w:autoSpaceDN w:val="0"/>
              <w:adjustRightInd w:val="0"/>
              <w:spacing w:after="0" w:line="240" w:lineRule="auto"/>
              <w:jc w:val="center"/>
              <w:rPr>
                <w:rFonts w:ascii="Arial" w:hAnsi="Arial" w:cs="Arial"/>
                <w:bCs/>
                <w:color w:val="FFFFFF"/>
                <w:sz w:val="20"/>
                <w:szCs w:val="20"/>
              </w:rPr>
            </w:pPr>
            <w:r w:rsidRPr="007F78CE">
              <w:rPr>
                <w:rFonts w:ascii="Arial" w:hAnsi="Arial" w:cs="Arial"/>
                <w:b/>
                <w:bCs/>
                <w:color w:val="FFFFFF"/>
                <w:sz w:val="20"/>
                <w:szCs w:val="20"/>
              </w:rPr>
              <w:t>Enjeux</w:t>
            </w:r>
          </w:p>
        </w:tc>
      </w:tr>
      <w:tr w:rsidR="0063584D" w:rsidRPr="007F78CE" w14:paraId="6A87C3E4" w14:textId="77777777" w:rsidTr="08964A2F">
        <w:tc>
          <w:tcPr>
            <w:tcW w:w="2972" w:type="dxa"/>
            <w:tcBorders>
              <w:top w:val="single" w:sz="8" w:space="0" w:color="4F81BD"/>
              <w:left w:val="single" w:sz="8" w:space="0" w:color="4F81BD"/>
              <w:bottom w:val="single" w:sz="8" w:space="0" w:color="4F81BD"/>
            </w:tcBorders>
            <w:shd w:val="clear" w:color="auto" w:fill="auto"/>
          </w:tcPr>
          <w:p w14:paraId="68E5F1EA" w14:textId="77777777" w:rsidR="009B627D" w:rsidRPr="007F78CE" w:rsidRDefault="007B50B8" w:rsidP="007F78CE">
            <w:pPr>
              <w:autoSpaceDE w:val="0"/>
              <w:autoSpaceDN w:val="0"/>
              <w:adjustRightInd w:val="0"/>
              <w:spacing w:after="0" w:line="240" w:lineRule="auto"/>
              <w:jc w:val="both"/>
              <w:rPr>
                <w:rFonts w:ascii="Arial" w:hAnsi="Arial" w:cs="Arial"/>
                <w:b/>
                <w:bCs/>
                <w:color w:val="000000"/>
                <w:sz w:val="20"/>
                <w:szCs w:val="20"/>
              </w:rPr>
            </w:pPr>
            <w:r w:rsidRPr="007F78CE">
              <w:rPr>
                <w:rFonts w:ascii="Arial" w:hAnsi="Arial" w:cs="Arial"/>
                <w:b/>
                <w:bCs/>
                <w:sz w:val="20"/>
                <w:szCs w:val="20"/>
              </w:rPr>
              <w:t>Risque climatique</w:t>
            </w:r>
          </w:p>
        </w:tc>
        <w:tc>
          <w:tcPr>
            <w:tcW w:w="6095" w:type="dxa"/>
            <w:tcBorders>
              <w:top w:val="single" w:sz="8" w:space="0" w:color="4F81BD"/>
              <w:bottom w:val="single" w:sz="8" w:space="0" w:color="4F81BD"/>
              <w:right w:val="single" w:sz="8" w:space="0" w:color="4F81BD"/>
            </w:tcBorders>
            <w:shd w:val="clear" w:color="auto" w:fill="auto"/>
          </w:tcPr>
          <w:p w14:paraId="587E92D2" w14:textId="77777777" w:rsidR="009B627D" w:rsidRPr="00327DB6" w:rsidRDefault="009B627D" w:rsidP="007F78CE">
            <w:pPr>
              <w:autoSpaceDE w:val="0"/>
              <w:autoSpaceDN w:val="0"/>
              <w:adjustRightInd w:val="0"/>
              <w:spacing w:after="0" w:line="240" w:lineRule="auto"/>
              <w:jc w:val="both"/>
              <w:rPr>
                <w:rFonts w:ascii="Arial" w:eastAsia="Times New Roman" w:hAnsi="Arial" w:cs="Arial"/>
                <w:sz w:val="20"/>
                <w:szCs w:val="20"/>
                <w:lang w:eastAsia="fr-FR"/>
              </w:rPr>
            </w:pPr>
            <w:r w:rsidRPr="00327DB6">
              <w:rPr>
                <w:rFonts w:ascii="Arial" w:eastAsia="Times New Roman" w:hAnsi="Arial" w:cs="Arial"/>
                <w:sz w:val="20"/>
                <w:szCs w:val="20"/>
                <w:lang w:eastAsia="fr-FR"/>
              </w:rPr>
              <w:t xml:space="preserve">Le réchauffement climatique, a pour conséquence l’augmentation de la température, l’intensification des catastrophes d’origine climatique et non climatique, l’aridité de la zone ou de la prolongation de la période de sécheresse. Ces prévisions </w:t>
            </w:r>
            <w:r w:rsidR="00D037B9" w:rsidRPr="00327DB6">
              <w:rPr>
                <w:rFonts w:ascii="Arial" w:eastAsia="Times New Roman" w:hAnsi="Arial" w:cs="Arial"/>
                <w:sz w:val="20"/>
                <w:szCs w:val="20"/>
                <w:lang w:eastAsia="fr-FR"/>
              </w:rPr>
              <w:t>entraîneront</w:t>
            </w:r>
            <w:r w:rsidRPr="00327DB6">
              <w:rPr>
                <w:rFonts w:ascii="Arial" w:eastAsia="Times New Roman" w:hAnsi="Arial" w:cs="Arial"/>
                <w:sz w:val="20"/>
                <w:szCs w:val="20"/>
                <w:lang w:eastAsia="fr-FR"/>
              </w:rPr>
              <w:t xml:space="preserve"> des conséquences sur la ressource en eau, ainsi qu</w:t>
            </w:r>
            <w:r w:rsidR="006D616A" w:rsidRPr="00327DB6">
              <w:rPr>
                <w:rFonts w:ascii="Arial" w:eastAsia="Times New Roman" w:hAnsi="Arial" w:cs="Arial"/>
                <w:sz w:val="20"/>
                <w:szCs w:val="20"/>
                <w:lang w:eastAsia="fr-FR"/>
              </w:rPr>
              <w:t xml:space="preserve">e sur </w:t>
            </w:r>
            <w:r w:rsidR="00057CD2" w:rsidRPr="00327DB6">
              <w:rPr>
                <w:rFonts w:ascii="Arial" w:eastAsia="Times New Roman" w:hAnsi="Arial" w:cs="Arial"/>
                <w:sz w:val="20"/>
                <w:szCs w:val="20"/>
                <w:lang w:eastAsia="fr-FR"/>
              </w:rPr>
              <w:t>les différentes</w:t>
            </w:r>
            <w:r w:rsidRPr="00327DB6">
              <w:rPr>
                <w:rFonts w:ascii="Arial" w:eastAsia="Times New Roman" w:hAnsi="Arial" w:cs="Arial"/>
                <w:sz w:val="20"/>
                <w:szCs w:val="20"/>
                <w:lang w:eastAsia="fr-FR"/>
              </w:rPr>
              <w:t xml:space="preserve"> infrastructures.</w:t>
            </w:r>
          </w:p>
          <w:p w14:paraId="0AD362F3" w14:textId="77777777" w:rsidR="009B627D" w:rsidRPr="00327DB6" w:rsidRDefault="00B28B93" w:rsidP="007F78CE">
            <w:pPr>
              <w:autoSpaceDE w:val="0"/>
              <w:autoSpaceDN w:val="0"/>
              <w:adjustRightInd w:val="0"/>
              <w:spacing w:after="0" w:line="240" w:lineRule="auto"/>
              <w:jc w:val="both"/>
              <w:rPr>
                <w:rFonts w:ascii="Arial" w:eastAsia="Times New Roman" w:hAnsi="Arial" w:cs="Arial"/>
                <w:sz w:val="20"/>
                <w:szCs w:val="20"/>
                <w:lang w:eastAsia="fr-FR"/>
              </w:rPr>
            </w:pPr>
            <w:r w:rsidRPr="00327DB6">
              <w:rPr>
                <w:rFonts w:ascii="Arial" w:eastAsia="Times New Roman" w:hAnsi="Arial" w:cs="Arial"/>
                <w:sz w:val="20"/>
                <w:szCs w:val="20"/>
                <w:lang w:eastAsia="fr-FR"/>
              </w:rPr>
              <w:t xml:space="preserve">Pour la pérennisation des infrastructures, le Projet doit prévoir des mesures d’adaptation et de réduction des risques pour mieux préserver les ouvrages contre les risques d’inondation et de chutes d’objets tels des arbres et des branches, </w:t>
            </w:r>
            <w:r w:rsidR="00F0160D" w:rsidRPr="00742D67">
              <w:rPr>
                <w:rFonts w:ascii="Arial" w:eastAsia="Times New Roman" w:hAnsi="Arial" w:cs="Arial"/>
                <w:sz w:val="20"/>
                <w:szCs w:val="20"/>
                <w:lang w:eastAsia="fr-FR"/>
              </w:rPr>
              <w:t>des envolements / arrachements des infrastructures</w:t>
            </w:r>
            <w:r w:rsidR="00F0160D" w:rsidRPr="00327DB6">
              <w:rPr>
                <w:rFonts w:ascii="Arial" w:eastAsia="Times New Roman" w:hAnsi="Arial" w:cs="Arial"/>
                <w:sz w:val="20"/>
                <w:szCs w:val="20"/>
                <w:lang w:eastAsia="fr-FR"/>
              </w:rPr>
              <w:t xml:space="preserve"> </w:t>
            </w:r>
            <w:r w:rsidRPr="00327DB6">
              <w:rPr>
                <w:rFonts w:ascii="Arial" w:eastAsia="Times New Roman" w:hAnsi="Arial" w:cs="Arial"/>
                <w:sz w:val="20"/>
                <w:szCs w:val="20"/>
                <w:lang w:eastAsia="fr-FR"/>
              </w:rPr>
              <w:t>qui pourraient survenir en cas de passages des vents violents</w:t>
            </w:r>
            <w:r w:rsidR="230AD9FB" w:rsidRPr="00327DB6">
              <w:rPr>
                <w:rFonts w:ascii="Arial" w:eastAsia="Times New Roman" w:hAnsi="Arial" w:cs="Arial"/>
                <w:sz w:val="20"/>
                <w:szCs w:val="20"/>
                <w:lang w:eastAsia="fr-FR"/>
              </w:rPr>
              <w:t>.</w:t>
            </w:r>
          </w:p>
        </w:tc>
      </w:tr>
      <w:tr w:rsidR="005F497C" w:rsidRPr="007F78CE" w14:paraId="567B23E9" w14:textId="77777777" w:rsidTr="08964A2F">
        <w:tc>
          <w:tcPr>
            <w:tcW w:w="2972" w:type="dxa"/>
            <w:shd w:val="clear" w:color="auto" w:fill="auto"/>
          </w:tcPr>
          <w:p w14:paraId="7572E3D5" w14:textId="77777777" w:rsidR="005F497C" w:rsidRPr="007F78CE" w:rsidRDefault="007B50B8" w:rsidP="007F78CE">
            <w:pPr>
              <w:autoSpaceDE w:val="0"/>
              <w:autoSpaceDN w:val="0"/>
              <w:adjustRightInd w:val="0"/>
              <w:spacing w:after="0" w:line="240" w:lineRule="auto"/>
              <w:jc w:val="both"/>
              <w:rPr>
                <w:rFonts w:ascii="Arial" w:hAnsi="Arial" w:cs="Arial"/>
                <w:b/>
                <w:bCs/>
                <w:color w:val="365F91"/>
                <w:sz w:val="20"/>
                <w:szCs w:val="20"/>
              </w:rPr>
            </w:pPr>
            <w:r w:rsidRPr="007F78CE">
              <w:rPr>
                <w:rFonts w:ascii="Arial" w:hAnsi="Arial" w:cs="Arial"/>
                <w:b/>
                <w:bCs/>
                <w:sz w:val="20"/>
                <w:szCs w:val="20"/>
              </w:rPr>
              <w:t>R</w:t>
            </w:r>
            <w:r w:rsidR="005F497C" w:rsidRPr="007F78CE">
              <w:rPr>
                <w:rFonts w:ascii="Arial" w:hAnsi="Arial" w:cs="Arial"/>
                <w:b/>
                <w:bCs/>
                <w:sz w:val="20"/>
                <w:szCs w:val="20"/>
              </w:rPr>
              <w:t>essources en eau</w:t>
            </w:r>
          </w:p>
        </w:tc>
        <w:tc>
          <w:tcPr>
            <w:tcW w:w="6095" w:type="dxa"/>
            <w:shd w:val="clear" w:color="auto" w:fill="auto"/>
          </w:tcPr>
          <w:p w14:paraId="539B52B2" w14:textId="77777777" w:rsidR="005F497C" w:rsidRPr="00327DB6" w:rsidRDefault="00C05389" w:rsidP="007F78CE">
            <w:pPr>
              <w:autoSpaceDE w:val="0"/>
              <w:autoSpaceDN w:val="0"/>
              <w:adjustRightInd w:val="0"/>
              <w:spacing w:after="0" w:line="240" w:lineRule="auto"/>
              <w:jc w:val="both"/>
              <w:rPr>
                <w:rFonts w:ascii="Arial" w:eastAsia="Times New Roman" w:hAnsi="Arial" w:cs="Arial"/>
                <w:sz w:val="20"/>
                <w:szCs w:val="20"/>
                <w:lang w:eastAsia="fr-FR"/>
              </w:rPr>
            </w:pPr>
            <w:r w:rsidRPr="00327DB6">
              <w:rPr>
                <w:rFonts w:ascii="Arial" w:eastAsia="Times New Roman" w:hAnsi="Arial" w:cs="Arial"/>
                <w:sz w:val="20"/>
                <w:szCs w:val="20"/>
                <w:lang w:eastAsia="fr-FR"/>
              </w:rPr>
              <w:t>Étant</w:t>
            </w:r>
            <w:r w:rsidR="004C1355" w:rsidRPr="00327DB6">
              <w:rPr>
                <w:rFonts w:ascii="Arial" w:eastAsia="Times New Roman" w:hAnsi="Arial" w:cs="Arial"/>
                <w:sz w:val="20"/>
                <w:szCs w:val="20"/>
                <w:lang w:eastAsia="fr-FR"/>
              </w:rPr>
              <w:t xml:space="preserve"> donné la sècheresse qui sévi</w:t>
            </w:r>
            <w:r w:rsidR="00707E88" w:rsidRPr="00327DB6">
              <w:rPr>
                <w:rFonts w:ascii="Arial" w:eastAsia="Times New Roman" w:hAnsi="Arial" w:cs="Arial"/>
                <w:sz w:val="20"/>
                <w:szCs w:val="20"/>
                <w:lang w:eastAsia="fr-FR"/>
              </w:rPr>
              <w:t>t dans</w:t>
            </w:r>
            <w:r w:rsidR="004C1355" w:rsidRPr="00327DB6">
              <w:rPr>
                <w:rFonts w:ascii="Arial" w:eastAsia="Times New Roman" w:hAnsi="Arial" w:cs="Arial"/>
                <w:sz w:val="20"/>
                <w:szCs w:val="20"/>
                <w:lang w:eastAsia="fr-FR"/>
              </w:rPr>
              <w:t xml:space="preserve"> le </w:t>
            </w:r>
            <w:r w:rsidR="00707E88" w:rsidRPr="00327DB6">
              <w:rPr>
                <w:rFonts w:ascii="Arial" w:eastAsia="Times New Roman" w:hAnsi="Arial" w:cs="Arial"/>
                <w:sz w:val="20"/>
                <w:szCs w:val="20"/>
                <w:lang w:eastAsia="fr-FR"/>
              </w:rPr>
              <w:t>S</w:t>
            </w:r>
            <w:r w:rsidR="004C1355" w:rsidRPr="00327DB6">
              <w:rPr>
                <w:rFonts w:ascii="Arial" w:eastAsia="Times New Roman" w:hAnsi="Arial" w:cs="Arial"/>
                <w:sz w:val="20"/>
                <w:szCs w:val="20"/>
                <w:lang w:eastAsia="fr-FR"/>
              </w:rPr>
              <w:t>ud de Madagascar et l’insuffisance de l’eau de surface dans certain</w:t>
            </w:r>
            <w:r w:rsidRPr="00327DB6">
              <w:rPr>
                <w:rFonts w:ascii="Arial" w:eastAsia="Times New Roman" w:hAnsi="Arial" w:cs="Arial"/>
                <w:sz w:val="20"/>
                <w:szCs w:val="20"/>
                <w:lang w:eastAsia="fr-FR"/>
              </w:rPr>
              <w:t>es</w:t>
            </w:r>
            <w:r w:rsidR="004C1355" w:rsidRPr="00327DB6">
              <w:rPr>
                <w:rFonts w:ascii="Arial" w:eastAsia="Times New Roman" w:hAnsi="Arial" w:cs="Arial"/>
                <w:sz w:val="20"/>
                <w:szCs w:val="20"/>
                <w:lang w:eastAsia="fr-FR"/>
              </w:rPr>
              <w:t xml:space="preserve"> région</w:t>
            </w:r>
            <w:r w:rsidRPr="00327DB6">
              <w:rPr>
                <w:rFonts w:ascii="Arial" w:eastAsia="Times New Roman" w:hAnsi="Arial" w:cs="Arial"/>
                <w:sz w:val="20"/>
                <w:szCs w:val="20"/>
                <w:lang w:eastAsia="fr-FR"/>
              </w:rPr>
              <w:t>s</w:t>
            </w:r>
            <w:r w:rsidR="004C1355" w:rsidRPr="00327DB6">
              <w:rPr>
                <w:rFonts w:ascii="Arial" w:eastAsia="Times New Roman" w:hAnsi="Arial" w:cs="Arial"/>
                <w:sz w:val="20"/>
                <w:szCs w:val="20"/>
                <w:lang w:eastAsia="fr-FR"/>
              </w:rPr>
              <w:t xml:space="preserve"> </w:t>
            </w:r>
            <w:r w:rsidRPr="00327DB6">
              <w:rPr>
                <w:rFonts w:ascii="Arial" w:eastAsia="Times New Roman" w:hAnsi="Arial" w:cs="Arial"/>
                <w:sz w:val="20"/>
                <w:szCs w:val="20"/>
                <w:lang w:eastAsia="fr-FR"/>
              </w:rPr>
              <w:t xml:space="preserve">de </w:t>
            </w:r>
            <w:r w:rsidR="004C1355" w:rsidRPr="00327DB6">
              <w:rPr>
                <w:rFonts w:ascii="Arial" w:eastAsia="Times New Roman" w:hAnsi="Arial" w:cs="Arial"/>
                <w:sz w:val="20"/>
                <w:szCs w:val="20"/>
                <w:lang w:eastAsia="fr-FR"/>
              </w:rPr>
              <w:t>la partie occidentale de l’</w:t>
            </w:r>
            <w:r w:rsidR="00D037B9">
              <w:rPr>
                <w:rFonts w:ascii="Arial" w:eastAsia="Times New Roman" w:hAnsi="Arial" w:cs="Arial"/>
                <w:sz w:val="20"/>
                <w:szCs w:val="20"/>
                <w:lang w:eastAsia="fr-FR"/>
              </w:rPr>
              <w:t>î</w:t>
            </w:r>
            <w:r w:rsidR="004C1355" w:rsidRPr="00327DB6">
              <w:rPr>
                <w:rFonts w:ascii="Arial" w:eastAsia="Times New Roman" w:hAnsi="Arial" w:cs="Arial"/>
                <w:sz w:val="20"/>
                <w:szCs w:val="20"/>
                <w:lang w:eastAsia="fr-FR"/>
              </w:rPr>
              <w:t>le, la gestion de l’eau pour le nettoyage des panneaux</w:t>
            </w:r>
            <w:r w:rsidR="00F0160D" w:rsidRPr="00327DB6">
              <w:rPr>
                <w:rFonts w:ascii="Arial" w:eastAsia="Times New Roman" w:hAnsi="Arial" w:cs="Arial"/>
                <w:sz w:val="20"/>
                <w:szCs w:val="20"/>
                <w:lang w:eastAsia="fr-FR"/>
              </w:rPr>
              <w:t xml:space="preserve"> </w:t>
            </w:r>
            <w:r w:rsidR="00F0160D" w:rsidRPr="00742D67">
              <w:rPr>
                <w:rFonts w:ascii="Arial" w:eastAsia="Times New Roman" w:hAnsi="Arial" w:cs="Arial"/>
                <w:sz w:val="20"/>
                <w:szCs w:val="20"/>
                <w:lang w:eastAsia="fr-FR"/>
              </w:rPr>
              <w:t>solaires</w:t>
            </w:r>
            <w:r w:rsidR="004C1355" w:rsidRPr="00327DB6">
              <w:rPr>
                <w:rFonts w:ascii="Arial" w:eastAsia="Times New Roman" w:hAnsi="Arial" w:cs="Arial"/>
                <w:sz w:val="20"/>
                <w:szCs w:val="20"/>
                <w:lang w:eastAsia="fr-FR"/>
              </w:rPr>
              <w:t xml:space="preserve"> qui nécessitera l’utilisation d’eau douce sera problématique. Ce cas est accentué par la mauvaise gestion de ces ressources (gaspillage, contamination) ainsi qu’aux perturbations attribuées aux aléas climatiques.</w:t>
            </w:r>
          </w:p>
          <w:p w14:paraId="08C05B4C" w14:textId="77777777" w:rsidR="004C1355" w:rsidRPr="00327DB6" w:rsidRDefault="004C1355" w:rsidP="007F78CE">
            <w:pPr>
              <w:autoSpaceDE w:val="0"/>
              <w:autoSpaceDN w:val="0"/>
              <w:adjustRightInd w:val="0"/>
              <w:spacing w:after="0" w:line="240" w:lineRule="auto"/>
              <w:jc w:val="both"/>
              <w:rPr>
                <w:rFonts w:ascii="Arial" w:eastAsia="Times New Roman" w:hAnsi="Arial" w:cs="Arial"/>
                <w:sz w:val="20"/>
                <w:szCs w:val="20"/>
                <w:lang w:eastAsia="fr-FR"/>
              </w:rPr>
            </w:pPr>
            <w:r w:rsidRPr="00327DB6">
              <w:rPr>
                <w:rFonts w:ascii="Arial" w:eastAsia="Times New Roman" w:hAnsi="Arial" w:cs="Arial"/>
                <w:sz w:val="20"/>
                <w:szCs w:val="20"/>
                <w:lang w:eastAsia="fr-FR"/>
              </w:rPr>
              <w:t>Pour y faire face, le Projet ou le promoteur devra mettre en place un système de gestion de l’eau.</w:t>
            </w:r>
          </w:p>
        </w:tc>
      </w:tr>
      <w:tr w:rsidR="0063584D" w:rsidRPr="007F78CE" w14:paraId="48D31426" w14:textId="77777777" w:rsidTr="08964A2F">
        <w:tc>
          <w:tcPr>
            <w:tcW w:w="2972" w:type="dxa"/>
            <w:tcBorders>
              <w:top w:val="single" w:sz="8" w:space="0" w:color="4F81BD"/>
              <w:left w:val="single" w:sz="8" w:space="0" w:color="4F81BD"/>
              <w:bottom w:val="single" w:sz="8" w:space="0" w:color="4F81BD"/>
            </w:tcBorders>
            <w:shd w:val="clear" w:color="auto" w:fill="auto"/>
          </w:tcPr>
          <w:p w14:paraId="4D1D8F6A" w14:textId="77777777" w:rsidR="007B50B8" w:rsidRPr="007F78CE" w:rsidRDefault="007B50B8" w:rsidP="007F78CE">
            <w:pPr>
              <w:autoSpaceDE w:val="0"/>
              <w:autoSpaceDN w:val="0"/>
              <w:adjustRightInd w:val="0"/>
              <w:spacing w:after="0" w:line="240" w:lineRule="auto"/>
              <w:jc w:val="both"/>
              <w:rPr>
                <w:rFonts w:ascii="Arial" w:hAnsi="Arial" w:cs="Arial"/>
                <w:b/>
                <w:bCs/>
                <w:color w:val="365F91"/>
                <w:sz w:val="20"/>
                <w:szCs w:val="20"/>
              </w:rPr>
            </w:pPr>
            <w:r w:rsidRPr="007F78CE">
              <w:rPr>
                <w:rFonts w:ascii="Arial" w:hAnsi="Arial" w:cs="Arial"/>
                <w:b/>
                <w:bCs/>
                <w:sz w:val="20"/>
                <w:szCs w:val="20"/>
              </w:rPr>
              <w:t xml:space="preserve">Gestion des déchets dangereux </w:t>
            </w:r>
          </w:p>
        </w:tc>
        <w:tc>
          <w:tcPr>
            <w:tcW w:w="6095" w:type="dxa"/>
            <w:tcBorders>
              <w:top w:val="single" w:sz="8" w:space="0" w:color="4F81BD"/>
              <w:bottom w:val="single" w:sz="8" w:space="0" w:color="4F81BD"/>
              <w:right w:val="single" w:sz="8" w:space="0" w:color="4F81BD"/>
            </w:tcBorders>
            <w:shd w:val="clear" w:color="auto" w:fill="auto"/>
          </w:tcPr>
          <w:p w14:paraId="0213B352" w14:textId="77777777" w:rsidR="007B50B8" w:rsidRPr="007F78CE" w:rsidRDefault="006D616A" w:rsidP="007F78CE">
            <w:pPr>
              <w:autoSpaceDE w:val="0"/>
              <w:autoSpaceDN w:val="0"/>
              <w:adjustRightInd w:val="0"/>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L</w:t>
            </w:r>
            <w:r w:rsidR="007B50B8" w:rsidRPr="007F78CE">
              <w:rPr>
                <w:rFonts w:ascii="Arial" w:eastAsia="Times New Roman" w:hAnsi="Arial" w:cs="Arial"/>
                <w:sz w:val="20"/>
                <w:szCs w:val="20"/>
                <w:lang w:eastAsia="fr-FR"/>
              </w:rPr>
              <w:t>a grande majorité des Communes à Madagascar ne dispose pas d’entité capable de trait</w:t>
            </w:r>
            <w:r>
              <w:rPr>
                <w:rFonts w:ascii="Arial" w:eastAsia="Times New Roman" w:hAnsi="Arial" w:cs="Arial"/>
                <w:sz w:val="20"/>
                <w:szCs w:val="20"/>
                <w:lang w:eastAsia="fr-FR"/>
              </w:rPr>
              <w:t>er</w:t>
            </w:r>
            <w:r w:rsidR="007B50B8" w:rsidRPr="007F78CE">
              <w:rPr>
                <w:rFonts w:ascii="Arial" w:eastAsia="Times New Roman" w:hAnsi="Arial" w:cs="Arial"/>
                <w:sz w:val="20"/>
                <w:szCs w:val="20"/>
                <w:lang w:eastAsia="fr-FR"/>
              </w:rPr>
              <w:t xml:space="preserve"> ni de recycler les déchets, notamment chimiques. Ce qui constitue un enjeu d’importance pour le projet surtout en fin de vie des panneaux solaires générant des produits chimiques pouvant altérer la qualité de l’environnement</w:t>
            </w:r>
            <w:r>
              <w:rPr>
                <w:rFonts w:ascii="Arial" w:eastAsia="Times New Roman" w:hAnsi="Arial" w:cs="Arial"/>
                <w:sz w:val="20"/>
                <w:szCs w:val="20"/>
                <w:lang w:eastAsia="fr-FR"/>
              </w:rPr>
              <w:t>.</w:t>
            </w:r>
          </w:p>
        </w:tc>
      </w:tr>
      <w:tr w:rsidR="004C1355" w:rsidRPr="007F78CE" w14:paraId="41757CE0" w14:textId="77777777" w:rsidTr="08964A2F">
        <w:tc>
          <w:tcPr>
            <w:tcW w:w="2972" w:type="dxa"/>
            <w:shd w:val="clear" w:color="auto" w:fill="auto"/>
          </w:tcPr>
          <w:p w14:paraId="64B8DAF5" w14:textId="77777777" w:rsidR="004C1355" w:rsidRPr="007F78CE" w:rsidRDefault="007B50B8" w:rsidP="007F78CE">
            <w:pPr>
              <w:autoSpaceDE w:val="0"/>
              <w:autoSpaceDN w:val="0"/>
              <w:adjustRightInd w:val="0"/>
              <w:spacing w:after="0" w:line="240" w:lineRule="auto"/>
              <w:jc w:val="both"/>
              <w:rPr>
                <w:rFonts w:ascii="Arial" w:hAnsi="Arial" w:cs="Arial"/>
                <w:b/>
                <w:bCs/>
                <w:color w:val="365F91"/>
                <w:sz w:val="20"/>
                <w:szCs w:val="20"/>
              </w:rPr>
            </w:pPr>
            <w:r w:rsidRPr="007F78CE">
              <w:rPr>
                <w:rFonts w:ascii="Arial" w:hAnsi="Arial" w:cs="Arial"/>
                <w:b/>
                <w:bCs/>
                <w:sz w:val="20"/>
                <w:szCs w:val="20"/>
              </w:rPr>
              <w:t>Gestion des habitats et les espèces faunistiques et floristiques</w:t>
            </w:r>
          </w:p>
        </w:tc>
        <w:tc>
          <w:tcPr>
            <w:tcW w:w="6095" w:type="dxa"/>
            <w:shd w:val="clear" w:color="auto" w:fill="auto"/>
          </w:tcPr>
          <w:p w14:paraId="22B4E217" w14:textId="77777777" w:rsidR="004C1355" w:rsidRPr="007F78CE" w:rsidRDefault="007B50B8" w:rsidP="007F78CE">
            <w:pPr>
              <w:autoSpaceDE w:val="0"/>
              <w:autoSpaceDN w:val="0"/>
              <w:adjustRightInd w:val="0"/>
              <w:spacing w:after="0" w:line="240" w:lineRule="auto"/>
              <w:jc w:val="both"/>
              <w:rPr>
                <w:rFonts w:ascii="Arial" w:eastAsia="Times New Roman" w:hAnsi="Arial" w:cs="Arial"/>
                <w:sz w:val="20"/>
                <w:szCs w:val="20"/>
                <w:lang w:eastAsia="fr-FR"/>
              </w:rPr>
            </w:pPr>
            <w:r w:rsidRPr="007F78CE">
              <w:rPr>
                <w:rFonts w:ascii="Arial" w:eastAsia="Times New Roman" w:hAnsi="Arial" w:cs="Arial"/>
                <w:sz w:val="20"/>
                <w:szCs w:val="20"/>
                <w:lang w:eastAsia="fr-FR"/>
              </w:rPr>
              <w:t>Celle-ci résulte de la destruction ou décapage de la végétation principalement des habitats modifiés durant les travaux de défrichement et des prélèvements incontrôlés dans la nature</w:t>
            </w:r>
            <w:r w:rsidR="006D616A">
              <w:rPr>
                <w:rFonts w:ascii="Arial" w:eastAsia="Times New Roman" w:hAnsi="Arial" w:cs="Arial"/>
                <w:sz w:val="20"/>
                <w:szCs w:val="20"/>
                <w:lang w:eastAsia="fr-FR"/>
              </w:rPr>
              <w:t>.</w:t>
            </w:r>
          </w:p>
          <w:p w14:paraId="10525437" w14:textId="77777777" w:rsidR="007B50B8" w:rsidRPr="007F78CE" w:rsidRDefault="007B50B8" w:rsidP="007F78CE">
            <w:pPr>
              <w:autoSpaceDE w:val="0"/>
              <w:autoSpaceDN w:val="0"/>
              <w:adjustRightInd w:val="0"/>
              <w:spacing w:after="0" w:line="240" w:lineRule="auto"/>
              <w:jc w:val="both"/>
              <w:rPr>
                <w:rFonts w:ascii="Arial" w:eastAsia="Times New Roman" w:hAnsi="Arial" w:cs="Arial"/>
                <w:sz w:val="20"/>
                <w:szCs w:val="20"/>
                <w:lang w:eastAsia="fr-FR"/>
              </w:rPr>
            </w:pPr>
            <w:r w:rsidRPr="007F78CE">
              <w:rPr>
                <w:rFonts w:ascii="Arial" w:eastAsia="Times New Roman" w:hAnsi="Arial" w:cs="Arial"/>
                <w:sz w:val="20"/>
                <w:szCs w:val="20"/>
                <w:lang w:eastAsia="fr-FR"/>
              </w:rPr>
              <w:t>Afin d’éviter tout</w:t>
            </w:r>
            <w:r w:rsidR="00C05389" w:rsidRPr="007F78CE">
              <w:rPr>
                <w:rFonts w:ascii="Arial" w:eastAsia="Times New Roman" w:hAnsi="Arial" w:cs="Arial"/>
                <w:sz w:val="20"/>
                <w:szCs w:val="20"/>
                <w:lang w:eastAsia="fr-FR"/>
              </w:rPr>
              <w:t>e</w:t>
            </w:r>
            <w:r w:rsidRPr="007F78CE">
              <w:rPr>
                <w:rFonts w:ascii="Arial" w:eastAsia="Times New Roman" w:hAnsi="Arial" w:cs="Arial"/>
                <w:sz w:val="20"/>
                <w:szCs w:val="20"/>
                <w:lang w:eastAsia="fr-FR"/>
              </w:rPr>
              <w:t xml:space="preserve"> destruction d’habitat critique et naturel comme les forêts naturelles, le Projet mettra en place un système de tri environnemental</w:t>
            </w:r>
            <w:r w:rsidR="00B32C78">
              <w:rPr>
                <w:rFonts w:ascii="Arial" w:eastAsia="Times New Roman" w:hAnsi="Arial" w:cs="Arial"/>
                <w:sz w:val="20"/>
                <w:szCs w:val="20"/>
                <w:lang w:eastAsia="fr-FR"/>
              </w:rPr>
              <w:t>.</w:t>
            </w:r>
          </w:p>
        </w:tc>
      </w:tr>
      <w:tr w:rsidR="0063584D" w:rsidRPr="007F78CE" w14:paraId="44CE8FC0" w14:textId="77777777" w:rsidTr="08964A2F">
        <w:tc>
          <w:tcPr>
            <w:tcW w:w="2972" w:type="dxa"/>
            <w:tcBorders>
              <w:top w:val="single" w:sz="8" w:space="0" w:color="4F81BD"/>
              <w:left w:val="single" w:sz="8" w:space="0" w:color="4F81BD"/>
              <w:bottom w:val="single" w:sz="8" w:space="0" w:color="4F81BD"/>
            </w:tcBorders>
            <w:shd w:val="clear" w:color="auto" w:fill="auto"/>
          </w:tcPr>
          <w:p w14:paraId="53446E5F" w14:textId="77777777" w:rsidR="007B50B8" w:rsidRPr="007F78CE" w:rsidRDefault="007B50B8" w:rsidP="007F78CE">
            <w:pPr>
              <w:autoSpaceDE w:val="0"/>
              <w:autoSpaceDN w:val="0"/>
              <w:adjustRightInd w:val="0"/>
              <w:spacing w:after="0" w:line="240" w:lineRule="auto"/>
              <w:jc w:val="both"/>
              <w:rPr>
                <w:rFonts w:ascii="Arial" w:hAnsi="Arial" w:cs="Arial"/>
                <w:b/>
                <w:bCs/>
                <w:sz w:val="20"/>
                <w:szCs w:val="20"/>
              </w:rPr>
            </w:pPr>
            <w:r w:rsidRPr="007F78CE">
              <w:rPr>
                <w:rFonts w:ascii="Arial" w:hAnsi="Arial" w:cs="Arial"/>
                <w:b/>
                <w:bCs/>
                <w:sz w:val="20"/>
                <w:szCs w:val="20"/>
              </w:rPr>
              <w:t>Acquisition de</w:t>
            </w:r>
            <w:r w:rsidR="00695CB4">
              <w:rPr>
                <w:rFonts w:ascii="Arial" w:hAnsi="Arial" w:cs="Arial"/>
                <w:b/>
                <w:bCs/>
                <w:sz w:val="20"/>
                <w:szCs w:val="20"/>
              </w:rPr>
              <w:t xml:space="preserve"> terres et autres</w:t>
            </w:r>
            <w:r w:rsidRPr="007F78CE">
              <w:rPr>
                <w:rFonts w:ascii="Arial" w:hAnsi="Arial" w:cs="Arial"/>
                <w:b/>
                <w:bCs/>
                <w:sz w:val="20"/>
                <w:szCs w:val="20"/>
              </w:rPr>
              <w:t xml:space="preserve"> biens de la population locale </w:t>
            </w:r>
          </w:p>
        </w:tc>
        <w:tc>
          <w:tcPr>
            <w:tcW w:w="6095" w:type="dxa"/>
            <w:tcBorders>
              <w:top w:val="single" w:sz="8" w:space="0" w:color="4F81BD"/>
              <w:bottom w:val="single" w:sz="8" w:space="0" w:color="4F81BD"/>
              <w:right w:val="single" w:sz="8" w:space="0" w:color="4F81BD"/>
            </w:tcBorders>
            <w:shd w:val="clear" w:color="auto" w:fill="auto"/>
          </w:tcPr>
          <w:p w14:paraId="034B19EB" w14:textId="77777777" w:rsidR="007B50B8" w:rsidRPr="007F78CE" w:rsidRDefault="007B50B8" w:rsidP="007F78CE">
            <w:pPr>
              <w:autoSpaceDE w:val="0"/>
              <w:autoSpaceDN w:val="0"/>
              <w:adjustRightInd w:val="0"/>
              <w:spacing w:after="0" w:line="240" w:lineRule="auto"/>
              <w:jc w:val="both"/>
              <w:rPr>
                <w:rFonts w:ascii="Arial" w:eastAsia="Times New Roman" w:hAnsi="Arial" w:cs="Arial"/>
                <w:sz w:val="20"/>
                <w:szCs w:val="20"/>
                <w:lang w:eastAsia="fr-FR"/>
              </w:rPr>
            </w:pPr>
            <w:r w:rsidRPr="007F78CE">
              <w:rPr>
                <w:rFonts w:ascii="Arial" w:eastAsia="Times New Roman" w:hAnsi="Arial" w:cs="Arial"/>
                <w:sz w:val="20"/>
                <w:szCs w:val="20"/>
                <w:lang w:eastAsia="fr-FR"/>
              </w:rPr>
              <w:t xml:space="preserve">La mise en place d’un panneau solaire et </w:t>
            </w:r>
            <w:r w:rsidR="00C05389" w:rsidRPr="007F78CE">
              <w:rPr>
                <w:rFonts w:ascii="Arial" w:eastAsia="Times New Roman" w:hAnsi="Arial" w:cs="Arial"/>
                <w:sz w:val="20"/>
                <w:szCs w:val="20"/>
                <w:lang w:eastAsia="fr-FR"/>
              </w:rPr>
              <w:t>d’</w:t>
            </w:r>
            <w:r w:rsidRPr="007F78CE">
              <w:rPr>
                <w:rFonts w:ascii="Arial" w:eastAsia="Times New Roman" w:hAnsi="Arial" w:cs="Arial"/>
                <w:sz w:val="20"/>
                <w:szCs w:val="20"/>
                <w:lang w:eastAsia="fr-FR"/>
              </w:rPr>
              <w:t>un</w:t>
            </w:r>
            <w:r w:rsidR="00707E88">
              <w:rPr>
                <w:rFonts w:ascii="Arial" w:eastAsia="Times New Roman" w:hAnsi="Arial" w:cs="Arial"/>
                <w:sz w:val="20"/>
                <w:szCs w:val="20"/>
                <w:lang w:eastAsia="fr-FR"/>
              </w:rPr>
              <w:t>e</w:t>
            </w:r>
            <w:r w:rsidRPr="007F78CE">
              <w:rPr>
                <w:rFonts w:ascii="Arial" w:eastAsia="Times New Roman" w:hAnsi="Arial" w:cs="Arial"/>
                <w:sz w:val="20"/>
                <w:szCs w:val="20"/>
                <w:lang w:eastAsia="fr-FR"/>
              </w:rPr>
              <w:t xml:space="preserve"> tour cellulaire nécessite une certaine superficie de terrain. Un</w:t>
            </w:r>
            <w:r w:rsidR="00C05389" w:rsidRPr="007F78CE">
              <w:rPr>
                <w:rFonts w:ascii="Arial" w:eastAsia="Times New Roman" w:hAnsi="Arial" w:cs="Arial"/>
                <w:sz w:val="20"/>
                <w:szCs w:val="20"/>
                <w:lang w:eastAsia="fr-FR"/>
              </w:rPr>
              <w:t>e</w:t>
            </w:r>
            <w:r w:rsidRPr="007F78CE">
              <w:rPr>
                <w:rFonts w:ascii="Arial" w:eastAsia="Times New Roman" w:hAnsi="Arial" w:cs="Arial"/>
                <w:sz w:val="20"/>
                <w:szCs w:val="20"/>
                <w:lang w:eastAsia="fr-FR"/>
              </w:rPr>
              <w:t xml:space="preserve"> expropriation des propriétaires sera donc envisageable, ce qui pourrait entra</w:t>
            </w:r>
            <w:r w:rsidR="00D037B9">
              <w:rPr>
                <w:rFonts w:ascii="Arial" w:eastAsia="Times New Roman" w:hAnsi="Arial" w:cs="Arial"/>
                <w:sz w:val="20"/>
                <w:szCs w:val="20"/>
                <w:lang w:eastAsia="fr-FR"/>
              </w:rPr>
              <w:t>î</w:t>
            </w:r>
            <w:r w:rsidRPr="007F78CE">
              <w:rPr>
                <w:rFonts w:ascii="Arial" w:eastAsia="Times New Roman" w:hAnsi="Arial" w:cs="Arial"/>
                <w:sz w:val="20"/>
                <w:szCs w:val="20"/>
                <w:lang w:eastAsia="fr-FR"/>
              </w:rPr>
              <w:t>ner un mécontentement de la population locale.</w:t>
            </w:r>
          </w:p>
          <w:p w14:paraId="732DF2F5" w14:textId="77777777" w:rsidR="007B50B8" w:rsidRPr="007F78CE" w:rsidRDefault="007B50B8" w:rsidP="007F78CE">
            <w:pPr>
              <w:autoSpaceDE w:val="0"/>
              <w:autoSpaceDN w:val="0"/>
              <w:adjustRightInd w:val="0"/>
              <w:spacing w:after="0" w:line="240" w:lineRule="auto"/>
              <w:jc w:val="both"/>
              <w:rPr>
                <w:rFonts w:ascii="Arial" w:eastAsia="Times New Roman" w:hAnsi="Arial" w:cs="Arial"/>
                <w:sz w:val="20"/>
                <w:szCs w:val="20"/>
                <w:lang w:eastAsia="fr-FR"/>
              </w:rPr>
            </w:pPr>
            <w:r w:rsidRPr="007F78CE">
              <w:rPr>
                <w:rFonts w:ascii="Arial" w:eastAsia="Times New Roman" w:hAnsi="Arial" w:cs="Arial"/>
                <w:sz w:val="20"/>
                <w:szCs w:val="20"/>
                <w:lang w:eastAsia="fr-FR"/>
              </w:rPr>
              <w:t>Afin d’éviter les pertes de biens de la population, le Projet appliquera le principe d’évitement, de minimisation. Dans le cas contraire, le Projet indemnisera les pertes de la population à travers la mise en œuvre du C</w:t>
            </w:r>
            <w:r w:rsidR="00707E88">
              <w:rPr>
                <w:rFonts w:ascii="Arial" w:eastAsia="Times New Roman" w:hAnsi="Arial" w:cs="Arial"/>
                <w:sz w:val="20"/>
                <w:szCs w:val="20"/>
                <w:lang w:eastAsia="fr-FR"/>
              </w:rPr>
              <w:t xml:space="preserve">adre de </w:t>
            </w:r>
            <w:r w:rsidRPr="007F78CE">
              <w:rPr>
                <w:rFonts w:ascii="Arial" w:eastAsia="Times New Roman" w:hAnsi="Arial" w:cs="Arial"/>
                <w:sz w:val="20"/>
                <w:szCs w:val="20"/>
                <w:lang w:eastAsia="fr-FR"/>
              </w:rPr>
              <w:t>R</w:t>
            </w:r>
            <w:r w:rsidR="00707E88">
              <w:rPr>
                <w:rFonts w:ascii="Arial" w:eastAsia="Times New Roman" w:hAnsi="Arial" w:cs="Arial"/>
                <w:sz w:val="20"/>
                <w:szCs w:val="20"/>
                <w:lang w:eastAsia="fr-FR"/>
              </w:rPr>
              <w:t>éinstallation</w:t>
            </w:r>
            <w:r w:rsidRPr="007F78CE">
              <w:rPr>
                <w:rFonts w:ascii="Arial" w:eastAsia="Times New Roman" w:hAnsi="Arial" w:cs="Arial"/>
                <w:sz w:val="20"/>
                <w:szCs w:val="20"/>
                <w:lang w:eastAsia="fr-FR"/>
              </w:rPr>
              <w:t>.</w:t>
            </w:r>
          </w:p>
        </w:tc>
      </w:tr>
      <w:tr w:rsidR="009B627D" w:rsidRPr="007F78CE" w14:paraId="186EB772" w14:textId="77777777" w:rsidTr="08964A2F">
        <w:tc>
          <w:tcPr>
            <w:tcW w:w="2972" w:type="dxa"/>
            <w:shd w:val="clear" w:color="auto" w:fill="auto"/>
          </w:tcPr>
          <w:p w14:paraId="436D9523" w14:textId="77777777" w:rsidR="009B627D" w:rsidRPr="007F78CE" w:rsidRDefault="006D616A" w:rsidP="007F78CE">
            <w:pPr>
              <w:autoSpaceDE w:val="0"/>
              <w:autoSpaceDN w:val="0"/>
              <w:adjustRightInd w:val="0"/>
              <w:spacing w:after="0" w:line="240" w:lineRule="auto"/>
              <w:jc w:val="both"/>
              <w:rPr>
                <w:rFonts w:ascii="Arial" w:hAnsi="Arial" w:cs="Arial"/>
                <w:b/>
                <w:bCs/>
                <w:color w:val="365F91"/>
                <w:sz w:val="20"/>
                <w:szCs w:val="20"/>
              </w:rPr>
            </w:pPr>
            <w:r>
              <w:rPr>
                <w:rFonts w:ascii="Arial" w:hAnsi="Arial" w:cs="Arial"/>
                <w:b/>
                <w:bCs/>
                <w:sz w:val="20"/>
                <w:szCs w:val="20"/>
              </w:rPr>
              <w:t>A</w:t>
            </w:r>
            <w:r w:rsidR="009B627D" w:rsidRPr="007F78CE">
              <w:rPr>
                <w:rFonts w:ascii="Arial" w:hAnsi="Arial" w:cs="Arial"/>
                <w:b/>
                <w:bCs/>
                <w:sz w:val="20"/>
                <w:szCs w:val="20"/>
              </w:rPr>
              <w:t xml:space="preserve">ffluence </w:t>
            </w:r>
            <w:r>
              <w:rPr>
                <w:rFonts w:ascii="Arial" w:hAnsi="Arial" w:cs="Arial"/>
                <w:b/>
                <w:bCs/>
                <w:sz w:val="20"/>
                <w:szCs w:val="20"/>
              </w:rPr>
              <w:t xml:space="preserve">de </w:t>
            </w:r>
            <w:r w:rsidR="009B627D" w:rsidRPr="007F78CE">
              <w:rPr>
                <w:rFonts w:ascii="Arial" w:hAnsi="Arial" w:cs="Arial"/>
                <w:b/>
                <w:bCs/>
                <w:sz w:val="20"/>
                <w:szCs w:val="20"/>
              </w:rPr>
              <w:t xml:space="preserve">non locaux </w:t>
            </w:r>
            <w:r>
              <w:rPr>
                <w:rFonts w:ascii="Arial" w:hAnsi="Arial" w:cs="Arial"/>
                <w:b/>
                <w:bCs/>
                <w:sz w:val="20"/>
                <w:szCs w:val="20"/>
              </w:rPr>
              <w:t>/</w:t>
            </w:r>
            <w:r w:rsidR="009B627D" w:rsidRPr="007F78CE">
              <w:rPr>
                <w:rFonts w:ascii="Arial" w:hAnsi="Arial" w:cs="Arial"/>
                <w:b/>
                <w:bCs/>
                <w:sz w:val="20"/>
                <w:szCs w:val="20"/>
              </w:rPr>
              <w:t xml:space="preserve"> migrants lors des différentes phases du projet </w:t>
            </w:r>
            <w:r>
              <w:rPr>
                <w:rFonts w:ascii="Arial" w:hAnsi="Arial" w:cs="Arial"/>
                <w:b/>
                <w:bCs/>
                <w:sz w:val="20"/>
                <w:szCs w:val="20"/>
              </w:rPr>
              <w:t>et</w:t>
            </w:r>
            <w:r w:rsidR="009B627D" w:rsidRPr="007F78CE">
              <w:rPr>
                <w:rFonts w:ascii="Arial" w:hAnsi="Arial" w:cs="Arial"/>
                <w:b/>
                <w:bCs/>
                <w:sz w:val="20"/>
                <w:szCs w:val="20"/>
              </w:rPr>
              <w:t xml:space="preserve"> effets sur la santé humaine</w:t>
            </w:r>
          </w:p>
        </w:tc>
        <w:tc>
          <w:tcPr>
            <w:tcW w:w="6095" w:type="dxa"/>
            <w:shd w:val="clear" w:color="auto" w:fill="auto"/>
          </w:tcPr>
          <w:p w14:paraId="5DFF3821" w14:textId="77777777" w:rsidR="009B627D" w:rsidRPr="007F78CE" w:rsidRDefault="00A445CB" w:rsidP="007F78CE">
            <w:pPr>
              <w:autoSpaceDE w:val="0"/>
              <w:autoSpaceDN w:val="0"/>
              <w:adjustRightInd w:val="0"/>
              <w:spacing w:after="0" w:line="240" w:lineRule="auto"/>
              <w:jc w:val="both"/>
              <w:rPr>
                <w:rFonts w:ascii="Arial" w:eastAsia="Times New Roman" w:hAnsi="Arial" w:cs="Arial"/>
                <w:sz w:val="20"/>
                <w:szCs w:val="20"/>
                <w:lang w:eastAsia="fr-FR"/>
              </w:rPr>
            </w:pPr>
            <w:r w:rsidRPr="007F78CE">
              <w:rPr>
                <w:rFonts w:ascii="Arial" w:eastAsia="Times New Roman" w:hAnsi="Arial" w:cs="Arial"/>
                <w:sz w:val="20"/>
                <w:szCs w:val="20"/>
                <w:lang w:eastAsia="fr-FR"/>
              </w:rPr>
              <w:t>Les afflux de mains</w:t>
            </w:r>
            <w:r w:rsidR="00695CB4">
              <w:rPr>
                <w:rFonts w:ascii="Arial" w:eastAsia="Times New Roman" w:hAnsi="Arial" w:cs="Arial"/>
                <w:sz w:val="20"/>
                <w:szCs w:val="20"/>
                <w:lang w:eastAsia="fr-FR"/>
              </w:rPr>
              <w:t>-</w:t>
            </w:r>
            <w:r w:rsidRPr="007F78CE">
              <w:rPr>
                <w:rFonts w:ascii="Arial" w:eastAsia="Times New Roman" w:hAnsi="Arial" w:cs="Arial"/>
                <w:sz w:val="20"/>
                <w:szCs w:val="20"/>
                <w:lang w:eastAsia="fr-FR"/>
              </w:rPr>
              <w:t xml:space="preserve">d’œuvre, de nouveaux migrants, peuvent impacter sur l’état de santé des populations locales et les habitants dans les localités d’intervention du projet, si l’on ne considère </w:t>
            </w:r>
            <w:r w:rsidR="00C05389" w:rsidRPr="007F78CE">
              <w:rPr>
                <w:rFonts w:ascii="Arial" w:eastAsia="Times New Roman" w:hAnsi="Arial" w:cs="Arial"/>
                <w:sz w:val="20"/>
                <w:szCs w:val="20"/>
                <w:lang w:eastAsia="fr-FR"/>
              </w:rPr>
              <w:t xml:space="preserve">que </w:t>
            </w:r>
            <w:r w:rsidRPr="007F78CE">
              <w:rPr>
                <w:rFonts w:ascii="Arial" w:eastAsia="Times New Roman" w:hAnsi="Arial" w:cs="Arial"/>
                <w:sz w:val="20"/>
                <w:szCs w:val="20"/>
                <w:lang w:eastAsia="fr-FR"/>
              </w:rPr>
              <w:t>les maladies transmissibles</w:t>
            </w:r>
            <w:r w:rsidR="006D616A">
              <w:rPr>
                <w:rFonts w:ascii="Arial" w:eastAsia="Times New Roman" w:hAnsi="Arial" w:cs="Arial"/>
                <w:sz w:val="20"/>
                <w:szCs w:val="20"/>
                <w:lang w:eastAsia="fr-FR"/>
              </w:rPr>
              <w:t>.</w:t>
            </w:r>
          </w:p>
          <w:p w14:paraId="231930B8" w14:textId="77777777" w:rsidR="005F497C" w:rsidRPr="007F78CE" w:rsidRDefault="005F497C" w:rsidP="007F78CE">
            <w:pPr>
              <w:autoSpaceDE w:val="0"/>
              <w:autoSpaceDN w:val="0"/>
              <w:adjustRightInd w:val="0"/>
              <w:spacing w:after="0" w:line="240" w:lineRule="auto"/>
              <w:jc w:val="both"/>
              <w:rPr>
                <w:rFonts w:ascii="Arial" w:eastAsia="Times New Roman" w:hAnsi="Arial" w:cs="Arial"/>
                <w:sz w:val="20"/>
                <w:szCs w:val="20"/>
                <w:lang w:eastAsia="fr-FR"/>
              </w:rPr>
            </w:pPr>
            <w:r w:rsidRPr="007F78CE">
              <w:rPr>
                <w:rFonts w:ascii="Arial" w:eastAsia="Times New Roman" w:hAnsi="Arial" w:cs="Arial"/>
                <w:sz w:val="20"/>
                <w:szCs w:val="20"/>
                <w:lang w:eastAsia="fr-FR"/>
              </w:rPr>
              <w:t>Des mesures doivent être prises par le Projet pour limiter l’affluence des travailleurs non locaux. Des campagnes de sensibilisation seront ainsi à renforcer</w:t>
            </w:r>
            <w:r w:rsidR="006D616A">
              <w:rPr>
                <w:rFonts w:ascii="Arial" w:eastAsia="Times New Roman" w:hAnsi="Arial" w:cs="Arial"/>
                <w:sz w:val="20"/>
                <w:szCs w:val="20"/>
                <w:lang w:eastAsia="fr-FR"/>
              </w:rPr>
              <w:t>.</w:t>
            </w:r>
          </w:p>
        </w:tc>
      </w:tr>
      <w:tr w:rsidR="0063584D" w:rsidRPr="007F78CE" w14:paraId="1DD58E3F" w14:textId="77777777" w:rsidTr="08964A2F">
        <w:tc>
          <w:tcPr>
            <w:tcW w:w="2972" w:type="dxa"/>
            <w:tcBorders>
              <w:top w:val="single" w:sz="8" w:space="0" w:color="4F81BD"/>
              <w:left w:val="single" w:sz="8" w:space="0" w:color="4F81BD"/>
              <w:bottom w:val="single" w:sz="8" w:space="0" w:color="4F81BD"/>
            </w:tcBorders>
            <w:shd w:val="clear" w:color="auto" w:fill="auto"/>
          </w:tcPr>
          <w:p w14:paraId="6A805785" w14:textId="77777777" w:rsidR="009B627D" w:rsidRPr="007F78CE" w:rsidRDefault="005F497C" w:rsidP="007F78CE">
            <w:pPr>
              <w:autoSpaceDE w:val="0"/>
              <w:autoSpaceDN w:val="0"/>
              <w:adjustRightInd w:val="0"/>
              <w:spacing w:after="0" w:line="240" w:lineRule="auto"/>
              <w:jc w:val="both"/>
              <w:rPr>
                <w:rFonts w:ascii="Arial" w:hAnsi="Arial" w:cs="Arial"/>
                <w:b/>
                <w:bCs/>
                <w:color w:val="365F91"/>
                <w:sz w:val="20"/>
                <w:szCs w:val="20"/>
              </w:rPr>
            </w:pPr>
            <w:r w:rsidRPr="007F78CE">
              <w:rPr>
                <w:rFonts w:ascii="Arial" w:hAnsi="Arial" w:cs="Arial"/>
                <w:b/>
                <w:bCs/>
                <w:sz w:val="20"/>
                <w:szCs w:val="20"/>
              </w:rPr>
              <w:t>Violence basée sur le genre et exploitation des mineures</w:t>
            </w:r>
          </w:p>
        </w:tc>
        <w:tc>
          <w:tcPr>
            <w:tcW w:w="6095" w:type="dxa"/>
            <w:tcBorders>
              <w:top w:val="single" w:sz="8" w:space="0" w:color="4F81BD"/>
              <w:bottom w:val="single" w:sz="8" w:space="0" w:color="4F81BD"/>
              <w:right w:val="single" w:sz="8" w:space="0" w:color="4F81BD"/>
            </w:tcBorders>
            <w:shd w:val="clear" w:color="auto" w:fill="auto"/>
          </w:tcPr>
          <w:p w14:paraId="58AA719E" w14:textId="77777777" w:rsidR="009B627D" w:rsidRPr="007F78CE" w:rsidRDefault="005F497C" w:rsidP="007F78CE">
            <w:pPr>
              <w:autoSpaceDE w:val="0"/>
              <w:autoSpaceDN w:val="0"/>
              <w:adjustRightInd w:val="0"/>
              <w:spacing w:after="0" w:line="240" w:lineRule="auto"/>
              <w:jc w:val="both"/>
              <w:rPr>
                <w:rFonts w:ascii="Arial" w:eastAsia="Times New Roman" w:hAnsi="Arial" w:cs="Arial"/>
                <w:sz w:val="20"/>
                <w:szCs w:val="20"/>
                <w:lang w:eastAsia="fr-FR"/>
              </w:rPr>
            </w:pPr>
            <w:r w:rsidRPr="007F78CE">
              <w:rPr>
                <w:rFonts w:ascii="Arial" w:eastAsia="Times New Roman" w:hAnsi="Arial" w:cs="Arial"/>
                <w:sz w:val="20"/>
                <w:szCs w:val="20"/>
                <w:lang w:eastAsia="fr-FR"/>
              </w:rPr>
              <w:t>Le</w:t>
            </w:r>
            <w:r w:rsidR="00C05389" w:rsidRPr="007F78CE">
              <w:rPr>
                <w:rFonts w:ascii="Arial" w:eastAsia="Times New Roman" w:hAnsi="Arial" w:cs="Arial"/>
                <w:sz w:val="20"/>
                <w:szCs w:val="20"/>
                <w:lang w:eastAsia="fr-FR"/>
              </w:rPr>
              <w:t>s</w:t>
            </w:r>
            <w:r w:rsidRPr="007F78CE">
              <w:rPr>
                <w:rFonts w:ascii="Arial" w:eastAsia="Times New Roman" w:hAnsi="Arial" w:cs="Arial"/>
                <w:sz w:val="20"/>
                <w:szCs w:val="20"/>
                <w:lang w:eastAsia="fr-FR"/>
              </w:rPr>
              <w:t xml:space="preserve"> VBG reste</w:t>
            </w:r>
            <w:r w:rsidR="00C05389" w:rsidRPr="007F78CE">
              <w:rPr>
                <w:rFonts w:ascii="Arial" w:eastAsia="Times New Roman" w:hAnsi="Arial" w:cs="Arial"/>
                <w:sz w:val="20"/>
                <w:szCs w:val="20"/>
                <w:lang w:eastAsia="fr-FR"/>
              </w:rPr>
              <w:t>nt</w:t>
            </w:r>
            <w:r w:rsidRPr="007F78CE">
              <w:rPr>
                <w:rFonts w:ascii="Arial" w:eastAsia="Times New Roman" w:hAnsi="Arial" w:cs="Arial"/>
                <w:sz w:val="20"/>
                <w:szCs w:val="20"/>
                <w:lang w:eastAsia="fr-FR"/>
              </w:rPr>
              <w:t xml:space="preserve"> encore élevées à Madagascar. Ces violences ont des liens directs avec la place de la femme dans les sociétés locales ainsi qu’aux us et coutumes des diverses communautés. </w:t>
            </w:r>
            <w:r w:rsidR="007E18DC">
              <w:rPr>
                <w:rFonts w:ascii="Arial" w:eastAsia="Times New Roman" w:hAnsi="Arial" w:cs="Arial"/>
                <w:sz w:val="20"/>
                <w:szCs w:val="20"/>
                <w:lang w:eastAsia="fr-FR"/>
              </w:rPr>
              <w:t>L</w:t>
            </w:r>
            <w:r w:rsidRPr="007F78CE">
              <w:rPr>
                <w:rFonts w:ascii="Arial" w:eastAsia="Times New Roman" w:hAnsi="Arial" w:cs="Arial"/>
                <w:sz w:val="20"/>
                <w:szCs w:val="20"/>
                <w:lang w:eastAsia="fr-FR"/>
              </w:rPr>
              <w:t xml:space="preserve">a mise en œuvre de ce Projet risquerait d’augmenter encore plus le cas d’EAS/HS. Dans ce cas le projet DECIM </w:t>
            </w:r>
            <w:r w:rsidRPr="007F78CE">
              <w:rPr>
                <w:rFonts w:ascii="Arial" w:hAnsi="Arial" w:cs="Arial"/>
                <w:sz w:val="20"/>
                <w:szCs w:val="20"/>
              </w:rPr>
              <w:t>appliquera un plan d’action VBG qui comporte des sensibilisations sur la prévention des VBG à destination des acteurs du projet ainsi que de la population riveraine des sites d’intervention du projet.</w:t>
            </w:r>
          </w:p>
        </w:tc>
      </w:tr>
      <w:tr w:rsidR="005F497C" w:rsidRPr="007F78CE" w14:paraId="363391FB" w14:textId="77777777" w:rsidTr="08964A2F">
        <w:tc>
          <w:tcPr>
            <w:tcW w:w="2972" w:type="dxa"/>
            <w:shd w:val="clear" w:color="auto" w:fill="auto"/>
          </w:tcPr>
          <w:p w14:paraId="24BEC42E" w14:textId="77777777" w:rsidR="005F497C" w:rsidRPr="007F78CE" w:rsidRDefault="005F497C" w:rsidP="007F78CE">
            <w:pPr>
              <w:autoSpaceDE w:val="0"/>
              <w:autoSpaceDN w:val="0"/>
              <w:adjustRightInd w:val="0"/>
              <w:spacing w:after="0" w:line="240" w:lineRule="auto"/>
              <w:jc w:val="both"/>
              <w:rPr>
                <w:rFonts w:ascii="Arial" w:hAnsi="Arial" w:cs="Arial"/>
                <w:b/>
                <w:bCs/>
                <w:sz w:val="20"/>
                <w:szCs w:val="20"/>
              </w:rPr>
            </w:pPr>
            <w:r w:rsidRPr="007F78CE">
              <w:rPr>
                <w:rFonts w:ascii="Arial" w:hAnsi="Arial" w:cs="Arial"/>
                <w:b/>
                <w:bCs/>
                <w:sz w:val="20"/>
                <w:szCs w:val="20"/>
              </w:rPr>
              <w:t>Respect des us et coutumes locaux</w:t>
            </w:r>
          </w:p>
        </w:tc>
        <w:tc>
          <w:tcPr>
            <w:tcW w:w="6095" w:type="dxa"/>
            <w:shd w:val="clear" w:color="auto" w:fill="auto"/>
          </w:tcPr>
          <w:p w14:paraId="4578E284" w14:textId="77777777" w:rsidR="005F497C" w:rsidRPr="00327DB6" w:rsidRDefault="005F497C" w:rsidP="007F78CE">
            <w:pPr>
              <w:autoSpaceDE w:val="0"/>
              <w:autoSpaceDN w:val="0"/>
              <w:adjustRightInd w:val="0"/>
              <w:spacing w:after="0" w:line="240" w:lineRule="auto"/>
              <w:jc w:val="both"/>
              <w:rPr>
                <w:rFonts w:ascii="Arial" w:eastAsia="Times New Roman" w:hAnsi="Arial" w:cs="Arial"/>
                <w:sz w:val="20"/>
                <w:szCs w:val="20"/>
                <w:lang w:eastAsia="fr-FR"/>
              </w:rPr>
            </w:pPr>
            <w:r w:rsidRPr="00327DB6">
              <w:rPr>
                <w:rFonts w:ascii="Arial" w:eastAsia="Times New Roman" w:hAnsi="Arial" w:cs="Arial"/>
                <w:sz w:val="20"/>
                <w:szCs w:val="20"/>
                <w:lang w:eastAsia="fr-FR"/>
              </w:rPr>
              <w:t xml:space="preserve">La société dans les zones d’intervention </w:t>
            </w:r>
            <w:r w:rsidR="007E18DC" w:rsidRPr="00327DB6">
              <w:rPr>
                <w:rFonts w:ascii="Arial" w:eastAsia="Times New Roman" w:hAnsi="Arial" w:cs="Arial"/>
                <w:sz w:val="20"/>
                <w:szCs w:val="20"/>
                <w:lang w:eastAsia="fr-FR"/>
              </w:rPr>
              <w:t xml:space="preserve">notamment en milieu rural </w:t>
            </w:r>
            <w:r w:rsidRPr="00327DB6">
              <w:rPr>
                <w:rFonts w:ascii="Arial" w:eastAsia="Times New Roman" w:hAnsi="Arial" w:cs="Arial"/>
                <w:sz w:val="20"/>
                <w:szCs w:val="20"/>
                <w:lang w:eastAsia="fr-FR"/>
              </w:rPr>
              <w:t>est fortement empreinte des traditions, des us et coutumes, que toute personne étrangère se doive de respecter scrupuleusement afin de garantir une bonne intégration sociale et pour éviter les conflits sociaux.</w:t>
            </w:r>
          </w:p>
          <w:p w14:paraId="4996B892" w14:textId="77777777" w:rsidR="00F0160D" w:rsidRPr="00327DB6" w:rsidRDefault="00F0160D" w:rsidP="00F0160D">
            <w:pPr>
              <w:autoSpaceDE w:val="0"/>
              <w:autoSpaceDN w:val="0"/>
              <w:adjustRightInd w:val="0"/>
              <w:spacing w:after="0" w:line="240" w:lineRule="auto"/>
              <w:jc w:val="both"/>
              <w:rPr>
                <w:rFonts w:ascii="Arial" w:eastAsia="Times New Roman" w:hAnsi="Arial" w:cs="Arial"/>
                <w:sz w:val="20"/>
                <w:szCs w:val="20"/>
                <w:lang w:eastAsia="fr-FR"/>
              </w:rPr>
            </w:pPr>
            <w:r w:rsidRPr="00742D67">
              <w:rPr>
                <w:rFonts w:ascii="Arial" w:eastAsia="Times New Roman" w:hAnsi="Arial" w:cs="Arial"/>
                <w:sz w:val="20"/>
                <w:szCs w:val="20"/>
                <w:lang w:eastAsia="fr-FR"/>
              </w:rPr>
              <w:t>Afin de préserver l</w:t>
            </w:r>
            <w:r w:rsidR="00432287">
              <w:rPr>
                <w:rFonts w:ascii="Arial" w:eastAsia="Times New Roman" w:hAnsi="Arial" w:cs="Arial"/>
                <w:sz w:val="20"/>
                <w:szCs w:val="20"/>
                <w:lang w:eastAsia="fr-FR"/>
              </w:rPr>
              <w:t xml:space="preserve">es </w:t>
            </w:r>
            <w:r w:rsidRPr="00742D67">
              <w:rPr>
                <w:rFonts w:ascii="Arial" w:eastAsia="Times New Roman" w:hAnsi="Arial" w:cs="Arial"/>
                <w:sz w:val="20"/>
                <w:szCs w:val="20"/>
                <w:lang w:eastAsia="fr-FR"/>
              </w:rPr>
              <w:t>us et coutumes loca</w:t>
            </w:r>
            <w:r w:rsidR="00432287">
              <w:rPr>
                <w:rFonts w:ascii="Arial" w:eastAsia="Times New Roman" w:hAnsi="Arial" w:cs="Arial"/>
                <w:sz w:val="20"/>
                <w:szCs w:val="20"/>
                <w:lang w:eastAsia="fr-FR"/>
              </w:rPr>
              <w:t>ux</w:t>
            </w:r>
            <w:r w:rsidRPr="00742D67">
              <w:rPr>
                <w:rFonts w:ascii="Arial" w:eastAsia="Times New Roman" w:hAnsi="Arial" w:cs="Arial"/>
                <w:sz w:val="20"/>
                <w:szCs w:val="20"/>
                <w:lang w:eastAsia="fr-FR"/>
              </w:rPr>
              <w:t>, le Projet exigera à tous les personnels des entreprises et des bureaux d’études et de contrôles de les respecter à travers une séance de sensibilisation et la signature de code de conduite</w:t>
            </w:r>
            <w:r w:rsidRPr="00327DB6">
              <w:rPr>
                <w:rFonts w:ascii="Arial" w:eastAsia="Times New Roman" w:hAnsi="Arial" w:cs="Arial"/>
                <w:sz w:val="20"/>
                <w:szCs w:val="20"/>
                <w:lang w:eastAsia="fr-FR"/>
              </w:rPr>
              <w:t xml:space="preserve">. </w:t>
            </w:r>
          </w:p>
        </w:tc>
      </w:tr>
      <w:tr w:rsidR="0063584D" w:rsidRPr="007F78CE" w14:paraId="35A086D5" w14:textId="77777777" w:rsidTr="08964A2F">
        <w:tc>
          <w:tcPr>
            <w:tcW w:w="2972" w:type="dxa"/>
            <w:tcBorders>
              <w:top w:val="single" w:sz="8" w:space="0" w:color="4F81BD"/>
              <w:left w:val="single" w:sz="8" w:space="0" w:color="4F81BD"/>
              <w:bottom w:val="single" w:sz="8" w:space="0" w:color="4F81BD"/>
            </w:tcBorders>
            <w:shd w:val="clear" w:color="auto" w:fill="auto"/>
          </w:tcPr>
          <w:p w14:paraId="737414F6" w14:textId="77777777" w:rsidR="009B627D" w:rsidRPr="007F78CE" w:rsidRDefault="005F497C" w:rsidP="007F78CE">
            <w:pPr>
              <w:autoSpaceDE w:val="0"/>
              <w:autoSpaceDN w:val="0"/>
              <w:adjustRightInd w:val="0"/>
              <w:spacing w:after="0" w:line="240" w:lineRule="auto"/>
              <w:jc w:val="both"/>
              <w:rPr>
                <w:rFonts w:ascii="Arial" w:hAnsi="Arial" w:cs="Arial"/>
                <w:b/>
                <w:bCs/>
                <w:color w:val="365F91"/>
                <w:sz w:val="20"/>
                <w:szCs w:val="20"/>
              </w:rPr>
            </w:pPr>
            <w:r w:rsidRPr="007F78CE">
              <w:rPr>
                <w:rFonts w:ascii="Arial" w:hAnsi="Arial" w:cs="Arial"/>
                <w:b/>
                <w:bCs/>
                <w:sz w:val="20"/>
                <w:szCs w:val="20"/>
              </w:rPr>
              <w:t>Bouleversements des mœurs loca</w:t>
            </w:r>
            <w:r w:rsidR="004C1355" w:rsidRPr="007F78CE">
              <w:rPr>
                <w:rFonts w:ascii="Arial" w:hAnsi="Arial" w:cs="Arial"/>
                <w:b/>
                <w:bCs/>
                <w:sz w:val="20"/>
                <w:szCs w:val="20"/>
              </w:rPr>
              <w:t>les</w:t>
            </w:r>
            <w:r w:rsidRPr="007F78CE">
              <w:rPr>
                <w:rFonts w:ascii="Arial" w:hAnsi="Arial" w:cs="Arial"/>
                <w:b/>
                <w:bCs/>
                <w:sz w:val="20"/>
                <w:szCs w:val="20"/>
              </w:rPr>
              <w:t xml:space="preserve"> à cause de la mondialisation</w:t>
            </w:r>
          </w:p>
        </w:tc>
        <w:tc>
          <w:tcPr>
            <w:tcW w:w="6095" w:type="dxa"/>
            <w:tcBorders>
              <w:top w:val="single" w:sz="8" w:space="0" w:color="4F81BD"/>
              <w:bottom w:val="single" w:sz="8" w:space="0" w:color="4F81BD"/>
              <w:right w:val="single" w:sz="8" w:space="0" w:color="4F81BD"/>
            </w:tcBorders>
            <w:shd w:val="clear" w:color="auto" w:fill="auto"/>
          </w:tcPr>
          <w:p w14:paraId="475505D9" w14:textId="77777777" w:rsidR="009B627D" w:rsidRPr="00327DB6" w:rsidRDefault="005F497C" w:rsidP="007F78CE">
            <w:pPr>
              <w:autoSpaceDE w:val="0"/>
              <w:autoSpaceDN w:val="0"/>
              <w:adjustRightInd w:val="0"/>
              <w:spacing w:after="0" w:line="240" w:lineRule="auto"/>
              <w:jc w:val="both"/>
              <w:rPr>
                <w:rFonts w:ascii="Arial" w:eastAsia="Times New Roman" w:hAnsi="Arial" w:cs="Arial"/>
                <w:sz w:val="20"/>
                <w:szCs w:val="20"/>
                <w:lang w:eastAsia="fr-FR"/>
              </w:rPr>
            </w:pPr>
            <w:r w:rsidRPr="00327DB6">
              <w:rPr>
                <w:rFonts w:ascii="Arial" w:eastAsia="Times New Roman" w:hAnsi="Arial" w:cs="Arial"/>
                <w:sz w:val="20"/>
                <w:szCs w:val="20"/>
                <w:lang w:eastAsia="fr-FR"/>
              </w:rPr>
              <w:t xml:space="preserve">La disponibilité de l’internet dans un village donne accès à la population </w:t>
            </w:r>
            <w:r w:rsidR="00695CB4">
              <w:rPr>
                <w:rFonts w:ascii="Arial" w:eastAsia="Times New Roman" w:hAnsi="Arial" w:cs="Arial"/>
                <w:sz w:val="20"/>
                <w:szCs w:val="20"/>
                <w:lang w:eastAsia="fr-FR"/>
              </w:rPr>
              <w:t xml:space="preserve">à </w:t>
            </w:r>
            <w:r w:rsidRPr="00327DB6">
              <w:rPr>
                <w:rFonts w:ascii="Arial" w:eastAsia="Times New Roman" w:hAnsi="Arial" w:cs="Arial"/>
                <w:sz w:val="20"/>
                <w:szCs w:val="20"/>
                <w:lang w:eastAsia="fr-FR"/>
              </w:rPr>
              <w:t>toutes les informations, les tendances dans le monde moderne. Ce qui entra</w:t>
            </w:r>
            <w:r w:rsidR="00D037B9">
              <w:rPr>
                <w:rFonts w:ascii="Arial" w:eastAsia="Times New Roman" w:hAnsi="Arial" w:cs="Arial"/>
                <w:sz w:val="20"/>
                <w:szCs w:val="20"/>
                <w:lang w:eastAsia="fr-FR"/>
              </w:rPr>
              <w:t>î</w:t>
            </w:r>
            <w:r w:rsidRPr="00327DB6">
              <w:rPr>
                <w:rFonts w:ascii="Arial" w:eastAsia="Times New Roman" w:hAnsi="Arial" w:cs="Arial"/>
                <w:sz w:val="20"/>
                <w:szCs w:val="20"/>
                <w:lang w:eastAsia="fr-FR"/>
              </w:rPr>
              <w:t xml:space="preserve">nerait des changements </w:t>
            </w:r>
            <w:r w:rsidR="004C1355" w:rsidRPr="00327DB6">
              <w:rPr>
                <w:rFonts w:ascii="Arial" w:eastAsia="Times New Roman" w:hAnsi="Arial" w:cs="Arial"/>
                <w:sz w:val="20"/>
                <w:szCs w:val="20"/>
                <w:lang w:eastAsia="fr-FR"/>
              </w:rPr>
              <w:t xml:space="preserve">dans les us et coutumes </w:t>
            </w:r>
            <w:r w:rsidR="00695CB4" w:rsidRPr="00327DB6">
              <w:rPr>
                <w:rFonts w:ascii="Arial" w:eastAsia="Times New Roman" w:hAnsi="Arial" w:cs="Arial"/>
                <w:sz w:val="20"/>
                <w:szCs w:val="20"/>
                <w:lang w:eastAsia="fr-FR"/>
              </w:rPr>
              <w:t>loca</w:t>
            </w:r>
            <w:r w:rsidR="00695CB4">
              <w:rPr>
                <w:rFonts w:ascii="Arial" w:eastAsia="Times New Roman" w:hAnsi="Arial" w:cs="Arial"/>
                <w:sz w:val="20"/>
                <w:szCs w:val="20"/>
                <w:lang w:eastAsia="fr-FR"/>
              </w:rPr>
              <w:t>ux</w:t>
            </w:r>
            <w:r w:rsidR="004C1355" w:rsidRPr="00327DB6">
              <w:rPr>
                <w:rFonts w:ascii="Arial" w:eastAsia="Times New Roman" w:hAnsi="Arial" w:cs="Arial"/>
                <w:sz w:val="20"/>
                <w:szCs w:val="20"/>
                <w:lang w:eastAsia="fr-FR"/>
              </w:rPr>
              <w:t>.</w:t>
            </w:r>
          </w:p>
          <w:p w14:paraId="23CE1FA3" w14:textId="77777777" w:rsidR="004C1355" w:rsidRPr="00327DB6" w:rsidRDefault="004C1355" w:rsidP="007F78CE">
            <w:pPr>
              <w:autoSpaceDE w:val="0"/>
              <w:autoSpaceDN w:val="0"/>
              <w:adjustRightInd w:val="0"/>
              <w:spacing w:after="0" w:line="240" w:lineRule="auto"/>
              <w:jc w:val="both"/>
              <w:rPr>
                <w:rFonts w:ascii="Arial" w:eastAsia="Times New Roman" w:hAnsi="Arial" w:cs="Arial"/>
                <w:sz w:val="20"/>
                <w:szCs w:val="20"/>
                <w:lang w:eastAsia="fr-FR"/>
              </w:rPr>
            </w:pPr>
            <w:r w:rsidRPr="00327DB6">
              <w:rPr>
                <w:rFonts w:ascii="Arial" w:eastAsia="Times New Roman" w:hAnsi="Arial" w:cs="Arial"/>
                <w:sz w:val="20"/>
                <w:szCs w:val="20"/>
                <w:lang w:eastAsia="fr-FR"/>
              </w:rPr>
              <w:t>Afin de préserver les us et coutumes locaux</w:t>
            </w:r>
            <w:r w:rsidR="00432287">
              <w:rPr>
                <w:rFonts w:ascii="Arial" w:eastAsia="Times New Roman" w:hAnsi="Arial" w:cs="Arial"/>
                <w:sz w:val="20"/>
                <w:szCs w:val="20"/>
                <w:lang w:eastAsia="fr-FR"/>
              </w:rPr>
              <w:t>,</w:t>
            </w:r>
            <w:r w:rsidRPr="00327DB6">
              <w:rPr>
                <w:rFonts w:ascii="Arial" w:eastAsia="Times New Roman" w:hAnsi="Arial" w:cs="Arial"/>
                <w:sz w:val="20"/>
                <w:szCs w:val="20"/>
                <w:lang w:eastAsia="fr-FR"/>
              </w:rPr>
              <w:t xml:space="preserve"> le Projet misera sur un</w:t>
            </w:r>
            <w:r w:rsidR="00C05389" w:rsidRPr="00327DB6">
              <w:rPr>
                <w:rFonts w:ascii="Arial" w:eastAsia="Times New Roman" w:hAnsi="Arial" w:cs="Arial"/>
                <w:sz w:val="20"/>
                <w:szCs w:val="20"/>
                <w:lang w:eastAsia="fr-FR"/>
              </w:rPr>
              <w:t>e</w:t>
            </w:r>
            <w:r w:rsidRPr="00327DB6">
              <w:rPr>
                <w:rFonts w:ascii="Arial" w:eastAsia="Times New Roman" w:hAnsi="Arial" w:cs="Arial"/>
                <w:sz w:val="20"/>
                <w:szCs w:val="20"/>
                <w:lang w:eastAsia="fr-FR"/>
              </w:rPr>
              <w:t xml:space="preserve"> campagne de sensibilisation et mobilisation de la population locale sur l’importance des mœurs locales.</w:t>
            </w:r>
          </w:p>
        </w:tc>
      </w:tr>
    </w:tbl>
    <w:p w14:paraId="6A617251" w14:textId="77777777" w:rsidR="00E95156" w:rsidRDefault="00E95156">
      <w:r>
        <w:br w:type="page"/>
      </w:r>
    </w:p>
    <w:p w14:paraId="376B7E91" w14:textId="77777777" w:rsidR="00832CC9" w:rsidRPr="00B96EBA" w:rsidRDefault="00832CC9" w:rsidP="0044500E">
      <w:pPr>
        <w:pStyle w:val="Paragraphedeliste"/>
        <w:numPr>
          <w:ilvl w:val="0"/>
          <w:numId w:val="177"/>
        </w:numPr>
        <w:pBdr>
          <w:bottom w:val="single" w:sz="4" w:space="1" w:color="auto"/>
        </w:pBdr>
        <w:spacing w:line="240" w:lineRule="auto"/>
        <w:jc w:val="both"/>
        <w:outlineLvl w:val="0"/>
        <w:rPr>
          <w:b/>
          <w:bCs/>
          <w:caps/>
          <w:color w:val="44546A"/>
          <w:sz w:val="40"/>
          <w:szCs w:val="44"/>
        </w:rPr>
      </w:pPr>
      <w:bookmarkStart w:id="518" w:name="_Toc124956168"/>
      <w:bookmarkStart w:id="519" w:name="_Toc125384567"/>
      <w:bookmarkStart w:id="520" w:name="_Toc125384956"/>
      <w:bookmarkStart w:id="521" w:name="_Toc127957628"/>
      <w:r w:rsidRPr="00B96EBA">
        <w:rPr>
          <w:b/>
          <w:bCs/>
          <w:caps/>
          <w:color w:val="44546A"/>
          <w:sz w:val="40"/>
          <w:szCs w:val="44"/>
        </w:rPr>
        <w:t>Analyse du cadre juridique et institutionnel applicable au projet</w:t>
      </w:r>
      <w:bookmarkEnd w:id="518"/>
      <w:bookmarkEnd w:id="519"/>
      <w:bookmarkEnd w:id="520"/>
      <w:bookmarkEnd w:id="521"/>
    </w:p>
    <w:p w14:paraId="31E36528" w14:textId="77777777" w:rsidR="00EF0E99" w:rsidRPr="007F78CE" w:rsidRDefault="00EF0E99" w:rsidP="0044500E">
      <w:pPr>
        <w:pStyle w:val="TIT2"/>
        <w:numPr>
          <w:ilvl w:val="1"/>
          <w:numId w:val="177"/>
        </w:numPr>
      </w:pPr>
      <w:bookmarkStart w:id="522" w:name="_Toc124312701"/>
      <w:bookmarkStart w:id="523" w:name="_Toc124314691"/>
      <w:bookmarkStart w:id="524" w:name="_Toc124956169"/>
      <w:bookmarkStart w:id="525" w:name="_Toc125384568"/>
      <w:bookmarkStart w:id="526" w:name="_Toc125384957"/>
      <w:bookmarkStart w:id="527" w:name="_Toc127957629"/>
      <w:bookmarkEnd w:id="522"/>
      <w:r w:rsidRPr="007F78CE">
        <w:t>Principes généraux de base</w:t>
      </w:r>
      <w:bookmarkEnd w:id="523"/>
      <w:bookmarkEnd w:id="524"/>
      <w:bookmarkEnd w:id="525"/>
      <w:bookmarkEnd w:id="526"/>
      <w:bookmarkEnd w:id="527"/>
    </w:p>
    <w:p w14:paraId="7BAC7942" w14:textId="77777777" w:rsidR="00EF0E99" w:rsidRPr="00EF0E99" w:rsidRDefault="00EF0E99" w:rsidP="00EF0E99">
      <w:pPr>
        <w:jc w:val="both"/>
        <w:rPr>
          <w:rFonts w:ascii="Arial" w:hAnsi="Arial" w:cs="Arial"/>
        </w:rPr>
      </w:pPr>
      <w:bookmarkStart w:id="528" w:name="_Hlk121005813"/>
      <w:r w:rsidRPr="00EF0E99">
        <w:rPr>
          <w:rFonts w:ascii="Arial" w:hAnsi="Arial" w:cs="Arial"/>
        </w:rPr>
        <w:t>Les dispositifs juridique</w:t>
      </w:r>
      <w:r w:rsidR="00C05389">
        <w:rPr>
          <w:rFonts w:ascii="Arial" w:hAnsi="Arial" w:cs="Arial"/>
        </w:rPr>
        <w:t>s</w:t>
      </w:r>
      <w:r w:rsidRPr="00EF0E99">
        <w:rPr>
          <w:rFonts w:ascii="Arial" w:hAnsi="Arial" w:cs="Arial"/>
        </w:rPr>
        <w:t xml:space="preserve"> et institutionnels applicable</w:t>
      </w:r>
      <w:r w:rsidR="00C05389">
        <w:rPr>
          <w:rFonts w:ascii="Arial" w:hAnsi="Arial" w:cs="Arial"/>
        </w:rPr>
        <w:t>s</w:t>
      </w:r>
      <w:r w:rsidRPr="00EF0E99">
        <w:rPr>
          <w:rFonts w:ascii="Arial" w:hAnsi="Arial" w:cs="Arial"/>
        </w:rPr>
        <w:t xml:space="preserve"> au projet devraient être impérativement conforme</w:t>
      </w:r>
      <w:r w:rsidR="00C05389">
        <w:rPr>
          <w:rFonts w:ascii="Arial" w:hAnsi="Arial" w:cs="Arial"/>
        </w:rPr>
        <w:t>s</w:t>
      </w:r>
      <w:r w:rsidRPr="00EF0E99">
        <w:rPr>
          <w:rFonts w:ascii="Arial" w:hAnsi="Arial" w:cs="Arial"/>
        </w:rPr>
        <w:t xml:space="preserve"> aux dispositifs tels qu’énoncé</w:t>
      </w:r>
      <w:r>
        <w:rPr>
          <w:rFonts w:ascii="Arial" w:hAnsi="Arial" w:cs="Arial"/>
        </w:rPr>
        <w:t>s</w:t>
      </w:r>
      <w:r w:rsidRPr="00EF0E99">
        <w:rPr>
          <w:rFonts w:ascii="Arial" w:hAnsi="Arial" w:cs="Arial"/>
        </w:rPr>
        <w:t xml:space="preserve"> et entendu</w:t>
      </w:r>
      <w:r w:rsidR="00C05389">
        <w:rPr>
          <w:rFonts w:ascii="Arial" w:hAnsi="Arial" w:cs="Arial"/>
        </w:rPr>
        <w:t>s</w:t>
      </w:r>
      <w:r w:rsidRPr="00EF0E99">
        <w:rPr>
          <w:rFonts w:ascii="Arial" w:hAnsi="Arial" w:cs="Arial"/>
        </w:rPr>
        <w:t xml:space="preserve"> entre le Gouvernement Malagasy et la Banque mondiale dans l’Accord de financement du projet ; </w:t>
      </w:r>
    </w:p>
    <w:p w14:paraId="22B4CEFE" w14:textId="77777777" w:rsidR="00EF0E99" w:rsidRPr="00EF0E99" w:rsidRDefault="00EF0E99" w:rsidP="00EF0E99">
      <w:pPr>
        <w:jc w:val="both"/>
        <w:rPr>
          <w:rFonts w:ascii="Arial" w:hAnsi="Arial" w:cs="Arial"/>
        </w:rPr>
      </w:pPr>
      <w:r w:rsidRPr="00EF0E99">
        <w:rPr>
          <w:rFonts w:ascii="Arial" w:hAnsi="Arial" w:cs="Arial"/>
        </w:rPr>
        <w:t xml:space="preserve">Le Plan d’Engagement Environnemental et Social (PEES) qui est partie intégrante de l’accord de financement, stipule à son paragraphe 2, que ‘’Le Bénéficiaire veille à ce que le Projet soit exécuté conformément aux Normes Environnementales et Sociales (NES) et aux dispositions </w:t>
      </w:r>
      <w:r w:rsidR="00EC4C32">
        <w:rPr>
          <w:rFonts w:ascii="Arial" w:hAnsi="Arial" w:cs="Arial"/>
        </w:rPr>
        <w:t>d</w:t>
      </w:r>
      <w:r w:rsidRPr="00EF0E99">
        <w:rPr>
          <w:rFonts w:ascii="Arial" w:hAnsi="Arial" w:cs="Arial"/>
        </w:rPr>
        <w:t>u présent Plan d’engagement environnemental et Social (PEES), d’une manière acceptable pour l’Association’’.</w:t>
      </w:r>
    </w:p>
    <w:p w14:paraId="0D759D0D" w14:textId="77777777" w:rsidR="00EF0E99" w:rsidRPr="00EF0E99" w:rsidRDefault="00EF0E99" w:rsidP="00EF0E99">
      <w:pPr>
        <w:jc w:val="both"/>
        <w:rPr>
          <w:rFonts w:ascii="Arial" w:hAnsi="Arial" w:cs="Arial"/>
        </w:rPr>
      </w:pPr>
      <w:r w:rsidRPr="00EF0E99">
        <w:rPr>
          <w:rFonts w:ascii="Arial" w:hAnsi="Arial" w:cs="Arial"/>
        </w:rPr>
        <w:t>La mise en application des NES nécessite l’analyse du cadre juridique national pour s’enquérir de la possibilité de l’appliquer, de le renforcer en cas de besoins, ou de clarifier les dispositifs applicables au projet.</w:t>
      </w:r>
    </w:p>
    <w:p w14:paraId="7416A6BB" w14:textId="77777777" w:rsidR="00592898" w:rsidRPr="008540E8" w:rsidRDefault="006430C5" w:rsidP="0044500E">
      <w:pPr>
        <w:pStyle w:val="TIT2"/>
        <w:numPr>
          <w:ilvl w:val="1"/>
          <w:numId w:val="177"/>
        </w:numPr>
      </w:pPr>
      <w:bookmarkStart w:id="529" w:name="_Toc124314692"/>
      <w:bookmarkStart w:id="530" w:name="_Toc124956170"/>
      <w:bookmarkStart w:id="531" w:name="_Toc125384569"/>
      <w:bookmarkStart w:id="532" w:name="_Toc125384958"/>
      <w:bookmarkStart w:id="533" w:name="_Toc127957630"/>
      <w:bookmarkEnd w:id="528"/>
      <w:r w:rsidRPr="008540E8">
        <w:t>Cadre politique</w:t>
      </w:r>
      <w:r w:rsidR="00C93409" w:rsidRPr="008540E8">
        <w:t xml:space="preserve"> et stratégique</w:t>
      </w:r>
      <w:bookmarkEnd w:id="529"/>
      <w:bookmarkEnd w:id="530"/>
      <w:bookmarkEnd w:id="531"/>
      <w:bookmarkEnd w:id="532"/>
      <w:bookmarkEnd w:id="533"/>
    </w:p>
    <w:p w14:paraId="240737D1" w14:textId="77777777" w:rsidR="00CA457C" w:rsidRPr="00CA457C" w:rsidRDefault="00CA457C" w:rsidP="00CA457C">
      <w:pPr>
        <w:jc w:val="both"/>
        <w:rPr>
          <w:rFonts w:ascii="Arial" w:hAnsi="Arial" w:cs="Arial"/>
        </w:rPr>
      </w:pPr>
      <w:r w:rsidRPr="00CA457C">
        <w:rPr>
          <w:rFonts w:ascii="Arial" w:hAnsi="Arial" w:cs="Arial"/>
        </w:rPr>
        <w:t xml:space="preserve">Cette section présente le cadre juridique et réglementaire national qui régit les secteurs directement concernés par le Projet. Ces secteurs sont : Développement </w:t>
      </w:r>
      <w:r>
        <w:rPr>
          <w:rFonts w:ascii="Arial" w:hAnsi="Arial" w:cs="Arial"/>
        </w:rPr>
        <w:t>de l’énergie et d</w:t>
      </w:r>
      <w:r w:rsidR="00EC4C32">
        <w:rPr>
          <w:rFonts w:ascii="Arial" w:hAnsi="Arial" w:cs="Arial"/>
        </w:rPr>
        <w:t>u</w:t>
      </w:r>
      <w:r>
        <w:rPr>
          <w:rFonts w:ascii="Arial" w:hAnsi="Arial" w:cs="Arial"/>
        </w:rPr>
        <w:t xml:space="preserve"> numérique</w:t>
      </w:r>
      <w:r w:rsidRPr="00CA457C">
        <w:rPr>
          <w:rFonts w:ascii="Arial" w:hAnsi="Arial" w:cs="Arial"/>
        </w:rPr>
        <w:t xml:space="preserve">, Santé au travail, Santé publique, Travail et emploi, Eau, Genre et violences basées sur le genre, Aménagement du territoire. </w:t>
      </w:r>
    </w:p>
    <w:p w14:paraId="43F50559" w14:textId="77777777" w:rsidR="00CA457C" w:rsidRPr="00CA457C" w:rsidRDefault="00D66D22" w:rsidP="0044500E">
      <w:pPr>
        <w:pStyle w:val="TIT3"/>
        <w:numPr>
          <w:ilvl w:val="2"/>
          <w:numId w:val="177"/>
        </w:numPr>
      </w:pPr>
      <w:bookmarkStart w:id="534" w:name="_Toc121232609"/>
      <w:bookmarkStart w:id="535" w:name="_Toc124314693"/>
      <w:bookmarkStart w:id="536" w:name="_Toc124956171"/>
      <w:bookmarkStart w:id="537" w:name="_Toc125384570"/>
      <w:bookmarkStart w:id="538" w:name="_Toc125384959"/>
      <w:bookmarkStart w:id="539" w:name="_Toc127957631"/>
      <w:r w:rsidRPr="00CA457C">
        <w:t xml:space="preserve">Politique générale de </w:t>
      </w:r>
      <w:r>
        <w:t>l’E</w:t>
      </w:r>
      <w:r w:rsidRPr="00CA457C">
        <w:t xml:space="preserve">tat </w:t>
      </w:r>
      <w:r>
        <w:t>et l’initiative d’émergence de M</w:t>
      </w:r>
      <w:r w:rsidRPr="00CA457C">
        <w:t>adagascar</w:t>
      </w:r>
      <w:bookmarkEnd w:id="534"/>
      <w:bookmarkEnd w:id="535"/>
      <w:bookmarkEnd w:id="536"/>
      <w:bookmarkEnd w:id="537"/>
      <w:bookmarkEnd w:id="538"/>
      <w:bookmarkEnd w:id="539"/>
    </w:p>
    <w:p w14:paraId="29DAF88E" w14:textId="77777777" w:rsidR="006B5DD4" w:rsidRDefault="00CA457C" w:rsidP="00CA457C">
      <w:pPr>
        <w:jc w:val="both"/>
        <w:rPr>
          <w:rFonts w:ascii="Arial" w:hAnsi="Arial" w:cs="Arial"/>
        </w:rPr>
      </w:pPr>
      <w:r w:rsidRPr="00CA457C">
        <w:rPr>
          <w:rFonts w:ascii="Arial" w:hAnsi="Arial" w:cs="Arial"/>
        </w:rPr>
        <w:t xml:space="preserve">Le développement de Madagascar repose sur la mise en œuvre de la Politique Générale de l’Etat </w:t>
      </w:r>
      <w:r w:rsidR="00D1652A">
        <w:rPr>
          <w:rFonts w:ascii="Arial" w:hAnsi="Arial" w:cs="Arial"/>
        </w:rPr>
        <w:t xml:space="preserve">(PGE) </w:t>
      </w:r>
      <w:r w:rsidRPr="00CA457C">
        <w:rPr>
          <w:rFonts w:ascii="Arial" w:hAnsi="Arial" w:cs="Arial"/>
        </w:rPr>
        <w:t>et du Plan de l’Initiative pour l’Emergence de Madagascar</w:t>
      </w:r>
      <w:r w:rsidR="00D1652A">
        <w:rPr>
          <w:rFonts w:ascii="Arial" w:hAnsi="Arial" w:cs="Arial"/>
        </w:rPr>
        <w:t xml:space="preserve"> (PEM)</w:t>
      </w:r>
      <w:r w:rsidRPr="00CA457C">
        <w:rPr>
          <w:rFonts w:ascii="Arial" w:hAnsi="Arial" w:cs="Arial"/>
        </w:rPr>
        <w:t xml:space="preserve">. Les deux cadres politiques visent </w:t>
      </w:r>
      <w:r>
        <w:rPr>
          <w:rFonts w:ascii="Arial" w:hAnsi="Arial" w:cs="Arial"/>
        </w:rPr>
        <w:t xml:space="preserve">à améliorer le secteur énergétique. </w:t>
      </w:r>
      <w:r w:rsidRPr="00CA457C">
        <w:rPr>
          <w:rFonts w:ascii="Arial" w:hAnsi="Arial" w:cs="Arial"/>
        </w:rPr>
        <w:t>A ce propos,</w:t>
      </w:r>
      <w:r w:rsidR="006B5DD4">
        <w:rPr>
          <w:rFonts w:ascii="Arial" w:hAnsi="Arial" w:cs="Arial"/>
        </w:rPr>
        <w:t xml:space="preserve"> le développement d</w:t>
      </w:r>
      <w:r w:rsidR="00EC4C32">
        <w:rPr>
          <w:rFonts w:ascii="Arial" w:hAnsi="Arial" w:cs="Arial"/>
        </w:rPr>
        <w:t>u</w:t>
      </w:r>
      <w:r w:rsidR="006B5DD4">
        <w:rPr>
          <w:rFonts w:ascii="Arial" w:hAnsi="Arial" w:cs="Arial"/>
        </w:rPr>
        <w:t xml:space="preserve"> numérique fait partie de la priorité de l’Etat (priorité 22 : </w:t>
      </w:r>
      <w:r w:rsidR="006B5DD4" w:rsidRPr="006B5DD4">
        <w:rPr>
          <w:rFonts w:ascii="Arial" w:hAnsi="Arial" w:cs="Arial"/>
        </w:rPr>
        <w:t>Rendre Madagascar un acteur de la révolution numérique</w:t>
      </w:r>
      <w:r w:rsidR="006B5DD4">
        <w:rPr>
          <w:rFonts w:ascii="Arial" w:hAnsi="Arial" w:cs="Arial"/>
        </w:rPr>
        <w:t xml:space="preserve">). Pour cela, l’Etat vise à : </w:t>
      </w:r>
    </w:p>
    <w:p w14:paraId="507E3587" w14:textId="77777777" w:rsidR="006B5DD4" w:rsidRPr="006B5DD4" w:rsidRDefault="006B5DD4" w:rsidP="00687DD2">
      <w:pPr>
        <w:pStyle w:val="Paragraphedeliste"/>
        <w:numPr>
          <w:ilvl w:val="0"/>
          <w:numId w:val="8"/>
        </w:numPr>
        <w:jc w:val="both"/>
        <w:rPr>
          <w:rFonts w:ascii="Arial" w:hAnsi="Arial" w:cs="Arial"/>
        </w:rPr>
      </w:pPr>
      <w:r w:rsidRPr="006B5DD4">
        <w:rPr>
          <w:rFonts w:ascii="Arial" w:hAnsi="Arial" w:cs="Arial"/>
        </w:rPr>
        <w:t>Développer les réseaux d’accès aux TIC</w:t>
      </w:r>
      <w:r w:rsidR="00D1652A">
        <w:rPr>
          <w:rFonts w:ascii="Arial" w:hAnsi="Arial" w:cs="Arial"/>
        </w:rPr>
        <w:t> ;</w:t>
      </w:r>
    </w:p>
    <w:p w14:paraId="14D862FF" w14:textId="77777777" w:rsidR="006B5DD4" w:rsidRPr="006B5DD4" w:rsidRDefault="006B5DD4" w:rsidP="00687DD2">
      <w:pPr>
        <w:pStyle w:val="Paragraphedeliste"/>
        <w:numPr>
          <w:ilvl w:val="0"/>
          <w:numId w:val="8"/>
        </w:numPr>
        <w:jc w:val="both"/>
        <w:rPr>
          <w:rFonts w:ascii="Arial" w:hAnsi="Arial" w:cs="Arial"/>
        </w:rPr>
      </w:pPr>
      <w:r w:rsidRPr="006B5DD4">
        <w:rPr>
          <w:rFonts w:ascii="Arial" w:hAnsi="Arial" w:cs="Arial"/>
        </w:rPr>
        <w:t>Augmenter le nombre des usagers des services de la télécommunication par la mise en place d’une libre concurrence</w:t>
      </w:r>
      <w:r w:rsidR="00D1652A">
        <w:rPr>
          <w:rFonts w:ascii="Arial" w:hAnsi="Arial" w:cs="Arial"/>
        </w:rPr>
        <w:t> ;</w:t>
      </w:r>
    </w:p>
    <w:p w14:paraId="4C5A9A24" w14:textId="77777777" w:rsidR="006B5DD4" w:rsidRPr="006B5DD4" w:rsidRDefault="006B5DD4" w:rsidP="00687DD2">
      <w:pPr>
        <w:pStyle w:val="Paragraphedeliste"/>
        <w:numPr>
          <w:ilvl w:val="0"/>
          <w:numId w:val="8"/>
        </w:numPr>
        <w:jc w:val="both"/>
        <w:rPr>
          <w:rFonts w:ascii="Arial" w:hAnsi="Arial" w:cs="Arial"/>
        </w:rPr>
      </w:pPr>
      <w:r w:rsidRPr="006B5DD4">
        <w:rPr>
          <w:rFonts w:ascii="Arial" w:hAnsi="Arial" w:cs="Arial"/>
        </w:rPr>
        <w:t>Engager des réformes organisationnelles et institutionnelles du secteur postal et d'adopter une politique sectorielle</w:t>
      </w:r>
      <w:r w:rsidR="00D1652A">
        <w:rPr>
          <w:rFonts w:ascii="Arial" w:hAnsi="Arial" w:cs="Arial"/>
        </w:rPr>
        <w:t> ;</w:t>
      </w:r>
    </w:p>
    <w:p w14:paraId="4AD8382F" w14:textId="77777777" w:rsidR="006B5DD4" w:rsidRPr="006B5DD4" w:rsidRDefault="006B5DD4" w:rsidP="00687DD2">
      <w:pPr>
        <w:pStyle w:val="Paragraphedeliste"/>
        <w:numPr>
          <w:ilvl w:val="0"/>
          <w:numId w:val="8"/>
        </w:numPr>
        <w:jc w:val="both"/>
        <w:rPr>
          <w:rFonts w:ascii="Arial" w:hAnsi="Arial" w:cs="Arial"/>
        </w:rPr>
      </w:pPr>
      <w:r w:rsidRPr="006B5DD4">
        <w:rPr>
          <w:rFonts w:ascii="Arial" w:hAnsi="Arial" w:cs="Arial"/>
        </w:rPr>
        <w:t>Assurer la modernisation de la PAO</w:t>
      </w:r>
      <w:r>
        <w:rPr>
          <w:rFonts w:ascii="Arial" w:hAnsi="Arial" w:cs="Arial"/>
        </w:rPr>
        <w:t xml:space="preserve">sitra </w:t>
      </w:r>
      <w:r w:rsidRPr="006B5DD4">
        <w:rPr>
          <w:rFonts w:ascii="Arial" w:hAnsi="Arial" w:cs="Arial"/>
        </w:rPr>
        <w:t>Ma</w:t>
      </w:r>
      <w:r>
        <w:rPr>
          <w:rFonts w:ascii="Arial" w:hAnsi="Arial" w:cs="Arial"/>
        </w:rPr>
        <w:t>lagasy (PAOMA)</w:t>
      </w:r>
      <w:r w:rsidRPr="006B5DD4">
        <w:rPr>
          <w:rFonts w:ascii="Arial" w:hAnsi="Arial" w:cs="Arial"/>
        </w:rPr>
        <w:t xml:space="preserve"> par la diversification de ses activités et le développement de son réseau</w:t>
      </w:r>
      <w:r w:rsidR="00D1652A">
        <w:rPr>
          <w:rFonts w:ascii="Arial" w:hAnsi="Arial" w:cs="Arial"/>
        </w:rPr>
        <w:t>.</w:t>
      </w:r>
    </w:p>
    <w:p w14:paraId="63F04C7F" w14:textId="77777777" w:rsidR="006B5DD4" w:rsidRDefault="006B5DD4" w:rsidP="00CA457C">
      <w:pPr>
        <w:jc w:val="both"/>
        <w:rPr>
          <w:rFonts w:ascii="Arial" w:hAnsi="Arial" w:cs="Arial"/>
        </w:rPr>
      </w:pPr>
      <w:r>
        <w:rPr>
          <w:rFonts w:ascii="Arial" w:hAnsi="Arial" w:cs="Arial"/>
        </w:rPr>
        <w:t>Pour le secteur Energie, la priorité 28 du PEM met l’accent sur le r</w:t>
      </w:r>
      <w:r w:rsidRPr="006B5DD4">
        <w:rPr>
          <w:rFonts w:ascii="Arial" w:hAnsi="Arial" w:cs="Arial"/>
        </w:rPr>
        <w:t>enforce</w:t>
      </w:r>
      <w:r>
        <w:rPr>
          <w:rFonts w:ascii="Arial" w:hAnsi="Arial" w:cs="Arial"/>
        </w:rPr>
        <w:t>ment</w:t>
      </w:r>
      <w:r w:rsidRPr="006B5DD4">
        <w:rPr>
          <w:rFonts w:ascii="Arial" w:hAnsi="Arial" w:cs="Arial"/>
        </w:rPr>
        <w:t xml:space="preserve"> </w:t>
      </w:r>
      <w:r>
        <w:rPr>
          <w:rFonts w:ascii="Arial" w:hAnsi="Arial" w:cs="Arial"/>
        </w:rPr>
        <w:t xml:space="preserve">de </w:t>
      </w:r>
      <w:r w:rsidRPr="006B5DD4">
        <w:rPr>
          <w:rFonts w:ascii="Arial" w:hAnsi="Arial" w:cs="Arial"/>
        </w:rPr>
        <w:t>la production</w:t>
      </w:r>
      <w:r>
        <w:rPr>
          <w:rFonts w:ascii="Arial" w:hAnsi="Arial" w:cs="Arial"/>
        </w:rPr>
        <w:t xml:space="preserve"> </w:t>
      </w:r>
      <w:r w:rsidRPr="006B5DD4">
        <w:rPr>
          <w:rFonts w:ascii="Arial" w:hAnsi="Arial" w:cs="Arial"/>
        </w:rPr>
        <w:t>énergétique</w:t>
      </w:r>
      <w:r>
        <w:rPr>
          <w:rFonts w:ascii="Arial" w:hAnsi="Arial" w:cs="Arial"/>
        </w:rPr>
        <w:t xml:space="preserve"> </w:t>
      </w:r>
      <w:r w:rsidRPr="006B5DD4">
        <w:rPr>
          <w:rFonts w:ascii="Arial" w:hAnsi="Arial" w:cs="Arial"/>
        </w:rPr>
        <w:t>et l'accès à l'énergie</w:t>
      </w:r>
      <w:r>
        <w:rPr>
          <w:rFonts w:ascii="Arial" w:hAnsi="Arial" w:cs="Arial"/>
        </w:rPr>
        <w:t xml:space="preserve">. Dans cet axe, il sera prévu de : </w:t>
      </w:r>
    </w:p>
    <w:p w14:paraId="14B393C8" w14:textId="77777777" w:rsidR="006B5DD4" w:rsidRDefault="006B5DD4" w:rsidP="00687DD2">
      <w:pPr>
        <w:pStyle w:val="Paragraphedeliste"/>
        <w:numPr>
          <w:ilvl w:val="0"/>
          <w:numId w:val="8"/>
        </w:numPr>
        <w:jc w:val="both"/>
        <w:rPr>
          <w:rFonts w:ascii="Arial" w:hAnsi="Arial" w:cs="Arial"/>
        </w:rPr>
      </w:pPr>
      <w:r w:rsidRPr="00D66D22">
        <w:rPr>
          <w:rFonts w:ascii="Arial" w:hAnsi="Arial" w:cs="Arial"/>
        </w:rPr>
        <w:t>Doubler les moyens de production (de 400MW à plus de 800MW) en priorisant les énergies de source renouvelable</w:t>
      </w:r>
      <w:r w:rsidR="00D1652A">
        <w:rPr>
          <w:rFonts w:ascii="Arial" w:hAnsi="Arial" w:cs="Arial"/>
        </w:rPr>
        <w:t> ;</w:t>
      </w:r>
    </w:p>
    <w:p w14:paraId="48392BDC" w14:textId="77777777" w:rsidR="006B5DD4" w:rsidRPr="00D66D22" w:rsidRDefault="006B5DD4" w:rsidP="00687DD2">
      <w:pPr>
        <w:pStyle w:val="Paragraphedeliste"/>
        <w:numPr>
          <w:ilvl w:val="0"/>
          <w:numId w:val="8"/>
        </w:numPr>
        <w:jc w:val="both"/>
        <w:rPr>
          <w:rFonts w:ascii="Arial" w:hAnsi="Arial" w:cs="Arial"/>
        </w:rPr>
      </w:pPr>
      <w:r w:rsidRPr="00D66D22">
        <w:rPr>
          <w:rFonts w:ascii="Arial" w:hAnsi="Arial" w:cs="Arial"/>
        </w:rPr>
        <w:t>Accélérer l'accès à l'électricité de la population afin d'atteindre à minima un taux d'accès de 50%</w:t>
      </w:r>
      <w:r w:rsidR="00D1652A">
        <w:rPr>
          <w:rFonts w:ascii="Arial" w:hAnsi="Arial" w:cs="Arial"/>
        </w:rPr>
        <w:t xml:space="preserve"> </w:t>
      </w:r>
      <w:r w:rsidRPr="00D66D22">
        <w:rPr>
          <w:rFonts w:ascii="Arial" w:hAnsi="Arial" w:cs="Arial"/>
        </w:rPr>
        <w:t>;</w:t>
      </w:r>
    </w:p>
    <w:p w14:paraId="54546658" w14:textId="77777777" w:rsidR="006B5DD4" w:rsidRPr="00D66D22" w:rsidRDefault="006B5DD4" w:rsidP="00687DD2">
      <w:pPr>
        <w:pStyle w:val="Paragraphedeliste"/>
        <w:numPr>
          <w:ilvl w:val="0"/>
          <w:numId w:val="8"/>
        </w:numPr>
        <w:jc w:val="both"/>
        <w:rPr>
          <w:rFonts w:ascii="Arial" w:hAnsi="Arial" w:cs="Arial"/>
        </w:rPr>
      </w:pPr>
      <w:r w:rsidRPr="00D66D22">
        <w:rPr>
          <w:rFonts w:ascii="Arial" w:hAnsi="Arial" w:cs="Arial"/>
        </w:rPr>
        <w:t xml:space="preserve">Réduire de manière significative le coût de production de l'électricité (baisse </w:t>
      </w:r>
      <w:r w:rsidR="00D1652A">
        <w:rPr>
          <w:rFonts w:ascii="Arial" w:hAnsi="Arial" w:cs="Arial"/>
        </w:rPr>
        <w:t xml:space="preserve">du </w:t>
      </w:r>
      <w:r w:rsidRPr="00D66D22">
        <w:rPr>
          <w:rFonts w:ascii="Arial" w:hAnsi="Arial" w:cs="Arial"/>
        </w:rPr>
        <w:t>coût de production) ;</w:t>
      </w:r>
    </w:p>
    <w:p w14:paraId="44E72C7D" w14:textId="77777777" w:rsidR="006B5DD4" w:rsidRPr="00D66D22" w:rsidRDefault="006B5DD4" w:rsidP="00687DD2">
      <w:pPr>
        <w:pStyle w:val="Paragraphedeliste"/>
        <w:numPr>
          <w:ilvl w:val="0"/>
          <w:numId w:val="8"/>
        </w:numPr>
        <w:jc w:val="both"/>
        <w:rPr>
          <w:rFonts w:ascii="Arial" w:hAnsi="Arial" w:cs="Arial"/>
        </w:rPr>
      </w:pPr>
      <w:r w:rsidRPr="00D66D22">
        <w:rPr>
          <w:rFonts w:ascii="Arial" w:hAnsi="Arial" w:cs="Arial"/>
        </w:rPr>
        <w:t>Consolider de manière plus équitable le dispositif de péréquation tarifaire (suppression des inégalités régionales avant 2023) ;</w:t>
      </w:r>
    </w:p>
    <w:p w14:paraId="73A28E2D" w14:textId="77777777" w:rsidR="006B5DD4" w:rsidRPr="00D66D22" w:rsidRDefault="006B5DD4" w:rsidP="00687DD2">
      <w:pPr>
        <w:pStyle w:val="Paragraphedeliste"/>
        <w:numPr>
          <w:ilvl w:val="0"/>
          <w:numId w:val="8"/>
        </w:numPr>
        <w:jc w:val="both"/>
        <w:rPr>
          <w:rFonts w:ascii="Arial" w:hAnsi="Arial" w:cs="Arial"/>
        </w:rPr>
      </w:pPr>
      <w:r w:rsidRPr="00D66D22">
        <w:rPr>
          <w:rFonts w:ascii="Arial" w:hAnsi="Arial" w:cs="Arial"/>
        </w:rPr>
        <w:t>Atteindre l'équilibre opérationnel de la JIRAMA d'ici 2021 et réussir la restructuration de la dette financière de cette société</w:t>
      </w:r>
      <w:r w:rsidR="00D1652A">
        <w:rPr>
          <w:rFonts w:ascii="Arial" w:hAnsi="Arial" w:cs="Arial"/>
        </w:rPr>
        <w:t> ;</w:t>
      </w:r>
    </w:p>
    <w:p w14:paraId="3E353B3A" w14:textId="77777777" w:rsidR="006B5DD4" w:rsidRPr="00D66D22" w:rsidRDefault="006B5DD4" w:rsidP="00687DD2">
      <w:pPr>
        <w:pStyle w:val="Paragraphedeliste"/>
        <w:numPr>
          <w:ilvl w:val="0"/>
          <w:numId w:val="8"/>
        </w:numPr>
        <w:jc w:val="both"/>
        <w:rPr>
          <w:rFonts w:ascii="Arial" w:hAnsi="Arial" w:cs="Arial"/>
        </w:rPr>
      </w:pPr>
      <w:r w:rsidRPr="00D66D22">
        <w:rPr>
          <w:rFonts w:ascii="Arial" w:hAnsi="Arial" w:cs="Arial"/>
        </w:rPr>
        <w:t>Réduire de manière substantielle la dépendance de la production d'électricité aux énergies fossiles (passant de 75% à moins de 40%) et en favorisant l'utilisation du fioul lourd dès que c'est possible</w:t>
      </w:r>
      <w:r w:rsidR="00D1652A">
        <w:rPr>
          <w:rFonts w:ascii="Arial" w:hAnsi="Arial" w:cs="Arial"/>
        </w:rPr>
        <w:t> ;</w:t>
      </w:r>
    </w:p>
    <w:p w14:paraId="1B2DE2AF" w14:textId="77777777" w:rsidR="006B5DD4" w:rsidRPr="00D66D22" w:rsidRDefault="006B5DD4" w:rsidP="00687DD2">
      <w:pPr>
        <w:pStyle w:val="Paragraphedeliste"/>
        <w:numPr>
          <w:ilvl w:val="0"/>
          <w:numId w:val="8"/>
        </w:numPr>
        <w:jc w:val="both"/>
        <w:rPr>
          <w:rFonts w:ascii="Arial" w:hAnsi="Arial" w:cs="Arial"/>
        </w:rPr>
      </w:pPr>
      <w:r w:rsidRPr="00D66D22">
        <w:rPr>
          <w:rFonts w:ascii="Arial" w:hAnsi="Arial" w:cs="Arial"/>
        </w:rPr>
        <w:t>Élaborer le schéma directeur et mettre en œuvre l’alimentation en énergie des espaces d'émergence ;</w:t>
      </w:r>
    </w:p>
    <w:p w14:paraId="4A5E1968" w14:textId="77777777" w:rsidR="006B5DD4" w:rsidRDefault="006B5DD4" w:rsidP="00687DD2">
      <w:pPr>
        <w:pStyle w:val="Paragraphedeliste"/>
        <w:numPr>
          <w:ilvl w:val="0"/>
          <w:numId w:val="8"/>
        </w:numPr>
        <w:jc w:val="both"/>
        <w:rPr>
          <w:rFonts w:ascii="Arial" w:hAnsi="Arial" w:cs="Arial"/>
        </w:rPr>
      </w:pPr>
      <w:r w:rsidRPr="00D66D22">
        <w:rPr>
          <w:rFonts w:ascii="Arial" w:hAnsi="Arial" w:cs="Arial"/>
        </w:rPr>
        <w:t>Développer une filière énergie de cuisson basée sur le bioéthanol, le biogaz ou le bio-charbon afin d'atténuer l’impact environnemental du développement de l’énergie ;</w:t>
      </w:r>
    </w:p>
    <w:p w14:paraId="17018FB6" w14:textId="77777777" w:rsidR="00CA457C" w:rsidRPr="00D66D22" w:rsidRDefault="00CA457C" w:rsidP="00D66D22">
      <w:pPr>
        <w:jc w:val="both"/>
        <w:rPr>
          <w:rFonts w:ascii="Arial" w:hAnsi="Arial" w:cs="Arial"/>
        </w:rPr>
      </w:pPr>
      <w:r w:rsidRPr="00D66D22">
        <w:rPr>
          <w:rFonts w:ascii="Arial" w:hAnsi="Arial" w:cs="Arial"/>
        </w:rPr>
        <w:t xml:space="preserve">Aussi, le Projet répond en partie à la vision et aux objectifs de la politique de développement économique du Gouvernement. </w:t>
      </w:r>
    </w:p>
    <w:p w14:paraId="31F3064B" w14:textId="77777777" w:rsidR="00832CC9" w:rsidRPr="00D66D22" w:rsidRDefault="00D66D22" w:rsidP="0044500E">
      <w:pPr>
        <w:pStyle w:val="TIT3"/>
        <w:numPr>
          <w:ilvl w:val="2"/>
          <w:numId w:val="177"/>
        </w:numPr>
      </w:pPr>
      <w:bookmarkStart w:id="540" w:name="_Toc124314694"/>
      <w:bookmarkStart w:id="541" w:name="_Toc124956172"/>
      <w:bookmarkStart w:id="542" w:name="_Toc125384571"/>
      <w:bookmarkStart w:id="543" w:name="_Toc125384960"/>
      <w:bookmarkStart w:id="544" w:name="_Toc127957632"/>
      <w:r w:rsidRPr="00D66D22">
        <w:t>Politique et stratégie de l’énergie</w:t>
      </w:r>
      <w:bookmarkEnd w:id="540"/>
      <w:bookmarkEnd w:id="541"/>
      <w:bookmarkEnd w:id="542"/>
      <w:bookmarkEnd w:id="543"/>
      <w:bookmarkEnd w:id="544"/>
      <w:r w:rsidRPr="00D66D22">
        <w:t xml:space="preserve"> </w:t>
      </w:r>
    </w:p>
    <w:p w14:paraId="53454888" w14:textId="77777777" w:rsidR="00AD3FDC" w:rsidRPr="00AD3FDC" w:rsidRDefault="00AD3FDC" w:rsidP="00AD3FDC">
      <w:pPr>
        <w:autoSpaceDE w:val="0"/>
        <w:autoSpaceDN w:val="0"/>
        <w:adjustRightInd w:val="0"/>
        <w:spacing w:after="160"/>
        <w:jc w:val="both"/>
        <w:rPr>
          <w:rFonts w:ascii="Arial" w:hAnsi="Arial" w:cs="Arial"/>
        </w:rPr>
      </w:pPr>
      <w:r w:rsidRPr="00AD3FDC">
        <w:rPr>
          <w:rFonts w:ascii="Arial" w:hAnsi="Arial" w:cs="Arial"/>
        </w:rPr>
        <w:t xml:space="preserve">La Nouvelle Politique de l’Energie </w:t>
      </w:r>
      <w:r>
        <w:rPr>
          <w:rFonts w:ascii="Arial" w:hAnsi="Arial" w:cs="Arial"/>
        </w:rPr>
        <w:t>(N</w:t>
      </w:r>
      <w:r w:rsidR="00D1652A">
        <w:rPr>
          <w:rFonts w:ascii="Arial" w:hAnsi="Arial" w:cs="Arial"/>
        </w:rPr>
        <w:t>P</w:t>
      </w:r>
      <w:r>
        <w:rPr>
          <w:rFonts w:ascii="Arial" w:hAnsi="Arial" w:cs="Arial"/>
        </w:rPr>
        <w:t xml:space="preserve">E) </w:t>
      </w:r>
      <w:r w:rsidRPr="00AD3FDC">
        <w:rPr>
          <w:rFonts w:ascii="Arial" w:hAnsi="Arial" w:cs="Arial"/>
        </w:rPr>
        <w:t>2015-2030 répond aux défis d’urgence économique, sociale et environnementale du pays</w:t>
      </w:r>
      <w:r>
        <w:rPr>
          <w:rFonts w:ascii="Arial" w:hAnsi="Arial" w:cs="Arial"/>
        </w:rPr>
        <w:t xml:space="preserve">. Cette nouvelle politique prévoit </w:t>
      </w:r>
      <w:r w:rsidRPr="00D46678">
        <w:rPr>
          <w:rFonts w:ascii="Arial" w:hAnsi="Arial" w:cs="Arial"/>
        </w:rPr>
        <w:t>l’accès de 70% des ménages à une source d’électricité ou éclairage moderne</w:t>
      </w:r>
      <w:r>
        <w:rPr>
          <w:rFonts w:ascii="Arial" w:hAnsi="Arial" w:cs="Arial"/>
        </w:rPr>
        <w:t xml:space="preserve">, pour cela elle recommande </w:t>
      </w:r>
      <w:r w:rsidRPr="00AD3FDC">
        <w:rPr>
          <w:rFonts w:ascii="Arial" w:hAnsi="Arial" w:cs="Arial"/>
        </w:rPr>
        <w:t>une combinaison d’approche technologique et de méthodes préservant et développant les ressources naturelles énergétiques du pays.</w:t>
      </w:r>
      <w:r>
        <w:rPr>
          <w:rFonts w:ascii="Arial" w:hAnsi="Arial" w:cs="Arial"/>
        </w:rPr>
        <w:t xml:space="preserve"> A l’horizon 2030, </w:t>
      </w:r>
      <w:r w:rsidRPr="00AD3FDC">
        <w:rPr>
          <w:rFonts w:ascii="Arial" w:hAnsi="Arial" w:cs="Arial"/>
        </w:rPr>
        <w:t xml:space="preserve">la NPE estime que la production d’électricité proviendra à 75% de l’hydroélectricité, 5% de l’éolien, et 5% du solaire, soit 85% de sources d’énergie propres, le restant, 15%, étant </w:t>
      </w:r>
      <w:r w:rsidR="00D1652A" w:rsidRPr="00AD3FDC">
        <w:rPr>
          <w:rFonts w:ascii="Arial" w:hAnsi="Arial" w:cs="Arial"/>
        </w:rPr>
        <w:t>de la thermique</w:t>
      </w:r>
      <w:r w:rsidRPr="00AD3FDC">
        <w:rPr>
          <w:rFonts w:ascii="Arial" w:hAnsi="Arial" w:cs="Arial"/>
        </w:rPr>
        <w:t xml:space="preserve"> en complément et en appui aux énergies renouvelables</w:t>
      </w:r>
    </w:p>
    <w:p w14:paraId="23FC68B8" w14:textId="77777777" w:rsidR="00D46678" w:rsidRPr="004D610A" w:rsidRDefault="00D46678" w:rsidP="00D46678">
      <w:pPr>
        <w:autoSpaceDE w:val="0"/>
        <w:autoSpaceDN w:val="0"/>
        <w:adjustRightInd w:val="0"/>
        <w:spacing w:after="160"/>
        <w:jc w:val="both"/>
        <w:rPr>
          <w:rFonts w:ascii="Arial" w:hAnsi="Arial" w:cs="Arial"/>
        </w:rPr>
      </w:pPr>
      <w:r w:rsidRPr="004D610A">
        <w:rPr>
          <w:rFonts w:ascii="Arial" w:hAnsi="Arial" w:cs="Arial"/>
        </w:rPr>
        <w:t>La N</w:t>
      </w:r>
      <w:r>
        <w:rPr>
          <w:rFonts w:ascii="Arial" w:hAnsi="Arial" w:cs="Arial"/>
        </w:rPr>
        <w:t>ouvel</w:t>
      </w:r>
      <w:r w:rsidR="00D037B9">
        <w:rPr>
          <w:rFonts w:ascii="Arial" w:hAnsi="Arial" w:cs="Arial"/>
        </w:rPr>
        <w:t>le</w:t>
      </w:r>
      <w:r>
        <w:rPr>
          <w:rFonts w:ascii="Arial" w:hAnsi="Arial" w:cs="Arial"/>
        </w:rPr>
        <w:t xml:space="preserve"> Politique de l’Energie</w:t>
      </w:r>
      <w:r w:rsidRPr="004D610A">
        <w:rPr>
          <w:rFonts w:ascii="Arial" w:hAnsi="Arial" w:cs="Arial"/>
        </w:rPr>
        <w:t xml:space="preserve"> prévoit notamment que : « le programme d’électrification rurale est mis en œuvre par l’ADER suivant des règles claires et transparentes conformément aux dispositions du cadre légal et règlementaire en vigueur. A ce titre, elle sélectionne et réalise de projets sur la base des plans directeurs régionaux qui priorisent les ressources d’énergies renouvelables disponibles localement, dont l’hydroélectricité, la biomasse, le solaire et l’éolien, afin de desservir en électricité les localités pôles de développement (ménages, les activités productives et commerciales à développer)</w:t>
      </w:r>
      <w:r w:rsidR="00EC4C32">
        <w:rPr>
          <w:rFonts w:ascii="Arial" w:hAnsi="Arial" w:cs="Arial"/>
        </w:rPr>
        <w:t xml:space="preserve">. </w:t>
      </w:r>
      <w:r w:rsidRPr="004D610A">
        <w:rPr>
          <w:rFonts w:ascii="Arial" w:hAnsi="Arial" w:cs="Arial"/>
        </w:rPr>
        <w:t>»</w:t>
      </w:r>
    </w:p>
    <w:p w14:paraId="254A101F" w14:textId="77777777" w:rsidR="00994C87" w:rsidRPr="00994C87" w:rsidRDefault="00994C87" w:rsidP="0044500E">
      <w:pPr>
        <w:pStyle w:val="TIT3"/>
        <w:numPr>
          <w:ilvl w:val="2"/>
          <w:numId w:val="177"/>
        </w:numPr>
      </w:pPr>
      <w:bookmarkStart w:id="545" w:name="_Toc121232611"/>
      <w:bookmarkStart w:id="546" w:name="_Toc124314695"/>
      <w:bookmarkStart w:id="547" w:name="_Toc124956173"/>
      <w:bookmarkStart w:id="548" w:name="_Toc125384572"/>
      <w:bookmarkStart w:id="549" w:name="_Toc125384961"/>
      <w:bookmarkStart w:id="550" w:name="_Toc127957633"/>
      <w:r w:rsidRPr="00994C87">
        <w:t>Politique nationale en matière d’environnement</w:t>
      </w:r>
      <w:bookmarkEnd w:id="545"/>
      <w:bookmarkEnd w:id="546"/>
      <w:bookmarkEnd w:id="547"/>
      <w:bookmarkEnd w:id="548"/>
      <w:bookmarkEnd w:id="549"/>
      <w:bookmarkEnd w:id="550"/>
    </w:p>
    <w:p w14:paraId="25592E5C" w14:textId="77777777" w:rsidR="00994C87" w:rsidRPr="00994C87" w:rsidRDefault="00994C87" w:rsidP="00687DD2">
      <w:pPr>
        <w:pStyle w:val="Paragraphedeliste"/>
        <w:numPr>
          <w:ilvl w:val="0"/>
          <w:numId w:val="9"/>
        </w:numPr>
        <w:suppressAutoHyphens/>
        <w:spacing w:after="120" w:line="240" w:lineRule="auto"/>
        <w:ind w:left="714" w:hanging="357"/>
        <w:jc w:val="both"/>
        <w:rPr>
          <w:rFonts w:ascii="Arial" w:hAnsi="Arial" w:cs="Arial"/>
          <w:b/>
          <w:bCs/>
        </w:rPr>
      </w:pPr>
      <w:r w:rsidRPr="00994C87">
        <w:rPr>
          <w:rFonts w:ascii="Arial" w:hAnsi="Arial" w:cs="Arial"/>
          <w:b/>
          <w:bCs/>
        </w:rPr>
        <w:t>Plan national d’adaptation au changement climatique</w:t>
      </w:r>
    </w:p>
    <w:p w14:paraId="695442A1" w14:textId="77777777" w:rsidR="00994C87" w:rsidRDefault="00994C87" w:rsidP="00994C87">
      <w:pPr>
        <w:jc w:val="both"/>
        <w:rPr>
          <w:rFonts w:ascii="Arial" w:hAnsi="Arial" w:cs="Arial"/>
          <w:szCs w:val="24"/>
        </w:rPr>
      </w:pPr>
      <w:r w:rsidRPr="00994C87">
        <w:rPr>
          <w:rFonts w:ascii="Arial" w:hAnsi="Arial" w:cs="Arial"/>
          <w:szCs w:val="24"/>
        </w:rPr>
        <w:t xml:space="preserve">Validé en 2019, Le PNA est articulé autour de trois grands axes stratégiques, à savoir (i) le renforcement de la gouvernance de l’adaptation au changement climatique et intégrer l’adaptation dans les documents et activités de planification, (ii) la mise en œuvre </w:t>
      </w:r>
      <w:r w:rsidR="00D1652A">
        <w:rPr>
          <w:rFonts w:ascii="Arial" w:hAnsi="Arial" w:cs="Arial"/>
          <w:szCs w:val="24"/>
        </w:rPr>
        <w:t>d’</w:t>
      </w:r>
      <w:r w:rsidRPr="00994C87">
        <w:rPr>
          <w:rFonts w:ascii="Arial" w:hAnsi="Arial" w:cs="Arial"/>
          <w:szCs w:val="24"/>
        </w:rPr>
        <w:t xml:space="preserve">un programme d’actions sectoriel prioritaire, (iii) et le financement de l’adaptation au changement climatique par le développement d’une capacité nationale et d’une meilleure mobilisation et coordination des financements internationaux. </w:t>
      </w:r>
    </w:p>
    <w:p w14:paraId="608D1811" w14:textId="77777777" w:rsidR="00567C43" w:rsidRPr="00994C87" w:rsidRDefault="00567C43" w:rsidP="00994C87">
      <w:pPr>
        <w:jc w:val="both"/>
        <w:rPr>
          <w:rFonts w:ascii="Arial" w:hAnsi="Arial" w:cs="Arial"/>
          <w:szCs w:val="24"/>
        </w:rPr>
      </w:pPr>
      <w:r>
        <w:rPr>
          <w:rFonts w:ascii="Arial" w:hAnsi="Arial" w:cs="Arial"/>
          <w:szCs w:val="24"/>
        </w:rPr>
        <w:t xml:space="preserve">La gestion de l’énergie renouvelable est vivement conseillée dans ce PNA dans son axe stratégique </w:t>
      </w:r>
      <w:r w:rsidR="00343233">
        <w:rPr>
          <w:rFonts w:ascii="Arial" w:hAnsi="Arial" w:cs="Arial"/>
          <w:szCs w:val="24"/>
        </w:rPr>
        <w:t xml:space="preserve">2 sur la mise en œuvre des programmes sectoriels, notamment sur le secteur habitat et nouvelles villes en tant que priorité stratégique </w:t>
      </w:r>
      <w:r>
        <w:rPr>
          <w:rFonts w:ascii="Arial" w:hAnsi="Arial" w:cs="Arial"/>
          <w:szCs w:val="24"/>
        </w:rPr>
        <w:t xml:space="preserve">1 </w:t>
      </w:r>
      <w:r w:rsidRPr="00567C43">
        <w:rPr>
          <w:rFonts w:ascii="Arial" w:hAnsi="Arial" w:cs="Arial"/>
          <w:szCs w:val="24"/>
        </w:rPr>
        <w:t>aménager et créer des nouvelles villes et des pôles urbains suivant les normes adaptées au changement climatique</w:t>
      </w:r>
      <w:r>
        <w:rPr>
          <w:rFonts w:ascii="Arial" w:hAnsi="Arial" w:cs="Arial"/>
          <w:szCs w:val="24"/>
        </w:rPr>
        <w:t xml:space="preserve">. </w:t>
      </w:r>
    </w:p>
    <w:p w14:paraId="1FE12E80" w14:textId="77777777" w:rsidR="00567C43" w:rsidRPr="00567C43" w:rsidRDefault="00567C43" w:rsidP="00994C87">
      <w:pPr>
        <w:jc w:val="both"/>
        <w:rPr>
          <w:rFonts w:ascii="Arial" w:hAnsi="Arial" w:cs="Arial"/>
          <w:szCs w:val="24"/>
        </w:rPr>
      </w:pPr>
      <w:r w:rsidRPr="00567C43">
        <w:rPr>
          <w:rFonts w:ascii="Arial" w:hAnsi="Arial" w:cs="Arial"/>
          <w:szCs w:val="24"/>
        </w:rPr>
        <w:t>Sur ce fait</w:t>
      </w:r>
      <w:r w:rsidR="00343233">
        <w:rPr>
          <w:rFonts w:ascii="Arial" w:hAnsi="Arial" w:cs="Arial"/>
          <w:szCs w:val="24"/>
        </w:rPr>
        <w:t>,</w:t>
      </w:r>
      <w:r w:rsidRPr="00567C43">
        <w:rPr>
          <w:rFonts w:ascii="Arial" w:hAnsi="Arial" w:cs="Arial"/>
          <w:szCs w:val="24"/>
        </w:rPr>
        <w:t xml:space="preserve"> </w:t>
      </w:r>
      <w:r>
        <w:rPr>
          <w:rFonts w:ascii="Arial" w:hAnsi="Arial" w:cs="Arial"/>
          <w:szCs w:val="24"/>
        </w:rPr>
        <w:t>le Projet DECIM contribue à la mise en œuvre du PNA de Madagascar</w:t>
      </w:r>
      <w:r w:rsidR="00EC4C32">
        <w:rPr>
          <w:rFonts w:ascii="Arial" w:hAnsi="Arial" w:cs="Arial"/>
          <w:szCs w:val="24"/>
        </w:rPr>
        <w:t>.</w:t>
      </w:r>
      <w:r>
        <w:rPr>
          <w:rFonts w:ascii="Arial" w:hAnsi="Arial" w:cs="Arial"/>
          <w:szCs w:val="24"/>
        </w:rPr>
        <w:t xml:space="preserve"> </w:t>
      </w:r>
    </w:p>
    <w:p w14:paraId="1CC1B4AD" w14:textId="77777777" w:rsidR="00994C87" w:rsidRPr="00994C87" w:rsidRDefault="00994C87" w:rsidP="0044500E">
      <w:pPr>
        <w:pStyle w:val="TIT3"/>
        <w:numPr>
          <w:ilvl w:val="2"/>
          <w:numId w:val="177"/>
        </w:numPr>
      </w:pPr>
      <w:bookmarkStart w:id="551" w:name="_Toc121232612"/>
      <w:bookmarkStart w:id="552" w:name="_Toc124314696"/>
      <w:bookmarkStart w:id="553" w:name="_Toc124956174"/>
      <w:bookmarkStart w:id="554" w:name="_Toc125384573"/>
      <w:bookmarkStart w:id="555" w:name="_Toc125384962"/>
      <w:bookmarkStart w:id="556" w:name="_Toc127957634"/>
      <w:r w:rsidRPr="00994C87">
        <w:t>Politique nationale sur la sant</w:t>
      </w:r>
      <w:r w:rsidR="00343233">
        <w:t>é</w:t>
      </w:r>
      <w:r w:rsidRPr="00994C87">
        <w:t xml:space="preserve"> publique</w:t>
      </w:r>
      <w:bookmarkEnd w:id="551"/>
      <w:bookmarkEnd w:id="552"/>
      <w:bookmarkEnd w:id="553"/>
      <w:bookmarkEnd w:id="554"/>
      <w:bookmarkEnd w:id="555"/>
      <w:bookmarkEnd w:id="556"/>
    </w:p>
    <w:p w14:paraId="4E3D11F6" w14:textId="77777777" w:rsidR="00994C87" w:rsidRPr="00994C87" w:rsidRDefault="00994C87" w:rsidP="00994C87">
      <w:pPr>
        <w:jc w:val="both"/>
        <w:rPr>
          <w:rFonts w:ascii="Arial" w:hAnsi="Arial" w:cs="Arial"/>
          <w:szCs w:val="24"/>
        </w:rPr>
      </w:pPr>
      <w:r w:rsidRPr="00994C87">
        <w:rPr>
          <w:rFonts w:ascii="Arial" w:hAnsi="Arial" w:cs="Arial"/>
          <w:szCs w:val="24"/>
        </w:rPr>
        <w:t xml:space="preserve">Le secteur de la santé publique est cadré par de nombreuses politiques et stratégies. Mais les deux cadres stratégiques qui s’appliquent à la mise en œuvre du Projet sont les suivantes. </w:t>
      </w:r>
    </w:p>
    <w:p w14:paraId="17E6DE4A" w14:textId="77777777" w:rsidR="00994C87" w:rsidRPr="00994C87" w:rsidRDefault="00994C87" w:rsidP="00687DD2">
      <w:pPr>
        <w:pStyle w:val="Paragraphedeliste"/>
        <w:numPr>
          <w:ilvl w:val="0"/>
          <w:numId w:val="9"/>
        </w:numPr>
        <w:suppressAutoHyphens/>
        <w:spacing w:after="120" w:line="240" w:lineRule="auto"/>
        <w:ind w:left="714" w:hanging="357"/>
        <w:jc w:val="both"/>
        <w:rPr>
          <w:rFonts w:ascii="Arial" w:hAnsi="Arial" w:cs="Arial"/>
          <w:b/>
          <w:bCs/>
        </w:rPr>
      </w:pPr>
      <w:r w:rsidRPr="00994C87">
        <w:rPr>
          <w:rFonts w:ascii="Arial" w:hAnsi="Arial" w:cs="Arial"/>
          <w:b/>
          <w:bCs/>
        </w:rPr>
        <w:t>Plan de développement du secteur santé</w:t>
      </w:r>
    </w:p>
    <w:p w14:paraId="0EEA8125" w14:textId="77777777" w:rsidR="00994C87" w:rsidRPr="00994C87" w:rsidRDefault="00994C87" w:rsidP="00994C87">
      <w:pPr>
        <w:jc w:val="both"/>
        <w:rPr>
          <w:rFonts w:ascii="Arial" w:hAnsi="Arial" w:cs="Arial"/>
          <w:szCs w:val="24"/>
        </w:rPr>
      </w:pPr>
      <w:r w:rsidRPr="00994C87">
        <w:rPr>
          <w:rFonts w:ascii="Arial" w:hAnsi="Arial" w:cs="Arial"/>
          <w:szCs w:val="24"/>
        </w:rPr>
        <w:t xml:space="preserve">Le plan de développement du secteur de la santé (PDSS) couvre la période 2015-2019, mais il reste encore de vigueur. Parmi les nombreux axes stratégiques, il est œuvré pour le renforcement de la lutte contre les maladies transmissibles, (dont les IST et le VIH/SIDA en font partie) et les maladies non transmissibles. Pour ce faire, le PDSS souligne </w:t>
      </w:r>
      <w:r w:rsidR="00343233">
        <w:rPr>
          <w:rFonts w:ascii="Arial" w:hAnsi="Arial" w:cs="Arial"/>
          <w:szCs w:val="24"/>
        </w:rPr>
        <w:t>l</w:t>
      </w:r>
      <w:r w:rsidRPr="00994C87">
        <w:rPr>
          <w:rFonts w:ascii="Arial" w:hAnsi="Arial" w:cs="Arial"/>
          <w:szCs w:val="24"/>
        </w:rPr>
        <w:t xml:space="preserve">’importance du renforcement de l’application des mesures législatives et règlementaires pour réduire les facteurs de risque des principales maladies non transmissibles et pour soutenir les personnes en situation de handicap. Concernant les IST et le VIH/SIDA, il est précisé (entre autres) la nécessité de renforcer les activités de prévention notamment chez les groupes à risque à tous les niveaux et de renforcer le programme de distribution/vente des préservatifs masculins et féminins. </w:t>
      </w:r>
    </w:p>
    <w:p w14:paraId="55692E20" w14:textId="77777777" w:rsidR="00994C87" w:rsidRPr="00994C87" w:rsidRDefault="00994C87" w:rsidP="00687DD2">
      <w:pPr>
        <w:pStyle w:val="Paragraphedeliste"/>
        <w:numPr>
          <w:ilvl w:val="0"/>
          <w:numId w:val="9"/>
        </w:numPr>
        <w:suppressAutoHyphens/>
        <w:spacing w:after="120" w:line="240" w:lineRule="auto"/>
        <w:ind w:left="714" w:hanging="357"/>
        <w:jc w:val="both"/>
        <w:rPr>
          <w:rFonts w:ascii="Arial" w:hAnsi="Arial" w:cs="Arial"/>
          <w:b/>
          <w:bCs/>
        </w:rPr>
      </w:pPr>
      <w:r w:rsidRPr="00994C87">
        <w:rPr>
          <w:rFonts w:ascii="Arial" w:hAnsi="Arial" w:cs="Arial"/>
          <w:b/>
          <w:bCs/>
        </w:rPr>
        <w:t>Politique nationale sur la riposte aux IST et VIH/SIDA dans le monde de travail</w:t>
      </w:r>
    </w:p>
    <w:p w14:paraId="3F1B589E" w14:textId="77777777" w:rsidR="00994C87" w:rsidRPr="00994C87" w:rsidRDefault="00994C87" w:rsidP="00994C87">
      <w:pPr>
        <w:jc w:val="both"/>
        <w:rPr>
          <w:rFonts w:ascii="Arial" w:hAnsi="Arial" w:cs="Arial"/>
          <w:szCs w:val="24"/>
        </w:rPr>
      </w:pPr>
      <w:r w:rsidRPr="00994C87">
        <w:rPr>
          <w:rFonts w:ascii="Arial" w:hAnsi="Arial" w:cs="Arial"/>
          <w:szCs w:val="24"/>
        </w:rPr>
        <w:t>Cette Politique a pour but de prévenir et réduire l’impact négatif du VIH sur le monde du travail à Madagascar, et dont parmi les objectifs spécifiques, sont énoncés (1) l’implication davantage du monde du travail à s’engager davantage dans l’élimination du VIH /SIDA, (2) le changement de comportements et l’accroissement de l’utilisation des moyens préventifs, à destination des travailleurs, de leurs familles et des communautés environnantes, y compris la promotion du dépistage volontaire.</w:t>
      </w:r>
    </w:p>
    <w:p w14:paraId="17237AD2" w14:textId="77777777" w:rsidR="00994C87" w:rsidRPr="00994C87" w:rsidRDefault="00994C87" w:rsidP="00994C87">
      <w:pPr>
        <w:jc w:val="both"/>
        <w:rPr>
          <w:rFonts w:ascii="Arial" w:hAnsi="Arial" w:cs="Arial"/>
          <w:szCs w:val="24"/>
        </w:rPr>
      </w:pPr>
      <w:r w:rsidRPr="00994C87">
        <w:rPr>
          <w:rFonts w:ascii="Arial" w:hAnsi="Arial" w:cs="Arial"/>
          <w:szCs w:val="24"/>
        </w:rPr>
        <w:t>Les dispositions prises pour la mise en œuvre de la politique s’articulent autour de trois orientations stratégiques, dont notamment : (1) la promotion des droits et protection des travailleurs affectés par le VIH /SIDA (2) le renforcement de l’engagement des décideurs et des partenaires sociaux du monde du travail, et (3) la promotion de l’accès universel des travailleurs aux informations et à tous les moyens et services de prévention, de soutien et de prise en charge des IST, du VIH / SIDA.</w:t>
      </w:r>
    </w:p>
    <w:p w14:paraId="472B8076" w14:textId="77777777" w:rsidR="00353921" w:rsidRDefault="00994C87" w:rsidP="00994C87">
      <w:pPr>
        <w:jc w:val="both"/>
        <w:rPr>
          <w:rFonts w:ascii="Arial" w:hAnsi="Arial" w:cs="Arial"/>
          <w:szCs w:val="24"/>
        </w:rPr>
      </w:pPr>
      <w:r w:rsidRPr="00994C87">
        <w:rPr>
          <w:rFonts w:ascii="Arial" w:hAnsi="Arial" w:cs="Arial"/>
          <w:szCs w:val="24"/>
        </w:rPr>
        <w:t xml:space="preserve">Aussi, ces deux cadres stratégiques s’appliquent au Projet, et il doit tenir compte </w:t>
      </w:r>
      <w:r w:rsidR="00EC4C32">
        <w:rPr>
          <w:rFonts w:ascii="Arial" w:hAnsi="Arial" w:cs="Arial"/>
          <w:szCs w:val="24"/>
        </w:rPr>
        <w:t xml:space="preserve">de </w:t>
      </w:r>
      <w:r w:rsidRPr="00994C87">
        <w:rPr>
          <w:rFonts w:ascii="Arial" w:hAnsi="Arial" w:cs="Arial"/>
          <w:szCs w:val="24"/>
        </w:rPr>
        <w:t xml:space="preserve">certaines orientations stratégiques de cette politique et du plan PDSS. </w:t>
      </w:r>
    </w:p>
    <w:p w14:paraId="6AEC1538" w14:textId="77777777" w:rsidR="00994C87" w:rsidRPr="00994C87" w:rsidRDefault="00353921" w:rsidP="00994C87">
      <w:pPr>
        <w:jc w:val="both"/>
        <w:rPr>
          <w:rFonts w:ascii="Arial" w:hAnsi="Arial" w:cs="Arial"/>
          <w:szCs w:val="24"/>
        </w:rPr>
      </w:pPr>
      <w:r>
        <w:rPr>
          <w:rFonts w:ascii="Arial" w:hAnsi="Arial" w:cs="Arial"/>
          <w:szCs w:val="24"/>
        </w:rPr>
        <w:br w:type="page"/>
      </w:r>
    </w:p>
    <w:p w14:paraId="7DF6E3D3" w14:textId="77777777" w:rsidR="00994C87" w:rsidRPr="00994C87" w:rsidRDefault="00994C87" w:rsidP="00687DD2">
      <w:pPr>
        <w:pStyle w:val="Paragraphedeliste"/>
        <w:numPr>
          <w:ilvl w:val="0"/>
          <w:numId w:val="9"/>
        </w:numPr>
        <w:suppressAutoHyphens/>
        <w:spacing w:after="120" w:line="240" w:lineRule="auto"/>
        <w:ind w:left="714" w:hanging="357"/>
        <w:jc w:val="both"/>
        <w:rPr>
          <w:rFonts w:ascii="Arial" w:hAnsi="Arial" w:cs="Arial"/>
          <w:b/>
          <w:bCs/>
        </w:rPr>
      </w:pPr>
      <w:bookmarkStart w:id="557" w:name="_Toc54082494"/>
      <w:bookmarkStart w:id="558" w:name="_Toc67430644"/>
      <w:bookmarkStart w:id="559" w:name="_Toc67439929"/>
      <w:r w:rsidRPr="00994C87">
        <w:rPr>
          <w:rFonts w:ascii="Arial" w:hAnsi="Arial" w:cs="Arial"/>
          <w:b/>
          <w:bCs/>
        </w:rPr>
        <w:t>Plan multisectoriel d’urgence à Madagascar face à la pandémie Covid-19</w:t>
      </w:r>
      <w:bookmarkEnd w:id="557"/>
      <w:bookmarkEnd w:id="558"/>
      <w:bookmarkEnd w:id="559"/>
      <w:r w:rsidRPr="00994C87">
        <w:rPr>
          <w:rFonts w:ascii="Arial" w:hAnsi="Arial" w:cs="Arial"/>
          <w:b/>
          <w:bCs/>
        </w:rPr>
        <w:t xml:space="preserve"> </w:t>
      </w:r>
    </w:p>
    <w:p w14:paraId="038F17CF" w14:textId="77777777" w:rsidR="00994C87" w:rsidRPr="00994C87" w:rsidRDefault="00994C87" w:rsidP="00994C87">
      <w:pPr>
        <w:jc w:val="both"/>
        <w:rPr>
          <w:rFonts w:ascii="Arial" w:hAnsi="Arial" w:cs="Arial"/>
          <w:szCs w:val="24"/>
        </w:rPr>
      </w:pPr>
      <w:r w:rsidRPr="00994C87">
        <w:rPr>
          <w:rFonts w:ascii="Arial" w:hAnsi="Arial" w:cs="Arial"/>
          <w:szCs w:val="24"/>
        </w:rPr>
        <w:t>Le Plan Multisectoriel d’Urgence (PMDU) face à la COVID-19 a été élaboré afin de poursuivre et de renforcer les efforts réalisés pour lutter contre l’épidémie depuis mars 2020. Le plan PMDU est établi sur la base de l’analyse des besoins urgents et prioritaires pour une durée de cinq mois d’une part, et de l’évolution de la situation sanitaire, sociale et économique d’autre part. Les objectifs du PMDU s’énoncent </w:t>
      </w:r>
      <w:r w:rsidR="00563C78">
        <w:rPr>
          <w:rFonts w:ascii="Arial" w:hAnsi="Arial" w:cs="Arial"/>
          <w:szCs w:val="24"/>
        </w:rPr>
        <w:t xml:space="preserve">comme : </w:t>
      </w:r>
      <w:r w:rsidRPr="00994C87">
        <w:rPr>
          <w:rFonts w:ascii="Arial" w:hAnsi="Arial" w:cs="Arial"/>
          <w:szCs w:val="24"/>
        </w:rPr>
        <w:t>(1) juguler la propagation du coronavirus et d’endiguer la pandémie, (2) venir en aide aux populations vulnérables et répondre efficacement aux besoins vitaux de la population, aux défis de la réduction de la pauvreté, de la vulnérabilité et de la précarité</w:t>
      </w:r>
      <w:r w:rsidR="00563C78">
        <w:rPr>
          <w:rFonts w:ascii="Arial" w:hAnsi="Arial" w:cs="Arial"/>
          <w:szCs w:val="24"/>
        </w:rPr>
        <w:t xml:space="preserve"> et</w:t>
      </w:r>
      <w:r w:rsidRPr="00994C87">
        <w:rPr>
          <w:rFonts w:ascii="Arial" w:hAnsi="Arial" w:cs="Arial"/>
          <w:szCs w:val="24"/>
        </w:rPr>
        <w:t>, (3) protéger l’économie, maintenir le capital humain et faciliter la relance.</w:t>
      </w:r>
    </w:p>
    <w:p w14:paraId="239100F2" w14:textId="77777777" w:rsidR="00994C87" w:rsidRPr="00994C87" w:rsidRDefault="00994C87" w:rsidP="00994C87">
      <w:pPr>
        <w:jc w:val="both"/>
        <w:rPr>
          <w:rFonts w:ascii="Arial" w:hAnsi="Arial" w:cs="Arial"/>
          <w:szCs w:val="24"/>
        </w:rPr>
      </w:pPr>
      <w:r w:rsidRPr="00994C87">
        <w:rPr>
          <w:rFonts w:ascii="Arial" w:hAnsi="Arial" w:cs="Arial"/>
          <w:szCs w:val="24"/>
        </w:rPr>
        <w:t xml:space="preserve">Le Plan s’articule autour de trois axes stratégiques à savoir : </w:t>
      </w:r>
    </w:p>
    <w:p w14:paraId="0CDE05DB" w14:textId="77777777" w:rsidR="00994C87" w:rsidRPr="00994C87" w:rsidRDefault="00994C87" w:rsidP="00687DD2">
      <w:pPr>
        <w:numPr>
          <w:ilvl w:val="0"/>
          <w:numId w:val="10"/>
        </w:numPr>
        <w:autoSpaceDE w:val="0"/>
        <w:autoSpaceDN w:val="0"/>
        <w:adjustRightInd w:val="0"/>
        <w:spacing w:after="0" w:line="240" w:lineRule="auto"/>
        <w:ind w:left="426" w:hanging="284"/>
        <w:jc w:val="both"/>
        <w:rPr>
          <w:rFonts w:ascii="Arial" w:hAnsi="Arial" w:cs="Arial"/>
          <w:color w:val="000000"/>
          <w:szCs w:val="24"/>
          <w:lang w:eastAsia="fr-FR"/>
        </w:rPr>
      </w:pPr>
      <w:r w:rsidRPr="00994C87">
        <w:rPr>
          <w:rFonts w:ascii="Arial" w:hAnsi="Arial" w:cs="Arial"/>
          <w:color w:val="000000"/>
          <w:szCs w:val="24"/>
          <w:lang w:eastAsia="fr-FR"/>
        </w:rPr>
        <w:t>Axe 1 : Renforcer la gouvernance de la lutte contre la pandémie ;</w:t>
      </w:r>
    </w:p>
    <w:p w14:paraId="3C93500A" w14:textId="77777777" w:rsidR="00994C87" w:rsidRPr="00994C87" w:rsidRDefault="00994C87" w:rsidP="00687DD2">
      <w:pPr>
        <w:numPr>
          <w:ilvl w:val="0"/>
          <w:numId w:val="10"/>
        </w:numPr>
        <w:autoSpaceDE w:val="0"/>
        <w:autoSpaceDN w:val="0"/>
        <w:adjustRightInd w:val="0"/>
        <w:spacing w:after="0" w:line="240" w:lineRule="auto"/>
        <w:ind w:left="426" w:hanging="284"/>
        <w:jc w:val="both"/>
        <w:rPr>
          <w:rFonts w:ascii="Arial" w:hAnsi="Arial" w:cs="Arial"/>
          <w:color w:val="000000"/>
          <w:szCs w:val="24"/>
          <w:lang w:eastAsia="fr-FR"/>
        </w:rPr>
      </w:pPr>
      <w:r w:rsidRPr="00994C87">
        <w:rPr>
          <w:rFonts w:ascii="Arial" w:hAnsi="Arial" w:cs="Arial"/>
          <w:color w:val="000000"/>
          <w:szCs w:val="24"/>
          <w:lang w:eastAsia="fr-FR"/>
        </w:rPr>
        <w:t>Axe 2 : Renforcer les mesures relatives à la protection sociale ;</w:t>
      </w:r>
    </w:p>
    <w:p w14:paraId="7A727349" w14:textId="77777777" w:rsidR="00994C87" w:rsidRPr="00994C87" w:rsidRDefault="00994C87" w:rsidP="00687DD2">
      <w:pPr>
        <w:numPr>
          <w:ilvl w:val="0"/>
          <w:numId w:val="10"/>
        </w:numPr>
        <w:autoSpaceDE w:val="0"/>
        <w:autoSpaceDN w:val="0"/>
        <w:adjustRightInd w:val="0"/>
        <w:spacing w:after="0" w:line="240" w:lineRule="auto"/>
        <w:ind w:left="426" w:hanging="284"/>
        <w:jc w:val="both"/>
        <w:rPr>
          <w:rFonts w:ascii="Arial" w:hAnsi="Arial" w:cs="Arial"/>
          <w:color w:val="000000"/>
          <w:szCs w:val="24"/>
          <w:lang w:eastAsia="fr-FR"/>
        </w:rPr>
      </w:pPr>
      <w:r w:rsidRPr="00994C87">
        <w:rPr>
          <w:rFonts w:ascii="Arial" w:hAnsi="Arial" w:cs="Arial"/>
          <w:color w:val="000000"/>
          <w:szCs w:val="24"/>
          <w:lang w:eastAsia="fr-FR"/>
        </w:rPr>
        <w:t>Axe 3 : Soutenir la résilience économique et appuyer le secteur privé.</w:t>
      </w:r>
    </w:p>
    <w:p w14:paraId="13BDA7B1" w14:textId="77777777" w:rsidR="00567C43" w:rsidRDefault="00567C43" w:rsidP="00B434A6">
      <w:pPr>
        <w:spacing w:after="0"/>
        <w:jc w:val="both"/>
        <w:rPr>
          <w:rFonts w:ascii="Arial" w:hAnsi="Arial" w:cs="Arial"/>
          <w:szCs w:val="24"/>
        </w:rPr>
      </w:pPr>
    </w:p>
    <w:p w14:paraId="6DD6E1A1" w14:textId="77777777" w:rsidR="00994C87" w:rsidRPr="00994C87" w:rsidRDefault="00994C87" w:rsidP="00994C87">
      <w:pPr>
        <w:jc w:val="both"/>
        <w:rPr>
          <w:rFonts w:ascii="Arial" w:hAnsi="Arial" w:cs="Arial"/>
          <w:szCs w:val="24"/>
        </w:rPr>
      </w:pPr>
      <w:r w:rsidRPr="00994C87">
        <w:rPr>
          <w:rFonts w:ascii="Arial" w:hAnsi="Arial" w:cs="Arial"/>
          <w:szCs w:val="24"/>
        </w:rPr>
        <w:t>En tant que plan multisectoriel d’urgence, il est identifié une pluralité d’actions spécifiques touchant les secteurs économiques et sociaux les plus frappés par la crise sanitaire. Ce sont la santé, le transport, le tourisme, l’agriculture, le secteur privé, les infrastructures, l’éducation, l’habitat, eau assainissement et hygiène, et la nutrition.</w:t>
      </w:r>
    </w:p>
    <w:p w14:paraId="679ABD65" w14:textId="77777777" w:rsidR="00994C87" w:rsidRPr="00567C43" w:rsidRDefault="00567C43" w:rsidP="0044500E">
      <w:pPr>
        <w:pStyle w:val="TIT3"/>
        <w:numPr>
          <w:ilvl w:val="2"/>
          <w:numId w:val="177"/>
        </w:numPr>
      </w:pPr>
      <w:bookmarkStart w:id="560" w:name="_Toc126593089"/>
      <w:bookmarkStart w:id="561" w:name="_Toc126593090"/>
      <w:bookmarkStart w:id="562" w:name="_Toc126593091"/>
      <w:bookmarkStart w:id="563" w:name="_Toc126593092"/>
      <w:bookmarkStart w:id="564" w:name="_Toc126593093"/>
      <w:bookmarkStart w:id="565" w:name="_Toc126593094"/>
      <w:bookmarkStart w:id="566" w:name="_Toc126593095"/>
      <w:bookmarkStart w:id="567" w:name="_Toc126593096"/>
      <w:bookmarkStart w:id="568" w:name="_Toc126593097"/>
      <w:bookmarkStart w:id="569" w:name="_Toc121232614"/>
      <w:bookmarkStart w:id="570" w:name="_Toc124314697"/>
      <w:bookmarkStart w:id="571" w:name="_Toc124956175"/>
      <w:bookmarkStart w:id="572" w:name="_Toc125384574"/>
      <w:bookmarkStart w:id="573" w:name="_Toc125384963"/>
      <w:bookmarkStart w:id="574" w:name="_Toc127957635"/>
      <w:bookmarkEnd w:id="560"/>
      <w:bookmarkEnd w:id="561"/>
      <w:bookmarkEnd w:id="562"/>
      <w:bookmarkEnd w:id="563"/>
      <w:bookmarkEnd w:id="564"/>
      <w:bookmarkEnd w:id="565"/>
      <w:bookmarkEnd w:id="566"/>
      <w:bookmarkEnd w:id="567"/>
      <w:bookmarkEnd w:id="568"/>
      <w:r w:rsidRPr="00567C43">
        <w:t>Politique nationale sur le genre</w:t>
      </w:r>
      <w:bookmarkEnd w:id="569"/>
      <w:bookmarkEnd w:id="570"/>
      <w:bookmarkEnd w:id="571"/>
      <w:bookmarkEnd w:id="572"/>
      <w:bookmarkEnd w:id="573"/>
      <w:bookmarkEnd w:id="574"/>
    </w:p>
    <w:p w14:paraId="3660B8B7" w14:textId="77777777" w:rsidR="00994C87" w:rsidRPr="00D46678" w:rsidRDefault="00994C87" w:rsidP="00994C87">
      <w:pPr>
        <w:jc w:val="both"/>
        <w:rPr>
          <w:rFonts w:ascii="Arial" w:hAnsi="Arial" w:cs="Arial"/>
          <w:szCs w:val="24"/>
        </w:rPr>
      </w:pPr>
      <w:r w:rsidRPr="00D46678">
        <w:rPr>
          <w:rFonts w:ascii="Arial" w:hAnsi="Arial" w:cs="Arial"/>
          <w:szCs w:val="24"/>
        </w:rPr>
        <w:t xml:space="preserve">Le Projet </w:t>
      </w:r>
      <w:r w:rsidR="00567C43" w:rsidRPr="00D46678">
        <w:rPr>
          <w:rFonts w:ascii="Arial" w:hAnsi="Arial" w:cs="Arial"/>
          <w:szCs w:val="24"/>
        </w:rPr>
        <w:t xml:space="preserve">DECIM </w:t>
      </w:r>
      <w:r w:rsidRPr="00D46678">
        <w:rPr>
          <w:rFonts w:ascii="Arial" w:hAnsi="Arial" w:cs="Arial"/>
          <w:szCs w:val="24"/>
        </w:rPr>
        <w:t>prendra en considération les cadres politiques liés au genre au cours de sa mise en œuvre.</w:t>
      </w:r>
    </w:p>
    <w:p w14:paraId="379B02F9" w14:textId="77777777" w:rsidR="00994C87" w:rsidRPr="00994C87" w:rsidRDefault="00994C87" w:rsidP="00687DD2">
      <w:pPr>
        <w:pStyle w:val="Paragraphedeliste"/>
        <w:numPr>
          <w:ilvl w:val="0"/>
          <w:numId w:val="9"/>
        </w:numPr>
        <w:suppressAutoHyphens/>
        <w:spacing w:after="120" w:line="240" w:lineRule="auto"/>
        <w:ind w:left="714" w:hanging="357"/>
        <w:jc w:val="both"/>
        <w:rPr>
          <w:rFonts w:ascii="Arial" w:hAnsi="Arial" w:cs="Arial"/>
          <w:b/>
          <w:bCs/>
        </w:rPr>
      </w:pPr>
      <w:r w:rsidRPr="00994C87">
        <w:rPr>
          <w:rFonts w:ascii="Arial" w:hAnsi="Arial" w:cs="Arial"/>
          <w:b/>
          <w:bCs/>
        </w:rPr>
        <w:t>Politique nationale de promotion de la femme</w:t>
      </w:r>
    </w:p>
    <w:p w14:paraId="50CDD0AA" w14:textId="77777777" w:rsidR="00994C87" w:rsidRPr="00994C87" w:rsidRDefault="00994C87" w:rsidP="00994C87">
      <w:pPr>
        <w:autoSpaceDE w:val="0"/>
        <w:autoSpaceDN w:val="0"/>
        <w:adjustRightInd w:val="0"/>
        <w:jc w:val="both"/>
        <w:rPr>
          <w:rFonts w:ascii="Arial" w:hAnsi="Arial" w:cs="Arial"/>
          <w:szCs w:val="24"/>
        </w:rPr>
      </w:pPr>
      <w:r w:rsidRPr="00994C87">
        <w:rPr>
          <w:rFonts w:ascii="Arial" w:hAnsi="Arial" w:cs="Arial"/>
          <w:szCs w:val="24"/>
        </w:rPr>
        <w:t xml:space="preserve">En 2000, Madagascar a adopté la </w:t>
      </w:r>
      <w:r w:rsidR="00343233">
        <w:rPr>
          <w:rFonts w:ascii="Arial" w:hAnsi="Arial" w:cs="Arial"/>
          <w:szCs w:val="24"/>
        </w:rPr>
        <w:t>P</w:t>
      </w:r>
      <w:r w:rsidRPr="00994C87">
        <w:rPr>
          <w:rFonts w:ascii="Arial" w:hAnsi="Arial" w:cs="Arial"/>
          <w:szCs w:val="24"/>
        </w:rPr>
        <w:t xml:space="preserve">olitique </w:t>
      </w:r>
      <w:r w:rsidR="00343233">
        <w:rPr>
          <w:rFonts w:ascii="Arial" w:hAnsi="Arial" w:cs="Arial"/>
          <w:szCs w:val="24"/>
        </w:rPr>
        <w:t>N</w:t>
      </w:r>
      <w:r w:rsidRPr="00994C87">
        <w:rPr>
          <w:rFonts w:ascii="Arial" w:hAnsi="Arial" w:cs="Arial"/>
          <w:szCs w:val="24"/>
        </w:rPr>
        <w:t xml:space="preserve">ationale pour la </w:t>
      </w:r>
      <w:r w:rsidR="00343233">
        <w:rPr>
          <w:rFonts w:ascii="Arial" w:hAnsi="Arial" w:cs="Arial"/>
          <w:szCs w:val="24"/>
        </w:rPr>
        <w:t>P</w:t>
      </w:r>
      <w:r w:rsidRPr="00994C87">
        <w:rPr>
          <w:rFonts w:ascii="Arial" w:hAnsi="Arial" w:cs="Arial"/>
          <w:szCs w:val="24"/>
        </w:rPr>
        <w:t xml:space="preserve">romotion de la </w:t>
      </w:r>
      <w:r w:rsidR="00343233">
        <w:rPr>
          <w:rFonts w:ascii="Arial" w:hAnsi="Arial" w:cs="Arial"/>
          <w:szCs w:val="24"/>
        </w:rPr>
        <w:t>F</w:t>
      </w:r>
      <w:r w:rsidRPr="00994C87">
        <w:rPr>
          <w:rFonts w:ascii="Arial" w:hAnsi="Arial" w:cs="Arial"/>
          <w:szCs w:val="24"/>
        </w:rPr>
        <w:t xml:space="preserve">emme (PNPF). Elle fût suivie par la définition d’un </w:t>
      </w:r>
      <w:r w:rsidR="00343233">
        <w:rPr>
          <w:rFonts w:ascii="Arial" w:hAnsi="Arial" w:cs="Arial"/>
          <w:szCs w:val="24"/>
        </w:rPr>
        <w:t>P</w:t>
      </w:r>
      <w:r w:rsidRPr="00994C87">
        <w:rPr>
          <w:rFonts w:ascii="Arial" w:hAnsi="Arial" w:cs="Arial"/>
          <w:szCs w:val="24"/>
        </w:rPr>
        <w:t>lan d’</w:t>
      </w:r>
      <w:r w:rsidR="00343233">
        <w:rPr>
          <w:rFonts w:ascii="Arial" w:hAnsi="Arial" w:cs="Arial"/>
          <w:szCs w:val="24"/>
        </w:rPr>
        <w:t>A</w:t>
      </w:r>
      <w:r w:rsidRPr="00994C87">
        <w:rPr>
          <w:rFonts w:ascii="Arial" w:hAnsi="Arial" w:cs="Arial"/>
          <w:szCs w:val="24"/>
        </w:rPr>
        <w:t xml:space="preserve">ction </w:t>
      </w:r>
      <w:r w:rsidR="00343233">
        <w:rPr>
          <w:rFonts w:ascii="Arial" w:hAnsi="Arial" w:cs="Arial"/>
          <w:szCs w:val="24"/>
        </w:rPr>
        <w:t>NA</w:t>
      </w:r>
      <w:r w:rsidRPr="00994C87">
        <w:rPr>
          <w:rFonts w:ascii="Arial" w:hAnsi="Arial" w:cs="Arial"/>
          <w:szCs w:val="24"/>
        </w:rPr>
        <w:t xml:space="preserve">tionale </w:t>
      </w:r>
      <w:r w:rsidR="00343233">
        <w:rPr>
          <w:rFonts w:ascii="Arial" w:hAnsi="Arial" w:cs="Arial"/>
          <w:szCs w:val="24"/>
        </w:rPr>
        <w:t>GE</w:t>
      </w:r>
      <w:r w:rsidRPr="00994C87">
        <w:rPr>
          <w:rFonts w:ascii="Arial" w:hAnsi="Arial" w:cs="Arial"/>
          <w:szCs w:val="24"/>
        </w:rPr>
        <w:t>nre et Développement (PANAGED) en 2003. En effet, des actions sont programmées dans le but de donner les mêmes chances aux hommes et aux femmes dans tous les domaines du développement.</w:t>
      </w:r>
    </w:p>
    <w:p w14:paraId="02CAEB2B" w14:textId="77777777" w:rsidR="00994C87" w:rsidRPr="00994C87" w:rsidRDefault="00994C87" w:rsidP="00994C87">
      <w:pPr>
        <w:autoSpaceDE w:val="0"/>
        <w:autoSpaceDN w:val="0"/>
        <w:adjustRightInd w:val="0"/>
        <w:jc w:val="both"/>
        <w:rPr>
          <w:rFonts w:ascii="Arial" w:hAnsi="Arial" w:cs="Arial"/>
          <w:szCs w:val="24"/>
        </w:rPr>
      </w:pPr>
      <w:r w:rsidRPr="00994C87">
        <w:rPr>
          <w:rFonts w:ascii="Arial" w:hAnsi="Arial" w:cs="Arial"/>
          <w:szCs w:val="24"/>
        </w:rPr>
        <w:t xml:space="preserve">Le PANAGED comprend le développement économique et la lutte contre la féminisation de la pauvreté, le renforcement des capacités des femmes et des filles, la promotion des droits à la santé et à la santé de la reproduction de la femme et des adolescentes, le statut juridique de la femme par l’application des droits fondamentaux des femmes et des filles. La Direction Générale pour la Promotion du Genre et de la Famille, de l’Enfance et des Loisirs – Ministère en charge de la Population – est chargée de la mise en œuvre du programme. </w:t>
      </w:r>
    </w:p>
    <w:p w14:paraId="3DAC8931" w14:textId="77777777" w:rsidR="00994C87" w:rsidRPr="00994C87" w:rsidRDefault="00994C87" w:rsidP="00687DD2">
      <w:pPr>
        <w:pStyle w:val="Paragraphedeliste"/>
        <w:numPr>
          <w:ilvl w:val="0"/>
          <w:numId w:val="9"/>
        </w:numPr>
        <w:suppressAutoHyphens/>
        <w:spacing w:after="120" w:line="240" w:lineRule="auto"/>
        <w:ind w:left="714" w:hanging="357"/>
        <w:jc w:val="both"/>
        <w:rPr>
          <w:rFonts w:ascii="Arial" w:hAnsi="Arial" w:cs="Arial"/>
          <w:b/>
          <w:bCs/>
        </w:rPr>
      </w:pPr>
      <w:r w:rsidRPr="00994C87">
        <w:rPr>
          <w:rFonts w:ascii="Arial" w:hAnsi="Arial" w:cs="Arial"/>
          <w:b/>
          <w:bCs/>
        </w:rPr>
        <w:t xml:space="preserve">Stratégie nationale de lutte contre les violences basées sur le genre </w:t>
      </w:r>
    </w:p>
    <w:p w14:paraId="1F17FBF7" w14:textId="77777777" w:rsidR="00994C87" w:rsidRPr="00567C43" w:rsidRDefault="00994C87" w:rsidP="00567C43">
      <w:pPr>
        <w:autoSpaceDE w:val="0"/>
        <w:autoSpaceDN w:val="0"/>
        <w:adjustRightInd w:val="0"/>
        <w:jc w:val="both"/>
        <w:rPr>
          <w:rFonts w:ascii="Arial" w:hAnsi="Arial" w:cs="Arial"/>
          <w:szCs w:val="24"/>
        </w:rPr>
      </w:pPr>
      <w:r w:rsidRPr="00567C43">
        <w:rPr>
          <w:rFonts w:ascii="Arial" w:hAnsi="Arial" w:cs="Arial"/>
          <w:szCs w:val="24"/>
        </w:rPr>
        <w:t>Madagascar dispose depuis très récemment d’une loi relative à la lutte contre les violences basées sur le genre (Loi 2019-008</w:t>
      </w:r>
      <w:r w:rsidR="009067DE">
        <w:rPr>
          <w:rFonts w:ascii="Arial" w:hAnsi="Arial" w:cs="Arial"/>
          <w:szCs w:val="24"/>
        </w:rPr>
        <w:t xml:space="preserve"> </w:t>
      </w:r>
      <w:r w:rsidR="009A78B7">
        <w:rPr>
          <w:rFonts w:ascii="Arial" w:hAnsi="Arial" w:cs="Arial"/>
          <w:szCs w:val="24"/>
        </w:rPr>
        <w:t>promulguée</w:t>
      </w:r>
      <w:r w:rsidR="009067DE">
        <w:rPr>
          <w:rFonts w:ascii="Arial" w:hAnsi="Arial" w:cs="Arial"/>
          <w:szCs w:val="24"/>
        </w:rPr>
        <w:t xml:space="preserve"> </w:t>
      </w:r>
      <w:r w:rsidR="009067DE" w:rsidRPr="00F01166">
        <w:rPr>
          <w:rFonts w:ascii="Arial" w:hAnsi="Arial" w:cs="Arial"/>
          <w:szCs w:val="24"/>
        </w:rPr>
        <w:t>le 13 décembre 2019</w:t>
      </w:r>
      <w:r w:rsidRPr="00567C43">
        <w:rPr>
          <w:rFonts w:ascii="Arial" w:hAnsi="Arial" w:cs="Arial"/>
          <w:szCs w:val="24"/>
        </w:rPr>
        <w:t>). La Loi définit le régime juridique qui régit la prévention, la poursuite, la répression des actes de VBG, la prise en charge et la réparation et la protection des victimes de la VBG.</w:t>
      </w:r>
    </w:p>
    <w:p w14:paraId="7629F111" w14:textId="77777777" w:rsidR="00994C87" w:rsidRPr="00567C43" w:rsidRDefault="00994C87" w:rsidP="00567C43">
      <w:pPr>
        <w:autoSpaceDE w:val="0"/>
        <w:autoSpaceDN w:val="0"/>
        <w:adjustRightInd w:val="0"/>
        <w:jc w:val="both"/>
        <w:rPr>
          <w:rFonts w:ascii="Arial" w:hAnsi="Arial" w:cs="Arial"/>
          <w:szCs w:val="24"/>
        </w:rPr>
      </w:pPr>
      <w:r w:rsidRPr="00567C43">
        <w:rPr>
          <w:rFonts w:ascii="Arial" w:hAnsi="Arial" w:cs="Arial"/>
          <w:szCs w:val="24"/>
        </w:rPr>
        <w:t xml:space="preserve">Il est ainsi précisé que l’Etat assure la prise en charge sanitaire, psychosociale, et l’accompagnement juridico-judiciaire des victimes [Article 14]. </w:t>
      </w:r>
    </w:p>
    <w:p w14:paraId="42121E2C" w14:textId="77777777" w:rsidR="00994C87" w:rsidRPr="00567C43" w:rsidRDefault="00994C87" w:rsidP="00567C43">
      <w:pPr>
        <w:autoSpaceDE w:val="0"/>
        <w:autoSpaceDN w:val="0"/>
        <w:adjustRightInd w:val="0"/>
        <w:jc w:val="both"/>
        <w:rPr>
          <w:rFonts w:ascii="Arial" w:hAnsi="Arial" w:cs="Arial"/>
          <w:szCs w:val="24"/>
        </w:rPr>
      </w:pPr>
      <w:r w:rsidRPr="00567C43">
        <w:rPr>
          <w:rFonts w:ascii="Arial" w:hAnsi="Arial" w:cs="Arial"/>
          <w:szCs w:val="24"/>
        </w:rPr>
        <w:t xml:space="preserve">Le pays dispose également de la Stratégie </w:t>
      </w:r>
      <w:r w:rsidR="00343233">
        <w:rPr>
          <w:rFonts w:ascii="Arial" w:hAnsi="Arial" w:cs="Arial"/>
          <w:szCs w:val="24"/>
        </w:rPr>
        <w:t>N</w:t>
      </w:r>
      <w:r w:rsidRPr="00567C43">
        <w:rPr>
          <w:rFonts w:ascii="Arial" w:hAnsi="Arial" w:cs="Arial"/>
          <w:szCs w:val="24"/>
        </w:rPr>
        <w:t xml:space="preserve">ationale de </w:t>
      </w:r>
      <w:r w:rsidR="00343233">
        <w:rPr>
          <w:rFonts w:ascii="Arial" w:hAnsi="Arial" w:cs="Arial"/>
          <w:szCs w:val="24"/>
        </w:rPr>
        <w:t>L</w:t>
      </w:r>
      <w:r w:rsidRPr="00567C43">
        <w:rPr>
          <w:rFonts w:ascii="Arial" w:hAnsi="Arial" w:cs="Arial"/>
          <w:szCs w:val="24"/>
        </w:rPr>
        <w:t xml:space="preserve">utte contre les </w:t>
      </w:r>
      <w:r w:rsidR="00343233">
        <w:rPr>
          <w:rFonts w:ascii="Arial" w:hAnsi="Arial" w:cs="Arial"/>
          <w:szCs w:val="24"/>
        </w:rPr>
        <w:t>V</w:t>
      </w:r>
      <w:r w:rsidRPr="00567C43">
        <w:rPr>
          <w:rFonts w:ascii="Arial" w:hAnsi="Arial" w:cs="Arial"/>
          <w:szCs w:val="24"/>
        </w:rPr>
        <w:t xml:space="preserve">iolences </w:t>
      </w:r>
      <w:r w:rsidR="00343233">
        <w:rPr>
          <w:rFonts w:ascii="Arial" w:hAnsi="Arial" w:cs="Arial"/>
          <w:szCs w:val="24"/>
        </w:rPr>
        <w:t>B</w:t>
      </w:r>
      <w:r w:rsidRPr="00567C43">
        <w:rPr>
          <w:rFonts w:ascii="Arial" w:hAnsi="Arial" w:cs="Arial"/>
          <w:szCs w:val="24"/>
        </w:rPr>
        <w:t xml:space="preserve">asées sur le </w:t>
      </w:r>
      <w:r w:rsidR="00343233">
        <w:rPr>
          <w:rFonts w:ascii="Arial" w:hAnsi="Arial" w:cs="Arial"/>
          <w:szCs w:val="24"/>
        </w:rPr>
        <w:t>G</w:t>
      </w:r>
      <w:r w:rsidRPr="00567C43">
        <w:rPr>
          <w:rFonts w:ascii="Arial" w:hAnsi="Arial" w:cs="Arial"/>
          <w:szCs w:val="24"/>
        </w:rPr>
        <w:t>enre</w:t>
      </w:r>
      <w:r w:rsidR="00343233">
        <w:rPr>
          <w:rFonts w:ascii="Arial" w:hAnsi="Arial" w:cs="Arial"/>
          <w:szCs w:val="24"/>
        </w:rPr>
        <w:t xml:space="preserve"> (SNLVBG)</w:t>
      </w:r>
      <w:r w:rsidRPr="00567C43">
        <w:rPr>
          <w:rFonts w:ascii="Arial" w:hAnsi="Arial" w:cs="Arial"/>
          <w:szCs w:val="24"/>
        </w:rPr>
        <w:t xml:space="preserve"> couvrant la période de 2016-2020. Cette stratégie s’articule autour de </w:t>
      </w:r>
      <w:r w:rsidR="00563C78">
        <w:rPr>
          <w:rFonts w:ascii="Arial" w:hAnsi="Arial" w:cs="Arial"/>
          <w:szCs w:val="24"/>
        </w:rPr>
        <w:t>cinq (0</w:t>
      </w:r>
      <w:r w:rsidRPr="00567C43">
        <w:rPr>
          <w:rFonts w:ascii="Arial" w:hAnsi="Arial" w:cs="Arial"/>
          <w:szCs w:val="24"/>
        </w:rPr>
        <w:t>5</w:t>
      </w:r>
      <w:r w:rsidR="00563C78">
        <w:rPr>
          <w:rFonts w:ascii="Arial" w:hAnsi="Arial" w:cs="Arial"/>
          <w:szCs w:val="24"/>
        </w:rPr>
        <w:t>)</w:t>
      </w:r>
      <w:r w:rsidRPr="00567C43">
        <w:rPr>
          <w:rFonts w:ascii="Arial" w:hAnsi="Arial" w:cs="Arial"/>
          <w:szCs w:val="24"/>
        </w:rPr>
        <w:t xml:space="preserve"> axes stratégiques, à savoir : (1) prévention des actes de violences, (2) réponse médicale, juridique et sociale, (3) réinsertion socioéconomique des survivant</w:t>
      </w:r>
      <w:r w:rsidR="00563C78">
        <w:rPr>
          <w:rFonts w:ascii="Arial" w:hAnsi="Arial" w:cs="Arial"/>
          <w:szCs w:val="24"/>
        </w:rPr>
        <w:t>(e)</w:t>
      </w:r>
      <w:r w:rsidRPr="00567C43">
        <w:rPr>
          <w:rFonts w:ascii="Arial" w:hAnsi="Arial" w:cs="Arial"/>
          <w:szCs w:val="24"/>
        </w:rPr>
        <w:t xml:space="preserve">s de VBG et accompagnement psychosocial des auteurs, (4) coordination et suivi-évaluation et (5) optimisation des résultats par des mesures d’accompagnement. Cette stratégie est justement élaborée afin de mettre à la disposition des acteurs un document de référence pour conduire les actions de prévention et de réponse aux VBG d’une manière coordonnée et efficace. </w:t>
      </w:r>
    </w:p>
    <w:p w14:paraId="4C1C67B5" w14:textId="77777777" w:rsidR="00994C87" w:rsidRPr="00567C43" w:rsidRDefault="009745D3" w:rsidP="00567C43">
      <w:pPr>
        <w:autoSpaceDE w:val="0"/>
        <w:autoSpaceDN w:val="0"/>
        <w:adjustRightInd w:val="0"/>
        <w:jc w:val="both"/>
        <w:rPr>
          <w:rFonts w:ascii="Arial" w:hAnsi="Arial" w:cs="Arial"/>
          <w:szCs w:val="24"/>
        </w:rPr>
      </w:pPr>
      <w:r>
        <w:rPr>
          <w:rFonts w:ascii="Arial" w:hAnsi="Arial" w:cs="Arial"/>
          <w:szCs w:val="24"/>
        </w:rPr>
        <w:t>Madagascar</w:t>
      </w:r>
      <w:r w:rsidRPr="00567C43">
        <w:rPr>
          <w:rFonts w:ascii="Arial" w:hAnsi="Arial" w:cs="Arial"/>
          <w:szCs w:val="24"/>
        </w:rPr>
        <w:t xml:space="preserve"> </w:t>
      </w:r>
      <w:r w:rsidR="00994C87" w:rsidRPr="00567C43">
        <w:rPr>
          <w:rFonts w:ascii="Arial" w:hAnsi="Arial" w:cs="Arial"/>
          <w:szCs w:val="24"/>
        </w:rPr>
        <w:t xml:space="preserve">a élaboré </w:t>
      </w:r>
      <w:r>
        <w:rPr>
          <w:rFonts w:ascii="Arial" w:hAnsi="Arial" w:cs="Arial"/>
          <w:szCs w:val="24"/>
        </w:rPr>
        <w:t xml:space="preserve"> </w:t>
      </w:r>
      <w:r w:rsidR="00994C87" w:rsidRPr="00567C43">
        <w:rPr>
          <w:rFonts w:ascii="Arial" w:hAnsi="Arial" w:cs="Arial"/>
          <w:szCs w:val="24"/>
        </w:rPr>
        <w:t xml:space="preserve">la stratégie nationale de lutte contre les violences basées sur le genre pour la période de 2016 à 2020. La Stratégie a pour objectif de mettre à la disposition des acteurs un document de référence pour conduire les actions de prévention et de réponse aux VBG d’une manière coordonnée et efficace. </w:t>
      </w:r>
    </w:p>
    <w:p w14:paraId="78C36FE7" w14:textId="77777777" w:rsidR="00994C87" w:rsidRPr="00567C43" w:rsidRDefault="00994C87" w:rsidP="00567C43">
      <w:pPr>
        <w:autoSpaceDE w:val="0"/>
        <w:autoSpaceDN w:val="0"/>
        <w:adjustRightInd w:val="0"/>
        <w:jc w:val="both"/>
        <w:rPr>
          <w:rFonts w:ascii="Arial" w:hAnsi="Arial" w:cs="Arial"/>
          <w:szCs w:val="24"/>
        </w:rPr>
      </w:pPr>
      <w:r w:rsidRPr="00567C43">
        <w:rPr>
          <w:rFonts w:ascii="Arial" w:hAnsi="Arial" w:cs="Arial"/>
          <w:szCs w:val="24"/>
        </w:rPr>
        <w:t xml:space="preserve">Pour atteindre cet objectif, cinq axes stratégiques ont été définis, à savoir </w:t>
      </w:r>
    </w:p>
    <w:p w14:paraId="7CA8F95C" w14:textId="77777777" w:rsidR="00994C87" w:rsidRPr="00567C43" w:rsidRDefault="00994C87" w:rsidP="00687DD2">
      <w:pPr>
        <w:pStyle w:val="Paragraphedeliste"/>
        <w:numPr>
          <w:ilvl w:val="0"/>
          <w:numId w:val="7"/>
        </w:numPr>
        <w:suppressAutoHyphens/>
        <w:spacing w:beforeAutospacing="1" w:after="160" w:afterAutospacing="1" w:line="240" w:lineRule="auto"/>
        <w:jc w:val="both"/>
        <w:rPr>
          <w:rFonts w:ascii="Arial" w:hAnsi="Arial" w:cs="Arial"/>
          <w:szCs w:val="24"/>
        </w:rPr>
      </w:pPr>
      <w:r w:rsidRPr="00567C43">
        <w:rPr>
          <w:rFonts w:ascii="Arial" w:hAnsi="Arial" w:cs="Arial"/>
          <w:szCs w:val="24"/>
        </w:rPr>
        <w:t xml:space="preserve">Prévention des actes de violences ; </w:t>
      </w:r>
    </w:p>
    <w:p w14:paraId="797335C8" w14:textId="77777777" w:rsidR="00994C87" w:rsidRPr="00567C43" w:rsidRDefault="00994C87" w:rsidP="00687DD2">
      <w:pPr>
        <w:pStyle w:val="Paragraphedeliste"/>
        <w:numPr>
          <w:ilvl w:val="0"/>
          <w:numId w:val="7"/>
        </w:numPr>
        <w:suppressAutoHyphens/>
        <w:spacing w:beforeAutospacing="1" w:after="160" w:afterAutospacing="1" w:line="240" w:lineRule="auto"/>
        <w:jc w:val="both"/>
        <w:rPr>
          <w:rFonts w:ascii="Arial" w:hAnsi="Arial" w:cs="Arial"/>
          <w:szCs w:val="24"/>
        </w:rPr>
      </w:pPr>
      <w:r w:rsidRPr="00567C43">
        <w:rPr>
          <w:rFonts w:ascii="Arial" w:hAnsi="Arial" w:cs="Arial"/>
          <w:szCs w:val="24"/>
        </w:rPr>
        <w:t xml:space="preserve">Réponse médicale, juridique et sociale ; </w:t>
      </w:r>
    </w:p>
    <w:p w14:paraId="53E32122" w14:textId="77777777" w:rsidR="00994C87" w:rsidRPr="00567C43" w:rsidRDefault="00994C87" w:rsidP="00687DD2">
      <w:pPr>
        <w:pStyle w:val="Paragraphedeliste"/>
        <w:numPr>
          <w:ilvl w:val="0"/>
          <w:numId w:val="7"/>
        </w:numPr>
        <w:suppressAutoHyphens/>
        <w:spacing w:beforeAutospacing="1" w:after="160" w:afterAutospacing="1" w:line="240" w:lineRule="auto"/>
        <w:jc w:val="both"/>
        <w:rPr>
          <w:rFonts w:ascii="Arial" w:hAnsi="Arial" w:cs="Arial"/>
          <w:szCs w:val="24"/>
        </w:rPr>
      </w:pPr>
      <w:r w:rsidRPr="00567C43">
        <w:rPr>
          <w:rFonts w:ascii="Arial" w:hAnsi="Arial" w:cs="Arial"/>
          <w:szCs w:val="24"/>
        </w:rPr>
        <w:t>Réinsertion socio-économique des survivants de VBG et accompagnement psychosociale des auteurs ;</w:t>
      </w:r>
    </w:p>
    <w:p w14:paraId="4B7AE959" w14:textId="77777777" w:rsidR="00994C87" w:rsidRPr="00567C43" w:rsidRDefault="00994C87" w:rsidP="00687DD2">
      <w:pPr>
        <w:pStyle w:val="Paragraphedeliste"/>
        <w:numPr>
          <w:ilvl w:val="0"/>
          <w:numId w:val="7"/>
        </w:numPr>
        <w:suppressAutoHyphens/>
        <w:spacing w:beforeAutospacing="1" w:after="160" w:afterAutospacing="1" w:line="240" w:lineRule="auto"/>
        <w:jc w:val="both"/>
        <w:rPr>
          <w:rFonts w:ascii="Arial" w:hAnsi="Arial" w:cs="Arial"/>
          <w:szCs w:val="24"/>
        </w:rPr>
      </w:pPr>
      <w:r w:rsidRPr="00567C43">
        <w:rPr>
          <w:rFonts w:ascii="Arial" w:hAnsi="Arial" w:cs="Arial"/>
          <w:szCs w:val="24"/>
        </w:rPr>
        <w:t>Coordination et suivi /évaluation ;</w:t>
      </w:r>
    </w:p>
    <w:p w14:paraId="4556C68F" w14:textId="77777777" w:rsidR="00994C87" w:rsidRDefault="00994C87" w:rsidP="00687DD2">
      <w:pPr>
        <w:pStyle w:val="Paragraphedeliste"/>
        <w:numPr>
          <w:ilvl w:val="0"/>
          <w:numId w:val="7"/>
        </w:numPr>
        <w:suppressAutoHyphens/>
        <w:spacing w:beforeAutospacing="1" w:after="160" w:afterAutospacing="1" w:line="240" w:lineRule="auto"/>
        <w:jc w:val="both"/>
        <w:rPr>
          <w:rFonts w:ascii="Arial" w:hAnsi="Arial" w:cs="Arial"/>
          <w:szCs w:val="24"/>
        </w:rPr>
      </w:pPr>
      <w:r w:rsidRPr="00567C43">
        <w:rPr>
          <w:rFonts w:ascii="Arial" w:hAnsi="Arial" w:cs="Arial"/>
          <w:szCs w:val="24"/>
        </w:rPr>
        <w:t xml:space="preserve">Optimisation des résultats par la mise en place de mesures d’accompagnement. </w:t>
      </w:r>
    </w:p>
    <w:p w14:paraId="2D0C43E0" w14:textId="77777777" w:rsidR="00994C87" w:rsidRPr="00567C43" w:rsidRDefault="00567C43" w:rsidP="0044500E">
      <w:pPr>
        <w:pStyle w:val="TIT3"/>
        <w:numPr>
          <w:ilvl w:val="2"/>
          <w:numId w:val="177"/>
        </w:numPr>
      </w:pPr>
      <w:bookmarkStart w:id="575" w:name="_Toc121232615"/>
      <w:bookmarkStart w:id="576" w:name="_Toc124314698"/>
      <w:bookmarkStart w:id="577" w:name="_Toc124956176"/>
      <w:bookmarkStart w:id="578" w:name="_Toc125384575"/>
      <w:bookmarkStart w:id="579" w:name="_Toc125384964"/>
      <w:bookmarkStart w:id="580" w:name="_Toc127957636"/>
      <w:r w:rsidRPr="00567C43">
        <w:t>Politique nationale sur l’aménagement du territoire et du foncier</w:t>
      </w:r>
      <w:bookmarkEnd w:id="575"/>
      <w:bookmarkEnd w:id="576"/>
      <w:bookmarkEnd w:id="577"/>
      <w:bookmarkEnd w:id="578"/>
      <w:bookmarkEnd w:id="579"/>
      <w:bookmarkEnd w:id="580"/>
    </w:p>
    <w:p w14:paraId="4A94BFBE" w14:textId="77777777" w:rsidR="00994C87" w:rsidRPr="00567C43" w:rsidRDefault="00994C87" w:rsidP="00567C43">
      <w:pPr>
        <w:autoSpaceDE w:val="0"/>
        <w:autoSpaceDN w:val="0"/>
        <w:adjustRightInd w:val="0"/>
        <w:jc w:val="both"/>
        <w:rPr>
          <w:rFonts w:ascii="Arial" w:hAnsi="Arial" w:cs="Arial"/>
          <w:szCs w:val="24"/>
        </w:rPr>
      </w:pPr>
      <w:r w:rsidRPr="00567C43">
        <w:rPr>
          <w:rFonts w:ascii="Arial" w:hAnsi="Arial" w:cs="Arial"/>
          <w:szCs w:val="24"/>
        </w:rPr>
        <w:t xml:space="preserve">La mise en œuvre du Projet </w:t>
      </w:r>
      <w:r w:rsidR="00567C43">
        <w:rPr>
          <w:rFonts w:ascii="Arial" w:hAnsi="Arial" w:cs="Arial"/>
          <w:szCs w:val="24"/>
        </w:rPr>
        <w:t>DECIM</w:t>
      </w:r>
      <w:r w:rsidRPr="00567C43">
        <w:rPr>
          <w:rFonts w:ascii="Arial" w:hAnsi="Arial" w:cs="Arial"/>
          <w:szCs w:val="24"/>
        </w:rPr>
        <w:t>, doit prendre en considération les directives et les orientations stratégiques du secteur de l’aménagement du territoire et du foncier.</w:t>
      </w:r>
    </w:p>
    <w:p w14:paraId="478CADEC" w14:textId="77777777" w:rsidR="00994C87" w:rsidRPr="00567C43" w:rsidRDefault="00994C87" w:rsidP="00687DD2">
      <w:pPr>
        <w:pStyle w:val="Paragraphedeliste"/>
        <w:numPr>
          <w:ilvl w:val="0"/>
          <w:numId w:val="9"/>
        </w:numPr>
        <w:suppressAutoHyphens/>
        <w:spacing w:after="120" w:line="240" w:lineRule="auto"/>
        <w:ind w:left="714" w:hanging="357"/>
        <w:jc w:val="both"/>
        <w:rPr>
          <w:rFonts w:ascii="Arial" w:hAnsi="Arial" w:cs="Arial"/>
          <w:b/>
          <w:bCs/>
        </w:rPr>
      </w:pPr>
      <w:r w:rsidRPr="00567C43">
        <w:rPr>
          <w:rFonts w:ascii="Arial" w:hAnsi="Arial" w:cs="Arial"/>
          <w:b/>
          <w:bCs/>
        </w:rPr>
        <w:t>Politique nationale de l’Aménagement du Territoire</w:t>
      </w:r>
    </w:p>
    <w:p w14:paraId="7AF8FEAA" w14:textId="77777777" w:rsidR="00994C87" w:rsidRPr="00567C43" w:rsidRDefault="00994C87" w:rsidP="00567C43">
      <w:pPr>
        <w:autoSpaceDE w:val="0"/>
        <w:autoSpaceDN w:val="0"/>
        <w:adjustRightInd w:val="0"/>
        <w:jc w:val="both"/>
        <w:rPr>
          <w:rFonts w:ascii="Arial" w:hAnsi="Arial" w:cs="Arial"/>
          <w:szCs w:val="24"/>
        </w:rPr>
      </w:pPr>
      <w:r w:rsidRPr="00567C43">
        <w:rPr>
          <w:rFonts w:ascii="Arial" w:hAnsi="Arial" w:cs="Arial"/>
          <w:szCs w:val="24"/>
        </w:rPr>
        <w:t xml:space="preserve">La Politique Nationale de l’Aménagement du Territoire (PNAT) a été établie en 2006, mais reste encore en vigueur en attendant son actualisation. La Politique est basée sur l’ambition d’avoir des territoires plus compétitifs, et mieux équipés. L’équipement du territoire signifie la mise en place des infrastructures adéquates pour permettre aux populations de mieux accéder aux services et équipements de base. </w:t>
      </w:r>
    </w:p>
    <w:p w14:paraId="3D4EA7FC" w14:textId="77777777" w:rsidR="00994C87" w:rsidRPr="00567C43" w:rsidRDefault="00994C87" w:rsidP="00567C43">
      <w:pPr>
        <w:autoSpaceDE w:val="0"/>
        <w:autoSpaceDN w:val="0"/>
        <w:adjustRightInd w:val="0"/>
        <w:jc w:val="both"/>
        <w:rPr>
          <w:rFonts w:ascii="Arial" w:hAnsi="Arial" w:cs="Arial"/>
          <w:szCs w:val="24"/>
        </w:rPr>
      </w:pPr>
      <w:r w:rsidRPr="00567C43">
        <w:rPr>
          <w:rFonts w:ascii="Arial" w:hAnsi="Arial" w:cs="Arial"/>
          <w:szCs w:val="24"/>
        </w:rPr>
        <w:t>La PNAT a été ensuite déclinée en Politique nationale de développement urbain ou PNDU, laquelle fut élaborée en 2019. La PNDU a pour vision d’avoir des villes bien planifiées, plus s</w:t>
      </w:r>
      <w:r w:rsidR="00563C78">
        <w:rPr>
          <w:rFonts w:ascii="Arial" w:hAnsi="Arial" w:cs="Arial"/>
          <w:szCs w:val="24"/>
        </w:rPr>
        <w:t>û</w:t>
      </w:r>
      <w:r w:rsidRPr="00567C43">
        <w:rPr>
          <w:rFonts w:ascii="Arial" w:hAnsi="Arial" w:cs="Arial"/>
          <w:szCs w:val="24"/>
        </w:rPr>
        <w:t xml:space="preserve">res, plus résilientes, inclusives, durables, identitaires de la société malagasy, et qui assurent pleinement leur fonction de fournisseurs de services, moteur de développement économique, et de structuration du territoire national. La Politique PNDU s’articule autour de trois axes stratégiques, à savoir (1) des villes favorisant le développement de tous, (2) une gestion moderne, démocratique et transparente des villes, et (3) des partenariats techniques et financiers stratégiques pour répondre aux défis de l’urbanisation. S’inscrivant dans le premier axe stratégique, il est établi un sous axe « amélioration significative et durable des conditions de vie et de l’habitat de tous ». Dans le cadre de ce sous axe stratégique, l’objectif est de renforcer la planification urbaine et les règlements d’urbanisme dans l’optique d’optimiser l’accès et le branchement particulier à l’eau potable, à toutes les populations urbaines. </w:t>
      </w:r>
    </w:p>
    <w:p w14:paraId="0D8F3B80" w14:textId="77777777" w:rsidR="00994C87" w:rsidRPr="007F78CE" w:rsidRDefault="004E191E" w:rsidP="0044500E">
      <w:pPr>
        <w:pStyle w:val="TIT2"/>
        <w:numPr>
          <w:ilvl w:val="1"/>
          <w:numId w:val="177"/>
        </w:numPr>
      </w:pPr>
      <w:bookmarkStart w:id="581" w:name="_Toc124314699"/>
      <w:bookmarkStart w:id="582" w:name="_Toc124956177"/>
      <w:bookmarkStart w:id="583" w:name="_Toc125384576"/>
      <w:bookmarkStart w:id="584" w:name="_Toc125384965"/>
      <w:bookmarkStart w:id="585" w:name="_Toc127957637"/>
      <w:r w:rsidRPr="007F78CE">
        <w:t>Cadre législatif national</w:t>
      </w:r>
      <w:bookmarkEnd w:id="581"/>
      <w:bookmarkEnd w:id="582"/>
      <w:bookmarkEnd w:id="583"/>
      <w:bookmarkEnd w:id="584"/>
      <w:bookmarkEnd w:id="585"/>
      <w:r w:rsidRPr="007F78CE">
        <w:t xml:space="preserve"> </w:t>
      </w:r>
    </w:p>
    <w:p w14:paraId="4AEA65E1" w14:textId="77777777" w:rsidR="004E191E" w:rsidRPr="004E191E" w:rsidRDefault="004E191E" w:rsidP="004E191E">
      <w:pPr>
        <w:autoSpaceDE w:val="0"/>
        <w:autoSpaceDN w:val="0"/>
        <w:adjustRightInd w:val="0"/>
        <w:jc w:val="both"/>
        <w:rPr>
          <w:rFonts w:ascii="Arial" w:hAnsi="Arial" w:cs="Arial"/>
          <w:szCs w:val="24"/>
        </w:rPr>
      </w:pPr>
      <w:r w:rsidRPr="004E191E">
        <w:rPr>
          <w:rFonts w:ascii="Arial" w:hAnsi="Arial" w:cs="Arial"/>
          <w:szCs w:val="24"/>
        </w:rPr>
        <w:t xml:space="preserve">Cette section relative au cadre législatif national, expose les dispositifs et les instructions qui réglementent les secteurs directement touchés et concernés par la mise en œuvre du Projet </w:t>
      </w:r>
      <w:r>
        <w:rPr>
          <w:rFonts w:ascii="Arial" w:hAnsi="Arial" w:cs="Arial"/>
          <w:szCs w:val="24"/>
        </w:rPr>
        <w:t>DECIM</w:t>
      </w:r>
      <w:r w:rsidRPr="004E191E">
        <w:rPr>
          <w:rFonts w:ascii="Arial" w:hAnsi="Arial" w:cs="Arial"/>
          <w:szCs w:val="24"/>
        </w:rPr>
        <w:t>.</w:t>
      </w:r>
    </w:p>
    <w:p w14:paraId="1D53546A" w14:textId="77777777" w:rsidR="004E191E" w:rsidRPr="004E191E" w:rsidRDefault="004E191E" w:rsidP="0044500E">
      <w:pPr>
        <w:pStyle w:val="TIT3"/>
        <w:numPr>
          <w:ilvl w:val="2"/>
          <w:numId w:val="177"/>
        </w:numPr>
      </w:pPr>
      <w:bookmarkStart w:id="586" w:name="_Toc124314700"/>
      <w:bookmarkStart w:id="587" w:name="_Toc124956178"/>
      <w:bookmarkStart w:id="588" w:name="_Toc125384577"/>
      <w:bookmarkStart w:id="589" w:name="_Toc125384966"/>
      <w:bookmarkStart w:id="590" w:name="_Toc127957638"/>
      <w:r w:rsidRPr="004E191E">
        <w:t>Cadre législatif régissant le secteur énergie</w:t>
      </w:r>
      <w:r w:rsidR="00A3503B" w:rsidRPr="00B434A6">
        <w:rPr>
          <w:rStyle w:val="Appelnotedebasdep"/>
          <w:b w:val="0"/>
        </w:rPr>
        <w:footnoteReference w:id="68"/>
      </w:r>
      <w:bookmarkEnd w:id="586"/>
      <w:bookmarkEnd w:id="587"/>
      <w:bookmarkEnd w:id="588"/>
      <w:bookmarkEnd w:id="589"/>
      <w:bookmarkEnd w:id="590"/>
      <w:r w:rsidRPr="004E191E">
        <w:t xml:space="preserve"> </w:t>
      </w:r>
    </w:p>
    <w:p w14:paraId="20DA1AA9" w14:textId="77777777" w:rsidR="004E191E" w:rsidRPr="002B1566" w:rsidRDefault="002B1566" w:rsidP="00687DD2">
      <w:pPr>
        <w:pStyle w:val="Paragraphedeliste"/>
        <w:numPr>
          <w:ilvl w:val="0"/>
          <w:numId w:val="9"/>
        </w:numPr>
        <w:suppressAutoHyphens/>
        <w:spacing w:after="120" w:line="240" w:lineRule="auto"/>
        <w:ind w:left="714" w:hanging="357"/>
        <w:jc w:val="both"/>
        <w:rPr>
          <w:rFonts w:ascii="Arial" w:hAnsi="Arial" w:cs="Arial"/>
          <w:b/>
          <w:bCs/>
        </w:rPr>
      </w:pPr>
      <w:r>
        <w:rPr>
          <w:rFonts w:ascii="Arial" w:hAnsi="Arial" w:cs="Arial"/>
          <w:b/>
          <w:bCs/>
        </w:rPr>
        <w:t>L</w:t>
      </w:r>
      <w:r w:rsidRPr="002B1566">
        <w:rPr>
          <w:rFonts w:ascii="Arial" w:hAnsi="Arial" w:cs="Arial"/>
          <w:b/>
          <w:bCs/>
        </w:rPr>
        <w:t>oi n°98-032 du 20-01-99 portant sur la réforme du secteur électricité à Madagascar</w:t>
      </w:r>
    </w:p>
    <w:p w14:paraId="6A3D890D" w14:textId="77777777" w:rsidR="002B1566" w:rsidRDefault="002B1566" w:rsidP="00567C43">
      <w:pPr>
        <w:autoSpaceDE w:val="0"/>
        <w:autoSpaceDN w:val="0"/>
        <w:adjustRightInd w:val="0"/>
        <w:jc w:val="both"/>
        <w:rPr>
          <w:rFonts w:ascii="Arial" w:hAnsi="Arial" w:cs="Arial"/>
          <w:szCs w:val="24"/>
        </w:rPr>
      </w:pPr>
      <w:r>
        <w:rPr>
          <w:rFonts w:ascii="Arial" w:hAnsi="Arial" w:cs="Arial"/>
          <w:szCs w:val="24"/>
        </w:rPr>
        <w:t xml:space="preserve">Cette loi </w:t>
      </w:r>
      <w:r w:rsidRPr="002B1566">
        <w:rPr>
          <w:rFonts w:ascii="Arial" w:hAnsi="Arial" w:cs="Arial"/>
          <w:szCs w:val="24"/>
        </w:rPr>
        <w:t>fixe notamment les régimes des Autorisations et des Concessions, ainsi que celui de l’Autoproduction. Elle comporte des dispositions environnementales qui prévoient dans son article 63 que « l’établissement et l’exploitation des installations d’électricité doivent respecter les dispositions législatives et réglementaires relatives à la protection de l’environnement ».</w:t>
      </w:r>
    </w:p>
    <w:p w14:paraId="55BFB8C0" w14:textId="77777777" w:rsidR="002B1566" w:rsidRDefault="002B1566" w:rsidP="002B1566">
      <w:pPr>
        <w:autoSpaceDE w:val="0"/>
        <w:autoSpaceDN w:val="0"/>
        <w:adjustRightInd w:val="0"/>
        <w:jc w:val="both"/>
        <w:rPr>
          <w:rFonts w:ascii="Arial" w:hAnsi="Arial" w:cs="Arial"/>
          <w:szCs w:val="24"/>
        </w:rPr>
      </w:pPr>
      <w:r w:rsidRPr="002B1566">
        <w:rPr>
          <w:rFonts w:ascii="Arial" w:hAnsi="Arial" w:cs="Arial"/>
          <w:szCs w:val="24"/>
        </w:rPr>
        <w:t>Dans ce cadre, la construction, l’exploitation et l’entretie</w:t>
      </w:r>
      <w:r>
        <w:rPr>
          <w:rFonts w:ascii="Arial" w:hAnsi="Arial" w:cs="Arial"/>
          <w:szCs w:val="24"/>
        </w:rPr>
        <w:t>n des installations élec</w:t>
      </w:r>
      <w:r w:rsidRPr="002B1566">
        <w:rPr>
          <w:rFonts w:ascii="Arial" w:hAnsi="Arial" w:cs="Arial"/>
          <w:szCs w:val="24"/>
        </w:rPr>
        <w:t>triques sont, depuis longtemps, soumis à des règles administratives, des normes techniques et à des réglementations de sécurité. Ces règlements et normes peuvent avoir des objectifs implicites ou explicites de protection de l’environnement et des populations.</w:t>
      </w:r>
    </w:p>
    <w:p w14:paraId="371F6F59" w14:textId="77777777" w:rsidR="00BF1462" w:rsidRPr="00BF1462" w:rsidRDefault="00BF1462" w:rsidP="00BF1462">
      <w:pPr>
        <w:autoSpaceDE w:val="0"/>
        <w:autoSpaceDN w:val="0"/>
        <w:adjustRightInd w:val="0"/>
        <w:jc w:val="both"/>
        <w:rPr>
          <w:rFonts w:ascii="Arial" w:hAnsi="Arial" w:cs="Arial"/>
          <w:szCs w:val="24"/>
        </w:rPr>
      </w:pPr>
      <w:r w:rsidRPr="00BF1462">
        <w:rPr>
          <w:rFonts w:ascii="Arial" w:hAnsi="Arial" w:cs="Arial"/>
          <w:szCs w:val="24"/>
        </w:rPr>
        <w:t xml:space="preserve">Les normes techniques, les standards technico-environnementaux ainsi que les conditions de </w:t>
      </w:r>
      <w:r w:rsidR="009D73DB" w:rsidRPr="00BF1462">
        <w:rPr>
          <w:rFonts w:ascii="Arial" w:hAnsi="Arial" w:cs="Arial"/>
          <w:szCs w:val="24"/>
        </w:rPr>
        <w:t>sécurité relative</w:t>
      </w:r>
      <w:r w:rsidRPr="00BF1462">
        <w:rPr>
          <w:rFonts w:ascii="Arial" w:hAnsi="Arial" w:cs="Arial"/>
          <w:szCs w:val="24"/>
        </w:rPr>
        <w:t xml:space="preserve"> à la construction, l’exploitation, l’</w:t>
      </w:r>
      <w:r>
        <w:rPr>
          <w:rFonts w:ascii="Arial" w:hAnsi="Arial" w:cs="Arial"/>
          <w:szCs w:val="24"/>
        </w:rPr>
        <w:t>entretien et au renou</w:t>
      </w:r>
      <w:r w:rsidRPr="00BF1462">
        <w:rPr>
          <w:rFonts w:ascii="Arial" w:hAnsi="Arial" w:cs="Arial"/>
          <w:szCs w:val="24"/>
        </w:rPr>
        <w:t xml:space="preserve">vellement des </w:t>
      </w:r>
      <w:r w:rsidR="009D73DB">
        <w:rPr>
          <w:rFonts w:ascii="Arial" w:hAnsi="Arial" w:cs="Arial"/>
          <w:szCs w:val="24"/>
        </w:rPr>
        <w:t>i</w:t>
      </w:r>
      <w:r w:rsidRPr="00BF1462">
        <w:rPr>
          <w:rFonts w:ascii="Arial" w:hAnsi="Arial" w:cs="Arial"/>
          <w:szCs w:val="24"/>
        </w:rPr>
        <w:t>nstallations, y compris les travaux de</w:t>
      </w:r>
      <w:r>
        <w:rPr>
          <w:rFonts w:ascii="Arial" w:hAnsi="Arial" w:cs="Arial"/>
          <w:szCs w:val="24"/>
        </w:rPr>
        <w:t xml:space="preserve"> grosse réparation ou de modifi</w:t>
      </w:r>
      <w:r w:rsidRPr="00BF1462">
        <w:rPr>
          <w:rFonts w:ascii="Arial" w:hAnsi="Arial" w:cs="Arial"/>
          <w:szCs w:val="24"/>
        </w:rPr>
        <w:t>cation des ouvrages sont définis par arrêté du Mi</w:t>
      </w:r>
      <w:r>
        <w:rPr>
          <w:rFonts w:ascii="Arial" w:hAnsi="Arial" w:cs="Arial"/>
          <w:szCs w:val="24"/>
        </w:rPr>
        <w:t>nistre chargé de l’énergie élec</w:t>
      </w:r>
      <w:r w:rsidRPr="00BF1462">
        <w:rPr>
          <w:rFonts w:ascii="Arial" w:hAnsi="Arial" w:cs="Arial"/>
          <w:szCs w:val="24"/>
        </w:rPr>
        <w:t xml:space="preserve">trique. </w:t>
      </w:r>
    </w:p>
    <w:p w14:paraId="4BFF7BC1" w14:textId="77777777" w:rsidR="00BF1462" w:rsidRPr="00BF1462" w:rsidRDefault="00160FB0" w:rsidP="00687DD2">
      <w:pPr>
        <w:pStyle w:val="Paragraphedeliste"/>
        <w:numPr>
          <w:ilvl w:val="0"/>
          <w:numId w:val="9"/>
        </w:numPr>
        <w:suppressAutoHyphens/>
        <w:spacing w:after="120" w:line="240" w:lineRule="auto"/>
        <w:ind w:left="714" w:hanging="357"/>
        <w:jc w:val="both"/>
        <w:rPr>
          <w:rFonts w:ascii="Arial" w:hAnsi="Arial" w:cs="Arial"/>
          <w:b/>
          <w:bCs/>
        </w:rPr>
      </w:pPr>
      <w:hyperlink r:id="rId53" w:tgtFrame="_blank" w:history="1">
        <w:r w:rsidR="00BF1462" w:rsidRPr="00BF1462">
          <w:rPr>
            <w:rFonts w:ascii="Arial" w:hAnsi="Arial" w:cs="Arial"/>
            <w:b/>
            <w:bCs/>
          </w:rPr>
          <w:t>Décret n° 2001-173 du 28 Février 2001 fixant les conditions et modalités d’application de la Loi n°98-032 du 20 janvier 1999 portant réforme du secteur de l’électricité</w:t>
        </w:r>
      </w:hyperlink>
    </w:p>
    <w:p w14:paraId="233B6D76" w14:textId="77777777" w:rsidR="00BF1462" w:rsidRDefault="00BF1462" w:rsidP="00BF1462">
      <w:pPr>
        <w:autoSpaceDE w:val="0"/>
        <w:autoSpaceDN w:val="0"/>
        <w:adjustRightInd w:val="0"/>
        <w:jc w:val="both"/>
        <w:rPr>
          <w:rFonts w:ascii="Arial" w:hAnsi="Arial" w:cs="Arial"/>
          <w:szCs w:val="24"/>
        </w:rPr>
      </w:pPr>
      <w:r w:rsidRPr="00BF1462">
        <w:rPr>
          <w:rFonts w:ascii="Arial" w:hAnsi="Arial" w:cs="Arial"/>
          <w:szCs w:val="24"/>
        </w:rPr>
        <w:t xml:space="preserve">Ce décret fixe les règles et procédures applicables en ce qui concerne l’octroi, la cession, la renonciation, la résiliation et la mise en concurrence des concessions et des autorisations, ainsi que la construction et l’exploitation des </w:t>
      </w:r>
      <w:r w:rsidR="005866FE">
        <w:rPr>
          <w:rFonts w:ascii="Arial" w:hAnsi="Arial" w:cs="Arial"/>
          <w:szCs w:val="24"/>
        </w:rPr>
        <w:t>I</w:t>
      </w:r>
      <w:r w:rsidRPr="00BF1462">
        <w:rPr>
          <w:rFonts w:ascii="Arial" w:hAnsi="Arial" w:cs="Arial"/>
          <w:szCs w:val="24"/>
        </w:rPr>
        <w:t>nstallations de production, de transport, de distribution et d’autoproduction d’énergie électrique, en application des dispositions de la loi n°98-032 du 20 janvier 1999 portant réforme du secteur de l’électricité.</w:t>
      </w:r>
      <w:r>
        <w:rPr>
          <w:rFonts w:ascii="Arial" w:hAnsi="Arial" w:cs="Arial"/>
          <w:szCs w:val="24"/>
        </w:rPr>
        <w:t xml:space="preserve"> </w:t>
      </w:r>
    </w:p>
    <w:p w14:paraId="39E3133F" w14:textId="77777777" w:rsidR="00BF1462" w:rsidRDefault="00BF1462" w:rsidP="00BF1462">
      <w:pPr>
        <w:autoSpaceDE w:val="0"/>
        <w:autoSpaceDN w:val="0"/>
        <w:adjustRightInd w:val="0"/>
        <w:jc w:val="both"/>
        <w:rPr>
          <w:rFonts w:ascii="Arial" w:hAnsi="Arial" w:cs="Arial"/>
        </w:rPr>
      </w:pPr>
      <w:r w:rsidRPr="58F5F8BA">
        <w:rPr>
          <w:rFonts w:ascii="Arial" w:hAnsi="Arial" w:cs="Arial"/>
        </w:rPr>
        <w:t>Ainsi, concernant l’occupation des terrains, l’article 37 de ce décret d’application</w:t>
      </w:r>
      <w:r w:rsidR="00EA4AE6">
        <w:rPr>
          <w:rFonts w:ascii="Arial" w:hAnsi="Arial" w:cs="Arial"/>
        </w:rPr>
        <w:t xml:space="preserve"> énonce</w:t>
      </w:r>
      <w:r w:rsidRPr="58F5F8BA">
        <w:rPr>
          <w:rFonts w:ascii="Arial" w:hAnsi="Arial" w:cs="Arial"/>
        </w:rPr>
        <w:t xml:space="preserve"> que, « en application des dispositions de l’article 20 de la Loi, les terrains mis à la disposition du Permissionnaire ou du Concessionnaire pour la construction, l’exploitation, la protection et l’entretien des </w:t>
      </w:r>
      <w:r w:rsidR="005866FE" w:rsidRPr="58F5F8BA">
        <w:rPr>
          <w:rFonts w:ascii="Arial" w:hAnsi="Arial" w:cs="Arial"/>
        </w:rPr>
        <w:t>I</w:t>
      </w:r>
      <w:r w:rsidRPr="58F5F8BA">
        <w:rPr>
          <w:rFonts w:ascii="Arial" w:hAnsi="Arial" w:cs="Arial"/>
        </w:rPr>
        <w:t>nstallations, objet de l’Autorisation ou de la Concession sont :</w:t>
      </w:r>
    </w:p>
    <w:p w14:paraId="57662762" w14:textId="77777777" w:rsidR="00BF1462" w:rsidRPr="00BF1462" w:rsidRDefault="00BF1462" w:rsidP="00687DD2">
      <w:pPr>
        <w:pStyle w:val="Default"/>
        <w:numPr>
          <w:ilvl w:val="1"/>
          <w:numId w:val="9"/>
        </w:numPr>
        <w:spacing w:after="2"/>
        <w:rPr>
          <w:color w:val="auto"/>
          <w:sz w:val="22"/>
        </w:rPr>
      </w:pPr>
      <w:r w:rsidRPr="00BF1462">
        <w:rPr>
          <w:color w:val="auto"/>
          <w:sz w:val="22"/>
        </w:rPr>
        <w:t xml:space="preserve">soit des terrains du domaine public ou privé de l’Etat ou des Collectivités locales, </w:t>
      </w:r>
    </w:p>
    <w:p w14:paraId="0501D018" w14:textId="77777777" w:rsidR="00BF1462" w:rsidRPr="00BF1462" w:rsidRDefault="00BF1462" w:rsidP="00687DD2">
      <w:pPr>
        <w:pStyle w:val="Default"/>
        <w:numPr>
          <w:ilvl w:val="1"/>
          <w:numId w:val="9"/>
        </w:numPr>
        <w:rPr>
          <w:color w:val="auto"/>
          <w:sz w:val="22"/>
        </w:rPr>
      </w:pPr>
      <w:r w:rsidRPr="00BF1462">
        <w:rPr>
          <w:color w:val="auto"/>
          <w:sz w:val="22"/>
        </w:rPr>
        <w:t xml:space="preserve">soit des terrains appartenant à des particuliers. </w:t>
      </w:r>
    </w:p>
    <w:p w14:paraId="3198D501" w14:textId="77777777" w:rsidR="00BF1462" w:rsidRDefault="00BF1462" w:rsidP="00B434A6">
      <w:pPr>
        <w:autoSpaceDE w:val="0"/>
        <w:autoSpaceDN w:val="0"/>
        <w:adjustRightInd w:val="0"/>
        <w:spacing w:after="0"/>
        <w:jc w:val="both"/>
        <w:rPr>
          <w:rFonts w:ascii="Arial" w:hAnsi="Arial" w:cs="Arial"/>
          <w:szCs w:val="24"/>
        </w:rPr>
      </w:pPr>
    </w:p>
    <w:p w14:paraId="4F304840" w14:textId="77777777" w:rsidR="00BF1462" w:rsidRPr="00BF1462" w:rsidRDefault="00BF1462" w:rsidP="00BF1462">
      <w:pPr>
        <w:autoSpaceDE w:val="0"/>
        <w:autoSpaceDN w:val="0"/>
        <w:adjustRightInd w:val="0"/>
        <w:jc w:val="both"/>
        <w:rPr>
          <w:rFonts w:ascii="Arial" w:hAnsi="Arial" w:cs="Arial"/>
          <w:szCs w:val="24"/>
        </w:rPr>
      </w:pPr>
      <w:r w:rsidRPr="00BF1462">
        <w:rPr>
          <w:rFonts w:ascii="Arial" w:hAnsi="Arial" w:cs="Arial"/>
          <w:szCs w:val="24"/>
        </w:rPr>
        <w:t xml:space="preserve">Dans le deuxième cas, ils doivent avoir fait l’objet d’un accord à l’amiable avec le propriétaire. Faute d’accord à l’amiable, l’Etat peut procéder à l’expropriation pour cause d’utilité publique. </w:t>
      </w:r>
    </w:p>
    <w:p w14:paraId="0A50A4A2" w14:textId="77777777" w:rsidR="00BF1462" w:rsidRDefault="00BF1462" w:rsidP="00BF1462">
      <w:pPr>
        <w:autoSpaceDE w:val="0"/>
        <w:autoSpaceDN w:val="0"/>
        <w:adjustRightInd w:val="0"/>
        <w:jc w:val="both"/>
        <w:rPr>
          <w:rFonts w:ascii="Arial" w:hAnsi="Arial" w:cs="Arial"/>
          <w:szCs w:val="24"/>
        </w:rPr>
      </w:pPr>
      <w:r w:rsidRPr="00BF1462">
        <w:rPr>
          <w:rFonts w:ascii="Arial" w:hAnsi="Arial" w:cs="Arial"/>
          <w:szCs w:val="24"/>
        </w:rPr>
        <w:t>La mise à disposition des terrains est prise par le Ministre chargé des Domaines suivant la législation et réglementation en vigueur ».</w:t>
      </w:r>
    </w:p>
    <w:p w14:paraId="52C8851C" w14:textId="77777777" w:rsidR="00BF1462" w:rsidRDefault="00BF1462" w:rsidP="00BF1462">
      <w:pPr>
        <w:autoSpaceDE w:val="0"/>
        <w:autoSpaceDN w:val="0"/>
        <w:adjustRightInd w:val="0"/>
        <w:jc w:val="both"/>
        <w:rPr>
          <w:rFonts w:ascii="Arial" w:hAnsi="Arial" w:cs="Arial"/>
          <w:szCs w:val="24"/>
        </w:rPr>
      </w:pPr>
      <w:r>
        <w:rPr>
          <w:rFonts w:ascii="Arial" w:hAnsi="Arial" w:cs="Arial"/>
          <w:szCs w:val="24"/>
        </w:rPr>
        <w:t xml:space="preserve">D’après l’article 41 du présent </w:t>
      </w:r>
      <w:r w:rsidRPr="00BF1462">
        <w:rPr>
          <w:rFonts w:ascii="Arial" w:hAnsi="Arial" w:cs="Arial"/>
          <w:szCs w:val="24"/>
        </w:rPr>
        <w:t>décret, « l’occupation temporaire des terrains privés des particuliers à l’extérieur de la Concession ou de l’Autorisation fera l’objet de négociations à l’amiable entre le Titulaire et les propriétaires en vue de leur utilisation pour les activités de construction, d’exploitation ou d’entretien des Installations ou pour accéder à ces Installations »</w:t>
      </w:r>
      <w:r w:rsidR="00EA4AE6">
        <w:rPr>
          <w:rFonts w:ascii="Arial" w:hAnsi="Arial" w:cs="Arial"/>
          <w:szCs w:val="24"/>
        </w:rPr>
        <w:t>.</w:t>
      </w:r>
    </w:p>
    <w:p w14:paraId="71A76E18" w14:textId="77777777" w:rsidR="00BF1462" w:rsidRPr="00BF1462" w:rsidRDefault="00BF1462" w:rsidP="00687DD2">
      <w:pPr>
        <w:pStyle w:val="Paragraphedeliste"/>
        <w:numPr>
          <w:ilvl w:val="0"/>
          <w:numId w:val="9"/>
        </w:numPr>
        <w:suppressAutoHyphens/>
        <w:spacing w:after="120" w:line="240" w:lineRule="auto"/>
        <w:ind w:left="714" w:hanging="357"/>
        <w:jc w:val="both"/>
        <w:rPr>
          <w:rFonts w:ascii="Arial" w:hAnsi="Arial" w:cs="Arial"/>
          <w:b/>
          <w:bCs/>
        </w:rPr>
      </w:pPr>
      <w:r w:rsidRPr="00BF1462">
        <w:rPr>
          <w:rFonts w:ascii="Arial" w:hAnsi="Arial" w:cs="Arial"/>
          <w:b/>
          <w:bCs/>
        </w:rPr>
        <w:t>Décret n°64-013 du 7 janvier 1964 portant réglementation générale en matière d’opération d’énergie électrique à usage public</w:t>
      </w:r>
    </w:p>
    <w:p w14:paraId="3F377047" w14:textId="77777777" w:rsidR="00BF1462" w:rsidRPr="00BF1462" w:rsidRDefault="36CB264A" w:rsidP="08964A2F">
      <w:pPr>
        <w:autoSpaceDE w:val="0"/>
        <w:autoSpaceDN w:val="0"/>
        <w:adjustRightInd w:val="0"/>
        <w:jc w:val="both"/>
        <w:rPr>
          <w:rFonts w:ascii="Arial" w:hAnsi="Arial" w:cs="Arial"/>
        </w:rPr>
      </w:pPr>
      <w:r w:rsidRPr="08964A2F">
        <w:rPr>
          <w:rFonts w:ascii="Arial" w:hAnsi="Arial" w:cs="Arial"/>
        </w:rPr>
        <w:t>Ce décret régit les installations de production, de transport, de distribution électrique à usage publi</w:t>
      </w:r>
      <w:r w:rsidR="694B8087" w:rsidRPr="08964A2F">
        <w:rPr>
          <w:rFonts w:ascii="Arial" w:hAnsi="Arial" w:cs="Arial"/>
        </w:rPr>
        <w:t>c</w:t>
      </w:r>
      <w:r w:rsidRPr="08964A2F">
        <w:rPr>
          <w:rFonts w:ascii="Arial" w:hAnsi="Arial" w:cs="Arial"/>
        </w:rPr>
        <w:t>.</w:t>
      </w:r>
    </w:p>
    <w:p w14:paraId="4CDB1A73" w14:textId="77777777" w:rsidR="00BF1462" w:rsidRDefault="00BF1462" w:rsidP="00BF1462">
      <w:pPr>
        <w:autoSpaceDE w:val="0"/>
        <w:autoSpaceDN w:val="0"/>
        <w:adjustRightInd w:val="0"/>
        <w:jc w:val="both"/>
        <w:rPr>
          <w:rFonts w:ascii="Arial" w:hAnsi="Arial" w:cs="Arial"/>
          <w:szCs w:val="24"/>
        </w:rPr>
      </w:pPr>
      <w:r w:rsidRPr="00BF1462">
        <w:rPr>
          <w:rFonts w:ascii="Arial" w:hAnsi="Arial" w:cs="Arial"/>
          <w:szCs w:val="24"/>
        </w:rPr>
        <w:t>L’article</w:t>
      </w:r>
      <w:r w:rsidR="00EA4AE6">
        <w:rPr>
          <w:rFonts w:ascii="Arial" w:hAnsi="Arial" w:cs="Arial"/>
          <w:szCs w:val="24"/>
        </w:rPr>
        <w:t xml:space="preserve"> </w:t>
      </w:r>
      <w:r w:rsidRPr="00BF1462">
        <w:rPr>
          <w:rFonts w:ascii="Arial" w:hAnsi="Arial" w:cs="Arial"/>
          <w:szCs w:val="24"/>
        </w:rPr>
        <w:t>8 de ce Décret mentionne que « tout nouvel exploita</w:t>
      </w:r>
      <w:r>
        <w:rPr>
          <w:rFonts w:ascii="Arial" w:hAnsi="Arial" w:cs="Arial"/>
          <w:szCs w:val="24"/>
        </w:rPr>
        <w:t>nt ou tout ancien exploitant ti</w:t>
      </w:r>
      <w:r w:rsidRPr="00BF1462">
        <w:rPr>
          <w:rFonts w:ascii="Arial" w:hAnsi="Arial" w:cs="Arial"/>
          <w:szCs w:val="24"/>
        </w:rPr>
        <w:t>tulaire d’un contrat de concession antérieurement établi, peut exercer, vis-à-vis des tiers, sous réserve de l’accomplissement des obligati</w:t>
      </w:r>
      <w:r>
        <w:rPr>
          <w:rFonts w:ascii="Arial" w:hAnsi="Arial" w:cs="Arial"/>
          <w:szCs w:val="24"/>
        </w:rPr>
        <w:t>ons résultant des lois et règle</w:t>
      </w:r>
      <w:r w:rsidRPr="00BF1462">
        <w:rPr>
          <w:rFonts w:ascii="Arial" w:hAnsi="Arial" w:cs="Arial"/>
          <w:szCs w:val="24"/>
        </w:rPr>
        <w:t>ments en vigueur, et de son contrat, les servitudes ci-après, relativement à l’exploitation concernée :</w:t>
      </w:r>
    </w:p>
    <w:p w14:paraId="0C9292A2" w14:textId="77777777" w:rsidR="00BF1462" w:rsidRPr="00B82B1E" w:rsidRDefault="00BF1462" w:rsidP="00687DD2">
      <w:pPr>
        <w:pStyle w:val="Paragraphedeliste"/>
        <w:numPr>
          <w:ilvl w:val="1"/>
          <w:numId w:val="9"/>
        </w:numPr>
        <w:autoSpaceDE w:val="0"/>
        <w:autoSpaceDN w:val="0"/>
        <w:adjustRightInd w:val="0"/>
        <w:jc w:val="both"/>
        <w:rPr>
          <w:rFonts w:ascii="Arial" w:hAnsi="Arial" w:cs="Arial"/>
          <w:szCs w:val="24"/>
        </w:rPr>
      </w:pPr>
      <w:r w:rsidRPr="00B82B1E">
        <w:rPr>
          <w:rFonts w:ascii="Arial" w:hAnsi="Arial" w:cs="Arial"/>
          <w:szCs w:val="24"/>
        </w:rPr>
        <w:t xml:space="preserve">Exécuter sur ou sous le domaine public et ses </w:t>
      </w:r>
      <w:r w:rsidR="00B82B1E">
        <w:rPr>
          <w:rFonts w:ascii="Arial" w:hAnsi="Arial" w:cs="Arial"/>
          <w:szCs w:val="24"/>
        </w:rPr>
        <w:t>dépendances tous les travaux né</w:t>
      </w:r>
      <w:r w:rsidRPr="00B82B1E">
        <w:rPr>
          <w:rFonts w:ascii="Arial" w:hAnsi="Arial" w:cs="Arial"/>
          <w:szCs w:val="24"/>
        </w:rPr>
        <w:t xml:space="preserve">cessaires à l’établissement, à l’exploitation et à l’entretien des ouvrages ; </w:t>
      </w:r>
    </w:p>
    <w:p w14:paraId="6E10170F" w14:textId="77777777" w:rsidR="00BF1462" w:rsidRPr="00B82B1E" w:rsidRDefault="00BF1462" w:rsidP="00687DD2">
      <w:pPr>
        <w:pStyle w:val="Paragraphedeliste"/>
        <w:numPr>
          <w:ilvl w:val="1"/>
          <w:numId w:val="9"/>
        </w:numPr>
        <w:autoSpaceDE w:val="0"/>
        <w:autoSpaceDN w:val="0"/>
        <w:adjustRightInd w:val="0"/>
        <w:jc w:val="both"/>
        <w:rPr>
          <w:rFonts w:ascii="Arial" w:hAnsi="Arial" w:cs="Arial"/>
          <w:szCs w:val="24"/>
        </w:rPr>
      </w:pPr>
      <w:r w:rsidRPr="00B82B1E">
        <w:rPr>
          <w:rFonts w:ascii="Arial" w:hAnsi="Arial" w:cs="Arial"/>
          <w:szCs w:val="24"/>
        </w:rPr>
        <w:t>Etablir à demeure, pour les conducteurs aériens d’une tension inférieure à</w:t>
      </w:r>
      <w:r w:rsidR="00EA4AE6">
        <w:rPr>
          <w:rFonts w:ascii="Arial" w:hAnsi="Arial" w:cs="Arial"/>
          <w:szCs w:val="24"/>
        </w:rPr>
        <w:t xml:space="preserve">         </w:t>
      </w:r>
      <w:r w:rsidRPr="00B82B1E">
        <w:rPr>
          <w:rFonts w:ascii="Arial" w:hAnsi="Arial" w:cs="Arial"/>
          <w:szCs w:val="24"/>
        </w:rPr>
        <w:t xml:space="preserve"> 5 000 volts et dans </w:t>
      </w:r>
      <w:r w:rsidR="005866FE">
        <w:rPr>
          <w:rFonts w:ascii="Arial" w:hAnsi="Arial" w:cs="Arial"/>
          <w:szCs w:val="24"/>
        </w:rPr>
        <w:t xml:space="preserve">de </w:t>
      </w:r>
      <w:r w:rsidRPr="00B82B1E">
        <w:rPr>
          <w:rFonts w:ascii="Arial" w:hAnsi="Arial" w:cs="Arial"/>
          <w:szCs w:val="24"/>
        </w:rPr>
        <w:t xml:space="preserve">conditions compatibles avec la sécurité des biens et des personnes, des supports et ancrages, tant sur les murs et façades donnant sur la voie publique que sur les toits et terrasses des bâtiments des propriétés privées à condition de n’y accéder que par l’extérieur et normalement ; </w:t>
      </w:r>
    </w:p>
    <w:p w14:paraId="7A517BDA" w14:textId="77777777" w:rsidR="00BF1462" w:rsidRPr="00B82B1E" w:rsidRDefault="00BF1462" w:rsidP="00687DD2">
      <w:pPr>
        <w:pStyle w:val="Paragraphedeliste"/>
        <w:numPr>
          <w:ilvl w:val="1"/>
          <w:numId w:val="9"/>
        </w:numPr>
        <w:autoSpaceDE w:val="0"/>
        <w:autoSpaceDN w:val="0"/>
        <w:adjustRightInd w:val="0"/>
        <w:jc w:val="both"/>
        <w:rPr>
          <w:rFonts w:ascii="Arial" w:hAnsi="Arial" w:cs="Arial"/>
          <w:szCs w:val="24"/>
        </w:rPr>
      </w:pPr>
      <w:r w:rsidRPr="00B82B1E">
        <w:rPr>
          <w:rFonts w:ascii="Arial" w:hAnsi="Arial" w:cs="Arial"/>
          <w:szCs w:val="24"/>
        </w:rPr>
        <w:t>Faire passer les conducteurs aériens au-dessus des propriétés privées mais à une distance telle, au-dessus des arbres fruitiers et des édifices, qu’on ne puisse les atteindre sans employer des moyens spéciaux ;</w:t>
      </w:r>
    </w:p>
    <w:p w14:paraId="23095F7F" w14:textId="77777777" w:rsidR="00BF1462" w:rsidRPr="00B82B1E" w:rsidRDefault="00BF1462" w:rsidP="00687DD2">
      <w:pPr>
        <w:pStyle w:val="Paragraphedeliste"/>
        <w:numPr>
          <w:ilvl w:val="1"/>
          <w:numId w:val="9"/>
        </w:numPr>
        <w:autoSpaceDE w:val="0"/>
        <w:autoSpaceDN w:val="0"/>
        <w:adjustRightInd w:val="0"/>
        <w:jc w:val="both"/>
        <w:rPr>
          <w:rFonts w:ascii="Arial" w:hAnsi="Arial" w:cs="Arial"/>
          <w:szCs w:val="24"/>
        </w:rPr>
      </w:pPr>
      <w:r w:rsidRPr="00B82B1E">
        <w:rPr>
          <w:rFonts w:ascii="Arial" w:hAnsi="Arial" w:cs="Arial"/>
          <w:szCs w:val="24"/>
        </w:rPr>
        <w:t xml:space="preserve">Etablir à demeure dans les propriétés privées non bâties, ni fermées de murs ou clôtures équivalentes, des supports aériens dont l’emprise ne saurait excéder un mètre carré ; </w:t>
      </w:r>
    </w:p>
    <w:p w14:paraId="39A14402" w14:textId="77777777" w:rsidR="00BF1462" w:rsidRPr="00B82B1E" w:rsidRDefault="00BF1462" w:rsidP="00687DD2">
      <w:pPr>
        <w:pStyle w:val="Paragraphedeliste"/>
        <w:numPr>
          <w:ilvl w:val="1"/>
          <w:numId w:val="9"/>
        </w:numPr>
        <w:autoSpaceDE w:val="0"/>
        <w:autoSpaceDN w:val="0"/>
        <w:adjustRightInd w:val="0"/>
        <w:jc w:val="both"/>
        <w:rPr>
          <w:rFonts w:ascii="Arial" w:hAnsi="Arial" w:cs="Arial"/>
          <w:szCs w:val="24"/>
        </w:rPr>
      </w:pPr>
      <w:r w:rsidRPr="00B82B1E">
        <w:rPr>
          <w:rFonts w:ascii="Arial" w:hAnsi="Arial" w:cs="Arial"/>
          <w:szCs w:val="24"/>
        </w:rPr>
        <w:t xml:space="preserve">Couper les arbres ou branches d’arbre dont le mouvement ou la chute peut occasionner des courts circuits ou des avaries aux installations ; </w:t>
      </w:r>
    </w:p>
    <w:p w14:paraId="7ABAD564" w14:textId="77777777" w:rsidR="00BF1462" w:rsidRDefault="00BF1462" w:rsidP="00687DD2">
      <w:pPr>
        <w:pStyle w:val="Paragraphedeliste"/>
        <w:numPr>
          <w:ilvl w:val="1"/>
          <w:numId w:val="9"/>
        </w:numPr>
        <w:autoSpaceDE w:val="0"/>
        <w:autoSpaceDN w:val="0"/>
        <w:adjustRightInd w:val="0"/>
        <w:jc w:val="both"/>
        <w:rPr>
          <w:rFonts w:ascii="Arial" w:hAnsi="Arial" w:cs="Arial"/>
          <w:szCs w:val="24"/>
        </w:rPr>
      </w:pPr>
      <w:r w:rsidRPr="00B82B1E">
        <w:rPr>
          <w:rFonts w:ascii="Arial" w:hAnsi="Arial" w:cs="Arial"/>
          <w:szCs w:val="24"/>
        </w:rPr>
        <w:t>Recourir si nécessaire, à l’expropriation, sous réserve que l’opération ou les travaux aient fait l’objet d’une déclaration d’utilité publique prise dans les formes réglementaire ».</w:t>
      </w:r>
    </w:p>
    <w:p w14:paraId="6C996745" w14:textId="77777777" w:rsidR="00B82B1E" w:rsidRPr="00327DB6" w:rsidRDefault="00B82B1E" w:rsidP="00B82B1E">
      <w:pPr>
        <w:autoSpaceDE w:val="0"/>
        <w:autoSpaceDN w:val="0"/>
        <w:adjustRightInd w:val="0"/>
        <w:jc w:val="both"/>
        <w:rPr>
          <w:rFonts w:ascii="Arial" w:hAnsi="Arial" w:cs="Arial"/>
          <w:szCs w:val="24"/>
        </w:rPr>
      </w:pPr>
      <w:r w:rsidRPr="00B82B1E">
        <w:rPr>
          <w:rFonts w:ascii="Arial" w:hAnsi="Arial" w:cs="Arial"/>
          <w:szCs w:val="24"/>
        </w:rPr>
        <w:t xml:space="preserve">Le décret précise aussi que, les servitudes prévues ci-dessus n’entraînent aucune dépossession et peuvent donner lieu au versement d’indemnités établies </w:t>
      </w:r>
      <w:r w:rsidRPr="00327DB6">
        <w:rPr>
          <w:rFonts w:ascii="Arial" w:hAnsi="Arial" w:cs="Arial"/>
          <w:szCs w:val="24"/>
        </w:rPr>
        <w:t>d’accord</w:t>
      </w:r>
      <w:r w:rsidR="003104AE" w:rsidRPr="00327DB6">
        <w:rPr>
          <w:rFonts w:ascii="Arial" w:hAnsi="Arial" w:cs="Arial"/>
          <w:szCs w:val="24"/>
        </w:rPr>
        <w:t xml:space="preserve"> </w:t>
      </w:r>
      <w:r w:rsidR="003104AE" w:rsidRPr="00742D67">
        <w:rPr>
          <w:rFonts w:ascii="Arial" w:hAnsi="Arial" w:cs="Arial"/>
          <w:szCs w:val="24"/>
        </w:rPr>
        <w:t>entre les parties</w:t>
      </w:r>
      <w:r w:rsidR="0080479A" w:rsidRPr="00742D67">
        <w:rPr>
          <w:rFonts w:ascii="Arial" w:hAnsi="Arial" w:cs="Arial"/>
          <w:szCs w:val="24"/>
        </w:rPr>
        <w:t>.</w:t>
      </w:r>
    </w:p>
    <w:p w14:paraId="541BAB57" w14:textId="77777777" w:rsidR="00B82B1E" w:rsidRDefault="00B82B1E" w:rsidP="00B82B1E">
      <w:pPr>
        <w:autoSpaceDE w:val="0"/>
        <w:autoSpaceDN w:val="0"/>
        <w:adjustRightInd w:val="0"/>
        <w:jc w:val="both"/>
        <w:rPr>
          <w:rFonts w:ascii="Arial" w:hAnsi="Arial" w:cs="Arial"/>
          <w:szCs w:val="24"/>
        </w:rPr>
      </w:pPr>
      <w:r w:rsidRPr="00B82B1E">
        <w:rPr>
          <w:rFonts w:ascii="Arial" w:hAnsi="Arial" w:cs="Arial"/>
          <w:szCs w:val="24"/>
        </w:rPr>
        <w:t>Dans son article 12, le même décret mentionne que « en cours d’exploitation, aucun travail susceptible d’aggraver les servitudes, dont l’exercice aura été autorisé, ne peut être entrepris que moyennant consentement é</w:t>
      </w:r>
      <w:r>
        <w:rPr>
          <w:rFonts w:ascii="Arial" w:hAnsi="Arial" w:cs="Arial"/>
          <w:szCs w:val="24"/>
        </w:rPr>
        <w:t>crit du propriétaire ou observa</w:t>
      </w:r>
      <w:r w:rsidRPr="00B82B1E">
        <w:rPr>
          <w:rFonts w:ascii="Arial" w:hAnsi="Arial" w:cs="Arial"/>
          <w:szCs w:val="24"/>
        </w:rPr>
        <w:t>tion des formalités et obligations prescrites pour l’établissement de la servitude.</w:t>
      </w:r>
      <w:r>
        <w:rPr>
          <w:rFonts w:ascii="Arial" w:hAnsi="Arial" w:cs="Arial"/>
          <w:szCs w:val="24"/>
        </w:rPr>
        <w:t xml:space="preserve"> </w:t>
      </w:r>
      <w:r w:rsidRPr="00B82B1E">
        <w:rPr>
          <w:rFonts w:ascii="Arial" w:hAnsi="Arial" w:cs="Arial"/>
          <w:szCs w:val="24"/>
        </w:rPr>
        <w:t>Les travaux de gros entretien et de renouvellement ne peuvent être exécutés qu’après un préavis de huit jours</w:t>
      </w:r>
      <w:r w:rsidR="0080479A">
        <w:rPr>
          <w:rFonts w:ascii="Arial" w:hAnsi="Arial" w:cs="Arial"/>
          <w:szCs w:val="24"/>
        </w:rPr>
        <w:t>,</w:t>
      </w:r>
      <w:r w:rsidRPr="00B82B1E">
        <w:rPr>
          <w:rFonts w:ascii="Arial" w:hAnsi="Arial" w:cs="Arial"/>
          <w:szCs w:val="24"/>
        </w:rPr>
        <w:t xml:space="preserve"> adressé au propriéta</w:t>
      </w:r>
      <w:r>
        <w:rPr>
          <w:rFonts w:ascii="Arial" w:hAnsi="Arial" w:cs="Arial"/>
          <w:szCs w:val="24"/>
        </w:rPr>
        <w:t>ire ; s’il y a urgence, ils peu</w:t>
      </w:r>
      <w:r w:rsidRPr="00B82B1E">
        <w:rPr>
          <w:rFonts w:ascii="Arial" w:hAnsi="Arial" w:cs="Arial"/>
          <w:szCs w:val="24"/>
        </w:rPr>
        <w:t>vent l’être dans délai, après avis écrit et conforme du contrôle général de l’électricité qui en donnera connaissance aux autorités locales</w:t>
      </w:r>
      <w:r w:rsidR="00EA4AE6">
        <w:rPr>
          <w:rFonts w:ascii="Arial" w:hAnsi="Arial" w:cs="Arial"/>
          <w:szCs w:val="24"/>
        </w:rPr>
        <w:t xml:space="preserve"> </w:t>
      </w:r>
      <w:r w:rsidR="00EA4AE6" w:rsidRPr="00EA4AE6">
        <w:rPr>
          <w:rFonts w:ascii="Arial" w:hAnsi="Arial" w:cs="Arial"/>
          <w:szCs w:val="24"/>
        </w:rPr>
        <w:t>».</w:t>
      </w:r>
    </w:p>
    <w:p w14:paraId="44890A63" w14:textId="77777777" w:rsidR="00B82B1E" w:rsidRPr="00B82B1E" w:rsidRDefault="00B82B1E" w:rsidP="00687DD2">
      <w:pPr>
        <w:pStyle w:val="Paragraphedeliste"/>
        <w:numPr>
          <w:ilvl w:val="0"/>
          <w:numId w:val="9"/>
        </w:numPr>
        <w:suppressAutoHyphens/>
        <w:spacing w:after="120" w:line="240" w:lineRule="auto"/>
        <w:ind w:left="714" w:hanging="357"/>
        <w:jc w:val="both"/>
        <w:rPr>
          <w:rFonts w:ascii="Arial" w:hAnsi="Arial" w:cs="Arial"/>
          <w:b/>
          <w:bCs/>
        </w:rPr>
      </w:pPr>
      <w:r w:rsidRPr="00B82B1E">
        <w:rPr>
          <w:rFonts w:ascii="Arial" w:hAnsi="Arial" w:cs="Arial"/>
          <w:b/>
          <w:bCs/>
        </w:rPr>
        <w:t>Décret n°60-294 du 27 Août 1960 portant détermination des conditions techniques auxquelles doivent satisfaire les distributions d'énergie électrique</w:t>
      </w:r>
    </w:p>
    <w:p w14:paraId="58605360" w14:textId="77777777" w:rsidR="00B82B1E" w:rsidRPr="00B82B1E" w:rsidRDefault="00B82B1E" w:rsidP="00B82B1E">
      <w:pPr>
        <w:autoSpaceDE w:val="0"/>
        <w:autoSpaceDN w:val="0"/>
        <w:adjustRightInd w:val="0"/>
        <w:jc w:val="both"/>
        <w:rPr>
          <w:rFonts w:ascii="Arial" w:hAnsi="Arial" w:cs="Arial"/>
          <w:szCs w:val="24"/>
        </w:rPr>
      </w:pPr>
      <w:r w:rsidRPr="00B82B1E">
        <w:rPr>
          <w:rFonts w:ascii="Arial" w:hAnsi="Arial" w:cs="Arial"/>
          <w:szCs w:val="24"/>
        </w:rPr>
        <w:t>Ce décret relate que les dispositions techniques pour les ouvrages de distributions d’énergie électrique, ainsi que les conditions de leur exécution et de leur entretien, doivent être conformes aux règles de l’art. Elles doivent assurer d’une façon générale le maintien de l’écoulement des eaux, de l’accès des maisons et des propriétés, des télécommunications, de la sécurité et de la commodité de la circulation sur les voies publiques empruntées, la sauvegarde des plantations et des paysages, ainsi que la sécurité des services publics, celle du personnel de l’exploitation et des habitants des communes traversées.</w:t>
      </w:r>
    </w:p>
    <w:p w14:paraId="026B7ACC" w14:textId="77777777" w:rsidR="00B82B1E" w:rsidRPr="00B82B1E" w:rsidRDefault="00B82B1E" w:rsidP="00B82B1E">
      <w:pPr>
        <w:autoSpaceDE w:val="0"/>
        <w:autoSpaceDN w:val="0"/>
        <w:adjustRightInd w:val="0"/>
        <w:jc w:val="both"/>
        <w:rPr>
          <w:rFonts w:ascii="Arial" w:hAnsi="Arial" w:cs="Arial"/>
          <w:szCs w:val="24"/>
        </w:rPr>
      </w:pPr>
      <w:r w:rsidRPr="00B82B1E">
        <w:rPr>
          <w:rFonts w:ascii="Arial" w:hAnsi="Arial" w:cs="Arial"/>
          <w:szCs w:val="24"/>
        </w:rPr>
        <w:t>Les clauses de ce décret, bien que techniques, ont également une finalité environnementale et sociale</w:t>
      </w:r>
      <w:r w:rsidR="005866FE">
        <w:rPr>
          <w:rFonts w:ascii="Arial" w:hAnsi="Arial" w:cs="Arial"/>
          <w:szCs w:val="24"/>
        </w:rPr>
        <w:t>.</w:t>
      </w:r>
    </w:p>
    <w:p w14:paraId="70528D51" w14:textId="77777777" w:rsidR="00B82B1E" w:rsidRPr="00B82B1E" w:rsidRDefault="00B82B1E" w:rsidP="00B82B1E">
      <w:pPr>
        <w:autoSpaceDE w:val="0"/>
        <w:autoSpaceDN w:val="0"/>
        <w:adjustRightInd w:val="0"/>
        <w:jc w:val="both"/>
        <w:rPr>
          <w:rFonts w:ascii="Arial" w:hAnsi="Arial" w:cs="Arial"/>
          <w:szCs w:val="24"/>
        </w:rPr>
      </w:pPr>
      <w:r w:rsidRPr="00B82B1E">
        <w:rPr>
          <w:rFonts w:ascii="Arial" w:hAnsi="Arial" w:cs="Arial"/>
          <w:szCs w:val="24"/>
        </w:rPr>
        <w:t>Le décret soumet les ouvrages de distribution d’énergie électrique à différentes normes techniques dépendant de la catégorie dans laquelle ces ouvrages se situent.</w:t>
      </w:r>
    </w:p>
    <w:p w14:paraId="2A0458E3" w14:textId="77777777" w:rsidR="00B82B1E" w:rsidRPr="00B82B1E" w:rsidRDefault="00B82B1E" w:rsidP="00B82B1E">
      <w:pPr>
        <w:autoSpaceDE w:val="0"/>
        <w:autoSpaceDN w:val="0"/>
        <w:adjustRightInd w:val="0"/>
        <w:jc w:val="both"/>
        <w:rPr>
          <w:rFonts w:ascii="Arial" w:hAnsi="Arial" w:cs="Arial"/>
          <w:szCs w:val="24"/>
        </w:rPr>
      </w:pPr>
      <w:r w:rsidRPr="00B82B1E">
        <w:rPr>
          <w:rFonts w:ascii="Arial" w:hAnsi="Arial" w:cs="Arial"/>
          <w:szCs w:val="24"/>
        </w:rPr>
        <w:t xml:space="preserve">Ainsi, le décret traite des normes techniques à respecter pour : </w:t>
      </w:r>
    </w:p>
    <w:p w14:paraId="03D2BBA2" w14:textId="77777777" w:rsidR="00B82B1E" w:rsidRDefault="00B82B1E" w:rsidP="00687DD2">
      <w:pPr>
        <w:pStyle w:val="Default"/>
        <w:numPr>
          <w:ilvl w:val="1"/>
          <w:numId w:val="9"/>
        </w:numPr>
        <w:spacing w:after="4"/>
        <w:rPr>
          <w:sz w:val="22"/>
          <w:szCs w:val="22"/>
        </w:rPr>
      </w:pPr>
      <w:r>
        <w:rPr>
          <w:sz w:val="22"/>
          <w:szCs w:val="22"/>
        </w:rPr>
        <w:t xml:space="preserve">les supports, isolateurs, conducteurs et résistance mécanique des canalisations aériennes </w:t>
      </w:r>
    </w:p>
    <w:p w14:paraId="4674EE0C" w14:textId="77777777" w:rsidR="00B82B1E" w:rsidRDefault="00B82B1E" w:rsidP="00687DD2">
      <w:pPr>
        <w:pStyle w:val="Default"/>
        <w:numPr>
          <w:ilvl w:val="1"/>
          <w:numId w:val="9"/>
        </w:numPr>
        <w:spacing w:after="4"/>
        <w:rPr>
          <w:sz w:val="22"/>
          <w:szCs w:val="22"/>
        </w:rPr>
      </w:pPr>
      <w:r>
        <w:rPr>
          <w:sz w:val="22"/>
          <w:szCs w:val="22"/>
        </w:rPr>
        <w:t xml:space="preserve">les conditions générales d’établissement, du voisinage des conduites de gaz et des regards des canalisations souterraines </w:t>
      </w:r>
    </w:p>
    <w:p w14:paraId="0EDD250B" w14:textId="77777777" w:rsidR="00B82B1E" w:rsidRDefault="00B82B1E" w:rsidP="00687DD2">
      <w:pPr>
        <w:pStyle w:val="Default"/>
        <w:numPr>
          <w:ilvl w:val="1"/>
          <w:numId w:val="9"/>
        </w:numPr>
        <w:spacing w:after="4"/>
        <w:rPr>
          <w:sz w:val="22"/>
          <w:szCs w:val="22"/>
        </w:rPr>
      </w:pPr>
      <w:r>
        <w:rPr>
          <w:sz w:val="22"/>
          <w:szCs w:val="22"/>
        </w:rPr>
        <w:t xml:space="preserve">les sous-stations : postes de transformation et installations diverses </w:t>
      </w:r>
    </w:p>
    <w:p w14:paraId="54E2D2F0" w14:textId="77777777" w:rsidR="00B82B1E" w:rsidRDefault="00B82B1E" w:rsidP="00687DD2">
      <w:pPr>
        <w:pStyle w:val="Default"/>
        <w:numPr>
          <w:ilvl w:val="1"/>
          <w:numId w:val="9"/>
        </w:numPr>
        <w:spacing w:after="4"/>
        <w:rPr>
          <w:sz w:val="22"/>
          <w:szCs w:val="22"/>
        </w:rPr>
      </w:pPr>
      <w:r>
        <w:rPr>
          <w:sz w:val="22"/>
          <w:szCs w:val="22"/>
        </w:rPr>
        <w:t xml:space="preserve">les branchements particuliers (conducteurs aériens, conducteurs souterrains) </w:t>
      </w:r>
    </w:p>
    <w:p w14:paraId="1CC32704" w14:textId="77777777" w:rsidR="00B82B1E" w:rsidRDefault="00B82B1E" w:rsidP="00687DD2">
      <w:pPr>
        <w:pStyle w:val="Default"/>
        <w:numPr>
          <w:ilvl w:val="1"/>
          <w:numId w:val="9"/>
        </w:numPr>
        <w:spacing w:after="4"/>
        <w:rPr>
          <w:sz w:val="22"/>
          <w:szCs w:val="22"/>
        </w:rPr>
      </w:pPr>
      <w:r>
        <w:rPr>
          <w:sz w:val="22"/>
          <w:szCs w:val="22"/>
        </w:rPr>
        <w:t xml:space="preserve">la traversée des cours d’eau navigables ou flottables et des canaux de navigation </w:t>
      </w:r>
    </w:p>
    <w:p w14:paraId="05BC9887" w14:textId="77777777" w:rsidR="00B82B1E" w:rsidRDefault="00B82B1E" w:rsidP="00687DD2">
      <w:pPr>
        <w:pStyle w:val="Default"/>
        <w:numPr>
          <w:ilvl w:val="1"/>
          <w:numId w:val="9"/>
        </w:numPr>
        <w:spacing w:after="4"/>
        <w:rPr>
          <w:sz w:val="22"/>
          <w:szCs w:val="22"/>
        </w:rPr>
      </w:pPr>
      <w:r>
        <w:rPr>
          <w:sz w:val="22"/>
          <w:szCs w:val="22"/>
        </w:rPr>
        <w:t xml:space="preserve">la traversée et voisinage d’autres canalisations </w:t>
      </w:r>
    </w:p>
    <w:p w14:paraId="2F341EE1" w14:textId="77777777" w:rsidR="00B82B1E" w:rsidRDefault="00B82B1E" w:rsidP="00687DD2">
      <w:pPr>
        <w:pStyle w:val="Default"/>
        <w:numPr>
          <w:ilvl w:val="1"/>
          <w:numId w:val="9"/>
        </w:numPr>
        <w:spacing w:after="4"/>
        <w:rPr>
          <w:sz w:val="22"/>
          <w:szCs w:val="22"/>
        </w:rPr>
      </w:pPr>
      <w:r>
        <w:rPr>
          <w:sz w:val="22"/>
          <w:szCs w:val="22"/>
        </w:rPr>
        <w:t xml:space="preserve">la traversée de chemins de fer des grands réseaux d’intérêt général </w:t>
      </w:r>
    </w:p>
    <w:p w14:paraId="7D915B2D" w14:textId="77777777" w:rsidR="00B82B1E" w:rsidRDefault="00B82B1E" w:rsidP="00687DD2">
      <w:pPr>
        <w:pStyle w:val="Default"/>
        <w:numPr>
          <w:ilvl w:val="1"/>
          <w:numId w:val="9"/>
        </w:numPr>
        <w:spacing w:after="4"/>
        <w:rPr>
          <w:sz w:val="22"/>
          <w:szCs w:val="22"/>
        </w:rPr>
      </w:pPr>
      <w:r>
        <w:rPr>
          <w:sz w:val="22"/>
          <w:szCs w:val="22"/>
        </w:rPr>
        <w:t xml:space="preserve">la traversée de chemins de fer secondaires d’intérêt général et de voies ferrées d’intérêt local </w:t>
      </w:r>
    </w:p>
    <w:p w14:paraId="4C63CB74" w14:textId="77777777" w:rsidR="00B82B1E" w:rsidRDefault="00B82B1E" w:rsidP="00687DD2">
      <w:pPr>
        <w:pStyle w:val="Default"/>
        <w:numPr>
          <w:ilvl w:val="1"/>
          <w:numId w:val="9"/>
        </w:numPr>
        <w:rPr>
          <w:sz w:val="22"/>
          <w:szCs w:val="22"/>
        </w:rPr>
      </w:pPr>
      <w:r>
        <w:rPr>
          <w:sz w:val="22"/>
          <w:szCs w:val="22"/>
        </w:rPr>
        <w:t xml:space="preserve">la protection des lignes de télécommunication </w:t>
      </w:r>
    </w:p>
    <w:p w14:paraId="2B80EF98" w14:textId="77777777" w:rsidR="00B82B1E" w:rsidRPr="00B82B1E" w:rsidRDefault="00B82B1E" w:rsidP="00B434A6">
      <w:pPr>
        <w:autoSpaceDE w:val="0"/>
        <w:autoSpaceDN w:val="0"/>
        <w:adjustRightInd w:val="0"/>
        <w:spacing w:after="0"/>
        <w:jc w:val="both"/>
        <w:rPr>
          <w:rFonts w:ascii="Arial" w:hAnsi="Arial" w:cs="Arial"/>
          <w:szCs w:val="24"/>
        </w:rPr>
      </w:pPr>
    </w:p>
    <w:p w14:paraId="0C745484" w14:textId="77777777" w:rsidR="00B82B1E" w:rsidRPr="00B82B1E" w:rsidRDefault="00A3503B" w:rsidP="00B82B1E">
      <w:pPr>
        <w:autoSpaceDE w:val="0"/>
        <w:autoSpaceDN w:val="0"/>
        <w:adjustRightInd w:val="0"/>
        <w:jc w:val="both"/>
        <w:rPr>
          <w:rFonts w:ascii="Arial" w:hAnsi="Arial" w:cs="Arial"/>
          <w:szCs w:val="24"/>
        </w:rPr>
      </w:pPr>
      <w:r w:rsidRPr="00A3503B">
        <w:rPr>
          <w:rFonts w:ascii="Arial" w:hAnsi="Arial" w:cs="Arial"/>
          <w:szCs w:val="24"/>
        </w:rPr>
        <w:t>Ce décret consacre également son titre III aux installations de dist</w:t>
      </w:r>
      <w:r>
        <w:rPr>
          <w:rFonts w:ascii="Arial" w:hAnsi="Arial" w:cs="Arial"/>
          <w:szCs w:val="24"/>
        </w:rPr>
        <w:t>ributions élec</w:t>
      </w:r>
      <w:r w:rsidRPr="00A3503B">
        <w:rPr>
          <w:rFonts w:ascii="Arial" w:hAnsi="Arial" w:cs="Arial"/>
          <w:szCs w:val="24"/>
        </w:rPr>
        <w:t xml:space="preserve">triques rurales. Il dispose que des dérogations à certaines prescriptions du décret sont admises pour certaines installations de distribution d’énergie électrique dont les localisations seront déterminées par décision du Ministre </w:t>
      </w:r>
      <w:r w:rsidR="00EA4AE6">
        <w:rPr>
          <w:rFonts w:ascii="Arial" w:hAnsi="Arial" w:cs="Arial"/>
          <w:szCs w:val="24"/>
        </w:rPr>
        <w:t xml:space="preserve">en </w:t>
      </w:r>
      <w:r w:rsidRPr="00A3503B">
        <w:rPr>
          <w:rFonts w:ascii="Arial" w:hAnsi="Arial" w:cs="Arial"/>
          <w:szCs w:val="24"/>
        </w:rPr>
        <w:t>charg</w:t>
      </w:r>
      <w:r w:rsidR="00EA4AE6">
        <w:rPr>
          <w:rFonts w:ascii="Arial" w:hAnsi="Arial" w:cs="Arial"/>
          <w:szCs w:val="24"/>
        </w:rPr>
        <w:t>e</w:t>
      </w:r>
      <w:r w:rsidRPr="00A3503B">
        <w:rPr>
          <w:rFonts w:ascii="Arial" w:hAnsi="Arial" w:cs="Arial"/>
          <w:szCs w:val="24"/>
        </w:rPr>
        <w:t xml:space="preserve"> de l’énergie.</w:t>
      </w:r>
    </w:p>
    <w:p w14:paraId="65DB0B91" w14:textId="77777777" w:rsidR="00B82B1E" w:rsidRPr="00B82B1E" w:rsidRDefault="00B82B1E" w:rsidP="00687DD2">
      <w:pPr>
        <w:pStyle w:val="Paragraphedeliste"/>
        <w:numPr>
          <w:ilvl w:val="0"/>
          <w:numId w:val="9"/>
        </w:numPr>
        <w:suppressAutoHyphens/>
        <w:spacing w:after="120" w:line="240" w:lineRule="auto"/>
        <w:ind w:left="714" w:hanging="357"/>
        <w:jc w:val="both"/>
        <w:rPr>
          <w:rFonts w:ascii="Arial" w:hAnsi="Arial" w:cs="Arial"/>
          <w:b/>
          <w:bCs/>
        </w:rPr>
      </w:pPr>
      <w:r w:rsidRPr="00B82B1E">
        <w:rPr>
          <w:rFonts w:ascii="Arial" w:hAnsi="Arial" w:cs="Arial"/>
          <w:b/>
          <w:bCs/>
        </w:rPr>
        <w:t>Décret n° 62-535 du 31 octobre 1962 portant déterminant des conditions techniques auxquelles doivent satisfaire les installations d’énergie électrique</w:t>
      </w:r>
    </w:p>
    <w:p w14:paraId="1F579BAF" w14:textId="77777777" w:rsidR="00B82B1E" w:rsidRDefault="00B82B1E" w:rsidP="00B82B1E">
      <w:pPr>
        <w:autoSpaceDE w:val="0"/>
        <w:autoSpaceDN w:val="0"/>
        <w:adjustRightInd w:val="0"/>
        <w:jc w:val="both"/>
        <w:rPr>
          <w:rFonts w:ascii="Arial" w:hAnsi="Arial" w:cs="Arial"/>
          <w:szCs w:val="24"/>
        </w:rPr>
      </w:pPr>
      <w:r>
        <w:rPr>
          <w:rFonts w:ascii="Arial" w:hAnsi="Arial" w:cs="Arial"/>
          <w:szCs w:val="24"/>
        </w:rPr>
        <w:t xml:space="preserve">Ce Décret modifie le </w:t>
      </w:r>
      <w:r w:rsidRPr="00B82B1E">
        <w:rPr>
          <w:rFonts w:ascii="Arial" w:hAnsi="Arial" w:cs="Arial"/>
          <w:szCs w:val="24"/>
        </w:rPr>
        <w:t>Décret n°60-294 du 27 Août 1960</w:t>
      </w:r>
      <w:r>
        <w:rPr>
          <w:rFonts w:ascii="Arial" w:hAnsi="Arial" w:cs="Arial"/>
          <w:szCs w:val="24"/>
        </w:rPr>
        <w:t xml:space="preserve"> qui </w:t>
      </w:r>
      <w:r w:rsidRPr="00B82B1E">
        <w:rPr>
          <w:rFonts w:ascii="Arial" w:hAnsi="Arial" w:cs="Arial"/>
          <w:szCs w:val="24"/>
        </w:rPr>
        <w:t>détermin</w:t>
      </w:r>
      <w:r>
        <w:rPr>
          <w:rFonts w:ascii="Arial" w:hAnsi="Arial" w:cs="Arial"/>
          <w:szCs w:val="24"/>
        </w:rPr>
        <w:t>e les conditions techniques aux</w:t>
      </w:r>
      <w:r w:rsidRPr="00B82B1E">
        <w:rPr>
          <w:rFonts w:ascii="Arial" w:hAnsi="Arial" w:cs="Arial"/>
          <w:szCs w:val="24"/>
        </w:rPr>
        <w:t>quelles doivent satisfaire les distributions d’énergie électrique</w:t>
      </w:r>
      <w:r>
        <w:rPr>
          <w:rFonts w:ascii="Arial" w:hAnsi="Arial" w:cs="Arial"/>
          <w:szCs w:val="24"/>
        </w:rPr>
        <w:t xml:space="preserve">. </w:t>
      </w:r>
    </w:p>
    <w:p w14:paraId="7EFC5286" w14:textId="77777777" w:rsidR="00A3503B" w:rsidRPr="00A3503B" w:rsidRDefault="00EA4AE6" w:rsidP="00A3503B">
      <w:pPr>
        <w:autoSpaceDE w:val="0"/>
        <w:autoSpaceDN w:val="0"/>
        <w:adjustRightInd w:val="0"/>
        <w:jc w:val="both"/>
        <w:rPr>
          <w:rFonts w:ascii="Arial" w:hAnsi="Arial" w:cs="Arial"/>
          <w:szCs w:val="24"/>
        </w:rPr>
      </w:pPr>
      <w:r>
        <w:rPr>
          <w:rFonts w:ascii="Arial" w:hAnsi="Arial" w:cs="Arial"/>
          <w:szCs w:val="24"/>
        </w:rPr>
        <w:t>I</w:t>
      </w:r>
      <w:r w:rsidR="005866FE">
        <w:rPr>
          <w:rFonts w:ascii="Arial" w:hAnsi="Arial" w:cs="Arial"/>
          <w:szCs w:val="24"/>
        </w:rPr>
        <w:t>I</w:t>
      </w:r>
      <w:r w:rsidR="00A3503B" w:rsidRPr="00A3503B">
        <w:rPr>
          <w:rFonts w:ascii="Arial" w:hAnsi="Arial" w:cs="Arial"/>
          <w:szCs w:val="24"/>
        </w:rPr>
        <w:t xml:space="preserve"> classifie en trois caté</w:t>
      </w:r>
      <w:r w:rsidR="00A3503B">
        <w:rPr>
          <w:rFonts w:ascii="Arial" w:hAnsi="Arial" w:cs="Arial"/>
          <w:szCs w:val="24"/>
        </w:rPr>
        <w:t>gories les ouvrages de distribu</w:t>
      </w:r>
      <w:r w:rsidR="00A3503B" w:rsidRPr="00A3503B">
        <w:rPr>
          <w:rFonts w:ascii="Arial" w:hAnsi="Arial" w:cs="Arial"/>
          <w:szCs w:val="24"/>
        </w:rPr>
        <w:t xml:space="preserve">tion selon la puissance des tensions : </w:t>
      </w:r>
    </w:p>
    <w:p w14:paraId="30F6E999" w14:textId="77777777" w:rsidR="00A3503B" w:rsidRDefault="00A3503B" w:rsidP="00687DD2">
      <w:pPr>
        <w:pStyle w:val="Default"/>
        <w:numPr>
          <w:ilvl w:val="1"/>
          <w:numId w:val="9"/>
        </w:numPr>
        <w:spacing w:after="4"/>
        <w:rPr>
          <w:sz w:val="22"/>
          <w:szCs w:val="22"/>
        </w:rPr>
      </w:pPr>
      <w:r>
        <w:rPr>
          <w:sz w:val="22"/>
          <w:szCs w:val="22"/>
        </w:rPr>
        <w:t>1</w:t>
      </w:r>
      <w:r w:rsidRPr="00A3503B">
        <w:rPr>
          <w:sz w:val="22"/>
          <w:szCs w:val="22"/>
        </w:rPr>
        <w:t xml:space="preserve">ère </w:t>
      </w:r>
      <w:r>
        <w:rPr>
          <w:sz w:val="22"/>
          <w:szCs w:val="22"/>
        </w:rPr>
        <w:t xml:space="preserve">catégorie pour les tensions qui ne dépassent pas 430 volts en courant alternatif ou 600 volts en courant continu ; </w:t>
      </w:r>
    </w:p>
    <w:p w14:paraId="0B6C636F" w14:textId="77777777" w:rsidR="00A3503B" w:rsidRDefault="00A3503B" w:rsidP="00687DD2">
      <w:pPr>
        <w:pStyle w:val="Default"/>
        <w:numPr>
          <w:ilvl w:val="1"/>
          <w:numId w:val="9"/>
        </w:numPr>
        <w:spacing w:after="4"/>
        <w:rPr>
          <w:sz w:val="22"/>
          <w:szCs w:val="22"/>
        </w:rPr>
      </w:pPr>
      <w:r>
        <w:rPr>
          <w:sz w:val="22"/>
          <w:szCs w:val="22"/>
        </w:rPr>
        <w:t>2</w:t>
      </w:r>
      <w:r w:rsidRPr="00A3503B">
        <w:rPr>
          <w:sz w:val="22"/>
          <w:szCs w:val="22"/>
        </w:rPr>
        <w:t xml:space="preserve">ème </w:t>
      </w:r>
      <w:r>
        <w:rPr>
          <w:sz w:val="22"/>
          <w:szCs w:val="22"/>
        </w:rPr>
        <w:t>catégorie pour les ouvrages de tension qui dépassent les limites ci-dessus sans atteindre 57</w:t>
      </w:r>
      <w:r w:rsidR="00EA4AE6">
        <w:rPr>
          <w:sz w:val="22"/>
          <w:szCs w:val="22"/>
        </w:rPr>
        <w:t xml:space="preserve"> </w:t>
      </w:r>
      <w:r>
        <w:rPr>
          <w:sz w:val="22"/>
          <w:szCs w:val="22"/>
        </w:rPr>
        <w:t xml:space="preserve">000 volts </w:t>
      </w:r>
    </w:p>
    <w:p w14:paraId="582F4C6D" w14:textId="77777777" w:rsidR="00A3503B" w:rsidRDefault="00A3503B" w:rsidP="00687DD2">
      <w:pPr>
        <w:pStyle w:val="Default"/>
        <w:numPr>
          <w:ilvl w:val="1"/>
          <w:numId w:val="9"/>
        </w:numPr>
        <w:spacing w:after="4"/>
        <w:rPr>
          <w:sz w:val="22"/>
          <w:szCs w:val="22"/>
        </w:rPr>
      </w:pPr>
      <w:r>
        <w:rPr>
          <w:sz w:val="22"/>
          <w:szCs w:val="22"/>
        </w:rPr>
        <w:t>3</w:t>
      </w:r>
      <w:r w:rsidRPr="00A3503B">
        <w:rPr>
          <w:sz w:val="22"/>
          <w:szCs w:val="22"/>
        </w:rPr>
        <w:t xml:space="preserve">ème </w:t>
      </w:r>
      <w:r>
        <w:rPr>
          <w:sz w:val="22"/>
          <w:szCs w:val="22"/>
        </w:rPr>
        <w:t xml:space="preserve">catégorie les ouvrages pour lesquels la plus grande de ces tensions égale ou dépasse 57 000 volts. </w:t>
      </w:r>
    </w:p>
    <w:p w14:paraId="2993C6CB" w14:textId="77777777" w:rsidR="00B82B1E" w:rsidRDefault="00B82B1E" w:rsidP="00B434A6">
      <w:pPr>
        <w:autoSpaceDE w:val="0"/>
        <w:autoSpaceDN w:val="0"/>
        <w:adjustRightInd w:val="0"/>
        <w:spacing w:after="0"/>
        <w:jc w:val="both"/>
        <w:rPr>
          <w:rFonts w:ascii="Arial" w:hAnsi="Arial" w:cs="Arial"/>
          <w:szCs w:val="24"/>
        </w:rPr>
      </w:pPr>
    </w:p>
    <w:p w14:paraId="253E2161" w14:textId="77777777" w:rsidR="00B82B1E" w:rsidRDefault="00A3503B" w:rsidP="00B82B1E">
      <w:pPr>
        <w:autoSpaceDE w:val="0"/>
        <w:autoSpaceDN w:val="0"/>
        <w:adjustRightInd w:val="0"/>
        <w:jc w:val="both"/>
        <w:rPr>
          <w:rFonts w:ascii="Arial" w:hAnsi="Arial" w:cs="Arial"/>
          <w:szCs w:val="24"/>
        </w:rPr>
      </w:pPr>
      <w:r w:rsidRPr="00A3503B">
        <w:rPr>
          <w:rFonts w:ascii="Arial" w:hAnsi="Arial" w:cs="Arial"/>
          <w:szCs w:val="24"/>
        </w:rPr>
        <w:t>Il y a des dispositions communes pour les 3 catégo</w:t>
      </w:r>
      <w:r>
        <w:rPr>
          <w:rFonts w:ascii="Arial" w:hAnsi="Arial" w:cs="Arial"/>
          <w:szCs w:val="24"/>
        </w:rPr>
        <w:t>ries et des prescriptions spéci</w:t>
      </w:r>
      <w:r w:rsidRPr="00A3503B">
        <w:rPr>
          <w:rFonts w:ascii="Arial" w:hAnsi="Arial" w:cs="Arial"/>
          <w:szCs w:val="24"/>
        </w:rPr>
        <w:t>fiques pour chacune d’elles. Plus les tensions sont grandes</w:t>
      </w:r>
      <w:r w:rsidR="005866FE">
        <w:rPr>
          <w:rFonts w:ascii="Arial" w:hAnsi="Arial" w:cs="Arial"/>
          <w:szCs w:val="24"/>
        </w:rPr>
        <w:t>,</w:t>
      </w:r>
      <w:r>
        <w:rPr>
          <w:rFonts w:ascii="Arial" w:hAnsi="Arial" w:cs="Arial"/>
          <w:szCs w:val="24"/>
        </w:rPr>
        <w:t xml:space="preserve"> plus les mesures tech</w:t>
      </w:r>
      <w:r w:rsidRPr="00A3503B">
        <w:rPr>
          <w:rFonts w:ascii="Arial" w:hAnsi="Arial" w:cs="Arial"/>
          <w:szCs w:val="24"/>
        </w:rPr>
        <w:t>niques sont rigoureuses</w:t>
      </w:r>
      <w:r w:rsidR="00EA4AE6">
        <w:rPr>
          <w:rFonts w:ascii="Arial" w:hAnsi="Arial" w:cs="Arial"/>
          <w:szCs w:val="24"/>
        </w:rPr>
        <w:t>.</w:t>
      </w:r>
    </w:p>
    <w:p w14:paraId="5B935297" w14:textId="77777777" w:rsidR="004E191E" w:rsidRPr="004E191E" w:rsidRDefault="004E191E" w:rsidP="0044500E">
      <w:pPr>
        <w:pStyle w:val="TIT3"/>
        <w:numPr>
          <w:ilvl w:val="2"/>
          <w:numId w:val="177"/>
        </w:numPr>
      </w:pPr>
      <w:bookmarkStart w:id="591" w:name="_Toc124314701"/>
      <w:bookmarkStart w:id="592" w:name="_Toc124956179"/>
      <w:bookmarkStart w:id="593" w:name="_Toc125384578"/>
      <w:bookmarkStart w:id="594" w:name="_Toc125384967"/>
      <w:bookmarkStart w:id="595" w:name="_Toc127957639"/>
      <w:r w:rsidRPr="004E191E">
        <w:t>Cadre législatif régissant le secteur numérique</w:t>
      </w:r>
      <w:bookmarkEnd w:id="591"/>
      <w:bookmarkEnd w:id="592"/>
      <w:bookmarkEnd w:id="593"/>
      <w:bookmarkEnd w:id="594"/>
      <w:bookmarkEnd w:id="595"/>
      <w:r w:rsidRPr="004E191E">
        <w:t xml:space="preserve"> </w:t>
      </w:r>
    </w:p>
    <w:p w14:paraId="3DD44837" w14:textId="77777777" w:rsidR="004E191E" w:rsidRPr="001302CF" w:rsidRDefault="001302CF" w:rsidP="00687DD2">
      <w:pPr>
        <w:pStyle w:val="Paragraphedeliste"/>
        <w:numPr>
          <w:ilvl w:val="0"/>
          <w:numId w:val="9"/>
        </w:numPr>
        <w:suppressAutoHyphens/>
        <w:spacing w:after="120" w:line="240" w:lineRule="auto"/>
        <w:ind w:left="714" w:hanging="357"/>
        <w:jc w:val="both"/>
        <w:rPr>
          <w:rFonts w:ascii="Arial" w:hAnsi="Arial" w:cs="Arial"/>
          <w:b/>
          <w:bCs/>
        </w:rPr>
      </w:pPr>
      <w:r>
        <w:rPr>
          <w:rFonts w:ascii="Arial" w:hAnsi="Arial" w:cs="Arial"/>
          <w:b/>
          <w:bCs/>
        </w:rPr>
        <w:t>LOI N°</w:t>
      </w:r>
      <w:r w:rsidRPr="001302CF">
        <w:rPr>
          <w:rFonts w:ascii="Arial" w:hAnsi="Arial" w:cs="Arial"/>
          <w:b/>
          <w:bCs/>
        </w:rPr>
        <w:t xml:space="preserve">2005-023 </w:t>
      </w:r>
      <w:r w:rsidR="00EA4AE6">
        <w:rPr>
          <w:rFonts w:ascii="Arial" w:hAnsi="Arial" w:cs="Arial"/>
          <w:b/>
          <w:bCs/>
        </w:rPr>
        <w:t>du</w:t>
      </w:r>
      <w:r w:rsidRPr="001302CF">
        <w:rPr>
          <w:rFonts w:ascii="Arial" w:hAnsi="Arial" w:cs="Arial"/>
          <w:b/>
          <w:bCs/>
        </w:rPr>
        <w:t xml:space="preserve"> 17 </w:t>
      </w:r>
      <w:r w:rsidR="00EA4AE6">
        <w:rPr>
          <w:rFonts w:ascii="Arial" w:hAnsi="Arial" w:cs="Arial"/>
          <w:b/>
          <w:bCs/>
        </w:rPr>
        <w:t>Octobre</w:t>
      </w:r>
      <w:r w:rsidRPr="001302CF">
        <w:rPr>
          <w:rFonts w:ascii="Arial" w:hAnsi="Arial" w:cs="Arial"/>
          <w:b/>
          <w:bCs/>
        </w:rPr>
        <w:t xml:space="preserve"> 2005 portant refonte de la loi </w:t>
      </w:r>
      <w:r w:rsidR="00EA4AE6" w:rsidRPr="00EA4AE6">
        <w:rPr>
          <w:rFonts w:ascii="Arial" w:hAnsi="Arial" w:cs="Arial"/>
          <w:b/>
          <w:bCs/>
        </w:rPr>
        <w:t>N°</w:t>
      </w:r>
      <w:r w:rsidRPr="001302CF">
        <w:rPr>
          <w:rFonts w:ascii="Arial" w:hAnsi="Arial" w:cs="Arial"/>
          <w:b/>
          <w:bCs/>
        </w:rPr>
        <w:t>96-034 du 2</w:t>
      </w:r>
      <w:r>
        <w:rPr>
          <w:rFonts w:ascii="Arial" w:hAnsi="Arial" w:cs="Arial"/>
          <w:b/>
          <w:bCs/>
        </w:rPr>
        <w:t xml:space="preserve">7 </w:t>
      </w:r>
      <w:r w:rsidRPr="001302CF">
        <w:rPr>
          <w:rFonts w:ascii="Arial" w:hAnsi="Arial" w:cs="Arial"/>
          <w:b/>
          <w:bCs/>
        </w:rPr>
        <w:t>Janvier 199</w:t>
      </w:r>
      <w:r>
        <w:rPr>
          <w:rFonts w:ascii="Arial" w:hAnsi="Arial" w:cs="Arial"/>
          <w:b/>
          <w:bCs/>
        </w:rPr>
        <w:t>7</w:t>
      </w:r>
      <w:r w:rsidRPr="001302CF">
        <w:rPr>
          <w:rFonts w:ascii="Arial" w:hAnsi="Arial" w:cs="Arial"/>
          <w:b/>
          <w:bCs/>
        </w:rPr>
        <w:t xml:space="preserve"> portant </w:t>
      </w:r>
      <w:r w:rsidR="00EA4AE6">
        <w:rPr>
          <w:rFonts w:ascii="Arial" w:hAnsi="Arial" w:cs="Arial"/>
          <w:b/>
          <w:bCs/>
        </w:rPr>
        <w:t>r</w:t>
      </w:r>
      <w:r w:rsidRPr="001302CF">
        <w:rPr>
          <w:rFonts w:ascii="Arial" w:hAnsi="Arial" w:cs="Arial"/>
          <w:b/>
          <w:bCs/>
        </w:rPr>
        <w:t>éforme institutionnelle du secteur des Télécommunication</w:t>
      </w:r>
      <w:r w:rsidR="00EA4AE6">
        <w:rPr>
          <w:rFonts w:ascii="Arial" w:hAnsi="Arial" w:cs="Arial"/>
          <w:b/>
          <w:bCs/>
        </w:rPr>
        <w:t>s</w:t>
      </w:r>
    </w:p>
    <w:p w14:paraId="13E34C43" w14:textId="77777777" w:rsidR="003E357B" w:rsidRDefault="003E357B" w:rsidP="003E357B">
      <w:pPr>
        <w:autoSpaceDE w:val="0"/>
        <w:autoSpaceDN w:val="0"/>
        <w:adjustRightInd w:val="0"/>
        <w:jc w:val="both"/>
        <w:rPr>
          <w:rFonts w:ascii="Arial" w:hAnsi="Arial" w:cs="Arial"/>
          <w:szCs w:val="24"/>
        </w:rPr>
      </w:pPr>
      <w:r w:rsidRPr="003E357B">
        <w:rPr>
          <w:rFonts w:ascii="Arial" w:hAnsi="Arial" w:cs="Arial"/>
          <w:szCs w:val="24"/>
        </w:rPr>
        <w:t>Cette loi</w:t>
      </w:r>
      <w:r>
        <w:rPr>
          <w:rFonts w:ascii="Arial" w:hAnsi="Arial" w:cs="Arial"/>
          <w:szCs w:val="24"/>
        </w:rPr>
        <w:t xml:space="preserve"> plaide pour la libération totale du secteur télécommunication et l’ouverture à la mondialisation. Elle s’ouvre d’avantage aux dern</w:t>
      </w:r>
      <w:r w:rsidRPr="003E357B">
        <w:rPr>
          <w:rFonts w:ascii="Arial" w:hAnsi="Arial" w:cs="Arial"/>
          <w:szCs w:val="24"/>
        </w:rPr>
        <w:t>ières technologies et permett</w:t>
      </w:r>
      <w:r>
        <w:rPr>
          <w:rFonts w:ascii="Arial" w:hAnsi="Arial" w:cs="Arial"/>
          <w:szCs w:val="24"/>
        </w:rPr>
        <w:t>e</w:t>
      </w:r>
      <w:r w:rsidRPr="003E357B">
        <w:rPr>
          <w:rFonts w:ascii="Arial" w:hAnsi="Arial" w:cs="Arial"/>
          <w:szCs w:val="24"/>
        </w:rPr>
        <w:t xml:space="preserve"> à</w:t>
      </w:r>
      <w:r>
        <w:rPr>
          <w:rFonts w:ascii="Arial" w:hAnsi="Arial" w:cs="Arial"/>
          <w:szCs w:val="24"/>
        </w:rPr>
        <w:t xml:space="preserve"> des nouv</w:t>
      </w:r>
      <w:r w:rsidRPr="003E357B">
        <w:rPr>
          <w:rFonts w:ascii="Arial" w:hAnsi="Arial" w:cs="Arial"/>
          <w:szCs w:val="24"/>
        </w:rPr>
        <w:t>eaux investiss</w:t>
      </w:r>
      <w:r>
        <w:rPr>
          <w:rFonts w:ascii="Arial" w:hAnsi="Arial" w:cs="Arial"/>
          <w:szCs w:val="24"/>
        </w:rPr>
        <w:t>ements privés de contribuer à l’améliora</w:t>
      </w:r>
      <w:r w:rsidRPr="003E357B">
        <w:rPr>
          <w:rFonts w:ascii="Arial" w:hAnsi="Arial" w:cs="Arial"/>
          <w:szCs w:val="24"/>
        </w:rPr>
        <w:t xml:space="preserve">tion de </w:t>
      </w:r>
      <w:r>
        <w:rPr>
          <w:rFonts w:ascii="Arial" w:hAnsi="Arial" w:cs="Arial"/>
          <w:szCs w:val="24"/>
        </w:rPr>
        <w:t>l’</w:t>
      </w:r>
      <w:r w:rsidRPr="003E357B">
        <w:rPr>
          <w:rFonts w:ascii="Arial" w:hAnsi="Arial" w:cs="Arial"/>
          <w:szCs w:val="24"/>
        </w:rPr>
        <w:t>‘efficien</w:t>
      </w:r>
      <w:r>
        <w:rPr>
          <w:rFonts w:ascii="Arial" w:hAnsi="Arial" w:cs="Arial"/>
          <w:szCs w:val="24"/>
        </w:rPr>
        <w:t>ce</w:t>
      </w:r>
      <w:r w:rsidRPr="003E357B">
        <w:rPr>
          <w:rFonts w:ascii="Arial" w:hAnsi="Arial" w:cs="Arial"/>
          <w:szCs w:val="24"/>
        </w:rPr>
        <w:t xml:space="preserve"> de </w:t>
      </w:r>
      <w:r>
        <w:rPr>
          <w:rFonts w:ascii="Arial" w:hAnsi="Arial" w:cs="Arial"/>
          <w:szCs w:val="24"/>
        </w:rPr>
        <w:t>l</w:t>
      </w:r>
      <w:r w:rsidRPr="003E357B">
        <w:rPr>
          <w:rFonts w:ascii="Arial" w:hAnsi="Arial" w:cs="Arial"/>
          <w:szCs w:val="24"/>
        </w:rPr>
        <w:t>‘administration à la</w:t>
      </w:r>
      <w:r>
        <w:rPr>
          <w:rFonts w:ascii="Arial" w:hAnsi="Arial" w:cs="Arial"/>
          <w:szCs w:val="24"/>
        </w:rPr>
        <w:t xml:space="preserve"> </w:t>
      </w:r>
      <w:r w:rsidRPr="003E357B">
        <w:rPr>
          <w:rFonts w:ascii="Arial" w:hAnsi="Arial" w:cs="Arial"/>
          <w:szCs w:val="24"/>
        </w:rPr>
        <w:t>croissance de l'économ</w:t>
      </w:r>
      <w:r>
        <w:rPr>
          <w:rFonts w:ascii="Arial" w:hAnsi="Arial" w:cs="Arial"/>
          <w:szCs w:val="24"/>
        </w:rPr>
        <w:t xml:space="preserve">ie. </w:t>
      </w:r>
    </w:p>
    <w:p w14:paraId="11F1577F" w14:textId="77777777" w:rsidR="004E191E" w:rsidRDefault="003E357B" w:rsidP="00567C43">
      <w:pPr>
        <w:autoSpaceDE w:val="0"/>
        <w:autoSpaceDN w:val="0"/>
        <w:adjustRightInd w:val="0"/>
        <w:jc w:val="both"/>
        <w:rPr>
          <w:rFonts w:ascii="Arial" w:hAnsi="Arial" w:cs="Arial"/>
          <w:szCs w:val="24"/>
        </w:rPr>
      </w:pPr>
      <w:r w:rsidRPr="003E357B">
        <w:rPr>
          <w:rFonts w:ascii="Arial" w:hAnsi="Arial" w:cs="Arial"/>
          <w:szCs w:val="24"/>
        </w:rPr>
        <w:t xml:space="preserve">Toutes les technologies nouvellement introduites ne doivent plus désormais se restreindre à des objets de luxe mais permettre </w:t>
      </w:r>
      <w:r w:rsidR="005866FE" w:rsidRPr="003E357B">
        <w:rPr>
          <w:rFonts w:ascii="Arial" w:hAnsi="Arial" w:cs="Arial"/>
          <w:szCs w:val="24"/>
        </w:rPr>
        <w:t>aux plus grands nombres</w:t>
      </w:r>
      <w:r w:rsidRPr="003E357B">
        <w:rPr>
          <w:rFonts w:ascii="Arial" w:hAnsi="Arial" w:cs="Arial"/>
          <w:szCs w:val="24"/>
        </w:rPr>
        <w:t xml:space="preserve"> d'accéder à de nouveaux outils de moins en moins coûteux ou partagés de façon à intégrer progressivement tous les concitoyens vers le chemin de la connaissance, du savoir, et des échanges afin de les conduire vers la voie du développement de la cohésion national</w:t>
      </w:r>
      <w:r>
        <w:rPr>
          <w:rFonts w:ascii="Arial" w:hAnsi="Arial" w:cs="Arial"/>
          <w:szCs w:val="24"/>
        </w:rPr>
        <w:t>e.</w:t>
      </w:r>
    </w:p>
    <w:p w14:paraId="72B65C9B" w14:textId="77777777" w:rsidR="008C0968" w:rsidRDefault="008C0968" w:rsidP="00567C43">
      <w:pPr>
        <w:autoSpaceDE w:val="0"/>
        <w:autoSpaceDN w:val="0"/>
        <w:adjustRightInd w:val="0"/>
        <w:jc w:val="both"/>
        <w:rPr>
          <w:rFonts w:ascii="Arial" w:hAnsi="Arial" w:cs="Arial"/>
          <w:szCs w:val="24"/>
        </w:rPr>
      </w:pPr>
      <w:r w:rsidRPr="008C0968">
        <w:rPr>
          <w:rFonts w:ascii="Arial" w:hAnsi="Arial" w:cs="Arial"/>
          <w:szCs w:val="24"/>
        </w:rPr>
        <w:t>Ladite Loi a pour objet de garantir le respect des exigences essentielles et de vérifier la conformité des équipements aux normes et spécifications techniques en vigueur à Madagascar. Concernant l’intégration de la dimension environnementale du secteur, l’article 7 de la</w:t>
      </w:r>
      <w:r w:rsidR="00EA4AE6">
        <w:rPr>
          <w:rFonts w:ascii="Arial" w:hAnsi="Arial" w:cs="Arial"/>
          <w:szCs w:val="24"/>
        </w:rPr>
        <w:t>dite</w:t>
      </w:r>
      <w:r w:rsidRPr="008C0968">
        <w:rPr>
          <w:rFonts w:ascii="Arial" w:hAnsi="Arial" w:cs="Arial"/>
          <w:szCs w:val="24"/>
        </w:rPr>
        <w:t xml:space="preserve"> loi a mentionné, entre autres, que « Tous les opérateurs sont soumis au respect de règles portant sur les prescriptions exigées par la protection de la santé et de l’environnement et par les objectifs d’aménagement du territoire et d’urbanisme, comportant, le cas échéant, les conditions d’occupation du domaine public, les garanties financières ou techniques nécessaires à la bonne exécution des travaux d’infrastructures et les modalités de partage des infrastructures ».</w:t>
      </w:r>
    </w:p>
    <w:p w14:paraId="590B8C5C" w14:textId="77777777" w:rsidR="008C0968" w:rsidRPr="008C0968" w:rsidRDefault="008C0968" w:rsidP="00687DD2">
      <w:pPr>
        <w:pStyle w:val="Paragraphedeliste"/>
        <w:numPr>
          <w:ilvl w:val="0"/>
          <w:numId w:val="9"/>
        </w:numPr>
        <w:suppressAutoHyphens/>
        <w:spacing w:after="120" w:line="240" w:lineRule="auto"/>
        <w:ind w:left="714" w:hanging="357"/>
        <w:jc w:val="both"/>
        <w:rPr>
          <w:rFonts w:ascii="Arial" w:hAnsi="Arial" w:cs="Arial"/>
          <w:b/>
          <w:bCs/>
        </w:rPr>
      </w:pPr>
      <w:r w:rsidRPr="008C0968">
        <w:rPr>
          <w:rFonts w:ascii="Arial" w:hAnsi="Arial" w:cs="Arial"/>
          <w:b/>
          <w:bCs/>
        </w:rPr>
        <w:t>Décret</w:t>
      </w:r>
      <w:r>
        <w:rPr>
          <w:rFonts w:ascii="Arial" w:hAnsi="Arial" w:cs="Arial"/>
          <w:b/>
          <w:bCs/>
        </w:rPr>
        <w:t xml:space="preserve"> </w:t>
      </w:r>
      <w:r w:rsidRPr="008C0968">
        <w:rPr>
          <w:rFonts w:ascii="Arial" w:hAnsi="Arial" w:cs="Arial"/>
          <w:b/>
          <w:bCs/>
        </w:rPr>
        <w:t xml:space="preserve">n°2014-1651 </w:t>
      </w:r>
      <w:r w:rsidR="001F17E3">
        <w:rPr>
          <w:rFonts w:ascii="Arial" w:hAnsi="Arial" w:cs="Arial"/>
          <w:b/>
          <w:bCs/>
        </w:rPr>
        <w:t xml:space="preserve">du 21 Octobre 2014 </w:t>
      </w:r>
      <w:r w:rsidRPr="008C0968">
        <w:rPr>
          <w:rFonts w:ascii="Arial" w:hAnsi="Arial" w:cs="Arial"/>
          <w:b/>
          <w:bCs/>
        </w:rPr>
        <w:t>portant réglementation des réseaux et services de télécommunication</w:t>
      </w:r>
    </w:p>
    <w:p w14:paraId="2B148E8C" w14:textId="77777777" w:rsidR="008C0968" w:rsidRDefault="008C0968" w:rsidP="00567C43">
      <w:pPr>
        <w:autoSpaceDE w:val="0"/>
        <w:autoSpaceDN w:val="0"/>
        <w:adjustRightInd w:val="0"/>
        <w:jc w:val="both"/>
        <w:rPr>
          <w:rFonts w:ascii="Arial" w:hAnsi="Arial" w:cs="Arial"/>
          <w:szCs w:val="24"/>
        </w:rPr>
      </w:pPr>
      <w:r w:rsidRPr="008C0968">
        <w:rPr>
          <w:rFonts w:ascii="Arial" w:hAnsi="Arial" w:cs="Arial"/>
          <w:szCs w:val="24"/>
        </w:rPr>
        <w:t>Ce décret dispose dans son article 9.4 que « l’installation des infrastructures et des équipements doit être réalisée dans le respect des règles environnementales en vigueur. A ce titre, afin de réduire leur empreinte carbone, les infrastructures et équipements réalisés postérieurement à la date d’entrée en vigueur du présent décret doivent prévoir, lorsque l’alimentation électrique n’est pas suffisante ou possible, une alimentation électrique reposant prioritairement sur des technologies éoliennes ou solaires. Par ailleurs, afin de limiter les rayonnements radioélectriques et l’impact visuel, l’installation des infrastructures et équipements doit privilégier toute solution de partage des infrastructures existantes, conformément aux dispositions de l’article 9.1 du présent décret »</w:t>
      </w:r>
      <w:r w:rsidR="006A32C5">
        <w:rPr>
          <w:rFonts w:ascii="Arial" w:hAnsi="Arial" w:cs="Arial"/>
          <w:szCs w:val="24"/>
        </w:rPr>
        <w:t>.</w:t>
      </w:r>
    </w:p>
    <w:p w14:paraId="4EAD64A1" w14:textId="77777777" w:rsidR="00811F6E" w:rsidRDefault="00811F6E" w:rsidP="00567C43">
      <w:pPr>
        <w:autoSpaceDE w:val="0"/>
        <w:autoSpaceDN w:val="0"/>
        <w:adjustRightInd w:val="0"/>
        <w:jc w:val="both"/>
        <w:rPr>
          <w:rFonts w:ascii="Arial" w:hAnsi="Arial" w:cs="Arial"/>
          <w:szCs w:val="24"/>
        </w:rPr>
      </w:pPr>
    </w:p>
    <w:p w14:paraId="6CFA512C" w14:textId="77777777" w:rsidR="00811F6E" w:rsidRDefault="00811F6E" w:rsidP="00567C43">
      <w:pPr>
        <w:autoSpaceDE w:val="0"/>
        <w:autoSpaceDN w:val="0"/>
        <w:adjustRightInd w:val="0"/>
        <w:jc w:val="both"/>
        <w:rPr>
          <w:rFonts w:ascii="Arial" w:hAnsi="Arial" w:cs="Arial"/>
          <w:szCs w:val="24"/>
        </w:rPr>
      </w:pPr>
    </w:p>
    <w:p w14:paraId="5A08F946" w14:textId="77777777" w:rsidR="008C0968" w:rsidRDefault="008C0968" w:rsidP="00687DD2">
      <w:pPr>
        <w:pStyle w:val="Paragraphedeliste"/>
        <w:numPr>
          <w:ilvl w:val="0"/>
          <w:numId w:val="9"/>
        </w:numPr>
        <w:suppressAutoHyphens/>
        <w:spacing w:after="120" w:line="240" w:lineRule="auto"/>
        <w:ind w:left="714" w:hanging="357"/>
        <w:jc w:val="both"/>
        <w:rPr>
          <w:rFonts w:ascii="Arial" w:hAnsi="Arial" w:cs="Arial"/>
          <w:b/>
          <w:bCs/>
        </w:rPr>
      </w:pPr>
      <w:r w:rsidRPr="008C0968">
        <w:rPr>
          <w:rFonts w:ascii="Arial" w:hAnsi="Arial" w:cs="Arial"/>
          <w:b/>
          <w:bCs/>
        </w:rPr>
        <w:t xml:space="preserve">Décret n°2014-1652 du 21 octobre 2014 portant cadrage </w:t>
      </w:r>
      <w:r>
        <w:rPr>
          <w:rFonts w:ascii="Arial" w:hAnsi="Arial" w:cs="Arial"/>
          <w:b/>
          <w:bCs/>
        </w:rPr>
        <w:t>de la mutualisation dans le sec</w:t>
      </w:r>
      <w:r w:rsidRPr="008C0968">
        <w:rPr>
          <w:rFonts w:ascii="Arial" w:hAnsi="Arial" w:cs="Arial"/>
          <w:b/>
          <w:bCs/>
        </w:rPr>
        <w:t>teur des télécommunications</w:t>
      </w:r>
    </w:p>
    <w:p w14:paraId="254FC8AD" w14:textId="77777777" w:rsidR="008C0968" w:rsidRDefault="006A32C5" w:rsidP="00567C43">
      <w:pPr>
        <w:autoSpaceDE w:val="0"/>
        <w:autoSpaceDN w:val="0"/>
        <w:adjustRightInd w:val="0"/>
        <w:jc w:val="both"/>
        <w:rPr>
          <w:rFonts w:ascii="Arial" w:hAnsi="Arial" w:cs="Arial"/>
          <w:szCs w:val="24"/>
        </w:rPr>
      </w:pPr>
      <w:r w:rsidRPr="006A32C5">
        <w:rPr>
          <w:rFonts w:ascii="Arial" w:hAnsi="Arial" w:cs="Arial"/>
          <w:szCs w:val="24"/>
        </w:rPr>
        <w:t>Ce Décret définit les règles générales de déploiement, de gestion et de mutualisation des infrastructures fondamentales de télécommunications à Madagascar. Ces infrastructures fondamentales regroupent les câbles internationaux, le réseau national de télécommunications large bande et les tours de télécommunications. Le but de ces règles est d’encourager le partage des infrastructures actives et passives de télécommunications et la mutualisation des ressources entre les opérateurs afin de réduire les coûts de déploiement des réseaux, limiter la duplication des infrastructures, protéger l’environnement en réduisant la prolifération des installations de tours de télécommunications, accélérer le déploiement et l’extension des réseaux des opérateurs pour désenclaver les zones rurales et réduire la fracture numérique, favoriser la connexion à de nouveaux câbles sous-marins internationaux et enfin baisser les coûts de connexion et d'achat de capacité en vue d’une réduction significative des tarifs pour la population</w:t>
      </w:r>
      <w:r>
        <w:rPr>
          <w:rFonts w:ascii="Arial" w:hAnsi="Arial" w:cs="Arial"/>
          <w:szCs w:val="24"/>
        </w:rPr>
        <w:t>.</w:t>
      </w:r>
    </w:p>
    <w:p w14:paraId="00D24AF3" w14:textId="77777777" w:rsidR="006A32C5" w:rsidRPr="006A32C5" w:rsidRDefault="006A32C5" w:rsidP="00687DD2">
      <w:pPr>
        <w:pStyle w:val="Paragraphedeliste"/>
        <w:numPr>
          <w:ilvl w:val="0"/>
          <w:numId w:val="9"/>
        </w:numPr>
        <w:suppressAutoHyphens/>
        <w:spacing w:after="120" w:line="240" w:lineRule="auto"/>
        <w:ind w:left="714" w:hanging="357"/>
        <w:jc w:val="both"/>
        <w:rPr>
          <w:rFonts w:ascii="Arial" w:hAnsi="Arial" w:cs="Arial"/>
          <w:b/>
          <w:bCs/>
        </w:rPr>
      </w:pPr>
      <w:r w:rsidRPr="006A32C5">
        <w:rPr>
          <w:rFonts w:ascii="Arial" w:hAnsi="Arial" w:cs="Arial"/>
          <w:b/>
          <w:bCs/>
        </w:rPr>
        <w:t xml:space="preserve">Décret N°2006-213 </w:t>
      </w:r>
      <w:r>
        <w:rPr>
          <w:rFonts w:ascii="Arial" w:hAnsi="Arial" w:cs="Arial"/>
          <w:b/>
          <w:bCs/>
        </w:rPr>
        <w:t xml:space="preserve">du 31 mars 2006 </w:t>
      </w:r>
      <w:r w:rsidRPr="006A32C5">
        <w:rPr>
          <w:rFonts w:ascii="Arial" w:hAnsi="Arial" w:cs="Arial"/>
          <w:b/>
          <w:bCs/>
        </w:rPr>
        <w:t>instituant l’Autorité de régulation des technologies de communication de Madagascar ou ARTEC</w:t>
      </w:r>
    </w:p>
    <w:p w14:paraId="1E92054D" w14:textId="77777777" w:rsidR="006A32C5" w:rsidRPr="006A32C5" w:rsidRDefault="006A32C5" w:rsidP="006A32C5">
      <w:pPr>
        <w:autoSpaceDE w:val="0"/>
        <w:autoSpaceDN w:val="0"/>
        <w:adjustRightInd w:val="0"/>
        <w:jc w:val="both"/>
        <w:rPr>
          <w:rFonts w:ascii="Arial" w:hAnsi="Arial" w:cs="Arial"/>
          <w:szCs w:val="24"/>
        </w:rPr>
      </w:pPr>
      <w:r w:rsidRPr="006A32C5">
        <w:rPr>
          <w:rFonts w:ascii="Arial" w:hAnsi="Arial" w:cs="Arial"/>
          <w:szCs w:val="24"/>
        </w:rPr>
        <w:t xml:space="preserve">Conformément à la réforme institutionnelle, il a été créé </w:t>
      </w:r>
      <w:r w:rsidR="00E1537A">
        <w:rPr>
          <w:rFonts w:ascii="Arial" w:hAnsi="Arial" w:cs="Arial"/>
          <w:szCs w:val="24"/>
        </w:rPr>
        <w:t>l’</w:t>
      </w:r>
      <w:r w:rsidRPr="006A32C5">
        <w:rPr>
          <w:rFonts w:ascii="Arial" w:hAnsi="Arial" w:cs="Arial"/>
          <w:szCs w:val="24"/>
        </w:rPr>
        <w:t xml:space="preserve">ARTEC pour la régulation du secteur et dont les compétences s’étendent sur les télécommunications et TIC. Plus exactement, les attributions de l’ARTEC sont (sans exhaustivité) : </w:t>
      </w:r>
    </w:p>
    <w:p w14:paraId="62E21737" w14:textId="77777777" w:rsidR="006A32C5" w:rsidRPr="006A32C5" w:rsidRDefault="006A32C5" w:rsidP="00687DD2">
      <w:pPr>
        <w:pStyle w:val="Default"/>
        <w:numPr>
          <w:ilvl w:val="1"/>
          <w:numId w:val="9"/>
        </w:numPr>
        <w:spacing w:after="4"/>
        <w:jc w:val="both"/>
        <w:rPr>
          <w:sz w:val="22"/>
          <w:szCs w:val="22"/>
        </w:rPr>
      </w:pPr>
      <w:r w:rsidRPr="006A32C5">
        <w:rPr>
          <w:sz w:val="22"/>
          <w:szCs w:val="22"/>
        </w:rPr>
        <w:t xml:space="preserve">Octroyer les licences et établir les cahiers des charges y relatifs, recevoir les déclarations, et délivrer les agréments des terminaux ; </w:t>
      </w:r>
    </w:p>
    <w:p w14:paraId="16A17FD3" w14:textId="77777777" w:rsidR="006A32C5" w:rsidRPr="006A32C5" w:rsidRDefault="006A32C5" w:rsidP="00687DD2">
      <w:pPr>
        <w:pStyle w:val="Default"/>
        <w:numPr>
          <w:ilvl w:val="1"/>
          <w:numId w:val="9"/>
        </w:numPr>
        <w:spacing w:after="4"/>
        <w:jc w:val="both"/>
        <w:rPr>
          <w:sz w:val="22"/>
          <w:szCs w:val="22"/>
        </w:rPr>
      </w:pPr>
      <w:r w:rsidRPr="006A32C5">
        <w:rPr>
          <w:sz w:val="22"/>
          <w:szCs w:val="22"/>
        </w:rPr>
        <w:t xml:space="preserve">Etudier, et proposer au Ministère de tutelle technique les propositions visant à définir, à compléter ou à modifier le cadre juridique ou économique dans lequel s’exercent les activités télécommunications et TIC. </w:t>
      </w:r>
    </w:p>
    <w:p w14:paraId="4CB16D8F" w14:textId="77777777" w:rsidR="006A32C5" w:rsidRPr="006A32C5" w:rsidRDefault="006A32C5" w:rsidP="00687DD2">
      <w:pPr>
        <w:pStyle w:val="Default"/>
        <w:numPr>
          <w:ilvl w:val="1"/>
          <w:numId w:val="9"/>
        </w:numPr>
        <w:spacing w:after="4"/>
        <w:jc w:val="both"/>
        <w:rPr>
          <w:sz w:val="22"/>
          <w:szCs w:val="22"/>
        </w:rPr>
      </w:pPr>
      <w:r w:rsidRPr="006A32C5">
        <w:rPr>
          <w:sz w:val="22"/>
          <w:szCs w:val="22"/>
        </w:rPr>
        <w:t>Participer ou adhérer à des organismes nationaux ou étrangers ayant pour objet l’étude et l’amélioration de la réglementation et de la gestion des télécommunications, des radiocommunications, du cryptage, de l’adressage IP, de la convergence des services électroniques et des normes correspondantes afin de rendre compte et conseiller le gouvernement et la nation sur les progrès, opportunités et les bonnes pratiques réalisées au niveau mondial qui pourraient éclairer sur les décisions à prendre au niveau du gouvernement;</w:t>
      </w:r>
    </w:p>
    <w:p w14:paraId="4DC4F1B9" w14:textId="77777777" w:rsidR="006A32C5" w:rsidRPr="006A32C5" w:rsidRDefault="006A32C5" w:rsidP="00687DD2">
      <w:pPr>
        <w:pStyle w:val="Default"/>
        <w:numPr>
          <w:ilvl w:val="1"/>
          <w:numId w:val="9"/>
        </w:numPr>
        <w:spacing w:after="4"/>
        <w:jc w:val="both"/>
        <w:rPr>
          <w:sz w:val="22"/>
          <w:szCs w:val="22"/>
        </w:rPr>
      </w:pPr>
      <w:r w:rsidRPr="006A32C5">
        <w:rPr>
          <w:sz w:val="22"/>
          <w:szCs w:val="22"/>
        </w:rPr>
        <w:t>Promouvoir l’expérimentation de nouveautés technologiques dans un cadre établi par son soin et en tirer des conclusions sur l’opportunité d’engager ou non des actions en faveur de sa généralisation au profit de la réalisation de la politique du secteur et de celui de l’Etat</w:t>
      </w:r>
      <w:r w:rsidR="001F17E3">
        <w:rPr>
          <w:sz w:val="22"/>
          <w:szCs w:val="22"/>
        </w:rPr>
        <w:t xml:space="preserve"> </w:t>
      </w:r>
      <w:r w:rsidRPr="006A32C5">
        <w:rPr>
          <w:sz w:val="22"/>
          <w:szCs w:val="22"/>
        </w:rPr>
        <w:t xml:space="preserve">; </w:t>
      </w:r>
    </w:p>
    <w:p w14:paraId="177A19D4" w14:textId="77777777" w:rsidR="006A32C5" w:rsidRPr="006A32C5" w:rsidRDefault="006A32C5" w:rsidP="00687DD2">
      <w:pPr>
        <w:pStyle w:val="Default"/>
        <w:numPr>
          <w:ilvl w:val="1"/>
          <w:numId w:val="9"/>
        </w:numPr>
        <w:spacing w:after="4"/>
        <w:jc w:val="both"/>
        <w:rPr>
          <w:sz w:val="22"/>
          <w:szCs w:val="22"/>
        </w:rPr>
      </w:pPr>
      <w:r w:rsidRPr="006A32C5">
        <w:rPr>
          <w:sz w:val="22"/>
          <w:szCs w:val="22"/>
        </w:rPr>
        <w:t xml:space="preserve">Veiller à l’exécution des cahiers des charges et autres règles établies conformément à Loi n°2005-023 du 17 octobre 2005 le cas échéant, d’adresser aux opérateurs les recommandations et les mises en demeure en vue d’assurer le respect des engagements correspondants ; </w:t>
      </w:r>
    </w:p>
    <w:p w14:paraId="423DA8C4" w14:textId="77777777" w:rsidR="006A32C5" w:rsidRPr="006A32C5" w:rsidRDefault="006A32C5" w:rsidP="00687DD2">
      <w:pPr>
        <w:pStyle w:val="Default"/>
        <w:numPr>
          <w:ilvl w:val="1"/>
          <w:numId w:val="9"/>
        </w:numPr>
        <w:spacing w:after="4"/>
        <w:jc w:val="both"/>
        <w:rPr>
          <w:sz w:val="22"/>
          <w:szCs w:val="22"/>
        </w:rPr>
      </w:pPr>
      <w:r w:rsidRPr="006A32C5">
        <w:rPr>
          <w:sz w:val="22"/>
          <w:szCs w:val="22"/>
        </w:rPr>
        <w:t>S’assurer du respect de la réglementation technique en vigueur dans le secteur des télécommunications et des radiocommunications, y compris la radiodiffusion</w:t>
      </w:r>
      <w:r w:rsidR="001F17E3">
        <w:rPr>
          <w:sz w:val="22"/>
          <w:szCs w:val="22"/>
        </w:rPr>
        <w:t xml:space="preserve"> </w:t>
      </w:r>
      <w:r w:rsidRPr="006A32C5">
        <w:rPr>
          <w:sz w:val="22"/>
          <w:szCs w:val="22"/>
        </w:rPr>
        <w:t xml:space="preserve">; </w:t>
      </w:r>
    </w:p>
    <w:p w14:paraId="52803D5F" w14:textId="77777777" w:rsidR="006A32C5" w:rsidRPr="006A32C5" w:rsidRDefault="006A32C5" w:rsidP="00687DD2">
      <w:pPr>
        <w:pStyle w:val="Default"/>
        <w:numPr>
          <w:ilvl w:val="1"/>
          <w:numId w:val="9"/>
        </w:numPr>
        <w:spacing w:after="4"/>
        <w:jc w:val="both"/>
        <w:rPr>
          <w:sz w:val="22"/>
          <w:szCs w:val="22"/>
        </w:rPr>
      </w:pPr>
      <w:r w:rsidRPr="006A32C5">
        <w:rPr>
          <w:sz w:val="22"/>
          <w:szCs w:val="22"/>
        </w:rPr>
        <w:t>Protéger les intérêts des consommateurs et des citoyens en tant qu’usagers individuels, professionnels, collectifs et résidentiels des services de télécommunications et TIC et de ceux de I’E-gouvernance</w:t>
      </w:r>
      <w:r w:rsidR="0080479A">
        <w:rPr>
          <w:sz w:val="22"/>
          <w:szCs w:val="22"/>
        </w:rPr>
        <w:t> ;</w:t>
      </w:r>
      <w:r w:rsidRPr="006A32C5">
        <w:rPr>
          <w:sz w:val="22"/>
          <w:szCs w:val="22"/>
        </w:rPr>
        <w:t xml:space="preserve"> </w:t>
      </w:r>
    </w:p>
    <w:p w14:paraId="1CBF3B02" w14:textId="77777777" w:rsidR="006A32C5" w:rsidRPr="006A32C5" w:rsidRDefault="006A32C5" w:rsidP="00687DD2">
      <w:pPr>
        <w:pStyle w:val="Default"/>
        <w:numPr>
          <w:ilvl w:val="1"/>
          <w:numId w:val="9"/>
        </w:numPr>
        <w:spacing w:after="4"/>
        <w:jc w:val="both"/>
        <w:rPr>
          <w:sz w:val="22"/>
          <w:szCs w:val="22"/>
        </w:rPr>
      </w:pPr>
      <w:r w:rsidRPr="006A32C5">
        <w:rPr>
          <w:sz w:val="22"/>
          <w:szCs w:val="22"/>
        </w:rPr>
        <w:t>Arbitrer les différends entre opérateurs selon les procédures définies par Décret</w:t>
      </w:r>
      <w:r w:rsidR="001F17E3">
        <w:rPr>
          <w:sz w:val="22"/>
          <w:szCs w:val="22"/>
        </w:rPr>
        <w:t xml:space="preserve"> </w:t>
      </w:r>
      <w:r w:rsidRPr="006A32C5">
        <w:rPr>
          <w:sz w:val="22"/>
          <w:szCs w:val="22"/>
        </w:rPr>
        <w:t xml:space="preserve">;  </w:t>
      </w:r>
    </w:p>
    <w:p w14:paraId="6F4778DE" w14:textId="77777777" w:rsidR="006A32C5" w:rsidRPr="006A32C5" w:rsidRDefault="006A32C5" w:rsidP="00687DD2">
      <w:pPr>
        <w:pStyle w:val="Default"/>
        <w:numPr>
          <w:ilvl w:val="1"/>
          <w:numId w:val="9"/>
        </w:numPr>
        <w:spacing w:after="4"/>
        <w:jc w:val="both"/>
        <w:rPr>
          <w:sz w:val="22"/>
          <w:szCs w:val="22"/>
        </w:rPr>
      </w:pPr>
      <w:r w:rsidRPr="006A32C5">
        <w:rPr>
          <w:sz w:val="22"/>
          <w:szCs w:val="22"/>
        </w:rPr>
        <w:t xml:space="preserve">Mener une enquête </w:t>
      </w:r>
      <w:r w:rsidR="00563C78">
        <w:rPr>
          <w:sz w:val="22"/>
          <w:szCs w:val="22"/>
        </w:rPr>
        <w:t xml:space="preserve">à la suite de </w:t>
      </w:r>
      <w:r w:rsidRPr="006A32C5">
        <w:rPr>
          <w:sz w:val="22"/>
          <w:szCs w:val="22"/>
        </w:rPr>
        <w:t xml:space="preserve"> la réception d’une plainte formelle d’un opérateur concernant toute possibilité de concurrence déloyale ; </w:t>
      </w:r>
    </w:p>
    <w:p w14:paraId="23F4BEE2" w14:textId="77777777" w:rsidR="006A32C5" w:rsidRPr="006A32C5" w:rsidRDefault="006A32C5" w:rsidP="00687DD2">
      <w:pPr>
        <w:pStyle w:val="Default"/>
        <w:numPr>
          <w:ilvl w:val="1"/>
          <w:numId w:val="9"/>
        </w:numPr>
        <w:spacing w:after="4"/>
        <w:jc w:val="both"/>
        <w:rPr>
          <w:sz w:val="22"/>
          <w:szCs w:val="22"/>
        </w:rPr>
      </w:pPr>
      <w:r w:rsidRPr="006A32C5">
        <w:rPr>
          <w:sz w:val="22"/>
          <w:szCs w:val="22"/>
        </w:rPr>
        <w:t xml:space="preserve">Assurer que la concurrence entre les opérateurs est loyale pour prévenir et corriger, </w:t>
      </w:r>
      <w:r w:rsidR="001F17E3" w:rsidRPr="006A32C5">
        <w:rPr>
          <w:sz w:val="22"/>
          <w:szCs w:val="22"/>
        </w:rPr>
        <w:t>entre autres</w:t>
      </w:r>
      <w:r w:rsidRPr="006A32C5">
        <w:rPr>
          <w:sz w:val="22"/>
          <w:szCs w:val="22"/>
        </w:rPr>
        <w:t>, l’abus de position dominante, la tarification visant à décourager la concurrence, et les accords qui ont l’effet de restreindre le fonctionnement du marché, y compris les ententes entre deux ou plusieurs opérateurs.</w:t>
      </w:r>
    </w:p>
    <w:p w14:paraId="7F4B9CAB" w14:textId="77777777" w:rsidR="008C0968" w:rsidRPr="008640E2" w:rsidRDefault="008C0968" w:rsidP="00B434A6">
      <w:pPr>
        <w:pStyle w:val="Paragraphedeliste"/>
        <w:numPr>
          <w:ilvl w:val="0"/>
          <w:numId w:val="9"/>
        </w:numPr>
        <w:suppressAutoHyphens/>
        <w:spacing w:before="120" w:after="120" w:line="240" w:lineRule="auto"/>
        <w:jc w:val="both"/>
        <w:rPr>
          <w:rFonts w:ascii="Arial" w:hAnsi="Arial" w:cs="Arial"/>
          <w:b/>
          <w:bCs/>
        </w:rPr>
      </w:pPr>
      <w:r w:rsidRPr="008640E2">
        <w:rPr>
          <w:rFonts w:ascii="Arial" w:hAnsi="Arial" w:cs="Arial"/>
          <w:b/>
          <w:bCs/>
        </w:rPr>
        <w:t>Arrêt</w:t>
      </w:r>
      <w:r w:rsidR="00E1537A">
        <w:rPr>
          <w:rFonts w:ascii="Arial" w:hAnsi="Arial" w:cs="Arial"/>
          <w:b/>
          <w:bCs/>
        </w:rPr>
        <w:t>é</w:t>
      </w:r>
      <w:r w:rsidRPr="008640E2">
        <w:rPr>
          <w:rFonts w:ascii="Arial" w:hAnsi="Arial" w:cs="Arial"/>
          <w:b/>
          <w:bCs/>
        </w:rPr>
        <w:t xml:space="preserve"> interministériel </w:t>
      </w:r>
      <w:r w:rsidR="008640E2" w:rsidRPr="008640E2">
        <w:rPr>
          <w:rFonts w:ascii="Arial" w:hAnsi="Arial" w:cs="Arial"/>
          <w:b/>
          <w:bCs/>
        </w:rPr>
        <w:t xml:space="preserve">n°30930/2015 du </w:t>
      </w:r>
      <w:r w:rsidR="008640E2">
        <w:rPr>
          <w:rFonts w:ascii="Arial" w:hAnsi="Arial" w:cs="Arial"/>
          <w:b/>
          <w:bCs/>
        </w:rPr>
        <w:t>12 octobre 2015 relatif aux pré</w:t>
      </w:r>
      <w:r w:rsidR="008640E2" w:rsidRPr="008640E2">
        <w:rPr>
          <w:rFonts w:ascii="Arial" w:hAnsi="Arial" w:cs="Arial"/>
          <w:b/>
          <w:bCs/>
        </w:rPr>
        <w:t>requis techniques nécessaires pour l'exploitation ou l'installation des équipements radioélectriques et à la fixation des valeurs limites des champs électromagnétiques</w:t>
      </w:r>
    </w:p>
    <w:p w14:paraId="12C651A5" w14:textId="77777777" w:rsidR="008C0968" w:rsidRDefault="008640E2" w:rsidP="00567C43">
      <w:pPr>
        <w:autoSpaceDE w:val="0"/>
        <w:autoSpaceDN w:val="0"/>
        <w:adjustRightInd w:val="0"/>
        <w:jc w:val="both"/>
        <w:rPr>
          <w:rFonts w:ascii="Arial" w:hAnsi="Arial" w:cs="Arial"/>
          <w:szCs w:val="24"/>
        </w:rPr>
      </w:pPr>
      <w:r w:rsidRPr="008640E2">
        <w:rPr>
          <w:rFonts w:ascii="Arial" w:hAnsi="Arial" w:cs="Arial"/>
          <w:szCs w:val="24"/>
        </w:rPr>
        <w:t>Cet arrêt</w:t>
      </w:r>
      <w:r w:rsidR="00E1537A">
        <w:rPr>
          <w:rFonts w:ascii="Arial" w:hAnsi="Arial" w:cs="Arial"/>
          <w:szCs w:val="24"/>
        </w:rPr>
        <w:t>é</w:t>
      </w:r>
      <w:r w:rsidRPr="008640E2">
        <w:rPr>
          <w:rFonts w:ascii="Arial" w:hAnsi="Arial" w:cs="Arial"/>
          <w:szCs w:val="24"/>
        </w:rPr>
        <w:t xml:space="preserve"> a pour objet de détermin</w:t>
      </w:r>
      <w:r>
        <w:rPr>
          <w:rFonts w:ascii="Arial" w:hAnsi="Arial" w:cs="Arial"/>
          <w:szCs w:val="24"/>
        </w:rPr>
        <w:t>er les manières dont sont exploitées o</w:t>
      </w:r>
      <w:r w:rsidRPr="008640E2">
        <w:rPr>
          <w:rFonts w:ascii="Arial" w:hAnsi="Arial" w:cs="Arial"/>
          <w:szCs w:val="24"/>
        </w:rPr>
        <w:t>u installées les équipements radioélectriques en considération des Exigences esse</w:t>
      </w:r>
      <w:r>
        <w:rPr>
          <w:rFonts w:ascii="Arial" w:hAnsi="Arial" w:cs="Arial"/>
          <w:szCs w:val="24"/>
        </w:rPr>
        <w:t>ntielles définies à l’</w:t>
      </w:r>
      <w:r w:rsidRPr="008640E2">
        <w:rPr>
          <w:rFonts w:ascii="Arial" w:hAnsi="Arial" w:cs="Arial"/>
          <w:szCs w:val="24"/>
        </w:rPr>
        <w:t>arti</w:t>
      </w:r>
      <w:r>
        <w:rPr>
          <w:rFonts w:ascii="Arial" w:hAnsi="Arial" w:cs="Arial"/>
          <w:szCs w:val="24"/>
        </w:rPr>
        <w:t>cle</w:t>
      </w:r>
      <w:r w:rsidR="00D17681">
        <w:rPr>
          <w:rFonts w:ascii="Arial" w:hAnsi="Arial" w:cs="Arial"/>
          <w:szCs w:val="24"/>
        </w:rPr>
        <w:t xml:space="preserve"> premier de la loi n</w:t>
      </w:r>
      <w:r w:rsidR="00E1537A" w:rsidRPr="00E1537A">
        <w:rPr>
          <w:rFonts w:ascii="Arial" w:hAnsi="Arial" w:cs="Arial"/>
          <w:szCs w:val="24"/>
        </w:rPr>
        <w:t>°</w:t>
      </w:r>
      <w:r w:rsidR="00D17681">
        <w:rPr>
          <w:rFonts w:ascii="Arial" w:hAnsi="Arial" w:cs="Arial"/>
          <w:szCs w:val="24"/>
        </w:rPr>
        <w:t>200</w:t>
      </w:r>
      <w:r w:rsidRPr="008640E2">
        <w:rPr>
          <w:rFonts w:ascii="Arial" w:hAnsi="Arial" w:cs="Arial"/>
          <w:szCs w:val="24"/>
        </w:rPr>
        <w:t>5-023 du 17 octobre 2005 portant refonte de la loi n</w:t>
      </w:r>
      <w:r w:rsidR="00E1537A" w:rsidRPr="00E1537A">
        <w:rPr>
          <w:rFonts w:ascii="Arial" w:hAnsi="Arial" w:cs="Arial"/>
          <w:szCs w:val="24"/>
        </w:rPr>
        <w:t>°</w:t>
      </w:r>
      <w:r w:rsidRPr="008640E2">
        <w:rPr>
          <w:rFonts w:ascii="Arial" w:hAnsi="Arial" w:cs="Arial"/>
          <w:szCs w:val="24"/>
        </w:rPr>
        <w:t>96-034 du 27 janvier 1997 portant Réforme institutionnelle du secteur des Télécommunications et de ses textes d'application, et en détermine les valeurs limites d'exposition des usagers et du public en général aux champs électromagnétiques.</w:t>
      </w:r>
    </w:p>
    <w:p w14:paraId="5D36F4CA" w14:textId="77777777" w:rsidR="008640E2" w:rsidRDefault="008640E2" w:rsidP="00567C43">
      <w:pPr>
        <w:autoSpaceDE w:val="0"/>
        <w:autoSpaceDN w:val="0"/>
        <w:adjustRightInd w:val="0"/>
        <w:jc w:val="both"/>
        <w:rPr>
          <w:rFonts w:ascii="Arial" w:hAnsi="Arial" w:cs="Arial"/>
          <w:szCs w:val="24"/>
        </w:rPr>
      </w:pPr>
      <w:r>
        <w:rPr>
          <w:rFonts w:ascii="Arial" w:hAnsi="Arial" w:cs="Arial"/>
          <w:szCs w:val="24"/>
        </w:rPr>
        <w:t>Afin de protéger la population, cet article publie en son annexe les valeurs limite d’exposition aux publics de différentes gammes de fréquence.</w:t>
      </w:r>
    </w:p>
    <w:p w14:paraId="2059DF06" w14:textId="77777777" w:rsidR="00D17681" w:rsidRDefault="00D17681" w:rsidP="00D17681">
      <w:pPr>
        <w:autoSpaceDE w:val="0"/>
        <w:autoSpaceDN w:val="0"/>
        <w:adjustRightInd w:val="0"/>
        <w:jc w:val="both"/>
        <w:rPr>
          <w:rFonts w:ascii="Arial" w:hAnsi="Arial" w:cs="Arial"/>
          <w:szCs w:val="24"/>
        </w:rPr>
      </w:pPr>
      <w:r>
        <w:rPr>
          <w:rFonts w:ascii="Arial" w:hAnsi="Arial" w:cs="Arial"/>
          <w:szCs w:val="24"/>
        </w:rPr>
        <w:t>Selon l’article 5, si</w:t>
      </w:r>
      <w:r w:rsidRPr="00D17681">
        <w:rPr>
          <w:rFonts w:ascii="Arial" w:hAnsi="Arial" w:cs="Arial"/>
          <w:szCs w:val="24"/>
        </w:rPr>
        <w:t xml:space="preserve"> plusieurs équipements ou installations radioélectriques engendrent simultanément des </w:t>
      </w:r>
      <w:r>
        <w:rPr>
          <w:rFonts w:ascii="Arial" w:hAnsi="Arial" w:cs="Arial"/>
          <w:szCs w:val="24"/>
        </w:rPr>
        <w:t>champs électromagnétique</w:t>
      </w:r>
      <w:r w:rsidR="001F17E3">
        <w:rPr>
          <w:rFonts w:ascii="Arial" w:hAnsi="Arial" w:cs="Arial"/>
          <w:szCs w:val="24"/>
        </w:rPr>
        <w:t>s</w:t>
      </w:r>
      <w:r>
        <w:rPr>
          <w:rFonts w:ascii="Arial" w:hAnsi="Arial" w:cs="Arial"/>
          <w:szCs w:val="24"/>
        </w:rPr>
        <w:t xml:space="preserve"> </w:t>
      </w:r>
      <w:r w:rsidRPr="00D17681">
        <w:rPr>
          <w:rFonts w:ascii="Arial" w:hAnsi="Arial" w:cs="Arial"/>
          <w:szCs w:val="24"/>
        </w:rPr>
        <w:t xml:space="preserve">en un lieu donné, les </w:t>
      </w:r>
      <w:r>
        <w:rPr>
          <w:rFonts w:ascii="Arial" w:hAnsi="Arial" w:cs="Arial"/>
          <w:szCs w:val="24"/>
        </w:rPr>
        <w:t xml:space="preserve">opérateurs sont obligés à s’assurer que le niveau </w:t>
      </w:r>
      <w:r w:rsidRPr="00D17681">
        <w:rPr>
          <w:rFonts w:ascii="Arial" w:hAnsi="Arial" w:cs="Arial"/>
          <w:szCs w:val="24"/>
        </w:rPr>
        <w:t>d’exposition du public aux champs électromagnétiques émis globalement par l'ensemble des équipements et installations concernés soit strictement inférieur a</w:t>
      </w:r>
      <w:r>
        <w:rPr>
          <w:rFonts w:ascii="Arial" w:hAnsi="Arial" w:cs="Arial"/>
          <w:szCs w:val="24"/>
        </w:rPr>
        <w:t>ux valeurs limites de référence décrit dans l’annexe de l’arrêter.</w:t>
      </w:r>
    </w:p>
    <w:p w14:paraId="32CDA366" w14:textId="77777777" w:rsidR="008640E2" w:rsidRDefault="0318FA25" w:rsidP="08964A2F">
      <w:pPr>
        <w:autoSpaceDE w:val="0"/>
        <w:autoSpaceDN w:val="0"/>
        <w:adjustRightInd w:val="0"/>
        <w:jc w:val="both"/>
        <w:rPr>
          <w:rFonts w:ascii="Arial" w:hAnsi="Arial" w:cs="Arial"/>
        </w:rPr>
      </w:pPr>
      <w:r w:rsidRPr="08964A2F">
        <w:rPr>
          <w:rFonts w:ascii="Arial" w:hAnsi="Arial" w:cs="Arial"/>
        </w:rPr>
        <w:t>Pour le bien de la population, et surtout les personnes vulnérable</w:t>
      </w:r>
      <w:r w:rsidR="6115205D" w:rsidRPr="08964A2F">
        <w:rPr>
          <w:rFonts w:ascii="Arial" w:hAnsi="Arial" w:cs="Arial"/>
        </w:rPr>
        <w:t>s</w:t>
      </w:r>
      <w:r w:rsidR="00D17681" w:rsidRPr="08964A2F">
        <w:rPr>
          <w:rStyle w:val="Appelnotedebasdep"/>
          <w:rFonts w:ascii="Arial" w:hAnsi="Arial" w:cs="Arial"/>
        </w:rPr>
        <w:footnoteReference w:id="69"/>
      </w:r>
      <w:r w:rsidRPr="08964A2F">
        <w:rPr>
          <w:rFonts w:ascii="Arial" w:hAnsi="Arial" w:cs="Arial"/>
        </w:rPr>
        <w:t xml:space="preserve"> </w:t>
      </w:r>
      <w:r w:rsidR="733BF392" w:rsidRPr="08964A2F">
        <w:rPr>
          <w:rFonts w:ascii="Arial" w:hAnsi="Arial" w:cs="Arial"/>
        </w:rPr>
        <w:t xml:space="preserve">(article 8), </w:t>
      </w:r>
      <w:r w:rsidRPr="08964A2F">
        <w:rPr>
          <w:rFonts w:ascii="Arial" w:hAnsi="Arial" w:cs="Arial"/>
        </w:rPr>
        <w:t xml:space="preserve">il est interdit aux opérateurs de déclencher la mise en marche des équipements ou des installations radioélectriques sans avoir remis entre les mains de l'Agence de Régulation un dossier contenant les dispositions nécessaires pour assurer effectivement la préservation de la santé de ces personnes. </w:t>
      </w:r>
      <w:r w:rsidR="733BF392" w:rsidRPr="08964A2F">
        <w:rPr>
          <w:rFonts w:ascii="Arial" w:hAnsi="Arial" w:cs="Arial"/>
        </w:rPr>
        <w:t>En outre, les opérateurs doi</w:t>
      </w:r>
      <w:r w:rsidR="0080479A">
        <w:rPr>
          <w:rFonts w:ascii="Arial" w:hAnsi="Arial" w:cs="Arial"/>
        </w:rPr>
        <w:t>ven</w:t>
      </w:r>
      <w:r w:rsidR="733BF392" w:rsidRPr="08964A2F">
        <w:rPr>
          <w:rFonts w:ascii="Arial" w:hAnsi="Arial" w:cs="Arial"/>
        </w:rPr>
        <w:t>t s’assurer que</w:t>
      </w:r>
      <w:r w:rsidRPr="08964A2F">
        <w:rPr>
          <w:rFonts w:ascii="Arial" w:hAnsi="Arial" w:cs="Arial"/>
        </w:rPr>
        <w:t xml:space="preserve"> dans un rayon de cent mètres, l'exposition du public au champ </w:t>
      </w:r>
      <w:r w:rsidR="733BF392" w:rsidRPr="08964A2F">
        <w:rPr>
          <w:rFonts w:ascii="Arial" w:hAnsi="Arial" w:cs="Arial"/>
        </w:rPr>
        <w:t>électromagnétique</w:t>
      </w:r>
      <w:r w:rsidRPr="08964A2F">
        <w:rPr>
          <w:rFonts w:ascii="Arial" w:hAnsi="Arial" w:cs="Arial"/>
        </w:rPr>
        <w:t xml:space="preserve"> émis par l'équipement ou l'installation est aussi faible que possible tout en préservant la qualité du service</w:t>
      </w:r>
    </w:p>
    <w:p w14:paraId="16025F11" w14:textId="77777777" w:rsidR="004E191E" w:rsidRPr="004E191E" w:rsidRDefault="004E191E" w:rsidP="0044500E">
      <w:pPr>
        <w:pStyle w:val="TIT3"/>
        <w:numPr>
          <w:ilvl w:val="2"/>
          <w:numId w:val="177"/>
        </w:numPr>
      </w:pPr>
      <w:bookmarkStart w:id="596" w:name="_Toc124314702"/>
      <w:bookmarkStart w:id="597" w:name="_Toc124956180"/>
      <w:bookmarkStart w:id="598" w:name="_Toc125384579"/>
      <w:bookmarkStart w:id="599" w:name="_Toc125384968"/>
      <w:bookmarkStart w:id="600" w:name="_Toc127957640"/>
      <w:r w:rsidRPr="004E191E">
        <w:t>Cadre législatif régissant l’environnement</w:t>
      </w:r>
      <w:bookmarkEnd w:id="596"/>
      <w:bookmarkEnd w:id="597"/>
      <w:bookmarkEnd w:id="598"/>
      <w:bookmarkEnd w:id="599"/>
      <w:bookmarkEnd w:id="600"/>
    </w:p>
    <w:p w14:paraId="7405CEF0" w14:textId="77777777" w:rsidR="004E191E" w:rsidRPr="004E191E" w:rsidRDefault="004E191E" w:rsidP="00687DD2">
      <w:pPr>
        <w:pStyle w:val="Paragraphedeliste"/>
        <w:numPr>
          <w:ilvl w:val="0"/>
          <w:numId w:val="9"/>
        </w:numPr>
        <w:suppressAutoHyphens/>
        <w:spacing w:after="120" w:line="240" w:lineRule="auto"/>
        <w:ind w:left="714" w:hanging="357"/>
        <w:jc w:val="both"/>
        <w:rPr>
          <w:rFonts w:ascii="Arial" w:hAnsi="Arial" w:cs="Arial"/>
          <w:b/>
          <w:bCs/>
        </w:rPr>
      </w:pPr>
      <w:r w:rsidRPr="004E191E">
        <w:rPr>
          <w:rFonts w:ascii="Arial" w:hAnsi="Arial" w:cs="Arial"/>
          <w:b/>
          <w:bCs/>
        </w:rPr>
        <w:t xml:space="preserve">LOI N°2015-003 du 19 février 2015 portant Charte de l’Environnement actualisée </w:t>
      </w:r>
    </w:p>
    <w:p w14:paraId="1DE0BD22" w14:textId="77777777" w:rsidR="004E191E" w:rsidRPr="004E191E" w:rsidRDefault="004E191E" w:rsidP="004E191E">
      <w:pPr>
        <w:autoSpaceDE w:val="0"/>
        <w:autoSpaceDN w:val="0"/>
        <w:adjustRightInd w:val="0"/>
        <w:jc w:val="both"/>
        <w:rPr>
          <w:rFonts w:ascii="Arial" w:hAnsi="Arial" w:cs="Arial"/>
          <w:szCs w:val="24"/>
        </w:rPr>
      </w:pPr>
      <w:r w:rsidRPr="004E191E">
        <w:rPr>
          <w:rFonts w:ascii="Arial" w:hAnsi="Arial" w:cs="Arial"/>
          <w:szCs w:val="24"/>
        </w:rPr>
        <w:t xml:space="preserve">Il s’agit d’une Loi-cadre fixant les règles et les principes fondamentaux pour la gestion de l’environnement ainsi que sa valorisation. Elle a abrogé les dispositions des lois 90-033, 97-012 et 2004/015. </w:t>
      </w:r>
    </w:p>
    <w:p w14:paraId="51C48336" w14:textId="77777777" w:rsidR="004E191E" w:rsidRPr="004E191E" w:rsidRDefault="004E191E" w:rsidP="004E191E">
      <w:pPr>
        <w:autoSpaceDE w:val="0"/>
        <w:autoSpaceDN w:val="0"/>
        <w:adjustRightInd w:val="0"/>
        <w:jc w:val="both"/>
        <w:rPr>
          <w:rFonts w:ascii="Arial" w:hAnsi="Arial" w:cs="Arial"/>
          <w:szCs w:val="24"/>
        </w:rPr>
      </w:pPr>
      <w:r w:rsidRPr="004E191E">
        <w:rPr>
          <w:rFonts w:ascii="Arial" w:hAnsi="Arial" w:cs="Arial"/>
          <w:szCs w:val="24"/>
        </w:rPr>
        <w:t xml:space="preserve">La Loi oblige la réalisation de l’évaluation environnementale dans le cadre de tout projet d’investissement. Ainsi, tous les projets d’investissements privés ou publics, qu’ils soient soumis ou non à une autorisation ou une approbation d’une autorité administrative ou qu’ils soient susceptibles de porter atteinte à l’environnement doivent faire l’objet d’une étude d’impact environnemental. L’évaluation environnementale met en relief que le projet soumis est celui du moindre impact, les impacts anticipés pourraient être atténués et les impacts résiduels acceptables. La Charte précise l’obligation de préparer le Plan de gestion environnementale et sociale ou PGEP, qui constitue le cahier de charges environnementales et sociales et qui consiste en un programme de mise en œuvre et de suivi des mesures envisagées par l’EIE pour réduire, supprimer, et éventuellement compenser les conséquences dommageables du projet sur l’environnement. </w:t>
      </w:r>
    </w:p>
    <w:p w14:paraId="7AEAA1DB" w14:textId="77777777" w:rsidR="004E191E" w:rsidRPr="004E191E" w:rsidRDefault="004E191E" w:rsidP="004E191E">
      <w:pPr>
        <w:autoSpaceDE w:val="0"/>
        <w:autoSpaceDN w:val="0"/>
        <w:adjustRightInd w:val="0"/>
        <w:jc w:val="both"/>
        <w:rPr>
          <w:rFonts w:ascii="Arial" w:hAnsi="Arial" w:cs="Arial"/>
          <w:szCs w:val="24"/>
        </w:rPr>
      </w:pPr>
      <w:r w:rsidRPr="004E191E">
        <w:rPr>
          <w:rFonts w:ascii="Arial" w:hAnsi="Arial" w:cs="Arial"/>
          <w:szCs w:val="24"/>
        </w:rPr>
        <w:t>Une des actions principales en matière de bonne gouvernance environnementale est l’existence de dispositifs d’évaluation, d’étude, de contrôle, de suivi/inspection des impacts environnementaux, à travers l’Evaluation environnementale stratégique (EES), l’Etude d’impact environnemental (EIE), Programme d’Engagement Environnemental (PREE) et Audit environnemental.</w:t>
      </w:r>
    </w:p>
    <w:p w14:paraId="16503656" w14:textId="77777777" w:rsidR="004E191E" w:rsidRPr="004E191E" w:rsidRDefault="004E191E" w:rsidP="004E191E">
      <w:pPr>
        <w:autoSpaceDE w:val="0"/>
        <w:autoSpaceDN w:val="0"/>
        <w:adjustRightInd w:val="0"/>
        <w:jc w:val="both"/>
        <w:rPr>
          <w:rFonts w:ascii="Arial" w:hAnsi="Arial" w:cs="Arial"/>
          <w:szCs w:val="24"/>
        </w:rPr>
      </w:pPr>
      <w:r w:rsidRPr="004E191E">
        <w:rPr>
          <w:rFonts w:ascii="Arial" w:hAnsi="Arial" w:cs="Arial"/>
          <w:szCs w:val="24"/>
        </w:rPr>
        <w:t xml:space="preserve">Le Projet retiendra que toute personne physique ou morale a le droit d’accéder aux informations susceptibles d’exercer des influences sur l’environnement. Toute personne physique ou morale a le droit de participer aux procédures préalables à a prise de décisions susceptibles d’avoir des effets préjudiciables </w:t>
      </w:r>
      <w:r w:rsidR="00563C78">
        <w:rPr>
          <w:rFonts w:ascii="Arial" w:hAnsi="Arial" w:cs="Arial"/>
          <w:szCs w:val="24"/>
        </w:rPr>
        <w:t>sur</w:t>
      </w:r>
      <w:r w:rsidR="00563C78" w:rsidRPr="004E191E">
        <w:rPr>
          <w:rFonts w:ascii="Arial" w:hAnsi="Arial" w:cs="Arial"/>
          <w:szCs w:val="24"/>
        </w:rPr>
        <w:t xml:space="preserve"> </w:t>
      </w:r>
      <w:r w:rsidRPr="004E191E">
        <w:rPr>
          <w:rFonts w:ascii="Arial" w:hAnsi="Arial" w:cs="Arial"/>
          <w:szCs w:val="24"/>
        </w:rPr>
        <w:t>l’environnement.</w:t>
      </w:r>
    </w:p>
    <w:p w14:paraId="1E414AC0" w14:textId="77777777" w:rsidR="004E191E" w:rsidRPr="004E191E" w:rsidRDefault="02029864" w:rsidP="08964A2F">
      <w:pPr>
        <w:autoSpaceDE w:val="0"/>
        <w:autoSpaceDN w:val="0"/>
        <w:adjustRightInd w:val="0"/>
        <w:jc w:val="both"/>
        <w:rPr>
          <w:rFonts w:ascii="Arial" w:hAnsi="Arial" w:cs="Arial"/>
        </w:rPr>
      </w:pPr>
      <w:r w:rsidRPr="08964A2F">
        <w:rPr>
          <w:rFonts w:ascii="Arial" w:hAnsi="Arial" w:cs="Arial"/>
        </w:rPr>
        <w:t xml:space="preserve">Le Projet </w:t>
      </w:r>
      <w:r w:rsidR="3FABCF8E" w:rsidRPr="08964A2F">
        <w:rPr>
          <w:rFonts w:ascii="Arial" w:hAnsi="Arial" w:cs="Arial"/>
        </w:rPr>
        <w:t>DECIM</w:t>
      </w:r>
      <w:r w:rsidRPr="08964A2F">
        <w:rPr>
          <w:rFonts w:ascii="Arial" w:hAnsi="Arial" w:cs="Arial"/>
        </w:rPr>
        <w:t xml:space="preserve"> se conformera à l’obligation de publication de résumé non technique</w:t>
      </w:r>
      <w:r w:rsidR="003104AE">
        <w:rPr>
          <w:rFonts w:ascii="Arial" w:hAnsi="Arial" w:cs="Arial"/>
        </w:rPr>
        <w:t xml:space="preserve"> </w:t>
      </w:r>
      <w:r w:rsidRPr="08964A2F">
        <w:rPr>
          <w:rFonts w:ascii="Arial" w:hAnsi="Arial" w:cs="Arial"/>
        </w:rPr>
        <w:t>en malagasy et en français</w:t>
      </w:r>
      <w:r w:rsidR="003104AE" w:rsidRPr="003104AE">
        <w:rPr>
          <w:rFonts w:ascii="Arial" w:hAnsi="Arial" w:cs="Arial"/>
        </w:rPr>
        <w:t xml:space="preserve"> </w:t>
      </w:r>
      <w:r w:rsidR="003104AE">
        <w:rPr>
          <w:rFonts w:ascii="Arial" w:hAnsi="Arial" w:cs="Arial"/>
        </w:rPr>
        <w:t xml:space="preserve">des évaluations environnementales et sociales (EIES, PREE, PGES, etc.) </w:t>
      </w:r>
      <w:r w:rsidR="003104AE" w:rsidRPr="00742D67">
        <w:rPr>
          <w:rFonts w:ascii="Arial" w:hAnsi="Arial" w:cs="Arial"/>
        </w:rPr>
        <w:t>des sous projets selon la catégorisation de l’activité et conformément aux procédures décrites dans ce CGES</w:t>
      </w:r>
      <w:r w:rsidRPr="08964A2F">
        <w:rPr>
          <w:rFonts w:ascii="Arial" w:hAnsi="Arial" w:cs="Arial"/>
        </w:rPr>
        <w:t>, afin de faciliter la prise de connaissance par le public des informations contenues dans l’étude. Ce résumé indique en substance en des termes accessibles au public, l’état initial du site et de son environnement, les modifications apportées par le projet et les mesures envisagées pour pallier les conséquences dommageables de l’investissement à l’environnement.</w:t>
      </w:r>
    </w:p>
    <w:p w14:paraId="49DD627E" w14:textId="77777777" w:rsidR="004E191E" w:rsidRPr="004E191E" w:rsidRDefault="004E191E" w:rsidP="00687DD2">
      <w:pPr>
        <w:pStyle w:val="Paragraphedeliste"/>
        <w:numPr>
          <w:ilvl w:val="0"/>
          <w:numId w:val="9"/>
        </w:numPr>
        <w:suppressAutoHyphens/>
        <w:spacing w:after="120" w:line="240" w:lineRule="auto"/>
        <w:ind w:left="714" w:hanging="357"/>
        <w:jc w:val="both"/>
        <w:rPr>
          <w:rFonts w:ascii="Arial" w:hAnsi="Arial" w:cs="Arial"/>
          <w:b/>
          <w:bCs/>
        </w:rPr>
      </w:pPr>
      <w:r w:rsidRPr="004E191E">
        <w:rPr>
          <w:rFonts w:ascii="Arial" w:hAnsi="Arial" w:cs="Arial"/>
          <w:b/>
          <w:bCs/>
        </w:rPr>
        <w:t>Décret N°99-954 du 15 décembre 1999 relatif à la mise en compatibilité des investissements avec l’environnement (MECIE) modifié par le Décret N° 2004-167 du 03 février 2004</w:t>
      </w:r>
    </w:p>
    <w:p w14:paraId="4D186532" w14:textId="77777777" w:rsidR="004E191E" w:rsidRPr="004E191E" w:rsidRDefault="004E191E" w:rsidP="004E191E">
      <w:pPr>
        <w:autoSpaceDE w:val="0"/>
        <w:autoSpaceDN w:val="0"/>
        <w:adjustRightInd w:val="0"/>
        <w:jc w:val="both"/>
        <w:rPr>
          <w:rFonts w:ascii="Arial" w:hAnsi="Arial" w:cs="Arial"/>
          <w:szCs w:val="24"/>
        </w:rPr>
      </w:pPr>
      <w:r w:rsidRPr="004E191E">
        <w:rPr>
          <w:rFonts w:ascii="Arial" w:hAnsi="Arial" w:cs="Arial"/>
          <w:szCs w:val="24"/>
        </w:rPr>
        <w:t>L’objectif de ce Décret est de fixer les règles et procédures à suivre en vue de la mise en compatibilité des investissements avec l’environnement et de préciser la nature, les attributions respectives et le degré d’autorité des institutions ou organismes habilités à cet effet. Le Décret MECIE présente en annexes une liste de projets obligatoirement soumis à une étude d’impact environnemental</w:t>
      </w:r>
      <w:r w:rsidR="00E1537A">
        <w:rPr>
          <w:rFonts w:ascii="Arial" w:hAnsi="Arial" w:cs="Arial"/>
          <w:szCs w:val="24"/>
        </w:rPr>
        <w:t>e</w:t>
      </w:r>
      <w:r w:rsidRPr="004E191E">
        <w:rPr>
          <w:rFonts w:ascii="Arial" w:hAnsi="Arial" w:cs="Arial"/>
          <w:szCs w:val="24"/>
        </w:rPr>
        <w:t xml:space="preserve"> et Social</w:t>
      </w:r>
      <w:r w:rsidR="00E1537A">
        <w:rPr>
          <w:rFonts w:ascii="Arial" w:hAnsi="Arial" w:cs="Arial"/>
          <w:szCs w:val="24"/>
        </w:rPr>
        <w:t>e</w:t>
      </w:r>
      <w:r w:rsidRPr="004E191E">
        <w:rPr>
          <w:rFonts w:ascii="Arial" w:hAnsi="Arial" w:cs="Arial"/>
          <w:szCs w:val="24"/>
        </w:rPr>
        <w:t xml:space="preserve"> (EIES) et à un programme d’engagement environnemental (PREE).</w:t>
      </w:r>
    </w:p>
    <w:p w14:paraId="3BEF1ECF" w14:textId="77777777" w:rsidR="004E191E" w:rsidRPr="004E191E" w:rsidRDefault="004E191E" w:rsidP="004E191E">
      <w:pPr>
        <w:autoSpaceDE w:val="0"/>
        <w:autoSpaceDN w:val="0"/>
        <w:adjustRightInd w:val="0"/>
        <w:jc w:val="both"/>
        <w:rPr>
          <w:rFonts w:ascii="Arial" w:hAnsi="Arial" w:cs="Arial"/>
          <w:szCs w:val="24"/>
        </w:rPr>
      </w:pPr>
      <w:r w:rsidRPr="004E191E">
        <w:rPr>
          <w:rFonts w:ascii="Arial" w:hAnsi="Arial" w:cs="Arial"/>
          <w:szCs w:val="24"/>
        </w:rPr>
        <w:t>Le Décret précise que si par suite d’un bouleversement de l’équilibre environnemental, les mesures initialement prises se révèlent inadaptées, l’investisseur est tenu de prendre les mesures d’ajustement nécessaires en vue de la mise en compatibilité permanente de ces investissements avec les nouvelles directives et les normes environnementales applicable en la matière.</w:t>
      </w:r>
    </w:p>
    <w:p w14:paraId="5F7DB766" w14:textId="77777777" w:rsidR="004E191E" w:rsidRPr="004E191E" w:rsidRDefault="02029864" w:rsidP="08964A2F">
      <w:pPr>
        <w:autoSpaceDE w:val="0"/>
        <w:autoSpaceDN w:val="0"/>
        <w:adjustRightInd w:val="0"/>
        <w:jc w:val="both"/>
        <w:rPr>
          <w:rFonts w:ascii="Arial" w:hAnsi="Arial" w:cs="Arial"/>
        </w:rPr>
      </w:pPr>
      <w:r w:rsidRPr="08964A2F">
        <w:rPr>
          <w:rFonts w:ascii="Arial" w:hAnsi="Arial" w:cs="Arial"/>
        </w:rPr>
        <w:t xml:space="preserve">Le PGEP est l’instrument de suivi officiel. Le Plan de Gestion Environnementale du Projet qui constitue le cahier de charges environnemental dudit Projet et consiste en un programme de mise en œuvre et de suivi des mesures envisagées par l’EIE pour supprimer, réduire et éventuellement compenser les conséquences dommageables du projet sur l’environnement. </w:t>
      </w:r>
    </w:p>
    <w:p w14:paraId="74F1B9D7" w14:textId="77777777" w:rsidR="004E191E" w:rsidRPr="004E191E" w:rsidRDefault="004E191E" w:rsidP="00687DD2">
      <w:pPr>
        <w:pStyle w:val="Paragraphedeliste"/>
        <w:numPr>
          <w:ilvl w:val="0"/>
          <w:numId w:val="9"/>
        </w:numPr>
        <w:suppressAutoHyphens/>
        <w:spacing w:after="120" w:line="240" w:lineRule="auto"/>
        <w:ind w:left="714" w:hanging="357"/>
        <w:jc w:val="both"/>
        <w:rPr>
          <w:rFonts w:ascii="Arial" w:hAnsi="Arial" w:cs="Arial"/>
          <w:b/>
          <w:bCs/>
        </w:rPr>
      </w:pPr>
      <w:r w:rsidRPr="004E191E">
        <w:rPr>
          <w:rFonts w:ascii="Arial" w:hAnsi="Arial" w:cs="Arial"/>
          <w:b/>
          <w:bCs/>
        </w:rPr>
        <w:t xml:space="preserve">Arrêté N°6830 / 2001 du 28 juin 2001 fixant les modalités et les procédures de participation du public à l’évaluation environnementale </w:t>
      </w:r>
    </w:p>
    <w:p w14:paraId="78735B9F" w14:textId="77777777" w:rsidR="004E191E" w:rsidRPr="00F01166" w:rsidRDefault="02029864" w:rsidP="08964A2F">
      <w:pPr>
        <w:autoSpaceDE w:val="0"/>
        <w:autoSpaceDN w:val="0"/>
        <w:adjustRightInd w:val="0"/>
        <w:jc w:val="both"/>
        <w:rPr>
          <w:rFonts w:ascii="Arial" w:hAnsi="Arial" w:cs="Arial"/>
        </w:rPr>
      </w:pPr>
      <w:r w:rsidRPr="08964A2F">
        <w:rPr>
          <w:rFonts w:ascii="Arial" w:hAnsi="Arial" w:cs="Arial"/>
        </w:rPr>
        <w:t>L’Arrêté spécifie l’obligation d’informer le public concerné sur l’existence du projet et de recueillir ses avis à ce propos. La participation du public à l’évaluation environnementale se fait soit par consultation sur place des documents, soit par enquête publique, soit par audience publique et comporte une phase d’information sur le projet et une phase de consultation durant laquelle il est procédé au recueil des avis du public concerné par le projet. La décision sur la forme que prendra la participation du public à l’évaluation est définie dans des directives techniques environnementales notifiées par l</w:t>
      </w:r>
      <w:r w:rsidR="00563C78" w:rsidRPr="00563C78">
        <w:rPr>
          <w:rFonts w:ascii="Arial" w:hAnsi="Arial" w:cs="Arial"/>
        </w:rPr>
        <w:t xml:space="preserve"> </w:t>
      </w:r>
      <w:r w:rsidR="00563C78" w:rsidRPr="08964A2F">
        <w:rPr>
          <w:rFonts w:ascii="Arial" w:hAnsi="Arial" w:cs="Arial"/>
        </w:rPr>
        <w:t>O</w:t>
      </w:r>
      <w:r w:rsidR="00563C78">
        <w:rPr>
          <w:rFonts w:ascii="Arial" w:hAnsi="Arial" w:cs="Arial"/>
        </w:rPr>
        <w:t xml:space="preserve">ffice </w:t>
      </w:r>
      <w:r w:rsidR="00563C78" w:rsidRPr="08964A2F">
        <w:rPr>
          <w:rFonts w:ascii="Arial" w:hAnsi="Arial" w:cs="Arial"/>
        </w:rPr>
        <w:t>N</w:t>
      </w:r>
      <w:r w:rsidR="00563C78">
        <w:rPr>
          <w:rFonts w:ascii="Arial" w:hAnsi="Arial" w:cs="Arial"/>
        </w:rPr>
        <w:t>ational pour l’</w:t>
      </w:r>
      <w:r w:rsidR="00563C78" w:rsidRPr="08964A2F">
        <w:rPr>
          <w:rFonts w:ascii="Arial" w:hAnsi="Arial" w:cs="Arial"/>
        </w:rPr>
        <w:t>E</w:t>
      </w:r>
      <w:r w:rsidR="00563C78">
        <w:rPr>
          <w:rFonts w:ascii="Arial" w:hAnsi="Arial" w:cs="Arial"/>
        </w:rPr>
        <w:t>nvironnement (ONE)</w:t>
      </w:r>
      <w:r w:rsidRPr="08964A2F">
        <w:rPr>
          <w:rFonts w:ascii="Arial" w:hAnsi="Arial" w:cs="Arial"/>
        </w:rPr>
        <w:t xml:space="preserve"> au promoteur au moins quinze (15) jours avant l’évaluation par le public. Le Projet </w:t>
      </w:r>
      <w:r w:rsidR="3FABCF8E" w:rsidRPr="08964A2F">
        <w:rPr>
          <w:rFonts w:ascii="Arial" w:hAnsi="Arial" w:cs="Arial"/>
        </w:rPr>
        <w:t>DECIM</w:t>
      </w:r>
      <w:r w:rsidRPr="08964A2F">
        <w:rPr>
          <w:rFonts w:ascii="Arial" w:hAnsi="Arial" w:cs="Arial"/>
        </w:rPr>
        <w:t xml:space="preserve"> est tenu de se conformer aux dispositions </w:t>
      </w:r>
      <w:r w:rsidRPr="00F01166">
        <w:rPr>
          <w:rFonts w:ascii="Arial" w:hAnsi="Arial" w:cs="Arial"/>
        </w:rPr>
        <w:t>de cet Arrêté.</w:t>
      </w:r>
    </w:p>
    <w:p w14:paraId="7C8EDFF7" w14:textId="77777777" w:rsidR="00CD633E" w:rsidRPr="00F01166" w:rsidRDefault="00F0160D" w:rsidP="00B434A6">
      <w:pPr>
        <w:pStyle w:val="Paragraphedeliste"/>
        <w:numPr>
          <w:ilvl w:val="0"/>
          <w:numId w:val="9"/>
        </w:numPr>
        <w:suppressAutoHyphens/>
        <w:spacing w:after="120" w:line="240" w:lineRule="auto"/>
        <w:ind w:left="714" w:hanging="357"/>
        <w:jc w:val="both"/>
        <w:rPr>
          <w:rFonts w:ascii="Arial" w:hAnsi="Arial" w:cs="Arial"/>
          <w:b/>
          <w:bCs/>
          <w:color w:val="auto"/>
        </w:rPr>
      </w:pPr>
      <w:r w:rsidRPr="00F01166">
        <w:rPr>
          <w:rFonts w:ascii="Arial" w:hAnsi="Arial" w:cs="Arial"/>
          <w:b/>
          <w:bCs/>
          <w:color w:val="auto"/>
        </w:rPr>
        <w:t>Arrêté interministériel nº 4355/97 portant définition et délimitation des zones sensibles</w:t>
      </w:r>
    </w:p>
    <w:p w14:paraId="1032F4A7" w14:textId="77777777" w:rsidR="00F0160D" w:rsidRPr="00742D67" w:rsidRDefault="00F0160D" w:rsidP="00B434A6">
      <w:pPr>
        <w:autoSpaceDE w:val="0"/>
        <w:autoSpaceDN w:val="0"/>
        <w:adjustRightInd w:val="0"/>
        <w:jc w:val="both"/>
        <w:rPr>
          <w:rFonts w:ascii="Arial" w:hAnsi="Arial" w:cs="Arial"/>
        </w:rPr>
      </w:pPr>
      <w:r w:rsidRPr="00F01166">
        <w:rPr>
          <w:rFonts w:ascii="Arial" w:hAnsi="Arial" w:cs="Arial"/>
        </w:rPr>
        <w:t>Cet arrêté s’inscrit dans le cadre de l’application</w:t>
      </w:r>
      <w:r w:rsidRPr="00742D67">
        <w:rPr>
          <w:rFonts w:ascii="Arial" w:hAnsi="Arial" w:cs="Arial"/>
        </w:rPr>
        <w:t xml:space="preserve"> du décret MECIE relatif à la Mise en Compatibilité des Investissements avec l’Environnement.</w:t>
      </w:r>
    </w:p>
    <w:p w14:paraId="0DE07021" w14:textId="77777777" w:rsidR="00F0160D" w:rsidRPr="00742D67" w:rsidRDefault="00F0160D" w:rsidP="00B434A6">
      <w:pPr>
        <w:autoSpaceDE w:val="0"/>
        <w:autoSpaceDN w:val="0"/>
        <w:adjustRightInd w:val="0"/>
        <w:jc w:val="both"/>
        <w:rPr>
          <w:rFonts w:ascii="Arial" w:hAnsi="Arial" w:cs="Arial"/>
        </w:rPr>
      </w:pPr>
      <w:r w:rsidRPr="00742D67">
        <w:rPr>
          <w:rFonts w:ascii="Arial" w:hAnsi="Arial" w:cs="Arial"/>
        </w:rPr>
        <w:t>En son article 2, elle définit les zones sensibles comme étant les zones constituées par un ou plusieurs éléments de nature biologique, écologique, climatique, physico-chimique, culturelle, socio-économique caractérisés par une valeur spécifique et une certaine fragilité vis-à-vis des activités humaines et des phénomènes naturels susceptibles de modifier lesdits éléments et /ou de dégrader voire de détruire ladite zone.</w:t>
      </w:r>
    </w:p>
    <w:p w14:paraId="763A6412" w14:textId="77777777" w:rsidR="00F0160D" w:rsidRPr="00742D67" w:rsidRDefault="00F0160D" w:rsidP="00B434A6">
      <w:pPr>
        <w:autoSpaceDE w:val="0"/>
        <w:autoSpaceDN w:val="0"/>
        <w:adjustRightInd w:val="0"/>
        <w:jc w:val="both"/>
        <w:rPr>
          <w:rFonts w:ascii="Arial" w:hAnsi="Arial" w:cs="Arial"/>
        </w:rPr>
      </w:pPr>
      <w:r w:rsidRPr="00742D67">
        <w:rPr>
          <w:rFonts w:ascii="Arial" w:hAnsi="Arial" w:cs="Arial"/>
        </w:rPr>
        <w:t>Sont considérée</w:t>
      </w:r>
      <w:r w:rsidR="00563C78">
        <w:rPr>
          <w:rFonts w:ascii="Arial" w:hAnsi="Arial" w:cs="Arial"/>
        </w:rPr>
        <w:t>s</w:t>
      </w:r>
      <w:r w:rsidRPr="00742D67">
        <w:rPr>
          <w:rFonts w:ascii="Arial" w:hAnsi="Arial" w:cs="Arial"/>
        </w:rPr>
        <w:t xml:space="preserve"> comme zone</w:t>
      </w:r>
      <w:r w:rsidR="00563C78">
        <w:rPr>
          <w:rFonts w:ascii="Arial" w:hAnsi="Arial" w:cs="Arial"/>
        </w:rPr>
        <w:t>s</w:t>
      </w:r>
      <w:r w:rsidRPr="00742D67">
        <w:rPr>
          <w:rFonts w:ascii="Arial" w:hAnsi="Arial" w:cs="Arial"/>
        </w:rPr>
        <w:t xml:space="preserve"> sensible : les récifs coralliens, les mangroves, les îlots, les forêts tropicales, les zones sujettes à érosion, les zones arides ou semi-arides sujettes à désertification, les zones marécageuses, les zones de conservation naturelle, les périmètres de protection des eaux potables, minérales ou souterraines, les sites paléontologiques, archéologiques, historiques ainsi que leurs périmètres de protection. Les zones abritant les espèces protégées et/ou en voie de disparition sont fusionnées avec les zones de conservation naturelle à l’intérieur desquelles elles se trouvent.</w:t>
      </w:r>
    </w:p>
    <w:p w14:paraId="391E0EAF" w14:textId="77777777" w:rsidR="00F0160D" w:rsidRPr="00B434A6" w:rsidRDefault="00F0160D" w:rsidP="00B434A6">
      <w:pPr>
        <w:suppressAutoHyphens/>
        <w:spacing w:after="120" w:line="240" w:lineRule="auto"/>
        <w:jc w:val="both"/>
        <w:rPr>
          <w:rFonts w:ascii="Arial" w:hAnsi="Arial" w:cs="Arial"/>
          <w:b/>
          <w:bCs/>
        </w:rPr>
      </w:pPr>
    </w:p>
    <w:p w14:paraId="51262B10" w14:textId="77777777" w:rsidR="004E191E" w:rsidRPr="004E191E" w:rsidRDefault="004E191E" w:rsidP="0044500E">
      <w:pPr>
        <w:pStyle w:val="TIT3"/>
        <w:numPr>
          <w:ilvl w:val="2"/>
          <w:numId w:val="177"/>
        </w:numPr>
      </w:pPr>
      <w:bookmarkStart w:id="601" w:name="_Toc124956181"/>
      <w:bookmarkStart w:id="602" w:name="_Toc124314703"/>
      <w:bookmarkStart w:id="603" w:name="_Toc125384580"/>
      <w:bookmarkStart w:id="604" w:name="_Toc125384969"/>
      <w:bookmarkStart w:id="605" w:name="_Toc127957641"/>
      <w:r w:rsidRPr="004E191E">
        <w:t>Cadre législatif régissant la sant</w:t>
      </w:r>
      <w:r w:rsidR="00E1537A">
        <w:t>é</w:t>
      </w:r>
      <w:bookmarkEnd w:id="601"/>
      <w:bookmarkEnd w:id="602"/>
      <w:bookmarkEnd w:id="603"/>
      <w:bookmarkEnd w:id="604"/>
      <w:bookmarkEnd w:id="605"/>
    </w:p>
    <w:p w14:paraId="404ED656" w14:textId="77777777" w:rsidR="004E191E" w:rsidRPr="004E191E" w:rsidRDefault="004E191E" w:rsidP="00687DD2">
      <w:pPr>
        <w:pStyle w:val="Paragraphedeliste"/>
        <w:numPr>
          <w:ilvl w:val="0"/>
          <w:numId w:val="9"/>
        </w:numPr>
        <w:suppressAutoHyphens/>
        <w:spacing w:after="120" w:line="240" w:lineRule="auto"/>
        <w:ind w:left="714" w:hanging="357"/>
        <w:jc w:val="both"/>
        <w:rPr>
          <w:rFonts w:ascii="Arial" w:hAnsi="Arial" w:cs="Arial"/>
          <w:b/>
          <w:bCs/>
        </w:rPr>
      </w:pPr>
      <w:r w:rsidRPr="004E191E">
        <w:rPr>
          <w:rFonts w:ascii="Arial" w:hAnsi="Arial" w:cs="Arial"/>
          <w:b/>
          <w:bCs/>
        </w:rPr>
        <w:t>Loi 2011- 022 du 15 juillet 2011 portant Code de la Santé</w:t>
      </w:r>
    </w:p>
    <w:p w14:paraId="2B816CB2" w14:textId="77777777" w:rsidR="004E191E" w:rsidRPr="004E191E" w:rsidRDefault="004E191E" w:rsidP="004E191E">
      <w:pPr>
        <w:autoSpaceDE w:val="0"/>
        <w:autoSpaceDN w:val="0"/>
        <w:adjustRightInd w:val="0"/>
        <w:jc w:val="both"/>
        <w:rPr>
          <w:rFonts w:ascii="Arial" w:hAnsi="Arial" w:cs="Arial"/>
          <w:szCs w:val="24"/>
        </w:rPr>
      </w:pPr>
      <w:r w:rsidRPr="004E191E">
        <w:rPr>
          <w:rFonts w:ascii="Arial" w:hAnsi="Arial" w:cs="Arial"/>
          <w:szCs w:val="24"/>
        </w:rPr>
        <w:t xml:space="preserve">Le Code de la santé définit, les principes fondamentaux qui régissent, dans le cadre de la Politique Nationale de la Santé, les mesures sanitaires et d’hygiène générales aménageant et améliorant l’accès de la population aux services de santé, la protégeant contre les maladies. </w:t>
      </w:r>
    </w:p>
    <w:p w14:paraId="1F33BF22" w14:textId="77777777" w:rsidR="004E191E" w:rsidRPr="004E191E" w:rsidRDefault="004E191E" w:rsidP="004E191E">
      <w:pPr>
        <w:autoSpaceDE w:val="0"/>
        <w:autoSpaceDN w:val="0"/>
        <w:adjustRightInd w:val="0"/>
        <w:jc w:val="both"/>
        <w:rPr>
          <w:rFonts w:ascii="Arial" w:hAnsi="Arial" w:cs="Arial"/>
          <w:szCs w:val="24"/>
        </w:rPr>
      </w:pPr>
      <w:r w:rsidRPr="004E191E">
        <w:rPr>
          <w:rFonts w:ascii="Arial" w:hAnsi="Arial" w:cs="Arial"/>
          <w:szCs w:val="24"/>
        </w:rPr>
        <w:t xml:space="preserve">Le Code de santé précise l’application des règlements sanitaires, auxquels les collectivités territoriales décentralisées ont la responsabilité d’assurer le contrôle de la mise en application des dispositions y afférentes. Il est cité entre autres les dispositions relatives à la salubrité des agglomérations, les prescriptions relatives à la protection des populations face aux risques sanitaires liées à l’environnement. </w:t>
      </w:r>
    </w:p>
    <w:p w14:paraId="1F38465B" w14:textId="77777777" w:rsidR="004E191E" w:rsidRPr="004E191E" w:rsidRDefault="004E191E" w:rsidP="004E191E">
      <w:pPr>
        <w:autoSpaceDE w:val="0"/>
        <w:autoSpaceDN w:val="0"/>
        <w:adjustRightInd w:val="0"/>
        <w:jc w:val="both"/>
        <w:rPr>
          <w:rFonts w:ascii="Arial" w:hAnsi="Arial" w:cs="Arial"/>
          <w:szCs w:val="24"/>
        </w:rPr>
      </w:pPr>
      <w:r w:rsidRPr="004E191E">
        <w:rPr>
          <w:rFonts w:ascii="Arial" w:hAnsi="Arial" w:cs="Arial"/>
          <w:szCs w:val="24"/>
        </w:rPr>
        <w:t>Concernant les mesures d’hygiène et plus particulièrement la pollutions des eaux, le code précise que toute personne physique ou morale, publique ou privée, exerçant une activité, source de pollution ou pouvant présenter des dangers pour les ressources en eau et l’hygiène du milieu, a l’obligation de tenir compte dans son activité personnelle ou dans la gestion globale de son entreprise, de l’impact environnemental de ses activités sur les milieux avoisinants et de prendre toute mesure propre à prévenir, à atténuer ou à enrayer le danger présumé, menaçant ou effectif. Par ailleurs, quiconque laisse introduire des déchets ou des déjections ou toutes autres matières susceptibles de nuire à la salubrité du milieu ambiant, notamment de l’eau de source, des réservoirs d’eaux servant à l’alimentation publique, est passible d’application des dispositions</w:t>
      </w:r>
      <w:r w:rsidR="00563C78">
        <w:rPr>
          <w:rFonts w:ascii="Arial" w:hAnsi="Arial" w:cs="Arial"/>
          <w:szCs w:val="24"/>
        </w:rPr>
        <w:t xml:space="preserve"> en vigueur</w:t>
      </w:r>
      <w:r w:rsidRPr="004E191E">
        <w:rPr>
          <w:rFonts w:ascii="Arial" w:hAnsi="Arial" w:cs="Arial"/>
          <w:szCs w:val="24"/>
        </w:rPr>
        <w:t xml:space="preserve">. Il est également spécifié que les travailleurs doivent avoir à leur disposition de l’eau potable. </w:t>
      </w:r>
    </w:p>
    <w:p w14:paraId="4CEFE414" w14:textId="77777777" w:rsidR="004E191E" w:rsidRPr="004E191E" w:rsidRDefault="004E191E" w:rsidP="004E191E">
      <w:pPr>
        <w:autoSpaceDE w:val="0"/>
        <w:autoSpaceDN w:val="0"/>
        <w:adjustRightInd w:val="0"/>
        <w:jc w:val="both"/>
        <w:rPr>
          <w:rFonts w:ascii="Arial" w:hAnsi="Arial" w:cs="Arial"/>
          <w:szCs w:val="24"/>
        </w:rPr>
      </w:pPr>
      <w:r w:rsidRPr="00F91FA3">
        <w:rPr>
          <w:rFonts w:ascii="Arial" w:hAnsi="Arial" w:cs="Arial"/>
          <w:b/>
          <w:bCs/>
          <w:szCs w:val="24"/>
        </w:rPr>
        <w:t>Gestion des déchets</w:t>
      </w:r>
      <w:r w:rsidRPr="004E191E">
        <w:rPr>
          <w:rFonts w:ascii="Arial" w:hAnsi="Arial" w:cs="Arial"/>
          <w:szCs w:val="24"/>
        </w:rPr>
        <w:t> : la loi énonce que les déchets qui sont de nature à polluer les eaux et, d’une manière générale, à menacer ou à porter atteinte à la santé de l’homme, doivent être éliminés afin de réduire la pollution de l’air, de l’eau ainsi que la dégradation de l’environnement. Il appartient alors aux personnes physiques ou morales dont les activités sont à l’origine des déchets solides banals ou spéciaux de les remettre dans le circuit garantissant la protection de l’environnement par tous les moyens que les techniques modernes et accessibles mettent à leur portée : stockage central, récupération, recyclage, incinération, enfouissement, compostage.</w:t>
      </w:r>
    </w:p>
    <w:p w14:paraId="2A0DB6FF" w14:textId="77777777" w:rsidR="004E191E" w:rsidRPr="004E191E" w:rsidRDefault="004E191E" w:rsidP="004E191E">
      <w:pPr>
        <w:autoSpaceDE w:val="0"/>
        <w:autoSpaceDN w:val="0"/>
        <w:adjustRightInd w:val="0"/>
        <w:jc w:val="both"/>
        <w:rPr>
          <w:rFonts w:ascii="Arial" w:hAnsi="Arial" w:cs="Arial"/>
          <w:szCs w:val="24"/>
        </w:rPr>
      </w:pPr>
      <w:r w:rsidRPr="004E191E">
        <w:rPr>
          <w:rFonts w:ascii="Arial" w:hAnsi="Arial" w:cs="Arial"/>
          <w:szCs w:val="24"/>
        </w:rPr>
        <w:t xml:space="preserve">Concernant les MST/IST, le code de santé souligne l’interdiction de demande de contrôle de l’état de santé du travailleur par l’employeur de dépister toute infection sexuellement transmissible. </w:t>
      </w:r>
    </w:p>
    <w:p w14:paraId="6B322568" w14:textId="77777777" w:rsidR="004E191E" w:rsidRPr="004E191E" w:rsidRDefault="004E191E" w:rsidP="00687DD2">
      <w:pPr>
        <w:pStyle w:val="Paragraphedeliste"/>
        <w:numPr>
          <w:ilvl w:val="0"/>
          <w:numId w:val="9"/>
        </w:numPr>
        <w:suppressAutoHyphens/>
        <w:spacing w:after="120" w:line="240" w:lineRule="auto"/>
        <w:ind w:left="714" w:hanging="357"/>
        <w:jc w:val="both"/>
        <w:rPr>
          <w:rFonts w:ascii="Arial" w:hAnsi="Arial" w:cs="Arial"/>
          <w:b/>
          <w:bCs/>
        </w:rPr>
      </w:pPr>
      <w:r w:rsidRPr="004E191E">
        <w:rPr>
          <w:rFonts w:ascii="Arial" w:hAnsi="Arial" w:cs="Arial"/>
          <w:b/>
          <w:bCs/>
        </w:rPr>
        <w:t>Décret N°2011-626 du 11 octobre 2011 portant code de travail relatif à la lutte contre le SIDA en milieu de travail</w:t>
      </w:r>
    </w:p>
    <w:p w14:paraId="7DD1FFA3" w14:textId="77777777" w:rsidR="004E191E" w:rsidRPr="004E191E" w:rsidRDefault="004E191E" w:rsidP="004E191E">
      <w:pPr>
        <w:autoSpaceDE w:val="0"/>
        <w:autoSpaceDN w:val="0"/>
        <w:adjustRightInd w:val="0"/>
        <w:jc w:val="both"/>
        <w:rPr>
          <w:rFonts w:ascii="Arial" w:hAnsi="Arial" w:cs="Arial"/>
          <w:szCs w:val="24"/>
        </w:rPr>
      </w:pPr>
      <w:r w:rsidRPr="004E191E">
        <w:rPr>
          <w:rFonts w:ascii="Arial" w:hAnsi="Arial" w:cs="Arial"/>
          <w:szCs w:val="24"/>
        </w:rPr>
        <w:t xml:space="preserve">Le Décret précise que tout employeur est tenu de prendre des mesures nécessaires pour éviter toute contamination du VIH/SIDA sur les lieux de travail, et de proscrire toute discrimination fondée sur le statut sérologique d’un travailleur. Dans ce cas, le test sérologique de VIH/SIDA est interdit au cours des visites d’embauche ou des visites médicales systématiques. Ainsi, tout employeur a le droit d’être informé et sensibilisé sur le VIH/SIDA dans son lieu de travail. </w:t>
      </w:r>
    </w:p>
    <w:p w14:paraId="7C490FF7" w14:textId="77777777" w:rsidR="004E191E" w:rsidRPr="004E191E" w:rsidRDefault="004E191E" w:rsidP="00687DD2">
      <w:pPr>
        <w:pStyle w:val="Paragraphedeliste"/>
        <w:numPr>
          <w:ilvl w:val="0"/>
          <w:numId w:val="9"/>
        </w:numPr>
        <w:suppressAutoHyphens/>
        <w:spacing w:after="120" w:line="240" w:lineRule="auto"/>
        <w:ind w:left="714" w:hanging="357"/>
        <w:jc w:val="both"/>
        <w:rPr>
          <w:rFonts w:ascii="Arial" w:hAnsi="Arial" w:cs="Arial"/>
          <w:b/>
          <w:bCs/>
        </w:rPr>
      </w:pPr>
      <w:r w:rsidRPr="004E191E">
        <w:rPr>
          <w:rFonts w:ascii="Arial" w:hAnsi="Arial" w:cs="Arial"/>
          <w:b/>
          <w:bCs/>
        </w:rPr>
        <w:t>Décret N°2014-130 du 12 mars 2014 fixant les modalités d’application de la politique nationale de riposte de VIH et au SIDA dans le monde de travail</w:t>
      </w:r>
    </w:p>
    <w:p w14:paraId="19F66B65" w14:textId="77777777" w:rsidR="004E191E" w:rsidRPr="00327DB6" w:rsidRDefault="004E191E" w:rsidP="004E191E">
      <w:pPr>
        <w:autoSpaceDE w:val="0"/>
        <w:autoSpaceDN w:val="0"/>
        <w:adjustRightInd w:val="0"/>
        <w:jc w:val="both"/>
        <w:rPr>
          <w:rFonts w:ascii="Arial" w:hAnsi="Arial" w:cs="Arial"/>
          <w:szCs w:val="24"/>
        </w:rPr>
      </w:pPr>
      <w:r w:rsidRPr="004E191E">
        <w:rPr>
          <w:rFonts w:ascii="Arial" w:hAnsi="Arial" w:cs="Arial"/>
          <w:szCs w:val="24"/>
        </w:rPr>
        <w:t xml:space="preserve">Le décret entérine les dispositions fixées par le Décret 2011-626 concernant l’interdiction de discrimination et de stigmatisation à l’encontre de travailleur </w:t>
      </w:r>
      <w:r w:rsidR="003104AE" w:rsidRPr="00742D67">
        <w:rPr>
          <w:rFonts w:ascii="Arial" w:hAnsi="Arial" w:cs="Arial"/>
          <w:szCs w:val="24"/>
        </w:rPr>
        <w:t>testé positif au VIH</w:t>
      </w:r>
      <w:r w:rsidR="00C92B2B" w:rsidRPr="00742D67">
        <w:rPr>
          <w:rFonts w:ascii="Arial" w:hAnsi="Arial" w:cs="Arial"/>
          <w:szCs w:val="24"/>
        </w:rPr>
        <w:t>/</w:t>
      </w:r>
      <w:r w:rsidR="003104AE" w:rsidRPr="00742D67">
        <w:rPr>
          <w:rFonts w:ascii="Arial" w:hAnsi="Arial" w:cs="Arial"/>
          <w:szCs w:val="24"/>
        </w:rPr>
        <w:t>SIDA</w:t>
      </w:r>
      <w:r w:rsidRPr="00327DB6">
        <w:rPr>
          <w:rFonts w:ascii="Arial" w:hAnsi="Arial" w:cs="Arial"/>
          <w:szCs w:val="24"/>
        </w:rPr>
        <w:t xml:space="preserve">. </w:t>
      </w:r>
    </w:p>
    <w:p w14:paraId="1D82D47D" w14:textId="77777777" w:rsidR="004E191E" w:rsidRPr="004E191E" w:rsidRDefault="004E191E" w:rsidP="004E191E">
      <w:pPr>
        <w:autoSpaceDE w:val="0"/>
        <w:autoSpaceDN w:val="0"/>
        <w:adjustRightInd w:val="0"/>
        <w:jc w:val="both"/>
        <w:rPr>
          <w:rFonts w:ascii="Arial" w:hAnsi="Arial" w:cs="Arial"/>
          <w:szCs w:val="24"/>
        </w:rPr>
      </w:pPr>
      <w:r w:rsidRPr="004E191E">
        <w:rPr>
          <w:rFonts w:ascii="Arial" w:hAnsi="Arial" w:cs="Arial"/>
          <w:szCs w:val="24"/>
        </w:rPr>
        <w:t xml:space="preserve">Le Décret précise que le dépistage de VIH/SIDA sur les lieux de travail ne peut pas être autorisé. Et que les résultats de test ne peuvent pas être remis à l’employeur pour cause </w:t>
      </w:r>
      <w:r w:rsidR="00E1537A">
        <w:rPr>
          <w:rFonts w:ascii="Arial" w:hAnsi="Arial" w:cs="Arial"/>
          <w:szCs w:val="24"/>
        </w:rPr>
        <w:t>de</w:t>
      </w:r>
      <w:r w:rsidRPr="004E191E">
        <w:rPr>
          <w:rFonts w:ascii="Arial" w:hAnsi="Arial" w:cs="Arial"/>
          <w:szCs w:val="24"/>
        </w:rPr>
        <w:t xml:space="preserve"> confidentialité. Pour effectuer un test, un travailleur peut choisir l’un des centres de dépistage les plus proches de son lieu de travail. En outre, le Décret donne des instructions en matière de droit sur les lieux de travail. A ce propos, il est établi que des codes de conduite doivent être élaborés et appliqués, avec notamment l’obligation de minimiser les risques de transmission, par le biais de normes de sécurité et de santé sur les lieux de travail incluant les précautions générales de l’infection. Parmi les mesures d’hygiène, il est cité l’affichage des conduites à tenir en cas d’accidents où il pourrait y avoir des éclaboussures de sang, l’existence de points d’eau propres avec désinfectant, les gants, les masques, la désinfection périodique du lieu de travail. Enfin, il y a l’obligation de doter de tenue de travail et/ou de matériel de protection adéquat et approprié tout travailleur qui utilise des matériels ou des outils tranchants. </w:t>
      </w:r>
    </w:p>
    <w:p w14:paraId="3F1E8E3C" w14:textId="77777777" w:rsidR="002B1566" w:rsidRPr="002B1566" w:rsidRDefault="002B1566" w:rsidP="0044500E">
      <w:pPr>
        <w:pStyle w:val="TIT3"/>
        <w:numPr>
          <w:ilvl w:val="2"/>
          <w:numId w:val="177"/>
        </w:numPr>
      </w:pPr>
      <w:bookmarkStart w:id="606" w:name="_Toc124314704"/>
      <w:bookmarkStart w:id="607" w:name="_Toc124956182"/>
      <w:bookmarkStart w:id="608" w:name="_Toc125384581"/>
      <w:bookmarkStart w:id="609" w:name="_Toc125384970"/>
      <w:bookmarkStart w:id="610" w:name="_Toc127957642"/>
      <w:r w:rsidRPr="002B1566">
        <w:t>Cadre législatif régissant le travail et l’emploi</w:t>
      </w:r>
      <w:bookmarkEnd w:id="606"/>
      <w:bookmarkEnd w:id="607"/>
      <w:bookmarkEnd w:id="608"/>
      <w:bookmarkEnd w:id="609"/>
      <w:bookmarkEnd w:id="610"/>
    </w:p>
    <w:p w14:paraId="124370F0" w14:textId="77777777" w:rsidR="002B1566" w:rsidRPr="002B1566" w:rsidRDefault="002B1566" w:rsidP="00687DD2">
      <w:pPr>
        <w:pStyle w:val="Paragraphedeliste"/>
        <w:numPr>
          <w:ilvl w:val="0"/>
          <w:numId w:val="9"/>
        </w:numPr>
        <w:suppressAutoHyphens/>
        <w:spacing w:after="120" w:line="240" w:lineRule="auto"/>
        <w:ind w:left="714" w:hanging="357"/>
        <w:jc w:val="both"/>
        <w:rPr>
          <w:rFonts w:ascii="Arial" w:hAnsi="Arial" w:cs="Arial"/>
          <w:b/>
          <w:bCs/>
        </w:rPr>
      </w:pPr>
      <w:r w:rsidRPr="002B1566">
        <w:rPr>
          <w:rFonts w:ascii="Arial" w:hAnsi="Arial" w:cs="Arial"/>
          <w:b/>
          <w:bCs/>
        </w:rPr>
        <w:t>LOI N° 2003-044 du 10 juin 2004 portant Code du Travail</w:t>
      </w:r>
    </w:p>
    <w:p w14:paraId="40505232" w14:textId="77777777" w:rsidR="002B1566" w:rsidRPr="002B1566" w:rsidRDefault="002B1566" w:rsidP="002B1566">
      <w:pPr>
        <w:autoSpaceDE w:val="0"/>
        <w:autoSpaceDN w:val="0"/>
        <w:adjustRightInd w:val="0"/>
        <w:jc w:val="both"/>
        <w:rPr>
          <w:rFonts w:ascii="Arial" w:hAnsi="Arial" w:cs="Arial"/>
          <w:szCs w:val="24"/>
        </w:rPr>
      </w:pPr>
      <w:r w:rsidRPr="002B1566">
        <w:rPr>
          <w:rFonts w:ascii="Arial" w:hAnsi="Arial" w:cs="Arial"/>
          <w:szCs w:val="24"/>
        </w:rPr>
        <w:t xml:space="preserve">Le Code de travail comporte les dispositions générales et spécifiques applicables en matière de contrat de travail, des conditions de travail, des conditions d’hygiène, de sécurité et de l’environnement de travail, des relations professionnelles, de la formation professionnelle, du différend de travail. </w:t>
      </w:r>
    </w:p>
    <w:p w14:paraId="646E2C0B" w14:textId="77777777" w:rsidR="002B1566" w:rsidRPr="002B1566" w:rsidRDefault="002B1566" w:rsidP="002B1566">
      <w:pPr>
        <w:autoSpaceDE w:val="0"/>
        <w:autoSpaceDN w:val="0"/>
        <w:adjustRightInd w:val="0"/>
        <w:jc w:val="both"/>
        <w:rPr>
          <w:rFonts w:ascii="Arial" w:hAnsi="Arial" w:cs="Arial"/>
          <w:szCs w:val="24"/>
        </w:rPr>
      </w:pPr>
      <w:r w:rsidRPr="002B1566">
        <w:rPr>
          <w:rFonts w:ascii="Arial" w:hAnsi="Arial" w:cs="Arial"/>
          <w:szCs w:val="24"/>
        </w:rPr>
        <w:t xml:space="preserve">En matière des conditions de sécurité, d’hygiène et de l’environnement, il est défini l’obligation pour l’employeur de fournir des équipements, des habillements adéquats pour protéger collectivement et individuellement la vie et la santé des travailleurs contre les risques inhérents au travail, et contre le VIH/SIDA dans les lieux de travail. Pour prévenir contre les risques liés au travail, les installations, les matériels et les matériaux de travail, sont soumis à des normes de sécurité obligatoire. </w:t>
      </w:r>
    </w:p>
    <w:p w14:paraId="719C80B4" w14:textId="77777777" w:rsidR="002B1566" w:rsidRPr="002B1566" w:rsidRDefault="00E1537A" w:rsidP="00687DD2">
      <w:pPr>
        <w:pStyle w:val="Paragraphedeliste"/>
        <w:numPr>
          <w:ilvl w:val="0"/>
          <w:numId w:val="9"/>
        </w:numPr>
        <w:suppressAutoHyphens/>
        <w:spacing w:after="120" w:line="240" w:lineRule="auto"/>
        <w:ind w:left="714" w:hanging="357"/>
        <w:jc w:val="both"/>
        <w:rPr>
          <w:rFonts w:ascii="Arial" w:hAnsi="Arial" w:cs="Arial"/>
          <w:b/>
          <w:bCs/>
        </w:rPr>
      </w:pPr>
      <w:r w:rsidRPr="002B1566">
        <w:rPr>
          <w:rFonts w:ascii="Arial" w:hAnsi="Arial" w:cs="Arial"/>
          <w:b/>
          <w:bCs/>
        </w:rPr>
        <w:t>A</w:t>
      </w:r>
      <w:r>
        <w:rPr>
          <w:rFonts w:ascii="Arial" w:hAnsi="Arial" w:cs="Arial"/>
          <w:b/>
          <w:bCs/>
        </w:rPr>
        <w:t>rrêté</w:t>
      </w:r>
      <w:r w:rsidR="002B1566" w:rsidRPr="002B1566">
        <w:rPr>
          <w:rFonts w:ascii="Arial" w:hAnsi="Arial" w:cs="Arial"/>
          <w:b/>
          <w:bCs/>
        </w:rPr>
        <w:t xml:space="preserve"> N° 889 du 20 mai 1960 fixant les mesures générales d’hygiène et de sécurité du travail </w:t>
      </w:r>
    </w:p>
    <w:p w14:paraId="1C026A03" w14:textId="77777777" w:rsidR="002B1566" w:rsidRPr="002B1566" w:rsidRDefault="002B1566" w:rsidP="002B1566">
      <w:pPr>
        <w:autoSpaceDE w:val="0"/>
        <w:autoSpaceDN w:val="0"/>
        <w:adjustRightInd w:val="0"/>
        <w:jc w:val="both"/>
        <w:rPr>
          <w:rFonts w:ascii="Arial" w:hAnsi="Arial" w:cs="Arial"/>
          <w:szCs w:val="24"/>
        </w:rPr>
      </w:pPr>
      <w:r w:rsidRPr="002B1566">
        <w:rPr>
          <w:rFonts w:ascii="Arial" w:hAnsi="Arial" w:cs="Arial"/>
          <w:szCs w:val="24"/>
        </w:rPr>
        <w:t xml:space="preserve">Les chantiers de construction de bâtiments et des ouvrages sont soumis aux dispositions de cet Arrêté. Il est alors précisé que les lieux de travail doivent être tenus en état constant de propreté et devront présenter les conditions d’hygiène et de salubrité, nécessaire à la santé du personnel. </w:t>
      </w:r>
    </w:p>
    <w:p w14:paraId="23A9A8DE" w14:textId="77777777" w:rsidR="002B1566" w:rsidRPr="002B1566" w:rsidRDefault="002B1566" w:rsidP="002B1566">
      <w:pPr>
        <w:autoSpaceDE w:val="0"/>
        <w:autoSpaceDN w:val="0"/>
        <w:adjustRightInd w:val="0"/>
        <w:jc w:val="both"/>
        <w:rPr>
          <w:rFonts w:ascii="Arial" w:hAnsi="Arial" w:cs="Arial"/>
          <w:szCs w:val="24"/>
        </w:rPr>
      </w:pPr>
      <w:r w:rsidRPr="002B1566">
        <w:rPr>
          <w:rFonts w:ascii="Arial" w:hAnsi="Arial" w:cs="Arial"/>
          <w:szCs w:val="24"/>
        </w:rPr>
        <w:t xml:space="preserve">L’Arrêté précise également les mesures de prévention contre les accidents. A ce titre, les véhicules, les engins utilisés devront être en bon état, et notamment équipés de système de freinage, d’éclairage et de signalisation en parfait état. </w:t>
      </w:r>
    </w:p>
    <w:p w14:paraId="3EC013D5" w14:textId="77777777" w:rsidR="002B1566" w:rsidRPr="002B1566" w:rsidRDefault="002B1566" w:rsidP="00687DD2">
      <w:pPr>
        <w:pStyle w:val="Paragraphedeliste"/>
        <w:numPr>
          <w:ilvl w:val="0"/>
          <w:numId w:val="9"/>
        </w:numPr>
        <w:suppressAutoHyphens/>
        <w:spacing w:after="120" w:line="240" w:lineRule="auto"/>
        <w:ind w:left="714" w:hanging="357"/>
        <w:jc w:val="both"/>
        <w:rPr>
          <w:rFonts w:ascii="Arial" w:hAnsi="Arial" w:cs="Arial"/>
          <w:b/>
          <w:bCs/>
        </w:rPr>
      </w:pPr>
      <w:r w:rsidRPr="002B1566">
        <w:rPr>
          <w:rFonts w:ascii="Arial" w:hAnsi="Arial" w:cs="Arial"/>
          <w:b/>
          <w:bCs/>
        </w:rPr>
        <w:t>Décret n° 2007-563 du 3 juillet 2007 relatif au travail des enfants et le Décret N°2018-009</w:t>
      </w:r>
      <w:r w:rsidR="00E1537A">
        <w:rPr>
          <w:rFonts w:ascii="Arial" w:hAnsi="Arial" w:cs="Arial"/>
          <w:b/>
          <w:bCs/>
        </w:rPr>
        <w:t xml:space="preserve"> </w:t>
      </w:r>
      <w:r w:rsidRPr="002B1566">
        <w:rPr>
          <w:rFonts w:ascii="Arial" w:hAnsi="Arial" w:cs="Arial"/>
          <w:b/>
          <w:bCs/>
        </w:rPr>
        <w:t>modifiant et complétant certaines dispositions du Décret N°2007-563 du 03 juillet 2007 relatif au travail des enfants</w:t>
      </w:r>
    </w:p>
    <w:p w14:paraId="69C59B48" w14:textId="77777777" w:rsidR="002B1566" w:rsidRPr="002B1566" w:rsidRDefault="002B1566" w:rsidP="002B1566">
      <w:pPr>
        <w:autoSpaceDE w:val="0"/>
        <w:autoSpaceDN w:val="0"/>
        <w:adjustRightInd w:val="0"/>
        <w:jc w:val="both"/>
        <w:rPr>
          <w:rFonts w:ascii="Arial" w:hAnsi="Arial" w:cs="Arial"/>
          <w:szCs w:val="24"/>
        </w:rPr>
      </w:pPr>
      <w:r w:rsidRPr="002B1566">
        <w:rPr>
          <w:rFonts w:ascii="Arial" w:hAnsi="Arial" w:cs="Arial"/>
          <w:szCs w:val="24"/>
        </w:rPr>
        <w:t>Le Décret précise que les enfants de 15 ans et plus peuvent être embauchés pour des travaux légers. Les travaux légers sont (i) les travaux qui n’excèdent pas leur force, (ii) les travaux qui ne présentent pas de dangers pour eux, (iii) les travaux qui ne sont pas susceptibles de nuire à leur santé, ou à leur développement physique, mental, spirituel, moral ou social, et qui ne sont pas de nature à porter préjudice à leur assiduité scolaire, à leur participation à des programmes d’orientation et de formation professionnelle.</w:t>
      </w:r>
    </w:p>
    <w:p w14:paraId="5CE30F3E" w14:textId="77777777" w:rsidR="002B1566" w:rsidRPr="002B1566" w:rsidRDefault="002B1566" w:rsidP="002B1566">
      <w:pPr>
        <w:autoSpaceDE w:val="0"/>
        <w:autoSpaceDN w:val="0"/>
        <w:adjustRightInd w:val="0"/>
        <w:jc w:val="both"/>
        <w:rPr>
          <w:rFonts w:ascii="Arial" w:hAnsi="Arial" w:cs="Arial"/>
          <w:szCs w:val="24"/>
        </w:rPr>
      </w:pPr>
      <w:r w:rsidRPr="002B1566">
        <w:rPr>
          <w:rFonts w:ascii="Arial" w:hAnsi="Arial" w:cs="Arial"/>
          <w:szCs w:val="24"/>
        </w:rPr>
        <w:t xml:space="preserve">Il est également souligné que les enfants ne peuvent être employés dans un chantier où l’on utilise des véhicules et des engins mobiles, ainsi que des machines pouvant occasionner des accidents. </w:t>
      </w:r>
    </w:p>
    <w:p w14:paraId="0DCCA18E" w14:textId="77777777" w:rsidR="002B1566" w:rsidRPr="002B1566" w:rsidRDefault="002B1566" w:rsidP="002B1566">
      <w:pPr>
        <w:autoSpaceDE w:val="0"/>
        <w:autoSpaceDN w:val="0"/>
        <w:adjustRightInd w:val="0"/>
        <w:jc w:val="both"/>
        <w:rPr>
          <w:rFonts w:ascii="Arial" w:hAnsi="Arial" w:cs="Arial"/>
          <w:szCs w:val="24"/>
        </w:rPr>
      </w:pPr>
      <w:r w:rsidRPr="002B1566">
        <w:rPr>
          <w:rFonts w:ascii="Arial" w:hAnsi="Arial" w:cs="Arial"/>
          <w:szCs w:val="24"/>
        </w:rPr>
        <w:t xml:space="preserve">Les enfants ne peuvent non plus être employés dans un endroit où l’on manipule les pesticides. Enfin, les travaux excédant leur force, dans le domaine de l’agriculture sont également considérés comme étant interdits. Il peut s’agir des labours, des semis, du repiquage, sarclage et du moissonnage. </w:t>
      </w:r>
    </w:p>
    <w:p w14:paraId="7E5E8ADD" w14:textId="77777777" w:rsidR="002B1566" w:rsidRPr="002B1566" w:rsidRDefault="002B1566" w:rsidP="002B1566">
      <w:pPr>
        <w:autoSpaceDE w:val="0"/>
        <w:autoSpaceDN w:val="0"/>
        <w:adjustRightInd w:val="0"/>
        <w:jc w:val="both"/>
        <w:rPr>
          <w:rFonts w:ascii="Arial" w:hAnsi="Arial" w:cs="Arial"/>
          <w:szCs w:val="24"/>
        </w:rPr>
      </w:pPr>
      <w:r w:rsidRPr="002B1566">
        <w:rPr>
          <w:rFonts w:ascii="Arial" w:hAnsi="Arial" w:cs="Arial"/>
          <w:szCs w:val="24"/>
        </w:rPr>
        <w:t>Il incombe au Fokontany de procéder au recensement de tous les enfants afin d’identifier les enfants exposés à risques. Les chefs fokontany ont le devoir et l’obligation d’aviser les autorités administratives, pour pouvoir actionner le réseau de la protection sociale</w:t>
      </w:r>
    </w:p>
    <w:p w14:paraId="0C024F07" w14:textId="77777777" w:rsidR="002B1566" w:rsidRPr="002B1566" w:rsidRDefault="002B1566" w:rsidP="0044500E">
      <w:pPr>
        <w:pStyle w:val="TIT3"/>
        <w:numPr>
          <w:ilvl w:val="2"/>
          <w:numId w:val="177"/>
        </w:numPr>
      </w:pPr>
      <w:bookmarkStart w:id="611" w:name="_Toc124314705"/>
      <w:bookmarkStart w:id="612" w:name="_Toc124956183"/>
      <w:bookmarkStart w:id="613" w:name="_Toc125384582"/>
      <w:bookmarkStart w:id="614" w:name="_Toc125384971"/>
      <w:bookmarkStart w:id="615" w:name="_Toc127957643"/>
      <w:r w:rsidRPr="002B1566">
        <w:t>Cadre législatif régissant le genre</w:t>
      </w:r>
      <w:bookmarkEnd w:id="611"/>
      <w:bookmarkEnd w:id="612"/>
      <w:bookmarkEnd w:id="613"/>
      <w:bookmarkEnd w:id="614"/>
      <w:bookmarkEnd w:id="615"/>
    </w:p>
    <w:p w14:paraId="4F9E7411" w14:textId="77777777" w:rsidR="002B1566" w:rsidRPr="002B1566" w:rsidRDefault="002B1566" w:rsidP="00687DD2">
      <w:pPr>
        <w:pStyle w:val="Paragraphedeliste"/>
        <w:numPr>
          <w:ilvl w:val="0"/>
          <w:numId w:val="9"/>
        </w:numPr>
        <w:suppressAutoHyphens/>
        <w:spacing w:after="120" w:line="240" w:lineRule="auto"/>
        <w:ind w:left="714" w:hanging="357"/>
        <w:jc w:val="both"/>
        <w:rPr>
          <w:rFonts w:ascii="Arial" w:hAnsi="Arial" w:cs="Arial"/>
          <w:b/>
          <w:bCs/>
        </w:rPr>
      </w:pPr>
      <w:r w:rsidRPr="002B1566">
        <w:rPr>
          <w:rFonts w:ascii="Arial" w:hAnsi="Arial" w:cs="Arial"/>
          <w:b/>
          <w:bCs/>
        </w:rPr>
        <w:t xml:space="preserve">Loi N°2019-008 du 16 janvier 2020 relative à la lutte contre les violences basées sur le genre </w:t>
      </w:r>
    </w:p>
    <w:p w14:paraId="0CD796AE" w14:textId="77777777" w:rsidR="002B1566" w:rsidRPr="002B1566" w:rsidRDefault="002B1566" w:rsidP="002B1566">
      <w:pPr>
        <w:autoSpaceDE w:val="0"/>
        <w:autoSpaceDN w:val="0"/>
        <w:adjustRightInd w:val="0"/>
        <w:jc w:val="both"/>
        <w:rPr>
          <w:rFonts w:ascii="Arial" w:hAnsi="Arial" w:cs="Arial"/>
          <w:szCs w:val="24"/>
        </w:rPr>
      </w:pPr>
      <w:r w:rsidRPr="002B1566">
        <w:rPr>
          <w:rFonts w:ascii="Arial" w:hAnsi="Arial" w:cs="Arial"/>
          <w:szCs w:val="24"/>
        </w:rPr>
        <w:t xml:space="preserve">Le Décret donne des dispositions liées à la répression en cas de violences basées sur le genre. En outre, il est établi les prescriptions relatives à la prévention, à la protection et de la prise en charge des survivant(e)s des VBG. </w:t>
      </w:r>
    </w:p>
    <w:p w14:paraId="45BC5745" w14:textId="77777777" w:rsidR="002B1566" w:rsidRPr="002B1566" w:rsidRDefault="002B1566" w:rsidP="0044500E">
      <w:pPr>
        <w:pStyle w:val="TIT3"/>
        <w:numPr>
          <w:ilvl w:val="2"/>
          <w:numId w:val="177"/>
        </w:numPr>
      </w:pPr>
      <w:bookmarkStart w:id="616" w:name="_Toc124314706"/>
      <w:bookmarkStart w:id="617" w:name="_Toc124956184"/>
      <w:bookmarkStart w:id="618" w:name="_Toc125384583"/>
      <w:bookmarkStart w:id="619" w:name="_Toc125384972"/>
      <w:bookmarkStart w:id="620" w:name="_Toc127957644"/>
      <w:r w:rsidRPr="002B1566">
        <w:t>Cadre législatif régissant l’aménagement du territoire et du foncier</w:t>
      </w:r>
      <w:bookmarkEnd w:id="616"/>
      <w:bookmarkEnd w:id="617"/>
      <w:bookmarkEnd w:id="618"/>
      <w:bookmarkEnd w:id="619"/>
      <w:bookmarkEnd w:id="620"/>
    </w:p>
    <w:p w14:paraId="656CC589" w14:textId="77777777" w:rsidR="002B1566" w:rsidRPr="002B1566" w:rsidRDefault="002B1566" w:rsidP="00687DD2">
      <w:pPr>
        <w:pStyle w:val="Paragraphedeliste"/>
        <w:numPr>
          <w:ilvl w:val="0"/>
          <w:numId w:val="9"/>
        </w:numPr>
        <w:suppressAutoHyphens/>
        <w:spacing w:after="120" w:line="240" w:lineRule="auto"/>
        <w:ind w:left="714" w:hanging="357"/>
        <w:jc w:val="both"/>
        <w:rPr>
          <w:rFonts w:ascii="Arial" w:hAnsi="Arial" w:cs="Arial"/>
          <w:b/>
          <w:bCs/>
        </w:rPr>
      </w:pPr>
      <w:r w:rsidRPr="002B1566">
        <w:rPr>
          <w:rFonts w:ascii="Arial" w:hAnsi="Arial" w:cs="Arial"/>
          <w:b/>
          <w:bCs/>
        </w:rPr>
        <w:t>Loi N°2015-051 du 03 février 2016 portant orientation de l’aménagement du territoire</w:t>
      </w:r>
    </w:p>
    <w:p w14:paraId="18E2FFF3" w14:textId="77777777" w:rsidR="002B1566" w:rsidRPr="002B1566" w:rsidRDefault="002B1566" w:rsidP="002B1566">
      <w:pPr>
        <w:autoSpaceDE w:val="0"/>
        <w:autoSpaceDN w:val="0"/>
        <w:adjustRightInd w:val="0"/>
        <w:jc w:val="both"/>
        <w:rPr>
          <w:rFonts w:ascii="Arial" w:hAnsi="Arial" w:cs="Arial"/>
          <w:szCs w:val="24"/>
        </w:rPr>
      </w:pPr>
      <w:r w:rsidRPr="002B1566">
        <w:rPr>
          <w:rFonts w:ascii="Arial" w:hAnsi="Arial" w:cs="Arial"/>
          <w:szCs w:val="24"/>
        </w:rPr>
        <w:t>La Loi établit que le paysage doit être préservé. Dans une certaine mesure, il doit être réservé des zones à l’agriculture. Le Schéma d’aménagement communal est un outil de l’aménagement du territoire </w:t>
      </w:r>
      <w:r w:rsidR="006B0ACD">
        <w:rPr>
          <w:rFonts w:ascii="Arial" w:hAnsi="Arial" w:cs="Arial"/>
          <w:szCs w:val="24"/>
        </w:rPr>
        <w:t>qui</w:t>
      </w:r>
      <w:r w:rsidRPr="002B1566">
        <w:rPr>
          <w:rFonts w:ascii="Arial" w:hAnsi="Arial" w:cs="Arial"/>
          <w:szCs w:val="24"/>
        </w:rPr>
        <w:t xml:space="preserve"> fixe les principes d’occupation des sols et traduit notamment les terres agricoles, les équipements publics ; </w:t>
      </w:r>
      <w:r w:rsidR="006B0ACD">
        <w:rPr>
          <w:rFonts w:ascii="Arial" w:hAnsi="Arial" w:cs="Arial"/>
          <w:szCs w:val="24"/>
        </w:rPr>
        <w:t>l</w:t>
      </w:r>
      <w:r w:rsidRPr="002B1566">
        <w:rPr>
          <w:rFonts w:ascii="Arial" w:hAnsi="Arial" w:cs="Arial"/>
          <w:szCs w:val="24"/>
        </w:rPr>
        <w:t xml:space="preserve">es dispositions du SAC sont précisées par voie réglementaire. </w:t>
      </w:r>
    </w:p>
    <w:p w14:paraId="5781C553" w14:textId="77777777" w:rsidR="002B1566" w:rsidRPr="002B1566" w:rsidRDefault="002B1566" w:rsidP="00687DD2">
      <w:pPr>
        <w:pStyle w:val="Paragraphedeliste"/>
        <w:numPr>
          <w:ilvl w:val="0"/>
          <w:numId w:val="9"/>
        </w:numPr>
        <w:suppressAutoHyphens/>
        <w:spacing w:after="120" w:line="240" w:lineRule="auto"/>
        <w:ind w:left="714" w:hanging="357"/>
        <w:jc w:val="both"/>
        <w:rPr>
          <w:rFonts w:ascii="Arial" w:hAnsi="Arial" w:cs="Arial"/>
          <w:b/>
          <w:bCs/>
        </w:rPr>
      </w:pPr>
      <w:r w:rsidRPr="002B1566">
        <w:rPr>
          <w:rFonts w:ascii="Arial" w:hAnsi="Arial" w:cs="Arial"/>
          <w:b/>
          <w:bCs/>
        </w:rPr>
        <w:t xml:space="preserve">Ordonnance N°60-099 du 21 septembre 1960 réglementant le domaine public </w:t>
      </w:r>
    </w:p>
    <w:p w14:paraId="287BD5E6" w14:textId="77777777" w:rsidR="002B1566" w:rsidRPr="002B1566" w:rsidRDefault="002B1566" w:rsidP="002B1566">
      <w:pPr>
        <w:autoSpaceDE w:val="0"/>
        <w:autoSpaceDN w:val="0"/>
        <w:adjustRightInd w:val="0"/>
        <w:jc w:val="both"/>
        <w:rPr>
          <w:rFonts w:ascii="Arial" w:hAnsi="Arial" w:cs="Arial"/>
          <w:szCs w:val="24"/>
        </w:rPr>
      </w:pPr>
      <w:r w:rsidRPr="002B1566">
        <w:rPr>
          <w:rFonts w:ascii="Arial" w:hAnsi="Arial" w:cs="Arial"/>
          <w:szCs w:val="24"/>
        </w:rPr>
        <w:t>Les canaux d’irrigation non construits pa</w:t>
      </w:r>
      <w:r w:rsidR="00563C78">
        <w:rPr>
          <w:rFonts w:ascii="Arial" w:hAnsi="Arial" w:cs="Arial"/>
          <w:szCs w:val="24"/>
        </w:rPr>
        <w:t>r</w:t>
      </w:r>
      <w:r w:rsidRPr="002B1566">
        <w:rPr>
          <w:rFonts w:ascii="Arial" w:hAnsi="Arial" w:cs="Arial"/>
          <w:szCs w:val="24"/>
        </w:rPr>
        <w:t xml:space="preserve"> les particuliers et les voies publiques font partie du domaine public artificiel. Il est précisé que le domaine public n‘est pas susceptible d’expropriation pour cause d’utilité publique.</w:t>
      </w:r>
    </w:p>
    <w:p w14:paraId="31C99CBE" w14:textId="77777777" w:rsidR="00D83655" w:rsidRPr="00D83655" w:rsidRDefault="00D83655" w:rsidP="0044500E">
      <w:pPr>
        <w:pStyle w:val="TIT3"/>
        <w:numPr>
          <w:ilvl w:val="2"/>
          <w:numId w:val="177"/>
        </w:numPr>
      </w:pPr>
      <w:bookmarkStart w:id="621" w:name="_Toc124314707"/>
      <w:bookmarkStart w:id="622" w:name="_Toc124956185"/>
      <w:bookmarkStart w:id="623" w:name="_Toc125384584"/>
      <w:bookmarkStart w:id="624" w:name="_Toc125384973"/>
      <w:bookmarkStart w:id="625" w:name="_Toc127957645"/>
      <w:r w:rsidRPr="00D83655">
        <w:t>Texte sectoriel sur la pollution</w:t>
      </w:r>
      <w:bookmarkEnd w:id="621"/>
      <w:bookmarkEnd w:id="625"/>
      <w:r w:rsidRPr="00D83655">
        <w:t xml:space="preserve"> </w:t>
      </w:r>
      <w:bookmarkEnd w:id="622"/>
      <w:bookmarkEnd w:id="623"/>
      <w:bookmarkEnd w:id="624"/>
    </w:p>
    <w:p w14:paraId="1E8EE3BE" w14:textId="77777777" w:rsidR="00D83655" w:rsidRDefault="006B0ACD" w:rsidP="00687DD2">
      <w:pPr>
        <w:pStyle w:val="Paragraphedeliste"/>
        <w:numPr>
          <w:ilvl w:val="0"/>
          <w:numId w:val="9"/>
        </w:numPr>
        <w:suppressAutoHyphens/>
        <w:spacing w:after="120" w:line="240" w:lineRule="auto"/>
        <w:ind w:left="714" w:hanging="357"/>
        <w:jc w:val="both"/>
        <w:rPr>
          <w:rFonts w:ascii="Arial" w:hAnsi="Arial" w:cs="Arial"/>
          <w:b/>
          <w:bCs/>
        </w:rPr>
      </w:pPr>
      <w:r>
        <w:rPr>
          <w:rFonts w:ascii="Arial" w:hAnsi="Arial" w:cs="Arial"/>
          <w:b/>
          <w:bCs/>
        </w:rPr>
        <w:t>L</w:t>
      </w:r>
      <w:r w:rsidR="00D83655">
        <w:rPr>
          <w:rFonts w:ascii="Arial" w:hAnsi="Arial" w:cs="Arial"/>
          <w:b/>
          <w:bCs/>
        </w:rPr>
        <w:t xml:space="preserve">oi 99.021 du </w:t>
      </w:r>
      <w:r w:rsidR="00D83655" w:rsidRPr="00D83655">
        <w:rPr>
          <w:rFonts w:ascii="Arial" w:hAnsi="Arial" w:cs="Arial"/>
          <w:b/>
          <w:bCs/>
        </w:rPr>
        <w:t>19 aout 1999 sur la politique de gestion et de contrôle des pollutions industrielles</w:t>
      </w:r>
    </w:p>
    <w:p w14:paraId="6AC3A4C5" w14:textId="77777777" w:rsidR="00D83655" w:rsidRDefault="00D83655" w:rsidP="006A32C5">
      <w:pPr>
        <w:autoSpaceDE w:val="0"/>
        <w:autoSpaceDN w:val="0"/>
        <w:adjustRightInd w:val="0"/>
        <w:jc w:val="both"/>
        <w:rPr>
          <w:rFonts w:ascii="Arial" w:hAnsi="Arial" w:cs="Arial"/>
          <w:szCs w:val="24"/>
        </w:rPr>
      </w:pPr>
      <w:r>
        <w:rPr>
          <w:rFonts w:ascii="Arial" w:hAnsi="Arial" w:cs="Arial"/>
          <w:szCs w:val="24"/>
        </w:rPr>
        <w:t xml:space="preserve">Cette loi </w:t>
      </w:r>
      <w:r w:rsidRPr="00D83655">
        <w:rPr>
          <w:rFonts w:ascii="Arial" w:hAnsi="Arial" w:cs="Arial"/>
          <w:szCs w:val="24"/>
        </w:rPr>
        <w:t>définit le cadre général d’une politique de gestion rationnelle et de contrôle des pollutions industrielles</w:t>
      </w:r>
      <w:r>
        <w:rPr>
          <w:rFonts w:ascii="Arial" w:hAnsi="Arial" w:cs="Arial"/>
          <w:szCs w:val="24"/>
        </w:rPr>
        <w:t xml:space="preserve">. </w:t>
      </w:r>
      <w:r w:rsidR="006A32C5">
        <w:rPr>
          <w:rFonts w:ascii="Arial" w:hAnsi="Arial" w:cs="Arial"/>
          <w:szCs w:val="24"/>
        </w:rPr>
        <w:t xml:space="preserve">Elle </w:t>
      </w:r>
      <w:r w:rsidRPr="006A32C5">
        <w:rPr>
          <w:rFonts w:ascii="Arial" w:hAnsi="Arial" w:cs="Arial"/>
          <w:szCs w:val="24"/>
        </w:rPr>
        <w:t>spécifie, entre autres, que la gestion des matières rési</w:t>
      </w:r>
      <w:r w:rsidR="006A32C5">
        <w:rPr>
          <w:rFonts w:ascii="Arial" w:hAnsi="Arial" w:cs="Arial"/>
          <w:szCs w:val="24"/>
        </w:rPr>
        <w:t>duelles (déchets so</w:t>
      </w:r>
      <w:r w:rsidRPr="006A32C5">
        <w:rPr>
          <w:rFonts w:ascii="Arial" w:hAnsi="Arial" w:cs="Arial"/>
          <w:szCs w:val="24"/>
        </w:rPr>
        <w:t>lides, stocks de produits périmés …) est du ressort de leurs générateurs jusqu’à leur élimination finale</w:t>
      </w:r>
      <w:r w:rsidR="006A32C5">
        <w:rPr>
          <w:rFonts w:ascii="Arial" w:hAnsi="Arial" w:cs="Arial"/>
          <w:szCs w:val="24"/>
        </w:rPr>
        <w:t xml:space="preserve">. </w:t>
      </w:r>
    </w:p>
    <w:p w14:paraId="6E9514F9" w14:textId="77777777" w:rsidR="006A32C5" w:rsidRDefault="006A32C5" w:rsidP="006A32C5">
      <w:pPr>
        <w:autoSpaceDE w:val="0"/>
        <w:autoSpaceDN w:val="0"/>
        <w:adjustRightInd w:val="0"/>
        <w:jc w:val="both"/>
        <w:rPr>
          <w:rFonts w:ascii="Arial" w:hAnsi="Arial" w:cs="Arial"/>
          <w:szCs w:val="24"/>
        </w:rPr>
      </w:pPr>
      <w:r w:rsidRPr="006A32C5">
        <w:rPr>
          <w:rFonts w:ascii="Arial" w:hAnsi="Arial" w:cs="Arial"/>
          <w:szCs w:val="24"/>
        </w:rPr>
        <w:t>Elle mentionne que tout exploitant a l’obligation de sauvegarder l’environnement par une production plus propre et une réduction, valorisation, traitement et élimination des déchets et que les effets nocifs des pollutions produ</w:t>
      </w:r>
      <w:r>
        <w:rPr>
          <w:rFonts w:ascii="Arial" w:hAnsi="Arial" w:cs="Arial"/>
          <w:szCs w:val="24"/>
        </w:rPr>
        <w:t>ites font l’objet de mesures ap</w:t>
      </w:r>
      <w:r w:rsidRPr="006A32C5">
        <w:rPr>
          <w:rFonts w:ascii="Arial" w:hAnsi="Arial" w:cs="Arial"/>
          <w:szCs w:val="24"/>
        </w:rPr>
        <w:t>propriées et des actions de prévention.</w:t>
      </w:r>
    </w:p>
    <w:p w14:paraId="68527483" w14:textId="77777777" w:rsidR="003104AE" w:rsidRPr="00742D67" w:rsidRDefault="003104AE" w:rsidP="00B434A6">
      <w:pPr>
        <w:pStyle w:val="Paragraphedeliste"/>
        <w:numPr>
          <w:ilvl w:val="0"/>
          <w:numId w:val="9"/>
        </w:numPr>
        <w:suppressAutoHyphens/>
        <w:spacing w:after="120" w:line="240" w:lineRule="auto"/>
        <w:ind w:left="714" w:hanging="357"/>
        <w:jc w:val="both"/>
        <w:rPr>
          <w:rFonts w:ascii="Arial" w:hAnsi="Arial" w:cs="Arial"/>
          <w:b/>
          <w:bCs/>
          <w:color w:val="auto"/>
        </w:rPr>
      </w:pPr>
      <w:r w:rsidRPr="00742D67">
        <w:rPr>
          <w:rFonts w:ascii="Arial" w:hAnsi="Arial" w:cs="Arial"/>
          <w:b/>
          <w:bCs/>
          <w:color w:val="auto"/>
        </w:rPr>
        <w:t xml:space="preserve">Décret 2015-930 du 9 juin 2015 </w:t>
      </w:r>
      <w:r w:rsidR="00FE6FC3">
        <w:rPr>
          <w:rFonts w:ascii="Arial" w:hAnsi="Arial" w:cs="Arial"/>
          <w:b/>
          <w:bCs/>
          <w:color w:val="auto"/>
        </w:rPr>
        <w:t>p</w:t>
      </w:r>
      <w:r w:rsidRPr="00742D67">
        <w:rPr>
          <w:rFonts w:ascii="Arial" w:hAnsi="Arial" w:cs="Arial"/>
          <w:b/>
          <w:bCs/>
          <w:color w:val="auto"/>
        </w:rPr>
        <w:t>ortant Classification et Gestion Ecologiquement rationnelle des Déchets d’Equipements Electroniques et Electriques à Madagascar</w:t>
      </w:r>
    </w:p>
    <w:p w14:paraId="3E4CC0B3" w14:textId="77777777" w:rsidR="003104AE" w:rsidRPr="00742D67" w:rsidRDefault="003104AE" w:rsidP="006A32C5">
      <w:pPr>
        <w:autoSpaceDE w:val="0"/>
        <w:autoSpaceDN w:val="0"/>
        <w:adjustRightInd w:val="0"/>
        <w:jc w:val="both"/>
        <w:rPr>
          <w:rFonts w:ascii="Arial" w:hAnsi="Arial" w:cs="Arial"/>
          <w:szCs w:val="24"/>
        </w:rPr>
      </w:pPr>
      <w:r w:rsidRPr="00742D67">
        <w:rPr>
          <w:rFonts w:ascii="Arial" w:hAnsi="Arial" w:cs="Arial"/>
          <w:szCs w:val="24"/>
        </w:rPr>
        <w:t>Ce décret classifie les déchets d’Equipements Electroniques et Electriques sur le territoire national afin de les gérer d’une manière écologiquement rationnelle (DEEE). Ce décret s’applique aux équipements Electroniques et Electriques domestiques, les équipements Electroniques et Electriques professionnels et de loisirs, la gestion écologiquement rationnelle des Déchets d’Equipements Electroniques et Electriques au niveau national.</w:t>
      </w:r>
    </w:p>
    <w:p w14:paraId="21895737" w14:textId="77777777" w:rsidR="003104AE" w:rsidRPr="00742D67" w:rsidRDefault="003104AE" w:rsidP="006A32C5">
      <w:pPr>
        <w:autoSpaceDE w:val="0"/>
        <w:autoSpaceDN w:val="0"/>
        <w:adjustRightInd w:val="0"/>
        <w:jc w:val="both"/>
        <w:rPr>
          <w:rFonts w:ascii="Arial" w:hAnsi="Arial" w:cs="Arial"/>
          <w:szCs w:val="24"/>
        </w:rPr>
      </w:pPr>
      <w:r w:rsidRPr="00742D67">
        <w:rPr>
          <w:rFonts w:ascii="Arial" w:hAnsi="Arial" w:cs="Arial"/>
          <w:szCs w:val="24"/>
        </w:rPr>
        <w:t>Par ailleurs, il fixe les principes régissant la gestion écologiquement rationnelle des déchets d’équipements électroniques et électriques</w:t>
      </w:r>
      <w:r w:rsidR="00A92AF8" w:rsidRPr="00742D67">
        <w:rPr>
          <w:rFonts w:ascii="Arial" w:hAnsi="Arial" w:cs="Arial"/>
          <w:szCs w:val="24"/>
        </w:rPr>
        <w:t>,</w:t>
      </w:r>
      <w:r w:rsidRPr="00742D67">
        <w:rPr>
          <w:rFonts w:ascii="Arial" w:hAnsi="Arial" w:cs="Arial"/>
          <w:szCs w:val="24"/>
        </w:rPr>
        <w:t xml:space="preserve"> la responsabilité des pollueurs, programme de financement. </w:t>
      </w:r>
    </w:p>
    <w:p w14:paraId="2CE397B2" w14:textId="77777777" w:rsidR="003104AE" w:rsidRPr="00742D67" w:rsidRDefault="003104AE" w:rsidP="006A32C5">
      <w:pPr>
        <w:autoSpaceDE w:val="0"/>
        <w:autoSpaceDN w:val="0"/>
        <w:adjustRightInd w:val="0"/>
        <w:jc w:val="both"/>
        <w:rPr>
          <w:rFonts w:ascii="Arial" w:hAnsi="Arial" w:cs="Arial"/>
          <w:szCs w:val="24"/>
        </w:rPr>
      </w:pPr>
      <w:r w:rsidRPr="00742D67">
        <w:rPr>
          <w:rFonts w:ascii="Arial" w:hAnsi="Arial" w:cs="Arial"/>
          <w:szCs w:val="24"/>
        </w:rPr>
        <w:t>L’article 11 mentionne la création d’un Bureau National de la Convention de Bâle sur le contrôle des mouvements transfrontières de déchets dangereux et de leur élimination (BNCB) chargé de</w:t>
      </w:r>
      <w:r w:rsidR="00FE6FC3">
        <w:rPr>
          <w:rFonts w:ascii="Arial" w:hAnsi="Arial" w:cs="Arial"/>
          <w:szCs w:val="24"/>
        </w:rPr>
        <w:t xml:space="preserve"> </w:t>
      </w:r>
      <w:r w:rsidRPr="00742D67">
        <w:rPr>
          <w:rFonts w:ascii="Arial" w:hAnsi="Arial" w:cs="Arial"/>
          <w:szCs w:val="24"/>
        </w:rPr>
        <w:t>: mettre en œuvre au niveau national l’application de convention de Bâle; mettre le système des contrôles, de gestion et d’élimination des déchets spéciaux y compris les Déchets d’Equipements Electroniques et Electriques; coordonner, de contrôler les opérations et les activités des secteurs œuvrant dans la gestion des Déchets d’Equipements Electroniques et Electriques pendant leur cycle de vie; concevoir le plan national de gestion des déchets; évaluer et diagnostiquer la gestion écologiquement rationnelle des DEEE au niveau national ; suivre au niveau national le cadrage global de la Gestion Ecologiquement Rationnelle des Déchets d’Equipements Electroniques et Electriques; élaborer le plan d’utilisation du fond, soumis et approuvé par le ministre chargé de l’environnement.</w:t>
      </w:r>
    </w:p>
    <w:p w14:paraId="323F62C7" w14:textId="77777777" w:rsidR="003104AE" w:rsidRPr="00742D67" w:rsidRDefault="003104AE" w:rsidP="006A32C5">
      <w:pPr>
        <w:autoSpaceDE w:val="0"/>
        <w:autoSpaceDN w:val="0"/>
        <w:adjustRightInd w:val="0"/>
        <w:jc w:val="both"/>
        <w:rPr>
          <w:rFonts w:ascii="Arial" w:hAnsi="Arial" w:cs="Arial"/>
          <w:szCs w:val="24"/>
        </w:rPr>
      </w:pPr>
      <w:r w:rsidRPr="00742D67">
        <w:rPr>
          <w:rFonts w:ascii="Arial" w:hAnsi="Arial" w:cs="Arial"/>
          <w:szCs w:val="24"/>
        </w:rPr>
        <w:t>Selon le chapitre V de ce texte, la gestion écologiquement rationnelle des déchets d’équipements électroniques et électriques comprend les phases suivantes</w:t>
      </w:r>
      <w:r w:rsidR="00A92AF8" w:rsidRPr="00742D67">
        <w:rPr>
          <w:rFonts w:ascii="Arial" w:hAnsi="Arial" w:cs="Arial"/>
          <w:szCs w:val="24"/>
        </w:rPr>
        <w:t xml:space="preserve"> </w:t>
      </w:r>
      <w:r w:rsidRPr="00742D67">
        <w:rPr>
          <w:rFonts w:ascii="Arial" w:hAnsi="Arial" w:cs="Arial"/>
          <w:szCs w:val="24"/>
        </w:rPr>
        <w:t>: la pré-collecte et la collecte, le stockage, la réutilisation, le recyclage, l’élimination et le traitement. Par ailleurs, il prévoit des documents de bordereau de suivi des déchets dangereux et des documents de notification et le document de mouvement.</w:t>
      </w:r>
    </w:p>
    <w:p w14:paraId="44BD4156" w14:textId="77777777" w:rsidR="00AA1DAD" w:rsidRPr="00AA1DAD" w:rsidRDefault="00AA1DAD" w:rsidP="0044500E">
      <w:pPr>
        <w:pStyle w:val="TIT3"/>
        <w:numPr>
          <w:ilvl w:val="2"/>
          <w:numId w:val="177"/>
        </w:numPr>
      </w:pPr>
      <w:bookmarkStart w:id="626" w:name="_Toc124314708"/>
      <w:bookmarkStart w:id="627" w:name="_Toc124956186"/>
      <w:bookmarkStart w:id="628" w:name="_Toc125384585"/>
      <w:bookmarkStart w:id="629" w:name="_Toc125384974"/>
      <w:bookmarkStart w:id="630" w:name="_Toc127957646"/>
      <w:r w:rsidRPr="00AA1DAD">
        <w:t>Texte sectoriel sur l’eau</w:t>
      </w:r>
      <w:bookmarkEnd w:id="626"/>
      <w:bookmarkEnd w:id="627"/>
      <w:bookmarkEnd w:id="628"/>
      <w:bookmarkEnd w:id="629"/>
      <w:bookmarkEnd w:id="630"/>
    </w:p>
    <w:p w14:paraId="2B80604D" w14:textId="77777777" w:rsidR="00AA1DAD" w:rsidRPr="00AA1DAD" w:rsidRDefault="00AA1DAD" w:rsidP="00AA1DAD">
      <w:pPr>
        <w:autoSpaceDE w:val="0"/>
        <w:autoSpaceDN w:val="0"/>
        <w:adjustRightInd w:val="0"/>
        <w:jc w:val="both"/>
        <w:rPr>
          <w:rFonts w:ascii="Arial" w:hAnsi="Arial" w:cs="Arial"/>
          <w:szCs w:val="24"/>
        </w:rPr>
      </w:pPr>
      <w:r w:rsidRPr="00AA1DAD">
        <w:rPr>
          <w:rFonts w:ascii="Arial" w:hAnsi="Arial" w:cs="Arial"/>
          <w:szCs w:val="24"/>
        </w:rPr>
        <w:t xml:space="preserve">Les cadres réglementaires en vigueur dans le domaine de l’eau et de l’assainissement sont aussi bien riches que diversifiés. Ceux qui s’appliquent directement et indirectement au Projet sont décrits brièvement ci-après : </w:t>
      </w:r>
    </w:p>
    <w:p w14:paraId="76FB3E90" w14:textId="77777777" w:rsidR="00AA1DAD" w:rsidRPr="00AA1DAD" w:rsidRDefault="00AA1DAD" w:rsidP="00687DD2">
      <w:pPr>
        <w:pStyle w:val="Paragraphedeliste"/>
        <w:numPr>
          <w:ilvl w:val="0"/>
          <w:numId w:val="9"/>
        </w:numPr>
        <w:suppressAutoHyphens/>
        <w:spacing w:after="120" w:line="240" w:lineRule="auto"/>
        <w:ind w:left="714" w:hanging="357"/>
        <w:jc w:val="both"/>
        <w:rPr>
          <w:rFonts w:ascii="Arial" w:hAnsi="Arial" w:cs="Arial"/>
          <w:b/>
          <w:bCs/>
        </w:rPr>
      </w:pPr>
      <w:r w:rsidRPr="00AA1DAD">
        <w:rPr>
          <w:rFonts w:ascii="Arial" w:hAnsi="Arial" w:cs="Arial"/>
          <w:b/>
          <w:bCs/>
        </w:rPr>
        <w:t>Loi n° 98-029 du 20 janvier 1999 portant Code de l’eau</w:t>
      </w:r>
    </w:p>
    <w:p w14:paraId="1F9C1D4A" w14:textId="77777777" w:rsidR="00AA1DAD" w:rsidRPr="00AA1DAD" w:rsidRDefault="00AA1DAD" w:rsidP="00AA1DAD">
      <w:pPr>
        <w:autoSpaceDE w:val="0"/>
        <w:autoSpaceDN w:val="0"/>
        <w:adjustRightInd w:val="0"/>
        <w:jc w:val="both"/>
        <w:rPr>
          <w:rFonts w:ascii="Arial" w:hAnsi="Arial" w:cs="Arial"/>
          <w:szCs w:val="24"/>
        </w:rPr>
      </w:pPr>
      <w:r w:rsidRPr="00AA1DAD">
        <w:rPr>
          <w:rFonts w:ascii="Arial" w:hAnsi="Arial" w:cs="Arial"/>
          <w:szCs w:val="24"/>
        </w:rPr>
        <w:t>Ce code précise que les installations, les ouvrages, les travaux et les activités réalisés par toute personne physique ou morale, publique ou privée, entraînant des prélèvements sur les eaux superficielles ou souterraines, pouvant avoir une incidence sur le niveau, la qualité, et le mode d’écoulement des eaux doivent être placés sous surveillance régulière de l’Administration.</w:t>
      </w:r>
    </w:p>
    <w:p w14:paraId="431C66D7" w14:textId="77777777" w:rsidR="00AA1DAD" w:rsidRPr="00AA1DAD" w:rsidRDefault="00AA1DAD" w:rsidP="00687DD2">
      <w:pPr>
        <w:pStyle w:val="Paragraphedeliste"/>
        <w:numPr>
          <w:ilvl w:val="0"/>
          <w:numId w:val="9"/>
        </w:numPr>
        <w:suppressAutoHyphens/>
        <w:spacing w:after="120" w:line="240" w:lineRule="auto"/>
        <w:ind w:left="714" w:hanging="357"/>
        <w:jc w:val="both"/>
        <w:rPr>
          <w:rFonts w:ascii="Arial" w:hAnsi="Arial" w:cs="Arial"/>
          <w:b/>
          <w:bCs/>
        </w:rPr>
      </w:pPr>
      <w:r w:rsidRPr="00AA1DAD">
        <w:rPr>
          <w:rFonts w:ascii="Arial" w:hAnsi="Arial" w:cs="Arial"/>
          <w:b/>
          <w:bCs/>
        </w:rPr>
        <w:t>Décret n°</w:t>
      </w:r>
      <w:r w:rsidR="006B0ACD">
        <w:rPr>
          <w:rFonts w:ascii="Arial" w:hAnsi="Arial" w:cs="Arial"/>
          <w:b/>
          <w:bCs/>
        </w:rPr>
        <w:t xml:space="preserve"> </w:t>
      </w:r>
      <w:r w:rsidRPr="00AA1DAD">
        <w:rPr>
          <w:rFonts w:ascii="Arial" w:hAnsi="Arial" w:cs="Arial"/>
          <w:b/>
          <w:bCs/>
        </w:rPr>
        <w:t>2003</w:t>
      </w:r>
      <w:r w:rsidR="006B0ACD">
        <w:rPr>
          <w:rFonts w:ascii="Arial" w:hAnsi="Arial" w:cs="Arial"/>
          <w:b/>
          <w:bCs/>
        </w:rPr>
        <w:t>-</w:t>
      </w:r>
      <w:r w:rsidRPr="00AA1DAD">
        <w:rPr>
          <w:rFonts w:ascii="Arial" w:hAnsi="Arial" w:cs="Arial"/>
          <w:b/>
          <w:bCs/>
        </w:rPr>
        <w:t>943 du 09 septembre 2003 relatif aux déversements, écoulements, rejets, dépôts directs ou indirects dans les eaux</w:t>
      </w:r>
    </w:p>
    <w:p w14:paraId="33A22078" w14:textId="77777777" w:rsidR="00AA1DAD" w:rsidRPr="00AA1DAD" w:rsidRDefault="00AA1DAD" w:rsidP="00AA1DAD">
      <w:pPr>
        <w:autoSpaceDE w:val="0"/>
        <w:autoSpaceDN w:val="0"/>
        <w:adjustRightInd w:val="0"/>
        <w:jc w:val="both"/>
        <w:rPr>
          <w:rFonts w:ascii="Arial" w:hAnsi="Arial" w:cs="Arial"/>
          <w:szCs w:val="24"/>
        </w:rPr>
      </w:pPr>
      <w:r w:rsidRPr="00AA1DAD">
        <w:rPr>
          <w:rFonts w:ascii="Arial" w:hAnsi="Arial" w:cs="Arial"/>
          <w:szCs w:val="24"/>
        </w:rPr>
        <w:t>Il fixe comme principe que toute activité source de pollution doit envisager toute mesure propre à enrayer ou prévenir le danger constaté ou présumé ; il définit ainsi les organismes et installations qui sont soumis aux dispositions du décret, ainsi que les milieux récepteurs concernés par ces déversements et rejets.</w:t>
      </w:r>
    </w:p>
    <w:p w14:paraId="6DC477AE" w14:textId="77777777" w:rsidR="00AA1DAD" w:rsidRPr="00AA1DAD" w:rsidRDefault="00AA1DAD" w:rsidP="00AA1DAD">
      <w:pPr>
        <w:autoSpaceDE w:val="0"/>
        <w:autoSpaceDN w:val="0"/>
        <w:adjustRightInd w:val="0"/>
        <w:jc w:val="both"/>
        <w:rPr>
          <w:rFonts w:ascii="Arial" w:hAnsi="Arial" w:cs="Arial"/>
          <w:szCs w:val="24"/>
        </w:rPr>
      </w:pPr>
      <w:r w:rsidRPr="00AA1DAD">
        <w:rPr>
          <w:rFonts w:ascii="Arial" w:hAnsi="Arial" w:cs="Arial"/>
          <w:szCs w:val="24"/>
        </w:rPr>
        <w:t>Il faut noter que les déversements, écoulements, rejets, dépôts directs ou indirects, etc.… sont soumis à l’autorisation délivrée par le directeur de l’Agence de bassin concernée, après enquête publique.</w:t>
      </w:r>
    </w:p>
    <w:p w14:paraId="2530311E" w14:textId="77777777" w:rsidR="00AA1DAD" w:rsidRPr="00AA1DAD" w:rsidRDefault="00AA1DAD" w:rsidP="00687DD2">
      <w:pPr>
        <w:pStyle w:val="Paragraphedeliste"/>
        <w:numPr>
          <w:ilvl w:val="0"/>
          <w:numId w:val="9"/>
        </w:numPr>
        <w:suppressAutoHyphens/>
        <w:spacing w:after="120" w:line="240" w:lineRule="auto"/>
        <w:ind w:left="714" w:hanging="357"/>
        <w:jc w:val="both"/>
        <w:rPr>
          <w:rFonts w:ascii="Arial" w:hAnsi="Arial" w:cs="Arial"/>
          <w:b/>
          <w:bCs/>
        </w:rPr>
      </w:pPr>
      <w:r w:rsidRPr="00AA1DAD">
        <w:rPr>
          <w:rFonts w:ascii="Arial" w:hAnsi="Arial" w:cs="Arial"/>
          <w:b/>
          <w:bCs/>
        </w:rPr>
        <w:t>Décret n° 2003</w:t>
      </w:r>
      <w:r w:rsidR="006B0ACD">
        <w:rPr>
          <w:rFonts w:ascii="Arial" w:hAnsi="Arial" w:cs="Arial"/>
          <w:b/>
          <w:bCs/>
        </w:rPr>
        <w:t>-</w:t>
      </w:r>
      <w:r w:rsidRPr="00AA1DAD">
        <w:rPr>
          <w:rFonts w:ascii="Arial" w:hAnsi="Arial" w:cs="Arial"/>
          <w:b/>
          <w:bCs/>
        </w:rPr>
        <w:t>944 du 09 septembre 2003 relatif au déclassement des cours d’eau, d’une section de ce cours d’eau ou d’un lac du domaine public</w:t>
      </w:r>
    </w:p>
    <w:p w14:paraId="44D91CBF" w14:textId="77777777" w:rsidR="00087ADC" w:rsidRPr="00742D67" w:rsidRDefault="00AA1DAD" w:rsidP="00AA1DAD">
      <w:pPr>
        <w:autoSpaceDE w:val="0"/>
        <w:autoSpaceDN w:val="0"/>
        <w:adjustRightInd w:val="0"/>
        <w:jc w:val="both"/>
        <w:rPr>
          <w:rFonts w:ascii="Arial" w:hAnsi="Arial" w:cs="Arial"/>
        </w:rPr>
      </w:pPr>
      <w:r w:rsidRPr="2B7143F0">
        <w:rPr>
          <w:rFonts w:ascii="Arial" w:hAnsi="Arial" w:cs="Arial"/>
        </w:rPr>
        <w:t>Ce décret fixe la procédure de déclassement des cours d’eau, canaux, fleuves, rivières et autres voies et plans d’eau des voies navigables ou flottables, du domaine public dans le domaine privé de l’Etat, comprenant notamment une enquête d’utilité publique, une consultation des services publics de la navigation intérieure, départements et chambre de commerce et d’industrie intéressés et une consultation de la mission interministérielle et les autorités communales pour les problèmes de l’eau.</w:t>
      </w:r>
    </w:p>
    <w:p w14:paraId="5830A4DA" w14:textId="77777777" w:rsidR="00930E1A" w:rsidRPr="00742D67" w:rsidRDefault="00930E1A" w:rsidP="0044500E">
      <w:pPr>
        <w:pStyle w:val="TIT3"/>
        <w:numPr>
          <w:ilvl w:val="2"/>
          <w:numId w:val="177"/>
        </w:numPr>
      </w:pPr>
      <w:bookmarkStart w:id="631" w:name="_Toc124956187"/>
      <w:bookmarkStart w:id="632" w:name="_Toc125384586"/>
      <w:bookmarkStart w:id="633" w:name="_Toc125384975"/>
      <w:bookmarkStart w:id="634" w:name="_Toc127957647"/>
      <w:r w:rsidRPr="00742D67">
        <w:t>Texte</w:t>
      </w:r>
      <w:r w:rsidR="00FE6FC3">
        <w:t>s</w:t>
      </w:r>
      <w:r w:rsidRPr="00742D67">
        <w:t xml:space="preserve"> sur la microfinance</w:t>
      </w:r>
      <w:bookmarkEnd w:id="631"/>
      <w:bookmarkEnd w:id="632"/>
      <w:bookmarkEnd w:id="633"/>
      <w:bookmarkEnd w:id="634"/>
    </w:p>
    <w:p w14:paraId="5D311463" w14:textId="77777777" w:rsidR="00930E1A" w:rsidRPr="00742D67" w:rsidRDefault="00930E1A" w:rsidP="00B434A6">
      <w:pPr>
        <w:pStyle w:val="Paragraphedeliste"/>
        <w:numPr>
          <w:ilvl w:val="0"/>
          <w:numId w:val="9"/>
        </w:numPr>
        <w:suppressAutoHyphens/>
        <w:spacing w:after="120" w:line="240" w:lineRule="auto"/>
        <w:ind w:left="714" w:hanging="357"/>
        <w:jc w:val="both"/>
        <w:rPr>
          <w:rFonts w:ascii="Arial" w:hAnsi="Arial" w:cs="Arial"/>
          <w:b/>
          <w:bCs/>
          <w:color w:val="auto"/>
        </w:rPr>
      </w:pPr>
      <w:r w:rsidRPr="00742D67">
        <w:rPr>
          <w:rFonts w:ascii="Arial" w:hAnsi="Arial" w:cs="Arial"/>
          <w:b/>
          <w:bCs/>
          <w:color w:val="auto"/>
        </w:rPr>
        <w:t>Loi n°95-030 du 22 février 1996 relative à l’activité et au contrôle des établissements de crédit</w:t>
      </w:r>
    </w:p>
    <w:p w14:paraId="3EE807F6" w14:textId="77777777" w:rsidR="00930E1A" w:rsidRPr="00742D67" w:rsidRDefault="00930E1A" w:rsidP="0025561B">
      <w:pPr>
        <w:autoSpaceDE w:val="0"/>
        <w:autoSpaceDN w:val="0"/>
        <w:adjustRightInd w:val="0"/>
        <w:jc w:val="both"/>
        <w:rPr>
          <w:rFonts w:ascii="Arial" w:hAnsi="Arial" w:cs="Arial"/>
        </w:rPr>
      </w:pPr>
      <w:r w:rsidRPr="00742D67">
        <w:rPr>
          <w:rFonts w:ascii="Arial" w:hAnsi="Arial" w:cs="Arial"/>
        </w:rPr>
        <w:t>Cette loi présente les éléments classiques d’une loi bancaire, à savoir :</w:t>
      </w:r>
    </w:p>
    <w:p w14:paraId="668634B8" w14:textId="77777777" w:rsidR="00930E1A" w:rsidRPr="00742D67" w:rsidRDefault="00930E1A" w:rsidP="0044500E">
      <w:pPr>
        <w:pStyle w:val="Paragraphedeliste"/>
        <w:numPr>
          <w:ilvl w:val="0"/>
          <w:numId w:val="181"/>
        </w:numPr>
        <w:autoSpaceDE w:val="0"/>
        <w:autoSpaceDN w:val="0"/>
        <w:adjustRightInd w:val="0"/>
        <w:spacing w:after="0" w:line="240" w:lineRule="auto"/>
        <w:jc w:val="both"/>
        <w:rPr>
          <w:rFonts w:ascii="Arial" w:hAnsi="Arial" w:cs="Arial"/>
          <w:color w:val="auto"/>
        </w:rPr>
      </w:pPr>
      <w:r w:rsidRPr="00742D67">
        <w:rPr>
          <w:rFonts w:ascii="Arial" w:hAnsi="Arial" w:cs="Arial"/>
          <w:color w:val="auto"/>
        </w:rPr>
        <w:t>L’établissement d’un monopole des établissements de crédit quant à l’exercice à titre habituel des opérations de banque (définies comme la réception de fonds du public, l’octroi de crédits, ainsi que la mise à disposition du public ou la gestion de moyens de paiement),</w:t>
      </w:r>
    </w:p>
    <w:p w14:paraId="45A15434" w14:textId="77777777" w:rsidR="00930E1A" w:rsidRPr="00742D67" w:rsidRDefault="00930E1A" w:rsidP="0044500E">
      <w:pPr>
        <w:pStyle w:val="Paragraphedeliste"/>
        <w:numPr>
          <w:ilvl w:val="0"/>
          <w:numId w:val="181"/>
        </w:numPr>
        <w:autoSpaceDE w:val="0"/>
        <w:autoSpaceDN w:val="0"/>
        <w:adjustRightInd w:val="0"/>
        <w:spacing w:after="0" w:line="240" w:lineRule="auto"/>
        <w:jc w:val="both"/>
        <w:rPr>
          <w:rFonts w:ascii="Arial" w:hAnsi="Arial" w:cs="Arial"/>
          <w:color w:val="auto"/>
        </w:rPr>
      </w:pPr>
      <w:r w:rsidRPr="00742D67">
        <w:rPr>
          <w:rFonts w:ascii="Arial" w:hAnsi="Arial" w:cs="Arial"/>
          <w:color w:val="auto"/>
        </w:rPr>
        <w:t>La mise en place d’une Commission de Supervision Bancaire et Financière (ou CSBF)</w:t>
      </w:r>
      <w:r w:rsidR="003817FD" w:rsidRPr="00742D67">
        <w:rPr>
          <w:rFonts w:ascii="Arial" w:hAnsi="Arial" w:cs="Arial"/>
          <w:color w:val="auto"/>
        </w:rPr>
        <w:t>, un</w:t>
      </w:r>
      <w:r w:rsidRPr="00742D67">
        <w:rPr>
          <w:rFonts w:ascii="Arial" w:hAnsi="Arial" w:cs="Arial"/>
          <w:color w:val="auto"/>
        </w:rPr>
        <w:t xml:space="preserve"> organisme chargé de délivrer les agréments des établissements de crédit, de contrôler le respect des obligations à la charge des établissements de crédit en vertu de la Loi Bancaire, ainsi que de sanctionner ces établissements en cas de manquement à ces obligations,</w:t>
      </w:r>
    </w:p>
    <w:p w14:paraId="5928352B" w14:textId="77777777" w:rsidR="00930E1A" w:rsidRPr="00742D67" w:rsidRDefault="003817FD" w:rsidP="0044500E">
      <w:pPr>
        <w:pStyle w:val="Paragraphedeliste"/>
        <w:numPr>
          <w:ilvl w:val="0"/>
          <w:numId w:val="181"/>
        </w:numPr>
        <w:autoSpaceDE w:val="0"/>
        <w:autoSpaceDN w:val="0"/>
        <w:adjustRightInd w:val="0"/>
        <w:spacing w:after="0" w:line="240" w:lineRule="auto"/>
        <w:jc w:val="both"/>
        <w:rPr>
          <w:rFonts w:ascii="Arial" w:hAnsi="Arial" w:cs="Arial"/>
          <w:color w:val="auto"/>
        </w:rPr>
      </w:pPr>
      <w:r w:rsidRPr="00742D67">
        <w:rPr>
          <w:rFonts w:ascii="Arial" w:hAnsi="Arial" w:cs="Arial"/>
          <w:color w:val="auto"/>
        </w:rPr>
        <w:t>Les particularités relatives à la liquidation des établissements de crédit en cas de retrait d’agrément,</w:t>
      </w:r>
    </w:p>
    <w:p w14:paraId="768C8A22" w14:textId="77777777" w:rsidR="003817FD" w:rsidRPr="00742D67" w:rsidRDefault="00CC66A1" w:rsidP="0044500E">
      <w:pPr>
        <w:pStyle w:val="Paragraphedeliste"/>
        <w:numPr>
          <w:ilvl w:val="0"/>
          <w:numId w:val="181"/>
        </w:numPr>
        <w:autoSpaceDE w:val="0"/>
        <w:autoSpaceDN w:val="0"/>
        <w:adjustRightInd w:val="0"/>
        <w:spacing w:after="0" w:line="240" w:lineRule="auto"/>
        <w:jc w:val="both"/>
        <w:rPr>
          <w:rFonts w:ascii="Arial" w:hAnsi="Arial" w:cs="Arial"/>
          <w:color w:val="auto"/>
        </w:rPr>
      </w:pPr>
      <w:r w:rsidRPr="00742D67">
        <w:rPr>
          <w:rFonts w:ascii="Arial" w:hAnsi="Arial" w:cs="Arial"/>
          <w:color w:val="auto"/>
        </w:rPr>
        <w:t>L</w:t>
      </w:r>
      <w:r w:rsidR="003817FD" w:rsidRPr="00742D67">
        <w:rPr>
          <w:rFonts w:ascii="Arial" w:hAnsi="Arial" w:cs="Arial"/>
          <w:color w:val="auto"/>
        </w:rPr>
        <w:t>es sanctions pénales encourues par les personnes ne respectant pas les dispositions de la Loi Bancaire, telles qu’une violation du monopole bancaire.</w:t>
      </w:r>
    </w:p>
    <w:p w14:paraId="089C408D" w14:textId="77777777" w:rsidR="003817FD" w:rsidRPr="00742D67" w:rsidRDefault="003817FD" w:rsidP="0025561B">
      <w:pPr>
        <w:autoSpaceDE w:val="0"/>
        <w:autoSpaceDN w:val="0"/>
        <w:adjustRightInd w:val="0"/>
        <w:spacing w:after="0" w:line="240" w:lineRule="auto"/>
        <w:jc w:val="both"/>
        <w:rPr>
          <w:rFonts w:ascii="ArialMT" w:hAnsi="ArialMT" w:cs="ArialMT"/>
        </w:rPr>
      </w:pPr>
    </w:p>
    <w:p w14:paraId="6D6520FC" w14:textId="77777777" w:rsidR="00DA704D" w:rsidRPr="00742D67" w:rsidRDefault="00DA704D" w:rsidP="0025561B">
      <w:pPr>
        <w:autoSpaceDE w:val="0"/>
        <w:autoSpaceDN w:val="0"/>
        <w:adjustRightInd w:val="0"/>
        <w:spacing w:after="0" w:line="240" w:lineRule="auto"/>
        <w:jc w:val="both"/>
        <w:rPr>
          <w:rFonts w:ascii="ArialMT" w:hAnsi="ArialMT" w:cs="ArialMT"/>
        </w:rPr>
      </w:pPr>
      <w:r w:rsidRPr="00742D67">
        <w:rPr>
          <w:rFonts w:ascii="ArialMT" w:hAnsi="ArialMT" w:cs="ArialMT"/>
        </w:rPr>
        <w:t>L’article 35 de cette loi prévoit la mise en place d’une Commission de Supervision Bancaire et Financière de la République de Madagascar qui se charge de veiller au bon fonctionnement des établissements de crédit, vérifier le respect par ces établissements des dispositions qui leur sont applicables et de sanctionner les manquements constatés</w:t>
      </w:r>
      <w:r w:rsidR="00FE6FC3">
        <w:rPr>
          <w:rFonts w:ascii="ArialMT" w:hAnsi="ArialMT" w:cs="ArialMT"/>
        </w:rPr>
        <w:t>.</w:t>
      </w:r>
    </w:p>
    <w:p w14:paraId="5BAF537D" w14:textId="77777777" w:rsidR="003817FD" w:rsidRPr="00742D67" w:rsidRDefault="003817FD" w:rsidP="00B434A6">
      <w:pPr>
        <w:pStyle w:val="Paragraphedeliste"/>
        <w:numPr>
          <w:ilvl w:val="0"/>
          <w:numId w:val="9"/>
        </w:numPr>
        <w:suppressAutoHyphens/>
        <w:spacing w:after="120" w:line="240" w:lineRule="auto"/>
        <w:ind w:left="714" w:hanging="357"/>
        <w:jc w:val="both"/>
        <w:rPr>
          <w:rFonts w:ascii="Arial" w:hAnsi="Arial" w:cs="Arial"/>
          <w:b/>
          <w:bCs/>
          <w:color w:val="auto"/>
        </w:rPr>
      </w:pPr>
      <w:r w:rsidRPr="00742D67">
        <w:rPr>
          <w:rFonts w:ascii="Arial" w:hAnsi="Arial" w:cs="Arial"/>
          <w:b/>
          <w:bCs/>
          <w:color w:val="auto"/>
        </w:rPr>
        <w:t>Loi n°2005-016 du 29 septembre 2005 relative à l'activité et au contrôle des institutions de microfinance</w:t>
      </w:r>
    </w:p>
    <w:p w14:paraId="7022CAA2" w14:textId="77777777" w:rsidR="003817FD" w:rsidRPr="00742D67" w:rsidRDefault="003817FD" w:rsidP="003817FD">
      <w:pPr>
        <w:autoSpaceDE w:val="0"/>
        <w:autoSpaceDN w:val="0"/>
        <w:adjustRightInd w:val="0"/>
        <w:jc w:val="both"/>
        <w:rPr>
          <w:rFonts w:ascii="Arial" w:hAnsi="Arial" w:cs="Arial"/>
        </w:rPr>
      </w:pPr>
      <w:r w:rsidRPr="00742D67">
        <w:rPr>
          <w:rFonts w:ascii="Arial" w:hAnsi="Arial" w:cs="Arial"/>
        </w:rPr>
        <w:t xml:space="preserve">Cette loi vise en premier lieu à définir les « activités de microfinance » </w:t>
      </w:r>
      <w:r w:rsidR="00563C78">
        <w:rPr>
          <w:rFonts w:ascii="Arial" w:hAnsi="Arial" w:cs="Arial"/>
        </w:rPr>
        <w:t>afin de</w:t>
      </w:r>
      <w:r w:rsidRPr="00742D67">
        <w:rPr>
          <w:rFonts w:ascii="Arial" w:hAnsi="Arial" w:cs="Arial"/>
        </w:rPr>
        <w:t xml:space="preserve"> préciser les caractéristiques des opérations que peuvent effectuer les « institutions de </w:t>
      </w:r>
      <w:r w:rsidR="0025561B" w:rsidRPr="00742D67">
        <w:rPr>
          <w:rFonts w:ascii="Arial" w:hAnsi="Arial" w:cs="Arial"/>
        </w:rPr>
        <w:t>microfinance »</w:t>
      </w:r>
      <w:r w:rsidRPr="00742D67">
        <w:rPr>
          <w:rFonts w:ascii="Arial" w:hAnsi="Arial" w:cs="Arial"/>
        </w:rPr>
        <w:t>, une nouvelle catégorie d’établissement de crédit à insérer dans la loi bancaire en englobant Institutions Financières Mutualistes (IFM) et Institutions Financières Non Mutualistes (IFNM).</w:t>
      </w:r>
    </w:p>
    <w:p w14:paraId="01C49C18" w14:textId="77777777" w:rsidR="006A1ABC" w:rsidRPr="00742D67" w:rsidRDefault="003817FD" w:rsidP="003817FD">
      <w:pPr>
        <w:autoSpaceDE w:val="0"/>
        <w:autoSpaceDN w:val="0"/>
        <w:adjustRightInd w:val="0"/>
        <w:jc w:val="both"/>
        <w:rPr>
          <w:rFonts w:ascii="Arial" w:hAnsi="Arial" w:cs="Arial"/>
        </w:rPr>
      </w:pPr>
      <w:r w:rsidRPr="00742D67">
        <w:rPr>
          <w:rFonts w:ascii="Arial" w:hAnsi="Arial" w:cs="Arial"/>
        </w:rPr>
        <w:t xml:space="preserve">Cette </w:t>
      </w:r>
      <w:r w:rsidR="00563C78">
        <w:rPr>
          <w:rFonts w:ascii="Arial" w:hAnsi="Arial" w:cs="Arial"/>
        </w:rPr>
        <w:t xml:space="preserve">loi </w:t>
      </w:r>
      <w:r w:rsidRPr="00742D67">
        <w:rPr>
          <w:rFonts w:ascii="Arial" w:hAnsi="Arial" w:cs="Arial"/>
        </w:rPr>
        <w:t xml:space="preserve">distingue </w:t>
      </w:r>
      <w:r w:rsidR="00563C78">
        <w:rPr>
          <w:rFonts w:ascii="Arial" w:hAnsi="Arial" w:cs="Arial"/>
        </w:rPr>
        <w:t>trois (0</w:t>
      </w:r>
      <w:r w:rsidRPr="00742D67">
        <w:rPr>
          <w:rFonts w:ascii="Arial" w:hAnsi="Arial" w:cs="Arial"/>
        </w:rPr>
        <w:t>3</w:t>
      </w:r>
      <w:r w:rsidR="00563C78">
        <w:rPr>
          <w:rFonts w:ascii="Arial" w:hAnsi="Arial" w:cs="Arial"/>
        </w:rPr>
        <w:t>)</w:t>
      </w:r>
      <w:r w:rsidRPr="00742D67">
        <w:rPr>
          <w:rFonts w:ascii="Arial" w:hAnsi="Arial" w:cs="Arial"/>
        </w:rPr>
        <w:t xml:space="preserve"> niveaux progressifs d’IMF (IMF 1 à 3) suivant la complexité de l’opération. En effet, Plus le niveau est élevé, plus les opérations sont complexes, les ressources, l’organisation, le degré d’institutionnalisation et le contrôle plus développés.</w:t>
      </w:r>
    </w:p>
    <w:p w14:paraId="6EA50647" w14:textId="77777777" w:rsidR="006A1ABC" w:rsidRPr="00742D67" w:rsidRDefault="006A1ABC" w:rsidP="00B434A6">
      <w:pPr>
        <w:pStyle w:val="Paragraphedeliste"/>
        <w:numPr>
          <w:ilvl w:val="0"/>
          <w:numId w:val="9"/>
        </w:numPr>
        <w:suppressAutoHyphens/>
        <w:spacing w:after="120" w:line="240" w:lineRule="auto"/>
        <w:ind w:left="714" w:hanging="357"/>
        <w:jc w:val="both"/>
        <w:rPr>
          <w:rFonts w:ascii="Arial" w:hAnsi="Arial" w:cs="Arial"/>
          <w:b/>
          <w:bCs/>
          <w:color w:val="auto"/>
        </w:rPr>
      </w:pPr>
      <w:r w:rsidRPr="00742D67">
        <w:rPr>
          <w:rFonts w:ascii="Arial" w:hAnsi="Arial" w:cs="Arial"/>
          <w:b/>
          <w:bCs/>
          <w:color w:val="auto"/>
        </w:rPr>
        <w:t>Décret n° 2007-012 du 8 janvier 2007 fixant les formes juridiques des institutions de microfinance et les modalités de leur immatriculation au Registre du Commerce et des Sociétés</w:t>
      </w:r>
    </w:p>
    <w:p w14:paraId="4BEECF86" w14:textId="77777777" w:rsidR="006A1ABC" w:rsidRPr="00742D67" w:rsidRDefault="006A1ABC" w:rsidP="003817FD">
      <w:pPr>
        <w:autoSpaceDE w:val="0"/>
        <w:autoSpaceDN w:val="0"/>
        <w:adjustRightInd w:val="0"/>
        <w:jc w:val="both"/>
        <w:rPr>
          <w:rFonts w:ascii="Arial" w:hAnsi="Arial" w:cs="Arial"/>
        </w:rPr>
      </w:pPr>
      <w:r w:rsidRPr="00742D67">
        <w:rPr>
          <w:rFonts w:ascii="Arial" w:hAnsi="Arial" w:cs="Arial"/>
        </w:rPr>
        <w:t>Ce décret indique la forme juridique des institutions de micro finances.</w:t>
      </w:r>
    </w:p>
    <w:p w14:paraId="239C30A8" w14:textId="77777777" w:rsidR="006A1ABC" w:rsidRPr="00742D67" w:rsidRDefault="006A1ABC" w:rsidP="00F01166">
      <w:pPr>
        <w:autoSpaceDE w:val="0"/>
        <w:autoSpaceDN w:val="0"/>
        <w:adjustRightInd w:val="0"/>
        <w:jc w:val="both"/>
        <w:rPr>
          <w:rFonts w:ascii="Arial" w:hAnsi="Arial" w:cs="Arial"/>
        </w:rPr>
      </w:pPr>
      <w:r w:rsidRPr="00742D67">
        <w:rPr>
          <w:rFonts w:ascii="Arial" w:hAnsi="Arial" w:cs="Arial"/>
        </w:rPr>
        <w:t>Dans son article 3, il mentionne que Les IMF mutualistes de niveau 1 ne sont pas autorisées à se constituer en réseau alors que Les unions et fédérations d’IMF mutualistes de niveaux 2 et 3 sont constituées soit sous la forme de Société Coopérative, soit sous la forme de Société Anonyme à capital fixe et à plusieurs actionnaires</w:t>
      </w:r>
    </w:p>
    <w:p w14:paraId="3A0362DD" w14:textId="77777777" w:rsidR="006A1ABC" w:rsidRPr="00742D67" w:rsidRDefault="006A1ABC" w:rsidP="00B434A6">
      <w:pPr>
        <w:pStyle w:val="Paragraphedeliste"/>
        <w:numPr>
          <w:ilvl w:val="0"/>
          <w:numId w:val="9"/>
        </w:numPr>
        <w:suppressAutoHyphens/>
        <w:spacing w:after="120" w:line="240" w:lineRule="auto"/>
        <w:ind w:left="714" w:hanging="357"/>
        <w:jc w:val="both"/>
        <w:rPr>
          <w:rFonts w:ascii="Arial" w:hAnsi="Arial" w:cs="Arial"/>
          <w:b/>
          <w:bCs/>
          <w:color w:val="auto"/>
        </w:rPr>
      </w:pPr>
      <w:r w:rsidRPr="00742D67">
        <w:rPr>
          <w:rFonts w:ascii="Arial" w:hAnsi="Arial" w:cs="Arial"/>
          <w:b/>
          <w:bCs/>
          <w:color w:val="auto"/>
        </w:rPr>
        <w:t>Décret n°2007-013 en date du 9 janvier 2007 Portant fixation du capital minimum des établissements de crédit et de la valeur nominale des titres de participation</w:t>
      </w:r>
    </w:p>
    <w:p w14:paraId="2EF49D37" w14:textId="77777777" w:rsidR="006A1ABC" w:rsidRPr="00742D67" w:rsidRDefault="006A1ABC" w:rsidP="00F01166">
      <w:pPr>
        <w:autoSpaceDE w:val="0"/>
        <w:autoSpaceDN w:val="0"/>
        <w:adjustRightInd w:val="0"/>
        <w:jc w:val="both"/>
        <w:rPr>
          <w:rFonts w:ascii="Arial" w:hAnsi="Arial" w:cs="Arial"/>
        </w:rPr>
      </w:pPr>
      <w:r w:rsidRPr="00742D67">
        <w:rPr>
          <w:rFonts w:ascii="Arial" w:hAnsi="Arial" w:cs="Arial"/>
        </w:rPr>
        <w:t xml:space="preserve">Ce décret fixe </w:t>
      </w:r>
      <w:r w:rsidR="00DA704D" w:rsidRPr="00742D67">
        <w:rPr>
          <w:rFonts w:ascii="Arial" w:hAnsi="Arial" w:cs="Arial"/>
        </w:rPr>
        <w:t>le capital minimum et de la valeur nominale des titres de participation des établissements de crédit mais également des institutions de microfinance</w:t>
      </w:r>
      <w:r w:rsidR="00FE6FC3">
        <w:rPr>
          <w:rFonts w:ascii="Arial" w:hAnsi="Arial" w:cs="Arial"/>
        </w:rPr>
        <w:t>.</w:t>
      </w:r>
    </w:p>
    <w:p w14:paraId="79401427" w14:textId="77777777" w:rsidR="00DA704D" w:rsidRPr="00742D67" w:rsidRDefault="00DA704D" w:rsidP="00B434A6">
      <w:pPr>
        <w:pStyle w:val="Paragraphedeliste"/>
        <w:numPr>
          <w:ilvl w:val="0"/>
          <w:numId w:val="9"/>
        </w:numPr>
        <w:suppressAutoHyphens/>
        <w:spacing w:after="120" w:line="240" w:lineRule="auto"/>
        <w:ind w:left="714" w:hanging="357"/>
        <w:jc w:val="both"/>
        <w:rPr>
          <w:rFonts w:ascii="Arial" w:hAnsi="Arial" w:cs="Arial"/>
          <w:b/>
          <w:bCs/>
          <w:color w:val="auto"/>
        </w:rPr>
      </w:pPr>
      <w:r w:rsidRPr="00742D67">
        <w:rPr>
          <w:rFonts w:ascii="Arial" w:hAnsi="Arial" w:cs="Arial"/>
          <w:b/>
          <w:bCs/>
          <w:color w:val="auto"/>
        </w:rPr>
        <w:t>Loi 2016-056 du 16 décembre 2016 sur la monnaie électronique (e-money) et les établissements de monnaie électronique</w:t>
      </w:r>
    </w:p>
    <w:p w14:paraId="2A521FD2" w14:textId="77777777" w:rsidR="00DA704D" w:rsidRPr="00742D67" w:rsidRDefault="00DA704D" w:rsidP="003817FD">
      <w:pPr>
        <w:autoSpaceDE w:val="0"/>
        <w:autoSpaceDN w:val="0"/>
        <w:adjustRightInd w:val="0"/>
        <w:jc w:val="both"/>
        <w:rPr>
          <w:rFonts w:ascii="Arial" w:hAnsi="Arial" w:cs="Arial"/>
        </w:rPr>
      </w:pPr>
      <w:r w:rsidRPr="00742D67">
        <w:rPr>
          <w:rFonts w:ascii="Arial" w:hAnsi="Arial" w:cs="Arial"/>
        </w:rPr>
        <w:t>Cette loi fixe les règles relatives à la monnaie électronique (souvent appelé « mobile money », à l’activité et au contrôle des établissements de monnaie électronique</w:t>
      </w:r>
      <w:r w:rsidR="00FE6FC3">
        <w:rPr>
          <w:rFonts w:ascii="Arial" w:hAnsi="Arial" w:cs="Arial"/>
        </w:rPr>
        <w:t>.</w:t>
      </w:r>
    </w:p>
    <w:p w14:paraId="2B9B7450" w14:textId="77777777" w:rsidR="00087ADC" w:rsidRPr="00742D67" w:rsidRDefault="00087ADC" w:rsidP="00F01166">
      <w:pPr>
        <w:pStyle w:val="TIT2"/>
        <w:numPr>
          <w:ilvl w:val="1"/>
          <w:numId w:val="177"/>
        </w:numPr>
        <w:spacing w:before="240"/>
        <w:rPr>
          <w:color w:val="auto"/>
        </w:rPr>
      </w:pPr>
      <w:bookmarkStart w:id="635" w:name="_Toc124956188"/>
      <w:bookmarkStart w:id="636" w:name="_Toc125384587"/>
      <w:bookmarkStart w:id="637" w:name="_Toc125384976"/>
      <w:bookmarkStart w:id="638" w:name="_Toc127957648"/>
      <w:r w:rsidRPr="00742D67">
        <w:rPr>
          <w:color w:val="auto"/>
        </w:rPr>
        <w:t>Accords et conventions internationaux pertinents pour les activités du Projet</w:t>
      </w:r>
      <w:bookmarkEnd w:id="635"/>
      <w:bookmarkEnd w:id="636"/>
      <w:bookmarkEnd w:id="637"/>
      <w:bookmarkEnd w:id="638"/>
    </w:p>
    <w:p w14:paraId="05C9DD4F" w14:textId="77777777" w:rsidR="00087ADC" w:rsidRPr="00742D67" w:rsidRDefault="00087ADC" w:rsidP="00B434A6">
      <w:pPr>
        <w:pStyle w:val="Default"/>
        <w:numPr>
          <w:ilvl w:val="0"/>
          <w:numId w:val="9"/>
        </w:numPr>
        <w:suppressAutoHyphens/>
        <w:spacing w:after="120"/>
        <w:ind w:left="714" w:hanging="357"/>
        <w:jc w:val="both"/>
        <w:rPr>
          <w:b/>
          <w:bCs/>
          <w:color w:val="auto"/>
          <w:sz w:val="22"/>
          <w:szCs w:val="22"/>
        </w:rPr>
      </w:pPr>
      <w:r w:rsidRPr="00742D67">
        <w:rPr>
          <w:b/>
          <w:bCs/>
          <w:color w:val="auto"/>
          <w:sz w:val="22"/>
          <w:szCs w:val="22"/>
        </w:rPr>
        <w:t xml:space="preserve">Convention de Stockholm sur les polluants organiques persistants </w:t>
      </w:r>
      <w:r w:rsidR="00563C78">
        <w:rPr>
          <w:b/>
          <w:bCs/>
          <w:color w:val="auto"/>
          <w:sz w:val="22"/>
          <w:szCs w:val="22"/>
        </w:rPr>
        <w:t>(POPs)</w:t>
      </w:r>
    </w:p>
    <w:p w14:paraId="2C3BD4AD" w14:textId="77777777" w:rsidR="00087ADC" w:rsidRPr="00742D67" w:rsidRDefault="003A0191" w:rsidP="00AA1DAD">
      <w:pPr>
        <w:autoSpaceDE w:val="0"/>
        <w:autoSpaceDN w:val="0"/>
        <w:adjustRightInd w:val="0"/>
        <w:jc w:val="both"/>
        <w:rPr>
          <w:rFonts w:ascii="Arial" w:hAnsi="Arial" w:cs="Arial"/>
        </w:rPr>
      </w:pPr>
      <w:r w:rsidRPr="00742D67">
        <w:rPr>
          <w:rFonts w:ascii="Arial" w:hAnsi="Arial" w:cs="Arial"/>
        </w:rPr>
        <w:t>Signé par Madagascar le 24 septembre 2001 et ratifié le 18 novembre 2005, cette convention a pour objectifs : (i) de mettre fin aux rejets et à l’utilisation des POP</w:t>
      </w:r>
      <w:r w:rsidR="00FE6FC3">
        <w:rPr>
          <w:rFonts w:ascii="Arial" w:hAnsi="Arial" w:cs="Arial"/>
        </w:rPr>
        <w:t>s</w:t>
      </w:r>
      <w:r w:rsidRPr="00742D67">
        <w:rPr>
          <w:rFonts w:ascii="Arial" w:hAnsi="Arial" w:cs="Arial"/>
        </w:rPr>
        <w:t>, (ii) d’appuyer l’adoption progressive des substances de remplacement moins dangereux, (iii) d’éliminer les anciens stocks et les équipements contenant des POP</w:t>
      </w:r>
      <w:r w:rsidR="00FE6FC3">
        <w:rPr>
          <w:rFonts w:ascii="Arial" w:hAnsi="Arial" w:cs="Arial"/>
        </w:rPr>
        <w:t>s</w:t>
      </w:r>
      <w:r w:rsidRPr="00742D67">
        <w:rPr>
          <w:rFonts w:ascii="Arial" w:hAnsi="Arial" w:cs="Arial"/>
        </w:rPr>
        <w:t xml:space="preserve"> et (iv) de cibler d’autres </w:t>
      </w:r>
      <w:r w:rsidR="00FE6FC3">
        <w:rPr>
          <w:rFonts w:ascii="Arial" w:hAnsi="Arial" w:cs="Arial"/>
        </w:rPr>
        <w:t>POP</w:t>
      </w:r>
      <w:r w:rsidRPr="00742D67">
        <w:rPr>
          <w:rFonts w:ascii="Arial" w:hAnsi="Arial" w:cs="Arial"/>
        </w:rPr>
        <w:t>s</w:t>
      </w:r>
      <w:r w:rsidR="00FE6FC3">
        <w:rPr>
          <w:rFonts w:ascii="Arial" w:hAnsi="Arial" w:cs="Arial"/>
        </w:rPr>
        <w:t>.</w:t>
      </w:r>
    </w:p>
    <w:p w14:paraId="0E5AB470" w14:textId="77777777" w:rsidR="00087ADC" w:rsidRPr="00742D67" w:rsidRDefault="00931363" w:rsidP="00AA1DAD">
      <w:pPr>
        <w:autoSpaceDE w:val="0"/>
        <w:autoSpaceDN w:val="0"/>
        <w:adjustRightInd w:val="0"/>
        <w:jc w:val="both"/>
        <w:rPr>
          <w:rFonts w:ascii="Arial" w:hAnsi="Arial" w:cs="Arial"/>
        </w:rPr>
      </w:pPr>
      <w:r w:rsidRPr="00742D67">
        <w:rPr>
          <w:rFonts w:ascii="Arial" w:hAnsi="Arial" w:cs="Arial"/>
        </w:rPr>
        <w:t>Dans son article 3 la convention prévoit</w:t>
      </w:r>
      <w:r w:rsidR="00FE6FC3">
        <w:rPr>
          <w:rFonts w:ascii="Arial" w:hAnsi="Arial" w:cs="Arial"/>
        </w:rPr>
        <w:t> :</w:t>
      </w:r>
      <w:r w:rsidRPr="00742D67">
        <w:rPr>
          <w:rFonts w:ascii="Arial" w:hAnsi="Arial" w:cs="Arial"/>
        </w:rPr>
        <w:t xml:space="preserve"> </w:t>
      </w:r>
    </w:p>
    <w:p w14:paraId="48C8DA05" w14:textId="77777777" w:rsidR="003A0191" w:rsidRPr="00742D67" w:rsidRDefault="00931363" w:rsidP="0044500E">
      <w:pPr>
        <w:pStyle w:val="Paragraphedeliste"/>
        <w:numPr>
          <w:ilvl w:val="0"/>
          <w:numId w:val="178"/>
        </w:numPr>
        <w:autoSpaceDE w:val="0"/>
        <w:autoSpaceDN w:val="0"/>
        <w:adjustRightInd w:val="0"/>
        <w:jc w:val="both"/>
        <w:rPr>
          <w:rFonts w:ascii="Arial" w:hAnsi="Arial" w:cs="Arial"/>
          <w:color w:val="auto"/>
        </w:rPr>
      </w:pPr>
      <w:r w:rsidRPr="00742D67">
        <w:rPr>
          <w:rFonts w:ascii="Arial" w:hAnsi="Arial" w:cs="Arial"/>
          <w:color w:val="auto"/>
        </w:rPr>
        <w:t xml:space="preserve">D’interdire </w:t>
      </w:r>
      <w:r w:rsidR="003A0191" w:rsidRPr="00742D67">
        <w:rPr>
          <w:rFonts w:ascii="Arial" w:hAnsi="Arial" w:cs="Arial"/>
          <w:color w:val="auto"/>
        </w:rPr>
        <w:t xml:space="preserve">et/ou </w:t>
      </w:r>
      <w:r w:rsidRPr="00742D67">
        <w:rPr>
          <w:rFonts w:ascii="Arial" w:hAnsi="Arial" w:cs="Arial"/>
          <w:color w:val="auto"/>
        </w:rPr>
        <w:t xml:space="preserve">de </w:t>
      </w:r>
      <w:r w:rsidR="003A0191" w:rsidRPr="00742D67">
        <w:rPr>
          <w:rFonts w:ascii="Arial" w:hAnsi="Arial" w:cs="Arial"/>
          <w:color w:val="auto"/>
        </w:rPr>
        <w:t>prend</w:t>
      </w:r>
      <w:r w:rsidRPr="00742D67">
        <w:rPr>
          <w:rFonts w:ascii="Arial" w:hAnsi="Arial" w:cs="Arial"/>
          <w:color w:val="auto"/>
        </w:rPr>
        <w:t>re d</w:t>
      </w:r>
      <w:r w:rsidR="003A0191" w:rsidRPr="00742D67">
        <w:rPr>
          <w:rFonts w:ascii="Arial" w:hAnsi="Arial" w:cs="Arial"/>
          <w:color w:val="auto"/>
        </w:rPr>
        <w:t>es mesures juridiques et administratives qui s’imposent pour éliminer la production, l’importation, l’exploration et l’utilisation des substances chimiques à l’</w:t>
      </w:r>
      <w:r w:rsidRPr="00742D67">
        <w:rPr>
          <w:rFonts w:ascii="Arial" w:hAnsi="Arial" w:cs="Arial"/>
          <w:color w:val="auto"/>
        </w:rPr>
        <w:t xml:space="preserve">annexe A </w:t>
      </w:r>
    </w:p>
    <w:p w14:paraId="5C60C788" w14:textId="77777777" w:rsidR="003A0191" w:rsidRPr="00742D67" w:rsidRDefault="00931363" w:rsidP="0044500E">
      <w:pPr>
        <w:pStyle w:val="Paragraphedeliste"/>
        <w:numPr>
          <w:ilvl w:val="0"/>
          <w:numId w:val="178"/>
        </w:numPr>
        <w:autoSpaceDE w:val="0"/>
        <w:autoSpaceDN w:val="0"/>
        <w:adjustRightInd w:val="0"/>
        <w:jc w:val="both"/>
        <w:rPr>
          <w:rFonts w:ascii="Arial" w:hAnsi="Arial" w:cs="Arial"/>
          <w:color w:val="auto"/>
        </w:rPr>
      </w:pPr>
      <w:r w:rsidRPr="00742D67">
        <w:rPr>
          <w:rFonts w:ascii="Arial" w:hAnsi="Arial" w:cs="Arial"/>
          <w:color w:val="auto"/>
        </w:rPr>
        <w:t>De l</w:t>
      </w:r>
      <w:r w:rsidR="003A0191" w:rsidRPr="00742D67">
        <w:rPr>
          <w:rFonts w:ascii="Arial" w:hAnsi="Arial" w:cs="Arial"/>
          <w:color w:val="auto"/>
        </w:rPr>
        <w:t>imite</w:t>
      </w:r>
      <w:r w:rsidRPr="00742D67">
        <w:rPr>
          <w:rFonts w:ascii="Arial" w:hAnsi="Arial" w:cs="Arial"/>
          <w:color w:val="auto"/>
        </w:rPr>
        <w:t>r</w:t>
      </w:r>
      <w:r w:rsidR="003A0191" w:rsidRPr="00742D67">
        <w:rPr>
          <w:rFonts w:ascii="Arial" w:hAnsi="Arial" w:cs="Arial"/>
          <w:color w:val="auto"/>
        </w:rPr>
        <w:t xml:space="preserve"> la production et l’utilisation des substances chimiques inscrites à l’annexe B</w:t>
      </w:r>
    </w:p>
    <w:p w14:paraId="07D3A4D2" w14:textId="77777777" w:rsidR="00931363" w:rsidRPr="00742D67" w:rsidRDefault="00931363" w:rsidP="000B43D8">
      <w:pPr>
        <w:autoSpaceDE w:val="0"/>
        <w:autoSpaceDN w:val="0"/>
        <w:adjustRightInd w:val="0"/>
        <w:jc w:val="both"/>
        <w:rPr>
          <w:rFonts w:ascii="Arial" w:hAnsi="Arial" w:cs="Arial"/>
        </w:rPr>
      </w:pPr>
      <w:r w:rsidRPr="00742D67">
        <w:rPr>
          <w:rFonts w:ascii="Arial" w:hAnsi="Arial" w:cs="Arial"/>
        </w:rPr>
        <w:t xml:space="preserve">Face à cette convention, l’Etat Malagasy a </w:t>
      </w:r>
      <w:r w:rsidR="00563C78" w:rsidRPr="00742D67">
        <w:rPr>
          <w:rFonts w:ascii="Arial" w:hAnsi="Arial" w:cs="Arial"/>
        </w:rPr>
        <w:t>f</w:t>
      </w:r>
      <w:r w:rsidR="00563C78">
        <w:rPr>
          <w:rFonts w:ascii="Arial" w:hAnsi="Arial" w:cs="Arial"/>
        </w:rPr>
        <w:t>ournit</w:t>
      </w:r>
      <w:r w:rsidR="00563C78" w:rsidRPr="00742D67">
        <w:rPr>
          <w:rFonts w:ascii="Arial" w:hAnsi="Arial" w:cs="Arial"/>
        </w:rPr>
        <w:t xml:space="preserve"> </w:t>
      </w:r>
      <w:r w:rsidRPr="00742D67">
        <w:rPr>
          <w:rFonts w:ascii="Arial" w:hAnsi="Arial" w:cs="Arial"/>
        </w:rPr>
        <w:t xml:space="preserve">des efforts </w:t>
      </w:r>
      <w:r w:rsidR="00563C78">
        <w:rPr>
          <w:rFonts w:ascii="Arial" w:hAnsi="Arial" w:cs="Arial"/>
        </w:rPr>
        <w:t xml:space="preserve">pour </w:t>
      </w:r>
      <w:r w:rsidRPr="00742D67">
        <w:rPr>
          <w:rFonts w:ascii="Arial" w:hAnsi="Arial" w:cs="Arial"/>
        </w:rPr>
        <w:t xml:space="preserve">éradiquer l’utilisation des transformateurs électriques à PCB. Effectivement les PCB font partie de la famille des « polluants organiques persistants » avec les HAP, les dioxines et autres. Connus également sous le nom de pyralènes. </w:t>
      </w:r>
    </w:p>
    <w:p w14:paraId="5D66BBCB" w14:textId="77777777" w:rsidR="00931363" w:rsidRPr="00742D67" w:rsidRDefault="00A30EF5" w:rsidP="00B434A6">
      <w:pPr>
        <w:pStyle w:val="Default"/>
        <w:numPr>
          <w:ilvl w:val="0"/>
          <w:numId w:val="9"/>
        </w:numPr>
        <w:suppressAutoHyphens/>
        <w:spacing w:after="120"/>
        <w:ind w:left="714" w:hanging="357"/>
        <w:jc w:val="both"/>
        <w:rPr>
          <w:b/>
          <w:bCs/>
          <w:color w:val="auto"/>
          <w:sz w:val="22"/>
          <w:szCs w:val="22"/>
        </w:rPr>
      </w:pPr>
      <w:r w:rsidRPr="00742D67">
        <w:rPr>
          <w:b/>
          <w:bCs/>
          <w:color w:val="auto"/>
          <w:sz w:val="22"/>
          <w:szCs w:val="22"/>
        </w:rPr>
        <w:t>Convention de B</w:t>
      </w:r>
      <w:r w:rsidR="00A92AF8" w:rsidRPr="00742D67">
        <w:rPr>
          <w:b/>
          <w:bCs/>
          <w:color w:val="auto"/>
          <w:sz w:val="22"/>
          <w:szCs w:val="22"/>
        </w:rPr>
        <w:t>â</w:t>
      </w:r>
      <w:r w:rsidRPr="00742D67">
        <w:rPr>
          <w:b/>
          <w:bCs/>
          <w:color w:val="auto"/>
          <w:sz w:val="22"/>
          <w:szCs w:val="22"/>
        </w:rPr>
        <w:t xml:space="preserve">le </w:t>
      </w:r>
    </w:p>
    <w:p w14:paraId="493F3ABB" w14:textId="77777777" w:rsidR="00244306" w:rsidRPr="00742D67" w:rsidRDefault="00244306" w:rsidP="00B434A6">
      <w:pPr>
        <w:autoSpaceDE w:val="0"/>
        <w:autoSpaceDN w:val="0"/>
        <w:adjustRightInd w:val="0"/>
        <w:jc w:val="both"/>
        <w:rPr>
          <w:rFonts w:ascii="Arial" w:hAnsi="Arial" w:cs="Arial"/>
          <w:szCs w:val="24"/>
        </w:rPr>
      </w:pPr>
      <w:r w:rsidRPr="00742D67">
        <w:rPr>
          <w:rFonts w:ascii="Arial" w:hAnsi="Arial" w:cs="Arial"/>
          <w:szCs w:val="24"/>
        </w:rPr>
        <w:t>Cette Convention a été signée le10 Juin 1992 par Madagascar et ratifiée suivant la loi 98.022 du 20 Janvier 1999 et le décret n° 99.141 du 22 Février 1999.</w:t>
      </w:r>
    </w:p>
    <w:p w14:paraId="19BCE590" w14:textId="77777777" w:rsidR="00786792" w:rsidRPr="00742D67" w:rsidRDefault="00786792" w:rsidP="00AA1DAD">
      <w:pPr>
        <w:autoSpaceDE w:val="0"/>
        <w:autoSpaceDN w:val="0"/>
        <w:adjustRightInd w:val="0"/>
        <w:jc w:val="both"/>
        <w:rPr>
          <w:rFonts w:ascii="Arial" w:hAnsi="Arial" w:cs="Arial"/>
          <w:szCs w:val="24"/>
        </w:rPr>
      </w:pPr>
      <w:r w:rsidRPr="00742D67">
        <w:rPr>
          <w:rFonts w:ascii="Arial" w:hAnsi="Arial" w:cs="Arial"/>
          <w:szCs w:val="24"/>
        </w:rPr>
        <w:t xml:space="preserve">La convention de </w:t>
      </w:r>
      <w:r w:rsidR="00A92AF8" w:rsidRPr="00742D67">
        <w:rPr>
          <w:rFonts w:ascii="Arial" w:hAnsi="Arial" w:cs="Arial"/>
          <w:szCs w:val="24"/>
        </w:rPr>
        <w:t>B</w:t>
      </w:r>
      <w:r w:rsidR="0049710F" w:rsidRPr="00742D67">
        <w:rPr>
          <w:rFonts w:ascii="Arial" w:hAnsi="Arial" w:cs="Arial"/>
          <w:szCs w:val="24"/>
        </w:rPr>
        <w:t>â</w:t>
      </w:r>
      <w:r w:rsidRPr="00742D67">
        <w:rPr>
          <w:rFonts w:ascii="Arial" w:hAnsi="Arial" w:cs="Arial"/>
          <w:szCs w:val="24"/>
        </w:rPr>
        <w:t xml:space="preserve">le vise à protéger la santé humaine et l’environnement des effets nuisibles causés par la production des déchets et la gestion des mouvements transfrontières des déchets dangereux et à réduire les mouvements transfrontières des déchets et la gestion des mouvements transfrontières des déchets dangereux. </w:t>
      </w:r>
    </w:p>
    <w:p w14:paraId="7EBF7FAE" w14:textId="77777777" w:rsidR="00786792" w:rsidRPr="00742D67" w:rsidRDefault="00244306" w:rsidP="00AA1DAD">
      <w:pPr>
        <w:autoSpaceDE w:val="0"/>
        <w:autoSpaceDN w:val="0"/>
        <w:adjustRightInd w:val="0"/>
        <w:jc w:val="both"/>
        <w:rPr>
          <w:rFonts w:ascii="Arial" w:hAnsi="Arial" w:cs="Arial"/>
          <w:szCs w:val="24"/>
        </w:rPr>
      </w:pPr>
      <w:r w:rsidRPr="00742D67">
        <w:rPr>
          <w:rFonts w:ascii="Arial" w:hAnsi="Arial" w:cs="Arial"/>
          <w:szCs w:val="24"/>
        </w:rPr>
        <w:t xml:space="preserve">Cette convention classifie les déchets en « déchets dangereux » (article premier, Paragraphe 1) et autre déchet (article premier, Paragraphe 2). La catégorisation et la liste des différents déchets sont inscrites dans l’Annexe de la convention. </w:t>
      </w:r>
    </w:p>
    <w:p w14:paraId="13922329" w14:textId="77777777" w:rsidR="00786792" w:rsidRPr="00742D67" w:rsidRDefault="00563C78" w:rsidP="00AA1DAD">
      <w:pPr>
        <w:autoSpaceDE w:val="0"/>
        <w:autoSpaceDN w:val="0"/>
        <w:adjustRightInd w:val="0"/>
        <w:jc w:val="both"/>
        <w:rPr>
          <w:rFonts w:ascii="Arial" w:hAnsi="Arial" w:cs="Arial"/>
        </w:rPr>
      </w:pPr>
      <w:r>
        <w:rPr>
          <w:rFonts w:ascii="Arial" w:hAnsi="Arial" w:cs="Arial"/>
        </w:rPr>
        <w:t>Par suite de</w:t>
      </w:r>
      <w:r w:rsidRPr="00742D67">
        <w:rPr>
          <w:rFonts w:ascii="Arial" w:hAnsi="Arial" w:cs="Arial"/>
        </w:rPr>
        <w:t xml:space="preserve"> </w:t>
      </w:r>
      <w:r w:rsidR="00244306" w:rsidRPr="00742D67">
        <w:rPr>
          <w:rFonts w:ascii="Arial" w:hAnsi="Arial" w:cs="Arial"/>
        </w:rPr>
        <w:t>cette convention, divers arrêté</w:t>
      </w:r>
      <w:r w:rsidR="00FE6FC3">
        <w:rPr>
          <w:rFonts w:ascii="Arial" w:hAnsi="Arial" w:cs="Arial"/>
        </w:rPr>
        <w:t>s</w:t>
      </w:r>
      <w:r w:rsidR="00244306" w:rsidRPr="00742D67">
        <w:rPr>
          <w:rFonts w:ascii="Arial" w:hAnsi="Arial" w:cs="Arial"/>
        </w:rPr>
        <w:t xml:space="preserve"> et </w:t>
      </w:r>
      <w:r w:rsidR="00FE6FC3">
        <w:rPr>
          <w:rFonts w:ascii="Arial" w:hAnsi="Arial" w:cs="Arial"/>
        </w:rPr>
        <w:t>d</w:t>
      </w:r>
      <w:r w:rsidR="00244306" w:rsidRPr="00742D67">
        <w:rPr>
          <w:rFonts w:ascii="Arial" w:hAnsi="Arial" w:cs="Arial"/>
        </w:rPr>
        <w:t xml:space="preserve">écrets ont été pris par Madagascar dont : </w:t>
      </w:r>
    </w:p>
    <w:p w14:paraId="685B9390" w14:textId="77777777" w:rsidR="00244306" w:rsidRPr="00742D67" w:rsidRDefault="00244306" w:rsidP="0044500E">
      <w:pPr>
        <w:pStyle w:val="Paragraphedeliste"/>
        <w:numPr>
          <w:ilvl w:val="0"/>
          <w:numId w:val="178"/>
        </w:numPr>
        <w:autoSpaceDE w:val="0"/>
        <w:autoSpaceDN w:val="0"/>
        <w:adjustRightInd w:val="0"/>
        <w:jc w:val="both"/>
        <w:rPr>
          <w:rFonts w:ascii="Arial" w:hAnsi="Arial" w:cs="Arial"/>
          <w:color w:val="auto"/>
        </w:rPr>
      </w:pPr>
      <w:r w:rsidRPr="00742D67">
        <w:rPr>
          <w:rFonts w:ascii="Arial" w:hAnsi="Arial" w:cs="Arial"/>
          <w:color w:val="auto"/>
        </w:rPr>
        <w:t>Arrêté N°12 889/07/MINENVEF du 03 Août 2007 portant création d’un Bureau National de la Convention de Bâle sur le contrôle des mouvements transfrontières des déchets dangereux et de leur élimination et de la Gestion Ecologique Rationnelle des Métaux Lourds</w:t>
      </w:r>
    </w:p>
    <w:p w14:paraId="1C38F9F2" w14:textId="77777777" w:rsidR="00244306" w:rsidRPr="00742D67" w:rsidRDefault="00244306" w:rsidP="0044500E">
      <w:pPr>
        <w:pStyle w:val="Paragraphedeliste"/>
        <w:numPr>
          <w:ilvl w:val="0"/>
          <w:numId w:val="178"/>
        </w:numPr>
        <w:autoSpaceDE w:val="0"/>
        <w:autoSpaceDN w:val="0"/>
        <w:adjustRightInd w:val="0"/>
        <w:jc w:val="both"/>
        <w:rPr>
          <w:rFonts w:ascii="Arial" w:hAnsi="Arial" w:cs="Arial"/>
          <w:color w:val="auto"/>
        </w:rPr>
      </w:pPr>
      <w:r w:rsidRPr="00742D67">
        <w:rPr>
          <w:rFonts w:ascii="Arial" w:hAnsi="Arial" w:cs="Arial"/>
          <w:color w:val="auto"/>
        </w:rPr>
        <w:t>Arrêté N°12 890/07/MINENVEF du 03 Août 2007 portant création d’un Comité National de la mise en œuvre de la Convention de Bâle sur le contrôle des mouvements transfrontières des déchets dangereux et de leur élimination et de la Gestion Ecologique Rationnelle des Métaux Lourds</w:t>
      </w:r>
    </w:p>
    <w:p w14:paraId="50D96B57" w14:textId="77777777" w:rsidR="00244306" w:rsidRPr="00742D67" w:rsidRDefault="00244306" w:rsidP="0044500E">
      <w:pPr>
        <w:pStyle w:val="Paragraphedeliste"/>
        <w:numPr>
          <w:ilvl w:val="0"/>
          <w:numId w:val="178"/>
        </w:numPr>
        <w:autoSpaceDE w:val="0"/>
        <w:autoSpaceDN w:val="0"/>
        <w:adjustRightInd w:val="0"/>
        <w:jc w:val="both"/>
        <w:rPr>
          <w:rFonts w:ascii="Arial" w:hAnsi="Arial" w:cs="Arial"/>
          <w:color w:val="auto"/>
        </w:rPr>
      </w:pPr>
      <w:r w:rsidRPr="00742D67">
        <w:rPr>
          <w:rFonts w:ascii="Arial" w:hAnsi="Arial" w:cs="Arial"/>
          <w:color w:val="auto"/>
        </w:rPr>
        <w:t>DECRET N° 2015-930 du 09/06/15 portant Classification et Gestion Ecologiquement Rationnelle des Déchets d’Equipements Electroniques et Electriques à Madagascar</w:t>
      </w:r>
    </w:p>
    <w:p w14:paraId="3FF7CBD0" w14:textId="77777777" w:rsidR="00A30EF5" w:rsidRPr="00742D67" w:rsidRDefault="00A30EF5" w:rsidP="00B434A6">
      <w:pPr>
        <w:pStyle w:val="Default"/>
        <w:numPr>
          <w:ilvl w:val="0"/>
          <w:numId w:val="9"/>
        </w:numPr>
        <w:suppressAutoHyphens/>
        <w:spacing w:after="120"/>
        <w:ind w:left="714" w:hanging="357"/>
        <w:jc w:val="both"/>
        <w:rPr>
          <w:b/>
          <w:bCs/>
          <w:color w:val="auto"/>
          <w:sz w:val="22"/>
          <w:szCs w:val="22"/>
        </w:rPr>
      </w:pPr>
      <w:r w:rsidRPr="00742D67">
        <w:rPr>
          <w:b/>
          <w:bCs/>
          <w:color w:val="auto"/>
          <w:sz w:val="22"/>
          <w:szCs w:val="22"/>
        </w:rPr>
        <w:t xml:space="preserve">Convention cadre des Nations Unies sur le changement climatique </w:t>
      </w:r>
    </w:p>
    <w:p w14:paraId="2052B0EC" w14:textId="77777777" w:rsidR="00A30EF5" w:rsidRPr="00742D67" w:rsidRDefault="00A30EF5" w:rsidP="00AA1DAD">
      <w:pPr>
        <w:autoSpaceDE w:val="0"/>
        <w:autoSpaceDN w:val="0"/>
        <w:adjustRightInd w:val="0"/>
        <w:jc w:val="both"/>
        <w:rPr>
          <w:rFonts w:ascii="Arial" w:hAnsi="Arial" w:cs="Arial"/>
          <w:szCs w:val="24"/>
        </w:rPr>
      </w:pPr>
      <w:r w:rsidRPr="00742D67">
        <w:rPr>
          <w:rFonts w:ascii="Arial" w:hAnsi="Arial" w:cs="Arial"/>
          <w:szCs w:val="24"/>
        </w:rPr>
        <w:t xml:space="preserve">La Convention cadre des nations unies sur le changement climatique a été signée par Madagascar juin 1992 et ratifiée en 18 décembre 1998. Elle a pour objectif de stabiliser les concentrations des gaz à effet de serre dans l’atmosphère à un niveau qui empêche toute perturbation anthropique dangereuse du système climatique. </w:t>
      </w:r>
    </w:p>
    <w:p w14:paraId="1F5A16B8" w14:textId="77777777" w:rsidR="00A30EF5" w:rsidRPr="00742D67" w:rsidRDefault="00A30EF5" w:rsidP="00AA1DAD">
      <w:pPr>
        <w:autoSpaceDE w:val="0"/>
        <w:autoSpaceDN w:val="0"/>
        <w:adjustRightInd w:val="0"/>
        <w:jc w:val="both"/>
        <w:rPr>
          <w:rFonts w:ascii="Arial" w:hAnsi="Arial" w:cs="Arial"/>
        </w:rPr>
      </w:pPr>
      <w:r w:rsidRPr="00742D67">
        <w:rPr>
          <w:rFonts w:ascii="Arial" w:hAnsi="Arial" w:cs="Arial"/>
        </w:rPr>
        <w:t xml:space="preserve">Dans son article 4, cette convention engage toutes les signataires à encourager et à soutenir la mise au point, l’application et la diffusion, notamment par voie de transfert de technologies, de pratiques et procédés qui permettent de maîtriser, de réduire ou de prévenir les émissions anthropiques de gaz à effet de serre non réglementés par le Protocole de Montréal dans tous les secteurs pertinents – y compris ceux de l’énergie -, des transports, de l’industrie, de l’agriculture, des forêts et de la gestion des déchets. </w:t>
      </w:r>
    </w:p>
    <w:p w14:paraId="5E26412C" w14:textId="77777777" w:rsidR="006430C5" w:rsidRPr="007F78CE" w:rsidRDefault="006430C5" w:rsidP="0044500E">
      <w:pPr>
        <w:pStyle w:val="TIT2"/>
        <w:numPr>
          <w:ilvl w:val="1"/>
          <w:numId w:val="177"/>
        </w:numPr>
      </w:pPr>
      <w:bookmarkStart w:id="639" w:name="_Toc124956189"/>
      <w:bookmarkStart w:id="640" w:name="_Toc124314709"/>
      <w:bookmarkStart w:id="641" w:name="_Toc124956190"/>
      <w:bookmarkStart w:id="642" w:name="_Toc125384588"/>
      <w:bookmarkStart w:id="643" w:name="_Toc125384977"/>
      <w:bookmarkStart w:id="644" w:name="_Toc127957649"/>
      <w:bookmarkEnd w:id="639"/>
      <w:r w:rsidRPr="007F78CE">
        <w:t xml:space="preserve">Cadre </w:t>
      </w:r>
      <w:r w:rsidR="006B0ACD">
        <w:t>e</w:t>
      </w:r>
      <w:r w:rsidRPr="007F78CE">
        <w:t>nvironnemental et social de la Banque</w:t>
      </w:r>
      <w:bookmarkEnd w:id="640"/>
      <w:bookmarkEnd w:id="641"/>
      <w:bookmarkEnd w:id="642"/>
      <w:bookmarkEnd w:id="643"/>
      <w:bookmarkEnd w:id="644"/>
      <w:r w:rsidRPr="007F78CE">
        <w:t xml:space="preserve"> </w:t>
      </w:r>
    </w:p>
    <w:p w14:paraId="7C9F14E4" w14:textId="77777777" w:rsidR="00AD3FDC" w:rsidRPr="00AD3FDC" w:rsidRDefault="00AD3FDC" w:rsidP="00AD3FDC">
      <w:pPr>
        <w:autoSpaceDE w:val="0"/>
        <w:autoSpaceDN w:val="0"/>
        <w:adjustRightInd w:val="0"/>
        <w:jc w:val="both"/>
        <w:rPr>
          <w:rFonts w:ascii="Arial" w:hAnsi="Arial" w:cs="Arial"/>
          <w:szCs w:val="24"/>
        </w:rPr>
      </w:pPr>
      <w:r w:rsidRPr="00AD3FDC">
        <w:rPr>
          <w:rFonts w:ascii="Arial" w:hAnsi="Arial" w:cs="Arial"/>
          <w:szCs w:val="24"/>
        </w:rPr>
        <w:t xml:space="preserve">Le Cadre </w:t>
      </w:r>
      <w:r w:rsidR="00173C00">
        <w:rPr>
          <w:rFonts w:ascii="Arial" w:hAnsi="Arial" w:cs="Arial"/>
          <w:szCs w:val="24"/>
        </w:rPr>
        <w:t>E</w:t>
      </w:r>
      <w:r w:rsidRPr="00AD3FDC">
        <w:rPr>
          <w:rFonts w:ascii="Arial" w:hAnsi="Arial" w:cs="Arial"/>
          <w:szCs w:val="24"/>
        </w:rPr>
        <w:t xml:space="preserve">nvironnemental et </w:t>
      </w:r>
      <w:r w:rsidR="00173C00">
        <w:rPr>
          <w:rFonts w:ascii="Arial" w:hAnsi="Arial" w:cs="Arial"/>
          <w:szCs w:val="24"/>
        </w:rPr>
        <w:t>S</w:t>
      </w:r>
      <w:r w:rsidRPr="00AD3FDC">
        <w:rPr>
          <w:rFonts w:ascii="Arial" w:hAnsi="Arial" w:cs="Arial"/>
          <w:szCs w:val="24"/>
        </w:rPr>
        <w:t>ocial (CES) décrit l’engagement de la Banque mondiale à promouvoir le développement durable à travers une politique et un ensemble de normes environnementales et sociales</w:t>
      </w:r>
      <w:r w:rsidR="00563C78">
        <w:rPr>
          <w:rFonts w:ascii="Arial" w:hAnsi="Arial" w:cs="Arial"/>
          <w:szCs w:val="24"/>
        </w:rPr>
        <w:t xml:space="preserve"> (NES)</w:t>
      </w:r>
      <w:r w:rsidRPr="00AD3FDC">
        <w:rPr>
          <w:rFonts w:ascii="Arial" w:hAnsi="Arial" w:cs="Arial"/>
          <w:szCs w:val="24"/>
        </w:rPr>
        <w:t xml:space="preserve"> conçues pour appuyer les projets des pays emprunteurs dans le but de mettre fin à l’extrême pauvreté et de promouvoir une prospérité partagée. Le Cadre comprend :</w:t>
      </w:r>
    </w:p>
    <w:p w14:paraId="7DF15BD8" w14:textId="77777777" w:rsidR="00AD3FDC" w:rsidRPr="00AD3FDC" w:rsidRDefault="00AD3FDC" w:rsidP="0044500E">
      <w:pPr>
        <w:pStyle w:val="Paragraphedeliste"/>
        <w:numPr>
          <w:ilvl w:val="0"/>
          <w:numId w:val="215"/>
        </w:numPr>
        <w:suppressAutoHyphens/>
        <w:spacing w:after="0" w:line="240" w:lineRule="auto"/>
        <w:jc w:val="both"/>
        <w:rPr>
          <w:rFonts w:ascii="Arial" w:hAnsi="Arial" w:cs="Arial"/>
          <w:szCs w:val="24"/>
        </w:rPr>
      </w:pPr>
      <w:r w:rsidRPr="00AD3FDC">
        <w:rPr>
          <w:rFonts w:ascii="Arial" w:hAnsi="Arial" w:cs="Arial"/>
          <w:szCs w:val="24"/>
        </w:rPr>
        <w:t>Une vision du développement durable, qui décrit les aspirations de la Banque en matière de viabilité environnementale et sociale ;</w:t>
      </w:r>
    </w:p>
    <w:p w14:paraId="2F5D78C3" w14:textId="77777777" w:rsidR="00AD3FDC" w:rsidRPr="00AD3FDC" w:rsidRDefault="00AD3FDC" w:rsidP="0044500E">
      <w:pPr>
        <w:pStyle w:val="Paragraphedeliste"/>
        <w:numPr>
          <w:ilvl w:val="0"/>
          <w:numId w:val="215"/>
        </w:numPr>
        <w:suppressAutoHyphens/>
        <w:spacing w:after="0" w:line="240" w:lineRule="auto"/>
        <w:jc w:val="both"/>
        <w:rPr>
          <w:rFonts w:ascii="Arial" w:hAnsi="Arial" w:cs="Arial"/>
          <w:szCs w:val="24"/>
        </w:rPr>
      </w:pPr>
      <w:r w:rsidRPr="00AD3FDC">
        <w:rPr>
          <w:rFonts w:ascii="Arial" w:hAnsi="Arial" w:cs="Arial"/>
          <w:szCs w:val="24"/>
        </w:rPr>
        <w:t xml:space="preserve">La Politique environnementale et sociale relative au financement de projets d’investissement, qui énonce les exigences de la Banque ; </w:t>
      </w:r>
    </w:p>
    <w:p w14:paraId="2FEE9E18" w14:textId="77777777" w:rsidR="00AD3FDC" w:rsidRPr="00AD3FDC" w:rsidRDefault="00AD3FDC" w:rsidP="0044500E">
      <w:pPr>
        <w:pStyle w:val="Paragraphedeliste"/>
        <w:numPr>
          <w:ilvl w:val="0"/>
          <w:numId w:val="215"/>
        </w:numPr>
        <w:suppressAutoHyphens/>
        <w:spacing w:after="0" w:line="240" w:lineRule="auto"/>
        <w:jc w:val="both"/>
        <w:rPr>
          <w:rFonts w:ascii="Arial" w:hAnsi="Arial" w:cs="Arial"/>
          <w:szCs w:val="24"/>
        </w:rPr>
      </w:pPr>
      <w:r w:rsidRPr="00AD3FDC">
        <w:rPr>
          <w:rFonts w:ascii="Arial" w:hAnsi="Arial" w:cs="Arial"/>
          <w:szCs w:val="24"/>
        </w:rPr>
        <w:t>Les Normes environnementales et sociales (NES) et leurs Annexes, qui énoncent les dispositions qui s’appliquent à l’Emprunteur et aux projets.</w:t>
      </w:r>
    </w:p>
    <w:p w14:paraId="7033BC9B" w14:textId="77777777" w:rsidR="00173C00" w:rsidRDefault="00173C00" w:rsidP="00B434A6">
      <w:pPr>
        <w:autoSpaceDE w:val="0"/>
        <w:autoSpaceDN w:val="0"/>
        <w:adjustRightInd w:val="0"/>
        <w:spacing w:after="0"/>
        <w:jc w:val="both"/>
        <w:rPr>
          <w:rFonts w:ascii="Arial" w:hAnsi="Arial" w:cs="Arial"/>
          <w:szCs w:val="24"/>
        </w:rPr>
      </w:pPr>
    </w:p>
    <w:p w14:paraId="0BD787DD" w14:textId="77777777" w:rsidR="00AD3FDC" w:rsidRPr="00AD3FDC" w:rsidRDefault="00AD3FDC" w:rsidP="00AD3FDC">
      <w:pPr>
        <w:autoSpaceDE w:val="0"/>
        <w:autoSpaceDN w:val="0"/>
        <w:adjustRightInd w:val="0"/>
        <w:jc w:val="both"/>
        <w:rPr>
          <w:rFonts w:ascii="Arial" w:hAnsi="Arial" w:cs="Arial"/>
          <w:szCs w:val="24"/>
        </w:rPr>
      </w:pPr>
      <w:r w:rsidRPr="00AD3FDC">
        <w:rPr>
          <w:rFonts w:ascii="Arial" w:hAnsi="Arial" w:cs="Arial"/>
          <w:szCs w:val="24"/>
        </w:rPr>
        <w:t>Ces normes environnementales et sociales ou NES sont les suivantes :</w:t>
      </w:r>
    </w:p>
    <w:p w14:paraId="6683DF02" w14:textId="77777777" w:rsidR="00AD3FDC" w:rsidRPr="00AD3FDC" w:rsidRDefault="00AD3FDC" w:rsidP="0044500E">
      <w:pPr>
        <w:pStyle w:val="Paragraphedeliste"/>
        <w:numPr>
          <w:ilvl w:val="0"/>
          <w:numId w:val="216"/>
        </w:numPr>
        <w:suppressAutoHyphens/>
        <w:spacing w:after="0" w:line="240" w:lineRule="auto"/>
        <w:jc w:val="both"/>
        <w:rPr>
          <w:rFonts w:ascii="Arial" w:hAnsi="Arial" w:cs="Arial"/>
          <w:szCs w:val="24"/>
        </w:rPr>
      </w:pPr>
      <w:r w:rsidRPr="00AD3FDC">
        <w:rPr>
          <w:rFonts w:ascii="Arial" w:hAnsi="Arial" w:cs="Arial"/>
          <w:szCs w:val="24"/>
        </w:rPr>
        <w:t>NES1 : Évaluation et gestion des risques et impacts environnementaux et sociaux ;</w:t>
      </w:r>
    </w:p>
    <w:p w14:paraId="6C0F32A1" w14:textId="77777777" w:rsidR="00AD3FDC" w:rsidRPr="00AD3FDC" w:rsidRDefault="00AD3FDC" w:rsidP="0044500E">
      <w:pPr>
        <w:pStyle w:val="Paragraphedeliste"/>
        <w:numPr>
          <w:ilvl w:val="0"/>
          <w:numId w:val="216"/>
        </w:numPr>
        <w:suppressAutoHyphens/>
        <w:spacing w:after="0" w:line="240" w:lineRule="auto"/>
        <w:jc w:val="both"/>
        <w:rPr>
          <w:rFonts w:ascii="Arial" w:hAnsi="Arial" w:cs="Arial"/>
          <w:szCs w:val="24"/>
        </w:rPr>
      </w:pPr>
      <w:r w:rsidRPr="00AD3FDC">
        <w:rPr>
          <w:rFonts w:ascii="Arial" w:hAnsi="Arial" w:cs="Arial"/>
          <w:szCs w:val="24"/>
        </w:rPr>
        <w:t>NES2 : Emploi et conditions de travail ;</w:t>
      </w:r>
    </w:p>
    <w:p w14:paraId="1E1641B4" w14:textId="77777777" w:rsidR="00AD3FDC" w:rsidRPr="00AD3FDC" w:rsidRDefault="00AD3FDC" w:rsidP="0044500E">
      <w:pPr>
        <w:pStyle w:val="Paragraphedeliste"/>
        <w:numPr>
          <w:ilvl w:val="0"/>
          <w:numId w:val="216"/>
        </w:numPr>
        <w:suppressAutoHyphens/>
        <w:spacing w:after="0" w:line="240" w:lineRule="auto"/>
        <w:jc w:val="both"/>
        <w:rPr>
          <w:rFonts w:ascii="Arial" w:hAnsi="Arial" w:cs="Arial"/>
          <w:szCs w:val="24"/>
        </w:rPr>
      </w:pPr>
      <w:r w:rsidRPr="00AD3FDC">
        <w:rPr>
          <w:rFonts w:ascii="Arial" w:hAnsi="Arial" w:cs="Arial"/>
          <w:szCs w:val="24"/>
        </w:rPr>
        <w:t>NES3 : Utilisation rationnelle des ressources et prévention et gestion de la pollution ;</w:t>
      </w:r>
    </w:p>
    <w:p w14:paraId="56E34991" w14:textId="77777777" w:rsidR="00AD3FDC" w:rsidRPr="00AD3FDC" w:rsidRDefault="00AD3FDC" w:rsidP="0044500E">
      <w:pPr>
        <w:pStyle w:val="Paragraphedeliste"/>
        <w:numPr>
          <w:ilvl w:val="0"/>
          <w:numId w:val="216"/>
        </w:numPr>
        <w:suppressAutoHyphens/>
        <w:spacing w:after="0" w:line="240" w:lineRule="auto"/>
        <w:jc w:val="both"/>
        <w:rPr>
          <w:rFonts w:ascii="Arial" w:hAnsi="Arial" w:cs="Arial"/>
          <w:szCs w:val="24"/>
        </w:rPr>
      </w:pPr>
      <w:r w:rsidRPr="00AD3FDC">
        <w:rPr>
          <w:rFonts w:ascii="Arial" w:hAnsi="Arial" w:cs="Arial"/>
          <w:szCs w:val="24"/>
        </w:rPr>
        <w:t>NES4 : Santé et sécurité des populations ;</w:t>
      </w:r>
    </w:p>
    <w:p w14:paraId="688A1BD6" w14:textId="77777777" w:rsidR="00AD3FDC" w:rsidRPr="00AD3FDC" w:rsidRDefault="00AD3FDC" w:rsidP="0044500E">
      <w:pPr>
        <w:pStyle w:val="Paragraphedeliste"/>
        <w:numPr>
          <w:ilvl w:val="0"/>
          <w:numId w:val="216"/>
        </w:numPr>
        <w:suppressAutoHyphens/>
        <w:spacing w:after="0" w:line="240" w:lineRule="auto"/>
        <w:jc w:val="both"/>
        <w:rPr>
          <w:rFonts w:ascii="Arial" w:hAnsi="Arial" w:cs="Arial"/>
          <w:szCs w:val="24"/>
        </w:rPr>
      </w:pPr>
      <w:r w:rsidRPr="00AD3FDC">
        <w:rPr>
          <w:rFonts w:ascii="Arial" w:hAnsi="Arial" w:cs="Arial"/>
          <w:szCs w:val="24"/>
        </w:rPr>
        <w:t>NES5 : Acquisition de terres, restrictions à l’utilisation de terres et réinstallation involontaire ;</w:t>
      </w:r>
    </w:p>
    <w:p w14:paraId="155ACA9E" w14:textId="77777777" w:rsidR="00AD3FDC" w:rsidRPr="00AD3FDC" w:rsidRDefault="00AD3FDC" w:rsidP="0044500E">
      <w:pPr>
        <w:pStyle w:val="Paragraphedeliste"/>
        <w:numPr>
          <w:ilvl w:val="0"/>
          <w:numId w:val="216"/>
        </w:numPr>
        <w:suppressAutoHyphens/>
        <w:spacing w:after="0" w:line="240" w:lineRule="auto"/>
        <w:jc w:val="both"/>
        <w:rPr>
          <w:rFonts w:ascii="Arial" w:hAnsi="Arial" w:cs="Arial"/>
          <w:szCs w:val="24"/>
        </w:rPr>
      </w:pPr>
      <w:r w:rsidRPr="00AD3FDC">
        <w:rPr>
          <w:rFonts w:ascii="Arial" w:hAnsi="Arial" w:cs="Arial"/>
          <w:szCs w:val="24"/>
        </w:rPr>
        <w:t>NES6 : Préservation de la biodiversité et gestion durable des ressources naturelles biologiques ;</w:t>
      </w:r>
    </w:p>
    <w:p w14:paraId="571BDC20" w14:textId="77777777" w:rsidR="00AD3FDC" w:rsidRPr="00AD3FDC" w:rsidRDefault="00AD3FDC" w:rsidP="0044500E">
      <w:pPr>
        <w:pStyle w:val="Paragraphedeliste"/>
        <w:numPr>
          <w:ilvl w:val="0"/>
          <w:numId w:val="216"/>
        </w:numPr>
        <w:suppressAutoHyphens/>
        <w:spacing w:after="0" w:line="240" w:lineRule="auto"/>
        <w:jc w:val="both"/>
        <w:rPr>
          <w:rFonts w:ascii="Arial" w:hAnsi="Arial" w:cs="Arial"/>
          <w:szCs w:val="24"/>
        </w:rPr>
      </w:pPr>
      <w:r w:rsidRPr="00AD3FDC">
        <w:rPr>
          <w:rFonts w:ascii="Arial" w:hAnsi="Arial" w:cs="Arial"/>
          <w:szCs w:val="24"/>
        </w:rPr>
        <w:t>NES7 : Peuples autochtones / Communautés locales traditionnelles d’Afrique subsaharienne historiquement défavorisées ;</w:t>
      </w:r>
    </w:p>
    <w:p w14:paraId="62D89176" w14:textId="77777777" w:rsidR="00AD3FDC" w:rsidRPr="00AD3FDC" w:rsidRDefault="00AD3FDC" w:rsidP="0044500E">
      <w:pPr>
        <w:pStyle w:val="Paragraphedeliste"/>
        <w:numPr>
          <w:ilvl w:val="0"/>
          <w:numId w:val="216"/>
        </w:numPr>
        <w:suppressAutoHyphens/>
        <w:spacing w:after="0" w:line="240" w:lineRule="auto"/>
        <w:jc w:val="both"/>
        <w:rPr>
          <w:rFonts w:ascii="Arial" w:hAnsi="Arial" w:cs="Arial"/>
          <w:szCs w:val="24"/>
        </w:rPr>
      </w:pPr>
      <w:r w:rsidRPr="00AD3FDC">
        <w:rPr>
          <w:rFonts w:ascii="Arial" w:hAnsi="Arial" w:cs="Arial"/>
          <w:szCs w:val="24"/>
        </w:rPr>
        <w:t>NES8 : Patrimoine culturel ;</w:t>
      </w:r>
    </w:p>
    <w:p w14:paraId="295153E7" w14:textId="77777777" w:rsidR="00AD3FDC" w:rsidRPr="00742D67" w:rsidRDefault="35C836EC" w:rsidP="0044500E">
      <w:pPr>
        <w:pStyle w:val="Paragraphedeliste"/>
        <w:numPr>
          <w:ilvl w:val="0"/>
          <w:numId w:val="216"/>
        </w:numPr>
        <w:suppressAutoHyphens/>
        <w:spacing w:after="0" w:line="240" w:lineRule="auto"/>
        <w:jc w:val="both"/>
        <w:rPr>
          <w:rFonts w:ascii="Arial" w:hAnsi="Arial" w:cs="Arial"/>
          <w:color w:val="auto"/>
        </w:rPr>
      </w:pPr>
      <w:r w:rsidRPr="00742D67">
        <w:rPr>
          <w:rFonts w:ascii="Arial" w:hAnsi="Arial" w:cs="Arial"/>
          <w:color w:val="auto"/>
        </w:rPr>
        <w:t xml:space="preserve">NES9 : Intermédiaires financiers ; </w:t>
      </w:r>
    </w:p>
    <w:p w14:paraId="300C9E4F" w14:textId="77777777" w:rsidR="00AD3FDC" w:rsidRPr="00AD3FDC" w:rsidRDefault="00AD3FDC" w:rsidP="0044500E">
      <w:pPr>
        <w:pStyle w:val="Paragraphedeliste"/>
        <w:numPr>
          <w:ilvl w:val="0"/>
          <w:numId w:val="216"/>
        </w:numPr>
        <w:suppressAutoHyphens/>
        <w:spacing w:after="0" w:line="240" w:lineRule="auto"/>
        <w:jc w:val="both"/>
        <w:rPr>
          <w:rFonts w:ascii="Arial" w:hAnsi="Arial" w:cs="Arial"/>
          <w:szCs w:val="24"/>
        </w:rPr>
      </w:pPr>
      <w:r w:rsidRPr="00AD3FDC">
        <w:rPr>
          <w:rFonts w:ascii="Arial" w:hAnsi="Arial" w:cs="Arial"/>
          <w:szCs w:val="24"/>
        </w:rPr>
        <w:t xml:space="preserve">NES10 : Mobilisation des parties prenantes et </w:t>
      </w:r>
      <w:r w:rsidR="00904254">
        <w:rPr>
          <w:rFonts w:ascii="Arial" w:hAnsi="Arial" w:cs="Arial"/>
          <w:szCs w:val="24"/>
        </w:rPr>
        <w:t>diffusion de l’</w:t>
      </w:r>
      <w:r w:rsidRPr="00AD3FDC">
        <w:rPr>
          <w:rFonts w:ascii="Arial" w:hAnsi="Arial" w:cs="Arial"/>
          <w:szCs w:val="24"/>
        </w:rPr>
        <w:t xml:space="preserve">information. </w:t>
      </w:r>
    </w:p>
    <w:p w14:paraId="6F220AEC" w14:textId="77777777" w:rsidR="00AD3FDC" w:rsidRDefault="00AD3FDC" w:rsidP="00B434A6">
      <w:pPr>
        <w:autoSpaceDE w:val="0"/>
        <w:autoSpaceDN w:val="0"/>
        <w:adjustRightInd w:val="0"/>
        <w:spacing w:after="0"/>
        <w:jc w:val="both"/>
        <w:rPr>
          <w:rFonts w:ascii="Arial" w:hAnsi="Arial" w:cs="Arial"/>
          <w:szCs w:val="24"/>
        </w:rPr>
      </w:pPr>
    </w:p>
    <w:p w14:paraId="0809F1DB" w14:textId="77777777" w:rsidR="00AD3FDC" w:rsidRPr="00AD3FDC" w:rsidRDefault="00AD3FDC" w:rsidP="00AD3FDC">
      <w:pPr>
        <w:autoSpaceDE w:val="0"/>
        <w:autoSpaceDN w:val="0"/>
        <w:adjustRightInd w:val="0"/>
        <w:jc w:val="both"/>
        <w:rPr>
          <w:rFonts w:ascii="Arial" w:hAnsi="Arial" w:cs="Arial"/>
          <w:szCs w:val="24"/>
        </w:rPr>
      </w:pPr>
      <w:r w:rsidRPr="00AD3FDC">
        <w:rPr>
          <w:rFonts w:ascii="Arial" w:hAnsi="Arial" w:cs="Arial"/>
          <w:szCs w:val="24"/>
        </w:rPr>
        <w:t xml:space="preserve">A Madagascar, il n’existe pas de groupes de populations qui correspondent ou qui répondent à la définition de « populations autochtones » telles que définies par la NES7 de la Banque mondiale. </w:t>
      </w:r>
      <w:r w:rsidR="000E2111">
        <w:rPr>
          <w:rFonts w:ascii="Arial" w:hAnsi="Arial" w:cs="Arial"/>
          <w:szCs w:val="24"/>
        </w:rPr>
        <w:t>Cette NES n’est pas pertinente pour le Projet.</w:t>
      </w:r>
    </w:p>
    <w:p w14:paraId="00900440" w14:textId="77777777" w:rsidR="00AD3FDC" w:rsidRPr="00AD3FDC" w:rsidRDefault="00AD3FDC" w:rsidP="0044500E">
      <w:pPr>
        <w:pStyle w:val="TIT3"/>
        <w:numPr>
          <w:ilvl w:val="2"/>
          <w:numId w:val="177"/>
        </w:numPr>
      </w:pPr>
      <w:bookmarkStart w:id="645" w:name="_Toc121232618"/>
      <w:bookmarkStart w:id="646" w:name="_Toc124314710"/>
      <w:bookmarkStart w:id="647" w:name="_Toc124956191"/>
      <w:bookmarkStart w:id="648" w:name="_Toc125384589"/>
      <w:bookmarkStart w:id="649" w:name="_Toc125384978"/>
      <w:bookmarkStart w:id="650" w:name="_Toc127957650"/>
      <w:r w:rsidRPr="00AD3FDC">
        <w:t>NES1 : Evaluation et gestion des risques et des impacts environnementaux et sociaux</w:t>
      </w:r>
      <w:bookmarkEnd w:id="645"/>
      <w:bookmarkEnd w:id="646"/>
      <w:bookmarkEnd w:id="647"/>
      <w:bookmarkEnd w:id="648"/>
      <w:bookmarkEnd w:id="649"/>
      <w:bookmarkEnd w:id="650"/>
    </w:p>
    <w:p w14:paraId="2FFFCCBD" w14:textId="77777777" w:rsidR="00AD3FDC" w:rsidRPr="00AD3FDC" w:rsidRDefault="00AD3FDC" w:rsidP="00687DD2">
      <w:pPr>
        <w:pStyle w:val="Paragraphedeliste"/>
        <w:numPr>
          <w:ilvl w:val="0"/>
          <w:numId w:val="12"/>
        </w:numPr>
        <w:spacing w:before="240" w:after="120"/>
        <w:rPr>
          <w:rFonts w:ascii="Arial" w:hAnsi="Arial" w:cs="Arial"/>
          <w:b/>
          <w:bCs/>
          <w:szCs w:val="24"/>
        </w:rPr>
      </w:pPr>
      <w:r w:rsidRPr="00AD3FDC">
        <w:rPr>
          <w:rFonts w:ascii="Arial" w:hAnsi="Arial" w:cs="Arial"/>
          <w:b/>
          <w:bCs/>
          <w:szCs w:val="24"/>
        </w:rPr>
        <w:t>Objectifs et principes de la NES1</w:t>
      </w:r>
    </w:p>
    <w:p w14:paraId="035E3F10" w14:textId="77777777" w:rsidR="00AD3FDC" w:rsidRPr="00AD3FDC" w:rsidRDefault="00AD3FDC" w:rsidP="00AD3FDC">
      <w:pPr>
        <w:autoSpaceDE w:val="0"/>
        <w:autoSpaceDN w:val="0"/>
        <w:adjustRightInd w:val="0"/>
        <w:jc w:val="both"/>
        <w:rPr>
          <w:rFonts w:ascii="Arial" w:hAnsi="Arial" w:cs="Arial"/>
          <w:szCs w:val="24"/>
        </w:rPr>
      </w:pPr>
      <w:r w:rsidRPr="00AD3FDC">
        <w:rPr>
          <w:rFonts w:ascii="Arial" w:hAnsi="Arial" w:cs="Arial"/>
          <w:szCs w:val="24"/>
        </w:rPr>
        <w:t>La NES 1 énonce les responsabilités de l’Emprunteur en matière d’évaluation, de gestion et de suivi des risques et impacts environnementaux et sociaux associés à chaque étape d’un projet appuyé par la Banque au moyen du mécanisme de Financement de projets d’investissement (FPI), en vue d’atteindre des résultats environnementaux et sociaux compatibles avec les Normes environnementales et sociales (NES).</w:t>
      </w:r>
    </w:p>
    <w:p w14:paraId="51A603F8" w14:textId="77777777" w:rsidR="00AD3FDC" w:rsidRPr="00AD3FDC" w:rsidRDefault="00AD3FDC" w:rsidP="00AD3FDC">
      <w:pPr>
        <w:autoSpaceDE w:val="0"/>
        <w:autoSpaceDN w:val="0"/>
        <w:adjustRightInd w:val="0"/>
        <w:jc w:val="both"/>
        <w:rPr>
          <w:rFonts w:ascii="Arial" w:hAnsi="Arial" w:cs="Arial"/>
          <w:szCs w:val="24"/>
        </w:rPr>
      </w:pPr>
      <w:r w:rsidRPr="00AD3FDC">
        <w:rPr>
          <w:rFonts w:ascii="Arial" w:hAnsi="Arial" w:cs="Arial"/>
          <w:szCs w:val="24"/>
        </w:rPr>
        <w:t xml:space="preserve">Les objectifs de la NES 1 consistent à : </w:t>
      </w:r>
    </w:p>
    <w:p w14:paraId="68F3174C" w14:textId="77777777" w:rsidR="00AD3FDC" w:rsidRPr="00AD3FDC" w:rsidRDefault="00AD3FDC" w:rsidP="0044500E">
      <w:pPr>
        <w:pStyle w:val="Paragraphedeliste"/>
        <w:numPr>
          <w:ilvl w:val="0"/>
          <w:numId w:val="218"/>
        </w:numPr>
        <w:suppressAutoHyphens/>
        <w:spacing w:after="0" w:line="240" w:lineRule="auto"/>
        <w:jc w:val="both"/>
        <w:rPr>
          <w:rFonts w:ascii="Arial" w:hAnsi="Arial" w:cs="Arial"/>
          <w:szCs w:val="24"/>
        </w:rPr>
      </w:pPr>
      <w:r w:rsidRPr="00AD3FDC">
        <w:rPr>
          <w:rFonts w:ascii="Arial" w:hAnsi="Arial" w:cs="Arial"/>
          <w:szCs w:val="24"/>
        </w:rPr>
        <w:t>Déterminer, évaluer et gérer les risques et impacts environnementaux et sociaux du projet d’une manière compatible avec les NES ;</w:t>
      </w:r>
    </w:p>
    <w:p w14:paraId="50D1AACE" w14:textId="77777777" w:rsidR="00AD3FDC" w:rsidRPr="00AD3FDC" w:rsidRDefault="00AD3FDC" w:rsidP="0044500E">
      <w:pPr>
        <w:pStyle w:val="Paragraphedeliste"/>
        <w:numPr>
          <w:ilvl w:val="0"/>
          <w:numId w:val="218"/>
        </w:numPr>
        <w:suppressAutoHyphens/>
        <w:spacing w:after="0" w:line="240" w:lineRule="auto"/>
        <w:jc w:val="both"/>
        <w:rPr>
          <w:rFonts w:ascii="Arial" w:hAnsi="Arial" w:cs="Arial"/>
          <w:szCs w:val="24"/>
        </w:rPr>
      </w:pPr>
      <w:r w:rsidRPr="00AD3FDC">
        <w:rPr>
          <w:rFonts w:ascii="Arial" w:hAnsi="Arial" w:cs="Arial"/>
          <w:szCs w:val="24"/>
        </w:rPr>
        <w:t>Adopter une approche de hiérarchie d’atténuation consistant à :</w:t>
      </w:r>
    </w:p>
    <w:p w14:paraId="169285C4" w14:textId="77777777" w:rsidR="00AD3FDC" w:rsidRPr="00AD3FDC" w:rsidRDefault="00904254" w:rsidP="00687DD2">
      <w:pPr>
        <w:pStyle w:val="Paragraphedeliste"/>
        <w:numPr>
          <w:ilvl w:val="1"/>
          <w:numId w:val="7"/>
        </w:numPr>
        <w:suppressAutoHyphens/>
        <w:spacing w:after="0" w:line="240" w:lineRule="auto"/>
        <w:jc w:val="both"/>
        <w:rPr>
          <w:rFonts w:ascii="Arial" w:hAnsi="Arial" w:cs="Arial"/>
          <w:szCs w:val="24"/>
        </w:rPr>
      </w:pPr>
      <w:r>
        <w:rPr>
          <w:rFonts w:ascii="Arial" w:hAnsi="Arial" w:cs="Arial"/>
          <w:szCs w:val="24"/>
        </w:rPr>
        <w:t>a</w:t>
      </w:r>
      <w:r w:rsidR="00AD3FDC" w:rsidRPr="00AD3FDC">
        <w:rPr>
          <w:rFonts w:ascii="Arial" w:hAnsi="Arial" w:cs="Arial"/>
          <w:szCs w:val="24"/>
        </w:rPr>
        <w:t>nticiper et éviter les risques et les impacts ;</w:t>
      </w:r>
    </w:p>
    <w:p w14:paraId="0E227D62" w14:textId="77777777" w:rsidR="00AD3FDC" w:rsidRPr="00AD3FDC" w:rsidRDefault="00904254" w:rsidP="00687DD2">
      <w:pPr>
        <w:pStyle w:val="Paragraphedeliste"/>
        <w:numPr>
          <w:ilvl w:val="1"/>
          <w:numId w:val="7"/>
        </w:numPr>
        <w:suppressAutoHyphens/>
        <w:spacing w:after="0" w:line="240" w:lineRule="auto"/>
        <w:jc w:val="both"/>
        <w:rPr>
          <w:rFonts w:ascii="Arial" w:hAnsi="Arial" w:cs="Arial"/>
          <w:szCs w:val="24"/>
        </w:rPr>
      </w:pPr>
      <w:r>
        <w:rPr>
          <w:rFonts w:ascii="Arial" w:hAnsi="Arial" w:cs="Arial"/>
          <w:szCs w:val="24"/>
        </w:rPr>
        <w:t>l</w:t>
      </w:r>
      <w:r w:rsidR="00AD3FDC" w:rsidRPr="00AD3FDC">
        <w:rPr>
          <w:rFonts w:ascii="Arial" w:hAnsi="Arial" w:cs="Arial"/>
          <w:szCs w:val="24"/>
        </w:rPr>
        <w:t>orsqu’il n’est pas possible de les éviter, minimiser ou réduire les risques et les impacts à des niveaux acceptables ;</w:t>
      </w:r>
    </w:p>
    <w:p w14:paraId="5C30CF86" w14:textId="77777777" w:rsidR="00AD3FDC" w:rsidRPr="00AD3FDC" w:rsidRDefault="00904254" w:rsidP="00687DD2">
      <w:pPr>
        <w:pStyle w:val="Paragraphedeliste"/>
        <w:numPr>
          <w:ilvl w:val="1"/>
          <w:numId w:val="7"/>
        </w:numPr>
        <w:suppressAutoHyphens/>
        <w:spacing w:after="0" w:line="240" w:lineRule="auto"/>
        <w:jc w:val="both"/>
        <w:rPr>
          <w:rFonts w:ascii="Arial" w:hAnsi="Arial" w:cs="Arial"/>
          <w:szCs w:val="24"/>
        </w:rPr>
      </w:pPr>
      <w:r>
        <w:rPr>
          <w:rFonts w:ascii="Arial" w:hAnsi="Arial" w:cs="Arial"/>
          <w:szCs w:val="24"/>
        </w:rPr>
        <w:t>u</w:t>
      </w:r>
      <w:r w:rsidR="00AD3FDC" w:rsidRPr="00AD3FDC">
        <w:rPr>
          <w:rFonts w:ascii="Arial" w:hAnsi="Arial" w:cs="Arial"/>
          <w:szCs w:val="24"/>
        </w:rPr>
        <w:t xml:space="preserve">ne fois que les risques et les impacts ont été minimisés ou réduits, les atténuer ; et </w:t>
      </w:r>
    </w:p>
    <w:p w14:paraId="579626FD" w14:textId="77777777" w:rsidR="00AD3FDC" w:rsidRPr="00AD3FDC" w:rsidRDefault="00904254" w:rsidP="00687DD2">
      <w:pPr>
        <w:pStyle w:val="Paragraphedeliste"/>
        <w:numPr>
          <w:ilvl w:val="1"/>
          <w:numId w:val="7"/>
        </w:numPr>
        <w:suppressAutoHyphens/>
        <w:spacing w:after="0" w:line="240" w:lineRule="auto"/>
        <w:jc w:val="both"/>
        <w:rPr>
          <w:rFonts w:ascii="Arial" w:hAnsi="Arial" w:cs="Arial"/>
          <w:szCs w:val="24"/>
        </w:rPr>
      </w:pPr>
      <w:r>
        <w:rPr>
          <w:rFonts w:ascii="Arial" w:hAnsi="Arial" w:cs="Arial"/>
          <w:szCs w:val="24"/>
        </w:rPr>
        <w:t>l</w:t>
      </w:r>
      <w:r w:rsidR="00AD3FDC" w:rsidRPr="00AD3FDC">
        <w:rPr>
          <w:rFonts w:ascii="Arial" w:hAnsi="Arial" w:cs="Arial"/>
          <w:szCs w:val="24"/>
        </w:rPr>
        <w:t>orsque les impacts résiduels sont importants, les compenser ou les neutraliser dans la mesure où cela est techniquement et financièrement faisable.</w:t>
      </w:r>
    </w:p>
    <w:p w14:paraId="3662938C" w14:textId="77777777" w:rsidR="00AD3FDC" w:rsidRPr="00AD3FDC" w:rsidRDefault="00AD3FDC" w:rsidP="0044500E">
      <w:pPr>
        <w:pStyle w:val="Paragraphedeliste"/>
        <w:numPr>
          <w:ilvl w:val="0"/>
          <w:numId w:val="217"/>
        </w:numPr>
        <w:suppressAutoHyphens/>
        <w:spacing w:after="0" w:line="240" w:lineRule="auto"/>
        <w:jc w:val="both"/>
        <w:rPr>
          <w:rFonts w:ascii="Arial" w:hAnsi="Arial" w:cs="Arial"/>
          <w:szCs w:val="24"/>
        </w:rPr>
      </w:pPr>
      <w:r w:rsidRPr="00AD3FDC">
        <w:rPr>
          <w:rFonts w:ascii="Arial" w:hAnsi="Arial" w:cs="Arial"/>
          <w:szCs w:val="24"/>
        </w:rPr>
        <w:t>Adopter des mesures différenciées de sorte que les impacts négatifs ne touchent pas de façon disproportionnée les personnes défavorisées ou vulnérables, et que celles-ci ne soient pas lésées dans le partage des avantages et opportunités de développement qu’offre le projet.</w:t>
      </w:r>
    </w:p>
    <w:p w14:paraId="7EC34151" w14:textId="77777777" w:rsidR="00AD3FDC" w:rsidRPr="00AD3FDC" w:rsidRDefault="00AD3FDC" w:rsidP="0044500E">
      <w:pPr>
        <w:pStyle w:val="Paragraphedeliste"/>
        <w:numPr>
          <w:ilvl w:val="0"/>
          <w:numId w:val="217"/>
        </w:numPr>
        <w:suppressAutoHyphens/>
        <w:spacing w:after="0" w:line="240" w:lineRule="auto"/>
        <w:jc w:val="both"/>
        <w:rPr>
          <w:rFonts w:ascii="Arial" w:hAnsi="Arial" w:cs="Arial"/>
          <w:szCs w:val="24"/>
        </w:rPr>
      </w:pPr>
      <w:r w:rsidRPr="00AD3FDC">
        <w:rPr>
          <w:rFonts w:ascii="Arial" w:hAnsi="Arial" w:cs="Arial"/>
          <w:szCs w:val="24"/>
        </w:rPr>
        <w:t>Utiliser, chaque fois qu’il convient, les institutions, lois, procédures, réglementations et systèmes nationaux en matière environnementale et sociale pour l’évaluation, la préparation et la mise en œuvre des projets.</w:t>
      </w:r>
    </w:p>
    <w:p w14:paraId="23ADAA00" w14:textId="77777777" w:rsidR="00AD3FDC" w:rsidRDefault="00AD3FDC" w:rsidP="0044500E">
      <w:pPr>
        <w:pStyle w:val="Paragraphedeliste"/>
        <w:numPr>
          <w:ilvl w:val="0"/>
          <w:numId w:val="217"/>
        </w:numPr>
        <w:suppressAutoHyphens/>
        <w:spacing w:after="0" w:line="240" w:lineRule="auto"/>
        <w:jc w:val="both"/>
        <w:rPr>
          <w:rFonts w:ascii="Arial" w:hAnsi="Arial" w:cs="Arial"/>
          <w:szCs w:val="24"/>
        </w:rPr>
      </w:pPr>
      <w:r w:rsidRPr="00AD3FDC">
        <w:rPr>
          <w:rFonts w:ascii="Arial" w:hAnsi="Arial" w:cs="Arial"/>
          <w:szCs w:val="24"/>
        </w:rPr>
        <w:t>Promouvoir l’amélioration des performances environnementales et sociales d’une manière qui prend en compte et renforce les capacités de l’Emprunteur.</w:t>
      </w:r>
    </w:p>
    <w:p w14:paraId="585F994A" w14:textId="77777777" w:rsidR="00AD3FDC" w:rsidRPr="00AD3FDC" w:rsidRDefault="00AD3FDC" w:rsidP="00B434A6">
      <w:pPr>
        <w:suppressAutoHyphens/>
        <w:spacing w:after="0" w:line="240" w:lineRule="auto"/>
        <w:ind w:left="418"/>
        <w:jc w:val="both"/>
        <w:rPr>
          <w:rFonts w:ascii="Arial" w:hAnsi="Arial" w:cs="Arial"/>
          <w:szCs w:val="24"/>
        </w:rPr>
      </w:pPr>
    </w:p>
    <w:p w14:paraId="66889D2C" w14:textId="77777777" w:rsidR="00AD3FDC" w:rsidRPr="00AD3FDC" w:rsidRDefault="00AD3FDC" w:rsidP="00B434A6">
      <w:pPr>
        <w:pStyle w:val="Paragraphedeliste"/>
        <w:numPr>
          <w:ilvl w:val="0"/>
          <w:numId w:val="12"/>
        </w:numPr>
        <w:spacing w:after="120"/>
        <w:rPr>
          <w:rFonts w:ascii="Arial" w:hAnsi="Arial" w:cs="Arial"/>
          <w:b/>
          <w:bCs/>
          <w:szCs w:val="24"/>
        </w:rPr>
      </w:pPr>
      <w:r w:rsidRPr="00AD3FDC">
        <w:rPr>
          <w:rFonts w:ascii="Arial" w:hAnsi="Arial" w:cs="Arial"/>
          <w:b/>
          <w:bCs/>
          <w:szCs w:val="24"/>
        </w:rPr>
        <w:t>Dispositions et exigences de la NES1</w:t>
      </w:r>
    </w:p>
    <w:p w14:paraId="22029367" w14:textId="77777777" w:rsidR="00AD3FDC" w:rsidRPr="00AD3FDC" w:rsidRDefault="00AD3FDC" w:rsidP="00AD3FDC">
      <w:pPr>
        <w:autoSpaceDE w:val="0"/>
        <w:autoSpaceDN w:val="0"/>
        <w:adjustRightInd w:val="0"/>
        <w:jc w:val="both"/>
        <w:rPr>
          <w:rFonts w:ascii="Arial" w:hAnsi="Arial" w:cs="Arial"/>
          <w:szCs w:val="24"/>
        </w:rPr>
      </w:pPr>
      <w:r w:rsidRPr="00AD3FDC">
        <w:rPr>
          <w:rFonts w:ascii="Arial" w:hAnsi="Arial" w:cs="Arial"/>
          <w:szCs w:val="24"/>
        </w:rPr>
        <w:t>Les dispositions à retenir par le Projet pour se conformer au NES1 sont les suivantes :</w:t>
      </w:r>
    </w:p>
    <w:p w14:paraId="57DD97E7" w14:textId="77777777" w:rsidR="00AD3FDC" w:rsidRPr="00AD3FDC" w:rsidRDefault="00AD3FDC" w:rsidP="0044500E">
      <w:pPr>
        <w:pStyle w:val="Paragraphedeliste"/>
        <w:numPr>
          <w:ilvl w:val="0"/>
          <w:numId w:val="219"/>
        </w:numPr>
        <w:suppressAutoHyphens/>
        <w:spacing w:after="0" w:line="240" w:lineRule="auto"/>
        <w:jc w:val="both"/>
        <w:rPr>
          <w:rFonts w:ascii="Arial" w:hAnsi="Arial" w:cs="Arial"/>
          <w:szCs w:val="24"/>
        </w:rPr>
      </w:pPr>
      <w:r w:rsidRPr="00AD3FDC">
        <w:rPr>
          <w:rFonts w:ascii="Arial" w:hAnsi="Arial" w:cs="Arial"/>
          <w:szCs w:val="24"/>
        </w:rPr>
        <w:t>Obligation d’effectuer une évaluation environnementale et sociale ;</w:t>
      </w:r>
    </w:p>
    <w:p w14:paraId="6B196FAD" w14:textId="77777777" w:rsidR="00AD3FDC" w:rsidRPr="00AD3FDC" w:rsidRDefault="00AD3FDC" w:rsidP="0044500E">
      <w:pPr>
        <w:pStyle w:val="Paragraphedeliste"/>
        <w:numPr>
          <w:ilvl w:val="0"/>
          <w:numId w:val="219"/>
        </w:numPr>
        <w:suppressAutoHyphens/>
        <w:spacing w:after="0" w:line="240" w:lineRule="auto"/>
        <w:jc w:val="both"/>
        <w:rPr>
          <w:rFonts w:ascii="Arial" w:hAnsi="Arial" w:cs="Arial"/>
          <w:szCs w:val="24"/>
        </w:rPr>
      </w:pPr>
      <w:r w:rsidRPr="00AD3FDC">
        <w:rPr>
          <w:rFonts w:ascii="Arial" w:hAnsi="Arial" w:cs="Arial"/>
          <w:szCs w:val="24"/>
        </w:rPr>
        <w:t xml:space="preserve">Obligation de mobiliser les parties prenantes (par la mise en œuvre du PMPP) ; </w:t>
      </w:r>
    </w:p>
    <w:p w14:paraId="49DE3C3A" w14:textId="77777777" w:rsidR="00AD3FDC" w:rsidRPr="00AD3FDC" w:rsidRDefault="00AD3FDC" w:rsidP="0044500E">
      <w:pPr>
        <w:pStyle w:val="Paragraphedeliste"/>
        <w:numPr>
          <w:ilvl w:val="0"/>
          <w:numId w:val="219"/>
        </w:numPr>
        <w:suppressAutoHyphens/>
        <w:spacing w:after="0" w:line="240" w:lineRule="auto"/>
        <w:jc w:val="both"/>
        <w:rPr>
          <w:rFonts w:ascii="Arial" w:hAnsi="Arial" w:cs="Arial"/>
          <w:szCs w:val="24"/>
        </w:rPr>
      </w:pPr>
      <w:r w:rsidRPr="00AD3FDC">
        <w:rPr>
          <w:rFonts w:ascii="Arial" w:hAnsi="Arial" w:cs="Arial"/>
          <w:szCs w:val="24"/>
        </w:rPr>
        <w:t>Obligation de préparer et d’établir un Plan d’</w:t>
      </w:r>
      <w:r w:rsidR="00904254">
        <w:rPr>
          <w:rFonts w:ascii="Arial" w:hAnsi="Arial" w:cs="Arial"/>
          <w:szCs w:val="24"/>
        </w:rPr>
        <w:t>E</w:t>
      </w:r>
      <w:r w:rsidRPr="00AD3FDC">
        <w:rPr>
          <w:rFonts w:ascii="Arial" w:hAnsi="Arial" w:cs="Arial"/>
          <w:szCs w:val="24"/>
        </w:rPr>
        <w:t xml:space="preserve">ngagement </w:t>
      </w:r>
      <w:r w:rsidR="00904254">
        <w:rPr>
          <w:rFonts w:ascii="Arial" w:hAnsi="Arial" w:cs="Arial"/>
          <w:szCs w:val="24"/>
        </w:rPr>
        <w:t>E</w:t>
      </w:r>
      <w:r w:rsidRPr="00AD3FDC">
        <w:rPr>
          <w:rFonts w:ascii="Arial" w:hAnsi="Arial" w:cs="Arial"/>
          <w:szCs w:val="24"/>
        </w:rPr>
        <w:t xml:space="preserve">nvironnemental et </w:t>
      </w:r>
      <w:r w:rsidR="00904254">
        <w:rPr>
          <w:rFonts w:ascii="Arial" w:hAnsi="Arial" w:cs="Arial"/>
          <w:szCs w:val="24"/>
        </w:rPr>
        <w:t>S</w:t>
      </w:r>
      <w:r w:rsidRPr="00AD3FDC">
        <w:rPr>
          <w:rFonts w:ascii="Arial" w:hAnsi="Arial" w:cs="Arial"/>
          <w:szCs w:val="24"/>
        </w:rPr>
        <w:t xml:space="preserve">ocial </w:t>
      </w:r>
      <w:r w:rsidR="00904254">
        <w:rPr>
          <w:rFonts w:ascii="Arial" w:hAnsi="Arial" w:cs="Arial"/>
          <w:szCs w:val="24"/>
        </w:rPr>
        <w:t xml:space="preserve">(PEES) </w:t>
      </w:r>
      <w:r w:rsidRPr="00AD3FDC">
        <w:rPr>
          <w:rFonts w:ascii="Arial" w:hAnsi="Arial" w:cs="Arial"/>
          <w:szCs w:val="24"/>
        </w:rPr>
        <w:t>(</w:t>
      </w:r>
      <w:r w:rsidR="000B43D8">
        <w:rPr>
          <w:rFonts w:ascii="Arial" w:hAnsi="Arial" w:cs="Arial"/>
          <w:szCs w:val="24"/>
        </w:rPr>
        <w:t>qui fait partie integran</w:t>
      </w:r>
      <w:r w:rsidR="000E2111">
        <w:rPr>
          <w:rFonts w:ascii="Arial" w:hAnsi="Arial" w:cs="Arial"/>
          <w:szCs w:val="24"/>
        </w:rPr>
        <w:t>t</w:t>
      </w:r>
      <w:r w:rsidR="000B43D8">
        <w:rPr>
          <w:rFonts w:ascii="Arial" w:hAnsi="Arial" w:cs="Arial"/>
          <w:szCs w:val="24"/>
        </w:rPr>
        <w:t>e de l’accord de financement</w:t>
      </w:r>
      <w:r w:rsidRPr="00AD3FDC">
        <w:rPr>
          <w:rFonts w:ascii="Arial" w:hAnsi="Arial" w:cs="Arial"/>
          <w:szCs w:val="24"/>
        </w:rPr>
        <w:t>) ;</w:t>
      </w:r>
    </w:p>
    <w:p w14:paraId="6DB96AFD" w14:textId="77777777" w:rsidR="00AD3FDC" w:rsidRPr="00AD3FDC" w:rsidRDefault="00AD3FDC" w:rsidP="0044500E">
      <w:pPr>
        <w:pStyle w:val="Paragraphedeliste"/>
        <w:numPr>
          <w:ilvl w:val="0"/>
          <w:numId w:val="219"/>
        </w:numPr>
        <w:suppressAutoHyphens/>
        <w:spacing w:after="0" w:line="240" w:lineRule="auto"/>
        <w:jc w:val="both"/>
        <w:rPr>
          <w:rFonts w:ascii="Arial" w:hAnsi="Arial" w:cs="Arial"/>
          <w:szCs w:val="24"/>
        </w:rPr>
      </w:pPr>
      <w:r w:rsidRPr="00AD3FDC">
        <w:rPr>
          <w:rFonts w:ascii="Arial" w:hAnsi="Arial" w:cs="Arial"/>
          <w:szCs w:val="24"/>
        </w:rPr>
        <w:t>Obligation de conduire des activités de suivi et d’établissement de rapports pour toutes les mesurs prises.</w:t>
      </w:r>
    </w:p>
    <w:p w14:paraId="7D4A57A7" w14:textId="77777777" w:rsidR="00AD3FDC" w:rsidRPr="007F78CE" w:rsidRDefault="00AD3FDC" w:rsidP="00B434A6">
      <w:pPr>
        <w:pStyle w:val="Paragraphedeliste"/>
        <w:spacing w:after="0" w:line="240" w:lineRule="auto"/>
        <w:ind w:right="144"/>
        <w:jc w:val="both"/>
        <w:rPr>
          <w:rFonts w:ascii="Cambria" w:hAnsi="Cambria" w:cs="Cambria"/>
          <w:sz w:val="24"/>
          <w:szCs w:val="24"/>
        </w:rPr>
      </w:pPr>
    </w:p>
    <w:tbl>
      <w:tblPr>
        <w:tblW w:w="0" w:type="auto"/>
        <w:shd w:val="clear" w:color="auto" w:fill="B8CCE4"/>
        <w:tblLook w:val="04A0" w:firstRow="1" w:lastRow="0" w:firstColumn="1" w:lastColumn="0" w:noHBand="0" w:noVBand="1"/>
      </w:tblPr>
      <w:tblGrid>
        <w:gridCol w:w="9062"/>
      </w:tblGrid>
      <w:tr w:rsidR="00AD3FDC" w:rsidRPr="007F78CE" w14:paraId="090F9BF0" w14:textId="77777777" w:rsidTr="007F78CE">
        <w:tc>
          <w:tcPr>
            <w:tcW w:w="9062" w:type="dxa"/>
            <w:shd w:val="clear" w:color="auto" w:fill="B8CCE4"/>
          </w:tcPr>
          <w:p w14:paraId="2811A9AA" w14:textId="77777777" w:rsidR="00AD3FDC" w:rsidRPr="007F78CE" w:rsidRDefault="00AD3FDC" w:rsidP="006F6154">
            <w:pPr>
              <w:spacing w:before="240" w:after="120"/>
              <w:rPr>
                <w:rFonts w:ascii="Arial" w:hAnsi="Arial" w:cs="Arial"/>
                <w:b/>
                <w:bCs/>
                <w:sz w:val="24"/>
                <w:szCs w:val="24"/>
              </w:rPr>
            </w:pPr>
            <w:bookmarkStart w:id="651" w:name="_Toc89160028"/>
            <w:r w:rsidRPr="007F78CE">
              <w:rPr>
                <w:rFonts w:ascii="Arial" w:hAnsi="Arial" w:cs="Arial"/>
                <w:b/>
                <w:bCs/>
                <w:sz w:val="24"/>
                <w:szCs w:val="24"/>
              </w:rPr>
              <w:t>Application de la NES 1 par le Projet</w:t>
            </w:r>
            <w:bookmarkEnd w:id="651"/>
          </w:p>
          <w:p w14:paraId="48A6AC4F" w14:textId="77777777" w:rsidR="00AD3FDC" w:rsidRPr="007F78CE" w:rsidRDefault="00AD3FDC" w:rsidP="006F6154">
            <w:pPr>
              <w:autoSpaceDE w:val="0"/>
              <w:autoSpaceDN w:val="0"/>
              <w:adjustRightInd w:val="0"/>
              <w:jc w:val="both"/>
              <w:rPr>
                <w:rFonts w:ascii="Arial" w:hAnsi="Arial" w:cs="Arial"/>
              </w:rPr>
            </w:pPr>
            <w:r w:rsidRPr="007F78CE">
              <w:rPr>
                <w:rFonts w:ascii="Arial" w:hAnsi="Arial" w:cs="Arial"/>
              </w:rPr>
              <w:t xml:space="preserve">Il est naturel que la NES1 est pertinente au Projet, d’où la préparation de ce CGES, étant donné que les risques et les effets ne peuvent pas encore </w:t>
            </w:r>
            <w:r w:rsidR="00904254">
              <w:rPr>
                <w:rFonts w:ascii="Arial" w:hAnsi="Arial" w:cs="Arial"/>
              </w:rPr>
              <w:t xml:space="preserve">être </w:t>
            </w:r>
            <w:r w:rsidRPr="007F78CE">
              <w:rPr>
                <w:rFonts w:ascii="Arial" w:hAnsi="Arial" w:cs="Arial"/>
              </w:rPr>
              <w:t>déterminés à ce stade de la préparation du Projet</w:t>
            </w:r>
            <w:r w:rsidR="006B0ACD">
              <w:rPr>
                <w:rFonts w:ascii="Arial" w:hAnsi="Arial" w:cs="Arial"/>
              </w:rPr>
              <w:t>.</w:t>
            </w:r>
            <w:r w:rsidRPr="007F78CE">
              <w:rPr>
                <w:rFonts w:ascii="Arial" w:hAnsi="Arial" w:cs="Arial"/>
              </w:rPr>
              <w:t xml:space="preserve"> </w:t>
            </w:r>
          </w:p>
          <w:p w14:paraId="3D2D2C77" w14:textId="77777777" w:rsidR="00AD3FDC" w:rsidRPr="007F78CE" w:rsidRDefault="00AD3FDC" w:rsidP="006F6154">
            <w:pPr>
              <w:autoSpaceDE w:val="0"/>
              <w:autoSpaceDN w:val="0"/>
              <w:adjustRightInd w:val="0"/>
              <w:jc w:val="both"/>
              <w:rPr>
                <w:rFonts w:ascii="Arial" w:hAnsi="Arial" w:cs="Arial"/>
              </w:rPr>
            </w:pPr>
            <w:r w:rsidRPr="007F78CE">
              <w:rPr>
                <w:rFonts w:ascii="Arial" w:hAnsi="Arial" w:cs="Arial"/>
              </w:rPr>
              <w:t>Selon le niveau des risques, et la classification du sous-projet, il peut être préparé un</w:t>
            </w:r>
            <w:r w:rsidR="006B0ACD">
              <w:rPr>
                <w:rFonts w:ascii="Arial" w:hAnsi="Arial" w:cs="Arial"/>
              </w:rPr>
              <w:t>e</w:t>
            </w:r>
            <w:r w:rsidRPr="007F78CE">
              <w:rPr>
                <w:rFonts w:ascii="Arial" w:hAnsi="Arial" w:cs="Arial"/>
              </w:rPr>
              <w:t xml:space="preserve"> EIES</w:t>
            </w:r>
            <w:r w:rsidR="00201587">
              <w:rPr>
                <w:rFonts w:ascii="Arial" w:hAnsi="Arial" w:cs="Arial"/>
              </w:rPr>
              <w:t xml:space="preserve"> ou PGES</w:t>
            </w:r>
            <w:r w:rsidRPr="007F78CE">
              <w:rPr>
                <w:rFonts w:ascii="Arial" w:hAnsi="Arial" w:cs="Arial"/>
              </w:rPr>
              <w:t>, avec une évaluation des risques et des dangers.</w:t>
            </w:r>
          </w:p>
        </w:tc>
      </w:tr>
    </w:tbl>
    <w:p w14:paraId="36DDFD56" w14:textId="77777777" w:rsidR="00AD3FDC" w:rsidRPr="00AD3FDC" w:rsidRDefault="00AD3FDC" w:rsidP="0044500E">
      <w:pPr>
        <w:pStyle w:val="TIT3"/>
        <w:numPr>
          <w:ilvl w:val="2"/>
          <w:numId w:val="177"/>
        </w:numPr>
      </w:pPr>
      <w:bookmarkStart w:id="652" w:name="_Toc98192316"/>
      <w:bookmarkStart w:id="653" w:name="_Toc95029773"/>
      <w:bookmarkStart w:id="654" w:name="_Toc100755434"/>
      <w:bookmarkStart w:id="655" w:name="_Toc110859949"/>
      <w:bookmarkStart w:id="656" w:name="_Toc121232619"/>
      <w:bookmarkStart w:id="657" w:name="_Toc124314711"/>
      <w:bookmarkStart w:id="658" w:name="_Toc124956192"/>
      <w:bookmarkStart w:id="659" w:name="_Toc125384590"/>
      <w:bookmarkStart w:id="660" w:name="_Toc125384979"/>
      <w:bookmarkStart w:id="661" w:name="_Toc127957651"/>
      <w:r w:rsidRPr="00AD3FDC">
        <w:t>NES2 : Emploi et conditions de travail</w:t>
      </w:r>
      <w:bookmarkEnd w:id="652"/>
      <w:bookmarkEnd w:id="653"/>
      <w:bookmarkEnd w:id="654"/>
      <w:bookmarkEnd w:id="655"/>
      <w:bookmarkEnd w:id="656"/>
      <w:bookmarkEnd w:id="657"/>
      <w:bookmarkEnd w:id="658"/>
      <w:bookmarkEnd w:id="659"/>
      <w:bookmarkEnd w:id="660"/>
      <w:bookmarkEnd w:id="661"/>
    </w:p>
    <w:p w14:paraId="7D4C9A17" w14:textId="77777777" w:rsidR="00AD3FDC" w:rsidRPr="00AD3FDC" w:rsidRDefault="00AD3FDC" w:rsidP="00687DD2">
      <w:pPr>
        <w:pStyle w:val="Paragraphedeliste"/>
        <w:numPr>
          <w:ilvl w:val="0"/>
          <w:numId w:val="12"/>
        </w:numPr>
        <w:spacing w:before="240" w:after="120"/>
        <w:rPr>
          <w:rFonts w:ascii="Arial" w:hAnsi="Arial" w:cs="Arial"/>
          <w:b/>
          <w:bCs/>
          <w:szCs w:val="24"/>
        </w:rPr>
      </w:pPr>
      <w:r w:rsidRPr="00AD3FDC">
        <w:rPr>
          <w:rFonts w:ascii="Arial" w:hAnsi="Arial" w:cs="Arial"/>
          <w:b/>
          <w:bCs/>
          <w:szCs w:val="24"/>
        </w:rPr>
        <w:t>Objectifs et principes de la NES2</w:t>
      </w:r>
    </w:p>
    <w:p w14:paraId="7EC059FD" w14:textId="77777777" w:rsidR="00AD3FDC" w:rsidRPr="00AD3FDC" w:rsidRDefault="00AD3FDC" w:rsidP="00AD3FDC">
      <w:pPr>
        <w:autoSpaceDE w:val="0"/>
        <w:autoSpaceDN w:val="0"/>
        <w:adjustRightInd w:val="0"/>
        <w:jc w:val="both"/>
        <w:rPr>
          <w:rFonts w:ascii="Arial" w:hAnsi="Arial" w:cs="Arial"/>
          <w:szCs w:val="24"/>
        </w:rPr>
      </w:pPr>
      <w:r w:rsidRPr="00AD3FDC">
        <w:rPr>
          <w:rFonts w:ascii="Arial" w:hAnsi="Arial" w:cs="Arial"/>
          <w:szCs w:val="24"/>
        </w:rPr>
        <w:t xml:space="preserve">La NES2 reconnaît l’importance de la création d’emplois et de la génération de revenus dans la poursuite de la réduction de la pauvreté et de la croissance économique inclusive. Les Emprunteurs peuvent promouvoir des relations constructives entre les travailleurs du projet et la direction, et renforcer les bénéfices du développement d’un projet en traitant les travailleurs de manière équitable et en garantissant des conditions de travail sûres et saines. </w:t>
      </w:r>
    </w:p>
    <w:p w14:paraId="34494602" w14:textId="77777777" w:rsidR="00AD3FDC" w:rsidRPr="00AD3FDC" w:rsidRDefault="00AD3FDC" w:rsidP="00AD3FDC">
      <w:pPr>
        <w:autoSpaceDE w:val="0"/>
        <w:autoSpaceDN w:val="0"/>
        <w:adjustRightInd w:val="0"/>
        <w:jc w:val="both"/>
        <w:rPr>
          <w:rFonts w:ascii="Arial" w:hAnsi="Arial" w:cs="Arial"/>
          <w:szCs w:val="24"/>
        </w:rPr>
      </w:pPr>
      <w:r w:rsidRPr="00AD3FDC">
        <w:rPr>
          <w:rFonts w:ascii="Arial" w:hAnsi="Arial" w:cs="Arial"/>
          <w:szCs w:val="24"/>
        </w:rPr>
        <w:t xml:space="preserve">La NES2 a pour objectifs de : </w:t>
      </w:r>
    </w:p>
    <w:p w14:paraId="7A0F8161" w14:textId="77777777" w:rsidR="00AD3FDC" w:rsidRPr="00AD3FDC" w:rsidRDefault="00AD3FDC" w:rsidP="0044500E">
      <w:pPr>
        <w:pStyle w:val="Paragraphedeliste"/>
        <w:numPr>
          <w:ilvl w:val="0"/>
          <w:numId w:val="220"/>
        </w:numPr>
        <w:suppressAutoHyphens/>
        <w:spacing w:after="0" w:line="240" w:lineRule="auto"/>
        <w:jc w:val="both"/>
        <w:rPr>
          <w:rFonts w:ascii="Arial" w:hAnsi="Arial" w:cs="Arial"/>
          <w:szCs w:val="24"/>
        </w:rPr>
      </w:pPr>
      <w:r w:rsidRPr="00AD3FDC">
        <w:rPr>
          <w:rFonts w:ascii="Arial" w:hAnsi="Arial" w:cs="Arial"/>
          <w:szCs w:val="24"/>
        </w:rPr>
        <w:t xml:space="preserve">Promouvoir la sécurité et la santé au travail ; </w:t>
      </w:r>
    </w:p>
    <w:p w14:paraId="3FE37175" w14:textId="77777777" w:rsidR="00AD3FDC" w:rsidRPr="00AD3FDC" w:rsidRDefault="00AD3FDC" w:rsidP="0044500E">
      <w:pPr>
        <w:pStyle w:val="Paragraphedeliste"/>
        <w:numPr>
          <w:ilvl w:val="0"/>
          <w:numId w:val="220"/>
        </w:numPr>
        <w:suppressAutoHyphens/>
        <w:spacing w:after="0" w:line="240" w:lineRule="auto"/>
        <w:jc w:val="both"/>
        <w:rPr>
          <w:rFonts w:ascii="Arial" w:hAnsi="Arial" w:cs="Arial"/>
          <w:szCs w:val="24"/>
        </w:rPr>
      </w:pPr>
      <w:r w:rsidRPr="00AD3FDC">
        <w:rPr>
          <w:rFonts w:ascii="Arial" w:hAnsi="Arial" w:cs="Arial"/>
          <w:szCs w:val="24"/>
        </w:rPr>
        <w:t xml:space="preserve">Promouvoir le traitement équitable, la non-discrimination et l’égalité des chances des travailleurs du projet ; </w:t>
      </w:r>
    </w:p>
    <w:p w14:paraId="13845BDD" w14:textId="77777777" w:rsidR="00AD3FDC" w:rsidRPr="00AD3FDC" w:rsidRDefault="00AD3FDC" w:rsidP="0044500E">
      <w:pPr>
        <w:pStyle w:val="Paragraphedeliste"/>
        <w:numPr>
          <w:ilvl w:val="0"/>
          <w:numId w:val="220"/>
        </w:numPr>
        <w:suppressAutoHyphens/>
        <w:spacing w:after="0" w:line="240" w:lineRule="auto"/>
        <w:jc w:val="both"/>
        <w:rPr>
          <w:rFonts w:ascii="Arial" w:hAnsi="Arial" w:cs="Arial"/>
          <w:szCs w:val="24"/>
        </w:rPr>
      </w:pPr>
      <w:r w:rsidRPr="00AD3FDC">
        <w:rPr>
          <w:rFonts w:ascii="Arial" w:hAnsi="Arial" w:cs="Arial"/>
          <w:szCs w:val="24"/>
        </w:rPr>
        <w:t xml:space="preserve">Protéger les travailleurs du projet, notamment les catégories vulnérables de travailleurs comme les femmes, les personnes handicapées, les enfants (en âge de travailler, conformément à cette NES), et les travailleurs migrants, les travailleurs contractuels, les travailleurs communautaires, et les employés des fournisseurs primaires, selon le cas ; </w:t>
      </w:r>
    </w:p>
    <w:p w14:paraId="57C4F644" w14:textId="77777777" w:rsidR="00AD3FDC" w:rsidRPr="00AD3FDC" w:rsidRDefault="00AD3FDC" w:rsidP="0044500E">
      <w:pPr>
        <w:pStyle w:val="Paragraphedeliste"/>
        <w:numPr>
          <w:ilvl w:val="0"/>
          <w:numId w:val="220"/>
        </w:numPr>
        <w:suppressAutoHyphens/>
        <w:spacing w:after="0" w:line="240" w:lineRule="auto"/>
        <w:jc w:val="both"/>
        <w:rPr>
          <w:rFonts w:ascii="Arial" w:hAnsi="Arial" w:cs="Arial"/>
          <w:szCs w:val="24"/>
        </w:rPr>
      </w:pPr>
      <w:r w:rsidRPr="00AD3FDC">
        <w:rPr>
          <w:rFonts w:ascii="Arial" w:hAnsi="Arial" w:cs="Arial"/>
          <w:szCs w:val="24"/>
        </w:rPr>
        <w:t xml:space="preserve">Éviter toute utilisation de toute forme de travail forcé ou de travail des enfants ; </w:t>
      </w:r>
    </w:p>
    <w:p w14:paraId="3A286565" w14:textId="77777777" w:rsidR="00AD3FDC" w:rsidRPr="00AD3FDC" w:rsidRDefault="00AD3FDC" w:rsidP="0044500E">
      <w:pPr>
        <w:pStyle w:val="Paragraphedeliste"/>
        <w:numPr>
          <w:ilvl w:val="0"/>
          <w:numId w:val="220"/>
        </w:numPr>
        <w:suppressAutoHyphens/>
        <w:spacing w:after="0" w:line="240" w:lineRule="auto"/>
        <w:jc w:val="both"/>
        <w:rPr>
          <w:rFonts w:ascii="Arial" w:hAnsi="Arial" w:cs="Arial"/>
          <w:szCs w:val="24"/>
        </w:rPr>
      </w:pPr>
      <w:r w:rsidRPr="00AD3FDC">
        <w:rPr>
          <w:rFonts w:ascii="Arial" w:hAnsi="Arial" w:cs="Arial"/>
          <w:szCs w:val="24"/>
        </w:rPr>
        <w:t xml:space="preserve">Soutenir les principes de la liberté d’association et de négociation collective des travailleurs du projet d’une manière compatible avec le droit national ; </w:t>
      </w:r>
    </w:p>
    <w:p w14:paraId="3AC6B39A" w14:textId="77777777" w:rsidR="00AD3FDC" w:rsidRDefault="00AD3FDC" w:rsidP="0044500E">
      <w:pPr>
        <w:pStyle w:val="Paragraphedeliste"/>
        <w:numPr>
          <w:ilvl w:val="0"/>
          <w:numId w:val="220"/>
        </w:numPr>
        <w:suppressAutoHyphens/>
        <w:spacing w:after="0" w:line="240" w:lineRule="auto"/>
        <w:jc w:val="both"/>
        <w:rPr>
          <w:rFonts w:ascii="Arial" w:hAnsi="Arial" w:cs="Arial"/>
          <w:szCs w:val="24"/>
        </w:rPr>
      </w:pPr>
      <w:r w:rsidRPr="00AD3FDC">
        <w:rPr>
          <w:rFonts w:ascii="Arial" w:hAnsi="Arial" w:cs="Arial"/>
          <w:szCs w:val="24"/>
        </w:rPr>
        <w:t>Fournir aux travailleurs d</w:t>
      </w:r>
      <w:r w:rsidR="00904254">
        <w:rPr>
          <w:rFonts w:ascii="Arial" w:hAnsi="Arial" w:cs="Arial"/>
          <w:szCs w:val="24"/>
        </w:rPr>
        <w:t>u</w:t>
      </w:r>
      <w:r w:rsidRPr="00AD3FDC">
        <w:rPr>
          <w:rFonts w:ascii="Arial" w:hAnsi="Arial" w:cs="Arial"/>
          <w:szCs w:val="24"/>
        </w:rPr>
        <w:t xml:space="preserve"> projet des mécanismes accessibles pour soulever les préoccupations professionnelles.</w:t>
      </w:r>
    </w:p>
    <w:p w14:paraId="73E4E19A" w14:textId="77777777" w:rsidR="00AD3FDC" w:rsidRPr="00AD3FDC" w:rsidRDefault="00AD3FDC">
      <w:pPr>
        <w:suppressAutoHyphens/>
        <w:spacing w:after="0" w:line="240" w:lineRule="auto"/>
        <w:jc w:val="both"/>
        <w:rPr>
          <w:rFonts w:ascii="Arial" w:hAnsi="Arial" w:cs="Arial"/>
          <w:szCs w:val="24"/>
        </w:rPr>
      </w:pPr>
    </w:p>
    <w:p w14:paraId="2EAFB5CD" w14:textId="77777777" w:rsidR="00AD3FDC" w:rsidRPr="00AD3FDC" w:rsidRDefault="00AD3FDC" w:rsidP="00F01166">
      <w:pPr>
        <w:pStyle w:val="Paragraphedeliste"/>
        <w:numPr>
          <w:ilvl w:val="0"/>
          <w:numId w:val="12"/>
        </w:numPr>
        <w:spacing w:before="120" w:after="120"/>
        <w:rPr>
          <w:rFonts w:ascii="Arial" w:hAnsi="Arial" w:cs="Arial"/>
          <w:b/>
          <w:bCs/>
          <w:szCs w:val="24"/>
        </w:rPr>
      </w:pPr>
      <w:r w:rsidRPr="00AD3FDC">
        <w:rPr>
          <w:rFonts w:ascii="Arial" w:hAnsi="Arial" w:cs="Arial"/>
          <w:b/>
          <w:bCs/>
          <w:szCs w:val="24"/>
        </w:rPr>
        <w:t>Dispositions et exigences de la NES2</w:t>
      </w:r>
    </w:p>
    <w:p w14:paraId="25DE3FD5" w14:textId="77777777" w:rsidR="00AD3FDC" w:rsidRPr="00AD3FDC" w:rsidRDefault="00AD3FDC" w:rsidP="00AD3FDC">
      <w:pPr>
        <w:autoSpaceDE w:val="0"/>
        <w:autoSpaceDN w:val="0"/>
        <w:adjustRightInd w:val="0"/>
        <w:jc w:val="both"/>
        <w:rPr>
          <w:rFonts w:ascii="Arial" w:hAnsi="Arial" w:cs="Arial"/>
          <w:szCs w:val="24"/>
        </w:rPr>
      </w:pPr>
      <w:r w:rsidRPr="00AD3FDC">
        <w:rPr>
          <w:rFonts w:ascii="Arial" w:hAnsi="Arial" w:cs="Arial"/>
          <w:szCs w:val="24"/>
        </w:rPr>
        <w:t xml:space="preserve">La NES2 établit une catégorisation des travailleurs recrutés dans le cadre du Projet : ce sont les travailleurs directs, les travailleurs communautaires, les employés des fournisseurs d’intrants et des prestataires, et les travailleurs contractuels. </w:t>
      </w:r>
    </w:p>
    <w:p w14:paraId="5A43975C" w14:textId="77777777" w:rsidR="00AD3FDC" w:rsidRPr="00AD3FDC" w:rsidRDefault="00AD3FDC" w:rsidP="00AD3FDC">
      <w:pPr>
        <w:autoSpaceDE w:val="0"/>
        <w:autoSpaceDN w:val="0"/>
        <w:adjustRightInd w:val="0"/>
        <w:jc w:val="both"/>
        <w:rPr>
          <w:rFonts w:ascii="Arial" w:hAnsi="Arial" w:cs="Arial"/>
          <w:szCs w:val="24"/>
        </w:rPr>
      </w:pPr>
      <w:r w:rsidRPr="00AD3FDC">
        <w:rPr>
          <w:rFonts w:ascii="Arial" w:hAnsi="Arial" w:cs="Arial"/>
          <w:szCs w:val="24"/>
        </w:rPr>
        <w:t xml:space="preserve">La NES2 précise une batterie d’obligations auxquelles le Projet doit se conformer. Ces obligations concernent toutes les catégories des travailleurs citées ci-haut. </w:t>
      </w:r>
    </w:p>
    <w:p w14:paraId="6E127B1D" w14:textId="77777777" w:rsidR="00AD3FDC" w:rsidRPr="00AD3FDC" w:rsidRDefault="00AD3FDC" w:rsidP="00AD3FDC">
      <w:pPr>
        <w:autoSpaceDE w:val="0"/>
        <w:autoSpaceDN w:val="0"/>
        <w:adjustRightInd w:val="0"/>
        <w:jc w:val="both"/>
        <w:rPr>
          <w:rFonts w:ascii="Arial" w:hAnsi="Arial" w:cs="Arial"/>
          <w:szCs w:val="24"/>
        </w:rPr>
      </w:pPr>
      <w:r w:rsidRPr="00AD3FDC">
        <w:rPr>
          <w:rFonts w:ascii="Arial" w:hAnsi="Arial" w:cs="Arial"/>
          <w:szCs w:val="24"/>
        </w:rPr>
        <w:t xml:space="preserve">D’abord, ces obligations se rapportent aux conditions de travail et d’emploi qui régissent les employés et la relation employé-travailleur. Ces obligations relatives aux conditions de travail et de l’emploi doivent respecter les législations nationales en vigueur, qui garantissent en principe les droits des employés et des employeurs. Il s’agit particulièrement des conditions liées à la rémunération, au repos, au congé, et à la rupture de contrat. </w:t>
      </w:r>
    </w:p>
    <w:p w14:paraId="5609E771" w14:textId="77777777" w:rsidR="00AD3FDC" w:rsidRPr="00AD3FDC" w:rsidRDefault="00AD3FDC" w:rsidP="00AD3FDC">
      <w:pPr>
        <w:autoSpaceDE w:val="0"/>
        <w:autoSpaceDN w:val="0"/>
        <w:adjustRightInd w:val="0"/>
        <w:jc w:val="both"/>
        <w:rPr>
          <w:rFonts w:ascii="Arial" w:hAnsi="Arial" w:cs="Arial"/>
          <w:szCs w:val="24"/>
        </w:rPr>
      </w:pPr>
      <w:r w:rsidRPr="00AD3FDC">
        <w:rPr>
          <w:rFonts w:ascii="Arial" w:hAnsi="Arial" w:cs="Arial"/>
          <w:szCs w:val="24"/>
        </w:rPr>
        <w:t xml:space="preserve">Ensuite, la NES2 exige des dispositions pour assurer la protection de la main d’œuvre. On accorde une importance à la protection des enfants, autrement dit à l’interdiction de l’emploi des enfants et de la définition de l’âge minimum de travail. De plus, il est interdit d’avoir recours au travail forcé. En outre, la NES2 impose la mise en place et l’opérationnalisation d’un mécanisme de gestion des plaintes, spécifique pour les travailleurs. Ce mécanisme sera fait pour être à la disposition de toutes les catégories de travailleurs, surtout les travailleurs directs, les travailleurs communautaires, et les travailleurs contractuels. </w:t>
      </w:r>
    </w:p>
    <w:p w14:paraId="5500C712" w14:textId="77777777" w:rsidR="00AD3FDC" w:rsidRPr="00AD3FDC" w:rsidRDefault="00AD3FDC" w:rsidP="00AD3FDC">
      <w:pPr>
        <w:autoSpaceDE w:val="0"/>
        <w:autoSpaceDN w:val="0"/>
        <w:adjustRightInd w:val="0"/>
        <w:jc w:val="both"/>
        <w:rPr>
          <w:rFonts w:ascii="Arial" w:hAnsi="Arial" w:cs="Arial"/>
          <w:szCs w:val="24"/>
        </w:rPr>
      </w:pPr>
      <w:r w:rsidRPr="00AD3FDC">
        <w:rPr>
          <w:rFonts w:ascii="Arial" w:hAnsi="Arial" w:cs="Arial"/>
          <w:szCs w:val="24"/>
        </w:rPr>
        <w:t xml:space="preserve">Enfin, la NES2 donne une place importante à la santé et à la sécurité de travail. Ainsi, il doit être défini des mesures pour assurer la santé et la sécurité des travailleurs. Ce sont entre autres des mesures de prévention contre tout accident, les maladies professionnelles, et les incidents professionnels. Pour ce faire, il doit être pris en compte les Directives EES générales et spécifiques aux secteurs d’activité </w:t>
      </w:r>
      <w:r w:rsidR="006B0ACD">
        <w:rPr>
          <w:rFonts w:ascii="Arial" w:hAnsi="Arial" w:cs="Arial"/>
          <w:szCs w:val="24"/>
        </w:rPr>
        <w:t xml:space="preserve">du Groupe </w:t>
      </w:r>
      <w:r w:rsidRPr="00AD3FDC">
        <w:rPr>
          <w:rFonts w:ascii="Arial" w:hAnsi="Arial" w:cs="Arial"/>
          <w:szCs w:val="24"/>
        </w:rPr>
        <w:t>de la Banque Mondiale. Ces Directives EES contiennent des orientations supplémentaires sur la gestion des questions de santé et de sécurité des travailleurs, conformément aux bonnes pratiques internationales du secteur d’activité concerne (BPISA).</w:t>
      </w:r>
    </w:p>
    <w:tbl>
      <w:tblPr>
        <w:tblW w:w="0" w:type="auto"/>
        <w:shd w:val="clear" w:color="auto" w:fill="B8CCE4"/>
        <w:tblLook w:val="04A0" w:firstRow="1" w:lastRow="0" w:firstColumn="1" w:lastColumn="0" w:noHBand="0" w:noVBand="1"/>
      </w:tblPr>
      <w:tblGrid>
        <w:gridCol w:w="9062"/>
      </w:tblGrid>
      <w:tr w:rsidR="00AD3FDC" w:rsidRPr="007F78CE" w14:paraId="2258D722" w14:textId="77777777" w:rsidTr="007F78CE">
        <w:tc>
          <w:tcPr>
            <w:tcW w:w="9062" w:type="dxa"/>
            <w:shd w:val="clear" w:color="auto" w:fill="B8CCE4"/>
          </w:tcPr>
          <w:p w14:paraId="19E1E265" w14:textId="77777777" w:rsidR="00AD3FDC" w:rsidRPr="007F78CE" w:rsidRDefault="00AD3FDC" w:rsidP="006F6154">
            <w:pPr>
              <w:spacing w:before="240" w:after="120"/>
              <w:rPr>
                <w:rFonts w:ascii="Arial" w:hAnsi="Arial" w:cs="Arial"/>
                <w:b/>
                <w:bCs/>
                <w:sz w:val="24"/>
                <w:szCs w:val="24"/>
              </w:rPr>
            </w:pPr>
            <w:r w:rsidRPr="007F78CE">
              <w:rPr>
                <w:rFonts w:ascii="Arial" w:hAnsi="Arial" w:cs="Arial"/>
                <w:b/>
                <w:bCs/>
                <w:sz w:val="24"/>
                <w:szCs w:val="24"/>
              </w:rPr>
              <w:t>Application de la NES2 par le Projet</w:t>
            </w:r>
          </w:p>
          <w:p w14:paraId="09B702E7" w14:textId="77777777" w:rsidR="00AD3FDC" w:rsidRPr="007F78CE" w:rsidRDefault="00AD3FDC" w:rsidP="006F6154">
            <w:pPr>
              <w:jc w:val="both"/>
              <w:rPr>
                <w:rFonts w:ascii="Arial" w:hAnsi="Arial" w:cs="Arial"/>
              </w:rPr>
            </w:pPr>
            <w:r w:rsidRPr="007F78CE">
              <w:rPr>
                <w:rFonts w:ascii="Arial" w:hAnsi="Arial" w:cs="Arial"/>
              </w:rPr>
              <w:t xml:space="preserve">Pour se conformer aux exigences de la NES2, le Projet élabore et mettra en œuvre </w:t>
            </w:r>
            <w:r w:rsidR="006B0ACD">
              <w:rPr>
                <w:rFonts w:ascii="Arial" w:hAnsi="Arial" w:cs="Arial"/>
              </w:rPr>
              <w:t>les</w:t>
            </w:r>
            <w:r w:rsidRPr="007F78CE">
              <w:rPr>
                <w:rFonts w:ascii="Arial" w:hAnsi="Arial" w:cs="Arial"/>
              </w:rPr>
              <w:t xml:space="preserve"> Procédure</w:t>
            </w:r>
            <w:r w:rsidR="006B0ACD">
              <w:rPr>
                <w:rFonts w:ascii="Arial" w:hAnsi="Arial" w:cs="Arial"/>
              </w:rPr>
              <w:t>s</w:t>
            </w:r>
            <w:r w:rsidRPr="007F78CE">
              <w:rPr>
                <w:rFonts w:ascii="Arial" w:hAnsi="Arial" w:cs="Arial"/>
              </w:rPr>
              <w:t xml:space="preserve"> de gestion de la main</w:t>
            </w:r>
            <w:r w:rsidR="00904254">
              <w:rPr>
                <w:rFonts w:ascii="Arial" w:hAnsi="Arial" w:cs="Arial"/>
              </w:rPr>
              <w:t>-</w:t>
            </w:r>
            <w:r w:rsidRPr="007F78CE">
              <w:rPr>
                <w:rFonts w:ascii="Arial" w:hAnsi="Arial" w:cs="Arial"/>
              </w:rPr>
              <w:t>d’œuvre ou PGMO. Le PGMO contient un ensemble de procédures qui régissent les relations entre l’employeur et les travailleurs selon les catégories tel</w:t>
            </w:r>
            <w:r w:rsidR="00563C78">
              <w:rPr>
                <w:rFonts w:ascii="Arial" w:hAnsi="Arial" w:cs="Arial"/>
              </w:rPr>
              <w:t>le</w:t>
            </w:r>
            <w:r w:rsidR="00353921">
              <w:rPr>
                <w:rFonts w:ascii="Arial" w:hAnsi="Arial" w:cs="Arial"/>
              </w:rPr>
              <w:t>s</w:t>
            </w:r>
            <w:r w:rsidRPr="007F78CE">
              <w:rPr>
                <w:rFonts w:ascii="Arial" w:hAnsi="Arial" w:cs="Arial"/>
              </w:rPr>
              <w:t xml:space="preserve"> que c’est exigé par la NES2. Le PGMO précise aussi les responsabilités respectives de l’employeur et du travailleur. </w:t>
            </w:r>
          </w:p>
          <w:p w14:paraId="4CF712F6" w14:textId="77777777" w:rsidR="00AD3FDC" w:rsidRPr="007F78CE" w:rsidRDefault="00AD3FDC" w:rsidP="006F6154">
            <w:pPr>
              <w:jc w:val="both"/>
              <w:rPr>
                <w:rFonts w:ascii="Arial" w:hAnsi="Arial" w:cs="Arial"/>
              </w:rPr>
            </w:pPr>
            <w:r w:rsidRPr="007F78CE">
              <w:rPr>
                <w:rFonts w:ascii="Arial" w:hAnsi="Arial" w:cs="Arial"/>
              </w:rPr>
              <w:t>Le Projet mettra en place un mécanisme de gestion des plaintes spécifique pour les travailleurs. Ce mécanisme est adapté et ajusté avec les dispositions prévues par le Code de travail, en cas de différends de travail.</w:t>
            </w:r>
          </w:p>
          <w:p w14:paraId="3D9F464D" w14:textId="77777777" w:rsidR="00AD3FDC" w:rsidRPr="007F78CE" w:rsidRDefault="00AD3FDC" w:rsidP="006F6154">
            <w:pPr>
              <w:jc w:val="both"/>
              <w:rPr>
                <w:rFonts w:ascii="Arial" w:hAnsi="Arial" w:cs="Arial"/>
              </w:rPr>
            </w:pPr>
            <w:r w:rsidRPr="007F78CE">
              <w:rPr>
                <w:rFonts w:ascii="Arial" w:hAnsi="Arial" w:cs="Arial"/>
              </w:rPr>
              <w:t xml:space="preserve">Enfin, le Projet imposera le respect et la signature des Code de conduites aux différentes catégories de travailleurs (essentiellement les travailleurs directs et travailleurs contractuels). </w:t>
            </w:r>
          </w:p>
        </w:tc>
      </w:tr>
    </w:tbl>
    <w:p w14:paraId="4542010D" w14:textId="77777777" w:rsidR="00AD3FDC" w:rsidRPr="00AD3FDC" w:rsidRDefault="00AD3FDC" w:rsidP="0044500E">
      <w:pPr>
        <w:pStyle w:val="TIT3"/>
        <w:numPr>
          <w:ilvl w:val="2"/>
          <w:numId w:val="177"/>
        </w:numPr>
      </w:pPr>
      <w:bookmarkStart w:id="662" w:name="_Toc98192317"/>
      <w:bookmarkStart w:id="663" w:name="_Toc95029774"/>
      <w:bookmarkStart w:id="664" w:name="_Toc100755435"/>
      <w:bookmarkStart w:id="665" w:name="_Toc110859950"/>
      <w:bookmarkStart w:id="666" w:name="_Toc121232620"/>
      <w:bookmarkStart w:id="667" w:name="_Toc124314712"/>
      <w:bookmarkStart w:id="668" w:name="_Toc124956193"/>
      <w:bookmarkStart w:id="669" w:name="_Toc125384591"/>
      <w:bookmarkStart w:id="670" w:name="_Toc125384980"/>
      <w:bookmarkStart w:id="671" w:name="_Toc127957652"/>
      <w:r w:rsidRPr="00AD3FDC">
        <w:t>NES3 : Utilisation rationnelle des ressources, prévention et gestion de la pollution</w:t>
      </w:r>
      <w:bookmarkEnd w:id="662"/>
      <w:bookmarkEnd w:id="663"/>
      <w:bookmarkEnd w:id="664"/>
      <w:bookmarkEnd w:id="665"/>
      <w:bookmarkEnd w:id="666"/>
      <w:bookmarkEnd w:id="667"/>
      <w:bookmarkEnd w:id="668"/>
      <w:bookmarkEnd w:id="669"/>
      <w:bookmarkEnd w:id="670"/>
      <w:bookmarkEnd w:id="671"/>
    </w:p>
    <w:p w14:paraId="102F376D" w14:textId="77777777" w:rsidR="00AD3FDC" w:rsidRPr="00AD3FDC" w:rsidRDefault="00AD3FDC" w:rsidP="00687DD2">
      <w:pPr>
        <w:pStyle w:val="Paragraphedeliste"/>
        <w:numPr>
          <w:ilvl w:val="0"/>
          <w:numId w:val="12"/>
        </w:numPr>
        <w:spacing w:before="240" w:after="120"/>
        <w:rPr>
          <w:rFonts w:ascii="Arial" w:hAnsi="Arial" w:cs="Arial"/>
          <w:b/>
          <w:bCs/>
          <w:szCs w:val="24"/>
        </w:rPr>
      </w:pPr>
      <w:r w:rsidRPr="00AD3FDC">
        <w:rPr>
          <w:rFonts w:ascii="Arial" w:hAnsi="Arial" w:cs="Arial"/>
          <w:b/>
          <w:bCs/>
          <w:szCs w:val="24"/>
        </w:rPr>
        <w:t>Objectifs et principes de la NES3</w:t>
      </w:r>
    </w:p>
    <w:p w14:paraId="7E6E130E" w14:textId="77777777" w:rsidR="00AD3FDC" w:rsidRPr="00AD3FDC" w:rsidRDefault="00AD3FDC" w:rsidP="00AD3FDC">
      <w:pPr>
        <w:autoSpaceDE w:val="0"/>
        <w:autoSpaceDN w:val="0"/>
        <w:adjustRightInd w:val="0"/>
        <w:jc w:val="both"/>
        <w:rPr>
          <w:rFonts w:ascii="Arial" w:hAnsi="Arial" w:cs="Arial"/>
          <w:szCs w:val="24"/>
        </w:rPr>
      </w:pPr>
      <w:r w:rsidRPr="00AD3FDC">
        <w:rPr>
          <w:rFonts w:ascii="Arial" w:hAnsi="Arial" w:cs="Arial"/>
          <w:szCs w:val="24"/>
        </w:rPr>
        <w:t>La NES 3 reconnaît l’importance que l’activité économique est souvent source de pollution de l’air, de l’eau et des sols et appauvrit les ressources déjà limitées. Cette NES énonce les exigences en matière d’utilisation rationnelle des ressources et de prévention et de gestion de la pollution tout au long du cycle de vie du projet.</w:t>
      </w:r>
    </w:p>
    <w:p w14:paraId="5FDE04B5" w14:textId="77777777" w:rsidR="00AD3FDC" w:rsidRPr="00AD3FDC" w:rsidRDefault="00AD3FDC" w:rsidP="00AD3FDC">
      <w:pPr>
        <w:autoSpaceDE w:val="0"/>
        <w:autoSpaceDN w:val="0"/>
        <w:adjustRightInd w:val="0"/>
        <w:jc w:val="both"/>
        <w:rPr>
          <w:rFonts w:ascii="Arial" w:hAnsi="Arial" w:cs="Arial"/>
          <w:szCs w:val="24"/>
        </w:rPr>
      </w:pPr>
      <w:r w:rsidRPr="00AD3FDC">
        <w:rPr>
          <w:rFonts w:ascii="Arial" w:hAnsi="Arial" w:cs="Arial"/>
          <w:szCs w:val="24"/>
        </w:rPr>
        <w:t xml:space="preserve">Les objectifs spécifiques liés à la NES3 sont les suivants : </w:t>
      </w:r>
    </w:p>
    <w:p w14:paraId="63678113" w14:textId="77777777" w:rsidR="00AD3FDC" w:rsidRPr="00AD3FDC" w:rsidRDefault="00AD3FDC" w:rsidP="0044500E">
      <w:pPr>
        <w:pStyle w:val="Paragraphedeliste"/>
        <w:numPr>
          <w:ilvl w:val="0"/>
          <w:numId w:val="221"/>
        </w:numPr>
        <w:suppressAutoHyphens/>
        <w:spacing w:after="0" w:line="240" w:lineRule="auto"/>
        <w:jc w:val="both"/>
        <w:rPr>
          <w:rFonts w:ascii="Arial" w:hAnsi="Arial" w:cs="Arial"/>
          <w:szCs w:val="24"/>
        </w:rPr>
      </w:pPr>
      <w:r w:rsidRPr="00AD3FDC">
        <w:rPr>
          <w:rFonts w:ascii="Arial" w:hAnsi="Arial" w:cs="Arial"/>
          <w:szCs w:val="24"/>
        </w:rPr>
        <w:t>Promouvoir l’utilisation durable des ressources, notamment l’énergie, l’eau et les matières premières ;</w:t>
      </w:r>
    </w:p>
    <w:p w14:paraId="14CF9045" w14:textId="77777777" w:rsidR="00AD3FDC" w:rsidRPr="00AD3FDC" w:rsidRDefault="00AD3FDC" w:rsidP="0044500E">
      <w:pPr>
        <w:pStyle w:val="Paragraphedeliste"/>
        <w:numPr>
          <w:ilvl w:val="0"/>
          <w:numId w:val="221"/>
        </w:numPr>
        <w:suppressAutoHyphens/>
        <w:spacing w:after="0" w:line="240" w:lineRule="auto"/>
        <w:jc w:val="both"/>
        <w:rPr>
          <w:rFonts w:ascii="Arial" w:hAnsi="Arial" w:cs="Arial"/>
          <w:szCs w:val="24"/>
        </w:rPr>
      </w:pPr>
      <w:r w:rsidRPr="00AD3FDC">
        <w:rPr>
          <w:rFonts w:ascii="Arial" w:hAnsi="Arial" w:cs="Arial"/>
          <w:szCs w:val="24"/>
        </w:rPr>
        <w:t>Éviter ou minimiser les impacts négatifs du projet sur la santé humaine et l’environnement en évitant ou en minimisant la pollution provenant des activités du projet ;</w:t>
      </w:r>
    </w:p>
    <w:p w14:paraId="79DE5CC9" w14:textId="77777777" w:rsidR="00AD3FDC" w:rsidRPr="00AD3FDC" w:rsidRDefault="00AD3FDC" w:rsidP="0044500E">
      <w:pPr>
        <w:pStyle w:val="Paragraphedeliste"/>
        <w:numPr>
          <w:ilvl w:val="0"/>
          <w:numId w:val="221"/>
        </w:numPr>
        <w:suppressAutoHyphens/>
        <w:spacing w:after="0" w:line="240" w:lineRule="auto"/>
        <w:jc w:val="both"/>
        <w:rPr>
          <w:rFonts w:ascii="Arial" w:hAnsi="Arial" w:cs="Arial"/>
          <w:szCs w:val="24"/>
        </w:rPr>
      </w:pPr>
      <w:r w:rsidRPr="00AD3FDC">
        <w:rPr>
          <w:rFonts w:ascii="Arial" w:hAnsi="Arial" w:cs="Arial"/>
          <w:szCs w:val="24"/>
        </w:rPr>
        <w:t>Éviter ou minimiser les émissions de polluants atmosphériques à courte et longue durée de vie liées au projet ;</w:t>
      </w:r>
    </w:p>
    <w:p w14:paraId="629A9449" w14:textId="77777777" w:rsidR="00AD3FDC" w:rsidRDefault="00AD3FDC" w:rsidP="0044500E">
      <w:pPr>
        <w:pStyle w:val="Paragraphedeliste"/>
        <w:numPr>
          <w:ilvl w:val="0"/>
          <w:numId w:val="221"/>
        </w:numPr>
        <w:suppressAutoHyphens/>
        <w:spacing w:after="0" w:line="240" w:lineRule="auto"/>
        <w:jc w:val="both"/>
        <w:rPr>
          <w:rFonts w:ascii="Arial" w:hAnsi="Arial" w:cs="Arial"/>
          <w:szCs w:val="24"/>
        </w:rPr>
      </w:pPr>
      <w:r w:rsidRPr="00AD3FDC">
        <w:rPr>
          <w:rFonts w:ascii="Arial" w:hAnsi="Arial" w:cs="Arial"/>
          <w:szCs w:val="24"/>
        </w:rPr>
        <w:t>Éviter ou minimiser la production de déchets dangereux et non dangereux</w:t>
      </w:r>
      <w:r w:rsidR="00F20081">
        <w:rPr>
          <w:rFonts w:ascii="Arial" w:hAnsi="Arial" w:cs="Arial"/>
          <w:szCs w:val="24"/>
        </w:rPr>
        <w:t> ;</w:t>
      </w:r>
    </w:p>
    <w:p w14:paraId="5F37ABBB" w14:textId="77777777" w:rsidR="00F20081" w:rsidRDefault="00F20081" w:rsidP="0044500E">
      <w:pPr>
        <w:pStyle w:val="Paragraphedeliste"/>
        <w:numPr>
          <w:ilvl w:val="0"/>
          <w:numId w:val="221"/>
        </w:numPr>
        <w:suppressAutoHyphens/>
        <w:spacing w:after="0" w:line="240" w:lineRule="auto"/>
        <w:jc w:val="both"/>
        <w:rPr>
          <w:rFonts w:ascii="Arial" w:hAnsi="Arial" w:cs="Arial"/>
          <w:szCs w:val="24"/>
        </w:rPr>
      </w:pPr>
      <w:r>
        <w:t xml:space="preserve">Réduire et gérer les risques et effets liés à l’utilisation des pesticides. </w:t>
      </w:r>
    </w:p>
    <w:p w14:paraId="75C3FE65" w14:textId="77777777" w:rsidR="00AD3FDC" w:rsidRPr="00AD3FDC" w:rsidRDefault="00AD3FDC" w:rsidP="00AD3FDC">
      <w:pPr>
        <w:pStyle w:val="Paragraphedeliste"/>
        <w:suppressAutoHyphens/>
        <w:spacing w:after="0" w:line="240" w:lineRule="auto"/>
        <w:ind w:left="777"/>
        <w:jc w:val="both"/>
        <w:rPr>
          <w:rFonts w:ascii="Arial" w:hAnsi="Arial" w:cs="Arial"/>
          <w:szCs w:val="24"/>
        </w:rPr>
      </w:pPr>
    </w:p>
    <w:p w14:paraId="7B03643F" w14:textId="77777777" w:rsidR="00AD3FDC" w:rsidRPr="00AD3FDC" w:rsidRDefault="00AD3FDC" w:rsidP="00687DD2">
      <w:pPr>
        <w:pStyle w:val="Paragraphedeliste"/>
        <w:numPr>
          <w:ilvl w:val="0"/>
          <w:numId w:val="12"/>
        </w:numPr>
        <w:spacing w:before="240" w:after="120"/>
        <w:rPr>
          <w:rFonts w:ascii="Arial" w:hAnsi="Arial" w:cs="Arial"/>
          <w:b/>
          <w:bCs/>
          <w:szCs w:val="24"/>
        </w:rPr>
      </w:pPr>
      <w:r w:rsidRPr="00AD3FDC">
        <w:rPr>
          <w:rFonts w:ascii="Arial" w:hAnsi="Arial" w:cs="Arial"/>
          <w:b/>
          <w:bCs/>
          <w:szCs w:val="24"/>
        </w:rPr>
        <w:t>Dispositions et exigences de la NES3</w:t>
      </w:r>
    </w:p>
    <w:p w14:paraId="4C29B2F5" w14:textId="77777777" w:rsidR="00AD3FDC" w:rsidRPr="00AD3FDC" w:rsidRDefault="00AD3FDC" w:rsidP="00AD3FDC">
      <w:pPr>
        <w:autoSpaceDE w:val="0"/>
        <w:autoSpaceDN w:val="0"/>
        <w:adjustRightInd w:val="0"/>
        <w:jc w:val="both"/>
        <w:rPr>
          <w:rFonts w:ascii="Arial" w:hAnsi="Arial" w:cs="Arial"/>
          <w:szCs w:val="24"/>
        </w:rPr>
      </w:pPr>
      <w:r w:rsidRPr="00AD3FDC">
        <w:rPr>
          <w:rFonts w:ascii="Arial" w:hAnsi="Arial" w:cs="Arial"/>
          <w:szCs w:val="24"/>
        </w:rPr>
        <w:t xml:space="preserve">Les obligations du projet sont d’identifier et de mettre en œuvre toutes les mesures réalisables pour assurer une consommation rationnelle des ressources, soit une consommation rationnelle de l’eau, des matières premières et des autres ressources. Pour tout projet qui consomme beaucoup d’eau, ou qui ait des effets néfastes potentiels sur la qualité de d’eau, il doit être adopté des mesures pour réduire ou pour atténuer ces effets néfastes. Si le projet utilise une grande quantité de matières premières, les matières premières doivent être utilisées de manière rationnelle, lorsque cela est techniquement et financièrement faisable. Pour ce faire, les solutions peuvent être la réduction des coûts de production et de la main d’œuvre, éliminer et réduire les quantités utilisées par le projet, choisir des matières premières les plus appropriées, diminuer la quantité de déchets et recycler certains déchets. </w:t>
      </w:r>
    </w:p>
    <w:p w14:paraId="76C33465" w14:textId="77777777" w:rsidR="00AD3FDC" w:rsidRPr="00AD3FDC" w:rsidRDefault="00AD3FDC" w:rsidP="00AD3FDC">
      <w:pPr>
        <w:autoSpaceDE w:val="0"/>
        <w:autoSpaceDN w:val="0"/>
        <w:adjustRightInd w:val="0"/>
        <w:jc w:val="both"/>
        <w:rPr>
          <w:rFonts w:ascii="Arial" w:hAnsi="Arial" w:cs="Arial"/>
          <w:szCs w:val="24"/>
        </w:rPr>
      </w:pPr>
      <w:r w:rsidRPr="00AD3FDC">
        <w:rPr>
          <w:rFonts w:ascii="Arial" w:hAnsi="Arial" w:cs="Arial"/>
          <w:szCs w:val="24"/>
        </w:rPr>
        <w:t>Concernant la prévention et gestion de pollutions, le projet doit éviter autant que possible de rejeter des polluants, ou lorsque cela ne peut pas être évité, il doit être limité et contrôler la concentration des rejets de déchets. Cette disposition s’applique au rejet de pollutions atmosphériques, des déchets dangereux et des déchets non dangereux, des produits chimiques et des substances dangereuses, ainsi que des pesticides. Lorsque des mesures de lutte contre les nuisibles doivent être appliqués au projet, on doit faire</w:t>
      </w:r>
      <w:r>
        <w:rPr>
          <w:rFonts w:ascii="Arial" w:hAnsi="Arial" w:cs="Arial"/>
          <w:szCs w:val="24"/>
        </w:rPr>
        <w:t xml:space="preserve"> </w:t>
      </w:r>
      <w:r w:rsidRPr="00AD3FDC">
        <w:rPr>
          <w:rFonts w:ascii="Arial" w:hAnsi="Arial" w:cs="Arial"/>
          <w:szCs w:val="24"/>
        </w:rPr>
        <w:t>recours de préférence aux approches de gestion intégrée des nuisibles.</w:t>
      </w:r>
    </w:p>
    <w:tbl>
      <w:tblPr>
        <w:tblW w:w="0" w:type="auto"/>
        <w:shd w:val="clear" w:color="auto" w:fill="B8CCE4"/>
        <w:tblLook w:val="04A0" w:firstRow="1" w:lastRow="0" w:firstColumn="1" w:lastColumn="0" w:noHBand="0" w:noVBand="1"/>
      </w:tblPr>
      <w:tblGrid>
        <w:gridCol w:w="9062"/>
      </w:tblGrid>
      <w:tr w:rsidR="00AD3FDC" w:rsidRPr="007F78CE" w14:paraId="6F5BE74E" w14:textId="77777777" w:rsidTr="04F999B5">
        <w:tc>
          <w:tcPr>
            <w:tcW w:w="9062" w:type="dxa"/>
            <w:shd w:val="clear" w:color="auto" w:fill="B8CCE4"/>
          </w:tcPr>
          <w:p w14:paraId="39BE0D43" w14:textId="77777777" w:rsidR="00AD3FDC" w:rsidRPr="007F78CE" w:rsidRDefault="00AD3FDC" w:rsidP="006F6154">
            <w:pPr>
              <w:spacing w:before="240" w:after="120"/>
              <w:rPr>
                <w:rFonts w:ascii="Arial" w:hAnsi="Arial" w:cs="Arial"/>
                <w:b/>
                <w:bCs/>
                <w:sz w:val="24"/>
                <w:szCs w:val="24"/>
              </w:rPr>
            </w:pPr>
            <w:r w:rsidRPr="007F78CE">
              <w:rPr>
                <w:rFonts w:ascii="Arial" w:hAnsi="Arial" w:cs="Arial"/>
                <w:b/>
                <w:bCs/>
                <w:sz w:val="24"/>
                <w:szCs w:val="24"/>
              </w:rPr>
              <w:t>Application de la NES3 par le Projet</w:t>
            </w:r>
          </w:p>
          <w:p w14:paraId="4B0FA5DF" w14:textId="77777777" w:rsidR="00CE4E21" w:rsidRDefault="5B5DFD6B" w:rsidP="00D51314">
            <w:pPr>
              <w:spacing w:before="100" w:after="100"/>
              <w:jc w:val="both"/>
              <w:rPr>
                <w:rFonts w:ascii="Arial" w:hAnsi="Arial" w:cs="Arial"/>
              </w:rPr>
            </w:pPr>
            <w:r w:rsidRPr="04F999B5">
              <w:rPr>
                <w:rFonts w:ascii="Arial" w:hAnsi="Arial" w:cs="Arial"/>
              </w:rPr>
              <w:t xml:space="preserve">La NES3 sur la gestion des pollutions s’appliquera au Projet tant concernant l’utilisation rationnelle des ressources que la prévention et de la gestion des pollutions. </w:t>
            </w:r>
            <w:r w:rsidR="05D95E5C" w:rsidRPr="04F999B5">
              <w:rPr>
                <w:rFonts w:ascii="Arial" w:hAnsi="Arial" w:cs="Arial"/>
              </w:rPr>
              <w:t>E</w:t>
            </w:r>
            <w:r w:rsidRPr="04F999B5">
              <w:rPr>
                <w:rFonts w:ascii="Arial" w:hAnsi="Arial" w:cs="Arial"/>
              </w:rPr>
              <w:t xml:space="preserve">tant donné que </w:t>
            </w:r>
            <w:r w:rsidR="05D95E5C" w:rsidRPr="04F999B5">
              <w:rPr>
                <w:rFonts w:ascii="Arial" w:hAnsi="Arial" w:cs="Arial"/>
              </w:rPr>
              <w:t>la construction</w:t>
            </w:r>
            <w:r w:rsidR="5D3A6547" w:rsidRPr="04F999B5">
              <w:rPr>
                <w:rFonts w:ascii="Arial" w:hAnsi="Arial" w:cs="Arial"/>
              </w:rPr>
              <w:t>,</w:t>
            </w:r>
            <w:r w:rsidR="05D95E5C" w:rsidRPr="04F999B5">
              <w:rPr>
                <w:rFonts w:ascii="Arial" w:hAnsi="Arial" w:cs="Arial"/>
              </w:rPr>
              <w:t xml:space="preserve"> la maintenance des centrales solaires pourrai</w:t>
            </w:r>
            <w:r w:rsidR="5D3A6547" w:rsidRPr="04F999B5">
              <w:rPr>
                <w:rFonts w:ascii="Arial" w:hAnsi="Arial" w:cs="Arial"/>
              </w:rPr>
              <w:t>en</w:t>
            </w:r>
            <w:r w:rsidR="05D95E5C" w:rsidRPr="04F999B5">
              <w:rPr>
                <w:rFonts w:ascii="Arial" w:hAnsi="Arial" w:cs="Arial"/>
              </w:rPr>
              <w:t>t</w:t>
            </w:r>
            <w:r w:rsidRPr="04F999B5">
              <w:rPr>
                <w:rFonts w:ascii="Arial" w:hAnsi="Arial" w:cs="Arial"/>
              </w:rPr>
              <w:t xml:space="preserve"> consommer beaucoup d’eau. </w:t>
            </w:r>
            <w:r w:rsidR="05D95E5C" w:rsidRPr="04F999B5">
              <w:rPr>
                <w:rFonts w:ascii="Arial" w:hAnsi="Arial" w:cs="Arial"/>
              </w:rPr>
              <w:t>De plus, la construction des divers</w:t>
            </w:r>
            <w:r w:rsidR="5D3A6547" w:rsidRPr="04F999B5">
              <w:rPr>
                <w:rFonts w:ascii="Arial" w:hAnsi="Arial" w:cs="Arial"/>
              </w:rPr>
              <w:t>es</w:t>
            </w:r>
            <w:r w:rsidR="05D95E5C" w:rsidRPr="04F999B5">
              <w:rPr>
                <w:rFonts w:ascii="Arial" w:hAnsi="Arial" w:cs="Arial"/>
              </w:rPr>
              <w:t xml:space="preserve"> infrastructures (centrale solaire, tou</w:t>
            </w:r>
            <w:r w:rsidR="5D3A6547" w:rsidRPr="04F999B5">
              <w:rPr>
                <w:rFonts w:ascii="Arial" w:hAnsi="Arial" w:cs="Arial"/>
              </w:rPr>
              <w:t>r</w:t>
            </w:r>
            <w:r w:rsidR="05D95E5C" w:rsidRPr="04F999B5">
              <w:rPr>
                <w:rFonts w:ascii="Arial" w:hAnsi="Arial" w:cs="Arial"/>
              </w:rPr>
              <w:t xml:space="preserve"> cellulaire)</w:t>
            </w:r>
            <w:r w:rsidRPr="04F999B5">
              <w:rPr>
                <w:rFonts w:ascii="Arial" w:hAnsi="Arial" w:cs="Arial"/>
              </w:rPr>
              <w:t>, pourrait engendrer des émissions de déchets importants, et pouvant affecter le milieu humain et le milieu environnemental.</w:t>
            </w:r>
            <w:r w:rsidR="00D51314">
              <w:rPr>
                <w:rFonts w:ascii="Arial" w:hAnsi="Arial" w:cs="Arial"/>
              </w:rPr>
              <w:t xml:space="preserve"> </w:t>
            </w:r>
          </w:p>
          <w:p w14:paraId="325B3062" w14:textId="77777777" w:rsidR="00C61824" w:rsidRPr="00742D67" w:rsidRDefault="00D51314" w:rsidP="00D51314">
            <w:pPr>
              <w:spacing w:before="100" w:after="100"/>
              <w:jc w:val="both"/>
              <w:rPr>
                <w:rFonts w:ascii="Arial" w:hAnsi="Arial" w:cs="Arial"/>
              </w:rPr>
            </w:pPr>
            <w:r w:rsidRPr="00742D67">
              <w:rPr>
                <w:rFonts w:ascii="Arial" w:hAnsi="Arial" w:cs="Arial"/>
              </w:rPr>
              <w:t>Sur ces faits</w:t>
            </w:r>
            <w:r w:rsidR="00201587">
              <w:rPr>
                <w:rFonts w:ascii="Arial" w:hAnsi="Arial" w:cs="Arial"/>
              </w:rPr>
              <w:t xml:space="preserve"> et selon les besoins</w:t>
            </w:r>
            <w:r w:rsidRPr="00742D67">
              <w:rPr>
                <w:rFonts w:ascii="Arial" w:hAnsi="Arial" w:cs="Arial"/>
              </w:rPr>
              <w:t>, le Projet élaborera divers Plan</w:t>
            </w:r>
            <w:r w:rsidR="000E2111" w:rsidRPr="00742D67">
              <w:rPr>
                <w:rFonts w:ascii="Arial" w:hAnsi="Arial" w:cs="Arial"/>
              </w:rPr>
              <w:t>s</w:t>
            </w:r>
            <w:r w:rsidRPr="00742D67">
              <w:rPr>
                <w:rFonts w:ascii="Arial" w:hAnsi="Arial" w:cs="Arial"/>
              </w:rPr>
              <w:t xml:space="preserve"> de gestion de déchets comme le Plan de Gestion des Déchets d’Equipement Electronique et Electrique (Plan de Gestion DEEE), Plan de Gestion des déchets dangereux et non dangereux</w:t>
            </w:r>
            <w:r w:rsidR="00201587">
              <w:rPr>
                <w:rFonts w:ascii="Arial" w:hAnsi="Arial" w:cs="Arial"/>
              </w:rPr>
              <w:t xml:space="preserve"> pour les sous-projets concernés</w:t>
            </w:r>
            <w:r w:rsidR="0025561B" w:rsidRPr="00742D67">
              <w:rPr>
                <w:rFonts w:ascii="Arial" w:hAnsi="Arial" w:cs="Arial"/>
              </w:rPr>
              <w:t>.</w:t>
            </w:r>
          </w:p>
        </w:tc>
      </w:tr>
    </w:tbl>
    <w:p w14:paraId="33C59505" w14:textId="77777777" w:rsidR="00353921" w:rsidRDefault="00353921" w:rsidP="00C61824">
      <w:pPr>
        <w:autoSpaceDE w:val="0"/>
        <w:autoSpaceDN w:val="0"/>
        <w:adjustRightInd w:val="0"/>
        <w:jc w:val="both"/>
        <w:rPr>
          <w:rFonts w:ascii="Arial" w:hAnsi="Arial" w:cs="Arial"/>
          <w:szCs w:val="24"/>
        </w:rPr>
      </w:pPr>
      <w:bookmarkStart w:id="672" w:name="_Toc98192318"/>
      <w:bookmarkStart w:id="673" w:name="_Toc95029775"/>
      <w:bookmarkStart w:id="674" w:name="_Toc100755436"/>
      <w:bookmarkStart w:id="675" w:name="_Toc110859951"/>
      <w:bookmarkStart w:id="676" w:name="_Toc121232621"/>
    </w:p>
    <w:p w14:paraId="3DF2BA0E" w14:textId="77777777" w:rsidR="00C61824" w:rsidRPr="00C61824" w:rsidRDefault="00353921" w:rsidP="00C61824">
      <w:pPr>
        <w:autoSpaceDE w:val="0"/>
        <w:autoSpaceDN w:val="0"/>
        <w:adjustRightInd w:val="0"/>
        <w:jc w:val="both"/>
        <w:rPr>
          <w:rFonts w:ascii="Arial" w:hAnsi="Arial" w:cs="Arial"/>
          <w:szCs w:val="24"/>
        </w:rPr>
      </w:pPr>
      <w:r>
        <w:rPr>
          <w:rFonts w:ascii="Arial" w:hAnsi="Arial" w:cs="Arial"/>
          <w:szCs w:val="24"/>
        </w:rPr>
        <w:br w:type="page"/>
      </w:r>
    </w:p>
    <w:p w14:paraId="23D891BD" w14:textId="77777777" w:rsidR="00AD3FDC" w:rsidRPr="00AD3FDC" w:rsidRDefault="00AD3FDC" w:rsidP="0044500E">
      <w:pPr>
        <w:pStyle w:val="TIT3"/>
        <w:numPr>
          <w:ilvl w:val="2"/>
          <w:numId w:val="177"/>
        </w:numPr>
      </w:pPr>
      <w:bookmarkStart w:id="677" w:name="_Toc124314713"/>
      <w:bookmarkStart w:id="678" w:name="_Toc124956194"/>
      <w:bookmarkStart w:id="679" w:name="_Toc125384592"/>
      <w:bookmarkStart w:id="680" w:name="_Toc125384981"/>
      <w:bookmarkStart w:id="681" w:name="_Toc127957653"/>
      <w:r w:rsidRPr="00AD3FDC">
        <w:t xml:space="preserve">NES4 : Sante et sécurité des </w:t>
      </w:r>
      <w:bookmarkEnd w:id="672"/>
      <w:bookmarkEnd w:id="673"/>
      <w:bookmarkEnd w:id="674"/>
      <w:bookmarkEnd w:id="675"/>
      <w:bookmarkEnd w:id="676"/>
      <w:bookmarkEnd w:id="677"/>
      <w:bookmarkEnd w:id="678"/>
      <w:bookmarkEnd w:id="679"/>
      <w:bookmarkEnd w:id="680"/>
      <w:r w:rsidR="00F20081">
        <w:t>populations</w:t>
      </w:r>
      <w:bookmarkEnd w:id="681"/>
    </w:p>
    <w:p w14:paraId="465BD3A8" w14:textId="77777777" w:rsidR="00AD3FDC" w:rsidRPr="00AD3FDC" w:rsidRDefault="00AD3FDC" w:rsidP="00687DD2">
      <w:pPr>
        <w:pStyle w:val="Paragraphedeliste"/>
        <w:numPr>
          <w:ilvl w:val="0"/>
          <w:numId w:val="12"/>
        </w:numPr>
        <w:spacing w:before="240" w:after="120"/>
        <w:rPr>
          <w:rFonts w:ascii="Arial" w:hAnsi="Arial" w:cs="Arial"/>
          <w:b/>
          <w:bCs/>
          <w:szCs w:val="24"/>
        </w:rPr>
      </w:pPr>
      <w:r w:rsidRPr="00AD3FDC">
        <w:rPr>
          <w:rFonts w:ascii="Arial" w:hAnsi="Arial" w:cs="Arial"/>
          <w:b/>
          <w:bCs/>
          <w:szCs w:val="24"/>
        </w:rPr>
        <w:t>Objectifs et principes de la NES4</w:t>
      </w:r>
    </w:p>
    <w:p w14:paraId="4BD39F42" w14:textId="77777777" w:rsidR="00AD3FDC" w:rsidRPr="00AD3FDC" w:rsidRDefault="00AD3FDC" w:rsidP="00AD3FDC">
      <w:pPr>
        <w:autoSpaceDE w:val="0"/>
        <w:autoSpaceDN w:val="0"/>
        <w:adjustRightInd w:val="0"/>
        <w:jc w:val="both"/>
        <w:rPr>
          <w:rFonts w:ascii="Arial" w:hAnsi="Arial" w:cs="Arial"/>
          <w:szCs w:val="24"/>
        </w:rPr>
      </w:pPr>
      <w:r w:rsidRPr="00AD3FDC">
        <w:rPr>
          <w:rFonts w:ascii="Arial" w:hAnsi="Arial" w:cs="Arial"/>
          <w:szCs w:val="24"/>
        </w:rPr>
        <w:t xml:space="preserve">La NES4 reconnaît que les activités, le matériel et les infrastructures du projet peuvent augmenter leur exposition aux risques et effets néfastes sur la santé et la sécurité des communautés. En outre, celles qui subissent déjà l’impact du changement climatique peuvent connaître une accélération ou une intensification de ceux-ci à cause du projet. </w:t>
      </w:r>
    </w:p>
    <w:p w14:paraId="10918EE8" w14:textId="77777777" w:rsidR="00AD3FDC" w:rsidRPr="00AD3FDC" w:rsidRDefault="00AD3FDC" w:rsidP="00AD3FDC">
      <w:pPr>
        <w:autoSpaceDE w:val="0"/>
        <w:autoSpaceDN w:val="0"/>
        <w:adjustRightInd w:val="0"/>
        <w:jc w:val="both"/>
        <w:rPr>
          <w:rFonts w:ascii="Arial" w:hAnsi="Arial" w:cs="Arial"/>
          <w:szCs w:val="24"/>
        </w:rPr>
      </w:pPr>
      <w:r w:rsidRPr="00AD3FDC">
        <w:rPr>
          <w:rFonts w:ascii="Arial" w:hAnsi="Arial" w:cs="Arial"/>
          <w:szCs w:val="24"/>
        </w:rPr>
        <w:t xml:space="preserve">A ce titre, les objectifs spécifiques de la NES4 sont de : </w:t>
      </w:r>
    </w:p>
    <w:p w14:paraId="3B240B49" w14:textId="77777777" w:rsidR="00AD3FDC" w:rsidRPr="00A03F3B" w:rsidRDefault="00AD3FDC" w:rsidP="00687DD2">
      <w:pPr>
        <w:pStyle w:val="Paragraphedeliste"/>
        <w:numPr>
          <w:ilvl w:val="0"/>
          <w:numId w:val="7"/>
        </w:numPr>
        <w:suppressAutoHyphens/>
        <w:spacing w:after="0" w:line="240" w:lineRule="auto"/>
        <w:ind w:left="777" w:hanging="357"/>
        <w:jc w:val="both"/>
        <w:rPr>
          <w:rFonts w:ascii="Arial" w:hAnsi="Arial" w:cs="Arial"/>
          <w:szCs w:val="24"/>
        </w:rPr>
      </w:pPr>
      <w:r w:rsidRPr="00A03F3B">
        <w:rPr>
          <w:rFonts w:ascii="Arial" w:hAnsi="Arial" w:cs="Arial"/>
          <w:szCs w:val="24"/>
        </w:rPr>
        <w:t>Anticiper ou éviter les impacts néfastes sur la santé et la sécurité des populations touchées par le projet, que ce soit en temps normal ou dans des circonstances exceptionnelles ;</w:t>
      </w:r>
    </w:p>
    <w:p w14:paraId="70D1C16A" w14:textId="77777777" w:rsidR="00AD3FDC" w:rsidRPr="00A03F3B" w:rsidRDefault="00AD3FDC" w:rsidP="00687DD2">
      <w:pPr>
        <w:pStyle w:val="Paragraphedeliste"/>
        <w:numPr>
          <w:ilvl w:val="0"/>
          <w:numId w:val="7"/>
        </w:numPr>
        <w:suppressAutoHyphens/>
        <w:spacing w:after="0" w:line="240" w:lineRule="auto"/>
        <w:ind w:left="777" w:hanging="357"/>
        <w:jc w:val="both"/>
        <w:rPr>
          <w:rFonts w:ascii="Arial" w:hAnsi="Arial" w:cs="Arial"/>
          <w:szCs w:val="24"/>
        </w:rPr>
      </w:pPr>
      <w:r w:rsidRPr="00A03F3B">
        <w:rPr>
          <w:rFonts w:ascii="Arial" w:hAnsi="Arial" w:cs="Arial"/>
          <w:szCs w:val="24"/>
        </w:rPr>
        <w:t>Encourager la prise en compte de considérations de qualité et de sécurité, et des questions de changement climatique dans la conception et la construction des infrastructures, y compris des barrages ;</w:t>
      </w:r>
    </w:p>
    <w:p w14:paraId="39F5EDCE" w14:textId="77777777" w:rsidR="00AD3FDC" w:rsidRPr="00A03F3B" w:rsidRDefault="00AD3FDC" w:rsidP="00687DD2">
      <w:pPr>
        <w:pStyle w:val="Paragraphedeliste"/>
        <w:numPr>
          <w:ilvl w:val="0"/>
          <w:numId w:val="7"/>
        </w:numPr>
        <w:suppressAutoHyphens/>
        <w:spacing w:after="0" w:line="240" w:lineRule="auto"/>
        <w:ind w:left="777" w:hanging="357"/>
        <w:jc w:val="both"/>
        <w:rPr>
          <w:rFonts w:ascii="Arial" w:hAnsi="Arial" w:cs="Arial"/>
          <w:szCs w:val="24"/>
        </w:rPr>
      </w:pPr>
      <w:r w:rsidRPr="00A03F3B">
        <w:rPr>
          <w:rFonts w:ascii="Arial" w:hAnsi="Arial" w:cs="Arial"/>
          <w:szCs w:val="24"/>
        </w:rPr>
        <w:t>Éviter ou minimiser l’exposition de la communauté aux risques liés à la circulation dans le cadre du projet et à la sécurité routière, aux maladies et aux matières dangereuses ;</w:t>
      </w:r>
    </w:p>
    <w:p w14:paraId="2AB0B9B3" w14:textId="77777777" w:rsidR="00AD3FDC" w:rsidRPr="00A03F3B" w:rsidRDefault="00AD3FDC" w:rsidP="00687DD2">
      <w:pPr>
        <w:pStyle w:val="Paragraphedeliste"/>
        <w:numPr>
          <w:ilvl w:val="0"/>
          <w:numId w:val="7"/>
        </w:numPr>
        <w:suppressAutoHyphens/>
        <w:spacing w:after="0" w:line="240" w:lineRule="auto"/>
        <w:ind w:left="777" w:hanging="357"/>
        <w:jc w:val="both"/>
        <w:rPr>
          <w:rFonts w:ascii="Arial" w:hAnsi="Arial" w:cs="Arial"/>
          <w:szCs w:val="24"/>
        </w:rPr>
      </w:pPr>
      <w:r w:rsidRPr="00A03F3B">
        <w:rPr>
          <w:rFonts w:ascii="Arial" w:hAnsi="Arial" w:cs="Arial"/>
          <w:szCs w:val="24"/>
        </w:rPr>
        <w:t>Mettre en place des mesures efficaces pour faire face aux situations d’urgence ;</w:t>
      </w:r>
    </w:p>
    <w:p w14:paraId="58D0D4E7" w14:textId="77777777" w:rsidR="00AD3FDC" w:rsidRDefault="00AD3FDC" w:rsidP="00687DD2">
      <w:pPr>
        <w:pStyle w:val="Paragraphedeliste"/>
        <w:numPr>
          <w:ilvl w:val="0"/>
          <w:numId w:val="7"/>
        </w:numPr>
        <w:suppressAutoHyphens/>
        <w:spacing w:after="0" w:line="240" w:lineRule="auto"/>
        <w:ind w:left="777" w:hanging="357"/>
        <w:jc w:val="both"/>
        <w:rPr>
          <w:rFonts w:ascii="Arial" w:hAnsi="Arial" w:cs="Arial"/>
          <w:szCs w:val="24"/>
        </w:rPr>
      </w:pPr>
      <w:r w:rsidRPr="00A03F3B">
        <w:rPr>
          <w:rFonts w:ascii="Arial" w:hAnsi="Arial" w:cs="Arial"/>
          <w:szCs w:val="24"/>
        </w:rPr>
        <w:t>Veiller à ce que la protection du personnel et des biens permette d’éviter ou de minimiser les risques pour les communautés touchées par le projet.</w:t>
      </w:r>
    </w:p>
    <w:p w14:paraId="5E8489B1" w14:textId="77777777" w:rsidR="00A03F3B" w:rsidRPr="00A03F3B" w:rsidRDefault="00A03F3B" w:rsidP="00A03F3B">
      <w:pPr>
        <w:suppressAutoHyphens/>
        <w:spacing w:after="0" w:line="240" w:lineRule="auto"/>
        <w:ind w:left="420"/>
        <w:jc w:val="both"/>
        <w:rPr>
          <w:rFonts w:ascii="Arial" w:hAnsi="Arial" w:cs="Arial"/>
          <w:szCs w:val="24"/>
        </w:rPr>
      </w:pPr>
    </w:p>
    <w:p w14:paraId="1DA33B19" w14:textId="77777777" w:rsidR="00AD3FDC" w:rsidRPr="00A03F3B" w:rsidRDefault="00AD3FDC" w:rsidP="00F01166">
      <w:pPr>
        <w:pStyle w:val="Paragraphedeliste"/>
        <w:numPr>
          <w:ilvl w:val="0"/>
          <w:numId w:val="12"/>
        </w:numPr>
        <w:spacing w:before="120" w:after="120"/>
        <w:rPr>
          <w:rFonts w:ascii="Arial" w:hAnsi="Arial" w:cs="Arial"/>
          <w:b/>
          <w:bCs/>
          <w:szCs w:val="24"/>
        </w:rPr>
      </w:pPr>
      <w:r w:rsidRPr="00A03F3B">
        <w:rPr>
          <w:rFonts w:ascii="Arial" w:hAnsi="Arial" w:cs="Arial"/>
          <w:b/>
          <w:bCs/>
          <w:szCs w:val="24"/>
        </w:rPr>
        <w:t>Dispositions et exigences de la NES4</w:t>
      </w:r>
    </w:p>
    <w:p w14:paraId="1A1EE1DC" w14:textId="77777777" w:rsidR="00AD3FDC" w:rsidRPr="00A03F3B" w:rsidRDefault="00AD3FDC" w:rsidP="00AD3FDC">
      <w:pPr>
        <w:rPr>
          <w:rFonts w:ascii="Arial" w:hAnsi="Arial" w:cs="Arial"/>
          <w:b/>
          <w:bCs/>
        </w:rPr>
      </w:pPr>
      <w:r w:rsidRPr="00A03F3B">
        <w:rPr>
          <w:rFonts w:ascii="Arial" w:hAnsi="Arial" w:cs="Arial"/>
          <w:b/>
          <w:bCs/>
        </w:rPr>
        <w:t>En matière de santé et sécurité des populations</w:t>
      </w:r>
    </w:p>
    <w:p w14:paraId="2DCB7C1B" w14:textId="77777777" w:rsidR="00AD3FDC" w:rsidRPr="00A03F3B" w:rsidRDefault="00AD3FDC" w:rsidP="00A03F3B">
      <w:pPr>
        <w:autoSpaceDE w:val="0"/>
        <w:autoSpaceDN w:val="0"/>
        <w:adjustRightInd w:val="0"/>
        <w:jc w:val="both"/>
        <w:rPr>
          <w:rFonts w:ascii="Arial" w:hAnsi="Arial" w:cs="Arial"/>
          <w:szCs w:val="24"/>
        </w:rPr>
      </w:pPr>
      <w:r w:rsidRPr="00A03F3B">
        <w:rPr>
          <w:rFonts w:ascii="Arial" w:hAnsi="Arial" w:cs="Arial"/>
          <w:szCs w:val="24"/>
        </w:rPr>
        <w:t xml:space="preserve">Les obligations du projet sont d’évaluer les risques et effets que la santé et la sécurité des populations touchées par le projet, et des personnes vulnérables, et de proposer des mesures d’atténuation. </w:t>
      </w:r>
    </w:p>
    <w:p w14:paraId="7264E0B6" w14:textId="77777777" w:rsidR="00AD3FDC" w:rsidRPr="00A03F3B" w:rsidRDefault="00AD3FDC" w:rsidP="00A03F3B">
      <w:pPr>
        <w:autoSpaceDE w:val="0"/>
        <w:autoSpaceDN w:val="0"/>
        <w:adjustRightInd w:val="0"/>
        <w:jc w:val="both"/>
        <w:rPr>
          <w:rFonts w:ascii="Arial" w:hAnsi="Arial" w:cs="Arial"/>
          <w:szCs w:val="24"/>
        </w:rPr>
      </w:pPr>
      <w:r w:rsidRPr="00A03F3B">
        <w:rPr>
          <w:rFonts w:ascii="Arial" w:hAnsi="Arial" w:cs="Arial"/>
          <w:szCs w:val="24"/>
        </w:rPr>
        <w:t>Lorsque le projet finance la conception et sécurité des infrastructures et des équipements, il doit être pris en compte des risques dus aux aléas naturels tels que l’inondation, le cyclone, et éventuellement l’incendie. Aussi des mesures doivent être prises pour tenir compte des considérations liées au changement climatique. Le projet doit également élaborer et mettre en œuvre des systèmes de gestion, pour anticiper, pour minimiser les risques et les effets, que ces services peuvent avoir sur la santé et la sécurité des populations concernées. Le projet doit identifier, évaluer, surveiller les risques liés à la circulation et à la sécurité routière que pourrait courir les travailleurs, les populations touchées et les usagers de la route, pendant le cycle du projet. Il doit être identifié les risques et les effets potentiels sur les services écosystémiques qui pourraient être exacerbés par le changement climatique. Ensuite, il faut éviter que les populations locales soient exposées aux maladies transmissibles ou non transmissibles pouvant résulter de l’activité du projet. Il sera œuvre de minimiser leur exposition à ces maladies, et tout particulièrement les groupes vulnérables. Le projet doit éviter que les populations soient exposées aux matières et aux substances dangereuses qui peuvent être émises par le projet, et minimiser cette exposition. Enfin, il doit être formulé et mis en œuvre des mesures permettant de faire face à des situations d’urgence.</w:t>
      </w:r>
    </w:p>
    <w:p w14:paraId="230D9C35" w14:textId="77777777" w:rsidR="00AD3FDC" w:rsidRPr="00A03F3B" w:rsidRDefault="00AD3FDC" w:rsidP="00AD3FDC">
      <w:pPr>
        <w:rPr>
          <w:rFonts w:ascii="Arial" w:hAnsi="Arial" w:cs="Arial"/>
          <w:b/>
          <w:bCs/>
        </w:rPr>
      </w:pPr>
      <w:r w:rsidRPr="00A03F3B">
        <w:rPr>
          <w:rFonts w:ascii="Arial" w:hAnsi="Arial" w:cs="Arial"/>
          <w:b/>
          <w:bCs/>
        </w:rPr>
        <w:t xml:space="preserve">En matière de personnel de sécurité </w:t>
      </w:r>
    </w:p>
    <w:p w14:paraId="5C2E5AEB" w14:textId="77777777" w:rsidR="00AD3FDC" w:rsidRPr="00A03F3B" w:rsidRDefault="00AD3FDC" w:rsidP="00A03F3B">
      <w:pPr>
        <w:autoSpaceDE w:val="0"/>
        <w:autoSpaceDN w:val="0"/>
        <w:adjustRightInd w:val="0"/>
        <w:jc w:val="both"/>
        <w:rPr>
          <w:rFonts w:ascii="Arial" w:hAnsi="Arial" w:cs="Arial"/>
          <w:szCs w:val="24"/>
        </w:rPr>
      </w:pPr>
      <w:r w:rsidRPr="00A03F3B">
        <w:rPr>
          <w:rFonts w:ascii="Arial" w:hAnsi="Arial" w:cs="Arial"/>
          <w:szCs w:val="24"/>
        </w:rPr>
        <w:t>Le Projet doit évaluer les risques posés par des dispositifs de sécurité par ceux qui travaillent à l’intérieur et à l’extérieur du site de projet, dans le cas où il doit être recruté des travailleurs directs ou contractuels, pour assurer la sécurité du personnel ou des biens du projet. L’évaluation se portera sur (i) les risques potentiels pour le personnel et les biens du projet, (ii) les réponses appropriées face aux risques identifiés en matière de sécurité, (iii) des effets potentiels d’un incident de sécurité du projet, et (iv) des mesures d’atténuation potentielles.</w:t>
      </w:r>
      <w:r w:rsidR="00286ACE">
        <w:rPr>
          <w:rFonts w:ascii="Arial" w:hAnsi="Arial" w:cs="Arial"/>
          <w:szCs w:val="24"/>
        </w:rPr>
        <w:t xml:space="preserve"> (Un plan de gestion de sécurité est présenté en annexe 13)</w:t>
      </w:r>
    </w:p>
    <w:p w14:paraId="7962D604" w14:textId="77777777" w:rsidR="00A03F3B" w:rsidRPr="00A03F3B" w:rsidRDefault="00A03F3B" w:rsidP="007F78CE">
      <w:pPr>
        <w:shd w:val="clear" w:color="auto" w:fill="C6D9F1"/>
        <w:spacing w:before="240" w:after="120"/>
        <w:rPr>
          <w:rFonts w:ascii="Arial" w:hAnsi="Arial" w:cs="Arial"/>
          <w:b/>
          <w:bCs/>
          <w:sz w:val="24"/>
          <w:szCs w:val="24"/>
        </w:rPr>
      </w:pPr>
      <w:r w:rsidRPr="00A03F3B">
        <w:rPr>
          <w:rFonts w:ascii="Arial" w:hAnsi="Arial" w:cs="Arial"/>
          <w:b/>
          <w:bCs/>
          <w:sz w:val="24"/>
          <w:szCs w:val="24"/>
        </w:rPr>
        <w:t>Application de la NES4 par le Projet</w:t>
      </w:r>
    </w:p>
    <w:p w14:paraId="5FB93FD4" w14:textId="77777777" w:rsidR="00A03F3B" w:rsidRPr="00A03F3B" w:rsidRDefault="00A03F3B" w:rsidP="007F78CE">
      <w:pPr>
        <w:shd w:val="clear" w:color="auto" w:fill="C6D9F1"/>
        <w:spacing w:before="120" w:after="120"/>
        <w:rPr>
          <w:rFonts w:ascii="Arial" w:hAnsi="Arial" w:cs="Arial"/>
        </w:rPr>
      </w:pPr>
      <w:r w:rsidRPr="00A03F3B">
        <w:rPr>
          <w:rFonts w:ascii="Arial" w:hAnsi="Arial" w:cs="Arial"/>
        </w:rPr>
        <w:t>La NES4 est pertinente pour le projet sur les raisons évoquées ci-après.</w:t>
      </w:r>
    </w:p>
    <w:p w14:paraId="60D282E7" w14:textId="77777777" w:rsidR="00A03F3B" w:rsidRPr="00A03F3B" w:rsidRDefault="00A03F3B" w:rsidP="007F78CE">
      <w:pPr>
        <w:shd w:val="clear" w:color="auto" w:fill="C6D9F1"/>
        <w:spacing w:before="120" w:after="120"/>
        <w:jc w:val="both"/>
        <w:rPr>
          <w:rFonts w:ascii="Arial" w:hAnsi="Arial" w:cs="Arial"/>
        </w:rPr>
      </w:pPr>
      <w:r w:rsidRPr="00A03F3B">
        <w:rPr>
          <w:rFonts w:ascii="Arial" w:hAnsi="Arial" w:cs="Arial"/>
        </w:rPr>
        <w:t>L’afflux de la main</w:t>
      </w:r>
      <w:r w:rsidR="00F20081">
        <w:rPr>
          <w:rFonts w:ascii="Arial" w:hAnsi="Arial" w:cs="Arial"/>
        </w:rPr>
        <w:t>-</w:t>
      </w:r>
      <w:r w:rsidRPr="00A03F3B">
        <w:rPr>
          <w:rFonts w:ascii="Arial" w:hAnsi="Arial" w:cs="Arial"/>
        </w:rPr>
        <w:t xml:space="preserve">d’œuvre temporaire et permanente favorise l’apparition des maladies transmissibles, auxquelles les populations locales peuvent être exposées. Par ailleurs, </w:t>
      </w:r>
      <w:r>
        <w:rPr>
          <w:rFonts w:ascii="Arial" w:hAnsi="Arial" w:cs="Arial"/>
        </w:rPr>
        <w:t>l</w:t>
      </w:r>
      <w:r w:rsidRPr="00A03F3B">
        <w:rPr>
          <w:rFonts w:ascii="Arial" w:hAnsi="Arial" w:cs="Arial"/>
        </w:rPr>
        <w:t>a pollution atmosphérique engendrée par la circulation fréquente des engins sur les pistes d’accès vers les sites est un facteur des maladies respiratoires chroniques.</w:t>
      </w:r>
    </w:p>
    <w:p w14:paraId="06F4BE6C" w14:textId="77777777" w:rsidR="00A03F3B" w:rsidRDefault="00A03F3B" w:rsidP="007F78CE">
      <w:pPr>
        <w:shd w:val="clear" w:color="auto" w:fill="C6D9F1"/>
        <w:spacing w:before="120" w:after="120"/>
        <w:jc w:val="both"/>
        <w:rPr>
          <w:rFonts w:ascii="Arial" w:hAnsi="Arial" w:cs="Arial"/>
        </w:rPr>
      </w:pPr>
      <w:r w:rsidRPr="00A03F3B">
        <w:rPr>
          <w:rFonts w:ascii="Arial" w:hAnsi="Arial" w:cs="Arial"/>
        </w:rPr>
        <w:t xml:space="preserve">Il est probable que le projet comporte des chantiers de construction des </w:t>
      </w:r>
      <w:r>
        <w:rPr>
          <w:rFonts w:ascii="Arial" w:hAnsi="Arial" w:cs="Arial"/>
        </w:rPr>
        <w:t>centrales photovoltaïques et des tours cellulaires</w:t>
      </w:r>
      <w:r w:rsidRPr="00A03F3B">
        <w:rPr>
          <w:rFonts w:ascii="Arial" w:hAnsi="Arial" w:cs="Arial"/>
        </w:rPr>
        <w:t xml:space="preserve">. Dans ce cas, des entreprises titulaires des travaux de construction, peuvent </w:t>
      </w:r>
      <w:r>
        <w:rPr>
          <w:rFonts w:ascii="Arial" w:hAnsi="Arial" w:cs="Arial"/>
        </w:rPr>
        <w:t>utiliser des matériels roulants pour le transport des différents matériaux et matériels nécessaires à la construction des infrastructures énergétiques et numériques. La circulation de ces engins peut engendrer des accidents de circulation dans les villages</w:t>
      </w:r>
      <w:r w:rsidR="00286ACE">
        <w:rPr>
          <w:rFonts w:ascii="Arial" w:hAnsi="Arial" w:cs="Arial"/>
        </w:rPr>
        <w:t xml:space="preserve"> (cf annexe 14)</w:t>
      </w:r>
      <w:r>
        <w:rPr>
          <w:rFonts w:ascii="Arial" w:hAnsi="Arial" w:cs="Arial"/>
        </w:rPr>
        <w:t>.</w:t>
      </w:r>
      <w:r w:rsidR="00C201EF">
        <w:rPr>
          <w:rFonts w:ascii="Arial" w:hAnsi="Arial" w:cs="Arial"/>
        </w:rPr>
        <w:t xml:space="preserve"> En outre la construction des barrages présente aussi un réel danger pour la population locale en cas de ruptures.</w:t>
      </w:r>
    </w:p>
    <w:p w14:paraId="7639FB4A" w14:textId="77777777" w:rsidR="006430C5" w:rsidRDefault="00C201EF" w:rsidP="00F01166">
      <w:pPr>
        <w:shd w:val="clear" w:color="auto" w:fill="C6D9F1"/>
        <w:spacing w:before="120" w:after="120"/>
        <w:jc w:val="both"/>
      </w:pPr>
      <w:r w:rsidRPr="00742D67">
        <w:rPr>
          <w:rFonts w:ascii="Arial" w:hAnsi="Arial" w:cs="Arial"/>
        </w:rPr>
        <w:t xml:space="preserve">Afin </w:t>
      </w:r>
      <w:r w:rsidR="00201587">
        <w:rPr>
          <w:rFonts w:ascii="Arial" w:hAnsi="Arial" w:cs="Arial"/>
        </w:rPr>
        <w:t>de gérer</w:t>
      </w:r>
      <w:r w:rsidRPr="00742D67">
        <w:rPr>
          <w:rFonts w:ascii="Arial" w:hAnsi="Arial" w:cs="Arial"/>
        </w:rPr>
        <w:t xml:space="preserve"> tous les dangers et risques sur la Santé et sécurité des populations, le Projet élaborera un Manuel de Gestion des Barrages. Il est aussi demandé au projet un Plan d’Intervention d’Urgence</w:t>
      </w:r>
      <w:r w:rsidR="00286ACE">
        <w:rPr>
          <w:rFonts w:ascii="Arial" w:hAnsi="Arial" w:cs="Arial"/>
        </w:rPr>
        <w:t xml:space="preserve"> (Cf Annexe 12)</w:t>
      </w:r>
      <w:r w:rsidRPr="0025561B">
        <w:rPr>
          <w:rFonts w:ascii="Arial" w:hAnsi="Arial" w:cs="Arial"/>
          <w:color w:val="FF0000"/>
        </w:rPr>
        <w:t xml:space="preserve">. </w:t>
      </w:r>
    </w:p>
    <w:p w14:paraId="296A3FB8" w14:textId="77777777" w:rsidR="00C61824" w:rsidRPr="00C61824" w:rsidRDefault="00C61824" w:rsidP="0044500E">
      <w:pPr>
        <w:pStyle w:val="TIT3"/>
        <w:numPr>
          <w:ilvl w:val="2"/>
          <w:numId w:val="177"/>
        </w:numPr>
      </w:pPr>
      <w:bookmarkStart w:id="682" w:name="_Toc98192319"/>
      <w:bookmarkStart w:id="683" w:name="_Toc95029776"/>
      <w:bookmarkStart w:id="684" w:name="_Toc100755437"/>
      <w:bookmarkStart w:id="685" w:name="_Toc110859952"/>
      <w:bookmarkStart w:id="686" w:name="_Toc121232622"/>
      <w:bookmarkStart w:id="687" w:name="_Toc124314714"/>
      <w:bookmarkStart w:id="688" w:name="_Toc124956195"/>
      <w:bookmarkStart w:id="689" w:name="_Toc125384593"/>
      <w:bookmarkStart w:id="690" w:name="_Toc125384982"/>
      <w:bookmarkStart w:id="691" w:name="_Toc127957654"/>
      <w:r w:rsidRPr="00C61824">
        <w:t xml:space="preserve">NES5 : Acquisition de terres, restrictions </w:t>
      </w:r>
      <w:r w:rsidR="00602401">
        <w:t>à</w:t>
      </w:r>
      <w:r w:rsidRPr="00C61824">
        <w:t xml:space="preserve"> l’utilisation de terres et réinstallation involontaire</w:t>
      </w:r>
      <w:bookmarkEnd w:id="682"/>
      <w:bookmarkEnd w:id="683"/>
      <w:bookmarkEnd w:id="684"/>
      <w:bookmarkEnd w:id="685"/>
      <w:bookmarkEnd w:id="686"/>
      <w:bookmarkEnd w:id="687"/>
      <w:bookmarkEnd w:id="688"/>
      <w:bookmarkEnd w:id="689"/>
      <w:bookmarkEnd w:id="690"/>
      <w:bookmarkEnd w:id="691"/>
    </w:p>
    <w:p w14:paraId="6C1B36CE" w14:textId="77777777" w:rsidR="00C61824" w:rsidRPr="00C61824" w:rsidRDefault="00C61824" w:rsidP="00687DD2">
      <w:pPr>
        <w:pStyle w:val="Paragraphedeliste"/>
        <w:numPr>
          <w:ilvl w:val="0"/>
          <w:numId w:val="12"/>
        </w:numPr>
        <w:spacing w:before="240" w:after="120"/>
        <w:rPr>
          <w:rFonts w:ascii="Arial" w:hAnsi="Arial" w:cs="Arial"/>
          <w:b/>
          <w:bCs/>
          <w:szCs w:val="24"/>
        </w:rPr>
      </w:pPr>
      <w:r w:rsidRPr="00C61824">
        <w:rPr>
          <w:rFonts w:ascii="Arial" w:hAnsi="Arial" w:cs="Arial"/>
          <w:b/>
          <w:bCs/>
          <w:szCs w:val="24"/>
        </w:rPr>
        <w:t>Objectifs et principes de la NES5</w:t>
      </w:r>
    </w:p>
    <w:p w14:paraId="6B12692E" w14:textId="77777777" w:rsidR="00C61824" w:rsidRPr="00C61824" w:rsidRDefault="00C61824" w:rsidP="00C61824">
      <w:pPr>
        <w:autoSpaceDE w:val="0"/>
        <w:autoSpaceDN w:val="0"/>
        <w:adjustRightInd w:val="0"/>
        <w:jc w:val="both"/>
        <w:rPr>
          <w:rFonts w:ascii="Arial" w:hAnsi="Arial" w:cs="Arial"/>
          <w:szCs w:val="24"/>
        </w:rPr>
      </w:pPr>
      <w:r w:rsidRPr="00C61824">
        <w:rPr>
          <w:rFonts w:ascii="Arial" w:hAnsi="Arial" w:cs="Arial"/>
          <w:szCs w:val="24"/>
        </w:rPr>
        <w:t>La NES5 reconnaît que l’acquisition de terres et les restrictions quant à leur utilisation par des projets peuvent avoir des impacts négatifs sur les personnes et les communautés. L’acquisition de terres liée au projet ou les restrictions quant à leur utilisation peuvent entraîner une perte de terres de culture et un déplacement économique (perte d’actifs ou d’accès à des actifs entraînant une perte de source de revenus ou de moyens d’existence), ou les deux. L’expression « réinstallation involontaire » se rapporte à ces impacts. La réinstallation est considérée comme involontaire lorsque les personnes ou les communautés affectées n’ont pas le droit de refuser l’acquisition de leurs terres, ou les restrictions à l’utilisation de leurs terres, qui résultent en un déplacement.</w:t>
      </w:r>
    </w:p>
    <w:p w14:paraId="3C59FCBA" w14:textId="77777777" w:rsidR="00C61824" w:rsidRPr="00C61824" w:rsidRDefault="00C61824" w:rsidP="00C61824">
      <w:pPr>
        <w:autoSpaceDE w:val="0"/>
        <w:autoSpaceDN w:val="0"/>
        <w:adjustRightInd w:val="0"/>
        <w:jc w:val="both"/>
        <w:rPr>
          <w:rFonts w:ascii="Arial" w:hAnsi="Arial" w:cs="Arial"/>
          <w:szCs w:val="24"/>
        </w:rPr>
      </w:pPr>
      <w:r w:rsidRPr="00C61824">
        <w:rPr>
          <w:rFonts w:ascii="Arial" w:hAnsi="Arial" w:cs="Arial"/>
          <w:szCs w:val="24"/>
        </w:rPr>
        <w:t xml:space="preserve">Les objectifs de la NES5 s’énoncent comme suit : </w:t>
      </w:r>
    </w:p>
    <w:p w14:paraId="63413E84" w14:textId="77777777" w:rsidR="00C61824" w:rsidRPr="00C61824" w:rsidRDefault="00C61824" w:rsidP="0044500E">
      <w:pPr>
        <w:pStyle w:val="Paragraphedeliste"/>
        <w:numPr>
          <w:ilvl w:val="0"/>
          <w:numId w:val="222"/>
        </w:numPr>
        <w:suppressAutoHyphens/>
        <w:spacing w:after="0" w:line="240" w:lineRule="auto"/>
        <w:jc w:val="both"/>
        <w:rPr>
          <w:rFonts w:ascii="Arial" w:hAnsi="Arial" w:cs="Arial"/>
          <w:szCs w:val="24"/>
        </w:rPr>
      </w:pPr>
      <w:r w:rsidRPr="00C61824">
        <w:rPr>
          <w:rFonts w:ascii="Arial" w:hAnsi="Arial" w:cs="Arial"/>
          <w:szCs w:val="24"/>
        </w:rPr>
        <w:t>Éviter, et chaque fois que cela est impossible, minimiser la réinstallation involontaire en envisageant des conceptions alternatives du projet ;</w:t>
      </w:r>
    </w:p>
    <w:p w14:paraId="59082AB7" w14:textId="77777777" w:rsidR="00C61824" w:rsidRPr="00C61824" w:rsidRDefault="00C61824" w:rsidP="0044500E">
      <w:pPr>
        <w:pStyle w:val="Paragraphedeliste"/>
        <w:numPr>
          <w:ilvl w:val="0"/>
          <w:numId w:val="222"/>
        </w:numPr>
        <w:suppressAutoHyphens/>
        <w:spacing w:after="0" w:line="240" w:lineRule="auto"/>
        <w:jc w:val="both"/>
        <w:rPr>
          <w:rFonts w:ascii="Arial" w:hAnsi="Arial" w:cs="Arial"/>
          <w:szCs w:val="24"/>
        </w:rPr>
      </w:pPr>
      <w:r w:rsidRPr="00C61824">
        <w:rPr>
          <w:rFonts w:ascii="Arial" w:hAnsi="Arial" w:cs="Arial"/>
          <w:szCs w:val="24"/>
        </w:rPr>
        <w:t>Éviter le déguerpissement ;</w:t>
      </w:r>
    </w:p>
    <w:p w14:paraId="295B8360" w14:textId="77777777" w:rsidR="00C61824" w:rsidRPr="00C61824" w:rsidRDefault="00C61824" w:rsidP="0044500E">
      <w:pPr>
        <w:pStyle w:val="Paragraphedeliste"/>
        <w:numPr>
          <w:ilvl w:val="0"/>
          <w:numId w:val="222"/>
        </w:numPr>
        <w:suppressAutoHyphens/>
        <w:spacing w:after="0" w:line="240" w:lineRule="auto"/>
        <w:jc w:val="both"/>
        <w:rPr>
          <w:rFonts w:ascii="Arial" w:hAnsi="Arial" w:cs="Arial"/>
          <w:szCs w:val="24"/>
        </w:rPr>
      </w:pPr>
      <w:r w:rsidRPr="00C61824">
        <w:rPr>
          <w:rFonts w:ascii="Arial" w:hAnsi="Arial" w:cs="Arial"/>
          <w:szCs w:val="24"/>
        </w:rPr>
        <w:t>Atténuer les impacts sociaux et économiques négatifs inévitables résultant de l’acquisition de terres ou de restrictions de leur utilisation en : (</w:t>
      </w:r>
      <w:r w:rsidR="00F20081">
        <w:rPr>
          <w:rFonts w:ascii="Arial" w:hAnsi="Arial" w:cs="Arial"/>
          <w:szCs w:val="24"/>
        </w:rPr>
        <w:t>a</w:t>
      </w:r>
      <w:r w:rsidRPr="00C61824">
        <w:rPr>
          <w:rFonts w:ascii="Arial" w:hAnsi="Arial" w:cs="Arial"/>
          <w:szCs w:val="24"/>
        </w:rPr>
        <w:t>) fournissant une indemnisation rapide pour la perte d’actifs au prix de remplacement et (b) en aidant les personnes déplacées dans leurs efforts visant à améliorer, ou au moins à restaurer, leurs moyens de subsistance et leurs modes de vie, en termes réels, à des niveaux équival</w:t>
      </w:r>
      <w:r w:rsidR="00E435AC">
        <w:rPr>
          <w:rFonts w:ascii="Arial" w:hAnsi="Arial" w:cs="Arial"/>
          <w:szCs w:val="24"/>
        </w:rPr>
        <w:t>a</w:t>
      </w:r>
      <w:r w:rsidRPr="00C61824">
        <w:rPr>
          <w:rFonts w:ascii="Arial" w:hAnsi="Arial" w:cs="Arial"/>
          <w:szCs w:val="24"/>
        </w:rPr>
        <w:t>nt à ceux qui existaient avant le déplacement ou avant la mise en œuvre du projet, en considérant l’option la plus avantageuse ;</w:t>
      </w:r>
    </w:p>
    <w:p w14:paraId="36CBCBFF" w14:textId="77777777" w:rsidR="00C61824" w:rsidRPr="00C61824" w:rsidRDefault="00C61824" w:rsidP="0044500E">
      <w:pPr>
        <w:pStyle w:val="Paragraphedeliste"/>
        <w:numPr>
          <w:ilvl w:val="0"/>
          <w:numId w:val="222"/>
        </w:numPr>
        <w:suppressAutoHyphens/>
        <w:spacing w:after="0" w:line="240" w:lineRule="auto"/>
        <w:jc w:val="both"/>
        <w:rPr>
          <w:rFonts w:ascii="Arial" w:hAnsi="Arial" w:cs="Arial"/>
          <w:szCs w:val="24"/>
        </w:rPr>
      </w:pPr>
      <w:r w:rsidRPr="00C61824">
        <w:rPr>
          <w:rFonts w:ascii="Arial" w:hAnsi="Arial" w:cs="Arial"/>
          <w:szCs w:val="24"/>
        </w:rPr>
        <w:t xml:space="preserve">Améliorer les conditions de vie des personnes pauvres ou vulnérables qui sont physiquement déplacées par la fourniture de logements adéquats, l’accès aux services et aux installations, et la sécurité d’occupation ; </w:t>
      </w:r>
    </w:p>
    <w:p w14:paraId="435DD279" w14:textId="77777777" w:rsidR="00C61824" w:rsidRPr="00C61824" w:rsidRDefault="00C61824" w:rsidP="0044500E">
      <w:pPr>
        <w:pStyle w:val="Paragraphedeliste"/>
        <w:numPr>
          <w:ilvl w:val="0"/>
          <w:numId w:val="222"/>
        </w:numPr>
        <w:suppressAutoHyphens/>
        <w:spacing w:after="0" w:line="240" w:lineRule="auto"/>
        <w:jc w:val="both"/>
        <w:rPr>
          <w:rFonts w:ascii="Arial" w:hAnsi="Arial" w:cs="Arial"/>
          <w:szCs w:val="24"/>
        </w:rPr>
      </w:pPr>
      <w:r w:rsidRPr="00C61824">
        <w:rPr>
          <w:rFonts w:ascii="Arial" w:hAnsi="Arial" w:cs="Arial"/>
          <w:szCs w:val="24"/>
        </w:rPr>
        <w:t>Concevoir et mettre en place les activités de réinstallation comme des programmes de développement durable, en fournissant des ressources d’investissement suffisantes permettant aux personnes déplacées de bénéficier directement du projet, comme la nature du projet peut le justifier ;</w:t>
      </w:r>
    </w:p>
    <w:p w14:paraId="016047D3" w14:textId="77777777" w:rsidR="00C61824" w:rsidRDefault="00C61824" w:rsidP="0044500E">
      <w:pPr>
        <w:pStyle w:val="Paragraphedeliste"/>
        <w:numPr>
          <w:ilvl w:val="0"/>
          <w:numId w:val="222"/>
        </w:numPr>
        <w:suppressAutoHyphens/>
        <w:spacing w:after="0" w:line="240" w:lineRule="auto"/>
        <w:jc w:val="both"/>
        <w:rPr>
          <w:rFonts w:ascii="Arial" w:hAnsi="Arial" w:cs="Arial"/>
          <w:szCs w:val="24"/>
        </w:rPr>
      </w:pPr>
      <w:r w:rsidRPr="00C61824">
        <w:rPr>
          <w:rFonts w:ascii="Arial" w:hAnsi="Arial" w:cs="Arial"/>
          <w:szCs w:val="24"/>
        </w:rPr>
        <w:t>Veiller à ce que les activités de réinstallation soient planifiées et mises en œuvre avec une communication appropriée des informations, une consultation significative et une participation éclairée des personnes affectées.</w:t>
      </w:r>
    </w:p>
    <w:p w14:paraId="65B0114A" w14:textId="77777777" w:rsidR="00C61824" w:rsidRPr="00C61824" w:rsidRDefault="00C61824" w:rsidP="00F01166">
      <w:pPr>
        <w:suppressAutoHyphens/>
        <w:spacing w:after="0" w:line="240" w:lineRule="auto"/>
        <w:jc w:val="both"/>
        <w:rPr>
          <w:rFonts w:ascii="Arial" w:hAnsi="Arial" w:cs="Arial"/>
          <w:szCs w:val="24"/>
        </w:rPr>
      </w:pPr>
    </w:p>
    <w:p w14:paraId="2E942119" w14:textId="77777777" w:rsidR="00C61824" w:rsidRPr="00C61824" w:rsidRDefault="00C61824" w:rsidP="00F01166">
      <w:pPr>
        <w:pStyle w:val="Paragraphedeliste"/>
        <w:numPr>
          <w:ilvl w:val="0"/>
          <w:numId w:val="12"/>
        </w:numPr>
        <w:spacing w:before="120" w:after="120"/>
        <w:rPr>
          <w:rFonts w:ascii="Arial" w:hAnsi="Arial" w:cs="Arial"/>
          <w:b/>
          <w:bCs/>
          <w:szCs w:val="24"/>
        </w:rPr>
      </w:pPr>
      <w:r w:rsidRPr="00C61824">
        <w:rPr>
          <w:rFonts w:ascii="Arial" w:hAnsi="Arial" w:cs="Arial"/>
          <w:b/>
          <w:bCs/>
          <w:szCs w:val="24"/>
        </w:rPr>
        <w:t>Dispositions et exigences de la NES5</w:t>
      </w:r>
    </w:p>
    <w:p w14:paraId="03C67987" w14:textId="77777777" w:rsidR="00C61824" w:rsidRDefault="00C61824" w:rsidP="00C61824">
      <w:pPr>
        <w:autoSpaceDE w:val="0"/>
        <w:autoSpaceDN w:val="0"/>
        <w:adjustRightInd w:val="0"/>
        <w:jc w:val="both"/>
        <w:rPr>
          <w:rFonts w:ascii="Arial" w:hAnsi="Arial" w:cs="Arial"/>
          <w:szCs w:val="24"/>
        </w:rPr>
      </w:pPr>
      <w:r w:rsidRPr="00C61824">
        <w:rPr>
          <w:rFonts w:ascii="Arial" w:hAnsi="Arial" w:cs="Arial"/>
          <w:szCs w:val="24"/>
        </w:rPr>
        <w:t xml:space="preserve">Le projet démontrera que l’acquisition </w:t>
      </w:r>
      <w:r w:rsidR="00E565B6" w:rsidRPr="00742D67">
        <w:rPr>
          <w:rFonts w:ascii="Arial" w:hAnsi="Arial" w:cs="Arial"/>
          <w:szCs w:val="24"/>
        </w:rPr>
        <w:t>involontaire</w:t>
      </w:r>
      <w:r w:rsidRPr="00327DB6">
        <w:rPr>
          <w:rFonts w:ascii="Arial" w:hAnsi="Arial" w:cs="Arial"/>
          <w:szCs w:val="24"/>
        </w:rPr>
        <w:t xml:space="preserve"> de terres ou les restrictions à leur utilisation se limitent aux besoins directs du projet</w:t>
      </w:r>
      <w:r w:rsidRPr="00C61824">
        <w:rPr>
          <w:rFonts w:ascii="Arial" w:hAnsi="Arial" w:cs="Arial"/>
          <w:szCs w:val="24"/>
        </w:rPr>
        <w:t xml:space="preserve"> et à des objectifs clairement définis dans un délai clairement déterminé. Le projet étudiera des variantes de conception du projet afin d’éviter ou de minimiser l’acquisition de terres et les restrictions à l’utilisation. Lorsque l’acquisition de terres ou les restrictions à leur utilisation (qu’elles soient temporaires ou permanentes) ne peuvent être évitées, le projet offrira aux personnes touchées une indemnisation au coût de remplacement, ainsi que d’autres aides nécessaires pour leur permettre d’améliorer ou, au moins, de rétablir leurs niveaux de vie ou moyens de subsistance. Les normes d’indemnisation par catégorie de terres et d’immobilisations seront publiées et appliquées de manière systématique. Les taux d’indemnisation peuvent faire l’objet d’un ajustement à la hausse. Les communautés touchées par le projet doivent être consultées, y compris les communautés d’accueil en cas de déplacement physique.</w:t>
      </w:r>
    </w:p>
    <w:tbl>
      <w:tblPr>
        <w:tblW w:w="0" w:type="auto"/>
        <w:shd w:val="clear" w:color="auto" w:fill="B8CCE4"/>
        <w:tblLook w:val="04A0" w:firstRow="1" w:lastRow="0" w:firstColumn="1" w:lastColumn="0" w:noHBand="0" w:noVBand="1"/>
      </w:tblPr>
      <w:tblGrid>
        <w:gridCol w:w="9062"/>
      </w:tblGrid>
      <w:tr w:rsidR="00C61824" w:rsidRPr="007F78CE" w14:paraId="1F2D8F44" w14:textId="77777777" w:rsidTr="0A1598FD">
        <w:tc>
          <w:tcPr>
            <w:tcW w:w="9062" w:type="dxa"/>
            <w:shd w:val="clear" w:color="auto" w:fill="B8CCE4"/>
          </w:tcPr>
          <w:p w14:paraId="7030E16B" w14:textId="77777777" w:rsidR="00C61824" w:rsidRPr="007F78CE" w:rsidRDefault="00C61824" w:rsidP="006F6154">
            <w:pPr>
              <w:spacing w:before="240" w:after="120"/>
              <w:rPr>
                <w:rFonts w:ascii="Arial" w:hAnsi="Arial" w:cs="Arial"/>
                <w:b/>
                <w:bCs/>
                <w:sz w:val="24"/>
                <w:szCs w:val="24"/>
              </w:rPr>
            </w:pPr>
            <w:r w:rsidRPr="007F78CE">
              <w:rPr>
                <w:rFonts w:ascii="Arial" w:hAnsi="Arial" w:cs="Arial"/>
                <w:b/>
                <w:bCs/>
                <w:sz w:val="24"/>
                <w:szCs w:val="24"/>
              </w:rPr>
              <w:t>Application de la NES5 par le Projet</w:t>
            </w:r>
          </w:p>
          <w:p w14:paraId="1E44BA9D" w14:textId="77777777" w:rsidR="00C61824" w:rsidRDefault="00C61824" w:rsidP="00C61824">
            <w:pPr>
              <w:spacing w:before="120" w:after="120"/>
              <w:jc w:val="both"/>
              <w:rPr>
                <w:rFonts w:ascii="Arial" w:hAnsi="Arial" w:cs="Arial"/>
              </w:rPr>
            </w:pPr>
            <w:r w:rsidRPr="48B05EC0">
              <w:rPr>
                <w:rFonts w:ascii="Arial" w:hAnsi="Arial" w:cs="Arial"/>
              </w:rPr>
              <w:t>La NES5 s’appliquera au projet, dans la mesure où les travaux de construction de centrale solaire</w:t>
            </w:r>
            <w:r w:rsidR="00011713" w:rsidRPr="48B05EC0">
              <w:rPr>
                <w:rFonts w:ascii="Arial" w:hAnsi="Arial" w:cs="Arial"/>
              </w:rPr>
              <w:t>, des barrages hydroélectriques</w:t>
            </w:r>
            <w:r w:rsidRPr="48B05EC0">
              <w:rPr>
                <w:rFonts w:ascii="Arial" w:hAnsi="Arial" w:cs="Arial"/>
              </w:rPr>
              <w:t xml:space="preserve"> et de tours cellulaires pourraient engendrer des déplacements </w:t>
            </w:r>
            <w:r w:rsidR="004C2CB7" w:rsidRPr="48B05EC0">
              <w:rPr>
                <w:rFonts w:ascii="Arial" w:hAnsi="Arial" w:cs="Arial"/>
              </w:rPr>
              <w:t xml:space="preserve">des </w:t>
            </w:r>
            <w:r w:rsidR="2EED0F47" w:rsidRPr="48B05EC0">
              <w:rPr>
                <w:rFonts w:ascii="Arial" w:hAnsi="Arial" w:cs="Arial"/>
              </w:rPr>
              <w:t>personnes</w:t>
            </w:r>
            <w:r w:rsidR="004C2CB7" w:rsidRPr="48B05EC0">
              <w:rPr>
                <w:rFonts w:ascii="Arial" w:hAnsi="Arial" w:cs="Arial"/>
              </w:rPr>
              <w:t xml:space="preserve"> </w:t>
            </w:r>
            <w:r w:rsidRPr="48B05EC0">
              <w:rPr>
                <w:rFonts w:ascii="Arial" w:hAnsi="Arial" w:cs="Arial"/>
              </w:rPr>
              <w:t>et des dérangements de</w:t>
            </w:r>
            <w:r w:rsidR="004C2CB7" w:rsidRPr="48B05EC0">
              <w:rPr>
                <w:rFonts w:ascii="Arial" w:hAnsi="Arial" w:cs="Arial"/>
              </w:rPr>
              <w:t xml:space="preserve"> leur</w:t>
            </w:r>
            <w:r w:rsidRPr="48B05EC0">
              <w:rPr>
                <w:rFonts w:ascii="Arial" w:hAnsi="Arial" w:cs="Arial"/>
              </w:rPr>
              <w:t xml:space="preserve">s activités économiques et des moyens de subsistance. </w:t>
            </w:r>
          </w:p>
          <w:p w14:paraId="4DB7CC83" w14:textId="77777777" w:rsidR="00011713" w:rsidRPr="007F78CE" w:rsidRDefault="00D13A96" w:rsidP="00C61824">
            <w:pPr>
              <w:spacing w:before="120" w:after="120"/>
              <w:jc w:val="both"/>
              <w:rPr>
                <w:rFonts w:ascii="Arial" w:hAnsi="Arial" w:cs="Arial"/>
              </w:rPr>
            </w:pPr>
            <w:r w:rsidRPr="0A1598FD">
              <w:rPr>
                <w:rFonts w:ascii="Arial" w:hAnsi="Arial" w:cs="Arial"/>
              </w:rPr>
              <w:t xml:space="preserve">Parallèlement au présent document, un Cadre de Réinstallation (CR) a été préparé qui servira de guide </w:t>
            </w:r>
            <w:r w:rsidR="2505DFDA" w:rsidRPr="0A1598FD">
              <w:rPr>
                <w:rFonts w:ascii="Arial" w:hAnsi="Arial" w:cs="Arial"/>
              </w:rPr>
              <w:t>pour</w:t>
            </w:r>
            <w:r w:rsidR="4E3C0366" w:rsidRPr="0A1598FD">
              <w:rPr>
                <w:rFonts w:ascii="Arial" w:hAnsi="Arial" w:cs="Arial"/>
              </w:rPr>
              <w:t xml:space="preserve"> la préparation des Plans de Réinstallation (PR) au moment de la mise en œuvre du Projet. </w:t>
            </w:r>
            <w:r w:rsidR="00011713" w:rsidRPr="0A1598FD">
              <w:rPr>
                <w:rFonts w:ascii="Arial" w:hAnsi="Arial" w:cs="Arial"/>
              </w:rPr>
              <w:t xml:space="preserve"> </w:t>
            </w:r>
          </w:p>
        </w:tc>
      </w:tr>
    </w:tbl>
    <w:p w14:paraId="31DDD6BB" w14:textId="77777777" w:rsidR="00353921" w:rsidRDefault="00353921"/>
    <w:p w14:paraId="26839229" w14:textId="77777777" w:rsidR="00C61824" w:rsidRDefault="00353921">
      <w:r>
        <w:br w:type="page"/>
      </w:r>
    </w:p>
    <w:p w14:paraId="208AFAA6" w14:textId="77777777" w:rsidR="00C61824" w:rsidRPr="00C61824" w:rsidRDefault="00C61824" w:rsidP="0044500E">
      <w:pPr>
        <w:pStyle w:val="TIT3"/>
        <w:numPr>
          <w:ilvl w:val="2"/>
          <w:numId w:val="177"/>
        </w:numPr>
      </w:pPr>
      <w:bookmarkStart w:id="692" w:name="_Toc98192320"/>
      <w:bookmarkStart w:id="693" w:name="_Toc95029777"/>
      <w:bookmarkStart w:id="694" w:name="_Toc100755438"/>
      <w:bookmarkStart w:id="695" w:name="_Toc110859953"/>
      <w:bookmarkStart w:id="696" w:name="_Toc121232623"/>
      <w:bookmarkStart w:id="697" w:name="_Toc124314715"/>
      <w:bookmarkStart w:id="698" w:name="_Toc124956196"/>
      <w:bookmarkStart w:id="699" w:name="_Toc125384594"/>
      <w:bookmarkStart w:id="700" w:name="_Toc125384983"/>
      <w:bookmarkStart w:id="701" w:name="_Toc127957655"/>
      <w:r w:rsidRPr="00C61824">
        <w:t>NES6 : Préservation de la biodiversité et gestion durable des ressources naturelles biologiques</w:t>
      </w:r>
      <w:bookmarkEnd w:id="692"/>
      <w:bookmarkEnd w:id="693"/>
      <w:bookmarkEnd w:id="694"/>
      <w:bookmarkEnd w:id="695"/>
      <w:bookmarkEnd w:id="696"/>
      <w:bookmarkEnd w:id="697"/>
      <w:bookmarkEnd w:id="698"/>
      <w:bookmarkEnd w:id="699"/>
      <w:bookmarkEnd w:id="700"/>
      <w:bookmarkEnd w:id="701"/>
    </w:p>
    <w:p w14:paraId="0EBE7E49" w14:textId="77777777" w:rsidR="00C61824" w:rsidRPr="00C61824" w:rsidRDefault="00C61824" w:rsidP="00687DD2">
      <w:pPr>
        <w:pStyle w:val="Paragraphedeliste"/>
        <w:numPr>
          <w:ilvl w:val="0"/>
          <w:numId w:val="12"/>
        </w:numPr>
        <w:spacing w:before="240" w:after="120"/>
        <w:rPr>
          <w:rFonts w:ascii="Arial" w:hAnsi="Arial" w:cs="Arial"/>
          <w:b/>
          <w:bCs/>
          <w:szCs w:val="24"/>
        </w:rPr>
      </w:pPr>
      <w:r w:rsidRPr="00C61824">
        <w:rPr>
          <w:rFonts w:ascii="Arial" w:hAnsi="Arial" w:cs="Arial"/>
          <w:b/>
          <w:bCs/>
          <w:szCs w:val="24"/>
        </w:rPr>
        <w:t>Objectifs et principes de la NES6</w:t>
      </w:r>
    </w:p>
    <w:p w14:paraId="3CFF710A" w14:textId="77777777" w:rsidR="00C61824" w:rsidRPr="00C61824" w:rsidRDefault="00C61824" w:rsidP="00C61824">
      <w:pPr>
        <w:autoSpaceDE w:val="0"/>
        <w:autoSpaceDN w:val="0"/>
        <w:adjustRightInd w:val="0"/>
        <w:jc w:val="both"/>
        <w:rPr>
          <w:rFonts w:ascii="Arial" w:hAnsi="Arial" w:cs="Arial"/>
          <w:szCs w:val="24"/>
        </w:rPr>
      </w:pPr>
      <w:r w:rsidRPr="00C61824">
        <w:rPr>
          <w:rFonts w:ascii="Arial" w:hAnsi="Arial" w:cs="Arial"/>
          <w:szCs w:val="24"/>
        </w:rPr>
        <w:t xml:space="preserve">La NES6 reconnait le fait que le développement durable est étroitement lié à la conservation de la biodiversité et à la gestion durable des ressources naturelles biologiques. </w:t>
      </w:r>
    </w:p>
    <w:p w14:paraId="2EA06127" w14:textId="77777777" w:rsidR="00C61824" w:rsidRPr="00C61824" w:rsidRDefault="00C61824" w:rsidP="00C61824">
      <w:pPr>
        <w:autoSpaceDE w:val="0"/>
        <w:autoSpaceDN w:val="0"/>
        <w:adjustRightInd w:val="0"/>
        <w:jc w:val="both"/>
        <w:rPr>
          <w:rFonts w:ascii="Arial" w:hAnsi="Arial" w:cs="Arial"/>
          <w:szCs w:val="24"/>
        </w:rPr>
      </w:pPr>
      <w:r w:rsidRPr="00C61824">
        <w:rPr>
          <w:rFonts w:ascii="Arial" w:hAnsi="Arial" w:cs="Arial"/>
          <w:szCs w:val="24"/>
        </w:rPr>
        <w:t>La définition de la biodiversité selon cette NES désigne la variabilité des organismes vivants de toute origine, y compris, entre autres, les écosystèmes terrestres, marins et autres écosystèmes aquatiques et les complexes écologiques dont ils font partie. Tandis que l’exploitation des ressources naturelles biologiques concerne les ressources halieutiques et aquatiques, les organismes terrestres, les bois d’œuvre, les activités productives qui incluent l’extraction des ressources d’écosystèmes et de certains habitats. Et la production primaire de ressources naturelles biologiques se rapporte à la culture des plant</w:t>
      </w:r>
      <w:r w:rsidR="00602401">
        <w:rPr>
          <w:rFonts w:ascii="Arial" w:hAnsi="Arial" w:cs="Arial"/>
          <w:szCs w:val="24"/>
        </w:rPr>
        <w:t>e</w:t>
      </w:r>
      <w:r w:rsidRPr="00C61824">
        <w:rPr>
          <w:rFonts w:ascii="Arial" w:hAnsi="Arial" w:cs="Arial"/>
          <w:szCs w:val="24"/>
        </w:rPr>
        <w:t xml:space="preserve">s, dont les cultures annuelles et les cultures pérennes, l’élevage d’animaux, l’aquaculture, la foresterie de plantation, etc. </w:t>
      </w:r>
    </w:p>
    <w:p w14:paraId="59BBEACF" w14:textId="77777777" w:rsidR="00C61824" w:rsidRPr="00C61824" w:rsidRDefault="00C61824" w:rsidP="00C61824">
      <w:pPr>
        <w:autoSpaceDE w:val="0"/>
        <w:autoSpaceDN w:val="0"/>
        <w:adjustRightInd w:val="0"/>
        <w:jc w:val="both"/>
        <w:rPr>
          <w:rFonts w:ascii="Arial" w:hAnsi="Arial" w:cs="Arial"/>
          <w:szCs w:val="24"/>
        </w:rPr>
      </w:pPr>
      <w:r w:rsidRPr="00C61824">
        <w:rPr>
          <w:rFonts w:ascii="Arial" w:hAnsi="Arial" w:cs="Arial"/>
          <w:szCs w:val="24"/>
        </w:rPr>
        <w:t>D’un côté, pour assurer la NES6, il importe d’assurer les fonctions écologiques fondamentales de l’habitat. De l’autre côté, on doit prendre en compte les moyens de subsistance des populations, l’accès aux ressources naturelles biologiques et à leur exploitation et à la biodiversité. En conséquence, la NES6 souligne l’importance du rôle des populations locales dans la préservation de la biodiversité et la gestion durable des ressources naturelles biologiques.</w:t>
      </w:r>
    </w:p>
    <w:p w14:paraId="192BF8A5" w14:textId="77777777" w:rsidR="00C61824" w:rsidRPr="00C61824" w:rsidRDefault="00C61824" w:rsidP="00C61824">
      <w:pPr>
        <w:autoSpaceDE w:val="0"/>
        <w:autoSpaceDN w:val="0"/>
        <w:adjustRightInd w:val="0"/>
        <w:rPr>
          <w:rFonts w:ascii="Arial" w:hAnsi="Arial" w:cs="Arial"/>
          <w:szCs w:val="24"/>
        </w:rPr>
      </w:pPr>
      <w:r w:rsidRPr="00C61824">
        <w:rPr>
          <w:rFonts w:ascii="Arial" w:hAnsi="Arial" w:cs="Arial"/>
          <w:szCs w:val="24"/>
        </w:rPr>
        <w:t xml:space="preserve">Les objectifs de la NES6 sont les suivants : </w:t>
      </w:r>
    </w:p>
    <w:p w14:paraId="46EE8591" w14:textId="77777777" w:rsidR="00C61824" w:rsidRPr="00C61824" w:rsidRDefault="00C61824" w:rsidP="0044500E">
      <w:pPr>
        <w:pStyle w:val="Paragraphedeliste"/>
        <w:numPr>
          <w:ilvl w:val="0"/>
          <w:numId w:val="223"/>
        </w:numPr>
        <w:suppressAutoHyphens/>
        <w:spacing w:after="0" w:line="240" w:lineRule="auto"/>
        <w:jc w:val="both"/>
        <w:rPr>
          <w:rFonts w:ascii="Arial" w:hAnsi="Arial" w:cs="Arial"/>
          <w:szCs w:val="24"/>
        </w:rPr>
      </w:pPr>
      <w:r w:rsidRPr="00C61824">
        <w:rPr>
          <w:rFonts w:ascii="Arial" w:hAnsi="Arial" w:cs="Arial"/>
          <w:szCs w:val="24"/>
        </w:rPr>
        <w:t>Protéger et préserver la biodiversité et les habitats ;</w:t>
      </w:r>
    </w:p>
    <w:p w14:paraId="4786EB49" w14:textId="77777777" w:rsidR="00C61824" w:rsidRPr="00C61824" w:rsidRDefault="00C61824" w:rsidP="0044500E">
      <w:pPr>
        <w:pStyle w:val="Paragraphedeliste"/>
        <w:numPr>
          <w:ilvl w:val="0"/>
          <w:numId w:val="223"/>
        </w:numPr>
        <w:suppressAutoHyphens/>
        <w:spacing w:after="0" w:line="240" w:lineRule="auto"/>
        <w:jc w:val="both"/>
        <w:rPr>
          <w:rFonts w:ascii="Arial" w:hAnsi="Arial" w:cs="Arial"/>
          <w:szCs w:val="24"/>
        </w:rPr>
      </w:pPr>
      <w:r w:rsidRPr="00C61824">
        <w:rPr>
          <w:rFonts w:ascii="Arial" w:hAnsi="Arial" w:cs="Arial"/>
          <w:szCs w:val="24"/>
        </w:rPr>
        <w:t>Appliquer l’approche de la hiérarchie d’atténuation et le principe de précaution dans la conception et la mise en œuvre de projets susceptibles d’avoir un impact sur la biodiversité ;</w:t>
      </w:r>
    </w:p>
    <w:p w14:paraId="1DFD20AB" w14:textId="77777777" w:rsidR="00C61824" w:rsidRPr="00C61824" w:rsidRDefault="00C61824" w:rsidP="0044500E">
      <w:pPr>
        <w:pStyle w:val="Paragraphedeliste"/>
        <w:numPr>
          <w:ilvl w:val="0"/>
          <w:numId w:val="223"/>
        </w:numPr>
        <w:suppressAutoHyphens/>
        <w:spacing w:after="0" w:line="240" w:lineRule="auto"/>
        <w:jc w:val="both"/>
        <w:rPr>
          <w:rFonts w:ascii="Arial" w:hAnsi="Arial" w:cs="Arial"/>
          <w:szCs w:val="24"/>
        </w:rPr>
      </w:pPr>
      <w:r w:rsidRPr="00C61824">
        <w:rPr>
          <w:rFonts w:ascii="Arial" w:hAnsi="Arial" w:cs="Arial"/>
          <w:szCs w:val="24"/>
        </w:rPr>
        <w:t>Promouvoir la gestion durable des ressources naturelles biologiques ;</w:t>
      </w:r>
    </w:p>
    <w:p w14:paraId="12DB0F19" w14:textId="77777777" w:rsidR="00C61824" w:rsidRDefault="00C61824" w:rsidP="0044500E">
      <w:pPr>
        <w:pStyle w:val="Paragraphedeliste"/>
        <w:numPr>
          <w:ilvl w:val="0"/>
          <w:numId w:val="223"/>
        </w:numPr>
        <w:suppressAutoHyphens/>
        <w:spacing w:after="0" w:line="240" w:lineRule="auto"/>
        <w:jc w:val="both"/>
        <w:rPr>
          <w:rFonts w:ascii="Arial" w:hAnsi="Arial" w:cs="Arial"/>
          <w:szCs w:val="24"/>
        </w:rPr>
      </w:pPr>
      <w:r w:rsidRPr="00C61824">
        <w:rPr>
          <w:rFonts w:ascii="Arial" w:hAnsi="Arial" w:cs="Arial"/>
          <w:szCs w:val="24"/>
        </w:rPr>
        <w:t>Développer les moyens de subsistance des communautés locales, notamment des peuples</w:t>
      </w:r>
      <w:r w:rsidR="00F2509E">
        <w:rPr>
          <w:rFonts w:ascii="Arial" w:hAnsi="Arial" w:cs="Arial"/>
          <w:szCs w:val="24"/>
        </w:rPr>
        <w:t xml:space="preserve"> </w:t>
      </w:r>
      <w:r w:rsidR="00F2509E">
        <w:t>autochtones, et assurer un développement économique solidaire par l’adoption de pratiques qui intègrent les besoins de conservation et les priorités en matière de développement</w:t>
      </w:r>
      <w:r w:rsidRPr="00C61824">
        <w:rPr>
          <w:rFonts w:ascii="Arial" w:hAnsi="Arial" w:cs="Arial"/>
          <w:szCs w:val="24"/>
        </w:rPr>
        <w:t>.</w:t>
      </w:r>
    </w:p>
    <w:p w14:paraId="78DEF6CA" w14:textId="77777777" w:rsidR="00C61824" w:rsidRPr="00C61824" w:rsidRDefault="00C61824" w:rsidP="00B434A6">
      <w:pPr>
        <w:suppressAutoHyphens/>
        <w:spacing w:after="0" w:line="240" w:lineRule="auto"/>
        <w:ind w:left="418"/>
        <w:jc w:val="both"/>
        <w:rPr>
          <w:rFonts w:ascii="Arial" w:hAnsi="Arial" w:cs="Arial"/>
          <w:szCs w:val="24"/>
        </w:rPr>
      </w:pPr>
    </w:p>
    <w:p w14:paraId="1CAE92E1" w14:textId="77777777" w:rsidR="00C61824" w:rsidRPr="00C61824" w:rsidRDefault="00C61824" w:rsidP="00F01166">
      <w:pPr>
        <w:pStyle w:val="Paragraphedeliste"/>
        <w:numPr>
          <w:ilvl w:val="0"/>
          <w:numId w:val="12"/>
        </w:numPr>
        <w:spacing w:before="120" w:after="120"/>
        <w:rPr>
          <w:rFonts w:ascii="Arial" w:hAnsi="Arial" w:cs="Arial"/>
          <w:b/>
          <w:bCs/>
          <w:szCs w:val="24"/>
        </w:rPr>
      </w:pPr>
      <w:r w:rsidRPr="00C61824">
        <w:rPr>
          <w:rFonts w:ascii="Arial" w:hAnsi="Arial" w:cs="Arial"/>
          <w:b/>
          <w:bCs/>
          <w:szCs w:val="24"/>
        </w:rPr>
        <w:t>Dispositions et exigences de la NES6</w:t>
      </w:r>
    </w:p>
    <w:p w14:paraId="70458000" w14:textId="77777777" w:rsidR="00C61824" w:rsidRDefault="00C61824" w:rsidP="00C61824">
      <w:pPr>
        <w:autoSpaceDE w:val="0"/>
        <w:autoSpaceDN w:val="0"/>
        <w:adjustRightInd w:val="0"/>
        <w:jc w:val="both"/>
        <w:rPr>
          <w:rFonts w:ascii="Arial" w:hAnsi="Arial" w:cs="Arial"/>
          <w:szCs w:val="24"/>
        </w:rPr>
      </w:pPr>
      <w:r w:rsidRPr="00C61824">
        <w:rPr>
          <w:rFonts w:ascii="Arial" w:hAnsi="Arial" w:cs="Arial"/>
          <w:szCs w:val="24"/>
        </w:rPr>
        <w:t>Le projet évitera autant que possible les impacts négatifs sur la biodiversité et sur les habitats. Lorsque ce n’est pas possible de les éviter, il doit être mis en œuvre pour minimiser les effets et restaurer la biodiversité. Il est exigé une approche différenciée des risques qui pèsent sur les catégories d’habitats, en fonction de leur sensibilité et de leur valeur écologique (habitats critiques, habitats modifiés, habitats naturels, zones protégées juridiquement).</w:t>
      </w:r>
    </w:p>
    <w:p w14:paraId="354C7E08" w14:textId="77777777" w:rsidR="00353921" w:rsidRPr="00C61824" w:rsidRDefault="00353921" w:rsidP="00C61824">
      <w:pPr>
        <w:autoSpaceDE w:val="0"/>
        <w:autoSpaceDN w:val="0"/>
        <w:adjustRightInd w:val="0"/>
        <w:jc w:val="both"/>
        <w:rPr>
          <w:rFonts w:ascii="Arial" w:hAnsi="Arial" w:cs="Arial"/>
          <w:szCs w:val="24"/>
        </w:rPr>
      </w:pPr>
    </w:p>
    <w:tbl>
      <w:tblPr>
        <w:tblW w:w="0" w:type="auto"/>
        <w:shd w:val="clear" w:color="auto" w:fill="B8CCE4"/>
        <w:tblLook w:val="04A0" w:firstRow="1" w:lastRow="0" w:firstColumn="1" w:lastColumn="0" w:noHBand="0" w:noVBand="1"/>
      </w:tblPr>
      <w:tblGrid>
        <w:gridCol w:w="9062"/>
      </w:tblGrid>
      <w:tr w:rsidR="00C61824" w:rsidRPr="007F78CE" w14:paraId="3C981A84" w14:textId="77777777" w:rsidTr="007F78CE">
        <w:tc>
          <w:tcPr>
            <w:tcW w:w="9062" w:type="dxa"/>
            <w:shd w:val="clear" w:color="auto" w:fill="B8CCE4"/>
          </w:tcPr>
          <w:p w14:paraId="528BC076" w14:textId="77777777" w:rsidR="00C61824" w:rsidRPr="007F78CE" w:rsidRDefault="00C61824" w:rsidP="006F6154">
            <w:pPr>
              <w:spacing w:before="240" w:after="120"/>
              <w:rPr>
                <w:rFonts w:ascii="Arial" w:hAnsi="Arial" w:cs="Arial"/>
                <w:b/>
                <w:bCs/>
                <w:sz w:val="24"/>
                <w:szCs w:val="24"/>
              </w:rPr>
            </w:pPr>
            <w:r w:rsidRPr="007F78CE">
              <w:rPr>
                <w:rFonts w:ascii="Arial" w:hAnsi="Arial" w:cs="Arial"/>
                <w:b/>
                <w:bCs/>
                <w:sz w:val="24"/>
                <w:szCs w:val="24"/>
              </w:rPr>
              <w:t>Application de la NES6 par le Projet</w:t>
            </w:r>
          </w:p>
          <w:p w14:paraId="56635A9D" w14:textId="77777777" w:rsidR="00C61824" w:rsidRPr="007F78CE" w:rsidRDefault="00C61824" w:rsidP="006F6154">
            <w:pPr>
              <w:spacing w:before="120" w:after="120"/>
              <w:jc w:val="both"/>
              <w:rPr>
                <w:rFonts w:ascii="Arial" w:hAnsi="Arial" w:cs="Arial"/>
              </w:rPr>
            </w:pPr>
            <w:r w:rsidRPr="007F78CE">
              <w:rPr>
                <w:rFonts w:ascii="Arial" w:hAnsi="Arial" w:cs="Arial"/>
              </w:rPr>
              <w:t xml:space="preserve">La NES6 s’applique au Projet, étant donné que les zones d’intervention du Projet abritent les différentes catégories d’habitats. </w:t>
            </w:r>
          </w:p>
        </w:tc>
      </w:tr>
    </w:tbl>
    <w:p w14:paraId="323E1FDB" w14:textId="77777777" w:rsidR="00C61824" w:rsidRDefault="00C61824"/>
    <w:p w14:paraId="1458EF99" w14:textId="77777777" w:rsidR="00C61824" w:rsidRPr="00C61824" w:rsidRDefault="00C61824" w:rsidP="0044500E">
      <w:pPr>
        <w:pStyle w:val="TIT3"/>
        <w:numPr>
          <w:ilvl w:val="2"/>
          <w:numId w:val="177"/>
        </w:numPr>
      </w:pPr>
      <w:bookmarkStart w:id="702" w:name="_Toc98192321"/>
      <w:bookmarkStart w:id="703" w:name="_Toc95029778"/>
      <w:bookmarkStart w:id="704" w:name="_Toc100755439"/>
      <w:bookmarkStart w:id="705" w:name="_Toc110859955"/>
      <w:bookmarkStart w:id="706" w:name="_Toc121232624"/>
      <w:bookmarkStart w:id="707" w:name="_Toc124314716"/>
      <w:bookmarkStart w:id="708" w:name="_Toc124956197"/>
      <w:bookmarkStart w:id="709" w:name="_Toc125384595"/>
      <w:bookmarkStart w:id="710" w:name="_Toc125384984"/>
      <w:bookmarkStart w:id="711" w:name="_Toc127957656"/>
      <w:r w:rsidRPr="00C61824">
        <w:t>NES8 : Patrimoine culturel</w:t>
      </w:r>
      <w:bookmarkEnd w:id="702"/>
      <w:bookmarkEnd w:id="703"/>
      <w:bookmarkEnd w:id="704"/>
      <w:bookmarkEnd w:id="705"/>
      <w:bookmarkEnd w:id="706"/>
      <w:bookmarkEnd w:id="707"/>
      <w:bookmarkEnd w:id="708"/>
      <w:bookmarkEnd w:id="709"/>
      <w:bookmarkEnd w:id="710"/>
      <w:bookmarkEnd w:id="711"/>
    </w:p>
    <w:p w14:paraId="32EC8EA9" w14:textId="77777777" w:rsidR="00C61824" w:rsidRPr="00C61824" w:rsidRDefault="00C61824" w:rsidP="00687DD2">
      <w:pPr>
        <w:pStyle w:val="Paragraphedeliste"/>
        <w:numPr>
          <w:ilvl w:val="0"/>
          <w:numId w:val="12"/>
        </w:numPr>
        <w:spacing w:before="240" w:after="120"/>
        <w:rPr>
          <w:rFonts w:ascii="Arial" w:hAnsi="Arial" w:cs="Arial"/>
          <w:b/>
          <w:bCs/>
          <w:szCs w:val="24"/>
        </w:rPr>
      </w:pPr>
      <w:r w:rsidRPr="00C61824">
        <w:rPr>
          <w:rFonts w:ascii="Arial" w:hAnsi="Arial" w:cs="Arial"/>
          <w:b/>
          <w:bCs/>
          <w:szCs w:val="24"/>
        </w:rPr>
        <w:t>Objectifs et principes de la NES8</w:t>
      </w:r>
    </w:p>
    <w:p w14:paraId="3829A736" w14:textId="77777777" w:rsidR="00C61824" w:rsidRPr="00C61824" w:rsidRDefault="00C61824" w:rsidP="00C61824">
      <w:pPr>
        <w:autoSpaceDE w:val="0"/>
        <w:autoSpaceDN w:val="0"/>
        <w:adjustRightInd w:val="0"/>
        <w:jc w:val="both"/>
        <w:rPr>
          <w:rFonts w:ascii="Arial" w:hAnsi="Arial" w:cs="Arial"/>
          <w:szCs w:val="24"/>
        </w:rPr>
      </w:pPr>
      <w:r w:rsidRPr="00C61824">
        <w:rPr>
          <w:rFonts w:ascii="Arial" w:hAnsi="Arial" w:cs="Arial"/>
          <w:szCs w:val="24"/>
        </w:rPr>
        <w:t>La NES8 reconnaît que le patrimoine culturel permet d’assurer la continuité entre le passé, le présent et l’avenir de façon tangible ou intangible. Les individus s’identifient à leur patrimoine culturel comme étant le reflet et l’expression de leurs valeurs, croyances, savoirs et traditions en constante évolution. Par ses nombreux aspects, le patrimoine culturel est important en ce qu’il est une source de précieuses informations scientifiques et historiques, un atout économique et social pour le développement, et une partie intégrante de l’identité et de la pratique culturelle d’un peuple. La NES8 énonce des mesures destinées à protéger le patrimoine culturel tout au long du cycle de vie du projet.</w:t>
      </w:r>
    </w:p>
    <w:p w14:paraId="310096D6" w14:textId="77777777" w:rsidR="00C61824" w:rsidRPr="00C61824" w:rsidRDefault="00C61824" w:rsidP="00C61824">
      <w:pPr>
        <w:autoSpaceDE w:val="0"/>
        <w:autoSpaceDN w:val="0"/>
        <w:adjustRightInd w:val="0"/>
        <w:jc w:val="both"/>
        <w:rPr>
          <w:rFonts w:ascii="Arial" w:hAnsi="Arial" w:cs="Arial"/>
          <w:szCs w:val="24"/>
        </w:rPr>
      </w:pPr>
      <w:r w:rsidRPr="00C61824">
        <w:rPr>
          <w:rFonts w:ascii="Arial" w:hAnsi="Arial" w:cs="Arial"/>
          <w:szCs w:val="24"/>
        </w:rPr>
        <w:t xml:space="preserve">Les objectifs de la NES8 s’énoncent comme suit : </w:t>
      </w:r>
    </w:p>
    <w:p w14:paraId="7EA76FDF" w14:textId="77777777" w:rsidR="00C61824" w:rsidRPr="00C61824" w:rsidRDefault="00C61824" w:rsidP="0044500E">
      <w:pPr>
        <w:pStyle w:val="Paragraphedeliste"/>
        <w:numPr>
          <w:ilvl w:val="0"/>
          <w:numId w:val="224"/>
        </w:numPr>
        <w:suppressAutoHyphens/>
        <w:spacing w:after="0" w:line="240" w:lineRule="auto"/>
        <w:jc w:val="both"/>
        <w:rPr>
          <w:rFonts w:ascii="Arial" w:hAnsi="Arial" w:cs="Arial"/>
          <w:szCs w:val="24"/>
        </w:rPr>
      </w:pPr>
      <w:r w:rsidRPr="00C61824">
        <w:rPr>
          <w:rFonts w:ascii="Arial" w:hAnsi="Arial" w:cs="Arial"/>
          <w:szCs w:val="24"/>
        </w:rPr>
        <w:t>Protéger le patrimoine culturel des impacts négatifs des activités du projet et en soutenir la préservation ;</w:t>
      </w:r>
    </w:p>
    <w:p w14:paraId="787BBFEF" w14:textId="77777777" w:rsidR="00C61824" w:rsidRPr="00C61824" w:rsidRDefault="00C61824" w:rsidP="0044500E">
      <w:pPr>
        <w:pStyle w:val="Paragraphedeliste"/>
        <w:numPr>
          <w:ilvl w:val="0"/>
          <w:numId w:val="224"/>
        </w:numPr>
        <w:suppressAutoHyphens/>
        <w:spacing w:after="0" w:line="240" w:lineRule="auto"/>
        <w:jc w:val="both"/>
        <w:rPr>
          <w:rFonts w:ascii="Arial" w:hAnsi="Arial" w:cs="Arial"/>
          <w:szCs w:val="24"/>
        </w:rPr>
      </w:pPr>
      <w:r w:rsidRPr="00C61824">
        <w:rPr>
          <w:rFonts w:ascii="Arial" w:hAnsi="Arial" w:cs="Arial"/>
          <w:szCs w:val="24"/>
        </w:rPr>
        <w:t>Considérer le patrimoine culturel comme un aspect à part entière du développement durable ;</w:t>
      </w:r>
    </w:p>
    <w:p w14:paraId="3E7F32D4" w14:textId="77777777" w:rsidR="00C61824" w:rsidRPr="00C61824" w:rsidRDefault="00C61824" w:rsidP="0044500E">
      <w:pPr>
        <w:pStyle w:val="Paragraphedeliste"/>
        <w:numPr>
          <w:ilvl w:val="0"/>
          <w:numId w:val="224"/>
        </w:numPr>
        <w:suppressAutoHyphens/>
        <w:spacing w:after="0" w:line="240" w:lineRule="auto"/>
        <w:jc w:val="both"/>
        <w:rPr>
          <w:rFonts w:ascii="Arial" w:hAnsi="Arial" w:cs="Arial"/>
          <w:szCs w:val="24"/>
        </w:rPr>
      </w:pPr>
      <w:r w:rsidRPr="00C61824">
        <w:rPr>
          <w:rFonts w:ascii="Arial" w:hAnsi="Arial" w:cs="Arial"/>
          <w:szCs w:val="24"/>
        </w:rPr>
        <w:t>Encourager l’organisation de consultations approfondies avec les parties prenantes au sujet du patrimoine culturel ;</w:t>
      </w:r>
    </w:p>
    <w:p w14:paraId="30CDC45C" w14:textId="77777777" w:rsidR="00C61824" w:rsidRDefault="00C61824" w:rsidP="0044500E">
      <w:pPr>
        <w:pStyle w:val="Paragraphedeliste"/>
        <w:numPr>
          <w:ilvl w:val="0"/>
          <w:numId w:val="224"/>
        </w:numPr>
        <w:suppressAutoHyphens/>
        <w:spacing w:after="0" w:line="240" w:lineRule="auto"/>
        <w:jc w:val="both"/>
        <w:rPr>
          <w:rFonts w:ascii="Arial" w:hAnsi="Arial" w:cs="Arial"/>
          <w:szCs w:val="24"/>
        </w:rPr>
      </w:pPr>
      <w:r w:rsidRPr="00C61824">
        <w:rPr>
          <w:rFonts w:ascii="Arial" w:hAnsi="Arial" w:cs="Arial"/>
          <w:szCs w:val="24"/>
        </w:rPr>
        <w:t>Promouvoir le partage équitable des avantages découlant de l’utilisation du patrimoine culturel.</w:t>
      </w:r>
    </w:p>
    <w:p w14:paraId="60F2D2FD" w14:textId="77777777" w:rsidR="00C61824" w:rsidRPr="00C61824" w:rsidRDefault="00C61824" w:rsidP="00C61824">
      <w:pPr>
        <w:suppressAutoHyphens/>
        <w:spacing w:after="0" w:line="240" w:lineRule="auto"/>
        <w:jc w:val="both"/>
        <w:rPr>
          <w:rFonts w:ascii="Arial" w:hAnsi="Arial" w:cs="Arial"/>
          <w:szCs w:val="24"/>
        </w:rPr>
      </w:pPr>
    </w:p>
    <w:p w14:paraId="5E951E62" w14:textId="77777777" w:rsidR="00C61824" w:rsidRPr="00C61824" w:rsidRDefault="00C61824" w:rsidP="00687DD2">
      <w:pPr>
        <w:pStyle w:val="Paragraphedeliste"/>
        <w:numPr>
          <w:ilvl w:val="0"/>
          <w:numId w:val="12"/>
        </w:numPr>
        <w:spacing w:before="240" w:after="120"/>
        <w:rPr>
          <w:rFonts w:ascii="Arial" w:hAnsi="Arial" w:cs="Arial"/>
          <w:b/>
          <w:bCs/>
          <w:szCs w:val="24"/>
        </w:rPr>
      </w:pPr>
      <w:r w:rsidRPr="00C61824">
        <w:rPr>
          <w:rFonts w:ascii="Arial" w:hAnsi="Arial" w:cs="Arial"/>
          <w:b/>
          <w:bCs/>
          <w:szCs w:val="24"/>
        </w:rPr>
        <w:t>Dispositions et exigences de la NES8</w:t>
      </w:r>
    </w:p>
    <w:p w14:paraId="19BB73B7" w14:textId="77777777" w:rsidR="00C61824" w:rsidRPr="00C61824" w:rsidRDefault="00C61824" w:rsidP="00C61824">
      <w:pPr>
        <w:autoSpaceDE w:val="0"/>
        <w:autoSpaceDN w:val="0"/>
        <w:adjustRightInd w:val="0"/>
        <w:jc w:val="both"/>
        <w:rPr>
          <w:rFonts w:ascii="Arial" w:hAnsi="Arial" w:cs="Arial"/>
          <w:szCs w:val="24"/>
        </w:rPr>
      </w:pPr>
      <w:r w:rsidRPr="00C61824">
        <w:rPr>
          <w:rFonts w:ascii="Arial" w:hAnsi="Arial" w:cs="Arial"/>
          <w:szCs w:val="24"/>
        </w:rPr>
        <w:t xml:space="preserve">Le projet examinera l’impact direct, indirect et cumulatif que pourrait avoir le projet sur le patrimoine culturel. En cas de découverte fortuite de patrimoine culturel durant les activités du projet, il sera suivi les procédures y afférentes et les modalités de gestion. En outre, il doit être dressé l’inventaire de toutes les aires protégées par le projet, qui abritent un patrimoine culturel et cultuel (grottes, rochers, ruisseaux, etc). </w:t>
      </w:r>
    </w:p>
    <w:tbl>
      <w:tblPr>
        <w:tblW w:w="0" w:type="auto"/>
        <w:shd w:val="clear" w:color="auto" w:fill="B8CCE4"/>
        <w:tblLook w:val="04A0" w:firstRow="1" w:lastRow="0" w:firstColumn="1" w:lastColumn="0" w:noHBand="0" w:noVBand="1"/>
      </w:tblPr>
      <w:tblGrid>
        <w:gridCol w:w="9062"/>
      </w:tblGrid>
      <w:tr w:rsidR="00C61824" w:rsidRPr="007F78CE" w14:paraId="28078C5E" w14:textId="77777777" w:rsidTr="007F78CE">
        <w:tc>
          <w:tcPr>
            <w:tcW w:w="9062" w:type="dxa"/>
            <w:shd w:val="clear" w:color="auto" w:fill="B8CCE4"/>
          </w:tcPr>
          <w:p w14:paraId="4752EC5A" w14:textId="77777777" w:rsidR="00C61824" w:rsidRPr="007F78CE" w:rsidRDefault="00C61824" w:rsidP="006F6154">
            <w:pPr>
              <w:spacing w:before="240" w:after="120"/>
              <w:rPr>
                <w:rFonts w:ascii="Microsoft PhagsPa" w:hAnsi="Microsoft PhagsPa"/>
                <w:b/>
                <w:bCs/>
                <w:sz w:val="24"/>
                <w:szCs w:val="24"/>
              </w:rPr>
            </w:pPr>
            <w:r w:rsidRPr="007F78CE">
              <w:rPr>
                <w:rFonts w:ascii="Microsoft PhagsPa" w:hAnsi="Microsoft PhagsPa"/>
                <w:b/>
                <w:bCs/>
                <w:sz w:val="24"/>
                <w:szCs w:val="24"/>
              </w:rPr>
              <w:t>Application de la NES 8 par le Projet</w:t>
            </w:r>
          </w:p>
          <w:p w14:paraId="53420D5D" w14:textId="77777777" w:rsidR="00C61824" w:rsidRPr="007F78CE" w:rsidRDefault="00C61824" w:rsidP="00C61824">
            <w:pPr>
              <w:spacing w:before="120" w:after="120"/>
              <w:jc w:val="both"/>
              <w:rPr>
                <w:rFonts w:ascii="Microsoft PhagsPa" w:hAnsi="Microsoft PhagsPa"/>
              </w:rPr>
            </w:pPr>
            <w:r w:rsidRPr="00F91FA3">
              <w:rPr>
                <w:rFonts w:ascii="Arial" w:hAnsi="Arial" w:cs="Arial"/>
              </w:rPr>
              <w:t>La NES8 s’applique au projet, compte tenu du fait que les travaux de réhabilitation des infrastructures productives engendrent des opérations de terrassement pouvant entra</w:t>
            </w:r>
            <w:r w:rsidR="004C2CB7">
              <w:rPr>
                <w:rFonts w:ascii="Arial" w:hAnsi="Arial" w:cs="Arial"/>
              </w:rPr>
              <w:t>î</w:t>
            </w:r>
            <w:r w:rsidRPr="00F91FA3">
              <w:rPr>
                <w:rFonts w:ascii="Arial" w:hAnsi="Arial" w:cs="Arial"/>
              </w:rPr>
              <w:t>ner des découvertes fortuites de biens culturels. De plus, des mœurs peuvent changer à cause de l’influence de la mondialisation due à la disponibilité de l’internet.</w:t>
            </w:r>
            <w:r w:rsidRPr="007F78CE">
              <w:rPr>
                <w:rFonts w:ascii="Microsoft PhagsPa" w:hAnsi="Microsoft PhagsPa"/>
              </w:rPr>
              <w:t xml:space="preserve"> </w:t>
            </w:r>
          </w:p>
        </w:tc>
      </w:tr>
    </w:tbl>
    <w:p w14:paraId="44A0B4FC" w14:textId="77777777" w:rsidR="00C61824" w:rsidRPr="0025561B" w:rsidRDefault="00C61824">
      <w:pPr>
        <w:rPr>
          <w:color w:val="FF0000"/>
        </w:rPr>
      </w:pPr>
    </w:p>
    <w:p w14:paraId="644C0248" w14:textId="77777777" w:rsidR="00A04C54" w:rsidRPr="00742D67" w:rsidRDefault="000B43D8" w:rsidP="0044500E">
      <w:pPr>
        <w:pStyle w:val="TIT3"/>
        <w:numPr>
          <w:ilvl w:val="2"/>
          <w:numId w:val="177"/>
        </w:numPr>
      </w:pPr>
      <w:bookmarkStart w:id="712" w:name="_Toc124956198"/>
      <w:bookmarkStart w:id="713" w:name="_Toc125384596"/>
      <w:bookmarkStart w:id="714" w:name="_Toc125384985"/>
      <w:bookmarkStart w:id="715" w:name="_Toc127957657"/>
      <w:r w:rsidRPr="00742D67">
        <w:t xml:space="preserve">NES9 : </w:t>
      </w:r>
      <w:r w:rsidR="00A04C54" w:rsidRPr="00742D67">
        <w:t>Intermédiaires financiers</w:t>
      </w:r>
      <w:bookmarkEnd w:id="712"/>
      <w:bookmarkEnd w:id="713"/>
      <w:bookmarkEnd w:id="714"/>
      <w:bookmarkEnd w:id="715"/>
      <w:r w:rsidR="00A04C54" w:rsidRPr="00742D67">
        <w:t> </w:t>
      </w:r>
    </w:p>
    <w:p w14:paraId="53008315" w14:textId="77777777" w:rsidR="00011713" w:rsidRPr="00742D67" w:rsidRDefault="00011713" w:rsidP="00B434A6">
      <w:pPr>
        <w:pStyle w:val="Paragraphedeliste"/>
        <w:numPr>
          <w:ilvl w:val="0"/>
          <w:numId w:val="12"/>
        </w:numPr>
        <w:spacing w:before="240" w:after="120"/>
        <w:rPr>
          <w:b/>
          <w:bCs/>
          <w:color w:val="auto"/>
        </w:rPr>
      </w:pPr>
      <w:r w:rsidRPr="00742D67">
        <w:rPr>
          <w:rFonts w:ascii="Arial" w:hAnsi="Arial" w:cs="Arial"/>
          <w:b/>
          <w:bCs/>
          <w:color w:val="auto"/>
          <w:szCs w:val="24"/>
        </w:rPr>
        <w:t>Objectifs et principes de la NES9</w:t>
      </w:r>
    </w:p>
    <w:p w14:paraId="55B1B14B" w14:textId="77777777" w:rsidR="00011713" w:rsidRPr="00742D67" w:rsidRDefault="00011713" w:rsidP="00B434A6">
      <w:pPr>
        <w:autoSpaceDE w:val="0"/>
        <w:autoSpaceDN w:val="0"/>
        <w:adjustRightInd w:val="0"/>
        <w:jc w:val="both"/>
      </w:pPr>
      <w:r w:rsidRPr="00742D67">
        <w:rPr>
          <w:rFonts w:ascii="Arial" w:hAnsi="Arial" w:cs="Arial"/>
          <w:szCs w:val="24"/>
        </w:rPr>
        <w:t xml:space="preserve">La NES9 reconnaît </w:t>
      </w:r>
      <w:r w:rsidR="00FD5080" w:rsidRPr="00742D67">
        <w:rPr>
          <w:rFonts w:ascii="Arial" w:hAnsi="Arial" w:cs="Arial"/>
          <w:szCs w:val="24"/>
        </w:rPr>
        <w:t>l’importance des marchés financiers bien développés à l’échelle nationale ainsi que l’accès au financement pour le développement économique, la croissance et la réduction de la pauvreté.</w:t>
      </w:r>
      <w:r w:rsidRPr="00742D67">
        <w:rPr>
          <w:rFonts w:ascii="Arial" w:hAnsi="Arial" w:cs="Arial"/>
          <w:szCs w:val="24"/>
        </w:rPr>
        <w:t xml:space="preserve"> La Banque est déterminée à soutenir le développement durable du secteur financier et à renforcer le rôle des marchés de capitaux et des marchés financiers au niveau des pays.</w:t>
      </w:r>
    </w:p>
    <w:p w14:paraId="1CEB5CF8" w14:textId="77777777" w:rsidR="00011713" w:rsidRPr="00742D67" w:rsidRDefault="00011713" w:rsidP="00F01166">
      <w:pPr>
        <w:autoSpaceDE w:val="0"/>
        <w:autoSpaceDN w:val="0"/>
        <w:adjustRightInd w:val="0"/>
        <w:spacing w:after="120" w:line="240" w:lineRule="auto"/>
        <w:rPr>
          <w:rFonts w:ascii="Arial" w:hAnsi="Arial" w:cs="Arial"/>
          <w:szCs w:val="24"/>
        </w:rPr>
      </w:pPr>
      <w:r w:rsidRPr="00742D67">
        <w:rPr>
          <w:rFonts w:ascii="Arial" w:hAnsi="Arial" w:cs="Arial"/>
          <w:szCs w:val="24"/>
        </w:rPr>
        <w:t xml:space="preserve">Les objectifs de la NES9 sont : </w:t>
      </w:r>
    </w:p>
    <w:p w14:paraId="0C5A5DF4" w14:textId="77777777" w:rsidR="00011713" w:rsidRPr="00742D67" w:rsidRDefault="00011713" w:rsidP="00B434A6">
      <w:pPr>
        <w:pStyle w:val="Paragraphedeliste"/>
        <w:numPr>
          <w:ilvl w:val="0"/>
          <w:numId w:val="7"/>
        </w:numPr>
        <w:suppressAutoHyphens/>
        <w:spacing w:after="0" w:line="240" w:lineRule="auto"/>
        <w:ind w:left="777" w:hanging="357"/>
        <w:jc w:val="both"/>
        <w:rPr>
          <w:rFonts w:ascii="Arial" w:hAnsi="Arial" w:cs="Arial"/>
          <w:color w:val="auto"/>
          <w:szCs w:val="24"/>
        </w:rPr>
      </w:pPr>
      <w:r w:rsidRPr="00742D67">
        <w:rPr>
          <w:rFonts w:ascii="Arial" w:hAnsi="Arial" w:cs="Arial"/>
          <w:color w:val="auto"/>
          <w:szCs w:val="24"/>
        </w:rPr>
        <w:t>Définir la manière dont les IF vont évaluer et gérer les risques et effets environnementaux et sociaux associés aux sous-projets qu’ils financent.</w:t>
      </w:r>
    </w:p>
    <w:p w14:paraId="01D3148A" w14:textId="77777777" w:rsidR="00011713" w:rsidRPr="00742D67" w:rsidRDefault="00011713" w:rsidP="00B434A6">
      <w:pPr>
        <w:pStyle w:val="Paragraphedeliste"/>
        <w:numPr>
          <w:ilvl w:val="0"/>
          <w:numId w:val="7"/>
        </w:numPr>
        <w:suppressAutoHyphens/>
        <w:spacing w:after="0" w:line="240" w:lineRule="auto"/>
        <w:ind w:left="777" w:hanging="357"/>
        <w:jc w:val="both"/>
        <w:rPr>
          <w:rFonts w:ascii="Arial" w:hAnsi="Arial" w:cs="Arial"/>
          <w:color w:val="auto"/>
          <w:szCs w:val="24"/>
        </w:rPr>
      </w:pPr>
      <w:r w:rsidRPr="00742D67">
        <w:rPr>
          <w:rFonts w:ascii="Arial" w:hAnsi="Arial" w:cs="Arial"/>
          <w:color w:val="auto"/>
          <w:szCs w:val="24"/>
        </w:rPr>
        <w:t>Encourager de bonnes pratiques de gestion environnementale et sociale dans les sous-projets que les IF financent.</w:t>
      </w:r>
    </w:p>
    <w:p w14:paraId="19C79CC5" w14:textId="77777777" w:rsidR="00011713" w:rsidRPr="00742D67" w:rsidRDefault="00011713" w:rsidP="00B434A6">
      <w:pPr>
        <w:pStyle w:val="Default"/>
        <w:numPr>
          <w:ilvl w:val="0"/>
          <w:numId w:val="7"/>
        </w:numPr>
        <w:suppressAutoHyphens/>
        <w:ind w:left="777" w:hanging="357"/>
        <w:jc w:val="both"/>
        <w:rPr>
          <w:color w:val="auto"/>
          <w:sz w:val="22"/>
        </w:rPr>
      </w:pPr>
      <w:r w:rsidRPr="00742D67">
        <w:rPr>
          <w:color w:val="auto"/>
          <w:sz w:val="22"/>
        </w:rPr>
        <w:t>Promouvoir une bonne gestion de l’environnement et des ressources humaines dans le cadre de l’intermédiation financière.</w:t>
      </w:r>
    </w:p>
    <w:p w14:paraId="19D5F29C" w14:textId="77777777" w:rsidR="00A04C54" w:rsidRPr="00742D67" w:rsidRDefault="00A04C54" w:rsidP="00B434A6">
      <w:pPr>
        <w:autoSpaceDE w:val="0"/>
        <w:autoSpaceDN w:val="0"/>
        <w:adjustRightInd w:val="0"/>
        <w:jc w:val="both"/>
        <w:rPr>
          <w:rFonts w:ascii="Arial" w:hAnsi="Arial" w:cs="Arial"/>
          <w:szCs w:val="24"/>
        </w:rPr>
      </w:pPr>
    </w:p>
    <w:p w14:paraId="3FC90843" w14:textId="77777777" w:rsidR="00011713" w:rsidRPr="00742D67" w:rsidRDefault="00011713" w:rsidP="00F01166">
      <w:pPr>
        <w:pStyle w:val="Paragraphedeliste"/>
        <w:numPr>
          <w:ilvl w:val="0"/>
          <w:numId w:val="12"/>
        </w:numPr>
        <w:spacing w:before="120" w:after="120"/>
        <w:rPr>
          <w:rFonts w:ascii="Arial" w:hAnsi="Arial" w:cs="Arial"/>
          <w:b/>
          <w:bCs/>
          <w:color w:val="auto"/>
          <w:szCs w:val="24"/>
        </w:rPr>
      </w:pPr>
      <w:r w:rsidRPr="00742D67">
        <w:rPr>
          <w:rFonts w:ascii="Arial" w:hAnsi="Arial" w:cs="Arial"/>
          <w:b/>
          <w:bCs/>
          <w:color w:val="auto"/>
          <w:szCs w:val="24"/>
        </w:rPr>
        <w:t>Disposition</w:t>
      </w:r>
      <w:r w:rsidR="00F4640D">
        <w:rPr>
          <w:rFonts w:ascii="Arial" w:hAnsi="Arial" w:cs="Arial"/>
          <w:b/>
          <w:bCs/>
          <w:color w:val="auto"/>
          <w:szCs w:val="24"/>
        </w:rPr>
        <w:t>s</w:t>
      </w:r>
      <w:r w:rsidRPr="00742D67">
        <w:rPr>
          <w:rFonts w:ascii="Arial" w:hAnsi="Arial" w:cs="Arial"/>
          <w:b/>
          <w:bCs/>
          <w:color w:val="auto"/>
          <w:szCs w:val="24"/>
        </w:rPr>
        <w:t xml:space="preserve"> et exigence</w:t>
      </w:r>
      <w:r w:rsidR="00F4640D">
        <w:rPr>
          <w:rFonts w:ascii="Arial" w:hAnsi="Arial" w:cs="Arial"/>
          <w:b/>
          <w:bCs/>
          <w:color w:val="auto"/>
          <w:szCs w:val="24"/>
        </w:rPr>
        <w:t>s</w:t>
      </w:r>
      <w:r w:rsidRPr="00742D67">
        <w:rPr>
          <w:rFonts w:ascii="Arial" w:hAnsi="Arial" w:cs="Arial"/>
          <w:b/>
          <w:bCs/>
          <w:color w:val="auto"/>
          <w:szCs w:val="24"/>
        </w:rPr>
        <w:t xml:space="preserve"> de la NES9</w:t>
      </w:r>
    </w:p>
    <w:p w14:paraId="1E4ED805" w14:textId="77777777" w:rsidR="00011713" w:rsidRPr="00742D67" w:rsidRDefault="0070081A" w:rsidP="00B434A6">
      <w:pPr>
        <w:autoSpaceDE w:val="0"/>
        <w:autoSpaceDN w:val="0"/>
        <w:adjustRightInd w:val="0"/>
        <w:jc w:val="both"/>
        <w:rPr>
          <w:rFonts w:ascii="Arial" w:hAnsi="Arial" w:cs="Arial"/>
          <w:szCs w:val="24"/>
        </w:rPr>
      </w:pPr>
      <w:r w:rsidRPr="00742D67">
        <w:rPr>
          <w:rFonts w:ascii="Arial" w:hAnsi="Arial" w:cs="Arial"/>
          <w:szCs w:val="24"/>
        </w:rPr>
        <w:t xml:space="preserve">Les intermédiaires Financiers </w:t>
      </w:r>
      <w:r w:rsidR="00F4640D">
        <w:rPr>
          <w:rFonts w:ascii="Arial" w:hAnsi="Arial" w:cs="Arial"/>
          <w:szCs w:val="24"/>
        </w:rPr>
        <w:t xml:space="preserve">(IF) </w:t>
      </w:r>
      <w:r w:rsidRPr="00742D67">
        <w:rPr>
          <w:rFonts w:ascii="Arial" w:hAnsi="Arial" w:cs="Arial"/>
          <w:szCs w:val="24"/>
        </w:rPr>
        <w:t>dans le cadre du Projet DECIM devront mettre en place et maintien</w:t>
      </w:r>
      <w:r w:rsidR="003A4E5A" w:rsidRPr="00742D67">
        <w:rPr>
          <w:rFonts w:ascii="Arial" w:hAnsi="Arial" w:cs="Arial"/>
          <w:szCs w:val="24"/>
        </w:rPr>
        <w:t>nen</w:t>
      </w:r>
      <w:r w:rsidRPr="00742D67">
        <w:rPr>
          <w:rFonts w:ascii="Arial" w:hAnsi="Arial" w:cs="Arial"/>
          <w:szCs w:val="24"/>
        </w:rPr>
        <w:t>t un Système de Gestion Environnementale et Sociale (SGES) afin d’identifier, d’évaluer, de gérer et de suivre en permanence les risques et effets environnementaux et sociaux de leurs sous-projets. Il</w:t>
      </w:r>
      <w:r w:rsidR="003A4E5A" w:rsidRPr="00742D67">
        <w:rPr>
          <w:rFonts w:ascii="Arial" w:hAnsi="Arial" w:cs="Arial"/>
          <w:szCs w:val="24"/>
        </w:rPr>
        <w:t>s</w:t>
      </w:r>
      <w:r w:rsidRPr="00742D67">
        <w:rPr>
          <w:rFonts w:ascii="Arial" w:hAnsi="Arial" w:cs="Arial"/>
          <w:szCs w:val="24"/>
        </w:rPr>
        <w:t xml:space="preserve"> doi</w:t>
      </w:r>
      <w:r w:rsidR="003A4E5A" w:rsidRPr="00742D67">
        <w:rPr>
          <w:rFonts w:ascii="Arial" w:hAnsi="Arial" w:cs="Arial"/>
          <w:szCs w:val="24"/>
        </w:rPr>
        <w:t>ven</w:t>
      </w:r>
      <w:r w:rsidRPr="00742D67">
        <w:rPr>
          <w:rFonts w:ascii="Arial" w:hAnsi="Arial" w:cs="Arial"/>
          <w:szCs w:val="24"/>
        </w:rPr>
        <w:t>t veiller à ce que les risques et effets environnementaux et sociaux des sous-projets qu’il</w:t>
      </w:r>
      <w:r w:rsidR="003A4E5A" w:rsidRPr="00742D67">
        <w:rPr>
          <w:rFonts w:ascii="Arial" w:hAnsi="Arial" w:cs="Arial"/>
          <w:szCs w:val="24"/>
        </w:rPr>
        <w:t>s</w:t>
      </w:r>
      <w:r w:rsidRPr="00742D67">
        <w:rPr>
          <w:rFonts w:ascii="Arial" w:hAnsi="Arial" w:cs="Arial"/>
          <w:szCs w:val="24"/>
        </w:rPr>
        <w:t xml:space="preserve"> finance</w:t>
      </w:r>
      <w:r w:rsidR="003A4E5A" w:rsidRPr="00742D67">
        <w:rPr>
          <w:rFonts w:ascii="Arial" w:hAnsi="Arial" w:cs="Arial"/>
          <w:szCs w:val="24"/>
        </w:rPr>
        <w:t>nt</w:t>
      </w:r>
      <w:r w:rsidRPr="00742D67">
        <w:rPr>
          <w:rFonts w:ascii="Arial" w:hAnsi="Arial" w:cs="Arial"/>
          <w:szCs w:val="24"/>
        </w:rPr>
        <w:t xml:space="preserve"> ou garanti</w:t>
      </w:r>
      <w:r w:rsidR="003A4E5A" w:rsidRPr="00742D67">
        <w:rPr>
          <w:rFonts w:ascii="Arial" w:hAnsi="Arial" w:cs="Arial"/>
          <w:szCs w:val="24"/>
        </w:rPr>
        <w:t>ssen</w:t>
      </w:r>
      <w:r w:rsidRPr="00742D67">
        <w:rPr>
          <w:rFonts w:ascii="Arial" w:hAnsi="Arial" w:cs="Arial"/>
          <w:szCs w:val="24"/>
        </w:rPr>
        <w:t>t puissent être correctement identifiés, évalués, gérés et suivis, et faire l’objet de rapports appropriés. Le processus d’évaluation environnementale et sociale devrait promouvoir a) la prise de décisions éclairées sur l’acceptabilité, pour l</w:t>
      </w:r>
      <w:r w:rsidR="003A4E5A" w:rsidRPr="00742D67">
        <w:rPr>
          <w:rFonts w:ascii="Arial" w:hAnsi="Arial" w:cs="Arial"/>
          <w:szCs w:val="24"/>
        </w:rPr>
        <w:t xml:space="preserve">es </w:t>
      </w:r>
      <w:r w:rsidRPr="00742D67">
        <w:rPr>
          <w:rFonts w:ascii="Arial" w:hAnsi="Arial" w:cs="Arial"/>
          <w:szCs w:val="24"/>
        </w:rPr>
        <w:t>IF, des risques liés à un portefeuille et au financement ou à l’octroi d’une garantie pour un projet ; b) l’atténuation des risques environnementaux et sociaux liés à un portefeuille et des impacts des sous-projets ; et c) la matérialisation des avantages environnementaux et sociaux potentiels liés à l’exécution des sous-projets.</w:t>
      </w:r>
    </w:p>
    <w:p w14:paraId="51C1FDF3" w14:textId="77777777" w:rsidR="0070081A" w:rsidRPr="00742D67" w:rsidRDefault="0070081A" w:rsidP="00B434A6">
      <w:pPr>
        <w:shd w:val="clear" w:color="auto" w:fill="B4C6E7"/>
        <w:spacing w:before="240" w:after="120"/>
        <w:jc w:val="both"/>
        <w:rPr>
          <w:rFonts w:ascii="Arial" w:hAnsi="Arial" w:cs="Arial"/>
          <w:b/>
          <w:bCs/>
          <w:sz w:val="24"/>
          <w:szCs w:val="24"/>
        </w:rPr>
      </w:pPr>
      <w:r w:rsidRPr="00742D67">
        <w:rPr>
          <w:rFonts w:ascii="Arial" w:hAnsi="Arial" w:cs="Arial"/>
          <w:b/>
          <w:bCs/>
          <w:sz w:val="24"/>
          <w:szCs w:val="24"/>
        </w:rPr>
        <w:t>Application de la NES9 par le Projet</w:t>
      </w:r>
    </w:p>
    <w:p w14:paraId="1A382DB8" w14:textId="77777777" w:rsidR="00812702" w:rsidRPr="00742D67" w:rsidRDefault="00812702" w:rsidP="00B434A6">
      <w:pPr>
        <w:shd w:val="clear" w:color="auto" w:fill="B4C6E7"/>
        <w:autoSpaceDE w:val="0"/>
        <w:autoSpaceDN w:val="0"/>
        <w:adjustRightInd w:val="0"/>
        <w:jc w:val="both"/>
        <w:rPr>
          <w:rFonts w:ascii="Arial" w:hAnsi="Arial" w:cs="Arial"/>
        </w:rPr>
      </w:pPr>
      <w:r w:rsidRPr="00742D67">
        <w:rPr>
          <w:rFonts w:ascii="Arial" w:hAnsi="Arial" w:cs="Arial"/>
        </w:rPr>
        <w:t xml:space="preserve">Le recours à un Intermédiaire Financier est inévitable étant donné que </w:t>
      </w:r>
      <w:r w:rsidR="0070081A" w:rsidRPr="00742D67">
        <w:rPr>
          <w:rFonts w:ascii="Arial" w:hAnsi="Arial" w:cs="Arial"/>
        </w:rPr>
        <w:t xml:space="preserve">le Projet prévoit </w:t>
      </w:r>
      <w:r w:rsidRPr="00742D67">
        <w:rPr>
          <w:rFonts w:ascii="Arial" w:hAnsi="Arial" w:cs="Arial"/>
        </w:rPr>
        <w:t>l’élargissement du champ d’application du FDMHR du projet LEAD dans s</w:t>
      </w:r>
      <w:r w:rsidR="003A4E5A" w:rsidRPr="00742D67">
        <w:rPr>
          <w:rFonts w:ascii="Arial" w:hAnsi="Arial" w:cs="Arial"/>
        </w:rPr>
        <w:t>a</w:t>
      </w:r>
      <w:r w:rsidRPr="00742D67">
        <w:rPr>
          <w:rFonts w:ascii="Arial" w:hAnsi="Arial" w:cs="Arial"/>
        </w:rPr>
        <w:t xml:space="preserve"> sous composante 2.1. C’est pourquoi la NES9 s’applique au Projet.</w:t>
      </w:r>
    </w:p>
    <w:p w14:paraId="783EA888" w14:textId="77777777" w:rsidR="0070081A" w:rsidRPr="00B434A6" w:rsidRDefault="00812702" w:rsidP="00F01166">
      <w:pPr>
        <w:shd w:val="clear" w:color="auto" w:fill="B4C6E7"/>
        <w:autoSpaceDE w:val="0"/>
        <w:autoSpaceDN w:val="0"/>
        <w:adjustRightInd w:val="0"/>
        <w:jc w:val="both"/>
        <w:rPr>
          <w:rFonts w:ascii="Arial" w:hAnsi="Arial" w:cs="Arial"/>
          <w:szCs w:val="24"/>
        </w:rPr>
      </w:pPr>
      <w:r w:rsidRPr="00742D67">
        <w:rPr>
          <w:rFonts w:ascii="Arial" w:hAnsi="Arial" w:cs="Arial"/>
        </w:rPr>
        <w:t>Ainsi</w:t>
      </w:r>
      <w:r w:rsidR="00F2509E">
        <w:rPr>
          <w:rFonts w:ascii="Arial" w:hAnsi="Arial" w:cs="Arial"/>
        </w:rPr>
        <w:t>,</w:t>
      </w:r>
      <w:r w:rsidR="00201587">
        <w:rPr>
          <w:rFonts w:ascii="Arial" w:hAnsi="Arial" w:cs="Arial"/>
        </w:rPr>
        <w:t xml:space="preserve"> avant sa mobilisation</w:t>
      </w:r>
      <w:r w:rsidRPr="00742D67">
        <w:rPr>
          <w:rFonts w:ascii="Arial" w:hAnsi="Arial" w:cs="Arial"/>
        </w:rPr>
        <w:t>, l’IF est dans l’obligation de m</w:t>
      </w:r>
      <w:r w:rsidR="00201587">
        <w:rPr>
          <w:rFonts w:ascii="Arial" w:hAnsi="Arial" w:cs="Arial"/>
        </w:rPr>
        <w:t>et</w:t>
      </w:r>
      <w:r w:rsidRPr="00742D67">
        <w:rPr>
          <w:rFonts w:ascii="Arial" w:hAnsi="Arial" w:cs="Arial"/>
        </w:rPr>
        <w:t>tre en place un SGES pour gérer tous les risques et effets environnementaux et sociaux de ses opérations et des sous-projets qu’</w:t>
      </w:r>
      <w:r w:rsidR="003A4E5A" w:rsidRPr="00742D67">
        <w:rPr>
          <w:rFonts w:ascii="Arial" w:hAnsi="Arial" w:cs="Arial"/>
        </w:rPr>
        <w:t>il</w:t>
      </w:r>
      <w:r w:rsidRPr="00742D67">
        <w:rPr>
          <w:rFonts w:ascii="Arial" w:hAnsi="Arial" w:cs="Arial"/>
        </w:rPr>
        <w:t xml:space="preserve"> finance</w:t>
      </w:r>
      <w:r w:rsidR="00F4640D">
        <w:rPr>
          <w:rFonts w:ascii="Arial" w:hAnsi="Arial" w:cs="Arial"/>
        </w:rPr>
        <w:t>.</w:t>
      </w:r>
    </w:p>
    <w:p w14:paraId="16D46E8F" w14:textId="77777777" w:rsidR="00C61824" w:rsidRPr="00C61824" w:rsidRDefault="00353921" w:rsidP="0044500E">
      <w:pPr>
        <w:pStyle w:val="TIT3"/>
        <w:numPr>
          <w:ilvl w:val="2"/>
          <w:numId w:val="177"/>
        </w:numPr>
      </w:pPr>
      <w:bookmarkStart w:id="716" w:name="_Toc121232625"/>
      <w:bookmarkStart w:id="717" w:name="_Toc124314717"/>
      <w:bookmarkStart w:id="718" w:name="_Toc124956199"/>
      <w:bookmarkStart w:id="719" w:name="_Toc125384597"/>
      <w:bookmarkStart w:id="720" w:name="_Toc125384986"/>
      <w:bookmarkStart w:id="721" w:name="_Toc127957658"/>
      <w:r>
        <w:br w:type="page"/>
      </w:r>
      <w:r w:rsidR="00C61824" w:rsidRPr="00C61824">
        <w:t xml:space="preserve">NES10 : Mobilisation des parties prenantes et </w:t>
      </w:r>
      <w:r w:rsidR="00F2509E">
        <w:t>diffusion de l’</w:t>
      </w:r>
      <w:r w:rsidR="00C61824" w:rsidRPr="00C61824">
        <w:t>information</w:t>
      </w:r>
      <w:bookmarkEnd w:id="716"/>
      <w:bookmarkEnd w:id="717"/>
      <w:bookmarkEnd w:id="718"/>
      <w:bookmarkEnd w:id="719"/>
      <w:bookmarkEnd w:id="720"/>
      <w:bookmarkEnd w:id="721"/>
    </w:p>
    <w:p w14:paraId="6EA20EE1" w14:textId="77777777" w:rsidR="00C61824" w:rsidRPr="00C61824" w:rsidRDefault="00C61824" w:rsidP="00687DD2">
      <w:pPr>
        <w:pStyle w:val="Paragraphedeliste"/>
        <w:numPr>
          <w:ilvl w:val="0"/>
          <w:numId w:val="12"/>
        </w:numPr>
        <w:spacing w:before="240" w:after="120"/>
        <w:rPr>
          <w:rFonts w:ascii="Arial" w:hAnsi="Arial" w:cs="Arial"/>
          <w:b/>
          <w:bCs/>
          <w:szCs w:val="24"/>
        </w:rPr>
      </w:pPr>
      <w:r w:rsidRPr="00C61824">
        <w:rPr>
          <w:rFonts w:ascii="Arial" w:hAnsi="Arial" w:cs="Arial"/>
          <w:b/>
          <w:bCs/>
          <w:szCs w:val="24"/>
        </w:rPr>
        <w:t>Objectifs et principes de la NES10</w:t>
      </w:r>
    </w:p>
    <w:p w14:paraId="5A21D103" w14:textId="77777777" w:rsidR="00C61824" w:rsidRPr="00C61824" w:rsidRDefault="00C61824" w:rsidP="00C61824">
      <w:pPr>
        <w:autoSpaceDE w:val="0"/>
        <w:autoSpaceDN w:val="0"/>
        <w:adjustRightInd w:val="0"/>
        <w:jc w:val="both"/>
        <w:rPr>
          <w:rFonts w:ascii="Arial" w:hAnsi="Arial" w:cs="Arial"/>
          <w:szCs w:val="24"/>
        </w:rPr>
      </w:pPr>
      <w:r w:rsidRPr="00C61824">
        <w:rPr>
          <w:rFonts w:ascii="Arial" w:hAnsi="Arial" w:cs="Arial"/>
          <w:szCs w:val="24"/>
        </w:rPr>
        <w:t>La NES10 reconnaît l’importance de l’engagement ouvert et transparente entre l’Emprunteur et les parties prenantes du projet, les travailleurs du projet comme un élément essentiel de bonne pratique internationale. Une adhésion efficace des parties prenantes peut améliorer la durabilité environnementale et sociale des projets, améliorer l’acceptation des projets, et contribuer de manière significative à la conception et à la mise en œuvre réussie des projets. La participation des parties prenantes est un processus inclusif mené tout au long du cycle de vie du projet.</w:t>
      </w:r>
    </w:p>
    <w:p w14:paraId="5E5C42EB" w14:textId="77777777" w:rsidR="00C61824" w:rsidRPr="00C61824" w:rsidRDefault="00C61824" w:rsidP="00C61824">
      <w:pPr>
        <w:autoSpaceDE w:val="0"/>
        <w:autoSpaceDN w:val="0"/>
        <w:adjustRightInd w:val="0"/>
        <w:jc w:val="both"/>
        <w:rPr>
          <w:rFonts w:ascii="Arial" w:hAnsi="Arial" w:cs="Arial"/>
          <w:szCs w:val="24"/>
        </w:rPr>
      </w:pPr>
      <w:r w:rsidRPr="00C61824">
        <w:rPr>
          <w:rFonts w:ascii="Arial" w:hAnsi="Arial" w:cs="Arial"/>
          <w:szCs w:val="24"/>
        </w:rPr>
        <w:t xml:space="preserve">Les objectifs de la NES10 sont les suivants : </w:t>
      </w:r>
    </w:p>
    <w:p w14:paraId="1480219E" w14:textId="77777777" w:rsidR="00C61824" w:rsidRPr="00C61824" w:rsidRDefault="00C61824" w:rsidP="00687DD2">
      <w:pPr>
        <w:pStyle w:val="Paragraphedeliste"/>
        <w:numPr>
          <w:ilvl w:val="0"/>
          <w:numId w:val="7"/>
        </w:numPr>
        <w:suppressAutoHyphens/>
        <w:spacing w:after="0" w:line="240" w:lineRule="auto"/>
        <w:ind w:left="777" w:hanging="357"/>
        <w:jc w:val="both"/>
        <w:rPr>
          <w:rFonts w:ascii="Arial" w:hAnsi="Arial" w:cs="Arial"/>
          <w:szCs w:val="24"/>
        </w:rPr>
      </w:pPr>
      <w:r w:rsidRPr="00C61824">
        <w:rPr>
          <w:rFonts w:ascii="Arial" w:hAnsi="Arial" w:cs="Arial"/>
          <w:szCs w:val="24"/>
        </w:rPr>
        <w:t>Définir une approche systématique à la participation des parties prenantes qui aidera les Emprunteurs à identifier les parties prenantes et à construire et à maintenir une relation constructive avec elles, en particulier les parties affectées par le projet ;</w:t>
      </w:r>
    </w:p>
    <w:p w14:paraId="129661A0" w14:textId="77777777" w:rsidR="00C61824" w:rsidRPr="00C61824" w:rsidRDefault="00C61824" w:rsidP="00687DD2">
      <w:pPr>
        <w:pStyle w:val="Paragraphedeliste"/>
        <w:numPr>
          <w:ilvl w:val="0"/>
          <w:numId w:val="7"/>
        </w:numPr>
        <w:suppressAutoHyphens/>
        <w:spacing w:after="0" w:line="240" w:lineRule="auto"/>
        <w:ind w:left="777" w:hanging="357"/>
        <w:jc w:val="both"/>
        <w:rPr>
          <w:rFonts w:ascii="Arial" w:hAnsi="Arial" w:cs="Arial"/>
          <w:szCs w:val="24"/>
        </w:rPr>
      </w:pPr>
      <w:r w:rsidRPr="00C61824">
        <w:rPr>
          <w:rFonts w:ascii="Arial" w:hAnsi="Arial" w:cs="Arial"/>
          <w:szCs w:val="24"/>
        </w:rPr>
        <w:t>Évaluer le niveau d’intérêt et de soutien des parties prenantes pour le projet et permettre de tenir compte de l’avis des parties prenantes dans la conception du projet et la performance environnementale et sociale ;</w:t>
      </w:r>
    </w:p>
    <w:p w14:paraId="2E2BE595" w14:textId="77777777" w:rsidR="00C61824" w:rsidRPr="00C61824" w:rsidRDefault="00C61824" w:rsidP="00687DD2">
      <w:pPr>
        <w:pStyle w:val="Paragraphedeliste"/>
        <w:numPr>
          <w:ilvl w:val="0"/>
          <w:numId w:val="7"/>
        </w:numPr>
        <w:suppressAutoHyphens/>
        <w:spacing w:after="0" w:line="240" w:lineRule="auto"/>
        <w:ind w:left="777" w:hanging="357"/>
        <w:jc w:val="both"/>
        <w:rPr>
          <w:rFonts w:ascii="Arial" w:hAnsi="Arial" w:cs="Arial"/>
          <w:szCs w:val="24"/>
        </w:rPr>
      </w:pPr>
      <w:r w:rsidRPr="00C61824">
        <w:rPr>
          <w:rFonts w:ascii="Arial" w:hAnsi="Arial" w:cs="Arial"/>
          <w:szCs w:val="24"/>
        </w:rPr>
        <w:t>Promouvoir et fournir des moyens de participation efficaces et inclusifs avec les parties affectées par le projet tout au long du cycle du projet sur des questions susceptibles d’avoir une incidence sur elles ;</w:t>
      </w:r>
    </w:p>
    <w:p w14:paraId="65135048" w14:textId="77777777" w:rsidR="00C61824" w:rsidRPr="00C61824" w:rsidRDefault="00C61824" w:rsidP="00687DD2">
      <w:pPr>
        <w:pStyle w:val="Paragraphedeliste"/>
        <w:numPr>
          <w:ilvl w:val="0"/>
          <w:numId w:val="7"/>
        </w:numPr>
        <w:suppressAutoHyphens/>
        <w:spacing w:after="0" w:line="240" w:lineRule="auto"/>
        <w:ind w:left="777" w:hanging="357"/>
        <w:jc w:val="both"/>
        <w:rPr>
          <w:rFonts w:ascii="Arial" w:hAnsi="Arial" w:cs="Arial"/>
          <w:szCs w:val="24"/>
        </w:rPr>
      </w:pPr>
      <w:r w:rsidRPr="00C61824">
        <w:rPr>
          <w:rFonts w:ascii="Arial" w:hAnsi="Arial" w:cs="Arial"/>
          <w:szCs w:val="24"/>
        </w:rPr>
        <w:t>Assurer la communication d’informations sur les risques et les impacts environnementaux et sociaux aux parties prenantes d’une manière et dans un format opportun, compréhensibles, accessibles et appropriés ;</w:t>
      </w:r>
    </w:p>
    <w:p w14:paraId="30FBBB1D" w14:textId="77777777" w:rsidR="00C61824" w:rsidRPr="00C61824" w:rsidRDefault="00C61824" w:rsidP="00687DD2">
      <w:pPr>
        <w:pStyle w:val="Paragraphedeliste"/>
        <w:numPr>
          <w:ilvl w:val="0"/>
          <w:numId w:val="7"/>
        </w:numPr>
        <w:suppressAutoHyphens/>
        <w:spacing w:after="0" w:line="240" w:lineRule="auto"/>
        <w:ind w:left="777" w:hanging="357"/>
        <w:jc w:val="both"/>
        <w:rPr>
          <w:rFonts w:ascii="Arial" w:hAnsi="Arial" w:cs="Arial"/>
          <w:szCs w:val="24"/>
        </w:rPr>
      </w:pPr>
      <w:r w:rsidRPr="00C61824">
        <w:rPr>
          <w:rFonts w:ascii="Arial" w:hAnsi="Arial" w:cs="Arial"/>
          <w:szCs w:val="24"/>
        </w:rPr>
        <w:t>Assurer que les parties affectées par le projet aient accès à des moyens accessibles et inclusifs leur permettant de soulever des préoccupations et des plaintes, et permettre aux Emprunteurs de répondre et de gérer ces plaintes.</w:t>
      </w:r>
    </w:p>
    <w:p w14:paraId="44462306" w14:textId="77777777" w:rsidR="00C61824" w:rsidRDefault="00C61824" w:rsidP="00687DD2">
      <w:pPr>
        <w:pStyle w:val="Paragraphedeliste"/>
        <w:numPr>
          <w:ilvl w:val="0"/>
          <w:numId w:val="7"/>
        </w:numPr>
        <w:suppressAutoHyphens/>
        <w:spacing w:after="0" w:line="240" w:lineRule="auto"/>
        <w:ind w:left="777" w:hanging="357"/>
        <w:jc w:val="both"/>
        <w:rPr>
          <w:rFonts w:ascii="Arial" w:hAnsi="Arial" w:cs="Arial"/>
          <w:szCs w:val="24"/>
        </w:rPr>
      </w:pPr>
      <w:r w:rsidRPr="00C61824">
        <w:rPr>
          <w:rFonts w:ascii="Arial" w:hAnsi="Arial" w:cs="Arial"/>
          <w:szCs w:val="24"/>
        </w:rPr>
        <w:t>Assurer l’inclusion des groupes vulnérables et marginalisés, dans le processus décisionnel, des projets, lesquels ont la possibilité d’influer et d</w:t>
      </w:r>
      <w:r>
        <w:rPr>
          <w:rFonts w:ascii="Arial" w:hAnsi="Arial" w:cs="Arial"/>
          <w:szCs w:val="24"/>
        </w:rPr>
        <w:t>’affecter directement leur vie.</w:t>
      </w:r>
    </w:p>
    <w:p w14:paraId="51BA6EB3" w14:textId="77777777" w:rsidR="00C61824" w:rsidRPr="00C61824" w:rsidRDefault="00C61824" w:rsidP="00C61824">
      <w:pPr>
        <w:suppressAutoHyphens/>
        <w:spacing w:after="0" w:line="240" w:lineRule="auto"/>
        <w:jc w:val="both"/>
        <w:rPr>
          <w:rFonts w:ascii="Arial" w:hAnsi="Arial" w:cs="Arial"/>
          <w:szCs w:val="24"/>
        </w:rPr>
      </w:pPr>
    </w:p>
    <w:p w14:paraId="7835BAD7" w14:textId="77777777" w:rsidR="00C61824" w:rsidRPr="00C61824" w:rsidRDefault="00C61824" w:rsidP="00F01166">
      <w:pPr>
        <w:pStyle w:val="Paragraphedeliste"/>
        <w:numPr>
          <w:ilvl w:val="0"/>
          <w:numId w:val="12"/>
        </w:numPr>
        <w:spacing w:before="120" w:after="120"/>
        <w:rPr>
          <w:rFonts w:ascii="Arial" w:hAnsi="Arial" w:cs="Arial"/>
          <w:b/>
          <w:bCs/>
          <w:szCs w:val="24"/>
        </w:rPr>
      </w:pPr>
      <w:r w:rsidRPr="00C61824">
        <w:rPr>
          <w:rFonts w:ascii="Arial" w:hAnsi="Arial" w:cs="Arial"/>
          <w:b/>
          <w:bCs/>
          <w:szCs w:val="24"/>
        </w:rPr>
        <w:t xml:space="preserve">Dispositions et exigences de la NES10 </w:t>
      </w:r>
    </w:p>
    <w:p w14:paraId="404DC6F0" w14:textId="77777777" w:rsidR="00C61824" w:rsidRDefault="00C61824" w:rsidP="00C61824">
      <w:pPr>
        <w:autoSpaceDE w:val="0"/>
        <w:autoSpaceDN w:val="0"/>
        <w:adjustRightInd w:val="0"/>
        <w:jc w:val="both"/>
        <w:rPr>
          <w:rFonts w:ascii="Arial" w:hAnsi="Arial" w:cs="Arial"/>
          <w:szCs w:val="24"/>
        </w:rPr>
      </w:pPr>
      <w:r w:rsidRPr="00C61824">
        <w:rPr>
          <w:rFonts w:ascii="Arial" w:hAnsi="Arial" w:cs="Arial"/>
          <w:szCs w:val="24"/>
        </w:rPr>
        <w:t xml:space="preserve">Les parties prenantes doivent être mobilisées pendant toute la durée de vie du projet, en commençant le plus tôt possible pendant le processus d’élaboration. Le processus de mobilisation des parties prenantes comprendra les actions suivantes, (i) identification et analyse des parties prenantes ; (ii) planification des modalités de mobilisation des parties prenantes ; (iii) diffusion de l’information ; (iv) consultation des parties prenantes ; (v) traitement et règlement des griefs ; et (vi) compte rendu aux parties prenantes. Il doit être élaboré le plan de mobilisation des parties prenantes (PMPP) lequel sera proportionné à la nature et l’envergure du projet ainsi qu’à ses risques et effets potentiels. Le PMPP doit être rendu public le plus tôt possible. Il sera fixé dans le document les modalités de communication avec les parties prenantes tout au long de l’élaboration et la mise en œuvre du projet. </w:t>
      </w:r>
    </w:p>
    <w:p w14:paraId="02D5B058" w14:textId="77777777" w:rsidR="00CF03E1" w:rsidRPr="00C61824" w:rsidRDefault="00CF03E1" w:rsidP="00C61824">
      <w:pPr>
        <w:autoSpaceDE w:val="0"/>
        <w:autoSpaceDN w:val="0"/>
        <w:adjustRightInd w:val="0"/>
        <w:jc w:val="both"/>
        <w:rPr>
          <w:rFonts w:ascii="Arial" w:hAnsi="Arial" w:cs="Arial"/>
          <w:szCs w:val="24"/>
        </w:rPr>
      </w:pPr>
    </w:p>
    <w:tbl>
      <w:tblPr>
        <w:tblW w:w="0" w:type="auto"/>
        <w:shd w:val="clear" w:color="auto" w:fill="B8CCE4"/>
        <w:tblLook w:val="04A0" w:firstRow="1" w:lastRow="0" w:firstColumn="1" w:lastColumn="0" w:noHBand="0" w:noVBand="1"/>
      </w:tblPr>
      <w:tblGrid>
        <w:gridCol w:w="9062"/>
      </w:tblGrid>
      <w:tr w:rsidR="00C61824" w:rsidRPr="007F78CE" w14:paraId="21EF1E00" w14:textId="77777777" w:rsidTr="007F78CE">
        <w:tc>
          <w:tcPr>
            <w:tcW w:w="9062" w:type="dxa"/>
            <w:shd w:val="clear" w:color="auto" w:fill="B8CCE4"/>
          </w:tcPr>
          <w:p w14:paraId="5ADADA90" w14:textId="77777777" w:rsidR="00C61824" w:rsidRPr="007F78CE" w:rsidRDefault="00C61824" w:rsidP="006F6154">
            <w:pPr>
              <w:spacing w:before="240" w:after="120"/>
              <w:rPr>
                <w:rFonts w:ascii="Arial" w:hAnsi="Arial" w:cs="Arial"/>
                <w:b/>
                <w:bCs/>
                <w:sz w:val="24"/>
                <w:szCs w:val="24"/>
              </w:rPr>
            </w:pPr>
            <w:r w:rsidRPr="007F78CE">
              <w:rPr>
                <w:rFonts w:ascii="Arial" w:hAnsi="Arial" w:cs="Arial"/>
                <w:b/>
                <w:bCs/>
                <w:sz w:val="24"/>
                <w:szCs w:val="24"/>
              </w:rPr>
              <w:t>Application de la NES10 par le Projet</w:t>
            </w:r>
          </w:p>
          <w:p w14:paraId="18FFA1CE" w14:textId="77777777" w:rsidR="00C61824" w:rsidRPr="007F78CE" w:rsidRDefault="00C61824" w:rsidP="009162AD">
            <w:pPr>
              <w:autoSpaceDE w:val="0"/>
              <w:autoSpaceDN w:val="0"/>
              <w:adjustRightInd w:val="0"/>
              <w:spacing w:before="120" w:after="120"/>
              <w:jc w:val="both"/>
              <w:rPr>
                <w:rFonts w:ascii="Arial" w:hAnsi="Arial" w:cs="Arial"/>
              </w:rPr>
            </w:pPr>
            <w:r w:rsidRPr="007F78CE">
              <w:rPr>
                <w:rFonts w:ascii="Arial" w:hAnsi="Arial" w:cs="Arial"/>
              </w:rPr>
              <w:t xml:space="preserve">A l’instar de tous les projets financés par la Banque mondiale, il est appliqué au Projet la NES10. En effet, le projet va mobiliser différents types de parties prenantes, dont l’Administration publique (au moins deux Ministères impliqués et leurs démembrements régionaux respectifs), les collectivités territoriales décentralisées (Région et Commune), les populations locales, les bénéficiaires soit les producteurs agricoles, les autorités locales, les opérateurs privés travaillant dans les domaines touchés, etc. Un Plan de mobilisation des parties prenantes ou PMPP est élaboré avec le CGES. </w:t>
            </w:r>
            <w:r w:rsidR="009162AD" w:rsidRPr="00742D67">
              <w:rPr>
                <w:rFonts w:ascii="Arial" w:hAnsi="Arial" w:cs="Arial"/>
              </w:rPr>
              <w:t>En outre, le Projet mettra aussi en place un Mécanisme de Gestion de Plainte</w:t>
            </w:r>
            <w:r w:rsidR="00F00C67">
              <w:rPr>
                <w:rFonts w:ascii="Arial" w:hAnsi="Arial" w:cs="Arial"/>
              </w:rPr>
              <w:t>s</w:t>
            </w:r>
            <w:r w:rsidR="009162AD" w:rsidRPr="00742D67">
              <w:rPr>
                <w:rFonts w:ascii="Arial" w:hAnsi="Arial" w:cs="Arial"/>
              </w:rPr>
              <w:t xml:space="preserve"> </w:t>
            </w:r>
            <w:r w:rsidR="004C2CB7">
              <w:rPr>
                <w:rFonts w:ascii="Arial" w:hAnsi="Arial" w:cs="Arial"/>
              </w:rPr>
              <w:t xml:space="preserve">(MGP) </w:t>
            </w:r>
            <w:r w:rsidR="009162AD" w:rsidRPr="00742D67">
              <w:rPr>
                <w:rFonts w:ascii="Arial" w:hAnsi="Arial" w:cs="Arial"/>
              </w:rPr>
              <w:t>pour le traitement de diverses doléances dans le cadre du Projet DECIM. Le MGP global est développé dans le document PMPP du Projet.</w:t>
            </w:r>
          </w:p>
        </w:tc>
      </w:tr>
    </w:tbl>
    <w:p w14:paraId="6D5EA862" w14:textId="77777777" w:rsidR="00C369FE" w:rsidRDefault="00C369FE"/>
    <w:p w14:paraId="636EB541" w14:textId="77777777" w:rsidR="006F6154" w:rsidRPr="006F6154" w:rsidRDefault="009428FB" w:rsidP="0044500E">
      <w:pPr>
        <w:pStyle w:val="TIT3"/>
        <w:numPr>
          <w:ilvl w:val="2"/>
          <w:numId w:val="177"/>
        </w:numPr>
      </w:pPr>
      <w:bookmarkStart w:id="722" w:name="_Toc98192323"/>
      <w:bookmarkStart w:id="723" w:name="_Toc95029780"/>
      <w:bookmarkStart w:id="724" w:name="_Toc100755441"/>
      <w:bookmarkStart w:id="725" w:name="_Toc110859958"/>
      <w:bookmarkStart w:id="726" w:name="_Toc121232626"/>
      <w:bookmarkStart w:id="727" w:name="_Toc124314718"/>
      <w:bookmarkStart w:id="728" w:name="_Toc124956200"/>
      <w:bookmarkStart w:id="729" w:name="_Toc125384598"/>
      <w:bookmarkStart w:id="730" w:name="_Toc125384987"/>
      <w:bookmarkStart w:id="731" w:name="_Toc127957659"/>
      <w:r w:rsidRPr="006F6154">
        <w:t xml:space="preserve">Directives EHS </w:t>
      </w:r>
      <w:bookmarkEnd w:id="722"/>
      <w:bookmarkEnd w:id="723"/>
      <w:r w:rsidRPr="006F6154">
        <w:t xml:space="preserve">générales et </w:t>
      </w:r>
      <w:bookmarkEnd w:id="724"/>
      <w:bookmarkEnd w:id="725"/>
      <w:bookmarkEnd w:id="726"/>
      <w:r w:rsidRPr="006F6154">
        <w:t>spécifiques</w:t>
      </w:r>
      <w:bookmarkEnd w:id="727"/>
      <w:bookmarkEnd w:id="728"/>
      <w:bookmarkEnd w:id="729"/>
      <w:bookmarkEnd w:id="730"/>
      <w:bookmarkEnd w:id="731"/>
    </w:p>
    <w:p w14:paraId="292C6FFB" w14:textId="77777777" w:rsidR="006F6154" w:rsidRPr="006F6154" w:rsidRDefault="006F6154" w:rsidP="006F6154">
      <w:pPr>
        <w:autoSpaceDE w:val="0"/>
        <w:autoSpaceDN w:val="0"/>
        <w:adjustRightInd w:val="0"/>
        <w:jc w:val="both"/>
        <w:rPr>
          <w:rFonts w:ascii="Arial" w:hAnsi="Arial" w:cs="Arial"/>
          <w:szCs w:val="24"/>
        </w:rPr>
      </w:pPr>
      <w:r w:rsidRPr="006F6154">
        <w:rPr>
          <w:rFonts w:ascii="Arial" w:hAnsi="Arial" w:cs="Arial"/>
          <w:szCs w:val="24"/>
        </w:rPr>
        <w:t xml:space="preserve">Les Directives environnementales, sanitaires et sécuritaires (Directives EHS) du Groupe de la Banque mondiale (GBM) sont des documents de références techniques qui présentent des exemples de bonnes pratiques internationales, de portée générale ou concernant une branche d’activité particulière. Lorsqu’un Etat membre participe à un projet du Groupe de la Banque mondiale, les Directives EHS doivent être suivies conformément aux politiques et normes du pays. </w:t>
      </w:r>
    </w:p>
    <w:p w14:paraId="28D0C335" w14:textId="77777777" w:rsidR="006F6154" w:rsidRPr="006F6154" w:rsidRDefault="006F6154" w:rsidP="006F6154">
      <w:pPr>
        <w:autoSpaceDE w:val="0"/>
        <w:autoSpaceDN w:val="0"/>
        <w:adjustRightInd w:val="0"/>
        <w:jc w:val="both"/>
        <w:rPr>
          <w:rFonts w:ascii="Arial" w:hAnsi="Arial" w:cs="Arial"/>
          <w:szCs w:val="24"/>
        </w:rPr>
      </w:pPr>
      <w:r w:rsidRPr="006F6154">
        <w:rPr>
          <w:rFonts w:ascii="Arial" w:hAnsi="Arial" w:cs="Arial"/>
          <w:szCs w:val="24"/>
        </w:rPr>
        <w:t>Les Directives EHS générales</w:t>
      </w:r>
      <w:r w:rsidR="00A41803">
        <w:rPr>
          <w:rStyle w:val="Appelnotedebasdep"/>
          <w:rFonts w:ascii="Arial" w:hAnsi="Arial" w:cs="Arial"/>
          <w:szCs w:val="24"/>
        </w:rPr>
        <w:footnoteReference w:id="70"/>
      </w:r>
      <w:r w:rsidRPr="006F6154">
        <w:rPr>
          <w:rFonts w:ascii="Arial" w:hAnsi="Arial" w:cs="Arial"/>
          <w:szCs w:val="24"/>
        </w:rPr>
        <w:t xml:space="preserve"> présentent des principes directeurs environnementaux, sanitaires et sécuritaires applicables dans tous les domaines. Elles abordent les thématiques suivantes : Environnement, Hygiène et sécurité au travail, Santé et sécurité des communautés, Construction et fermeture</w:t>
      </w:r>
    </w:p>
    <w:p w14:paraId="6BDD859E" w14:textId="77777777" w:rsidR="006F6154" w:rsidRPr="006F6154" w:rsidRDefault="006F6154" w:rsidP="006F6154">
      <w:pPr>
        <w:autoSpaceDE w:val="0"/>
        <w:autoSpaceDN w:val="0"/>
        <w:adjustRightInd w:val="0"/>
        <w:jc w:val="both"/>
        <w:rPr>
          <w:rFonts w:ascii="Arial" w:hAnsi="Arial" w:cs="Arial"/>
          <w:szCs w:val="24"/>
        </w:rPr>
      </w:pPr>
      <w:r w:rsidRPr="006F6154">
        <w:rPr>
          <w:rFonts w:ascii="Arial" w:hAnsi="Arial" w:cs="Arial"/>
          <w:szCs w:val="24"/>
        </w:rPr>
        <w:t>Les Directives EHS générales du GBM précisent notamment l’approche générale pour la gestion des questions HSE sur un projet, à savoir :</w:t>
      </w:r>
    </w:p>
    <w:p w14:paraId="2C5BF589" w14:textId="77777777" w:rsidR="006F6154" w:rsidRPr="006F6154" w:rsidRDefault="006F6154" w:rsidP="00687DD2">
      <w:pPr>
        <w:pStyle w:val="Paragraphedeliste"/>
        <w:numPr>
          <w:ilvl w:val="0"/>
          <w:numId w:val="7"/>
        </w:numPr>
        <w:suppressAutoHyphens/>
        <w:spacing w:after="0" w:line="240" w:lineRule="auto"/>
        <w:ind w:left="777" w:hanging="357"/>
        <w:jc w:val="both"/>
        <w:rPr>
          <w:rFonts w:ascii="Arial" w:hAnsi="Arial" w:cs="Arial"/>
          <w:szCs w:val="24"/>
        </w:rPr>
      </w:pPr>
      <w:r w:rsidRPr="006F6154">
        <w:rPr>
          <w:rFonts w:ascii="Arial" w:hAnsi="Arial" w:cs="Arial"/>
          <w:szCs w:val="24"/>
        </w:rPr>
        <w:t>Identifier les dangers et les risques d’ordre environnemental, sanitaire et sécuritaire, dès la conception ou la définition du cycle du projet, et prendre en compte ces questions notamment lors du processus de conception, établissement des plans d’ingénierie, travaux d’ingénierie ;</w:t>
      </w:r>
    </w:p>
    <w:p w14:paraId="5EE75B6A" w14:textId="77777777" w:rsidR="006F6154" w:rsidRPr="006F6154" w:rsidRDefault="006F6154" w:rsidP="00687DD2">
      <w:pPr>
        <w:pStyle w:val="Paragraphedeliste"/>
        <w:numPr>
          <w:ilvl w:val="0"/>
          <w:numId w:val="7"/>
        </w:numPr>
        <w:suppressAutoHyphens/>
        <w:spacing w:after="0" w:line="240" w:lineRule="auto"/>
        <w:ind w:left="777" w:hanging="357"/>
        <w:jc w:val="both"/>
        <w:rPr>
          <w:rFonts w:ascii="Arial" w:hAnsi="Arial" w:cs="Arial"/>
          <w:szCs w:val="24"/>
        </w:rPr>
      </w:pPr>
      <w:r w:rsidRPr="006F6154">
        <w:rPr>
          <w:rFonts w:ascii="Arial" w:hAnsi="Arial" w:cs="Arial"/>
          <w:szCs w:val="24"/>
        </w:rPr>
        <w:t>Faire appel à des spécialistes des questions HSE pour évaluer et gérer les risques et les impacts dans ces domaines, et charger ces spécialistes de fonctions particulières concernant la gestion de l’environnement, comme la préparation de procédures et de plans spécifique ;</w:t>
      </w:r>
    </w:p>
    <w:p w14:paraId="6CAAD8C2" w14:textId="77777777" w:rsidR="006F6154" w:rsidRPr="006F6154" w:rsidRDefault="006F6154" w:rsidP="00687DD2">
      <w:pPr>
        <w:pStyle w:val="Paragraphedeliste"/>
        <w:numPr>
          <w:ilvl w:val="0"/>
          <w:numId w:val="7"/>
        </w:numPr>
        <w:suppressAutoHyphens/>
        <w:spacing w:after="0" w:line="240" w:lineRule="auto"/>
        <w:ind w:left="777" w:hanging="357"/>
        <w:jc w:val="both"/>
        <w:rPr>
          <w:rFonts w:ascii="Arial" w:hAnsi="Arial" w:cs="Arial"/>
          <w:szCs w:val="24"/>
        </w:rPr>
      </w:pPr>
      <w:r w:rsidRPr="006F6154">
        <w:rPr>
          <w:rFonts w:ascii="Arial" w:hAnsi="Arial" w:cs="Arial"/>
          <w:szCs w:val="24"/>
        </w:rPr>
        <w:t>Evaluer la probabilité et l’ampleur des risques HSE, en se fondant sur la nature du projet et les impacts potentiels sur les travailleurs, la population ou l’environnement, si les risques ne sont pas bien gérés ;</w:t>
      </w:r>
    </w:p>
    <w:p w14:paraId="714A6FDA" w14:textId="77777777" w:rsidR="006F6154" w:rsidRPr="006F6154" w:rsidRDefault="006F6154" w:rsidP="00687DD2">
      <w:pPr>
        <w:pStyle w:val="Paragraphedeliste"/>
        <w:numPr>
          <w:ilvl w:val="0"/>
          <w:numId w:val="7"/>
        </w:numPr>
        <w:suppressAutoHyphens/>
        <w:spacing w:after="0" w:line="240" w:lineRule="auto"/>
        <w:ind w:left="777" w:hanging="357"/>
        <w:jc w:val="both"/>
        <w:rPr>
          <w:rFonts w:ascii="Arial" w:hAnsi="Arial" w:cs="Arial"/>
          <w:szCs w:val="24"/>
        </w:rPr>
      </w:pPr>
      <w:r w:rsidRPr="006F6154">
        <w:rPr>
          <w:rFonts w:ascii="Arial" w:hAnsi="Arial" w:cs="Arial"/>
          <w:szCs w:val="24"/>
        </w:rPr>
        <w:t>Etablir des priorités pour les stratégies de gestion des risques afin de réduire le risque global pour la santé humaine et l’environnement, et dans ce cadre, se concentrer sur la prévention des impacts irréversibles ou majeurs ;</w:t>
      </w:r>
    </w:p>
    <w:p w14:paraId="4FB1F541" w14:textId="77777777" w:rsidR="006F6154" w:rsidRPr="006F6154" w:rsidRDefault="006F6154" w:rsidP="00687DD2">
      <w:pPr>
        <w:pStyle w:val="Paragraphedeliste"/>
        <w:numPr>
          <w:ilvl w:val="0"/>
          <w:numId w:val="7"/>
        </w:numPr>
        <w:suppressAutoHyphens/>
        <w:spacing w:after="0" w:line="240" w:lineRule="auto"/>
        <w:ind w:left="777" w:hanging="357"/>
        <w:jc w:val="both"/>
        <w:rPr>
          <w:rFonts w:ascii="Arial" w:hAnsi="Arial" w:cs="Arial"/>
          <w:szCs w:val="24"/>
        </w:rPr>
      </w:pPr>
      <w:r w:rsidRPr="006F6154">
        <w:rPr>
          <w:rFonts w:ascii="Arial" w:hAnsi="Arial" w:cs="Arial"/>
          <w:szCs w:val="24"/>
        </w:rPr>
        <w:t>Favoriser les stratégies qui éliminent la cause du danger à sa source ;</w:t>
      </w:r>
    </w:p>
    <w:p w14:paraId="791AB093" w14:textId="77777777" w:rsidR="006F6154" w:rsidRPr="006F6154" w:rsidRDefault="006F6154" w:rsidP="00687DD2">
      <w:pPr>
        <w:pStyle w:val="Paragraphedeliste"/>
        <w:numPr>
          <w:ilvl w:val="0"/>
          <w:numId w:val="7"/>
        </w:numPr>
        <w:suppressAutoHyphens/>
        <w:spacing w:after="0" w:line="240" w:lineRule="auto"/>
        <w:ind w:left="777" w:hanging="357"/>
        <w:jc w:val="both"/>
        <w:rPr>
          <w:rFonts w:ascii="Arial" w:hAnsi="Arial" w:cs="Arial"/>
          <w:szCs w:val="24"/>
        </w:rPr>
      </w:pPr>
      <w:r w:rsidRPr="006F6154">
        <w:rPr>
          <w:rFonts w:ascii="Arial" w:hAnsi="Arial" w:cs="Arial"/>
          <w:szCs w:val="24"/>
        </w:rPr>
        <w:t>Quand des impacts sont inévitables, mettre en place des dispositifs de contrôle technique et de gestion pour limiter ou réduire le plus possible la probabilité et l’ampleur de toute conséquence indésirable ;</w:t>
      </w:r>
    </w:p>
    <w:p w14:paraId="0FF5022C" w14:textId="77777777" w:rsidR="006F6154" w:rsidRPr="006F6154" w:rsidRDefault="006F6154" w:rsidP="00687DD2">
      <w:pPr>
        <w:pStyle w:val="Paragraphedeliste"/>
        <w:numPr>
          <w:ilvl w:val="0"/>
          <w:numId w:val="7"/>
        </w:numPr>
        <w:suppressAutoHyphens/>
        <w:spacing w:after="0" w:line="240" w:lineRule="auto"/>
        <w:ind w:left="777" w:hanging="357"/>
        <w:jc w:val="both"/>
        <w:rPr>
          <w:rFonts w:ascii="Arial" w:hAnsi="Arial" w:cs="Arial"/>
          <w:szCs w:val="24"/>
        </w:rPr>
      </w:pPr>
      <w:r w:rsidRPr="006F6154">
        <w:rPr>
          <w:rFonts w:ascii="Arial" w:hAnsi="Arial" w:cs="Arial"/>
          <w:szCs w:val="24"/>
        </w:rPr>
        <w:t>Préparer les travailleurs et les populations voisines pour leur permettre de faire face à des accidents ;</w:t>
      </w:r>
    </w:p>
    <w:p w14:paraId="456114BF" w14:textId="77777777" w:rsidR="006F6154" w:rsidRDefault="006F6154" w:rsidP="00687DD2">
      <w:pPr>
        <w:pStyle w:val="Paragraphedeliste"/>
        <w:numPr>
          <w:ilvl w:val="0"/>
          <w:numId w:val="7"/>
        </w:numPr>
        <w:suppressAutoHyphens/>
        <w:spacing w:after="0" w:line="240" w:lineRule="auto"/>
        <w:ind w:left="777" w:hanging="357"/>
        <w:jc w:val="both"/>
        <w:rPr>
          <w:rFonts w:ascii="Arial" w:hAnsi="Arial" w:cs="Arial"/>
          <w:szCs w:val="24"/>
        </w:rPr>
      </w:pPr>
      <w:r w:rsidRPr="006F6154">
        <w:rPr>
          <w:rFonts w:ascii="Arial" w:hAnsi="Arial" w:cs="Arial"/>
          <w:szCs w:val="24"/>
        </w:rPr>
        <w:t>Améliorer la performance HSE, grâce à un suivi en continu des performances des installations et à une réelle responsabilisation des intervenants.</w:t>
      </w:r>
    </w:p>
    <w:p w14:paraId="3865B728" w14:textId="77777777" w:rsidR="006F6154" w:rsidRPr="006F6154" w:rsidRDefault="006F6154" w:rsidP="006F6154">
      <w:pPr>
        <w:pStyle w:val="Paragraphedeliste"/>
        <w:suppressAutoHyphens/>
        <w:spacing w:after="0" w:line="240" w:lineRule="auto"/>
        <w:ind w:left="777"/>
        <w:jc w:val="both"/>
        <w:rPr>
          <w:rFonts w:ascii="Arial" w:hAnsi="Arial" w:cs="Arial"/>
          <w:szCs w:val="24"/>
        </w:rPr>
      </w:pPr>
    </w:p>
    <w:p w14:paraId="31305638" w14:textId="77777777" w:rsidR="00CD69AA" w:rsidRDefault="00CD69AA" w:rsidP="006F6154">
      <w:pPr>
        <w:autoSpaceDE w:val="0"/>
        <w:autoSpaceDN w:val="0"/>
        <w:adjustRightInd w:val="0"/>
        <w:jc w:val="both"/>
        <w:rPr>
          <w:rFonts w:ascii="Arial" w:hAnsi="Arial" w:cs="Arial"/>
          <w:szCs w:val="24"/>
        </w:rPr>
      </w:pPr>
      <w:r>
        <w:rPr>
          <w:rFonts w:ascii="Arial" w:hAnsi="Arial" w:cs="Arial"/>
          <w:szCs w:val="24"/>
        </w:rPr>
        <w:t xml:space="preserve">Les directives EHS traitent divers domaines comme : </w:t>
      </w:r>
    </w:p>
    <w:p w14:paraId="26687045" w14:textId="77777777" w:rsidR="008B6591" w:rsidRDefault="00FD078A" w:rsidP="0044500E">
      <w:pPr>
        <w:pStyle w:val="Paragraphedeliste"/>
        <w:numPr>
          <w:ilvl w:val="0"/>
          <w:numId w:val="179"/>
        </w:numPr>
        <w:autoSpaceDE w:val="0"/>
        <w:autoSpaceDN w:val="0"/>
        <w:adjustRightInd w:val="0"/>
        <w:jc w:val="both"/>
        <w:rPr>
          <w:rFonts w:ascii="Arial" w:hAnsi="Arial" w:cs="Arial"/>
          <w:szCs w:val="24"/>
        </w:rPr>
      </w:pPr>
      <w:r w:rsidRPr="00FD078A">
        <w:rPr>
          <w:rFonts w:ascii="Arial" w:hAnsi="Arial" w:cs="Arial"/>
          <w:szCs w:val="24"/>
        </w:rPr>
        <w:t>L’environnement qui</w:t>
      </w:r>
      <w:r w:rsidR="00CD69AA" w:rsidRPr="00CD69AA">
        <w:rPr>
          <w:rFonts w:ascii="Arial" w:hAnsi="Arial" w:cs="Arial"/>
          <w:szCs w:val="24"/>
        </w:rPr>
        <w:t xml:space="preserve"> </w:t>
      </w:r>
      <w:r w:rsidR="008B6591">
        <w:rPr>
          <w:rFonts w:ascii="Arial" w:hAnsi="Arial" w:cs="Arial"/>
          <w:szCs w:val="24"/>
        </w:rPr>
        <w:t>conseil</w:t>
      </w:r>
      <w:r w:rsidR="003A4E5A">
        <w:rPr>
          <w:rFonts w:ascii="Arial" w:hAnsi="Arial" w:cs="Arial"/>
          <w:szCs w:val="24"/>
        </w:rPr>
        <w:t>le</w:t>
      </w:r>
      <w:r w:rsidR="008B6591">
        <w:rPr>
          <w:rFonts w:ascii="Arial" w:hAnsi="Arial" w:cs="Arial"/>
          <w:szCs w:val="24"/>
        </w:rPr>
        <w:t xml:space="preserve"> sur le mode de gestion des impacts environnementaux que les activités du Projet pourraient engendrer. Ce</w:t>
      </w:r>
      <w:r w:rsidR="003A4E5A">
        <w:rPr>
          <w:rFonts w:ascii="Arial" w:hAnsi="Arial" w:cs="Arial"/>
          <w:szCs w:val="24"/>
        </w:rPr>
        <w:t>s</w:t>
      </w:r>
      <w:r w:rsidR="008B6591">
        <w:rPr>
          <w:rFonts w:ascii="Arial" w:hAnsi="Arial" w:cs="Arial"/>
          <w:szCs w:val="24"/>
        </w:rPr>
        <w:t xml:space="preserve"> directive</w:t>
      </w:r>
      <w:r w:rsidR="003A4E5A">
        <w:rPr>
          <w:rFonts w:ascii="Arial" w:hAnsi="Arial" w:cs="Arial"/>
          <w:szCs w:val="24"/>
        </w:rPr>
        <w:t>s</w:t>
      </w:r>
      <w:r w:rsidR="008B6591">
        <w:rPr>
          <w:rFonts w:ascii="Arial" w:hAnsi="Arial" w:cs="Arial"/>
          <w:szCs w:val="24"/>
        </w:rPr>
        <w:t xml:space="preserve"> concerne</w:t>
      </w:r>
      <w:r w:rsidR="003A4E5A">
        <w:rPr>
          <w:rFonts w:ascii="Arial" w:hAnsi="Arial" w:cs="Arial"/>
          <w:szCs w:val="24"/>
        </w:rPr>
        <w:t>nt</w:t>
      </w:r>
      <w:r w:rsidR="008B6591">
        <w:rPr>
          <w:rFonts w:ascii="Arial" w:hAnsi="Arial" w:cs="Arial"/>
          <w:szCs w:val="24"/>
        </w:rPr>
        <w:t> :</w:t>
      </w:r>
    </w:p>
    <w:p w14:paraId="0FA7DD50" w14:textId="77777777" w:rsidR="008B6591" w:rsidRPr="00F01166" w:rsidRDefault="008B6591" w:rsidP="0044500E">
      <w:pPr>
        <w:pStyle w:val="Paragraphedeliste"/>
        <w:numPr>
          <w:ilvl w:val="1"/>
          <w:numId w:val="179"/>
        </w:numPr>
        <w:spacing w:after="0" w:line="240" w:lineRule="auto"/>
        <w:rPr>
          <w:rFonts w:ascii="Arial" w:eastAsia="Times New Roman" w:hAnsi="Arial" w:cs="Arial"/>
          <w:lang w:eastAsia="fr-FR"/>
        </w:rPr>
      </w:pPr>
      <w:r w:rsidRPr="00F01166">
        <w:rPr>
          <w:rFonts w:ascii="Arial" w:eastAsia="Times New Roman" w:hAnsi="Arial" w:cs="Arial"/>
          <w:lang w:eastAsia="fr-FR"/>
        </w:rPr>
        <w:t>Émissions atmosphériques et qualité de l'air ambiant</w:t>
      </w:r>
      <w:r w:rsidR="003A4E5A" w:rsidRPr="00F01166">
        <w:rPr>
          <w:rFonts w:ascii="Arial" w:eastAsia="Times New Roman" w:hAnsi="Arial" w:cs="Arial"/>
          <w:lang w:eastAsia="fr-FR"/>
        </w:rPr>
        <w:t> ;</w:t>
      </w:r>
    </w:p>
    <w:p w14:paraId="35E1FC29" w14:textId="77777777" w:rsidR="008B6591" w:rsidRPr="00F01166" w:rsidRDefault="008B6591" w:rsidP="0044500E">
      <w:pPr>
        <w:pStyle w:val="Paragraphedeliste"/>
        <w:numPr>
          <w:ilvl w:val="1"/>
          <w:numId w:val="179"/>
        </w:numPr>
        <w:spacing w:after="0" w:line="240" w:lineRule="auto"/>
        <w:rPr>
          <w:rFonts w:ascii="Arial" w:eastAsia="Times New Roman" w:hAnsi="Arial" w:cs="Arial"/>
          <w:lang w:eastAsia="fr-FR"/>
        </w:rPr>
      </w:pPr>
      <w:r w:rsidRPr="00F01166">
        <w:rPr>
          <w:rFonts w:ascii="Arial" w:eastAsia="Times New Roman" w:hAnsi="Arial" w:cs="Arial"/>
          <w:lang w:eastAsia="fr-FR"/>
        </w:rPr>
        <w:t>Conservation de l'énergie</w:t>
      </w:r>
      <w:r w:rsidR="003A4E5A" w:rsidRPr="00F01166">
        <w:rPr>
          <w:rFonts w:ascii="Arial" w:eastAsia="Times New Roman" w:hAnsi="Arial" w:cs="Arial"/>
          <w:lang w:eastAsia="fr-FR"/>
        </w:rPr>
        <w:t> ;</w:t>
      </w:r>
    </w:p>
    <w:p w14:paraId="39939047" w14:textId="77777777" w:rsidR="008B6591" w:rsidRPr="00F01166" w:rsidRDefault="008B6591" w:rsidP="0044500E">
      <w:pPr>
        <w:pStyle w:val="Paragraphedeliste"/>
        <w:numPr>
          <w:ilvl w:val="1"/>
          <w:numId w:val="179"/>
        </w:numPr>
        <w:spacing w:after="0" w:line="240" w:lineRule="auto"/>
        <w:rPr>
          <w:rFonts w:ascii="Arial" w:eastAsia="Times New Roman" w:hAnsi="Arial" w:cs="Arial"/>
          <w:lang w:eastAsia="fr-FR"/>
        </w:rPr>
      </w:pPr>
      <w:r w:rsidRPr="00F01166">
        <w:rPr>
          <w:rFonts w:ascii="Arial" w:eastAsia="Times New Roman" w:hAnsi="Arial" w:cs="Arial"/>
          <w:lang w:eastAsia="fr-FR"/>
        </w:rPr>
        <w:t>Eaux usées et qualité de l'eau ambiante</w:t>
      </w:r>
      <w:r w:rsidR="003A4E5A" w:rsidRPr="00F01166">
        <w:rPr>
          <w:rFonts w:ascii="Arial" w:eastAsia="Times New Roman" w:hAnsi="Arial" w:cs="Arial"/>
          <w:lang w:eastAsia="fr-FR"/>
        </w:rPr>
        <w:t> ;</w:t>
      </w:r>
    </w:p>
    <w:p w14:paraId="6D12D665" w14:textId="77777777" w:rsidR="008B6591" w:rsidRPr="00F01166" w:rsidRDefault="008B6591" w:rsidP="0044500E">
      <w:pPr>
        <w:pStyle w:val="Paragraphedeliste"/>
        <w:numPr>
          <w:ilvl w:val="1"/>
          <w:numId w:val="179"/>
        </w:numPr>
        <w:spacing w:after="0" w:line="240" w:lineRule="auto"/>
        <w:rPr>
          <w:rFonts w:ascii="Arial" w:eastAsia="Times New Roman" w:hAnsi="Arial" w:cs="Arial"/>
          <w:lang w:eastAsia="fr-FR"/>
        </w:rPr>
      </w:pPr>
      <w:r w:rsidRPr="00F01166">
        <w:rPr>
          <w:rFonts w:ascii="Arial" w:eastAsia="Times New Roman" w:hAnsi="Arial" w:cs="Arial"/>
          <w:lang w:eastAsia="fr-FR"/>
        </w:rPr>
        <w:t>Conservation de l'eau</w:t>
      </w:r>
      <w:r w:rsidR="003A4E5A" w:rsidRPr="00F01166">
        <w:rPr>
          <w:rFonts w:ascii="Arial" w:eastAsia="Times New Roman" w:hAnsi="Arial" w:cs="Arial"/>
          <w:lang w:eastAsia="fr-FR"/>
        </w:rPr>
        <w:t> ;</w:t>
      </w:r>
    </w:p>
    <w:p w14:paraId="06B7E265" w14:textId="77777777" w:rsidR="008B6591" w:rsidRPr="00F01166" w:rsidRDefault="008B6591" w:rsidP="0044500E">
      <w:pPr>
        <w:pStyle w:val="Paragraphedeliste"/>
        <w:numPr>
          <w:ilvl w:val="1"/>
          <w:numId w:val="179"/>
        </w:numPr>
        <w:spacing w:after="0" w:line="240" w:lineRule="auto"/>
        <w:rPr>
          <w:rFonts w:ascii="Arial" w:eastAsia="Times New Roman" w:hAnsi="Arial" w:cs="Arial"/>
          <w:lang w:eastAsia="fr-FR"/>
        </w:rPr>
      </w:pPr>
      <w:r w:rsidRPr="00F01166">
        <w:rPr>
          <w:rFonts w:ascii="Arial" w:eastAsia="Times New Roman" w:hAnsi="Arial" w:cs="Arial"/>
          <w:lang w:eastAsia="fr-FR"/>
        </w:rPr>
        <w:t>Gestion des matières dangereuses</w:t>
      </w:r>
      <w:r w:rsidR="003A4E5A" w:rsidRPr="00F01166">
        <w:rPr>
          <w:rFonts w:ascii="Arial" w:eastAsia="Times New Roman" w:hAnsi="Arial" w:cs="Arial"/>
          <w:lang w:eastAsia="fr-FR"/>
        </w:rPr>
        <w:t>,</w:t>
      </w:r>
      <w:r w:rsidRPr="00F01166">
        <w:rPr>
          <w:rFonts w:ascii="Arial" w:eastAsia="Times New Roman" w:hAnsi="Arial" w:cs="Arial"/>
          <w:lang w:eastAsia="fr-FR"/>
        </w:rPr>
        <w:t xml:space="preserve"> </w:t>
      </w:r>
      <w:r w:rsidR="003A4E5A" w:rsidRPr="00F01166">
        <w:rPr>
          <w:rFonts w:ascii="Arial" w:eastAsia="Times New Roman" w:hAnsi="Arial" w:cs="Arial"/>
          <w:lang w:eastAsia="fr-FR"/>
        </w:rPr>
        <w:t>g</w:t>
      </w:r>
      <w:r w:rsidRPr="00F01166">
        <w:rPr>
          <w:rFonts w:ascii="Arial" w:eastAsia="Times New Roman" w:hAnsi="Arial" w:cs="Arial"/>
          <w:lang w:eastAsia="fr-FR"/>
        </w:rPr>
        <w:t>estion des déchets</w:t>
      </w:r>
      <w:r w:rsidR="003A4E5A" w:rsidRPr="00F01166">
        <w:rPr>
          <w:rFonts w:ascii="Arial" w:eastAsia="Times New Roman" w:hAnsi="Arial" w:cs="Arial"/>
          <w:lang w:eastAsia="fr-FR"/>
        </w:rPr>
        <w:t> ;</w:t>
      </w:r>
    </w:p>
    <w:p w14:paraId="5775005A" w14:textId="77777777" w:rsidR="008B6591" w:rsidRPr="00F01166" w:rsidRDefault="008B6591" w:rsidP="0044500E">
      <w:pPr>
        <w:pStyle w:val="Paragraphedeliste"/>
        <w:numPr>
          <w:ilvl w:val="1"/>
          <w:numId w:val="179"/>
        </w:numPr>
        <w:spacing w:after="0" w:line="240" w:lineRule="auto"/>
        <w:rPr>
          <w:rFonts w:ascii="Arial" w:eastAsia="Times New Roman" w:hAnsi="Arial" w:cs="Arial"/>
          <w:lang w:eastAsia="fr-FR"/>
        </w:rPr>
      </w:pPr>
      <w:r w:rsidRPr="00F01166">
        <w:rPr>
          <w:rFonts w:ascii="Arial" w:eastAsia="Times New Roman" w:hAnsi="Arial" w:cs="Arial"/>
          <w:lang w:eastAsia="fr-FR"/>
        </w:rPr>
        <w:t>Bruit</w:t>
      </w:r>
      <w:r w:rsidR="003A4E5A" w:rsidRPr="00F01166">
        <w:rPr>
          <w:rFonts w:ascii="Arial" w:eastAsia="Times New Roman" w:hAnsi="Arial" w:cs="Arial"/>
          <w:lang w:eastAsia="fr-FR"/>
        </w:rPr>
        <w:t>s ;</w:t>
      </w:r>
    </w:p>
    <w:p w14:paraId="3E9B575C" w14:textId="77777777" w:rsidR="008B6591" w:rsidRPr="00F01166" w:rsidRDefault="008B6591" w:rsidP="0044500E">
      <w:pPr>
        <w:pStyle w:val="Paragraphedeliste"/>
        <w:numPr>
          <w:ilvl w:val="1"/>
          <w:numId w:val="179"/>
        </w:numPr>
        <w:spacing w:after="0" w:line="240" w:lineRule="auto"/>
        <w:rPr>
          <w:rFonts w:ascii="Arial" w:eastAsia="Times New Roman" w:hAnsi="Arial" w:cs="Arial"/>
          <w:lang w:eastAsia="fr-FR"/>
        </w:rPr>
      </w:pPr>
      <w:r w:rsidRPr="00F01166">
        <w:rPr>
          <w:rFonts w:ascii="Arial" w:eastAsia="Times New Roman" w:hAnsi="Arial" w:cs="Arial"/>
          <w:lang w:eastAsia="fr-FR"/>
        </w:rPr>
        <w:t>Terres contaminées</w:t>
      </w:r>
      <w:r w:rsidR="003A4E5A" w:rsidRPr="00F01166">
        <w:rPr>
          <w:rFonts w:ascii="Arial" w:eastAsia="Times New Roman" w:hAnsi="Arial" w:cs="Arial"/>
          <w:lang w:eastAsia="fr-FR"/>
        </w:rPr>
        <w:t>.</w:t>
      </w:r>
    </w:p>
    <w:p w14:paraId="68733604" w14:textId="77777777" w:rsidR="00CD69AA" w:rsidRDefault="008B6591" w:rsidP="0044500E">
      <w:pPr>
        <w:pStyle w:val="Paragraphedeliste"/>
        <w:numPr>
          <w:ilvl w:val="0"/>
          <w:numId w:val="179"/>
        </w:numPr>
        <w:autoSpaceDE w:val="0"/>
        <w:autoSpaceDN w:val="0"/>
        <w:adjustRightInd w:val="0"/>
        <w:jc w:val="both"/>
        <w:rPr>
          <w:rFonts w:ascii="Arial" w:hAnsi="Arial" w:cs="Arial"/>
          <w:szCs w:val="24"/>
        </w:rPr>
      </w:pPr>
      <w:r>
        <w:rPr>
          <w:rFonts w:ascii="Arial" w:hAnsi="Arial" w:cs="Arial"/>
          <w:szCs w:val="24"/>
        </w:rPr>
        <w:t>La santé et sécurité communautaire</w:t>
      </w:r>
      <w:r>
        <w:rPr>
          <w:rStyle w:val="Appelnotedebasdep"/>
          <w:rFonts w:ascii="Arial" w:hAnsi="Arial" w:cs="Arial"/>
          <w:szCs w:val="24"/>
        </w:rPr>
        <w:footnoteReference w:id="71"/>
      </w:r>
      <w:r>
        <w:rPr>
          <w:rFonts w:ascii="Arial" w:hAnsi="Arial" w:cs="Arial"/>
          <w:szCs w:val="24"/>
        </w:rPr>
        <w:t xml:space="preserve"> : qui </w:t>
      </w:r>
      <w:r w:rsidRPr="006F6154">
        <w:rPr>
          <w:rFonts w:ascii="Arial" w:hAnsi="Arial" w:cs="Arial"/>
          <w:szCs w:val="24"/>
        </w:rPr>
        <w:t xml:space="preserve">concernent la qualité et la disponibilité de l’eau, la structure sécuritaire du projet, </w:t>
      </w:r>
      <w:r w:rsidR="003A4E5A">
        <w:rPr>
          <w:rFonts w:ascii="Arial" w:hAnsi="Arial" w:cs="Arial"/>
          <w:szCs w:val="24"/>
        </w:rPr>
        <w:t xml:space="preserve">le </w:t>
      </w:r>
      <w:r w:rsidRPr="006F6154">
        <w:rPr>
          <w:rFonts w:ascii="Arial" w:hAnsi="Arial" w:cs="Arial"/>
          <w:szCs w:val="24"/>
        </w:rPr>
        <w:t xml:space="preserve">transport de matières dangereuses, </w:t>
      </w:r>
      <w:r w:rsidR="003A4E5A">
        <w:rPr>
          <w:rFonts w:ascii="Arial" w:hAnsi="Arial" w:cs="Arial"/>
          <w:szCs w:val="24"/>
        </w:rPr>
        <w:t xml:space="preserve">la </w:t>
      </w:r>
      <w:r w:rsidRPr="006F6154">
        <w:rPr>
          <w:rFonts w:ascii="Arial" w:hAnsi="Arial" w:cs="Arial"/>
          <w:szCs w:val="24"/>
        </w:rPr>
        <w:t>sécurité routière, la prévention des maladies</w:t>
      </w:r>
      <w:r w:rsidR="003A4E5A">
        <w:rPr>
          <w:rFonts w:ascii="Arial" w:hAnsi="Arial" w:cs="Arial"/>
          <w:szCs w:val="24"/>
        </w:rPr>
        <w:t> ;</w:t>
      </w:r>
    </w:p>
    <w:p w14:paraId="26EC303D" w14:textId="77777777" w:rsidR="008B6591" w:rsidRDefault="008B6591" w:rsidP="0044500E">
      <w:pPr>
        <w:pStyle w:val="Paragraphedeliste"/>
        <w:numPr>
          <w:ilvl w:val="0"/>
          <w:numId w:val="179"/>
        </w:numPr>
        <w:autoSpaceDE w:val="0"/>
        <w:autoSpaceDN w:val="0"/>
        <w:adjustRightInd w:val="0"/>
        <w:jc w:val="both"/>
        <w:rPr>
          <w:rFonts w:ascii="Arial" w:hAnsi="Arial" w:cs="Arial"/>
          <w:szCs w:val="24"/>
        </w:rPr>
      </w:pPr>
      <w:r>
        <w:rPr>
          <w:rFonts w:ascii="Arial" w:hAnsi="Arial" w:cs="Arial"/>
          <w:szCs w:val="24"/>
        </w:rPr>
        <w:t>Santé et sécurité au travail</w:t>
      </w:r>
      <w:r w:rsidRPr="006F6154">
        <w:rPr>
          <w:vertAlign w:val="superscript"/>
        </w:rPr>
        <w:footnoteReference w:id="72"/>
      </w:r>
      <w:r w:rsidR="009162AD">
        <w:rPr>
          <w:rFonts w:ascii="Arial" w:hAnsi="Arial" w:cs="Arial"/>
          <w:szCs w:val="24"/>
        </w:rPr>
        <w:t xml:space="preserve"> : </w:t>
      </w:r>
      <w:r w:rsidR="009162AD" w:rsidRPr="006F6154">
        <w:rPr>
          <w:rFonts w:ascii="Arial" w:hAnsi="Arial" w:cs="Arial"/>
          <w:szCs w:val="24"/>
        </w:rPr>
        <w:t>Ces directives fournissent des conseils et des exemples de précautions raisonnables à mettre en œuvre pour gérer les principaux risques pour la santé et la sécurité au travail</w:t>
      </w:r>
      <w:r w:rsidR="003A4E5A">
        <w:rPr>
          <w:rFonts w:ascii="Arial" w:hAnsi="Arial" w:cs="Arial"/>
          <w:szCs w:val="24"/>
        </w:rPr>
        <w:t> ;</w:t>
      </w:r>
    </w:p>
    <w:p w14:paraId="4E036681" w14:textId="77777777" w:rsidR="00CD69AA" w:rsidRPr="00F01166" w:rsidRDefault="009162AD" w:rsidP="00F01166">
      <w:pPr>
        <w:pStyle w:val="Paragraphedeliste"/>
        <w:numPr>
          <w:ilvl w:val="0"/>
          <w:numId w:val="179"/>
        </w:numPr>
        <w:autoSpaceDE w:val="0"/>
        <w:autoSpaceDN w:val="0"/>
        <w:adjustRightInd w:val="0"/>
        <w:jc w:val="both"/>
        <w:rPr>
          <w:rFonts w:ascii="Arial" w:hAnsi="Arial" w:cs="Arial"/>
          <w:szCs w:val="24"/>
        </w:rPr>
      </w:pPr>
      <w:r>
        <w:rPr>
          <w:rFonts w:ascii="Arial" w:hAnsi="Arial" w:cs="Arial"/>
        </w:rPr>
        <w:t>Construction et démantèlement</w:t>
      </w:r>
      <w:r>
        <w:rPr>
          <w:rStyle w:val="Appelnotedebasdep"/>
          <w:rFonts w:ascii="Arial" w:hAnsi="Arial" w:cs="Arial"/>
        </w:rPr>
        <w:footnoteReference w:id="73"/>
      </w:r>
      <w:r w:rsidR="003A4E5A">
        <w:rPr>
          <w:rFonts w:ascii="Arial" w:hAnsi="Arial" w:cs="Arial"/>
        </w:rPr>
        <w:t>.</w:t>
      </w:r>
      <w:r>
        <w:rPr>
          <w:rFonts w:ascii="Arial" w:hAnsi="Arial" w:cs="Arial"/>
        </w:rPr>
        <w:t xml:space="preserve"> </w:t>
      </w:r>
      <w:r w:rsidR="003A4E5A">
        <w:rPr>
          <w:rFonts w:ascii="Arial" w:hAnsi="Arial" w:cs="Arial"/>
        </w:rPr>
        <w:t xml:space="preserve">La </w:t>
      </w:r>
      <w:r w:rsidRPr="009D69D3">
        <w:rPr>
          <w:rFonts w:ascii="Arial" w:hAnsi="Arial" w:cs="Arial"/>
        </w:rPr>
        <w:t>section fournit des conseils supplémentaires et spécifiques sur la prévention et le contrôle des impacts sur la santé et la sécurité de la communauté qui peuvent se produire pendant le développement d'un nouveau projet, à la fin du cycle de vie du projet</w:t>
      </w:r>
    </w:p>
    <w:p w14:paraId="7380549A" w14:textId="77777777" w:rsidR="006F6154" w:rsidRPr="006F6154" w:rsidRDefault="006F6154" w:rsidP="006F6154">
      <w:pPr>
        <w:autoSpaceDE w:val="0"/>
        <w:autoSpaceDN w:val="0"/>
        <w:adjustRightInd w:val="0"/>
        <w:jc w:val="both"/>
        <w:rPr>
          <w:rFonts w:ascii="Arial" w:hAnsi="Arial" w:cs="Arial"/>
          <w:szCs w:val="24"/>
        </w:rPr>
      </w:pPr>
      <w:r w:rsidRPr="006F6154">
        <w:rPr>
          <w:rFonts w:ascii="Arial" w:hAnsi="Arial" w:cs="Arial"/>
          <w:szCs w:val="24"/>
        </w:rPr>
        <w:t xml:space="preserve">Les directives EHS spécifiques </w:t>
      </w:r>
      <w:r w:rsidR="0012611D">
        <w:rPr>
          <w:rFonts w:ascii="Arial" w:hAnsi="Arial" w:cs="Arial"/>
          <w:szCs w:val="24"/>
        </w:rPr>
        <w:t xml:space="preserve">du </w:t>
      </w:r>
      <w:r w:rsidRPr="006F6154">
        <w:rPr>
          <w:rFonts w:ascii="Arial" w:hAnsi="Arial" w:cs="Arial"/>
          <w:szCs w:val="24"/>
        </w:rPr>
        <w:t xml:space="preserve">GBM applicables au projet sont les suivantes. </w:t>
      </w:r>
    </w:p>
    <w:p w14:paraId="1D3A8DCF" w14:textId="77777777" w:rsidR="006F6154" w:rsidRPr="006F6154" w:rsidRDefault="006F6154" w:rsidP="0044500E">
      <w:pPr>
        <w:pStyle w:val="TIT40"/>
        <w:numPr>
          <w:ilvl w:val="3"/>
          <w:numId w:val="177"/>
        </w:numPr>
      </w:pPr>
      <w:bookmarkStart w:id="732" w:name="_Toc124956201"/>
      <w:bookmarkStart w:id="733" w:name="_Toc124956202"/>
      <w:bookmarkStart w:id="734" w:name="_Toc124314721"/>
      <w:bookmarkStart w:id="735" w:name="_Toc124956203"/>
      <w:bookmarkStart w:id="736" w:name="_Toc125384599"/>
      <w:bookmarkStart w:id="737" w:name="_Toc125384988"/>
      <w:bookmarkStart w:id="738" w:name="_Toc127957660"/>
      <w:bookmarkEnd w:id="732"/>
      <w:bookmarkEnd w:id="733"/>
      <w:r w:rsidRPr="006F6154">
        <w:t>Directives pour la gestion des risques d’impacts négatifs sur les communautés par un projet temporaire induisant un afflux de main d’œuvre</w:t>
      </w:r>
      <w:r w:rsidRPr="006F6154">
        <w:rPr>
          <w:vertAlign w:val="superscript"/>
        </w:rPr>
        <w:footnoteReference w:id="74"/>
      </w:r>
      <w:bookmarkEnd w:id="734"/>
      <w:bookmarkEnd w:id="735"/>
      <w:bookmarkEnd w:id="736"/>
      <w:bookmarkEnd w:id="737"/>
      <w:bookmarkEnd w:id="738"/>
    </w:p>
    <w:p w14:paraId="6A5F0D65" w14:textId="77777777" w:rsidR="006F6154" w:rsidRPr="006F6154" w:rsidRDefault="006F6154" w:rsidP="006F6154">
      <w:pPr>
        <w:autoSpaceDE w:val="0"/>
        <w:autoSpaceDN w:val="0"/>
        <w:adjustRightInd w:val="0"/>
        <w:jc w:val="both"/>
        <w:rPr>
          <w:rFonts w:ascii="Arial" w:hAnsi="Arial" w:cs="Arial"/>
          <w:szCs w:val="24"/>
        </w:rPr>
      </w:pPr>
      <w:r w:rsidRPr="006F6154">
        <w:rPr>
          <w:rFonts w:ascii="Arial" w:hAnsi="Arial" w:cs="Arial"/>
          <w:szCs w:val="24"/>
        </w:rPr>
        <w:t>Dans le cadre du projet, la mise en place des infrastructures nécessitera de la main d’œuvre qualifiée et non qualifiée. Ainsi la force de travail nécessaire et les biens et services associés peuvent ne pas être fournis totalement localement pour plusieurs raisons, dont la non disponibilité de travailleurs et le manque de compétences et capacités techniques. Dans ces cas, la main d’œuvre (totale ou partielle) doit être apportée de l’extérieur de la zone du projet.</w:t>
      </w:r>
    </w:p>
    <w:p w14:paraId="5B91DBAB" w14:textId="77777777" w:rsidR="006F6154" w:rsidRPr="006F6154" w:rsidRDefault="006F6154" w:rsidP="006F6154">
      <w:pPr>
        <w:autoSpaceDE w:val="0"/>
        <w:autoSpaceDN w:val="0"/>
        <w:adjustRightInd w:val="0"/>
        <w:jc w:val="both"/>
        <w:rPr>
          <w:rFonts w:ascii="Arial" w:hAnsi="Arial" w:cs="Arial"/>
        </w:rPr>
      </w:pPr>
      <w:r w:rsidRPr="6FF5A665">
        <w:rPr>
          <w:rFonts w:ascii="Arial" w:hAnsi="Arial" w:cs="Arial"/>
        </w:rPr>
        <w:t>L’arrivée de main d’œuvre extérieure à la zone du projet engendre l’afflux d’autres personnes (« suiveurs</w:t>
      </w:r>
      <w:r w:rsidR="09486727" w:rsidRPr="6FF5A665">
        <w:rPr>
          <w:rFonts w:ascii="Arial" w:hAnsi="Arial" w:cs="Arial"/>
        </w:rPr>
        <w:t>/dépendants</w:t>
      </w:r>
      <w:r w:rsidRPr="6FF5A665">
        <w:rPr>
          <w:rFonts w:ascii="Arial" w:hAnsi="Arial" w:cs="Arial"/>
        </w:rPr>
        <w:t xml:space="preserve"> ») qui suivent la main d’œuvre apportée, dans le but de vendre des biens et services, ou pour rechercher des emplois ou des opportunités d’affaires. La migration rapide et l'installation des travailleurs et des « suiveurs » dans la zone du projet est appelée « afflux de main-d'œuvre » et, dans certaines conditions, peut affecter les zones du projet en termes d'infrastructures publiques, de services publics, de logement, de gestion durable des ressources et de dynamiques sociales.</w:t>
      </w:r>
    </w:p>
    <w:p w14:paraId="05A51241" w14:textId="77777777" w:rsidR="006F6154" w:rsidRPr="006F6154" w:rsidRDefault="006F6154" w:rsidP="006F6154">
      <w:pPr>
        <w:autoSpaceDE w:val="0"/>
        <w:autoSpaceDN w:val="0"/>
        <w:adjustRightInd w:val="0"/>
        <w:jc w:val="both"/>
        <w:rPr>
          <w:rFonts w:ascii="Arial" w:hAnsi="Arial" w:cs="Arial"/>
          <w:szCs w:val="24"/>
        </w:rPr>
      </w:pPr>
      <w:r w:rsidRPr="006F6154">
        <w:rPr>
          <w:rFonts w:ascii="Arial" w:hAnsi="Arial" w:cs="Arial"/>
          <w:szCs w:val="24"/>
        </w:rPr>
        <w:t>La note technique « Managing the Risks of Adverse Impacts on Communities from Temporary Project Induced Labor Influx, 2016 ») fournit ainsi des directives concrètes sur comment aborder l’afflux de main d’œuvre temporaire dans le processus d’évaluation environnementale et sociale. Les principes clés en sont :</w:t>
      </w:r>
    </w:p>
    <w:p w14:paraId="28BA0701" w14:textId="77777777" w:rsidR="006F6154" w:rsidRPr="006F6154" w:rsidRDefault="006F6154" w:rsidP="0044500E">
      <w:pPr>
        <w:pStyle w:val="Paragraphedeliste"/>
        <w:numPr>
          <w:ilvl w:val="0"/>
          <w:numId w:val="225"/>
        </w:numPr>
        <w:suppressAutoHyphens/>
        <w:spacing w:after="0" w:line="240" w:lineRule="auto"/>
        <w:jc w:val="both"/>
        <w:rPr>
          <w:rFonts w:ascii="Arial" w:hAnsi="Arial" w:cs="Arial"/>
          <w:szCs w:val="24"/>
        </w:rPr>
      </w:pPr>
      <w:r w:rsidRPr="006F6154">
        <w:rPr>
          <w:rFonts w:ascii="Arial" w:hAnsi="Arial" w:cs="Arial"/>
          <w:szCs w:val="24"/>
        </w:rPr>
        <w:t>Réduire l'afflux de main-d'œuvre en faisant appel à la main-d'œuvre locale ;</w:t>
      </w:r>
    </w:p>
    <w:p w14:paraId="03AB7E78" w14:textId="77777777" w:rsidR="006F6154" w:rsidRPr="006F6154" w:rsidRDefault="006F6154" w:rsidP="0044500E">
      <w:pPr>
        <w:pStyle w:val="Paragraphedeliste"/>
        <w:numPr>
          <w:ilvl w:val="0"/>
          <w:numId w:val="225"/>
        </w:numPr>
        <w:suppressAutoHyphens/>
        <w:spacing w:after="0" w:line="240" w:lineRule="auto"/>
        <w:jc w:val="both"/>
        <w:rPr>
          <w:rFonts w:ascii="Arial" w:hAnsi="Arial" w:cs="Arial"/>
          <w:szCs w:val="24"/>
        </w:rPr>
      </w:pPr>
      <w:r w:rsidRPr="006F6154">
        <w:rPr>
          <w:rFonts w:ascii="Arial" w:hAnsi="Arial" w:cs="Arial"/>
          <w:szCs w:val="24"/>
        </w:rPr>
        <w:t>Évaluer et gérer le risque d'afflux de main-d'œuvre en utilisant des instruments appropriés (p.ex. Plan de gestion de l’afflux de main d’œuvre et/ou Plan de gestion de la base-vie des travailleurs …) ;</w:t>
      </w:r>
    </w:p>
    <w:p w14:paraId="651F718C" w14:textId="77777777" w:rsidR="006F6154" w:rsidRPr="006F6154" w:rsidRDefault="006F6154" w:rsidP="0044500E">
      <w:pPr>
        <w:pStyle w:val="Paragraphedeliste"/>
        <w:numPr>
          <w:ilvl w:val="0"/>
          <w:numId w:val="225"/>
        </w:numPr>
        <w:suppressAutoHyphens/>
        <w:spacing w:after="0" w:line="240" w:lineRule="auto"/>
        <w:jc w:val="both"/>
        <w:rPr>
          <w:rFonts w:ascii="Arial" w:hAnsi="Arial" w:cs="Arial"/>
          <w:szCs w:val="24"/>
        </w:rPr>
      </w:pPr>
      <w:r w:rsidRPr="006F6154">
        <w:rPr>
          <w:rFonts w:ascii="Arial" w:hAnsi="Arial" w:cs="Arial"/>
          <w:szCs w:val="24"/>
        </w:rPr>
        <w:t>Intégrer des mesures d'atténuation sociales et environnementales dans le contrat de travaux de génie civil.</w:t>
      </w:r>
    </w:p>
    <w:p w14:paraId="0253EB4B" w14:textId="77777777" w:rsidR="006F6154" w:rsidRDefault="006F6154" w:rsidP="00F01166">
      <w:pPr>
        <w:autoSpaceDE w:val="0"/>
        <w:autoSpaceDN w:val="0"/>
        <w:adjustRightInd w:val="0"/>
        <w:spacing w:after="0"/>
        <w:jc w:val="both"/>
        <w:rPr>
          <w:rFonts w:ascii="Arial" w:hAnsi="Arial" w:cs="Arial"/>
          <w:szCs w:val="24"/>
        </w:rPr>
      </w:pPr>
    </w:p>
    <w:p w14:paraId="68765125" w14:textId="77777777" w:rsidR="006F6154" w:rsidRPr="006F6154" w:rsidRDefault="006F6154" w:rsidP="006F6154">
      <w:pPr>
        <w:autoSpaceDE w:val="0"/>
        <w:autoSpaceDN w:val="0"/>
        <w:adjustRightInd w:val="0"/>
        <w:jc w:val="both"/>
        <w:rPr>
          <w:rFonts w:ascii="Arial" w:hAnsi="Arial" w:cs="Arial"/>
          <w:szCs w:val="24"/>
        </w:rPr>
      </w:pPr>
      <w:r w:rsidRPr="006F6154">
        <w:rPr>
          <w:rFonts w:ascii="Arial" w:hAnsi="Arial" w:cs="Arial"/>
          <w:szCs w:val="24"/>
        </w:rPr>
        <w:t xml:space="preserve">La note technique « Managing the Risks of Adverse Impacts on Communities from Temporary Project Induced Labor Influx, 2016 ») fournit ainsi des directives concrètes sur comment aborder l’afflux de main d’œuvre temporaire dans le processus d’évaluation environnementale et sociale. Cependant, à ce stade, le nombre total de travailleurs sur l’ensemble du Projet est difficile à déterminer. Compte tenu de ce fait, en fonction du nombre d’emplois des travailleurs non locaux et non nationaux, il importera alors d’établir un plan de gestion des migrations le cas échéant. </w:t>
      </w:r>
    </w:p>
    <w:p w14:paraId="1E13DB6D" w14:textId="77777777" w:rsidR="00C61824" w:rsidRPr="006F6154" w:rsidRDefault="006F6154" w:rsidP="0044500E">
      <w:pPr>
        <w:pStyle w:val="TIT40"/>
        <w:numPr>
          <w:ilvl w:val="3"/>
          <w:numId w:val="177"/>
        </w:numPr>
      </w:pPr>
      <w:bookmarkStart w:id="739" w:name="_Toc124312733"/>
      <w:bookmarkStart w:id="740" w:name="_Toc124312734"/>
      <w:bookmarkStart w:id="741" w:name="_Toc124314243"/>
      <w:bookmarkStart w:id="742" w:name="_Toc124314722"/>
      <w:bookmarkStart w:id="743" w:name="_Toc124315210"/>
      <w:bookmarkStart w:id="744" w:name="_Toc124315450"/>
      <w:bookmarkStart w:id="745" w:name="_Toc124315690"/>
      <w:bookmarkStart w:id="746" w:name="_Toc124315930"/>
      <w:bookmarkStart w:id="747" w:name="_Toc124316173"/>
      <w:bookmarkStart w:id="748" w:name="_Toc124316418"/>
      <w:bookmarkStart w:id="749" w:name="_Toc124316666"/>
      <w:bookmarkStart w:id="750" w:name="_Toc124316921"/>
      <w:bookmarkStart w:id="751" w:name="_Toc124314723"/>
      <w:bookmarkStart w:id="752" w:name="_Toc124956204"/>
      <w:bookmarkStart w:id="753" w:name="_Toc125384600"/>
      <w:bookmarkStart w:id="754" w:name="_Toc125384989"/>
      <w:bookmarkStart w:id="755" w:name="_Toc127957661"/>
      <w:bookmarkEnd w:id="739"/>
      <w:bookmarkEnd w:id="740"/>
      <w:bookmarkEnd w:id="741"/>
      <w:bookmarkEnd w:id="742"/>
      <w:bookmarkEnd w:id="743"/>
      <w:bookmarkEnd w:id="744"/>
      <w:bookmarkEnd w:id="745"/>
      <w:bookmarkEnd w:id="746"/>
      <w:bookmarkEnd w:id="747"/>
      <w:bookmarkEnd w:id="748"/>
      <w:bookmarkEnd w:id="749"/>
      <w:bookmarkEnd w:id="750"/>
      <w:r w:rsidRPr="006F6154">
        <w:t>Directives environnementales, sanitaires et sécuritaires pour le transport et la distribution de l’électricité</w:t>
      </w:r>
      <w:r>
        <w:rPr>
          <w:rStyle w:val="Appelnotedebasdep"/>
          <w:b w:val="0"/>
          <w:sz w:val="28"/>
        </w:rPr>
        <w:footnoteReference w:id="75"/>
      </w:r>
      <w:bookmarkEnd w:id="751"/>
      <w:bookmarkEnd w:id="752"/>
      <w:bookmarkEnd w:id="753"/>
      <w:bookmarkEnd w:id="754"/>
      <w:bookmarkEnd w:id="755"/>
    </w:p>
    <w:p w14:paraId="7AD5AD0D" w14:textId="77777777" w:rsidR="0078074F" w:rsidRPr="0078074F" w:rsidRDefault="0078074F" w:rsidP="006F6154">
      <w:pPr>
        <w:autoSpaceDE w:val="0"/>
        <w:autoSpaceDN w:val="0"/>
        <w:adjustRightInd w:val="0"/>
        <w:jc w:val="both"/>
        <w:rPr>
          <w:rFonts w:ascii="Arial" w:hAnsi="Arial" w:cs="Arial"/>
          <w:szCs w:val="24"/>
        </w:rPr>
      </w:pPr>
      <w:r w:rsidRPr="0078074F">
        <w:rPr>
          <w:rFonts w:ascii="Arial" w:hAnsi="Arial" w:cs="Arial"/>
          <w:szCs w:val="24"/>
        </w:rPr>
        <w:t xml:space="preserve">Plusieurs aspects sont couverts par cette directive : </w:t>
      </w:r>
    </w:p>
    <w:p w14:paraId="725CBE5C" w14:textId="77777777" w:rsidR="0078074F" w:rsidRPr="0078074F" w:rsidRDefault="0078074F" w:rsidP="0044500E">
      <w:pPr>
        <w:pStyle w:val="Paragraphedeliste"/>
        <w:numPr>
          <w:ilvl w:val="0"/>
          <w:numId w:val="226"/>
        </w:numPr>
        <w:suppressAutoHyphens/>
        <w:spacing w:after="0" w:line="240" w:lineRule="auto"/>
        <w:jc w:val="both"/>
        <w:rPr>
          <w:rFonts w:ascii="Arial" w:hAnsi="Arial" w:cs="Arial"/>
          <w:szCs w:val="24"/>
        </w:rPr>
      </w:pPr>
      <w:r>
        <w:rPr>
          <w:rFonts w:ascii="Arial" w:hAnsi="Arial" w:cs="Arial"/>
          <w:szCs w:val="24"/>
        </w:rPr>
        <w:t>P</w:t>
      </w:r>
      <w:r w:rsidRPr="0078074F">
        <w:rPr>
          <w:rFonts w:ascii="Arial" w:hAnsi="Arial" w:cs="Arial"/>
          <w:szCs w:val="24"/>
        </w:rPr>
        <w:t xml:space="preserve">rotection des habitats sensibles, </w:t>
      </w:r>
    </w:p>
    <w:p w14:paraId="6AFFCC53" w14:textId="77777777" w:rsidR="0078074F" w:rsidRPr="0078074F" w:rsidRDefault="0078074F" w:rsidP="0044500E">
      <w:pPr>
        <w:pStyle w:val="Paragraphedeliste"/>
        <w:numPr>
          <w:ilvl w:val="0"/>
          <w:numId w:val="226"/>
        </w:numPr>
        <w:suppressAutoHyphens/>
        <w:spacing w:after="0" w:line="240" w:lineRule="auto"/>
        <w:jc w:val="both"/>
        <w:rPr>
          <w:rFonts w:ascii="Arial" w:hAnsi="Arial" w:cs="Arial"/>
          <w:szCs w:val="24"/>
        </w:rPr>
      </w:pPr>
      <w:r>
        <w:rPr>
          <w:rFonts w:ascii="Arial" w:hAnsi="Arial" w:cs="Arial"/>
          <w:szCs w:val="24"/>
        </w:rPr>
        <w:t>O</w:t>
      </w:r>
      <w:r w:rsidRPr="0078074F">
        <w:rPr>
          <w:rFonts w:ascii="Arial" w:hAnsi="Arial" w:cs="Arial"/>
          <w:szCs w:val="24"/>
        </w:rPr>
        <w:t xml:space="preserve">ptimisation de l'espace utilisé, </w:t>
      </w:r>
    </w:p>
    <w:p w14:paraId="724E848F" w14:textId="77777777" w:rsidR="0078074F" w:rsidRPr="0078074F" w:rsidRDefault="0078074F" w:rsidP="0044500E">
      <w:pPr>
        <w:pStyle w:val="Paragraphedeliste"/>
        <w:numPr>
          <w:ilvl w:val="0"/>
          <w:numId w:val="226"/>
        </w:numPr>
        <w:suppressAutoHyphens/>
        <w:spacing w:after="0" w:line="240" w:lineRule="auto"/>
        <w:jc w:val="both"/>
        <w:rPr>
          <w:rFonts w:ascii="Arial" w:hAnsi="Arial" w:cs="Arial"/>
          <w:szCs w:val="24"/>
        </w:rPr>
      </w:pPr>
      <w:r>
        <w:rPr>
          <w:rFonts w:ascii="Arial" w:hAnsi="Arial" w:cs="Arial"/>
          <w:szCs w:val="24"/>
        </w:rPr>
        <w:t>M</w:t>
      </w:r>
      <w:r w:rsidRPr="0078074F">
        <w:rPr>
          <w:rFonts w:ascii="Arial" w:hAnsi="Arial" w:cs="Arial"/>
          <w:szCs w:val="24"/>
        </w:rPr>
        <w:t xml:space="preserve">esures de protection à prendre par les ouvriers au cours des différents travaux de préparation, de construction et d'entretien des lignes électriques notamment des risques corporels liés à l’utilisation de matériel lourd et de grues, les risques de chute, l’exposition à la poussière (apport négligeable du cas considéré) et au bruit, la chute d’objets, le travail dans des espaces confinés, l’exposition à des matières dangereuses, et les risques électriques inhérents à l’utilisation des outils et des machines. </w:t>
      </w:r>
    </w:p>
    <w:p w14:paraId="49405E41" w14:textId="77777777" w:rsidR="00EC3E3F" w:rsidRDefault="00EC3E3F" w:rsidP="00F01166">
      <w:pPr>
        <w:autoSpaceDE w:val="0"/>
        <w:autoSpaceDN w:val="0"/>
        <w:adjustRightInd w:val="0"/>
        <w:spacing w:after="0"/>
        <w:jc w:val="both"/>
        <w:rPr>
          <w:rFonts w:ascii="Arial" w:hAnsi="Arial" w:cs="Arial"/>
          <w:szCs w:val="24"/>
        </w:rPr>
      </w:pPr>
    </w:p>
    <w:p w14:paraId="456CCAA4" w14:textId="77777777" w:rsidR="0078074F" w:rsidRDefault="0078074F" w:rsidP="006F6154">
      <w:pPr>
        <w:autoSpaceDE w:val="0"/>
        <w:autoSpaceDN w:val="0"/>
        <w:adjustRightInd w:val="0"/>
        <w:jc w:val="both"/>
        <w:rPr>
          <w:rFonts w:ascii="Arial" w:hAnsi="Arial" w:cs="Arial"/>
          <w:szCs w:val="24"/>
        </w:rPr>
      </w:pPr>
      <w:r w:rsidRPr="0078074F">
        <w:rPr>
          <w:rFonts w:ascii="Arial" w:hAnsi="Arial" w:cs="Arial"/>
          <w:szCs w:val="24"/>
        </w:rPr>
        <w:t>Les sources de ces risques sont principalement : les lignes électriques sous tension, le travail en hauteur, les champs électromagnétiques et l’exposition à des produits chimiques. Elle précise le niveau de performances environnementales, sanitaires et sécuritaires à atteindre pour un projet qui implique le transport de l’énergie entre une Centrale de production et une sous-station qui fait partie du réseau de transport, ainsi que la distribution de l’électricité, à partir d’une sous-station, aux consommateurs des zones résidentielles, commerciales et industrielles.</w:t>
      </w:r>
    </w:p>
    <w:p w14:paraId="79A6C60C" w14:textId="77777777" w:rsidR="0078074F" w:rsidRDefault="0078074F" w:rsidP="00377CD1">
      <w:pPr>
        <w:autoSpaceDE w:val="0"/>
        <w:autoSpaceDN w:val="0"/>
        <w:adjustRightInd w:val="0"/>
        <w:jc w:val="both"/>
        <w:rPr>
          <w:rFonts w:ascii="Arial" w:hAnsi="Arial" w:cs="Arial"/>
          <w:szCs w:val="24"/>
        </w:rPr>
      </w:pPr>
      <w:r w:rsidRPr="0078074F">
        <w:rPr>
          <w:rFonts w:ascii="Arial" w:hAnsi="Arial" w:cs="Arial"/>
          <w:szCs w:val="24"/>
        </w:rPr>
        <w:t>Elle complète les dispositions de la Directive générale et donne des indications sur les problématiques environnementales, sécuritaires et sanitaires à traiter</w:t>
      </w:r>
      <w:r w:rsidR="00FD400A">
        <w:rPr>
          <w:rFonts w:ascii="Arial" w:hAnsi="Arial" w:cs="Arial"/>
          <w:szCs w:val="24"/>
        </w:rPr>
        <w:t>.</w:t>
      </w:r>
    </w:p>
    <w:p w14:paraId="0E08BDB6" w14:textId="77777777" w:rsidR="00FD400A" w:rsidRPr="00FD400A" w:rsidRDefault="00FD400A" w:rsidP="0044500E">
      <w:pPr>
        <w:numPr>
          <w:ilvl w:val="3"/>
          <w:numId w:val="177"/>
        </w:numPr>
        <w:autoSpaceDE w:val="0"/>
        <w:autoSpaceDN w:val="0"/>
        <w:adjustRightInd w:val="0"/>
        <w:jc w:val="both"/>
        <w:rPr>
          <w:rFonts w:ascii="Arial" w:hAnsi="Arial" w:cs="Arial"/>
          <w:b/>
          <w:szCs w:val="24"/>
        </w:rPr>
      </w:pPr>
      <w:r w:rsidRPr="00FD400A">
        <w:rPr>
          <w:rFonts w:ascii="Arial" w:hAnsi="Arial" w:cs="Arial"/>
          <w:b/>
          <w:szCs w:val="24"/>
        </w:rPr>
        <w:t>Directives environnementales, sanitaires et sécuritaires pour les télécommunications</w:t>
      </w:r>
      <w:r w:rsidRPr="00FD400A">
        <w:rPr>
          <w:rFonts w:ascii="Arial" w:hAnsi="Arial" w:cs="Arial"/>
          <w:szCs w:val="24"/>
          <w:vertAlign w:val="superscript"/>
        </w:rPr>
        <w:footnoteReference w:id="76"/>
      </w:r>
    </w:p>
    <w:p w14:paraId="0062B2A2" w14:textId="77777777" w:rsidR="00FD400A" w:rsidRPr="00FD400A" w:rsidRDefault="00FD400A" w:rsidP="00FD400A">
      <w:pPr>
        <w:autoSpaceDE w:val="0"/>
        <w:autoSpaceDN w:val="0"/>
        <w:adjustRightInd w:val="0"/>
        <w:jc w:val="both"/>
        <w:rPr>
          <w:rFonts w:ascii="Arial" w:hAnsi="Arial" w:cs="Arial"/>
          <w:szCs w:val="24"/>
        </w:rPr>
      </w:pPr>
      <w:r w:rsidRPr="00FD400A">
        <w:rPr>
          <w:rFonts w:ascii="Arial" w:hAnsi="Arial" w:cs="Arial"/>
          <w:szCs w:val="24"/>
        </w:rPr>
        <w:t xml:space="preserve">Les directives environnementales, sanitaires et sécuritaires pour les télécommunications traitent les différents impacts liés à la mise en place de ligne téléphonique (fixe ou mobile) et proposent différentes mesures pour l’évitement et l’atténuation des impacts. Parmi les impacts cités, les plus importants sont : </w:t>
      </w:r>
    </w:p>
    <w:p w14:paraId="656B9737" w14:textId="77777777" w:rsidR="00FD400A" w:rsidRPr="00FD400A" w:rsidRDefault="00FD400A" w:rsidP="0044500E">
      <w:pPr>
        <w:pStyle w:val="Paragraphedeliste"/>
        <w:numPr>
          <w:ilvl w:val="0"/>
          <w:numId w:val="227"/>
        </w:numPr>
        <w:suppressAutoHyphens/>
        <w:spacing w:after="0" w:line="240" w:lineRule="auto"/>
        <w:jc w:val="both"/>
        <w:rPr>
          <w:rFonts w:ascii="Arial" w:hAnsi="Arial" w:cs="Arial"/>
          <w:szCs w:val="24"/>
        </w:rPr>
      </w:pPr>
      <w:r w:rsidRPr="00FD400A">
        <w:rPr>
          <w:rFonts w:ascii="Arial" w:hAnsi="Arial" w:cs="Arial"/>
          <w:szCs w:val="24"/>
        </w:rPr>
        <w:t>Altération des habitats terrestre et aquatique ;</w:t>
      </w:r>
    </w:p>
    <w:p w14:paraId="6B94F2D2" w14:textId="77777777" w:rsidR="00FD400A" w:rsidRPr="00FD400A" w:rsidRDefault="00FD400A" w:rsidP="0044500E">
      <w:pPr>
        <w:pStyle w:val="Paragraphedeliste"/>
        <w:numPr>
          <w:ilvl w:val="0"/>
          <w:numId w:val="227"/>
        </w:numPr>
        <w:suppressAutoHyphens/>
        <w:spacing w:after="0" w:line="240" w:lineRule="auto"/>
        <w:jc w:val="both"/>
        <w:rPr>
          <w:rFonts w:ascii="Arial" w:hAnsi="Arial" w:cs="Arial"/>
          <w:szCs w:val="24"/>
        </w:rPr>
      </w:pPr>
      <w:r w:rsidRPr="00FD400A">
        <w:rPr>
          <w:rFonts w:ascii="Arial" w:hAnsi="Arial" w:cs="Arial"/>
          <w:szCs w:val="24"/>
        </w:rPr>
        <w:t>Impacts visuels ;</w:t>
      </w:r>
    </w:p>
    <w:p w14:paraId="4C344259" w14:textId="77777777" w:rsidR="00FD400A" w:rsidRPr="00FD400A" w:rsidRDefault="00FD400A" w:rsidP="0044500E">
      <w:pPr>
        <w:pStyle w:val="Paragraphedeliste"/>
        <w:numPr>
          <w:ilvl w:val="0"/>
          <w:numId w:val="227"/>
        </w:numPr>
        <w:suppressAutoHyphens/>
        <w:spacing w:after="0" w:line="240" w:lineRule="auto"/>
        <w:jc w:val="both"/>
        <w:rPr>
          <w:rFonts w:ascii="Arial" w:hAnsi="Arial" w:cs="Arial"/>
          <w:szCs w:val="24"/>
        </w:rPr>
      </w:pPr>
      <w:r w:rsidRPr="00FD400A">
        <w:rPr>
          <w:rFonts w:ascii="Arial" w:hAnsi="Arial" w:cs="Arial"/>
          <w:szCs w:val="24"/>
        </w:rPr>
        <w:t>Exposition aux champs électriques et magnétiques ;</w:t>
      </w:r>
    </w:p>
    <w:p w14:paraId="0BE22514" w14:textId="77777777" w:rsidR="00FD400A" w:rsidRPr="00FD400A" w:rsidRDefault="00FD400A" w:rsidP="0044500E">
      <w:pPr>
        <w:pStyle w:val="Paragraphedeliste"/>
        <w:numPr>
          <w:ilvl w:val="0"/>
          <w:numId w:val="227"/>
        </w:numPr>
        <w:suppressAutoHyphens/>
        <w:spacing w:after="0" w:line="240" w:lineRule="auto"/>
        <w:jc w:val="both"/>
        <w:rPr>
          <w:rFonts w:ascii="Arial" w:hAnsi="Arial" w:cs="Arial"/>
          <w:szCs w:val="24"/>
        </w:rPr>
      </w:pPr>
      <w:r w:rsidRPr="00FD400A">
        <w:rPr>
          <w:rFonts w:ascii="Arial" w:hAnsi="Arial" w:cs="Arial"/>
          <w:szCs w:val="24"/>
        </w:rPr>
        <w:t>Génération de déchets dangereux ;</w:t>
      </w:r>
    </w:p>
    <w:p w14:paraId="7DB53472" w14:textId="77777777" w:rsidR="00FD400A" w:rsidRPr="00FD400A" w:rsidRDefault="00FD400A" w:rsidP="0044500E">
      <w:pPr>
        <w:pStyle w:val="Paragraphedeliste"/>
        <w:numPr>
          <w:ilvl w:val="0"/>
          <w:numId w:val="227"/>
        </w:numPr>
        <w:suppressAutoHyphens/>
        <w:spacing w:after="0" w:line="240" w:lineRule="auto"/>
        <w:jc w:val="both"/>
        <w:rPr>
          <w:rFonts w:ascii="Arial" w:hAnsi="Arial" w:cs="Arial"/>
          <w:szCs w:val="24"/>
        </w:rPr>
      </w:pPr>
      <w:r w:rsidRPr="00FD400A">
        <w:rPr>
          <w:rFonts w:ascii="Arial" w:hAnsi="Arial" w:cs="Arial"/>
          <w:szCs w:val="24"/>
        </w:rPr>
        <w:t>Risques d’accident de travail.</w:t>
      </w:r>
    </w:p>
    <w:p w14:paraId="2BAA04DB" w14:textId="77777777" w:rsidR="00FD400A" w:rsidRPr="00FD400A" w:rsidRDefault="00FD400A" w:rsidP="00B434A6">
      <w:pPr>
        <w:autoSpaceDE w:val="0"/>
        <w:autoSpaceDN w:val="0"/>
        <w:adjustRightInd w:val="0"/>
        <w:spacing w:after="0"/>
        <w:jc w:val="both"/>
        <w:rPr>
          <w:rFonts w:ascii="Arial" w:hAnsi="Arial" w:cs="Arial"/>
          <w:szCs w:val="24"/>
        </w:rPr>
      </w:pPr>
    </w:p>
    <w:p w14:paraId="348920BF" w14:textId="77777777" w:rsidR="00FD400A" w:rsidRPr="00FD400A" w:rsidRDefault="00FD400A" w:rsidP="00FD400A">
      <w:pPr>
        <w:autoSpaceDE w:val="0"/>
        <w:autoSpaceDN w:val="0"/>
        <w:adjustRightInd w:val="0"/>
        <w:jc w:val="both"/>
        <w:rPr>
          <w:rFonts w:ascii="Arial" w:hAnsi="Arial" w:cs="Arial"/>
          <w:szCs w:val="24"/>
        </w:rPr>
      </w:pPr>
      <w:r w:rsidRPr="00FD400A">
        <w:rPr>
          <w:rFonts w:ascii="Arial" w:hAnsi="Arial" w:cs="Arial"/>
          <w:szCs w:val="24"/>
        </w:rPr>
        <w:t>Les mesures de prévention et de protection doivent être mises en place afin de réduire voire même éradiquer les effets des impacts négatifs. Parmi les mesures</w:t>
      </w:r>
      <w:r w:rsidR="006A45F1">
        <w:rPr>
          <w:rFonts w:ascii="Arial" w:hAnsi="Arial" w:cs="Arial"/>
          <w:szCs w:val="24"/>
        </w:rPr>
        <w:t>,</w:t>
      </w:r>
      <w:r w:rsidRPr="00FD400A">
        <w:rPr>
          <w:rFonts w:ascii="Arial" w:hAnsi="Arial" w:cs="Arial"/>
          <w:szCs w:val="24"/>
        </w:rPr>
        <w:t xml:space="preserve"> on peut citer :</w:t>
      </w:r>
    </w:p>
    <w:p w14:paraId="0BBA1B67" w14:textId="77777777" w:rsidR="00FD400A" w:rsidRPr="00FD400A" w:rsidRDefault="00FD400A" w:rsidP="0044500E">
      <w:pPr>
        <w:pStyle w:val="Paragraphedeliste"/>
        <w:numPr>
          <w:ilvl w:val="0"/>
          <w:numId w:val="228"/>
        </w:numPr>
        <w:suppressAutoHyphens/>
        <w:spacing w:after="0" w:line="240" w:lineRule="auto"/>
        <w:jc w:val="both"/>
        <w:rPr>
          <w:rFonts w:ascii="Arial" w:hAnsi="Arial" w:cs="Arial"/>
          <w:szCs w:val="24"/>
        </w:rPr>
      </w:pPr>
      <w:r w:rsidRPr="00FD400A">
        <w:rPr>
          <w:rFonts w:ascii="Arial" w:hAnsi="Arial" w:cs="Arial"/>
          <w:szCs w:val="24"/>
        </w:rPr>
        <w:t>Implanter l’emprise des infrastructures fixes (p. ex, les câbles à fibre optique) et d’autres types d’infrastructures linéaires, les chemins d’accès, les lignes et les pylônes de façon à éviter les habitats critiques.</w:t>
      </w:r>
    </w:p>
    <w:p w14:paraId="7DB9F3FD" w14:textId="77777777" w:rsidR="00FD400A" w:rsidRPr="00FD400A" w:rsidRDefault="00FD400A" w:rsidP="0044500E">
      <w:pPr>
        <w:pStyle w:val="Paragraphedeliste"/>
        <w:numPr>
          <w:ilvl w:val="0"/>
          <w:numId w:val="228"/>
        </w:numPr>
        <w:suppressAutoHyphens/>
        <w:spacing w:after="0" w:line="240" w:lineRule="auto"/>
        <w:jc w:val="both"/>
        <w:rPr>
          <w:rFonts w:ascii="Arial" w:hAnsi="Arial" w:cs="Arial"/>
          <w:szCs w:val="24"/>
        </w:rPr>
      </w:pPr>
      <w:r w:rsidRPr="00FD400A">
        <w:rPr>
          <w:rFonts w:ascii="Arial" w:hAnsi="Arial" w:cs="Arial"/>
          <w:szCs w:val="24"/>
        </w:rPr>
        <w:t>Tenir compte des perceptions esthétiques des habitants en consultant ces derniers durant le processus de décision du lieu d’implantation des pylônes</w:t>
      </w:r>
    </w:p>
    <w:p w14:paraId="61D22C3E" w14:textId="77777777" w:rsidR="00FD400A" w:rsidRPr="00FD400A" w:rsidRDefault="00FD400A" w:rsidP="0044500E">
      <w:pPr>
        <w:pStyle w:val="Paragraphedeliste"/>
        <w:numPr>
          <w:ilvl w:val="0"/>
          <w:numId w:val="228"/>
        </w:numPr>
        <w:suppressAutoHyphens/>
        <w:spacing w:after="0" w:line="240" w:lineRule="auto"/>
        <w:jc w:val="both"/>
        <w:rPr>
          <w:rFonts w:ascii="Arial" w:hAnsi="Arial" w:cs="Arial"/>
          <w:szCs w:val="24"/>
        </w:rPr>
      </w:pPr>
      <w:r w:rsidRPr="00FD400A">
        <w:rPr>
          <w:rFonts w:ascii="Arial" w:hAnsi="Arial" w:cs="Arial"/>
          <w:szCs w:val="24"/>
        </w:rPr>
        <w:t>Limiter l’accès du public aux sites des pylônes d’antenne</w:t>
      </w:r>
    </w:p>
    <w:p w14:paraId="56F81FC3" w14:textId="77777777" w:rsidR="00FD400A" w:rsidRPr="00FD400A" w:rsidRDefault="00FD400A" w:rsidP="0044500E">
      <w:pPr>
        <w:pStyle w:val="Paragraphedeliste"/>
        <w:numPr>
          <w:ilvl w:val="0"/>
          <w:numId w:val="228"/>
        </w:numPr>
        <w:suppressAutoHyphens/>
        <w:spacing w:after="0" w:line="240" w:lineRule="auto"/>
        <w:jc w:val="both"/>
        <w:rPr>
          <w:rFonts w:ascii="Arial" w:hAnsi="Arial" w:cs="Arial"/>
          <w:szCs w:val="24"/>
        </w:rPr>
      </w:pPr>
      <w:r w:rsidRPr="00FD400A">
        <w:rPr>
          <w:rFonts w:ascii="Arial" w:hAnsi="Arial" w:cs="Arial"/>
          <w:szCs w:val="24"/>
        </w:rPr>
        <w:t>Établir des procédures de gestion des batteries au plomb, notamment pour leur stockage temporaire, leur transport et leur recyclage final par un établissement agréé</w:t>
      </w:r>
    </w:p>
    <w:p w14:paraId="07E7627F" w14:textId="77777777" w:rsidR="00FD400A" w:rsidRPr="00FD400A" w:rsidRDefault="00FD400A" w:rsidP="0044500E">
      <w:pPr>
        <w:numPr>
          <w:ilvl w:val="0"/>
          <w:numId w:val="228"/>
        </w:numPr>
        <w:autoSpaceDE w:val="0"/>
        <w:autoSpaceDN w:val="0"/>
        <w:adjustRightInd w:val="0"/>
        <w:jc w:val="both"/>
        <w:rPr>
          <w:rFonts w:ascii="Arial" w:hAnsi="Arial" w:cs="Arial"/>
          <w:szCs w:val="24"/>
        </w:rPr>
      </w:pPr>
      <w:r w:rsidRPr="00FD400A">
        <w:rPr>
          <w:rFonts w:ascii="Arial" w:hAnsi="Arial" w:cs="Arial"/>
          <w:szCs w:val="24"/>
        </w:rPr>
        <w:t>Autoriser uniquement les travailleurs formés et certifiés à assurer l’installation, l’entretien ou la réparation du matériel électrique</w:t>
      </w:r>
      <w:r>
        <w:rPr>
          <w:rFonts w:ascii="Arial" w:hAnsi="Arial" w:cs="Arial"/>
          <w:szCs w:val="24"/>
        </w:rPr>
        <w:t>.</w:t>
      </w:r>
    </w:p>
    <w:p w14:paraId="52BA4FC4" w14:textId="77777777" w:rsidR="00FD400A" w:rsidRDefault="00FD400A" w:rsidP="0044500E">
      <w:pPr>
        <w:numPr>
          <w:ilvl w:val="0"/>
          <w:numId w:val="228"/>
        </w:numPr>
        <w:autoSpaceDE w:val="0"/>
        <w:autoSpaceDN w:val="0"/>
        <w:adjustRightInd w:val="0"/>
        <w:jc w:val="both"/>
        <w:rPr>
          <w:rFonts w:ascii="Arial" w:hAnsi="Arial" w:cs="Arial"/>
          <w:szCs w:val="24"/>
        </w:rPr>
      </w:pPr>
      <w:r w:rsidRPr="00FD400A">
        <w:rPr>
          <w:rFonts w:ascii="Arial" w:hAnsi="Arial" w:cs="Arial"/>
          <w:szCs w:val="24"/>
        </w:rPr>
        <w:t>Utiliser les échelles conformément à des procédures de sécurité préétablies concernant, notamment, la manière de les placer, d’y monter et de s’y tenir en équilibre, et l’utilisation de rallonges</w:t>
      </w:r>
      <w:r>
        <w:rPr>
          <w:rFonts w:ascii="Arial" w:hAnsi="Arial" w:cs="Arial"/>
          <w:szCs w:val="24"/>
        </w:rPr>
        <w:t>.</w:t>
      </w:r>
    </w:p>
    <w:p w14:paraId="509303CB" w14:textId="77777777" w:rsidR="00FD400A" w:rsidRPr="00742D67" w:rsidRDefault="005601CA" w:rsidP="0044500E">
      <w:pPr>
        <w:numPr>
          <w:ilvl w:val="3"/>
          <w:numId w:val="177"/>
        </w:numPr>
        <w:autoSpaceDE w:val="0"/>
        <w:autoSpaceDN w:val="0"/>
        <w:adjustRightInd w:val="0"/>
        <w:jc w:val="both"/>
        <w:rPr>
          <w:rFonts w:ascii="Arial" w:hAnsi="Arial" w:cs="Arial"/>
          <w:b/>
          <w:szCs w:val="24"/>
        </w:rPr>
      </w:pPr>
      <w:r w:rsidRPr="00742D67">
        <w:rPr>
          <w:rFonts w:ascii="Arial" w:hAnsi="Arial" w:cs="Arial"/>
          <w:b/>
          <w:szCs w:val="24"/>
        </w:rPr>
        <w:t>Directives environnementales, sanitaires et sécuritaires pour l’extraction des matériaux de construction</w:t>
      </w:r>
      <w:r w:rsidR="003C7E2E" w:rsidRPr="00742D67">
        <w:rPr>
          <w:rStyle w:val="Appelnotedebasdep"/>
          <w:rFonts w:ascii="Arial" w:hAnsi="Arial" w:cs="Arial"/>
          <w:b/>
          <w:szCs w:val="24"/>
        </w:rPr>
        <w:footnoteReference w:id="77"/>
      </w:r>
    </w:p>
    <w:p w14:paraId="33056AAC" w14:textId="77777777" w:rsidR="005601CA" w:rsidRPr="00742D67" w:rsidRDefault="005601CA" w:rsidP="005601CA">
      <w:pPr>
        <w:autoSpaceDE w:val="0"/>
        <w:autoSpaceDN w:val="0"/>
        <w:adjustRightInd w:val="0"/>
        <w:jc w:val="both"/>
        <w:rPr>
          <w:rFonts w:ascii="Arial" w:hAnsi="Arial" w:cs="Arial"/>
          <w:szCs w:val="24"/>
        </w:rPr>
      </w:pPr>
      <w:r w:rsidRPr="00742D67">
        <w:rPr>
          <w:rFonts w:ascii="Arial" w:hAnsi="Arial" w:cs="Arial"/>
          <w:szCs w:val="24"/>
        </w:rPr>
        <w:t xml:space="preserve">Les directives EHS pour l’extraction des matériaux de construction sont applicables au projet de construction des barrages hydroélectriques car </w:t>
      </w:r>
      <w:r w:rsidR="006A45F1" w:rsidRPr="00742D67">
        <w:rPr>
          <w:rFonts w:ascii="Arial" w:hAnsi="Arial" w:cs="Arial"/>
          <w:szCs w:val="24"/>
        </w:rPr>
        <w:t xml:space="preserve">ce dernier </w:t>
      </w:r>
      <w:r w:rsidRPr="00742D67">
        <w:rPr>
          <w:rFonts w:ascii="Arial" w:hAnsi="Arial" w:cs="Arial"/>
          <w:szCs w:val="24"/>
        </w:rPr>
        <w:t>nécessite l’exploitation des carrières pour l’approvisionnement en matériaux. Effectivement, le champ d’application de ces directives concerne tout autant les activités d’extraction en tant que projets indépendants que celles menées dans le cadre de projets de construction et de travaux de génie civil.</w:t>
      </w:r>
    </w:p>
    <w:p w14:paraId="71DA1FD9" w14:textId="77777777" w:rsidR="005601CA" w:rsidRPr="00742D67" w:rsidRDefault="005601CA" w:rsidP="005601CA">
      <w:pPr>
        <w:autoSpaceDE w:val="0"/>
        <w:autoSpaceDN w:val="0"/>
        <w:adjustRightInd w:val="0"/>
        <w:jc w:val="both"/>
        <w:rPr>
          <w:rFonts w:ascii="Arial" w:hAnsi="Arial" w:cs="Arial"/>
          <w:szCs w:val="24"/>
        </w:rPr>
      </w:pPr>
      <w:r w:rsidRPr="00742D67">
        <w:rPr>
          <w:rFonts w:ascii="Arial" w:hAnsi="Arial" w:cs="Arial"/>
          <w:szCs w:val="24"/>
        </w:rPr>
        <w:t xml:space="preserve">Selon ces directives, les problèmes environnementaux rencontrés durant les phases d’exploitation, de construction et de démantèlement des sites d’extraction des matériaux de construction concernent : </w:t>
      </w:r>
    </w:p>
    <w:p w14:paraId="5804C017" w14:textId="77777777" w:rsidR="005601CA" w:rsidRPr="00742D67" w:rsidRDefault="005601CA" w:rsidP="0044500E">
      <w:pPr>
        <w:pStyle w:val="Paragraphedeliste"/>
        <w:numPr>
          <w:ilvl w:val="0"/>
          <w:numId w:val="180"/>
        </w:numPr>
        <w:autoSpaceDE w:val="0"/>
        <w:autoSpaceDN w:val="0"/>
        <w:adjustRightInd w:val="0"/>
        <w:spacing w:after="0" w:line="240" w:lineRule="auto"/>
        <w:jc w:val="both"/>
        <w:rPr>
          <w:rFonts w:ascii="Arial" w:hAnsi="Arial" w:cs="Arial"/>
          <w:color w:val="auto"/>
          <w:szCs w:val="20"/>
        </w:rPr>
      </w:pPr>
      <w:r w:rsidRPr="00742D67">
        <w:rPr>
          <w:rFonts w:ascii="Arial" w:hAnsi="Arial" w:cs="Arial"/>
          <w:color w:val="auto"/>
          <w:szCs w:val="20"/>
        </w:rPr>
        <w:t>Les émissions de matières particulaires et poussières</w:t>
      </w:r>
      <w:r w:rsidR="006A45F1" w:rsidRPr="00742D67">
        <w:rPr>
          <w:rFonts w:ascii="Arial" w:hAnsi="Arial" w:cs="Arial"/>
          <w:color w:val="auto"/>
          <w:szCs w:val="20"/>
        </w:rPr>
        <w:t> ;</w:t>
      </w:r>
    </w:p>
    <w:p w14:paraId="494A20B9" w14:textId="77777777" w:rsidR="005601CA" w:rsidRPr="00742D67" w:rsidRDefault="005601CA" w:rsidP="0044500E">
      <w:pPr>
        <w:pStyle w:val="Paragraphedeliste"/>
        <w:numPr>
          <w:ilvl w:val="0"/>
          <w:numId w:val="180"/>
        </w:numPr>
        <w:autoSpaceDE w:val="0"/>
        <w:autoSpaceDN w:val="0"/>
        <w:adjustRightInd w:val="0"/>
        <w:spacing w:after="0" w:line="240" w:lineRule="auto"/>
        <w:jc w:val="both"/>
        <w:rPr>
          <w:rFonts w:ascii="Arial" w:hAnsi="Arial" w:cs="Arial"/>
          <w:color w:val="auto"/>
          <w:szCs w:val="20"/>
        </w:rPr>
      </w:pPr>
      <w:r w:rsidRPr="00742D67">
        <w:rPr>
          <w:rFonts w:ascii="Arial" w:hAnsi="Arial" w:cs="Arial"/>
          <w:color w:val="auto"/>
          <w:szCs w:val="20"/>
        </w:rPr>
        <w:t>Les nuisances sonores, ainsi que les vibrations principalement provoquées par les tirs de mines</w:t>
      </w:r>
      <w:r w:rsidR="006A45F1" w:rsidRPr="00742D67">
        <w:rPr>
          <w:rFonts w:ascii="Arial" w:hAnsi="Arial" w:cs="Arial"/>
          <w:color w:val="auto"/>
          <w:szCs w:val="20"/>
        </w:rPr>
        <w:t> ;</w:t>
      </w:r>
    </w:p>
    <w:p w14:paraId="3BD64867" w14:textId="77777777" w:rsidR="005601CA" w:rsidRPr="00742D67" w:rsidRDefault="005601CA" w:rsidP="0044500E">
      <w:pPr>
        <w:pStyle w:val="Paragraphedeliste"/>
        <w:numPr>
          <w:ilvl w:val="0"/>
          <w:numId w:val="180"/>
        </w:numPr>
        <w:autoSpaceDE w:val="0"/>
        <w:autoSpaceDN w:val="0"/>
        <w:adjustRightInd w:val="0"/>
        <w:spacing w:after="0" w:line="240" w:lineRule="auto"/>
        <w:jc w:val="both"/>
        <w:rPr>
          <w:rFonts w:ascii="Arial" w:hAnsi="Arial" w:cs="Arial"/>
          <w:color w:val="auto"/>
          <w:szCs w:val="20"/>
        </w:rPr>
      </w:pPr>
      <w:r w:rsidRPr="00742D67">
        <w:rPr>
          <w:rFonts w:ascii="Arial" w:hAnsi="Arial" w:cs="Arial"/>
          <w:color w:val="auto"/>
          <w:szCs w:val="20"/>
        </w:rPr>
        <w:t>La consommation d’eau qui peut être importante, et le rejet d’eaux usées contenant des quantités importantes de matières solides en suspension</w:t>
      </w:r>
      <w:r w:rsidR="006A45F1" w:rsidRPr="00742D67">
        <w:rPr>
          <w:rFonts w:ascii="Arial" w:hAnsi="Arial" w:cs="Arial"/>
          <w:color w:val="auto"/>
          <w:szCs w:val="20"/>
        </w:rPr>
        <w:t> ;</w:t>
      </w:r>
    </w:p>
    <w:p w14:paraId="26A4602D" w14:textId="77777777" w:rsidR="005601CA" w:rsidRPr="00742D67" w:rsidRDefault="005601CA" w:rsidP="0044500E">
      <w:pPr>
        <w:pStyle w:val="Paragraphedeliste"/>
        <w:numPr>
          <w:ilvl w:val="0"/>
          <w:numId w:val="180"/>
        </w:numPr>
        <w:autoSpaceDE w:val="0"/>
        <w:autoSpaceDN w:val="0"/>
        <w:adjustRightInd w:val="0"/>
        <w:spacing w:after="0" w:line="240" w:lineRule="auto"/>
        <w:jc w:val="both"/>
        <w:rPr>
          <w:rFonts w:ascii="Arial" w:hAnsi="Arial" w:cs="Arial"/>
          <w:color w:val="auto"/>
          <w:szCs w:val="20"/>
        </w:rPr>
      </w:pPr>
      <w:r w:rsidRPr="00742D67">
        <w:rPr>
          <w:rFonts w:ascii="Arial" w:hAnsi="Arial" w:cs="Arial"/>
          <w:color w:val="auto"/>
          <w:szCs w:val="20"/>
        </w:rPr>
        <w:t>Les déchets produits par les activités d’extraction (débris de roche et morts-terrains)</w:t>
      </w:r>
      <w:r w:rsidR="006A45F1" w:rsidRPr="00742D67">
        <w:rPr>
          <w:rFonts w:ascii="Arial" w:hAnsi="Arial" w:cs="Arial"/>
          <w:color w:val="auto"/>
          <w:szCs w:val="20"/>
        </w:rPr>
        <w:t> ;</w:t>
      </w:r>
    </w:p>
    <w:p w14:paraId="0B0A6023" w14:textId="77777777" w:rsidR="005601CA" w:rsidRPr="00742D67" w:rsidRDefault="005601CA" w:rsidP="0044500E">
      <w:pPr>
        <w:pStyle w:val="Paragraphedeliste"/>
        <w:numPr>
          <w:ilvl w:val="0"/>
          <w:numId w:val="180"/>
        </w:numPr>
        <w:autoSpaceDE w:val="0"/>
        <w:autoSpaceDN w:val="0"/>
        <w:adjustRightInd w:val="0"/>
        <w:spacing w:after="0" w:line="240" w:lineRule="auto"/>
        <w:jc w:val="both"/>
        <w:rPr>
          <w:rFonts w:ascii="Arial" w:hAnsi="Arial" w:cs="Arial"/>
          <w:color w:val="auto"/>
          <w:szCs w:val="20"/>
        </w:rPr>
      </w:pPr>
      <w:r w:rsidRPr="00742D67">
        <w:rPr>
          <w:rFonts w:ascii="Arial" w:hAnsi="Arial" w:cs="Arial"/>
          <w:color w:val="auto"/>
          <w:szCs w:val="20"/>
        </w:rPr>
        <w:t>Le changement d’affectation des sols dû à la modification de la topographie, des couches superficielles du sol et leur défrichement</w:t>
      </w:r>
      <w:r w:rsidR="006A45F1" w:rsidRPr="00742D67">
        <w:rPr>
          <w:rFonts w:ascii="Arial" w:hAnsi="Arial" w:cs="Arial"/>
          <w:color w:val="auto"/>
          <w:szCs w:val="20"/>
        </w:rPr>
        <w:t>.</w:t>
      </w:r>
    </w:p>
    <w:p w14:paraId="2816E4A0" w14:textId="77777777" w:rsidR="005601CA" w:rsidRPr="00742D67" w:rsidRDefault="005601CA" w:rsidP="005601CA">
      <w:pPr>
        <w:autoSpaceDE w:val="0"/>
        <w:autoSpaceDN w:val="0"/>
        <w:adjustRightInd w:val="0"/>
        <w:jc w:val="both"/>
        <w:rPr>
          <w:rFonts w:ascii="Arial" w:hAnsi="Arial" w:cs="Arial"/>
          <w:szCs w:val="24"/>
        </w:rPr>
      </w:pPr>
      <w:r w:rsidRPr="00742D67">
        <w:rPr>
          <w:rFonts w:ascii="Arial" w:hAnsi="Arial" w:cs="Arial"/>
          <w:szCs w:val="24"/>
        </w:rPr>
        <w:t xml:space="preserve">Sur le plan social, les questions concernant la santé et la sécurité de la population qui sont propres aux activités d’extraction de matériaux de construction ont principalement trait aux points suivants : </w:t>
      </w:r>
    </w:p>
    <w:p w14:paraId="114D93A9" w14:textId="77777777" w:rsidR="005601CA" w:rsidRPr="00742D67" w:rsidRDefault="005601CA" w:rsidP="0044500E">
      <w:pPr>
        <w:pStyle w:val="Paragraphedeliste"/>
        <w:numPr>
          <w:ilvl w:val="0"/>
          <w:numId w:val="180"/>
        </w:numPr>
        <w:autoSpaceDE w:val="0"/>
        <w:autoSpaceDN w:val="0"/>
        <w:adjustRightInd w:val="0"/>
        <w:spacing w:after="0" w:line="240" w:lineRule="auto"/>
        <w:jc w:val="both"/>
        <w:rPr>
          <w:rFonts w:ascii="Arial" w:hAnsi="Arial" w:cs="Arial"/>
          <w:color w:val="auto"/>
          <w:szCs w:val="20"/>
        </w:rPr>
      </w:pPr>
      <w:r w:rsidRPr="00742D67">
        <w:rPr>
          <w:rFonts w:ascii="Arial" w:hAnsi="Arial" w:cs="Arial"/>
          <w:color w:val="auto"/>
          <w:szCs w:val="20"/>
        </w:rPr>
        <w:t>Instabilité de terrain due aux accumulations de déblais, les bassins et les zones où tirs de mines ont été effectués</w:t>
      </w:r>
      <w:r w:rsidR="006A45F1" w:rsidRPr="00742D67">
        <w:rPr>
          <w:rFonts w:ascii="Arial" w:hAnsi="Arial" w:cs="Arial"/>
          <w:color w:val="auto"/>
          <w:szCs w:val="20"/>
        </w:rPr>
        <w:t> ;</w:t>
      </w:r>
    </w:p>
    <w:p w14:paraId="68268373" w14:textId="77777777" w:rsidR="005601CA" w:rsidRPr="00742D67" w:rsidRDefault="005601CA" w:rsidP="0044500E">
      <w:pPr>
        <w:pStyle w:val="Paragraphedeliste"/>
        <w:numPr>
          <w:ilvl w:val="0"/>
          <w:numId w:val="180"/>
        </w:numPr>
        <w:autoSpaceDE w:val="0"/>
        <w:autoSpaceDN w:val="0"/>
        <w:adjustRightInd w:val="0"/>
        <w:spacing w:after="0" w:line="240" w:lineRule="auto"/>
        <w:jc w:val="both"/>
        <w:rPr>
          <w:rFonts w:ascii="Arial" w:hAnsi="Arial" w:cs="Arial"/>
          <w:color w:val="auto"/>
          <w:szCs w:val="20"/>
        </w:rPr>
      </w:pPr>
      <w:r w:rsidRPr="00742D67">
        <w:rPr>
          <w:rFonts w:ascii="Arial" w:hAnsi="Arial" w:cs="Arial"/>
          <w:color w:val="auto"/>
          <w:szCs w:val="20"/>
        </w:rPr>
        <w:t xml:space="preserve">Altération du régime des eaux de surface et des eaux souterraines qui sont utilisées par les communautés locales pour s’approvisionner en eau potable, irriguer, abreuver le bétail, … </w:t>
      </w:r>
    </w:p>
    <w:p w14:paraId="288DB071" w14:textId="77777777" w:rsidR="005601CA" w:rsidRPr="00742D67" w:rsidRDefault="005601CA" w:rsidP="0044500E">
      <w:pPr>
        <w:pStyle w:val="Paragraphedeliste"/>
        <w:numPr>
          <w:ilvl w:val="0"/>
          <w:numId w:val="180"/>
        </w:numPr>
        <w:autoSpaceDE w:val="0"/>
        <w:autoSpaceDN w:val="0"/>
        <w:adjustRightInd w:val="0"/>
        <w:spacing w:after="0" w:line="240" w:lineRule="auto"/>
        <w:jc w:val="both"/>
        <w:rPr>
          <w:rFonts w:ascii="Arial" w:hAnsi="Arial" w:cs="Arial"/>
          <w:color w:val="auto"/>
          <w:szCs w:val="20"/>
        </w:rPr>
      </w:pPr>
      <w:r w:rsidRPr="00742D67">
        <w:rPr>
          <w:rFonts w:ascii="Arial" w:hAnsi="Arial" w:cs="Arial"/>
          <w:color w:val="auto"/>
          <w:szCs w:val="20"/>
        </w:rPr>
        <w:t>Sécurité lors des explosions : les tirs de mines peuvent provoquer des explosions accidentelles et avoir un impact dans les zones d’habitat aux alentours</w:t>
      </w:r>
      <w:r w:rsidR="006A45F1" w:rsidRPr="00742D67">
        <w:rPr>
          <w:rFonts w:ascii="Arial" w:hAnsi="Arial" w:cs="Arial"/>
          <w:color w:val="auto"/>
          <w:szCs w:val="20"/>
        </w:rPr>
        <w:t> ;</w:t>
      </w:r>
    </w:p>
    <w:p w14:paraId="5EB69479" w14:textId="77777777" w:rsidR="005601CA" w:rsidRPr="00742D67" w:rsidRDefault="005601CA" w:rsidP="0044500E">
      <w:pPr>
        <w:pStyle w:val="Paragraphedeliste"/>
        <w:numPr>
          <w:ilvl w:val="0"/>
          <w:numId w:val="180"/>
        </w:numPr>
        <w:autoSpaceDE w:val="0"/>
        <w:autoSpaceDN w:val="0"/>
        <w:adjustRightInd w:val="0"/>
        <w:spacing w:after="0" w:line="240" w:lineRule="auto"/>
        <w:jc w:val="both"/>
        <w:rPr>
          <w:rFonts w:ascii="Arial" w:hAnsi="Arial" w:cs="Arial"/>
          <w:color w:val="auto"/>
          <w:szCs w:val="20"/>
        </w:rPr>
      </w:pPr>
      <w:r w:rsidRPr="00742D67">
        <w:rPr>
          <w:rFonts w:ascii="Arial" w:hAnsi="Arial" w:cs="Arial"/>
          <w:color w:val="auto"/>
          <w:szCs w:val="20"/>
        </w:rPr>
        <w:t>Remise en état du site</w:t>
      </w:r>
      <w:r w:rsidR="006A45F1" w:rsidRPr="00742D67">
        <w:rPr>
          <w:rFonts w:ascii="Arial" w:hAnsi="Arial" w:cs="Arial"/>
          <w:color w:val="auto"/>
          <w:szCs w:val="20"/>
        </w:rPr>
        <w:t>.</w:t>
      </w:r>
    </w:p>
    <w:p w14:paraId="1D6AD35B" w14:textId="77777777" w:rsidR="005601CA" w:rsidRPr="00742D67" w:rsidRDefault="005601CA" w:rsidP="00F01166">
      <w:pPr>
        <w:autoSpaceDE w:val="0"/>
        <w:autoSpaceDN w:val="0"/>
        <w:adjustRightInd w:val="0"/>
        <w:spacing w:after="0"/>
        <w:jc w:val="both"/>
        <w:rPr>
          <w:rFonts w:ascii="Arial" w:hAnsi="Arial" w:cs="Arial"/>
          <w:b/>
          <w:szCs w:val="24"/>
        </w:rPr>
      </w:pPr>
    </w:p>
    <w:p w14:paraId="263B0507" w14:textId="77777777" w:rsidR="005601CA" w:rsidRPr="00742D67" w:rsidRDefault="003C7E2E" w:rsidP="005601CA">
      <w:pPr>
        <w:autoSpaceDE w:val="0"/>
        <w:autoSpaceDN w:val="0"/>
        <w:adjustRightInd w:val="0"/>
        <w:jc w:val="both"/>
        <w:rPr>
          <w:rFonts w:ascii="Arial" w:hAnsi="Arial" w:cs="Arial"/>
          <w:szCs w:val="24"/>
        </w:rPr>
      </w:pPr>
      <w:r w:rsidRPr="00742D67">
        <w:rPr>
          <w:rFonts w:ascii="Arial" w:hAnsi="Arial" w:cs="Arial"/>
          <w:szCs w:val="24"/>
        </w:rPr>
        <w:t>Afin d’atténuer voir</w:t>
      </w:r>
      <w:r w:rsidR="006A45F1" w:rsidRPr="00742D67">
        <w:rPr>
          <w:rFonts w:ascii="Arial" w:hAnsi="Arial" w:cs="Arial"/>
          <w:szCs w:val="24"/>
        </w:rPr>
        <w:t>e</w:t>
      </w:r>
      <w:r w:rsidRPr="00742D67">
        <w:rPr>
          <w:rFonts w:ascii="Arial" w:hAnsi="Arial" w:cs="Arial"/>
          <w:szCs w:val="24"/>
        </w:rPr>
        <w:t xml:space="preserve"> éradiquer ces risques environnementaux et sociaux, Les directives EHS pour l’extraction des matériaux de construction prévoient plusieurs solution</w:t>
      </w:r>
      <w:r w:rsidR="006A45F1" w:rsidRPr="00742D67">
        <w:rPr>
          <w:rFonts w:ascii="Arial" w:hAnsi="Arial" w:cs="Arial"/>
          <w:szCs w:val="24"/>
        </w:rPr>
        <w:t>s</w:t>
      </w:r>
      <w:r w:rsidRPr="00742D67">
        <w:rPr>
          <w:rFonts w:ascii="Arial" w:hAnsi="Arial" w:cs="Arial"/>
          <w:szCs w:val="24"/>
        </w:rPr>
        <w:t xml:space="preserve"> dont :</w:t>
      </w:r>
    </w:p>
    <w:p w14:paraId="413CB582" w14:textId="77777777" w:rsidR="003C7E2E" w:rsidRPr="00742D67" w:rsidRDefault="003C7E2E" w:rsidP="0044500E">
      <w:pPr>
        <w:pStyle w:val="Paragraphedeliste"/>
        <w:numPr>
          <w:ilvl w:val="0"/>
          <w:numId w:val="180"/>
        </w:numPr>
        <w:autoSpaceDE w:val="0"/>
        <w:autoSpaceDN w:val="0"/>
        <w:adjustRightInd w:val="0"/>
        <w:spacing w:after="0" w:line="240" w:lineRule="auto"/>
        <w:jc w:val="both"/>
        <w:rPr>
          <w:rFonts w:ascii="Arial" w:hAnsi="Arial" w:cs="Arial"/>
          <w:color w:val="auto"/>
          <w:szCs w:val="20"/>
        </w:rPr>
      </w:pPr>
      <w:r w:rsidRPr="00742D67">
        <w:rPr>
          <w:rFonts w:ascii="Arial" w:hAnsi="Arial" w:cs="Arial"/>
          <w:color w:val="auto"/>
          <w:szCs w:val="20"/>
        </w:rPr>
        <w:t xml:space="preserve">Limiter les émissions de poussières au niveau des équipements de transformation au moyen de capteurs, en utilisant des traitements par voie humide ou par aspersions d’eau/arrosage. </w:t>
      </w:r>
    </w:p>
    <w:p w14:paraId="510C1F81" w14:textId="77777777" w:rsidR="003C7E2E" w:rsidRPr="00742D67" w:rsidRDefault="003C7E2E" w:rsidP="0044500E">
      <w:pPr>
        <w:pStyle w:val="Paragraphedeliste"/>
        <w:numPr>
          <w:ilvl w:val="0"/>
          <w:numId w:val="180"/>
        </w:numPr>
        <w:autoSpaceDE w:val="0"/>
        <w:autoSpaceDN w:val="0"/>
        <w:adjustRightInd w:val="0"/>
        <w:spacing w:after="0" w:line="240" w:lineRule="auto"/>
        <w:jc w:val="both"/>
        <w:rPr>
          <w:rFonts w:ascii="Arial" w:hAnsi="Arial" w:cs="Arial"/>
          <w:color w:val="auto"/>
          <w:szCs w:val="20"/>
        </w:rPr>
      </w:pPr>
      <w:r w:rsidRPr="00742D67">
        <w:rPr>
          <w:rFonts w:ascii="Arial" w:hAnsi="Arial" w:cs="Arial"/>
          <w:color w:val="auto"/>
          <w:szCs w:val="20"/>
        </w:rPr>
        <w:t>Établir un plan de circulation optimal des véhicules à l'intérieur du site, en particulier pour réduire le plus possible l’utilisation de la marche arrière et pour accroître au maximum les distances entre les véhicules et les milieux récepteurs fragiles les plus proches</w:t>
      </w:r>
      <w:r w:rsidR="006A45F1" w:rsidRPr="00742D67">
        <w:rPr>
          <w:rFonts w:ascii="Arial" w:hAnsi="Arial" w:cs="Arial"/>
          <w:color w:val="auto"/>
          <w:szCs w:val="20"/>
        </w:rPr>
        <w:t> ;</w:t>
      </w:r>
    </w:p>
    <w:p w14:paraId="59218B8D" w14:textId="77777777" w:rsidR="003C7E2E" w:rsidRPr="00742D67" w:rsidRDefault="003C7E2E" w:rsidP="0044500E">
      <w:pPr>
        <w:pStyle w:val="Paragraphedeliste"/>
        <w:numPr>
          <w:ilvl w:val="0"/>
          <w:numId w:val="180"/>
        </w:numPr>
        <w:autoSpaceDE w:val="0"/>
        <w:autoSpaceDN w:val="0"/>
        <w:adjustRightInd w:val="0"/>
        <w:spacing w:after="0" w:line="240" w:lineRule="auto"/>
        <w:jc w:val="both"/>
        <w:rPr>
          <w:rFonts w:ascii="Arial" w:hAnsi="Arial" w:cs="Arial"/>
          <w:color w:val="auto"/>
          <w:szCs w:val="20"/>
        </w:rPr>
      </w:pPr>
      <w:r w:rsidRPr="00742D67">
        <w:rPr>
          <w:rFonts w:ascii="Arial" w:hAnsi="Arial" w:cs="Arial"/>
          <w:color w:val="auto"/>
          <w:szCs w:val="20"/>
        </w:rPr>
        <w:t>Construction d’un réseau de drainage spécial et renforcement du processus de décantation par l’utilisation</w:t>
      </w:r>
      <w:r w:rsidR="006A45F1" w:rsidRPr="00742D67">
        <w:rPr>
          <w:rFonts w:ascii="Arial" w:hAnsi="Arial" w:cs="Arial"/>
          <w:color w:val="auto"/>
          <w:szCs w:val="20"/>
        </w:rPr>
        <w:t> ;</w:t>
      </w:r>
    </w:p>
    <w:p w14:paraId="76F38B71" w14:textId="77777777" w:rsidR="003C7E2E" w:rsidRPr="00742D67" w:rsidRDefault="003C7E2E" w:rsidP="0044500E">
      <w:pPr>
        <w:pStyle w:val="Paragraphedeliste"/>
        <w:numPr>
          <w:ilvl w:val="0"/>
          <w:numId w:val="180"/>
        </w:numPr>
        <w:autoSpaceDE w:val="0"/>
        <w:autoSpaceDN w:val="0"/>
        <w:adjustRightInd w:val="0"/>
        <w:spacing w:after="0" w:line="240" w:lineRule="auto"/>
        <w:jc w:val="both"/>
        <w:rPr>
          <w:rFonts w:ascii="Arial" w:hAnsi="Arial" w:cs="Arial"/>
          <w:color w:val="auto"/>
          <w:szCs w:val="20"/>
        </w:rPr>
      </w:pPr>
      <w:r w:rsidRPr="00742D67">
        <w:rPr>
          <w:rFonts w:ascii="Arial" w:hAnsi="Arial" w:cs="Arial"/>
          <w:color w:val="auto"/>
          <w:szCs w:val="20"/>
        </w:rPr>
        <w:t>Enlever le sol superficiel, les morts-terrains et les matériaux de qualité inférieure, les stocker près du site et les préserver de manière adéquate en vue de la réhabilitation du site</w:t>
      </w:r>
      <w:r w:rsidR="006A45F1" w:rsidRPr="00742D67">
        <w:rPr>
          <w:rFonts w:ascii="Arial" w:hAnsi="Arial" w:cs="Arial"/>
          <w:color w:val="auto"/>
          <w:szCs w:val="20"/>
        </w:rPr>
        <w:t> ;</w:t>
      </w:r>
    </w:p>
    <w:p w14:paraId="78396B7A" w14:textId="77777777" w:rsidR="003C7E2E" w:rsidRPr="00742D67" w:rsidRDefault="003C7E2E" w:rsidP="0044500E">
      <w:pPr>
        <w:pStyle w:val="Paragraphedeliste"/>
        <w:numPr>
          <w:ilvl w:val="0"/>
          <w:numId w:val="180"/>
        </w:numPr>
        <w:autoSpaceDE w:val="0"/>
        <w:autoSpaceDN w:val="0"/>
        <w:adjustRightInd w:val="0"/>
        <w:spacing w:after="0" w:line="240" w:lineRule="auto"/>
        <w:jc w:val="both"/>
        <w:rPr>
          <w:rFonts w:ascii="Arial" w:hAnsi="Arial" w:cs="Arial"/>
          <w:color w:val="auto"/>
          <w:szCs w:val="20"/>
        </w:rPr>
      </w:pPr>
      <w:r w:rsidRPr="00742D67">
        <w:rPr>
          <w:rFonts w:ascii="Arial" w:hAnsi="Arial" w:cs="Arial"/>
          <w:color w:val="auto"/>
          <w:szCs w:val="20"/>
        </w:rPr>
        <w:t>Exploiter en priorité les gisements de roches les plus épais (autant que possible et dans des limites raisonnables)</w:t>
      </w:r>
      <w:r w:rsidR="006A45F1" w:rsidRPr="00742D67">
        <w:rPr>
          <w:rFonts w:ascii="Arial" w:hAnsi="Arial" w:cs="Arial"/>
          <w:color w:val="auto"/>
          <w:szCs w:val="20"/>
        </w:rPr>
        <w:t>.</w:t>
      </w:r>
    </w:p>
    <w:p w14:paraId="4DDD2A38" w14:textId="77777777" w:rsidR="005601CA" w:rsidRDefault="005601CA" w:rsidP="005601CA">
      <w:pPr>
        <w:autoSpaceDE w:val="0"/>
        <w:autoSpaceDN w:val="0"/>
        <w:adjustRightInd w:val="0"/>
        <w:jc w:val="both"/>
        <w:rPr>
          <w:rFonts w:ascii="Arial" w:hAnsi="Arial" w:cs="Arial"/>
          <w:b/>
          <w:szCs w:val="24"/>
        </w:rPr>
      </w:pPr>
    </w:p>
    <w:p w14:paraId="38A98CC6" w14:textId="77777777" w:rsidR="00C369FE" w:rsidRPr="0063584D" w:rsidRDefault="00C369FE" w:rsidP="005D6D41">
      <w:pPr>
        <w:shd w:val="clear" w:color="auto" w:fill="B4C6E7"/>
        <w:spacing w:before="240" w:after="120"/>
        <w:rPr>
          <w:rFonts w:ascii="Arial" w:hAnsi="Arial" w:cs="Arial"/>
          <w:b/>
          <w:bCs/>
          <w:sz w:val="24"/>
          <w:szCs w:val="24"/>
        </w:rPr>
      </w:pPr>
      <w:r w:rsidRPr="0063584D">
        <w:rPr>
          <w:rFonts w:ascii="Arial" w:hAnsi="Arial" w:cs="Arial"/>
          <w:b/>
          <w:bCs/>
          <w:sz w:val="24"/>
          <w:szCs w:val="24"/>
        </w:rPr>
        <w:t xml:space="preserve">Synthèse de l’analyse </w:t>
      </w:r>
      <w:r>
        <w:rPr>
          <w:rFonts w:ascii="Arial" w:hAnsi="Arial" w:cs="Arial"/>
          <w:b/>
          <w:bCs/>
          <w:sz w:val="24"/>
          <w:szCs w:val="24"/>
        </w:rPr>
        <w:t xml:space="preserve">des directives environnementales, sanitaires et sécuritaires </w:t>
      </w:r>
      <w:r w:rsidRPr="0063584D">
        <w:rPr>
          <w:rFonts w:ascii="Arial" w:hAnsi="Arial" w:cs="Arial"/>
          <w:b/>
          <w:bCs/>
          <w:sz w:val="24"/>
          <w:szCs w:val="24"/>
        </w:rPr>
        <w:t>de la Banque mondiale</w:t>
      </w:r>
    </w:p>
    <w:p w14:paraId="5B8A4705" w14:textId="77777777" w:rsidR="00C369FE" w:rsidRDefault="00C369FE" w:rsidP="005D6D41">
      <w:pPr>
        <w:shd w:val="clear" w:color="auto" w:fill="B4C6E7"/>
      </w:pPr>
      <w:r w:rsidRPr="0063584D">
        <w:rPr>
          <w:rFonts w:ascii="Arial" w:hAnsi="Arial" w:cs="Arial"/>
        </w:rPr>
        <w:t xml:space="preserve">Il ressort de l’analyse des </w:t>
      </w:r>
      <w:r>
        <w:rPr>
          <w:rFonts w:ascii="Arial" w:hAnsi="Arial" w:cs="Arial"/>
        </w:rPr>
        <w:t xml:space="preserve">directives EHS de la </w:t>
      </w:r>
      <w:r w:rsidR="004C2CB7">
        <w:rPr>
          <w:rFonts w:ascii="Arial" w:hAnsi="Arial" w:cs="Arial"/>
        </w:rPr>
        <w:t>B</w:t>
      </w:r>
      <w:r>
        <w:rPr>
          <w:rFonts w:ascii="Arial" w:hAnsi="Arial" w:cs="Arial"/>
        </w:rPr>
        <w:t>anque</w:t>
      </w:r>
      <w:r w:rsidRPr="0063584D">
        <w:rPr>
          <w:rFonts w:ascii="Arial" w:hAnsi="Arial" w:cs="Arial"/>
        </w:rPr>
        <w:t xml:space="preserve"> </w:t>
      </w:r>
      <w:r w:rsidR="004C2CB7">
        <w:rPr>
          <w:rFonts w:ascii="Arial" w:hAnsi="Arial" w:cs="Arial"/>
        </w:rPr>
        <w:t xml:space="preserve">mondiale </w:t>
      </w:r>
      <w:r w:rsidRPr="0063584D">
        <w:rPr>
          <w:rFonts w:ascii="Arial" w:hAnsi="Arial" w:cs="Arial"/>
        </w:rPr>
        <w:t>que des dispositions et des prescriptions sont assez fournies pour éviter, réduire, limiter les risques et les effets environnementaux et sociaux. Certaines dispositions peuvent être applicables, et d’autres difficilement applicables compte tenu du contexte national, voire du contexte local</w:t>
      </w:r>
      <w:r w:rsidR="006A45F1">
        <w:rPr>
          <w:rFonts w:ascii="Arial" w:hAnsi="Arial" w:cs="Arial"/>
        </w:rPr>
        <w:t>.</w:t>
      </w:r>
    </w:p>
    <w:p w14:paraId="62D36268" w14:textId="77777777" w:rsidR="006430C5" w:rsidRPr="007F78CE" w:rsidRDefault="006430C5" w:rsidP="0044500E">
      <w:pPr>
        <w:pStyle w:val="TIT2"/>
        <w:numPr>
          <w:ilvl w:val="1"/>
          <w:numId w:val="177"/>
        </w:numPr>
      </w:pPr>
      <w:bookmarkStart w:id="756" w:name="_Toc89768043"/>
      <w:bookmarkStart w:id="757" w:name="_Toc90277474"/>
      <w:bookmarkStart w:id="758" w:name="_Toc124314725"/>
      <w:bookmarkStart w:id="759" w:name="_Toc124956205"/>
      <w:bookmarkStart w:id="760" w:name="_Toc125384601"/>
      <w:bookmarkStart w:id="761" w:name="_Toc125384990"/>
      <w:bookmarkStart w:id="762" w:name="_Toc127957662"/>
      <w:r w:rsidRPr="007F78CE">
        <w:t>Analyse comparative des cadres règlementaire et juridique nationaux et les NES de la banque mondiale</w:t>
      </w:r>
      <w:bookmarkEnd w:id="756"/>
      <w:bookmarkEnd w:id="757"/>
      <w:bookmarkEnd w:id="758"/>
      <w:bookmarkEnd w:id="759"/>
      <w:bookmarkEnd w:id="760"/>
      <w:bookmarkEnd w:id="761"/>
      <w:bookmarkEnd w:id="762"/>
    </w:p>
    <w:p w14:paraId="62731695" w14:textId="77777777" w:rsidR="00BD513B" w:rsidRDefault="00B100DE" w:rsidP="00E11AB5">
      <w:pPr>
        <w:autoSpaceDE w:val="0"/>
        <w:autoSpaceDN w:val="0"/>
        <w:adjustRightInd w:val="0"/>
        <w:jc w:val="both"/>
        <w:rPr>
          <w:rFonts w:ascii="Arial" w:hAnsi="Arial" w:cs="Arial"/>
          <w:szCs w:val="24"/>
        </w:rPr>
      </w:pPr>
      <w:r>
        <w:rPr>
          <w:rFonts w:ascii="Arial" w:hAnsi="Arial" w:cs="Arial"/>
          <w:szCs w:val="24"/>
        </w:rPr>
        <w:t xml:space="preserve">Les détails de l’analyse comparative des cadres réglementaire et juridique nationaux et les NES de la </w:t>
      </w:r>
      <w:r w:rsidR="00EC3E3F">
        <w:rPr>
          <w:rFonts w:ascii="Arial" w:hAnsi="Arial" w:cs="Arial"/>
          <w:szCs w:val="24"/>
        </w:rPr>
        <w:t>B</w:t>
      </w:r>
      <w:r>
        <w:rPr>
          <w:rFonts w:ascii="Arial" w:hAnsi="Arial" w:cs="Arial"/>
          <w:szCs w:val="24"/>
        </w:rPr>
        <w:t xml:space="preserve">anque mondiale sont présentés en Annexe 1 de ce document. Tandis que le tableau suivant synthétise </w:t>
      </w:r>
      <w:r w:rsidR="00EC3E3F">
        <w:rPr>
          <w:rFonts w:ascii="Arial" w:hAnsi="Arial" w:cs="Arial"/>
          <w:szCs w:val="24"/>
        </w:rPr>
        <w:t xml:space="preserve">les </w:t>
      </w:r>
      <w:r w:rsidRPr="00E11AB5">
        <w:rPr>
          <w:rFonts w:ascii="Arial" w:hAnsi="Arial" w:cs="Arial"/>
          <w:szCs w:val="24"/>
        </w:rPr>
        <w:t>conditions requises pour l’applicabilité des dispositions des NES, ainsi que l’analyse comparative des dispositions réglementaires selon les NES de la BM.</w:t>
      </w:r>
    </w:p>
    <w:p w14:paraId="7436340F" w14:textId="77777777" w:rsidR="00E11AB5" w:rsidRDefault="00E11AB5" w:rsidP="00E11AB5">
      <w:pPr>
        <w:autoSpaceDE w:val="0"/>
        <w:autoSpaceDN w:val="0"/>
        <w:adjustRightInd w:val="0"/>
        <w:jc w:val="both"/>
        <w:rPr>
          <w:rFonts w:ascii="Arial" w:hAnsi="Arial" w:cs="Arial"/>
          <w:szCs w:val="24"/>
        </w:rPr>
        <w:sectPr w:rsidR="00E11AB5" w:rsidSect="00C57CFD">
          <w:headerReference w:type="default" r:id="rId54"/>
          <w:footerReference w:type="default" r:id="rId55"/>
          <w:pgSz w:w="11906" w:h="16838"/>
          <w:pgMar w:top="1417" w:right="1417" w:bottom="1417" w:left="1417" w:header="708" w:footer="708" w:gutter="0"/>
          <w:pgNumType w:start="1"/>
          <w:cols w:space="708"/>
          <w:docGrid w:linePitch="360"/>
        </w:sectPr>
      </w:pPr>
    </w:p>
    <w:p w14:paraId="5E780CCC" w14:textId="77777777" w:rsidR="00BD513B" w:rsidRPr="00B100DE" w:rsidRDefault="00B100DE" w:rsidP="00B100DE">
      <w:pPr>
        <w:pStyle w:val="Lgende"/>
        <w:jc w:val="center"/>
        <w:rPr>
          <w:sz w:val="20"/>
        </w:rPr>
      </w:pPr>
      <w:bookmarkStart w:id="763" w:name="_Toc127957813"/>
      <w:r w:rsidRPr="00B100DE">
        <w:rPr>
          <w:sz w:val="20"/>
        </w:rPr>
        <w:t xml:space="preserve">Tableau </w:t>
      </w:r>
      <w:r w:rsidRPr="00B100DE">
        <w:rPr>
          <w:sz w:val="20"/>
        </w:rPr>
        <w:fldChar w:fldCharType="begin"/>
      </w:r>
      <w:r w:rsidRPr="00B100DE">
        <w:rPr>
          <w:sz w:val="20"/>
        </w:rPr>
        <w:instrText xml:space="preserve"> SEQ Tableau \* ARABIC </w:instrText>
      </w:r>
      <w:r w:rsidRPr="00B100DE">
        <w:rPr>
          <w:sz w:val="20"/>
        </w:rPr>
        <w:fldChar w:fldCharType="separate"/>
      </w:r>
      <w:r w:rsidR="005430A1">
        <w:rPr>
          <w:noProof/>
          <w:sz w:val="20"/>
        </w:rPr>
        <w:t>17</w:t>
      </w:r>
      <w:r w:rsidRPr="00B100DE">
        <w:rPr>
          <w:sz w:val="20"/>
        </w:rPr>
        <w:fldChar w:fldCharType="end"/>
      </w:r>
      <w:r w:rsidRPr="00B100DE">
        <w:rPr>
          <w:sz w:val="20"/>
        </w:rPr>
        <w:t>. Synthèse de l’analyse comparative des dispositions des NES et du cadre réglementaire national</w:t>
      </w:r>
      <w:bookmarkEnd w:id="763"/>
    </w:p>
    <w:tbl>
      <w:tblPr>
        <w:tblW w:w="14000"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5382"/>
        <w:gridCol w:w="3544"/>
        <w:gridCol w:w="2664"/>
        <w:gridCol w:w="2410"/>
      </w:tblGrid>
      <w:tr w:rsidR="0063584D" w:rsidRPr="007F78CE" w14:paraId="7AB192E1" w14:textId="77777777" w:rsidTr="007F78CE">
        <w:trPr>
          <w:tblHeader/>
        </w:trPr>
        <w:tc>
          <w:tcPr>
            <w:tcW w:w="5382" w:type="dxa"/>
            <w:shd w:val="clear" w:color="auto" w:fill="4F81BD"/>
            <w:vAlign w:val="center"/>
          </w:tcPr>
          <w:p w14:paraId="3E8FD6EF" w14:textId="77777777" w:rsidR="00E11AB5" w:rsidRPr="007F78CE" w:rsidRDefault="00E11AB5" w:rsidP="007F78CE">
            <w:pPr>
              <w:spacing w:after="0" w:line="240" w:lineRule="auto"/>
              <w:jc w:val="center"/>
              <w:rPr>
                <w:rFonts w:ascii="Arial" w:hAnsi="Arial" w:cs="Arial"/>
                <w:color w:val="FFFFFF"/>
                <w:sz w:val="24"/>
              </w:rPr>
            </w:pPr>
            <w:r w:rsidRPr="007F78CE">
              <w:rPr>
                <w:rFonts w:ascii="Arial" w:hAnsi="Arial" w:cs="Arial"/>
                <w:b/>
                <w:bCs/>
                <w:color w:val="FFFFFF"/>
                <w:sz w:val="24"/>
              </w:rPr>
              <w:t>Points de concordance</w:t>
            </w:r>
          </w:p>
        </w:tc>
        <w:tc>
          <w:tcPr>
            <w:tcW w:w="3544" w:type="dxa"/>
            <w:shd w:val="clear" w:color="auto" w:fill="4F81BD"/>
            <w:vAlign w:val="center"/>
          </w:tcPr>
          <w:p w14:paraId="2F356D16" w14:textId="77777777" w:rsidR="00E11AB5" w:rsidRPr="007F78CE" w:rsidRDefault="00E11AB5" w:rsidP="007F78CE">
            <w:pPr>
              <w:spacing w:after="0" w:line="240" w:lineRule="auto"/>
              <w:jc w:val="center"/>
              <w:rPr>
                <w:rFonts w:ascii="Arial" w:hAnsi="Arial" w:cs="Arial"/>
                <w:color w:val="FFFFFF"/>
                <w:sz w:val="24"/>
              </w:rPr>
            </w:pPr>
            <w:r w:rsidRPr="007F78CE">
              <w:rPr>
                <w:rFonts w:ascii="Arial" w:hAnsi="Arial" w:cs="Arial"/>
                <w:b/>
                <w:bCs/>
                <w:color w:val="FFFFFF"/>
                <w:sz w:val="24"/>
              </w:rPr>
              <w:t>Points de complémentarité</w:t>
            </w:r>
          </w:p>
        </w:tc>
        <w:tc>
          <w:tcPr>
            <w:tcW w:w="2664" w:type="dxa"/>
            <w:shd w:val="clear" w:color="auto" w:fill="4F81BD"/>
            <w:vAlign w:val="center"/>
          </w:tcPr>
          <w:p w14:paraId="2FA6ABCD" w14:textId="77777777" w:rsidR="00E11AB5" w:rsidRPr="007F78CE" w:rsidRDefault="00E11AB5" w:rsidP="007F78CE">
            <w:pPr>
              <w:spacing w:after="0" w:line="240" w:lineRule="auto"/>
              <w:jc w:val="center"/>
              <w:rPr>
                <w:rFonts w:ascii="Arial" w:hAnsi="Arial" w:cs="Arial"/>
                <w:color w:val="FFFFFF"/>
                <w:sz w:val="24"/>
              </w:rPr>
            </w:pPr>
            <w:r w:rsidRPr="007F78CE">
              <w:rPr>
                <w:rFonts w:ascii="Arial" w:hAnsi="Arial" w:cs="Arial"/>
                <w:b/>
                <w:bCs/>
                <w:color w:val="FFFFFF"/>
                <w:sz w:val="24"/>
              </w:rPr>
              <w:t>Points de divergence</w:t>
            </w:r>
          </w:p>
        </w:tc>
        <w:tc>
          <w:tcPr>
            <w:tcW w:w="2410" w:type="dxa"/>
            <w:shd w:val="clear" w:color="auto" w:fill="4F81BD"/>
            <w:vAlign w:val="center"/>
          </w:tcPr>
          <w:p w14:paraId="2819A3E7" w14:textId="77777777" w:rsidR="00E11AB5" w:rsidRPr="007F78CE" w:rsidRDefault="00E11AB5" w:rsidP="007F78CE">
            <w:pPr>
              <w:spacing w:after="0" w:line="240" w:lineRule="auto"/>
              <w:jc w:val="center"/>
              <w:rPr>
                <w:rFonts w:ascii="Arial" w:hAnsi="Arial" w:cs="Arial"/>
                <w:color w:val="FFFFFF"/>
                <w:sz w:val="24"/>
              </w:rPr>
            </w:pPr>
            <w:r w:rsidRPr="007F78CE">
              <w:rPr>
                <w:rFonts w:ascii="Arial" w:hAnsi="Arial" w:cs="Arial"/>
                <w:b/>
                <w:bCs/>
                <w:color w:val="FFFFFF"/>
                <w:sz w:val="24"/>
              </w:rPr>
              <w:t>Dispositions requises pour l’applicabilité</w:t>
            </w:r>
          </w:p>
        </w:tc>
      </w:tr>
      <w:tr w:rsidR="00E11AB5" w:rsidRPr="007F78CE" w14:paraId="47C81E04" w14:textId="77777777" w:rsidTr="007F78CE">
        <w:tc>
          <w:tcPr>
            <w:tcW w:w="14000" w:type="dxa"/>
            <w:gridSpan w:val="4"/>
            <w:tcBorders>
              <w:top w:val="single" w:sz="8" w:space="0" w:color="4F81BD"/>
              <w:left w:val="single" w:sz="8" w:space="0" w:color="4F81BD"/>
              <w:bottom w:val="single" w:sz="8" w:space="0" w:color="4F81BD"/>
              <w:right w:val="single" w:sz="8" w:space="0" w:color="4F81BD"/>
            </w:tcBorders>
            <w:shd w:val="clear" w:color="auto" w:fill="FFFF00"/>
          </w:tcPr>
          <w:p w14:paraId="095CCA43" w14:textId="77777777" w:rsidR="00E11AB5" w:rsidRPr="007F78CE" w:rsidRDefault="00E11AB5" w:rsidP="007F78CE">
            <w:pPr>
              <w:spacing w:before="120" w:after="120" w:line="240" w:lineRule="auto"/>
              <w:jc w:val="center"/>
              <w:rPr>
                <w:rFonts w:ascii="Arial" w:hAnsi="Arial" w:cs="Arial"/>
                <w:b/>
                <w:bCs/>
                <w:sz w:val="24"/>
                <w:szCs w:val="24"/>
              </w:rPr>
            </w:pPr>
            <w:r w:rsidRPr="007F78CE">
              <w:rPr>
                <w:rFonts w:ascii="Arial" w:hAnsi="Arial" w:cs="Arial"/>
                <w:b/>
                <w:bCs/>
                <w:sz w:val="24"/>
                <w:szCs w:val="24"/>
              </w:rPr>
              <w:t>NES1 et le cadre national</w:t>
            </w:r>
          </w:p>
        </w:tc>
      </w:tr>
      <w:tr w:rsidR="0063584D" w:rsidRPr="007F78CE" w14:paraId="1172CA57" w14:textId="77777777" w:rsidTr="007F78CE">
        <w:tc>
          <w:tcPr>
            <w:tcW w:w="5382" w:type="dxa"/>
            <w:shd w:val="clear" w:color="auto" w:fill="auto"/>
          </w:tcPr>
          <w:p w14:paraId="633469B3"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 xml:space="preserve">1. Obligation de la réalisation de l’évaluation des risques </w:t>
            </w:r>
            <w:r w:rsidR="004C2CB7" w:rsidRPr="00F91FA3">
              <w:rPr>
                <w:rFonts w:ascii="Arial Narrow" w:hAnsi="Arial Narrow" w:cs="Arial"/>
                <w:bCs/>
              </w:rPr>
              <w:t>environnementa</w:t>
            </w:r>
            <w:r w:rsidR="004C2CB7">
              <w:rPr>
                <w:rFonts w:ascii="Arial Narrow" w:hAnsi="Arial Narrow" w:cs="Arial"/>
                <w:bCs/>
              </w:rPr>
              <w:t>ux</w:t>
            </w:r>
            <w:r w:rsidR="004C2CB7" w:rsidRPr="00F91FA3">
              <w:rPr>
                <w:rFonts w:ascii="Arial Narrow" w:hAnsi="Arial Narrow" w:cs="Arial"/>
                <w:bCs/>
              </w:rPr>
              <w:t xml:space="preserve"> </w:t>
            </w:r>
            <w:r w:rsidRPr="00F91FA3">
              <w:rPr>
                <w:rFonts w:ascii="Arial Narrow" w:hAnsi="Arial Narrow" w:cs="Arial"/>
                <w:bCs/>
              </w:rPr>
              <w:t>et socia</w:t>
            </w:r>
            <w:r w:rsidR="004C2CB7">
              <w:rPr>
                <w:rFonts w:ascii="Arial Narrow" w:hAnsi="Arial Narrow" w:cs="Arial"/>
                <w:bCs/>
              </w:rPr>
              <w:t>ux</w:t>
            </w:r>
            <w:r w:rsidRPr="00F91FA3">
              <w:rPr>
                <w:rFonts w:ascii="Arial Narrow" w:hAnsi="Arial Narrow" w:cs="Arial"/>
                <w:bCs/>
              </w:rPr>
              <w:t xml:space="preserve"> et de la mobilisation des parties prenantes pour tous les projets d’investissements </w:t>
            </w:r>
          </w:p>
          <w:p w14:paraId="6CC7E798"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2. Participation du public au processus d’évaluation environnementale et sociale</w:t>
            </w:r>
          </w:p>
          <w:p w14:paraId="4C0C9DD1"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3. Nature des instruments d’évaluation environnementale et sociale tel que l’EIES et la formulation et la préparation de plan de gestion environnementale et sociale</w:t>
            </w:r>
          </w:p>
          <w:p w14:paraId="1B0F2E79"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4. Mesures d’atténuation, de minimisation, d’évitement, de neutralisation et de compensation des impacts environnementaux et sociaux</w:t>
            </w:r>
          </w:p>
          <w:p w14:paraId="30769FBD"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5. Publication des rapports d’évaluation environnementale et sociale et d’étude d’impact environnemental et social</w:t>
            </w:r>
          </w:p>
        </w:tc>
        <w:tc>
          <w:tcPr>
            <w:tcW w:w="3544" w:type="dxa"/>
            <w:shd w:val="clear" w:color="auto" w:fill="auto"/>
          </w:tcPr>
          <w:p w14:paraId="51DAEFF3" w14:textId="77777777" w:rsidR="00E11AB5" w:rsidRPr="00F91FA3" w:rsidRDefault="00E11AB5" w:rsidP="007F78CE">
            <w:pPr>
              <w:spacing w:after="0" w:line="240" w:lineRule="auto"/>
              <w:rPr>
                <w:rFonts w:ascii="Arial Narrow" w:hAnsi="Arial Narrow" w:cs="Arial"/>
                <w:b/>
              </w:rPr>
            </w:pPr>
            <w:r w:rsidRPr="00F91FA3">
              <w:rPr>
                <w:rFonts w:ascii="Arial Narrow" w:hAnsi="Arial Narrow" w:cs="Arial"/>
              </w:rPr>
              <w:t xml:space="preserve">1. Elaboration de PEES selon la Banque mondiale </w:t>
            </w:r>
          </w:p>
          <w:p w14:paraId="57341265" w14:textId="77777777" w:rsidR="00E11AB5" w:rsidRPr="00F91FA3" w:rsidRDefault="00E11AB5" w:rsidP="007F78CE">
            <w:pPr>
              <w:spacing w:after="0" w:line="240" w:lineRule="auto"/>
              <w:rPr>
                <w:rFonts w:ascii="Arial Narrow" w:hAnsi="Arial Narrow" w:cs="Arial"/>
                <w:b/>
              </w:rPr>
            </w:pPr>
            <w:r w:rsidRPr="00F91FA3">
              <w:rPr>
                <w:rFonts w:ascii="Arial Narrow" w:hAnsi="Arial Narrow" w:cs="Arial"/>
              </w:rPr>
              <w:t xml:space="preserve">2. Suivi et établissements des rapports d’évaluation environnementale et sociale </w:t>
            </w:r>
          </w:p>
          <w:p w14:paraId="03B293B9" w14:textId="77777777" w:rsidR="00E11AB5" w:rsidRPr="00F91FA3" w:rsidRDefault="00E11AB5" w:rsidP="007F78CE">
            <w:pPr>
              <w:spacing w:after="0" w:line="240" w:lineRule="auto"/>
              <w:rPr>
                <w:rFonts w:ascii="Arial Narrow" w:hAnsi="Arial Narrow" w:cs="Arial"/>
                <w:b/>
              </w:rPr>
            </w:pPr>
            <w:r w:rsidRPr="00F91FA3">
              <w:rPr>
                <w:rFonts w:ascii="Arial Narrow" w:hAnsi="Arial Narrow" w:cs="Arial"/>
              </w:rPr>
              <w:t>3. Communication à la Banque mondiale du promoteur de projet des incidents et des accidents sur l’environnement, les populations, le public et le personnel</w:t>
            </w:r>
          </w:p>
          <w:p w14:paraId="74D9CA50" w14:textId="77777777" w:rsidR="00E11AB5" w:rsidRPr="00F91FA3" w:rsidRDefault="00E11AB5" w:rsidP="00C369FE">
            <w:pPr>
              <w:spacing w:after="0" w:line="240" w:lineRule="auto"/>
              <w:rPr>
                <w:rFonts w:ascii="Arial Narrow" w:hAnsi="Arial Narrow" w:cs="Arial"/>
                <w:b/>
              </w:rPr>
            </w:pPr>
            <w:r w:rsidRPr="00F91FA3">
              <w:rPr>
                <w:rFonts w:ascii="Arial Narrow" w:hAnsi="Arial Narrow" w:cs="Arial"/>
              </w:rPr>
              <w:t>4. Mobilisation et participations des parties prenantes concernées</w:t>
            </w:r>
          </w:p>
        </w:tc>
        <w:tc>
          <w:tcPr>
            <w:tcW w:w="2664" w:type="dxa"/>
            <w:shd w:val="clear" w:color="auto" w:fill="auto"/>
          </w:tcPr>
          <w:p w14:paraId="62336269" w14:textId="77777777" w:rsidR="00E11AB5" w:rsidRPr="00F91FA3" w:rsidRDefault="00E11AB5" w:rsidP="007F78CE">
            <w:pPr>
              <w:spacing w:after="0" w:line="240" w:lineRule="auto"/>
              <w:rPr>
                <w:rFonts w:ascii="Arial Narrow" w:hAnsi="Arial Narrow" w:cs="Arial"/>
                <w:b/>
              </w:rPr>
            </w:pPr>
            <w:r w:rsidRPr="00F91FA3">
              <w:rPr>
                <w:rFonts w:ascii="Arial Narrow" w:hAnsi="Arial Narrow" w:cs="Arial"/>
              </w:rPr>
              <w:t>Néant</w:t>
            </w:r>
          </w:p>
        </w:tc>
        <w:tc>
          <w:tcPr>
            <w:tcW w:w="2410" w:type="dxa"/>
            <w:shd w:val="clear" w:color="auto" w:fill="auto"/>
          </w:tcPr>
          <w:p w14:paraId="68534004" w14:textId="77777777" w:rsidR="00A70A99" w:rsidRDefault="00E11AB5" w:rsidP="007F78CE">
            <w:pPr>
              <w:spacing w:after="0" w:line="240" w:lineRule="auto"/>
              <w:rPr>
                <w:rFonts w:ascii="Arial Narrow" w:hAnsi="Arial Narrow" w:cs="Arial"/>
              </w:rPr>
            </w:pPr>
            <w:r w:rsidRPr="00742D67">
              <w:rPr>
                <w:rFonts w:ascii="Arial Narrow" w:hAnsi="Arial Narrow" w:cs="Arial"/>
              </w:rPr>
              <w:t>Préparation de CGES</w:t>
            </w:r>
            <w:r w:rsidR="00C369FE" w:rsidRPr="00742D67">
              <w:rPr>
                <w:rFonts w:ascii="Arial Narrow" w:hAnsi="Arial Narrow" w:cs="Arial"/>
              </w:rPr>
              <w:t xml:space="preserve">, </w:t>
            </w:r>
            <w:r w:rsidR="00A70A99" w:rsidRPr="00742D67">
              <w:rPr>
                <w:rFonts w:ascii="Arial Narrow" w:hAnsi="Arial Narrow" w:cs="Arial"/>
              </w:rPr>
              <w:t>du PEES, et PMPP</w:t>
            </w:r>
            <w:r w:rsidR="006A45F1" w:rsidRPr="00742D67">
              <w:rPr>
                <w:rFonts w:ascii="Arial Narrow" w:hAnsi="Arial Narrow" w:cs="Arial"/>
              </w:rPr>
              <w:t xml:space="preserve">, </w:t>
            </w:r>
          </w:p>
          <w:p w14:paraId="5CCBCC8B" w14:textId="77777777" w:rsidR="00C369FE" w:rsidRPr="00742D67" w:rsidRDefault="006A45F1" w:rsidP="007F78CE">
            <w:pPr>
              <w:spacing w:after="0" w:line="240" w:lineRule="auto"/>
              <w:rPr>
                <w:rFonts w:ascii="Arial Narrow" w:hAnsi="Arial Narrow" w:cs="Arial"/>
              </w:rPr>
            </w:pPr>
            <w:r w:rsidRPr="00742D67">
              <w:rPr>
                <w:rFonts w:ascii="Arial Narrow" w:hAnsi="Arial Narrow" w:cs="Arial"/>
              </w:rPr>
              <w:t>Préparation</w:t>
            </w:r>
            <w:r w:rsidR="00C369FE" w:rsidRPr="00742D67">
              <w:rPr>
                <w:rFonts w:ascii="Arial Narrow" w:hAnsi="Arial Narrow" w:cs="Arial"/>
              </w:rPr>
              <w:t xml:space="preserve"> </w:t>
            </w:r>
            <w:r w:rsidR="00A70A99" w:rsidRPr="00742D67">
              <w:rPr>
                <w:rFonts w:ascii="Arial Narrow" w:hAnsi="Arial Narrow" w:cs="Arial"/>
              </w:rPr>
              <w:t>d</w:t>
            </w:r>
            <w:r w:rsidR="00A70A99">
              <w:rPr>
                <w:rFonts w:ascii="Arial Narrow" w:hAnsi="Arial Narrow" w:cs="Arial"/>
              </w:rPr>
              <w:t>’</w:t>
            </w:r>
            <w:r w:rsidR="00A70A99" w:rsidRPr="00742D67">
              <w:t>EIES, PGES, PR,</w:t>
            </w:r>
            <w:r w:rsidR="00A70A99" w:rsidRPr="00742D67">
              <w:rPr>
                <w:rFonts w:ascii="Arial Narrow" w:hAnsi="Arial Narrow" w:cs="Arial"/>
              </w:rPr>
              <w:t xml:space="preserve"> etc. qui en découle lors de la préparation des sous-projets</w:t>
            </w:r>
          </w:p>
        </w:tc>
      </w:tr>
      <w:tr w:rsidR="00E11AB5" w:rsidRPr="007F78CE" w14:paraId="6C80E865" w14:textId="77777777" w:rsidTr="007F78CE">
        <w:tc>
          <w:tcPr>
            <w:tcW w:w="14000" w:type="dxa"/>
            <w:gridSpan w:val="4"/>
            <w:tcBorders>
              <w:top w:val="single" w:sz="8" w:space="0" w:color="4F81BD"/>
              <w:left w:val="single" w:sz="8" w:space="0" w:color="4F81BD"/>
              <w:bottom w:val="single" w:sz="8" w:space="0" w:color="4F81BD"/>
              <w:right w:val="single" w:sz="8" w:space="0" w:color="4F81BD"/>
            </w:tcBorders>
            <w:shd w:val="clear" w:color="auto" w:fill="FFFF00"/>
          </w:tcPr>
          <w:p w14:paraId="7BC916E9" w14:textId="77777777" w:rsidR="00E11AB5" w:rsidRPr="007F78CE" w:rsidRDefault="00E11AB5" w:rsidP="007F78CE">
            <w:pPr>
              <w:spacing w:before="120" w:after="120" w:line="240" w:lineRule="auto"/>
              <w:jc w:val="center"/>
              <w:rPr>
                <w:rFonts w:ascii="Arial" w:hAnsi="Arial" w:cs="Arial"/>
                <w:b/>
                <w:bCs/>
                <w:sz w:val="24"/>
                <w:szCs w:val="24"/>
              </w:rPr>
            </w:pPr>
            <w:r w:rsidRPr="007F78CE">
              <w:rPr>
                <w:rFonts w:ascii="Arial" w:hAnsi="Arial" w:cs="Arial"/>
                <w:b/>
                <w:bCs/>
                <w:sz w:val="24"/>
                <w:szCs w:val="24"/>
              </w:rPr>
              <w:t>NES2 et le cadre national</w:t>
            </w:r>
          </w:p>
        </w:tc>
      </w:tr>
      <w:tr w:rsidR="0063584D" w:rsidRPr="007F78CE" w14:paraId="348F12C5" w14:textId="77777777" w:rsidTr="007F78CE">
        <w:tc>
          <w:tcPr>
            <w:tcW w:w="5382" w:type="dxa"/>
            <w:shd w:val="clear" w:color="auto" w:fill="auto"/>
          </w:tcPr>
          <w:p w14:paraId="28605F5B"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 xml:space="preserve">1. Conditions de travail et de l’emploi : Mode de rémunération de salaires, Droit de congé des travailleurs </w:t>
            </w:r>
          </w:p>
          <w:p w14:paraId="1436F8DB"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2. Mesures de protection des catégories vulnérables de travailleurs</w:t>
            </w:r>
          </w:p>
          <w:p w14:paraId="1BF5B863"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3. Droit de participation des travailleurs dans les organisations</w:t>
            </w:r>
          </w:p>
          <w:p w14:paraId="3CAF64BD"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4. Protection des enfants au travail : âge minimum d'emploi des travailleurs et Conditions d'emploi des enfants</w:t>
            </w:r>
          </w:p>
          <w:p w14:paraId="2FB87809"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5. Mise en œuvre de SST et système d’examen de SST</w:t>
            </w:r>
          </w:p>
          <w:p w14:paraId="52E1AEC9"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6. Cantines – Installations sanitaires – Zones de repos – Services d’hébergement</w:t>
            </w:r>
          </w:p>
        </w:tc>
        <w:tc>
          <w:tcPr>
            <w:tcW w:w="3544" w:type="dxa"/>
            <w:shd w:val="clear" w:color="auto" w:fill="auto"/>
          </w:tcPr>
          <w:p w14:paraId="36FB33BB" w14:textId="77777777" w:rsidR="00E11AB5" w:rsidRPr="00F91FA3" w:rsidRDefault="00E11AB5" w:rsidP="007F78CE">
            <w:pPr>
              <w:pStyle w:val="TableParagraph"/>
              <w:spacing w:before="0" w:beforeAutospacing="0" w:after="0" w:afterAutospacing="0"/>
              <w:ind w:left="71" w:right="60"/>
              <w:jc w:val="both"/>
              <w:rPr>
                <w:rFonts w:ascii="Arial Narrow" w:eastAsia="Calibri" w:hAnsi="Arial Narrow" w:cs="Arial"/>
              </w:rPr>
            </w:pPr>
            <w:r w:rsidRPr="00F91FA3">
              <w:rPr>
                <w:rFonts w:ascii="Arial Narrow" w:eastAsia="Calibri" w:hAnsi="Arial Narrow" w:cs="Arial"/>
              </w:rPr>
              <w:t>1. Mise à disposition et utilisation d’un mécanisme de gestion des plaintes au profit des travailleurs</w:t>
            </w:r>
          </w:p>
          <w:p w14:paraId="5DFC5730" w14:textId="77777777" w:rsidR="00E11AB5" w:rsidRPr="00F91FA3" w:rsidRDefault="00E11AB5" w:rsidP="007F78CE">
            <w:pPr>
              <w:pStyle w:val="TableParagraph"/>
              <w:spacing w:before="0" w:beforeAutospacing="0" w:after="0" w:afterAutospacing="0"/>
              <w:ind w:left="71" w:right="60"/>
              <w:jc w:val="both"/>
              <w:rPr>
                <w:rFonts w:ascii="Arial Narrow" w:eastAsia="Calibri" w:hAnsi="Arial Narrow" w:cs="Arial"/>
              </w:rPr>
            </w:pPr>
            <w:r w:rsidRPr="00F91FA3">
              <w:rPr>
                <w:rFonts w:ascii="Arial Narrow" w:eastAsia="Calibri" w:hAnsi="Arial Narrow" w:cs="Arial"/>
              </w:rPr>
              <w:t>2. Procédures et mesures d’atténuation des risques de sécurité, et leurs revues par des employés des fournisseurs primaires</w:t>
            </w:r>
          </w:p>
          <w:p w14:paraId="34A9A681" w14:textId="77777777" w:rsidR="00E11AB5" w:rsidRPr="00F91FA3" w:rsidRDefault="00E11AB5" w:rsidP="00B434A6">
            <w:pPr>
              <w:pStyle w:val="TableParagraph"/>
              <w:spacing w:before="0" w:beforeAutospacing="0" w:after="0" w:afterAutospacing="0"/>
              <w:ind w:left="71" w:right="60"/>
              <w:jc w:val="both"/>
              <w:rPr>
                <w:rFonts w:ascii="Arial Narrow" w:hAnsi="Arial Narrow" w:cs="Arial"/>
                <w:b/>
                <w:smallCaps/>
                <w:color w:val="000000"/>
              </w:rPr>
            </w:pPr>
            <w:r w:rsidRPr="00F91FA3">
              <w:rPr>
                <w:rFonts w:ascii="Arial Narrow" w:hAnsi="Arial Narrow" w:cs="Arial"/>
              </w:rPr>
              <w:t xml:space="preserve">3 </w:t>
            </w:r>
            <w:r w:rsidRPr="00FD400A">
              <w:rPr>
                <w:rFonts w:ascii="Arial Narrow" w:eastAsia="Calibri" w:hAnsi="Arial Narrow" w:cs="Arial"/>
              </w:rPr>
              <w:t>Changement</w:t>
            </w:r>
            <w:r w:rsidRPr="00F91FA3">
              <w:rPr>
                <w:rFonts w:ascii="Arial Narrow" w:hAnsi="Arial Narrow" w:cs="Arial"/>
              </w:rPr>
              <w:t xml:space="preserve"> de fournisseurs primaires en cas de défaillance en matière de gestion des risques de sécurité pour leurs travailleurs</w:t>
            </w:r>
          </w:p>
          <w:p w14:paraId="6B656313" w14:textId="77777777" w:rsidR="00E11AB5" w:rsidRPr="00F91FA3" w:rsidRDefault="00E11AB5" w:rsidP="007F78CE">
            <w:pPr>
              <w:pStyle w:val="TableParagraph"/>
              <w:tabs>
                <w:tab w:val="left" w:pos="1007"/>
                <w:tab w:val="left" w:pos="1897"/>
              </w:tabs>
              <w:spacing w:before="0" w:beforeAutospacing="0" w:after="0" w:afterAutospacing="0"/>
              <w:ind w:left="71" w:right="58"/>
              <w:jc w:val="both"/>
              <w:rPr>
                <w:rFonts w:ascii="Arial Narrow" w:eastAsia="Calibri" w:hAnsi="Arial Narrow" w:cs="Arial"/>
              </w:rPr>
            </w:pPr>
            <w:r w:rsidRPr="00F91FA3">
              <w:rPr>
                <w:rFonts w:ascii="Arial Narrow" w:eastAsia="Calibri" w:hAnsi="Arial Narrow" w:cs="Arial"/>
              </w:rPr>
              <w:t>4. Identification des risques potentiels de travail d’enfants, de travail forcé et des questions de sécurité graves pour les travailleurs de la chaîne d’approvisionnement</w:t>
            </w:r>
          </w:p>
          <w:p w14:paraId="2B96C34B" w14:textId="77777777" w:rsidR="00E11AB5" w:rsidRPr="00F91FA3" w:rsidRDefault="00E11AB5" w:rsidP="00B434A6">
            <w:pPr>
              <w:pStyle w:val="TableParagraph"/>
              <w:spacing w:before="0" w:beforeAutospacing="0" w:after="0" w:afterAutospacing="0"/>
              <w:ind w:left="71" w:right="60"/>
              <w:jc w:val="both"/>
              <w:rPr>
                <w:rFonts w:ascii="Arial Narrow" w:hAnsi="Arial Narrow" w:cs="Arial"/>
                <w:b/>
                <w:smallCaps/>
                <w:color w:val="000000"/>
              </w:rPr>
            </w:pPr>
            <w:r w:rsidRPr="00F91FA3">
              <w:rPr>
                <w:rFonts w:ascii="Arial Narrow" w:hAnsi="Arial Narrow" w:cs="Arial"/>
              </w:rPr>
              <w:t xml:space="preserve">5. </w:t>
            </w:r>
            <w:r w:rsidRPr="00FD400A">
              <w:rPr>
                <w:rFonts w:ascii="Arial Narrow" w:eastAsia="Calibri" w:hAnsi="Arial Narrow" w:cs="Arial"/>
              </w:rPr>
              <w:t>Mesures</w:t>
            </w:r>
            <w:r w:rsidRPr="00F91FA3">
              <w:rPr>
                <w:rFonts w:ascii="Arial Narrow" w:hAnsi="Arial Narrow" w:cs="Arial"/>
              </w:rPr>
              <w:t xml:space="preserve"> et procédures en matière de gestion de ressources humaines des fournisseurs primaires</w:t>
            </w:r>
          </w:p>
          <w:p w14:paraId="51CEE398" w14:textId="77777777" w:rsidR="00E11AB5" w:rsidRPr="00F91FA3" w:rsidRDefault="00E11AB5" w:rsidP="00B434A6">
            <w:pPr>
              <w:pStyle w:val="TableParagraph"/>
              <w:spacing w:before="0" w:beforeAutospacing="0" w:after="0" w:afterAutospacing="0"/>
              <w:ind w:left="71" w:right="60"/>
              <w:jc w:val="both"/>
              <w:rPr>
                <w:rFonts w:ascii="Arial Narrow" w:hAnsi="Arial Narrow" w:cs="Arial"/>
                <w:b/>
                <w:smallCaps/>
                <w:color w:val="000000"/>
              </w:rPr>
            </w:pPr>
            <w:r w:rsidRPr="00F91FA3">
              <w:rPr>
                <w:rFonts w:ascii="Arial Narrow" w:hAnsi="Arial Narrow" w:cs="Arial"/>
              </w:rPr>
              <w:t>6. Interdiction de travail forcé et travailleurs victimes de la traite de personnes</w:t>
            </w:r>
          </w:p>
        </w:tc>
        <w:tc>
          <w:tcPr>
            <w:tcW w:w="2664" w:type="dxa"/>
            <w:shd w:val="clear" w:color="auto" w:fill="auto"/>
          </w:tcPr>
          <w:p w14:paraId="08FE25C6"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 xml:space="preserve">Versement des prestations de sécurité sociale </w:t>
            </w:r>
          </w:p>
          <w:p w14:paraId="18FBD175"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 xml:space="preserve">Contribution à la caisse de retraite </w:t>
            </w:r>
          </w:p>
          <w:p w14:paraId="0F9F35A5" w14:textId="77777777" w:rsidR="00E11AB5" w:rsidRPr="00F91FA3" w:rsidRDefault="00E11AB5" w:rsidP="007F78CE">
            <w:pPr>
              <w:spacing w:after="0" w:line="240" w:lineRule="auto"/>
              <w:rPr>
                <w:rFonts w:ascii="Arial Narrow" w:hAnsi="Arial Narrow" w:cs="Arial"/>
              </w:rPr>
            </w:pPr>
          </w:p>
        </w:tc>
        <w:tc>
          <w:tcPr>
            <w:tcW w:w="2410" w:type="dxa"/>
            <w:shd w:val="clear" w:color="auto" w:fill="auto"/>
          </w:tcPr>
          <w:p w14:paraId="69D9C0FF" w14:textId="77777777" w:rsidR="00E11AB5" w:rsidRPr="00742D67" w:rsidRDefault="00E11AB5" w:rsidP="007F78CE">
            <w:pPr>
              <w:spacing w:after="0" w:line="240" w:lineRule="auto"/>
              <w:rPr>
                <w:rFonts w:ascii="Arial Narrow" w:hAnsi="Arial Narrow" w:cs="Arial"/>
              </w:rPr>
            </w:pPr>
            <w:r w:rsidRPr="00742D67">
              <w:rPr>
                <w:rFonts w:ascii="Arial Narrow" w:hAnsi="Arial Narrow" w:cs="Arial"/>
              </w:rPr>
              <w:t>Préparation de PGMO</w:t>
            </w:r>
            <w:r w:rsidR="00C369FE" w:rsidRPr="00742D67">
              <w:rPr>
                <w:rFonts w:ascii="Arial Narrow" w:hAnsi="Arial Narrow" w:cs="Arial"/>
              </w:rPr>
              <w:t xml:space="preserve"> incluant un MGP spécifique aux travailleurs</w:t>
            </w:r>
          </w:p>
          <w:p w14:paraId="61CDF078" w14:textId="77777777" w:rsidR="00E11AB5" w:rsidRPr="00742D67" w:rsidRDefault="19810F13" w:rsidP="007F78CE">
            <w:pPr>
              <w:spacing w:after="0" w:line="240" w:lineRule="auto"/>
              <w:rPr>
                <w:rFonts w:ascii="Arial Narrow" w:hAnsi="Arial Narrow" w:cs="Arial"/>
              </w:rPr>
            </w:pPr>
            <w:r w:rsidRPr="00742D67">
              <w:rPr>
                <w:rFonts w:ascii="Arial Narrow" w:hAnsi="Arial Narrow" w:cs="Arial"/>
              </w:rPr>
              <w:t xml:space="preserve">Adoption des </w:t>
            </w:r>
            <w:r w:rsidR="00E11AB5" w:rsidRPr="00742D67">
              <w:rPr>
                <w:rFonts w:ascii="Arial Narrow" w:hAnsi="Arial Narrow" w:cs="Arial"/>
              </w:rPr>
              <w:t>Code</w:t>
            </w:r>
            <w:r w:rsidR="0A489ABD" w:rsidRPr="00742D67">
              <w:rPr>
                <w:rFonts w:ascii="Arial Narrow" w:hAnsi="Arial Narrow" w:cs="Arial"/>
              </w:rPr>
              <w:t>s</w:t>
            </w:r>
            <w:r w:rsidR="00E11AB5" w:rsidRPr="00742D67">
              <w:rPr>
                <w:rFonts w:ascii="Arial Narrow" w:hAnsi="Arial Narrow" w:cs="Arial"/>
              </w:rPr>
              <w:t xml:space="preserve"> de conduite des travailleurs</w:t>
            </w:r>
          </w:p>
        </w:tc>
      </w:tr>
      <w:tr w:rsidR="00E11AB5" w:rsidRPr="007F78CE" w14:paraId="16E96491" w14:textId="77777777" w:rsidTr="007F78CE">
        <w:tc>
          <w:tcPr>
            <w:tcW w:w="14000" w:type="dxa"/>
            <w:gridSpan w:val="4"/>
            <w:tcBorders>
              <w:top w:val="single" w:sz="8" w:space="0" w:color="4F81BD"/>
              <w:left w:val="single" w:sz="8" w:space="0" w:color="4F81BD"/>
              <w:bottom w:val="single" w:sz="8" w:space="0" w:color="4F81BD"/>
              <w:right w:val="single" w:sz="8" w:space="0" w:color="4F81BD"/>
            </w:tcBorders>
            <w:shd w:val="clear" w:color="auto" w:fill="FFFF00"/>
          </w:tcPr>
          <w:p w14:paraId="6FCFEDF9" w14:textId="77777777" w:rsidR="00E11AB5" w:rsidRPr="007F78CE" w:rsidRDefault="00E11AB5" w:rsidP="007F78CE">
            <w:pPr>
              <w:spacing w:before="120" w:after="120" w:line="240" w:lineRule="auto"/>
              <w:jc w:val="center"/>
              <w:rPr>
                <w:rFonts w:ascii="Arial" w:hAnsi="Arial" w:cs="Arial"/>
                <w:b/>
                <w:bCs/>
                <w:sz w:val="24"/>
                <w:szCs w:val="24"/>
              </w:rPr>
            </w:pPr>
            <w:r w:rsidRPr="007F78CE">
              <w:rPr>
                <w:rFonts w:ascii="Arial" w:hAnsi="Arial" w:cs="Arial"/>
                <w:b/>
                <w:bCs/>
                <w:sz w:val="24"/>
                <w:szCs w:val="24"/>
              </w:rPr>
              <w:t>NES3 et le cadre national</w:t>
            </w:r>
          </w:p>
        </w:tc>
      </w:tr>
      <w:tr w:rsidR="0063584D" w:rsidRPr="007F78CE" w14:paraId="19DA26C6" w14:textId="77777777" w:rsidTr="007F78CE">
        <w:tc>
          <w:tcPr>
            <w:tcW w:w="5382" w:type="dxa"/>
            <w:shd w:val="clear" w:color="auto" w:fill="auto"/>
          </w:tcPr>
          <w:p w14:paraId="12C3D2F0"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 xml:space="preserve">En matière de la gestion de la ressource en eau : </w:t>
            </w:r>
          </w:p>
          <w:p w14:paraId="7D8006DE"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1. Réalisation d’étude d’impact des projets d’approvisionnement en eau</w:t>
            </w:r>
          </w:p>
          <w:p w14:paraId="33947001"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2. Obligation de préservation durable de la ressource en eau</w:t>
            </w:r>
          </w:p>
          <w:p w14:paraId="6099ABDB"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3. Nécessité des mesures spécifiques pour éviter et minimiser les pollutions des eaux</w:t>
            </w:r>
          </w:p>
        </w:tc>
        <w:tc>
          <w:tcPr>
            <w:tcW w:w="3544" w:type="dxa"/>
            <w:shd w:val="clear" w:color="auto" w:fill="auto"/>
          </w:tcPr>
          <w:p w14:paraId="0262D411" w14:textId="77777777" w:rsidR="00E11AB5" w:rsidRPr="00F91FA3" w:rsidRDefault="00E11AB5" w:rsidP="007F78CE">
            <w:pPr>
              <w:autoSpaceDE w:val="0"/>
              <w:autoSpaceDN w:val="0"/>
              <w:adjustRightInd w:val="0"/>
              <w:spacing w:after="0" w:line="240" w:lineRule="auto"/>
              <w:rPr>
                <w:rFonts w:ascii="Arial Narrow" w:hAnsi="Arial Narrow" w:cs="Arial"/>
              </w:rPr>
            </w:pPr>
            <w:r w:rsidRPr="00F91FA3">
              <w:rPr>
                <w:rFonts w:ascii="Arial Narrow" w:hAnsi="Arial Narrow" w:cs="Arial"/>
              </w:rPr>
              <w:t>1. Existence de dispositifs de compensation de la consommation d’eau pour maintenir la demande totale des ressources en eau</w:t>
            </w:r>
          </w:p>
          <w:p w14:paraId="246E4C0C"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2. Obligation de réaliser de l’étude de l’analyse de la disponibilité de la ressource en eau, du contrôle et surveillance de la ressource en eau et de la conservation de la qualité de l’eau</w:t>
            </w:r>
          </w:p>
        </w:tc>
        <w:tc>
          <w:tcPr>
            <w:tcW w:w="2664" w:type="dxa"/>
            <w:shd w:val="clear" w:color="auto" w:fill="auto"/>
          </w:tcPr>
          <w:p w14:paraId="366820DC" w14:textId="77777777" w:rsidR="00E11AB5" w:rsidRPr="00F91FA3" w:rsidRDefault="00E11AB5" w:rsidP="007F78CE">
            <w:pPr>
              <w:spacing w:after="0" w:line="240" w:lineRule="auto"/>
              <w:rPr>
                <w:rFonts w:ascii="Arial Narrow" w:hAnsi="Arial Narrow" w:cs="Arial"/>
              </w:rPr>
            </w:pPr>
          </w:p>
          <w:p w14:paraId="53C160C0"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Néant</w:t>
            </w:r>
          </w:p>
        </w:tc>
        <w:tc>
          <w:tcPr>
            <w:tcW w:w="2410" w:type="dxa"/>
            <w:vMerge w:val="restart"/>
            <w:shd w:val="clear" w:color="auto" w:fill="auto"/>
          </w:tcPr>
          <w:p w14:paraId="3CA994DF" w14:textId="77777777" w:rsidR="00E11AB5" w:rsidRPr="00742D67" w:rsidRDefault="00E11AB5" w:rsidP="007F78CE">
            <w:pPr>
              <w:spacing w:before="360" w:after="0" w:line="240" w:lineRule="auto"/>
              <w:rPr>
                <w:rFonts w:ascii="Arial Narrow" w:hAnsi="Arial Narrow" w:cs="Arial"/>
              </w:rPr>
            </w:pPr>
            <w:r w:rsidRPr="00742D67">
              <w:rPr>
                <w:rFonts w:ascii="Arial Narrow" w:hAnsi="Arial Narrow" w:cs="Arial"/>
              </w:rPr>
              <w:t>Préparation d</w:t>
            </w:r>
            <w:r w:rsidR="001571F7">
              <w:rPr>
                <w:rFonts w:ascii="Arial Narrow" w:hAnsi="Arial Narrow" w:cs="Arial"/>
              </w:rPr>
              <w:t>’</w:t>
            </w:r>
            <w:r w:rsidRPr="00742D67">
              <w:rPr>
                <w:rFonts w:ascii="Arial Narrow" w:hAnsi="Arial Narrow" w:cs="Arial"/>
              </w:rPr>
              <w:t>EIES ou de PREE</w:t>
            </w:r>
            <w:r w:rsidR="4787D7F0" w:rsidRPr="00742D67">
              <w:rPr>
                <w:rFonts w:ascii="Arial Narrow" w:hAnsi="Arial Narrow" w:cs="Arial"/>
              </w:rPr>
              <w:t xml:space="preserve"> pour éviter, minimiser voire compenser les impacts négatifs sur les ressources naturelles</w:t>
            </w:r>
          </w:p>
          <w:p w14:paraId="50C0F0CC" w14:textId="77777777" w:rsidR="00E11AB5" w:rsidRPr="00742D67" w:rsidRDefault="00E11AB5" w:rsidP="007F78CE">
            <w:pPr>
              <w:spacing w:after="0" w:line="240" w:lineRule="auto"/>
              <w:rPr>
                <w:rFonts w:ascii="Arial Narrow" w:hAnsi="Arial Narrow" w:cs="Arial"/>
              </w:rPr>
            </w:pPr>
            <w:r w:rsidRPr="00742D67">
              <w:rPr>
                <w:rFonts w:ascii="Arial Narrow" w:hAnsi="Arial Narrow" w:cs="Arial"/>
              </w:rPr>
              <w:t>P</w:t>
            </w:r>
            <w:r w:rsidR="337FD2A8" w:rsidRPr="00742D67">
              <w:rPr>
                <w:rFonts w:ascii="Arial Narrow" w:hAnsi="Arial Narrow" w:cs="Arial"/>
              </w:rPr>
              <w:t xml:space="preserve">réparation </w:t>
            </w:r>
            <w:r w:rsidR="1AAC2BC7" w:rsidRPr="00742D67">
              <w:rPr>
                <w:rFonts w:ascii="Arial Narrow" w:hAnsi="Arial Narrow" w:cs="Arial"/>
              </w:rPr>
              <w:t xml:space="preserve">et application </w:t>
            </w:r>
            <w:r w:rsidR="337FD2A8" w:rsidRPr="00742D67">
              <w:rPr>
                <w:rFonts w:ascii="Arial Narrow" w:hAnsi="Arial Narrow" w:cs="Arial"/>
              </w:rPr>
              <w:t xml:space="preserve">des </w:t>
            </w:r>
            <w:r w:rsidR="0BD68F66" w:rsidRPr="00742D67">
              <w:rPr>
                <w:rFonts w:ascii="Arial Narrow" w:hAnsi="Arial Narrow" w:cs="Arial"/>
              </w:rPr>
              <w:t>p</w:t>
            </w:r>
            <w:r w:rsidR="3F4109A2" w:rsidRPr="00742D67">
              <w:rPr>
                <w:rFonts w:ascii="Arial Narrow" w:hAnsi="Arial Narrow" w:cs="Arial"/>
              </w:rPr>
              <w:t>lan</w:t>
            </w:r>
            <w:r w:rsidRPr="00742D67">
              <w:rPr>
                <w:rFonts w:ascii="Arial Narrow" w:hAnsi="Arial Narrow" w:cs="Arial"/>
              </w:rPr>
              <w:t>s de gestion des déchets dangereux et non dangereux</w:t>
            </w:r>
            <w:r w:rsidR="1CFC23CB" w:rsidRPr="00742D67">
              <w:rPr>
                <w:rFonts w:ascii="Arial Narrow" w:hAnsi="Arial Narrow" w:cs="Arial"/>
              </w:rPr>
              <w:t xml:space="preserve"> en prévention des risques de pollution</w:t>
            </w:r>
          </w:p>
          <w:p w14:paraId="14E2AE62" w14:textId="77777777" w:rsidR="009F5FE5" w:rsidRPr="00742D67" w:rsidRDefault="009F5FE5" w:rsidP="007F78CE">
            <w:pPr>
              <w:spacing w:after="0" w:line="240" w:lineRule="auto"/>
              <w:rPr>
                <w:rFonts w:ascii="Arial Narrow" w:hAnsi="Arial Narrow" w:cs="Arial"/>
              </w:rPr>
            </w:pPr>
            <w:r w:rsidRPr="00742D67">
              <w:rPr>
                <w:rFonts w:ascii="Arial Narrow" w:hAnsi="Arial Narrow" w:cs="Arial"/>
              </w:rPr>
              <w:t>Elaboration d’un Plan de Gestion de déchets d’équipements électroniques et électriques</w:t>
            </w:r>
          </w:p>
          <w:p w14:paraId="5748AB22" w14:textId="77777777" w:rsidR="009F5FE5" w:rsidRPr="00742D67" w:rsidRDefault="009F5FE5" w:rsidP="007F78CE">
            <w:pPr>
              <w:spacing w:after="0" w:line="240" w:lineRule="auto"/>
              <w:rPr>
                <w:rFonts w:ascii="Arial Narrow" w:hAnsi="Arial Narrow" w:cs="Arial"/>
              </w:rPr>
            </w:pPr>
            <w:r w:rsidRPr="00742D67">
              <w:rPr>
                <w:rFonts w:ascii="Arial Narrow" w:hAnsi="Arial Narrow" w:cs="Arial"/>
              </w:rPr>
              <w:t xml:space="preserve">Elaboration d’un Plan d’Intervention d’urgence en cas de déversement accidentel, incendie, etc.  </w:t>
            </w:r>
          </w:p>
        </w:tc>
      </w:tr>
      <w:tr w:rsidR="0063584D" w:rsidRPr="007F78CE" w14:paraId="459B0DF1" w14:textId="77777777" w:rsidTr="6FF5A665">
        <w:tc>
          <w:tcPr>
            <w:tcW w:w="5382" w:type="dxa"/>
            <w:tcBorders>
              <w:top w:val="single" w:sz="8" w:space="0" w:color="4F81BD"/>
              <w:left w:val="single" w:sz="8" w:space="0" w:color="4F81BD"/>
              <w:bottom w:val="single" w:sz="8" w:space="0" w:color="4F81BD"/>
            </w:tcBorders>
            <w:shd w:val="clear" w:color="auto" w:fill="auto"/>
          </w:tcPr>
          <w:p w14:paraId="610E313A"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 xml:space="preserve">En matière de gestion des pollutions : </w:t>
            </w:r>
          </w:p>
          <w:p w14:paraId="788359DB"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4. Nécessité de préparer un plan d’actions de lutte contre les dangers</w:t>
            </w:r>
          </w:p>
          <w:p w14:paraId="621B13F4"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 xml:space="preserve">5. Obligation d’information </w:t>
            </w:r>
            <w:r w:rsidR="004C2CB7">
              <w:rPr>
                <w:rFonts w:ascii="Arial Narrow" w:hAnsi="Arial Narrow" w:cs="Arial"/>
                <w:bCs/>
              </w:rPr>
              <w:t>d</w:t>
            </w:r>
            <w:r w:rsidRPr="00F91FA3">
              <w:rPr>
                <w:rFonts w:ascii="Arial Narrow" w:hAnsi="Arial Narrow" w:cs="Arial"/>
                <w:bCs/>
              </w:rPr>
              <w:t>es travailleurs et le public sur les substances dangereuses</w:t>
            </w:r>
          </w:p>
          <w:p w14:paraId="43D958F9"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6. Préconisation d’élimination des déchets dangereux</w:t>
            </w:r>
          </w:p>
          <w:p w14:paraId="0437206D"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7. Définition des produits chimiques et des substances dangereuses</w:t>
            </w:r>
          </w:p>
          <w:p w14:paraId="51E3B283"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8. Obligation de minimiser et de contrôler le rejet et l’utilisation de substances dangereuses</w:t>
            </w:r>
          </w:p>
        </w:tc>
        <w:tc>
          <w:tcPr>
            <w:tcW w:w="3544" w:type="dxa"/>
            <w:tcBorders>
              <w:top w:val="single" w:sz="8" w:space="0" w:color="4F81BD"/>
              <w:bottom w:val="single" w:sz="8" w:space="0" w:color="4F81BD"/>
            </w:tcBorders>
            <w:shd w:val="clear" w:color="auto" w:fill="auto"/>
          </w:tcPr>
          <w:p w14:paraId="27443F48"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3. Définition de la pollution atmosphérique</w:t>
            </w:r>
          </w:p>
          <w:p w14:paraId="003C7205"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4. Définition des produits dangereux</w:t>
            </w:r>
          </w:p>
          <w:p w14:paraId="29EEDA85"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5. Concept d’hiérarchie d’atténuation des risques de dangers</w:t>
            </w:r>
          </w:p>
          <w:p w14:paraId="4B41FCB4"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6. Nécessité de classer les produits dangereux</w:t>
            </w:r>
          </w:p>
        </w:tc>
        <w:tc>
          <w:tcPr>
            <w:tcW w:w="2664" w:type="dxa"/>
            <w:tcBorders>
              <w:top w:val="single" w:sz="8" w:space="0" w:color="4F81BD"/>
              <w:bottom w:val="single" w:sz="8" w:space="0" w:color="4F81BD"/>
            </w:tcBorders>
            <w:shd w:val="clear" w:color="auto" w:fill="auto"/>
          </w:tcPr>
          <w:p w14:paraId="3D886C31" w14:textId="77777777" w:rsidR="00E11AB5" w:rsidRPr="00F91FA3" w:rsidRDefault="00E11AB5" w:rsidP="007F78CE">
            <w:pPr>
              <w:spacing w:after="0" w:line="240" w:lineRule="auto"/>
              <w:rPr>
                <w:rFonts w:ascii="Arial Narrow" w:hAnsi="Arial Narrow" w:cs="Arial"/>
              </w:rPr>
            </w:pPr>
          </w:p>
          <w:p w14:paraId="35AB75BC"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1. Obligation des mesures spécifiques pour une utilisation rationnelle des matières premières</w:t>
            </w:r>
          </w:p>
          <w:p w14:paraId="0DD07049"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2. Nécessité de collecter de données sur la pollution de l’air</w:t>
            </w:r>
          </w:p>
          <w:p w14:paraId="107062D6"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3. Nécessité de l‘estimation mathématique de la pollution atmosphérique</w:t>
            </w:r>
          </w:p>
          <w:p w14:paraId="428C55B4"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4. Différence relative à la conjoncture de la réalisation de l’évaluation quantitative des émissions gazeuses </w:t>
            </w:r>
          </w:p>
          <w:p w14:paraId="1CC0A971"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 xml:space="preserve">5. Mécanisme, approche et procédures spécifiques d’analyse des dangers </w:t>
            </w:r>
          </w:p>
        </w:tc>
        <w:tc>
          <w:tcPr>
            <w:tcW w:w="2410" w:type="dxa"/>
            <w:vMerge/>
          </w:tcPr>
          <w:p w14:paraId="26311FBB" w14:textId="77777777" w:rsidR="00E11AB5" w:rsidRPr="007F78CE" w:rsidRDefault="00E11AB5" w:rsidP="007F78CE">
            <w:pPr>
              <w:spacing w:after="0" w:line="240" w:lineRule="auto"/>
              <w:rPr>
                <w:rFonts w:ascii="Arial Narrow" w:hAnsi="Arial Narrow"/>
                <w:b/>
              </w:rPr>
            </w:pPr>
          </w:p>
        </w:tc>
      </w:tr>
      <w:tr w:rsidR="00E11AB5" w:rsidRPr="007F78CE" w14:paraId="14920ABC" w14:textId="77777777" w:rsidTr="007F78CE">
        <w:tc>
          <w:tcPr>
            <w:tcW w:w="14000" w:type="dxa"/>
            <w:gridSpan w:val="4"/>
            <w:shd w:val="clear" w:color="auto" w:fill="FFFF00"/>
          </w:tcPr>
          <w:p w14:paraId="6872BB8D" w14:textId="77777777" w:rsidR="00E11AB5" w:rsidRPr="007F78CE" w:rsidRDefault="00E11AB5" w:rsidP="007F78CE">
            <w:pPr>
              <w:spacing w:before="120" w:after="120" w:line="240" w:lineRule="auto"/>
              <w:jc w:val="center"/>
              <w:rPr>
                <w:rFonts w:ascii="Arial" w:hAnsi="Arial" w:cs="Arial"/>
                <w:bCs/>
                <w:sz w:val="24"/>
                <w:szCs w:val="24"/>
              </w:rPr>
            </w:pPr>
            <w:r w:rsidRPr="007F78CE">
              <w:rPr>
                <w:rFonts w:ascii="Arial" w:hAnsi="Arial" w:cs="Arial"/>
                <w:b/>
                <w:bCs/>
                <w:sz w:val="24"/>
                <w:szCs w:val="24"/>
              </w:rPr>
              <w:t>NES4 et le cadre national</w:t>
            </w:r>
          </w:p>
        </w:tc>
      </w:tr>
      <w:tr w:rsidR="0063584D" w:rsidRPr="007F78CE" w14:paraId="6056A072" w14:textId="77777777" w:rsidTr="007F78CE">
        <w:tc>
          <w:tcPr>
            <w:tcW w:w="5382" w:type="dxa"/>
            <w:tcBorders>
              <w:top w:val="single" w:sz="8" w:space="0" w:color="4F81BD"/>
              <w:left w:val="single" w:sz="8" w:space="0" w:color="4F81BD"/>
              <w:bottom w:val="single" w:sz="8" w:space="0" w:color="4F81BD"/>
            </w:tcBorders>
            <w:shd w:val="clear" w:color="auto" w:fill="auto"/>
          </w:tcPr>
          <w:p w14:paraId="41B28119"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En matière de conception et sécurité des infrastructures et des équipements</w:t>
            </w:r>
          </w:p>
          <w:p w14:paraId="780F7BC3"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 xml:space="preserve">1. Prise en compte du changement climatique dans la conception des infrastructures </w:t>
            </w:r>
          </w:p>
          <w:p w14:paraId="050BE653"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2. Concept d’inclusion et d’accessibilité universelle des infrastructures</w:t>
            </w:r>
          </w:p>
        </w:tc>
        <w:tc>
          <w:tcPr>
            <w:tcW w:w="3544" w:type="dxa"/>
            <w:tcBorders>
              <w:top w:val="single" w:sz="8" w:space="0" w:color="4F81BD"/>
              <w:bottom w:val="single" w:sz="8" w:space="0" w:color="4F81BD"/>
            </w:tcBorders>
            <w:shd w:val="clear" w:color="auto" w:fill="auto"/>
          </w:tcPr>
          <w:p w14:paraId="348FA2A5" w14:textId="77777777" w:rsidR="00E11AB5" w:rsidRPr="00F91FA3" w:rsidRDefault="00E11AB5" w:rsidP="007F78CE">
            <w:pPr>
              <w:spacing w:after="0" w:line="240" w:lineRule="auto"/>
              <w:rPr>
                <w:rFonts w:ascii="Arial Narrow" w:hAnsi="Arial Narrow" w:cs="Arial"/>
                <w:b/>
              </w:rPr>
            </w:pPr>
            <w:r w:rsidRPr="00F91FA3">
              <w:rPr>
                <w:rFonts w:ascii="Arial Narrow" w:hAnsi="Arial Narrow" w:cs="Arial"/>
              </w:rPr>
              <w:t>1. Prise en compte des menaces à la sécurité pour le personnel et les populations touchées lors de la construction, l’exploitation et le démantèlement des infrastructures et des équipements structurels</w:t>
            </w:r>
          </w:p>
          <w:p w14:paraId="055F5907" w14:textId="77777777" w:rsidR="00E11AB5" w:rsidRPr="00F91FA3" w:rsidRDefault="00E11AB5" w:rsidP="007F78CE">
            <w:pPr>
              <w:spacing w:after="0" w:line="240" w:lineRule="auto"/>
              <w:rPr>
                <w:rFonts w:ascii="Arial Narrow" w:hAnsi="Arial Narrow" w:cs="Arial"/>
                <w:b/>
              </w:rPr>
            </w:pPr>
            <w:r w:rsidRPr="00F91FA3">
              <w:rPr>
                <w:rFonts w:ascii="Arial Narrow" w:hAnsi="Arial Narrow" w:cs="Arial"/>
              </w:rPr>
              <w:t>2. Obligation d’obtenir la certification, l’agrément par des professionnels compétents de la conception et la construction des infrastructures</w:t>
            </w:r>
          </w:p>
          <w:p w14:paraId="35E72727" w14:textId="77777777" w:rsidR="00E11AB5" w:rsidRPr="00F91FA3" w:rsidRDefault="00E11AB5" w:rsidP="007F78CE">
            <w:pPr>
              <w:spacing w:after="0" w:line="240" w:lineRule="auto"/>
              <w:rPr>
                <w:rFonts w:ascii="Arial Narrow" w:hAnsi="Arial Narrow" w:cs="Arial"/>
                <w:b/>
              </w:rPr>
            </w:pPr>
            <w:r w:rsidRPr="00F91FA3">
              <w:rPr>
                <w:rFonts w:ascii="Arial Narrow" w:hAnsi="Arial Narrow" w:cs="Arial"/>
              </w:rPr>
              <w:t>3. Recours à l’expertise indépendante pour l’examen préalable de la situation dans les régions à haut risque</w:t>
            </w:r>
            <w:r w:rsidRPr="00F91FA3">
              <w:rPr>
                <w:rFonts w:ascii="Arial Narrow" w:hAnsi="Arial Narrow" w:cs="Arial"/>
                <w:strike/>
                <w:color w:val="FF0000"/>
              </w:rPr>
              <w:t> </w:t>
            </w:r>
          </w:p>
        </w:tc>
        <w:tc>
          <w:tcPr>
            <w:tcW w:w="2664" w:type="dxa"/>
            <w:tcBorders>
              <w:top w:val="single" w:sz="8" w:space="0" w:color="4F81BD"/>
              <w:bottom w:val="single" w:sz="8" w:space="0" w:color="4F81BD"/>
            </w:tcBorders>
            <w:shd w:val="clear" w:color="auto" w:fill="auto"/>
          </w:tcPr>
          <w:p w14:paraId="7FD5D330" w14:textId="77777777" w:rsidR="00E11AB5" w:rsidRPr="00F91FA3" w:rsidRDefault="00E11AB5" w:rsidP="007F78CE">
            <w:pPr>
              <w:spacing w:after="0" w:line="240" w:lineRule="auto"/>
              <w:rPr>
                <w:rFonts w:ascii="Arial Narrow" w:hAnsi="Arial Narrow" w:cs="Arial"/>
                <w:b/>
              </w:rPr>
            </w:pPr>
            <w:r w:rsidRPr="00F91FA3">
              <w:rPr>
                <w:rFonts w:ascii="Arial Narrow" w:hAnsi="Arial Narrow" w:cs="Arial"/>
                <w:i/>
              </w:rPr>
              <w:t>Néant</w:t>
            </w:r>
          </w:p>
        </w:tc>
        <w:tc>
          <w:tcPr>
            <w:tcW w:w="2410" w:type="dxa"/>
            <w:vMerge w:val="restart"/>
            <w:tcBorders>
              <w:top w:val="single" w:sz="8" w:space="0" w:color="4F81BD"/>
              <w:bottom w:val="single" w:sz="8" w:space="0" w:color="4F81BD"/>
              <w:right w:val="single" w:sz="8" w:space="0" w:color="4F81BD"/>
            </w:tcBorders>
            <w:shd w:val="clear" w:color="auto" w:fill="auto"/>
          </w:tcPr>
          <w:p w14:paraId="4913D857" w14:textId="77777777" w:rsidR="009F5FE5" w:rsidRPr="00742D67" w:rsidRDefault="00E11AB5" w:rsidP="007F78CE">
            <w:pPr>
              <w:spacing w:before="480" w:after="0" w:line="240" w:lineRule="auto"/>
              <w:rPr>
                <w:rFonts w:ascii="Arial Narrow" w:hAnsi="Arial Narrow" w:cs="Arial"/>
              </w:rPr>
            </w:pPr>
            <w:r w:rsidRPr="00742D67">
              <w:rPr>
                <w:rFonts w:ascii="Arial Narrow" w:hAnsi="Arial Narrow" w:cs="Arial"/>
              </w:rPr>
              <w:t>Code de conduite des travailleurs et des Entreprises</w:t>
            </w:r>
          </w:p>
          <w:p w14:paraId="195F5DD8" w14:textId="77777777" w:rsidR="00E11AB5" w:rsidRPr="00742D67" w:rsidRDefault="009F5FE5" w:rsidP="007F78CE">
            <w:pPr>
              <w:spacing w:before="480" w:after="0" w:line="240" w:lineRule="auto"/>
              <w:rPr>
                <w:rFonts w:ascii="Arial Narrow" w:hAnsi="Arial Narrow" w:cs="Arial"/>
              </w:rPr>
            </w:pPr>
            <w:r w:rsidRPr="00742D67">
              <w:rPr>
                <w:rFonts w:ascii="Arial Narrow" w:hAnsi="Arial Narrow" w:cs="Arial"/>
              </w:rPr>
              <w:t>Elaboration d’un Manuel de Gestion des Barrages</w:t>
            </w:r>
          </w:p>
          <w:p w14:paraId="7A9FF1F2" w14:textId="77777777" w:rsidR="009F5FE5" w:rsidRPr="00742D67" w:rsidRDefault="009F5FE5" w:rsidP="007F78CE">
            <w:pPr>
              <w:spacing w:before="480" w:after="0" w:line="240" w:lineRule="auto"/>
              <w:rPr>
                <w:rFonts w:ascii="Arial Narrow" w:hAnsi="Arial Narrow" w:cs="Arial"/>
                <w:bCs/>
              </w:rPr>
            </w:pPr>
            <w:r w:rsidRPr="00742D67">
              <w:rPr>
                <w:rFonts w:ascii="Arial Narrow" w:hAnsi="Arial Narrow" w:cs="Arial"/>
                <w:bCs/>
              </w:rPr>
              <w:t>Elaboration et mise en œuvre de Plan de gestion des déchets dangereux ou des matières dangereuses</w:t>
            </w:r>
          </w:p>
          <w:p w14:paraId="6511BFE2" w14:textId="77777777" w:rsidR="009F5FE5" w:rsidRPr="00742D67" w:rsidRDefault="006A45F1" w:rsidP="007F78CE">
            <w:pPr>
              <w:spacing w:before="480" w:after="0" w:line="240" w:lineRule="auto"/>
              <w:rPr>
                <w:rFonts w:ascii="Arial Narrow" w:hAnsi="Arial Narrow" w:cs="Arial"/>
                <w:bCs/>
              </w:rPr>
            </w:pPr>
            <w:r w:rsidRPr="00742D67">
              <w:rPr>
                <w:rFonts w:ascii="Arial Narrow" w:hAnsi="Arial Narrow" w:cs="Arial"/>
                <w:bCs/>
              </w:rPr>
              <w:t>E</w:t>
            </w:r>
            <w:r w:rsidR="009F5FE5" w:rsidRPr="00742D67">
              <w:rPr>
                <w:rFonts w:ascii="Arial Narrow" w:hAnsi="Arial Narrow" w:cs="Arial"/>
                <w:bCs/>
              </w:rPr>
              <w:t>valuation des risques et dangers (ERD) dans le cadre d’EES</w:t>
            </w:r>
          </w:p>
          <w:p w14:paraId="74FB1B63" w14:textId="77777777" w:rsidR="009F5FE5" w:rsidRPr="00742D67" w:rsidRDefault="009F5FE5" w:rsidP="007F78CE">
            <w:pPr>
              <w:spacing w:before="480" w:after="0" w:line="240" w:lineRule="auto"/>
              <w:rPr>
                <w:rFonts w:ascii="Arial Narrow" w:hAnsi="Arial Narrow" w:cs="Arial"/>
                <w:i/>
              </w:rPr>
            </w:pPr>
            <w:r w:rsidRPr="00742D67">
              <w:rPr>
                <w:rFonts w:ascii="Arial Narrow" w:hAnsi="Arial Narrow" w:cs="Arial"/>
                <w:bCs/>
              </w:rPr>
              <w:t>Elaboration et mise en œuvre d’un Plan d’intervention d’urgence (PIU) sur la base des conclusions de l’ERD</w:t>
            </w:r>
          </w:p>
        </w:tc>
      </w:tr>
      <w:tr w:rsidR="0063584D" w:rsidRPr="007F78CE" w14:paraId="4A50701F" w14:textId="77777777" w:rsidTr="6FF5A665">
        <w:tc>
          <w:tcPr>
            <w:tcW w:w="5382" w:type="dxa"/>
            <w:shd w:val="clear" w:color="auto" w:fill="auto"/>
          </w:tcPr>
          <w:p w14:paraId="76561C70" w14:textId="77777777" w:rsidR="00E11AB5" w:rsidRPr="007F78CE" w:rsidRDefault="00E11AB5" w:rsidP="007F78CE">
            <w:pPr>
              <w:spacing w:after="0" w:line="240" w:lineRule="auto"/>
              <w:rPr>
                <w:rFonts w:ascii="Arial" w:hAnsi="Arial" w:cs="Arial"/>
                <w:b/>
                <w:bCs/>
              </w:rPr>
            </w:pPr>
          </w:p>
        </w:tc>
        <w:tc>
          <w:tcPr>
            <w:tcW w:w="3544" w:type="dxa"/>
            <w:shd w:val="clear" w:color="auto" w:fill="auto"/>
          </w:tcPr>
          <w:p w14:paraId="608DEB86"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En matière de sécurité de services d’approvisionnement en eau potable</w:t>
            </w:r>
          </w:p>
          <w:p w14:paraId="3F9150D1" w14:textId="77777777" w:rsidR="00E11AB5" w:rsidRPr="00F91FA3" w:rsidRDefault="00E11AB5" w:rsidP="007F78CE">
            <w:pPr>
              <w:spacing w:after="0" w:line="240" w:lineRule="auto"/>
              <w:rPr>
                <w:rFonts w:ascii="Arial Narrow" w:hAnsi="Arial Narrow" w:cs="Arial"/>
                <w:b/>
              </w:rPr>
            </w:pPr>
            <w:r w:rsidRPr="00F91FA3">
              <w:rPr>
                <w:rFonts w:ascii="Arial Narrow" w:hAnsi="Arial Narrow" w:cs="Arial"/>
              </w:rPr>
              <w:t>4. Minimiser et anticiper les risques et les effets causés par la fourniture des services du projet sur la santé et la sécurité des populations concernées. Il s’agit des(a) services de l’eau et de l’assainissement, tels que l’eau contaminée ou la propagation de maladies, (b) des services de l’élimination des déchets, comme la toxicité, l’effondrement des décharges ou de la pollution atmosphérique, (c) des services de fourniture des canaux d’eau ou d’irrigation, comme les noyades, les inondations ou les maladies hydriques,(d) les services liés aux carrières ou aux travaux d’excavation, tels que les chutes de pierres ou les équipements dangereux et (e) les services de fourniture d’électricité, qui peut provoquer des chocs électriques provenant d’armoires ou de câbles électriques.</w:t>
            </w:r>
          </w:p>
        </w:tc>
        <w:tc>
          <w:tcPr>
            <w:tcW w:w="2664" w:type="dxa"/>
            <w:shd w:val="clear" w:color="auto" w:fill="auto"/>
          </w:tcPr>
          <w:p w14:paraId="44D6334C" w14:textId="77777777" w:rsidR="00E11AB5" w:rsidRPr="00F91FA3" w:rsidRDefault="00E11AB5" w:rsidP="007F78CE">
            <w:pPr>
              <w:spacing w:after="0" w:line="240" w:lineRule="auto"/>
              <w:rPr>
                <w:rFonts w:ascii="Arial Narrow" w:hAnsi="Arial Narrow" w:cs="Arial"/>
                <w:i/>
              </w:rPr>
            </w:pPr>
            <w:r w:rsidRPr="00F91FA3">
              <w:rPr>
                <w:rFonts w:ascii="Arial Narrow" w:hAnsi="Arial Narrow" w:cs="Arial"/>
                <w:i/>
              </w:rPr>
              <w:t>Néant</w:t>
            </w:r>
          </w:p>
        </w:tc>
        <w:tc>
          <w:tcPr>
            <w:tcW w:w="2410" w:type="dxa"/>
            <w:vMerge/>
          </w:tcPr>
          <w:p w14:paraId="687ACE7D" w14:textId="77777777" w:rsidR="00E11AB5" w:rsidRPr="007F78CE" w:rsidRDefault="00E11AB5" w:rsidP="007F78CE">
            <w:pPr>
              <w:spacing w:after="0" w:line="240" w:lineRule="auto"/>
              <w:rPr>
                <w:rFonts w:ascii="Arial Narrow" w:hAnsi="Arial Narrow"/>
                <w:i/>
                <w:sz w:val="18"/>
                <w:szCs w:val="18"/>
              </w:rPr>
            </w:pPr>
          </w:p>
        </w:tc>
      </w:tr>
      <w:tr w:rsidR="0063584D" w:rsidRPr="007F78CE" w14:paraId="3DF29089" w14:textId="77777777" w:rsidTr="6FF5A665">
        <w:tc>
          <w:tcPr>
            <w:tcW w:w="5382" w:type="dxa"/>
            <w:tcBorders>
              <w:top w:val="single" w:sz="8" w:space="0" w:color="4F81BD"/>
              <w:left w:val="single" w:sz="8" w:space="0" w:color="4F81BD"/>
              <w:bottom w:val="single" w:sz="8" w:space="0" w:color="4F81BD"/>
            </w:tcBorders>
            <w:shd w:val="clear" w:color="auto" w:fill="auto"/>
          </w:tcPr>
          <w:p w14:paraId="0AEA1F85" w14:textId="77777777" w:rsidR="00E11AB5" w:rsidRPr="007F78CE" w:rsidRDefault="00E11AB5" w:rsidP="007F78CE">
            <w:pPr>
              <w:spacing w:after="0" w:line="240" w:lineRule="auto"/>
              <w:rPr>
                <w:rFonts w:ascii="Arial" w:hAnsi="Arial" w:cs="Arial"/>
                <w:b/>
                <w:bCs/>
              </w:rPr>
            </w:pPr>
          </w:p>
        </w:tc>
        <w:tc>
          <w:tcPr>
            <w:tcW w:w="3544" w:type="dxa"/>
            <w:tcBorders>
              <w:top w:val="single" w:sz="8" w:space="0" w:color="4F81BD"/>
              <w:bottom w:val="single" w:sz="8" w:space="0" w:color="4F81BD"/>
            </w:tcBorders>
            <w:shd w:val="clear" w:color="auto" w:fill="auto"/>
          </w:tcPr>
          <w:p w14:paraId="52C7E504"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En matière de la circulation et sécurité routière</w:t>
            </w:r>
          </w:p>
          <w:p w14:paraId="59A9B107" w14:textId="77777777" w:rsidR="00E11AB5" w:rsidRPr="00F91FA3" w:rsidRDefault="00E11AB5" w:rsidP="007F78CE">
            <w:pPr>
              <w:spacing w:after="0" w:line="240" w:lineRule="auto"/>
              <w:rPr>
                <w:rFonts w:ascii="Arial Narrow" w:hAnsi="Arial Narrow" w:cs="Arial"/>
                <w:b/>
              </w:rPr>
            </w:pPr>
            <w:r w:rsidRPr="00F91FA3">
              <w:rPr>
                <w:rFonts w:ascii="Arial Narrow" w:hAnsi="Arial Narrow" w:cs="Arial"/>
              </w:rPr>
              <w:t xml:space="preserve">5. Nécessité de faire une évaluation des risques liés à la sécurité routière, pour les piétons et aux communautés et les travailleurs </w:t>
            </w:r>
          </w:p>
          <w:p w14:paraId="5DF94CEE" w14:textId="77777777" w:rsidR="00E11AB5" w:rsidRPr="00F91FA3" w:rsidRDefault="00E11AB5" w:rsidP="007F78CE">
            <w:pPr>
              <w:spacing w:after="0" w:line="240" w:lineRule="auto"/>
              <w:rPr>
                <w:rFonts w:ascii="Arial Narrow" w:hAnsi="Arial Narrow" w:cs="Arial"/>
                <w:b/>
              </w:rPr>
            </w:pPr>
            <w:r w:rsidRPr="00F91FA3">
              <w:rPr>
                <w:rFonts w:ascii="Arial Narrow" w:hAnsi="Arial Narrow" w:cs="Arial"/>
              </w:rPr>
              <w:t>6. Etablissement d’un état de la circulation routière et contrôle et faire des comptes-rendus des rapports d’incidents, et d’accidents au cours du projet</w:t>
            </w:r>
          </w:p>
          <w:p w14:paraId="40093C2C"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7. Mise en place de procédures de sécurité routière pour éviter tout accident aux personnes étrangères au projet</w:t>
            </w:r>
          </w:p>
        </w:tc>
        <w:tc>
          <w:tcPr>
            <w:tcW w:w="2664" w:type="dxa"/>
            <w:tcBorders>
              <w:top w:val="single" w:sz="8" w:space="0" w:color="4F81BD"/>
              <w:bottom w:val="single" w:sz="8" w:space="0" w:color="4F81BD"/>
            </w:tcBorders>
            <w:shd w:val="clear" w:color="auto" w:fill="auto"/>
          </w:tcPr>
          <w:p w14:paraId="3D564B89" w14:textId="77777777" w:rsidR="00E11AB5" w:rsidRPr="00F91FA3" w:rsidRDefault="00E11AB5" w:rsidP="007F78CE">
            <w:pPr>
              <w:spacing w:after="0" w:line="240" w:lineRule="auto"/>
              <w:rPr>
                <w:rFonts w:ascii="Arial Narrow" w:hAnsi="Arial Narrow" w:cs="Arial"/>
                <w:i/>
              </w:rPr>
            </w:pPr>
            <w:r w:rsidRPr="00F91FA3">
              <w:rPr>
                <w:rFonts w:ascii="Arial Narrow" w:hAnsi="Arial Narrow" w:cs="Arial"/>
                <w:i/>
              </w:rPr>
              <w:t>Néant</w:t>
            </w:r>
          </w:p>
        </w:tc>
        <w:tc>
          <w:tcPr>
            <w:tcW w:w="2410" w:type="dxa"/>
            <w:vMerge/>
          </w:tcPr>
          <w:p w14:paraId="329CA1A9" w14:textId="77777777" w:rsidR="00E11AB5" w:rsidRPr="007F78CE" w:rsidRDefault="00E11AB5" w:rsidP="007F78CE">
            <w:pPr>
              <w:spacing w:after="0" w:line="240" w:lineRule="auto"/>
              <w:rPr>
                <w:rFonts w:ascii="Arial Narrow" w:hAnsi="Arial Narrow"/>
                <w:i/>
                <w:sz w:val="18"/>
                <w:szCs w:val="18"/>
              </w:rPr>
            </w:pPr>
          </w:p>
        </w:tc>
      </w:tr>
      <w:tr w:rsidR="0063584D" w:rsidRPr="007F78CE" w14:paraId="7962D792" w14:textId="77777777" w:rsidTr="6FF5A665">
        <w:tc>
          <w:tcPr>
            <w:tcW w:w="5382" w:type="dxa"/>
            <w:shd w:val="clear" w:color="auto" w:fill="auto"/>
          </w:tcPr>
          <w:p w14:paraId="1D9F9DD4" w14:textId="77777777" w:rsidR="00E11AB5" w:rsidRPr="007F78CE" w:rsidRDefault="00E11AB5" w:rsidP="007F78CE">
            <w:pPr>
              <w:spacing w:after="0" w:line="240" w:lineRule="auto"/>
              <w:rPr>
                <w:rFonts w:ascii="Arial" w:hAnsi="Arial" w:cs="Arial"/>
                <w:b/>
                <w:bCs/>
              </w:rPr>
            </w:pPr>
          </w:p>
        </w:tc>
        <w:tc>
          <w:tcPr>
            <w:tcW w:w="3544" w:type="dxa"/>
            <w:shd w:val="clear" w:color="auto" w:fill="auto"/>
          </w:tcPr>
          <w:p w14:paraId="0F76A17D"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En matière d’exposition des populations aux maladies</w:t>
            </w:r>
          </w:p>
          <w:p w14:paraId="551DF939"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8. Réalisation d’une analyse des risques pour la santé, liés au projet, en fonction de divers facteurs de vulnérabilité</w:t>
            </w:r>
          </w:p>
        </w:tc>
        <w:tc>
          <w:tcPr>
            <w:tcW w:w="2664" w:type="dxa"/>
            <w:shd w:val="clear" w:color="auto" w:fill="auto"/>
          </w:tcPr>
          <w:p w14:paraId="79EEDE1D"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En matière d’exposition des populations aux maladies</w:t>
            </w:r>
          </w:p>
          <w:p w14:paraId="5BCBF9A4" w14:textId="77777777" w:rsidR="00E11AB5" w:rsidRPr="00F91FA3" w:rsidRDefault="00E11AB5" w:rsidP="007F78CE">
            <w:pPr>
              <w:spacing w:after="0" w:line="240" w:lineRule="auto"/>
              <w:rPr>
                <w:rFonts w:ascii="Arial Narrow" w:hAnsi="Arial Narrow" w:cs="Arial"/>
                <w:i/>
              </w:rPr>
            </w:pPr>
            <w:r w:rsidRPr="00F91FA3">
              <w:rPr>
                <w:rFonts w:ascii="Arial Narrow" w:hAnsi="Arial Narrow" w:cs="Arial"/>
              </w:rPr>
              <w:t>1. Obligation d’éviter ou minimiser la propagation des maladies transmissibles qui peuvent être associées à l’afflux de la main d’œuvre temporaire ou permanente du projet</w:t>
            </w:r>
          </w:p>
        </w:tc>
        <w:tc>
          <w:tcPr>
            <w:tcW w:w="2410" w:type="dxa"/>
            <w:vMerge/>
          </w:tcPr>
          <w:p w14:paraId="3B34F334" w14:textId="77777777" w:rsidR="00E11AB5" w:rsidRPr="007F78CE" w:rsidRDefault="00E11AB5" w:rsidP="007F78CE">
            <w:pPr>
              <w:spacing w:after="0" w:line="240" w:lineRule="auto"/>
              <w:rPr>
                <w:rFonts w:ascii="Arial Narrow" w:hAnsi="Arial Narrow"/>
                <w:sz w:val="18"/>
                <w:szCs w:val="18"/>
              </w:rPr>
            </w:pPr>
          </w:p>
        </w:tc>
      </w:tr>
      <w:tr w:rsidR="0063584D" w:rsidRPr="007F78CE" w14:paraId="13FDEB55" w14:textId="77777777" w:rsidTr="6FF5A665">
        <w:tc>
          <w:tcPr>
            <w:tcW w:w="5382" w:type="dxa"/>
            <w:tcBorders>
              <w:top w:val="single" w:sz="8" w:space="0" w:color="4F81BD"/>
              <w:left w:val="single" w:sz="8" w:space="0" w:color="4F81BD"/>
              <w:bottom w:val="single" w:sz="8" w:space="0" w:color="4F81BD"/>
            </w:tcBorders>
            <w:shd w:val="clear" w:color="auto" w:fill="auto"/>
          </w:tcPr>
          <w:p w14:paraId="5FF4F964"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En matière de services écosystémiques</w:t>
            </w:r>
          </w:p>
          <w:p w14:paraId="54106D2F"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3. Obligation de faire une évaluation environnementale et sociale des services écosystémiques</w:t>
            </w:r>
          </w:p>
        </w:tc>
        <w:tc>
          <w:tcPr>
            <w:tcW w:w="3544" w:type="dxa"/>
            <w:tcBorders>
              <w:top w:val="single" w:sz="8" w:space="0" w:color="4F81BD"/>
              <w:bottom w:val="single" w:sz="8" w:space="0" w:color="4F81BD"/>
            </w:tcBorders>
            <w:shd w:val="clear" w:color="auto" w:fill="auto"/>
          </w:tcPr>
          <w:p w14:paraId="15398795"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 xml:space="preserve">Néant </w:t>
            </w:r>
          </w:p>
        </w:tc>
        <w:tc>
          <w:tcPr>
            <w:tcW w:w="2664" w:type="dxa"/>
            <w:tcBorders>
              <w:top w:val="single" w:sz="8" w:space="0" w:color="4F81BD"/>
              <w:bottom w:val="single" w:sz="8" w:space="0" w:color="4F81BD"/>
            </w:tcBorders>
            <w:shd w:val="clear" w:color="auto" w:fill="auto"/>
          </w:tcPr>
          <w:p w14:paraId="5B131AFF"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i/>
              </w:rPr>
              <w:t>Néant</w:t>
            </w:r>
          </w:p>
        </w:tc>
        <w:tc>
          <w:tcPr>
            <w:tcW w:w="2410" w:type="dxa"/>
            <w:vMerge/>
          </w:tcPr>
          <w:p w14:paraId="06FF8780" w14:textId="77777777" w:rsidR="00E11AB5" w:rsidRPr="007F78CE" w:rsidRDefault="00E11AB5" w:rsidP="007F78CE">
            <w:pPr>
              <w:spacing w:after="0" w:line="240" w:lineRule="auto"/>
              <w:rPr>
                <w:rFonts w:ascii="Arial Narrow" w:hAnsi="Arial Narrow"/>
                <w:i/>
                <w:sz w:val="18"/>
                <w:szCs w:val="18"/>
              </w:rPr>
            </w:pPr>
          </w:p>
        </w:tc>
      </w:tr>
      <w:tr w:rsidR="0063584D" w:rsidRPr="007F78CE" w14:paraId="3243C943" w14:textId="77777777" w:rsidTr="6FF5A665">
        <w:tc>
          <w:tcPr>
            <w:tcW w:w="5382" w:type="dxa"/>
            <w:shd w:val="clear" w:color="auto" w:fill="auto"/>
          </w:tcPr>
          <w:p w14:paraId="0F39C757"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En matière de gestion et sécurité des matières dangereuses</w:t>
            </w:r>
          </w:p>
          <w:p w14:paraId="36A11592"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4. Elaborer le Plan de gestion des déchets dangereux ou des matières dangereuses </w:t>
            </w:r>
          </w:p>
        </w:tc>
        <w:tc>
          <w:tcPr>
            <w:tcW w:w="3544" w:type="dxa"/>
            <w:shd w:val="clear" w:color="auto" w:fill="auto"/>
          </w:tcPr>
          <w:p w14:paraId="5CC54805"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9. Obligation d’éviter et d’exposer l’exposition des communautés aux matières et substances dangereuses qui peuvent être émises par le projet</w:t>
            </w:r>
          </w:p>
        </w:tc>
        <w:tc>
          <w:tcPr>
            <w:tcW w:w="2664" w:type="dxa"/>
            <w:shd w:val="clear" w:color="auto" w:fill="auto"/>
          </w:tcPr>
          <w:p w14:paraId="1768DAAF"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i/>
              </w:rPr>
              <w:t>Néant</w:t>
            </w:r>
          </w:p>
        </w:tc>
        <w:tc>
          <w:tcPr>
            <w:tcW w:w="2410" w:type="dxa"/>
            <w:vMerge/>
          </w:tcPr>
          <w:p w14:paraId="2C9A3082" w14:textId="77777777" w:rsidR="00E11AB5" w:rsidRPr="007F78CE" w:rsidRDefault="00E11AB5" w:rsidP="007F78CE">
            <w:pPr>
              <w:spacing w:after="0" w:line="240" w:lineRule="auto"/>
              <w:rPr>
                <w:rFonts w:ascii="Arial Narrow" w:hAnsi="Arial Narrow"/>
                <w:i/>
                <w:sz w:val="18"/>
                <w:szCs w:val="18"/>
              </w:rPr>
            </w:pPr>
          </w:p>
        </w:tc>
      </w:tr>
      <w:tr w:rsidR="0063584D" w:rsidRPr="007F78CE" w14:paraId="56DC37C2" w14:textId="77777777" w:rsidTr="6FF5A665">
        <w:tc>
          <w:tcPr>
            <w:tcW w:w="5382" w:type="dxa"/>
            <w:tcBorders>
              <w:top w:val="single" w:sz="8" w:space="0" w:color="4F81BD"/>
              <w:left w:val="single" w:sz="8" w:space="0" w:color="4F81BD"/>
              <w:bottom w:val="single" w:sz="8" w:space="0" w:color="4F81BD"/>
            </w:tcBorders>
            <w:shd w:val="clear" w:color="auto" w:fill="auto"/>
          </w:tcPr>
          <w:p w14:paraId="6D8CE79A"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En matière de gestion des urgences</w:t>
            </w:r>
          </w:p>
          <w:p w14:paraId="519DFE19"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5. Définition de la situation d’urgence</w:t>
            </w:r>
          </w:p>
          <w:p w14:paraId="3529E85D"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6. Obligation d’une évaluation des risques et dangers (ERD) dans le cadre de EES</w:t>
            </w:r>
          </w:p>
          <w:p w14:paraId="23C4051D"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7. Préparation d’un Plan d’intervention d’urgence (PIU) sur la base des conclusions de l’ERD : dispositions relatives à la prévention, à la préparation et aux réponses</w:t>
            </w:r>
          </w:p>
        </w:tc>
        <w:tc>
          <w:tcPr>
            <w:tcW w:w="3544" w:type="dxa"/>
            <w:tcBorders>
              <w:top w:val="single" w:sz="8" w:space="0" w:color="4F81BD"/>
              <w:bottom w:val="single" w:sz="8" w:space="0" w:color="4F81BD"/>
            </w:tcBorders>
            <w:shd w:val="clear" w:color="auto" w:fill="auto"/>
          </w:tcPr>
          <w:p w14:paraId="3204EE65" w14:textId="77777777" w:rsidR="00E11AB5" w:rsidRPr="00F91FA3" w:rsidRDefault="00E11AB5" w:rsidP="007F78CE">
            <w:pPr>
              <w:spacing w:after="0" w:line="240" w:lineRule="auto"/>
              <w:rPr>
                <w:rFonts w:ascii="Arial Narrow" w:hAnsi="Arial Narrow" w:cs="Arial"/>
                <w:b/>
              </w:rPr>
            </w:pPr>
            <w:r w:rsidRPr="00F91FA3">
              <w:rPr>
                <w:rFonts w:ascii="Arial Narrow" w:hAnsi="Arial Narrow" w:cs="Arial"/>
              </w:rPr>
              <w:t>10. Nécessité de préparer un Plan d’intervention d’urgence des travailleurs pour assurer la sécurité des biens et du personnel du projet</w:t>
            </w:r>
          </w:p>
          <w:p w14:paraId="023A6FC3" w14:textId="77777777" w:rsidR="00E11AB5" w:rsidRPr="00F91FA3" w:rsidRDefault="00E11AB5" w:rsidP="007F78CE">
            <w:pPr>
              <w:spacing w:after="0" w:line="240" w:lineRule="auto"/>
              <w:rPr>
                <w:rFonts w:ascii="Arial Narrow" w:hAnsi="Arial Narrow" w:cs="Arial"/>
                <w:b/>
              </w:rPr>
            </w:pPr>
            <w:r w:rsidRPr="00F91FA3">
              <w:rPr>
                <w:rFonts w:ascii="Arial Narrow" w:hAnsi="Arial Narrow" w:cs="Arial"/>
              </w:rPr>
              <w:t xml:space="preserve">11, Nécessité de concevoir des codes de bonne conduite </w:t>
            </w:r>
          </w:p>
        </w:tc>
        <w:tc>
          <w:tcPr>
            <w:tcW w:w="2664" w:type="dxa"/>
            <w:tcBorders>
              <w:top w:val="single" w:sz="8" w:space="0" w:color="4F81BD"/>
              <w:bottom w:val="single" w:sz="8" w:space="0" w:color="4F81BD"/>
            </w:tcBorders>
            <w:shd w:val="clear" w:color="auto" w:fill="auto"/>
          </w:tcPr>
          <w:p w14:paraId="16DE41DE" w14:textId="77777777" w:rsidR="00E11AB5" w:rsidRPr="00F91FA3" w:rsidRDefault="00E11AB5" w:rsidP="007F78CE">
            <w:pPr>
              <w:spacing w:after="0" w:line="240" w:lineRule="auto"/>
              <w:rPr>
                <w:rFonts w:ascii="Arial Narrow" w:hAnsi="Arial Narrow" w:cs="Arial"/>
                <w:i/>
              </w:rPr>
            </w:pPr>
            <w:r w:rsidRPr="00F91FA3">
              <w:rPr>
                <w:rFonts w:ascii="Arial Narrow" w:hAnsi="Arial Narrow" w:cs="Arial"/>
                <w:i/>
              </w:rPr>
              <w:t>Néant</w:t>
            </w:r>
          </w:p>
        </w:tc>
        <w:tc>
          <w:tcPr>
            <w:tcW w:w="2410" w:type="dxa"/>
            <w:vMerge/>
          </w:tcPr>
          <w:p w14:paraId="679193B3" w14:textId="77777777" w:rsidR="00E11AB5" w:rsidRPr="007F78CE" w:rsidRDefault="00E11AB5" w:rsidP="007F78CE">
            <w:pPr>
              <w:spacing w:after="0" w:line="240" w:lineRule="auto"/>
              <w:rPr>
                <w:rFonts w:ascii="Arial Narrow" w:hAnsi="Arial Narrow"/>
                <w:i/>
                <w:sz w:val="18"/>
                <w:szCs w:val="18"/>
              </w:rPr>
            </w:pPr>
          </w:p>
        </w:tc>
      </w:tr>
      <w:tr w:rsidR="00E11AB5" w:rsidRPr="007F78CE" w14:paraId="01AD2DCF" w14:textId="77777777" w:rsidTr="007F78CE">
        <w:tc>
          <w:tcPr>
            <w:tcW w:w="14000" w:type="dxa"/>
            <w:gridSpan w:val="4"/>
            <w:shd w:val="clear" w:color="auto" w:fill="FFFF00"/>
          </w:tcPr>
          <w:p w14:paraId="5953DF5F" w14:textId="77777777" w:rsidR="00E11AB5" w:rsidRPr="007F78CE" w:rsidRDefault="00E11AB5" w:rsidP="007F78CE">
            <w:pPr>
              <w:spacing w:before="120" w:after="120" w:line="240" w:lineRule="auto"/>
              <w:jc w:val="center"/>
              <w:rPr>
                <w:rFonts w:ascii="Arial" w:hAnsi="Arial" w:cs="Arial"/>
                <w:b/>
                <w:bCs/>
                <w:sz w:val="24"/>
                <w:szCs w:val="24"/>
              </w:rPr>
            </w:pPr>
            <w:r w:rsidRPr="007F78CE">
              <w:rPr>
                <w:rFonts w:ascii="Arial" w:hAnsi="Arial" w:cs="Arial"/>
                <w:b/>
                <w:bCs/>
                <w:sz w:val="24"/>
                <w:szCs w:val="24"/>
              </w:rPr>
              <w:t>NES5 et le cadre national</w:t>
            </w:r>
          </w:p>
        </w:tc>
      </w:tr>
      <w:tr w:rsidR="0063584D" w:rsidRPr="007F78CE" w14:paraId="17070AA8" w14:textId="77777777" w:rsidTr="007F78CE">
        <w:tc>
          <w:tcPr>
            <w:tcW w:w="5382" w:type="dxa"/>
            <w:tcBorders>
              <w:top w:val="single" w:sz="8" w:space="0" w:color="4F81BD"/>
              <w:left w:val="single" w:sz="8" w:space="0" w:color="4F81BD"/>
              <w:bottom w:val="single" w:sz="8" w:space="0" w:color="4F81BD"/>
            </w:tcBorders>
            <w:shd w:val="clear" w:color="auto" w:fill="auto"/>
          </w:tcPr>
          <w:p w14:paraId="6BC3200F"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En matière de classification de l’éligibilité</w:t>
            </w:r>
          </w:p>
          <w:p w14:paraId="37B1D2B1"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1. Catégorisation des personnes affectées (personnes déplacées)</w:t>
            </w:r>
          </w:p>
        </w:tc>
        <w:tc>
          <w:tcPr>
            <w:tcW w:w="3544" w:type="dxa"/>
            <w:tcBorders>
              <w:top w:val="single" w:sz="8" w:space="0" w:color="4F81BD"/>
              <w:bottom w:val="single" w:sz="8" w:space="0" w:color="4F81BD"/>
            </w:tcBorders>
            <w:shd w:val="clear" w:color="auto" w:fill="auto"/>
          </w:tcPr>
          <w:p w14:paraId="3BECA8CB" w14:textId="77777777" w:rsidR="00E11AB5" w:rsidRPr="00F91FA3" w:rsidRDefault="00E11AB5" w:rsidP="007F78CE">
            <w:pPr>
              <w:spacing w:after="0" w:line="240" w:lineRule="auto"/>
              <w:rPr>
                <w:rFonts w:ascii="Arial Narrow" w:hAnsi="Arial Narrow" w:cs="Arial"/>
                <w:b/>
              </w:rPr>
            </w:pPr>
            <w:r w:rsidRPr="00F91FA3">
              <w:rPr>
                <w:rFonts w:ascii="Arial Narrow" w:hAnsi="Arial Narrow" w:cs="Arial"/>
              </w:rPr>
              <w:t>1. Accompagnement spécifique pour les groupes vulnérables</w:t>
            </w:r>
          </w:p>
        </w:tc>
        <w:tc>
          <w:tcPr>
            <w:tcW w:w="2664" w:type="dxa"/>
            <w:tcBorders>
              <w:top w:val="single" w:sz="8" w:space="0" w:color="4F81BD"/>
              <w:bottom w:val="single" w:sz="8" w:space="0" w:color="4F81BD"/>
            </w:tcBorders>
            <w:shd w:val="clear" w:color="auto" w:fill="auto"/>
          </w:tcPr>
          <w:p w14:paraId="01143B15" w14:textId="77777777" w:rsidR="00E11AB5" w:rsidRPr="00F91FA3" w:rsidRDefault="00E11AB5" w:rsidP="007F78CE">
            <w:pPr>
              <w:spacing w:after="0" w:line="240" w:lineRule="auto"/>
              <w:rPr>
                <w:rFonts w:ascii="Arial Narrow" w:hAnsi="Arial Narrow" w:cs="Arial"/>
                <w:i/>
              </w:rPr>
            </w:pPr>
            <w:r w:rsidRPr="00F91FA3">
              <w:rPr>
                <w:rFonts w:ascii="Arial Narrow" w:hAnsi="Arial Narrow" w:cs="Arial"/>
              </w:rPr>
              <w:t>1. Date limite d’éligibilité</w:t>
            </w:r>
          </w:p>
        </w:tc>
        <w:tc>
          <w:tcPr>
            <w:tcW w:w="2410" w:type="dxa"/>
            <w:vMerge w:val="restart"/>
            <w:tcBorders>
              <w:top w:val="single" w:sz="8" w:space="0" w:color="4F81BD"/>
              <w:bottom w:val="single" w:sz="8" w:space="0" w:color="4F81BD"/>
              <w:right w:val="single" w:sz="8" w:space="0" w:color="4F81BD"/>
            </w:tcBorders>
            <w:shd w:val="clear" w:color="auto" w:fill="auto"/>
          </w:tcPr>
          <w:p w14:paraId="002B451D" w14:textId="77777777" w:rsidR="00E11AB5" w:rsidRPr="00742D67" w:rsidRDefault="00E11AB5" w:rsidP="007F78CE">
            <w:pPr>
              <w:pStyle w:val="TableParagraph"/>
              <w:tabs>
                <w:tab w:val="left" w:pos="1324"/>
              </w:tabs>
              <w:spacing w:before="480" w:beforeAutospacing="0" w:after="0" w:afterAutospacing="0"/>
              <w:rPr>
                <w:rFonts w:ascii="Arial Narrow" w:hAnsi="Arial Narrow"/>
                <w:b/>
                <w:sz w:val="20"/>
                <w:szCs w:val="20"/>
              </w:rPr>
            </w:pPr>
            <w:r w:rsidRPr="00742D67">
              <w:rPr>
                <w:rFonts w:ascii="Arial Narrow" w:hAnsi="Arial Narrow"/>
              </w:rPr>
              <w:t>Préparation</w:t>
            </w:r>
            <w:r w:rsidR="009F5FE5" w:rsidRPr="00742D67">
              <w:rPr>
                <w:rFonts w:ascii="Arial Narrow" w:hAnsi="Arial Narrow"/>
              </w:rPr>
              <w:t xml:space="preserve"> et mise en œuvre au besoin</w:t>
            </w:r>
            <w:r w:rsidRPr="00742D67">
              <w:rPr>
                <w:rFonts w:ascii="Arial Narrow" w:hAnsi="Arial Narrow"/>
              </w:rPr>
              <w:t xml:space="preserve"> de CR et éventuellement de PR</w:t>
            </w:r>
          </w:p>
        </w:tc>
      </w:tr>
      <w:tr w:rsidR="0063584D" w:rsidRPr="007F78CE" w14:paraId="5469A342" w14:textId="77777777" w:rsidTr="6FF5A665">
        <w:tc>
          <w:tcPr>
            <w:tcW w:w="5382" w:type="dxa"/>
            <w:shd w:val="clear" w:color="auto" w:fill="auto"/>
          </w:tcPr>
          <w:p w14:paraId="043098F3"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En matière de conception de projets</w:t>
            </w:r>
          </w:p>
          <w:p w14:paraId="57685C0C"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2. Limitation de l’acquisition involontaire des terres aux besoins directs du projet.</w:t>
            </w:r>
          </w:p>
        </w:tc>
        <w:tc>
          <w:tcPr>
            <w:tcW w:w="3544" w:type="dxa"/>
            <w:shd w:val="clear" w:color="auto" w:fill="auto"/>
          </w:tcPr>
          <w:p w14:paraId="59A013EC"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 xml:space="preserve">2. Comparaison des avantages et l’attention particulière sur les questions de genre et de vulnérabilité lors de l’étude des conceptions alternatives possibles du projet et ont des dispositions plus favorables. </w:t>
            </w:r>
          </w:p>
        </w:tc>
        <w:tc>
          <w:tcPr>
            <w:tcW w:w="2664" w:type="dxa"/>
            <w:shd w:val="clear" w:color="auto" w:fill="auto"/>
          </w:tcPr>
          <w:p w14:paraId="6D291D39" w14:textId="77777777" w:rsidR="00E11AB5" w:rsidRPr="00F91FA3" w:rsidRDefault="00E11AB5" w:rsidP="007F78CE">
            <w:pPr>
              <w:tabs>
                <w:tab w:val="left" w:pos="1324"/>
              </w:tabs>
              <w:spacing w:after="0" w:line="240" w:lineRule="auto"/>
              <w:rPr>
                <w:rFonts w:ascii="Arial Narrow" w:hAnsi="Arial Narrow" w:cs="Arial"/>
                <w:b/>
              </w:rPr>
            </w:pPr>
          </w:p>
        </w:tc>
        <w:tc>
          <w:tcPr>
            <w:tcW w:w="2410" w:type="dxa"/>
            <w:vMerge/>
          </w:tcPr>
          <w:p w14:paraId="5D530167" w14:textId="77777777" w:rsidR="00E11AB5" w:rsidRPr="007F78CE" w:rsidRDefault="00E11AB5" w:rsidP="007F78CE">
            <w:pPr>
              <w:tabs>
                <w:tab w:val="left" w:pos="1324"/>
              </w:tabs>
              <w:spacing w:after="0" w:line="240" w:lineRule="auto"/>
              <w:rPr>
                <w:rFonts w:ascii="Arial Narrow" w:hAnsi="Arial Narrow"/>
                <w:b/>
              </w:rPr>
            </w:pPr>
          </w:p>
        </w:tc>
      </w:tr>
      <w:tr w:rsidR="0063584D" w:rsidRPr="007F78CE" w14:paraId="6F186295" w14:textId="77777777" w:rsidTr="6FF5A665">
        <w:tc>
          <w:tcPr>
            <w:tcW w:w="5382" w:type="dxa"/>
            <w:tcBorders>
              <w:top w:val="single" w:sz="8" w:space="0" w:color="4F81BD"/>
              <w:left w:val="single" w:sz="8" w:space="0" w:color="4F81BD"/>
              <w:bottom w:val="single" w:sz="8" w:space="0" w:color="4F81BD"/>
            </w:tcBorders>
            <w:shd w:val="clear" w:color="auto" w:fill="auto"/>
          </w:tcPr>
          <w:p w14:paraId="73A908D2" w14:textId="77777777" w:rsidR="00E11AB5" w:rsidRPr="00F91FA3" w:rsidRDefault="00E11AB5" w:rsidP="007F78CE">
            <w:pPr>
              <w:spacing w:after="0" w:line="240" w:lineRule="auto"/>
              <w:rPr>
                <w:rFonts w:ascii="Arial Narrow" w:hAnsi="Arial Narrow" w:cs="Arial"/>
                <w:b/>
                <w:bCs/>
              </w:rPr>
            </w:pPr>
          </w:p>
        </w:tc>
        <w:tc>
          <w:tcPr>
            <w:tcW w:w="3544" w:type="dxa"/>
            <w:tcBorders>
              <w:top w:val="single" w:sz="8" w:space="0" w:color="4F81BD"/>
              <w:bottom w:val="single" w:sz="8" w:space="0" w:color="4F81BD"/>
            </w:tcBorders>
            <w:shd w:val="clear" w:color="auto" w:fill="auto"/>
          </w:tcPr>
          <w:p w14:paraId="36C44512"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 xml:space="preserve">En matière de transparence des indemnisations et avantages pour les personnes affectées  </w:t>
            </w:r>
          </w:p>
          <w:p w14:paraId="229A82DB" w14:textId="77777777" w:rsidR="00E11AB5" w:rsidRPr="00F91FA3" w:rsidRDefault="00E11AB5" w:rsidP="007F78CE">
            <w:pPr>
              <w:spacing w:after="0" w:line="240" w:lineRule="auto"/>
              <w:rPr>
                <w:rFonts w:ascii="Arial Narrow" w:hAnsi="Arial Narrow" w:cs="Arial"/>
                <w:b/>
              </w:rPr>
            </w:pPr>
            <w:r w:rsidRPr="00F91FA3">
              <w:rPr>
                <w:rFonts w:ascii="Arial Narrow" w:hAnsi="Arial Narrow" w:cs="Arial"/>
              </w:rPr>
              <w:t xml:space="preserve">3. Participation des parties expropriées à </w:t>
            </w:r>
            <w:r w:rsidRPr="00F91FA3">
              <w:rPr>
                <w:rFonts w:ascii="Arial Narrow" w:hAnsi="Arial Narrow" w:cs="Arial"/>
                <w:spacing w:val="-9"/>
              </w:rPr>
              <w:t xml:space="preserve">la </w:t>
            </w:r>
            <w:r w:rsidRPr="00F91FA3">
              <w:rPr>
                <w:rFonts w:ascii="Arial Narrow" w:hAnsi="Arial Narrow" w:cs="Arial"/>
              </w:rPr>
              <w:t>négociation de prix d’acquisition et des autres modalités de compensation avec la Commission d’évaluation</w:t>
            </w:r>
          </w:p>
          <w:p w14:paraId="1C9AD1B2" w14:textId="77777777" w:rsidR="00E11AB5" w:rsidRPr="00F91FA3" w:rsidRDefault="00E11AB5" w:rsidP="007F78CE">
            <w:pPr>
              <w:spacing w:after="0" w:line="240" w:lineRule="auto"/>
              <w:rPr>
                <w:rFonts w:ascii="Arial Narrow" w:hAnsi="Arial Narrow" w:cs="Arial"/>
                <w:b/>
              </w:rPr>
            </w:pPr>
            <w:r w:rsidRPr="00F91FA3">
              <w:rPr>
                <w:rFonts w:ascii="Arial Narrow" w:hAnsi="Arial Narrow" w:cs="Arial"/>
              </w:rPr>
              <w:t xml:space="preserve">Normes et </w:t>
            </w:r>
            <w:r w:rsidRPr="00F91FA3">
              <w:rPr>
                <w:rFonts w:ascii="Arial Narrow" w:hAnsi="Arial Narrow" w:cs="Arial"/>
                <w:spacing w:val="-5"/>
              </w:rPr>
              <w:t xml:space="preserve">taux </w:t>
            </w:r>
            <w:r w:rsidRPr="00F91FA3">
              <w:rPr>
                <w:rFonts w:ascii="Arial Narrow" w:hAnsi="Arial Narrow" w:cs="Arial"/>
              </w:rPr>
              <w:t xml:space="preserve">d’indemnisation : </w:t>
            </w:r>
          </w:p>
          <w:p w14:paraId="7A6B4DBC" w14:textId="77777777" w:rsidR="00E11AB5" w:rsidRPr="00F91FA3" w:rsidRDefault="00E11AB5" w:rsidP="007F78CE">
            <w:pPr>
              <w:pStyle w:val="TableParagraph"/>
              <w:spacing w:before="0" w:beforeAutospacing="0" w:after="0" w:afterAutospacing="0"/>
              <w:ind w:right="58"/>
              <w:rPr>
                <w:rFonts w:ascii="Arial Narrow" w:hAnsi="Arial Narrow" w:cs="Arial"/>
                <w:b/>
              </w:rPr>
            </w:pPr>
            <w:r w:rsidRPr="00F91FA3">
              <w:rPr>
                <w:rFonts w:ascii="Arial Narrow" w:hAnsi="Arial Narrow" w:cs="Arial"/>
              </w:rPr>
              <w:t xml:space="preserve">4. Publication des normes d’indemnisation pour les catégories de terres et d’immobilisations </w:t>
            </w:r>
          </w:p>
          <w:p w14:paraId="01922EB8" w14:textId="77777777" w:rsidR="00E11AB5" w:rsidRPr="00F91FA3" w:rsidRDefault="00E11AB5" w:rsidP="007F78CE">
            <w:pPr>
              <w:pStyle w:val="TableParagraph"/>
              <w:spacing w:before="0" w:beforeAutospacing="0" w:after="0" w:afterAutospacing="0"/>
              <w:ind w:right="60"/>
              <w:rPr>
                <w:rFonts w:ascii="Arial Narrow" w:hAnsi="Arial Narrow" w:cs="Arial"/>
                <w:b/>
              </w:rPr>
            </w:pPr>
            <w:r w:rsidRPr="00F91FA3">
              <w:rPr>
                <w:rFonts w:ascii="Arial Narrow" w:hAnsi="Arial Narrow" w:cs="Arial"/>
              </w:rPr>
              <w:t>5. Possible ajustement à la hausse des taux à la hausse lorsque des stratégies de négociation sont employées.</w:t>
            </w:r>
          </w:p>
          <w:p w14:paraId="6017016A"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 xml:space="preserve">6. Existence de documentation d’une base claire pour le calcul de l’indemnisation, </w:t>
            </w:r>
          </w:p>
          <w:p w14:paraId="6D9E1EAA" w14:textId="77777777" w:rsidR="00E11AB5" w:rsidRPr="00F91FA3" w:rsidRDefault="00E11AB5" w:rsidP="007F78CE">
            <w:pPr>
              <w:spacing w:after="0" w:line="240" w:lineRule="auto"/>
              <w:rPr>
                <w:rFonts w:ascii="Arial Narrow" w:hAnsi="Arial Narrow" w:cs="Arial"/>
                <w:b/>
              </w:rPr>
            </w:pPr>
            <w:r w:rsidRPr="00F91FA3">
              <w:rPr>
                <w:rFonts w:ascii="Arial Narrow" w:hAnsi="Arial Narrow" w:cs="Arial"/>
              </w:rPr>
              <w:t xml:space="preserve">7. En matière d’option de remplacement : notamment pour les occupants sans titre et irréguliers </w:t>
            </w:r>
          </w:p>
          <w:p w14:paraId="660B5F49" w14:textId="77777777" w:rsidR="00E11AB5" w:rsidRPr="00F91FA3" w:rsidRDefault="00E11AB5" w:rsidP="007F78CE">
            <w:pPr>
              <w:spacing w:after="0" w:line="240" w:lineRule="auto"/>
              <w:rPr>
                <w:rFonts w:ascii="Arial Narrow" w:hAnsi="Arial Narrow" w:cs="Arial"/>
                <w:b/>
              </w:rPr>
            </w:pPr>
            <w:r w:rsidRPr="00F91FA3">
              <w:rPr>
                <w:rFonts w:ascii="Arial Narrow" w:hAnsi="Arial Narrow" w:cs="Arial"/>
              </w:rPr>
              <w:t>8. Accompagnement des PAP - Mise en œuvre des programmes de restauration et d’amélioration des moyens de subsistance</w:t>
            </w:r>
          </w:p>
          <w:p w14:paraId="5D53535A" w14:textId="77777777" w:rsidR="00E11AB5" w:rsidRPr="00F91FA3" w:rsidRDefault="00E11AB5" w:rsidP="007F78CE">
            <w:pPr>
              <w:spacing w:after="0" w:line="240" w:lineRule="auto"/>
              <w:rPr>
                <w:rFonts w:ascii="Arial Narrow" w:hAnsi="Arial Narrow" w:cs="Arial"/>
                <w:b/>
              </w:rPr>
            </w:pPr>
            <w:r w:rsidRPr="00F91FA3">
              <w:rPr>
                <w:rFonts w:ascii="Arial Narrow" w:hAnsi="Arial Narrow" w:cs="Arial"/>
              </w:rPr>
              <w:t xml:space="preserve">9. Modalités de résolution </w:t>
            </w:r>
            <w:r w:rsidRPr="00F91FA3">
              <w:rPr>
                <w:rFonts w:ascii="Arial Narrow" w:hAnsi="Arial Narrow" w:cs="Arial"/>
                <w:spacing w:val="-6"/>
              </w:rPr>
              <w:t xml:space="preserve">des </w:t>
            </w:r>
            <w:r w:rsidRPr="00F91FA3">
              <w:rPr>
                <w:rFonts w:ascii="Arial Narrow" w:hAnsi="Arial Narrow" w:cs="Arial"/>
              </w:rPr>
              <w:t xml:space="preserve">difficultés liées </w:t>
            </w:r>
            <w:r w:rsidRPr="00F91FA3">
              <w:rPr>
                <w:rFonts w:ascii="Arial Narrow" w:hAnsi="Arial Narrow" w:cs="Arial"/>
                <w:spacing w:val="-13"/>
              </w:rPr>
              <w:t xml:space="preserve">à </w:t>
            </w:r>
            <w:r w:rsidRPr="00F91FA3">
              <w:rPr>
                <w:rFonts w:ascii="Arial Narrow" w:hAnsi="Arial Narrow" w:cs="Arial"/>
              </w:rPr>
              <w:t>l’indemnisation</w:t>
            </w:r>
          </w:p>
          <w:p w14:paraId="60B189BF"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 xml:space="preserve">10. Nécessité d’élaboration d’un </w:t>
            </w:r>
            <w:r w:rsidRPr="00F91FA3">
              <w:rPr>
                <w:rFonts w:ascii="Arial Narrow" w:hAnsi="Arial Narrow" w:cs="Arial"/>
                <w:spacing w:val="-4"/>
              </w:rPr>
              <w:t xml:space="preserve">plan </w:t>
            </w:r>
            <w:r w:rsidRPr="00F91FA3">
              <w:rPr>
                <w:rFonts w:ascii="Arial Narrow" w:hAnsi="Arial Narrow" w:cs="Arial"/>
              </w:rPr>
              <w:t xml:space="preserve">compatible avec </w:t>
            </w:r>
            <w:r w:rsidRPr="00F91FA3">
              <w:rPr>
                <w:rFonts w:ascii="Arial Narrow" w:hAnsi="Arial Narrow" w:cs="Arial"/>
                <w:spacing w:val="-4"/>
              </w:rPr>
              <w:t xml:space="preserve">les </w:t>
            </w:r>
            <w:r w:rsidRPr="00F91FA3">
              <w:rPr>
                <w:rFonts w:ascii="Arial Narrow" w:hAnsi="Arial Narrow" w:cs="Arial"/>
              </w:rPr>
              <w:t>risques et impacts associés au projet</w:t>
            </w:r>
          </w:p>
        </w:tc>
        <w:tc>
          <w:tcPr>
            <w:tcW w:w="2664" w:type="dxa"/>
            <w:tcBorders>
              <w:top w:val="single" w:sz="8" w:space="0" w:color="4F81BD"/>
              <w:bottom w:val="single" w:sz="8" w:space="0" w:color="4F81BD"/>
            </w:tcBorders>
            <w:shd w:val="clear" w:color="auto" w:fill="auto"/>
          </w:tcPr>
          <w:p w14:paraId="15FE4D5D" w14:textId="77777777" w:rsidR="00E11AB5" w:rsidRPr="00F91FA3" w:rsidRDefault="00E11AB5" w:rsidP="007F78CE">
            <w:pPr>
              <w:spacing w:after="0" w:line="240" w:lineRule="auto"/>
              <w:rPr>
                <w:rFonts w:ascii="Arial Narrow" w:hAnsi="Arial Narrow" w:cs="Arial"/>
              </w:rPr>
            </w:pPr>
          </w:p>
          <w:p w14:paraId="57EAAE9E" w14:textId="77777777" w:rsidR="00E11AB5" w:rsidRPr="00F91FA3" w:rsidRDefault="00E11AB5" w:rsidP="007F78CE">
            <w:pPr>
              <w:spacing w:after="0" w:line="240" w:lineRule="auto"/>
              <w:rPr>
                <w:rFonts w:ascii="Arial Narrow" w:hAnsi="Arial Narrow" w:cs="Arial"/>
              </w:rPr>
            </w:pPr>
          </w:p>
          <w:p w14:paraId="6139C853" w14:textId="77777777" w:rsidR="00E11AB5" w:rsidRPr="00F91FA3" w:rsidRDefault="00E11AB5" w:rsidP="007F78CE">
            <w:pPr>
              <w:tabs>
                <w:tab w:val="left" w:pos="1324"/>
              </w:tabs>
              <w:spacing w:after="0" w:line="240" w:lineRule="auto"/>
              <w:rPr>
                <w:rFonts w:ascii="Arial Narrow" w:hAnsi="Arial Narrow" w:cs="Arial"/>
                <w:b/>
              </w:rPr>
            </w:pPr>
            <w:r w:rsidRPr="00F91FA3">
              <w:rPr>
                <w:rFonts w:ascii="Arial Narrow" w:hAnsi="Arial Narrow" w:cs="Arial"/>
              </w:rPr>
              <w:t>2.</w:t>
            </w:r>
            <w:r w:rsidR="00C14DA9">
              <w:rPr>
                <w:rFonts w:ascii="Arial Narrow" w:hAnsi="Arial Narrow" w:cs="Arial"/>
              </w:rPr>
              <w:t xml:space="preserve"> </w:t>
            </w:r>
            <w:r w:rsidRPr="00F91FA3">
              <w:rPr>
                <w:rFonts w:ascii="Arial Narrow" w:hAnsi="Arial Narrow" w:cs="Arial"/>
              </w:rPr>
              <w:t>Aides pour le rétablissement des niveaux de vie ou des moyens de subsistance</w:t>
            </w:r>
          </w:p>
        </w:tc>
        <w:tc>
          <w:tcPr>
            <w:tcW w:w="2410" w:type="dxa"/>
            <w:vMerge/>
          </w:tcPr>
          <w:p w14:paraId="00C70BB2" w14:textId="77777777" w:rsidR="00E11AB5" w:rsidRPr="007F78CE" w:rsidRDefault="00E11AB5" w:rsidP="007F78CE">
            <w:pPr>
              <w:spacing w:after="0" w:line="240" w:lineRule="auto"/>
              <w:rPr>
                <w:rFonts w:ascii="Arial Narrow" w:hAnsi="Arial Narrow"/>
              </w:rPr>
            </w:pPr>
          </w:p>
        </w:tc>
      </w:tr>
      <w:tr w:rsidR="00E11AB5" w:rsidRPr="007F78CE" w14:paraId="0EB7E6A7" w14:textId="77777777" w:rsidTr="007F78CE">
        <w:tc>
          <w:tcPr>
            <w:tcW w:w="14000" w:type="dxa"/>
            <w:gridSpan w:val="4"/>
            <w:shd w:val="clear" w:color="auto" w:fill="FFFF00"/>
          </w:tcPr>
          <w:p w14:paraId="158AF3CE" w14:textId="77777777" w:rsidR="00E11AB5" w:rsidRPr="007F78CE" w:rsidRDefault="00E11AB5" w:rsidP="007F78CE">
            <w:pPr>
              <w:spacing w:before="120" w:after="120" w:line="240" w:lineRule="auto"/>
              <w:jc w:val="center"/>
              <w:rPr>
                <w:rFonts w:ascii="Arial" w:hAnsi="Arial" w:cs="Arial"/>
                <w:b/>
                <w:bCs/>
                <w:sz w:val="24"/>
                <w:szCs w:val="24"/>
              </w:rPr>
            </w:pPr>
            <w:r w:rsidRPr="007F78CE">
              <w:rPr>
                <w:rFonts w:ascii="Arial" w:hAnsi="Arial" w:cs="Arial"/>
                <w:b/>
                <w:bCs/>
                <w:sz w:val="24"/>
                <w:szCs w:val="24"/>
              </w:rPr>
              <w:t>NES6 et le cadre national</w:t>
            </w:r>
          </w:p>
        </w:tc>
      </w:tr>
      <w:tr w:rsidR="0063584D" w:rsidRPr="007F78CE" w14:paraId="09AF667E" w14:textId="77777777" w:rsidTr="007F78CE">
        <w:tc>
          <w:tcPr>
            <w:tcW w:w="5382" w:type="dxa"/>
            <w:tcBorders>
              <w:top w:val="single" w:sz="8" w:space="0" w:color="4F81BD"/>
              <w:left w:val="single" w:sz="8" w:space="0" w:color="4F81BD"/>
              <w:bottom w:val="single" w:sz="8" w:space="0" w:color="4F81BD"/>
            </w:tcBorders>
            <w:shd w:val="clear" w:color="auto" w:fill="auto"/>
          </w:tcPr>
          <w:p w14:paraId="40184CB7"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Evaluation des risques et des effets</w:t>
            </w:r>
          </w:p>
          <w:p w14:paraId="7F43DD39"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1. Approche de précaution : Dans un contexte d’incertitude scientifique, obligation de mise en œuvre des mesures d’atténuation présentant un bon rapport coût-efficacité</w:t>
            </w:r>
          </w:p>
          <w:p w14:paraId="698ABE41"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2. En cas d’incertitude ou d’absence de preuves, ou d’incomplétude de certaines informations scientifiques, nécessité de laisser une marge d’erreur dans la prise de décisions sur les activités du projet.</w:t>
            </w:r>
          </w:p>
          <w:p w14:paraId="0AB1A8D8"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3. Gestion adaptative : ajustement des mesures et des approches en fonction des résultats du suivi continu des effets</w:t>
            </w:r>
          </w:p>
        </w:tc>
        <w:tc>
          <w:tcPr>
            <w:tcW w:w="3544" w:type="dxa"/>
            <w:tcBorders>
              <w:top w:val="single" w:sz="8" w:space="0" w:color="4F81BD"/>
              <w:bottom w:val="single" w:sz="8" w:space="0" w:color="4F81BD"/>
            </w:tcBorders>
            <w:shd w:val="clear" w:color="auto" w:fill="auto"/>
          </w:tcPr>
          <w:p w14:paraId="5CA72927" w14:textId="77777777" w:rsidR="00E11AB5" w:rsidRPr="00F91FA3" w:rsidRDefault="00E11AB5" w:rsidP="007F78CE">
            <w:pPr>
              <w:spacing w:after="0" w:line="240" w:lineRule="auto"/>
              <w:rPr>
                <w:rFonts w:ascii="Arial Narrow" w:hAnsi="Arial Narrow" w:cs="Arial"/>
              </w:rPr>
            </w:pPr>
          </w:p>
        </w:tc>
        <w:tc>
          <w:tcPr>
            <w:tcW w:w="2664" w:type="dxa"/>
            <w:tcBorders>
              <w:top w:val="single" w:sz="8" w:space="0" w:color="4F81BD"/>
              <w:bottom w:val="single" w:sz="8" w:space="0" w:color="4F81BD"/>
            </w:tcBorders>
            <w:shd w:val="clear" w:color="auto" w:fill="auto"/>
          </w:tcPr>
          <w:p w14:paraId="13E2B056"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Néant</w:t>
            </w:r>
          </w:p>
        </w:tc>
        <w:tc>
          <w:tcPr>
            <w:tcW w:w="2410" w:type="dxa"/>
            <w:vMerge w:val="restart"/>
            <w:tcBorders>
              <w:top w:val="single" w:sz="8" w:space="0" w:color="4F81BD"/>
              <w:bottom w:val="single" w:sz="8" w:space="0" w:color="4F81BD"/>
              <w:right w:val="single" w:sz="8" w:space="0" w:color="4F81BD"/>
            </w:tcBorders>
            <w:shd w:val="clear" w:color="auto" w:fill="auto"/>
          </w:tcPr>
          <w:p w14:paraId="7A938DAF" w14:textId="77777777" w:rsidR="00E11AB5" w:rsidRPr="00742D67" w:rsidRDefault="00E11AB5" w:rsidP="007F78CE">
            <w:pPr>
              <w:pStyle w:val="TableParagraph"/>
              <w:tabs>
                <w:tab w:val="left" w:pos="1324"/>
              </w:tabs>
              <w:spacing w:before="480" w:beforeAutospacing="0" w:after="0" w:afterAutospacing="0"/>
              <w:rPr>
                <w:rFonts w:ascii="Arial Narrow" w:hAnsi="Arial Narrow"/>
                <w:b/>
                <w:bCs/>
              </w:rPr>
            </w:pPr>
            <w:r w:rsidRPr="00742D67">
              <w:rPr>
                <w:rFonts w:ascii="Arial Narrow" w:hAnsi="Arial Narrow"/>
              </w:rPr>
              <w:t xml:space="preserve">Préparation de </w:t>
            </w:r>
            <w:r w:rsidR="00C14DA9">
              <w:rPr>
                <w:rFonts w:ascii="Arial Narrow" w:hAnsi="Arial Narrow"/>
              </w:rPr>
              <w:t>l’</w:t>
            </w:r>
            <w:r w:rsidRPr="00742D67">
              <w:rPr>
                <w:rFonts w:ascii="Arial Narrow" w:hAnsi="Arial Narrow"/>
              </w:rPr>
              <w:t>EIES ou de PREE</w:t>
            </w:r>
            <w:r w:rsidR="00E97F3F" w:rsidRPr="00742D67">
              <w:rPr>
                <w:rFonts w:ascii="Arial Narrow" w:hAnsi="Arial Narrow"/>
              </w:rPr>
              <w:t xml:space="preserve"> </w:t>
            </w:r>
            <w:r w:rsidRPr="00742D67">
              <w:rPr>
                <w:rFonts w:ascii="Arial Narrow" w:hAnsi="Arial Narrow"/>
              </w:rPr>
              <w:t xml:space="preserve">de l’impact </w:t>
            </w:r>
            <w:r w:rsidR="59365CEB" w:rsidRPr="00742D67">
              <w:rPr>
                <w:rFonts w:ascii="Arial Narrow" w:hAnsi="Arial Narrow"/>
              </w:rPr>
              <w:t xml:space="preserve">négatif </w:t>
            </w:r>
            <w:r w:rsidRPr="00742D67">
              <w:rPr>
                <w:rFonts w:ascii="Arial Narrow" w:hAnsi="Arial Narrow"/>
              </w:rPr>
              <w:t>et les risques potentiels sur l’habitat, le milieu et l’écosystème terrestre et aquatique pouvant être utilisés par le projet</w:t>
            </w:r>
            <w:r w:rsidR="009F5FE5" w:rsidRPr="00742D67">
              <w:rPr>
                <w:rFonts w:ascii="Arial Narrow" w:hAnsi="Arial Narrow"/>
              </w:rPr>
              <w:t xml:space="preserve">, et ensuite mise en œuvre à travers les PGES-E des entreprises titulaires des travaux </w:t>
            </w:r>
          </w:p>
        </w:tc>
      </w:tr>
      <w:tr w:rsidR="0063584D" w:rsidRPr="007F78CE" w14:paraId="3DF551A8" w14:textId="77777777" w:rsidTr="6FF5A665">
        <w:tc>
          <w:tcPr>
            <w:tcW w:w="5382" w:type="dxa"/>
            <w:shd w:val="clear" w:color="auto" w:fill="auto"/>
          </w:tcPr>
          <w:p w14:paraId="28FBA340"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Préservation de la biodiversité et des habitats</w:t>
            </w:r>
          </w:p>
          <w:p w14:paraId="58B29FEC"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4. Notion d’habitat</w:t>
            </w:r>
          </w:p>
          <w:p w14:paraId="57ADFA1F"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5. Classement des habitats</w:t>
            </w:r>
          </w:p>
        </w:tc>
        <w:tc>
          <w:tcPr>
            <w:tcW w:w="3544" w:type="dxa"/>
            <w:shd w:val="clear" w:color="auto" w:fill="auto"/>
          </w:tcPr>
          <w:p w14:paraId="48616BDA" w14:textId="77777777" w:rsidR="00E11AB5" w:rsidRPr="00F91FA3" w:rsidRDefault="00E11AB5" w:rsidP="007F78CE">
            <w:pPr>
              <w:autoSpaceDE w:val="0"/>
              <w:autoSpaceDN w:val="0"/>
              <w:adjustRightInd w:val="0"/>
              <w:spacing w:after="0" w:line="240" w:lineRule="auto"/>
              <w:rPr>
                <w:rFonts w:ascii="Arial Narrow" w:hAnsi="Arial Narrow" w:cs="Arial"/>
                <w:b/>
              </w:rPr>
            </w:pPr>
            <w:r w:rsidRPr="00F91FA3">
              <w:rPr>
                <w:rFonts w:ascii="Arial Narrow" w:hAnsi="Arial Narrow" w:cs="Arial"/>
              </w:rPr>
              <w:t>1. Classement des habitats en quatre catégories : a) Habitat modifié, b) Habitat naturel, c) Habitat critique, d) Zones protégées juridiquement et reconnues à l’échelle internationale ou régionale comme étant riches en biodiversité.</w:t>
            </w:r>
          </w:p>
          <w:p w14:paraId="5C7355F2"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2. Principe de compensation de la perte de la biodiversité lorsque les impacts négatifs sont considérables et qu’on n’a pas pu éviter et minimiser les pertes</w:t>
            </w:r>
          </w:p>
        </w:tc>
        <w:tc>
          <w:tcPr>
            <w:tcW w:w="2664" w:type="dxa"/>
            <w:shd w:val="clear" w:color="auto" w:fill="auto"/>
          </w:tcPr>
          <w:p w14:paraId="4FB51741" w14:textId="77777777" w:rsidR="00E11AB5" w:rsidRPr="00F91FA3" w:rsidRDefault="00E11AB5" w:rsidP="007F78CE">
            <w:pPr>
              <w:spacing w:after="0" w:line="240" w:lineRule="auto"/>
              <w:rPr>
                <w:rFonts w:ascii="Arial Narrow" w:hAnsi="Arial Narrow" w:cs="Arial"/>
              </w:rPr>
            </w:pPr>
          </w:p>
        </w:tc>
        <w:tc>
          <w:tcPr>
            <w:tcW w:w="2410" w:type="dxa"/>
            <w:vMerge/>
          </w:tcPr>
          <w:p w14:paraId="7149F97E" w14:textId="77777777" w:rsidR="00E11AB5" w:rsidRPr="007F78CE" w:rsidRDefault="00E11AB5" w:rsidP="007F78CE">
            <w:pPr>
              <w:spacing w:after="0" w:line="240" w:lineRule="auto"/>
              <w:rPr>
                <w:rFonts w:ascii="Arial Narrow" w:hAnsi="Arial Narrow"/>
              </w:rPr>
            </w:pPr>
          </w:p>
        </w:tc>
      </w:tr>
      <w:tr w:rsidR="0063584D" w:rsidRPr="007F78CE" w14:paraId="27DFAC02" w14:textId="77777777" w:rsidTr="6FF5A665">
        <w:tc>
          <w:tcPr>
            <w:tcW w:w="5382" w:type="dxa"/>
            <w:tcBorders>
              <w:top w:val="single" w:sz="8" w:space="0" w:color="4F81BD"/>
              <w:left w:val="single" w:sz="8" w:space="0" w:color="4F81BD"/>
              <w:bottom w:val="single" w:sz="8" w:space="0" w:color="4F81BD"/>
            </w:tcBorders>
            <w:shd w:val="clear" w:color="auto" w:fill="auto"/>
          </w:tcPr>
          <w:p w14:paraId="074A6FAE"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Gestion durable des ressources naturelles biologiques</w:t>
            </w:r>
          </w:p>
          <w:p w14:paraId="4DAB0AED"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6. Obligation de tenir compte dans les politiques, programme, plans sectoriels, de la gestion durable des ressources naturelles renouvelables et non renouvelables</w:t>
            </w:r>
          </w:p>
          <w:p w14:paraId="35CF0016"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7. Exploitation des forêts naturelles à des fins de production, d’une manière durable.</w:t>
            </w:r>
          </w:p>
        </w:tc>
        <w:tc>
          <w:tcPr>
            <w:tcW w:w="3544" w:type="dxa"/>
            <w:tcBorders>
              <w:top w:val="single" w:sz="8" w:space="0" w:color="4F81BD"/>
              <w:bottom w:val="single" w:sz="8" w:space="0" w:color="4F81BD"/>
            </w:tcBorders>
            <w:shd w:val="clear" w:color="auto" w:fill="auto"/>
          </w:tcPr>
          <w:p w14:paraId="61432B99" w14:textId="77777777" w:rsidR="00E11AB5" w:rsidRPr="00F91FA3" w:rsidRDefault="00E11AB5" w:rsidP="007F78CE">
            <w:pPr>
              <w:spacing w:after="0" w:line="240" w:lineRule="auto"/>
              <w:rPr>
                <w:rFonts w:ascii="Arial Narrow" w:hAnsi="Arial Narrow" w:cs="Arial"/>
                <w:b/>
              </w:rPr>
            </w:pPr>
            <w:r w:rsidRPr="00F91FA3">
              <w:rPr>
                <w:rFonts w:ascii="Arial Narrow" w:hAnsi="Arial Narrow" w:cs="Arial"/>
              </w:rPr>
              <w:t>Gestion durable des ressources forestières</w:t>
            </w:r>
          </w:p>
          <w:p w14:paraId="68EC8417" w14:textId="77777777" w:rsidR="00E11AB5" w:rsidRPr="00F91FA3" w:rsidRDefault="00E11AB5" w:rsidP="007F78CE">
            <w:pPr>
              <w:autoSpaceDE w:val="0"/>
              <w:autoSpaceDN w:val="0"/>
              <w:adjustRightInd w:val="0"/>
              <w:spacing w:after="0" w:line="240" w:lineRule="auto"/>
              <w:rPr>
                <w:rFonts w:ascii="Arial Narrow" w:hAnsi="Arial Narrow" w:cs="Arial"/>
                <w:b/>
              </w:rPr>
            </w:pPr>
            <w:r w:rsidRPr="00F91FA3">
              <w:rPr>
                <w:rFonts w:ascii="Arial Narrow" w:hAnsi="Arial Narrow" w:cs="Arial"/>
              </w:rPr>
              <w:t>3. En matière des solutions de plantations forestières</w:t>
            </w:r>
          </w:p>
        </w:tc>
        <w:tc>
          <w:tcPr>
            <w:tcW w:w="2664" w:type="dxa"/>
            <w:tcBorders>
              <w:top w:val="single" w:sz="8" w:space="0" w:color="4F81BD"/>
              <w:bottom w:val="single" w:sz="8" w:space="0" w:color="4F81BD"/>
            </w:tcBorders>
            <w:shd w:val="clear" w:color="auto" w:fill="auto"/>
          </w:tcPr>
          <w:p w14:paraId="54945BB1" w14:textId="77777777" w:rsidR="00E11AB5" w:rsidRPr="00F91FA3" w:rsidRDefault="00E11AB5" w:rsidP="007F78CE">
            <w:pPr>
              <w:spacing w:after="0" w:line="240" w:lineRule="auto"/>
              <w:rPr>
                <w:rFonts w:ascii="Arial Narrow" w:hAnsi="Arial Narrow" w:cs="Arial"/>
              </w:rPr>
            </w:pPr>
          </w:p>
        </w:tc>
        <w:tc>
          <w:tcPr>
            <w:tcW w:w="2410" w:type="dxa"/>
            <w:vMerge/>
          </w:tcPr>
          <w:p w14:paraId="5A8E805F" w14:textId="77777777" w:rsidR="00E11AB5" w:rsidRPr="007F78CE" w:rsidRDefault="00E11AB5" w:rsidP="007F78CE">
            <w:pPr>
              <w:spacing w:after="0" w:line="240" w:lineRule="auto"/>
              <w:rPr>
                <w:rFonts w:ascii="Arial Narrow" w:hAnsi="Arial Narrow"/>
              </w:rPr>
            </w:pPr>
          </w:p>
        </w:tc>
      </w:tr>
      <w:tr w:rsidR="00E11AB5" w:rsidRPr="007F78CE" w14:paraId="230595F1" w14:textId="77777777" w:rsidTr="007F78CE">
        <w:tc>
          <w:tcPr>
            <w:tcW w:w="14000" w:type="dxa"/>
            <w:gridSpan w:val="4"/>
            <w:shd w:val="clear" w:color="auto" w:fill="FFFF00"/>
          </w:tcPr>
          <w:p w14:paraId="4AD686FE" w14:textId="77777777" w:rsidR="00E11AB5" w:rsidRPr="007F78CE" w:rsidRDefault="00E11AB5" w:rsidP="007F78CE">
            <w:pPr>
              <w:spacing w:before="120" w:after="120" w:line="240" w:lineRule="auto"/>
              <w:jc w:val="center"/>
              <w:rPr>
                <w:rFonts w:ascii="Arial" w:hAnsi="Arial" w:cs="Arial"/>
                <w:b/>
                <w:bCs/>
                <w:sz w:val="24"/>
                <w:szCs w:val="24"/>
              </w:rPr>
            </w:pPr>
            <w:r w:rsidRPr="007F78CE">
              <w:rPr>
                <w:rFonts w:ascii="Arial" w:hAnsi="Arial" w:cs="Arial"/>
                <w:b/>
                <w:bCs/>
                <w:sz w:val="24"/>
                <w:szCs w:val="24"/>
              </w:rPr>
              <w:t>NES8 et le cadre national</w:t>
            </w:r>
          </w:p>
        </w:tc>
      </w:tr>
      <w:tr w:rsidR="0063584D" w:rsidRPr="007F78CE" w14:paraId="1C899F02" w14:textId="77777777" w:rsidTr="007F78CE">
        <w:tc>
          <w:tcPr>
            <w:tcW w:w="5382" w:type="dxa"/>
            <w:tcBorders>
              <w:top w:val="single" w:sz="8" w:space="0" w:color="4F81BD"/>
              <w:left w:val="single" w:sz="8" w:space="0" w:color="4F81BD"/>
              <w:bottom w:val="single" w:sz="8" w:space="0" w:color="4F81BD"/>
            </w:tcBorders>
            <w:shd w:val="clear" w:color="auto" w:fill="auto"/>
          </w:tcPr>
          <w:p w14:paraId="285605F6"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1. Définitions relatives au Patrimoine culturel</w:t>
            </w:r>
          </w:p>
          <w:p w14:paraId="072F65D1" w14:textId="77777777" w:rsidR="00E11AB5" w:rsidRPr="00F91FA3" w:rsidRDefault="00E11AB5" w:rsidP="007F78CE">
            <w:pPr>
              <w:autoSpaceDE w:val="0"/>
              <w:autoSpaceDN w:val="0"/>
              <w:adjustRightInd w:val="0"/>
              <w:spacing w:after="0" w:line="240" w:lineRule="auto"/>
              <w:rPr>
                <w:rFonts w:ascii="Arial Narrow" w:hAnsi="Arial Narrow" w:cs="Arial"/>
                <w:bCs/>
              </w:rPr>
            </w:pPr>
            <w:r w:rsidRPr="00F91FA3">
              <w:rPr>
                <w:rFonts w:ascii="Arial Narrow" w:hAnsi="Arial Narrow" w:cs="Arial"/>
                <w:bCs/>
              </w:rPr>
              <w:t>2. Obligation d’éviter les impacts négatifs sur le patrimoine culturel</w:t>
            </w:r>
          </w:p>
          <w:p w14:paraId="4061C649" w14:textId="77777777" w:rsidR="00E11AB5" w:rsidRPr="00F91FA3" w:rsidRDefault="00E11AB5" w:rsidP="007F78CE">
            <w:pPr>
              <w:autoSpaceDE w:val="0"/>
              <w:autoSpaceDN w:val="0"/>
              <w:adjustRightInd w:val="0"/>
              <w:spacing w:after="0" w:line="240" w:lineRule="auto"/>
              <w:rPr>
                <w:rFonts w:ascii="Arial Narrow" w:hAnsi="Arial Narrow" w:cs="Arial"/>
                <w:bCs/>
              </w:rPr>
            </w:pPr>
            <w:r w:rsidRPr="00F91FA3">
              <w:rPr>
                <w:rFonts w:ascii="Arial Narrow" w:hAnsi="Arial Narrow" w:cs="Arial"/>
                <w:bCs/>
              </w:rPr>
              <w:t>3. Obligation d’examiner les impacts directs et indirects et cumulatifs du projet sur le patrimoine culturel, ainsi que les risques</w:t>
            </w:r>
          </w:p>
          <w:p w14:paraId="0200C3AD"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4. Nécessité d’élaborer un plan de gestion de patrimoine culturel</w:t>
            </w:r>
          </w:p>
        </w:tc>
        <w:tc>
          <w:tcPr>
            <w:tcW w:w="3544" w:type="dxa"/>
            <w:tcBorders>
              <w:top w:val="single" w:sz="8" w:space="0" w:color="4F81BD"/>
              <w:bottom w:val="single" w:sz="8" w:space="0" w:color="4F81BD"/>
            </w:tcBorders>
            <w:shd w:val="clear" w:color="auto" w:fill="auto"/>
          </w:tcPr>
          <w:p w14:paraId="725F7F90" w14:textId="77777777" w:rsidR="00E11AB5" w:rsidRPr="00F91FA3" w:rsidRDefault="00E11AB5" w:rsidP="007F78CE">
            <w:pPr>
              <w:spacing w:after="0" w:line="240" w:lineRule="auto"/>
              <w:rPr>
                <w:rFonts w:ascii="Arial Narrow" w:hAnsi="Arial Narrow" w:cs="Arial"/>
                <w:b/>
              </w:rPr>
            </w:pPr>
            <w:r w:rsidRPr="00F91FA3">
              <w:rPr>
                <w:rFonts w:ascii="Arial Narrow" w:hAnsi="Arial Narrow" w:cs="Arial"/>
              </w:rPr>
              <w:t>1. Obligation de dresser un inventaire des aires protégées touchées qui abritent un patrimoine culturel classé</w:t>
            </w:r>
          </w:p>
          <w:p w14:paraId="54ADAE9A"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2. Obligation de recueillir les avis des autorités compétentes en matière de patrimoine culturel</w:t>
            </w:r>
          </w:p>
        </w:tc>
        <w:tc>
          <w:tcPr>
            <w:tcW w:w="2664" w:type="dxa"/>
            <w:tcBorders>
              <w:top w:val="single" w:sz="8" w:space="0" w:color="4F81BD"/>
              <w:bottom w:val="single" w:sz="8" w:space="0" w:color="4F81BD"/>
            </w:tcBorders>
            <w:shd w:val="clear" w:color="auto" w:fill="auto"/>
          </w:tcPr>
          <w:p w14:paraId="26101B18"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i/>
              </w:rPr>
              <w:t>Néant</w:t>
            </w:r>
          </w:p>
        </w:tc>
        <w:tc>
          <w:tcPr>
            <w:tcW w:w="2410" w:type="dxa"/>
            <w:vMerge w:val="restart"/>
            <w:tcBorders>
              <w:top w:val="single" w:sz="8" w:space="0" w:color="4F81BD"/>
              <w:bottom w:val="single" w:sz="8" w:space="0" w:color="4F81BD"/>
              <w:right w:val="single" w:sz="8" w:space="0" w:color="4F81BD"/>
            </w:tcBorders>
            <w:shd w:val="clear" w:color="auto" w:fill="auto"/>
          </w:tcPr>
          <w:p w14:paraId="52EC36B1" w14:textId="77777777" w:rsidR="00E11AB5" w:rsidRPr="008540E8" w:rsidRDefault="00E11AB5" w:rsidP="007F78CE">
            <w:pPr>
              <w:pStyle w:val="TableParagraph"/>
              <w:tabs>
                <w:tab w:val="left" w:pos="1324"/>
              </w:tabs>
              <w:spacing w:before="480" w:beforeAutospacing="0" w:after="0" w:afterAutospacing="0"/>
              <w:rPr>
                <w:rFonts w:ascii="Arial Narrow" w:hAnsi="Arial Narrow"/>
              </w:rPr>
            </w:pPr>
            <w:r w:rsidRPr="008540E8">
              <w:rPr>
                <w:rFonts w:ascii="Arial Narrow" w:hAnsi="Arial Narrow"/>
              </w:rPr>
              <w:t xml:space="preserve">Préparation de CGES </w:t>
            </w:r>
          </w:p>
          <w:p w14:paraId="4AFB0F5F" w14:textId="77777777" w:rsidR="00E11AB5" w:rsidRPr="008540E8" w:rsidRDefault="00E11AB5" w:rsidP="007F78CE">
            <w:pPr>
              <w:pStyle w:val="TableParagraph"/>
              <w:tabs>
                <w:tab w:val="left" w:pos="1324"/>
              </w:tabs>
              <w:spacing w:before="480" w:beforeAutospacing="0" w:after="0" w:afterAutospacing="0"/>
              <w:rPr>
                <w:rFonts w:ascii="Arial Narrow" w:hAnsi="Arial Narrow"/>
                <w:b/>
                <w:bCs/>
                <w:i/>
              </w:rPr>
            </w:pPr>
            <w:r w:rsidRPr="008540E8">
              <w:rPr>
                <w:rFonts w:ascii="Arial Narrow" w:hAnsi="Arial Narrow"/>
              </w:rPr>
              <w:t>Elaboration des procédures à suivre en cas de découverte fortuite</w:t>
            </w:r>
          </w:p>
        </w:tc>
      </w:tr>
      <w:tr w:rsidR="0063584D" w:rsidRPr="007F78CE" w14:paraId="2304D4E4" w14:textId="77777777" w:rsidTr="6FF5A665">
        <w:tc>
          <w:tcPr>
            <w:tcW w:w="5382" w:type="dxa"/>
            <w:shd w:val="clear" w:color="auto" w:fill="auto"/>
          </w:tcPr>
          <w:p w14:paraId="66A5CDFD" w14:textId="77777777" w:rsidR="00E11AB5" w:rsidRPr="00F91FA3" w:rsidRDefault="00E11AB5" w:rsidP="007F78CE">
            <w:pPr>
              <w:spacing w:after="0" w:line="240" w:lineRule="auto"/>
              <w:rPr>
                <w:rFonts w:ascii="Arial Narrow" w:hAnsi="Arial Narrow" w:cs="Arial"/>
                <w:b/>
                <w:bCs/>
              </w:rPr>
            </w:pPr>
          </w:p>
        </w:tc>
        <w:tc>
          <w:tcPr>
            <w:tcW w:w="3544" w:type="dxa"/>
            <w:shd w:val="clear" w:color="auto" w:fill="auto"/>
          </w:tcPr>
          <w:p w14:paraId="01DC60F2"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 xml:space="preserve">En matière de procédure de découverte fortuite </w:t>
            </w:r>
          </w:p>
          <w:p w14:paraId="7E7FC4F4" w14:textId="77777777" w:rsidR="00E11AB5" w:rsidRPr="00F91FA3" w:rsidRDefault="00E11AB5" w:rsidP="007F78CE">
            <w:pPr>
              <w:spacing w:after="0" w:line="240" w:lineRule="auto"/>
              <w:rPr>
                <w:rFonts w:ascii="Arial Narrow" w:hAnsi="Arial Narrow" w:cs="Arial"/>
                <w:b/>
              </w:rPr>
            </w:pPr>
            <w:r w:rsidRPr="00F91FA3">
              <w:rPr>
                <w:rFonts w:ascii="Arial Narrow" w:hAnsi="Arial Narrow" w:cs="Arial"/>
              </w:rPr>
              <w:t>3. Etapes de la procédure en cas de découverte fortuite de patrimoine culturel</w:t>
            </w:r>
          </w:p>
          <w:p w14:paraId="06B3C8D2"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4. Obligation de tenir compte dans les mesures d’atténuation des impacts environnementaux, les coutumes, les traditions et les pratiques, les méthodes et les matériaux locaux</w:t>
            </w:r>
          </w:p>
        </w:tc>
        <w:tc>
          <w:tcPr>
            <w:tcW w:w="2664" w:type="dxa"/>
            <w:shd w:val="clear" w:color="auto" w:fill="auto"/>
          </w:tcPr>
          <w:p w14:paraId="3A2BD45D"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1. Mesurer l’importance du patrimoine culturel sur la base de système de valeur et des intérêts des parties touchées</w:t>
            </w:r>
          </w:p>
        </w:tc>
        <w:tc>
          <w:tcPr>
            <w:tcW w:w="2410" w:type="dxa"/>
            <w:vMerge/>
          </w:tcPr>
          <w:p w14:paraId="3E7ED6D7" w14:textId="77777777" w:rsidR="00E11AB5" w:rsidRPr="007F78CE" w:rsidRDefault="00E11AB5" w:rsidP="007F78CE">
            <w:pPr>
              <w:spacing w:after="0" w:line="240" w:lineRule="auto"/>
              <w:rPr>
                <w:rFonts w:ascii="Arial Narrow" w:hAnsi="Arial Narrow"/>
              </w:rPr>
            </w:pPr>
          </w:p>
        </w:tc>
      </w:tr>
      <w:tr w:rsidR="0063584D" w:rsidRPr="007F78CE" w14:paraId="4A8B7F2F" w14:textId="77777777" w:rsidTr="6FF5A665">
        <w:tc>
          <w:tcPr>
            <w:tcW w:w="5382" w:type="dxa"/>
            <w:tcBorders>
              <w:top w:val="single" w:sz="8" w:space="0" w:color="4F81BD"/>
              <w:left w:val="single" w:sz="8" w:space="0" w:color="4F81BD"/>
              <w:bottom w:val="single" w:sz="8" w:space="0" w:color="4F81BD"/>
            </w:tcBorders>
            <w:shd w:val="clear" w:color="auto" w:fill="auto"/>
          </w:tcPr>
          <w:p w14:paraId="0B68000E"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En matière de mise en valeur du patrimoine culturel à des fins commerciales</w:t>
            </w:r>
          </w:p>
          <w:p w14:paraId="2FD6C8AB" w14:textId="77777777" w:rsidR="00E11AB5" w:rsidRPr="00F91FA3" w:rsidRDefault="00E11AB5" w:rsidP="007F78CE">
            <w:pPr>
              <w:autoSpaceDE w:val="0"/>
              <w:autoSpaceDN w:val="0"/>
              <w:adjustRightInd w:val="0"/>
              <w:spacing w:after="0" w:line="240" w:lineRule="auto"/>
              <w:rPr>
                <w:rFonts w:ascii="Arial Narrow" w:hAnsi="Arial Narrow" w:cs="Arial"/>
                <w:bCs/>
              </w:rPr>
            </w:pPr>
            <w:r w:rsidRPr="00F91FA3">
              <w:rPr>
                <w:rFonts w:ascii="Arial Narrow" w:hAnsi="Arial Narrow" w:cs="Arial"/>
                <w:bCs/>
              </w:rPr>
              <w:t>5. Prise en compte des droits des parties prenantes sur les avantages de la mise en valeur du patrimoine culturel</w:t>
            </w:r>
          </w:p>
          <w:p w14:paraId="5DDD08B5"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6. Partage équitable et juste des avantages issus de la mise en valeur du patrimoine culturel à des fins commerciales</w:t>
            </w:r>
          </w:p>
        </w:tc>
        <w:tc>
          <w:tcPr>
            <w:tcW w:w="3544" w:type="dxa"/>
            <w:tcBorders>
              <w:top w:val="single" w:sz="8" w:space="0" w:color="4F81BD"/>
              <w:bottom w:val="single" w:sz="8" w:space="0" w:color="4F81BD"/>
            </w:tcBorders>
            <w:shd w:val="clear" w:color="auto" w:fill="auto"/>
          </w:tcPr>
          <w:p w14:paraId="03A3F7A0" w14:textId="77777777" w:rsidR="00E11AB5" w:rsidRPr="00F91FA3" w:rsidRDefault="00E11AB5" w:rsidP="007F78CE">
            <w:pPr>
              <w:spacing w:after="0" w:line="240" w:lineRule="auto"/>
              <w:rPr>
                <w:rFonts w:ascii="Arial Narrow" w:hAnsi="Arial Narrow" w:cs="Arial"/>
              </w:rPr>
            </w:pPr>
          </w:p>
        </w:tc>
        <w:tc>
          <w:tcPr>
            <w:tcW w:w="2664" w:type="dxa"/>
            <w:tcBorders>
              <w:top w:val="single" w:sz="8" w:space="0" w:color="4F81BD"/>
              <w:bottom w:val="single" w:sz="8" w:space="0" w:color="4F81BD"/>
            </w:tcBorders>
            <w:shd w:val="clear" w:color="auto" w:fill="auto"/>
          </w:tcPr>
          <w:p w14:paraId="445F6FDE" w14:textId="77777777" w:rsidR="00E11AB5" w:rsidRPr="008540E8" w:rsidRDefault="00E11AB5" w:rsidP="007F78CE">
            <w:pPr>
              <w:spacing w:after="0" w:line="240" w:lineRule="auto"/>
              <w:rPr>
                <w:rFonts w:ascii="Arial Narrow" w:hAnsi="Arial Narrow"/>
              </w:rPr>
            </w:pPr>
            <w:r w:rsidRPr="008540E8">
              <w:rPr>
                <w:rFonts w:ascii="Arial Narrow" w:hAnsi="Arial Narrow"/>
                <w:i/>
              </w:rPr>
              <w:t xml:space="preserve">Néant </w:t>
            </w:r>
          </w:p>
        </w:tc>
        <w:tc>
          <w:tcPr>
            <w:tcW w:w="2410" w:type="dxa"/>
            <w:vMerge/>
          </w:tcPr>
          <w:p w14:paraId="1C538113" w14:textId="77777777" w:rsidR="00E11AB5" w:rsidRPr="007F78CE" w:rsidRDefault="00E11AB5" w:rsidP="007F78CE">
            <w:pPr>
              <w:spacing w:after="0" w:line="240" w:lineRule="auto"/>
              <w:rPr>
                <w:rFonts w:ascii="Arial Narrow" w:hAnsi="Arial Narrow"/>
                <w:i/>
              </w:rPr>
            </w:pPr>
          </w:p>
        </w:tc>
      </w:tr>
      <w:tr w:rsidR="00742D67" w:rsidRPr="00742D67" w14:paraId="28804538" w14:textId="77777777" w:rsidTr="00784347">
        <w:tc>
          <w:tcPr>
            <w:tcW w:w="14000" w:type="dxa"/>
            <w:gridSpan w:val="4"/>
            <w:tcBorders>
              <w:top w:val="single" w:sz="8" w:space="0" w:color="4F81BD"/>
              <w:left w:val="single" w:sz="8" w:space="0" w:color="4F81BD"/>
              <w:bottom w:val="single" w:sz="8" w:space="0" w:color="4F81BD"/>
            </w:tcBorders>
            <w:shd w:val="clear" w:color="auto" w:fill="FFFF00"/>
          </w:tcPr>
          <w:p w14:paraId="649AFA46" w14:textId="77777777" w:rsidR="00784347" w:rsidRPr="00742D67" w:rsidRDefault="00784347" w:rsidP="00784347">
            <w:pPr>
              <w:spacing w:before="120" w:after="120" w:line="240" w:lineRule="auto"/>
              <w:jc w:val="center"/>
              <w:rPr>
                <w:rFonts w:ascii="Arial" w:hAnsi="Arial" w:cs="Arial"/>
                <w:b/>
                <w:bCs/>
                <w:sz w:val="24"/>
                <w:szCs w:val="24"/>
              </w:rPr>
            </w:pPr>
            <w:r w:rsidRPr="00742D67">
              <w:rPr>
                <w:rFonts w:ascii="Arial" w:hAnsi="Arial" w:cs="Arial"/>
                <w:b/>
                <w:bCs/>
                <w:sz w:val="24"/>
                <w:szCs w:val="24"/>
              </w:rPr>
              <w:t xml:space="preserve">NES9 et cadre national </w:t>
            </w:r>
          </w:p>
        </w:tc>
      </w:tr>
      <w:tr w:rsidR="00742D67" w:rsidRPr="00742D67" w14:paraId="3CCEC369" w14:textId="77777777" w:rsidTr="6FF5A665">
        <w:tc>
          <w:tcPr>
            <w:tcW w:w="5382" w:type="dxa"/>
            <w:tcBorders>
              <w:top w:val="single" w:sz="8" w:space="0" w:color="4F81BD"/>
              <w:left w:val="single" w:sz="8" w:space="0" w:color="4F81BD"/>
              <w:bottom w:val="single" w:sz="8" w:space="0" w:color="4F81BD"/>
            </w:tcBorders>
            <w:shd w:val="clear" w:color="auto" w:fill="auto"/>
          </w:tcPr>
          <w:p w14:paraId="5BEC3D80" w14:textId="77777777" w:rsidR="007718D0" w:rsidRPr="00F91FA3" w:rsidRDefault="007718D0" w:rsidP="007F78CE">
            <w:pPr>
              <w:spacing w:after="0" w:line="240" w:lineRule="auto"/>
              <w:rPr>
                <w:rFonts w:ascii="Arial Narrow" w:hAnsi="Arial Narrow" w:cs="Arial"/>
                <w:bCs/>
              </w:rPr>
            </w:pPr>
          </w:p>
        </w:tc>
        <w:tc>
          <w:tcPr>
            <w:tcW w:w="3544" w:type="dxa"/>
            <w:tcBorders>
              <w:top w:val="single" w:sz="8" w:space="0" w:color="4F81BD"/>
              <w:bottom w:val="single" w:sz="8" w:space="0" w:color="4F81BD"/>
            </w:tcBorders>
            <w:shd w:val="clear" w:color="auto" w:fill="auto"/>
          </w:tcPr>
          <w:p w14:paraId="11002E45" w14:textId="77777777" w:rsidR="007718D0" w:rsidRPr="00742D67" w:rsidRDefault="007718D0" w:rsidP="00B46FC4">
            <w:pPr>
              <w:spacing w:after="0" w:line="240" w:lineRule="auto"/>
              <w:rPr>
                <w:rFonts w:ascii="Arial Narrow" w:hAnsi="Arial Narrow" w:cs="Arial"/>
              </w:rPr>
            </w:pPr>
            <w:r w:rsidRPr="00742D67">
              <w:rPr>
                <w:rFonts w:ascii="Arial Narrow" w:hAnsi="Arial Narrow" w:cs="Arial"/>
              </w:rPr>
              <w:t>Obligation de mise en place et maintien d’un</w:t>
            </w:r>
            <w:r w:rsidR="004C2CB7">
              <w:rPr>
                <w:rFonts w:ascii="Arial Narrow" w:hAnsi="Arial Narrow" w:cs="Arial"/>
              </w:rPr>
              <w:t xml:space="preserve"> </w:t>
            </w:r>
            <w:r w:rsidR="004C2CB7" w:rsidRPr="00FB04F6">
              <w:rPr>
                <w:rFonts w:ascii="Arial Narrow" w:hAnsi="Arial Narrow"/>
                <w:sz w:val="20"/>
                <w:lang w:eastAsia="fr-FR"/>
              </w:rPr>
              <w:t xml:space="preserve">Système de Gestion Environnementale </w:t>
            </w:r>
            <w:r w:rsidR="004C2CB7" w:rsidRPr="00FB04F6">
              <w:rPr>
                <w:rFonts w:ascii="Arial Narrow" w:hAnsi="Arial Narrow"/>
              </w:rPr>
              <w:t>et sociale</w:t>
            </w:r>
            <w:r w:rsidRPr="00742D67">
              <w:rPr>
                <w:rFonts w:ascii="Arial Narrow" w:hAnsi="Arial Narrow" w:cs="Arial"/>
              </w:rPr>
              <w:t xml:space="preserve"> </w:t>
            </w:r>
            <w:r w:rsidR="004C2CB7">
              <w:rPr>
                <w:rFonts w:ascii="Arial Narrow" w:hAnsi="Arial Narrow" w:cs="Arial"/>
              </w:rPr>
              <w:t>(</w:t>
            </w:r>
            <w:r w:rsidRPr="00742D67">
              <w:rPr>
                <w:rFonts w:ascii="Arial Narrow" w:hAnsi="Arial Narrow" w:cs="Arial"/>
              </w:rPr>
              <w:t>SGES</w:t>
            </w:r>
            <w:r w:rsidR="004C2CB7">
              <w:rPr>
                <w:rFonts w:ascii="Arial Narrow" w:hAnsi="Arial Narrow" w:cs="Arial"/>
              </w:rPr>
              <w:t>)</w:t>
            </w:r>
            <w:r w:rsidRPr="00742D67">
              <w:rPr>
                <w:rFonts w:ascii="Arial Narrow" w:hAnsi="Arial Narrow" w:cs="Arial"/>
              </w:rPr>
              <w:t xml:space="preserve"> par les IF afin d’identifier, d’évaluer, de gérer et de suivre en permanence les risques et effets environnementaux et sociaux des sous</w:t>
            </w:r>
            <w:r w:rsidR="006A45F1" w:rsidRPr="00742D67">
              <w:rPr>
                <w:rFonts w:ascii="Arial Narrow" w:hAnsi="Arial Narrow" w:cs="Arial"/>
              </w:rPr>
              <w:t>_</w:t>
            </w:r>
            <w:r w:rsidRPr="00742D67">
              <w:rPr>
                <w:rFonts w:ascii="Arial Narrow" w:hAnsi="Arial Narrow" w:cs="Arial"/>
              </w:rPr>
              <w:t>projet</w:t>
            </w:r>
            <w:r w:rsidR="006A45F1" w:rsidRPr="00742D67">
              <w:rPr>
                <w:rFonts w:ascii="Arial Narrow" w:hAnsi="Arial Narrow" w:cs="Arial"/>
              </w:rPr>
              <w:t>s</w:t>
            </w:r>
            <w:r w:rsidRPr="00742D67">
              <w:rPr>
                <w:rFonts w:ascii="Arial Narrow" w:hAnsi="Arial Narrow" w:cs="Arial"/>
              </w:rPr>
              <w:t xml:space="preserve"> des IF </w:t>
            </w:r>
          </w:p>
        </w:tc>
        <w:tc>
          <w:tcPr>
            <w:tcW w:w="2664" w:type="dxa"/>
            <w:tcBorders>
              <w:top w:val="single" w:sz="8" w:space="0" w:color="4F81BD"/>
              <w:bottom w:val="single" w:sz="8" w:space="0" w:color="4F81BD"/>
            </w:tcBorders>
            <w:shd w:val="clear" w:color="auto" w:fill="auto"/>
          </w:tcPr>
          <w:p w14:paraId="4EFBCD94" w14:textId="77777777" w:rsidR="007718D0" w:rsidRPr="00742D67" w:rsidRDefault="007718D0" w:rsidP="007F78CE">
            <w:pPr>
              <w:spacing w:after="0" w:line="240" w:lineRule="auto"/>
              <w:rPr>
                <w:rFonts w:ascii="Arial Narrow" w:hAnsi="Arial Narrow"/>
                <w:i/>
              </w:rPr>
            </w:pPr>
          </w:p>
        </w:tc>
        <w:tc>
          <w:tcPr>
            <w:tcW w:w="2410" w:type="dxa"/>
            <w:vMerge w:val="restart"/>
          </w:tcPr>
          <w:p w14:paraId="2D0A8FAB" w14:textId="77777777" w:rsidR="007718D0" w:rsidRPr="00F01166" w:rsidRDefault="007718D0" w:rsidP="007F78CE">
            <w:pPr>
              <w:spacing w:after="0" w:line="240" w:lineRule="auto"/>
              <w:rPr>
                <w:rFonts w:ascii="Arial Narrow" w:hAnsi="Arial Narrow"/>
                <w:iCs/>
              </w:rPr>
            </w:pPr>
            <w:r w:rsidRPr="00F01166">
              <w:rPr>
                <w:rFonts w:ascii="Arial Narrow" w:hAnsi="Arial Narrow"/>
                <w:iCs/>
              </w:rPr>
              <w:t>Préparation d’un SGES par l’IF</w:t>
            </w:r>
          </w:p>
          <w:p w14:paraId="093651FD" w14:textId="77777777" w:rsidR="007718D0" w:rsidRPr="00F01166" w:rsidRDefault="007718D0" w:rsidP="007F78CE">
            <w:pPr>
              <w:spacing w:after="0" w:line="240" w:lineRule="auto"/>
              <w:rPr>
                <w:rFonts w:ascii="Arial Narrow" w:hAnsi="Arial Narrow"/>
                <w:iCs/>
              </w:rPr>
            </w:pPr>
            <w:r w:rsidRPr="00F01166">
              <w:rPr>
                <w:rFonts w:ascii="Arial Narrow" w:hAnsi="Arial Narrow"/>
                <w:iCs/>
              </w:rPr>
              <w:t>Mise en place d’un système de classification environnementale et sociale</w:t>
            </w:r>
          </w:p>
          <w:p w14:paraId="03F4199A" w14:textId="77777777" w:rsidR="007718D0" w:rsidRPr="00F01166" w:rsidRDefault="007718D0" w:rsidP="007F78CE">
            <w:pPr>
              <w:spacing w:after="0" w:line="240" w:lineRule="auto"/>
              <w:rPr>
                <w:rFonts w:ascii="Arial Narrow" w:hAnsi="Arial Narrow"/>
                <w:iCs/>
              </w:rPr>
            </w:pPr>
            <w:r w:rsidRPr="00F01166">
              <w:rPr>
                <w:rFonts w:ascii="Arial Narrow" w:hAnsi="Arial Narrow"/>
                <w:iCs/>
              </w:rPr>
              <w:t xml:space="preserve">Préparation d’un Procédure de gestion de la main d’œuvre </w:t>
            </w:r>
          </w:p>
          <w:p w14:paraId="4686CF62" w14:textId="77777777" w:rsidR="007718D0" w:rsidRPr="00742D67" w:rsidRDefault="007718D0" w:rsidP="007F78CE">
            <w:pPr>
              <w:spacing w:after="0" w:line="240" w:lineRule="auto"/>
              <w:rPr>
                <w:rFonts w:ascii="Arial Narrow" w:hAnsi="Arial Narrow"/>
                <w:i/>
              </w:rPr>
            </w:pPr>
            <w:r w:rsidRPr="00F01166">
              <w:rPr>
                <w:rFonts w:ascii="Arial Narrow" w:hAnsi="Arial Narrow"/>
                <w:iCs/>
              </w:rPr>
              <w:t>Préparation d’un</w:t>
            </w:r>
            <w:r w:rsidR="006A45F1" w:rsidRPr="00F01166">
              <w:rPr>
                <w:rFonts w:ascii="Arial Narrow" w:hAnsi="Arial Narrow"/>
                <w:iCs/>
              </w:rPr>
              <w:t>e</w:t>
            </w:r>
            <w:r w:rsidRPr="00F01166">
              <w:rPr>
                <w:rFonts w:ascii="Arial Narrow" w:hAnsi="Arial Narrow"/>
                <w:iCs/>
              </w:rPr>
              <w:t xml:space="preserve"> procédure relative au MGP</w:t>
            </w:r>
          </w:p>
        </w:tc>
      </w:tr>
      <w:tr w:rsidR="007718D0" w:rsidRPr="00742D67" w14:paraId="0E17B3EC" w14:textId="77777777" w:rsidTr="6FF5A665">
        <w:tc>
          <w:tcPr>
            <w:tcW w:w="5382" w:type="dxa"/>
            <w:tcBorders>
              <w:top w:val="single" w:sz="8" w:space="0" w:color="4F81BD"/>
              <w:left w:val="single" w:sz="8" w:space="0" w:color="4F81BD"/>
              <w:bottom w:val="single" w:sz="8" w:space="0" w:color="4F81BD"/>
            </w:tcBorders>
            <w:shd w:val="clear" w:color="auto" w:fill="auto"/>
          </w:tcPr>
          <w:p w14:paraId="632B60B2" w14:textId="77777777" w:rsidR="007718D0" w:rsidRPr="00742D67" w:rsidRDefault="007718D0" w:rsidP="007F78CE">
            <w:pPr>
              <w:spacing w:after="0" w:line="240" w:lineRule="auto"/>
              <w:rPr>
                <w:rFonts w:ascii="Arial Narrow" w:hAnsi="Arial Narrow" w:cs="Arial"/>
                <w:bCs/>
              </w:rPr>
            </w:pPr>
            <w:r w:rsidRPr="00742D67">
              <w:rPr>
                <w:rFonts w:ascii="Arial Narrow" w:hAnsi="Arial Narrow" w:cs="Arial"/>
              </w:rPr>
              <w:t>Fourniture d’un cadre de travail s</w:t>
            </w:r>
            <w:r w:rsidR="001571F7">
              <w:rPr>
                <w:rFonts w:ascii="Arial Narrow" w:hAnsi="Arial Narrow" w:cs="Arial"/>
              </w:rPr>
              <w:t>û</w:t>
            </w:r>
            <w:r w:rsidRPr="00742D67">
              <w:rPr>
                <w:rFonts w:ascii="Arial Narrow" w:hAnsi="Arial Narrow" w:cs="Arial"/>
              </w:rPr>
              <w:t xml:space="preserve">r et sain  </w:t>
            </w:r>
          </w:p>
        </w:tc>
        <w:tc>
          <w:tcPr>
            <w:tcW w:w="3544" w:type="dxa"/>
            <w:tcBorders>
              <w:top w:val="single" w:sz="8" w:space="0" w:color="4F81BD"/>
              <w:bottom w:val="single" w:sz="8" w:space="0" w:color="4F81BD"/>
            </w:tcBorders>
            <w:shd w:val="clear" w:color="auto" w:fill="auto"/>
          </w:tcPr>
          <w:p w14:paraId="1229666E" w14:textId="77777777" w:rsidR="007718D0" w:rsidRPr="00742D67" w:rsidRDefault="007718D0" w:rsidP="007F78CE">
            <w:pPr>
              <w:spacing w:after="0" w:line="240" w:lineRule="auto"/>
              <w:rPr>
                <w:rFonts w:ascii="Arial Narrow" w:hAnsi="Arial Narrow" w:cs="Arial"/>
              </w:rPr>
            </w:pPr>
            <w:r w:rsidRPr="00742D67">
              <w:rPr>
                <w:rFonts w:ascii="Arial Narrow" w:hAnsi="Arial Narrow" w:cs="Arial"/>
              </w:rPr>
              <w:t>Mise en place et maintien d’une procédure approprié</w:t>
            </w:r>
            <w:r w:rsidR="004C2CB7">
              <w:rPr>
                <w:rFonts w:ascii="Arial Narrow" w:hAnsi="Arial Narrow" w:cs="Arial"/>
              </w:rPr>
              <w:t>e</w:t>
            </w:r>
            <w:r w:rsidRPr="00742D67">
              <w:rPr>
                <w:rFonts w:ascii="Arial Narrow" w:hAnsi="Arial Narrow" w:cs="Arial"/>
              </w:rPr>
              <w:t xml:space="preserve"> de gestion de la main d’œuvre y compris les procédures relatives à la condition de travail et d’emploi aux principes de non-discrimination et </w:t>
            </w:r>
            <w:r w:rsidR="004C2CB7">
              <w:rPr>
                <w:rFonts w:ascii="Arial Narrow" w:hAnsi="Arial Narrow" w:cs="Arial"/>
              </w:rPr>
              <w:t>d’</w:t>
            </w:r>
            <w:r w:rsidRPr="00742D67">
              <w:rPr>
                <w:rFonts w:ascii="Arial Narrow" w:hAnsi="Arial Narrow" w:cs="Arial"/>
              </w:rPr>
              <w:t xml:space="preserve">égalité des chances à </w:t>
            </w:r>
            <w:r w:rsidR="004C2CB7">
              <w:rPr>
                <w:rFonts w:ascii="Arial Narrow" w:hAnsi="Arial Narrow" w:cs="Arial"/>
              </w:rPr>
              <w:t xml:space="preserve">la </w:t>
            </w:r>
            <w:r w:rsidRPr="00742D67">
              <w:rPr>
                <w:rFonts w:ascii="Arial Narrow" w:hAnsi="Arial Narrow" w:cs="Arial"/>
              </w:rPr>
              <w:t xml:space="preserve">santé et sécurité au travail </w:t>
            </w:r>
          </w:p>
        </w:tc>
        <w:tc>
          <w:tcPr>
            <w:tcW w:w="2664" w:type="dxa"/>
            <w:tcBorders>
              <w:top w:val="single" w:sz="8" w:space="0" w:color="4F81BD"/>
              <w:bottom w:val="single" w:sz="8" w:space="0" w:color="4F81BD"/>
            </w:tcBorders>
            <w:shd w:val="clear" w:color="auto" w:fill="auto"/>
          </w:tcPr>
          <w:p w14:paraId="594B54AA" w14:textId="77777777" w:rsidR="007718D0" w:rsidRPr="00742D67" w:rsidRDefault="007718D0" w:rsidP="007F78CE">
            <w:pPr>
              <w:spacing w:after="0" w:line="240" w:lineRule="auto"/>
              <w:rPr>
                <w:rFonts w:ascii="Arial Narrow" w:hAnsi="Arial Narrow"/>
                <w:i/>
              </w:rPr>
            </w:pPr>
          </w:p>
        </w:tc>
        <w:tc>
          <w:tcPr>
            <w:tcW w:w="2410" w:type="dxa"/>
            <w:vMerge/>
          </w:tcPr>
          <w:p w14:paraId="39FBDB45" w14:textId="77777777" w:rsidR="007718D0" w:rsidRPr="00742D67" w:rsidRDefault="007718D0" w:rsidP="007F78CE">
            <w:pPr>
              <w:spacing w:after="0" w:line="240" w:lineRule="auto"/>
              <w:rPr>
                <w:rFonts w:ascii="Arial Narrow" w:hAnsi="Arial Narrow"/>
                <w:i/>
              </w:rPr>
            </w:pPr>
          </w:p>
        </w:tc>
      </w:tr>
      <w:tr w:rsidR="007718D0" w:rsidRPr="00742D67" w14:paraId="720D2DC1" w14:textId="77777777" w:rsidTr="6FF5A665">
        <w:tc>
          <w:tcPr>
            <w:tcW w:w="5382" w:type="dxa"/>
            <w:tcBorders>
              <w:top w:val="single" w:sz="8" w:space="0" w:color="4F81BD"/>
              <w:left w:val="single" w:sz="8" w:space="0" w:color="4F81BD"/>
              <w:bottom w:val="single" w:sz="8" w:space="0" w:color="4F81BD"/>
            </w:tcBorders>
            <w:shd w:val="clear" w:color="auto" w:fill="auto"/>
          </w:tcPr>
          <w:p w14:paraId="3E5E0DA5" w14:textId="77777777" w:rsidR="007718D0" w:rsidRPr="00F91FA3" w:rsidRDefault="007718D0" w:rsidP="007F78CE">
            <w:pPr>
              <w:spacing w:after="0" w:line="240" w:lineRule="auto"/>
              <w:rPr>
                <w:rFonts w:ascii="Arial Narrow" w:hAnsi="Arial Narrow" w:cs="Arial"/>
                <w:bCs/>
              </w:rPr>
            </w:pPr>
          </w:p>
        </w:tc>
        <w:tc>
          <w:tcPr>
            <w:tcW w:w="3544" w:type="dxa"/>
            <w:tcBorders>
              <w:top w:val="single" w:sz="8" w:space="0" w:color="4F81BD"/>
              <w:bottom w:val="single" w:sz="8" w:space="0" w:color="4F81BD"/>
            </w:tcBorders>
            <w:shd w:val="clear" w:color="auto" w:fill="auto"/>
          </w:tcPr>
          <w:p w14:paraId="393E5386" w14:textId="77777777" w:rsidR="007718D0" w:rsidRPr="00742D67" w:rsidRDefault="007718D0" w:rsidP="00283324">
            <w:pPr>
              <w:spacing w:after="0" w:line="240" w:lineRule="auto"/>
              <w:rPr>
                <w:rFonts w:ascii="Arial Narrow" w:hAnsi="Arial Narrow" w:cs="Arial"/>
              </w:rPr>
            </w:pPr>
            <w:r w:rsidRPr="00742D67">
              <w:rPr>
                <w:rFonts w:ascii="Arial Narrow" w:hAnsi="Arial Narrow" w:cs="Arial"/>
                <w:bCs/>
              </w:rPr>
              <w:t xml:space="preserve">Mise en place des procédures relative au MGP </w:t>
            </w:r>
          </w:p>
        </w:tc>
        <w:tc>
          <w:tcPr>
            <w:tcW w:w="2664" w:type="dxa"/>
            <w:tcBorders>
              <w:top w:val="single" w:sz="8" w:space="0" w:color="4F81BD"/>
              <w:bottom w:val="single" w:sz="8" w:space="0" w:color="4F81BD"/>
            </w:tcBorders>
            <w:shd w:val="clear" w:color="auto" w:fill="auto"/>
          </w:tcPr>
          <w:p w14:paraId="27171AB1" w14:textId="77777777" w:rsidR="007718D0" w:rsidRPr="00742D67" w:rsidRDefault="007718D0" w:rsidP="007F78CE">
            <w:pPr>
              <w:spacing w:after="0" w:line="240" w:lineRule="auto"/>
              <w:rPr>
                <w:rFonts w:ascii="Arial Narrow" w:hAnsi="Arial Narrow"/>
                <w:i/>
              </w:rPr>
            </w:pPr>
          </w:p>
        </w:tc>
        <w:tc>
          <w:tcPr>
            <w:tcW w:w="2410" w:type="dxa"/>
            <w:vMerge/>
          </w:tcPr>
          <w:p w14:paraId="3C67B811" w14:textId="77777777" w:rsidR="007718D0" w:rsidRPr="00742D67" w:rsidRDefault="007718D0" w:rsidP="007F78CE">
            <w:pPr>
              <w:spacing w:after="0" w:line="240" w:lineRule="auto"/>
              <w:rPr>
                <w:rFonts w:ascii="Arial Narrow" w:hAnsi="Arial Narrow"/>
                <w:i/>
              </w:rPr>
            </w:pPr>
          </w:p>
        </w:tc>
      </w:tr>
      <w:tr w:rsidR="007718D0" w:rsidRPr="00742D67" w14:paraId="6AC5521A" w14:textId="77777777" w:rsidTr="6FF5A665">
        <w:tc>
          <w:tcPr>
            <w:tcW w:w="5382" w:type="dxa"/>
            <w:tcBorders>
              <w:top w:val="single" w:sz="8" w:space="0" w:color="4F81BD"/>
              <w:left w:val="single" w:sz="8" w:space="0" w:color="4F81BD"/>
              <w:bottom w:val="single" w:sz="8" w:space="0" w:color="4F81BD"/>
            </w:tcBorders>
            <w:shd w:val="clear" w:color="auto" w:fill="auto"/>
          </w:tcPr>
          <w:p w14:paraId="7EA12D2F" w14:textId="77777777" w:rsidR="007718D0" w:rsidRPr="00F91FA3" w:rsidRDefault="007718D0" w:rsidP="007F78CE">
            <w:pPr>
              <w:spacing w:after="0" w:line="240" w:lineRule="auto"/>
              <w:rPr>
                <w:rFonts w:ascii="Arial Narrow" w:hAnsi="Arial Narrow" w:cs="Arial"/>
                <w:bCs/>
              </w:rPr>
            </w:pPr>
          </w:p>
        </w:tc>
        <w:tc>
          <w:tcPr>
            <w:tcW w:w="3544" w:type="dxa"/>
            <w:tcBorders>
              <w:top w:val="single" w:sz="8" w:space="0" w:color="4F81BD"/>
              <w:bottom w:val="single" w:sz="8" w:space="0" w:color="4F81BD"/>
            </w:tcBorders>
            <w:shd w:val="clear" w:color="auto" w:fill="auto"/>
          </w:tcPr>
          <w:p w14:paraId="084F6FD2" w14:textId="77777777" w:rsidR="007718D0" w:rsidRPr="00742D67" w:rsidRDefault="007718D0" w:rsidP="007F78CE">
            <w:pPr>
              <w:spacing w:after="0" w:line="240" w:lineRule="auto"/>
              <w:rPr>
                <w:rFonts w:ascii="Arial Narrow" w:hAnsi="Arial Narrow" w:cs="Arial"/>
                <w:bCs/>
              </w:rPr>
            </w:pPr>
            <w:r w:rsidRPr="00742D67">
              <w:rPr>
                <w:rFonts w:ascii="Arial Narrow" w:hAnsi="Arial Narrow" w:cs="Arial"/>
                <w:bCs/>
              </w:rPr>
              <w:t>Fourniture des documents appropriés par l’IF attestant l’existence de tel</w:t>
            </w:r>
            <w:r w:rsidR="00C14DA9">
              <w:rPr>
                <w:rFonts w:ascii="Arial Narrow" w:hAnsi="Arial Narrow" w:cs="Arial"/>
                <w:bCs/>
              </w:rPr>
              <w:t>le</w:t>
            </w:r>
            <w:r w:rsidRPr="00742D67">
              <w:rPr>
                <w:rFonts w:ascii="Arial Narrow" w:hAnsi="Arial Narrow" w:cs="Arial"/>
                <w:bCs/>
              </w:rPr>
              <w:t xml:space="preserve"> procédure  </w:t>
            </w:r>
          </w:p>
        </w:tc>
        <w:tc>
          <w:tcPr>
            <w:tcW w:w="2664" w:type="dxa"/>
            <w:tcBorders>
              <w:top w:val="single" w:sz="8" w:space="0" w:color="4F81BD"/>
              <w:bottom w:val="single" w:sz="8" w:space="0" w:color="4F81BD"/>
            </w:tcBorders>
            <w:shd w:val="clear" w:color="auto" w:fill="auto"/>
          </w:tcPr>
          <w:p w14:paraId="6A81759F" w14:textId="77777777" w:rsidR="007718D0" w:rsidRPr="00742D67" w:rsidRDefault="007718D0" w:rsidP="007F78CE">
            <w:pPr>
              <w:spacing w:after="0" w:line="240" w:lineRule="auto"/>
              <w:rPr>
                <w:rFonts w:ascii="Arial Narrow" w:hAnsi="Arial Narrow"/>
                <w:i/>
              </w:rPr>
            </w:pPr>
          </w:p>
        </w:tc>
        <w:tc>
          <w:tcPr>
            <w:tcW w:w="2410" w:type="dxa"/>
            <w:vMerge/>
          </w:tcPr>
          <w:p w14:paraId="038A46A8" w14:textId="77777777" w:rsidR="007718D0" w:rsidRPr="00742D67" w:rsidRDefault="007718D0" w:rsidP="007F78CE">
            <w:pPr>
              <w:spacing w:after="0" w:line="240" w:lineRule="auto"/>
              <w:rPr>
                <w:rFonts w:ascii="Arial Narrow" w:hAnsi="Arial Narrow"/>
                <w:i/>
              </w:rPr>
            </w:pPr>
          </w:p>
        </w:tc>
      </w:tr>
      <w:tr w:rsidR="007718D0" w:rsidRPr="007F78CE" w14:paraId="13CE4759" w14:textId="77777777" w:rsidTr="6FF5A665">
        <w:tc>
          <w:tcPr>
            <w:tcW w:w="5382" w:type="dxa"/>
            <w:tcBorders>
              <w:top w:val="single" w:sz="8" w:space="0" w:color="4F81BD"/>
              <w:left w:val="single" w:sz="8" w:space="0" w:color="4F81BD"/>
              <w:bottom w:val="single" w:sz="8" w:space="0" w:color="4F81BD"/>
            </w:tcBorders>
            <w:shd w:val="clear" w:color="auto" w:fill="auto"/>
          </w:tcPr>
          <w:p w14:paraId="2EEB9CB1" w14:textId="77777777" w:rsidR="007718D0" w:rsidRPr="00F91FA3" w:rsidRDefault="007718D0" w:rsidP="007F78CE">
            <w:pPr>
              <w:spacing w:after="0" w:line="240" w:lineRule="auto"/>
              <w:rPr>
                <w:rFonts w:ascii="Arial Narrow" w:hAnsi="Arial Narrow" w:cs="Arial"/>
                <w:bCs/>
              </w:rPr>
            </w:pPr>
          </w:p>
        </w:tc>
        <w:tc>
          <w:tcPr>
            <w:tcW w:w="3544" w:type="dxa"/>
            <w:tcBorders>
              <w:top w:val="single" w:sz="8" w:space="0" w:color="4F81BD"/>
              <w:bottom w:val="single" w:sz="8" w:space="0" w:color="4F81BD"/>
            </w:tcBorders>
            <w:shd w:val="clear" w:color="auto" w:fill="auto"/>
          </w:tcPr>
          <w:p w14:paraId="1FE705D9" w14:textId="77777777" w:rsidR="007718D0" w:rsidRPr="00742D67" w:rsidRDefault="007718D0" w:rsidP="002A3A51">
            <w:pPr>
              <w:spacing w:after="0" w:line="240" w:lineRule="auto"/>
              <w:rPr>
                <w:rFonts w:ascii="Arial Narrow" w:hAnsi="Arial Narrow" w:cs="Arial"/>
              </w:rPr>
            </w:pPr>
            <w:r w:rsidRPr="00742D67">
              <w:rPr>
                <w:rFonts w:ascii="Arial Narrow" w:hAnsi="Arial Narrow" w:cs="Arial"/>
              </w:rPr>
              <w:t xml:space="preserve">Elaboration et adoption d’un système de classification de sous projet </w:t>
            </w:r>
          </w:p>
        </w:tc>
        <w:tc>
          <w:tcPr>
            <w:tcW w:w="2664" w:type="dxa"/>
            <w:tcBorders>
              <w:top w:val="single" w:sz="8" w:space="0" w:color="4F81BD"/>
              <w:bottom w:val="single" w:sz="8" w:space="0" w:color="4F81BD"/>
            </w:tcBorders>
            <w:shd w:val="clear" w:color="auto" w:fill="auto"/>
          </w:tcPr>
          <w:p w14:paraId="7CD81D9C" w14:textId="77777777" w:rsidR="007718D0" w:rsidRPr="0025561B" w:rsidRDefault="007718D0" w:rsidP="007F78CE">
            <w:pPr>
              <w:spacing w:after="0" w:line="240" w:lineRule="auto"/>
              <w:rPr>
                <w:rFonts w:ascii="Arial Narrow" w:hAnsi="Arial Narrow"/>
                <w:i/>
                <w:color w:val="FF0000"/>
              </w:rPr>
            </w:pPr>
          </w:p>
        </w:tc>
        <w:tc>
          <w:tcPr>
            <w:tcW w:w="2410" w:type="dxa"/>
            <w:vMerge/>
          </w:tcPr>
          <w:p w14:paraId="09F4EA54" w14:textId="77777777" w:rsidR="007718D0" w:rsidRPr="007F78CE" w:rsidRDefault="007718D0" w:rsidP="007F78CE">
            <w:pPr>
              <w:spacing w:after="0" w:line="240" w:lineRule="auto"/>
              <w:rPr>
                <w:rFonts w:ascii="Arial Narrow" w:hAnsi="Arial Narrow"/>
                <w:i/>
              </w:rPr>
            </w:pPr>
          </w:p>
        </w:tc>
      </w:tr>
      <w:tr w:rsidR="00E11AB5" w:rsidRPr="007F78CE" w14:paraId="245D1816" w14:textId="77777777" w:rsidTr="007F78CE">
        <w:tc>
          <w:tcPr>
            <w:tcW w:w="14000" w:type="dxa"/>
            <w:gridSpan w:val="4"/>
            <w:shd w:val="clear" w:color="auto" w:fill="FFFF00"/>
          </w:tcPr>
          <w:p w14:paraId="6B93E8F6" w14:textId="77777777" w:rsidR="00E11AB5" w:rsidRPr="007F78CE" w:rsidRDefault="00E11AB5" w:rsidP="007F78CE">
            <w:pPr>
              <w:spacing w:before="120" w:after="120" w:line="240" w:lineRule="auto"/>
              <w:jc w:val="center"/>
              <w:rPr>
                <w:rFonts w:ascii="Arial" w:hAnsi="Arial" w:cs="Arial"/>
                <w:b/>
                <w:bCs/>
                <w:sz w:val="24"/>
                <w:szCs w:val="24"/>
              </w:rPr>
            </w:pPr>
            <w:r w:rsidRPr="007F78CE">
              <w:rPr>
                <w:rFonts w:ascii="Arial" w:hAnsi="Arial" w:cs="Arial"/>
                <w:b/>
                <w:bCs/>
                <w:sz w:val="24"/>
                <w:szCs w:val="24"/>
              </w:rPr>
              <w:t>NES10 et le cadre national</w:t>
            </w:r>
          </w:p>
        </w:tc>
      </w:tr>
      <w:tr w:rsidR="0063584D" w:rsidRPr="007F78CE" w14:paraId="2924CFC4" w14:textId="77777777" w:rsidTr="007F78CE">
        <w:tc>
          <w:tcPr>
            <w:tcW w:w="5382" w:type="dxa"/>
            <w:tcBorders>
              <w:top w:val="single" w:sz="8" w:space="0" w:color="4F81BD"/>
              <w:left w:val="single" w:sz="8" w:space="0" w:color="4F81BD"/>
              <w:bottom w:val="single" w:sz="8" w:space="0" w:color="4F81BD"/>
            </w:tcBorders>
            <w:shd w:val="clear" w:color="auto" w:fill="auto"/>
          </w:tcPr>
          <w:p w14:paraId="2271BB11" w14:textId="77777777" w:rsidR="00E11AB5" w:rsidRPr="007F78CE" w:rsidRDefault="00E11AB5" w:rsidP="007F78CE">
            <w:pPr>
              <w:spacing w:after="0" w:line="240" w:lineRule="auto"/>
              <w:rPr>
                <w:rFonts w:ascii="Arial" w:hAnsi="Arial" w:cs="Arial"/>
                <w:b/>
                <w:bCs/>
              </w:rPr>
            </w:pPr>
            <w:r w:rsidRPr="007F78CE">
              <w:rPr>
                <w:rFonts w:ascii="Arial" w:hAnsi="Arial" w:cs="Arial"/>
                <w:b/>
                <w:bCs/>
              </w:rPr>
              <w:t>Consultation des parties prenantes</w:t>
            </w:r>
          </w:p>
        </w:tc>
        <w:tc>
          <w:tcPr>
            <w:tcW w:w="3544" w:type="dxa"/>
            <w:tcBorders>
              <w:top w:val="single" w:sz="8" w:space="0" w:color="4F81BD"/>
              <w:bottom w:val="single" w:sz="8" w:space="0" w:color="4F81BD"/>
            </w:tcBorders>
            <w:shd w:val="clear" w:color="auto" w:fill="auto"/>
          </w:tcPr>
          <w:p w14:paraId="00224210" w14:textId="77777777" w:rsidR="00E11AB5" w:rsidRPr="007F78CE" w:rsidRDefault="00E11AB5" w:rsidP="007F78CE">
            <w:pPr>
              <w:spacing w:before="120" w:after="120" w:line="240" w:lineRule="auto"/>
              <w:rPr>
                <w:rFonts w:ascii="Arial" w:hAnsi="Arial" w:cs="Arial"/>
              </w:rPr>
            </w:pPr>
          </w:p>
        </w:tc>
        <w:tc>
          <w:tcPr>
            <w:tcW w:w="2664" w:type="dxa"/>
            <w:tcBorders>
              <w:top w:val="single" w:sz="8" w:space="0" w:color="4F81BD"/>
              <w:bottom w:val="single" w:sz="8" w:space="0" w:color="4F81BD"/>
            </w:tcBorders>
            <w:shd w:val="clear" w:color="auto" w:fill="auto"/>
          </w:tcPr>
          <w:p w14:paraId="3D4D0CD8" w14:textId="77777777" w:rsidR="00E11AB5" w:rsidRPr="007F78CE" w:rsidRDefault="00E11AB5" w:rsidP="007F78CE">
            <w:pPr>
              <w:spacing w:after="0" w:line="240" w:lineRule="auto"/>
              <w:rPr>
                <w:rFonts w:ascii="Arial" w:hAnsi="Arial" w:cs="Arial"/>
              </w:rPr>
            </w:pPr>
          </w:p>
        </w:tc>
        <w:tc>
          <w:tcPr>
            <w:tcW w:w="2410" w:type="dxa"/>
            <w:vMerge w:val="restart"/>
            <w:tcBorders>
              <w:top w:val="single" w:sz="8" w:space="0" w:color="4F81BD"/>
              <w:bottom w:val="single" w:sz="8" w:space="0" w:color="4F81BD"/>
              <w:right w:val="single" w:sz="8" w:space="0" w:color="4F81BD"/>
            </w:tcBorders>
            <w:shd w:val="clear" w:color="auto" w:fill="auto"/>
          </w:tcPr>
          <w:p w14:paraId="4FF29AAD" w14:textId="77777777" w:rsidR="00E11AB5" w:rsidRPr="00742D67" w:rsidRDefault="00E11AB5" w:rsidP="007F78CE">
            <w:pPr>
              <w:pStyle w:val="TableParagraph"/>
              <w:tabs>
                <w:tab w:val="left" w:pos="1324"/>
              </w:tabs>
              <w:spacing w:before="480" w:beforeAutospacing="0" w:after="0" w:afterAutospacing="0"/>
              <w:rPr>
                <w:rFonts w:ascii="Arial Narrow" w:hAnsi="Arial Narrow"/>
              </w:rPr>
            </w:pPr>
            <w:r w:rsidRPr="00742D67">
              <w:rPr>
                <w:rFonts w:ascii="Arial Narrow" w:hAnsi="Arial Narrow"/>
              </w:rPr>
              <w:t>Préparation de PMPP</w:t>
            </w:r>
            <w:r w:rsidR="009F5FE5" w:rsidRPr="00742D67">
              <w:rPr>
                <w:rFonts w:ascii="Arial Narrow" w:hAnsi="Arial Narrow"/>
              </w:rPr>
              <w:t xml:space="preserve"> incluant le MGP global pour le Projet </w:t>
            </w:r>
          </w:p>
        </w:tc>
      </w:tr>
      <w:tr w:rsidR="0063584D" w:rsidRPr="00F91FA3" w14:paraId="24E66A82" w14:textId="77777777" w:rsidTr="6FF5A665">
        <w:tc>
          <w:tcPr>
            <w:tcW w:w="5382" w:type="dxa"/>
            <w:shd w:val="clear" w:color="auto" w:fill="auto"/>
          </w:tcPr>
          <w:p w14:paraId="044361C8" w14:textId="77777777" w:rsidR="00E11AB5" w:rsidRPr="00F91FA3" w:rsidRDefault="00E11AB5" w:rsidP="007F78CE">
            <w:pPr>
              <w:pStyle w:val="TableParagraph"/>
              <w:spacing w:before="120" w:after="120"/>
              <w:ind w:right="57"/>
              <w:jc w:val="both"/>
              <w:rPr>
                <w:rFonts w:ascii="Arial Narrow" w:eastAsia="Calibri" w:hAnsi="Arial Narrow" w:cs="Arial"/>
                <w:bCs/>
              </w:rPr>
            </w:pPr>
            <w:r w:rsidRPr="00F91FA3">
              <w:rPr>
                <w:rFonts w:ascii="Arial Narrow" w:hAnsi="Arial Narrow" w:cs="Arial"/>
                <w:bCs/>
              </w:rPr>
              <w:t>1</w:t>
            </w:r>
            <w:r w:rsidRPr="00F91FA3">
              <w:rPr>
                <w:rFonts w:ascii="Arial Narrow" w:eastAsia="Calibri" w:hAnsi="Arial Narrow" w:cs="Arial"/>
                <w:bCs/>
              </w:rPr>
              <w:t>. Le processus de participation des parties prenantes l’identification et l’analyse des parties prenantes ;</w:t>
            </w:r>
          </w:p>
          <w:p w14:paraId="280AE563" w14:textId="77777777" w:rsidR="00E11AB5" w:rsidRPr="00F91FA3" w:rsidRDefault="00E11AB5" w:rsidP="00687DD2">
            <w:pPr>
              <w:pStyle w:val="TableParagraph"/>
              <w:numPr>
                <w:ilvl w:val="0"/>
                <w:numId w:val="71"/>
              </w:numPr>
              <w:tabs>
                <w:tab w:val="left" w:pos="408"/>
              </w:tabs>
              <w:spacing w:before="120" w:after="120" w:line="240" w:lineRule="auto"/>
              <w:ind w:right="61" w:firstLine="0"/>
              <w:jc w:val="both"/>
              <w:rPr>
                <w:rFonts w:ascii="Arial Narrow" w:hAnsi="Arial Narrow" w:cs="Arial"/>
                <w:b/>
                <w:bCs/>
              </w:rPr>
            </w:pPr>
            <w:r w:rsidRPr="00F91FA3">
              <w:rPr>
                <w:rFonts w:ascii="Arial Narrow" w:hAnsi="Arial Narrow" w:cs="Arial"/>
                <w:bCs/>
              </w:rPr>
              <w:t>la planification sur la manière dont la consultation avec les parties prenantes;</w:t>
            </w:r>
          </w:p>
          <w:p w14:paraId="450ED57D" w14:textId="77777777" w:rsidR="00E11AB5" w:rsidRPr="00F91FA3" w:rsidRDefault="00E11AB5" w:rsidP="00687DD2">
            <w:pPr>
              <w:pStyle w:val="TableParagraph"/>
              <w:numPr>
                <w:ilvl w:val="0"/>
                <w:numId w:val="71"/>
              </w:numPr>
              <w:tabs>
                <w:tab w:val="left" w:pos="420"/>
              </w:tabs>
              <w:spacing w:before="120" w:after="120" w:line="240" w:lineRule="auto"/>
              <w:ind w:left="419" w:hanging="351"/>
              <w:jc w:val="both"/>
              <w:rPr>
                <w:rFonts w:ascii="Arial Narrow" w:hAnsi="Arial Narrow" w:cs="Arial"/>
                <w:b/>
                <w:bCs/>
              </w:rPr>
            </w:pPr>
            <w:r w:rsidRPr="00F91FA3">
              <w:rPr>
                <w:rFonts w:ascii="Arial Narrow" w:hAnsi="Arial Narrow" w:cs="Arial"/>
                <w:bCs/>
              </w:rPr>
              <w:t xml:space="preserve">la diffusion de l’information; </w:t>
            </w:r>
          </w:p>
          <w:p w14:paraId="65210409" w14:textId="77777777" w:rsidR="00E11AB5" w:rsidRPr="00F91FA3" w:rsidRDefault="00E11AB5" w:rsidP="00687DD2">
            <w:pPr>
              <w:pStyle w:val="TableParagraph"/>
              <w:numPr>
                <w:ilvl w:val="0"/>
                <w:numId w:val="71"/>
              </w:numPr>
              <w:tabs>
                <w:tab w:val="left" w:pos="406"/>
              </w:tabs>
              <w:spacing w:before="120" w:after="120" w:line="240" w:lineRule="auto"/>
              <w:ind w:hanging="7"/>
              <w:jc w:val="both"/>
              <w:rPr>
                <w:rFonts w:ascii="Arial Narrow" w:hAnsi="Arial Narrow" w:cs="Arial"/>
                <w:b/>
                <w:bCs/>
              </w:rPr>
            </w:pPr>
            <w:r w:rsidRPr="00F91FA3">
              <w:rPr>
                <w:rFonts w:ascii="Arial Narrow" w:hAnsi="Arial Narrow" w:cs="Arial"/>
                <w:bCs/>
              </w:rPr>
              <w:t xml:space="preserve">la consultation avec les parties prenantes </w:t>
            </w:r>
            <w:r w:rsidRPr="00F91FA3">
              <w:rPr>
                <w:rFonts w:ascii="Arial Narrow" w:hAnsi="Arial Narrow" w:cs="Arial"/>
                <w:bCs/>
                <w:w w:val="99"/>
              </w:rPr>
              <w:t>;</w:t>
            </w:r>
          </w:p>
          <w:p w14:paraId="3EA4AF20" w14:textId="77777777" w:rsidR="00E11AB5" w:rsidRPr="00F91FA3" w:rsidRDefault="00E11AB5" w:rsidP="00687DD2">
            <w:pPr>
              <w:pStyle w:val="TableParagraph"/>
              <w:numPr>
                <w:ilvl w:val="0"/>
                <w:numId w:val="71"/>
              </w:numPr>
              <w:tabs>
                <w:tab w:val="left" w:pos="367"/>
              </w:tabs>
              <w:spacing w:before="120" w:after="120" w:line="240" w:lineRule="auto"/>
              <w:ind w:right="64" w:firstLine="0"/>
              <w:rPr>
                <w:rFonts w:ascii="Arial Narrow" w:hAnsi="Arial Narrow" w:cs="Arial"/>
                <w:b/>
                <w:bCs/>
              </w:rPr>
            </w:pPr>
            <w:r w:rsidRPr="00F91FA3">
              <w:rPr>
                <w:rFonts w:ascii="Arial Narrow" w:hAnsi="Arial Narrow" w:cs="Arial"/>
                <w:bCs/>
              </w:rPr>
              <w:t xml:space="preserve">le traitement et la réponse aux plaintes ; </w:t>
            </w:r>
          </w:p>
          <w:p w14:paraId="4EDF4101" w14:textId="77777777" w:rsidR="00E11AB5" w:rsidRPr="00F91FA3" w:rsidRDefault="00E11AB5" w:rsidP="00687DD2">
            <w:pPr>
              <w:pStyle w:val="TableParagraph"/>
              <w:numPr>
                <w:ilvl w:val="0"/>
                <w:numId w:val="71"/>
              </w:numPr>
              <w:tabs>
                <w:tab w:val="left" w:pos="367"/>
              </w:tabs>
              <w:spacing w:before="120" w:after="120" w:line="240" w:lineRule="auto"/>
              <w:ind w:right="64" w:firstLine="0"/>
              <w:rPr>
                <w:rFonts w:ascii="Arial Narrow" w:hAnsi="Arial Narrow" w:cs="Arial"/>
                <w:b/>
                <w:bCs/>
              </w:rPr>
            </w:pPr>
            <w:r w:rsidRPr="00F91FA3">
              <w:rPr>
                <w:rFonts w:ascii="Arial Narrow" w:hAnsi="Arial Narrow" w:cs="Arial"/>
                <w:bCs/>
              </w:rPr>
              <w:t>et le retour d’information aux parties prenantes.</w:t>
            </w:r>
          </w:p>
          <w:p w14:paraId="65CDB028"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 xml:space="preserve">Conservation </w:t>
            </w:r>
            <w:r w:rsidRPr="00F91FA3">
              <w:rPr>
                <w:rFonts w:ascii="Arial Narrow" w:hAnsi="Arial Narrow" w:cs="Arial"/>
                <w:bCs/>
                <w:spacing w:val="-6"/>
              </w:rPr>
              <w:t xml:space="preserve">et </w:t>
            </w:r>
            <w:r w:rsidRPr="00F91FA3">
              <w:rPr>
                <w:rFonts w:ascii="Arial Narrow" w:hAnsi="Arial Narrow" w:cs="Arial"/>
                <w:bCs/>
              </w:rPr>
              <w:t xml:space="preserve">publication du dossier </w:t>
            </w:r>
            <w:r w:rsidRPr="00F91FA3">
              <w:rPr>
                <w:rFonts w:ascii="Arial Narrow" w:hAnsi="Arial Narrow" w:cs="Arial"/>
                <w:bCs/>
                <w:spacing w:val="-6"/>
              </w:rPr>
              <w:t xml:space="preserve">de </w:t>
            </w:r>
            <w:r w:rsidRPr="00F91FA3">
              <w:rPr>
                <w:rFonts w:ascii="Arial Narrow" w:hAnsi="Arial Narrow" w:cs="Arial"/>
                <w:bCs/>
              </w:rPr>
              <w:t xml:space="preserve">la participation </w:t>
            </w:r>
            <w:r w:rsidRPr="00F91FA3">
              <w:rPr>
                <w:rFonts w:ascii="Arial Narrow" w:hAnsi="Arial Narrow" w:cs="Arial"/>
                <w:bCs/>
                <w:spacing w:val="-5"/>
              </w:rPr>
              <w:t xml:space="preserve">des </w:t>
            </w:r>
            <w:r w:rsidRPr="00F91FA3">
              <w:rPr>
                <w:rFonts w:ascii="Arial Narrow" w:hAnsi="Arial Narrow" w:cs="Arial"/>
                <w:bCs/>
              </w:rPr>
              <w:t>parties prenantes</w:t>
            </w:r>
          </w:p>
        </w:tc>
        <w:tc>
          <w:tcPr>
            <w:tcW w:w="3544" w:type="dxa"/>
            <w:shd w:val="clear" w:color="auto" w:fill="auto"/>
          </w:tcPr>
          <w:p w14:paraId="1EEBE4D8" w14:textId="77777777" w:rsidR="00E11AB5" w:rsidRPr="00F91FA3" w:rsidRDefault="00E11AB5" w:rsidP="007F78CE">
            <w:pPr>
              <w:spacing w:before="120" w:after="120" w:line="240" w:lineRule="auto"/>
              <w:rPr>
                <w:rFonts w:ascii="Arial Narrow" w:hAnsi="Arial Narrow" w:cs="Arial"/>
              </w:rPr>
            </w:pPr>
          </w:p>
        </w:tc>
        <w:tc>
          <w:tcPr>
            <w:tcW w:w="2664" w:type="dxa"/>
            <w:shd w:val="clear" w:color="auto" w:fill="auto"/>
          </w:tcPr>
          <w:p w14:paraId="5AB7050A" w14:textId="77777777" w:rsidR="00E11AB5" w:rsidRPr="00F91FA3" w:rsidRDefault="00E11AB5" w:rsidP="007F78CE">
            <w:pPr>
              <w:spacing w:after="0" w:line="240" w:lineRule="auto"/>
              <w:rPr>
                <w:rFonts w:ascii="Arial Narrow" w:hAnsi="Arial Narrow" w:cs="Arial"/>
              </w:rPr>
            </w:pPr>
          </w:p>
        </w:tc>
        <w:tc>
          <w:tcPr>
            <w:tcW w:w="2410" w:type="dxa"/>
            <w:vMerge/>
          </w:tcPr>
          <w:p w14:paraId="3A4930EB" w14:textId="77777777" w:rsidR="00E11AB5" w:rsidRPr="00F91FA3" w:rsidRDefault="00E11AB5" w:rsidP="007F78CE">
            <w:pPr>
              <w:spacing w:after="0" w:line="240" w:lineRule="auto"/>
              <w:rPr>
                <w:rFonts w:ascii="Arial Narrow" w:hAnsi="Arial Narrow"/>
              </w:rPr>
            </w:pPr>
          </w:p>
        </w:tc>
      </w:tr>
      <w:tr w:rsidR="0063584D" w:rsidRPr="007F78CE" w14:paraId="467A7229" w14:textId="77777777" w:rsidTr="6FF5A665">
        <w:tc>
          <w:tcPr>
            <w:tcW w:w="5382" w:type="dxa"/>
            <w:tcBorders>
              <w:top w:val="single" w:sz="8" w:space="0" w:color="4F81BD"/>
              <w:left w:val="single" w:sz="8" w:space="0" w:color="4F81BD"/>
              <w:bottom w:val="single" w:sz="8" w:space="0" w:color="4F81BD"/>
            </w:tcBorders>
            <w:shd w:val="clear" w:color="auto" w:fill="auto"/>
          </w:tcPr>
          <w:p w14:paraId="3690CD7A" w14:textId="77777777" w:rsidR="00E11AB5" w:rsidRPr="00F91FA3" w:rsidRDefault="00E11AB5" w:rsidP="007F78CE">
            <w:pPr>
              <w:spacing w:before="120" w:after="120" w:line="240" w:lineRule="auto"/>
              <w:rPr>
                <w:rFonts w:ascii="Arial Narrow" w:hAnsi="Arial Narrow" w:cs="Arial"/>
                <w:bCs/>
              </w:rPr>
            </w:pPr>
            <w:r w:rsidRPr="00F91FA3">
              <w:rPr>
                <w:rFonts w:ascii="Arial Narrow" w:hAnsi="Arial Narrow" w:cs="Arial"/>
                <w:bCs/>
              </w:rPr>
              <w:t>Identification des parties prenantes</w:t>
            </w:r>
          </w:p>
          <w:p w14:paraId="6C278966" w14:textId="77777777" w:rsidR="00E11AB5" w:rsidRPr="00F91FA3" w:rsidRDefault="00E11AB5" w:rsidP="007F78CE">
            <w:pPr>
              <w:pStyle w:val="TableParagraph"/>
              <w:spacing w:before="120" w:after="120"/>
              <w:ind w:right="63"/>
              <w:jc w:val="both"/>
              <w:rPr>
                <w:rFonts w:ascii="Arial Narrow" w:hAnsi="Arial Narrow" w:cs="Arial"/>
                <w:b/>
                <w:bCs/>
              </w:rPr>
            </w:pPr>
            <w:r w:rsidRPr="00F91FA3">
              <w:rPr>
                <w:rFonts w:ascii="Arial Narrow" w:hAnsi="Arial Narrow" w:cs="Arial"/>
                <w:bCs/>
              </w:rPr>
              <w:t>2. Les parties prenantes sont composées des parties affectées par le projet</w:t>
            </w:r>
            <w:r w:rsidRPr="00F91FA3">
              <w:rPr>
                <w:rFonts w:ascii="Arial Narrow" w:hAnsi="Arial Narrow" w:cs="Arial"/>
                <w:bCs/>
                <w:spacing w:val="-6"/>
              </w:rPr>
              <w:t xml:space="preserve">, </w:t>
            </w:r>
            <w:r w:rsidRPr="00F91FA3">
              <w:rPr>
                <w:rFonts w:ascii="Arial Narrow" w:hAnsi="Arial Narrow" w:cs="Arial"/>
                <w:bCs/>
              </w:rPr>
              <w:t>les autres parties intéressées, les parties affectées défavorisés ou vulnérables.</w:t>
            </w:r>
          </w:p>
        </w:tc>
        <w:tc>
          <w:tcPr>
            <w:tcW w:w="3544" w:type="dxa"/>
            <w:tcBorders>
              <w:top w:val="single" w:sz="8" w:space="0" w:color="4F81BD"/>
              <w:bottom w:val="single" w:sz="8" w:space="0" w:color="4F81BD"/>
            </w:tcBorders>
            <w:shd w:val="clear" w:color="auto" w:fill="auto"/>
          </w:tcPr>
          <w:p w14:paraId="43CF0437" w14:textId="77777777" w:rsidR="00E11AB5" w:rsidRPr="00F91FA3" w:rsidRDefault="00E11AB5" w:rsidP="007F78CE">
            <w:pPr>
              <w:spacing w:before="120" w:after="120" w:line="240" w:lineRule="auto"/>
              <w:rPr>
                <w:rFonts w:ascii="Arial Narrow" w:hAnsi="Arial Narrow" w:cs="Arial"/>
              </w:rPr>
            </w:pPr>
            <w:r w:rsidRPr="00F91FA3">
              <w:rPr>
                <w:rFonts w:ascii="Arial Narrow" w:hAnsi="Arial Narrow" w:cs="Arial"/>
              </w:rPr>
              <w:t>Informations sur le projet aux parties prenantes</w:t>
            </w:r>
          </w:p>
          <w:p w14:paraId="77E19D0D" w14:textId="77777777" w:rsidR="00E11AB5" w:rsidRPr="00F91FA3" w:rsidRDefault="00E11AB5" w:rsidP="007F78CE">
            <w:pPr>
              <w:spacing w:before="120" w:after="120" w:line="240" w:lineRule="auto"/>
              <w:rPr>
                <w:rFonts w:ascii="Arial Narrow" w:hAnsi="Arial Narrow" w:cs="Arial"/>
              </w:rPr>
            </w:pPr>
            <w:r w:rsidRPr="00F91FA3">
              <w:rPr>
                <w:rFonts w:ascii="Arial Narrow" w:hAnsi="Arial Narrow" w:cs="Arial"/>
              </w:rPr>
              <w:t>1. Obligation de fournir aux parties prenantes un accès aux informations sur le projet le plus tôt possible avant l’évaluation du projet par la Banque, et selon un calendrier qui permet de mener des consultations significatives avec les parties prenantes sur la conception du projet</w:t>
            </w:r>
          </w:p>
        </w:tc>
        <w:tc>
          <w:tcPr>
            <w:tcW w:w="2664" w:type="dxa"/>
            <w:tcBorders>
              <w:top w:val="single" w:sz="8" w:space="0" w:color="4F81BD"/>
              <w:bottom w:val="single" w:sz="8" w:space="0" w:color="4F81BD"/>
            </w:tcBorders>
            <w:shd w:val="clear" w:color="auto" w:fill="auto"/>
          </w:tcPr>
          <w:p w14:paraId="2552EB38" w14:textId="77777777" w:rsidR="00E11AB5" w:rsidRPr="00F91FA3" w:rsidRDefault="00E11AB5" w:rsidP="007F78CE">
            <w:pPr>
              <w:spacing w:before="120" w:after="120" w:line="240" w:lineRule="auto"/>
              <w:rPr>
                <w:rFonts w:ascii="Arial Narrow" w:hAnsi="Arial Narrow" w:cs="Arial"/>
              </w:rPr>
            </w:pPr>
            <w:r w:rsidRPr="00F91FA3">
              <w:rPr>
                <w:rFonts w:ascii="Arial Narrow" w:hAnsi="Arial Narrow" w:cs="Arial"/>
              </w:rPr>
              <w:t xml:space="preserve">5. Elaboration et mise en œuvre d’un Plan de mobilisation </w:t>
            </w:r>
            <w:r w:rsidRPr="00F91FA3">
              <w:rPr>
                <w:rFonts w:ascii="Arial Narrow" w:hAnsi="Arial Narrow" w:cs="Arial"/>
                <w:spacing w:val="-5"/>
              </w:rPr>
              <w:t xml:space="preserve">des </w:t>
            </w:r>
            <w:r w:rsidRPr="00F91FA3">
              <w:rPr>
                <w:rFonts w:ascii="Arial Narrow" w:hAnsi="Arial Narrow" w:cs="Arial"/>
              </w:rPr>
              <w:t>Parties Prenantes (PMPP)</w:t>
            </w:r>
          </w:p>
          <w:p w14:paraId="7916819B" w14:textId="77777777" w:rsidR="00E11AB5" w:rsidRPr="00F91FA3" w:rsidRDefault="00E11AB5" w:rsidP="007F78CE">
            <w:pPr>
              <w:spacing w:after="0" w:line="240" w:lineRule="auto"/>
              <w:rPr>
                <w:rFonts w:ascii="Arial Narrow" w:hAnsi="Arial Narrow" w:cs="Arial"/>
              </w:rPr>
            </w:pPr>
          </w:p>
        </w:tc>
        <w:tc>
          <w:tcPr>
            <w:tcW w:w="2410" w:type="dxa"/>
            <w:vMerge/>
          </w:tcPr>
          <w:p w14:paraId="6F771556" w14:textId="77777777" w:rsidR="00E11AB5" w:rsidRPr="007F78CE" w:rsidRDefault="00E11AB5" w:rsidP="007F78CE">
            <w:pPr>
              <w:spacing w:before="120" w:after="120" w:line="240" w:lineRule="auto"/>
              <w:rPr>
                <w:rFonts w:ascii="Arial Narrow" w:hAnsi="Arial Narrow"/>
              </w:rPr>
            </w:pPr>
          </w:p>
        </w:tc>
      </w:tr>
      <w:tr w:rsidR="0063584D" w:rsidRPr="007F78CE" w14:paraId="12B15CBF" w14:textId="77777777" w:rsidTr="6FF5A665">
        <w:tc>
          <w:tcPr>
            <w:tcW w:w="5382" w:type="dxa"/>
            <w:shd w:val="clear" w:color="auto" w:fill="auto"/>
          </w:tcPr>
          <w:p w14:paraId="627A7AB7" w14:textId="77777777" w:rsidR="00E11AB5" w:rsidRPr="007F78CE" w:rsidRDefault="00E11AB5" w:rsidP="007F78CE">
            <w:pPr>
              <w:spacing w:before="120" w:after="120" w:line="240" w:lineRule="auto"/>
              <w:rPr>
                <w:rFonts w:ascii="Arial Narrow" w:hAnsi="Arial Narrow"/>
                <w:b/>
                <w:bCs/>
              </w:rPr>
            </w:pPr>
          </w:p>
        </w:tc>
        <w:tc>
          <w:tcPr>
            <w:tcW w:w="3544" w:type="dxa"/>
            <w:shd w:val="clear" w:color="auto" w:fill="auto"/>
          </w:tcPr>
          <w:p w14:paraId="0FC2A6EF" w14:textId="77777777" w:rsidR="00E11AB5" w:rsidRPr="00F91FA3" w:rsidRDefault="00E11AB5" w:rsidP="007F78CE">
            <w:pPr>
              <w:spacing w:before="120" w:after="120" w:line="240" w:lineRule="auto"/>
              <w:rPr>
                <w:rFonts w:ascii="Arial Narrow" w:hAnsi="Arial Narrow" w:cs="Arial"/>
              </w:rPr>
            </w:pPr>
            <w:r w:rsidRPr="00F91FA3">
              <w:rPr>
                <w:rFonts w:ascii="Arial Narrow" w:hAnsi="Arial Narrow" w:cs="Arial"/>
              </w:rPr>
              <w:t xml:space="preserve">2. Méthodologie de consultation significative, qui signifie un véritable processus de consultation de manière à permettre aux parties prenantes d’exprimer leurs points de vue sur les risques, les impacts et les mesures d’atténuation du projet, et à l’Emprunteur de les examiner et d’y répondre. </w:t>
            </w:r>
          </w:p>
        </w:tc>
        <w:tc>
          <w:tcPr>
            <w:tcW w:w="2664" w:type="dxa"/>
            <w:shd w:val="clear" w:color="auto" w:fill="auto"/>
          </w:tcPr>
          <w:p w14:paraId="398ADA3E" w14:textId="77777777" w:rsidR="00E11AB5" w:rsidRPr="00F91FA3" w:rsidRDefault="00E11AB5" w:rsidP="007F78CE">
            <w:pPr>
              <w:spacing w:before="120" w:after="120" w:line="240" w:lineRule="auto"/>
              <w:rPr>
                <w:rFonts w:ascii="Arial Narrow" w:hAnsi="Arial Narrow" w:cs="Arial"/>
              </w:rPr>
            </w:pPr>
            <w:r w:rsidRPr="00F91FA3">
              <w:rPr>
                <w:rFonts w:ascii="Arial Narrow" w:hAnsi="Arial Narrow" w:cs="Arial"/>
              </w:rPr>
              <w:t>6. Langues de diffusion des informations du projet : Diffusion dans les langues locales pertinentes, accessible et culturellement appropriée, en tenant compte des besoins spécifiques des groupes qui peuvent être affectés différemment ou de manière disproportionnée par le projet en raison de leur statut ou des groupes de la population ayant des besoins spécifiques d’information (tels que le handicap, l’alphabétisation, le sexe, la mobilité, les différences de langue ou d’accessibilité).</w:t>
            </w:r>
          </w:p>
        </w:tc>
        <w:tc>
          <w:tcPr>
            <w:tcW w:w="2410" w:type="dxa"/>
            <w:vMerge/>
          </w:tcPr>
          <w:p w14:paraId="1EE357F0" w14:textId="77777777" w:rsidR="00E11AB5" w:rsidRPr="007F78CE" w:rsidRDefault="00E11AB5" w:rsidP="007F78CE">
            <w:pPr>
              <w:spacing w:after="0" w:line="240" w:lineRule="auto"/>
              <w:rPr>
                <w:rFonts w:ascii="Arial Narrow" w:hAnsi="Arial Narrow"/>
              </w:rPr>
            </w:pPr>
          </w:p>
        </w:tc>
      </w:tr>
      <w:tr w:rsidR="0063584D" w:rsidRPr="007F78CE" w14:paraId="74D666BD" w14:textId="77777777" w:rsidTr="6FF5A665">
        <w:tc>
          <w:tcPr>
            <w:tcW w:w="5382" w:type="dxa"/>
            <w:tcBorders>
              <w:top w:val="single" w:sz="8" w:space="0" w:color="4F81BD"/>
              <w:left w:val="single" w:sz="8" w:space="0" w:color="4F81BD"/>
              <w:bottom w:val="single" w:sz="8" w:space="0" w:color="4F81BD"/>
            </w:tcBorders>
            <w:shd w:val="clear" w:color="auto" w:fill="auto"/>
          </w:tcPr>
          <w:p w14:paraId="393FB499" w14:textId="77777777" w:rsidR="00E11AB5" w:rsidRPr="007F78CE" w:rsidRDefault="00E11AB5" w:rsidP="007F78CE">
            <w:pPr>
              <w:spacing w:after="0" w:line="240" w:lineRule="auto"/>
              <w:rPr>
                <w:rFonts w:ascii="Arial" w:hAnsi="Arial" w:cs="Arial"/>
                <w:b/>
                <w:bCs/>
              </w:rPr>
            </w:pPr>
          </w:p>
        </w:tc>
        <w:tc>
          <w:tcPr>
            <w:tcW w:w="3544" w:type="dxa"/>
            <w:tcBorders>
              <w:top w:val="single" w:sz="8" w:space="0" w:color="4F81BD"/>
              <w:bottom w:val="single" w:sz="8" w:space="0" w:color="4F81BD"/>
            </w:tcBorders>
            <w:shd w:val="clear" w:color="auto" w:fill="auto"/>
          </w:tcPr>
          <w:p w14:paraId="5C0027AC"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En matière de participation pendant la mise en œuvre du projet et rapports externes</w:t>
            </w:r>
          </w:p>
          <w:p w14:paraId="0CFEE660" w14:textId="77777777" w:rsidR="00E11AB5" w:rsidRPr="00F91FA3" w:rsidRDefault="00E11AB5" w:rsidP="007F78CE">
            <w:pPr>
              <w:spacing w:after="0" w:line="240" w:lineRule="auto"/>
              <w:rPr>
                <w:rFonts w:ascii="Arial Narrow" w:hAnsi="Arial Narrow" w:cs="Arial"/>
                <w:b/>
              </w:rPr>
            </w:pPr>
            <w:r w:rsidRPr="00F91FA3">
              <w:rPr>
                <w:rFonts w:ascii="Arial Narrow" w:hAnsi="Arial Narrow" w:cs="Arial"/>
              </w:rPr>
              <w:t>3. Durée de l’implication des parties prenantes, soit pendant toute la durée de vie du projet</w:t>
            </w:r>
          </w:p>
          <w:p w14:paraId="29D8B224"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 xml:space="preserve">4. Objets de </w:t>
            </w:r>
            <w:r w:rsidRPr="00F91FA3">
              <w:rPr>
                <w:rFonts w:ascii="Arial Narrow" w:hAnsi="Arial Narrow" w:cs="Arial"/>
                <w:spacing w:val="-9"/>
              </w:rPr>
              <w:t xml:space="preserve">la </w:t>
            </w:r>
            <w:r w:rsidRPr="00F91FA3">
              <w:rPr>
                <w:rFonts w:ascii="Arial Narrow" w:hAnsi="Arial Narrow" w:cs="Arial"/>
              </w:rPr>
              <w:t xml:space="preserve">consultation : performance, </w:t>
            </w:r>
            <w:r w:rsidRPr="00F91FA3">
              <w:rPr>
                <w:rFonts w:ascii="Arial Narrow" w:hAnsi="Arial Narrow" w:cs="Arial"/>
                <w:w w:val="95"/>
              </w:rPr>
              <w:t>mesures d</w:t>
            </w:r>
            <w:r w:rsidRPr="00F91FA3">
              <w:rPr>
                <w:rFonts w:ascii="Arial Narrow" w:hAnsi="Arial Narrow" w:cs="Arial"/>
              </w:rPr>
              <w:t xml:space="preserve">’atténuation, </w:t>
            </w:r>
            <w:r w:rsidRPr="00F91FA3">
              <w:rPr>
                <w:rFonts w:ascii="Arial Narrow" w:hAnsi="Arial Narrow" w:cs="Arial"/>
                <w:spacing w:val="-3"/>
              </w:rPr>
              <w:t xml:space="preserve">risques </w:t>
            </w:r>
            <w:r w:rsidRPr="00F91FA3">
              <w:rPr>
                <w:rFonts w:ascii="Arial Narrow" w:hAnsi="Arial Narrow" w:cs="Arial"/>
              </w:rPr>
              <w:t>supplémentaires</w:t>
            </w:r>
          </w:p>
        </w:tc>
        <w:tc>
          <w:tcPr>
            <w:tcW w:w="2664" w:type="dxa"/>
            <w:tcBorders>
              <w:top w:val="single" w:sz="8" w:space="0" w:color="4F81BD"/>
              <w:bottom w:val="single" w:sz="8" w:space="0" w:color="4F81BD"/>
            </w:tcBorders>
            <w:shd w:val="clear" w:color="auto" w:fill="auto"/>
          </w:tcPr>
          <w:p w14:paraId="7936CA91" w14:textId="77777777" w:rsidR="00E11AB5" w:rsidRPr="007F78CE" w:rsidRDefault="00E11AB5" w:rsidP="007F78CE">
            <w:pPr>
              <w:spacing w:after="0" w:line="240" w:lineRule="auto"/>
              <w:rPr>
                <w:rFonts w:ascii="Arial" w:hAnsi="Arial" w:cs="Arial"/>
              </w:rPr>
            </w:pPr>
          </w:p>
        </w:tc>
        <w:tc>
          <w:tcPr>
            <w:tcW w:w="2410" w:type="dxa"/>
            <w:vMerge/>
          </w:tcPr>
          <w:p w14:paraId="4606256B" w14:textId="77777777" w:rsidR="00E11AB5" w:rsidRPr="007F78CE" w:rsidRDefault="00E11AB5" w:rsidP="007F78CE">
            <w:pPr>
              <w:spacing w:after="0" w:line="240" w:lineRule="auto"/>
              <w:rPr>
                <w:rFonts w:ascii="Arial Narrow" w:hAnsi="Arial Narrow"/>
              </w:rPr>
            </w:pPr>
          </w:p>
        </w:tc>
      </w:tr>
      <w:tr w:rsidR="0063584D" w:rsidRPr="007F78CE" w14:paraId="5CE9BC40" w14:textId="77777777" w:rsidTr="6FF5A665">
        <w:tc>
          <w:tcPr>
            <w:tcW w:w="5382" w:type="dxa"/>
            <w:shd w:val="clear" w:color="auto" w:fill="auto"/>
          </w:tcPr>
          <w:p w14:paraId="60305DF0" w14:textId="77777777" w:rsidR="00E11AB5" w:rsidRPr="00F91FA3" w:rsidRDefault="00E11AB5" w:rsidP="007F78CE">
            <w:pPr>
              <w:spacing w:after="0" w:line="240" w:lineRule="auto"/>
              <w:rPr>
                <w:rFonts w:ascii="Arial Narrow" w:hAnsi="Arial Narrow" w:cs="Arial"/>
                <w:bCs/>
              </w:rPr>
            </w:pPr>
            <w:r w:rsidRPr="00F91FA3">
              <w:rPr>
                <w:rFonts w:ascii="Arial Narrow" w:hAnsi="Arial Narrow" w:cs="Arial"/>
                <w:bCs/>
              </w:rPr>
              <w:t>En matière de mécanisme de gestion de plaintes</w:t>
            </w:r>
          </w:p>
          <w:p w14:paraId="3A90B500" w14:textId="77777777" w:rsidR="00E11AB5" w:rsidRPr="00F91FA3" w:rsidRDefault="00E11AB5" w:rsidP="007F78CE">
            <w:pPr>
              <w:spacing w:after="0" w:line="240" w:lineRule="auto"/>
              <w:rPr>
                <w:rFonts w:ascii="Arial Narrow" w:hAnsi="Arial Narrow" w:cs="Arial"/>
                <w:b/>
                <w:bCs/>
              </w:rPr>
            </w:pPr>
            <w:r w:rsidRPr="00F91FA3">
              <w:rPr>
                <w:rFonts w:ascii="Arial Narrow" w:hAnsi="Arial Narrow" w:cs="Arial"/>
                <w:bCs/>
              </w:rPr>
              <w:t>3. Obligation de mise en place de mécanisme de gestion des plaintes</w:t>
            </w:r>
            <w:r w:rsidRPr="00F91FA3">
              <w:rPr>
                <w:rFonts w:ascii="Arial Narrow" w:hAnsi="Arial Narrow" w:cs="Arial"/>
                <w:b/>
                <w:bCs/>
              </w:rPr>
              <w:t xml:space="preserve"> </w:t>
            </w:r>
          </w:p>
        </w:tc>
        <w:tc>
          <w:tcPr>
            <w:tcW w:w="3544" w:type="dxa"/>
            <w:shd w:val="clear" w:color="auto" w:fill="auto"/>
          </w:tcPr>
          <w:p w14:paraId="5C7CA1A8" w14:textId="77777777" w:rsidR="00E11AB5" w:rsidRPr="00F91FA3" w:rsidRDefault="00E11AB5" w:rsidP="007F78CE">
            <w:pPr>
              <w:spacing w:after="0" w:line="240" w:lineRule="auto"/>
              <w:rPr>
                <w:rFonts w:ascii="Arial Narrow" w:hAnsi="Arial Narrow" w:cs="Arial"/>
              </w:rPr>
            </w:pPr>
          </w:p>
        </w:tc>
        <w:tc>
          <w:tcPr>
            <w:tcW w:w="2664" w:type="dxa"/>
            <w:shd w:val="clear" w:color="auto" w:fill="auto"/>
          </w:tcPr>
          <w:p w14:paraId="34529002"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7. Qualité et fonctionnalités du mécanisme de gestion des plaintes : c’est-à-dire un mécanisme adapté aux risques et aux impacts négatifs potentiels du projet, et accessible et inclusif.</w:t>
            </w:r>
          </w:p>
        </w:tc>
        <w:tc>
          <w:tcPr>
            <w:tcW w:w="2410" w:type="dxa"/>
            <w:vMerge/>
          </w:tcPr>
          <w:p w14:paraId="5E6B7EBB" w14:textId="77777777" w:rsidR="00E11AB5" w:rsidRPr="007F78CE" w:rsidRDefault="00E11AB5" w:rsidP="007F78CE">
            <w:pPr>
              <w:spacing w:after="0" w:line="240" w:lineRule="auto"/>
              <w:rPr>
                <w:rFonts w:ascii="Arial Narrow" w:hAnsi="Arial Narrow"/>
              </w:rPr>
            </w:pPr>
          </w:p>
        </w:tc>
      </w:tr>
      <w:tr w:rsidR="0063584D" w:rsidRPr="007F78CE" w14:paraId="41D23D51" w14:textId="77777777" w:rsidTr="6FF5A665">
        <w:tc>
          <w:tcPr>
            <w:tcW w:w="5382" w:type="dxa"/>
            <w:tcBorders>
              <w:top w:val="single" w:sz="8" w:space="0" w:color="4F81BD"/>
              <w:left w:val="single" w:sz="8" w:space="0" w:color="4F81BD"/>
              <w:bottom w:val="single" w:sz="8" w:space="0" w:color="4F81BD"/>
            </w:tcBorders>
            <w:shd w:val="clear" w:color="auto" w:fill="auto"/>
          </w:tcPr>
          <w:p w14:paraId="0DE7C7CF" w14:textId="77777777" w:rsidR="00E11AB5" w:rsidRPr="00F91FA3" w:rsidRDefault="00E11AB5" w:rsidP="007F78CE">
            <w:pPr>
              <w:spacing w:after="0" w:line="240" w:lineRule="auto"/>
              <w:rPr>
                <w:rFonts w:ascii="Arial Narrow" w:hAnsi="Arial Narrow" w:cs="Arial"/>
                <w:b/>
                <w:bCs/>
              </w:rPr>
            </w:pPr>
          </w:p>
        </w:tc>
        <w:tc>
          <w:tcPr>
            <w:tcW w:w="3544" w:type="dxa"/>
            <w:tcBorders>
              <w:top w:val="single" w:sz="8" w:space="0" w:color="4F81BD"/>
              <w:bottom w:val="single" w:sz="8" w:space="0" w:color="4F81BD"/>
            </w:tcBorders>
            <w:shd w:val="clear" w:color="auto" w:fill="auto"/>
          </w:tcPr>
          <w:p w14:paraId="0FE8FA89" w14:textId="77777777" w:rsidR="00E11AB5" w:rsidRPr="00F91FA3" w:rsidRDefault="00E11AB5" w:rsidP="007F78CE">
            <w:pPr>
              <w:spacing w:after="0" w:line="240" w:lineRule="auto"/>
              <w:rPr>
                <w:rFonts w:ascii="Arial Narrow" w:hAnsi="Arial Narrow" w:cs="Arial"/>
              </w:rPr>
            </w:pPr>
          </w:p>
        </w:tc>
        <w:tc>
          <w:tcPr>
            <w:tcW w:w="2664" w:type="dxa"/>
            <w:tcBorders>
              <w:top w:val="single" w:sz="8" w:space="0" w:color="4F81BD"/>
              <w:bottom w:val="single" w:sz="8" w:space="0" w:color="4F81BD"/>
            </w:tcBorders>
            <w:shd w:val="clear" w:color="auto" w:fill="auto"/>
          </w:tcPr>
          <w:p w14:paraId="77E0254B" w14:textId="77777777" w:rsidR="00E11AB5" w:rsidRPr="00F91FA3" w:rsidRDefault="00E11AB5" w:rsidP="007F78CE">
            <w:pPr>
              <w:spacing w:after="0" w:line="240" w:lineRule="auto"/>
              <w:rPr>
                <w:rFonts w:ascii="Arial Narrow" w:hAnsi="Arial Narrow" w:cs="Arial"/>
              </w:rPr>
            </w:pPr>
            <w:r w:rsidRPr="00F91FA3">
              <w:rPr>
                <w:rFonts w:ascii="Arial Narrow" w:hAnsi="Arial Narrow" w:cs="Arial"/>
              </w:rPr>
              <w:t xml:space="preserve">8. Dispositif organisationnel </w:t>
            </w:r>
            <w:r w:rsidRPr="00F91FA3">
              <w:rPr>
                <w:rFonts w:ascii="Arial Narrow" w:hAnsi="Arial Narrow" w:cs="Arial"/>
                <w:spacing w:val="-9"/>
              </w:rPr>
              <w:t xml:space="preserve">et </w:t>
            </w:r>
            <w:r w:rsidRPr="00F91FA3">
              <w:rPr>
                <w:rFonts w:ascii="Arial Narrow" w:hAnsi="Arial Narrow" w:cs="Arial"/>
              </w:rPr>
              <w:t>institutionnel : obligation de définir des rôles, des responsabilités et des pouvoirs clairs, et désigner du personnel spécifique chargé de la mise en œuvre et du suivi des activités de participation des parties prenantes</w:t>
            </w:r>
          </w:p>
        </w:tc>
        <w:tc>
          <w:tcPr>
            <w:tcW w:w="2410" w:type="dxa"/>
            <w:vMerge/>
          </w:tcPr>
          <w:p w14:paraId="6D03B20B" w14:textId="77777777" w:rsidR="00E11AB5" w:rsidRPr="007F78CE" w:rsidRDefault="00E11AB5" w:rsidP="007F78CE">
            <w:pPr>
              <w:spacing w:after="0" w:line="240" w:lineRule="auto"/>
              <w:rPr>
                <w:rFonts w:ascii="Arial Narrow" w:hAnsi="Arial Narrow"/>
              </w:rPr>
            </w:pPr>
          </w:p>
        </w:tc>
      </w:tr>
    </w:tbl>
    <w:p w14:paraId="398726DD" w14:textId="77777777" w:rsidR="00BD513B" w:rsidRDefault="00BD513B" w:rsidP="009428FB">
      <w:pPr>
        <w:autoSpaceDE w:val="0"/>
        <w:autoSpaceDN w:val="0"/>
        <w:adjustRightInd w:val="0"/>
        <w:jc w:val="both"/>
        <w:rPr>
          <w:rFonts w:ascii="Arial" w:hAnsi="Arial" w:cs="Arial"/>
          <w:szCs w:val="24"/>
        </w:rPr>
      </w:pPr>
    </w:p>
    <w:p w14:paraId="10EACF58" w14:textId="77777777" w:rsidR="00BD513B" w:rsidRPr="00BD513B" w:rsidRDefault="00BD513B" w:rsidP="009428FB">
      <w:pPr>
        <w:autoSpaceDE w:val="0"/>
        <w:autoSpaceDN w:val="0"/>
        <w:adjustRightInd w:val="0"/>
        <w:jc w:val="both"/>
        <w:rPr>
          <w:rFonts w:ascii="Arial" w:hAnsi="Arial" w:cs="Arial"/>
          <w:szCs w:val="24"/>
        </w:rPr>
      </w:pPr>
    </w:p>
    <w:p w14:paraId="1B211B64" w14:textId="77777777" w:rsidR="00E11AB5" w:rsidRDefault="00E11AB5">
      <w:pPr>
        <w:sectPr w:rsidR="00E11AB5" w:rsidSect="00AE76FC">
          <w:pgSz w:w="16838" w:h="11906" w:orient="landscape"/>
          <w:pgMar w:top="1418" w:right="1418" w:bottom="1418" w:left="1418" w:header="709" w:footer="709" w:gutter="0"/>
          <w:pgNumType w:start="131"/>
          <w:cols w:space="708"/>
          <w:docGrid w:linePitch="360"/>
        </w:sectPr>
      </w:pPr>
    </w:p>
    <w:p w14:paraId="60249C8C" w14:textId="77777777" w:rsidR="0039047D" w:rsidRPr="00B96EBA" w:rsidRDefault="0039047D" w:rsidP="0044500E">
      <w:pPr>
        <w:pStyle w:val="Paragraphedeliste"/>
        <w:numPr>
          <w:ilvl w:val="0"/>
          <w:numId w:val="177"/>
        </w:numPr>
        <w:pBdr>
          <w:bottom w:val="single" w:sz="4" w:space="1" w:color="auto"/>
        </w:pBdr>
        <w:spacing w:line="240" w:lineRule="auto"/>
        <w:jc w:val="both"/>
        <w:outlineLvl w:val="0"/>
        <w:rPr>
          <w:b/>
          <w:bCs/>
          <w:caps/>
          <w:color w:val="44546A"/>
          <w:sz w:val="40"/>
          <w:szCs w:val="44"/>
        </w:rPr>
      </w:pPr>
      <w:bookmarkStart w:id="764" w:name="_Toc124956206"/>
      <w:bookmarkStart w:id="765" w:name="_Toc125384602"/>
      <w:bookmarkStart w:id="766" w:name="_Toc125384991"/>
      <w:bookmarkStart w:id="767" w:name="_Toc127957663"/>
      <w:r w:rsidRPr="00B96EBA">
        <w:rPr>
          <w:b/>
          <w:bCs/>
          <w:caps/>
          <w:color w:val="44546A"/>
          <w:sz w:val="40"/>
          <w:szCs w:val="44"/>
        </w:rPr>
        <w:t>Analyse des alternatives</w:t>
      </w:r>
      <w:bookmarkEnd w:id="764"/>
      <w:bookmarkEnd w:id="765"/>
      <w:bookmarkEnd w:id="766"/>
      <w:bookmarkEnd w:id="767"/>
      <w:r w:rsidRPr="00B96EBA">
        <w:rPr>
          <w:b/>
          <w:bCs/>
          <w:caps/>
          <w:color w:val="44546A"/>
          <w:sz w:val="40"/>
          <w:szCs w:val="44"/>
        </w:rPr>
        <w:t xml:space="preserve"> </w:t>
      </w:r>
    </w:p>
    <w:p w14:paraId="7796A32A" w14:textId="77777777" w:rsidR="0039047D" w:rsidRPr="007F78CE" w:rsidRDefault="007E18DC" w:rsidP="0044500E">
      <w:pPr>
        <w:pStyle w:val="TIT2"/>
        <w:numPr>
          <w:ilvl w:val="1"/>
          <w:numId w:val="177"/>
        </w:numPr>
      </w:pPr>
      <w:bookmarkStart w:id="768" w:name="_Toc124312738"/>
      <w:bookmarkStart w:id="769" w:name="_Toc124314726"/>
      <w:bookmarkStart w:id="770" w:name="_Toc124956207"/>
      <w:bookmarkStart w:id="771" w:name="_Toc125384603"/>
      <w:bookmarkStart w:id="772" w:name="_Toc125384992"/>
      <w:bookmarkStart w:id="773" w:name="_Toc127957664"/>
      <w:bookmarkEnd w:id="768"/>
      <w:r w:rsidRPr="007F78CE">
        <w:t>Évolution</w:t>
      </w:r>
      <w:r w:rsidR="0039047D" w:rsidRPr="007F78CE">
        <w:t xml:space="preserve"> possible de la situation sans Projet</w:t>
      </w:r>
      <w:bookmarkEnd w:id="769"/>
      <w:bookmarkEnd w:id="770"/>
      <w:bookmarkEnd w:id="771"/>
      <w:bookmarkEnd w:id="772"/>
      <w:bookmarkEnd w:id="773"/>
      <w:r w:rsidR="0039047D" w:rsidRPr="007F78CE">
        <w:t xml:space="preserve"> </w:t>
      </w:r>
    </w:p>
    <w:p w14:paraId="68FE6935" w14:textId="77777777" w:rsidR="000E51F5" w:rsidRPr="00034EFF" w:rsidRDefault="00034EFF" w:rsidP="00F01166">
      <w:pPr>
        <w:jc w:val="both"/>
        <w:rPr>
          <w:rFonts w:ascii="Arial" w:hAnsi="Arial" w:cs="Arial"/>
          <w:bCs/>
        </w:rPr>
      </w:pPr>
      <w:r w:rsidRPr="00034EFF">
        <w:rPr>
          <w:rFonts w:ascii="Arial" w:hAnsi="Arial" w:cs="Arial"/>
        </w:rPr>
        <w:t>L</w:t>
      </w:r>
      <w:r w:rsidR="000E51F5" w:rsidRPr="00034EFF">
        <w:rPr>
          <w:rFonts w:ascii="Arial" w:hAnsi="Arial" w:cs="Arial"/>
        </w:rPr>
        <w:t xml:space="preserve">’option sans projet consiste à ne pas réaliser les activités ou sous projets prévus dans le </w:t>
      </w:r>
      <w:r w:rsidR="007E18DC">
        <w:rPr>
          <w:rFonts w:ascii="Arial" w:hAnsi="Arial" w:cs="Arial"/>
        </w:rPr>
        <w:t xml:space="preserve">cadre du </w:t>
      </w:r>
      <w:r w:rsidR="000E51F5" w:rsidRPr="00034EFF">
        <w:rPr>
          <w:rFonts w:ascii="Arial" w:hAnsi="Arial" w:cs="Arial"/>
        </w:rPr>
        <w:t>Projet</w:t>
      </w:r>
      <w:r w:rsidR="007E18DC">
        <w:rPr>
          <w:rFonts w:ascii="Arial" w:hAnsi="Arial" w:cs="Arial"/>
        </w:rPr>
        <w:t xml:space="preserve"> DECIM</w:t>
      </w:r>
      <w:r w:rsidR="000E51F5" w:rsidRPr="00034EFF">
        <w:rPr>
          <w:rFonts w:ascii="Arial" w:hAnsi="Arial" w:cs="Arial"/>
        </w:rPr>
        <w:t xml:space="preserve">. La situation sans ce Projet aura un impact conséquent sur l’accès à l’électricité </w:t>
      </w:r>
      <w:r w:rsidR="00B73A17" w:rsidRPr="00034EFF">
        <w:rPr>
          <w:rFonts w:ascii="Arial" w:hAnsi="Arial" w:cs="Arial"/>
        </w:rPr>
        <w:t>ainsi que la communication et le développement économique</w:t>
      </w:r>
      <w:r w:rsidRPr="00034EFF">
        <w:rPr>
          <w:rFonts w:ascii="Arial" w:hAnsi="Arial" w:cs="Arial"/>
        </w:rPr>
        <w:t xml:space="preserve"> </w:t>
      </w:r>
      <w:r w:rsidR="000E51F5" w:rsidRPr="00034EFF">
        <w:rPr>
          <w:rFonts w:ascii="Arial" w:hAnsi="Arial" w:cs="Arial"/>
        </w:rPr>
        <w:t xml:space="preserve">dans </w:t>
      </w:r>
      <w:r w:rsidRPr="00034EFF">
        <w:rPr>
          <w:rFonts w:ascii="Arial" w:hAnsi="Arial" w:cs="Arial"/>
        </w:rPr>
        <w:t>les régions</w:t>
      </w:r>
      <w:r w:rsidR="000E51F5" w:rsidRPr="00034EFF">
        <w:rPr>
          <w:rFonts w:ascii="Arial" w:hAnsi="Arial" w:cs="Arial"/>
        </w:rPr>
        <w:t xml:space="preserve">. </w:t>
      </w:r>
    </w:p>
    <w:p w14:paraId="03170647" w14:textId="77777777" w:rsidR="000E51F5" w:rsidRPr="00EF14C8" w:rsidRDefault="000E51F5" w:rsidP="000E51F5">
      <w:pPr>
        <w:jc w:val="both"/>
        <w:rPr>
          <w:rFonts w:ascii="Arial" w:hAnsi="Arial" w:cs="Arial"/>
        </w:rPr>
      </w:pPr>
      <w:r w:rsidRPr="00EF14C8">
        <w:rPr>
          <w:rFonts w:ascii="Arial" w:hAnsi="Arial" w:cs="Arial"/>
        </w:rPr>
        <w:t xml:space="preserve">Les impacts positifs ne sont pas </w:t>
      </w:r>
      <w:r w:rsidR="00EF14C8" w:rsidRPr="00EF14C8">
        <w:rPr>
          <w:rFonts w:ascii="Arial" w:hAnsi="Arial" w:cs="Arial"/>
        </w:rPr>
        <w:t>notables</w:t>
      </w:r>
      <w:r w:rsidRPr="00EF14C8">
        <w:rPr>
          <w:rFonts w:ascii="Arial" w:hAnsi="Arial" w:cs="Arial"/>
        </w:rPr>
        <w:t xml:space="preserve">, dans le scenario sans la mise en œuvre du Projet. </w:t>
      </w:r>
    </w:p>
    <w:p w14:paraId="2558741D" w14:textId="77777777" w:rsidR="000E51F5" w:rsidRPr="00EF14C8" w:rsidRDefault="000E51F5" w:rsidP="000E51F5">
      <w:pPr>
        <w:jc w:val="both"/>
        <w:rPr>
          <w:rFonts w:ascii="Arial" w:hAnsi="Arial" w:cs="Arial"/>
        </w:rPr>
      </w:pPr>
      <w:r w:rsidRPr="00EF14C8">
        <w:rPr>
          <w:rFonts w:ascii="Arial" w:hAnsi="Arial" w:cs="Arial"/>
        </w:rPr>
        <w:t xml:space="preserve">D’abord, l’impact </w:t>
      </w:r>
      <w:r w:rsidR="00EF14C8" w:rsidRPr="00EF14C8">
        <w:rPr>
          <w:rFonts w:ascii="Arial" w:hAnsi="Arial" w:cs="Arial"/>
        </w:rPr>
        <w:t>principal</w:t>
      </w:r>
      <w:r w:rsidRPr="00EF14C8">
        <w:rPr>
          <w:rFonts w:ascii="Arial" w:hAnsi="Arial" w:cs="Arial"/>
        </w:rPr>
        <w:t xml:space="preserve"> évité est </w:t>
      </w:r>
      <w:r w:rsidR="00EF14C8" w:rsidRPr="00EF14C8">
        <w:rPr>
          <w:rFonts w:ascii="Arial" w:hAnsi="Arial" w:cs="Arial"/>
        </w:rPr>
        <w:t>la perte de biens</w:t>
      </w:r>
      <w:r w:rsidRPr="00EF14C8">
        <w:rPr>
          <w:rFonts w:ascii="Arial" w:hAnsi="Arial" w:cs="Arial"/>
        </w:rPr>
        <w:t xml:space="preserve"> des populations qui occupent actuellement les sites </w:t>
      </w:r>
      <w:r w:rsidR="00EF14C8" w:rsidRPr="00EF14C8">
        <w:rPr>
          <w:rFonts w:ascii="Arial" w:hAnsi="Arial" w:cs="Arial"/>
        </w:rPr>
        <w:t>potentiels</w:t>
      </w:r>
      <w:r w:rsidRPr="00EF14C8">
        <w:rPr>
          <w:rFonts w:ascii="Arial" w:hAnsi="Arial" w:cs="Arial"/>
        </w:rPr>
        <w:t xml:space="preserve"> pour les installations. De ce fait, ces populations ne subiront pas des pertes sur leurs revenus ni sur leurs biens. De l’autre côté, le Gouvernement </w:t>
      </w:r>
      <w:r w:rsidR="00EF14C8" w:rsidRPr="00EF14C8">
        <w:rPr>
          <w:rFonts w:ascii="Arial" w:hAnsi="Arial" w:cs="Arial"/>
        </w:rPr>
        <w:t>Malagasy</w:t>
      </w:r>
      <w:r w:rsidRPr="00EF14C8">
        <w:rPr>
          <w:rFonts w:ascii="Arial" w:hAnsi="Arial" w:cs="Arial"/>
        </w:rPr>
        <w:t xml:space="preserve"> est dispensé du règlement des compensations pouvant être liées à ces pertes subies par les ménages à </w:t>
      </w:r>
      <w:r w:rsidR="00EF14C8" w:rsidRPr="00EF14C8">
        <w:rPr>
          <w:rFonts w:ascii="Arial" w:hAnsi="Arial" w:cs="Arial"/>
        </w:rPr>
        <w:t>indemniser</w:t>
      </w:r>
      <w:r w:rsidRPr="00EF14C8">
        <w:rPr>
          <w:rFonts w:ascii="Arial" w:hAnsi="Arial" w:cs="Arial"/>
        </w:rPr>
        <w:t xml:space="preserve">. </w:t>
      </w:r>
    </w:p>
    <w:p w14:paraId="4D6B375B" w14:textId="77777777" w:rsidR="000E51F5" w:rsidRPr="00EF14C8" w:rsidRDefault="000E51F5" w:rsidP="000E51F5">
      <w:pPr>
        <w:jc w:val="both"/>
        <w:rPr>
          <w:rFonts w:ascii="Arial" w:hAnsi="Arial" w:cs="Arial"/>
        </w:rPr>
      </w:pPr>
      <w:r w:rsidRPr="00EF14C8">
        <w:rPr>
          <w:rFonts w:ascii="Arial" w:hAnsi="Arial" w:cs="Arial"/>
        </w:rPr>
        <w:t xml:space="preserve">D’autre part, les éventuelles pollutions liées à la construction et à l’exploitation des unités à implanter seront </w:t>
      </w:r>
      <w:r w:rsidRPr="6FF5A665">
        <w:rPr>
          <w:rFonts w:ascii="Arial" w:hAnsi="Arial" w:cs="Arial"/>
        </w:rPr>
        <w:t>évité</w:t>
      </w:r>
      <w:r w:rsidR="65D46533" w:rsidRPr="6FF5A665">
        <w:rPr>
          <w:rFonts w:ascii="Arial" w:hAnsi="Arial" w:cs="Arial"/>
        </w:rPr>
        <w:t>e</w:t>
      </w:r>
      <w:r w:rsidRPr="6FF5A665">
        <w:rPr>
          <w:rFonts w:ascii="Arial" w:hAnsi="Arial" w:cs="Arial"/>
        </w:rPr>
        <w:t>s.</w:t>
      </w:r>
      <w:r w:rsidRPr="00EF14C8">
        <w:rPr>
          <w:rFonts w:ascii="Arial" w:hAnsi="Arial" w:cs="Arial"/>
        </w:rPr>
        <w:t xml:space="preserve"> Avec le scenario sans le Projet, les enjeux environnementaux ne se posent pas. </w:t>
      </w:r>
    </w:p>
    <w:p w14:paraId="25377F18" w14:textId="77777777" w:rsidR="000E51F5" w:rsidRPr="00EF14C8" w:rsidRDefault="000E51F5" w:rsidP="000E51F5">
      <w:pPr>
        <w:jc w:val="both"/>
        <w:rPr>
          <w:rFonts w:ascii="Arial" w:hAnsi="Arial" w:cs="Arial"/>
          <w:b/>
          <w:bCs/>
          <w:i/>
          <w:iCs/>
        </w:rPr>
      </w:pPr>
      <w:r w:rsidRPr="00EF14C8">
        <w:rPr>
          <w:rFonts w:ascii="Arial" w:hAnsi="Arial" w:cs="Arial"/>
          <w:b/>
          <w:i/>
          <w:iCs/>
        </w:rPr>
        <w:t xml:space="preserve">Effets négatifs de la situation sans le Projet </w:t>
      </w:r>
    </w:p>
    <w:p w14:paraId="5D1377CF" w14:textId="77777777" w:rsidR="000E51F5" w:rsidRDefault="000E51F5" w:rsidP="000E51F5">
      <w:pPr>
        <w:autoSpaceDE w:val="0"/>
        <w:autoSpaceDN w:val="0"/>
        <w:adjustRightInd w:val="0"/>
        <w:spacing w:before="120" w:after="120"/>
        <w:jc w:val="both"/>
        <w:rPr>
          <w:rFonts w:ascii="Arial" w:hAnsi="Arial" w:cs="Arial"/>
        </w:rPr>
      </w:pPr>
      <w:r w:rsidRPr="004701AE">
        <w:rPr>
          <w:rFonts w:ascii="Arial" w:hAnsi="Arial" w:cs="Arial"/>
        </w:rPr>
        <w:t xml:space="preserve">Sans le Projet, la production énergétique en électricité reste relativement stable, </w:t>
      </w:r>
      <w:r w:rsidR="002F349A" w:rsidRPr="004701AE">
        <w:rPr>
          <w:rFonts w:ascii="Arial" w:hAnsi="Arial" w:cs="Arial"/>
        </w:rPr>
        <w:t>sinon de plus en plus insuffisante</w:t>
      </w:r>
      <w:r w:rsidRPr="004701AE">
        <w:rPr>
          <w:rFonts w:ascii="Arial" w:hAnsi="Arial" w:cs="Arial"/>
        </w:rPr>
        <w:t xml:space="preserve"> au fil des années. Le problème de délestage, va </w:t>
      </w:r>
      <w:r w:rsidR="002F349A" w:rsidRPr="004701AE">
        <w:rPr>
          <w:rFonts w:ascii="Arial" w:hAnsi="Arial" w:cs="Arial"/>
        </w:rPr>
        <w:t>de ce fait</w:t>
      </w:r>
      <w:r w:rsidRPr="004701AE">
        <w:rPr>
          <w:rFonts w:ascii="Arial" w:hAnsi="Arial" w:cs="Arial"/>
        </w:rPr>
        <w:t xml:space="preserve"> s’amplifier. </w:t>
      </w:r>
      <w:r w:rsidR="003F29B2">
        <w:rPr>
          <w:rFonts w:ascii="Arial" w:hAnsi="Arial" w:cs="Arial"/>
        </w:rPr>
        <w:t>L</w:t>
      </w:r>
      <w:r w:rsidR="004701AE" w:rsidRPr="004701AE">
        <w:rPr>
          <w:rFonts w:ascii="Arial" w:hAnsi="Arial" w:cs="Arial"/>
        </w:rPr>
        <w:t>e faible accès à la communication constitue un frein au développement socioéconomique local</w:t>
      </w:r>
      <w:r w:rsidRPr="004701AE">
        <w:rPr>
          <w:rFonts w:ascii="Arial" w:hAnsi="Arial" w:cs="Arial"/>
        </w:rPr>
        <w:t xml:space="preserve">. </w:t>
      </w:r>
    </w:p>
    <w:p w14:paraId="4EE833F6" w14:textId="77777777" w:rsidR="003F29B2" w:rsidRPr="00034EFF" w:rsidRDefault="003F29B2" w:rsidP="003F29B2">
      <w:pPr>
        <w:jc w:val="both"/>
        <w:rPr>
          <w:rFonts w:ascii="Arial" w:hAnsi="Arial" w:cs="Arial"/>
        </w:rPr>
      </w:pPr>
      <w:r>
        <w:rPr>
          <w:rFonts w:ascii="Arial" w:hAnsi="Arial" w:cs="Arial"/>
        </w:rPr>
        <w:t>Le</w:t>
      </w:r>
      <w:r w:rsidRPr="00034EFF">
        <w:rPr>
          <w:rFonts w:ascii="Arial" w:hAnsi="Arial" w:cs="Arial"/>
        </w:rPr>
        <w:t xml:space="preserve"> problème d’approvisionnement en électricité </w:t>
      </w:r>
      <w:r>
        <w:rPr>
          <w:rFonts w:ascii="Arial" w:hAnsi="Arial" w:cs="Arial"/>
        </w:rPr>
        <w:t>sur</w:t>
      </w:r>
      <w:r w:rsidRPr="00034EFF">
        <w:rPr>
          <w:rFonts w:ascii="Arial" w:hAnsi="Arial" w:cs="Arial"/>
        </w:rPr>
        <w:t xml:space="preserve"> l’ensemble du territoire se verra de plus en plus </w:t>
      </w:r>
      <w:r>
        <w:rPr>
          <w:rFonts w:ascii="Arial" w:hAnsi="Arial" w:cs="Arial"/>
        </w:rPr>
        <w:t>critique</w:t>
      </w:r>
      <w:r w:rsidRPr="00034EFF">
        <w:rPr>
          <w:rFonts w:ascii="Arial" w:hAnsi="Arial" w:cs="Arial"/>
        </w:rPr>
        <w:t xml:space="preserve">. En effet, la récurrence </w:t>
      </w:r>
      <w:r w:rsidRPr="6FF5A665">
        <w:rPr>
          <w:rFonts w:ascii="Arial" w:hAnsi="Arial" w:cs="Arial"/>
        </w:rPr>
        <w:t>des délestages</w:t>
      </w:r>
      <w:r w:rsidRPr="00034EFF">
        <w:rPr>
          <w:rFonts w:ascii="Arial" w:hAnsi="Arial" w:cs="Arial"/>
        </w:rPr>
        <w:t xml:space="preserve"> en combinaison avec la croissance démographique ne ferait que s’amplifier.</w:t>
      </w:r>
    </w:p>
    <w:p w14:paraId="3D1E568F" w14:textId="77777777" w:rsidR="003F29B2" w:rsidRPr="00034EFF" w:rsidRDefault="003F29B2" w:rsidP="003F29B2">
      <w:pPr>
        <w:jc w:val="both"/>
        <w:rPr>
          <w:rFonts w:ascii="Arial" w:hAnsi="Arial" w:cs="Arial"/>
          <w:bCs/>
        </w:rPr>
      </w:pPr>
      <w:r>
        <w:rPr>
          <w:rFonts w:ascii="Arial" w:hAnsi="Arial" w:cs="Arial"/>
          <w:bCs/>
        </w:rPr>
        <w:t>L</w:t>
      </w:r>
      <w:r w:rsidRPr="00034EFF">
        <w:rPr>
          <w:rFonts w:ascii="Arial" w:hAnsi="Arial" w:cs="Arial"/>
          <w:bCs/>
        </w:rPr>
        <w:t>’isolation des contrées lointaines du fait d’insuffisance d’interconnexion en matière de communication se fera sentir sur tous les plans de la vie sociale.</w:t>
      </w:r>
    </w:p>
    <w:p w14:paraId="4FEB7EE5" w14:textId="77777777" w:rsidR="003F29B2" w:rsidRPr="00034EFF" w:rsidRDefault="003F29B2" w:rsidP="003F29B2">
      <w:pPr>
        <w:jc w:val="both"/>
        <w:rPr>
          <w:rFonts w:ascii="Arial" w:hAnsi="Arial" w:cs="Arial"/>
          <w:bCs/>
        </w:rPr>
      </w:pPr>
      <w:r>
        <w:rPr>
          <w:rFonts w:ascii="Arial" w:hAnsi="Arial" w:cs="Arial"/>
        </w:rPr>
        <w:t>Le</w:t>
      </w:r>
      <w:r w:rsidRPr="00034EFF">
        <w:rPr>
          <w:rFonts w:ascii="Arial" w:hAnsi="Arial" w:cs="Arial"/>
        </w:rPr>
        <w:t xml:space="preserve"> développement économique dans les régions respectives se verrait également freiné par le manque d’énergie et les lacunes en matière de communication.</w:t>
      </w:r>
    </w:p>
    <w:p w14:paraId="186FF3F5" w14:textId="77777777" w:rsidR="003F29B2" w:rsidRDefault="003F29B2" w:rsidP="003F29B2">
      <w:pPr>
        <w:autoSpaceDE w:val="0"/>
        <w:autoSpaceDN w:val="0"/>
        <w:adjustRightInd w:val="0"/>
        <w:spacing w:before="120" w:after="120"/>
        <w:jc w:val="both"/>
        <w:rPr>
          <w:rFonts w:ascii="Arial" w:hAnsi="Arial" w:cs="Arial"/>
        </w:rPr>
      </w:pPr>
      <w:r w:rsidRPr="00034EFF">
        <w:rPr>
          <w:rFonts w:ascii="Arial" w:hAnsi="Arial" w:cs="Arial"/>
        </w:rPr>
        <w:t>En somme, c’est le développement global du pays qui se trouverait handicapé par la lacune énergétique que présenterait l’abandon du Projet. Cela irait à l’encontre du Plan émergence du Gouvernement Malagasy</w:t>
      </w:r>
      <w:r>
        <w:rPr>
          <w:rFonts w:ascii="Arial" w:hAnsi="Arial" w:cs="Arial"/>
        </w:rPr>
        <w:t xml:space="preserve"> notamment sur l’</w:t>
      </w:r>
      <w:r w:rsidRPr="005C122C">
        <w:rPr>
          <w:rFonts w:ascii="Arial" w:hAnsi="Arial" w:cs="Arial"/>
        </w:rPr>
        <w:t>Émergence environnementale : « Ressources naturelles et énergies renouvelables</w:t>
      </w:r>
      <w:r>
        <w:rPr>
          <w:rFonts w:ascii="Arial" w:hAnsi="Arial" w:cs="Arial"/>
        </w:rPr>
        <w:t xml:space="preserve"> </w:t>
      </w:r>
      <w:r w:rsidRPr="005C122C">
        <w:rPr>
          <w:rFonts w:ascii="Arial" w:hAnsi="Arial" w:cs="Arial"/>
        </w:rPr>
        <w:t xml:space="preserve">sauvegardées et exploitées rationnellement » pour diminuer </w:t>
      </w:r>
      <w:r w:rsidRPr="6FF5A665">
        <w:rPr>
          <w:rFonts w:ascii="Arial" w:hAnsi="Arial" w:cs="Arial"/>
        </w:rPr>
        <w:t>l’émission</w:t>
      </w:r>
      <w:r w:rsidRPr="005C122C">
        <w:rPr>
          <w:rFonts w:ascii="Arial" w:hAnsi="Arial" w:cs="Arial"/>
        </w:rPr>
        <w:t xml:space="preserve"> des gaz à effet de</w:t>
      </w:r>
      <w:r>
        <w:rPr>
          <w:rFonts w:ascii="Arial" w:hAnsi="Arial" w:cs="Arial"/>
        </w:rPr>
        <w:t xml:space="preserve"> </w:t>
      </w:r>
      <w:r w:rsidRPr="005C122C">
        <w:rPr>
          <w:rFonts w:ascii="Arial" w:hAnsi="Arial" w:cs="Arial"/>
        </w:rPr>
        <w:t xml:space="preserve">serre, les exploitations illicites des ressources </w:t>
      </w:r>
      <w:r w:rsidRPr="00EF14C8">
        <w:rPr>
          <w:rFonts w:ascii="Arial" w:hAnsi="Arial" w:cs="Arial"/>
        </w:rPr>
        <w:t>naturelles</w:t>
      </w:r>
      <w:r w:rsidRPr="005D6D41">
        <w:rPr>
          <w:rFonts w:ascii="Arial" w:eastAsia="Times New Roman" w:hAnsi="Arial" w:cs="Arial"/>
          <w:color w:val="000000"/>
        </w:rPr>
        <w:t>.</w:t>
      </w:r>
    </w:p>
    <w:p w14:paraId="19EEAC89" w14:textId="77777777" w:rsidR="000E51F5" w:rsidRPr="004701AE" w:rsidRDefault="000E51F5" w:rsidP="000E51F5">
      <w:pPr>
        <w:autoSpaceDE w:val="0"/>
        <w:autoSpaceDN w:val="0"/>
        <w:adjustRightInd w:val="0"/>
        <w:spacing w:before="120" w:after="120"/>
        <w:jc w:val="both"/>
        <w:rPr>
          <w:rFonts w:ascii="Arial" w:hAnsi="Arial" w:cs="Arial"/>
        </w:rPr>
      </w:pPr>
      <w:r w:rsidRPr="004701AE">
        <w:rPr>
          <w:rFonts w:ascii="Arial" w:hAnsi="Arial" w:cs="Arial"/>
        </w:rPr>
        <w:t xml:space="preserve">Les effets négatifs sans le Projet sont pour l’environnement, la biodiversité et la socio-économie : </w:t>
      </w:r>
    </w:p>
    <w:p w14:paraId="745DD5E3" w14:textId="77777777" w:rsidR="000E51F5" w:rsidRPr="00742D67" w:rsidRDefault="000E51F5" w:rsidP="00687DD2">
      <w:pPr>
        <w:pStyle w:val="Paragraphedeliste"/>
        <w:numPr>
          <w:ilvl w:val="0"/>
          <w:numId w:val="106"/>
        </w:numPr>
        <w:autoSpaceDE w:val="0"/>
        <w:autoSpaceDN w:val="0"/>
        <w:adjustRightInd w:val="0"/>
        <w:spacing w:before="120" w:after="120" w:line="240" w:lineRule="auto"/>
        <w:ind w:left="714" w:hanging="357"/>
        <w:jc w:val="both"/>
        <w:rPr>
          <w:rFonts w:ascii="Arial" w:hAnsi="Arial" w:cs="Arial"/>
          <w:color w:val="auto"/>
        </w:rPr>
      </w:pPr>
      <w:r w:rsidRPr="004701AE">
        <w:rPr>
          <w:rFonts w:ascii="Arial" w:hAnsi="Arial" w:cs="Arial"/>
        </w:rPr>
        <w:t>La production des énergies</w:t>
      </w:r>
      <w:r w:rsidR="004701AE" w:rsidRPr="004701AE">
        <w:rPr>
          <w:rFonts w:ascii="Arial" w:hAnsi="Arial" w:cs="Arial"/>
        </w:rPr>
        <w:t xml:space="preserve"> </w:t>
      </w:r>
      <w:r w:rsidRPr="004701AE">
        <w:rPr>
          <w:rFonts w:ascii="Arial" w:hAnsi="Arial" w:cs="Arial"/>
        </w:rPr>
        <w:t>continuera de façon</w:t>
      </w:r>
      <w:r w:rsidR="004701AE" w:rsidRPr="004701AE">
        <w:rPr>
          <w:rFonts w:ascii="Arial" w:hAnsi="Arial" w:cs="Arial"/>
        </w:rPr>
        <w:t xml:space="preserve"> </w:t>
      </w:r>
      <w:r w:rsidRPr="004701AE">
        <w:rPr>
          <w:rFonts w:ascii="Arial" w:hAnsi="Arial" w:cs="Arial"/>
        </w:rPr>
        <w:t>classique avec de groupes</w:t>
      </w:r>
      <w:r w:rsidR="004701AE" w:rsidRPr="004701AE">
        <w:rPr>
          <w:rFonts w:ascii="Arial" w:hAnsi="Arial" w:cs="Arial"/>
        </w:rPr>
        <w:t xml:space="preserve"> </w:t>
      </w:r>
      <w:r w:rsidRPr="004701AE">
        <w:rPr>
          <w:rFonts w:ascii="Arial" w:hAnsi="Arial" w:cs="Arial"/>
        </w:rPr>
        <w:t>électrogènes</w:t>
      </w:r>
      <w:r w:rsidR="004701AE" w:rsidRPr="004701AE">
        <w:rPr>
          <w:rFonts w:ascii="Arial" w:hAnsi="Arial" w:cs="Arial"/>
        </w:rPr>
        <w:t xml:space="preserve"> </w:t>
      </w:r>
      <w:r w:rsidRPr="004701AE">
        <w:rPr>
          <w:rFonts w:ascii="Arial" w:hAnsi="Arial" w:cs="Arial"/>
        </w:rPr>
        <w:t xml:space="preserve">utilisant des hydrocarbures qui produisent des GES </w:t>
      </w:r>
      <w:r w:rsidR="004701AE" w:rsidRPr="004701AE">
        <w:rPr>
          <w:rFonts w:ascii="Arial" w:hAnsi="Arial" w:cs="Arial"/>
        </w:rPr>
        <w:t>facteurs</w:t>
      </w:r>
      <w:r w:rsidRPr="004701AE">
        <w:rPr>
          <w:rFonts w:ascii="Arial" w:hAnsi="Arial" w:cs="Arial"/>
        </w:rPr>
        <w:t xml:space="preserve"> </w:t>
      </w:r>
      <w:r w:rsidR="004701AE" w:rsidRPr="004701AE">
        <w:rPr>
          <w:rFonts w:ascii="Arial" w:hAnsi="Arial" w:cs="Arial"/>
        </w:rPr>
        <w:t>de</w:t>
      </w:r>
      <w:r w:rsidRPr="004701AE">
        <w:rPr>
          <w:rFonts w:ascii="Arial" w:hAnsi="Arial" w:cs="Arial"/>
        </w:rPr>
        <w:t xml:space="preserve"> changement</w:t>
      </w:r>
      <w:r w:rsidR="004701AE" w:rsidRPr="004701AE">
        <w:rPr>
          <w:rFonts w:ascii="Arial" w:hAnsi="Arial" w:cs="Arial"/>
        </w:rPr>
        <w:t xml:space="preserve"> </w:t>
      </w:r>
      <w:r w:rsidRPr="004701AE">
        <w:rPr>
          <w:rFonts w:ascii="Arial" w:hAnsi="Arial" w:cs="Arial"/>
        </w:rPr>
        <w:t>climatique</w:t>
      </w:r>
      <w:r w:rsidR="004701AE" w:rsidRPr="004701AE">
        <w:rPr>
          <w:rFonts w:ascii="Arial" w:hAnsi="Arial" w:cs="Arial"/>
        </w:rPr>
        <w:t xml:space="preserve"> </w:t>
      </w:r>
      <w:r w:rsidRPr="004701AE">
        <w:rPr>
          <w:rFonts w:ascii="Arial" w:hAnsi="Arial" w:cs="Arial"/>
        </w:rPr>
        <w:t>(augmentation de la température, manque de précipitation, violentes catastrophes naturelles</w:t>
      </w:r>
      <w:r w:rsidR="004701AE" w:rsidRPr="004701AE">
        <w:rPr>
          <w:rFonts w:ascii="Arial" w:hAnsi="Arial" w:cs="Arial"/>
        </w:rPr>
        <w:t xml:space="preserve"> </w:t>
      </w:r>
      <w:r w:rsidRPr="004701AE">
        <w:rPr>
          <w:rFonts w:ascii="Arial" w:hAnsi="Arial" w:cs="Arial"/>
        </w:rPr>
        <w:t>comme le cyclone et le séisme, etc.). Les fumées</w:t>
      </w:r>
      <w:r w:rsidR="004701AE" w:rsidRPr="004701AE">
        <w:rPr>
          <w:rFonts w:ascii="Arial" w:hAnsi="Arial" w:cs="Arial"/>
        </w:rPr>
        <w:t xml:space="preserve"> </w:t>
      </w:r>
      <w:r w:rsidRPr="004701AE">
        <w:rPr>
          <w:rFonts w:ascii="Arial" w:hAnsi="Arial" w:cs="Arial"/>
        </w:rPr>
        <w:t>dégagées</w:t>
      </w:r>
      <w:r w:rsidR="004701AE" w:rsidRPr="004701AE">
        <w:rPr>
          <w:rFonts w:ascii="Arial" w:hAnsi="Arial" w:cs="Arial"/>
        </w:rPr>
        <w:t xml:space="preserve"> </w:t>
      </w:r>
      <w:r w:rsidRPr="004701AE">
        <w:rPr>
          <w:rFonts w:ascii="Arial" w:hAnsi="Arial" w:cs="Arial"/>
        </w:rPr>
        <w:t>sont la cause de la pollution de l’air. Les déversements</w:t>
      </w:r>
      <w:r w:rsidR="004701AE" w:rsidRPr="004701AE">
        <w:rPr>
          <w:rFonts w:ascii="Arial" w:hAnsi="Arial" w:cs="Arial"/>
        </w:rPr>
        <w:t xml:space="preserve"> </w:t>
      </w:r>
      <w:r w:rsidRPr="004701AE">
        <w:rPr>
          <w:rFonts w:ascii="Arial" w:hAnsi="Arial" w:cs="Arial"/>
        </w:rPr>
        <w:t>accidentels des substances polluantes</w:t>
      </w:r>
      <w:r w:rsidR="004701AE" w:rsidRPr="004701AE">
        <w:rPr>
          <w:rFonts w:ascii="Arial" w:hAnsi="Arial" w:cs="Arial"/>
        </w:rPr>
        <w:t xml:space="preserve"> </w:t>
      </w:r>
      <w:r w:rsidRPr="004701AE">
        <w:rPr>
          <w:rFonts w:ascii="Arial" w:hAnsi="Arial" w:cs="Arial"/>
        </w:rPr>
        <w:t xml:space="preserve">sont à </w:t>
      </w:r>
      <w:r w:rsidRPr="00742D67">
        <w:rPr>
          <w:rFonts w:ascii="Arial" w:hAnsi="Arial" w:cs="Arial"/>
          <w:color w:val="auto"/>
        </w:rPr>
        <w:t>l’origine de la pollution du sol et du sous-sol, des eaux</w:t>
      </w:r>
      <w:r w:rsidR="5E2A0AB3" w:rsidRPr="00742D67">
        <w:rPr>
          <w:rFonts w:ascii="Arial" w:hAnsi="Arial" w:cs="Arial"/>
          <w:color w:val="auto"/>
        </w:rPr>
        <w:t xml:space="preserve">, et </w:t>
      </w:r>
      <w:r w:rsidR="0873491D" w:rsidRPr="00742D67">
        <w:rPr>
          <w:rFonts w:ascii="Arial" w:hAnsi="Arial" w:cs="Arial"/>
          <w:color w:val="auto"/>
        </w:rPr>
        <w:t>du milieu dans son ensemble</w:t>
      </w:r>
      <w:r w:rsidRPr="00742D67">
        <w:rPr>
          <w:rFonts w:ascii="Arial" w:hAnsi="Arial" w:cs="Arial"/>
          <w:color w:val="auto"/>
        </w:rPr>
        <w:t xml:space="preserve">. </w:t>
      </w:r>
      <w:r w:rsidR="003F29B2" w:rsidRPr="00742D67">
        <w:rPr>
          <w:rFonts w:ascii="Arial" w:hAnsi="Arial" w:cs="Arial"/>
          <w:color w:val="auto"/>
        </w:rPr>
        <w:t>De plus, les bruits et les vibrations provenant des groupes électrogènes</w:t>
      </w:r>
      <w:r w:rsidR="00E423A8" w:rsidRPr="00742D67">
        <w:rPr>
          <w:rFonts w:ascii="Arial" w:hAnsi="Arial" w:cs="Arial"/>
          <w:color w:val="auto"/>
        </w:rPr>
        <w:t xml:space="preserve"> </w:t>
      </w:r>
      <w:r w:rsidR="003F29B2" w:rsidRPr="00742D67">
        <w:rPr>
          <w:rFonts w:ascii="Arial" w:hAnsi="Arial" w:cs="Arial"/>
          <w:color w:val="auto"/>
        </w:rPr>
        <w:t>causeront des nuisances sonores au sein des habitants près du site.</w:t>
      </w:r>
    </w:p>
    <w:p w14:paraId="4EE368AA" w14:textId="77777777" w:rsidR="000E51F5" w:rsidRPr="00742D67" w:rsidRDefault="000E51F5" w:rsidP="00687DD2">
      <w:pPr>
        <w:pStyle w:val="Paragraphedeliste"/>
        <w:numPr>
          <w:ilvl w:val="1"/>
          <w:numId w:val="105"/>
        </w:numPr>
        <w:autoSpaceDE w:val="0"/>
        <w:autoSpaceDN w:val="0"/>
        <w:adjustRightInd w:val="0"/>
        <w:spacing w:before="120" w:after="120" w:line="240" w:lineRule="auto"/>
        <w:ind w:left="714" w:hanging="357"/>
        <w:jc w:val="both"/>
        <w:rPr>
          <w:rFonts w:ascii="Arial" w:hAnsi="Arial" w:cs="Arial"/>
          <w:color w:val="auto"/>
        </w:rPr>
      </w:pPr>
      <w:r w:rsidRPr="00742D67">
        <w:rPr>
          <w:rFonts w:ascii="Arial" w:hAnsi="Arial" w:cs="Arial"/>
          <w:color w:val="auto"/>
        </w:rPr>
        <w:t>Les effets du changement</w:t>
      </w:r>
      <w:r w:rsidR="004701AE" w:rsidRPr="00742D67">
        <w:rPr>
          <w:rFonts w:ascii="Arial" w:hAnsi="Arial" w:cs="Arial"/>
          <w:color w:val="auto"/>
        </w:rPr>
        <w:t xml:space="preserve"> </w:t>
      </w:r>
      <w:r w:rsidRPr="00742D67">
        <w:rPr>
          <w:rFonts w:ascii="Arial" w:hAnsi="Arial" w:cs="Arial"/>
          <w:color w:val="auto"/>
        </w:rPr>
        <w:t>climatique</w:t>
      </w:r>
      <w:r w:rsidR="004701AE" w:rsidRPr="00742D67">
        <w:rPr>
          <w:rFonts w:ascii="Arial" w:hAnsi="Arial" w:cs="Arial"/>
          <w:color w:val="auto"/>
        </w:rPr>
        <w:t xml:space="preserve"> </w:t>
      </w:r>
      <w:r w:rsidRPr="00742D67">
        <w:rPr>
          <w:rFonts w:ascii="Arial" w:hAnsi="Arial" w:cs="Arial"/>
          <w:color w:val="auto"/>
        </w:rPr>
        <w:t>sont</w:t>
      </w:r>
      <w:r w:rsidR="004701AE" w:rsidRPr="00742D67">
        <w:rPr>
          <w:rFonts w:ascii="Arial" w:hAnsi="Arial" w:cs="Arial"/>
          <w:color w:val="auto"/>
        </w:rPr>
        <w:t xml:space="preserve"> </w:t>
      </w:r>
      <w:r w:rsidRPr="00742D67">
        <w:rPr>
          <w:rFonts w:ascii="Arial" w:hAnsi="Arial" w:cs="Arial"/>
          <w:color w:val="auto"/>
        </w:rPr>
        <w:t>néfastes sur la biodiversité</w:t>
      </w:r>
      <w:r w:rsidR="004701AE" w:rsidRPr="00742D67">
        <w:rPr>
          <w:rFonts w:ascii="Arial" w:hAnsi="Arial" w:cs="Arial"/>
          <w:color w:val="auto"/>
        </w:rPr>
        <w:t xml:space="preserve"> et </w:t>
      </w:r>
      <w:r w:rsidRPr="00742D67">
        <w:rPr>
          <w:rFonts w:ascii="Arial" w:hAnsi="Arial" w:cs="Arial"/>
          <w:color w:val="auto"/>
        </w:rPr>
        <w:t>conduisant à sa</w:t>
      </w:r>
      <w:r w:rsidR="004701AE" w:rsidRPr="00742D67">
        <w:rPr>
          <w:rFonts w:ascii="Arial" w:hAnsi="Arial" w:cs="Arial"/>
          <w:color w:val="auto"/>
        </w:rPr>
        <w:t xml:space="preserve"> </w:t>
      </w:r>
      <w:r w:rsidRPr="00742D67">
        <w:rPr>
          <w:rFonts w:ascii="Arial" w:hAnsi="Arial" w:cs="Arial"/>
          <w:color w:val="auto"/>
        </w:rPr>
        <w:t>disparition</w:t>
      </w:r>
      <w:r w:rsidR="004701AE" w:rsidRPr="00742D67">
        <w:rPr>
          <w:rFonts w:ascii="Arial" w:hAnsi="Arial" w:cs="Arial"/>
          <w:color w:val="auto"/>
        </w:rPr>
        <w:t xml:space="preserve"> </w:t>
      </w:r>
      <w:r w:rsidRPr="00742D67">
        <w:rPr>
          <w:rFonts w:ascii="Arial" w:hAnsi="Arial" w:cs="Arial"/>
          <w:color w:val="auto"/>
        </w:rPr>
        <w:t>en</w:t>
      </w:r>
      <w:r w:rsidR="004701AE" w:rsidRPr="00742D67">
        <w:rPr>
          <w:rFonts w:ascii="Arial" w:hAnsi="Arial" w:cs="Arial"/>
          <w:color w:val="auto"/>
        </w:rPr>
        <w:t xml:space="preserve"> </w:t>
      </w:r>
      <w:r w:rsidRPr="00742D67">
        <w:rPr>
          <w:rFonts w:ascii="Arial" w:hAnsi="Arial" w:cs="Arial"/>
          <w:color w:val="auto"/>
        </w:rPr>
        <w:t>agissant sur les paramètres</w:t>
      </w:r>
      <w:r w:rsidR="004701AE" w:rsidRPr="00742D67">
        <w:rPr>
          <w:rFonts w:ascii="Arial" w:hAnsi="Arial" w:cs="Arial"/>
          <w:color w:val="auto"/>
        </w:rPr>
        <w:t xml:space="preserve"> </w:t>
      </w:r>
      <w:r w:rsidRPr="00742D67">
        <w:rPr>
          <w:rFonts w:ascii="Arial" w:hAnsi="Arial" w:cs="Arial"/>
          <w:color w:val="auto"/>
        </w:rPr>
        <w:t>climatiques et environnementaux et en</w:t>
      </w:r>
      <w:r w:rsidR="004701AE" w:rsidRPr="00742D67">
        <w:rPr>
          <w:rFonts w:ascii="Arial" w:hAnsi="Arial" w:cs="Arial"/>
          <w:color w:val="auto"/>
        </w:rPr>
        <w:t xml:space="preserve"> </w:t>
      </w:r>
      <w:r w:rsidRPr="00742D67">
        <w:rPr>
          <w:rFonts w:ascii="Arial" w:hAnsi="Arial" w:cs="Arial"/>
          <w:color w:val="auto"/>
        </w:rPr>
        <w:t xml:space="preserve">changeant la structure des habitats. </w:t>
      </w:r>
    </w:p>
    <w:p w14:paraId="05331DB3" w14:textId="77777777" w:rsidR="000E51F5" w:rsidRPr="00742D67" w:rsidRDefault="000E51F5" w:rsidP="00687DD2">
      <w:pPr>
        <w:pStyle w:val="Paragraphedeliste"/>
        <w:numPr>
          <w:ilvl w:val="1"/>
          <w:numId w:val="105"/>
        </w:numPr>
        <w:autoSpaceDE w:val="0"/>
        <w:autoSpaceDN w:val="0"/>
        <w:adjustRightInd w:val="0"/>
        <w:spacing w:before="120" w:after="120" w:line="240" w:lineRule="auto"/>
        <w:ind w:left="714" w:hanging="357"/>
        <w:jc w:val="both"/>
        <w:rPr>
          <w:rFonts w:ascii="Arial" w:hAnsi="Arial" w:cs="Arial"/>
          <w:color w:val="auto"/>
        </w:rPr>
      </w:pPr>
      <w:r w:rsidRPr="00742D67">
        <w:rPr>
          <w:rFonts w:ascii="Arial" w:hAnsi="Arial" w:cs="Arial"/>
          <w:color w:val="auto"/>
        </w:rPr>
        <w:t>Les déversements</w:t>
      </w:r>
      <w:r w:rsidR="004701AE" w:rsidRPr="00742D67">
        <w:rPr>
          <w:rFonts w:ascii="Arial" w:hAnsi="Arial" w:cs="Arial"/>
          <w:color w:val="auto"/>
        </w:rPr>
        <w:t xml:space="preserve"> </w:t>
      </w:r>
      <w:r w:rsidRPr="00742D67">
        <w:rPr>
          <w:rFonts w:ascii="Arial" w:hAnsi="Arial" w:cs="Arial"/>
          <w:color w:val="auto"/>
        </w:rPr>
        <w:t>accidentels des substances polluantes</w:t>
      </w:r>
      <w:r w:rsidR="004701AE" w:rsidRPr="00742D67">
        <w:rPr>
          <w:rFonts w:ascii="Arial" w:hAnsi="Arial" w:cs="Arial"/>
          <w:color w:val="auto"/>
        </w:rPr>
        <w:t xml:space="preserve"> </w:t>
      </w:r>
      <w:r w:rsidRPr="00742D67">
        <w:rPr>
          <w:rFonts w:ascii="Arial" w:hAnsi="Arial" w:cs="Arial"/>
          <w:color w:val="auto"/>
        </w:rPr>
        <w:t>ont des impacts sur la biodiversité</w:t>
      </w:r>
      <w:r w:rsidR="004701AE" w:rsidRPr="00742D67">
        <w:rPr>
          <w:rFonts w:ascii="Arial" w:hAnsi="Arial" w:cs="Arial"/>
          <w:color w:val="auto"/>
        </w:rPr>
        <w:t xml:space="preserve"> </w:t>
      </w:r>
      <w:r w:rsidRPr="00742D67">
        <w:rPr>
          <w:rFonts w:ascii="Arial" w:hAnsi="Arial" w:cs="Arial"/>
          <w:color w:val="auto"/>
        </w:rPr>
        <w:t xml:space="preserve">terrestre et </w:t>
      </w:r>
      <w:r w:rsidR="004701AE" w:rsidRPr="00742D67">
        <w:rPr>
          <w:rFonts w:ascii="Arial" w:hAnsi="Arial" w:cs="Arial"/>
          <w:color w:val="auto"/>
        </w:rPr>
        <w:t>aquatique</w:t>
      </w:r>
      <w:r w:rsidRPr="00742D67">
        <w:rPr>
          <w:rFonts w:ascii="Arial" w:hAnsi="Arial" w:cs="Arial"/>
          <w:color w:val="auto"/>
        </w:rPr>
        <w:t>.</w:t>
      </w:r>
    </w:p>
    <w:p w14:paraId="15070AA3" w14:textId="77777777" w:rsidR="000E51F5" w:rsidRPr="00742D67" w:rsidRDefault="000E51F5" w:rsidP="00687DD2">
      <w:pPr>
        <w:pStyle w:val="Paragraphedeliste"/>
        <w:numPr>
          <w:ilvl w:val="1"/>
          <w:numId w:val="105"/>
        </w:numPr>
        <w:autoSpaceDE w:val="0"/>
        <w:autoSpaceDN w:val="0"/>
        <w:adjustRightInd w:val="0"/>
        <w:spacing w:before="120" w:after="120" w:line="240" w:lineRule="auto"/>
        <w:ind w:left="714" w:hanging="357"/>
        <w:jc w:val="both"/>
        <w:rPr>
          <w:rFonts w:ascii="Arial" w:hAnsi="Arial" w:cs="Arial"/>
          <w:color w:val="auto"/>
        </w:rPr>
      </w:pPr>
      <w:r w:rsidRPr="00742D67">
        <w:rPr>
          <w:rFonts w:ascii="Arial" w:hAnsi="Arial" w:cs="Arial"/>
          <w:color w:val="auto"/>
        </w:rPr>
        <w:t>Les coûts de production à partir de groupes</w:t>
      </w:r>
      <w:r w:rsidR="004701AE" w:rsidRPr="00742D67">
        <w:rPr>
          <w:rFonts w:ascii="Arial" w:hAnsi="Arial" w:cs="Arial"/>
          <w:color w:val="auto"/>
        </w:rPr>
        <w:t xml:space="preserve"> </w:t>
      </w:r>
      <w:r w:rsidRPr="00742D67">
        <w:rPr>
          <w:rFonts w:ascii="Arial" w:hAnsi="Arial" w:cs="Arial"/>
          <w:color w:val="auto"/>
        </w:rPr>
        <w:t>électrogènes</w:t>
      </w:r>
      <w:r w:rsidR="004701AE" w:rsidRPr="00742D67">
        <w:rPr>
          <w:rFonts w:ascii="Arial" w:hAnsi="Arial" w:cs="Arial"/>
          <w:color w:val="auto"/>
        </w:rPr>
        <w:t xml:space="preserve"> </w:t>
      </w:r>
      <w:r w:rsidRPr="00742D67">
        <w:rPr>
          <w:rFonts w:ascii="Arial" w:hAnsi="Arial" w:cs="Arial"/>
          <w:color w:val="auto"/>
        </w:rPr>
        <w:t>utilisant des hydrocarbures</w:t>
      </w:r>
      <w:r w:rsidR="004701AE" w:rsidRPr="00742D67">
        <w:rPr>
          <w:rFonts w:ascii="Arial" w:hAnsi="Arial" w:cs="Arial"/>
          <w:color w:val="auto"/>
        </w:rPr>
        <w:t xml:space="preserve"> </w:t>
      </w:r>
      <w:r w:rsidRPr="00742D67">
        <w:rPr>
          <w:rFonts w:ascii="Arial" w:hAnsi="Arial" w:cs="Arial"/>
          <w:color w:val="auto"/>
        </w:rPr>
        <w:t>importés</w:t>
      </w:r>
      <w:r w:rsidR="004701AE" w:rsidRPr="00742D67">
        <w:rPr>
          <w:rFonts w:ascii="Arial" w:hAnsi="Arial" w:cs="Arial"/>
          <w:color w:val="auto"/>
        </w:rPr>
        <w:t xml:space="preserve"> </w:t>
      </w:r>
      <w:r w:rsidRPr="00742D67">
        <w:rPr>
          <w:rFonts w:ascii="Arial" w:hAnsi="Arial" w:cs="Arial"/>
          <w:color w:val="auto"/>
        </w:rPr>
        <w:t>sont</w:t>
      </w:r>
      <w:r w:rsidR="004701AE" w:rsidRPr="00742D67">
        <w:rPr>
          <w:rFonts w:ascii="Arial" w:hAnsi="Arial" w:cs="Arial"/>
          <w:color w:val="auto"/>
        </w:rPr>
        <w:t xml:space="preserve"> </w:t>
      </w:r>
      <w:r w:rsidRPr="00742D67">
        <w:rPr>
          <w:rFonts w:ascii="Arial" w:hAnsi="Arial" w:cs="Arial"/>
          <w:color w:val="auto"/>
        </w:rPr>
        <w:t>élevés</w:t>
      </w:r>
      <w:r w:rsidR="004701AE" w:rsidRPr="00742D67">
        <w:rPr>
          <w:rFonts w:ascii="Arial" w:hAnsi="Arial" w:cs="Arial"/>
          <w:color w:val="auto"/>
        </w:rPr>
        <w:t xml:space="preserve"> </w:t>
      </w:r>
      <w:r w:rsidRPr="00742D67">
        <w:rPr>
          <w:rFonts w:ascii="Arial" w:hAnsi="Arial" w:cs="Arial"/>
          <w:color w:val="auto"/>
        </w:rPr>
        <w:t>mettant</w:t>
      </w:r>
      <w:r w:rsidR="004701AE" w:rsidRPr="00742D67">
        <w:rPr>
          <w:rFonts w:ascii="Arial" w:hAnsi="Arial" w:cs="Arial"/>
          <w:color w:val="auto"/>
        </w:rPr>
        <w:t xml:space="preserve"> </w:t>
      </w:r>
      <w:r w:rsidRPr="00742D67">
        <w:rPr>
          <w:rFonts w:ascii="Arial" w:hAnsi="Arial" w:cs="Arial"/>
          <w:color w:val="auto"/>
        </w:rPr>
        <w:t>en</w:t>
      </w:r>
      <w:r w:rsidR="004701AE" w:rsidRPr="00742D67">
        <w:rPr>
          <w:rFonts w:ascii="Arial" w:hAnsi="Arial" w:cs="Arial"/>
          <w:color w:val="auto"/>
        </w:rPr>
        <w:t xml:space="preserve"> </w:t>
      </w:r>
      <w:r w:rsidRPr="00742D67">
        <w:rPr>
          <w:rFonts w:ascii="Arial" w:hAnsi="Arial" w:cs="Arial"/>
          <w:color w:val="auto"/>
        </w:rPr>
        <w:t>péril à moyen et à long terme</w:t>
      </w:r>
      <w:r w:rsidR="004701AE" w:rsidRPr="00742D67">
        <w:rPr>
          <w:rFonts w:ascii="Arial" w:hAnsi="Arial" w:cs="Arial"/>
          <w:color w:val="auto"/>
        </w:rPr>
        <w:t xml:space="preserve"> la situation des fournisseurs dont la JIRAMA</w:t>
      </w:r>
      <w:r w:rsidRPr="00742D67">
        <w:rPr>
          <w:rFonts w:ascii="Arial" w:hAnsi="Arial" w:cs="Arial"/>
          <w:color w:val="auto"/>
        </w:rPr>
        <w:t>.</w:t>
      </w:r>
    </w:p>
    <w:p w14:paraId="4A2FC1F1" w14:textId="77777777" w:rsidR="0039047D" w:rsidRPr="00742D67" w:rsidRDefault="00212EBD" w:rsidP="00212EBD">
      <w:pPr>
        <w:pStyle w:val="Paragraphedeliste"/>
        <w:numPr>
          <w:ilvl w:val="1"/>
          <w:numId w:val="105"/>
        </w:numPr>
        <w:autoSpaceDE w:val="0"/>
        <w:autoSpaceDN w:val="0"/>
        <w:adjustRightInd w:val="0"/>
        <w:spacing w:before="120" w:after="120" w:line="240" w:lineRule="auto"/>
        <w:ind w:left="714" w:hanging="357"/>
        <w:jc w:val="both"/>
        <w:rPr>
          <w:rFonts w:ascii="Arial" w:hAnsi="Arial" w:cs="Arial"/>
          <w:color w:val="auto"/>
        </w:rPr>
      </w:pPr>
      <w:r w:rsidRPr="00742D67">
        <w:rPr>
          <w:rFonts w:ascii="Arial" w:hAnsi="Arial" w:cs="Arial"/>
          <w:color w:val="auto"/>
        </w:rPr>
        <w:t>Le taux d’analphabétisation dans le domaine du numérique restera élevé et aucun progrès ne sera enregistré en termes d’amélioration des communications notamment en milieu rural.</w:t>
      </w:r>
    </w:p>
    <w:p w14:paraId="25301345" w14:textId="77777777" w:rsidR="0039047D" w:rsidRPr="007F78CE" w:rsidRDefault="0039047D" w:rsidP="0044500E">
      <w:pPr>
        <w:pStyle w:val="TIT2"/>
        <w:numPr>
          <w:ilvl w:val="1"/>
          <w:numId w:val="177"/>
        </w:numPr>
      </w:pPr>
      <w:bookmarkStart w:id="774" w:name="_Toc124314727"/>
      <w:bookmarkStart w:id="775" w:name="_Toc124956208"/>
      <w:bookmarkStart w:id="776" w:name="_Toc125384604"/>
      <w:bookmarkStart w:id="777" w:name="_Toc125384993"/>
      <w:bookmarkStart w:id="778" w:name="_Toc127957665"/>
      <w:r w:rsidRPr="007F78CE">
        <w:t>Situation avec Projet</w:t>
      </w:r>
      <w:bookmarkEnd w:id="774"/>
      <w:bookmarkEnd w:id="775"/>
      <w:bookmarkEnd w:id="776"/>
      <w:bookmarkEnd w:id="777"/>
      <w:bookmarkEnd w:id="778"/>
    </w:p>
    <w:p w14:paraId="405FF3F1" w14:textId="77777777" w:rsidR="00BC1191" w:rsidRPr="0034790A" w:rsidRDefault="00BC1191" w:rsidP="009A0954">
      <w:pPr>
        <w:spacing w:before="120" w:after="120" w:line="240" w:lineRule="auto"/>
        <w:jc w:val="both"/>
        <w:rPr>
          <w:rFonts w:ascii="Arial" w:hAnsi="Arial" w:cs="Arial"/>
        </w:rPr>
      </w:pPr>
      <w:r w:rsidRPr="0034790A">
        <w:rPr>
          <w:rFonts w:ascii="Arial" w:hAnsi="Arial" w:cs="Arial"/>
          <w:color w:val="000000"/>
        </w:rPr>
        <w:t>« Avec le Projet » signifie la mise en œuvre des activités éligibles dans le cadre des composantes et des sous-composantes.</w:t>
      </w:r>
    </w:p>
    <w:p w14:paraId="3C1E2F08" w14:textId="77777777" w:rsidR="00212EBD" w:rsidRPr="00E55EAF" w:rsidRDefault="00212EBD" w:rsidP="00212EBD">
      <w:pPr>
        <w:spacing w:before="120" w:after="120" w:line="240" w:lineRule="auto"/>
        <w:jc w:val="both"/>
        <w:rPr>
          <w:rFonts w:ascii="Arial" w:hAnsi="Arial" w:cs="Arial"/>
          <w:b/>
          <w:bCs/>
          <w:i/>
          <w:iCs/>
        </w:rPr>
      </w:pPr>
      <w:bookmarkStart w:id="779" w:name="_Hlk90316215"/>
      <w:bookmarkEnd w:id="779"/>
      <w:r w:rsidRPr="00E55EAF">
        <w:rPr>
          <w:rFonts w:ascii="Arial" w:hAnsi="Arial" w:cs="Arial"/>
          <w:b/>
          <w:i/>
          <w:iCs/>
        </w:rPr>
        <w:t xml:space="preserve">Impacts positifs de la situation avec le Projet </w:t>
      </w:r>
    </w:p>
    <w:p w14:paraId="6CFF0E82" w14:textId="77777777" w:rsidR="00BC1191" w:rsidRPr="0034790A" w:rsidRDefault="00BC1191" w:rsidP="009A0954">
      <w:pPr>
        <w:spacing w:before="120" w:after="120" w:line="240" w:lineRule="auto"/>
        <w:jc w:val="both"/>
        <w:rPr>
          <w:rFonts w:ascii="Arial" w:hAnsi="Arial" w:cs="Arial"/>
        </w:rPr>
      </w:pPr>
      <w:r w:rsidRPr="0034790A">
        <w:rPr>
          <w:rFonts w:ascii="Arial" w:hAnsi="Arial" w:cs="Arial"/>
        </w:rPr>
        <w:t xml:space="preserve">Les avantages et les impacts positifs découlant de la mise en œuvre du Projet </w:t>
      </w:r>
      <w:r w:rsidR="0034790A" w:rsidRPr="0034790A">
        <w:rPr>
          <w:rFonts w:ascii="Arial" w:hAnsi="Arial" w:cs="Arial"/>
        </w:rPr>
        <w:t>DECIM</w:t>
      </w:r>
      <w:r w:rsidRPr="0034790A">
        <w:rPr>
          <w:rFonts w:ascii="Arial" w:hAnsi="Arial" w:cs="Arial"/>
        </w:rPr>
        <w:t xml:space="preserve"> sont considérables, tant à l’échelle </w:t>
      </w:r>
      <w:r w:rsidR="0034790A" w:rsidRPr="0034790A">
        <w:rPr>
          <w:rFonts w:ascii="Arial" w:hAnsi="Arial" w:cs="Arial"/>
        </w:rPr>
        <w:t>locale que régionale</w:t>
      </w:r>
      <w:r w:rsidRPr="0034790A">
        <w:rPr>
          <w:rFonts w:ascii="Arial" w:hAnsi="Arial" w:cs="Arial"/>
        </w:rPr>
        <w:t xml:space="preserve">, </w:t>
      </w:r>
      <w:r w:rsidR="0034790A" w:rsidRPr="0034790A">
        <w:rPr>
          <w:rFonts w:ascii="Arial" w:hAnsi="Arial" w:cs="Arial"/>
        </w:rPr>
        <w:t>voire au niveau du pays</w:t>
      </w:r>
      <w:r w:rsidRPr="0034790A">
        <w:rPr>
          <w:rFonts w:ascii="Arial" w:hAnsi="Arial" w:cs="Arial"/>
        </w:rPr>
        <w:t xml:space="preserve">. </w:t>
      </w:r>
    </w:p>
    <w:p w14:paraId="0FDC91CF" w14:textId="77777777" w:rsidR="00F97D10" w:rsidRPr="00E55EAF" w:rsidRDefault="00F97D10" w:rsidP="00F97D10">
      <w:pPr>
        <w:spacing w:before="120" w:after="120" w:line="240" w:lineRule="auto"/>
        <w:jc w:val="both"/>
        <w:rPr>
          <w:rFonts w:ascii="Arial" w:hAnsi="Arial" w:cs="Arial"/>
        </w:rPr>
      </w:pPr>
      <w:r w:rsidRPr="00E55EAF">
        <w:rPr>
          <w:rFonts w:ascii="Arial" w:hAnsi="Arial" w:cs="Arial"/>
        </w:rPr>
        <w:t xml:space="preserve">On peut s’attendre à un changement dans la structure de la demande d’énergie mais aussi dans le domaine de la télécommunication. Plus exactement, il y aura plus de consommation des énergies renouvelables, </w:t>
      </w:r>
      <w:r>
        <w:rPr>
          <w:rFonts w:ascii="Arial" w:hAnsi="Arial" w:cs="Arial"/>
        </w:rPr>
        <w:t xml:space="preserve">réduisant ainsi le recours aux </w:t>
      </w:r>
      <w:r w:rsidRPr="00E55EAF">
        <w:rPr>
          <w:rFonts w:ascii="Arial" w:hAnsi="Arial" w:cs="Arial"/>
        </w:rPr>
        <w:t xml:space="preserve">produits pétroliers et bois d’énergie. </w:t>
      </w:r>
      <w:r w:rsidRPr="005965D6">
        <w:rPr>
          <w:rFonts w:ascii="Arial" w:hAnsi="Arial" w:cs="Arial"/>
        </w:rPr>
        <w:t>En effet, la grande majorité des particuliers a maintenant recours au pétrole pour la cuisson domestique. Dans l’hypothèse de la promotion de l’énergie électrique auprès des ménages, l’utilisation du pétrole domestique pourrait décliner au fil des années.</w:t>
      </w:r>
    </w:p>
    <w:p w14:paraId="1BD259FD" w14:textId="77777777" w:rsidR="00BC1191" w:rsidRDefault="00BC1191" w:rsidP="009A0954">
      <w:pPr>
        <w:spacing w:before="120" w:after="120" w:line="240" w:lineRule="auto"/>
        <w:jc w:val="both"/>
        <w:rPr>
          <w:rFonts w:ascii="Arial" w:hAnsi="Arial" w:cs="Arial"/>
        </w:rPr>
      </w:pPr>
      <w:r w:rsidRPr="005965D6">
        <w:rPr>
          <w:rFonts w:ascii="Arial" w:hAnsi="Arial" w:cs="Arial"/>
        </w:rPr>
        <w:t>A l’échelle locale, la mise en place et l’exploitation des unités de production est en premier lieu génératrice et créatrice de nouveaux emplois locaux quoique temporaires pour la majorité de cas.</w:t>
      </w:r>
    </w:p>
    <w:p w14:paraId="6FD303B1" w14:textId="77777777" w:rsidR="005965D6" w:rsidRPr="005965D6" w:rsidRDefault="005965D6" w:rsidP="009A0954">
      <w:pPr>
        <w:spacing w:before="120" w:after="120" w:line="240" w:lineRule="auto"/>
        <w:jc w:val="both"/>
        <w:rPr>
          <w:rFonts w:ascii="Arial" w:hAnsi="Arial" w:cs="Arial"/>
        </w:rPr>
      </w:pPr>
      <w:r>
        <w:rPr>
          <w:rFonts w:ascii="Arial" w:hAnsi="Arial" w:cs="Arial"/>
        </w:rPr>
        <w:t xml:space="preserve">Par ailleurs, la densification des tours cellulaires </w:t>
      </w:r>
      <w:r w:rsidR="00BB0295">
        <w:rPr>
          <w:rFonts w:ascii="Arial" w:hAnsi="Arial" w:cs="Arial"/>
        </w:rPr>
        <w:t>améliorera considérablement l’accès à l’information et la communication dans l’ensemble du territoire.</w:t>
      </w:r>
    </w:p>
    <w:p w14:paraId="0D4193C4" w14:textId="77777777" w:rsidR="00BC1191" w:rsidRDefault="00BC1191" w:rsidP="009A0954">
      <w:pPr>
        <w:spacing w:before="120" w:after="120" w:line="240" w:lineRule="auto"/>
        <w:jc w:val="both"/>
        <w:rPr>
          <w:rFonts w:ascii="Arial" w:hAnsi="Arial" w:cs="Arial"/>
        </w:rPr>
      </w:pPr>
      <w:r w:rsidRPr="00BB0295">
        <w:rPr>
          <w:rFonts w:ascii="Arial" w:hAnsi="Arial" w:cs="Arial"/>
        </w:rPr>
        <w:t xml:space="preserve">Du point de vue économique </w:t>
      </w:r>
      <w:r w:rsidR="00BB0295" w:rsidRPr="00BB0295">
        <w:rPr>
          <w:rFonts w:ascii="Arial" w:hAnsi="Arial" w:cs="Arial"/>
        </w:rPr>
        <w:t xml:space="preserve">local, </w:t>
      </w:r>
      <w:r w:rsidRPr="00BB0295">
        <w:rPr>
          <w:rFonts w:ascii="Arial" w:hAnsi="Arial" w:cs="Arial"/>
        </w:rPr>
        <w:t>régional</w:t>
      </w:r>
      <w:r w:rsidR="00BB0295" w:rsidRPr="00BB0295">
        <w:rPr>
          <w:rFonts w:ascii="Arial" w:hAnsi="Arial" w:cs="Arial"/>
        </w:rPr>
        <w:t xml:space="preserve"> ou national</w:t>
      </w:r>
      <w:r w:rsidRPr="00BB0295">
        <w:rPr>
          <w:rFonts w:ascii="Arial" w:hAnsi="Arial" w:cs="Arial"/>
        </w:rPr>
        <w:t xml:space="preserve">, les nouvelles </w:t>
      </w:r>
      <w:r w:rsidR="00BB0295" w:rsidRPr="00BB0295">
        <w:rPr>
          <w:rFonts w:ascii="Arial" w:hAnsi="Arial" w:cs="Arial"/>
        </w:rPr>
        <w:t xml:space="preserve">infrastructures et </w:t>
      </w:r>
      <w:r w:rsidRPr="00BB0295">
        <w:rPr>
          <w:rFonts w:ascii="Arial" w:hAnsi="Arial" w:cs="Arial"/>
        </w:rPr>
        <w:t>installations vont accroître l’intérêt des investisseurs et des opérateurs privés du secteur tertiaire, notamment dans les branches des services et du secteur touristique, dans les localités à proximité des</w:t>
      </w:r>
      <w:r w:rsidR="00BB0295" w:rsidRPr="00BB0295">
        <w:rPr>
          <w:rFonts w:ascii="Arial" w:hAnsi="Arial" w:cs="Arial"/>
        </w:rPr>
        <w:t xml:space="preserve"> localités desservies</w:t>
      </w:r>
      <w:r w:rsidRPr="00BB0295">
        <w:rPr>
          <w:rFonts w:ascii="Arial" w:hAnsi="Arial" w:cs="Arial"/>
        </w:rPr>
        <w:t xml:space="preserve">. </w:t>
      </w:r>
      <w:r w:rsidR="00F97D10">
        <w:rPr>
          <w:rFonts w:ascii="Arial" w:hAnsi="Arial" w:cs="Arial"/>
        </w:rPr>
        <w:t>L</w:t>
      </w:r>
      <w:r w:rsidRPr="00BB0295">
        <w:rPr>
          <w:rFonts w:ascii="Arial" w:hAnsi="Arial" w:cs="Arial"/>
        </w:rPr>
        <w:t xml:space="preserve">a mise en œuvre des projets phares et des projets structuraux de l’Etat </w:t>
      </w:r>
      <w:r w:rsidR="00BB0295" w:rsidRPr="00BB0295">
        <w:rPr>
          <w:rFonts w:ascii="Arial" w:hAnsi="Arial" w:cs="Arial"/>
        </w:rPr>
        <w:t xml:space="preserve">comme le projet PRODIGY </w:t>
      </w:r>
      <w:r w:rsidRPr="00BB0295">
        <w:rPr>
          <w:rFonts w:ascii="Arial" w:hAnsi="Arial" w:cs="Arial"/>
        </w:rPr>
        <w:t>serait plus facilitée.</w:t>
      </w:r>
    </w:p>
    <w:p w14:paraId="27CE806D" w14:textId="77777777" w:rsidR="00F97D10" w:rsidRPr="0052434F" w:rsidRDefault="00F97D10" w:rsidP="00F97D10">
      <w:pPr>
        <w:spacing w:before="120" w:after="120" w:line="240" w:lineRule="auto"/>
        <w:jc w:val="both"/>
        <w:rPr>
          <w:rFonts w:ascii="Arial" w:hAnsi="Arial" w:cs="Arial"/>
        </w:rPr>
      </w:pPr>
      <w:r w:rsidRPr="0052434F">
        <w:rPr>
          <w:rFonts w:ascii="Arial" w:hAnsi="Arial" w:cs="Arial"/>
        </w:rPr>
        <w:t>Avec le Projet, on peut s’attendre à un meilleur accès des ménages au service d’approvisionnement en électricité. Des emplois temporaires et permanents seront créés principalement à travers : les travaux d’installation d</w:t>
      </w:r>
      <w:r>
        <w:rPr>
          <w:rFonts w:ascii="Arial" w:hAnsi="Arial" w:cs="Arial"/>
        </w:rPr>
        <w:t>es</w:t>
      </w:r>
      <w:r w:rsidRPr="0052434F">
        <w:rPr>
          <w:rFonts w:ascii="Arial" w:hAnsi="Arial" w:cs="Arial"/>
        </w:rPr>
        <w:t xml:space="preserve"> centrales électriques, les travaux de maintenance d</w:t>
      </w:r>
      <w:r>
        <w:rPr>
          <w:rFonts w:ascii="Arial" w:hAnsi="Arial" w:cs="Arial"/>
        </w:rPr>
        <w:t>e la</w:t>
      </w:r>
      <w:r w:rsidRPr="0052434F">
        <w:rPr>
          <w:rFonts w:ascii="Arial" w:hAnsi="Arial" w:cs="Arial"/>
        </w:rPr>
        <w:t xml:space="preserve"> central</w:t>
      </w:r>
      <w:r>
        <w:rPr>
          <w:rFonts w:ascii="Arial" w:hAnsi="Arial" w:cs="Arial"/>
        </w:rPr>
        <w:t>e</w:t>
      </w:r>
      <w:r w:rsidRPr="0052434F">
        <w:rPr>
          <w:rFonts w:ascii="Arial" w:hAnsi="Arial" w:cs="Arial"/>
        </w:rPr>
        <w:t xml:space="preserve"> de production. </w:t>
      </w:r>
    </w:p>
    <w:p w14:paraId="38218E3F" w14:textId="77777777" w:rsidR="00F97D10" w:rsidRPr="00BB0295" w:rsidRDefault="00F97D10" w:rsidP="009A0954">
      <w:pPr>
        <w:spacing w:before="120" w:after="120" w:line="240" w:lineRule="auto"/>
        <w:jc w:val="both"/>
        <w:rPr>
          <w:rFonts w:ascii="Arial" w:hAnsi="Arial" w:cs="Arial"/>
        </w:rPr>
      </w:pPr>
      <w:r>
        <w:rPr>
          <w:rFonts w:ascii="Arial" w:hAnsi="Arial" w:cs="Arial"/>
        </w:rPr>
        <w:t>L</w:t>
      </w:r>
      <w:r w:rsidRPr="009C4308">
        <w:rPr>
          <w:rFonts w:ascii="Arial" w:hAnsi="Arial" w:cs="Arial"/>
        </w:rPr>
        <w:t>a mise en place des tours cellulaires donnera à la population</w:t>
      </w:r>
      <w:r>
        <w:rPr>
          <w:rFonts w:ascii="Arial" w:hAnsi="Arial" w:cs="Arial"/>
        </w:rPr>
        <w:t xml:space="preserve"> un meilleur</w:t>
      </w:r>
      <w:r w:rsidRPr="009C4308">
        <w:rPr>
          <w:rFonts w:ascii="Arial" w:hAnsi="Arial" w:cs="Arial"/>
        </w:rPr>
        <w:t xml:space="preserve"> accès à l’information et à la communication. Elle permettra par ailleurs la facilitation des transactions économiques à distance.</w:t>
      </w:r>
    </w:p>
    <w:p w14:paraId="7A5AC6A6" w14:textId="77777777" w:rsidR="00F97D10" w:rsidRDefault="00F97D10" w:rsidP="00F97D10">
      <w:pPr>
        <w:spacing w:before="120" w:after="120" w:line="240" w:lineRule="auto"/>
        <w:jc w:val="both"/>
        <w:rPr>
          <w:rFonts w:ascii="Arial" w:hAnsi="Arial" w:cs="Arial"/>
        </w:rPr>
      </w:pPr>
      <w:r w:rsidRPr="009C4308">
        <w:rPr>
          <w:rFonts w:ascii="Arial" w:hAnsi="Arial" w:cs="Arial"/>
        </w:rPr>
        <w:t xml:space="preserve">Sur le plan environnemental, la mise en œuvre du Projet contribuera à la réduction des émissions de GES, à la lutte contre la pollution de l’air, ainsi que du sol et des eaux par les déversements accidentels des substances polluantes, et à la promotion à l’utilisation d’Energie Renouvelable (ENR). Ceci constitue une mesure pour la lutte contre le changement climatique. D’autre part, la mise en œuvre du Projet sera bénéfique à la biodiversité </w:t>
      </w:r>
      <w:r>
        <w:rPr>
          <w:rFonts w:ascii="Arial" w:hAnsi="Arial" w:cs="Arial"/>
        </w:rPr>
        <w:t xml:space="preserve">actuellement </w:t>
      </w:r>
      <w:r w:rsidRPr="009C4308">
        <w:rPr>
          <w:rFonts w:ascii="Arial" w:hAnsi="Arial" w:cs="Arial"/>
        </w:rPr>
        <w:t xml:space="preserve">impactée par le changement climatique (augmentation de la température, manque de précipitation, etc.). Dans l’ensemble, les externalités positives s’avèrent quantitativement et qualitativement plus importantes. </w:t>
      </w:r>
    </w:p>
    <w:p w14:paraId="0783BE40" w14:textId="77777777" w:rsidR="00F97D10" w:rsidRDefault="00F97D10" w:rsidP="00F97D10">
      <w:pPr>
        <w:spacing w:before="120" w:after="120" w:line="240" w:lineRule="auto"/>
        <w:jc w:val="both"/>
        <w:rPr>
          <w:rFonts w:ascii="Arial" w:hAnsi="Arial" w:cs="Arial"/>
          <w:b/>
          <w:i/>
          <w:iCs/>
        </w:rPr>
      </w:pPr>
      <w:r w:rsidRPr="009C4308">
        <w:rPr>
          <w:rFonts w:ascii="Arial" w:hAnsi="Arial" w:cs="Arial"/>
        </w:rPr>
        <w:t>Le Projet contribuera à l’accroissement de la part de l’utilisation des technologies et équipements d’Energie Renouvelable (ENR) dans la production nationale d’électricité (en puissance installée) ; de sécuriser et d’accroître la couverture électrique du pays.</w:t>
      </w:r>
    </w:p>
    <w:p w14:paraId="64265F1C" w14:textId="77777777" w:rsidR="00F97D10" w:rsidRPr="009C03BA" w:rsidRDefault="00F97D10" w:rsidP="00F97D10">
      <w:pPr>
        <w:spacing w:before="120" w:after="120" w:line="240" w:lineRule="auto"/>
        <w:jc w:val="both"/>
        <w:rPr>
          <w:rFonts w:ascii="Arial" w:hAnsi="Arial" w:cs="Arial"/>
          <w:b/>
          <w:bCs/>
          <w:i/>
          <w:iCs/>
        </w:rPr>
      </w:pPr>
      <w:r w:rsidRPr="009C03BA">
        <w:rPr>
          <w:rFonts w:ascii="Arial" w:hAnsi="Arial" w:cs="Arial"/>
          <w:b/>
          <w:i/>
          <w:iCs/>
        </w:rPr>
        <w:t>Effets négatifs de la situation avec le Projet</w:t>
      </w:r>
    </w:p>
    <w:p w14:paraId="2F1BA86A" w14:textId="77777777" w:rsidR="00BC1191" w:rsidRPr="00416A63" w:rsidRDefault="00BC1191" w:rsidP="009A0954">
      <w:pPr>
        <w:spacing w:before="120" w:after="120" w:line="240" w:lineRule="auto"/>
        <w:jc w:val="both"/>
        <w:rPr>
          <w:rFonts w:ascii="Arial" w:hAnsi="Arial" w:cs="Arial"/>
        </w:rPr>
      </w:pPr>
      <w:r w:rsidRPr="00416A63">
        <w:rPr>
          <w:rFonts w:ascii="Arial" w:hAnsi="Arial" w:cs="Arial"/>
        </w:rPr>
        <w:t xml:space="preserve">Néanmoins, le Projet </w:t>
      </w:r>
      <w:r w:rsidR="00E55EAF" w:rsidRPr="00416A63">
        <w:rPr>
          <w:rFonts w:ascii="Arial" w:hAnsi="Arial" w:cs="Arial"/>
        </w:rPr>
        <w:t>DECIM</w:t>
      </w:r>
      <w:r w:rsidRPr="00416A63">
        <w:rPr>
          <w:rFonts w:ascii="Arial" w:hAnsi="Arial" w:cs="Arial"/>
        </w:rPr>
        <w:t xml:space="preserve"> engendrera des perturbations aussi bien dans le milieu biophysique qu’humain. Ainsi, parmi les désagréments les plus important</w:t>
      </w:r>
      <w:r w:rsidR="00EC3E3F">
        <w:rPr>
          <w:rFonts w:ascii="Arial" w:hAnsi="Arial" w:cs="Arial"/>
        </w:rPr>
        <w:t>s</w:t>
      </w:r>
      <w:r w:rsidRPr="00416A63">
        <w:rPr>
          <w:rFonts w:ascii="Arial" w:hAnsi="Arial" w:cs="Arial"/>
        </w:rPr>
        <w:t xml:space="preserve"> figure la consommation d’espaces. En zones rurales, le Projet peut donc entrer en concurrence avec les activités agricoles</w:t>
      </w:r>
      <w:r w:rsidR="003F29B2">
        <w:rPr>
          <w:rFonts w:ascii="Arial" w:hAnsi="Arial" w:cs="Arial"/>
        </w:rPr>
        <w:t xml:space="preserve"> </w:t>
      </w:r>
      <w:r w:rsidR="003F29B2" w:rsidRPr="00742D67">
        <w:rPr>
          <w:rFonts w:ascii="Arial" w:hAnsi="Arial" w:cs="Arial"/>
        </w:rPr>
        <w:t>et aussi des zones habitables</w:t>
      </w:r>
      <w:r w:rsidRPr="00742D67">
        <w:rPr>
          <w:rFonts w:ascii="Arial" w:hAnsi="Arial" w:cs="Arial"/>
        </w:rPr>
        <w:t>, lorsqu’on</w:t>
      </w:r>
      <w:r w:rsidRPr="00416A63">
        <w:rPr>
          <w:rFonts w:ascii="Arial" w:hAnsi="Arial" w:cs="Arial"/>
        </w:rPr>
        <w:t xml:space="preserve"> parle de l’usage des sols. Dans ce sens, les études lors des installations </w:t>
      </w:r>
      <w:r w:rsidR="00212EBD">
        <w:rPr>
          <w:rFonts w:ascii="Arial" w:hAnsi="Arial" w:cs="Arial"/>
        </w:rPr>
        <w:t>doiven</w:t>
      </w:r>
      <w:r w:rsidRPr="00416A63">
        <w:rPr>
          <w:rFonts w:ascii="Arial" w:hAnsi="Arial" w:cs="Arial"/>
        </w:rPr>
        <w:t xml:space="preserve">t </w:t>
      </w:r>
      <w:r w:rsidR="00212EBD">
        <w:rPr>
          <w:rFonts w:ascii="Arial" w:hAnsi="Arial" w:cs="Arial"/>
        </w:rPr>
        <w:t xml:space="preserve">être </w:t>
      </w:r>
      <w:r w:rsidRPr="00416A63">
        <w:rPr>
          <w:rFonts w:ascii="Arial" w:hAnsi="Arial" w:cs="Arial"/>
        </w:rPr>
        <w:t>orientées sur des terrains impropres à la culture, pour éviter les conflits d’usage entre l’agriculture et le secteur énergétique</w:t>
      </w:r>
      <w:r w:rsidR="00212EBD">
        <w:rPr>
          <w:rFonts w:ascii="Arial" w:hAnsi="Arial" w:cs="Arial"/>
        </w:rPr>
        <w:t xml:space="preserve"> et numérique</w:t>
      </w:r>
      <w:r w:rsidRPr="00416A63">
        <w:rPr>
          <w:rFonts w:ascii="Arial" w:hAnsi="Arial" w:cs="Arial"/>
        </w:rPr>
        <w:t>.</w:t>
      </w:r>
    </w:p>
    <w:p w14:paraId="5318ABEB" w14:textId="77777777" w:rsidR="00BC1191" w:rsidRPr="009C03BA" w:rsidRDefault="00BC1191" w:rsidP="00B434A6">
      <w:pPr>
        <w:spacing w:before="120" w:after="120" w:line="240" w:lineRule="auto"/>
        <w:jc w:val="both"/>
        <w:rPr>
          <w:rFonts w:ascii="Arial" w:hAnsi="Arial" w:cs="Arial"/>
        </w:rPr>
      </w:pPr>
      <w:r w:rsidRPr="009C03BA">
        <w:rPr>
          <w:rFonts w:ascii="Arial" w:hAnsi="Arial" w:cs="Arial"/>
        </w:rPr>
        <w:t>D</w:t>
      </w:r>
      <w:r w:rsidR="009C4308" w:rsidRPr="009C03BA">
        <w:rPr>
          <w:rFonts w:ascii="Arial" w:hAnsi="Arial" w:cs="Arial"/>
        </w:rPr>
        <w:t>e manière générale, d</w:t>
      </w:r>
      <w:r w:rsidRPr="009C03BA">
        <w:rPr>
          <w:rFonts w:ascii="Arial" w:hAnsi="Arial" w:cs="Arial"/>
        </w:rPr>
        <w:t xml:space="preserve">es risques d’expropriation sont probables dans le cadre des installations des </w:t>
      </w:r>
      <w:r w:rsidR="009C4308" w:rsidRPr="009C03BA">
        <w:rPr>
          <w:rFonts w:ascii="Arial" w:hAnsi="Arial" w:cs="Arial"/>
        </w:rPr>
        <w:t>centrales électriques (PV, hydroélectrique, hybride)</w:t>
      </w:r>
      <w:r w:rsidRPr="009C03BA">
        <w:rPr>
          <w:rFonts w:ascii="Arial" w:hAnsi="Arial" w:cs="Arial"/>
        </w:rPr>
        <w:t xml:space="preserve">. C’est d’ailleurs pour cette raison qu’il est préparé dans le cadre de ce Projet, le Cadre de réinstallation et subséquemment les Plans de Réinstallation des personnes à déplacer. En effet, certains occupants des terres agricoles, où seront installées les </w:t>
      </w:r>
      <w:r w:rsidR="009C4308" w:rsidRPr="009C03BA">
        <w:rPr>
          <w:rFonts w:ascii="Arial" w:hAnsi="Arial" w:cs="Arial"/>
        </w:rPr>
        <w:t>centrales</w:t>
      </w:r>
      <w:r w:rsidRPr="009C03BA">
        <w:rPr>
          <w:rFonts w:ascii="Arial" w:hAnsi="Arial" w:cs="Arial"/>
        </w:rPr>
        <w:t xml:space="preserve">, pourraient perdre leurs moyens de subsistance. </w:t>
      </w:r>
    </w:p>
    <w:p w14:paraId="74884629" w14:textId="77777777" w:rsidR="00BC1191" w:rsidRPr="009C03BA" w:rsidRDefault="00BC1191" w:rsidP="00B434A6">
      <w:pPr>
        <w:spacing w:before="120" w:after="120" w:line="240" w:lineRule="auto"/>
        <w:jc w:val="both"/>
        <w:rPr>
          <w:rFonts w:ascii="Arial" w:hAnsi="Arial" w:cs="Arial"/>
        </w:rPr>
      </w:pPr>
      <w:r w:rsidRPr="009C03BA">
        <w:rPr>
          <w:rFonts w:ascii="Arial" w:hAnsi="Arial" w:cs="Arial"/>
        </w:rPr>
        <w:t xml:space="preserve">L’autre effet négatif </w:t>
      </w:r>
      <w:r w:rsidR="009C4308" w:rsidRPr="009C03BA">
        <w:rPr>
          <w:rFonts w:ascii="Arial" w:hAnsi="Arial" w:cs="Arial"/>
        </w:rPr>
        <w:t>concerne particulièrement les centrales PV qui</w:t>
      </w:r>
      <w:r w:rsidRPr="009C03BA">
        <w:rPr>
          <w:rFonts w:ascii="Arial" w:hAnsi="Arial" w:cs="Arial"/>
        </w:rPr>
        <w:t xml:space="preserve"> </w:t>
      </w:r>
      <w:r w:rsidR="009C4308" w:rsidRPr="009C03BA">
        <w:rPr>
          <w:rFonts w:ascii="Arial" w:hAnsi="Arial" w:cs="Arial"/>
        </w:rPr>
        <w:t xml:space="preserve">ont </w:t>
      </w:r>
      <w:r w:rsidR="009C03BA" w:rsidRPr="009C03BA">
        <w:rPr>
          <w:rFonts w:ascii="Arial" w:hAnsi="Arial" w:cs="Arial"/>
        </w:rPr>
        <w:t>des besoins importants</w:t>
      </w:r>
      <w:r w:rsidRPr="009C03BA">
        <w:rPr>
          <w:rFonts w:ascii="Arial" w:hAnsi="Arial" w:cs="Arial"/>
        </w:rPr>
        <w:t xml:space="preserve"> en ressources en eau, pour le nettoyage régulier des </w:t>
      </w:r>
      <w:r w:rsidR="009C4308" w:rsidRPr="009C03BA">
        <w:rPr>
          <w:rFonts w:ascii="Arial" w:hAnsi="Arial" w:cs="Arial"/>
        </w:rPr>
        <w:t>panneaux PV</w:t>
      </w:r>
      <w:r w:rsidRPr="009C03BA">
        <w:rPr>
          <w:rFonts w:ascii="Arial" w:hAnsi="Arial" w:cs="Arial"/>
        </w:rPr>
        <w:t xml:space="preserve">. </w:t>
      </w:r>
    </w:p>
    <w:p w14:paraId="2AF89366" w14:textId="77777777" w:rsidR="00BC1191" w:rsidRPr="009C03BA" w:rsidRDefault="00BC1191" w:rsidP="00B434A6">
      <w:pPr>
        <w:spacing w:before="120" w:after="120" w:line="240" w:lineRule="auto"/>
        <w:jc w:val="both"/>
        <w:rPr>
          <w:rFonts w:ascii="Arial" w:hAnsi="Arial" w:cs="Arial"/>
        </w:rPr>
      </w:pPr>
      <w:r w:rsidRPr="00742D67">
        <w:rPr>
          <w:rFonts w:ascii="Arial" w:hAnsi="Arial" w:cs="Arial"/>
        </w:rPr>
        <w:t xml:space="preserve">Pendant </w:t>
      </w:r>
      <w:r w:rsidR="00D32345" w:rsidRPr="00742D67">
        <w:rPr>
          <w:rFonts w:ascii="Arial" w:hAnsi="Arial" w:cs="Arial"/>
        </w:rPr>
        <w:t>la construction des infrastructures hydroélectrique</w:t>
      </w:r>
      <w:r w:rsidR="001571F7">
        <w:rPr>
          <w:rFonts w:ascii="Arial" w:hAnsi="Arial" w:cs="Arial"/>
        </w:rPr>
        <w:t>s</w:t>
      </w:r>
      <w:r w:rsidR="00D32345" w:rsidRPr="00742D67">
        <w:rPr>
          <w:rFonts w:ascii="Arial" w:hAnsi="Arial" w:cs="Arial"/>
        </w:rPr>
        <w:t>, des tours cellulaires et des panneaux solaires</w:t>
      </w:r>
      <w:r w:rsidRPr="00742D67">
        <w:rPr>
          <w:rFonts w:ascii="Arial" w:hAnsi="Arial" w:cs="Arial"/>
        </w:rPr>
        <w:t>, des déchets solides dans le site augmenteront encore davantage. Sans une gestion efficace</w:t>
      </w:r>
      <w:r w:rsidRPr="009C03BA">
        <w:rPr>
          <w:rFonts w:ascii="Arial" w:hAnsi="Arial" w:cs="Arial"/>
        </w:rPr>
        <w:t xml:space="preserve"> de ces déchets, les pollutions du sol et sous-sol, ainsi que de l’eau</w:t>
      </w:r>
      <w:r w:rsidR="00853203">
        <w:rPr>
          <w:rFonts w:ascii="Arial" w:hAnsi="Arial" w:cs="Arial"/>
        </w:rPr>
        <w:t xml:space="preserve"> (de surface et souterraine)</w:t>
      </w:r>
      <w:r w:rsidRPr="009C03BA">
        <w:rPr>
          <w:rFonts w:ascii="Arial" w:hAnsi="Arial" w:cs="Arial"/>
        </w:rPr>
        <w:t xml:space="preserve"> augmentent. L’accumulation des déchets peut faire augmenter les risques de maladies (paludisme, dengue, etc.). Pendant l’exploitation du centre de stockage, les déchets générés par les équipements défectueux et/ou usagés (dont les batteries) pourraient s’accumuler. Les déversements accidentels des substances nocives pourraient polluer le sol et les eaux superficielles et souterraines.</w:t>
      </w:r>
    </w:p>
    <w:p w14:paraId="1D3B7750" w14:textId="77777777" w:rsidR="00BC1191" w:rsidRPr="009C03BA" w:rsidRDefault="00BC1191" w:rsidP="00B434A6">
      <w:pPr>
        <w:spacing w:before="120" w:after="120" w:line="240" w:lineRule="auto"/>
        <w:jc w:val="both"/>
        <w:rPr>
          <w:rFonts w:ascii="Arial" w:hAnsi="Arial" w:cs="Arial"/>
        </w:rPr>
      </w:pPr>
      <w:r w:rsidRPr="009C03BA">
        <w:rPr>
          <w:rFonts w:ascii="Arial" w:hAnsi="Arial" w:cs="Arial"/>
        </w:rPr>
        <w:t xml:space="preserve">La réalisation des travaux peut </w:t>
      </w:r>
      <w:r w:rsidR="009C03BA" w:rsidRPr="009C03BA">
        <w:rPr>
          <w:rFonts w:ascii="Arial" w:hAnsi="Arial" w:cs="Arial"/>
        </w:rPr>
        <w:t>attirer</w:t>
      </w:r>
      <w:r w:rsidRPr="009C03BA">
        <w:rPr>
          <w:rFonts w:ascii="Arial" w:hAnsi="Arial" w:cs="Arial"/>
        </w:rPr>
        <w:t xml:space="preserve"> des </w:t>
      </w:r>
      <w:r w:rsidR="009C03BA" w:rsidRPr="009C03BA">
        <w:rPr>
          <w:rFonts w:ascii="Arial" w:hAnsi="Arial" w:cs="Arial"/>
        </w:rPr>
        <w:t>mains d’œuvres</w:t>
      </w:r>
      <w:r w:rsidRPr="009C03BA">
        <w:rPr>
          <w:rFonts w:ascii="Arial" w:hAnsi="Arial" w:cs="Arial"/>
        </w:rPr>
        <w:t xml:space="preserve"> </w:t>
      </w:r>
      <w:r w:rsidR="009C03BA" w:rsidRPr="009C03BA">
        <w:rPr>
          <w:rFonts w:ascii="Arial" w:hAnsi="Arial" w:cs="Arial"/>
        </w:rPr>
        <w:t>non loca</w:t>
      </w:r>
      <w:r w:rsidR="00982318">
        <w:rPr>
          <w:rFonts w:ascii="Arial" w:hAnsi="Arial" w:cs="Arial"/>
        </w:rPr>
        <w:t>les</w:t>
      </w:r>
      <w:r w:rsidRPr="009C03BA">
        <w:rPr>
          <w:rFonts w:ascii="Arial" w:hAnsi="Arial" w:cs="Arial"/>
        </w:rPr>
        <w:t>. Ce phénomène peut perturber le fonctionnement social local.</w:t>
      </w:r>
    </w:p>
    <w:p w14:paraId="0D5D07F1" w14:textId="77777777" w:rsidR="0039047D" w:rsidRDefault="00482EA5" w:rsidP="00B434A6">
      <w:pPr>
        <w:spacing w:before="120" w:after="120" w:line="240" w:lineRule="auto"/>
        <w:jc w:val="both"/>
        <w:rPr>
          <w:rFonts w:ascii="Arial" w:hAnsi="Arial" w:cs="Arial"/>
        </w:rPr>
      </w:pPr>
      <w:r w:rsidRPr="00482EA5">
        <w:rPr>
          <w:rFonts w:ascii="Arial" w:hAnsi="Arial" w:cs="Arial"/>
        </w:rPr>
        <w:t>Particulièrement, concernant les centrales PV, il y a les problèmes qui se posent e</w:t>
      </w:r>
      <w:r w:rsidR="00BC1191" w:rsidRPr="00482EA5">
        <w:rPr>
          <w:rFonts w:ascii="Arial" w:hAnsi="Arial" w:cs="Arial"/>
        </w:rPr>
        <w:t>n fin de vie</w:t>
      </w:r>
      <w:r w:rsidRPr="00482EA5">
        <w:rPr>
          <w:rFonts w:ascii="Arial" w:hAnsi="Arial" w:cs="Arial"/>
        </w:rPr>
        <w:t xml:space="preserve"> où</w:t>
      </w:r>
      <w:r w:rsidR="00BC1191" w:rsidRPr="00482EA5">
        <w:rPr>
          <w:rFonts w:ascii="Arial" w:hAnsi="Arial" w:cs="Arial"/>
        </w:rPr>
        <w:t xml:space="preserve"> les panneaux solaires génèreront des déchets qui nécessiteront une attention particulière afin d’éviter de polluer l’environnement. Ceci concerne les matières premières secondaires comme le verre et l’aluminium ainsi que les métaux pour le cuivre, l’argent, le cadmium, le tellure, etc. Mais aussi les polymères qui </w:t>
      </w:r>
      <w:r w:rsidR="00982318">
        <w:rPr>
          <w:rFonts w:ascii="Arial" w:hAnsi="Arial" w:cs="Arial"/>
        </w:rPr>
        <w:t>sont</w:t>
      </w:r>
      <w:r w:rsidR="00BC1191" w:rsidRPr="00482EA5">
        <w:rPr>
          <w:rFonts w:ascii="Arial" w:hAnsi="Arial" w:cs="Arial"/>
        </w:rPr>
        <w:t xml:space="preserve"> un des constituant</w:t>
      </w:r>
      <w:r w:rsidR="00610922">
        <w:rPr>
          <w:rFonts w:ascii="Arial" w:hAnsi="Arial" w:cs="Arial"/>
        </w:rPr>
        <w:t>s</w:t>
      </w:r>
      <w:r w:rsidR="00BC1191" w:rsidRPr="00482EA5">
        <w:rPr>
          <w:rFonts w:ascii="Arial" w:hAnsi="Arial" w:cs="Arial"/>
        </w:rPr>
        <w:t xml:space="preserve"> des modules à base de silicium cristallin. La meilleure alternative étant le recyclage et </w:t>
      </w:r>
      <w:r w:rsidR="00982318">
        <w:rPr>
          <w:rFonts w:ascii="Arial" w:hAnsi="Arial" w:cs="Arial"/>
        </w:rPr>
        <w:t xml:space="preserve">la </w:t>
      </w:r>
      <w:r w:rsidR="00BC1191" w:rsidRPr="00482EA5">
        <w:rPr>
          <w:rFonts w:ascii="Arial" w:hAnsi="Arial" w:cs="Arial"/>
        </w:rPr>
        <w:t>réutilisation des matériaux.</w:t>
      </w:r>
    </w:p>
    <w:p w14:paraId="45064DCA" w14:textId="77777777" w:rsidR="00610922" w:rsidRPr="00742D67" w:rsidRDefault="00610922" w:rsidP="00610922">
      <w:pPr>
        <w:spacing w:before="120" w:after="120" w:line="240" w:lineRule="auto"/>
        <w:jc w:val="both"/>
        <w:rPr>
          <w:rFonts w:ascii="Arial" w:hAnsi="Arial" w:cs="Arial"/>
        </w:rPr>
      </w:pPr>
      <w:r w:rsidRPr="00742D67">
        <w:rPr>
          <w:rFonts w:ascii="Arial" w:hAnsi="Arial" w:cs="Arial"/>
        </w:rPr>
        <w:t xml:space="preserve">En ce qui concerne les barrages hydroélectriques, </w:t>
      </w:r>
      <w:r w:rsidR="00DD0373" w:rsidRPr="00742D67">
        <w:rPr>
          <w:rFonts w:ascii="Arial" w:hAnsi="Arial" w:cs="Arial"/>
        </w:rPr>
        <w:t>s</w:t>
      </w:r>
      <w:r w:rsidR="00E423A8" w:rsidRPr="00742D67">
        <w:rPr>
          <w:rFonts w:ascii="Arial" w:hAnsi="Arial" w:cs="Arial"/>
        </w:rPr>
        <w:t>a</w:t>
      </w:r>
      <w:r w:rsidRPr="00742D67">
        <w:rPr>
          <w:rFonts w:ascii="Arial" w:hAnsi="Arial" w:cs="Arial"/>
        </w:rPr>
        <w:t xml:space="preserve"> rupture pourrait causer des dégâts considérables dans les zones en aval. Effectivement des zones de culture voire même des zones d’habitations peuvent être inondées. </w:t>
      </w:r>
    </w:p>
    <w:p w14:paraId="1DE322CA" w14:textId="77777777" w:rsidR="00610922" w:rsidRPr="00742D67" w:rsidRDefault="00610922" w:rsidP="00B434A6">
      <w:pPr>
        <w:spacing w:before="120" w:after="120" w:line="240" w:lineRule="auto"/>
        <w:jc w:val="both"/>
        <w:rPr>
          <w:rFonts w:ascii="Arial" w:hAnsi="Arial" w:cs="Arial"/>
        </w:rPr>
      </w:pPr>
      <w:r w:rsidRPr="00742D67">
        <w:rPr>
          <w:rFonts w:ascii="Arial" w:hAnsi="Arial" w:cs="Arial"/>
        </w:rPr>
        <w:t>Pour le cas de télécommunication, l’effet engendré par les ondes électromagnétique</w:t>
      </w:r>
      <w:r w:rsidR="00E423A8" w:rsidRPr="00742D67">
        <w:rPr>
          <w:rFonts w:ascii="Arial" w:hAnsi="Arial" w:cs="Arial"/>
        </w:rPr>
        <w:t>s</w:t>
      </w:r>
      <w:r w:rsidRPr="00742D67">
        <w:rPr>
          <w:rFonts w:ascii="Arial" w:hAnsi="Arial" w:cs="Arial"/>
        </w:rPr>
        <w:t xml:space="preserve"> sur la santé humaine est assez préoccupant étant donné l’emplacement par rapport au village. De plus, l’utilisation de l’internet surtout par les jeunes pourrait être une source d’augmentation de cas de </w:t>
      </w:r>
      <w:r w:rsidR="001571F7">
        <w:rPr>
          <w:rFonts w:ascii="Arial" w:hAnsi="Arial" w:cs="Arial"/>
        </w:rPr>
        <w:t>v</w:t>
      </w:r>
      <w:r w:rsidRPr="00742D67">
        <w:rPr>
          <w:rFonts w:ascii="Arial" w:hAnsi="Arial" w:cs="Arial"/>
        </w:rPr>
        <w:t xml:space="preserve">iol. L’effet </w:t>
      </w:r>
      <w:r w:rsidR="00DD0373" w:rsidRPr="00742D67">
        <w:rPr>
          <w:rFonts w:ascii="Arial" w:hAnsi="Arial" w:cs="Arial"/>
        </w:rPr>
        <w:t>de différentes</w:t>
      </w:r>
      <w:r w:rsidRPr="00742D67">
        <w:rPr>
          <w:rFonts w:ascii="Arial" w:hAnsi="Arial" w:cs="Arial"/>
        </w:rPr>
        <w:t xml:space="preserve"> informations sur le Web pourrait aussi </w:t>
      </w:r>
      <w:r w:rsidR="00DD0373" w:rsidRPr="00742D67">
        <w:rPr>
          <w:rFonts w:ascii="Arial" w:hAnsi="Arial" w:cs="Arial"/>
        </w:rPr>
        <w:t>affecter</w:t>
      </w:r>
      <w:r w:rsidRPr="00742D67">
        <w:rPr>
          <w:rFonts w:ascii="Arial" w:hAnsi="Arial" w:cs="Arial"/>
        </w:rPr>
        <w:t xml:space="preserve"> négativement les us et coutumes locales.</w:t>
      </w:r>
    </w:p>
    <w:p w14:paraId="2DBA6225" w14:textId="77777777" w:rsidR="0039047D" w:rsidRPr="007F78CE" w:rsidRDefault="0039047D" w:rsidP="0044500E">
      <w:pPr>
        <w:pStyle w:val="TIT2"/>
        <w:numPr>
          <w:ilvl w:val="1"/>
          <w:numId w:val="177"/>
        </w:numPr>
      </w:pPr>
      <w:bookmarkStart w:id="780" w:name="_Toc124956209"/>
      <w:bookmarkStart w:id="781" w:name="_Toc124312742"/>
      <w:bookmarkStart w:id="782" w:name="_Toc124314729"/>
      <w:bookmarkStart w:id="783" w:name="_Toc124956211"/>
      <w:bookmarkStart w:id="784" w:name="_Toc125384606"/>
      <w:bookmarkStart w:id="785" w:name="_Toc125384995"/>
      <w:bookmarkStart w:id="786" w:name="_Toc127957667"/>
      <w:bookmarkEnd w:id="780"/>
      <w:bookmarkEnd w:id="781"/>
      <w:r w:rsidRPr="007F78CE">
        <w:t xml:space="preserve">Conclusion </w:t>
      </w:r>
      <w:r w:rsidR="00C93409" w:rsidRPr="007F78CE">
        <w:t>de l’analyse des alternatives</w:t>
      </w:r>
      <w:bookmarkEnd w:id="782"/>
      <w:bookmarkEnd w:id="783"/>
      <w:bookmarkEnd w:id="784"/>
      <w:bookmarkEnd w:id="785"/>
      <w:bookmarkEnd w:id="786"/>
    </w:p>
    <w:p w14:paraId="6253F936" w14:textId="77777777" w:rsidR="00982318" w:rsidRDefault="00482EA5" w:rsidP="00B434A6">
      <w:pPr>
        <w:spacing w:before="120" w:after="120" w:line="240" w:lineRule="auto"/>
        <w:jc w:val="both"/>
        <w:rPr>
          <w:rFonts w:ascii="Arial" w:hAnsi="Arial" w:cs="Arial"/>
        </w:rPr>
      </w:pPr>
      <w:r w:rsidRPr="004E64D0">
        <w:rPr>
          <w:rFonts w:ascii="Arial" w:hAnsi="Arial" w:cs="Arial"/>
        </w:rPr>
        <w:t>Dans l’ensemble, les externalités positives s’avèrent quantitativement et qualitativement plus importantes</w:t>
      </w:r>
      <w:r w:rsidR="004E64D0" w:rsidRPr="004E64D0">
        <w:rPr>
          <w:rFonts w:ascii="Arial" w:hAnsi="Arial" w:cs="Arial"/>
        </w:rPr>
        <w:t xml:space="preserve"> dans les cas de la réalisation du projet que dans les cas où il ne sera pas mis en œuvre ou qu’il sera décalé dans le temps</w:t>
      </w:r>
      <w:r w:rsidRPr="004E64D0">
        <w:rPr>
          <w:rFonts w:ascii="Arial" w:hAnsi="Arial" w:cs="Arial"/>
        </w:rPr>
        <w:t xml:space="preserve">. </w:t>
      </w:r>
    </w:p>
    <w:p w14:paraId="4A8C694E" w14:textId="77777777" w:rsidR="00982318" w:rsidRDefault="00482EA5" w:rsidP="00B434A6">
      <w:pPr>
        <w:spacing w:before="120" w:after="120" w:line="240" w:lineRule="auto"/>
        <w:jc w:val="both"/>
        <w:rPr>
          <w:rFonts w:ascii="Arial" w:hAnsi="Arial" w:cs="Arial"/>
        </w:rPr>
      </w:pPr>
      <w:r w:rsidRPr="004E64D0">
        <w:rPr>
          <w:rFonts w:ascii="Arial" w:hAnsi="Arial" w:cs="Arial"/>
        </w:rPr>
        <w:t>Le Projet DECIM contribuera à l’accroissement de la part de l’utilisation des technologies et équipements d’</w:t>
      </w:r>
      <w:r w:rsidR="00982318" w:rsidRPr="004E64D0">
        <w:rPr>
          <w:rFonts w:ascii="Arial" w:hAnsi="Arial" w:cs="Arial"/>
        </w:rPr>
        <w:t>Énergie</w:t>
      </w:r>
      <w:r w:rsidRPr="004E64D0">
        <w:rPr>
          <w:rFonts w:ascii="Arial" w:hAnsi="Arial" w:cs="Arial"/>
        </w:rPr>
        <w:t xml:space="preserve"> Renouvelable dans la production nationale d’électricité (en puissance installée) et de sécuriser et d’accroître la couverture électrique du pays.</w:t>
      </w:r>
      <w:r w:rsidR="004E64D0" w:rsidRPr="004E64D0">
        <w:rPr>
          <w:rFonts w:ascii="Arial" w:hAnsi="Arial" w:cs="Arial"/>
        </w:rPr>
        <w:t xml:space="preserve"> </w:t>
      </w:r>
    </w:p>
    <w:p w14:paraId="07B0A344" w14:textId="77777777" w:rsidR="00482EA5" w:rsidRDefault="00AC601A" w:rsidP="00B434A6">
      <w:pPr>
        <w:spacing w:before="120" w:after="120" w:line="240" w:lineRule="auto"/>
        <w:jc w:val="both"/>
        <w:rPr>
          <w:rFonts w:ascii="Arial" w:hAnsi="Arial" w:cs="Arial"/>
        </w:rPr>
      </w:pPr>
      <w:r>
        <w:rPr>
          <w:rFonts w:ascii="Arial" w:hAnsi="Arial" w:cs="Arial"/>
        </w:rPr>
        <w:t>Le Projet apportera également des facilitations</w:t>
      </w:r>
      <w:r w:rsidR="004E64D0" w:rsidRPr="004E64D0">
        <w:rPr>
          <w:rFonts w:ascii="Arial" w:hAnsi="Arial" w:cs="Arial"/>
        </w:rPr>
        <w:t xml:space="preserve"> </w:t>
      </w:r>
      <w:r>
        <w:rPr>
          <w:rFonts w:ascii="Arial" w:hAnsi="Arial" w:cs="Arial"/>
        </w:rPr>
        <w:t xml:space="preserve">de </w:t>
      </w:r>
      <w:r w:rsidR="004E64D0" w:rsidRPr="004E64D0">
        <w:rPr>
          <w:rFonts w:ascii="Arial" w:hAnsi="Arial" w:cs="Arial"/>
        </w:rPr>
        <w:t xml:space="preserve">services et </w:t>
      </w:r>
      <w:r>
        <w:rPr>
          <w:rFonts w:ascii="Arial" w:hAnsi="Arial" w:cs="Arial"/>
        </w:rPr>
        <w:t>d</w:t>
      </w:r>
      <w:r w:rsidR="004E64D0" w:rsidRPr="004E64D0">
        <w:rPr>
          <w:rFonts w:ascii="Arial" w:hAnsi="Arial" w:cs="Arial"/>
        </w:rPr>
        <w:t>’accès à l’information et à l</w:t>
      </w:r>
      <w:r w:rsidR="00982318">
        <w:rPr>
          <w:rFonts w:ascii="Arial" w:hAnsi="Arial" w:cs="Arial"/>
        </w:rPr>
        <w:t>’amélioration de l</w:t>
      </w:r>
      <w:r w:rsidR="004E64D0" w:rsidRPr="004E64D0">
        <w:rPr>
          <w:rFonts w:ascii="Arial" w:hAnsi="Arial" w:cs="Arial"/>
        </w:rPr>
        <w:t>a communication pour la population.</w:t>
      </w:r>
    </w:p>
    <w:p w14:paraId="1E741796" w14:textId="77777777" w:rsidR="00160FB0" w:rsidRDefault="00160FB0" w:rsidP="00B434A6">
      <w:pPr>
        <w:spacing w:before="120" w:after="120" w:line="240" w:lineRule="auto"/>
        <w:jc w:val="both"/>
        <w:rPr>
          <w:rFonts w:ascii="Arial" w:hAnsi="Arial" w:cs="Arial"/>
        </w:rPr>
      </w:pPr>
      <w:r>
        <w:rPr>
          <w:rFonts w:ascii="Arial" w:hAnsi="Arial" w:cs="Arial"/>
        </w:rPr>
        <w:t>En outre, des analyses des alternatives concernant la localisation des sous projet, des choix technologiques, etc. devront être concidérés durant l’elaboration d’EIES/PGES ou quand les données ou détails sur les différents sous projets seront disponibles.</w:t>
      </w:r>
    </w:p>
    <w:p w14:paraId="66B98B97" w14:textId="77777777" w:rsidR="00160FB0" w:rsidRDefault="00160FB0" w:rsidP="00B434A6">
      <w:pPr>
        <w:spacing w:before="120" w:after="120" w:line="240" w:lineRule="auto"/>
        <w:jc w:val="both"/>
      </w:pPr>
    </w:p>
    <w:p w14:paraId="772CFF3C" w14:textId="77777777" w:rsidR="00832CC9" w:rsidRPr="00B96EBA" w:rsidRDefault="00E95156" w:rsidP="0044500E">
      <w:pPr>
        <w:pStyle w:val="Paragraphedeliste"/>
        <w:numPr>
          <w:ilvl w:val="0"/>
          <w:numId w:val="177"/>
        </w:numPr>
        <w:pBdr>
          <w:bottom w:val="single" w:sz="4" w:space="1" w:color="auto"/>
        </w:pBdr>
        <w:spacing w:line="240" w:lineRule="auto"/>
        <w:jc w:val="both"/>
        <w:outlineLvl w:val="0"/>
        <w:rPr>
          <w:b/>
          <w:caps/>
          <w:color w:val="44546A"/>
          <w:sz w:val="40"/>
          <w:szCs w:val="40"/>
        </w:rPr>
      </w:pPr>
      <w:r>
        <w:br w:type="page"/>
      </w:r>
      <w:bookmarkStart w:id="787" w:name="_Toc124956212"/>
      <w:bookmarkStart w:id="788" w:name="_Toc125384607"/>
      <w:bookmarkStart w:id="789" w:name="_Toc125384996"/>
      <w:bookmarkStart w:id="790" w:name="_Toc127957668"/>
      <w:r w:rsidR="00832CC9" w:rsidRPr="005D6D41">
        <w:rPr>
          <w:b/>
          <w:caps/>
          <w:color w:val="44546A"/>
          <w:sz w:val="40"/>
          <w:szCs w:val="40"/>
        </w:rPr>
        <w:t xml:space="preserve">Identification et évaluation des impacts positifs et négatifs </w:t>
      </w:r>
      <w:r w:rsidR="00853203">
        <w:rPr>
          <w:b/>
          <w:caps/>
          <w:color w:val="44546A"/>
          <w:sz w:val="40"/>
          <w:szCs w:val="40"/>
        </w:rPr>
        <w:t xml:space="preserve">potentiels </w:t>
      </w:r>
      <w:r w:rsidR="00832CC9" w:rsidRPr="005D6D41">
        <w:rPr>
          <w:b/>
          <w:caps/>
          <w:color w:val="44546A"/>
          <w:sz w:val="40"/>
          <w:szCs w:val="40"/>
        </w:rPr>
        <w:t>du projet</w:t>
      </w:r>
      <w:bookmarkEnd w:id="787"/>
      <w:bookmarkEnd w:id="788"/>
      <w:bookmarkEnd w:id="789"/>
      <w:bookmarkEnd w:id="790"/>
    </w:p>
    <w:p w14:paraId="1448A9C5" w14:textId="77777777" w:rsidR="00832CC9" w:rsidRPr="007F78CE" w:rsidRDefault="0039047D" w:rsidP="0044500E">
      <w:pPr>
        <w:pStyle w:val="TIT2"/>
        <w:numPr>
          <w:ilvl w:val="1"/>
          <w:numId w:val="177"/>
        </w:numPr>
      </w:pPr>
      <w:bookmarkStart w:id="791" w:name="_Toc124312744"/>
      <w:bookmarkStart w:id="792" w:name="_Toc124314730"/>
      <w:bookmarkStart w:id="793" w:name="_Toc124956213"/>
      <w:bookmarkStart w:id="794" w:name="_Toc125384608"/>
      <w:bookmarkStart w:id="795" w:name="_Toc125384997"/>
      <w:bookmarkStart w:id="796" w:name="_Toc127957669"/>
      <w:bookmarkEnd w:id="791"/>
      <w:r w:rsidRPr="007F78CE">
        <w:t>Identification et évaluation des impacts potentiels types</w:t>
      </w:r>
      <w:bookmarkEnd w:id="792"/>
      <w:bookmarkEnd w:id="793"/>
      <w:bookmarkEnd w:id="794"/>
      <w:bookmarkEnd w:id="795"/>
      <w:bookmarkEnd w:id="796"/>
      <w:r w:rsidRPr="007F78CE">
        <w:t xml:space="preserve"> </w:t>
      </w:r>
    </w:p>
    <w:p w14:paraId="42A59F8A" w14:textId="77777777" w:rsidR="00E60DF0" w:rsidRDefault="00E60DF0" w:rsidP="00E60DF0">
      <w:pPr>
        <w:spacing w:after="0" w:line="240" w:lineRule="auto"/>
        <w:jc w:val="both"/>
        <w:rPr>
          <w:rFonts w:ascii="Arial" w:hAnsi="Arial" w:cs="Arial"/>
        </w:rPr>
      </w:pPr>
      <w:r w:rsidRPr="00E60DF0">
        <w:rPr>
          <w:rFonts w:ascii="Arial" w:hAnsi="Arial" w:cs="Arial"/>
        </w:rPr>
        <w:t>Lors de la mise en œuvre des activités potentielles identifiées, de l’exécution des travaux jusqu’à la phase d’exploitation, il existe des risques et des impacts négatifs potentiels sur l’environnement et sur l’humain. Ainsi, ce chapitre développe de manière approfondie tous les impacts prévus que ce soit de manière globale ou propre à chaque sous-projet.</w:t>
      </w:r>
      <w:r w:rsidR="002D228C">
        <w:rPr>
          <w:rFonts w:ascii="Arial" w:hAnsi="Arial" w:cs="Arial"/>
        </w:rPr>
        <w:t xml:space="preserve"> Afin de faciliter l’évaluation des impacts les sous projet identifiés sont regroupés en : </w:t>
      </w:r>
    </w:p>
    <w:p w14:paraId="66E65B14" w14:textId="77777777" w:rsidR="002D228C" w:rsidRDefault="002D228C" w:rsidP="00E60DF0">
      <w:pPr>
        <w:spacing w:after="0" w:line="240" w:lineRule="auto"/>
        <w:jc w:val="both"/>
        <w:rPr>
          <w:rFonts w:ascii="Arial" w:hAnsi="Arial" w:cs="Arial"/>
        </w:rPr>
      </w:pPr>
    </w:p>
    <w:p w14:paraId="2E410853" w14:textId="77777777" w:rsidR="002D228C" w:rsidRPr="00B434A6" w:rsidRDefault="002D228C" w:rsidP="0044500E">
      <w:pPr>
        <w:pStyle w:val="Paragraphedeliste"/>
        <w:numPr>
          <w:ilvl w:val="0"/>
          <w:numId w:val="190"/>
        </w:numPr>
        <w:spacing w:after="0" w:line="240" w:lineRule="auto"/>
        <w:jc w:val="both"/>
        <w:rPr>
          <w:rFonts w:ascii="Arial" w:hAnsi="Arial" w:cs="Arial"/>
        </w:rPr>
      </w:pPr>
      <w:r w:rsidRPr="00B434A6">
        <w:rPr>
          <w:rFonts w:ascii="Arial" w:hAnsi="Arial" w:cs="Arial"/>
        </w:rPr>
        <w:t>Infrastructure numérique qui englobe tous les secteurs numérique</w:t>
      </w:r>
      <w:r w:rsidR="00E423A8">
        <w:rPr>
          <w:rFonts w:ascii="Arial" w:hAnsi="Arial" w:cs="Arial"/>
        </w:rPr>
        <w:t>s</w:t>
      </w:r>
      <w:r w:rsidRPr="00B434A6">
        <w:rPr>
          <w:rFonts w:ascii="Arial" w:hAnsi="Arial" w:cs="Arial"/>
        </w:rPr>
        <w:t xml:space="preserve"> comme la mise en place de tour cellulaire, mise en place d’un réseau 4G ou plus, connexion Wifi au niveau des </w:t>
      </w:r>
      <w:r w:rsidR="00067C78" w:rsidRPr="00B434A6">
        <w:rPr>
          <w:rFonts w:ascii="Arial" w:hAnsi="Arial" w:cs="Arial"/>
        </w:rPr>
        <w:t>infrastructures</w:t>
      </w:r>
      <w:r w:rsidRPr="00B434A6">
        <w:rPr>
          <w:rFonts w:ascii="Arial" w:hAnsi="Arial" w:cs="Arial"/>
        </w:rPr>
        <w:t xml:space="preserve"> communautaire</w:t>
      </w:r>
      <w:r w:rsidR="00E423A8">
        <w:rPr>
          <w:rFonts w:ascii="Arial" w:hAnsi="Arial" w:cs="Arial"/>
        </w:rPr>
        <w:t>s</w:t>
      </w:r>
      <w:r w:rsidRPr="00B434A6">
        <w:rPr>
          <w:rFonts w:ascii="Arial" w:hAnsi="Arial" w:cs="Arial"/>
        </w:rPr>
        <w:t xml:space="preserve">, </w:t>
      </w:r>
      <w:r w:rsidR="00067C78" w:rsidRPr="00B434A6">
        <w:rPr>
          <w:rFonts w:ascii="Arial" w:hAnsi="Arial" w:cs="Arial"/>
        </w:rPr>
        <w:t>alphabétisation</w:t>
      </w:r>
      <w:r w:rsidRPr="00B434A6">
        <w:rPr>
          <w:rFonts w:ascii="Arial" w:hAnsi="Arial" w:cs="Arial"/>
        </w:rPr>
        <w:t xml:space="preserve"> numérique, facilitation d’accès aux appareils numériques, etc.</w:t>
      </w:r>
      <w:r w:rsidR="00067C78">
        <w:rPr>
          <w:rFonts w:ascii="Arial" w:hAnsi="Arial" w:cs="Arial"/>
        </w:rPr>
        <w:t> ;</w:t>
      </w:r>
    </w:p>
    <w:p w14:paraId="0FE92DE0" w14:textId="77777777" w:rsidR="002D228C" w:rsidRPr="00B434A6" w:rsidRDefault="002D228C" w:rsidP="0044500E">
      <w:pPr>
        <w:pStyle w:val="Paragraphedeliste"/>
        <w:numPr>
          <w:ilvl w:val="0"/>
          <w:numId w:val="190"/>
        </w:numPr>
        <w:spacing w:after="0" w:line="240" w:lineRule="auto"/>
        <w:jc w:val="both"/>
        <w:rPr>
          <w:rFonts w:ascii="Arial" w:hAnsi="Arial" w:cs="Arial"/>
        </w:rPr>
      </w:pPr>
      <w:r w:rsidRPr="00B434A6">
        <w:rPr>
          <w:rFonts w:ascii="Arial" w:hAnsi="Arial" w:cs="Arial"/>
        </w:rPr>
        <w:t>Centrale électrique solaire</w:t>
      </w:r>
      <w:r w:rsidR="00E423A8">
        <w:rPr>
          <w:rFonts w:ascii="Arial" w:hAnsi="Arial" w:cs="Arial"/>
        </w:rPr>
        <w:t> ;</w:t>
      </w:r>
    </w:p>
    <w:p w14:paraId="7F91960E" w14:textId="77777777" w:rsidR="002D228C" w:rsidRPr="00B434A6" w:rsidRDefault="002D228C" w:rsidP="0044500E">
      <w:pPr>
        <w:pStyle w:val="Paragraphedeliste"/>
        <w:numPr>
          <w:ilvl w:val="0"/>
          <w:numId w:val="190"/>
        </w:numPr>
        <w:spacing w:after="0" w:line="240" w:lineRule="auto"/>
        <w:jc w:val="both"/>
        <w:rPr>
          <w:rFonts w:ascii="Arial" w:hAnsi="Arial" w:cs="Arial"/>
        </w:rPr>
      </w:pPr>
      <w:r w:rsidRPr="00B434A6">
        <w:rPr>
          <w:rFonts w:ascii="Arial" w:hAnsi="Arial" w:cs="Arial"/>
        </w:rPr>
        <w:t>Barrage hydroélectrique</w:t>
      </w:r>
      <w:r w:rsidR="00E423A8">
        <w:rPr>
          <w:rFonts w:ascii="Arial" w:hAnsi="Arial" w:cs="Arial"/>
        </w:rPr>
        <w:t> ;</w:t>
      </w:r>
      <w:r w:rsidRPr="00B434A6">
        <w:rPr>
          <w:rFonts w:ascii="Arial" w:hAnsi="Arial" w:cs="Arial"/>
        </w:rPr>
        <w:t xml:space="preserve"> </w:t>
      </w:r>
    </w:p>
    <w:p w14:paraId="0F369352" w14:textId="77777777" w:rsidR="002D228C" w:rsidRPr="00B434A6" w:rsidRDefault="002D228C" w:rsidP="0044500E">
      <w:pPr>
        <w:pStyle w:val="Paragraphedeliste"/>
        <w:numPr>
          <w:ilvl w:val="0"/>
          <w:numId w:val="190"/>
        </w:numPr>
        <w:spacing w:after="0" w:line="240" w:lineRule="auto"/>
        <w:jc w:val="both"/>
        <w:rPr>
          <w:rFonts w:ascii="Arial" w:hAnsi="Arial" w:cs="Arial"/>
        </w:rPr>
      </w:pPr>
      <w:r w:rsidRPr="00B434A6">
        <w:rPr>
          <w:rFonts w:ascii="Arial" w:hAnsi="Arial" w:cs="Arial"/>
        </w:rPr>
        <w:t>Réseaux électrique</w:t>
      </w:r>
      <w:r w:rsidR="00044A84">
        <w:rPr>
          <w:rFonts w:ascii="Arial" w:hAnsi="Arial" w:cs="Arial"/>
        </w:rPr>
        <w:t>s</w:t>
      </w:r>
      <w:r w:rsidR="00E423A8">
        <w:rPr>
          <w:rFonts w:ascii="Arial" w:hAnsi="Arial" w:cs="Arial"/>
        </w:rPr>
        <w:t>.</w:t>
      </w:r>
      <w:r w:rsidRPr="00B434A6">
        <w:rPr>
          <w:rFonts w:ascii="Arial" w:hAnsi="Arial" w:cs="Arial"/>
        </w:rPr>
        <w:t xml:space="preserve"> </w:t>
      </w:r>
    </w:p>
    <w:p w14:paraId="3BBE6A8F" w14:textId="77777777" w:rsidR="006623E9" w:rsidRPr="0039047D" w:rsidRDefault="0039047D" w:rsidP="0044500E">
      <w:pPr>
        <w:pStyle w:val="TIT3"/>
        <w:numPr>
          <w:ilvl w:val="2"/>
          <w:numId w:val="177"/>
        </w:numPr>
      </w:pPr>
      <w:bookmarkStart w:id="797" w:name="_Toc124312746"/>
      <w:bookmarkStart w:id="798" w:name="_Toc124314731"/>
      <w:bookmarkStart w:id="799" w:name="_Toc124956214"/>
      <w:bookmarkStart w:id="800" w:name="_Toc125384609"/>
      <w:bookmarkStart w:id="801" w:name="_Toc125384998"/>
      <w:bookmarkStart w:id="802" w:name="_Toc127957670"/>
      <w:bookmarkEnd w:id="797"/>
      <w:r w:rsidRPr="0039047D">
        <w:t>Méthodologie utilisée</w:t>
      </w:r>
      <w:bookmarkEnd w:id="798"/>
      <w:bookmarkEnd w:id="799"/>
      <w:bookmarkEnd w:id="800"/>
      <w:bookmarkEnd w:id="801"/>
      <w:bookmarkEnd w:id="802"/>
      <w:r w:rsidRPr="0039047D">
        <w:t xml:space="preserve"> </w:t>
      </w:r>
    </w:p>
    <w:p w14:paraId="130ACB84" w14:textId="77777777" w:rsidR="00E60DF0" w:rsidRPr="00E60DF0" w:rsidRDefault="00E60DF0" w:rsidP="00E60DF0">
      <w:pPr>
        <w:spacing w:after="0" w:line="240" w:lineRule="auto"/>
        <w:jc w:val="both"/>
        <w:rPr>
          <w:rFonts w:ascii="Arial" w:hAnsi="Arial" w:cs="Arial"/>
        </w:rPr>
      </w:pPr>
      <w:r w:rsidRPr="00E60DF0">
        <w:rPr>
          <w:rFonts w:ascii="Arial" w:hAnsi="Arial" w:cs="Arial"/>
        </w:rPr>
        <w:t>Cette partie concerne l’identification ainsi que l’évaluation des caractéristiques du Projet susceptibles d’</w:t>
      </w:r>
      <w:r w:rsidR="00853203" w:rsidRPr="00853203">
        <w:rPr>
          <w:rFonts w:ascii="Arial" w:hAnsi="Arial" w:cs="Arial"/>
        </w:rPr>
        <w:t xml:space="preserve"> </w:t>
      </w:r>
      <w:r w:rsidR="00853203" w:rsidRPr="00E60DF0">
        <w:rPr>
          <w:rFonts w:ascii="Arial" w:hAnsi="Arial" w:cs="Arial"/>
        </w:rPr>
        <w:t>entraîner</w:t>
      </w:r>
      <w:r w:rsidRPr="00E60DF0">
        <w:rPr>
          <w:rFonts w:ascii="Arial" w:hAnsi="Arial" w:cs="Arial"/>
        </w:rPr>
        <w:t xml:space="preserve"> des répercussions sur l’environnement et le milieu humain.</w:t>
      </w:r>
    </w:p>
    <w:p w14:paraId="202E3915" w14:textId="77777777" w:rsidR="0039047D" w:rsidRDefault="0039047D" w:rsidP="00B434A6">
      <w:pPr>
        <w:spacing w:after="0"/>
      </w:pPr>
    </w:p>
    <w:p w14:paraId="2850A1F6" w14:textId="77777777" w:rsidR="006623E9" w:rsidRPr="0039047D" w:rsidRDefault="0039047D" w:rsidP="0044500E">
      <w:pPr>
        <w:pStyle w:val="TIT40"/>
        <w:numPr>
          <w:ilvl w:val="3"/>
          <w:numId w:val="177"/>
        </w:numPr>
        <w:spacing w:before="120"/>
        <w:outlineLvl w:val="3"/>
      </w:pPr>
      <w:bookmarkStart w:id="803" w:name="_Toc124314732"/>
      <w:bookmarkStart w:id="804" w:name="_Toc124956215"/>
      <w:bookmarkStart w:id="805" w:name="_Toc125384610"/>
      <w:bookmarkStart w:id="806" w:name="_Toc125384999"/>
      <w:bookmarkStart w:id="807" w:name="_Toc127957671"/>
      <w:r w:rsidRPr="0039047D">
        <w:t>Identification des impacts potentiels types</w:t>
      </w:r>
      <w:bookmarkEnd w:id="803"/>
      <w:bookmarkEnd w:id="804"/>
      <w:bookmarkEnd w:id="805"/>
      <w:bookmarkEnd w:id="806"/>
      <w:bookmarkEnd w:id="807"/>
    </w:p>
    <w:p w14:paraId="38623136" w14:textId="77777777" w:rsidR="00E60DF0" w:rsidRPr="00E60DF0" w:rsidRDefault="00E60DF0" w:rsidP="00E60DF0">
      <w:pPr>
        <w:spacing w:after="0" w:line="240" w:lineRule="auto"/>
        <w:jc w:val="both"/>
        <w:rPr>
          <w:rFonts w:ascii="Arial" w:hAnsi="Arial" w:cs="Arial"/>
        </w:rPr>
      </w:pPr>
      <w:r w:rsidRPr="00E60DF0">
        <w:rPr>
          <w:rFonts w:ascii="Arial" w:hAnsi="Arial" w:cs="Arial"/>
        </w:rPr>
        <w:t xml:space="preserve">Il s’agit d’identifier les impacts et les différentes perturbations environnementales et sociales qu’occasionne la mise en œuvre du projet </w:t>
      </w:r>
      <w:r w:rsidR="00AC601A">
        <w:rPr>
          <w:rFonts w:ascii="Arial" w:hAnsi="Arial" w:cs="Arial"/>
        </w:rPr>
        <w:t>DECIM</w:t>
      </w:r>
      <w:r w:rsidRPr="00E60DF0">
        <w:rPr>
          <w:rFonts w:ascii="Arial" w:hAnsi="Arial" w:cs="Arial"/>
        </w:rPr>
        <w:t xml:space="preserve"> et celles de ses activités. Les impacts sont identifiés à partir des procédés suivants :</w:t>
      </w:r>
    </w:p>
    <w:p w14:paraId="2A06AC1A" w14:textId="77777777" w:rsidR="00E60DF0" w:rsidRPr="00E60DF0" w:rsidRDefault="00E60DF0" w:rsidP="00687DD2">
      <w:pPr>
        <w:pStyle w:val="Paragraphedeliste"/>
        <w:numPr>
          <w:ilvl w:val="2"/>
          <w:numId w:val="82"/>
        </w:numPr>
        <w:spacing w:after="0" w:line="240" w:lineRule="auto"/>
        <w:ind w:right="4"/>
        <w:jc w:val="both"/>
        <w:rPr>
          <w:rFonts w:ascii="Arial" w:hAnsi="Arial" w:cs="Arial"/>
        </w:rPr>
      </w:pPr>
      <w:r w:rsidRPr="00E60DF0">
        <w:rPr>
          <w:rFonts w:ascii="Arial" w:hAnsi="Arial" w:cs="Arial"/>
        </w:rPr>
        <w:t>Les caractéristiques intrinsèques du Projet et celles des zones d’insertion ;</w:t>
      </w:r>
    </w:p>
    <w:p w14:paraId="5D051FDC" w14:textId="77777777" w:rsidR="00E60DF0" w:rsidRPr="00E60DF0" w:rsidRDefault="00E60DF0" w:rsidP="00687DD2">
      <w:pPr>
        <w:pStyle w:val="Paragraphedeliste"/>
        <w:numPr>
          <w:ilvl w:val="2"/>
          <w:numId w:val="82"/>
        </w:numPr>
        <w:spacing w:after="0" w:line="240" w:lineRule="auto"/>
        <w:ind w:right="4"/>
        <w:jc w:val="both"/>
        <w:rPr>
          <w:rFonts w:ascii="Arial" w:hAnsi="Arial" w:cs="Arial"/>
        </w:rPr>
      </w:pPr>
      <w:r w:rsidRPr="00E60DF0">
        <w:rPr>
          <w:rFonts w:ascii="Arial" w:hAnsi="Arial" w:cs="Arial"/>
        </w:rPr>
        <w:t>L'expérience et la connaissance des impacts sur l'environnement et le milieu humain induits par les travaux générés par les sous-projets envisagés ;</w:t>
      </w:r>
    </w:p>
    <w:p w14:paraId="28A42087" w14:textId="77777777" w:rsidR="00E60DF0" w:rsidRPr="00E60DF0" w:rsidRDefault="00E60DF0" w:rsidP="00687DD2">
      <w:pPr>
        <w:pStyle w:val="Paragraphedeliste"/>
        <w:numPr>
          <w:ilvl w:val="2"/>
          <w:numId w:val="82"/>
        </w:numPr>
        <w:spacing w:after="0" w:line="240" w:lineRule="auto"/>
        <w:ind w:right="4"/>
        <w:jc w:val="both"/>
        <w:rPr>
          <w:rFonts w:ascii="Arial" w:hAnsi="Arial" w:cs="Arial"/>
        </w:rPr>
      </w:pPr>
      <w:r w:rsidRPr="00E60DF0">
        <w:rPr>
          <w:rFonts w:ascii="Arial" w:hAnsi="Arial" w:cs="Arial"/>
        </w:rPr>
        <w:t>Les informations et les données collectées sur le terrain et auprès de personnes ressources dont les autorités locales, les services techniques et l’exploitant des infrastructures, ainsi qu’auprès des autres acteurs locaux, à travers la consultation publique.</w:t>
      </w:r>
    </w:p>
    <w:p w14:paraId="3B809A35" w14:textId="77777777" w:rsidR="0039047D" w:rsidRPr="00E60DF0" w:rsidRDefault="00E60DF0" w:rsidP="00F91FA3">
      <w:pPr>
        <w:jc w:val="both"/>
        <w:rPr>
          <w:rFonts w:ascii="Arial" w:hAnsi="Arial" w:cs="Arial"/>
        </w:rPr>
      </w:pPr>
      <w:r w:rsidRPr="00E60DF0">
        <w:rPr>
          <w:rFonts w:ascii="Arial" w:hAnsi="Arial" w:cs="Arial"/>
        </w:rPr>
        <w:t>La détermination des impacts sera obtenue à partir du croisement des informations issues de la description des activités du Projet et les problèmes et contraintes potentiels identifiés sur le terrain.</w:t>
      </w:r>
    </w:p>
    <w:p w14:paraId="4FA8C1D0" w14:textId="77777777" w:rsidR="0039047D" w:rsidRPr="0039047D" w:rsidRDefault="0039047D" w:rsidP="0044500E">
      <w:pPr>
        <w:pStyle w:val="TIT40"/>
        <w:numPr>
          <w:ilvl w:val="3"/>
          <w:numId w:val="177"/>
        </w:numPr>
        <w:outlineLvl w:val="3"/>
      </w:pPr>
      <w:bookmarkStart w:id="808" w:name="_Toc124314733"/>
      <w:bookmarkStart w:id="809" w:name="_Toc124956216"/>
      <w:bookmarkStart w:id="810" w:name="_Toc125384611"/>
      <w:bookmarkStart w:id="811" w:name="_Toc125385000"/>
      <w:bookmarkStart w:id="812" w:name="_Toc127957672"/>
      <w:r w:rsidRPr="0039047D">
        <w:t>Méthode d’évaluation des impacts</w:t>
      </w:r>
      <w:bookmarkEnd w:id="808"/>
      <w:bookmarkEnd w:id="809"/>
      <w:bookmarkEnd w:id="810"/>
      <w:bookmarkEnd w:id="811"/>
      <w:bookmarkEnd w:id="812"/>
      <w:r w:rsidRPr="0039047D">
        <w:t xml:space="preserve"> </w:t>
      </w:r>
    </w:p>
    <w:p w14:paraId="18202B3F" w14:textId="77777777" w:rsidR="00E60DF0" w:rsidRPr="00E60DF0" w:rsidRDefault="00E60DF0" w:rsidP="00E60DF0">
      <w:pPr>
        <w:spacing w:after="0" w:line="240" w:lineRule="auto"/>
        <w:jc w:val="both"/>
        <w:rPr>
          <w:rFonts w:ascii="Arial" w:hAnsi="Arial" w:cs="Arial"/>
        </w:rPr>
      </w:pPr>
      <w:r w:rsidRPr="00E60DF0">
        <w:rPr>
          <w:rFonts w:ascii="Arial" w:hAnsi="Arial" w:cs="Arial"/>
        </w:rPr>
        <w:t xml:space="preserve">La méthode d’évaluation des impacts potentiels du projet sur les éléments de l’environnement naturel et social est basée sur quatre critères jugés comme pertinents : </w:t>
      </w:r>
    </w:p>
    <w:p w14:paraId="2527CBD5" w14:textId="77777777" w:rsidR="00E60DF0" w:rsidRPr="00E60DF0" w:rsidRDefault="00E60DF0" w:rsidP="00687DD2">
      <w:pPr>
        <w:pStyle w:val="Paragraphedeliste"/>
        <w:numPr>
          <w:ilvl w:val="2"/>
          <w:numId w:val="82"/>
        </w:numPr>
        <w:spacing w:after="0" w:line="240" w:lineRule="auto"/>
        <w:ind w:right="4"/>
        <w:jc w:val="both"/>
        <w:rPr>
          <w:rFonts w:ascii="Arial" w:hAnsi="Arial" w:cs="Arial"/>
        </w:rPr>
      </w:pPr>
      <w:r w:rsidRPr="00E60DF0">
        <w:rPr>
          <w:rFonts w:ascii="Arial" w:hAnsi="Arial" w:cs="Arial"/>
        </w:rPr>
        <w:t xml:space="preserve">L’intensité ou la force de l’impact (I), </w:t>
      </w:r>
    </w:p>
    <w:p w14:paraId="02C369D9" w14:textId="77777777" w:rsidR="00E60DF0" w:rsidRPr="00E60DF0" w:rsidRDefault="00E60DF0" w:rsidP="00687DD2">
      <w:pPr>
        <w:pStyle w:val="Paragraphedeliste"/>
        <w:numPr>
          <w:ilvl w:val="2"/>
          <w:numId w:val="82"/>
        </w:numPr>
        <w:spacing w:after="0" w:line="240" w:lineRule="auto"/>
        <w:ind w:right="4"/>
        <w:jc w:val="both"/>
        <w:rPr>
          <w:rFonts w:ascii="Arial" w:hAnsi="Arial" w:cs="Arial"/>
        </w:rPr>
      </w:pPr>
      <w:r w:rsidRPr="00E60DF0">
        <w:rPr>
          <w:rFonts w:ascii="Arial" w:hAnsi="Arial" w:cs="Arial"/>
        </w:rPr>
        <w:t xml:space="preserve">L’étendue spatiale de l’impact (E), </w:t>
      </w:r>
    </w:p>
    <w:p w14:paraId="1DC0578A" w14:textId="77777777" w:rsidR="00E60DF0" w:rsidRPr="00E60DF0" w:rsidRDefault="00E60DF0" w:rsidP="00687DD2">
      <w:pPr>
        <w:pStyle w:val="Paragraphedeliste"/>
        <w:numPr>
          <w:ilvl w:val="2"/>
          <w:numId w:val="82"/>
        </w:numPr>
        <w:spacing w:after="0" w:line="240" w:lineRule="auto"/>
        <w:ind w:right="4"/>
        <w:jc w:val="both"/>
        <w:rPr>
          <w:rFonts w:ascii="Arial" w:hAnsi="Arial" w:cs="Arial"/>
        </w:rPr>
      </w:pPr>
      <w:r w:rsidRPr="00E60DF0">
        <w:rPr>
          <w:rFonts w:ascii="Arial" w:hAnsi="Arial" w:cs="Arial"/>
        </w:rPr>
        <w:t xml:space="preserve">La durée de l’impact (D) et </w:t>
      </w:r>
    </w:p>
    <w:p w14:paraId="76EB1B54" w14:textId="77777777" w:rsidR="00E60DF0" w:rsidRPr="00E60DF0" w:rsidRDefault="00E60DF0" w:rsidP="00687DD2">
      <w:pPr>
        <w:pStyle w:val="Paragraphedeliste"/>
        <w:numPr>
          <w:ilvl w:val="2"/>
          <w:numId w:val="82"/>
        </w:numPr>
        <w:spacing w:after="0" w:line="240" w:lineRule="auto"/>
        <w:ind w:right="4"/>
        <w:jc w:val="both"/>
        <w:rPr>
          <w:rFonts w:ascii="Arial" w:hAnsi="Arial" w:cs="Arial"/>
        </w:rPr>
      </w:pPr>
      <w:r w:rsidRPr="00E60DF0">
        <w:rPr>
          <w:rFonts w:ascii="Arial" w:hAnsi="Arial" w:cs="Arial"/>
        </w:rPr>
        <w:t>La réversibilité de l’impact (R) selon le tableau ci-après :</w:t>
      </w:r>
      <w:bookmarkStart w:id="813" w:name="_Toc95039019"/>
      <w:bookmarkStart w:id="814" w:name="_Toc82360637"/>
      <w:bookmarkStart w:id="815" w:name="_Toc100753915"/>
      <w:bookmarkStart w:id="816" w:name="_Toc121213432"/>
    </w:p>
    <w:bookmarkEnd w:id="813"/>
    <w:bookmarkEnd w:id="814"/>
    <w:bookmarkEnd w:id="815"/>
    <w:bookmarkEnd w:id="816"/>
    <w:p w14:paraId="34846053" w14:textId="77777777" w:rsidR="00E60DF0" w:rsidRPr="00AB738B" w:rsidRDefault="0063283F" w:rsidP="00B90717">
      <w:pPr>
        <w:pStyle w:val="Lgende"/>
        <w:spacing w:before="120"/>
        <w:jc w:val="center"/>
        <w:rPr>
          <w:sz w:val="20"/>
        </w:rPr>
      </w:pPr>
      <w:r>
        <w:rPr>
          <w:sz w:val="20"/>
        </w:rPr>
        <w:br w:type="page"/>
      </w:r>
      <w:bookmarkStart w:id="817" w:name="_Toc127957814"/>
      <w:r w:rsidR="00E60DF0" w:rsidRPr="00AB738B">
        <w:rPr>
          <w:sz w:val="20"/>
        </w:rPr>
        <w:t xml:space="preserve">Tableau </w:t>
      </w:r>
      <w:r w:rsidR="00E60DF0" w:rsidRPr="00AB738B">
        <w:rPr>
          <w:sz w:val="20"/>
        </w:rPr>
        <w:fldChar w:fldCharType="begin"/>
      </w:r>
      <w:r w:rsidR="00E60DF0" w:rsidRPr="00AB738B">
        <w:rPr>
          <w:sz w:val="20"/>
        </w:rPr>
        <w:instrText xml:space="preserve"> SEQ Tableau \* ARABIC </w:instrText>
      </w:r>
      <w:r w:rsidR="00E60DF0" w:rsidRPr="00AB738B">
        <w:rPr>
          <w:sz w:val="20"/>
        </w:rPr>
        <w:fldChar w:fldCharType="separate"/>
      </w:r>
      <w:r w:rsidR="005430A1">
        <w:rPr>
          <w:noProof/>
          <w:sz w:val="20"/>
        </w:rPr>
        <w:t>18</w:t>
      </w:r>
      <w:r w:rsidR="00E60DF0" w:rsidRPr="00AB738B">
        <w:rPr>
          <w:sz w:val="20"/>
        </w:rPr>
        <w:fldChar w:fldCharType="end"/>
      </w:r>
      <w:r w:rsidR="00E60DF0" w:rsidRPr="00AB738B">
        <w:rPr>
          <w:sz w:val="20"/>
        </w:rPr>
        <w:t xml:space="preserve"> Critère de détermination et d’évaluation de l’importance des impacts</w:t>
      </w:r>
      <w:bookmarkEnd w:id="817"/>
    </w:p>
    <w:tbl>
      <w:tblPr>
        <w:tblW w:w="9009" w:type="dxa"/>
        <w:jc w:val="center"/>
        <w:tblCellMar>
          <w:left w:w="6" w:type="dxa"/>
          <w:right w:w="6" w:type="dxa"/>
        </w:tblCellMar>
        <w:tblLook w:val="01E0" w:firstRow="1" w:lastRow="1" w:firstColumn="1" w:lastColumn="1" w:noHBand="0" w:noVBand="0"/>
      </w:tblPr>
      <w:tblGrid>
        <w:gridCol w:w="1387"/>
        <w:gridCol w:w="1559"/>
        <w:gridCol w:w="5104"/>
        <w:gridCol w:w="959"/>
      </w:tblGrid>
      <w:tr w:rsidR="00E60DF0" w:rsidRPr="007F78CE" w14:paraId="3B8F4674" w14:textId="77777777" w:rsidTr="00982318">
        <w:trPr>
          <w:trHeight w:val="20"/>
          <w:tblHeader/>
          <w:jc w:val="center"/>
        </w:trPr>
        <w:tc>
          <w:tcPr>
            <w:tcW w:w="1387" w:type="dxa"/>
            <w:tcBorders>
              <w:top w:val="single" w:sz="4" w:space="0" w:color="000000"/>
              <w:left w:val="single" w:sz="4" w:space="0" w:color="000000"/>
              <w:bottom w:val="single" w:sz="4" w:space="0" w:color="000000"/>
              <w:right w:val="single" w:sz="4" w:space="0" w:color="000000"/>
            </w:tcBorders>
            <w:shd w:val="clear" w:color="auto" w:fill="365F91"/>
            <w:vAlign w:val="center"/>
          </w:tcPr>
          <w:p w14:paraId="55701EE7" w14:textId="77777777" w:rsidR="00E60DF0" w:rsidRPr="007F78CE" w:rsidRDefault="00E60DF0" w:rsidP="00623B30">
            <w:pPr>
              <w:ind w:left="144" w:hanging="360"/>
              <w:contextualSpacing/>
              <w:jc w:val="center"/>
              <w:rPr>
                <w:rFonts w:cs="Calibri"/>
                <w:b/>
                <w:bCs/>
                <w:color w:val="FFFFFF"/>
                <w:sz w:val="20"/>
                <w:szCs w:val="20"/>
              </w:rPr>
            </w:pPr>
            <w:r w:rsidRPr="007F78CE">
              <w:rPr>
                <w:rFonts w:cs="Calibri"/>
                <w:b/>
                <w:bCs/>
                <w:color w:val="FFFFFF"/>
                <w:sz w:val="20"/>
                <w:szCs w:val="20"/>
              </w:rPr>
              <w:t>CRITERES</w:t>
            </w:r>
          </w:p>
        </w:tc>
        <w:tc>
          <w:tcPr>
            <w:tcW w:w="1559" w:type="dxa"/>
            <w:tcBorders>
              <w:top w:val="single" w:sz="4" w:space="0" w:color="000000"/>
              <w:left w:val="single" w:sz="4" w:space="0" w:color="000000"/>
              <w:bottom w:val="single" w:sz="4" w:space="0" w:color="000000"/>
              <w:right w:val="single" w:sz="4" w:space="0" w:color="000000"/>
            </w:tcBorders>
            <w:shd w:val="clear" w:color="auto" w:fill="365F91"/>
            <w:vAlign w:val="center"/>
          </w:tcPr>
          <w:p w14:paraId="495E5A16" w14:textId="77777777" w:rsidR="00E60DF0" w:rsidRPr="007F78CE" w:rsidRDefault="00E60DF0" w:rsidP="00623B30">
            <w:pPr>
              <w:ind w:left="144" w:hanging="360"/>
              <w:contextualSpacing/>
              <w:jc w:val="center"/>
              <w:rPr>
                <w:rFonts w:cs="Calibri"/>
                <w:b/>
                <w:bCs/>
                <w:color w:val="FFFFFF"/>
                <w:sz w:val="20"/>
                <w:szCs w:val="20"/>
              </w:rPr>
            </w:pPr>
            <w:r w:rsidRPr="007F78CE">
              <w:rPr>
                <w:rFonts w:cs="Calibri"/>
                <w:b/>
                <w:bCs/>
                <w:color w:val="FFFFFF"/>
                <w:sz w:val="20"/>
                <w:szCs w:val="20"/>
              </w:rPr>
              <w:t>VALEUR</w:t>
            </w:r>
          </w:p>
        </w:tc>
        <w:tc>
          <w:tcPr>
            <w:tcW w:w="5104" w:type="dxa"/>
            <w:tcBorders>
              <w:top w:val="single" w:sz="4" w:space="0" w:color="000000"/>
              <w:left w:val="single" w:sz="4" w:space="0" w:color="000000"/>
              <w:bottom w:val="single" w:sz="4" w:space="0" w:color="000000"/>
              <w:right w:val="single" w:sz="4" w:space="0" w:color="000000"/>
            </w:tcBorders>
            <w:shd w:val="clear" w:color="auto" w:fill="365F91"/>
            <w:vAlign w:val="center"/>
          </w:tcPr>
          <w:p w14:paraId="43B2D37C" w14:textId="77777777" w:rsidR="00E60DF0" w:rsidRPr="007F78CE" w:rsidRDefault="00E60DF0" w:rsidP="00623B30">
            <w:pPr>
              <w:ind w:left="144" w:hanging="360"/>
              <w:contextualSpacing/>
              <w:jc w:val="center"/>
              <w:rPr>
                <w:rFonts w:cs="Calibri"/>
                <w:b/>
                <w:bCs/>
                <w:color w:val="FFFFFF"/>
                <w:sz w:val="20"/>
                <w:szCs w:val="20"/>
              </w:rPr>
            </w:pPr>
            <w:r w:rsidRPr="007F78CE">
              <w:rPr>
                <w:rFonts w:cs="Calibri"/>
                <w:b/>
                <w:bCs/>
                <w:color w:val="FFFFFF"/>
                <w:sz w:val="20"/>
                <w:szCs w:val="20"/>
              </w:rPr>
              <w:t>DEFINITION</w:t>
            </w:r>
          </w:p>
        </w:tc>
        <w:tc>
          <w:tcPr>
            <w:tcW w:w="959" w:type="dxa"/>
            <w:tcBorders>
              <w:top w:val="single" w:sz="4" w:space="0" w:color="000000"/>
              <w:left w:val="single" w:sz="4" w:space="0" w:color="000000"/>
              <w:bottom w:val="single" w:sz="4" w:space="0" w:color="000000"/>
              <w:right w:val="single" w:sz="4" w:space="0" w:color="000000"/>
            </w:tcBorders>
            <w:shd w:val="clear" w:color="auto" w:fill="365F91"/>
            <w:vAlign w:val="center"/>
          </w:tcPr>
          <w:p w14:paraId="3E681F8D" w14:textId="77777777" w:rsidR="00E60DF0" w:rsidRPr="007F78CE" w:rsidRDefault="00E60DF0" w:rsidP="00623B30">
            <w:pPr>
              <w:contextualSpacing/>
              <w:jc w:val="center"/>
              <w:rPr>
                <w:rFonts w:cs="Calibri"/>
                <w:b/>
                <w:bCs/>
                <w:color w:val="FFFFFF"/>
                <w:sz w:val="20"/>
                <w:szCs w:val="20"/>
              </w:rPr>
            </w:pPr>
            <w:r w:rsidRPr="007F78CE">
              <w:rPr>
                <w:rFonts w:cs="Calibri"/>
                <w:b/>
                <w:bCs/>
                <w:color w:val="FFFFFF"/>
                <w:sz w:val="20"/>
                <w:szCs w:val="20"/>
              </w:rPr>
              <w:t>SCORE</w:t>
            </w:r>
          </w:p>
        </w:tc>
      </w:tr>
      <w:tr w:rsidR="00E60DF0" w:rsidRPr="007F78CE" w14:paraId="7512258A" w14:textId="77777777" w:rsidTr="00982318">
        <w:trPr>
          <w:trHeight w:val="20"/>
          <w:jc w:val="center"/>
        </w:trPr>
        <w:tc>
          <w:tcPr>
            <w:tcW w:w="1387" w:type="dxa"/>
            <w:vMerge w:val="restart"/>
            <w:tcBorders>
              <w:top w:val="single" w:sz="4" w:space="0" w:color="000000"/>
              <w:left w:val="single" w:sz="4" w:space="0" w:color="000000"/>
              <w:right w:val="single" w:sz="4" w:space="0" w:color="000000"/>
            </w:tcBorders>
            <w:shd w:val="clear" w:color="auto" w:fill="auto"/>
            <w:vAlign w:val="center"/>
          </w:tcPr>
          <w:p w14:paraId="028EAF01" w14:textId="77777777" w:rsidR="00E60DF0" w:rsidRPr="007F78CE" w:rsidRDefault="00E60DF0" w:rsidP="00623B30">
            <w:pPr>
              <w:contextualSpacing/>
              <w:rPr>
                <w:rFonts w:cs="Calibri"/>
                <w:sz w:val="20"/>
                <w:szCs w:val="20"/>
              </w:rPr>
            </w:pPr>
            <w:r w:rsidRPr="007F78CE">
              <w:rPr>
                <w:rFonts w:cs="Calibri"/>
                <w:sz w:val="20"/>
                <w:szCs w:val="20"/>
              </w:rPr>
              <w:t>Intensité (I)</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C6B31" w14:textId="77777777" w:rsidR="00E60DF0" w:rsidRPr="007F78CE" w:rsidRDefault="00E60DF0" w:rsidP="00623B30">
            <w:pPr>
              <w:contextualSpacing/>
              <w:jc w:val="center"/>
              <w:rPr>
                <w:rFonts w:cs="Calibri"/>
                <w:sz w:val="20"/>
                <w:szCs w:val="20"/>
              </w:rPr>
            </w:pPr>
          </w:p>
          <w:p w14:paraId="410908A0" w14:textId="77777777" w:rsidR="00E60DF0" w:rsidRPr="007F78CE" w:rsidRDefault="00E60DF0" w:rsidP="00623B30">
            <w:pPr>
              <w:contextualSpacing/>
              <w:jc w:val="center"/>
              <w:rPr>
                <w:rFonts w:cs="Calibri"/>
                <w:sz w:val="20"/>
                <w:szCs w:val="20"/>
              </w:rPr>
            </w:pPr>
            <w:r w:rsidRPr="007F78CE">
              <w:rPr>
                <w:rFonts w:cs="Calibri"/>
                <w:sz w:val="20"/>
                <w:szCs w:val="20"/>
              </w:rPr>
              <w:t>Forte</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CBA18" w14:textId="77777777" w:rsidR="00E60DF0" w:rsidRPr="007F78CE" w:rsidRDefault="00E60DF0" w:rsidP="00623B30">
            <w:pPr>
              <w:ind w:left="144" w:right="142" w:firstLine="23"/>
              <w:contextualSpacing/>
              <w:rPr>
                <w:rFonts w:cs="Calibri"/>
                <w:sz w:val="20"/>
                <w:szCs w:val="20"/>
              </w:rPr>
            </w:pPr>
            <w:r w:rsidRPr="007F78CE">
              <w:rPr>
                <w:rFonts w:cs="Calibri"/>
                <w:sz w:val="20"/>
                <w:szCs w:val="20"/>
              </w:rPr>
              <w:t>L’intégrité de la composante de l’environnement considéré sera mise en cause par l’impact tout en modifiant significativement son dynamisme</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BE7A3" w14:textId="77777777" w:rsidR="00E60DF0" w:rsidRPr="007F78CE" w:rsidRDefault="00E60DF0" w:rsidP="00623B30">
            <w:pPr>
              <w:contextualSpacing/>
              <w:jc w:val="center"/>
              <w:rPr>
                <w:rFonts w:cs="Calibri"/>
                <w:sz w:val="20"/>
                <w:szCs w:val="20"/>
              </w:rPr>
            </w:pPr>
            <w:r w:rsidRPr="007F78CE">
              <w:rPr>
                <w:rFonts w:cs="Calibri"/>
                <w:sz w:val="20"/>
                <w:szCs w:val="20"/>
              </w:rPr>
              <w:t>3</w:t>
            </w:r>
          </w:p>
        </w:tc>
      </w:tr>
      <w:tr w:rsidR="00E60DF0" w:rsidRPr="007F78CE" w14:paraId="48A2C930" w14:textId="77777777" w:rsidTr="00982318">
        <w:trPr>
          <w:trHeight w:val="20"/>
          <w:jc w:val="center"/>
        </w:trPr>
        <w:tc>
          <w:tcPr>
            <w:tcW w:w="1387" w:type="dxa"/>
            <w:vMerge/>
            <w:tcBorders>
              <w:left w:val="single" w:sz="4" w:space="0" w:color="000000"/>
              <w:right w:val="single" w:sz="4" w:space="0" w:color="000000"/>
            </w:tcBorders>
            <w:shd w:val="clear" w:color="auto" w:fill="auto"/>
            <w:vAlign w:val="center"/>
          </w:tcPr>
          <w:p w14:paraId="54370A5B" w14:textId="77777777" w:rsidR="00E60DF0" w:rsidRPr="007F78CE" w:rsidRDefault="00E60DF0" w:rsidP="00623B30">
            <w:pPr>
              <w:contextualSpacing/>
              <w:rPr>
                <w:rFonts w:cs="Calibri"/>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51C33" w14:textId="77777777" w:rsidR="00E60DF0" w:rsidRPr="007F78CE" w:rsidRDefault="00E60DF0" w:rsidP="00623B30">
            <w:pPr>
              <w:contextualSpacing/>
              <w:jc w:val="center"/>
              <w:rPr>
                <w:rFonts w:cs="Calibri"/>
                <w:sz w:val="20"/>
                <w:szCs w:val="20"/>
              </w:rPr>
            </w:pPr>
          </w:p>
          <w:p w14:paraId="1967B3E3" w14:textId="77777777" w:rsidR="00E60DF0" w:rsidRPr="007F78CE" w:rsidRDefault="00E60DF0" w:rsidP="00623B30">
            <w:pPr>
              <w:contextualSpacing/>
              <w:jc w:val="center"/>
              <w:rPr>
                <w:rFonts w:cs="Calibri"/>
                <w:sz w:val="20"/>
                <w:szCs w:val="20"/>
              </w:rPr>
            </w:pPr>
            <w:r w:rsidRPr="007F78CE">
              <w:rPr>
                <w:rFonts w:cs="Calibri"/>
                <w:sz w:val="20"/>
                <w:szCs w:val="20"/>
              </w:rPr>
              <w:t>Moyenne</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CB966" w14:textId="77777777" w:rsidR="00E60DF0" w:rsidRPr="007F78CE" w:rsidRDefault="00E60DF0" w:rsidP="00623B30">
            <w:pPr>
              <w:ind w:left="144" w:right="142" w:firstLine="23"/>
              <w:contextualSpacing/>
              <w:rPr>
                <w:rFonts w:cs="Calibri"/>
                <w:sz w:val="20"/>
                <w:szCs w:val="20"/>
              </w:rPr>
            </w:pPr>
            <w:r w:rsidRPr="007F78CE">
              <w:rPr>
                <w:rFonts w:cs="Calibri"/>
                <w:sz w:val="20"/>
                <w:szCs w:val="20"/>
              </w:rPr>
              <w:t>L’impact modifiera la composante de l’environnement sans pour autant en modifier ses fonctions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13ECA" w14:textId="77777777" w:rsidR="00E60DF0" w:rsidRPr="007F78CE" w:rsidRDefault="00E60DF0" w:rsidP="00623B30">
            <w:pPr>
              <w:contextualSpacing/>
              <w:jc w:val="center"/>
              <w:rPr>
                <w:rFonts w:cs="Calibri"/>
                <w:sz w:val="20"/>
                <w:szCs w:val="20"/>
              </w:rPr>
            </w:pPr>
            <w:r w:rsidRPr="007F78CE">
              <w:rPr>
                <w:rFonts w:cs="Calibri"/>
                <w:sz w:val="20"/>
                <w:szCs w:val="20"/>
              </w:rPr>
              <w:t>2</w:t>
            </w:r>
          </w:p>
        </w:tc>
      </w:tr>
      <w:tr w:rsidR="00E60DF0" w:rsidRPr="007F78CE" w14:paraId="3BDF07DC" w14:textId="77777777" w:rsidTr="00982318">
        <w:trPr>
          <w:trHeight w:val="20"/>
          <w:jc w:val="center"/>
        </w:trPr>
        <w:tc>
          <w:tcPr>
            <w:tcW w:w="1387" w:type="dxa"/>
            <w:vMerge/>
            <w:tcBorders>
              <w:left w:val="single" w:sz="4" w:space="0" w:color="000000"/>
              <w:bottom w:val="single" w:sz="4" w:space="0" w:color="000000"/>
              <w:right w:val="single" w:sz="4" w:space="0" w:color="000000"/>
            </w:tcBorders>
            <w:shd w:val="clear" w:color="auto" w:fill="auto"/>
            <w:vAlign w:val="center"/>
          </w:tcPr>
          <w:p w14:paraId="280D0F61" w14:textId="77777777" w:rsidR="00E60DF0" w:rsidRPr="007F78CE" w:rsidRDefault="00E60DF0" w:rsidP="00623B30">
            <w:pPr>
              <w:contextualSpacing/>
              <w:rPr>
                <w:rFonts w:cs="Calibri"/>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3C705" w14:textId="77777777" w:rsidR="00E60DF0" w:rsidRPr="007F78CE" w:rsidRDefault="00E60DF0" w:rsidP="00623B30">
            <w:pPr>
              <w:contextualSpacing/>
              <w:jc w:val="center"/>
              <w:rPr>
                <w:rFonts w:cs="Calibri"/>
                <w:sz w:val="20"/>
                <w:szCs w:val="20"/>
              </w:rPr>
            </w:pPr>
          </w:p>
          <w:p w14:paraId="49C6C8EF" w14:textId="77777777" w:rsidR="00E60DF0" w:rsidRPr="007F78CE" w:rsidRDefault="00E60DF0" w:rsidP="00623B30">
            <w:pPr>
              <w:contextualSpacing/>
              <w:jc w:val="center"/>
              <w:rPr>
                <w:rFonts w:cs="Calibri"/>
                <w:sz w:val="20"/>
                <w:szCs w:val="20"/>
              </w:rPr>
            </w:pPr>
            <w:r w:rsidRPr="007F78CE">
              <w:rPr>
                <w:rFonts w:cs="Calibri"/>
                <w:sz w:val="20"/>
                <w:szCs w:val="20"/>
              </w:rPr>
              <w:t>Faible</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7428D" w14:textId="77777777" w:rsidR="00E60DF0" w:rsidRPr="007F78CE" w:rsidRDefault="00E60DF0" w:rsidP="00623B30">
            <w:pPr>
              <w:ind w:left="144" w:right="142" w:firstLine="23"/>
              <w:contextualSpacing/>
              <w:rPr>
                <w:rFonts w:cs="Calibri"/>
                <w:sz w:val="20"/>
                <w:szCs w:val="20"/>
              </w:rPr>
            </w:pPr>
            <w:r w:rsidRPr="007F78CE">
              <w:rPr>
                <w:rFonts w:cs="Calibri"/>
                <w:sz w:val="20"/>
                <w:szCs w:val="20"/>
              </w:rPr>
              <w:t>L’impact se présentera comme une modification superficielle de la composante de l’environnement sans en altérer son dynamisme ni sa qualité</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1113D" w14:textId="77777777" w:rsidR="00E60DF0" w:rsidRPr="007F78CE" w:rsidRDefault="00E60DF0" w:rsidP="00623B30">
            <w:pPr>
              <w:contextualSpacing/>
              <w:jc w:val="center"/>
              <w:rPr>
                <w:rFonts w:cs="Calibri"/>
                <w:sz w:val="20"/>
                <w:szCs w:val="20"/>
              </w:rPr>
            </w:pPr>
            <w:r w:rsidRPr="007F78CE">
              <w:rPr>
                <w:rFonts w:cs="Calibri"/>
                <w:sz w:val="20"/>
                <w:szCs w:val="20"/>
              </w:rPr>
              <w:t>1</w:t>
            </w:r>
          </w:p>
        </w:tc>
      </w:tr>
      <w:tr w:rsidR="00E60DF0" w:rsidRPr="007F78CE" w14:paraId="1DCBE779" w14:textId="77777777" w:rsidTr="00982318">
        <w:trPr>
          <w:trHeight w:val="20"/>
          <w:jc w:val="center"/>
        </w:trPr>
        <w:tc>
          <w:tcPr>
            <w:tcW w:w="1387" w:type="dxa"/>
            <w:vMerge w:val="restart"/>
            <w:tcBorders>
              <w:top w:val="single" w:sz="4" w:space="0" w:color="000000"/>
              <w:left w:val="single" w:sz="4" w:space="0" w:color="000000"/>
              <w:right w:val="single" w:sz="4" w:space="0" w:color="000000"/>
            </w:tcBorders>
            <w:shd w:val="clear" w:color="auto" w:fill="auto"/>
            <w:vAlign w:val="center"/>
          </w:tcPr>
          <w:p w14:paraId="763D4D53" w14:textId="77777777" w:rsidR="00E60DF0" w:rsidRPr="007F78CE" w:rsidRDefault="00E60DF0" w:rsidP="00623B30">
            <w:pPr>
              <w:contextualSpacing/>
              <w:rPr>
                <w:rFonts w:cs="Calibri"/>
                <w:sz w:val="20"/>
                <w:szCs w:val="20"/>
              </w:rPr>
            </w:pPr>
            <w:r w:rsidRPr="007F78CE">
              <w:rPr>
                <w:rFonts w:cs="Calibri"/>
                <w:sz w:val="20"/>
                <w:szCs w:val="20"/>
              </w:rPr>
              <w:t>Etendue (E)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C5128" w14:textId="77777777" w:rsidR="00E60DF0" w:rsidRPr="007F78CE" w:rsidRDefault="00E60DF0" w:rsidP="00623B30">
            <w:pPr>
              <w:contextualSpacing/>
              <w:jc w:val="center"/>
              <w:rPr>
                <w:rFonts w:cs="Calibri"/>
                <w:sz w:val="20"/>
                <w:szCs w:val="20"/>
              </w:rPr>
            </w:pPr>
          </w:p>
          <w:p w14:paraId="41522381" w14:textId="77777777" w:rsidR="00E60DF0" w:rsidRPr="007F78CE" w:rsidRDefault="00E60DF0" w:rsidP="00623B30">
            <w:pPr>
              <w:contextualSpacing/>
              <w:jc w:val="center"/>
              <w:rPr>
                <w:rFonts w:cs="Calibri"/>
                <w:sz w:val="20"/>
                <w:szCs w:val="20"/>
              </w:rPr>
            </w:pPr>
          </w:p>
          <w:p w14:paraId="0728D9A5" w14:textId="77777777" w:rsidR="00E60DF0" w:rsidRPr="007F78CE" w:rsidRDefault="00E60DF0" w:rsidP="00623B30">
            <w:pPr>
              <w:contextualSpacing/>
              <w:jc w:val="center"/>
              <w:rPr>
                <w:rFonts w:cs="Calibri"/>
                <w:sz w:val="20"/>
                <w:szCs w:val="20"/>
              </w:rPr>
            </w:pPr>
            <w:r w:rsidRPr="007F78CE">
              <w:rPr>
                <w:rFonts w:cs="Calibri"/>
                <w:sz w:val="20"/>
                <w:szCs w:val="20"/>
              </w:rPr>
              <w:t>Régionale</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230E2" w14:textId="77777777" w:rsidR="00E60DF0" w:rsidRPr="007F78CE" w:rsidRDefault="00E60DF0" w:rsidP="00623B30">
            <w:pPr>
              <w:ind w:left="144" w:right="142" w:firstLine="23"/>
              <w:contextualSpacing/>
              <w:rPr>
                <w:rFonts w:cs="Calibri"/>
                <w:sz w:val="20"/>
                <w:szCs w:val="20"/>
              </w:rPr>
            </w:pPr>
            <w:r w:rsidRPr="007F78CE">
              <w:rPr>
                <w:rFonts w:cs="Calibri"/>
                <w:sz w:val="20"/>
                <w:szCs w:val="20"/>
              </w:rPr>
              <w:t>L’effet affecte un vaste espace jusqu’à une distance importante du site du projet ou qu’il est ressenti par l'ensemble de la population de la zone d'étude ou par une proportion importante de celle-ci</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A32CE" w14:textId="77777777" w:rsidR="00E60DF0" w:rsidRPr="007F78CE" w:rsidRDefault="00E60DF0" w:rsidP="00623B30">
            <w:pPr>
              <w:contextualSpacing/>
              <w:jc w:val="center"/>
              <w:rPr>
                <w:rFonts w:cs="Calibri"/>
                <w:sz w:val="20"/>
                <w:szCs w:val="20"/>
              </w:rPr>
            </w:pPr>
            <w:r w:rsidRPr="007F78CE">
              <w:rPr>
                <w:rFonts w:cs="Calibri"/>
                <w:sz w:val="20"/>
                <w:szCs w:val="20"/>
              </w:rPr>
              <w:t>3</w:t>
            </w:r>
          </w:p>
        </w:tc>
      </w:tr>
      <w:tr w:rsidR="00E60DF0" w:rsidRPr="007F78CE" w14:paraId="744ECD90" w14:textId="77777777" w:rsidTr="00982318">
        <w:trPr>
          <w:trHeight w:val="20"/>
          <w:jc w:val="center"/>
        </w:trPr>
        <w:tc>
          <w:tcPr>
            <w:tcW w:w="1387" w:type="dxa"/>
            <w:vMerge/>
            <w:tcBorders>
              <w:left w:val="single" w:sz="4" w:space="0" w:color="000000"/>
              <w:right w:val="single" w:sz="4" w:space="0" w:color="000000"/>
            </w:tcBorders>
            <w:shd w:val="clear" w:color="auto" w:fill="auto"/>
            <w:vAlign w:val="center"/>
          </w:tcPr>
          <w:p w14:paraId="327BD03E" w14:textId="77777777" w:rsidR="00E60DF0" w:rsidRPr="007F78CE" w:rsidRDefault="00E60DF0" w:rsidP="00623B30">
            <w:pPr>
              <w:contextualSpacing/>
              <w:rPr>
                <w:rFonts w:cs="Calibri"/>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0B8B5" w14:textId="77777777" w:rsidR="00E60DF0" w:rsidRPr="007F78CE" w:rsidRDefault="00E60DF0" w:rsidP="00623B30">
            <w:pPr>
              <w:contextualSpacing/>
              <w:jc w:val="center"/>
              <w:rPr>
                <w:rFonts w:cs="Calibri"/>
                <w:sz w:val="20"/>
                <w:szCs w:val="20"/>
              </w:rPr>
            </w:pPr>
          </w:p>
          <w:p w14:paraId="77EADDF4" w14:textId="77777777" w:rsidR="00E60DF0" w:rsidRPr="007F78CE" w:rsidRDefault="00E60DF0" w:rsidP="00623B30">
            <w:pPr>
              <w:contextualSpacing/>
              <w:jc w:val="center"/>
              <w:rPr>
                <w:rFonts w:cs="Calibri"/>
                <w:sz w:val="20"/>
                <w:szCs w:val="20"/>
              </w:rPr>
            </w:pPr>
          </w:p>
          <w:p w14:paraId="0851D08E" w14:textId="77777777" w:rsidR="00E60DF0" w:rsidRPr="007F78CE" w:rsidRDefault="00E60DF0" w:rsidP="00623B30">
            <w:pPr>
              <w:contextualSpacing/>
              <w:jc w:val="center"/>
              <w:rPr>
                <w:rFonts w:cs="Calibri"/>
                <w:sz w:val="20"/>
                <w:szCs w:val="20"/>
              </w:rPr>
            </w:pPr>
            <w:r w:rsidRPr="007F78CE">
              <w:rPr>
                <w:rFonts w:cs="Calibri"/>
                <w:sz w:val="20"/>
                <w:szCs w:val="20"/>
              </w:rPr>
              <w:t>Locale</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A9540" w14:textId="77777777" w:rsidR="00E60DF0" w:rsidRPr="007F78CE" w:rsidRDefault="00E60DF0" w:rsidP="00623B30">
            <w:pPr>
              <w:ind w:left="144" w:right="142" w:firstLine="23"/>
              <w:contextualSpacing/>
              <w:rPr>
                <w:rFonts w:cs="Calibri"/>
                <w:sz w:val="20"/>
                <w:szCs w:val="20"/>
              </w:rPr>
            </w:pPr>
            <w:r w:rsidRPr="007F78CE">
              <w:rPr>
                <w:rFonts w:cs="Calibri"/>
                <w:sz w:val="20"/>
                <w:szCs w:val="20"/>
              </w:rPr>
              <w:t>L’effet affecte un espace relativement restreint à l'intérieur, à proximité ou à une faible distance du site du projet ou qu'il est ressenti par une proportion limitée de la population de la zone d'étude</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CA4E6" w14:textId="77777777" w:rsidR="00E60DF0" w:rsidRPr="007F78CE" w:rsidRDefault="00E60DF0" w:rsidP="00623B30">
            <w:pPr>
              <w:contextualSpacing/>
              <w:jc w:val="center"/>
              <w:rPr>
                <w:rFonts w:cs="Calibri"/>
                <w:sz w:val="20"/>
                <w:szCs w:val="20"/>
              </w:rPr>
            </w:pPr>
            <w:r w:rsidRPr="007F78CE">
              <w:rPr>
                <w:rFonts w:cs="Calibri"/>
                <w:sz w:val="20"/>
                <w:szCs w:val="20"/>
              </w:rPr>
              <w:t>2</w:t>
            </w:r>
          </w:p>
        </w:tc>
      </w:tr>
      <w:tr w:rsidR="00E60DF0" w:rsidRPr="007F78CE" w14:paraId="679EADEF" w14:textId="77777777" w:rsidTr="00982318">
        <w:trPr>
          <w:trHeight w:val="20"/>
          <w:jc w:val="center"/>
        </w:trPr>
        <w:tc>
          <w:tcPr>
            <w:tcW w:w="1387" w:type="dxa"/>
            <w:vMerge/>
            <w:tcBorders>
              <w:left w:val="single" w:sz="4" w:space="0" w:color="000000"/>
              <w:bottom w:val="single" w:sz="4" w:space="0" w:color="000000"/>
              <w:right w:val="single" w:sz="4" w:space="0" w:color="000000"/>
            </w:tcBorders>
            <w:shd w:val="clear" w:color="auto" w:fill="auto"/>
            <w:vAlign w:val="center"/>
          </w:tcPr>
          <w:p w14:paraId="0E310E7E" w14:textId="77777777" w:rsidR="00E60DF0" w:rsidRPr="007F78CE" w:rsidRDefault="00E60DF0" w:rsidP="00623B30">
            <w:pPr>
              <w:contextualSpacing/>
              <w:rPr>
                <w:rFonts w:cs="Calibri"/>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5B0F3" w14:textId="77777777" w:rsidR="00E60DF0" w:rsidRPr="007F78CE" w:rsidRDefault="00E60DF0" w:rsidP="00623B30">
            <w:pPr>
              <w:contextualSpacing/>
              <w:jc w:val="center"/>
              <w:rPr>
                <w:rFonts w:cs="Calibri"/>
                <w:sz w:val="20"/>
                <w:szCs w:val="20"/>
              </w:rPr>
            </w:pPr>
          </w:p>
          <w:p w14:paraId="7461FE17" w14:textId="77777777" w:rsidR="00E60DF0" w:rsidRPr="007F78CE" w:rsidRDefault="00E60DF0" w:rsidP="00623B30">
            <w:pPr>
              <w:contextualSpacing/>
              <w:jc w:val="center"/>
              <w:rPr>
                <w:rFonts w:cs="Calibri"/>
                <w:sz w:val="20"/>
                <w:szCs w:val="20"/>
              </w:rPr>
            </w:pPr>
            <w:r w:rsidRPr="007F78CE">
              <w:rPr>
                <w:rFonts w:cs="Calibri"/>
                <w:sz w:val="20"/>
                <w:szCs w:val="20"/>
              </w:rPr>
              <w:t>Ponctuelle</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DB1D0" w14:textId="77777777" w:rsidR="00E60DF0" w:rsidRPr="007F78CE" w:rsidRDefault="00E60DF0" w:rsidP="00623B30">
            <w:pPr>
              <w:ind w:left="144" w:right="142" w:firstLine="23"/>
              <w:contextualSpacing/>
              <w:rPr>
                <w:rFonts w:cs="Calibri"/>
                <w:sz w:val="20"/>
                <w:szCs w:val="20"/>
              </w:rPr>
            </w:pPr>
            <w:r w:rsidRPr="007F78CE">
              <w:rPr>
                <w:rFonts w:cs="Calibri"/>
                <w:sz w:val="20"/>
                <w:szCs w:val="20"/>
              </w:rPr>
              <w:t>L’effet n’affecte qu'un espace très restreint à l'intérieur ou à proximité du site du projet ou qu'il n'est ressenti que par un faible nombre de personnes de la zone d'étude</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B6356" w14:textId="77777777" w:rsidR="00E60DF0" w:rsidRPr="007F78CE" w:rsidRDefault="00E60DF0" w:rsidP="00623B30">
            <w:pPr>
              <w:contextualSpacing/>
              <w:jc w:val="center"/>
              <w:rPr>
                <w:rFonts w:cs="Calibri"/>
                <w:sz w:val="20"/>
                <w:szCs w:val="20"/>
              </w:rPr>
            </w:pPr>
            <w:r w:rsidRPr="007F78CE">
              <w:rPr>
                <w:rFonts w:cs="Calibri"/>
                <w:sz w:val="20"/>
                <w:szCs w:val="20"/>
              </w:rPr>
              <w:t>1</w:t>
            </w:r>
          </w:p>
        </w:tc>
      </w:tr>
      <w:tr w:rsidR="00E60DF0" w:rsidRPr="007F78CE" w14:paraId="1AE721A2" w14:textId="77777777" w:rsidTr="00982318">
        <w:trPr>
          <w:trHeight w:val="20"/>
          <w:jc w:val="center"/>
        </w:trPr>
        <w:tc>
          <w:tcPr>
            <w:tcW w:w="1387" w:type="dxa"/>
            <w:vMerge w:val="restart"/>
            <w:tcBorders>
              <w:top w:val="single" w:sz="4" w:space="0" w:color="000000"/>
              <w:left w:val="single" w:sz="4" w:space="0" w:color="000000"/>
              <w:right w:val="single" w:sz="4" w:space="0" w:color="000000"/>
            </w:tcBorders>
            <w:shd w:val="clear" w:color="auto" w:fill="auto"/>
            <w:vAlign w:val="center"/>
          </w:tcPr>
          <w:p w14:paraId="4D83A5E8" w14:textId="77777777" w:rsidR="00E60DF0" w:rsidRPr="007F78CE" w:rsidRDefault="00E60DF0" w:rsidP="00623B30">
            <w:pPr>
              <w:contextualSpacing/>
              <w:rPr>
                <w:rFonts w:cs="Calibri"/>
                <w:sz w:val="20"/>
                <w:szCs w:val="20"/>
              </w:rPr>
            </w:pPr>
            <w:r w:rsidRPr="007F78CE">
              <w:rPr>
                <w:rFonts w:cs="Calibri"/>
                <w:sz w:val="20"/>
                <w:szCs w:val="20"/>
              </w:rPr>
              <w:t>Durée (D)</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08754" w14:textId="77777777" w:rsidR="00E60DF0" w:rsidRPr="007F78CE" w:rsidRDefault="00E60DF0" w:rsidP="00623B30">
            <w:pPr>
              <w:contextualSpacing/>
              <w:jc w:val="center"/>
              <w:rPr>
                <w:rFonts w:cs="Calibri"/>
                <w:sz w:val="20"/>
                <w:szCs w:val="20"/>
              </w:rPr>
            </w:pPr>
          </w:p>
          <w:p w14:paraId="33D47762" w14:textId="77777777" w:rsidR="00E60DF0" w:rsidRPr="007F78CE" w:rsidRDefault="00E60DF0" w:rsidP="00623B30">
            <w:pPr>
              <w:contextualSpacing/>
              <w:jc w:val="center"/>
              <w:rPr>
                <w:rFonts w:cs="Calibri"/>
                <w:sz w:val="20"/>
                <w:szCs w:val="20"/>
              </w:rPr>
            </w:pPr>
            <w:r w:rsidRPr="007F78CE">
              <w:rPr>
                <w:rFonts w:cs="Calibri"/>
                <w:sz w:val="20"/>
                <w:szCs w:val="20"/>
              </w:rPr>
              <w:t>Longue</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4CA95" w14:textId="77777777" w:rsidR="00E60DF0" w:rsidRPr="007F78CE" w:rsidRDefault="00E60DF0" w:rsidP="00623B30">
            <w:pPr>
              <w:ind w:left="144" w:right="142" w:firstLine="23"/>
              <w:contextualSpacing/>
              <w:rPr>
                <w:rFonts w:cs="Calibri"/>
                <w:sz w:val="20"/>
                <w:szCs w:val="20"/>
              </w:rPr>
            </w:pPr>
            <w:r w:rsidRPr="007F78CE">
              <w:rPr>
                <w:rFonts w:cs="Calibri"/>
                <w:sz w:val="20"/>
                <w:szCs w:val="20"/>
              </w:rPr>
              <w:t>L’effet sera ressenti de façon continue pour la durée des activités et même au-delà dans le cas des effets irréversibles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CAA1E" w14:textId="77777777" w:rsidR="00E60DF0" w:rsidRPr="007F78CE" w:rsidRDefault="00E60DF0" w:rsidP="00623B30">
            <w:pPr>
              <w:contextualSpacing/>
              <w:jc w:val="center"/>
              <w:rPr>
                <w:rFonts w:cs="Calibri"/>
                <w:sz w:val="20"/>
                <w:szCs w:val="20"/>
              </w:rPr>
            </w:pPr>
            <w:r w:rsidRPr="007F78CE">
              <w:rPr>
                <w:rFonts w:cs="Calibri"/>
                <w:sz w:val="20"/>
                <w:szCs w:val="20"/>
              </w:rPr>
              <w:t>3</w:t>
            </w:r>
          </w:p>
        </w:tc>
      </w:tr>
      <w:tr w:rsidR="00E60DF0" w:rsidRPr="007F78CE" w14:paraId="4DC722C8" w14:textId="77777777" w:rsidTr="00982318">
        <w:trPr>
          <w:trHeight w:val="20"/>
          <w:jc w:val="center"/>
        </w:trPr>
        <w:tc>
          <w:tcPr>
            <w:tcW w:w="1387" w:type="dxa"/>
            <w:vMerge/>
            <w:tcBorders>
              <w:left w:val="single" w:sz="4" w:space="0" w:color="000000"/>
              <w:right w:val="single" w:sz="4" w:space="0" w:color="000000"/>
            </w:tcBorders>
            <w:shd w:val="clear" w:color="auto" w:fill="auto"/>
            <w:vAlign w:val="center"/>
          </w:tcPr>
          <w:p w14:paraId="30020A6F" w14:textId="77777777" w:rsidR="00E60DF0" w:rsidRPr="007F78CE" w:rsidRDefault="00E60DF0" w:rsidP="00623B30">
            <w:pPr>
              <w:contextualSpacing/>
              <w:rPr>
                <w:rFonts w:cs="Calibri"/>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72235" w14:textId="77777777" w:rsidR="00E60DF0" w:rsidRPr="007F78CE" w:rsidRDefault="00E60DF0" w:rsidP="00623B30">
            <w:pPr>
              <w:contextualSpacing/>
              <w:jc w:val="center"/>
              <w:rPr>
                <w:rFonts w:cs="Calibri"/>
                <w:sz w:val="20"/>
                <w:szCs w:val="20"/>
              </w:rPr>
            </w:pPr>
          </w:p>
          <w:p w14:paraId="7EC83BF1" w14:textId="77777777" w:rsidR="00E60DF0" w:rsidRPr="007F78CE" w:rsidRDefault="00E60DF0" w:rsidP="00623B30">
            <w:pPr>
              <w:contextualSpacing/>
              <w:jc w:val="center"/>
              <w:rPr>
                <w:rFonts w:cs="Calibri"/>
                <w:sz w:val="20"/>
                <w:szCs w:val="20"/>
              </w:rPr>
            </w:pPr>
            <w:r w:rsidRPr="007F78CE">
              <w:rPr>
                <w:rFonts w:cs="Calibri"/>
                <w:sz w:val="20"/>
                <w:szCs w:val="20"/>
              </w:rPr>
              <w:t>Moyenne</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093F2" w14:textId="77777777" w:rsidR="00E60DF0" w:rsidRPr="007F78CE" w:rsidRDefault="00E60DF0" w:rsidP="00623B30">
            <w:pPr>
              <w:ind w:left="144" w:right="142" w:firstLine="23"/>
              <w:contextualSpacing/>
              <w:rPr>
                <w:rFonts w:cs="Calibri"/>
                <w:sz w:val="20"/>
                <w:szCs w:val="20"/>
              </w:rPr>
            </w:pPr>
            <w:r w:rsidRPr="007F78CE">
              <w:rPr>
                <w:rFonts w:cs="Calibri"/>
                <w:sz w:val="20"/>
                <w:szCs w:val="20"/>
              </w:rPr>
              <w:t>L’effet sera ressenti de façon continue sur une période de temps relativement prolongée mais généralement inférieure à la durée de vie du projet</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88D72" w14:textId="77777777" w:rsidR="00E60DF0" w:rsidRPr="007F78CE" w:rsidRDefault="00E60DF0" w:rsidP="00623B30">
            <w:pPr>
              <w:contextualSpacing/>
              <w:jc w:val="center"/>
              <w:rPr>
                <w:rFonts w:cs="Calibri"/>
                <w:sz w:val="20"/>
                <w:szCs w:val="20"/>
              </w:rPr>
            </w:pPr>
            <w:r w:rsidRPr="007F78CE">
              <w:rPr>
                <w:rFonts w:cs="Calibri"/>
                <w:sz w:val="20"/>
                <w:szCs w:val="20"/>
              </w:rPr>
              <w:t>2</w:t>
            </w:r>
          </w:p>
        </w:tc>
      </w:tr>
      <w:tr w:rsidR="00E60DF0" w:rsidRPr="007F78CE" w14:paraId="31D4FB52" w14:textId="77777777" w:rsidTr="00982318">
        <w:trPr>
          <w:trHeight w:val="20"/>
          <w:jc w:val="center"/>
        </w:trPr>
        <w:tc>
          <w:tcPr>
            <w:tcW w:w="1387" w:type="dxa"/>
            <w:vMerge/>
            <w:tcBorders>
              <w:left w:val="single" w:sz="4" w:space="0" w:color="000000"/>
              <w:bottom w:val="single" w:sz="4" w:space="0" w:color="000000"/>
              <w:right w:val="single" w:sz="4" w:space="0" w:color="000000"/>
            </w:tcBorders>
            <w:shd w:val="clear" w:color="auto" w:fill="auto"/>
            <w:vAlign w:val="center"/>
          </w:tcPr>
          <w:p w14:paraId="6B8E40B9" w14:textId="77777777" w:rsidR="00E60DF0" w:rsidRPr="007F78CE" w:rsidRDefault="00E60DF0" w:rsidP="00623B30">
            <w:pPr>
              <w:contextualSpacing/>
              <w:rPr>
                <w:rFonts w:cs="Calibri"/>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5F2E4" w14:textId="77777777" w:rsidR="00E60DF0" w:rsidRPr="007F78CE" w:rsidRDefault="00E60DF0" w:rsidP="00623B30">
            <w:pPr>
              <w:contextualSpacing/>
              <w:jc w:val="center"/>
              <w:rPr>
                <w:rFonts w:cs="Calibri"/>
                <w:sz w:val="20"/>
                <w:szCs w:val="20"/>
              </w:rPr>
            </w:pPr>
          </w:p>
          <w:p w14:paraId="3B53EE11" w14:textId="77777777" w:rsidR="00E60DF0" w:rsidRPr="007F78CE" w:rsidRDefault="00E60DF0" w:rsidP="00623B30">
            <w:pPr>
              <w:contextualSpacing/>
              <w:jc w:val="center"/>
              <w:rPr>
                <w:rFonts w:cs="Calibri"/>
                <w:sz w:val="20"/>
                <w:szCs w:val="20"/>
              </w:rPr>
            </w:pPr>
            <w:r w:rsidRPr="007F78CE">
              <w:rPr>
                <w:rFonts w:cs="Calibri"/>
                <w:sz w:val="20"/>
                <w:szCs w:val="20"/>
              </w:rPr>
              <w:t>Courte</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0E8D4" w14:textId="77777777" w:rsidR="00E60DF0" w:rsidRPr="007F78CE" w:rsidRDefault="00E60DF0" w:rsidP="00623B30">
            <w:pPr>
              <w:ind w:left="144" w:right="142" w:firstLine="23"/>
              <w:contextualSpacing/>
              <w:rPr>
                <w:rFonts w:cs="Calibri"/>
                <w:sz w:val="20"/>
                <w:szCs w:val="20"/>
              </w:rPr>
            </w:pPr>
            <w:r w:rsidRPr="007F78CE">
              <w:rPr>
                <w:rFonts w:cs="Calibri"/>
                <w:sz w:val="20"/>
                <w:szCs w:val="20"/>
              </w:rPr>
              <w:t>L’effet sera ressenti dans une période de temps limitée puis passagère</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0E102" w14:textId="77777777" w:rsidR="00E60DF0" w:rsidRPr="007F78CE" w:rsidRDefault="00E60DF0" w:rsidP="00623B30">
            <w:pPr>
              <w:contextualSpacing/>
              <w:jc w:val="center"/>
              <w:rPr>
                <w:rFonts w:cs="Calibri"/>
                <w:sz w:val="20"/>
                <w:szCs w:val="20"/>
              </w:rPr>
            </w:pPr>
            <w:r w:rsidRPr="007F78CE">
              <w:rPr>
                <w:rFonts w:cs="Calibri"/>
                <w:sz w:val="20"/>
                <w:szCs w:val="20"/>
              </w:rPr>
              <w:t>1</w:t>
            </w:r>
          </w:p>
        </w:tc>
      </w:tr>
      <w:tr w:rsidR="00E60DF0" w:rsidRPr="007F78CE" w14:paraId="7ABFF795" w14:textId="77777777" w:rsidTr="00982318">
        <w:trPr>
          <w:trHeight w:val="20"/>
          <w:jc w:val="center"/>
        </w:trPr>
        <w:tc>
          <w:tcPr>
            <w:tcW w:w="1387" w:type="dxa"/>
            <w:vMerge w:val="restart"/>
            <w:tcBorders>
              <w:top w:val="single" w:sz="4" w:space="0" w:color="000000"/>
              <w:left w:val="single" w:sz="4" w:space="0" w:color="000000"/>
              <w:right w:val="single" w:sz="4" w:space="0" w:color="000000"/>
            </w:tcBorders>
            <w:shd w:val="clear" w:color="auto" w:fill="auto"/>
            <w:vAlign w:val="center"/>
          </w:tcPr>
          <w:p w14:paraId="52BA3A5A" w14:textId="77777777" w:rsidR="00E60DF0" w:rsidRPr="007F78CE" w:rsidRDefault="00E60DF0" w:rsidP="00623B30">
            <w:pPr>
              <w:contextualSpacing/>
              <w:rPr>
                <w:rFonts w:cs="Calibri"/>
                <w:b/>
                <w:sz w:val="20"/>
                <w:szCs w:val="20"/>
              </w:rPr>
            </w:pPr>
            <w:r w:rsidRPr="007F78CE">
              <w:rPr>
                <w:rFonts w:cs="Calibri"/>
                <w:sz w:val="20"/>
                <w:szCs w:val="20"/>
              </w:rPr>
              <w:t>Réversibilité (R)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D6610" w14:textId="77777777" w:rsidR="00E60DF0" w:rsidRPr="007F78CE" w:rsidRDefault="00E60DF0" w:rsidP="00623B30">
            <w:pPr>
              <w:contextualSpacing/>
              <w:jc w:val="center"/>
              <w:rPr>
                <w:rFonts w:cs="Calibri"/>
                <w:b/>
                <w:sz w:val="20"/>
                <w:szCs w:val="20"/>
              </w:rPr>
            </w:pPr>
            <w:r w:rsidRPr="007F78CE">
              <w:rPr>
                <w:rFonts w:cs="Calibri"/>
                <w:sz w:val="20"/>
                <w:szCs w:val="20"/>
              </w:rPr>
              <w:t>Irréversible</w:t>
            </w:r>
          </w:p>
        </w:tc>
        <w:tc>
          <w:tcPr>
            <w:tcW w:w="5104" w:type="dxa"/>
            <w:tcBorders>
              <w:top w:val="single" w:sz="4" w:space="0" w:color="000000"/>
              <w:left w:val="single" w:sz="4" w:space="0" w:color="000000"/>
              <w:right w:val="single" w:sz="4" w:space="0" w:color="000000"/>
            </w:tcBorders>
            <w:shd w:val="clear" w:color="auto" w:fill="auto"/>
            <w:vAlign w:val="center"/>
          </w:tcPr>
          <w:p w14:paraId="132145B6" w14:textId="77777777" w:rsidR="00E60DF0" w:rsidRPr="007F78CE" w:rsidRDefault="00E60DF0" w:rsidP="00623B30">
            <w:pPr>
              <w:ind w:left="144" w:right="142" w:firstLine="23"/>
              <w:contextualSpacing/>
              <w:rPr>
                <w:rFonts w:cs="Calibri"/>
                <w:b/>
                <w:bCs/>
                <w:i/>
                <w:iCs/>
                <w:smallCaps/>
                <w:sz w:val="20"/>
                <w:szCs w:val="20"/>
              </w:rPr>
            </w:pPr>
            <w:r w:rsidRPr="007F78CE">
              <w:rPr>
                <w:rFonts w:cs="Calibri"/>
                <w:sz w:val="20"/>
                <w:szCs w:val="20"/>
              </w:rPr>
              <w:t>L’effet sera irréversible</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C1F0B" w14:textId="77777777" w:rsidR="00E60DF0" w:rsidRPr="007F78CE" w:rsidRDefault="00E60DF0" w:rsidP="00623B30">
            <w:pPr>
              <w:contextualSpacing/>
              <w:jc w:val="center"/>
              <w:rPr>
                <w:rFonts w:cs="Calibri"/>
                <w:b/>
                <w:sz w:val="20"/>
                <w:szCs w:val="20"/>
              </w:rPr>
            </w:pPr>
            <w:r w:rsidRPr="007F78CE">
              <w:rPr>
                <w:rFonts w:cs="Calibri"/>
                <w:sz w:val="20"/>
                <w:szCs w:val="20"/>
              </w:rPr>
              <w:t>2</w:t>
            </w:r>
          </w:p>
        </w:tc>
      </w:tr>
      <w:tr w:rsidR="00E60DF0" w:rsidRPr="007F78CE" w14:paraId="3A91A2D4" w14:textId="77777777" w:rsidTr="00982318">
        <w:trPr>
          <w:trHeight w:val="20"/>
          <w:jc w:val="center"/>
        </w:trPr>
        <w:tc>
          <w:tcPr>
            <w:tcW w:w="1387" w:type="dxa"/>
            <w:vMerge/>
            <w:tcBorders>
              <w:left w:val="single" w:sz="4" w:space="0" w:color="000000"/>
              <w:right w:val="single" w:sz="4" w:space="0" w:color="000000"/>
            </w:tcBorders>
            <w:shd w:val="clear" w:color="auto" w:fill="auto"/>
            <w:vAlign w:val="center"/>
          </w:tcPr>
          <w:p w14:paraId="318A0272" w14:textId="77777777" w:rsidR="00E60DF0" w:rsidRPr="007F78CE" w:rsidRDefault="00E60DF0" w:rsidP="00623B30">
            <w:pPr>
              <w:contextualSpacing/>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C97DF" w14:textId="77777777" w:rsidR="00E60DF0" w:rsidRPr="007F78CE" w:rsidRDefault="00E60DF0" w:rsidP="00623B30">
            <w:pPr>
              <w:contextualSpacing/>
              <w:jc w:val="center"/>
              <w:rPr>
                <w:rFonts w:cs="Calibri"/>
                <w:b/>
                <w:sz w:val="20"/>
                <w:szCs w:val="20"/>
              </w:rPr>
            </w:pPr>
            <w:r w:rsidRPr="007F78CE">
              <w:rPr>
                <w:rFonts w:cs="Calibri"/>
                <w:sz w:val="20"/>
                <w:szCs w:val="20"/>
              </w:rPr>
              <w:t>Réversible</w:t>
            </w:r>
          </w:p>
        </w:tc>
        <w:tc>
          <w:tcPr>
            <w:tcW w:w="5104" w:type="dxa"/>
            <w:tcBorders>
              <w:top w:val="single" w:sz="4" w:space="0" w:color="000000"/>
              <w:left w:val="single" w:sz="4" w:space="0" w:color="000000"/>
              <w:right w:val="single" w:sz="4" w:space="0" w:color="000000"/>
            </w:tcBorders>
            <w:shd w:val="clear" w:color="auto" w:fill="auto"/>
            <w:vAlign w:val="center"/>
          </w:tcPr>
          <w:p w14:paraId="2AAB124A" w14:textId="77777777" w:rsidR="00E60DF0" w:rsidRPr="007F78CE" w:rsidRDefault="00E60DF0" w:rsidP="00623B30">
            <w:pPr>
              <w:ind w:left="144" w:right="142" w:firstLine="23"/>
              <w:contextualSpacing/>
              <w:rPr>
                <w:rFonts w:cs="Calibri"/>
                <w:b/>
                <w:bCs/>
                <w:i/>
                <w:iCs/>
                <w:smallCaps/>
                <w:sz w:val="20"/>
                <w:szCs w:val="20"/>
              </w:rPr>
            </w:pPr>
            <w:r w:rsidRPr="007F78CE">
              <w:rPr>
                <w:rFonts w:cs="Calibri"/>
                <w:sz w:val="20"/>
                <w:szCs w:val="20"/>
              </w:rPr>
              <w:t>L’effet sera réversible</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97746" w14:textId="77777777" w:rsidR="00E60DF0" w:rsidRPr="007F78CE" w:rsidRDefault="00E60DF0" w:rsidP="00623B30">
            <w:pPr>
              <w:contextualSpacing/>
              <w:jc w:val="center"/>
              <w:rPr>
                <w:rFonts w:cs="Calibri"/>
                <w:b/>
                <w:sz w:val="20"/>
                <w:szCs w:val="20"/>
              </w:rPr>
            </w:pPr>
            <w:r w:rsidRPr="007F78CE">
              <w:rPr>
                <w:rFonts w:cs="Calibri"/>
                <w:sz w:val="20"/>
                <w:szCs w:val="20"/>
              </w:rPr>
              <w:t>1</w:t>
            </w:r>
          </w:p>
        </w:tc>
      </w:tr>
      <w:tr w:rsidR="00E60DF0" w:rsidRPr="007F78CE" w14:paraId="6FE3943F" w14:textId="77777777" w:rsidTr="00982318">
        <w:trPr>
          <w:trHeight w:val="20"/>
          <w:jc w:val="center"/>
        </w:trPr>
        <w:tc>
          <w:tcPr>
            <w:tcW w:w="1387" w:type="dxa"/>
            <w:vMerge w:val="restart"/>
            <w:tcBorders>
              <w:top w:val="single" w:sz="4" w:space="0" w:color="000000"/>
              <w:left w:val="single" w:sz="4" w:space="0" w:color="000000"/>
              <w:right w:val="single" w:sz="4" w:space="0" w:color="000000"/>
            </w:tcBorders>
            <w:shd w:val="clear" w:color="auto" w:fill="auto"/>
            <w:vAlign w:val="center"/>
          </w:tcPr>
          <w:p w14:paraId="00207629" w14:textId="77777777" w:rsidR="00E60DF0" w:rsidRPr="007F78CE" w:rsidRDefault="00E60DF0" w:rsidP="00623B30">
            <w:pPr>
              <w:contextualSpacing/>
              <w:rPr>
                <w:rFonts w:cs="Calibri"/>
                <w:b/>
                <w:sz w:val="20"/>
                <w:szCs w:val="20"/>
              </w:rPr>
            </w:pPr>
            <w:r w:rsidRPr="007F78CE">
              <w:rPr>
                <w:rFonts w:cs="Calibri"/>
                <w:b/>
                <w:sz w:val="20"/>
                <w:szCs w:val="20"/>
              </w:rPr>
              <w:t>Importance de l’impact (Im)</w:t>
            </w:r>
          </w:p>
        </w:tc>
        <w:tc>
          <w:tcPr>
            <w:tcW w:w="155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861BFE2" w14:textId="77777777" w:rsidR="00E60DF0" w:rsidRPr="007F78CE" w:rsidRDefault="00E60DF0" w:rsidP="00623B30">
            <w:pPr>
              <w:contextualSpacing/>
              <w:jc w:val="center"/>
              <w:rPr>
                <w:rFonts w:cs="Calibri"/>
                <w:b/>
                <w:sz w:val="20"/>
                <w:szCs w:val="20"/>
              </w:rPr>
            </w:pPr>
            <w:r w:rsidRPr="007F78CE">
              <w:rPr>
                <w:rFonts w:cs="Calibri"/>
                <w:b/>
                <w:sz w:val="20"/>
                <w:szCs w:val="20"/>
              </w:rPr>
              <w:t>Mineure</w:t>
            </w:r>
          </w:p>
        </w:tc>
        <w:tc>
          <w:tcPr>
            <w:tcW w:w="5104" w:type="dxa"/>
            <w:vMerge w:val="restart"/>
            <w:tcBorders>
              <w:top w:val="single" w:sz="4" w:space="0" w:color="000000"/>
              <w:left w:val="single" w:sz="4" w:space="0" w:color="000000"/>
              <w:right w:val="single" w:sz="4" w:space="0" w:color="000000"/>
            </w:tcBorders>
            <w:shd w:val="clear" w:color="auto" w:fill="auto"/>
            <w:vAlign w:val="center"/>
          </w:tcPr>
          <w:p w14:paraId="590B3BC2" w14:textId="77777777" w:rsidR="00E60DF0" w:rsidRPr="007F78CE" w:rsidRDefault="00E60DF0" w:rsidP="00623B30">
            <w:pPr>
              <w:ind w:left="144" w:right="142" w:firstLine="23"/>
              <w:contextualSpacing/>
              <w:rPr>
                <w:rFonts w:cs="Calibri"/>
              </w:rPr>
            </w:pPr>
            <w:r w:rsidRPr="007F78CE">
              <w:rPr>
                <w:rFonts w:cs="Calibri"/>
              </w:rPr>
              <w:t>Im = I + E + D</w:t>
            </w:r>
            <w:r w:rsidR="003A33A6">
              <w:rPr>
                <w:rFonts w:cs="Calibri"/>
              </w:rPr>
              <w:t xml:space="preserve"> </w:t>
            </w:r>
            <w:r w:rsidRPr="007F78CE">
              <w:rPr>
                <w:rFonts w:cs="Calibri"/>
              </w:rPr>
              <w:t>+</w:t>
            </w:r>
            <w:r w:rsidR="003A33A6">
              <w:rPr>
                <w:rFonts w:cs="Calibri"/>
              </w:rPr>
              <w:t xml:space="preserve"> </w:t>
            </w:r>
            <w:r w:rsidRPr="007F78CE">
              <w:rPr>
                <w:rFonts w:cs="Calibri"/>
              </w:rPr>
              <w:t>R</w:t>
            </w:r>
          </w:p>
        </w:tc>
        <w:tc>
          <w:tcPr>
            <w:tcW w:w="95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F00770B" w14:textId="77777777" w:rsidR="00E60DF0" w:rsidRPr="007F78CE" w:rsidRDefault="00E60DF0" w:rsidP="00623B30">
            <w:pPr>
              <w:contextualSpacing/>
              <w:jc w:val="center"/>
              <w:rPr>
                <w:rFonts w:cs="Calibri"/>
                <w:b/>
                <w:sz w:val="20"/>
                <w:szCs w:val="20"/>
              </w:rPr>
            </w:pPr>
            <w:r w:rsidRPr="007F78CE">
              <w:rPr>
                <w:rFonts w:cs="Calibri"/>
                <w:b/>
                <w:sz w:val="20"/>
                <w:szCs w:val="20"/>
              </w:rPr>
              <w:t>4,5</w:t>
            </w:r>
          </w:p>
        </w:tc>
      </w:tr>
      <w:tr w:rsidR="00E60DF0" w:rsidRPr="007F78CE" w14:paraId="616CCC82" w14:textId="77777777" w:rsidTr="00982318">
        <w:trPr>
          <w:trHeight w:val="20"/>
          <w:jc w:val="center"/>
        </w:trPr>
        <w:tc>
          <w:tcPr>
            <w:tcW w:w="1387" w:type="dxa"/>
            <w:vMerge/>
            <w:tcBorders>
              <w:left w:val="single" w:sz="4" w:space="0" w:color="000000"/>
              <w:right w:val="single" w:sz="4" w:space="0" w:color="000000"/>
            </w:tcBorders>
            <w:shd w:val="clear" w:color="auto" w:fill="auto"/>
            <w:vAlign w:val="center"/>
          </w:tcPr>
          <w:p w14:paraId="08BB1805" w14:textId="77777777" w:rsidR="00E60DF0" w:rsidRPr="007F78CE" w:rsidRDefault="00E60DF0" w:rsidP="00623B30">
            <w:pPr>
              <w:contextualSpacing/>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C953749" w14:textId="77777777" w:rsidR="00E60DF0" w:rsidRPr="007F78CE" w:rsidRDefault="00E60DF0" w:rsidP="00623B30">
            <w:pPr>
              <w:contextualSpacing/>
              <w:jc w:val="center"/>
              <w:rPr>
                <w:rFonts w:cs="Calibri"/>
                <w:b/>
                <w:sz w:val="20"/>
                <w:szCs w:val="20"/>
              </w:rPr>
            </w:pPr>
            <w:r w:rsidRPr="007F78CE">
              <w:rPr>
                <w:rFonts w:cs="Calibri"/>
                <w:b/>
                <w:sz w:val="20"/>
                <w:szCs w:val="20"/>
              </w:rPr>
              <w:t>Moyenne</w:t>
            </w:r>
          </w:p>
        </w:tc>
        <w:tc>
          <w:tcPr>
            <w:tcW w:w="5104" w:type="dxa"/>
            <w:vMerge/>
            <w:tcBorders>
              <w:left w:val="single" w:sz="4" w:space="0" w:color="000000"/>
              <w:right w:val="single" w:sz="4" w:space="0" w:color="000000"/>
            </w:tcBorders>
            <w:shd w:val="clear" w:color="auto" w:fill="auto"/>
            <w:vAlign w:val="center"/>
          </w:tcPr>
          <w:p w14:paraId="5376993A" w14:textId="77777777" w:rsidR="00E60DF0" w:rsidRPr="007F78CE" w:rsidRDefault="00E60DF0" w:rsidP="00623B30">
            <w:pPr>
              <w:contextualSpacing/>
              <w:rPr>
                <w:rFonts w:cs="Calibri"/>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7E11845" w14:textId="77777777" w:rsidR="00E60DF0" w:rsidRPr="007F78CE" w:rsidRDefault="00E60DF0" w:rsidP="00623B30">
            <w:pPr>
              <w:contextualSpacing/>
              <w:jc w:val="center"/>
              <w:rPr>
                <w:rFonts w:cs="Calibri"/>
                <w:b/>
                <w:sz w:val="20"/>
                <w:szCs w:val="20"/>
              </w:rPr>
            </w:pPr>
            <w:r w:rsidRPr="007F78CE">
              <w:rPr>
                <w:rFonts w:cs="Calibri"/>
                <w:b/>
                <w:sz w:val="20"/>
                <w:szCs w:val="20"/>
              </w:rPr>
              <w:t>6,7,8</w:t>
            </w:r>
          </w:p>
        </w:tc>
      </w:tr>
      <w:tr w:rsidR="00E60DF0" w:rsidRPr="007F78CE" w14:paraId="1084E640" w14:textId="77777777" w:rsidTr="00982318">
        <w:trPr>
          <w:trHeight w:val="20"/>
          <w:jc w:val="center"/>
        </w:trPr>
        <w:tc>
          <w:tcPr>
            <w:tcW w:w="1387" w:type="dxa"/>
            <w:vMerge/>
            <w:tcBorders>
              <w:left w:val="single" w:sz="4" w:space="0" w:color="000000"/>
              <w:bottom w:val="single" w:sz="4" w:space="0" w:color="000000"/>
              <w:right w:val="single" w:sz="4" w:space="0" w:color="000000"/>
            </w:tcBorders>
            <w:shd w:val="clear" w:color="auto" w:fill="auto"/>
            <w:vAlign w:val="center"/>
          </w:tcPr>
          <w:p w14:paraId="25EE6EF8" w14:textId="77777777" w:rsidR="00E60DF0" w:rsidRPr="007F78CE" w:rsidRDefault="00E60DF0" w:rsidP="00623B30">
            <w:pPr>
              <w:contextualSpacing/>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723EE78" w14:textId="77777777" w:rsidR="00E60DF0" w:rsidRPr="007F78CE" w:rsidRDefault="00E60DF0" w:rsidP="00623B30">
            <w:pPr>
              <w:contextualSpacing/>
              <w:jc w:val="center"/>
              <w:rPr>
                <w:rFonts w:cs="Calibri"/>
                <w:b/>
                <w:sz w:val="20"/>
                <w:szCs w:val="20"/>
              </w:rPr>
            </w:pPr>
            <w:r w:rsidRPr="007F78CE">
              <w:rPr>
                <w:rFonts w:cs="Calibri"/>
                <w:b/>
                <w:sz w:val="20"/>
                <w:szCs w:val="20"/>
              </w:rPr>
              <w:t>Majeure</w:t>
            </w:r>
          </w:p>
        </w:tc>
        <w:tc>
          <w:tcPr>
            <w:tcW w:w="5104" w:type="dxa"/>
            <w:vMerge/>
            <w:tcBorders>
              <w:left w:val="single" w:sz="4" w:space="0" w:color="000000"/>
              <w:bottom w:val="single" w:sz="4" w:space="0" w:color="000000"/>
              <w:right w:val="single" w:sz="4" w:space="0" w:color="000000"/>
            </w:tcBorders>
            <w:shd w:val="clear" w:color="auto" w:fill="auto"/>
            <w:vAlign w:val="center"/>
          </w:tcPr>
          <w:p w14:paraId="48804B48" w14:textId="77777777" w:rsidR="00E60DF0" w:rsidRPr="007F78CE" w:rsidRDefault="00E60DF0" w:rsidP="00623B30">
            <w:pPr>
              <w:contextualSpacing/>
              <w:rPr>
                <w:rFonts w:cs="Calibri"/>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CD4F340" w14:textId="77777777" w:rsidR="00E60DF0" w:rsidRPr="007F78CE" w:rsidRDefault="00E60DF0" w:rsidP="00623B30">
            <w:pPr>
              <w:contextualSpacing/>
              <w:jc w:val="center"/>
              <w:rPr>
                <w:rFonts w:cs="Calibri"/>
                <w:b/>
                <w:sz w:val="20"/>
                <w:szCs w:val="20"/>
              </w:rPr>
            </w:pPr>
            <w:r w:rsidRPr="007F78CE">
              <w:rPr>
                <w:rFonts w:cs="Calibri"/>
                <w:b/>
                <w:sz w:val="20"/>
                <w:szCs w:val="20"/>
              </w:rPr>
              <w:t>9,10,11</w:t>
            </w:r>
          </w:p>
        </w:tc>
      </w:tr>
    </w:tbl>
    <w:p w14:paraId="5581CC70" w14:textId="77777777" w:rsidR="0039047D" w:rsidRDefault="0039047D"/>
    <w:p w14:paraId="6F8CBE73" w14:textId="77777777" w:rsidR="00160FB0" w:rsidRDefault="00160FB0" w:rsidP="00345918">
      <w:pPr>
        <w:pStyle w:val="TIT3"/>
        <w:numPr>
          <w:ilvl w:val="2"/>
          <w:numId w:val="177"/>
        </w:numPr>
      </w:pPr>
      <w:bookmarkStart w:id="818" w:name="_Toc127957673"/>
      <w:r>
        <w:t>Méthode d’évaluation des risques</w:t>
      </w:r>
      <w:bookmarkEnd w:id="818"/>
    </w:p>
    <w:p w14:paraId="057332D9" w14:textId="77777777" w:rsidR="00160FB0" w:rsidRDefault="00160FB0" w:rsidP="00160FB0">
      <w:pPr>
        <w:spacing w:before="240" w:line="240" w:lineRule="auto"/>
        <w:rPr>
          <w:rFonts w:cs="Arial"/>
        </w:rPr>
      </w:pPr>
      <w:r w:rsidRPr="00D54B15">
        <w:rPr>
          <w:rFonts w:cs="Arial"/>
        </w:rPr>
        <w:t>L’évaluation des risques permet de déterminer quels sont les risques graves qu'il faut maîtriser en premier. Les risques seront évalués à partir d’une matrice ci-dessous.</w:t>
      </w:r>
    </w:p>
    <w:p w14:paraId="2F72660E" w14:textId="77777777" w:rsidR="00160FB0" w:rsidRPr="00345918" w:rsidRDefault="00160FB0" w:rsidP="00345918">
      <w:pPr>
        <w:pStyle w:val="Lgende"/>
        <w:spacing w:before="120"/>
        <w:jc w:val="center"/>
        <w:rPr>
          <w:sz w:val="20"/>
        </w:rPr>
      </w:pPr>
      <w:bookmarkStart w:id="819" w:name="_bookmark299"/>
      <w:bookmarkStart w:id="820" w:name="_Toc110593355"/>
      <w:bookmarkStart w:id="821" w:name="_Toc127957815"/>
      <w:bookmarkEnd w:id="819"/>
      <w:r w:rsidRPr="00345918">
        <w:rPr>
          <w:sz w:val="20"/>
        </w:rPr>
        <w:t xml:space="preserve">Tableau </w:t>
      </w:r>
      <w:r w:rsidRPr="00345918">
        <w:rPr>
          <w:sz w:val="20"/>
        </w:rPr>
        <w:fldChar w:fldCharType="begin"/>
      </w:r>
      <w:r w:rsidRPr="00345918">
        <w:rPr>
          <w:sz w:val="20"/>
        </w:rPr>
        <w:instrText xml:space="preserve"> SEQ Tableau \* ARABIC </w:instrText>
      </w:r>
      <w:r w:rsidRPr="00345918">
        <w:rPr>
          <w:sz w:val="20"/>
        </w:rPr>
        <w:fldChar w:fldCharType="separate"/>
      </w:r>
      <w:r w:rsidR="005430A1">
        <w:rPr>
          <w:noProof/>
          <w:sz w:val="20"/>
        </w:rPr>
        <w:t>19</w:t>
      </w:r>
      <w:r w:rsidRPr="00345918">
        <w:rPr>
          <w:sz w:val="20"/>
        </w:rPr>
        <w:fldChar w:fldCharType="end"/>
      </w:r>
      <w:r w:rsidRPr="00345918">
        <w:rPr>
          <w:sz w:val="20"/>
        </w:rPr>
        <w:t>. Grille des risques</w:t>
      </w:r>
      <w:bookmarkEnd w:id="820"/>
      <w:bookmarkEnd w:id="821"/>
    </w:p>
    <w:tbl>
      <w:tblPr>
        <w:tblW w:w="0" w:type="auto"/>
        <w:tblInd w:w="2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
        <w:gridCol w:w="1200"/>
        <w:gridCol w:w="1200"/>
        <w:gridCol w:w="1060"/>
        <w:gridCol w:w="1203"/>
      </w:tblGrid>
      <w:tr w:rsidR="008F16AA" w:rsidRPr="000640AA" w14:paraId="003B8949" w14:textId="77777777" w:rsidTr="00FB04F6">
        <w:trPr>
          <w:trHeight w:val="274"/>
        </w:trPr>
        <w:tc>
          <w:tcPr>
            <w:tcW w:w="1623" w:type="dxa"/>
            <w:gridSpan w:val="2"/>
            <w:vMerge w:val="restart"/>
            <w:shd w:val="clear" w:color="auto" w:fill="auto"/>
            <w:textDirection w:val="tbRl"/>
          </w:tcPr>
          <w:p w14:paraId="52C1FBE7" w14:textId="77777777" w:rsidR="008F16AA" w:rsidRPr="00FB04F6" w:rsidRDefault="008F16AA" w:rsidP="00FB04F6">
            <w:pPr>
              <w:pStyle w:val="TableParagraph"/>
              <w:spacing w:before="126"/>
              <w:ind w:left="69"/>
              <w:rPr>
                <w:rFonts w:ascii="Calibri" w:hAnsi="Calibri"/>
              </w:rPr>
            </w:pPr>
          </w:p>
        </w:tc>
        <w:tc>
          <w:tcPr>
            <w:tcW w:w="3463" w:type="dxa"/>
            <w:gridSpan w:val="3"/>
            <w:shd w:val="clear" w:color="auto" w:fill="auto"/>
          </w:tcPr>
          <w:p w14:paraId="76E9BE6E" w14:textId="77777777" w:rsidR="008F16AA" w:rsidRPr="00FB04F6" w:rsidRDefault="008F16AA" w:rsidP="00FB04F6">
            <w:pPr>
              <w:pStyle w:val="TableParagraph"/>
              <w:spacing w:before="17" w:line="240" w:lineRule="atLeast"/>
              <w:ind w:left="287" w:right="262" w:firstLine="69"/>
              <w:rPr>
                <w:rFonts w:ascii="Calibri"/>
                <w:sz w:val="20"/>
              </w:rPr>
            </w:pPr>
            <w:r w:rsidRPr="00FB04F6">
              <w:rPr>
                <w:rFonts w:ascii="Calibri"/>
                <w:b/>
              </w:rPr>
              <w:t>Importance</w:t>
            </w:r>
            <w:r w:rsidRPr="00FB04F6">
              <w:rPr>
                <w:rFonts w:ascii="Calibri"/>
                <w:b/>
                <w:spacing w:val="-3"/>
              </w:rPr>
              <w:t xml:space="preserve"> </w:t>
            </w:r>
            <w:r w:rsidRPr="00FB04F6">
              <w:rPr>
                <w:rFonts w:ascii="Calibri"/>
                <w:b/>
              </w:rPr>
              <w:t>de</w:t>
            </w:r>
            <w:r w:rsidRPr="00FB04F6">
              <w:rPr>
                <w:rFonts w:ascii="Calibri"/>
                <w:b/>
                <w:spacing w:val="-5"/>
              </w:rPr>
              <w:t xml:space="preserve"> </w:t>
            </w:r>
            <w:r w:rsidRPr="00FB04F6">
              <w:rPr>
                <w:rFonts w:ascii="Calibri"/>
                <w:b/>
              </w:rPr>
              <w:t>l'impact</w:t>
            </w:r>
          </w:p>
        </w:tc>
      </w:tr>
      <w:tr w:rsidR="00345918" w:rsidRPr="000640AA" w14:paraId="7CD05A8E" w14:textId="77777777" w:rsidTr="00FB04F6">
        <w:trPr>
          <w:trHeight w:val="525"/>
        </w:trPr>
        <w:tc>
          <w:tcPr>
            <w:tcW w:w="1623" w:type="dxa"/>
            <w:gridSpan w:val="2"/>
            <w:vMerge/>
            <w:shd w:val="clear" w:color="auto" w:fill="auto"/>
            <w:textDirection w:val="tbRl"/>
          </w:tcPr>
          <w:p w14:paraId="070E6ACC" w14:textId="77777777" w:rsidR="008F16AA" w:rsidRPr="00FB04F6" w:rsidRDefault="008F16AA" w:rsidP="00FB04F6">
            <w:pPr>
              <w:pStyle w:val="TableParagraph"/>
              <w:spacing w:before="126"/>
              <w:ind w:left="69"/>
              <w:rPr>
                <w:rFonts w:ascii="Calibri" w:hAnsi="Calibri"/>
              </w:rPr>
            </w:pPr>
          </w:p>
        </w:tc>
        <w:tc>
          <w:tcPr>
            <w:tcW w:w="1200" w:type="dxa"/>
            <w:shd w:val="clear" w:color="auto" w:fill="auto"/>
          </w:tcPr>
          <w:p w14:paraId="4F23CD35" w14:textId="77777777" w:rsidR="008F16AA" w:rsidRPr="00FB04F6" w:rsidRDefault="008F16AA" w:rsidP="00FB04F6">
            <w:pPr>
              <w:pStyle w:val="TableParagraph"/>
              <w:spacing w:before="17" w:line="240" w:lineRule="atLeast"/>
              <w:ind w:left="287" w:right="262" w:firstLine="69"/>
              <w:rPr>
                <w:rFonts w:ascii="Calibri"/>
                <w:sz w:val="20"/>
              </w:rPr>
            </w:pPr>
            <w:r w:rsidRPr="00345918">
              <w:rPr>
                <w:rFonts w:ascii="Calibri"/>
                <w:sz w:val="20"/>
              </w:rPr>
              <w:t>Mineure</w:t>
            </w:r>
          </w:p>
        </w:tc>
        <w:tc>
          <w:tcPr>
            <w:tcW w:w="1060" w:type="dxa"/>
            <w:shd w:val="clear" w:color="auto" w:fill="auto"/>
          </w:tcPr>
          <w:p w14:paraId="2B843BD8" w14:textId="77777777" w:rsidR="008F16AA" w:rsidRPr="00345918" w:rsidRDefault="008F16AA" w:rsidP="00FB04F6">
            <w:pPr>
              <w:pStyle w:val="TableParagraph"/>
              <w:spacing w:before="17" w:line="240" w:lineRule="atLeast"/>
              <w:ind w:left="287" w:right="262" w:firstLine="69"/>
              <w:rPr>
                <w:rFonts w:ascii="Calibri"/>
                <w:sz w:val="20"/>
              </w:rPr>
            </w:pPr>
            <w:r w:rsidRPr="00345918">
              <w:rPr>
                <w:rFonts w:ascii="Calibri"/>
                <w:sz w:val="20"/>
              </w:rPr>
              <w:t>Moyenne</w:t>
            </w:r>
          </w:p>
        </w:tc>
        <w:tc>
          <w:tcPr>
            <w:tcW w:w="1203" w:type="dxa"/>
            <w:shd w:val="clear" w:color="auto" w:fill="auto"/>
          </w:tcPr>
          <w:p w14:paraId="0AF8909C" w14:textId="77777777" w:rsidR="008F16AA" w:rsidRPr="00FB04F6" w:rsidRDefault="008F16AA" w:rsidP="00FB04F6">
            <w:pPr>
              <w:pStyle w:val="TableParagraph"/>
              <w:spacing w:before="17" w:line="240" w:lineRule="atLeast"/>
              <w:ind w:left="287" w:right="262" w:firstLine="69"/>
              <w:rPr>
                <w:rFonts w:ascii="Calibri"/>
                <w:sz w:val="20"/>
              </w:rPr>
            </w:pPr>
            <w:r w:rsidRPr="00345918">
              <w:rPr>
                <w:rFonts w:ascii="Calibri"/>
                <w:sz w:val="20"/>
              </w:rPr>
              <w:t>Majeure</w:t>
            </w:r>
          </w:p>
        </w:tc>
      </w:tr>
      <w:tr w:rsidR="00345918" w:rsidRPr="000640AA" w14:paraId="039DC33A" w14:textId="77777777" w:rsidTr="00FB04F6">
        <w:trPr>
          <w:trHeight w:val="525"/>
        </w:trPr>
        <w:tc>
          <w:tcPr>
            <w:tcW w:w="423" w:type="dxa"/>
            <w:vMerge w:val="restart"/>
            <w:shd w:val="clear" w:color="auto" w:fill="auto"/>
            <w:textDirection w:val="tbRl"/>
          </w:tcPr>
          <w:p w14:paraId="602EE807" w14:textId="77777777" w:rsidR="00160FB0" w:rsidRPr="00FB04F6" w:rsidRDefault="00160FB0" w:rsidP="00FB04F6">
            <w:pPr>
              <w:pStyle w:val="TableParagraph"/>
              <w:ind w:left="326"/>
              <w:rPr>
                <w:rFonts w:ascii="Calibri" w:hAnsi="Calibri"/>
                <w:b/>
              </w:rPr>
            </w:pPr>
            <w:bookmarkStart w:id="822" w:name="_bookmark300"/>
            <w:bookmarkStart w:id="823" w:name="_bookmark301"/>
            <w:bookmarkStart w:id="824" w:name="_bookmark302"/>
            <w:bookmarkEnd w:id="822"/>
            <w:bookmarkEnd w:id="823"/>
            <w:bookmarkEnd w:id="824"/>
            <w:r w:rsidRPr="00FB04F6">
              <w:rPr>
                <w:rFonts w:ascii="Calibri" w:hAnsi="Calibri"/>
                <w:b/>
              </w:rPr>
              <w:t>Probabilité</w:t>
            </w:r>
          </w:p>
        </w:tc>
        <w:tc>
          <w:tcPr>
            <w:tcW w:w="1200" w:type="dxa"/>
            <w:shd w:val="clear" w:color="auto" w:fill="auto"/>
          </w:tcPr>
          <w:p w14:paraId="02884ADC" w14:textId="77777777" w:rsidR="00160FB0" w:rsidRPr="00FB04F6" w:rsidRDefault="00160FB0" w:rsidP="00FB04F6">
            <w:pPr>
              <w:pStyle w:val="TableParagraph"/>
              <w:spacing w:before="126"/>
              <w:ind w:left="69"/>
              <w:rPr>
                <w:rFonts w:ascii="Calibri" w:hAnsi="Calibri"/>
              </w:rPr>
            </w:pPr>
            <w:r w:rsidRPr="00FB04F6">
              <w:rPr>
                <w:rFonts w:ascii="Calibri" w:hAnsi="Calibri"/>
              </w:rPr>
              <w:t>Elevé</w:t>
            </w:r>
          </w:p>
        </w:tc>
        <w:tc>
          <w:tcPr>
            <w:tcW w:w="1200" w:type="dxa"/>
            <w:shd w:val="clear" w:color="auto" w:fill="FFFF00"/>
          </w:tcPr>
          <w:p w14:paraId="41AC8621" w14:textId="77777777" w:rsidR="00160FB0" w:rsidRPr="00FB04F6" w:rsidRDefault="00160FB0" w:rsidP="00FB04F6">
            <w:pPr>
              <w:pStyle w:val="TableParagraph"/>
              <w:spacing w:before="17" w:line="240" w:lineRule="atLeast"/>
              <w:ind w:left="318" w:right="296" w:firstLine="9"/>
              <w:rPr>
                <w:rFonts w:ascii="Calibri"/>
                <w:sz w:val="20"/>
              </w:rPr>
            </w:pPr>
            <w:r w:rsidRPr="00FB04F6">
              <w:rPr>
                <w:rFonts w:ascii="Calibri"/>
                <w:sz w:val="20"/>
              </w:rPr>
              <w:t>Risque</w:t>
            </w:r>
            <w:r w:rsidRPr="00FB04F6">
              <w:rPr>
                <w:rFonts w:ascii="Calibri"/>
                <w:spacing w:val="-43"/>
                <w:sz w:val="20"/>
              </w:rPr>
              <w:t xml:space="preserve"> </w:t>
            </w:r>
            <w:r w:rsidRPr="00FB04F6">
              <w:rPr>
                <w:rFonts w:ascii="Calibri"/>
                <w:spacing w:val="-1"/>
                <w:sz w:val="20"/>
              </w:rPr>
              <w:t>moyen</w:t>
            </w:r>
          </w:p>
        </w:tc>
        <w:tc>
          <w:tcPr>
            <w:tcW w:w="1060" w:type="dxa"/>
            <w:shd w:val="clear" w:color="auto" w:fill="FFC000"/>
          </w:tcPr>
          <w:p w14:paraId="12A28047" w14:textId="77777777" w:rsidR="00160FB0" w:rsidRPr="00FB04F6" w:rsidRDefault="00160FB0" w:rsidP="00FB04F6">
            <w:pPr>
              <w:pStyle w:val="TableParagraph"/>
              <w:spacing w:before="17" w:line="240" w:lineRule="atLeast"/>
              <w:ind w:left="312" w:right="231" w:hanging="56"/>
              <w:rPr>
                <w:rFonts w:ascii="Calibri" w:hAnsi="Calibri"/>
                <w:sz w:val="20"/>
              </w:rPr>
            </w:pPr>
            <w:r w:rsidRPr="00FB04F6">
              <w:rPr>
                <w:rFonts w:ascii="Calibri" w:hAnsi="Calibri"/>
                <w:sz w:val="20"/>
              </w:rPr>
              <w:t>Risque</w:t>
            </w:r>
            <w:r w:rsidRPr="00FB04F6">
              <w:rPr>
                <w:rFonts w:ascii="Calibri" w:hAnsi="Calibri"/>
                <w:spacing w:val="-43"/>
                <w:sz w:val="20"/>
              </w:rPr>
              <w:t xml:space="preserve"> </w:t>
            </w:r>
            <w:r w:rsidRPr="00FB04F6">
              <w:rPr>
                <w:rFonts w:ascii="Calibri" w:hAnsi="Calibri"/>
                <w:sz w:val="20"/>
              </w:rPr>
              <w:t>élevé</w:t>
            </w:r>
          </w:p>
        </w:tc>
        <w:tc>
          <w:tcPr>
            <w:tcW w:w="1203" w:type="dxa"/>
            <w:shd w:val="clear" w:color="auto" w:fill="FF0000"/>
          </w:tcPr>
          <w:p w14:paraId="7F1FD791" w14:textId="77777777" w:rsidR="00160FB0" w:rsidRPr="00FB04F6" w:rsidRDefault="00160FB0" w:rsidP="00FB04F6">
            <w:pPr>
              <w:pStyle w:val="TableParagraph"/>
              <w:spacing w:before="17" w:line="240" w:lineRule="atLeast"/>
              <w:ind w:left="197" w:right="175" w:firstLine="19"/>
              <w:rPr>
                <w:rFonts w:ascii="Calibri"/>
                <w:sz w:val="20"/>
              </w:rPr>
            </w:pPr>
            <w:r w:rsidRPr="00FB04F6">
              <w:rPr>
                <w:rFonts w:ascii="Calibri"/>
                <w:sz w:val="20"/>
              </w:rPr>
              <w:t>Danger</w:t>
            </w:r>
            <w:r w:rsidRPr="00FB04F6">
              <w:rPr>
                <w:rFonts w:ascii="Calibri"/>
                <w:spacing w:val="-43"/>
                <w:sz w:val="20"/>
              </w:rPr>
              <w:t xml:space="preserve"> </w:t>
            </w:r>
            <w:r w:rsidRPr="00FB04F6">
              <w:rPr>
                <w:rFonts w:ascii="Calibri"/>
                <w:spacing w:val="-1"/>
                <w:sz w:val="20"/>
              </w:rPr>
              <w:t>Imm</w:t>
            </w:r>
            <w:r w:rsidRPr="00FB04F6">
              <w:rPr>
                <w:rFonts w:ascii="Calibri"/>
                <w:spacing w:val="-1"/>
                <w:sz w:val="20"/>
              </w:rPr>
              <w:t>é</w:t>
            </w:r>
            <w:r w:rsidRPr="00FB04F6">
              <w:rPr>
                <w:rFonts w:ascii="Calibri"/>
                <w:spacing w:val="-1"/>
                <w:sz w:val="20"/>
              </w:rPr>
              <w:t>diat</w:t>
            </w:r>
          </w:p>
        </w:tc>
      </w:tr>
      <w:tr w:rsidR="00345918" w:rsidRPr="000640AA" w14:paraId="07865AA6" w14:textId="77777777" w:rsidTr="00FB04F6">
        <w:trPr>
          <w:trHeight w:val="525"/>
        </w:trPr>
        <w:tc>
          <w:tcPr>
            <w:tcW w:w="423" w:type="dxa"/>
            <w:vMerge/>
            <w:tcBorders>
              <w:top w:val="nil"/>
            </w:tcBorders>
            <w:shd w:val="clear" w:color="auto" w:fill="auto"/>
            <w:textDirection w:val="tbRl"/>
          </w:tcPr>
          <w:p w14:paraId="56572AC3" w14:textId="77777777" w:rsidR="00160FB0" w:rsidRPr="00FB04F6" w:rsidRDefault="00160FB0" w:rsidP="00FB04F6">
            <w:pPr>
              <w:widowControl w:val="0"/>
              <w:autoSpaceDE w:val="0"/>
              <w:autoSpaceDN w:val="0"/>
              <w:rPr>
                <w:sz w:val="2"/>
                <w:szCs w:val="2"/>
              </w:rPr>
            </w:pPr>
          </w:p>
        </w:tc>
        <w:tc>
          <w:tcPr>
            <w:tcW w:w="1200" w:type="dxa"/>
            <w:shd w:val="clear" w:color="auto" w:fill="auto"/>
          </w:tcPr>
          <w:p w14:paraId="6910587F" w14:textId="77777777" w:rsidR="00160FB0" w:rsidRPr="00FB04F6" w:rsidRDefault="00160FB0" w:rsidP="00FB04F6">
            <w:pPr>
              <w:pStyle w:val="TableParagraph"/>
              <w:spacing w:before="126"/>
              <w:ind w:left="69"/>
              <w:rPr>
                <w:rFonts w:ascii="Calibri"/>
              </w:rPr>
            </w:pPr>
            <w:r w:rsidRPr="00FB04F6">
              <w:rPr>
                <w:rFonts w:ascii="Calibri"/>
              </w:rPr>
              <w:t>Moyenne</w:t>
            </w:r>
          </w:p>
        </w:tc>
        <w:tc>
          <w:tcPr>
            <w:tcW w:w="1200" w:type="dxa"/>
            <w:shd w:val="clear" w:color="auto" w:fill="D9D9D9"/>
          </w:tcPr>
          <w:p w14:paraId="3320024A" w14:textId="77777777" w:rsidR="00160FB0" w:rsidRPr="00FB04F6" w:rsidRDefault="00160FB0" w:rsidP="00FB04F6">
            <w:pPr>
              <w:pStyle w:val="TableParagraph"/>
              <w:spacing w:before="17" w:line="240" w:lineRule="atLeast"/>
              <w:ind w:left="287" w:right="262" w:firstLine="69"/>
              <w:rPr>
                <w:rFonts w:ascii="Calibri"/>
                <w:sz w:val="20"/>
              </w:rPr>
            </w:pPr>
            <w:r w:rsidRPr="00FB04F6">
              <w:rPr>
                <w:rFonts w:ascii="Calibri"/>
                <w:sz w:val="20"/>
              </w:rPr>
              <w:t>Faible</w:t>
            </w:r>
            <w:r w:rsidRPr="00FB04F6">
              <w:rPr>
                <w:rFonts w:ascii="Calibri"/>
                <w:spacing w:val="1"/>
                <w:sz w:val="20"/>
              </w:rPr>
              <w:t xml:space="preserve"> </w:t>
            </w:r>
            <w:r w:rsidRPr="00FB04F6">
              <w:rPr>
                <w:rFonts w:ascii="Calibri"/>
                <w:sz w:val="20"/>
              </w:rPr>
              <w:t>Risque</w:t>
            </w:r>
          </w:p>
        </w:tc>
        <w:tc>
          <w:tcPr>
            <w:tcW w:w="1060" w:type="dxa"/>
            <w:shd w:val="clear" w:color="auto" w:fill="FFC000"/>
          </w:tcPr>
          <w:p w14:paraId="6E0497EA" w14:textId="77777777" w:rsidR="00160FB0" w:rsidRPr="00FB04F6" w:rsidRDefault="00160FB0" w:rsidP="00FB04F6">
            <w:pPr>
              <w:pStyle w:val="TableParagraph"/>
              <w:spacing w:before="17" w:line="240" w:lineRule="atLeast"/>
              <w:ind w:left="312" w:right="231" w:hanging="56"/>
              <w:rPr>
                <w:rFonts w:ascii="Calibri" w:hAnsi="Calibri"/>
                <w:sz w:val="20"/>
              </w:rPr>
            </w:pPr>
            <w:r w:rsidRPr="00FB04F6">
              <w:rPr>
                <w:rFonts w:ascii="Calibri" w:hAnsi="Calibri"/>
                <w:sz w:val="20"/>
              </w:rPr>
              <w:t>Risque</w:t>
            </w:r>
            <w:r w:rsidRPr="00FB04F6">
              <w:rPr>
                <w:rFonts w:ascii="Calibri" w:hAnsi="Calibri"/>
                <w:spacing w:val="-43"/>
                <w:sz w:val="20"/>
              </w:rPr>
              <w:t xml:space="preserve"> </w:t>
            </w:r>
            <w:r w:rsidRPr="00FB04F6">
              <w:rPr>
                <w:rFonts w:ascii="Calibri" w:hAnsi="Calibri"/>
                <w:sz w:val="20"/>
              </w:rPr>
              <w:t>élevé</w:t>
            </w:r>
          </w:p>
        </w:tc>
        <w:tc>
          <w:tcPr>
            <w:tcW w:w="1203" w:type="dxa"/>
            <w:shd w:val="clear" w:color="auto" w:fill="FFC000"/>
          </w:tcPr>
          <w:p w14:paraId="4144CD57" w14:textId="77777777" w:rsidR="00160FB0" w:rsidRPr="00FB04F6" w:rsidRDefault="00160FB0" w:rsidP="00FB04F6">
            <w:pPr>
              <w:pStyle w:val="TableParagraph"/>
              <w:spacing w:before="17" w:line="240" w:lineRule="atLeast"/>
              <w:ind w:left="293" w:right="209" w:hanging="56"/>
              <w:rPr>
                <w:rFonts w:ascii="Calibri" w:hAnsi="Calibri"/>
                <w:sz w:val="20"/>
              </w:rPr>
            </w:pPr>
            <w:r w:rsidRPr="00FB04F6">
              <w:rPr>
                <w:rFonts w:ascii="Calibri" w:hAnsi="Calibri"/>
                <w:sz w:val="20"/>
              </w:rPr>
              <w:t>Risque</w:t>
            </w:r>
            <w:r w:rsidRPr="00FB04F6">
              <w:rPr>
                <w:rFonts w:ascii="Calibri" w:hAnsi="Calibri"/>
                <w:spacing w:val="-43"/>
                <w:sz w:val="20"/>
              </w:rPr>
              <w:t xml:space="preserve"> </w:t>
            </w:r>
            <w:r w:rsidRPr="00FB04F6">
              <w:rPr>
                <w:rFonts w:ascii="Calibri" w:hAnsi="Calibri"/>
                <w:sz w:val="20"/>
              </w:rPr>
              <w:t>élevé</w:t>
            </w:r>
          </w:p>
        </w:tc>
      </w:tr>
      <w:tr w:rsidR="00345918" w:rsidRPr="000640AA" w14:paraId="6856ABAB" w14:textId="77777777" w:rsidTr="00FB04F6">
        <w:trPr>
          <w:trHeight w:val="525"/>
        </w:trPr>
        <w:tc>
          <w:tcPr>
            <w:tcW w:w="423" w:type="dxa"/>
            <w:vMerge/>
            <w:tcBorders>
              <w:top w:val="nil"/>
            </w:tcBorders>
            <w:shd w:val="clear" w:color="auto" w:fill="auto"/>
            <w:textDirection w:val="tbRl"/>
          </w:tcPr>
          <w:p w14:paraId="48505631" w14:textId="77777777" w:rsidR="00160FB0" w:rsidRPr="00FB04F6" w:rsidRDefault="00160FB0" w:rsidP="00FB04F6">
            <w:pPr>
              <w:widowControl w:val="0"/>
              <w:autoSpaceDE w:val="0"/>
              <w:autoSpaceDN w:val="0"/>
              <w:rPr>
                <w:sz w:val="2"/>
                <w:szCs w:val="2"/>
              </w:rPr>
            </w:pPr>
          </w:p>
        </w:tc>
        <w:tc>
          <w:tcPr>
            <w:tcW w:w="1200" w:type="dxa"/>
            <w:shd w:val="clear" w:color="auto" w:fill="auto"/>
          </w:tcPr>
          <w:p w14:paraId="4D075F01" w14:textId="77777777" w:rsidR="00160FB0" w:rsidRPr="00FB04F6" w:rsidRDefault="00160FB0" w:rsidP="00FB04F6">
            <w:pPr>
              <w:pStyle w:val="TableParagraph"/>
              <w:spacing w:before="126"/>
              <w:ind w:left="69"/>
              <w:rPr>
                <w:rFonts w:ascii="Calibri"/>
              </w:rPr>
            </w:pPr>
            <w:r w:rsidRPr="00FB04F6">
              <w:rPr>
                <w:rFonts w:ascii="Calibri"/>
              </w:rPr>
              <w:t>Faible</w:t>
            </w:r>
          </w:p>
        </w:tc>
        <w:tc>
          <w:tcPr>
            <w:tcW w:w="1200" w:type="dxa"/>
            <w:shd w:val="clear" w:color="auto" w:fill="00AF50"/>
          </w:tcPr>
          <w:p w14:paraId="2ED494F6" w14:textId="77777777" w:rsidR="00160FB0" w:rsidRPr="00FB04F6" w:rsidRDefault="00160FB0" w:rsidP="00FB04F6">
            <w:pPr>
              <w:pStyle w:val="TableParagraph"/>
              <w:spacing w:before="17" w:line="240" w:lineRule="atLeast"/>
              <w:ind w:left="328" w:right="158" w:hanging="149"/>
              <w:rPr>
                <w:rFonts w:ascii="Calibri" w:hAnsi="Calibri"/>
                <w:sz w:val="20"/>
              </w:rPr>
            </w:pPr>
            <w:r w:rsidRPr="00FB04F6">
              <w:rPr>
                <w:rFonts w:ascii="Calibri" w:hAnsi="Calibri"/>
                <w:spacing w:val="-1"/>
                <w:sz w:val="20"/>
              </w:rPr>
              <w:t>Très faible</w:t>
            </w:r>
            <w:r w:rsidRPr="00FB04F6">
              <w:rPr>
                <w:rFonts w:ascii="Calibri" w:hAnsi="Calibri"/>
                <w:spacing w:val="-43"/>
                <w:sz w:val="20"/>
              </w:rPr>
              <w:t xml:space="preserve"> </w:t>
            </w:r>
            <w:r w:rsidRPr="00FB04F6">
              <w:rPr>
                <w:rFonts w:ascii="Calibri" w:hAnsi="Calibri"/>
                <w:sz w:val="20"/>
              </w:rPr>
              <w:t>Risque</w:t>
            </w:r>
          </w:p>
        </w:tc>
        <w:tc>
          <w:tcPr>
            <w:tcW w:w="1060" w:type="dxa"/>
            <w:shd w:val="clear" w:color="auto" w:fill="D9D9D9"/>
          </w:tcPr>
          <w:p w14:paraId="2C6374EA" w14:textId="77777777" w:rsidR="00160FB0" w:rsidRPr="00FB04F6" w:rsidRDefault="00160FB0" w:rsidP="00FB04F6">
            <w:pPr>
              <w:pStyle w:val="TableParagraph"/>
              <w:spacing w:before="17" w:line="240" w:lineRule="atLeast"/>
              <w:ind w:left="218" w:right="191" w:firstLine="69"/>
              <w:rPr>
                <w:rFonts w:ascii="Calibri"/>
                <w:sz w:val="20"/>
              </w:rPr>
            </w:pPr>
            <w:r w:rsidRPr="00FB04F6">
              <w:rPr>
                <w:rFonts w:ascii="Calibri"/>
                <w:sz w:val="20"/>
              </w:rPr>
              <w:t>Faible</w:t>
            </w:r>
            <w:r w:rsidRPr="00FB04F6">
              <w:rPr>
                <w:rFonts w:ascii="Calibri"/>
                <w:spacing w:val="1"/>
                <w:sz w:val="20"/>
              </w:rPr>
              <w:t xml:space="preserve"> </w:t>
            </w:r>
            <w:r w:rsidRPr="00FB04F6">
              <w:rPr>
                <w:rFonts w:ascii="Calibri"/>
                <w:sz w:val="20"/>
              </w:rPr>
              <w:t>Risque</w:t>
            </w:r>
          </w:p>
        </w:tc>
        <w:tc>
          <w:tcPr>
            <w:tcW w:w="1203" w:type="dxa"/>
            <w:shd w:val="clear" w:color="auto" w:fill="FFFF00"/>
          </w:tcPr>
          <w:p w14:paraId="7E88FCC9" w14:textId="77777777" w:rsidR="00160FB0" w:rsidRPr="00FB04F6" w:rsidRDefault="00160FB0" w:rsidP="00FB04F6">
            <w:pPr>
              <w:pStyle w:val="TableParagraph"/>
              <w:spacing w:before="17" w:line="240" w:lineRule="atLeast"/>
              <w:ind w:left="231" w:right="202" w:firstLine="7"/>
              <w:rPr>
                <w:rFonts w:ascii="Calibri"/>
                <w:sz w:val="20"/>
              </w:rPr>
            </w:pPr>
            <w:r w:rsidRPr="00FB04F6">
              <w:rPr>
                <w:rFonts w:ascii="Calibri"/>
                <w:sz w:val="20"/>
              </w:rPr>
              <w:t>Risque</w:t>
            </w:r>
            <w:r w:rsidRPr="00FB04F6">
              <w:rPr>
                <w:rFonts w:ascii="Calibri"/>
                <w:spacing w:val="-43"/>
                <w:sz w:val="20"/>
              </w:rPr>
              <w:t xml:space="preserve"> </w:t>
            </w:r>
            <w:r w:rsidRPr="00FB04F6">
              <w:rPr>
                <w:rFonts w:ascii="Calibri"/>
                <w:spacing w:val="-1"/>
                <w:sz w:val="20"/>
              </w:rPr>
              <w:t>moyen</w:t>
            </w:r>
          </w:p>
        </w:tc>
      </w:tr>
    </w:tbl>
    <w:p w14:paraId="6004BAAD" w14:textId="77777777" w:rsidR="00160FB0" w:rsidRDefault="00160FB0" w:rsidP="00160FB0">
      <w:pPr>
        <w:ind w:left="2743"/>
        <w:rPr>
          <w:rFonts w:ascii="Arial"/>
          <w:i/>
          <w:sz w:val="14"/>
        </w:rPr>
      </w:pPr>
      <w:r>
        <w:rPr>
          <w:rFonts w:ascii="Arial"/>
          <w:i/>
          <w:color w:val="333333"/>
          <w:sz w:val="14"/>
        </w:rPr>
        <w:t>Source</w:t>
      </w:r>
      <w:r>
        <w:rPr>
          <w:rFonts w:ascii="Arial"/>
          <w:i/>
          <w:color w:val="333333"/>
          <w:spacing w:val="-3"/>
          <w:sz w:val="14"/>
        </w:rPr>
        <w:t xml:space="preserve"> </w:t>
      </w:r>
      <w:r>
        <w:rPr>
          <w:rFonts w:ascii="Arial"/>
          <w:i/>
          <w:color w:val="333333"/>
          <w:sz w:val="14"/>
        </w:rPr>
        <w:t>:</w:t>
      </w:r>
      <w:r>
        <w:rPr>
          <w:rFonts w:ascii="Arial"/>
          <w:i/>
          <w:color w:val="333333"/>
          <w:spacing w:val="-1"/>
          <w:sz w:val="14"/>
        </w:rPr>
        <w:t xml:space="preserve"> </w:t>
      </w:r>
      <w:r>
        <w:rPr>
          <w:rFonts w:ascii="Arial"/>
          <w:i/>
          <w:color w:val="333333"/>
          <w:sz w:val="14"/>
        </w:rPr>
        <w:t>CCHST</w:t>
      </w:r>
      <w:r>
        <w:rPr>
          <w:rFonts w:ascii="Arial"/>
          <w:i/>
          <w:color w:val="333333"/>
          <w:sz w:val="14"/>
          <w:vertAlign w:val="superscript"/>
        </w:rPr>
        <w:t>29</w:t>
      </w:r>
    </w:p>
    <w:p w14:paraId="307A6CD8" w14:textId="77777777" w:rsidR="00160FB0" w:rsidRPr="00D54B15" w:rsidRDefault="00160FB0" w:rsidP="00160FB0">
      <w:pPr>
        <w:spacing w:before="240" w:line="240" w:lineRule="auto"/>
        <w:rPr>
          <w:rFonts w:cs="Arial"/>
        </w:rPr>
      </w:pPr>
      <w:r w:rsidRPr="00D54B15">
        <w:rPr>
          <w:rFonts w:cs="Arial"/>
        </w:rPr>
        <w:t>Selon ce tableau, l’évaluation des risques dépend des critères, l’importance de l’impact et sa probabilité d’occurrence</w:t>
      </w:r>
    </w:p>
    <w:p w14:paraId="63AE66D2" w14:textId="77777777" w:rsidR="00160FB0" w:rsidRPr="00D54B15" w:rsidRDefault="00160FB0" w:rsidP="00160FB0">
      <w:pPr>
        <w:spacing w:before="240" w:line="240" w:lineRule="auto"/>
        <w:rPr>
          <w:rFonts w:cs="Arial"/>
        </w:rPr>
      </w:pPr>
      <w:r w:rsidRPr="00D54B15">
        <w:rPr>
          <w:rFonts w:cs="Arial"/>
        </w:rPr>
        <w:t>Les catégories de probabilité correspondent à ce qui suit :</w:t>
      </w:r>
    </w:p>
    <w:p w14:paraId="34AB63A7" w14:textId="77777777" w:rsidR="00160FB0" w:rsidRPr="00FB04F6" w:rsidRDefault="00160FB0" w:rsidP="00160FB0">
      <w:pPr>
        <w:pStyle w:val="Paragraphedeliste"/>
        <w:numPr>
          <w:ilvl w:val="0"/>
          <w:numId w:val="233"/>
        </w:numPr>
        <w:suppressAutoHyphens/>
        <w:spacing w:before="240" w:beforeAutospacing="1" w:after="160" w:afterAutospacing="1" w:line="240" w:lineRule="auto"/>
        <w:jc w:val="both"/>
        <w:rPr>
          <w:rFonts w:cs="Calibri"/>
        </w:rPr>
      </w:pPr>
      <w:r w:rsidRPr="00FB04F6">
        <w:rPr>
          <w:rFonts w:cs="Calibri"/>
          <w:b/>
          <w:bCs/>
        </w:rPr>
        <w:t>Élevée</w:t>
      </w:r>
      <w:r w:rsidRPr="00FB04F6">
        <w:rPr>
          <w:rFonts w:cs="Calibri"/>
        </w:rPr>
        <w:t xml:space="preserve"> : Forte possibilité de se produire.</w:t>
      </w:r>
    </w:p>
    <w:p w14:paraId="2E1ABD95" w14:textId="77777777" w:rsidR="00160FB0" w:rsidRPr="00FB04F6" w:rsidRDefault="00160FB0" w:rsidP="00160FB0">
      <w:pPr>
        <w:pStyle w:val="Paragraphedeliste"/>
        <w:numPr>
          <w:ilvl w:val="0"/>
          <w:numId w:val="233"/>
        </w:numPr>
        <w:suppressAutoHyphens/>
        <w:spacing w:before="240" w:beforeAutospacing="1" w:after="160" w:afterAutospacing="1" w:line="240" w:lineRule="auto"/>
        <w:jc w:val="both"/>
        <w:rPr>
          <w:rFonts w:cs="Calibri"/>
        </w:rPr>
      </w:pPr>
      <w:r w:rsidRPr="00FB04F6">
        <w:rPr>
          <w:rFonts w:cs="Calibri"/>
          <w:b/>
          <w:bCs/>
        </w:rPr>
        <w:t>Moyenne</w:t>
      </w:r>
      <w:r w:rsidRPr="00FB04F6">
        <w:rPr>
          <w:rFonts w:cs="Calibri"/>
        </w:rPr>
        <w:t xml:space="preserve"> : Possibilité de se produire.</w:t>
      </w:r>
    </w:p>
    <w:p w14:paraId="52E7D4A5" w14:textId="77777777" w:rsidR="00160FB0" w:rsidRPr="00FB04F6" w:rsidRDefault="00160FB0" w:rsidP="00160FB0">
      <w:pPr>
        <w:pStyle w:val="Paragraphedeliste"/>
        <w:numPr>
          <w:ilvl w:val="0"/>
          <w:numId w:val="233"/>
        </w:numPr>
        <w:suppressAutoHyphens/>
        <w:spacing w:before="240" w:beforeAutospacing="1" w:after="160" w:afterAutospacing="1" w:line="240" w:lineRule="auto"/>
        <w:jc w:val="both"/>
        <w:rPr>
          <w:rFonts w:cs="Calibri"/>
        </w:rPr>
      </w:pPr>
      <w:r w:rsidRPr="00FB04F6">
        <w:rPr>
          <w:rFonts w:cs="Calibri"/>
          <w:b/>
          <w:bCs/>
        </w:rPr>
        <w:t>Faible</w:t>
      </w:r>
      <w:r w:rsidRPr="00FB04F6">
        <w:rPr>
          <w:rFonts w:cs="Calibri"/>
        </w:rPr>
        <w:t xml:space="preserve"> : faible possibilité de se produire</w:t>
      </w:r>
    </w:p>
    <w:p w14:paraId="22D59DC7" w14:textId="77777777" w:rsidR="00160FB0" w:rsidRDefault="00160FB0" w:rsidP="00160FB0">
      <w:pPr>
        <w:spacing w:before="240"/>
      </w:pPr>
      <w:r w:rsidRPr="000640AA">
        <w:t>Suivant le niveau des risques, des mesures devront à prendre :</w:t>
      </w:r>
    </w:p>
    <w:p w14:paraId="78129AFB" w14:textId="77777777" w:rsidR="00160FB0" w:rsidRPr="00FB04F6" w:rsidRDefault="00160FB0" w:rsidP="00160FB0">
      <w:pPr>
        <w:pStyle w:val="Paragraphedeliste"/>
        <w:numPr>
          <w:ilvl w:val="0"/>
          <w:numId w:val="233"/>
        </w:numPr>
        <w:suppressAutoHyphens/>
        <w:spacing w:before="240" w:beforeAutospacing="1" w:after="160" w:afterAutospacing="1" w:line="240" w:lineRule="auto"/>
        <w:jc w:val="both"/>
        <w:rPr>
          <w:rFonts w:cs="Calibri"/>
        </w:rPr>
      </w:pPr>
      <w:r w:rsidRPr="00FB04F6">
        <w:rPr>
          <w:rFonts w:cs="Calibri"/>
          <w:b/>
          <w:bCs/>
        </w:rPr>
        <w:t>Très faible risque</w:t>
      </w:r>
      <w:r w:rsidRPr="00FB04F6">
        <w:rPr>
          <w:rFonts w:cs="Calibri"/>
        </w:rPr>
        <w:t xml:space="preserve"> : Il faut continuer de surveiller le processus ;</w:t>
      </w:r>
    </w:p>
    <w:p w14:paraId="7CD07828" w14:textId="77777777" w:rsidR="00160FB0" w:rsidRPr="00FB04F6" w:rsidRDefault="00160FB0" w:rsidP="00160FB0">
      <w:pPr>
        <w:pStyle w:val="Paragraphedeliste"/>
        <w:numPr>
          <w:ilvl w:val="0"/>
          <w:numId w:val="233"/>
        </w:numPr>
        <w:suppressAutoHyphens/>
        <w:spacing w:before="240" w:beforeAutospacing="1" w:after="160" w:afterAutospacing="1" w:line="240" w:lineRule="auto"/>
        <w:jc w:val="both"/>
        <w:rPr>
          <w:rFonts w:cs="Calibri"/>
        </w:rPr>
      </w:pPr>
      <w:r w:rsidRPr="00FB04F6">
        <w:rPr>
          <w:rFonts w:cs="Calibri"/>
          <w:b/>
          <w:bCs/>
        </w:rPr>
        <w:t>Faible risque</w:t>
      </w:r>
      <w:r w:rsidRPr="00FB04F6">
        <w:rPr>
          <w:rFonts w:cs="Calibri"/>
        </w:rPr>
        <w:t xml:space="preserve"> : faire une surveillance régulière de l’impact. Il est aussi conseillé d'envisager la mise en œuvre d'un plan de maîtrise des risques.</w:t>
      </w:r>
    </w:p>
    <w:p w14:paraId="649E82CD" w14:textId="77777777" w:rsidR="00160FB0" w:rsidRPr="00FB04F6" w:rsidRDefault="00160FB0" w:rsidP="00160FB0">
      <w:pPr>
        <w:pStyle w:val="Paragraphedeliste"/>
        <w:numPr>
          <w:ilvl w:val="0"/>
          <w:numId w:val="233"/>
        </w:numPr>
        <w:suppressAutoHyphens/>
        <w:spacing w:before="240" w:beforeAutospacing="1" w:after="160" w:afterAutospacing="1" w:line="240" w:lineRule="auto"/>
        <w:jc w:val="both"/>
        <w:rPr>
          <w:rFonts w:cs="Calibri"/>
        </w:rPr>
      </w:pPr>
      <w:r w:rsidRPr="00FB04F6">
        <w:rPr>
          <w:rFonts w:cs="Calibri"/>
          <w:b/>
          <w:bCs/>
        </w:rPr>
        <w:t>Risque moyen</w:t>
      </w:r>
      <w:r w:rsidRPr="00FB04F6">
        <w:rPr>
          <w:rFonts w:cs="Calibri"/>
        </w:rPr>
        <w:t xml:space="preserve"> : élaborer et mettre en œuvre un plan de maîtrise des risques dès que possible ;</w:t>
      </w:r>
    </w:p>
    <w:p w14:paraId="300CDE72" w14:textId="77777777" w:rsidR="00160FB0" w:rsidRPr="00FB04F6" w:rsidRDefault="00160FB0" w:rsidP="00160FB0">
      <w:pPr>
        <w:pStyle w:val="Paragraphedeliste"/>
        <w:numPr>
          <w:ilvl w:val="0"/>
          <w:numId w:val="233"/>
        </w:numPr>
        <w:suppressAutoHyphens/>
        <w:spacing w:before="240" w:beforeAutospacing="1" w:after="160" w:afterAutospacing="1" w:line="240" w:lineRule="auto"/>
        <w:jc w:val="both"/>
        <w:rPr>
          <w:rFonts w:cs="Calibri"/>
        </w:rPr>
      </w:pPr>
      <w:r w:rsidRPr="00FB04F6">
        <w:rPr>
          <w:rFonts w:cs="Calibri"/>
          <w:b/>
          <w:bCs/>
        </w:rPr>
        <w:t>Risque élevé</w:t>
      </w:r>
      <w:r w:rsidRPr="00FB04F6">
        <w:rPr>
          <w:rFonts w:cs="Calibri"/>
        </w:rPr>
        <w:t xml:space="preserve"> : mettre en place immédiatement des mesures de maîtrise des risques.</w:t>
      </w:r>
    </w:p>
    <w:p w14:paraId="78BE8B6F" w14:textId="77777777" w:rsidR="00160FB0" w:rsidRDefault="00160FB0" w:rsidP="00160FB0">
      <w:pPr>
        <w:pStyle w:val="Paragraphedeliste"/>
        <w:numPr>
          <w:ilvl w:val="0"/>
          <w:numId w:val="233"/>
        </w:numPr>
        <w:suppressAutoHyphens/>
        <w:spacing w:before="240" w:beforeAutospacing="1" w:after="160" w:afterAutospacing="1" w:line="240" w:lineRule="auto"/>
        <w:jc w:val="both"/>
      </w:pPr>
      <w:r w:rsidRPr="00FB04F6">
        <w:rPr>
          <w:rFonts w:cs="Calibri"/>
          <w:b/>
          <w:bCs/>
        </w:rPr>
        <w:t>Danger immédiat</w:t>
      </w:r>
      <w:r w:rsidRPr="00FB04F6">
        <w:rPr>
          <w:rFonts w:cs="Calibri"/>
        </w:rPr>
        <w:t xml:space="preserve"> : Il faut interrompre l’activité source d’impact et mettre en place des mesures de maîtrise des risques.</w:t>
      </w:r>
    </w:p>
    <w:p w14:paraId="40F8213A" w14:textId="77777777" w:rsidR="0039047D" w:rsidRPr="009E6BA4" w:rsidRDefault="0039047D" w:rsidP="0044500E">
      <w:pPr>
        <w:pStyle w:val="TIT3"/>
        <w:numPr>
          <w:ilvl w:val="2"/>
          <w:numId w:val="177"/>
        </w:numPr>
      </w:pPr>
      <w:bookmarkStart w:id="825" w:name="_Toc124314734"/>
      <w:bookmarkStart w:id="826" w:name="_Toc124956217"/>
      <w:bookmarkStart w:id="827" w:name="_Toc125384612"/>
      <w:bookmarkStart w:id="828" w:name="_Toc125385001"/>
      <w:bookmarkStart w:id="829" w:name="_Toc127957674"/>
      <w:r w:rsidRPr="009E6BA4">
        <w:t>Principales sources d’activités des impacts</w:t>
      </w:r>
      <w:bookmarkEnd w:id="825"/>
      <w:bookmarkEnd w:id="826"/>
      <w:bookmarkEnd w:id="827"/>
      <w:bookmarkEnd w:id="828"/>
      <w:bookmarkEnd w:id="829"/>
      <w:r w:rsidRPr="009E6BA4">
        <w:t xml:space="preserve"> </w:t>
      </w:r>
    </w:p>
    <w:p w14:paraId="0A1F8A50" w14:textId="77777777" w:rsidR="0090044A" w:rsidRPr="0090044A" w:rsidRDefault="0090044A" w:rsidP="0044500E">
      <w:pPr>
        <w:pStyle w:val="TIT40"/>
        <w:numPr>
          <w:ilvl w:val="3"/>
          <w:numId w:val="177"/>
        </w:numPr>
        <w:outlineLvl w:val="3"/>
      </w:pPr>
      <w:bookmarkStart w:id="830" w:name="_Toc124312751"/>
      <w:bookmarkStart w:id="831" w:name="_Toc124314735"/>
      <w:bookmarkStart w:id="832" w:name="_Toc124956218"/>
      <w:bookmarkStart w:id="833" w:name="_Toc125384613"/>
      <w:bookmarkStart w:id="834" w:name="_Toc125385002"/>
      <w:bookmarkStart w:id="835" w:name="_Toc127957675"/>
      <w:bookmarkEnd w:id="830"/>
      <w:r w:rsidRPr="0090044A">
        <w:t>En Phase Préparatoire et Construction</w:t>
      </w:r>
      <w:bookmarkEnd w:id="831"/>
      <w:bookmarkEnd w:id="832"/>
      <w:bookmarkEnd w:id="833"/>
      <w:bookmarkEnd w:id="834"/>
      <w:bookmarkEnd w:id="835"/>
    </w:p>
    <w:p w14:paraId="7709C32D" w14:textId="77777777" w:rsidR="0090044A" w:rsidRPr="00B533DC" w:rsidRDefault="0090044A" w:rsidP="00687DD2">
      <w:pPr>
        <w:pStyle w:val="Listecouleur-Accent11"/>
        <w:numPr>
          <w:ilvl w:val="0"/>
          <w:numId w:val="83"/>
        </w:numPr>
        <w:spacing w:before="280" w:after="280"/>
        <w:rPr>
          <w:b/>
        </w:rPr>
      </w:pPr>
      <w:r w:rsidRPr="00B533DC">
        <w:rPr>
          <w:b/>
        </w:rPr>
        <w:t xml:space="preserve">Libération de l’emprise : </w:t>
      </w:r>
    </w:p>
    <w:p w14:paraId="4C918451" w14:textId="77777777" w:rsidR="0090044A" w:rsidRPr="0090044A" w:rsidRDefault="0090044A" w:rsidP="0090044A">
      <w:pPr>
        <w:tabs>
          <w:tab w:val="left" w:pos="709"/>
        </w:tabs>
        <w:spacing w:after="0" w:line="240" w:lineRule="auto"/>
        <w:jc w:val="both"/>
        <w:rPr>
          <w:rFonts w:ascii="Arial" w:hAnsi="Arial" w:cs="Arial"/>
        </w:rPr>
      </w:pPr>
      <w:r w:rsidRPr="0090044A">
        <w:rPr>
          <w:rFonts w:ascii="Arial" w:hAnsi="Arial" w:cs="Arial"/>
        </w:rPr>
        <w:t>La libération de l’emprise foncière concerne le barrage hydroélectrique, la centrale PV, le site de stockage</w:t>
      </w:r>
      <w:r w:rsidR="008E6A0F">
        <w:rPr>
          <w:rFonts w:ascii="Arial" w:hAnsi="Arial" w:cs="Arial"/>
        </w:rPr>
        <w:t xml:space="preserve">, </w:t>
      </w:r>
      <w:r w:rsidR="008E6A0F" w:rsidRPr="00F01166">
        <w:rPr>
          <w:rFonts w:ascii="Arial" w:hAnsi="Arial" w:cs="Arial"/>
        </w:rPr>
        <w:t>l</w:t>
      </w:r>
      <w:r w:rsidR="00F13988" w:rsidRPr="00F01166">
        <w:rPr>
          <w:rFonts w:ascii="Arial" w:hAnsi="Arial" w:cs="Arial"/>
        </w:rPr>
        <w:t>a</w:t>
      </w:r>
      <w:r w:rsidR="008E6A0F" w:rsidRPr="00F01166">
        <w:rPr>
          <w:rFonts w:ascii="Arial" w:hAnsi="Arial" w:cs="Arial"/>
        </w:rPr>
        <w:t xml:space="preserve"> tour cellulaire</w:t>
      </w:r>
      <w:r w:rsidRPr="0090044A">
        <w:rPr>
          <w:rFonts w:ascii="Arial" w:hAnsi="Arial" w:cs="Arial"/>
        </w:rPr>
        <w:t xml:space="preserve"> et le tracé du transport et de distribution de l’énergie. Elle peut être contraignante selon la tenure et le statut d’occupation du foncier. Elle consiste à enlever les occupations humaines ou à faire des décapages /débroussaillages du terrain, et peut comprendre des pertes de terrains, des pertes de cultures ou des végétations existantes et des activités économiques. </w:t>
      </w:r>
    </w:p>
    <w:p w14:paraId="058DF1B8" w14:textId="77777777" w:rsidR="0090044A" w:rsidRPr="00B533DC" w:rsidRDefault="0090044A" w:rsidP="00687DD2">
      <w:pPr>
        <w:pStyle w:val="Listecouleur-Accent11"/>
        <w:numPr>
          <w:ilvl w:val="0"/>
          <w:numId w:val="83"/>
        </w:numPr>
        <w:spacing w:before="280" w:after="280"/>
        <w:rPr>
          <w:b/>
        </w:rPr>
      </w:pPr>
      <w:r w:rsidRPr="00B533DC">
        <w:rPr>
          <w:b/>
        </w:rPr>
        <w:t>Recrutement de la main d’œuvre locale et non locale :</w:t>
      </w:r>
    </w:p>
    <w:p w14:paraId="317ECE9A" w14:textId="77777777" w:rsidR="0090044A" w:rsidRPr="0090044A" w:rsidRDefault="0090044A" w:rsidP="0090044A">
      <w:pPr>
        <w:tabs>
          <w:tab w:val="left" w:pos="709"/>
        </w:tabs>
        <w:spacing w:after="0" w:line="240" w:lineRule="auto"/>
        <w:jc w:val="both"/>
        <w:rPr>
          <w:rFonts w:ascii="Arial" w:hAnsi="Arial" w:cs="Arial"/>
        </w:rPr>
      </w:pPr>
      <w:r w:rsidRPr="0090044A">
        <w:rPr>
          <w:rFonts w:ascii="Arial" w:hAnsi="Arial" w:cs="Arial"/>
        </w:rPr>
        <w:t xml:space="preserve">La main d’œuvre peut être temporaire ou permanente. Lorsqu’elle est temporaire, la main d’œuvre locale non qualifiée peut être nombreuse. Il est possible aussi de requérir à une main d’œuvre féminine locale, selon les nécessités des tâches spécifiques. Les affluences de non-locaux ainsi que la cohabitation entre femmes-hommes et avec les locaux peuvent occasionner des frictions voire des agressions verbales, physiques du fait de l’ignorance des mœurs ainsi que </w:t>
      </w:r>
      <w:r w:rsidR="00E423A8">
        <w:rPr>
          <w:rFonts w:ascii="Arial" w:hAnsi="Arial" w:cs="Arial"/>
        </w:rPr>
        <w:t xml:space="preserve">la </w:t>
      </w:r>
      <w:r w:rsidR="00067C78">
        <w:rPr>
          <w:rFonts w:ascii="Arial" w:hAnsi="Arial" w:cs="Arial"/>
        </w:rPr>
        <w:t>méconnaissance</w:t>
      </w:r>
      <w:r w:rsidR="00E423A8">
        <w:rPr>
          <w:rFonts w:ascii="Arial" w:hAnsi="Arial" w:cs="Arial"/>
        </w:rPr>
        <w:t xml:space="preserve"> de </w:t>
      </w:r>
      <w:r w:rsidRPr="0090044A">
        <w:rPr>
          <w:rFonts w:ascii="Arial" w:hAnsi="Arial" w:cs="Arial"/>
        </w:rPr>
        <w:t>la culture locale.</w:t>
      </w:r>
    </w:p>
    <w:p w14:paraId="68C8AA9B" w14:textId="77777777" w:rsidR="0090044A" w:rsidRPr="00B533DC" w:rsidRDefault="0090044A" w:rsidP="00687DD2">
      <w:pPr>
        <w:pStyle w:val="Listecouleur-Accent11"/>
        <w:numPr>
          <w:ilvl w:val="0"/>
          <w:numId w:val="83"/>
        </w:numPr>
        <w:spacing w:before="280" w:after="280"/>
        <w:rPr>
          <w:b/>
        </w:rPr>
      </w:pPr>
      <w:r w:rsidRPr="00B533DC">
        <w:rPr>
          <w:b/>
        </w:rPr>
        <w:t>Installation de chantier et base vie :</w:t>
      </w:r>
    </w:p>
    <w:p w14:paraId="7545F324" w14:textId="77777777" w:rsidR="0090044A" w:rsidRPr="00742D67" w:rsidRDefault="0090044A" w:rsidP="0090044A">
      <w:pPr>
        <w:spacing w:after="0" w:line="240" w:lineRule="auto"/>
        <w:jc w:val="both"/>
        <w:rPr>
          <w:rFonts w:ascii="Arial" w:hAnsi="Arial" w:cs="Arial"/>
        </w:rPr>
      </w:pPr>
      <w:r w:rsidRPr="0090044A">
        <w:rPr>
          <w:rFonts w:ascii="Arial" w:hAnsi="Arial" w:cs="Arial"/>
        </w:rPr>
        <w:t xml:space="preserve">L’installation de la base-vie est indispensable, même si le chantier peut être de courte durée. La zone de base-vie est souvent située dans un endroit autre que l’emprise des travaux, après une concertation préalable avec les habitants, les autorités locales et l’entreprise. Elle est constituée principalement par des infrastructures légères de logement des travailleurs sur le chantier (vestiaires et latrines), </w:t>
      </w:r>
      <w:r w:rsidR="008E6A0F" w:rsidRPr="00742D67">
        <w:rPr>
          <w:rFonts w:ascii="Arial" w:hAnsi="Arial" w:cs="Arial"/>
        </w:rPr>
        <w:t xml:space="preserve">de bureaux, </w:t>
      </w:r>
      <w:r w:rsidRPr="00742D67">
        <w:rPr>
          <w:rFonts w:ascii="Arial" w:hAnsi="Arial" w:cs="Arial"/>
        </w:rPr>
        <w:t>une zone de circulation des engins et des véhicules entrants et sortants sur le chantier, aire d’entretien des véhicules, magasin, zones pour la décharge et le stockage des matériaux, ateliers et aire de préparation des matériaux de construction, zones de déchets d’accumulation de chantier</w:t>
      </w:r>
      <w:r w:rsidR="00F13988">
        <w:rPr>
          <w:rFonts w:ascii="Arial" w:hAnsi="Arial" w:cs="Arial"/>
        </w:rPr>
        <w:t xml:space="preserve"> </w:t>
      </w:r>
      <w:r w:rsidR="008E6A0F" w:rsidRPr="00742D67">
        <w:rPr>
          <w:rFonts w:ascii="Arial" w:hAnsi="Arial" w:cs="Arial"/>
        </w:rPr>
        <w:t xml:space="preserve">et de zone de préfabrication des matériaux/équipement et laboratoire. </w:t>
      </w:r>
    </w:p>
    <w:p w14:paraId="178DAF6E" w14:textId="77777777" w:rsidR="0090044A" w:rsidRPr="00C725EA" w:rsidRDefault="0090044A" w:rsidP="00687DD2">
      <w:pPr>
        <w:pStyle w:val="Listecouleur-Accent11"/>
        <w:numPr>
          <w:ilvl w:val="0"/>
          <w:numId w:val="83"/>
        </w:numPr>
        <w:spacing w:before="280" w:after="280"/>
        <w:rPr>
          <w:b/>
        </w:rPr>
      </w:pPr>
      <w:r w:rsidRPr="00C725EA">
        <w:rPr>
          <w:b/>
        </w:rPr>
        <w:t xml:space="preserve">Préparation du terrain : débroussaillage, terrassements </w:t>
      </w:r>
    </w:p>
    <w:p w14:paraId="318FD279" w14:textId="77777777" w:rsidR="0090044A" w:rsidRDefault="0090044A" w:rsidP="0090044A">
      <w:pPr>
        <w:spacing w:after="0" w:line="240" w:lineRule="auto"/>
        <w:jc w:val="both"/>
        <w:rPr>
          <w:rFonts w:ascii="Arial" w:hAnsi="Arial" w:cs="Arial"/>
        </w:rPr>
      </w:pPr>
      <w:r w:rsidRPr="0090044A">
        <w:rPr>
          <w:rFonts w:ascii="Arial" w:hAnsi="Arial" w:cs="Arial"/>
        </w:rPr>
        <w:t>Pour la construction des ouvrages, les travaux de débroussaillage, de terrassement sont nécessaires. Ces activités ont pour conséquence la modification du terrain naturel. Le terrassement peut s’accompagner de décapage de la végétation sur les terrains. Les travaux consistent au décapage en surface, à l’excavation et au blindage des fouilles pour les trous pour les fondations</w:t>
      </w:r>
      <w:r w:rsidR="00145FBE">
        <w:rPr>
          <w:rFonts w:ascii="Arial" w:hAnsi="Arial" w:cs="Arial"/>
        </w:rPr>
        <w:t>.</w:t>
      </w:r>
    </w:p>
    <w:p w14:paraId="758A38AE" w14:textId="77777777" w:rsidR="00145FBE" w:rsidRPr="0090044A" w:rsidRDefault="00145FBE" w:rsidP="0090044A">
      <w:pPr>
        <w:spacing w:after="0" w:line="240" w:lineRule="auto"/>
        <w:jc w:val="both"/>
        <w:rPr>
          <w:rFonts w:ascii="Arial" w:hAnsi="Arial" w:cs="Arial"/>
        </w:rPr>
      </w:pPr>
    </w:p>
    <w:p w14:paraId="52AD6B6A" w14:textId="77777777" w:rsidR="0090044A" w:rsidRPr="0090044A" w:rsidRDefault="0090044A" w:rsidP="0090044A">
      <w:pPr>
        <w:spacing w:after="0" w:line="240" w:lineRule="auto"/>
        <w:jc w:val="both"/>
        <w:rPr>
          <w:rFonts w:ascii="Arial" w:hAnsi="Arial" w:cs="Arial"/>
        </w:rPr>
      </w:pPr>
      <w:r w:rsidRPr="0090044A">
        <w:rPr>
          <w:rFonts w:ascii="Arial" w:hAnsi="Arial" w:cs="Arial"/>
        </w:rPr>
        <w:t>Selon l’ampleur des travaux consistant les sous-projets, l’usage des engins de terrassement peut être requis. Il y a également l’acheminement des divers matériels et matériaux vers le site du chantier</w:t>
      </w:r>
      <w:r w:rsidR="0063283F">
        <w:rPr>
          <w:rFonts w:ascii="Arial" w:hAnsi="Arial" w:cs="Arial"/>
        </w:rPr>
        <w:t> :</w:t>
      </w:r>
      <w:r w:rsidRPr="0090044A">
        <w:rPr>
          <w:rFonts w:ascii="Arial" w:hAnsi="Arial" w:cs="Arial"/>
        </w:rPr>
        <w:t xml:space="preserve"> construction des locaux et autres aménagement</w:t>
      </w:r>
      <w:r w:rsidR="0063283F">
        <w:rPr>
          <w:rFonts w:ascii="Arial" w:hAnsi="Arial" w:cs="Arial"/>
        </w:rPr>
        <w:t>s</w:t>
      </w:r>
      <w:r w:rsidRPr="0090044A">
        <w:rPr>
          <w:rFonts w:ascii="Arial" w:hAnsi="Arial" w:cs="Arial"/>
        </w:rPr>
        <w:t>, sécurisation du site.</w:t>
      </w:r>
    </w:p>
    <w:p w14:paraId="61FE9341" w14:textId="77777777" w:rsidR="0090044A" w:rsidRPr="00977157" w:rsidRDefault="0090044A" w:rsidP="00687DD2">
      <w:pPr>
        <w:pStyle w:val="Listecouleur-Accent11"/>
        <w:numPr>
          <w:ilvl w:val="0"/>
          <w:numId w:val="83"/>
        </w:numPr>
        <w:spacing w:before="120" w:after="120"/>
        <w:ind w:left="714" w:hanging="357"/>
        <w:rPr>
          <w:b/>
        </w:rPr>
      </w:pPr>
      <w:r w:rsidRPr="00977157">
        <w:rPr>
          <w:b/>
        </w:rPr>
        <w:t>Exploitation de gisements rocheux et de sable</w:t>
      </w:r>
    </w:p>
    <w:p w14:paraId="7E6404F8" w14:textId="77777777" w:rsidR="0090044A" w:rsidRDefault="0090044A" w:rsidP="00145FBE">
      <w:pPr>
        <w:spacing w:after="0" w:line="240" w:lineRule="auto"/>
        <w:jc w:val="both"/>
        <w:rPr>
          <w:rFonts w:ascii="Arial" w:hAnsi="Arial" w:cs="Arial"/>
        </w:rPr>
      </w:pPr>
      <w:r w:rsidRPr="0090044A">
        <w:rPr>
          <w:rFonts w:ascii="Arial" w:hAnsi="Arial" w:cs="Arial"/>
        </w:rPr>
        <w:t>Les matériaux de construction peuvent provenir des gisements et de carrières déjà exploités à proximité des chantiers. Si les carrières identifiées se trouvent très éloignées du chantier, on exploitera les ressources sur des terrains disponibles, à l’écart des habitations. Ces activités d’extractions peuvent entraîner des perturbations sur le milieu environnant, notamment la perte de couverture végétale ainsi de la faune mais également de la pollution des eaux par l’entraînement des particules issus des activités d’extraction. Des risques d’érosion sont également à prévoir pendant et après l’extraction.</w:t>
      </w:r>
    </w:p>
    <w:p w14:paraId="5E1F8E8F" w14:textId="77777777" w:rsidR="00312FE9" w:rsidRDefault="00312FE9" w:rsidP="00B434A6">
      <w:pPr>
        <w:pStyle w:val="Listecouleur-Accent11"/>
        <w:numPr>
          <w:ilvl w:val="0"/>
          <w:numId w:val="83"/>
        </w:numPr>
        <w:spacing w:before="280" w:after="280"/>
        <w:rPr>
          <w:b/>
        </w:rPr>
      </w:pPr>
      <w:r w:rsidRPr="00B434A6">
        <w:rPr>
          <w:b/>
        </w:rPr>
        <w:t xml:space="preserve">Préparation et installation </w:t>
      </w:r>
      <w:r w:rsidRPr="00742D67">
        <w:rPr>
          <w:b/>
        </w:rPr>
        <w:t>de différentes infrastructures</w:t>
      </w:r>
      <w:r w:rsidRPr="00B434A6">
        <w:rPr>
          <w:b/>
        </w:rPr>
        <w:t xml:space="preserve"> </w:t>
      </w:r>
    </w:p>
    <w:p w14:paraId="7BACF683" w14:textId="77777777" w:rsidR="00312FE9" w:rsidRDefault="00312FE9" w:rsidP="00B434A6">
      <w:pPr>
        <w:pStyle w:val="Listecouleur-Accent11"/>
        <w:spacing w:before="280" w:after="280"/>
        <w:ind w:left="0"/>
        <w:rPr>
          <w:rFonts w:ascii="Arial" w:hAnsi="Arial" w:cs="Arial"/>
        </w:rPr>
      </w:pPr>
    </w:p>
    <w:p w14:paraId="3579F561" w14:textId="77777777" w:rsidR="00312FE9" w:rsidRPr="00312FE9" w:rsidRDefault="00312FE9" w:rsidP="00B434A6">
      <w:pPr>
        <w:pStyle w:val="Listecouleur-Accent11"/>
        <w:spacing w:before="280" w:after="280"/>
        <w:ind w:left="0"/>
        <w:rPr>
          <w:rFonts w:ascii="Arial" w:hAnsi="Arial" w:cs="Arial"/>
        </w:rPr>
      </w:pPr>
      <w:r>
        <w:rPr>
          <w:rFonts w:ascii="Arial" w:eastAsia="Calibri" w:hAnsi="Arial" w:cs="Arial"/>
          <w:lang w:eastAsia="en-US"/>
        </w:rPr>
        <w:t xml:space="preserve">Cette activité consiste à </w:t>
      </w:r>
    </w:p>
    <w:p w14:paraId="22C75265" w14:textId="77777777" w:rsidR="0090044A" w:rsidRPr="00423C6E" w:rsidRDefault="00312FE9" w:rsidP="00423C6E">
      <w:pPr>
        <w:pStyle w:val="Listecouleur-Accent11"/>
        <w:numPr>
          <w:ilvl w:val="1"/>
          <w:numId w:val="83"/>
        </w:numPr>
        <w:spacing w:before="280"/>
        <w:rPr>
          <w:rFonts w:ascii="Arial" w:hAnsi="Arial" w:cs="Arial"/>
        </w:rPr>
      </w:pPr>
      <w:r w:rsidRPr="00B434A6">
        <w:rPr>
          <w:rFonts w:ascii="Arial" w:hAnsi="Arial" w:cs="Arial"/>
        </w:rPr>
        <w:t>Prépar</w:t>
      </w:r>
      <w:r w:rsidRPr="00423C6E">
        <w:rPr>
          <w:rFonts w:ascii="Arial" w:hAnsi="Arial" w:cs="Arial"/>
        </w:rPr>
        <w:t>er</w:t>
      </w:r>
      <w:r w:rsidRPr="00B434A6">
        <w:rPr>
          <w:rFonts w:ascii="Arial" w:hAnsi="Arial" w:cs="Arial"/>
        </w:rPr>
        <w:t xml:space="preserve"> </w:t>
      </w:r>
      <w:r w:rsidR="0090044A" w:rsidRPr="00B434A6">
        <w:rPr>
          <w:rFonts w:ascii="Arial" w:hAnsi="Arial" w:cs="Arial"/>
        </w:rPr>
        <w:t xml:space="preserve">et </w:t>
      </w:r>
      <w:r w:rsidRPr="00B434A6">
        <w:rPr>
          <w:rFonts w:ascii="Arial" w:hAnsi="Arial" w:cs="Arial"/>
        </w:rPr>
        <w:t>install</w:t>
      </w:r>
      <w:r w:rsidRPr="00423C6E">
        <w:rPr>
          <w:rFonts w:ascii="Arial" w:hAnsi="Arial" w:cs="Arial"/>
        </w:rPr>
        <w:t>er</w:t>
      </w:r>
      <w:r w:rsidRPr="00B434A6">
        <w:rPr>
          <w:rFonts w:ascii="Arial" w:hAnsi="Arial" w:cs="Arial"/>
        </w:rPr>
        <w:t xml:space="preserve"> </w:t>
      </w:r>
      <w:r w:rsidRPr="00423C6E">
        <w:rPr>
          <w:rFonts w:ascii="Arial" w:hAnsi="Arial" w:cs="Arial"/>
        </w:rPr>
        <w:t>les</w:t>
      </w:r>
      <w:r w:rsidRPr="00B434A6">
        <w:rPr>
          <w:rFonts w:ascii="Arial" w:hAnsi="Arial" w:cs="Arial"/>
        </w:rPr>
        <w:t xml:space="preserve"> </w:t>
      </w:r>
      <w:r w:rsidR="0090044A" w:rsidRPr="00B434A6">
        <w:rPr>
          <w:rFonts w:ascii="Arial" w:hAnsi="Arial" w:cs="Arial"/>
        </w:rPr>
        <w:t xml:space="preserve">PV </w:t>
      </w:r>
      <w:r w:rsidR="000F2C0E">
        <w:rPr>
          <w:rFonts w:ascii="Arial" w:hAnsi="Arial" w:cs="Arial"/>
        </w:rPr>
        <w:t xml:space="preserve">solaires </w:t>
      </w:r>
      <w:r w:rsidR="0090044A" w:rsidRPr="00B434A6">
        <w:rPr>
          <w:rFonts w:ascii="Arial" w:hAnsi="Arial" w:cs="Arial"/>
        </w:rPr>
        <w:t xml:space="preserve">et </w:t>
      </w:r>
      <w:r w:rsidR="00824B1B">
        <w:rPr>
          <w:rFonts w:ascii="Arial" w:hAnsi="Arial" w:cs="Arial"/>
        </w:rPr>
        <w:t>le</w:t>
      </w:r>
      <w:r w:rsidR="0090044A" w:rsidRPr="00B434A6">
        <w:rPr>
          <w:rFonts w:ascii="Arial" w:hAnsi="Arial" w:cs="Arial"/>
        </w:rPr>
        <w:t xml:space="preserve"> centre de </w:t>
      </w:r>
      <w:r w:rsidR="0090044A" w:rsidRPr="00423C6E">
        <w:rPr>
          <w:rFonts w:ascii="Arial" w:hAnsi="Arial" w:cs="Arial"/>
        </w:rPr>
        <w:t>stockage</w:t>
      </w:r>
      <w:r w:rsidRPr="00423C6E">
        <w:rPr>
          <w:rFonts w:ascii="Arial" w:hAnsi="Arial" w:cs="Arial"/>
        </w:rPr>
        <w:t xml:space="preserve"> pour la centrale électrique solaire qui </w:t>
      </w:r>
      <w:r w:rsidR="0090044A" w:rsidRPr="00B434A6">
        <w:rPr>
          <w:rFonts w:ascii="Arial" w:hAnsi="Arial" w:cs="Arial"/>
        </w:rPr>
        <w:t>sera accompagnée du raccordement au réseau et des essais de fonctionnement</w:t>
      </w:r>
      <w:r w:rsidR="00423C6E">
        <w:rPr>
          <w:rFonts w:ascii="Arial" w:hAnsi="Arial" w:cs="Arial"/>
        </w:rPr>
        <w:t> ;</w:t>
      </w:r>
    </w:p>
    <w:p w14:paraId="53B0C375" w14:textId="77777777" w:rsidR="0090044A" w:rsidRPr="00423C6E" w:rsidRDefault="00312FE9" w:rsidP="00423C6E">
      <w:pPr>
        <w:pStyle w:val="Listecouleur-Accent11"/>
        <w:numPr>
          <w:ilvl w:val="1"/>
          <w:numId w:val="83"/>
        </w:numPr>
        <w:spacing w:before="280"/>
        <w:rPr>
          <w:rFonts w:ascii="Arial" w:hAnsi="Arial" w:cs="Arial"/>
        </w:rPr>
      </w:pPr>
      <w:r w:rsidRPr="00B434A6">
        <w:rPr>
          <w:rFonts w:ascii="Arial" w:hAnsi="Arial" w:cs="Arial"/>
        </w:rPr>
        <w:t>Prépar</w:t>
      </w:r>
      <w:r w:rsidRPr="00423C6E">
        <w:rPr>
          <w:rFonts w:ascii="Arial" w:hAnsi="Arial" w:cs="Arial"/>
        </w:rPr>
        <w:t>er</w:t>
      </w:r>
      <w:r w:rsidRPr="00B434A6">
        <w:rPr>
          <w:rFonts w:ascii="Arial" w:hAnsi="Arial" w:cs="Arial"/>
        </w:rPr>
        <w:t xml:space="preserve"> </w:t>
      </w:r>
      <w:r w:rsidR="0090044A" w:rsidRPr="00B434A6">
        <w:rPr>
          <w:rFonts w:ascii="Arial" w:hAnsi="Arial" w:cs="Arial"/>
        </w:rPr>
        <w:t xml:space="preserve">et </w:t>
      </w:r>
      <w:r w:rsidRPr="00B434A6">
        <w:rPr>
          <w:rFonts w:ascii="Arial" w:hAnsi="Arial" w:cs="Arial"/>
        </w:rPr>
        <w:t>install</w:t>
      </w:r>
      <w:r w:rsidRPr="00423C6E">
        <w:rPr>
          <w:rFonts w:ascii="Arial" w:hAnsi="Arial" w:cs="Arial"/>
        </w:rPr>
        <w:t>er</w:t>
      </w:r>
      <w:r w:rsidRPr="00B434A6">
        <w:rPr>
          <w:rFonts w:ascii="Arial" w:hAnsi="Arial" w:cs="Arial"/>
        </w:rPr>
        <w:t xml:space="preserve"> </w:t>
      </w:r>
      <w:r w:rsidR="0090044A" w:rsidRPr="00B434A6">
        <w:rPr>
          <w:rFonts w:ascii="Arial" w:hAnsi="Arial" w:cs="Arial"/>
        </w:rPr>
        <w:t>de pylône de télécommunication</w:t>
      </w:r>
      <w:r w:rsidRPr="00423C6E">
        <w:rPr>
          <w:rFonts w:ascii="Arial" w:hAnsi="Arial" w:cs="Arial"/>
        </w:rPr>
        <w:t xml:space="preserve"> pour l’infrastructure numérique suivi par des</w:t>
      </w:r>
      <w:r w:rsidR="00824B1B">
        <w:rPr>
          <w:rFonts w:ascii="Arial" w:hAnsi="Arial" w:cs="Arial"/>
        </w:rPr>
        <w:t xml:space="preserve"> </w:t>
      </w:r>
      <w:r w:rsidR="0090044A" w:rsidRPr="00423C6E">
        <w:rPr>
          <w:rFonts w:ascii="Arial" w:hAnsi="Arial" w:cs="Arial"/>
        </w:rPr>
        <w:t>essai</w:t>
      </w:r>
      <w:r w:rsidRPr="00423C6E">
        <w:rPr>
          <w:rFonts w:ascii="Arial" w:hAnsi="Arial" w:cs="Arial"/>
        </w:rPr>
        <w:t>s</w:t>
      </w:r>
      <w:r w:rsidR="0090044A" w:rsidRPr="00423C6E">
        <w:rPr>
          <w:rFonts w:ascii="Arial" w:hAnsi="Arial" w:cs="Arial"/>
        </w:rPr>
        <w:t xml:space="preserve"> technique</w:t>
      </w:r>
      <w:r w:rsidRPr="00423C6E">
        <w:rPr>
          <w:rFonts w:ascii="Arial" w:hAnsi="Arial" w:cs="Arial"/>
        </w:rPr>
        <w:t>s</w:t>
      </w:r>
      <w:r w:rsidR="0090044A" w:rsidRPr="00423C6E">
        <w:rPr>
          <w:rFonts w:ascii="Arial" w:hAnsi="Arial" w:cs="Arial"/>
        </w:rPr>
        <w:t xml:space="preserve"> de la fonctionnalité de l’infrastructure</w:t>
      </w:r>
      <w:r w:rsidR="00423C6E">
        <w:rPr>
          <w:rFonts w:ascii="Arial" w:hAnsi="Arial" w:cs="Arial"/>
        </w:rPr>
        <w:t> ;</w:t>
      </w:r>
    </w:p>
    <w:p w14:paraId="3F474661" w14:textId="77777777" w:rsidR="0090044A" w:rsidRPr="00423C6E" w:rsidRDefault="00E57DA1" w:rsidP="00423C6E">
      <w:pPr>
        <w:pStyle w:val="Listecouleur-Accent11"/>
        <w:numPr>
          <w:ilvl w:val="1"/>
          <w:numId w:val="83"/>
        </w:numPr>
        <w:spacing w:before="280"/>
        <w:rPr>
          <w:rFonts w:ascii="Arial" w:hAnsi="Arial" w:cs="Arial"/>
        </w:rPr>
      </w:pPr>
      <w:r w:rsidRPr="00B434A6">
        <w:rPr>
          <w:rFonts w:ascii="Arial" w:hAnsi="Arial" w:cs="Arial"/>
        </w:rPr>
        <w:t>Constr</w:t>
      </w:r>
      <w:r w:rsidRPr="00423C6E">
        <w:rPr>
          <w:rFonts w:ascii="Arial" w:hAnsi="Arial" w:cs="Arial"/>
        </w:rPr>
        <w:t>uire</w:t>
      </w:r>
      <w:r w:rsidRPr="00B434A6">
        <w:rPr>
          <w:rFonts w:ascii="Arial" w:hAnsi="Arial" w:cs="Arial"/>
        </w:rPr>
        <w:t xml:space="preserve"> </w:t>
      </w:r>
      <w:r w:rsidRPr="00423C6E">
        <w:rPr>
          <w:rFonts w:ascii="Arial" w:hAnsi="Arial" w:cs="Arial"/>
        </w:rPr>
        <w:t>le</w:t>
      </w:r>
      <w:r w:rsidRPr="00B434A6">
        <w:rPr>
          <w:rFonts w:ascii="Arial" w:hAnsi="Arial" w:cs="Arial"/>
        </w:rPr>
        <w:t xml:space="preserve"> </w:t>
      </w:r>
      <w:r w:rsidR="0090044A" w:rsidRPr="00B434A6">
        <w:rPr>
          <w:rFonts w:ascii="Arial" w:hAnsi="Arial" w:cs="Arial"/>
        </w:rPr>
        <w:t xml:space="preserve">barrage de dérivation et des ouvrages de production </w:t>
      </w:r>
      <w:r w:rsidR="0090044A" w:rsidRPr="00423C6E">
        <w:rPr>
          <w:rFonts w:ascii="Arial" w:hAnsi="Arial" w:cs="Arial"/>
        </w:rPr>
        <w:t>d’électricité</w:t>
      </w:r>
      <w:r w:rsidR="00312FE9" w:rsidRPr="00423C6E">
        <w:rPr>
          <w:rFonts w:ascii="Arial" w:hAnsi="Arial" w:cs="Arial"/>
        </w:rPr>
        <w:t xml:space="preserve"> </w:t>
      </w:r>
      <w:r w:rsidR="00423C6E" w:rsidRPr="00423C6E">
        <w:rPr>
          <w:rFonts w:ascii="Arial" w:hAnsi="Arial" w:cs="Arial"/>
        </w:rPr>
        <w:t>qui</w:t>
      </w:r>
      <w:r w:rsidR="00423C6E">
        <w:rPr>
          <w:rFonts w:ascii="Arial" w:hAnsi="Arial" w:cs="Arial"/>
        </w:rPr>
        <w:t xml:space="preserve"> sera </w:t>
      </w:r>
      <w:r w:rsidR="0090044A" w:rsidRPr="00423C6E">
        <w:rPr>
          <w:rFonts w:ascii="Arial" w:hAnsi="Arial" w:cs="Arial"/>
        </w:rPr>
        <w:t xml:space="preserve">accompagnée </w:t>
      </w:r>
      <w:r w:rsidR="00312FE9" w:rsidRPr="00B434A6">
        <w:rPr>
          <w:rFonts w:ascii="Arial" w:hAnsi="Arial" w:cs="Arial"/>
        </w:rPr>
        <w:t xml:space="preserve">par le </w:t>
      </w:r>
      <w:r w:rsidR="0090044A" w:rsidRPr="00B434A6">
        <w:rPr>
          <w:rFonts w:ascii="Arial" w:hAnsi="Arial" w:cs="Arial"/>
        </w:rPr>
        <w:t>raccordement au réseau et des essais de fonctionnement</w:t>
      </w:r>
      <w:r w:rsidR="00423C6E">
        <w:rPr>
          <w:rFonts w:ascii="Arial" w:hAnsi="Arial" w:cs="Arial"/>
        </w:rPr>
        <w:t>.</w:t>
      </w:r>
    </w:p>
    <w:p w14:paraId="2C63E024" w14:textId="77777777" w:rsidR="0090044A" w:rsidRDefault="0090044A" w:rsidP="00F01166">
      <w:pPr>
        <w:spacing w:after="0"/>
      </w:pPr>
    </w:p>
    <w:p w14:paraId="0E9A83F2" w14:textId="77777777" w:rsidR="0090044A" w:rsidRPr="007226F2" w:rsidRDefault="0090044A" w:rsidP="00F01166">
      <w:pPr>
        <w:pStyle w:val="Listecouleur-Accent11"/>
        <w:numPr>
          <w:ilvl w:val="0"/>
          <w:numId w:val="83"/>
        </w:numPr>
        <w:spacing w:after="240"/>
        <w:rPr>
          <w:b/>
        </w:rPr>
      </w:pPr>
      <w:r w:rsidRPr="007226F2">
        <w:rPr>
          <w:b/>
        </w:rPr>
        <w:t>Sécurisation du site</w:t>
      </w:r>
    </w:p>
    <w:p w14:paraId="58C49D99" w14:textId="77777777" w:rsidR="00312FE9" w:rsidRPr="0090044A" w:rsidRDefault="0090044A" w:rsidP="0090044A">
      <w:pPr>
        <w:spacing w:after="0" w:line="240" w:lineRule="auto"/>
        <w:jc w:val="both"/>
        <w:rPr>
          <w:rFonts w:ascii="Arial" w:hAnsi="Arial" w:cs="Arial"/>
        </w:rPr>
      </w:pPr>
      <w:r w:rsidRPr="0090044A">
        <w:rPr>
          <w:rFonts w:ascii="Arial" w:hAnsi="Arial" w:cs="Arial"/>
        </w:rPr>
        <w:t>Elle consiste en la mise en place de clôture autour de la base vie et du site de chantier/terrain pour le parc PV /</w:t>
      </w:r>
      <w:r w:rsidR="0008399D">
        <w:rPr>
          <w:rFonts w:ascii="Arial" w:hAnsi="Arial" w:cs="Arial"/>
        </w:rPr>
        <w:t xml:space="preserve"> </w:t>
      </w:r>
      <w:r w:rsidRPr="0090044A">
        <w:rPr>
          <w:rFonts w:ascii="Arial" w:hAnsi="Arial" w:cs="Arial"/>
        </w:rPr>
        <w:t>stockage mais également pour l’aire d’installation du pylône de télécommunication. Il y a d’autre part l’installation de poste de contrôle à l’entrée du site. Ceci afin de restreindre l’accès au site de chantier aux seuls employés du chantier et éviter ainsi des risques d’accidents et autres désagréments liés à l’intrusion de personnes étrangères au chantier et aux sites d’installation.</w:t>
      </w:r>
    </w:p>
    <w:p w14:paraId="09DEE9C0" w14:textId="77777777" w:rsidR="0090044A" w:rsidRPr="0090044A" w:rsidRDefault="0090044A" w:rsidP="0044500E">
      <w:pPr>
        <w:pStyle w:val="TIT40"/>
        <w:numPr>
          <w:ilvl w:val="3"/>
          <w:numId w:val="177"/>
        </w:numPr>
        <w:outlineLvl w:val="3"/>
      </w:pPr>
      <w:bookmarkStart w:id="836" w:name="_Toc100755453"/>
      <w:bookmarkStart w:id="837" w:name="_Toc124314736"/>
      <w:bookmarkStart w:id="838" w:name="_Toc124956219"/>
      <w:bookmarkStart w:id="839" w:name="_Toc125384614"/>
      <w:bookmarkStart w:id="840" w:name="_Toc125385003"/>
      <w:bookmarkStart w:id="841" w:name="_Toc127957676"/>
      <w:r w:rsidRPr="0090044A">
        <w:t>Repli de chantier</w:t>
      </w:r>
      <w:bookmarkEnd w:id="836"/>
      <w:bookmarkEnd w:id="837"/>
      <w:bookmarkEnd w:id="838"/>
      <w:bookmarkEnd w:id="839"/>
      <w:bookmarkEnd w:id="840"/>
      <w:bookmarkEnd w:id="841"/>
    </w:p>
    <w:p w14:paraId="47BA2532" w14:textId="77777777" w:rsidR="0090044A" w:rsidRPr="0090044A" w:rsidRDefault="0090044A" w:rsidP="0090044A">
      <w:pPr>
        <w:spacing w:after="0" w:line="240" w:lineRule="auto"/>
        <w:jc w:val="both"/>
        <w:rPr>
          <w:rFonts w:ascii="Arial" w:hAnsi="Arial" w:cs="Arial"/>
        </w:rPr>
      </w:pPr>
      <w:r w:rsidRPr="0090044A">
        <w:rPr>
          <w:rFonts w:ascii="Arial" w:hAnsi="Arial" w:cs="Arial"/>
        </w:rPr>
        <w:t>Il s’agit de démonter toutes installations temporaires et du retrait des engins de chantier.</w:t>
      </w:r>
    </w:p>
    <w:p w14:paraId="4B31BCB7" w14:textId="77777777" w:rsidR="0090044A" w:rsidRPr="0090044A" w:rsidRDefault="0090044A" w:rsidP="0044500E">
      <w:pPr>
        <w:pStyle w:val="TIT40"/>
        <w:numPr>
          <w:ilvl w:val="3"/>
          <w:numId w:val="177"/>
        </w:numPr>
        <w:outlineLvl w:val="3"/>
      </w:pPr>
      <w:bookmarkStart w:id="842" w:name="_Toc98192335"/>
      <w:bookmarkStart w:id="843" w:name="_Toc100755454"/>
      <w:bookmarkStart w:id="844" w:name="_Toc124314737"/>
      <w:bookmarkStart w:id="845" w:name="_Toc124956220"/>
      <w:bookmarkStart w:id="846" w:name="_Toc125384615"/>
      <w:bookmarkStart w:id="847" w:name="_Toc125385004"/>
      <w:bookmarkStart w:id="848" w:name="_Toc127957677"/>
      <w:r w:rsidRPr="0090044A">
        <w:t>Phase d’Exploitation</w:t>
      </w:r>
      <w:bookmarkEnd w:id="842"/>
      <w:bookmarkEnd w:id="843"/>
      <w:bookmarkEnd w:id="844"/>
      <w:bookmarkEnd w:id="845"/>
      <w:bookmarkEnd w:id="846"/>
      <w:bookmarkEnd w:id="847"/>
      <w:bookmarkEnd w:id="848"/>
    </w:p>
    <w:p w14:paraId="4E21923E" w14:textId="77777777" w:rsidR="0090044A" w:rsidRPr="0090044A" w:rsidRDefault="0090044A" w:rsidP="0090044A">
      <w:pPr>
        <w:spacing w:after="0" w:line="240" w:lineRule="auto"/>
        <w:jc w:val="both"/>
        <w:rPr>
          <w:rFonts w:ascii="Arial" w:hAnsi="Arial" w:cs="Arial"/>
        </w:rPr>
      </w:pPr>
      <w:r w:rsidRPr="0090044A">
        <w:rPr>
          <w:rFonts w:ascii="Arial" w:hAnsi="Arial" w:cs="Arial"/>
        </w:rPr>
        <w:t>A la fin du chantier de construction</w:t>
      </w:r>
      <w:r w:rsidR="0063283F">
        <w:rPr>
          <w:rFonts w:ascii="Arial" w:hAnsi="Arial" w:cs="Arial"/>
        </w:rPr>
        <w:t>,</w:t>
      </w:r>
      <w:r w:rsidRPr="0090044A">
        <w:rPr>
          <w:rFonts w:ascii="Arial" w:hAnsi="Arial" w:cs="Arial"/>
        </w:rPr>
        <w:t xml:space="preserve"> commence la phase d’exploitation des centrales</w:t>
      </w:r>
      <w:r w:rsidR="0063283F">
        <w:rPr>
          <w:rFonts w:ascii="Arial" w:hAnsi="Arial" w:cs="Arial"/>
        </w:rPr>
        <w:t>.</w:t>
      </w:r>
      <w:r w:rsidRPr="0090044A">
        <w:rPr>
          <w:rFonts w:ascii="Arial" w:hAnsi="Arial" w:cs="Arial"/>
        </w:rPr>
        <w:t xml:space="preserve"> </w:t>
      </w:r>
      <w:r w:rsidR="0063283F">
        <w:rPr>
          <w:rFonts w:ascii="Arial" w:hAnsi="Arial" w:cs="Arial"/>
        </w:rPr>
        <w:t>L</w:t>
      </w:r>
      <w:r w:rsidRPr="0090044A">
        <w:rPr>
          <w:rFonts w:ascii="Arial" w:hAnsi="Arial" w:cs="Arial"/>
        </w:rPr>
        <w:t>a consistance des travaux comprend la production d’électricité, l’entretien des infrastructures (barrages, conduites…), l’entretien des modules, la réparation et/ou remplacement des composantes défectueuses.</w:t>
      </w:r>
    </w:p>
    <w:p w14:paraId="78F44596" w14:textId="77777777" w:rsidR="0090044A" w:rsidRPr="0090044A" w:rsidRDefault="0090044A" w:rsidP="0044500E">
      <w:pPr>
        <w:pStyle w:val="TIT40"/>
        <w:numPr>
          <w:ilvl w:val="3"/>
          <w:numId w:val="177"/>
        </w:numPr>
        <w:outlineLvl w:val="3"/>
      </w:pPr>
      <w:bookmarkStart w:id="849" w:name="_Toc98192336"/>
      <w:bookmarkStart w:id="850" w:name="_Toc100755455"/>
      <w:bookmarkStart w:id="851" w:name="_Toc124314738"/>
      <w:bookmarkStart w:id="852" w:name="_Toc124956221"/>
      <w:bookmarkStart w:id="853" w:name="_Toc125384616"/>
      <w:bookmarkStart w:id="854" w:name="_Toc125385005"/>
      <w:bookmarkStart w:id="855" w:name="_Toc127957678"/>
      <w:r w:rsidRPr="0090044A">
        <w:t>Phase de Démantèlement</w:t>
      </w:r>
      <w:bookmarkEnd w:id="849"/>
      <w:bookmarkEnd w:id="850"/>
      <w:bookmarkEnd w:id="851"/>
      <w:bookmarkEnd w:id="852"/>
      <w:bookmarkEnd w:id="853"/>
      <w:bookmarkEnd w:id="854"/>
      <w:bookmarkEnd w:id="855"/>
    </w:p>
    <w:p w14:paraId="4E1E8F5E" w14:textId="77777777" w:rsidR="0090044A" w:rsidRPr="0090044A" w:rsidRDefault="0090044A" w:rsidP="0090044A">
      <w:pPr>
        <w:spacing w:after="0" w:line="240" w:lineRule="auto"/>
        <w:jc w:val="both"/>
        <w:rPr>
          <w:rFonts w:ascii="Arial" w:hAnsi="Arial" w:cs="Arial"/>
        </w:rPr>
      </w:pPr>
      <w:r w:rsidRPr="0090044A">
        <w:rPr>
          <w:rFonts w:ascii="Arial" w:hAnsi="Arial" w:cs="Arial"/>
        </w:rPr>
        <w:t>Elle concerne surtout les centrales PV. Les interventions à faire consistent au démantèlement des installations techniques, à l’évacuation des matériels et composantes hors du site, au nettoyage à fond du site.</w:t>
      </w:r>
    </w:p>
    <w:p w14:paraId="056ED701" w14:textId="77777777" w:rsidR="0039047D" w:rsidRDefault="0039047D"/>
    <w:p w14:paraId="083AEA47" w14:textId="77777777" w:rsidR="0039047D" w:rsidRPr="009E6BA4" w:rsidRDefault="0039047D" w:rsidP="0044500E">
      <w:pPr>
        <w:pStyle w:val="TIT3"/>
        <w:numPr>
          <w:ilvl w:val="2"/>
          <w:numId w:val="177"/>
        </w:numPr>
      </w:pPr>
      <w:bookmarkStart w:id="856" w:name="_Toc124314739"/>
      <w:bookmarkStart w:id="857" w:name="_Toc124956222"/>
      <w:bookmarkStart w:id="858" w:name="_Toc125384617"/>
      <w:bookmarkStart w:id="859" w:name="_Toc125385006"/>
      <w:bookmarkStart w:id="860" w:name="_Toc127957679"/>
      <w:r w:rsidRPr="009E6BA4">
        <w:t xml:space="preserve">Impacts positifs environnementaux </w:t>
      </w:r>
      <w:r w:rsidR="00534E1B">
        <w:t xml:space="preserve">et </w:t>
      </w:r>
      <w:r w:rsidRPr="009E6BA4">
        <w:t>sociaux globaux</w:t>
      </w:r>
      <w:bookmarkEnd w:id="856"/>
      <w:bookmarkEnd w:id="857"/>
      <w:bookmarkEnd w:id="858"/>
      <w:bookmarkEnd w:id="859"/>
      <w:bookmarkEnd w:id="860"/>
      <w:r w:rsidRPr="009E6BA4">
        <w:t xml:space="preserve"> </w:t>
      </w:r>
    </w:p>
    <w:p w14:paraId="573A6003" w14:textId="77777777" w:rsidR="00265DE2" w:rsidRDefault="0090044A" w:rsidP="0090044A">
      <w:pPr>
        <w:spacing w:after="0" w:line="240" w:lineRule="auto"/>
        <w:jc w:val="both"/>
        <w:rPr>
          <w:rFonts w:ascii="Arial" w:hAnsi="Arial" w:cs="Arial"/>
        </w:rPr>
      </w:pPr>
      <w:r w:rsidRPr="0090044A">
        <w:rPr>
          <w:rFonts w:ascii="Arial" w:hAnsi="Arial" w:cs="Arial"/>
        </w:rPr>
        <w:t>Les impacts développés sous cette section sont ceux qui sont presque communs à tous les types de sous-projets des composantes du Projet.</w:t>
      </w:r>
    </w:p>
    <w:p w14:paraId="75823219" w14:textId="77777777" w:rsidR="00265DE2" w:rsidRPr="00265DE2" w:rsidRDefault="00265DE2" w:rsidP="0044500E">
      <w:pPr>
        <w:pStyle w:val="TIT40"/>
        <w:numPr>
          <w:ilvl w:val="3"/>
          <w:numId w:val="177"/>
        </w:numPr>
        <w:outlineLvl w:val="3"/>
      </w:pPr>
      <w:bookmarkStart w:id="861" w:name="_Toc124314740"/>
      <w:bookmarkStart w:id="862" w:name="_Toc124956223"/>
      <w:bookmarkStart w:id="863" w:name="_Toc125384618"/>
      <w:bookmarkStart w:id="864" w:name="_Toc125385007"/>
      <w:bookmarkStart w:id="865" w:name="_Toc127957680"/>
      <w:r w:rsidRPr="00265DE2">
        <w:t>Impacts sur le milieu biophysique</w:t>
      </w:r>
      <w:bookmarkEnd w:id="861"/>
      <w:bookmarkEnd w:id="862"/>
      <w:bookmarkEnd w:id="863"/>
      <w:bookmarkEnd w:id="864"/>
      <w:bookmarkEnd w:id="865"/>
    </w:p>
    <w:p w14:paraId="1EC8CF36" w14:textId="77777777" w:rsidR="00A86BB2" w:rsidRPr="00EF3625" w:rsidRDefault="00A86BB2" w:rsidP="00687DD2">
      <w:pPr>
        <w:pStyle w:val="Corpsdetexte"/>
        <w:numPr>
          <w:ilvl w:val="0"/>
          <w:numId w:val="84"/>
        </w:numPr>
        <w:autoSpaceDE/>
        <w:autoSpaceDN/>
        <w:spacing w:before="280" w:after="280"/>
        <w:contextualSpacing/>
        <w:jc w:val="both"/>
        <w:rPr>
          <w:rFonts w:ascii="Arial" w:hAnsi="Arial" w:cs="Arial"/>
          <w:b/>
          <w:bCs/>
          <w:i/>
          <w:iCs/>
          <w:sz w:val="22"/>
          <w:szCs w:val="22"/>
        </w:rPr>
      </w:pPr>
      <w:r w:rsidRPr="00EF3625">
        <w:rPr>
          <w:rFonts w:ascii="Arial" w:hAnsi="Arial" w:cs="Arial"/>
          <w:b/>
          <w:bCs/>
          <w:i/>
          <w:iCs/>
          <w:sz w:val="22"/>
          <w:szCs w:val="22"/>
        </w:rPr>
        <w:t>Contribution à la réduction des émissions de GES en produisant de l’énergie propre</w:t>
      </w:r>
    </w:p>
    <w:p w14:paraId="18C21446" w14:textId="77777777" w:rsidR="00A86BB2" w:rsidRPr="00742D67" w:rsidRDefault="00A86BB2" w:rsidP="00265DE2">
      <w:pPr>
        <w:spacing w:after="120" w:line="240" w:lineRule="auto"/>
        <w:jc w:val="both"/>
        <w:rPr>
          <w:rFonts w:ascii="Arial" w:hAnsi="Arial" w:cs="Arial"/>
        </w:rPr>
      </w:pPr>
      <w:r w:rsidRPr="0090044A">
        <w:rPr>
          <w:rFonts w:ascii="Arial" w:hAnsi="Arial" w:cs="Arial"/>
        </w:rPr>
        <w:t xml:space="preserve">La mise en place des centrales PV et microcentrales hydroélectriques permettra de réduire l’émission de GES du pays en général. Aussi, la baisse de la consommation de carburant entraînera de manière conséquente une réduction de la pollution atmosphérique sur l’île et contribue à </w:t>
      </w:r>
      <w:r w:rsidRPr="00742D67">
        <w:rPr>
          <w:rFonts w:ascii="Arial" w:hAnsi="Arial" w:cs="Arial"/>
        </w:rPr>
        <w:t>l’atténuation au changement climatique.</w:t>
      </w:r>
    </w:p>
    <w:p w14:paraId="68908A1C" w14:textId="77777777" w:rsidR="00265DE2" w:rsidRDefault="00265DE2" w:rsidP="00145FBE">
      <w:pPr>
        <w:spacing w:after="120" w:line="240" w:lineRule="auto"/>
        <w:jc w:val="both"/>
        <w:rPr>
          <w:rFonts w:ascii="Arial" w:hAnsi="Arial" w:cs="Arial"/>
        </w:rPr>
      </w:pPr>
      <w:r w:rsidRPr="00742D67">
        <w:rPr>
          <w:rFonts w:ascii="Arial" w:hAnsi="Arial" w:cs="Arial"/>
        </w:rPr>
        <w:t>D’autre part, la densification des réseaux de communication via les tours cellulaires</w:t>
      </w:r>
      <w:r w:rsidR="00FD607C" w:rsidRPr="00742D67">
        <w:rPr>
          <w:rFonts w:ascii="Arial" w:hAnsi="Arial" w:cs="Arial"/>
        </w:rPr>
        <w:t xml:space="preserve"> et l’infrastructure de connectivité pour les services publics</w:t>
      </w:r>
      <w:r w:rsidRPr="00824B1B">
        <w:rPr>
          <w:rFonts w:ascii="Arial" w:hAnsi="Arial" w:cs="Arial"/>
          <w:color w:val="FF0000"/>
        </w:rPr>
        <w:t xml:space="preserve"> </w:t>
      </w:r>
      <w:r>
        <w:rPr>
          <w:rFonts w:ascii="Arial" w:hAnsi="Arial" w:cs="Arial"/>
        </w:rPr>
        <w:t xml:space="preserve">permettra de faciliter les échanges à distance et réduira ainsi les besoins de déplacement. </w:t>
      </w:r>
      <w:r w:rsidR="008E544B">
        <w:rPr>
          <w:rFonts w:ascii="Arial" w:hAnsi="Arial" w:cs="Arial"/>
        </w:rPr>
        <w:t>Ces déplacements</w:t>
      </w:r>
      <w:r>
        <w:rPr>
          <w:rFonts w:ascii="Arial" w:hAnsi="Arial" w:cs="Arial"/>
        </w:rPr>
        <w:t>, qui entraînent une consommation d’énergie et potentiellement des émissions de GES.</w:t>
      </w:r>
    </w:p>
    <w:p w14:paraId="0C0F355B" w14:textId="77777777" w:rsidR="00265DE2" w:rsidRPr="00265DE2" w:rsidRDefault="00353921" w:rsidP="0044500E">
      <w:pPr>
        <w:pStyle w:val="TIT40"/>
        <w:numPr>
          <w:ilvl w:val="3"/>
          <w:numId w:val="177"/>
        </w:numPr>
        <w:outlineLvl w:val="3"/>
      </w:pPr>
      <w:bookmarkStart w:id="866" w:name="_Toc124314741"/>
      <w:bookmarkStart w:id="867" w:name="_Toc124956224"/>
      <w:bookmarkStart w:id="868" w:name="_Toc125384619"/>
      <w:bookmarkStart w:id="869" w:name="_Toc125385008"/>
      <w:bookmarkStart w:id="870" w:name="_Toc127957681"/>
      <w:r>
        <w:br w:type="page"/>
      </w:r>
      <w:r w:rsidR="00265DE2" w:rsidRPr="00265DE2">
        <w:t>Impacts sur le milieu humain</w:t>
      </w:r>
      <w:bookmarkEnd w:id="866"/>
      <w:bookmarkEnd w:id="867"/>
      <w:bookmarkEnd w:id="868"/>
      <w:bookmarkEnd w:id="869"/>
      <w:bookmarkEnd w:id="870"/>
    </w:p>
    <w:p w14:paraId="3E7EAE17" w14:textId="77777777" w:rsidR="0090044A" w:rsidRPr="0082137C" w:rsidRDefault="0090044A" w:rsidP="00687DD2">
      <w:pPr>
        <w:pStyle w:val="Corpsdetexte"/>
        <w:numPr>
          <w:ilvl w:val="0"/>
          <w:numId w:val="84"/>
        </w:numPr>
        <w:autoSpaceDE/>
        <w:autoSpaceDN/>
        <w:spacing w:before="280" w:after="280"/>
        <w:contextualSpacing/>
        <w:jc w:val="both"/>
        <w:rPr>
          <w:rFonts w:ascii="Arial" w:hAnsi="Arial" w:cs="Arial"/>
          <w:b/>
          <w:bCs/>
          <w:i/>
          <w:iCs/>
          <w:sz w:val="22"/>
          <w:szCs w:val="22"/>
        </w:rPr>
      </w:pPr>
      <w:bookmarkStart w:id="871" w:name="_Toc54082592"/>
      <w:r w:rsidRPr="0082137C">
        <w:rPr>
          <w:rFonts w:ascii="Arial" w:hAnsi="Arial" w:cs="Arial"/>
          <w:b/>
          <w:bCs/>
          <w:i/>
          <w:iCs/>
          <w:sz w:val="22"/>
          <w:szCs w:val="22"/>
        </w:rPr>
        <w:t>Création d’emplois et de travail</w:t>
      </w:r>
      <w:bookmarkEnd w:id="871"/>
    </w:p>
    <w:p w14:paraId="1CE96D84" w14:textId="77777777" w:rsidR="0090044A" w:rsidRPr="0090044A" w:rsidRDefault="0090044A" w:rsidP="0090044A">
      <w:pPr>
        <w:spacing w:after="0" w:line="240" w:lineRule="auto"/>
        <w:jc w:val="both"/>
        <w:rPr>
          <w:rFonts w:ascii="Arial" w:hAnsi="Arial" w:cs="Arial"/>
        </w:rPr>
      </w:pPr>
      <w:r w:rsidRPr="0090044A">
        <w:rPr>
          <w:rFonts w:ascii="Arial" w:hAnsi="Arial" w:cs="Arial"/>
        </w:rPr>
        <w:t>Les impacts positifs liés à l’emploi et le travail sont conséquents. En effet, le Projet est créateur d’emplois, aussi bien temporaires que permanents. D’abord, le lancement des travaux proprement dits, favorisera le recrutement de l’emploi et de la main d’œuvre locale. Le chantier des travaux est une source d’emplois temporaires pour les femmes et les jeunes, leur permettant de se faire des revenus supplémentaires, mais également d’emplois permanents pour l’exploitation des centrales. D’autre part, il y a les emplois créés exploitant les réseaux internet et autres start-ups.</w:t>
      </w:r>
    </w:p>
    <w:p w14:paraId="421B2D88" w14:textId="77777777" w:rsidR="0090044A" w:rsidRPr="00EF3625" w:rsidRDefault="0090044A" w:rsidP="00687DD2">
      <w:pPr>
        <w:pStyle w:val="Corpsdetexte"/>
        <w:numPr>
          <w:ilvl w:val="0"/>
          <w:numId w:val="84"/>
        </w:numPr>
        <w:autoSpaceDE/>
        <w:autoSpaceDN/>
        <w:spacing w:before="280" w:after="280"/>
        <w:contextualSpacing/>
        <w:jc w:val="both"/>
        <w:rPr>
          <w:rFonts w:ascii="Arial" w:hAnsi="Arial" w:cs="Arial"/>
          <w:b/>
          <w:bCs/>
          <w:i/>
          <w:iCs/>
          <w:sz w:val="22"/>
          <w:szCs w:val="22"/>
        </w:rPr>
      </w:pPr>
      <w:r w:rsidRPr="00EF3625">
        <w:rPr>
          <w:rFonts w:ascii="Arial" w:hAnsi="Arial" w:cs="Arial"/>
          <w:b/>
          <w:bCs/>
          <w:i/>
          <w:iCs/>
          <w:sz w:val="22"/>
          <w:szCs w:val="22"/>
        </w:rPr>
        <w:t>Sur le plan social</w:t>
      </w:r>
    </w:p>
    <w:p w14:paraId="27AE864F" w14:textId="77777777" w:rsidR="0090044A" w:rsidRPr="0090044A" w:rsidRDefault="0090044A" w:rsidP="0090044A">
      <w:pPr>
        <w:spacing w:after="0" w:line="240" w:lineRule="auto"/>
        <w:jc w:val="both"/>
        <w:rPr>
          <w:rFonts w:ascii="Arial" w:hAnsi="Arial" w:cs="Arial"/>
        </w:rPr>
      </w:pPr>
      <w:r w:rsidRPr="00742D67">
        <w:rPr>
          <w:rFonts w:ascii="Arial" w:hAnsi="Arial" w:cs="Arial"/>
        </w:rPr>
        <w:t xml:space="preserve">Les impacts globaux </w:t>
      </w:r>
      <w:r w:rsidR="00423C6E" w:rsidRPr="00742D67">
        <w:rPr>
          <w:rFonts w:ascii="Arial" w:hAnsi="Arial" w:cs="Arial"/>
        </w:rPr>
        <w:t>sur le plan</w:t>
      </w:r>
      <w:r w:rsidRPr="00742D67">
        <w:rPr>
          <w:rFonts w:ascii="Arial" w:hAnsi="Arial" w:cs="Arial"/>
        </w:rPr>
        <w:t xml:space="preserve"> social sont visiblement les plus significatifs. Concrètement, </w:t>
      </w:r>
      <w:r w:rsidR="00FD607C" w:rsidRPr="00742D67">
        <w:rPr>
          <w:rFonts w:ascii="Arial" w:hAnsi="Arial" w:cs="Arial"/>
        </w:rPr>
        <w:t>une augmentation du taux d’accès à l’électricité de la population sera attendue</w:t>
      </w:r>
      <w:r w:rsidR="001A6BF4" w:rsidRPr="00742D67">
        <w:rPr>
          <w:rFonts w:ascii="Arial" w:hAnsi="Arial" w:cs="Arial"/>
        </w:rPr>
        <w:t xml:space="preserve">, notamment dans les zones </w:t>
      </w:r>
      <w:r w:rsidR="00067C78" w:rsidRPr="00742D67">
        <w:rPr>
          <w:rFonts w:ascii="Arial" w:hAnsi="Arial" w:cs="Arial"/>
        </w:rPr>
        <w:t>reculées</w:t>
      </w:r>
      <w:r w:rsidR="00FD607C" w:rsidRPr="00742D67">
        <w:rPr>
          <w:rFonts w:ascii="Arial" w:hAnsi="Arial" w:cs="Arial"/>
        </w:rPr>
        <w:t xml:space="preserve">, de plus </w:t>
      </w:r>
      <w:r w:rsidRPr="00742D67">
        <w:rPr>
          <w:rFonts w:ascii="Arial" w:hAnsi="Arial" w:cs="Arial"/>
        </w:rPr>
        <w:t>les délestages vont être atténués à l’arrivé</w:t>
      </w:r>
      <w:r w:rsidR="0063283F" w:rsidRPr="00742D67">
        <w:rPr>
          <w:rFonts w:ascii="Arial" w:hAnsi="Arial" w:cs="Arial"/>
        </w:rPr>
        <w:t>e</w:t>
      </w:r>
      <w:r w:rsidRPr="00742D67">
        <w:rPr>
          <w:rFonts w:ascii="Arial" w:hAnsi="Arial" w:cs="Arial"/>
        </w:rPr>
        <w:t xml:space="preserve"> du Projet qui viendra renforcer la fourniture</w:t>
      </w:r>
      <w:r w:rsidRPr="0090044A">
        <w:rPr>
          <w:rFonts w:ascii="Arial" w:hAnsi="Arial" w:cs="Arial"/>
        </w:rPr>
        <w:t xml:space="preserve"> énergétique de la population. Il s’agit d’une amélioration du cadre de vie de la population.</w:t>
      </w:r>
    </w:p>
    <w:p w14:paraId="6D635E9C" w14:textId="77777777" w:rsidR="0063283F" w:rsidRDefault="0063283F" w:rsidP="0090044A">
      <w:pPr>
        <w:spacing w:after="0" w:line="240" w:lineRule="auto"/>
        <w:jc w:val="both"/>
        <w:rPr>
          <w:rFonts w:ascii="Arial" w:hAnsi="Arial" w:cs="Arial"/>
        </w:rPr>
      </w:pPr>
    </w:p>
    <w:p w14:paraId="183185AE" w14:textId="77777777" w:rsidR="0090044A" w:rsidRPr="0090044A" w:rsidRDefault="0090044A" w:rsidP="0090044A">
      <w:pPr>
        <w:spacing w:after="0" w:line="240" w:lineRule="auto"/>
        <w:jc w:val="both"/>
        <w:rPr>
          <w:rFonts w:ascii="Arial" w:hAnsi="Arial" w:cs="Arial"/>
        </w:rPr>
      </w:pPr>
      <w:r w:rsidRPr="0090044A">
        <w:rPr>
          <w:rFonts w:ascii="Arial" w:hAnsi="Arial" w:cs="Arial"/>
        </w:rPr>
        <w:t>La mise en place des tours cellulaires améliorera considérablement la communication surtout dans les contrées reculées.</w:t>
      </w:r>
    </w:p>
    <w:p w14:paraId="3EE21331" w14:textId="77777777" w:rsidR="0063283F" w:rsidRDefault="0063283F" w:rsidP="0090044A">
      <w:pPr>
        <w:spacing w:after="0" w:line="240" w:lineRule="auto"/>
        <w:jc w:val="both"/>
        <w:rPr>
          <w:rFonts w:ascii="Arial" w:hAnsi="Arial" w:cs="Arial"/>
        </w:rPr>
      </w:pPr>
    </w:p>
    <w:p w14:paraId="0207145F" w14:textId="77777777" w:rsidR="0090044A" w:rsidRPr="0090044A" w:rsidRDefault="0090044A" w:rsidP="0090044A">
      <w:pPr>
        <w:spacing w:after="0" w:line="240" w:lineRule="auto"/>
        <w:jc w:val="both"/>
        <w:rPr>
          <w:rFonts w:ascii="Arial" w:hAnsi="Arial" w:cs="Arial"/>
        </w:rPr>
      </w:pPr>
      <w:r w:rsidRPr="0090044A">
        <w:rPr>
          <w:rFonts w:ascii="Arial" w:hAnsi="Arial" w:cs="Arial"/>
        </w:rPr>
        <w:t xml:space="preserve">D’autre part, les kits solaires apporteront une amélioration du confort </w:t>
      </w:r>
      <w:r w:rsidR="008E544B">
        <w:rPr>
          <w:rFonts w:ascii="Arial" w:hAnsi="Arial" w:cs="Arial"/>
        </w:rPr>
        <w:t>pour</w:t>
      </w:r>
      <w:r w:rsidRPr="0090044A">
        <w:rPr>
          <w:rFonts w:ascii="Arial" w:hAnsi="Arial" w:cs="Arial"/>
        </w:rPr>
        <w:t xml:space="preserve"> </w:t>
      </w:r>
      <w:r w:rsidR="008E544B">
        <w:rPr>
          <w:rFonts w:ascii="Arial" w:hAnsi="Arial" w:cs="Arial"/>
        </w:rPr>
        <w:t>l</w:t>
      </w:r>
      <w:r w:rsidRPr="0090044A">
        <w:rPr>
          <w:rFonts w:ascii="Arial" w:hAnsi="Arial" w:cs="Arial"/>
        </w:rPr>
        <w:t>es familles des campagnes surtout.</w:t>
      </w:r>
    </w:p>
    <w:p w14:paraId="64A5449F" w14:textId="77777777" w:rsidR="0090044A" w:rsidRPr="00EF3625" w:rsidRDefault="0090044A" w:rsidP="00687DD2">
      <w:pPr>
        <w:pStyle w:val="Corpsdetexte"/>
        <w:numPr>
          <w:ilvl w:val="0"/>
          <w:numId w:val="84"/>
        </w:numPr>
        <w:autoSpaceDE/>
        <w:autoSpaceDN/>
        <w:spacing w:before="280" w:after="280"/>
        <w:contextualSpacing/>
        <w:jc w:val="both"/>
        <w:rPr>
          <w:rFonts w:ascii="Arial" w:hAnsi="Arial" w:cs="Arial"/>
          <w:b/>
          <w:bCs/>
          <w:i/>
          <w:iCs/>
          <w:sz w:val="22"/>
          <w:szCs w:val="22"/>
        </w:rPr>
      </w:pPr>
      <w:bookmarkStart w:id="872" w:name="_Toc54082594"/>
      <w:r w:rsidRPr="00EF3625">
        <w:rPr>
          <w:rFonts w:ascii="Arial" w:hAnsi="Arial" w:cs="Arial"/>
          <w:b/>
          <w:bCs/>
          <w:i/>
          <w:iCs/>
          <w:sz w:val="22"/>
          <w:szCs w:val="22"/>
        </w:rPr>
        <w:t>Sur l’économi</w:t>
      </w:r>
      <w:bookmarkEnd w:id="872"/>
      <w:r w:rsidRPr="00EF3625">
        <w:rPr>
          <w:rFonts w:ascii="Arial" w:hAnsi="Arial" w:cs="Arial"/>
          <w:b/>
          <w:bCs/>
          <w:i/>
          <w:iCs/>
          <w:sz w:val="22"/>
          <w:szCs w:val="22"/>
        </w:rPr>
        <w:t>e</w:t>
      </w:r>
    </w:p>
    <w:p w14:paraId="334665E0" w14:textId="77777777" w:rsidR="0090044A" w:rsidRPr="0090044A" w:rsidRDefault="0090044A" w:rsidP="00FE78E6">
      <w:pPr>
        <w:spacing w:after="120" w:line="240" w:lineRule="auto"/>
        <w:jc w:val="both"/>
        <w:rPr>
          <w:rFonts w:ascii="Arial" w:hAnsi="Arial" w:cs="Arial"/>
        </w:rPr>
      </w:pPr>
      <w:r w:rsidRPr="0090044A">
        <w:rPr>
          <w:rFonts w:ascii="Arial" w:hAnsi="Arial" w:cs="Arial"/>
        </w:rPr>
        <w:t xml:space="preserve">L’impact économique global attendu du Projet est notable. Du fait que ce nouvel apport en énergie facilitera et favorisera le développement économique de chaque localité voire des régions et du pays en général. </w:t>
      </w:r>
    </w:p>
    <w:p w14:paraId="2EBF1240" w14:textId="77777777" w:rsidR="0090044A" w:rsidRPr="0090044A" w:rsidRDefault="0090044A" w:rsidP="00FE78E6">
      <w:pPr>
        <w:spacing w:after="120" w:line="240" w:lineRule="auto"/>
        <w:jc w:val="both"/>
        <w:rPr>
          <w:rFonts w:ascii="Arial" w:hAnsi="Arial" w:cs="Arial"/>
        </w:rPr>
      </w:pPr>
      <w:r w:rsidRPr="0090044A">
        <w:rPr>
          <w:rFonts w:ascii="Arial" w:hAnsi="Arial" w:cs="Arial"/>
        </w:rPr>
        <w:t xml:space="preserve">L’extension des réseaux de communication améliorera les échanges économiques et ainsi </w:t>
      </w:r>
      <w:r w:rsidR="00067C78" w:rsidRPr="0090044A">
        <w:rPr>
          <w:rFonts w:ascii="Arial" w:hAnsi="Arial" w:cs="Arial"/>
        </w:rPr>
        <w:t>la</w:t>
      </w:r>
      <w:r w:rsidRPr="0090044A">
        <w:rPr>
          <w:rFonts w:ascii="Arial" w:hAnsi="Arial" w:cs="Arial"/>
        </w:rPr>
        <w:t xml:space="preserve"> dynamique économique des zones desservies.</w:t>
      </w:r>
    </w:p>
    <w:p w14:paraId="732BECDA" w14:textId="77777777" w:rsidR="0090044A" w:rsidRPr="0090044A" w:rsidRDefault="0090044A" w:rsidP="00FE78E6">
      <w:pPr>
        <w:spacing w:after="120" w:line="240" w:lineRule="auto"/>
        <w:jc w:val="both"/>
        <w:rPr>
          <w:rFonts w:ascii="Arial" w:hAnsi="Arial" w:cs="Arial"/>
        </w:rPr>
      </w:pPr>
      <w:r w:rsidRPr="0090044A">
        <w:rPr>
          <w:rFonts w:ascii="Arial" w:hAnsi="Arial" w:cs="Arial"/>
        </w:rPr>
        <w:t xml:space="preserve">La transformation digitale </w:t>
      </w:r>
      <w:r w:rsidR="00504EA5" w:rsidRPr="00F01166">
        <w:rPr>
          <w:rFonts w:ascii="Arial" w:hAnsi="Arial" w:cs="Arial"/>
        </w:rPr>
        <w:t>de l’administration</w:t>
      </w:r>
      <w:r w:rsidRPr="0090044A">
        <w:rPr>
          <w:rFonts w:ascii="Arial" w:hAnsi="Arial" w:cs="Arial"/>
        </w:rPr>
        <w:t xml:space="preserve"> permet d’accélérer l’efficacité et l’accès aux services publics</w:t>
      </w:r>
      <w:r w:rsidR="0063283F">
        <w:rPr>
          <w:rFonts w:ascii="Arial" w:hAnsi="Arial" w:cs="Arial"/>
        </w:rPr>
        <w:t>.</w:t>
      </w:r>
    </w:p>
    <w:p w14:paraId="772A4B99" w14:textId="77777777" w:rsidR="0090044A" w:rsidRPr="0090044A" w:rsidRDefault="0090044A" w:rsidP="00FE78E6">
      <w:pPr>
        <w:spacing w:after="120" w:line="240" w:lineRule="auto"/>
        <w:jc w:val="both"/>
        <w:rPr>
          <w:rFonts w:ascii="Arial" w:hAnsi="Arial" w:cs="Arial"/>
        </w:rPr>
      </w:pPr>
      <w:r w:rsidRPr="0090044A">
        <w:rPr>
          <w:rFonts w:ascii="Arial" w:hAnsi="Arial" w:cs="Arial"/>
        </w:rPr>
        <w:t>L'économie numérique permettrait de réduire les coûts de transaction et d’offrir des possibilités d'innover et d'atteindre un avantage concurrentiel à l'échelle continentale</w:t>
      </w:r>
      <w:r w:rsidR="0063283F">
        <w:rPr>
          <w:rFonts w:ascii="Arial" w:hAnsi="Arial" w:cs="Arial"/>
        </w:rPr>
        <w:t>.</w:t>
      </w:r>
    </w:p>
    <w:p w14:paraId="2CA315B5" w14:textId="77777777" w:rsidR="0090044A" w:rsidRPr="0090044A" w:rsidRDefault="0090044A" w:rsidP="00FE78E6">
      <w:pPr>
        <w:spacing w:after="120" w:line="240" w:lineRule="auto"/>
        <w:jc w:val="both"/>
        <w:rPr>
          <w:rFonts w:ascii="Arial" w:hAnsi="Arial" w:cs="Arial"/>
        </w:rPr>
      </w:pPr>
      <w:r w:rsidRPr="0090044A">
        <w:rPr>
          <w:rFonts w:ascii="Arial" w:hAnsi="Arial" w:cs="Arial"/>
        </w:rPr>
        <w:t>La transformation numérique pourrait également aider à relever le défi urgent de l'emploi de la population jeune et croissante</w:t>
      </w:r>
      <w:r w:rsidR="0063283F">
        <w:rPr>
          <w:rFonts w:ascii="Arial" w:hAnsi="Arial" w:cs="Arial"/>
        </w:rPr>
        <w:t>.</w:t>
      </w:r>
    </w:p>
    <w:p w14:paraId="0784949A" w14:textId="77777777" w:rsidR="009E6BA4" w:rsidRPr="009E6BA4" w:rsidRDefault="009E6BA4" w:rsidP="0044500E">
      <w:pPr>
        <w:pStyle w:val="TIT3"/>
        <w:numPr>
          <w:ilvl w:val="2"/>
          <w:numId w:val="177"/>
        </w:numPr>
      </w:pPr>
      <w:bookmarkStart w:id="873" w:name="_Toc124314742"/>
      <w:bookmarkStart w:id="874" w:name="_Toc124956225"/>
      <w:bookmarkStart w:id="875" w:name="_Toc125384620"/>
      <w:bookmarkStart w:id="876" w:name="_Toc125385009"/>
      <w:bookmarkStart w:id="877" w:name="_Toc127957682"/>
      <w:r w:rsidRPr="009E6BA4">
        <w:t>Impacts négatifs environnementaux et sociaux</w:t>
      </w:r>
      <w:bookmarkEnd w:id="873"/>
      <w:bookmarkEnd w:id="874"/>
      <w:bookmarkEnd w:id="875"/>
      <w:bookmarkEnd w:id="876"/>
      <w:bookmarkEnd w:id="877"/>
      <w:r w:rsidRPr="009E6BA4">
        <w:t xml:space="preserve"> </w:t>
      </w:r>
    </w:p>
    <w:p w14:paraId="0445953E" w14:textId="77777777" w:rsidR="0090044A" w:rsidRPr="0090044A" w:rsidRDefault="0090044A" w:rsidP="0090044A">
      <w:pPr>
        <w:spacing w:after="0" w:line="240" w:lineRule="auto"/>
        <w:jc w:val="both"/>
        <w:rPr>
          <w:rFonts w:ascii="Arial" w:hAnsi="Arial" w:cs="Arial"/>
        </w:rPr>
      </w:pPr>
      <w:r w:rsidRPr="0090044A">
        <w:rPr>
          <w:rFonts w:ascii="Arial" w:hAnsi="Arial" w:cs="Arial"/>
        </w:rPr>
        <w:t>A l’instar des impacts positifs, les impacts négatifs globaux sont développés ci-après par composante et milieux affectés.</w:t>
      </w:r>
    </w:p>
    <w:p w14:paraId="7C7B0EF6" w14:textId="77777777" w:rsidR="0090044A" w:rsidRPr="00F91FA3" w:rsidRDefault="0090044A" w:rsidP="0044500E">
      <w:pPr>
        <w:pStyle w:val="TIT40"/>
        <w:numPr>
          <w:ilvl w:val="3"/>
          <w:numId w:val="177"/>
        </w:numPr>
        <w:outlineLvl w:val="3"/>
      </w:pPr>
      <w:bookmarkStart w:id="878" w:name="_Toc124312760"/>
      <w:bookmarkStart w:id="879" w:name="_Toc124314264"/>
      <w:bookmarkStart w:id="880" w:name="_Toc124314743"/>
      <w:bookmarkStart w:id="881" w:name="_Toc124315231"/>
      <w:bookmarkStart w:id="882" w:name="_Toc124315471"/>
      <w:bookmarkStart w:id="883" w:name="_Toc124315711"/>
      <w:bookmarkStart w:id="884" w:name="_Toc124315951"/>
      <w:bookmarkStart w:id="885" w:name="_Toc124316194"/>
      <w:bookmarkStart w:id="886" w:name="_Toc124316439"/>
      <w:bookmarkStart w:id="887" w:name="_Toc124316689"/>
      <w:bookmarkStart w:id="888" w:name="_Toc124316944"/>
      <w:bookmarkStart w:id="889" w:name="_Toc98192339"/>
      <w:bookmarkStart w:id="890" w:name="_Toc100755458"/>
      <w:bookmarkStart w:id="891" w:name="_Toc124314744"/>
      <w:bookmarkStart w:id="892" w:name="_Toc124956226"/>
      <w:bookmarkStart w:id="893" w:name="_Toc125384621"/>
      <w:bookmarkStart w:id="894" w:name="_Toc125385010"/>
      <w:bookmarkStart w:id="895" w:name="_Toc127957683"/>
      <w:bookmarkEnd w:id="878"/>
      <w:bookmarkEnd w:id="879"/>
      <w:bookmarkEnd w:id="880"/>
      <w:bookmarkEnd w:id="881"/>
      <w:bookmarkEnd w:id="882"/>
      <w:bookmarkEnd w:id="883"/>
      <w:bookmarkEnd w:id="884"/>
      <w:bookmarkEnd w:id="885"/>
      <w:bookmarkEnd w:id="886"/>
      <w:bookmarkEnd w:id="887"/>
      <w:bookmarkEnd w:id="888"/>
      <w:r w:rsidRPr="00F91FA3">
        <w:t>Phase préparatoire</w:t>
      </w:r>
      <w:bookmarkEnd w:id="889"/>
      <w:r w:rsidRPr="00F91FA3">
        <w:t xml:space="preserve"> </w:t>
      </w:r>
      <w:r w:rsidR="0053297A" w:rsidRPr="00F91FA3">
        <w:t>et phase de construction</w:t>
      </w:r>
      <w:bookmarkEnd w:id="890"/>
      <w:bookmarkEnd w:id="891"/>
      <w:bookmarkEnd w:id="892"/>
      <w:bookmarkEnd w:id="893"/>
      <w:bookmarkEnd w:id="894"/>
      <w:bookmarkEnd w:id="895"/>
    </w:p>
    <w:p w14:paraId="17F9F05A" w14:textId="77777777" w:rsidR="0090044A" w:rsidRPr="0053297A" w:rsidRDefault="0090044A" w:rsidP="0053297A">
      <w:pPr>
        <w:jc w:val="both"/>
        <w:rPr>
          <w:rFonts w:ascii="Arial" w:hAnsi="Arial" w:cs="Arial"/>
        </w:rPr>
      </w:pPr>
      <w:r w:rsidRPr="0053297A">
        <w:rPr>
          <w:rFonts w:ascii="Arial" w:hAnsi="Arial" w:cs="Arial"/>
        </w:rPr>
        <w:t xml:space="preserve">La phase de préparation correspond à l’aménagement de la zone de la base vie et la mise en place des différentes infrastructures nécessaires pour la réalisation des travaux. Les travaux effectués durant cette phase consistent à des travaux de remblayage et de terrassement suivant le profil du terrain d’implantation en adéquation aux besoins des installations. </w:t>
      </w:r>
    </w:p>
    <w:p w14:paraId="6A865F45" w14:textId="77777777" w:rsidR="0090044A" w:rsidRPr="008D2A01" w:rsidRDefault="0090044A" w:rsidP="008D2A01">
      <w:pPr>
        <w:pStyle w:val="Style9"/>
      </w:pPr>
      <w:bookmarkStart w:id="896" w:name="_Toc98192340"/>
      <w:bookmarkStart w:id="897" w:name="_Toc97835148"/>
      <w:r w:rsidRPr="008D2A01">
        <w:t>Impact sur le milieu physique</w:t>
      </w:r>
      <w:bookmarkEnd w:id="896"/>
      <w:bookmarkEnd w:id="897"/>
    </w:p>
    <w:p w14:paraId="4001CB35" w14:textId="77777777" w:rsidR="0090044A" w:rsidRPr="006E039C" w:rsidRDefault="0090044A" w:rsidP="00687DD2">
      <w:pPr>
        <w:pStyle w:val="Titre5"/>
        <w:keepNext w:val="0"/>
        <w:keepLines w:val="0"/>
        <w:numPr>
          <w:ilvl w:val="0"/>
          <w:numId w:val="94"/>
        </w:numPr>
        <w:tabs>
          <w:tab w:val="left" w:pos="708"/>
        </w:tabs>
        <w:spacing w:before="280" w:after="280" w:line="240" w:lineRule="auto"/>
        <w:ind w:left="714" w:hanging="357"/>
        <w:contextualSpacing/>
        <w:jc w:val="both"/>
        <w:rPr>
          <w:b/>
          <w:bCs/>
        </w:rPr>
      </w:pPr>
      <w:r w:rsidRPr="006E039C">
        <w:rPr>
          <w:b/>
          <w:bCs/>
        </w:rPr>
        <w:t xml:space="preserve">Au niveau de l’air </w:t>
      </w:r>
    </w:p>
    <w:p w14:paraId="1FDD94BC" w14:textId="77777777" w:rsidR="0090044A" w:rsidRPr="006E039C" w:rsidRDefault="0090044A" w:rsidP="00687DD2">
      <w:pPr>
        <w:pStyle w:val="Normal12"/>
        <w:numPr>
          <w:ilvl w:val="0"/>
          <w:numId w:val="85"/>
        </w:numPr>
        <w:spacing w:before="100" w:beforeAutospacing="1" w:after="100" w:afterAutospacing="1"/>
        <w:ind w:left="1077" w:hanging="357"/>
        <w:contextualSpacing/>
        <w:rPr>
          <w:i/>
          <w:iCs/>
          <w:lang w:val="fr-FR"/>
        </w:rPr>
      </w:pPr>
      <w:r w:rsidRPr="006E039C">
        <w:rPr>
          <w:i/>
          <w:iCs/>
          <w:lang w:val="fr-FR"/>
        </w:rPr>
        <w:t>Pollutions atmosphériques</w:t>
      </w:r>
    </w:p>
    <w:p w14:paraId="129FBA08" w14:textId="77777777" w:rsidR="0090044A" w:rsidRPr="008D2A01" w:rsidRDefault="0090044A" w:rsidP="008D2A01">
      <w:pPr>
        <w:jc w:val="both"/>
        <w:rPr>
          <w:rFonts w:ascii="Arial" w:hAnsi="Arial" w:cs="Arial"/>
        </w:rPr>
      </w:pPr>
      <w:r w:rsidRPr="008D2A01">
        <w:rPr>
          <w:rFonts w:ascii="Arial" w:hAnsi="Arial" w:cs="Arial"/>
        </w:rPr>
        <w:t>Il s’agit d’émission de gaz d’échappement des véhicules de chantier (dioxyde de carbone CO</w:t>
      </w:r>
      <w:r w:rsidRPr="00B434A6">
        <w:rPr>
          <w:rFonts w:ascii="Arial" w:hAnsi="Arial" w:cs="Arial"/>
          <w:vertAlign w:val="subscript"/>
        </w:rPr>
        <w:t>2</w:t>
      </w:r>
      <w:r w:rsidRPr="008D2A01">
        <w:rPr>
          <w:rFonts w:ascii="Arial" w:hAnsi="Arial" w:cs="Arial"/>
        </w:rPr>
        <w:t xml:space="preserve">, oxyde d’azote NOx, oxyde de soufre SOx, etc.) ; mais également de soulèvement de poussières dû aux passages des véhicules pendant les travaux de terrassement, l’aménagement des pistes d’accès et l’aire de parking. </w:t>
      </w:r>
      <w:r w:rsidR="00190373">
        <w:rPr>
          <w:rFonts w:ascii="Arial" w:hAnsi="Arial" w:cs="Arial"/>
        </w:rPr>
        <w:t>La quantité de polluant dépendra de la qualité et le nombre des engins utilisés. Etant donné l’envergure des travaux, les engins utilisés pour la construction des infrastructures numérique</w:t>
      </w:r>
      <w:r w:rsidR="00423C6E">
        <w:rPr>
          <w:rFonts w:ascii="Arial" w:hAnsi="Arial" w:cs="Arial"/>
        </w:rPr>
        <w:t>s</w:t>
      </w:r>
      <w:r w:rsidR="00190373">
        <w:rPr>
          <w:rFonts w:ascii="Arial" w:hAnsi="Arial" w:cs="Arial"/>
        </w:rPr>
        <w:t xml:space="preserve"> est très faible par rapport au nombre d’engin mobilisés pour la construction d’une centrale solaire et d’un barrage hydroélectrique.</w:t>
      </w:r>
    </w:p>
    <w:p w14:paraId="14B06E32" w14:textId="77777777" w:rsidR="0090044A" w:rsidRPr="008D2A01" w:rsidRDefault="00145FBE" w:rsidP="008D2A01">
      <w:pPr>
        <w:jc w:val="both"/>
        <w:rPr>
          <w:rFonts w:ascii="Arial" w:hAnsi="Arial" w:cs="Arial"/>
        </w:rPr>
      </w:pPr>
      <w:r w:rsidRPr="008D2A01">
        <w:rPr>
          <w:rFonts w:ascii="Arial" w:hAnsi="Arial" w:cs="Arial"/>
        </w:rPr>
        <w:t>Étant</w:t>
      </w:r>
      <w:r w:rsidR="0090044A" w:rsidRPr="008D2A01">
        <w:rPr>
          <w:rFonts w:ascii="Arial" w:hAnsi="Arial" w:cs="Arial"/>
        </w:rPr>
        <w:t xml:space="preserve"> donné </w:t>
      </w:r>
      <w:r w:rsidR="0090044A" w:rsidRPr="00742D67">
        <w:rPr>
          <w:rFonts w:ascii="Arial" w:hAnsi="Arial" w:cs="Arial"/>
        </w:rPr>
        <w:t>que le</w:t>
      </w:r>
      <w:r w:rsidR="7BF74FB6" w:rsidRPr="00742D67">
        <w:rPr>
          <w:rFonts w:ascii="Arial" w:hAnsi="Arial" w:cs="Arial"/>
        </w:rPr>
        <w:t>s</w:t>
      </w:r>
      <w:r w:rsidR="0090044A" w:rsidRPr="00742D67">
        <w:rPr>
          <w:rFonts w:ascii="Arial" w:hAnsi="Arial" w:cs="Arial"/>
        </w:rPr>
        <w:t xml:space="preserve"> </w:t>
      </w:r>
      <w:r w:rsidR="6478C981" w:rsidRPr="00742D67">
        <w:rPr>
          <w:rFonts w:ascii="Arial" w:hAnsi="Arial" w:cs="Arial"/>
        </w:rPr>
        <w:t>travaux</w:t>
      </w:r>
      <w:r w:rsidR="0090044A" w:rsidRPr="00742D67">
        <w:rPr>
          <w:rFonts w:ascii="Arial" w:hAnsi="Arial" w:cs="Arial"/>
        </w:rPr>
        <w:t xml:space="preserve"> ne dure</w:t>
      </w:r>
      <w:r w:rsidR="5359E56F" w:rsidRPr="00742D67">
        <w:rPr>
          <w:rFonts w:ascii="Arial" w:hAnsi="Arial" w:cs="Arial"/>
        </w:rPr>
        <w:t>ront</w:t>
      </w:r>
      <w:r w:rsidR="0090044A" w:rsidRPr="00742D67">
        <w:rPr>
          <w:rFonts w:ascii="Arial" w:hAnsi="Arial" w:cs="Arial"/>
        </w:rPr>
        <w:t xml:space="preserve"> que quelques mois, l’émanation des polluants atmosphériques sera limitée dans</w:t>
      </w:r>
      <w:r w:rsidR="0090044A" w:rsidRPr="008D2A01">
        <w:rPr>
          <w:rFonts w:ascii="Arial" w:hAnsi="Arial" w:cs="Arial"/>
        </w:rPr>
        <w:t xml:space="preserve"> le temps (durant les travaux de terrassement du site PV et le transport des matériaux). Toutefois, les poussières peuvent atteindre les habitations et infrastructures proches du chantier et pourraient avoir un effet sur la santé des riverains. Ce type d’impact sera considéré alors comme « </w:t>
      </w:r>
      <w:r w:rsidR="00504EA5">
        <w:rPr>
          <w:rFonts w:ascii="Arial" w:hAnsi="Arial" w:cs="Arial"/>
        </w:rPr>
        <w:t xml:space="preserve">Mineure à </w:t>
      </w:r>
      <w:r w:rsidR="0090044A" w:rsidRPr="008D2A01">
        <w:rPr>
          <w:rFonts w:ascii="Arial" w:hAnsi="Arial" w:cs="Arial"/>
        </w:rPr>
        <w:t>Moyenne » pour le projet.</w:t>
      </w:r>
      <w:r w:rsidR="007A7B38">
        <w:rPr>
          <w:rFonts w:ascii="Arial" w:hAnsi="Arial" w:cs="Arial"/>
        </w:rPr>
        <w:t>et avec un risque Faible et élevé.</w:t>
      </w:r>
      <w:r w:rsidR="00E75B0A">
        <w:rPr>
          <w:rFonts w:ascii="Arial" w:hAnsi="Arial" w:cs="Arial"/>
        </w:rPr>
        <w:t>Le tableau ci-apr</w:t>
      </w:r>
      <w:r w:rsidR="00E75B0A" w:rsidRPr="008D2A01">
        <w:rPr>
          <w:rFonts w:ascii="Arial" w:hAnsi="Arial" w:cs="Arial"/>
        </w:rPr>
        <w:t>è</w:t>
      </w:r>
      <w:r w:rsidR="00E75B0A">
        <w:rPr>
          <w:rFonts w:ascii="Arial" w:hAnsi="Arial" w:cs="Arial"/>
        </w:rPr>
        <w:t>s pr</w:t>
      </w:r>
      <w:r w:rsidR="00E75B0A" w:rsidRPr="008D2A01">
        <w:rPr>
          <w:rFonts w:ascii="Arial" w:hAnsi="Arial" w:cs="Arial"/>
        </w:rPr>
        <w:t>é</w:t>
      </w:r>
      <w:r w:rsidR="00E75B0A">
        <w:rPr>
          <w:rFonts w:ascii="Arial" w:hAnsi="Arial" w:cs="Arial"/>
        </w:rPr>
        <w:t>sente l’</w:t>
      </w:r>
      <w:r w:rsidR="00E75B0A" w:rsidRPr="008D2A01">
        <w:rPr>
          <w:rFonts w:ascii="Arial" w:hAnsi="Arial" w:cs="Arial"/>
        </w:rPr>
        <w:t>é</w:t>
      </w:r>
      <w:r w:rsidR="00E75B0A">
        <w:rPr>
          <w:rFonts w:ascii="Arial" w:hAnsi="Arial" w:cs="Arial"/>
        </w:rPr>
        <w:t>valuation de l’impact des pollutions atmosph</w:t>
      </w:r>
      <w:r w:rsidR="00E75B0A" w:rsidRPr="008D2A01">
        <w:rPr>
          <w:rFonts w:ascii="Arial" w:hAnsi="Arial" w:cs="Arial"/>
        </w:rPr>
        <w:t>é</w:t>
      </w:r>
      <w:r w:rsidR="00E75B0A">
        <w:rPr>
          <w:rFonts w:ascii="Arial" w:hAnsi="Arial" w:cs="Arial"/>
        </w:rPr>
        <w:t>riques dans les aires des travaux de construction des infrastructures du projet DECIM.</w:t>
      </w:r>
    </w:p>
    <w:p w14:paraId="4F802ADC" w14:textId="77777777" w:rsidR="0090044A" w:rsidRPr="002E58DC" w:rsidRDefault="0090044A" w:rsidP="002E58DC">
      <w:pPr>
        <w:pStyle w:val="Lgende"/>
        <w:spacing w:before="120"/>
        <w:jc w:val="center"/>
        <w:rPr>
          <w:sz w:val="20"/>
        </w:rPr>
      </w:pPr>
      <w:bookmarkStart w:id="898" w:name="_Toc100753916"/>
      <w:bookmarkStart w:id="899" w:name="_Toc127957816"/>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20</w:t>
      </w:r>
      <w:r w:rsidRPr="002E58DC">
        <w:rPr>
          <w:sz w:val="20"/>
        </w:rPr>
        <w:fldChar w:fldCharType="end"/>
      </w:r>
      <w:r w:rsidRPr="002E58DC">
        <w:rPr>
          <w:sz w:val="20"/>
        </w:rPr>
        <w:t>. Evaluation</w:t>
      </w:r>
      <w:r w:rsidR="00FB273B">
        <w:rPr>
          <w:sz w:val="20"/>
        </w:rPr>
        <w:t xml:space="preserve"> de </w:t>
      </w:r>
      <w:r w:rsidRPr="002E58DC">
        <w:rPr>
          <w:sz w:val="20"/>
        </w:rPr>
        <w:t>l’impact –Pollutions atmosphériques</w:t>
      </w:r>
      <w:bookmarkEnd w:id="898"/>
      <w:bookmarkEnd w:id="899"/>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094"/>
        <w:gridCol w:w="955"/>
        <w:gridCol w:w="921"/>
        <w:gridCol w:w="1342"/>
        <w:gridCol w:w="1298"/>
        <w:gridCol w:w="1064"/>
        <w:gridCol w:w="1054"/>
        <w:tblGridChange w:id="900">
          <w:tblGrid>
            <w:gridCol w:w="1736"/>
            <w:gridCol w:w="1094"/>
            <w:gridCol w:w="955"/>
            <w:gridCol w:w="921"/>
            <w:gridCol w:w="1342"/>
            <w:gridCol w:w="1298"/>
            <w:gridCol w:w="1064"/>
            <w:gridCol w:w="1054"/>
          </w:tblGrid>
        </w:tblGridChange>
      </w:tblGrid>
      <w:tr w:rsidR="008F16AA" w:rsidRPr="007F78CE" w14:paraId="69757BD8" w14:textId="77777777" w:rsidTr="00345918">
        <w:trPr>
          <w:jc w:val="center"/>
        </w:trPr>
        <w:tc>
          <w:tcPr>
            <w:tcW w:w="1736" w:type="dxa"/>
            <w:shd w:val="clear" w:color="auto" w:fill="BFBFBF"/>
          </w:tcPr>
          <w:p w14:paraId="02F92AB1" w14:textId="77777777" w:rsidR="008F16AA" w:rsidRPr="007F78CE" w:rsidRDefault="008F16AA" w:rsidP="00B434A6">
            <w:pPr>
              <w:spacing w:after="0" w:line="240" w:lineRule="auto"/>
              <w:jc w:val="center"/>
              <w:rPr>
                <w:rFonts w:ascii="Arial Narrow" w:hAnsi="Arial Narrow"/>
                <w:b/>
                <w:bCs/>
                <w:sz w:val="20"/>
                <w:szCs w:val="20"/>
              </w:rPr>
            </w:pPr>
            <w:r>
              <w:rPr>
                <w:rFonts w:ascii="Arial Narrow" w:hAnsi="Arial Narrow"/>
                <w:b/>
                <w:bCs/>
                <w:sz w:val="20"/>
                <w:szCs w:val="20"/>
              </w:rPr>
              <w:t>Sous Projet</w:t>
            </w:r>
          </w:p>
        </w:tc>
        <w:tc>
          <w:tcPr>
            <w:tcW w:w="1094" w:type="dxa"/>
            <w:shd w:val="clear" w:color="auto" w:fill="BFBFBF"/>
            <w:vAlign w:val="center"/>
          </w:tcPr>
          <w:p w14:paraId="2BE789F1" w14:textId="77777777" w:rsidR="008F16AA" w:rsidRPr="007F78CE" w:rsidRDefault="008F16AA" w:rsidP="00B434A6">
            <w:pPr>
              <w:spacing w:after="0" w:line="240" w:lineRule="auto"/>
              <w:jc w:val="center"/>
              <w:rPr>
                <w:rFonts w:ascii="Arial Narrow" w:hAnsi="Arial Narrow"/>
                <w:b/>
                <w:sz w:val="20"/>
                <w:szCs w:val="20"/>
              </w:rPr>
            </w:pPr>
            <w:r w:rsidRPr="007F78CE">
              <w:rPr>
                <w:rFonts w:ascii="Arial Narrow" w:hAnsi="Arial Narrow"/>
                <w:b/>
                <w:bCs/>
                <w:sz w:val="20"/>
                <w:szCs w:val="20"/>
              </w:rPr>
              <w:t>Intensité</w:t>
            </w:r>
          </w:p>
        </w:tc>
        <w:tc>
          <w:tcPr>
            <w:tcW w:w="955" w:type="dxa"/>
            <w:shd w:val="clear" w:color="auto" w:fill="BFBFBF"/>
            <w:vAlign w:val="center"/>
          </w:tcPr>
          <w:p w14:paraId="6CA39A86" w14:textId="77777777" w:rsidR="008F16AA" w:rsidRPr="007F78CE" w:rsidRDefault="008F16AA" w:rsidP="00B434A6">
            <w:pPr>
              <w:spacing w:after="0" w:line="240" w:lineRule="auto"/>
              <w:jc w:val="center"/>
              <w:rPr>
                <w:rFonts w:ascii="Arial Narrow" w:hAnsi="Arial Narrow"/>
                <w:b/>
                <w:bCs/>
                <w:sz w:val="20"/>
                <w:szCs w:val="20"/>
              </w:rPr>
            </w:pPr>
            <w:r w:rsidRPr="007F78CE">
              <w:rPr>
                <w:rFonts w:ascii="Arial Narrow" w:hAnsi="Arial Narrow"/>
                <w:b/>
                <w:bCs/>
                <w:sz w:val="20"/>
                <w:szCs w:val="20"/>
              </w:rPr>
              <w:t>Etendue</w:t>
            </w:r>
          </w:p>
        </w:tc>
        <w:tc>
          <w:tcPr>
            <w:tcW w:w="921" w:type="dxa"/>
            <w:shd w:val="clear" w:color="auto" w:fill="BFBFBF"/>
            <w:vAlign w:val="center"/>
          </w:tcPr>
          <w:p w14:paraId="5B6BEB75" w14:textId="77777777" w:rsidR="008F16AA" w:rsidRPr="007F78CE" w:rsidRDefault="008F16AA" w:rsidP="00B434A6">
            <w:pPr>
              <w:spacing w:after="0" w:line="240" w:lineRule="auto"/>
              <w:jc w:val="center"/>
              <w:rPr>
                <w:rFonts w:ascii="Arial Narrow" w:hAnsi="Arial Narrow"/>
                <w:b/>
                <w:bCs/>
                <w:sz w:val="20"/>
                <w:szCs w:val="20"/>
              </w:rPr>
            </w:pPr>
            <w:r w:rsidRPr="007F78CE">
              <w:rPr>
                <w:rFonts w:ascii="Arial Narrow" w:hAnsi="Arial Narrow"/>
                <w:b/>
                <w:bCs/>
                <w:sz w:val="20"/>
                <w:szCs w:val="20"/>
              </w:rPr>
              <w:t>Durée</w:t>
            </w:r>
          </w:p>
        </w:tc>
        <w:tc>
          <w:tcPr>
            <w:tcW w:w="1342" w:type="dxa"/>
            <w:shd w:val="clear" w:color="auto" w:fill="BFBFBF"/>
            <w:vAlign w:val="center"/>
          </w:tcPr>
          <w:p w14:paraId="5634CD2E" w14:textId="77777777" w:rsidR="008F16AA" w:rsidRPr="007F78CE" w:rsidRDefault="008F16AA" w:rsidP="00B434A6">
            <w:pPr>
              <w:spacing w:after="0" w:line="240" w:lineRule="auto"/>
              <w:jc w:val="center"/>
              <w:rPr>
                <w:rFonts w:ascii="Arial Narrow" w:hAnsi="Arial Narrow"/>
                <w:b/>
                <w:bCs/>
                <w:sz w:val="20"/>
                <w:szCs w:val="20"/>
              </w:rPr>
            </w:pPr>
            <w:r w:rsidRPr="007F78CE">
              <w:rPr>
                <w:rFonts w:ascii="Arial Narrow" w:hAnsi="Arial Narrow"/>
                <w:b/>
                <w:bCs/>
                <w:sz w:val="20"/>
                <w:szCs w:val="20"/>
              </w:rPr>
              <w:t>Réversibilité</w:t>
            </w:r>
          </w:p>
        </w:tc>
        <w:tc>
          <w:tcPr>
            <w:tcW w:w="1298" w:type="dxa"/>
            <w:shd w:val="clear" w:color="auto" w:fill="BFBFBF"/>
            <w:vAlign w:val="center"/>
          </w:tcPr>
          <w:p w14:paraId="42B04A35" w14:textId="77777777" w:rsidR="008F16AA" w:rsidRPr="007F78CE" w:rsidRDefault="008F16AA" w:rsidP="00B434A6">
            <w:pPr>
              <w:spacing w:after="0" w:line="240" w:lineRule="auto"/>
              <w:jc w:val="center"/>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auto"/>
          </w:tcPr>
          <w:p w14:paraId="001BADB2" w14:textId="77777777" w:rsidR="008F16AA" w:rsidRPr="007F78CE" w:rsidRDefault="008F16AA" w:rsidP="00B434A6">
            <w:pPr>
              <w:spacing w:after="0" w:line="240" w:lineRule="auto"/>
              <w:jc w:val="center"/>
              <w:rPr>
                <w:rFonts w:ascii="Arial Narrow" w:hAnsi="Arial Narrow"/>
                <w:b/>
                <w:bCs/>
                <w:sz w:val="20"/>
                <w:szCs w:val="20"/>
              </w:rPr>
            </w:pPr>
            <w:r>
              <w:rPr>
                <w:rFonts w:ascii="Arial Narrow" w:hAnsi="Arial Narrow"/>
                <w:b/>
                <w:bCs/>
                <w:sz w:val="20"/>
                <w:szCs w:val="20"/>
              </w:rPr>
              <w:t>Probabilité</w:t>
            </w:r>
          </w:p>
        </w:tc>
        <w:tc>
          <w:tcPr>
            <w:tcW w:w="1054" w:type="dxa"/>
            <w:shd w:val="clear" w:color="auto" w:fill="auto"/>
          </w:tcPr>
          <w:p w14:paraId="40E3425B" w14:textId="77777777" w:rsidR="008F16AA" w:rsidRPr="007F78CE" w:rsidRDefault="008F16AA" w:rsidP="00B434A6">
            <w:pPr>
              <w:spacing w:after="0" w:line="240" w:lineRule="auto"/>
              <w:jc w:val="center"/>
              <w:rPr>
                <w:rFonts w:ascii="Arial Narrow" w:hAnsi="Arial Narrow"/>
                <w:b/>
                <w:bCs/>
                <w:sz w:val="20"/>
                <w:szCs w:val="20"/>
              </w:rPr>
            </w:pPr>
            <w:r>
              <w:rPr>
                <w:rFonts w:ascii="Arial Narrow" w:hAnsi="Arial Narrow"/>
                <w:b/>
                <w:bCs/>
                <w:sz w:val="20"/>
                <w:szCs w:val="20"/>
              </w:rPr>
              <w:t>Risque</w:t>
            </w:r>
          </w:p>
        </w:tc>
      </w:tr>
      <w:tr w:rsidR="00345918" w:rsidRPr="007F78CE" w14:paraId="06F1D41E" w14:textId="77777777" w:rsidTr="00FB04F6">
        <w:trPr>
          <w:jc w:val="center"/>
        </w:trPr>
        <w:tc>
          <w:tcPr>
            <w:tcW w:w="1736" w:type="dxa"/>
          </w:tcPr>
          <w:p w14:paraId="5B1CED13" w14:textId="77777777" w:rsidR="008F16AA" w:rsidRPr="007F78CE" w:rsidRDefault="008F16AA" w:rsidP="00B434A6">
            <w:pPr>
              <w:spacing w:after="0" w:line="240" w:lineRule="auto"/>
              <w:contextualSpacing/>
              <w:rPr>
                <w:rFonts w:ascii="Arial Narrow" w:hAnsi="Arial Narrow" w:cs="Arial"/>
                <w:sz w:val="20"/>
                <w:szCs w:val="20"/>
              </w:rPr>
            </w:pPr>
            <w:r>
              <w:rPr>
                <w:rFonts w:ascii="Arial Narrow" w:hAnsi="Arial Narrow" w:cs="Arial"/>
                <w:sz w:val="20"/>
                <w:szCs w:val="20"/>
              </w:rPr>
              <w:t>Infrastructure</w:t>
            </w:r>
            <w:r w:rsidR="001C0602">
              <w:rPr>
                <w:rFonts w:ascii="Arial Narrow" w:hAnsi="Arial Narrow" w:cs="Arial"/>
                <w:sz w:val="20"/>
                <w:szCs w:val="20"/>
              </w:rPr>
              <w:t>s</w:t>
            </w:r>
            <w:r>
              <w:rPr>
                <w:rFonts w:ascii="Arial Narrow" w:hAnsi="Arial Narrow" w:cs="Arial"/>
                <w:sz w:val="20"/>
                <w:szCs w:val="20"/>
              </w:rPr>
              <w:t xml:space="preserve"> numérique</w:t>
            </w:r>
            <w:r w:rsidR="001C0602">
              <w:rPr>
                <w:rFonts w:ascii="Arial Narrow" w:hAnsi="Arial Narrow" w:cs="Arial"/>
                <w:sz w:val="20"/>
                <w:szCs w:val="20"/>
              </w:rPr>
              <w:t>s</w:t>
            </w:r>
          </w:p>
        </w:tc>
        <w:tc>
          <w:tcPr>
            <w:tcW w:w="1094" w:type="dxa"/>
            <w:shd w:val="clear" w:color="auto" w:fill="auto"/>
          </w:tcPr>
          <w:p w14:paraId="7FBFE969" w14:textId="77777777" w:rsidR="008F16AA" w:rsidRPr="007F78CE" w:rsidRDefault="008F16AA" w:rsidP="007F78CE">
            <w:pPr>
              <w:spacing w:after="0" w:line="240" w:lineRule="auto"/>
              <w:contextualSpacing/>
              <w:jc w:val="center"/>
              <w:rPr>
                <w:rFonts w:ascii="Arial Narrow" w:hAnsi="Arial Narrow" w:cs="Arial"/>
                <w:bCs/>
                <w:sz w:val="20"/>
                <w:szCs w:val="20"/>
              </w:rPr>
            </w:pPr>
            <w:r>
              <w:rPr>
                <w:rFonts w:ascii="Arial Narrow" w:hAnsi="Arial Narrow" w:cs="Arial"/>
                <w:sz w:val="20"/>
                <w:szCs w:val="20"/>
              </w:rPr>
              <w:t>Faible</w:t>
            </w:r>
          </w:p>
          <w:p w14:paraId="006A567D"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55" w:type="dxa"/>
            <w:shd w:val="clear" w:color="auto" w:fill="auto"/>
          </w:tcPr>
          <w:p w14:paraId="0A8497E9"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1BC4765A"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21" w:type="dxa"/>
            <w:shd w:val="clear" w:color="auto" w:fill="auto"/>
          </w:tcPr>
          <w:p w14:paraId="5AFD1C38"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3B307769"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42" w:type="dxa"/>
            <w:shd w:val="clear" w:color="auto" w:fill="auto"/>
          </w:tcPr>
          <w:p w14:paraId="4D61B7E2"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38D8308B"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98" w:type="dxa"/>
            <w:shd w:val="clear" w:color="auto" w:fill="00B050"/>
          </w:tcPr>
          <w:p w14:paraId="58CB1D5C" w14:textId="77777777" w:rsidR="008F16AA" w:rsidRPr="007F78CE" w:rsidRDefault="008F16AA"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Mineure</w:t>
            </w:r>
          </w:p>
          <w:p w14:paraId="03323C99" w14:textId="77777777" w:rsidR="008F16AA" w:rsidRPr="007F78CE" w:rsidRDefault="008F16AA" w:rsidP="0019037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5</w:t>
            </w:r>
            <w:r w:rsidRPr="007F78CE">
              <w:rPr>
                <w:rFonts w:ascii="Arial Narrow" w:hAnsi="Arial Narrow" w:cs="Arial"/>
                <w:sz w:val="20"/>
                <w:szCs w:val="20"/>
              </w:rPr>
              <w:t>)</w:t>
            </w:r>
          </w:p>
        </w:tc>
        <w:tc>
          <w:tcPr>
            <w:tcW w:w="1064" w:type="dxa"/>
            <w:shd w:val="clear" w:color="auto" w:fill="auto"/>
            <w:vAlign w:val="center"/>
          </w:tcPr>
          <w:p w14:paraId="394B7BD2" w14:textId="77777777" w:rsidR="008F16AA" w:rsidRDefault="008F16AA" w:rsidP="008F16AA">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1054" w:type="dxa"/>
            <w:shd w:val="clear" w:color="auto" w:fill="BFBFBF"/>
            <w:vAlign w:val="center"/>
          </w:tcPr>
          <w:p w14:paraId="1FD9F0A6" w14:textId="77777777" w:rsidR="008F16AA" w:rsidRDefault="008F16AA" w:rsidP="008435F2">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r>
      <w:tr w:rsidR="008F16AA" w:rsidRPr="007F78CE" w14:paraId="78531455" w14:textId="77777777" w:rsidTr="00345918">
        <w:trPr>
          <w:jc w:val="center"/>
        </w:trPr>
        <w:tc>
          <w:tcPr>
            <w:tcW w:w="1736" w:type="dxa"/>
          </w:tcPr>
          <w:p w14:paraId="06634524" w14:textId="77777777" w:rsidR="008F16AA" w:rsidRPr="007F78CE" w:rsidRDefault="008F16AA" w:rsidP="00B434A6">
            <w:pPr>
              <w:spacing w:after="0" w:line="240" w:lineRule="auto"/>
              <w:contextualSpacing/>
              <w:rPr>
                <w:rFonts w:ascii="Arial Narrow" w:hAnsi="Arial Narrow" w:cs="Arial"/>
                <w:sz w:val="20"/>
                <w:szCs w:val="20"/>
              </w:rPr>
            </w:pPr>
            <w:r>
              <w:rPr>
                <w:rFonts w:ascii="Arial Narrow" w:hAnsi="Arial Narrow" w:cs="Arial"/>
                <w:sz w:val="20"/>
                <w:szCs w:val="20"/>
              </w:rPr>
              <w:t>Centrale électrique solaire</w:t>
            </w:r>
          </w:p>
        </w:tc>
        <w:tc>
          <w:tcPr>
            <w:tcW w:w="1094" w:type="dxa"/>
            <w:shd w:val="clear" w:color="auto" w:fill="auto"/>
          </w:tcPr>
          <w:p w14:paraId="29601912" w14:textId="77777777" w:rsidR="008F16AA" w:rsidRPr="007F78CE" w:rsidRDefault="008F16AA" w:rsidP="0068003D">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Moyenne</w:t>
            </w:r>
          </w:p>
          <w:p w14:paraId="66AE9AB5"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55" w:type="dxa"/>
            <w:shd w:val="clear" w:color="auto" w:fill="auto"/>
          </w:tcPr>
          <w:p w14:paraId="5372036B" w14:textId="77777777" w:rsidR="008F16AA" w:rsidRPr="007F78CE" w:rsidRDefault="008F16A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57FA0EC4"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21" w:type="dxa"/>
            <w:shd w:val="clear" w:color="auto" w:fill="auto"/>
          </w:tcPr>
          <w:p w14:paraId="2F154873" w14:textId="77777777" w:rsidR="008F16AA" w:rsidRPr="007F78CE" w:rsidRDefault="008F16A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5E89360C"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42" w:type="dxa"/>
            <w:shd w:val="clear" w:color="auto" w:fill="auto"/>
          </w:tcPr>
          <w:p w14:paraId="50EB5522" w14:textId="77777777" w:rsidR="008F16AA" w:rsidRPr="007F78CE" w:rsidRDefault="008F16A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6F2DCCF8"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98" w:type="dxa"/>
            <w:shd w:val="clear" w:color="auto" w:fill="FFFF00"/>
          </w:tcPr>
          <w:p w14:paraId="4B1D3B35" w14:textId="77777777" w:rsidR="008F16AA" w:rsidRPr="007F78CE" w:rsidRDefault="008F16A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3B75367F"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vAlign w:val="center"/>
          </w:tcPr>
          <w:p w14:paraId="1AB8829A" w14:textId="77777777" w:rsidR="008F16AA" w:rsidRPr="007F78CE" w:rsidRDefault="008F16AA" w:rsidP="008F16AA">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1054" w:type="dxa"/>
            <w:shd w:val="clear" w:color="auto" w:fill="FFC000"/>
            <w:vAlign w:val="center"/>
          </w:tcPr>
          <w:p w14:paraId="337706F8" w14:textId="77777777" w:rsidR="008F16AA" w:rsidRPr="007F78CE" w:rsidRDefault="008F16AA" w:rsidP="008435F2">
            <w:pPr>
              <w:spacing w:after="0" w:line="240" w:lineRule="auto"/>
              <w:contextualSpacing/>
              <w:jc w:val="center"/>
              <w:rPr>
                <w:rFonts w:ascii="Arial Narrow" w:hAnsi="Arial Narrow" w:cs="Arial"/>
                <w:sz w:val="20"/>
                <w:szCs w:val="20"/>
              </w:rPr>
            </w:pPr>
            <w:r>
              <w:rPr>
                <w:rFonts w:ascii="Arial Narrow" w:hAnsi="Arial Narrow" w:cs="Arial"/>
                <w:sz w:val="20"/>
                <w:szCs w:val="20"/>
              </w:rPr>
              <w:t>Elevé</w:t>
            </w:r>
          </w:p>
        </w:tc>
      </w:tr>
      <w:tr w:rsidR="008F16AA" w:rsidRPr="007F78CE" w14:paraId="65CE2622" w14:textId="77777777" w:rsidTr="00345918">
        <w:trPr>
          <w:jc w:val="center"/>
        </w:trPr>
        <w:tc>
          <w:tcPr>
            <w:tcW w:w="1736" w:type="dxa"/>
          </w:tcPr>
          <w:p w14:paraId="26400295" w14:textId="77777777" w:rsidR="008F16AA" w:rsidRPr="007F78CE" w:rsidRDefault="008F16AA" w:rsidP="00345918">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94" w:type="dxa"/>
            <w:shd w:val="clear" w:color="auto" w:fill="auto"/>
          </w:tcPr>
          <w:p w14:paraId="00AFD1CB" w14:textId="77777777" w:rsidR="008F16AA" w:rsidRPr="007F78CE" w:rsidRDefault="008F16AA" w:rsidP="0068003D">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Moyenne</w:t>
            </w:r>
          </w:p>
          <w:p w14:paraId="74100D0B"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55" w:type="dxa"/>
            <w:shd w:val="clear" w:color="auto" w:fill="auto"/>
          </w:tcPr>
          <w:p w14:paraId="26D156F6" w14:textId="77777777" w:rsidR="008F16AA" w:rsidRPr="007F78CE" w:rsidRDefault="008F16A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4801D30A"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21" w:type="dxa"/>
            <w:shd w:val="clear" w:color="auto" w:fill="auto"/>
          </w:tcPr>
          <w:p w14:paraId="0909FEE7" w14:textId="77777777" w:rsidR="008F16AA" w:rsidRPr="007F78CE" w:rsidRDefault="008F16A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5F849658"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42" w:type="dxa"/>
            <w:shd w:val="clear" w:color="auto" w:fill="auto"/>
          </w:tcPr>
          <w:p w14:paraId="7C88912C" w14:textId="77777777" w:rsidR="008F16AA" w:rsidRPr="007F78CE" w:rsidRDefault="008F16A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1E3631B5"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98" w:type="dxa"/>
            <w:shd w:val="clear" w:color="auto" w:fill="FFFF00"/>
          </w:tcPr>
          <w:p w14:paraId="201DB5D0" w14:textId="77777777" w:rsidR="008F16AA" w:rsidRPr="007F78CE" w:rsidRDefault="008F16A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2ED4A3DC"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vAlign w:val="center"/>
          </w:tcPr>
          <w:p w14:paraId="2E9F0AB6" w14:textId="77777777" w:rsidR="008F16AA" w:rsidRPr="007F78CE" w:rsidRDefault="008F16AA" w:rsidP="008F16AA">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1054" w:type="dxa"/>
            <w:shd w:val="clear" w:color="auto" w:fill="FFC000"/>
            <w:vAlign w:val="center"/>
          </w:tcPr>
          <w:p w14:paraId="266AAF27" w14:textId="77777777" w:rsidR="008F16AA" w:rsidRPr="007F78CE" w:rsidRDefault="008F16AA" w:rsidP="008435F2">
            <w:pPr>
              <w:spacing w:after="0" w:line="240" w:lineRule="auto"/>
              <w:contextualSpacing/>
              <w:jc w:val="center"/>
              <w:rPr>
                <w:rFonts w:ascii="Arial Narrow" w:hAnsi="Arial Narrow" w:cs="Arial"/>
                <w:sz w:val="20"/>
                <w:szCs w:val="20"/>
              </w:rPr>
            </w:pPr>
            <w:r>
              <w:rPr>
                <w:rFonts w:ascii="Arial Narrow" w:hAnsi="Arial Narrow" w:cs="Arial"/>
                <w:sz w:val="20"/>
                <w:szCs w:val="20"/>
              </w:rPr>
              <w:t>Elevé</w:t>
            </w:r>
          </w:p>
        </w:tc>
      </w:tr>
      <w:tr w:rsidR="00345918" w:rsidRPr="007F78CE" w14:paraId="41A6D30E" w14:textId="77777777" w:rsidTr="00FB04F6">
        <w:trPr>
          <w:jc w:val="center"/>
        </w:trPr>
        <w:tc>
          <w:tcPr>
            <w:tcW w:w="1736" w:type="dxa"/>
          </w:tcPr>
          <w:p w14:paraId="3099E4AF" w14:textId="77777777" w:rsidR="008F16AA" w:rsidRDefault="008F16AA" w:rsidP="00B434A6">
            <w:pPr>
              <w:spacing w:after="0" w:line="240" w:lineRule="auto"/>
              <w:contextualSpacing/>
              <w:rPr>
                <w:rFonts w:ascii="Arial Narrow" w:hAnsi="Arial Narrow" w:cs="Arial"/>
                <w:sz w:val="20"/>
                <w:szCs w:val="20"/>
              </w:rPr>
            </w:pPr>
            <w:r>
              <w:rPr>
                <w:rFonts w:ascii="Arial Narrow" w:hAnsi="Arial Narrow" w:cs="Arial"/>
                <w:sz w:val="20"/>
                <w:szCs w:val="20"/>
              </w:rPr>
              <w:t xml:space="preserve">Réseau électrique </w:t>
            </w:r>
          </w:p>
        </w:tc>
        <w:tc>
          <w:tcPr>
            <w:tcW w:w="1094" w:type="dxa"/>
            <w:shd w:val="clear" w:color="auto" w:fill="auto"/>
          </w:tcPr>
          <w:p w14:paraId="1AE6CA7E" w14:textId="77777777" w:rsidR="008F16AA" w:rsidRPr="007F78CE" w:rsidRDefault="008F16AA" w:rsidP="00296692">
            <w:pPr>
              <w:spacing w:after="0" w:line="240" w:lineRule="auto"/>
              <w:contextualSpacing/>
              <w:jc w:val="center"/>
              <w:rPr>
                <w:rFonts w:ascii="Arial Narrow" w:hAnsi="Arial Narrow" w:cs="Arial"/>
                <w:bCs/>
                <w:sz w:val="20"/>
                <w:szCs w:val="20"/>
              </w:rPr>
            </w:pPr>
            <w:r>
              <w:rPr>
                <w:rFonts w:ascii="Arial Narrow" w:hAnsi="Arial Narrow" w:cs="Arial"/>
                <w:sz w:val="20"/>
                <w:szCs w:val="20"/>
              </w:rPr>
              <w:t>Faible</w:t>
            </w:r>
          </w:p>
          <w:p w14:paraId="22F3111A" w14:textId="77777777" w:rsidR="008F16AA" w:rsidRPr="007F78CE" w:rsidRDefault="008F16A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55" w:type="dxa"/>
            <w:shd w:val="clear" w:color="auto" w:fill="auto"/>
          </w:tcPr>
          <w:p w14:paraId="61E3D74D" w14:textId="77777777" w:rsidR="008F16AA" w:rsidRPr="007F78CE" w:rsidRDefault="008F16AA"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7CC7A266" w14:textId="77777777" w:rsidR="008F16AA" w:rsidRPr="007F78CE" w:rsidRDefault="008F16A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21" w:type="dxa"/>
            <w:shd w:val="clear" w:color="auto" w:fill="auto"/>
          </w:tcPr>
          <w:p w14:paraId="11AE25CF" w14:textId="77777777" w:rsidR="008F16AA" w:rsidRPr="007F78CE" w:rsidRDefault="008F16AA"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60ED2853" w14:textId="77777777" w:rsidR="008F16AA" w:rsidRPr="007F78CE" w:rsidRDefault="008F16A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42" w:type="dxa"/>
            <w:shd w:val="clear" w:color="auto" w:fill="auto"/>
          </w:tcPr>
          <w:p w14:paraId="0530E5DA" w14:textId="77777777" w:rsidR="008F16AA" w:rsidRPr="007F78CE" w:rsidRDefault="008F16AA"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3FEE8CAD" w14:textId="77777777" w:rsidR="008F16AA" w:rsidRPr="007F78CE" w:rsidRDefault="008F16A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98" w:type="dxa"/>
            <w:shd w:val="clear" w:color="auto" w:fill="00B050"/>
          </w:tcPr>
          <w:p w14:paraId="3D979054" w14:textId="77777777" w:rsidR="008F16AA" w:rsidRPr="007F78CE" w:rsidRDefault="008F16AA"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Mineure</w:t>
            </w:r>
          </w:p>
          <w:p w14:paraId="7A88CB4A" w14:textId="77777777" w:rsidR="008F16AA" w:rsidRPr="007F78CE" w:rsidRDefault="008F16A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5</w:t>
            </w:r>
            <w:r w:rsidRPr="007F78CE">
              <w:rPr>
                <w:rFonts w:ascii="Arial Narrow" w:hAnsi="Arial Narrow" w:cs="Arial"/>
                <w:sz w:val="20"/>
                <w:szCs w:val="20"/>
              </w:rPr>
              <w:t>)</w:t>
            </w:r>
          </w:p>
        </w:tc>
        <w:tc>
          <w:tcPr>
            <w:tcW w:w="1064" w:type="dxa"/>
            <w:shd w:val="clear" w:color="auto" w:fill="auto"/>
            <w:vAlign w:val="center"/>
          </w:tcPr>
          <w:p w14:paraId="6CEBE1D9" w14:textId="77777777" w:rsidR="008F16AA" w:rsidRDefault="008F16AA" w:rsidP="008F16AA">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1054" w:type="dxa"/>
            <w:shd w:val="clear" w:color="auto" w:fill="BFBFBF"/>
            <w:vAlign w:val="center"/>
          </w:tcPr>
          <w:p w14:paraId="3044275C" w14:textId="77777777" w:rsidR="008F16AA" w:rsidRDefault="008F16AA" w:rsidP="008435F2">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r>
      <w:tr w:rsidR="00345918" w:rsidRPr="007F78CE" w14:paraId="4CE2F625" w14:textId="77777777" w:rsidTr="00FB04F6">
        <w:trPr>
          <w:jc w:val="center"/>
        </w:trPr>
        <w:tc>
          <w:tcPr>
            <w:tcW w:w="1736" w:type="dxa"/>
          </w:tcPr>
          <w:p w14:paraId="37FBA9BC" w14:textId="77777777" w:rsidR="001716F8" w:rsidRDefault="001716F8" w:rsidP="00B434A6">
            <w:pPr>
              <w:spacing w:after="0" w:line="240" w:lineRule="auto"/>
              <w:contextualSpacing/>
              <w:rPr>
                <w:rFonts w:ascii="Arial Narrow" w:hAnsi="Arial Narrow" w:cs="Arial"/>
                <w:sz w:val="20"/>
                <w:szCs w:val="20"/>
              </w:rPr>
            </w:pPr>
            <w:r>
              <w:rPr>
                <w:rFonts w:ascii="Arial Narrow" w:hAnsi="Arial Narrow" w:cs="Arial"/>
                <w:sz w:val="20"/>
                <w:szCs w:val="20"/>
              </w:rPr>
              <w:t xml:space="preserve">Impact cumulé </w:t>
            </w:r>
          </w:p>
        </w:tc>
        <w:tc>
          <w:tcPr>
            <w:tcW w:w="1094" w:type="dxa"/>
            <w:shd w:val="clear" w:color="auto" w:fill="auto"/>
          </w:tcPr>
          <w:p w14:paraId="4CAB6F7B" w14:textId="77777777" w:rsidR="001716F8" w:rsidRPr="007F78CE" w:rsidRDefault="001716F8" w:rsidP="00D70FB3">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Moyenne</w:t>
            </w:r>
          </w:p>
          <w:p w14:paraId="67E0A7E2" w14:textId="77777777" w:rsidR="001716F8"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55" w:type="dxa"/>
            <w:shd w:val="clear" w:color="auto" w:fill="auto"/>
          </w:tcPr>
          <w:p w14:paraId="30958004"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725CD70B"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21" w:type="dxa"/>
            <w:shd w:val="clear" w:color="auto" w:fill="auto"/>
          </w:tcPr>
          <w:p w14:paraId="6EB2A6AC"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56B1010E"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42" w:type="dxa"/>
            <w:shd w:val="clear" w:color="auto" w:fill="auto"/>
          </w:tcPr>
          <w:p w14:paraId="5F825791"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26663B95"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98" w:type="dxa"/>
            <w:shd w:val="clear" w:color="auto" w:fill="FFFF00"/>
          </w:tcPr>
          <w:p w14:paraId="3B0877CE"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4EE8E7E9" w14:textId="77777777" w:rsidR="001716F8"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vAlign w:val="center"/>
          </w:tcPr>
          <w:p w14:paraId="5815B9D3" w14:textId="77777777" w:rsidR="001716F8" w:rsidRDefault="001716F8" w:rsidP="008F16AA">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1054" w:type="dxa"/>
            <w:shd w:val="clear" w:color="auto" w:fill="FFC000"/>
            <w:vAlign w:val="center"/>
          </w:tcPr>
          <w:p w14:paraId="5486A7DF" w14:textId="77777777" w:rsidR="001716F8" w:rsidRDefault="001716F8" w:rsidP="008435F2">
            <w:pPr>
              <w:spacing w:after="0" w:line="240" w:lineRule="auto"/>
              <w:contextualSpacing/>
              <w:jc w:val="center"/>
              <w:rPr>
                <w:rFonts w:ascii="Arial Narrow" w:hAnsi="Arial Narrow" w:cs="Arial"/>
                <w:sz w:val="20"/>
                <w:szCs w:val="20"/>
              </w:rPr>
            </w:pPr>
            <w:r>
              <w:rPr>
                <w:rFonts w:ascii="Arial Narrow" w:hAnsi="Arial Narrow" w:cs="Arial"/>
                <w:sz w:val="20"/>
                <w:szCs w:val="20"/>
              </w:rPr>
              <w:t>Elevé</w:t>
            </w:r>
          </w:p>
        </w:tc>
      </w:tr>
    </w:tbl>
    <w:p w14:paraId="3A09C501" w14:textId="77777777" w:rsidR="0090044A" w:rsidRPr="007F78CE" w:rsidRDefault="0090044A" w:rsidP="00687DD2">
      <w:pPr>
        <w:pStyle w:val="Titre5"/>
        <w:keepNext w:val="0"/>
        <w:keepLines w:val="0"/>
        <w:numPr>
          <w:ilvl w:val="0"/>
          <w:numId w:val="94"/>
        </w:numPr>
        <w:tabs>
          <w:tab w:val="left" w:pos="708"/>
        </w:tabs>
        <w:spacing w:before="280" w:after="280" w:line="240" w:lineRule="auto"/>
        <w:contextualSpacing/>
        <w:jc w:val="both"/>
        <w:rPr>
          <w:rFonts w:eastAsia="Calibri"/>
          <w:b/>
          <w:bCs/>
        </w:rPr>
      </w:pPr>
      <w:r w:rsidRPr="007F78CE">
        <w:rPr>
          <w:rFonts w:eastAsia="Calibri"/>
          <w:b/>
          <w:bCs/>
        </w:rPr>
        <w:t xml:space="preserve">Au niveau du sol </w:t>
      </w:r>
    </w:p>
    <w:p w14:paraId="23D78FDB" w14:textId="77777777" w:rsidR="0090044A" w:rsidRPr="00185F31" w:rsidRDefault="0090044A" w:rsidP="00687DD2">
      <w:pPr>
        <w:pStyle w:val="Normal12"/>
        <w:numPr>
          <w:ilvl w:val="0"/>
          <w:numId w:val="85"/>
        </w:numPr>
        <w:spacing w:before="100" w:beforeAutospacing="1" w:after="100" w:afterAutospacing="1"/>
        <w:ind w:left="1077" w:hanging="357"/>
        <w:contextualSpacing/>
        <w:rPr>
          <w:i/>
          <w:iCs/>
          <w:lang w:val="fr-FR"/>
        </w:rPr>
      </w:pPr>
      <w:r w:rsidRPr="00185F31">
        <w:rPr>
          <w:i/>
          <w:iCs/>
          <w:lang w:val="fr-FR"/>
        </w:rPr>
        <w:t>Compaction du sol</w:t>
      </w:r>
    </w:p>
    <w:p w14:paraId="1FB68BE5" w14:textId="77777777" w:rsidR="0090044A" w:rsidRPr="008D2A01" w:rsidRDefault="0090044A" w:rsidP="00F01166">
      <w:pPr>
        <w:widowControl w:val="0"/>
        <w:jc w:val="both"/>
        <w:rPr>
          <w:rFonts w:ascii="Arial" w:hAnsi="Arial" w:cs="Arial"/>
        </w:rPr>
      </w:pPr>
      <w:r w:rsidRPr="008D2A01">
        <w:rPr>
          <w:rFonts w:ascii="Arial" w:hAnsi="Arial" w:cs="Arial"/>
        </w:rPr>
        <w:t>La circulation des véhicules de chantier engendrera un tassement du sol. Néanmoins, étant donné que ce phénomène ne s’observe que très localement au niveau des sites d’implantations des infrastructures ainsi qu’au niveau des pistes de desserte. D’autant que cela se produira seulement depuis la phase de préparation au repli de chantier. L’importance de cet impact est alors évaluée « Mineure »</w:t>
      </w:r>
      <w:r w:rsidR="007A7B38">
        <w:rPr>
          <w:rFonts w:ascii="Arial" w:hAnsi="Arial" w:cs="Arial"/>
        </w:rPr>
        <w:t xml:space="preserve"> et à très faible</w:t>
      </w:r>
      <w:r w:rsidR="007A7B38" w:rsidRPr="007A7B38">
        <w:rPr>
          <w:rFonts w:ascii="Arial" w:hAnsi="Arial" w:cs="Arial"/>
        </w:rPr>
        <w:t xml:space="preserve"> </w:t>
      </w:r>
      <w:r w:rsidR="007A7B38">
        <w:rPr>
          <w:rFonts w:ascii="Arial" w:hAnsi="Arial" w:cs="Arial"/>
        </w:rPr>
        <w:t>risque</w:t>
      </w:r>
      <w:r w:rsidRPr="008D2A01">
        <w:rPr>
          <w:rFonts w:ascii="Arial" w:hAnsi="Arial" w:cs="Arial"/>
        </w:rPr>
        <w:t xml:space="preserve"> comme en montre le tableau suivant. </w:t>
      </w:r>
    </w:p>
    <w:p w14:paraId="392180AC" w14:textId="77777777" w:rsidR="0090044A" w:rsidRPr="002E58DC" w:rsidRDefault="0090044A" w:rsidP="002E58DC">
      <w:pPr>
        <w:pStyle w:val="Lgende"/>
        <w:spacing w:before="120"/>
        <w:jc w:val="center"/>
        <w:rPr>
          <w:sz w:val="20"/>
        </w:rPr>
      </w:pPr>
      <w:bookmarkStart w:id="901" w:name="_Toc100753917"/>
      <w:bookmarkStart w:id="902" w:name="_Toc127957817"/>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21</w:t>
      </w:r>
      <w:r w:rsidRPr="002E58DC">
        <w:rPr>
          <w:sz w:val="20"/>
        </w:rPr>
        <w:fldChar w:fldCharType="end"/>
      </w:r>
      <w:r w:rsidRPr="002E58DC">
        <w:rPr>
          <w:sz w:val="20"/>
        </w:rPr>
        <w:t>. Evaluation</w:t>
      </w:r>
      <w:r w:rsidR="00FB273B">
        <w:rPr>
          <w:sz w:val="20"/>
        </w:rPr>
        <w:t xml:space="preserve"> de</w:t>
      </w:r>
      <w:r w:rsidRPr="002E58DC">
        <w:rPr>
          <w:sz w:val="20"/>
        </w:rPr>
        <w:t xml:space="preserve"> l’impact –Compaction des sols</w:t>
      </w:r>
      <w:bookmarkEnd w:id="901"/>
      <w:bookmarkEnd w:id="902"/>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1065"/>
        <w:gridCol w:w="959"/>
        <w:gridCol w:w="928"/>
        <w:gridCol w:w="1347"/>
        <w:gridCol w:w="1298"/>
        <w:gridCol w:w="1064"/>
        <w:gridCol w:w="885"/>
        <w:tblGridChange w:id="903">
          <w:tblGrid>
            <w:gridCol w:w="1742"/>
            <w:gridCol w:w="1065"/>
            <w:gridCol w:w="959"/>
            <w:gridCol w:w="928"/>
            <w:gridCol w:w="1347"/>
            <w:gridCol w:w="1298"/>
            <w:gridCol w:w="1064"/>
            <w:gridCol w:w="885"/>
          </w:tblGrid>
        </w:tblGridChange>
      </w:tblGrid>
      <w:tr w:rsidR="008F16AA" w:rsidRPr="007F78CE" w14:paraId="49337DEB" w14:textId="77777777" w:rsidTr="00345918">
        <w:trPr>
          <w:jc w:val="center"/>
        </w:trPr>
        <w:tc>
          <w:tcPr>
            <w:tcW w:w="1742" w:type="dxa"/>
            <w:shd w:val="clear" w:color="auto" w:fill="BFBFBF"/>
          </w:tcPr>
          <w:p w14:paraId="55520DF7" w14:textId="77777777" w:rsidR="008F16AA" w:rsidRPr="007F78CE" w:rsidRDefault="008F16AA" w:rsidP="00B434A6">
            <w:pPr>
              <w:spacing w:after="0" w:line="240" w:lineRule="auto"/>
              <w:jc w:val="center"/>
              <w:rPr>
                <w:rFonts w:ascii="Arial Narrow" w:hAnsi="Arial Narrow"/>
                <w:b/>
                <w:bCs/>
                <w:sz w:val="20"/>
                <w:szCs w:val="20"/>
              </w:rPr>
            </w:pPr>
            <w:r>
              <w:rPr>
                <w:rFonts w:ascii="Arial Narrow" w:hAnsi="Arial Narrow"/>
                <w:b/>
                <w:bCs/>
                <w:sz w:val="20"/>
                <w:szCs w:val="20"/>
              </w:rPr>
              <w:t>Sous Projet</w:t>
            </w:r>
          </w:p>
        </w:tc>
        <w:tc>
          <w:tcPr>
            <w:tcW w:w="1065" w:type="dxa"/>
            <w:shd w:val="clear" w:color="auto" w:fill="BFBFBF"/>
          </w:tcPr>
          <w:p w14:paraId="47EEA182" w14:textId="77777777" w:rsidR="008F16AA" w:rsidRPr="007F78CE" w:rsidRDefault="008F16AA"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959" w:type="dxa"/>
            <w:shd w:val="clear" w:color="auto" w:fill="BFBFBF"/>
          </w:tcPr>
          <w:p w14:paraId="28B6DDD5" w14:textId="77777777" w:rsidR="008F16AA" w:rsidRPr="007F78CE" w:rsidRDefault="008F16AA" w:rsidP="007F78CE">
            <w:pPr>
              <w:spacing w:after="0" w:line="240" w:lineRule="auto"/>
              <w:rPr>
                <w:rFonts w:ascii="Arial Narrow" w:hAnsi="Arial Narrow"/>
                <w:b/>
                <w:bCs/>
                <w:sz w:val="20"/>
                <w:szCs w:val="20"/>
              </w:rPr>
            </w:pPr>
            <w:r w:rsidRPr="007F78CE">
              <w:rPr>
                <w:rFonts w:ascii="Arial Narrow" w:hAnsi="Arial Narrow"/>
                <w:b/>
                <w:bCs/>
                <w:sz w:val="20"/>
                <w:szCs w:val="20"/>
              </w:rPr>
              <w:t>Etendue</w:t>
            </w:r>
          </w:p>
        </w:tc>
        <w:tc>
          <w:tcPr>
            <w:tcW w:w="928" w:type="dxa"/>
            <w:shd w:val="clear" w:color="auto" w:fill="BFBFBF"/>
          </w:tcPr>
          <w:p w14:paraId="0A68F38C" w14:textId="77777777" w:rsidR="008F16AA" w:rsidRPr="007F78CE" w:rsidRDefault="008F16AA"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347" w:type="dxa"/>
            <w:shd w:val="clear" w:color="auto" w:fill="BFBFBF"/>
          </w:tcPr>
          <w:p w14:paraId="7753FA0D" w14:textId="77777777" w:rsidR="008F16AA" w:rsidRPr="007F78CE" w:rsidRDefault="008F16AA"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298" w:type="dxa"/>
            <w:shd w:val="clear" w:color="auto" w:fill="BFBFBF"/>
          </w:tcPr>
          <w:p w14:paraId="6BACCDC4" w14:textId="77777777" w:rsidR="008F16AA" w:rsidRPr="007F78CE" w:rsidRDefault="008F16AA"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auto"/>
          </w:tcPr>
          <w:p w14:paraId="5F5EBA95" w14:textId="77777777" w:rsidR="008F16AA" w:rsidRPr="007F78CE" w:rsidRDefault="008F16AA"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885" w:type="dxa"/>
            <w:shd w:val="clear" w:color="auto" w:fill="auto"/>
          </w:tcPr>
          <w:p w14:paraId="5028D300" w14:textId="77777777" w:rsidR="008F16AA" w:rsidRPr="007F78CE" w:rsidRDefault="008F16AA" w:rsidP="007F78CE">
            <w:pPr>
              <w:spacing w:after="0" w:line="240" w:lineRule="auto"/>
              <w:rPr>
                <w:rFonts w:ascii="Arial Narrow" w:hAnsi="Arial Narrow"/>
                <w:b/>
                <w:bCs/>
                <w:sz w:val="20"/>
                <w:szCs w:val="20"/>
              </w:rPr>
            </w:pPr>
            <w:r>
              <w:rPr>
                <w:rFonts w:ascii="Arial Narrow" w:hAnsi="Arial Narrow"/>
                <w:b/>
                <w:bCs/>
                <w:sz w:val="20"/>
                <w:szCs w:val="20"/>
              </w:rPr>
              <w:t>Risque</w:t>
            </w:r>
          </w:p>
        </w:tc>
      </w:tr>
      <w:tr w:rsidR="00345918" w:rsidRPr="007F78CE" w14:paraId="5F0C3088" w14:textId="77777777" w:rsidTr="00FB04F6">
        <w:trPr>
          <w:jc w:val="center"/>
        </w:trPr>
        <w:tc>
          <w:tcPr>
            <w:tcW w:w="1742" w:type="dxa"/>
          </w:tcPr>
          <w:p w14:paraId="57726ED2" w14:textId="77777777" w:rsidR="008F16AA" w:rsidRPr="007F78CE" w:rsidRDefault="008F16AA" w:rsidP="00345918">
            <w:pPr>
              <w:spacing w:after="0" w:line="240" w:lineRule="auto"/>
              <w:contextualSpacing/>
              <w:rPr>
                <w:rFonts w:ascii="Arial Narrow" w:hAnsi="Arial Narrow" w:cs="Arial"/>
                <w:sz w:val="20"/>
                <w:szCs w:val="20"/>
              </w:rPr>
            </w:pPr>
            <w:r>
              <w:rPr>
                <w:rFonts w:ascii="Arial Narrow" w:hAnsi="Arial Narrow" w:cs="Arial"/>
                <w:sz w:val="20"/>
                <w:szCs w:val="20"/>
              </w:rPr>
              <w:t>Infrastructure</w:t>
            </w:r>
            <w:r w:rsidR="001C0602">
              <w:rPr>
                <w:rFonts w:ascii="Arial Narrow" w:hAnsi="Arial Narrow" w:cs="Arial"/>
                <w:sz w:val="20"/>
                <w:szCs w:val="20"/>
              </w:rPr>
              <w:t>s</w:t>
            </w:r>
            <w:r>
              <w:rPr>
                <w:rFonts w:ascii="Arial Narrow" w:hAnsi="Arial Narrow" w:cs="Arial"/>
                <w:sz w:val="20"/>
                <w:szCs w:val="20"/>
              </w:rPr>
              <w:t xml:space="preserve"> numérique</w:t>
            </w:r>
            <w:r w:rsidR="001C0602">
              <w:rPr>
                <w:rFonts w:ascii="Arial Narrow" w:hAnsi="Arial Narrow" w:cs="Arial"/>
                <w:sz w:val="20"/>
                <w:szCs w:val="20"/>
              </w:rPr>
              <w:t>s</w:t>
            </w:r>
          </w:p>
        </w:tc>
        <w:tc>
          <w:tcPr>
            <w:tcW w:w="1065" w:type="dxa"/>
            <w:shd w:val="clear" w:color="auto" w:fill="auto"/>
          </w:tcPr>
          <w:p w14:paraId="5C124EF2" w14:textId="77777777" w:rsidR="008F16AA" w:rsidRPr="007F78CE" w:rsidRDefault="008F16AA"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456B7FE4"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59" w:type="dxa"/>
            <w:shd w:val="clear" w:color="auto" w:fill="auto"/>
          </w:tcPr>
          <w:p w14:paraId="48162FD6"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w:t>
            </w:r>
          </w:p>
          <w:p w14:paraId="1635EEB3"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28" w:type="dxa"/>
            <w:shd w:val="clear" w:color="auto" w:fill="auto"/>
          </w:tcPr>
          <w:p w14:paraId="2E130738"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2B08C00B"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47" w:type="dxa"/>
            <w:shd w:val="clear" w:color="auto" w:fill="auto"/>
          </w:tcPr>
          <w:p w14:paraId="09BC3187"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13C4BF1E"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98" w:type="dxa"/>
            <w:shd w:val="clear" w:color="auto" w:fill="00B050"/>
          </w:tcPr>
          <w:p w14:paraId="7DE4A8C7"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482BD40D"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(4)</w:t>
            </w:r>
          </w:p>
        </w:tc>
        <w:tc>
          <w:tcPr>
            <w:tcW w:w="1064" w:type="dxa"/>
            <w:shd w:val="clear" w:color="auto" w:fill="auto"/>
            <w:vAlign w:val="center"/>
          </w:tcPr>
          <w:p w14:paraId="5472D701" w14:textId="77777777" w:rsidR="008F16AA" w:rsidRPr="007F78CE" w:rsidRDefault="008F16AA"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885" w:type="dxa"/>
            <w:shd w:val="clear" w:color="auto" w:fill="538135"/>
            <w:vAlign w:val="center"/>
          </w:tcPr>
          <w:p w14:paraId="54AF2ADD" w14:textId="77777777" w:rsidR="008F16AA" w:rsidRPr="007F78CE" w:rsidRDefault="008F16AA" w:rsidP="008F16AA">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Très </w:t>
            </w:r>
            <w:r w:rsidRPr="00801CD3">
              <w:rPr>
                <w:rFonts w:ascii="Arial Narrow" w:hAnsi="Arial Narrow" w:cs="Arial"/>
                <w:sz w:val="20"/>
                <w:szCs w:val="20"/>
              </w:rPr>
              <w:t>Faible</w:t>
            </w:r>
          </w:p>
        </w:tc>
      </w:tr>
      <w:tr w:rsidR="008F16AA" w:rsidRPr="007F78CE" w14:paraId="6FAA8E50" w14:textId="77777777" w:rsidTr="00FB04F6">
        <w:trPr>
          <w:jc w:val="center"/>
        </w:trPr>
        <w:tc>
          <w:tcPr>
            <w:tcW w:w="1742" w:type="dxa"/>
          </w:tcPr>
          <w:p w14:paraId="71AEBFD9" w14:textId="77777777" w:rsidR="008F16AA" w:rsidRPr="007F78CE" w:rsidRDefault="008F16AA" w:rsidP="00B434A6">
            <w:pPr>
              <w:spacing w:after="0" w:line="240" w:lineRule="auto"/>
              <w:contextualSpacing/>
              <w:rPr>
                <w:rFonts w:ascii="Arial Narrow" w:hAnsi="Arial Narrow" w:cs="Arial"/>
                <w:sz w:val="20"/>
                <w:szCs w:val="20"/>
              </w:rPr>
            </w:pPr>
            <w:r>
              <w:rPr>
                <w:rFonts w:ascii="Arial Narrow" w:hAnsi="Arial Narrow" w:cs="Arial"/>
                <w:sz w:val="20"/>
                <w:szCs w:val="20"/>
              </w:rPr>
              <w:t>Centrale électrique solaire</w:t>
            </w:r>
          </w:p>
        </w:tc>
        <w:tc>
          <w:tcPr>
            <w:tcW w:w="1065" w:type="dxa"/>
            <w:shd w:val="clear" w:color="auto" w:fill="auto"/>
          </w:tcPr>
          <w:p w14:paraId="5802DDFE" w14:textId="77777777" w:rsidR="008F16AA" w:rsidRPr="007F78CE" w:rsidRDefault="008F16AA" w:rsidP="0068003D">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010B445A"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59" w:type="dxa"/>
            <w:shd w:val="clear" w:color="auto" w:fill="auto"/>
          </w:tcPr>
          <w:p w14:paraId="2849D377" w14:textId="77777777" w:rsidR="008F16AA" w:rsidRPr="007F78CE" w:rsidRDefault="008F16A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w:t>
            </w:r>
          </w:p>
          <w:p w14:paraId="33423A80"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28" w:type="dxa"/>
            <w:shd w:val="clear" w:color="auto" w:fill="auto"/>
          </w:tcPr>
          <w:p w14:paraId="0ECAFD4F" w14:textId="77777777" w:rsidR="008F16AA" w:rsidRPr="007F78CE" w:rsidRDefault="008F16A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1C646F65"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47" w:type="dxa"/>
            <w:shd w:val="clear" w:color="auto" w:fill="auto"/>
          </w:tcPr>
          <w:p w14:paraId="54122D8D" w14:textId="77777777" w:rsidR="008F16AA" w:rsidRPr="007F78CE" w:rsidRDefault="008F16A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586A50BA"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98" w:type="dxa"/>
            <w:shd w:val="clear" w:color="auto" w:fill="00B050"/>
          </w:tcPr>
          <w:p w14:paraId="01A7D148" w14:textId="77777777" w:rsidR="008F16AA" w:rsidRPr="007F78CE" w:rsidRDefault="008F16A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1E14653D"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(4)</w:t>
            </w:r>
          </w:p>
        </w:tc>
        <w:tc>
          <w:tcPr>
            <w:tcW w:w="1064" w:type="dxa"/>
            <w:shd w:val="clear" w:color="auto" w:fill="auto"/>
          </w:tcPr>
          <w:p w14:paraId="0F7CA3D7" w14:textId="77777777" w:rsidR="008F16AA" w:rsidRPr="007F78CE" w:rsidRDefault="008F16AA" w:rsidP="0068003D">
            <w:pPr>
              <w:spacing w:after="0" w:line="240" w:lineRule="auto"/>
              <w:contextualSpacing/>
              <w:jc w:val="center"/>
              <w:rPr>
                <w:rFonts w:ascii="Arial Narrow" w:hAnsi="Arial Narrow" w:cs="Arial"/>
                <w:sz w:val="20"/>
                <w:szCs w:val="20"/>
              </w:rPr>
            </w:pPr>
            <w:r w:rsidRPr="00EC331D">
              <w:rPr>
                <w:rFonts w:ascii="Arial Narrow" w:hAnsi="Arial Narrow" w:cs="Arial"/>
                <w:sz w:val="20"/>
                <w:szCs w:val="20"/>
              </w:rPr>
              <w:t>Faible</w:t>
            </w:r>
          </w:p>
        </w:tc>
        <w:tc>
          <w:tcPr>
            <w:tcW w:w="885" w:type="dxa"/>
            <w:shd w:val="clear" w:color="auto" w:fill="538135"/>
          </w:tcPr>
          <w:p w14:paraId="3BA62372" w14:textId="77777777" w:rsidR="008F16AA" w:rsidRPr="007F78CE" w:rsidRDefault="008F16AA" w:rsidP="008F16AA">
            <w:pPr>
              <w:spacing w:after="0" w:line="240" w:lineRule="auto"/>
              <w:contextualSpacing/>
              <w:jc w:val="center"/>
              <w:rPr>
                <w:rFonts w:ascii="Arial Narrow" w:hAnsi="Arial Narrow" w:cs="Arial"/>
                <w:sz w:val="20"/>
                <w:szCs w:val="20"/>
              </w:rPr>
            </w:pPr>
            <w:r w:rsidRPr="003A27C1">
              <w:rPr>
                <w:rFonts w:ascii="Arial Narrow" w:hAnsi="Arial Narrow" w:cs="Arial"/>
                <w:sz w:val="20"/>
                <w:szCs w:val="20"/>
              </w:rPr>
              <w:t>Très Faible</w:t>
            </w:r>
          </w:p>
        </w:tc>
      </w:tr>
      <w:tr w:rsidR="008F16AA" w:rsidRPr="007F78CE" w14:paraId="23616435" w14:textId="77777777" w:rsidTr="00FB04F6">
        <w:trPr>
          <w:jc w:val="center"/>
        </w:trPr>
        <w:tc>
          <w:tcPr>
            <w:tcW w:w="1742" w:type="dxa"/>
          </w:tcPr>
          <w:p w14:paraId="7D227690" w14:textId="77777777" w:rsidR="008F16AA" w:rsidRPr="007F78CE" w:rsidRDefault="008F16AA" w:rsidP="00345918">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65" w:type="dxa"/>
            <w:shd w:val="clear" w:color="auto" w:fill="auto"/>
          </w:tcPr>
          <w:p w14:paraId="2E2B7AE8" w14:textId="77777777" w:rsidR="008F16AA" w:rsidRPr="007F78CE" w:rsidRDefault="008F16AA" w:rsidP="0068003D">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5516F537" w14:textId="77777777" w:rsidR="008F16AA" w:rsidRPr="007F78CE" w:rsidRDefault="008F16AA" w:rsidP="00B434A6">
            <w:pPr>
              <w:tabs>
                <w:tab w:val="left" w:pos="988"/>
              </w:tabs>
              <w:spacing w:after="0" w:line="240" w:lineRule="auto"/>
              <w:contextualSpacing/>
              <w:jc w:val="center"/>
              <w:rPr>
                <w:rFonts w:ascii="Arial Narrow" w:eastAsia="Times New Roman" w:hAnsi="Arial Narrow" w:cs="Arial"/>
                <w:b/>
                <w:smallCaps/>
                <w:color w:val="000000"/>
                <w:sz w:val="20"/>
                <w:szCs w:val="20"/>
              </w:rPr>
            </w:pPr>
            <w:r w:rsidRPr="007F78CE">
              <w:rPr>
                <w:rFonts w:ascii="Arial Narrow" w:hAnsi="Arial Narrow" w:cs="Arial"/>
                <w:sz w:val="20"/>
                <w:szCs w:val="20"/>
              </w:rPr>
              <w:t>(1)</w:t>
            </w:r>
          </w:p>
        </w:tc>
        <w:tc>
          <w:tcPr>
            <w:tcW w:w="959" w:type="dxa"/>
            <w:shd w:val="clear" w:color="auto" w:fill="auto"/>
          </w:tcPr>
          <w:p w14:paraId="6CCA1E23" w14:textId="77777777" w:rsidR="008F16AA" w:rsidRPr="007F78CE" w:rsidRDefault="008F16A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w:t>
            </w:r>
          </w:p>
          <w:p w14:paraId="20F318C8"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28" w:type="dxa"/>
            <w:shd w:val="clear" w:color="auto" w:fill="auto"/>
          </w:tcPr>
          <w:p w14:paraId="290A7212" w14:textId="77777777" w:rsidR="008F16AA" w:rsidRPr="007F78CE" w:rsidRDefault="008F16A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10C6E5F9"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47" w:type="dxa"/>
            <w:shd w:val="clear" w:color="auto" w:fill="auto"/>
          </w:tcPr>
          <w:p w14:paraId="3971353C" w14:textId="77777777" w:rsidR="008F16AA" w:rsidRPr="007F78CE" w:rsidRDefault="008F16A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471405FB"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98" w:type="dxa"/>
            <w:shd w:val="clear" w:color="auto" w:fill="00B050"/>
          </w:tcPr>
          <w:p w14:paraId="66363716" w14:textId="77777777" w:rsidR="008F16AA" w:rsidRPr="007F78CE" w:rsidRDefault="008F16A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48EC3D14" w14:textId="77777777" w:rsidR="008F16AA" w:rsidRPr="007F78CE" w:rsidRDefault="008F16A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(4)</w:t>
            </w:r>
          </w:p>
        </w:tc>
        <w:tc>
          <w:tcPr>
            <w:tcW w:w="1064" w:type="dxa"/>
            <w:shd w:val="clear" w:color="auto" w:fill="auto"/>
          </w:tcPr>
          <w:p w14:paraId="29F00C4C" w14:textId="77777777" w:rsidR="008F16AA" w:rsidRPr="007F78CE" w:rsidRDefault="008F16AA" w:rsidP="0068003D">
            <w:pPr>
              <w:spacing w:after="0" w:line="240" w:lineRule="auto"/>
              <w:contextualSpacing/>
              <w:jc w:val="center"/>
              <w:rPr>
                <w:rFonts w:ascii="Arial Narrow" w:hAnsi="Arial Narrow" w:cs="Arial"/>
                <w:sz w:val="20"/>
                <w:szCs w:val="20"/>
              </w:rPr>
            </w:pPr>
            <w:r w:rsidRPr="00EC331D">
              <w:rPr>
                <w:rFonts w:ascii="Arial Narrow" w:hAnsi="Arial Narrow" w:cs="Arial"/>
                <w:sz w:val="20"/>
                <w:szCs w:val="20"/>
              </w:rPr>
              <w:t>Faible</w:t>
            </w:r>
          </w:p>
        </w:tc>
        <w:tc>
          <w:tcPr>
            <w:tcW w:w="885" w:type="dxa"/>
            <w:shd w:val="clear" w:color="auto" w:fill="538135"/>
          </w:tcPr>
          <w:p w14:paraId="791485E4" w14:textId="77777777" w:rsidR="008F16AA" w:rsidRPr="007F78CE" w:rsidRDefault="008F16AA" w:rsidP="008F16AA">
            <w:pPr>
              <w:spacing w:after="0" w:line="240" w:lineRule="auto"/>
              <w:contextualSpacing/>
              <w:jc w:val="center"/>
              <w:rPr>
                <w:rFonts w:ascii="Arial Narrow" w:hAnsi="Arial Narrow" w:cs="Arial"/>
                <w:sz w:val="20"/>
                <w:szCs w:val="20"/>
              </w:rPr>
            </w:pPr>
            <w:r w:rsidRPr="003A27C1">
              <w:rPr>
                <w:rFonts w:ascii="Arial Narrow" w:hAnsi="Arial Narrow" w:cs="Arial"/>
                <w:sz w:val="20"/>
                <w:szCs w:val="20"/>
              </w:rPr>
              <w:t>Très Faible</w:t>
            </w:r>
          </w:p>
        </w:tc>
      </w:tr>
      <w:tr w:rsidR="008F16AA" w:rsidRPr="007F78CE" w14:paraId="49450774" w14:textId="77777777" w:rsidTr="00FB04F6">
        <w:trPr>
          <w:jc w:val="center"/>
        </w:trPr>
        <w:tc>
          <w:tcPr>
            <w:tcW w:w="1742" w:type="dxa"/>
          </w:tcPr>
          <w:p w14:paraId="6A4DF9C7" w14:textId="77777777" w:rsidR="008F16AA" w:rsidRDefault="008F16AA" w:rsidP="00B434A6">
            <w:pPr>
              <w:spacing w:after="0" w:line="240" w:lineRule="auto"/>
              <w:contextualSpacing/>
              <w:rPr>
                <w:rFonts w:ascii="Arial Narrow" w:hAnsi="Arial Narrow" w:cs="Arial"/>
                <w:sz w:val="20"/>
                <w:szCs w:val="20"/>
              </w:rPr>
            </w:pPr>
            <w:r>
              <w:rPr>
                <w:rFonts w:ascii="Arial Narrow" w:hAnsi="Arial Narrow" w:cs="Arial"/>
                <w:sz w:val="20"/>
                <w:szCs w:val="20"/>
              </w:rPr>
              <w:t xml:space="preserve">Réseau électrique </w:t>
            </w:r>
          </w:p>
        </w:tc>
        <w:tc>
          <w:tcPr>
            <w:tcW w:w="1065" w:type="dxa"/>
            <w:shd w:val="clear" w:color="auto" w:fill="auto"/>
          </w:tcPr>
          <w:p w14:paraId="4C742DCB" w14:textId="77777777" w:rsidR="008F16AA" w:rsidRPr="007F78CE" w:rsidRDefault="008F16AA" w:rsidP="00296692">
            <w:pPr>
              <w:spacing w:after="0" w:line="240" w:lineRule="auto"/>
              <w:contextualSpacing/>
              <w:jc w:val="center"/>
              <w:rPr>
                <w:rFonts w:ascii="Arial Narrow" w:hAnsi="Arial Narrow" w:cs="Arial"/>
                <w:bCs/>
                <w:sz w:val="20"/>
                <w:szCs w:val="20"/>
              </w:rPr>
            </w:pPr>
            <w:r>
              <w:rPr>
                <w:rFonts w:ascii="Arial Narrow" w:hAnsi="Arial Narrow" w:cs="Arial"/>
                <w:sz w:val="20"/>
                <w:szCs w:val="20"/>
              </w:rPr>
              <w:t>Faible</w:t>
            </w:r>
          </w:p>
          <w:p w14:paraId="200DB12B" w14:textId="77777777" w:rsidR="008F16AA" w:rsidRPr="007F78CE" w:rsidRDefault="008F16AA" w:rsidP="00CE0B6B">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959" w:type="dxa"/>
            <w:shd w:val="clear" w:color="auto" w:fill="auto"/>
          </w:tcPr>
          <w:p w14:paraId="48529217" w14:textId="77777777" w:rsidR="008F16AA" w:rsidRPr="007F78CE" w:rsidRDefault="008F16AA"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22BB6389" w14:textId="77777777" w:rsidR="008F16AA" w:rsidRPr="007F78CE" w:rsidRDefault="008F16A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28" w:type="dxa"/>
            <w:shd w:val="clear" w:color="auto" w:fill="auto"/>
          </w:tcPr>
          <w:p w14:paraId="09E636D2" w14:textId="77777777" w:rsidR="008F16AA" w:rsidRPr="007F78CE" w:rsidRDefault="008F16AA"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5FD1C4AB" w14:textId="77777777" w:rsidR="008F16AA" w:rsidRPr="007F78CE" w:rsidRDefault="008F16A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47" w:type="dxa"/>
            <w:shd w:val="clear" w:color="auto" w:fill="auto"/>
          </w:tcPr>
          <w:p w14:paraId="0D72BEAC" w14:textId="77777777" w:rsidR="008F16AA" w:rsidRPr="007F78CE" w:rsidRDefault="008F16AA"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06098B34" w14:textId="77777777" w:rsidR="008F16AA" w:rsidRPr="007F78CE" w:rsidRDefault="008F16A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98" w:type="dxa"/>
            <w:shd w:val="clear" w:color="auto" w:fill="00B050"/>
          </w:tcPr>
          <w:p w14:paraId="372DFEA4" w14:textId="77777777" w:rsidR="008F16AA" w:rsidRPr="007F78CE" w:rsidRDefault="008F16AA"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Mineure</w:t>
            </w:r>
          </w:p>
          <w:p w14:paraId="7A8EAE9E" w14:textId="77777777" w:rsidR="008F16AA" w:rsidRPr="007F78CE" w:rsidRDefault="008F16A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5</w:t>
            </w:r>
            <w:r w:rsidRPr="007F78CE">
              <w:rPr>
                <w:rFonts w:ascii="Arial Narrow" w:hAnsi="Arial Narrow" w:cs="Arial"/>
                <w:sz w:val="20"/>
                <w:szCs w:val="20"/>
              </w:rPr>
              <w:t>)</w:t>
            </w:r>
          </w:p>
        </w:tc>
        <w:tc>
          <w:tcPr>
            <w:tcW w:w="1064" w:type="dxa"/>
            <w:shd w:val="clear" w:color="auto" w:fill="auto"/>
          </w:tcPr>
          <w:p w14:paraId="4ECDE9D2" w14:textId="77777777" w:rsidR="008F16AA" w:rsidRDefault="008F16AA" w:rsidP="00296692">
            <w:pPr>
              <w:spacing w:after="0" w:line="240" w:lineRule="auto"/>
              <w:contextualSpacing/>
              <w:jc w:val="center"/>
              <w:rPr>
                <w:rFonts w:ascii="Arial Narrow" w:hAnsi="Arial Narrow" w:cs="Arial"/>
                <w:sz w:val="20"/>
                <w:szCs w:val="20"/>
              </w:rPr>
            </w:pPr>
            <w:r w:rsidRPr="00EC331D">
              <w:rPr>
                <w:rFonts w:ascii="Arial Narrow" w:hAnsi="Arial Narrow" w:cs="Arial"/>
                <w:sz w:val="20"/>
                <w:szCs w:val="20"/>
              </w:rPr>
              <w:t>Faible</w:t>
            </w:r>
          </w:p>
        </w:tc>
        <w:tc>
          <w:tcPr>
            <w:tcW w:w="885" w:type="dxa"/>
            <w:shd w:val="clear" w:color="auto" w:fill="538135"/>
          </w:tcPr>
          <w:p w14:paraId="4C8FF208" w14:textId="77777777" w:rsidR="008F16AA" w:rsidRDefault="008F16AA" w:rsidP="008F16AA">
            <w:pPr>
              <w:spacing w:after="0" w:line="240" w:lineRule="auto"/>
              <w:contextualSpacing/>
              <w:jc w:val="center"/>
              <w:rPr>
                <w:rFonts w:ascii="Arial Narrow" w:hAnsi="Arial Narrow" w:cs="Arial"/>
                <w:sz w:val="20"/>
                <w:szCs w:val="20"/>
              </w:rPr>
            </w:pPr>
            <w:r w:rsidRPr="003A27C1">
              <w:rPr>
                <w:rFonts w:ascii="Arial Narrow" w:hAnsi="Arial Narrow" w:cs="Arial"/>
                <w:sz w:val="20"/>
                <w:szCs w:val="20"/>
              </w:rPr>
              <w:t>Très Faible</w:t>
            </w:r>
          </w:p>
        </w:tc>
      </w:tr>
      <w:tr w:rsidR="001716F8" w:rsidRPr="007F78CE" w14:paraId="3ABDA3B7" w14:textId="77777777" w:rsidTr="00FB04F6">
        <w:trPr>
          <w:jc w:val="center"/>
        </w:trPr>
        <w:tc>
          <w:tcPr>
            <w:tcW w:w="1742" w:type="dxa"/>
          </w:tcPr>
          <w:p w14:paraId="783BD237" w14:textId="77777777" w:rsidR="001716F8" w:rsidRDefault="001716F8" w:rsidP="00B434A6">
            <w:pPr>
              <w:spacing w:after="0" w:line="240" w:lineRule="auto"/>
              <w:contextualSpacing/>
              <w:rPr>
                <w:rFonts w:ascii="Arial Narrow" w:hAnsi="Arial Narrow" w:cs="Arial"/>
                <w:sz w:val="20"/>
                <w:szCs w:val="20"/>
              </w:rPr>
            </w:pPr>
            <w:r>
              <w:rPr>
                <w:rFonts w:ascii="Arial Narrow" w:hAnsi="Arial Narrow" w:cs="Arial"/>
                <w:sz w:val="20"/>
                <w:szCs w:val="20"/>
              </w:rPr>
              <w:t>Impact cumulé</w:t>
            </w:r>
          </w:p>
        </w:tc>
        <w:tc>
          <w:tcPr>
            <w:tcW w:w="1065" w:type="dxa"/>
            <w:shd w:val="clear" w:color="auto" w:fill="auto"/>
          </w:tcPr>
          <w:p w14:paraId="29FC8975" w14:textId="77777777" w:rsidR="001716F8" w:rsidRPr="007F78CE" w:rsidRDefault="001716F8" w:rsidP="00D70FB3">
            <w:pPr>
              <w:spacing w:after="0" w:line="240" w:lineRule="auto"/>
              <w:contextualSpacing/>
              <w:jc w:val="center"/>
              <w:rPr>
                <w:rFonts w:ascii="Arial Narrow" w:hAnsi="Arial Narrow" w:cs="Arial"/>
                <w:bCs/>
                <w:sz w:val="20"/>
                <w:szCs w:val="20"/>
              </w:rPr>
            </w:pPr>
            <w:r>
              <w:rPr>
                <w:rFonts w:ascii="Arial Narrow" w:hAnsi="Arial Narrow" w:cs="Arial"/>
                <w:sz w:val="20"/>
                <w:szCs w:val="20"/>
              </w:rPr>
              <w:t>Faible</w:t>
            </w:r>
          </w:p>
          <w:p w14:paraId="5832228C" w14:textId="77777777" w:rsidR="001716F8"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959" w:type="dxa"/>
            <w:shd w:val="clear" w:color="auto" w:fill="auto"/>
          </w:tcPr>
          <w:p w14:paraId="166434EC"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1D4EEFF8"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28" w:type="dxa"/>
            <w:shd w:val="clear" w:color="auto" w:fill="auto"/>
          </w:tcPr>
          <w:p w14:paraId="7858B357"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7DE4FDEC"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47" w:type="dxa"/>
            <w:shd w:val="clear" w:color="auto" w:fill="auto"/>
          </w:tcPr>
          <w:p w14:paraId="54EE4789"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543B35E6"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98" w:type="dxa"/>
            <w:shd w:val="clear" w:color="auto" w:fill="00B050"/>
          </w:tcPr>
          <w:p w14:paraId="7E8F9E4E" w14:textId="77777777" w:rsidR="001716F8" w:rsidRPr="007F78CE" w:rsidRDefault="001716F8" w:rsidP="00D70FB3">
            <w:pPr>
              <w:spacing w:after="0" w:line="240" w:lineRule="auto"/>
              <w:contextualSpacing/>
              <w:jc w:val="center"/>
              <w:rPr>
                <w:rFonts w:ascii="Arial Narrow" w:hAnsi="Arial Narrow" w:cs="Arial"/>
                <w:sz w:val="20"/>
                <w:szCs w:val="20"/>
              </w:rPr>
            </w:pPr>
            <w:r>
              <w:rPr>
                <w:rFonts w:ascii="Arial Narrow" w:hAnsi="Arial Narrow" w:cs="Arial"/>
                <w:sz w:val="20"/>
                <w:szCs w:val="20"/>
              </w:rPr>
              <w:t>Mineure</w:t>
            </w:r>
          </w:p>
          <w:p w14:paraId="66B909CC" w14:textId="77777777" w:rsidR="001716F8"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5</w:t>
            </w:r>
            <w:r w:rsidRPr="007F78CE">
              <w:rPr>
                <w:rFonts w:ascii="Arial Narrow" w:hAnsi="Arial Narrow" w:cs="Arial"/>
                <w:sz w:val="20"/>
                <w:szCs w:val="20"/>
              </w:rPr>
              <w:t>)</w:t>
            </w:r>
          </w:p>
        </w:tc>
        <w:tc>
          <w:tcPr>
            <w:tcW w:w="1064" w:type="dxa"/>
            <w:shd w:val="clear" w:color="auto" w:fill="auto"/>
          </w:tcPr>
          <w:p w14:paraId="63B9D3DD" w14:textId="77777777" w:rsidR="001716F8" w:rsidRPr="00EC331D" w:rsidRDefault="001716F8" w:rsidP="00296692">
            <w:pPr>
              <w:spacing w:after="0" w:line="240" w:lineRule="auto"/>
              <w:contextualSpacing/>
              <w:jc w:val="center"/>
              <w:rPr>
                <w:rFonts w:ascii="Arial Narrow" w:hAnsi="Arial Narrow" w:cs="Arial"/>
                <w:sz w:val="20"/>
                <w:szCs w:val="20"/>
              </w:rPr>
            </w:pPr>
            <w:r w:rsidRPr="00EC331D">
              <w:rPr>
                <w:rFonts w:ascii="Arial Narrow" w:hAnsi="Arial Narrow" w:cs="Arial"/>
                <w:sz w:val="20"/>
                <w:szCs w:val="20"/>
              </w:rPr>
              <w:t>Faible</w:t>
            </w:r>
          </w:p>
        </w:tc>
        <w:tc>
          <w:tcPr>
            <w:tcW w:w="885" w:type="dxa"/>
            <w:shd w:val="clear" w:color="auto" w:fill="538135"/>
          </w:tcPr>
          <w:p w14:paraId="6B01AFAE" w14:textId="77777777" w:rsidR="001716F8" w:rsidRPr="003A27C1" w:rsidRDefault="001716F8" w:rsidP="008F16AA">
            <w:pPr>
              <w:spacing w:after="0" w:line="240" w:lineRule="auto"/>
              <w:contextualSpacing/>
              <w:jc w:val="center"/>
              <w:rPr>
                <w:rFonts w:ascii="Arial Narrow" w:hAnsi="Arial Narrow" w:cs="Arial"/>
                <w:sz w:val="20"/>
                <w:szCs w:val="20"/>
              </w:rPr>
            </w:pPr>
            <w:r w:rsidRPr="003A27C1">
              <w:rPr>
                <w:rFonts w:ascii="Arial Narrow" w:hAnsi="Arial Narrow" w:cs="Arial"/>
                <w:sz w:val="20"/>
                <w:szCs w:val="20"/>
              </w:rPr>
              <w:t>Très Faible</w:t>
            </w:r>
          </w:p>
        </w:tc>
      </w:tr>
    </w:tbl>
    <w:p w14:paraId="183E86EA" w14:textId="77777777" w:rsidR="0090044A" w:rsidRPr="00583FB0" w:rsidRDefault="0090044A" w:rsidP="00687DD2">
      <w:pPr>
        <w:pStyle w:val="Normal12"/>
        <w:numPr>
          <w:ilvl w:val="0"/>
          <w:numId w:val="85"/>
        </w:numPr>
        <w:spacing w:before="100" w:beforeAutospacing="1" w:after="100" w:afterAutospacing="1"/>
        <w:ind w:left="1077" w:hanging="357"/>
        <w:contextualSpacing/>
        <w:rPr>
          <w:i/>
          <w:iCs/>
          <w:lang w:val="fr-FR"/>
        </w:rPr>
      </w:pPr>
      <w:r w:rsidRPr="00583FB0">
        <w:rPr>
          <w:i/>
          <w:iCs/>
          <w:lang w:val="fr-FR"/>
        </w:rPr>
        <w:t>Erosion du sol</w:t>
      </w:r>
    </w:p>
    <w:p w14:paraId="31CA73E9" w14:textId="77777777" w:rsidR="0090044A" w:rsidRPr="008D2A01" w:rsidRDefault="0090044A" w:rsidP="008D2A01">
      <w:pPr>
        <w:jc w:val="both"/>
        <w:rPr>
          <w:rFonts w:ascii="Arial" w:hAnsi="Arial" w:cs="Arial"/>
        </w:rPr>
      </w:pPr>
      <w:r w:rsidRPr="008D2A01">
        <w:rPr>
          <w:rFonts w:ascii="Arial" w:hAnsi="Arial" w:cs="Arial"/>
        </w:rPr>
        <w:t>D’une façon générale, l’érosion du sol dépend de la pente, la texture et structure du sol, de la végétation ainsi que l’intensité de la pluie pour le cas de l’érosion hydrique et de la vitesse du vent dans le cas de l’érosion éolienne. Les déblais issus des travaux de terrassement ainsi que le sol au niveau du gîte d’emprunt et au niveau des carrières peuvent être sujets à l’érosion surtout hydrique et entraînés vers les points bas. Ainsi, son importance sera considérée comme « </w:t>
      </w:r>
      <w:r w:rsidR="00FB273B" w:rsidRPr="008D2A01">
        <w:rPr>
          <w:rFonts w:ascii="Arial" w:hAnsi="Arial" w:cs="Arial"/>
        </w:rPr>
        <w:t>M</w:t>
      </w:r>
      <w:r w:rsidR="00FB273B">
        <w:rPr>
          <w:rFonts w:ascii="Arial" w:hAnsi="Arial" w:cs="Arial"/>
        </w:rPr>
        <w:t>ineure</w:t>
      </w:r>
      <w:r w:rsidR="00FB273B" w:rsidRPr="008D2A01">
        <w:rPr>
          <w:rFonts w:ascii="Arial" w:hAnsi="Arial" w:cs="Arial"/>
        </w:rPr>
        <w:t> </w:t>
      </w:r>
      <w:r w:rsidRPr="008D2A01">
        <w:rPr>
          <w:rFonts w:ascii="Arial" w:hAnsi="Arial" w:cs="Arial"/>
        </w:rPr>
        <w:t>»</w:t>
      </w:r>
      <w:r w:rsidR="00FB273B">
        <w:rPr>
          <w:rFonts w:ascii="Arial" w:hAnsi="Arial" w:cs="Arial"/>
        </w:rPr>
        <w:t xml:space="preserve"> </w:t>
      </w:r>
      <w:r w:rsidR="007A7B38">
        <w:rPr>
          <w:rFonts w:ascii="Arial" w:hAnsi="Arial" w:cs="Arial"/>
        </w:rPr>
        <w:t xml:space="preserve">et le risque est considéré comme  très faible </w:t>
      </w:r>
      <w:r w:rsidR="00FB273B">
        <w:rPr>
          <w:rFonts w:ascii="Arial" w:hAnsi="Arial" w:cs="Arial"/>
        </w:rPr>
        <w:t xml:space="preserve">pour les réseaux électriques, </w:t>
      </w:r>
      <w:r w:rsidR="00E75B0A">
        <w:rPr>
          <w:rFonts w:ascii="Arial" w:hAnsi="Arial" w:cs="Arial"/>
        </w:rPr>
        <w:t>cependant</w:t>
      </w:r>
      <w:r w:rsidR="00FB273B">
        <w:rPr>
          <w:rFonts w:ascii="Arial" w:hAnsi="Arial" w:cs="Arial"/>
        </w:rPr>
        <w:t xml:space="preserve"> </w:t>
      </w:r>
      <w:r w:rsidR="007A7B38">
        <w:rPr>
          <w:rFonts w:ascii="Arial" w:hAnsi="Arial" w:cs="Arial"/>
        </w:rPr>
        <w:t xml:space="preserve">l’importance de l’impact pour les autres sous projets </w:t>
      </w:r>
      <w:r w:rsidR="00FB273B">
        <w:rPr>
          <w:rFonts w:ascii="Arial" w:hAnsi="Arial" w:cs="Arial"/>
        </w:rPr>
        <w:t xml:space="preserve">est évaluée comme « Moyenne » </w:t>
      </w:r>
      <w:r w:rsidR="007A7B38">
        <w:rPr>
          <w:rFonts w:ascii="Arial" w:hAnsi="Arial" w:cs="Arial"/>
        </w:rPr>
        <w:t xml:space="preserve">et le risque est  faible </w:t>
      </w:r>
      <w:r w:rsidR="00D13A96">
        <w:rPr>
          <w:rFonts w:ascii="Arial" w:hAnsi="Arial" w:cs="Arial"/>
        </w:rPr>
        <w:t xml:space="preserve">selon le tableau </w:t>
      </w:r>
      <w:r w:rsidR="00E75B0A">
        <w:rPr>
          <w:rFonts w:ascii="Arial" w:hAnsi="Arial" w:cs="Arial"/>
        </w:rPr>
        <w:t xml:space="preserve"> suivant</w:t>
      </w:r>
    </w:p>
    <w:p w14:paraId="3ECD6E43" w14:textId="77777777" w:rsidR="0090044A" w:rsidRPr="002E58DC" w:rsidRDefault="0090044A" w:rsidP="002E58DC">
      <w:pPr>
        <w:pStyle w:val="Lgende"/>
        <w:spacing w:before="120"/>
        <w:jc w:val="center"/>
        <w:rPr>
          <w:sz w:val="20"/>
        </w:rPr>
      </w:pPr>
      <w:bookmarkStart w:id="904" w:name="_Toc100753918"/>
      <w:bookmarkStart w:id="905" w:name="_Toc127957818"/>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22</w:t>
      </w:r>
      <w:r w:rsidRPr="002E58DC">
        <w:rPr>
          <w:sz w:val="20"/>
        </w:rPr>
        <w:fldChar w:fldCharType="end"/>
      </w:r>
      <w:r w:rsidRPr="002E58DC">
        <w:rPr>
          <w:sz w:val="20"/>
        </w:rPr>
        <w:t>. Evaluation</w:t>
      </w:r>
      <w:r w:rsidR="00FB273B">
        <w:rPr>
          <w:sz w:val="20"/>
        </w:rPr>
        <w:t xml:space="preserve"> de</w:t>
      </w:r>
      <w:r w:rsidRPr="002E58DC">
        <w:rPr>
          <w:sz w:val="20"/>
        </w:rPr>
        <w:t xml:space="preserve"> l’impact –Erosion des sols</w:t>
      </w:r>
      <w:bookmarkEnd w:id="904"/>
      <w:bookmarkEnd w:id="905"/>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1063"/>
        <w:gridCol w:w="957"/>
        <w:gridCol w:w="925"/>
        <w:gridCol w:w="1346"/>
        <w:gridCol w:w="1296"/>
        <w:gridCol w:w="1064"/>
        <w:gridCol w:w="879"/>
        <w:tblGridChange w:id="906">
          <w:tblGrid>
            <w:gridCol w:w="1758"/>
            <w:gridCol w:w="1063"/>
            <w:gridCol w:w="957"/>
            <w:gridCol w:w="925"/>
            <w:gridCol w:w="1346"/>
            <w:gridCol w:w="1296"/>
            <w:gridCol w:w="1064"/>
            <w:gridCol w:w="879"/>
          </w:tblGrid>
        </w:tblGridChange>
      </w:tblGrid>
      <w:tr w:rsidR="007A7B38" w:rsidRPr="007F78CE" w14:paraId="680DF8B3" w14:textId="77777777" w:rsidTr="00345918">
        <w:trPr>
          <w:jc w:val="center"/>
        </w:trPr>
        <w:tc>
          <w:tcPr>
            <w:tcW w:w="1758" w:type="dxa"/>
            <w:shd w:val="clear" w:color="auto" w:fill="BFBFBF"/>
          </w:tcPr>
          <w:p w14:paraId="6A0BD827" w14:textId="77777777" w:rsidR="007A7B38" w:rsidRPr="007F78CE" w:rsidRDefault="007A7B38" w:rsidP="007F78CE">
            <w:pPr>
              <w:spacing w:after="0" w:line="240" w:lineRule="auto"/>
              <w:rPr>
                <w:rFonts w:ascii="Arial Narrow" w:hAnsi="Arial Narrow"/>
                <w:b/>
                <w:bCs/>
                <w:sz w:val="20"/>
                <w:szCs w:val="20"/>
              </w:rPr>
            </w:pPr>
            <w:r>
              <w:rPr>
                <w:rFonts w:ascii="Arial Narrow" w:hAnsi="Arial Narrow"/>
                <w:b/>
                <w:bCs/>
                <w:sz w:val="20"/>
                <w:szCs w:val="20"/>
              </w:rPr>
              <w:t>Sous Projet</w:t>
            </w:r>
          </w:p>
        </w:tc>
        <w:tc>
          <w:tcPr>
            <w:tcW w:w="1063" w:type="dxa"/>
            <w:shd w:val="clear" w:color="auto" w:fill="BFBFBF"/>
          </w:tcPr>
          <w:p w14:paraId="63704BDF" w14:textId="77777777" w:rsidR="007A7B38" w:rsidRPr="007F78CE" w:rsidRDefault="007A7B38"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957" w:type="dxa"/>
            <w:shd w:val="clear" w:color="auto" w:fill="BFBFBF"/>
          </w:tcPr>
          <w:p w14:paraId="661BA5F1" w14:textId="77777777" w:rsidR="007A7B38" w:rsidRPr="007F78CE" w:rsidRDefault="007A7B38" w:rsidP="007F78CE">
            <w:pPr>
              <w:spacing w:after="0" w:line="240" w:lineRule="auto"/>
              <w:rPr>
                <w:rFonts w:ascii="Arial Narrow" w:hAnsi="Arial Narrow"/>
                <w:b/>
                <w:bCs/>
                <w:sz w:val="20"/>
                <w:szCs w:val="20"/>
              </w:rPr>
            </w:pPr>
            <w:r w:rsidRPr="007F78CE">
              <w:rPr>
                <w:rFonts w:ascii="Arial Narrow" w:hAnsi="Arial Narrow"/>
                <w:b/>
                <w:bCs/>
                <w:sz w:val="20"/>
                <w:szCs w:val="20"/>
              </w:rPr>
              <w:t>Etendue</w:t>
            </w:r>
          </w:p>
        </w:tc>
        <w:tc>
          <w:tcPr>
            <w:tcW w:w="925" w:type="dxa"/>
            <w:shd w:val="clear" w:color="auto" w:fill="BFBFBF"/>
          </w:tcPr>
          <w:p w14:paraId="4DB9F906" w14:textId="77777777" w:rsidR="007A7B38" w:rsidRPr="007F78CE" w:rsidRDefault="007A7B38"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346" w:type="dxa"/>
            <w:shd w:val="clear" w:color="auto" w:fill="BFBFBF"/>
          </w:tcPr>
          <w:p w14:paraId="72933949" w14:textId="77777777" w:rsidR="007A7B38" w:rsidRPr="007F78CE" w:rsidRDefault="007A7B38"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296" w:type="dxa"/>
            <w:shd w:val="clear" w:color="auto" w:fill="BFBFBF"/>
          </w:tcPr>
          <w:p w14:paraId="1509AB1F" w14:textId="77777777" w:rsidR="007A7B38" w:rsidRPr="007F78CE" w:rsidRDefault="007A7B38"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auto"/>
          </w:tcPr>
          <w:p w14:paraId="2EF672A5" w14:textId="77777777" w:rsidR="007A7B38" w:rsidRPr="007F78CE" w:rsidRDefault="007A7B38"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879" w:type="dxa"/>
            <w:shd w:val="clear" w:color="auto" w:fill="auto"/>
          </w:tcPr>
          <w:p w14:paraId="3F98E820" w14:textId="77777777" w:rsidR="007A7B38" w:rsidRPr="007F78CE" w:rsidRDefault="007A7B38" w:rsidP="007F78CE">
            <w:pPr>
              <w:spacing w:after="0" w:line="240" w:lineRule="auto"/>
              <w:rPr>
                <w:rFonts w:ascii="Arial Narrow" w:hAnsi="Arial Narrow"/>
                <w:b/>
                <w:bCs/>
                <w:sz w:val="20"/>
                <w:szCs w:val="20"/>
              </w:rPr>
            </w:pPr>
            <w:r>
              <w:rPr>
                <w:rFonts w:ascii="Arial Narrow" w:hAnsi="Arial Narrow"/>
                <w:b/>
                <w:bCs/>
                <w:sz w:val="20"/>
                <w:szCs w:val="20"/>
              </w:rPr>
              <w:t>Risque</w:t>
            </w:r>
          </w:p>
        </w:tc>
      </w:tr>
      <w:tr w:rsidR="00345918" w:rsidRPr="007F78CE" w14:paraId="4F860AF7" w14:textId="77777777" w:rsidTr="00FB04F6">
        <w:trPr>
          <w:jc w:val="center"/>
        </w:trPr>
        <w:tc>
          <w:tcPr>
            <w:tcW w:w="1758" w:type="dxa"/>
          </w:tcPr>
          <w:p w14:paraId="7B0AEC80" w14:textId="77777777" w:rsidR="007A7B38" w:rsidRPr="007F78CE" w:rsidRDefault="007A7B38" w:rsidP="00345918">
            <w:pPr>
              <w:spacing w:after="0" w:line="240" w:lineRule="auto"/>
              <w:contextualSpacing/>
              <w:rPr>
                <w:rFonts w:ascii="Arial Narrow" w:hAnsi="Arial Narrow" w:cs="Arial"/>
                <w:sz w:val="20"/>
                <w:szCs w:val="20"/>
              </w:rPr>
            </w:pPr>
            <w:r>
              <w:rPr>
                <w:rFonts w:ascii="Arial Narrow" w:hAnsi="Arial Narrow" w:cs="Arial"/>
                <w:sz w:val="20"/>
                <w:szCs w:val="20"/>
              </w:rPr>
              <w:t>Infrastructure</w:t>
            </w:r>
            <w:r w:rsidR="001C0602">
              <w:rPr>
                <w:rFonts w:ascii="Arial Narrow" w:hAnsi="Arial Narrow" w:cs="Arial"/>
                <w:sz w:val="20"/>
                <w:szCs w:val="20"/>
              </w:rPr>
              <w:t>s</w:t>
            </w:r>
            <w:r>
              <w:rPr>
                <w:rFonts w:ascii="Arial Narrow" w:hAnsi="Arial Narrow" w:cs="Arial"/>
                <w:sz w:val="20"/>
                <w:szCs w:val="20"/>
              </w:rPr>
              <w:t xml:space="preserve"> numérique</w:t>
            </w:r>
            <w:r w:rsidR="001C0602">
              <w:rPr>
                <w:rFonts w:ascii="Arial Narrow" w:hAnsi="Arial Narrow" w:cs="Arial"/>
                <w:sz w:val="20"/>
                <w:szCs w:val="20"/>
              </w:rPr>
              <w:t>s</w:t>
            </w:r>
          </w:p>
        </w:tc>
        <w:tc>
          <w:tcPr>
            <w:tcW w:w="1063" w:type="dxa"/>
            <w:shd w:val="clear" w:color="auto" w:fill="auto"/>
          </w:tcPr>
          <w:p w14:paraId="6D1FE5E8" w14:textId="77777777" w:rsidR="007A7B38" w:rsidRPr="007F78CE" w:rsidRDefault="007A7B38"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7BC3D569"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57" w:type="dxa"/>
            <w:shd w:val="clear" w:color="auto" w:fill="auto"/>
          </w:tcPr>
          <w:p w14:paraId="22DF1F26"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64BAADF9"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25" w:type="dxa"/>
            <w:shd w:val="clear" w:color="auto" w:fill="auto"/>
          </w:tcPr>
          <w:p w14:paraId="68B119FF"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6D3F4518"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46" w:type="dxa"/>
            <w:shd w:val="clear" w:color="auto" w:fill="auto"/>
          </w:tcPr>
          <w:p w14:paraId="2F4A946B"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5B2C9985"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96" w:type="dxa"/>
            <w:shd w:val="clear" w:color="auto" w:fill="FFFF00"/>
          </w:tcPr>
          <w:p w14:paraId="590A7C8D"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02590305"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vAlign w:val="center"/>
          </w:tcPr>
          <w:p w14:paraId="2BD58978" w14:textId="77777777" w:rsidR="007A7B38" w:rsidRPr="007F78CE" w:rsidRDefault="007A7B38" w:rsidP="007A7B38">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c>
          <w:tcPr>
            <w:tcW w:w="879" w:type="dxa"/>
            <w:shd w:val="clear" w:color="auto" w:fill="BFBFBF"/>
            <w:vAlign w:val="center"/>
          </w:tcPr>
          <w:p w14:paraId="3A079258" w14:textId="77777777" w:rsidR="007A7B38" w:rsidRPr="007F78CE" w:rsidRDefault="007A7B38" w:rsidP="007A7B38">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r>
      <w:tr w:rsidR="00345918" w:rsidRPr="007F78CE" w14:paraId="7AA564EE" w14:textId="77777777" w:rsidTr="00FB04F6">
        <w:trPr>
          <w:jc w:val="center"/>
        </w:trPr>
        <w:tc>
          <w:tcPr>
            <w:tcW w:w="1758" w:type="dxa"/>
          </w:tcPr>
          <w:p w14:paraId="645F8D21" w14:textId="77777777" w:rsidR="007A7B38" w:rsidRPr="007F78CE" w:rsidRDefault="007A7B38" w:rsidP="00345918">
            <w:pPr>
              <w:spacing w:after="0" w:line="240" w:lineRule="auto"/>
              <w:contextualSpacing/>
              <w:rPr>
                <w:rFonts w:ascii="Arial Narrow" w:hAnsi="Arial Narrow" w:cs="Arial"/>
                <w:sz w:val="20"/>
                <w:szCs w:val="20"/>
              </w:rPr>
            </w:pPr>
            <w:r>
              <w:rPr>
                <w:rFonts w:ascii="Arial Narrow" w:hAnsi="Arial Narrow" w:cs="Arial"/>
                <w:sz w:val="20"/>
                <w:szCs w:val="20"/>
              </w:rPr>
              <w:t>Centrale solaire</w:t>
            </w:r>
          </w:p>
        </w:tc>
        <w:tc>
          <w:tcPr>
            <w:tcW w:w="1063" w:type="dxa"/>
            <w:shd w:val="clear" w:color="auto" w:fill="auto"/>
          </w:tcPr>
          <w:p w14:paraId="40B61E4E" w14:textId="77777777" w:rsidR="007A7B38" w:rsidRPr="007F78CE" w:rsidRDefault="007A7B38" w:rsidP="0068003D">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25B55EB8"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57" w:type="dxa"/>
            <w:shd w:val="clear" w:color="auto" w:fill="auto"/>
          </w:tcPr>
          <w:p w14:paraId="39FF7E27" w14:textId="77777777" w:rsidR="007A7B38" w:rsidRPr="007F78CE" w:rsidRDefault="007A7B38"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199778AF"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25" w:type="dxa"/>
            <w:shd w:val="clear" w:color="auto" w:fill="auto"/>
          </w:tcPr>
          <w:p w14:paraId="62FD953C" w14:textId="77777777" w:rsidR="007A7B38" w:rsidRPr="007F78CE" w:rsidRDefault="007A7B38"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3552F976"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46" w:type="dxa"/>
            <w:shd w:val="clear" w:color="auto" w:fill="auto"/>
          </w:tcPr>
          <w:p w14:paraId="4B38F577" w14:textId="77777777" w:rsidR="007A7B38" w:rsidRPr="007F78CE" w:rsidRDefault="007A7B38"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632DA8A6"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96" w:type="dxa"/>
            <w:shd w:val="clear" w:color="auto" w:fill="FFFF00"/>
          </w:tcPr>
          <w:p w14:paraId="69ABE103" w14:textId="77777777" w:rsidR="007A7B38" w:rsidRPr="007F78CE" w:rsidRDefault="007A7B38"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01E421D6"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vAlign w:val="center"/>
          </w:tcPr>
          <w:p w14:paraId="27F2B7E1" w14:textId="77777777" w:rsidR="007A7B38" w:rsidRPr="007F78CE" w:rsidRDefault="007A7B38" w:rsidP="007A7B38">
            <w:pPr>
              <w:spacing w:after="0" w:line="240" w:lineRule="auto"/>
              <w:contextualSpacing/>
              <w:jc w:val="center"/>
              <w:rPr>
                <w:rFonts w:ascii="Arial Narrow" w:hAnsi="Arial Narrow" w:cs="Arial"/>
                <w:sz w:val="20"/>
                <w:szCs w:val="20"/>
              </w:rPr>
            </w:pPr>
            <w:r w:rsidRPr="00EC331D">
              <w:rPr>
                <w:rFonts w:ascii="Arial Narrow" w:hAnsi="Arial Narrow" w:cs="Arial"/>
                <w:sz w:val="20"/>
                <w:szCs w:val="20"/>
              </w:rPr>
              <w:t>Faible</w:t>
            </w:r>
          </w:p>
        </w:tc>
        <w:tc>
          <w:tcPr>
            <w:tcW w:w="879" w:type="dxa"/>
            <w:shd w:val="clear" w:color="auto" w:fill="BFBFBF"/>
            <w:vAlign w:val="center"/>
          </w:tcPr>
          <w:p w14:paraId="258501DE" w14:textId="77777777" w:rsidR="007A7B38" w:rsidRPr="007F78CE" w:rsidRDefault="007A7B38" w:rsidP="007A7B38">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r>
      <w:tr w:rsidR="00345918" w:rsidRPr="007F78CE" w14:paraId="5A009ED8" w14:textId="77777777" w:rsidTr="00FB04F6">
        <w:trPr>
          <w:jc w:val="center"/>
        </w:trPr>
        <w:tc>
          <w:tcPr>
            <w:tcW w:w="1758" w:type="dxa"/>
          </w:tcPr>
          <w:p w14:paraId="361E0303" w14:textId="77777777" w:rsidR="007A7B38" w:rsidRPr="007F78CE" w:rsidRDefault="007A7B38" w:rsidP="00345918">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63" w:type="dxa"/>
            <w:shd w:val="clear" w:color="auto" w:fill="auto"/>
          </w:tcPr>
          <w:p w14:paraId="38664A01" w14:textId="77777777" w:rsidR="007A7B38" w:rsidRPr="007F78CE" w:rsidRDefault="007A7B38" w:rsidP="0068003D">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4731DFE1"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57" w:type="dxa"/>
            <w:shd w:val="clear" w:color="auto" w:fill="auto"/>
          </w:tcPr>
          <w:p w14:paraId="5F669A92" w14:textId="77777777" w:rsidR="007A7B38" w:rsidRPr="007F78CE" w:rsidRDefault="007A7B38"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7E44B917"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25" w:type="dxa"/>
            <w:shd w:val="clear" w:color="auto" w:fill="auto"/>
          </w:tcPr>
          <w:p w14:paraId="2D7D9055" w14:textId="77777777" w:rsidR="007A7B38" w:rsidRPr="007F78CE" w:rsidRDefault="007A7B38"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4516D2C9"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46" w:type="dxa"/>
            <w:shd w:val="clear" w:color="auto" w:fill="auto"/>
          </w:tcPr>
          <w:p w14:paraId="17A154EB" w14:textId="77777777" w:rsidR="007A7B38" w:rsidRPr="007F78CE" w:rsidRDefault="007A7B38"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2343846E"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96" w:type="dxa"/>
            <w:shd w:val="clear" w:color="auto" w:fill="FFFF00"/>
          </w:tcPr>
          <w:p w14:paraId="703C2741" w14:textId="77777777" w:rsidR="007A7B38" w:rsidRPr="007F78CE" w:rsidRDefault="007A7B38"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4EBAEAC3"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vAlign w:val="center"/>
          </w:tcPr>
          <w:p w14:paraId="73CD284F" w14:textId="77777777" w:rsidR="007A7B38" w:rsidRPr="007F78CE" w:rsidRDefault="007A7B38" w:rsidP="007A7B38">
            <w:pPr>
              <w:spacing w:after="0" w:line="240" w:lineRule="auto"/>
              <w:contextualSpacing/>
              <w:jc w:val="center"/>
              <w:rPr>
                <w:rFonts w:ascii="Arial Narrow" w:hAnsi="Arial Narrow" w:cs="Arial"/>
                <w:sz w:val="20"/>
                <w:szCs w:val="20"/>
              </w:rPr>
            </w:pPr>
            <w:r w:rsidRPr="00EC331D">
              <w:rPr>
                <w:rFonts w:ascii="Arial Narrow" w:hAnsi="Arial Narrow" w:cs="Arial"/>
                <w:sz w:val="20"/>
                <w:szCs w:val="20"/>
              </w:rPr>
              <w:t>Faible</w:t>
            </w:r>
          </w:p>
        </w:tc>
        <w:tc>
          <w:tcPr>
            <w:tcW w:w="879" w:type="dxa"/>
            <w:shd w:val="clear" w:color="auto" w:fill="BFBFBF"/>
            <w:vAlign w:val="center"/>
          </w:tcPr>
          <w:p w14:paraId="20904700" w14:textId="77777777" w:rsidR="007A7B38" w:rsidRPr="007F78CE" w:rsidRDefault="007A7B38" w:rsidP="007A7B38">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r>
      <w:tr w:rsidR="00345918" w:rsidRPr="007F78CE" w14:paraId="2F21ADCF" w14:textId="77777777" w:rsidTr="00FB04F6">
        <w:trPr>
          <w:jc w:val="center"/>
        </w:trPr>
        <w:tc>
          <w:tcPr>
            <w:tcW w:w="1758" w:type="dxa"/>
          </w:tcPr>
          <w:p w14:paraId="64DAA81F" w14:textId="77777777" w:rsidR="007A7B38" w:rsidRDefault="007A7B38" w:rsidP="00345918">
            <w:pPr>
              <w:spacing w:after="0" w:line="240" w:lineRule="auto"/>
              <w:contextualSpacing/>
              <w:rPr>
                <w:rFonts w:ascii="Arial Narrow" w:hAnsi="Arial Narrow" w:cs="Arial"/>
                <w:sz w:val="20"/>
                <w:szCs w:val="20"/>
              </w:rPr>
            </w:pPr>
            <w:r>
              <w:rPr>
                <w:rFonts w:ascii="Arial Narrow" w:hAnsi="Arial Narrow" w:cs="Arial"/>
                <w:sz w:val="20"/>
                <w:szCs w:val="20"/>
              </w:rPr>
              <w:t xml:space="preserve">Réseau électrique </w:t>
            </w:r>
          </w:p>
        </w:tc>
        <w:tc>
          <w:tcPr>
            <w:tcW w:w="1063" w:type="dxa"/>
            <w:shd w:val="clear" w:color="auto" w:fill="auto"/>
          </w:tcPr>
          <w:p w14:paraId="33709D6E" w14:textId="77777777" w:rsidR="007A7B38" w:rsidRPr="007F78CE" w:rsidRDefault="007A7B38" w:rsidP="00296692">
            <w:pPr>
              <w:spacing w:after="0" w:line="240" w:lineRule="auto"/>
              <w:contextualSpacing/>
              <w:jc w:val="center"/>
              <w:rPr>
                <w:rFonts w:ascii="Arial Narrow" w:hAnsi="Arial Narrow" w:cs="Arial"/>
                <w:bCs/>
                <w:sz w:val="20"/>
                <w:szCs w:val="20"/>
              </w:rPr>
            </w:pPr>
            <w:r>
              <w:rPr>
                <w:rFonts w:ascii="Arial Narrow" w:hAnsi="Arial Narrow" w:cs="Arial"/>
                <w:sz w:val="20"/>
                <w:szCs w:val="20"/>
              </w:rPr>
              <w:t>Faible</w:t>
            </w:r>
          </w:p>
          <w:p w14:paraId="02545B95" w14:textId="77777777" w:rsidR="007A7B38" w:rsidRPr="007F78CE" w:rsidRDefault="007A7B38"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957" w:type="dxa"/>
            <w:shd w:val="clear" w:color="auto" w:fill="auto"/>
          </w:tcPr>
          <w:p w14:paraId="794A15B4" w14:textId="77777777" w:rsidR="007A7B38" w:rsidRPr="007F78CE" w:rsidRDefault="007A7B3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2A2F8B89" w14:textId="77777777" w:rsidR="007A7B38" w:rsidRPr="007F78CE" w:rsidRDefault="007A7B38"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25" w:type="dxa"/>
            <w:shd w:val="clear" w:color="auto" w:fill="auto"/>
          </w:tcPr>
          <w:p w14:paraId="7D08DBF6" w14:textId="77777777" w:rsidR="007A7B38" w:rsidRPr="007F78CE" w:rsidRDefault="007A7B3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57EB5A5C" w14:textId="77777777" w:rsidR="007A7B38" w:rsidRPr="007F78CE" w:rsidRDefault="007A7B38"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46" w:type="dxa"/>
            <w:shd w:val="clear" w:color="auto" w:fill="auto"/>
          </w:tcPr>
          <w:p w14:paraId="7AF66E22" w14:textId="77777777" w:rsidR="007A7B38" w:rsidRPr="007F78CE" w:rsidRDefault="007A7B3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5AEC1213" w14:textId="77777777" w:rsidR="007A7B38" w:rsidRPr="007F78CE" w:rsidRDefault="007A7B38"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96" w:type="dxa"/>
            <w:shd w:val="clear" w:color="auto" w:fill="00B050"/>
          </w:tcPr>
          <w:p w14:paraId="2D7E4955" w14:textId="77777777" w:rsidR="007A7B38" w:rsidRPr="007F78CE" w:rsidRDefault="007A7B3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Mineure</w:t>
            </w:r>
          </w:p>
          <w:p w14:paraId="60D000F8" w14:textId="77777777" w:rsidR="007A7B38" w:rsidRPr="007F78CE" w:rsidRDefault="007A7B38"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5</w:t>
            </w:r>
            <w:r w:rsidRPr="007F78CE">
              <w:rPr>
                <w:rFonts w:ascii="Arial Narrow" w:hAnsi="Arial Narrow" w:cs="Arial"/>
                <w:sz w:val="20"/>
                <w:szCs w:val="20"/>
              </w:rPr>
              <w:t>)</w:t>
            </w:r>
          </w:p>
        </w:tc>
        <w:tc>
          <w:tcPr>
            <w:tcW w:w="1064" w:type="dxa"/>
            <w:shd w:val="clear" w:color="auto" w:fill="auto"/>
            <w:vAlign w:val="center"/>
          </w:tcPr>
          <w:p w14:paraId="26C201B0" w14:textId="77777777" w:rsidR="007A7B38" w:rsidRDefault="007A7B38" w:rsidP="007A7B38">
            <w:pPr>
              <w:spacing w:after="0" w:line="240" w:lineRule="auto"/>
              <w:contextualSpacing/>
              <w:jc w:val="center"/>
              <w:rPr>
                <w:rFonts w:ascii="Arial Narrow" w:hAnsi="Arial Narrow" w:cs="Arial"/>
                <w:sz w:val="20"/>
                <w:szCs w:val="20"/>
              </w:rPr>
            </w:pPr>
            <w:r w:rsidRPr="00EC331D">
              <w:rPr>
                <w:rFonts w:ascii="Arial Narrow" w:hAnsi="Arial Narrow" w:cs="Arial"/>
                <w:sz w:val="20"/>
                <w:szCs w:val="20"/>
              </w:rPr>
              <w:t>Faible</w:t>
            </w:r>
          </w:p>
        </w:tc>
        <w:tc>
          <w:tcPr>
            <w:tcW w:w="879" w:type="dxa"/>
            <w:shd w:val="clear" w:color="auto" w:fill="538135"/>
            <w:vAlign w:val="center"/>
          </w:tcPr>
          <w:p w14:paraId="7BC77D5F" w14:textId="77777777" w:rsidR="007A7B38" w:rsidRDefault="007A7B38" w:rsidP="007A7B38">
            <w:pPr>
              <w:spacing w:after="0" w:line="240" w:lineRule="auto"/>
              <w:contextualSpacing/>
              <w:jc w:val="center"/>
              <w:rPr>
                <w:rFonts w:ascii="Arial Narrow" w:hAnsi="Arial Narrow" w:cs="Arial"/>
                <w:sz w:val="20"/>
                <w:szCs w:val="20"/>
              </w:rPr>
            </w:pPr>
            <w:r>
              <w:rPr>
                <w:rFonts w:ascii="Arial Narrow" w:hAnsi="Arial Narrow" w:cs="Arial"/>
                <w:sz w:val="20"/>
                <w:szCs w:val="20"/>
              </w:rPr>
              <w:t>Très faible</w:t>
            </w:r>
          </w:p>
        </w:tc>
      </w:tr>
      <w:tr w:rsidR="00345918" w:rsidRPr="007F78CE" w14:paraId="03281D02" w14:textId="77777777" w:rsidTr="00FB04F6">
        <w:trPr>
          <w:jc w:val="center"/>
        </w:trPr>
        <w:tc>
          <w:tcPr>
            <w:tcW w:w="1758" w:type="dxa"/>
          </w:tcPr>
          <w:p w14:paraId="3A15A143" w14:textId="77777777" w:rsidR="001716F8" w:rsidRDefault="001716F8" w:rsidP="00345918">
            <w:pPr>
              <w:spacing w:after="0" w:line="240" w:lineRule="auto"/>
              <w:contextualSpacing/>
              <w:rPr>
                <w:rFonts w:ascii="Arial Narrow" w:hAnsi="Arial Narrow" w:cs="Arial"/>
                <w:sz w:val="20"/>
                <w:szCs w:val="20"/>
              </w:rPr>
            </w:pPr>
            <w:r>
              <w:rPr>
                <w:rFonts w:ascii="Arial Narrow" w:hAnsi="Arial Narrow" w:cs="Arial"/>
                <w:sz w:val="20"/>
                <w:szCs w:val="20"/>
              </w:rPr>
              <w:t>Impact cumulé</w:t>
            </w:r>
          </w:p>
        </w:tc>
        <w:tc>
          <w:tcPr>
            <w:tcW w:w="1063" w:type="dxa"/>
            <w:shd w:val="clear" w:color="auto" w:fill="auto"/>
          </w:tcPr>
          <w:p w14:paraId="6AD8509E" w14:textId="77777777" w:rsidR="001716F8" w:rsidRPr="007F78CE" w:rsidRDefault="001716F8" w:rsidP="00D70FB3">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0799AFF8" w14:textId="77777777" w:rsidR="001716F8"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57" w:type="dxa"/>
            <w:shd w:val="clear" w:color="auto" w:fill="auto"/>
          </w:tcPr>
          <w:p w14:paraId="2E00663B"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605EB48E"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25" w:type="dxa"/>
            <w:shd w:val="clear" w:color="auto" w:fill="auto"/>
          </w:tcPr>
          <w:p w14:paraId="2C41A499"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6D544278"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46" w:type="dxa"/>
            <w:shd w:val="clear" w:color="auto" w:fill="auto"/>
          </w:tcPr>
          <w:p w14:paraId="5486DAF9"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548B5327"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96" w:type="dxa"/>
            <w:shd w:val="clear" w:color="auto" w:fill="FFC000"/>
          </w:tcPr>
          <w:p w14:paraId="0001F110"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6589A9E2" w14:textId="77777777" w:rsidR="001716F8"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vAlign w:val="center"/>
          </w:tcPr>
          <w:p w14:paraId="6D473059" w14:textId="77777777" w:rsidR="001716F8" w:rsidRPr="00EC331D" w:rsidRDefault="001716F8" w:rsidP="007A7B38">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c>
          <w:tcPr>
            <w:tcW w:w="879" w:type="dxa"/>
            <w:shd w:val="clear" w:color="auto" w:fill="BFBFBF"/>
            <w:vAlign w:val="center"/>
          </w:tcPr>
          <w:p w14:paraId="5F16A796" w14:textId="77777777" w:rsidR="001716F8" w:rsidRDefault="001716F8" w:rsidP="007A7B38">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r>
    </w:tbl>
    <w:p w14:paraId="34ED7E57" w14:textId="77777777" w:rsidR="0090044A" w:rsidRPr="00234C32" w:rsidRDefault="0090044A" w:rsidP="00687DD2">
      <w:pPr>
        <w:pStyle w:val="Normal12"/>
        <w:numPr>
          <w:ilvl w:val="0"/>
          <w:numId w:val="85"/>
        </w:numPr>
        <w:spacing w:before="100" w:beforeAutospacing="1" w:after="100" w:afterAutospacing="1"/>
        <w:ind w:left="1077" w:hanging="357"/>
        <w:contextualSpacing/>
        <w:rPr>
          <w:i/>
          <w:iCs/>
          <w:lang w:val="fr-FR"/>
        </w:rPr>
      </w:pPr>
      <w:r w:rsidRPr="00234C32">
        <w:rPr>
          <w:i/>
          <w:iCs/>
          <w:lang w:val="fr-FR"/>
        </w:rPr>
        <w:t>Pollution du sol</w:t>
      </w:r>
    </w:p>
    <w:p w14:paraId="16149452" w14:textId="77777777" w:rsidR="0090044A" w:rsidRPr="008D2A01" w:rsidRDefault="0090044A" w:rsidP="008D2A01">
      <w:pPr>
        <w:spacing w:line="240" w:lineRule="auto"/>
        <w:jc w:val="both"/>
        <w:rPr>
          <w:rFonts w:ascii="Arial" w:hAnsi="Arial" w:cs="Arial"/>
        </w:rPr>
      </w:pPr>
      <w:r w:rsidRPr="008D2A01">
        <w:rPr>
          <w:rFonts w:ascii="Arial" w:hAnsi="Arial" w:cs="Arial"/>
        </w:rPr>
        <w:t xml:space="preserve">Durant la phase de construction, une pollution accidentelle du sol peut survenir aussi bien sur le chantier qu’au niveau de la base vie. Son origine peut être </w:t>
      </w:r>
      <w:r w:rsidRPr="6FF5A665">
        <w:rPr>
          <w:rFonts w:ascii="Arial" w:hAnsi="Arial" w:cs="Arial"/>
        </w:rPr>
        <w:t>liée</w:t>
      </w:r>
      <w:r w:rsidRPr="008D2A01">
        <w:rPr>
          <w:rFonts w:ascii="Arial" w:hAnsi="Arial" w:cs="Arial"/>
        </w:rPr>
        <w:t xml:space="preserve"> à : </w:t>
      </w:r>
    </w:p>
    <w:p w14:paraId="2E8AC78F" w14:textId="77777777" w:rsidR="0090044A" w:rsidRPr="008D2A01" w:rsidRDefault="0090044A" w:rsidP="00687DD2">
      <w:pPr>
        <w:pStyle w:val="Paragraphedeliste"/>
        <w:numPr>
          <w:ilvl w:val="0"/>
          <w:numId w:val="86"/>
        </w:numPr>
        <w:spacing w:before="120" w:after="0" w:line="240" w:lineRule="auto"/>
        <w:jc w:val="both"/>
        <w:rPr>
          <w:rFonts w:ascii="Arial" w:hAnsi="Arial" w:cs="Arial"/>
        </w:rPr>
      </w:pPr>
      <w:r w:rsidRPr="008D2A01">
        <w:rPr>
          <w:rFonts w:ascii="Arial" w:hAnsi="Arial" w:cs="Arial"/>
        </w:rPr>
        <w:t>Un déversement accidentel des produits utilisé/stockés sur le site ;</w:t>
      </w:r>
    </w:p>
    <w:p w14:paraId="1D169484" w14:textId="77777777" w:rsidR="0090044A" w:rsidRPr="008D2A01" w:rsidRDefault="0090044A" w:rsidP="00687DD2">
      <w:pPr>
        <w:pStyle w:val="Paragraphedeliste"/>
        <w:numPr>
          <w:ilvl w:val="0"/>
          <w:numId w:val="86"/>
        </w:numPr>
        <w:spacing w:before="120" w:after="0" w:line="240" w:lineRule="auto"/>
        <w:jc w:val="both"/>
        <w:rPr>
          <w:rFonts w:ascii="Arial" w:hAnsi="Arial" w:cs="Arial"/>
        </w:rPr>
      </w:pPr>
      <w:r w:rsidRPr="008D2A01">
        <w:rPr>
          <w:rFonts w:ascii="Arial" w:hAnsi="Arial" w:cs="Arial"/>
        </w:rPr>
        <w:t>Une fuite de liquide hydraulique ou d’hydrocarbures sur les engins dans le chantier ;</w:t>
      </w:r>
    </w:p>
    <w:p w14:paraId="064C3E16" w14:textId="77777777" w:rsidR="0090044A" w:rsidRPr="008D2A01" w:rsidRDefault="0090044A" w:rsidP="00687DD2">
      <w:pPr>
        <w:pStyle w:val="Paragraphedeliste"/>
        <w:numPr>
          <w:ilvl w:val="0"/>
          <w:numId w:val="86"/>
        </w:numPr>
        <w:spacing w:before="120" w:after="0" w:line="240" w:lineRule="auto"/>
        <w:jc w:val="both"/>
        <w:rPr>
          <w:rFonts w:ascii="Arial" w:hAnsi="Arial" w:cs="Arial"/>
        </w:rPr>
      </w:pPr>
      <w:r w:rsidRPr="008D2A01">
        <w:rPr>
          <w:rFonts w:ascii="Arial" w:hAnsi="Arial" w:cs="Arial"/>
        </w:rPr>
        <w:t>Déversements causés par des accidents de circulation ;</w:t>
      </w:r>
    </w:p>
    <w:p w14:paraId="35F672F6" w14:textId="77777777" w:rsidR="0090044A" w:rsidRPr="008D2A01" w:rsidRDefault="0090044A" w:rsidP="00687DD2">
      <w:pPr>
        <w:pStyle w:val="Paragraphedeliste"/>
        <w:numPr>
          <w:ilvl w:val="0"/>
          <w:numId w:val="86"/>
        </w:numPr>
        <w:spacing w:before="120" w:after="0" w:line="240" w:lineRule="auto"/>
        <w:jc w:val="both"/>
        <w:rPr>
          <w:rFonts w:ascii="Arial" w:hAnsi="Arial" w:cs="Arial"/>
        </w:rPr>
      </w:pPr>
      <w:r w:rsidRPr="008D2A01">
        <w:rPr>
          <w:rFonts w:ascii="Arial" w:hAnsi="Arial" w:cs="Arial"/>
        </w:rPr>
        <w:t>Les rejets liquides de différentes natures comme les eaux usées de la base vie et du chantier ;</w:t>
      </w:r>
    </w:p>
    <w:p w14:paraId="4AA51E35" w14:textId="77777777" w:rsidR="0090044A" w:rsidRDefault="0090044A" w:rsidP="00687DD2">
      <w:pPr>
        <w:pStyle w:val="Paragraphedeliste"/>
        <w:numPr>
          <w:ilvl w:val="0"/>
          <w:numId w:val="86"/>
        </w:numPr>
        <w:spacing w:before="120" w:after="120" w:line="240" w:lineRule="auto"/>
        <w:jc w:val="both"/>
        <w:rPr>
          <w:rFonts w:ascii="Arial" w:hAnsi="Arial" w:cs="Arial"/>
        </w:rPr>
      </w:pPr>
      <w:r w:rsidRPr="008D2A01">
        <w:rPr>
          <w:rFonts w:ascii="Arial" w:hAnsi="Arial" w:cs="Arial"/>
        </w:rPr>
        <w:t>Le lessivage des déchets solides accumulés dans les enceintes des chantiers et de la base vie.</w:t>
      </w:r>
    </w:p>
    <w:p w14:paraId="3B84C519" w14:textId="77777777" w:rsidR="00190373" w:rsidRPr="00742D67" w:rsidRDefault="00190373" w:rsidP="00687DD2">
      <w:pPr>
        <w:pStyle w:val="Paragraphedeliste"/>
        <w:numPr>
          <w:ilvl w:val="0"/>
          <w:numId w:val="86"/>
        </w:numPr>
        <w:spacing w:before="120" w:after="120" w:line="240" w:lineRule="auto"/>
        <w:jc w:val="both"/>
        <w:rPr>
          <w:rFonts w:ascii="Arial" w:hAnsi="Arial" w:cs="Arial"/>
          <w:color w:val="auto"/>
        </w:rPr>
      </w:pPr>
      <w:r w:rsidRPr="00742D67">
        <w:rPr>
          <w:rFonts w:ascii="Arial" w:hAnsi="Arial" w:cs="Arial"/>
          <w:color w:val="auto"/>
        </w:rPr>
        <w:t>Les peintures et solvants ainsi que leurs emballages vides et outillages usagés</w:t>
      </w:r>
      <w:r w:rsidR="00423C6E" w:rsidRPr="00742D67">
        <w:rPr>
          <w:rFonts w:ascii="Arial" w:hAnsi="Arial" w:cs="Arial"/>
          <w:color w:val="auto"/>
        </w:rPr>
        <w:t>.</w:t>
      </w:r>
      <w:r w:rsidRPr="00742D67">
        <w:rPr>
          <w:rFonts w:ascii="Arial" w:hAnsi="Arial" w:cs="Arial"/>
          <w:color w:val="auto"/>
        </w:rPr>
        <w:t xml:space="preserve"> </w:t>
      </w:r>
    </w:p>
    <w:p w14:paraId="6F8A34DC" w14:textId="77777777" w:rsidR="0090044A" w:rsidRPr="008D2A01" w:rsidRDefault="0090044A" w:rsidP="008D2A01">
      <w:pPr>
        <w:spacing w:line="240" w:lineRule="auto"/>
        <w:jc w:val="both"/>
        <w:rPr>
          <w:rFonts w:ascii="Arial" w:hAnsi="Arial" w:cs="Arial"/>
        </w:rPr>
      </w:pPr>
      <w:r w:rsidRPr="008D2A01">
        <w:rPr>
          <w:rFonts w:ascii="Arial" w:hAnsi="Arial" w:cs="Arial"/>
        </w:rPr>
        <w:t>Le stockage des carburants et autres produits servant aux engins peuvent aussi constituer une source de pollution du sol. D’où la nécessité de les entreposer dans un endroit clos à accès limité et ayant un sol imperméabilisé. Il en est de même de l’aire de maintenance mécanique qui devra avoir un sol imperméabilisé.</w:t>
      </w:r>
    </w:p>
    <w:p w14:paraId="241AC187" w14:textId="77777777" w:rsidR="0088762A" w:rsidRPr="00742D67" w:rsidRDefault="0088762A" w:rsidP="008D2A01">
      <w:pPr>
        <w:spacing w:line="240" w:lineRule="auto"/>
        <w:jc w:val="both"/>
        <w:rPr>
          <w:rFonts w:ascii="Arial" w:hAnsi="Arial" w:cs="Arial"/>
        </w:rPr>
      </w:pPr>
      <w:r w:rsidRPr="00742D67">
        <w:rPr>
          <w:rFonts w:ascii="Arial" w:hAnsi="Arial" w:cs="Arial"/>
        </w:rPr>
        <w:t xml:space="preserve">L’intensité de la pollution du sol par les divers déchets dépend en grande partie </w:t>
      </w:r>
      <w:r w:rsidR="00F13988">
        <w:rPr>
          <w:rFonts w:ascii="Arial" w:hAnsi="Arial" w:cs="Arial"/>
        </w:rPr>
        <w:t>de</w:t>
      </w:r>
      <w:r w:rsidRPr="00742D67">
        <w:rPr>
          <w:rFonts w:ascii="Arial" w:hAnsi="Arial" w:cs="Arial"/>
        </w:rPr>
        <w:t xml:space="preserve"> la quantité des produits utilisé</w:t>
      </w:r>
      <w:r w:rsidR="00423C6E" w:rsidRPr="00742D67">
        <w:rPr>
          <w:rFonts w:ascii="Arial" w:hAnsi="Arial" w:cs="Arial"/>
        </w:rPr>
        <w:t>s</w:t>
      </w:r>
      <w:r w:rsidRPr="00742D67">
        <w:rPr>
          <w:rFonts w:ascii="Arial" w:hAnsi="Arial" w:cs="Arial"/>
        </w:rPr>
        <w:t xml:space="preserve">. En outre, cette composante du milieu est exposée au risque de pollution que durant la phase de construction, </w:t>
      </w:r>
      <w:r w:rsidR="00F35414">
        <w:rPr>
          <w:rFonts w:ascii="Arial" w:hAnsi="Arial" w:cs="Arial"/>
        </w:rPr>
        <w:t>cependant</w:t>
      </w:r>
      <w:r w:rsidRPr="00742D67">
        <w:rPr>
          <w:rFonts w:ascii="Arial" w:hAnsi="Arial" w:cs="Arial"/>
        </w:rPr>
        <w:t xml:space="preserve"> la zone polluée peut s’étendre au-delà de la zone d’emprise du sous projet et la pollution du sol e</w:t>
      </w:r>
      <w:r w:rsidR="000B28BB" w:rsidRPr="00742D67">
        <w:rPr>
          <w:rFonts w:ascii="Arial" w:hAnsi="Arial" w:cs="Arial"/>
        </w:rPr>
        <w:t>s</w:t>
      </w:r>
      <w:r w:rsidRPr="00742D67">
        <w:rPr>
          <w:rFonts w:ascii="Arial" w:hAnsi="Arial" w:cs="Arial"/>
        </w:rPr>
        <w:t>t réversible. Ainsi, l’importance de ce type d’impact est considérée comme « Mineure » pour tous les sous projet</w:t>
      </w:r>
      <w:r w:rsidR="000B28BB" w:rsidRPr="00742D67">
        <w:rPr>
          <w:rFonts w:ascii="Arial" w:hAnsi="Arial" w:cs="Arial"/>
        </w:rPr>
        <w:t>s</w:t>
      </w:r>
      <w:r w:rsidR="00E75B0A">
        <w:rPr>
          <w:rFonts w:ascii="Arial" w:hAnsi="Arial" w:cs="Arial"/>
        </w:rPr>
        <w:t xml:space="preserve"> </w:t>
      </w:r>
      <w:r w:rsidR="007A7B38">
        <w:rPr>
          <w:rFonts w:ascii="Arial" w:hAnsi="Arial" w:cs="Arial"/>
        </w:rPr>
        <w:t>et le niveau de risque est évalué comme très faible selon</w:t>
      </w:r>
      <w:r w:rsidR="00E75B0A">
        <w:rPr>
          <w:rFonts w:ascii="Arial" w:hAnsi="Arial" w:cs="Arial"/>
        </w:rPr>
        <w:t xml:space="preserve"> le tableau  suivant.</w:t>
      </w:r>
    </w:p>
    <w:p w14:paraId="317F1735" w14:textId="77777777" w:rsidR="0090044A" w:rsidRPr="002E58DC" w:rsidRDefault="0090044A" w:rsidP="00CE0B6B">
      <w:pPr>
        <w:pStyle w:val="Lgende"/>
        <w:spacing w:before="120"/>
        <w:jc w:val="center"/>
        <w:rPr>
          <w:sz w:val="20"/>
        </w:rPr>
      </w:pPr>
      <w:bookmarkStart w:id="907" w:name="_Toc100753919"/>
      <w:bookmarkStart w:id="908" w:name="_Toc127957819"/>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23</w:t>
      </w:r>
      <w:r w:rsidRPr="002E58DC">
        <w:rPr>
          <w:sz w:val="20"/>
        </w:rPr>
        <w:fldChar w:fldCharType="end"/>
      </w:r>
      <w:r w:rsidRPr="002E58DC">
        <w:rPr>
          <w:sz w:val="20"/>
        </w:rPr>
        <w:t>. Evaluation</w:t>
      </w:r>
      <w:r w:rsidR="00FB273B">
        <w:rPr>
          <w:sz w:val="20"/>
        </w:rPr>
        <w:t xml:space="preserve"> de</w:t>
      </w:r>
      <w:r w:rsidRPr="002E58DC">
        <w:rPr>
          <w:sz w:val="20"/>
        </w:rPr>
        <w:t xml:space="preserve"> l’impact –Pollutions des sols</w:t>
      </w:r>
      <w:bookmarkEnd w:id="907"/>
      <w:bookmarkEnd w:id="908"/>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1064"/>
        <w:gridCol w:w="958"/>
        <w:gridCol w:w="926"/>
        <w:gridCol w:w="1346"/>
        <w:gridCol w:w="1296"/>
        <w:gridCol w:w="1064"/>
        <w:gridCol w:w="884"/>
        <w:tblGridChange w:id="909">
          <w:tblGrid>
            <w:gridCol w:w="1750"/>
            <w:gridCol w:w="1064"/>
            <w:gridCol w:w="958"/>
            <w:gridCol w:w="926"/>
            <w:gridCol w:w="1346"/>
            <w:gridCol w:w="1296"/>
            <w:gridCol w:w="1064"/>
            <w:gridCol w:w="884"/>
          </w:tblGrid>
        </w:tblGridChange>
      </w:tblGrid>
      <w:tr w:rsidR="007A7B38" w:rsidRPr="007F78CE" w14:paraId="5C7A46EF" w14:textId="77777777" w:rsidTr="00345918">
        <w:trPr>
          <w:jc w:val="center"/>
        </w:trPr>
        <w:tc>
          <w:tcPr>
            <w:tcW w:w="1750" w:type="dxa"/>
            <w:shd w:val="clear" w:color="auto" w:fill="BFBFBF"/>
          </w:tcPr>
          <w:p w14:paraId="73AA2AD0" w14:textId="77777777" w:rsidR="007A7B38" w:rsidRPr="007F78CE" w:rsidRDefault="007A7B38" w:rsidP="00B434A6">
            <w:pPr>
              <w:spacing w:after="0" w:line="240" w:lineRule="auto"/>
              <w:jc w:val="center"/>
              <w:rPr>
                <w:rFonts w:ascii="Arial Narrow" w:hAnsi="Arial Narrow"/>
                <w:b/>
                <w:bCs/>
                <w:sz w:val="20"/>
                <w:szCs w:val="20"/>
              </w:rPr>
            </w:pPr>
            <w:r>
              <w:rPr>
                <w:rFonts w:ascii="Arial Narrow" w:hAnsi="Arial Narrow"/>
                <w:b/>
                <w:bCs/>
                <w:sz w:val="20"/>
                <w:szCs w:val="20"/>
              </w:rPr>
              <w:t>Sous Projet</w:t>
            </w:r>
          </w:p>
        </w:tc>
        <w:tc>
          <w:tcPr>
            <w:tcW w:w="1064" w:type="dxa"/>
            <w:shd w:val="clear" w:color="auto" w:fill="BFBFBF"/>
          </w:tcPr>
          <w:p w14:paraId="6239503E" w14:textId="77777777" w:rsidR="007A7B38" w:rsidRPr="007F78CE" w:rsidRDefault="007A7B38"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958" w:type="dxa"/>
            <w:shd w:val="clear" w:color="auto" w:fill="BFBFBF"/>
          </w:tcPr>
          <w:p w14:paraId="4BC83CE7" w14:textId="77777777" w:rsidR="007A7B38" w:rsidRPr="007F78CE" w:rsidRDefault="007A7B38" w:rsidP="007F78CE">
            <w:pPr>
              <w:spacing w:after="0" w:line="240" w:lineRule="auto"/>
              <w:rPr>
                <w:rFonts w:ascii="Arial Narrow" w:hAnsi="Arial Narrow"/>
                <w:b/>
                <w:bCs/>
                <w:sz w:val="20"/>
                <w:szCs w:val="20"/>
              </w:rPr>
            </w:pPr>
            <w:r w:rsidRPr="007F78CE">
              <w:rPr>
                <w:rFonts w:ascii="Arial Narrow" w:hAnsi="Arial Narrow"/>
                <w:b/>
                <w:bCs/>
                <w:sz w:val="20"/>
                <w:szCs w:val="20"/>
              </w:rPr>
              <w:t>Etendue</w:t>
            </w:r>
          </w:p>
        </w:tc>
        <w:tc>
          <w:tcPr>
            <w:tcW w:w="926" w:type="dxa"/>
            <w:shd w:val="clear" w:color="auto" w:fill="BFBFBF"/>
          </w:tcPr>
          <w:p w14:paraId="5BD556B6" w14:textId="77777777" w:rsidR="007A7B38" w:rsidRPr="007F78CE" w:rsidRDefault="007A7B38"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346" w:type="dxa"/>
            <w:shd w:val="clear" w:color="auto" w:fill="BFBFBF"/>
          </w:tcPr>
          <w:p w14:paraId="226C7A6E" w14:textId="77777777" w:rsidR="007A7B38" w:rsidRPr="007F78CE" w:rsidRDefault="007A7B38"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296" w:type="dxa"/>
            <w:shd w:val="clear" w:color="auto" w:fill="BFBFBF"/>
          </w:tcPr>
          <w:p w14:paraId="36A1A088" w14:textId="77777777" w:rsidR="007A7B38" w:rsidRPr="007F78CE" w:rsidRDefault="007A7B38"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auto"/>
          </w:tcPr>
          <w:p w14:paraId="719861B0" w14:textId="77777777" w:rsidR="007A7B38" w:rsidRPr="007F78CE" w:rsidRDefault="007A7B38"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884" w:type="dxa"/>
            <w:shd w:val="clear" w:color="auto" w:fill="auto"/>
          </w:tcPr>
          <w:p w14:paraId="7DE8866F" w14:textId="77777777" w:rsidR="007A7B38" w:rsidRPr="007F78CE" w:rsidRDefault="007A7B38" w:rsidP="007F78CE">
            <w:pPr>
              <w:spacing w:after="0" w:line="240" w:lineRule="auto"/>
              <w:rPr>
                <w:rFonts w:ascii="Arial Narrow" w:hAnsi="Arial Narrow"/>
                <w:b/>
                <w:bCs/>
                <w:sz w:val="20"/>
                <w:szCs w:val="20"/>
              </w:rPr>
            </w:pPr>
            <w:r>
              <w:rPr>
                <w:rFonts w:ascii="Arial Narrow" w:hAnsi="Arial Narrow"/>
                <w:b/>
                <w:bCs/>
                <w:sz w:val="20"/>
                <w:szCs w:val="20"/>
              </w:rPr>
              <w:t>Risque</w:t>
            </w:r>
          </w:p>
        </w:tc>
      </w:tr>
      <w:tr w:rsidR="00345918" w:rsidRPr="007F78CE" w14:paraId="4909D39E" w14:textId="77777777" w:rsidTr="00FB04F6">
        <w:trPr>
          <w:jc w:val="center"/>
        </w:trPr>
        <w:tc>
          <w:tcPr>
            <w:tcW w:w="1750" w:type="dxa"/>
          </w:tcPr>
          <w:p w14:paraId="5A002D58" w14:textId="77777777" w:rsidR="007A7B38" w:rsidRPr="007F78CE" w:rsidRDefault="007A7B38" w:rsidP="00345918">
            <w:pPr>
              <w:spacing w:after="0" w:line="240" w:lineRule="auto"/>
              <w:contextualSpacing/>
              <w:rPr>
                <w:rFonts w:ascii="Arial Narrow" w:hAnsi="Arial Narrow" w:cs="Arial"/>
                <w:sz w:val="20"/>
                <w:szCs w:val="20"/>
              </w:rPr>
            </w:pPr>
            <w:r>
              <w:rPr>
                <w:rFonts w:ascii="Arial Narrow" w:hAnsi="Arial Narrow" w:cs="Arial"/>
                <w:sz w:val="20"/>
                <w:szCs w:val="20"/>
              </w:rPr>
              <w:t>Infrastructure</w:t>
            </w:r>
            <w:r w:rsidR="001C0602">
              <w:rPr>
                <w:rFonts w:ascii="Arial Narrow" w:hAnsi="Arial Narrow" w:cs="Arial"/>
                <w:sz w:val="20"/>
                <w:szCs w:val="20"/>
              </w:rPr>
              <w:t>s</w:t>
            </w:r>
            <w:r>
              <w:rPr>
                <w:rFonts w:ascii="Arial Narrow" w:hAnsi="Arial Narrow" w:cs="Arial"/>
                <w:sz w:val="20"/>
                <w:szCs w:val="20"/>
              </w:rPr>
              <w:t xml:space="preserve"> numérique</w:t>
            </w:r>
            <w:r w:rsidR="001C0602">
              <w:rPr>
                <w:rFonts w:ascii="Arial Narrow" w:hAnsi="Arial Narrow" w:cs="Arial"/>
                <w:sz w:val="20"/>
                <w:szCs w:val="20"/>
              </w:rPr>
              <w:t>s</w:t>
            </w:r>
          </w:p>
        </w:tc>
        <w:tc>
          <w:tcPr>
            <w:tcW w:w="1064" w:type="dxa"/>
            <w:shd w:val="clear" w:color="auto" w:fill="auto"/>
          </w:tcPr>
          <w:p w14:paraId="53D85FBC" w14:textId="77777777" w:rsidR="007A7B38" w:rsidRPr="007F78CE" w:rsidRDefault="007A7B38"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2EDD962D"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58" w:type="dxa"/>
            <w:shd w:val="clear" w:color="auto" w:fill="auto"/>
          </w:tcPr>
          <w:p w14:paraId="05D6FEE3"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23FD0955"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26" w:type="dxa"/>
            <w:shd w:val="clear" w:color="auto" w:fill="auto"/>
          </w:tcPr>
          <w:p w14:paraId="3D5BC491"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0490BB7B"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46" w:type="dxa"/>
            <w:shd w:val="clear" w:color="auto" w:fill="auto"/>
          </w:tcPr>
          <w:p w14:paraId="3F751821"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0A2B778B"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96" w:type="dxa"/>
            <w:shd w:val="clear" w:color="auto" w:fill="00B050"/>
          </w:tcPr>
          <w:p w14:paraId="4095C2E6"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4C62BC42"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vAlign w:val="center"/>
          </w:tcPr>
          <w:p w14:paraId="02DD0D7E" w14:textId="77777777" w:rsidR="007A7B38" w:rsidRPr="007F78CE" w:rsidRDefault="007A7B38"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c>
          <w:tcPr>
            <w:tcW w:w="884" w:type="dxa"/>
            <w:shd w:val="clear" w:color="auto" w:fill="538135"/>
          </w:tcPr>
          <w:p w14:paraId="755B4242" w14:textId="77777777" w:rsidR="007A7B38" w:rsidRPr="007F78CE" w:rsidRDefault="007A7B38"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Très faible</w:t>
            </w:r>
          </w:p>
        </w:tc>
      </w:tr>
      <w:tr w:rsidR="00345918" w:rsidRPr="007F78CE" w14:paraId="1FC35321" w14:textId="77777777" w:rsidTr="00FB04F6">
        <w:trPr>
          <w:jc w:val="center"/>
        </w:trPr>
        <w:tc>
          <w:tcPr>
            <w:tcW w:w="1750" w:type="dxa"/>
          </w:tcPr>
          <w:p w14:paraId="190825B3" w14:textId="77777777" w:rsidR="007A7B38" w:rsidRPr="007F78CE" w:rsidRDefault="007A7B38" w:rsidP="00B434A6">
            <w:pPr>
              <w:spacing w:after="0" w:line="240" w:lineRule="auto"/>
              <w:contextualSpacing/>
              <w:rPr>
                <w:rFonts w:ascii="Arial Narrow" w:hAnsi="Arial Narrow" w:cs="Arial"/>
                <w:sz w:val="20"/>
                <w:szCs w:val="20"/>
              </w:rPr>
            </w:pPr>
            <w:r>
              <w:rPr>
                <w:rFonts w:ascii="Arial Narrow" w:hAnsi="Arial Narrow" w:cs="Arial"/>
                <w:sz w:val="20"/>
                <w:szCs w:val="20"/>
              </w:rPr>
              <w:t>Centrale électrique solaire</w:t>
            </w:r>
          </w:p>
        </w:tc>
        <w:tc>
          <w:tcPr>
            <w:tcW w:w="1064" w:type="dxa"/>
            <w:shd w:val="clear" w:color="auto" w:fill="auto"/>
          </w:tcPr>
          <w:p w14:paraId="689AFA93" w14:textId="77777777" w:rsidR="007A7B38" w:rsidRPr="007F78CE" w:rsidRDefault="007A7B38" w:rsidP="0068003D">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1C8BBC3C"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58" w:type="dxa"/>
            <w:shd w:val="clear" w:color="auto" w:fill="auto"/>
          </w:tcPr>
          <w:p w14:paraId="37C113AD" w14:textId="77777777" w:rsidR="007A7B38" w:rsidRPr="007F78CE" w:rsidRDefault="007A7B38"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051CB170"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26" w:type="dxa"/>
            <w:shd w:val="clear" w:color="auto" w:fill="auto"/>
          </w:tcPr>
          <w:p w14:paraId="38CFC425" w14:textId="77777777" w:rsidR="007A7B38" w:rsidRPr="007F78CE" w:rsidRDefault="007A7B38"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15A48A99"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46" w:type="dxa"/>
            <w:shd w:val="clear" w:color="auto" w:fill="auto"/>
          </w:tcPr>
          <w:p w14:paraId="6465CA2D" w14:textId="77777777" w:rsidR="007A7B38" w:rsidRPr="007F78CE" w:rsidRDefault="007A7B38"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3009FBD6"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96" w:type="dxa"/>
            <w:shd w:val="clear" w:color="auto" w:fill="00B050"/>
          </w:tcPr>
          <w:p w14:paraId="0A0F1245" w14:textId="77777777" w:rsidR="007A7B38" w:rsidRPr="007F78CE" w:rsidRDefault="007A7B38"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7F3C8627"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vAlign w:val="center"/>
          </w:tcPr>
          <w:p w14:paraId="4FF382FF" w14:textId="77777777" w:rsidR="007A7B38" w:rsidRPr="007F78CE" w:rsidRDefault="007A7B38" w:rsidP="0068003D">
            <w:pPr>
              <w:spacing w:after="0" w:line="240" w:lineRule="auto"/>
              <w:contextualSpacing/>
              <w:jc w:val="center"/>
              <w:rPr>
                <w:rFonts w:ascii="Arial Narrow" w:hAnsi="Arial Narrow" w:cs="Arial"/>
                <w:sz w:val="20"/>
                <w:szCs w:val="20"/>
              </w:rPr>
            </w:pPr>
            <w:r w:rsidRPr="00EC331D">
              <w:rPr>
                <w:rFonts w:ascii="Arial Narrow" w:hAnsi="Arial Narrow" w:cs="Arial"/>
                <w:sz w:val="20"/>
                <w:szCs w:val="20"/>
              </w:rPr>
              <w:t>Faible</w:t>
            </w:r>
          </w:p>
        </w:tc>
        <w:tc>
          <w:tcPr>
            <w:tcW w:w="884" w:type="dxa"/>
            <w:shd w:val="clear" w:color="auto" w:fill="538135"/>
          </w:tcPr>
          <w:p w14:paraId="4BF56227" w14:textId="77777777" w:rsidR="007A7B38" w:rsidRPr="007F78CE" w:rsidRDefault="007A7B38" w:rsidP="0068003D">
            <w:pPr>
              <w:spacing w:after="0" w:line="240" w:lineRule="auto"/>
              <w:contextualSpacing/>
              <w:jc w:val="center"/>
              <w:rPr>
                <w:rFonts w:ascii="Arial Narrow" w:hAnsi="Arial Narrow" w:cs="Arial"/>
                <w:sz w:val="20"/>
                <w:szCs w:val="20"/>
              </w:rPr>
            </w:pPr>
            <w:r>
              <w:rPr>
                <w:rFonts w:ascii="Arial Narrow" w:hAnsi="Arial Narrow" w:cs="Arial"/>
                <w:sz w:val="20"/>
                <w:szCs w:val="20"/>
              </w:rPr>
              <w:t>Très faible</w:t>
            </w:r>
          </w:p>
        </w:tc>
      </w:tr>
      <w:tr w:rsidR="00345918" w:rsidRPr="007F78CE" w14:paraId="028C801B" w14:textId="77777777" w:rsidTr="00FB04F6">
        <w:trPr>
          <w:jc w:val="center"/>
        </w:trPr>
        <w:tc>
          <w:tcPr>
            <w:tcW w:w="1750" w:type="dxa"/>
          </w:tcPr>
          <w:p w14:paraId="2358CE1D" w14:textId="77777777" w:rsidR="007A7B38" w:rsidRPr="007F78CE" w:rsidRDefault="007A7B38" w:rsidP="00B434A6">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64" w:type="dxa"/>
            <w:shd w:val="clear" w:color="auto" w:fill="auto"/>
          </w:tcPr>
          <w:p w14:paraId="20E8000F" w14:textId="77777777" w:rsidR="007A7B38" w:rsidRPr="007F78CE" w:rsidRDefault="007A7B38" w:rsidP="0068003D">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7F570AE6"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58" w:type="dxa"/>
            <w:shd w:val="clear" w:color="auto" w:fill="auto"/>
          </w:tcPr>
          <w:p w14:paraId="494A1663" w14:textId="77777777" w:rsidR="007A7B38" w:rsidRPr="007F78CE" w:rsidRDefault="007A7B38"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3A499F1E"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26" w:type="dxa"/>
            <w:shd w:val="clear" w:color="auto" w:fill="auto"/>
          </w:tcPr>
          <w:p w14:paraId="356A22DB" w14:textId="77777777" w:rsidR="007A7B38" w:rsidRPr="007F78CE" w:rsidRDefault="007A7B38"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43C8070C"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46" w:type="dxa"/>
            <w:shd w:val="clear" w:color="auto" w:fill="auto"/>
          </w:tcPr>
          <w:p w14:paraId="6BC328E1" w14:textId="77777777" w:rsidR="007A7B38" w:rsidRPr="007F78CE" w:rsidRDefault="007A7B38"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3904318E"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96" w:type="dxa"/>
            <w:shd w:val="clear" w:color="auto" w:fill="00B050"/>
          </w:tcPr>
          <w:p w14:paraId="70EDEB20" w14:textId="77777777" w:rsidR="007A7B38" w:rsidRPr="007F78CE" w:rsidRDefault="007A7B38"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726222F5"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vAlign w:val="center"/>
          </w:tcPr>
          <w:p w14:paraId="39E4066B" w14:textId="77777777" w:rsidR="007A7B38" w:rsidRPr="007F78CE" w:rsidRDefault="007A7B38" w:rsidP="0068003D">
            <w:pPr>
              <w:spacing w:after="0" w:line="240" w:lineRule="auto"/>
              <w:contextualSpacing/>
              <w:jc w:val="center"/>
              <w:rPr>
                <w:rFonts w:ascii="Arial Narrow" w:hAnsi="Arial Narrow" w:cs="Arial"/>
                <w:sz w:val="20"/>
                <w:szCs w:val="20"/>
              </w:rPr>
            </w:pPr>
            <w:r w:rsidRPr="00EC331D">
              <w:rPr>
                <w:rFonts w:ascii="Arial Narrow" w:hAnsi="Arial Narrow" w:cs="Arial"/>
                <w:sz w:val="20"/>
                <w:szCs w:val="20"/>
              </w:rPr>
              <w:t>Faible</w:t>
            </w:r>
          </w:p>
        </w:tc>
        <w:tc>
          <w:tcPr>
            <w:tcW w:w="884" w:type="dxa"/>
            <w:shd w:val="clear" w:color="auto" w:fill="538135"/>
          </w:tcPr>
          <w:p w14:paraId="7BD7029F" w14:textId="77777777" w:rsidR="007A7B38" w:rsidRPr="007F78CE" w:rsidRDefault="007A7B38" w:rsidP="0068003D">
            <w:pPr>
              <w:spacing w:after="0" w:line="240" w:lineRule="auto"/>
              <w:contextualSpacing/>
              <w:jc w:val="center"/>
              <w:rPr>
                <w:rFonts w:ascii="Arial Narrow" w:hAnsi="Arial Narrow" w:cs="Arial"/>
                <w:sz w:val="20"/>
                <w:szCs w:val="20"/>
              </w:rPr>
            </w:pPr>
            <w:r>
              <w:rPr>
                <w:rFonts w:ascii="Arial Narrow" w:hAnsi="Arial Narrow" w:cs="Arial"/>
                <w:sz w:val="20"/>
                <w:szCs w:val="20"/>
              </w:rPr>
              <w:t>Très faible</w:t>
            </w:r>
          </w:p>
        </w:tc>
      </w:tr>
      <w:tr w:rsidR="00345918" w:rsidRPr="007F78CE" w14:paraId="6C053BFF" w14:textId="77777777" w:rsidTr="00FB04F6">
        <w:trPr>
          <w:jc w:val="center"/>
        </w:trPr>
        <w:tc>
          <w:tcPr>
            <w:tcW w:w="1750" w:type="dxa"/>
          </w:tcPr>
          <w:p w14:paraId="631B467A" w14:textId="77777777" w:rsidR="007A7B38" w:rsidRDefault="007A7B38" w:rsidP="00B434A6">
            <w:pPr>
              <w:spacing w:after="0" w:line="240" w:lineRule="auto"/>
              <w:contextualSpacing/>
              <w:rPr>
                <w:rFonts w:ascii="Arial Narrow" w:hAnsi="Arial Narrow" w:cs="Arial"/>
                <w:sz w:val="20"/>
                <w:szCs w:val="20"/>
              </w:rPr>
            </w:pPr>
            <w:r>
              <w:rPr>
                <w:rFonts w:ascii="Arial Narrow" w:hAnsi="Arial Narrow" w:cs="Arial"/>
                <w:sz w:val="20"/>
                <w:szCs w:val="20"/>
              </w:rPr>
              <w:t>Réseau électrique</w:t>
            </w:r>
          </w:p>
        </w:tc>
        <w:tc>
          <w:tcPr>
            <w:tcW w:w="1064" w:type="dxa"/>
            <w:shd w:val="clear" w:color="auto" w:fill="auto"/>
          </w:tcPr>
          <w:p w14:paraId="286B98C8" w14:textId="77777777" w:rsidR="007A7B38" w:rsidRPr="007F78CE" w:rsidRDefault="007A7B38" w:rsidP="00296692">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42D0EEB2" w14:textId="77777777" w:rsidR="007A7B38" w:rsidRPr="007F78CE" w:rsidRDefault="007A7B38"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58" w:type="dxa"/>
            <w:shd w:val="clear" w:color="auto" w:fill="auto"/>
          </w:tcPr>
          <w:p w14:paraId="64620BC9" w14:textId="77777777" w:rsidR="007A7B38" w:rsidRPr="007F78CE" w:rsidRDefault="007A7B3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206B1828" w14:textId="77777777" w:rsidR="007A7B38" w:rsidRPr="007F78CE" w:rsidRDefault="007A7B38"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26" w:type="dxa"/>
            <w:shd w:val="clear" w:color="auto" w:fill="auto"/>
          </w:tcPr>
          <w:p w14:paraId="478A6CDB" w14:textId="77777777" w:rsidR="007A7B38" w:rsidRPr="007F78CE" w:rsidRDefault="007A7B3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247EDB7C" w14:textId="77777777" w:rsidR="007A7B38" w:rsidRPr="007F78CE" w:rsidRDefault="007A7B38"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46" w:type="dxa"/>
            <w:shd w:val="clear" w:color="auto" w:fill="auto"/>
          </w:tcPr>
          <w:p w14:paraId="31B6FA4A" w14:textId="77777777" w:rsidR="007A7B38" w:rsidRPr="007F78CE" w:rsidRDefault="007A7B3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53ACC558" w14:textId="77777777" w:rsidR="007A7B38" w:rsidRPr="007F78CE" w:rsidRDefault="007A7B38"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96" w:type="dxa"/>
            <w:shd w:val="clear" w:color="auto" w:fill="00B050"/>
          </w:tcPr>
          <w:p w14:paraId="261BA05B" w14:textId="77777777" w:rsidR="007A7B38" w:rsidRPr="007F78CE" w:rsidRDefault="007A7B3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0CE37F4E" w14:textId="77777777" w:rsidR="007A7B38" w:rsidRPr="007F78CE" w:rsidRDefault="007A7B38"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vAlign w:val="center"/>
          </w:tcPr>
          <w:p w14:paraId="0E978850" w14:textId="77777777" w:rsidR="007A7B38" w:rsidRPr="007F78CE" w:rsidRDefault="007A7B38" w:rsidP="00296692">
            <w:pPr>
              <w:spacing w:after="0" w:line="240" w:lineRule="auto"/>
              <w:contextualSpacing/>
              <w:jc w:val="center"/>
              <w:rPr>
                <w:rFonts w:ascii="Arial Narrow" w:hAnsi="Arial Narrow" w:cs="Arial"/>
                <w:sz w:val="20"/>
                <w:szCs w:val="20"/>
              </w:rPr>
            </w:pPr>
            <w:r w:rsidRPr="00EC331D">
              <w:rPr>
                <w:rFonts w:ascii="Arial Narrow" w:hAnsi="Arial Narrow" w:cs="Arial"/>
                <w:sz w:val="20"/>
                <w:szCs w:val="20"/>
              </w:rPr>
              <w:t>Faible</w:t>
            </w:r>
          </w:p>
        </w:tc>
        <w:tc>
          <w:tcPr>
            <w:tcW w:w="884" w:type="dxa"/>
            <w:shd w:val="clear" w:color="auto" w:fill="538135"/>
          </w:tcPr>
          <w:p w14:paraId="665528A5" w14:textId="77777777" w:rsidR="007A7B38" w:rsidRPr="007F78CE" w:rsidRDefault="007A7B3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Très faible</w:t>
            </w:r>
          </w:p>
        </w:tc>
      </w:tr>
      <w:tr w:rsidR="001716F8" w:rsidRPr="007F78CE" w14:paraId="5607BC40" w14:textId="77777777" w:rsidTr="00FB04F6">
        <w:trPr>
          <w:jc w:val="center"/>
        </w:trPr>
        <w:tc>
          <w:tcPr>
            <w:tcW w:w="1750" w:type="dxa"/>
          </w:tcPr>
          <w:p w14:paraId="1FDBA1B8" w14:textId="77777777" w:rsidR="001716F8" w:rsidRDefault="001716F8" w:rsidP="00B434A6">
            <w:pPr>
              <w:spacing w:after="0" w:line="240" w:lineRule="auto"/>
              <w:contextualSpacing/>
              <w:rPr>
                <w:rFonts w:ascii="Arial Narrow" w:hAnsi="Arial Narrow" w:cs="Arial"/>
                <w:sz w:val="20"/>
                <w:szCs w:val="20"/>
              </w:rPr>
            </w:pPr>
            <w:r>
              <w:rPr>
                <w:rFonts w:ascii="Arial Narrow" w:hAnsi="Arial Narrow" w:cs="Arial"/>
                <w:sz w:val="20"/>
                <w:szCs w:val="20"/>
              </w:rPr>
              <w:t>Impact cumulé</w:t>
            </w:r>
          </w:p>
        </w:tc>
        <w:tc>
          <w:tcPr>
            <w:tcW w:w="1064" w:type="dxa"/>
            <w:shd w:val="clear" w:color="auto" w:fill="auto"/>
          </w:tcPr>
          <w:p w14:paraId="47D7E1E4" w14:textId="77777777" w:rsidR="001716F8" w:rsidRPr="007F78CE" w:rsidRDefault="001716F8" w:rsidP="00D70FB3">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4001BDB2"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58" w:type="dxa"/>
            <w:shd w:val="clear" w:color="auto" w:fill="auto"/>
          </w:tcPr>
          <w:p w14:paraId="1DD735A6"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6431EEEE"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26" w:type="dxa"/>
            <w:shd w:val="clear" w:color="auto" w:fill="auto"/>
          </w:tcPr>
          <w:p w14:paraId="6AA80131"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4A42A1BF"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46" w:type="dxa"/>
            <w:shd w:val="clear" w:color="auto" w:fill="auto"/>
          </w:tcPr>
          <w:p w14:paraId="7943FA45"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3FE519C2"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96" w:type="dxa"/>
            <w:shd w:val="clear" w:color="auto" w:fill="00B050"/>
          </w:tcPr>
          <w:p w14:paraId="531A0882"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28C545AF"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vAlign w:val="center"/>
          </w:tcPr>
          <w:p w14:paraId="330F17FA" w14:textId="77777777" w:rsidR="001716F8" w:rsidRPr="00EC331D" w:rsidRDefault="001716F8" w:rsidP="00296692">
            <w:pPr>
              <w:spacing w:after="0" w:line="240" w:lineRule="auto"/>
              <w:contextualSpacing/>
              <w:jc w:val="center"/>
              <w:rPr>
                <w:rFonts w:ascii="Arial Narrow" w:hAnsi="Arial Narrow" w:cs="Arial"/>
                <w:sz w:val="20"/>
                <w:szCs w:val="20"/>
              </w:rPr>
            </w:pPr>
            <w:r w:rsidRPr="00EC331D">
              <w:rPr>
                <w:rFonts w:ascii="Arial Narrow" w:hAnsi="Arial Narrow" w:cs="Arial"/>
                <w:sz w:val="20"/>
                <w:szCs w:val="20"/>
              </w:rPr>
              <w:t>Faible</w:t>
            </w:r>
          </w:p>
        </w:tc>
        <w:tc>
          <w:tcPr>
            <w:tcW w:w="884" w:type="dxa"/>
            <w:shd w:val="clear" w:color="auto" w:fill="538135"/>
          </w:tcPr>
          <w:p w14:paraId="65179DA5" w14:textId="77777777" w:rsidR="001716F8" w:rsidRDefault="001716F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Très faible</w:t>
            </w:r>
          </w:p>
        </w:tc>
      </w:tr>
    </w:tbl>
    <w:p w14:paraId="01CDC004" w14:textId="77777777" w:rsidR="00E313BE" w:rsidRPr="00742D67" w:rsidRDefault="00E313BE" w:rsidP="00B434A6">
      <w:pPr>
        <w:pStyle w:val="Normal12"/>
        <w:numPr>
          <w:ilvl w:val="0"/>
          <w:numId w:val="85"/>
        </w:numPr>
        <w:spacing w:before="100" w:beforeAutospacing="1" w:after="100" w:afterAutospacing="1"/>
        <w:ind w:left="1077" w:hanging="357"/>
        <w:contextualSpacing/>
        <w:rPr>
          <w:i/>
          <w:iCs/>
          <w:color w:val="auto"/>
        </w:rPr>
      </w:pPr>
      <w:r w:rsidRPr="00742D67">
        <w:rPr>
          <w:i/>
          <w:iCs/>
          <w:color w:val="auto"/>
          <w:lang w:val="fr-FR"/>
        </w:rPr>
        <w:t>Imperméabilisation du sol</w:t>
      </w:r>
    </w:p>
    <w:p w14:paraId="4D4C07FC" w14:textId="77777777" w:rsidR="00E313BE" w:rsidRPr="00742D67" w:rsidRDefault="00E313BE" w:rsidP="00B434A6">
      <w:pPr>
        <w:jc w:val="both"/>
        <w:rPr>
          <w:rFonts w:ascii="Arial" w:hAnsi="Arial" w:cs="Arial"/>
        </w:rPr>
      </w:pPr>
      <w:r w:rsidRPr="00742D67">
        <w:rPr>
          <w:rFonts w:ascii="Arial" w:hAnsi="Arial" w:cs="Arial"/>
        </w:rPr>
        <w:t xml:space="preserve">La circulation des engins au niveau des pistes d’accès et les </w:t>
      </w:r>
      <w:r w:rsidR="000B28BB" w:rsidRPr="00742D67">
        <w:rPr>
          <w:rFonts w:ascii="Arial" w:hAnsi="Arial" w:cs="Arial"/>
        </w:rPr>
        <w:t>a</w:t>
      </w:r>
      <w:r w:rsidRPr="00742D67">
        <w:rPr>
          <w:rFonts w:ascii="Arial" w:hAnsi="Arial" w:cs="Arial"/>
        </w:rPr>
        <w:t>ncrages des panneaux solaires et les tours cellulaires</w:t>
      </w:r>
      <w:r w:rsidR="00DC0F77" w:rsidRPr="00742D67">
        <w:rPr>
          <w:rFonts w:ascii="Arial" w:hAnsi="Arial" w:cs="Arial"/>
        </w:rPr>
        <w:t xml:space="preserve"> provoquent l’imperméabilisation. Effectivement</w:t>
      </w:r>
      <w:r w:rsidRPr="00742D67">
        <w:rPr>
          <w:rFonts w:ascii="Arial" w:hAnsi="Arial" w:cs="Arial"/>
        </w:rPr>
        <w:t xml:space="preserve">, </w:t>
      </w:r>
      <w:r w:rsidR="00DC0F77" w:rsidRPr="00742D67">
        <w:rPr>
          <w:rFonts w:ascii="Arial" w:hAnsi="Arial" w:cs="Arial"/>
        </w:rPr>
        <w:t>le sol devient de plus en plus compact après le passage des engins et les matériaux comme les bétons utilisés pour l’</w:t>
      </w:r>
      <w:r w:rsidR="000B28BB" w:rsidRPr="00742D67">
        <w:rPr>
          <w:rFonts w:ascii="Arial" w:hAnsi="Arial" w:cs="Arial"/>
        </w:rPr>
        <w:t>a</w:t>
      </w:r>
      <w:r w:rsidR="00DC0F77" w:rsidRPr="00742D67">
        <w:rPr>
          <w:rFonts w:ascii="Arial" w:hAnsi="Arial" w:cs="Arial"/>
        </w:rPr>
        <w:t>ncrage des panneaux solaires et des tours cellulaires empêchent la filtration de l’eau</w:t>
      </w:r>
      <w:r w:rsidR="0068003D" w:rsidRPr="00742D67">
        <w:rPr>
          <w:rFonts w:ascii="Arial" w:hAnsi="Arial" w:cs="Arial"/>
        </w:rPr>
        <w:t xml:space="preserve">. </w:t>
      </w:r>
    </w:p>
    <w:p w14:paraId="78DB20AB" w14:textId="77777777" w:rsidR="00DC0F77" w:rsidRPr="00742D67" w:rsidRDefault="0068003D" w:rsidP="00F01166">
      <w:pPr>
        <w:jc w:val="both"/>
        <w:rPr>
          <w:rFonts w:ascii="Arial" w:hAnsi="Arial" w:cs="Arial"/>
        </w:rPr>
      </w:pPr>
      <w:r w:rsidRPr="00742D67">
        <w:rPr>
          <w:rFonts w:ascii="Arial" w:hAnsi="Arial" w:cs="Arial"/>
        </w:rPr>
        <w:t>Pour tous les sous projets, la superficie de sol impactée sera faible et l’imperméabilisation du sol est limité</w:t>
      </w:r>
      <w:r w:rsidR="00F35414">
        <w:rPr>
          <w:rFonts w:ascii="Arial" w:hAnsi="Arial" w:cs="Arial"/>
        </w:rPr>
        <w:t>e</w:t>
      </w:r>
      <w:r w:rsidRPr="00742D67">
        <w:rPr>
          <w:rFonts w:ascii="Arial" w:hAnsi="Arial" w:cs="Arial"/>
        </w:rPr>
        <w:t xml:space="preserve"> seulement au niveau des pistes et des zones d’</w:t>
      </w:r>
      <w:r w:rsidR="000B28BB" w:rsidRPr="00742D67">
        <w:rPr>
          <w:rFonts w:ascii="Arial" w:hAnsi="Arial" w:cs="Arial"/>
        </w:rPr>
        <w:t>a</w:t>
      </w:r>
      <w:r w:rsidRPr="00742D67">
        <w:rPr>
          <w:rFonts w:ascii="Arial" w:hAnsi="Arial" w:cs="Arial"/>
        </w:rPr>
        <w:t>ncrages, de plus elle est considérée comme réversible, c’est pourquoi son importance est considérée comme « Mineure »</w:t>
      </w:r>
      <w:r w:rsidR="00F35414">
        <w:rPr>
          <w:rFonts w:ascii="Arial" w:hAnsi="Arial" w:cs="Arial"/>
        </w:rPr>
        <w:t xml:space="preserve"> </w:t>
      </w:r>
      <w:r w:rsidR="007A7B38">
        <w:rPr>
          <w:rFonts w:ascii="Arial" w:hAnsi="Arial" w:cs="Arial"/>
        </w:rPr>
        <w:t xml:space="preserve">et le risque est évalué comme très faible </w:t>
      </w:r>
      <w:r w:rsidR="00F35414">
        <w:rPr>
          <w:rFonts w:ascii="Arial" w:hAnsi="Arial" w:cs="Arial"/>
        </w:rPr>
        <w:t>selon le tableau ci-dessous.</w:t>
      </w:r>
    </w:p>
    <w:p w14:paraId="098133F7" w14:textId="77777777" w:rsidR="0068003D" w:rsidRPr="001A6BF4" w:rsidRDefault="0068003D" w:rsidP="00B434A6">
      <w:pPr>
        <w:pStyle w:val="Lgende"/>
        <w:spacing w:before="120"/>
        <w:jc w:val="center"/>
        <w:rPr>
          <w:sz w:val="20"/>
        </w:rPr>
      </w:pPr>
      <w:bookmarkStart w:id="910" w:name="_Toc127957820"/>
      <w:r w:rsidRPr="001A6BF4">
        <w:rPr>
          <w:sz w:val="20"/>
        </w:rPr>
        <w:t xml:space="preserve">Tableau </w:t>
      </w:r>
      <w:r w:rsidRPr="001A6BF4">
        <w:rPr>
          <w:sz w:val="20"/>
        </w:rPr>
        <w:fldChar w:fldCharType="begin"/>
      </w:r>
      <w:r w:rsidRPr="001A6BF4">
        <w:rPr>
          <w:sz w:val="20"/>
        </w:rPr>
        <w:instrText xml:space="preserve"> SEQ Tableau \* ARABIC </w:instrText>
      </w:r>
      <w:r w:rsidRPr="001A6BF4">
        <w:rPr>
          <w:sz w:val="20"/>
        </w:rPr>
        <w:fldChar w:fldCharType="separate"/>
      </w:r>
      <w:r w:rsidR="005430A1">
        <w:rPr>
          <w:noProof/>
          <w:sz w:val="20"/>
        </w:rPr>
        <w:t>24</w:t>
      </w:r>
      <w:r w:rsidRPr="001A6BF4">
        <w:rPr>
          <w:sz w:val="20"/>
        </w:rPr>
        <w:fldChar w:fldCharType="end"/>
      </w:r>
      <w:r w:rsidRPr="001A6BF4">
        <w:rPr>
          <w:sz w:val="20"/>
        </w:rPr>
        <w:t>. Evaluation</w:t>
      </w:r>
      <w:r w:rsidR="00FB273B" w:rsidRPr="001A6BF4">
        <w:rPr>
          <w:sz w:val="20"/>
        </w:rPr>
        <w:t xml:space="preserve"> de l</w:t>
      </w:r>
      <w:r w:rsidR="001A6BF4">
        <w:rPr>
          <w:sz w:val="20"/>
        </w:rPr>
        <w:t>’</w:t>
      </w:r>
      <w:r w:rsidRPr="001A6BF4">
        <w:rPr>
          <w:sz w:val="20"/>
        </w:rPr>
        <w:t>impact. Imperméabilisation du sol</w:t>
      </w:r>
      <w:bookmarkEnd w:id="910"/>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935"/>
        <w:gridCol w:w="992"/>
        <w:gridCol w:w="925"/>
        <w:gridCol w:w="1231"/>
        <w:gridCol w:w="1150"/>
        <w:gridCol w:w="1064"/>
        <w:gridCol w:w="787"/>
        <w:tblGridChange w:id="911">
          <w:tblGrid>
            <w:gridCol w:w="2204"/>
            <w:gridCol w:w="935"/>
            <w:gridCol w:w="992"/>
            <w:gridCol w:w="925"/>
            <w:gridCol w:w="1231"/>
            <w:gridCol w:w="1150"/>
            <w:gridCol w:w="1064"/>
            <w:gridCol w:w="787"/>
          </w:tblGrid>
        </w:tblGridChange>
      </w:tblGrid>
      <w:tr w:rsidR="007A7B38" w:rsidRPr="00742D67" w14:paraId="214C065C" w14:textId="77777777" w:rsidTr="00345918">
        <w:trPr>
          <w:jc w:val="center"/>
        </w:trPr>
        <w:tc>
          <w:tcPr>
            <w:tcW w:w="1705" w:type="dxa"/>
            <w:shd w:val="clear" w:color="auto" w:fill="BFBFBF"/>
          </w:tcPr>
          <w:p w14:paraId="3CB33750" w14:textId="77777777" w:rsidR="007A7B38" w:rsidRPr="00742D67" w:rsidRDefault="007A7B38" w:rsidP="0068003D">
            <w:pPr>
              <w:spacing w:after="0" w:line="240" w:lineRule="auto"/>
              <w:jc w:val="center"/>
              <w:rPr>
                <w:rFonts w:ascii="Arial Narrow" w:hAnsi="Arial Narrow"/>
                <w:b/>
                <w:bCs/>
                <w:sz w:val="20"/>
                <w:szCs w:val="20"/>
              </w:rPr>
            </w:pPr>
            <w:r w:rsidRPr="00742D67">
              <w:rPr>
                <w:rFonts w:ascii="Arial Narrow" w:hAnsi="Arial Narrow"/>
                <w:b/>
                <w:bCs/>
                <w:sz w:val="20"/>
                <w:szCs w:val="20"/>
              </w:rPr>
              <w:t>Sous Projet</w:t>
            </w:r>
          </w:p>
        </w:tc>
        <w:tc>
          <w:tcPr>
            <w:tcW w:w="1045" w:type="dxa"/>
            <w:shd w:val="clear" w:color="auto" w:fill="BFBFBF"/>
          </w:tcPr>
          <w:p w14:paraId="425DD4D3" w14:textId="77777777" w:rsidR="007A7B38" w:rsidRPr="00742D67" w:rsidRDefault="007A7B38" w:rsidP="00B434A6">
            <w:pPr>
              <w:spacing w:after="0" w:line="240" w:lineRule="auto"/>
              <w:jc w:val="center"/>
              <w:rPr>
                <w:rFonts w:ascii="Arial Narrow" w:hAnsi="Arial Narrow"/>
                <w:b/>
                <w:sz w:val="20"/>
                <w:szCs w:val="20"/>
              </w:rPr>
            </w:pPr>
            <w:r w:rsidRPr="00742D67">
              <w:rPr>
                <w:rFonts w:ascii="Arial Narrow" w:hAnsi="Arial Narrow"/>
                <w:b/>
                <w:bCs/>
                <w:sz w:val="20"/>
                <w:szCs w:val="20"/>
              </w:rPr>
              <w:t>Intensité</w:t>
            </w:r>
          </w:p>
        </w:tc>
        <w:tc>
          <w:tcPr>
            <w:tcW w:w="1017" w:type="dxa"/>
            <w:shd w:val="clear" w:color="auto" w:fill="BFBFBF"/>
          </w:tcPr>
          <w:p w14:paraId="24BA778C" w14:textId="77777777" w:rsidR="007A7B38" w:rsidRPr="00742D67" w:rsidRDefault="007A7B38" w:rsidP="00B434A6">
            <w:pPr>
              <w:spacing w:after="0" w:line="240" w:lineRule="auto"/>
              <w:jc w:val="center"/>
              <w:rPr>
                <w:rFonts w:ascii="Arial Narrow" w:hAnsi="Arial Narrow"/>
                <w:b/>
                <w:bCs/>
                <w:sz w:val="20"/>
                <w:szCs w:val="20"/>
              </w:rPr>
            </w:pPr>
            <w:r w:rsidRPr="00742D67">
              <w:rPr>
                <w:rFonts w:ascii="Arial Narrow" w:hAnsi="Arial Narrow"/>
                <w:b/>
                <w:bCs/>
                <w:sz w:val="20"/>
                <w:szCs w:val="20"/>
              </w:rPr>
              <w:t>Etendue</w:t>
            </w:r>
          </w:p>
        </w:tc>
        <w:tc>
          <w:tcPr>
            <w:tcW w:w="1009" w:type="dxa"/>
            <w:shd w:val="clear" w:color="auto" w:fill="BFBFBF"/>
          </w:tcPr>
          <w:p w14:paraId="208907FC" w14:textId="77777777" w:rsidR="007A7B38" w:rsidRPr="00742D67" w:rsidRDefault="007A7B38" w:rsidP="00B434A6">
            <w:pPr>
              <w:spacing w:after="0" w:line="240" w:lineRule="auto"/>
              <w:jc w:val="center"/>
              <w:rPr>
                <w:rFonts w:ascii="Arial Narrow" w:hAnsi="Arial Narrow"/>
                <w:b/>
                <w:bCs/>
                <w:sz w:val="20"/>
                <w:szCs w:val="20"/>
              </w:rPr>
            </w:pPr>
            <w:r w:rsidRPr="00742D67">
              <w:rPr>
                <w:rFonts w:ascii="Arial Narrow" w:hAnsi="Arial Narrow"/>
                <w:b/>
                <w:bCs/>
                <w:sz w:val="20"/>
                <w:szCs w:val="20"/>
              </w:rPr>
              <w:t>Durée</w:t>
            </w:r>
          </w:p>
        </w:tc>
        <w:tc>
          <w:tcPr>
            <w:tcW w:w="1329" w:type="dxa"/>
            <w:shd w:val="clear" w:color="auto" w:fill="BFBFBF"/>
          </w:tcPr>
          <w:p w14:paraId="44040505" w14:textId="77777777" w:rsidR="007A7B38" w:rsidRPr="00742D67" w:rsidRDefault="007A7B38" w:rsidP="00B434A6">
            <w:pPr>
              <w:spacing w:after="0" w:line="240" w:lineRule="auto"/>
              <w:jc w:val="center"/>
              <w:rPr>
                <w:rFonts w:ascii="Arial Narrow" w:hAnsi="Arial Narrow"/>
                <w:b/>
                <w:bCs/>
                <w:sz w:val="20"/>
                <w:szCs w:val="20"/>
              </w:rPr>
            </w:pPr>
            <w:r w:rsidRPr="00742D67">
              <w:rPr>
                <w:rFonts w:ascii="Arial Narrow" w:hAnsi="Arial Narrow"/>
                <w:b/>
                <w:bCs/>
                <w:sz w:val="20"/>
                <w:szCs w:val="20"/>
              </w:rPr>
              <w:t>Réversibilité</w:t>
            </w:r>
          </w:p>
        </w:tc>
        <w:tc>
          <w:tcPr>
            <w:tcW w:w="1274" w:type="dxa"/>
            <w:shd w:val="clear" w:color="auto" w:fill="BFBFBF"/>
          </w:tcPr>
          <w:p w14:paraId="69416CAD" w14:textId="77777777" w:rsidR="007A7B38" w:rsidRPr="00742D67" w:rsidRDefault="007A7B38" w:rsidP="00B434A6">
            <w:pPr>
              <w:spacing w:after="0" w:line="240" w:lineRule="auto"/>
              <w:jc w:val="center"/>
              <w:rPr>
                <w:rFonts w:ascii="Arial Narrow" w:hAnsi="Arial Narrow"/>
                <w:b/>
                <w:bCs/>
                <w:sz w:val="20"/>
                <w:szCs w:val="20"/>
              </w:rPr>
            </w:pPr>
            <w:r w:rsidRPr="00742D67">
              <w:rPr>
                <w:rFonts w:ascii="Arial Narrow" w:hAnsi="Arial Narrow"/>
                <w:b/>
                <w:bCs/>
                <w:sz w:val="20"/>
                <w:szCs w:val="20"/>
              </w:rPr>
              <w:t>Importance</w:t>
            </w:r>
          </w:p>
        </w:tc>
        <w:tc>
          <w:tcPr>
            <w:tcW w:w="1064" w:type="dxa"/>
            <w:shd w:val="clear" w:color="auto" w:fill="BFBFBF"/>
          </w:tcPr>
          <w:p w14:paraId="0DF31D37" w14:textId="77777777" w:rsidR="007A7B38" w:rsidRPr="00742D67" w:rsidRDefault="007A7B38" w:rsidP="00B434A6">
            <w:pPr>
              <w:spacing w:after="0" w:line="240" w:lineRule="auto"/>
              <w:jc w:val="center"/>
              <w:rPr>
                <w:rFonts w:ascii="Arial Narrow" w:hAnsi="Arial Narrow"/>
                <w:b/>
                <w:bCs/>
                <w:sz w:val="20"/>
                <w:szCs w:val="20"/>
              </w:rPr>
            </w:pPr>
            <w:r>
              <w:rPr>
                <w:rFonts w:ascii="Arial Narrow" w:hAnsi="Arial Narrow"/>
                <w:b/>
                <w:bCs/>
                <w:sz w:val="20"/>
                <w:szCs w:val="20"/>
              </w:rPr>
              <w:t>Probabilité</w:t>
            </w:r>
          </w:p>
        </w:tc>
        <w:tc>
          <w:tcPr>
            <w:tcW w:w="845" w:type="dxa"/>
            <w:shd w:val="clear" w:color="auto" w:fill="BFBFBF"/>
          </w:tcPr>
          <w:p w14:paraId="42B47DD4" w14:textId="77777777" w:rsidR="007A7B38" w:rsidRPr="00742D67" w:rsidRDefault="007A7B38" w:rsidP="00B434A6">
            <w:pPr>
              <w:spacing w:after="0" w:line="240" w:lineRule="auto"/>
              <w:jc w:val="center"/>
              <w:rPr>
                <w:rFonts w:ascii="Arial Narrow" w:hAnsi="Arial Narrow"/>
                <w:b/>
                <w:bCs/>
                <w:sz w:val="20"/>
                <w:szCs w:val="20"/>
              </w:rPr>
            </w:pPr>
            <w:r>
              <w:rPr>
                <w:rFonts w:ascii="Arial Narrow" w:hAnsi="Arial Narrow"/>
                <w:b/>
                <w:bCs/>
                <w:sz w:val="20"/>
                <w:szCs w:val="20"/>
              </w:rPr>
              <w:t>Risque</w:t>
            </w:r>
          </w:p>
        </w:tc>
      </w:tr>
      <w:tr w:rsidR="00345918" w:rsidRPr="00742D67" w14:paraId="3F9C1E2A" w14:textId="77777777" w:rsidTr="00FB04F6">
        <w:trPr>
          <w:jc w:val="center"/>
        </w:trPr>
        <w:tc>
          <w:tcPr>
            <w:tcW w:w="1705" w:type="dxa"/>
          </w:tcPr>
          <w:p w14:paraId="7C9CB0D0" w14:textId="77777777" w:rsidR="007A7B38" w:rsidRPr="00742D67" w:rsidRDefault="007A7B38" w:rsidP="00345918">
            <w:pPr>
              <w:spacing w:after="0" w:line="240" w:lineRule="auto"/>
              <w:contextualSpacing/>
              <w:rPr>
                <w:rFonts w:ascii="Arial Narrow" w:hAnsi="Arial Narrow" w:cs="Arial"/>
                <w:sz w:val="20"/>
                <w:szCs w:val="20"/>
              </w:rPr>
            </w:pPr>
            <w:r w:rsidRPr="00742D67">
              <w:rPr>
                <w:rFonts w:ascii="Arial Narrow" w:hAnsi="Arial Narrow" w:cs="Arial"/>
                <w:sz w:val="20"/>
                <w:szCs w:val="20"/>
              </w:rPr>
              <w:t>Infrastructure</w:t>
            </w:r>
            <w:r w:rsidR="001C0602">
              <w:rPr>
                <w:rFonts w:ascii="Arial Narrow" w:hAnsi="Arial Narrow" w:cs="Arial"/>
                <w:sz w:val="20"/>
                <w:szCs w:val="20"/>
              </w:rPr>
              <w:t>ss</w:t>
            </w:r>
            <w:r w:rsidRPr="00742D67">
              <w:rPr>
                <w:rFonts w:ascii="Arial Narrow" w:hAnsi="Arial Narrow" w:cs="Arial"/>
                <w:sz w:val="20"/>
                <w:szCs w:val="20"/>
              </w:rPr>
              <w:t>numérique</w:t>
            </w:r>
            <w:r w:rsidR="001C0602">
              <w:rPr>
                <w:rFonts w:ascii="Arial Narrow" w:hAnsi="Arial Narrow" w:cs="Arial"/>
                <w:sz w:val="20"/>
                <w:szCs w:val="20"/>
              </w:rPr>
              <w:t>s</w:t>
            </w:r>
          </w:p>
        </w:tc>
        <w:tc>
          <w:tcPr>
            <w:tcW w:w="1045" w:type="dxa"/>
            <w:shd w:val="clear" w:color="auto" w:fill="auto"/>
          </w:tcPr>
          <w:p w14:paraId="22382103" w14:textId="77777777" w:rsidR="007A7B38" w:rsidRPr="00742D67" w:rsidRDefault="007A7B38" w:rsidP="0068003D">
            <w:pPr>
              <w:spacing w:after="0" w:line="240" w:lineRule="auto"/>
              <w:contextualSpacing/>
              <w:jc w:val="center"/>
              <w:rPr>
                <w:rFonts w:ascii="Arial Narrow" w:hAnsi="Arial Narrow" w:cs="Arial"/>
                <w:bCs/>
                <w:sz w:val="20"/>
                <w:szCs w:val="20"/>
              </w:rPr>
            </w:pPr>
            <w:r w:rsidRPr="00742D67">
              <w:rPr>
                <w:rFonts w:ascii="Arial Narrow" w:hAnsi="Arial Narrow" w:cs="Arial"/>
                <w:sz w:val="20"/>
                <w:szCs w:val="20"/>
              </w:rPr>
              <w:t>Faible</w:t>
            </w:r>
          </w:p>
          <w:p w14:paraId="5E5736E5" w14:textId="77777777" w:rsidR="007A7B38" w:rsidRPr="00742D67" w:rsidRDefault="007A7B38" w:rsidP="0068003D">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(1)</w:t>
            </w:r>
          </w:p>
        </w:tc>
        <w:tc>
          <w:tcPr>
            <w:tcW w:w="1017" w:type="dxa"/>
            <w:shd w:val="clear" w:color="auto" w:fill="auto"/>
          </w:tcPr>
          <w:p w14:paraId="52E1E1FB" w14:textId="77777777" w:rsidR="007A7B38" w:rsidRPr="00742D67" w:rsidRDefault="007A7B38" w:rsidP="0068003D">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Ponctuelle</w:t>
            </w:r>
          </w:p>
          <w:p w14:paraId="3EA73E83" w14:textId="77777777" w:rsidR="007A7B38" w:rsidRPr="00742D67" w:rsidRDefault="007A7B38" w:rsidP="0068003D">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(1)</w:t>
            </w:r>
          </w:p>
        </w:tc>
        <w:tc>
          <w:tcPr>
            <w:tcW w:w="1009" w:type="dxa"/>
            <w:shd w:val="clear" w:color="auto" w:fill="auto"/>
          </w:tcPr>
          <w:p w14:paraId="311609BF" w14:textId="77777777" w:rsidR="007A7B38" w:rsidRPr="00742D67" w:rsidRDefault="007A7B38" w:rsidP="0068003D">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 xml:space="preserve">Moyenne </w:t>
            </w:r>
          </w:p>
          <w:p w14:paraId="3580BC47" w14:textId="77777777" w:rsidR="007A7B38" w:rsidRPr="00742D67" w:rsidRDefault="007A7B38" w:rsidP="0068003D">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(2)</w:t>
            </w:r>
          </w:p>
        </w:tc>
        <w:tc>
          <w:tcPr>
            <w:tcW w:w="1329" w:type="dxa"/>
            <w:shd w:val="clear" w:color="auto" w:fill="auto"/>
          </w:tcPr>
          <w:p w14:paraId="26C3CC1B" w14:textId="77777777" w:rsidR="007A7B38" w:rsidRPr="00742D67" w:rsidRDefault="007A7B38" w:rsidP="0068003D">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Réversible</w:t>
            </w:r>
          </w:p>
          <w:p w14:paraId="4079F942" w14:textId="77777777" w:rsidR="007A7B38" w:rsidRPr="00742D67" w:rsidRDefault="007A7B38" w:rsidP="0068003D">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(1)</w:t>
            </w:r>
          </w:p>
        </w:tc>
        <w:tc>
          <w:tcPr>
            <w:tcW w:w="1274" w:type="dxa"/>
            <w:shd w:val="clear" w:color="auto" w:fill="00B050"/>
          </w:tcPr>
          <w:p w14:paraId="225C1D77" w14:textId="77777777" w:rsidR="007A7B38" w:rsidRPr="00742D67" w:rsidRDefault="007A7B38" w:rsidP="0068003D">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Mineure</w:t>
            </w:r>
          </w:p>
          <w:p w14:paraId="42E31275" w14:textId="77777777" w:rsidR="007A7B38" w:rsidRPr="00742D67" w:rsidRDefault="007A7B38" w:rsidP="0068003D">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(5)</w:t>
            </w:r>
          </w:p>
        </w:tc>
        <w:tc>
          <w:tcPr>
            <w:tcW w:w="1064" w:type="dxa"/>
            <w:shd w:val="clear" w:color="auto" w:fill="auto"/>
          </w:tcPr>
          <w:p w14:paraId="1C47DD23" w14:textId="77777777" w:rsidR="007A7B38" w:rsidRPr="00742D67" w:rsidRDefault="007A7B38" w:rsidP="0068003D">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c>
          <w:tcPr>
            <w:tcW w:w="845" w:type="dxa"/>
            <w:shd w:val="clear" w:color="auto" w:fill="538135"/>
          </w:tcPr>
          <w:p w14:paraId="0BFB37E6" w14:textId="77777777" w:rsidR="007A7B38" w:rsidRPr="00742D67" w:rsidRDefault="007A7B38" w:rsidP="0068003D">
            <w:pPr>
              <w:spacing w:after="0" w:line="240" w:lineRule="auto"/>
              <w:contextualSpacing/>
              <w:jc w:val="center"/>
              <w:rPr>
                <w:rFonts w:ascii="Arial Narrow" w:hAnsi="Arial Narrow" w:cs="Arial"/>
                <w:sz w:val="20"/>
                <w:szCs w:val="20"/>
              </w:rPr>
            </w:pPr>
            <w:r>
              <w:rPr>
                <w:rFonts w:ascii="Arial Narrow" w:hAnsi="Arial Narrow" w:cs="Arial"/>
                <w:sz w:val="20"/>
                <w:szCs w:val="20"/>
              </w:rPr>
              <w:t>Très faible</w:t>
            </w:r>
          </w:p>
        </w:tc>
      </w:tr>
      <w:tr w:rsidR="00345918" w:rsidRPr="00742D67" w14:paraId="3E85A9EA" w14:textId="77777777" w:rsidTr="00FB04F6">
        <w:trPr>
          <w:jc w:val="center"/>
        </w:trPr>
        <w:tc>
          <w:tcPr>
            <w:tcW w:w="1705" w:type="dxa"/>
          </w:tcPr>
          <w:p w14:paraId="633E0028" w14:textId="77777777" w:rsidR="007A7B38" w:rsidRPr="00742D67" w:rsidRDefault="007A7B38" w:rsidP="00345918">
            <w:pPr>
              <w:spacing w:after="0" w:line="240" w:lineRule="auto"/>
              <w:contextualSpacing/>
              <w:rPr>
                <w:rFonts w:ascii="Arial Narrow" w:hAnsi="Arial Narrow" w:cs="Arial"/>
                <w:sz w:val="20"/>
                <w:szCs w:val="20"/>
              </w:rPr>
            </w:pPr>
            <w:r w:rsidRPr="00742D67">
              <w:rPr>
                <w:rFonts w:ascii="Arial Narrow" w:hAnsi="Arial Narrow" w:cs="Arial"/>
                <w:sz w:val="20"/>
                <w:szCs w:val="20"/>
              </w:rPr>
              <w:t>Centrale électrique solaire</w:t>
            </w:r>
          </w:p>
        </w:tc>
        <w:tc>
          <w:tcPr>
            <w:tcW w:w="1045" w:type="dxa"/>
            <w:shd w:val="clear" w:color="auto" w:fill="auto"/>
          </w:tcPr>
          <w:p w14:paraId="5C98E2A2" w14:textId="77777777" w:rsidR="007A7B38" w:rsidRPr="00742D67" w:rsidRDefault="007A7B38" w:rsidP="0068003D">
            <w:pPr>
              <w:spacing w:after="0" w:line="240" w:lineRule="auto"/>
              <w:contextualSpacing/>
              <w:jc w:val="center"/>
              <w:rPr>
                <w:rFonts w:ascii="Arial Narrow" w:hAnsi="Arial Narrow" w:cs="Arial"/>
                <w:bCs/>
                <w:sz w:val="20"/>
                <w:szCs w:val="20"/>
              </w:rPr>
            </w:pPr>
            <w:r w:rsidRPr="00742D67">
              <w:rPr>
                <w:rFonts w:ascii="Arial Narrow" w:hAnsi="Arial Narrow" w:cs="Arial"/>
                <w:sz w:val="20"/>
                <w:szCs w:val="20"/>
              </w:rPr>
              <w:t>Faible</w:t>
            </w:r>
          </w:p>
          <w:p w14:paraId="703B5477" w14:textId="77777777" w:rsidR="007A7B38" w:rsidRPr="00742D67" w:rsidRDefault="007A7B38" w:rsidP="0068003D">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(1)</w:t>
            </w:r>
          </w:p>
        </w:tc>
        <w:tc>
          <w:tcPr>
            <w:tcW w:w="1017" w:type="dxa"/>
            <w:shd w:val="clear" w:color="auto" w:fill="auto"/>
          </w:tcPr>
          <w:p w14:paraId="2F243D7C" w14:textId="77777777" w:rsidR="007A7B38" w:rsidRPr="00742D67" w:rsidRDefault="007A7B38" w:rsidP="00DC0F77">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Ponctuelle</w:t>
            </w:r>
          </w:p>
          <w:p w14:paraId="1C579963" w14:textId="77777777" w:rsidR="007A7B38" w:rsidRPr="00742D67" w:rsidRDefault="007A7B38" w:rsidP="00DC0F77">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 xml:space="preserve"> (1)</w:t>
            </w:r>
          </w:p>
        </w:tc>
        <w:tc>
          <w:tcPr>
            <w:tcW w:w="1009" w:type="dxa"/>
            <w:shd w:val="clear" w:color="auto" w:fill="auto"/>
          </w:tcPr>
          <w:p w14:paraId="67A42E8C" w14:textId="77777777" w:rsidR="007A7B38" w:rsidRPr="00742D67" w:rsidRDefault="007A7B38" w:rsidP="00DC0F77">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 xml:space="preserve">Moyenne </w:t>
            </w:r>
          </w:p>
          <w:p w14:paraId="209AAAEB" w14:textId="77777777" w:rsidR="007A7B38" w:rsidRPr="00742D67" w:rsidRDefault="007A7B38" w:rsidP="00DC0F77">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(2)</w:t>
            </w:r>
          </w:p>
        </w:tc>
        <w:tc>
          <w:tcPr>
            <w:tcW w:w="1329" w:type="dxa"/>
            <w:shd w:val="clear" w:color="auto" w:fill="auto"/>
          </w:tcPr>
          <w:p w14:paraId="689BCF16" w14:textId="77777777" w:rsidR="007A7B38" w:rsidRPr="00742D67" w:rsidRDefault="007A7B38" w:rsidP="0068003D">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Réversible</w:t>
            </w:r>
          </w:p>
          <w:p w14:paraId="3C647767" w14:textId="77777777" w:rsidR="007A7B38" w:rsidRPr="00742D67" w:rsidRDefault="007A7B38" w:rsidP="0068003D">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(1)</w:t>
            </w:r>
          </w:p>
        </w:tc>
        <w:tc>
          <w:tcPr>
            <w:tcW w:w="1274" w:type="dxa"/>
            <w:shd w:val="clear" w:color="auto" w:fill="00B050"/>
          </w:tcPr>
          <w:p w14:paraId="75458048" w14:textId="77777777" w:rsidR="007A7B38" w:rsidRPr="00742D67" w:rsidRDefault="007A7B38" w:rsidP="0068003D">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Mineure</w:t>
            </w:r>
          </w:p>
          <w:p w14:paraId="06575082" w14:textId="77777777" w:rsidR="007A7B38" w:rsidRPr="00742D67" w:rsidRDefault="007A7B38" w:rsidP="0068003D">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(5)</w:t>
            </w:r>
          </w:p>
        </w:tc>
        <w:tc>
          <w:tcPr>
            <w:tcW w:w="1064" w:type="dxa"/>
            <w:shd w:val="clear" w:color="auto" w:fill="auto"/>
          </w:tcPr>
          <w:p w14:paraId="5EB83290" w14:textId="77777777" w:rsidR="007A7B38" w:rsidRPr="00742D67" w:rsidRDefault="007A7B38" w:rsidP="0068003D">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c>
          <w:tcPr>
            <w:tcW w:w="845" w:type="dxa"/>
            <w:shd w:val="clear" w:color="auto" w:fill="538135"/>
          </w:tcPr>
          <w:p w14:paraId="5B78A603" w14:textId="77777777" w:rsidR="007A7B38" w:rsidRPr="00742D67" w:rsidRDefault="007A7B38" w:rsidP="0068003D">
            <w:pPr>
              <w:spacing w:after="0" w:line="240" w:lineRule="auto"/>
              <w:contextualSpacing/>
              <w:jc w:val="center"/>
              <w:rPr>
                <w:rFonts w:ascii="Arial Narrow" w:hAnsi="Arial Narrow" w:cs="Arial"/>
                <w:sz w:val="20"/>
                <w:szCs w:val="20"/>
              </w:rPr>
            </w:pPr>
            <w:r>
              <w:rPr>
                <w:rFonts w:ascii="Arial Narrow" w:hAnsi="Arial Narrow" w:cs="Arial"/>
                <w:sz w:val="20"/>
                <w:szCs w:val="20"/>
              </w:rPr>
              <w:t>Très faible</w:t>
            </w:r>
          </w:p>
        </w:tc>
      </w:tr>
      <w:tr w:rsidR="00345918" w:rsidRPr="00742D67" w14:paraId="1473AF6B" w14:textId="77777777" w:rsidTr="00FB04F6">
        <w:trPr>
          <w:jc w:val="center"/>
        </w:trPr>
        <w:tc>
          <w:tcPr>
            <w:tcW w:w="1705" w:type="dxa"/>
          </w:tcPr>
          <w:p w14:paraId="28D45445" w14:textId="77777777" w:rsidR="007A7B38" w:rsidRPr="00742D67" w:rsidRDefault="007A7B38" w:rsidP="00345918">
            <w:pPr>
              <w:spacing w:after="0" w:line="240" w:lineRule="auto"/>
              <w:contextualSpacing/>
              <w:rPr>
                <w:rFonts w:ascii="Arial Narrow" w:hAnsi="Arial Narrow" w:cs="Arial"/>
                <w:sz w:val="20"/>
                <w:szCs w:val="20"/>
              </w:rPr>
            </w:pPr>
            <w:r w:rsidRPr="00742D67">
              <w:rPr>
                <w:rFonts w:ascii="Arial Narrow" w:hAnsi="Arial Narrow" w:cs="Arial"/>
                <w:sz w:val="20"/>
                <w:szCs w:val="20"/>
              </w:rPr>
              <w:t>Barrage hydroélectrique</w:t>
            </w:r>
          </w:p>
        </w:tc>
        <w:tc>
          <w:tcPr>
            <w:tcW w:w="1045" w:type="dxa"/>
            <w:shd w:val="clear" w:color="auto" w:fill="auto"/>
          </w:tcPr>
          <w:p w14:paraId="74B1A1DF" w14:textId="77777777" w:rsidR="007A7B38" w:rsidRPr="00742D67" w:rsidRDefault="007A7B38" w:rsidP="0068003D">
            <w:pPr>
              <w:spacing w:after="0" w:line="240" w:lineRule="auto"/>
              <w:contextualSpacing/>
              <w:jc w:val="center"/>
              <w:rPr>
                <w:rFonts w:ascii="Arial Narrow" w:hAnsi="Arial Narrow" w:cs="Arial"/>
                <w:bCs/>
                <w:sz w:val="20"/>
                <w:szCs w:val="20"/>
              </w:rPr>
            </w:pPr>
            <w:r w:rsidRPr="00742D67">
              <w:rPr>
                <w:rFonts w:ascii="Arial Narrow" w:hAnsi="Arial Narrow" w:cs="Arial"/>
                <w:sz w:val="20"/>
                <w:szCs w:val="20"/>
              </w:rPr>
              <w:t>Faible</w:t>
            </w:r>
          </w:p>
          <w:p w14:paraId="5D9BDACD" w14:textId="77777777" w:rsidR="007A7B38" w:rsidRPr="00742D67" w:rsidRDefault="007A7B38" w:rsidP="0068003D">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(1)</w:t>
            </w:r>
          </w:p>
        </w:tc>
        <w:tc>
          <w:tcPr>
            <w:tcW w:w="1017" w:type="dxa"/>
            <w:shd w:val="clear" w:color="auto" w:fill="auto"/>
          </w:tcPr>
          <w:p w14:paraId="3F25CECD" w14:textId="77777777" w:rsidR="007A7B38" w:rsidRPr="00742D67" w:rsidRDefault="007A7B38" w:rsidP="00DC0F77">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Ponctuelle</w:t>
            </w:r>
          </w:p>
          <w:p w14:paraId="287B70A1" w14:textId="77777777" w:rsidR="007A7B38" w:rsidRPr="00742D67" w:rsidRDefault="007A7B38" w:rsidP="00DC0F77">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 xml:space="preserve"> (1)</w:t>
            </w:r>
          </w:p>
        </w:tc>
        <w:tc>
          <w:tcPr>
            <w:tcW w:w="1009" w:type="dxa"/>
            <w:shd w:val="clear" w:color="auto" w:fill="auto"/>
          </w:tcPr>
          <w:p w14:paraId="229CA862" w14:textId="77777777" w:rsidR="007A7B38" w:rsidRPr="00742D67" w:rsidRDefault="007A7B38" w:rsidP="0068003D">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 xml:space="preserve">Moyenne </w:t>
            </w:r>
          </w:p>
          <w:p w14:paraId="6EF46D8C" w14:textId="77777777" w:rsidR="007A7B38" w:rsidRPr="00742D67" w:rsidRDefault="007A7B38" w:rsidP="0068003D">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 xml:space="preserve"> (2)</w:t>
            </w:r>
          </w:p>
        </w:tc>
        <w:tc>
          <w:tcPr>
            <w:tcW w:w="1329" w:type="dxa"/>
            <w:shd w:val="clear" w:color="auto" w:fill="auto"/>
          </w:tcPr>
          <w:p w14:paraId="321B8BAC" w14:textId="77777777" w:rsidR="007A7B38" w:rsidRPr="00742D67" w:rsidRDefault="007A7B38" w:rsidP="0068003D">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Réversible</w:t>
            </w:r>
          </w:p>
          <w:p w14:paraId="65CA0A0B" w14:textId="77777777" w:rsidR="007A7B38" w:rsidRPr="00742D67" w:rsidRDefault="007A7B38" w:rsidP="0068003D">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(1)</w:t>
            </w:r>
          </w:p>
        </w:tc>
        <w:tc>
          <w:tcPr>
            <w:tcW w:w="1274" w:type="dxa"/>
            <w:shd w:val="clear" w:color="auto" w:fill="00B050"/>
          </w:tcPr>
          <w:p w14:paraId="12F0298E" w14:textId="77777777" w:rsidR="007A7B38" w:rsidRPr="00742D67" w:rsidRDefault="007A7B38" w:rsidP="0068003D">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Mineure</w:t>
            </w:r>
          </w:p>
          <w:p w14:paraId="2276F318" w14:textId="77777777" w:rsidR="007A7B38" w:rsidRPr="00742D67" w:rsidRDefault="007A7B38" w:rsidP="0068003D">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(5)</w:t>
            </w:r>
          </w:p>
        </w:tc>
        <w:tc>
          <w:tcPr>
            <w:tcW w:w="1064" w:type="dxa"/>
            <w:shd w:val="clear" w:color="auto" w:fill="auto"/>
          </w:tcPr>
          <w:p w14:paraId="4858B6A3" w14:textId="77777777" w:rsidR="007A7B38" w:rsidRPr="00742D67" w:rsidRDefault="007A7B38" w:rsidP="0068003D">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c>
          <w:tcPr>
            <w:tcW w:w="845" w:type="dxa"/>
            <w:shd w:val="clear" w:color="auto" w:fill="538135"/>
          </w:tcPr>
          <w:p w14:paraId="0E6359AB" w14:textId="77777777" w:rsidR="007A7B38" w:rsidRPr="00742D67" w:rsidRDefault="007A7B38" w:rsidP="0068003D">
            <w:pPr>
              <w:spacing w:after="0" w:line="240" w:lineRule="auto"/>
              <w:contextualSpacing/>
              <w:jc w:val="center"/>
              <w:rPr>
                <w:rFonts w:ascii="Arial Narrow" w:hAnsi="Arial Narrow" w:cs="Arial"/>
                <w:sz w:val="20"/>
                <w:szCs w:val="20"/>
              </w:rPr>
            </w:pPr>
            <w:r>
              <w:rPr>
                <w:rFonts w:ascii="Arial Narrow" w:hAnsi="Arial Narrow" w:cs="Arial"/>
                <w:sz w:val="20"/>
                <w:szCs w:val="20"/>
              </w:rPr>
              <w:t>Très faible</w:t>
            </w:r>
          </w:p>
        </w:tc>
      </w:tr>
      <w:tr w:rsidR="001716F8" w:rsidRPr="00742D67" w14:paraId="77496B23" w14:textId="77777777" w:rsidTr="00FB04F6">
        <w:trPr>
          <w:jc w:val="center"/>
        </w:trPr>
        <w:tc>
          <w:tcPr>
            <w:tcW w:w="1705" w:type="dxa"/>
          </w:tcPr>
          <w:p w14:paraId="351D5B7C" w14:textId="77777777" w:rsidR="001716F8" w:rsidRPr="00742D67" w:rsidRDefault="001716F8" w:rsidP="001C0602">
            <w:pPr>
              <w:spacing w:after="0" w:line="240" w:lineRule="auto"/>
              <w:contextualSpacing/>
              <w:rPr>
                <w:rFonts w:ascii="Arial Narrow" w:hAnsi="Arial Narrow" w:cs="Arial"/>
                <w:sz w:val="20"/>
                <w:szCs w:val="20"/>
              </w:rPr>
            </w:pPr>
            <w:r>
              <w:rPr>
                <w:rFonts w:ascii="Arial Narrow" w:hAnsi="Arial Narrow" w:cs="Arial"/>
                <w:sz w:val="20"/>
                <w:szCs w:val="20"/>
              </w:rPr>
              <w:t>Impact cumulé</w:t>
            </w:r>
          </w:p>
        </w:tc>
        <w:tc>
          <w:tcPr>
            <w:tcW w:w="1045" w:type="dxa"/>
            <w:shd w:val="clear" w:color="auto" w:fill="auto"/>
          </w:tcPr>
          <w:p w14:paraId="424B860E" w14:textId="77777777" w:rsidR="001716F8" w:rsidRPr="00742D67" w:rsidRDefault="001716F8" w:rsidP="00D70FB3">
            <w:pPr>
              <w:spacing w:after="0" w:line="240" w:lineRule="auto"/>
              <w:contextualSpacing/>
              <w:jc w:val="center"/>
              <w:rPr>
                <w:rFonts w:ascii="Arial Narrow" w:hAnsi="Arial Narrow" w:cs="Arial"/>
                <w:bCs/>
                <w:sz w:val="20"/>
                <w:szCs w:val="20"/>
              </w:rPr>
            </w:pPr>
            <w:r w:rsidRPr="00742D67">
              <w:rPr>
                <w:rFonts w:ascii="Arial Narrow" w:hAnsi="Arial Narrow" w:cs="Arial"/>
                <w:sz w:val="20"/>
                <w:szCs w:val="20"/>
              </w:rPr>
              <w:t>Faible</w:t>
            </w:r>
          </w:p>
          <w:p w14:paraId="6662910A" w14:textId="77777777" w:rsidR="001716F8" w:rsidRPr="00742D67" w:rsidRDefault="001716F8" w:rsidP="0068003D">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(1)</w:t>
            </w:r>
          </w:p>
        </w:tc>
        <w:tc>
          <w:tcPr>
            <w:tcW w:w="1017" w:type="dxa"/>
            <w:shd w:val="clear" w:color="auto" w:fill="auto"/>
          </w:tcPr>
          <w:p w14:paraId="6E63112F" w14:textId="77777777" w:rsidR="001716F8" w:rsidRPr="00742D67" w:rsidRDefault="001716F8" w:rsidP="00D70FB3">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Ponctuelle</w:t>
            </w:r>
          </w:p>
          <w:p w14:paraId="69972F22" w14:textId="77777777" w:rsidR="001716F8" w:rsidRPr="00742D67" w:rsidRDefault="001716F8" w:rsidP="00DC0F77">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 xml:space="preserve"> (1)</w:t>
            </w:r>
          </w:p>
        </w:tc>
        <w:tc>
          <w:tcPr>
            <w:tcW w:w="1009" w:type="dxa"/>
            <w:shd w:val="clear" w:color="auto" w:fill="auto"/>
          </w:tcPr>
          <w:p w14:paraId="67F81D51" w14:textId="77777777" w:rsidR="001716F8" w:rsidRPr="00742D67" w:rsidRDefault="001716F8" w:rsidP="00D70FB3">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 xml:space="preserve">Moyenne </w:t>
            </w:r>
          </w:p>
          <w:p w14:paraId="348990D5" w14:textId="77777777" w:rsidR="001716F8" w:rsidRPr="00742D67" w:rsidRDefault="001716F8" w:rsidP="0068003D">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 xml:space="preserve"> (2)</w:t>
            </w:r>
          </w:p>
        </w:tc>
        <w:tc>
          <w:tcPr>
            <w:tcW w:w="1329" w:type="dxa"/>
            <w:shd w:val="clear" w:color="auto" w:fill="auto"/>
          </w:tcPr>
          <w:p w14:paraId="1C85FE24" w14:textId="77777777" w:rsidR="001716F8" w:rsidRPr="00742D67" w:rsidRDefault="001716F8" w:rsidP="00D70FB3">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Réversible</w:t>
            </w:r>
          </w:p>
          <w:p w14:paraId="5B737ED9" w14:textId="77777777" w:rsidR="001716F8" w:rsidRPr="00742D67" w:rsidRDefault="001716F8" w:rsidP="0068003D">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(1)</w:t>
            </w:r>
          </w:p>
        </w:tc>
        <w:tc>
          <w:tcPr>
            <w:tcW w:w="1274" w:type="dxa"/>
            <w:shd w:val="clear" w:color="auto" w:fill="00B050"/>
          </w:tcPr>
          <w:p w14:paraId="78D62784" w14:textId="77777777" w:rsidR="001716F8" w:rsidRPr="00742D67" w:rsidRDefault="001716F8" w:rsidP="00D70FB3">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Mineure</w:t>
            </w:r>
          </w:p>
          <w:p w14:paraId="4AB6E73E" w14:textId="77777777" w:rsidR="001716F8" w:rsidRPr="00742D67" w:rsidRDefault="001716F8" w:rsidP="0068003D">
            <w:pPr>
              <w:spacing w:after="0" w:line="240" w:lineRule="auto"/>
              <w:contextualSpacing/>
              <w:jc w:val="center"/>
              <w:rPr>
                <w:rFonts w:ascii="Arial Narrow" w:hAnsi="Arial Narrow" w:cs="Arial"/>
                <w:sz w:val="20"/>
                <w:szCs w:val="20"/>
              </w:rPr>
            </w:pPr>
            <w:r w:rsidRPr="00742D67">
              <w:rPr>
                <w:rFonts w:ascii="Arial Narrow" w:hAnsi="Arial Narrow" w:cs="Arial"/>
                <w:sz w:val="20"/>
                <w:szCs w:val="20"/>
              </w:rPr>
              <w:t>(5)</w:t>
            </w:r>
          </w:p>
        </w:tc>
        <w:tc>
          <w:tcPr>
            <w:tcW w:w="1064" w:type="dxa"/>
            <w:shd w:val="clear" w:color="auto" w:fill="auto"/>
          </w:tcPr>
          <w:p w14:paraId="65D20BC4" w14:textId="77777777" w:rsidR="001716F8" w:rsidRDefault="001716F8" w:rsidP="0068003D">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c>
          <w:tcPr>
            <w:tcW w:w="845" w:type="dxa"/>
            <w:shd w:val="clear" w:color="auto" w:fill="538135"/>
          </w:tcPr>
          <w:p w14:paraId="461A3AAA" w14:textId="77777777" w:rsidR="001716F8" w:rsidRDefault="001716F8" w:rsidP="0068003D">
            <w:pPr>
              <w:spacing w:after="0" w:line="240" w:lineRule="auto"/>
              <w:contextualSpacing/>
              <w:jc w:val="center"/>
              <w:rPr>
                <w:rFonts w:ascii="Arial Narrow" w:hAnsi="Arial Narrow" w:cs="Arial"/>
                <w:sz w:val="20"/>
                <w:szCs w:val="20"/>
              </w:rPr>
            </w:pPr>
            <w:r>
              <w:rPr>
                <w:rFonts w:ascii="Arial Narrow" w:hAnsi="Arial Narrow" w:cs="Arial"/>
                <w:sz w:val="20"/>
                <w:szCs w:val="20"/>
              </w:rPr>
              <w:t>Très faible</w:t>
            </w:r>
          </w:p>
        </w:tc>
      </w:tr>
    </w:tbl>
    <w:p w14:paraId="56A026AF" w14:textId="77777777" w:rsidR="00353921" w:rsidRDefault="00353921" w:rsidP="00B434A6">
      <w:pPr>
        <w:rPr>
          <w:rFonts w:ascii="Arial" w:hAnsi="Arial" w:cs="Arial"/>
        </w:rPr>
      </w:pPr>
    </w:p>
    <w:p w14:paraId="58F8E2E9" w14:textId="77777777" w:rsidR="00DC0F77" w:rsidRPr="00742D67" w:rsidRDefault="00353921" w:rsidP="00B434A6">
      <w:pPr>
        <w:rPr>
          <w:rFonts w:ascii="Arial" w:hAnsi="Arial" w:cs="Arial"/>
        </w:rPr>
      </w:pPr>
      <w:r>
        <w:rPr>
          <w:rFonts w:ascii="Arial" w:hAnsi="Arial" w:cs="Arial"/>
        </w:rPr>
        <w:br w:type="page"/>
      </w:r>
    </w:p>
    <w:p w14:paraId="5F25EE97" w14:textId="77777777" w:rsidR="0090044A" w:rsidRPr="007F78CE" w:rsidRDefault="0090044A" w:rsidP="00687DD2">
      <w:pPr>
        <w:pStyle w:val="Titre5"/>
        <w:keepNext w:val="0"/>
        <w:keepLines w:val="0"/>
        <w:numPr>
          <w:ilvl w:val="0"/>
          <w:numId w:val="95"/>
        </w:numPr>
        <w:tabs>
          <w:tab w:val="left" w:pos="708"/>
        </w:tabs>
        <w:spacing w:before="280" w:after="280" w:line="240" w:lineRule="auto"/>
        <w:ind w:left="567" w:firstLine="0"/>
        <w:contextualSpacing/>
        <w:jc w:val="both"/>
        <w:rPr>
          <w:rFonts w:eastAsia="Calibri"/>
          <w:b/>
          <w:bCs/>
        </w:rPr>
      </w:pPr>
      <w:r w:rsidRPr="007F78CE">
        <w:rPr>
          <w:rFonts w:eastAsia="Calibri"/>
          <w:b/>
          <w:bCs/>
        </w:rPr>
        <w:t>Paysage</w:t>
      </w:r>
    </w:p>
    <w:p w14:paraId="4D3F10EA" w14:textId="77777777" w:rsidR="0090044A" w:rsidRPr="007B4F8D" w:rsidRDefault="0090044A" w:rsidP="00687DD2">
      <w:pPr>
        <w:pStyle w:val="Normal12"/>
        <w:numPr>
          <w:ilvl w:val="0"/>
          <w:numId w:val="85"/>
        </w:numPr>
        <w:spacing w:before="100" w:beforeAutospacing="1" w:after="100" w:afterAutospacing="1"/>
        <w:ind w:left="1077" w:hanging="357"/>
        <w:contextualSpacing/>
        <w:rPr>
          <w:i/>
          <w:iCs/>
          <w:lang w:val="fr-FR"/>
        </w:rPr>
      </w:pPr>
      <w:r w:rsidRPr="007B4F8D">
        <w:rPr>
          <w:i/>
          <w:iCs/>
          <w:lang w:val="fr-FR"/>
        </w:rPr>
        <w:t xml:space="preserve">Modification du paysage </w:t>
      </w:r>
    </w:p>
    <w:p w14:paraId="0778B6BB" w14:textId="77777777" w:rsidR="0090044A" w:rsidRPr="008D2A01" w:rsidRDefault="0090044A" w:rsidP="008D2A01">
      <w:pPr>
        <w:spacing w:line="240" w:lineRule="auto"/>
        <w:jc w:val="both"/>
        <w:rPr>
          <w:rFonts w:ascii="Arial" w:hAnsi="Arial" w:cs="Arial"/>
        </w:rPr>
      </w:pPr>
      <w:r w:rsidRPr="008D2A01">
        <w:rPr>
          <w:rFonts w:ascii="Arial" w:hAnsi="Arial" w:cs="Arial"/>
        </w:rPr>
        <w:t xml:space="preserve">L’impact visuel sur le site sera dû à la présence des engins, la mise en dépôt des matériaux excavés, la présence des déblais en vue de leur réutilisation et à l’évacuation des différents déchets. Notons que l’intensité de cette nuisance est en fonction de la visibilité du site et de la densité de la circulation. Ainsi, un site proche d’une route principale ou à hauteur de vue des passants générera plus de nuisances qu’un site dans un endroit aussi plat que possible et assez éloigné de toute habitation et occupation. </w:t>
      </w:r>
      <w:r w:rsidR="00DD3653" w:rsidRPr="008D2A01">
        <w:rPr>
          <w:rFonts w:ascii="Arial" w:hAnsi="Arial" w:cs="Arial"/>
        </w:rPr>
        <w:t>La</w:t>
      </w:r>
      <w:r w:rsidRPr="008D2A01">
        <w:rPr>
          <w:rFonts w:ascii="Arial" w:hAnsi="Arial" w:cs="Arial"/>
        </w:rPr>
        <w:t xml:space="preserve"> durée de cette nuisance sera </w:t>
      </w:r>
      <w:r w:rsidR="00DD3653">
        <w:rPr>
          <w:rFonts w:ascii="Arial" w:hAnsi="Arial" w:cs="Arial"/>
        </w:rPr>
        <w:t>courte</w:t>
      </w:r>
      <w:r w:rsidR="00E313BE">
        <w:rPr>
          <w:rFonts w:ascii="Arial" w:hAnsi="Arial" w:cs="Arial"/>
        </w:rPr>
        <w:t xml:space="preserve"> et irréversible car la modification du paysage </w:t>
      </w:r>
      <w:r w:rsidR="00DD3653">
        <w:rPr>
          <w:rFonts w:ascii="Arial" w:hAnsi="Arial" w:cs="Arial"/>
        </w:rPr>
        <w:t xml:space="preserve">sera perceptible durant la phase des travaux </w:t>
      </w:r>
      <w:r w:rsidR="00F35414">
        <w:rPr>
          <w:rFonts w:ascii="Arial" w:hAnsi="Arial" w:cs="Arial"/>
        </w:rPr>
        <w:t>cependant</w:t>
      </w:r>
      <w:r w:rsidR="00E313BE">
        <w:rPr>
          <w:rFonts w:ascii="Arial" w:hAnsi="Arial" w:cs="Arial"/>
        </w:rPr>
        <w:t xml:space="preserve">, elle est </w:t>
      </w:r>
      <w:r w:rsidRPr="008D2A01">
        <w:rPr>
          <w:rFonts w:ascii="Arial" w:hAnsi="Arial" w:cs="Arial"/>
        </w:rPr>
        <w:t>très localisée dans l’espace.</w:t>
      </w:r>
    </w:p>
    <w:p w14:paraId="3D06CF9E" w14:textId="77777777" w:rsidR="0090044A" w:rsidRPr="00742D67" w:rsidRDefault="0090044A" w:rsidP="008D2A01">
      <w:pPr>
        <w:spacing w:line="240" w:lineRule="auto"/>
        <w:jc w:val="both"/>
        <w:rPr>
          <w:rFonts w:ascii="Arial" w:hAnsi="Arial" w:cs="Arial"/>
        </w:rPr>
      </w:pPr>
      <w:r w:rsidRPr="00742D67">
        <w:rPr>
          <w:rFonts w:ascii="Arial" w:hAnsi="Arial" w:cs="Arial"/>
        </w:rPr>
        <w:t>Cet impact aura donc une importance « </w:t>
      </w:r>
      <w:r w:rsidR="00E313BE" w:rsidRPr="00742D67">
        <w:rPr>
          <w:rFonts w:ascii="Arial" w:hAnsi="Arial" w:cs="Arial"/>
        </w:rPr>
        <w:t>Moyenne </w:t>
      </w:r>
      <w:r w:rsidRPr="00742D67">
        <w:rPr>
          <w:rFonts w:ascii="Arial" w:hAnsi="Arial" w:cs="Arial"/>
        </w:rPr>
        <w:t>»</w:t>
      </w:r>
      <w:r w:rsidR="00CE0B6B" w:rsidRPr="00742D67">
        <w:rPr>
          <w:rFonts w:ascii="Arial" w:hAnsi="Arial" w:cs="Arial"/>
        </w:rPr>
        <w:t xml:space="preserve"> pour </w:t>
      </w:r>
      <w:r w:rsidR="00807F7C" w:rsidRPr="00742D67">
        <w:rPr>
          <w:rFonts w:ascii="Arial" w:hAnsi="Arial" w:cs="Arial"/>
        </w:rPr>
        <w:t>le sous projet Infrastructure numérique et la centrale solaire et « Mineure » pour le barrage hydroélectrique et le réseau électrique</w:t>
      </w:r>
      <w:r w:rsidR="00012BBA">
        <w:rPr>
          <w:rFonts w:ascii="Arial" w:hAnsi="Arial" w:cs="Arial"/>
        </w:rPr>
        <w:t xml:space="preserve"> et le niveau du risque est considéré de très faible à Elevé selon les sous projets comme en montre </w:t>
      </w:r>
      <w:r w:rsidR="00F35414">
        <w:rPr>
          <w:rFonts w:ascii="Arial" w:hAnsi="Arial" w:cs="Arial"/>
        </w:rPr>
        <w:t>le tableau suivant</w:t>
      </w:r>
      <w:r w:rsidR="00F13988">
        <w:rPr>
          <w:rFonts w:ascii="Arial" w:hAnsi="Arial" w:cs="Arial"/>
        </w:rPr>
        <w:t>.</w:t>
      </w:r>
      <w:r w:rsidR="00807F7C" w:rsidRPr="00742D67">
        <w:rPr>
          <w:rFonts w:ascii="Arial" w:hAnsi="Arial" w:cs="Arial"/>
        </w:rPr>
        <w:t xml:space="preserve"> </w:t>
      </w:r>
    </w:p>
    <w:p w14:paraId="4957B644" w14:textId="77777777" w:rsidR="0090044A" w:rsidRPr="002E58DC" w:rsidRDefault="0090044A" w:rsidP="002E58DC">
      <w:pPr>
        <w:pStyle w:val="Lgende"/>
        <w:spacing w:before="120"/>
        <w:jc w:val="center"/>
        <w:rPr>
          <w:sz w:val="20"/>
        </w:rPr>
      </w:pPr>
      <w:bookmarkStart w:id="912" w:name="_Toc100753920"/>
      <w:bookmarkStart w:id="913" w:name="_Toc127957821"/>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25</w:t>
      </w:r>
      <w:r w:rsidRPr="002E58DC">
        <w:rPr>
          <w:sz w:val="20"/>
        </w:rPr>
        <w:fldChar w:fldCharType="end"/>
      </w:r>
      <w:r w:rsidRPr="002E58DC">
        <w:rPr>
          <w:sz w:val="20"/>
        </w:rPr>
        <w:t>. Evaluation</w:t>
      </w:r>
      <w:r w:rsidR="00FB273B">
        <w:rPr>
          <w:sz w:val="20"/>
        </w:rPr>
        <w:t xml:space="preserve"> de</w:t>
      </w:r>
      <w:r w:rsidRPr="002E58DC">
        <w:rPr>
          <w:sz w:val="20"/>
        </w:rPr>
        <w:t xml:space="preserve"> l’impact –Changement de paysage</w:t>
      </w:r>
      <w:bookmarkEnd w:id="912"/>
      <w:bookmarkEnd w:id="913"/>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070"/>
        <w:gridCol w:w="1177"/>
        <w:gridCol w:w="919"/>
        <w:gridCol w:w="1282"/>
        <w:gridCol w:w="1255"/>
        <w:gridCol w:w="1064"/>
        <w:gridCol w:w="817"/>
        <w:tblGridChange w:id="914">
          <w:tblGrid>
            <w:gridCol w:w="1704"/>
            <w:gridCol w:w="1070"/>
            <w:gridCol w:w="1177"/>
            <w:gridCol w:w="919"/>
            <w:gridCol w:w="1282"/>
            <w:gridCol w:w="1255"/>
            <w:gridCol w:w="1064"/>
            <w:gridCol w:w="817"/>
          </w:tblGrid>
        </w:tblGridChange>
      </w:tblGrid>
      <w:tr w:rsidR="007A7B38" w:rsidRPr="007F78CE" w14:paraId="6407B9A6" w14:textId="77777777" w:rsidTr="00345918">
        <w:trPr>
          <w:jc w:val="center"/>
        </w:trPr>
        <w:tc>
          <w:tcPr>
            <w:tcW w:w="1704" w:type="dxa"/>
            <w:shd w:val="clear" w:color="auto" w:fill="BFBFBF"/>
          </w:tcPr>
          <w:p w14:paraId="44F82EB0" w14:textId="77777777" w:rsidR="007A7B38" w:rsidRPr="007F78CE" w:rsidRDefault="007A7B38" w:rsidP="00B434A6">
            <w:pPr>
              <w:spacing w:after="0" w:line="240" w:lineRule="auto"/>
              <w:jc w:val="center"/>
              <w:rPr>
                <w:rFonts w:ascii="Arial Narrow" w:hAnsi="Arial Narrow"/>
                <w:b/>
                <w:bCs/>
                <w:sz w:val="20"/>
                <w:szCs w:val="20"/>
              </w:rPr>
            </w:pPr>
            <w:r>
              <w:rPr>
                <w:rFonts w:ascii="Arial Narrow" w:hAnsi="Arial Narrow"/>
                <w:b/>
                <w:bCs/>
                <w:sz w:val="20"/>
                <w:szCs w:val="20"/>
              </w:rPr>
              <w:t>Sous Projet</w:t>
            </w:r>
          </w:p>
        </w:tc>
        <w:tc>
          <w:tcPr>
            <w:tcW w:w="1070" w:type="dxa"/>
            <w:shd w:val="clear" w:color="auto" w:fill="BFBFBF"/>
          </w:tcPr>
          <w:p w14:paraId="0023E391" w14:textId="77777777" w:rsidR="007A7B38" w:rsidRPr="007F78CE" w:rsidRDefault="007A7B38" w:rsidP="00B434A6">
            <w:pPr>
              <w:spacing w:after="0" w:line="240" w:lineRule="auto"/>
              <w:jc w:val="center"/>
              <w:rPr>
                <w:rFonts w:ascii="Arial Narrow" w:hAnsi="Arial Narrow"/>
                <w:b/>
                <w:sz w:val="20"/>
                <w:szCs w:val="20"/>
              </w:rPr>
            </w:pPr>
            <w:r w:rsidRPr="007F78CE">
              <w:rPr>
                <w:rFonts w:ascii="Arial Narrow" w:hAnsi="Arial Narrow"/>
                <w:b/>
                <w:bCs/>
                <w:sz w:val="20"/>
                <w:szCs w:val="20"/>
              </w:rPr>
              <w:t>Intensité</w:t>
            </w:r>
          </w:p>
        </w:tc>
        <w:tc>
          <w:tcPr>
            <w:tcW w:w="1177" w:type="dxa"/>
            <w:shd w:val="clear" w:color="auto" w:fill="BFBFBF"/>
          </w:tcPr>
          <w:p w14:paraId="7BDDEC0B" w14:textId="77777777" w:rsidR="007A7B38" w:rsidRPr="007F78CE" w:rsidRDefault="007A7B38" w:rsidP="00B434A6">
            <w:pPr>
              <w:spacing w:after="0" w:line="240" w:lineRule="auto"/>
              <w:jc w:val="center"/>
              <w:rPr>
                <w:rFonts w:ascii="Arial Narrow" w:hAnsi="Arial Narrow"/>
                <w:b/>
                <w:bCs/>
                <w:sz w:val="20"/>
                <w:szCs w:val="20"/>
              </w:rPr>
            </w:pPr>
            <w:r w:rsidRPr="007F78CE">
              <w:rPr>
                <w:rFonts w:ascii="Arial Narrow" w:hAnsi="Arial Narrow"/>
                <w:b/>
                <w:bCs/>
                <w:sz w:val="20"/>
                <w:szCs w:val="20"/>
              </w:rPr>
              <w:t>Étendue</w:t>
            </w:r>
          </w:p>
        </w:tc>
        <w:tc>
          <w:tcPr>
            <w:tcW w:w="919" w:type="dxa"/>
            <w:shd w:val="clear" w:color="auto" w:fill="BFBFBF"/>
          </w:tcPr>
          <w:p w14:paraId="0BB54EF2" w14:textId="77777777" w:rsidR="007A7B38" w:rsidRPr="007F78CE" w:rsidRDefault="007A7B38" w:rsidP="00B434A6">
            <w:pPr>
              <w:spacing w:after="0" w:line="240" w:lineRule="auto"/>
              <w:jc w:val="center"/>
              <w:rPr>
                <w:rFonts w:ascii="Arial Narrow" w:hAnsi="Arial Narrow"/>
                <w:b/>
                <w:bCs/>
                <w:sz w:val="20"/>
                <w:szCs w:val="20"/>
              </w:rPr>
            </w:pPr>
            <w:r w:rsidRPr="007F78CE">
              <w:rPr>
                <w:rFonts w:ascii="Arial Narrow" w:hAnsi="Arial Narrow"/>
                <w:b/>
                <w:bCs/>
                <w:sz w:val="20"/>
                <w:szCs w:val="20"/>
              </w:rPr>
              <w:t>Durée</w:t>
            </w:r>
          </w:p>
        </w:tc>
        <w:tc>
          <w:tcPr>
            <w:tcW w:w="1282" w:type="dxa"/>
            <w:shd w:val="clear" w:color="auto" w:fill="BFBFBF"/>
          </w:tcPr>
          <w:p w14:paraId="45A25FD2" w14:textId="77777777" w:rsidR="007A7B38" w:rsidRPr="007F78CE" w:rsidRDefault="007A7B38" w:rsidP="00B434A6">
            <w:pPr>
              <w:spacing w:after="0" w:line="240" w:lineRule="auto"/>
              <w:jc w:val="center"/>
              <w:rPr>
                <w:rFonts w:ascii="Arial Narrow" w:hAnsi="Arial Narrow"/>
                <w:b/>
                <w:bCs/>
                <w:sz w:val="20"/>
                <w:szCs w:val="20"/>
              </w:rPr>
            </w:pPr>
            <w:r w:rsidRPr="007F78CE">
              <w:rPr>
                <w:rFonts w:ascii="Arial Narrow" w:hAnsi="Arial Narrow"/>
                <w:b/>
                <w:bCs/>
                <w:sz w:val="20"/>
                <w:szCs w:val="20"/>
              </w:rPr>
              <w:t>Réversibilité</w:t>
            </w:r>
          </w:p>
        </w:tc>
        <w:tc>
          <w:tcPr>
            <w:tcW w:w="1255" w:type="dxa"/>
            <w:shd w:val="clear" w:color="auto" w:fill="BFBFBF"/>
          </w:tcPr>
          <w:p w14:paraId="0142E731" w14:textId="77777777" w:rsidR="007A7B38" w:rsidRPr="007F78CE" w:rsidRDefault="007A7B38" w:rsidP="00B434A6">
            <w:pPr>
              <w:spacing w:after="0" w:line="240" w:lineRule="auto"/>
              <w:jc w:val="center"/>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auto"/>
          </w:tcPr>
          <w:p w14:paraId="7EABE57D" w14:textId="77777777" w:rsidR="007A7B38" w:rsidRPr="007F78CE" w:rsidRDefault="007A7B38" w:rsidP="00B434A6">
            <w:pPr>
              <w:spacing w:after="0" w:line="240" w:lineRule="auto"/>
              <w:jc w:val="center"/>
              <w:rPr>
                <w:rFonts w:ascii="Arial Narrow" w:hAnsi="Arial Narrow"/>
                <w:b/>
                <w:bCs/>
                <w:sz w:val="20"/>
                <w:szCs w:val="20"/>
              </w:rPr>
            </w:pPr>
            <w:r>
              <w:rPr>
                <w:rFonts w:ascii="Arial Narrow" w:hAnsi="Arial Narrow"/>
                <w:b/>
                <w:bCs/>
                <w:sz w:val="20"/>
                <w:szCs w:val="20"/>
              </w:rPr>
              <w:t>Probabilité</w:t>
            </w:r>
          </w:p>
        </w:tc>
        <w:tc>
          <w:tcPr>
            <w:tcW w:w="817" w:type="dxa"/>
            <w:shd w:val="clear" w:color="auto" w:fill="auto"/>
          </w:tcPr>
          <w:p w14:paraId="238FF070" w14:textId="77777777" w:rsidR="007A7B38" w:rsidRPr="007F78CE" w:rsidRDefault="007A7B38" w:rsidP="00B434A6">
            <w:pPr>
              <w:spacing w:after="0" w:line="240" w:lineRule="auto"/>
              <w:jc w:val="center"/>
              <w:rPr>
                <w:rFonts w:ascii="Arial Narrow" w:hAnsi="Arial Narrow"/>
                <w:b/>
                <w:bCs/>
                <w:sz w:val="20"/>
                <w:szCs w:val="20"/>
              </w:rPr>
            </w:pPr>
            <w:r>
              <w:rPr>
                <w:rFonts w:ascii="Arial Narrow" w:hAnsi="Arial Narrow"/>
                <w:b/>
                <w:bCs/>
                <w:sz w:val="20"/>
                <w:szCs w:val="20"/>
              </w:rPr>
              <w:t>Risque</w:t>
            </w:r>
          </w:p>
        </w:tc>
      </w:tr>
      <w:tr w:rsidR="00345918" w:rsidRPr="007F78CE" w14:paraId="561B5CCE" w14:textId="77777777" w:rsidTr="00FB04F6">
        <w:trPr>
          <w:jc w:val="center"/>
        </w:trPr>
        <w:tc>
          <w:tcPr>
            <w:tcW w:w="1704" w:type="dxa"/>
          </w:tcPr>
          <w:p w14:paraId="176A01A7" w14:textId="77777777" w:rsidR="007A7B38" w:rsidRPr="007F78CE" w:rsidRDefault="007A7B38" w:rsidP="00345918">
            <w:pPr>
              <w:spacing w:after="0" w:line="240" w:lineRule="auto"/>
              <w:contextualSpacing/>
              <w:rPr>
                <w:rFonts w:ascii="Arial Narrow" w:hAnsi="Arial Narrow" w:cs="Arial"/>
                <w:sz w:val="20"/>
                <w:szCs w:val="20"/>
              </w:rPr>
            </w:pPr>
            <w:r>
              <w:rPr>
                <w:rFonts w:ascii="Arial Narrow" w:hAnsi="Arial Narrow" w:cs="Arial"/>
                <w:sz w:val="20"/>
                <w:szCs w:val="20"/>
              </w:rPr>
              <w:t>Infrastructur</w:t>
            </w:r>
            <w:r w:rsidR="001C0602">
              <w:rPr>
                <w:rFonts w:ascii="Arial Narrow" w:hAnsi="Arial Narrow" w:cs="Arial"/>
                <w:sz w:val="20"/>
                <w:szCs w:val="20"/>
              </w:rPr>
              <w:t>es</w:t>
            </w:r>
            <w:r>
              <w:rPr>
                <w:rFonts w:ascii="Arial Narrow" w:hAnsi="Arial Narrow" w:cs="Arial"/>
                <w:sz w:val="20"/>
                <w:szCs w:val="20"/>
              </w:rPr>
              <w:t xml:space="preserve"> numérique</w:t>
            </w:r>
            <w:r w:rsidR="001C0602">
              <w:rPr>
                <w:rFonts w:ascii="Arial Narrow" w:hAnsi="Arial Narrow" w:cs="Arial"/>
                <w:sz w:val="20"/>
                <w:szCs w:val="20"/>
              </w:rPr>
              <w:t>s</w:t>
            </w:r>
          </w:p>
        </w:tc>
        <w:tc>
          <w:tcPr>
            <w:tcW w:w="1070" w:type="dxa"/>
            <w:shd w:val="clear" w:color="auto" w:fill="auto"/>
          </w:tcPr>
          <w:p w14:paraId="58CE302B" w14:textId="77777777" w:rsidR="007A7B38" w:rsidRPr="007F78CE" w:rsidRDefault="007A7B38" w:rsidP="007F78CE">
            <w:pPr>
              <w:spacing w:after="0" w:line="240" w:lineRule="auto"/>
              <w:contextualSpacing/>
              <w:jc w:val="center"/>
              <w:rPr>
                <w:rFonts w:ascii="Arial Narrow" w:hAnsi="Arial Narrow" w:cs="Arial"/>
                <w:bCs/>
                <w:sz w:val="20"/>
                <w:szCs w:val="20"/>
              </w:rPr>
            </w:pPr>
            <w:r>
              <w:rPr>
                <w:rFonts w:ascii="Arial Narrow" w:hAnsi="Arial Narrow" w:cs="Arial"/>
                <w:sz w:val="20"/>
                <w:szCs w:val="20"/>
              </w:rPr>
              <w:t>Moyenne</w:t>
            </w:r>
          </w:p>
          <w:p w14:paraId="791ACCEA"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1177" w:type="dxa"/>
            <w:shd w:val="clear" w:color="auto" w:fill="auto"/>
          </w:tcPr>
          <w:p w14:paraId="14343169" w14:textId="77777777" w:rsidR="007A7B38" w:rsidRPr="007F78CE" w:rsidRDefault="007A7B38"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Locale</w:t>
            </w:r>
          </w:p>
          <w:p w14:paraId="31583B1F"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919" w:type="dxa"/>
            <w:shd w:val="clear" w:color="auto" w:fill="auto"/>
          </w:tcPr>
          <w:p w14:paraId="20E0F406" w14:textId="77777777" w:rsidR="007A7B38" w:rsidRPr="007F78CE" w:rsidRDefault="007A7B38"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courte </w:t>
            </w:r>
          </w:p>
          <w:p w14:paraId="70FE42E6" w14:textId="77777777" w:rsidR="007A7B38" w:rsidRPr="007F78CE" w:rsidRDefault="007A7B38"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1282" w:type="dxa"/>
            <w:shd w:val="clear" w:color="auto" w:fill="auto"/>
          </w:tcPr>
          <w:p w14:paraId="65595EA6"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3090F221"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55" w:type="dxa"/>
            <w:shd w:val="clear" w:color="auto" w:fill="FFFF00"/>
          </w:tcPr>
          <w:p w14:paraId="43A59E13" w14:textId="77777777" w:rsidR="007A7B38" w:rsidRPr="007F78CE" w:rsidRDefault="007A7B38"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p w14:paraId="43AE20AF"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7</w:t>
            </w:r>
            <w:r w:rsidRPr="007F78CE">
              <w:rPr>
                <w:rFonts w:ascii="Arial Narrow" w:hAnsi="Arial Narrow" w:cs="Arial"/>
                <w:sz w:val="20"/>
                <w:szCs w:val="20"/>
              </w:rPr>
              <w:t>)</w:t>
            </w:r>
          </w:p>
        </w:tc>
        <w:tc>
          <w:tcPr>
            <w:tcW w:w="1064" w:type="dxa"/>
            <w:shd w:val="clear" w:color="auto" w:fill="auto"/>
          </w:tcPr>
          <w:p w14:paraId="0A28B4FE" w14:textId="77777777" w:rsidR="007A7B38" w:rsidRDefault="00012BBA"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F</w:t>
            </w:r>
            <w:r w:rsidR="007A7B38">
              <w:rPr>
                <w:rFonts w:ascii="Arial Narrow" w:hAnsi="Arial Narrow" w:cs="Arial"/>
                <w:sz w:val="20"/>
                <w:szCs w:val="20"/>
              </w:rPr>
              <w:t>aible</w:t>
            </w:r>
            <w:r>
              <w:rPr>
                <w:rFonts w:ascii="Arial Narrow" w:hAnsi="Arial Narrow" w:cs="Arial"/>
                <w:sz w:val="20"/>
                <w:szCs w:val="20"/>
              </w:rPr>
              <w:t xml:space="preserve"> </w:t>
            </w:r>
          </w:p>
        </w:tc>
        <w:tc>
          <w:tcPr>
            <w:tcW w:w="817" w:type="dxa"/>
            <w:shd w:val="clear" w:color="auto" w:fill="BFBFBF"/>
          </w:tcPr>
          <w:p w14:paraId="56B41876" w14:textId="77777777" w:rsidR="007A7B38" w:rsidRDefault="00012BBA"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r>
      <w:tr w:rsidR="00345918" w:rsidRPr="007F78CE" w14:paraId="470F0149" w14:textId="77777777" w:rsidTr="00FB04F6">
        <w:trPr>
          <w:jc w:val="center"/>
        </w:trPr>
        <w:tc>
          <w:tcPr>
            <w:tcW w:w="1704" w:type="dxa"/>
          </w:tcPr>
          <w:p w14:paraId="72C420ED" w14:textId="77777777" w:rsidR="007A7B38" w:rsidRPr="007F78CE" w:rsidRDefault="007A7B38" w:rsidP="00B434A6">
            <w:pPr>
              <w:spacing w:after="0" w:line="240" w:lineRule="auto"/>
              <w:contextualSpacing/>
              <w:rPr>
                <w:rFonts w:ascii="Arial Narrow" w:hAnsi="Arial Narrow" w:cs="Arial"/>
                <w:sz w:val="20"/>
                <w:szCs w:val="20"/>
              </w:rPr>
            </w:pPr>
            <w:r>
              <w:rPr>
                <w:rFonts w:ascii="Arial Narrow" w:hAnsi="Arial Narrow" w:cs="Arial"/>
                <w:sz w:val="20"/>
                <w:szCs w:val="20"/>
              </w:rPr>
              <w:t>Centrale électrique solaire</w:t>
            </w:r>
          </w:p>
        </w:tc>
        <w:tc>
          <w:tcPr>
            <w:tcW w:w="1070" w:type="dxa"/>
            <w:shd w:val="clear" w:color="auto" w:fill="auto"/>
          </w:tcPr>
          <w:p w14:paraId="693018FC" w14:textId="77777777" w:rsidR="007A7B38" w:rsidRPr="007F78CE" w:rsidRDefault="007A7B38" w:rsidP="00B63C19">
            <w:pPr>
              <w:spacing w:after="0" w:line="240" w:lineRule="auto"/>
              <w:contextualSpacing/>
              <w:jc w:val="center"/>
              <w:rPr>
                <w:rFonts w:ascii="Arial Narrow" w:hAnsi="Arial Narrow" w:cs="Arial"/>
                <w:bCs/>
                <w:sz w:val="20"/>
                <w:szCs w:val="20"/>
              </w:rPr>
            </w:pPr>
            <w:r>
              <w:rPr>
                <w:rFonts w:ascii="Arial Narrow" w:hAnsi="Arial Narrow" w:cs="Arial"/>
                <w:sz w:val="20"/>
                <w:szCs w:val="20"/>
              </w:rPr>
              <w:t>Moyenne</w:t>
            </w:r>
          </w:p>
          <w:p w14:paraId="753B632B"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1177" w:type="dxa"/>
            <w:shd w:val="clear" w:color="auto" w:fill="auto"/>
          </w:tcPr>
          <w:p w14:paraId="025870D8" w14:textId="77777777" w:rsidR="007A7B38" w:rsidRPr="007F78CE" w:rsidRDefault="007A7B38" w:rsidP="00B63C19">
            <w:pPr>
              <w:spacing w:after="0" w:line="240" w:lineRule="auto"/>
              <w:contextualSpacing/>
              <w:jc w:val="center"/>
              <w:rPr>
                <w:rFonts w:ascii="Arial Narrow" w:hAnsi="Arial Narrow" w:cs="Arial"/>
                <w:sz w:val="20"/>
                <w:szCs w:val="20"/>
              </w:rPr>
            </w:pPr>
            <w:r>
              <w:rPr>
                <w:rFonts w:ascii="Arial Narrow" w:hAnsi="Arial Narrow" w:cs="Arial"/>
                <w:sz w:val="20"/>
                <w:szCs w:val="20"/>
              </w:rPr>
              <w:t>Locale</w:t>
            </w:r>
          </w:p>
          <w:p w14:paraId="15EDCAA4"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919" w:type="dxa"/>
            <w:shd w:val="clear" w:color="auto" w:fill="auto"/>
          </w:tcPr>
          <w:p w14:paraId="5E83A396" w14:textId="77777777" w:rsidR="007A7B38" w:rsidRPr="007F78CE" w:rsidRDefault="007A7B38" w:rsidP="00B63C19">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Courte </w:t>
            </w:r>
          </w:p>
          <w:p w14:paraId="7B279033"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1282" w:type="dxa"/>
            <w:shd w:val="clear" w:color="auto" w:fill="auto"/>
          </w:tcPr>
          <w:p w14:paraId="37D3E525" w14:textId="77777777" w:rsidR="007A7B38" w:rsidRPr="007F78CE" w:rsidRDefault="007A7B38"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570A9694"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55" w:type="dxa"/>
            <w:shd w:val="clear" w:color="auto" w:fill="FFFF00"/>
          </w:tcPr>
          <w:p w14:paraId="4C3F994F" w14:textId="77777777" w:rsidR="007A7B38" w:rsidRPr="007F78CE" w:rsidRDefault="007A7B38" w:rsidP="0068003D">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p w14:paraId="3EE95AF8" w14:textId="77777777" w:rsidR="007A7B38" w:rsidRPr="007F78CE" w:rsidRDefault="007A7B38" w:rsidP="00B63C19">
            <w:pPr>
              <w:spacing w:after="0" w:line="240" w:lineRule="auto"/>
              <w:contextualSpacing/>
              <w:jc w:val="center"/>
              <w:rPr>
                <w:rFonts w:ascii="Arial Narrow" w:hAnsi="Arial Narrow" w:cs="Arial"/>
                <w:sz w:val="20"/>
                <w:szCs w:val="20"/>
              </w:rPr>
            </w:pPr>
            <w:r>
              <w:rPr>
                <w:rFonts w:ascii="Arial Narrow" w:hAnsi="Arial Narrow" w:cs="Arial"/>
                <w:sz w:val="20"/>
                <w:szCs w:val="20"/>
              </w:rPr>
              <w:t>(7</w:t>
            </w:r>
            <w:r w:rsidRPr="007F78CE">
              <w:rPr>
                <w:rFonts w:ascii="Arial Narrow" w:hAnsi="Arial Narrow" w:cs="Arial"/>
                <w:sz w:val="20"/>
                <w:szCs w:val="20"/>
              </w:rPr>
              <w:t>)</w:t>
            </w:r>
          </w:p>
        </w:tc>
        <w:tc>
          <w:tcPr>
            <w:tcW w:w="1064" w:type="dxa"/>
            <w:shd w:val="clear" w:color="auto" w:fill="auto"/>
          </w:tcPr>
          <w:p w14:paraId="1953ABD2" w14:textId="77777777" w:rsidR="007A7B38" w:rsidRDefault="007A7B38" w:rsidP="0068003D">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817" w:type="dxa"/>
            <w:shd w:val="clear" w:color="auto" w:fill="FFC000"/>
          </w:tcPr>
          <w:p w14:paraId="39F354F5" w14:textId="77777777" w:rsidR="007A7B38" w:rsidRDefault="00012BBA" w:rsidP="0068003D">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Elevé </w:t>
            </w:r>
          </w:p>
        </w:tc>
      </w:tr>
      <w:tr w:rsidR="00345918" w:rsidRPr="007F78CE" w14:paraId="450A8225" w14:textId="77777777" w:rsidTr="00FB04F6">
        <w:trPr>
          <w:jc w:val="center"/>
        </w:trPr>
        <w:tc>
          <w:tcPr>
            <w:tcW w:w="1704" w:type="dxa"/>
          </w:tcPr>
          <w:p w14:paraId="25B135E6" w14:textId="77777777" w:rsidR="007A7B38" w:rsidRPr="007F78CE" w:rsidRDefault="007A7B38" w:rsidP="00345918">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70" w:type="dxa"/>
            <w:shd w:val="clear" w:color="auto" w:fill="auto"/>
          </w:tcPr>
          <w:p w14:paraId="1A6D6D02" w14:textId="77777777" w:rsidR="007A7B38" w:rsidRPr="007F78CE" w:rsidRDefault="007A7B38" w:rsidP="0068003D">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72FB9EE5"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177" w:type="dxa"/>
            <w:shd w:val="clear" w:color="auto" w:fill="auto"/>
          </w:tcPr>
          <w:p w14:paraId="3A0BA7BC" w14:textId="77777777" w:rsidR="007A7B38" w:rsidRPr="007F78CE" w:rsidRDefault="007A7B38"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6C2EAA8A"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19" w:type="dxa"/>
            <w:shd w:val="clear" w:color="auto" w:fill="auto"/>
          </w:tcPr>
          <w:p w14:paraId="555168C4" w14:textId="77777777" w:rsidR="007A7B38" w:rsidRPr="007F78CE" w:rsidRDefault="007A7B38" w:rsidP="00B63C19">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Courte </w:t>
            </w:r>
          </w:p>
          <w:p w14:paraId="2F2D1221"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1282" w:type="dxa"/>
            <w:shd w:val="clear" w:color="auto" w:fill="auto"/>
          </w:tcPr>
          <w:p w14:paraId="6F1D372E" w14:textId="77777777" w:rsidR="007A7B38" w:rsidRPr="007F78CE" w:rsidRDefault="007A7B38"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4EDACC95" w14:textId="77777777" w:rsidR="007A7B38" w:rsidRPr="007F78CE"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55" w:type="dxa"/>
            <w:shd w:val="clear" w:color="auto" w:fill="00B050"/>
          </w:tcPr>
          <w:p w14:paraId="3AE7471F" w14:textId="77777777" w:rsidR="007A7B38" w:rsidRPr="007F78CE" w:rsidRDefault="007A7B38" w:rsidP="0068003D">
            <w:pPr>
              <w:spacing w:after="0" w:line="240" w:lineRule="auto"/>
              <w:contextualSpacing/>
              <w:jc w:val="center"/>
              <w:rPr>
                <w:rFonts w:ascii="Arial Narrow" w:hAnsi="Arial Narrow" w:cs="Arial"/>
                <w:sz w:val="20"/>
                <w:szCs w:val="20"/>
              </w:rPr>
            </w:pPr>
            <w:r>
              <w:rPr>
                <w:rFonts w:ascii="Arial Narrow" w:hAnsi="Arial Narrow" w:cs="Arial"/>
                <w:sz w:val="20"/>
                <w:szCs w:val="20"/>
              </w:rPr>
              <w:t>Mineure</w:t>
            </w:r>
          </w:p>
          <w:p w14:paraId="55A045AE" w14:textId="77777777" w:rsidR="007A7B38" w:rsidRPr="007F78CE" w:rsidRDefault="007A7B38"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5</w:t>
            </w:r>
            <w:r w:rsidRPr="007F78CE">
              <w:rPr>
                <w:rFonts w:ascii="Arial Narrow" w:hAnsi="Arial Narrow" w:cs="Arial"/>
                <w:sz w:val="20"/>
                <w:szCs w:val="20"/>
              </w:rPr>
              <w:t>)</w:t>
            </w:r>
          </w:p>
        </w:tc>
        <w:tc>
          <w:tcPr>
            <w:tcW w:w="1064" w:type="dxa"/>
            <w:shd w:val="clear" w:color="auto" w:fill="auto"/>
          </w:tcPr>
          <w:p w14:paraId="009E00C0" w14:textId="77777777" w:rsidR="007A7B38" w:rsidRDefault="00012BBA" w:rsidP="0068003D">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817" w:type="dxa"/>
            <w:shd w:val="clear" w:color="auto" w:fill="BFBFBF"/>
          </w:tcPr>
          <w:p w14:paraId="488F85BD" w14:textId="77777777" w:rsidR="007A7B38" w:rsidRDefault="00012BBA" w:rsidP="0068003D">
            <w:pPr>
              <w:spacing w:after="0" w:line="240" w:lineRule="auto"/>
              <w:contextualSpacing/>
              <w:jc w:val="center"/>
              <w:rPr>
                <w:rFonts w:ascii="Arial Narrow" w:hAnsi="Arial Narrow" w:cs="Arial"/>
                <w:sz w:val="20"/>
                <w:szCs w:val="20"/>
              </w:rPr>
            </w:pPr>
            <w:r>
              <w:rPr>
                <w:rFonts w:ascii="Arial Narrow" w:hAnsi="Arial Narrow" w:cs="Arial"/>
                <w:sz w:val="20"/>
                <w:szCs w:val="20"/>
              </w:rPr>
              <w:t>F</w:t>
            </w:r>
            <w:r w:rsidRPr="00345918">
              <w:rPr>
                <w:rFonts w:ascii="Arial Narrow" w:hAnsi="Arial Narrow" w:cs="Arial"/>
                <w:sz w:val="20"/>
                <w:szCs w:val="20"/>
                <w:shd w:val="clear" w:color="auto" w:fill="BFBFBF"/>
              </w:rPr>
              <w:t>ai</w:t>
            </w:r>
            <w:r>
              <w:rPr>
                <w:rFonts w:ascii="Arial Narrow" w:hAnsi="Arial Narrow" w:cs="Arial"/>
                <w:sz w:val="20"/>
                <w:szCs w:val="20"/>
              </w:rPr>
              <w:t>ble</w:t>
            </w:r>
          </w:p>
        </w:tc>
      </w:tr>
      <w:tr w:rsidR="00345918" w:rsidRPr="007F78CE" w14:paraId="7717AB38" w14:textId="77777777" w:rsidTr="00FB04F6">
        <w:trPr>
          <w:jc w:val="center"/>
        </w:trPr>
        <w:tc>
          <w:tcPr>
            <w:tcW w:w="1704" w:type="dxa"/>
          </w:tcPr>
          <w:p w14:paraId="3F2FAC9E" w14:textId="77777777" w:rsidR="007A7B38" w:rsidRDefault="007A7B38" w:rsidP="00B434A6">
            <w:pPr>
              <w:spacing w:after="0" w:line="240" w:lineRule="auto"/>
              <w:contextualSpacing/>
              <w:rPr>
                <w:rFonts w:ascii="Arial Narrow" w:eastAsia="Times New Roman" w:hAnsi="Arial Narrow" w:cs="Arial"/>
                <w:b/>
                <w:smallCaps/>
                <w:color w:val="000000"/>
                <w:sz w:val="20"/>
                <w:szCs w:val="20"/>
              </w:rPr>
            </w:pPr>
            <w:r>
              <w:rPr>
                <w:rFonts w:ascii="Arial Narrow" w:hAnsi="Arial Narrow" w:cs="Arial"/>
                <w:sz w:val="20"/>
                <w:szCs w:val="20"/>
              </w:rPr>
              <w:t xml:space="preserve">Réseau électrique </w:t>
            </w:r>
          </w:p>
        </w:tc>
        <w:tc>
          <w:tcPr>
            <w:tcW w:w="1070" w:type="dxa"/>
            <w:shd w:val="clear" w:color="auto" w:fill="auto"/>
          </w:tcPr>
          <w:p w14:paraId="22FE07CF" w14:textId="77777777" w:rsidR="007A7B38" w:rsidRPr="007F78CE" w:rsidRDefault="007A7B38" w:rsidP="00296692">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067E64F2" w14:textId="77777777" w:rsidR="007A7B38" w:rsidRPr="007F78CE" w:rsidRDefault="007A7B38"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177" w:type="dxa"/>
            <w:shd w:val="clear" w:color="auto" w:fill="auto"/>
          </w:tcPr>
          <w:p w14:paraId="39F35C19" w14:textId="77777777" w:rsidR="007A7B38" w:rsidRPr="007F78CE" w:rsidRDefault="007A7B3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Ponctuelle</w:t>
            </w:r>
          </w:p>
          <w:p w14:paraId="48211029" w14:textId="77777777" w:rsidR="007A7B38" w:rsidRPr="007F78CE" w:rsidRDefault="007A7B38"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 xml:space="preserve"> </w:t>
            </w:r>
            <w:r>
              <w:rPr>
                <w:rFonts w:ascii="Arial Narrow" w:hAnsi="Arial Narrow" w:cs="Arial"/>
                <w:sz w:val="20"/>
                <w:szCs w:val="20"/>
              </w:rPr>
              <w:t>(1</w:t>
            </w:r>
            <w:r w:rsidRPr="007F78CE">
              <w:rPr>
                <w:rFonts w:ascii="Arial Narrow" w:hAnsi="Arial Narrow" w:cs="Arial"/>
                <w:sz w:val="20"/>
                <w:szCs w:val="20"/>
              </w:rPr>
              <w:t>)</w:t>
            </w:r>
          </w:p>
        </w:tc>
        <w:tc>
          <w:tcPr>
            <w:tcW w:w="919" w:type="dxa"/>
            <w:shd w:val="clear" w:color="auto" w:fill="auto"/>
          </w:tcPr>
          <w:p w14:paraId="3775D002" w14:textId="77777777" w:rsidR="007A7B38" w:rsidRPr="007F78CE" w:rsidRDefault="007A7B38" w:rsidP="00B63C19">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Courte </w:t>
            </w:r>
          </w:p>
          <w:p w14:paraId="3DB9B1C5" w14:textId="77777777" w:rsidR="007A7B38" w:rsidRDefault="007A7B3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1282" w:type="dxa"/>
            <w:shd w:val="clear" w:color="auto" w:fill="auto"/>
          </w:tcPr>
          <w:p w14:paraId="17E5B2A1" w14:textId="77777777" w:rsidR="007A7B38" w:rsidRPr="007F78CE" w:rsidRDefault="007A7B38"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620278B8" w14:textId="77777777" w:rsidR="007A7B38" w:rsidRPr="007F78CE" w:rsidRDefault="007A7B38"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55" w:type="dxa"/>
            <w:shd w:val="clear" w:color="auto" w:fill="00B050"/>
          </w:tcPr>
          <w:p w14:paraId="13DE0775" w14:textId="77777777" w:rsidR="007A7B38" w:rsidRPr="007F78CE" w:rsidRDefault="007A7B38" w:rsidP="00CE0B6B">
            <w:pPr>
              <w:spacing w:after="0" w:line="240" w:lineRule="auto"/>
              <w:contextualSpacing/>
              <w:jc w:val="center"/>
              <w:rPr>
                <w:rFonts w:ascii="Arial Narrow" w:hAnsi="Arial Narrow" w:cs="Arial"/>
                <w:sz w:val="20"/>
                <w:szCs w:val="20"/>
              </w:rPr>
            </w:pPr>
            <w:r>
              <w:rPr>
                <w:rFonts w:ascii="Arial Narrow" w:hAnsi="Arial Narrow" w:cs="Arial"/>
                <w:sz w:val="20"/>
                <w:szCs w:val="20"/>
              </w:rPr>
              <w:t>Mineure</w:t>
            </w:r>
          </w:p>
          <w:p w14:paraId="47D0DA76" w14:textId="77777777" w:rsidR="007A7B38" w:rsidRDefault="007A7B38"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 xml:space="preserve"> (</w:t>
            </w:r>
            <w:r>
              <w:rPr>
                <w:rFonts w:ascii="Arial Narrow" w:hAnsi="Arial Narrow" w:cs="Arial"/>
                <w:sz w:val="20"/>
                <w:szCs w:val="20"/>
              </w:rPr>
              <w:t>5</w:t>
            </w:r>
            <w:r w:rsidRPr="007F78CE">
              <w:rPr>
                <w:rFonts w:ascii="Arial Narrow" w:hAnsi="Arial Narrow" w:cs="Arial"/>
                <w:sz w:val="20"/>
                <w:szCs w:val="20"/>
              </w:rPr>
              <w:t>)</w:t>
            </w:r>
          </w:p>
        </w:tc>
        <w:tc>
          <w:tcPr>
            <w:tcW w:w="1064" w:type="dxa"/>
            <w:shd w:val="clear" w:color="auto" w:fill="auto"/>
          </w:tcPr>
          <w:p w14:paraId="3259BB3B" w14:textId="77777777" w:rsidR="007A7B38" w:rsidRDefault="00012BBA" w:rsidP="00CE0B6B">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817" w:type="dxa"/>
            <w:shd w:val="clear" w:color="auto" w:fill="538135"/>
          </w:tcPr>
          <w:p w14:paraId="3770A285" w14:textId="77777777" w:rsidR="007A7B38" w:rsidRDefault="00012BBA" w:rsidP="00CE0B6B">
            <w:pPr>
              <w:spacing w:after="0" w:line="240" w:lineRule="auto"/>
              <w:contextualSpacing/>
              <w:jc w:val="center"/>
              <w:rPr>
                <w:rFonts w:ascii="Arial Narrow" w:hAnsi="Arial Narrow" w:cs="Arial"/>
                <w:sz w:val="20"/>
                <w:szCs w:val="20"/>
              </w:rPr>
            </w:pPr>
            <w:r>
              <w:rPr>
                <w:rFonts w:ascii="Arial Narrow" w:hAnsi="Arial Narrow" w:cs="Arial"/>
                <w:sz w:val="20"/>
                <w:szCs w:val="20"/>
              </w:rPr>
              <w:t>Très faible</w:t>
            </w:r>
          </w:p>
        </w:tc>
      </w:tr>
      <w:tr w:rsidR="00345918" w:rsidRPr="007F78CE" w14:paraId="0D1D7E63" w14:textId="77777777" w:rsidTr="00FB04F6">
        <w:trPr>
          <w:jc w:val="center"/>
        </w:trPr>
        <w:tc>
          <w:tcPr>
            <w:tcW w:w="1704" w:type="dxa"/>
          </w:tcPr>
          <w:p w14:paraId="62107A8E" w14:textId="77777777" w:rsidR="001716F8" w:rsidRDefault="001716F8" w:rsidP="00B434A6">
            <w:pPr>
              <w:spacing w:after="0" w:line="240" w:lineRule="auto"/>
              <w:contextualSpacing/>
              <w:rPr>
                <w:rFonts w:ascii="Arial Narrow" w:hAnsi="Arial Narrow" w:cs="Arial"/>
                <w:sz w:val="20"/>
                <w:szCs w:val="20"/>
              </w:rPr>
            </w:pPr>
            <w:r>
              <w:rPr>
                <w:rFonts w:ascii="Arial Narrow" w:hAnsi="Arial Narrow" w:cs="Arial"/>
                <w:sz w:val="20"/>
                <w:szCs w:val="20"/>
              </w:rPr>
              <w:t>Impact cumulé</w:t>
            </w:r>
          </w:p>
        </w:tc>
        <w:tc>
          <w:tcPr>
            <w:tcW w:w="1070" w:type="dxa"/>
            <w:shd w:val="clear" w:color="auto" w:fill="auto"/>
          </w:tcPr>
          <w:p w14:paraId="2D3A7320" w14:textId="77777777" w:rsidR="001716F8" w:rsidRPr="007F78CE" w:rsidRDefault="001716F8" w:rsidP="00D70FB3">
            <w:pPr>
              <w:spacing w:after="0" w:line="240" w:lineRule="auto"/>
              <w:contextualSpacing/>
              <w:jc w:val="center"/>
              <w:rPr>
                <w:rFonts w:ascii="Arial Narrow" w:hAnsi="Arial Narrow" w:cs="Arial"/>
                <w:bCs/>
                <w:sz w:val="20"/>
                <w:szCs w:val="20"/>
              </w:rPr>
            </w:pPr>
            <w:r>
              <w:rPr>
                <w:rFonts w:ascii="Arial Narrow" w:hAnsi="Arial Narrow" w:cs="Arial"/>
                <w:sz w:val="20"/>
                <w:szCs w:val="20"/>
              </w:rPr>
              <w:t>Moyenne</w:t>
            </w:r>
          </w:p>
          <w:p w14:paraId="365F6ECA"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1177" w:type="dxa"/>
            <w:shd w:val="clear" w:color="auto" w:fill="auto"/>
          </w:tcPr>
          <w:p w14:paraId="0629FEE6" w14:textId="77777777" w:rsidR="001716F8" w:rsidRPr="007F78CE" w:rsidRDefault="001716F8" w:rsidP="00D70FB3">
            <w:pPr>
              <w:spacing w:after="0" w:line="240" w:lineRule="auto"/>
              <w:contextualSpacing/>
              <w:jc w:val="center"/>
              <w:rPr>
                <w:rFonts w:ascii="Arial Narrow" w:hAnsi="Arial Narrow" w:cs="Arial"/>
                <w:sz w:val="20"/>
                <w:szCs w:val="20"/>
              </w:rPr>
            </w:pPr>
            <w:r>
              <w:rPr>
                <w:rFonts w:ascii="Arial Narrow" w:hAnsi="Arial Narrow" w:cs="Arial"/>
                <w:sz w:val="20"/>
                <w:szCs w:val="20"/>
              </w:rPr>
              <w:t>Locale</w:t>
            </w:r>
          </w:p>
          <w:p w14:paraId="142463EC" w14:textId="77777777" w:rsidR="001716F8"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919" w:type="dxa"/>
            <w:shd w:val="clear" w:color="auto" w:fill="auto"/>
          </w:tcPr>
          <w:p w14:paraId="531A0836" w14:textId="77777777" w:rsidR="001716F8" w:rsidRPr="007F78CE" w:rsidRDefault="001716F8" w:rsidP="00D70FB3">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courte </w:t>
            </w:r>
          </w:p>
          <w:p w14:paraId="28B9D14A" w14:textId="77777777" w:rsidR="001716F8" w:rsidRDefault="001716F8"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1282" w:type="dxa"/>
            <w:shd w:val="clear" w:color="auto" w:fill="auto"/>
          </w:tcPr>
          <w:p w14:paraId="7B9EDD45"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189B94A8" w14:textId="77777777" w:rsidR="001716F8" w:rsidRPr="007F78CE" w:rsidRDefault="001716F8"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55" w:type="dxa"/>
            <w:shd w:val="clear" w:color="auto" w:fill="FFFF00"/>
          </w:tcPr>
          <w:p w14:paraId="23A2BCC9" w14:textId="77777777" w:rsidR="001716F8" w:rsidRPr="007F78CE" w:rsidRDefault="001716F8" w:rsidP="00D70FB3">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p w14:paraId="353136FF" w14:textId="77777777" w:rsidR="001716F8" w:rsidRDefault="001716F8" w:rsidP="00CE0B6B">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7</w:t>
            </w:r>
            <w:r w:rsidRPr="007F78CE">
              <w:rPr>
                <w:rFonts w:ascii="Arial Narrow" w:hAnsi="Arial Narrow" w:cs="Arial"/>
                <w:sz w:val="20"/>
                <w:szCs w:val="20"/>
              </w:rPr>
              <w:t>)</w:t>
            </w:r>
          </w:p>
        </w:tc>
        <w:tc>
          <w:tcPr>
            <w:tcW w:w="1064" w:type="dxa"/>
            <w:shd w:val="clear" w:color="auto" w:fill="auto"/>
          </w:tcPr>
          <w:p w14:paraId="3C17B585" w14:textId="77777777" w:rsidR="001716F8" w:rsidRDefault="001716F8" w:rsidP="00CE0B6B">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817" w:type="dxa"/>
            <w:shd w:val="clear" w:color="auto" w:fill="538135"/>
          </w:tcPr>
          <w:p w14:paraId="749B83D5" w14:textId="77777777" w:rsidR="001716F8" w:rsidRDefault="001716F8" w:rsidP="00CE0B6B">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r>
    </w:tbl>
    <w:p w14:paraId="3F86671E" w14:textId="77777777" w:rsidR="0002275A" w:rsidRPr="00B434A6" w:rsidRDefault="0002275A" w:rsidP="00B434A6">
      <w:pPr>
        <w:spacing w:line="240" w:lineRule="auto"/>
        <w:jc w:val="both"/>
        <w:rPr>
          <w:rFonts w:ascii="Arial" w:hAnsi="Arial" w:cs="Arial"/>
        </w:rPr>
      </w:pPr>
    </w:p>
    <w:p w14:paraId="222ECADC" w14:textId="77777777" w:rsidR="0090044A" w:rsidRPr="007F78CE" w:rsidRDefault="0090044A" w:rsidP="00687DD2">
      <w:pPr>
        <w:pStyle w:val="Titre5"/>
        <w:keepNext w:val="0"/>
        <w:keepLines w:val="0"/>
        <w:numPr>
          <w:ilvl w:val="0"/>
          <w:numId w:val="95"/>
        </w:numPr>
        <w:tabs>
          <w:tab w:val="left" w:pos="708"/>
        </w:tabs>
        <w:spacing w:before="280" w:after="280" w:line="240" w:lineRule="auto"/>
        <w:ind w:left="567" w:firstLine="0"/>
        <w:contextualSpacing/>
        <w:jc w:val="both"/>
        <w:rPr>
          <w:rFonts w:eastAsia="Calibri"/>
          <w:b/>
          <w:bCs/>
        </w:rPr>
      </w:pPr>
      <w:r w:rsidRPr="007F78CE">
        <w:rPr>
          <w:rFonts w:eastAsia="Calibri"/>
          <w:b/>
          <w:bCs/>
        </w:rPr>
        <w:t xml:space="preserve">Ressource en eau </w:t>
      </w:r>
    </w:p>
    <w:p w14:paraId="78290F0B" w14:textId="77777777" w:rsidR="0090044A" w:rsidRPr="004E3A70" w:rsidRDefault="0090044A" w:rsidP="00687DD2">
      <w:pPr>
        <w:pStyle w:val="Normal12"/>
        <w:numPr>
          <w:ilvl w:val="0"/>
          <w:numId w:val="85"/>
        </w:numPr>
        <w:spacing w:before="100" w:beforeAutospacing="1" w:after="100" w:afterAutospacing="1"/>
        <w:ind w:left="1077" w:hanging="357"/>
        <w:contextualSpacing/>
        <w:rPr>
          <w:i/>
          <w:iCs/>
          <w:lang w:val="fr-FR"/>
        </w:rPr>
      </w:pPr>
      <w:r w:rsidRPr="004E3A70">
        <w:rPr>
          <w:i/>
          <w:iCs/>
          <w:lang w:val="fr-FR"/>
        </w:rPr>
        <w:t>Pollution des ressources en eau</w:t>
      </w:r>
    </w:p>
    <w:p w14:paraId="5A3310E1" w14:textId="77777777" w:rsidR="0090044A" w:rsidRPr="008D2A01" w:rsidRDefault="0090044A" w:rsidP="008D2A01">
      <w:pPr>
        <w:spacing w:line="240" w:lineRule="auto"/>
        <w:jc w:val="both"/>
        <w:rPr>
          <w:rFonts w:ascii="Arial" w:hAnsi="Arial" w:cs="Arial"/>
        </w:rPr>
      </w:pPr>
      <w:r w:rsidRPr="008D2A01">
        <w:rPr>
          <w:rFonts w:ascii="Arial" w:hAnsi="Arial" w:cs="Arial"/>
        </w:rPr>
        <w:t>Les risques de pollution des eaux de surface et souterraine peuvent être causés par l’entraînement puis l’infiltration des particules polluant</w:t>
      </w:r>
      <w:r w:rsidR="0002275A">
        <w:rPr>
          <w:rFonts w:ascii="Arial" w:hAnsi="Arial" w:cs="Arial"/>
        </w:rPr>
        <w:t>e</w:t>
      </w:r>
      <w:r w:rsidRPr="008D2A01">
        <w:rPr>
          <w:rFonts w:ascii="Arial" w:hAnsi="Arial" w:cs="Arial"/>
        </w:rPr>
        <w:t>s issu</w:t>
      </w:r>
      <w:r w:rsidR="0002275A">
        <w:rPr>
          <w:rFonts w:ascii="Arial" w:hAnsi="Arial" w:cs="Arial"/>
        </w:rPr>
        <w:t>e</w:t>
      </w:r>
      <w:r w:rsidRPr="008D2A01">
        <w:rPr>
          <w:rFonts w:ascii="Arial" w:hAnsi="Arial" w:cs="Arial"/>
        </w:rPr>
        <w:t xml:space="preserve">s : </w:t>
      </w:r>
    </w:p>
    <w:p w14:paraId="741B798D" w14:textId="77777777" w:rsidR="0090044A" w:rsidRPr="008D2A01" w:rsidRDefault="00F5207D" w:rsidP="00687DD2">
      <w:pPr>
        <w:pStyle w:val="Paragraphedeliste"/>
        <w:numPr>
          <w:ilvl w:val="0"/>
          <w:numId w:val="87"/>
        </w:numPr>
        <w:spacing w:before="120" w:after="0" w:line="240" w:lineRule="auto"/>
        <w:jc w:val="both"/>
        <w:rPr>
          <w:rFonts w:ascii="Arial" w:hAnsi="Arial" w:cs="Arial"/>
        </w:rPr>
      </w:pPr>
      <w:r>
        <w:rPr>
          <w:rFonts w:ascii="Arial" w:hAnsi="Arial" w:cs="Arial"/>
        </w:rPr>
        <w:t>D</w:t>
      </w:r>
      <w:r w:rsidR="0090044A" w:rsidRPr="008D2A01">
        <w:rPr>
          <w:rFonts w:ascii="Arial" w:hAnsi="Arial" w:cs="Arial"/>
        </w:rPr>
        <w:t>es rejets directs des eaux usées générées par les installations de chantier ;</w:t>
      </w:r>
    </w:p>
    <w:p w14:paraId="5D13130D" w14:textId="77777777" w:rsidR="0090044A" w:rsidRPr="00742D67" w:rsidRDefault="00F5207D" w:rsidP="00687DD2">
      <w:pPr>
        <w:pStyle w:val="Paragraphedeliste"/>
        <w:numPr>
          <w:ilvl w:val="0"/>
          <w:numId w:val="87"/>
        </w:numPr>
        <w:spacing w:before="120" w:after="0" w:line="240" w:lineRule="auto"/>
        <w:jc w:val="both"/>
        <w:rPr>
          <w:rFonts w:ascii="Arial" w:hAnsi="Arial" w:cs="Arial"/>
          <w:color w:val="auto"/>
        </w:rPr>
      </w:pPr>
      <w:r w:rsidRPr="00742D67">
        <w:rPr>
          <w:rFonts w:ascii="Arial" w:hAnsi="Arial" w:cs="Arial"/>
          <w:color w:val="auto"/>
        </w:rPr>
        <w:t>D</w:t>
      </w:r>
      <w:r w:rsidR="0090044A" w:rsidRPr="00742D67">
        <w:rPr>
          <w:rFonts w:ascii="Arial" w:hAnsi="Arial" w:cs="Arial"/>
          <w:color w:val="auto"/>
        </w:rPr>
        <w:t>es déchets solides rejetés anarchiquement dans les sites et ses environs ;</w:t>
      </w:r>
    </w:p>
    <w:p w14:paraId="3FCECB3D" w14:textId="77777777" w:rsidR="0090044A" w:rsidRPr="00742D67" w:rsidRDefault="00F5207D" w:rsidP="00687DD2">
      <w:pPr>
        <w:pStyle w:val="Paragraphedeliste"/>
        <w:numPr>
          <w:ilvl w:val="0"/>
          <w:numId w:val="87"/>
        </w:numPr>
        <w:spacing w:before="120" w:after="0" w:line="240" w:lineRule="auto"/>
        <w:jc w:val="both"/>
        <w:rPr>
          <w:rFonts w:ascii="Arial" w:hAnsi="Arial" w:cs="Arial"/>
          <w:color w:val="auto"/>
        </w:rPr>
      </w:pPr>
      <w:r w:rsidRPr="00742D67">
        <w:rPr>
          <w:rFonts w:ascii="Arial" w:hAnsi="Arial" w:cs="Arial"/>
          <w:color w:val="auto"/>
        </w:rPr>
        <w:t>D</w:t>
      </w:r>
      <w:r w:rsidR="0090044A" w:rsidRPr="00742D67">
        <w:rPr>
          <w:rFonts w:ascii="Arial" w:hAnsi="Arial" w:cs="Arial"/>
          <w:color w:val="auto"/>
        </w:rPr>
        <w:t>es rejets accidentel</w:t>
      </w:r>
      <w:r w:rsidRPr="00742D67">
        <w:rPr>
          <w:rFonts w:ascii="Arial" w:hAnsi="Arial" w:cs="Arial"/>
          <w:color w:val="auto"/>
        </w:rPr>
        <w:t>s</w:t>
      </w:r>
      <w:r w:rsidR="0090044A" w:rsidRPr="00742D67">
        <w:rPr>
          <w:rFonts w:ascii="Arial" w:hAnsi="Arial" w:cs="Arial"/>
          <w:color w:val="auto"/>
        </w:rPr>
        <w:t xml:space="preserve"> des carburants </w:t>
      </w:r>
      <w:r w:rsidR="001C596F" w:rsidRPr="00742D67">
        <w:rPr>
          <w:rFonts w:ascii="Arial" w:hAnsi="Arial" w:cs="Arial"/>
          <w:color w:val="auto"/>
        </w:rPr>
        <w:t xml:space="preserve">et </w:t>
      </w:r>
      <w:r w:rsidR="00B63C19" w:rsidRPr="00742D67">
        <w:rPr>
          <w:rFonts w:ascii="Arial" w:hAnsi="Arial" w:cs="Arial"/>
          <w:color w:val="auto"/>
        </w:rPr>
        <w:t xml:space="preserve">des </w:t>
      </w:r>
      <w:r w:rsidR="001C596F" w:rsidRPr="00742D67">
        <w:rPr>
          <w:rFonts w:ascii="Arial" w:hAnsi="Arial" w:cs="Arial"/>
          <w:color w:val="auto"/>
        </w:rPr>
        <w:t>huile</w:t>
      </w:r>
      <w:r w:rsidR="00B63C19" w:rsidRPr="00742D67">
        <w:rPr>
          <w:rFonts w:ascii="Arial" w:hAnsi="Arial" w:cs="Arial"/>
          <w:color w:val="auto"/>
        </w:rPr>
        <w:t>s</w:t>
      </w:r>
      <w:r w:rsidR="001C596F" w:rsidRPr="00742D67">
        <w:rPr>
          <w:rFonts w:ascii="Arial" w:hAnsi="Arial" w:cs="Arial"/>
          <w:color w:val="auto"/>
        </w:rPr>
        <w:t xml:space="preserve"> de moteur </w:t>
      </w:r>
      <w:r w:rsidR="0090044A" w:rsidRPr="00742D67">
        <w:rPr>
          <w:rFonts w:ascii="Arial" w:hAnsi="Arial" w:cs="Arial"/>
          <w:color w:val="auto"/>
        </w:rPr>
        <w:t>provenant des engins de chantier ;</w:t>
      </w:r>
    </w:p>
    <w:p w14:paraId="7B57C41D" w14:textId="77777777" w:rsidR="0090044A" w:rsidRPr="00742D67" w:rsidRDefault="00F5207D" w:rsidP="00687DD2">
      <w:pPr>
        <w:pStyle w:val="Paragraphedeliste"/>
        <w:numPr>
          <w:ilvl w:val="0"/>
          <w:numId w:val="87"/>
        </w:numPr>
        <w:spacing w:before="120" w:after="120" w:line="240" w:lineRule="auto"/>
        <w:jc w:val="both"/>
        <w:rPr>
          <w:rFonts w:ascii="Arial" w:hAnsi="Arial" w:cs="Arial"/>
          <w:color w:val="auto"/>
        </w:rPr>
      </w:pPr>
      <w:r w:rsidRPr="00742D67">
        <w:rPr>
          <w:rFonts w:ascii="Arial" w:hAnsi="Arial" w:cs="Arial"/>
          <w:color w:val="auto"/>
        </w:rPr>
        <w:t>D</w:t>
      </w:r>
      <w:r w:rsidR="0090044A" w:rsidRPr="00742D67">
        <w:rPr>
          <w:rFonts w:ascii="Arial" w:hAnsi="Arial" w:cs="Arial"/>
          <w:color w:val="auto"/>
        </w:rPr>
        <w:t>u déversement des eaux d’assainissement, si elles ne sont pas collectées et traitées convenablement.</w:t>
      </w:r>
    </w:p>
    <w:p w14:paraId="710B8E62" w14:textId="77777777" w:rsidR="00CE0B6B" w:rsidRPr="00742D67" w:rsidRDefault="00CE0B6B" w:rsidP="008D2A01">
      <w:pPr>
        <w:spacing w:line="240" w:lineRule="auto"/>
        <w:jc w:val="both"/>
        <w:rPr>
          <w:rFonts w:ascii="Arial" w:hAnsi="Arial" w:cs="Arial"/>
        </w:rPr>
      </w:pPr>
      <w:r w:rsidRPr="00742D67">
        <w:rPr>
          <w:rFonts w:ascii="Arial" w:hAnsi="Arial" w:cs="Arial"/>
        </w:rPr>
        <w:t>La pollution des ressources en eau est considérée d’importance « Majeure » pour le cas de la construction des barrages hydroélectriques étant donné qu’il est réalisé dans les cours d’eau. Ainsi, les produits polluants pourraient être déversés facilement dans l’eau et transportés à d’autres endroits plus loin.</w:t>
      </w:r>
      <w:r w:rsidR="00D2342A">
        <w:rPr>
          <w:rFonts w:ascii="Arial" w:hAnsi="Arial" w:cs="Arial"/>
        </w:rPr>
        <w:t xml:space="preserve"> Toutefois le niveau du risque de pollution est considéré comme Moyen</w:t>
      </w:r>
    </w:p>
    <w:p w14:paraId="63623D8F" w14:textId="77777777" w:rsidR="00CE0B6B" w:rsidRPr="00742D67" w:rsidRDefault="00CE0B6B" w:rsidP="008D2A01">
      <w:pPr>
        <w:spacing w:line="240" w:lineRule="auto"/>
        <w:jc w:val="both"/>
        <w:rPr>
          <w:rFonts w:ascii="Arial" w:hAnsi="Arial" w:cs="Arial"/>
        </w:rPr>
      </w:pPr>
      <w:r w:rsidRPr="00742D67">
        <w:rPr>
          <w:rFonts w:ascii="Arial" w:hAnsi="Arial" w:cs="Arial"/>
        </w:rPr>
        <w:t>Pour le cas de l’infrastructure numérique et la centrale solaire, l’importance de cet impact est évaluée « Moyenne » puisque les particules polluantes peuvent polluer les eaux souterraines ou des cours d’eau en dehors du site</w:t>
      </w:r>
      <w:r w:rsidR="00D2342A">
        <w:rPr>
          <w:rFonts w:ascii="Arial" w:hAnsi="Arial" w:cs="Arial"/>
        </w:rPr>
        <w:t>. Le niveau de risque est évalué comme faible</w:t>
      </w:r>
    </w:p>
    <w:p w14:paraId="4AE08FCF" w14:textId="77777777" w:rsidR="00CE0B6B" w:rsidRPr="00742D67" w:rsidRDefault="00CE0B6B" w:rsidP="008D2A01">
      <w:pPr>
        <w:spacing w:line="240" w:lineRule="auto"/>
        <w:jc w:val="both"/>
        <w:rPr>
          <w:rFonts w:ascii="Arial" w:hAnsi="Arial" w:cs="Arial"/>
        </w:rPr>
      </w:pPr>
      <w:r w:rsidRPr="00742D67">
        <w:rPr>
          <w:rFonts w:ascii="Arial" w:hAnsi="Arial" w:cs="Arial"/>
        </w:rPr>
        <w:t>En ce qui concerne la mise en place des réseaux électriques, cet impact est considéré comme d’importance mineure</w:t>
      </w:r>
      <w:r w:rsidR="00F35414">
        <w:rPr>
          <w:rFonts w:ascii="Arial" w:hAnsi="Arial" w:cs="Arial"/>
        </w:rPr>
        <w:t xml:space="preserve"> </w:t>
      </w:r>
      <w:r w:rsidR="00D2342A">
        <w:rPr>
          <w:rFonts w:ascii="Arial" w:hAnsi="Arial" w:cs="Arial"/>
        </w:rPr>
        <w:t xml:space="preserve">et à risque très faible </w:t>
      </w:r>
      <w:r w:rsidR="00F35414">
        <w:rPr>
          <w:rFonts w:ascii="Arial" w:hAnsi="Arial" w:cs="Arial"/>
        </w:rPr>
        <w:t>selon le tableau suivant</w:t>
      </w:r>
      <w:r w:rsidRPr="00742D67">
        <w:rPr>
          <w:rFonts w:ascii="Arial" w:hAnsi="Arial" w:cs="Arial"/>
        </w:rPr>
        <w:t>. En effet, l’utilisation de l’eau dans ce sous-projet est minime.</w:t>
      </w:r>
    </w:p>
    <w:p w14:paraId="23F9D184" w14:textId="77777777" w:rsidR="0090044A" w:rsidRPr="002E58DC" w:rsidRDefault="0090044A" w:rsidP="002E58DC">
      <w:pPr>
        <w:pStyle w:val="Lgende"/>
        <w:spacing w:before="120"/>
        <w:jc w:val="center"/>
        <w:rPr>
          <w:sz w:val="20"/>
        </w:rPr>
      </w:pPr>
      <w:bookmarkStart w:id="915" w:name="_Toc100753921"/>
      <w:bookmarkStart w:id="916" w:name="_Toc127957822"/>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26</w:t>
      </w:r>
      <w:r w:rsidRPr="002E58DC">
        <w:rPr>
          <w:sz w:val="20"/>
        </w:rPr>
        <w:fldChar w:fldCharType="end"/>
      </w:r>
      <w:r w:rsidRPr="002E58DC">
        <w:rPr>
          <w:sz w:val="20"/>
        </w:rPr>
        <w:t>. Evaluation</w:t>
      </w:r>
      <w:r w:rsidR="00FB273B">
        <w:rPr>
          <w:sz w:val="20"/>
        </w:rPr>
        <w:t xml:space="preserve"> de </w:t>
      </w:r>
      <w:r w:rsidRPr="002E58DC">
        <w:rPr>
          <w:sz w:val="20"/>
        </w:rPr>
        <w:t>l’impact –Pollutions de la ressource en eau</w:t>
      </w:r>
      <w:bookmarkEnd w:id="915"/>
      <w:bookmarkEnd w:id="916"/>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019"/>
        <w:gridCol w:w="1012"/>
        <w:gridCol w:w="990"/>
        <w:gridCol w:w="1451"/>
        <w:gridCol w:w="1245"/>
        <w:gridCol w:w="1064"/>
        <w:gridCol w:w="816"/>
        <w:tblGridChange w:id="917">
          <w:tblGrid>
            <w:gridCol w:w="1691"/>
            <w:gridCol w:w="1019"/>
            <w:gridCol w:w="1012"/>
            <w:gridCol w:w="990"/>
            <w:gridCol w:w="1451"/>
            <w:gridCol w:w="1245"/>
            <w:gridCol w:w="1064"/>
            <w:gridCol w:w="816"/>
          </w:tblGrid>
        </w:tblGridChange>
      </w:tblGrid>
      <w:tr w:rsidR="00D2342A" w:rsidRPr="007F78CE" w14:paraId="3D48102A" w14:textId="77777777" w:rsidTr="00345918">
        <w:trPr>
          <w:jc w:val="center"/>
        </w:trPr>
        <w:tc>
          <w:tcPr>
            <w:tcW w:w="1691" w:type="dxa"/>
            <w:shd w:val="clear" w:color="auto" w:fill="BFBFBF"/>
          </w:tcPr>
          <w:p w14:paraId="41E77C36" w14:textId="77777777" w:rsidR="00D2342A" w:rsidRPr="007F78CE" w:rsidRDefault="00D2342A" w:rsidP="007F78CE">
            <w:pPr>
              <w:spacing w:after="0" w:line="240" w:lineRule="auto"/>
              <w:rPr>
                <w:rFonts w:ascii="Arial Narrow" w:hAnsi="Arial Narrow"/>
                <w:b/>
                <w:bCs/>
                <w:sz w:val="20"/>
                <w:szCs w:val="20"/>
              </w:rPr>
            </w:pPr>
            <w:r>
              <w:rPr>
                <w:rFonts w:ascii="Arial Narrow" w:hAnsi="Arial Narrow"/>
                <w:b/>
                <w:bCs/>
                <w:sz w:val="20"/>
                <w:szCs w:val="20"/>
              </w:rPr>
              <w:t>Sous Projet</w:t>
            </w:r>
          </w:p>
        </w:tc>
        <w:tc>
          <w:tcPr>
            <w:tcW w:w="1019" w:type="dxa"/>
            <w:shd w:val="clear" w:color="auto" w:fill="BFBFBF"/>
          </w:tcPr>
          <w:p w14:paraId="6894F37D" w14:textId="77777777" w:rsidR="00D2342A" w:rsidRPr="007F78CE" w:rsidRDefault="00D2342A" w:rsidP="00B434A6">
            <w:pPr>
              <w:spacing w:after="0" w:line="240" w:lineRule="auto"/>
              <w:jc w:val="center"/>
              <w:rPr>
                <w:rFonts w:ascii="Arial Narrow" w:hAnsi="Arial Narrow"/>
                <w:b/>
                <w:sz w:val="20"/>
                <w:szCs w:val="20"/>
              </w:rPr>
            </w:pPr>
            <w:r w:rsidRPr="007F78CE">
              <w:rPr>
                <w:rFonts w:ascii="Arial Narrow" w:hAnsi="Arial Narrow"/>
                <w:b/>
                <w:bCs/>
                <w:sz w:val="20"/>
                <w:szCs w:val="20"/>
              </w:rPr>
              <w:t>Intensité</w:t>
            </w:r>
          </w:p>
        </w:tc>
        <w:tc>
          <w:tcPr>
            <w:tcW w:w="1012" w:type="dxa"/>
            <w:shd w:val="clear" w:color="auto" w:fill="BFBFBF"/>
          </w:tcPr>
          <w:p w14:paraId="354DF461" w14:textId="77777777" w:rsidR="00D2342A" w:rsidRPr="007F78CE" w:rsidRDefault="00D2342A" w:rsidP="00B434A6">
            <w:pPr>
              <w:spacing w:after="0" w:line="240" w:lineRule="auto"/>
              <w:jc w:val="center"/>
              <w:rPr>
                <w:rFonts w:ascii="Arial Narrow" w:hAnsi="Arial Narrow"/>
                <w:b/>
                <w:bCs/>
                <w:sz w:val="20"/>
                <w:szCs w:val="20"/>
              </w:rPr>
            </w:pPr>
            <w:r w:rsidRPr="007F78CE">
              <w:rPr>
                <w:rFonts w:ascii="Arial Narrow" w:hAnsi="Arial Narrow"/>
                <w:b/>
                <w:bCs/>
                <w:sz w:val="20"/>
                <w:szCs w:val="20"/>
              </w:rPr>
              <w:t>Étendue</w:t>
            </w:r>
          </w:p>
        </w:tc>
        <w:tc>
          <w:tcPr>
            <w:tcW w:w="990" w:type="dxa"/>
            <w:shd w:val="clear" w:color="auto" w:fill="BFBFBF"/>
          </w:tcPr>
          <w:p w14:paraId="0AA4EB48" w14:textId="77777777" w:rsidR="00D2342A" w:rsidRPr="007F78CE" w:rsidRDefault="00D2342A" w:rsidP="00B434A6">
            <w:pPr>
              <w:spacing w:after="0" w:line="240" w:lineRule="auto"/>
              <w:jc w:val="center"/>
              <w:rPr>
                <w:rFonts w:ascii="Arial Narrow" w:hAnsi="Arial Narrow"/>
                <w:b/>
                <w:bCs/>
                <w:sz w:val="20"/>
                <w:szCs w:val="20"/>
              </w:rPr>
            </w:pPr>
            <w:r w:rsidRPr="007F78CE">
              <w:rPr>
                <w:rFonts w:ascii="Arial Narrow" w:hAnsi="Arial Narrow"/>
                <w:b/>
                <w:bCs/>
                <w:sz w:val="20"/>
                <w:szCs w:val="20"/>
              </w:rPr>
              <w:t>Durée</w:t>
            </w:r>
          </w:p>
        </w:tc>
        <w:tc>
          <w:tcPr>
            <w:tcW w:w="1451" w:type="dxa"/>
            <w:shd w:val="clear" w:color="auto" w:fill="BFBFBF"/>
          </w:tcPr>
          <w:p w14:paraId="73E2EBEA" w14:textId="77777777" w:rsidR="00D2342A" w:rsidRPr="007F78CE" w:rsidRDefault="00D2342A" w:rsidP="00B434A6">
            <w:pPr>
              <w:spacing w:after="0" w:line="240" w:lineRule="auto"/>
              <w:jc w:val="center"/>
              <w:rPr>
                <w:rFonts w:ascii="Arial Narrow" w:hAnsi="Arial Narrow"/>
                <w:b/>
                <w:bCs/>
                <w:sz w:val="20"/>
                <w:szCs w:val="20"/>
              </w:rPr>
            </w:pPr>
            <w:r w:rsidRPr="007F78CE">
              <w:rPr>
                <w:rFonts w:ascii="Arial Narrow" w:hAnsi="Arial Narrow"/>
                <w:b/>
                <w:bCs/>
                <w:sz w:val="20"/>
                <w:szCs w:val="20"/>
              </w:rPr>
              <w:t>Réversibilité</w:t>
            </w:r>
          </w:p>
        </w:tc>
        <w:tc>
          <w:tcPr>
            <w:tcW w:w="1245" w:type="dxa"/>
            <w:shd w:val="clear" w:color="auto" w:fill="BFBFBF"/>
          </w:tcPr>
          <w:p w14:paraId="63816A24" w14:textId="77777777" w:rsidR="00D2342A" w:rsidRPr="007F78CE" w:rsidRDefault="00D2342A" w:rsidP="00B434A6">
            <w:pPr>
              <w:spacing w:after="0" w:line="240" w:lineRule="auto"/>
              <w:jc w:val="center"/>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auto"/>
          </w:tcPr>
          <w:p w14:paraId="76D1C3E9" w14:textId="77777777" w:rsidR="00D2342A" w:rsidRPr="007F78CE" w:rsidRDefault="00D2342A" w:rsidP="00B434A6">
            <w:pPr>
              <w:spacing w:after="0" w:line="240" w:lineRule="auto"/>
              <w:jc w:val="center"/>
              <w:rPr>
                <w:rFonts w:ascii="Arial Narrow" w:hAnsi="Arial Narrow"/>
                <w:b/>
                <w:bCs/>
                <w:sz w:val="20"/>
                <w:szCs w:val="20"/>
              </w:rPr>
            </w:pPr>
            <w:r>
              <w:rPr>
                <w:rFonts w:ascii="Arial Narrow" w:hAnsi="Arial Narrow"/>
                <w:b/>
                <w:bCs/>
                <w:sz w:val="20"/>
                <w:szCs w:val="20"/>
              </w:rPr>
              <w:t>Probabilité</w:t>
            </w:r>
          </w:p>
        </w:tc>
        <w:tc>
          <w:tcPr>
            <w:tcW w:w="816" w:type="dxa"/>
            <w:shd w:val="clear" w:color="auto" w:fill="auto"/>
          </w:tcPr>
          <w:p w14:paraId="6855C3DE" w14:textId="77777777" w:rsidR="00D2342A" w:rsidRPr="007F78CE" w:rsidRDefault="00D2342A" w:rsidP="00B434A6">
            <w:pPr>
              <w:spacing w:after="0" w:line="240" w:lineRule="auto"/>
              <w:jc w:val="center"/>
              <w:rPr>
                <w:rFonts w:ascii="Arial Narrow" w:hAnsi="Arial Narrow"/>
                <w:b/>
                <w:bCs/>
                <w:sz w:val="20"/>
                <w:szCs w:val="20"/>
              </w:rPr>
            </w:pPr>
            <w:r>
              <w:rPr>
                <w:rFonts w:ascii="Arial Narrow" w:hAnsi="Arial Narrow"/>
                <w:b/>
                <w:bCs/>
                <w:sz w:val="20"/>
                <w:szCs w:val="20"/>
              </w:rPr>
              <w:t>Risque</w:t>
            </w:r>
          </w:p>
        </w:tc>
      </w:tr>
      <w:tr w:rsidR="00345918" w:rsidRPr="007F78CE" w14:paraId="77A83607" w14:textId="77777777" w:rsidTr="00FB04F6">
        <w:trPr>
          <w:jc w:val="center"/>
        </w:trPr>
        <w:tc>
          <w:tcPr>
            <w:tcW w:w="1691" w:type="dxa"/>
          </w:tcPr>
          <w:p w14:paraId="10A0E00C" w14:textId="77777777" w:rsidR="00D2342A" w:rsidRPr="007F78CE" w:rsidRDefault="00D2342A" w:rsidP="00345918">
            <w:pPr>
              <w:spacing w:after="0" w:line="240" w:lineRule="auto"/>
              <w:contextualSpacing/>
              <w:rPr>
                <w:rFonts w:ascii="Arial Narrow" w:hAnsi="Arial Narrow" w:cs="Arial"/>
                <w:sz w:val="20"/>
                <w:szCs w:val="20"/>
              </w:rPr>
            </w:pPr>
            <w:r>
              <w:rPr>
                <w:rFonts w:ascii="Arial Narrow" w:hAnsi="Arial Narrow" w:cs="Arial"/>
                <w:sz w:val="20"/>
                <w:szCs w:val="20"/>
              </w:rPr>
              <w:t>Infrastructure</w:t>
            </w:r>
            <w:r w:rsidR="00A73AF6">
              <w:rPr>
                <w:rFonts w:ascii="Arial Narrow" w:hAnsi="Arial Narrow" w:cs="Arial"/>
                <w:sz w:val="20"/>
                <w:szCs w:val="20"/>
              </w:rPr>
              <w:t>s</w:t>
            </w:r>
            <w:r>
              <w:rPr>
                <w:rFonts w:ascii="Arial Narrow" w:hAnsi="Arial Narrow" w:cs="Arial"/>
                <w:sz w:val="20"/>
                <w:szCs w:val="20"/>
              </w:rPr>
              <w:t xml:space="preserve"> numérique</w:t>
            </w:r>
            <w:r w:rsidR="00A73AF6">
              <w:rPr>
                <w:rFonts w:ascii="Arial Narrow" w:hAnsi="Arial Narrow" w:cs="Arial"/>
                <w:sz w:val="20"/>
                <w:szCs w:val="20"/>
              </w:rPr>
              <w:t>s</w:t>
            </w:r>
          </w:p>
        </w:tc>
        <w:tc>
          <w:tcPr>
            <w:tcW w:w="1019" w:type="dxa"/>
            <w:shd w:val="clear" w:color="auto" w:fill="auto"/>
          </w:tcPr>
          <w:p w14:paraId="06BFD619" w14:textId="77777777" w:rsidR="00D2342A" w:rsidRPr="007F78CE" w:rsidRDefault="00D2342A"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0885373B" w14:textId="77777777" w:rsidR="00D2342A" w:rsidRPr="007F78CE" w:rsidRDefault="00D2342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12" w:type="dxa"/>
            <w:shd w:val="clear" w:color="auto" w:fill="auto"/>
          </w:tcPr>
          <w:p w14:paraId="79A4841C" w14:textId="77777777" w:rsidR="00D2342A" w:rsidRPr="007F78CE" w:rsidRDefault="00D2342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376D106C" w14:textId="77777777" w:rsidR="00D2342A" w:rsidRPr="007F78CE" w:rsidRDefault="00D2342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90" w:type="dxa"/>
            <w:shd w:val="clear" w:color="auto" w:fill="auto"/>
          </w:tcPr>
          <w:p w14:paraId="6E1BC896" w14:textId="77777777" w:rsidR="00D2342A" w:rsidRPr="007F78CE" w:rsidRDefault="00D2342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3AEB1C07" w14:textId="77777777" w:rsidR="00D2342A" w:rsidRPr="007F78CE" w:rsidRDefault="00D2342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451" w:type="dxa"/>
            <w:shd w:val="clear" w:color="auto" w:fill="auto"/>
          </w:tcPr>
          <w:p w14:paraId="689F03FE" w14:textId="77777777" w:rsidR="00D2342A" w:rsidRPr="007F78CE" w:rsidRDefault="00D2342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3769241B" w14:textId="77777777" w:rsidR="00D2342A" w:rsidRPr="007F78CE" w:rsidRDefault="00D2342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45" w:type="dxa"/>
            <w:shd w:val="clear" w:color="auto" w:fill="FFFF00"/>
          </w:tcPr>
          <w:p w14:paraId="579AEAD0" w14:textId="77777777" w:rsidR="00D2342A" w:rsidRPr="007F78CE" w:rsidRDefault="00D2342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6D2F0095" w14:textId="77777777" w:rsidR="00D2342A" w:rsidRPr="007F78CE" w:rsidRDefault="00D2342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vAlign w:val="center"/>
          </w:tcPr>
          <w:p w14:paraId="3F3637DC" w14:textId="77777777" w:rsidR="00D2342A" w:rsidRPr="007F78CE" w:rsidRDefault="00D2342A" w:rsidP="00D2342A">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c>
          <w:tcPr>
            <w:tcW w:w="816" w:type="dxa"/>
            <w:shd w:val="clear" w:color="auto" w:fill="BFBFBF"/>
            <w:vAlign w:val="center"/>
          </w:tcPr>
          <w:p w14:paraId="1E09C3C6" w14:textId="77777777" w:rsidR="00D2342A" w:rsidRPr="007F78CE" w:rsidRDefault="00D2342A" w:rsidP="00D2342A">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r w:rsidR="00345918" w:rsidRPr="007F78CE" w14:paraId="4BD9FC09" w14:textId="77777777" w:rsidTr="00FB04F6">
        <w:trPr>
          <w:jc w:val="center"/>
        </w:trPr>
        <w:tc>
          <w:tcPr>
            <w:tcW w:w="1691" w:type="dxa"/>
          </w:tcPr>
          <w:p w14:paraId="0B2DA61A" w14:textId="77777777" w:rsidR="00D2342A" w:rsidRPr="007F78CE" w:rsidRDefault="00D2342A" w:rsidP="00B434A6">
            <w:pPr>
              <w:spacing w:after="0" w:line="240" w:lineRule="auto"/>
              <w:contextualSpacing/>
              <w:rPr>
                <w:rFonts w:ascii="Arial Narrow" w:hAnsi="Arial Narrow" w:cs="Arial"/>
                <w:sz w:val="20"/>
                <w:szCs w:val="20"/>
              </w:rPr>
            </w:pPr>
            <w:r>
              <w:rPr>
                <w:rFonts w:ascii="Arial Narrow" w:hAnsi="Arial Narrow" w:cs="Arial"/>
                <w:sz w:val="20"/>
                <w:szCs w:val="20"/>
              </w:rPr>
              <w:t>Centrale électrique solaire</w:t>
            </w:r>
          </w:p>
        </w:tc>
        <w:tc>
          <w:tcPr>
            <w:tcW w:w="1019" w:type="dxa"/>
            <w:shd w:val="clear" w:color="auto" w:fill="auto"/>
          </w:tcPr>
          <w:p w14:paraId="7149FB26" w14:textId="77777777" w:rsidR="00D2342A" w:rsidRPr="007F78CE" w:rsidRDefault="00D2342A" w:rsidP="0068003D">
            <w:pPr>
              <w:spacing w:after="0" w:line="240" w:lineRule="auto"/>
              <w:contextualSpacing/>
              <w:jc w:val="center"/>
              <w:rPr>
                <w:rFonts w:ascii="Arial Narrow" w:hAnsi="Arial Narrow" w:cs="Arial"/>
                <w:bCs/>
                <w:sz w:val="20"/>
                <w:szCs w:val="20"/>
              </w:rPr>
            </w:pPr>
            <w:r>
              <w:rPr>
                <w:rFonts w:ascii="Arial Narrow" w:hAnsi="Arial Narrow" w:cs="Arial"/>
                <w:sz w:val="20"/>
                <w:szCs w:val="20"/>
              </w:rPr>
              <w:t>Moyenne</w:t>
            </w:r>
          </w:p>
          <w:p w14:paraId="3E34DA7D" w14:textId="77777777" w:rsidR="00D2342A" w:rsidRPr="007F78CE" w:rsidRDefault="00D2342A"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(2</w:t>
            </w:r>
            <w:r w:rsidRPr="007F78CE">
              <w:rPr>
                <w:rFonts w:ascii="Arial Narrow" w:hAnsi="Arial Narrow" w:cs="Arial"/>
                <w:sz w:val="20"/>
                <w:szCs w:val="20"/>
              </w:rPr>
              <w:t>)</w:t>
            </w:r>
          </w:p>
        </w:tc>
        <w:tc>
          <w:tcPr>
            <w:tcW w:w="1012" w:type="dxa"/>
            <w:shd w:val="clear" w:color="auto" w:fill="auto"/>
          </w:tcPr>
          <w:p w14:paraId="0CAEC6A7" w14:textId="77777777" w:rsidR="00D2342A" w:rsidRPr="007F78CE" w:rsidRDefault="00D2342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2807B4F5" w14:textId="77777777" w:rsidR="00D2342A" w:rsidRPr="007F78CE" w:rsidRDefault="00D2342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90" w:type="dxa"/>
            <w:shd w:val="clear" w:color="auto" w:fill="auto"/>
          </w:tcPr>
          <w:p w14:paraId="4AB5EF00" w14:textId="77777777" w:rsidR="00D2342A" w:rsidRPr="007F78CE" w:rsidRDefault="00D2342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409E9E3A" w14:textId="77777777" w:rsidR="00D2342A" w:rsidRPr="007F78CE" w:rsidRDefault="00D2342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451" w:type="dxa"/>
            <w:shd w:val="clear" w:color="auto" w:fill="auto"/>
          </w:tcPr>
          <w:p w14:paraId="2028FF00" w14:textId="77777777" w:rsidR="00D2342A" w:rsidRPr="007F78CE" w:rsidRDefault="00D2342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5FCB5400" w14:textId="77777777" w:rsidR="00D2342A" w:rsidRPr="007F78CE" w:rsidRDefault="00D2342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45" w:type="dxa"/>
            <w:shd w:val="clear" w:color="auto" w:fill="FFFF00"/>
          </w:tcPr>
          <w:p w14:paraId="16627C43" w14:textId="77777777" w:rsidR="00D2342A" w:rsidRPr="007F78CE" w:rsidRDefault="00D2342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5B45DE45" w14:textId="77777777" w:rsidR="00D2342A" w:rsidRPr="007F78CE" w:rsidRDefault="00D2342A"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(7</w:t>
            </w:r>
            <w:r w:rsidRPr="007F78CE">
              <w:rPr>
                <w:rFonts w:ascii="Arial Narrow" w:hAnsi="Arial Narrow" w:cs="Arial"/>
                <w:sz w:val="20"/>
                <w:szCs w:val="20"/>
              </w:rPr>
              <w:t>)</w:t>
            </w:r>
          </w:p>
        </w:tc>
        <w:tc>
          <w:tcPr>
            <w:tcW w:w="1064" w:type="dxa"/>
            <w:shd w:val="clear" w:color="auto" w:fill="auto"/>
            <w:vAlign w:val="center"/>
          </w:tcPr>
          <w:p w14:paraId="226CE54B" w14:textId="77777777" w:rsidR="00D2342A" w:rsidRPr="007F78CE" w:rsidRDefault="00D2342A" w:rsidP="00D2342A">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c>
          <w:tcPr>
            <w:tcW w:w="816" w:type="dxa"/>
            <w:shd w:val="clear" w:color="auto" w:fill="BFBFBF"/>
            <w:vAlign w:val="center"/>
          </w:tcPr>
          <w:p w14:paraId="46A53B1F" w14:textId="77777777" w:rsidR="00D2342A" w:rsidRPr="007F78CE" w:rsidRDefault="00D2342A" w:rsidP="00D2342A">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r w:rsidR="00D2342A" w:rsidRPr="007F78CE" w14:paraId="2E4A2CEF" w14:textId="77777777" w:rsidTr="00345918">
        <w:trPr>
          <w:jc w:val="center"/>
        </w:trPr>
        <w:tc>
          <w:tcPr>
            <w:tcW w:w="1691" w:type="dxa"/>
          </w:tcPr>
          <w:p w14:paraId="04A6D511" w14:textId="77777777" w:rsidR="00D2342A" w:rsidRPr="007F78CE" w:rsidRDefault="00D2342A" w:rsidP="00B434A6">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19" w:type="dxa"/>
            <w:shd w:val="clear" w:color="auto" w:fill="auto"/>
          </w:tcPr>
          <w:p w14:paraId="0F48A0F4" w14:textId="77777777" w:rsidR="00D2342A" w:rsidRPr="007F78CE" w:rsidRDefault="00D2342A" w:rsidP="0068003D">
            <w:pPr>
              <w:spacing w:after="0" w:line="240" w:lineRule="auto"/>
              <w:contextualSpacing/>
              <w:jc w:val="center"/>
              <w:rPr>
                <w:rFonts w:ascii="Arial Narrow" w:hAnsi="Arial Narrow" w:cs="Arial"/>
                <w:bCs/>
                <w:sz w:val="20"/>
                <w:szCs w:val="20"/>
              </w:rPr>
            </w:pPr>
            <w:r>
              <w:rPr>
                <w:rFonts w:ascii="Arial Narrow" w:hAnsi="Arial Narrow" w:cs="Arial"/>
                <w:sz w:val="20"/>
                <w:szCs w:val="20"/>
              </w:rPr>
              <w:t>Moyenne</w:t>
            </w:r>
          </w:p>
          <w:p w14:paraId="705377D2" w14:textId="77777777" w:rsidR="00D2342A" w:rsidRPr="007F78CE" w:rsidRDefault="00D2342A"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(2</w:t>
            </w:r>
            <w:r w:rsidRPr="007F78CE">
              <w:rPr>
                <w:rFonts w:ascii="Arial Narrow" w:hAnsi="Arial Narrow" w:cs="Arial"/>
                <w:sz w:val="20"/>
                <w:szCs w:val="20"/>
              </w:rPr>
              <w:t>)</w:t>
            </w:r>
          </w:p>
        </w:tc>
        <w:tc>
          <w:tcPr>
            <w:tcW w:w="1012" w:type="dxa"/>
            <w:shd w:val="clear" w:color="auto" w:fill="auto"/>
          </w:tcPr>
          <w:p w14:paraId="4D28A28F" w14:textId="77777777" w:rsidR="00D2342A" w:rsidRPr="007F78CE" w:rsidRDefault="00D2342A" w:rsidP="0068003D">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Régionale </w:t>
            </w:r>
          </w:p>
          <w:p w14:paraId="2AF117C0" w14:textId="77777777" w:rsidR="00D2342A" w:rsidRPr="007F78CE" w:rsidRDefault="00D2342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3</w:t>
            </w:r>
            <w:r w:rsidRPr="007F78CE">
              <w:rPr>
                <w:rFonts w:ascii="Arial Narrow" w:hAnsi="Arial Narrow" w:cs="Arial"/>
                <w:sz w:val="20"/>
                <w:szCs w:val="20"/>
              </w:rPr>
              <w:t>)</w:t>
            </w:r>
          </w:p>
        </w:tc>
        <w:tc>
          <w:tcPr>
            <w:tcW w:w="990" w:type="dxa"/>
            <w:shd w:val="clear" w:color="auto" w:fill="auto"/>
          </w:tcPr>
          <w:p w14:paraId="7E28E561" w14:textId="77777777" w:rsidR="00D2342A" w:rsidRPr="007F78CE" w:rsidRDefault="00D2342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01F4C921" w14:textId="77777777" w:rsidR="00D2342A" w:rsidRPr="007F78CE" w:rsidRDefault="00D2342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451" w:type="dxa"/>
            <w:shd w:val="clear" w:color="auto" w:fill="auto"/>
          </w:tcPr>
          <w:p w14:paraId="26D4B974" w14:textId="77777777" w:rsidR="00D2342A" w:rsidRPr="007F78CE" w:rsidRDefault="00D2342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49DB4F0A" w14:textId="77777777" w:rsidR="00D2342A" w:rsidRPr="007F78CE" w:rsidRDefault="00D2342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45" w:type="dxa"/>
            <w:shd w:val="clear" w:color="auto" w:fill="FF0000"/>
          </w:tcPr>
          <w:p w14:paraId="7D741071" w14:textId="77777777" w:rsidR="00D2342A" w:rsidRPr="007F78CE" w:rsidRDefault="00D2342A" w:rsidP="0068003D">
            <w:pPr>
              <w:spacing w:after="0" w:line="240" w:lineRule="auto"/>
              <w:contextualSpacing/>
              <w:jc w:val="center"/>
              <w:rPr>
                <w:rFonts w:ascii="Arial Narrow" w:hAnsi="Arial Narrow" w:cs="Arial"/>
                <w:sz w:val="20"/>
                <w:szCs w:val="20"/>
              </w:rPr>
            </w:pPr>
            <w:r>
              <w:rPr>
                <w:rFonts w:ascii="Arial Narrow" w:hAnsi="Arial Narrow" w:cs="Arial"/>
                <w:sz w:val="20"/>
                <w:szCs w:val="20"/>
              </w:rPr>
              <w:t>Majeure</w:t>
            </w:r>
          </w:p>
          <w:p w14:paraId="68A7A8C6" w14:textId="77777777" w:rsidR="00D2342A" w:rsidRPr="007F78CE" w:rsidRDefault="00D2342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9</w:t>
            </w:r>
            <w:r w:rsidRPr="007F78CE">
              <w:rPr>
                <w:rFonts w:ascii="Arial Narrow" w:hAnsi="Arial Narrow" w:cs="Arial"/>
                <w:sz w:val="20"/>
                <w:szCs w:val="20"/>
              </w:rPr>
              <w:t>)</w:t>
            </w:r>
          </w:p>
        </w:tc>
        <w:tc>
          <w:tcPr>
            <w:tcW w:w="1064" w:type="dxa"/>
            <w:shd w:val="clear" w:color="auto" w:fill="auto"/>
            <w:vAlign w:val="center"/>
          </w:tcPr>
          <w:p w14:paraId="03029929" w14:textId="77777777" w:rsidR="00D2342A" w:rsidRDefault="00D2342A" w:rsidP="00D2342A">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c>
          <w:tcPr>
            <w:tcW w:w="816" w:type="dxa"/>
            <w:shd w:val="clear" w:color="auto" w:fill="FFFF00"/>
            <w:vAlign w:val="center"/>
          </w:tcPr>
          <w:p w14:paraId="15BA7C95" w14:textId="77777777" w:rsidR="00D2342A" w:rsidRDefault="00D2342A" w:rsidP="00D2342A">
            <w:pPr>
              <w:spacing w:after="0" w:line="240" w:lineRule="auto"/>
              <w:contextualSpacing/>
              <w:jc w:val="center"/>
              <w:rPr>
                <w:rFonts w:ascii="Arial Narrow" w:hAnsi="Arial Narrow" w:cs="Arial"/>
                <w:sz w:val="20"/>
                <w:szCs w:val="20"/>
              </w:rPr>
            </w:pPr>
            <w:r>
              <w:rPr>
                <w:rFonts w:ascii="Arial Narrow" w:hAnsi="Arial Narrow" w:cs="Arial"/>
                <w:sz w:val="20"/>
                <w:szCs w:val="20"/>
              </w:rPr>
              <w:t>Moyen</w:t>
            </w:r>
          </w:p>
        </w:tc>
      </w:tr>
      <w:tr w:rsidR="00345918" w:rsidRPr="007F78CE" w14:paraId="349F96AD" w14:textId="77777777" w:rsidTr="00FB04F6">
        <w:trPr>
          <w:jc w:val="center"/>
        </w:trPr>
        <w:tc>
          <w:tcPr>
            <w:tcW w:w="1691" w:type="dxa"/>
          </w:tcPr>
          <w:p w14:paraId="6EAA9E45" w14:textId="77777777" w:rsidR="00D2342A" w:rsidRDefault="00D2342A" w:rsidP="00B434A6">
            <w:pPr>
              <w:spacing w:after="0" w:line="240" w:lineRule="auto"/>
              <w:contextualSpacing/>
              <w:rPr>
                <w:rFonts w:ascii="Arial Narrow" w:hAnsi="Arial Narrow" w:cs="Arial"/>
                <w:sz w:val="20"/>
                <w:szCs w:val="20"/>
              </w:rPr>
            </w:pPr>
            <w:r>
              <w:rPr>
                <w:rFonts w:ascii="Arial Narrow" w:hAnsi="Arial Narrow" w:cs="Arial"/>
                <w:sz w:val="20"/>
                <w:szCs w:val="20"/>
              </w:rPr>
              <w:t>Réseau électrique</w:t>
            </w:r>
          </w:p>
        </w:tc>
        <w:tc>
          <w:tcPr>
            <w:tcW w:w="1019" w:type="dxa"/>
            <w:shd w:val="clear" w:color="auto" w:fill="auto"/>
          </w:tcPr>
          <w:p w14:paraId="2286A7EB" w14:textId="77777777" w:rsidR="00D2342A" w:rsidRPr="007F78CE" w:rsidRDefault="00D2342A" w:rsidP="00296692">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22E496C0" w14:textId="77777777" w:rsidR="00D2342A" w:rsidRDefault="00D2342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12" w:type="dxa"/>
            <w:shd w:val="clear" w:color="auto" w:fill="auto"/>
          </w:tcPr>
          <w:p w14:paraId="3677F5F4" w14:textId="77777777" w:rsidR="00D2342A" w:rsidRPr="007F78CE" w:rsidRDefault="00D2342A"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Ponctuelle</w:t>
            </w:r>
          </w:p>
          <w:p w14:paraId="33235FF1" w14:textId="77777777" w:rsidR="00D2342A" w:rsidRDefault="00D2342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 xml:space="preserve"> </w:t>
            </w:r>
            <w:r>
              <w:rPr>
                <w:rFonts w:ascii="Arial Narrow" w:hAnsi="Arial Narrow" w:cs="Arial"/>
                <w:sz w:val="20"/>
                <w:szCs w:val="20"/>
              </w:rPr>
              <w:t>(1</w:t>
            </w:r>
            <w:r w:rsidRPr="007F78CE">
              <w:rPr>
                <w:rFonts w:ascii="Arial Narrow" w:hAnsi="Arial Narrow" w:cs="Arial"/>
                <w:sz w:val="20"/>
                <w:szCs w:val="20"/>
              </w:rPr>
              <w:t>)</w:t>
            </w:r>
          </w:p>
        </w:tc>
        <w:tc>
          <w:tcPr>
            <w:tcW w:w="990" w:type="dxa"/>
            <w:shd w:val="clear" w:color="auto" w:fill="auto"/>
          </w:tcPr>
          <w:p w14:paraId="6F247345" w14:textId="77777777" w:rsidR="00D2342A" w:rsidRPr="007F78CE" w:rsidRDefault="00D2342A"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Moyenne </w:t>
            </w:r>
          </w:p>
          <w:p w14:paraId="64670C49" w14:textId="77777777" w:rsidR="00D2342A" w:rsidRPr="007F78CE" w:rsidRDefault="00D2342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 xml:space="preserve"> (</w:t>
            </w:r>
            <w:r>
              <w:rPr>
                <w:rFonts w:ascii="Arial Narrow" w:hAnsi="Arial Narrow" w:cs="Arial"/>
                <w:sz w:val="20"/>
                <w:szCs w:val="20"/>
              </w:rPr>
              <w:t>2</w:t>
            </w:r>
            <w:r w:rsidRPr="007F78CE">
              <w:rPr>
                <w:rFonts w:ascii="Arial Narrow" w:hAnsi="Arial Narrow" w:cs="Arial"/>
                <w:sz w:val="20"/>
                <w:szCs w:val="20"/>
              </w:rPr>
              <w:t>)</w:t>
            </w:r>
          </w:p>
        </w:tc>
        <w:tc>
          <w:tcPr>
            <w:tcW w:w="1451" w:type="dxa"/>
            <w:shd w:val="clear" w:color="auto" w:fill="auto"/>
          </w:tcPr>
          <w:p w14:paraId="604F2DDA" w14:textId="77777777" w:rsidR="00D2342A" w:rsidRPr="007F78CE" w:rsidRDefault="00D2342A"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589EDC29" w14:textId="77777777" w:rsidR="00D2342A" w:rsidRPr="007F78CE" w:rsidRDefault="00D2342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45" w:type="dxa"/>
            <w:shd w:val="clear" w:color="auto" w:fill="00B050"/>
          </w:tcPr>
          <w:p w14:paraId="6170F42C" w14:textId="77777777" w:rsidR="00D2342A" w:rsidRPr="007F78CE" w:rsidRDefault="00D2342A"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45542FAC" w14:textId="77777777" w:rsidR="00D2342A" w:rsidRDefault="00D2342A" w:rsidP="0068003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vAlign w:val="center"/>
          </w:tcPr>
          <w:p w14:paraId="49B5C4B5" w14:textId="77777777" w:rsidR="00D2342A" w:rsidRPr="007F78CE" w:rsidRDefault="00D2342A" w:rsidP="00D2342A">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c>
          <w:tcPr>
            <w:tcW w:w="816" w:type="dxa"/>
            <w:shd w:val="clear" w:color="auto" w:fill="538135"/>
            <w:vAlign w:val="center"/>
          </w:tcPr>
          <w:p w14:paraId="5D482AD2" w14:textId="77777777" w:rsidR="00D2342A" w:rsidRPr="007F78CE" w:rsidRDefault="00D2342A" w:rsidP="00D2342A">
            <w:pPr>
              <w:spacing w:after="0" w:line="240" w:lineRule="auto"/>
              <w:contextualSpacing/>
              <w:jc w:val="center"/>
              <w:rPr>
                <w:rFonts w:ascii="Arial Narrow" w:hAnsi="Arial Narrow" w:cs="Arial"/>
                <w:sz w:val="20"/>
                <w:szCs w:val="20"/>
              </w:rPr>
            </w:pPr>
            <w:r>
              <w:rPr>
                <w:rFonts w:ascii="Arial Narrow" w:hAnsi="Arial Narrow" w:cs="Arial"/>
                <w:sz w:val="20"/>
                <w:szCs w:val="20"/>
              </w:rPr>
              <w:t>Très faible</w:t>
            </w:r>
          </w:p>
        </w:tc>
      </w:tr>
      <w:tr w:rsidR="001716F8" w:rsidRPr="007F78CE" w14:paraId="3B14565A" w14:textId="77777777" w:rsidTr="00FB04F6">
        <w:trPr>
          <w:jc w:val="center"/>
        </w:trPr>
        <w:tc>
          <w:tcPr>
            <w:tcW w:w="1691" w:type="dxa"/>
          </w:tcPr>
          <w:p w14:paraId="69644343" w14:textId="77777777" w:rsidR="001716F8" w:rsidRDefault="001716F8" w:rsidP="00B434A6">
            <w:pPr>
              <w:spacing w:after="0" w:line="240" w:lineRule="auto"/>
              <w:contextualSpacing/>
              <w:rPr>
                <w:rFonts w:ascii="Arial Narrow" w:hAnsi="Arial Narrow" w:cs="Arial"/>
                <w:sz w:val="20"/>
                <w:szCs w:val="20"/>
              </w:rPr>
            </w:pPr>
            <w:r>
              <w:rPr>
                <w:rFonts w:ascii="Arial Narrow" w:hAnsi="Arial Narrow" w:cs="Arial"/>
                <w:sz w:val="20"/>
                <w:szCs w:val="20"/>
              </w:rPr>
              <w:t>Impact cumulé</w:t>
            </w:r>
          </w:p>
        </w:tc>
        <w:tc>
          <w:tcPr>
            <w:tcW w:w="1019" w:type="dxa"/>
            <w:shd w:val="clear" w:color="auto" w:fill="auto"/>
          </w:tcPr>
          <w:p w14:paraId="46754811" w14:textId="77777777" w:rsidR="001716F8" w:rsidRPr="007F78CE" w:rsidRDefault="001716F8" w:rsidP="00D70FB3">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1C5A8F24"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12" w:type="dxa"/>
            <w:shd w:val="clear" w:color="auto" w:fill="auto"/>
          </w:tcPr>
          <w:p w14:paraId="59321F2F"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72E3365F" w14:textId="77777777" w:rsidR="001716F8"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90" w:type="dxa"/>
            <w:shd w:val="clear" w:color="auto" w:fill="auto"/>
          </w:tcPr>
          <w:p w14:paraId="11A9D4B9"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3B527A93" w14:textId="77777777" w:rsidR="001716F8"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451" w:type="dxa"/>
            <w:shd w:val="clear" w:color="auto" w:fill="auto"/>
          </w:tcPr>
          <w:p w14:paraId="66352A2C"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209FD2D9"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45" w:type="dxa"/>
            <w:shd w:val="clear" w:color="auto" w:fill="00B050"/>
          </w:tcPr>
          <w:p w14:paraId="2E6881C9"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7A47C346"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vAlign w:val="center"/>
          </w:tcPr>
          <w:p w14:paraId="2E1B4AAB" w14:textId="77777777" w:rsidR="001716F8" w:rsidRDefault="001716F8" w:rsidP="00D2342A">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c>
          <w:tcPr>
            <w:tcW w:w="816" w:type="dxa"/>
            <w:shd w:val="clear" w:color="auto" w:fill="538135"/>
            <w:vAlign w:val="center"/>
          </w:tcPr>
          <w:p w14:paraId="680C4DDF" w14:textId="77777777" w:rsidR="001716F8" w:rsidRDefault="001716F8" w:rsidP="00D2342A">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bl>
    <w:p w14:paraId="16419B95" w14:textId="77777777" w:rsidR="0090044A" w:rsidRPr="00B434A6" w:rsidRDefault="0090044A" w:rsidP="00F01166">
      <w:pPr>
        <w:spacing w:after="0" w:line="240" w:lineRule="auto"/>
        <w:jc w:val="both"/>
        <w:rPr>
          <w:rFonts w:ascii="Arial" w:hAnsi="Arial" w:cs="Arial"/>
        </w:rPr>
      </w:pPr>
      <w:bookmarkStart w:id="918" w:name="_Toc98192341"/>
    </w:p>
    <w:p w14:paraId="6DFA5148" w14:textId="77777777" w:rsidR="00AE1CAB" w:rsidRPr="00742D67" w:rsidRDefault="00AE1CAB" w:rsidP="00F01166">
      <w:pPr>
        <w:pStyle w:val="Normal12"/>
        <w:numPr>
          <w:ilvl w:val="0"/>
          <w:numId w:val="85"/>
        </w:numPr>
        <w:spacing w:after="100" w:afterAutospacing="1"/>
        <w:contextualSpacing/>
        <w:rPr>
          <w:i/>
          <w:iCs/>
          <w:color w:val="auto"/>
          <w:lang w:val="fr-FR"/>
        </w:rPr>
      </w:pPr>
      <w:r w:rsidRPr="00742D67">
        <w:rPr>
          <w:i/>
          <w:iCs/>
          <w:color w:val="auto"/>
          <w:lang w:val="fr-FR"/>
        </w:rPr>
        <w:t xml:space="preserve">Modification des régimes des cours d’eau </w:t>
      </w:r>
    </w:p>
    <w:p w14:paraId="370D332A" w14:textId="77777777" w:rsidR="00AE1CAB" w:rsidRPr="00742D67" w:rsidRDefault="00315BB9" w:rsidP="00B434A6">
      <w:pPr>
        <w:spacing w:line="240" w:lineRule="auto"/>
        <w:jc w:val="both"/>
        <w:rPr>
          <w:rFonts w:ascii="Arial" w:hAnsi="Arial" w:cs="Arial"/>
        </w:rPr>
      </w:pPr>
      <w:r w:rsidRPr="00742D67">
        <w:rPr>
          <w:rFonts w:ascii="Arial" w:hAnsi="Arial" w:cs="Arial"/>
        </w:rPr>
        <w:t>Cet impact concerne seulement la construction de barrage hydroélectrique. En effet, La construction de barrage hydroélectrique nécessite une déviation du lit de la rivière. La déviation de la rivière a pour impact de changer le régime de cour</w:t>
      </w:r>
      <w:r w:rsidR="000B28BB" w:rsidRPr="00742D67">
        <w:rPr>
          <w:rFonts w:ascii="Arial" w:hAnsi="Arial" w:cs="Arial"/>
        </w:rPr>
        <w:t>s</w:t>
      </w:r>
      <w:r w:rsidRPr="00742D67">
        <w:rPr>
          <w:rFonts w:ascii="Arial" w:hAnsi="Arial" w:cs="Arial"/>
        </w:rPr>
        <w:t xml:space="preserve"> d’eau. Heureusement, la modification du régime de cours d’eau est limité</w:t>
      </w:r>
      <w:r w:rsidR="000B28BB" w:rsidRPr="00742D67">
        <w:rPr>
          <w:rFonts w:ascii="Arial" w:hAnsi="Arial" w:cs="Arial"/>
        </w:rPr>
        <w:t>e</w:t>
      </w:r>
      <w:r w:rsidRPr="00742D67">
        <w:rPr>
          <w:rFonts w:ascii="Arial" w:hAnsi="Arial" w:cs="Arial"/>
        </w:rPr>
        <w:t xml:space="preserve"> dans l’espace et dans le temps. Ainsi, l’importance de cet impact sera considérée comme « Mineure »</w:t>
      </w:r>
      <w:r w:rsidR="009C36F0">
        <w:rPr>
          <w:rFonts w:ascii="Arial" w:hAnsi="Arial" w:cs="Arial"/>
        </w:rPr>
        <w:t xml:space="preserve"> et le niveau de risque est évalué comme très faible</w:t>
      </w:r>
      <w:r w:rsidR="00F35414">
        <w:rPr>
          <w:rFonts w:ascii="Arial" w:hAnsi="Arial" w:cs="Arial"/>
        </w:rPr>
        <w:t xml:space="preserve"> selon le tabeau suivant</w:t>
      </w:r>
      <w:r w:rsidR="00B02B32" w:rsidRPr="00742D67">
        <w:rPr>
          <w:rFonts w:ascii="Arial" w:hAnsi="Arial" w:cs="Arial"/>
        </w:rPr>
        <w:t>.</w:t>
      </w:r>
    </w:p>
    <w:p w14:paraId="10709D6A" w14:textId="77777777" w:rsidR="00B02B32" w:rsidRPr="00B434A6" w:rsidRDefault="00B02B32" w:rsidP="00B434A6">
      <w:pPr>
        <w:pStyle w:val="Lgende"/>
        <w:spacing w:before="120"/>
        <w:jc w:val="center"/>
        <w:rPr>
          <w:sz w:val="20"/>
        </w:rPr>
      </w:pPr>
      <w:bookmarkStart w:id="919" w:name="_Toc127957823"/>
      <w:r w:rsidRPr="00B434A6">
        <w:rPr>
          <w:sz w:val="20"/>
        </w:rPr>
        <w:t xml:space="preserve">Tableau </w:t>
      </w:r>
      <w:r w:rsidRPr="00B434A6">
        <w:rPr>
          <w:sz w:val="20"/>
        </w:rPr>
        <w:fldChar w:fldCharType="begin"/>
      </w:r>
      <w:r w:rsidRPr="00B434A6">
        <w:rPr>
          <w:sz w:val="20"/>
        </w:rPr>
        <w:instrText xml:space="preserve"> SEQ Tableau \* ARABIC </w:instrText>
      </w:r>
      <w:r w:rsidRPr="00B434A6">
        <w:rPr>
          <w:sz w:val="20"/>
        </w:rPr>
        <w:fldChar w:fldCharType="separate"/>
      </w:r>
      <w:r w:rsidR="005430A1">
        <w:rPr>
          <w:noProof/>
          <w:sz w:val="20"/>
        </w:rPr>
        <w:t>27</w:t>
      </w:r>
      <w:r w:rsidRPr="00B434A6">
        <w:rPr>
          <w:sz w:val="20"/>
        </w:rPr>
        <w:fldChar w:fldCharType="end"/>
      </w:r>
      <w:r w:rsidRPr="00B434A6">
        <w:rPr>
          <w:sz w:val="20"/>
        </w:rPr>
        <w:t>. Evaluation de l’impact – Modification des régimes des cours d’eau</w:t>
      </w:r>
      <w:bookmarkEnd w:id="919"/>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1028"/>
        <w:gridCol w:w="1015"/>
        <w:gridCol w:w="895"/>
        <w:gridCol w:w="1472"/>
        <w:gridCol w:w="1256"/>
        <w:gridCol w:w="1064"/>
        <w:gridCol w:w="837"/>
        <w:tblGridChange w:id="920">
          <w:tblGrid>
            <w:gridCol w:w="1721"/>
            <w:gridCol w:w="1028"/>
            <w:gridCol w:w="1015"/>
            <w:gridCol w:w="895"/>
            <w:gridCol w:w="1472"/>
            <w:gridCol w:w="1256"/>
            <w:gridCol w:w="1064"/>
            <w:gridCol w:w="837"/>
          </w:tblGrid>
        </w:tblGridChange>
      </w:tblGrid>
      <w:tr w:rsidR="009C36F0" w:rsidRPr="007F78CE" w14:paraId="2FDBA7B4" w14:textId="77777777" w:rsidTr="00345918">
        <w:trPr>
          <w:jc w:val="center"/>
        </w:trPr>
        <w:tc>
          <w:tcPr>
            <w:tcW w:w="1785" w:type="dxa"/>
            <w:shd w:val="clear" w:color="auto" w:fill="BFBFBF"/>
          </w:tcPr>
          <w:p w14:paraId="4B53A61A" w14:textId="77777777" w:rsidR="009C36F0" w:rsidRPr="007F78CE" w:rsidRDefault="009C36F0" w:rsidP="00F00135">
            <w:pPr>
              <w:spacing w:after="0" w:line="240" w:lineRule="auto"/>
              <w:rPr>
                <w:rFonts w:ascii="Arial Narrow" w:hAnsi="Arial Narrow"/>
                <w:b/>
                <w:bCs/>
                <w:sz w:val="20"/>
                <w:szCs w:val="20"/>
              </w:rPr>
            </w:pPr>
            <w:r>
              <w:rPr>
                <w:rFonts w:ascii="Arial Narrow" w:hAnsi="Arial Narrow"/>
                <w:b/>
                <w:bCs/>
                <w:sz w:val="20"/>
                <w:szCs w:val="20"/>
              </w:rPr>
              <w:t>Sous Projet</w:t>
            </w:r>
          </w:p>
        </w:tc>
        <w:tc>
          <w:tcPr>
            <w:tcW w:w="1052" w:type="dxa"/>
            <w:shd w:val="clear" w:color="auto" w:fill="BFBFBF"/>
          </w:tcPr>
          <w:p w14:paraId="63180EEE" w14:textId="77777777" w:rsidR="009C36F0" w:rsidRPr="007F78CE" w:rsidRDefault="009C36F0" w:rsidP="00F00135">
            <w:pPr>
              <w:spacing w:after="0" w:line="240" w:lineRule="auto"/>
              <w:jc w:val="center"/>
              <w:rPr>
                <w:rFonts w:ascii="Arial Narrow" w:hAnsi="Arial Narrow"/>
                <w:b/>
                <w:sz w:val="20"/>
                <w:szCs w:val="20"/>
              </w:rPr>
            </w:pPr>
            <w:r w:rsidRPr="007F78CE">
              <w:rPr>
                <w:rFonts w:ascii="Arial Narrow" w:hAnsi="Arial Narrow"/>
                <w:b/>
                <w:bCs/>
                <w:sz w:val="20"/>
                <w:szCs w:val="20"/>
              </w:rPr>
              <w:t>Intensité</w:t>
            </w:r>
          </w:p>
        </w:tc>
        <w:tc>
          <w:tcPr>
            <w:tcW w:w="1021" w:type="dxa"/>
            <w:shd w:val="clear" w:color="auto" w:fill="BFBFBF"/>
          </w:tcPr>
          <w:p w14:paraId="2D01B859" w14:textId="77777777" w:rsidR="009C36F0" w:rsidRPr="007F78CE" w:rsidRDefault="009C36F0" w:rsidP="00F00135">
            <w:pPr>
              <w:spacing w:after="0" w:line="240" w:lineRule="auto"/>
              <w:jc w:val="center"/>
              <w:rPr>
                <w:rFonts w:ascii="Arial Narrow" w:hAnsi="Arial Narrow"/>
                <w:b/>
                <w:bCs/>
                <w:sz w:val="20"/>
                <w:szCs w:val="20"/>
              </w:rPr>
            </w:pPr>
            <w:r w:rsidRPr="007F78CE">
              <w:rPr>
                <w:rFonts w:ascii="Arial Narrow" w:hAnsi="Arial Narrow"/>
                <w:b/>
                <w:bCs/>
                <w:sz w:val="20"/>
                <w:szCs w:val="20"/>
              </w:rPr>
              <w:t>Étendue</w:t>
            </w:r>
          </w:p>
        </w:tc>
        <w:tc>
          <w:tcPr>
            <w:tcW w:w="927" w:type="dxa"/>
            <w:shd w:val="clear" w:color="auto" w:fill="BFBFBF"/>
          </w:tcPr>
          <w:p w14:paraId="3609F9C9" w14:textId="77777777" w:rsidR="009C36F0" w:rsidRPr="007F78CE" w:rsidRDefault="009C36F0" w:rsidP="00F00135">
            <w:pPr>
              <w:spacing w:after="0" w:line="240" w:lineRule="auto"/>
              <w:jc w:val="center"/>
              <w:rPr>
                <w:rFonts w:ascii="Arial Narrow" w:hAnsi="Arial Narrow"/>
                <w:b/>
                <w:bCs/>
                <w:sz w:val="20"/>
                <w:szCs w:val="20"/>
              </w:rPr>
            </w:pPr>
            <w:r w:rsidRPr="007F78CE">
              <w:rPr>
                <w:rFonts w:ascii="Arial Narrow" w:hAnsi="Arial Narrow"/>
                <w:b/>
                <w:bCs/>
                <w:sz w:val="20"/>
                <w:szCs w:val="20"/>
              </w:rPr>
              <w:t>Durée</w:t>
            </w:r>
          </w:p>
        </w:tc>
        <w:tc>
          <w:tcPr>
            <w:tcW w:w="1520" w:type="dxa"/>
            <w:shd w:val="clear" w:color="auto" w:fill="BFBFBF"/>
          </w:tcPr>
          <w:p w14:paraId="37C06A7D" w14:textId="77777777" w:rsidR="009C36F0" w:rsidRPr="007F78CE" w:rsidRDefault="009C36F0" w:rsidP="00F00135">
            <w:pPr>
              <w:spacing w:after="0" w:line="240" w:lineRule="auto"/>
              <w:jc w:val="center"/>
              <w:rPr>
                <w:rFonts w:ascii="Arial Narrow" w:hAnsi="Arial Narrow"/>
                <w:b/>
                <w:bCs/>
                <w:sz w:val="20"/>
                <w:szCs w:val="20"/>
              </w:rPr>
            </w:pPr>
            <w:r w:rsidRPr="007F78CE">
              <w:rPr>
                <w:rFonts w:ascii="Arial Narrow" w:hAnsi="Arial Narrow"/>
                <w:b/>
                <w:bCs/>
                <w:sz w:val="20"/>
                <w:szCs w:val="20"/>
              </w:rPr>
              <w:t>Réversibilité</w:t>
            </w:r>
          </w:p>
        </w:tc>
        <w:tc>
          <w:tcPr>
            <w:tcW w:w="1283" w:type="dxa"/>
            <w:shd w:val="clear" w:color="auto" w:fill="BFBFBF"/>
          </w:tcPr>
          <w:p w14:paraId="6BC20869" w14:textId="77777777" w:rsidR="009C36F0" w:rsidRPr="007F78CE" w:rsidRDefault="009C36F0" w:rsidP="00F00135">
            <w:pPr>
              <w:spacing w:after="0" w:line="240" w:lineRule="auto"/>
              <w:jc w:val="center"/>
              <w:rPr>
                <w:rFonts w:ascii="Arial Narrow" w:hAnsi="Arial Narrow"/>
                <w:b/>
                <w:bCs/>
                <w:sz w:val="20"/>
                <w:szCs w:val="20"/>
              </w:rPr>
            </w:pPr>
            <w:r w:rsidRPr="007F78CE">
              <w:rPr>
                <w:rFonts w:ascii="Arial Narrow" w:hAnsi="Arial Narrow"/>
                <w:b/>
                <w:bCs/>
                <w:sz w:val="20"/>
                <w:szCs w:val="20"/>
              </w:rPr>
              <w:t>Importance</w:t>
            </w:r>
          </w:p>
        </w:tc>
        <w:tc>
          <w:tcPr>
            <w:tcW w:w="850" w:type="dxa"/>
            <w:shd w:val="clear" w:color="auto" w:fill="BFBFBF"/>
          </w:tcPr>
          <w:p w14:paraId="0DC99D88" w14:textId="77777777" w:rsidR="009C36F0" w:rsidRPr="007F78CE" w:rsidRDefault="009C36F0" w:rsidP="00F00135">
            <w:pPr>
              <w:spacing w:after="0" w:line="240" w:lineRule="auto"/>
              <w:jc w:val="center"/>
              <w:rPr>
                <w:rFonts w:ascii="Arial Narrow" w:hAnsi="Arial Narrow"/>
                <w:b/>
                <w:bCs/>
                <w:sz w:val="20"/>
                <w:szCs w:val="20"/>
              </w:rPr>
            </w:pPr>
            <w:r>
              <w:rPr>
                <w:rFonts w:ascii="Arial Narrow" w:hAnsi="Arial Narrow"/>
                <w:b/>
                <w:bCs/>
                <w:sz w:val="20"/>
                <w:szCs w:val="20"/>
              </w:rPr>
              <w:t>Probabilité</w:t>
            </w:r>
          </w:p>
        </w:tc>
        <w:tc>
          <w:tcPr>
            <w:tcW w:w="850" w:type="dxa"/>
            <w:shd w:val="clear" w:color="auto" w:fill="BFBFBF"/>
          </w:tcPr>
          <w:p w14:paraId="0AAD27C7" w14:textId="77777777" w:rsidR="009C36F0" w:rsidRPr="007F78CE" w:rsidRDefault="009C36F0" w:rsidP="00F00135">
            <w:pPr>
              <w:spacing w:after="0" w:line="240" w:lineRule="auto"/>
              <w:jc w:val="center"/>
              <w:rPr>
                <w:rFonts w:ascii="Arial Narrow" w:hAnsi="Arial Narrow"/>
                <w:b/>
                <w:bCs/>
                <w:sz w:val="20"/>
                <w:szCs w:val="20"/>
              </w:rPr>
            </w:pPr>
            <w:r>
              <w:rPr>
                <w:rFonts w:ascii="Arial Narrow" w:hAnsi="Arial Narrow"/>
                <w:b/>
                <w:bCs/>
                <w:sz w:val="20"/>
                <w:szCs w:val="20"/>
              </w:rPr>
              <w:t>Risque</w:t>
            </w:r>
          </w:p>
        </w:tc>
      </w:tr>
      <w:tr w:rsidR="00345918" w:rsidRPr="007F78CE" w14:paraId="02AF582D" w14:textId="77777777" w:rsidTr="00FB04F6">
        <w:trPr>
          <w:jc w:val="center"/>
        </w:trPr>
        <w:tc>
          <w:tcPr>
            <w:tcW w:w="1785" w:type="dxa"/>
          </w:tcPr>
          <w:p w14:paraId="18BD76E4" w14:textId="77777777" w:rsidR="009C36F0" w:rsidRPr="007F78CE" w:rsidRDefault="009C36F0" w:rsidP="00345918">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52" w:type="dxa"/>
            <w:shd w:val="clear" w:color="auto" w:fill="auto"/>
          </w:tcPr>
          <w:p w14:paraId="3786BBC8" w14:textId="77777777" w:rsidR="009C36F0" w:rsidRPr="007F78CE" w:rsidRDefault="009C36F0" w:rsidP="00F00135">
            <w:pPr>
              <w:spacing w:after="0" w:line="240" w:lineRule="auto"/>
              <w:contextualSpacing/>
              <w:jc w:val="center"/>
              <w:rPr>
                <w:rFonts w:ascii="Arial Narrow" w:hAnsi="Arial Narrow" w:cs="Arial"/>
                <w:bCs/>
                <w:sz w:val="20"/>
                <w:szCs w:val="20"/>
              </w:rPr>
            </w:pPr>
            <w:r>
              <w:rPr>
                <w:rFonts w:ascii="Arial Narrow" w:hAnsi="Arial Narrow" w:cs="Arial"/>
                <w:sz w:val="20"/>
                <w:szCs w:val="20"/>
              </w:rPr>
              <w:t xml:space="preserve">Faible </w:t>
            </w:r>
          </w:p>
          <w:p w14:paraId="46DEAEEA" w14:textId="77777777" w:rsidR="009C36F0" w:rsidRPr="007F78CE" w:rsidRDefault="009C36F0" w:rsidP="00F00135">
            <w:pPr>
              <w:spacing w:after="0" w:line="240" w:lineRule="auto"/>
              <w:contextualSpacing/>
              <w:jc w:val="center"/>
              <w:rPr>
                <w:rFonts w:ascii="Arial Narrow" w:hAnsi="Arial Narrow" w:cs="Arial"/>
                <w:sz w:val="20"/>
                <w:szCs w:val="20"/>
              </w:rPr>
            </w:pPr>
            <w:r>
              <w:rPr>
                <w:rFonts w:ascii="Arial Narrow" w:hAnsi="Arial Narrow" w:cs="Arial"/>
                <w:sz w:val="20"/>
                <w:szCs w:val="20"/>
              </w:rPr>
              <w:t>(1</w:t>
            </w:r>
            <w:r w:rsidRPr="007F78CE">
              <w:rPr>
                <w:rFonts w:ascii="Arial Narrow" w:hAnsi="Arial Narrow" w:cs="Arial"/>
                <w:sz w:val="20"/>
                <w:szCs w:val="20"/>
              </w:rPr>
              <w:t>)</w:t>
            </w:r>
          </w:p>
        </w:tc>
        <w:tc>
          <w:tcPr>
            <w:tcW w:w="1021" w:type="dxa"/>
            <w:shd w:val="clear" w:color="auto" w:fill="auto"/>
          </w:tcPr>
          <w:p w14:paraId="67E916E1" w14:textId="77777777" w:rsidR="009C36F0" w:rsidRPr="007F78CE" w:rsidRDefault="009C36F0" w:rsidP="00F00135">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Ponctuelle  </w:t>
            </w:r>
          </w:p>
          <w:p w14:paraId="741FA7B4" w14:textId="77777777" w:rsidR="009C36F0" w:rsidRPr="007F78CE" w:rsidRDefault="009C36F0" w:rsidP="00315BB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927" w:type="dxa"/>
            <w:shd w:val="clear" w:color="auto" w:fill="auto"/>
          </w:tcPr>
          <w:p w14:paraId="7D7188CB" w14:textId="77777777" w:rsidR="009C36F0" w:rsidRPr="007F78CE" w:rsidRDefault="009C36F0" w:rsidP="00F00135">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Courte </w:t>
            </w:r>
          </w:p>
          <w:p w14:paraId="0799BCE0" w14:textId="77777777" w:rsidR="009C36F0" w:rsidRPr="007F78CE" w:rsidRDefault="009C36F0" w:rsidP="00F00135">
            <w:pPr>
              <w:spacing w:after="0" w:line="240" w:lineRule="auto"/>
              <w:contextualSpacing/>
              <w:jc w:val="center"/>
              <w:rPr>
                <w:rFonts w:ascii="Arial Narrow" w:hAnsi="Arial Narrow" w:cs="Arial"/>
                <w:sz w:val="20"/>
                <w:szCs w:val="20"/>
              </w:rPr>
            </w:pPr>
            <w:r>
              <w:rPr>
                <w:rFonts w:ascii="Arial Narrow" w:hAnsi="Arial Narrow" w:cs="Arial"/>
                <w:sz w:val="20"/>
                <w:szCs w:val="20"/>
              </w:rPr>
              <w:t>(1</w:t>
            </w:r>
            <w:r w:rsidRPr="007F78CE">
              <w:rPr>
                <w:rFonts w:ascii="Arial Narrow" w:hAnsi="Arial Narrow" w:cs="Arial"/>
                <w:sz w:val="20"/>
                <w:szCs w:val="20"/>
              </w:rPr>
              <w:t>)</w:t>
            </w:r>
          </w:p>
        </w:tc>
        <w:tc>
          <w:tcPr>
            <w:tcW w:w="1520" w:type="dxa"/>
            <w:shd w:val="clear" w:color="auto" w:fill="auto"/>
          </w:tcPr>
          <w:p w14:paraId="2FEF8ADC" w14:textId="77777777" w:rsidR="009C36F0" w:rsidRPr="007F78CE" w:rsidRDefault="009C36F0" w:rsidP="00F00135">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Réversible </w:t>
            </w:r>
          </w:p>
          <w:p w14:paraId="13AED737" w14:textId="77777777" w:rsidR="009C36F0" w:rsidRPr="007F78CE" w:rsidRDefault="009C36F0" w:rsidP="00315BB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1283" w:type="dxa"/>
            <w:shd w:val="clear" w:color="auto" w:fill="00B050"/>
          </w:tcPr>
          <w:p w14:paraId="358322C9" w14:textId="77777777" w:rsidR="009C36F0" w:rsidRPr="007F78CE" w:rsidRDefault="009C36F0" w:rsidP="00F00135">
            <w:pPr>
              <w:spacing w:after="0" w:line="240" w:lineRule="auto"/>
              <w:contextualSpacing/>
              <w:jc w:val="center"/>
              <w:rPr>
                <w:rFonts w:ascii="Arial Narrow" w:hAnsi="Arial Narrow" w:cs="Arial"/>
                <w:sz w:val="20"/>
                <w:szCs w:val="20"/>
              </w:rPr>
            </w:pPr>
            <w:r>
              <w:rPr>
                <w:rFonts w:ascii="Arial Narrow" w:hAnsi="Arial Narrow" w:cs="Arial"/>
                <w:sz w:val="20"/>
                <w:szCs w:val="20"/>
              </w:rPr>
              <w:t>Mineure</w:t>
            </w:r>
          </w:p>
          <w:p w14:paraId="02DA4FA4" w14:textId="77777777" w:rsidR="009C36F0" w:rsidRPr="007F78CE" w:rsidRDefault="009C36F0" w:rsidP="00315BB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4</w:t>
            </w:r>
            <w:r w:rsidRPr="007F78CE">
              <w:rPr>
                <w:rFonts w:ascii="Arial Narrow" w:hAnsi="Arial Narrow" w:cs="Arial"/>
                <w:sz w:val="20"/>
                <w:szCs w:val="20"/>
              </w:rPr>
              <w:t>)</w:t>
            </w:r>
          </w:p>
        </w:tc>
        <w:tc>
          <w:tcPr>
            <w:tcW w:w="850" w:type="dxa"/>
            <w:shd w:val="clear" w:color="auto" w:fill="auto"/>
          </w:tcPr>
          <w:p w14:paraId="0C2DF929" w14:textId="77777777" w:rsidR="009C36F0" w:rsidRDefault="009C36F0" w:rsidP="00F00135">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850" w:type="dxa"/>
            <w:shd w:val="clear" w:color="auto" w:fill="538135"/>
          </w:tcPr>
          <w:p w14:paraId="5ABC3E50" w14:textId="77777777" w:rsidR="009C36F0" w:rsidRDefault="009C36F0" w:rsidP="00F00135">
            <w:pPr>
              <w:spacing w:after="0" w:line="240" w:lineRule="auto"/>
              <w:contextualSpacing/>
              <w:jc w:val="center"/>
              <w:rPr>
                <w:rFonts w:ascii="Arial Narrow" w:hAnsi="Arial Narrow" w:cs="Arial"/>
                <w:sz w:val="20"/>
                <w:szCs w:val="20"/>
              </w:rPr>
            </w:pPr>
            <w:r>
              <w:rPr>
                <w:rFonts w:ascii="Arial Narrow" w:hAnsi="Arial Narrow" w:cs="Arial"/>
                <w:sz w:val="20"/>
                <w:szCs w:val="20"/>
              </w:rPr>
              <w:t>Très faible</w:t>
            </w:r>
          </w:p>
        </w:tc>
      </w:tr>
    </w:tbl>
    <w:p w14:paraId="1BD667BA" w14:textId="77777777" w:rsidR="00315BB9" w:rsidRPr="00B434A6" w:rsidRDefault="00315BB9" w:rsidP="00B434A6">
      <w:pPr>
        <w:spacing w:line="240" w:lineRule="auto"/>
        <w:jc w:val="both"/>
        <w:rPr>
          <w:rFonts w:ascii="Arial" w:hAnsi="Arial" w:cs="Arial"/>
        </w:rPr>
      </w:pPr>
    </w:p>
    <w:p w14:paraId="0B5618F4" w14:textId="77777777" w:rsidR="0090044A" w:rsidRPr="003444EC" w:rsidRDefault="0090044A" w:rsidP="00A31C26">
      <w:pPr>
        <w:pStyle w:val="Style9"/>
        <w:ind w:left="2856"/>
      </w:pPr>
      <w:r w:rsidRPr="003444EC">
        <w:t>Impact sur le milieu biologique</w:t>
      </w:r>
      <w:bookmarkEnd w:id="918"/>
    </w:p>
    <w:p w14:paraId="0107EC9C" w14:textId="77777777" w:rsidR="0090044A" w:rsidRPr="007F78CE" w:rsidRDefault="0090044A" w:rsidP="00687DD2">
      <w:pPr>
        <w:pStyle w:val="Titre5"/>
        <w:keepNext w:val="0"/>
        <w:keepLines w:val="0"/>
        <w:numPr>
          <w:ilvl w:val="0"/>
          <w:numId w:val="96"/>
        </w:numPr>
        <w:tabs>
          <w:tab w:val="left" w:pos="708"/>
        </w:tabs>
        <w:spacing w:before="280" w:after="280" w:line="240" w:lineRule="auto"/>
        <w:contextualSpacing/>
        <w:jc w:val="both"/>
        <w:rPr>
          <w:rFonts w:eastAsia="Calibri"/>
          <w:b/>
          <w:bCs/>
        </w:rPr>
      </w:pPr>
      <w:r w:rsidRPr="007F78CE">
        <w:rPr>
          <w:rFonts w:eastAsia="Calibri"/>
          <w:b/>
          <w:bCs/>
        </w:rPr>
        <w:t xml:space="preserve">Impact sur l’habitat et biodiversité </w:t>
      </w:r>
    </w:p>
    <w:p w14:paraId="280CD758" w14:textId="77777777" w:rsidR="0090044A" w:rsidRPr="008D2A01" w:rsidRDefault="0090044A" w:rsidP="008D2A01">
      <w:pPr>
        <w:spacing w:line="240" w:lineRule="auto"/>
        <w:jc w:val="both"/>
        <w:rPr>
          <w:rFonts w:ascii="Arial" w:hAnsi="Arial" w:cs="Arial"/>
        </w:rPr>
      </w:pPr>
      <w:r w:rsidRPr="008D2A01">
        <w:rPr>
          <w:rFonts w:ascii="Arial" w:hAnsi="Arial" w:cs="Arial"/>
        </w:rPr>
        <w:t>Le dégagement des emprises (débroussaillage, terrassements et éventuellement aménagement des accès) constitue l’impact le plus important sur le milieu biologique et donc sur les habitats naturels. De même que pour la construction de barrage de dérivation où une surface plus ou moins importante (en fonction de la puissance de production voulue) de la végétation sera inondé</w:t>
      </w:r>
      <w:r w:rsidR="00F5207D">
        <w:rPr>
          <w:rFonts w:ascii="Arial" w:hAnsi="Arial" w:cs="Arial"/>
        </w:rPr>
        <w:t>e</w:t>
      </w:r>
      <w:r w:rsidRPr="008D2A01">
        <w:rPr>
          <w:rFonts w:ascii="Arial" w:hAnsi="Arial" w:cs="Arial"/>
        </w:rPr>
        <w:t xml:space="preserve">. Il en résulte également une perte de la faune terrestre sur cette partie de terrain qui sera inondée. Ces impacts se manifestent par : </w:t>
      </w:r>
    </w:p>
    <w:p w14:paraId="0FAE0711" w14:textId="77777777" w:rsidR="0090044A" w:rsidRPr="008D2A01" w:rsidRDefault="0090044A" w:rsidP="00687DD2">
      <w:pPr>
        <w:numPr>
          <w:ilvl w:val="0"/>
          <w:numId w:val="88"/>
        </w:numPr>
        <w:spacing w:after="0" w:line="240" w:lineRule="auto"/>
        <w:contextualSpacing/>
        <w:jc w:val="both"/>
        <w:rPr>
          <w:rFonts w:ascii="Arial" w:hAnsi="Arial" w:cs="Arial"/>
        </w:rPr>
      </w:pPr>
      <w:r w:rsidRPr="008D2A01">
        <w:rPr>
          <w:rFonts w:ascii="Arial" w:hAnsi="Arial" w:cs="Arial"/>
        </w:rPr>
        <w:t>La disparition du couvert végétal existant</w:t>
      </w:r>
      <w:r w:rsidR="00F5207D">
        <w:rPr>
          <w:rFonts w:ascii="Arial" w:hAnsi="Arial" w:cs="Arial"/>
        </w:rPr>
        <w:t> ;</w:t>
      </w:r>
    </w:p>
    <w:p w14:paraId="2251C9B8" w14:textId="77777777" w:rsidR="0090044A" w:rsidRPr="008D2A01" w:rsidRDefault="0090044A" w:rsidP="00687DD2">
      <w:pPr>
        <w:numPr>
          <w:ilvl w:val="0"/>
          <w:numId w:val="88"/>
        </w:numPr>
        <w:spacing w:after="0" w:line="240" w:lineRule="auto"/>
        <w:contextualSpacing/>
        <w:jc w:val="both"/>
        <w:rPr>
          <w:rFonts w:ascii="Arial" w:hAnsi="Arial" w:cs="Arial"/>
        </w:rPr>
      </w:pPr>
      <w:r w:rsidRPr="008D2A01">
        <w:rPr>
          <w:rFonts w:ascii="Arial" w:hAnsi="Arial" w:cs="Arial"/>
        </w:rPr>
        <w:t>La destruction de l’habitat de certaines faunes</w:t>
      </w:r>
      <w:r w:rsidR="00F5207D">
        <w:rPr>
          <w:rFonts w:ascii="Arial" w:hAnsi="Arial" w:cs="Arial"/>
        </w:rPr>
        <w:t> ;</w:t>
      </w:r>
    </w:p>
    <w:p w14:paraId="36B44BF5" w14:textId="77777777" w:rsidR="0090044A" w:rsidRPr="008D2A01" w:rsidRDefault="0090044A" w:rsidP="00687DD2">
      <w:pPr>
        <w:numPr>
          <w:ilvl w:val="0"/>
          <w:numId w:val="88"/>
        </w:numPr>
        <w:spacing w:after="0" w:line="240" w:lineRule="auto"/>
        <w:contextualSpacing/>
        <w:jc w:val="both"/>
        <w:rPr>
          <w:rFonts w:ascii="Arial" w:hAnsi="Arial" w:cs="Arial"/>
        </w:rPr>
      </w:pPr>
      <w:r w:rsidRPr="008D2A01">
        <w:rPr>
          <w:rFonts w:ascii="Arial" w:hAnsi="Arial" w:cs="Arial"/>
        </w:rPr>
        <w:t>Les risques de perturbations temporaires de la faune due à l’activité intense de cette phase qui génère des émissions de poussières et des bruits,</w:t>
      </w:r>
    </w:p>
    <w:p w14:paraId="3DD2C95D" w14:textId="77777777" w:rsidR="00B6563D" w:rsidRDefault="00B6563D" w:rsidP="00F01166">
      <w:pPr>
        <w:spacing w:after="0" w:line="240" w:lineRule="auto"/>
        <w:jc w:val="both"/>
        <w:rPr>
          <w:rFonts w:ascii="Arial" w:hAnsi="Arial" w:cs="Arial"/>
        </w:rPr>
      </w:pPr>
    </w:p>
    <w:p w14:paraId="5A83BE5D" w14:textId="77777777" w:rsidR="00F5207D" w:rsidRDefault="00B6563D" w:rsidP="008D2A01">
      <w:pPr>
        <w:spacing w:line="240" w:lineRule="auto"/>
        <w:jc w:val="both"/>
        <w:rPr>
          <w:rFonts w:ascii="Arial" w:hAnsi="Arial" w:cs="Arial"/>
        </w:rPr>
      </w:pPr>
      <w:r>
        <w:rPr>
          <w:rFonts w:ascii="Arial" w:hAnsi="Arial" w:cs="Arial"/>
        </w:rPr>
        <w:t>Néanmoins, la zone d’emprise des différents sous projet</w:t>
      </w:r>
      <w:r w:rsidR="000B28BB">
        <w:rPr>
          <w:rFonts w:ascii="Arial" w:hAnsi="Arial" w:cs="Arial"/>
        </w:rPr>
        <w:t>s</w:t>
      </w:r>
      <w:r>
        <w:rPr>
          <w:rFonts w:ascii="Arial" w:hAnsi="Arial" w:cs="Arial"/>
        </w:rPr>
        <w:t xml:space="preserve"> à réaliser sont dans des habitats modifiées (cultures, ou végétation buissonnante) ou ouverts comme les savanes et sont constituées essentiellement par des espèces cosmopolites ou à large distribution. Le risque de disparition des espèces faunistiques ou floristique est peu probable. </w:t>
      </w:r>
    </w:p>
    <w:p w14:paraId="0B2ADDDD" w14:textId="77777777" w:rsidR="0090044A" w:rsidRPr="008D2A01" w:rsidRDefault="00B6563D" w:rsidP="008D2A01">
      <w:pPr>
        <w:spacing w:line="240" w:lineRule="auto"/>
        <w:jc w:val="both"/>
        <w:rPr>
          <w:rFonts w:ascii="Arial" w:hAnsi="Arial" w:cs="Arial"/>
        </w:rPr>
      </w:pPr>
      <w:r>
        <w:rPr>
          <w:rFonts w:ascii="Arial" w:hAnsi="Arial" w:cs="Arial"/>
        </w:rPr>
        <w:t xml:space="preserve">En somme, </w:t>
      </w:r>
      <w:r w:rsidR="000B28BB">
        <w:rPr>
          <w:rFonts w:ascii="Arial" w:hAnsi="Arial" w:cs="Arial"/>
        </w:rPr>
        <w:t>c</w:t>
      </w:r>
      <w:r w:rsidRPr="008D2A01">
        <w:rPr>
          <w:rFonts w:ascii="Arial" w:hAnsi="Arial" w:cs="Arial"/>
        </w:rPr>
        <w:t>es</w:t>
      </w:r>
      <w:r w:rsidR="0090044A" w:rsidRPr="008D2A01">
        <w:rPr>
          <w:rFonts w:ascii="Arial" w:hAnsi="Arial" w:cs="Arial"/>
        </w:rPr>
        <w:t xml:space="preserve"> impacts sont de faible intensité et se limitent au niveau des sites d’installation des infrastructures. Ainsi, son importance peut être évaluée comme « Mineure »</w:t>
      </w:r>
      <w:r w:rsidR="00F35414">
        <w:rPr>
          <w:rFonts w:ascii="Arial" w:hAnsi="Arial" w:cs="Arial"/>
        </w:rPr>
        <w:t xml:space="preserve"> </w:t>
      </w:r>
      <w:r w:rsidR="00B50DB4">
        <w:rPr>
          <w:rFonts w:ascii="Arial" w:hAnsi="Arial" w:cs="Arial"/>
        </w:rPr>
        <w:t xml:space="preserve">et le niveau de risque est considérée comme très faible </w:t>
      </w:r>
      <w:r w:rsidR="00F35414">
        <w:rPr>
          <w:rFonts w:ascii="Arial" w:hAnsi="Arial" w:cs="Arial"/>
        </w:rPr>
        <w:t>selon le tableau suivant</w:t>
      </w:r>
      <w:r w:rsidR="0090044A" w:rsidRPr="008D2A01">
        <w:rPr>
          <w:rFonts w:ascii="Arial" w:hAnsi="Arial" w:cs="Arial"/>
        </w:rPr>
        <w:t>.</w:t>
      </w:r>
    </w:p>
    <w:p w14:paraId="068E263B" w14:textId="77777777" w:rsidR="0090044A" w:rsidRPr="002E58DC" w:rsidRDefault="0090044A" w:rsidP="002E58DC">
      <w:pPr>
        <w:pStyle w:val="Lgende"/>
        <w:spacing w:before="120"/>
        <w:jc w:val="center"/>
        <w:rPr>
          <w:sz w:val="20"/>
        </w:rPr>
      </w:pPr>
      <w:bookmarkStart w:id="921" w:name="_Toc100753922"/>
      <w:bookmarkStart w:id="922" w:name="_Toc127957824"/>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28</w:t>
      </w:r>
      <w:r w:rsidRPr="002E58DC">
        <w:rPr>
          <w:sz w:val="20"/>
        </w:rPr>
        <w:fldChar w:fldCharType="end"/>
      </w:r>
      <w:r w:rsidRPr="002E58DC">
        <w:rPr>
          <w:sz w:val="20"/>
        </w:rPr>
        <w:t xml:space="preserve">. Evaluation </w:t>
      </w:r>
      <w:r w:rsidR="0015148E">
        <w:rPr>
          <w:sz w:val="20"/>
        </w:rPr>
        <w:t>de l</w:t>
      </w:r>
      <w:r w:rsidRPr="002E58DC">
        <w:rPr>
          <w:sz w:val="20"/>
        </w:rPr>
        <w:t>’impact – Destruction de la couverture végétale</w:t>
      </w:r>
      <w:bookmarkEnd w:id="921"/>
      <w:bookmarkEnd w:id="922"/>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039"/>
        <w:gridCol w:w="1082"/>
        <w:gridCol w:w="1005"/>
        <w:gridCol w:w="1323"/>
        <w:gridCol w:w="1267"/>
        <w:gridCol w:w="1064"/>
        <w:gridCol w:w="839"/>
        <w:tblGridChange w:id="923">
          <w:tblGrid>
            <w:gridCol w:w="1669"/>
            <w:gridCol w:w="1039"/>
            <w:gridCol w:w="1082"/>
            <w:gridCol w:w="1005"/>
            <w:gridCol w:w="1323"/>
            <w:gridCol w:w="1267"/>
            <w:gridCol w:w="1064"/>
            <w:gridCol w:w="839"/>
          </w:tblGrid>
        </w:tblGridChange>
      </w:tblGrid>
      <w:tr w:rsidR="00B50DB4" w:rsidRPr="007F78CE" w14:paraId="536362A1" w14:textId="77777777" w:rsidTr="00345918">
        <w:trPr>
          <w:jc w:val="center"/>
        </w:trPr>
        <w:tc>
          <w:tcPr>
            <w:tcW w:w="1669" w:type="dxa"/>
            <w:shd w:val="clear" w:color="auto" w:fill="BFBFBF"/>
          </w:tcPr>
          <w:p w14:paraId="165D48BA" w14:textId="77777777" w:rsidR="00B50DB4" w:rsidRPr="007F78CE" w:rsidRDefault="00B50DB4" w:rsidP="00B434A6">
            <w:pPr>
              <w:spacing w:after="0" w:line="240" w:lineRule="auto"/>
              <w:jc w:val="center"/>
              <w:rPr>
                <w:rFonts w:ascii="Arial Narrow" w:hAnsi="Arial Narrow"/>
                <w:b/>
                <w:bCs/>
                <w:sz w:val="20"/>
                <w:szCs w:val="20"/>
              </w:rPr>
            </w:pPr>
            <w:r>
              <w:rPr>
                <w:rFonts w:ascii="Arial Narrow" w:hAnsi="Arial Narrow"/>
                <w:b/>
                <w:bCs/>
                <w:sz w:val="20"/>
                <w:szCs w:val="20"/>
              </w:rPr>
              <w:t>Sous Projet</w:t>
            </w:r>
          </w:p>
        </w:tc>
        <w:tc>
          <w:tcPr>
            <w:tcW w:w="1039" w:type="dxa"/>
            <w:shd w:val="clear" w:color="auto" w:fill="BFBFBF"/>
          </w:tcPr>
          <w:p w14:paraId="13BBD041" w14:textId="77777777" w:rsidR="00B50DB4" w:rsidRPr="007F78CE" w:rsidRDefault="00B50DB4"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082" w:type="dxa"/>
            <w:shd w:val="clear" w:color="auto" w:fill="BFBFBF"/>
          </w:tcPr>
          <w:p w14:paraId="2731086F" w14:textId="77777777" w:rsidR="00B50DB4" w:rsidRPr="007F78CE" w:rsidRDefault="00B50DB4"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1005" w:type="dxa"/>
            <w:shd w:val="clear" w:color="auto" w:fill="BFBFBF"/>
          </w:tcPr>
          <w:p w14:paraId="1F1D545B" w14:textId="77777777" w:rsidR="00B50DB4" w:rsidRPr="007F78CE" w:rsidRDefault="00B50DB4"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323" w:type="dxa"/>
            <w:shd w:val="clear" w:color="auto" w:fill="BFBFBF"/>
          </w:tcPr>
          <w:p w14:paraId="4339EC38" w14:textId="77777777" w:rsidR="00B50DB4" w:rsidRPr="007F78CE" w:rsidRDefault="00B50DB4"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267" w:type="dxa"/>
            <w:shd w:val="clear" w:color="auto" w:fill="BFBFBF"/>
          </w:tcPr>
          <w:p w14:paraId="2027ECEC" w14:textId="77777777" w:rsidR="00B50DB4" w:rsidRPr="007F78CE" w:rsidRDefault="00B50DB4"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auto"/>
          </w:tcPr>
          <w:p w14:paraId="36B8E5A3" w14:textId="77777777" w:rsidR="00B50DB4" w:rsidRPr="007F78CE" w:rsidRDefault="00B50DB4"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839" w:type="dxa"/>
            <w:shd w:val="clear" w:color="auto" w:fill="auto"/>
          </w:tcPr>
          <w:p w14:paraId="6E4E7820" w14:textId="77777777" w:rsidR="00B50DB4" w:rsidRPr="007F78CE" w:rsidRDefault="00B50DB4" w:rsidP="007F78CE">
            <w:pPr>
              <w:spacing w:after="0" w:line="240" w:lineRule="auto"/>
              <w:rPr>
                <w:rFonts w:ascii="Arial Narrow" w:hAnsi="Arial Narrow"/>
                <w:b/>
                <w:bCs/>
                <w:sz w:val="20"/>
                <w:szCs w:val="20"/>
              </w:rPr>
            </w:pPr>
            <w:r>
              <w:rPr>
                <w:rFonts w:ascii="Arial Narrow" w:hAnsi="Arial Narrow"/>
                <w:b/>
                <w:bCs/>
                <w:sz w:val="20"/>
                <w:szCs w:val="20"/>
              </w:rPr>
              <w:t>Risque</w:t>
            </w:r>
          </w:p>
        </w:tc>
      </w:tr>
      <w:tr w:rsidR="00345918" w:rsidRPr="007F78CE" w14:paraId="15390AB5" w14:textId="77777777" w:rsidTr="00FB04F6">
        <w:trPr>
          <w:jc w:val="center"/>
        </w:trPr>
        <w:tc>
          <w:tcPr>
            <w:tcW w:w="1669" w:type="dxa"/>
          </w:tcPr>
          <w:p w14:paraId="26CB8FD5" w14:textId="77777777" w:rsidR="00B50DB4" w:rsidRPr="007F78CE" w:rsidRDefault="00B50DB4" w:rsidP="00B434A6">
            <w:pPr>
              <w:spacing w:after="0" w:line="240" w:lineRule="auto"/>
              <w:contextualSpacing/>
              <w:rPr>
                <w:rFonts w:ascii="Arial Narrow" w:hAnsi="Arial Narrow" w:cs="Arial"/>
                <w:sz w:val="20"/>
                <w:szCs w:val="20"/>
              </w:rPr>
            </w:pPr>
            <w:r>
              <w:rPr>
                <w:rFonts w:ascii="Arial Narrow" w:hAnsi="Arial Narrow" w:cs="Arial"/>
                <w:sz w:val="20"/>
                <w:szCs w:val="20"/>
              </w:rPr>
              <w:t>Infrastructure numérique</w:t>
            </w:r>
          </w:p>
        </w:tc>
        <w:tc>
          <w:tcPr>
            <w:tcW w:w="1039" w:type="dxa"/>
            <w:shd w:val="clear" w:color="auto" w:fill="auto"/>
          </w:tcPr>
          <w:p w14:paraId="6A59B3F2" w14:textId="77777777" w:rsidR="00B50DB4" w:rsidRPr="007F78CE" w:rsidRDefault="00B50DB4"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0E593564" w14:textId="77777777" w:rsidR="00B50DB4" w:rsidRPr="007F78CE" w:rsidRDefault="00B50D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82" w:type="dxa"/>
            <w:shd w:val="clear" w:color="auto" w:fill="auto"/>
          </w:tcPr>
          <w:p w14:paraId="0F61F514" w14:textId="77777777" w:rsidR="00B50DB4" w:rsidRPr="007F78CE" w:rsidRDefault="00B50D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3C03B923" w14:textId="77777777" w:rsidR="00B50DB4" w:rsidRPr="007F78CE" w:rsidRDefault="00B50D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05" w:type="dxa"/>
            <w:shd w:val="clear" w:color="auto" w:fill="auto"/>
          </w:tcPr>
          <w:p w14:paraId="75E24861" w14:textId="77777777" w:rsidR="00B50DB4" w:rsidRPr="007F78CE" w:rsidRDefault="00B50D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04FFBB2F" w14:textId="77777777" w:rsidR="00B50DB4" w:rsidRPr="007F78CE" w:rsidRDefault="00B50D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323" w:type="dxa"/>
            <w:shd w:val="clear" w:color="auto" w:fill="auto"/>
          </w:tcPr>
          <w:p w14:paraId="61BCBCFC" w14:textId="77777777" w:rsidR="00B50DB4" w:rsidRPr="007F78CE" w:rsidRDefault="00B50D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20AAF141" w14:textId="77777777" w:rsidR="00B50DB4" w:rsidRPr="007F78CE" w:rsidRDefault="00B50D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67" w:type="dxa"/>
            <w:shd w:val="clear" w:color="auto" w:fill="00B050"/>
          </w:tcPr>
          <w:p w14:paraId="58F61F0E" w14:textId="77777777" w:rsidR="00B50DB4" w:rsidRPr="007F78CE" w:rsidRDefault="00B50D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7512511F" w14:textId="77777777" w:rsidR="00B50DB4" w:rsidRPr="007F78CE" w:rsidRDefault="00B50D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vAlign w:val="center"/>
          </w:tcPr>
          <w:p w14:paraId="5ABF07D3" w14:textId="77777777" w:rsidR="00B50DB4" w:rsidRPr="007F78CE" w:rsidRDefault="00B50DB4" w:rsidP="00B50DB4">
            <w:pPr>
              <w:spacing w:after="0" w:line="240" w:lineRule="auto"/>
              <w:contextualSpacing/>
              <w:jc w:val="center"/>
              <w:rPr>
                <w:rFonts w:ascii="Arial Narrow" w:hAnsi="Arial Narrow" w:cs="Arial"/>
                <w:sz w:val="20"/>
                <w:szCs w:val="20"/>
              </w:rPr>
            </w:pPr>
            <w:r w:rsidRPr="000E56E9">
              <w:rPr>
                <w:rFonts w:ascii="Arial Narrow" w:hAnsi="Arial Narrow" w:cs="Arial"/>
                <w:sz w:val="20"/>
                <w:szCs w:val="20"/>
              </w:rPr>
              <w:t>Faible</w:t>
            </w:r>
          </w:p>
        </w:tc>
        <w:tc>
          <w:tcPr>
            <w:tcW w:w="839" w:type="dxa"/>
            <w:shd w:val="clear" w:color="auto" w:fill="538135"/>
          </w:tcPr>
          <w:p w14:paraId="6D9C0357" w14:textId="77777777" w:rsidR="00B50DB4" w:rsidRPr="007F78CE" w:rsidRDefault="00B50DB4" w:rsidP="007F78CE">
            <w:pPr>
              <w:spacing w:after="0" w:line="240" w:lineRule="auto"/>
              <w:contextualSpacing/>
              <w:jc w:val="center"/>
              <w:rPr>
                <w:rFonts w:ascii="Arial Narrow" w:hAnsi="Arial Narrow" w:cs="Arial"/>
                <w:sz w:val="20"/>
                <w:szCs w:val="20"/>
              </w:rPr>
            </w:pPr>
            <w:r w:rsidRPr="00B87637">
              <w:rPr>
                <w:rFonts w:ascii="Arial Narrow" w:hAnsi="Arial Narrow" w:cs="Arial"/>
                <w:sz w:val="20"/>
                <w:szCs w:val="20"/>
              </w:rPr>
              <w:t>Très faible</w:t>
            </w:r>
          </w:p>
        </w:tc>
      </w:tr>
      <w:tr w:rsidR="00345918" w:rsidRPr="007F78CE" w14:paraId="7FEA85C2" w14:textId="77777777" w:rsidTr="00FB04F6">
        <w:trPr>
          <w:jc w:val="center"/>
        </w:trPr>
        <w:tc>
          <w:tcPr>
            <w:tcW w:w="1669" w:type="dxa"/>
          </w:tcPr>
          <w:p w14:paraId="485C7D06" w14:textId="77777777" w:rsidR="00B50DB4" w:rsidRPr="007F78CE" w:rsidRDefault="00B50DB4" w:rsidP="00B434A6">
            <w:pPr>
              <w:spacing w:after="0" w:line="240" w:lineRule="auto"/>
              <w:contextualSpacing/>
              <w:rPr>
                <w:rFonts w:ascii="Arial Narrow" w:hAnsi="Arial Narrow" w:cs="Arial"/>
                <w:sz w:val="20"/>
                <w:szCs w:val="20"/>
              </w:rPr>
            </w:pPr>
            <w:r>
              <w:rPr>
                <w:rFonts w:ascii="Arial Narrow" w:hAnsi="Arial Narrow" w:cs="Arial"/>
                <w:sz w:val="20"/>
                <w:szCs w:val="20"/>
              </w:rPr>
              <w:t>Centrale électrique solaire</w:t>
            </w:r>
          </w:p>
        </w:tc>
        <w:tc>
          <w:tcPr>
            <w:tcW w:w="1039" w:type="dxa"/>
            <w:shd w:val="clear" w:color="auto" w:fill="auto"/>
          </w:tcPr>
          <w:p w14:paraId="1F351CA8" w14:textId="77777777" w:rsidR="00B50DB4" w:rsidRPr="007F78CE" w:rsidRDefault="00B50DB4" w:rsidP="00F00135">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53992BD3" w14:textId="77777777" w:rsidR="00B50DB4" w:rsidRPr="007F78CE" w:rsidRDefault="00B50D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82" w:type="dxa"/>
            <w:shd w:val="clear" w:color="auto" w:fill="auto"/>
          </w:tcPr>
          <w:p w14:paraId="363332D7" w14:textId="77777777" w:rsidR="00B50DB4" w:rsidRPr="007F78CE" w:rsidRDefault="00B50DB4"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65323F3D" w14:textId="77777777" w:rsidR="00B50DB4" w:rsidRPr="007F78CE" w:rsidRDefault="00B50D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05" w:type="dxa"/>
            <w:shd w:val="clear" w:color="auto" w:fill="auto"/>
          </w:tcPr>
          <w:p w14:paraId="53B0FEE5" w14:textId="77777777" w:rsidR="00B50DB4" w:rsidRPr="007F78CE" w:rsidRDefault="00B50DB4"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482F7B12" w14:textId="77777777" w:rsidR="00B50DB4" w:rsidRPr="007F78CE" w:rsidRDefault="00B50D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323" w:type="dxa"/>
            <w:shd w:val="clear" w:color="auto" w:fill="auto"/>
          </w:tcPr>
          <w:p w14:paraId="6091403F" w14:textId="77777777" w:rsidR="00B50DB4" w:rsidRPr="007F78CE" w:rsidRDefault="00B50DB4"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3F5AA181" w14:textId="77777777" w:rsidR="00B50DB4" w:rsidRPr="007F78CE" w:rsidRDefault="00B50D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67" w:type="dxa"/>
            <w:shd w:val="clear" w:color="auto" w:fill="00B050"/>
          </w:tcPr>
          <w:p w14:paraId="12F2ABEE" w14:textId="77777777" w:rsidR="00B50DB4" w:rsidRPr="007F78CE" w:rsidRDefault="00B50DB4"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02BA89AE" w14:textId="77777777" w:rsidR="00B50DB4" w:rsidRPr="007F78CE" w:rsidRDefault="00B50D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vAlign w:val="center"/>
          </w:tcPr>
          <w:p w14:paraId="49407EE0" w14:textId="77777777" w:rsidR="00B50DB4" w:rsidRPr="007F78CE" w:rsidRDefault="00B50DB4" w:rsidP="00B50DB4">
            <w:pPr>
              <w:spacing w:after="0" w:line="240" w:lineRule="auto"/>
              <w:contextualSpacing/>
              <w:jc w:val="center"/>
              <w:rPr>
                <w:rFonts w:ascii="Arial Narrow" w:hAnsi="Arial Narrow" w:cs="Arial"/>
                <w:sz w:val="20"/>
                <w:szCs w:val="20"/>
              </w:rPr>
            </w:pPr>
            <w:r w:rsidRPr="000E56E9">
              <w:rPr>
                <w:rFonts w:ascii="Arial Narrow" w:hAnsi="Arial Narrow" w:cs="Arial"/>
                <w:sz w:val="20"/>
                <w:szCs w:val="20"/>
              </w:rPr>
              <w:t>Faible</w:t>
            </w:r>
          </w:p>
        </w:tc>
        <w:tc>
          <w:tcPr>
            <w:tcW w:w="839" w:type="dxa"/>
            <w:shd w:val="clear" w:color="auto" w:fill="538135"/>
          </w:tcPr>
          <w:p w14:paraId="4A5026BA" w14:textId="77777777" w:rsidR="00B50DB4" w:rsidRPr="007F78CE" w:rsidRDefault="00B50DB4" w:rsidP="00F00135">
            <w:pPr>
              <w:spacing w:after="0" w:line="240" w:lineRule="auto"/>
              <w:contextualSpacing/>
              <w:jc w:val="center"/>
              <w:rPr>
                <w:rFonts w:ascii="Arial Narrow" w:hAnsi="Arial Narrow" w:cs="Arial"/>
                <w:sz w:val="20"/>
                <w:szCs w:val="20"/>
              </w:rPr>
            </w:pPr>
            <w:r w:rsidRPr="00B87637">
              <w:rPr>
                <w:rFonts w:ascii="Arial Narrow" w:hAnsi="Arial Narrow" w:cs="Arial"/>
                <w:sz w:val="20"/>
                <w:szCs w:val="20"/>
              </w:rPr>
              <w:t>Très faible</w:t>
            </w:r>
          </w:p>
        </w:tc>
      </w:tr>
      <w:tr w:rsidR="00345918" w:rsidRPr="007F78CE" w14:paraId="2567D881" w14:textId="77777777" w:rsidTr="00FB04F6">
        <w:trPr>
          <w:jc w:val="center"/>
        </w:trPr>
        <w:tc>
          <w:tcPr>
            <w:tcW w:w="1669" w:type="dxa"/>
          </w:tcPr>
          <w:p w14:paraId="631A5BA9" w14:textId="77777777" w:rsidR="00B50DB4" w:rsidRPr="007F78CE" w:rsidRDefault="00B50DB4" w:rsidP="00B434A6">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39" w:type="dxa"/>
            <w:shd w:val="clear" w:color="auto" w:fill="auto"/>
          </w:tcPr>
          <w:p w14:paraId="053B49B9" w14:textId="77777777" w:rsidR="00B50DB4" w:rsidRPr="007F78CE" w:rsidRDefault="00B50DB4" w:rsidP="001C596F">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4E880431" w14:textId="77777777" w:rsidR="00B50DB4" w:rsidRPr="007F78CE" w:rsidRDefault="00B50DB4" w:rsidP="00B434A6">
            <w:pPr>
              <w:tabs>
                <w:tab w:val="left" w:pos="1021"/>
              </w:tabs>
              <w:spacing w:after="0" w:line="240" w:lineRule="auto"/>
              <w:contextualSpacing/>
              <w:jc w:val="center"/>
              <w:rPr>
                <w:rFonts w:ascii="Arial Narrow" w:eastAsia="Times New Roman" w:hAnsi="Arial Narrow" w:cs="Arial"/>
                <w:b/>
                <w:smallCaps/>
                <w:color w:val="000000"/>
                <w:sz w:val="20"/>
                <w:szCs w:val="20"/>
              </w:rPr>
            </w:pPr>
            <w:r w:rsidRPr="007F78CE">
              <w:rPr>
                <w:rFonts w:ascii="Arial Narrow" w:hAnsi="Arial Narrow" w:cs="Arial"/>
                <w:sz w:val="20"/>
                <w:szCs w:val="20"/>
              </w:rPr>
              <w:t>(1)</w:t>
            </w:r>
          </w:p>
        </w:tc>
        <w:tc>
          <w:tcPr>
            <w:tcW w:w="1082" w:type="dxa"/>
            <w:shd w:val="clear" w:color="auto" w:fill="auto"/>
          </w:tcPr>
          <w:p w14:paraId="5315984D" w14:textId="77777777" w:rsidR="00B50DB4" w:rsidRPr="007F78CE" w:rsidRDefault="00B50DB4" w:rsidP="001C596F">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7E80AD44" w14:textId="77777777" w:rsidR="00B50DB4" w:rsidRPr="007F78CE" w:rsidRDefault="00B50DB4" w:rsidP="00AE1CAB">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05" w:type="dxa"/>
            <w:shd w:val="clear" w:color="auto" w:fill="auto"/>
          </w:tcPr>
          <w:p w14:paraId="29840E1A" w14:textId="77777777" w:rsidR="00B50DB4" w:rsidRPr="007F78CE" w:rsidRDefault="00B50DB4" w:rsidP="00315BB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4A1DD3C9" w14:textId="77777777" w:rsidR="00B50DB4" w:rsidRPr="007F78CE" w:rsidRDefault="00B50DB4" w:rsidP="00B02B3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323" w:type="dxa"/>
            <w:shd w:val="clear" w:color="auto" w:fill="auto"/>
          </w:tcPr>
          <w:p w14:paraId="7552A5C6" w14:textId="77777777" w:rsidR="00B50DB4" w:rsidRPr="007F78CE" w:rsidRDefault="00B50DB4" w:rsidP="00B02B3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7EAEA260" w14:textId="77777777" w:rsidR="00B50DB4" w:rsidRPr="007F78CE" w:rsidRDefault="00B50DB4" w:rsidP="0015148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67" w:type="dxa"/>
            <w:shd w:val="clear" w:color="auto" w:fill="00B050"/>
          </w:tcPr>
          <w:p w14:paraId="0C982A0D" w14:textId="77777777" w:rsidR="00B50DB4" w:rsidRPr="007F78CE" w:rsidRDefault="00B50DB4" w:rsidP="00CE0B6B">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4491DADC" w14:textId="77777777" w:rsidR="00B50DB4" w:rsidRPr="007F78CE" w:rsidRDefault="00B50DB4" w:rsidP="00CE0B6B">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vAlign w:val="center"/>
          </w:tcPr>
          <w:p w14:paraId="2A861539" w14:textId="77777777" w:rsidR="00B50DB4" w:rsidRPr="007F78CE" w:rsidRDefault="00B50DB4" w:rsidP="00B50DB4">
            <w:pPr>
              <w:spacing w:after="0" w:line="240" w:lineRule="auto"/>
              <w:contextualSpacing/>
              <w:jc w:val="center"/>
              <w:rPr>
                <w:rFonts w:ascii="Arial Narrow" w:hAnsi="Arial Narrow" w:cs="Arial"/>
                <w:sz w:val="20"/>
                <w:szCs w:val="20"/>
              </w:rPr>
            </w:pPr>
            <w:r w:rsidRPr="000E56E9">
              <w:rPr>
                <w:rFonts w:ascii="Arial Narrow" w:hAnsi="Arial Narrow" w:cs="Arial"/>
                <w:sz w:val="20"/>
                <w:szCs w:val="20"/>
              </w:rPr>
              <w:t>Faible</w:t>
            </w:r>
          </w:p>
        </w:tc>
        <w:tc>
          <w:tcPr>
            <w:tcW w:w="839" w:type="dxa"/>
            <w:shd w:val="clear" w:color="auto" w:fill="538135"/>
          </w:tcPr>
          <w:p w14:paraId="74E8E360" w14:textId="77777777" w:rsidR="00B50DB4" w:rsidRPr="007F78CE" w:rsidRDefault="00B50DB4" w:rsidP="00CE0B6B">
            <w:pPr>
              <w:spacing w:after="0" w:line="240" w:lineRule="auto"/>
              <w:contextualSpacing/>
              <w:jc w:val="center"/>
              <w:rPr>
                <w:rFonts w:ascii="Arial Narrow" w:hAnsi="Arial Narrow" w:cs="Arial"/>
                <w:sz w:val="20"/>
                <w:szCs w:val="20"/>
              </w:rPr>
            </w:pPr>
            <w:r w:rsidRPr="00B87637">
              <w:rPr>
                <w:rFonts w:ascii="Arial Narrow" w:hAnsi="Arial Narrow" w:cs="Arial"/>
                <w:sz w:val="20"/>
                <w:szCs w:val="20"/>
              </w:rPr>
              <w:t>Très faible</w:t>
            </w:r>
          </w:p>
        </w:tc>
      </w:tr>
      <w:tr w:rsidR="00345918" w:rsidRPr="007F78CE" w14:paraId="5DA48B71" w14:textId="77777777" w:rsidTr="00FB04F6">
        <w:trPr>
          <w:jc w:val="center"/>
        </w:trPr>
        <w:tc>
          <w:tcPr>
            <w:tcW w:w="1669" w:type="dxa"/>
          </w:tcPr>
          <w:p w14:paraId="1BE9A5CE" w14:textId="77777777" w:rsidR="00B50DB4" w:rsidRDefault="00B50DB4" w:rsidP="001C596F">
            <w:pPr>
              <w:spacing w:after="0" w:line="240" w:lineRule="auto"/>
              <w:contextualSpacing/>
              <w:rPr>
                <w:rFonts w:ascii="Arial Narrow" w:hAnsi="Arial Narrow" w:cs="Arial"/>
                <w:sz w:val="20"/>
                <w:szCs w:val="20"/>
              </w:rPr>
            </w:pPr>
            <w:r>
              <w:rPr>
                <w:rFonts w:ascii="Arial Narrow" w:hAnsi="Arial Narrow" w:cs="Arial"/>
                <w:sz w:val="20"/>
                <w:szCs w:val="20"/>
              </w:rPr>
              <w:t xml:space="preserve">Réseau électrique </w:t>
            </w:r>
          </w:p>
        </w:tc>
        <w:tc>
          <w:tcPr>
            <w:tcW w:w="1039" w:type="dxa"/>
            <w:shd w:val="clear" w:color="auto" w:fill="auto"/>
          </w:tcPr>
          <w:p w14:paraId="6D8A9A9D" w14:textId="77777777" w:rsidR="00B50DB4" w:rsidRPr="007F78CE" w:rsidRDefault="00B50DB4" w:rsidP="00296692">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795A5D83" w14:textId="77777777" w:rsidR="00B50DB4" w:rsidRPr="007F78CE" w:rsidRDefault="00B50DB4" w:rsidP="001C596F">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82" w:type="dxa"/>
            <w:shd w:val="clear" w:color="auto" w:fill="auto"/>
          </w:tcPr>
          <w:p w14:paraId="1AC25AC3" w14:textId="77777777" w:rsidR="00B50DB4" w:rsidRPr="007F78CE" w:rsidRDefault="00B50DB4"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2D209B2C" w14:textId="77777777" w:rsidR="00B50DB4" w:rsidRPr="007F78CE" w:rsidRDefault="00B50DB4" w:rsidP="001C596F">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05" w:type="dxa"/>
            <w:shd w:val="clear" w:color="auto" w:fill="auto"/>
          </w:tcPr>
          <w:p w14:paraId="56EDA087" w14:textId="77777777" w:rsidR="00B50DB4" w:rsidRPr="007F78CE" w:rsidRDefault="00B50DB4"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75344810" w14:textId="77777777" w:rsidR="00B50DB4" w:rsidRPr="007F78CE" w:rsidRDefault="00B50DB4" w:rsidP="00315BB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323" w:type="dxa"/>
            <w:shd w:val="clear" w:color="auto" w:fill="auto"/>
          </w:tcPr>
          <w:p w14:paraId="71BD72AA" w14:textId="77777777" w:rsidR="00B50DB4" w:rsidRPr="007F78CE" w:rsidRDefault="00B50DB4"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0BE4D07B" w14:textId="77777777" w:rsidR="00B50DB4" w:rsidRPr="007F78CE" w:rsidRDefault="00B50DB4" w:rsidP="00B02B3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67" w:type="dxa"/>
            <w:shd w:val="clear" w:color="auto" w:fill="00B050"/>
          </w:tcPr>
          <w:p w14:paraId="641EC7BD" w14:textId="77777777" w:rsidR="00B50DB4" w:rsidRPr="007F78CE" w:rsidRDefault="00B50DB4"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0BE17B53" w14:textId="77777777" w:rsidR="00B50DB4" w:rsidRPr="007F78CE" w:rsidRDefault="00B50DB4" w:rsidP="00CE0B6B">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vAlign w:val="center"/>
          </w:tcPr>
          <w:p w14:paraId="6444D493" w14:textId="77777777" w:rsidR="00B50DB4" w:rsidRPr="007F78CE" w:rsidRDefault="00B50DB4" w:rsidP="00B50DB4">
            <w:pPr>
              <w:spacing w:after="0" w:line="240" w:lineRule="auto"/>
              <w:contextualSpacing/>
              <w:jc w:val="center"/>
              <w:rPr>
                <w:rFonts w:ascii="Arial Narrow" w:hAnsi="Arial Narrow" w:cs="Arial"/>
                <w:sz w:val="20"/>
                <w:szCs w:val="20"/>
              </w:rPr>
            </w:pPr>
            <w:r w:rsidRPr="000E56E9">
              <w:rPr>
                <w:rFonts w:ascii="Arial Narrow" w:hAnsi="Arial Narrow" w:cs="Arial"/>
                <w:sz w:val="20"/>
                <w:szCs w:val="20"/>
              </w:rPr>
              <w:t>Faible</w:t>
            </w:r>
          </w:p>
        </w:tc>
        <w:tc>
          <w:tcPr>
            <w:tcW w:w="839" w:type="dxa"/>
            <w:shd w:val="clear" w:color="auto" w:fill="538135"/>
          </w:tcPr>
          <w:p w14:paraId="3F9BF8CC" w14:textId="77777777" w:rsidR="00B50DB4" w:rsidRPr="007F78CE" w:rsidRDefault="00B50DB4" w:rsidP="00296692">
            <w:pPr>
              <w:spacing w:after="0" w:line="240" w:lineRule="auto"/>
              <w:contextualSpacing/>
              <w:jc w:val="center"/>
              <w:rPr>
                <w:rFonts w:ascii="Arial Narrow" w:hAnsi="Arial Narrow" w:cs="Arial"/>
                <w:sz w:val="20"/>
                <w:szCs w:val="20"/>
              </w:rPr>
            </w:pPr>
            <w:r w:rsidRPr="00B87637">
              <w:rPr>
                <w:rFonts w:ascii="Arial Narrow" w:hAnsi="Arial Narrow" w:cs="Arial"/>
                <w:sz w:val="20"/>
                <w:szCs w:val="20"/>
              </w:rPr>
              <w:t>Très faible</w:t>
            </w:r>
          </w:p>
        </w:tc>
      </w:tr>
      <w:tr w:rsidR="001716F8" w:rsidRPr="007F78CE" w14:paraId="7DBC4C29" w14:textId="77777777" w:rsidTr="00FB04F6">
        <w:trPr>
          <w:jc w:val="center"/>
        </w:trPr>
        <w:tc>
          <w:tcPr>
            <w:tcW w:w="1669" w:type="dxa"/>
          </w:tcPr>
          <w:p w14:paraId="0C864605" w14:textId="77777777" w:rsidR="001716F8" w:rsidRDefault="001716F8" w:rsidP="001C596F">
            <w:pPr>
              <w:spacing w:after="0" w:line="240" w:lineRule="auto"/>
              <w:contextualSpacing/>
              <w:rPr>
                <w:rFonts w:ascii="Arial Narrow" w:hAnsi="Arial Narrow" w:cs="Arial"/>
                <w:sz w:val="20"/>
                <w:szCs w:val="20"/>
              </w:rPr>
            </w:pPr>
            <w:r>
              <w:rPr>
                <w:rFonts w:ascii="Arial Narrow" w:hAnsi="Arial Narrow" w:cs="Arial"/>
                <w:sz w:val="20"/>
                <w:szCs w:val="20"/>
              </w:rPr>
              <w:t>Impact cumulé</w:t>
            </w:r>
          </w:p>
        </w:tc>
        <w:tc>
          <w:tcPr>
            <w:tcW w:w="1039" w:type="dxa"/>
            <w:shd w:val="clear" w:color="auto" w:fill="auto"/>
          </w:tcPr>
          <w:p w14:paraId="1638EABC" w14:textId="77777777" w:rsidR="001716F8" w:rsidRPr="007F78CE" w:rsidRDefault="001716F8" w:rsidP="00D70FB3">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2091FBA0"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82" w:type="dxa"/>
            <w:shd w:val="clear" w:color="auto" w:fill="auto"/>
          </w:tcPr>
          <w:p w14:paraId="1B6EEDFD"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09ACB39E"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05" w:type="dxa"/>
            <w:shd w:val="clear" w:color="auto" w:fill="auto"/>
          </w:tcPr>
          <w:p w14:paraId="41736A6C"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03C689A7"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323" w:type="dxa"/>
            <w:shd w:val="clear" w:color="auto" w:fill="auto"/>
          </w:tcPr>
          <w:p w14:paraId="729B8C07"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5457E9DE"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67" w:type="dxa"/>
            <w:shd w:val="clear" w:color="auto" w:fill="00B050"/>
          </w:tcPr>
          <w:p w14:paraId="4BB3D745"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4D5641F1"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vAlign w:val="center"/>
          </w:tcPr>
          <w:p w14:paraId="012C8628" w14:textId="77777777" w:rsidR="001716F8" w:rsidRPr="000E56E9" w:rsidRDefault="001716F8" w:rsidP="00B50DB4">
            <w:pPr>
              <w:spacing w:after="0" w:line="240" w:lineRule="auto"/>
              <w:contextualSpacing/>
              <w:jc w:val="center"/>
              <w:rPr>
                <w:rFonts w:ascii="Arial Narrow" w:hAnsi="Arial Narrow" w:cs="Arial"/>
                <w:sz w:val="20"/>
                <w:szCs w:val="20"/>
              </w:rPr>
            </w:pPr>
            <w:r w:rsidRPr="000E56E9">
              <w:rPr>
                <w:rFonts w:ascii="Arial Narrow" w:hAnsi="Arial Narrow" w:cs="Arial"/>
                <w:sz w:val="20"/>
                <w:szCs w:val="20"/>
              </w:rPr>
              <w:t>Faible</w:t>
            </w:r>
          </w:p>
        </w:tc>
        <w:tc>
          <w:tcPr>
            <w:tcW w:w="839" w:type="dxa"/>
            <w:shd w:val="clear" w:color="auto" w:fill="538135"/>
          </w:tcPr>
          <w:p w14:paraId="24236A93" w14:textId="77777777" w:rsidR="001716F8" w:rsidRPr="00B87637" w:rsidRDefault="001716F8" w:rsidP="00296692">
            <w:pPr>
              <w:spacing w:after="0" w:line="240" w:lineRule="auto"/>
              <w:contextualSpacing/>
              <w:jc w:val="center"/>
              <w:rPr>
                <w:rFonts w:ascii="Arial Narrow" w:hAnsi="Arial Narrow" w:cs="Arial"/>
                <w:sz w:val="20"/>
                <w:szCs w:val="20"/>
              </w:rPr>
            </w:pPr>
            <w:r w:rsidRPr="00B87637">
              <w:rPr>
                <w:rFonts w:ascii="Arial Narrow" w:hAnsi="Arial Narrow" w:cs="Arial"/>
                <w:sz w:val="20"/>
                <w:szCs w:val="20"/>
              </w:rPr>
              <w:t>Très faible</w:t>
            </w:r>
          </w:p>
        </w:tc>
      </w:tr>
    </w:tbl>
    <w:p w14:paraId="3BC2C688" w14:textId="77777777" w:rsidR="0090044A" w:rsidRPr="00D733FF" w:rsidRDefault="001C13CC" w:rsidP="00687DD2">
      <w:pPr>
        <w:pStyle w:val="Normal12"/>
        <w:numPr>
          <w:ilvl w:val="0"/>
          <w:numId w:val="85"/>
        </w:numPr>
        <w:spacing w:before="100" w:beforeAutospacing="1" w:after="100" w:afterAutospacing="1"/>
        <w:ind w:left="1077" w:hanging="357"/>
        <w:contextualSpacing/>
        <w:rPr>
          <w:i/>
          <w:iCs/>
          <w:lang w:val="fr-FR"/>
        </w:rPr>
      </w:pPr>
      <w:r>
        <w:rPr>
          <w:i/>
          <w:iCs/>
          <w:lang w:val="fr-FR"/>
        </w:rPr>
        <w:t>Diminution des ressources ligneuses</w:t>
      </w:r>
    </w:p>
    <w:p w14:paraId="3A47146A" w14:textId="77777777" w:rsidR="0090044A" w:rsidRDefault="0090044A" w:rsidP="00345918">
      <w:pPr>
        <w:spacing w:after="0" w:line="240" w:lineRule="auto"/>
        <w:jc w:val="both"/>
        <w:rPr>
          <w:rFonts w:ascii="Arial" w:hAnsi="Arial" w:cs="Arial"/>
        </w:rPr>
      </w:pPr>
      <w:r w:rsidRPr="00742D67">
        <w:rPr>
          <w:rFonts w:ascii="Arial" w:hAnsi="Arial" w:cs="Arial"/>
        </w:rPr>
        <w:t>Le fonctionnement de la base vie, particulièrement pour la cuisine des ouvriers présentera une demande en bois</w:t>
      </w:r>
      <w:r w:rsidR="0002275A" w:rsidRPr="00742D67">
        <w:rPr>
          <w:rFonts w:ascii="Arial" w:hAnsi="Arial" w:cs="Arial"/>
        </w:rPr>
        <w:t xml:space="preserve"> de chauffe</w:t>
      </w:r>
      <w:r w:rsidRPr="00742D67">
        <w:rPr>
          <w:rFonts w:ascii="Arial" w:hAnsi="Arial" w:cs="Arial"/>
        </w:rPr>
        <w:t xml:space="preserve">. </w:t>
      </w:r>
      <w:r w:rsidR="001C596F" w:rsidRPr="00742D67">
        <w:rPr>
          <w:rFonts w:ascii="Arial" w:hAnsi="Arial" w:cs="Arial"/>
        </w:rPr>
        <w:t>De</w:t>
      </w:r>
      <w:r w:rsidR="00B6563D" w:rsidRPr="00742D67">
        <w:rPr>
          <w:rFonts w:ascii="Arial" w:hAnsi="Arial" w:cs="Arial"/>
        </w:rPr>
        <w:t xml:space="preserve"> plus, la </w:t>
      </w:r>
      <w:r w:rsidR="001C596F" w:rsidRPr="00742D67">
        <w:rPr>
          <w:rFonts w:ascii="Arial" w:hAnsi="Arial" w:cs="Arial"/>
        </w:rPr>
        <w:t>demande en bois de construction (bois rond, bois de coffrage, etc.) des bâtiments annexes</w:t>
      </w:r>
      <w:r w:rsidR="00B6563D" w:rsidRPr="00742D67">
        <w:rPr>
          <w:rFonts w:ascii="Arial" w:hAnsi="Arial" w:cs="Arial"/>
        </w:rPr>
        <w:t xml:space="preserve"> et des poteaux en bois pour le réseau électrique</w:t>
      </w:r>
      <w:r w:rsidR="001C596F" w:rsidRPr="00742D67">
        <w:rPr>
          <w:rFonts w:ascii="Arial" w:hAnsi="Arial" w:cs="Arial"/>
        </w:rPr>
        <w:t xml:space="preserve"> pourrai</w:t>
      </w:r>
      <w:r w:rsidR="00B6563D" w:rsidRPr="00742D67">
        <w:rPr>
          <w:rFonts w:ascii="Arial" w:hAnsi="Arial" w:cs="Arial"/>
        </w:rPr>
        <w:t>en</w:t>
      </w:r>
      <w:r w:rsidR="001C596F" w:rsidRPr="00742D67">
        <w:rPr>
          <w:rFonts w:ascii="Arial" w:hAnsi="Arial" w:cs="Arial"/>
        </w:rPr>
        <w:t>t augmenter.</w:t>
      </w:r>
      <w:r w:rsidR="00B6563D" w:rsidRPr="00742D67">
        <w:rPr>
          <w:rFonts w:ascii="Arial" w:hAnsi="Arial" w:cs="Arial"/>
        </w:rPr>
        <w:t xml:space="preserve"> </w:t>
      </w:r>
      <w:r w:rsidRPr="00742D67">
        <w:rPr>
          <w:rFonts w:ascii="Arial" w:hAnsi="Arial" w:cs="Arial"/>
        </w:rPr>
        <w:t xml:space="preserve">Ce qui pourrait amener à la pratique de la coupe illicite de bois </w:t>
      </w:r>
      <w:r w:rsidR="001C596F" w:rsidRPr="00742D67">
        <w:rPr>
          <w:rFonts w:ascii="Arial" w:hAnsi="Arial" w:cs="Arial"/>
        </w:rPr>
        <w:t xml:space="preserve">sans contrôle </w:t>
      </w:r>
      <w:r w:rsidRPr="00742D67">
        <w:rPr>
          <w:rFonts w:ascii="Arial" w:hAnsi="Arial" w:cs="Arial"/>
        </w:rPr>
        <w:t>au</w:t>
      </w:r>
      <w:r w:rsidRPr="008D2A01">
        <w:rPr>
          <w:rFonts w:ascii="Arial" w:hAnsi="Arial" w:cs="Arial"/>
        </w:rPr>
        <w:t xml:space="preserve"> niveau de la végétation</w:t>
      </w:r>
      <w:r w:rsidR="00F5207D">
        <w:rPr>
          <w:rFonts w:ascii="Arial" w:hAnsi="Arial" w:cs="Arial"/>
        </w:rPr>
        <w:t xml:space="preserve"> aux</w:t>
      </w:r>
      <w:r w:rsidRPr="008D2A01">
        <w:rPr>
          <w:rFonts w:ascii="Arial" w:hAnsi="Arial" w:cs="Arial"/>
        </w:rPr>
        <w:t xml:space="preserve"> alentours du chantier.</w:t>
      </w:r>
    </w:p>
    <w:p w14:paraId="53E70B83" w14:textId="77777777" w:rsidR="00B50DB4" w:rsidRPr="008D2A01" w:rsidRDefault="00B50DB4" w:rsidP="00345918">
      <w:pPr>
        <w:spacing w:after="0" w:line="240" w:lineRule="auto"/>
        <w:jc w:val="both"/>
        <w:rPr>
          <w:rFonts w:ascii="Arial" w:hAnsi="Arial" w:cs="Arial"/>
        </w:rPr>
      </w:pPr>
    </w:p>
    <w:p w14:paraId="61B174BC" w14:textId="77777777" w:rsidR="0090044A" w:rsidRPr="008D2A01" w:rsidRDefault="001C13CC" w:rsidP="00345918">
      <w:pPr>
        <w:spacing w:after="0" w:line="240" w:lineRule="auto"/>
        <w:jc w:val="both"/>
        <w:rPr>
          <w:rFonts w:ascii="Arial" w:hAnsi="Arial" w:cs="Arial"/>
        </w:rPr>
      </w:pPr>
      <w:r>
        <w:rPr>
          <w:rFonts w:ascii="Arial" w:hAnsi="Arial" w:cs="Arial"/>
        </w:rPr>
        <w:t xml:space="preserve">L’intensité de cet impact varie suivant la demande en bois au niveau de la construction. De plus, les bois peuvent provenir en dehors de la zone du Projet. </w:t>
      </w:r>
      <w:r w:rsidR="0090044A" w:rsidRPr="008D2A01">
        <w:rPr>
          <w:rFonts w:ascii="Arial" w:hAnsi="Arial" w:cs="Arial"/>
        </w:rPr>
        <w:t xml:space="preserve">Ce phénomène peut se produire lors de la phase de construction et affectant la zone </w:t>
      </w:r>
      <w:r w:rsidR="00F5207D">
        <w:rPr>
          <w:rFonts w:ascii="Arial" w:hAnsi="Arial" w:cs="Arial"/>
        </w:rPr>
        <w:t xml:space="preserve">aux </w:t>
      </w:r>
      <w:r w:rsidR="0090044A" w:rsidRPr="008D2A01">
        <w:rPr>
          <w:rFonts w:ascii="Arial" w:hAnsi="Arial" w:cs="Arial"/>
        </w:rPr>
        <w:t>alentours du projet. L’importance de cet impact est évaluée comme « Moyenne »</w:t>
      </w:r>
      <w:r>
        <w:rPr>
          <w:rFonts w:ascii="Arial" w:hAnsi="Arial" w:cs="Arial"/>
        </w:rPr>
        <w:t xml:space="preserve"> pour la construction de barrage hydroélectrique </w:t>
      </w:r>
      <w:r w:rsidR="00B6563D">
        <w:rPr>
          <w:rFonts w:ascii="Arial" w:hAnsi="Arial" w:cs="Arial"/>
        </w:rPr>
        <w:t xml:space="preserve">et la mise en place d’un réseau électrique </w:t>
      </w:r>
      <w:r>
        <w:rPr>
          <w:rFonts w:ascii="Arial" w:hAnsi="Arial" w:cs="Arial"/>
        </w:rPr>
        <w:t>alors que pour l’infrastructure numérique et la centrale solaire, elle est considérée comme « Mineure »</w:t>
      </w:r>
      <w:r w:rsidR="00B50DB4">
        <w:rPr>
          <w:rFonts w:ascii="Arial" w:hAnsi="Arial" w:cs="Arial"/>
        </w:rPr>
        <w:t xml:space="preserve">. </w:t>
      </w:r>
      <w:r w:rsidR="00814C88">
        <w:rPr>
          <w:rFonts w:ascii="Arial" w:hAnsi="Arial" w:cs="Arial"/>
        </w:rPr>
        <w:t>E</w:t>
      </w:r>
      <w:r w:rsidR="00B50DB4">
        <w:rPr>
          <w:rFonts w:ascii="Arial" w:hAnsi="Arial" w:cs="Arial"/>
        </w:rPr>
        <w:t xml:space="preserve">n ce qui concerne le niveau des risques, il varie  de très faible, faible et élevé selon les sous projets comme en montre  </w:t>
      </w:r>
      <w:r w:rsidR="00F35414">
        <w:rPr>
          <w:rFonts w:ascii="Arial" w:hAnsi="Arial" w:cs="Arial"/>
        </w:rPr>
        <w:t xml:space="preserve"> le tableau suivant</w:t>
      </w:r>
      <w:r>
        <w:rPr>
          <w:rFonts w:ascii="Arial" w:hAnsi="Arial" w:cs="Arial"/>
        </w:rPr>
        <w:t>.</w:t>
      </w:r>
    </w:p>
    <w:p w14:paraId="6FD82975" w14:textId="77777777" w:rsidR="0090044A" w:rsidRPr="002E58DC" w:rsidRDefault="002E58DC" w:rsidP="002E58DC">
      <w:pPr>
        <w:pStyle w:val="Lgende"/>
        <w:spacing w:before="120"/>
        <w:jc w:val="center"/>
        <w:rPr>
          <w:sz w:val="20"/>
        </w:rPr>
      </w:pPr>
      <w:bookmarkStart w:id="924" w:name="_Toc127957825"/>
      <w:r w:rsidRPr="002E58DC">
        <w:rPr>
          <w:sz w:val="20"/>
        </w:rPr>
        <w:t xml:space="preserve">Tableau </w:t>
      </w:r>
      <w:r w:rsidRPr="002E58DC">
        <w:rPr>
          <w:sz w:val="20"/>
        </w:rPr>
        <w:fldChar w:fldCharType="begin"/>
      </w:r>
      <w:r w:rsidRPr="002E58DC">
        <w:rPr>
          <w:sz w:val="20"/>
        </w:rPr>
        <w:instrText xml:space="preserve"> SEQ Tableau \* ARABIC </w:instrText>
      </w:r>
      <w:r w:rsidRPr="002E58DC">
        <w:rPr>
          <w:sz w:val="20"/>
        </w:rPr>
        <w:fldChar w:fldCharType="separate"/>
      </w:r>
      <w:r w:rsidR="005430A1">
        <w:rPr>
          <w:noProof/>
          <w:sz w:val="20"/>
        </w:rPr>
        <w:t>29</w:t>
      </w:r>
      <w:r w:rsidRPr="002E58DC">
        <w:rPr>
          <w:sz w:val="20"/>
        </w:rPr>
        <w:fldChar w:fldCharType="end"/>
      </w:r>
      <w:r w:rsidRPr="002E58DC">
        <w:rPr>
          <w:sz w:val="20"/>
        </w:rPr>
        <w:t xml:space="preserve">. Evaluation </w:t>
      </w:r>
      <w:r w:rsidR="0015148E">
        <w:rPr>
          <w:sz w:val="20"/>
        </w:rPr>
        <w:t>de l</w:t>
      </w:r>
      <w:r w:rsidRPr="002E58DC">
        <w:rPr>
          <w:sz w:val="20"/>
        </w:rPr>
        <w:t>’impact –Coupe illicite pour les besoins de bois</w:t>
      </w:r>
      <w:bookmarkEnd w:id="924"/>
      <w:r w:rsidRPr="002E58DC">
        <w:rPr>
          <w:sz w:val="20"/>
        </w:rPr>
        <w:t xml:space="preserve"> </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046"/>
        <w:gridCol w:w="949"/>
        <w:gridCol w:w="1021"/>
        <w:gridCol w:w="1331"/>
        <w:gridCol w:w="1296"/>
        <w:gridCol w:w="1064"/>
        <w:gridCol w:w="883"/>
        <w:tblGridChange w:id="925">
          <w:tblGrid>
            <w:gridCol w:w="1698"/>
            <w:gridCol w:w="1046"/>
            <w:gridCol w:w="949"/>
            <w:gridCol w:w="1021"/>
            <w:gridCol w:w="1331"/>
            <w:gridCol w:w="1296"/>
            <w:gridCol w:w="1064"/>
            <w:gridCol w:w="883"/>
          </w:tblGrid>
        </w:tblGridChange>
      </w:tblGrid>
      <w:tr w:rsidR="00B50DB4" w:rsidRPr="007F78CE" w14:paraId="60C62C69" w14:textId="77777777" w:rsidTr="00345918">
        <w:trPr>
          <w:jc w:val="center"/>
        </w:trPr>
        <w:tc>
          <w:tcPr>
            <w:tcW w:w="1698" w:type="dxa"/>
            <w:shd w:val="clear" w:color="auto" w:fill="BFBFBF"/>
          </w:tcPr>
          <w:p w14:paraId="52BB738D" w14:textId="77777777" w:rsidR="00B50DB4" w:rsidRPr="007F78CE" w:rsidRDefault="00B50DB4" w:rsidP="00B434A6">
            <w:pPr>
              <w:spacing w:after="0" w:line="240" w:lineRule="auto"/>
              <w:jc w:val="center"/>
              <w:rPr>
                <w:rFonts w:ascii="Arial Narrow" w:hAnsi="Arial Narrow"/>
                <w:b/>
                <w:bCs/>
                <w:sz w:val="20"/>
                <w:szCs w:val="20"/>
              </w:rPr>
            </w:pPr>
            <w:r>
              <w:rPr>
                <w:rFonts w:ascii="Arial Narrow" w:hAnsi="Arial Narrow"/>
                <w:b/>
                <w:bCs/>
                <w:sz w:val="20"/>
                <w:szCs w:val="20"/>
              </w:rPr>
              <w:t>Sous Projet</w:t>
            </w:r>
          </w:p>
        </w:tc>
        <w:tc>
          <w:tcPr>
            <w:tcW w:w="1046" w:type="dxa"/>
            <w:shd w:val="clear" w:color="auto" w:fill="BFBFBF"/>
          </w:tcPr>
          <w:p w14:paraId="7C4CC069" w14:textId="77777777" w:rsidR="00B50DB4" w:rsidRPr="007F78CE" w:rsidRDefault="00B50DB4" w:rsidP="00B434A6">
            <w:pPr>
              <w:spacing w:after="0" w:line="240" w:lineRule="auto"/>
              <w:jc w:val="center"/>
              <w:rPr>
                <w:rFonts w:ascii="Arial Narrow" w:hAnsi="Arial Narrow"/>
                <w:b/>
                <w:sz w:val="20"/>
                <w:szCs w:val="20"/>
              </w:rPr>
            </w:pPr>
            <w:r w:rsidRPr="007F78CE">
              <w:rPr>
                <w:rFonts w:ascii="Arial Narrow" w:hAnsi="Arial Narrow"/>
                <w:b/>
                <w:bCs/>
                <w:sz w:val="20"/>
                <w:szCs w:val="20"/>
              </w:rPr>
              <w:t>Intensité</w:t>
            </w:r>
          </w:p>
        </w:tc>
        <w:tc>
          <w:tcPr>
            <w:tcW w:w="949" w:type="dxa"/>
            <w:shd w:val="clear" w:color="auto" w:fill="BFBFBF"/>
          </w:tcPr>
          <w:p w14:paraId="277E7455" w14:textId="77777777" w:rsidR="00B50DB4" w:rsidRPr="007F78CE" w:rsidRDefault="00B50DB4" w:rsidP="00B434A6">
            <w:pPr>
              <w:spacing w:after="0" w:line="240" w:lineRule="auto"/>
              <w:jc w:val="center"/>
              <w:rPr>
                <w:rFonts w:ascii="Arial Narrow" w:hAnsi="Arial Narrow"/>
                <w:b/>
                <w:bCs/>
                <w:sz w:val="20"/>
                <w:szCs w:val="20"/>
              </w:rPr>
            </w:pPr>
            <w:r w:rsidRPr="007F78CE">
              <w:rPr>
                <w:rFonts w:ascii="Arial Narrow" w:hAnsi="Arial Narrow"/>
                <w:b/>
                <w:bCs/>
                <w:sz w:val="20"/>
                <w:szCs w:val="20"/>
              </w:rPr>
              <w:t>Étendue</w:t>
            </w:r>
          </w:p>
        </w:tc>
        <w:tc>
          <w:tcPr>
            <w:tcW w:w="1021" w:type="dxa"/>
            <w:shd w:val="clear" w:color="auto" w:fill="BFBFBF"/>
          </w:tcPr>
          <w:p w14:paraId="3941A1D8" w14:textId="77777777" w:rsidR="00B50DB4" w:rsidRPr="007F78CE" w:rsidRDefault="00B50DB4" w:rsidP="00B434A6">
            <w:pPr>
              <w:spacing w:after="0" w:line="240" w:lineRule="auto"/>
              <w:jc w:val="center"/>
              <w:rPr>
                <w:rFonts w:ascii="Arial Narrow" w:hAnsi="Arial Narrow"/>
                <w:b/>
                <w:bCs/>
                <w:sz w:val="20"/>
                <w:szCs w:val="20"/>
              </w:rPr>
            </w:pPr>
            <w:r w:rsidRPr="007F78CE">
              <w:rPr>
                <w:rFonts w:ascii="Arial Narrow" w:hAnsi="Arial Narrow"/>
                <w:b/>
                <w:bCs/>
                <w:sz w:val="20"/>
                <w:szCs w:val="20"/>
              </w:rPr>
              <w:t>Durée</w:t>
            </w:r>
          </w:p>
        </w:tc>
        <w:tc>
          <w:tcPr>
            <w:tcW w:w="1331" w:type="dxa"/>
            <w:shd w:val="clear" w:color="auto" w:fill="BFBFBF"/>
          </w:tcPr>
          <w:p w14:paraId="25EAA174" w14:textId="77777777" w:rsidR="00B50DB4" w:rsidRPr="007F78CE" w:rsidRDefault="00B50DB4" w:rsidP="00B434A6">
            <w:pPr>
              <w:spacing w:after="0" w:line="240" w:lineRule="auto"/>
              <w:jc w:val="center"/>
              <w:rPr>
                <w:rFonts w:ascii="Arial Narrow" w:hAnsi="Arial Narrow"/>
                <w:b/>
                <w:bCs/>
                <w:sz w:val="20"/>
                <w:szCs w:val="20"/>
              </w:rPr>
            </w:pPr>
            <w:r w:rsidRPr="007F78CE">
              <w:rPr>
                <w:rFonts w:ascii="Arial Narrow" w:hAnsi="Arial Narrow"/>
                <w:b/>
                <w:bCs/>
                <w:sz w:val="20"/>
                <w:szCs w:val="20"/>
              </w:rPr>
              <w:t>Réversibilité</w:t>
            </w:r>
          </w:p>
        </w:tc>
        <w:tc>
          <w:tcPr>
            <w:tcW w:w="1296" w:type="dxa"/>
            <w:shd w:val="clear" w:color="auto" w:fill="BFBFBF"/>
          </w:tcPr>
          <w:p w14:paraId="3540ABA5" w14:textId="77777777" w:rsidR="00B50DB4" w:rsidRPr="007F78CE" w:rsidRDefault="00B50DB4" w:rsidP="00B434A6">
            <w:pPr>
              <w:spacing w:after="0" w:line="240" w:lineRule="auto"/>
              <w:jc w:val="center"/>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auto"/>
          </w:tcPr>
          <w:p w14:paraId="0D059DE1" w14:textId="77777777" w:rsidR="00B50DB4" w:rsidRPr="007F78CE" w:rsidRDefault="00B50DB4" w:rsidP="00B434A6">
            <w:pPr>
              <w:spacing w:after="0" w:line="240" w:lineRule="auto"/>
              <w:jc w:val="center"/>
              <w:rPr>
                <w:rFonts w:ascii="Arial Narrow" w:hAnsi="Arial Narrow"/>
                <w:b/>
                <w:bCs/>
                <w:sz w:val="20"/>
                <w:szCs w:val="20"/>
              </w:rPr>
            </w:pPr>
            <w:r>
              <w:rPr>
                <w:rFonts w:ascii="Arial Narrow" w:hAnsi="Arial Narrow"/>
                <w:b/>
                <w:bCs/>
                <w:sz w:val="20"/>
                <w:szCs w:val="20"/>
              </w:rPr>
              <w:t>Probabilité</w:t>
            </w:r>
          </w:p>
        </w:tc>
        <w:tc>
          <w:tcPr>
            <w:tcW w:w="883" w:type="dxa"/>
            <w:shd w:val="clear" w:color="auto" w:fill="auto"/>
          </w:tcPr>
          <w:p w14:paraId="2B867869" w14:textId="77777777" w:rsidR="00B50DB4" w:rsidRPr="007F78CE" w:rsidRDefault="00B50DB4" w:rsidP="00B434A6">
            <w:pPr>
              <w:spacing w:after="0" w:line="240" w:lineRule="auto"/>
              <w:jc w:val="center"/>
              <w:rPr>
                <w:rFonts w:ascii="Arial Narrow" w:hAnsi="Arial Narrow"/>
                <w:b/>
                <w:bCs/>
                <w:sz w:val="20"/>
                <w:szCs w:val="20"/>
              </w:rPr>
            </w:pPr>
            <w:r>
              <w:rPr>
                <w:rFonts w:ascii="Arial Narrow" w:hAnsi="Arial Narrow"/>
                <w:b/>
                <w:bCs/>
                <w:sz w:val="20"/>
                <w:szCs w:val="20"/>
              </w:rPr>
              <w:t>Risque</w:t>
            </w:r>
          </w:p>
        </w:tc>
      </w:tr>
      <w:tr w:rsidR="00345918" w:rsidRPr="007F78CE" w14:paraId="76AAA974" w14:textId="77777777" w:rsidTr="00FB04F6">
        <w:trPr>
          <w:trHeight w:val="303"/>
          <w:jc w:val="center"/>
        </w:trPr>
        <w:tc>
          <w:tcPr>
            <w:tcW w:w="1698" w:type="dxa"/>
          </w:tcPr>
          <w:p w14:paraId="2DA290F0" w14:textId="77777777" w:rsidR="00B50DB4" w:rsidRPr="007F78CE" w:rsidRDefault="00B50DB4" w:rsidP="00B434A6">
            <w:pPr>
              <w:spacing w:after="0" w:line="240" w:lineRule="auto"/>
              <w:contextualSpacing/>
              <w:rPr>
                <w:rFonts w:ascii="Arial Narrow" w:hAnsi="Arial Narrow" w:cs="Arial"/>
                <w:sz w:val="20"/>
                <w:szCs w:val="20"/>
              </w:rPr>
            </w:pPr>
            <w:r>
              <w:rPr>
                <w:rFonts w:ascii="Arial Narrow" w:hAnsi="Arial Narrow" w:cs="Arial"/>
                <w:sz w:val="20"/>
                <w:szCs w:val="20"/>
              </w:rPr>
              <w:t>Infrastructure numérique</w:t>
            </w:r>
          </w:p>
        </w:tc>
        <w:tc>
          <w:tcPr>
            <w:tcW w:w="1046" w:type="dxa"/>
            <w:shd w:val="clear" w:color="auto" w:fill="auto"/>
          </w:tcPr>
          <w:p w14:paraId="509F0407" w14:textId="77777777" w:rsidR="00B50DB4" w:rsidRPr="007F78CE" w:rsidRDefault="00B50DB4"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7F6A6D43" w14:textId="77777777" w:rsidR="00B50DB4" w:rsidRPr="007F78CE" w:rsidRDefault="00B50D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49" w:type="dxa"/>
            <w:shd w:val="clear" w:color="auto" w:fill="auto"/>
          </w:tcPr>
          <w:p w14:paraId="30EE92AF" w14:textId="77777777" w:rsidR="00B50DB4" w:rsidRPr="007F78CE" w:rsidRDefault="00B50D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4B7E1A6A" w14:textId="77777777" w:rsidR="00B50DB4" w:rsidRPr="007F78CE" w:rsidRDefault="00B50D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021" w:type="dxa"/>
            <w:shd w:val="clear" w:color="auto" w:fill="auto"/>
          </w:tcPr>
          <w:p w14:paraId="3FC8425A" w14:textId="77777777" w:rsidR="00B50DB4" w:rsidRPr="007F78CE" w:rsidRDefault="00B50DB4"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Courte</w:t>
            </w:r>
          </w:p>
          <w:p w14:paraId="00A65B7A" w14:textId="77777777" w:rsidR="00B50DB4" w:rsidRPr="007F78CE" w:rsidRDefault="00B50D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1331" w:type="dxa"/>
            <w:shd w:val="clear" w:color="auto" w:fill="auto"/>
          </w:tcPr>
          <w:p w14:paraId="09101690" w14:textId="77777777" w:rsidR="00B50DB4" w:rsidRPr="007F78CE" w:rsidRDefault="00B50D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493E517A" w14:textId="77777777" w:rsidR="00B50DB4" w:rsidRPr="007F78CE" w:rsidRDefault="00B50D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96" w:type="dxa"/>
            <w:shd w:val="clear" w:color="auto" w:fill="00B050"/>
          </w:tcPr>
          <w:p w14:paraId="76C89F61" w14:textId="77777777" w:rsidR="00B50DB4" w:rsidRPr="007F78CE" w:rsidRDefault="00B50DB4"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Mineure</w:t>
            </w:r>
          </w:p>
          <w:p w14:paraId="09973D89" w14:textId="77777777" w:rsidR="00B50DB4" w:rsidRPr="007F78CE" w:rsidRDefault="00B50D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5</w:t>
            </w:r>
            <w:r w:rsidRPr="007F78CE">
              <w:rPr>
                <w:rFonts w:ascii="Arial Narrow" w:hAnsi="Arial Narrow" w:cs="Arial"/>
                <w:sz w:val="20"/>
                <w:szCs w:val="20"/>
              </w:rPr>
              <w:t>)</w:t>
            </w:r>
          </w:p>
        </w:tc>
        <w:tc>
          <w:tcPr>
            <w:tcW w:w="1064" w:type="dxa"/>
            <w:shd w:val="clear" w:color="auto" w:fill="auto"/>
            <w:vAlign w:val="center"/>
          </w:tcPr>
          <w:p w14:paraId="0A205676" w14:textId="77777777" w:rsidR="00B50DB4" w:rsidRDefault="00B50DB4" w:rsidP="00345918">
            <w:pPr>
              <w:spacing w:after="0" w:line="240" w:lineRule="auto"/>
              <w:contextualSpacing/>
              <w:rPr>
                <w:rFonts w:ascii="Arial Narrow" w:hAnsi="Arial Narrow" w:cs="Arial"/>
                <w:sz w:val="20"/>
                <w:szCs w:val="20"/>
              </w:rPr>
            </w:pPr>
            <w:r>
              <w:rPr>
                <w:rFonts w:ascii="Arial Narrow" w:hAnsi="Arial Narrow" w:cs="Arial"/>
                <w:sz w:val="20"/>
                <w:szCs w:val="20"/>
              </w:rPr>
              <w:t xml:space="preserve">Faible </w:t>
            </w:r>
          </w:p>
        </w:tc>
        <w:tc>
          <w:tcPr>
            <w:tcW w:w="883" w:type="dxa"/>
            <w:shd w:val="clear" w:color="auto" w:fill="538135"/>
            <w:vAlign w:val="center"/>
          </w:tcPr>
          <w:p w14:paraId="15A1AE5C" w14:textId="77777777" w:rsidR="00B50DB4" w:rsidRDefault="00B50DB4" w:rsidP="00345918">
            <w:pPr>
              <w:spacing w:after="0" w:line="240" w:lineRule="auto"/>
              <w:contextualSpacing/>
              <w:rPr>
                <w:rFonts w:ascii="Arial Narrow" w:hAnsi="Arial Narrow" w:cs="Arial"/>
                <w:sz w:val="20"/>
                <w:szCs w:val="20"/>
              </w:rPr>
            </w:pPr>
            <w:r>
              <w:rPr>
                <w:rFonts w:ascii="Arial Narrow" w:hAnsi="Arial Narrow" w:cs="Arial"/>
                <w:sz w:val="20"/>
                <w:szCs w:val="20"/>
              </w:rPr>
              <w:t>Très faible</w:t>
            </w:r>
          </w:p>
        </w:tc>
      </w:tr>
      <w:tr w:rsidR="00345918" w:rsidRPr="007F78CE" w14:paraId="0B288B6D" w14:textId="77777777" w:rsidTr="00FB04F6">
        <w:trPr>
          <w:jc w:val="center"/>
        </w:trPr>
        <w:tc>
          <w:tcPr>
            <w:tcW w:w="1698" w:type="dxa"/>
          </w:tcPr>
          <w:p w14:paraId="0C33C386" w14:textId="77777777" w:rsidR="00B50DB4" w:rsidRPr="007F78CE" w:rsidRDefault="00B50DB4" w:rsidP="00B434A6">
            <w:pPr>
              <w:spacing w:after="0" w:line="240" w:lineRule="auto"/>
              <w:contextualSpacing/>
              <w:rPr>
                <w:rFonts w:ascii="Arial Narrow" w:hAnsi="Arial Narrow" w:cs="Arial"/>
                <w:sz w:val="20"/>
                <w:szCs w:val="20"/>
              </w:rPr>
            </w:pPr>
            <w:r>
              <w:rPr>
                <w:rFonts w:ascii="Arial Narrow" w:hAnsi="Arial Narrow" w:cs="Arial"/>
                <w:sz w:val="20"/>
                <w:szCs w:val="20"/>
              </w:rPr>
              <w:t>Centrale électrique solaire</w:t>
            </w:r>
          </w:p>
        </w:tc>
        <w:tc>
          <w:tcPr>
            <w:tcW w:w="1046" w:type="dxa"/>
            <w:shd w:val="clear" w:color="auto" w:fill="auto"/>
          </w:tcPr>
          <w:p w14:paraId="38E0B33D" w14:textId="77777777" w:rsidR="00B50DB4" w:rsidRPr="007F78CE" w:rsidRDefault="00B50DB4" w:rsidP="00F00135">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1F48F08C" w14:textId="77777777" w:rsidR="00B50DB4" w:rsidRPr="007F78CE" w:rsidRDefault="00B50D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49" w:type="dxa"/>
            <w:shd w:val="clear" w:color="auto" w:fill="auto"/>
          </w:tcPr>
          <w:p w14:paraId="4C40E5FA" w14:textId="77777777" w:rsidR="00B50DB4" w:rsidRPr="007F78CE" w:rsidRDefault="00B50DB4"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70C38DB8" w14:textId="77777777" w:rsidR="00B50DB4" w:rsidRPr="007F78CE" w:rsidRDefault="00B50D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021" w:type="dxa"/>
            <w:shd w:val="clear" w:color="auto" w:fill="auto"/>
          </w:tcPr>
          <w:p w14:paraId="1920CD3F" w14:textId="77777777" w:rsidR="00B50DB4" w:rsidRDefault="00B50DB4"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Courte</w:t>
            </w:r>
            <w:r w:rsidRPr="007F78CE">
              <w:rPr>
                <w:rFonts w:ascii="Arial Narrow" w:hAnsi="Arial Narrow" w:cs="Arial"/>
                <w:sz w:val="20"/>
                <w:szCs w:val="20"/>
              </w:rPr>
              <w:t xml:space="preserve"> </w:t>
            </w:r>
          </w:p>
          <w:p w14:paraId="1A6EB80A" w14:textId="77777777" w:rsidR="00B50DB4" w:rsidRPr="007F78CE" w:rsidRDefault="00B50DB4"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(1</w:t>
            </w:r>
            <w:r w:rsidRPr="007F78CE">
              <w:rPr>
                <w:rFonts w:ascii="Arial Narrow" w:hAnsi="Arial Narrow" w:cs="Arial"/>
                <w:sz w:val="20"/>
                <w:szCs w:val="20"/>
              </w:rPr>
              <w:t>)</w:t>
            </w:r>
          </w:p>
        </w:tc>
        <w:tc>
          <w:tcPr>
            <w:tcW w:w="1331" w:type="dxa"/>
            <w:shd w:val="clear" w:color="auto" w:fill="auto"/>
          </w:tcPr>
          <w:p w14:paraId="24971C6B" w14:textId="77777777" w:rsidR="00B50DB4" w:rsidRPr="007F78CE" w:rsidRDefault="00B50DB4"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542A04F8" w14:textId="77777777" w:rsidR="00B50DB4" w:rsidRPr="007F78CE" w:rsidRDefault="00B50D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96" w:type="dxa"/>
            <w:shd w:val="clear" w:color="auto" w:fill="00B050"/>
          </w:tcPr>
          <w:p w14:paraId="6B0D7E99" w14:textId="77777777" w:rsidR="00B50DB4" w:rsidRDefault="00B50DB4"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Mineure</w:t>
            </w:r>
            <w:r w:rsidRPr="007F78CE">
              <w:rPr>
                <w:rFonts w:ascii="Arial Narrow" w:hAnsi="Arial Narrow" w:cs="Arial"/>
                <w:sz w:val="20"/>
                <w:szCs w:val="20"/>
              </w:rPr>
              <w:t xml:space="preserve"> </w:t>
            </w:r>
          </w:p>
          <w:p w14:paraId="7FBEB1FC" w14:textId="77777777" w:rsidR="00B50DB4" w:rsidRPr="007F78CE" w:rsidRDefault="00B50DB4"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(5</w:t>
            </w:r>
            <w:r w:rsidRPr="007F78CE">
              <w:rPr>
                <w:rFonts w:ascii="Arial Narrow" w:hAnsi="Arial Narrow" w:cs="Arial"/>
                <w:sz w:val="20"/>
                <w:szCs w:val="20"/>
              </w:rPr>
              <w:t>)</w:t>
            </w:r>
          </w:p>
        </w:tc>
        <w:tc>
          <w:tcPr>
            <w:tcW w:w="1064" w:type="dxa"/>
            <w:shd w:val="clear" w:color="auto" w:fill="auto"/>
            <w:vAlign w:val="center"/>
          </w:tcPr>
          <w:p w14:paraId="51BEFADF" w14:textId="77777777" w:rsidR="00B50DB4" w:rsidRDefault="00B50DB4" w:rsidP="00345918">
            <w:pPr>
              <w:spacing w:after="0" w:line="240" w:lineRule="auto"/>
              <w:contextualSpacing/>
              <w:rPr>
                <w:rFonts w:ascii="Arial Narrow" w:hAnsi="Arial Narrow" w:cs="Arial"/>
                <w:sz w:val="20"/>
                <w:szCs w:val="20"/>
              </w:rPr>
            </w:pPr>
            <w:r>
              <w:rPr>
                <w:rFonts w:ascii="Arial Narrow" w:hAnsi="Arial Narrow" w:cs="Arial"/>
                <w:sz w:val="20"/>
                <w:szCs w:val="20"/>
              </w:rPr>
              <w:t xml:space="preserve">Faible </w:t>
            </w:r>
          </w:p>
        </w:tc>
        <w:tc>
          <w:tcPr>
            <w:tcW w:w="883" w:type="dxa"/>
            <w:shd w:val="clear" w:color="auto" w:fill="538135"/>
            <w:vAlign w:val="center"/>
          </w:tcPr>
          <w:p w14:paraId="26AB0D43" w14:textId="77777777" w:rsidR="00B50DB4" w:rsidRDefault="00B50DB4" w:rsidP="00345918">
            <w:pPr>
              <w:spacing w:after="0" w:line="240" w:lineRule="auto"/>
              <w:contextualSpacing/>
              <w:rPr>
                <w:rFonts w:ascii="Arial Narrow" w:hAnsi="Arial Narrow" w:cs="Arial"/>
                <w:sz w:val="20"/>
                <w:szCs w:val="20"/>
              </w:rPr>
            </w:pPr>
            <w:r>
              <w:rPr>
                <w:rFonts w:ascii="Arial Narrow" w:hAnsi="Arial Narrow" w:cs="Arial"/>
                <w:sz w:val="20"/>
                <w:szCs w:val="20"/>
              </w:rPr>
              <w:t>Très faible</w:t>
            </w:r>
          </w:p>
        </w:tc>
      </w:tr>
      <w:tr w:rsidR="00345918" w:rsidRPr="007F78CE" w14:paraId="1302F4E3" w14:textId="77777777" w:rsidTr="00FB04F6">
        <w:trPr>
          <w:jc w:val="center"/>
        </w:trPr>
        <w:tc>
          <w:tcPr>
            <w:tcW w:w="1698" w:type="dxa"/>
          </w:tcPr>
          <w:p w14:paraId="2D797E09" w14:textId="77777777" w:rsidR="00B50DB4" w:rsidRPr="007F78CE" w:rsidRDefault="00B50DB4" w:rsidP="00B434A6">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46" w:type="dxa"/>
            <w:shd w:val="clear" w:color="auto" w:fill="auto"/>
          </w:tcPr>
          <w:p w14:paraId="28E4E3E8" w14:textId="77777777" w:rsidR="00B50DB4" w:rsidRPr="007F78CE" w:rsidRDefault="00B50DB4" w:rsidP="00F00135">
            <w:pPr>
              <w:spacing w:after="0" w:line="240" w:lineRule="auto"/>
              <w:contextualSpacing/>
              <w:jc w:val="center"/>
              <w:rPr>
                <w:rFonts w:ascii="Arial Narrow" w:hAnsi="Arial Narrow" w:cs="Arial"/>
                <w:bCs/>
                <w:sz w:val="20"/>
                <w:szCs w:val="20"/>
              </w:rPr>
            </w:pPr>
            <w:r>
              <w:rPr>
                <w:rFonts w:ascii="Arial Narrow" w:hAnsi="Arial Narrow" w:cs="Arial"/>
                <w:sz w:val="20"/>
                <w:szCs w:val="20"/>
              </w:rPr>
              <w:t>Moyenne</w:t>
            </w:r>
          </w:p>
          <w:p w14:paraId="7007FD71" w14:textId="77777777" w:rsidR="00B50DB4" w:rsidRPr="007F78CE" w:rsidRDefault="00B50DB4"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(2</w:t>
            </w:r>
            <w:r w:rsidRPr="007F78CE">
              <w:rPr>
                <w:rFonts w:ascii="Arial Narrow" w:hAnsi="Arial Narrow" w:cs="Arial"/>
                <w:sz w:val="20"/>
                <w:szCs w:val="20"/>
              </w:rPr>
              <w:t>)</w:t>
            </w:r>
          </w:p>
        </w:tc>
        <w:tc>
          <w:tcPr>
            <w:tcW w:w="949" w:type="dxa"/>
            <w:shd w:val="clear" w:color="auto" w:fill="auto"/>
          </w:tcPr>
          <w:p w14:paraId="7D92C0CC" w14:textId="77777777" w:rsidR="00B50DB4" w:rsidRPr="007F78CE" w:rsidRDefault="00B50DB4"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01FB4FEB" w14:textId="77777777" w:rsidR="00B50DB4" w:rsidRPr="007F78CE" w:rsidRDefault="00B50D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021" w:type="dxa"/>
            <w:shd w:val="clear" w:color="auto" w:fill="auto"/>
          </w:tcPr>
          <w:p w14:paraId="21359CF3" w14:textId="77777777" w:rsidR="00B50DB4" w:rsidRPr="007F78CE" w:rsidRDefault="00B50DB4" w:rsidP="00F00135">
            <w:pPr>
              <w:spacing w:after="0" w:line="240" w:lineRule="auto"/>
              <w:contextualSpacing/>
              <w:jc w:val="center"/>
              <w:rPr>
                <w:rFonts w:ascii="Arial Narrow" w:hAnsi="Arial Narrow" w:cs="Arial"/>
                <w:sz w:val="20"/>
                <w:szCs w:val="20"/>
              </w:rPr>
            </w:pPr>
            <w:r>
              <w:rPr>
                <w:rFonts w:ascii="Arial Narrow" w:hAnsi="Arial Narrow" w:cs="Arial"/>
                <w:sz w:val="20"/>
                <w:szCs w:val="20"/>
              </w:rPr>
              <w:t>Courte</w:t>
            </w:r>
          </w:p>
          <w:p w14:paraId="20D2E10F" w14:textId="77777777" w:rsidR="00B50DB4" w:rsidRPr="007F78CE" w:rsidRDefault="00B50DB4" w:rsidP="001C13CC">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1331" w:type="dxa"/>
            <w:shd w:val="clear" w:color="auto" w:fill="auto"/>
          </w:tcPr>
          <w:p w14:paraId="5510D191" w14:textId="77777777" w:rsidR="00B50DB4" w:rsidRPr="007F78CE" w:rsidRDefault="00B50DB4"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01448EB5" w14:textId="77777777" w:rsidR="00B50DB4" w:rsidRPr="007F78CE" w:rsidRDefault="00B50D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96" w:type="dxa"/>
            <w:shd w:val="clear" w:color="auto" w:fill="FFFF00"/>
          </w:tcPr>
          <w:p w14:paraId="3E235FDD" w14:textId="77777777" w:rsidR="00B50DB4" w:rsidRPr="007F78CE" w:rsidRDefault="00B50DB4"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6E217E45" w14:textId="77777777" w:rsidR="00B50DB4" w:rsidRPr="007F78CE" w:rsidRDefault="00B50D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vAlign w:val="center"/>
          </w:tcPr>
          <w:p w14:paraId="15F61255" w14:textId="77777777" w:rsidR="00B50DB4" w:rsidRPr="007F78CE" w:rsidRDefault="00B50DB4" w:rsidP="00345918">
            <w:pPr>
              <w:spacing w:after="0" w:line="240" w:lineRule="auto"/>
              <w:contextualSpacing/>
              <w:rPr>
                <w:rFonts w:ascii="Arial Narrow" w:hAnsi="Arial Narrow" w:cs="Arial"/>
                <w:sz w:val="20"/>
                <w:szCs w:val="20"/>
              </w:rPr>
            </w:pPr>
            <w:r>
              <w:rPr>
                <w:rFonts w:ascii="Arial Narrow" w:hAnsi="Arial Narrow" w:cs="Arial"/>
                <w:sz w:val="20"/>
                <w:szCs w:val="20"/>
              </w:rPr>
              <w:t>Faible</w:t>
            </w:r>
          </w:p>
        </w:tc>
        <w:tc>
          <w:tcPr>
            <w:tcW w:w="883" w:type="dxa"/>
            <w:shd w:val="clear" w:color="auto" w:fill="BFBFBF"/>
            <w:vAlign w:val="center"/>
          </w:tcPr>
          <w:p w14:paraId="1C2A04B2" w14:textId="77777777" w:rsidR="00B50DB4" w:rsidRPr="007F78CE" w:rsidRDefault="00B50DB4" w:rsidP="00345918">
            <w:pPr>
              <w:spacing w:after="0" w:line="240" w:lineRule="auto"/>
              <w:contextualSpacing/>
              <w:rPr>
                <w:rFonts w:ascii="Arial Narrow" w:hAnsi="Arial Narrow" w:cs="Arial"/>
                <w:sz w:val="20"/>
                <w:szCs w:val="20"/>
              </w:rPr>
            </w:pPr>
            <w:r>
              <w:rPr>
                <w:rFonts w:ascii="Arial Narrow" w:hAnsi="Arial Narrow" w:cs="Arial"/>
                <w:sz w:val="20"/>
                <w:szCs w:val="20"/>
              </w:rPr>
              <w:t xml:space="preserve">Faibe </w:t>
            </w:r>
          </w:p>
        </w:tc>
      </w:tr>
      <w:tr w:rsidR="00B50DB4" w:rsidRPr="007F78CE" w14:paraId="2A0DE2F6" w14:textId="77777777" w:rsidTr="00345918">
        <w:trPr>
          <w:jc w:val="center"/>
        </w:trPr>
        <w:tc>
          <w:tcPr>
            <w:tcW w:w="1698" w:type="dxa"/>
          </w:tcPr>
          <w:p w14:paraId="7379623B" w14:textId="77777777" w:rsidR="00B50DB4" w:rsidRDefault="00B50DB4" w:rsidP="001C596F">
            <w:pPr>
              <w:spacing w:after="0" w:line="240" w:lineRule="auto"/>
              <w:contextualSpacing/>
              <w:rPr>
                <w:rFonts w:ascii="Arial Narrow" w:hAnsi="Arial Narrow" w:cs="Arial"/>
                <w:sz w:val="20"/>
                <w:szCs w:val="20"/>
              </w:rPr>
            </w:pPr>
            <w:r>
              <w:rPr>
                <w:rFonts w:ascii="Arial Narrow" w:hAnsi="Arial Narrow" w:cs="Arial"/>
                <w:sz w:val="20"/>
                <w:szCs w:val="20"/>
              </w:rPr>
              <w:t>Réseau électrique</w:t>
            </w:r>
          </w:p>
        </w:tc>
        <w:tc>
          <w:tcPr>
            <w:tcW w:w="1046" w:type="dxa"/>
            <w:shd w:val="clear" w:color="auto" w:fill="auto"/>
          </w:tcPr>
          <w:p w14:paraId="12BA735D" w14:textId="77777777" w:rsidR="00B50DB4" w:rsidRPr="007F78CE" w:rsidRDefault="00B50DB4" w:rsidP="00296692">
            <w:pPr>
              <w:spacing w:after="0" w:line="240" w:lineRule="auto"/>
              <w:contextualSpacing/>
              <w:jc w:val="center"/>
              <w:rPr>
                <w:rFonts w:ascii="Arial Narrow" w:hAnsi="Arial Narrow" w:cs="Arial"/>
                <w:bCs/>
                <w:sz w:val="20"/>
                <w:szCs w:val="20"/>
              </w:rPr>
            </w:pPr>
            <w:r>
              <w:rPr>
                <w:rFonts w:ascii="Arial Narrow" w:hAnsi="Arial Narrow" w:cs="Arial"/>
                <w:sz w:val="20"/>
                <w:szCs w:val="20"/>
              </w:rPr>
              <w:t>Moyenne</w:t>
            </w:r>
          </w:p>
          <w:p w14:paraId="15E86911" w14:textId="77777777" w:rsidR="00B50DB4" w:rsidRDefault="00B50DB4" w:rsidP="00F00135">
            <w:pPr>
              <w:spacing w:after="0" w:line="240" w:lineRule="auto"/>
              <w:contextualSpacing/>
              <w:jc w:val="center"/>
              <w:rPr>
                <w:rFonts w:ascii="Arial Narrow" w:hAnsi="Arial Narrow" w:cs="Arial"/>
                <w:sz w:val="20"/>
                <w:szCs w:val="20"/>
              </w:rPr>
            </w:pPr>
            <w:r>
              <w:rPr>
                <w:rFonts w:ascii="Arial Narrow" w:hAnsi="Arial Narrow" w:cs="Arial"/>
                <w:sz w:val="20"/>
                <w:szCs w:val="20"/>
              </w:rPr>
              <w:t>(2</w:t>
            </w:r>
            <w:r w:rsidRPr="007F78CE">
              <w:rPr>
                <w:rFonts w:ascii="Arial Narrow" w:hAnsi="Arial Narrow" w:cs="Arial"/>
                <w:sz w:val="20"/>
                <w:szCs w:val="20"/>
              </w:rPr>
              <w:t>)</w:t>
            </w:r>
          </w:p>
        </w:tc>
        <w:tc>
          <w:tcPr>
            <w:tcW w:w="949" w:type="dxa"/>
            <w:shd w:val="clear" w:color="auto" w:fill="auto"/>
          </w:tcPr>
          <w:p w14:paraId="10136016" w14:textId="77777777" w:rsidR="00B50DB4" w:rsidRPr="007F78CE" w:rsidRDefault="00B50DB4"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5259D43A" w14:textId="77777777" w:rsidR="00B50DB4" w:rsidRPr="007F78CE" w:rsidRDefault="00B50DB4"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021" w:type="dxa"/>
            <w:shd w:val="clear" w:color="auto" w:fill="auto"/>
          </w:tcPr>
          <w:p w14:paraId="5B2FA3AA" w14:textId="77777777" w:rsidR="00B50DB4" w:rsidRPr="007F78CE" w:rsidRDefault="00B50DB4"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Courte</w:t>
            </w:r>
          </w:p>
          <w:p w14:paraId="4DA68E7E" w14:textId="77777777" w:rsidR="00B50DB4" w:rsidRDefault="00B50DB4"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1331" w:type="dxa"/>
            <w:shd w:val="clear" w:color="auto" w:fill="auto"/>
          </w:tcPr>
          <w:p w14:paraId="09B55A88" w14:textId="77777777" w:rsidR="00B50DB4" w:rsidRPr="007F78CE" w:rsidRDefault="00B50DB4"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0D5ED652" w14:textId="77777777" w:rsidR="00B50DB4" w:rsidRPr="007F78CE" w:rsidRDefault="00B50DB4"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96" w:type="dxa"/>
            <w:shd w:val="clear" w:color="auto" w:fill="FFFF00"/>
          </w:tcPr>
          <w:p w14:paraId="0A50C323" w14:textId="77777777" w:rsidR="00B50DB4" w:rsidRPr="007F78CE" w:rsidRDefault="00B50DB4"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575AC3CB" w14:textId="77777777" w:rsidR="00B50DB4" w:rsidRPr="007F78CE" w:rsidRDefault="00B50DB4"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vAlign w:val="center"/>
          </w:tcPr>
          <w:p w14:paraId="501637C9" w14:textId="77777777" w:rsidR="00B50DB4" w:rsidRPr="007F78CE" w:rsidRDefault="00B50DB4" w:rsidP="00345918">
            <w:pPr>
              <w:spacing w:after="0" w:line="240" w:lineRule="auto"/>
              <w:contextualSpacing/>
              <w:rPr>
                <w:rFonts w:ascii="Arial Narrow" w:hAnsi="Arial Narrow" w:cs="Arial"/>
                <w:sz w:val="20"/>
                <w:szCs w:val="20"/>
              </w:rPr>
            </w:pPr>
            <w:r>
              <w:rPr>
                <w:rFonts w:ascii="Arial Narrow" w:hAnsi="Arial Narrow" w:cs="Arial"/>
                <w:sz w:val="20"/>
                <w:szCs w:val="20"/>
              </w:rPr>
              <w:t xml:space="preserve">Moyenne </w:t>
            </w:r>
          </w:p>
        </w:tc>
        <w:tc>
          <w:tcPr>
            <w:tcW w:w="883" w:type="dxa"/>
            <w:shd w:val="clear" w:color="auto" w:fill="FFC000"/>
            <w:vAlign w:val="center"/>
          </w:tcPr>
          <w:p w14:paraId="7F66E937" w14:textId="77777777" w:rsidR="00B50DB4" w:rsidRPr="007F78CE" w:rsidRDefault="00B50DB4" w:rsidP="00345918">
            <w:pPr>
              <w:spacing w:after="0" w:line="240" w:lineRule="auto"/>
              <w:contextualSpacing/>
              <w:rPr>
                <w:rFonts w:ascii="Arial Narrow" w:hAnsi="Arial Narrow" w:cs="Arial"/>
                <w:sz w:val="20"/>
                <w:szCs w:val="20"/>
              </w:rPr>
            </w:pPr>
            <w:r>
              <w:rPr>
                <w:rFonts w:ascii="Arial Narrow" w:hAnsi="Arial Narrow" w:cs="Arial"/>
                <w:sz w:val="20"/>
                <w:szCs w:val="20"/>
              </w:rPr>
              <w:t xml:space="preserve">Elevé </w:t>
            </w:r>
          </w:p>
        </w:tc>
      </w:tr>
      <w:tr w:rsidR="00345918" w:rsidRPr="007F78CE" w14:paraId="13D4BDD5" w14:textId="77777777" w:rsidTr="00FB04F6">
        <w:trPr>
          <w:jc w:val="center"/>
        </w:trPr>
        <w:tc>
          <w:tcPr>
            <w:tcW w:w="1698" w:type="dxa"/>
          </w:tcPr>
          <w:p w14:paraId="71C8B422" w14:textId="77777777" w:rsidR="001716F8" w:rsidRDefault="001716F8" w:rsidP="001C596F">
            <w:pPr>
              <w:spacing w:after="0" w:line="240" w:lineRule="auto"/>
              <w:contextualSpacing/>
              <w:rPr>
                <w:rFonts w:ascii="Arial Narrow" w:hAnsi="Arial Narrow" w:cs="Arial"/>
                <w:sz w:val="20"/>
                <w:szCs w:val="20"/>
              </w:rPr>
            </w:pPr>
            <w:r>
              <w:rPr>
                <w:rFonts w:ascii="Arial Narrow" w:hAnsi="Arial Narrow" w:cs="Arial"/>
                <w:sz w:val="20"/>
                <w:szCs w:val="20"/>
              </w:rPr>
              <w:t>Impact cumulé</w:t>
            </w:r>
          </w:p>
        </w:tc>
        <w:tc>
          <w:tcPr>
            <w:tcW w:w="1046" w:type="dxa"/>
            <w:shd w:val="clear" w:color="auto" w:fill="auto"/>
          </w:tcPr>
          <w:p w14:paraId="3BB3621B" w14:textId="77777777" w:rsidR="001716F8" w:rsidRPr="007F78CE" w:rsidRDefault="001716F8" w:rsidP="00D70FB3">
            <w:pPr>
              <w:spacing w:after="0" w:line="240" w:lineRule="auto"/>
              <w:contextualSpacing/>
              <w:jc w:val="center"/>
              <w:rPr>
                <w:rFonts w:ascii="Arial Narrow" w:hAnsi="Arial Narrow" w:cs="Arial"/>
                <w:bCs/>
                <w:sz w:val="20"/>
                <w:szCs w:val="20"/>
              </w:rPr>
            </w:pPr>
            <w:r>
              <w:rPr>
                <w:rFonts w:ascii="Arial Narrow" w:hAnsi="Arial Narrow" w:cs="Arial"/>
                <w:sz w:val="20"/>
                <w:szCs w:val="20"/>
              </w:rPr>
              <w:t>Moyenne</w:t>
            </w:r>
          </w:p>
          <w:p w14:paraId="6BC7730F" w14:textId="77777777" w:rsidR="001716F8" w:rsidRDefault="001716F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(2</w:t>
            </w:r>
            <w:r w:rsidRPr="007F78CE">
              <w:rPr>
                <w:rFonts w:ascii="Arial Narrow" w:hAnsi="Arial Narrow" w:cs="Arial"/>
                <w:sz w:val="20"/>
                <w:szCs w:val="20"/>
              </w:rPr>
              <w:t>)</w:t>
            </w:r>
          </w:p>
        </w:tc>
        <w:tc>
          <w:tcPr>
            <w:tcW w:w="949" w:type="dxa"/>
            <w:shd w:val="clear" w:color="auto" w:fill="auto"/>
          </w:tcPr>
          <w:p w14:paraId="5D95EAB4"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5B59D6BA"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021" w:type="dxa"/>
            <w:shd w:val="clear" w:color="auto" w:fill="auto"/>
          </w:tcPr>
          <w:p w14:paraId="208F8785" w14:textId="77777777" w:rsidR="001716F8" w:rsidRPr="007F78CE" w:rsidRDefault="001716F8" w:rsidP="00D70FB3">
            <w:pPr>
              <w:spacing w:after="0" w:line="240" w:lineRule="auto"/>
              <w:contextualSpacing/>
              <w:jc w:val="center"/>
              <w:rPr>
                <w:rFonts w:ascii="Arial Narrow" w:hAnsi="Arial Narrow" w:cs="Arial"/>
                <w:sz w:val="20"/>
                <w:szCs w:val="20"/>
              </w:rPr>
            </w:pPr>
            <w:r>
              <w:rPr>
                <w:rFonts w:ascii="Arial Narrow" w:hAnsi="Arial Narrow" w:cs="Arial"/>
                <w:sz w:val="20"/>
                <w:szCs w:val="20"/>
              </w:rPr>
              <w:t>Courte</w:t>
            </w:r>
          </w:p>
          <w:p w14:paraId="3D4ECD03" w14:textId="77777777" w:rsidR="001716F8"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1331" w:type="dxa"/>
            <w:shd w:val="clear" w:color="auto" w:fill="auto"/>
          </w:tcPr>
          <w:p w14:paraId="131BC1D0"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2AE6F43F"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96" w:type="dxa"/>
            <w:shd w:val="clear" w:color="auto" w:fill="FFFF00"/>
          </w:tcPr>
          <w:p w14:paraId="7934EAC0"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7E1ECE18"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vAlign w:val="center"/>
          </w:tcPr>
          <w:p w14:paraId="7ED562C7" w14:textId="77777777" w:rsidR="001716F8" w:rsidRDefault="001716F8" w:rsidP="00B50DB4">
            <w:pPr>
              <w:spacing w:after="0" w:line="240" w:lineRule="auto"/>
              <w:contextualSpacing/>
              <w:rPr>
                <w:rFonts w:ascii="Arial Narrow" w:hAnsi="Arial Narrow" w:cs="Arial"/>
                <w:sz w:val="20"/>
                <w:szCs w:val="20"/>
              </w:rPr>
            </w:pPr>
            <w:r>
              <w:rPr>
                <w:rFonts w:ascii="Arial Narrow" w:hAnsi="Arial Narrow" w:cs="Arial"/>
                <w:sz w:val="20"/>
                <w:szCs w:val="20"/>
              </w:rPr>
              <w:t>Faible</w:t>
            </w:r>
          </w:p>
        </w:tc>
        <w:tc>
          <w:tcPr>
            <w:tcW w:w="883" w:type="dxa"/>
            <w:shd w:val="clear" w:color="auto" w:fill="BFBFBF"/>
            <w:vAlign w:val="center"/>
          </w:tcPr>
          <w:p w14:paraId="5B3B7A6E" w14:textId="77777777" w:rsidR="001716F8" w:rsidRDefault="001716F8" w:rsidP="00B50DB4">
            <w:pPr>
              <w:spacing w:after="0" w:line="240" w:lineRule="auto"/>
              <w:contextualSpacing/>
              <w:rPr>
                <w:rFonts w:ascii="Arial Narrow" w:hAnsi="Arial Narrow" w:cs="Arial"/>
                <w:sz w:val="20"/>
                <w:szCs w:val="20"/>
              </w:rPr>
            </w:pPr>
            <w:r>
              <w:rPr>
                <w:rFonts w:ascii="Arial Narrow" w:hAnsi="Arial Narrow" w:cs="Arial"/>
                <w:sz w:val="20"/>
                <w:szCs w:val="20"/>
              </w:rPr>
              <w:t xml:space="preserve">Faibe </w:t>
            </w:r>
          </w:p>
        </w:tc>
      </w:tr>
    </w:tbl>
    <w:p w14:paraId="63834F1F" w14:textId="77777777" w:rsidR="00261590" w:rsidRDefault="00261590" w:rsidP="00B434A6">
      <w:pPr>
        <w:pStyle w:val="Normal12"/>
        <w:spacing w:before="100" w:beforeAutospacing="1" w:after="100" w:afterAutospacing="1"/>
        <w:contextualSpacing/>
        <w:rPr>
          <w:i/>
          <w:iCs/>
          <w:lang w:val="fr-FR"/>
        </w:rPr>
      </w:pPr>
    </w:p>
    <w:p w14:paraId="3F7F41B0" w14:textId="77777777" w:rsidR="00261590" w:rsidRPr="004A211E" w:rsidRDefault="00261590" w:rsidP="00F01166">
      <w:pPr>
        <w:pStyle w:val="Normal12"/>
        <w:numPr>
          <w:ilvl w:val="0"/>
          <w:numId w:val="85"/>
        </w:numPr>
        <w:spacing w:before="120" w:after="120"/>
        <w:contextualSpacing/>
        <w:rPr>
          <w:i/>
          <w:iCs/>
          <w:lang w:val="fr-FR"/>
        </w:rPr>
      </w:pPr>
      <w:r w:rsidRPr="00B434A6">
        <w:rPr>
          <w:i/>
          <w:iCs/>
          <w:lang w:val="fr-FR"/>
        </w:rPr>
        <w:t>Pertes des services écosytèmiques des végétations</w:t>
      </w:r>
    </w:p>
    <w:p w14:paraId="1007C638" w14:textId="77777777" w:rsidR="00261590" w:rsidRDefault="00261590" w:rsidP="00B434A6">
      <w:pPr>
        <w:spacing w:line="240" w:lineRule="auto"/>
        <w:jc w:val="both"/>
        <w:rPr>
          <w:rFonts w:ascii="Arial" w:hAnsi="Arial" w:cs="Arial"/>
        </w:rPr>
      </w:pPr>
      <w:r>
        <w:rPr>
          <w:rFonts w:ascii="Arial" w:hAnsi="Arial" w:cs="Arial"/>
        </w:rPr>
        <w:t xml:space="preserve">La disparition de la végétation lors des travaux de terrassement et de décapage entraine la perte des services </w:t>
      </w:r>
      <w:r w:rsidR="00067C78">
        <w:rPr>
          <w:rFonts w:ascii="Arial" w:hAnsi="Arial" w:cs="Arial"/>
        </w:rPr>
        <w:t>écosystémiques</w:t>
      </w:r>
      <w:r>
        <w:rPr>
          <w:rFonts w:ascii="Arial" w:hAnsi="Arial" w:cs="Arial"/>
        </w:rPr>
        <w:t xml:space="preserve"> des formations végétales dans la zone d’emprise des sous projets. Effectivement les formations végétales dans la zone d’emprise n’ont pas d’intérêt scientifique et écologique notable, elles peuvent jouer un rôle dans la protection de sol (cas des savanes et reboisement) et dans le stockage de CO2 (Arbres, buissons, etc.). </w:t>
      </w:r>
      <w:r w:rsidR="00E70D29">
        <w:rPr>
          <w:rFonts w:ascii="Arial" w:hAnsi="Arial" w:cs="Arial"/>
        </w:rPr>
        <w:t>En</w:t>
      </w:r>
      <w:r>
        <w:rPr>
          <w:rFonts w:ascii="Arial" w:hAnsi="Arial" w:cs="Arial"/>
        </w:rPr>
        <w:t xml:space="preserve"> outre, certaines formations végétales </w:t>
      </w:r>
      <w:r w:rsidR="00E70D29">
        <w:rPr>
          <w:rFonts w:ascii="Arial" w:hAnsi="Arial" w:cs="Arial"/>
        </w:rPr>
        <w:t xml:space="preserve">et espèces </w:t>
      </w:r>
      <w:r>
        <w:rPr>
          <w:rFonts w:ascii="Arial" w:hAnsi="Arial" w:cs="Arial"/>
        </w:rPr>
        <w:t xml:space="preserve">ont une importance dans la vie de la population locale comme les savanes qui servent de zones de pâturage </w:t>
      </w:r>
      <w:r w:rsidR="00E70D29">
        <w:rPr>
          <w:rFonts w:ascii="Arial" w:hAnsi="Arial" w:cs="Arial"/>
        </w:rPr>
        <w:t>pour les bétails, les arbres qui s</w:t>
      </w:r>
      <w:r w:rsidR="00283C4B">
        <w:rPr>
          <w:rFonts w:ascii="Arial" w:hAnsi="Arial" w:cs="Arial"/>
        </w:rPr>
        <w:t>on</w:t>
      </w:r>
      <w:r w:rsidR="00E70D29">
        <w:rPr>
          <w:rFonts w:ascii="Arial" w:hAnsi="Arial" w:cs="Arial"/>
        </w:rPr>
        <w:t xml:space="preserve">t utilisés comme source d’énergie ou de construction. La perte de ces végétations diminue ainsi sa fonction </w:t>
      </w:r>
      <w:r w:rsidR="00067C78">
        <w:rPr>
          <w:rFonts w:ascii="Arial" w:hAnsi="Arial" w:cs="Arial"/>
        </w:rPr>
        <w:t>écosystémique</w:t>
      </w:r>
      <w:r w:rsidR="00E70D29">
        <w:rPr>
          <w:rFonts w:ascii="Arial" w:hAnsi="Arial" w:cs="Arial"/>
        </w:rPr>
        <w:t xml:space="preserve">. </w:t>
      </w:r>
    </w:p>
    <w:p w14:paraId="154C1E8C" w14:textId="77777777" w:rsidR="00261590" w:rsidRDefault="00E70D29" w:rsidP="00B434A6">
      <w:pPr>
        <w:spacing w:line="240" w:lineRule="auto"/>
        <w:jc w:val="both"/>
        <w:rPr>
          <w:rFonts w:ascii="Arial" w:hAnsi="Arial" w:cs="Arial"/>
        </w:rPr>
      </w:pPr>
      <w:r>
        <w:rPr>
          <w:rFonts w:ascii="Arial" w:hAnsi="Arial" w:cs="Arial"/>
        </w:rPr>
        <w:t>Heureusement, les différents types de végétations touchées par la mise en place des infrastructures dans le cadre du Projet DECIM sont des formations végétales à large distribution. L’importance de ce type d’impact est ainsi considérée comme « Mineure »</w:t>
      </w:r>
      <w:r w:rsidR="00F35414">
        <w:rPr>
          <w:rFonts w:ascii="Arial" w:hAnsi="Arial" w:cs="Arial"/>
        </w:rPr>
        <w:t xml:space="preserve"> selon le tableau ci-dessous.</w:t>
      </w:r>
    </w:p>
    <w:p w14:paraId="243CB049" w14:textId="77777777" w:rsidR="00E70D29" w:rsidRPr="00B434A6" w:rsidRDefault="00E70D29" w:rsidP="00B434A6">
      <w:pPr>
        <w:pStyle w:val="Lgende"/>
        <w:spacing w:before="120"/>
        <w:jc w:val="center"/>
        <w:rPr>
          <w:sz w:val="20"/>
        </w:rPr>
      </w:pPr>
      <w:bookmarkStart w:id="926" w:name="_Toc127957826"/>
      <w:r w:rsidRPr="00B434A6">
        <w:rPr>
          <w:sz w:val="20"/>
        </w:rPr>
        <w:t xml:space="preserve">Tableau </w:t>
      </w:r>
      <w:r w:rsidRPr="00B434A6">
        <w:rPr>
          <w:sz w:val="20"/>
        </w:rPr>
        <w:fldChar w:fldCharType="begin"/>
      </w:r>
      <w:r w:rsidRPr="00B434A6">
        <w:rPr>
          <w:sz w:val="20"/>
        </w:rPr>
        <w:instrText xml:space="preserve"> SEQ Tableau \* ARABIC </w:instrText>
      </w:r>
      <w:r w:rsidRPr="00B434A6">
        <w:rPr>
          <w:sz w:val="20"/>
        </w:rPr>
        <w:fldChar w:fldCharType="separate"/>
      </w:r>
      <w:r w:rsidR="005430A1">
        <w:rPr>
          <w:noProof/>
          <w:sz w:val="20"/>
        </w:rPr>
        <w:t>30</w:t>
      </w:r>
      <w:r w:rsidRPr="00B434A6">
        <w:rPr>
          <w:sz w:val="20"/>
        </w:rPr>
        <w:fldChar w:fldCharType="end"/>
      </w:r>
      <w:r w:rsidRPr="00B434A6">
        <w:rPr>
          <w:sz w:val="20"/>
        </w:rPr>
        <w:t xml:space="preserve">. Evaluation de l’impact - perte des services </w:t>
      </w:r>
      <w:r w:rsidR="00067C78" w:rsidRPr="00B434A6">
        <w:rPr>
          <w:sz w:val="20"/>
        </w:rPr>
        <w:t>écosystémiques</w:t>
      </w:r>
      <w:bookmarkEnd w:id="926"/>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040"/>
        <w:gridCol w:w="1011"/>
        <w:gridCol w:w="1009"/>
        <w:gridCol w:w="1326"/>
        <w:gridCol w:w="1288"/>
        <w:gridCol w:w="1064"/>
        <w:gridCol w:w="869"/>
        <w:tblGridChange w:id="927">
          <w:tblGrid>
            <w:gridCol w:w="1681"/>
            <w:gridCol w:w="1040"/>
            <w:gridCol w:w="1011"/>
            <w:gridCol w:w="1009"/>
            <w:gridCol w:w="1326"/>
            <w:gridCol w:w="1288"/>
            <w:gridCol w:w="1064"/>
            <w:gridCol w:w="869"/>
          </w:tblGrid>
        </w:tblGridChange>
      </w:tblGrid>
      <w:tr w:rsidR="00814C88" w:rsidRPr="007F78CE" w14:paraId="5D38BFFF" w14:textId="77777777" w:rsidTr="00345918">
        <w:trPr>
          <w:jc w:val="center"/>
        </w:trPr>
        <w:tc>
          <w:tcPr>
            <w:tcW w:w="1681" w:type="dxa"/>
            <w:shd w:val="clear" w:color="auto" w:fill="BFBFBF"/>
          </w:tcPr>
          <w:p w14:paraId="4743A8AD" w14:textId="77777777" w:rsidR="00814C88" w:rsidRPr="007F78CE" w:rsidRDefault="00814C88" w:rsidP="00713368">
            <w:pPr>
              <w:spacing w:after="0" w:line="240" w:lineRule="auto"/>
              <w:jc w:val="center"/>
              <w:rPr>
                <w:rFonts w:ascii="Arial Narrow" w:hAnsi="Arial Narrow"/>
                <w:b/>
                <w:bCs/>
                <w:sz w:val="20"/>
                <w:szCs w:val="20"/>
              </w:rPr>
            </w:pPr>
            <w:r>
              <w:rPr>
                <w:rFonts w:ascii="Arial Narrow" w:hAnsi="Arial Narrow"/>
                <w:b/>
                <w:bCs/>
                <w:sz w:val="20"/>
                <w:szCs w:val="20"/>
              </w:rPr>
              <w:t>Sous Projet</w:t>
            </w:r>
          </w:p>
        </w:tc>
        <w:tc>
          <w:tcPr>
            <w:tcW w:w="1040" w:type="dxa"/>
            <w:shd w:val="clear" w:color="auto" w:fill="BFBFBF"/>
          </w:tcPr>
          <w:p w14:paraId="09AACB9E" w14:textId="77777777" w:rsidR="00814C88" w:rsidRPr="007F78CE" w:rsidRDefault="00814C88" w:rsidP="00713368">
            <w:pPr>
              <w:spacing w:after="0" w:line="240" w:lineRule="auto"/>
              <w:jc w:val="center"/>
              <w:rPr>
                <w:rFonts w:ascii="Arial Narrow" w:hAnsi="Arial Narrow"/>
                <w:b/>
                <w:sz w:val="20"/>
                <w:szCs w:val="20"/>
              </w:rPr>
            </w:pPr>
            <w:r w:rsidRPr="007F78CE">
              <w:rPr>
                <w:rFonts w:ascii="Arial Narrow" w:hAnsi="Arial Narrow"/>
                <w:b/>
                <w:bCs/>
                <w:sz w:val="20"/>
                <w:szCs w:val="20"/>
              </w:rPr>
              <w:t>Intensité</w:t>
            </w:r>
          </w:p>
        </w:tc>
        <w:tc>
          <w:tcPr>
            <w:tcW w:w="1011" w:type="dxa"/>
            <w:shd w:val="clear" w:color="auto" w:fill="BFBFBF"/>
          </w:tcPr>
          <w:p w14:paraId="78522CE9" w14:textId="77777777" w:rsidR="00814C88" w:rsidRPr="007F78CE" w:rsidRDefault="00814C88" w:rsidP="00713368">
            <w:pPr>
              <w:spacing w:after="0" w:line="240" w:lineRule="auto"/>
              <w:jc w:val="center"/>
              <w:rPr>
                <w:rFonts w:ascii="Arial Narrow" w:hAnsi="Arial Narrow"/>
                <w:b/>
                <w:bCs/>
                <w:sz w:val="20"/>
                <w:szCs w:val="20"/>
              </w:rPr>
            </w:pPr>
            <w:r w:rsidRPr="007F78CE">
              <w:rPr>
                <w:rFonts w:ascii="Arial Narrow" w:hAnsi="Arial Narrow"/>
                <w:b/>
                <w:bCs/>
                <w:sz w:val="20"/>
                <w:szCs w:val="20"/>
              </w:rPr>
              <w:t>Étendue</w:t>
            </w:r>
          </w:p>
        </w:tc>
        <w:tc>
          <w:tcPr>
            <w:tcW w:w="1009" w:type="dxa"/>
            <w:shd w:val="clear" w:color="auto" w:fill="BFBFBF"/>
          </w:tcPr>
          <w:p w14:paraId="0391CF8C" w14:textId="77777777" w:rsidR="00814C88" w:rsidRPr="007F78CE" w:rsidRDefault="00814C88" w:rsidP="00713368">
            <w:pPr>
              <w:spacing w:after="0" w:line="240" w:lineRule="auto"/>
              <w:jc w:val="center"/>
              <w:rPr>
                <w:rFonts w:ascii="Arial Narrow" w:hAnsi="Arial Narrow"/>
                <w:b/>
                <w:bCs/>
                <w:sz w:val="20"/>
                <w:szCs w:val="20"/>
              </w:rPr>
            </w:pPr>
            <w:r w:rsidRPr="007F78CE">
              <w:rPr>
                <w:rFonts w:ascii="Arial Narrow" w:hAnsi="Arial Narrow"/>
                <w:b/>
                <w:bCs/>
                <w:sz w:val="20"/>
                <w:szCs w:val="20"/>
              </w:rPr>
              <w:t>Durée</w:t>
            </w:r>
          </w:p>
        </w:tc>
        <w:tc>
          <w:tcPr>
            <w:tcW w:w="1326" w:type="dxa"/>
            <w:shd w:val="clear" w:color="auto" w:fill="BFBFBF"/>
          </w:tcPr>
          <w:p w14:paraId="0BD3ECBA" w14:textId="77777777" w:rsidR="00814C88" w:rsidRPr="007F78CE" w:rsidRDefault="00814C88" w:rsidP="00713368">
            <w:pPr>
              <w:spacing w:after="0" w:line="240" w:lineRule="auto"/>
              <w:jc w:val="center"/>
              <w:rPr>
                <w:rFonts w:ascii="Arial Narrow" w:hAnsi="Arial Narrow"/>
                <w:b/>
                <w:bCs/>
                <w:sz w:val="20"/>
                <w:szCs w:val="20"/>
              </w:rPr>
            </w:pPr>
            <w:r w:rsidRPr="007F78CE">
              <w:rPr>
                <w:rFonts w:ascii="Arial Narrow" w:hAnsi="Arial Narrow"/>
                <w:b/>
                <w:bCs/>
                <w:sz w:val="20"/>
                <w:szCs w:val="20"/>
              </w:rPr>
              <w:t>Réversibilité</w:t>
            </w:r>
          </w:p>
        </w:tc>
        <w:tc>
          <w:tcPr>
            <w:tcW w:w="1288" w:type="dxa"/>
            <w:shd w:val="clear" w:color="auto" w:fill="BFBFBF"/>
          </w:tcPr>
          <w:p w14:paraId="5C2D5E41" w14:textId="77777777" w:rsidR="00814C88" w:rsidRPr="007F78CE" w:rsidRDefault="00814C88" w:rsidP="00713368">
            <w:pPr>
              <w:spacing w:after="0" w:line="240" w:lineRule="auto"/>
              <w:jc w:val="center"/>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BFBFBF"/>
          </w:tcPr>
          <w:p w14:paraId="5385D6C7" w14:textId="77777777" w:rsidR="00814C88" w:rsidRPr="007F78CE" w:rsidRDefault="00814C88" w:rsidP="00713368">
            <w:pPr>
              <w:spacing w:after="0" w:line="240" w:lineRule="auto"/>
              <w:jc w:val="center"/>
              <w:rPr>
                <w:rFonts w:ascii="Arial Narrow" w:hAnsi="Arial Narrow"/>
                <w:b/>
                <w:bCs/>
                <w:sz w:val="20"/>
                <w:szCs w:val="20"/>
              </w:rPr>
            </w:pPr>
            <w:r>
              <w:rPr>
                <w:rFonts w:ascii="Arial Narrow" w:hAnsi="Arial Narrow"/>
                <w:b/>
                <w:bCs/>
                <w:sz w:val="20"/>
                <w:szCs w:val="20"/>
              </w:rPr>
              <w:t>Probabilité</w:t>
            </w:r>
          </w:p>
        </w:tc>
        <w:tc>
          <w:tcPr>
            <w:tcW w:w="869" w:type="dxa"/>
            <w:shd w:val="clear" w:color="auto" w:fill="BFBFBF"/>
          </w:tcPr>
          <w:p w14:paraId="508D711A" w14:textId="77777777" w:rsidR="00814C88" w:rsidRPr="007F78CE" w:rsidRDefault="00814C88" w:rsidP="00713368">
            <w:pPr>
              <w:spacing w:after="0" w:line="240" w:lineRule="auto"/>
              <w:jc w:val="center"/>
              <w:rPr>
                <w:rFonts w:ascii="Arial Narrow" w:hAnsi="Arial Narrow"/>
                <w:b/>
                <w:bCs/>
                <w:sz w:val="20"/>
                <w:szCs w:val="20"/>
              </w:rPr>
            </w:pPr>
            <w:r>
              <w:rPr>
                <w:rFonts w:ascii="Arial Narrow" w:hAnsi="Arial Narrow"/>
                <w:b/>
                <w:bCs/>
                <w:sz w:val="20"/>
                <w:szCs w:val="20"/>
              </w:rPr>
              <w:t>Risque</w:t>
            </w:r>
          </w:p>
        </w:tc>
      </w:tr>
      <w:tr w:rsidR="00345918" w:rsidRPr="007F78CE" w14:paraId="2298C1A8" w14:textId="77777777" w:rsidTr="00FB04F6">
        <w:trPr>
          <w:jc w:val="center"/>
        </w:trPr>
        <w:tc>
          <w:tcPr>
            <w:tcW w:w="1681" w:type="dxa"/>
          </w:tcPr>
          <w:p w14:paraId="652A7366" w14:textId="77777777" w:rsidR="00814C88" w:rsidRPr="007F78CE" w:rsidRDefault="00814C88" w:rsidP="00713368">
            <w:pPr>
              <w:spacing w:after="0" w:line="240" w:lineRule="auto"/>
              <w:contextualSpacing/>
              <w:rPr>
                <w:rFonts w:ascii="Arial Narrow" w:hAnsi="Arial Narrow" w:cs="Arial"/>
                <w:sz w:val="20"/>
                <w:szCs w:val="20"/>
              </w:rPr>
            </w:pPr>
            <w:r>
              <w:rPr>
                <w:rFonts w:ascii="Arial Narrow" w:hAnsi="Arial Narrow" w:cs="Arial"/>
                <w:sz w:val="20"/>
                <w:szCs w:val="20"/>
              </w:rPr>
              <w:t>Infrastructure numérique</w:t>
            </w:r>
          </w:p>
        </w:tc>
        <w:tc>
          <w:tcPr>
            <w:tcW w:w="1040" w:type="dxa"/>
            <w:shd w:val="clear" w:color="auto" w:fill="auto"/>
          </w:tcPr>
          <w:p w14:paraId="289A0120" w14:textId="77777777" w:rsidR="00814C88" w:rsidRPr="007F78CE" w:rsidRDefault="00814C88" w:rsidP="00713368">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3729DFC6" w14:textId="77777777" w:rsidR="00814C88" w:rsidRPr="007F78CE" w:rsidRDefault="00814C88" w:rsidP="00713368">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11" w:type="dxa"/>
            <w:shd w:val="clear" w:color="auto" w:fill="auto"/>
          </w:tcPr>
          <w:p w14:paraId="5C7A7CC7" w14:textId="77777777" w:rsidR="00814C88" w:rsidRPr="007F78CE" w:rsidRDefault="00814C88" w:rsidP="00713368">
            <w:pPr>
              <w:spacing w:after="0" w:line="240" w:lineRule="auto"/>
              <w:contextualSpacing/>
              <w:jc w:val="center"/>
              <w:rPr>
                <w:rFonts w:ascii="Arial Narrow" w:hAnsi="Arial Narrow" w:cs="Arial"/>
                <w:sz w:val="20"/>
                <w:szCs w:val="20"/>
              </w:rPr>
            </w:pPr>
            <w:r>
              <w:rPr>
                <w:rFonts w:ascii="Arial Narrow" w:hAnsi="Arial Narrow" w:cs="Arial"/>
                <w:sz w:val="20"/>
                <w:szCs w:val="20"/>
              </w:rPr>
              <w:t>Ponctuelle</w:t>
            </w:r>
          </w:p>
          <w:p w14:paraId="6211D3EE" w14:textId="77777777" w:rsidR="00814C88" w:rsidRPr="007F78CE" w:rsidRDefault="00814C88" w:rsidP="00713368">
            <w:pPr>
              <w:spacing w:after="0" w:line="240" w:lineRule="auto"/>
              <w:contextualSpacing/>
              <w:jc w:val="center"/>
              <w:rPr>
                <w:rFonts w:ascii="Arial Narrow" w:hAnsi="Arial Narrow" w:cs="Arial"/>
                <w:sz w:val="20"/>
                <w:szCs w:val="20"/>
              </w:rPr>
            </w:pPr>
            <w:r>
              <w:rPr>
                <w:rFonts w:ascii="Arial Narrow" w:hAnsi="Arial Narrow" w:cs="Arial"/>
                <w:sz w:val="20"/>
                <w:szCs w:val="20"/>
              </w:rPr>
              <w:t>(1</w:t>
            </w:r>
            <w:r w:rsidRPr="007F78CE">
              <w:rPr>
                <w:rFonts w:ascii="Arial Narrow" w:hAnsi="Arial Narrow" w:cs="Arial"/>
                <w:sz w:val="20"/>
                <w:szCs w:val="20"/>
              </w:rPr>
              <w:t>)</w:t>
            </w:r>
          </w:p>
        </w:tc>
        <w:tc>
          <w:tcPr>
            <w:tcW w:w="1009" w:type="dxa"/>
            <w:shd w:val="clear" w:color="auto" w:fill="auto"/>
          </w:tcPr>
          <w:p w14:paraId="60FC320B" w14:textId="77777777" w:rsidR="00814C88" w:rsidRPr="007F78CE" w:rsidRDefault="00814C88" w:rsidP="00713368">
            <w:pPr>
              <w:spacing w:after="0" w:line="240" w:lineRule="auto"/>
              <w:contextualSpacing/>
              <w:jc w:val="center"/>
              <w:rPr>
                <w:rFonts w:ascii="Arial Narrow" w:hAnsi="Arial Narrow" w:cs="Arial"/>
                <w:sz w:val="20"/>
                <w:szCs w:val="20"/>
              </w:rPr>
            </w:pPr>
            <w:r>
              <w:rPr>
                <w:rFonts w:ascii="Arial Narrow" w:hAnsi="Arial Narrow" w:cs="Arial"/>
                <w:sz w:val="20"/>
                <w:szCs w:val="20"/>
              </w:rPr>
              <w:t>Courte</w:t>
            </w:r>
          </w:p>
          <w:p w14:paraId="4618AF01" w14:textId="77777777" w:rsidR="00814C88" w:rsidRPr="007F78CE" w:rsidRDefault="00814C88" w:rsidP="00713368">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1326" w:type="dxa"/>
            <w:shd w:val="clear" w:color="auto" w:fill="auto"/>
          </w:tcPr>
          <w:p w14:paraId="3BFE9F7E" w14:textId="77777777" w:rsidR="00814C88" w:rsidRPr="007F78CE" w:rsidRDefault="00814C88" w:rsidP="00713368">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32396E5B" w14:textId="77777777" w:rsidR="00814C88" w:rsidRPr="007F78CE" w:rsidRDefault="00814C88" w:rsidP="00713368">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88" w:type="dxa"/>
            <w:shd w:val="clear" w:color="auto" w:fill="00B050"/>
          </w:tcPr>
          <w:p w14:paraId="604B5AC5" w14:textId="77777777" w:rsidR="00814C88" w:rsidRPr="007F78CE" w:rsidRDefault="00814C88" w:rsidP="00713368">
            <w:pPr>
              <w:spacing w:after="0" w:line="240" w:lineRule="auto"/>
              <w:contextualSpacing/>
              <w:jc w:val="center"/>
              <w:rPr>
                <w:rFonts w:ascii="Arial Narrow" w:hAnsi="Arial Narrow" w:cs="Arial"/>
                <w:sz w:val="20"/>
                <w:szCs w:val="20"/>
              </w:rPr>
            </w:pPr>
            <w:r>
              <w:rPr>
                <w:rFonts w:ascii="Arial Narrow" w:hAnsi="Arial Narrow" w:cs="Arial"/>
                <w:sz w:val="20"/>
                <w:szCs w:val="20"/>
              </w:rPr>
              <w:t>Mineure</w:t>
            </w:r>
          </w:p>
          <w:p w14:paraId="45E61CDF" w14:textId="77777777" w:rsidR="00814C88" w:rsidRPr="007F78CE" w:rsidRDefault="00814C88" w:rsidP="00713368">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4</w:t>
            </w:r>
            <w:r w:rsidRPr="007F78CE">
              <w:rPr>
                <w:rFonts w:ascii="Arial Narrow" w:hAnsi="Arial Narrow" w:cs="Arial"/>
                <w:sz w:val="20"/>
                <w:szCs w:val="20"/>
              </w:rPr>
              <w:t>)</w:t>
            </w:r>
          </w:p>
        </w:tc>
        <w:tc>
          <w:tcPr>
            <w:tcW w:w="1064" w:type="dxa"/>
            <w:shd w:val="clear" w:color="auto" w:fill="auto"/>
          </w:tcPr>
          <w:p w14:paraId="27EE60AB" w14:textId="77777777" w:rsidR="00814C88" w:rsidRDefault="00814C88" w:rsidP="00713368">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869" w:type="dxa"/>
            <w:shd w:val="clear" w:color="auto" w:fill="538135"/>
            <w:vAlign w:val="center"/>
          </w:tcPr>
          <w:p w14:paraId="7EFF48CC" w14:textId="77777777" w:rsidR="00814C88" w:rsidRDefault="00814C88" w:rsidP="00713368">
            <w:pPr>
              <w:spacing w:after="0" w:line="240" w:lineRule="auto"/>
              <w:contextualSpacing/>
              <w:jc w:val="center"/>
              <w:rPr>
                <w:rFonts w:ascii="Arial Narrow" w:hAnsi="Arial Narrow" w:cs="Arial"/>
                <w:sz w:val="20"/>
                <w:szCs w:val="20"/>
              </w:rPr>
            </w:pPr>
            <w:r>
              <w:rPr>
                <w:rFonts w:ascii="Arial Narrow" w:hAnsi="Arial Narrow" w:cs="Arial"/>
                <w:sz w:val="20"/>
                <w:szCs w:val="20"/>
              </w:rPr>
              <w:t>Très faible</w:t>
            </w:r>
          </w:p>
        </w:tc>
      </w:tr>
      <w:tr w:rsidR="00345918" w:rsidRPr="007F78CE" w14:paraId="436E4203" w14:textId="77777777" w:rsidTr="00FB04F6">
        <w:trPr>
          <w:jc w:val="center"/>
        </w:trPr>
        <w:tc>
          <w:tcPr>
            <w:tcW w:w="1681" w:type="dxa"/>
          </w:tcPr>
          <w:p w14:paraId="594A1422" w14:textId="77777777" w:rsidR="00814C88" w:rsidRPr="007F78CE" w:rsidRDefault="00814C88" w:rsidP="00713368">
            <w:pPr>
              <w:spacing w:after="0" w:line="240" w:lineRule="auto"/>
              <w:contextualSpacing/>
              <w:rPr>
                <w:rFonts w:ascii="Arial Narrow" w:hAnsi="Arial Narrow" w:cs="Arial"/>
                <w:sz w:val="20"/>
                <w:szCs w:val="20"/>
              </w:rPr>
            </w:pPr>
            <w:r>
              <w:rPr>
                <w:rFonts w:ascii="Arial Narrow" w:hAnsi="Arial Narrow" w:cs="Arial"/>
                <w:sz w:val="20"/>
                <w:szCs w:val="20"/>
              </w:rPr>
              <w:t>Centrale électrique solaire</w:t>
            </w:r>
          </w:p>
        </w:tc>
        <w:tc>
          <w:tcPr>
            <w:tcW w:w="1040" w:type="dxa"/>
            <w:shd w:val="clear" w:color="auto" w:fill="auto"/>
          </w:tcPr>
          <w:p w14:paraId="09F34ED8" w14:textId="77777777" w:rsidR="00814C88" w:rsidRPr="007F78CE" w:rsidRDefault="00814C88" w:rsidP="00713368">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56247CEC" w14:textId="77777777" w:rsidR="00814C88" w:rsidRPr="007F78CE" w:rsidRDefault="00814C88" w:rsidP="00713368">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11" w:type="dxa"/>
            <w:shd w:val="clear" w:color="auto" w:fill="auto"/>
          </w:tcPr>
          <w:p w14:paraId="50D95C60" w14:textId="77777777" w:rsidR="00814C88" w:rsidRPr="007F78CE" w:rsidRDefault="00814C88" w:rsidP="00713368">
            <w:pPr>
              <w:spacing w:after="0" w:line="240" w:lineRule="auto"/>
              <w:contextualSpacing/>
              <w:jc w:val="center"/>
              <w:rPr>
                <w:rFonts w:ascii="Arial Narrow" w:hAnsi="Arial Narrow" w:cs="Arial"/>
                <w:sz w:val="20"/>
                <w:szCs w:val="20"/>
              </w:rPr>
            </w:pPr>
            <w:r>
              <w:rPr>
                <w:rFonts w:ascii="Arial Narrow" w:hAnsi="Arial Narrow" w:cs="Arial"/>
                <w:sz w:val="20"/>
                <w:szCs w:val="20"/>
              </w:rPr>
              <w:t>Ponctuelle</w:t>
            </w:r>
          </w:p>
          <w:p w14:paraId="3DB9A545" w14:textId="77777777" w:rsidR="00814C88" w:rsidRPr="007F78CE" w:rsidRDefault="00814C88" w:rsidP="00713368">
            <w:pPr>
              <w:spacing w:after="0" w:line="240" w:lineRule="auto"/>
              <w:contextualSpacing/>
              <w:jc w:val="center"/>
              <w:rPr>
                <w:rFonts w:ascii="Arial Narrow" w:hAnsi="Arial Narrow" w:cs="Arial"/>
                <w:sz w:val="20"/>
                <w:szCs w:val="20"/>
              </w:rPr>
            </w:pPr>
            <w:r>
              <w:rPr>
                <w:rFonts w:ascii="Arial Narrow" w:hAnsi="Arial Narrow" w:cs="Arial"/>
                <w:sz w:val="20"/>
                <w:szCs w:val="20"/>
              </w:rPr>
              <w:t>(1</w:t>
            </w:r>
            <w:r w:rsidRPr="007F78CE">
              <w:rPr>
                <w:rFonts w:ascii="Arial Narrow" w:hAnsi="Arial Narrow" w:cs="Arial"/>
                <w:sz w:val="20"/>
                <w:szCs w:val="20"/>
              </w:rPr>
              <w:t>)</w:t>
            </w:r>
          </w:p>
        </w:tc>
        <w:tc>
          <w:tcPr>
            <w:tcW w:w="1009" w:type="dxa"/>
            <w:shd w:val="clear" w:color="auto" w:fill="auto"/>
          </w:tcPr>
          <w:p w14:paraId="16060C1B" w14:textId="77777777" w:rsidR="00814C88" w:rsidRPr="007F78CE" w:rsidRDefault="00814C88" w:rsidP="00713368">
            <w:pPr>
              <w:spacing w:after="0" w:line="240" w:lineRule="auto"/>
              <w:contextualSpacing/>
              <w:jc w:val="center"/>
              <w:rPr>
                <w:rFonts w:ascii="Arial Narrow" w:hAnsi="Arial Narrow" w:cs="Arial"/>
                <w:sz w:val="20"/>
                <w:szCs w:val="20"/>
              </w:rPr>
            </w:pPr>
            <w:r>
              <w:rPr>
                <w:rFonts w:ascii="Arial Narrow" w:hAnsi="Arial Narrow" w:cs="Arial"/>
                <w:sz w:val="20"/>
                <w:szCs w:val="20"/>
              </w:rPr>
              <w:t>Courte</w:t>
            </w:r>
          </w:p>
          <w:p w14:paraId="010B1897" w14:textId="77777777" w:rsidR="00814C88" w:rsidRPr="007F78CE" w:rsidRDefault="00814C88" w:rsidP="00713368">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1326" w:type="dxa"/>
            <w:shd w:val="clear" w:color="auto" w:fill="auto"/>
          </w:tcPr>
          <w:p w14:paraId="21BB15D9" w14:textId="77777777" w:rsidR="00814C88" w:rsidRPr="007F78CE" w:rsidRDefault="00814C88" w:rsidP="00713368">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2141FA21" w14:textId="77777777" w:rsidR="00814C88" w:rsidRPr="007F78CE" w:rsidRDefault="00814C88" w:rsidP="00713368">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88" w:type="dxa"/>
            <w:shd w:val="clear" w:color="auto" w:fill="00B050"/>
          </w:tcPr>
          <w:p w14:paraId="7B259039" w14:textId="77777777" w:rsidR="00814C88" w:rsidRPr="007F78CE" w:rsidRDefault="00814C88" w:rsidP="00713368">
            <w:pPr>
              <w:spacing w:after="0" w:line="240" w:lineRule="auto"/>
              <w:contextualSpacing/>
              <w:jc w:val="center"/>
              <w:rPr>
                <w:rFonts w:ascii="Arial Narrow" w:hAnsi="Arial Narrow" w:cs="Arial"/>
                <w:sz w:val="20"/>
                <w:szCs w:val="20"/>
              </w:rPr>
            </w:pPr>
            <w:r>
              <w:rPr>
                <w:rFonts w:ascii="Arial Narrow" w:hAnsi="Arial Narrow" w:cs="Arial"/>
                <w:sz w:val="20"/>
                <w:szCs w:val="20"/>
              </w:rPr>
              <w:t>Mineure</w:t>
            </w:r>
          </w:p>
          <w:p w14:paraId="6B1AE728" w14:textId="77777777" w:rsidR="00814C88" w:rsidRPr="007F78CE" w:rsidRDefault="00814C88" w:rsidP="00713368">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4</w:t>
            </w:r>
            <w:r w:rsidRPr="007F78CE">
              <w:rPr>
                <w:rFonts w:ascii="Arial Narrow" w:hAnsi="Arial Narrow" w:cs="Arial"/>
                <w:sz w:val="20"/>
                <w:szCs w:val="20"/>
              </w:rPr>
              <w:t>)</w:t>
            </w:r>
          </w:p>
        </w:tc>
        <w:tc>
          <w:tcPr>
            <w:tcW w:w="1064" w:type="dxa"/>
            <w:shd w:val="clear" w:color="auto" w:fill="auto"/>
          </w:tcPr>
          <w:p w14:paraId="0222E94A" w14:textId="77777777" w:rsidR="00814C88" w:rsidRDefault="00814C88" w:rsidP="00713368">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 xml:space="preserve">Faible </w:t>
            </w:r>
          </w:p>
        </w:tc>
        <w:tc>
          <w:tcPr>
            <w:tcW w:w="869" w:type="dxa"/>
            <w:shd w:val="clear" w:color="auto" w:fill="538135"/>
            <w:vAlign w:val="center"/>
          </w:tcPr>
          <w:p w14:paraId="105C63D3" w14:textId="77777777" w:rsidR="00814C88" w:rsidRDefault="00814C88" w:rsidP="00713368">
            <w:pPr>
              <w:spacing w:after="0" w:line="240" w:lineRule="auto"/>
              <w:contextualSpacing/>
              <w:jc w:val="center"/>
              <w:rPr>
                <w:rFonts w:ascii="Arial Narrow" w:hAnsi="Arial Narrow" w:cs="Arial"/>
                <w:sz w:val="20"/>
                <w:szCs w:val="20"/>
              </w:rPr>
            </w:pPr>
            <w:r>
              <w:rPr>
                <w:rFonts w:ascii="Arial Narrow" w:hAnsi="Arial Narrow" w:cs="Arial"/>
                <w:sz w:val="20"/>
                <w:szCs w:val="20"/>
              </w:rPr>
              <w:t>Très faible</w:t>
            </w:r>
          </w:p>
        </w:tc>
      </w:tr>
      <w:tr w:rsidR="00345918" w:rsidRPr="007F78CE" w14:paraId="74C6CB6B" w14:textId="77777777" w:rsidTr="00FB04F6">
        <w:trPr>
          <w:jc w:val="center"/>
        </w:trPr>
        <w:tc>
          <w:tcPr>
            <w:tcW w:w="1681" w:type="dxa"/>
          </w:tcPr>
          <w:p w14:paraId="77E74BF2" w14:textId="77777777" w:rsidR="00814C88" w:rsidRPr="007F78CE" w:rsidRDefault="00814C88" w:rsidP="00713368">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40" w:type="dxa"/>
            <w:shd w:val="clear" w:color="auto" w:fill="auto"/>
          </w:tcPr>
          <w:p w14:paraId="7F598177" w14:textId="77777777" w:rsidR="00814C88" w:rsidRPr="007F78CE" w:rsidRDefault="00814C88" w:rsidP="00713368">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27C8AA7E" w14:textId="77777777" w:rsidR="00814C88" w:rsidRPr="007F78CE" w:rsidRDefault="00814C88" w:rsidP="00713368">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11" w:type="dxa"/>
            <w:shd w:val="clear" w:color="auto" w:fill="auto"/>
          </w:tcPr>
          <w:p w14:paraId="58416BC7" w14:textId="77777777" w:rsidR="00814C88" w:rsidRPr="007F78CE" w:rsidRDefault="00814C88" w:rsidP="00713368">
            <w:pPr>
              <w:spacing w:after="0" w:line="240" w:lineRule="auto"/>
              <w:contextualSpacing/>
              <w:jc w:val="center"/>
              <w:rPr>
                <w:rFonts w:ascii="Arial Narrow" w:hAnsi="Arial Narrow" w:cs="Arial"/>
                <w:sz w:val="20"/>
                <w:szCs w:val="20"/>
              </w:rPr>
            </w:pPr>
            <w:r>
              <w:rPr>
                <w:rFonts w:ascii="Arial Narrow" w:hAnsi="Arial Narrow" w:cs="Arial"/>
                <w:sz w:val="20"/>
                <w:szCs w:val="20"/>
              </w:rPr>
              <w:t>Ponctuelle</w:t>
            </w:r>
          </w:p>
          <w:p w14:paraId="60D0A07C" w14:textId="77777777" w:rsidR="00814C88" w:rsidRPr="007F78CE" w:rsidRDefault="00814C88" w:rsidP="00713368">
            <w:pPr>
              <w:spacing w:after="0" w:line="240" w:lineRule="auto"/>
              <w:contextualSpacing/>
              <w:jc w:val="center"/>
              <w:rPr>
                <w:rFonts w:ascii="Arial Narrow" w:hAnsi="Arial Narrow" w:cs="Arial"/>
                <w:sz w:val="20"/>
                <w:szCs w:val="20"/>
              </w:rPr>
            </w:pPr>
            <w:r>
              <w:rPr>
                <w:rFonts w:ascii="Arial Narrow" w:hAnsi="Arial Narrow" w:cs="Arial"/>
                <w:sz w:val="20"/>
                <w:szCs w:val="20"/>
              </w:rPr>
              <w:t>(1</w:t>
            </w:r>
            <w:r w:rsidRPr="007F78CE">
              <w:rPr>
                <w:rFonts w:ascii="Arial Narrow" w:hAnsi="Arial Narrow" w:cs="Arial"/>
                <w:sz w:val="20"/>
                <w:szCs w:val="20"/>
              </w:rPr>
              <w:t>)</w:t>
            </w:r>
          </w:p>
        </w:tc>
        <w:tc>
          <w:tcPr>
            <w:tcW w:w="1009" w:type="dxa"/>
            <w:shd w:val="clear" w:color="auto" w:fill="auto"/>
          </w:tcPr>
          <w:p w14:paraId="3EA9A42A" w14:textId="77777777" w:rsidR="00814C88" w:rsidRPr="007F78CE" w:rsidRDefault="00814C88" w:rsidP="00713368">
            <w:pPr>
              <w:spacing w:after="0" w:line="240" w:lineRule="auto"/>
              <w:contextualSpacing/>
              <w:jc w:val="center"/>
              <w:rPr>
                <w:rFonts w:ascii="Arial Narrow" w:hAnsi="Arial Narrow" w:cs="Arial"/>
                <w:sz w:val="20"/>
                <w:szCs w:val="20"/>
              </w:rPr>
            </w:pPr>
            <w:r>
              <w:rPr>
                <w:rFonts w:ascii="Arial Narrow" w:hAnsi="Arial Narrow" w:cs="Arial"/>
                <w:sz w:val="20"/>
                <w:szCs w:val="20"/>
              </w:rPr>
              <w:t>Courte</w:t>
            </w:r>
          </w:p>
          <w:p w14:paraId="0D0BC769" w14:textId="77777777" w:rsidR="00814C88" w:rsidRPr="007F78CE" w:rsidRDefault="00814C88" w:rsidP="00713368">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1326" w:type="dxa"/>
            <w:shd w:val="clear" w:color="auto" w:fill="auto"/>
          </w:tcPr>
          <w:p w14:paraId="17EDCD0E" w14:textId="77777777" w:rsidR="00814C88" w:rsidRPr="007F78CE" w:rsidRDefault="00814C88" w:rsidP="00713368">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18E0579F" w14:textId="77777777" w:rsidR="00814C88" w:rsidRPr="007F78CE" w:rsidRDefault="00814C88" w:rsidP="00713368">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88" w:type="dxa"/>
            <w:shd w:val="clear" w:color="auto" w:fill="00B050"/>
          </w:tcPr>
          <w:p w14:paraId="718E37D0" w14:textId="77777777" w:rsidR="00814C88" w:rsidRPr="007F78CE" w:rsidRDefault="00814C88" w:rsidP="00713368">
            <w:pPr>
              <w:spacing w:after="0" w:line="240" w:lineRule="auto"/>
              <w:contextualSpacing/>
              <w:jc w:val="center"/>
              <w:rPr>
                <w:rFonts w:ascii="Arial Narrow" w:hAnsi="Arial Narrow" w:cs="Arial"/>
                <w:sz w:val="20"/>
                <w:szCs w:val="20"/>
              </w:rPr>
            </w:pPr>
            <w:r>
              <w:rPr>
                <w:rFonts w:ascii="Arial Narrow" w:hAnsi="Arial Narrow" w:cs="Arial"/>
                <w:sz w:val="20"/>
                <w:szCs w:val="20"/>
              </w:rPr>
              <w:t>Mineure</w:t>
            </w:r>
          </w:p>
          <w:p w14:paraId="78002A95" w14:textId="77777777" w:rsidR="00814C88" w:rsidRPr="007F78CE" w:rsidRDefault="00814C88" w:rsidP="00713368">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4</w:t>
            </w:r>
            <w:r w:rsidRPr="007F78CE">
              <w:rPr>
                <w:rFonts w:ascii="Arial Narrow" w:hAnsi="Arial Narrow" w:cs="Arial"/>
                <w:sz w:val="20"/>
                <w:szCs w:val="20"/>
              </w:rPr>
              <w:t>)</w:t>
            </w:r>
          </w:p>
        </w:tc>
        <w:tc>
          <w:tcPr>
            <w:tcW w:w="1064" w:type="dxa"/>
            <w:shd w:val="clear" w:color="auto" w:fill="auto"/>
          </w:tcPr>
          <w:p w14:paraId="396E986E" w14:textId="77777777" w:rsidR="00814C88" w:rsidRDefault="00814C88" w:rsidP="00713368">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 xml:space="preserve">Faible </w:t>
            </w:r>
          </w:p>
        </w:tc>
        <w:tc>
          <w:tcPr>
            <w:tcW w:w="869" w:type="dxa"/>
            <w:shd w:val="clear" w:color="auto" w:fill="538135"/>
            <w:vAlign w:val="center"/>
          </w:tcPr>
          <w:p w14:paraId="62DA8901" w14:textId="77777777" w:rsidR="00814C88" w:rsidRDefault="00814C88" w:rsidP="00713368">
            <w:pPr>
              <w:spacing w:after="0" w:line="240" w:lineRule="auto"/>
              <w:contextualSpacing/>
              <w:jc w:val="center"/>
              <w:rPr>
                <w:rFonts w:ascii="Arial Narrow" w:hAnsi="Arial Narrow" w:cs="Arial"/>
                <w:sz w:val="20"/>
                <w:szCs w:val="20"/>
              </w:rPr>
            </w:pPr>
            <w:r>
              <w:rPr>
                <w:rFonts w:ascii="Arial Narrow" w:hAnsi="Arial Narrow" w:cs="Arial"/>
                <w:sz w:val="20"/>
                <w:szCs w:val="20"/>
              </w:rPr>
              <w:t>Très faible</w:t>
            </w:r>
          </w:p>
        </w:tc>
      </w:tr>
      <w:tr w:rsidR="00345918" w:rsidRPr="007F78CE" w14:paraId="34E981FC" w14:textId="77777777" w:rsidTr="00FB04F6">
        <w:trPr>
          <w:jc w:val="center"/>
        </w:trPr>
        <w:tc>
          <w:tcPr>
            <w:tcW w:w="1681" w:type="dxa"/>
          </w:tcPr>
          <w:p w14:paraId="0976C2D5" w14:textId="77777777" w:rsidR="00814C88" w:rsidRDefault="00814C88" w:rsidP="00713368">
            <w:pPr>
              <w:spacing w:after="0" w:line="240" w:lineRule="auto"/>
              <w:contextualSpacing/>
              <w:rPr>
                <w:rFonts w:ascii="Arial Narrow" w:hAnsi="Arial Narrow" w:cs="Arial"/>
                <w:sz w:val="20"/>
                <w:szCs w:val="20"/>
              </w:rPr>
            </w:pPr>
            <w:r>
              <w:rPr>
                <w:rFonts w:ascii="Arial Narrow" w:hAnsi="Arial Narrow" w:cs="Arial"/>
                <w:sz w:val="20"/>
                <w:szCs w:val="20"/>
              </w:rPr>
              <w:t>Réseau électrique</w:t>
            </w:r>
          </w:p>
        </w:tc>
        <w:tc>
          <w:tcPr>
            <w:tcW w:w="1040" w:type="dxa"/>
            <w:shd w:val="clear" w:color="auto" w:fill="auto"/>
          </w:tcPr>
          <w:p w14:paraId="2C1D1BB4" w14:textId="77777777" w:rsidR="00814C88" w:rsidRPr="007F78CE" w:rsidRDefault="00814C88" w:rsidP="00713368">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73BC9650" w14:textId="77777777" w:rsidR="00814C88" w:rsidRDefault="00814C88" w:rsidP="00713368">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11" w:type="dxa"/>
            <w:shd w:val="clear" w:color="auto" w:fill="auto"/>
          </w:tcPr>
          <w:p w14:paraId="24DF77AC" w14:textId="77777777" w:rsidR="00814C88" w:rsidRPr="007F78CE" w:rsidRDefault="00814C88" w:rsidP="00713368">
            <w:pPr>
              <w:spacing w:after="0" w:line="240" w:lineRule="auto"/>
              <w:contextualSpacing/>
              <w:jc w:val="center"/>
              <w:rPr>
                <w:rFonts w:ascii="Arial Narrow" w:hAnsi="Arial Narrow" w:cs="Arial"/>
                <w:sz w:val="20"/>
                <w:szCs w:val="20"/>
              </w:rPr>
            </w:pPr>
            <w:r>
              <w:rPr>
                <w:rFonts w:ascii="Arial Narrow" w:hAnsi="Arial Narrow" w:cs="Arial"/>
                <w:sz w:val="20"/>
                <w:szCs w:val="20"/>
              </w:rPr>
              <w:t>Ponctuelle</w:t>
            </w:r>
          </w:p>
          <w:p w14:paraId="2BFEB7A9" w14:textId="77777777" w:rsidR="00814C88" w:rsidRPr="007F78CE" w:rsidRDefault="00814C88" w:rsidP="00713368">
            <w:pPr>
              <w:spacing w:after="0" w:line="240" w:lineRule="auto"/>
              <w:contextualSpacing/>
              <w:jc w:val="center"/>
              <w:rPr>
                <w:rFonts w:ascii="Arial Narrow" w:hAnsi="Arial Narrow" w:cs="Arial"/>
                <w:sz w:val="20"/>
                <w:szCs w:val="20"/>
              </w:rPr>
            </w:pPr>
            <w:r>
              <w:rPr>
                <w:rFonts w:ascii="Arial Narrow" w:hAnsi="Arial Narrow" w:cs="Arial"/>
                <w:sz w:val="20"/>
                <w:szCs w:val="20"/>
              </w:rPr>
              <w:t>(1</w:t>
            </w:r>
            <w:r w:rsidRPr="007F78CE">
              <w:rPr>
                <w:rFonts w:ascii="Arial Narrow" w:hAnsi="Arial Narrow" w:cs="Arial"/>
                <w:sz w:val="20"/>
                <w:szCs w:val="20"/>
              </w:rPr>
              <w:t>)</w:t>
            </w:r>
          </w:p>
        </w:tc>
        <w:tc>
          <w:tcPr>
            <w:tcW w:w="1009" w:type="dxa"/>
            <w:shd w:val="clear" w:color="auto" w:fill="auto"/>
          </w:tcPr>
          <w:p w14:paraId="65D88E62" w14:textId="77777777" w:rsidR="00814C88" w:rsidRPr="007F78CE" w:rsidRDefault="00814C88" w:rsidP="00713368">
            <w:pPr>
              <w:spacing w:after="0" w:line="240" w:lineRule="auto"/>
              <w:contextualSpacing/>
              <w:jc w:val="center"/>
              <w:rPr>
                <w:rFonts w:ascii="Arial Narrow" w:hAnsi="Arial Narrow" w:cs="Arial"/>
                <w:sz w:val="20"/>
                <w:szCs w:val="20"/>
              </w:rPr>
            </w:pPr>
            <w:r>
              <w:rPr>
                <w:rFonts w:ascii="Arial Narrow" w:hAnsi="Arial Narrow" w:cs="Arial"/>
                <w:sz w:val="20"/>
                <w:szCs w:val="20"/>
              </w:rPr>
              <w:t>Courte</w:t>
            </w:r>
          </w:p>
          <w:p w14:paraId="3FDB2416" w14:textId="77777777" w:rsidR="00814C88" w:rsidRDefault="00814C88" w:rsidP="00713368">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1326" w:type="dxa"/>
            <w:shd w:val="clear" w:color="auto" w:fill="auto"/>
          </w:tcPr>
          <w:p w14:paraId="55043BB4" w14:textId="77777777" w:rsidR="00814C88" w:rsidRPr="007F78CE" w:rsidRDefault="00814C88" w:rsidP="00713368">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1E734ED2" w14:textId="77777777" w:rsidR="00814C88" w:rsidRPr="007F78CE" w:rsidRDefault="00814C88" w:rsidP="00713368">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88" w:type="dxa"/>
            <w:shd w:val="clear" w:color="auto" w:fill="00B050"/>
          </w:tcPr>
          <w:p w14:paraId="48A38D61" w14:textId="77777777" w:rsidR="00814C88" w:rsidRPr="007F78CE" w:rsidRDefault="00814C88" w:rsidP="00713368">
            <w:pPr>
              <w:spacing w:after="0" w:line="240" w:lineRule="auto"/>
              <w:contextualSpacing/>
              <w:jc w:val="center"/>
              <w:rPr>
                <w:rFonts w:ascii="Arial Narrow" w:hAnsi="Arial Narrow" w:cs="Arial"/>
                <w:sz w:val="20"/>
                <w:szCs w:val="20"/>
              </w:rPr>
            </w:pPr>
            <w:r>
              <w:rPr>
                <w:rFonts w:ascii="Arial Narrow" w:hAnsi="Arial Narrow" w:cs="Arial"/>
                <w:sz w:val="20"/>
                <w:szCs w:val="20"/>
              </w:rPr>
              <w:t>Mineure</w:t>
            </w:r>
          </w:p>
          <w:p w14:paraId="457399D4" w14:textId="77777777" w:rsidR="00814C88" w:rsidRPr="007F78CE" w:rsidRDefault="00814C88" w:rsidP="00713368">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4</w:t>
            </w:r>
            <w:r w:rsidRPr="007F78CE">
              <w:rPr>
                <w:rFonts w:ascii="Arial Narrow" w:hAnsi="Arial Narrow" w:cs="Arial"/>
                <w:sz w:val="20"/>
                <w:szCs w:val="20"/>
              </w:rPr>
              <w:t>)</w:t>
            </w:r>
          </w:p>
        </w:tc>
        <w:tc>
          <w:tcPr>
            <w:tcW w:w="1064" w:type="dxa"/>
            <w:shd w:val="clear" w:color="auto" w:fill="auto"/>
          </w:tcPr>
          <w:p w14:paraId="7EE140D0" w14:textId="77777777" w:rsidR="00814C88" w:rsidRDefault="00814C88" w:rsidP="00713368">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 xml:space="preserve">Faible </w:t>
            </w:r>
          </w:p>
        </w:tc>
        <w:tc>
          <w:tcPr>
            <w:tcW w:w="869" w:type="dxa"/>
            <w:shd w:val="clear" w:color="auto" w:fill="538135"/>
            <w:vAlign w:val="center"/>
          </w:tcPr>
          <w:p w14:paraId="228073DC" w14:textId="77777777" w:rsidR="00814C88" w:rsidRDefault="00814C88" w:rsidP="00713368">
            <w:pPr>
              <w:spacing w:after="0" w:line="240" w:lineRule="auto"/>
              <w:contextualSpacing/>
              <w:jc w:val="center"/>
              <w:rPr>
                <w:rFonts w:ascii="Arial Narrow" w:hAnsi="Arial Narrow" w:cs="Arial"/>
                <w:sz w:val="20"/>
                <w:szCs w:val="20"/>
              </w:rPr>
            </w:pPr>
            <w:r>
              <w:rPr>
                <w:rFonts w:ascii="Arial Narrow" w:hAnsi="Arial Narrow" w:cs="Arial"/>
                <w:sz w:val="20"/>
                <w:szCs w:val="20"/>
              </w:rPr>
              <w:t>Très faible</w:t>
            </w:r>
          </w:p>
        </w:tc>
      </w:tr>
      <w:tr w:rsidR="001716F8" w:rsidRPr="007F78CE" w14:paraId="1D51B69F" w14:textId="77777777" w:rsidTr="00FB04F6">
        <w:trPr>
          <w:jc w:val="center"/>
        </w:trPr>
        <w:tc>
          <w:tcPr>
            <w:tcW w:w="1681" w:type="dxa"/>
          </w:tcPr>
          <w:p w14:paraId="7D2C69D3" w14:textId="77777777" w:rsidR="001716F8" w:rsidRDefault="001716F8" w:rsidP="00713368">
            <w:pPr>
              <w:spacing w:after="0" w:line="240" w:lineRule="auto"/>
              <w:contextualSpacing/>
              <w:rPr>
                <w:rFonts w:ascii="Arial Narrow" w:hAnsi="Arial Narrow" w:cs="Arial"/>
                <w:sz w:val="20"/>
                <w:szCs w:val="20"/>
              </w:rPr>
            </w:pPr>
            <w:r>
              <w:rPr>
                <w:rFonts w:ascii="Arial Narrow" w:hAnsi="Arial Narrow" w:cs="Arial"/>
                <w:sz w:val="20"/>
                <w:szCs w:val="20"/>
              </w:rPr>
              <w:t>Impact cumulé</w:t>
            </w:r>
          </w:p>
        </w:tc>
        <w:tc>
          <w:tcPr>
            <w:tcW w:w="1040" w:type="dxa"/>
            <w:shd w:val="clear" w:color="auto" w:fill="auto"/>
          </w:tcPr>
          <w:p w14:paraId="2BE4B638" w14:textId="77777777" w:rsidR="001716F8" w:rsidRPr="007F78CE" w:rsidRDefault="001716F8" w:rsidP="00D70FB3">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002F51D9" w14:textId="77777777" w:rsidR="001716F8" w:rsidRPr="007F78CE" w:rsidRDefault="001716F8" w:rsidP="00713368">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11" w:type="dxa"/>
            <w:shd w:val="clear" w:color="auto" w:fill="auto"/>
          </w:tcPr>
          <w:p w14:paraId="32639A98" w14:textId="77777777" w:rsidR="001716F8" w:rsidRPr="007F78CE" w:rsidRDefault="001716F8" w:rsidP="00D70FB3">
            <w:pPr>
              <w:spacing w:after="0" w:line="240" w:lineRule="auto"/>
              <w:contextualSpacing/>
              <w:jc w:val="center"/>
              <w:rPr>
                <w:rFonts w:ascii="Arial Narrow" w:hAnsi="Arial Narrow" w:cs="Arial"/>
                <w:sz w:val="20"/>
                <w:szCs w:val="20"/>
              </w:rPr>
            </w:pPr>
            <w:r>
              <w:rPr>
                <w:rFonts w:ascii="Arial Narrow" w:hAnsi="Arial Narrow" w:cs="Arial"/>
                <w:sz w:val="20"/>
                <w:szCs w:val="20"/>
              </w:rPr>
              <w:t>Ponctuelle</w:t>
            </w:r>
          </w:p>
          <w:p w14:paraId="322E8BDE" w14:textId="77777777" w:rsidR="001716F8" w:rsidRDefault="001716F8" w:rsidP="00713368">
            <w:pPr>
              <w:spacing w:after="0" w:line="240" w:lineRule="auto"/>
              <w:contextualSpacing/>
              <w:jc w:val="center"/>
              <w:rPr>
                <w:rFonts w:ascii="Arial Narrow" w:hAnsi="Arial Narrow" w:cs="Arial"/>
                <w:sz w:val="20"/>
                <w:szCs w:val="20"/>
              </w:rPr>
            </w:pPr>
            <w:r>
              <w:rPr>
                <w:rFonts w:ascii="Arial Narrow" w:hAnsi="Arial Narrow" w:cs="Arial"/>
                <w:sz w:val="20"/>
                <w:szCs w:val="20"/>
              </w:rPr>
              <w:t>(1</w:t>
            </w:r>
            <w:r w:rsidRPr="007F78CE">
              <w:rPr>
                <w:rFonts w:ascii="Arial Narrow" w:hAnsi="Arial Narrow" w:cs="Arial"/>
                <w:sz w:val="20"/>
                <w:szCs w:val="20"/>
              </w:rPr>
              <w:t>)</w:t>
            </w:r>
          </w:p>
        </w:tc>
        <w:tc>
          <w:tcPr>
            <w:tcW w:w="1009" w:type="dxa"/>
            <w:shd w:val="clear" w:color="auto" w:fill="auto"/>
          </w:tcPr>
          <w:p w14:paraId="3EB892EC" w14:textId="77777777" w:rsidR="001716F8" w:rsidRPr="007F78CE" w:rsidRDefault="001716F8" w:rsidP="00D70FB3">
            <w:pPr>
              <w:spacing w:after="0" w:line="240" w:lineRule="auto"/>
              <w:contextualSpacing/>
              <w:jc w:val="center"/>
              <w:rPr>
                <w:rFonts w:ascii="Arial Narrow" w:hAnsi="Arial Narrow" w:cs="Arial"/>
                <w:sz w:val="20"/>
                <w:szCs w:val="20"/>
              </w:rPr>
            </w:pPr>
            <w:r>
              <w:rPr>
                <w:rFonts w:ascii="Arial Narrow" w:hAnsi="Arial Narrow" w:cs="Arial"/>
                <w:sz w:val="20"/>
                <w:szCs w:val="20"/>
              </w:rPr>
              <w:t>Courte</w:t>
            </w:r>
          </w:p>
          <w:p w14:paraId="49E94851" w14:textId="77777777" w:rsidR="001716F8" w:rsidRDefault="001716F8" w:rsidP="00713368">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1326" w:type="dxa"/>
            <w:shd w:val="clear" w:color="auto" w:fill="auto"/>
          </w:tcPr>
          <w:p w14:paraId="15882A70"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23D0CA74" w14:textId="77777777" w:rsidR="001716F8" w:rsidRPr="007F78CE" w:rsidRDefault="001716F8" w:rsidP="00713368">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88" w:type="dxa"/>
            <w:shd w:val="clear" w:color="auto" w:fill="00B050"/>
          </w:tcPr>
          <w:p w14:paraId="1BF38DB9" w14:textId="77777777" w:rsidR="001716F8" w:rsidRPr="007F78CE" w:rsidRDefault="001716F8" w:rsidP="00D70FB3">
            <w:pPr>
              <w:spacing w:after="0" w:line="240" w:lineRule="auto"/>
              <w:contextualSpacing/>
              <w:jc w:val="center"/>
              <w:rPr>
                <w:rFonts w:ascii="Arial Narrow" w:hAnsi="Arial Narrow" w:cs="Arial"/>
                <w:sz w:val="20"/>
                <w:szCs w:val="20"/>
              </w:rPr>
            </w:pPr>
            <w:r>
              <w:rPr>
                <w:rFonts w:ascii="Arial Narrow" w:hAnsi="Arial Narrow" w:cs="Arial"/>
                <w:sz w:val="20"/>
                <w:szCs w:val="20"/>
              </w:rPr>
              <w:t>Mineure</w:t>
            </w:r>
          </w:p>
          <w:p w14:paraId="6990B3EB" w14:textId="77777777" w:rsidR="001716F8" w:rsidRDefault="001716F8" w:rsidP="00713368">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4</w:t>
            </w:r>
            <w:r w:rsidRPr="007F78CE">
              <w:rPr>
                <w:rFonts w:ascii="Arial Narrow" w:hAnsi="Arial Narrow" w:cs="Arial"/>
                <w:sz w:val="20"/>
                <w:szCs w:val="20"/>
              </w:rPr>
              <w:t>)</w:t>
            </w:r>
          </w:p>
        </w:tc>
        <w:tc>
          <w:tcPr>
            <w:tcW w:w="1064" w:type="dxa"/>
            <w:shd w:val="clear" w:color="auto" w:fill="auto"/>
          </w:tcPr>
          <w:p w14:paraId="6F5323AC" w14:textId="77777777" w:rsidR="001716F8" w:rsidRPr="00FC0D50" w:rsidRDefault="001716F8" w:rsidP="00713368">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869" w:type="dxa"/>
            <w:shd w:val="clear" w:color="auto" w:fill="538135"/>
            <w:vAlign w:val="center"/>
          </w:tcPr>
          <w:p w14:paraId="638C6D80" w14:textId="77777777" w:rsidR="001716F8" w:rsidRDefault="001716F8" w:rsidP="00713368">
            <w:pPr>
              <w:spacing w:after="0" w:line="240" w:lineRule="auto"/>
              <w:contextualSpacing/>
              <w:jc w:val="center"/>
              <w:rPr>
                <w:rFonts w:ascii="Arial Narrow" w:hAnsi="Arial Narrow" w:cs="Arial"/>
                <w:sz w:val="20"/>
                <w:szCs w:val="20"/>
              </w:rPr>
            </w:pPr>
            <w:r>
              <w:rPr>
                <w:rFonts w:ascii="Arial Narrow" w:hAnsi="Arial Narrow" w:cs="Arial"/>
                <w:sz w:val="20"/>
                <w:szCs w:val="20"/>
              </w:rPr>
              <w:t>Très faible</w:t>
            </w:r>
          </w:p>
        </w:tc>
      </w:tr>
    </w:tbl>
    <w:p w14:paraId="62D7B38C" w14:textId="77777777" w:rsidR="00261590" w:rsidRPr="00B434A6" w:rsidRDefault="00261590" w:rsidP="00B434A6">
      <w:pPr>
        <w:spacing w:line="240" w:lineRule="auto"/>
        <w:jc w:val="both"/>
        <w:rPr>
          <w:rFonts w:ascii="Arial" w:hAnsi="Arial" w:cs="Arial"/>
        </w:rPr>
      </w:pPr>
    </w:p>
    <w:p w14:paraId="080FEE22" w14:textId="77777777" w:rsidR="0090044A" w:rsidRPr="00D733FF" w:rsidRDefault="0090044A" w:rsidP="00F01166">
      <w:pPr>
        <w:pStyle w:val="Normal12"/>
        <w:numPr>
          <w:ilvl w:val="0"/>
          <w:numId w:val="85"/>
        </w:numPr>
        <w:spacing w:before="120" w:after="120"/>
        <w:contextualSpacing/>
        <w:rPr>
          <w:i/>
          <w:iCs/>
          <w:lang w:val="fr-FR"/>
        </w:rPr>
      </w:pPr>
      <w:r w:rsidRPr="00D733FF">
        <w:rPr>
          <w:i/>
          <w:iCs/>
          <w:lang w:val="fr-FR"/>
        </w:rPr>
        <w:t>Délocalisation de certaines espèces à cause de la</w:t>
      </w:r>
      <w:r>
        <w:rPr>
          <w:i/>
          <w:iCs/>
          <w:lang w:val="fr-FR"/>
        </w:rPr>
        <w:t xml:space="preserve"> </w:t>
      </w:r>
      <w:r w:rsidRPr="00D733FF">
        <w:rPr>
          <w:i/>
          <w:iCs/>
          <w:lang w:val="fr-FR"/>
        </w:rPr>
        <w:t>destruction et la perturbation de leurs</w:t>
      </w:r>
      <w:r>
        <w:rPr>
          <w:i/>
          <w:iCs/>
          <w:lang w:val="fr-FR"/>
        </w:rPr>
        <w:t xml:space="preserve"> </w:t>
      </w:r>
      <w:r w:rsidRPr="00D733FF">
        <w:rPr>
          <w:i/>
          <w:iCs/>
          <w:lang w:val="fr-FR"/>
        </w:rPr>
        <w:t xml:space="preserve">habitats </w:t>
      </w:r>
    </w:p>
    <w:p w14:paraId="662F53E2" w14:textId="77777777" w:rsidR="0090044A" w:rsidRPr="008D2A01" w:rsidRDefault="0090044A" w:rsidP="008D2A01">
      <w:pPr>
        <w:spacing w:line="240" w:lineRule="auto"/>
        <w:jc w:val="both"/>
        <w:rPr>
          <w:rFonts w:ascii="Arial" w:hAnsi="Arial" w:cs="Arial"/>
        </w:rPr>
      </w:pPr>
      <w:r w:rsidRPr="008D2A01">
        <w:rPr>
          <w:rFonts w:ascii="Arial" w:hAnsi="Arial" w:cs="Arial"/>
        </w:rPr>
        <w:t>La disparition de la végétation originelle du site lors de travaux de remblai entrainera automatiquement la migration de certains animaux vers d’autres endroits autour du site. De ce fait, aucune disparition de faune autour du site n’est à craindre au moment de la phase de préparation du terrain. Ainsi, ce type d’impact est considéré comme d’importance Mineure</w:t>
      </w:r>
      <w:r w:rsidR="00814C88">
        <w:rPr>
          <w:rFonts w:ascii="Arial" w:hAnsi="Arial" w:cs="Arial"/>
        </w:rPr>
        <w:t xml:space="preserve"> avec un niveau de risque très faible</w:t>
      </w:r>
      <w:r w:rsidR="00F35414">
        <w:rPr>
          <w:rFonts w:ascii="Arial" w:hAnsi="Arial" w:cs="Arial"/>
        </w:rPr>
        <w:t xml:space="preserve"> selon le tableau suivant</w:t>
      </w:r>
      <w:r w:rsidRPr="008D2A01">
        <w:rPr>
          <w:rFonts w:ascii="Arial" w:hAnsi="Arial" w:cs="Arial"/>
        </w:rPr>
        <w:t xml:space="preserve">. </w:t>
      </w:r>
    </w:p>
    <w:p w14:paraId="40B1F485" w14:textId="77777777" w:rsidR="0090044A" w:rsidRPr="002E58DC" w:rsidRDefault="0090044A" w:rsidP="002E58DC">
      <w:pPr>
        <w:pStyle w:val="Lgende"/>
        <w:spacing w:before="120"/>
        <w:jc w:val="center"/>
        <w:rPr>
          <w:sz w:val="20"/>
        </w:rPr>
      </w:pPr>
      <w:bookmarkStart w:id="928" w:name="_Toc100753924"/>
      <w:bookmarkStart w:id="929" w:name="_Toc127957827"/>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31</w:t>
      </w:r>
      <w:r w:rsidRPr="002E58DC">
        <w:rPr>
          <w:sz w:val="20"/>
        </w:rPr>
        <w:fldChar w:fldCharType="end"/>
      </w:r>
      <w:r w:rsidRPr="002E58DC">
        <w:rPr>
          <w:sz w:val="20"/>
        </w:rPr>
        <w:t xml:space="preserve">. Evaluation </w:t>
      </w:r>
      <w:r w:rsidR="0015148E">
        <w:rPr>
          <w:sz w:val="20"/>
        </w:rPr>
        <w:t xml:space="preserve">de </w:t>
      </w:r>
      <w:r w:rsidRPr="002E58DC">
        <w:rPr>
          <w:sz w:val="20"/>
        </w:rPr>
        <w:t>l’impact –Destruction de la végétation par la préparation des terrains et délocalisation de certaines espèces de faune</w:t>
      </w:r>
      <w:bookmarkEnd w:id="928"/>
      <w:bookmarkEnd w:id="929"/>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061"/>
        <w:gridCol w:w="1023"/>
        <w:gridCol w:w="1024"/>
        <w:gridCol w:w="1344"/>
        <w:gridCol w:w="1293"/>
        <w:gridCol w:w="1064"/>
        <w:gridCol w:w="819"/>
        <w:tblGridChange w:id="930">
          <w:tblGrid>
            <w:gridCol w:w="1711"/>
            <w:gridCol w:w="1061"/>
            <w:gridCol w:w="1023"/>
            <w:gridCol w:w="1024"/>
            <w:gridCol w:w="1344"/>
            <w:gridCol w:w="1293"/>
            <w:gridCol w:w="1064"/>
            <w:gridCol w:w="819"/>
          </w:tblGrid>
        </w:tblGridChange>
      </w:tblGrid>
      <w:tr w:rsidR="00814C88" w:rsidRPr="007F78CE" w14:paraId="2AB85145" w14:textId="77777777" w:rsidTr="00345918">
        <w:trPr>
          <w:jc w:val="center"/>
        </w:trPr>
        <w:tc>
          <w:tcPr>
            <w:tcW w:w="1711" w:type="dxa"/>
            <w:shd w:val="clear" w:color="auto" w:fill="BFBFBF"/>
          </w:tcPr>
          <w:p w14:paraId="05FE6FFB" w14:textId="77777777" w:rsidR="00814C88" w:rsidRPr="007F78CE" w:rsidRDefault="00814C88" w:rsidP="00B434A6">
            <w:pPr>
              <w:spacing w:after="0" w:line="240" w:lineRule="auto"/>
              <w:jc w:val="center"/>
              <w:rPr>
                <w:rFonts w:ascii="Arial Narrow" w:hAnsi="Arial Narrow"/>
                <w:b/>
                <w:bCs/>
                <w:sz w:val="20"/>
                <w:szCs w:val="20"/>
              </w:rPr>
            </w:pPr>
            <w:r>
              <w:rPr>
                <w:rFonts w:ascii="Arial Narrow" w:hAnsi="Arial Narrow"/>
                <w:b/>
                <w:bCs/>
                <w:sz w:val="20"/>
                <w:szCs w:val="20"/>
              </w:rPr>
              <w:t>Sous Projet</w:t>
            </w:r>
          </w:p>
        </w:tc>
        <w:tc>
          <w:tcPr>
            <w:tcW w:w="1061" w:type="dxa"/>
            <w:shd w:val="clear" w:color="auto" w:fill="BFBFBF"/>
          </w:tcPr>
          <w:p w14:paraId="0D1AA59C" w14:textId="77777777" w:rsidR="00814C88" w:rsidRPr="007F78CE" w:rsidRDefault="00814C88"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023" w:type="dxa"/>
            <w:shd w:val="clear" w:color="auto" w:fill="BFBFBF"/>
          </w:tcPr>
          <w:p w14:paraId="525018B4" w14:textId="77777777" w:rsidR="00814C88" w:rsidRPr="007F78CE" w:rsidRDefault="00814C88"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1024" w:type="dxa"/>
            <w:shd w:val="clear" w:color="auto" w:fill="BFBFBF"/>
          </w:tcPr>
          <w:p w14:paraId="65D092B8" w14:textId="77777777" w:rsidR="00814C88" w:rsidRPr="007F78CE" w:rsidRDefault="00814C88"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344" w:type="dxa"/>
            <w:shd w:val="clear" w:color="auto" w:fill="BFBFBF"/>
          </w:tcPr>
          <w:p w14:paraId="0D999B2D" w14:textId="77777777" w:rsidR="00814C88" w:rsidRPr="007F78CE" w:rsidRDefault="00814C88"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293" w:type="dxa"/>
            <w:shd w:val="clear" w:color="auto" w:fill="BFBFBF"/>
          </w:tcPr>
          <w:p w14:paraId="58E2CA43" w14:textId="77777777" w:rsidR="00814C88" w:rsidRPr="007F78CE" w:rsidRDefault="00814C88"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auto"/>
          </w:tcPr>
          <w:p w14:paraId="0F766008" w14:textId="77777777" w:rsidR="00814C88" w:rsidRPr="007F78CE" w:rsidRDefault="00814C88"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819" w:type="dxa"/>
            <w:shd w:val="clear" w:color="auto" w:fill="auto"/>
          </w:tcPr>
          <w:p w14:paraId="4B4ED7C4" w14:textId="77777777" w:rsidR="00814C88" w:rsidRPr="007F78CE" w:rsidRDefault="00814C88" w:rsidP="007F78CE">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345918" w:rsidRPr="007F78CE" w14:paraId="07227CA9" w14:textId="77777777" w:rsidTr="00FB04F6">
        <w:trPr>
          <w:jc w:val="center"/>
        </w:trPr>
        <w:tc>
          <w:tcPr>
            <w:tcW w:w="1711" w:type="dxa"/>
          </w:tcPr>
          <w:p w14:paraId="7C12A073" w14:textId="77777777" w:rsidR="00814C88" w:rsidRPr="007F78CE" w:rsidRDefault="00814C88" w:rsidP="00345918">
            <w:pPr>
              <w:spacing w:after="0" w:line="240" w:lineRule="auto"/>
              <w:contextualSpacing/>
              <w:rPr>
                <w:rFonts w:ascii="Arial Narrow" w:hAnsi="Arial Narrow" w:cs="Arial"/>
                <w:sz w:val="20"/>
                <w:szCs w:val="20"/>
              </w:rPr>
            </w:pPr>
            <w:r>
              <w:rPr>
                <w:rFonts w:ascii="Arial Narrow" w:hAnsi="Arial Narrow" w:cs="Arial"/>
                <w:sz w:val="20"/>
                <w:szCs w:val="20"/>
              </w:rPr>
              <w:t>Infrastructure numérique</w:t>
            </w:r>
          </w:p>
        </w:tc>
        <w:tc>
          <w:tcPr>
            <w:tcW w:w="1061" w:type="dxa"/>
            <w:shd w:val="clear" w:color="auto" w:fill="auto"/>
          </w:tcPr>
          <w:p w14:paraId="71A25A8E" w14:textId="77777777" w:rsidR="00814C88" w:rsidRPr="007F78CE" w:rsidRDefault="00814C88"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7C78E04F" w14:textId="77777777" w:rsidR="00814C88" w:rsidRPr="007F78CE" w:rsidRDefault="00814C8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23" w:type="dxa"/>
            <w:shd w:val="clear" w:color="auto" w:fill="auto"/>
          </w:tcPr>
          <w:p w14:paraId="4442381A" w14:textId="77777777" w:rsidR="00814C88" w:rsidRPr="007F78CE" w:rsidRDefault="00814C8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3B6F0B99" w14:textId="77777777" w:rsidR="00814C88" w:rsidRPr="007F78CE" w:rsidRDefault="00814C8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24" w:type="dxa"/>
            <w:shd w:val="clear" w:color="auto" w:fill="auto"/>
          </w:tcPr>
          <w:p w14:paraId="2E1CB15E" w14:textId="77777777" w:rsidR="00814C88" w:rsidRPr="007F78CE" w:rsidRDefault="00814C8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1DCD3340" w14:textId="77777777" w:rsidR="00814C88" w:rsidRPr="007F78CE" w:rsidRDefault="00814C8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344" w:type="dxa"/>
            <w:shd w:val="clear" w:color="auto" w:fill="auto"/>
          </w:tcPr>
          <w:p w14:paraId="6433D864" w14:textId="77777777" w:rsidR="00814C88" w:rsidRPr="007F78CE" w:rsidRDefault="00814C8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340172BC" w14:textId="77777777" w:rsidR="00814C88" w:rsidRPr="007F78CE" w:rsidRDefault="00814C8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93" w:type="dxa"/>
            <w:shd w:val="clear" w:color="auto" w:fill="00B050"/>
          </w:tcPr>
          <w:p w14:paraId="369B5A2F" w14:textId="77777777" w:rsidR="00814C88" w:rsidRPr="007F78CE" w:rsidRDefault="00814C8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00DF8649" w14:textId="77777777" w:rsidR="00814C88" w:rsidRPr="007F78CE" w:rsidRDefault="00814C8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tcPr>
          <w:p w14:paraId="1A2F3D65" w14:textId="77777777" w:rsidR="00814C88" w:rsidRPr="007F78CE" w:rsidRDefault="00814C88"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819" w:type="dxa"/>
            <w:shd w:val="clear" w:color="auto" w:fill="538135"/>
          </w:tcPr>
          <w:p w14:paraId="2152F8E0" w14:textId="77777777" w:rsidR="00814C88" w:rsidRPr="007F78CE" w:rsidRDefault="00814C88" w:rsidP="007F78CE">
            <w:pPr>
              <w:spacing w:after="0" w:line="240" w:lineRule="auto"/>
              <w:contextualSpacing/>
              <w:jc w:val="center"/>
              <w:rPr>
                <w:rFonts w:ascii="Arial Narrow" w:hAnsi="Arial Narrow" w:cs="Arial"/>
                <w:sz w:val="20"/>
                <w:szCs w:val="20"/>
              </w:rPr>
            </w:pPr>
            <w:r w:rsidRPr="00F76674">
              <w:rPr>
                <w:rFonts w:ascii="Arial Narrow" w:hAnsi="Arial Narrow" w:cs="Arial"/>
                <w:sz w:val="20"/>
                <w:szCs w:val="20"/>
              </w:rPr>
              <w:t>Très faible</w:t>
            </w:r>
          </w:p>
        </w:tc>
      </w:tr>
      <w:tr w:rsidR="00345918" w:rsidRPr="007F78CE" w14:paraId="15F86861" w14:textId="77777777" w:rsidTr="00FB04F6">
        <w:trPr>
          <w:jc w:val="center"/>
        </w:trPr>
        <w:tc>
          <w:tcPr>
            <w:tcW w:w="1711" w:type="dxa"/>
          </w:tcPr>
          <w:p w14:paraId="511521F8" w14:textId="77777777" w:rsidR="00814C88" w:rsidRPr="007F78CE" w:rsidRDefault="00814C88" w:rsidP="00B434A6">
            <w:pPr>
              <w:spacing w:after="0" w:line="240" w:lineRule="auto"/>
              <w:contextualSpacing/>
              <w:rPr>
                <w:rFonts w:ascii="Arial Narrow" w:hAnsi="Arial Narrow" w:cs="Arial"/>
                <w:sz w:val="20"/>
                <w:szCs w:val="20"/>
              </w:rPr>
            </w:pPr>
            <w:r>
              <w:rPr>
                <w:rFonts w:ascii="Arial Narrow" w:hAnsi="Arial Narrow" w:cs="Arial"/>
                <w:sz w:val="20"/>
                <w:szCs w:val="20"/>
              </w:rPr>
              <w:t>Centrale électrique solaire</w:t>
            </w:r>
          </w:p>
        </w:tc>
        <w:tc>
          <w:tcPr>
            <w:tcW w:w="1061" w:type="dxa"/>
            <w:shd w:val="clear" w:color="auto" w:fill="auto"/>
          </w:tcPr>
          <w:p w14:paraId="32C4FCA0" w14:textId="77777777" w:rsidR="00814C88" w:rsidRPr="007F78CE" w:rsidRDefault="00814C88" w:rsidP="00F00135">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4A1C59E5" w14:textId="77777777" w:rsidR="00814C88" w:rsidRPr="007F78CE" w:rsidRDefault="00814C8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23" w:type="dxa"/>
            <w:shd w:val="clear" w:color="auto" w:fill="auto"/>
          </w:tcPr>
          <w:p w14:paraId="3CB182E1" w14:textId="77777777" w:rsidR="00814C88" w:rsidRPr="007F78CE" w:rsidRDefault="00814C88"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00F6BFAB" w14:textId="77777777" w:rsidR="00814C88" w:rsidRPr="007F78CE" w:rsidRDefault="00814C8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24" w:type="dxa"/>
            <w:shd w:val="clear" w:color="auto" w:fill="auto"/>
          </w:tcPr>
          <w:p w14:paraId="1523B301" w14:textId="77777777" w:rsidR="00814C88" w:rsidRPr="007F78CE" w:rsidRDefault="00814C88"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1596E377" w14:textId="77777777" w:rsidR="00814C88" w:rsidRPr="007F78CE" w:rsidRDefault="00814C8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344" w:type="dxa"/>
            <w:shd w:val="clear" w:color="auto" w:fill="auto"/>
          </w:tcPr>
          <w:p w14:paraId="58A110C0" w14:textId="77777777" w:rsidR="00814C88" w:rsidRPr="007F78CE" w:rsidRDefault="00814C88"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360C8701" w14:textId="77777777" w:rsidR="00814C88" w:rsidRPr="007F78CE" w:rsidRDefault="00814C8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93" w:type="dxa"/>
            <w:shd w:val="clear" w:color="auto" w:fill="00B050"/>
          </w:tcPr>
          <w:p w14:paraId="19A40D14" w14:textId="77777777" w:rsidR="00814C88" w:rsidRPr="007F78CE" w:rsidRDefault="00814C88"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45967854" w14:textId="77777777" w:rsidR="00814C88" w:rsidRPr="007F78CE" w:rsidRDefault="00814C8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tcPr>
          <w:p w14:paraId="389313F8" w14:textId="77777777" w:rsidR="00814C88" w:rsidRPr="007F78CE" w:rsidRDefault="00814C88" w:rsidP="00F00135">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 xml:space="preserve">Faible </w:t>
            </w:r>
          </w:p>
        </w:tc>
        <w:tc>
          <w:tcPr>
            <w:tcW w:w="819" w:type="dxa"/>
            <w:shd w:val="clear" w:color="auto" w:fill="538135"/>
          </w:tcPr>
          <w:p w14:paraId="7D71E8AE" w14:textId="77777777" w:rsidR="00814C88" w:rsidRPr="007F78CE" w:rsidRDefault="00814C88" w:rsidP="00F00135">
            <w:pPr>
              <w:spacing w:after="0" w:line="240" w:lineRule="auto"/>
              <w:contextualSpacing/>
              <w:jc w:val="center"/>
              <w:rPr>
                <w:rFonts w:ascii="Arial Narrow" w:hAnsi="Arial Narrow" w:cs="Arial"/>
                <w:sz w:val="20"/>
                <w:szCs w:val="20"/>
              </w:rPr>
            </w:pPr>
            <w:r w:rsidRPr="00F76674">
              <w:rPr>
                <w:rFonts w:ascii="Arial Narrow" w:hAnsi="Arial Narrow" w:cs="Arial"/>
                <w:sz w:val="20"/>
                <w:szCs w:val="20"/>
              </w:rPr>
              <w:t>Très faible</w:t>
            </w:r>
          </w:p>
        </w:tc>
      </w:tr>
      <w:tr w:rsidR="00345918" w:rsidRPr="007F78CE" w14:paraId="03FCEA26" w14:textId="77777777" w:rsidTr="00FB04F6">
        <w:trPr>
          <w:jc w:val="center"/>
        </w:trPr>
        <w:tc>
          <w:tcPr>
            <w:tcW w:w="1711" w:type="dxa"/>
          </w:tcPr>
          <w:p w14:paraId="75C90CCE" w14:textId="77777777" w:rsidR="00814C88" w:rsidRPr="007F78CE" w:rsidRDefault="00814C88" w:rsidP="00345918">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61" w:type="dxa"/>
            <w:shd w:val="clear" w:color="auto" w:fill="auto"/>
          </w:tcPr>
          <w:p w14:paraId="3CFD2430" w14:textId="77777777" w:rsidR="00814C88" w:rsidRPr="007F78CE" w:rsidRDefault="00814C88" w:rsidP="00F00135">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566207E6" w14:textId="77777777" w:rsidR="00814C88" w:rsidRPr="007F78CE" w:rsidRDefault="00814C8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23" w:type="dxa"/>
            <w:shd w:val="clear" w:color="auto" w:fill="auto"/>
          </w:tcPr>
          <w:p w14:paraId="09D5E0D1" w14:textId="77777777" w:rsidR="00814C88" w:rsidRPr="007F78CE" w:rsidRDefault="00814C88"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6D1E78BB" w14:textId="77777777" w:rsidR="00814C88" w:rsidRPr="007F78CE" w:rsidRDefault="00814C8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24" w:type="dxa"/>
            <w:shd w:val="clear" w:color="auto" w:fill="auto"/>
          </w:tcPr>
          <w:p w14:paraId="450A90B9" w14:textId="77777777" w:rsidR="00814C88" w:rsidRPr="007F78CE" w:rsidRDefault="00814C88"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415EED89" w14:textId="77777777" w:rsidR="00814C88" w:rsidRPr="007F78CE" w:rsidRDefault="00814C8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344" w:type="dxa"/>
            <w:shd w:val="clear" w:color="auto" w:fill="auto"/>
          </w:tcPr>
          <w:p w14:paraId="71CB82EC" w14:textId="77777777" w:rsidR="00814C88" w:rsidRPr="007F78CE" w:rsidRDefault="00814C88"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276A95FE" w14:textId="77777777" w:rsidR="00814C88" w:rsidRPr="007F78CE" w:rsidRDefault="00814C8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93" w:type="dxa"/>
            <w:shd w:val="clear" w:color="auto" w:fill="00B050"/>
          </w:tcPr>
          <w:p w14:paraId="3F08E74C" w14:textId="77777777" w:rsidR="00814C88" w:rsidRPr="007F78CE" w:rsidRDefault="00814C88"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539E2706" w14:textId="77777777" w:rsidR="00814C88" w:rsidRPr="007F78CE" w:rsidRDefault="00814C8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tcPr>
          <w:p w14:paraId="754BF7E7" w14:textId="77777777" w:rsidR="00814C88" w:rsidRPr="007F78CE" w:rsidRDefault="00814C88" w:rsidP="00F00135">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 xml:space="preserve">Faible </w:t>
            </w:r>
          </w:p>
        </w:tc>
        <w:tc>
          <w:tcPr>
            <w:tcW w:w="819" w:type="dxa"/>
            <w:shd w:val="clear" w:color="auto" w:fill="538135"/>
          </w:tcPr>
          <w:p w14:paraId="7E725A3E" w14:textId="77777777" w:rsidR="00814C88" w:rsidRPr="007F78CE" w:rsidRDefault="00814C88" w:rsidP="00F00135">
            <w:pPr>
              <w:spacing w:after="0" w:line="240" w:lineRule="auto"/>
              <w:contextualSpacing/>
              <w:jc w:val="center"/>
              <w:rPr>
                <w:rFonts w:ascii="Arial Narrow" w:hAnsi="Arial Narrow" w:cs="Arial"/>
                <w:sz w:val="20"/>
                <w:szCs w:val="20"/>
              </w:rPr>
            </w:pPr>
            <w:r w:rsidRPr="00F76674">
              <w:rPr>
                <w:rFonts w:ascii="Arial Narrow" w:hAnsi="Arial Narrow" w:cs="Arial"/>
                <w:sz w:val="20"/>
                <w:szCs w:val="20"/>
              </w:rPr>
              <w:t>Très faible</w:t>
            </w:r>
          </w:p>
        </w:tc>
      </w:tr>
      <w:tr w:rsidR="00345918" w:rsidRPr="007F78CE" w14:paraId="341E159A" w14:textId="77777777" w:rsidTr="00FB04F6">
        <w:trPr>
          <w:jc w:val="center"/>
        </w:trPr>
        <w:tc>
          <w:tcPr>
            <w:tcW w:w="1711" w:type="dxa"/>
          </w:tcPr>
          <w:p w14:paraId="18AF5D65" w14:textId="77777777" w:rsidR="00814C88" w:rsidRDefault="00814C88" w:rsidP="00B434A6">
            <w:pPr>
              <w:spacing w:after="0" w:line="240" w:lineRule="auto"/>
              <w:contextualSpacing/>
              <w:rPr>
                <w:rFonts w:ascii="Arial Narrow" w:hAnsi="Arial Narrow" w:cs="Arial"/>
                <w:sz w:val="20"/>
                <w:szCs w:val="20"/>
              </w:rPr>
            </w:pPr>
            <w:r>
              <w:rPr>
                <w:rFonts w:ascii="Arial Narrow" w:hAnsi="Arial Narrow" w:cs="Arial"/>
                <w:sz w:val="20"/>
                <w:szCs w:val="20"/>
              </w:rPr>
              <w:t>Réseau électrique</w:t>
            </w:r>
          </w:p>
        </w:tc>
        <w:tc>
          <w:tcPr>
            <w:tcW w:w="1061" w:type="dxa"/>
            <w:shd w:val="clear" w:color="auto" w:fill="auto"/>
          </w:tcPr>
          <w:p w14:paraId="1A9E97E7" w14:textId="77777777" w:rsidR="00814C88" w:rsidRPr="007F78CE" w:rsidRDefault="00814C88" w:rsidP="00296692">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513632D6" w14:textId="77777777" w:rsidR="00814C88" w:rsidRPr="007F78CE" w:rsidRDefault="00814C88"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23" w:type="dxa"/>
            <w:shd w:val="clear" w:color="auto" w:fill="auto"/>
          </w:tcPr>
          <w:p w14:paraId="2749253E" w14:textId="77777777" w:rsidR="00814C88" w:rsidRPr="007F78CE" w:rsidRDefault="00814C8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3C268BC6" w14:textId="77777777" w:rsidR="00814C88" w:rsidRPr="007F78CE" w:rsidRDefault="00814C88"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24" w:type="dxa"/>
            <w:shd w:val="clear" w:color="auto" w:fill="auto"/>
          </w:tcPr>
          <w:p w14:paraId="2DCCF303" w14:textId="77777777" w:rsidR="00814C88" w:rsidRPr="007F78CE" w:rsidRDefault="00814C8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2A9389E4" w14:textId="77777777" w:rsidR="00814C88" w:rsidRPr="007F78CE" w:rsidRDefault="00814C88"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344" w:type="dxa"/>
            <w:shd w:val="clear" w:color="auto" w:fill="auto"/>
          </w:tcPr>
          <w:p w14:paraId="791DB476" w14:textId="77777777" w:rsidR="00814C88" w:rsidRPr="007F78CE" w:rsidRDefault="00814C8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03A0FB65" w14:textId="77777777" w:rsidR="00814C88" w:rsidRPr="007F78CE" w:rsidRDefault="00814C88"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93" w:type="dxa"/>
            <w:shd w:val="clear" w:color="auto" w:fill="00B050"/>
          </w:tcPr>
          <w:p w14:paraId="51D91427" w14:textId="77777777" w:rsidR="00814C88" w:rsidRPr="007F78CE" w:rsidRDefault="00814C8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0FE6FA6E" w14:textId="77777777" w:rsidR="00814C88" w:rsidRPr="007F78CE" w:rsidRDefault="00814C88"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tcPr>
          <w:p w14:paraId="2B2214C5" w14:textId="77777777" w:rsidR="00814C88" w:rsidRPr="007F78CE" w:rsidRDefault="00814C88" w:rsidP="00296692">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 xml:space="preserve">Faible </w:t>
            </w:r>
          </w:p>
        </w:tc>
        <w:tc>
          <w:tcPr>
            <w:tcW w:w="819" w:type="dxa"/>
            <w:shd w:val="clear" w:color="auto" w:fill="538135"/>
          </w:tcPr>
          <w:p w14:paraId="558395FE" w14:textId="77777777" w:rsidR="00814C88" w:rsidRPr="007F78CE" w:rsidRDefault="00814C88" w:rsidP="00296692">
            <w:pPr>
              <w:spacing w:after="0" w:line="240" w:lineRule="auto"/>
              <w:contextualSpacing/>
              <w:jc w:val="center"/>
              <w:rPr>
                <w:rFonts w:ascii="Arial Narrow" w:hAnsi="Arial Narrow" w:cs="Arial"/>
                <w:sz w:val="20"/>
                <w:szCs w:val="20"/>
              </w:rPr>
            </w:pPr>
            <w:r w:rsidRPr="00F76674">
              <w:rPr>
                <w:rFonts w:ascii="Arial Narrow" w:hAnsi="Arial Narrow" w:cs="Arial"/>
                <w:sz w:val="20"/>
                <w:szCs w:val="20"/>
              </w:rPr>
              <w:t>Très faible</w:t>
            </w:r>
          </w:p>
        </w:tc>
      </w:tr>
      <w:tr w:rsidR="001716F8" w:rsidRPr="007F78CE" w14:paraId="3D625852" w14:textId="77777777" w:rsidTr="00FB04F6">
        <w:trPr>
          <w:jc w:val="center"/>
        </w:trPr>
        <w:tc>
          <w:tcPr>
            <w:tcW w:w="1711" w:type="dxa"/>
          </w:tcPr>
          <w:p w14:paraId="012F971B" w14:textId="77777777" w:rsidR="001716F8" w:rsidRDefault="001716F8" w:rsidP="00B434A6">
            <w:pPr>
              <w:spacing w:after="0" w:line="240" w:lineRule="auto"/>
              <w:contextualSpacing/>
              <w:rPr>
                <w:rFonts w:ascii="Arial Narrow" w:hAnsi="Arial Narrow" w:cs="Arial"/>
                <w:sz w:val="20"/>
                <w:szCs w:val="20"/>
              </w:rPr>
            </w:pPr>
            <w:r>
              <w:rPr>
                <w:rFonts w:ascii="Arial Narrow" w:hAnsi="Arial Narrow" w:cs="Arial"/>
                <w:sz w:val="20"/>
                <w:szCs w:val="20"/>
              </w:rPr>
              <w:t>Impact cumulé</w:t>
            </w:r>
          </w:p>
        </w:tc>
        <w:tc>
          <w:tcPr>
            <w:tcW w:w="1061" w:type="dxa"/>
            <w:shd w:val="clear" w:color="auto" w:fill="auto"/>
          </w:tcPr>
          <w:p w14:paraId="19C49857" w14:textId="77777777" w:rsidR="001716F8" w:rsidRPr="007F78CE" w:rsidRDefault="001716F8" w:rsidP="00D70FB3">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2614F78F"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23" w:type="dxa"/>
            <w:shd w:val="clear" w:color="auto" w:fill="auto"/>
          </w:tcPr>
          <w:p w14:paraId="0D69DF8A"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31B15DE7"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24" w:type="dxa"/>
            <w:shd w:val="clear" w:color="auto" w:fill="auto"/>
          </w:tcPr>
          <w:p w14:paraId="7C6C41EA"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6029B224"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344" w:type="dxa"/>
            <w:shd w:val="clear" w:color="auto" w:fill="auto"/>
          </w:tcPr>
          <w:p w14:paraId="3AA4088A"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41E85A78"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93" w:type="dxa"/>
            <w:shd w:val="clear" w:color="auto" w:fill="00B050"/>
          </w:tcPr>
          <w:p w14:paraId="09E37A40"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76D595C1"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tcPr>
          <w:p w14:paraId="7ADF0944" w14:textId="77777777" w:rsidR="001716F8" w:rsidRPr="00FC0D50" w:rsidRDefault="001716F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819" w:type="dxa"/>
            <w:shd w:val="clear" w:color="auto" w:fill="538135"/>
          </w:tcPr>
          <w:p w14:paraId="59737528" w14:textId="77777777" w:rsidR="001716F8" w:rsidRPr="00F76674" w:rsidRDefault="001716F8" w:rsidP="00296692">
            <w:pPr>
              <w:spacing w:after="0" w:line="240" w:lineRule="auto"/>
              <w:contextualSpacing/>
              <w:jc w:val="center"/>
              <w:rPr>
                <w:rFonts w:ascii="Arial Narrow" w:hAnsi="Arial Narrow" w:cs="Arial"/>
                <w:sz w:val="20"/>
                <w:szCs w:val="20"/>
              </w:rPr>
            </w:pPr>
            <w:r w:rsidRPr="00F76674">
              <w:rPr>
                <w:rFonts w:ascii="Arial Narrow" w:hAnsi="Arial Narrow" w:cs="Arial"/>
                <w:sz w:val="20"/>
                <w:szCs w:val="20"/>
              </w:rPr>
              <w:t>Très faible</w:t>
            </w:r>
          </w:p>
        </w:tc>
      </w:tr>
    </w:tbl>
    <w:p w14:paraId="00E32500" w14:textId="77777777" w:rsidR="0090044A" w:rsidRPr="00FE7376" w:rsidRDefault="0090044A" w:rsidP="0090044A">
      <w:pPr>
        <w:jc w:val="center"/>
        <w:rPr>
          <w:rFonts w:ascii="Times New Roman" w:hAnsi="Times New Roman"/>
          <w:b/>
          <w:sz w:val="20"/>
          <w:szCs w:val="20"/>
          <w:highlight w:val="yellow"/>
        </w:rPr>
      </w:pPr>
    </w:p>
    <w:p w14:paraId="250F10FF" w14:textId="77777777" w:rsidR="0090044A" w:rsidRPr="009356D1" w:rsidRDefault="0090044A" w:rsidP="00F01166">
      <w:pPr>
        <w:pStyle w:val="Normal12"/>
        <w:numPr>
          <w:ilvl w:val="0"/>
          <w:numId w:val="85"/>
        </w:numPr>
        <w:spacing w:before="120" w:after="120"/>
        <w:contextualSpacing/>
        <w:rPr>
          <w:i/>
          <w:iCs/>
          <w:lang w:val="fr-FR"/>
        </w:rPr>
      </w:pPr>
      <w:r w:rsidRPr="009356D1">
        <w:rPr>
          <w:i/>
          <w:iCs/>
          <w:lang w:val="fr-FR"/>
        </w:rPr>
        <w:t xml:space="preserve">Nuisances sonores </w:t>
      </w:r>
      <w:r w:rsidRPr="73E372D6">
        <w:rPr>
          <w:i/>
          <w:iCs/>
          <w:lang w:val="fr-FR"/>
        </w:rPr>
        <w:t>causées</w:t>
      </w:r>
      <w:r w:rsidRPr="009356D1">
        <w:rPr>
          <w:i/>
          <w:iCs/>
          <w:lang w:val="fr-FR"/>
        </w:rPr>
        <w:t xml:space="preserve"> par le bruit généré par les travaux</w:t>
      </w:r>
    </w:p>
    <w:p w14:paraId="4E0BCF9E" w14:textId="77777777" w:rsidR="0090044A" w:rsidRPr="008D2A01" w:rsidRDefault="0090044A" w:rsidP="008D2A01">
      <w:pPr>
        <w:spacing w:line="240" w:lineRule="auto"/>
        <w:jc w:val="both"/>
        <w:rPr>
          <w:rFonts w:ascii="Arial" w:hAnsi="Arial" w:cs="Arial"/>
        </w:rPr>
      </w:pPr>
      <w:r w:rsidRPr="008D2A01">
        <w:rPr>
          <w:rFonts w:ascii="Arial" w:hAnsi="Arial" w:cs="Arial"/>
        </w:rPr>
        <w:t>Durant la phase préparatoire et de construction, les nuisances sonores pourront provenir des bruits de moteurs, des engins de terrassement et des camions qui transportent les matériels. Ces bruits de moteur affecteront la faune locale et alentour</w:t>
      </w:r>
      <w:r w:rsidR="00DA493B">
        <w:rPr>
          <w:rFonts w:ascii="Arial" w:hAnsi="Arial" w:cs="Arial"/>
        </w:rPr>
        <w:t xml:space="preserve">. </w:t>
      </w:r>
      <w:r w:rsidR="00B02B32">
        <w:rPr>
          <w:rFonts w:ascii="Arial" w:hAnsi="Arial" w:cs="Arial"/>
        </w:rPr>
        <w:t>Pour tous les sous projet</w:t>
      </w:r>
      <w:r w:rsidR="00DA493B">
        <w:rPr>
          <w:rFonts w:ascii="Arial" w:hAnsi="Arial" w:cs="Arial"/>
        </w:rPr>
        <w:t>s</w:t>
      </w:r>
      <w:r w:rsidR="00B02B32">
        <w:rPr>
          <w:rFonts w:ascii="Arial" w:hAnsi="Arial" w:cs="Arial"/>
        </w:rPr>
        <w:t>, l’importance de cet impact est évaluée comme « Mineure »</w:t>
      </w:r>
      <w:r w:rsidR="003F5356">
        <w:rPr>
          <w:rFonts w:ascii="Arial" w:hAnsi="Arial" w:cs="Arial"/>
        </w:rPr>
        <w:t xml:space="preserve"> </w:t>
      </w:r>
      <w:r w:rsidR="00E3289A">
        <w:rPr>
          <w:rFonts w:ascii="Arial" w:hAnsi="Arial" w:cs="Arial"/>
        </w:rPr>
        <w:t xml:space="preserve">avec un niveau de risque très faible </w:t>
      </w:r>
      <w:r w:rsidR="003F5356">
        <w:rPr>
          <w:rFonts w:ascii="Arial" w:hAnsi="Arial" w:cs="Arial"/>
        </w:rPr>
        <w:t>selon le tableau ci-dessous</w:t>
      </w:r>
      <w:r w:rsidR="00B02B32">
        <w:rPr>
          <w:rFonts w:ascii="Arial" w:hAnsi="Arial" w:cs="Arial"/>
        </w:rPr>
        <w:t xml:space="preserve">. Effectivement, la nuisance sonore est limitée dans le temps et dans l’espace. </w:t>
      </w:r>
    </w:p>
    <w:p w14:paraId="3628C298" w14:textId="77777777" w:rsidR="0090044A" w:rsidRPr="002E58DC" w:rsidRDefault="0090044A" w:rsidP="002E58DC">
      <w:pPr>
        <w:pStyle w:val="Lgende"/>
        <w:spacing w:before="120"/>
        <w:jc w:val="center"/>
        <w:rPr>
          <w:sz w:val="20"/>
        </w:rPr>
      </w:pPr>
      <w:bookmarkStart w:id="931" w:name="_Toc100753925"/>
      <w:bookmarkStart w:id="932" w:name="_Toc127957828"/>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32</w:t>
      </w:r>
      <w:r w:rsidRPr="002E58DC">
        <w:rPr>
          <w:sz w:val="20"/>
        </w:rPr>
        <w:fldChar w:fldCharType="end"/>
      </w:r>
      <w:r w:rsidRPr="002E58DC">
        <w:rPr>
          <w:sz w:val="20"/>
        </w:rPr>
        <w:t xml:space="preserve">. Evaluation </w:t>
      </w:r>
      <w:r w:rsidR="0015148E">
        <w:rPr>
          <w:sz w:val="20"/>
        </w:rPr>
        <w:t xml:space="preserve">de </w:t>
      </w:r>
      <w:r w:rsidRPr="002E58DC">
        <w:rPr>
          <w:sz w:val="20"/>
        </w:rPr>
        <w:t>l’impact –</w:t>
      </w:r>
      <w:r w:rsidR="0002275A">
        <w:rPr>
          <w:sz w:val="20"/>
        </w:rPr>
        <w:t xml:space="preserve"> </w:t>
      </w:r>
      <w:r w:rsidRPr="002E58DC">
        <w:rPr>
          <w:sz w:val="20"/>
        </w:rPr>
        <w:t>Nuisances sonores et vibrations pendant le transport</w:t>
      </w:r>
      <w:bookmarkEnd w:id="931"/>
      <w:bookmarkEnd w:id="932"/>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035"/>
        <w:gridCol w:w="1079"/>
        <w:gridCol w:w="999"/>
        <w:gridCol w:w="1322"/>
        <w:gridCol w:w="1263"/>
        <w:gridCol w:w="1064"/>
        <w:gridCol w:w="825"/>
        <w:tblGridChange w:id="933">
          <w:tblGrid>
            <w:gridCol w:w="1701"/>
            <w:gridCol w:w="1035"/>
            <w:gridCol w:w="1079"/>
            <w:gridCol w:w="999"/>
            <w:gridCol w:w="1322"/>
            <w:gridCol w:w="1263"/>
            <w:gridCol w:w="1064"/>
            <w:gridCol w:w="825"/>
          </w:tblGrid>
        </w:tblGridChange>
      </w:tblGrid>
      <w:tr w:rsidR="00E3289A" w:rsidRPr="007F78CE" w14:paraId="064BA5F2" w14:textId="77777777" w:rsidTr="00345918">
        <w:trPr>
          <w:jc w:val="center"/>
        </w:trPr>
        <w:tc>
          <w:tcPr>
            <w:tcW w:w="1701" w:type="dxa"/>
            <w:shd w:val="clear" w:color="auto" w:fill="BFBFBF"/>
          </w:tcPr>
          <w:p w14:paraId="54BE0973" w14:textId="77777777" w:rsidR="00E3289A" w:rsidRPr="007F78CE" w:rsidRDefault="00E3289A" w:rsidP="007F78CE">
            <w:pPr>
              <w:spacing w:after="0" w:line="240" w:lineRule="auto"/>
              <w:rPr>
                <w:rFonts w:ascii="Arial Narrow" w:hAnsi="Arial Narrow"/>
                <w:b/>
                <w:bCs/>
                <w:sz w:val="20"/>
                <w:szCs w:val="20"/>
              </w:rPr>
            </w:pPr>
            <w:r>
              <w:rPr>
                <w:rFonts w:ascii="Arial Narrow" w:hAnsi="Arial Narrow"/>
                <w:b/>
                <w:bCs/>
                <w:sz w:val="20"/>
                <w:szCs w:val="20"/>
              </w:rPr>
              <w:t>Sous Projet</w:t>
            </w:r>
          </w:p>
        </w:tc>
        <w:tc>
          <w:tcPr>
            <w:tcW w:w="1035" w:type="dxa"/>
            <w:shd w:val="clear" w:color="auto" w:fill="BFBFBF"/>
          </w:tcPr>
          <w:p w14:paraId="197D5E84" w14:textId="77777777" w:rsidR="00E3289A" w:rsidRPr="007F78CE" w:rsidRDefault="00E3289A"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079" w:type="dxa"/>
            <w:shd w:val="clear" w:color="auto" w:fill="BFBFBF"/>
          </w:tcPr>
          <w:p w14:paraId="799FAA58" w14:textId="77777777" w:rsidR="00E3289A" w:rsidRPr="007F78CE" w:rsidRDefault="00E3289A"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999" w:type="dxa"/>
            <w:shd w:val="clear" w:color="auto" w:fill="BFBFBF"/>
          </w:tcPr>
          <w:p w14:paraId="7D56DB3D" w14:textId="77777777" w:rsidR="00E3289A" w:rsidRPr="007F78CE" w:rsidRDefault="00E3289A"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322" w:type="dxa"/>
            <w:shd w:val="clear" w:color="auto" w:fill="BFBFBF"/>
          </w:tcPr>
          <w:p w14:paraId="0825BB4F" w14:textId="77777777" w:rsidR="00E3289A" w:rsidRPr="007F78CE" w:rsidRDefault="00E3289A"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263" w:type="dxa"/>
            <w:shd w:val="clear" w:color="auto" w:fill="BFBFBF"/>
          </w:tcPr>
          <w:p w14:paraId="2A8F7AD3" w14:textId="77777777" w:rsidR="00E3289A" w:rsidRPr="007F78CE" w:rsidRDefault="00E3289A"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auto"/>
          </w:tcPr>
          <w:p w14:paraId="5D67C22C" w14:textId="77777777" w:rsidR="00E3289A" w:rsidRPr="007F78CE" w:rsidRDefault="00E3289A"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825" w:type="dxa"/>
            <w:shd w:val="clear" w:color="auto" w:fill="auto"/>
          </w:tcPr>
          <w:p w14:paraId="709103CC" w14:textId="77777777" w:rsidR="00E3289A" w:rsidRPr="007F78CE" w:rsidRDefault="00E3289A" w:rsidP="007F78CE">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345918" w:rsidRPr="007F78CE" w14:paraId="0A0789C2" w14:textId="77777777" w:rsidTr="00FB04F6">
        <w:trPr>
          <w:jc w:val="center"/>
        </w:trPr>
        <w:tc>
          <w:tcPr>
            <w:tcW w:w="1701" w:type="dxa"/>
          </w:tcPr>
          <w:p w14:paraId="1F29D9B5" w14:textId="77777777" w:rsidR="00E3289A" w:rsidRPr="007F78CE" w:rsidRDefault="00E3289A" w:rsidP="00345918">
            <w:pPr>
              <w:spacing w:after="0" w:line="240" w:lineRule="auto"/>
              <w:contextualSpacing/>
              <w:rPr>
                <w:rFonts w:ascii="Arial Narrow" w:hAnsi="Arial Narrow" w:cs="Arial"/>
                <w:sz w:val="20"/>
                <w:szCs w:val="20"/>
              </w:rPr>
            </w:pPr>
            <w:r>
              <w:rPr>
                <w:rFonts w:ascii="Arial Narrow" w:hAnsi="Arial Narrow" w:cs="Arial"/>
                <w:sz w:val="20"/>
                <w:szCs w:val="20"/>
              </w:rPr>
              <w:t>Infrastructure numérique</w:t>
            </w:r>
          </w:p>
        </w:tc>
        <w:tc>
          <w:tcPr>
            <w:tcW w:w="1035" w:type="dxa"/>
            <w:shd w:val="clear" w:color="auto" w:fill="auto"/>
          </w:tcPr>
          <w:p w14:paraId="2391AF5A" w14:textId="77777777" w:rsidR="00E3289A" w:rsidRPr="007F78CE" w:rsidRDefault="00E3289A"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2700C4D2" w14:textId="77777777" w:rsidR="00E3289A" w:rsidRPr="007F78CE" w:rsidRDefault="00E3289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79" w:type="dxa"/>
            <w:shd w:val="clear" w:color="auto" w:fill="auto"/>
          </w:tcPr>
          <w:p w14:paraId="638B7DCF" w14:textId="77777777" w:rsidR="00E3289A" w:rsidRPr="007F78CE" w:rsidRDefault="00E3289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79666003" w14:textId="77777777" w:rsidR="00E3289A" w:rsidRPr="007F78CE" w:rsidRDefault="00E3289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99" w:type="dxa"/>
            <w:shd w:val="clear" w:color="auto" w:fill="auto"/>
          </w:tcPr>
          <w:p w14:paraId="677E4FEB" w14:textId="77777777" w:rsidR="00E3289A" w:rsidRPr="007F78CE" w:rsidRDefault="00E3289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73CCDBE2" w14:textId="77777777" w:rsidR="00E3289A" w:rsidRPr="007F78CE" w:rsidRDefault="00E3289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22" w:type="dxa"/>
            <w:shd w:val="clear" w:color="auto" w:fill="auto"/>
          </w:tcPr>
          <w:p w14:paraId="151C746D" w14:textId="77777777" w:rsidR="00E3289A" w:rsidRPr="007F78CE" w:rsidRDefault="00E3289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7FAB2EDE" w14:textId="77777777" w:rsidR="00E3289A" w:rsidRPr="007F78CE" w:rsidRDefault="00E3289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63" w:type="dxa"/>
            <w:shd w:val="clear" w:color="auto" w:fill="00B050"/>
          </w:tcPr>
          <w:p w14:paraId="65320078" w14:textId="77777777" w:rsidR="00E3289A" w:rsidRPr="007F78CE" w:rsidRDefault="00E3289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4A48E551" w14:textId="77777777" w:rsidR="00E3289A" w:rsidRPr="007F78CE" w:rsidRDefault="00E3289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tcPr>
          <w:p w14:paraId="69923994" w14:textId="77777777" w:rsidR="00E3289A" w:rsidRPr="007F78CE" w:rsidRDefault="00E3289A" w:rsidP="007F78CE">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c>
          <w:tcPr>
            <w:tcW w:w="825" w:type="dxa"/>
            <w:shd w:val="clear" w:color="auto" w:fill="538135"/>
          </w:tcPr>
          <w:p w14:paraId="29B7C4D9" w14:textId="77777777" w:rsidR="00E3289A" w:rsidRPr="007F78CE" w:rsidRDefault="00E3289A" w:rsidP="007F78CE">
            <w:pPr>
              <w:spacing w:after="0" w:line="240" w:lineRule="auto"/>
              <w:contextualSpacing/>
              <w:jc w:val="center"/>
              <w:rPr>
                <w:rFonts w:ascii="Arial Narrow" w:hAnsi="Arial Narrow" w:cs="Arial"/>
                <w:sz w:val="20"/>
                <w:szCs w:val="20"/>
              </w:rPr>
            </w:pPr>
            <w:r w:rsidRPr="00F76674">
              <w:rPr>
                <w:rFonts w:ascii="Arial Narrow" w:hAnsi="Arial Narrow" w:cs="Arial"/>
                <w:sz w:val="20"/>
                <w:szCs w:val="20"/>
              </w:rPr>
              <w:t>Très faible</w:t>
            </w:r>
          </w:p>
        </w:tc>
      </w:tr>
      <w:tr w:rsidR="00345918" w:rsidRPr="007F78CE" w14:paraId="4B642798" w14:textId="77777777" w:rsidTr="00FB04F6">
        <w:trPr>
          <w:jc w:val="center"/>
        </w:trPr>
        <w:tc>
          <w:tcPr>
            <w:tcW w:w="1701" w:type="dxa"/>
          </w:tcPr>
          <w:p w14:paraId="5E3C918B" w14:textId="77777777" w:rsidR="00E3289A" w:rsidRPr="007F78CE" w:rsidRDefault="00E3289A"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Centrale électrique solaire</w:t>
            </w:r>
          </w:p>
        </w:tc>
        <w:tc>
          <w:tcPr>
            <w:tcW w:w="1035" w:type="dxa"/>
            <w:shd w:val="clear" w:color="auto" w:fill="auto"/>
          </w:tcPr>
          <w:p w14:paraId="54A878EE" w14:textId="77777777" w:rsidR="00E3289A" w:rsidRPr="007F78CE" w:rsidRDefault="00E3289A" w:rsidP="00F00135">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5E3430D4" w14:textId="77777777" w:rsidR="00E3289A" w:rsidRPr="007F78CE" w:rsidRDefault="00E3289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79" w:type="dxa"/>
            <w:shd w:val="clear" w:color="auto" w:fill="auto"/>
          </w:tcPr>
          <w:p w14:paraId="13422436" w14:textId="77777777" w:rsidR="00E3289A" w:rsidRPr="007F78CE" w:rsidRDefault="00E3289A"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6B73F45F" w14:textId="77777777" w:rsidR="00E3289A" w:rsidRPr="007F78CE" w:rsidRDefault="00E3289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99" w:type="dxa"/>
            <w:shd w:val="clear" w:color="auto" w:fill="auto"/>
          </w:tcPr>
          <w:p w14:paraId="5A72C8A9" w14:textId="77777777" w:rsidR="00E3289A" w:rsidRPr="007F78CE" w:rsidRDefault="00E3289A"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0088E7D2" w14:textId="77777777" w:rsidR="00E3289A" w:rsidRPr="007F78CE" w:rsidRDefault="00E3289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22" w:type="dxa"/>
            <w:shd w:val="clear" w:color="auto" w:fill="auto"/>
          </w:tcPr>
          <w:p w14:paraId="1F321066" w14:textId="77777777" w:rsidR="00E3289A" w:rsidRPr="007F78CE" w:rsidRDefault="00E3289A"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5EABD9DE" w14:textId="77777777" w:rsidR="00E3289A" w:rsidRPr="007F78CE" w:rsidRDefault="00E3289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63" w:type="dxa"/>
            <w:shd w:val="clear" w:color="auto" w:fill="00B050"/>
          </w:tcPr>
          <w:p w14:paraId="01D20390" w14:textId="77777777" w:rsidR="00E3289A" w:rsidRPr="007F78CE" w:rsidRDefault="00E3289A"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70DF684D" w14:textId="77777777" w:rsidR="00E3289A" w:rsidRPr="007F78CE" w:rsidRDefault="00E3289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tcPr>
          <w:p w14:paraId="45B14CA2" w14:textId="77777777" w:rsidR="00E3289A" w:rsidRPr="007F78CE" w:rsidRDefault="00E3289A" w:rsidP="00F00135">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c>
          <w:tcPr>
            <w:tcW w:w="825" w:type="dxa"/>
            <w:shd w:val="clear" w:color="auto" w:fill="538135"/>
          </w:tcPr>
          <w:p w14:paraId="3DD5BA98" w14:textId="77777777" w:rsidR="00E3289A" w:rsidRPr="007F78CE" w:rsidRDefault="00E3289A" w:rsidP="00F00135">
            <w:pPr>
              <w:spacing w:after="0" w:line="240" w:lineRule="auto"/>
              <w:contextualSpacing/>
              <w:jc w:val="center"/>
              <w:rPr>
                <w:rFonts w:ascii="Arial Narrow" w:hAnsi="Arial Narrow" w:cs="Arial"/>
                <w:sz w:val="20"/>
                <w:szCs w:val="20"/>
              </w:rPr>
            </w:pPr>
            <w:r w:rsidRPr="00F76674">
              <w:rPr>
                <w:rFonts w:ascii="Arial Narrow" w:hAnsi="Arial Narrow" w:cs="Arial"/>
                <w:sz w:val="20"/>
                <w:szCs w:val="20"/>
              </w:rPr>
              <w:t>Très faible</w:t>
            </w:r>
          </w:p>
        </w:tc>
      </w:tr>
      <w:tr w:rsidR="00345918" w:rsidRPr="007F78CE" w14:paraId="218D3852" w14:textId="77777777" w:rsidTr="00FB04F6">
        <w:trPr>
          <w:jc w:val="center"/>
        </w:trPr>
        <w:tc>
          <w:tcPr>
            <w:tcW w:w="1701" w:type="dxa"/>
          </w:tcPr>
          <w:p w14:paraId="5C4FCBE8" w14:textId="77777777" w:rsidR="00E3289A" w:rsidRPr="007F78CE" w:rsidRDefault="00E3289A" w:rsidP="00345918">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35" w:type="dxa"/>
            <w:shd w:val="clear" w:color="auto" w:fill="auto"/>
          </w:tcPr>
          <w:p w14:paraId="7C4E6D60" w14:textId="77777777" w:rsidR="00E3289A" w:rsidRPr="007F78CE" w:rsidRDefault="00E3289A" w:rsidP="00F00135">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67C703DE" w14:textId="77777777" w:rsidR="00E3289A" w:rsidRPr="007F78CE" w:rsidRDefault="00E3289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79" w:type="dxa"/>
            <w:shd w:val="clear" w:color="auto" w:fill="auto"/>
          </w:tcPr>
          <w:p w14:paraId="58EC4F90" w14:textId="77777777" w:rsidR="00E3289A" w:rsidRPr="007F78CE" w:rsidRDefault="00E3289A"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7CB52113" w14:textId="77777777" w:rsidR="00E3289A" w:rsidRPr="007F78CE" w:rsidRDefault="00E3289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99" w:type="dxa"/>
            <w:shd w:val="clear" w:color="auto" w:fill="auto"/>
          </w:tcPr>
          <w:p w14:paraId="4BC2C6F8" w14:textId="77777777" w:rsidR="00E3289A" w:rsidRPr="007F78CE" w:rsidRDefault="00E3289A"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0A57F5AF" w14:textId="77777777" w:rsidR="00E3289A" w:rsidRPr="007F78CE" w:rsidRDefault="00E3289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22" w:type="dxa"/>
            <w:shd w:val="clear" w:color="auto" w:fill="auto"/>
          </w:tcPr>
          <w:p w14:paraId="6B78E907" w14:textId="77777777" w:rsidR="00E3289A" w:rsidRPr="007F78CE" w:rsidRDefault="00E3289A"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1890A310" w14:textId="77777777" w:rsidR="00E3289A" w:rsidRPr="007F78CE" w:rsidRDefault="00E3289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63" w:type="dxa"/>
            <w:shd w:val="clear" w:color="auto" w:fill="00B050"/>
          </w:tcPr>
          <w:p w14:paraId="7FCC577A" w14:textId="77777777" w:rsidR="00E3289A" w:rsidRPr="007F78CE" w:rsidRDefault="00E3289A"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5D44EC23" w14:textId="77777777" w:rsidR="00E3289A" w:rsidRPr="007F78CE" w:rsidRDefault="00E3289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tcPr>
          <w:p w14:paraId="3823EEA1" w14:textId="77777777" w:rsidR="00E3289A" w:rsidRPr="007F78CE" w:rsidRDefault="00E3289A" w:rsidP="00F00135">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c>
          <w:tcPr>
            <w:tcW w:w="825" w:type="dxa"/>
            <w:shd w:val="clear" w:color="auto" w:fill="538135"/>
          </w:tcPr>
          <w:p w14:paraId="55867040" w14:textId="77777777" w:rsidR="00E3289A" w:rsidRPr="007F78CE" w:rsidRDefault="00E3289A" w:rsidP="00F00135">
            <w:pPr>
              <w:spacing w:after="0" w:line="240" w:lineRule="auto"/>
              <w:contextualSpacing/>
              <w:jc w:val="center"/>
              <w:rPr>
                <w:rFonts w:ascii="Arial Narrow" w:hAnsi="Arial Narrow" w:cs="Arial"/>
                <w:sz w:val="20"/>
                <w:szCs w:val="20"/>
              </w:rPr>
            </w:pPr>
            <w:r w:rsidRPr="00F76674">
              <w:rPr>
                <w:rFonts w:ascii="Arial Narrow" w:hAnsi="Arial Narrow" w:cs="Arial"/>
                <w:sz w:val="20"/>
                <w:szCs w:val="20"/>
              </w:rPr>
              <w:t>Très faible</w:t>
            </w:r>
          </w:p>
        </w:tc>
      </w:tr>
      <w:tr w:rsidR="00345918" w:rsidRPr="007F78CE" w14:paraId="3A3E901B" w14:textId="77777777" w:rsidTr="00FB04F6">
        <w:trPr>
          <w:jc w:val="center"/>
        </w:trPr>
        <w:tc>
          <w:tcPr>
            <w:tcW w:w="1701" w:type="dxa"/>
          </w:tcPr>
          <w:p w14:paraId="41B658F0" w14:textId="77777777" w:rsidR="00E3289A" w:rsidRDefault="00E3289A" w:rsidP="00B434A6">
            <w:pPr>
              <w:spacing w:after="0" w:line="240" w:lineRule="auto"/>
              <w:contextualSpacing/>
              <w:rPr>
                <w:rFonts w:ascii="Arial Narrow" w:hAnsi="Arial Narrow" w:cs="Arial"/>
                <w:sz w:val="20"/>
                <w:szCs w:val="20"/>
              </w:rPr>
            </w:pPr>
            <w:r>
              <w:rPr>
                <w:rFonts w:ascii="Arial Narrow" w:hAnsi="Arial Narrow" w:cs="Arial"/>
                <w:sz w:val="20"/>
                <w:szCs w:val="20"/>
              </w:rPr>
              <w:t>Réseau électrique</w:t>
            </w:r>
          </w:p>
        </w:tc>
        <w:tc>
          <w:tcPr>
            <w:tcW w:w="1035" w:type="dxa"/>
            <w:shd w:val="clear" w:color="auto" w:fill="auto"/>
          </w:tcPr>
          <w:p w14:paraId="0B7EBD0B" w14:textId="77777777" w:rsidR="00E3289A" w:rsidRPr="007F78CE" w:rsidRDefault="00E3289A" w:rsidP="00296692">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1826F7E9" w14:textId="77777777" w:rsidR="00E3289A" w:rsidRPr="007F78CE" w:rsidRDefault="00E3289A"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79" w:type="dxa"/>
            <w:shd w:val="clear" w:color="auto" w:fill="auto"/>
          </w:tcPr>
          <w:p w14:paraId="2A015FDE" w14:textId="77777777" w:rsidR="00E3289A" w:rsidRPr="007F78CE" w:rsidRDefault="00E3289A"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11C7804C" w14:textId="77777777" w:rsidR="00E3289A" w:rsidRPr="007F78CE" w:rsidRDefault="00E3289A"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99" w:type="dxa"/>
            <w:shd w:val="clear" w:color="auto" w:fill="auto"/>
          </w:tcPr>
          <w:p w14:paraId="2D91A360" w14:textId="77777777" w:rsidR="00E3289A" w:rsidRPr="007F78CE" w:rsidRDefault="00E3289A"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47356374" w14:textId="77777777" w:rsidR="00E3289A" w:rsidRPr="007F78CE" w:rsidRDefault="00E3289A"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322" w:type="dxa"/>
            <w:shd w:val="clear" w:color="auto" w:fill="auto"/>
          </w:tcPr>
          <w:p w14:paraId="66354137" w14:textId="77777777" w:rsidR="00E3289A" w:rsidRPr="007F78CE" w:rsidRDefault="00E3289A"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2413C049" w14:textId="77777777" w:rsidR="00E3289A" w:rsidRPr="007F78CE" w:rsidRDefault="00E3289A"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63" w:type="dxa"/>
            <w:shd w:val="clear" w:color="auto" w:fill="00B050"/>
          </w:tcPr>
          <w:p w14:paraId="24C47A2D" w14:textId="77777777" w:rsidR="00E3289A" w:rsidRPr="007F78CE" w:rsidRDefault="00E3289A"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208FD908" w14:textId="77777777" w:rsidR="00E3289A" w:rsidRPr="007F78CE" w:rsidRDefault="00E3289A"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tcPr>
          <w:p w14:paraId="4985C2BA" w14:textId="77777777" w:rsidR="00E3289A" w:rsidRPr="007F78CE" w:rsidRDefault="00E3289A" w:rsidP="00296692">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c>
          <w:tcPr>
            <w:tcW w:w="825" w:type="dxa"/>
            <w:shd w:val="clear" w:color="auto" w:fill="538135"/>
          </w:tcPr>
          <w:p w14:paraId="2B8C239A" w14:textId="77777777" w:rsidR="00E3289A" w:rsidRPr="007F78CE" w:rsidRDefault="00E3289A" w:rsidP="00296692">
            <w:pPr>
              <w:spacing w:after="0" w:line="240" w:lineRule="auto"/>
              <w:contextualSpacing/>
              <w:jc w:val="center"/>
              <w:rPr>
                <w:rFonts w:ascii="Arial Narrow" w:hAnsi="Arial Narrow" w:cs="Arial"/>
                <w:sz w:val="20"/>
                <w:szCs w:val="20"/>
              </w:rPr>
            </w:pPr>
            <w:r w:rsidRPr="00F76674">
              <w:rPr>
                <w:rFonts w:ascii="Arial Narrow" w:hAnsi="Arial Narrow" w:cs="Arial"/>
                <w:sz w:val="20"/>
                <w:szCs w:val="20"/>
              </w:rPr>
              <w:t>Très faible</w:t>
            </w:r>
          </w:p>
        </w:tc>
      </w:tr>
      <w:tr w:rsidR="001716F8" w:rsidRPr="007F78CE" w14:paraId="5FF55CBC" w14:textId="77777777" w:rsidTr="00FB04F6">
        <w:trPr>
          <w:jc w:val="center"/>
        </w:trPr>
        <w:tc>
          <w:tcPr>
            <w:tcW w:w="1701" w:type="dxa"/>
          </w:tcPr>
          <w:p w14:paraId="0D2B2864" w14:textId="77777777" w:rsidR="001716F8" w:rsidRDefault="001716F8" w:rsidP="00B434A6">
            <w:pPr>
              <w:spacing w:after="0" w:line="240" w:lineRule="auto"/>
              <w:contextualSpacing/>
              <w:rPr>
                <w:rFonts w:ascii="Arial Narrow" w:hAnsi="Arial Narrow" w:cs="Arial"/>
                <w:sz w:val="20"/>
                <w:szCs w:val="20"/>
              </w:rPr>
            </w:pPr>
            <w:r>
              <w:rPr>
                <w:rFonts w:ascii="Arial Narrow" w:hAnsi="Arial Narrow" w:cs="Arial"/>
                <w:sz w:val="20"/>
                <w:szCs w:val="20"/>
              </w:rPr>
              <w:t>Impact cumulé</w:t>
            </w:r>
          </w:p>
        </w:tc>
        <w:tc>
          <w:tcPr>
            <w:tcW w:w="1035" w:type="dxa"/>
            <w:shd w:val="clear" w:color="auto" w:fill="auto"/>
          </w:tcPr>
          <w:p w14:paraId="4BB929DE" w14:textId="77777777" w:rsidR="001716F8" w:rsidRPr="007F78CE" w:rsidRDefault="001716F8" w:rsidP="00D70FB3">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19880391"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79" w:type="dxa"/>
            <w:shd w:val="clear" w:color="auto" w:fill="auto"/>
          </w:tcPr>
          <w:p w14:paraId="11FD83F5"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45BBFCE9"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99" w:type="dxa"/>
            <w:shd w:val="clear" w:color="auto" w:fill="auto"/>
          </w:tcPr>
          <w:p w14:paraId="57E2453E"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1E874A1F"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22" w:type="dxa"/>
            <w:shd w:val="clear" w:color="auto" w:fill="auto"/>
          </w:tcPr>
          <w:p w14:paraId="47333EA2"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13F6AF9C"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63" w:type="dxa"/>
            <w:shd w:val="clear" w:color="auto" w:fill="00B050"/>
          </w:tcPr>
          <w:p w14:paraId="79BBB694"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315853D6"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tcPr>
          <w:p w14:paraId="24950D30" w14:textId="77777777" w:rsidR="001716F8" w:rsidRPr="00FC0D50" w:rsidRDefault="001716F8" w:rsidP="00296692">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c>
          <w:tcPr>
            <w:tcW w:w="825" w:type="dxa"/>
            <w:shd w:val="clear" w:color="auto" w:fill="538135"/>
          </w:tcPr>
          <w:p w14:paraId="0527B91E" w14:textId="77777777" w:rsidR="001716F8" w:rsidRPr="00F76674" w:rsidRDefault="001716F8" w:rsidP="00296692">
            <w:pPr>
              <w:spacing w:after="0" w:line="240" w:lineRule="auto"/>
              <w:contextualSpacing/>
              <w:jc w:val="center"/>
              <w:rPr>
                <w:rFonts w:ascii="Arial Narrow" w:hAnsi="Arial Narrow" w:cs="Arial"/>
                <w:sz w:val="20"/>
                <w:szCs w:val="20"/>
              </w:rPr>
            </w:pPr>
            <w:r w:rsidRPr="00F76674">
              <w:rPr>
                <w:rFonts w:ascii="Arial Narrow" w:hAnsi="Arial Narrow" w:cs="Arial"/>
                <w:sz w:val="20"/>
                <w:szCs w:val="20"/>
              </w:rPr>
              <w:t>Très faible</w:t>
            </w:r>
          </w:p>
        </w:tc>
      </w:tr>
    </w:tbl>
    <w:p w14:paraId="62F371E9" w14:textId="77777777" w:rsidR="0090044A" w:rsidRDefault="0090044A" w:rsidP="0090044A">
      <w:pPr>
        <w:jc w:val="center"/>
        <w:rPr>
          <w:rFonts w:ascii="Times New Roman" w:hAnsi="Times New Roman"/>
          <w:b/>
          <w:sz w:val="20"/>
          <w:szCs w:val="20"/>
          <w:highlight w:val="yellow"/>
        </w:rPr>
      </w:pPr>
    </w:p>
    <w:p w14:paraId="3065DAC7" w14:textId="77777777" w:rsidR="00B02B32" w:rsidRPr="00F01166" w:rsidRDefault="00B02B32" w:rsidP="00F01166">
      <w:pPr>
        <w:pStyle w:val="Normal12"/>
        <w:numPr>
          <w:ilvl w:val="0"/>
          <w:numId w:val="85"/>
        </w:numPr>
        <w:spacing w:before="120" w:after="120"/>
        <w:contextualSpacing/>
        <w:rPr>
          <w:b w:val="0"/>
          <w:i/>
          <w:iCs/>
          <w:lang w:val="fr-FR"/>
        </w:rPr>
      </w:pPr>
      <w:r w:rsidRPr="00B434A6">
        <w:rPr>
          <w:i/>
          <w:iCs/>
          <w:lang w:val="fr-FR"/>
        </w:rPr>
        <w:t>Perturbation de</w:t>
      </w:r>
      <w:r w:rsidR="00F13988">
        <w:rPr>
          <w:i/>
          <w:iCs/>
          <w:lang w:val="fr-FR"/>
        </w:rPr>
        <w:t xml:space="preserve"> la</w:t>
      </w:r>
      <w:r w:rsidRPr="00B434A6">
        <w:rPr>
          <w:i/>
          <w:iCs/>
          <w:lang w:val="fr-FR"/>
        </w:rPr>
        <w:t xml:space="preserve"> faune aquatique </w:t>
      </w:r>
    </w:p>
    <w:p w14:paraId="4E86C3AF" w14:textId="77777777" w:rsidR="00B02B32" w:rsidRPr="00742D67" w:rsidRDefault="004719C1" w:rsidP="00B434A6">
      <w:pPr>
        <w:spacing w:line="240" w:lineRule="auto"/>
        <w:jc w:val="both"/>
        <w:rPr>
          <w:rFonts w:ascii="Arial" w:hAnsi="Arial" w:cs="Arial"/>
        </w:rPr>
      </w:pPr>
      <w:r w:rsidRPr="00742D67">
        <w:rPr>
          <w:rFonts w:ascii="Arial" w:hAnsi="Arial" w:cs="Arial"/>
        </w:rPr>
        <w:t xml:space="preserve">La mise en place des barrages hydroélectriques </w:t>
      </w:r>
      <w:r w:rsidR="0015148E" w:rsidRPr="00742D67">
        <w:rPr>
          <w:rFonts w:ascii="Arial" w:hAnsi="Arial" w:cs="Arial"/>
        </w:rPr>
        <w:t>aura un effet négatif sur la faune aquatique. En effet, les activités dans l’eau pour la construction du barrage feront fuir les poissons et autres faunes aquatique</w:t>
      </w:r>
      <w:r w:rsidR="00283C4B" w:rsidRPr="00742D67">
        <w:rPr>
          <w:rFonts w:ascii="Arial" w:hAnsi="Arial" w:cs="Arial"/>
        </w:rPr>
        <w:t>s</w:t>
      </w:r>
      <w:r w:rsidR="0015148E" w:rsidRPr="00742D67">
        <w:rPr>
          <w:rFonts w:ascii="Arial" w:hAnsi="Arial" w:cs="Arial"/>
        </w:rPr>
        <w:t xml:space="preserve"> dans la zone de travail. Heureusement, l’importance de cet impact est considérée comme « Mineure » puisqu’il est limité dans le temps et dans l’espace, de plus son intensité est jugée « faible »</w:t>
      </w:r>
      <w:r w:rsidR="00E3289A">
        <w:rPr>
          <w:rFonts w:ascii="Arial" w:hAnsi="Arial" w:cs="Arial"/>
        </w:rPr>
        <w:t>. Le niveau risque est considéré comme Faible</w:t>
      </w:r>
      <w:r w:rsidR="003F5356">
        <w:rPr>
          <w:rFonts w:ascii="Arial" w:hAnsi="Arial" w:cs="Arial"/>
        </w:rPr>
        <w:t xml:space="preserve"> selon le tableau suivant.</w:t>
      </w:r>
    </w:p>
    <w:p w14:paraId="230DDDAD" w14:textId="77777777" w:rsidR="00B02B32" w:rsidRPr="00B434A6" w:rsidRDefault="0015148E" w:rsidP="00B434A6">
      <w:pPr>
        <w:pStyle w:val="Lgende"/>
        <w:spacing w:before="120"/>
        <w:jc w:val="center"/>
        <w:rPr>
          <w:sz w:val="20"/>
        </w:rPr>
      </w:pPr>
      <w:bookmarkStart w:id="934" w:name="_Toc127957829"/>
      <w:r w:rsidRPr="00B434A6">
        <w:rPr>
          <w:sz w:val="20"/>
        </w:rPr>
        <w:t xml:space="preserve">Tableau </w:t>
      </w:r>
      <w:r w:rsidRPr="00B434A6">
        <w:rPr>
          <w:sz w:val="20"/>
        </w:rPr>
        <w:fldChar w:fldCharType="begin"/>
      </w:r>
      <w:r w:rsidRPr="00B434A6">
        <w:rPr>
          <w:sz w:val="20"/>
        </w:rPr>
        <w:instrText xml:space="preserve"> SEQ Tableau \* ARABIC </w:instrText>
      </w:r>
      <w:r w:rsidRPr="00B434A6">
        <w:rPr>
          <w:sz w:val="20"/>
        </w:rPr>
        <w:fldChar w:fldCharType="separate"/>
      </w:r>
      <w:r w:rsidR="005430A1">
        <w:rPr>
          <w:noProof/>
          <w:sz w:val="20"/>
        </w:rPr>
        <w:t>33</w:t>
      </w:r>
      <w:r w:rsidRPr="00B434A6">
        <w:rPr>
          <w:sz w:val="20"/>
        </w:rPr>
        <w:fldChar w:fldCharType="end"/>
      </w:r>
      <w:r w:rsidRPr="00B434A6">
        <w:rPr>
          <w:sz w:val="20"/>
        </w:rPr>
        <w:t>. Evaluation de l’impact – Perturbation des faunes aquatiques</w:t>
      </w:r>
      <w:bookmarkEnd w:id="934"/>
      <w:r w:rsidRPr="00B434A6">
        <w:rPr>
          <w:sz w:val="20"/>
        </w:rPr>
        <w:t xml:space="preserve"> </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055"/>
        <w:gridCol w:w="1026"/>
        <w:gridCol w:w="913"/>
        <w:gridCol w:w="1340"/>
        <w:gridCol w:w="1286"/>
        <w:gridCol w:w="1116"/>
        <w:gridCol w:w="800"/>
        <w:tblGridChange w:id="935">
          <w:tblGrid>
            <w:gridCol w:w="1752"/>
            <w:gridCol w:w="1055"/>
            <w:gridCol w:w="1026"/>
            <w:gridCol w:w="913"/>
            <w:gridCol w:w="1340"/>
            <w:gridCol w:w="1286"/>
            <w:gridCol w:w="1116"/>
            <w:gridCol w:w="800"/>
          </w:tblGrid>
        </w:tblGridChange>
      </w:tblGrid>
      <w:tr w:rsidR="00E3289A" w:rsidRPr="007F78CE" w14:paraId="3B36B15B" w14:textId="77777777" w:rsidTr="00345918">
        <w:trPr>
          <w:jc w:val="center"/>
        </w:trPr>
        <w:tc>
          <w:tcPr>
            <w:tcW w:w="1752" w:type="dxa"/>
            <w:shd w:val="clear" w:color="auto" w:fill="BFBFBF"/>
          </w:tcPr>
          <w:p w14:paraId="65FE0C2A" w14:textId="77777777" w:rsidR="00E3289A" w:rsidRPr="007F78CE" w:rsidRDefault="00E3289A" w:rsidP="00F00135">
            <w:pPr>
              <w:spacing w:after="0" w:line="240" w:lineRule="auto"/>
              <w:rPr>
                <w:rFonts w:ascii="Arial Narrow" w:hAnsi="Arial Narrow"/>
                <w:b/>
                <w:bCs/>
                <w:sz w:val="20"/>
                <w:szCs w:val="20"/>
              </w:rPr>
            </w:pPr>
            <w:r>
              <w:rPr>
                <w:rFonts w:ascii="Arial Narrow" w:hAnsi="Arial Narrow"/>
                <w:b/>
                <w:bCs/>
                <w:sz w:val="20"/>
                <w:szCs w:val="20"/>
              </w:rPr>
              <w:t>Sous Projet</w:t>
            </w:r>
          </w:p>
        </w:tc>
        <w:tc>
          <w:tcPr>
            <w:tcW w:w="1055" w:type="dxa"/>
            <w:shd w:val="clear" w:color="auto" w:fill="BFBFBF"/>
          </w:tcPr>
          <w:p w14:paraId="5E258AB0" w14:textId="77777777" w:rsidR="00E3289A" w:rsidRPr="007F78CE" w:rsidRDefault="00E3289A" w:rsidP="00F00135">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026" w:type="dxa"/>
            <w:shd w:val="clear" w:color="auto" w:fill="BFBFBF"/>
          </w:tcPr>
          <w:p w14:paraId="61465D33" w14:textId="77777777" w:rsidR="00E3289A" w:rsidRPr="007F78CE" w:rsidRDefault="00E3289A" w:rsidP="00F00135">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913" w:type="dxa"/>
            <w:shd w:val="clear" w:color="auto" w:fill="BFBFBF"/>
          </w:tcPr>
          <w:p w14:paraId="63725081" w14:textId="77777777" w:rsidR="00E3289A" w:rsidRPr="007F78CE" w:rsidRDefault="00E3289A" w:rsidP="00F00135">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340" w:type="dxa"/>
            <w:shd w:val="clear" w:color="auto" w:fill="BFBFBF"/>
          </w:tcPr>
          <w:p w14:paraId="3387630B" w14:textId="77777777" w:rsidR="00E3289A" w:rsidRPr="007F78CE" w:rsidRDefault="00E3289A" w:rsidP="00F00135">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286" w:type="dxa"/>
            <w:shd w:val="clear" w:color="auto" w:fill="BFBFBF"/>
          </w:tcPr>
          <w:p w14:paraId="6BEF7256" w14:textId="77777777" w:rsidR="00E3289A" w:rsidRPr="007F78CE" w:rsidRDefault="00E3289A" w:rsidP="00F00135">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116" w:type="dxa"/>
            <w:shd w:val="clear" w:color="auto" w:fill="auto"/>
          </w:tcPr>
          <w:p w14:paraId="5C02492C" w14:textId="77777777" w:rsidR="00E3289A" w:rsidRPr="007F78CE" w:rsidRDefault="00E3289A" w:rsidP="00F00135">
            <w:pPr>
              <w:spacing w:after="0" w:line="240" w:lineRule="auto"/>
              <w:rPr>
                <w:rFonts w:ascii="Arial Narrow" w:hAnsi="Arial Narrow"/>
                <w:b/>
                <w:bCs/>
                <w:sz w:val="20"/>
                <w:szCs w:val="20"/>
              </w:rPr>
            </w:pPr>
            <w:r>
              <w:rPr>
                <w:rFonts w:ascii="Arial Narrow" w:hAnsi="Arial Narrow"/>
                <w:b/>
                <w:bCs/>
                <w:sz w:val="20"/>
                <w:szCs w:val="20"/>
              </w:rPr>
              <w:t>Probabilité</w:t>
            </w:r>
          </w:p>
        </w:tc>
        <w:tc>
          <w:tcPr>
            <w:tcW w:w="800" w:type="dxa"/>
          </w:tcPr>
          <w:p w14:paraId="5EBE079B" w14:textId="77777777" w:rsidR="00E3289A" w:rsidRDefault="00E3289A" w:rsidP="00F00135">
            <w:pPr>
              <w:spacing w:after="0" w:line="240" w:lineRule="auto"/>
              <w:rPr>
                <w:rFonts w:ascii="Arial Narrow" w:hAnsi="Arial Narrow"/>
                <w:b/>
                <w:bCs/>
                <w:sz w:val="20"/>
                <w:szCs w:val="20"/>
              </w:rPr>
            </w:pPr>
            <w:r>
              <w:rPr>
                <w:rFonts w:ascii="Arial Narrow" w:hAnsi="Arial Narrow"/>
                <w:b/>
                <w:bCs/>
                <w:sz w:val="20"/>
                <w:szCs w:val="20"/>
              </w:rPr>
              <w:t>Risque</w:t>
            </w:r>
          </w:p>
        </w:tc>
      </w:tr>
      <w:tr w:rsidR="00345918" w:rsidRPr="007F78CE" w14:paraId="6DBB100D" w14:textId="77777777" w:rsidTr="00FB04F6">
        <w:trPr>
          <w:jc w:val="center"/>
        </w:trPr>
        <w:tc>
          <w:tcPr>
            <w:tcW w:w="1752" w:type="dxa"/>
          </w:tcPr>
          <w:p w14:paraId="3C3EC70D" w14:textId="77777777" w:rsidR="00E3289A" w:rsidRPr="007F78CE" w:rsidRDefault="00E3289A" w:rsidP="00345918">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55" w:type="dxa"/>
            <w:shd w:val="clear" w:color="auto" w:fill="auto"/>
          </w:tcPr>
          <w:p w14:paraId="4F671324" w14:textId="77777777" w:rsidR="00E3289A" w:rsidRPr="007F78CE" w:rsidRDefault="00E3289A" w:rsidP="00F00135">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4056289D" w14:textId="77777777" w:rsidR="00E3289A" w:rsidRPr="007F78CE" w:rsidRDefault="00E3289A"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26" w:type="dxa"/>
            <w:shd w:val="clear" w:color="auto" w:fill="auto"/>
          </w:tcPr>
          <w:p w14:paraId="4460F563" w14:textId="77777777" w:rsidR="00E3289A" w:rsidRPr="007F78CE" w:rsidRDefault="00E3289A"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56B2B573" w14:textId="77777777" w:rsidR="00E3289A" w:rsidRPr="007F78CE" w:rsidRDefault="00E3289A"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13" w:type="dxa"/>
            <w:shd w:val="clear" w:color="auto" w:fill="auto"/>
          </w:tcPr>
          <w:p w14:paraId="20E7D87E" w14:textId="77777777" w:rsidR="00E3289A" w:rsidRPr="007F78CE" w:rsidRDefault="00E3289A"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796919D5" w14:textId="77777777" w:rsidR="00E3289A" w:rsidRPr="007F78CE" w:rsidRDefault="00E3289A"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40" w:type="dxa"/>
            <w:shd w:val="clear" w:color="auto" w:fill="auto"/>
          </w:tcPr>
          <w:p w14:paraId="50110C32" w14:textId="77777777" w:rsidR="00E3289A" w:rsidRPr="007F78CE" w:rsidRDefault="00E3289A"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390DB1E8" w14:textId="77777777" w:rsidR="00E3289A" w:rsidRPr="007F78CE" w:rsidRDefault="00E3289A"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86" w:type="dxa"/>
            <w:shd w:val="clear" w:color="auto" w:fill="00B050"/>
          </w:tcPr>
          <w:p w14:paraId="5D6EDFA8" w14:textId="77777777" w:rsidR="00E3289A" w:rsidRPr="007F78CE" w:rsidRDefault="00E3289A"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018709B9" w14:textId="77777777" w:rsidR="00E3289A" w:rsidRPr="007F78CE" w:rsidRDefault="00E3289A"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116" w:type="dxa"/>
            <w:shd w:val="clear" w:color="auto" w:fill="auto"/>
          </w:tcPr>
          <w:p w14:paraId="348CC1F1" w14:textId="77777777" w:rsidR="00E3289A" w:rsidRPr="007F78CE" w:rsidRDefault="00E3289A" w:rsidP="00F00135">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800" w:type="dxa"/>
            <w:shd w:val="clear" w:color="auto" w:fill="BFBFBF"/>
          </w:tcPr>
          <w:p w14:paraId="16F91C30" w14:textId="77777777" w:rsidR="00E3289A" w:rsidRPr="00FC0D50" w:rsidRDefault="00E3289A" w:rsidP="00F00135">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bl>
    <w:p w14:paraId="3C63A42B" w14:textId="77777777" w:rsidR="0015148E" w:rsidRPr="00B434A6" w:rsidRDefault="0015148E" w:rsidP="00B434A6">
      <w:pPr>
        <w:spacing w:line="240" w:lineRule="auto"/>
        <w:jc w:val="both"/>
        <w:rPr>
          <w:rFonts w:ascii="Arial" w:hAnsi="Arial" w:cs="Arial"/>
        </w:rPr>
      </w:pPr>
    </w:p>
    <w:p w14:paraId="559DD4F8" w14:textId="77777777" w:rsidR="0090044A" w:rsidRPr="00B8204C" w:rsidRDefault="0090044A" w:rsidP="73E372D6">
      <w:pPr>
        <w:pStyle w:val="Style9"/>
        <w:ind w:left="2856" w:firstLine="0"/>
      </w:pPr>
      <w:bookmarkStart w:id="936" w:name="_Toc98192342"/>
      <w:bookmarkStart w:id="937" w:name="_Toc97835149"/>
      <w:r w:rsidRPr="00B8204C">
        <w:t>Impact sur le milieu humain</w:t>
      </w:r>
      <w:bookmarkEnd w:id="936"/>
      <w:bookmarkEnd w:id="937"/>
    </w:p>
    <w:p w14:paraId="230015A6" w14:textId="77777777" w:rsidR="0090044A" w:rsidRPr="007F78CE" w:rsidRDefault="0090044A" w:rsidP="00687DD2">
      <w:pPr>
        <w:pStyle w:val="Titre5"/>
        <w:keepNext w:val="0"/>
        <w:keepLines w:val="0"/>
        <w:numPr>
          <w:ilvl w:val="0"/>
          <w:numId w:val="97"/>
        </w:numPr>
        <w:tabs>
          <w:tab w:val="left" w:pos="708"/>
        </w:tabs>
        <w:spacing w:before="280" w:after="280" w:line="240" w:lineRule="auto"/>
        <w:ind w:left="0" w:firstLine="0"/>
        <w:contextualSpacing/>
        <w:jc w:val="both"/>
        <w:rPr>
          <w:rFonts w:eastAsia="Calibri"/>
          <w:b/>
          <w:bCs/>
        </w:rPr>
      </w:pPr>
      <w:r w:rsidRPr="007F78CE">
        <w:rPr>
          <w:rFonts w:eastAsia="Calibri"/>
          <w:b/>
          <w:bCs/>
        </w:rPr>
        <w:t xml:space="preserve">Cadre de vie et bien être </w:t>
      </w:r>
    </w:p>
    <w:p w14:paraId="554B35D4" w14:textId="77777777" w:rsidR="0090044A" w:rsidRPr="00B8204C" w:rsidRDefault="0090044A" w:rsidP="00F01166">
      <w:pPr>
        <w:pStyle w:val="Normal12"/>
        <w:numPr>
          <w:ilvl w:val="0"/>
          <w:numId w:val="85"/>
        </w:numPr>
        <w:spacing w:after="0"/>
        <w:contextualSpacing/>
        <w:rPr>
          <w:i/>
          <w:iCs/>
          <w:lang w:val="fr-FR"/>
        </w:rPr>
      </w:pPr>
      <w:r w:rsidRPr="00B8204C">
        <w:rPr>
          <w:i/>
          <w:iCs/>
          <w:lang w:val="fr-FR"/>
        </w:rPr>
        <w:t xml:space="preserve">Perte d’accès aux terrains et perte de biens </w:t>
      </w:r>
    </w:p>
    <w:p w14:paraId="415CEC85" w14:textId="77777777" w:rsidR="0090044A" w:rsidRPr="008D2A01" w:rsidRDefault="0090044A" w:rsidP="00F01166">
      <w:pPr>
        <w:widowControl w:val="0"/>
        <w:spacing w:line="240" w:lineRule="auto"/>
        <w:jc w:val="both"/>
        <w:rPr>
          <w:rFonts w:ascii="Arial" w:hAnsi="Arial" w:cs="Arial"/>
        </w:rPr>
      </w:pPr>
      <w:r w:rsidRPr="008D2A01">
        <w:rPr>
          <w:rFonts w:ascii="Arial" w:hAnsi="Arial" w:cs="Arial"/>
        </w:rPr>
        <w:t xml:space="preserve">La mise </w:t>
      </w:r>
      <w:r w:rsidR="0002275A">
        <w:rPr>
          <w:rFonts w:ascii="Arial" w:hAnsi="Arial" w:cs="Arial"/>
        </w:rPr>
        <w:t>e</w:t>
      </w:r>
      <w:r w:rsidRPr="008D2A01">
        <w:rPr>
          <w:rFonts w:ascii="Arial" w:hAnsi="Arial" w:cs="Arial"/>
        </w:rPr>
        <w:t xml:space="preserve">n place et la construction des infrastructures peuvent entraîner la cessation des activités des usufruitiers du terrain en question. Ceci </w:t>
      </w:r>
      <w:r w:rsidR="00F5207D">
        <w:rPr>
          <w:rFonts w:ascii="Arial" w:hAnsi="Arial" w:cs="Arial"/>
        </w:rPr>
        <w:t xml:space="preserve">se déroulera </w:t>
      </w:r>
      <w:r w:rsidRPr="008D2A01">
        <w:rPr>
          <w:rFonts w:ascii="Arial" w:hAnsi="Arial" w:cs="Arial"/>
        </w:rPr>
        <w:t xml:space="preserve">pendant toute la durée du projet. </w:t>
      </w:r>
    </w:p>
    <w:p w14:paraId="24EA7060" w14:textId="77777777" w:rsidR="0090044A" w:rsidRPr="008D2A01" w:rsidRDefault="0090044A" w:rsidP="008D2A01">
      <w:pPr>
        <w:spacing w:line="240" w:lineRule="auto"/>
        <w:jc w:val="both"/>
        <w:rPr>
          <w:rFonts w:ascii="Arial" w:hAnsi="Arial" w:cs="Arial"/>
        </w:rPr>
      </w:pPr>
      <w:r w:rsidRPr="008D2A01">
        <w:rPr>
          <w:rFonts w:ascii="Arial" w:hAnsi="Arial" w:cs="Arial"/>
        </w:rPr>
        <w:t>D’autre part, l’aire nécessaire pour l’installation de la base vie devra, autant que possible être intégré</w:t>
      </w:r>
      <w:r w:rsidR="00F5207D">
        <w:rPr>
          <w:rFonts w:ascii="Arial" w:hAnsi="Arial" w:cs="Arial"/>
        </w:rPr>
        <w:t>e</w:t>
      </w:r>
      <w:r w:rsidRPr="008D2A01">
        <w:rPr>
          <w:rFonts w:ascii="Arial" w:hAnsi="Arial" w:cs="Arial"/>
        </w:rPr>
        <w:t xml:space="preserve"> dans le site d’implantation afin de limiter au strict nécessaire ces pertes de terres.</w:t>
      </w:r>
    </w:p>
    <w:p w14:paraId="50E5E658" w14:textId="77777777" w:rsidR="0090044A" w:rsidRPr="008D2A01" w:rsidRDefault="0090044A" w:rsidP="008D2A01">
      <w:pPr>
        <w:spacing w:line="240" w:lineRule="auto"/>
        <w:jc w:val="both"/>
        <w:rPr>
          <w:rFonts w:ascii="Arial" w:hAnsi="Arial" w:cs="Arial"/>
        </w:rPr>
      </w:pPr>
      <w:r w:rsidRPr="008D2A01">
        <w:rPr>
          <w:rFonts w:ascii="Arial" w:hAnsi="Arial" w:cs="Arial"/>
        </w:rPr>
        <w:t>L’importance de cet impact est donc évaluée « moyenne »</w:t>
      </w:r>
      <w:r w:rsidR="007D67F3">
        <w:rPr>
          <w:rFonts w:ascii="Arial" w:hAnsi="Arial" w:cs="Arial"/>
        </w:rPr>
        <w:t xml:space="preserve"> toutefois, les niveaux de risque sont  faible et élevé selon les sous projets comme en montre  </w:t>
      </w:r>
      <w:r w:rsidR="003F5356">
        <w:rPr>
          <w:rFonts w:ascii="Arial" w:hAnsi="Arial" w:cs="Arial"/>
        </w:rPr>
        <w:t xml:space="preserve"> le tableau ci-dessous</w:t>
      </w:r>
      <w:r w:rsidRPr="008D2A01">
        <w:rPr>
          <w:rFonts w:ascii="Arial" w:hAnsi="Arial" w:cs="Arial"/>
        </w:rPr>
        <w:t xml:space="preserve">. </w:t>
      </w:r>
    </w:p>
    <w:p w14:paraId="1EC2A526" w14:textId="77777777" w:rsidR="0090044A" w:rsidRPr="002E58DC" w:rsidRDefault="0090044A" w:rsidP="002E58DC">
      <w:pPr>
        <w:pStyle w:val="Lgende"/>
        <w:spacing w:before="120"/>
        <w:jc w:val="center"/>
        <w:rPr>
          <w:sz w:val="20"/>
        </w:rPr>
      </w:pPr>
      <w:bookmarkStart w:id="938" w:name="_Toc100753926"/>
      <w:bookmarkStart w:id="939" w:name="_Toc127957830"/>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34</w:t>
      </w:r>
      <w:r w:rsidRPr="002E58DC">
        <w:rPr>
          <w:sz w:val="20"/>
        </w:rPr>
        <w:fldChar w:fldCharType="end"/>
      </w:r>
      <w:r w:rsidRPr="002E58DC">
        <w:rPr>
          <w:sz w:val="20"/>
        </w:rPr>
        <w:t>. Evaluation</w:t>
      </w:r>
      <w:r w:rsidR="00FB273B">
        <w:rPr>
          <w:sz w:val="20"/>
        </w:rPr>
        <w:t xml:space="preserve"> de</w:t>
      </w:r>
      <w:r w:rsidRPr="002E58DC">
        <w:rPr>
          <w:sz w:val="20"/>
        </w:rPr>
        <w:t xml:space="preserve"> l’impact –Perte de propriété et des moyens de subsistance</w:t>
      </w:r>
      <w:bookmarkEnd w:id="938"/>
      <w:bookmarkEnd w:id="939"/>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033"/>
        <w:gridCol w:w="1080"/>
        <w:gridCol w:w="922"/>
        <w:gridCol w:w="1320"/>
        <w:gridCol w:w="1262"/>
        <w:gridCol w:w="1064"/>
        <w:gridCol w:w="928"/>
        <w:tblGridChange w:id="940">
          <w:tblGrid>
            <w:gridCol w:w="1679"/>
            <w:gridCol w:w="1033"/>
            <w:gridCol w:w="1080"/>
            <w:gridCol w:w="922"/>
            <w:gridCol w:w="1320"/>
            <w:gridCol w:w="1262"/>
            <w:gridCol w:w="1064"/>
            <w:gridCol w:w="928"/>
          </w:tblGrid>
        </w:tblGridChange>
      </w:tblGrid>
      <w:tr w:rsidR="007D67F3" w:rsidRPr="007F78CE" w14:paraId="243E8960" w14:textId="77777777" w:rsidTr="00353921">
        <w:trPr>
          <w:tblHeader/>
          <w:jc w:val="center"/>
        </w:trPr>
        <w:tc>
          <w:tcPr>
            <w:tcW w:w="1705" w:type="dxa"/>
            <w:shd w:val="clear" w:color="auto" w:fill="BFBFBF"/>
          </w:tcPr>
          <w:p w14:paraId="2C465ADA" w14:textId="77777777" w:rsidR="007D67F3" w:rsidRPr="007F78CE" w:rsidRDefault="007D67F3" w:rsidP="00B434A6">
            <w:pPr>
              <w:spacing w:after="0" w:line="240" w:lineRule="auto"/>
              <w:jc w:val="center"/>
              <w:rPr>
                <w:rFonts w:ascii="Arial Narrow" w:hAnsi="Arial Narrow"/>
                <w:b/>
                <w:bCs/>
                <w:sz w:val="20"/>
                <w:szCs w:val="20"/>
              </w:rPr>
            </w:pPr>
            <w:r>
              <w:rPr>
                <w:rFonts w:ascii="Arial Narrow" w:hAnsi="Arial Narrow"/>
                <w:b/>
                <w:bCs/>
                <w:sz w:val="20"/>
                <w:szCs w:val="20"/>
              </w:rPr>
              <w:t>Sous Projet</w:t>
            </w:r>
          </w:p>
        </w:tc>
        <w:tc>
          <w:tcPr>
            <w:tcW w:w="1044" w:type="dxa"/>
            <w:shd w:val="clear" w:color="auto" w:fill="BFBFBF"/>
          </w:tcPr>
          <w:p w14:paraId="221831F1" w14:textId="77777777" w:rsidR="007D67F3" w:rsidRPr="007F78CE" w:rsidRDefault="007D67F3" w:rsidP="00B434A6">
            <w:pPr>
              <w:spacing w:after="0" w:line="240" w:lineRule="auto"/>
              <w:jc w:val="center"/>
              <w:rPr>
                <w:rFonts w:ascii="Arial Narrow" w:hAnsi="Arial Narrow"/>
                <w:b/>
                <w:sz w:val="20"/>
                <w:szCs w:val="20"/>
              </w:rPr>
            </w:pPr>
            <w:r w:rsidRPr="007F78CE">
              <w:rPr>
                <w:rFonts w:ascii="Arial Narrow" w:hAnsi="Arial Narrow"/>
                <w:b/>
                <w:bCs/>
                <w:sz w:val="20"/>
                <w:szCs w:val="20"/>
              </w:rPr>
              <w:t>Intensité</w:t>
            </w:r>
          </w:p>
        </w:tc>
        <w:tc>
          <w:tcPr>
            <w:tcW w:w="1087" w:type="dxa"/>
            <w:shd w:val="clear" w:color="auto" w:fill="BFBFBF"/>
          </w:tcPr>
          <w:p w14:paraId="1540AEBD" w14:textId="77777777" w:rsidR="007D67F3" w:rsidRPr="007F78CE" w:rsidRDefault="007D67F3" w:rsidP="00B434A6">
            <w:pPr>
              <w:spacing w:after="0" w:line="240" w:lineRule="auto"/>
              <w:jc w:val="center"/>
              <w:rPr>
                <w:rFonts w:ascii="Arial Narrow" w:hAnsi="Arial Narrow"/>
                <w:b/>
                <w:bCs/>
                <w:sz w:val="20"/>
                <w:szCs w:val="20"/>
              </w:rPr>
            </w:pPr>
            <w:r w:rsidRPr="007F78CE">
              <w:rPr>
                <w:rFonts w:ascii="Arial Narrow" w:hAnsi="Arial Narrow"/>
                <w:b/>
                <w:bCs/>
                <w:sz w:val="20"/>
                <w:szCs w:val="20"/>
              </w:rPr>
              <w:t>Étendue</w:t>
            </w:r>
          </w:p>
        </w:tc>
        <w:tc>
          <w:tcPr>
            <w:tcW w:w="934" w:type="dxa"/>
            <w:shd w:val="clear" w:color="auto" w:fill="BFBFBF"/>
          </w:tcPr>
          <w:p w14:paraId="6D7C475F" w14:textId="77777777" w:rsidR="007D67F3" w:rsidRPr="007F78CE" w:rsidRDefault="007D67F3" w:rsidP="00B434A6">
            <w:pPr>
              <w:spacing w:after="0" w:line="240" w:lineRule="auto"/>
              <w:jc w:val="center"/>
              <w:rPr>
                <w:rFonts w:ascii="Arial Narrow" w:hAnsi="Arial Narrow"/>
                <w:b/>
                <w:bCs/>
                <w:sz w:val="20"/>
                <w:szCs w:val="20"/>
              </w:rPr>
            </w:pPr>
            <w:r w:rsidRPr="007F78CE">
              <w:rPr>
                <w:rFonts w:ascii="Arial Narrow" w:hAnsi="Arial Narrow"/>
                <w:b/>
                <w:bCs/>
                <w:sz w:val="20"/>
                <w:szCs w:val="20"/>
              </w:rPr>
              <w:t>Durée</w:t>
            </w:r>
          </w:p>
        </w:tc>
        <w:tc>
          <w:tcPr>
            <w:tcW w:w="1330" w:type="dxa"/>
            <w:shd w:val="clear" w:color="auto" w:fill="BFBFBF"/>
          </w:tcPr>
          <w:p w14:paraId="53CB08FD" w14:textId="77777777" w:rsidR="007D67F3" w:rsidRPr="007F78CE" w:rsidRDefault="007D67F3" w:rsidP="00B434A6">
            <w:pPr>
              <w:spacing w:after="0" w:line="240" w:lineRule="auto"/>
              <w:jc w:val="center"/>
              <w:rPr>
                <w:rFonts w:ascii="Arial Narrow" w:hAnsi="Arial Narrow"/>
                <w:b/>
                <w:bCs/>
                <w:sz w:val="20"/>
                <w:szCs w:val="20"/>
              </w:rPr>
            </w:pPr>
            <w:r w:rsidRPr="007F78CE">
              <w:rPr>
                <w:rFonts w:ascii="Arial Narrow" w:hAnsi="Arial Narrow"/>
                <w:b/>
                <w:bCs/>
                <w:sz w:val="20"/>
                <w:szCs w:val="20"/>
              </w:rPr>
              <w:t>Réversibilité</w:t>
            </w:r>
          </w:p>
        </w:tc>
        <w:tc>
          <w:tcPr>
            <w:tcW w:w="1274" w:type="dxa"/>
            <w:shd w:val="clear" w:color="auto" w:fill="BFBFBF"/>
          </w:tcPr>
          <w:p w14:paraId="2F24A6F5" w14:textId="77777777" w:rsidR="007D67F3" w:rsidRPr="007F78CE" w:rsidRDefault="007D67F3" w:rsidP="00B434A6">
            <w:pPr>
              <w:spacing w:after="0" w:line="240" w:lineRule="auto"/>
              <w:jc w:val="center"/>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auto"/>
          </w:tcPr>
          <w:p w14:paraId="2C25BEB3" w14:textId="77777777" w:rsidR="007D67F3" w:rsidRPr="007F78CE" w:rsidRDefault="007D67F3" w:rsidP="00B434A6">
            <w:pPr>
              <w:spacing w:after="0" w:line="240" w:lineRule="auto"/>
              <w:jc w:val="center"/>
              <w:rPr>
                <w:rFonts w:ascii="Arial Narrow" w:hAnsi="Arial Narrow"/>
                <w:b/>
                <w:bCs/>
                <w:sz w:val="20"/>
                <w:szCs w:val="20"/>
              </w:rPr>
            </w:pPr>
            <w:r>
              <w:rPr>
                <w:rFonts w:ascii="Arial Narrow" w:hAnsi="Arial Narrow"/>
                <w:b/>
                <w:bCs/>
                <w:sz w:val="20"/>
                <w:szCs w:val="20"/>
              </w:rPr>
              <w:t>Probabilité</w:t>
            </w:r>
          </w:p>
        </w:tc>
        <w:tc>
          <w:tcPr>
            <w:tcW w:w="850" w:type="dxa"/>
            <w:shd w:val="clear" w:color="auto" w:fill="auto"/>
          </w:tcPr>
          <w:p w14:paraId="3F11AD9F" w14:textId="77777777" w:rsidR="007D67F3" w:rsidRPr="007F78CE" w:rsidRDefault="007D67F3" w:rsidP="00B434A6">
            <w:pPr>
              <w:spacing w:after="0" w:line="240" w:lineRule="auto"/>
              <w:jc w:val="center"/>
              <w:rPr>
                <w:rFonts w:ascii="Arial Narrow" w:hAnsi="Arial Narrow"/>
                <w:b/>
                <w:bCs/>
                <w:sz w:val="20"/>
                <w:szCs w:val="20"/>
              </w:rPr>
            </w:pPr>
            <w:r>
              <w:rPr>
                <w:rFonts w:ascii="Arial Narrow" w:hAnsi="Arial Narrow"/>
                <w:b/>
                <w:bCs/>
                <w:sz w:val="20"/>
                <w:szCs w:val="20"/>
              </w:rPr>
              <w:t>Risque</w:t>
            </w:r>
          </w:p>
        </w:tc>
      </w:tr>
      <w:tr w:rsidR="007D67F3" w:rsidRPr="007F78CE" w14:paraId="2688513E" w14:textId="77777777" w:rsidTr="00345918">
        <w:trPr>
          <w:jc w:val="center"/>
        </w:trPr>
        <w:tc>
          <w:tcPr>
            <w:tcW w:w="1705" w:type="dxa"/>
          </w:tcPr>
          <w:p w14:paraId="0E28EED6" w14:textId="77777777" w:rsidR="007D67F3" w:rsidRPr="007F78CE" w:rsidRDefault="007D67F3" w:rsidP="00B434A6">
            <w:pPr>
              <w:spacing w:after="0" w:line="240" w:lineRule="auto"/>
              <w:contextualSpacing/>
              <w:rPr>
                <w:rFonts w:ascii="Arial Narrow" w:hAnsi="Arial Narrow" w:cs="Arial"/>
                <w:sz w:val="20"/>
                <w:szCs w:val="20"/>
              </w:rPr>
            </w:pPr>
            <w:r>
              <w:rPr>
                <w:rFonts w:ascii="Arial Narrow" w:hAnsi="Arial Narrow" w:cs="Arial"/>
                <w:sz w:val="20"/>
                <w:szCs w:val="20"/>
              </w:rPr>
              <w:t>Infrastructure numérique</w:t>
            </w:r>
          </w:p>
        </w:tc>
        <w:tc>
          <w:tcPr>
            <w:tcW w:w="1044" w:type="dxa"/>
            <w:shd w:val="clear" w:color="auto" w:fill="auto"/>
          </w:tcPr>
          <w:p w14:paraId="535F3BBE" w14:textId="77777777" w:rsidR="007D67F3" w:rsidRPr="007F78CE" w:rsidRDefault="007D67F3" w:rsidP="007F78CE">
            <w:pPr>
              <w:spacing w:after="0" w:line="240" w:lineRule="auto"/>
              <w:contextualSpacing/>
              <w:jc w:val="center"/>
              <w:rPr>
                <w:rFonts w:ascii="Arial Narrow" w:hAnsi="Arial Narrow" w:cs="Arial"/>
                <w:bCs/>
                <w:sz w:val="20"/>
                <w:szCs w:val="20"/>
              </w:rPr>
            </w:pPr>
            <w:r>
              <w:rPr>
                <w:rFonts w:ascii="Arial Narrow" w:hAnsi="Arial Narrow" w:cs="Arial"/>
                <w:sz w:val="20"/>
                <w:szCs w:val="20"/>
              </w:rPr>
              <w:t>Faible</w:t>
            </w:r>
          </w:p>
          <w:p w14:paraId="0783C41D" w14:textId="77777777" w:rsidR="007D67F3" w:rsidRPr="007F78CE" w:rsidRDefault="007D67F3"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1087" w:type="dxa"/>
            <w:shd w:val="clear" w:color="auto" w:fill="auto"/>
          </w:tcPr>
          <w:p w14:paraId="65074913" w14:textId="77777777" w:rsidR="007D67F3" w:rsidRPr="007F78CE" w:rsidRDefault="007D67F3"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638B551D" w14:textId="77777777" w:rsidR="007D67F3" w:rsidRPr="007F78CE" w:rsidRDefault="007D67F3"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34" w:type="dxa"/>
            <w:shd w:val="clear" w:color="auto" w:fill="auto"/>
          </w:tcPr>
          <w:p w14:paraId="734D12FF" w14:textId="77777777" w:rsidR="007D67F3" w:rsidRPr="007F78CE" w:rsidRDefault="007D67F3"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Longue</w:t>
            </w:r>
          </w:p>
          <w:p w14:paraId="6EDEBC31" w14:textId="77777777" w:rsidR="007D67F3" w:rsidRPr="007F78CE" w:rsidRDefault="007D67F3"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330" w:type="dxa"/>
            <w:shd w:val="clear" w:color="auto" w:fill="auto"/>
          </w:tcPr>
          <w:p w14:paraId="71E691DE" w14:textId="77777777" w:rsidR="007D67F3" w:rsidRPr="007F78CE" w:rsidRDefault="007D67F3"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 xml:space="preserve">Irréversible </w:t>
            </w:r>
          </w:p>
          <w:p w14:paraId="3576EB68" w14:textId="77777777" w:rsidR="007D67F3" w:rsidRPr="007F78CE" w:rsidRDefault="007D67F3"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74" w:type="dxa"/>
            <w:shd w:val="clear" w:color="auto" w:fill="FFFF00"/>
          </w:tcPr>
          <w:p w14:paraId="2E31D511" w14:textId="77777777" w:rsidR="007D67F3" w:rsidRPr="007F78CE" w:rsidRDefault="007D67F3"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48C7B050" w14:textId="77777777" w:rsidR="007D67F3" w:rsidRPr="007F78CE" w:rsidRDefault="007D67F3"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7</w:t>
            </w:r>
            <w:r w:rsidRPr="007F78CE">
              <w:rPr>
                <w:rFonts w:ascii="Arial Narrow" w:hAnsi="Arial Narrow" w:cs="Arial"/>
                <w:sz w:val="20"/>
                <w:szCs w:val="20"/>
              </w:rPr>
              <w:t>)</w:t>
            </w:r>
          </w:p>
        </w:tc>
        <w:tc>
          <w:tcPr>
            <w:tcW w:w="1064" w:type="dxa"/>
            <w:shd w:val="clear" w:color="auto" w:fill="auto"/>
          </w:tcPr>
          <w:p w14:paraId="2FC3BD50" w14:textId="77777777" w:rsidR="007D67F3" w:rsidRPr="007F78CE" w:rsidRDefault="007D67F3"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850" w:type="dxa"/>
            <w:shd w:val="clear" w:color="auto" w:fill="FFC000"/>
          </w:tcPr>
          <w:p w14:paraId="03426E26" w14:textId="77777777" w:rsidR="007D67F3" w:rsidRPr="007F78CE" w:rsidRDefault="007D67F3"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Elevé </w:t>
            </w:r>
          </w:p>
        </w:tc>
      </w:tr>
      <w:tr w:rsidR="007D67F3" w:rsidRPr="007F78CE" w14:paraId="01DF73B0" w14:textId="77777777" w:rsidTr="00345918">
        <w:trPr>
          <w:jc w:val="center"/>
        </w:trPr>
        <w:tc>
          <w:tcPr>
            <w:tcW w:w="1705" w:type="dxa"/>
          </w:tcPr>
          <w:p w14:paraId="56A17C29" w14:textId="77777777" w:rsidR="007D67F3" w:rsidRPr="007F78CE" w:rsidRDefault="007D67F3" w:rsidP="00B434A6">
            <w:pPr>
              <w:spacing w:after="0" w:line="240" w:lineRule="auto"/>
              <w:contextualSpacing/>
              <w:rPr>
                <w:rFonts w:ascii="Arial Narrow" w:hAnsi="Arial Narrow" w:cs="Arial"/>
                <w:sz w:val="20"/>
                <w:szCs w:val="20"/>
              </w:rPr>
            </w:pPr>
            <w:r>
              <w:rPr>
                <w:rFonts w:ascii="Arial Narrow" w:hAnsi="Arial Narrow" w:cs="Arial"/>
                <w:sz w:val="20"/>
                <w:szCs w:val="20"/>
              </w:rPr>
              <w:t>Centrale électrique solaire</w:t>
            </w:r>
          </w:p>
        </w:tc>
        <w:tc>
          <w:tcPr>
            <w:tcW w:w="1044" w:type="dxa"/>
            <w:shd w:val="clear" w:color="auto" w:fill="auto"/>
          </w:tcPr>
          <w:p w14:paraId="0C250A10" w14:textId="77777777" w:rsidR="007D67F3" w:rsidRPr="007F78CE" w:rsidRDefault="007D67F3" w:rsidP="00F00135">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w:t>
            </w:r>
          </w:p>
          <w:p w14:paraId="03FFC123" w14:textId="77777777" w:rsidR="007D67F3" w:rsidRPr="007F78CE" w:rsidRDefault="007D67F3"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087" w:type="dxa"/>
            <w:shd w:val="clear" w:color="auto" w:fill="auto"/>
          </w:tcPr>
          <w:p w14:paraId="05A10D79" w14:textId="77777777" w:rsidR="007D67F3" w:rsidRPr="007F78CE" w:rsidRDefault="007D67F3"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0E8E7F73" w14:textId="77777777" w:rsidR="007D67F3" w:rsidRPr="007F78CE" w:rsidRDefault="007D67F3"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34" w:type="dxa"/>
            <w:shd w:val="clear" w:color="auto" w:fill="auto"/>
          </w:tcPr>
          <w:p w14:paraId="0BBC23DD" w14:textId="77777777" w:rsidR="007D67F3" w:rsidRPr="007F78CE" w:rsidRDefault="007D67F3"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Longue</w:t>
            </w:r>
          </w:p>
          <w:p w14:paraId="4BB89AE5" w14:textId="77777777" w:rsidR="007D67F3" w:rsidRPr="007F78CE" w:rsidRDefault="007D67F3"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330" w:type="dxa"/>
            <w:shd w:val="clear" w:color="auto" w:fill="auto"/>
          </w:tcPr>
          <w:p w14:paraId="041B1338" w14:textId="77777777" w:rsidR="007D67F3" w:rsidRPr="007F78CE" w:rsidRDefault="007D67F3"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 xml:space="preserve">Irréversible </w:t>
            </w:r>
          </w:p>
          <w:p w14:paraId="1DBCFE86" w14:textId="77777777" w:rsidR="007D67F3" w:rsidRPr="007F78CE" w:rsidRDefault="007D67F3"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74" w:type="dxa"/>
            <w:shd w:val="clear" w:color="auto" w:fill="FFFF00"/>
          </w:tcPr>
          <w:p w14:paraId="767D107A" w14:textId="77777777" w:rsidR="007D67F3" w:rsidRPr="007F78CE" w:rsidRDefault="007D67F3"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36EE0232" w14:textId="77777777" w:rsidR="007D67F3" w:rsidRPr="007F78CE" w:rsidRDefault="007D67F3"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(8)</w:t>
            </w:r>
          </w:p>
        </w:tc>
        <w:tc>
          <w:tcPr>
            <w:tcW w:w="1064" w:type="dxa"/>
            <w:shd w:val="clear" w:color="auto" w:fill="auto"/>
          </w:tcPr>
          <w:p w14:paraId="63D704F7" w14:textId="77777777" w:rsidR="007D67F3" w:rsidRPr="007F78CE" w:rsidRDefault="007D67F3" w:rsidP="00F00135">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850" w:type="dxa"/>
            <w:shd w:val="clear" w:color="auto" w:fill="FFC000"/>
          </w:tcPr>
          <w:p w14:paraId="4AE6588A" w14:textId="77777777" w:rsidR="007D67F3" w:rsidRPr="007F78CE" w:rsidRDefault="007D67F3" w:rsidP="00F00135">
            <w:pPr>
              <w:spacing w:after="0" w:line="240" w:lineRule="auto"/>
              <w:contextualSpacing/>
              <w:jc w:val="center"/>
              <w:rPr>
                <w:rFonts w:ascii="Arial Narrow" w:hAnsi="Arial Narrow" w:cs="Arial"/>
                <w:sz w:val="20"/>
                <w:szCs w:val="20"/>
              </w:rPr>
            </w:pPr>
            <w:r>
              <w:rPr>
                <w:rFonts w:ascii="Arial Narrow" w:hAnsi="Arial Narrow" w:cs="Arial"/>
                <w:sz w:val="20"/>
                <w:szCs w:val="20"/>
              </w:rPr>
              <w:t>Elevé</w:t>
            </w:r>
          </w:p>
        </w:tc>
      </w:tr>
      <w:tr w:rsidR="00345918" w:rsidRPr="007F78CE" w14:paraId="6FB3330C" w14:textId="77777777" w:rsidTr="00FB04F6">
        <w:trPr>
          <w:jc w:val="center"/>
        </w:trPr>
        <w:tc>
          <w:tcPr>
            <w:tcW w:w="1705" w:type="dxa"/>
          </w:tcPr>
          <w:p w14:paraId="7465DA56" w14:textId="77777777" w:rsidR="007D67F3" w:rsidRPr="007F78CE" w:rsidRDefault="007D67F3" w:rsidP="00B434A6">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44" w:type="dxa"/>
            <w:shd w:val="clear" w:color="auto" w:fill="auto"/>
          </w:tcPr>
          <w:p w14:paraId="02760651" w14:textId="77777777" w:rsidR="007D67F3" w:rsidRPr="007F78CE" w:rsidRDefault="007D67F3" w:rsidP="00F00135">
            <w:pPr>
              <w:spacing w:after="0" w:line="240" w:lineRule="auto"/>
              <w:contextualSpacing/>
              <w:jc w:val="center"/>
              <w:rPr>
                <w:rFonts w:ascii="Arial Narrow" w:hAnsi="Arial Narrow" w:cs="Arial"/>
                <w:bCs/>
                <w:sz w:val="20"/>
                <w:szCs w:val="20"/>
              </w:rPr>
            </w:pPr>
            <w:r>
              <w:rPr>
                <w:rFonts w:ascii="Arial Narrow" w:hAnsi="Arial Narrow" w:cs="Arial"/>
                <w:sz w:val="20"/>
                <w:szCs w:val="20"/>
              </w:rPr>
              <w:t xml:space="preserve">Faible </w:t>
            </w:r>
          </w:p>
          <w:p w14:paraId="04DCF937" w14:textId="77777777" w:rsidR="007D67F3" w:rsidRPr="007F78CE" w:rsidRDefault="007D67F3"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(1</w:t>
            </w:r>
            <w:r w:rsidRPr="007F78CE">
              <w:rPr>
                <w:rFonts w:ascii="Arial Narrow" w:hAnsi="Arial Narrow" w:cs="Arial"/>
                <w:sz w:val="20"/>
                <w:szCs w:val="20"/>
              </w:rPr>
              <w:t>)</w:t>
            </w:r>
          </w:p>
        </w:tc>
        <w:tc>
          <w:tcPr>
            <w:tcW w:w="1087" w:type="dxa"/>
            <w:shd w:val="clear" w:color="auto" w:fill="auto"/>
          </w:tcPr>
          <w:p w14:paraId="2C5177C5" w14:textId="77777777" w:rsidR="007D67F3" w:rsidRPr="007F78CE" w:rsidRDefault="007D67F3"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4C6C814B" w14:textId="77777777" w:rsidR="007D67F3" w:rsidRPr="007F78CE" w:rsidRDefault="007D67F3"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34" w:type="dxa"/>
            <w:shd w:val="clear" w:color="auto" w:fill="auto"/>
          </w:tcPr>
          <w:p w14:paraId="79A908CD" w14:textId="77777777" w:rsidR="007D67F3" w:rsidRPr="007F78CE" w:rsidRDefault="007D67F3"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Longue</w:t>
            </w:r>
          </w:p>
          <w:p w14:paraId="64C38DDE" w14:textId="77777777" w:rsidR="007D67F3" w:rsidRPr="007F78CE" w:rsidRDefault="007D67F3"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330" w:type="dxa"/>
            <w:shd w:val="clear" w:color="auto" w:fill="auto"/>
          </w:tcPr>
          <w:p w14:paraId="3D265EFB" w14:textId="77777777" w:rsidR="007D67F3" w:rsidRPr="007F78CE" w:rsidRDefault="007D67F3"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 xml:space="preserve">Irréversible </w:t>
            </w:r>
          </w:p>
          <w:p w14:paraId="04169B27" w14:textId="77777777" w:rsidR="007D67F3" w:rsidRPr="007F78CE" w:rsidRDefault="007D67F3"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74" w:type="dxa"/>
            <w:shd w:val="clear" w:color="auto" w:fill="FFFF00"/>
          </w:tcPr>
          <w:p w14:paraId="724AE415" w14:textId="77777777" w:rsidR="007D67F3" w:rsidRPr="007F78CE" w:rsidRDefault="007D67F3"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3E1CED52" w14:textId="77777777" w:rsidR="007D67F3" w:rsidRPr="007F78CE" w:rsidRDefault="007D67F3"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(7</w:t>
            </w:r>
            <w:r w:rsidRPr="007F78CE">
              <w:rPr>
                <w:rFonts w:ascii="Arial Narrow" w:hAnsi="Arial Narrow" w:cs="Arial"/>
                <w:sz w:val="20"/>
                <w:szCs w:val="20"/>
              </w:rPr>
              <w:t>)</w:t>
            </w:r>
          </w:p>
        </w:tc>
        <w:tc>
          <w:tcPr>
            <w:tcW w:w="1064" w:type="dxa"/>
            <w:shd w:val="clear" w:color="auto" w:fill="auto"/>
          </w:tcPr>
          <w:p w14:paraId="76C927A5" w14:textId="77777777" w:rsidR="007D67F3" w:rsidRPr="007F78CE" w:rsidRDefault="007D67F3" w:rsidP="00F00135">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850" w:type="dxa"/>
            <w:shd w:val="clear" w:color="auto" w:fill="BFBFBF"/>
          </w:tcPr>
          <w:p w14:paraId="1E02E260" w14:textId="77777777" w:rsidR="007D67F3" w:rsidRPr="007F78CE" w:rsidRDefault="007D67F3" w:rsidP="00F00135">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r w:rsidR="00345918" w:rsidRPr="007F78CE" w14:paraId="11B0381F" w14:textId="77777777" w:rsidTr="00FB04F6">
        <w:trPr>
          <w:jc w:val="center"/>
        </w:trPr>
        <w:tc>
          <w:tcPr>
            <w:tcW w:w="1705" w:type="dxa"/>
          </w:tcPr>
          <w:p w14:paraId="48BA39B6" w14:textId="77777777" w:rsidR="007D67F3" w:rsidRDefault="007D67F3" w:rsidP="00F00135">
            <w:pPr>
              <w:spacing w:after="0" w:line="240" w:lineRule="auto"/>
              <w:contextualSpacing/>
              <w:rPr>
                <w:rFonts w:ascii="Arial Narrow" w:hAnsi="Arial Narrow" w:cs="Arial"/>
                <w:sz w:val="20"/>
                <w:szCs w:val="20"/>
              </w:rPr>
            </w:pPr>
            <w:r>
              <w:rPr>
                <w:rFonts w:ascii="Arial Narrow" w:hAnsi="Arial Narrow" w:cs="Arial"/>
                <w:sz w:val="20"/>
                <w:szCs w:val="20"/>
              </w:rPr>
              <w:t>Réseau électrique</w:t>
            </w:r>
          </w:p>
        </w:tc>
        <w:tc>
          <w:tcPr>
            <w:tcW w:w="1044" w:type="dxa"/>
            <w:shd w:val="clear" w:color="auto" w:fill="auto"/>
          </w:tcPr>
          <w:p w14:paraId="2B44D9C1" w14:textId="77777777" w:rsidR="007D67F3" w:rsidRPr="007F78CE" w:rsidRDefault="007D67F3" w:rsidP="00296692">
            <w:pPr>
              <w:spacing w:after="0" w:line="240" w:lineRule="auto"/>
              <w:contextualSpacing/>
              <w:jc w:val="center"/>
              <w:rPr>
                <w:rFonts w:ascii="Arial Narrow" w:hAnsi="Arial Narrow" w:cs="Arial"/>
                <w:bCs/>
                <w:sz w:val="20"/>
                <w:szCs w:val="20"/>
              </w:rPr>
            </w:pPr>
            <w:r>
              <w:rPr>
                <w:rFonts w:ascii="Arial Narrow" w:hAnsi="Arial Narrow" w:cs="Arial"/>
                <w:sz w:val="20"/>
                <w:szCs w:val="20"/>
              </w:rPr>
              <w:t>Faible</w:t>
            </w:r>
          </w:p>
          <w:p w14:paraId="0B628467" w14:textId="77777777" w:rsidR="007D67F3" w:rsidRDefault="007D67F3"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1087" w:type="dxa"/>
            <w:shd w:val="clear" w:color="auto" w:fill="auto"/>
          </w:tcPr>
          <w:p w14:paraId="5D7E1B3D" w14:textId="77777777" w:rsidR="007D67F3" w:rsidRPr="007F78CE" w:rsidRDefault="007D67F3"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49E7D95D" w14:textId="77777777" w:rsidR="007D67F3" w:rsidRPr="007F78CE" w:rsidRDefault="007D67F3"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34" w:type="dxa"/>
            <w:shd w:val="clear" w:color="auto" w:fill="auto"/>
          </w:tcPr>
          <w:p w14:paraId="5E8A9555" w14:textId="77777777" w:rsidR="007D67F3" w:rsidRPr="007F78CE" w:rsidRDefault="007D67F3"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Longue</w:t>
            </w:r>
          </w:p>
          <w:p w14:paraId="058FC1D6" w14:textId="77777777" w:rsidR="007D67F3" w:rsidRPr="007F78CE" w:rsidRDefault="007D67F3"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330" w:type="dxa"/>
            <w:shd w:val="clear" w:color="auto" w:fill="auto"/>
          </w:tcPr>
          <w:p w14:paraId="770BEE0E" w14:textId="77777777" w:rsidR="007D67F3" w:rsidRPr="007F78CE" w:rsidRDefault="007D67F3"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 xml:space="preserve">Irréversible </w:t>
            </w:r>
          </w:p>
          <w:p w14:paraId="1FB87B96" w14:textId="77777777" w:rsidR="007D67F3" w:rsidRPr="007F78CE" w:rsidRDefault="007D67F3"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74" w:type="dxa"/>
            <w:shd w:val="clear" w:color="auto" w:fill="FFFF00"/>
          </w:tcPr>
          <w:p w14:paraId="0369DD92" w14:textId="77777777" w:rsidR="007D67F3" w:rsidRPr="007F78CE" w:rsidRDefault="007D67F3"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0F65E6BC" w14:textId="77777777" w:rsidR="007D67F3" w:rsidRPr="007F78CE" w:rsidRDefault="007D67F3"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7</w:t>
            </w:r>
            <w:r w:rsidRPr="007F78CE">
              <w:rPr>
                <w:rFonts w:ascii="Arial Narrow" w:hAnsi="Arial Narrow" w:cs="Arial"/>
                <w:sz w:val="20"/>
                <w:szCs w:val="20"/>
              </w:rPr>
              <w:t>)</w:t>
            </w:r>
          </w:p>
        </w:tc>
        <w:tc>
          <w:tcPr>
            <w:tcW w:w="1064" w:type="dxa"/>
            <w:shd w:val="clear" w:color="auto" w:fill="auto"/>
          </w:tcPr>
          <w:p w14:paraId="535172B8" w14:textId="77777777" w:rsidR="007D67F3" w:rsidRPr="007F78CE" w:rsidRDefault="007D67F3"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850" w:type="dxa"/>
            <w:shd w:val="clear" w:color="auto" w:fill="BFBFBF"/>
          </w:tcPr>
          <w:p w14:paraId="76AACE10" w14:textId="77777777" w:rsidR="007D67F3" w:rsidRPr="007F78CE" w:rsidRDefault="007D67F3"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r w:rsidR="001716F8" w:rsidRPr="007F78CE" w14:paraId="6E29D490" w14:textId="77777777" w:rsidTr="00FB04F6">
        <w:trPr>
          <w:jc w:val="center"/>
        </w:trPr>
        <w:tc>
          <w:tcPr>
            <w:tcW w:w="1705" w:type="dxa"/>
          </w:tcPr>
          <w:p w14:paraId="3065BDED" w14:textId="77777777" w:rsidR="001716F8" w:rsidRDefault="001716F8" w:rsidP="00F00135">
            <w:pPr>
              <w:spacing w:after="0" w:line="240" w:lineRule="auto"/>
              <w:contextualSpacing/>
              <w:rPr>
                <w:rFonts w:ascii="Arial Narrow" w:hAnsi="Arial Narrow" w:cs="Arial"/>
                <w:sz w:val="20"/>
                <w:szCs w:val="20"/>
              </w:rPr>
            </w:pPr>
            <w:r>
              <w:rPr>
                <w:rFonts w:ascii="Arial Narrow" w:hAnsi="Arial Narrow" w:cs="Arial"/>
                <w:sz w:val="20"/>
                <w:szCs w:val="20"/>
              </w:rPr>
              <w:t>Impact cumulé</w:t>
            </w:r>
          </w:p>
        </w:tc>
        <w:tc>
          <w:tcPr>
            <w:tcW w:w="1044" w:type="dxa"/>
            <w:shd w:val="clear" w:color="auto" w:fill="auto"/>
          </w:tcPr>
          <w:p w14:paraId="4A33FD92" w14:textId="77777777" w:rsidR="001716F8" w:rsidRPr="007F78CE" w:rsidRDefault="001716F8" w:rsidP="00D70FB3">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w:t>
            </w:r>
          </w:p>
          <w:p w14:paraId="4793A706" w14:textId="77777777" w:rsidR="001716F8"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087" w:type="dxa"/>
            <w:shd w:val="clear" w:color="auto" w:fill="auto"/>
          </w:tcPr>
          <w:p w14:paraId="067B7AFB"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4A29B4F1"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34" w:type="dxa"/>
            <w:shd w:val="clear" w:color="auto" w:fill="auto"/>
          </w:tcPr>
          <w:p w14:paraId="3D0F5F83"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Longue</w:t>
            </w:r>
          </w:p>
          <w:p w14:paraId="11CFF5E4"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330" w:type="dxa"/>
            <w:shd w:val="clear" w:color="auto" w:fill="auto"/>
          </w:tcPr>
          <w:p w14:paraId="7218E260"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 xml:space="preserve">Irréversible </w:t>
            </w:r>
          </w:p>
          <w:p w14:paraId="3FB15FB5"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74" w:type="dxa"/>
            <w:shd w:val="clear" w:color="auto" w:fill="FFFF00"/>
          </w:tcPr>
          <w:p w14:paraId="12B16CB6"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3BA4404F"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(8)</w:t>
            </w:r>
          </w:p>
        </w:tc>
        <w:tc>
          <w:tcPr>
            <w:tcW w:w="1064" w:type="dxa"/>
            <w:shd w:val="clear" w:color="auto" w:fill="auto"/>
          </w:tcPr>
          <w:p w14:paraId="2743E766" w14:textId="77777777" w:rsidR="001716F8" w:rsidRDefault="001716F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850" w:type="dxa"/>
            <w:shd w:val="clear" w:color="auto" w:fill="BFBFBF"/>
          </w:tcPr>
          <w:p w14:paraId="7310FF94" w14:textId="77777777" w:rsidR="001716F8" w:rsidRDefault="001716F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Centrale électrique solaire</w:t>
            </w:r>
          </w:p>
        </w:tc>
      </w:tr>
    </w:tbl>
    <w:p w14:paraId="55CC85A2" w14:textId="77777777" w:rsidR="007D67F3" w:rsidRDefault="007D67F3" w:rsidP="00687DD2">
      <w:pPr>
        <w:pStyle w:val="Normal12"/>
        <w:numPr>
          <w:ilvl w:val="0"/>
          <w:numId w:val="85"/>
        </w:numPr>
        <w:spacing w:before="100" w:beforeAutospacing="1" w:after="100" w:afterAutospacing="1"/>
        <w:ind w:left="1077" w:hanging="357"/>
        <w:contextualSpacing/>
        <w:rPr>
          <w:i/>
          <w:iCs/>
          <w:lang w:val="fr-FR"/>
        </w:rPr>
      </w:pPr>
      <w:r>
        <w:rPr>
          <w:i/>
          <w:iCs/>
          <w:lang w:val="fr-FR"/>
        </w:rPr>
        <w:t xml:space="preserve">Risque de déplacement physique et/ou économique </w:t>
      </w:r>
    </w:p>
    <w:p w14:paraId="222F724B" w14:textId="77777777" w:rsidR="007D67F3" w:rsidRPr="00345918" w:rsidRDefault="007D67F3" w:rsidP="00345918">
      <w:pPr>
        <w:spacing w:line="240" w:lineRule="auto"/>
        <w:jc w:val="both"/>
        <w:rPr>
          <w:rFonts w:ascii="Arial" w:hAnsi="Arial" w:cs="Arial"/>
        </w:rPr>
      </w:pPr>
      <w:r>
        <w:rPr>
          <w:rFonts w:ascii="Arial" w:hAnsi="Arial" w:cs="Arial"/>
        </w:rPr>
        <w:t>La libération des emprises pour l’installation des différentes infrastructures pourra entrainer un dé</w:t>
      </w:r>
      <w:r w:rsidR="008435F2">
        <w:rPr>
          <w:rFonts w:ascii="Arial" w:hAnsi="Arial" w:cs="Arial"/>
        </w:rPr>
        <w:t>p</w:t>
      </w:r>
      <w:r>
        <w:rPr>
          <w:rFonts w:ascii="Arial" w:hAnsi="Arial" w:cs="Arial"/>
        </w:rPr>
        <w:t xml:space="preserve">lacement physique et/ou économique de personne. En effet, la mise en place des tours céllulaires et les centrales électriques solaires nécessite des terrains disponibles qui pourraient apartenir à des privés </w:t>
      </w:r>
    </w:p>
    <w:p w14:paraId="114063F1" w14:textId="77777777" w:rsidR="007D67F3" w:rsidRDefault="008435F2" w:rsidP="00345918">
      <w:pPr>
        <w:spacing w:line="240" w:lineRule="auto"/>
        <w:jc w:val="both"/>
        <w:rPr>
          <w:rFonts w:ascii="Arial" w:hAnsi="Arial" w:cs="Arial"/>
        </w:rPr>
      </w:pPr>
      <w:r>
        <w:rPr>
          <w:rFonts w:ascii="Arial" w:hAnsi="Arial" w:cs="Arial"/>
        </w:rPr>
        <w:t xml:space="preserve">Selon le tableau suivant, l’importance de cet impact est évaluée comme moyenne et le niveau de risque est considéré comme faible </w:t>
      </w:r>
    </w:p>
    <w:p w14:paraId="6E46CCF8" w14:textId="77777777" w:rsidR="008435F2" w:rsidRPr="00345918" w:rsidRDefault="008435F2" w:rsidP="00345918">
      <w:pPr>
        <w:pStyle w:val="Lgende"/>
        <w:spacing w:before="120"/>
        <w:jc w:val="center"/>
        <w:rPr>
          <w:sz w:val="20"/>
        </w:rPr>
      </w:pPr>
      <w:bookmarkStart w:id="941" w:name="_Toc127957831"/>
      <w:r w:rsidRPr="00345918">
        <w:rPr>
          <w:sz w:val="20"/>
        </w:rPr>
        <w:t xml:space="preserve">Tableau </w:t>
      </w:r>
      <w:r w:rsidRPr="00345918">
        <w:rPr>
          <w:sz w:val="20"/>
        </w:rPr>
        <w:fldChar w:fldCharType="begin"/>
      </w:r>
      <w:r w:rsidRPr="00345918">
        <w:rPr>
          <w:sz w:val="20"/>
        </w:rPr>
        <w:instrText xml:space="preserve"> SEQ Tableau \* ARABIC </w:instrText>
      </w:r>
      <w:r w:rsidRPr="00345918">
        <w:rPr>
          <w:sz w:val="20"/>
        </w:rPr>
        <w:fldChar w:fldCharType="separate"/>
      </w:r>
      <w:r w:rsidR="005430A1">
        <w:rPr>
          <w:noProof/>
          <w:sz w:val="20"/>
        </w:rPr>
        <w:t>35</w:t>
      </w:r>
      <w:r w:rsidRPr="00345918">
        <w:rPr>
          <w:sz w:val="20"/>
        </w:rPr>
        <w:fldChar w:fldCharType="end"/>
      </w:r>
      <w:r w:rsidRPr="00345918">
        <w:rPr>
          <w:sz w:val="20"/>
        </w:rPr>
        <w:t>. Evaluation de l’impact – deplacement physique et/ou économique</w:t>
      </w:r>
      <w:bookmarkEnd w:id="941"/>
      <w:r w:rsidRPr="00345918">
        <w:rPr>
          <w:sz w:val="20"/>
        </w:rPr>
        <w:t xml:space="preserve"> </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044"/>
        <w:gridCol w:w="1087"/>
        <w:gridCol w:w="934"/>
        <w:gridCol w:w="1330"/>
        <w:gridCol w:w="1274"/>
        <w:gridCol w:w="1064"/>
        <w:gridCol w:w="850"/>
        <w:tblGridChange w:id="942">
          <w:tblGrid>
            <w:gridCol w:w="1705"/>
            <w:gridCol w:w="1044"/>
            <w:gridCol w:w="1087"/>
            <w:gridCol w:w="934"/>
            <w:gridCol w:w="1330"/>
            <w:gridCol w:w="1274"/>
            <w:gridCol w:w="1064"/>
            <w:gridCol w:w="850"/>
          </w:tblGrid>
        </w:tblGridChange>
      </w:tblGrid>
      <w:tr w:rsidR="007D67F3" w:rsidRPr="007F78CE" w14:paraId="0976654A" w14:textId="77777777" w:rsidTr="007D67F3">
        <w:trPr>
          <w:jc w:val="center"/>
        </w:trPr>
        <w:tc>
          <w:tcPr>
            <w:tcW w:w="1705" w:type="dxa"/>
            <w:shd w:val="clear" w:color="auto" w:fill="BFBFBF"/>
          </w:tcPr>
          <w:p w14:paraId="2D323DAE" w14:textId="77777777" w:rsidR="007D67F3" w:rsidRPr="007F78CE" w:rsidRDefault="007D67F3" w:rsidP="007D67F3">
            <w:pPr>
              <w:spacing w:after="0" w:line="240" w:lineRule="auto"/>
              <w:jc w:val="center"/>
              <w:rPr>
                <w:rFonts w:ascii="Arial Narrow" w:hAnsi="Arial Narrow"/>
                <w:b/>
                <w:bCs/>
                <w:sz w:val="20"/>
                <w:szCs w:val="20"/>
              </w:rPr>
            </w:pPr>
            <w:r>
              <w:rPr>
                <w:rFonts w:ascii="Arial Narrow" w:hAnsi="Arial Narrow"/>
                <w:b/>
                <w:bCs/>
                <w:sz w:val="20"/>
                <w:szCs w:val="20"/>
              </w:rPr>
              <w:t>Sous Projet</w:t>
            </w:r>
          </w:p>
        </w:tc>
        <w:tc>
          <w:tcPr>
            <w:tcW w:w="1044" w:type="dxa"/>
            <w:shd w:val="clear" w:color="auto" w:fill="BFBFBF"/>
          </w:tcPr>
          <w:p w14:paraId="7B751226" w14:textId="77777777" w:rsidR="007D67F3" w:rsidRPr="007F78CE" w:rsidRDefault="007D67F3" w:rsidP="007D67F3">
            <w:pPr>
              <w:spacing w:after="0" w:line="240" w:lineRule="auto"/>
              <w:jc w:val="center"/>
              <w:rPr>
                <w:rFonts w:ascii="Arial Narrow" w:hAnsi="Arial Narrow"/>
                <w:b/>
                <w:sz w:val="20"/>
                <w:szCs w:val="20"/>
              </w:rPr>
            </w:pPr>
            <w:r w:rsidRPr="007F78CE">
              <w:rPr>
                <w:rFonts w:ascii="Arial Narrow" w:hAnsi="Arial Narrow"/>
                <w:b/>
                <w:bCs/>
                <w:sz w:val="20"/>
                <w:szCs w:val="20"/>
              </w:rPr>
              <w:t>Intensité</w:t>
            </w:r>
          </w:p>
        </w:tc>
        <w:tc>
          <w:tcPr>
            <w:tcW w:w="1087" w:type="dxa"/>
            <w:shd w:val="clear" w:color="auto" w:fill="BFBFBF"/>
          </w:tcPr>
          <w:p w14:paraId="5546491E" w14:textId="77777777" w:rsidR="007D67F3" w:rsidRPr="007F78CE" w:rsidRDefault="007D67F3" w:rsidP="007D67F3">
            <w:pPr>
              <w:spacing w:after="0" w:line="240" w:lineRule="auto"/>
              <w:jc w:val="center"/>
              <w:rPr>
                <w:rFonts w:ascii="Arial Narrow" w:hAnsi="Arial Narrow"/>
                <w:b/>
                <w:bCs/>
                <w:sz w:val="20"/>
                <w:szCs w:val="20"/>
              </w:rPr>
            </w:pPr>
            <w:r w:rsidRPr="007F78CE">
              <w:rPr>
                <w:rFonts w:ascii="Arial Narrow" w:hAnsi="Arial Narrow"/>
                <w:b/>
                <w:bCs/>
                <w:sz w:val="20"/>
                <w:szCs w:val="20"/>
              </w:rPr>
              <w:t>Étendue</w:t>
            </w:r>
          </w:p>
        </w:tc>
        <w:tc>
          <w:tcPr>
            <w:tcW w:w="934" w:type="dxa"/>
            <w:shd w:val="clear" w:color="auto" w:fill="BFBFBF"/>
          </w:tcPr>
          <w:p w14:paraId="046FF3EC" w14:textId="77777777" w:rsidR="007D67F3" w:rsidRPr="007F78CE" w:rsidRDefault="007D67F3" w:rsidP="007D67F3">
            <w:pPr>
              <w:spacing w:after="0" w:line="240" w:lineRule="auto"/>
              <w:jc w:val="center"/>
              <w:rPr>
                <w:rFonts w:ascii="Arial Narrow" w:hAnsi="Arial Narrow"/>
                <w:b/>
                <w:bCs/>
                <w:sz w:val="20"/>
                <w:szCs w:val="20"/>
              </w:rPr>
            </w:pPr>
            <w:r w:rsidRPr="007F78CE">
              <w:rPr>
                <w:rFonts w:ascii="Arial Narrow" w:hAnsi="Arial Narrow"/>
                <w:b/>
                <w:bCs/>
                <w:sz w:val="20"/>
                <w:szCs w:val="20"/>
              </w:rPr>
              <w:t>Durée</w:t>
            </w:r>
          </w:p>
        </w:tc>
        <w:tc>
          <w:tcPr>
            <w:tcW w:w="1330" w:type="dxa"/>
            <w:shd w:val="clear" w:color="auto" w:fill="BFBFBF"/>
          </w:tcPr>
          <w:p w14:paraId="55ED470D" w14:textId="77777777" w:rsidR="007D67F3" w:rsidRPr="007F78CE" w:rsidRDefault="007D67F3" w:rsidP="007D67F3">
            <w:pPr>
              <w:spacing w:after="0" w:line="240" w:lineRule="auto"/>
              <w:jc w:val="center"/>
              <w:rPr>
                <w:rFonts w:ascii="Arial Narrow" w:hAnsi="Arial Narrow"/>
                <w:b/>
                <w:bCs/>
                <w:sz w:val="20"/>
                <w:szCs w:val="20"/>
              </w:rPr>
            </w:pPr>
            <w:r w:rsidRPr="007F78CE">
              <w:rPr>
                <w:rFonts w:ascii="Arial Narrow" w:hAnsi="Arial Narrow"/>
                <w:b/>
                <w:bCs/>
                <w:sz w:val="20"/>
                <w:szCs w:val="20"/>
              </w:rPr>
              <w:t>Réversibilité</w:t>
            </w:r>
          </w:p>
        </w:tc>
        <w:tc>
          <w:tcPr>
            <w:tcW w:w="1274" w:type="dxa"/>
            <w:shd w:val="clear" w:color="auto" w:fill="BFBFBF"/>
          </w:tcPr>
          <w:p w14:paraId="0ACB9EE9" w14:textId="77777777" w:rsidR="007D67F3" w:rsidRPr="007F78CE" w:rsidRDefault="007D67F3" w:rsidP="007D67F3">
            <w:pPr>
              <w:spacing w:after="0" w:line="240" w:lineRule="auto"/>
              <w:jc w:val="center"/>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auto"/>
          </w:tcPr>
          <w:p w14:paraId="409BF450" w14:textId="77777777" w:rsidR="007D67F3" w:rsidRPr="007F78CE" w:rsidRDefault="007D67F3" w:rsidP="007D67F3">
            <w:pPr>
              <w:spacing w:after="0" w:line="240" w:lineRule="auto"/>
              <w:jc w:val="center"/>
              <w:rPr>
                <w:rFonts w:ascii="Arial Narrow" w:hAnsi="Arial Narrow"/>
                <w:b/>
                <w:bCs/>
                <w:sz w:val="20"/>
                <w:szCs w:val="20"/>
              </w:rPr>
            </w:pPr>
            <w:r>
              <w:rPr>
                <w:rFonts w:ascii="Arial Narrow" w:hAnsi="Arial Narrow"/>
                <w:b/>
                <w:bCs/>
                <w:sz w:val="20"/>
                <w:szCs w:val="20"/>
              </w:rPr>
              <w:t>Probabilité</w:t>
            </w:r>
          </w:p>
        </w:tc>
        <w:tc>
          <w:tcPr>
            <w:tcW w:w="850" w:type="dxa"/>
            <w:shd w:val="clear" w:color="auto" w:fill="auto"/>
          </w:tcPr>
          <w:p w14:paraId="39F86639" w14:textId="77777777" w:rsidR="007D67F3" w:rsidRPr="007F78CE" w:rsidRDefault="007D67F3" w:rsidP="007D67F3">
            <w:pPr>
              <w:spacing w:after="0" w:line="240" w:lineRule="auto"/>
              <w:jc w:val="center"/>
              <w:rPr>
                <w:rFonts w:ascii="Arial Narrow" w:hAnsi="Arial Narrow"/>
                <w:b/>
                <w:bCs/>
                <w:sz w:val="20"/>
                <w:szCs w:val="20"/>
              </w:rPr>
            </w:pPr>
            <w:r>
              <w:rPr>
                <w:rFonts w:ascii="Arial Narrow" w:hAnsi="Arial Narrow"/>
                <w:b/>
                <w:bCs/>
                <w:sz w:val="20"/>
                <w:szCs w:val="20"/>
              </w:rPr>
              <w:t>Risque</w:t>
            </w:r>
          </w:p>
        </w:tc>
      </w:tr>
      <w:tr w:rsidR="00345918" w:rsidRPr="007F78CE" w14:paraId="55CEE3EF" w14:textId="77777777" w:rsidTr="00FB04F6">
        <w:trPr>
          <w:jc w:val="center"/>
        </w:trPr>
        <w:tc>
          <w:tcPr>
            <w:tcW w:w="1705" w:type="dxa"/>
          </w:tcPr>
          <w:p w14:paraId="1E186D6D" w14:textId="77777777" w:rsidR="008435F2" w:rsidRPr="007F78CE" w:rsidRDefault="008435F2" w:rsidP="007D67F3">
            <w:pPr>
              <w:spacing w:after="0" w:line="240" w:lineRule="auto"/>
              <w:contextualSpacing/>
              <w:rPr>
                <w:rFonts w:ascii="Arial Narrow" w:hAnsi="Arial Narrow" w:cs="Arial"/>
                <w:sz w:val="20"/>
                <w:szCs w:val="20"/>
              </w:rPr>
            </w:pPr>
            <w:r>
              <w:rPr>
                <w:rFonts w:ascii="Arial Narrow" w:hAnsi="Arial Narrow" w:cs="Arial"/>
                <w:sz w:val="20"/>
                <w:szCs w:val="20"/>
              </w:rPr>
              <w:t>Infrastructure numérique</w:t>
            </w:r>
          </w:p>
        </w:tc>
        <w:tc>
          <w:tcPr>
            <w:tcW w:w="1044" w:type="dxa"/>
            <w:shd w:val="clear" w:color="auto" w:fill="auto"/>
          </w:tcPr>
          <w:p w14:paraId="2A2AA226" w14:textId="77777777" w:rsidR="008435F2" w:rsidRPr="007F78CE" w:rsidRDefault="008435F2" w:rsidP="007D67F3">
            <w:pPr>
              <w:spacing w:after="0" w:line="240" w:lineRule="auto"/>
              <w:contextualSpacing/>
              <w:jc w:val="center"/>
              <w:rPr>
                <w:rFonts w:ascii="Arial Narrow" w:hAnsi="Arial Narrow" w:cs="Arial"/>
                <w:bCs/>
                <w:sz w:val="20"/>
                <w:szCs w:val="20"/>
              </w:rPr>
            </w:pPr>
            <w:r>
              <w:rPr>
                <w:rFonts w:ascii="Arial Narrow" w:hAnsi="Arial Narrow" w:cs="Arial"/>
                <w:sz w:val="20"/>
                <w:szCs w:val="20"/>
              </w:rPr>
              <w:t>Faible</w:t>
            </w:r>
          </w:p>
          <w:p w14:paraId="409B6472"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1087" w:type="dxa"/>
            <w:shd w:val="clear" w:color="auto" w:fill="auto"/>
          </w:tcPr>
          <w:p w14:paraId="24693EAF"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74968E2C"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34" w:type="dxa"/>
            <w:shd w:val="clear" w:color="auto" w:fill="auto"/>
          </w:tcPr>
          <w:p w14:paraId="4ED91C94"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Longue</w:t>
            </w:r>
          </w:p>
          <w:p w14:paraId="7A2A377F"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330" w:type="dxa"/>
            <w:shd w:val="clear" w:color="auto" w:fill="auto"/>
          </w:tcPr>
          <w:p w14:paraId="40A00C41"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 xml:space="preserve">Irréversible </w:t>
            </w:r>
          </w:p>
          <w:p w14:paraId="57030309"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74" w:type="dxa"/>
            <w:shd w:val="clear" w:color="auto" w:fill="FFFF00"/>
          </w:tcPr>
          <w:p w14:paraId="29985FEA"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55A46035"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7</w:t>
            </w:r>
            <w:r w:rsidRPr="007F78CE">
              <w:rPr>
                <w:rFonts w:ascii="Arial Narrow" w:hAnsi="Arial Narrow" w:cs="Arial"/>
                <w:sz w:val="20"/>
                <w:szCs w:val="20"/>
              </w:rPr>
              <w:t>)</w:t>
            </w:r>
          </w:p>
        </w:tc>
        <w:tc>
          <w:tcPr>
            <w:tcW w:w="1064" w:type="dxa"/>
            <w:shd w:val="clear" w:color="auto" w:fill="auto"/>
          </w:tcPr>
          <w:p w14:paraId="1E0BC70B" w14:textId="77777777" w:rsidR="008435F2" w:rsidRPr="007F78CE" w:rsidRDefault="008435F2" w:rsidP="007D67F3">
            <w:pPr>
              <w:spacing w:after="0" w:line="240" w:lineRule="auto"/>
              <w:contextualSpacing/>
              <w:jc w:val="center"/>
              <w:rPr>
                <w:rFonts w:ascii="Arial Narrow" w:hAnsi="Arial Narrow" w:cs="Arial"/>
                <w:sz w:val="20"/>
                <w:szCs w:val="20"/>
              </w:rPr>
            </w:pPr>
            <w:r w:rsidRPr="00E62C6E">
              <w:rPr>
                <w:rFonts w:ascii="Arial Narrow" w:hAnsi="Arial Narrow" w:cs="Arial"/>
                <w:sz w:val="20"/>
                <w:szCs w:val="20"/>
              </w:rPr>
              <w:t xml:space="preserve">Faible </w:t>
            </w:r>
          </w:p>
        </w:tc>
        <w:tc>
          <w:tcPr>
            <w:tcW w:w="850" w:type="dxa"/>
            <w:shd w:val="clear" w:color="auto" w:fill="BFBFBF"/>
          </w:tcPr>
          <w:p w14:paraId="44DFB927" w14:textId="77777777" w:rsidR="008435F2" w:rsidRPr="007F78CE" w:rsidRDefault="008435F2" w:rsidP="007D67F3">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r w:rsidR="00345918" w:rsidRPr="007F78CE" w14:paraId="10EC4637" w14:textId="77777777" w:rsidTr="00FB04F6">
        <w:trPr>
          <w:jc w:val="center"/>
        </w:trPr>
        <w:tc>
          <w:tcPr>
            <w:tcW w:w="1705" w:type="dxa"/>
          </w:tcPr>
          <w:p w14:paraId="7D0B2EB3" w14:textId="77777777" w:rsidR="008435F2" w:rsidRPr="007F78CE" w:rsidRDefault="008435F2" w:rsidP="007D67F3">
            <w:pPr>
              <w:spacing w:after="0" w:line="240" w:lineRule="auto"/>
              <w:contextualSpacing/>
              <w:rPr>
                <w:rFonts w:ascii="Arial Narrow" w:hAnsi="Arial Narrow" w:cs="Arial"/>
                <w:sz w:val="20"/>
                <w:szCs w:val="20"/>
              </w:rPr>
            </w:pPr>
            <w:r>
              <w:rPr>
                <w:rFonts w:ascii="Arial Narrow" w:hAnsi="Arial Narrow" w:cs="Arial"/>
                <w:sz w:val="20"/>
                <w:szCs w:val="20"/>
              </w:rPr>
              <w:t>Centrale électrique solaire</w:t>
            </w:r>
          </w:p>
        </w:tc>
        <w:tc>
          <w:tcPr>
            <w:tcW w:w="1044" w:type="dxa"/>
            <w:shd w:val="clear" w:color="auto" w:fill="auto"/>
          </w:tcPr>
          <w:p w14:paraId="310B71EE" w14:textId="77777777" w:rsidR="008435F2" w:rsidRPr="007F78CE" w:rsidRDefault="008435F2" w:rsidP="007D67F3">
            <w:pPr>
              <w:spacing w:after="0" w:line="240" w:lineRule="auto"/>
              <w:contextualSpacing/>
              <w:jc w:val="center"/>
              <w:rPr>
                <w:rFonts w:ascii="Arial Narrow" w:hAnsi="Arial Narrow" w:cs="Arial"/>
                <w:bCs/>
                <w:sz w:val="20"/>
                <w:szCs w:val="20"/>
              </w:rPr>
            </w:pPr>
            <w:r>
              <w:rPr>
                <w:rFonts w:ascii="Arial Narrow" w:hAnsi="Arial Narrow" w:cs="Arial"/>
                <w:sz w:val="20"/>
                <w:szCs w:val="20"/>
              </w:rPr>
              <w:t xml:space="preserve">Faible </w:t>
            </w:r>
          </w:p>
          <w:p w14:paraId="1F1E7654"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087" w:type="dxa"/>
            <w:shd w:val="clear" w:color="auto" w:fill="auto"/>
          </w:tcPr>
          <w:p w14:paraId="6EAE3733"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2C8892B2"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34" w:type="dxa"/>
            <w:shd w:val="clear" w:color="auto" w:fill="auto"/>
          </w:tcPr>
          <w:p w14:paraId="0E707130"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Longue</w:t>
            </w:r>
          </w:p>
          <w:p w14:paraId="0AB2EC99"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330" w:type="dxa"/>
            <w:shd w:val="clear" w:color="auto" w:fill="auto"/>
          </w:tcPr>
          <w:p w14:paraId="0D2B58DD"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 xml:space="preserve">Irréversible </w:t>
            </w:r>
          </w:p>
          <w:p w14:paraId="52FCE15D"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74" w:type="dxa"/>
            <w:shd w:val="clear" w:color="auto" w:fill="FFFF00"/>
          </w:tcPr>
          <w:p w14:paraId="4A5E86C6"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2765398A" w14:textId="77777777" w:rsidR="008435F2" w:rsidRPr="007F78CE" w:rsidRDefault="008435F2" w:rsidP="008435F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7</w:t>
            </w:r>
            <w:r w:rsidRPr="007F78CE">
              <w:rPr>
                <w:rFonts w:ascii="Arial Narrow" w:hAnsi="Arial Narrow" w:cs="Arial"/>
                <w:sz w:val="20"/>
                <w:szCs w:val="20"/>
              </w:rPr>
              <w:t>)</w:t>
            </w:r>
          </w:p>
        </w:tc>
        <w:tc>
          <w:tcPr>
            <w:tcW w:w="1064" w:type="dxa"/>
            <w:shd w:val="clear" w:color="auto" w:fill="auto"/>
          </w:tcPr>
          <w:p w14:paraId="715D3447" w14:textId="77777777" w:rsidR="008435F2" w:rsidRPr="007F78CE" w:rsidRDefault="008435F2" w:rsidP="007D67F3">
            <w:pPr>
              <w:spacing w:after="0" w:line="240" w:lineRule="auto"/>
              <w:contextualSpacing/>
              <w:jc w:val="center"/>
              <w:rPr>
                <w:rFonts w:ascii="Arial Narrow" w:hAnsi="Arial Narrow" w:cs="Arial"/>
                <w:sz w:val="20"/>
                <w:szCs w:val="20"/>
              </w:rPr>
            </w:pPr>
            <w:r w:rsidRPr="00E62C6E">
              <w:rPr>
                <w:rFonts w:ascii="Arial Narrow" w:hAnsi="Arial Narrow" w:cs="Arial"/>
                <w:sz w:val="20"/>
                <w:szCs w:val="20"/>
              </w:rPr>
              <w:t xml:space="preserve">Faible </w:t>
            </w:r>
          </w:p>
        </w:tc>
        <w:tc>
          <w:tcPr>
            <w:tcW w:w="850" w:type="dxa"/>
            <w:shd w:val="clear" w:color="auto" w:fill="BFBFBF"/>
          </w:tcPr>
          <w:p w14:paraId="1FAB7D22" w14:textId="77777777" w:rsidR="008435F2" w:rsidRPr="007F78CE" w:rsidRDefault="008435F2" w:rsidP="007D67F3">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r w:rsidR="008435F2" w:rsidRPr="007F78CE" w14:paraId="70141EFF" w14:textId="77777777" w:rsidTr="00FB04F6">
        <w:trPr>
          <w:jc w:val="center"/>
        </w:trPr>
        <w:tc>
          <w:tcPr>
            <w:tcW w:w="1705" w:type="dxa"/>
          </w:tcPr>
          <w:p w14:paraId="534E5CAF" w14:textId="77777777" w:rsidR="008435F2" w:rsidRPr="007F78CE" w:rsidRDefault="008435F2" w:rsidP="007D67F3">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44" w:type="dxa"/>
            <w:shd w:val="clear" w:color="auto" w:fill="auto"/>
          </w:tcPr>
          <w:p w14:paraId="004681F7" w14:textId="77777777" w:rsidR="008435F2" w:rsidRPr="007F78CE" w:rsidRDefault="008435F2" w:rsidP="007D67F3">
            <w:pPr>
              <w:spacing w:after="0" w:line="240" w:lineRule="auto"/>
              <w:contextualSpacing/>
              <w:jc w:val="center"/>
              <w:rPr>
                <w:rFonts w:ascii="Arial Narrow" w:hAnsi="Arial Narrow" w:cs="Arial"/>
                <w:bCs/>
                <w:sz w:val="20"/>
                <w:szCs w:val="20"/>
              </w:rPr>
            </w:pPr>
            <w:r>
              <w:rPr>
                <w:rFonts w:ascii="Arial Narrow" w:hAnsi="Arial Narrow" w:cs="Arial"/>
                <w:sz w:val="20"/>
                <w:szCs w:val="20"/>
              </w:rPr>
              <w:t xml:space="preserve">Faible </w:t>
            </w:r>
          </w:p>
          <w:p w14:paraId="2BF492C9" w14:textId="77777777" w:rsidR="008435F2" w:rsidRPr="007F78CE" w:rsidRDefault="008435F2" w:rsidP="007D67F3">
            <w:pPr>
              <w:spacing w:after="0" w:line="240" w:lineRule="auto"/>
              <w:contextualSpacing/>
              <w:jc w:val="center"/>
              <w:rPr>
                <w:rFonts w:ascii="Arial Narrow" w:hAnsi="Arial Narrow" w:cs="Arial"/>
                <w:sz w:val="20"/>
                <w:szCs w:val="20"/>
              </w:rPr>
            </w:pPr>
            <w:r>
              <w:rPr>
                <w:rFonts w:ascii="Arial Narrow" w:hAnsi="Arial Narrow" w:cs="Arial"/>
                <w:sz w:val="20"/>
                <w:szCs w:val="20"/>
              </w:rPr>
              <w:t>(1</w:t>
            </w:r>
            <w:r w:rsidRPr="007F78CE">
              <w:rPr>
                <w:rFonts w:ascii="Arial Narrow" w:hAnsi="Arial Narrow" w:cs="Arial"/>
                <w:sz w:val="20"/>
                <w:szCs w:val="20"/>
              </w:rPr>
              <w:t>)</w:t>
            </w:r>
          </w:p>
        </w:tc>
        <w:tc>
          <w:tcPr>
            <w:tcW w:w="1087" w:type="dxa"/>
            <w:shd w:val="clear" w:color="auto" w:fill="auto"/>
          </w:tcPr>
          <w:p w14:paraId="60AFE962"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57993DF3"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34" w:type="dxa"/>
            <w:shd w:val="clear" w:color="auto" w:fill="auto"/>
          </w:tcPr>
          <w:p w14:paraId="2CEA7BF4"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Longue</w:t>
            </w:r>
          </w:p>
          <w:p w14:paraId="3AA20FF7"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330" w:type="dxa"/>
            <w:shd w:val="clear" w:color="auto" w:fill="auto"/>
          </w:tcPr>
          <w:p w14:paraId="764B45C7"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 xml:space="preserve">Irréversible </w:t>
            </w:r>
          </w:p>
          <w:p w14:paraId="40C0D556"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74" w:type="dxa"/>
            <w:shd w:val="clear" w:color="auto" w:fill="FFFF00"/>
          </w:tcPr>
          <w:p w14:paraId="40C50967"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620680FE" w14:textId="77777777" w:rsidR="008435F2" w:rsidRPr="007F78CE" w:rsidRDefault="008435F2" w:rsidP="007D67F3">
            <w:pPr>
              <w:spacing w:after="0" w:line="240" w:lineRule="auto"/>
              <w:contextualSpacing/>
              <w:jc w:val="center"/>
              <w:rPr>
                <w:rFonts w:ascii="Arial Narrow" w:hAnsi="Arial Narrow" w:cs="Arial"/>
                <w:sz w:val="20"/>
                <w:szCs w:val="20"/>
              </w:rPr>
            </w:pPr>
            <w:r>
              <w:rPr>
                <w:rFonts w:ascii="Arial Narrow" w:hAnsi="Arial Narrow" w:cs="Arial"/>
                <w:sz w:val="20"/>
                <w:szCs w:val="20"/>
              </w:rPr>
              <w:t>(7</w:t>
            </w:r>
            <w:r w:rsidRPr="007F78CE">
              <w:rPr>
                <w:rFonts w:ascii="Arial Narrow" w:hAnsi="Arial Narrow" w:cs="Arial"/>
                <w:sz w:val="20"/>
                <w:szCs w:val="20"/>
              </w:rPr>
              <w:t>)</w:t>
            </w:r>
          </w:p>
        </w:tc>
        <w:tc>
          <w:tcPr>
            <w:tcW w:w="1064" w:type="dxa"/>
            <w:shd w:val="clear" w:color="auto" w:fill="auto"/>
          </w:tcPr>
          <w:p w14:paraId="2E8F828A" w14:textId="77777777" w:rsidR="008435F2" w:rsidRPr="007F78CE" w:rsidRDefault="008435F2" w:rsidP="007D67F3">
            <w:pPr>
              <w:spacing w:after="0" w:line="240" w:lineRule="auto"/>
              <w:contextualSpacing/>
              <w:jc w:val="center"/>
              <w:rPr>
                <w:rFonts w:ascii="Arial Narrow" w:hAnsi="Arial Narrow" w:cs="Arial"/>
                <w:sz w:val="20"/>
                <w:szCs w:val="20"/>
              </w:rPr>
            </w:pPr>
            <w:r w:rsidRPr="00E62C6E">
              <w:rPr>
                <w:rFonts w:ascii="Arial Narrow" w:hAnsi="Arial Narrow" w:cs="Arial"/>
                <w:sz w:val="20"/>
                <w:szCs w:val="20"/>
              </w:rPr>
              <w:t xml:space="preserve">Faible </w:t>
            </w:r>
          </w:p>
        </w:tc>
        <w:tc>
          <w:tcPr>
            <w:tcW w:w="850" w:type="dxa"/>
            <w:shd w:val="clear" w:color="auto" w:fill="BFBFBF"/>
          </w:tcPr>
          <w:p w14:paraId="528FC20C" w14:textId="77777777" w:rsidR="008435F2" w:rsidRPr="007F78CE" w:rsidRDefault="008435F2" w:rsidP="007D67F3">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r w:rsidR="008435F2" w:rsidRPr="007F78CE" w14:paraId="2D13FBAF" w14:textId="77777777" w:rsidTr="00FB04F6">
        <w:trPr>
          <w:jc w:val="center"/>
        </w:trPr>
        <w:tc>
          <w:tcPr>
            <w:tcW w:w="1705" w:type="dxa"/>
          </w:tcPr>
          <w:p w14:paraId="4EF61845" w14:textId="77777777" w:rsidR="008435F2" w:rsidRDefault="008435F2" w:rsidP="007D67F3">
            <w:pPr>
              <w:spacing w:after="0" w:line="240" w:lineRule="auto"/>
              <w:contextualSpacing/>
              <w:rPr>
                <w:rFonts w:ascii="Arial Narrow" w:hAnsi="Arial Narrow" w:cs="Arial"/>
                <w:sz w:val="20"/>
                <w:szCs w:val="20"/>
              </w:rPr>
            </w:pPr>
            <w:r>
              <w:rPr>
                <w:rFonts w:ascii="Arial Narrow" w:hAnsi="Arial Narrow" w:cs="Arial"/>
                <w:sz w:val="20"/>
                <w:szCs w:val="20"/>
              </w:rPr>
              <w:t>Réseau électrique</w:t>
            </w:r>
          </w:p>
        </w:tc>
        <w:tc>
          <w:tcPr>
            <w:tcW w:w="1044" w:type="dxa"/>
            <w:shd w:val="clear" w:color="auto" w:fill="auto"/>
          </w:tcPr>
          <w:p w14:paraId="520DDDD1" w14:textId="77777777" w:rsidR="008435F2" w:rsidRPr="007F78CE" w:rsidRDefault="008435F2" w:rsidP="007D67F3">
            <w:pPr>
              <w:spacing w:after="0" w:line="240" w:lineRule="auto"/>
              <w:contextualSpacing/>
              <w:jc w:val="center"/>
              <w:rPr>
                <w:rFonts w:ascii="Arial Narrow" w:hAnsi="Arial Narrow" w:cs="Arial"/>
                <w:bCs/>
                <w:sz w:val="20"/>
                <w:szCs w:val="20"/>
              </w:rPr>
            </w:pPr>
            <w:r>
              <w:rPr>
                <w:rFonts w:ascii="Arial Narrow" w:hAnsi="Arial Narrow" w:cs="Arial"/>
                <w:sz w:val="20"/>
                <w:szCs w:val="20"/>
              </w:rPr>
              <w:t>Faible</w:t>
            </w:r>
          </w:p>
          <w:p w14:paraId="79037117" w14:textId="77777777" w:rsidR="008435F2"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1087" w:type="dxa"/>
            <w:shd w:val="clear" w:color="auto" w:fill="auto"/>
          </w:tcPr>
          <w:p w14:paraId="14167B37"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3D81AA33"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34" w:type="dxa"/>
            <w:shd w:val="clear" w:color="auto" w:fill="auto"/>
          </w:tcPr>
          <w:p w14:paraId="326B295D"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Longue</w:t>
            </w:r>
          </w:p>
          <w:p w14:paraId="541EAF86"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330" w:type="dxa"/>
            <w:shd w:val="clear" w:color="auto" w:fill="auto"/>
          </w:tcPr>
          <w:p w14:paraId="3840803F"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 xml:space="preserve">Irréversible </w:t>
            </w:r>
          </w:p>
          <w:p w14:paraId="1D84BF30"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74" w:type="dxa"/>
            <w:shd w:val="clear" w:color="auto" w:fill="FFFF00"/>
          </w:tcPr>
          <w:p w14:paraId="08A76729"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192D57C1" w14:textId="77777777" w:rsidR="008435F2" w:rsidRPr="007F78CE" w:rsidRDefault="008435F2"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7</w:t>
            </w:r>
            <w:r w:rsidRPr="007F78CE">
              <w:rPr>
                <w:rFonts w:ascii="Arial Narrow" w:hAnsi="Arial Narrow" w:cs="Arial"/>
                <w:sz w:val="20"/>
                <w:szCs w:val="20"/>
              </w:rPr>
              <w:t>)</w:t>
            </w:r>
          </w:p>
        </w:tc>
        <w:tc>
          <w:tcPr>
            <w:tcW w:w="1064" w:type="dxa"/>
            <w:shd w:val="clear" w:color="auto" w:fill="auto"/>
          </w:tcPr>
          <w:p w14:paraId="7B8C4201" w14:textId="77777777" w:rsidR="008435F2" w:rsidRPr="007F78CE" w:rsidRDefault="008435F2" w:rsidP="007D67F3">
            <w:pPr>
              <w:spacing w:after="0" w:line="240" w:lineRule="auto"/>
              <w:contextualSpacing/>
              <w:jc w:val="center"/>
              <w:rPr>
                <w:rFonts w:ascii="Arial Narrow" w:hAnsi="Arial Narrow" w:cs="Arial"/>
                <w:sz w:val="20"/>
                <w:szCs w:val="20"/>
              </w:rPr>
            </w:pPr>
            <w:r w:rsidRPr="00E62C6E">
              <w:rPr>
                <w:rFonts w:ascii="Arial Narrow" w:hAnsi="Arial Narrow" w:cs="Arial"/>
                <w:sz w:val="20"/>
                <w:szCs w:val="20"/>
              </w:rPr>
              <w:t xml:space="preserve">Faible </w:t>
            </w:r>
          </w:p>
        </w:tc>
        <w:tc>
          <w:tcPr>
            <w:tcW w:w="850" w:type="dxa"/>
            <w:shd w:val="clear" w:color="auto" w:fill="BFBFBF"/>
          </w:tcPr>
          <w:p w14:paraId="4ECD17B9" w14:textId="77777777" w:rsidR="008435F2" w:rsidRPr="007F78CE" w:rsidRDefault="008435F2" w:rsidP="007D67F3">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r w:rsidR="001716F8" w:rsidRPr="007F78CE" w14:paraId="7929847E" w14:textId="77777777" w:rsidTr="00FB04F6">
        <w:trPr>
          <w:jc w:val="center"/>
        </w:trPr>
        <w:tc>
          <w:tcPr>
            <w:tcW w:w="1705" w:type="dxa"/>
          </w:tcPr>
          <w:p w14:paraId="72AB3C7E" w14:textId="77777777" w:rsidR="001716F8" w:rsidRDefault="001716F8" w:rsidP="007D67F3">
            <w:pPr>
              <w:spacing w:after="0" w:line="240" w:lineRule="auto"/>
              <w:contextualSpacing/>
              <w:rPr>
                <w:rFonts w:ascii="Arial Narrow" w:hAnsi="Arial Narrow" w:cs="Arial"/>
                <w:sz w:val="20"/>
                <w:szCs w:val="20"/>
              </w:rPr>
            </w:pPr>
            <w:r>
              <w:rPr>
                <w:rFonts w:ascii="Arial Narrow" w:hAnsi="Arial Narrow" w:cs="Arial"/>
                <w:sz w:val="20"/>
                <w:szCs w:val="20"/>
              </w:rPr>
              <w:t>Impact cumulé</w:t>
            </w:r>
          </w:p>
        </w:tc>
        <w:tc>
          <w:tcPr>
            <w:tcW w:w="1044" w:type="dxa"/>
            <w:shd w:val="clear" w:color="auto" w:fill="auto"/>
          </w:tcPr>
          <w:p w14:paraId="2E3C9866" w14:textId="77777777" w:rsidR="001716F8" w:rsidRPr="007F78CE" w:rsidRDefault="001716F8" w:rsidP="00D70FB3">
            <w:pPr>
              <w:spacing w:after="0" w:line="240" w:lineRule="auto"/>
              <w:contextualSpacing/>
              <w:jc w:val="center"/>
              <w:rPr>
                <w:rFonts w:ascii="Arial Narrow" w:hAnsi="Arial Narrow" w:cs="Arial"/>
                <w:bCs/>
                <w:sz w:val="20"/>
                <w:szCs w:val="20"/>
              </w:rPr>
            </w:pPr>
            <w:r>
              <w:rPr>
                <w:rFonts w:ascii="Arial Narrow" w:hAnsi="Arial Narrow" w:cs="Arial"/>
                <w:sz w:val="20"/>
                <w:szCs w:val="20"/>
              </w:rPr>
              <w:t>Faible</w:t>
            </w:r>
          </w:p>
          <w:p w14:paraId="65AF46D0" w14:textId="77777777" w:rsidR="001716F8" w:rsidRDefault="001716F8"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1087" w:type="dxa"/>
            <w:shd w:val="clear" w:color="auto" w:fill="auto"/>
          </w:tcPr>
          <w:p w14:paraId="103C7787"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7AC220F9" w14:textId="77777777" w:rsidR="001716F8" w:rsidRPr="007F78CE" w:rsidRDefault="001716F8"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34" w:type="dxa"/>
            <w:shd w:val="clear" w:color="auto" w:fill="auto"/>
          </w:tcPr>
          <w:p w14:paraId="0477F3BC"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Longue</w:t>
            </w:r>
          </w:p>
          <w:p w14:paraId="08CE2FC5" w14:textId="77777777" w:rsidR="001716F8" w:rsidRPr="007F78CE" w:rsidRDefault="001716F8"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330" w:type="dxa"/>
            <w:shd w:val="clear" w:color="auto" w:fill="auto"/>
          </w:tcPr>
          <w:p w14:paraId="690B3C15"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 xml:space="preserve">Irréversible </w:t>
            </w:r>
          </w:p>
          <w:p w14:paraId="6F0CCF36" w14:textId="77777777" w:rsidR="001716F8" w:rsidRPr="007F78CE" w:rsidRDefault="001716F8"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74" w:type="dxa"/>
            <w:shd w:val="clear" w:color="auto" w:fill="FFFF00"/>
          </w:tcPr>
          <w:p w14:paraId="597645CC"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296094A1" w14:textId="77777777" w:rsidR="001716F8" w:rsidRPr="007F78CE" w:rsidRDefault="001716F8" w:rsidP="007D67F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7</w:t>
            </w:r>
            <w:r w:rsidRPr="007F78CE">
              <w:rPr>
                <w:rFonts w:ascii="Arial Narrow" w:hAnsi="Arial Narrow" w:cs="Arial"/>
                <w:sz w:val="20"/>
                <w:szCs w:val="20"/>
              </w:rPr>
              <w:t>)</w:t>
            </w:r>
          </w:p>
        </w:tc>
        <w:tc>
          <w:tcPr>
            <w:tcW w:w="1064" w:type="dxa"/>
            <w:shd w:val="clear" w:color="auto" w:fill="auto"/>
          </w:tcPr>
          <w:p w14:paraId="79329F14" w14:textId="77777777" w:rsidR="001716F8" w:rsidRPr="00E62C6E" w:rsidRDefault="001716F8" w:rsidP="007D67F3">
            <w:pPr>
              <w:spacing w:after="0" w:line="240" w:lineRule="auto"/>
              <w:contextualSpacing/>
              <w:jc w:val="center"/>
              <w:rPr>
                <w:rFonts w:ascii="Arial Narrow" w:hAnsi="Arial Narrow" w:cs="Arial"/>
                <w:sz w:val="20"/>
                <w:szCs w:val="20"/>
              </w:rPr>
            </w:pPr>
            <w:r w:rsidRPr="00E62C6E">
              <w:rPr>
                <w:rFonts w:ascii="Arial Narrow" w:hAnsi="Arial Narrow" w:cs="Arial"/>
                <w:sz w:val="20"/>
                <w:szCs w:val="20"/>
              </w:rPr>
              <w:t xml:space="preserve">Faible </w:t>
            </w:r>
          </w:p>
        </w:tc>
        <w:tc>
          <w:tcPr>
            <w:tcW w:w="850" w:type="dxa"/>
            <w:shd w:val="clear" w:color="auto" w:fill="BFBFBF"/>
          </w:tcPr>
          <w:p w14:paraId="260DC41E" w14:textId="77777777" w:rsidR="001716F8" w:rsidRDefault="001716F8" w:rsidP="007D67F3">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bl>
    <w:p w14:paraId="48CCCE8F" w14:textId="77777777" w:rsidR="007D67F3" w:rsidRPr="00345918" w:rsidRDefault="007D67F3" w:rsidP="00345918">
      <w:pPr>
        <w:spacing w:line="240" w:lineRule="auto"/>
        <w:jc w:val="both"/>
        <w:rPr>
          <w:rFonts w:ascii="Arial" w:hAnsi="Arial" w:cs="Arial"/>
        </w:rPr>
      </w:pPr>
    </w:p>
    <w:p w14:paraId="741D164B" w14:textId="77777777" w:rsidR="0090044A" w:rsidRPr="00B72BEB" w:rsidRDefault="0090044A" w:rsidP="00687DD2">
      <w:pPr>
        <w:pStyle w:val="Normal12"/>
        <w:numPr>
          <w:ilvl w:val="0"/>
          <w:numId w:val="85"/>
        </w:numPr>
        <w:spacing w:before="100" w:beforeAutospacing="1" w:after="100" w:afterAutospacing="1"/>
        <w:ind w:left="1077" w:hanging="357"/>
        <w:contextualSpacing/>
        <w:rPr>
          <w:i/>
          <w:iCs/>
          <w:lang w:val="fr-FR"/>
        </w:rPr>
      </w:pPr>
      <w:r w:rsidRPr="00B72BEB">
        <w:rPr>
          <w:i/>
          <w:iCs/>
          <w:lang w:val="fr-FR"/>
        </w:rPr>
        <w:t>Conflits sociaux avec la population locale</w:t>
      </w:r>
    </w:p>
    <w:p w14:paraId="1AED2CFD" w14:textId="77777777" w:rsidR="0090044A" w:rsidRPr="008D2A01" w:rsidRDefault="0090044A" w:rsidP="008D2A01">
      <w:pPr>
        <w:spacing w:line="240" w:lineRule="auto"/>
        <w:jc w:val="both"/>
        <w:rPr>
          <w:rFonts w:ascii="Arial" w:hAnsi="Arial" w:cs="Arial"/>
        </w:rPr>
      </w:pPr>
      <w:r w:rsidRPr="008D2A01">
        <w:rPr>
          <w:rFonts w:ascii="Arial" w:hAnsi="Arial" w:cs="Arial"/>
        </w:rPr>
        <w:t>Durant la phase de préparation et des travaux, des risques de conflit avec la population locale peuvent appara</w:t>
      </w:r>
      <w:r w:rsidR="003F5356">
        <w:rPr>
          <w:rFonts w:ascii="Arial" w:hAnsi="Arial" w:cs="Arial"/>
        </w:rPr>
        <w:t>î</w:t>
      </w:r>
      <w:r w:rsidRPr="008D2A01">
        <w:rPr>
          <w:rFonts w:ascii="Arial" w:hAnsi="Arial" w:cs="Arial"/>
        </w:rPr>
        <w:t>tre. Les conflits peuvent être causés par :</w:t>
      </w:r>
    </w:p>
    <w:p w14:paraId="17E3B590" w14:textId="77777777" w:rsidR="0090044A" w:rsidRPr="008D2A01" w:rsidRDefault="0090044A" w:rsidP="00687DD2">
      <w:pPr>
        <w:numPr>
          <w:ilvl w:val="0"/>
          <w:numId w:val="89"/>
        </w:numPr>
        <w:spacing w:after="0" w:line="240" w:lineRule="auto"/>
        <w:contextualSpacing/>
        <w:jc w:val="both"/>
        <w:rPr>
          <w:rFonts w:ascii="Arial" w:hAnsi="Arial" w:cs="Arial"/>
        </w:rPr>
      </w:pPr>
      <w:r w:rsidRPr="008D2A01">
        <w:rPr>
          <w:rFonts w:ascii="Arial" w:hAnsi="Arial" w:cs="Arial"/>
        </w:rPr>
        <w:t>Le mode de recrutement du personnel</w:t>
      </w:r>
      <w:r w:rsidR="00F5207D">
        <w:rPr>
          <w:rFonts w:ascii="Arial" w:hAnsi="Arial" w:cs="Arial"/>
        </w:rPr>
        <w:t> ;</w:t>
      </w:r>
    </w:p>
    <w:p w14:paraId="15B90C03" w14:textId="77777777" w:rsidR="0090044A" w:rsidRPr="008D2A01" w:rsidRDefault="0090044A" w:rsidP="00687DD2">
      <w:pPr>
        <w:numPr>
          <w:ilvl w:val="0"/>
          <w:numId w:val="89"/>
        </w:numPr>
        <w:spacing w:after="0" w:line="240" w:lineRule="auto"/>
        <w:contextualSpacing/>
        <w:jc w:val="both"/>
        <w:rPr>
          <w:rFonts w:ascii="Arial" w:hAnsi="Arial" w:cs="Arial"/>
        </w:rPr>
      </w:pPr>
      <w:r w:rsidRPr="008D2A01">
        <w:rPr>
          <w:rFonts w:ascii="Arial" w:hAnsi="Arial" w:cs="Arial"/>
        </w:rPr>
        <w:t>Le comportement des employés des entreprises</w:t>
      </w:r>
      <w:r w:rsidR="00F5207D">
        <w:rPr>
          <w:rFonts w:ascii="Arial" w:hAnsi="Arial" w:cs="Arial"/>
        </w:rPr>
        <w:t> ;</w:t>
      </w:r>
    </w:p>
    <w:p w14:paraId="770E997E" w14:textId="77777777" w:rsidR="0090044A" w:rsidRPr="008D2A01" w:rsidRDefault="0090044A" w:rsidP="00687DD2">
      <w:pPr>
        <w:numPr>
          <w:ilvl w:val="0"/>
          <w:numId w:val="89"/>
        </w:numPr>
        <w:spacing w:after="0" w:line="240" w:lineRule="auto"/>
        <w:contextualSpacing/>
        <w:jc w:val="both"/>
        <w:rPr>
          <w:rFonts w:ascii="Arial" w:hAnsi="Arial" w:cs="Arial"/>
        </w:rPr>
      </w:pPr>
      <w:r w:rsidRPr="008D2A01">
        <w:rPr>
          <w:rFonts w:ascii="Arial" w:hAnsi="Arial" w:cs="Arial"/>
        </w:rPr>
        <w:t>L’emplacement de la base vie ;</w:t>
      </w:r>
    </w:p>
    <w:p w14:paraId="06235EC7" w14:textId="77777777" w:rsidR="0090044A" w:rsidRPr="008D2A01" w:rsidRDefault="0090044A" w:rsidP="00687DD2">
      <w:pPr>
        <w:numPr>
          <w:ilvl w:val="0"/>
          <w:numId w:val="89"/>
        </w:numPr>
        <w:spacing w:after="0" w:line="240" w:lineRule="auto"/>
        <w:contextualSpacing/>
        <w:jc w:val="both"/>
        <w:rPr>
          <w:rFonts w:ascii="Arial" w:hAnsi="Arial" w:cs="Arial"/>
        </w:rPr>
      </w:pPr>
      <w:r w:rsidRPr="008D2A01">
        <w:rPr>
          <w:rFonts w:ascii="Arial" w:hAnsi="Arial" w:cs="Arial"/>
        </w:rPr>
        <w:t>L’utilisation des ressources (bois, eau et de l’électricité).</w:t>
      </w:r>
    </w:p>
    <w:p w14:paraId="15F7B044" w14:textId="77777777" w:rsidR="00F5207D" w:rsidRDefault="00F5207D" w:rsidP="008D2A01">
      <w:pPr>
        <w:spacing w:line="240" w:lineRule="auto"/>
        <w:jc w:val="both"/>
        <w:rPr>
          <w:rFonts w:ascii="Arial" w:hAnsi="Arial" w:cs="Arial"/>
        </w:rPr>
      </w:pPr>
    </w:p>
    <w:p w14:paraId="5A31EE7A" w14:textId="77777777" w:rsidR="0090044A" w:rsidRPr="008D2A01" w:rsidRDefault="0090044A" w:rsidP="008D2A01">
      <w:pPr>
        <w:spacing w:line="240" w:lineRule="auto"/>
        <w:jc w:val="both"/>
        <w:rPr>
          <w:rFonts w:ascii="Arial" w:hAnsi="Arial" w:cs="Arial"/>
        </w:rPr>
      </w:pPr>
      <w:r w:rsidRPr="008D2A01">
        <w:rPr>
          <w:rFonts w:ascii="Arial" w:hAnsi="Arial" w:cs="Arial"/>
        </w:rPr>
        <w:t xml:space="preserve">Suivant son degré, le conflit peut s’étendre même au niveau régional et peut arriver aux haines envers les migrants. L’importance de cet impact peut alors être évaluée comme « Moyenne » pour les </w:t>
      </w:r>
      <w:r w:rsidR="00283C4B">
        <w:rPr>
          <w:rFonts w:ascii="Arial" w:hAnsi="Arial" w:cs="Arial"/>
        </w:rPr>
        <w:t>sous-projets</w:t>
      </w:r>
      <w:r w:rsidR="008435F2">
        <w:rPr>
          <w:rFonts w:ascii="Arial" w:hAnsi="Arial" w:cs="Arial"/>
        </w:rPr>
        <w:t xml:space="preserve"> tandis que le niveau de risque est considéré comme faible pour le réseau électrique et élevé pour les autres sous projets </w:t>
      </w:r>
      <w:r w:rsidR="003F5356">
        <w:rPr>
          <w:rFonts w:ascii="Arial" w:hAnsi="Arial" w:cs="Arial"/>
        </w:rPr>
        <w:t xml:space="preserve"> selon le tableau suivant</w:t>
      </w:r>
      <w:r w:rsidRPr="008D2A01">
        <w:rPr>
          <w:rFonts w:ascii="Arial" w:hAnsi="Arial" w:cs="Arial"/>
        </w:rPr>
        <w:t>.</w:t>
      </w:r>
    </w:p>
    <w:p w14:paraId="4896ACFD" w14:textId="77777777" w:rsidR="0090044A" w:rsidRPr="002E58DC" w:rsidRDefault="0090044A" w:rsidP="002E58DC">
      <w:pPr>
        <w:pStyle w:val="Lgende"/>
        <w:spacing w:before="120"/>
        <w:jc w:val="center"/>
        <w:rPr>
          <w:sz w:val="20"/>
        </w:rPr>
      </w:pPr>
      <w:bookmarkStart w:id="943" w:name="_Toc100753927"/>
      <w:bookmarkStart w:id="944" w:name="_Toc127957832"/>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36</w:t>
      </w:r>
      <w:r w:rsidRPr="002E58DC">
        <w:rPr>
          <w:sz w:val="20"/>
        </w:rPr>
        <w:fldChar w:fldCharType="end"/>
      </w:r>
      <w:r w:rsidRPr="002E58DC">
        <w:rPr>
          <w:sz w:val="20"/>
        </w:rPr>
        <w:t xml:space="preserve">. </w:t>
      </w:r>
      <w:r w:rsidR="00145FBE" w:rsidRPr="002E58DC">
        <w:rPr>
          <w:sz w:val="20"/>
        </w:rPr>
        <w:t>Évaluation</w:t>
      </w:r>
      <w:r w:rsidR="00145FBE">
        <w:rPr>
          <w:sz w:val="20"/>
        </w:rPr>
        <w:t xml:space="preserve"> de</w:t>
      </w:r>
      <w:r w:rsidRPr="002E58DC">
        <w:rPr>
          <w:sz w:val="20"/>
        </w:rPr>
        <w:t xml:space="preserve"> l’impact –Conflits sociaux par la présence des mains d’œuvres externes</w:t>
      </w:r>
      <w:bookmarkEnd w:id="943"/>
      <w:bookmarkEnd w:id="944"/>
    </w:p>
    <w:tbl>
      <w:tblP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261"/>
        <w:gridCol w:w="1331"/>
        <w:gridCol w:w="992"/>
        <w:gridCol w:w="1418"/>
        <w:gridCol w:w="1134"/>
        <w:gridCol w:w="1134"/>
        <w:gridCol w:w="992"/>
        <w:tblGridChange w:id="945">
          <w:tblGrid>
            <w:gridCol w:w="2118"/>
            <w:gridCol w:w="1261"/>
            <w:gridCol w:w="1331"/>
            <w:gridCol w:w="992"/>
            <w:gridCol w:w="1418"/>
            <w:gridCol w:w="1134"/>
            <w:gridCol w:w="1134"/>
            <w:gridCol w:w="992"/>
          </w:tblGrid>
        </w:tblGridChange>
      </w:tblGrid>
      <w:tr w:rsidR="008435F2" w:rsidRPr="007F78CE" w14:paraId="4437C4AD" w14:textId="77777777" w:rsidTr="00353921">
        <w:trPr>
          <w:tblHeader/>
          <w:jc w:val="center"/>
        </w:trPr>
        <w:tc>
          <w:tcPr>
            <w:tcW w:w="2118" w:type="dxa"/>
            <w:shd w:val="clear" w:color="auto" w:fill="BFBFBF"/>
          </w:tcPr>
          <w:p w14:paraId="57774A9D" w14:textId="77777777" w:rsidR="008435F2" w:rsidRPr="007F78CE" w:rsidRDefault="008435F2" w:rsidP="007F78CE">
            <w:pPr>
              <w:spacing w:after="0" w:line="240" w:lineRule="auto"/>
              <w:rPr>
                <w:rFonts w:ascii="Arial Narrow" w:hAnsi="Arial Narrow"/>
                <w:b/>
                <w:bCs/>
                <w:sz w:val="20"/>
                <w:szCs w:val="20"/>
              </w:rPr>
            </w:pPr>
            <w:r>
              <w:rPr>
                <w:rFonts w:ascii="Arial Narrow" w:hAnsi="Arial Narrow"/>
                <w:b/>
                <w:bCs/>
                <w:sz w:val="20"/>
                <w:szCs w:val="20"/>
              </w:rPr>
              <w:t>Sous Projet</w:t>
            </w:r>
          </w:p>
        </w:tc>
        <w:tc>
          <w:tcPr>
            <w:tcW w:w="1261" w:type="dxa"/>
            <w:shd w:val="clear" w:color="auto" w:fill="BFBFBF"/>
          </w:tcPr>
          <w:p w14:paraId="167647AC" w14:textId="77777777" w:rsidR="008435F2" w:rsidRPr="007F78CE" w:rsidRDefault="008435F2"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331" w:type="dxa"/>
            <w:shd w:val="clear" w:color="auto" w:fill="BFBFBF"/>
          </w:tcPr>
          <w:p w14:paraId="52A854C5" w14:textId="77777777" w:rsidR="008435F2" w:rsidRPr="007F78CE" w:rsidRDefault="008435F2"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992" w:type="dxa"/>
            <w:shd w:val="clear" w:color="auto" w:fill="BFBFBF"/>
          </w:tcPr>
          <w:p w14:paraId="1EC8E7C1" w14:textId="77777777" w:rsidR="008435F2" w:rsidRPr="007F78CE" w:rsidRDefault="008435F2"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418" w:type="dxa"/>
            <w:shd w:val="clear" w:color="auto" w:fill="BFBFBF"/>
          </w:tcPr>
          <w:p w14:paraId="1C6F96F4" w14:textId="77777777" w:rsidR="008435F2" w:rsidRPr="007F78CE" w:rsidRDefault="008435F2"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134" w:type="dxa"/>
            <w:shd w:val="clear" w:color="auto" w:fill="BFBFBF"/>
          </w:tcPr>
          <w:p w14:paraId="7FFEDF2F" w14:textId="77777777" w:rsidR="008435F2" w:rsidRPr="007F78CE" w:rsidRDefault="008435F2"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134" w:type="dxa"/>
            <w:shd w:val="clear" w:color="auto" w:fill="BFBFBF"/>
          </w:tcPr>
          <w:p w14:paraId="6FC51864" w14:textId="77777777" w:rsidR="008435F2" w:rsidRPr="007F78CE" w:rsidRDefault="008435F2"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992" w:type="dxa"/>
            <w:shd w:val="clear" w:color="auto" w:fill="BFBFBF"/>
          </w:tcPr>
          <w:p w14:paraId="77459A27" w14:textId="77777777" w:rsidR="008435F2" w:rsidRPr="007F78CE" w:rsidRDefault="008435F2" w:rsidP="007F78CE">
            <w:pPr>
              <w:spacing w:after="0" w:line="240" w:lineRule="auto"/>
              <w:rPr>
                <w:rFonts w:ascii="Arial Narrow" w:hAnsi="Arial Narrow"/>
                <w:b/>
                <w:bCs/>
                <w:sz w:val="20"/>
                <w:szCs w:val="20"/>
              </w:rPr>
            </w:pPr>
            <w:r>
              <w:rPr>
                <w:rFonts w:ascii="Arial Narrow" w:hAnsi="Arial Narrow"/>
                <w:b/>
                <w:bCs/>
                <w:sz w:val="20"/>
                <w:szCs w:val="20"/>
              </w:rPr>
              <w:t>Risque</w:t>
            </w:r>
          </w:p>
        </w:tc>
      </w:tr>
      <w:tr w:rsidR="008435F2" w:rsidRPr="007F78CE" w14:paraId="1ED30483" w14:textId="77777777" w:rsidTr="00345918">
        <w:trPr>
          <w:jc w:val="center"/>
        </w:trPr>
        <w:tc>
          <w:tcPr>
            <w:tcW w:w="2118" w:type="dxa"/>
          </w:tcPr>
          <w:p w14:paraId="2A80FA17" w14:textId="77777777" w:rsidR="008435F2" w:rsidRPr="007F78CE" w:rsidRDefault="008435F2" w:rsidP="00B434A6">
            <w:pPr>
              <w:spacing w:after="0" w:line="240" w:lineRule="auto"/>
              <w:contextualSpacing/>
              <w:rPr>
                <w:rFonts w:ascii="Arial Narrow" w:hAnsi="Arial Narrow" w:cs="Arial"/>
                <w:sz w:val="20"/>
                <w:szCs w:val="20"/>
              </w:rPr>
            </w:pPr>
            <w:r>
              <w:rPr>
                <w:rFonts w:ascii="Arial Narrow" w:hAnsi="Arial Narrow" w:cs="Arial"/>
                <w:sz w:val="20"/>
                <w:szCs w:val="20"/>
              </w:rPr>
              <w:t>Infrastructure numérique</w:t>
            </w:r>
          </w:p>
        </w:tc>
        <w:tc>
          <w:tcPr>
            <w:tcW w:w="1261" w:type="dxa"/>
            <w:shd w:val="clear" w:color="auto" w:fill="auto"/>
          </w:tcPr>
          <w:p w14:paraId="310704A5" w14:textId="77777777" w:rsidR="008435F2" w:rsidRPr="007F78CE" w:rsidRDefault="008435F2"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Moyenne</w:t>
            </w:r>
          </w:p>
          <w:p w14:paraId="754A01EF" w14:textId="77777777" w:rsidR="008435F2" w:rsidRPr="007F78CE" w:rsidRDefault="008435F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331" w:type="dxa"/>
            <w:shd w:val="clear" w:color="auto" w:fill="auto"/>
          </w:tcPr>
          <w:p w14:paraId="33391F6B" w14:textId="77777777" w:rsidR="008435F2" w:rsidRPr="007F78CE" w:rsidRDefault="008435F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Régionale</w:t>
            </w:r>
          </w:p>
          <w:p w14:paraId="31770D6F" w14:textId="77777777" w:rsidR="008435F2" w:rsidRPr="007F78CE" w:rsidRDefault="008435F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992" w:type="dxa"/>
            <w:shd w:val="clear" w:color="auto" w:fill="auto"/>
          </w:tcPr>
          <w:p w14:paraId="3F4B32B1" w14:textId="77777777" w:rsidR="008435F2" w:rsidRPr="007F78CE" w:rsidRDefault="008435F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42E48233" w14:textId="77777777" w:rsidR="008435F2" w:rsidRPr="007F78CE" w:rsidRDefault="008435F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418" w:type="dxa"/>
            <w:shd w:val="clear" w:color="auto" w:fill="auto"/>
          </w:tcPr>
          <w:p w14:paraId="5363A675" w14:textId="77777777" w:rsidR="008435F2" w:rsidRPr="007F78CE" w:rsidRDefault="008435F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30F5BEBB" w14:textId="77777777" w:rsidR="008435F2" w:rsidRPr="007F78CE" w:rsidRDefault="008435F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134" w:type="dxa"/>
            <w:shd w:val="clear" w:color="auto" w:fill="FFFF00"/>
          </w:tcPr>
          <w:p w14:paraId="5EA2D8CF" w14:textId="77777777" w:rsidR="008435F2" w:rsidRPr="007F78CE" w:rsidRDefault="008435F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286464FA" w14:textId="77777777" w:rsidR="008435F2" w:rsidRPr="007F78CE" w:rsidRDefault="008435F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(8)</w:t>
            </w:r>
          </w:p>
        </w:tc>
        <w:tc>
          <w:tcPr>
            <w:tcW w:w="1134" w:type="dxa"/>
            <w:shd w:val="clear" w:color="auto" w:fill="auto"/>
          </w:tcPr>
          <w:p w14:paraId="2E829440" w14:textId="77777777" w:rsidR="008435F2" w:rsidRPr="007F78CE" w:rsidRDefault="008435F2"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992" w:type="dxa"/>
            <w:shd w:val="clear" w:color="auto" w:fill="FFC000"/>
          </w:tcPr>
          <w:p w14:paraId="627E3563" w14:textId="77777777" w:rsidR="008435F2" w:rsidRPr="007F78CE" w:rsidRDefault="008435F2"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Elevé</w:t>
            </w:r>
          </w:p>
        </w:tc>
      </w:tr>
      <w:tr w:rsidR="008435F2" w:rsidRPr="007F78CE" w14:paraId="4D9D2ADD" w14:textId="77777777" w:rsidTr="00345918">
        <w:trPr>
          <w:jc w:val="center"/>
        </w:trPr>
        <w:tc>
          <w:tcPr>
            <w:tcW w:w="2118" w:type="dxa"/>
          </w:tcPr>
          <w:p w14:paraId="2060DE7F" w14:textId="77777777" w:rsidR="008435F2" w:rsidRPr="007F78CE" w:rsidRDefault="008435F2" w:rsidP="00B434A6">
            <w:pPr>
              <w:spacing w:after="0" w:line="240" w:lineRule="auto"/>
              <w:contextualSpacing/>
              <w:rPr>
                <w:rFonts w:ascii="Arial Narrow" w:hAnsi="Arial Narrow" w:cs="Arial"/>
                <w:sz w:val="20"/>
                <w:szCs w:val="20"/>
              </w:rPr>
            </w:pPr>
            <w:r>
              <w:rPr>
                <w:rFonts w:ascii="Arial Narrow" w:hAnsi="Arial Narrow" w:cs="Arial"/>
                <w:sz w:val="20"/>
                <w:szCs w:val="20"/>
              </w:rPr>
              <w:t>Centrale électrique solaire</w:t>
            </w:r>
          </w:p>
        </w:tc>
        <w:tc>
          <w:tcPr>
            <w:tcW w:w="1261" w:type="dxa"/>
            <w:shd w:val="clear" w:color="auto" w:fill="auto"/>
          </w:tcPr>
          <w:p w14:paraId="3F447DDC" w14:textId="77777777" w:rsidR="008435F2" w:rsidRPr="007F78CE" w:rsidRDefault="008435F2" w:rsidP="00F00135">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Moyenne</w:t>
            </w:r>
          </w:p>
          <w:p w14:paraId="419D44F4" w14:textId="77777777" w:rsidR="008435F2" w:rsidRPr="007F78CE" w:rsidRDefault="008435F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331" w:type="dxa"/>
            <w:shd w:val="clear" w:color="auto" w:fill="auto"/>
          </w:tcPr>
          <w:p w14:paraId="496B0AEC" w14:textId="77777777" w:rsidR="008435F2" w:rsidRPr="007F78CE" w:rsidRDefault="008435F2"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Régionale</w:t>
            </w:r>
          </w:p>
          <w:p w14:paraId="2A8EE81C" w14:textId="77777777" w:rsidR="008435F2" w:rsidRPr="007F78CE" w:rsidRDefault="008435F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992" w:type="dxa"/>
            <w:shd w:val="clear" w:color="auto" w:fill="auto"/>
          </w:tcPr>
          <w:p w14:paraId="476B54FC" w14:textId="77777777" w:rsidR="008435F2" w:rsidRPr="007F78CE" w:rsidRDefault="008435F2"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7BA82714" w14:textId="77777777" w:rsidR="008435F2" w:rsidRPr="007F78CE" w:rsidRDefault="008435F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418" w:type="dxa"/>
            <w:shd w:val="clear" w:color="auto" w:fill="auto"/>
          </w:tcPr>
          <w:p w14:paraId="7CF01ACE" w14:textId="77777777" w:rsidR="008435F2" w:rsidRPr="007F78CE" w:rsidRDefault="008435F2"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22414A72" w14:textId="77777777" w:rsidR="008435F2" w:rsidRPr="007F78CE" w:rsidRDefault="008435F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134" w:type="dxa"/>
            <w:shd w:val="clear" w:color="auto" w:fill="FFFF00"/>
          </w:tcPr>
          <w:p w14:paraId="3DD1C9C3" w14:textId="77777777" w:rsidR="008435F2" w:rsidRPr="007F78CE" w:rsidRDefault="008435F2"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34360938" w14:textId="77777777" w:rsidR="008435F2" w:rsidRPr="007F78CE" w:rsidRDefault="008435F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(8)</w:t>
            </w:r>
          </w:p>
        </w:tc>
        <w:tc>
          <w:tcPr>
            <w:tcW w:w="1134" w:type="dxa"/>
            <w:shd w:val="clear" w:color="auto" w:fill="auto"/>
          </w:tcPr>
          <w:p w14:paraId="180C78D8" w14:textId="77777777" w:rsidR="008435F2" w:rsidRPr="007F78CE" w:rsidRDefault="008435F2" w:rsidP="00F00135">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992" w:type="dxa"/>
            <w:shd w:val="clear" w:color="auto" w:fill="FFC000"/>
          </w:tcPr>
          <w:p w14:paraId="3184C598" w14:textId="77777777" w:rsidR="008435F2" w:rsidRPr="007F78CE" w:rsidRDefault="008435F2" w:rsidP="00F00135">
            <w:pPr>
              <w:spacing w:after="0" w:line="240" w:lineRule="auto"/>
              <w:contextualSpacing/>
              <w:jc w:val="center"/>
              <w:rPr>
                <w:rFonts w:ascii="Arial Narrow" w:hAnsi="Arial Narrow" w:cs="Arial"/>
                <w:sz w:val="20"/>
                <w:szCs w:val="20"/>
              </w:rPr>
            </w:pPr>
            <w:r>
              <w:rPr>
                <w:rFonts w:ascii="Arial Narrow" w:hAnsi="Arial Narrow" w:cs="Arial"/>
                <w:sz w:val="20"/>
                <w:szCs w:val="20"/>
              </w:rPr>
              <w:t>Elevé</w:t>
            </w:r>
          </w:p>
        </w:tc>
      </w:tr>
      <w:tr w:rsidR="008435F2" w:rsidRPr="007F78CE" w14:paraId="2BC4E90E" w14:textId="77777777" w:rsidTr="00345918">
        <w:trPr>
          <w:jc w:val="center"/>
        </w:trPr>
        <w:tc>
          <w:tcPr>
            <w:tcW w:w="2118" w:type="dxa"/>
          </w:tcPr>
          <w:p w14:paraId="2182478A" w14:textId="77777777" w:rsidR="008435F2" w:rsidRPr="007F78CE" w:rsidRDefault="008435F2" w:rsidP="00B434A6">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261" w:type="dxa"/>
            <w:shd w:val="clear" w:color="auto" w:fill="auto"/>
          </w:tcPr>
          <w:p w14:paraId="1DFF3826" w14:textId="77777777" w:rsidR="008435F2" w:rsidRPr="007F78CE" w:rsidRDefault="008435F2" w:rsidP="00F00135">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Moyenne</w:t>
            </w:r>
          </w:p>
          <w:p w14:paraId="6319DA6D" w14:textId="77777777" w:rsidR="008435F2" w:rsidRPr="007F78CE" w:rsidRDefault="008435F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331" w:type="dxa"/>
            <w:shd w:val="clear" w:color="auto" w:fill="auto"/>
          </w:tcPr>
          <w:p w14:paraId="71DD7285" w14:textId="77777777" w:rsidR="008435F2" w:rsidRPr="007F78CE" w:rsidRDefault="008435F2"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Régionale</w:t>
            </w:r>
          </w:p>
          <w:p w14:paraId="577F39DF" w14:textId="77777777" w:rsidR="008435F2" w:rsidRPr="007F78CE" w:rsidRDefault="008435F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992" w:type="dxa"/>
            <w:shd w:val="clear" w:color="auto" w:fill="auto"/>
          </w:tcPr>
          <w:p w14:paraId="46DC0D08" w14:textId="77777777" w:rsidR="008435F2" w:rsidRPr="007F78CE" w:rsidRDefault="008435F2"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02ECD0C4" w14:textId="77777777" w:rsidR="008435F2" w:rsidRPr="007F78CE" w:rsidRDefault="008435F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418" w:type="dxa"/>
            <w:shd w:val="clear" w:color="auto" w:fill="auto"/>
          </w:tcPr>
          <w:p w14:paraId="52118F0C" w14:textId="77777777" w:rsidR="008435F2" w:rsidRPr="007F78CE" w:rsidRDefault="008435F2"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06A9A0C6" w14:textId="77777777" w:rsidR="008435F2" w:rsidRPr="007F78CE" w:rsidRDefault="008435F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134" w:type="dxa"/>
            <w:shd w:val="clear" w:color="auto" w:fill="FFFF00"/>
          </w:tcPr>
          <w:p w14:paraId="34897524" w14:textId="77777777" w:rsidR="008435F2" w:rsidRPr="007F78CE" w:rsidRDefault="008435F2"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185FBC2C" w14:textId="77777777" w:rsidR="008435F2" w:rsidRPr="007F78CE" w:rsidRDefault="008435F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(8)</w:t>
            </w:r>
          </w:p>
        </w:tc>
        <w:tc>
          <w:tcPr>
            <w:tcW w:w="1134" w:type="dxa"/>
            <w:shd w:val="clear" w:color="auto" w:fill="auto"/>
          </w:tcPr>
          <w:p w14:paraId="2BC2B283" w14:textId="77777777" w:rsidR="008435F2" w:rsidRPr="007F78CE" w:rsidRDefault="008435F2" w:rsidP="00F00135">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992" w:type="dxa"/>
            <w:shd w:val="clear" w:color="auto" w:fill="FFC000"/>
          </w:tcPr>
          <w:p w14:paraId="67470CDA" w14:textId="77777777" w:rsidR="008435F2" w:rsidRPr="007F78CE" w:rsidRDefault="008435F2" w:rsidP="00F00135">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Elevé </w:t>
            </w:r>
          </w:p>
        </w:tc>
      </w:tr>
      <w:tr w:rsidR="00345918" w:rsidRPr="007F78CE" w14:paraId="3404E238" w14:textId="77777777" w:rsidTr="00FB04F6">
        <w:trPr>
          <w:jc w:val="center"/>
        </w:trPr>
        <w:tc>
          <w:tcPr>
            <w:tcW w:w="2118" w:type="dxa"/>
          </w:tcPr>
          <w:p w14:paraId="3C2D7A1B" w14:textId="77777777" w:rsidR="008435F2" w:rsidRDefault="008435F2" w:rsidP="00F00135">
            <w:pPr>
              <w:spacing w:after="0" w:line="240" w:lineRule="auto"/>
              <w:contextualSpacing/>
              <w:rPr>
                <w:rFonts w:ascii="Arial Narrow" w:hAnsi="Arial Narrow" w:cs="Arial"/>
                <w:sz w:val="20"/>
                <w:szCs w:val="20"/>
              </w:rPr>
            </w:pPr>
            <w:r>
              <w:rPr>
                <w:rFonts w:ascii="Arial Narrow" w:hAnsi="Arial Narrow" w:cs="Arial"/>
                <w:sz w:val="20"/>
                <w:szCs w:val="20"/>
              </w:rPr>
              <w:t>Réseau électrique</w:t>
            </w:r>
          </w:p>
        </w:tc>
        <w:tc>
          <w:tcPr>
            <w:tcW w:w="1261" w:type="dxa"/>
            <w:shd w:val="clear" w:color="auto" w:fill="auto"/>
          </w:tcPr>
          <w:p w14:paraId="37B2243E" w14:textId="77777777" w:rsidR="008435F2" w:rsidRPr="007F78CE" w:rsidRDefault="008435F2" w:rsidP="00296692">
            <w:pPr>
              <w:spacing w:after="0" w:line="240" w:lineRule="auto"/>
              <w:contextualSpacing/>
              <w:jc w:val="center"/>
              <w:rPr>
                <w:rFonts w:ascii="Arial Narrow" w:hAnsi="Arial Narrow" w:cs="Arial"/>
                <w:bCs/>
                <w:sz w:val="20"/>
                <w:szCs w:val="20"/>
              </w:rPr>
            </w:pPr>
            <w:r>
              <w:rPr>
                <w:rFonts w:ascii="Arial Narrow" w:hAnsi="Arial Narrow" w:cs="Arial"/>
                <w:sz w:val="20"/>
                <w:szCs w:val="20"/>
              </w:rPr>
              <w:t>Faible</w:t>
            </w:r>
          </w:p>
          <w:p w14:paraId="48252E79" w14:textId="77777777" w:rsidR="008435F2" w:rsidRPr="007F78CE" w:rsidRDefault="008435F2"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1331" w:type="dxa"/>
            <w:shd w:val="clear" w:color="auto" w:fill="auto"/>
          </w:tcPr>
          <w:p w14:paraId="5574AA87" w14:textId="77777777" w:rsidR="008435F2" w:rsidRPr="007F78CE" w:rsidRDefault="008435F2"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77BEDD53" w14:textId="77777777" w:rsidR="008435F2" w:rsidRPr="007F78CE" w:rsidRDefault="008435F2"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92" w:type="dxa"/>
            <w:shd w:val="clear" w:color="auto" w:fill="auto"/>
          </w:tcPr>
          <w:p w14:paraId="703DA2A6" w14:textId="77777777" w:rsidR="008435F2" w:rsidRPr="007F78CE" w:rsidRDefault="008435F2"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Longue</w:t>
            </w:r>
          </w:p>
          <w:p w14:paraId="0795B0EC" w14:textId="77777777" w:rsidR="008435F2" w:rsidRPr="007F78CE" w:rsidRDefault="008435F2"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418" w:type="dxa"/>
            <w:shd w:val="clear" w:color="auto" w:fill="auto"/>
          </w:tcPr>
          <w:p w14:paraId="14B0EF88" w14:textId="77777777" w:rsidR="008435F2" w:rsidRPr="007F78CE" w:rsidRDefault="008435F2"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 xml:space="preserve">Irréversible </w:t>
            </w:r>
          </w:p>
          <w:p w14:paraId="62E1E4CF" w14:textId="77777777" w:rsidR="008435F2" w:rsidRPr="007F78CE" w:rsidRDefault="008435F2"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134" w:type="dxa"/>
            <w:shd w:val="clear" w:color="auto" w:fill="FFFF00"/>
          </w:tcPr>
          <w:p w14:paraId="0F13C014" w14:textId="77777777" w:rsidR="008435F2" w:rsidRPr="007F78CE" w:rsidRDefault="008435F2"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03BC81CE" w14:textId="77777777" w:rsidR="008435F2" w:rsidRPr="007F78CE" w:rsidRDefault="008435F2"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7</w:t>
            </w:r>
            <w:r w:rsidRPr="007F78CE">
              <w:rPr>
                <w:rFonts w:ascii="Arial Narrow" w:hAnsi="Arial Narrow" w:cs="Arial"/>
                <w:sz w:val="20"/>
                <w:szCs w:val="20"/>
              </w:rPr>
              <w:t>)</w:t>
            </w:r>
          </w:p>
        </w:tc>
        <w:tc>
          <w:tcPr>
            <w:tcW w:w="1134" w:type="dxa"/>
            <w:shd w:val="clear" w:color="auto" w:fill="auto"/>
          </w:tcPr>
          <w:p w14:paraId="71CC7AB3" w14:textId="77777777" w:rsidR="008435F2" w:rsidRPr="007F78CE" w:rsidRDefault="008435F2"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992" w:type="dxa"/>
            <w:shd w:val="clear" w:color="auto" w:fill="BFBFBF"/>
          </w:tcPr>
          <w:p w14:paraId="4C8C0E14" w14:textId="77777777" w:rsidR="008435F2" w:rsidRPr="007F78CE" w:rsidRDefault="008435F2"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r w:rsidR="001716F8" w:rsidRPr="007F78CE" w14:paraId="5D89A798" w14:textId="77777777" w:rsidTr="00FB04F6">
        <w:trPr>
          <w:jc w:val="center"/>
        </w:trPr>
        <w:tc>
          <w:tcPr>
            <w:tcW w:w="2118" w:type="dxa"/>
          </w:tcPr>
          <w:p w14:paraId="3A6746BA" w14:textId="77777777" w:rsidR="001716F8" w:rsidRDefault="001716F8" w:rsidP="00F00135">
            <w:pPr>
              <w:spacing w:after="0" w:line="240" w:lineRule="auto"/>
              <w:contextualSpacing/>
              <w:rPr>
                <w:rFonts w:ascii="Arial Narrow" w:hAnsi="Arial Narrow" w:cs="Arial"/>
                <w:sz w:val="20"/>
                <w:szCs w:val="20"/>
              </w:rPr>
            </w:pPr>
            <w:r>
              <w:rPr>
                <w:rFonts w:ascii="Arial Narrow" w:hAnsi="Arial Narrow" w:cs="Arial"/>
                <w:sz w:val="20"/>
                <w:szCs w:val="20"/>
              </w:rPr>
              <w:t>Impact cumulé</w:t>
            </w:r>
          </w:p>
        </w:tc>
        <w:tc>
          <w:tcPr>
            <w:tcW w:w="1261" w:type="dxa"/>
            <w:shd w:val="clear" w:color="auto" w:fill="auto"/>
          </w:tcPr>
          <w:p w14:paraId="271112E1" w14:textId="77777777" w:rsidR="001716F8" w:rsidRPr="007F78CE" w:rsidRDefault="001716F8" w:rsidP="00D70FB3">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Moyenne</w:t>
            </w:r>
          </w:p>
          <w:p w14:paraId="550E1C40" w14:textId="77777777" w:rsidR="001716F8"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331" w:type="dxa"/>
            <w:shd w:val="clear" w:color="auto" w:fill="auto"/>
          </w:tcPr>
          <w:p w14:paraId="195EAD47"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Régionale</w:t>
            </w:r>
          </w:p>
          <w:p w14:paraId="602A3117"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992" w:type="dxa"/>
            <w:shd w:val="clear" w:color="auto" w:fill="auto"/>
          </w:tcPr>
          <w:p w14:paraId="4DAA3751"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1618F0DA"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418" w:type="dxa"/>
            <w:shd w:val="clear" w:color="auto" w:fill="auto"/>
          </w:tcPr>
          <w:p w14:paraId="55DC872D"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083ABB18"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134" w:type="dxa"/>
            <w:shd w:val="clear" w:color="auto" w:fill="FFFF00"/>
          </w:tcPr>
          <w:p w14:paraId="502830DB"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30E710AF"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(8)</w:t>
            </w:r>
          </w:p>
        </w:tc>
        <w:tc>
          <w:tcPr>
            <w:tcW w:w="1134" w:type="dxa"/>
            <w:shd w:val="clear" w:color="auto" w:fill="auto"/>
          </w:tcPr>
          <w:p w14:paraId="2B77DC39" w14:textId="77777777" w:rsidR="001716F8" w:rsidRDefault="001716F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992" w:type="dxa"/>
            <w:shd w:val="clear" w:color="auto" w:fill="BFBFBF"/>
          </w:tcPr>
          <w:p w14:paraId="30483799" w14:textId="77777777" w:rsidR="001716F8" w:rsidRDefault="001716F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Elevé</w:t>
            </w:r>
          </w:p>
        </w:tc>
      </w:tr>
    </w:tbl>
    <w:p w14:paraId="04EF6935" w14:textId="77777777" w:rsidR="00225639" w:rsidRDefault="00225639" w:rsidP="00345918">
      <w:pPr>
        <w:pStyle w:val="Normal12"/>
        <w:spacing w:before="100" w:beforeAutospacing="1" w:after="100" w:afterAutospacing="1"/>
        <w:ind w:left="0" w:firstLine="0"/>
        <w:contextualSpacing/>
        <w:rPr>
          <w:i/>
          <w:iCs/>
          <w:lang w:val="fr-FR"/>
        </w:rPr>
      </w:pPr>
    </w:p>
    <w:p w14:paraId="6FA3DAD0" w14:textId="77777777" w:rsidR="0090044A" w:rsidRPr="000F396B" w:rsidRDefault="0090044A" w:rsidP="00687DD2">
      <w:pPr>
        <w:pStyle w:val="Normal12"/>
        <w:numPr>
          <w:ilvl w:val="0"/>
          <w:numId w:val="85"/>
        </w:numPr>
        <w:spacing w:before="100" w:beforeAutospacing="1" w:after="100" w:afterAutospacing="1"/>
        <w:ind w:left="1077" w:hanging="357"/>
        <w:contextualSpacing/>
        <w:rPr>
          <w:i/>
          <w:iCs/>
          <w:lang w:val="fr-FR"/>
        </w:rPr>
      </w:pPr>
      <w:r w:rsidRPr="000F396B">
        <w:rPr>
          <w:i/>
          <w:iCs/>
          <w:lang w:val="fr-FR"/>
        </w:rPr>
        <w:t>Production des déchets au niveau du chantier et de la base vie</w:t>
      </w:r>
    </w:p>
    <w:p w14:paraId="7C0E3F1E" w14:textId="77777777" w:rsidR="0090044A" w:rsidRPr="008D2A01" w:rsidRDefault="0090044A" w:rsidP="008D2A01">
      <w:pPr>
        <w:spacing w:line="240" w:lineRule="auto"/>
        <w:jc w:val="both"/>
        <w:rPr>
          <w:rFonts w:ascii="Arial" w:hAnsi="Arial" w:cs="Arial"/>
        </w:rPr>
      </w:pPr>
      <w:r w:rsidRPr="008D2A01">
        <w:rPr>
          <w:rFonts w:ascii="Arial" w:hAnsi="Arial" w:cs="Arial"/>
        </w:rPr>
        <w:t>Les activités du chantier et de la base vie produiront des déchets. Ils peuvent être de différentes natures dont les emballages des ciments, les restes de métaux d’armatures, les rejets domestiques de la base vie... La quantité de déchets produits dépendra du nombre d’employés, mais aussi des quantités de matériels et matériaux ainsi que des produits utilisés.</w:t>
      </w:r>
    </w:p>
    <w:p w14:paraId="49984EEB" w14:textId="77777777" w:rsidR="0090044A" w:rsidRPr="008D2A01" w:rsidRDefault="0090044A" w:rsidP="008D2A01">
      <w:pPr>
        <w:spacing w:line="240" w:lineRule="auto"/>
        <w:jc w:val="both"/>
        <w:rPr>
          <w:rFonts w:ascii="Arial" w:hAnsi="Arial" w:cs="Arial"/>
        </w:rPr>
      </w:pPr>
      <w:r w:rsidRPr="008D2A01">
        <w:rPr>
          <w:rFonts w:ascii="Arial" w:hAnsi="Arial" w:cs="Arial"/>
        </w:rPr>
        <w:t xml:space="preserve">Toutefois, cet impact est observable </w:t>
      </w:r>
      <w:r w:rsidR="0FF7D55D" w:rsidRPr="00742D67">
        <w:rPr>
          <w:rFonts w:ascii="Arial" w:hAnsi="Arial" w:cs="Arial"/>
        </w:rPr>
        <w:t>principa</w:t>
      </w:r>
      <w:r w:rsidRPr="00742D67">
        <w:rPr>
          <w:rFonts w:ascii="Arial" w:hAnsi="Arial" w:cs="Arial"/>
        </w:rPr>
        <w:t>lement</w:t>
      </w:r>
      <w:r w:rsidRPr="008D2A01">
        <w:rPr>
          <w:rFonts w:ascii="Arial" w:hAnsi="Arial" w:cs="Arial"/>
        </w:rPr>
        <w:t xml:space="preserve"> durant la phase de travaux. Mais nécessitera une gestion adéquate puisque ces déchets peuvent altérer le paysage et polluer l‘air, le sol, les eaux de surface et la nappe phréatique par entraînement. De plus l’odeur infecte dégagée par les déchets domestiques et les amas des déchets de chantier vont surement déranger les ouvriers et les riverains. L’importance de la production de déchets sera « mineure »</w:t>
      </w:r>
      <w:r w:rsidR="003F5356">
        <w:rPr>
          <w:rFonts w:ascii="Arial" w:hAnsi="Arial" w:cs="Arial"/>
        </w:rPr>
        <w:t xml:space="preserve"> </w:t>
      </w:r>
      <w:r w:rsidR="000A6F85">
        <w:rPr>
          <w:rFonts w:ascii="Arial" w:hAnsi="Arial" w:cs="Arial"/>
        </w:rPr>
        <w:t xml:space="preserve">et le niveau de risque est considéré comme très faible </w:t>
      </w:r>
      <w:r w:rsidR="003F5356">
        <w:rPr>
          <w:rFonts w:ascii="Arial" w:hAnsi="Arial" w:cs="Arial"/>
        </w:rPr>
        <w:t>selon le tableau suivant</w:t>
      </w:r>
      <w:r w:rsidRPr="008D2A01">
        <w:rPr>
          <w:rFonts w:ascii="Arial" w:hAnsi="Arial" w:cs="Arial"/>
        </w:rPr>
        <w:t>.</w:t>
      </w:r>
    </w:p>
    <w:p w14:paraId="7318724C" w14:textId="77777777" w:rsidR="0090044A" w:rsidRPr="002E58DC" w:rsidRDefault="0090044A" w:rsidP="002E58DC">
      <w:pPr>
        <w:pStyle w:val="Lgende"/>
        <w:spacing w:before="120"/>
        <w:jc w:val="center"/>
        <w:rPr>
          <w:sz w:val="20"/>
        </w:rPr>
      </w:pPr>
      <w:bookmarkStart w:id="946" w:name="_Toc100753928"/>
      <w:bookmarkStart w:id="947" w:name="_Toc127957833"/>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37</w:t>
      </w:r>
      <w:r w:rsidRPr="002E58DC">
        <w:rPr>
          <w:sz w:val="20"/>
        </w:rPr>
        <w:fldChar w:fldCharType="end"/>
      </w:r>
      <w:r w:rsidRPr="002E58DC">
        <w:rPr>
          <w:sz w:val="20"/>
        </w:rPr>
        <w:t>. Evaluation</w:t>
      </w:r>
      <w:r w:rsidR="00FB273B">
        <w:rPr>
          <w:sz w:val="20"/>
        </w:rPr>
        <w:t xml:space="preserve"> de</w:t>
      </w:r>
      <w:r w:rsidRPr="002E58DC">
        <w:rPr>
          <w:sz w:val="20"/>
        </w:rPr>
        <w:t xml:space="preserve"> l’impact –Production de déchets, salubrité</w:t>
      </w:r>
      <w:bookmarkEnd w:id="946"/>
      <w:bookmarkEnd w:id="947"/>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054"/>
        <w:gridCol w:w="1092"/>
        <w:gridCol w:w="911"/>
        <w:gridCol w:w="1338"/>
        <w:gridCol w:w="1285"/>
        <w:gridCol w:w="1064"/>
        <w:gridCol w:w="864"/>
        <w:tblGridChange w:id="948">
          <w:tblGrid>
            <w:gridCol w:w="1680"/>
            <w:gridCol w:w="1054"/>
            <w:gridCol w:w="1092"/>
            <w:gridCol w:w="911"/>
            <w:gridCol w:w="1338"/>
            <w:gridCol w:w="1285"/>
            <w:gridCol w:w="1064"/>
            <w:gridCol w:w="864"/>
          </w:tblGrid>
        </w:tblGridChange>
      </w:tblGrid>
      <w:tr w:rsidR="000A6F85" w:rsidRPr="007F78CE" w14:paraId="0D545A41" w14:textId="77777777" w:rsidTr="00345918">
        <w:trPr>
          <w:jc w:val="center"/>
        </w:trPr>
        <w:tc>
          <w:tcPr>
            <w:tcW w:w="1680" w:type="dxa"/>
            <w:shd w:val="clear" w:color="auto" w:fill="BFBFBF"/>
          </w:tcPr>
          <w:p w14:paraId="0BE5C127" w14:textId="77777777" w:rsidR="000A6F85" w:rsidRPr="007F78CE" w:rsidRDefault="000A6F85" w:rsidP="007F78CE">
            <w:pPr>
              <w:spacing w:after="0" w:line="240" w:lineRule="auto"/>
              <w:rPr>
                <w:rFonts w:ascii="Arial Narrow" w:hAnsi="Arial Narrow"/>
                <w:b/>
                <w:bCs/>
                <w:sz w:val="20"/>
                <w:szCs w:val="20"/>
              </w:rPr>
            </w:pPr>
            <w:r>
              <w:rPr>
                <w:rFonts w:ascii="Arial Narrow" w:hAnsi="Arial Narrow"/>
                <w:b/>
                <w:bCs/>
                <w:sz w:val="20"/>
                <w:szCs w:val="20"/>
              </w:rPr>
              <w:t>Sous Projet</w:t>
            </w:r>
          </w:p>
        </w:tc>
        <w:tc>
          <w:tcPr>
            <w:tcW w:w="1054" w:type="dxa"/>
            <w:shd w:val="clear" w:color="auto" w:fill="BFBFBF"/>
          </w:tcPr>
          <w:p w14:paraId="082FAC3E" w14:textId="77777777" w:rsidR="000A6F85" w:rsidRPr="007F78CE" w:rsidRDefault="000A6F85"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092" w:type="dxa"/>
            <w:shd w:val="clear" w:color="auto" w:fill="BFBFBF"/>
          </w:tcPr>
          <w:p w14:paraId="27EF8D68" w14:textId="77777777" w:rsidR="000A6F85" w:rsidRPr="007F78CE" w:rsidRDefault="000A6F85"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911" w:type="dxa"/>
            <w:shd w:val="clear" w:color="auto" w:fill="BFBFBF"/>
          </w:tcPr>
          <w:p w14:paraId="2C10A22E" w14:textId="77777777" w:rsidR="000A6F85" w:rsidRPr="007F78CE" w:rsidRDefault="000A6F85"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338" w:type="dxa"/>
            <w:shd w:val="clear" w:color="auto" w:fill="BFBFBF"/>
          </w:tcPr>
          <w:p w14:paraId="152A788F" w14:textId="77777777" w:rsidR="000A6F85" w:rsidRPr="007F78CE" w:rsidRDefault="000A6F85"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285" w:type="dxa"/>
            <w:shd w:val="clear" w:color="auto" w:fill="BFBFBF"/>
          </w:tcPr>
          <w:p w14:paraId="195FC21F" w14:textId="77777777" w:rsidR="000A6F85" w:rsidRPr="007F78CE" w:rsidRDefault="000A6F85"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auto"/>
          </w:tcPr>
          <w:p w14:paraId="09A6CD45" w14:textId="77777777" w:rsidR="000A6F85" w:rsidRPr="007F78CE" w:rsidRDefault="000A6F85"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864" w:type="dxa"/>
            <w:shd w:val="clear" w:color="auto" w:fill="auto"/>
          </w:tcPr>
          <w:p w14:paraId="5F1D97C5" w14:textId="77777777" w:rsidR="000A6F85" w:rsidRPr="007F78CE" w:rsidRDefault="000A6F85" w:rsidP="007F78CE">
            <w:pPr>
              <w:spacing w:after="0" w:line="240" w:lineRule="auto"/>
              <w:rPr>
                <w:rFonts w:ascii="Arial Narrow" w:hAnsi="Arial Narrow"/>
                <w:b/>
                <w:bCs/>
                <w:sz w:val="20"/>
                <w:szCs w:val="20"/>
              </w:rPr>
            </w:pPr>
            <w:r>
              <w:rPr>
                <w:rFonts w:ascii="Arial Narrow" w:hAnsi="Arial Narrow"/>
                <w:b/>
                <w:bCs/>
                <w:sz w:val="20"/>
                <w:szCs w:val="20"/>
              </w:rPr>
              <w:t>Risque</w:t>
            </w:r>
          </w:p>
        </w:tc>
      </w:tr>
      <w:tr w:rsidR="00345918" w:rsidRPr="007F78CE" w14:paraId="5A99166F" w14:textId="77777777" w:rsidTr="00FB04F6">
        <w:trPr>
          <w:jc w:val="center"/>
        </w:trPr>
        <w:tc>
          <w:tcPr>
            <w:tcW w:w="1680" w:type="dxa"/>
          </w:tcPr>
          <w:p w14:paraId="7817227D" w14:textId="77777777" w:rsidR="000A6F85" w:rsidRPr="007F78CE" w:rsidRDefault="000A6F85" w:rsidP="00B434A6">
            <w:pPr>
              <w:spacing w:after="0" w:line="240" w:lineRule="auto"/>
              <w:contextualSpacing/>
              <w:rPr>
                <w:rFonts w:ascii="Arial Narrow" w:hAnsi="Arial Narrow" w:cs="Arial"/>
                <w:sz w:val="20"/>
                <w:szCs w:val="20"/>
              </w:rPr>
            </w:pPr>
            <w:r>
              <w:rPr>
                <w:rFonts w:ascii="Arial Narrow" w:hAnsi="Arial Narrow" w:cs="Arial"/>
                <w:sz w:val="20"/>
                <w:szCs w:val="20"/>
              </w:rPr>
              <w:t>Infrastructure numérique</w:t>
            </w:r>
          </w:p>
        </w:tc>
        <w:tc>
          <w:tcPr>
            <w:tcW w:w="1054" w:type="dxa"/>
            <w:shd w:val="clear" w:color="auto" w:fill="auto"/>
          </w:tcPr>
          <w:p w14:paraId="2A92FC10" w14:textId="77777777" w:rsidR="000A6F85" w:rsidRPr="007F78CE" w:rsidRDefault="000A6F85"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63DCC5F5"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92" w:type="dxa"/>
            <w:shd w:val="clear" w:color="auto" w:fill="auto"/>
          </w:tcPr>
          <w:p w14:paraId="27A3212C"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383C4E4E"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11" w:type="dxa"/>
            <w:shd w:val="clear" w:color="auto" w:fill="auto"/>
          </w:tcPr>
          <w:p w14:paraId="7C94DE73"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7626D2FE"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38" w:type="dxa"/>
            <w:shd w:val="clear" w:color="auto" w:fill="auto"/>
          </w:tcPr>
          <w:p w14:paraId="4A7945CC"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29776FC3"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85" w:type="dxa"/>
            <w:shd w:val="clear" w:color="auto" w:fill="00B050"/>
          </w:tcPr>
          <w:p w14:paraId="66075EB5"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43C941E9"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(4)</w:t>
            </w:r>
          </w:p>
        </w:tc>
        <w:tc>
          <w:tcPr>
            <w:tcW w:w="1064" w:type="dxa"/>
            <w:shd w:val="clear" w:color="auto" w:fill="auto"/>
          </w:tcPr>
          <w:p w14:paraId="1AF260A9" w14:textId="77777777" w:rsidR="000A6F85" w:rsidRPr="007F78CE" w:rsidRDefault="000A6F85" w:rsidP="007F78CE">
            <w:pPr>
              <w:spacing w:after="0" w:line="240" w:lineRule="auto"/>
              <w:contextualSpacing/>
              <w:jc w:val="center"/>
              <w:rPr>
                <w:rFonts w:ascii="Arial Narrow" w:hAnsi="Arial Narrow" w:cs="Arial"/>
                <w:sz w:val="20"/>
                <w:szCs w:val="20"/>
              </w:rPr>
            </w:pPr>
            <w:r w:rsidRPr="0081026D">
              <w:rPr>
                <w:rFonts w:ascii="Arial Narrow" w:hAnsi="Arial Narrow" w:cs="Arial"/>
                <w:sz w:val="20"/>
                <w:szCs w:val="20"/>
              </w:rPr>
              <w:t xml:space="preserve">Faible </w:t>
            </w:r>
          </w:p>
        </w:tc>
        <w:tc>
          <w:tcPr>
            <w:tcW w:w="864" w:type="dxa"/>
            <w:shd w:val="clear" w:color="auto" w:fill="538135"/>
          </w:tcPr>
          <w:p w14:paraId="5F730524" w14:textId="77777777" w:rsidR="000A6F85" w:rsidRPr="007F78CE" w:rsidRDefault="000A6F85"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Très faible </w:t>
            </w:r>
          </w:p>
        </w:tc>
      </w:tr>
      <w:tr w:rsidR="00345918" w:rsidRPr="007F78CE" w14:paraId="4E13160D" w14:textId="77777777" w:rsidTr="00FB04F6">
        <w:trPr>
          <w:jc w:val="center"/>
        </w:trPr>
        <w:tc>
          <w:tcPr>
            <w:tcW w:w="1680" w:type="dxa"/>
          </w:tcPr>
          <w:p w14:paraId="3DFE90CB" w14:textId="77777777" w:rsidR="000A6F85" w:rsidRPr="007F78CE" w:rsidRDefault="000A6F85" w:rsidP="00B434A6">
            <w:pPr>
              <w:spacing w:after="0" w:line="240" w:lineRule="auto"/>
              <w:contextualSpacing/>
              <w:rPr>
                <w:rFonts w:ascii="Arial Narrow" w:hAnsi="Arial Narrow" w:cs="Arial"/>
                <w:sz w:val="20"/>
                <w:szCs w:val="20"/>
              </w:rPr>
            </w:pPr>
            <w:r>
              <w:rPr>
                <w:rFonts w:ascii="Arial Narrow" w:hAnsi="Arial Narrow" w:cs="Arial"/>
                <w:sz w:val="20"/>
                <w:szCs w:val="20"/>
              </w:rPr>
              <w:t>Centrale électrique solaire</w:t>
            </w:r>
          </w:p>
        </w:tc>
        <w:tc>
          <w:tcPr>
            <w:tcW w:w="1054" w:type="dxa"/>
            <w:shd w:val="clear" w:color="auto" w:fill="auto"/>
          </w:tcPr>
          <w:p w14:paraId="6A0587DF" w14:textId="77777777" w:rsidR="000A6F85" w:rsidRPr="007F78CE" w:rsidRDefault="000A6F85" w:rsidP="00F00135">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713A64D4"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92" w:type="dxa"/>
            <w:shd w:val="clear" w:color="auto" w:fill="auto"/>
          </w:tcPr>
          <w:p w14:paraId="683B0BA7" w14:textId="77777777" w:rsidR="000A6F85" w:rsidRPr="007F78CE" w:rsidRDefault="000A6F85"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3C3B0293"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11" w:type="dxa"/>
            <w:shd w:val="clear" w:color="auto" w:fill="auto"/>
          </w:tcPr>
          <w:p w14:paraId="3EDE9360" w14:textId="77777777" w:rsidR="000A6F85" w:rsidRPr="007F78CE" w:rsidRDefault="000A6F85"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7BC898C5"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38" w:type="dxa"/>
            <w:shd w:val="clear" w:color="auto" w:fill="auto"/>
          </w:tcPr>
          <w:p w14:paraId="5999C808" w14:textId="77777777" w:rsidR="000A6F85" w:rsidRPr="007F78CE" w:rsidRDefault="000A6F85"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7B9BCE84"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85" w:type="dxa"/>
            <w:shd w:val="clear" w:color="auto" w:fill="00B050"/>
          </w:tcPr>
          <w:p w14:paraId="234EA893" w14:textId="77777777" w:rsidR="000A6F85" w:rsidRPr="007F78CE" w:rsidRDefault="000A6F85"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1BA5C461"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(4)</w:t>
            </w:r>
          </w:p>
        </w:tc>
        <w:tc>
          <w:tcPr>
            <w:tcW w:w="1064" w:type="dxa"/>
            <w:shd w:val="clear" w:color="auto" w:fill="auto"/>
          </w:tcPr>
          <w:p w14:paraId="416B80D3" w14:textId="77777777" w:rsidR="000A6F85" w:rsidRPr="007F78CE" w:rsidRDefault="000A6F85" w:rsidP="00F00135">
            <w:pPr>
              <w:spacing w:after="0" w:line="240" w:lineRule="auto"/>
              <w:contextualSpacing/>
              <w:jc w:val="center"/>
              <w:rPr>
                <w:rFonts w:ascii="Arial Narrow" w:hAnsi="Arial Narrow" w:cs="Arial"/>
                <w:sz w:val="20"/>
                <w:szCs w:val="20"/>
              </w:rPr>
            </w:pPr>
            <w:r w:rsidRPr="0081026D">
              <w:rPr>
                <w:rFonts w:ascii="Arial Narrow" w:hAnsi="Arial Narrow" w:cs="Arial"/>
                <w:sz w:val="20"/>
                <w:szCs w:val="20"/>
              </w:rPr>
              <w:t xml:space="preserve">Faible </w:t>
            </w:r>
          </w:p>
        </w:tc>
        <w:tc>
          <w:tcPr>
            <w:tcW w:w="864" w:type="dxa"/>
            <w:shd w:val="clear" w:color="auto" w:fill="538135"/>
          </w:tcPr>
          <w:p w14:paraId="5439F259" w14:textId="77777777" w:rsidR="000A6F85" w:rsidRPr="007F78CE" w:rsidRDefault="000A6F85" w:rsidP="00F00135">
            <w:pPr>
              <w:spacing w:after="0" w:line="240" w:lineRule="auto"/>
              <w:contextualSpacing/>
              <w:jc w:val="center"/>
              <w:rPr>
                <w:rFonts w:ascii="Arial Narrow" w:hAnsi="Arial Narrow" w:cs="Arial"/>
                <w:sz w:val="20"/>
                <w:szCs w:val="20"/>
              </w:rPr>
            </w:pPr>
            <w:r w:rsidRPr="00880F2D">
              <w:rPr>
                <w:rFonts w:ascii="Arial Narrow" w:hAnsi="Arial Narrow" w:cs="Arial"/>
                <w:sz w:val="20"/>
                <w:szCs w:val="20"/>
              </w:rPr>
              <w:t xml:space="preserve">Très faible </w:t>
            </w:r>
          </w:p>
        </w:tc>
      </w:tr>
      <w:tr w:rsidR="00345918" w:rsidRPr="007F78CE" w14:paraId="41ACADC1" w14:textId="77777777" w:rsidTr="00FB04F6">
        <w:trPr>
          <w:jc w:val="center"/>
        </w:trPr>
        <w:tc>
          <w:tcPr>
            <w:tcW w:w="1680" w:type="dxa"/>
          </w:tcPr>
          <w:p w14:paraId="4D41C2C5" w14:textId="77777777" w:rsidR="000A6F85" w:rsidRPr="007F78CE" w:rsidRDefault="000A6F85" w:rsidP="00B434A6">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54" w:type="dxa"/>
            <w:shd w:val="clear" w:color="auto" w:fill="auto"/>
          </w:tcPr>
          <w:p w14:paraId="6ED9D56F" w14:textId="77777777" w:rsidR="000A6F85" w:rsidRPr="007F78CE" w:rsidRDefault="000A6F85" w:rsidP="00F00135">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35DDE34F"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92" w:type="dxa"/>
            <w:shd w:val="clear" w:color="auto" w:fill="auto"/>
          </w:tcPr>
          <w:p w14:paraId="1C661B67" w14:textId="77777777" w:rsidR="000A6F85" w:rsidRPr="007F78CE" w:rsidRDefault="000A6F85"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1435FFC2"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11" w:type="dxa"/>
            <w:shd w:val="clear" w:color="auto" w:fill="auto"/>
          </w:tcPr>
          <w:p w14:paraId="76A177EF" w14:textId="77777777" w:rsidR="000A6F85" w:rsidRPr="007F78CE" w:rsidRDefault="000A6F85"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2B831073"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38" w:type="dxa"/>
            <w:shd w:val="clear" w:color="auto" w:fill="auto"/>
          </w:tcPr>
          <w:p w14:paraId="5E1AD2BC" w14:textId="77777777" w:rsidR="000A6F85" w:rsidRPr="007F78CE" w:rsidRDefault="000A6F85"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461350A9"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85" w:type="dxa"/>
            <w:shd w:val="clear" w:color="auto" w:fill="00B050"/>
          </w:tcPr>
          <w:p w14:paraId="6E0A3F7B" w14:textId="77777777" w:rsidR="000A6F85" w:rsidRPr="007F78CE" w:rsidRDefault="000A6F85"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1A323497"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(4)</w:t>
            </w:r>
          </w:p>
        </w:tc>
        <w:tc>
          <w:tcPr>
            <w:tcW w:w="1064" w:type="dxa"/>
            <w:shd w:val="clear" w:color="auto" w:fill="auto"/>
          </w:tcPr>
          <w:p w14:paraId="131855B5" w14:textId="77777777" w:rsidR="000A6F85" w:rsidRPr="007F78CE" w:rsidRDefault="000A6F85" w:rsidP="00F00135">
            <w:pPr>
              <w:spacing w:after="0" w:line="240" w:lineRule="auto"/>
              <w:contextualSpacing/>
              <w:jc w:val="center"/>
              <w:rPr>
                <w:rFonts w:ascii="Arial Narrow" w:hAnsi="Arial Narrow" w:cs="Arial"/>
                <w:sz w:val="20"/>
                <w:szCs w:val="20"/>
              </w:rPr>
            </w:pPr>
            <w:r w:rsidRPr="0081026D">
              <w:rPr>
                <w:rFonts w:ascii="Arial Narrow" w:hAnsi="Arial Narrow" w:cs="Arial"/>
                <w:sz w:val="20"/>
                <w:szCs w:val="20"/>
              </w:rPr>
              <w:t xml:space="preserve">Faible </w:t>
            </w:r>
          </w:p>
        </w:tc>
        <w:tc>
          <w:tcPr>
            <w:tcW w:w="864" w:type="dxa"/>
            <w:shd w:val="clear" w:color="auto" w:fill="538135"/>
          </w:tcPr>
          <w:p w14:paraId="279CB3DB" w14:textId="77777777" w:rsidR="000A6F85" w:rsidRPr="007F78CE" w:rsidRDefault="000A6F85" w:rsidP="00F00135">
            <w:pPr>
              <w:spacing w:after="0" w:line="240" w:lineRule="auto"/>
              <w:contextualSpacing/>
              <w:jc w:val="center"/>
              <w:rPr>
                <w:rFonts w:ascii="Arial Narrow" w:hAnsi="Arial Narrow" w:cs="Arial"/>
                <w:sz w:val="20"/>
                <w:szCs w:val="20"/>
              </w:rPr>
            </w:pPr>
            <w:r w:rsidRPr="00880F2D">
              <w:rPr>
                <w:rFonts w:ascii="Arial Narrow" w:hAnsi="Arial Narrow" w:cs="Arial"/>
                <w:sz w:val="20"/>
                <w:szCs w:val="20"/>
              </w:rPr>
              <w:t xml:space="preserve">Très faible </w:t>
            </w:r>
          </w:p>
        </w:tc>
      </w:tr>
      <w:tr w:rsidR="00345918" w:rsidRPr="007F78CE" w14:paraId="69FCC6C3" w14:textId="77777777" w:rsidTr="00FB04F6">
        <w:trPr>
          <w:jc w:val="center"/>
        </w:trPr>
        <w:tc>
          <w:tcPr>
            <w:tcW w:w="1680" w:type="dxa"/>
          </w:tcPr>
          <w:p w14:paraId="18928CBF" w14:textId="77777777" w:rsidR="000A6F85" w:rsidRDefault="000A6F85" w:rsidP="00F00135">
            <w:pPr>
              <w:spacing w:after="0" w:line="240" w:lineRule="auto"/>
              <w:contextualSpacing/>
              <w:rPr>
                <w:rFonts w:ascii="Arial Narrow" w:hAnsi="Arial Narrow" w:cs="Arial"/>
                <w:sz w:val="20"/>
                <w:szCs w:val="20"/>
              </w:rPr>
            </w:pPr>
            <w:r>
              <w:rPr>
                <w:rFonts w:ascii="Arial Narrow" w:hAnsi="Arial Narrow" w:cs="Arial"/>
                <w:sz w:val="20"/>
                <w:szCs w:val="20"/>
              </w:rPr>
              <w:t>Réseau électrique</w:t>
            </w:r>
          </w:p>
        </w:tc>
        <w:tc>
          <w:tcPr>
            <w:tcW w:w="1054" w:type="dxa"/>
            <w:shd w:val="clear" w:color="auto" w:fill="auto"/>
          </w:tcPr>
          <w:p w14:paraId="492E47BD" w14:textId="77777777" w:rsidR="000A6F85" w:rsidRPr="007F78CE" w:rsidRDefault="000A6F85" w:rsidP="00296692">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0F82FB06" w14:textId="77777777" w:rsidR="000A6F85" w:rsidRPr="007F78CE" w:rsidRDefault="000A6F85"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92" w:type="dxa"/>
            <w:shd w:val="clear" w:color="auto" w:fill="auto"/>
          </w:tcPr>
          <w:p w14:paraId="2EE4D518" w14:textId="77777777" w:rsidR="000A6F85" w:rsidRPr="007F78CE" w:rsidRDefault="000A6F85"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1BCFD13D" w14:textId="77777777" w:rsidR="000A6F85" w:rsidRPr="007F78CE" w:rsidRDefault="000A6F85"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11" w:type="dxa"/>
            <w:shd w:val="clear" w:color="auto" w:fill="auto"/>
          </w:tcPr>
          <w:p w14:paraId="0E9ACAA2" w14:textId="77777777" w:rsidR="000A6F85" w:rsidRPr="007F78CE" w:rsidRDefault="000A6F85"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635C688A" w14:textId="77777777" w:rsidR="000A6F85" w:rsidRPr="007F78CE" w:rsidRDefault="000A6F85"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38" w:type="dxa"/>
            <w:shd w:val="clear" w:color="auto" w:fill="auto"/>
          </w:tcPr>
          <w:p w14:paraId="6B235F1B" w14:textId="77777777" w:rsidR="000A6F85" w:rsidRPr="007F78CE" w:rsidRDefault="000A6F85"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47047B01" w14:textId="77777777" w:rsidR="000A6F85" w:rsidRPr="007F78CE" w:rsidRDefault="000A6F85"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85" w:type="dxa"/>
            <w:shd w:val="clear" w:color="auto" w:fill="00B050"/>
          </w:tcPr>
          <w:p w14:paraId="11EFBA4B" w14:textId="77777777" w:rsidR="000A6F85" w:rsidRPr="007F78CE" w:rsidRDefault="000A6F85"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34CA9C6C" w14:textId="77777777" w:rsidR="000A6F85" w:rsidRPr="007F78CE" w:rsidRDefault="000A6F85"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(4)</w:t>
            </w:r>
          </w:p>
        </w:tc>
        <w:tc>
          <w:tcPr>
            <w:tcW w:w="1064" w:type="dxa"/>
            <w:shd w:val="clear" w:color="auto" w:fill="auto"/>
          </w:tcPr>
          <w:p w14:paraId="5BDFB885" w14:textId="77777777" w:rsidR="000A6F85" w:rsidRPr="007F78CE" w:rsidRDefault="000A6F85" w:rsidP="00296692">
            <w:pPr>
              <w:spacing w:after="0" w:line="240" w:lineRule="auto"/>
              <w:contextualSpacing/>
              <w:jc w:val="center"/>
              <w:rPr>
                <w:rFonts w:ascii="Arial Narrow" w:hAnsi="Arial Narrow" w:cs="Arial"/>
                <w:sz w:val="20"/>
                <w:szCs w:val="20"/>
              </w:rPr>
            </w:pPr>
            <w:r w:rsidRPr="0081026D">
              <w:rPr>
                <w:rFonts w:ascii="Arial Narrow" w:hAnsi="Arial Narrow" w:cs="Arial"/>
                <w:sz w:val="20"/>
                <w:szCs w:val="20"/>
              </w:rPr>
              <w:t xml:space="preserve">Faible </w:t>
            </w:r>
          </w:p>
        </w:tc>
        <w:tc>
          <w:tcPr>
            <w:tcW w:w="864" w:type="dxa"/>
            <w:shd w:val="clear" w:color="auto" w:fill="538135"/>
          </w:tcPr>
          <w:p w14:paraId="30B6A5A0" w14:textId="77777777" w:rsidR="000A6F85" w:rsidRPr="007F78CE" w:rsidRDefault="000A6F85" w:rsidP="00296692">
            <w:pPr>
              <w:spacing w:after="0" w:line="240" w:lineRule="auto"/>
              <w:contextualSpacing/>
              <w:jc w:val="center"/>
              <w:rPr>
                <w:rFonts w:ascii="Arial Narrow" w:hAnsi="Arial Narrow" w:cs="Arial"/>
                <w:sz w:val="20"/>
                <w:szCs w:val="20"/>
              </w:rPr>
            </w:pPr>
            <w:r w:rsidRPr="00880F2D">
              <w:rPr>
                <w:rFonts w:ascii="Arial Narrow" w:hAnsi="Arial Narrow" w:cs="Arial"/>
                <w:sz w:val="20"/>
                <w:szCs w:val="20"/>
              </w:rPr>
              <w:t xml:space="preserve">Très faible </w:t>
            </w:r>
          </w:p>
        </w:tc>
      </w:tr>
      <w:tr w:rsidR="001716F8" w:rsidRPr="007F78CE" w14:paraId="7885CB48" w14:textId="77777777" w:rsidTr="00FB04F6">
        <w:trPr>
          <w:jc w:val="center"/>
        </w:trPr>
        <w:tc>
          <w:tcPr>
            <w:tcW w:w="1680" w:type="dxa"/>
          </w:tcPr>
          <w:p w14:paraId="2162064D" w14:textId="77777777" w:rsidR="001716F8" w:rsidRDefault="001716F8" w:rsidP="00F00135">
            <w:pPr>
              <w:spacing w:after="0" w:line="240" w:lineRule="auto"/>
              <w:contextualSpacing/>
              <w:rPr>
                <w:rFonts w:ascii="Arial Narrow" w:hAnsi="Arial Narrow" w:cs="Arial"/>
                <w:sz w:val="20"/>
                <w:szCs w:val="20"/>
              </w:rPr>
            </w:pPr>
            <w:r>
              <w:rPr>
                <w:rFonts w:ascii="Arial Narrow" w:hAnsi="Arial Narrow" w:cs="Arial"/>
                <w:sz w:val="20"/>
                <w:szCs w:val="20"/>
              </w:rPr>
              <w:t>Impact cumulé</w:t>
            </w:r>
          </w:p>
        </w:tc>
        <w:tc>
          <w:tcPr>
            <w:tcW w:w="1054" w:type="dxa"/>
            <w:shd w:val="clear" w:color="auto" w:fill="auto"/>
          </w:tcPr>
          <w:p w14:paraId="48987B2F" w14:textId="77777777" w:rsidR="001716F8" w:rsidRPr="007F78CE" w:rsidRDefault="001716F8" w:rsidP="00D70FB3">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1CBA914B"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92" w:type="dxa"/>
            <w:shd w:val="clear" w:color="auto" w:fill="auto"/>
          </w:tcPr>
          <w:p w14:paraId="3C64AE35"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7D7BF76C"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11" w:type="dxa"/>
            <w:shd w:val="clear" w:color="auto" w:fill="auto"/>
          </w:tcPr>
          <w:p w14:paraId="17CFF814"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206CC4E6"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38" w:type="dxa"/>
            <w:shd w:val="clear" w:color="auto" w:fill="auto"/>
          </w:tcPr>
          <w:p w14:paraId="07CA76C9"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7D3BBE94"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85" w:type="dxa"/>
            <w:shd w:val="clear" w:color="auto" w:fill="00B050"/>
          </w:tcPr>
          <w:p w14:paraId="780B317E"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6076A72E"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(4)</w:t>
            </w:r>
          </w:p>
        </w:tc>
        <w:tc>
          <w:tcPr>
            <w:tcW w:w="1064" w:type="dxa"/>
            <w:shd w:val="clear" w:color="auto" w:fill="auto"/>
          </w:tcPr>
          <w:p w14:paraId="42F88C04" w14:textId="77777777" w:rsidR="001716F8" w:rsidRPr="0081026D" w:rsidRDefault="001716F8" w:rsidP="00296692">
            <w:pPr>
              <w:spacing w:after="0" w:line="240" w:lineRule="auto"/>
              <w:contextualSpacing/>
              <w:jc w:val="center"/>
              <w:rPr>
                <w:rFonts w:ascii="Arial Narrow" w:hAnsi="Arial Narrow" w:cs="Arial"/>
                <w:sz w:val="20"/>
                <w:szCs w:val="20"/>
              </w:rPr>
            </w:pPr>
            <w:r w:rsidRPr="0081026D">
              <w:rPr>
                <w:rFonts w:ascii="Arial Narrow" w:hAnsi="Arial Narrow" w:cs="Arial"/>
                <w:sz w:val="20"/>
                <w:szCs w:val="20"/>
              </w:rPr>
              <w:t xml:space="preserve">Faible </w:t>
            </w:r>
          </w:p>
        </w:tc>
        <w:tc>
          <w:tcPr>
            <w:tcW w:w="864" w:type="dxa"/>
            <w:shd w:val="clear" w:color="auto" w:fill="538135"/>
          </w:tcPr>
          <w:p w14:paraId="54205C67" w14:textId="77777777" w:rsidR="001716F8" w:rsidRPr="00880F2D" w:rsidRDefault="001716F8" w:rsidP="00296692">
            <w:pPr>
              <w:spacing w:after="0" w:line="240" w:lineRule="auto"/>
              <w:contextualSpacing/>
              <w:jc w:val="center"/>
              <w:rPr>
                <w:rFonts w:ascii="Arial Narrow" w:hAnsi="Arial Narrow" w:cs="Arial"/>
                <w:sz w:val="20"/>
                <w:szCs w:val="20"/>
              </w:rPr>
            </w:pPr>
            <w:r w:rsidRPr="00880F2D">
              <w:rPr>
                <w:rFonts w:ascii="Arial Narrow" w:hAnsi="Arial Narrow" w:cs="Arial"/>
                <w:sz w:val="20"/>
                <w:szCs w:val="20"/>
              </w:rPr>
              <w:t xml:space="preserve">Très faible </w:t>
            </w:r>
          </w:p>
        </w:tc>
      </w:tr>
    </w:tbl>
    <w:p w14:paraId="3FD490A0" w14:textId="77777777" w:rsidR="0090044A" w:rsidRPr="005765C2" w:rsidRDefault="0090044A" w:rsidP="00687DD2">
      <w:pPr>
        <w:pStyle w:val="Normal12"/>
        <w:numPr>
          <w:ilvl w:val="0"/>
          <w:numId w:val="85"/>
        </w:numPr>
        <w:spacing w:before="100" w:beforeAutospacing="1" w:after="100" w:afterAutospacing="1"/>
        <w:ind w:left="1077" w:hanging="357"/>
        <w:contextualSpacing/>
        <w:rPr>
          <w:i/>
          <w:iCs/>
          <w:lang w:val="fr-FR"/>
        </w:rPr>
      </w:pPr>
      <w:r w:rsidRPr="005765C2">
        <w:rPr>
          <w:i/>
          <w:iCs/>
          <w:lang w:val="fr-FR"/>
        </w:rPr>
        <w:t>Nuisances sonores causées par le bruit généré par les travaux</w:t>
      </w:r>
    </w:p>
    <w:p w14:paraId="58BD338C" w14:textId="77777777" w:rsidR="00353921" w:rsidRDefault="0090044A" w:rsidP="008D2A01">
      <w:pPr>
        <w:spacing w:line="240" w:lineRule="auto"/>
        <w:jc w:val="both"/>
        <w:rPr>
          <w:rFonts w:ascii="Arial" w:hAnsi="Arial" w:cs="Arial"/>
        </w:rPr>
      </w:pPr>
      <w:r w:rsidRPr="008D2A01">
        <w:rPr>
          <w:rFonts w:ascii="Arial" w:hAnsi="Arial" w:cs="Arial"/>
        </w:rPr>
        <w:t xml:space="preserve">Durant la phase préparatoire et de construction, les nuisances sonores pourront provenir des bruits de moteurs des engins, des véhicules et des camions de chantier. Cela se percevra pendant toute la durée de la phase de construction et du repli de chantier. Néanmoins, elles seront localisées autours des chantiers. </w:t>
      </w:r>
      <w:r w:rsidR="00F00135">
        <w:rPr>
          <w:rFonts w:ascii="Arial" w:hAnsi="Arial" w:cs="Arial"/>
        </w:rPr>
        <w:t xml:space="preserve">Ainsi, l’intensité des bruits sera élevée pour les sites près des zones d’habitation. En outre, la nuisance sonore ne se produit que durant la phase préparatoire et de construction. </w:t>
      </w:r>
      <w:r w:rsidR="003F5356">
        <w:rPr>
          <w:rFonts w:ascii="Arial" w:hAnsi="Arial" w:cs="Arial"/>
        </w:rPr>
        <w:t>Cependant</w:t>
      </w:r>
      <w:r w:rsidR="00F00135">
        <w:rPr>
          <w:rFonts w:ascii="Arial" w:hAnsi="Arial" w:cs="Arial"/>
        </w:rPr>
        <w:t xml:space="preserve">, les bruits </w:t>
      </w:r>
      <w:r w:rsidR="002B7DC1">
        <w:rPr>
          <w:rFonts w:ascii="Arial" w:hAnsi="Arial" w:cs="Arial"/>
        </w:rPr>
        <w:t xml:space="preserve">de chantier </w:t>
      </w:r>
      <w:r w:rsidR="00F00135">
        <w:rPr>
          <w:rFonts w:ascii="Arial" w:hAnsi="Arial" w:cs="Arial"/>
        </w:rPr>
        <w:t xml:space="preserve">peuvent être </w:t>
      </w:r>
      <w:r w:rsidR="003F5356">
        <w:rPr>
          <w:rFonts w:ascii="Arial" w:hAnsi="Arial" w:cs="Arial"/>
        </w:rPr>
        <w:t>entendu</w:t>
      </w:r>
      <w:r w:rsidR="002B7DC1">
        <w:rPr>
          <w:rFonts w:ascii="Arial" w:hAnsi="Arial" w:cs="Arial"/>
        </w:rPr>
        <w:t xml:space="preserve"> même en dehors du site. Ainsi, </w:t>
      </w:r>
      <w:r w:rsidRPr="008D2A01">
        <w:rPr>
          <w:rFonts w:ascii="Arial" w:hAnsi="Arial" w:cs="Arial"/>
        </w:rPr>
        <w:t>Cet impact peut être évalué comme d’importance « moyenne »</w:t>
      </w:r>
      <w:r w:rsidR="002B7DC1">
        <w:rPr>
          <w:rFonts w:ascii="Arial" w:hAnsi="Arial" w:cs="Arial"/>
        </w:rPr>
        <w:t xml:space="preserve"> pour l</w:t>
      </w:r>
      <w:r w:rsidR="00296692">
        <w:rPr>
          <w:rFonts w:ascii="Arial" w:hAnsi="Arial" w:cs="Arial"/>
        </w:rPr>
        <w:t>es infrastructures numérique</w:t>
      </w:r>
      <w:r w:rsidR="00283C4B">
        <w:rPr>
          <w:rFonts w:ascii="Arial" w:hAnsi="Arial" w:cs="Arial"/>
        </w:rPr>
        <w:t>s</w:t>
      </w:r>
      <w:r w:rsidR="00296692">
        <w:rPr>
          <w:rFonts w:ascii="Arial" w:hAnsi="Arial" w:cs="Arial"/>
        </w:rPr>
        <w:t xml:space="preserve">, </w:t>
      </w:r>
      <w:r w:rsidR="002B7DC1">
        <w:rPr>
          <w:rFonts w:ascii="Arial" w:hAnsi="Arial" w:cs="Arial"/>
        </w:rPr>
        <w:t>la centrale solaire</w:t>
      </w:r>
      <w:r w:rsidR="00296692">
        <w:rPr>
          <w:rFonts w:ascii="Arial" w:hAnsi="Arial" w:cs="Arial"/>
        </w:rPr>
        <w:t xml:space="preserve"> et le réseau électrique</w:t>
      </w:r>
      <w:r w:rsidRPr="008D2A01">
        <w:rPr>
          <w:rFonts w:ascii="Arial" w:hAnsi="Arial" w:cs="Arial"/>
        </w:rPr>
        <w:t>.</w:t>
      </w:r>
      <w:r w:rsidR="002B7DC1">
        <w:rPr>
          <w:rFonts w:ascii="Arial" w:hAnsi="Arial" w:cs="Arial"/>
        </w:rPr>
        <w:t xml:space="preserve"> Alors que pour le barrage son importance est évaluée comme « Mineure »</w:t>
      </w:r>
      <w:r w:rsidR="000A6F85">
        <w:rPr>
          <w:rFonts w:ascii="Arial" w:hAnsi="Arial" w:cs="Arial"/>
        </w:rPr>
        <w:t xml:space="preserve">. </w:t>
      </w:r>
      <w:r w:rsidR="00DE4358">
        <w:rPr>
          <w:rFonts w:ascii="Arial" w:hAnsi="Arial" w:cs="Arial"/>
        </w:rPr>
        <w:t>En</w:t>
      </w:r>
      <w:r w:rsidR="000A6F85">
        <w:rPr>
          <w:rFonts w:ascii="Arial" w:hAnsi="Arial" w:cs="Arial"/>
        </w:rPr>
        <w:t xml:space="preserve"> outre, le niv</w:t>
      </w:r>
      <w:r w:rsidR="00DE4358">
        <w:rPr>
          <w:rFonts w:ascii="Arial" w:hAnsi="Arial" w:cs="Arial"/>
        </w:rPr>
        <w:t>eau de risque varie suivant les sous projets, il est considéré comme très faible pour le barrage électrique et faible pour les autres sous projets</w:t>
      </w:r>
      <w:r w:rsidR="000A6F85">
        <w:rPr>
          <w:rFonts w:ascii="Arial" w:hAnsi="Arial" w:cs="Arial"/>
        </w:rPr>
        <w:t xml:space="preserve"> </w:t>
      </w:r>
      <w:r w:rsidR="003F5356">
        <w:rPr>
          <w:rFonts w:ascii="Arial" w:hAnsi="Arial" w:cs="Arial"/>
        </w:rPr>
        <w:t xml:space="preserve"> selon le tableau suivant.</w:t>
      </w:r>
    </w:p>
    <w:p w14:paraId="6D6F7180" w14:textId="77777777" w:rsidR="0090044A" w:rsidRPr="008D2A01" w:rsidRDefault="00353921" w:rsidP="008D2A01">
      <w:pPr>
        <w:spacing w:line="240" w:lineRule="auto"/>
        <w:jc w:val="both"/>
        <w:rPr>
          <w:rFonts w:ascii="Arial" w:hAnsi="Arial" w:cs="Arial"/>
        </w:rPr>
      </w:pPr>
      <w:r>
        <w:rPr>
          <w:rFonts w:ascii="Arial" w:hAnsi="Arial" w:cs="Arial"/>
        </w:rPr>
        <w:br w:type="page"/>
      </w:r>
    </w:p>
    <w:p w14:paraId="67622E10" w14:textId="77777777" w:rsidR="0090044A" w:rsidRPr="002E58DC" w:rsidRDefault="0090044A" w:rsidP="002E58DC">
      <w:pPr>
        <w:pStyle w:val="Lgende"/>
        <w:spacing w:before="120"/>
        <w:jc w:val="center"/>
        <w:rPr>
          <w:sz w:val="20"/>
        </w:rPr>
      </w:pPr>
      <w:bookmarkStart w:id="949" w:name="_Toc100753929"/>
      <w:bookmarkStart w:id="950" w:name="_Toc127957834"/>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38</w:t>
      </w:r>
      <w:r w:rsidRPr="002E58DC">
        <w:rPr>
          <w:sz w:val="20"/>
        </w:rPr>
        <w:fldChar w:fldCharType="end"/>
      </w:r>
      <w:r w:rsidRPr="002E58DC">
        <w:rPr>
          <w:sz w:val="20"/>
        </w:rPr>
        <w:t>. Evaluation</w:t>
      </w:r>
      <w:r w:rsidR="00FB273B">
        <w:rPr>
          <w:sz w:val="20"/>
        </w:rPr>
        <w:t xml:space="preserve"> de </w:t>
      </w:r>
      <w:r w:rsidRPr="002E58DC">
        <w:rPr>
          <w:sz w:val="20"/>
        </w:rPr>
        <w:t xml:space="preserve"> l’impact –Nuisances sonores et vibrations pendant le transport</w:t>
      </w:r>
      <w:bookmarkEnd w:id="949"/>
      <w:bookmarkEnd w:id="950"/>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1093"/>
        <w:gridCol w:w="1006"/>
        <w:gridCol w:w="982"/>
        <w:gridCol w:w="1322"/>
        <w:gridCol w:w="1263"/>
        <w:gridCol w:w="1064"/>
        <w:gridCol w:w="849"/>
        <w:tblGridChange w:id="951">
          <w:tblGrid>
            <w:gridCol w:w="1709"/>
            <w:gridCol w:w="1093"/>
            <w:gridCol w:w="1006"/>
            <w:gridCol w:w="982"/>
            <w:gridCol w:w="1322"/>
            <w:gridCol w:w="1263"/>
            <w:gridCol w:w="1064"/>
            <w:gridCol w:w="849"/>
          </w:tblGrid>
        </w:tblGridChange>
      </w:tblGrid>
      <w:tr w:rsidR="000A6F85" w:rsidRPr="007F78CE" w14:paraId="025DE2FE" w14:textId="77777777" w:rsidTr="00345918">
        <w:trPr>
          <w:jc w:val="center"/>
        </w:trPr>
        <w:tc>
          <w:tcPr>
            <w:tcW w:w="1709" w:type="dxa"/>
            <w:shd w:val="clear" w:color="auto" w:fill="BFBFBF"/>
          </w:tcPr>
          <w:p w14:paraId="3C8E11AD" w14:textId="77777777" w:rsidR="000A6F85" w:rsidRPr="007F78CE" w:rsidRDefault="000A6F85" w:rsidP="007F78CE">
            <w:pPr>
              <w:spacing w:after="0" w:line="240" w:lineRule="auto"/>
              <w:rPr>
                <w:rFonts w:ascii="Arial Narrow" w:hAnsi="Arial Narrow"/>
                <w:b/>
                <w:bCs/>
                <w:sz w:val="20"/>
                <w:szCs w:val="20"/>
              </w:rPr>
            </w:pPr>
            <w:r>
              <w:rPr>
                <w:rFonts w:ascii="Arial Narrow" w:hAnsi="Arial Narrow"/>
                <w:b/>
                <w:bCs/>
                <w:sz w:val="20"/>
                <w:szCs w:val="20"/>
              </w:rPr>
              <w:t>Sous Projet</w:t>
            </w:r>
          </w:p>
        </w:tc>
        <w:tc>
          <w:tcPr>
            <w:tcW w:w="1093" w:type="dxa"/>
            <w:shd w:val="clear" w:color="auto" w:fill="BFBFBF"/>
          </w:tcPr>
          <w:p w14:paraId="3148E8F9" w14:textId="77777777" w:rsidR="000A6F85" w:rsidRPr="007F78CE" w:rsidRDefault="000A6F85"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006" w:type="dxa"/>
            <w:shd w:val="clear" w:color="auto" w:fill="BFBFBF"/>
          </w:tcPr>
          <w:p w14:paraId="551E6B1A" w14:textId="77777777" w:rsidR="000A6F85" w:rsidRPr="007F78CE" w:rsidRDefault="000A6F85"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982" w:type="dxa"/>
            <w:shd w:val="clear" w:color="auto" w:fill="BFBFBF"/>
          </w:tcPr>
          <w:p w14:paraId="0AFFABB3" w14:textId="77777777" w:rsidR="000A6F85" w:rsidRPr="007F78CE" w:rsidRDefault="000A6F85"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322" w:type="dxa"/>
            <w:shd w:val="clear" w:color="auto" w:fill="BFBFBF"/>
          </w:tcPr>
          <w:p w14:paraId="0D6AB10C" w14:textId="77777777" w:rsidR="000A6F85" w:rsidRPr="007F78CE" w:rsidRDefault="000A6F85"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263" w:type="dxa"/>
            <w:shd w:val="clear" w:color="auto" w:fill="BFBFBF"/>
          </w:tcPr>
          <w:p w14:paraId="5116C39E" w14:textId="77777777" w:rsidR="000A6F85" w:rsidRPr="007F78CE" w:rsidRDefault="000A6F85"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auto"/>
          </w:tcPr>
          <w:p w14:paraId="715B6F52" w14:textId="77777777" w:rsidR="000A6F85" w:rsidRPr="007F78CE" w:rsidRDefault="000A6F85"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849" w:type="dxa"/>
            <w:shd w:val="clear" w:color="auto" w:fill="auto"/>
          </w:tcPr>
          <w:p w14:paraId="5BCA7E58" w14:textId="77777777" w:rsidR="000A6F85" w:rsidRPr="007F78CE" w:rsidRDefault="000A6F85" w:rsidP="007F78CE">
            <w:pPr>
              <w:spacing w:after="0" w:line="240" w:lineRule="auto"/>
              <w:rPr>
                <w:rFonts w:ascii="Arial Narrow" w:hAnsi="Arial Narrow"/>
                <w:b/>
                <w:bCs/>
                <w:sz w:val="20"/>
                <w:szCs w:val="20"/>
              </w:rPr>
            </w:pPr>
            <w:r>
              <w:rPr>
                <w:rFonts w:ascii="Arial Narrow" w:hAnsi="Arial Narrow"/>
                <w:b/>
                <w:bCs/>
                <w:sz w:val="20"/>
                <w:szCs w:val="20"/>
              </w:rPr>
              <w:t>Risque</w:t>
            </w:r>
          </w:p>
        </w:tc>
      </w:tr>
      <w:tr w:rsidR="00345918" w:rsidRPr="007F78CE" w14:paraId="0C492452" w14:textId="77777777" w:rsidTr="00FB04F6">
        <w:trPr>
          <w:jc w:val="center"/>
        </w:trPr>
        <w:tc>
          <w:tcPr>
            <w:tcW w:w="1709" w:type="dxa"/>
          </w:tcPr>
          <w:p w14:paraId="66D9E8C3" w14:textId="77777777" w:rsidR="000A6F85" w:rsidRPr="007F78CE" w:rsidRDefault="000A6F85" w:rsidP="00CE0B6B">
            <w:pPr>
              <w:spacing w:after="0" w:line="240" w:lineRule="auto"/>
              <w:contextualSpacing/>
              <w:jc w:val="center"/>
              <w:rPr>
                <w:rFonts w:ascii="Arial Narrow" w:hAnsi="Arial Narrow" w:cs="Arial"/>
                <w:sz w:val="20"/>
                <w:szCs w:val="20"/>
              </w:rPr>
            </w:pPr>
            <w:r>
              <w:rPr>
                <w:rFonts w:ascii="Arial Narrow" w:hAnsi="Arial Narrow" w:cs="Arial"/>
                <w:sz w:val="20"/>
                <w:szCs w:val="20"/>
              </w:rPr>
              <w:t>Infrastructure numérique</w:t>
            </w:r>
          </w:p>
        </w:tc>
        <w:tc>
          <w:tcPr>
            <w:tcW w:w="1093" w:type="dxa"/>
            <w:shd w:val="clear" w:color="auto" w:fill="auto"/>
          </w:tcPr>
          <w:p w14:paraId="50C36D6A" w14:textId="77777777" w:rsidR="000A6F85" w:rsidRPr="007F78CE" w:rsidRDefault="000A6F85" w:rsidP="007F78CE">
            <w:pPr>
              <w:spacing w:after="0" w:line="240" w:lineRule="auto"/>
              <w:contextualSpacing/>
              <w:jc w:val="center"/>
              <w:rPr>
                <w:rFonts w:ascii="Arial Narrow" w:hAnsi="Arial Narrow" w:cs="Arial"/>
                <w:bCs/>
                <w:sz w:val="20"/>
                <w:szCs w:val="20"/>
              </w:rPr>
            </w:pPr>
            <w:r>
              <w:rPr>
                <w:rFonts w:ascii="Arial Narrow" w:hAnsi="Arial Narrow" w:cs="Arial"/>
                <w:sz w:val="20"/>
                <w:szCs w:val="20"/>
              </w:rPr>
              <w:t>Moyenne</w:t>
            </w:r>
          </w:p>
          <w:p w14:paraId="74494D8D"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1006" w:type="dxa"/>
            <w:shd w:val="clear" w:color="auto" w:fill="auto"/>
          </w:tcPr>
          <w:p w14:paraId="3B311674"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65374046"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82" w:type="dxa"/>
            <w:shd w:val="clear" w:color="auto" w:fill="auto"/>
          </w:tcPr>
          <w:p w14:paraId="13A998FF" w14:textId="77777777" w:rsidR="000A6F85" w:rsidRPr="007F78CE" w:rsidRDefault="000A6F85"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courte </w:t>
            </w:r>
          </w:p>
          <w:p w14:paraId="6C5F20C3" w14:textId="77777777" w:rsidR="000A6F85" w:rsidRPr="007F78CE" w:rsidRDefault="000A6F85"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1322" w:type="dxa"/>
            <w:shd w:val="clear" w:color="auto" w:fill="auto"/>
          </w:tcPr>
          <w:p w14:paraId="1878C68A"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6C654C9C"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63" w:type="dxa"/>
            <w:shd w:val="clear" w:color="auto" w:fill="FFFF00"/>
          </w:tcPr>
          <w:p w14:paraId="0538EA85"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7389AEE1"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tcPr>
          <w:p w14:paraId="0406E148" w14:textId="77777777" w:rsidR="000A6F85" w:rsidRPr="007F78CE" w:rsidRDefault="000A6F85"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849" w:type="dxa"/>
            <w:shd w:val="clear" w:color="auto" w:fill="BFBFBF"/>
          </w:tcPr>
          <w:p w14:paraId="16FD3E3B" w14:textId="77777777" w:rsidR="000A6F85" w:rsidRPr="007F78CE" w:rsidRDefault="000A6F85"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r w:rsidR="00345918" w:rsidRPr="007F78CE" w14:paraId="2F3A9D4A" w14:textId="77777777" w:rsidTr="00FB04F6">
        <w:trPr>
          <w:jc w:val="center"/>
        </w:trPr>
        <w:tc>
          <w:tcPr>
            <w:tcW w:w="1709" w:type="dxa"/>
          </w:tcPr>
          <w:p w14:paraId="6D030AD2" w14:textId="77777777" w:rsidR="000A6F85" w:rsidRPr="007F78CE" w:rsidRDefault="000A6F85" w:rsidP="00B434A6">
            <w:pPr>
              <w:spacing w:after="0" w:line="240" w:lineRule="auto"/>
              <w:contextualSpacing/>
              <w:rPr>
                <w:rFonts w:ascii="Arial Narrow" w:eastAsia="Times New Roman" w:hAnsi="Arial Narrow" w:cs="Arial"/>
                <w:b/>
                <w:smallCaps/>
                <w:color w:val="000000"/>
                <w:sz w:val="20"/>
                <w:szCs w:val="20"/>
              </w:rPr>
            </w:pPr>
            <w:r>
              <w:rPr>
                <w:rFonts w:ascii="Arial Narrow" w:hAnsi="Arial Narrow" w:cs="Arial"/>
                <w:sz w:val="20"/>
                <w:szCs w:val="20"/>
              </w:rPr>
              <w:t>Centrale électrique solaire</w:t>
            </w:r>
          </w:p>
        </w:tc>
        <w:tc>
          <w:tcPr>
            <w:tcW w:w="1093" w:type="dxa"/>
            <w:shd w:val="clear" w:color="auto" w:fill="auto"/>
          </w:tcPr>
          <w:p w14:paraId="28C2FA80" w14:textId="77777777" w:rsidR="000A6F85" w:rsidRPr="007F78CE" w:rsidRDefault="000A6F85" w:rsidP="00F00135">
            <w:pPr>
              <w:spacing w:after="0" w:line="240" w:lineRule="auto"/>
              <w:contextualSpacing/>
              <w:jc w:val="center"/>
              <w:rPr>
                <w:rFonts w:ascii="Arial Narrow" w:hAnsi="Arial Narrow" w:cs="Arial"/>
                <w:bCs/>
                <w:sz w:val="20"/>
                <w:szCs w:val="20"/>
              </w:rPr>
            </w:pPr>
            <w:r>
              <w:rPr>
                <w:rFonts w:ascii="Arial Narrow" w:hAnsi="Arial Narrow" w:cs="Arial"/>
                <w:sz w:val="20"/>
                <w:szCs w:val="20"/>
              </w:rPr>
              <w:t>Moyenne</w:t>
            </w:r>
          </w:p>
          <w:p w14:paraId="5B10BCAB"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1006" w:type="dxa"/>
            <w:shd w:val="clear" w:color="auto" w:fill="auto"/>
          </w:tcPr>
          <w:p w14:paraId="2C22C07E" w14:textId="77777777" w:rsidR="000A6F85" w:rsidRPr="007F78CE" w:rsidRDefault="000A6F85"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4C3F697B"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82" w:type="dxa"/>
            <w:shd w:val="clear" w:color="auto" w:fill="auto"/>
          </w:tcPr>
          <w:p w14:paraId="37BE6701" w14:textId="77777777" w:rsidR="000A6F85" w:rsidRPr="007F78CE" w:rsidRDefault="000A6F85" w:rsidP="00F00135">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courte </w:t>
            </w:r>
          </w:p>
          <w:p w14:paraId="1E826A9B"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1322" w:type="dxa"/>
            <w:shd w:val="clear" w:color="auto" w:fill="auto"/>
          </w:tcPr>
          <w:p w14:paraId="0C407C9A" w14:textId="77777777" w:rsidR="000A6F85" w:rsidRPr="007F78CE" w:rsidRDefault="000A6F85"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20F8CD94"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63" w:type="dxa"/>
            <w:shd w:val="clear" w:color="auto" w:fill="FFFF00"/>
          </w:tcPr>
          <w:p w14:paraId="03F371FF" w14:textId="77777777" w:rsidR="000A6F85" w:rsidRPr="007F78CE" w:rsidRDefault="000A6F85"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2D690533"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tcPr>
          <w:p w14:paraId="30F94CE5" w14:textId="77777777" w:rsidR="000A6F85" w:rsidRPr="007F78CE" w:rsidRDefault="000A6F85" w:rsidP="00F00135">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c>
          <w:tcPr>
            <w:tcW w:w="849" w:type="dxa"/>
            <w:shd w:val="clear" w:color="auto" w:fill="BFBFBF"/>
          </w:tcPr>
          <w:p w14:paraId="6707BF16" w14:textId="77777777" w:rsidR="000A6F85" w:rsidRPr="007F78CE" w:rsidRDefault="000A6F85" w:rsidP="00F00135">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r w:rsidR="00345918" w:rsidRPr="007F78CE" w14:paraId="57AB7BCC" w14:textId="77777777" w:rsidTr="00FB04F6">
        <w:trPr>
          <w:jc w:val="center"/>
        </w:trPr>
        <w:tc>
          <w:tcPr>
            <w:tcW w:w="1709" w:type="dxa"/>
          </w:tcPr>
          <w:p w14:paraId="76B0E1BE" w14:textId="77777777" w:rsidR="000A6F85" w:rsidRPr="007F78CE" w:rsidRDefault="000A6F85"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Barrage hydroélectrique</w:t>
            </w:r>
          </w:p>
        </w:tc>
        <w:tc>
          <w:tcPr>
            <w:tcW w:w="1093" w:type="dxa"/>
            <w:shd w:val="clear" w:color="auto" w:fill="auto"/>
          </w:tcPr>
          <w:p w14:paraId="7AD12943" w14:textId="77777777" w:rsidR="000A6F85" w:rsidRPr="007F78CE" w:rsidRDefault="000A6F85" w:rsidP="00F00135">
            <w:pPr>
              <w:spacing w:after="0" w:line="240" w:lineRule="auto"/>
              <w:contextualSpacing/>
              <w:jc w:val="center"/>
              <w:rPr>
                <w:rFonts w:ascii="Arial Narrow" w:hAnsi="Arial Narrow" w:cs="Arial"/>
                <w:bCs/>
                <w:sz w:val="20"/>
                <w:szCs w:val="20"/>
              </w:rPr>
            </w:pPr>
            <w:r>
              <w:rPr>
                <w:rFonts w:ascii="Arial Narrow" w:hAnsi="Arial Narrow" w:cs="Arial"/>
                <w:sz w:val="20"/>
                <w:szCs w:val="20"/>
              </w:rPr>
              <w:t>Faible</w:t>
            </w:r>
          </w:p>
          <w:p w14:paraId="4528D744"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1006" w:type="dxa"/>
            <w:shd w:val="clear" w:color="auto" w:fill="auto"/>
          </w:tcPr>
          <w:p w14:paraId="4AD72325" w14:textId="77777777" w:rsidR="000A6F85" w:rsidRPr="007F78CE" w:rsidRDefault="000A6F85"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3A6C1B4F"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82" w:type="dxa"/>
            <w:shd w:val="clear" w:color="auto" w:fill="auto"/>
          </w:tcPr>
          <w:p w14:paraId="60606982" w14:textId="77777777" w:rsidR="000A6F85" w:rsidRPr="007F78CE" w:rsidRDefault="000A6F85" w:rsidP="00F00135">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courte </w:t>
            </w:r>
          </w:p>
          <w:p w14:paraId="6DBC88D3"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1322" w:type="dxa"/>
            <w:shd w:val="clear" w:color="auto" w:fill="auto"/>
          </w:tcPr>
          <w:p w14:paraId="74D9F65E" w14:textId="77777777" w:rsidR="000A6F85" w:rsidRPr="007F78CE" w:rsidRDefault="000A6F85"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68CD6DC1" w14:textId="77777777" w:rsidR="000A6F85" w:rsidRPr="007F78CE" w:rsidRDefault="000A6F85"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63" w:type="dxa"/>
            <w:shd w:val="clear" w:color="auto" w:fill="00B050"/>
          </w:tcPr>
          <w:p w14:paraId="2BF87DD3" w14:textId="77777777" w:rsidR="000A6F85" w:rsidRPr="007F78CE" w:rsidRDefault="000A6F85" w:rsidP="00F00135">
            <w:pPr>
              <w:spacing w:after="0" w:line="240" w:lineRule="auto"/>
              <w:contextualSpacing/>
              <w:jc w:val="center"/>
              <w:rPr>
                <w:rFonts w:ascii="Arial Narrow" w:hAnsi="Arial Narrow" w:cs="Arial"/>
                <w:sz w:val="20"/>
                <w:szCs w:val="20"/>
              </w:rPr>
            </w:pPr>
            <w:r>
              <w:rPr>
                <w:rFonts w:ascii="Arial Narrow" w:hAnsi="Arial Narrow" w:cs="Arial"/>
                <w:sz w:val="20"/>
                <w:szCs w:val="20"/>
              </w:rPr>
              <w:t>Mineure</w:t>
            </w:r>
          </w:p>
          <w:p w14:paraId="76FFD307" w14:textId="77777777" w:rsidR="000A6F85" w:rsidRPr="007F78CE" w:rsidRDefault="000A6F85"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5</w:t>
            </w:r>
            <w:r w:rsidRPr="007F78CE">
              <w:rPr>
                <w:rFonts w:ascii="Arial Narrow" w:hAnsi="Arial Narrow" w:cs="Arial"/>
                <w:sz w:val="20"/>
                <w:szCs w:val="20"/>
              </w:rPr>
              <w:t>)</w:t>
            </w:r>
          </w:p>
        </w:tc>
        <w:tc>
          <w:tcPr>
            <w:tcW w:w="1064" w:type="dxa"/>
            <w:shd w:val="clear" w:color="auto" w:fill="auto"/>
          </w:tcPr>
          <w:p w14:paraId="4F4FA968" w14:textId="77777777" w:rsidR="000A6F85" w:rsidRDefault="000A6F85" w:rsidP="00F00135">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c>
          <w:tcPr>
            <w:tcW w:w="849" w:type="dxa"/>
            <w:shd w:val="clear" w:color="auto" w:fill="538135"/>
          </w:tcPr>
          <w:p w14:paraId="3E22C9FB" w14:textId="77777777" w:rsidR="000A6F85" w:rsidRDefault="000A6F85" w:rsidP="00F00135">
            <w:pPr>
              <w:spacing w:after="0" w:line="240" w:lineRule="auto"/>
              <w:contextualSpacing/>
              <w:jc w:val="center"/>
              <w:rPr>
                <w:rFonts w:ascii="Arial Narrow" w:hAnsi="Arial Narrow" w:cs="Arial"/>
                <w:sz w:val="20"/>
                <w:szCs w:val="20"/>
              </w:rPr>
            </w:pPr>
            <w:r>
              <w:rPr>
                <w:rFonts w:ascii="Arial Narrow" w:hAnsi="Arial Narrow" w:cs="Arial"/>
                <w:sz w:val="20"/>
                <w:szCs w:val="20"/>
              </w:rPr>
              <w:t>Très faible</w:t>
            </w:r>
          </w:p>
        </w:tc>
      </w:tr>
      <w:tr w:rsidR="00345918" w:rsidRPr="007F78CE" w14:paraId="541DF6A0" w14:textId="77777777" w:rsidTr="00FB04F6">
        <w:trPr>
          <w:jc w:val="center"/>
        </w:trPr>
        <w:tc>
          <w:tcPr>
            <w:tcW w:w="1709" w:type="dxa"/>
          </w:tcPr>
          <w:p w14:paraId="68B9243D" w14:textId="77777777" w:rsidR="000A6F85" w:rsidRDefault="000A6F85" w:rsidP="00B434A6">
            <w:pPr>
              <w:spacing w:after="0" w:line="240" w:lineRule="auto"/>
              <w:contextualSpacing/>
              <w:rPr>
                <w:rFonts w:ascii="Arial Narrow" w:hAnsi="Arial Narrow" w:cs="Arial"/>
                <w:sz w:val="20"/>
                <w:szCs w:val="20"/>
              </w:rPr>
            </w:pPr>
            <w:r>
              <w:rPr>
                <w:rFonts w:ascii="Arial Narrow" w:hAnsi="Arial Narrow" w:cs="Arial"/>
                <w:sz w:val="20"/>
                <w:szCs w:val="20"/>
              </w:rPr>
              <w:t>Réseau électrique</w:t>
            </w:r>
          </w:p>
        </w:tc>
        <w:tc>
          <w:tcPr>
            <w:tcW w:w="1093" w:type="dxa"/>
            <w:shd w:val="clear" w:color="auto" w:fill="auto"/>
          </w:tcPr>
          <w:p w14:paraId="21B01DEA" w14:textId="77777777" w:rsidR="000A6F85" w:rsidRPr="007F78CE" w:rsidRDefault="000A6F85" w:rsidP="00296692">
            <w:pPr>
              <w:spacing w:after="0" w:line="240" w:lineRule="auto"/>
              <w:contextualSpacing/>
              <w:jc w:val="center"/>
              <w:rPr>
                <w:rFonts w:ascii="Arial Narrow" w:hAnsi="Arial Narrow" w:cs="Arial"/>
                <w:bCs/>
                <w:sz w:val="20"/>
                <w:szCs w:val="20"/>
              </w:rPr>
            </w:pPr>
            <w:r>
              <w:rPr>
                <w:rFonts w:ascii="Arial Narrow" w:hAnsi="Arial Narrow" w:cs="Arial"/>
                <w:sz w:val="20"/>
                <w:szCs w:val="20"/>
              </w:rPr>
              <w:t>Moyenne</w:t>
            </w:r>
          </w:p>
          <w:p w14:paraId="7C78671B" w14:textId="77777777" w:rsidR="000A6F85" w:rsidRDefault="000A6F85"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1006" w:type="dxa"/>
            <w:shd w:val="clear" w:color="auto" w:fill="auto"/>
          </w:tcPr>
          <w:p w14:paraId="3218737E" w14:textId="77777777" w:rsidR="000A6F85" w:rsidRPr="007F78CE" w:rsidRDefault="000A6F85"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6F1365D6" w14:textId="77777777" w:rsidR="000A6F85" w:rsidRPr="007F78CE" w:rsidRDefault="000A6F85"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82" w:type="dxa"/>
            <w:shd w:val="clear" w:color="auto" w:fill="auto"/>
          </w:tcPr>
          <w:p w14:paraId="5636C45E" w14:textId="77777777" w:rsidR="000A6F85" w:rsidRPr="007F78CE" w:rsidRDefault="000A6F85"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courte </w:t>
            </w:r>
          </w:p>
          <w:p w14:paraId="0E182D48" w14:textId="77777777" w:rsidR="000A6F85" w:rsidRDefault="000A6F85"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1322" w:type="dxa"/>
            <w:shd w:val="clear" w:color="auto" w:fill="auto"/>
          </w:tcPr>
          <w:p w14:paraId="508DE28B" w14:textId="77777777" w:rsidR="000A6F85" w:rsidRPr="007F78CE" w:rsidRDefault="000A6F85"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6E38E1F5" w14:textId="77777777" w:rsidR="000A6F85" w:rsidRPr="007F78CE" w:rsidRDefault="000A6F85"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63" w:type="dxa"/>
            <w:shd w:val="clear" w:color="auto" w:fill="FFFF00"/>
          </w:tcPr>
          <w:p w14:paraId="174170B0" w14:textId="77777777" w:rsidR="000A6F85" w:rsidRPr="007F78CE" w:rsidRDefault="000A6F85"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448CCD01" w14:textId="77777777" w:rsidR="000A6F85" w:rsidRDefault="000A6F85" w:rsidP="00F0013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tcPr>
          <w:p w14:paraId="68A17AA0" w14:textId="77777777" w:rsidR="000A6F85" w:rsidRPr="007F78CE" w:rsidRDefault="000A6F85"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c>
          <w:tcPr>
            <w:tcW w:w="849" w:type="dxa"/>
            <w:shd w:val="clear" w:color="auto" w:fill="BFBFBF"/>
          </w:tcPr>
          <w:p w14:paraId="15EA2F1C" w14:textId="77777777" w:rsidR="000A6F85" w:rsidRPr="007F78CE" w:rsidRDefault="000A6F85"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r w:rsidR="001716F8" w:rsidRPr="007F78CE" w14:paraId="309AD0D9" w14:textId="77777777" w:rsidTr="00FB04F6">
        <w:trPr>
          <w:jc w:val="center"/>
        </w:trPr>
        <w:tc>
          <w:tcPr>
            <w:tcW w:w="1709" w:type="dxa"/>
          </w:tcPr>
          <w:p w14:paraId="1C8B2D79" w14:textId="77777777" w:rsidR="001716F8" w:rsidRDefault="001716F8" w:rsidP="00345918">
            <w:pPr>
              <w:spacing w:after="0" w:line="240" w:lineRule="auto"/>
              <w:contextualSpacing/>
              <w:rPr>
                <w:rFonts w:ascii="Arial Narrow" w:hAnsi="Arial Narrow" w:cs="Arial"/>
                <w:sz w:val="20"/>
                <w:szCs w:val="20"/>
              </w:rPr>
            </w:pPr>
            <w:r>
              <w:rPr>
                <w:rFonts w:ascii="Arial Narrow" w:hAnsi="Arial Narrow" w:cs="Arial"/>
                <w:sz w:val="20"/>
                <w:szCs w:val="20"/>
              </w:rPr>
              <w:t>Impact cummulé</w:t>
            </w:r>
          </w:p>
        </w:tc>
        <w:tc>
          <w:tcPr>
            <w:tcW w:w="1093" w:type="dxa"/>
            <w:shd w:val="clear" w:color="auto" w:fill="auto"/>
          </w:tcPr>
          <w:p w14:paraId="225C2A2A" w14:textId="77777777" w:rsidR="001716F8" w:rsidRPr="007F78CE" w:rsidRDefault="001716F8" w:rsidP="00D70FB3">
            <w:pPr>
              <w:spacing w:after="0" w:line="240" w:lineRule="auto"/>
              <w:contextualSpacing/>
              <w:jc w:val="center"/>
              <w:rPr>
                <w:rFonts w:ascii="Arial Narrow" w:hAnsi="Arial Narrow" w:cs="Arial"/>
                <w:bCs/>
                <w:sz w:val="20"/>
                <w:szCs w:val="20"/>
              </w:rPr>
            </w:pPr>
            <w:r>
              <w:rPr>
                <w:rFonts w:ascii="Arial Narrow" w:hAnsi="Arial Narrow" w:cs="Arial"/>
                <w:sz w:val="20"/>
                <w:szCs w:val="20"/>
              </w:rPr>
              <w:t>Moyenne</w:t>
            </w:r>
          </w:p>
          <w:p w14:paraId="44CA515E" w14:textId="77777777" w:rsidR="001716F8"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1006" w:type="dxa"/>
            <w:shd w:val="clear" w:color="auto" w:fill="auto"/>
          </w:tcPr>
          <w:p w14:paraId="20A06143"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43C00036"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82" w:type="dxa"/>
            <w:shd w:val="clear" w:color="auto" w:fill="auto"/>
          </w:tcPr>
          <w:p w14:paraId="37D4EC49" w14:textId="77777777" w:rsidR="001716F8" w:rsidRPr="007F78CE" w:rsidRDefault="001716F8" w:rsidP="00D70FB3">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courte </w:t>
            </w:r>
          </w:p>
          <w:p w14:paraId="7E799019" w14:textId="77777777" w:rsidR="001716F8"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1322" w:type="dxa"/>
            <w:shd w:val="clear" w:color="auto" w:fill="auto"/>
          </w:tcPr>
          <w:p w14:paraId="1899F849"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65D6BCE4"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63" w:type="dxa"/>
            <w:shd w:val="clear" w:color="auto" w:fill="FFFF00"/>
          </w:tcPr>
          <w:p w14:paraId="7A1975C1"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3DC761C7"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tcPr>
          <w:p w14:paraId="24FEE217" w14:textId="77777777" w:rsidR="001716F8" w:rsidRDefault="001716F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849" w:type="dxa"/>
            <w:shd w:val="clear" w:color="auto" w:fill="BFBFBF"/>
          </w:tcPr>
          <w:p w14:paraId="61345B2E" w14:textId="77777777" w:rsidR="001716F8" w:rsidRDefault="001716F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bl>
    <w:p w14:paraId="3E4AE634" w14:textId="77777777" w:rsidR="0002275A" w:rsidRPr="00B434A6" w:rsidRDefault="0002275A" w:rsidP="00B434A6">
      <w:pPr>
        <w:spacing w:line="240" w:lineRule="auto"/>
        <w:jc w:val="both"/>
        <w:rPr>
          <w:rFonts w:ascii="Arial" w:hAnsi="Arial" w:cs="Arial"/>
        </w:rPr>
      </w:pPr>
    </w:p>
    <w:p w14:paraId="5A6E3CC5" w14:textId="77777777" w:rsidR="0090044A" w:rsidRPr="007F78CE" w:rsidRDefault="0090044A" w:rsidP="00687DD2">
      <w:pPr>
        <w:pStyle w:val="Titre5"/>
        <w:keepNext w:val="0"/>
        <w:keepLines w:val="0"/>
        <w:numPr>
          <w:ilvl w:val="0"/>
          <w:numId w:val="95"/>
        </w:numPr>
        <w:tabs>
          <w:tab w:val="left" w:pos="708"/>
        </w:tabs>
        <w:spacing w:before="280" w:after="280" w:line="240" w:lineRule="auto"/>
        <w:ind w:left="567" w:firstLine="0"/>
        <w:contextualSpacing/>
        <w:jc w:val="both"/>
        <w:rPr>
          <w:rFonts w:eastAsia="Calibri"/>
          <w:b/>
          <w:bCs/>
        </w:rPr>
      </w:pPr>
      <w:r w:rsidRPr="007F78CE">
        <w:rPr>
          <w:rFonts w:eastAsia="Calibri"/>
          <w:b/>
          <w:bCs/>
        </w:rPr>
        <w:t xml:space="preserve">Santé et sécurité </w:t>
      </w:r>
    </w:p>
    <w:p w14:paraId="521E3046" w14:textId="77777777" w:rsidR="0090044A" w:rsidRPr="00664BCD" w:rsidRDefault="0090044A" w:rsidP="00687DD2">
      <w:pPr>
        <w:pStyle w:val="Normal12"/>
        <w:numPr>
          <w:ilvl w:val="0"/>
          <w:numId w:val="85"/>
        </w:numPr>
        <w:spacing w:before="100" w:beforeAutospacing="1" w:after="100" w:afterAutospacing="1"/>
        <w:ind w:left="1077" w:hanging="357"/>
        <w:contextualSpacing/>
        <w:rPr>
          <w:i/>
          <w:iCs/>
          <w:lang w:val="fr-FR"/>
        </w:rPr>
      </w:pPr>
      <w:r w:rsidRPr="00664BCD">
        <w:rPr>
          <w:i/>
          <w:iCs/>
          <w:lang w:val="fr-FR"/>
        </w:rPr>
        <w:t>Risque d’accroissement de la prévalence de maladies respiratoires à cause de l’émanation de poussières</w:t>
      </w:r>
    </w:p>
    <w:p w14:paraId="6B2EDE0B" w14:textId="77777777" w:rsidR="0090044A" w:rsidRPr="008D2A01" w:rsidRDefault="0090044A" w:rsidP="008D2A01">
      <w:pPr>
        <w:spacing w:line="240" w:lineRule="auto"/>
        <w:jc w:val="both"/>
        <w:rPr>
          <w:rFonts w:ascii="Arial" w:hAnsi="Arial" w:cs="Arial"/>
        </w:rPr>
      </w:pPr>
      <w:r w:rsidRPr="008D2A01">
        <w:rPr>
          <w:rFonts w:ascii="Arial" w:hAnsi="Arial" w:cs="Arial"/>
        </w:rPr>
        <w:t>Des maladies pulmonaires chez les ouvriers et même chez les communautés riveraines peuvent appara</w:t>
      </w:r>
      <w:r w:rsidR="003F5356">
        <w:rPr>
          <w:rFonts w:ascii="Arial" w:hAnsi="Arial" w:cs="Arial"/>
        </w:rPr>
        <w:t>î</w:t>
      </w:r>
      <w:r w:rsidRPr="008D2A01">
        <w:rPr>
          <w:rFonts w:ascii="Arial" w:hAnsi="Arial" w:cs="Arial"/>
        </w:rPr>
        <w:t>tre à la suite des soulèvements de poussières durant les travaux. Il en est de même des particules des fumées d’échappement des engins et camions.</w:t>
      </w:r>
    </w:p>
    <w:p w14:paraId="00094C6D" w14:textId="77777777" w:rsidR="0090044A" w:rsidRPr="008D2A01" w:rsidRDefault="0090044A" w:rsidP="008D2A01">
      <w:pPr>
        <w:spacing w:line="240" w:lineRule="auto"/>
        <w:jc w:val="both"/>
        <w:rPr>
          <w:rFonts w:ascii="Arial" w:hAnsi="Arial" w:cs="Arial"/>
        </w:rPr>
      </w:pPr>
      <w:r w:rsidRPr="008D2A01">
        <w:rPr>
          <w:rFonts w:ascii="Arial" w:hAnsi="Arial" w:cs="Arial"/>
        </w:rPr>
        <w:t xml:space="preserve">Mais comme l’intensité de ces pollutions par les poussières et gaz d’échappement s’atténuent en fonction de la distance, et que la durée de l’exposition est relativement courte, la population éloignée du site sera épargnée. De plus, l’émanation </w:t>
      </w:r>
      <w:r w:rsidR="003F5356">
        <w:rPr>
          <w:rFonts w:ascii="Arial" w:hAnsi="Arial" w:cs="Arial"/>
        </w:rPr>
        <w:t xml:space="preserve">de </w:t>
      </w:r>
      <w:r w:rsidRPr="008D2A01">
        <w:rPr>
          <w:rFonts w:ascii="Arial" w:hAnsi="Arial" w:cs="Arial"/>
        </w:rPr>
        <w:t xml:space="preserve">gaz ainsi que le soulèvement de poussière est limitée seulement pendant </w:t>
      </w:r>
      <w:r w:rsidR="005D4CDC" w:rsidRPr="008D2A01">
        <w:rPr>
          <w:rFonts w:ascii="Arial" w:hAnsi="Arial" w:cs="Arial"/>
        </w:rPr>
        <w:t>les phases préparatoires</w:t>
      </w:r>
      <w:r w:rsidRPr="008D2A01">
        <w:rPr>
          <w:rFonts w:ascii="Arial" w:hAnsi="Arial" w:cs="Arial"/>
        </w:rPr>
        <w:t xml:space="preserve"> et de construction. Lorsque la pathologie pulmonaire devient une maladie chronique, donc la durée est plus longue, l’impact peut alors être qualifié de </w:t>
      </w:r>
      <w:r w:rsidR="002B7DC1">
        <w:rPr>
          <w:rFonts w:ascii="Arial" w:hAnsi="Arial" w:cs="Arial"/>
        </w:rPr>
        <w:t>« </w:t>
      </w:r>
      <w:r w:rsidRPr="008D2A01">
        <w:rPr>
          <w:rFonts w:ascii="Arial" w:hAnsi="Arial" w:cs="Arial"/>
        </w:rPr>
        <w:t>moyenne</w:t>
      </w:r>
      <w:r w:rsidR="002B7DC1">
        <w:rPr>
          <w:rFonts w:ascii="Arial" w:hAnsi="Arial" w:cs="Arial"/>
        </w:rPr>
        <w:t> »</w:t>
      </w:r>
      <w:r w:rsidR="00296692">
        <w:rPr>
          <w:rFonts w:ascii="Arial" w:hAnsi="Arial" w:cs="Arial"/>
        </w:rPr>
        <w:t xml:space="preserve"> sauf pour le réseau électrique qui est évalué comme « </w:t>
      </w:r>
      <w:r w:rsidR="005D4CDC">
        <w:rPr>
          <w:rFonts w:ascii="Arial" w:hAnsi="Arial" w:cs="Arial"/>
        </w:rPr>
        <w:t>m</w:t>
      </w:r>
      <w:r w:rsidR="00296692">
        <w:rPr>
          <w:rFonts w:ascii="Arial" w:hAnsi="Arial" w:cs="Arial"/>
        </w:rPr>
        <w:t>ineure »</w:t>
      </w:r>
      <w:r w:rsidR="00DE4358">
        <w:rPr>
          <w:rFonts w:ascii="Arial" w:hAnsi="Arial" w:cs="Arial"/>
        </w:rPr>
        <w:t xml:space="preserve">. quant au niveau de risque, il est considéré comme très faible pour le réseau électrique et faible pour les autres sous projet </w:t>
      </w:r>
      <w:r w:rsidR="003F5356">
        <w:rPr>
          <w:rFonts w:ascii="Arial" w:hAnsi="Arial" w:cs="Arial"/>
        </w:rPr>
        <w:t xml:space="preserve"> selon le tableau suivant</w:t>
      </w:r>
      <w:r w:rsidR="0002275A">
        <w:rPr>
          <w:rFonts w:ascii="Arial" w:hAnsi="Arial" w:cs="Arial"/>
        </w:rPr>
        <w:t>.</w:t>
      </w:r>
      <w:r w:rsidRPr="008D2A01">
        <w:rPr>
          <w:rFonts w:ascii="Arial" w:hAnsi="Arial" w:cs="Arial"/>
        </w:rPr>
        <w:t xml:space="preserve"> </w:t>
      </w:r>
    </w:p>
    <w:p w14:paraId="7FC5B1F5" w14:textId="77777777" w:rsidR="0090044A" w:rsidRPr="002E58DC" w:rsidRDefault="0090044A" w:rsidP="002E58DC">
      <w:pPr>
        <w:pStyle w:val="Lgende"/>
        <w:spacing w:before="120"/>
        <w:jc w:val="center"/>
        <w:rPr>
          <w:sz w:val="20"/>
        </w:rPr>
      </w:pPr>
      <w:bookmarkStart w:id="952" w:name="_Toc100753930"/>
      <w:bookmarkStart w:id="953" w:name="_Toc127957835"/>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39</w:t>
      </w:r>
      <w:r w:rsidRPr="002E58DC">
        <w:rPr>
          <w:sz w:val="20"/>
        </w:rPr>
        <w:fldChar w:fldCharType="end"/>
      </w:r>
      <w:r w:rsidRPr="002E58DC">
        <w:rPr>
          <w:sz w:val="20"/>
        </w:rPr>
        <w:t xml:space="preserve">. Evaluation </w:t>
      </w:r>
      <w:r w:rsidR="002B7DC1">
        <w:rPr>
          <w:sz w:val="20"/>
        </w:rPr>
        <w:t xml:space="preserve">de </w:t>
      </w:r>
      <w:r w:rsidRPr="002E58DC">
        <w:rPr>
          <w:sz w:val="20"/>
        </w:rPr>
        <w:t>l’impact –</w:t>
      </w:r>
      <w:r w:rsidR="002B7DC1" w:rsidRPr="002E58DC">
        <w:rPr>
          <w:sz w:val="20"/>
        </w:rPr>
        <w:t>Risque</w:t>
      </w:r>
      <w:r w:rsidRPr="002E58DC">
        <w:rPr>
          <w:sz w:val="20"/>
        </w:rPr>
        <w:t xml:space="preserve"> de maladies respiratoires à cause des poussières</w:t>
      </w:r>
      <w:bookmarkEnd w:id="952"/>
      <w:bookmarkEnd w:id="953"/>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1061"/>
        <w:gridCol w:w="1106"/>
        <w:gridCol w:w="1185"/>
        <w:gridCol w:w="1208"/>
        <w:gridCol w:w="1203"/>
        <w:gridCol w:w="1064"/>
        <w:gridCol w:w="776"/>
        <w:tblGridChange w:id="954">
          <w:tblGrid>
            <w:gridCol w:w="1685"/>
            <w:gridCol w:w="1061"/>
            <w:gridCol w:w="1106"/>
            <w:gridCol w:w="1185"/>
            <w:gridCol w:w="1208"/>
            <w:gridCol w:w="1203"/>
            <w:gridCol w:w="1064"/>
            <w:gridCol w:w="776"/>
          </w:tblGrid>
        </w:tblGridChange>
      </w:tblGrid>
      <w:tr w:rsidR="00DE4358" w:rsidRPr="007F78CE" w14:paraId="17A5E294" w14:textId="77777777" w:rsidTr="00345918">
        <w:trPr>
          <w:jc w:val="center"/>
        </w:trPr>
        <w:tc>
          <w:tcPr>
            <w:tcW w:w="1685" w:type="dxa"/>
            <w:shd w:val="clear" w:color="auto" w:fill="BFBFBF"/>
          </w:tcPr>
          <w:p w14:paraId="5E490554" w14:textId="77777777" w:rsidR="00DE4358" w:rsidRPr="007F78CE" w:rsidRDefault="00DE4358" w:rsidP="007F78CE">
            <w:pPr>
              <w:spacing w:after="0" w:line="240" w:lineRule="auto"/>
              <w:rPr>
                <w:rFonts w:ascii="Arial Narrow" w:hAnsi="Arial Narrow"/>
                <w:b/>
                <w:bCs/>
                <w:sz w:val="20"/>
                <w:szCs w:val="20"/>
              </w:rPr>
            </w:pPr>
            <w:r>
              <w:rPr>
                <w:rFonts w:ascii="Arial Narrow" w:hAnsi="Arial Narrow"/>
                <w:b/>
                <w:bCs/>
                <w:sz w:val="20"/>
                <w:szCs w:val="20"/>
              </w:rPr>
              <w:t>Sous Projet</w:t>
            </w:r>
          </w:p>
        </w:tc>
        <w:tc>
          <w:tcPr>
            <w:tcW w:w="1061" w:type="dxa"/>
            <w:shd w:val="clear" w:color="auto" w:fill="BFBFBF"/>
          </w:tcPr>
          <w:p w14:paraId="325E62C6" w14:textId="77777777" w:rsidR="00DE4358" w:rsidRPr="007F78CE" w:rsidRDefault="00DE4358"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106" w:type="dxa"/>
            <w:shd w:val="clear" w:color="auto" w:fill="BFBFBF"/>
          </w:tcPr>
          <w:p w14:paraId="6A00180D" w14:textId="77777777" w:rsidR="00DE4358" w:rsidRPr="007F78CE" w:rsidRDefault="00DE4358"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1185" w:type="dxa"/>
            <w:shd w:val="clear" w:color="auto" w:fill="BFBFBF"/>
          </w:tcPr>
          <w:p w14:paraId="20A78790" w14:textId="77777777" w:rsidR="00DE4358" w:rsidRPr="007F78CE" w:rsidRDefault="00DE4358"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208" w:type="dxa"/>
            <w:shd w:val="clear" w:color="auto" w:fill="BFBFBF"/>
          </w:tcPr>
          <w:p w14:paraId="560854CF" w14:textId="77777777" w:rsidR="00DE4358" w:rsidRPr="007F78CE" w:rsidRDefault="00DE4358"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203" w:type="dxa"/>
            <w:shd w:val="clear" w:color="auto" w:fill="BFBFBF"/>
          </w:tcPr>
          <w:p w14:paraId="18AA7D91" w14:textId="77777777" w:rsidR="00DE4358" w:rsidRPr="007F78CE" w:rsidRDefault="00DE4358"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auto"/>
          </w:tcPr>
          <w:p w14:paraId="5F9FDA86" w14:textId="77777777" w:rsidR="00DE4358" w:rsidRPr="007F78CE" w:rsidRDefault="00DE4358"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776" w:type="dxa"/>
            <w:shd w:val="clear" w:color="auto" w:fill="auto"/>
          </w:tcPr>
          <w:p w14:paraId="128F1F06" w14:textId="77777777" w:rsidR="00DE4358" w:rsidRPr="007F78CE" w:rsidRDefault="00DE4358" w:rsidP="007F78CE">
            <w:pPr>
              <w:spacing w:after="0" w:line="240" w:lineRule="auto"/>
              <w:rPr>
                <w:rFonts w:ascii="Arial Narrow" w:hAnsi="Arial Narrow"/>
                <w:b/>
                <w:bCs/>
                <w:sz w:val="20"/>
                <w:szCs w:val="20"/>
              </w:rPr>
            </w:pPr>
            <w:r>
              <w:rPr>
                <w:rFonts w:ascii="Arial Narrow" w:hAnsi="Arial Narrow"/>
                <w:b/>
                <w:bCs/>
                <w:sz w:val="20"/>
                <w:szCs w:val="20"/>
              </w:rPr>
              <w:t>Risque</w:t>
            </w:r>
          </w:p>
        </w:tc>
      </w:tr>
      <w:tr w:rsidR="00345918" w:rsidRPr="007F78CE" w14:paraId="696F4A88" w14:textId="77777777" w:rsidTr="00FB04F6">
        <w:trPr>
          <w:jc w:val="center"/>
        </w:trPr>
        <w:tc>
          <w:tcPr>
            <w:tcW w:w="1685" w:type="dxa"/>
          </w:tcPr>
          <w:p w14:paraId="51F2007C" w14:textId="77777777" w:rsidR="00DE4358" w:rsidRPr="007F78CE" w:rsidRDefault="00DE4358" w:rsidP="00B434A6">
            <w:pPr>
              <w:spacing w:after="0" w:line="240" w:lineRule="auto"/>
              <w:contextualSpacing/>
              <w:rPr>
                <w:rFonts w:ascii="Arial Narrow" w:hAnsi="Arial Narrow" w:cs="Arial"/>
                <w:sz w:val="20"/>
                <w:szCs w:val="20"/>
              </w:rPr>
            </w:pPr>
            <w:r>
              <w:rPr>
                <w:rFonts w:ascii="Arial Narrow" w:hAnsi="Arial Narrow" w:cs="Arial"/>
                <w:sz w:val="20"/>
                <w:szCs w:val="20"/>
              </w:rPr>
              <w:t>Infrastructure numérique</w:t>
            </w:r>
          </w:p>
        </w:tc>
        <w:tc>
          <w:tcPr>
            <w:tcW w:w="1061" w:type="dxa"/>
            <w:shd w:val="clear" w:color="auto" w:fill="auto"/>
          </w:tcPr>
          <w:p w14:paraId="4C098224" w14:textId="77777777" w:rsidR="00DE4358" w:rsidRPr="007F78CE" w:rsidRDefault="00DE4358" w:rsidP="00CE0B6B">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23D28AE7" w14:textId="77777777" w:rsidR="00DE4358" w:rsidRPr="007F78CE" w:rsidRDefault="00DE4358" w:rsidP="00CE0B6B">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106" w:type="dxa"/>
            <w:shd w:val="clear" w:color="auto" w:fill="auto"/>
          </w:tcPr>
          <w:p w14:paraId="5F278201" w14:textId="77777777" w:rsidR="00DE4358" w:rsidRPr="007F78CE" w:rsidRDefault="00DE4358" w:rsidP="00CE0B6B">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09B34226" w14:textId="77777777" w:rsidR="00DE4358" w:rsidRPr="007F78CE" w:rsidRDefault="00DE4358" w:rsidP="00CE0B6B">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185" w:type="dxa"/>
            <w:shd w:val="clear" w:color="auto" w:fill="auto"/>
          </w:tcPr>
          <w:p w14:paraId="3CFD60DB" w14:textId="77777777" w:rsidR="00DE4358" w:rsidRPr="007F78CE" w:rsidRDefault="00DE4358" w:rsidP="00CE0B6B">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5F797C1C" w14:textId="77777777" w:rsidR="00DE4358" w:rsidRPr="007F78CE" w:rsidRDefault="00DE4358" w:rsidP="00CE0B6B">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1208" w:type="dxa"/>
            <w:shd w:val="clear" w:color="auto" w:fill="auto"/>
          </w:tcPr>
          <w:p w14:paraId="529B341C" w14:textId="77777777" w:rsidR="00DE4358" w:rsidRPr="007F78CE" w:rsidRDefault="00DE4358" w:rsidP="00B434A6">
            <w:pPr>
              <w:spacing w:after="0" w:line="240" w:lineRule="auto"/>
              <w:contextualSpacing/>
              <w:jc w:val="center"/>
              <w:rPr>
                <w:rFonts w:ascii="Arial Narrow" w:eastAsia="Times New Roman" w:hAnsi="Arial Narrow" w:cs="Arial"/>
                <w:b/>
                <w:smallCaps/>
                <w:color w:val="000000"/>
                <w:sz w:val="20"/>
                <w:szCs w:val="20"/>
              </w:rPr>
            </w:pPr>
            <w:r w:rsidRPr="007F78CE">
              <w:rPr>
                <w:rFonts w:ascii="Arial Narrow" w:hAnsi="Arial Narrow" w:cs="Arial"/>
                <w:sz w:val="20"/>
                <w:szCs w:val="20"/>
              </w:rPr>
              <w:t>Réversible</w:t>
            </w:r>
          </w:p>
          <w:p w14:paraId="272AEC44" w14:textId="77777777" w:rsidR="00DE4358" w:rsidRPr="007F78CE" w:rsidRDefault="00DE4358" w:rsidP="00CE0B6B">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03" w:type="dxa"/>
            <w:shd w:val="clear" w:color="auto" w:fill="FFFF00"/>
          </w:tcPr>
          <w:p w14:paraId="34B6BB3B" w14:textId="77777777" w:rsidR="00DE4358" w:rsidRPr="007F78CE" w:rsidRDefault="00DE4358" w:rsidP="00B434A6">
            <w:pPr>
              <w:spacing w:after="0" w:line="240" w:lineRule="auto"/>
              <w:contextualSpacing/>
              <w:jc w:val="center"/>
              <w:rPr>
                <w:rFonts w:ascii="Arial Narrow" w:eastAsia="Times New Roman" w:hAnsi="Arial Narrow" w:cs="Arial"/>
                <w:b/>
                <w:smallCaps/>
                <w:color w:val="000000"/>
                <w:sz w:val="20"/>
                <w:szCs w:val="20"/>
              </w:rPr>
            </w:pPr>
            <w:r w:rsidRPr="007F78CE">
              <w:rPr>
                <w:rFonts w:ascii="Arial Narrow" w:hAnsi="Arial Narrow" w:cs="Arial"/>
                <w:sz w:val="20"/>
                <w:szCs w:val="20"/>
              </w:rPr>
              <w:t>Moyenne</w:t>
            </w:r>
          </w:p>
          <w:p w14:paraId="613987B2" w14:textId="77777777" w:rsidR="00DE4358" w:rsidRPr="007F78CE" w:rsidRDefault="00DE4358" w:rsidP="00CE0B6B">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tcPr>
          <w:p w14:paraId="77179984" w14:textId="77777777" w:rsidR="00DE4358" w:rsidRPr="007F78CE" w:rsidRDefault="00DE4358" w:rsidP="00B434A6">
            <w:pPr>
              <w:spacing w:after="0" w:line="240" w:lineRule="auto"/>
              <w:contextualSpacing/>
              <w:jc w:val="center"/>
              <w:rPr>
                <w:rFonts w:ascii="Arial Narrow" w:hAnsi="Arial Narrow" w:cs="Arial"/>
                <w:sz w:val="20"/>
                <w:szCs w:val="20"/>
              </w:rPr>
            </w:pPr>
            <w:r w:rsidRPr="00E470A8">
              <w:rPr>
                <w:rFonts w:ascii="Arial Narrow" w:hAnsi="Arial Narrow" w:cs="Arial"/>
                <w:sz w:val="20"/>
                <w:szCs w:val="20"/>
              </w:rPr>
              <w:t xml:space="preserve">Faible </w:t>
            </w:r>
          </w:p>
        </w:tc>
        <w:tc>
          <w:tcPr>
            <w:tcW w:w="776" w:type="dxa"/>
            <w:shd w:val="clear" w:color="auto" w:fill="BFBFBF"/>
          </w:tcPr>
          <w:p w14:paraId="5F6965B2" w14:textId="77777777" w:rsidR="00DE4358" w:rsidRPr="007F78CE" w:rsidRDefault="00DE4358" w:rsidP="00B434A6">
            <w:pPr>
              <w:spacing w:after="0" w:line="240" w:lineRule="auto"/>
              <w:contextualSpacing/>
              <w:jc w:val="center"/>
              <w:rPr>
                <w:rFonts w:ascii="Arial Narrow" w:hAnsi="Arial Narrow" w:cs="Arial"/>
                <w:sz w:val="20"/>
                <w:szCs w:val="20"/>
              </w:rPr>
            </w:pPr>
            <w:r w:rsidRPr="00191AB4">
              <w:rPr>
                <w:rFonts w:ascii="Arial Narrow" w:hAnsi="Arial Narrow" w:cs="Arial"/>
                <w:sz w:val="20"/>
                <w:szCs w:val="20"/>
              </w:rPr>
              <w:t xml:space="preserve">Faible </w:t>
            </w:r>
          </w:p>
        </w:tc>
      </w:tr>
      <w:tr w:rsidR="00345918" w:rsidRPr="007F78CE" w14:paraId="010D94E4" w14:textId="77777777" w:rsidTr="00FB04F6">
        <w:trPr>
          <w:jc w:val="center"/>
        </w:trPr>
        <w:tc>
          <w:tcPr>
            <w:tcW w:w="1685" w:type="dxa"/>
          </w:tcPr>
          <w:p w14:paraId="6D8B40AF" w14:textId="77777777" w:rsidR="00DE4358" w:rsidRPr="007F78CE" w:rsidRDefault="00DE4358" w:rsidP="00B434A6">
            <w:pPr>
              <w:spacing w:after="0" w:line="240" w:lineRule="auto"/>
              <w:contextualSpacing/>
              <w:rPr>
                <w:rFonts w:ascii="Arial Narrow" w:hAnsi="Arial Narrow" w:cs="Arial"/>
                <w:sz w:val="20"/>
                <w:szCs w:val="20"/>
              </w:rPr>
            </w:pPr>
            <w:r>
              <w:rPr>
                <w:rFonts w:ascii="Arial Narrow" w:hAnsi="Arial Narrow" w:cs="Arial"/>
                <w:sz w:val="20"/>
                <w:szCs w:val="20"/>
              </w:rPr>
              <w:t>Centrale électrique solaire</w:t>
            </w:r>
          </w:p>
        </w:tc>
        <w:tc>
          <w:tcPr>
            <w:tcW w:w="1061" w:type="dxa"/>
            <w:shd w:val="clear" w:color="auto" w:fill="auto"/>
          </w:tcPr>
          <w:p w14:paraId="123D6E64" w14:textId="77777777" w:rsidR="00DE4358" w:rsidRPr="007F78CE" w:rsidRDefault="00DE4358" w:rsidP="00CE0B6B">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59C0ACB2" w14:textId="77777777" w:rsidR="00DE4358" w:rsidRPr="007F78CE" w:rsidRDefault="00DE4358" w:rsidP="00CE0B6B">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106" w:type="dxa"/>
            <w:shd w:val="clear" w:color="auto" w:fill="auto"/>
          </w:tcPr>
          <w:p w14:paraId="4FAE159C" w14:textId="77777777" w:rsidR="00DE4358" w:rsidRPr="007F78CE" w:rsidRDefault="00DE4358" w:rsidP="00CE0B6B">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647FDF8E" w14:textId="77777777" w:rsidR="00DE4358" w:rsidRPr="007F78CE" w:rsidRDefault="00DE4358" w:rsidP="00CE0B6B">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185" w:type="dxa"/>
            <w:shd w:val="clear" w:color="auto" w:fill="auto"/>
          </w:tcPr>
          <w:p w14:paraId="18B03B48" w14:textId="77777777" w:rsidR="00DE4358" w:rsidRPr="007F78CE" w:rsidRDefault="00DE4358" w:rsidP="00CE0B6B">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3BDEF3D3" w14:textId="77777777" w:rsidR="00DE4358" w:rsidRPr="007F78CE" w:rsidRDefault="00DE4358" w:rsidP="00CE0B6B">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1208" w:type="dxa"/>
            <w:shd w:val="clear" w:color="auto" w:fill="auto"/>
          </w:tcPr>
          <w:p w14:paraId="733CC81B" w14:textId="77777777" w:rsidR="00DE4358" w:rsidRPr="007F78CE" w:rsidRDefault="00DE4358" w:rsidP="00B434A6">
            <w:pPr>
              <w:spacing w:after="0" w:line="240" w:lineRule="auto"/>
              <w:contextualSpacing/>
              <w:jc w:val="center"/>
              <w:rPr>
                <w:rFonts w:ascii="Arial Narrow" w:eastAsia="Times New Roman" w:hAnsi="Arial Narrow" w:cs="Arial"/>
                <w:b/>
                <w:smallCaps/>
                <w:color w:val="000000"/>
                <w:sz w:val="20"/>
                <w:szCs w:val="20"/>
              </w:rPr>
            </w:pPr>
            <w:r w:rsidRPr="007F78CE">
              <w:rPr>
                <w:rFonts w:ascii="Arial Narrow" w:hAnsi="Arial Narrow" w:cs="Arial"/>
                <w:sz w:val="20"/>
                <w:szCs w:val="20"/>
              </w:rPr>
              <w:t>Réversible</w:t>
            </w:r>
          </w:p>
          <w:p w14:paraId="7DD5A792" w14:textId="77777777" w:rsidR="00DE4358" w:rsidRPr="007F78CE" w:rsidRDefault="00DE4358" w:rsidP="00B434A6">
            <w:pPr>
              <w:spacing w:after="0" w:line="240" w:lineRule="auto"/>
              <w:contextualSpacing/>
              <w:jc w:val="center"/>
              <w:rPr>
                <w:rFonts w:ascii="Arial Narrow" w:eastAsia="Times New Roman" w:hAnsi="Arial Narrow" w:cs="Arial"/>
                <w:b/>
                <w:smallCaps/>
                <w:color w:val="000000"/>
                <w:sz w:val="20"/>
                <w:szCs w:val="20"/>
              </w:rPr>
            </w:pPr>
            <w:r w:rsidRPr="007F78CE">
              <w:rPr>
                <w:rFonts w:ascii="Arial Narrow" w:hAnsi="Arial Narrow" w:cs="Arial"/>
                <w:sz w:val="20"/>
                <w:szCs w:val="20"/>
              </w:rPr>
              <w:t>(1)</w:t>
            </w:r>
          </w:p>
        </w:tc>
        <w:tc>
          <w:tcPr>
            <w:tcW w:w="1203" w:type="dxa"/>
            <w:shd w:val="clear" w:color="auto" w:fill="FFFF00"/>
          </w:tcPr>
          <w:p w14:paraId="088A7E4F" w14:textId="77777777" w:rsidR="00DE4358" w:rsidRPr="007F78CE" w:rsidRDefault="00DE4358" w:rsidP="00CE0B6B">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441C5053" w14:textId="77777777" w:rsidR="00DE4358" w:rsidRPr="007F78CE" w:rsidRDefault="00DE4358" w:rsidP="00B434A6">
            <w:pPr>
              <w:spacing w:after="0" w:line="240" w:lineRule="auto"/>
              <w:contextualSpacing/>
              <w:jc w:val="center"/>
              <w:rPr>
                <w:rFonts w:ascii="Arial Narrow" w:eastAsia="Times New Roman" w:hAnsi="Arial Narrow" w:cs="Arial"/>
                <w:b/>
                <w:smallCaps/>
                <w:color w:val="000000"/>
                <w:sz w:val="20"/>
                <w:szCs w:val="20"/>
              </w:rPr>
            </w:pPr>
            <w:r w:rsidRPr="007F78CE">
              <w:rPr>
                <w:rFonts w:ascii="Arial Narrow" w:hAnsi="Arial Narrow" w:cs="Arial"/>
                <w:sz w:val="20"/>
                <w:szCs w:val="20"/>
              </w:rPr>
              <w:t>(6)</w:t>
            </w:r>
          </w:p>
        </w:tc>
        <w:tc>
          <w:tcPr>
            <w:tcW w:w="1064" w:type="dxa"/>
            <w:shd w:val="clear" w:color="auto" w:fill="auto"/>
          </w:tcPr>
          <w:p w14:paraId="0D425FC4" w14:textId="77777777" w:rsidR="00DE4358" w:rsidRPr="007F78CE" w:rsidRDefault="00DE4358" w:rsidP="00CE0B6B">
            <w:pPr>
              <w:spacing w:after="0" w:line="240" w:lineRule="auto"/>
              <w:contextualSpacing/>
              <w:jc w:val="center"/>
              <w:rPr>
                <w:rFonts w:ascii="Arial Narrow" w:hAnsi="Arial Narrow" w:cs="Arial"/>
                <w:sz w:val="20"/>
                <w:szCs w:val="20"/>
              </w:rPr>
            </w:pPr>
            <w:r w:rsidRPr="00E470A8">
              <w:rPr>
                <w:rFonts w:ascii="Arial Narrow" w:hAnsi="Arial Narrow" w:cs="Arial"/>
                <w:sz w:val="20"/>
                <w:szCs w:val="20"/>
              </w:rPr>
              <w:t xml:space="preserve">Faible </w:t>
            </w:r>
          </w:p>
        </w:tc>
        <w:tc>
          <w:tcPr>
            <w:tcW w:w="776" w:type="dxa"/>
            <w:shd w:val="clear" w:color="auto" w:fill="BFBFBF"/>
          </w:tcPr>
          <w:p w14:paraId="46608CFD" w14:textId="77777777" w:rsidR="00DE4358" w:rsidRPr="007F78CE" w:rsidRDefault="00DE4358" w:rsidP="00CE0B6B">
            <w:pPr>
              <w:spacing w:after="0" w:line="240" w:lineRule="auto"/>
              <w:contextualSpacing/>
              <w:jc w:val="center"/>
              <w:rPr>
                <w:rFonts w:ascii="Arial Narrow" w:hAnsi="Arial Narrow" w:cs="Arial"/>
                <w:sz w:val="20"/>
                <w:szCs w:val="20"/>
              </w:rPr>
            </w:pPr>
            <w:r w:rsidRPr="00191AB4">
              <w:rPr>
                <w:rFonts w:ascii="Arial Narrow" w:hAnsi="Arial Narrow" w:cs="Arial"/>
                <w:sz w:val="20"/>
                <w:szCs w:val="20"/>
              </w:rPr>
              <w:t xml:space="preserve">Faible </w:t>
            </w:r>
          </w:p>
        </w:tc>
      </w:tr>
      <w:tr w:rsidR="00345918" w:rsidRPr="007F78CE" w14:paraId="44403477" w14:textId="77777777" w:rsidTr="00FB04F6">
        <w:trPr>
          <w:jc w:val="center"/>
        </w:trPr>
        <w:tc>
          <w:tcPr>
            <w:tcW w:w="1685" w:type="dxa"/>
          </w:tcPr>
          <w:p w14:paraId="01158D2E" w14:textId="77777777" w:rsidR="00DE4358" w:rsidRPr="007F78CE" w:rsidRDefault="00DE4358" w:rsidP="00B434A6">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61" w:type="dxa"/>
            <w:shd w:val="clear" w:color="auto" w:fill="auto"/>
          </w:tcPr>
          <w:p w14:paraId="32D5C07B" w14:textId="77777777" w:rsidR="00DE4358" w:rsidRPr="007F78CE" w:rsidRDefault="00DE4358" w:rsidP="00CE0B6B">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4D45F873" w14:textId="77777777" w:rsidR="00DE4358" w:rsidRPr="007F78CE" w:rsidRDefault="00DE4358" w:rsidP="00CE0B6B">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106" w:type="dxa"/>
            <w:shd w:val="clear" w:color="auto" w:fill="auto"/>
          </w:tcPr>
          <w:p w14:paraId="10592318" w14:textId="77777777" w:rsidR="00DE4358" w:rsidRPr="007F78CE" w:rsidRDefault="00DE4358" w:rsidP="00CE0B6B">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46A3FA47" w14:textId="77777777" w:rsidR="00DE4358" w:rsidRPr="007F78CE" w:rsidRDefault="00DE4358" w:rsidP="00CE0B6B">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185" w:type="dxa"/>
            <w:shd w:val="clear" w:color="auto" w:fill="auto"/>
          </w:tcPr>
          <w:p w14:paraId="1BC5563A" w14:textId="77777777" w:rsidR="00DE4358" w:rsidRPr="007F78CE" w:rsidRDefault="00DE4358" w:rsidP="00CE0B6B">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7C89C024" w14:textId="77777777" w:rsidR="00DE4358" w:rsidRPr="007F78CE" w:rsidRDefault="00DE4358" w:rsidP="00CE0B6B">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1208" w:type="dxa"/>
            <w:shd w:val="clear" w:color="auto" w:fill="auto"/>
          </w:tcPr>
          <w:p w14:paraId="4B9D1372" w14:textId="77777777" w:rsidR="00DE4358" w:rsidRPr="007F78CE" w:rsidRDefault="00DE4358" w:rsidP="00B434A6">
            <w:pPr>
              <w:spacing w:after="0" w:line="240" w:lineRule="auto"/>
              <w:contextualSpacing/>
              <w:jc w:val="center"/>
              <w:rPr>
                <w:rFonts w:ascii="Arial Narrow" w:eastAsia="Times New Roman" w:hAnsi="Arial Narrow" w:cs="Arial"/>
                <w:b/>
                <w:smallCaps/>
                <w:color w:val="000000"/>
                <w:sz w:val="20"/>
                <w:szCs w:val="20"/>
              </w:rPr>
            </w:pPr>
            <w:r w:rsidRPr="007F78CE">
              <w:rPr>
                <w:rFonts w:ascii="Arial Narrow" w:hAnsi="Arial Narrow" w:cs="Arial"/>
                <w:sz w:val="20"/>
                <w:szCs w:val="20"/>
              </w:rPr>
              <w:t>Réversible</w:t>
            </w:r>
          </w:p>
          <w:p w14:paraId="63FFEBAE" w14:textId="77777777" w:rsidR="00DE4358" w:rsidRPr="007F78CE" w:rsidRDefault="00DE4358" w:rsidP="00B434A6">
            <w:pPr>
              <w:spacing w:after="0" w:line="240" w:lineRule="auto"/>
              <w:contextualSpacing/>
              <w:jc w:val="center"/>
              <w:rPr>
                <w:rFonts w:ascii="Arial Narrow" w:eastAsia="Times New Roman" w:hAnsi="Arial Narrow" w:cs="Arial"/>
                <w:b/>
                <w:smallCaps/>
                <w:color w:val="000000"/>
                <w:sz w:val="20"/>
                <w:szCs w:val="20"/>
              </w:rPr>
            </w:pPr>
            <w:r w:rsidRPr="007F78CE">
              <w:rPr>
                <w:rFonts w:ascii="Arial Narrow" w:hAnsi="Arial Narrow" w:cs="Arial"/>
                <w:sz w:val="20"/>
                <w:szCs w:val="20"/>
              </w:rPr>
              <w:t>(1)</w:t>
            </w:r>
          </w:p>
        </w:tc>
        <w:tc>
          <w:tcPr>
            <w:tcW w:w="1203" w:type="dxa"/>
            <w:shd w:val="clear" w:color="auto" w:fill="FFFF00"/>
          </w:tcPr>
          <w:p w14:paraId="6C01684C" w14:textId="77777777" w:rsidR="00DE4358" w:rsidRPr="007F78CE" w:rsidRDefault="00DE4358" w:rsidP="00CE0B6B">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0D0B0FA4" w14:textId="77777777" w:rsidR="00DE4358" w:rsidRPr="007F78CE" w:rsidRDefault="00DE4358" w:rsidP="00B434A6">
            <w:pPr>
              <w:spacing w:after="0" w:line="240" w:lineRule="auto"/>
              <w:contextualSpacing/>
              <w:jc w:val="center"/>
              <w:rPr>
                <w:rFonts w:ascii="Arial Narrow" w:eastAsia="Times New Roman" w:hAnsi="Arial Narrow" w:cs="Arial"/>
                <w:b/>
                <w:smallCaps/>
                <w:color w:val="000000"/>
                <w:sz w:val="20"/>
                <w:szCs w:val="20"/>
              </w:rPr>
            </w:pPr>
            <w:r w:rsidRPr="007F78CE">
              <w:rPr>
                <w:rFonts w:ascii="Arial Narrow" w:hAnsi="Arial Narrow" w:cs="Arial"/>
                <w:sz w:val="20"/>
                <w:szCs w:val="20"/>
              </w:rPr>
              <w:t>(6)</w:t>
            </w:r>
          </w:p>
        </w:tc>
        <w:tc>
          <w:tcPr>
            <w:tcW w:w="1064" w:type="dxa"/>
            <w:shd w:val="clear" w:color="auto" w:fill="auto"/>
          </w:tcPr>
          <w:p w14:paraId="7C63CCEF" w14:textId="77777777" w:rsidR="00DE4358" w:rsidRPr="007F78CE" w:rsidRDefault="00DE4358" w:rsidP="00CE0B6B">
            <w:pPr>
              <w:spacing w:after="0" w:line="240" w:lineRule="auto"/>
              <w:contextualSpacing/>
              <w:jc w:val="center"/>
              <w:rPr>
                <w:rFonts w:ascii="Arial Narrow" w:hAnsi="Arial Narrow" w:cs="Arial"/>
                <w:sz w:val="20"/>
                <w:szCs w:val="20"/>
              </w:rPr>
            </w:pPr>
            <w:r w:rsidRPr="00E470A8">
              <w:rPr>
                <w:rFonts w:ascii="Arial Narrow" w:hAnsi="Arial Narrow" w:cs="Arial"/>
                <w:sz w:val="20"/>
                <w:szCs w:val="20"/>
              </w:rPr>
              <w:t xml:space="preserve">Faible </w:t>
            </w:r>
          </w:p>
        </w:tc>
        <w:tc>
          <w:tcPr>
            <w:tcW w:w="776" w:type="dxa"/>
            <w:shd w:val="clear" w:color="auto" w:fill="BFBFBF"/>
          </w:tcPr>
          <w:p w14:paraId="1BB9DC2C" w14:textId="77777777" w:rsidR="00DE4358" w:rsidRPr="007F78CE" w:rsidRDefault="00DE4358" w:rsidP="00CE0B6B">
            <w:pPr>
              <w:spacing w:after="0" w:line="240" w:lineRule="auto"/>
              <w:contextualSpacing/>
              <w:jc w:val="center"/>
              <w:rPr>
                <w:rFonts w:ascii="Arial Narrow" w:hAnsi="Arial Narrow" w:cs="Arial"/>
                <w:sz w:val="20"/>
                <w:szCs w:val="20"/>
              </w:rPr>
            </w:pPr>
            <w:r w:rsidRPr="00191AB4">
              <w:rPr>
                <w:rFonts w:ascii="Arial Narrow" w:hAnsi="Arial Narrow" w:cs="Arial"/>
                <w:sz w:val="20"/>
                <w:szCs w:val="20"/>
              </w:rPr>
              <w:t xml:space="preserve">Faible </w:t>
            </w:r>
          </w:p>
        </w:tc>
      </w:tr>
      <w:tr w:rsidR="00345918" w:rsidRPr="007F78CE" w14:paraId="2626377C" w14:textId="77777777" w:rsidTr="00FB04F6">
        <w:trPr>
          <w:jc w:val="center"/>
        </w:trPr>
        <w:tc>
          <w:tcPr>
            <w:tcW w:w="1685" w:type="dxa"/>
          </w:tcPr>
          <w:p w14:paraId="6E2980B6" w14:textId="77777777" w:rsidR="00DE4358" w:rsidRDefault="00DE4358" w:rsidP="002B7DC1">
            <w:pPr>
              <w:spacing w:after="0" w:line="240" w:lineRule="auto"/>
              <w:contextualSpacing/>
              <w:rPr>
                <w:rFonts w:ascii="Arial Narrow" w:hAnsi="Arial Narrow" w:cs="Arial"/>
                <w:sz w:val="20"/>
                <w:szCs w:val="20"/>
              </w:rPr>
            </w:pPr>
            <w:r>
              <w:rPr>
                <w:rFonts w:ascii="Arial Narrow" w:hAnsi="Arial Narrow" w:cs="Arial"/>
                <w:sz w:val="20"/>
                <w:szCs w:val="20"/>
              </w:rPr>
              <w:t>Réseau électrique</w:t>
            </w:r>
          </w:p>
        </w:tc>
        <w:tc>
          <w:tcPr>
            <w:tcW w:w="1061" w:type="dxa"/>
            <w:shd w:val="clear" w:color="auto" w:fill="auto"/>
          </w:tcPr>
          <w:p w14:paraId="493BAAE5" w14:textId="77777777" w:rsidR="00DE4358" w:rsidRPr="007F78CE" w:rsidRDefault="00DE4358" w:rsidP="00296692">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1117F8DF" w14:textId="77777777" w:rsidR="00DE4358" w:rsidRPr="007F78CE" w:rsidRDefault="00DE4358" w:rsidP="00CE0B6B">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106" w:type="dxa"/>
            <w:shd w:val="clear" w:color="auto" w:fill="auto"/>
          </w:tcPr>
          <w:p w14:paraId="5FB34925" w14:textId="77777777" w:rsidR="00DE4358" w:rsidRDefault="00DE4358" w:rsidP="00CE0B6B">
            <w:pPr>
              <w:spacing w:after="0" w:line="240" w:lineRule="auto"/>
              <w:contextualSpacing/>
              <w:jc w:val="center"/>
              <w:rPr>
                <w:rFonts w:ascii="Arial Narrow" w:hAnsi="Arial Narrow" w:cs="Arial"/>
                <w:sz w:val="20"/>
                <w:szCs w:val="20"/>
              </w:rPr>
            </w:pPr>
            <w:r>
              <w:rPr>
                <w:rFonts w:ascii="Arial Narrow" w:hAnsi="Arial Narrow" w:cs="Arial"/>
                <w:sz w:val="20"/>
                <w:szCs w:val="20"/>
              </w:rPr>
              <w:t>Ponctuelle</w:t>
            </w:r>
          </w:p>
          <w:p w14:paraId="7C09EAE0" w14:textId="77777777" w:rsidR="00DE4358" w:rsidRPr="007F78CE" w:rsidRDefault="00DE4358" w:rsidP="00CE0B6B">
            <w:pPr>
              <w:spacing w:after="0" w:line="240" w:lineRule="auto"/>
              <w:contextualSpacing/>
              <w:jc w:val="center"/>
              <w:rPr>
                <w:rFonts w:ascii="Arial Narrow" w:hAnsi="Arial Narrow" w:cs="Arial"/>
                <w:sz w:val="20"/>
                <w:szCs w:val="20"/>
              </w:rPr>
            </w:pPr>
            <w:r>
              <w:rPr>
                <w:rFonts w:ascii="Arial Narrow" w:hAnsi="Arial Narrow" w:cs="Arial"/>
                <w:sz w:val="20"/>
                <w:szCs w:val="20"/>
              </w:rPr>
              <w:t>(1)</w:t>
            </w:r>
          </w:p>
        </w:tc>
        <w:tc>
          <w:tcPr>
            <w:tcW w:w="1185" w:type="dxa"/>
            <w:shd w:val="clear" w:color="auto" w:fill="auto"/>
          </w:tcPr>
          <w:p w14:paraId="23849CCC"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317FF6AE" w14:textId="77777777" w:rsidR="00DE4358" w:rsidRPr="007F78CE" w:rsidRDefault="00DE4358" w:rsidP="00CE0B6B">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1208" w:type="dxa"/>
            <w:shd w:val="clear" w:color="auto" w:fill="auto"/>
          </w:tcPr>
          <w:p w14:paraId="1527505F"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20431A37" w14:textId="77777777" w:rsidR="00DE4358" w:rsidRPr="007F78CE" w:rsidRDefault="00DE4358" w:rsidP="002B7DC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03" w:type="dxa"/>
            <w:shd w:val="clear" w:color="auto" w:fill="00B050"/>
          </w:tcPr>
          <w:p w14:paraId="49517151"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w:t>
            </w:r>
            <w:r>
              <w:rPr>
                <w:rFonts w:ascii="Arial Narrow" w:hAnsi="Arial Narrow" w:cs="Arial"/>
                <w:sz w:val="20"/>
                <w:szCs w:val="20"/>
              </w:rPr>
              <w:t xml:space="preserve">ineure </w:t>
            </w:r>
          </w:p>
          <w:p w14:paraId="54751940" w14:textId="77777777" w:rsidR="00DE4358" w:rsidRPr="007F78CE" w:rsidRDefault="00DE4358" w:rsidP="0079003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tcPr>
          <w:p w14:paraId="2B568A83" w14:textId="77777777" w:rsidR="00DE4358" w:rsidRPr="007F78CE" w:rsidRDefault="00DE4358" w:rsidP="00296692">
            <w:pPr>
              <w:spacing w:after="0" w:line="240" w:lineRule="auto"/>
              <w:contextualSpacing/>
              <w:jc w:val="center"/>
              <w:rPr>
                <w:rFonts w:ascii="Arial Narrow" w:hAnsi="Arial Narrow" w:cs="Arial"/>
                <w:sz w:val="20"/>
                <w:szCs w:val="20"/>
              </w:rPr>
            </w:pPr>
            <w:r w:rsidRPr="00E470A8">
              <w:rPr>
                <w:rFonts w:ascii="Arial Narrow" w:hAnsi="Arial Narrow" w:cs="Arial"/>
                <w:sz w:val="20"/>
                <w:szCs w:val="20"/>
              </w:rPr>
              <w:t xml:space="preserve">Faible </w:t>
            </w:r>
          </w:p>
        </w:tc>
        <w:tc>
          <w:tcPr>
            <w:tcW w:w="776" w:type="dxa"/>
            <w:shd w:val="clear" w:color="auto" w:fill="538135"/>
          </w:tcPr>
          <w:p w14:paraId="320C8A66" w14:textId="77777777" w:rsidR="00DE4358" w:rsidRPr="007F78CE" w:rsidRDefault="00DE435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Très faible</w:t>
            </w:r>
          </w:p>
        </w:tc>
      </w:tr>
      <w:tr w:rsidR="001716F8" w:rsidRPr="007F78CE" w14:paraId="318486FC" w14:textId="77777777" w:rsidTr="00FB04F6">
        <w:trPr>
          <w:jc w:val="center"/>
        </w:trPr>
        <w:tc>
          <w:tcPr>
            <w:tcW w:w="1685" w:type="dxa"/>
          </w:tcPr>
          <w:p w14:paraId="232B4E04" w14:textId="77777777" w:rsidR="001716F8" w:rsidRDefault="001716F8" w:rsidP="002B7DC1">
            <w:pPr>
              <w:spacing w:after="0" w:line="240" w:lineRule="auto"/>
              <w:contextualSpacing/>
              <w:rPr>
                <w:rFonts w:ascii="Arial Narrow" w:hAnsi="Arial Narrow" w:cs="Arial"/>
                <w:sz w:val="20"/>
                <w:szCs w:val="20"/>
              </w:rPr>
            </w:pPr>
            <w:r>
              <w:rPr>
                <w:rFonts w:ascii="Arial Narrow" w:hAnsi="Arial Narrow" w:cs="Arial"/>
                <w:sz w:val="20"/>
                <w:szCs w:val="20"/>
              </w:rPr>
              <w:t>Impact cummulé</w:t>
            </w:r>
          </w:p>
        </w:tc>
        <w:tc>
          <w:tcPr>
            <w:tcW w:w="1061" w:type="dxa"/>
            <w:shd w:val="clear" w:color="auto" w:fill="auto"/>
          </w:tcPr>
          <w:p w14:paraId="4F5CAB3F" w14:textId="77777777" w:rsidR="001716F8" w:rsidRPr="007F78CE" w:rsidRDefault="001716F8" w:rsidP="00D70FB3">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312267C7"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106" w:type="dxa"/>
            <w:shd w:val="clear" w:color="auto" w:fill="auto"/>
          </w:tcPr>
          <w:p w14:paraId="0FF4199C"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228720C2" w14:textId="77777777" w:rsidR="001716F8" w:rsidRDefault="001716F8" w:rsidP="00CE0B6B">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185" w:type="dxa"/>
            <w:shd w:val="clear" w:color="auto" w:fill="auto"/>
          </w:tcPr>
          <w:p w14:paraId="350076F6"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6DE095F4"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1208" w:type="dxa"/>
            <w:shd w:val="clear" w:color="auto" w:fill="auto"/>
          </w:tcPr>
          <w:p w14:paraId="5BE5A2A2" w14:textId="77777777" w:rsidR="001716F8" w:rsidRPr="007F78CE" w:rsidRDefault="001716F8" w:rsidP="00D70FB3">
            <w:pPr>
              <w:spacing w:after="0" w:line="240" w:lineRule="auto"/>
              <w:contextualSpacing/>
              <w:jc w:val="center"/>
              <w:rPr>
                <w:rFonts w:ascii="Arial Narrow" w:eastAsia="Times New Roman" w:hAnsi="Arial Narrow" w:cs="Arial"/>
                <w:b/>
                <w:smallCaps/>
                <w:color w:val="000000"/>
                <w:sz w:val="20"/>
                <w:szCs w:val="20"/>
              </w:rPr>
            </w:pPr>
            <w:r w:rsidRPr="007F78CE">
              <w:rPr>
                <w:rFonts w:ascii="Arial Narrow" w:hAnsi="Arial Narrow" w:cs="Arial"/>
                <w:sz w:val="20"/>
                <w:szCs w:val="20"/>
              </w:rPr>
              <w:t>Réversible</w:t>
            </w:r>
          </w:p>
          <w:p w14:paraId="139CF766"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03" w:type="dxa"/>
            <w:shd w:val="clear" w:color="auto" w:fill="00B050"/>
          </w:tcPr>
          <w:p w14:paraId="07CBAFAB" w14:textId="77777777" w:rsidR="001716F8" w:rsidRPr="007F78CE" w:rsidRDefault="001716F8" w:rsidP="00D70FB3">
            <w:pPr>
              <w:spacing w:after="0" w:line="240" w:lineRule="auto"/>
              <w:contextualSpacing/>
              <w:jc w:val="center"/>
              <w:rPr>
                <w:rFonts w:ascii="Arial Narrow" w:eastAsia="Times New Roman" w:hAnsi="Arial Narrow" w:cs="Arial"/>
                <w:b/>
                <w:smallCaps/>
                <w:color w:val="000000"/>
                <w:sz w:val="20"/>
                <w:szCs w:val="20"/>
              </w:rPr>
            </w:pPr>
            <w:r w:rsidRPr="007F78CE">
              <w:rPr>
                <w:rFonts w:ascii="Arial Narrow" w:hAnsi="Arial Narrow" w:cs="Arial"/>
                <w:sz w:val="20"/>
                <w:szCs w:val="20"/>
              </w:rPr>
              <w:t>Moyenne</w:t>
            </w:r>
          </w:p>
          <w:p w14:paraId="2C1EDBA9"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tcPr>
          <w:p w14:paraId="36DDA023" w14:textId="77777777" w:rsidR="001716F8" w:rsidRPr="00E470A8" w:rsidRDefault="001716F8" w:rsidP="00296692">
            <w:pPr>
              <w:spacing w:after="0" w:line="240" w:lineRule="auto"/>
              <w:contextualSpacing/>
              <w:jc w:val="center"/>
              <w:rPr>
                <w:rFonts w:ascii="Arial Narrow" w:hAnsi="Arial Narrow" w:cs="Arial"/>
                <w:sz w:val="20"/>
                <w:szCs w:val="20"/>
              </w:rPr>
            </w:pPr>
            <w:r w:rsidRPr="00E470A8">
              <w:rPr>
                <w:rFonts w:ascii="Arial Narrow" w:hAnsi="Arial Narrow" w:cs="Arial"/>
                <w:sz w:val="20"/>
                <w:szCs w:val="20"/>
              </w:rPr>
              <w:t xml:space="preserve">Faible </w:t>
            </w:r>
          </w:p>
        </w:tc>
        <w:tc>
          <w:tcPr>
            <w:tcW w:w="776" w:type="dxa"/>
            <w:shd w:val="clear" w:color="auto" w:fill="538135"/>
          </w:tcPr>
          <w:p w14:paraId="6F552BF7" w14:textId="77777777" w:rsidR="001716F8" w:rsidRDefault="001716F8" w:rsidP="00296692">
            <w:pPr>
              <w:spacing w:after="0" w:line="240" w:lineRule="auto"/>
              <w:contextualSpacing/>
              <w:jc w:val="center"/>
              <w:rPr>
                <w:rFonts w:ascii="Arial Narrow" w:hAnsi="Arial Narrow" w:cs="Arial"/>
                <w:sz w:val="20"/>
                <w:szCs w:val="20"/>
              </w:rPr>
            </w:pPr>
            <w:r w:rsidRPr="00191AB4">
              <w:rPr>
                <w:rFonts w:ascii="Arial Narrow" w:hAnsi="Arial Narrow" w:cs="Arial"/>
                <w:sz w:val="20"/>
                <w:szCs w:val="20"/>
              </w:rPr>
              <w:t xml:space="preserve">Faible </w:t>
            </w:r>
          </w:p>
        </w:tc>
      </w:tr>
    </w:tbl>
    <w:p w14:paraId="443B4CE2" w14:textId="77777777" w:rsidR="0090044A" w:rsidRPr="004C2FF7" w:rsidRDefault="0090044A" w:rsidP="00687DD2">
      <w:pPr>
        <w:pStyle w:val="Normal12"/>
        <w:numPr>
          <w:ilvl w:val="0"/>
          <w:numId w:val="85"/>
        </w:numPr>
        <w:spacing w:before="100" w:beforeAutospacing="1" w:after="100" w:afterAutospacing="1"/>
        <w:ind w:left="1077" w:hanging="357"/>
        <w:contextualSpacing/>
        <w:rPr>
          <w:i/>
          <w:iCs/>
          <w:lang w:val="fr-FR"/>
        </w:rPr>
      </w:pPr>
      <w:r w:rsidRPr="004C2FF7">
        <w:rPr>
          <w:i/>
          <w:iCs/>
          <w:lang w:val="fr-FR"/>
        </w:rPr>
        <w:t xml:space="preserve">Risque d’augmentation des maladies transmissibles (IST/SIDA, COVID - 19) </w:t>
      </w:r>
    </w:p>
    <w:p w14:paraId="3201640D" w14:textId="77777777" w:rsidR="0090044A" w:rsidRPr="008D2A01" w:rsidRDefault="0090044A" w:rsidP="008D2A01">
      <w:pPr>
        <w:spacing w:line="240" w:lineRule="auto"/>
        <w:jc w:val="both"/>
        <w:rPr>
          <w:rFonts w:ascii="Arial" w:hAnsi="Arial" w:cs="Arial"/>
        </w:rPr>
      </w:pPr>
      <w:r w:rsidRPr="008D2A01">
        <w:rPr>
          <w:rFonts w:ascii="Arial" w:hAnsi="Arial" w:cs="Arial"/>
        </w:rPr>
        <w:t xml:space="preserve">La présence de main d’œuvre provenant de l’extérieur, loin de leurs familles et l’attrait du gain facile pourrait entraîner les femmes </w:t>
      </w:r>
      <w:r w:rsidR="00F5207D">
        <w:rPr>
          <w:rFonts w:ascii="Arial" w:hAnsi="Arial" w:cs="Arial"/>
        </w:rPr>
        <w:t xml:space="preserve">locales </w:t>
      </w:r>
      <w:r w:rsidRPr="008D2A01">
        <w:rPr>
          <w:rFonts w:ascii="Arial" w:hAnsi="Arial" w:cs="Arial"/>
        </w:rPr>
        <w:t>dans la prostitution. Ainsi, une relation non protégée peut favoriser la propagation de maladies sexuellement transmissibles telles que l</w:t>
      </w:r>
      <w:r w:rsidR="00067C78">
        <w:rPr>
          <w:rFonts w:ascii="Arial" w:hAnsi="Arial" w:cs="Arial"/>
        </w:rPr>
        <w:t>’</w:t>
      </w:r>
      <w:r w:rsidRPr="008D2A01">
        <w:rPr>
          <w:rFonts w:ascii="Arial" w:hAnsi="Arial" w:cs="Arial"/>
        </w:rPr>
        <w:t xml:space="preserve"> IST/SIDA.</w:t>
      </w:r>
    </w:p>
    <w:p w14:paraId="7A681A6A" w14:textId="77777777" w:rsidR="0090044A" w:rsidRPr="008D2A01" w:rsidRDefault="0090044A" w:rsidP="008D2A01">
      <w:pPr>
        <w:spacing w:line="240" w:lineRule="auto"/>
        <w:jc w:val="both"/>
        <w:rPr>
          <w:rFonts w:ascii="Arial" w:hAnsi="Arial" w:cs="Arial"/>
        </w:rPr>
      </w:pPr>
      <w:r w:rsidRPr="008D2A01">
        <w:rPr>
          <w:rFonts w:ascii="Arial" w:hAnsi="Arial" w:cs="Arial"/>
        </w:rPr>
        <w:t xml:space="preserve">La présence d’ouvriers non locaux qui pourrait apporter des maladies transmissibles et la présence du COVID </w:t>
      </w:r>
      <w:r w:rsidR="007D2F2E">
        <w:rPr>
          <w:rFonts w:ascii="Arial" w:hAnsi="Arial" w:cs="Arial"/>
        </w:rPr>
        <w:t>–</w:t>
      </w:r>
      <w:r w:rsidRPr="008D2A01">
        <w:rPr>
          <w:rFonts w:ascii="Arial" w:hAnsi="Arial" w:cs="Arial"/>
        </w:rPr>
        <w:t xml:space="preserve"> 19 exposerait les travailleurs au risque d’infection.</w:t>
      </w:r>
    </w:p>
    <w:p w14:paraId="06CA5098" w14:textId="77777777" w:rsidR="0090044A" w:rsidRPr="008D2A01" w:rsidRDefault="0090044A" w:rsidP="008D2A01">
      <w:pPr>
        <w:spacing w:line="240" w:lineRule="auto"/>
        <w:jc w:val="both"/>
        <w:rPr>
          <w:rFonts w:ascii="Arial" w:hAnsi="Arial" w:cs="Arial"/>
        </w:rPr>
      </w:pPr>
      <w:r w:rsidRPr="008D2A01">
        <w:rPr>
          <w:rFonts w:ascii="Arial" w:hAnsi="Arial" w:cs="Arial"/>
        </w:rPr>
        <w:t>L’impact est évalué comme d’importance « moyenne »</w:t>
      </w:r>
      <w:r w:rsidR="008325C4">
        <w:rPr>
          <w:rFonts w:ascii="Arial" w:hAnsi="Arial" w:cs="Arial"/>
        </w:rPr>
        <w:t xml:space="preserve"> </w:t>
      </w:r>
      <w:r w:rsidR="00DE4358">
        <w:rPr>
          <w:rFonts w:ascii="Arial" w:hAnsi="Arial" w:cs="Arial"/>
        </w:rPr>
        <w:t xml:space="preserve">avec un niveau de risque elevé </w:t>
      </w:r>
      <w:r w:rsidR="008325C4">
        <w:rPr>
          <w:rFonts w:ascii="Arial" w:hAnsi="Arial" w:cs="Arial"/>
        </w:rPr>
        <w:t>selon le tableau suivant</w:t>
      </w:r>
      <w:r w:rsidRPr="008D2A01">
        <w:rPr>
          <w:rFonts w:ascii="Arial" w:hAnsi="Arial" w:cs="Arial"/>
        </w:rPr>
        <w:t>.</w:t>
      </w:r>
    </w:p>
    <w:p w14:paraId="1A8282E8" w14:textId="77777777" w:rsidR="0090044A" w:rsidRPr="002E58DC" w:rsidRDefault="0090044A" w:rsidP="002E58DC">
      <w:pPr>
        <w:pStyle w:val="Lgende"/>
        <w:spacing w:before="120"/>
        <w:jc w:val="center"/>
        <w:rPr>
          <w:sz w:val="20"/>
        </w:rPr>
      </w:pPr>
      <w:bookmarkStart w:id="955" w:name="_Toc100753931"/>
      <w:bookmarkStart w:id="956" w:name="_Toc127957836"/>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40</w:t>
      </w:r>
      <w:r w:rsidRPr="002E58DC">
        <w:rPr>
          <w:sz w:val="20"/>
        </w:rPr>
        <w:fldChar w:fldCharType="end"/>
      </w:r>
      <w:r w:rsidRPr="002E58DC">
        <w:rPr>
          <w:sz w:val="20"/>
        </w:rPr>
        <w:t xml:space="preserve">. Evaluation l’impact –Risque de transmission des maladies transmissibles (MST/VIH SIDA, COVID </w:t>
      </w:r>
      <w:r w:rsidR="007D2F2E">
        <w:rPr>
          <w:sz w:val="20"/>
        </w:rPr>
        <w:t>–</w:t>
      </w:r>
      <w:r w:rsidRPr="002E58DC">
        <w:rPr>
          <w:sz w:val="20"/>
        </w:rPr>
        <w:t xml:space="preserve"> 19)</w:t>
      </w:r>
      <w:bookmarkEnd w:id="955"/>
      <w:bookmarkEnd w:id="956"/>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055"/>
        <w:gridCol w:w="1027"/>
        <w:gridCol w:w="915"/>
        <w:gridCol w:w="1339"/>
        <w:gridCol w:w="1287"/>
        <w:gridCol w:w="1064"/>
        <w:gridCol w:w="872"/>
        <w:tblGridChange w:id="957">
          <w:tblGrid>
            <w:gridCol w:w="1729"/>
            <w:gridCol w:w="1055"/>
            <w:gridCol w:w="1027"/>
            <w:gridCol w:w="915"/>
            <w:gridCol w:w="1339"/>
            <w:gridCol w:w="1287"/>
            <w:gridCol w:w="1064"/>
            <w:gridCol w:w="872"/>
          </w:tblGrid>
        </w:tblGridChange>
      </w:tblGrid>
      <w:tr w:rsidR="00DE4358" w:rsidRPr="007F78CE" w14:paraId="34A94C8E" w14:textId="77777777" w:rsidTr="00345918">
        <w:trPr>
          <w:jc w:val="center"/>
        </w:trPr>
        <w:tc>
          <w:tcPr>
            <w:tcW w:w="1729" w:type="dxa"/>
            <w:shd w:val="clear" w:color="auto" w:fill="BFBFBF"/>
          </w:tcPr>
          <w:p w14:paraId="1BE4ADCA" w14:textId="77777777" w:rsidR="00DE4358" w:rsidRPr="007F78CE" w:rsidRDefault="00DE4358" w:rsidP="00B434A6">
            <w:pPr>
              <w:spacing w:after="0" w:line="240" w:lineRule="auto"/>
              <w:jc w:val="center"/>
              <w:rPr>
                <w:rFonts w:ascii="Arial Narrow" w:hAnsi="Arial Narrow"/>
                <w:b/>
                <w:bCs/>
                <w:sz w:val="20"/>
                <w:szCs w:val="20"/>
              </w:rPr>
            </w:pPr>
            <w:r>
              <w:rPr>
                <w:rFonts w:ascii="Arial Narrow" w:hAnsi="Arial Narrow"/>
                <w:b/>
                <w:bCs/>
                <w:sz w:val="20"/>
                <w:szCs w:val="20"/>
              </w:rPr>
              <w:t>Sous Projet</w:t>
            </w:r>
          </w:p>
        </w:tc>
        <w:tc>
          <w:tcPr>
            <w:tcW w:w="1055" w:type="dxa"/>
            <w:shd w:val="clear" w:color="auto" w:fill="BFBFBF"/>
          </w:tcPr>
          <w:p w14:paraId="2EEBD801" w14:textId="77777777" w:rsidR="00DE4358" w:rsidRPr="007F78CE" w:rsidRDefault="00DE4358"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027" w:type="dxa"/>
            <w:shd w:val="clear" w:color="auto" w:fill="BFBFBF"/>
          </w:tcPr>
          <w:p w14:paraId="28CA6BFE" w14:textId="77777777" w:rsidR="00DE4358" w:rsidRPr="007F78CE" w:rsidRDefault="00DE4358"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915" w:type="dxa"/>
            <w:shd w:val="clear" w:color="auto" w:fill="BFBFBF"/>
          </w:tcPr>
          <w:p w14:paraId="789DA9A4" w14:textId="77777777" w:rsidR="00DE4358" w:rsidRPr="007F78CE" w:rsidRDefault="00DE4358"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339" w:type="dxa"/>
            <w:shd w:val="clear" w:color="auto" w:fill="BFBFBF"/>
          </w:tcPr>
          <w:p w14:paraId="5381E586" w14:textId="77777777" w:rsidR="00DE4358" w:rsidRPr="007F78CE" w:rsidRDefault="00DE4358"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287" w:type="dxa"/>
            <w:shd w:val="clear" w:color="auto" w:fill="BFBFBF"/>
          </w:tcPr>
          <w:p w14:paraId="394F23B7" w14:textId="77777777" w:rsidR="00DE4358" w:rsidRPr="007F78CE" w:rsidRDefault="00DE4358"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auto"/>
          </w:tcPr>
          <w:p w14:paraId="2C19FBBF" w14:textId="77777777" w:rsidR="00DE4358" w:rsidRPr="007F78CE" w:rsidRDefault="00DE4358"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872" w:type="dxa"/>
            <w:shd w:val="clear" w:color="auto" w:fill="auto"/>
          </w:tcPr>
          <w:p w14:paraId="7BDBA72C" w14:textId="77777777" w:rsidR="00DE4358" w:rsidRPr="007F78CE" w:rsidRDefault="00DE4358" w:rsidP="007F78CE">
            <w:pPr>
              <w:spacing w:after="0" w:line="240" w:lineRule="auto"/>
              <w:rPr>
                <w:rFonts w:ascii="Arial Narrow" w:hAnsi="Arial Narrow"/>
                <w:b/>
                <w:bCs/>
                <w:sz w:val="20"/>
                <w:szCs w:val="20"/>
              </w:rPr>
            </w:pPr>
            <w:r>
              <w:rPr>
                <w:rFonts w:ascii="Arial Narrow" w:hAnsi="Arial Narrow"/>
                <w:b/>
                <w:bCs/>
                <w:sz w:val="20"/>
                <w:szCs w:val="20"/>
              </w:rPr>
              <w:t>Risque</w:t>
            </w:r>
          </w:p>
        </w:tc>
      </w:tr>
      <w:tr w:rsidR="00DE4358" w:rsidRPr="007F78CE" w14:paraId="7345F363" w14:textId="77777777" w:rsidTr="00345918">
        <w:trPr>
          <w:jc w:val="center"/>
        </w:trPr>
        <w:tc>
          <w:tcPr>
            <w:tcW w:w="1729" w:type="dxa"/>
          </w:tcPr>
          <w:p w14:paraId="5DEAA9F1" w14:textId="77777777" w:rsidR="00DE4358" w:rsidRPr="007F78CE" w:rsidRDefault="00DE4358" w:rsidP="00B434A6">
            <w:pPr>
              <w:spacing w:after="0" w:line="240" w:lineRule="auto"/>
              <w:contextualSpacing/>
              <w:rPr>
                <w:rFonts w:ascii="Arial Narrow" w:hAnsi="Arial Narrow" w:cs="Arial"/>
                <w:sz w:val="20"/>
                <w:szCs w:val="20"/>
              </w:rPr>
            </w:pPr>
            <w:r>
              <w:rPr>
                <w:rFonts w:ascii="Arial Narrow" w:hAnsi="Arial Narrow" w:cs="Arial"/>
                <w:sz w:val="20"/>
                <w:szCs w:val="20"/>
              </w:rPr>
              <w:t>Infrastructure numérique</w:t>
            </w:r>
          </w:p>
        </w:tc>
        <w:tc>
          <w:tcPr>
            <w:tcW w:w="1055" w:type="dxa"/>
            <w:shd w:val="clear" w:color="auto" w:fill="auto"/>
          </w:tcPr>
          <w:p w14:paraId="0E8671E6" w14:textId="77777777" w:rsidR="00DE4358" w:rsidRPr="007F78CE" w:rsidRDefault="00DE4358"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56CC34E2"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27" w:type="dxa"/>
            <w:shd w:val="clear" w:color="auto" w:fill="auto"/>
          </w:tcPr>
          <w:p w14:paraId="7315A202"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1FF513C0"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15" w:type="dxa"/>
            <w:shd w:val="clear" w:color="auto" w:fill="auto"/>
          </w:tcPr>
          <w:p w14:paraId="18036B51"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5638CF9A"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39" w:type="dxa"/>
            <w:shd w:val="clear" w:color="auto" w:fill="auto"/>
          </w:tcPr>
          <w:p w14:paraId="5C81243B"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6157CABE"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87" w:type="dxa"/>
            <w:shd w:val="clear" w:color="auto" w:fill="FFFF00"/>
          </w:tcPr>
          <w:p w14:paraId="0009B6AA"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0FB150DB"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vAlign w:val="center"/>
          </w:tcPr>
          <w:p w14:paraId="2077A4C6" w14:textId="77777777" w:rsidR="00DE4358" w:rsidRPr="007F78CE" w:rsidRDefault="00DE4358" w:rsidP="00DE4358">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872" w:type="dxa"/>
            <w:shd w:val="clear" w:color="auto" w:fill="FFC000"/>
            <w:vAlign w:val="center"/>
          </w:tcPr>
          <w:p w14:paraId="28F8FE71" w14:textId="77777777" w:rsidR="00DE4358" w:rsidRPr="007F78CE" w:rsidRDefault="00DE4358" w:rsidP="0049245D">
            <w:pPr>
              <w:spacing w:after="0" w:line="240" w:lineRule="auto"/>
              <w:contextualSpacing/>
              <w:jc w:val="center"/>
              <w:rPr>
                <w:rFonts w:ascii="Arial Narrow" w:hAnsi="Arial Narrow" w:cs="Arial"/>
                <w:sz w:val="20"/>
                <w:szCs w:val="20"/>
              </w:rPr>
            </w:pPr>
            <w:r>
              <w:rPr>
                <w:rFonts w:ascii="Arial Narrow" w:hAnsi="Arial Narrow" w:cs="Arial"/>
                <w:sz w:val="20"/>
                <w:szCs w:val="20"/>
              </w:rPr>
              <w:t>Elevé</w:t>
            </w:r>
          </w:p>
        </w:tc>
      </w:tr>
      <w:tr w:rsidR="00DE4358" w:rsidRPr="007F78CE" w14:paraId="70ABA77B" w14:textId="77777777" w:rsidTr="00345918">
        <w:trPr>
          <w:jc w:val="center"/>
        </w:trPr>
        <w:tc>
          <w:tcPr>
            <w:tcW w:w="1729" w:type="dxa"/>
          </w:tcPr>
          <w:p w14:paraId="5D9721F6" w14:textId="77777777" w:rsidR="00DE4358" w:rsidRPr="007F78CE" w:rsidRDefault="00DE4358" w:rsidP="00B434A6">
            <w:pPr>
              <w:spacing w:after="0" w:line="240" w:lineRule="auto"/>
              <w:contextualSpacing/>
              <w:rPr>
                <w:rFonts w:ascii="Arial Narrow" w:hAnsi="Arial Narrow" w:cs="Arial"/>
                <w:sz w:val="20"/>
                <w:szCs w:val="20"/>
              </w:rPr>
            </w:pPr>
            <w:r>
              <w:rPr>
                <w:rFonts w:ascii="Arial Narrow" w:hAnsi="Arial Narrow" w:cs="Arial"/>
                <w:sz w:val="20"/>
                <w:szCs w:val="20"/>
              </w:rPr>
              <w:t>Centrale électrique solaire</w:t>
            </w:r>
          </w:p>
        </w:tc>
        <w:tc>
          <w:tcPr>
            <w:tcW w:w="1055" w:type="dxa"/>
            <w:shd w:val="clear" w:color="auto" w:fill="auto"/>
          </w:tcPr>
          <w:p w14:paraId="09FEC418" w14:textId="77777777" w:rsidR="00DE4358" w:rsidRPr="007F78CE" w:rsidRDefault="00DE4358" w:rsidP="00296692">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0DB58B83"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27" w:type="dxa"/>
            <w:shd w:val="clear" w:color="auto" w:fill="auto"/>
          </w:tcPr>
          <w:p w14:paraId="08B5DC50"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43D1939F"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15" w:type="dxa"/>
            <w:shd w:val="clear" w:color="auto" w:fill="auto"/>
          </w:tcPr>
          <w:p w14:paraId="5A191B31"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10351E3D"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39" w:type="dxa"/>
            <w:shd w:val="clear" w:color="auto" w:fill="auto"/>
          </w:tcPr>
          <w:p w14:paraId="60D5D22A"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05EC8475"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87" w:type="dxa"/>
            <w:shd w:val="clear" w:color="auto" w:fill="FFFF00"/>
          </w:tcPr>
          <w:p w14:paraId="5DA21EE5"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2F881F58"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vAlign w:val="center"/>
          </w:tcPr>
          <w:p w14:paraId="142738E1" w14:textId="77777777" w:rsidR="00DE4358" w:rsidRPr="007F78CE" w:rsidRDefault="00DE4358" w:rsidP="00DE4358">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872" w:type="dxa"/>
            <w:shd w:val="clear" w:color="auto" w:fill="FFC000"/>
            <w:vAlign w:val="center"/>
          </w:tcPr>
          <w:p w14:paraId="3FBDD546" w14:textId="77777777" w:rsidR="00DE4358" w:rsidRPr="007F78CE" w:rsidRDefault="00DE4358" w:rsidP="0049245D">
            <w:pPr>
              <w:spacing w:after="0" w:line="240" w:lineRule="auto"/>
              <w:contextualSpacing/>
              <w:jc w:val="center"/>
              <w:rPr>
                <w:rFonts w:ascii="Arial Narrow" w:hAnsi="Arial Narrow" w:cs="Arial"/>
                <w:sz w:val="20"/>
                <w:szCs w:val="20"/>
              </w:rPr>
            </w:pPr>
            <w:r w:rsidRPr="00FF146B">
              <w:rPr>
                <w:rFonts w:ascii="Arial Narrow" w:hAnsi="Arial Narrow" w:cs="Arial"/>
                <w:sz w:val="20"/>
                <w:szCs w:val="20"/>
              </w:rPr>
              <w:t>Elevé</w:t>
            </w:r>
          </w:p>
        </w:tc>
      </w:tr>
      <w:tr w:rsidR="00DE4358" w:rsidRPr="007F78CE" w14:paraId="38F7B973" w14:textId="77777777" w:rsidTr="00345918">
        <w:trPr>
          <w:jc w:val="center"/>
        </w:trPr>
        <w:tc>
          <w:tcPr>
            <w:tcW w:w="1729" w:type="dxa"/>
          </w:tcPr>
          <w:p w14:paraId="04451DB6" w14:textId="77777777" w:rsidR="00DE4358" w:rsidRPr="007F78CE" w:rsidRDefault="00DE4358" w:rsidP="00B434A6">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55" w:type="dxa"/>
            <w:shd w:val="clear" w:color="auto" w:fill="auto"/>
          </w:tcPr>
          <w:p w14:paraId="6A9184B0" w14:textId="77777777" w:rsidR="00DE4358" w:rsidRPr="007F78CE" w:rsidRDefault="00DE4358" w:rsidP="00296692">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6B9C4F44"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27" w:type="dxa"/>
            <w:shd w:val="clear" w:color="auto" w:fill="auto"/>
          </w:tcPr>
          <w:p w14:paraId="6699E327"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38AC4E52"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15" w:type="dxa"/>
            <w:shd w:val="clear" w:color="auto" w:fill="auto"/>
          </w:tcPr>
          <w:p w14:paraId="454582FE"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16BF36FF"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39" w:type="dxa"/>
            <w:shd w:val="clear" w:color="auto" w:fill="auto"/>
          </w:tcPr>
          <w:p w14:paraId="40AD9D9E"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5F848D17"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87" w:type="dxa"/>
            <w:shd w:val="clear" w:color="auto" w:fill="FFFF00"/>
          </w:tcPr>
          <w:p w14:paraId="7B258B43"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6A5C765C"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vAlign w:val="center"/>
          </w:tcPr>
          <w:p w14:paraId="78358C59" w14:textId="77777777" w:rsidR="00DE4358" w:rsidRPr="007F78CE" w:rsidRDefault="00DE4358" w:rsidP="00DE4358">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872" w:type="dxa"/>
            <w:shd w:val="clear" w:color="auto" w:fill="FFC000"/>
            <w:vAlign w:val="center"/>
          </w:tcPr>
          <w:p w14:paraId="395625DF" w14:textId="77777777" w:rsidR="00DE4358" w:rsidRPr="007F78CE" w:rsidRDefault="00DE4358" w:rsidP="0049245D">
            <w:pPr>
              <w:spacing w:after="0" w:line="240" w:lineRule="auto"/>
              <w:contextualSpacing/>
              <w:jc w:val="center"/>
              <w:rPr>
                <w:rFonts w:ascii="Arial Narrow" w:hAnsi="Arial Narrow" w:cs="Arial"/>
                <w:sz w:val="20"/>
                <w:szCs w:val="20"/>
              </w:rPr>
            </w:pPr>
            <w:r w:rsidRPr="00FF146B">
              <w:rPr>
                <w:rFonts w:ascii="Arial Narrow" w:hAnsi="Arial Narrow" w:cs="Arial"/>
                <w:sz w:val="20"/>
                <w:szCs w:val="20"/>
              </w:rPr>
              <w:t>Elevé</w:t>
            </w:r>
          </w:p>
        </w:tc>
      </w:tr>
      <w:tr w:rsidR="00DE4358" w:rsidRPr="007F78CE" w14:paraId="2E07814C" w14:textId="77777777" w:rsidTr="00345918">
        <w:trPr>
          <w:jc w:val="center"/>
        </w:trPr>
        <w:tc>
          <w:tcPr>
            <w:tcW w:w="1729" w:type="dxa"/>
          </w:tcPr>
          <w:p w14:paraId="129237AA" w14:textId="77777777" w:rsidR="00DE4358" w:rsidRDefault="00DE4358" w:rsidP="002B7DC1">
            <w:pPr>
              <w:spacing w:after="0" w:line="240" w:lineRule="auto"/>
              <w:contextualSpacing/>
              <w:rPr>
                <w:rFonts w:ascii="Arial Narrow" w:hAnsi="Arial Narrow" w:cs="Arial"/>
                <w:sz w:val="20"/>
                <w:szCs w:val="20"/>
              </w:rPr>
            </w:pPr>
            <w:r>
              <w:rPr>
                <w:rFonts w:ascii="Arial Narrow" w:hAnsi="Arial Narrow" w:cs="Arial"/>
                <w:sz w:val="20"/>
                <w:szCs w:val="20"/>
              </w:rPr>
              <w:t>Réseau électrique</w:t>
            </w:r>
          </w:p>
        </w:tc>
        <w:tc>
          <w:tcPr>
            <w:tcW w:w="1055" w:type="dxa"/>
            <w:shd w:val="clear" w:color="auto" w:fill="auto"/>
          </w:tcPr>
          <w:p w14:paraId="0E6E21CB" w14:textId="77777777" w:rsidR="00DE4358" w:rsidRPr="007F78CE" w:rsidRDefault="00DE4358" w:rsidP="00296692">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32132298"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27" w:type="dxa"/>
            <w:shd w:val="clear" w:color="auto" w:fill="auto"/>
          </w:tcPr>
          <w:p w14:paraId="2322DD63"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0B93F356"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15" w:type="dxa"/>
            <w:shd w:val="clear" w:color="auto" w:fill="auto"/>
          </w:tcPr>
          <w:p w14:paraId="45EAF1F3"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6150CA99"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39" w:type="dxa"/>
            <w:shd w:val="clear" w:color="auto" w:fill="auto"/>
          </w:tcPr>
          <w:p w14:paraId="737928D2"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0A1FE6F2"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87" w:type="dxa"/>
            <w:shd w:val="clear" w:color="auto" w:fill="FFFF00"/>
          </w:tcPr>
          <w:p w14:paraId="04EB7FB3"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598EA8D4"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vAlign w:val="center"/>
          </w:tcPr>
          <w:p w14:paraId="50EFACB3" w14:textId="77777777" w:rsidR="00DE4358" w:rsidRPr="007F78CE" w:rsidRDefault="00DE4358" w:rsidP="00DE4358">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872" w:type="dxa"/>
            <w:shd w:val="clear" w:color="auto" w:fill="FFC000"/>
            <w:vAlign w:val="center"/>
          </w:tcPr>
          <w:p w14:paraId="15C12725" w14:textId="77777777" w:rsidR="00DE4358" w:rsidRPr="007F78CE" w:rsidRDefault="00DE4358" w:rsidP="0049245D">
            <w:pPr>
              <w:spacing w:after="0" w:line="240" w:lineRule="auto"/>
              <w:contextualSpacing/>
              <w:jc w:val="center"/>
              <w:rPr>
                <w:rFonts w:ascii="Arial Narrow" w:hAnsi="Arial Narrow" w:cs="Arial"/>
                <w:sz w:val="20"/>
                <w:szCs w:val="20"/>
              </w:rPr>
            </w:pPr>
            <w:r w:rsidRPr="00FF146B">
              <w:rPr>
                <w:rFonts w:ascii="Arial Narrow" w:hAnsi="Arial Narrow" w:cs="Arial"/>
                <w:sz w:val="20"/>
                <w:szCs w:val="20"/>
              </w:rPr>
              <w:t>Elevé</w:t>
            </w:r>
          </w:p>
        </w:tc>
      </w:tr>
      <w:tr w:rsidR="001716F8" w:rsidRPr="007F78CE" w14:paraId="54C5E064" w14:textId="77777777" w:rsidTr="00DE4358">
        <w:trPr>
          <w:jc w:val="center"/>
        </w:trPr>
        <w:tc>
          <w:tcPr>
            <w:tcW w:w="1729" w:type="dxa"/>
          </w:tcPr>
          <w:p w14:paraId="70F805B1" w14:textId="77777777" w:rsidR="001716F8" w:rsidRDefault="001716F8" w:rsidP="002B7DC1">
            <w:pPr>
              <w:spacing w:after="0" w:line="240" w:lineRule="auto"/>
              <w:contextualSpacing/>
              <w:rPr>
                <w:rFonts w:ascii="Arial Narrow" w:hAnsi="Arial Narrow" w:cs="Arial"/>
                <w:sz w:val="20"/>
                <w:szCs w:val="20"/>
              </w:rPr>
            </w:pPr>
            <w:r>
              <w:rPr>
                <w:rFonts w:ascii="Arial Narrow" w:hAnsi="Arial Narrow" w:cs="Arial"/>
                <w:sz w:val="20"/>
                <w:szCs w:val="20"/>
              </w:rPr>
              <w:t>Impact cummulé</w:t>
            </w:r>
          </w:p>
        </w:tc>
        <w:tc>
          <w:tcPr>
            <w:tcW w:w="1055" w:type="dxa"/>
            <w:shd w:val="clear" w:color="auto" w:fill="auto"/>
          </w:tcPr>
          <w:p w14:paraId="75FF4345" w14:textId="77777777" w:rsidR="001716F8" w:rsidRPr="007F78CE" w:rsidRDefault="001716F8" w:rsidP="00D70FB3">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5CC4A487"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27" w:type="dxa"/>
            <w:shd w:val="clear" w:color="auto" w:fill="auto"/>
          </w:tcPr>
          <w:p w14:paraId="7EE8AF9F"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3FA66C22"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15" w:type="dxa"/>
            <w:shd w:val="clear" w:color="auto" w:fill="auto"/>
          </w:tcPr>
          <w:p w14:paraId="6E8F3A7A"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07C34A44"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39" w:type="dxa"/>
            <w:shd w:val="clear" w:color="auto" w:fill="auto"/>
          </w:tcPr>
          <w:p w14:paraId="6A04D490"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565B8B8D"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87" w:type="dxa"/>
            <w:shd w:val="clear" w:color="auto" w:fill="FFFF00"/>
          </w:tcPr>
          <w:p w14:paraId="11058800"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1C3F316F"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vAlign w:val="center"/>
          </w:tcPr>
          <w:p w14:paraId="3F58231A" w14:textId="77777777" w:rsidR="001716F8" w:rsidRDefault="001716F8" w:rsidP="00DE4358">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872" w:type="dxa"/>
            <w:shd w:val="clear" w:color="auto" w:fill="FFC000"/>
            <w:vAlign w:val="center"/>
          </w:tcPr>
          <w:p w14:paraId="334763A1" w14:textId="77777777" w:rsidR="001716F8" w:rsidRPr="00FF146B" w:rsidRDefault="001716F8" w:rsidP="0049245D">
            <w:pPr>
              <w:spacing w:after="0" w:line="240" w:lineRule="auto"/>
              <w:contextualSpacing/>
              <w:jc w:val="center"/>
              <w:rPr>
                <w:rFonts w:ascii="Arial Narrow" w:hAnsi="Arial Narrow" w:cs="Arial"/>
                <w:sz w:val="20"/>
                <w:szCs w:val="20"/>
              </w:rPr>
            </w:pPr>
            <w:r w:rsidRPr="00FF146B">
              <w:rPr>
                <w:rFonts w:ascii="Arial Narrow" w:hAnsi="Arial Narrow" w:cs="Arial"/>
                <w:sz w:val="20"/>
                <w:szCs w:val="20"/>
              </w:rPr>
              <w:t>Elevé</w:t>
            </w:r>
          </w:p>
        </w:tc>
      </w:tr>
    </w:tbl>
    <w:p w14:paraId="463E526A" w14:textId="77777777" w:rsidR="0090044A" w:rsidRDefault="0090044A" w:rsidP="00B434A6">
      <w:pPr>
        <w:spacing w:after="0"/>
        <w:rPr>
          <w:highlight w:val="yellow"/>
        </w:rPr>
      </w:pPr>
    </w:p>
    <w:p w14:paraId="5FEC9089" w14:textId="77777777" w:rsidR="0090044A" w:rsidRPr="004C2FF7" w:rsidRDefault="0090044A" w:rsidP="00B434A6">
      <w:pPr>
        <w:pStyle w:val="Normal12"/>
        <w:numPr>
          <w:ilvl w:val="0"/>
          <w:numId w:val="85"/>
        </w:numPr>
        <w:spacing w:after="100" w:afterAutospacing="1"/>
        <w:contextualSpacing/>
        <w:rPr>
          <w:i/>
          <w:iCs/>
          <w:lang w:val="fr-FR"/>
        </w:rPr>
      </w:pPr>
      <w:r w:rsidRPr="004C2FF7">
        <w:rPr>
          <w:i/>
          <w:iCs/>
          <w:lang w:val="fr-FR"/>
        </w:rPr>
        <w:t>Risque d’augmentation des cas de VBG, AES/HS et de grossesse non désirée</w:t>
      </w:r>
    </w:p>
    <w:p w14:paraId="1171C46B" w14:textId="77777777" w:rsidR="0090044A" w:rsidRPr="008D2A01" w:rsidRDefault="0090044A" w:rsidP="008D2A01">
      <w:pPr>
        <w:spacing w:line="240" w:lineRule="auto"/>
        <w:jc w:val="both"/>
        <w:rPr>
          <w:rFonts w:ascii="Arial" w:hAnsi="Arial" w:cs="Arial"/>
        </w:rPr>
      </w:pPr>
      <w:r w:rsidRPr="008D2A01">
        <w:rPr>
          <w:rFonts w:ascii="Arial" w:hAnsi="Arial" w:cs="Arial"/>
        </w:rPr>
        <w:t xml:space="preserve">La présence de main d’œuvre provenant de l’extérieur, loin de leurs familles et l’attrait du gain facile pourrait entraîner les femmes dans la prostitution mais également l’exposition des femmes aux risques de grossesse non désirée. </w:t>
      </w:r>
    </w:p>
    <w:p w14:paraId="5488FEE2" w14:textId="77777777" w:rsidR="0090044A" w:rsidRPr="008D2A01" w:rsidRDefault="0090044A" w:rsidP="008D2A01">
      <w:pPr>
        <w:spacing w:line="240" w:lineRule="auto"/>
        <w:jc w:val="both"/>
        <w:rPr>
          <w:rFonts w:ascii="Arial" w:hAnsi="Arial" w:cs="Arial"/>
        </w:rPr>
      </w:pPr>
      <w:r w:rsidRPr="008D2A01">
        <w:rPr>
          <w:rFonts w:ascii="Arial" w:hAnsi="Arial" w:cs="Arial"/>
        </w:rPr>
        <w:t xml:space="preserve">D’autre part, la présence de la main d’œuvre masculine sur les chantiers peut augmenter les risques de Violence Basée sur le Genre et les mineurs et d’Abus et Exploitation Sexuels. </w:t>
      </w:r>
    </w:p>
    <w:p w14:paraId="26A6FEEB" w14:textId="77777777" w:rsidR="0090044A" w:rsidRPr="008D2A01" w:rsidRDefault="002B7DC1" w:rsidP="008D2A01">
      <w:pPr>
        <w:spacing w:line="240" w:lineRule="auto"/>
        <w:jc w:val="both"/>
        <w:rPr>
          <w:rFonts w:ascii="Arial" w:hAnsi="Arial" w:cs="Arial"/>
        </w:rPr>
      </w:pPr>
      <w:r>
        <w:rPr>
          <w:rFonts w:ascii="Arial" w:hAnsi="Arial" w:cs="Arial"/>
        </w:rPr>
        <w:t>Pour les différents sous projet dans le cadre du Projet DECIM, l</w:t>
      </w:r>
      <w:r w:rsidR="0090044A" w:rsidRPr="008D2A01">
        <w:rPr>
          <w:rFonts w:ascii="Arial" w:hAnsi="Arial" w:cs="Arial"/>
        </w:rPr>
        <w:t>’impact est évalué comme d’importance « moyenne »</w:t>
      </w:r>
      <w:r w:rsidR="008325C4">
        <w:rPr>
          <w:rFonts w:ascii="Arial" w:hAnsi="Arial" w:cs="Arial"/>
        </w:rPr>
        <w:t xml:space="preserve"> </w:t>
      </w:r>
      <w:r w:rsidR="00DE4358">
        <w:rPr>
          <w:rFonts w:ascii="Arial" w:hAnsi="Arial" w:cs="Arial"/>
        </w:rPr>
        <w:t xml:space="preserve">avec un niveau de risque élevé </w:t>
      </w:r>
      <w:r w:rsidR="008325C4">
        <w:rPr>
          <w:rFonts w:ascii="Arial" w:hAnsi="Arial" w:cs="Arial"/>
        </w:rPr>
        <w:t>selon le tableau suivant</w:t>
      </w:r>
      <w:r w:rsidR="0090044A" w:rsidRPr="008D2A01">
        <w:rPr>
          <w:rFonts w:ascii="Arial" w:hAnsi="Arial" w:cs="Arial"/>
        </w:rPr>
        <w:t>.</w:t>
      </w:r>
    </w:p>
    <w:p w14:paraId="6F8E368A" w14:textId="77777777" w:rsidR="0090044A" w:rsidRPr="002E58DC" w:rsidRDefault="0090044A" w:rsidP="002E58DC">
      <w:pPr>
        <w:pStyle w:val="Lgende"/>
        <w:spacing w:before="120"/>
        <w:jc w:val="center"/>
        <w:rPr>
          <w:sz w:val="20"/>
        </w:rPr>
      </w:pPr>
      <w:bookmarkStart w:id="958" w:name="_Toc127957837"/>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41</w:t>
      </w:r>
      <w:r w:rsidRPr="002E58DC">
        <w:rPr>
          <w:sz w:val="20"/>
        </w:rPr>
        <w:fldChar w:fldCharType="end"/>
      </w:r>
      <w:r w:rsidRPr="002E58DC">
        <w:rPr>
          <w:sz w:val="20"/>
        </w:rPr>
        <w:t xml:space="preserve">. Evaluation </w:t>
      </w:r>
      <w:r w:rsidR="00FB273B">
        <w:rPr>
          <w:sz w:val="20"/>
        </w:rPr>
        <w:t xml:space="preserve">de </w:t>
      </w:r>
      <w:r w:rsidRPr="002E58DC">
        <w:rPr>
          <w:sz w:val="20"/>
        </w:rPr>
        <w:t>l’impact –Risque d’augmentation des cas de VBG et AES/HS et grossesses non désirées</w:t>
      </w:r>
      <w:bookmarkEnd w:id="958"/>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1054"/>
        <w:gridCol w:w="1024"/>
        <w:gridCol w:w="913"/>
        <w:gridCol w:w="1336"/>
        <w:gridCol w:w="1284"/>
        <w:gridCol w:w="1064"/>
        <w:gridCol w:w="883"/>
        <w:tblGridChange w:id="959">
          <w:tblGrid>
            <w:gridCol w:w="1730"/>
            <w:gridCol w:w="1054"/>
            <w:gridCol w:w="1024"/>
            <w:gridCol w:w="913"/>
            <w:gridCol w:w="1336"/>
            <w:gridCol w:w="1284"/>
            <w:gridCol w:w="1064"/>
            <w:gridCol w:w="883"/>
          </w:tblGrid>
        </w:tblGridChange>
      </w:tblGrid>
      <w:tr w:rsidR="00DE4358" w:rsidRPr="007F78CE" w14:paraId="5C05D45A" w14:textId="77777777" w:rsidTr="00345918">
        <w:trPr>
          <w:jc w:val="center"/>
        </w:trPr>
        <w:tc>
          <w:tcPr>
            <w:tcW w:w="1730" w:type="dxa"/>
            <w:shd w:val="clear" w:color="auto" w:fill="BFBFBF"/>
          </w:tcPr>
          <w:p w14:paraId="3DCF3CAD" w14:textId="77777777" w:rsidR="00DE4358" w:rsidRPr="007F78CE" w:rsidRDefault="00A73AF6" w:rsidP="007F78CE">
            <w:pPr>
              <w:spacing w:after="0" w:line="240" w:lineRule="auto"/>
              <w:rPr>
                <w:rFonts w:ascii="Arial Narrow" w:hAnsi="Arial Narrow"/>
                <w:b/>
                <w:bCs/>
                <w:sz w:val="20"/>
                <w:szCs w:val="20"/>
              </w:rPr>
            </w:pPr>
            <w:r>
              <w:rPr>
                <w:rFonts w:ascii="Arial Narrow" w:hAnsi="Arial Narrow"/>
                <w:b/>
                <w:bCs/>
                <w:sz w:val="20"/>
                <w:szCs w:val="20"/>
              </w:rPr>
              <w:t>Sous Projet</w:t>
            </w:r>
          </w:p>
        </w:tc>
        <w:tc>
          <w:tcPr>
            <w:tcW w:w="1054" w:type="dxa"/>
            <w:shd w:val="clear" w:color="auto" w:fill="BFBFBF"/>
          </w:tcPr>
          <w:p w14:paraId="52578C18" w14:textId="77777777" w:rsidR="00DE4358" w:rsidRPr="007F78CE" w:rsidRDefault="00DE4358"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024" w:type="dxa"/>
            <w:shd w:val="clear" w:color="auto" w:fill="BFBFBF"/>
          </w:tcPr>
          <w:p w14:paraId="03A646FE" w14:textId="77777777" w:rsidR="00DE4358" w:rsidRPr="007F78CE" w:rsidRDefault="00DE4358"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913" w:type="dxa"/>
            <w:shd w:val="clear" w:color="auto" w:fill="BFBFBF"/>
          </w:tcPr>
          <w:p w14:paraId="1CFE42AF" w14:textId="77777777" w:rsidR="00DE4358" w:rsidRPr="007F78CE" w:rsidRDefault="00DE4358"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336" w:type="dxa"/>
            <w:shd w:val="clear" w:color="auto" w:fill="BFBFBF"/>
          </w:tcPr>
          <w:p w14:paraId="61510731" w14:textId="77777777" w:rsidR="00DE4358" w:rsidRPr="007F78CE" w:rsidRDefault="00DE4358"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284" w:type="dxa"/>
            <w:shd w:val="clear" w:color="auto" w:fill="BFBFBF"/>
          </w:tcPr>
          <w:p w14:paraId="7C8DD7E9" w14:textId="77777777" w:rsidR="00DE4358" w:rsidRPr="007F78CE" w:rsidRDefault="00DE4358"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auto"/>
          </w:tcPr>
          <w:p w14:paraId="68A1022C" w14:textId="77777777" w:rsidR="00DE4358" w:rsidRPr="007F78CE" w:rsidRDefault="00DE4358"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883" w:type="dxa"/>
            <w:shd w:val="clear" w:color="auto" w:fill="auto"/>
          </w:tcPr>
          <w:p w14:paraId="03DD4DFF" w14:textId="77777777" w:rsidR="00DE4358" w:rsidRPr="007F78CE" w:rsidRDefault="00DE4358" w:rsidP="007F78CE">
            <w:pPr>
              <w:spacing w:after="0" w:line="240" w:lineRule="auto"/>
              <w:rPr>
                <w:rFonts w:ascii="Arial Narrow" w:hAnsi="Arial Narrow"/>
                <w:b/>
                <w:bCs/>
                <w:sz w:val="20"/>
                <w:szCs w:val="20"/>
              </w:rPr>
            </w:pPr>
            <w:r>
              <w:rPr>
                <w:rFonts w:ascii="Arial Narrow" w:hAnsi="Arial Narrow"/>
                <w:b/>
                <w:bCs/>
                <w:sz w:val="20"/>
                <w:szCs w:val="20"/>
              </w:rPr>
              <w:t>Risque</w:t>
            </w:r>
          </w:p>
        </w:tc>
      </w:tr>
      <w:tr w:rsidR="00DE4358" w:rsidRPr="007F78CE" w14:paraId="71AB40BC" w14:textId="77777777" w:rsidTr="00345918">
        <w:trPr>
          <w:jc w:val="center"/>
        </w:trPr>
        <w:tc>
          <w:tcPr>
            <w:tcW w:w="1730" w:type="dxa"/>
          </w:tcPr>
          <w:p w14:paraId="66B05AAF" w14:textId="77777777" w:rsidR="00DE4358" w:rsidRPr="007F78CE" w:rsidRDefault="00DE4358" w:rsidP="00B434A6">
            <w:pPr>
              <w:spacing w:after="0" w:line="240" w:lineRule="auto"/>
              <w:contextualSpacing/>
              <w:rPr>
                <w:rFonts w:ascii="Arial Narrow" w:hAnsi="Arial Narrow" w:cs="Arial"/>
                <w:sz w:val="20"/>
                <w:szCs w:val="20"/>
              </w:rPr>
            </w:pPr>
            <w:r>
              <w:rPr>
                <w:rFonts w:ascii="Arial Narrow" w:hAnsi="Arial Narrow" w:cs="Arial"/>
                <w:sz w:val="20"/>
                <w:szCs w:val="20"/>
              </w:rPr>
              <w:t>Infrastructure</w:t>
            </w:r>
            <w:r w:rsidR="00A73AF6">
              <w:rPr>
                <w:rFonts w:ascii="Arial Narrow" w:hAnsi="Arial Narrow" w:cs="Arial"/>
                <w:sz w:val="20"/>
                <w:szCs w:val="20"/>
              </w:rPr>
              <w:t>s</w:t>
            </w:r>
            <w:r>
              <w:rPr>
                <w:rFonts w:ascii="Arial Narrow" w:hAnsi="Arial Narrow" w:cs="Arial"/>
                <w:sz w:val="20"/>
                <w:szCs w:val="20"/>
              </w:rPr>
              <w:t xml:space="preserve"> numérique</w:t>
            </w:r>
            <w:r w:rsidR="00A73AF6">
              <w:rPr>
                <w:rFonts w:ascii="Arial Narrow" w:hAnsi="Arial Narrow" w:cs="Arial"/>
                <w:sz w:val="20"/>
                <w:szCs w:val="20"/>
              </w:rPr>
              <w:t>s</w:t>
            </w:r>
          </w:p>
        </w:tc>
        <w:tc>
          <w:tcPr>
            <w:tcW w:w="1054" w:type="dxa"/>
            <w:shd w:val="clear" w:color="auto" w:fill="auto"/>
          </w:tcPr>
          <w:p w14:paraId="1693CB30" w14:textId="77777777" w:rsidR="00DE4358" w:rsidRPr="007F78CE" w:rsidRDefault="00DE4358"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Moyenne</w:t>
            </w:r>
          </w:p>
          <w:p w14:paraId="3EE69B39"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24" w:type="dxa"/>
            <w:shd w:val="clear" w:color="auto" w:fill="auto"/>
          </w:tcPr>
          <w:p w14:paraId="2FDDA8AF"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659D0648"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13" w:type="dxa"/>
            <w:shd w:val="clear" w:color="auto" w:fill="auto"/>
          </w:tcPr>
          <w:p w14:paraId="5406E7A6"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27F1AFEF"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36" w:type="dxa"/>
            <w:shd w:val="clear" w:color="auto" w:fill="auto"/>
          </w:tcPr>
          <w:p w14:paraId="7DF73B7D"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10B2182F"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84" w:type="dxa"/>
            <w:shd w:val="clear" w:color="auto" w:fill="FFFF00"/>
          </w:tcPr>
          <w:p w14:paraId="1B567A99"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5FAA09E9"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vAlign w:val="center"/>
          </w:tcPr>
          <w:p w14:paraId="194B10AE" w14:textId="77777777" w:rsidR="00DE4358" w:rsidRPr="007F78CE" w:rsidRDefault="00DE4358"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883" w:type="dxa"/>
            <w:shd w:val="clear" w:color="auto" w:fill="FFC000"/>
            <w:vAlign w:val="center"/>
          </w:tcPr>
          <w:p w14:paraId="6FCB9F4D" w14:textId="77777777" w:rsidR="00DE4358" w:rsidRPr="007F78CE" w:rsidRDefault="00DE4358"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Elevé</w:t>
            </w:r>
          </w:p>
        </w:tc>
      </w:tr>
      <w:tr w:rsidR="00DE4358" w:rsidRPr="007F78CE" w14:paraId="5622B440" w14:textId="77777777" w:rsidTr="00345918">
        <w:trPr>
          <w:jc w:val="center"/>
        </w:trPr>
        <w:tc>
          <w:tcPr>
            <w:tcW w:w="1730" w:type="dxa"/>
          </w:tcPr>
          <w:p w14:paraId="51DF5E90" w14:textId="77777777" w:rsidR="00DE4358" w:rsidRPr="007F78CE" w:rsidRDefault="00DE4358" w:rsidP="00B434A6">
            <w:pPr>
              <w:spacing w:after="0" w:line="240" w:lineRule="auto"/>
              <w:contextualSpacing/>
              <w:rPr>
                <w:rFonts w:ascii="Arial Narrow" w:hAnsi="Arial Narrow" w:cs="Arial"/>
                <w:sz w:val="20"/>
                <w:szCs w:val="20"/>
              </w:rPr>
            </w:pPr>
            <w:r>
              <w:rPr>
                <w:rFonts w:ascii="Arial Narrow" w:hAnsi="Arial Narrow" w:cs="Arial"/>
                <w:sz w:val="20"/>
                <w:szCs w:val="20"/>
              </w:rPr>
              <w:t>Centrale électrique solaire</w:t>
            </w:r>
          </w:p>
        </w:tc>
        <w:tc>
          <w:tcPr>
            <w:tcW w:w="1054" w:type="dxa"/>
            <w:shd w:val="clear" w:color="auto" w:fill="auto"/>
          </w:tcPr>
          <w:p w14:paraId="013B944E" w14:textId="77777777" w:rsidR="00DE4358" w:rsidRPr="007F78CE" w:rsidRDefault="00DE4358" w:rsidP="00296692">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Moyenne</w:t>
            </w:r>
          </w:p>
          <w:p w14:paraId="65B52D94"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24" w:type="dxa"/>
            <w:shd w:val="clear" w:color="auto" w:fill="auto"/>
          </w:tcPr>
          <w:p w14:paraId="72A27E46"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5ED3443B"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13" w:type="dxa"/>
            <w:shd w:val="clear" w:color="auto" w:fill="auto"/>
          </w:tcPr>
          <w:p w14:paraId="69ED6E90"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54B77010"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36" w:type="dxa"/>
            <w:shd w:val="clear" w:color="auto" w:fill="auto"/>
          </w:tcPr>
          <w:p w14:paraId="1C530948"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3897BF1C"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84" w:type="dxa"/>
            <w:shd w:val="clear" w:color="auto" w:fill="FFFF00"/>
          </w:tcPr>
          <w:p w14:paraId="308B789A"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719E8735"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vAlign w:val="center"/>
          </w:tcPr>
          <w:p w14:paraId="69B5DF3B" w14:textId="77777777" w:rsidR="00DE4358" w:rsidRPr="007F78CE" w:rsidRDefault="00DE435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883" w:type="dxa"/>
            <w:shd w:val="clear" w:color="auto" w:fill="FFC000"/>
            <w:vAlign w:val="center"/>
          </w:tcPr>
          <w:p w14:paraId="0141D8B1" w14:textId="77777777" w:rsidR="00DE4358" w:rsidRPr="007F78CE" w:rsidRDefault="00DE4358" w:rsidP="00296692">
            <w:pPr>
              <w:spacing w:after="0" w:line="240" w:lineRule="auto"/>
              <w:contextualSpacing/>
              <w:jc w:val="center"/>
              <w:rPr>
                <w:rFonts w:ascii="Arial Narrow" w:hAnsi="Arial Narrow" w:cs="Arial"/>
                <w:sz w:val="20"/>
                <w:szCs w:val="20"/>
              </w:rPr>
            </w:pPr>
            <w:r w:rsidRPr="00FF146B">
              <w:rPr>
                <w:rFonts w:ascii="Arial Narrow" w:hAnsi="Arial Narrow" w:cs="Arial"/>
                <w:sz w:val="20"/>
                <w:szCs w:val="20"/>
              </w:rPr>
              <w:t>Elevé</w:t>
            </w:r>
          </w:p>
        </w:tc>
      </w:tr>
      <w:tr w:rsidR="00DE4358" w:rsidRPr="007F78CE" w14:paraId="13CE4501" w14:textId="77777777" w:rsidTr="00345918">
        <w:trPr>
          <w:jc w:val="center"/>
        </w:trPr>
        <w:tc>
          <w:tcPr>
            <w:tcW w:w="1730" w:type="dxa"/>
          </w:tcPr>
          <w:p w14:paraId="0C69CCB4" w14:textId="77777777" w:rsidR="00DE4358" w:rsidRPr="007F78CE" w:rsidRDefault="00DE4358"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Barrage hydroélectrique</w:t>
            </w:r>
          </w:p>
        </w:tc>
        <w:tc>
          <w:tcPr>
            <w:tcW w:w="1054" w:type="dxa"/>
            <w:shd w:val="clear" w:color="auto" w:fill="auto"/>
          </w:tcPr>
          <w:p w14:paraId="51DEBEFA" w14:textId="77777777" w:rsidR="00DE4358" w:rsidRPr="007F78CE" w:rsidRDefault="00DE4358" w:rsidP="00296692">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Moyenne</w:t>
            </w:r>
          </w:p>
          <w:p w14:paraId="69514F64"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24" w:type="dxa"/>
            <w:shd w:val="clear" w:color="auto" w:fill="auto"/>
          </w:tcPr>
          <w:p w14:paraId="6F5F8F9C"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40153D2C"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13" w:type="dxa"/>
            <w:shd w:val="clear" w:color="auto" w:fill="auto"/>
          </w:tcPr>
          <w:p w14:paraId="09D8913C"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544872E1"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36" w:type="dxa"/>
            <w:shd w:val="clear" w:color="auto" w:fill="auto"/>
          </w:tcPr>
          <w:p w14:paraId="7A6BF189"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1A1DFFC5"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84" w:type="dxa"/>
            <w:shd w:val="clear" w:color="auto" w:fill="FFFF00"/>
          </w:tcPr>
          <w:p w14:paraId="0BE9EABB"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27DECA52"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vAlign w:val="center"/>
          </w:tcPr>
          <w:p w14:paraId="29048315" w14:textId="77777777" w:rsidR="00DE4358" w:rsidRPr="007F78CE" w:rsidRDefault="00DE435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883" w:type="dxa"/>
            <w:shd w:val="clear" w:color="auto" w:fill="FFC000"/>
            <w:vAlign w:val="center"/>
          </w:tcPr>
          <w:p w14:paraId="2D25878F" w14:textId="77777777" w:rsidR="00DE4358" w:rsidRPr="007F78CE" w:rsidRDefault="00DE4358" w:rsidP="00296692">
            <w:pPr>
              <w:spacing w:after="0" w:line="240" w:lineRule="auto"/>
              <w:contextualSpacing/>
              <w:jc w:val="center"/>
              <w:rPr>
                <w:rFonts w:ascii="Arial Narrow" w:hAnsi="Arial Narrow" w:cs="Arial"/>
                <w:sz w:val="20"/>
                <w:szCs w:val="20"/>
              </w:rPr>
            </w:pPr>
            <w:r w:rsidRPr="00FF146B">
              <w:rPr>
                <w:rFonts w:ascii="Arial Narrow" w:hAnsi="Arial Narrow" w:cs="Arial"/>
                <w:sz w:val="20"/>
                <w:szCs w:val="20"/>
              </w:rPr>
              <w:t>Elevé</w:t>
            </w:r>
          </w:p>
        </w:tc>
      </w:tr>
      <w:tr w:rsidR="00DE4358" w:rsidRPr="007F78CE" w14:paraId="3C98DC2C" w14:textId="77777777" w:rsidTr="00345918">
        <w:trPr>
          <w:jc w:val="center"/>
        </w:trPr>
        <w:tc>
          <w:tcPr>
            <w:tcW w:w="1730" w:type="dxa"/>
          </w:tcPr>
          <w:p w14:paraId="6B39F8D9" w14:textId="77777777" w:rsidR="00DE4358" w:rsidRDefault="00DE4358"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Réseau électrique</w:t>
            </w:r>
          </w:p>
        </w:tc>
        <w:tc>
          <w:tcPr>
            <w:tcW w:w="1054" w:type="dxa"/>
            <w:shd w:val="clear" w:color="auto" w:fill="auto"/>
          </w:tcPr>
          <w:p w14:paraId="2A0C9398" w14:textId="77777777" w:rsidR="00DE4358" w:rsidRPr="007F78CE" w:rsidRDefault="00DE4358" w:rsidP="00296692">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3F870450"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24" w:type="dxa"/>
            <w:shd w:val="clear" w:color="auto" w:fill="auto"/>
          </w:tcPr>
          <w:p w14:paraId="39BD3F97"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2C3D451F"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13" w:type="dxa"/>
            <w:shd w:val="clear" w:color="auto" w:fill="auto"/>
          </w:tcPr>
          <w:p w14:paraId="459171C1"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77C5DB7E"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36" w:type="dxa"/>
            <w:shd w:val="clear" w:color="auto" w:fill="auto"/>
          </w:tcPr>
          <w:p w14:paraId="7C825D91"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304C79FD"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84" w:type="dxa"/>
            <w:shd w:val="clear" w:color="auto" w:fill="FFFF00"/>
          </w:tcPr>
          <w:p w14:paraId="00F0B18F"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2CD87BD7"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vAlign w:val="center"/>
          </w:tcPr>
          <w:p w14:paraId="0813A620" w14:textId="77777777" w:rsidR="00DE4358" w:rsidRPr="007F78CE" w:rsidRDefault="00DE435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883" w:type="dxa"/>
            <w:shd w:val="clear" w:color="auto" w:fill="FFC000"/>
            <w:vAlign w:val="center"/>
          </w:tcPr>
          <w:p w14:paraId="74D8CF62" w14:textId="77777777" w:rsidR="00DE4358" w:rsidRPr="007F78CE" w:rsidRDefault="00DE4358" w:rsidP="00296692">
            <w:pPr>
              <w:spacing w:after="0" w:line="240" w:lineRule="auto"/>
              <w:contextualSpacing/>
              <w:jc w:val="center"/>
              <w:rPr>
                <w:rFonts w:ascii="Arial Narrow" w:hAnsi="Arial Narrow" w:cs="Arial"/>
                <w:sz w:val="20"/>
                <w:szCs w:val="20"/>
              </w:rPr>
            </w:pPr>
            <w:r w:rsidRPr="00FF146B">
              <w:rPr>
                <w:rFonts w:ascii="Arial Narrow" w:hAnsi="Arial Narrow" w:cs="Arial"/>
                <w:sz w:val="20"/>
                <w:szCs w:val="20"/>
              </w:rPr>
              <w:t>Elevé</w:t>
            </w:r>
          </w:p>
        </w:tc>
      </w:tr>
      <w:tr w:rsidR="001716F8" w:rsidRPr="007F78CE" w14:paraId="6FDE6644" w14:textId="77777777" w:rsidTr="001716F8">
        <w:trPr>
          <w:jc w:val="center"/>
        </w:trPr>
        <w:tc>
          <w:tcPr>
            <w:tcW w:w="1730" w:type="dxa"/>
          </w:tcPr>
          <w:p w14:paraId="4F436611" w14:textId="77777777" w:rsidR="001716F8" w:rsidRDefault="001716F8"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Impact cummulé</w:t>
            </w:r>
          </w:p>
        </w:tc>
        <w:tc>
          <w:tcPr>
            <w:tcW w:w="1054" w:type="dxa"/>
            <w:shd w:val="clear" w:color="auto" w:fill="auto"/>
          </w:tcPr>
          <w:p w14:paraId="67AF6B19" w14:textId="77777777" w:rsidR="001716F8" w:rsidRPr="007F78CE" w:rsidRDefault="001716F8" w:rsidP="00D70FB3">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4FAC7E84"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24" w:type="dxa"/>
            <w:shd w:val="clear" w:color="auto" w:fill="auto"/>
          </w:tcPr>
          <w:p w14:paraId="277E5F07"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3610578D"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13" w:type="dxa"/>
            <w:shd w:val="clear" w:color="auto" w:fill="auto"/>
          </w:tcPr>
          <w:p w14:paraId="2BFB850E"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6B2C32D7"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36" w:type="dxa"/>
            <w:shd w:val="clear" w:color="auto" w:fill="auto"/>
          </w:tcPr>
          <w:p w14:paraId="19A74A42"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41D88C09"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84" w:type="dxa"/>
            <w:shd w:val="clear" w:color="auto" w:fill="FFFF00"/>
          </w:tcPr>
          <w:p w14:paraId="2B8108BE"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103921D7"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vAlign w:val="center"/>
          </w:tcPr>
          <w:p w14:paraId="7AD3ED26" w14:textId="77777777" w:rsidR="001716F8" w:rsidRDefault="001716F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883" w:type="dxa"/>
            <w:shd w:val="clear" w:color="auto" w:fill="FFC000"/>
            <w:vAlign w:val="center"/>
          </w:tcPr>
          <w:p w14:paraId="2F3DC5EA" w14:textId="77777777" w:rsidR="001716F8" w:rsidRPr="00FF146B" w:rsidRDefault="001716F8" w:rsidP="00296692">
            <w:pPr>
              <w:spacing w:after="0" w:line="240" w:lineRule="auto"/>
              <w:contextualSpacing/>
              <w:jc w:val="center"/>
              <w:rPr>
                <w:rFonts w:ascii="Arial Narrow" w:hAnsi="Arial Narrow" w:cs="Arial"/>
                <w:sz w:val="20"/>
                <w:szCs w:val="20"/>
              </w:rPr>
            </w:pPr>
          </w:p>
        </w:tc>
      </w:tr>
    </w:tbl>
    <w:p w14:paraId="42062AC0" w14:textId="77777777" w:rsidR="0090044A" w:rsidRPr="006B1C78" w:rsidRDefault="0090044A" w:rsidP="00B434A6">
      <w:pPr>
        <w:spacing w:after="0"/>
        <w:rPr>
          <w:highlight w:val="yellow"/>
        </w:rPr>
      </w:pPr>
    </w:p>
    <w:p w14:paraId="01A2DEE5" w14:textId="77777777" w:rsidR="0090044A" w:rsidRPr="00695684" w:rsidRDefault="0090044A" w:rsidP="00B434A6">
      <w:pPr>
        <w:pStyle w:val="Normal12"/>
        <w:numPr>
          <w:ilvl w:val="0"/>
          <w:numId w:val="85"/>
        </w:numPr>
        <w:spacing w:after="100" w:afterAutospacing="1"/>
        <w:contextualSpacing/>
        <w:rPr>
          <w:i/>
          <w:iCs/>
          <w:lang w:val="fr-FR"/>
        </w:rPr>
      </w:pPr>
      <w:r w:rsidRPr="00695684">
        <w:rPr>
          <w:i/>
          <w:iCs/>
          <w:lang w:val="fr-FR"/>
        </w:rPr>
        <w:t>Risque d’accidents de circulation</w:t>
      </w:r>
    </w:p>
    <w:p w14:paraId="604DB42E" w14:textId="77777777" w:rsidR="0090044A" w:rsidRPr="008D2A01" w:rsidRDefault="0090044A" w:rsidP="008D2A01">
      <w:pPr>
        <w:spacing w:line="240" w:lineRule="auto"/>
        <w:jc w:val="both"/>
        <w:rPr>
          <w:rFonts w:ascii="Arial" w:hAnsi="Arial" w:cs="Arial"/>
        </w:rPr>
      </w:pPr>
      <w:r w:rsidRPr="008D2A01">
        <w:rPr>
          <w:rFonts w:ascii="Arial" w:hAnsi="Arial" w:cs="Arial"/>
        </w:rPr>
        <w:t>L’importance du trafic pour les besoins du chantier peut occasionner des accidents de circulation. Cela requiert donc des mesures idoines afin de réduire ces risques.</w:t>
      </w:r>
    </w:p>
    <w:p w14:paraId="2006435F" w14:textId="77777777" w:rsidR="0090044A" w:rsidRPr="008D2A01" w:rsidRDefault="0090044A" w:rsidP="008D2A01">
      <w:pPr>
        <w:spacing w:line="240" w:lineRule="auto"/>
        <w:jc w:val="both"/>
        <w:rPr>
          <w:rFonts w:ascii="Arial" w:hAnsi="Arial" w:cs="Arial"/>
        </w:rPr>
      </w:pPr>
      <w:r w:rsidRPr="008D2A01">
        <w:rPr>
          <w:rFonts w:ascii="Arial" w:hAnsi="Arial" w:cs="Arial"/>
        </w:rPr>
        <w:t>Quoique la densité du trafic des véhicules de chantier ne soit que de courte durée, les riverains percevront un accroissement du trafic de manière conséquente pendant cette durée du chantier, ce qui augmente les risques d’accident de circulation surtout durant le passage des camions au niveau des agglomérations et autres zones d’habitations. L’importance de cet impact est donc évaluée « moyenne »</w:t>
      </w:r>
      <w:r w:rsidR="008325C4">
        <w:rPr>
          <w:rFonts w:ascii="Arial" w:hAnsi="Arial" w:cs="Arial"/>
        </w:rPr>
        <w:t xml:space="preserve"> </w:t>
      </w:r>
      <w:r w:rsidR="00DE4358">
        <w:rPr>
          <w:rFonts w:ascii="Arial" w:hAnsi="Arial" w:cs="Arial"/>
        </w:rPr>
        <w:t xml:space="preserve">et le niveau de risque est considéré comme faible </w:t>
      </w:r>
      <w:r w:rsidR="008325C4">
        <w:rPr>
          <w:rFonts w:ascii="Arial" w:hAnsi="Arial" w:cs="Arial"/>
        </w:rPr>
        <w:t>selon le tableau suivant</w:t>
      </w:r>
      <w:r w:rsidRPr="008D2A01">
        <w:rPr>
          <w:rFonts w:ascii="Arial" w:hAnsi="Arial" w:cs="Arial"/>
        </w:rPr>
        <w:t>.</w:t>
      </w:r>
    </w:p>
    <w:p w14:paraId="2B535FB7" w14:textId="77777777" w:rsidR="0090044A" w:rsidRPr="002E58DC" w:rsidRDefault="0090044A" w:rsidP="002E58DC">
      <w:pPr>
        <w:pStyle w:val="Lgende"/>
        <w:spacing w:before="120"/>
        <w:jc w:val="center"/>
        <w:rPr>
          <w:sz w:val="20"/>
        </w:rPr>
      </w:pPr>
      <w:bookmarkStart w:id="960" w:name="_Toc100753932"/>
      <w:bookmarkStart w:id="961" w:name="_Toc127957838"/>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42</w:t>
      </w:r>
      <w:r w:rsidRPr="002E58DC">
        <w:rPr>
          <w:sz w:val="20"/>
        </w:rPr>
        <w:fldChar w:fldCharType="end"/>
      </w:r>
      <w:r w:rsidRPr="002E58DC">
        <w:rPr>
          <w:sz w:val="20"/>
        </w:rPr>
        <w:t xml:space="preserve">. Evaluation </w:t>
      </w:r>
      <w:r w:rsidR="00FB273B">
        <w:rPr>
          <w:sz w:val="20"/>
        </w:rPr>
        <w:t xml:space="preserve">de </w:t>
      </w:r>
      <w:r w:rsidRPr="002E58DC">
        <w:rPr>
          <w:sz w:val="20"/>
        </w:rPr>
        <w:t>l’impact –Risques d’accident de circulation</w:t>
      </w:r>
      <w:bookmarkEnd w:id="960"/>
      <w:bookmarkEnd w:id="961"/>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050"/>
        <w:gridCol w:w="1023"/>
        <w:gridCol w:w="909"/>
        <w:gridCol w:w="1335"/>
        <w:gridCol w:w="1281"/>
        <w:gridCol w:w="1064"/>
        <w:gridCol w:w="873"/>
        <w:tblGridChange w:id="962">
          <w:tblGrid>
            <w:gridCol w:w="1753"/>
            <w:gridCol w:w="1050"/>
            <w:gridCol w:w="1023"/>
            <w:gridCol w:w="909"/>
            <w:gridCol w:w="1335"/>
            <w:gridCol w:w="1281"/>
            <w:gridCol w:w="1064"/>
            <w:gridCol w:w="873"/>
          </w:tblGrid>
        </w:tblGridChange>
      </w:tblGrid>
      <w:tr w:rsidR="00DE4358" w:rsidRPr="007F78CE" w14:paraId="0F2934FE" w14:textId="77777777" w:rsidTr="00345918">
        <w:trPr>
          <w:jc w:val="center"/>
        </w:trPr>
        <w:tc>
          <w:tcPr>
            <w:tcW w:w="1753" w:type="dxa"/>
            <w:shd w:val="clear" w:color="auto" w:fill="BFBFBF"/>
          </w:tcPr>
          <w:p w14:paraId="388BBEE8" w14:textId="77777777" w:rsidR="00DE4358" w:rsidRPr="007F78CE" w:rsidRDefault="00A73AF6" w:rsidP="007F78CE">
            <w:pPr>
              <w:spacing w:after="0" w:line="240" w:lineRule="auto"/>
              <w:rPr>
                <w:rFonts w:ascii="Arial Narrow" w:hAnsi="Arial Narrow"/>
                <w:b/>
                <w:bCs/>
                <w:sz w:val="20"/>
                <w:szCs w:val="20"/>
              </w:rPr>
            </w:pPr>
            <w:r>
              <w:rPr>
                <w:rFonts w:ascii="Arial Narrow" w:hAnsi="Arial Narrow"/>
                <w:b/>
                <w:bCs/>
                <w:sz w:val="20"/>
                <w:szCs w:val="20"/>
              </w:rPr>
              <w:t>Sous Projet</w:t>
            </w:r>
          </w:p>
        </w:tc>
        <w:tc>
          <w:tcPr>
            <w:tcW w:w="1050" w:type="dxa"/>
            <w:shd w:val="clear" w:color="auto" w:fill="BFBFBF"/>
          </w:tcPr>
          <w:p w14:paraId="6427926F" w14:textId="77777777" w:rsidR="00DE4358" w:rsidRPr="007F78CE" w:rsidRDefault="00DE4358"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023" w:type="dxa"/>
            <w:shd w:val="clear" w:color="auto" w:fill="BFBFBF"/>
          </w:tcPr>
          <w:p w14:paraId="5D29A974" w14:textId="77777777" w:rsidR="00DE4358" w:rsidRPr="007F78CE" w:rsidRDefault="00DE4358"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909" w:type="dxa"/>
            <w:shd w:val="clear" w:color="auto" w:fill="BFBFBF"/>
          </w:tcPr>
          <w:p w14:paraId="2256AE05" w14:textId="77777777" w:rsidR="00DE4358" w:rsidRPr="007F78CE" w:rsidRDefault="00DE4358"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335" w:type="dxa"/>
            <w:shd w:val="clear" w:color="auto" w:fill="BFBFBF"/>
          </w:tcPr>
          <w:p w14:paraId="725EB85A" w14:textId="77777777" w:rsidR="00DE4358" w:rsidRPr="007F78CE" w:rsidRDefault="00DE4358"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281" w:type="dxa"/>
            <w:shd w:val="clear" w:color="auto" w:fill="BFBFBF"/>
          </w:tcPr>
          <w:p w14:paraId="36D339ED" w14:textId="77777777" w:rsidR="00DE4358" w:rsidRPr="007F78CE" w:rsidRDefault="00DE4358"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auto"/>
          </w:tcPr>
          <w:p w14:paraId="6061FBDB" w14:textId="77777777" w:rsidR="00DE4358" w:rsidRPr="007F78CE" w:rsidRDefault="00DE4358"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873" w:type="dxa"/>
            <w:shd w:val="clear" w:color="auto" w:fill="auto"/>
          </w:tcPr>
          <w:p w14:paraId="2A07FAB2" w14:textId="77777777" w:rsidR="00DE4358" w:rsidRPr="007F78CE" w:rsidRDefault="00DE4358" w:rsidP="007F78CE">
            <w:pPr>
              <w:spacing w:after="0" w:line="240" w:lineRule="auto"/>
              <w:rPr>
                <w:rFonts w:ascii="Arial Narrow" w:hAnsi="Arial Narrow"/>
                <w:b/>
                <w:bCs/>
                <w:sz w:val="20"/>
                <w:szCs w:val="20"/>
              </w:rPr>
            </w:pPr>
            <w:r>
              <w:rPr>
                <w:rFonts w:ascii="Arial Narrow" w:hAnsi="Arial Narrow"/>
                <w:b/>
                <w:bCs/>
                <w:sz w:val="20"/>
                <w:szCs w:val="20"/>
              </w:rPr>
              <w:t>Risque</w:t>
            </w:r>
          </w:p>
        </w:tc>
      </w:tr>
      <w:tr w:rsidR="00345918" w:rsidRPr="007F78CE" w14:paraId="476BE80F" w14:textId="77777777" w:rsidTr="00FB04F6">
        <w:trPr>
          <w:jc w:val="center"/>
        </w:trPr>
        <w:tc>
          <w:tcPr>
            <w:tcW w:w="1753" w:type="dxa"/>
          </w:tcPr>
          <w:p w14:paraId="3AE29BD6" w14:textId="77777777" w:rsidR="00DE4358" w:rsidRPr="007F78CE" w:rsidRDefault="00DE4358" w:rsidP="00345918">
            <w:pPr>
              <w:spacing w:after="0" w:line="240" w:lineRule="auto"/>
              <w:contextualSpacing/>
              <w:rPr>
                <w:rFonts w:ascii="Arial Narrow" w:hAnsi="Arial Narrow" w:cs="Arial"/>
                <w:sz w:val="20"/>
                <w:szCs w:val="20"/>
              </w:rPr>
            </w:pPr>
            <w:r>
              <w:rPr>
                <w:rFonts w:ascii="Arial Narrow" w:hAnsi="Arial Narrow" w:cs="Arial"/>
                <w:sz w:val="20"/>
                <w:szCs w:val="20"/>
              </w:rPr>
              <w:t>Infrastructure</w:t>
            </w:r>
            <w:r w:rsidR="00A73AF6">
              <w:rPr>
                <w:rFonts w:ascii="Arial Narrow" w:hAnsi="Arial Narrow" w:cs="Arial"/>
                <w:sz w:val="20"/>
                <w:szCs w:val="20"/>
              </w:rPr>
              <w:t>s</w:t>
            </w:r>
            <w:r>
              <w:rPr>
                <w:rFonts w:ascii="Arial Narrow" w:hAnsi="Arial Narrow" w:cs="Arial"/>
                <w:sz w:val="20"/>
                <w:szCs w:val="20"/>
              </w:rPr>
              <w:t xml:space="preserve"> numérique</w:t>
            </w:r>
            <w:r w:rsidR="00A73AF6">
              <w:rPr>
                <w:rFonts w:ascii="Arial Narrow" w:hAnsi="Arial Narrow" w:cs="Arial"/>
                <w:sz w:val="20"/>
                <w:szCs w:val="20"/>
              </w:rPr>
              <w:t>s</w:t>
            </w:r>
          </w:p>
        </w:tc>
        <w:tc>
          <w:tcPr>
            <w:tcW w:w="1050" w:type="dxa"/>
            <w:shd w:val="clear" w:color="auto" w:fill="auto"/>
          </w:tcPr>
          <w:p w14:paraId="228136FD" w14:textId="77777777" w:rsidR="00DE4358" w:rsidRPr="007F78CE" w:rsidRDefault="00DE4358"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Moyenne</w:t>
            </w:r>
          </w:p>
          <w:p w14:paraId="52273E02"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023" w:type="dxa"/>
            <w:shd w:val="clear" w:color="auto" w:fill="auto"/>
          </w:tcPr>
          <w:p w14:paraId="4682B21C"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1EF7BEC8"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09" w:type="dxa"/>
            <w:shd w:val="clear" w:color="auto" w:fill="auto"/>
          </w:tcPr>
          <w:p w14:paraId="215EB3A2"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491E1170"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35" w:type="dxa"/>
            <w:shd w:val="clear" w:color="auto" w:fill="auto"/>
          </w:tcPr>
          <w:p w14:paraId="218FC962"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242D8A52"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81" w:type="dxa"/>
            <w:shd w:val="clear" w:color="auto" w:fill="FFFF00"/>
          </w:tcPr>
          <w:p w14:paraId="02203DD7"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29F1109D"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(7)</w:t>
            </w:r>
          </w:p>
        </w:tc>
        <w:tc>
          <w:tcPr>
            <w:tcW w:w="1064" w:type="dxa"/>
            <w:shd w:val="clear" w:color="auto" w:fill="auto"/>
          </w:tcPr>
          <w:p w14:paraId="201710A9" w14:textId="77777777" w:rsidR="00DE4358" w:rsidRPr="007F78CE" w:rsidRDefault="00DE4358"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873" w:type="dxa"/>
            <w:shd w:val="clear" w:color="auto" w:fill="BFBFBF"/>
          </w:tcPr>
          <w:p w14:paraId="2FE6E1A9" w14:textId="77777777" w:rsidR="00DE4358" w:rsidRPr="007F78CE" w:rsidRDefault="00DE4358"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r w:rsidR="00345918" w:rsidRPr="007F78CE" w14:paraId="2F37FDE7" w14:textId="77777777" w:rsidTr="00FB04F6">
        <w:trPr>
          <w:jc w:val="center"/>
        </w:trPr>
        <w:tc>
          <w:tcPr>
            <w:tcW w:w="1753" w:type="dxa"/>
          </w:tcPr>
          <w:p w14:paraId="11B27539" w14:textId="77777777" w:rsidR="00DE4358" w:rsidRPr="007F78CE" w:rsidRDefault="00DE4358" w:rsidP="00345918">
            <w:pPr>
              <w:spacing w:after="0" w:line="240" w:lineRule="auto"/>
              <w:contextualSpacing/>
              <w:rPr>
                <w:rFonts w:ascii="Arial Narrow" w:hAnsi="Arial Narrow" w:cs="Arial"/>
                <w:sz w:val="20"/>
                <w:szCs w:val="20"/>
              </w:rPr>
            </w:pPr>
            <w:r>
              <w:rPr>
                <w:rFonts w:ascii="Arial Narrow" w:hAnsi="Arial Narrow" w:cs="Arial"/>
                <w:sz w:val="20"/>
                <w:szCs w:val="20"/>
              </w:rPr>
              <w:t>Centrale électrique solaire</w:t>
            </w:r>
          </w:p>
        </w:tc>
        <w:tc>
          <w:tcPr>
            <w:tcW w:w="1050" w:type="dxa"/>
            <w:shd w:val="clear" w:color="auto" w:fill="auto"/>
          </w:tcPr>
          <w:p w14:paraId="0647C328" w14:textId="77777777" w:rsidR="00DE4358" w:rsidRPr="007F78CE" w:rsidRDefault="00DE4358" w:rsidP="00296692">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Moyenne</w:t>
            </w:r>
          </w:p>
          <w:p w14:paraId="0A1698E5"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023" w:type="dxa"/>
            <w:shd w:val="clear" w:color="auto" w:fill="auto"/>
          </w:tcPr>
          <w:p w14:paraId="1FF447FC"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797A4A43"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09" w:type="dxa"/>
            <w:shd w:val="clear" w:color="auto" w:fill="auto"/>
          </w:tcPr>
          <w:p w14:paraId="637FE3A0"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3C4C518F"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35" w:type="dxa"/>
            <w:shd w:val="clear" w:color="auto" w:fill="auto"/>
          </w:tcPr>
          <w:p w14:paraId="56E1AC05"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2A912A30"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81" w:type="dxa"/>
            <w:shd w:val="clear" w:color="auto" w:fill="FFFF00"/>
          </w:tcPr>
          <w:p w14:paraId="1E0C3C45"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5670EBD2"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(7)</w:t>
            </w:r>
          </w:p>
        </w:tc>
        <w:tc>
          <w:tcPr>
            <w:tcW w:w="1064" w:type="dxa"/>
            <w:shd w:val="clear" w:color="auto" w:fill="auto"/>
          </w:tcPr>
          <w:p w14:paraId="4513BF70" w14:textId="77777777" w:rsidR="00DE4358" w:rsidRPr="007F78CE" w:rsidRDefault="00DE435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c>
          <w:tcPr>
            <w:tcW w:w="873" w:type="dxa"/>
            <w:shd w:val="clear" w:color="auto" w:fill="BFBFBF"/>
          </w:tcPr>
          <w:p w14:paraId="21A417F6" w14:textId="77777777" w:rsidR="00DE4358" w:rsidRPr="007F78CE" w:rsidRDefault="00DE435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r>
      <w:tr w:rsidR="00345918" w:rsidRPr="007F78CE" w14:paraId="7D625925" w14:textId="77777777" w:rsidTr="00FB04F6">
        <w:trPr>
          <w:jc w:val="center"/>
        </w:trPr>
        <w:tc>
          <w:tcPr>
            <w:tcW w:w="1753" w:type="dxa"/>
          </w:tcPr>
          <w:p w14:paraId="12144FFA" w14:textId="77777777" w:rsidR="00DE4358" w:rsidRPr="007F78CE" w:rsidRDefault="00DE4358" w:rsidP="00345918">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50" w:type="dxa"/>
            <w:shd w:val="clear" w:color="auto" w:fill="auto"/>
          </w:tcPr>
          <w:p w14:paraId="304CE11E" w14:textId="77777777" w:rsidR="00DE4358" w:rsidRPr="007F78CE" w:rsidRDefault="00DE4358" w:rsidP="00296692">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Moyenne</w:t>
            </w:r>
          </w:p>
          <w:p w14:paraId="106517B0"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023" w:type="dxa"/>
            <w:shd w:val="clear" w:color="auto" w:fill="auto"/>
          </w:tcPr>
          <w:p w14:paraId="114A81F9"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7268E86C"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09" w:type="dxa"/>
            <w:shd w:val="clear" w:color="auto" w:fill="auto"/>
          </w:tcPr>
          <w:p w14:paraId="3DA97590"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290FF8BE"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35" w:type="dxa"/>
            <w:shd w:val="clear" w:color="auto" w:fill="auto"/>
          </w:tcPr>
          <w:p w14:paraId="64C66C49"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2B350F80"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81" w:type="dxa"/>
            <w:shd w:val="clear" w:color="auto" w:fill="FFFF00"/>
          </w:tcPr>
          <w:p w14:paraId="2DA07951"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005AEDC6"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(7)</w:t>
            </w:r>
          </w:p>
        </w:tc>
        <w:tc>
          <w:tcPr>
            <w:tcW w:w="1064" w:type="dxa"/>
            <w:shd w:val="clear" w:color="auto" w:fill="auto"/>
          </w:tcPr>
          <w:p w14:paraId="3B607423" w14:textId="77777777" w:rsidR="00DE4358" w:rsidRPr="007F78CE" w:rsidRDefault="00DE435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c>
          <w:tcPr>
            <w:tcW w:w="873" w:type="dxa"/>
            <w:shd w:val="clear" w:color="auto" w:fill="BFBFBF"/>
          </w:tcPr>
          <w:p w14:paraId="7E5426D3" w14:textId="77777777" w:rsidR="00DE4358" w:rsidRPr="007F78CE" w:rsidRDefault="00DE435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r>
      <w:tr w:rsidR="00345918" w:rsidRPr="007F78CE" w14:paraId="54BEC440" w14:textId="77777777" w:rsidTr="00FB04F6">
        <w:trPr>
          <w:jc w:val="center"/>
        </w:trPr>
        <w:tc>
          <w:tcPr>
            <w:tcW w:w="1753" w:type="dxa"/>
          </w:tcPr>
          <w:p w14:paraId="4102E13E" w14:textId="77777777" w:rsidR="00DE4358" w:rsidRDefault="00DE4358" w:rsidP="00B434A6">
            <w:pPr>
              <w:spacing w:after="0" w:line="240" w:lineRule="auto"/>
              <w:contextualSpacing/>
              <w:rPr>
                <w:rFonts w:ascii="Arial Narrow" w:hAnsi="Arial Narrow" w:cs="Arial"/>
                <w:sz w:val="20"/>
                <w:szCs w:val="20"/>
              </w:rPr>
            </w:pPr>
            <w:r>
              <w:rPr>
                <w:rFonts w:ascii="Arial Narrow" w:hAnsi="Arial Narrow" w:cs="Arial"/>
                <w:sz w:val="20"/>
                <w:szCs w:val="20"/>
              </w:rPr>
              <w:t>Réseau électrique</w:t>
            </w:r>
          </w:p>
        </w:tc>
        <w:tc>
          <w:tcPr>
            <w:tcW w:w="1050" w:type="dxa"/>
            <w:shd w:val="clear" w:color="auto" w:fill="auto"/>
          </w:tcPr>
          <w:p w14:paraId="2687EAA8" w14:textId="77777777" w:rsidR="00DE4358" w:rsidRPr="007F78CE" w:rsidRDefault="00DE4358" w:rsidP="00296692">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4741EE6C"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23" w:type="dxa"/>
            <w:shd w:val="clear" w:color="auto" w:fill="auto"/>
          </w:tcPr>
          <w:p w14:paraId="47647256"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7383238F"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09" w:type="dxa"/>
            <w:shd w:val="clear" w:color="auto" w:fill="auto"/>
          </w:tcPr>
          <w:p w14:paraId="08F80862"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2E664C94"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35" w:type="dxa"/>
            <w:shd w:val="clear" w:color="auto" w:fill="auto"/>
          </w:tcPr>
          <w:p w14:paraId="25948D5A"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4EFF8964"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81" w:type="dxa"/>
            <w:shd w:val="clear" w:color="auto" w:fill="FFFF00"/>
          </w:tcPr>
          <w:p w14:paraId="3C46970C"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7B1D7967"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tcPr>
          <w:p w14:paraId="34C760A6" w14:textId="77777777" w:rsidR="00DE4358" w:rsidRPr="007F78CE" w:rsidRDefault="00DE435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c>
          <w:tcPr>
            <w:tcW w:w="873" w:type="dxa"/>
            <w:shd w:val="clear" w:color="auto" w:fill="BFBFBF"/>
          </w:tcPr>
          <w:p w14:paraId="5FD3A070" w14:textId="77777777" w:rsidR="00DE4358" w:rsidRPr="007F78CE" w:rsidRDefault="00DE435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r>
      <w:tr w:rsidR="001716F8" w:rsidRPr="007F78CE" w14:paraId="0FC1FDDB" w14:textId="77777777" w:rsidTr="00FB04F6">
        <w:trPr>
          <w:jc w:val="center"/>
        </w:trPr>
        <w:tc>
          <w:tcPr>
            <w:tcW w:w="1753" w:type="dxa"/>
          </w:tcPr>
          <w:p w14:paraId="357BA3BE" w14:textId="77777777" w:rsidR="001716F8" w:rsidRDefault="001716F8" w:rsidP="00B434A6">
            <w:pPr>
              <w:spacing w:after="0" w:line="240" w:lineRule="auto"/>
              <w:contextualSpacing/>
              <w:rPr>
                <w:rFonts w:ascii="Arial Narrow" w:hAnsi="Arial Narrow" w:cs="Arial"/>
                <w:sz w:val="20"/>
                <w:szCs w:val="20"/>
              </w:rPr>
            </w:pPr>
            <w:r>
              <w:rPr>
                <w:rFonts w:ascii="Arial Narrow" w:hAnsi="Arial Narrow" w:cs="Arial"/>
                <w:sz w:val="20"/>
                <w:szCs w:val="20"/>
              </w:rPr>
              <w:t>Impact cummulé</w:t>
            </w:r>
          </w:p>
        </w:tc>
        <w:tc>
          <w:tcPr>
            <w:tcW w:w="1050" w:type="dxa"/>
            <w:shd w:val="clear" w:color="auto" w:fill="auto"/>
          </w:tcPr>
          <w:p w14:paraId="6345775A" w14:textId="77777777" w:rsidR="001716F8" w:rsidRPr="007F78CE" w:rsidRDefault="001716F8" w:rsidP="00D70FB3">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Moyenne</w:t>
            </w:r>
          </w:p>
          <w:p w14:paraId="7B00B4E6"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023" w:type="dxa"/>
            <w:shd w:val="clear" w:color="auto" w:fill="auto"/>
          </w:tcPr>
          <w:p w14:paraId="6528C966"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68C332FB"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09" w:type="dxa"/>
            <w:shd w:val="clear" w:color="auto" w:fill="auto"/>
          </w:tcPr>
          <w:p w14:paraId="2387BABA"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2913287F"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35" w:type="dxa"/>
            <w:shd w:val="clear" w:color="auto" w:fill="auto"/>
          </w:tcPr>
          <w:p w14:paraId="5F054915"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68D18644"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81" w:type="dxa"/>
            <w:shd w:val="clear" w:color="auto" w:fill="FFFF00"/>
          </w:tcPr>
          <w:p w14:paraId="4918BE29"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55441478"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(7)</w:t>
            </w:r>
          </w:p>
        </w:tc>
        <w:tc>
          <w:tcPr>
            <w:tcW w:w="1064" w:type="dxa"/>
            <w:shd w:val="clear" w:color="auto" w:fill="auto"/>
          </w:tcPr>
          <w:p w14:paraId="2FD216D0" w14:textId="77777777" w:rsidR="001716F8" w:rsidRDefault="001716F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c>
          <w:tcPr>
            <w:tcW w:w="873" w:type="dxa"/>
            <w:shd w:val="clear" w:color="auto" w:fill="BFBFBF"/>
          </w:tcPr>
          <w:p w14:paraId="29C1ED86" w14:textId="77777777" w:rsidR="001716F8" w:rsidRDefault="001716F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r>
    </w:tbl>
    <w:p w14:paraId="20347BAC" w14:textId="77777777" w:rsidR="0090044A" w:rsidRPr="006A6B33" w:rsidRDefault="0090044A" w:rsidP="00687DD2">
      <w:pPr>
        <w:pStyle w:val="Normal12"/>
        <w:numPr>
          <w:ilvl w:val="0"/>
          <w:numId w:val="85"/>
        </w:numPr>
        <w:spacing w:before="100" w:beforeAutospacing="1" w:after="100" w:afterAutospacing="1"/>
        <w:ind w:left="1077" w:hanging="357"/>
        <w:contextualSpacing/>
        <w:rPr>
          <w:i/>
          <w:iCs/>
          <w:lang w:val="fr-FR"/>
        </w:rPr>
      </w:pPr>
      <w:r w:rsidRPr="006A6B33">
        <w:rPr>
          <w:i/>
          <w:iCs/>
          <w:lang w:val="fr-FR"/>
        </w:rPr>
        <w:t xml:space="preserve">Risques d’accident de travail </w:t>
      </w:r>
    </w:p>
    <w:p w14:paraId="18794968" w14:textId="77777777" w:rsidR="0090044A" w:rsidRPr="006A6B33" w:rsidRDefault="0090044A" w:rsidP="00B434A6">
      <w:pPr>
        <w:spacing w:line="240" w:lineRule="auto"/>
        <w:jc w:val="both"/>
        <w:rPr>
          <w:rFonts w:cs="Arial"/>
        </w:rPr>
      </w:pPr>
      <w:r w:rsidRPr="008D2A01">
        <w:rPr>
          <w:rFonts w:ascii="Arial" w:hAnsi="Arial" w:cs="Arial"/>
        </w:rPr>
        <w:t>Durant la mise en place et la construction des infrastructures, les ouvriers sur le chantier sont exposés à divers types d’accidents liés à leur poste (chute, électrocution, blessures…). Néanmoins la mise en œuvre de mesures idoines permettra d’éviter sinon de contenir ces impacts. Cet impact serait d’importance « moyenne »</w:t>
      </w:r>
      <w:r w:rsidR="00DE4358">
        <w:rPr>
          <w:rFonts w:ascii="Arial" w:hAnsi="Arial" w:cs="Arial"/>
        </w:rPr>
        <w:t>. En ce qui concerne le niveau de risque, il est considéré comme faible pour le réseau électrique et élevé pour les autres sous projets</w:t>
      </w:r>
      <w:r w:rsidR="008325C4">
        <w:rPr>
          <w:rFonts w:ascii="Arial" w:hAnsi="Arial" w:cs="Arial"/>
        </w:rPr>
        <w:t xml:space="preserve"> selon le tableau ci-dessous</w:t>
      </w:r>
      <w:r w:rsidRPr="008D2A01">
        <w:rPr>
          <w:rFonts w:ascii="Arial" w:hAnsi="Arial" w:cs="Arial"/>
        </w:rPr>
        <w:t>.</w:t>
      </w:r>
    </w:p>
    <w:p w14:paraId="0001DF0C" w14:textId="77777777" w:rsidR="0090044A" w:rsidRPr="002E58DC" w:rsidRDefault="0090044A" w:rsidP="002E58DC">
      <w:pPr>
        <w:pStyle w:val="Lgende"/>
        <w:spacing w:before="120"/>
        <w:jc w:val="center"/>
        <w:rPr>
          <w:sz w:val="20"/>
        </w:rPr>
      </w:pPr>
      <w:bookmarkStart w:id="963" w:name="_Toc100753933"/>
      <w:bookmarkStart w:id="964" w:name="_Toc127957839"/>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43</w:t>
      </w:r>
      <w:r w:rsidRPr="002E58DC">
        <w:rPr>
          <w:sz w:val="20"/>
        </w:rPr>
        <w:fldChar w:fldCharType="end"/>
      </w:r>
      <w:r w:rsidRPr="002E58DC">
        <w:rPr>
          <w:sz w:val="20"/>
        </w:rPr>
        <w:t xml:space="preserve">. Evaluation </w:t>
      </w:r>
      <w:r w:rsidR="00FB273B">
        <w:rPr>
          <w:sz w:val="20"/>
        </w:rPr>
        <w:t xml:space="preserve"> de </w:t>
      </w:r>
      <w:r w:rsidRPr="002E58DC">
        <w:rPr>
          <w:sz w:val="20"/>
        </w:rPr>
        <w:t>l’impact –Risques d’accidents de travail</w:t>
      </w:r>
      <w:bookmarkEnd w:id="963"/>
      <w:bookmarkEnd w:id="964"/>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026"/>
        <w:gridCol w:w="1073"/>
        <w:gridCol w:w="877"/>
        <w:gridCol w:w="1312"/>
        <w:gridCol w:w="1252"/>
        <w:gridCol w:w="1064"/>
        <w:gridCol w:w="844"/>
        <w:tblGridChange w:id="965">
          <w:tblGrid>
            <w:gridCol w:w="1840"/>
            <w:gridCol w:w="1026"/>
            <w:gridCol w:w="1073"/>
            <w:gridCol w:w="877"/>
            <w:gridCol w:w="1312"/>
            <w:gridCol w:w="1252"/>
            <w:gridCol w:w="1064"/>
            <w:gridCol w:w="844"/>
          </w:tblGrid>
        </w:tblGridChange>
      </w:tblGrid>
      <w:tr w:rsidR="00DE4358" w:rsidRPr="007F78CE" w14:paraId="5421E1D7" w14:textId="77777777" w:rsidTr="00345918">
        <w:trPr>
          <w:jc w:val="center"/>
        </w:trPr>
        <w:tc>
          <w:tcPr>
            <w:tcW w:w="1840" w:type="dxa"/>
            <w:shd w:val="clear" w:color="auto" w:fill="BFBFBF"/>
          </w:tcPr>
          <w:p w14:paraId="62D66EAD" w14:textId="77777777" w:rsidR="00DE4358" w:rsidRPr="007F78CE" w:rsidRDefault="00A73AF6" w:rsidP="007F78CE">
            <w:pPr>
              <w:spacing w:after="0" w:line="240" w:lineRule="auto"/>
              <w:rPr>
                <w:rFonts w:ascii="Arial Narrow" w:hAnsi="Arial Narrow"/>
                <w:b/>
                <w:bCs/>
                <w:sz w:val="20"/>
                <w:szCs w:val="20"/>
              </w:rPr>
            </w:pPr>
            <w:r>
              <w:rPr>
                <w:rFonts w:ascii="Arial Narrow" w:hAnsi="Arial Narrow"/>
                <w:b/>
                <w:bCs/>
                <w:sz w:val="20"/>
                <w:szCs w:val="20"/>
              </w:rPr>
              <w:t>Sous Projet</w:t>
            </w:r>
          </w:p>
        </w:tc>
        <w:tc>
          <w:tcPr>
            <w:tcW w:w="1026" w:type="dxa"/>
            <w:shd w:val="clear" w:color="auto" w:fill="BFBFBF"/>
          </w:tcPr>
          <w:p w14:paraId="5760E034" w14:textId="77777777" w:rsidR="00DE4358" w:rsidRPr="007F78CE" w:rsidRDefault="00DE4358"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073" w:type="dxa"/>
            <w:shd w:val="clear" w:color="auto" w:fill="BFBFBF"/>
          </w:tcPr>
          <w:p w14:paraId="3A860E2C" w14:textId="77777777" w:rsidR="00DE4358" w:rsidRPr="007F78CE" w:rsidRDefault="00DE4358"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877" w:type="dxa"/>
            <w:shd w:val="clear" w:color="auto" w:fill="BFBFBF"/>
          </w:tcPr>
          <w:p w14:paraId="43DA7B4F" w14:textId="77777777" w:rsidR="00DE4358" w:rsidRPr="007F78CE" w:rsidRDefault="00DE4358"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312" w:type="dxa"/>
            <w:shd w:val="clear" w:color="auto" w:fill="BFBFBF"/>
          </w:tcPr>
          <w:p w14:paraId="2FB970EC" w14:textId="77777777" w:rsidR="00DE4358" w:rsidRPr="007F78CE" w:rsidRDefault="00DE4358"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252" w:type="dxa"/>
            <w:shd w:val="clear" w:color="auto" w:fill="BFBFBF"/>
          </w:tcPr>
          <w:p w14:paraId="782DE4CC" w14:textId="77777777" w:rsidR="00DE4358" w:rsidRPr="007F78CE" w:rsidRDefault="00DE4358"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auto"/>
          </w:tcPr>
          <w:p w14:paraId="13AF68DD" w14:textId="77777777" w:rsidR="00DE4358" w:rsidRPr="007F78CE" w:rsidRDefault="00DE4358"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844" w:type="dxa"/>
            <w:shd w:val="clear" w:color="auto" w:fill="auto"/>
          </w:tcPr>
          <w:p w14:paraId="4B569869" w14:textId="77777777" w:rsidR="00DE4358" w:rsidRPr="007F78CE" w:rsidRDefault="00DE4358" w:rsidP="007F78CE">
            <w:pPr>
              <w:spacing w:after="0" w:line="240" w:lineRule="auto"/>
              <w:rPr>
                <w:rFonts w:ascii="Arial Narrow" w:hAnsi="Arial Narrow"/>
                <w:b/>
                <w:bCs/>
                <w:sz w:val="20"/>
                <w:szCs w:val="20"/>
              </w:rPr>
            </w:pPr>
            <w:r>
              <w:rPr>
                <w:rFonts w:ascii="Arial Narrow" w:hAnsi="Arial Narrow"/>
                <w:b/>
                <w:bCs/>
                <w:sz w:val="20"/>
                <w:szCs w:val="20"/>
              </w:rPr>
              <w:t>Risque</w:t>
            </w:r>
          </w:p>
        </w:tc>
      </w:tr>
      <w:tr w:rsidR="00DE4358" w:rsidRPr="007F78CE" w14:paraId="6D732DCB" w14:textId="77777777" w:rsidTr="00345918">
        <w:trPr>
          <w:jc w:val="center"/>
        </w:trPr>
        <w:tc>
          <w:tcPr>
            <w:tcW w:w="1840" w:type="dxa"/>
          </w:tcPr>
          <w:p w14:paraId="32E1CBF3" w14:textId="77777777" w:rsidR="00DE4358" w:rsidRPr="007F78CE" w:rsidRDefault="00DE4358" w:rsidP="00345918">
            <w:pPr>
              <w:spacing w:after="0" w:line="240" w:lineRule="auto"/>
              <w:contextualSpacing/>
              <w:rPr>
                <w:rFonts w:ascii="Arial Narrow" w:hAnsi="Arial Narrow" w:cs="Arial"/>
                <w:sz w:val="20"/>
                <w:szCs w:val="20"/>
              </w:rPr>
            </w:pPr>
            <w:r>
              <w:rPr>
                <w:rFonts w:ascii="Arial Narrow" w:hAnsi="Arial Narrow" w:cs="Arial"/>
                <w:sz w:val="20"/>
                <w:szCs w:val="20"/>
              </w:rPr>
              <w:t>Infrastructure numérique</w:t>
            </w:r>
            <w:r w:rsidR="00A73AF6">
              <w:rPr>
                <w:rFonts w:ascii="Arial Narrow" w:hAnsi="Arial Narrow" w:cs="Arial"/>
                <w:sz w:val="20"/>
                <w:szCs w:val="20"/>
              </w:rPr>
              <w:t>s</w:t>
            </w:r>
          </w:p>
        </w:tc>
        <w:tc>
          <w:tcPr>
            <w:tcW w:w="1026" w:type="dxa"/>
            <w:shd w:val="clear" w:color="auto" w:fill="auto"/>
          </w:tcPr>
          <w:p w14:paraId="1B59F0C3" w14:textId="77777777" w:rsidR="00DE4358" w:rsidRPr="007F78CE" w:rsidRDefault="00DE4358"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Moyenne</w:t>
            </w:r>
          </w:p>
          <w:p w14:paraId="64762741"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073" w:type="dxa"/>
            <w:shd w:val="clear" w:color="auto" w:fill="auto"/>
          </w:tcPr>
          <w:p w14:paraId="23CCCE38"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030FF983"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877" w:type="dxa"/>
            <w:shd w:val="clear" w:color="auto" w:fill="auto"/>
          </w:tcPr>
          <w:p w14:paraId="16E3CECA"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3C80D7B4"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12" w:type="dxa"/>
            <w:shd w:val="clear" w:color="auto" w:fill="auto"/>
          </w:tcPr>
          <w:p w14:paraId="35DFE756"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69BAAB00"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52" w:type="dxa"/>
            <w:shd w:val="clear" w:color="auto" w:fill="FFFF00"/>
          </w:tcPr>
          <w:p w14:paraId="393F1A42"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44DF2819"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tcPr>
          <w:p w14:paraId="401223EB" w14:textId="77777777" w:rsidR="00DE4358" w:rsidRPr="007F78CE" w:rsidRDefault="00DE4358"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Moyenne </w:t>
            </w:r>
          </w:p>
        </w:tc>
        <w:tc>
          <w:tcPr>
            <w:tcW w:w="844" w:type="dxa"/>
            <w:shd w:val="clear" w:color="auto" w:fill="FFC000"/>
          </w:tcPr>
          <w:p w14:paraId="12F8CA3C" w14:textId="77777777" w:rsidR="00DE4358" w:rsidRPr="007F78CE" w:rsidRDefault="00DE4358"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Elevé </w:t>
            </w:r>
          </w:p>
        </w:tc>
      </w:tr>
      <w:tr w:rsidR="00DE4358" w:rsidRPr="007F78CE" w14:paraId="79E7B160" w14:textId="77777777" w:rsidTr="00345918">
        <w:trPr>
          <w:jc w:val="center"/>
        </w:trPr>
        <w:tc>
          <w:tcPr>
            <w:tcW w:w="1840" w:type="dxa"/>
          </w:tcPr>
          <w:p w14:paraId="76B0C851" w14:textId="77777777" w:rsidR="00DE4358" w:rsidRPr="007F78CE" w:rsidRDefault="00DE4358" w:rsidP="00B434A6">
            <w:pPr>
              <w:spacing w:after="0" w:line="240" w:lineRule="auto"/>
              <w:contextualSpacing/>
              <w:rPr>
                <w:rFonts w:ascii="Arial Narrow" w:hAnsi="Arial Narrow" w:cs="Arial"/>
                <w:sz w:val="20"/>
                <w:szCs w:val="20"/>
              </w:rPr>
            </w:pPr>
            <w:r>
              <w:rPr>
                <w:rFonts w:ascii="Arial Narrow" w:hAnsi="Arial Narrow" w:cs="Arial"/>
                <w:sz w:val="20"/>
                <w:szCs w:val="20"/>
              </w:rPr>
              <w:t>Centrale électrique solaire</w:t>
            </w:r>
          </w:p>
        </w:tc>
        <w:tc>
          <w:tcPr>
            <w:tcW w:w="1026" w:type="dxa"/>
            <w:shd w:val="clear" w:color="auto" w:fill="auto"/>
          </w:tcPr>
          <w:p w14:paraId="7701CA20" w14:textId="77777777" w:rsidR="00DE4358" w:rsidRPr="007F78CE" w:rsidRDefault="00DE4358" w:rsidP="00296692">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Moyenne</w:t>
            </w:r>
          </w:p>
          <w:p w14:paraId="1AB433D3"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073" w:type="dxa"/>
            <w:shd w:val="clear" w:color="auto" w:fill="auto"/>
          </w:tcPr>
          <w:p w14:paraId="0E34E56B"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1E520374"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877" w:type="dxa"/>
            <w:shd w:val="clear" w:color="auto" w:fill="auto"/>
          </w:tcPr>
          <w:p w14:paraId="4B5B3ADA"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05EDA281"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12" w:type="dxa"/>
            <w:shd w:val="clear" w:color="auto" w:fill="auto"/>
          </w:tcPr>
          <w:p w14:paraId="087FD229"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2AAE1137"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52" w:type="dxa"/>
            <w:shd w:val="clear" w:color="auto" w:fill="FFFF00"/>
          </w:tcPr>
          <w:p w14:paraId="72D725CC"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42D1F381"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tcPr>
          <w:p w14:paraId="0B776107" w14:textId="77777777" w:rsidR="00DE4358" w:rsidRPr="007F78CE" w:rsidRDefault="00DE435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844" w:type="dxa"/>
            <w:shd w:val="clear" w:color="auto" w:fill="FFC000"/>
          </w:tcPr>
          <w:p w14:paraId="7DD1EFC1" w14:textId="77777777" w:rsidR="00DE4358" w:rsidRPr="007F78CE" w:rsidRDefault="00DE435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Elevé</w:t>
            </w:r>
          </w:p>
        </w:tc>
      </w:tr>
      <w:tr w:rsidR="00DE4358" w:rsidRPr="007F78CE" w14:paraId="479F6A3E" w14:textId="77777777" w:rsidTr="00345918">
        <w:trPr>
          <w:jc w:val="center"/>
        </w:trPr>
        <w:tc>
          <w:tcPr>
            <w:tcW w:w="1840" w:type="dxa"/>
          </w:tcPr>
          <w:p w14:paraId="488CB03A" w14:textId="77777777" w:rsidR="00DE4358" w:rsidRPr="007F78CE" w:rsidRDefault="00DE4358" w:rsidP="00345918">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26" w:type="dxa"/>
            <w:shd w:val="clear" w:color="auto" w:fill="auto"/>
          </w:tcPr>
          <w:p w14:paraId="585180C1" w14:textId="77777777" w:rsidR="00DE4358" w:rsidRPr="007F78CE" w:rsidRDefault="00DE4358" w:rsidP="00296692">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Moyenne</w:t>
            </w:r>
          </w:p>
          <w:p w14:paraId="49C5443B"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073" w:type="dxa"/>
            <w:shd w:val="clear" w:color="auto" w:fill="auto"/>
          </w:tcPr>
          <w:p w14:paraId="2FD7564A"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731619F7"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877" w:type="dxa"/>
            <w:shd w:val="clear" w:color="auto" w:fill="auto"/>
          </w:tcPr>
          <w:p w14:paraId="31EF04B4"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39943D7D"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12" w:type="dxa"/>
            <w:shd w:val="clear" w:color="auto" w:fill="auto"/>
          </w:tcPr>
          <w:p w14:paraId="0707C4EC"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501A4369"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52" w:type="dxa"/>
            <w:shd w:val="clear" w:color="auto" w:fill="FFFF00"/>
          </w:tcPr>
          <w:p w14:paraId="1A98FD65"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7A3DD4E5" w14:textId="77777777" w:rsidR="00DE4358" w:rsidRPr="007F78CE" w:rsidRDefault="00DE4358"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tcPr>
          <w:p w14:paraId="311D40CA" w14:textId="77777777" w:rsidR="00DE4358" w:rsidRPr="007F78CE" w:rsidRDefault="00DE435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844" w:type="dxa"/>
            <w:shd w:val="clear" w:color="auto" w:fill="FFC000"/>
          </w:tcPr>
          <w:p w14:paraId="4A4B58ED" w14:textId="77777777" w:rsidR="00DE4358" w:rsidRPr="007F78CE" w:rsidRDefault="00DE435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Elevé</w:t>
            </w:r>
          </w:p>
        </w:tc>
      </w:tr>
      <w:tr w:rsidR="00345918" w:rsidRPr="007F78CE" w14:paraId="02E678DF" w14:textId="77777777" w:rsidTr="00FB04F6">
        <w:trPr>
          <w:jc w:val="center"/>
        </w:trPr>
        <w:tc>
          <w:tcPr>
            <w:tcW w:w="1840" w:type="dxa"/>
          </w:tcPr>
          <w:p w14:paraId="49BBA6D0" w14:textId="77777777" w:rsidR="00DE4358" w:rsidRDefault="00DE4358" w:rsidP="00B434A6">
            <w:pPr>
              <w:spacing w:after="0" w:line="240" w:lineRule="auto"/>
              <w:contextualSpacing/>
              <w:rPr>
                <w:rFonts w:ascii="Arial Narrow" w:hAnsi="Arial Narrow" w:cs="Arial"/>
                <w:sz w:val="20"/>
                <w:szCs w:val="20"/>
              </w:rPr>
            </w:pPr>
            <w:r>
              <w:rPr>
                <w:rFonts w:ascii="Arial Narrow" w:hAnsi="Arial Narrow" w:cs="Arial"/>
                <w:sz w:val="20"/>
                <w:szCs w:val="20"/>
              </w:rPr>
              <w:t>Réseau électrique</w:t>
            </w:r>
          </w:p>
        </w:tc>
        <w:tc>
          <w:tcPr>
            <w:tcW w:w="1026" w:type="dxa"/>
            <w:shd w:val="clear" w:color="auto" w:fill="auto"/>
          </w:tcPr>
          <w:p w14:paraId="3EFB4EAE" w14:textId="77777777" w:rsidR="00DE4358" w:rsidRPr="007F78CE" w:rsidRDefault="00DE4358" w:rsidP="00296692">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4A06503D"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73" w:type="dxa"/>
            <w:shd w:val="clear" w:color="auto" w:fill="auto"/>
          </w:tcPr>
          <w:p w14:paraId="6F4104A1"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2C5B97D7"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877" w:type="dxa"/>
            <w:shd w:val="clear" w:color="auto" w:fill="auto"/>
          </w:tcPr>
          <w:p w14:paraId="50DCD69D"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43223820"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12" w:type="dxa"/>
            <w:shd w:val="clear" w:color="auto" w:fill="auto"/>
          </w:tcPr>
          <w:p w14:paraId="12CFFD78"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503B8FE7"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52" w:type="dxa"/>
            <w:shd w:val="clear" w:color="auto" w:fill="FFFF00"/>
          </w:tcPr>
          <w:p w14:paraId="180C6A4F"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2F5726ED" w14:textId="77777777" w:rsidR="00DE4358" w:rsidRPr="007F78CE" w:rsidRDefault="00DE435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tcPr>
          <w:p w14:paraId="3D7D1DDA" w14:textId="77777777" w:rsidR="00DE4358" w:rsidRPr="007F78CE" w:rsidRDefault="00DE435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844" w:type="dxa"/>
            <w:shd w:val="clear" w:color="auto" w:fill="BFBFBF"/>
          </w:tcPr>
          <w:p w14:paraId="03EF002D" w14:textId="77777777" w:rsidR="00DE4358" w:rsidRPr="007F78CE" w:rsidRDefault="00DE435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r w:rsidR="001716F8" w:rsidRPr="007F78CE" w14:paraId="521F5FBF" w14:textId="77777777" w:rsidTr="00FB04F6">
        <w:trPr>
          <w:jc w:val="center"/>
        </w:trPr>
        <w:tc>
          <w:tcPr>
            <w:tcW w:w="1840" w:type="dxa"/>
          </w:tcPr>
          <w:p w14:paraId="5EB7B12A" w14:textId="77777777" w:rsidR="001716F8" w:rsidRDefault="001716F8" w:rsidP="00B434A6">
            <w:pPr>
              <w:spacing w:after="0" w:line="240" w:lineRule="auto"/>
              <w:contextualSpacing/>
              <w:rPr>
                <w:rFonts w:ascii="Arial Narrow" w:hAnsi="Arial Narrow" w:cs="Arial"/>
                <w:sz w:val="20"/>
                <w:szCs w:val="20"/>
              </w:rPr>
            </w:pPr>
            <w:r>
              <w:rPr>
                <w:rFonts w:ascii="Arial Narrow" w:hAnsi="Arial Narrow" w:cs="Arial"/>
                <w:sz w:val="20"/>
                <w:szCs w:val="20"/>
              </w:rPr>
              <w:t>Impact cummulé</w:t>
            </w:r>
          </w:p>
        </w:tc>
        <w:tc>
          <w:tcPr>
            <w:tcW w:w="1026" w:type="dxa"/>
            <w:shd w:val="clear" w:color="auto" w:fill="auto"/>
          </w:tcPr>
          <w:p w14:paraId="48149444" w14:textId="77777777" w:rsidR="001716F8" w:rsidRPr="007F78CE" w:rsidRDefault="001716F8" w:rsidP="00D70FB3">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Moyenne</w:t>
            </w:r>
          </w:p>
          <w:p w14:paraId="5888D6C8"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073" w:type="dxa"/>
            <w:shd w:val="clear" w:color="auto" w:fill="auto"/>
          </w:tcPr>
          <w:p w14:paraId="14A4ADF2"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0CB1D6FD"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877" w:type="dxa"/>
            <w:shd w:val="clear" w:color="auto" w:fill="auto"/>
          </w:tcPr>
          <w:p w14:paraId="1D91529F"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6B1B65C4"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12" w:type="dxa"/>
            <w:shd w:val="clear" w:color="auto" w:fill="auto"/>
          </w:tcPr>
          <w:p w14:paraId="151BFF66"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6E21B4CF"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52" w:type="dxa"/>
            <w:shd w:val="clear" w:color="auto" w:fill="FFFF00"/>
          </w:tcPr>
          <w:p w14:paraId="1E22515A"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2597AFC1"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tcPr>
          <w:p w14:paraId="473E5295" w14:textId="77777777" w:rsidR="001716F8" w:rsidRDefault="001716F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844" w:type="dxa"/>
            <w:shd w:val="clear" w:color="auto" w:fill="BFBFBF"/>
          </w:tcPr>
          <w:p w14:paraId="3CF3054E" w14:textId="77777777" w:rsidR="001716F8" w:rsidRDefault="001716F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Elevé</w:t>
            </w:r>
          </w:p>
        </w:tc>
      </w:tr>
    </w:tbl>
    <w:p w14:paraId="18A8F722" w14:textId="77777777" w:rsidR="0090044A" w:rsidRPr="006A6B33" w:rsidRDefault="0090044A" w:rsidP="00F01166">
      <w:pPr>
        <w:pStyle w:val="Normal12"/>
        <w:numPr>
          <w:ilvl w:val="0"/>
          <w:numId w:val="85"/>
        </w:numPr>
        <w:spacing w:before="240" w:after="120"/>
        <w:contextualSpacing/>
        <w:rPr>
          <w:i/>
          <w:iCs/>
          <w:lang w:val="fr-FR"/>
        </w:rPr>
      </w:pPr>
      <w:r w:rsidRPr="006A6B33">
        <w:rPr>
          <w:i/>
          <w:iCs/>
          <w:lang w:val="fr-FR"/>
        </w:rPr>
        <w:t xml:space="preserve">Risque d’incendie et d’explosion </w:t>
      </w:r>
    </w:p>
    <w:p w14:paraId="251D978A" w14:textId="77777777" w:rsidR="0090044A" w:rsidRPr="008D2A01" w:rsidRDefault="0090044A" w:rsidP="008D2A01">
      <w:pPr>
        <w:spacing w:line="240" w:lineRule="auto"/>
        <w:jc w:val="both"/>
        <w:rPr>
          <w:rFonts w:ascii="Arial" w:hAnsi="Arial" w:cs="Arial"/>
        </w:rPr>
      </w:pPr>
      <w:r w:rsidRPr="008D2A01">
        <w:rPr>
          <w:rFonts w:ascii="Arial" w:hAnsi="Arial" w:cs="Arial"/>
        </w:rPr>
        <w:t>Le stockage des produits inflammables dans la base vie et l’installation des équipements électriques</w:t>
      </w:r>
      <w:r w:rsidR="005D4CDC">
        <w:rPr>
          <w:rFonts w:ascii="Arial" w:hAnsi="Arial" w:cs="Arial"/>
        </w:rPr>
        <w:t>,</w:t>
      </w:r>
      <w:r w:rsidRPr="008D2A01">
        <w:rPr>
          <w:rFonts w:ascii="Arial" w:hAnsi="Arial" w:cs="Arial"/>
        </w:rPr>
        <w:t xml:space="preserve"> pourrai</w:t>
      </w:r>
      <w:r w:rsidR="00283C4B">
        <w:rPr>
          <w:rFonts w:ascii="Arial" w:hAnsi="Arial" w:cs="Arial"/>
        </w:rPr>
        <w:t>en</w:t>
      </w:r>
      <w:r w:rsidRPr="008D2A01">
        <w:rPr>
          <w:rFonts w:ascii="Arial" w:hAnsi="Arial" w:cs="Arial"/>
        </w:rPr>
        <w:t>t occasionner des incendies dans le site. Dans ce sens, la mise en place de mesures adéquate</w:t>
      </w:r>
      <w:r w:rsidR="007D2F2E">
        <w:rPr>
          <w:rFonts w:ascii="Arial" w:hAnsi="Arial" w:cs="Arial"/>
        </w:rPr>
        <w:t>s</w:t>
      </w:r>
      <w:r w:rsidRPr="008D2A01">
        <w:rPr>
          <w:rFonts w:ascii="Arial" w:hAnsi="Arial" w:cs="Arial"/>
        </w:rPr>
        <w:t xml:space="preserve"> (lutte et prévention contre l’incendie) s’impose.</w:t>
      </w:r>
    </w:p>
    <w:p w14:paraId="7B4B47D8" w14:textId="77777777" w:rsidR="0090044A" w:rsidRDefault="0090044A" w:rsidP="008D2A01">
      <w:pPr>
        <w:spacing w:line="240" w:lineRule="auto"/>
        <w:jc w:val="both"/>
        <w:rPr>
          <w:rFonts w:ascii="Arial" w:hAnsi="Arial" w:cs="Arial"/>
        </w:rPr>
      </w:pPr>
      <w:r w:rsidRPr="008D2A01">
        <w:rPr>
          <w:rFonts w:ascii="Arial" w:hAnsi="Arial" w:cs="Arial"/>
        </w:rPr>
        <w:t>Le niveau d’importance de cet impact est évalué « moyen »</w:t>
      </w:r>
      <w:r w:rsidR="00FB273B">
        <w:rPr>
          <w:rFonts w:ascii="Arial" w:hAnsi="Arial" w:cs="Arial"/>
        </w:rPr>
        <w:t xml:space="preserve"> pour la centrale solaire et le barrage hydroélectrique alors que pour l’infrastructure numérique</w:t>
      </w:r>
      <w:r w:rsidR="00296692">
        <w:rPr>
          <w:rFonts w:ascii="Arial" w:hAnsi="Arial" w:cs="Arial"/>
        </w:rPr>
        <w:t xml:space="preserve"> et la mise en place/extension des réseaux électriques</w:t>
      </w:r>
      <w:r w:rsidR="00283C4B">
        <w:rPr>
          <w:rFonts w:ascii="Arial" w:hAnsi="Arial" w:cs="Arial"/>
        </w:rPr>
        <w:t>,</w:t>
      </w:r>
      <w:r w:rsidR="00FB273B">
        <w:rPr>
          <w:rFonts w:ascii="Arial" w:hAnsi="Arial" w:cs="Arial"/>
        </w:rPr>
        <w:t xml:space="preserve"> il est considéré « Mineure »</w:t>
      </w:r>
      <w:r w:rsidR="002127D2">
        <w:rPr>
          <w:rFonts w:ascii="Arial" w:hAnsi="Arial" w:cs="Arial"/>
        </w:rPr>
        <w:t xml:space="preserve">. quant au niveau de risque, il varie de très faible à élevé selon les sosu projets comme en montre </w:t>
      </w:r>
      <w:r w:rsidR="008325C4">
        <w:rPr>
          <w:rFonts w:ascii="Arial" w:hAnsi="Arial" w:cs="Arial"/>
        </w:rPr>
        <w:t>le tableau  suivant</w:t>
      </w:r>
      <w:r w:rsidR="00FB273B">
        <w:rPr>
          <w:rFonts w:ascii="Arial" w:hAnsi="Arial" w:cs="Arial"/>
        </w:rPr>
        <w:t>.</w:t>
      </w:r>
    </w:p>
    <w:p w14:paraId="12102AF3" w14:textId="77777777" w:rsidR="00353921" w:rsidRPr="008D2A01" w:rsidRDefault="00353921" w:rsidP="008D2A01">
      <w:pPr>
        <w:spacing w:line="240" w:lineRule="auto"/>
        <w:jc w:val="both"/>
        <w:rPr>
          <w:rFonts w:ascii="Arial" w:hAnsi="Arial" w:cs="Arial"/>
        </w:rPr>
      </w:pPr>
      <w:r>
        <w:rPr>
          <w:rFonts w:ascii="Arial" w:hAnsi="Arial" w:cs="Arial"/>
        </w:rPr>
        <w:br w:type="page"/>
      </w:r>
    </w:p>
    <w:p w14:paraId="114C5AF6" w14:textId="77777777" w:rsidR="0090044A" w:rsidRPr="002E58DC" w:rsidRDefault="0090044A" w:rsidP="002E58DC">
      <w:pPr>
        <w:pStyle w:val="Lgende"/>
        <w:spacing w:before="120"/>
        <w:jc w:val="center"/>
        <w:rPr>
          <w:sz w:val="20"/>
        </w:rPr>
      </w:pPr>
      <w:bookmarkStart w:id="966" w:name="_Toc100753934"/>
      <w:bookmarkStart w:id="967" w:name="_Toc127957840"/>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44</w:t>
      </w:r>
      <w:r w:rsidRPr="002E58DC">
        <w:rPr>
          <w:sz w:val="20"/>
        </w:rPr>
        <w:fldChar w:fldCharType="end"/>
      </w:r>
      <w:r w:rsidRPr="002E58DC">
        <w:rPr>
          <w:sz w:val="20"/>
        </w:rPr>
        <w:t>. Evaluation</w:t>
      </w:r>
      <w:r w:rsidR="00FB273B">
        <w:rPr>
          <w:sz w:val="20"/>
        </w:rPr>
        <w:t xml:space="preserve"> de</w:t>
      </w:r>
      <w:r w:rsidRPr="002E58DC">
        <w:rPr>
          <w:sz w:val="20"/>
        </w:rPr>
        <w:t xml:space="preserve"> l’impact –Risque d’incendie et d’explosion</w:t>
      </w:r>
      <w:bookmarkEnd w:id="966"/>
      <w:bookmarkEnd w:id="967"/>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1037"/>
        <w:gridCol w:w="1069"/>
        <w:gridCol w:w="871"/>
        <w:gridCol w:w="1307"/>
        <w:gridCol w:w="1249"/>
        <w:gridCol w:w="1064"/>
        <w:gridCol w:w="827"/>
        <w:tblGridChange w:id="968">
          <w:tblGrid>
            <w:gridCol w:w="1864"/>
            <w:gridCol w:w="1037"/>
            <w:gridCol w:w="1069"/>
            <w:gridCol w:w="871"/>
            <w:gridCol w:w="1307"/>
            <w:gridCol w:w="1249"/>
            <w:gridCol w:w="1064"/>
            <w:gridCol w:w="827"/>
          </w:tblGrid>
        </w:tblGridChange>
      </w:tblGrid>
      <w:tr w:rsidR="002127D2" w:rsidRPr="007F78CE" w14:paraId="4C893AA3" w14:textId="77777777" w:rsidTr="00345918">
        <w:trPr>
          <w:jc w:val="center"/>
        </w:trPr>
        <w:tc>
          <w:tcPr>
            <w:tcW w:w="1864" w:type="dxa"/>
            <w:shd w:val="clear" w:color="auto" w:fill="BFBFBF"/>
          </w:tcPr>
          <w:p w14:paraId="394A4910" w14:textId="77777777" w:rsidR="002127D2" w:rsidRPr="007F78CE" w:rsidRDefault="00A73AF6" w:rsidP="007F78CE">
            <w:pPr>
              <w:spacing w:after="0" w:line="240" w:lineRule="auto"/>
              <w:rPr>
                <w:rFonts w:ascii="Arial Narrow" w:hAnsi="Arial Narrow"/>
                <w:b/>
                <w:bCs/>
                <w:sz w:val="20"/>
                <w:szCs w:val="20"/>
              </w:rPr>
            </w:pPr>
            <w:r>
              <w:rPr>
                <w:rFonts w:ascii="Arial Narrow" w:hAnsi="Arial Narrow"/>
                <w:b/>
                <w:bCs/>
                <w:sz w:val="20"/>
                <w:szCs w:val="20"/>
              </w:rPr>
              <w:t>Sous Projet</w:t>
            </w:r>
          </w:p>
        </w:tc>
        <w:tc>
          <w:tcPr>
            <w:tcW w:w="1037" w:type="dxa"/>
            <w:shd w:val="clear" w:color="auto" w:fill="BFBFBF"/>
          </w:tcPr>
          <w:p w14:paraId="71E1BF67" w14:textId="77777777" w:rsidR="002127D2" w:rsidRPr="007F78CE" w:rsidRDefault="002127D2"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069" w:type="dxa"/>
            <w:shd w:val="clear" w:color="auto" w:fill="BFBFBF"/>
          </w:tcPr>
          <w:p w14:paraId="7C78D564" w14:textId="77777777" w:rsidR="002127D2" w:rsidRPr="007F78CE" w:rsidRDefault="002127D2"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871" w:type="dxa"/>
            <w:shd w:val="clear" w:color="auto" w:fill="BFBFBF"/>
          </w:tcPr>
          <w:p w14:paraId="429F4AA6" w14:textId="77777777" w:rsidR="002127D2" w:rsidRPr="007F78CE" w:rsidRDefault="002127D2"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307" w:type="dxa"/>
            <w:shd w:val="clear" w:color="auto" w:fill="BFBFBF"/>
          </w:tcPr>
          <w:p w14:paraId="73FF9CBE" w14:textId="77777777" w:rsidR="002127D2" w:rsidRPr="007F78CE" w:rsidRDefault="002127D2"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249" w:type="dxa"/>
            <w:shd w:val="clear" w:color="auto" w:fill="BFBFBF"/>
          </w:tcPr>
          <w:p w14:paraId="302D0814" w14:textId="77777777" w:rsidR="002127D2" w:rsidRPr="007F78CE" w:rsidRDefault="002127D2"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auto"/>
          </w:tcPr>
          <w:p w14:paraId="4A9BC633" w14:textId="77777777" w:rsidR="002127D2" w:rsidRPr="007F78CE" w:rsidRDefault="002127D2"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827" w:type="dxa"/>
            <w:shd w:val="clear" w:color="auto" w:fill="auto"/>
          </w:tcPr>
          <w:p w14:paraId="550F71AF" w14:textId="77777777" w:rsidR="002127D2" w:rsidRPr="007F78CE" w:rsidRDefault="002127D2" w:rsidP="007F78CE">
            <w:pPr>
              <w:spacing w:after="0" w:line="240" w:lineRule="auto"/>
              <w:rPr>
                <w:rFonts w:ascii="Arial Narrow" w:hAnsi="Arial Narrow"/>
                <w:b/>
                <w:bCs/>
                <w:sz w:val="20"/>
                <w:szCs w:val="20"/>
              </w:rPr>
            </w:pPr>
            <w:r>
              <w:rPr>
                <w:rFonts w:ascii="Arial Narrow" w:hAnsi="Arial Narrow"/>
                <w:b/>
                <w:bCs/>
                <w:sz w:val="20"/>
                <w:szCs w:val="20"/>
              </w:rPr>
              <w:t>Risque</w:t>
            </w:r>
          </w:p>
        </w:tc>
      </w:tr>
      <w:tr w:rsidR="00345918" w:rsidRPr="007F78CE" w14:paraId="64FC9129" w14:textId="77777777" w:rsidTr="00FB04F6">
        <w:trPr>
          <w:jc w:val="center"/>
        </w:trPr>
        <w:tc>
          <w:tcPr>
            <w:tcW w:w="1864" w:type="dxa"/>
          </w:tcPr>
          <w:p w14:paraId="479B66EA" w14:textId="77777777" w:rsidR="002127D2" w:rsidRPr="007F78CE" w:rsidRDefault="002127D2" w:rsidP="00B434A6">
            <w:pPr>
              <w:spacing w:after="0" w:line="240" w:lineRule="auto"/>
              <w:contextualSpacing/>
              <w:rPr>
                <w:rFonts w:ascii="Arial Narrow" w:hAnsi="Arial Narrow" w:cs="Arial"/>
                <w:sz w:val="20"/>
                <w:szCs w:val="20"/>
              </w:rPr>
            </w:pPr>
            <w:r>
              <w:rPr>
                <w:rFonts w:ascii="Arial Narrow" w:hAnsi="Arial Narrow" w:cs="Arial"/>
                <w:sz w:val="20"/>
                <w:szCs w:val="20"/>
              </w:rPr>
              <w:t>Infrastructures numérique</w:t>
            </w:r>
            <w:r w:rsidR="00A73AF6">
              <w:rPr>
                <w:rFonts w:ascii="Arial Narrow" w:hAnsi="Arial Narrow" w:cs="Arial"/>
                <w:sz w:val="20"/>
                <w:szCs w:val="20"/>
              </w:rPr>
              <w:t>s</w:t>
            </w:r>
          </w:p>
        </w:tc>
        <w:tc>
          <w:tcPr>
            <w:tcW w:w="1037" w:type="dxa"/>
            <w:shd w:val="clear" w:color="auto" w:fill="auto"/>
          </w:tcPr>
          <w:p w14:paraId="2FC807D5" w14:textId="77777777" w:rsidR="002127D2" w:rsidRPr="007F78CE" w:rsidRDefault="002127D2" w:rsidP="007F78CE">
            <w:pPr>
              <w:spacing w:after="0" w:line="240" w:lineRule="auto"/>
              <w:contextualSpacing/>
              <w:jc w:val="center"/>
              <w:rPr>
                <w:rFonts w:ascii="Arial Narrow" w:hAnsi="Arial Narrow" w:cs="Arial"/>
                <w:bCs/>
                <w:sz w:val="20"/>
                <w:szCs w:val="20"/>
              </w:rPr>
            </w:pPr>
            <w:r>
              <w:rPr>
                <w:rFonts w:ascii="Arial Narrow" w:hAnsi="Arial Narrow" w:cs="Arial"/>
                <w:sz w:val="20"/>
                <w:szCs w:val="20"/>
              </w:rPr>
              <w:t xml:space="preserve">moyenne </w:t>
            </w:r>
          </w:p>
          <w:p w14:paraId="27E154A4" w14:textId="77777777" w:rsidR="002127D2" w:rsidRPr="007F78CE" w:rsidRDefault="002127D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069" w:type="dxa"/>
            <w:shd w:val="clear" w:color="auto" w:fill="auto"/>
          </w:tcPr>
          <w:p w14:paraId="0A78DE64" w14:textId="77777777" w:rsidR="002127D2" w:rsidRPr="007F78CE" w:rsidRDefault="002127D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59F84864" w14:textId="77777777" w:rsidR="002127D2" w:rsidRPr="007F78CE" w:rsidRDefault="002127D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871" w:type="dxa"/>
            <w:shd w:val="clear" w:color="auto" w:fill="auto"/>
          </w:tcPr>
          <w:p w14:paraId="24FE08A9" w14:textId="77777777" w:rsidR="002127D2" w:rsidRPr="007F78CE" w:rsidRDefault="002127D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409EF730" w14:textId="77777777" w:rsidR="002127D2" w:rsidRPr="007F78CE" w:rsidRDefault="002127D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07" w:type="dxa"/>
            <w:shd w:val="clear" w:color="auto" w:fill="auto"/>
          </w:tcPr>
          <w:p w14:paraId="2D7DC454" w14:textId="77777777" w:rsidR="002127D2" w:rsidRPr="007F78CE" w:rsidRDefault="002127D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4CE1A6D4" w14:textId="77777777" w:rsidR="002127D2" w:rsidRPr="007F78CE" w:rsidRDefault="002127D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49" w:type="dxa"/>
            <w:shd w:val="clear" w:color="auto" w:fill="00B050"/>
          </w:tcPr>
          <w:p w14:paraId="07C9E477" w14:textId="77777777" w:rsidR="002127D2" w:rsidRPr="007F78CE" w:rsidRDefault="002127D2"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Mineure</w:t>
            </w:r>
          </w:p>
          <w:p w14:paraId="674E6DB6" w14:textId="77777777" w:rsidR="002127D2" w:rsidRPr="007F78CE" w:rsidRDefault="002127D2" w:rsidP="00CE0B6B">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5</w:t>
            </w:r>
            <w:r w:rsidRPr="007F78CE">
              <w:rPr>
                <w:rFonts w:ascii="Arial Narrow" w:hAnsi="Arial Narrow" w:cs="Arial"/>
                <w:sz w:val="20"/>
                <w:szCs w:val="20"/>
              </w:rPr>
              <w:t>)</w:t>
            </w:r>
          </w:p>
        </w:tc>
        <w:tc>
          <w:tcPr>
            <w:tcW w:w="1064" w:type="dxa"/>
            <w:shd w:val="clear" w:color="auto" w:fill="auto"/>
          </w:tcPr>
          <w:p w14:paraId="46D3E012" w14:textId="77777777" w:rsidR="002127D2" w:rsidRDefault="002127D2"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827" w:type="dxa"/>
            <w:shd w:val="clear" w:color="auto" w:fill="538135"/>
          </w:tcPr>
          <w:p w14:paraId="4947DD2B" w14:textId="77777777" w:rsidR="002127D2" w:rsidRDefault="002127D2"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Très faible </w:t>
            </w:r>
          </w:p>
        </w:tc>
      </w:tr>
      <w:tr w:rsidR="002127D2" w:rsidRPr="007F78CE" w14:paraId="3313DCE3" w14:textId="77777777" w:rsidTr="00345918">
        <w:trPr>
          <w:jc w:val="center"/>
        </w:trPr>
        <w:tc>
          <w:tcPr>
            <w:tcW w:w="1864" w:type="dxa"/>
          </w:tcPr>
          <w:p w14:paraId="4859CA3B" w14:textId="77777777" w:rsidR="002127D2" w:rsidRPr="007F78CE" w:rsidRDefault="002127D2" w:rsidP="00B434A6">
            <w:pPr>
              <w:spacing w:after="0" w:line="240" w:lineRule="auto"/>
              <w:contextualSpacing/>
              <w:rPr>
                <w:rFonts w:ascii="Arial Narrow" w:hAnsi="Arial Narrow" w:cs="Arial"/>
                <w:sz w:val="20"/>
                <w:szCs w:val="20"/>
              </w:rPr>
            </w:pPr>
            <w:r>
              <w:rPr>
                <w:rFonts w:ascii="Arial Narrow" w:hAnsi="Arial Narrow" w:cs="Arial"/>
                <w:sz w:val="20"/>
                <w:szCs w:val="20"/>
              </w:rPr>
              <w:t>Centrale électrique solaire</w:t>
            </w:r>
          </w:p>
        </w:tc>
        <w:tc>
          <w:tcPr>
            <w:tcW w:w="1037" w:type="dxa"/>
            <w:shd w:val="clear" w:color="auto" w:fill="auto"/>
          </w:tcPr>
          <w:p w14:paraId="37B00855" w14:textId="77777777" w:rsidR="002127D2" w:rsidRPr="007F78CE" w:rsidRDefault="002127D2" w:rsidP="00296692">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Forte</w:t>
            </w:r>
          </w:p>
          <w:p w14:paraId="773C88FB" w14:textId="77777777" w:rsidR="002127D2" w:rsidRPr="007F78CE" w:rsidRDefault="002127D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069" w:type="dxa"/>
            <w:shd w:val="clear" w:color="auto" w:fill="auto"/>
          </w:tcPr>
          <w:p w14:paraId="685FF8CC" w14:textId="77777777" w:rsidR="002127D2" w:rsidRPr="007F78CE" w:rsidRDefault="002127D2"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44D88E70" w14:textId="77777777" w:rsidR="002127D2" w:rsidRPr="007F78CE" w:rsidRDefault="002127D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871" w:type="dxa"/>
            <w:shd w:val="clear" w:color="auto" w:fill="auto"/>
          </w:tcPr>
          <w:p w14:paraId="42DD40D8" w14:textId="77777777" w:rsidR="002127D2" w:rsidRPr="007F78CE" w:rsidRDefault="002127D2"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3D0D765C" w14:textId="77777777" w:rsidR="002127D2" w:rsidRPr="007F78CE" w:rsidRDefault="002127D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07" w:type="dxa"/>
            <w:shd w:val="clear" w:color="auto" w:fill="auto"/>
          </w:tcPr>
          <w:p w14:paraId="488283BC" w14:textId="77777777" w:rsidR="002127D2" w:rsidRPr="007F78CE" w:rsidRDefault="002127D2"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520494BE" w14:textId="77777777" w:rsidR="002127D2" w:rsidRPr="007F78CE" w:rsidRDefault="002127D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49" w:type="dxa"/>
            <w:shd w:val="clear" w:color="auto" w:fill="FFFF00"/>
          </w:tcPr>
          <w:p w14:paraId="14CB27E0" w14:textId="77777777" w:rsidR="002127D2" w:rsidRPr="007F78CE" w:rsidRDefault="002127D2"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50C57099" w14:textId="77777777" w:rsidR="002127D2" w:rsidRPr="007F78CE" w:rsidRDefault="002127D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tcPr>
          <w:p w14:paraId="417D8E93" w14:textId="77777777" w:rsidR="002127D2" w:rsidRPr="007F78CE" w:rsidRDefault="002127D2"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Moyenne </w:t>
            </w:r>
          </w:p>
        </w:tc>
        <w:tc>
          <w:tcPr>
            <w:tcW w:w="827" w:type="dxa"/>
            <w:shd w:val="clear" w:color="auto" w:fill="FFC000"/>
          </w:tcPr>
          <w:p w14:paraId="08D373F3" w14:textId="77777777" w:rsidR="002127D2" w:rsidRPr="007F78CE" w:rsidRDefault="002127D2"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Elevé </w:t>
            </w:r>
          </w:p>
        </w:tc>
      </w:tr>
      <w:tr w:rsidR="00345918" w:rsidRPr="007F78CE" w14:paraId="21F199CB" w14:textId="77777777" w:rsidTr="00FB04F6">
        <w:trPr>
          <w:jc w:val="center"/>
        </w:trPr>
        <w:tc>
          <w:tcPr>
            <w:tcW w:w="1864" w:type="dxa"/>
          </w:tcPr>
          <w:p w14:paraId="1C0DBF5E" w14:textId="77777777" w:rsidR="002127D2" w:rsidRPr="007F78CE" w:rsidRDefault="002127D2" w:rsidP="00B434A6">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37" w:type="dxa"/>
            <w:shd w:val="clear" w:color="auto" w:fill="auto"/>
          </w:tcPr>
          <w:p w14:paraId="567336E3" w14:textId="77777777" w:rsidR="002127D2" w:rsidRPr="007F78CE" w:rsidRDefault="002127D2" w:rsidP="00296692">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Forte</w:t>
            </w:r>
          </w:p>
          <w:p w14:paraId="1D0D9615" w14:textId="77777777" w:rsidR="002127D2" w:rsidRPr="007F78CE" w:rsidRDefault="002127D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069" w:type="dxa"/>
            <w:shd w:val="clear" w:color="auto" w:fill="auto"/>
          </w:tcPr>
          <w:p w14:paraId="2D436185" w14:textId="77777777" w:rsidR="002127D2" w:rsidRPr="007F78CE" w:rsidRDefault="002127D2"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0D010682" w14:textId="77777777" w:rsidR="002127D2" w:rsidRPr="007F78CE" w:rsidRDefault="002127D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871" w:type="dxa"/>
            <w:shd w:val="clear" w:color="auto" w:fill="auto"/>
          </w:tcPr>
          <w:p w14:paraId="7B635EDF" w14:textId="77777777" w:rsidR="002127D2" w:rsidRPr="007F78CE" w:rsidRDefault="002127D2"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2E3B9350" w14:textId="77777777" w:rsidR="002127D2" w:rsidRPr="007F78CE" w:rsidRDefault="002127D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07" w:type="dxa"/>
            <w:shd w:val="clear" w:color="auto" w:fill="auto"/>
          </w:tcPr>
          <w:p w14:paraId="3E8F391B" w14:textId="77777777" w:rsidR="002127D2" w:rsidRPr="007F78CE" w:rsidRDefault="002127D2"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178EA0DF" w14:textId="77777777" w:rsidR="002127D2" w:rsidRPr="007F78CE" w:rsidRDefault="002127D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49" w:type="dxa"/>
            <w:shd w:val="clear" w:color="auto" w:fill="FFFF00"/>
          </w:tcPr>
          <w:p w14:paraId="55BE393E" w14:textId="77777777" w:rsidR="002127D2" w:rsidRPr="007F78CE" w:rsidRDefault="002127D2"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7DA6DC22" w14:textId="77777777" w:rsidR="002127D2" w:rsidRPr="007F78CE" w:rsidRDefault="002127D2"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tcPr>
          <w:p w14:paraId="0557F1AD" w14:textId="77777777" w:rsidR="002127D2" w:rsidRPr="007F78CE" w:rsidRDefault="002127D2"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827" w:type="dxa"/>
            <w:shd w:val="clear" w:color="auto" w:fill="BFBFBF"/>
          </w:tcPr>
          <w:p w14:paraId="19DF2DED" w14:textId="77777777" w:rsidR="002127D2" w:rsidRPr="007F78CE" w:rsidRDefault="002127D2"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r w:rsidR="00345918" w:rsidRPr="007F78CE" w14:paraId="0B8EA617" w14:textId="77777777" w:rsidTr="00FB04F6">
        <w:trPr>
          <w:jc w:val="center"/>
        </w:trPr>
        <w:tc>
          <w:tcPr>
            <w:tcW w:w="1864" w:type="dxa"/>
          </w:tcPr>
          <w:p w14:paraId="4CA5B92B" w14:textId="77777777" w:rsidR="002127D2" w:rsidRDefault="002127D2" w:rsidP="00B434A6">
            <w:pPr>
              <w:spacing w:after="0" w:line="240" w:lineRule="auto"/>
              <w:contextualSpacing/>
              <w:rPr>
                <w:rFonts w:ascii="Arial Narrow" w:hAnsi="Arial Narrow" w:cs="Arial"/>
                <w:sz w:val="20"/>
                <w:szCs w:val="20"/>
              </w:rPr>
            </w:pPr>
            <w:r>
              <w:rPr>
                <w:rFonts w:ascii="Arial Narrow" w:hAnsi="Arial Narrow" w:cs="Arial"/>
                <w:sz w:val="20"/>
                <w:szCs w:val="20"/>
              </w:rPr>
              <w:t>Réseau électrique</w:t>
            </w:r>
          </w:p>
        </w:tc>
        <w:tc>
          <w:tcPr>
            <w:tcW w:w="1037" w:type="dxa"/>
            <w:shd w:val="clear" w:color="auto" w:fill="auto"/>
          </w:tcPr>
          <w:p w14:paraId="0CBD77D9" w14:textId="77777777" w:rsidR="002127D2" w:rsidRPr="007F78CE" w:rsidRDefault="002127D2" w:rsidP="00296692">
            <w:pPr>
              <w:spacing w:after="0" w:line="240" w:lineRule="auto"/>
              <w:contextualSpacing/>
              <w:jc w:val="center"/>
              <w:rPr>
                <w:rFonts w:ascii="Arial Narrow" w:hAnsi="Arial Narrow" w:cs="Arial"/>
                <w:bCs/>
                <w:sz w:val="20"/>
                <w:szCs w:val="20"/>
              </w:rPr>
            </w:pPr>
            <w:r>
              <w:rPr>
                <w:rFonts w:ascii="Arial Narrow" w:hAnsi="Arial Narrow" w:cs="Arial"/>
                <w:sz w:val="20"/>
                <w:szCs w:val="20"/>
              </w:rPr>
              <w:t xml:space="preserve">moyenne </w:t>
            </w:r>
          </w:p>
          <w:p w14:paraId="5BAB6F69" w14:textId="77777777" w:rsidR="002127D2" w:rsidRPr="007F78CE" w:rsidRDefault="002127D2"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069" w:type="dxa"/>
            <w:shd w:val="clear" w:color="auto" w:fill="auto"/>
          </w:tcPr>
          <w:p w14:paraId="5ADDF618" w14:textId="77777777" w:rsidR="002127D2" w:rsidRPr="007F78CE" w:rsidRDefault="002127D2"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1036E697" w14:textId="77777777" w:rsidR="002127D2" w:rsidRPr="007F78CE" w:rsidRDefault="002127D2"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871" w:type="dxa"/>
            <w:shd w:val="clear" w:color="auto" w:fill="auto"/>
          </w:tcPr>
          <w:p w14:paraId="2538E99A" w14:textId="77777777" w:rsidR="002127D2" w:rsidRPr="007F78CE" w:rsidRDefault="002127D2"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13667C02" w14:textId="77777777" w:rsidR="002127D2" w:rsidRPr="007F78CE" w:rsidRDefault="002127D2"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07" w:type="dxa"/>
            <w:shd w:val="clear" w:color="auto" w:fill="auto"/>
          </w:tcPr>
          <w:p w14:paraId="5DB02201" w14:textId="77777777" w:rsidR="002127D2" w:rsidRPr="007F78CE" w:rsidRDefault="002127D2"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491572EE" w14:textId="77777777" w:rsidR="002127D2" w:rsidRPr="007F78CE" w:rsidRDefault="002127D2"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49" w:type="dxa"/>
            <w:shd w:val="clear" w:color="auto" w:fill="00B050"/>
          </w:tcPr>
          <w:p w14:paraId="56E6E3E2" w14:textId="77777777" w:rsidR="002127D2" w:rsidRPr="007F78CE" w:rsidRDefault="002127D2"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Mineure</w:t>
            </w:r>
          </w:p>
          <w:p w14:paraId="72C1439E" w14:textId="77777777" w:rsidR="002127D2" w:rsidRPr="007F78CE" w:rsidRDefault="002127D2"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5</w:t>
            </w:r>
            <w:r w:rsidRPr="007F78CE">
              <w:rPr>
                <w:rFonts w:ascii="Arial Narrow" w:hAnsi="Arial Narrow" w:cs="Arial"/>
                <w:sz w:val="20"/>
                <w:szCs w:val="20"/>
              </w:rPr>
              <w:t>)</w:t>
            </w:r>
          </w:p>
        </w:tc>
        <w:tc>
          <w:tcPr>
            <w:tcW w:w="1064" w:type="dxa"/>
            <w:shd w:val="clear" w:color="auto" w:fill="auto"/>
          </w:tcPr>
          <w:p w14:paraId="7B4C0187" w14:textId="77777777" w:rsidR="002127D2" w:rsidRDefault="002127D2"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827" w:type="dxa"/>
            <w:shd w:val="clear" w:color="auto" w:fill="538135"/>
          </w:tcPr>
          <w:p w14:paraId="2DE37F12" w14:textId="77777777" w:rsidR="002127D2" w:rsidRDefault="002127D2"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Très faible </w:t>
            </w:r>
          </w:p>
        </w:tc>
      </w:tr>
      <w:tr w:rsidR="001716F8" w:rsidRPr="007F78CE" w14:paraId="272AE632" w14:textId="77777777" w:rsidTr="00FB04F6">
        <w:trPr>
          <w:jc w:val="center"/>
        </w:trPr>
        <w:tc>
          <w:tcPr>
            <w:tcW w:w="1864" w:type="dxa"/>
          </w:tcPr>
          <w:p w14:paraId="7A867DF1" w14:textId="77777777" w:rsidR="001716F8" w:rsidRDefault="001716F8" w:rsidP="00B434A6">
            <w:pPr>
              <w:spacing w:after="0" w:line="240" w:lineRule="auto"/>
              <w:contextualSpacing/>
              <w:rPr>
                <w:rFonts w:ascii="Arial Narrow" w:hAnsi="Arial Narrow" w:cs="Arial"/>
                <w:sz w:val="20"/>
                <w:szCs w:val="20"/>
              </w:rPr>
            </w:pPr>
            <w:r>
              <w:rPr>
                <w:rFonts w:ascii="Arial Narrow" w:hAnsi="Arial Narrow" w:cs="Arial"/>
                <w:sz w:val="20"/>
                <w:szCs w:val="20"/>
              </w:rPr>
              <w:t>Impact cummulé</w:t>
            </w:r>
          </w:p>
        </w:tc>
        <w:tc>
          <w:tcPr>
            <w:tcW w:w="1037" w:type="dxa"/>
            <w:shd w:val="clear" w:color="auto" w:fill="auto"/>
          </w:tcPr>
          <w:p w14:paraId="149A9298" w14:textId="77777777" w:rsidR="001716F8" w:rsidRPr="007F78CE" w:rsidRDefault="001716F8" w:rsidP="00D70FB3">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Forte</w:t>
            </w:r>
          </w:p>
          <w:p w14:paraId="08F6976E" w14:textId="77777777" w:rsidR="001716F8"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069" w:type="dxa"/>
            <w:shd w:val="clear" w:color="auto" w:fill="auto"/>
          </w:tcPr>
          <w:p w14:paraId="771C1200"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0AEB8F4D"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871" w:type="dxa"/>
            <w:shd w:val="clear" w:color="auto" w:fill="auto"/>
          </w:tcPr>
          <w:p w14:paraId="09E535D9"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394F7423"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07" w:type="dxa"/>
            <w:shd w:val="clear" w:color="auto" w:fill="auto"/>
          </w:tcPr>
          <w:p w14:paraId="3827464C"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55C09472" w14:textId="77777777" w:rsidR="001716F8" w:rsidRPr="007F78CE"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49" w:type="dxa"/>
            <w:shd w:val="clear" w:color="auto" w:fill="00B050"/>
          </w:tcPr>
          <w:p w14:paraId="580BB427"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540B14BB" w14:textId="77777777" w:rsidR="001716F8" w:rsidRDefault="001716F8" w:rsidP="00296692">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tcPr>
          <w:p w14:paraId="48273E99" w14:textId="77777777" w:rsidR="001716F8" w:rsidRDefault="001716F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827" w:type="dxa"/>
            <w:shd w:val="clear" w:color="auto" w:fill="538135"/>
          </w:tcPr>
          <w:p w14:paraId="2499464E" w14:textId="77777777" w:rsidR="001716F8" w:rsidRDefault="001716F8" w:rsidP="00296692">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bl>
    <w:p w14:paraId="33CDC70F" w14:textId="77777777" w:rsidR="00547DD8" w:rsidRDefault="00547DD8" w:rsidP="00345918">
      <w:pPr>
        <w:spacing w:line="240" w:lineRule="auto"/>
        <w:jc w:val="both"/>
        <w:rPr>
          <w:rFonts w:ascii="Arial" w:hAnsi="Arial" w:cs="Arial"/>
        </w:rPr>
      </w:pPr>
      <w:bookmarkStart w:id="969" w:name="_Toc98192343"/>
      <w:bookmarkStart w:id="970" w:name="_Toc97835150"/>
      <w:bookmarkStart w:id="971" w:name="_Toc100755459"/>
      <w:bookmarkStart w:id="972" w:name="_Toc124314745"/>
      <w:bookmarkStart w:id="973" w:name="_Toc124956227"/>
      <w:bookmarkStart w:id="974" w:name="_Toc125384622"/>
      <w:bookmarkStart w:id="975" w:name="_Toc125385011"/>
    </w:p>
    <w:p w14:paraId="785A5B72" w14:textId="77777777" w:rsidR="0049245D" w:rsidRPr="007F78CE" w:rsidRDefault="0049245D" w:rsidP="00345918">
      <w:pPr>
        <w:pStyle w:val="Titre5"/>
        <w:keepNext w:val="0"/>
        <w:keepLines w:val="0"/>
        <w:numPr>
          <w:ilvl w:val="0"/>
          <w:numId w:val="95"/>
        </w:numPr>
        <w:tabs>
          <w:tab w:val="left" w:pos="708"/>
        </w:tabs>
        <w:spacing w:before="280" w:after="280" w:line="240" w:lineRule="auto"/>
        <w:contextualSpacing/>
        <w:jc w:val="both"/>
        <w:rPr>
          <w:rFonts w:eastAsia="Calibri"/>
          <w:b/>
          <w:bCs/>
        </w:rPr>
      </w:pPr>
      <w:r>
        <w:rPr>
          <w:rFonts w:eastAsia="Calibri"/>
          <w:b/>
          <w:bCs/>
        </w:rPr>
        <w:t xml:space="preserve">Patrimoine culturel </w:t>
      </w:r>
    </w:p>
    <w:p w14:paraId="3D730BD1" w14:textId="77777777" w:rsidR="0049245D" w:rsidRPr="001935AF" w:rsidRDefault="0049245D" w:rsidP="0049245D">
      <w:pPr>
        <w:pStyle w:val="Normal12"/>
        <w:numPr>
          <w:ilvl w:val="0"/>
          <w:numId w:val="85"/>
        </w:numPr>
        <w:spacing w:before="100" w:beforeAutospacing="1" w:after="100" w:afterAutospacing="1"/>
        <w:ind w:left="1077" w:hanging="357"/>
        <w:contextualSpacing/>
        <w:rPr>
          <w:color w:val="auto"/>
          <w:lang w:val="fr-FR"/>
        </w:rPr>
      </w:pPr>
      <w:r w:rsidRPr="001935AF">
        <w:rPr>
          <w:i/>
          <w:iCs/>
          <w:color w:val="auto"/>
          <w:lang w:val="fr-FR"/>
        </w:rPr>
        <w:t xml:space="preserve">Découverte fortuite et destruction de patrimones culturels </w:t>
      </w:r>
    </w:p>
    <w:p w14:paraId="01991DE2" w14:textId="77777777" w:rsidR="0049245D" w:rsidRPr="001935AF" w:rsidRDefault="0049245D" w:rsidP="0049245D">
      <w:pPr>
        <w:jc w:val="both"/>
        <w:rPr>
          <w:rFonts w:cs="Calibri Light"/>
          <w:sz w:val="24"/>
          <w:szCs w:val="24"/>
        </w:rPr>
      </w:pPr>
      <w:r w:rsidRPr="001935AF">
        <w:rPr>
          <w:rFonts w:ascii="Calibri Light" w:hAnsi="Calibri Light" w:cs="Calibri Light"/>
          <w:sz w:val="24"/>
          <w:szCs w:val="24"/>
        </w:rPr>
        <w:t xml:space="preserve">Les travaux </w:t>
      </w:r>
      <w:r>
        <w:rPr>
          <w:rFonts w:ascii="Calibri Light" w:hAnsi="Calibri Light" w:cs="Calibri Light"/>
          <w:sz w:val="24"/>
          <w:szCs w:val="24"/>
        </w:rPr>
        <w:t xml:space="preserve">d’installation des infrastructures prévus par le Projet DECIM  </w:t>
      </w:r>
      <w:r w:rsidRPr="001935AF">
        <w:rPr>
          <w:rFonts w:ascii="Calibri Light" w:hAnsi="Calibri Light" w:cs="Calibri Light"/>
          <w:sz w:val="24"/>
          <w:szCs w:val="24"/>
        </w:rPr>
        <w:t>peuvent dégager des vestiges d’intérêts archéologiques ou d’ancien sépulcre. De plus des sites cultuels prés de la zone d’emprise du Projet peuvent être detruite. Même si la probabilité d’apparition de cet impact est considérée comme presque nulle, d’importance Mineure</w:t>
      </w:r>
      <w:r>
        <w:rPr>
          <w:rFonts w:ascii="Calibri Light" w:hAnsi="Calibri Light" w:cs="Calibri Light"/>
          <w:sz w:val="24"/>
          <w:szCs w:val="24"/>
        </w:rPr>
        <w:t xml:space="preserve"> et avec un niveau de risque très faible,</w:t>
      </w:r>
      <w:r w:rsidRPr="001935AF">
        <w:rPr>
          <w:rFonts w:ascii="Calibri Light" w:hAnsi="Calibri Light" w:cs="Calibri Light"/>
          <w:sz w:val="24"/>
          <w:szCs w:val="24"/>
        </w:rPr>
        <w:t xml:space="preserve"> </w:t>
      </w:r>
      <w:r w:rsidR="005430A1">
        <w:rPr>
          <w:rFonts w:ascii="Calibri Light" w:hAnsi="Calibri Light" w:cs="Calibri Light"/>
          <w:sz w:val="24"/>
          <w:szCs w:val="24"/>
        </w:rPr>
        <w:t xml:space="preserve">le suivi </w:t>
      </w:r>
      <w:r w:rsidRPr="001935AF">
        <w:rPr>
          <w:rFonts w:ascii="Calibri Light" w:hAnsi="Calibri Light" w:cs="Calibri Light"/>
          <w:sz w:val="24"/>
          <w:szCs w:val="24"/>
        </w:rPr>
        <w:t xml:space="preserve"> de</w:t>
      </w:r>
      <w:r w:rsidR="005430A1">
        <w:rPr>
          <w:rFonts w:ascii="Calibri Light" w:hAnsi="Calibri Light" w:cs="Calibri Light"/>
          <w:sz w:val="24"/>
          <w:szCs w:val="24"/>
        </w:rPr>
        <w:t>s</w:t>
      </w:r>
      <w:r w:rsidRPr="001935AF">
        <w:rPr>
          <w:rFonts w:ascii="Calibri Light" w:hAnsi="Calibri Light" w:cs="Calibri Light"/>
          <w:sz w:val="24"/>
          <w:szCs w:val="24"/>
        </w:rPr>
        <w:t xml:space="preserve"> procédure</w:t>
      </w:r>
      <w:r w:rsidR="005430A1">
        <w:rPr>
          <w:rFonts w:ascii="Calibri Light" w:hAnsi="Calibri Light" w:cs="Calibri Light"/>
          <w:sz w:val="24"/>
          <w:szCs w:val="24"/>
        </w:rPr>
        <w:t>s</w:t>
      </w:r>
      <w:r w:rsidRPr="001935AF">
        <w:rPr>
          <w:rFonts w:ascii="Calibri Light" w:hAnsi="Calibri Light" w:cs="Calibri Light"/>
          <w:sz w:val="24"/>
          <w:szCs w:val="24"/>
        </w:rPr>
        <w:t xml:space="preserve"> en cas de découverte fortuite devra être effectuée par le Projet</w:t>
      </w:r>
      <w:r>
        <w:rPr>
          <w:rFonts w:ascii="Calibri Light" w:hAnsi="Calibri Light" w:cs="Calibri Light"/>
          <w:sz w:val="24"/>
          <w:szCs w:val="24"/>
        </w:rPr>
        <w:t xml:space="preserve"> </w:t>
      </w:r>
      <w:r w:rsidRPr="00345918">
        <w:rPr>
          <w:rFonts w:ascii="Calibri Light" w:hAnsi="Calibri Light" w:cs="Calibri Light"/>
          <w:sz w:val="24"/>
          <w:szCs w:val="24"/>
        </w:rPr>
        <w:t xml:space="preserve">(cf annexe </w:t>
      </w:r>
      <w:r w:rsidR="009947B9" w:rsidRPr="00345918">
        <w:rPr>
          <w:rFonts w:ascii="Calibri Light" w:hAnsi="Calibri Light" w:cs="Calibri Light"/>
          <w:sz w:val="24"/>
          <w:szCs w:val="24"/>
        </w:rPr>
        <w:t>2</w:t>
      </w:r>
      <w:r w:rsidRPr="00345918">
        <w:rPr>
          <w:rFonts w:ascii="Calibri Light" w:hAnsi="Calibri Light" w:cs="Calibri Light"/>
          <w:sz w:val="24"/>
          <w:szCs w:val="24"/>
        </w:rPr>
        <w:t>).</w:t>
      </w:r>
    </w:p>
    <w:p w14:paraId="6A1C091E" w14:textId="77777777" w:rsidR="0049245D" w:rsidRPr="00345918" w:rsidRDefault="005430A1" w:rsidP="00345918">
      <w:pPr>
        <w:pStyle w:val="Lgende"/>
        <w:spacing w:before="120"/>
        <w:jc w:val="center"/>
        <w:rPr>
          <w:sz w:val="20"/>
        </w:rPr>
      </w:pPr>
      <w:bookmarkStart w:id="976" w:name="_Toc127957841"/>
      <w:r w:rsidRPr="00345918">
        <w:rPr>
          <w:sz w:val="20"/>
        </w:rPr>
        <w:t xml:space="preserve">Tableau </w:t>
      </w:r>
      <w:r w:rsidRPr="00345918">
        <w:rPr>
          <w:sz w:val="20"/>
        </w:rPr>
        <w:fldChar w:fldCharType="begin"/>
      </w:r>
      <w:r w:rsidRPr="00345918">
        <w:rPr>
          <w:sz w:val="20"/>
        </w:rPr>
        <w:instrText xml:space="preserve"> SEQ Tableau \* ARABIC </w:instrText>
      </w:r>
      <w:r w:rsidRPr="00345918">
        <w:rPr>
          <w:sz w:val="20"/>
        </w:rPr>
        <w:fldChar w:fldCharType="separate"/>
      </w:r>
      <w:r w:rsidRPr="00345918">
        <w:rPr>
          <w:sz w:val="20"/>
        </w:rPr>
        <w:t>45</w:t>
      </w:r>
      <w:r w:rsidRPr="00345918">
        <w:rPr>
          <w:sz w:val="20"/>
        </w:rPr>
        <w:fldChar w:fldCharType="end"/>
      </w:r>
      <w:r w:rsidRPr="00345918">
        <w:rPr>
          <w:sz w:val="20"/>
        </w:rPr>
        <w:t>. Evaluation de l’impact – découverte fortuite et destruction de patrimoines culturels</w:t>
      </w:r>
      <w:bookmarkEnd w:id="976"/>
      <w:r w:rsidRPr="00345918">
        <w:rPr>
          <w:sz w:val="20"/>
        </w:rPr>
        <w:t xml:space="preserve"> </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035"/>
        <w:gridCol w:w="1079"/>
        <w:gridCol w:w="999"/>
        <w:gridCol w:w="1322"/>
        <w:gridCol w:w="1263"/>
        <w:gridCol w:w="1064"/>
        <w:gridCol w:w="825"/>
      </w:tblGrid>
      <w:tr w:rsidR="0049245D" w:rsidRPr="007F78CE" w14:paraId="632B77B3" w14:textId="77777777" w:rsidTr="0049245D">
        <w:trPr>
          <w:jc w:val="center"/>
        </w:trPr>
        <w:tc>
          <w:tcPr>
            <w:tcW w:w="1701" w:type="dxa"/>
            <w:shd w:val="clear" w:color="auto" w:fill="BFBFBF"/>
          </w:tcPr>
          <w:p w14:paraId="5096AF92" w14:textId="77777777" w:rsidR="0049245D" w:rsidRPr="007F78CE" w:rsidRDefault="0049245D" w:rsidP="0049245D">
            <w:pPr>
              <w:spacing w:after="0" w:line="240" w:lineRule="auto"/>
              <w:rPr>
                <w:rFonts w:ascii="Arial Narrow" w:hAnsi="Arial Narrow"/>
                <w:b/>
                <w:bCs/>
                <w:sz w:val="20"/>
                <w:szCs w:val="20"/>
              </w:rPr>
            </w:pPr>
            <w:r>
              <w:rPr>
                <w:rFonts w:ascii="Arial Narrow" w:hAnsi="Arial Narrow"/>
                <w:b/>
                <w:bCs/>
                <w:sz w:val="20"/>
                <w:szCs w:val="20"/>
              </w:rPr>
              <w:t>Sous Projet</w:t>
            </w:r>
          </w:p>
        </w:tc>
        <w:tc>
          <w:tcPr>
            <w:tcW w:w="1035" w:type="dxa"/>
            <w:shd w:val="clear" w:color="auto" w:fill="BFBFBF"/>
          </w:tcPr>
          <w:p w14:paraId="3FDA5A04" w14:textId="77777777" w:rsidR="0049245D" w:rsidRPr="007F78CE" w:rsidRDefault="0049245D" w:rsidP="0049245D">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079" w:type="dxa"/>
            <w:shd w:val="clear" w:color="auto" w:fill="BFBFBF"/>
          </w:tcPr>
          <w:p w14:paraId="36BC2D76" w14:textId="77777777" w:rsidR="0049245D" w:rsidRPr="007F78CE" w:rsidRDefault="0049245D" w:rsidP="0049245D">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999" w:type="dxa"/>
            <w:shd w:val="clear" w:color="auto" w:fill="BFBFBF"/>
          </w:tcPr>
          <w:p w14:paraId="6C28D1D2" w14:textId="77777777" w:rsidR="0049245D" w:rsidRPr="007F78CE" w:rsidRDefault="0049245D" w:rsidP="0049245D">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322" w:type="dxa"/>
            <w:shd w:val="clear" w:color="auto" w:fill="BFBFBF"/>
          </w:tcPr>
          <w:p w14:paraId="750649D7" w14:textId="77777777" w:rsidR="0049245D" w:rsidRPr="007F78CE" w:rsidRDefault="0049245D" w:rsidP="0049245D">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263" w:type="dxa"/>
            <w:shd w:val="clear" w:color="auto" w:fill="BFBFBF"/>
          </w:tcPr>
          <w:p w14:paraId="0D4BB452" w14:textId="77777777" w:rsidR="0049245D" w:rsidRPr="007F78CE" w:rsidRDefault="0049245D" w:rsidP="0049245D">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auto"/>
          </w:tcPr>
          <w:p w14:paraId="2C5160F7" w14:textId="77777777" w:rsidR="0049245D" w:rsidRPr="007F78CE" w:rsidRDefault="0049245D" w:rsidP="0049245D">
            <w:pPr>
              <w:spacing w:after="0" w:line="240" w:lineRule="auto"/>
              <w:rPr>
                <w:rFonts w:ascii="Arial Narrow" w:hAnsi="Arial Narrow"/>
                <w:b/>
                <w:bCs/>
                <w:sz w:val="20"/>
                <w:szCs w:val="20"/>
              </w:rPr>
            </w:pPr>
            <w:r>
              <w:rPr>
                <w:rFonts w:ascii="Arial Narrow" w:hAnsi="Arial Narrow"/>
                <w:b/>
                <w:bCs/>
                <w:sz w:val="20"/>
                <w:szCs w:val="20"/>
              </w:rPr>
              <w:t>Probabilité</w:t>
            </w:r>
          </w:p>
        </w:tc>
        <w:tc>
          <w:tcPr>
            <w:tcW w:w="825" w:type="dxa"/>
            <w:shd w:val="clear" w:color="auto" w:fill="auto"/>
          </w:tcPr>
          <w:p w14:paraId="4901BFE4" w14:textId="77777777" w:rsidR="0049245D" w:rsidRPr="007F78CE" w:rsidRDefault="0049245D" w:rsidP="0049245D">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49245D" w:rsidRPr="007F78CE" w14:paraId="7CB97430" w14:textId="77777777" w:rsidTr="00FB04F6">
        <w:trPr>
          <w:jc w:val="center"/>
        </w:trPr>
        <w:tc>
          <w:tcPr>
            <w:tcW w:w="1701" w:type="dxa"/>
          </w:tcPr>
          <w:p w14:paraId="159C011F" w14:textId="77777777" w:rsidR="0049245D" w:rsidRPr="007F78CE" w:rsidRDefault="0049245D" w:rsidP="0049245D">
            <w:pPr>
              <w:spacing w:after="0" w:line="240" w:lineRule="auto"/>
              <w:contextualSpacing/>
              <w:jc w:val="center"/>
              <w:rPr>
                <w:rFonts w:ascii="Arial Narrow" w:hAnsi="Arial Narrow" w:cs="Arial"/>
                <w:sz w:val="20"/>
                <w:szCs w:val="20"/>
              </w:rPr>
            </w:pPr>
            <w:r>
              <w:rPr>
                <w:rFonts w:ascii="Arial Narrow" w:hAnsi="Arial Narrow" w:cs="Arial"/>
                <w:sz w:val="20"/>
                <w:szCs w:val="20"/>
              </w:rPr>
              <w:t>Infrastructure numérique</w:t>
            </w:r>
          </w:p>
        </w:tc>
        <w:tc>
          <w:tcPr>
            <w:tcW w:w="1035" w:type="dxa"/>
            <w:shd w:val="clear" w:color="auto" w:fill="auto"/>
          </w:tcPr>
          <w:p w14:paraId="1CE3B5BD" w14:textId="77777777" w:rsidR="0049245D" w:rsidRPr="007F78CE" w:rsidRDefault="0049245D" w:rsidP="0049245D">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66BFE554"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79" w:type="dxa"/>
            <w:shd w:val="clear" w:color="auto" w:fill="auto"/>
          </w:tcPr>
          <w:p w14:paraId="6ACDC744"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7362704A"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99" w:type="dxa"/>
            <w:shd w:val="clear" w:color="auto" w:fill="auto"/>
          </w:tcPr>
          <w:p w14:paraId="227AB900"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5918010D"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22" w:type="dxa"/>
            <w:shd w:val="clear" w:color="auto" w:fill="auto"/>
          </w:tcPr>
          <w:p w14:paraId="08ED3794"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0F79D2CE"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63" w:type="dxa"/>
            <w:shd w:val="clear" w:color="auto" w:fill="00B050"/>
          </w:tcPr>
          <w:p w14:paraId="4F98D87D"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35B62155"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tcPr>
          <w:p w14:paraId="27297F44" w14:textId="77777777" w:rsidR="0049245D" w:rsidRPr="007F78CE" w:rsidRDefault="0049245D" w:rsidP="0049245D">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c>
          <w:tcPr>
            <w:tcW w:w="825" w:type="dxa"/>
            <w:shd w:val="clear" w:color="auto" w:fill="538135"/>
          </w:tcPr>
          <w:p w14:paraId="7E040ED1" w14:textId="77777777" w:rsidR="0049245D" w:rsidRPr="007F78CE" w:rsidRDefault="0049245D" w:rsidP="0049245D">
            <w:pPr>
              <w:spacing w:after="0" w:line="240" w:lineRule="auto"/>
              <w:contextualSpacing/>
              <w:jc w:val="center"/>
              <w:rPr>
                <w:rFonts w:ascii="Arial Narrow" w:hAnsi="Arial Narrow" w:cs="Arial"/>
                <w:sz w:val="20"/>
                <w:szCs w:val="20"/>
              </w:rPr>
            </w:pPr>
            <w:r w:rsidRPr="00F76674">
              <w:rPr>
                <w:rFonts w:ascii="Arial Narrow" w:hAnsi="Arial Narrow" w:cs="Arial"/>
                <w:sz w:val="20"/>
                <w:szCs w:val="20"/>
              </w:rPr>
              <w:t>Très faible</w:t>
            </w:r>
          </w:p>
        </w:tc>
      </w:tr>
      <w:tr w:rsidR="0049245D" w:rsidRPr="007F78CE" w14:paraId="562432C3" w14:textId="77777777" w:rsidTr="00FB04F6">
        <w:trPr>
          <w:jc w:val="center"/>
        </w:trPr>
        <w:tc>
          <w:tcPr>
            <w:tcW w:w="1701" w:type="dxa"/>
          </w:tcPr>
          <w:p w14:paraId="71AB56D6" w14:textId="77777777" w:rsidR="0049245D" w:rsidRPr="007F78CE" w:rsidRDefault="0049245D" w:rsidP="0049245D">
            <w:pPr>
              <w:spacing w:after="0" w:line="240" w:lineRule="auto"/>
              <w:contextualSpacing/>
              <w:jc w:val="center"/>
              <w:rPr>
                <w:rFonts w:ascii="Arial Narrow" w:hAnsi="Arial Narrow" w:cs="Arial"/>
                <w:sz w:val="20"/>
                <w:szCs w:val="20"/>
              </w:rPr>
            </w:pPr>
            <w:r>
              <w:rPr>
                <w:rFonts w:ascii="Arial Narrow" w:hAnsi="Arial Narrow" w:cs="Arial"/>
                <w:sz w:val="20"/>
                <w:szCs w:val="20"/>
              </w:rPr>
              <w:t>Centrale électrique solaire</w:t>
            </w:r>
          </w:p>
        </w:tc>
        <w:tc>
          <w:tcPr>
            <w:tcW w:w="1035" w:type="dxa"/>
            <w:shd w:val="clear" w:color="auto" w:fill="auto"/>
          </w:tcPr>
          <w:p w14:paraId="552F4441" w14:textId="77777777" w:rsidR="0049245D" w:rsidRPr="007F78CE" w:rsidRDefault="0049245D" w:rsidP="0049245D">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115A5CD7"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79" w:type="dxa"/>
            <w:shd w:val="clear" w:color="auto" w:fill="auto"/>
          </w:tcPr>
          <w:p w14:paraId="52A854CF"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1ECA6597"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99" w:type="dxa"/>
            <w:shd w:val="clear" w:color="auto" w:fill="auto"/>
          </w:tcPr>
          <w:p w14:paraId="55A803E8"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29AAC202"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22" w:type="dxa"/>
            <w:shd w:val="clear" w:color="auto" w:fill="auto"/>
          </w:tcPr>
          <w:p w14:paraId="16E1A1B1"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6904CA68"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63" w:type="dxa"/>
            <w:shd w:val="clear" w:color="auto" w:fill="00B050"/>
          </w:tcPr>
          <w:p w14:paraId="77D5E014"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63025979"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tcPr>
          <w:p w14:paraId="6C2F5AAF" w14:textId="77777777" w:rsidR="0049245D" w:rsidRPr="007F78CE" w:rsidRDefault="0049245D" w:rsidP="0049245D">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c>
          <w:tcPr>
            <w:tcW w:w="825" w:type="dxa"/>
            <w:shd w:val="clear" w:color="auto" w:fill="538135"/>
          </w:tcPr>
          <w:p w14:paraId="6FB6E2B5" w14:textId="77777777" w:rsidR="0049245D" w:rsidRPr="007F78CE" w:rsidRDefault="0049245D" w:rsidP="0049245D">
            <w:pPr>
              <w:spacing w:after="0" w:line="240" w:lineRule="auto"/>
              <w:contextualSpacing/>
              <w:jc w:val="center"/>
              <w:rPr>
                <w:rFonts w:ascii="Arial Narrow" w:hAnsi="Arial Narrow" w:cs="Arial"/>
                <w:sz w:val="20"/>
                <w:szCs w:val="20"/>
              </w:rPr>
            </w:pPr>
            <w:r w:rsidRPr="00F76674">
              <w:rPr>
                <w:rFonts w:ascii="Arial Narrow" w:hAnsi="Arial Narrow" w:cs="Arial"/>
                <w:sz w:val="20"/>
                <w:szCs w:val="20"/>
              </w:rPr>
              <w:t>Très faible</w:t>
            </w:r>
          </w:p>
        </w:tc>
      </w:tr>
      <w:tr w:rsidR="0049245D" w:rsidRPr="007F78CE" w14:paraId="38DFC14E" w14:textId="77777777" w:rsidTr="00FB04F6">
        <w:trPr>
          <w:jc w:val="center"/>
        </w:trPr>
        <w:tc>
          <w:tcPr>
            <w:tcW w:w="1701" w:type="dxa"/>
          </w:tcPr>
          <w:p w14:paraId="45BC4A2A" w14:textId="77777777" w:rsidR="0049245D" w:rsidRPr="007F78CE" w:rsidRDefault="0049245D" w:rsidP="00345918">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35" w:type="dxa"/>
            <w:shd w:val="clear" w:color="auto" w:fill="auto"/>
          </w:tcPr>
          <w:p w14:paraId="6376199A" w14:textId="77777777" w:rsidR="0049245D" w:rsidRPr="007F78CE" w:rsidRDefault="0049245D" w:rsidP="0049245D">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44C11BCF"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79" w:type="dxa"/>
            <w:shd w:val="clear" w:color="auto" w:fill="auto"/>
          </w:tcPr>
          <w:p w14:paraId="3F54BF7F"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3143492C"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99" w:type="dxa"/>
            <w:shd w:val="clear" w:color="auto" w:fill="auto"/>
          </w:tcPr>
          <w:p w14:paraId="7D5AF53F"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257F710B"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22" w:type="dxa"/>
            <w:shd w:val="clear" w:color="auto" w:fill="auto"/>
          </w:tcPr>
          <w:p w14:paraId="25206FEA"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68723155"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63" w:type="dxa"/>
            <w:shd w:val="clear" w:color="auto" w:fill="00B050"/>
          </w:tcPr>
          <w:p w14:paraId="7FDB7519"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21283D84"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tcPr>
          <w:p w14:paraId="1FCCA721" w14:textId="77777777" w:rsidR="0049245D" w:rsidRPr="007F78CE" w:rsidRDefault="0049245D" w:rsidP="0049245D">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c>
          <w:tcPr>
            <w:tcW w:w="825" w:type="dxa"/>
            <w:shd w:val="clear" w:color="auto" w:fill="538135"/>
          </w:tcPr>
          <w:p w14:paraId="09345CFB" w14:textId="77777777" w:rsidR="0049245D" w:rsidRPr="007F78CE" w:rsidRDefault="0049245D" w:rsidP="0049245D">
            <w:pPr>
              <w:spacing w:after="0" w:line="240" w:lineRule="auto"/>
              <w:contextualSpacing/>
              <w:jc w:val="center"/>
              <w:rPr>
                <w:rFonts w:ascii="Arial Narrow" w:hAnsi="Arial Narrow" w:cs="Arial"/>
                <w:sz w:val="20"/>
                <w:szCs w:val="20"/>
              </w:rPr>
            </w:pPr>
            <w:r w:rsidRPr="00F76674">
              <w:rPr>
                <w:rFonts w:ascii="Arial Narrow" w:hAnsi="Arial Narrow" w:cs="Arial"/>
                <w:sz w:val="20"/>
                <w:szCs w:val="20"/>
              </w:rPr>
              <w:t>Très faible</w:t>
            </w:r>
          </w:p>
        </w:tc>
      </w:tr>
      <w:tr w:rsidR="0049245D" w:rsidRPr="007F78CE" w14:paraId="60A9DC46" w14:textId="77777777" w:rsidTr="00FB04F6">
        <w:trPr>
          <w:jc w:val="center"/>
        </w:trPr>
        <w:tc>
          <w:tcPr>
            <w:tcW w:w="1701" w:type="dxa"/>
          </w:tcPr>
          <w:p w14:paraId="7B07A90B" w14:textId="77777777" w:rsidR="0049245D" w:rsidRDefault="0049245D" w:rsidP="0049245D">
            <w:pPr>
              <w:spacing w:after="0" w:line="240" w:lineRule="auto"/>
              <w:contextualSpacing/>
              <w:rPr>
                <w:rFonts w:ascii="Arial Narrow" w:hAnsi="Arial Narrow" w:cs="Arial"/>
                <w:sz w:val="20"/>
                <w:szCs w:val="20"/>
              </w:rPr>
            </w:pPr>
            <w:r>
              <w:rPr>
                <w:rFonts w:ascii="Arial Narrow" w:hAnsi="Arial Narrow" w:cs="Arial"/>
                <w:sz w:val="20"/>
                <w:szCs w:val="20"/>
              </w:rPr>
              <w:t>Réseau électrique</w:t>
            </w:r>
          </w:p>
        </w:tc>
        <w:tc>
          <w:tcPr>
            <w:tcW w:w="1035" w:type="dxa"/>
            <w:shd w:val="clear" w:color="auto" w:fill="auto"/>
          </w:tcPr>
          <w:p w14:paraId="6FED17C9" w14:textId="77777777" w:rsidR="0049245D" w:rsidRPr="007F78CE" w:rsidRDefault="0049245D" w:rsidP="0049245D">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75B65F8B"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79" w:type="dxa"/>
            <w:shd w:val="clear" w:color="auto" w:fill="auto"/>
          </w:tcPr>
          <w:p w14:paraId="707C5C7E"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6DF5377F"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99" w:type="dxa"/>
            <w:shd w:val="clear" w:color="auto" w:fill="auto"/>
          </w:tcPr>
          <w:p w14:paraId="735EE85D"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1B0520EA"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322" w:type="dxa"/>
            <w:shd w:val="clear" w:color="auto" w:fill="auto"/>
          </w:tcPr>
          <w:p w14:paraId="2ECC5E7E"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7151C510"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63" w:type="dxa"/>
            <w:shd w:val="clear" w:color="auto" w:fill="00B050"/>
          </w:tcPr>
          <w:p w14:paraId="6901E6FA"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090701E1" w14:textId="77777777" w:rsidR="0049245D" w:rsidRPr="007F78CE" w:rsidRDefault="0049245D"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tcPr>
          <w:p w14:paraId="6CDFCE48" w14:textId="77777777" w:rsidR="0049245D" w:rsidRPr="007F78CE" w:rsidRDefault="0049245D" w:rsidP="0049245D">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c>
          <w:tcPr>
            <w:tcW w:w="825" w:type="dxa"/>
            <w:shd w:val="clear" w:color="auto" w:fill="538135"/>
          </w:tcPr>
          <w:p w14:paraId="60F98D2D" w14:textId="77777777" w:rsidR="0049245D" w:rsidRPr="007F78CE" w:rsidRDefault="0049245D" w:rsidP="0049245D">
            <w:pPr>
              <w:spacing w:after="0" w:line="240" w:lineRule="auto"/>
              <w:contextualSpacing/>
              <w:jc w:val="center"/>
              <w:rPr>
                <w:rFonts w:ascii="Arial Narrow" w:hAnsi="Arial Narrow" w:cs="Arial"/>
                <w:sz w:val="20"/>
                <w:szCs w:val="20"/>
              </w:rPr>
            </w:pPr>
            <w:r w:rsidRPr="00F76674">
              <w:rPr>
                <w:rFonts w:ascii="Arial Narrow" w:hAnsi="Arial Narrow" w:cs="Arial"/>
                <w:sz w:val="20"/>
                <w:szCs w:val="20"/>
              </w:rPr>
              <w:t>Très faible</w:t>
            </w:r>
          </w:p>
        </w:tc>
      </w:tr>
      <w:tr w:rsidR="001716F8" w:rsidRPr="007F78CE" w14:paraId="44DE5BB8" w14:textId="77777777" w:rsidTr="00FB04F6">
        <w:trPr>
          <w:jc w:val="center"/>
        </w:trPr>
        <w:tc>
          <w:tcPr>
            <w:tcW w:w="1701" w:type="dxa"/>
          </w:tcPr>
          <w:p w14:paraId="6F745CF7" w14:textId="77777777" w:rsidR="001716F8" w:rsidRDefault="001716F8" w:rsidP="0049245D">
            <w:pPr>
              <w:spacing w:after="0" w:line="240" w:lineRule="auto"/>
              <w:contextualSpacing/>
              <w:rPr>
                <w:rFonts w:ascii="Arial Narrow" w:hAnsi="Arial Narrow" w:cs="Arial"/>
                <w:sz w:val="20"/>
                <w:szCs w:val="20"/>
              </w:rPr>
            </w:pPr>
            <w:r>
              <w:rPr>
                <w:rFonts w:ascii="Arial Narrow" w:hAnsi="Arial Narrow" w:cs="Arial"/>
                <w:sz w:val="20"/>
                <w:szCs w:val="20"/>
              </w:rPr>
              <w:t>Impact cummulé</w:t>
            </w:r>
          </w:p>
        </w:tc>
        <w:tc>
          <w:tcPr>
            <w:tcW w:w="1035" w:type="dxa"/>
            <w:shd w:val="clear" w:color="auto" w:fill="auto"/>
          </w:tcPr>
          <w:p w14:paraId="5E1F7361" w14:textId="77777777" w:rsidR="001716F8" w:rsidRPr="007F78CE" w:rsidRDefault="001716F8" w:rsidP="00D70FB3">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779A2F9E" w14:textId="77777777" w:rsidR="001716F8" w:rsidRPr="007F78CE" w:rsidRDefault="001716F8"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79" w:type="dxa"/>
            <w:shd w:val="clear" w:color="auto" w:fill="auto"/>
          </w:tcPr>
          <w:p w14:paraId="7121C95D"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3836F67D" w14:textId="77777777" w:rsidR="001716F8" w:rsidRPr="007F78CE" w:rsidRDefault="001716F8"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99" w:type="dxa"/>
            <w:shd w:val="clear" w:color="auto" w:fill="auto"/>
          </w:tcPr>
          <w:p w14:paraId="2F9ADD12"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631FD633" w14:textId="77777777" w:rsidR="001716F8" w:rsidRPr="007F78CE" w:rsidRDefault="001716F8"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322" w:type="dxa"/>
            <w:shd w:val="clear" w:color="auto" w:fill="auto"/>
          </w:tcPr>
          <w:p w14:paraId="57695A7D"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7FC13FD4" w14:textId="77777777" w:rsidR="001716F8" w:rsidRPr="007F78CE" w:rsidRDefault="001716F8"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63" w:type="dxa"/>
            <w:shd w:val="clear" w:color="auto" w:fill="00B050"/>
          </w:tcPr>
          <w:p w14:paraId="33BAA0BA"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19B4CB07" w14:textId="77777777" w:rsidR="001716F8" w:rsidRPr="007F78CE" w:rsidRDefault="001716F8" w:rsidP="0049245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tcPr>
          <w:p w14:paraId="47DD7BA6" w14:textId="77777777" w:rsidR="001716F8" w:rsidRPr="00FC0D50" w:rsidRDefault="001716F8" w:rsidP="0049245D">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c>
          <w:tcPr>
            <w:tcW w:w="825" w:type="dxa"/>
            <w:shd w:val="clear" w:color="auto" w:fill="538135"/>
          </w:tcPr>
          <w:p w14:paraId="16DD5A50" w14:textId="77777777" w:rsidR="001716F8" w:rsidRPr="00F76674" w:rsidRDefault="001716F8" w:rsidP="0049245D">
            <w:pPr>
              <w:spacing w:after="0" w:line="240" w:lineRule="auto"/>
              <w:contextualSpacing/>
              <w:jc w:val="center"/>
              <w:rPr>
                <w:rFonts w:ascii="Arial Narrow" w:hAnsi="Arial Narrow" w:cs="Arial"/>
                <w:sz w:val="20"/>
                <w:szCs w:val="20"/>
              </w:rPr>
            </w:pPr>
            <w:r w:rsidRPr="00F76674">
              <w:rPr>
                <w:rFonts w:ascii="Arial Narrow" w:hAnsi="Arial Narrow" w:cs="Arial"/>
                <w:sz w:val="20"/>
                <w:szCs w:val="20"/>
              </w:rPr>
              <w:t>Très faible</w:t>
            </w:r>
          </w:p>
        </w:tc>
      </w:tr>
    </w:tbl>
    <w:p w14:paraId="21718593" w14:textId="77777777" w:rsidR="0049245D" w:rsidRDefault="0049245D" w:rsidP="00345918">
      <w:pPr>
        <w:spacing w:line="240" w:lineRule="auto"/>
        <w:jc w:val="both"/>
        <w:rPr>
          <w:rFonts w:ascii="Arial" w:hAnsi="Arial" w:cs="Arial"/>
        </w:rPr>
      </w:pPr>
    </w:p>
    <w:p w14:paraId="1B1E292D" w14:textId="77777777" w:rsidR="0090044A" w:rsidRPr="0053297A" w:rsidRDefault="0090044A" w:rsidP="0044500E">
      <w:pPr>
        <w:pStyle w:val="TIT40"/>
        <w:numPr>
          <w:ilvl w:val="3"/>
          <w:numId w:val="177"/>
        </w:numPr>
        <w:outlineLvl w:val="3"/>
      </w:pPr>
      <w:bookmarkStart w:id="977" w:name="_Toc127957684"/>
      <w:r w:rsidRPr="0053297A">
        <w:t>Phase de repli de chantier</w:t>
      </w:r>
      <w:bookmarkEnd w:id="969"/>
      <w:bookmarkEnd w:id="970"/>
      <w:bookmarkEnd w:id="971"/>
      <w:bookmarkEnd w:id="972"/>
      <w:bookmarkEnd w:id="973"/>
      <w:bookmarkEnd w:id="974"/>
      <w:bookmarkEnd w:id="975"/>
      <w:bookmarkEnd w:id="977"/>
    </w:p>
    <w:p w14:paraId="6F1E75D7" w14:textId="77777777" w:rsidR="0090044A" w:rsidRPr="008D2A01" w:rsidRDefault="0090044A" w:rsidP="008D2A01">
      <w:pPr>
        <w:spacing w:line="240" w:lineRule="auto"/>
        <w:jc w:val="both"/>
        <w:rPr>
          <w:rFonts w:ascii="Arial" w:hAnsi="Arial" w:cs="Arial"/>
        </w:rPr>
      </w:pPr>
      <w:r w:rsidRPr="008D2A01">
        <w:rPr>
          <w:rFonts w:ascii="Arial" w:hAnsi="Arial" w:cs="Arial"/>
        </w:rPr>
        <w:t xml:space="preserve">Une fois les travaux de construction et l’installation des infrastructures achevées, l’entreprise titulaire des travaux procèdera au démantèlement de leurs infrastructures provisoires et au repli des matériels. Cette phase présente des impacts négatifs et des risques sur les milieux. </w:t>
      </w:r>
    </w:p>
    <w:p w14:paraId="7E9BB8C8" w14:textId="77777777" w:rsidR="0090044A" w:rsidRPr="00F2568E" w:rsidRDefault="0090044A" w:rsidP="00A31C26">
      <w:pPr>
        <w:pStyle w:val="Style9"/>
        <w:ind w:left="2856"/>
      </w:pPr>
      <w:bookmarkStart w:id="978" w:name="_Toc98192344"/>
      <w:bookmarkStart w:id="979" w:name="_Toc97835151"/>
      <w:r w:rsidRPr="00F2568E">
        <w:t>Impact sur le milieu physique</w:t>
      </w:r>
      <w:bookmarkEnd w:id="978"/>
      <w:bookmarkEnd w:id="979"/>
    </w:p>
    <w:p w14:paraId="370CBE47" w14:textId="77777777" w:rsidR="0090044A" w:rsidRPr="00F2568E" w:rsidRDefault="0090044A" w:rsidP="00F01166">
      <w:pPr>
        <w:pStyle w:val="Normal12"/>
        <w:numPr>
          <w:ilvl w:val="0"/>
          <w:numId w:val="85"/>
        </w:numPr>
        <w:spacing w:before="120" w:after="120"/>
        <w:contextualSpacing/>
        <w:rPr>
          <w:i/>
          <w:iCs/>
          <w:lang w:val="fr-FR"/>
        </w:rPr>
      </w:pPr>
      <w:r w:rsidRPr="00F2568E">
        <w:rPr>
          <w:i/>
          <w:iCs/>
          <w:lang w:val="fr-FR"/>
        </w:rPr>
        <w:t>Pollution du sol et des eaux</w:t>
      </w:r>
    </w:p>
    <w:p w14:paraId="7EEC79BD" w14:textId="77777777" w:rsidR="0090044A" w:rsidRPr="008D2A01" w:rsidRDefault="0090044A" w:rsidP="008D2A01">
      <w:pPr>
        <w:spacing w:line="240" w:lineRule="auto"/>
        <w:jc w:val="both"/>
        <w:rPr>
          <w:rFonts w:ascii="Arial" w:hAnsi="Arial" w:cs="Arial"/>
        </w:rPr>
      </w:pPr>
      <w:r w:rsidRPr="008D2A01">
        <w:rPr>
          <w:rFonts w:ascii="Arial" w:hAnsi="Arial" w:cs="Arial"/>
        </w:rPr>
        <w:t>Les déchets résiduels de chantier lors du démantèlement des baraquements de la base vie (planches, tôles, plastiques…) et des installations de chantier (panneaux, flags…) pourraient polluer le sol et les eaux. Toutefois, avec un nettoyage minutieux des sites avant le repli, cet impact peut être minimisé. De plus, cet impact est très localisé, il s’agit d’impact d’importance « mineure »</w:t>
      </w:r>
      <w:r w:rsidR="008325C4">
        <w:rPr>
          <w:rFonts w:ascii="Arial" w:hAnsi="Arial" w:cs="Arial"/>
        </w:rPr>
        <w:t xml:space="preserve"> </w:t>
      </w:r>
      <w:r w:rsidR="002C16B4">
        <w:rPr>
          <w:rFonts w:ascii="Arial" w:hAnsi="Arial" w:cs="Arial"/>
        </w:rPr>
        <w:t xml:space="preserve">et de niveau de risque très faible </w:t>
      </w:r>
      <w:r w:rsidR="008325C4">
        <w:rPr>
          <w:rFonts w:ascii="Arial" w:hAnsi="Arial" w:cs="Arial"/>
        </w:rPr>
        <w:t>selon le tableau suivant</w:t>
      </w:r>
      <w:r w:rsidRPr="008D2A01">
        <w:rPr>
          <w:rFonts w:ascii="Arial" w:hAnsi="Arial" w:cs="Arial"/>
        </w:rPr>
        <w:t>.</w:t>
      </w:r>
    </w:p>
    <w:p w14:paraId="51074098" w14:textId="77777777" w:rsidR="0090044A" w:rsidRPr="002E58DC" w:rsidRDefault="0090044A" w:rsidP="002E58DC">
      <w:pPr>
        <w:pStyle w:val="Lgende"/>
        <w:spacing w:before="120"/>
        <w:jc w:val="center"/>
        <w:rPr>
          <w:sz w:val="20"/>
        </w:rPr>
      </w:pPr>
      <w:bookmarkStart w:id="980" w:name="_Toc100753935"/>
      <w:bookmarkStart w:id="981" w:name="_Toc127957842"/>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46</w:t>
      </w:r>
      <w:r w:rsidRPr="002E58DC">
        <w:rPr>
          <w:sz w:val="20"/>
        </w:rPr>
        <w:fldChar w:fldCharType="end"/>
      </w:r>
      <w:r w:rsidRPr="002E58DC">
        <w:rPr>
          <w:sz w:val="20"/>
        </w:rPr>
        <w:t xml:space="preserve">. Evaluation </w:t>
      </w:r>
      <w:r w:rsidR="00324908">
        <w:rPr>
          <w:sz w:val="20"/>
        </w:rPr>
        <w:t xml:space="preserve">de </w:t>
      </w:r>
      <w:r w:rsidRPr="002E58DC">
        <w:rPr>
          <w:sz w:val="20"/>
        </w:rPr>
        <w:t>l’impact –Pollution du sol et de l’eau par l'Abandon de déchets sur le chantier et l'ancienne base vie</w:t>
      </w:r>
      <w:bookmarkEnd w:id="980"/>
      <w:bookmarkEnd w:id="981"/>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1028"/>
        <w:gridCol w:w="1075"/>
        <w:gridCol w:w="879"/>
        <w:gridCol w:w="1314"/>
        <w:gridCol w:w="1254"/>
        <w:gridCol w:w="1064"/>
        <w:gridCol w:w="835"/>
        <w:tblGridChange w:id="982">
          <w:tblGrid>
            <w:gridCol w:w="1839"/>
            <w:gridCol w:w="1028"/>
            <w:gridCol w:w="1075"/>
            <w:gridCol w:w="879"/>
            <w:gridCol w:w="1314"/>
            <w:gridCol w:w="1254"/>
            <w:gridCol w:w="1064"/>
            <w:gridCol w:w="835"/>
          </w:tblGrid>
        </w:tblGridChange>
      </w:tblGrid>
      <w:tr w:rsidR="002C16B4" w:rsidRPr="007F78CE" w14:paraId="256E37FA" w14:textId="77777777" w:rsidTr="00345918">
        <w:trPr>
          <w:jc w:val="center"/>
        </w:trPr>
        <w:tc>
          <w:tcPr>
            <w:tcW w:w="1839" w:type="dxa"/>
            <w:shd w:val="clear" w:color="auto" w:fill="BFBFBF"/>
          </w:tcPr>
          <w:p w14:paraId="1E45E7A7" w14:textId="77777777" w:rsidR="002C16B4" w:rsidRPr="007F78CE" w:rsidRDefault="00A73AF6" w:rsidP="007F78CE">
            <w:pPr>
              <w:spacing w:after="0" w:line="240" w:lineRule="auto"/>
              <w:rPr>
                <w:rFonts w:ascii="Arial Narrow" w:hAnsi="Arial Narrow"/>
                <w:b/>
                <w:bCs/>
                <w:sz w:val="20"/>
                <w:szCs w:val="20"/>
              </w:rPr>
            </w:pPr>
            <w:r>
              <w:rPr>
                <w:rFonts w:ascii="Arial Narrow" w:hAnsi="Arial Narrow"/>
                <w:b/>
                <w:bCs/>
                <w:sz w:val="20"/>
                <w:szCs w:val="20"/>
              </w:rPr>
              <w:t>Sous Projet</w:t>
            </w:r>
          </w:p>
        </w:tc>
        <w:tc>
          <w:tcPr>
            <w:tcW w:w="1028" w:type="dxa"/>
            <w:shd w:val="clear" w:color="auto" w:fill="BFBFBF"/>
          </w:tcPr>
          <w:p w14:paraId="7AD4C2BD" w14:textId="77777777" w:rsidR="002C16B4" w:rsidRPr="007F78CE" w:rsidRDefault="002C16B4"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075" w:type="dxa"/>
            <w:shd w:val="clear" w:color="auto" w:fill="BFBFBF"/>
          </w:tcPr>
          <w:p w14:paraId="4F3FBB07" w14:textId="77777777" w:rsidR="002C16B4" w:rsidRPr="007F78CE" w:rsidRDefault="002C16B4"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879" w:type="dxa"/>
            <w:shd w:val="clear" w:color="auto" w:fill="BFBFBF"/>
          </w:tcPr>
          <w:p w14:paraId="5AF6EACF" w14:textId="77777777" w:rsidR="002C16B4" w:rsidRPr="007F78CE" w:rsidRDefault="002C16B4"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314" w:type="dxa"/>
            <w:shd w:val="clear" w:color="auto" w:fill="BFBFBF"/>
          </w:tcPr>
          <w:p w14:paraId="4D9AFD49" w14:textId="77777777" w:rsidR="002C16B4" w:rsidRPr="007F78CE" w:rsidRDefault="002C16B4"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254" w:type="dxa"/>
            <w:shd w:val="clear" w:color="auto" w:fill="BFBFBF"/>
          </w:tcPr>
          <w:p w14:paraId="4DF3BD8C" w14:textId="77777777" w:rsidR="002C16B4" w:rsidRPr="007F78CE" w:rsidRDefault="002C16B4"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BFBFBF"/>
          </w:tcPr>
          <w:p w14:paraId="1ABB9082" w14:textId="77777777" w:rsidR="002C16B4" w:rsidRPr="007F78CE" w:rsidRDefault="002C16B4"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835" w:type="dxa"/>
            <w:shd w:val="clear" w:color="auto" w:fill="BFBFBF"/>
          </w:tcPr>
          <w:p w14:paraId="28A38D3D" w14:textId="77777777" w:rsidR="002C16B4" w:rsidRPr="007F78CE" w:rsidRDefault="002C16B4" w:rsidP="007F78CE">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345918" w:rsidRPr="007F78CE" w14:paraId="7E051EF6" w14:textId="77777777" w:rsidTr="00FB04F6">
        <w:trPr>
          <w:jc w:val="center"/>
        </w:trPr>
        <w:tc>
          <w:tcPr>
            <w:tcW w:w="1839" w:type="dxa"/>
          </w:tcPr>
          <w:p w14:paraId="10662AFE" w14:textId="77777777" w:rsidR="002C16B4" w:rsidRPr="007F78CE" w:rsidRDefault="002C16B4" w:rsidP="00B434A6">
            <w:pPr>
              <w:spacing w:after="0" w:line="240" w:lineRule="auto"/>
              <w:contextualSpacing/>
              <w:rPr>
                <w:rFonts w:ascii="Arial Narrow" w:hAnsi="Arial Narrow" w:cs="Arial"/>
                <w:sz w:val="20"/>
                <w:szCs w:val="20"/>
              </w:rPr>
            </w:pPr>
            <w:r>
              <w:rPr>
                <w:rFonts w:ascii="Arial Narrow" w:hAnsi="Arial Narrow" w:cs="Arial"/>
                <w:sz w:val="20"/>
                <w:szCs w:val="20"/>
              </w:rPr>
              <w:t>Infrastructures numérique</w:t>
            </w:r>
            <w:r w:rsidR="00A73AF6">
              <w:rPr>
                <w:rFonts w:ascii="Arial Narrow" w:hAnsi="Arial Narrow" w:cs="Arial"/>
                <w:sz w:val="20"/>
                <w:szCs w:val="20"/>
              </w:rPr>
              <w:t>s</w:t>
            </w:r>
          </w:p>
        </w:tc>
        <w:tc>
          <w:tcPr>
            <w:tcW w:w="1028" w:type="dxa"/>
            <w:shd w:val="clear" w:color="auto" w:fill="auto"/>
          </w:tcPr>
          <w:p w14:paraId="3A8C1C74" w14:textId="77777777" w:rsidR="002C16B4" w:rsidRPr="007F78CE" w:rsidRDefault="002C16B4"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2C2C613D"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75" w:type="dxa"/>
            <w:shd w:val="clear" w:color="auto" w:fill="auto"/>
          </w:tcPr>
          <w:p w14:paraId="3D9B257F"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03FA45CB"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879" w:type="dxa"/>
            <w:shd w:val="clear" w:color="auto" w:fill="auto"/>
          </w:tcPr>
          <w:p w14:paraId="33542941"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3EBF7868"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14" w:type="dxa"/>
            <w:shd w:val="clear" w:color="auto" w:fill="auto"/>
          </w:tcPr>
          <w:p w14:paraId="527B06CC"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54C091DB"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54" w:type="dxa"/>
            <w:shd w:val="clear" w:color="auto" w:fill="00B050"/>
          </w:tcPr>
          <w:p w14:paraId="7AA85EEA"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284E277A"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(4)</w:t>
            </w:r>
          </w:p>
        </w:tc>
        <w:tc>
          <w:tcPr>
            <w:tcW w:w="1064" w:type="dxa"/>
            <w:shd w:val="clear" w:color="auto" w:fill="auto"/>
          </w:tcPr>
          <w:p w14:paraId="594D3F85" w14:textId="77777777" w:rsidR="002C16B4" w:rsidRPr="007F78CE" w:rsidRDefault="002C16B4" w:rsidP="007F78CE">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c>
          <w:tcPr>
            <w:tcW w:w="835" w:type="dxa"/>
            <w:shd w:val="clear" w:color="auto" w:fill="538135"/>
          </w:tcPr>
          <w:p w14:paraId="038AC71C" w14:textId="77777777" w:rsidR="002C16B4" w:rsidRPr="007F78CE" w:rsidRDefault="002C16B4" w:rsidP="007F78CE">
            <w:pPr>
              <w:spacing w:after="0" w:line="240" w:lineRule="auto"/>
              <w:contextualSpacing/>
              <w:jc w:val="center"/>
              <w:rPr>
                <w:rFonts w:ascii="Arial Narrow" w:hAnsi="Arial Narrow" w:cs="Arial"/>
                <w:sz w:val="20"/>
                <w:szCs w:val="20"/>
              </w:rPr>
            </w:pPr>
            <w:r w:rsidRPr="00F76674">
              <w:rPr>
                <w:rFonts w:ascii="Arial Narrow" w:hAnsi="Arial Narrow" w:cs="Arial"/>
                <w:sz w:val="20"/>
                <w:szCs w:val="20"/>
              </w:rPr>
              <w:t>Très faible</w:t>
            </w:r>
          </w:p>
        </w:tc>
      </w:tr>
      <w:tr w:rsidR="00345918" w:rsidRPr="007F78CE" w14:paraId="5140C785" w14:textId="77777777" w:rsidTr="00FB04F6">
        <w:trPr>
          <w:jc w:val="center"/>
        </w:trPr>
        <w:tc>
          <w:tcPr>
            <w:tcW w:w="1839" w:type="dxa"/>
          </w:tcPr>
          <w:p w14:paraId="2581C080" w14:textId="77777777" w:rsidR="002C16B4" w:rsidRPr="007F78CE" w:rsidRDefault="002C16B4" w:rsidP="00B434A6">
            <w:pPr>
              <w:spacing w:after="0" w:line="240" w:lineRule="auto"/>
              <w:contextualSpacing/>
              <w:rPr>
                <w:rFonts w:ascii="Arial Narrow" w:hAnsi="Arial Narrow" w:cs="Arial"/>
                <w:sz w:val="20"/>
                <w:szCs w:val="20"/>
              </w:rPr>
            </w:pPr>
            <w:r>
              <w:rPr>
                <w:rFonts w:ascii="Arial Narrow" w:hAnsi="Arial Narrow" w:cs="Arial"/>
                <w:sz w:val="20"/>
                <w:szCs w:val="20"/>
              </w:rPr>
              <w:t>Centrale électrique solaire</w:t>
            </w:r>
          </w:p>
        </w:tc>
        <w:tc>
          <w:tcPr>
            <w:tcW w:w="1028" w:type="dxa"/>
            <w:shd w:val="clear" w:color="auto" w:fill="auto"/>
          </w:tcPr>
          <w:p w14:paraId="7DC2AF29" w14:textId="77777777" w:rsidR="002C16B4" w:rsidRPr="007F78CE" w:rsidRDefault="002C16B4" w:rsidP="00B63C19">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30C6AEBB"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75" w:type="dxa"/>
            <w:shd w:val="clear" w:color="auto" w:fill="auto"/>
          </w:tcPr>
          <w:p w14:paraId="512A1912"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571098E9"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879" w:type="dxa"/>
            <w:shd w:val="clear" w:color="auto" w:fill="auto"/>
          </w:tcPr>
          <w:p w14:paraId="32C70686"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18522164"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14" w:type="dxa"/>
            <w:shd w:val="clear" w:color="auto" w:fill="auto"/>
          </w:tcPr>
          <w:p w14:paraId="21D7C396"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6D770531"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54" w:type="dxa"/>
            <w:shd w:val="clear" w:color="auto" w:fill="00B050"/>
          </w:tcPr>
          <w:p w14:paraId="0A0F0F62"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7ECDC956"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(4)</w:t>
            </w:r>
          </w:p>
        </w:tc>
        <w:tc>
          <w:tcPr>
            <w:tcW w:w="1064" w:type="dxa"/>
            <w:shd w:val="clear" w:color="auto" w:fill="auto"/>
          </w:tcPr>
          <w:p w14:paraId="37B1E4EC" w14:textId="77777777" w:rsidR="002C16B4" w:rsidRPr="007F78CE" w:rsidRDefault="002C16B4" w:rsidP="00B63C19">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c>
          <w:tcPr>
            <w:tcW w:w="835" w:type="dxa"/>
            <w:shd w:val="clear" w:color="auto" w:fill="538135"/>
          </w:tcPr>
          <w:p w14:paraId="3EA8152A" w14:textId="77777777" w:rsidR="002C16B4" w:rsidRPr="007F78CE" w:rsidRDefault="002C16B4" w:rsidP="00B63C19">
            <w:pPr>
              <w:spacing w:after="0" w:line="240" w:lineRule="auto"/>
              <w:contextualSpacing/>
              <w:jc w:val="center"/>
              <w:rPr>
                <w:rFonts w:ascii="Arial Narrow" w:hAnsi="Arial Narrow" w:cs="Arial"/>
                <w:sz w:val="20"/>
                <w:szCs w:val="20"/>
              </w:rPr>
            </w:pPr>
            <w:r w:rsidRPr="00F76674">
              <w:rPr>
                <w:rFonts w:ascii="Arial Narrow" w:hAnsi="Arial Narrow" w:cs="Arial"/>
                <w:sz w:val="20"/>
                <w:szCs w:val="20"/>
              </w:rPr>
              <w:t>Très faible</w:t>
            </w:r>
          </w:p>
        </w:tc>
      </w:tr>
      <w:tr w:rsidR="00345918" w:rsidRPr="007F78CE" w14:paraId="7B02BF81" w14:textId="77777777" w:rsidTr="00FB04F6">
        <w:trPr>
          <w:jc w:val="center"/>
        </w:trPr>
        <w:tc>
          <w:tcPr>
            <w:tcW w:w="1839" w:type="dxa"/>
          </w:tcPr>
          <w:p w14:paraId="3D331C4C" w14:textId="77777777" w:rsidR="002C16B4" w:rsidRPr="007F78CE" w:rsidRDefault="002C16B4" w:rsidP="00B434A6">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28" w:type="dxa"/>
            <w:shd w:val="clear" w:color="auto" w:fill="auto"/>
          </w:tcPr>
          <w:p w14:paraId="6CD1676C" w14:textId="77777777" w:rsidR="002C16B4" w:rsidRPr="007F78CE" w:rsidRDefault="002C16B4" w:rsidP="00B63C19">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387995F1"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75" w:type="dxa"/>
            <w:shd w:val="clear" w:color="auto" w:fill="auto"/>
          </w:tcPr>
          <w:p w14:paraId="2B7A1432"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05658D3F"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879" w:type="dxa"/>
            <w:shd w:val="clear" w:color="auto" w:fill="auto"/>
          </w:tcPr>
          <w:p w14:paraId="23E85D84"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24584A33"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14" w:type="dxa"/>
            <w:shd w:val="clear" w:color="auto" w:fill="auto"/>
          </w:tcPr>
          <w:p w14:paraId="6A2357AC"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68E756D2"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54" w:type="dxa"/>
            <w:shd w:val="clear" w:color="auto" w:fill="00B050"/>
          </w:tcPr>
          <w:p w14:paraId="0DFAA15D"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630D35EA"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(4)</w:t>
            </w:r>
          </w:p>
        </w:tc>
        <w:tc>
          <w:tcPr>
            <w:tcW w:w="1064" w:type="dxa"/>
            <w:shd w:val="clear" w:color="auto" w:fill="auto"/>
          </w:tcPr>
          <w:p w14:paraId="0CDA36A4" w14:textId="77777777" w:rsidR="002C16B4" w:rsidRPr="007F78CE" w:rsidRDefault="002C16B4" w:rsidP="00B63C19">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c>
          <w:tcPr>
            <w:tcW w:w="835" w:type="dxa"/>
            <w:shd w:val="clear" w:color="auto" w:fill="538135"/>
          </w:tcPr>
          <w:p w14:paraId="2A6EE2E2" w14:textId="77777777" w:rsidR="002C16B4" w:rsidRPr="007F78CE" w:rsidRDefault="002C16B4" w:rsidP="00B63C19">
            <w:pPr>
              <w:spacing w:after="0" w:line="240" w:lineRule="auto"/>
              <w:contextualSpacing/>
              <w:jc w:val="center"/>
              <w:rPr>
                <w:rFonts w:ascii="Arial Narrow" w:hAnsi="Arial Narrow" w:cs="Arial"/>
                <w:sz w:val="20"/>
                <w:szCs w:val="20"/>
              </w:rPr>
            </w:pPr>
            <w:r w:rsidRPr="00F76674">
              <w:rPr>
                <w:rFonts w:ascii="Arial Narrow" w:hAnsi="Arial Narrow" w:cs="Arial"/>
                <w:sz w:val="20"/>
                <w:szCs w:val="20"/>
              </w:rPr>
              <w:t>Très faible</w:t>
            </w:r>
          </w:p>
        </w:tc>
      </w:tr>
      <w:tr w:rsidR="00345918" w:rsidRPr="007F78CE" w14:paraId="0C496574" w14:textId="77777777" w:rsidTr="00FB04F6">
        <w:trPr>
          <w:jc w:val="center"/>
        </w:trPr>
        <w:tc>
          <w:tcPr>
            <w:tcW w:w="1839" w:type="dxa"/>
          </w:tcPr>
          <w:p w14:paraId="3379BC0A" w14:textId="77777777" w:rsidR="002C16B4" w:rsidRPr="007F78CE" w:rsidRDefault="002C16B4" w:rsidP="00B434A6">
            <w:pPr>
              <w:spacing w:after="0" w:line="240" w:lineRule="auto"/>
              <w:contextualSpacing/>
              <w:rPr>
                <w:rFonts w:ascii="Arial Narrow" w:hAnsi="Arial Narrow" w:cs="Arial"/>
                <w:sz w:val="20"/>
                <w:szCs w:val="20"/>
              </w:rPr>
            </w:pPr>
            <w:r>
              <w:rPr>
                <w:rFonts w:ascii="Arial Narrow" w:hAnsi="Arial Narrow" w:cs="Arial"/>
                <w:sz w:val="20"/>
                <w:szCs w:val="20"/>
              </w:rPr>
              <w:t>Réseau électrique</w:t>
            </w:r>
          </w:p>
        </w:tc>
        <w:tc>
          <w:tcPr>
            <w:tcW w:w="1028" w:type="dxa"/>
            <w:shd w:val="clear" w:color="auto" w:fill="auto"/>
          </w:tcPr>
          <w:p w14:paraId="602F8EFE" w14:textId="77777777" w:rsidR="002C16B4" w:rsidRPr="007F78CE" w:rsidRDefault="002C16B4" w:rsidP="00B63C19">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1B8D8B6E"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75" w:type="dxa"/>
            <w:shd w:val="clear" w:color="auto" w:fill="auto"/>
          </w:tcPr>
          <w:p w14:paraId="202AB6AE"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21AF0223"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879" w:type="dxa"/>
            <w:shd w:val="clear" w:color="auto" w:fill="auto"/>
          </w:tcPr>
          <w:p w14:paraId="51F1B2C9"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40649A18"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14" w:type="dxa"/>
            <w:shd w:val="clear" w:color="auto" w:fill="auto"/>
          </w:tcPr>
          <w:p w14:paraId="6E7852B9"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190A7267"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54" w:type="dxa"/>
            <w:shd w:val="clear" w:color="auto" w:fill="00B050"/>
          </w:tcPr>
          <w:p w14:paraId="40D3A22C"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12015A23"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(4)</w:t>
            </w:r>
          </w:p>
        </w:tc>
        <w:tc>
          <w:tcPr>
            <w:tcW w:w="1064" w:type="dxa"/>
            <w:shd w:val="clear" w:color="auto" w:fill="auto"/>
          </w:tcPr>
          <w:p w14:paraId="58EBB69F" w14:textId="77777777" w:rsidR="002C16B4" w:rsidRPr="007F78CE" w:rsidRDefault="002C16B4" w:rsidP="00B63C19">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c>
          <w:tcPr>
            <w:tcW w:w="835" w:type="dxa"/>
            <w:shd w:val="clear" w:color="auto" w:fill="538135"/>
          </w:tcPr>
          <w:p w14:paraId="65C9DDA8" w14:textId="77777777" w:rsidR="002C16B4" w:rsidRPr="007F78CE" w:rsidRDefault="002C16B4" w:rsidP="00B63C19">
            <w:pPr>
              <w:spacing w:after="0" w:line="240" w:lineRule="auto"/>
              <w:contextualSpacing/>
              <w:jc w:val="center"/>
              <w:rPr>
                <w:rFonts w:ascii="Arial Narrow" w:hAnsi="Arial Narrow" w:cs="Arial"/>
                <w:sz w:val="20"/>
                <w:szCs w:val="20"/>
              </w:rPr>
            </w:pPr>
            <w:r w:rsidRPr="00F76674">
              <w:rPr>
                <w:rFonts w:ascii="Arial Narrow" w:hAnsi="Arial Narrow" w:cs="Arial"/>
                <w:sz w:val="20"/>
                <w:szCs w:val="20"/>
              </w:rPr>
              <w:t>Très faible</w:t>
            </w:r>
          </w:p>
        </w:tc>
      </w:tr>
      <w:tr w:rsidR="001716F8" w:rsidRPr="007F78CE" w14:paraId="4662E0C2" w14:textId="77777777" w:rsidTr="00FB04F6">
        <w:trPr>
          <w:jc w:val="center"/>
        </w:trPr>
        <w:tc>
          <w:tcPr>
            <w:tcW w:w="1839" w:type="dxa"/>
          </w:tcPr>
          <w:p w14:paraId="76C5CA6F" w14:textId="77777777" w:rsidR="001716F8" w:rsidRDefault="001716F8" w:rsidP="00B434A6">
            <w:pPr>
              <w:spacing w:after="0" w:line="240" w:lineRule="auto"/>
              <w:contextualSpacing/>
              <w:rPr>
                <w:rFonts w:ascii="Arial Narrow" w:hAnsi="Arial Narrow" w:cs="Arial"/>
                <w:sz w:val="20"/>
                <w:szCs w:val="20"/>
              </w:rPr>
            </w:pPr>
            <w:r>
              <w:rPr>
                <w:rFonts w:ascii="Arial Narrow" w:hAnsi="Arial Narrow" w:cs="Arial"/>
                <w:sz w:val="20"/>
                <w:szCs w:val="20"/>
              </w:rPr>
              <w:t>Impact cummulé</w:t>
            </w:r>
          </w:p>
        </w:tc>
        <w:tc>
          <w:tcPr>
            <w:tcW w:w="1028" w:type="dxa"/>
            <w:shd w:val="clear" w:color="auto" w:fill="auto"/>
          </w:tcPr>
          <w:p w14:paraId="1CF4067A" w14:textId="77777777" w:rsidR="001716F8" w:rsidRPr="007F78CE" w:rsidRDefault="001716F8" w:rsidP="00D70FB3">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58A93D6D" w14:textId="77777777" w:rsidR="001716F8" w:rsidRPr="007F78CE" w:rsidRDefault="001716F8"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75" w:type="dxa"/>
            <w:shd w:val="clear" w:color="auto" w:fill="auto"/>
          </w:tcPr>
          <w:p w14:paraId="6FA666E5"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5DC65966" w14:textId="77777777" w:rsidR="001716F8" w:rsidRPr="007F78CE" w:rsidRDefault="001716F8"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879" w:type="dxa"/>
            <w:shd w:val="clear" w:color="auto" w:fill="auto"/>
          </w:tcPr>
          <w:p w14:paraId="1D6081C9"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1A5FCCCB" w14:textId="77777777" w:rsidR="001716F8" w:rsidRPr="007F78CE" w:rsidRDefault="001716F8"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14" w:type="dxa"/>
            <w:shd w:val="clear" w:color="auto" w:fill="auto"/>
          </w:tcPr>
          <w:p w14:paraId="68405A3D"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07D2D5D7" w14:textId="77777777" w:rsidR="001716F8" w:rsidRPr="007F78CE" w:rsidRDefault="001716F8"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54" w:type="dxa"/>
            <w:shd w:val="clear" w:color="auto" w:fill="00B050"/>
          </w:tcPr>
          <w:p w14:paraId="3E62605D"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5F179FA8" w14:textId="77777777" w:rsidR="001716F8" w:rsidRPr="007F78CE" w:rsidRDefault="001716F8"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(4)</w:t>
            </w:r>
          </w:p>
        </w:tc>
        <w:tc>
          <w:tcPr>
            <w:tcW w:w="1064" w:type="dxa"/>
            <w:shd w:val="clear" w:color="auto" w:fill="auto"/>
          </w:tcPr>
          <w:p w14:paraId="2854E200" w14:textId="77777777" w:rsidR="001716F8" w:rsidRPr="00FC0D50" w:rsidRDefault="001716F8" w:rsidP="00B63C19">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c>
          <w:tcPr>
            <w:tcW w:w="835" w:type="dxa"/>
            <w:shd w:val="clear" w:color="auto" w:fill="538135"/>
          </w:tcPr>
          <w:p w14:paraId="5B6ED80A" w14:textId="77777777" w:rsidR="001716F8" w:rsidRPr="00F76674" w:rsidRDefault="001716F8" w:rsidP="00B63C19">
            <w:pPr>
              <w:spacing w:after="0" w:line="240" w:lineRule="auto"/>
              <w:contextualSpacing/>
              <w:jc w:val="center"/>
              <w:rPr>
                <w:rFonts w:ascii="Arial Narrow" w:hAnsi="Arial Narrow" w:cs="Arial"/>
                <w:sz w:val="20"/>
                <w:szCs w:val="20"/>
              </w:rPr>
            </w:pPr>
            <w:r w:rsidRPr="00F76674">
              <w:rPr>
                <w:rFonts w:ascii="Arial Narrow" w:hAnsi="Arial Narrow" w:cs="Arial"/>
                <w:sz w:val="20"/>
                <w:szCs w:val="20"/>
              </w:rPr>
              <w:t>Très faible</w:t>
            </w:r>
          </w:p>
        </w:tc>
      </w:tr>
    </w:tbl>
    <w:p w14:paraId="5A55463F" w14:textId="77777777" w:rsidR="0090044A" w:rsidRPr="00EF6AB4" w:rsidRDefault="0090044A" w:rsidP="00A31C26">
      <w:pPr>
        <w:pStyle w:val="Style9"/>
        <w:ind w:left="2856"/>
      </w:pPr>
      <w:bookmarkStart w:id="983" w:name="_Toc98192345"/>
      <w:bookmarkStart w:id="984" w:name="_Toc97835152"/>
      <w:r w:rsidRPr="00EF6AB4">
        <w:t>Impact sur le milieu humain</w:t>
      </w:r>
      <w:bookmarkEnd w:id="983"/>
      <w:bookmarkEnd w:id="984"/>
    </w:p>
    <w:p w14:paraId="1474BB93" w14:textId="77777777" w:rsidR="0090044A" w:rsidRPr="00EF6AB4" w:rsidRDefault="0090044A" w:rsidP="00F01166">
      <w:pPr>
        <w:pStyle w:val="Normal12"/>
        <w:numPr>
          <w:ilvl w:val="0"/>
          <w:numId w:val="85"/>
        </w:numPr>
        <w:spacing w:before="120" w:after="120"/>
        <w:contextualSpacing/>
        <w:rPr>
          <w:i/>
          <w:iCs/>
          <w:lang w:val="fr-FR"/>
        </w:rPr>
      </w:pPr>
      <w:r w:rsidRPr="00EF6AB4">
        <w:rPr>
          <w:i/>
          <w:iCs/>
          <w:lang w:val="fr-FR"/>
        </w:rPr>
        <w:t>Perte de travail pour les ouvriers non permanents</w:t>
      </w:r>
    </w:p>
    <w:p w14:paraId="5D4CC454" w14:textId="77777777" w:rsidR="00C57CFD" w:rsidRDefault="0090044A" w:rsidP="00C57CFD">
      <w:pPr>
        <w:spacing w:line="240" w:lineRule="auto"/>
        <w:jc w:val="both"/>
        <w:rPr>
          <w:rFonts w:ascii="Arial" w:hAnsi="Arial" w:cs="Arial"/>
        </w:rPr>
      </w:pPr>
      <w:r w:rsidRPr="008D2A01">
        <w:rPr>
          <w:rFonts w:ascii="Arial" w:hAnsi="Arial" w:cs="Arial"/>
        </w:rPr>
        <w:t>Une fois l’entreprise partie, certains travailleurs se trouveront alors sans travail. Ils peuvent ainsi chômer pendant un certain temps avant de retrouver un autre emploi. Cet impact peut être considéré comme d’importance « moyenne »</w:t>
      </w:r>
      <w:r w:rsidR="008325C4">
        <w:rPr>
          <w:rFonts w:ascii="Arial" w:hAnsi="Arial" w:cs="Arial"/>
        </w:rPr>
        <w:t xml:space="preserve"> </w:t>
      </w:r>
      <w:r w:rsidR="002C16B4">
        <w:rPr>
          <w:rFonts w:ascii="Arial" w:hAnsi="Arial" w:cs="Arial"/>
        </w:rPr>
        <w:t xml:space="preserve">avec un niveau de risque très faible </w:t>
      </w:r>
      <w:r w:rsidR="008325C4">
        <w:rPr>
          <w:rFonts w:ascii="Arial" w:hAnsi="Arial" w:cs="Arial"/>
        </w:rPr>
        <w:t xml:space="preserve">(cf tableau </w:t>
      </w:r>
      <w:r w:rsidR="002C16B4">
        <w:rPr>
          <w:rFonts w:ascii="Arial" w:hAnsi="Arial" w:cs="Arial"/>
        </w:rPr>
        <w:t>suivant</w:t>
      </w:r>
      <w:r w:rsidR="008325C4">
        <w:rPr>
          <w:rFonts w:ascii="Arial" w:hAnsi="Arial" w:cs="Arial"/>
        </w:rPr>
        <w:t>)</w:t>
      </w:r>
      <w:r w:rsidRPr="008D2A01">
        <w:rPr>
          <w:rFonts w:ascii="Arial" w:hAnsi="Arial" w:cs="Arial"/>
        </w:rPr>
        <w:t>.</w:t>
      </w:r>
      <w:bookmarkStart w:id="985" w:name="_Toc100753936"/>
    </w:p>
    <w:p w14:paraId="6514A0C2" w14:textId="77777777" w:rsidR="0090044A" w:rsidRPr="002E58DC" w:rsidRDefault="0090044A" w:rsidP="00B434A6">
      <w:pPr>
        <w:pStyle w:val="Lgende"/>
        <w:spacing w:before="120"/>
        <w:jc w:val="center"/>
        <w:rPr>
          <w:sz w:val="20"/>
        </w:rPr>
      </w:pPr>
      <w:bookmarkStart w:id="986" w:name="_Toc127957843"/>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47</w:t>
      </w:r>
      <w:r w:rsidRPr="002E58DC">
        <w:rPr>
          <w:sz w:val="20"/>
        </w:rPr>
        <w:fldChar w:fldCharType="end"/>
      </w:r>
      <w:r w:rsidRPr="002E58DC">
        <w:rPr>
          <w:sz w:val="20"/>
        </w:rPr>
        <w:t xml:space="preserve">. Evaluation </w:t>
      </w:r>
      <w:r w:rsidR="00324908">
        <w:rPr>
          <w:sz w:val="20"/>
        </w:rPr>
        <w:t xml:space="preserve">de </w:t>
      </w:r>
      <w:r w:rsidRPr="002E58DC">
        <w:rPr>
          <w:sz w:val="20"/>
        </w:rPr>
        <w:t>l’impact –Perte de revenu pour les employés temporaires du projet</w:t>
      </w:r>
      <w:bookmarkEnd w:id="985"/>
      <w:bookmarkEnd w:id="986"/>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1008"/>
        <w:gridCol w:w="1061"/>
        <w:gridCol w:w="979"/>
        <w:gridCol w:w="1297"/>
        <w:gridCol w:w="1232"/>
        <w:gridCol w:w="1064"/>
        <w:gridCol w:w="808"/>
        <w:tblGridChange w:id="987">
          <w:tblGrid>
            <w:gridCol w:w="1839"/>
            <w:gridCol w:w="1008"/>
            <w:gridCol w:w="1061"/>
            <w:gridCol w:w="979"/>
            <w:gridCol w:w="1297"/>
            <w:gridCol w:w="1232"/>
            <w:gridCol w:w="1064"/>
            <w:gridCol w:w="808"/>
          </w:tblGrid>
        </w:tblGridChange>
      </w:tblGrid>
      <w:tr w:rsidR="002C16B4" w:rsidRPr="007F78CE" w14:paraId="2F53E6B2" w14:textId="77777777" w:rsidTr="00345918">
        <w:trPr>
          <w:jc w:val="center"/>
        </w:trPr>
        <w:tc>
          <w:tcPr>
            <w:tcW w:w="1839" w:type="dxa"/>
            <w:shd w:val="clear" w:color="auto" w:fill="BFBFBF"/>
          </w:tcPr>
          <w:p w14:paraId="63680EF0" w14:textId="77777777" w:rsidR="002C16B4" w:rsidRPr="007F78CE" w:rsidRDefault="00A73AF6" w:rsidP="007F78CE">
            <w:pPr>
              <w:spacing w:after="0" w:line="240" w:lineRule="auto"/>
              <w:rPr>
                <w:rFonts w:ascii="Arial Narrow" w:hAnsi="Arial Narrow"/>
                <w:b/>
                <w:bCs/>
                <w:sz w:val="20"/>
                <w:szCs w:val="20"/>
              </w:rPr>
            </w:pPr>
            <w:r>
              <w:rPr>
                <w:rFonts w:ascii="Arial Narrow" w:hAnsi="Arial Narrow"/>
                <w:b/>
                <w:bCs/>
                <w:sz w:val="20"/>
                <w:szCs w:val="20"/>
              </w:rPr>
              <w:t>Sous Projet</w:t>
            </w:r>
          </w:p>
        </w:tc>
        <w:tc>
          <w:tcPr>
            <w:tcW w:w="1008" w:type="dxa"/>
            <w:shd w:val="clear" w:color="auto" w:fill="BFBFBF"/>
          </w:tcPr>
          <w:p w14:paraId="2A11EC93" w14:textId="77777777" w:rsidR="002C16B4" w:rsidRPr="007F78CE" w:rsidRDefault="002C16B4"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061" w:type="dxa"/>
            <w:shd w:val="clear" w:color="auto" w:fill="BFBFBF"/>
          </w:tcPr>
          <w:p w14:paraId="0CAD7FA6" w14:textId="77777777" w:rsidR="002C16B4" w:rsidRPr="007F78CE" w:rsidRDefault="002C16B4"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979" w:type="dxa"/>
            <w:shd w:val="clear" w:color="auto" w:fill="BFBFBF"/>
          </w:tcPr>
          <w:p w14:paraId="7706B847" w14:textId="77777777" w:rsidR="002C16B4" w:rsidRPr="007F78CE" w:rsidRDefault="002C16B4"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297" w:type="dxa"/>
            <w:shd w:val="clear" w:color="auto" w:fill="BFBFBF"/>
          </w:tcPr>
          <w:p w14:paraId="57D865BE" w14:textId="77777777" w:rsidR="002C16B4" w:rsidRPr="007F78CE" w:rsidRDefault="002C16B4"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232" w:type="dxa"/>
            <w:shd w:val="clear" w:color="auto" w:fill="BFBFBF"/>
          </w:tcPr>
          <w:p w14:paraId="23C3FDDF" w14:textId="77777777" w:rsidR="002C16B4" w:rsidRPr="007F78CE" w:rsidRDefault="002C16B4"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auto"/>
          </w:tcPr>
          <w:p w14:paraId="30EF114E" w14:textId="77777777" w:rsidR="002C16B4" w:rsidRPr="007F78CE" w:rsidRDefault="002C16B4"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808" w:type="dxa"/>
            <w:shd w:val="clear" w:color="auto" w:fill="auto"/>
          </w:tcPr>
          <w:p w14:paraId="5E77A724" w14:textId="77777777" w:rsidR="002C16B4" w:rsidRPr="007F78CE" w:rsidRDefault="002C16B4" w:rsidP="007F78CE">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345918" w:rsidRPr="007F78CE" w14:paraId="2A4C9CCE" w14:textId="77777777" w:rsidTr="00FB04F6">
        <w:trPr>
          <w:jc w:val="center"/>
        </w:trPr>
        <w:tc>
          <w:tcPr>
            <w:tcW w:w="1839" w:type="dxa"/>
          </w:tcPr>
          <w:p w14:paraId="40C6139B" w14:textId="77777777" w:rsidR="002C16B4" w:rsidRPr="007F78CE" w:rsidRDefault="002C16B4" w:rsidP="00345918">
            <w:pPr>
              <w:spacing w:after="0" w:line="240" w:lineRule="auto"/>
              <w:contextualSpacing/>
              <w:rPr>
                <w:rFonts w:ascii="Arial Narrow" w:hAnsi="Arial Narrow" w:cs="Arial"/>
                <w:sz w:val="20"/>
                <w:szCs w:val="20"/>
              </w:rPr>
            </w:pPr>
            <w:r>
              <w:rPr>
                <w:rFonts w:ascii="Arial Narrow" w:hAnsi="Arial Narrow" w:cs="Arial"/>
                <w:sz w:val="20"/>
                <w:szCs w:val="20"/>
              </w:rPr>
              <w:t>Infrastructures numérique</w:t>
            </w:r>
            <w:r w:rsidR="00A73AF6">
              <w:rPr>
                <w:rFonts w:ascii="Arial Narrow" w:hAnsi="Arial Narrow" w:cs="Arial"/>
                <w:sz w:val="20"/>
                <w:szCs w:val="20"/>
              </w:rPr>
              <w:t>s</w:t>
            </w:r>
          </w:p>
        </w:tc>
        <w:tc>
          <w:tcPr>
            <w:tcW w:w="1008" w:type="dxa"/>
            <w:shd w:val="clear" w:color="auto" w:fill="auto"/>
          </w:tcPr>
          <w:p w14:paraId="09EAEC17" w14:textId="77777777" w:rsidR="002C16B4" w:rsidRPr="007F78CE" w:rsidRDefault="002C16B4"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146FEC79"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61" w:type="dxa"/>
            <w:shd w:val="clear" w:color="auto" w:fill="auto"/>
          </w:tcPr>
          <w:p w14:paraId="24CFA7B0"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4D60DA96"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79" w:type="dxa"/>
            <w:shd w:val="clear" w:color="auto" w:fill="auto"/>
          </w:tcPr>
          <w:p w14:paraId="17AE898E"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1DDFD6FE"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97" w:type="dxa"/>
            <w:shd w:val="clear" w:color="auto" w:fill="auto"/>
          </w:tcPr>
          <w:p w14:paraId="2F478FE9"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6768BBFA"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32" w:type="dxa"/>
            <w:shd w:val="clear" w:color="auto" w:fill="00B050"/>
          </w:tcPr>
          <w:p w14:paraId="380059F6"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0087FAAD"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tcPr>
          <w:p w14:paraId="7BA87D2F" w14:textId="77777777" w:rsidR="002C16B4" w:rsidRPr="007F78CE" w:rsidRDefault="002C16B4" w:rsidP="007F78CE">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c>
          <w:tcPr>
            <w:tcW w:w="808" w:type="dxa"/>
            <w:shd w:val="clear" w:color="auto" w:fill="538135"/>
          </w:tcPr>
          <w:p w14:paraId="09D77914" w14:textId="77777777" w:rsidR="002C16B4" w:rsidRPr="007F78CE" w:rsidRDefault="002C16B4" w:rsidP="007F78CE">
            <w:pPr>
              <w:spacing w:after="0" w:line="240" w:lineRule="auto"/>
              <w:contextualSpacing/>
              <w:jc w:val="center"/>
              <w:rPr>
                <w:rFonts w:ascii="Arial Narrow" w:hAnsi="Arial Narrow" w:cs="Arial"/>
                <w:sz w:val="20"/>
                <w:szCs w:val="20"/>
              </w:rPr>
            </w:pPr>
            <w:r w:rsidRPr="00F76674">
              <w:rPr>
                <w:rFonts w:ascii="Arial Narrow" w:hAnsi="Arial Narrow" w:cs="Arial"/>
                <w:sz w:val="20"/>
                <w:szCs w:val="20"/>
              </w:rPr>
              <w:t>Très faible</w:t>
            </w:r>
          </w:p>
        </w:tc>
      </w:tr>
      <w:tr w:rsidR="00345918" w:rsidRPr="007F78CE" w14:paraId="1DA47B82" w14:textId="77777777" w:rsidTr="00FB04F6">
        <w:trPr>
          <w:jc w:val="center"/>
        </w:trPr>
        <w:tc>
          <w:tcPr>
            <w:tcW w:w="1839" w:type="dxa"/>
          </w:tcPr>
          <w:p w14:paraId="58284893" w14:textId="77777777" w:rsidR="002C16B4" w:rsidRPr="007F78CE" w:rsidRDefault="002C16B4" w:rsidP="00B434A6">
            <w:pPr>
              <w:spacing w:after="0" w:line="240" w:lineRule="auto"/>
              <w:contextualSpacing/>
              <w:rPr>
                <w:rFonts w:ascii="Arial Narrow" w:hAnsi="Arial Narrow" w:cs="Arial"/>
                <w:sz w:val="20"/>
                <w:szCs w:val="20"/>
              </w:rPr>
            </w:pPr>
            <w:r>
              <w:rPr>
                <w:rFonts w:ascii="Arial Narrow" w:hAnsi="Arial Narrow" w:cs="Arial"/>
                <w:sz w:val="20"/>
                <w:szCs w:val="20"/>
              </w:rPr>
              <w:t>Centrale électrique solaire</w:t>
            </w:r>
          </w:p>
        </w:tc>
        <w:tc>
          <w:tcPr>
            <w:tcW w:w="1008" w:type="dxa"/>
            <w:shd w:val="clear" w:color="auto" w:fill="auto"/>
          </w:tcPr>
          <w:p w14:paraId="1C752305" w14:textId="77777777" w:rsidR="002C16B4" w:rsidRPr="007F78CE" w:rsidRDefault="002C16B4" w:rsidP="00B63C19">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54CD34B5"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61" w:type="dxa"/>
            <w:shd w:val="clear" w:color="auto" w:fill="auto"/>
          </w:tcPr>
          <w:p w14:paraId="5F6BDEF1"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48549F90"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79" w:type="dxa"/>
            <w:shd w:val="clear" w:color="auto" w:fill="auto"/>
          </w:tcPr>
          <w:p w14:paraId="717A333F"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780CF337"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97" w:type="dxa"/>
            <w:shd w:val="clear" w:color="auto" w:fill="auto"/>
          </w:tcPr>
          <w:p w14:paraId="23DB8496"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377A2EDB"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32" w:type="dxa"/>
            <w:shd w:val="clear" w:color="auto" w:fill="00B050"/>
          </w:tcPr>
          <w:p w14:paraId="65646285"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572475C9"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tcPr>
          <w:p w14:paraId="2CC78852" w14:textId="77777777" w:rsidR="002C16B4" w:rsidRPr="007F78CE" w:rsidRDefault="002C16B4" w:rsidP="00B63C19">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c>
          <w:tcPr>
            <w:tcW w:w="808" w:type="dxa"/>
            <w:shd w:val="clear" w:color="auto" w:fill="538135"/>
          </w:tcPr>
          <w:p w14:paraId="7DC585A1" w14:textId="77777777" w:rsidR="002C16B4" w:rsidRPr="007F78CE" w:rsidRDefault="002C16B4" w:rsidP="00B63C19">
            <w:pPr>
              <w:spacing w:after="0" w:line="240" w:lineRule="auto"/>
              <w:contextualSpacing/>
              <w:jc w:val="center"/>
              <w:rPr>
                <w:rFonts w:ascii="Arial Narrow" w:hAnsi="Arial Narrow" w:cs="Arial"/>
                <w:sz w:val="20"/>
                <w:szCs w:val="20"/>
              </w:rPr>
            </w:pPr>
            <w:r w:rsidRPr="00F76674">
              <w:rPr>
                <w:rFonts w:ascii="Arial Narrow" w:hAnsi="Arial Narrow" w:cs="Arial"/>
                <w:sz w:val="20"/>
                <w:szCs w:val="20"/>
              </w:rPr>
              <w:t>Très faible</w:t>
            </w:r>
          </w:p>
        </w:tc>
      </w:tr>
      <w:tr w:rsidR="00345918" w:rsidRPr="007F78CE" w14:paraId="268C40A0" w14:textId="77777777" w:rsidTr="00FB04F6">
        <w:trPr>
          <w:jc w:val="center"/>
        </w:trPr>
        <w:tc>
          <w:tcPr>
            <w:tcW w:w="1839" w:type="dxa"/>
          </w:tcPr>
          <w:p w14:paraId="4A22F42E" w14:textId="77777777" w:rsidR="002C16B4" w:rsidRPr="007F78CE" w:rsidRDefault="002C16B4" w:rsidP="00B434A6">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08" w:type="dxa"/>
            <w:shd w:val="clear" w:color="auto" w:fill="auto"/>
          </w:tcPr>
          <w:p w14:paraId="39FE6D44" w14:textId="77777777" w:rsidR="002C16B4" w:rsidRPr="007F78CE" w:rsidRDefault="002C16B4" w:rsidP="00B63C19">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70B29A66"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61" w:type="dxa"/>
            <w:shd w:val="clear" w:color="auto" w:fill="auto"/>
          </w:tcPr>
          <w:p w14:paraId="0EDA2CF3"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62FB1D59"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79" w:type="dxa"/>
            <w:shd w:val="clear" w:color="auto" w:fill="auto"/>
          </w:tcPr>
          <w:p w14:paraId="56A1CC94"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18321D2A"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97" w:type="dxa"/>
            <w:shd w:val="clear" w:color="auto" w:fill="auto"/>
          </w:tcPr>
          <w:p w14:paraId="55958E1A"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65795DF9"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32" w:type="dxa"/>
            <w:shd w:val="clear" w:color="auto" w:fill="00B050"/>
          </w:tcPr>
          <w:p w14:paraId="7C171430"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1C6E6382"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tcPr>
          <w:p w14:paraId="51EC459F" w14:textId="77777777" w:rsidR="002C16B4" w:rsidRPr="007F78CE" w:rsidRDefault="002C16B4" w:rsidP="00B63C19">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c>
          <w:tcPr>
            <w:tcW w:w="808" w:type="dxa"/>
            <w:shd w:val="clear" w:color="auto" w:fill="538135"/>
          </w:tcPr>
          <w:p w14:paraId="7037C4F8" w14:textId="77777777" w:rsidR="002C16B4" w:rsidRPr="007F78CE" w:rsidRDefault="002C16B4" w:rsidP="00B63C19">
            <w:pPr>
              <w:spacing w:after="0" w:line="240" w:lineRule="auto"/>
              <w:contextualSpacing/>
              <w:jc w:val="center"/>
              <w:rPr>
                <w:rFonts w:ascii="Arial Narrow" w:hAnsi="Arial Narrow" w:cs="Arial"/>
                <w:sz w:val="20"/>
                <w:szCs w:val="20"/>
              </w:rPr>
            </w:pPr>
            <w:r w:rsidRPr="00F76674">
              <w:rPr>
                <w:rFonts w:ascii="Arial Narrow" w:hAnsi="Arial Narrow" w:cs="Arial"/>
                <w:sz w:val="20"/>
                <w:szCs w:val="20"/>
              </w:rPr>
              <w:t>Très faible</w:t>
            </w:r>
          </w:p>
        </w:tc>
      </w:tr>
      <w:tr w:rsidR="00345918" w:rsidRPr="007F78CE" w14:paraId="6BFF75C9" w14:textId="77777777" w:rsidTr="00FB04F6">
        <w:trPr>
          <w:jc w:val="center"/>
        </w:trPr>
        <w:tc>
          <w:tcPr>
            <w:tcW w:w="1839" w:type="dxa"/>
          </w:tcPr>
          <w:p w14:paraId="6D980E91" w14:textId="77777777" w:rsidR="002C16B4" w:rsidRPr="007F78CE" w:rsidRDefault="002C16B4" w:rsidP="00B434A6">
            <w:pPr>
              <w:spacing w:after="0" w:line="240" w:lineRule="auto"/>
              <w:contextualSpacing/>
              <w:rPr>
                <w:rFonts w:ascii="Arial Narrow" w:hAnsi="Arial Narrow" w:cs="Arial"/>
                <w:sz w:val="20"/>
                <w:szCs w:val="20"/>
              </w:rPr>
            </w:pPr>
            <w:r>
              <w:rPr>
                <w:rFonts w:ascii="Arial Narrow" w:hAnsi="Arial Narrow" w:cs="Arial"/>
                <w:sz w:val="20"/>
                <w:szCs w:val="20"/>
              </w:rPr>
              <w:t>Réseau électrique</w:t>
            </w:r>
          </w:p>
        </w:tc>
        <w:tc>
          <w:tcPr>
            <w:tcW w:w="1008" w:type="dxa"/>
            <w:shd w:val="clear" w:color="auto" w:fill="auto"/>
          </w:tcPr>
          <w:p w14:paraId="7D73C5B6" w14:textId="77777777" w:rsidR="002C16B4" w:rsidRPr="007F78CE" w:rsidRDefault="002C16B4" w:rsidP="00B63C19">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5D74CCD4"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61" w:type="dxa"/>
            <w:shd w:val="clear" w:color="auto" w:fill="auto"/>
          </w:tcPr>
          <w:p w14:paraId="64E2C8A4"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6B381D6F"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79" w:type="dxa"/>
            <w:shd w:val="clear" w:color="auto" w:fill="auto"/>
          </w:tcPr>
          <w:p w14:paraId="62CE0DB4"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15F09F44"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97" w:type="dxa"/>
            <w:shd w:val="clear" w:color="auto" w:fill="auto"/>
          </w:tcPr>
          <w:p w14:paraId="4B1AA442"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581C466D"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32" w:type="dxa"/>
            <w:shd w:val="clear" w:color="auto" w:fill="00B050"/>
          </w:tcPr>
          <w:p w14:paraId="4FC6A441"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12983798"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tcPr>
          <w:p w14:paraId="74997DDC" w14:textId="77777777" w:rsidR="002C16B4" w:rsidRPr="007F78CE" w:rsidRDefault="002C16B4" w:rsidP="00B63C19">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c>
          <w:tcPr>
            <w:tcW w:w="808" w:type="dxa"/>
            <w:shd w:val="clear" w:color="auto" w:fill="538135"/>
          </w:tcPr>
          <w:p w14:paraId="3F7E513D" w14:textId="77777777" w:rsidR="002C16B4" w:rsidRPr="007F78CE" w:rsidRDefault="002C16B4" w:rsidP="00B63C19">
            <w:pPr>
              <w:spacing w:after="0" w:line="240" w:lineRule="auto"/>
              <w:contextualSpacing/>
              <w:jc w:val="center"/>
              <w:rPr>
                <w:rFonts w:ascii="Arial Narrow" w:hAnsi="Arial Narrow" w:cs="Arial"/>
                <w:sz w:val="20"/>
                <w:szCs w:val="20"/>
              </w:rPr>
            </w:pPr>
            <w:r w:rsidRPr="00F76674">
              <w:rPr>
                <w:rFonts w:ascii="Arial Narrow" w:hAnsi="Arial Narrow" w:cs="Arial"/>
                <w:sz w:val="20"/>
                <w:szCs w:val="20"/>
              </w:rPr>
              <w:t>Très faible</w:t>
            </w:r>
          </w:p>
        </w:tc>
      </w:tr>
      <w:tr w:rsidR="001716F8" w:rsidRPr="007F78CE" w14:paraId="5F7FAC97" w14:textId="77777777" w:rsidTr="00FB04F6">
        <w:trPr>
          <w:jc w:val="center"/>
        </w:trPr>
        <w:tc>
          <w:tcPr>
            <w:tcW w:w="1839" w:type="dxa"/>
          </w:tcPr>
          <w:p w14:paraId="42569E0D" w14:textId="77777777" w:rsidR="001716F8" w:rsidRDefault="001716F8" w:rsidP="00B434A6">
            <w:pPr>
              <w:spacing w:after="0" w:line="240" w:lineRule="auto"/>
              <w:contextualSpacing/>
              <w:rPr>
                <w:rFonts w:ascii="Arial Narrow" w:hAnsi="Arial Narrow" w:cs="Arial"/>
                <w:sz w:val="20"/>
                <w:szCs w:val="20"/>
              </w:rPr>
            </w:pPr>
            <w:r>
              <w:rPr>
                <w:rFonts w:ascii="Arial Narrow" w:hAnsi="Arial Narrow" w:cs="Arial"/>
                <w:sz w:val="20"/>
                <w:szCs w:val="20"/>
              </w:rPr>
              <w:t>Impact cummulé</w:t>
            </w:r>
          </w:p>
        </w:tc>
        <w:tc>
          <w:tcPr>
            <w:tcW w:w="1008" w:type="dxa"/>
            <w:shd w:val="clear" w:color="auto" w:fill="auto"/>
          </w:tcPr>
          <w:p w14:paraId="0FFA2048" w14:textId="77777777" w:rsidR="001716F8" w:rsidRPr="007F78CE" w:rsidRDefault="001716F8" w:rsidP="00D70FB3">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09B52F8B" w14:textId="77777777" w:rsidR="001716F8" w:rsidRPr="007F78CE" w:rsidRDefault="001716F8"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61" w:type="dxa"/>
            <w:shd w:val="clear" w:color="auto" w:fill="auto"/>
          </w:tcPr>
          <w:p w14:paraId="06EDA29E"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658446F0" w14:textId="77777777" w:rsidR="001716F8" w:rsidRPr="007F78CE" w:rsidRDefault="001716F8"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79" w:type="dxa"/>
            <w:shd w:val="clear" w:color="auto" w:fill="auto"/>
          </w:tcPr>
          <w:p w14:paraId="1EA2403A"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5186BF25" w14:textId="77777777" w:rsidR="001716F8" w:rsidRPr="007F78CE" w:rsidRDefault="001716F8"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97" w:type="dxa"/>
            <w:shd w:val="clear" w:color="auto" w:fill="auto"/>
          </w:tcPr>
          <w:p w14:paraId="395FD29F"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2C1FF1FC" w14:textId="77777777" w:rsidR="001716F8" w:rsidRPr="007F78CE" w:rsidRDefault="001716F8"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32" w:type="dxa"/>
            <w:shd w:val="clear" w:color="auto" w:fill="00B050"/>
          </w:tcPr>
          <w:p w14:paraId="60930A51"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03FFA0FE" w14:textId="77777777" w:rsidR="001716F8" w:rsidRPr="007F78CE" w:rsidRDefault="001716F8"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tcPr>
          <w:p w14:paraId="00CFE268" w14:textId="77777777" w:rsidR="001716F8" w:rsidRPr="00FC0D50" w:rsidRDefault="001716F8" w:rsidP="00B63C19">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c>
          <w:tcPr>
            <w:tcW w:w="808" w:type="dxa"/>
            <w:shd w:val="clear" w:color="auto" w:fill="538135"/>
          </w:tcPr>
          <w:p w14:paraId="422D50C0" w14:textId="77777777" w:rsidR="001716F8" w:rsidRPr="00F76674" w:rsidRDefault="001716F8" w:rsidP="00B63C19">
            <w:pPr>
              <w:spacing w:after="0" w:line="240" w:lineRule="auto"/>
              <w:contextualSpacing/>
              <w:jc w:val="center"/>
              <w:rPr>
                <w:rFonts w:ascii="Arial Narrow" w:hAnsi="Arial Narrow" w:cs="Arial"/>
                <w:sz w:val="20"/>
                <w:szCs w:val="20"/>
              </w:rPr>
            </w:pPr>
            <w:r w:rsidRPr="00F76674">
              <w:rPr>
                <w:rFonts w:ascii="Arial Narrow" w:hAnsi="Arial Narrow" w:cs="Arial"/>
                <w:sz w:val="20"/>
                <w:szCs w:val="20"/>
              </w:rPr>
              <w:t>Très faible</w:t>
            </w:r>
          </w:p>
        </w:tc>
      </w:tr>
    </w:tbl>
    <w:p w14:paraId="400D162A" w14:textId="77777777" w:rsidR="0090044A" w:rsidRPr="00403568" w:rsidRDefault="0090044A" w:rsidP="00687DD2">
      <w:pPr>
        <w:pStyle w:val="Normal12"/>
        <w:numPr>
          <w:ilvl w:val="0"/>
          <w:numId w:val="85"/>
        </w:numPr>
        <w:spacing w:before="100" w:beforeAutospacing="1" w:after="100" w:afterAutospacing="1"/>
        <w:ind w:left="1077" w:hanging="357"/>
        <w:contextualSpacing/>
        <w:rPr>
          <w:i/>
          <w:iCs/>
          <w:lang w:val="fr-FR"/>
        </w:rPr>
      </w:pPr>
      <w:r w:rsidRPr="00403568">
        <w:rPr>
          <w:i/>
          <w:iCs/>
          <w:lang w:val="fr-FR"/>
        </w:rPr>
        <w:t>Risque de conflit social à cause de non acquittement de dettes contractées par les ouvriers</w:t>
      </w:r>
    </w:p>
    <w:p w14:paraId="51182605" w14:textId="77777777" w:rsidR="0090044A" w:rsidRPr="008D2A01" w:rsidRDefault="0090044A" w:rsidP="008D2A01">
      <w:pPr>
        <w:spacing w:line="240" w:lineRule="auto"/>
        <w:jc w:val="both"/>
        <w:rPr>
          <w:rFonts w:ascii="Arial" w:hAnsi="Arial" w:cs="Arial"/>
        </w:rPr>
      </w:pPr>
      <w:r w:rsidRPr="008D2A01">
        <w:rPr>
          <w:rFonts w:ascii="Arial" w:hAnsi="Arial" w:cs="Arial"/>
        </w:rPr>
        <w:t>Au cours des travaux, certains ouvriers contractent des dettes auprès des locaux. A la fin de chantier, certains de ces ouvriers, pour diverses raisons peuvent passer outre ces dettes et causant ainsi la frustration des locaux vis-à-vis du projet voire une certaine méfiance dans tous les projets à venir.</w:t>
      </w:r>
      <w:r w:rsidR="008325C4">
        <w:rPr>
          <w:rFonts w:ascii="Arial" w:hAnsi="Arial" w:cs="Arial"/>
        </w:rPr>
        <w:t xml:space="preserve"> </w:t>
      </w:r>
      <w:r w:rsidR="008325C4" w:rsidRPr="00AE406E">
        <w:rPr>
          <w:rFonts w:ascii="Arial" w:hAnsi="Arial" w:cs="Arial"/>
        </w:rPr>
        <w:t>Le tableau  suivant décrit l’évaluation de l’impact/risque de conflit avec les locaux à cause de non-acquittement de dette contractée par les ouvriers</w:t>
      </w:r>
    </w:p>
    <w:p w14:paraId="267762B6" w14:textId="77777777" w:rsidR="0090044A" w:rsidRPr="002E58DC" w:rsidRDefault="0090044A" w:rsidP="002E58DC">
      <w:pPr>
        <w:pStyle w:val="Lgende"/>
        <w:spacing w:before="120"/>
        <w:jc w:val="center"/>
        <w:rPr>
          <w:sz w:val="20"/>
        </w:rPr>
      </w:pPr>
      <w:bookmarkStart w:id="988" w:name="_Toc100753937"/>
      <w:bookmarkStart w:id="989" w:name="_Toc127957844"/>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48</w:t>
      </w:r>
      <w:r w:rsidRPr="002E58DC">
        <w:rPr>
          <w:sz w:val="20"/>
        </w:rPr>
        <w:fldChar w:fldCharType="end"/>
      </w:r>
      <w:r w:rsidRPr="002E58DC">
        <w:rPr>
          <w:sz w:val="20"/>
        </w:rPr>
        <w:t xml:space="preserve">. Evaluation </w:t>
      </w:r>
      <w:r w:rsidR="00324908">
        <w:rPr>
          <w:sz w:val="20"/>
        </w:rPr>
        <w:t xml:space="preserve">de </w:t>
      </w:r>
      <w:r w:rsidRPr="002E58DC">
        <w:rPr>
          <w:sz w:val="20"/>
        </w:rPr>
        <w:t xml:space="preserve">l’impact – Risque de conflit avec les locaux à cause de non acquittement de </w:t>
      </w:r>
      <w:r w:rsidR="001C596F" w:rsidRPr="002E58DC">
        <w:rPr>
          <w:sz w:val="20"/>
        </w:rPr>
        <w:t>dette contractée</w:t>
      </w:r>
      <w:r w:rsidRPr="002E58DC">
        <w:rPr>
          <w:sz w:val="20"/>
        </w:rPr>
        <w:t xml:space="preserve"> par les ouvriers</w:t>
      </w:r>
      <w:bookmarkEnd w:id="988"/>
      <w:bookmarkEnd w:id="989"/>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042"/>
        <w:gridCol w:w="1015"/>
        <w:gridCol w:w="903"/>
        <w:gridCol w:w="1327"/>
        <w:gridCol w:w="1272"/>
        <w:gridCol w:w="1064"/>
        <w:gridCol w:w="848"/>
        <w:tblGridChange w:id="990">
          <w:tblGrid>
            <w:gridCol w:w="1817"/>
            <w:gridCol w:w="1042"/>
            <w:gridCol w:w="1015"/>
            <w:gridCol w:w="903"/>
            <w:gridCol w:w="1327"/>
            <w:gridCol w:w="1272"/>
            <w:gridCol w:w="1064"/>
            <w:gridCol w:w="848"/>
          </w:tblGrid>
        </w:tblGridChange>
      </w:tblGrid>
      <w:tr w:rsidR="002C16B4" w:rsidRPr="007F78CE" w14:paraId="378ABA12" w14:textId="77777777" w:rsidTr="00353921">
        <w:trPr>
          <w:tblHeader/>
          <w:jc w:val="center"/>
        </w:trPr>
        <w:tc>
          <w:tcPr>
            <w:tcW w:w="1817" w:type="dxa"/>
            <w:shd w:val="clear" w:color="auto" w:fill="BFBFBF"/>
          </w:tcPr>
          <w:p w14:paraId="4D12B23D" w14:textId="77777777" w:rsidR="002C16B4" w:rsidRPr="007F78CE" w:rsidRDefault="00A73AF6" w:rsidP="00353921">
            <w:pPr>
              <w:spacing w:after="0" w:line="240" w:lineRule="auto"/>
              <w:jc w:val="center"/>
              <w:rPr>
                <w:rFonts w:ascii="Arial Narrow" w:hAnsi="Arial Narrow"/>
                <w:b/>
                <w:bCs/>
                <w:sz w:val="20"/>
                <w:szCs w:val="20"/>
              </w:rPr>
            </w:pPr>
            <w:r>
              <w:rPr>
                <w:rFonts w:ascii="Arial Narrow" w:hAnsi="Arial Narrow"/>
                <w:b/>
                <w:bCs/>
                <w:sz w:val="20"/>
                <w:szCs w:val="20"/>
              </w:rPr>
              <w:t>Sous Projet</w:t>
            </w:r>
          </w:p>
        </w:tc>
        <w:tc>
          <w:tcPr>
            <w:tcW w:w="1042" w:type="dxa"/>
            <w:shd w:val="clear" w:color="auto" w:fill="BFBFBF"/>
          </w:tcPr>
          <w:p w14:paraId="614CAAFF" w14:textId="77777777" w:rsidR="002C16B4" w:rsidRPr="007F78CE" w:rsidRDefault="002C16B4" w:rsidP="00353921">
            <w:pPr>
              <w:spacing w:after="0" w:line="240" w:lineRule="auto"/>
              <w:jc w:val="center"/>
              <w:rPr>
                <w:rFonts w:ascii="Arial Narrow" w:hAnsi="Arial Narrow"/>
                <w:b/>
                <w:sz w:val="20"/>
                <w:szCs w:val="20"/>
              </w:rPr>
            </w:pPr>
            <w:r w:rsidRPr="007F78CE">
              <w:rPr>
                <w:rFonts w:ascii="Arial Narrow" w:hAnsi="Arial Narrow"/>
                <w:b/>
                <w:bCs/>
                <w:sz w:val="20"/>
                <w:szCs w:val="20"/>
              </w:rPr>
              <w:t>Intensité</w:t>
            </w:r>
          </w:p>
        </w:tc>
        <w:tc>
          <w:tcPr>
            <w:tcW w:w="1015" w:type="dxa"/>
            <w:shd w:val="clear" w:color="auto" w:fill="BFBFBF"/>
          </w:tcPr>
          <w:p w14:paraId="5548D47F" w14:textId="77777777" w:rsidR="002C16B4" w:rsidRPr="007F78CE" w:rsidRDefault="002C16B4" w:rsidP="00353921">
            <w:pPr>
              <w:spacing w:after="0" w:line="240" w:lineRule="auto"/>
              <w:jc w:val="center"/>
              <w:rPr>
                <w:rFonts w:ascii="Arial Narrow" w:hAnsi="Arial Narrow"/>
                <w:b/>
                <w:bCs/>
                <w:sz w:val="20"/>
                <w:szCs w:val="20"/>
              </w:rPr>
            </w:pPr>
            <w:r w:rsidRPr="007F78CE">
              <w:rPr>
                <w:rFonts w:ascii="Arial Narrow" w:hAnsi="Arial Narrow"/>
                <w:b/>
                <w:bCs/>
                <w:sz w:val="20"/>
                <w:szCs w:val="20"/>
              </w:rPr>
              <w:t>Étendue</w:t>
            </w:r>
          </w:p>
        </w:tc>
        <w:tc>
          <w:tcPr>
            <w:tcW w:w="903" w:type="dxa"/>
            <w:shd w:val="clear" w:color="auto" w:fill="BFBFBF"/>
          </w:tcPr>
          <w:p w14:paraId="660D0080" w14:textId="77777777" w:rsidR="002C16B4" w:rsidRPr="007F78CE" w:rsidRDefault="002C16B4" w:rsidP="00353921">
            <w:pPr>
              <w:spacing w:after="0" w:line="240" w:lineRule="auto"/>
              <w:jc w:val="center"/>
              <w:rPr>
                <w:rFonts w:ascii="Arial Narrow" w:hAnsi="Arial Narrow"/>
                <w:b/>
                <w:bCs/>
                <w:sz w:val="20"/>
                <w:szCs w:val="20"/>
              </w:rPr>
            </w:pPr>
            <w:r w:rsidRPr="007F78CE">
              <w:rPr>
                <w:rFonts w:ascii="Arial Narrow" w:hAnsi="Arial Narrow"/>
                <w:b/>
                <w:bCs/>
                <w:sz w:val="20"/>
                <w:szCs w:val="20"/>
              </w:rPr>
              <w:t>Durée</w:t>
            </w:r>
          </w:p>
        </w:tc>
        <w:tc>
          <w:tcPr>
            <w:tcW w:w="1327" w:type="dxa"/>
            <w:shd w:val="clear" w:color="auto" w:fill="BFBFBF"/>
          </w:tcPr>
          <w:p w14:paraId="1BD90BB7" w14:textId="77777777" w:rsidR="002C16B4" w:rsidRPr="007F78CE" w:rsidRDefault="002C16B4" w:rsidP="00353921">
            <w:pPr>
              <w:spacing w:after="0" w:line="240" w:lineRule="auto"/>
              <w:jc w:val="center"/>
              <w:rPr>
                <w:rFonts w:ascii="Arial Narrow" w:hAnsi="Arial Narrow"/>
                <w:b/>
                <w:bCs/>
                <w:sz w:val="20"/>
                <w:szCs w:val="20"/>
              </w:rPr>
            </w:pPr>
            <w:r w:rsidRPr="007F78CE">
              <w:rPr>
                <w:rFonts w:ascii="Arial Narrow" w:hAnsi="Arial Narrow"/>
                <w:b/>
                <w:bCs/>
                <w:sz w:val="20"/>
                <w:szCs w:val="20"/>
              </w:rPr>
              <w:t>Réversibilité</w:t>
            </w:r>
          </w:p>
        </w:tc>
        <w:tc>
          <w:tcPr>
            <w:tcW w:w="1272" w:type="dxa"/>
            <w:shd w:val="clear" w:color="auto" w:fill="BFBFBF"/>
          </w:tcPr>
          <w:p w14:paraId="70A31D74" w14:textId="77777777" w:rsidR="002C16B4" w:rsidRPr="007F78CE" w:rsidRDefault="002C16B4" w:rsidP="00353921">
            <w:pPr>
              <w:spacing w:after="0" w:line="240" w:lineRule="auto"/>
              <w:jc w:val="center"/>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auto"/>
          </w:tcPr>
          <w:p w14:paraId="3CADF143" w14:textId="77777777" w:rsidR="002C16B4" w:rsidRPr="007F78CE" w:rsidRDefault="002C16B4" w:rsidP="00353921">
            <w:pPr>
              <w:spacing w:after="0" w:line="240" w:lineRule="auto"/>
              <w:jc w:val="center"/>
              <w:rPr>
                <w:rFonts w:ascii="Arial Narrow" w:hAnsi="Arial Narrow"/>
                <w:b/>
                <w:bCs/>
                <w:sz w:val="20"/>
                <w:szCs w:val="20"/>
              </w:rPr>
            </w:pPr>
            <w:r>
              <w:rPr>
                <w:rFonts w:ascii="Arial Narrow" w:hAnsi="Arial Narrow"/>
                <w:b/>
                <w:bCs/>
                <w:sz w:val="20"/>
                <w:szCs w:val="20"/>
              </w:rPr>
              <w:t>Probabilité</w:t>
            </w:r>
          </w:p>
        </w:tc>
        <w:tc>
          <w:tcPr>
            <w:tcW w:w="848" w:type="dxa"/>
            <w:shd w:val="clear" w:color="auto" w:fill="auto"/>
          </w:tcPr>
          <w:p w14:paraId="780D7692" w14:textId="77777777" w:rsidR="002C16B4" w:rsidRPr="007F78CE" w:rsidRDefault="002C16B4" w:rsidP="00353921">
            <w:pPr>
              <w:spacing w:after="0" w:line="240" w:lineRule="auto"/>
              <w:jc w:val="center"/>
              <w:rPr>
                <w:rFonts w:ascii="Arial Narrow" w:hAnsi="Arial Narrow"/>
                <w:b/>
                <w:bCs/>
                <w:sz w:val="20"/>
                <w:szCs w:val="20"/>
              </w:rPr>
            </w:pPr>
            <w:r>
              <w:rPr>
                <w:rFonts w:ascii="Arial Narrow" w:hAnsi="Arial Narrow"/>
                <w:b/>
                <w:bCs/>
                <w:sz w:val="20"/>
                <w:szCs w:val="20"/>
              </w:rPr>
              <w:t>Risque</w:t>
            </w:r>
          </w:p>
        </w:tc>
      </w:tr>
      <w:tr w:rsidR="00345918" w:rsidRPr="007F78CE" w14:paraId="26C98810" w14:textId="77777777" w:rsidTr="00FB04F6">
        <w:trPr>
          <w:jc w:val="center"/>
        </w:trPr>
        <w:tc>
          <w:tcPr>
            <w:tcW w:w="1817" w:type="dxa"/>
          </w:tcPr>
          <w:p w14:paraId="60112844" w14:textId="77777777" w:rsidR="002C16B4" w:rsidRPr="007F78CE" w:rsidRDefault="002C16B4"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Infrastructures numériques</w:t>
            </w:r>
          </w:p>
        </w:tc>
        <w:tc>
          <w:tcPr>
            <w:tcW w:w="1042" w:type="dxa"/>
            <w:shd w:val="clear" w:color="auto" w:fill="auto"/>
          </w:tcPr>
          <w:p w14:paraId="0D42AFD8" w14:textId="77777777" w:rsidR="002C16B4" w:rsidRPr="007F78CE" w:rsidRDefault="002C16B4"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52609D9A"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15" w:type="dxa"/>
            <w:shd w:val="clear" w:color="auto" w:fill="auto"/>
          </w:tcPr>
          <w:p w14:paraId="5F8AF642"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71162F98"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03" w:type="dxa"/>
            <w:shd w:val="clear" w:color="auto" w:fill="auto"/>
          </w:tcPr>
          <w:p w14:paraId="7B2CD074"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0145E443"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27" w:type="dxa"/>
            <w:shd w:val="clear" w:color="auto" w:fill="auto"/>
          </w:tcPr>
          <w:p w14:paraId="71528407"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059FE866"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72" w:type="dxa"/>
            <w:shd w:val="clear" w:color="auto" w:fill="00B050"/>
          </w:tcPr>
          <w:p w14:paraId="62A346A0"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2CD96375"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tcPr>
          <w:p w14:paraId="2AC95898" w14:textId="77777777" w:rsidR="002C16B4" w:rsidRPr="007F78CE" w:rsidRDefault="002C16B4" w:rsidP="007F78CE">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c>
          <w:tcPr>
            <w:tcW w:w="848" w:type="dxa"/>
            <w:shd w:val="clear" w:color="auto" w:fill="538135"/>
          </w:tcPr>
          <w:p w14:paraId="095897F0" w14:textId="77777777" w:rsidR="002C16B4" w:rsidRPr="007F78CE" w:rsidRDefault="002C16B4" w:rsidP="007F78CE">
            <w:pPr>
              <w:spacing w:after="0" w:line="240" w:lineRule="auto"/>
              <w:contextualSpacing/>
              <w:jc w:val="center"/>
              <w:rPr>
                <w:rFonts w:ascii="Arial Narrow" w:hAnsi="Arial Narrow" w:cs="Arial"/>
                <w:sz w:val="20"/>
                <w:szCs w:val="20"/>
              </w:rPr>
            </w:pPr>
            <w:r w:rsidRPr="00F76674">
              <w:rPr>
                <w:rFonts w:ascii="Arial Narrow" w:hAnsi="Arial Narrow" w:cs="Arial"/>
                <w:sz w:val="20"/>
                <w:szCs w:val="20"/>
              </w:rPr>
              <w:t>Très faible</w:t>
            </w:r>
          </w:p>
        </w:tc>
      </w:tr>
      <w:tr w:rsidR="00345918" w:rsidRPr="007F78CE" w14:paraId="1A8A9AFA" w14:textId="77777777" w:rsidTr="00FB04F6">
        <w:trPr>
          <w:jc w:val="center"/>
        </w:trPr>
        <w:tc>
          <w:tcPr>
            <w:tcW w:w="1817" w:type="dxa"/>
          </w:tcPr>
          <w:p w14:paraId="1C75984B" w14:textId="77777777" w:rsidR="002C16B4" w:rsidRPr="007F78CE" w:rsidRDefault="002C16B4" w:rsidP="00B434A6">
            <w:pPr>
              <w:spacing w:after="0" w:line="240" w:lineRule="auto"/>
              <w:contextualSpacing/>
              <w:rPr>
                <w:rFonts w:ascii="Arial Narrow" w:hAnsi="Arial Narrow" w:cs="Arial"/>
                <w:sz w:val="20"/>
                <w:szCs w:val="20"/>
              </w:rPr>
            </w:pPr>
            <w:r>
              <w:rPr>
                <w:rFonts w:ascii="Arial Narrow" w:hAnsi="Arial Narrow" w:cs="Arial"/>
                <w:sz w:val="20"/>
                <w:szCs w:val="20"/>
              </w:rPr>
              <w:t>Centrale solaire</w:t>
            </w:r>
          </w:p>
        </w:tc>
        <w:tc>
          <w:tcPr>
            <w:tcW w:w="1042" w:type="dxa"/>
            <w:shd w:val="clear" w:color="auto" w:fill="auto"/>
          </w:tcPr>
          <w:p w14:paraId="66603DD9" w14:textId="77777777" w:rsidR="002C16B4" w:rsidRPr="007F78CE" w:rsidRDefault="002C16B4" w:rsidP="00B63C19">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1531AE69"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15" w:type="dxa"/>
            <w:shd w:val="clear" w:color="auto" w:fill="auto"/>
          </w:tcPr>
          <w:p w14:paraId="2DFCC04C"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5469E865"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03" w:type="dxa"/>
            <w:shd w:val="clear" w:color="auto" w:fill="auto"/>
          </w:tcPr>
          <w:p w14:paraId="7E053AC9"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29AD37E4"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27" w:type="dxa"/>
            <w:shd w:val="clear" w:color="auto" w:fill="auto"/>
          </w:tcPr>
          <w:p w14:paraId="7545FDDE"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192917E6"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72" w:type="dxa"/>
            <w:shd w:val="clear" w:color="auto" w:fill="00B050"/>
          </w:tcPr>
          <w:p w14:paraId="58869BE9"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3F180CD1"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tcPr>
          <w:p w14:paraId="18B0793B" w14:textId="77777777" w:rsidR="002C16B4" w:rsidRPr="007F78CE" w:rsidRDefault="002C16B4" w:rsidP="00B63C19">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c>
          <w:tcPr>
            <w:tcW w:w="848" w:type="dxa"/>
            <w:shd w:val="clear" w:color="auto" w:fill="538135"/>
          </w:tcPr>
          <w:p w14:paraId="452794F7" w14:textId="77777777" w:rsidR="002C16B4" w:rsidRPr="007F78CE" w:rsidRDefault="002C16B4" w:rsidP="00B63C19">
            <w:pPr>
              <w:spacing w:after="0" w:line="240" w:lineRule="auto"/>
              <w:contextualSpacing/>
              <w:jc w:val="center"/>
              <w:rPr>
                <w:rFonts w:ascii="Arial Narrow" w:hAnsi="Arial Narrow" w:cs="Arial"/>
                <w:sz w:val="20"/>
                <w:szCs w:val="20"/>
              </w:rPr>
            </w:pPr>
            <w:r w:rsidRPr="00F76674">
              <w:rPr>
                <w:rFonts w:ascii="Arial Narrow" w:hAnsi="Arial Narrow" w:cs="Arial"/>
                <w:sz w:val="20"/>
                <w:szCs w:val="20"/>
              </w:rPr>
              <w:t>Très faible</w:t>
            </w:r>
          </w:p>
        </w:tc>
      </w:tr>
      <w:tr w:rsidR="00345918" w:rsidRPr="007F78CE" w14:paraId="5C6D7F41" w14:textId="77777777" w:rsidTr="00FB04F6">
        <w:trPr>
          <w:jc w:val="center"/>
        </w:trPr>
        <w:tc>
          <w:tcPr>
            <w:tcW w:w="1817" w:type="dxa"/>
          </w:tcPr>
          <w:p w14:paraId="52683B17" w14:textId="77777777" w:rsidR="002C16B4" w:rsidRPr="007F78CE" w:rsidRDefault="002C16B4" w:rsidP="00B434A6">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42" w:type="dxa"/>
            <w:shd w:val="clear" w:color="auto" w:fill="auto"/>
          </w:tcPr>
          <w:p w14:paraId="03AFCC22" w14:textId="77777777" w:rsidR="002C16B4" w:rsidRPr="007F78CE" w:rsidRDefault="002C16B4" w:rsidP="00B63C19">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0A36E19D"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15" w:type="dxa"/>
            <w:shd w:val="clear" w:color="auto" w:fill="auto"/>
          </w:tcPr>
          <w:p w14:paraId="7679EC6B"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3E6FC167"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03" w:type="dxa"/>
            <w:shd w:val="clear" w:color="auto" w:fill="auto"/>
          </w:tcPr>
          <w:p w14:paraId="605B620F"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2CCDCAE4"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27" w:type="dxa"/>
            <w:shd w:val="clear" w:color="auto" w:fill="auto"/>
          </w:tcPr>
          <w:p w14:paraId="6DED66D1"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478E3F89"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72" w:type="dxa"/>
            <w:shd w:val="clear" w:color="auto" w:fill="00B050"/>
          </w:tcPr>
          <w:p w14:paraId="37283BEB"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1D8F7559"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tcPr>
          <w:p w14:paraId="23959C0B" w14:textId="77777777" w:rsidR="002C16B4" w:rsidRPr="007F78CE" w:rsidRDefault="002C16B4" w:rsidP="00B63C19">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c>
          <w:tcPr>
            <w:tcW w:w="848" w:type="dxa"/>
            <w:shd w:val="clear" w:color="auto" w:fill="538135"/>
          </w:tcPr>
          <w:p w14:paraId="3D901B20" w14:textId="77777777" w:rsidR="002C16B4" w:rsidRPr="007F78CE" w:rsidRDefault="002C16B4" w:rsidP="00B63C19">
            <w:pPr>
              <w:spacing w:after="0" w:line="240" w:lineRule="auto"/>
              <w:contextualSpacing/>
              <w:jc w:val="center"/>
              <w:rPr>
                <w:rFonts w:ascii="Arial Narrow" w:hAnsi="Arial Narrow" w:cs="Arial"/>
                <w:sz w:val="20"/>
                <w:szCs w:val="20"/>
              </w:rPr>
            </w:pPr>
            <w:r w:rsidRPr="00F76674">
              <w:rPr>
                <w:rFonts w:ascii="Arial Narrow" w:hAnsi="Arial Narrow" w:cs="Arial"/>
                <w:sz w:val="20"/>
                <w:szCs w:val="20"/>
              </w:rPr>
              <w:t>Très faible</w:t>
            </w:r>
          </w:p>
        </w:tc>
      </w:tr>
      <w:tr w:rsidR="00345918" w:rsidRPr="007F78CE" w14:paraId="76C28D1F" w14:textId="77777777" w:rsidTr="00FB04F6">
        <w:trPr>
          <w:jc w:val="center"/>
        </w:trPr>
        <w:tc>
          <w:tcPr>
            <w:tcW w:w="1817" w:type="dxa"/>
          </w:tcPr>
          <w:p w14:paraId="6FB7B847" w14:textId="77777777" w:rsidR="002C16B4" w:rsidRPr="007F78CE" w:rsidRDefault="002C16B4" w:rsidP="00B434A6">
            <w:pPr>
              <w:spacing w:after="0" w:line="240" w:lineRule="auto"/>
              <w:contextualSpacing/>
              <w:rPr>
                <w:rFonts w:ascii="Arial Narrow" w:hAnsi="Arial Narrow" w:cs="Arial"/>
                <w:sz w:val="20"/>
                <w:szCs w:val="20"/>
              </w:rPr>
            </w:pPr>
            <w:r>
              <w:rPr>
                <w:rFonts w:ascii="Arial Narrow" w:hAnsi="Arial Narrow" w:cs="Arial"/>
                <w:sz w:val="20"/>
                <w:szCs w:val="20"/>
              </w:rPr>
              <w:t>Réseau électrique</w:t>
            </w:r>
          </w:p>
        </w:tc>
        <w:tc>
          <w:tcPr>
            <w:tcW w:w="1042" w:type="dxa"/>
            <w:shd w:val="clear" w:color="auto" w:fill="auto"/>
          </w:tcPr>
          <w:p w14:paraId="7625698F" w14:textId="77777777" w:rsidR="002C16B4" w:rsidRPr="007F78CE" w:rsidRDefault="002C16B4" w:rsidP="00B63C19">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144F9733"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15" w:type="dxa"/>
            <w:shd w:val="clear" w:color="auto" w:fill="auto"/>
          </w:tcPr>
          <w:p w14:paraId="4C6849EE"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57E91776"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03" w:type="dxa"/>
            <w:shd w:val="clear" w:color="auto" w:fill="auto"/>
          </w:tcPr>
          <w:p w14:paraId="2435E834"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4319E0AB"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27" w:type="dxa"/>
            <w:shd w:val="clear" w:color="auto" w:fill="auto"/>
          </w:tcPr>
          <w:p w14:paraId="52CCC86D"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1531E24E"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72" w:type="dxa"/>
            <w:shd w:val="clear" w:color="auto" w:fill="00B050"/>
          </w:tcPr>
          <w:p w14:paraId="35C3829C"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28765DF6"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tcPr>
          <w:p w14:paraId="5FFF5E30" w14:textId="77777777" w:rsidR="002C16B4" w:rsidRPr="007F78CE" w:rsidRDefault="002C16B4" w:rsidP="00B63C19">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c>
          <w:tcPr>
            <w:tcW w:w="848" w:type="dxa"/>
            <w:shd w:val="clear" w:color="auto" w:fill="538135"/>
          </w:tcPr>
          <w:p w14:paraId="62CD3DA3" w14:textId="77777777" w:rsidR="002C16B4" w:rsidRPr="007F78CE" w:rsidRDefault="002C16B4" w:rsidP="00B63C19">
            <w:pPr>
              <w:spacing w:after="0" w:line="240" w:lineRule="auto"/>
              <w:contextualSpacing/>
              <w:jc w:val="center"/>
              <w:rPr>
                <w:rFonts w:ascii="Arial Narrow" w:hAnsi="Arial Narrow" w:cs="Arial"/>
                <w:sz w:val="20"/>
                <w:szCs w:val="20"/>
              </w:rPr>
            </w:pPr>
            <w:r w:rsidRPr="00F76674">
              <w:rPr>
                <w:rFonts w:ascii="Arial Narrow" w:hAnsi="Arial Narrow" w:cs="Arial"/>
                <w:sz w:val="20"/>
                <w:szCs w:val="20"/>
              </w:rPr>
              <w:t>Très faible</w:t>
            </w:r>
          </w:p>
        </w:tc>
      </w:tr>
      <w:tr w:rsidR="001716F8" w:rsidRPr="007F78CE" w14:paraId="63C19CF5" w14:textId="77777777" w:rsidTr="00FB04F6">
        <w:trPr>
          <w:jc w:val="center"/>
        </w:trPr>
        <w:tc>
          <w:tcPr>
            <w:tcW w:w="1817" w:type="dxa"/>
          </w:tcPr>
          <w:p w14:paraId="20ACE895" w14:textId="77777777" w:rsidR="001716F8" w:rsidRDefault="001716F8" w:rsidP="00B434A6">
            <w:pPr>
              <w:spacing w:after="0" w:line="240" w:lineRule="auto"/>
              <w:contextualSpacing/>
              <w:rPr>
                <w:rFonts w:ascii="Arial Narrow" w:hAnsi="Arial Narrow" w:cs="Arial"/>
                <w:sz w:val="20"/>
                <w:szCs w:val="20"/>
              </w:rPr>
            </w:pPr>
            <w:r>
              <w:rPr>
                <w:rFonts w:ascii="Arial Narrow" w:hAnsi="Arial Narrow" w:cs="Arial"/>
                <w:sz w:val="20"/>
                <w:szCs w:val="20"/>
              </w:rPr>
              <w:t>Impact cummulé</w:t>
            </w:r>
          </w:p>
        </w:tc>
        <w:tc>
          <w:tcPr>
            <w:tcW w:w="1042" w:type="dxa"/>
            <w:shd w:val="clear" w:color="auto" w:fill="auto"/>
          </w:tcPr>
          <w:p w14:paraId="24635B98" w14:textId="77777777" w:rsidR="001716F8" w:rsidRPr="007F78CE" w:rsidRDefault="001716F8" w:rsidP="00D70FB3">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12BDAA4B" w14:textId="77777777" w:rsidR="001716F8" w:rsidRPr="007F78CE" w:rsidRDefault="001716F8"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15" w:type="dxa"/>
            <w:shd w:val="clear" w:color="auto" w:fill="auto"/>
          </w:tcPr>
          <w:p w14:paraId="113AAB15"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12C20213" w14:textId="77777777" w:rsidR="001716F8" w:rsidRPr="007F78CE" w:rsidRDefault="001716F8"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03" w:type="dxa"/>
            <w:shd w:val="clear" w:color="auto" w:fill="auto"/>
          </w:tcPr>
          <w:p w14:paraId="37D64448"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32064C88" w14:textId="77777777" w:rsidR="001716F8" w:rsidRPr="007F78CE" w:rsidRDefault="001716F8"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27" w:type="dxa"/>
            <w:shd w:val="clear" w:color="auto" w:fill="auto"/>
          </w:tcPr>
          <w:p w14:paraId="36B2D719"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05F29DD2" w14:textId="77777777" w:rsidR="001716F8" w:rsidRPr="007F78CE" w:rsidRDefault="001716F8"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72" w:type="dxa"/>
            <w:shd w:val="clear" w:color="auto" w:fill="00B050"/>
          </w:tcPr>
          <w:p w14:paraId="479D3C8F" w14:textId="77777777" w:rsidR="001716F8" w:rsidRPr="007F78CE" w:rsidRDefault="001716F8"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7629076C" w14:textId="77777777" w:rsidR="001716F8" w:rsidRPr="007F78CE" w:rsidRDefault="001716F8"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tcPr>
          <w:p w14:paraId="1F0EB365" w14:textId="77777777" w:rsidR="001716F8" w:rsidRPr="00FC0D50" w:rsidRDefault="001716F8" w:rsidP="00B63C19">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c>
          <w:tcPr>
            <w:tcW w:w="848" w:type="dxa"/>
            <w:shd w:val="clear" w:color="auto" w:fill="538135"/>
          </w:tcPr>
          <w:p w14:paraId="1204F898" w14:textId="77777777" w:rsidR="001716F8" w:rsidRPr="00F76674" w:rsidRDefault="001716F8" w:rsidP="00B63C19">
            <w:pPr>
              <w:spacing w:after="0" w:line="240" w:lineRule="auto"/>
              <w:contextualSpacing/>
              <w:jc w:val="center"/>
              <w:rPr>
                <w:rFonts w:ascii="Arial Narrow" w:hAnsi="Arial Narrow" w:cs="Arial"/>
                <w:sz w:val="20"/>
                <w:szCs w:val="20"/>
              </w:rPr>
            </w:pPr>
            <w:r w:rsidRPr="00F76674">
              <w:rPr>
                <w:rFonts w:ascii="Arial Narrow" w:hAnsi="Arial Narrow" w:cs="Arial"/>
                <w:sz w:val="20"/>
                <w:szCs w:val="20"/>
              </w:rPr>
              <w:t>Très faible</w:t>
            </w:r>
          </w:p>
        </w:tc>
      </w:tr>
    </w:tbl>
    <w:p w14:paraId="15AF569F" w14:textId="77777777" w:rsidR="0090044A" w:rsidRPr="00403568" w:rsidRDefault="0090044A" w:rsidP="00687DD2">
      <w:pPr>
        <w:pStyle w:val="Normal12"/>
        <w:numPr>
          <w:ilvl w:val="0"/>
          <w:numId w:val="85"/>
        </w:numPr>
        <w:spacing w:before="100" w:beforeAutospacing="1" w:after="100" w:afterAutospacing="1"/>
        <w:ind w:left="1077" w:hanging="357"/>
        <w:contextualSpacing/>
        <w:rPr>
          <w:i/>
          <w:iCs/>
          <w:lang w:val="fr-FR"/>
        </w:rPr>
      </w:pPr>
      <w:r w:rsidRPr="00403568">
        <w:rPr>
          <w:i/>
          <w:iCs/>
          <w:lang w:val="fr-FR"/>
        </w:rPr>
        <w:t xml:space="preserve">Risque d’accidents de circulation </w:t>
      </w:r>
    </w:p>
    <w:p w14:paraId="029ACFA8" w14:textId="77777777" w:rsidR="0090044A" w:rsidRPr="008D2A01" w:rsidRDefault="0090044A" w:rsidP="008D2A01">
      <w:pPr>
        <w:spacing w:line="240" w:lineRule="auto"/>
        <w:jc w:val="both"/>
        <w:rPr>
          <w:rFonts w:ascii="Arial" w:hAnsi="Arial" w:cs="Arial"/>
        </w:rPr>
      </w:pPr>
      <w:r w:rsidRPr="008D2A01">
        <w:rPr>
          <w:rFonts w:ascii="Arial" w:hAnsi="Arial" w:cs="Arial"/>
        </w:rPr>
        <w:t>Le retrait des divers infrastructures et matériels vers le lieu d’entreposage de l’entreprise lors de la phase de repli peut occasionner des accidents de circulation. Les camions qui acheminent ces matériels devront passer dans des zones urbaines et parfois densément peuplé</w:t>
      </w:r>
      <w:r w:rsidR="007D2F2E">
        <w:rPr>
          <w:rFonts w:ascii="Arial" w:hAnsi="Arial" w:cs="Arial"/>
        </w:rPr>
        <w:t>es</w:t>
      </w:r>
      <w:r w:rsidRPr="008D2A01">
        <w:rPr>
          <w:rFonts w:ascii="Arial" w:hAnsi="Arial" w:cs="Arial"/>
        </w:rPr>
        <w:t xml:space="preserve"> ce qui accro</w:t>
      </w:r>
      <w:r w:rsidR="00135FB1">
        <w:rPr>
          <w:rFonts w:ascii="Arial" w:hAnsi="Arial" w:cs="Arial"/>
        </w:rPr>
        <w:t>î</w:t>
      </w:r>
      <w:r w:rsidRPr="008D2A01">
        <w:rPr>
          <w:rFonts w:ascii="Arial" w:hAnsi="Arial" w:cs="Arial"/>
        </w:rPr>
        <w:t>t la probabilité d’accident de circulation. L’importance de cet impact est donc évaluée « Moyenne »</w:t>
      </w:r>
      <w:r w:rsidR="00135FB1">
        <w:rPr>
          <w:rFonts w:ascii="Arial" w:hAnsi="Arial" w:cs="Arial"/>
        </w:rPr>
        <w:t xml:space="preserve"> </w:t>
      </w:r>
      <w:r w:rsidR="002C16B4">
        <w:rPr>
          <w:rFonts w:ascii="Arial" w:hAnsi="Arial" w:cs="Arial"/>
        </w:rPr>
        <w:t xml:space="preserve">et le niveau de risque est considéré comme faible </w:t>
      </w:r>
      <w:r w:rsidR="00135FB1">
        <w:rPr>
          <w:rFonts w:ascii="Arial" w:hAnsi="Arial" w:cs="Arial"/>
        </w:rPr>
        <w:t>selon le tableau  suivant</w:t>
      </w:r>
      <w:r w:rsidRPr="008D2A01">
        <w:rPr>
          <w:rFonts w:ascii="Arial" w:hAnsi="Arial" w:cs="Arial"/>
        </w:rPr>
        <w:t>.</w:t>
      </w:r>
    </w:p>
    <w:p w14:paraId="081D14DC" w14:textId="77777777" w:rsidR="0090044A" w:rsidRPr="002E58DC" w:rsidRDefault="0090044A" w:rsidP="002E58DC">
      <w:pPr>
        <w:pStyle w:val="Lgende"/>
        <w:spacing w:before="120"/>
        <w:jc w:val="center"/>
        <w:rPr>
          <w:sz w:val="20"/>
        </w:rPr>
      </w:pPr>
      <w:bookmarkStart w:id="991" w:name="_Toc100753938"/>
      <w:bookmarkStart w:id="992" w:name="_Toc127957845"/>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49</w:t>
      </w:r>
      <w:r w:rsidRPr="002E58DC">
        <w:rPr>
          <w:sz w:val="20"/>
        </w:rPr>
        <w:fldChar w:fldCharType="end"/>
      </w:r>
      <w:r w:rsidRPr="002E58DC">
        <w:rPr>
          <w:sz w:val="20"/>
        </w:rPr>
        <w:t>. Evaluation</w:t>
      </w:r>
      <w:r w:rsidR="00324908">
        <w:rPr>
          <w:sz w:val="20"/>
        </w:rPr>
        <w:t xml:space="preserve"> de</w:t>
      </w:r>
      <w:r w:rsidRPr="002E58DC">
        <w:rPr>
          <w:sz w:val="20"/>
        </w:rPr>
        <w:t xml:space="preserve"> l’impact – Risques d’accident de circulation</w:t>
      </w:r>
      <w:bookmarkEnd w:id="991"/>
      <w:bookmarkEnd w:id="992"/>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071"/>
        <w:gridCol w:w="1177"/>
        <w:gridCol w:w="863"/>
        <w:gridCol w:w="1300"/>
        <w:gridCol w:w="1238"/>
        <w:gridCol w:w="1064"/>
        <w:gridCol w:w="804"/>
        <w:tblGridChange w:id="993">
          <w:tblGrid>
            <w:gridCol w:w="1771"/>
            <w:gridCol w:w="1071"/>
            <w:gridCol w:w="1177"/>
            <w:gridCol w:w="863"/>
            <w:gridCol w:w="1300"/>
            <w:gridCol w:w="1238"/>
            <w:gridCol w:w="1064"/>
            <w:gridCol w:w="804"/>
          </w:tblGrid>
        </w:tblGridChange>
      </w:tblGrid>
      <w:tr w:rsidR="002C16B4" w:rsidRPr="007F78CE" w14:paraId="76FF5DA1" w14:textId="77777777" w:rsidTr="00345918">
        <w:trPr>
          <w:jc w:val="center"/>
        </w:trPr>
        <w:tc>
          <w:tcPr>
            <w:tcW w:w="1771" w:type="dxa"/>
            <w:shd w:val="clear" w:color="auto" w:fill="BFBFBF"/>
          </w:tcPr>
          <w:p w14:paraId="5EB5F192" w14:textId="77777777" w:rsidR="002C16B4" w:rsidRPr="007F78CE" w:rsidRDefault="00A73AF6" w:rsidP="002C16B4">
            <w:pPr>
              <w:spacing w:after="0" w:line="240" w:lineRule="auto"/>
              <w:rPr>
                <w:rFonts w:ascii="Arial Narrow" w:hAnsi="Arial Narrow"/>
                <w:b/>
                <w:bCs/>
                <w:sz w:val="20"/>
                <w:szCs w:val="20"/>
              </w:rPr>
            </w:pPr>
            <w:r>
              <w:rPr>
                <w:rFonts w:ascii="Arial Narrow" w:hAnsi="Arial Narrow"/>
                <w:b/>
                <w:bCs/>
                <w:sz w:val="20"/>
                <w:szCs w:val="20"/>
              </w:rPr>
              <w:t>Sous Projet</w:t>
            </w:r>
            <w:r w:rsidRPr="00DB2CAD" w:rsidDel="00A73AF6">
              <w:rPr>
                <w:rFonts w:ascii="Arial Narrow" w:hAnsi="Arial Narrow"/>
                <w:b/>
                <w:bCs/>
                <w:sz w:val="20"/>
                <w:szCs w:val="20"/>
              </w:rPr>
              <w:t xml:space="preserve"> </w:t>
            </w:r>
          </w:p>
        </w:tc>
        <w:tc>
          <w:tcPr>
            <w:tcW w:w="1071" w:type="dxa"/>
            <w:shd w:val="clear" w:color="auto" w:fill="BFBFBF"/>
          </w:tcPr>
          <w:p w14:paraId="050160F9" w14:textId="77777777" w:rsidR="002C16B4" w:rsidRPr="007F78CE" w:rsidRDefault="002C16B4" w:rsidP="007F78CE">
            <w:pPr>
              <w:spacing w:after="0" w:line="240" w:lineRule="auto"/>
              <w:rPr>
                <w:rFonts w:ascii="Arial Narrow" w:hAnsi="Arial Narrow"/>
                <w:b/>
                <w:sz w:val="20"/>
                <w:szCs w:val="20"/>
              </w:rPr>
            </w:pPr>
            <w:r w:rsidRPr="007F78CE">
              <w:rPr>
                <w:rFonts w:ascii="Arial Narrow" w:hAnsi="Arial Narrow"/>
                <w:b/>
                <w:bCs/>
                <w:sz w:val="20"/>
                <w:szCs w:val="20"/>
              </w:rPr>
              <w:t xml:space="preserve">Intensité </w:t>
            </w:r>
          </w:p>
        </w:tc>
        <w:tc>
          <w:tcPr>
            <w:tcW w:w="1177" w:type="dxa"/>
            <w:shd w:val="clear" w:color="auto" w:fill="BFBFBF"/>
          </w:tcPr>
          <w:p w14:paraId="20F1ED14" w14:textId="77777777" w:rsidR="002C16B4" w:rsidRPr="007F78CE" w:rsidRDefault="002C16B4"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863" w:type="dxa"/>
            <w:shd w:val="clear" w:color="auto" w:fill="BFBFBF"/>
          </w:tcPr>
          <w:p w14:paraId="7C20C9B7" w14:textId="77777777" w:rsidR="002C16B4" w:rsidRPr="007F78CE" w:rsidRDefault="002C16B4"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300" w:type="dxa"/>
            <w:shd w:val="clear" w:color="auto" w:fill="BFBFBF"/>
          </w:tcPr>
          <w:p w14:paraId="10E76D31" w14:textId="77777777" w:rsidR="002C16B4" w:rsidRPr="007F78CE" w:rsidRDefault="002C16B4"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238" w:type="dxa"/>
            <w:shd w:val="clear" w:color="auto" w:fill="BFBFBF"/>
          </w:tcPr>
          <w:p w14:paraId="1954A015" w14:textId="77777777" w:rsidR="002C16B4" w:rsidRPr="007F78CE" w:rsidRDefault="002C16B4"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BFBFBF"/>
          </w:tcPr>
          <w:p w14:paraId="5E8E10B5" w14:textId="77777777" w:rsidR="002C16B4" w:rsidRPr="007F78CE" w:rsidRDefault="002C16B4"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804" w:type="dxa"/>
            <w:shd w:val="clear" w:color="auto" w:fill="BFBFBF"/>
          </w:tcPr>
          <w:p w14:paraId="0B23C9BF" w14:textId="77777777" w:rsidR="002C16B4" w:rsidRPr="007F78CE" w:rsidRDefault="002C16B4" w:rsidP="007F78CE">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345918" w:rsidRPr="007F78CE" w14:paraId="621063C0" w14:textId="77777777" w:rsidTr="00FB04F6">
        <w:trPr>
          <w:jc w:val="center"/>
        </w:trPr>
        <w:tc>
          <w:tcPr>
            <w:tcW w:w="1771" w:type="dxa"/>
          </w:tcPr>
          <w:p w14:paraId="3DB7E100" w14:textId="77777777" w:rsidR="002C16B4" w:rsidRPr="007F78CE" w:rsidRDefault="002C16B4" w:rsidP="00345918">
            <w:pPr>
              <w:spacing w:after="0" w:line="240" w:lineRule="auto"/>
              <w:contextualSpacing/>
              <w:rPr>
                <w:rFonts w:ascii="Arial Narrow" w:hAnsi="Arial Narrow" w:cs="Arial"/>
                <w:sz w:val="20"/>
                <w:szCs w:val="20"/>
              </w:rPr>
            </w:pPr>
            <w:r>
              <w:rPr>
                <w:rFonts w:ascii="Arial Narrow" w:hAnsi="Arial Narrow" w:cs="Arial"/>
                <w:sz w:val="20"/>
                <w:szCs w:val="20"/>
              </w:rPr>
              <w:t>Infrastructures numériques</w:t>
            </w:r>
          </w:p>
        </w:tc>
        <w:tc>
          <w:tcPr>
            <w:tcW w:w="1071" w:type="dxa"/>
            <w:shd w:val="clear" w:color="auto" w:fill="auto"/>
          </w:tcPr>
          <w:p w14:paraId="523F8C0C" w14:textId="77777777" w:rsidR="002C16B4" w:rsidRPr="007F78CE" w:rsidRDefault="002C16B4" w:rsidP="007F78CE">
            <w:pPr>
              <w:spacing w:after="0" w:line="240" w:lineRule="auto"/>
              <w:contextualSpacing/>
              <w:jc w:val="center"/>
              <w:rPr>
                <w:rFonts w:ascii="Arial Narrow" w:hAnsi="Arial Narrow" w:cs="Arial"/>
                <w:bCs/>
                <w:sz w:val="20"/>
                <w:szCs w:val="20"/>
              </w:rPr>
            </w:pPr>
            <w:r>
              <w:rPr>
                <w:rFonts w:ascii="Arial Narrow" w:hAnsi="Arial Narrow" w:cs="Arial"/>
                <w:sz w:val="20"/>
                <w:szCs w:val="20"/>
              </w:rPr>
              <w:t xml:space="preserve">Moyenne </w:t>
            </w:r>
          </w:p>
          <w:p w14:paraId="6AEC9A66"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1177" w:type="dxa"/>
            <w:shd w:val="clear" w:color="auto" w:fill="auto"/>
          </w:tcPr>
          <w:p w14:paraId="11EC266E" w14:textId="77777777" w:rsidR="002C16B4" w:rsidRPr="007F78CE" w:rsidRDefault="002C16B4"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Ponctuelle</w:t>
            </w:r>
          </w:p>
          <w:p w14:paraId="2B8B08AD"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863" w:type="dxa"/>
            <w:shd w:val="clear" w:color="auto" w:fill="auto"/>
          </w:tcPr>
          <w:p w14:paraId="0FD8AFF7"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06E3456A"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00" w:type="dxa"/>
            <w:shd w:val="clear" w:color="auto" w:fill="auto"/>
          </w:tcPr>
          <w:p w14:paraId="57EAAD34"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6103787C"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38" w:type="dxa"/>
            <w:shd w:val="clear" w:color="auto" w:fill="FFFF00"/>
          </w:tcPr>
          <w:p w14:paraId="5D3209A8"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63A95F5A"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tcPr>
          <w:p w14:paraId="73BBDA0E" w14:textId="77777777" w:rsidR="002C16B4" w:rsidRPr="007F78CE" w:rsidRDefault="002C16B4" w:rsidP="007F78CE">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c>
          <w:tcPr>
            <w:tcW w:w="804" w:type="dxa"/>
            <w:shd w:val="clear" w:color="auto" w:fill="538135"/>
          </w:tcPr>
          <w:p w14:paraId="08A94D8A" w14:textId="77777777" w:rsidR="002C16B4" w:rsidRPr="007F78CE" w:rsidRDefault="002C16B4" w:rsidP="007F78CE">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r>
      <w:tr w:rsidR="00345918" w:rsidRPr="007F78CE" w14:paraId="08FA7115" w14:textId="77777777" w:rsidTr="00FB04F6">
        <w:trPr>
          <w:jc w:val="center"/>
        </w:trPr>
        <w:tc>
          <w:tcPr>
            <w:tcW w:w="1771" w:type="dxa"/>
          </w:tcPr>
          <w:p w14:paraId="29CF9491" w14:textId="77777777" w:rsidR="002C16B4" w:rsidRPr="007F78CE" w:rsidRDefault="002C16B4"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Centrale électrique solaire</w:t>
            </w:r>
          </w:p>
        </w:tc>
        <w:tc>
          <w:tcPr>
            <w:tcW w:w="1071" w:type="dxa"/>
            <w:shd w:val="clear" w:color="auto" w:fill="auto"/>
          </w:tcPr>
          <w:p w14:paraId="1B835406" w14:textId="77777777" w:rsidR="002C16B4" w:rsidRPr="007F78CE" w:rsidRDefault="002C16B4" w:rsidP="00B63C19">
            <w:pPr>
              <w:spacing w:after="0" w:line="240" w:lineRule="auto"/>
              <w:contextualSpacing/>
              <w:jc w:val="center"/>
              <w:rPr>
                <w:rFonts w:ascii="Arial Narrow" w:hAnsi="Arial Narrow" w:cs="Arial"/>
                <w:bCs/>
                <w:sz w:val="20"/>
                <w:szCs w:val="20"/>
              </w:rPr>
            </w:pPr>
            <w:r>
              <w:rPr>
                <w:rFonts w:ascii="Arial Narrow" w:hAnsi="Arial Narrow" w:cs="Arial"/>
                <w:sz w:val="20"/>
                <w:szCs w:val="20"/>
              </w:rPr>
              <w:t xml:space="preserve">Moyenne </w:t>
            </w:r>
          </w:p>
          <w:p w14:paraId="183B1963"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1177" w:type="dxa"/>
            <w:shd w:val="clear" w:color="auto" w:fill="auto"/>
          </w:tcPr>
          <w:p w14:paraId="2E49AF13" w14:textId="77777777" w:rsidR="002C16B4" w:rsidRPr="007F78CE" w:rsidRDefault="002C16B4" w:rsidP="00B63C19">
            <w:pPr>
              <w:spacing w:after="0" w:line="240" w:lineRule="auto"/>
              <w:contextualSpacing/>
              <w:jc w:val="center"/>
              <w:rPr>
                <w:rFonts w:ascii="Arial Narrow" w:hAnsi="Arial Narrow" w:cs="Arial"/>
                <w:sz w:val="20"/>
                <w:szCs w:val="20"/>
              </w:rPr>
            </w:pPr>
            <w:r>
              <w:rPr>
                <w:rFonts w:ascii="Arial Narrow" w:hAnsi="Arial Narrow" w:cs="Arial"/>
                <w:sz w:val="20"/>
                <w:szCs w:val="20"/>
              </w:rPr>
              <w:t>Ponctuelle</w:t>
            </w:r>
          </w:p>
          <w:p w14:paraId="5BCE4A03"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863" w:type="dxa"/>
            <w:shd w:val="clear" w:color="auto" w:fill="auto"/>
          </w:tcPr>
          <w:p w14:paraId="13FA3454"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00B628D3"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00" w:type="dxa"/>
            <w:shd w:val="clear" w:color="auto" w:fill="auto"/>
          </w:tcPr>
          <w:p w14:paraId="6748E3DE"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725AA4D9"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38" w:type="dxa"/>
            <w:shd w:val="clear" w:color="auto" w:fill="FFFF00"/>
          </w:tcPr>
          <w:p w14:paraId="1A72FF09"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48AECCD1"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tcPr>
          <w:p w14:paraId="74F451E1" w14:textId="77777777" w:rsidR="002C16B4" w:rsidRPr="007F78CE" w:rsidRDefault="002C16B4" w:rsidP="00B63C19">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c>
          <w:tcPr>
            <w:tcW w:w="804" w:type="dxa"/>
            <w:shd w:val="clear" w:color="auto" w:fill="538135"/>
          </w:tcPr>
          <w:p w14:paraId="5BF60A6A" w14:textId="77777777" w:rsidR="002C16B4" w:rsidRPr="007F78CE" w:rsidRDefault="002C16B4" w:rsidP="00B63C19">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r>
      <w:tr w:rsidR="00345918" w:rsidRPr="007F78CE" w14:paraId="42889D9B" w14:textId="77777777" w:rsidTr="00FB04F6">
        <w:trPr>
          <w:jc w:val="center"/>
        </w:trPr>
        <w:tc>
          <w:tcPr>
            <w:tcW w:w="1771" w:type="dxa"/>
          </w:tcPr>
          <w:p w14:paraId="0AD0EDAD" w14:textId="77777777" w:rsidR="002C16B4" w:rsidRPr="007F78CE" w:rsidRDefault="002C16B4" w:rsidP="00345918">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71" w:type="dxa"/>
            <w:shd w:val="clear" w:color="auto" w:fill="auto"/>
          </w:tcPr>
          <w:p w14:paraId="0C3ABE6C" w14:textId="77777777" w:rsidR="002C16B4" w:rsidRPr="007F78CE" w:rsidRDefault="002C16B4" w:rsidP="00B63C19">
            <w:pPr>
              <w:spacing w:after="0" w:line="240" w:lineRule="auto"/>
              <w:contextualSpacing/>
              <w:jc w:val="center"/>
              <w:rPr>
                <w:rFonts w:ascii="Arial Narrow" w:hAnsi="Arial Narrow" w:cs="Arial"/>
                <w:bCs/>
                <w:sz w:val="20"/>
                <w:szCs w:val="20"/>
              </w:rPr>
            </w:pPr>
            <w:r>
              <w:rPr>
                <w:rFonts w:ascii="Arial Narrow" w:hAnsi="Arial Narrow" w:cs="Arial"/>
                <w:sz w:val="20"/>
                <w:szCs w:val="20"/>
              </w:rPr>
              <w:t xml:space="preserve">Moyenne </w:t>
            </w:r>
          </w:p>
          <w:p w14:paraId="44A7EE08"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1177" w:type="dxa"/>
            <w:shd w:val="clear" w:color="auto" w:fill="auto"/>
          </w:tcPr>
          <w:p w14:paraId="7963769B" w14:textId="77777777" w:rsidR="002C16B4" w:rsidRPr="007F78CE" w:rsidRDefault="002C16B4" w:rsidP="00B63C19">
            <w:pPr>
              <w:spacing w:after="0" w:line="240" w:lineRule="auto"/>
              <w:contextualSpacing/>
              <w:jc w:val="center"/>
              <w:rPr>
                <w:rFonts w:ascii="Arial Narrow" w:hAnsi="Arial Narrow" w:cs="Arial"/>
                <w:sz w:val="20"/>
                <w:szCs w:val="20"/>
              </w:rPr>
            </w:pPr>
            <w:r>
              <w:rPr>
                <w:rFonts w:ascii="Arial Narrow" w:hAnsi="Arial Narrow" w:cs="Arial"/>
                <w:sz w:val="20"/>
                <w:szCs w:val="20"/>
              </w:rPr>
              <w:t>Ponctuelle</w:t>
            </w:r>
          </w:p>
          <w:p w14:paraId="77CA0002"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863" w:type="dxa"/>
            <w:shd w:val="clear" w:color="auto" w:fill="auto"/>
          </w:tcPr>
          <w:p w14:paraId="1B6F358E"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1466408F"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00" w:type="dxa"/>
            <w:shd w:val="clear" w:color="auto" w:fill="auto"/>
          </w:tcPr>
          <w:p w14:paraId="31C77BBA"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4CE256E0"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38" w:type="dxa"/>
            <w:shd w:val="clear" w:color="auto" w:fill="FFFF00"/>
          </w:tcPr>
          <w:p w14:paraId="222BB415"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01A841E7"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tcPr>
          <w:p w14:paraId="2EF4FE34" w14:textId="77777777" w:rsidR="002C16B4" w:rsidRPr="007F78CE" w:rsidRDefault="002C16B4" w:rsidP="00B63C19">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c>
          <w:tcPr>
            <w:tcW w:w="804" w:type="dxa"/>
            <w:shd w:val="clear" w:color="auto" w:fill="538135"/>
          </w:tcPr>
          <w:p w14:paraId="07C8EF15" w14:textId="77777777" w:rsidR="002C16B4" w:rsidRPr="007F78CE" w:rsidRDefault="002C16B4" w:rsidP="00B63C19">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r>
      <w:tr w:rsidR="00345918" w:rsidRPr="007F78CE" w14:paraId="141AAA3E" w14:textId="77777777" w:rsidTr="00FB04F6">
        <w:trPr>
          <w:jc w:val="center"/>
        </w:trPr>
        <w:tc>
          <w:tcPr>
            <w:tcW w:w="1771" w:type="dxa"/>
          </w:tcPr>
          <w:p w14:paraId="0E132282" w14:textId="77777777" w:rsidR="002C16B4" w:rsidRPr="007F78CE" w:rsidRDefault="002C16B4" w:rsidP="00345918">
            <w:pPr>
              <w:spacing w:after="0" w:line="240" w:lineRule="auto"/>
              <w:contextualSpacing/>
              <w:rPr>
                <w:rFonts w:ascii="Arial Narrow" w:hAnsi="Arial Narrow" w:cs="Arial"/>
                <w:sz w:val="20"/>
                <w:szCs w:val="20"/>
              </w:rPr>
            </w:pPr>
            <w:r>
              <w:rPr>
                <w:rFonts w:ascii="Arial Narrow" w:hAnsi="Arial Narrow" w:cs="Arial"/>
                <w:sz w:val="20"/>
                <w:szCs w:val="20"/>
              </w:rPr>
              <w:t>Réseau électrique</w:t>
            </w:r>
          </w:p>
        </w:tc>
        <w:tc>
          <w:tcPr>
            <w:tcW w:w="1071" w:type="dxa"/>
            <w:shd w:val="clear" w:color="auto" w:fill="auto"/>
          </w:tcPr>
          <w:p w14:paraId="0F1F9345" w14:textId="77777777" w:rsidR="002C16B4" w:rsidRPr="007F78CE" w:rsidRDefault="002C16B4" w:rsidP="00B63C19">
            <w:pPr>
              <w:spacing w:after="0" w:line="240" w:lineRule="auto"/>
              <w:contextualSpacing/>
              <w:jc w:val="center"/>
              <w:rPr>
                <w:rFonts w:ascii="Arial Narrow" w:hAnsi="Arial Narrow" w:cs="Arial"/>
                <w:bCs/>
                <w:sz w:val="20"/>
                <w:szCs w:val="20"/>
              </w:rPr>
            </w:pPr>
            <w:r>
              <w:rPr>
                <w:rFonts w:ascii="Arial Narrow" w:hAnsi="Arial Narrow" w:cs="Arial"/>
                <w:sz w:val="20"/>
                <w:szCs w:val="20"/>
              </w:rPr>
              <w:t xml:space="preserve">Moyenne </w:t>
            </w:r>
          </w:p>
          <w:p w14:paraId="496180D4"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1177" w:type="dxa"/>
            <w:shd w:val="clear" w:color="auto" w:fill="auto"/>
          </w:tcPr>
          <w:p w14:paraId="3C9818C9" w14:textId="77777777" w:rsidR="002C16B4" w:rsidRPr="007F78CE" w:rsidRDefault="002C16B4" w:rsidP="00B63C19">
            <w:pPr>
              <w:spacing w:after="0" w:line="240" w:lineRule="auto"/>
              <w:contextualSpacing/>
              <w:jc w:val="center"/>
              <w:rPr>
                <w:rFonts w:ascii="Arial Narrow" w:hAnsi="Arial Narrow" w:cs="Arial"/>
                <w:sz w:val="20"/>
                <w:szCs w:val="20"/>
              </w:rPr>
            </w:pPr>
            <w:r>
              <w:rPr>
                <w:rFonts w:ascii="Arial Narrow" w:hAnsi="Arial Narrow" w:cs="Arial"/>
                <w:sz w:val="20"/>
                <w:szCs w:val="20"/>
              </w:rPr>
              <w:t>Ponctuelle</w:t>
            </w:r>
          </w:p>
          <w:p w14:paraId="31FBB3B5"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863" w:type="dxa"/>
            <w:shd w:val="clear" w:color="auto" w:fill="auto"/>
          </w:tcPr>
          <w:p w14:paraId="2029F4AE"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049C8D75"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00" w:type="dxa"/>
            <w:shd w:val="clear" w:color="auto" w:fill="auto"/>
          </w:tcPr>
          <w:p w14:paraId="04EB779B"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58582E54"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38" w:type="dxa"/>
            <w:shd w:val="clear" w:color="auto" w:fill="FFFF00"/>
          </w:tcPr>
          <w:p w14:paraId="49F62F1F"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047A939A"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tcPr>
          <w:p w14:paraId="6D7D3E87" w14:textId="77777777" w:rsidR="002C16B4" w:rsidRPr="007F78CE" w:rsidRDefault="002C16B4" w:rsidP="00B63C19">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c>
          <w:tcPr>
            <w:tcW w:w="804" w:type="dxa"/>
            <w:shd w:val="clear" w:color="auto" w:fill="538135"/>
          </w:tcPr>
          <w:p w14:paraId="78D4BB19" w14:textId="77777777" w:rsidR="002C16B4" w:rsidRPr="007F78CE" w:rsidRDefault="002C16B4" w:rsidP="00B63C19">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r>
      <w:tr w:rsidR="00702DFF" w:rsidRPr="007F78CE" w14:paraId="61F7D5A5" w14:textId="77777777" w:rsidTr="00FB04F6">
        <w:trPr>
          <w:jc w:val="center"/>
        </w:trPr>
        <w:tc>
          <w:tcPr>
            <w:tcW w:w="1771" w:type="dxa"/>
          </w:tcPr>
          <w:p w14:paraId="5E01BF40" w14:textId="77777777" w:rsidR="00702DFF" w:rsidRDefault="00702DFF" w:rsidP="00345918">
            <w:pPr>
              <w:spacing w:after="0" w:line="240" w:lineRule="auto"/>
              <w:contextualSpacing/>
              <w:rPr>
                <w:rFonts w:ascii="Arial Narrow" w:hAnsi="Arial Narrow" w:cs="Arial"/>
                <w:sz w:val="20"/>
                <w:szCs w:val="20"/>
              </w:rPr>
            </w:pPr>
            <w:r>
              <w:rPr>
                <w:rFonts w:ascii="Arial Narrow" w:hAnsi="Arial Narrow" w:cs="Arial"/>
                <w:sz w:val="20"/>
                <w:szCs w:val="20"/>
              </w:rPr>
              <w:t>Impact cummulé</w:t>
            </w:r>
          </w:p>
        </w:tc>
        <w:tc>
          <w:tcPr>
            <w:tcW w:w="1071" w:type="dxa"/>
            <w:shd w:val="clear" w:color="auto" w:fill="auto"/>
          </w:tcPr>
          <w:p w14:paraId="0412D2F8" w14:textId="77777777" w:rsidR="00702DFF" w:rsidRPr="007F78CE" w:rsidRDefault="00702DFF" w:rsidP="00D70FB3">
            <w:pPr>
              <w:spacing w:after="0" w:line="240" w:lineRule="auto"/>
              <w:contextualSpacing/>
              <w:jc w:val="center"/>
              <w:rPr>
                <w:rFonts w:ascii="Arial Narrow" w:hAnsi="Arial Narrow" w:cs="Arial"/>
                <w:bCs/>
                <w:sz w:val="20"/>
                <w:szCs w:val="20"/>
              </w:rPr>
            </w:pPr>
            <w:r>
              <w:rPr>
                <w:rFonts w:ascii="Arial Narrow" w:hAnsi="Arial Narrow" w:cs="Arial"/>
                <w:sz w:val="20"/>
                <w:szCs w:val="20"/>
              </w:rPr>
              <w:t xml:space="preserve">Moyenne </w:t>
            </w:r>
          </w:p>
          <w:p w14:paraId="613429F7" w14:textId="77777777" w:rsidR="00702DFF" w:rsidRDefault="00702DFF"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1177" w:type="dxa"/>
            <w:shd w:val="clear" w:color="auto" w:fill="auto"/>
          </w:tcPr>
          <w:p w14:paraId="293AD993" w14:textId="77777777" w:rsidR="00702DFF" w:rsidRPr="007F78CE" w:rsidRDefault="00702DFF" w:rsidP="00D70FB3">
            <w:pPr>
              <w:spacing w:after="0" w:line="240" w:lineRule="auto"/>
              <w:contextualSpacing/>
              <w:jc w:val="center"/>
              <w:rPr>
                <w:rFonts w:ascii="Arial Narrow" w:hAnsi="Arial Narrow" w:cs="Arial"/>
                <w:sz w:val="20"/>
                <w:szCs w:val="20"/>
              </w:rPr>
            </w:pPr>
            <w:r>
              <w:rPr>
                <w:rFonts w:ascii="Arial Narrow" w:hAnsi="Arial Narrow" w:cs="Arial"/>
                <w:sz w:val="20"/>
                <w:szCs w:val="20"/>
              </w:rPr>
              <w:t>Ponctuelle</w:t>
            </w:r>
          </w:p>
          <w:p w14:paraId="51B9A502" w14:textId="77777777" w:rsidR="00702DFF" w:rsidRDefault="00702DFF"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863" w:type="dxa"/>
            <w:shd w:val="clear" w:color="auto" w:fill="auto"/>
          </w:tcPr>
          <w:p w14:paraId="59FC17F0" w14:textId="77777777" w:rsidR="00702DFF" w:rsidRPr="007F78CE" w:rsidRDefault="00702DFF"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372F46B4" w14:textId="77777777" w:rsidR="00702DFF" w:rsidRPr="007F78CE" w:rsidRDefault="00702DFF"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00" w:type="dxa"/>
            <w:shd w:val="clear" w:color="auto" w:fill="auto"/>
          </w:tcPr>
          <w:p w14:paraId="2BB82C2D" w14:textId="77777777" w:rsidR="00702DFF" w:rsidRPr="007F78CE" w:rsidRDefault="00702DFF"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53838A72" w14:textId="77777777" w:rsidR="00702DFF" w:rsidRPr="007F78CE" w:rsidRDefault="00702DFF"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38" w:type="dxa"/>
            <w:shd w:val="clear" w:color="auto" w:fill="FFFF00"/>
          </w:tcPr>
          <w:p w14:paraId="786317EB" w14:textId="77777777" w:rsidR="00702DFF" w:rsidRPr="007F78CE" w:rsidRDefault="00702DFF"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0C9990C7" w14:textId="77777777" w:rsidR="00702DFF" w:rsidRPr="007F78CE" w:rsidRDefault="00702DFF"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tcPr>
          <w:p w14:paraId="7A53E640" w14:textId="77777777" w:rsidR="00702DFF" w:rsidRPr="00FC0D50" w:rsidRDefault="00702DFF" w:rsidP="00B63C19">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c>
          <w:tcPr>
            <w:tcW w:w="804" w:type="dxa"/>
            <w:shd w:val="clear" w:color="auto" w:fill="538135"/>
          </w:tcPr>
          <w:p w14:paraId="7FB51BC8" w14:textId="77777777" w:rsidR="00702DFF" w:rsidRPr="00FC0D50" w:rsidRDefault="00702DFF" w:rsidP="00B63C19">
            <w:pPr>
              <w:spacing w:after="0" w:line="240" w:lineRule="auto"/>
              <w:contextualSpacing/>
              <w:jc w:val="center"/>
              <w:rPr>
                <w:rFonts w:ascii="Arial Narrow" w:hAnsi="Arial Narrow" w:cs="Arial"/>
                <w:sz w:val="20"/>
                <w:szCs w:val="20"/>
              </w:rPr>
            </w:pPr>
            <w:r w:rsidRPr="00FC0D50">
              <w:rPr>
                <w:rFonts w:ascii="Arial Narrow" w:hAnsi="Arial Narrow" w:cs="Arial"/>
                <w:sz w:val="20"/>
                <w:szCs w:val="20"/>
              </w:rPr>
              <w:t>Faible</w:t>
            </w:r>
          </w:p>
        </w:tc>
      </w:tr>
    </w:tbl>
    <w:p w14:paraId="7BCBFCDF" w14:textId="77777777" w:rsidR="00225639" w:rsidRDefault="00225639" w:rsidP="00F01166">
      <w:pPr>
        <w:pStyle w:val="TIT40"/>
        <w:ind w:left="1728"/>
        <w:outlineLvl w:val="3"/>
      </w:pPr>
      <w:bookmarkStart w:id="994" w:name="_Toc98192346"/>
      <w:bookmarkStart w:id="995" w:name="_Toc97835153"/>
      <w:bookmarkStart w:id="996" w:name="_Toc100755460"/>
      <w:bookmarkStart w:id="997" w:name="_Toc124314746"/>
      <w:bookmarkStart w:id="998" w:name="_Toc124956228"/>
      <w:bookmarkStart w:id="999" w:name="_Toc125384623"/>
      <w:bookmarkStart w:id="1000" w:name="_Toc125385012"/>
    </w:p>
    <w:p w14:paraId="5BB0E05C" w14:textId="77777777" w:rsidR="0090044A" w:rsidRPr="00F91FA3" w:rsidRDefault="0090044A" w:rsidP="0044500E">
      <w:pPr>
        <w:pStyle w:val="TIT40"/>
        <w:numPr>
          <w:ilvl w:val="3"/>
          <w:numId w:val="177"/>
        </w:numPr>
        <w:outlineLvl w:val="3"/>
      </w:pPr>
      <w:bookmarkStart w:id="1001" w:name="_Toc127957685"/>
      <w:r w:rsidRPr="00F91FA3">
        <w:t>Phase d’exploitation</w:t>
      </w:r>
      <w:bookmarkEnd w:id="994"/>
      <w:bookmarkEnd w:id="995"/>
      <w:bookmarkEnd w:id="996"/>
      <w:bookmarkEnd w:id="997"/>
      <w:bookmarkEnd w:id="998"/>
      <w:bookmarkEnd w:id="999"/>
      <w:bookmarkEnd w:id="1000"/>
      <w:bookmarkEnd w:id="1001"/>
    </w:p>
    <w:p w14:paraId="2B9C1240" w14:textId="77777777" w:rsidR="0090044A" w:rsidRPr="00403568" w:rsidRDefault="0090044A" w:rsidP="00A31C26">
      <w:pPr>
        <w:pStyle w:val="Style9"/>
        <w:ind w:left="2856"/>
      </w:pPr>
      <w:bookmarkStart w:id="1002" w:name="_Toc98192347"/>
      <w:bookmarkStart w:id="1003" w:name="_Toc97835154"/>
      <w:r w:rsidRPr="00403568">
        <w:t>Impact sur le milieu physique</w:t>
      </w:r>
      <w:bookmarkEnd w:id="1002"/>
      <w:bookmarkEnd w:id="1003"/>
    </w:p>
    <w:p w14:paraId="1D74D926" w14:textId="77777777" w:rsidR="0090044A" w:rsidRPr="007F78CE" w:rsidRDefault="0090044A" w:rsidP="00687DD2">
      <w:pPr>
        <w:pStyle w:val="Titre5"/>
        <w:keepNext w:val="0"/>
        <w:keepLines w:val="0"/>
        <w:numPr>
          <w:ilvl w:val="0"/>
          <w:numId w:val="98"/>
        </w:numPr>
        <w:tabs>
          <w:tab w:val="left" w:pos="708"/>
        </w:tabs>
        <w:spacing w:before="280" w:after="280" w:line="240" w:lineRule="auto"/>
        <w:ind w:left="786"/>
        <w:contextualSpacing/>
        <w:jc w:val="both"/>
        <w:rPr>
          <w:rFonts w:eastAsia="Calibri"/>
          <w:b/>
          <w:bCs/>
        </w:rPr>
      </w:pPr>
      <w:r w:rsidRPr="007F78CE">
        <w:rPr>
          <w:rFonts w:eastAsia="Calibri"/>
          <w:b/>
          <w:bCs/>
        </w:rPr>
        <w:t xml:space="preserve">Au niveau du climat et l’air </w:t>
      </w:r>
    </w:p>
    <w:p w14:paraId="26BB4D9D" w14:textId="77777777" w:rsidR="0090044A" w:rsidRPr="00F91FA3" w:rsidRDefault="0090044A" w:rsidP="00687DD2">
      <w:pPr>
        <w:pStyle w:val="Normal12"/>
        <w:numPr>
          <w:ilvl w:val="0"/>
          <w:numId w:val="85"/>
        </w:numPr>
        <w:ind w:left="1077" w:hanging="357"/>
        <w:contextualSpacing/>
        <w:rPr>
          <w:i/>
          <w:iCs/>
          <w:lang w:val="fr-FR"/>
        </w:rPr>
      </w:pPr>
      <w:r w:rsidRPr="00F91FA3">
        <w:rPr>
          <w:i/>
          <w:iCs/>
          <w:lang w:val="fr-FR"/>
        </w:rPr>
        <w:t>Formation d’</w:t>
      </w:r>
      <w:r w:rsidR="007D2F2E" w:rsidRPr="007D2F2E">
        <w:rPr>
          <w:i/>
          <w:iCs/>
          <w:lang w:val="fr-FR"/>
        </w:rPr>
        <w:t>îlot</w:t>
      </w:r>
      <w:r w:rsidRPr="00F91FA3">
        <w:rPr>
          <w:i/>
          <w:iCs/>
          <w:lang w:val="fr-FR"/>
        </w:rPr>
        <w:t xml:space="preserve"> thermique dans le cas des centrales PV</w:t>
      </w:r>
    </w:p>
    <w:p w14:paraId="7A9D4C75" w14:textId="77777777" w:rsidR="0090044A" w:rsidRPr="008D2A01" w:rsidRDefault="0090044A" w:rsidP="008D2A01">
      <w:pPr>
        <w:spacing w:line="240" w:lineRule="auto"/>
        <w:jc w:val="both"/>
        <w:rPr>
          <w:rFonts w:ascii="Arial" w:hAnsi="Arial" w:cs="Arial"/>
        </w:rPr>
      </w:pPr>
      <w:r w:rsidRPr="008D2A01">
        <w:rPr>
          <w:rFonts w:ascii="Arial" w:hAnsi="Arial" w:cs="Arial"/>
        </w:rPr>
        <w:t xml:space="preserve">Les surfaces modulaires sont sensibles à la radiation, ce qui entraîne un réchauffement rapide et une élévation des températures. Cette augmentation de la température va alors réchauffer les couches d’air qui se trouvent au-dessus des panneaux ce qui va entraîner des courants de convexion et des tourbillonnements d’air. En effet, les températures au-dessus d'une installation </w:t>
      </w:r>
      <w:r w:rsidR="00135FB1">
        <w:rPr>
          <w:rFonts w:ascii="Arial" w:hAnsi="Arial" w:cs="Arial"/>
        </w:rPr>
        <w:t xml:space="preserve">solaire </w:t>
      </w:r>
      <w:r w:rsidRPr="008D2A01">
        <w:rPr>
          <w:rFonts w:ascii="Arial" w:hAnsi="Arial" w:cs="Arial"/>
        </w:rPr>
        <w:t>photovoltaïque étaient régulièrement de 3 à 4 ° C supérieures à celles des zones avoisinantes</w:t>
      </w:r>
      <w:r w:rsidRPr="00B434A6">
        <w:rPr>
          <w:rFonts w:ascii="Arial" w:hAnsi="Arial" w:cs="Arial"/>
          <w:vertAlign w:val="superscript"/>
        </w:rPr>
        <w:footnoteReference w:id="78"/>
      </w:r>
      <w:r w:rsidRPr="008D2A01">
        <w:rPr>
          <w:rFonts w:ascii="Arial" w:hAnsi="Arial" w:cs="Arial"/>
        </w:rPr>
        <w:t xml:space="preserve">. </w:t>
      </w:r>
    </w:p>
    <w:p w14:paraId="7F8B2F31" w14:textId="77777777" w:rsidR="0090044A" w:rsidRPr="008D2A01" w:rsidRDefault="0090044A" w:rsidP="008D2A01">
      <w:pPr>
        <w:spacing w:line="240" w:lineRule="auto"/>
        <w:jc w:val="both"/>
        <w:rPr>
          <w:rFonts w:ascii="Arial" w:hAnsi="Arial" w:cs="Arial"/>
        </w:rPr>
      </w:pPr>
      <w:r w:rsidRPr="008D2A01">
        <w:rPr>
          <w:rFonts w:ascii="Arial" w:hAnsi="Arial" w:cs="Arial"/>
        </w:rPr>
        <w:t>Vu l’espace restreint occupé par les photovoltaïques, ce phénomène sera ponctuel. Ainsi, si les tourbillons se forment, ils seront de faible intensité</w:t>
      </w:r>
      <w:r w:rsidR="00135FB1">
        <w:rPr>
          <w:rFonts w:ascii="Arial" w:hAnsi="Arial" w:cs="Arial"/>
        </w:rPr>
        <w:t xml:space="preserve"> </w:t>
      </w:r>
      <w:r w:rsidR="002C16B4">
        <w:rPr>
          <w:rFonts w:ascii="Arial" w:hAnsi="Arial" w:cs="Arial"/>
        </w:rPr>
        <w:t xml:space="preserve">et le niveau de risque est évalué comme très faible </w:t>
      </w:r>
      <w:r w:rsidR="00135FB1">
        <w:rPr>
          <w:rFonts w:ascii="Arial" w:hAnsi="Arial" w:cs="Arial"/>
        </w:rPr>
        <w:t>selon le tableau  suivant</w:t>
      </w:r>
      <w:r w:rsidRPr="008D2A01">
        <w:rPr>
          <w:rFonts w:ascii="Arial" w:hAnsi="Arial" w:cs="Arial"/>
        </w:rPr>
        <w:t>.</w:t>
      </w:r>
    </w:p>
    <w:p w14:paraId="199E7366" w14:textId="77777777" w:rsidR="0090044A" w:rsidRPr="002E58DC" w:rsidRDefault="0090044A" w:rsidP="002E58DC">
      <w:pPr>
        <w:pStyle w:val="Lgende"/>
        <w:spacing w:before="120"/>
        <w:jc w:val="center"/>
        <w:rPr>
          <w:sz w:val="20"/>
        </w:rPr>
      </w:pPr>
      <w:bookmarkStart w:id="1004" w:name="_Toc100753939"/>
      <w:bookmarkStart w:id="1005" w:name="_Toc127957846"/>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50</w:t>
      </w:r>
      <w:r w:rsidRPr="002E58DC">
        <w:rPr>
          <w:sz w:val="20"/>
        </w:rPr>
        <w:fldChar w:fldCharType="end"/>
      </w:r>
      <w:r w:rsidRPr="002E58DC">
        <w:rPr>
          <w:sz w:val="20"/>
        </w:rPr>
        <w:t xml:space="preserve">. Evaluation </w:t>
      </w:r>
      <w:r w:rsidR="00802A39">
        <w:rPr>
          <w:sz w:val="20"/>
        </w:rPr>
        <w:t xml:space="preserve">de </w:t>
      </w:r>
      <w:r w:rsidRPr="002E58DC">
        <w:rPr>
          <w:sz w:val="20"/>
        </w:rPr>
        <w:t>l’impact –Formation d’îlot thermique</w:t>
      </w:r>
      <w:bookmarkEnd w:id="1004"/>
      <w:bookmarkEnd w:id="1005"/>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206"/>
        <w:gridCol w:w="1148"/>
        <w:gridCol w:w="1486"/>
        <w:gridCol w:w="1473"/>
        <w:gridCol w:w="1378"/>
        <w:gridCol w:w="1378"/>
        <w:tblGridChange w:id="1006">
          <w:tblGrid>
            <w:gridCol w:w="1219"/>
            <w:gridCol w:w="1206"/>
            <w:gridCol w:w="1148"/>
            <w:gridCol w:w="1486"/>
            <w:gridCol w:w="1473"/>
            <w:gridCol w:w="1378"/>
            <w:gridCol w:w="1378"/>
          </w:tblGrid>
        </w:tblGridChange>
      </w:tblGrid>
      <w:tr w:rsidR="002C16B4" w:rsidRPr="007F78CE" w14:paraId="0055B258" w14:textId="77777777" w:rsidTr="00345918">
        <w:trPr>
          <w:jc w:val="center"/>
        </w:trPr>
        <w:tc>
          <w:tcPr>
            <w:tcW w:w="1219" w:type="dxa"/>
            <w:shd w:val="clear" w:color="auto" w:fill="BFBFBF"/>
          </w:tcPr>
          <w:p w14:paraId="6EBDC89F" w14:textId="77777777" w:rsidR="002C16B4" w:rsidRPr="007F78CE" w:rsidRDefault="002C16B4"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206" w:type="dxa"/>
            <w:shd w:val="clear" w:color="auto" w:fill="BFBFBF"/>
          </w:tcPr>
          <w:p w14:paraId="01C6814A" w14:textId="77777777" w:rsidR="002C16B4" w:rsidRPr="007F78CE" w:rsidRDefault="002C16B4"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1148" w:type="dxa"/>
            <w:shd w:val="clear" w:color="auto" w:fill="BFBFBF"/>
          </w:tcPr>
          <w:p w14:paraId="375A9B5F" w14:textId="77777777" w:rsidR="002C16B4" w:rsidRPr="007F78CE" w:rsidRDefault="002C16B4"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486" w:type="dxa"/>
            <w:shd w:val="clear" w:color="auto" w:fill="BFBFBF"/>
          </w:tcPr>
          <w:p w14:paraId="2A075ACA" w14:textId="77777777" w:rsidR="002C16B4" w:rsidRPr="007F78CE" w:rsidRDefault="002C16B4"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473" w:type="dxa"/>
            <w:shd w:val="clear" w:color="auto" w:fill="BFBFBF"/>
          </w:tcPr>
          <w:p w14:paraId="7732C89A" w14:textId="77777777" w:rsidR="002C16B4" w:rsidRPr="007F78CE" w:rsidRDefault="002C16B4"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378" w:type="dxa"/>
            <w:shd w:val="clear" w:color="auto" w:fill="BFBFBF"/>
          </w:tcPr>
          <w:p w14:paraId="7246B840" w14:textId="77777777" w:rsidR="002C16B4" w:rsidRPr="007F78CE" w:rsidRDefault="002C16B4"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1378" w:type="dxa"/>
            <w:shd w:val="clear" w:color="auto" w:fill="BFBFBF"/>
          </w:tcPr>
          <w:p w14:paraId="1E175647" w14:textId="77777777" w:rsidR="002C16B4" w:rsidRPr="007F78CE" w:rsidRDefault="002C16B4" w:rsidP="007F78CE">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345918" w:rsidRPr="007F78CE" w14:paraId="4EB802DC" w14:textId="77777777" w:rsidTr="00FB04F6">
        <w:trPr>
          <w:jc w:val="center"/>
        </w:trPr>
        <w:tc>
          <w:tcPr>
            <w:tcW w:w="1219" w:type="dxa"/>
            <w:shd w:val="clear" w:color="auto" w:fill="auto"/>
          </w:tcPr>
          <w:p w14:paraId="72A7978F" w14:textId="77777777" w:rsidR="002C16B4" w:rsidRPr="007F78CE" w:rsidRDefault="002C16B4"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226E2EA1"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06" w:type="dxa"/>
            <w:shd w:val="clear" w:color="auto" w:fill="auto"/>
          </w:tcPr>
          <w:p w14:paraId="77FFAB14"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2653213E"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148" w:type="dxa"/>
            <w:shd w:val="clear" w:color="auto" w:fill="auto"/>
          </w:tcPr>
          <w:p w14:paraId="5E2F0E7B"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4E4B5F0C"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486" w:type="dxa"/>
            <w:shd w:val="clear" w:color="auto" w:fill="auto"/>
          </w:tcPr>
          <w:p w14:paraId="3C8A2B72"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1BB19752"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473" w:type="dxa"/>
            <w:shd w:val="clear" w:color="auto" w:fill="00B050"/>
          </w:tcPr>
          <w:p w14:paraId="0706F5A4"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310A47AE"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378" w:type="dxa"/>
            <w:shd w:val="clear" w:color="auto" w:fill="auto"/>
          </w:tcPr>
          <w:p w14:paraId="726CB367" w14:textId="77777777" w:rsidR="002C16B4" w:rsidRPr="007F78CE" w:rsidRDefault="002C16B4"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1378" w:type="dxa"/>
            <w:shd w:val="clear" w:color="auto" w:fill="538135"/>
          </w:tcPr>
          <w:p w14:paraId="4F2B6469" w14:textId="77777777" w:rsidR="002C16B4" w:rsidRPr="007F78CE" w:rsidRDefault="002C16B4"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Très faible</w:t>
            </w:r>
          </w:p>
        </w:tc>
      </w:tr>
    </w:tbl>
    <w:p w14:paraId="04528F49" w14:textId="77777777" w:rsidR="0090044A" w:rsidRPr="00FE7376" w:rsidRDefault="0090044A" w:rsidP="00F01166">
      <w:pPr>
        <w:spacing w:after="0"/>
        <w:rPr>
          <w:rFonts w:cs="Arial"/>
          <w:highlight w:val="yellow"/>
        </w:rPr>
      </w:pPr>
    </w:p>
    <w:p w14:paraId="6E4FA36E" w14:textId="77777777" w:rsidR="0090044A" w:rsidRPr="007F78CE" w:rsidRDefault="0090044A" w:rsidP="00345918">
      <w:pPr>
        <w:pStyle w:val="Titre5"/>
        <w:keepNext w:val="0"/>
        <w:keepLines w:val="0"/>
        <w:numPr>
          <w:ilvl w:val="0"/>
          <w:numId w:val="95"/>
        </w:numPr>
        <w:tabs>
          <w:tab w:val="left" w:pos="708"/>
        </w:tabs>
        <w:spacing w:before="120" w:after="120" w:line="240" w:lineRule="auto"/>
        <w:ind w:left="562" w:firstLine="0"/>
        <w:contextualSpacing/>
        <w:jc w:val="both"/>
        <w:rPr>
          <w:rFonts w:eastAsia="Calibri"/>
          <w:b/>
          <w:bCs/>
        </w:rPr>
      </w:pPr>
      <w:r w:rsidRPr="007F78CE">
        <w:rPr>
          <w:rFonts w:eastAsia="Calibri"/>
          <w:b/>
          <w:bCs/>
        </w:rPr>
        <w:t xml:space="preserve">Sol et topographie </w:t>
      </w:r>
    </w:p>
    <w:p w14:paraId="003DB0D8" w14:textId="77777777" w:rsidR="0090044A" w:rsidRPr="00F91FA3" w:rsidRDefault="0090044A" w:rsidP="00F01166">
      <w:pPr>
        <w:pStyle w:val="Normal12"/>
        <w:numPr>
          <w:ilvl w:val="0"/>
          <w:numId w:val="85"/>
        </w:numPr>
        <w:spacing w:before="120" w:after="120"/>
        <w:contextualSpacing/>
        <w:rPr>
          <w:i/>
          <w:iCs/>
          <w:lang w:val="fr-FR"/>
        </w:rPr>
      </w:pPr>
      <w:r w:rsidRPr="00F91FA3">
        <w:rPr>
          <w:i/>
          <w:iCs/>
          <w:lang w:val="fr-FR"/>
        </w:rPr>
        <w:t>Erosion du sol au niveau des centrales PV</w:t>
      </w:r>
    </w:p>
    <w:p w14:paraId="59B607F0" w14:textId="77777777" w:rsidR="0090044A" w:rsidRPr="008D2A01" w:rsidRDefault="0090044A" w:rsidP="008D2A01">
      <w:pPr>
        <w:spacing w:line="240" w:lineRule="auto"/>
        <w:jc w:val="both"/>
        <w:rPr>
          <w:rFonts w:ascii="Arial" w:hAnsi="Arial" w:cs="Arial"/>
        </w:rPr>
      </w:pPr>
      <w:r w:rsidRPr="008D2A01">
        <w:rPr>
          <w:rFonts w:ascii="Arial" w:hAnsi="Arial" w:cs="Arial"/>
        </w:rPr>
        <w:t>L’écoulement de l’eau à la surface des modules et leur passage dans les espaces inter modules, associé à la chute libre de l’eau peut engendrer un effet "splash" (érosion d’un sol nu provoquée par l’impact des gouttes d’eau). Ce phénomène s’accompagne d’un déplacement de particules fines et d’un tassement du sol, à l’origine d’une dégradation de la structure et de la formation d’une pellicule de battance (légère croûte superficielle).</w:t>
      </w:r>
    </w:p>
    <w:p w14:paraId="375B683E" w14:textId="77777777" w:rsidR="0090044A" w:rsidRPr="008D2A01" w:rsidRDefault="0090044A" w:rsidP="008D2A01">
      <w:pPr>
        <w:spacing w:line="240" w:lineRule="auto"/>
        <w:jc w:val="both"/>
        <w:rPr>
          <w:rFonts w:ascii="Arial" w:hAnsi="Arial" w:cs="Arial"/>
        </w:rPr>
      </w:pPr>
      <w:r w:rsidRPr="008D2A01">
        <w:rPr>
          <w:rFonts w:ascii="Arial" w:hAnsi="Arial" w:cs="Arial"/>
        </w:rPr>
        <w:t>Le dommage causé par l’effet « splash » dépend du nombre de modules superposés à l’intérieur d’une rangée modulaire individuelle et aussi de l’inclinaison du terrain.</w:t>
      </w:r>
    </w:p>
    <w:p w14:paraId="48BAE385" w14:textId="77777777" w:rsidR="0090044A" w:rsidRPr="008D2A01" w:rsidRDefault="0090044A" w:rsidP="008D2A01">
      <w:pPr>
        <w:spacing w:line="240" w:lineRule="auto"/>
        <w:jc w:val="both"/>
        <w:rPr>
          <w:rFonts w:ascii="Arial" w:hAnsi="Arial" w:cs="Arial"/>
        </w:rPr>
      </w:pPr>
      <w:r w:rsidRPr="008D2A01">
        <w:rPr>
          <w:rFonts w:ascii="Arial" w:hAnsi="Arial" w:cs="Arial"/>
        </w:rPr>
        <w:t>Ainsi, l’importance de l’érosion du sol est considérée comme « Mineure »</w:t>
      </w:r>
      <w:r w:rsidR="00135FB1">
        <w:rPr>
          <w:rFonts w:ascii="Arial" w:hAnsi="Arial" w:cs="Arial"/>
        </w:rPr>
        <w:t xml:space="preserve"> </w:t>
      </w:r>
      <w:r w:rsidR="002C16B4">
        <w:rPr>
          <w:rFonts w:ascii="Arial" w:hAnsi="Arial" w:cs="Arial"/>
        </w:rPr>
        <w:t xml:space="preserve">avec un niveau de risque très faible </w:t>
      </w:r>
      <w:r w:rsidR="00135FB1">
        <w:rPr>
          <w:rFonts w:ascii="Arial" w:hAnsi="Arial" w:cs="Arial"/>
        </w:rPr>
        <w:t>selon le tableau 46 ci-dessous</w:t>
      </w:r>
      <w:r w:rsidRPr="008D2A01">
        <w:rPr>
          <w:rFonts w:ascii="Arial" w:hAnsi="Arial" w:cs="Arial"/>
        </w:rPr>
        <w:t>.</w:t>
      </w:r>
    </w:p>
    <w:p w14:paraId="44B74CB8" w14:textId="77777777" w:rsidR="0090044A" w:rsidRPr="002E58DC" w:rsidRDefault="0090044A" w:rsidP="002E58DC">
      <w:pPr>
        <w:pStyle w:val="Lgende"/>
        <w:spacing w:before="120"/>
        <w:jc w:val="center"/>
        <w:rPr>
          <w:sz w:val="20"/>
        </w:rPr>
      </w:pPr>
      <w:bookmarkStart w:id="1007" w:name="_Toc100753940"/>
      <w:bookmarkStart w:id="1008" w:name="_Toc127957847"/>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51</w:t>
      </w:r>
      <w:r w:rsidRPr="002E58DC">
        <w:rPr>
          <w:sz w:val="20"/>
        </w:rPr>
        <w:fldChar w:fldCharType="end"/>
      </w:r>
      <w:r w:rsidRPr="002E58DC">
        <w:rPr>
          <w:sz w:val="20"/>
        </w:rPr>
        <w:t xml:space="preserve">. Evaluation </w:t>
      </w:r>
      <w:r w:rsidR="00802A39">
        <w:rPr>
          <w:sz w:val="20"/>
        </w:rPr>
        <w:t xml:space="preserve">de </w:t>
      </w:r>
      <w:r w:rsidRPr="002E58DC">
        <w:rPr>
          <w:sz w:val="20"/>
        </w:rPr>
        <w:t>l’impact – Erosion du sol nu par l'impact des gouttes d'eau des PV</w:t>
      </w:r>
      <w:bookmarkEnd w:id="1007"/>
      <w:bookmarkEnd w:id="1008"/>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7"/>
        <w:gridCol w:w="1327"/>
        <w:gridCol w:w="1236"/>
        <w:gridCol w:w="1537"/>
        <w:gridCol w:w="1445"/>
        <w:gridCol w:w="1253"/>
        <w:gridCol w:w="1253"/>
        <w:tblGridChange w:id="1009">
          <w:tblGrid>
            <w:gridCol w:w="1237"/>
            <w:gridCol w:w="1327"/>
            <w:gridCol w:w="1236"/>
            <w:gridCol w:w="1537"/>
            <w:gridCol w:w="1445"/>
            <w:gridCol w:w="1253"/>
            <w:gridCol w:w="1253"/>
          </w:tblGrid>
        </w:tblGridChange>
      </w:tblGrid>
      <w:tr w:rsidR="002C16B4" w:rsidRPr="007F78CE" w14:paraId="4FCA8D5B" w14:textId="77777777" w:rsidTr="00345918">
        <w:trPr>
          <w:jc w:val="center"/>
        </w:trPr>
        <w:tc>
          <w:tcPr>
            <w:tcW w:w="1237" w:type="dxa"/>
            <w:shd w:val="clear" w:color="auto" w:fill="BFBFBF"/>
          </w:tcPr>
          <w:p w14:paraId="4706FBCC" w14:textId="77777777" w:rsidR="002C16B4" w:rsidRPr="007F78CE" w:rsidRDefault="002C16B4" w:rsidP="007F78CE">
            <w:pPr>
              <w:spacing w:after="0" w:line="240" w:lineRule="auto"/>
              <w:rPr>
                <w:rFonts w:ascii="Arial Narrow" w:hAnsi="Arial Narrow"/>
                <w:b/>
                <w:sz w:val="20"/>
                <w:szCs w:val="20"/>
              </w:rPr>
            </w:pPr>
            <w:r w:rsidRPr="007F78CE">
              <w:rPr>
                <w:rFonts w:ascii="Arial Narrow" w:hAnsi="Arial Narrow"/>
                <w:b/>
                <w:bCs/>
                <w:sz w:val="20"/>
                <w:szCs w:val="20"/>
              </w:rPr>
              <w:t xml:space="preserve">Intensité </w:t>
            </w:r>
          </w:p>
        </w:tc>
        <w:tc>
          <w:tcPr>
            <w:tcW w:w="1327" w:type="dxa"/>
            <w:shd w:val="clear" w:color="auto" w:fill="BFBFBF"/>
          </w:tcPr>
          <w:p w14:paraId="71F6897D" w14:textId="77777777" w:rsidR="002C16B4" w:rsidRPr="007F78CE" w:rsidRDefault="002C16B4"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1236" w:type="dxa"/>
            <w:shd w:val="clear" w:color="auto" w:fill="BFBFBF"/>
          </w:tcPr>
          <w:p w14:paraId="1A056C16" w14:textId="77777777" w:rsidR="002C16B4" w:rsidRPr="007F78CE" w:rsidRDefault="002C16B4"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537" w:type="dxa"/>
            <w:shd w:val="clear" w:color="auto" w:fill="BFBFBF"/>
          </w:tcPr>
          <w:p w14:paraId="5D103C37" w14:textId="77777777" w:rsidR="002C16B4" w:rsidRPr="007F78CE" w:rsidRDefault="002C16B4"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445" w:type="dxa"/>
            <w:shd w:val="clear" w:color="auto" w:fill="BFBFBF"/>
          </w:tcPr>
          <w:p w14:paraId="52E2FAF9" w14:textId="77777777" w:rsidR="002C16B4" w:rsidRPr="007F78CE" w:rsidRDefault="002C16B4"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253" w:type="dxa"/>
            <w:shd w:val="clear" w:color="auto" w:fill="auto"/>
          </w:tcPr>
          <w:p w14:paraId="68C2F8FF" w14:textId="77777777" w:rsidR="002C16B4" w:rsidRPr="007F78CE" w:rsidRDefault="002C16B4"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1253" w:type="dxa"/>
            <w:shd w:val="clear" w:color="auto" w:fill="auto"/>
          </w:tcPr>
          <w:p w14:paraId="1AD746F9" w14:textId="77777777" w:rsidR="002C16B4" w:rsidRPr="007F78CE" w:rsidRDefault="002C16B4" w:rsidP="007F78CE">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345918" w:rsidRPr="007F78CE" w14:paraId="3A6BB508" w14:textId="77777777" w:rsidTr="00FB04F6">
        <w:trPr>
          <w:jc w:val="center"/>
        </w:trPr>
        <w:tc>
          <w:tcPr>
            <w:tcW w:w="1237" w:type="dxa"/>
            <w:shd w:val="clear" w:color="auto" w:fill="auto"/>
          </w:tcPr>
          <w:p w14:paraId="289DC02A" w14:textId="77777777" w:rsidR="002C16B4" w:rsidRPr="007F78CE" w:rsidRDefault="002C16B4"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46E1D882"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27" w:type="dxa"/>
            <w:shd w:val="clear" w:color="auto" w:fill="auto"/>
          </w:tcPr>
          <w:p w14:paraId="613BD77B"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4FC664DF"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36" w:type="dxa"/>
            <w:shd w:val="clear" w:color="auto" w:fill="auto"/>
          </w:tcPr>
          <w:p w14:paraId="09189B07"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1000111F"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537" w:type="dxa"/>
            <w:shd w:val="clear" w:color="auto" w:fill="auto"/>
          </w:tcPr>
          <w:p w14:paraId="6D9D80DD"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4E659DBD"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445" w:type="dxa"/>
            <w:shd w:val="clear" w:color="auto" w:fill="00B050"/>
          </w:tcPr>
          <w:p w14:paraId="2B613474"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4B2602FB"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253" w:type="dxa"/>
            <w:shd w:val="clear" w:color="auto" w:fill="auto"/>
          </w:tcPr>
          <w:p w14:paraId="0C4D43E8" w14:textId="77777777" w:rsidR="002C16B4" w:rsidRPr="007F78CE" w:rsidRDefault="002C16B4"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1253" w:type="dxa"/>
            <w:shd w:val="clear" w:color="auto" w:fill="538135"/>
          </w:tcPr>
          <w:p w14:paraId="0B32E444" w14:textId="77777777" w:rsidR="002C16B4" w:rsidRPr="007F78CE" w:rsidRDefault="002C16B4"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Très faible</w:t>
            </w:r>
          </w:p>
        </w:tc>
      </w:tr>
    </w:tbl>
    <w:p w14:paraId="510CD3D0" w14:textId="77777777" w:rsidR="0090044A" w:rsidRPr="007F78CE" w:rsidRDefault="0090044A" w:rsidP="00345918">
      <w:pPr>
        <w:pStyle w:val="Titre5"/>
        <w:keepNext w:val="0"/>
        <w:keepLines w:val="0"/>
        <w:numPr>
          <w:ilvl w:val="0"/>
          <w:numId w:val="95"/>
        </w:numPr>
        <w:tabs>
          <w:tab w:val="left" w:pos="708"/>
        </w:tabs>
        <w:spacing w:before="280" w:after="280" w:line="240" w:lineRule="auto"/>
        <w:ind w:left="567" w:firstLine="0"/>
        <w:contextualSpacing/>
        <w:jc w:val="both"/>
        <w:rPr>
          <w:rFonts w:eastAsia="Calibri"/>
          <w:b/>
          <w:bCs/>
        </w:rPr>
      </w:pPr>
      <w:r w:rsidRPr="007F78CE">
        <w:rPr>
          <w:rFonts w:eastAsia="Calibri"/>
          <w:b/>
          <w:bCs/>
        </w:rPr>
        <w:t>Paysage</w:t>
      </w:r>
    </w:p>
    <w:p w14:paraId="7426BF95" w14:textId="77777777" w:rsidR="0090044A" w:rsidRPr="00DB2E8E" w:rsidRDefault="0090044A" w:rsidP="00F01166">
      <w:pPr>
        <w:pStyle w:val="Normal12"/>
        <w:numPr>
          <w:ilvl w:val="0"/>
          <w:numId w:val="85"/>
        </w:numPr>
        <w:spacing w:before="120" w:after="120"/>
        <w:contextualSpacing/>
        <w:rPr>
          <w:i/>
          <w:iCs/>
          <w:lang w:val="fr-FR"/>
        </w:rPr>
      </w:pPr>
      <w:r w:rsidRPr="00DB2E8E">
        <w:rPr>
          <w:i/>
          <w:iCs/>
          <w:lang w:val="fr-FR"/>
        </w:rPr>
        <w:t xml:space="preserve">Modification du paysage </w:t>
      </w:r>
    </w:p>
    <w:p w14:paraId="0D909BFC" w14:textId="77777777" w:rsidR="0090044A" w:rsidRPr="00C41583" w:rsidRDefault="0090044A" w:rsidP="00C41583">
      <w:pPr>
        <w:spacing w:line="240" w:lineRule="auto"/>
        <w:jc w:val="both"/>
        <w:rPr>
          <w:rFonts w:ascii="Arial" w:hAnsi="Arial" w:cs="Arial"/>
        </w:rPr>
      </w:pPr>
      <w:r w:rsidRPr="00C41583">
        <w:rPr>
          <w:rFonts w:ascii="Arial" w:hAnsi="Arial" w:cs="Arial"/>
        </w:rPr>
        <w:t xml:space="preserve">Il s’agit surtout de l’harmonie du paysage d’implantation des infrastructures. L’impact visuel sur le site sera dû à la présence des infrastructures et la modification du profil au niveau des gîtes d’emprunts et carrières. Notons que l’intensité de cette nuisance est en fonction de la visibilité du site, de ses caractéristiques (forêt, savane…) notamment pour les tours cellulaires et les centrales </w:t>
      </w:r>
      <w:r w:rsidR="00135FB1">
        <w:rPr>
          <w:rFonts w:ascii="Arial" w:hAnsi="Arial" w:cs="Arial"/>
        </w:rPr>
        <w:t xml:space="preserve">solaires </w:t>
      </w:r>
      <w:r w:rsidRPr="00C41583">
        <w:rPr>
          <w:rFonts w:ascii="Arial" w:hAnsi="Arial" w:cs="Arial"/>
        </w:rPr>
        <w:t xml:space="preserve">PV ainsi que de la densité de la circulation. Dans ce sens, un site se trouvant à proximité d’une route principale ou à hauteur de vue des passants générera plus de nuisances qu’un site dans un endroit plat loin de toute habitation et occupation. </w:t>
      </w:r>
      <w:r w:rsidR="00135FB1">
        <w:rPr>
          <w:rFonts w:ascii="Arial" w:hAnsi="Arial" w:cs="Arial"/>
        </w:rPr>
        <w:t>En revanche</w:t>
      </w:r>
      <w:r w:rsidRPr="00C41583">
        <w:rPr>
          <w:rFonts w:ascii="Arial" w:hAnsi="Arial" w:cs="Arial"/>
        </w:rPr>
        <w:t>, la durée de cette nuisance sera à moyen terme et l’étendue très localisée dans l’espace. Cet impact aura donc une importance « </w:t>
      </w:r>
      <w:r w:rsidR="0079003E" w:rsidRPr="00C41583">
        <w:rPr>
          <w:rFonts w:ascii="Arial" w:hAnsi="Arial" w:cs="Arial"/>
        </w:rPr>
        <w:t>M</w:t>
      </w:r>
      <w:r w:rsidR="0079003E">
        <w:rPr>
          <w:rFonts w:ascii="Arial" w:hAnsi="Arial" w:cs="Arial"/>
        </w:rPr>
        <w:t>oyenne</w:t>
      </w:r>
      <w:r w:rsidR="0079003E" w:rsidRPr="00C41583">
        <w:rPr>
          <w:rFonts w:ascii="Arial" w:hAnsi="Arial" w:cs="Arial"/>
        </w:rPr>
        <w:t> </w:t>
      </w:r>
      <w:r w:rsidRPr="00C41583">
        <w:rPr>
          <w:rFonts w:ascii="Arial" w:hAnsi="Arial" w:cs="Arial"/>
        </w:rPr>
        <w:t>»</w:t>
      </w:r>
      <w:r w:rsidR="002C16B4">
        <w:rPr>
          <w:rFonts w:ascii="Arial" w:hAnsi="Arial" w:cs="Arial"/>
        </w:rPr>
        <w:t>. Pour le niveau de risque, il est considéré comme faible pour l’infrastructure numérique</w:t>
      </w:r>
      <w:r w:rsidR="00135FB1">
        <w:rPr>
          <w:rFonts w:ascii="Arial" w:hAnsi="Arial" w:cs="Arial"/>
        </w:rPr>
        <w:t xml:space="preserve"> </w:t>
      </w:r>
      <w:r w:rsidR="002C16B4">
        <w:rPr>
          <w:rFonts w:ascii="Arial" w:hAnsi="Arial" w:cs="Arial"/>
        </w:rPr>
        <w:t xml:space="preserve">et très faible pour les autres sous projets </w:t>
      </w:r>
      <w:r w:rsidR="00135FB1">
        <w:rPr>
          <w:rFonts w:ascii="Arial" w:hAnsi="Arial" w:cs="Arial"/>
        </w:rPr>
        <w:t>selon le tableau suivant.</w:t>
      </w:r>
    </w:p>
    <w:p w14:paraId="7FBCD8E7" w14:textId="77777777" w:rsidR="0090044A" w:rsidRPr="002E58DC" w:rsidRDefault="0090044A" w:rsidP="002E58DC">
      <w:pPr>
        <w:pStyle w:val="Lgende"/>
        <w:spacing w:before="120"/>
        <w:jc w:val="center"/>
        <w:rPr>
          <w:sz w:val="20"/>
        </w:rPr>
      </w:pPr>
      <w:bookmarkStart w:id="1010" w:name="_Toc127957848"/>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52</w:t>
      </w:r>
      <w:r w:rsidRPr="002E58DC">
        <w:rPr>
          <w:sz w:val="20"/>
        </w:rPr>
        <w:fldChar w:fldCharType="end"/>
      </w:r>
      <w:r w:rsidRPr="002E58DC">
        <w:rPr>
          <w:sz w:val="20"/>
        </w:rPr>
        <w:t xml:space="preserve">. Evaluation </w:t>
      </w:r>
      <w:r w:rsidR="00802A39">
        <w:rPr>
          <w:sz w:val="20"/>
        </w:rPr>
        <w:t xml:space="preserve">de </w:t>
      </w:r>
      <w:r w:rsidRPr="002E58DC">
        <w:rPr>
          <w:sz w:val="20"/>
        </w:rPr>
        <w:t>l’impact –Modification du paysage</w:t>
      </w:r>
      <w:bookmarkEnd w:id="1010"/>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011"/>
        <w:gridCol w:w="1064"/>
        <w:gridCol w:w="974"/>
        <w:gridCol w:w="1300"/>
        <w:gridCol w:w="1252"/>
        <w:gridCol w:w="1064"/>
        <w:gridCol w:w="810"/>
        <w:tblGridChange w:id="1011">
          <w:tblGrid>
            <w:gridCol w:w="1813"/>
            <w:gridCol w:w="1011"/>
            <w:gridCol w:w="1064"/>
            <w:gridCol w:w="974"/>
            <w:gridCol w:w="1300"/>
            <w:gridCol w:w="1252"/>
            <w:gridCol w:w="1064"/>
            <w:gridCol w:w="810"/>
          </w:tblGrid>
        </w:tblGridChange>
      </w:tblGrid>
      <w:tr w:rsidR="002C16B4" w:rsidRPr="007F78CE" w14:paraId="621D3741" w14:textId="77777777" w:rsidTr="00345918">
        <w:trPr>
          <w:jc w:val="center"/>
        </w:trPr>
        <w:tc>
          <w:tcPr>
            <w:tcW w:w="1813" w:type="dxa"/>
            <w:shd w:val="clear" w:color="auto" w:fill="BFBFBF"/>
          </w:tcPr>
          <w:p w14:paraId="0ADA0544" w14:textId="77777777" w:rsidR="002C16B4" w:rsidRPr="007F78CE" w:rsidRDefault="00A73AF6" w:rsidP="002C16B4">
            <w:pPr>
              <w:spacing w:after="0" w:line="240" w:lineRule="auto"/>
              <w:rPr>
                <w:rFonts w:ascii="Arial Narrow" w:hAnsi="Arial Narrow"/>
                <w:b/>
                <w:bCs/>
                <w:sz w:val="20"/>
                <w:szCs w:val="20"/>
              </w:rPr>
            </w:pPr>
            <w:r>
              <w:rPr>
                <w:rFonts w:ascii="Arial Narrow" w:hAnsi="Arial Narrow"/>
                <w:b/>
                <w:bCs/>
                <w:sz w:val="20"/>
                <w:szCs w:val="20"/>
              </w:rPr>
              <w:t>Sous Projet</w:t>
            </w:r>
            <w:r w:rsidRPr="00DB2CAD" w:rsidDel="00A73AF6">
              <w:rPr>
                <w:rFonts w:ascii="Arial Narrow" w:hAnsi="Arial Narrow"/>
                <w:b/>
                <w:bCs/>
                <w:sz w:val="20"/>
                <w:szCs w:val="20"/>
              </w:rPr>
              <w:t xml:space="preserve"> </w:t>
            </w:r>
          </w:p>
        </w:tc>
        <w:tc>
          <w:tcPr>
            <w:tcW w:w="1011" w:type="dxa"/>
            <w:shd w:val="clear" w:color="auto" w:fill="BFBFBF"/>
          </w:tcPr>
          <w:p w14:paraId="6908B22E" w14:textId="77777777" w:rsidR="002C16B4" w:rsidRPr="007F78CE" w:rsidRDefault="002C16B4" w:rsidP="007F78CE">
            <w:pPr>
              <w:spacing w:after="0" w:line="240" w:lineRule="auto"/>
              <w:rPr>
                <w:rFonts w:ascii="Arial Narrow" w:hAnsi="Arial Narrow"/>
                <w:b/>
                <w:sz w:val="20"/>
                <w:szCs w:val="20"/>
              </w:rPr>
            </w:pPr>
            <w:r w:rsidRPr="007F78CE">
              <w:rPr>
                <w:rFonts w:ascii="Arial Narrow" w:hAnsi="Arial Narrow"/>
                <w:b/>
                <w:bCs/>
                <w:sz w:val="20"/>
                <w:szCs w:val="20"/>
              </w:rPr>
              <w:t xml:space="preserve">Intensité </w:t>
            </w:r>
          </w:p>
        </w:tc>
        <w:tc>
          <w:tcPr>
            <w:tcW w:w="1064" w:type="dxa"/>
            <w:shd w:val="clear" w:color="auto" w:fill="BFBFBF"/>
          </w:tcPr>
          <w:p w14:paraId="0DA87C8F" w14:textId="77777777" w:rsidR="002C16B4" w:rsidRPr="007F78CE" w:rsidRDefault="002C16B4"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974" w:type="dxa"/>
            <w:shd w:val="clear" w:color="auto" w:fill="BFBFBF"/>
          </w:tcPr>
          <w:p w14:paraId="13BF385E" w14:textId="77777777" w:rsidR="002C16B4" w:rsidRPr="007F78CE" w:rsidRDefault="002C16B4"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300" w:type="dxa"/>
            <w:shd w:val="clear" w:color="auto" w:fill="BFBFBF"/>
          </w:tcPr>
          <w:p w14:paraId="29E22D64" w14:textId="77777777" w:rsidR="002C16B4" w:rsidRPr="007F78CE" w:rsidRDefault="002C16B4"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252" w:type="dxa"/>
            <w:shd w:val="clear" w:color="auto" w:fill="BFBFBF"/>
          </w:tcPr>
          <w:p w14:paraId="64F4147E" w14:textId="77777777" w:rsidR="002C16B4" w:rsidRPr="007F78CE" w:rsidRDefault="002C16B4"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auto"/>
          </w:tcPr>
          <w:p w14:paraId="02C30456" w14:textId="77777777" w:rsidR="002C16B4" w:rsidRPr="007F78CE" w:rsidRDefault="002C16B4"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810" w:type="dxa"/>
            <w:shd w:val="clear" w:color="auto" w:fill="auto"/>
          </w:tcPr>
          <w:p w14:paraId="0E8A1390" w14:textId="77777777" w:rsidR="002C16B4" w:rsidRPr="007F78CE" w:rsidRDefault="002C16B4" w:rsidP="007F78CE">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345918" w:rsidRPr="007F78CE" w14:paraId="596822C8" w14:textId="77777777" w:rsidTr="00FB04F6">
        <w:trPr>
          <w:jc w:val="center"/>
        </w:trPr>
        <w:tc>
          <w:tcPr>
            <w:tcW w:w="1813" w:type="dxa"/>
          </w:tcPr>
          <w:p w14:paraId="15DDB572" w14:textId="77777777" w:rsidR="002C16B4" w:rsidRPr="007F78CE" w:rsidRDefault="002C16B4" w:rsidP="00B434A6">
            <w:pPr>
              <w:spacing w:after="0" w:line="240" w:lineRule="auto"/>
              <w:contextualSpacing/>
              <w:rPr>
                <w:rFonts w:ascii="Arial Narrow" w:hAnsi="Arial Narrow" w:cs="Arial"/>
                <w:sz w:val="20"/>
                <w:szCs w:val="20"/>
              </w:rPr>
            </w:pPr>
            <w:r>
              <w:rPr>
                <w:rFonts w:ascii="Arial Narrow" w:hAnsi="Arial Narrow" w:cs="Arial"/>
                <w:sz w:val="20"/>
                <w:szCs w:val="20"/>
              </w:rPr>
              <w:t>Infrastructures numériques</w:t>
            </w:r>
          </w:p>
        </w:tc>
        <w:tc>
          <w:tcPr>
            <w:tcW w:w="1011" w:type="dxa"/>
            <w:shd w:val="clear" w:color="auto" w:fill="auto"/>
          </w:tcPr>
          <w:p w14:paraId="7586A16A" w14:textId="77777777" w:rsidR="002C16B4" w:rsidRPr="007F78CE" w:rsidRDefault="002C16B4"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48EB58E4"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64" w:type="dxa"/>
            <w:shd w:val="clear" w:color="auto" w:fill="auto"/>
          </w:tcPr>
          <w:p w14:paraId="07BE0690"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200E6CB9"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74" w:type="dxa"/>
            <w:shd w:val="clear" w:color="auto" w:fill="auto"/>
          </w:tcPr>
          <w:p w14:paraId="646DC7B4" w14:textId="77777777" w:rsidR="002C16B4" w:rsidRPr="007F78CE" w:rsidRDefault="002C16B4"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longue </w:t>
            </w:r>
          </w:p>
          <w:p w14:paraId="62931DB4" w14:textId="77777777" w:rsidR="002C16B4" w:rsidRPr="007F78CE" w:rsidRDefault="002C16B4" w:rsidP="0079003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3</w:t>
            </w:r>
            <w:r w:rsidRPr="007F78CE">
              <w:rPr>
                <w:rFonts w:ascii="Arial Narrow" w:hAnsi="Arial Narrow" w:cs="Arial"/>
                <w:sz w:val="20"/>
                <w:szCs w:val="20"/>
              </w:rPr>
              <w:t>)</w:t>
            </w:r>
          </w:p>
        </w:tc>
        <w:tc>
          <w:tcPr>
            <w:tcW w:w="1300" w:type="dxa"/>
            <w:shd w:val="clear" w:color="auto" w:fill="auto"/>
          </w:tcPr>
          <w:p w14:paraId="40E77003"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09C0F2F8"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52" w:type="dxa"/>
            <w:shd w:val="clear" w:color="auto" w:fill="FFFF00"/>
          </w:tcPr>
          <w:p w14:paraId="4A35B955" w14:textId="77777777" w:rsidR="002C16B4" w:rsidRPr="007F78CE" w:rsidRDefault="002C16B4"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p w14:paraId="0A13D649"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6</w:t>
            </w:r>
            <w:r w:rsidRPr="007F78CE">
              <w:rPr>
                <w:rFonts w:ascii="Arial Narrow" w:hAnsi="Arial Narrow" w:cs="Arial"/>
                <w:sz w:val="20"/>
                <w:szCs w:val="20"/>
              </w:rPr>
              <w:t>)</w:t>
            </w:r>
          </w:p>
        </w:tc>
        <w:tc>
          <w:tcPr>
            <w:tcW w:w="1064" w:type="dxa"/>
            <w:shd w:val="clear" w:color="auto" w:fill="auto"/>
          </w:tcPr>
          <w:p w14:paraId="36107148" w14:textId="77777777" w:rsidR="002C16B4" w:rsidRDefault="002C16B4"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810" w:type="dxa"/>
            <w:shd w:val="clear" w:color="auto" w:fill="BFBFBF"/>
          </w:tcPr>
          <w:p w14:paraId="2FD6AAED" w14:textId="77777777" w:rsidR="002C16B4" w:rsidRDefault="002C16B4"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r w:rsidR="00345918" w:rsidRPr="007F78CE" w14:paraId="7E077B61" w14:textId="77777777" w:rsidTr="00FB04F6">
        <w:trPr>
          <w:jc w:val="center"/>
        </w:trPr>
        <w:tc>
          <w:tcPr>
            <w:tcW w:w="1813" w:type="dxa"/>
          </w:tcPr>
          <w:p w14:paraId="0B0B46F3" w14:textId="77777777" w:rsidR="002C16B4" w:rsidRPr="007F78CE" w:rsidRDefault="002C16B4" w:rsidP="00B434A6">
            <w:pPr>
              <w:spacing w:after="0" w:line="240" w:lineRule="auto"/>
              <w:contextualSpacing/>
              <w:rPr>
                <w:rFonts w:ascii="Arial Narrow" w:eastAsia="Times New Roman" w:hAnsi="Arial Narrow" w:cs="Arial"/>
                <w:b/>
                <w:smallCaps/>
                <w:color w:val="000000"/>
                <w:sz w:val="20"/>
                <w:szCs w:val="20"/>
              </w:rPr>
            </w:pPr>
            <w:r>
              <w:rPr>
                <w:rFonts w:ascii="Arial Narrow" w:hAnsi="Arial Narrow" w:cs="Arial"/>
                <w:sz w:val="20"/>
                <w:szCs w:val="20"/>
              </w:rPr>
              <w:t>Centrale électrique solaire</w:t>
            </w:r>
          </w:p>
        </w:tc>
        <w:tc>
          <w:tcPr>
            <w:tcW w:w="1011" w:type="dxa"/>
            <w:shd w:val="clear" w:color="auto" w:fill="auto"/>
          </w:tcPr>
          <w:p w14:paraId="4AAD8828" w14:textId="77777777" w:rsidR="002C16B4" w:rsidRPr="007F78CE" w:rsidRDefault="002C16B4" w:rsidP="00B63C19">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7E4D42FD"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64" w:type="dxa"/>
            <w:shd w:val="clear" w:color="auto" w:fill="auto"/>
          </w:tcPr>
          <w:p w14:paraId="750FE9A7"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7E83B4B5"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74" w:type="dxa"/>
            <w:shd w:val="clear" w:color="auto" w:fill="auto"/>
          </w:tcPr>
          <w:p w14:paraId="1DB88C80" w14:textId="77777777" w:rsidR="002C16B4" w:rsidRPr="007F78CE" w:rsidRDefault="002C16B4" w:rsidP="00B63C19">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longue </w:t>
            </w:r>
          </w:p>
          <w:p w14:paraId="4BF2D102"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3</w:t>
            </w:r>
            <w:r w:rsidRPr="007F78CE">
              <w:rPr>
                <w:rFonts w:ascii="Arial Narrow" w:hAnsi="Arial Narrow" w:cs="Arial"/>
                <w:sz w:val="20"/>
                <w:szCs w:val="20"/>
              </w:rPr>
              <w:t>)</w:t>
            </w:r>
          </w:p>
        </w:tc>
        <w:tc>
          <w:tcPr>
            <w:tcW w:w="1300" w:type="dxa"/>
            <w:shd w:val="clear" w:color="auto" w:fill="auto"/>
          </w:tcPr>
          <w:p w14:paraId="3D4910A5"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37105864"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52" w:type="dxa"/>
            <w:shd w:val="clear" w:color="auto" w:fill="00B050"/>
          </w:tcPr>
          <w:p w14:paraId="091BD4FD" w14:textId="77777777" w:rsidR="002C16B4" w:rsidRPr="007F78CE" w:rsidRDefault="002C16B4" w:rsidP="00B63C19">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p w14:paraId="0BC6AD87"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6</w:t>
            </w:r>
            <w:r w:rsidRPr="007F78CE">
              <w:rPr>
                <w:rFonts w:ascii="Arial Narrow" w:hAnsi="Arial Narrow" w:cs="Arial"/>
                <w:sz w:val="20"/>
                <w:szCs w:val="20"/>
              </w:rPr>
              <w:t>)</w:t>
            </w:r>
          </w:p>
        </w:tc>
        <w:tc>
          <w:tcPr>
            <w:tcW w:w="1064" w:type="dxa"/>
            <w:shd w:val="clear" w:color="auto" w:fill="auto"/>
          </w:tcPr>
          <w:p w14:paraId="5FFBCFAF" w14:textId="77777777" w:rsidR="002C16B4" w:rsidRDefault="002C16B4" w:rsidP="00B63C19">
            <w:pPr>
              <w:spacing w:after="0" w:line="240" w:lineRule="auto"/>
              <w:contextualSpacing/>
              <w:jc w:val="center"/>
              <w:rPr>
                <w:rFonts w:ascii="Arial Narrow" w:hAnsi="Arial Narrow" w:cs="Arial"/>
                <w:sz w:val="20"/>
                <w:szCs w:val="20"/>
              </w:rPr>
            </w:pPr>
            <w:r w:rsidRPr="00482830">
              <w:rPr>
                <w:rFonts w:ascii="Arial Narrow" w:hAnsi="Arial Narrow" w:cs="Arial"/>
                <w:sz w:val="20"/>
                <w:szCs w:val="20"/>
              </w:rPr>
              <w:t xml:space="preserve">Faible </w:t>
            </w:r>
          </w:p>
        </w:tc>
        <w:tc>
          <w:tcPr>
            <w:tcW w:w="810" w:type="dxa"/>
            <w:shd w:val="clear" w:color="auto" w:fill="538135"/>
          </w:tcPr>
          <w:p w14:paraId="5A5B5CE4" w14:textId="77777777" w:rsidR="002C16B4" w:rsidRDefault="002C16B4" w:rsidP="00B63C19">
            <w:pPr>
              <w:spacing w:after="0" w:line="240" w:lineRule="auto"/>
              <w:contextualSpacing/>
              <w:jc w:val="center"/>
              <w:rPr>
                <w:rFonts w:ascii="Arial Narrow" w:hAnsi="Arial Narrow" w:cs="Arial"/>
                <w:sz w:val="20"/>
                <w:szCs w:val="20"/>
              </w:rPr>
            </w:pPr>
            <w:r>
              <w:rPr>
                <w:rFonts w:ascii="Arial Narrow" w:hAnsi="Arial Narrow" w:cs="Arial"/>
                <w:sz w:val="20"/>
                <w:szCs w:val="20"/>
              </w:rPr>
              <w:t>Très faible</w:t>
            </w:r>
          </w:p>
        </w:tc>
      </w:tr>
      <w:tr w:rsidR="00345918" w:rsidRPr="007F78CE" w14:paraId="09132F21" w14:textId="77777777" w:rsidTr="00FB04F6">
        <w:trPr>
          <w:jc w:val="center"/>
        </w:trPr>
        <w:tc>
          <w:tcPr>
            <w:tcW w:w="1813" w:type="dxa"/>
          </w:tcPr>
          <w:p w14:paraId="00152F4E" w14:textId="77777777" w:rsidR="002C16B4" w:rsidRPr="007F78CE" w:rsidRDefault="002C16B4" w:rsidP="00B434A6">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11" w:type="dxa"/>
            <w:shd w:val="clear" w:color="auto" w:fill="auto"/>
          </w:tcPr>
          <w:p w14:paraId="47C46893" w14:textId="77777777" w:rsidR="002C16B4" w:rsidRPr="007F78CE" w:rsidRDefault="002C16B4" w:rsidP="00B63C19">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54ECB3CF"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64" w:type="dxa"/>
            <w:shd w:val="clear" w:color="auto" w:fill="auto"/>
          </w:tcPr>
          <w:p w14:paraId="17BADC9A"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76ADAF99"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74" w:type="dxa"/>
            <w:shd w:val="clear" w:color="auto" w:fill="auto"/>
          </w:tcPr>
          <w:p w14:paraId="00366E82" w14:textId="77777777" w:rsidR="002C16B4" w:rsidRPr="007F78CE" w:rsidRDefault="002C16B4" w:rsidP="00B63C19">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longue </w:t>
            </w:r>
          </w:p>
          <w:p w14:paraId="433A1052"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3</w:t>
            </w:r>
            <w:r w:rsidRPr="007F78CE">
              <w:rPr>
                <w:rFonts w:ascii="Arial Narrow" w:hAnsi="Arial Narrow" w:cs="Arial"/>
                <w:sz w:val="20"/>
                <w:szCs w:val="20"/>
              </w:rPr>
              <w:t>)</w:t>
            </w:r>
          </w:p>
        </w:tc>
        <w:tc>
          <w:tcPr>
            <w:tcW w:w="1300" w:type="dxa"/>
            <w:shd w:val="clear" w:color="auto" w:fill="auto"/>
          </w:tcPr>
          <w:p w14:paraId="2591023E"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470FCE54"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52" w:type="dxa"/>
            <w:shd w:val="clear" w:color="auto" w:fill="00B050"/>
          </w:tcPr>
          <w:p w14:paraId="446B4322" w14:textId="77777777" w:rsidR="002C16B4" w:rsidRPr="007F78CE" w:rsidRDefault="002C16B4" w:rsidP="00B63C19">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p w14:paraId="61FB484A"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6</w:t>
            </w:r>
            <w:r w:rsidRPr="007F78CE">
              <w:rPr>
                <w:rFonts w:ascii="Arial Narrow" w:hAnsi="Arial Narrow" w:cs="Arial"/>
                <w:sz w:val="20"/>
                <w:szCs w:val="20"/>
              </w:rPr>
              <w:t>)</w:t>
            </w:r>
          </w:p>
        </w:tc>
        <w:tc>
          <w:tcPr>
            <w:tcW w:w="1064" w:type="dxa"/>
            <w:shd w:val="clear" w:color="auto" w:fill="auto"/>
          </w:tcPr>
          <w:p w14:paraId="00113007" w14:textId="77777777" w:rsidR="002C16B4" w:rsidRDefault="002C16B4" w:rsidP="00B63C19">
            <w:pPr>
              <w:spacing w:after="0" w:line="240" w:lineRule="auto"/>
              <w:contextualSpacing/>
              <w:jc w:val="center"/>
              <w:rPr>
                <w:rFonts w:ascii="Arial Narrow" w:hAnsi="Arial Narrow" w:cs="Arial"/>
                <w:sz w:val="20"/>
                <w:szCs w:val="20"/>
              </w:rPr>
            </w:pPr>
            <w:r w:rsidRPr="00482830">
              <w:rPr>
                <w:rFonts w:ascii="Arial Narrow" w:hAnsi="Arial Narrow" w:cs="Arial"/>
                <w:sz w:val="20"/>
                <w:szCs w:val="20"/>
              </w:rPr>
              <w:t xml:space="preserve">Faible </w:t>
            </w:r>
          </w:p>
        </w:tc>
        <w:tc>
          <w:tcPr>
            <w:tcW w:w="810" w:type="dxa"/>
            <w:shd w:val="clear" w:color="auto" w:fill="538135"/>
          </w:tcPr>
          <w:p w14:paraId="2E6C3AA9" w14:textId="77777777" w:rsidR="002C16B4" w:rsidRDefault="002C16B4" w:rsidP="00B63C19">
            <w:pPr>
              <w:spacing w:after="0" w:line="240" w:lineRule="auto"/>
              <w:contextualSpacing/>
              <w:jc w:val="center"/>
              <w:rPr>
                <w:rFonts w:ascii="Arial Narrow" w:hAnsi="Arial Narrow" w:cs="Arial"/>
                <w:sz w:val="20"/>
                <w:szCs w:val="20"/>
              </w:rPr>
            </w:pPr>
            <w:r w:rsidRPr="00B10A78">
              <w:rPr>
                <w:rFonts w:ascii="Arial Narrow" w:hAnsi="Arial Narrow" w:cs="Arial"/>
                <w:sz w:val="20"/>
                <w:szCs w:val="20"/>
              </w:rPr>
              <w:t>Très faible</w:t>
            </w:r>
          </w:p>
        </w:tc>
      </w:tr>
      <w:tr w:rsidR="00345918" w:rsidRPr="007F78CE" w14:paraId="258C3FE6" w14:textId="77777777" w:rsidTr="00FB04F6">
        <w:trPr>
          <w:jc w:val="center"/>
        </w:trPr>
        <w:tc>
          <w:tcPr>
            <w:tcW w:w="1813" w:type="dxa"/>
          </w:tcPr>
          <w:p w14:paraId="4003BBE9" w14:textId="77777777" w:rsidR="002C16B4" w:rsidRPr="007F78CE" w:rsidRDefault="002C16B4" w:rsidP="00B434A6">
            <w:pPr>
              <w:spacing w:after="0" w:line="240" w:lineRule="auto"/>
              <w:contextualSpacing/>
              <w:rPr>
                <w:rFonts w:ascii="Arial Narrow" w:hAnsi="Arial Narrow" w:cs="Arial"/>
                <w:sz w:val="20"/>
                <w:szCs w:val="20"/>
              </w:rPr>
            </w:pPr>
            <w:r>
              <w:rPr>
                <w:rFonts w:ascii="Arial Narrow" w:hAnsi="Arial Narrow" w:cs="Arial"/>
                <w:sz w:val="20"/>
                <w:szCs w:val="20"/>
              </w:rPr>
              <w:t>Réseau électrique</w:t>
            </w:r>
          </w:p>
        </w:tc>
        <w:tc>
          <w:tcPr>
            <w:tcW w:w="1011" w:type="dxa"/>
            <w:shd w:val="clear" w:color="auto" w:fill="auto"/>
          </w:tcPr>
          <w:p w14:paraId="6A4CB8F3" w14:textId="77777777" w:rsidR="002C16B4" w:rsidRPr="007F78CE" w:rsidRDefault="002C16B4" w:rsidP="00B63C19">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1C604448"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64" w:type="dxa"/>
            <w:shd w:val="clear" w:color="auto" w:fill="auto"/>
          </w:tcPr>
          <w:p w14:paraId="34283741"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05DC7BD4"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74" w:type="dxa"/>
            <w:shd w:val="clear" w:color="auto" w:fill="auto"/>
          </w:tcPr>
          <w:p w14:paraId="768724DE" w14:textId="77777777" w:rsidR="002C16B4" w:rsidRPr="007F78CE" w:rsidRDefault="002C16B4" w:rsidP="00B63C19">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longue </w:t>
            </w:r>
          </w:p>
          <w:p w14:paraId="399E42F9"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3</w:t>
            </w:r>
            <w:r w:rsidRPr="007F78CE">
              <w:rPr>
                <w:rFonts w:ascii="Arial Narrow" w:hAnsi="Arial Narrow" w:cs="Arial"/>
                <w:sz w:val="20"/>
                <w:szCs w:val="20"/>
              </w:rPr>
              <w:t>)</w:t>
            </w:r>
          </w:p>
        </w:tc>
        <w:tc>
          <w:tcPr>
            <w:tcW w:w="1300" w:type="dxa"/>
            <w:shd w:val="clear" w:color="auto" w:fill="auto"/>
          </w:tcPr>
          <w:p w14:paraId="077C1AB6" w14:textId="77777777" w:rsidR="002C16B4" w:rsidRPr="007F78CE" w:rsidRDefault="002C16B4"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3F1959D6"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52" w:type="dxa"/>
            <w:shd w:val="clear" w:color="auto" w:fill="00B050"/>
          </w:tcPr>
          <w:p w14:paraId="4A98368A" w14:textId="77777777" w:rsidR="002C16B4" w:rsidRPr="007F78CE" w:rsidRDefault="002C16B4" w:rsidP="00B63C19">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p w14:paraId="4C713721"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6</w:t>
            </w:r>
            <w:r w:rsidRPr="007F78CE">
              <w:rPr>
                <w:rFonts w:ascii="Arial Narrow" w:hAnsi="Arial Narrow" w:cs="Arial"/>
                <w:sz w:val="20"/>
                <w:szCs w:val="20"/>
              </w:rPr>
              <w:t>)</w:t>
            </w:r>
          </w:p>
        </w:tc>
        <w:tc>
          <w:tcPr>
            <w:tcW w:w="1064" w:type="dxa"/>
            <w:shd w:val="clear" w:color="auto" w:fill="auto"/>
          </w:tcPr>
          <w:p w14:paraId="2E5CD584" w14:textId="77777777" w:rsidR="002C16B4" w:rsidRDefault="002C16B4" w:rsidP="00B63C19">
            <w:pPr>
              <w:spacing w:after="0" w:line="240" w:lineRule="auto"/>
              <w:contextualSpacing/>
              <w:jc w:val="center"/>
              <w:rPr>
                <w:rFonts w:ascii="Arial Narrow" w:hAnsi="Arial Narrow" w:cs="Arial"/>
                <w:sz w:val="20"/>
                <w:szCs w:val="20"/>
              </w:rPr>
            </w:pPr>
            <w:r w:rsidRPr="00482830">
              <w:rPr>
                <w:rFonts w:ascii="Arial Narrow" w:hAnsi="Arial Narrow" w:cs="Arial"/>
                <w:sz w:val="20"/>
                <w:szCs w:val="20"/>
              </w:rPr>
              <w:t xml:space="preserve">Faible </w:t>
            </w:r>
          </w:p>
        </w:tc>
        <w:tc>
          <w:tcPr>
            <w:tcW w:w="810" w:type="dxa"/>
            <w:shd w:val="clear" w:color="auto" w:fill="538135"/>
          </w:tcPr>
          <w:p w14:paraId="3A77EB57" w14:textId="77777777" w:rsidR="002C16B4" w:rsidRDefault="002C16B4" w:rsidP="00B63C19">
            <w:pPr>
              <w:spacing w:after="0" w:line="240" w:lineRule="auto"/>
              <w:contextualSpacing/>
              <w:jc w:val="center"/>
              <w:rPr>
                <w:rFonts w:ascii="Arial Narrow" w:hAnsi="Arial Narrow" w:cs="Arial"/>
                <w:sz w:val="20"/>
                <w:szCs w:val="20"/>
              </w:rPr>
            </w:pPr>
            <w:r w:rsidRPr="00B10A78">
              <w:rPr>
                <w:rFonts w:ascii="Arial Narrow" w:hAnsi="Arial Narrow" w:cs="Arial"/>
                <w:sz w:val="20"/>
                <w:szCs w:val="20"/>
              </w:rPr>
              <w:t>Très faible</w:t>
            </w:r>
          </w:p>
        </w:tc>
      </w:tr>
      <w:tr w:rsidR="00702DFF" w:rsidRPr="007F78CE" w14:paraId="673389CA" w14:textId="77777777" w:rsidTr="00FB04F6">
        <w:trPr>
          <w:jc w:val="center"/>
        </w:trPr>
        <w:tc>
          <w:tcPr>
            <w:tcW w:w="1813" w:type="dxa"/>
          </w:tcPr>
          <w:p w14:paraId="107C257C" w14:textId="77777777" w:rsidR="00702DFF" w:rsidRDefault="00702DFF" w:rsidP="00B434A6">
            <w:pPr>
              <w:spacing w:after="0" w:line="240" w:lineRule="auto"/>
              <w:contextualSpacing/>
              <w:rPr>
                <w:rFonts w:ascii="Arial Narrow" w:hAnsi="Arial Narrow" w:cs="Arial"/>
                <w:sz w:val="20"/>
                <w:szCs w:val="20"/>
              </w:rPr>
            </w:pPr>
            <w:r>
              <w:rPr>
                <w:rFonts w:ascii="Arial Narrow" w:hAnsi="Arial Narrow" w:cs="Arial"/>
                <w:sz w:val="20"/>
                <w:szCs w:val="20"/>
              </w:rPr>
              <w:t>Impact cummulé</w:t>
            </w:r>
          </w:p>
        </w:tc>
        <w:tc>
          <w:tcPr>
            <w:tcW w:w="1011" w:type="dxa"/>
            <w:shd w:val="clear" w:color="auto" w:fill="auto"/>
          </w:tcPr>
          <w:p w14:paraId="05B6D21A" w14:textId="77777777" w:rsidR="00702DFF" w:rsidRPr="007F78CE" w:rsidRDefault="00702DFF" w:rsidP="00D70FB3">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51A6F0EF" w14:textId="77777777" w:rsidR="00702DFF" w:rsidRPr="007F78CE" w:rsidRDefault="00702DFF"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64" w:type="dxa"/>
            <w:shd w:val="clear" w:color="auto" w:fill="auto"/>
          </w:tcPr>
          <w:p w14:paraId="0C75D13A" w14:textId="77777777" w:rsidR="00702DFF" w:rsidRPr="007F78CE" w:rsidRDefault="00702DFF"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1EE84DBA" w14:textId="77777777" w:rsidR="00702DFF" w:rsidRPr="007F78CE" w:rsidRDefault="00702DFF"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74" w:type="dxa"/>
            <w:shd w:val="clear" w:color="auto" w:fill="auto"/>
          </w:tcPr>
          <w:p w14:paraId="50FAA020" w14:textId="77777777" w:rsidR="00702DFF" w:rsidRPr="007F78CE" w:rsidRDefault="00702DFF" w:rsidP="00D70FB3">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longue </w:t>
            </w:r>
          </w:p>
          <w:p w14:paraId="39DDD75F" w14:textId="77777777" w:rsidR="00702DFF" w:rsidRDefault="00702DFF"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3</w:t>
            </w:r>
            <w:r w:rsidRPr="007F78CE">
              <w:rPr>
                <w:rFonts w:ascii="Arial Narrow" w:hAnsi="Arial Narrow" w:cs="Arial"/>
                <w:sz w:val="20"/>
                <w:szCs w:val="20"/>
              </w:rPr>
              <w:t>)</w:t>
            </w:r>
          </w:p>
        </w:tc>
        <w:tc>
          <w:tcPr>
            <w:tcW w:w="1300" w:type="dxa"/>
            <w:shd w:val="clear" w:color="auto" w:fill="auto"/>
          </w:tcPr>
          <w:p w14:paraId="0E9C38FF" w14:textId="77777777" w:rsidR="00702DFF" w:rsidRPr="007F78CE" w:rsidRDefault="00702DFF"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1A434E2E" w14:textId="77777777" w:rsidR="00702DFF" w:rsidRPr="007F78CE" w:rsidRDefault="00702DFF"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52" w:type="dxa"/>
            <w:shd w:val="clear" w:color="auto" w:fill="00B050"/>
          </w:tcPr>
          <w:p w14:paraId="231AEF63" w14:textId="77777777" w:rsidR="00702DFF" w:rsidRPr="007F78CE" w:rsidRDefault="00702DFF" w:rsidP="00D70FB3">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p w14:paraId="5B5E770A" w14:textId="77777777" w:rsidR="00702DFF" w:rsidRDefault="00702DFF"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6</w:t>
            </w:r>
            <w:r w:rsidRPr="007F78CE">
              <w:rPr>
                <w:rFonts w:ascii="Arial Narrow" w:hAnsi="Arial Narrow" w:cs="Arial"/>
                <w:sz w:val="20"/>
                <w:szCs w:val="20"/>
              </w:rPr>
              <w:t>)</w:t>
            </w:r>
          </w:p>
        </w:tc>
        <w:tc>
          <w:tcPr>
            <w:tcW w:w="1064" w:type="dxa"/>
            <w:shd w:val="clear" w:color="auto" w:fill="auto"/>
          </w:tcPr>
          <w:p w14:paraId="52099ED0" w14:textId="77777777" w:rsidR="00702DFF" w:rsidRPr="00482830" w:rsidRDefault="00702DFF" w:rsidP="00B63C19">
            <w:pPr>
              <w:spacing w:after="0" w:line="240" w:lineRule="auto"/>
              <w:contextualSpacing/>
              <w:jc w:val="center"/>
              <w:rPr>
                <w:rFonts w:ascii="Arial Narrow" w:hAnsi="Arial Narrow" w:cs="Arial"/>
                <w:sz w:val="20"/>
                <w:szCs w:val="20"/>
              </w:rPr>
            </w:pPr>
            <w:r w:rsidRPr="00482830">
              <w:rPr>
                <w:rFonts w:ascii="Arial Narrow" w:hAnsi="Arial Narrow" w:cs="Arial"/>
                <w:sz w:val="20"/>
                <w:szCs w:val="20"/>
              </w:rPr>
              <w:t xml:space="preserve">Faible </w:t>
            </w:r>
          </w:p>
        </w:tc>
        <w:tc>
          <w:tcPr>
            <w:tcW w:w="810" w:type="dxa"/>
            <w:shd w:val="clear" w:color="auto" w:fill="538135"/>
          </w:tcPr>
          <w:p w14:paraId="561E65C8" w14:textId="77777777" w:rsidR="00702DFF" w:rsidRPr="00B10A78" w:rsidRDefault="00702DFF" w:rsidP="00B63C19">
            <w:pPr>
              <w:spacing w:after="0" w:line="240" w:lineRule="auto"/>
              <w:contextualSpacing/>
              <w:jc w:val="center"/>
              <w:rPr>
                <w:rFonts w:ascii="Arial Narrow" w:hAnsi="Arial Narrow" w:cs="Arial"/>
                <w:sz w:val="20"/>
                <w:szCs w:val="20"/>
              </w:rPr>
            </w:pPr>
            <w:r w:rsidRPr="00B10A78">
              <w:rPr>
                <w:rFonts w:ascii="Arial Narrow" w:hAnsi="Arial Narrow" w:cs="Arial"/>
                <w:sz w:val="20"/>
                <w:szCs w:val="20"/>
              </w:rPr>
              <w:t>Très faible</w:t>
            </w:r>
          </w:p>
        </w:tc>
      </w:tr>
    </w:tbl>
    <w:p w14:paraId="3F39E5F2" w14:textId="77777777" w:rsidR="0090044A" w:rsidRPr="00625B81" w:rsidRDefault="0090044A" w:rsidP="0090044A">
      <w:pPr>
        <w:rPr>
          <w:highlight w:val="yellow"/>
        </w:rPr>
      </w:pPr>
    </w:p>
    <w:p w14:paraId="2B374D68" w14:textId="77777777" w:rsidR="0090044A" w:rsidRPr="007F78CE" w:rsidRDefault="0090044A" w:rsidP="00345918">
      <w:pPr>
        <w:pStyle w:val="Titre5"/>
        <w:keepNext w:val="0"/>
        <w:keepLines w:val="0"/>
        <w:numPr>
          <w:ilvl w:val="0"/>
          <w:numId w:val="95"/>
        </w:numPr>
        <w:tabs>
          <w:tab w:val="left" w:pos="708"/>
        </w:tabs>
        <w:spacing w:before="280" w:after="280" w:line="240" w:lineRule="auto"/>
        <w:ind w:left="786"/>
        <w:contextualSpacing/>
        <w:jc w:val="both"/>
        <w:rPr>
          <w:rFonts w:eastAsia="Calibri"/>
          <w:b/>
          <w:bCs/>
        </w:rPr>
      </w:pPr>
      <w:r w:rsidRPr="007F78CE">
        <w:rPr>
          <w:rFonts w:eastAsia="Calibri"/>
          <w:b/>
          <w:bCs/>
        </w:rPr>
        <w:t xml:space="preserve">Au niveau de la ressource en eau </w:t>
      </w:r>
    </w:p>
    <w:p w14:paraId="03A1561E" w14:textId="77777777" w:rsidR="0090044A" w:rsidRPr="00FA3C77" w:rsidRDefault="0090044A" w:rsidP="00F01166">
      <w:pPr>
        <w:pStyle w:val="Normal12"/>
        <w:numPr>
          <w:ilvl w:val="0"/>
          <w:numId w:val="85"/>
        </w:numPr>
        <w:spacing w:before="120" w:after="120"/>
        <w:contextualSpacing/>
        <w:rPr>
          <w:i/>
          <w:iCs/>
          <w:lang w:val="fr-FR"/>
        </w:rPr>
      </w:pPr>
      <w:r w:rsidRPr="00FA3C77">
        <w:rPr>
          <w:i/>
          <w:iCs/>
          <w:lang w:val="fr-FR"/>
        </w:rPr>
        <w:t xml:space="preserve">Risques d’épuisement de la ressource en eau </w:t>
      </w:r>
    </w:p>
    <w:p w14:paraId="5F716D60" w14:textId="77777777" w:rsidR="0090044A" w:rsidRPr="00C41583" w:rsidRDefault="0090044A" w:rsidP="00C41583">
      <w:pPr>
        <w:spacing w:line="240" w:lineRule="auto"/>
        <w:jc w:val="both"/>
        <w:rPr>
          <w:rFonts w:ascii="Arial" w:hAnsi="Arial" w:cs="Arial"/>
        </w:rPr>
      </w:pPr>
      <w:r w:rsidRPr="00C41583">
        <w:rPr>
          <w:rFonts w:ascii="Arial" w:hAnsi="Arial" w:cs="Arial"/>
        </w:rPr>
        <w:t xml:space="preserve">La centrale </w:t>
      </w:r>
      <w:r w:rsidR="00135FB1">
        <w:rPr>
          <w:rFonts w:ascii="Arial" w:hAnsi="Arial" w:cs="Arial"/>
        </w:rPr>
        <w:t xml:space="preserve">solaire </w:t>
      </w:r>
      <w:r w:rsidRPr="00C41583">
        <w:rPr>
          <w:rFonts w:ascii="Arial" w:hAnsi="Arial" w:cs="Arial"/>
        </w:rPr>
        <w:t xml:space="preserve">photovoltaïque est une unité consommatrice de l’eau pour le nettoyage des panneaux solaires. Suivant la taille du parc solaire, le nettoyage des panneaux peut nécessiter l’utilisation d’une grande quantité d’eau douce. Cette importante consommation d’eau n’est pas sans risque pour les points d’eau existants dans les zones d’implantation du projet. </w:t>
      </w:r>
      <w:r w:rsidR="00135FB1">
        <w:rPr>
          <w:rFonts w:ascii="Arial" w:hAnsi="Arial" w:cs="Arial"/>
        </w:rPr>
        <w:t>Finalement</w:t>
      </w:r>
      <w:r w:rsidRPr="00C41583">
        <w:rPr>
          <w:rFonts w:ascii="Arial" w:hAnsi="Arial" w:cs="Arial"/>
        </w:rPr>
        <w:t xml:space="preserve">, elle peut être à l’origine de source de conflits entre les populations locales, à cause de l’utilisation commune de la ressource. L’importance de l’impact peut être « moyenne » au niveau de centrale </w:t>
      </w:r>
      <w:r w:rsidR="00135FB1">
        <w:rPr>
          <w:rFonts w:ascii="Arial" w:hAnsi="Arial" w:cs="Arial"/>
        </w:rPr>
        <w:t xml:space="preserve">solaire </w:t>
      </w:r>
      <w:r w:rsidRPr="00C41583">
        <w:rPr>
          <w:rFonts w:ascii="Arial" w:hAnsi="Arial" w:cs="Arial"/>
        </w:rPr>
        <w:t>PV</w:t>
      </w:r>
      <w:r w:rsidR="00135FB1">
        <w:rPr>
          <w:rFonts w:ascii="Arial" w:hAnsi="Arial" w:cs="Arial"/>
        </w:rPr>
        <w:t xml:space="preserve"> </w:t>
      </w:r>
      <w:r w:rsidR="009B3E61">
        <w:rPr>
          <w:rFonts w:ascii="Arial" w:hAnsi="Arial" w:cs="Arial"/>
        </w:rPr>
        <w:t xml:space="preserve"> et le niveau de risque est considéré comme faible </w:t>
      </w:r>
      <w:r w:rsidR="00135FB1">
        <w:rPr>
          <w:rFonts w:ascii="Arial" w:hAnsi="Arial" w:cs="Arial"/>
        </w:rPr>
        <w:t>selon le tableau  suivant</w:t>
      </w:r>
      <w:r w:rsidRPr="00C41583">
        <w:rPr>
          <w:rFonts w:ascii="Arial" w:hAnsi="Arial" w:cs="Arial"/>
        </w:rPr>
        <w:t>. Tandis qu’au niveau des barrages de dérivation ainsi que les autres infrastructures (</w:t>
      </w:r>
      <w:r w:rsidR="0079003E">
        <w:rPr>
          <w:rFonts w:ascii="Arial" w:hAnsi="Arial" w:cs="Arial"/>
        </w:rPr>
        <w:t>poteaux électrique</w:t>
      </w:r>
      <w:r w:rsidR="005D4CDC">
        <w:rPr>
          <w:rFonts w:ascii="Arial" w:hAnsi="Arial" w:cs="Arial"/>
        </w:rPr>
        <w:t>s</w:t>
      </w:r>
      <w:r w:rsidR="0079003E">
        <w:rPr>
          <w:rFonts w:ascii="Arial" w:hAnsi="Arial" w:cs="Arial"/>
        </w:rPr>
        <w:t>,</w:t>
      </w:r>
      <w:r w:rsidRPr="00C41583">
        <w:rPr>
          <w:rFonts w:ascii="Arial" w:hAnsi="Arial" w:cs="Arial"/>
        </w:rPr>
        <w:t xml:space="preserve"> pylône), le problème ne se pose pas puisque l’eau pour </w:t>
      </w:r>
      <w:r w:rsidR="00C41583" w:rsidRPr="00C41583">
        <w:rPr>
          <w:rFonts w:ascii="Arial" w:hAnsi="Arial" w:cs="Arial"/>
        </w:rPr>
        <w:t>la microcentrale</w:t>
      </w:r>
      <w:r w:rsidRPr="00C41583">
        <w:rPr>
          <w:rFonts w:ascii="Arial" w:hAnsi="Arial" w:cs="Arial"/>
        </w:rPr>
        <w:t xml:space="preserve"> hydroélectrique sera </w:t>
      </w:r>
      <w:r w:rsidR="00C41583" w:rsidRPr="00C41583">
        <w:rPr>
          <w:rFonts w:ascii="Arial" w:hAnsi="Arial" w:cs="Arial"/>
        </w:rPr>
        <w:t>retournée</w:t>
      </w:r>
      <w:r w:rsidRPr="00C41583">
        <w:rPr>
          <w:rFonts w:ascii="Arial" w:hAnsi="Arial" w:cs="Arial"/>
        </w:rPr>
        <w:t xml:space="preserve"> dans le même cours d’eau et que l’eau pour les autres infrastructures reste</w:t>
      </w:r>
      <w:r w:rsidR="00135FB1">
        <w:rPr>
          <w:rFonts w:ascii="Arial" w:hAnsi="Arial" w:cs="Arial"/>
        </w:rPr>
        <w:t>nt</w:t>
      </w:r>
      <w:r w:rsidRPr="00C41583">
        <w:rPr>
          <w:rFonts w:ascii="Arial" w:hAnsi="Arial" w:cs="Arial"/>
        </w:rPr>
        <w:t xml:space="preserve"> pour des usages personnels.</w:t>
      </w:r>
    </w:p>
    <w:p w14:paraId="1D7DE9B9" w14:textId="77777777" w:rsidR="0090044A" w:rsidRPr="002E58DC" w:rsidRDefault="0090044A" w:rsidP="002E58DC">
      <w:pPr>
        <w:pStyle w:val="Lgende"/>
        <w:spacing w:before="120"/>
        <w:jc w:val="center"/>
        <w:rPr>
          <w:sz w:val="20"/>
        </w:rPr>
      </w:pPr>
      <w:bookmarkStart w:id="1012" w:name="_Toc100753941"/>
      <w:bookmarkStart w:id="1013" w:name="_Toc127957849"/>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53</w:t>
      </w:r>
      <w:r w:rsidRPr="002E58DC">
        <w:rPr>
          <w:sz w:val="20"/>
        </w:rPr>
        <w:fldChar w:fldCharType="end"/>
      </w:r>
      <w:r w:rsidRPr="002E58DC">
        <w:rPr>
          <w:sz w:val="20"/>
        </w:rPr>
        <w:t xml:space="preserve">. Evaluation </w:t>
      </w:r>
      <w:r w:rsidR="00802A39">
        <w:rPr>
          <w:sz w:val="20"/>
        </w:rPr>
        <w:t xml:space="preserve">de </w:t>
      </w:r>
      <w:r w:rsidRPr="002E58DC">
        <w:rPr>
          <w:sz w:val="20"/>
        </w:rPr>
        <w:t>l’impact –Risque d'épuisement de la ressource en eau à cause des besoins pour le lavage des panneaux solaires</w:t>
      </w:r>
      <w:bookmarkEnd w:id="1012"/>
      <w:bookmarkEnd w:id="1013"/>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042"/>
        <w:gridCol w:w="1016"/>
        <w:gridCol w:w="935"/>
        <w:gridCol w:w="1328"/>
        <w:gridCol w:w="1273"/>
        <w:gridCol w:w="1064"/>
        <w:gridCol w:w="848"/>
        <w:tblGridChange w:id="1014">
          <w:tblGrid>
            <w:gridCol w:w="1782"/>
            <w:gridCol w:w="1042"/>
            <w:gridCol w:w="1016"/>
            <w:gridCol w:w="935"/>
            <w:gridCol w:w="1328"/>
            <w:gridCol w:w="1273"/>
            <w:gridCol w:w="1064"/>
            <w:gridCol w:w="848"/>
          </w:tblGrid>
        </w:tblGridChange>
      </w:tblGrid>
      <w:tr w:rsidR="002C16B4" w:rsidRPr="007F78CE" w14:paraId="3B71D63F" w14:textId="77777777" w:rsidTr="00345918">
        <w:trPr>
          <w:jc w:val="center"/>
        </w:trPr>
        <w:tc>
          <w:tcPr>
            <w:tcW w:w="1859" w:type="dxa"/>
            <w:shd w:val="clear" w:color="auto" w:fill="BFBFBF"/>
          </w:tcPr>
          <w:p w14:paraId="027C1CA0" w14:textId="77777777" w:rsidR="002C16B4" w:rsidRPr="007F78CE" w:rsidRDefault="00A73AF6" w:rsidP="002C16B4">
            <w:pPr>
              <w:spacing w:after="0" w:line="240" w:lineRule="auto"/>
              <w:rPr>
                <w:rFonts w:ascii="Arial Narrow" w:hAnsi="Arial Narrow"/>
                <w:b/>
                <w:bCs/>
                <w:sz w:val="20"/>
                <w:szCs w:val="20"/>
              </w:rPr>
            </w:pPr>
            <w:r>
              <w:rPr>
                <w:rFonts w:ascii="Arial Narrow" w:hAnsi="Arial Narrow"/>
                <w:b/>
                <w:bCs/>
                <w:sz w:val="20"/>
                <w:szCs w:val="20"/>
              </w:rPr>
              <w:t>Sous Projet</w:t>
            </w:r>
            <w:r w:rsidRPr="00DB2CAD" w:rsidDel="00A73AF6">
              <w:rPr>
                <w:rFonts w:ascii="Arial Narrow" w:hAnsi="Arial Narrow"/>
                <w:b/>
                <w:bCs/>
                <w:sz w:val="20"/>
                <w:szCs w:val="20"/>
              </w:rPr>
              <w:t xml:space="preserve"> </w:t>
            </w:r>
          </w:p>
        </w:tc>
        <w:tc>
          <w:tcPr>
            <w:tcW w:w="1065" w:type="dxa"/>
            <w:shd w:val="clear" w:color="auto" w:fill="BFBFBF"/>
          </w:tcPr>
          <w:p w14:paraId="6E62E55D" w14:textId="77777777" w:rsidR="002C16B4" w:rsidRPr="007F78CE" w:rsidRDefault="002C16B4"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038" w:type="dxa"/>
            <w:shd w:val="clear" w:color="auto" w:fill="BFBFBF"/>
          </w:tcPr>
          <w:p w14:paraId="63060650" w14:textId="77777777" w:rsidR="002C16B4" w:rsidRPr="007F78CE" w:rsidRDefault="002C16B4"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960" w:type="dxa"/>
            <w:shd w:val="clear" w:color="auto" w:fill="BFBFBF"/>
          </w:tcPr>
          <w:p w14:paraId="792D209F" w14:textId="77777777" w:rsidR="002C16B4" w:rsidRPr="007F78CE" w:rsidRDefault="002C16B4"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348" w:type="dxa"/>
            <w:shd w:val="clear" w:color="auto" w:fill="BFBFBF"/>
          </w:tcPr>
          <w:p w14:paraId="534973BD" w14:textId="77777777" w:rsidR="002C16B4" w:rsidRPr="007F78CE" w:rsidRDefault="002C16B4"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298" w:type="dxa"/>
            <w:shd w:val="clear" w:color="auto" w:fill="BFBFBF"/>
          </w:tcPr>
          <w:p w14:paraId="43E9FCCA" w14:textId="77777777" w:rsidR="002C16B4" w:rsidRPr="007F78CE" w:rsidRDefault="002C16B4"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860" w:type="dxa"/>
            <w:shd w:val="clear" w:color="auto" w:fill="auto"/>
          </w:tcPr>
          <w:p w14:paraId="0293B724" w14:textId="77777777" w:rsidR="002C16B4" w:rsidRPr="007F78CE" w:rsidRDefault="002C16B4"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860" w:type="dxa"/>
            <w:shd w:val="clear" w:color="auto" w:fill="auto"/>
          </w:tcPr>
          <w:p w14:paraId="77E586D0" w14:textId="77777777" w:rsidR="002C16B4" w:rsidRPr="007F78CE" w:rsidRDefault="002C16B4" w:rsidP="007F78CE">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345918" w:rsidRPr="007F78CE" w14:paraId="3216D9DA" w14:textId="77777777" w:rsidTr="00FB04F6">
        <w:trPr>
          <w:jc w:val="center"/>
        </w:trPr>
        <w:tc>
          <w:tcPr>
            <w:tcW w:w="1859" w:type="dxa"/>
          </w:tcPr>
          <w:p w14:paraId="19350309" w14:textId="77777777" w:rsidR="002C16B4" w:rsidRPr="007F78CE" w:rsidRDefault="002C16B4"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Infrastructures numérique</w:t>
            </w:r>
          </w:p>
        </w:tc>
        <w:tc>
          <w:tcPr>
            <w:tcW w:w="1065" w:type="dxa"/>
            <w:shd w:val="clear" w:color="auto" w:fill="auto"/>
          </w:tcPr>
          <w:p w14:paraId="21C22313" w14:textId="77777777" w:rsidR="002C16B4" w:rsidRPr="007F78CE" w:rsidRDefault="002C16B4"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2FC84939"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38" w:type="dxa"/>
            <w:shd w:val="clear" w:color="auto" w:fill="auto"/>
          </w:tcPr>
          <w:p w14:paraId="31ADE7D3"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77A35481"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960" w:type="dxa"/>
            <w:shd w:val="clear" w:color="auto" w:fill="auto"/>
          </w:tcPr>
          <w:p w14:paraId="4FEDC44F"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Longue</w:t>
            </w:r>
          </w:p>
          <w:p w14:paraId="6F90F6D1"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348" w:type="dxa"/>
            <w:shd w:val="clear" w:color="auto" w:fill="auto"/>
          </w:tcPr>
          <w:p w14:paraId="2759B440"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3764CCB3"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98" w:type="dxa"/>
            <w:shd w:val="clear" w:color="auto" w:fill="FFFF00"/>
          </w:tcPr>
          <w:p w14:paraId="310DB383"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75AC832D" w14:textId="77777777" w:rsidR="002C16B4" w:rsidRPr="007F78CE" w:rsidRDefault="002C16B4"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(7)</w:t>
            </w:r>
          </w:p>
        </w:tc>
        <w:tc>
          <w:tcPr>
            <w:tcW w:w="860" w:type="dxa"/>
            <w:shd w:val="clear" w:color="auto" w:fill="auto"/>
          </w:tcPr>
          <w:p w14:paraId="76314656" w14:textId="77777777" w:rsidR="002C16B4" w:rsidRPr="007F78CE" w:rsidRDefault="009B3E61"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860" w:type="dxa"/>
            <w:shd w:val="clear" w:color="auto" w:fill="BFBFBF"/>
          </w:tcPr>
          <w:p w14:paraId="5B644E25" w14:textId="77777777" w:rsidR="002C16B4" w:rsidRPr="007F78CE" w:rsidRDefault="009B3E61"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bl>
    <w:p w14:paraId="31B05610" w14:textId="77777777" w:rsidR="0079003E" w:rsidRPr="00B434A6" w:rsidRDefault="0079003E" w:rsidP="00F01166">
      <w:pPr>
        <w:spacing w:after="0" w:line="240" w:lineRule="auto"/>
        <w:jc w:val="both"/>
      </w:pPr>
      <w:bookmarkStart w:id="1015" w:name="_Toc98192348"/>
    </w:p>
    <w:p w14:paraId="54E283CB" w14:textId="77777777" w:rsidR="0079003E" w:rsidRPr="00742D67" w:rsidRDefault="0079003E" w:rsidP="00B434A6">
      <w:pPr>
        <w:pStyle w:val="Normal12"/>
        <w:numPr>
          <w:ilvl w:val="0"/>
          <w:numId w:val="85"/>
        </w:numPr>
        <w:ind w:left="1077" w:hanging="357"/>
        <w:contextualSpacing/>
        <w:rPr>
          <w:i/>
          <w:iCs/>
          <w:color w:val="auto"/>
          <w:lang w:val="fr-FR"/>
        </w:rPr>
      </w:pPr>
      <w:r w:rsidRPr="00742D67">
        <w:rPr>
          <w:i/>
          <w:iCs/>
          <w:color w:val="auto"/>
          <w:lang w:val="fr-FR"/>
        </w:rPr>
        <w:t>Modification d</w:t>
      </w:r>
      <w:r w:rsidR="00FA2E89" w:rsidRPr="00742D67">
        <w:rPr>
          <w:i/>
          <w:iCs/>
          <w:color w:val="auto"/>
          <w:lang w:val="fr-FR"/>
        </w:rPr>
        <w:t>es</w:t>
      </w:r>
      <w:r w:rsidRPr="00742D67">
        <w:rPr>
          <w:i/>
          <w:iCs/>
          <w:color w:val="auto"/>
          <w:lang w:val="fr-FR"/>
        </w:rPr>
        <w:t xml:space="preserve"> régime</w:t>
      </w:r>
      <w:r w:rsidR="00FA2E89" w:rsidRPr="00742D67">
        <w:rPr>
          <w:i/>
          <w:iCs/>
          <w:color w:val="auto"/>
          <w:lang w:val="fr-FR"/>
        </w:rPr>
        <w:t>s</w:t>
      </w:r>
      <w:r w:rsidRPr="00742D67">
        <w:rPr>
          <w:i/>
          <w:iCs/>
          <w:color w:val="auto"/>
          <w:lang w:val="fr-FR"/>
        </w:rPr>
        <w:t xml:space="preserve"> de cours d’eau</w:t>
      </w:r>
    </w:p>
    <w:p w14:paraId="10E6F6BD" w14:textId="77777777" w:rsidR="0095085C" w:rsidRPr="00742D67" w:rsidRDefault="00655279" w:rsidP="00B434A6">
      <w:pPr>
        <w:spacing w:line="240" w:lineRule="auto"/>
        <w:jc w:val="both"/>
      </w:pPr>
      <w:r w:rsidRPr="00742D67">
        <w:rPr>
          <w:rFonts w:ascii="Arial" w:hAnsi="Arial" w:cs="Arial"/>
        </w:rPr>
        <w:t xml:space="preserve">Selon plusieurs sources, la présence d’un </w:t>
      </w:r>
      <w:r w:rsidR="000F448E" w:rsidRPr="00742D67">
        <w:rPr>
          <w:rFonts w:ascii="Arial" w:hAnsi="Arial" w:cs="Arial"/>
        </w:rPr>
        <w:t>barrage hydroélectrique</w:t>
      </w:r>
      <w:r w:rsidRPr="00742D67">
        <w:rPr>
          <w:rFonts w:ascii="Arial" w:hAnsi="Arial" w:cs="Arial"/>
        </w:rPr>
        <w:t xml:space="preserve"> </w:t>
      </w:r>
      <w:r w:rsidR="000F448E" w:rsidRPr="00742D67">
        <w:rPr>
          <w:rFonts w:ascii="Arial" w:hAnsi="Arial" w:cs="Arial"/>
        </w:rPr>
        <w:t>peut modifi</w:t>
      </w:r>
      <w:r w:rsidR="008F4DCC" w:rsidRPr="00742D67">
        <w:rPr>
          <w:rFonts w:ascii="Arial" w:hAnsi="Arial" w:cs="Arial"/>
        </w:rPr>
        <w:t>er</w:t>
      </w:r>
      <w:r w:rsidR="000F448E" w:rsidRPr="00742D67">
        <w:rPr>
          <w:rFonts w:ascii="Arial" w:hAnsi="Arial" w:cs="Arial"/>
        </w:rPr>
        <w:t xml:space="preserve"> les caractéristiques des débits moyens annuels et diminue son débit. Toutefois l’ampleur de cette modification hydrologique dépend du mode de gestion des barrages, de la taille des</w:t>
      </w:r>
      <w:r w:rsidR="000F448E" w:rsidRPr="005D4CDC">
        <w:rPr>
          <w:rFonts w:ascii="Arial" w:hAnsi="Arial" w:cs="Arial"/>
          <w:color w:val="FF0000"/>
        </w:rPr>
        <w:t xml:space="preserve"> </w:t>
      </w:r>
      <w:r w:rsidR="000F448E" w:rsidRPr="00742D67">
        <w:rPr>
          <w:rFonts w:ascii="Arial" w:hAnsi="Arial" w:cs="Arial"/>
        </w:rPr>
        <w:t>bassins versants</w:t>
      </w:r>
      <w:r w:rsidR="000F448E" w:rsidRPr="00F01166">
        <w:rPr>
          <w:vertAlign w:val="superscript"/>
        </w:rPr>
        <w:footnoteReference w:id="79"/>
      </w:r>
      <w:r w:rsidR="00225639" w:rsidRPr="00F01166">
        <w:rPr>
          <w:rFonts w:ascii="Arial" w:hAnsi="Arial" w:cs="Arial"/>
          <w:vertAlign w:val="superscript"/>
        </w:rPr>
        <w:t xml:space="preserve"> </w:t>
      </w:r>
      <w:r w:rsidR="000F448E" w:rsidRPr="00F01166">
        <w:rPr>
          <w:vertAlign w:val="superscript"/>
        </w:rPr>
        <w:footnoteReference w:id="80"/>
      </w:r>
      <w:r w:rsidR="008F4DCC" w:rsidRPr="00742D67">
        <w:rPr>
          <w:rFonts w:ascii="Arial" w:hAnsi="Arial" w:cs="Arial"/>
        </w:rPr>
        <w:t>.</w:t>
      </w:r>
      <w:r w:rsidR="000F448E" w:rsidRPr="00742D67">
        <w:rPr>
          <w:rFonts w:ascii="Arial" w:hAnsi="Arial" w:cs="Arial"/>
        </w:rPr>
        <w:t xml:space="preserve"> </w:t>
      </w:r>
      <w:r w:rsidR="008F4DCC" w:rsidRPr="00742D67">
        <w:rPr>
          <w:rFonts w:ascii="Arial" w:hAnsi="Arial" w:cs="Arial"/>
        </w:rPr>
        <w:t>E</w:t>
      </w:r>
      <w:r w:rsidR="000F448E" w:rsidRPr="00742D67">
        <w:rPr>
          <w:rFonts w:ascii="Arial" w:hAnsi="Arial" w:cs="Arial"/>
        </w:rPr>
        <w:t>ffectivement, les barrages modifient la physionomie des cours d’eau et ils ralentissent et uniformisent l’écoulement des eaux</w:t>
      </w:r>
    </w:p>
    <w:p w14:paraId="07946B08" w14:textId="77777777" w:rsidR="000F448E" w:rsidRPr="00742D67" w:rsidRDefault="0071222B" w:rsidP="00B434A6">
      <w:pPr>
        <w:spacing w:line="240" w:lineRule="auto"/>
        <w:jc w:val="both"/>
      </w:pPr>
      <w:r>
        <w:rPr>
          <w:rFonts w:ascii="Arial" w:hAnsi="Arial" w:cs="Arial"/>
        </w:rPr>
        <w:t>Cependant</w:t>
      </w:r>
      <w:r w:rsidR="000F448E" w:rsidRPr="00742D67">
        <w:rPr>
          <w:rFonts w:ascii="Arial" w:hAnsi="Arial" w:cs="Arial"/>
        </w:rPr>
        <w:t>, d’après l’étude fait par NZANGO, C. et al. en 2019</w:t>
      </w:r>
      <w:r w:rsidR="000F448E" w:rsidRPr="00742D67">
        <w:footnoteReference w:id="81"/>
      </w:r>
      <w:r w:rsidR="000F448E" w:rsidRPr="00742D67">
        <w:rPr>
          <w:rFonts w:ascii="Arial" w:hAnsi="Arial" w:cs="Arial"/>
        </w:rPr>
        <w:t xml:space="preserve"> les  barrages au fil de l’eau n’affectent pratiquement pas le comportement hydrologique</w:t>
      </w:r>
      <w:r w:rsidR="000536AF" w:rsidRPr="00742D67">
        <w:rPr>
          <w:rFonts w:ascii="Arial" w:hAnsi="Arial" w:cs="Arial"/>
        </w:rPr>
        <w:t>. Et selon CAMENEN, B</w:t>
      </w:r>
      <w:r w:rsidR="000536AF" w:rsidRPr="00742D67">
        <w:rPr>
          <w:rStyle w:val="Appelnotedebasdep"/>
          <w:rFonts w:ascii="Arial" w:hAnsi="Arial" w:cs="Arial"/>
        </w:rPr>
        <w:footnoteReference w:id="82"/>
      </w:r>
      <w:r w:rsidR="000536AF" w:rsidRPr="00742D67">
        <w:rPr>
          <w:rFonts w:ascii="Arial" w:hAnsi="Arial" w:cs="Arial"/>
        </w:rPr>
        <w:t>, l’impact d’un barrage au fil de l’eau de faible capacité reste insignifiant pour la suspension de lessivage et la suspension graduée de sable.</w:t>
      </w:r>
    </w:p>
    <w:p w14:paraId="63DAD87D" w14:textId="77777777" w:rsidR="000536AF" w:rsidRPr="00742D67" w:rsidRDefault="000536AF" w:rsidP="00B434A6">
      <w:pPr>
        <w:spacing w:line="240" w:lineRule="auto"/>
        <w:jc w:val="both"/>
      </w:pPr>
      <w:r w:rsidRPr="00742D67">
        <w:rPr>
          <w:rFonts w:ascii="Arial" w:hAnsi="Arial" w:cs="Arial"/>
        </w:rPr>
        <w:t>Suivant ces bibliographies</w:t>
      </w:r>
      <w:r w:rsidR="008F4DCC" w:rsidRPr="00742D67">
        <w:rPr>
          <w:rFonts w:ascii="Arial" w:hAnsi="Arial" w:cs="Arial"/>
        </w:rPr>
        <w:t>,</w:t>
      </w:r>
      <w:r w:rsidRPr="00742D67">
        <w:rPr>
          <w:rFonts w:ascii="Arial" w:hAnsi="Arial" w:cs="Arial"/>
        </w:rPr>
        <w:t xml:space="preserve"> on peut donc conclure que l’impact de barrage hydroélectrique sur le régime des cours d’eau est d’importance « Mineure »</w:t>
      </w:r>
      <w:r w:rsidR="009B3E61">
        <w:rPr>
          <w:rFonts w:ascii="Arial" w:hAnsi="Arial" w:cs="Arial"/>
        </w:rPr>
        <w:t xml:space="preserve"> avec un niveau de risque très faile</w:t>
      </w:r>
      <w:r w:rsidR="0071222B">
        <w:rPr>
          <w:rFonts w:ascii="Arial" w:hAnsi="Arial" w:cs="Arial"/>
        </w:rPr>
        <w:t xml:space="preserve"> selon le tableau  suivant</w:t>
      </w:r>
      <w:r w:rsidR="00225639">
        <w:rPr>
          <w:rFonts w:ascii="Arial" w:hAnsi="Arial" w:cs="Arial"/>
        </w:rPr>
        <w:t>.</w:t>
      </w:r>
    </w:p>
    <w:p w14:paraId="5DB0114B" w14:textId="77777777" w:rsidR="000536AF" w:rsidRPr="00B434A6" w:rsidRDefault="000536AF" w:rsidP="00B434A6">
      <w:pPr>
        <w:pStyle w:val="Lgende"/>
        <w:spacing w:before="120"/>
        <w:jc w:val="center"/>
        <w:rPr>
          <w:sz w:val="20"/>
        </w:rPr>
      </w:pPr>
      <w:bookmarkStart w:id="1016" w:name="_Toc127957850"/>
      <w:r w:rsidRPr="00B434A6">
        <w:rPr>
          <w:sz w:val="20"/>
        </w:rPr>
        <w:t xml:space="preserve">Tableau </w:t>
      </w:r>
      <w:r w:rsidRPr="00B434A6">
        <w:rPr>
          <w:sz w:val="20"/>
        </w:rPr>
        <w:fldChar w:fldCharType="begin"/>
      </w:r>
      <w:r w:rsidRPr="00B434A6">
        <w:rPr>
          <w:sz w:val="20"/>
        </w:rPr>
        <w:instrText xml:space="preserve"> SEQ Tableau \* ARABIC </w:instrText>
      </w:r>
      <w:r w:rsidRPr="00B434A6">
        <w:rPr>
          <w:sz w:val="20"/>
        </w:rPr>
        <w:fldChar w:fldCharType="separate"/>
      </w:r>
      <w:r w:rsidR="005430A1">
        <w:rPr>
          <w:noProof/>
          <w:sz w:val="20"/>
        </w:rPr>
        <w:t>54</w:t>
      </w:r>
      <w:r w:rsidRPr="00B434A6">
        <w:rPr>
          <w:sz w:val="20"/>
        </w:rPr>
        <w:fldChar w:fldCharType="end"/>
      </w:r>
      <w:r w:rsidRPr="00B434A6">
        <w:rPr>
          <w:sz w:val="20"/>
        </w:rPr>
        <w:t>. Evaluation de l’impact – Modification des régimes des cours d’eau</w:t>
      </w:r>
      <w:bookmarkEnd w:id="1016"/>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1035"/>
        <w:gridCol w:w="992"/>
        <w:gridCol w:w="891"/>
        <w:gridCol w:w="1392"/>
        <w:gridCol w:w="1276"/>
        <w:gridCol w:w="1134"/>
        <w:gridCol w:w="851"/>
      </w:tblGrid>
      <w:tr w:rsidR="009B3E61" w:rsidRPr="007F78CE" w14:paraId="470FEE99" w14:textId="77777777" w:rsidTr="00345918">
        <w:trPr>
          <w:jc w:val="center"/>
        </w:trPr>
        <w:tc>
          <w:tcPr>
            <w:tcW w:w="2053" w:type="dxa"/>
            <w:shd w:val="clear" w:color="auto" w:fill="BFBFBF"/>
          </w:tcPr>
          <w:p w14:paraId="46945AF0" w14:textId="77777777" w:rsidR="009B3E61" w:rsidRPr="007F78CE" w:rsidRDefault="009B3E61" w:rsidP="00114831">
            <w:pPr>
              <w:spacing w:after="0" w:line="240" w:lineRule="auto"/>
              <w:rPr>
                <w:rFonts w:ascii="Arial Narrow" w:hAnsi="Arial Narrow"/>
                <w:b/>
                <w:bCs/>
                <w:sz w:val="20"/>
                <w:szCs w:val="20"/>
              </w:rPr>
            </w:pPr>
            <w:r>
              <w:rPr>
                <w:rFonts w:ascii="Arial Narrow" w:hAnsi="Arial Narrow"/>
                <w:b/>
                <w:bCs/>
                <w:sz w:val="20"/>
                <w:szCs w:val="20"/>
              </w:rPr>
              <w:t xml:space="preserve">Sous projet </w:t>
            </w:r>
          </w:p>
        </w:tc>
        <w:tc>
          <w:tcPr>
            <w:tcW w:w="1035" w:type="dxa"/>
            <w:shd w:val="clear" w:color="auto" w:fill="BFBFBF"/>
          </w:tcPr>
          <w:p w14:paraId="44718A38" w14:textId="77777777" w:rsidR="009B3E61" w:rsidRPr="007F78CE" w:rsidRDefault="009B3E61" w:rsidP="00114831">
            <w:pPr>
              <w:spacing w:after="0" w:line="240" w:lineRule="auto"/>
              <w:rPr>
                <w:rFonts w:ascii="Arial Narrow" w:hAnsi="Arial Narrow"/>
                <w:b/>
                <w:sz w:val="20"/>
                <w:szCs w:val="20"/>
              </w:rPr>
            </w:pPr>
            <w:r w:rsidRPr="007F78CE">
              <w:rPr>
                <w:rFonts w:ascii="Arial Narrow" w:hAnsi="Arial Narrow"/>
                <w:b/>
                <w:bCs/>
                <w:sz w:val="20"/>
                <w:szCs w:val="20"/>
              </w:rPr>
              <w:t xml:space="preserve">Intensité </w:t>
            </w:r>
          </w:p>
        </w:tc>
        <w:tc>
          <w:tcPr>
            <w:tcW w:w="992" w:type="dxa"/>
            <w:shd w:val="clear" w:color="auto" w:fill="BFBFBF"/>
          </w:tcPr>
          <w:p w14:paraId="52D068CC" w14:textId="77777777" w:rsidR="009B3E61" w:rsidRPr="007F78CE" w:rsidRDefault="009B3E61" w:rsidP="00114831">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891" w:type="dxa"/>
            <w:shd w:val="clear" w:color="auto" w:fill="BFBFBF"/>
          </w:tcPr>
          <w:p w14:paraId="20514DE0" w14:textId="77777777" w:rsidR="009B3E61" w:rsidRPr="007F78CE" w:rsidRDefault="009B3E61" w:rsidP="00114831">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392" w:type="dxa"/>
            <w:shd w:val="clear" w:color="auto" w:fill="BFBFBF"/>
          </w:tcPr>
          <w:p w14:paraId="6A255633" w14:textId="77777777" w:rsidR="009B3E61" w:rsidRPr="007F78CE" w:rsidRDefault="009B3E61" w:rsidP="00114831">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276" w:type="dxa"/>
            <w:shd w:val="clear" w:color="auto" w:fill="BFBFBF"/>
          </w:tcPr>
          <w:p w14:paraId="3568DBD6" w14:textId="77777777" w:rsidR="009B3E61" w:rsidRPr="007F78CE" w:rsidRDefault="009B3E61" w:rsidP="00114831">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134" w:type="dxa"/>
            <w:shd w:val="clear" w:color="auto" w:fill="BFBFBF"/>
          </w:tcPr>
          <w:p w14:paraId="12C67D82" w14:textId="77777777" w:rsidR="009B3E61" w:rsidRPr="007F78CE" w:rsidRDefault="009B3E61" w:rsidP="00114831">
            <w:pPr>
              <w:spacing w:after="0" w:line="240" w:lineRule="auto"/>
              <w:rPr>
                <w:rFonts w:ascii="Arial Narrow" w:hAnsi="Arial Narrow"/>
                <w:b/>
                <w:bCs/>
                <w:sz w:val="20"/>
                <w:szCs w:val="20"/>
              </w:rPr>
            </w:pPr>
            <w:r>
              <w:rPr>
                <w:rFonts w:ascii="Arial Narrow" w:hAnsi="Arial Narrow"/>
                <w:b/>
                <w:bCs/>
                <w:sz w:val="20"/>
                <w:szCs w:val="20"/>
              </w:rPr>
              <w:t>Probabilité</w:t>
            </w:r>
          </w:p>
        </w:tc>
        <w:tc>
          <w:tcPr>
            <w:tcW w:w="851" w:type="dxa"/>
            <w:shd w:val="clear" w:color="auto" w:fill="BFBFBF"/>
          </w:tcPr>
          <w:p w14:paraId="63C992C1" w14:textId="77777777" w:rsidR="009B3E61" w:rsidRPr="007F78CE" w:rsidRDefault="009B3E61" w:rsidP="00114831">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9B3E61" w:rsidRPr="007F78CE" w14:paraId="21073915" w14:textId="77777777" w:rsidTr="00345918">
        <w:trPr>
          <w:jc w:val="center"/>
        </w:trPr>
        <w:tc>
          <w:tcPr>
            <w:tcW w:w="2053" w:type="dxa"/>
          </w:tcPr>
          <w:p w14:paraId="4941406B" w14:textId="77777777" w:rsidR="009B3E61" w:rsidRPr="007F78CE" w:rsidRDefault="009B3E61" w:rsidP="00114831">
            <w:pPr>
              <w:spacing w:after="0" w:line="240" w:lineRule="auto"/>
              <w:contextualSpacing/>
              <w:jc w:val="center"/>
              <w:rPr>
                <w:rFonts w:ascii="Arial Narrow" w:hAnsi="Arial Narrow" w:cs="Arial"/>
                <w:sz w:val="20"/>
                <w:szCs w:val="20"/>
              </w:rPr>
            </w:pPr>
            <w:r>
              <w:rPr>
                <w:rFonts w:ascii="Arial Narrow" w:hAnsi="Arial Narrow" w:cs="Arial"/>
                <w:sz w:val="20"/>
                <w:szCs w:val="20"/>
              </w:rPr>
              <w:t>Barrage hydroélectrique</w:t>
            </w:r>
          </w:p>
        </w:tc>
        <w:tc>
          <w:tcPr>
            <w:tcW w:w="1035" w:type="dxa"/>
            <w:shd w:val="clear" w:color="auto" w:fill="auto"/>
          </w:tcPr>
          <w:p w14:paraId="675124BB" w14:textId="77777777" w:rsidR="009B3E61" w:rsidRPr="007F78CE" w:rsidRDefault="009B3E61" w:rsidP="00114831">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2EFB0E4C" w14:textId="77777777" w:rsidR="009B3E61" w:rsidRPr="007F78CE" w:rsidRDefault="009B3E61"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92" w:type="dxa"/>
            <w:shd w:val="clear" w:color="auto" w:fill="auto"/>
          </w:tcPr>
          <w:p w14:paraId="706056D1" w14:textId="77777777" w:rsidR="009B3E61" w:rsidRPr="007F78CE" w:rsidRDefault="009B3E61"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3AEF8EA1" w14:textId="77777777" w:rsidR="009B3E61" w:rsidRPr="007F78CE" w:rsidRDefault="009B3E61"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891" w:type="dxa"/>
            <w:shd w:val="clear" w:color="auto" w:fill="auto"/>
          </w:tcPr>
          <w:p w14:paraId="133F9653" w14:textId="77777777" w:rsidR="009B3E61" w:rsidRPr="007F78CE" w:rsidRDefault="009B3E61"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0976ADD8" w14:textId="77777777" w:rsidR="009B3E61" w:rsidRPr="007F78CE" w:rsidRDefault="009B3E61"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392" w:type="dxa"/>
            <w:shd w:val="clear" w:color="auto" w:fill="auto"/>
          </w:tcPr>
          <w:p w14:paraId="28F7FA15" w14:textId="77777777" w:rsidR="009B3E61" w:rsidRPr="007F78CE" w:rsidRDefault="009B3E61"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4C41BD76" w14:textId="77777777" w:rsidR="009B3E61" w:rsidRPr="007F78CE" w:rsidRDefault="009B3E61"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76" w:type="dxa"/>
            <w:shd w:val="clear" w:color="auto" w:fill="00B050"/>
          </w:tcPr>
          <w:p w14:paraId="110E3CCC" w14:textId="77777777" w:rsidR="009B3E61" w:rsidRPr="007F78CE" w:rsidRDefault="009B3E61"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6A3F2B49" w14:textId="77777777" w:rsidR="009B3E61" w:rsidRPr="007F78CE" w:rsidRDefault="009B3E61"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134" w:type="dxa"/>
            <w:shd w:val="clear" w:color="auto" w:fill="00B050"/>
          </w:tcPr>
          <w:p w14:paraId="146C6CCF" w14:textId="77777777" w:rsidR="009B3E61" w:rsidRPr="007F78CE" w:rsidRDefault="009B3E61" w:rsidP="00114831">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851" w:type="dxa"/>
            <w:shd w:val="clear" w:color="auto" w:fill="00B050"/>
          </w:tcPr>
          <w:p w14:paraId="1E96FA26" w14:textId="77777777" w:rsidR="009B3E61" w:rsidRPr="007F78CE" w:rsidRDefault="009B3E61" w:rsidP="00114831">
            <w:pPr>
              <w:spacing w:after="0" w:line="240" w:lineRule="auto"/>
              <w:contextualSpacing/>
              <w:jc w:val="center"/>
              <w:rPr>
                <w:rFonts w:ascii="Arial Narrow" w:hAnsi="Arial Narrow" w:cs="Arial"/>
                <w:sz w:val="20"/>
                <w:szCs w:val="20"/>
              </w:rPr>
            </w:pPr>
            <w:r>
              <w:rPr>
                <w:rFonts w:ascii="Arial Narrow" w:hAnsi="Arial Narrow" w:cs="Arial"/>
                <w:sz w:val="20"/>
                <w:szCs w:val="20"/>
              </w:rPr>
              <w:t>Très faible</w:t>
            </w:r>
          </w:p>
        </w:tc>
      </w:tr>
    </w:tbl>
    <w:p w14:paraId="2D2593BA" w14:textId="77777777" w:rsidR="000536AF" w:rsidRPr="00695BD7" w:rsidRDefault="000536AF" w:rsidP="00B434A6">
      <w:pPr>
        <w:spacing w:line="240" w:lineRule="auto"/>
        <w:jc w:val="both"/>
      </w:pPr>
    </w:p>
    <w:p w14:paraId="15A109C9" w14:textId="77777777" w:rsidR="0090044A" w:rsidRPr="000217B9" w:rsidRDefault="0090044A" w:rsidP="00A31C26">
      <w:pPr>
        <w:pStyle w:val="Style9"/>
        <w:ind w:left="2856"/>
      </w:pPr>
      <w:r w:rsidRPr="000217B9">
        <w:t>Impact sur le milieu biologique</w:t>
      </w:r>
      <w:bookmarkEnd w:id="1015"/>
    </w:p>
    <w:p w14:paraId="5E0114DF" w14:textId="77777777" w:rsidR="0090044A" w:rsidRPr="007F78CE" w:rsidRDefault="0090044A" w:rsidP="00687DD2">
      <w:pPr>
        <w:pStyle w:val="Titre5"/>
        <w:keepNext w:val="0"/>
        <w:keepLines w:val="0"/>
        <w:numPr>
          <w:ilvl w:val="0"/>
          <w:numId w:val="103"/>
        </w:numPr>
        <w:tabs>
          <w:tab w:val="left" w:pos="708"/>
        </w:tabs>
        <w:spacing w:before="280" w:after="280" w:line="240" w:lineRule="auto"/>
        <w:contextualSpacing/>
        <w:jc w:val="both"/>
        <w:rPr>
          <w:rFonts w:eastAsia="Calibri"/>
          <w:b/>
          <w:bCs/>
        </w:rPr>
      </w:pPr>
      <w:r w:rsidRPr="007F78CE">
        <w:rPr>
          <w:rFonts w:eastAsia="Calibri"/>
          <w:b/>
          <w:bCs/>
        </w:rPr>
        <w:t xml:space="preserve">Impact sur l’habitat et biodiversité </w:t>
      </w:r>
    </w:p>
    <w:p w14:paraId="6A8A9955" w14:textId="77777777" w:rsidR="0090044A" w:rsidRPr="00C41583" w:rsidRDefault="0090044A" w:rsidP="00C41583">
      <w:pPr>
        <w:spacing w:line="240" w:lineRule="auto"/>
        <w:jc w:val="both"/>
        <w:rPr>
          <w:rFonts w:ascii="Arial" w:hAnsi="Arial" w:cs="Arial"/>
        </w:rPr>
      </w:pPr>
      <w:r w:rsidRPr="00C41583">
        <w:rPr>
          <w:rFonts w:ascii="Arial" w:hAnsi="Arial" w:cs="Arial"/>
        </w:rPr>
        <w:t xml:space="preserve">La présence des installations et infrastructures aux dépens de la couverture végétale constitue l’impact le plus important sur le milieu biologique et donc sur les habitats naturels. Cet impact se manifeste par : </w:t>
      </w:r>
    </w:p>
    <w:p w14:paraId="6229486A" w14:textId="77777777" w:rsidR="0090044A" w:rsidRPr="00C41583" w:rsidRDefault="0090044A" w:rsidP="00687DD2">
      <w:pPr>
        <w:numPr>
          <w:ilvl w:val="0"/>
          <w:numId w:val="88"/>
        </w:numPr>
        <w:spacing w:after="0" w:line="240" w:lineRule="auto"/>
        <w:contextualSpacing/>
        <w:jc w:val="both"/>
        <w:rPr>
          <w:rFonts w:ascii="Arial" w:hAnsi="Arial" w:cs="Arial"/>
        </w:rPr>
      </w:pPr>
      <w:r w:rsidRPr="00C41583">
        <w:rPr>
          <w:rFonts w:ascii="Arial" w:hAnsi="Arial" w:cs="Arial"/>
        </w:rPr>
        <w:t>La disparition du couvert végétal existant</w:t>
      </w:r>
      <w:r w:rsidR="007D2F2E">
        <w:rPr>
          <w:rFonts w:ascii="Arial" w:hAnsi="Arial" w:cs="Arial"/>
        </w:rPr>
        <w:t> ;</w:t>
      </w:r>
    </w:p>
    <w:p w14:paraId="64CBF1FB" w14:textId="77777777" w:rsidR="0090044A" w:rsidRPr="00C41583" w:rsidRDefault="0090044A" w:rsidP="00687DD2">
      <w:pPr>
        <w:numPr>
          <w:ilvl w:val="0"/>
          <w:numId w:val="88"/>
        </w:numPr>
        <w:spacing w:after="0" w:line="240" w:lineRule="auto"/>
        <w:contextualSpacing/>
        <w:jc w:val="both"/>
        <w:rPr>
          <w:rFonts w:ascii="Arial" w:hAnsi="Arial" w:cs="Arial"/>
        </w:rPr>
      </w:pPr>
      <w:r w:rsidRPr="00C41583">
        <w:rPr>
          <w:rFonts w:ascii="Arial" w:hAnsi="Arial" w:cs="Arial"/>
        </w:rPr>
        <w:t>La destruction de l’habitat de certaines faunes</w:t>
      </w:r>
      <w:r w:rsidR="007D2F2E">
        <w:rPr>
          <w:rFonts w:ascii="Arial" w:hAnsi="Arial" w:cs="Arial"/>
        </w:rPr>
        <w:t> ;</w:t>
      </w:r>
    </w:p>
    <w:p w14:paraId="7F0F2477" w14:textId="77777777" w:rsidR="00802A39" w:rsidRDefault="0090044A" w:rsidP="00687DD2">
      <w:pPr>
        <w:numPr>
          <w:ilvl w:val="0"/>
          <w:numId w:val="88"/>
        </w:numPr>
        <w:spacing w:after="0" w:line="240" w:lineRule="auto"/>
        <w:contextualSpacing/>
        <w:jc w:val="both"/>
        <w:rPr>
          <w:rFonts w:ascii="Arial" w:hAnsi="Arial" w:cs="Arial"/>
        </w:rPr>
      </w:pPr>
      <w:r w:rsidRPr="00C41583">
        <w:rPr>
          <w:rFonts w:ascii="Arial" w:hAnsi="Arial" w:cs="Arial"/>
        </w:rPr>
        <w:t>Les risques de perturbation de la faune due à l’émission d’ondes électromagnétiques</w:t>
      </w:r>
      <w:r w:rsidR="007D2F2E">
        <w:rPr>
          <w:rFonts w:ascii="Arial" w:hAnsi="Arial" w:cs="Arial"/>
        </w:rPr>
        <w:t>.</w:t>
      </w:r>
    </w:p>
    <w:p w14:paraId="02F6D3DC" w14:textId="77777777" w:rsidR="0090044A" w:rsidRPr="00742D67" w:rsidRDefault="008F4DCC" w:rsidP="00687DD2">
      <w:pPr>
        <w:numPr>
          <w:ilvl w:val="0"/>
          <w:numId w:val="88"/>
        </w:numPr>
        <w:spacing w:after="0" w:line="240" w:lineRule="auto"/>
        <w:contextualSpacing/>
        <w:jc w:val="both"/>
        <w:rPr>
          <w:rFonts w:ascii="Arial" w:hAnsi="Arial" w:cs="Arial"/>
        </w:rPr>
      </w:pPr>
      <w:r w:rsidRPr="00742D67">
        <w:rPr>
          <w:rFonts w:ascii="Arial" w:hAnsi="Arial" w:cs="Arial"/>
        </w:rPr>
        <w:t>La p</w:t>
      </w:r>
      <w:r w:rsidR="00802A39" w:rsidRPr="00742D67">
        <w:rPr>
          <w:rFonts w:ascii="Arial" w:hAnsi="Arial" w:cs="Arial"/>
        </w:rPr>
        <w:t>erturbation de la faune aquatique par la mise en place du barrage hydroélectrique</w:t>
      </w:r>
      <w:r w:rsidR="0090044A" w:rsidRPr="00742D67">
        <w:rPr>
          <w:rFonts w:ascii="Arial" w:hAnsi="Arial" w:cs="Arial"/>
        </w:rPr>
        <w:t xml:space="preserve"> </w:t>
      </w:r>
    </w:p>
    <w:p w14:paraId="522A3E51" w14:textId="77777777" w:rsidR="0090044A" w:rsidRPr="006E106A" w:rsidRDefault="0090044A" w:rsidP="00F01166">
      <w:pPr>
        <w:spacing w:after="0"/>
      </w:pPr>
    </w:p>
    <w:p w14:paraId="39A58764" w14:textId="77777777" w:rsidR="0090044A" w:rsidRPr="006E106A" w:rsidRDefault="0090044A" w:rsidP="00F01166">
      <w:pPr>
        <w:pStyle w:val="Normal12"/>
        <w:numPr>
          <w:ilvl w:val="0"/>
          <w:numId w:val="85"/>
        </w:numPr>
        <w:tabs>
          <w:tab w:val="clear" w:pos="2520"/>
        </w:tabs>
        <w:spacing w:before="120" w:after="120"/>
        <w:contextualSpacing/>
        <w:rPr>
          <w:i/>
          <w:iCs/>
          <w:lang w:val="fr-FR"/>
        </w:rPr>
      </w:pPr>
      <w:r w:rsidRPr="006E106A">
        <w:rPr>
          <w:i/>
          <w:iCs/>
          <w:lang w:val="fr-FR"/>
        </w:rPr>
        <w:t xml:space="preserve">Perturbations sur la biologie et le comportement des espèces animales volantes par les effets optiques et </w:t>
      </w:r>
      <w:r>
        <w:rPr>
          <w:i/>
          <w:iCs/>
          <w:lang w:val="fr-FR"/>
        </w:rPr>
        <w:t>l’</w:t>
      </w:r>
      <w:r w:rsidRPr="006E106A">
        <w:rPr>
          <w:i/>
          <w:iCs/>
          <w:lang w:val="fr-FR"/>
        </w:rPr>
        <w:t>effarouchement</w:t>
      </w:r>
    </w:p>
    <w:p w14:paraId="1E47C944" w14:textId="77777777" w:rsidR="0090044A" w:rsidRPr="00C41583" w:rsidRDefault="0090044A" w:rsidP="00C41583">
      <w:pPr>
        <w:spacing w:line="240" w:lineRule="auto"/>
        <w:jc w:val="both"/>
        <w:rPr>
          <w:rFonts w:ascii="Arial" w:hAnsi="Arial" w:cs="Arial"/>
        </w:rPr>
      </w:pPr>
      <w:r w:rsidRPr="00C41583">
        <w:rPr>
          <w:rFonts w:ascii="Arial" w:hAnsi="Arial" w:cs="Arial"/>
        </w:rPr>
        <w:t xml:space="preserve">L’aspect des installations </w:t>
      </w:r>
      <w:r w:rsidR="0071222B">
        <w:rPr>
          <w:rFonts w:ascii="Arial" w:hAnsi="Arial" w:cs="Arial"/>
        </w:rPr>
        <w:t xml:space="preserve">solaires </w:t>
      </w:r>
      <w:r w:rsidRPr="00C41583">
        <w:rPr>
          <w:rFonts w:ascii="Arial" w:hAnsi="Arial" w:cs="Arial"/>
        </w:rPr>
        <w:t>photovoltaïques provoque une certaine gêne liée à l’effet optique et l’effarouchement sur la faune et par conséquent dans certaines conditions dévaloriser l’attrait de biotopes voisins de l’installation, qui étaient favorables à l’avifaune</w:t>
      </w:r>
      <w:r w:rsidRPr="00145FBE">
        <w:rPr>
          <w:rFonts w:ascii="Arial" w:hAnsi="Arial" w:cs="Arial"/>
          <w:vertAlign w:val="superscript"/>
        </w:rPr>
        <w:footnoteReference w:id="83"/>
      </w:r>
      <w:r w:rsidRPr="00C41583">
        <w:rPr>
          <w:rFonts w:ascii="Arial" w:hAnsi="Arial" w:cs="Arial"/>
        </w:rPr>
        <w:t xml:space="preserve">. Ces effets affectent en particulier les oiseaux migrateurs. </w:t>
      </w:r>
    </w:p>
    <w:p w14:paraId="4301098C" w14:textId="77777777" w:rsidR="0090044A" w:rsidRPr="00C41583" w:rsidRDefault="0090044A" w:rsidP="00C41583">
      <w:pPr>
        <w:spacing w:line="240" w:lineRule="auto"/>
        <w:jc w:val="both"/>
        <w:rPr>
          <w:rFonts w:ascii="Arial" w:hAnsi="Arial" w:cs="Arial"/>
        </w:rPr>
      </w:pPr>
      <w:r w:rsidRPr="00C41583">
        <w:rPr>
          <w:rFonts w:ascii="Arial" w:hAnsi="Arial" w:cs="Arial"/>
        </w:rPr>
        <w:t xml:space="preserve">De plus, la réflexion de la lumière sur les surfaces modulaires risque de modifier les plans de polarisation de la lumière réfléchie. Certains insectes (par exemple les abeilles, bourdons, fourmis) ont l’aptitude de percevoir la lumière polarisée dans le ciel et de se guider sur elle. La centrale </w:t>
      </w:r>
      <w:r w:rsidR="0071222B">
        <w:rPr>
          <w:rFonts w:ascii="Arial" w:hAnsi="Arial" w:cs="Arial"/>
        </w:rPr>
        <w:t xml:space="preserve">solaire </w:t>
      </w:r>
      <w:r w:rsidRPr="00C41583">
        <w:rPr>
          <w:rFonts w:ascii="Arial" w:hAnsi="Arial" w:cs="Arial"/>
        </w:rPr>
        <w:t xml:space="preserve">photovoltaïque pourrait donc provoquer des gênes chez certains insectes et oiseaux, qui risquent de les confondre avec des surfaces aquatiques. </w:t>
      </w:r>
    </w:p>
    <w:p w14:paraId="19D82384" w14:textId="77777777" w:rsidR="0090044A" w:rsidRPr="00C41583" w:rsidRDefault="0090044A" w:rsidP="00C41583">
      <w:pPr>
        <w:spacing w:line="240" w:lineRule="auto"/>
        <w:jc w:val="both"/>
        <w:rPr>
          <w:rFonts w:ascii="Arial" w:hAnsi="Arial" w:cs="Arial"/>
        </w:rPr>
      </w:pPr>
      <w:r w:rsidRPr="00C41583">
        <w:rPr>
          <w:rFonts w:ascii="Arial" w:hAnsi="Arial" w:cs="Arial"/>
        </w:rPr>
        <w:t>Les éventuelles perturbations, se limitant au site d’installation et à son environnement immédiat, modifient raisonnablement de façon temporaire les comportements. L’importance de cet impact est évaluée « mineure »</w:t>
      </w:r>
      <w:r w:rsidR="009B3E61">
        <w:rPr>
          <w:rFonts w:ascii="Arial" w:hAnsi="Arial" w:cs="Arial"/>
        </w:rPr>
        <w:t xml:space="preserve">et le niveau de risque est considéré comme très faible </w:t>
      </w:r>
      <w:r w:rsidR="0071222B">
        <w:rPr>
          <w:rFonts w:ascii="Arial" w:hAnsi="Arial" w:cs="Arial"/>
        </w:rPr>
        <w:t xml:space="preserve"> selon le tableau  suivant</w:t>
      </w:r>
      <w:r w:rsidRPr="00C41583">
        <w:rPr>
          <w:rFonts w:ascii="Arial" w:hAnsi="Arial" w:cs="Arial"/>
        </w:rPr>
        <w:t>.</w:t>
      </w:r>
    </w:p>
    <w:p w14:paraId="13D748C3" w14:textId="77777777" w:rsidR="0090044A" w:rsidRPr="002E58DC" w:rsidRDefault="0090044A" w:rsidP="002E58DC">
      <w:pPr>
        <w:pStyle w:val="Lgende"/>
        <w:spacing w:before="120"/>
        <w:jc w:val="center"/>
        <w:rPr>
          <w:sz w:val="20"/>
        </w:rPr>
      </w:pPr>
      <w:bookmarkStart w:id="1018" w:name="_Toc127957851"/>
      <w:r w:rsidRPr="002E58DC">
        <w:rPr>
          <w:sz w:val="20"/>
        </w:rPr>
        <w:t xml:space="preserve">Tableau </w:t>
      </w:r>
      <w:r w:rsidRPr="002E58DC">
        <w:rPr>
          <w:sz w:val="20"/>
        </w:rPr>
        <w:fldChar w:fldCharType="begin"/>
      </w:r>
      <w:r w:rsidRPr="002E58DC">
        <w:rPr>
          <w:sz w:val="20"/>
        </w:rPr>
        <w:instrText xml:space="preserve"> SEQ Tableau \* ARABIC </w:instrText>
      </w:r>
      <w:r w:rsidRPr="002E58DC">
        <w:rPr>
          <w:sz w:val="20"/>
        </w:rPr>
        <w:fldChar w:fldCharType="separate"/>
      </w:r>
      <w:r w:rsidR="005430A1">
        <w:rPr>
          <w:noProof/>
          <w:sz w:val="20"/>
        </w:rPr>
        <w:t>55</w:t>
      </w:r>
      <w:r w:rsidRPr="002E58DC">
        <w:rPr>
          <w:sz w:val="20"/>
        </w:rPr>
        <w:fldChar w:fldCharType="end"/>
      </w:r>
      <w:r w:rsidR="00A53DB9">
        <w:rPr>
          <w:sz w:val="20"/>
        </w:rPr>
        <w:t> :</w:t>
      </w:r>
      <w:r w:rsidRPr="002E58DC">
        <w:rPr>
          <w:sz w:val="20"/>
        </w:rPr>
        <w:t xml:space="preserve"> Evaluation </w:t>
      </w:r>
      <w:r w:rsidR="00802A39">
        <w:rPr>
          <w:sz w:val="20"/>
        </w:rPr>
        <w:t xml:space="preserve">de </w:t>
      </w:r>
      <w:r w:rsidRPr="002E58DC">
        <w:rPr>
          <w:sz w:val="20"/>
        </w:rPr>
        <w:t>l’impact – Perturbation des activités de l’avifaune due à l'effet optique des panneaux solaires</w:t>
      </w:r>
      <w:bookmarkEnd w:id="1018"/>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026"/>
        <w:gridCol w:w="989"/>
        <w:gridCol w:w="1009"/>
        <w:gridCol w:w="1365"/>
        <w:gridCol w:w="1253"/>
        <w:gridCol w:w="1064"/>
        <w:gridCol w:w="1025"/>
        <w:tblGridChange w:id="1019">
          <w:tblGrid>
            <w:gridCol w:w="1557"/>
            <w:gridCol w:w="1026"/>
            <w:gridCol w:w="989"/>
            <w:gridCol w:w="1009"/>
            <w:gridCol w:w="1365"/>
            <w:gridCol w:w="1253"/>
            <w:gridCol w:w="1064"/>
            <w:gridCol w:w="1025"/>
          </w:tblGrid>
        </w:tblGridChange>
      </w:tblGrid>
      <w:tr w:rsidR="009B3E61" w:rsidRPr="007F78CE" w14:paraId="74A43004" w14:textId="77777777" w:rsidTr="00345918">
        <w:trPr>
          <w:jc w:val="center"/>
        </w:trPr>
        <w:tc>
          <w:tcPr>
            <w:tcW w:w="1570" w:type="dxa"/>
            <w:shd w:val="clear" w:color="auto" w:fill="BFBFBF"/>
          </w:tcPr>
          <w:p w14:paraId="450F1118" w14:textId="77777777" w:rsidR="009B3E61" w:rsidRPr="007F78CE" w:rsidRDefault="009B3E61" w:rsidP="007F78CE">
            <w:pPr>
              <w:spacing w:after="0" w:line="240" w:lineRule="auto"/>
              <w:rPr>
                <w:rFonts w:ascii="Arial Narrow" w:hAnsi="Arial Narrow"/>
                <w:b/>
                <w:bCs/>
                <w:sz w:val="20"/>
                <w:szCs w:val="20"/>
              </w:rPr>
            </w:pPr>
            <w:r>
              <w:rPr>
                <w:rFonts w:ascii="Arial Narrow" w:hAnsi="Arial Narrow"/>
                <w:b/>
                <w:bCs/>
                <w:sz w:val="20"/>
                <w:szCs w:val="20"/>
              </w:rPr>
              <w:t>Sous projet</w:t>
            </w:r>
          </w:p>
        </w:tc>
        <w:tc>
          <w:tcPr>
            <w:tcW w:w="1029" w:type="dxa"/>
            <w:shd w:val="clear" w:color="auto" w:fill="BFBFBF"/>
          </w:tcPr>
          <w:p w14:paraId="6E0F9EA8" w14:textId="77777777" w:rsidR="009B3E61" w:rsidRPr="007F78CE" w:rsidRDefault="009B3E61"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989" w:type="dxa"/>
            <w:shd w:val="clear" w:color="auto" w:fill="BFBFBF"/>
          </w:tcPr>
          <w:p w14:paraId="6846842C" w14:textId="77777777" w:rsidR="009B3E61" w:rsidRPr="007F78CE" w:rsidRDefault="009B3E61"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1015" w:type="dxa"/>
            <w:shd w:val="clear" w:color="auto" w:fill="BFBFBF"/>
          </w:tcPr>
          <w:p w14:paraId="7449709C" w14:textId="77777777" w:rsidR="009B3E61" w:rsidRPr="007F78CE" w:rsidRDefault="009B3E61"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369" w:type="dxa"/>
            <w:shd w:val="clear" w:color="auto" w:fill="BFBFBF"/>
          </w:tcPr>
          <w:p w14:paraId="40720EB4" w14:textId="77777777" w:rsidR="009B3E61" w:rsidRPr="007F78CE" w:rsidRDefault="009B3E61"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256" w:type="dxa"/>
            <w:shd w:val="clear" w:color="auto" w:fill="BFBFBF"/>
          </w:tcPr>
          <w:p w14:paraId="72AAD6F2" w14:textId="77777777" w:rsidR="009B3E61" w:rsidRPr="007F78CE" w:rsidRDefault="009B3E61"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030" w:type="dxa"/>
            <w:shd w:val="clear" w:color="auto" w:fill="BFBFBF"/>
          </w:tcPr>
          <w:p w14:paraId="1F04EDAA" w14:textId="77777777" w:rsidR="009B3E61" w:rsidRPr="007F78CE" w:rsidRDefault="009B3E61"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1030" w:type="dxa"/>
            <w:shd w:val="clear" w:color="auto" w:fill="BFBFBF"/>
          </w:tcPr>
          <w:p w14:paraId="1B1E4E07" w14:textId="77777777" w:rsidR="009B3E61" w:rsidRPr="007F78CE" w:rsidRDefault="009B3E61" w:rsidP="007F78CE">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345918" w:rsidRPr="007F78CE" w14:paraId="06A88E21" w14:textId="77777777" w:rsidTr="00FB04F6">
        <w:trPr>
          <w:jc w:val="center"/>
        </w:trPr>
        <w:tc>
          <w:tcPr>
            <w:tcW w:w="1570" w:type="dxa"/>
          </w:tcPr>
          <w:p w14:paraId="59D3029C" w14:textId="77777777" w:rsidR="009B3E61" w:rsidRPr="007F78CE" w:rsidRDefault="009B3E61"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Centrale électrique solaire</w:t>
            </w:r>
          </w:p>
        </w:tc>
        <w:tc>
          <w:tcPr>
            <w:tcW w:w="1029" w:type="dxa"/>
            <w:shd w:val="clear" w:color="auto" w:fill="auto"/>
          </w:tcPr>
          <w:p w14:paraId="0F180FF0" w14:textId="77777777" w:rsidR="009B3E61" w:rsidRPr="007F78CE" w:rsidRDefault="009B3E61"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Mineure</w:t>
            </w:r>
          </w:p>
          <w:p w14:paraId="292827EE" w14:textId="77777777" w:rsidR="009B3E61" w:rsidRPr="007F78CE" w:rsidRDefault="009B3E6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89" w:type="dxa"/>
            <w:shd w:val="clear" w:color="auto" w:fill="auto"/>
          </w:tcPr>
          <w:p w14:paraId="0490A2B7" w14:textId="77777777" w:rsidR="009B3E61" w:rsidRPr="007F78CE" w:rsidRDefault="009B3E6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3BBF045F" w14:textId="77777777" w:rsidR="009B3E61" w:rsidRPr="007F78CE" w:rsidRDefault="009B3E6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15" w:type="dxa"/>
            <w:shd w:val="clear" w:color="auto" w:fill="auto"/>
          </w:tcPr>
          <w:p w14:paraId="2A178BB3" w14:textId="77777777" w:rsidR="009B3E61" w:rsidRPr="007F78CE" w:rsidRDefault="009B3E6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64572E0A" w14:textId="77777777" w:rsidR="009B3E61" w:rsidRPr="007F78CE" w:rsidRDefault="009B3E6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69" w:type="dxa"/>
            <w:shd w:val="clear" w:color="auto" w:fill="auto"/>
          </w:tcPr>
          <w:p w14:paraId="7F8E1191" w14:textId="77777777" w:rsidR="009B3E61" w:rsidRPr="007F78CE" w:rsidRDefault="009B3E6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0844E303" w14:textId="77777777" w:rsidR="009B3E61" w:rsidRPr="007F78CE" w:rsidRDefault="009B3E6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56" w:type="dxa"/>
            <w:shd w:val="clear" w:color="auto" w:fill="00B050"/>
          </w:tcPr>
          <w:p w14:paraId="55C59CF7" w14:textId="77777777" w:rsidR="009B3E61" w:rsidRPr="007F78CE" w:rsidRDefault="009B3E6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19239663" w14:textId="77777777" w:rsidR="009B3E61" w:rsidRPr="007F78CE" w:rsidRDefault="009B3E6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(4)</w:t>
            </w:r>
          </w:p>
        </w:tc>
        <w:tc>
          <w:tcPr>
            <w:tcW w:w="1030" w:type="dxa"/>
            <w:shd w:val="clear" w:color="auto" w:fill="auto"/>
          </w:tcPr>
          <w:p w14:paraId="054D019A" w14:textId="77777777" w:rsidR="009B3E61" w:rsidRPr="007F78CE" w:rsidRDefault="009B3E61"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1030" w:type="dxa"/>
            <w:shd w:val="clear" w:color="auto" w:fill="538135"/>
          </w:tcPr>
          <w:p w14:paraId="764315CF" w14:textId="77777777" w:rsidR="009B3E61" w:rsidRPr="007F78CE" w:rsidRDefault="009B3E61"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Très faible</w:t>
            </w:r>
          </w:p>
        </w:tc>
      </w:tr>
    </w:tbl>
    <w:p w14:paraId="0B613912" w14:textId="77777777" w:rsidR="0090044A" w:rsidRPr="006E106A" w:rsidRDefault="0090044A" w:rsidP="00F01166">
      <w:pPr>
        <w:pStyle w:val="Normal12"/>
        <w:numPr>
          <w:ilvl w:val="0"/>
          <w:numId w:val="85"/>
        </w:numPr>
        <w:spacing w:before="120" w:after="120"/>
        <w:contextualSpacing/>
        <w:rPr>
          <w:i/>
          <w:iCs/>
          <w:lang w:val="fr-FR"/>
        </w:rPr>
      </w:pPr>
      <w:bookmarkStart w:id="1020" w:name="_Toc98192349"/>
      <w:bookmarkStart w:id="1021" w:name="_Toc97835156"/>
      <w:r w:rsidRPr="006E106A">
        <w:rPr>
          <w:i/>
          <w:iCs/>
          <w:lang w:val="fr-FR"/>
        </w:rPr>
        <w:t>Nuisances sonores sur la faune locale</w:t>
      </w:r>
    </w:p>
    <w:p w14:paraId="2BD71A0B" w14:textId="77777777" w:rsidR="0090044A" w:rsidRPr="00C41583" w:rsidRDefault="0090044A" w:rsidP="00C41583">
      <w:pPr>
        <w:spacing w:line="240" w:lineRule="auto"/>
        <w:jc w:val="both"/>
        <w:rPr>
          <w:rFonts w:ascii="Arial" w:hAnsi="Arial" w:cs="Arial"/>
        </w:rPr>
      </w:pPr>
      <w:r w:rsidRPr="00C41583">
        <w:rPr>
          <w:rFonts w:ascii="Arial" w:hAnsi="Arial" w:cs="Arial"/>
        </w:rPr>
        <w:t xml:space="preserve">Que ce soit au niveau de la centrale </w:t>
      </w:r>
      <w:r w:rsidR="0071222B">
        <w:rPr>
          <w:rFonts w:ascii="Arial" w:hAnsi="Arial" w:cs="Arial"/>
        </w:rPr>
        <w:t xml:space="preserve">solaire </w:t>
      </w:r>
      <w:r w:rsidRPr="00C41583">
        <w:rPr>
          <w:rFonts w:ascii="Arial" w:hAnsi="Arial" w:cs="Arial"/>
        </w:rPr>
        <w:t>PV, la microcentrale hydroélectrique ou la centrale hybride, les centrales ém</w:t>
      </w:r>
      <w:r w:rsidR="00A53DB9">
        <w:rPr>
          <w:rFonts w:ascii="Arial" w:hAnsi="Arial" w:cs="Arial"/>
        </w:rPr>
        <w:t>ett</w:t>
      </w:r>
      <w:r w:rsidRPr="00C41583">
        <w:rPr>
          <w:rFonts w:ascii="Arial" w:hAnsi="Arial" w:cs="Arial"/>
        </w:rPr>
        <w:t xml:space="preserve">ent du bruit qui </w:t>
      </w:r>
      <w:r w:rsidR="00067C78" w:rsidRPr="00C41583">
        <w:rPr>
          <w:rFonts w:ascii="Arial" w:hAnsi="Arial" w:cs="Arial"/>
        </w:rPr>
        <w:t>peut</w:t>
      </w:r>
      <w:r w:rsidRPr="00C41583">
        <w:rPr>
          <w:rFonts w:ascii="Arial" w:hAnsi="Arial" w:cs="Arial"/>
        </w:rPr>
        <w:t xml:space="preserve"> stresser la faune alentour. Il s’agit en général de bruits provenant d</w:t>
      </w:r>
      <w:r w:rsidR="00A53DB9">
        <w:rPr>
          <w:rFonts w:ascii="Arial" w:hAnsi="Arial" w:cs="Arial"/>
        </w:rPr>
        <w:t>es</w:t>
      </w:r>
      <w:r w:rsidRPr="00C41583">
        <w:rPr>
          <w:rFonts w:ascii="Arial" w:hAnsi="Arial" w:cs="Arial"/>
        </w:rPr>
        <w:t xml:space="preserve"> transformateur</w:t>
      </w:r>
      <w:r w:rsidR="00A53DB9">
        <w:rPr>
          <w:rFonts w:ascii="Arial" w:hAnsi="Arial" w:cs="Arial"/>
        </w:rPr>
        <w:t>s</w:t>
      </w:r>
      <w:r w:rsidRPr="00C41583">
        <w:rPr>
          <w:rFonts w:ascii="Arial" w:hAnsi="Arial" w:cs="Arial"/>
        </w:rPr>
        <w:t xml:space="preserve"> et </w:t>
      </w:r>
      <w:r w:rsidR="007D2F2E">
        <w:rPr>
          <w:rFonts w:ascii="Arial" w:hAnsi="Arial" w:cs="Arial"/>
        </w:rPr>
        <w:t xml:space="preserve">de </w:t>
      </w:r>
      <w:r w:rsidRPr="00C41583">
        <w:rPr>
          <w:rFonts w:ascii="Arial" w:hAnsi="Arial" w:cs="Arial"/>
        </w:rPr>
        <w:t>ses organes réfrigérants. Ce matériel est installé dans un local et émet un bruit qui se propage essentiellement au travers des grilles d’aération du local.</w:t>
      </w:r>
    </w:p>
    <w:p w14:paraId="760EDBCE" w14:textId="77777777" w:rsidR="0090044A" w:rsidRPr="00C41583" w:rsidRDefault="0090044A" w:rsidP="00C41583">
      <w:pPr>
        <w:spacing w:line="240" w:lineRule="auto"/>
        <w:jc w:val="both"/>
        <w:rPr>
          <w:rFonts w:ascii="Arial" w:hAnsi="Arial" w:cs="Arial"/>
        </w:rPr>
      </w:pPr>
      <w:r w:rsidRPr="00C41583">
        <w:rPr>
          <w:rFonts w:ascii="Arial" w:hAnsi="Arial" w:cs="Arial"/>
        </w:rPr>
        <w:t>L’intensité du bruit diminue en fonction de la distance. D’après les recherches l’intensité de bruit diminue de 20d</w:t>
      </w:r>
      <w:r w:rsidR="00A53DB9">
        <w:rPr>
          <w:rFonts w:ascii="Arial" w:hAnsi="Arial" w:cs="Arial"/>
        </w:rPr>
        <w:t>B</w:t>
      </w:r>
      <w:r w:rsidRPr="00C41583">
        <w:rPr>
          <w:rFonts w:ascii="Arial" w:hAnsi="Arial" w:cs="Arial"/>
        </w:rPr>
        <w:t xml:space="preserve"> quand la distance est multipliée par 10</w:t>
      </w:r>
      <w:r w:rsidR="0071222B">
        <w:rPr>
          <w:rFonts w:ascii="Arial" w:hAnsi="Arial" w:cs="Arial"/>
        </w:rPr>
        <w:t xml:space="preserve">, elle est qualifiée d’intensité « mineure » </w:t>
      </w:r>
      <w:r w:rsidR="009B3E61">
        <w:rPr>
          <w:rFonts w:ascii="Arial" w:hAnsi="Arial" w:cs="Arial"/>
        </w:rPr>
        <w:t xml:space="preserve">avec un risque très faible </w:t>
      </w:r>
      <w:r w:rsidR="0071222B">
        <w:rPr>
          <w:rFonts w:ascii="Arial" w:hAnsi="Arial" w:cs="Arial"/>
        </w:rPr>
        <w:t>selon le tableau  suivant</w:t>
      </w:r>
    </w:p>
    <w:p w14:paraId="33135670" w14:textId="77777777" w:rsidR="0090044A" w:rsidRPr="002E58DC" w:rsidRDefault="0090044A" w:rsidP="002E58DC">
      <w:pPr>
        <w:pStyle w:val="Lgende"/>
        <w:spacing w:before="120"/>
        <w:jc w:val="center"/>
        <w:rPr>
          <w:sz w:val="20"/>
        </w:rPr>
      </w:pPr>
      <w:bookmarkStart w:id="1022" w:name="_Toc100753943"/>
      <w:bookmarkStart w:id="1023" w:name="_Toc127957852"/>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56</w:t>
      </w:r>
      <w:r w:rsidRPr="002E58DC">
        <w:rPr>
          <w:sz w:val="20"/>
        </w:rPr>
        <w:fldChar w:fldCharType="end"/>
      </w:r>
      <w:r w:rsidRPr="002E58DC">
        <w:rPr>
          <w:sz w:val="20"/>
        </w:rPr>
        <w:t xml:space="preserve">. Evaluation </w:t>
      </w:r>
      <w:r w:rsidR="00802A39">
        <w:rPr>
          <w:sz w:val="20"/>
        </w:rPr>
        <w:t xml:space="preserve">de </w:t>
      </w:r>
      <w:r w:rsidRPr="002E58DC">
        <w:rPr>
          <w:sz w:val="20"/>
        </w:rPr>
        <w:t>l’impact -Nuisances sonores sur la faune locale</w:t>
      </w:r>
      <w:bookmarkEnd w:id="1022"/>
      <w:bookmarkEnd w:id="1023"/>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1202"/>
        <w:gridCol w:w="1149"/>
        <w:gridCol w:w="1487"/>
        <w:gridCol w:w="1474"/>
        <w:gridCol w:w="1378"/>
        <w:gridCol w:w="1378"/>
        <w:tblGridChange w:id="1024">
          <w:tblGrid>
            <w:gridCol w:w="1220"/>
            <w:gridCol w:w="1202"/>
            <w:gridCol w:w="1149"/>
            <w:gridCol w:w="1487"/>
            <w:gridCol w:w="1474"/>
            <w:gridCol w:w="1378"/>
            <w:gridCol w:w="1378"/>
          </w:tblGrid>
        </w:tblGridChange>
      </w:tblGrid>
      <w:tr w:rsidR="009B3E61" w:rsidRPr="007F78CE" w14:paraId="6F46A665" w14:textId="77777777" w:rsidTr="00345918">
        <w:trPr>
          <w:jc w:val="center"/>
        </w:trPr>
        <w:tc>
          <w:tcPr>
            <w:tcW w:w="1220" w:type="dxa"/>
            <w:shd w:val="clear" w:color="auto" w:fill="BFBFBF"/>
          </w:tcPr>
          <w:p w14:paraId="07E7D00C" w14:textId="77777777" w:rsidR="009B3E61" w:rsidRPr="007F78CE" w:rsidRDefault="009B3E61"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202" w:type="dxa"/>
            <w:shd w:val="clear" w:color="auto" w:fill="BFBFBF"/>
          </w:tcPr>
          <w:p w14:paraId="6325092A" w14:textId="77777777" w:rsidR="009B3E61" w:rsidRPr="007F78CE" w:rsidRDefault="009B3E61"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1149" w:type="dxa"/>
            <w:shd w:val="clear" w:color="auto" w:fill="BFBFBF"/>
          </w:tcPr>
          <w:p w14:paraId="1EDD81ED" w14:textId="77777777" w:rsidR="009B3E61" w:rsidRPr="007F78CE" w:rsidRDefault="009B3E61"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487" w:type="dxa"/>
            <w:shd w:val="clear" w:color="auto" w:fill="BFBFBF"/>
          </w:tcPr>
          <w:p w14:paraId="32CE29A1" w14:textId="77777777" w:rsidR="009B3E61" w:rsidRPr="007F78CE" w:rsidRDefault="009B3E61"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474" w:type="dxa"/>
            <w:shd w:val="clear" w:color="auto" w:fill="BFBFBF"/>
          </w:tcPr>
          <w:p w14:paraId="2A1FD8BC" w14:textId="77777777" w:rsidR="009B3E61" w:rsidRPr="007F78CE" w:rsidRDefault="009B3E61"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378" w:type="dxa"/>
            <w:shd w:val="clear" w:color="auto" w:fill="BFBFBF"/>
          </w:tcPr>
          <w:p w14:paraId="22CA7692" w14:textId="77777777" w:rsidR="009B3E61" w:rsidRPr="007F78CE" w:rsidRDefault="009B3E61"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1378" w:type="dxa"/>
            <w:shd w:val="clear" w:color="auto" w:fill="BFBFBF"/>
          </w:tcPr>
          <w:p w14:paraId="4C338373" w14:textId="77777777" w:rsidR="009B3E61" w:rsidRPr="007F78CE" w:rsidRDefault="009B3E61" w:rsidP="007F78CE">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345918" w:rsidRPr="007F78CE" w14:paraId="1D1B3859" w14:textId="77777777" w:rsidTr="00FB04F6">
        <w:trPr>
          <w:jc w:val="center"/>
        </w:trPr>
        <w:tc>
          <w:tcPr>
            <w:tcW w:w="1220" w:type="dxa"/>
            <w:shd w:val="clear" w:color="auto" w:fill="auto"/>
          </w:tcPr>
          <w:p w14:paraId="046A65CF" w14:textId="77777777" w:rsidR="009B3E61" w:rsidRPr="007F78CE" w:rsidRDefault="009B3E61"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00D06615" w14:textId="77777777" w:rsidR="009B3E61" w:rsidRPr="007F78CE" w:rsidRDefault="009B3E6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02" w:type="dxa"/>
            <w:shd w:val="clear" w:color="auto" w:fill="auto"/>
          </w:tcPr>
          <w:p w14:paraId="55E8E9BA" w14:textId="77777777" w:rsidR="009B3E61" w:rsidRPr="007F78CE" w:rsidRDefault="009B3E6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635B63F4" w14:textId="77777777" w:rsidR="009B3E61" w:rsidRPr="007F78CE" w:rsidRDefault="009B3E6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149" w:type="dxa"/>
            <w:shd w:val="clear" w:color="auto" w:fill="auto"/>
          </w:tcPr>
          <w:p w14:paraId="441675B6" w14:textId="77777777" w:rsidR="009B3E61" w:rsidRPr="007F78CE" w:rsidRDefault="009B3E6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2CAE9A70" w14:textId="77777777" w:rsidR="009B3E61" w:rsidRPr="007F78CE" w:rsidRDefault="009B3E6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487" w:type="dxa"/>
            <w:shd w:val="clear" w:color="auto" w:fill="auto"/>
          </w:tcPr>
          <w:p w14:paraId="416793ED" w14:textId="77777777" w:rsidR="009B3E61" w:rsidRPr="007F78CE" w:rsidRDefault="009B3E6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3DA2D1C0" w14:textId="77777777" w:rsidR="009B3E61" w:rsidRPr="007F78CE" w:rsidRDefault="009B3E6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474" w:type="dxa"/>
            <w:shd w:val="clear" w:color="auto" w:fill="00B050"/>
          </w:tcPr>
          <w:p w14:paraId="2A5586BF" w14:textId="77777777" w:rsidR="009B3E61" w:rsidRPr="007F78CE" w:rsidRDefault="009B3E6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2E1F189E" w14:textId="77777777" w:rsidR="009B3E61" w:rsidRPr="007F78CE" w:rsidRDefault="009B3E6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378" w:type="dxa"/>
            <w:shd w:val="clear" w:color="auto" w:fill="auto"/>
          </w:tcPr>
          <w:p w14:paraId="7A0026F5" w14:textId="77777777" w:rsidR="009B3E61" w:rsidRPr="007F78CE" w:rsidRDefault="009B3E61"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1378" w:type="dxa"/>
            <w:shd w:val="clear" w:color="auto" w:fill="538135"/>
          </w:tcPr>
          <w:p w14:paraId="72E382BB" w14:textId="77777777" w:rsidR="009B3E61" w:rsidRPr="007F78CE" w:rsidRDefault="009B3E61"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Très faible</w:t>
            </w:r>
          </w:p>
        </w:tc>
      </w:tr>
    </w:tbl>
    <w:p w14:paraId="384D5DEA" w14:textId="77777777" w:rsidR="0090044A" w:rsidRPr="0048498B" w:rsidRDefault="0090044A" w:rsidP="00F01166">
      <w:pPr>
        <w:pStyle w:val="Normal12"/>
        <w:numPr>
          <w:ilvl w:val="0"/>
          <w:numId w:val="85"/>
        </w:numPr>
        <w:spacing w:before="120" w:after="120"/>
        <w:contextualSpacing/>
        <w:rPr>
          <w:i/>
          <w:iCs/>
          <w:lang w:val="fr-FR"/>
        </w:rPr>
      </w:pPr>
      <w:r w:rsidRPr="0048498B">
        <w:rPr>
          <w:i/>
          <w:iCs/>
          <w:lang w:val="fr-FR"/>
        </w:rPr>
        <w:t>Création d’un champ électromagnétique (CEM) sur la faune</w:t>
      </w:r>
    </w:p>
    <w:p w14:paraId="0B189A99" w14:textId="77777777" w:rsidR="0090044A" w:rsidRPr="00C41583" w:rsidRDefault="0090044A" w:rsidP="00C41583">
      <w:pPr>
        <w:spacing w:line="240" w:lineRule="auto"/>
        <w:jc w:val="both"/>
        <w:rPr>
          <w:rFonts w:ascii="Arial" w:hAnsi="Arial" w:cs="Arial"/>
        </w:rPr>
      </w:pPr>
      <w:r w:rsidRPr="00C41583">
        <w:rPr>
          <w:rFonts w:ascii="Arial" w:hAnsi="Arial" w:cs="Arial"/>
        </w:rPr>
        <w:t>Les champs électromagnétiques créés par les installations peuvent être source de stress pour la faune locale. Cela pourrait se traduire par un déplacement des animaux vers des sites proches, soit par des troubles dans leur</w:t>
      </w:r>
      <w:r w:rsidR="00B63C19">
        <w:rPr>
          <w:rFonts w:ascii="Arial" w:hAnsi="Arial" w:cs="Arial"/>
        </w:rPr>
        <w:t>s</w:t>
      </w:r>
      <w:r w:rsidRPr="00C41583">
        <w:rPr>
          <w:rFonts w:ascii="Arial" w:hAnsi="Arial" w:cs="Arial"/>
        </w:rPr>
        <w:t xml:space="preserve"> comportements habituels. </w:t>
      </w:r>
    </w:p>
    <w:p w14:paraId="49EFA916" w14:textId="77777777" w:rsidR="0090044A" w:rsidRPr="00145FBE" w:rsidRDefault="009B3E61" w:rsidP="00145FBE">
      <w:pPr>
        <w:spacing w:line="240" w:lineRule="auto"/>
        <w:jc w:val="both"/>
        <w:rPr>
          <w:rFonts w:ascii="Arial" w:hAnsi="Arial" w:cs="Arial"/>
        </w:rPr>
      </w:pPr>
      <w:r w:rsidRPr="00C41583">
        <w:rPr>
          <w:rFonts w:ascii="Arial" w:hAnsi="Arial" w:cs="Arial"/>
        </w:rPr>
        <w:t>L’importance</w:t>
      </w:r>
      <w:r w:rsidR="0090044A" w:rsidRPr="00C41583">
        <w:rPr>
          <w:rFonts w:ascii="Arial" w:hAnsi="Arial" w:cs="Arial"/>
        </w:rPr>
        <w:t xml:space="preserve"> de l’impact peut être considérée comme « Moyen</w:t>
      </w:r>
      <w:r w:rsidR="00C26DE5">
        <w:rPr>
          <w:rFonts w:ascii="Arial" w:hAnsi="Arial" w:cs="Arial"/>
        </w:rPr>
        <w:t>ne</w:t>
      </w:r>
      <w:r>
        <w:rPr>
          <w:rFonts w:ascii="Arial" w:hAnsi="Arial" w:cs="Arial"/>
        </w:rPr>
        <w:t xml:space="preserve"> » pour l’infrastructure numérique </w:t>
      </w:r>
      <w:r w:rsidR="0090044A" w:rsidRPr="00C41583">
        <w:rPr>
          <w:rFonts w:ascii="Arial" w:hAnsi="Arial" w:cs="Arial"/>
        </w:rPr>
        <w:t> </w:t>
      </w:r>
      <w:r>
        <w:rPr>
          <w:rFonts w:ascii="Arial" w:hAnsi="Arial" w:cs="Arial"/>
        </w:rPr>
        <w:t>et « Mineure</w:t>
      </w:r>
      <w:r w:rsidR="0090044A" w:rsidRPr="00C41583">
        <w:rPr>
          <w:rFonts w:ascii="Arial" w:hAnsi="Arial" w:cs="Arial"/>
        </w:rPr>
        <w:t>»</w:t>
      </w:r>
      <w:r>
        <w:rPr>
          <w:rFonts w:ascii="Arial" w:hAnsi="Arial" w:cs="Arial"/>
        </w:rPr>
        <w:t xml:space="preserve">  pour le réseau électrique.  Le  niveau de risque est évalué erspectivement comme élevé et faible </w:t>
      </w:r>
      <w:r w:rsidR="0071222B">
        <w:rPr>
          <w:rFonts w:ascii="Arial" w:hAnsi="Arial" w:cs="Arial"/>
        </w:rPr>
        <w:t>selon le tableau suivant</w:t>
      </w:r>
      <w:r w:rsidR="0090044A" w:rsidRPr="00C41583">
        <w:rPr>
          <w:rFonts w:ascii="Arial" w:hAnsi="Arial" w:cs="Arial"/>
        </w:rPr>
        <w:t>.</w:t>
      </w:r>
    </w:p>
    <w:p w14:paraId="0A36921A" w14:textId="77777777" w:rsidR="0090044A" w:rsidRPr="002E58DC" w:rsidRDefault="0090044A" w:rsidP="002E58DC">
      <w:pPr>
        <w:pStyle w:val="Lgende"/>
        <w:spacing w:before="120"/>
        <w:jc w:val="center"/>
        <w:rPr>
          <w:sz w:val="20"/>
        </w:rPr>
      </w:pPr>
      <w:bookmarkStart w:id="1025" w:name="_Toc100753944"/>
      <w:bookmarkStart w:id="1026" w:name="_Toc127957853"/>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57</w:t>
      </w:r>
      <w:r w:rsidRPr="002E58DC">
        <w:rPr>
          <w:sz w:val="20"/>
        </w:rPr>
        <w:fldChar w:fldCharType="end"/>
      </w:r>
      <w:r w:rsidRPr="002E58DC">
        <w:rPr>
          <w:sz w:val="20"/>
        </w:rPr>
        <w:t>. Evaluation l’impact -Création de champ électromagnétique</w:t>
      </w:r>
      <w:bookmarkEnd w:id="1025"/>
      <w:bookmarkEnd w:id="1026"/>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1128"/>
        <w:gridCol w:w="1218"/>
        <w:gridCol w:w="1024"/>
        <w:gridCol w:w="1285"/>
        <w:gridCol w:w="1118"/>
        <w:gridCol w:w="1064"/>
        <w:gridCol w:w="802"/>
        <w:tblGridChange w:id="1027">
          <w:tblGrid>
            <w:gridCol w:w="1649"/>
            <w:gridCol w:w="1128"/>
            <w:gridCol w:w="1218"/>
            <w:gridCol w:w="1024"/>
            <w:gridCol w:w="1285"/>
            <w:gridCol w:w="1118"/>
            <w:gridCol w:w="1064"/>
            <w:gridCol w:w="802"/>
          </w:tblGrid>
        </w:tblGridChange>
      </w:tblGrid>
      <w:tr w:rsidR="009B3E61" w:rsidRPr="007F78CE" w14:paraId="2760F0BE" w14:textId="77777777" w:rsidTr="00345918">
        <w:trPr>
          <w:jc w:val="center"/>
        </w:trPr>
        <w:tc>
          <w:tcPr>
            <w:tcW w:w="1649" w:type="dxa"/>
            <w:shd w:val="clear" w:color="auto" w:fill="BFBFBF"/>
          </w:tcPr>
          <w:p w14:paraId="6A8FB281" w14:textId="77777777" w:rsidR="009B3E61" w:rsidRPr="007F78CE" w:rsidRDefault="009B3E61" w:rsidP="007F78CE">
            <w:pPr>
              <w:spacing w:after="0" w:line="240" w:lineRule="auto"/>
              <w:rPr>
                <w:rFonts w:ascii="Arial Narrow" w:hAnsi="Arial Narrow"/>
                <w:b/>
                <w:bCs/>
                <w:sz w:val="20"/>
                <w:szCs w:val="20"/>
              </w:rPr>
            </w:pPr>
            <w:r>
              <w:rPr>
                <w:rFonts w:ascii="Arial Narrow" w:hAnsi="Arial Narrow"/>
                <w:b/>
                <w:bCs/>
                <w:sz w:val="20"/>
                <w:szCs w:val="20"/>
              </w:rPr>
              <w:t xml:space="preserve">Sous projet </w:t>
            </w:r>
          </w:p>
        </w:tc>
        <w:tc>
          <w:tcPr>
            <w:tcW w:w="1128" w:type="dxa"/>
            <w:shd w:val="clear" w:color="auto" w:fill="BFBFBF"/>
          </w:tcPr>
          <w:p w14:paraId="25BFEE82" w14:textId="77777777" w:rsidR="009B3E61" w:rsidRPr="007F78CE" w:rsidRDefault="009B3E61" w:rsidP="007F78CE">
            <w:pPr>
              <w:spacing w:after="0" w:line="240" w:lineRule="auto"/>
              <w:rPr>
                <w:rFonts w:ascii="Arial Narrow" w:hAnsi="Arial Narrow"/>
                <w:b/>
                <w:sz w:val="20"/>
                <w:szCs w:val="20"/>
              </w:rPr>
            </w:pPr>
            <w:r w:rsidRPr="007F78CE">
              <w:rPr>
                <w:rFonts w:ascii="Arial Narrow" w:hAnsi="Arial Narrow"/>
                <w:b/>
                <w:bCs/>
                <w:sz w:val="20"/>
                <w:szCs w:val="20"/>
              </w:rPr>
              <w:t xml:space="preserve">Intensité </w:t>
            </w:r>
          </w:p>
        </w:tc>
        <w:tc>
          <w:tcPr>
            <w:tcW w:w="1218" w:type="dxa"/>
            <w:shd w:val="clear" w:color="auto" w:fill="BFBFBF"/>
          </w:tcPr>
          <w:p w14:paraId="4F2DBD6E" w14:textId="77777777" w:rsidR="009B3E61" w:rsidRPr="007F78CE" w:rsidRDefault="009B3E61"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1024" w:type="dxa"/>
            <w:shd w:val="clear" w:color="auto" w:fill="BFBFBF"/>
          </w:tcPr>
          <w:p w14:paraId="28C8F463" w14:textId="77777777" w:rsidR="009B3E61" w:rsidRPr="007F78CE" w:rsidRDefault="009B3E61"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285" w:type="dxa"/>
            <w:shd w:val="clear" w:color="auto" w:fill="BFBFBF"/>
          </w:tcPr>
          <w:p w14:paraId="4054421F" w14:textId="77777777" w:rsidR="009B3E61" w:rsidRPr="007F78CE" w:rsidRDefault="009B3E61"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118" w:type="dxa"/>
            <w:shd w:val="clear" w:color="auto" w:fill="BFBFBF"/>
          </w:tcPr>
          <w:p w14:paraId="7B797606" w14:textId="77777777" w:rsidR="009B3E61" w:rsidRPr="007F78CE" w:rsidRDefault="009B3E61"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BFBFBF"/>
          </w:tcPr>
          <w:p w14:paraId="7DB1D16B" w14:textId="77777777" w:rsidR="009B3E61" w:rsidRPr="007F78CE" w:rsidRDefault="009B3E61"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802" w:type="dxa"/>
            <w:shd w:val="clear" w:color="auto" w:fill="BFBFBF"/>
          </w:tcPr>
          <w:p w14:paraId="29BBDED9" w14:textId="77777777" w:rsidR="009B3E61" w:rsidRPr="007F78CE" w:rsidRDefault="009B3E61" w:rsidP="007F78CE">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9B3E61" w:rsidRPr="007F78CE" w14:paraId="1E1DC782" w14:textId="77777777" w:rsidTr="00345918">
        <w:trPr>
          <w:jc w:val="center"/>
        </w:trPr>
        <w:tc>
          <w:tcPr>
            <w:tcW w:w="1649" w:type="dxa"/>
          </w:tcPr>
          <w:p w14:paraId="4D006E8E" w14:textId="77777777" w:rsidR="009B3E61" w:rsidRPr="007F78CE" w:rsidRDefault="009B3E61" w:rsidP="00345918">
            <w:pPr>
              <w:spacing w:after="0" w:line="240" w:lineRule="auto"/>
              <w:contextualSpacing/>
              <w:rPr>
                <w:rFonts w:ascii="Arial Narrow" w:hAnsi="Arial Narrow" w:cs="Arial"/>
                <w:sz w:val="20"/>
                <w:szCs w:val="20"/>
              </w:rPr>
            </w:pPr>
            <w:r>
              <w:rPr>
                <w:rFonts w:ascii="Arial Narrow" w:hAnsi="Arial Narrow" w:cs="Arial"/>
                <w:sz w:val="20"/>
                <w:szCs w:val="20"/>
              </w:rPr>
              <w:t xml:space="preserve">Infrastructure numérique </w:t>
            </w:r>
          </w:p>
        </w:tc>
        <w:tc>
          <w:tcPr>
            <w:tcW w:w="1128" w:type="dxa"/>
            <w:shd w:val="clear" w:color="auto" w:fill="auto"/>
          </w:tcPr>
          <w:p w14:paraId="249E2D02" w14:textId="77777777" w:rsidR="009B3E61" w:rsidRPr="007F78CE" w:rsidRDefault="009B3E61"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Moyenne</w:t>
            </w:r>
          </w:p>
          <w:p w14:paraId="63315D06" w14:textId="77777777" w:rsidR="009B3E61" w:rsidRPr="007F78CE" w:rsidRDefault="009B3E6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18" w:type="dxa"/>
            <w:shd w:val="clear" w:color="auto" w:fill="auto"/>
          </w:tcPr>
          <w:p w14:paraId="77CA8AF7" w14:textId="77777777" w:rsidR="009B3E61" w:rsidRPr="007F78CE" w:rsidRDefault="009B3E6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30421321" w14:textId="77777777" w:rsidR="009B3E61" w:rsidRPr="007F78CE" w:rsidRDefault="009B3E6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24" w:type="dxa"/>
            <w:shd w:val="clear" w:color="auto" w:fill="auto"/>
          </w:tcPr>
          <w:p w14:paraId="71E493F4" w14:textId="77777777" w:rsidR="009B3E61" w:rsidRPr="007F78CE" w:rsidRDefault="009B3E6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Longue</w:t>
            </w:r>
          </w:p>
          <w:p w14:paraId="690CF5F8" w14:textId="77777777" w:rsidR="009B3E61" w:rsidRPr="007F78CE" w:rsidRDefault="009B3E6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285" w:type="dxa"/>
            <w:shd w:val="clear" w:color="auto" w:fill="auto"/>
          </w:tcPr>
          <w:p w14:paraId="31450E86" w14:textId="77777777" w:rsidR="009B3E61" w:rsidRPr="007F78CE" w:rsidRDefault="009B3E6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414B05F1" w14:textId="77777777" w:rsidR="009B3E61" w:rsidRPr="007F78CE" w:rsidRDefault="009B3E6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118" w:type="dxa"/>
            <w:shd w:val="clear" w:color="auto" w:fill="FFFF00"/>
          </w:tcPr>
          <w:p w14:paraId="762FD187" w14:textId="77777777" w:rsidR="009B3E61" w:rsidRPr="007F78CE" w:rsidRDefault="009B3E6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23862639" w14:textId="77777777" w:rsidR="009B3E61" w:rsidRPr="007F78CE" w:rsidRDefault="009B3E6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(7)</w:t>
            </w:r>
          </w:p>
        </w:tc>
        <w:tc>
          <w:tcPr>
            <w:tcW w:w="1064" w:type="dxa"/>
            <w:shd w:val="clear" w:color="auto" w:fill="auto"/>
          </w:tcPr>
          <w:p w14:paraId="6C752E0C" w14:textId="77777777" w:rsidR="009B3E61" w:rsidRPr="007F78CE" w:rsidRDefault="009B3E61"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Moyenne </w:t>
            </w:r>
          </w:p>
        </w:tc>
        <w:tc>
          <w:tcPr>
            <w:tcW w:w="802" w:type="dxa"/>
            <w:shd w:val="clear" w:color="auto" w:fill="FFC000"/>
          </w:tcPr>
          <w:p w14:paraId="66747E4A" w14:textId="77777777" w:rsidR="009B3E61" w:rsidRPr="007F78CE" w:rsidRDefault="009B3E61"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Elevé </w:t>
            </w:r>
          </w:p>
        </w:tc>
      </w:tr>
      <w:tr w:rsidR="00345918" w:rsidRPr="007F78CE" w14:paraId="5DC8BD8B" w14:textId="77777777" w:rsidTr="00FB04F6">
        <w:trPr>
          <w:jc w:val="center"/>
        </w:trPr>
        <w:tc>
          <w:tcPr>
            <w:tcW w:w="1649" w:type="dxa"/>
          </w:tcPr>
          <w:p w14:paraId="777B8BE8" w14:textId="77777777" w:rsidR="009B3E61" w:rsidRPr="007F78CE" w:rsidRDefault="009B3E61"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Réseau électrique </w:t>
            </w:r>
          </w:p>
        </w:tc>
        <w:tc>
          <w:tcPr>
            <w:tcW w:w="1128" w:type="dxa"/>
            <w:shd w:val="clear" w:color="auto" w:fill="auto"/>
          </w:tcPr>
          <w:p w14:paraId="59B340A3" w14:textId="77777777" w:rsidR="009B3E61" w:rsidRPr="007F78CE" w:rsidRDefault="009B3E61" w:rsidP="00B63C19">
            <w:pPr>
              <w:spacing w:after="0" w:line="240" w:lineRule="auto"/>
              <w:contextualSpacing/>
              <w:jc w:val="center"/>
              <w:rPr>
                <w:rFonts w:ascii="Arial Narrow" w:hAnsi="Arial Narrow" w:cs="Arial"/>
                <w:bCs/>
                <w:sz w:val="20"/>
                <w:szCs w:val="20"/>
              </w:rPr>
            </w:pPr>
            <w:r>
              <w:rPr>
                <w:rFonts w:ascii="Arial Narrow" w:hAnsi="Arial Narrow" w:cs="Arial"/>
                <w:sz w:val="20"/>
                <w:szCs w:val="20"/>
              </w:rPr>
              <w:t xml:space="preserve">Faible </w:t>
            </w:r>
          </w:p>
          <w:p w14:paraId="4CC382B5" w14:textId="77777777" w:rsidR="009B3E61" w:rsidRPr="007F78CE" w:rsidRDefault="009B3E61"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(1</w:t>
            </w:r>
            <w:r w:rsidRPr="007F78CE">
              <w:rPr>
                <w:rFonts w:ascii="Arial Narrow" w:hAnsi="Arial Narrow" w:cs="Arial"/>
                <w:sz w:val="20"/>
                <w:szCs w:val="20"/>
              </w:rPr>
              <w:t>)</w:t>
            </w:r>
          </w:p>
        </w:tc>
        <w:tc>
          <w:tcPr>
            <w:tcW w:w="1218" w:type="dxa"/>
            <w:shd w:val="clear" w:color="auto" w:fill="auto"/>
          </w:tcPr>
          <w:p w14:paraId="037A3D43" w14:textId="77777777" w:rsidR="009B3E61" w:rsidRPr="007F78CE" w:rsidRDefault="009B3E61"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038CEF36" w14:textId="77777777" w:rsidR="009B3E61" w:rsidRPr="007F78CE" w:rsidRDefault="009B3E6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24" w:type="dxa"/>
            <w:shd w:val="clear" w:color="auto" w:fill="auto"/>
          </w:tcPr>
          <w:p w14:paraId="50C1A31D" w14:textId="77777777" w:rsidR="009B3E61" w:rsidRPr="007F78CE" w:rsidRDefault="009B3E61" w:rsidP="00B63C19">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p w14:paraId="2F9B67BA" w14:textId="77777777" w:rsidR="009B3E61" w:rsidRPr="007F78CE" w:rsidRDefault="009B3E61"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1285" w:type="dxa"/>
            <w:shd w:val="clear" w:color="auto" w:fill="auto"/>
          </w:tcPr>
          <w:p w14:paraId="77E71C64" w14:textId="77777777" w:rsidR="009B3E61" w:rsidRPr="007F78CE" w:rsidRDefault="009B3E61"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78390FA7" w14:textId="77777777" w:rsidR="009B3E61" w:rsidRPr="007F78CE" w:rsidRDefault="009B3E6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118" w:type="dxa"/>
            <w:shd w:val="clear" w:color="auto" w:fill="00B050"/>
          </w:tcPr>
          <w:p w14:paraId="401A6617" w14:textId="77777777" w:rsidR="009B3E61" w:rsidRPr="007F78CE" w:rsidRDefault="009B3E61" w:rsidP="00B63C19">
            <w:pPr>
              <w:spacing w:after="0" w:line="240" w:lineRule="auto"/>
              <w:contextualSpacing/>
              <w:jc w:val="center"/>
              <w:rPr>
                <w:rFonts w:ascii="Arial Narrow" w:hAnsi="Arial Narrow" w:cs="Arial"/>
                <w:sz w:val="20"/>
                <w:szCs w:val="20"/>
              </w:rPr>
            </w:pPr>
            <w:r>
              <w:rPr>
                <w:rFonts w:ascii="Arial Narrow" w:hAnsi="Arial Narrow" w:cs="Arial"/>
                <w:sz w:val="20"/>
                <w:szCs w:val="20"/>
              </w:rPr>
              <w:t>Mineure</w:t>
            </w:r>
          </w:p>
          <w:p w14:paraId="4FCB53E6" w14:textId="77777777" w:rsidR="009B3E61" w:rsidRPr="007F78CE" w:rsidRDefault="009B3E61"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5</w:t>
            </w:r>
            <w:r w:rsidRPr="007F78CE">
              <w:rPr>
                <w:rFonts w:ascii="Arial Narrow" w:hAnsi="Arial Narrow" w:cs="Arial"/>
                <w:sz w:val="20"/>
                <w:szCs w:val="20"/>
              </w:rPr>
              <w:t>)</w:t>
            </w:r>
          </w:p>
        </w:tc>
        <w:tc>
          <w:tcPr>
            <w:tcW w:w="1064" w:type="dxa"/>
            <w:shd w:val="clear" w:color="auto" w:fill="auto"/>
          </w:tcPr>
          <w:p w14:paraId="465E8CB3" w14:textId="77777777" w:rsidR="009B3E61" w:rsidRDefault="009B3E61" w:rsidP="00B63C19">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Moyenne </w:t>
            </w:r>
          </w:p>
        </w:tc>
        <w:tc>
          <w:tcPr>
            <w:tcW w:w="802" w:type="dxa"/>
            <w:shd w:val="clear" w:color="auto" w:fill="BFBFBF"/>
          </w:tcPr>
          <w:p w14:paraId="34488951" w14:textId="77777777" w:rsidR="009B3E61" w:rsidRDefault="009B3E61" w:rsidP="00B63C19">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r w:rsidR="00702DFF" w:rsidRPr="007F78CE" w14:paraId="735D5706" w14:textId="77777777" w:rsidTr="00FB04F6">
        <w:trPr>
          <w:jc w:val="center"/>
        </w:trPr>
        <w:tc>
          <w:tcPr>
            <w:tcW w:w="1649" w:type="dxa"/>
          </w:tcPr>
          <w:p w14:paraId="791C6485" w14:textId="77777777" w:rsidR="00702DFF" w:rsidRDefault="00702DFF"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Impact cummulé</w:t>
            </w:r>
          </w:p>
        </w:tc>
        <w:tc>
          <w:tcPr>
            <w:tcW w:w="1128" w:type="dxa"/>
            <w:shd w:val="clear" w:color="auto" w:fill="auto"/>
          </w:tcPr>
          <w:p w14:paraId="51493927" w14:textId="77777777" w:rsidR="00702DFF" w:rsidRPr="007F78CE" w:rsidRDefault="00702DFF" w:rsidP="00D70FB3">
            <w:pPr>
              <w:spacing w:after="0" w:line="240" w:lineRule="auto"/>
              <w:contextualSpacing/>
              <w:jc w:val="center"/>
              <w:rPr>
                <w:rFonts w:ascii="Arial Narrow" w:hAnsi="Arial Narrow" w:cs="Arial"/>
                <w:bCs/>
                <w:sz w:val="20"/>
                <w:szCs w:val="20"/>
              </w:rPr>
            </w:pPr>
            <w:r>
              <w:rPr>
                <w:rFonts w:ascii="Arial Narrow" w:hAnsi="Arial Narrow" w:cs="Arial"/>
                <w:sz w:val="20"/>
                <w:szCs w:val="20"/>
              </w:rPr>
              <w:t xml:space="preserve">Faible </w:t>
            </w:r>
          </w:p>
          <w:p w14:paraId="01226A4F" w14:textId="77777777" w:rsidR="00702DFF" w:rsidRDefault="00702DFF" w:rsidP="00B63C19">
            <w:pPr>
              <w:spacing w:after="0" w:line="240" w:lineRule="auto"/>
              <w:contextualSpacing/>
              <w:jc w:val="center"/>
              <w:rPr>
                <w:rFonts w:ascii="Arial Narrow" w:hAnsi="Arial Narrow" w:cs="Arial"/>
                <w:sz w:val="20"/>
                <w:szCs w:val="20"/>
              </w:rPr>
            </w:pPr>
            <w:r>
              <w:rPr>
                <w:rFonts w:ascii="Arial Narrow" w:hAnsi="Arial Narrow" w:cs="Arial"/>
                <w:sz w:val="20"/>
                <w:szCs w:val="20"/>
              </w:rPr>
              <w:t>(1</w:t>
            </w:r>
            <w:r w:rsidRPr="007F78CE">
              <w:rPr>
                <w:rFonts w:ascii="Arial Narrow" w:hAnsi="Arial Narrow" w:cs="Arial"/>
                <w:sz w:val="20"/>
                <w:szCs w:val="20"/>
              </w:rPr>
              <w:t>)</w:t>
            </w:r>
          </w:p>
        </w:tc>
        <w:tc>
          <w:tcPr>
            <w:tcW w:w="1218" w:type="dxa"/>
            <w:shd w:val="clear" w:color="auto" w:fill="auto"/>
          </w:tcPr>
          <w:p w14:paraId="205503B6" w14:textId="77777777" w:rsidR="00702DFF" w:rsidRPr="007F78CE" w:rsidRDefault="00702DFF"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787C1AA2" w14:textId="77777777" w:rsidR="00702DFF" w:rsidRPr="007F78CE" w:rsidRDefault="00702DFF"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24" w:type="dxa"/>
            <w:shd w:val="clear" w:color="auto" w:fill="auto"/>
          </w:tcPr>
          <w:p w14:paraId="4C16A310" w14:textId="77777777" w:rsidR="00702DFF" w:rsidRPr="007F78CE" w:rsidRDefault="00702DFF" w:rsidP="00D70FB3">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p w14:paraId="1B7A75C1" w14:textId="77777777" w:rsidR="00702DFF" w:rsidRDefault="00702DFF"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1285" w:type="dxa"/>
            <w:shd w:val="clear" w:color="auto" w:fill="auto"/>
          </w:tcPr>
          <w:p w14:paraId="440437E4" w14:textId="77777777" w:rsidR="00702DFF" w:rsidRPr="007F78CE" w:rsidRDefault="00702DFF"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70E10A4E" w14:textId="77777777" w:rsidR="00702DFF" w:rsidRPr="007F78CE" w:rsidRDefault="00702DFF"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118" w:type="dxa"/>
            <w:shd w:val="clear" w:color="auto" w:fill="00B050"/>
          </w:tcPr>
          <w:p w14:paraId="0455426F" w14:textId="77777777" w:rsidR="00702DFF" w:rsidRPr="007F78CE" w:rsidRDefault="00702DFF" w:rsidP="00D70FB3">
            <w:pPr>
              <w:spacing w:after="0" w:line="240" w:lineRule="auto"/>
              <w:contextualSpacing/>
              <w:jc w:val="center"/>
              <w:rPr>
                <w:rFonts w:ascii="Arial Narrow" w:hAnsi="Arial Narrow" w:cs="Arial"/>
                <w:sz w:val="20"/>
                <w:szCs w:val="20"/>
              </w:rPr>
            </w:pPr>
            <w:r>
              <w:rPr>
                <w:rFonts w:ascii="Arial Narrow" w:hAnsi="Arial Narrow" w:cs="Arial"/>
                <w:sz w:val="20"/>
                <w:szCs w:val="20"/>
              </w:rPr>
              <w:t>Mineure</w:t>
            </w:r>
          </w:p>
          <w:p w14:paraId="55E2459C" w14:textId="77777777" w:rsidR="00702DFF" w:rsidRDefault="00702DFF" w:rsidP="00B63C19">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5</w:t>
            </w:r>
            <w:r w:rsidRPr="007F78CE">
              <w:rPr>
                <w:rFonts w:ascii="Arial Narrow" w:hAnsi="Arial Narrow" w:cs="Arial"/>
                <w:sz w:val="20"/>
                <w:szCs w:val="20"/>
              </w:rPr>
              <w:t>)</w:t>
            </w:r>
          </w:p>
        </w:tc>
        <w:tc>
          <w:tcPr>
            <w:tcW w:w="1064" w:type="dxa"/>
            <w:shd w:val="clear" w:color="auto" w:fill="auto"/>
          </w:tcPr>
          <w:p w14:paraId="64954EBB" w14:textId="77777777" w:rsidR="00702DFF" w:rsidRDefault="00702DFF" w:rsidP="00B63C19">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Moyenne </w:t>
            </w:r>
          </w:p>
        </w:tc>
        <w:tc>
          <w:tcPr>
            <w:tcW w:w="802" w:type="dxa"/>
            <w:shd w:val="clear" w:color="auto" w:fill="BFBFBF"/>
          </w:tcPr>
          <w:p w14:paraId="4EFA4CB3" w14:textId="77777777" w:rsidR="00702DFF" w:rsidRDefault="00702DFF" w:rsidP="00B63C19">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bl>
    <w:p w14:paraId="5EE085E0" w14:textId="77777777" w:rsidR="00B63C19" w:rsidRPr="00345918" w:rsidRDefault="00B63C19" w:rsidP="00F01166">
      <w:pPr>
        <w:pStyle w:val="Normal12"/>
        <w:numPr>
          <w:ilvl w:val="0"/>
          <w:numId w:val="85"/>
        </w:numPr>
        <w:tabs>
          <w:tab w:val="clear" w:pos="2520"/>
        </w:tabs>
        <w:spacing w:before="120" w:after="120"/>
        <w:contextualSpacing/>
        <w:rPr>
          <w:i/>
          <w:iCs/>
          <w:lang w:val="fr-FR"/>
        </w:rPr>
      </w:pPr>
      <w:r w:rsidRPr="00B434A6">
        <w:rPr>
          <w:i/>
          <w:iCs/>
          <w:lang w:val="fr-FR"/>
        </w:rPr>
        <w:t xml:space="preserve">Perturbation de la faune aquatique </w:t>
      </w:r>
    </w:p>
    <w:p w14:paraId="667CD696" w14:textId="77777777" w:rsidR="00B63C19" w:rsidRPr="00742D67" w:rsidRDefault="00FD6CD1" w:rsidP="00B434A6">
      <w:pPr>
        <w:spacing w:line="240" w:lineRule="auto"/>
        <w:jc w:val="both"/>
        <w:rPr>
          <w:rFonts w:ascii="Arial" w:hAnsi="Arial" w:cs="Arial"/>
        </w:rPr>
      </w:pPr>
      <w:r w:rsidRPr="00742D67">
        <w:rPr>
          <w:rFonts w:ascii="Arial" w:hAnsi="Arial" w:cs="Arial"/>
        </w:rPr>
        <w:t xml:space="preserve">La présence du barrage empêche la bonne circulation des poissons dans le cours d’eau. </w:t>
      </w:r>
      <w:r w:rsidR="008F4DCC" w:rsidRPr="00742D67">
        <w:rPr>
          <w:rFonts w:ascii="Arial" w:hAnsi="Arial" w:cs="Arial"/>
        </w:rPr>
        <w:t>E</w:t>
      </w:r>
      <w:r w:rsidRPr="00742D67">
        <w:rPr>
          <w:rFonts w:ascii="Arial" w:hAnsi="Arial" w:cs="Arial"/>
        </w:rPr>
        <w:t>n effe</w:t>
      </w:r>
      <w:r w:rsidR="008F4DCC" w:rsidRPr="00742D67">
        <w:rPr>
          <w:rFonts w:ascii="Arial" w:hAnsi="Arial" w:cs="Arial"/>
        </w:rPr>
        <w:t>t</w:t>
      </w:r>
      <w:r w:rsidR="005D4CDC" w:rsidRPr="00742D67">
        <w:rPr>
          <w:rFonts w:ascii="Arial" w:hAnsi="Arial" w:cs="Arial"/>
        </w:rPr>
        <w:t>,</w:t>
      </w:r>
      <w:r w:rsidRPr="00742D67">
        <w:rPr>
          <w:rFonts w:ascii="Arial" w:hAnsi="Arial" w:cs="Arial"/>
        </w:rPr>
        <w:t xml:space="preserve"> </w:t>
      </w:r>
      <w:r w:rsidR="008F4DCC" w:rsidRPr="00742D67">
        <w:rPr>
          <w:rFonts w:ascii="Arial" w:hAnsi="Arial" w:cs="Arial"/>
        </w:rPr>
        <w:t>l</w:t>
      </w:r>
      <w:r w:rsidR="00137365" w:rsidRPr="00742D67">
        <w:rPr>
          <w:rFonts w:ascii="Arial" w:hAnsi="Arial" w:cs="Arial"/>
        </w:rPr>
        <w:t>a création d'un barrage entraîne des bouleversements importants de l'environnement notamment sur la diversité des peuplements de poissons.</w:t>
      </w:r>
      <w:r w:rsidR="00137365" w:rsidRPr="00F01166">
        <w:rPr>
          <w:rFonts w:ascii="Arial" w:hAnsi="Arial" w:cs="Arial"/>
          <w:sz w:val="18"/>
          <w:szCs w:val="18"/>
          <w:vertAlign w:val="superscript"/>
        </w:rPr>
        <w:footnoteReference w:id="84"/>
      </w:r>
      <w:r w:rsidR="00137365" w:rsidRPr="00742D67">
        <w:rPr>
          <w:rFonts w:ascii="Arial" w:hAnsi="Arial" w:cs="Arial"/>
        </w:rPr>
        <w:t xml:space="preserve">Heureusement le barrage au fil de l’eau qui sera utilisé prévoit une passe à poisson pour s’assurer que les espèces de poissons puissent librement </w:t>
      </w:r>
      <w:r w:rsidR="008F4DCC" w:rsidRPr="00742D67">
        <w:rPr>
          <w:rFonts w:ascii="Arial" w:hAnsi="Arial" w:cs="Arial"/>
        </w:rPr>
        <w:t xml:space="preserve">circuler </w:t>
      </w:r>
      <w:r w:rsidR="00137365" w:rsidRPr="00742D67">
        <w:rPr>
          <w:rFonts w:ascii="Arial" w:hAnsi="Arial" w:cs="Arial"/>
        </w:rPr>
        <w:t xml:space="preserve">entre l’amont et l’aval du barrage. </w:t>
      </w:r>
      <w:r w:rsidR="00067C78">
        <w:rPr>
          <w:rFonts w:ascii="Arial" w:hAnsi="Arial" w:cs="Arial"/>
        </w:rPr>
        <w:t>L’importance de l</w:t>
      </w:r>
      <w:r w:rsidR="00137365" w:rsidRPr="00742D67">
        <w:rPr>
          <w:rFonts w:ascii="Arial" w:hAnsi="Arial" w:cs="Arial"/>
        </w:rPr>
        <w:t>’impact du barrage sur la faune aquatique sera alors jugé</w:t>
      </w:r>
      <w:r w:rsidR="00987831">
        <w:rPr>
          <w:rFonts w:ascii="Arial" w:hAnsi="Arial" w:cs="Arial"/>
        </w:rPr>
        <w:t>e</w:t>
      </w:r>
      <w:r w:rsidR="00137365" w:rsidRPr="00742D67">
        <w:rPr>
          <w:rFonts w:ascii="Arial" w:hAnsi="Arial" w:cs="Arial"/>
        </w:rPr>
        <w:t xml:space="preserve"> « Mineure »</w:t>
      </w:r>
      <w:r w:rsidR="00987831">
        <w:rPr>
          <w:rFonts w:ascii="Arial" w:hAnsi="Arial" w:cs="Arial"/>
        </w:rPr>
        <w:t xml:space="preserve"> et le niveau de risque est considéré comme très faible</w:t>
      </w:r>
      <w:r w:rsidR="00225639">
        <w:rPr>
          <w:rFonts w:ascii="Arial" w:hAnsi="Arial" w:cs="Arial"/>
        </w:rPr>
        <w:t>.</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044"/>
        <w:gridCol w:w="1084"/>
        <w:gridCol w:w="1011"/>
        <w:gridCol w:w="1329"/>
        <w:gridCol w:w="1273"/>
        <w:gridCol w:w="1064"/>
        <w:gridCol w:w="859"/>
        <w:tblGridChange w:id="1028">
          <w:tblGrid>
            <w:gridCol w:w="1624"/>
            <w:gridCol w:w="1044"/>
            <w:gridCol w:w="1084"/>
            <w:gridCol w:w="1011"/>
            <w:gridCol w:w="1329"/>
            <w:gridCol w:w="1273"/>
            <w:gridCol w:w="1064"/>
            <w:gridCol w:w="859"/>
          </w:tblGrid>
        </w:tblGridChange>
      </w:tblGrid>
      <w:tr w:rsidR="00C26DE5" w:rsidRPr="007F78CE" w14:paraId="159D0AE1" w14:textId="77777777" w:rsidTr="00345918">
        <w:trPr>
          <w:jc w:val="center"/>
        </w:trPr>
        <w:tc>
          <w:tcPr>
            <w:tcW w:w="1674" w:type="dxa"/>
            <w:shd w:val="clear" w:color="auto" w:fill="BFBFBF"/>
          </w:tcPr>
          <w:p w14:paraId="5E412E21" w14:textId="77777777" w:rsidR="00C26DE5" w:rsidRPr="007F78CE" w:rsidRDefault="00C26DE5" w:rsidP="00611CB5">
            <w:pPr>
              <w:spacing w:after="0" w:line="240" w:lineRule="auto"/>
              <w:rPr>
                <w:rFonts w:ascii="Arial Narrow" w:hAnsi="Arial Narrow"/>
                <w:b/>
                <w:bCs/>
                <w:sz w:val="20"/>
                <w:szCs w:val="20"/>
              </w:rPr>
            </w:pPr>
            <w:r>
              <w:rPr>
                <w:rFonts w:ascii="Arial Narrow" w:hAnsi="Arial Narrow"/>
                <w:b/>
                <w:bCs/>
                <w:sz w:val="20"/>
                <w:szCs w:val="20"/>
              </w:rPr>
              <w:t xml:space="preserve">Sous Projet </w:t>
            </w:r>
          </w:p>
        </w:tc>
        <w:tc>
          <w:tcPr>
            <w:tcW w:w="1071" w:type="dxa"/>
            <w:shd w:val="clear" w:color="auto" w:fill="BFBFBF"/>
          </w:tcPr>
          <w:p w14:paraId="05938893" w14:textId="77777777" w:rsidR="00C26DE5" w:rsidRPr="007F78CE" w:rsidRDefault="00C26DE5" w:rsidP="00611CB5">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102" w:type="dxa"/>
            <w:shd w:val="clear" w:color="auto" w:fill="BFBFBF"/>
          </w:tcPr>
          <w:p w14:paraId="07EB280D" w14:textId="77777777" w:rsidR="00C26DE5" w:rsidRPr="007F78CE" w:rsidRDefault="00C26DE5" w:rsidP="00611CB5">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1032" w:type="dxa"/>
            <w:shd w:val="clear" w:color="auto" w:fill="BFBFBF"/>
          </w:tcPr>
          <w:p w14:paraId="636C3A7C" w14:textId="77777777" w:rsidR="00C26DE5" w:rsidRPr="007F78CE" w:rsidRDefault="00C26DE5" w:rsidP="00611CB5">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353" w:type="dxa"/>
            <w:shd w:val="clear" w:color="auto" w:fill="BFBFBF"/>
          </w:tcPr>
          <w:p w14:paraId="4A0C96FD" w14:textId="77777777" w:rsidR="00C26DE5" w:rsidRPr="007F78CE" w:rsidRDefault="00C26DE5" w:rsidP="00611CB5">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304" w:type="dxa"/>
            <w:shd w:val="clear" w:color="auto" w:fill="BFBFBF"/>
          </w:tcPr>
          <w:p w14:paraId="60094FFC" w14:textId="77777777" w:rsidR="00C26DE5" w:rsidRPr="007F78CE" w:rsidRDefault="00C26DE5" w:rsidP="00611CB5">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876" w:type="dxa"/>
            <w:shd w:val="clear" w:color="auto" w:fill="BFBFBF"/>
          </w:tcPr>
          <w:p w14:paraId="604E5BD9" w14:textId="77777777" w:rsidR="00C26DE5" w:rsidRPr="007F78CE" w:rsidRDefault="00C26DE5" w:rsidP="00611CB5">
            <w:pPr>
              <w:spacing w:after="0" w:line="240" w:lineRule="auto"/>
              <w:rPr>
                <w:rFonts w:ascii="Arial Narrow" w:hAnsi="Arial Narrow"/>
                <w:b/>
                <w:bCs/>
                <w:sz w:val="20"/>
                <w:szCs w:val="20"/>
              </w:rPr>
            </w:pPr>
            <w:r>
              <w:rPr>
                <w:rFonts w:ascii="Arial Narrow" w:hAnsi="Arial Narrow"/>
                <w:b/>
                <w:bCs/>
                <w:sz w:val="20"/>
                <w:szCs w:val="20"/>
              </w:rPr>
              <w:t>Probabilité</w:t>
            </w:r>
          </w:p>
        </w:tc>
        <w:tc>
          <w:tcPr>
            <w:tcW w:w="876" w:type="dxa"/>
            <w:shd w:val="clear" w:color="auto" w:fill="BFBFBF"/>
          </w:tcPr>
          <w:p w14:paraId="392683DA" w14:textId="77777777" w:rsidR="00C26DE5" w:rsidRPr="007F78CE" w:rsidRDefault="00C26DE5" w:rsidP="00611CB5">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345918" w:rsidRPr="007F78CE" w14:paraId="6C21E15B" w14:textId="77777777" w:rsidTr="00FB04F6">
        <w:trPr>
          <w:jc w:val="center"/>
        </w:trPr>
        <w:tc>
          <w:tcPr>
            <w:tcW w:w="1674" w:type="dxa"/>
          </w:tcPr>
          <w:p w14:paraId="44B7148F" w14:textId="77777777" w:rsidR="00C26DE5" w:rsidRPr="007F78CE" w:rsidRDefault="00C26DE5" w:rsidP="00345918">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71" w:type="dxa"/>
            <w:shd w:val="clear" w:color="auto" w:fill="auto"/>
          </w:tcPr>
          <w:p w14:paraId="3E9C7BFB" w14:textId="77777777" w:rsidR="00C26DE5" w:rsidRPr="007F78CE" w:rsidRDefault="00C26DE5" w:rsidP="00611CB5">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144D1158" w14:textId="77777777" w:rsidR="00C26DE5" w:rsidRPr="007F78CE" w:rsidRDefault="00C26DE5"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102" w:type="dxa"/>
            <w:shd w:val="clear" w:color="auto" w:fill="auto"/>
          </w:tcPr>
          <w:p w14:paraId="6B9F298B" w14:textId="77777777" w:rsidR="00C26DE5" w:rsidRPr="007F78CE" w:rsidRDefault="00C26DE5"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5409ABC3" w14:textId="77777777" w:rsidR="00C26DE5" w:rsidRPr="007F78CE" w:rsidRDefault="00C26DE5"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32" w:type="dxa"/>
            <w:shd w:val="clear" w:color="auto" w:fill="auto"/>
          </w:tcPr>
          <w:p w14:paraId="120F31D5" w14:textId="77777777" w:rsidR="00C26DE5" w:rsidRPr="007F78CE" w:rsidRDefault="00C26DE5"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6BF7719F" w14:textId="77777777" w:rsidR="00C26DE5" w:rsidRPr="007F78CE" w:rsidRDefault="00C26DE5"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353" w:type="dxa"/>
            <w:shd w:val="clear" w:color="auto" w:fill="auto"/>
          </w:tcPr>
          <w:p w14:paraId="0ECED847" w14:textId="77777777" w:rsidR="00C26DE5" w:rsidRPr="007F78CE" w:rsidRDefault="00C26DE5"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304BC47B" w14:textId="77777777" w:rsidR="00C26DE5" w:rsidRPr="007F78CE" w:rsidRDefault="00C26DE5"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04" w:type="dxa"/>
            <w:shd w:val="clear" w:color="auto" w:fill="00B050"/>
          </w:tcPr>
          <w:p w14:paraId="65BD6E5C" w14:textId="77777777" w:rsidR="00C26DE5" w:rsidRPr="007F78CE" w:rsidRDefault="00C26DE5"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2F3FAACC" w14:textId="77777777" w:rsidR="00C26DE5" w:rsidRPr="007F78CE" w:rsidRDefault="00C26DE5"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876" w:type="dxa"/>
            <w:shd w:val="clear" w:color="auto" w:fill="auto"/>
          </w:tcPr>
          <w:p w14:paraId="388812C0" w14:textId="77777777" w:rsidR="00C26DE5" w:rsidRPr="007F78CE" w:rsidRDefault="00C26DE5" w:rsidP="00611CB5">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876" w:type="dxa"/>
            <w:shd w:val="clear" w:color="auto" w:fill="538135"/>
          </w:tcPr>
          <w:p w14:paraId="574423E5" w14:textId="77777777" w:rsidR="00C26DE5" w:rsidRPr="007F78CE" w:rsidRDefault="00C26DE5" w:rsidP="00611CB5">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Très faible </w:t>
            </w:r>
          </w:p>
        </w:tc>
      </w:tr>
    </w:tbl>
    <w:p w14:paraId="6ACF3FBD" w14:textId="77777777" w:rsidR="00225639" w:rsidRDefault="00225639" w:rsidP="00B434A6">
      <w:pPr>
        <w:pStyle w:val="Style9"/>
        <w:spacing w:before="120"/>
        <w:ind w:left="2851"/>
      </w:pPr>
    </w:p>
    <w:p w14:paraId="2BCD3437" w14:textId="77777777" w:rsidR="0090044A" w:rsidRPr="000109F2" w:rsidRDefault="0090044A" w:rsidP="00B434A6">
      <w:pPr>
        <w:pStyle w:val="Style9"/>
        <w:spacing w:before="120"/>
        <w:ind w:left="2851"/>
      </w:pPr>
      <w:r w:rsidRPr="000109F2">
        <w:t>Impact sur le milieu humain</w:t>
      </w:r>
      <w:bookmarkEnd w:id="1020"/>
      <w:bookmarkEnd w:id="1021"/>
    </w:p>
    <w:p w14:paraId="7A58F3E0" w14:textId="77777777" w:rsidR="0090044A" w:rsidRPr="007F78CE" w:rsidRDefault="0090044A" w:rsidP="00687DD2">
      <w:pPr>
        <w:pStyle w:val="Titre5"/>
        <w:keepNext w:val="0"/>
        <w:keepLines w:val="0"/>
        <w:numPr>
          <w:ilvl w:val="0"/>
          <w:numId w:val="99"/>
        </w:numPr>
        <w:tabs>
          <w:tab w:val="left" w:pos="708"/>
        </w:tabs>
        <w:spacing w:before="280" w:after="280" w:line="240" w:lineRule="auto"/>
        <w:ind w:left="0" w:firstLine="0"/>
        <w:contextualSpacing/>
        <w:jc w:val="both"/>
        <w:rPr>
          <w:rFonts w:eastAsia="Calibri"/>
          <w:b/>
          <w:bCs/>
        </w:rPr>
      </w:pPr>
      <w:r w:rsidRPr="007F78CE">
        <w:rPr>
          <w:rFonts w:eastAsia="Calibri"/>
          <w:b/>
          <w:bCs/>
        </w:rPr>
        <w:t>Effet sur le cadre de vie et bien être</w:t>
      </w:r>
    </w:p>
    <w:p w14:paraId="4190C6AB" w14:textId="77777777" w:rsidR="0090044A" w:rsidRPr="008F0A57" w:rsidRDefault="0090044A" w:rsidP="00687DD2">
      <w:pPr>
        <w:pStyle w:val="Normal12"/>
        <w:numPr>
          <w:ilvl w:val="0"/>
          <w:numId w:val="85"/>
        </w:numPr>
        <w:spacing w:before="100" w:beforeAutospacing="1" w:after="100" w:afterAutospacing="1"/>
        <w:ind w:left="1077" w:hanging="357"/>
        <w:contextualSpacing/>
        <w:rPr>
          <w:i/>
          <w:iCs/>
          <w:lang w:val="fr-FR"/>
        </w:rPr>
      </w:pPr>
      <w:r w:rsidRPr="008F0A57">
        <w:rPr>
          <w:i/>
          <w:iCs/>
          <w:lang w:val="fr-FR"/>
        </w:rPr>
        <w:t>Risque de conflits avec les populations locales</w:t>
      </w:r>
    </w:p>
    <w:p w14:paraId="6A227658" w14:textId="77777777" w:rsidR="00266D6D" w:rsidRDefault="0090044A" w:rsidP="00B434A6">
      <w:pPr>
        <w:jc w:val="both"/>
        <w:rPr>
          <w:rFonts w:ascii="Arial" w:hAnsi="Arial" w:cs="Arial"/>
        </w:rPr>
      </w:pPr>
      <w:r w:rsidRPr="00C41583">
        <w:rPr>
          <w:rFonts w:ascii="Arial" w:hAnsi="Arial" w:cs="Arial"/>
        </w:rPr>
        <w:t>La présence de main d’œuvre non local</w:t>
      </w:r>
      <w:r w:rsidR="007D2F2E">
        <w:rPr>
          <w:rFonts w:ascii="Arial" w:hAnsi="Arial" w:cs="Arial"/>
        </w:rPr>
        <w:t>e</w:t>
      </w:r>
      <w:r w:rsidRPr="00C41583">
        <w:rPr>
          <w:rFonts w:ascii="Arial" w:hAnsi="Arial" w:cs="Arial"/>
        </w:rPr>
        <w:t xml:space="preserve"> </w:t>
      </w:r>
      <w:r w:rsidR="00266D6D">
        <w:rPr>
          <w:rFonts w:ascii="Arial" w:hAnsi="Arial" w:cs="Arial"/>
        </w:rPr>
        <w:t xml:space="preserve">qui se charge de la maintenance et du gardiennage des infrastructures </w:t>
      </w:r>
      <w:r w:rsidRPr="00C41583">
        <w:rPr>
          <w:rFonts w:ascii="Arial" w:hAnsi="Arial" w:cs="Arial"/>
        </w:rPr>
        <w:t xml:space="preserve">peut provoquer un mécontentement des villageois et entraîner des conflits. </w:t>
      </w:r>
      <w:r w:rsidR="00266D6D">
        <w:rPr>
          <w:rFonts w:ascii="Arial" w:hAnsi="Arial" w:cs="Arial"/>
        </w:rPr>
        <w:t>Même si le mécontentement de la population locale ne se passe qu’au niveau du village, elle peut durer plusieurs mois voire des années. C’est pourquoi l’importance de cet impact est évaluée comme « Moyenne »</w:t>
      </w:r>
      <w:r w:rsidR="00987831">
        <w:rPr>
          <w:rFonts w:ascii="Arial" w:hAnsi="Arial" w:cs="Arial"/>
        </w:rPr>
        <w:t xml:space="preserve"> et le niveau de risque est considéré comme faible</w:t>
      </w:r>
      <w:r w:rsidR="0071222B">
        <w:rPr>
          <w:rFonts w:ascii="Arial" w:hAnsi="Arial" w:cs="Arial"/>
        </w:rPr>
        <w:t xml:space="preserve"> suivant le tabeau suivant</w:t>
      </w:r>
      <w:r w:rsidR="00266D6D">
        <w:rPr>
          <w:rFonts w:ascii="Arial" w:hAnsi="Arial" w:cs="Arial"/>
        </w:rPr>
        <w:t>.</w:t>
      </w:r>
    </w:p>
    <w:p w14:paraId="47230135" w14:textId="77777777" w:rsidR="004719C1" w:rsidRPr="00C41583" w:rsidRDefault="0090044A" w:rsidP="00C41583">
      <w:pPr>
        <w:spacing w:line="240" w:lineRule="auto"/>
        <w:jc w:val="both"/>
        <w:rPr>
          <w:rFonts w:ascii="Arial" w:hAnsi="Arial" w:cs="Arial"/>
        </w:rPr>
      </w:pPr>
      <w:r w:rsidRPr="00C41583">
        <w:rPr>
          <w:rFonts w:ascii="Arial" w:hAnsi="Arial" w:cs="Arial"/>
        </w:rPr>
        <w:t>Toutefois, ceci peut être contenu en adoptant une politique de recrutement transparente et juste en considérant la disponibilité de main d’œuvre local</w:t>
      </w:r>
      <w:r w:rsidR="007D2F2E">
        <w:rPr>
          <w:rFonts w:ascii="Arial" w:hAnsi="Arial" w:cs="Arial"/>
        </w:rPr>
        <w:t>e</w:t>
      </w:r>
      <w:r w:rsidRPr="00C41583">
        <w:rPr>
          <w:rFonts w:ascii="Arial" w:hAnsi="Arial" w:cs="Arial"/>
        </w:rPr>
        <w:t xml:space="preserve"> par rapport aux compétences exigées pour les postes. </w:t>
      </w:r>
    </w:p>
    <w:p w14:paraId="24F23608" w14:textId="77777777" w:rsidR="0090044A" w:rsidRPr="002E58DC" w:rsidRDefault="0090044A" w:rsidP="0015148E">
      <w:pPr>
        <w:pStyle w:val="Lgende"/>
        <w:spacing w:before="120"/>
        <w:jc w:val="center"/>
        <w:rPr>
          <w:sz w:val="20"/>
        </w:rPr>
      </w:pPr>
      <w:bookmarkStart w:id="1029" w:name="_Toc100753945"/>
      <w:bookmarkStart w:id="1030" w:name="_Toc127957854"/>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58</w:t>
      </w:r>
      <w:r w:rsidRPr="002E58DC">
        <w:rPr>
          <w:sz w:val="20"/>
        </w:rPr>
        <w:fldChar w:fldCharType="end"/>
      </w:r>
      <w:r w:rsidRPr="002E58DC">
        <w:rPr>
          <w:sz w:val="20"/>
        </w:rPr>
        <w:t>. Evaluation l’impact -Risque de conflit avec les populations locales par la présence des mains d’œuvre externes</w:t>
      </w:r>
      <w:bookmarkEnd w:id="1029"/>
      <w:bookmarkEnd w:id="1030"/>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1023"/>
        <w:gridCol w:w="1011"/>
        <w:gridCol w:w="1090"/>
        <w:gridCol w:w="1232"/>
        <w:gridCol w:w="1217"/>
        <w:gridCol w:w="1064"/>
        <w:gridCol w:w="812"/>
        <w:tblGridChange w:id="1031">
          <w:tblGrid>
            <w:gridCol w:w="1839"/>
            <w:gridCol w:w="1023"/>
            <w:gridCol w:w="1011"/>
            <w:gridCol w:w="1090"/>
            <w:gridCol w:w="1232"/>
            <w:gridCol w:w="1217"/>
            <w:gridCol w:w="1064"/>
            <w:gridCol w:w="812"/>
          </w:tblGrid>
        </w:tblGridChange>
      </w:tblGrid>
      <w:tr w:rsidR="00987831" w:rsidRPr="007F78CE" w14:paraId="2BFC58D9" w14:textId="77777777" w:rsidTr="00345918">
        <w:trPr>
          <w:jc w:val="center"/>
        </w:trPr>
        <w:tc>
          <w:tcPr>
            <w:tcW w:w="1839" w:type="dxa"/>
            <w:shd w:val="clear" w:color="auto" w:fill="BFBFBF"/>
          </w:tcPr>
          <w:p w14:paraId="7B0F9A55" w14:textId="77777777" w:rsidR="00987831" w:rsidRPr="007F78CE" w:rsidRDefault="00A73AF6" w:rsidP="00345918">
            <w:pPr>
              <w:spacing w:after="0" w:line="240" w:lineRule="auto"/>
              <w:rPr>
                <w:rFonts w:ascii="Arial Narrow" w:hAnsi="Arial Narrow"/>
                <w:b/>
                <w:bCs/>
                <w:sz w:val="20"/>
                <w:szCs w:val="20"/>
              </w:rPr>
            </w:pPr>
            <w:r>
              <w:rPr>
                <w:rFonts w:ascii="Arial Narrow" w:hAnsi="Arial Narrow"/>
                <w:b/>
                <w:bCs/>
                <w:sz w:val="20"/>
                <w:szCs w:val="20"/>
              </w:rPr>
              <w:t>Sous Projet</w:t>
            </w:r>
          </w:p>
        </w:tc>
        <w:tc>
          <w:tcPr>
            <w:tcW w:w="1023" w:type="dxa"/>
            <w:shd w:val="clear" w:color="auto" w:fill="BFBFBF"/>
          </w:tcPr>
          <w:p w14:paraId="20A0AF62" w14:textId="77777777" w:rsidR="00987831" w:rsidRPr="007F78CE" w:rsidRDefault="00987831" w:rsidP="00B434A6">
            <w:pPr>
              <w:spacing w:after="0" w:line="240" w:lineRule="auto"/>
              <w:jc w:val="center"/>
              <w:rPr>
                <w:rFonts w:ascii="Arial Narrow" w:hAnsi="Arial Narrow"/>
                <w:b/>
                <w:sz w:val="20"/>
                <w:szCs w:val="20"/>
              </w:rPr>
            </w:pPr>
            <w:r w:rsidRPr="007F78CE">
              <w:rPr>
                <w:rFonts w:ascii="Arial Narrow" w:hAnsi="Arial Narrow"/>
                <w:b/>
                <w:bCs/>
                <w:sz w:val="20"/>
                <w:szCs w:val="20"/>
              </w:rPr>
              <w:t>Intensité</w:t>
            </w:r>
          </w:p>
        </w:tc>
        <w:tc>
          <w:tcPr>
            <w:tcW w:w="1011" w:type="dxa"/>
            <w:shd w:val="clear" w:color="auto" w:fill="BFBFBF"/>
          </w:tcPr>
          <w:p w14:paraId="4F7509DC" w14:textId="77777777" w:rsidR="00987831" w:rsidRPr="007F78CE" w:rsidRDefault="00987831" w:rsidP="00B434A6">
            <w:pPr>
              <w:spacing w:after="0" w:line="240" w:lineRule="auto"/>
              <w:jc w:val="center"/>
              <w:rPr>
                <w:rFonts w:ascii="Arial Narrow" w:hAnsi="Arial Narrow"/>
                <w:b/>
                <w:bCs/>
                <w:sz w:val="20"/>
                <w:szCs w:val="20"/>
              </w:rPr>
            </w:pPr>
            <w:r w:rsidRPr="007F78CE">
              <w:rPr>
                <w:rFonts w:ascii="Arial Narrow" w:hAnsi="Arial Narrow"/>
                <w:b/>
                <w:bCs/>
                <w:sz w:val="20"/>
                <w:szCs w:val="20"/>
              </w:rPr>
              <w:t>Étendue</w:t>
            </w:r>
          </w:p>
        </w:tc>
        <w:tc>
          <w:tcPr>
            <w:tcW w:w="1090" w:type="dxa"/>
            <w:shd w:val="clear" w:color="auto" w:fill="BFBFBF"/>
          </w:tcPr>
          <w:p w14:paraId="58080CCB" w14:textId="77777777" w:rsidR="00987831" w:rsidRPr="007F78CE" w:rsidRDefault="00987831" w:rsidP="00B434A6">
            <w:pPr>
              <w:spacing w:after="0" w:line="240" w:lineRule="auto"/>
              <w:jc w:val="center"/>
              <w:rPr>
                <w:rFonts w:ascii="Arial Narrow" w:hAnsi="Arial Narrow"/>
                <w:b/>
                <w:bCs/>
                <w:sz w:val="20"/>
                <w:szCs w:val="20"/>
              </w:rPr>
            </w:pPr>
            <w:r w:rsidRPr="007F78CE">
              <w:rPr>
                <w:rFonts w:ascii="Arial Narrow" w:hAnsi="Arial Narrow"/>
                <w:b/>
                <w:bCs/>
                <w:sz w:val="20"/>
                <w:szCs w:val="20"/>
              </w:rPr>
              <w:t>Durée</w:t>
            </w:r>
          </w:p>
        </w:tc>
        <w:tc>
          <w:tcPr>
            <w:tcW w:w="1232" w:type="dxa"/>
            <w:shd w:val="clear" w:color="auto" w:fill="BFBFBF"/>
          </w:tcPr>
          <w:p w14:paraId="47DFB9B6" w14:textId="77777777" w:rsidR="00987831" w:rsidRPr="007F78CE" w:rsidRDefault="00987831" w:rsidP="00B434A6">
            <w:pPr>
              <w:spacing w:after="0" w:line="240" w:lineRule="auto"/>
              <w:jc w:val="center"/>
              <w:rPr>
                <w:rFonts w:ascii="Arial Narrow" w:hAnsi="Arial Narrow"/>
                <w:b/>
                <w:bCs/>
                <w:sz w:val="20"/>
                <w:szCs w:val="20"/>
              </w:rPr>
            </w:pPr>
            <w:r w:rsidRPr="007F78CE">
              <w:rPr>
                <w:rFonts w:ascii="Arial Narrow" w:hAnsi="Arial Narrow"/>
                <w:b/>
                <w:bCs/>
                <w:sz w:val="20"/>
                <w:szCs w:val="20"/>
              </w:rPr>
              <w:t>Réversibilité</w:t>
            </w:r>
          </w:p>
        </w:tc>
        <w:tc>
          <w:tcPr>
            <w:tcW w:w="1217" w:type="dxa"/>
            <w:shd w:val="clear" w:color="auto" w:fill="BFBFBF"/>
          </w:tcPr>
          <w:p w14:paraId="6CE45F85" w14:textId="77777777" w:rsidR="00987831" w:rsidRPr="007F78CE" w:rsidRDefault="00987831" w:rsidP="00B434A6">
            <w:pPr>
              <w:spacing w:after="0" w:line="240" w:lineRule="auto"/>
              <w:jc w:val="center"/>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auto"/>
          </w:tcPr>
          <w:p w14:paraId="10315A72" w14:textId="77777777" w:rsidR="00987831" w:rsidRPr="007F78CE" w:rsidRDefault="00987831" w:rsidP="00B434A6">
            <w:pPr>
              <w:spacing w:after="0" w:line="240" w:lineRule="auto"/>
              <w:jc w:val="center"/>
              <w:rPr>
                <w:rFonts w:ascii="Arial Narrow" w:hAnsi="Arial Narrow"/>
                <w:b/>
                <w:bCs/>
                <w:sz w:val="20"/>
                <w:szCs w:val="20"/>
              </w:rPr>
            </w:pPr>
            <w:r>
              <w:rPr>
                <w:rFonts w:ascii="Arial Narrow" w:hAnsi="Arial Narrow"/>
                <w:b/>
                <w:bCs/>
                <w:sz w:val="20"/>
                <w:szCs w:val="20"/>
              </w:rPr>
              <w:t>Probabilité</w:t>
            </w:r>
          </w:p>
        </w:tc>
        <w:tc>
          <w:tcPr>
            <w:tcW w:w="812" w:type="dxa"/>
            <w:shd w:val="clear" w:color="auto" w:fill="auto"/>
          </w:tcPr>
          <w:p w14:paraId="506774E5" w14:textId="77777777" w:rsidR="00987831" w:rsidRPr="007F78CE" w:rsidRDefault="00987831" w:rsidP="00B434A6">
            <w:pPr>
              <w:spacing w:after="0" w:line="240" w:lineRule="auto"/>
              <w:jc w:val="center"/>
              <w:rPr>
                <w:rFonts w:ascii="Arial Narrow" w:hAnsi="Arial Narrow"/>
                <w:b/>
                <w:bCs/>
                <w:sz w:val="20"/>
                <w:szCs w:val="20"/>
              </w:rPr>
            </w:pPr>
            <w:r>
              <w:rPr>
                <w:rFonts w:ascii="Arial Narrow" w:hAnsi="Arial Narrow"/>
                <w:b/>
                <w:bCs/>
                <w:sz w:val="20"/>
                <w:szCs w:val="20"/>
              </w:rPr>
              <w:t xml:space="preserve">Risque </w:t>
            </w:r>
          </w:p>
        </w:tc>
      </w:tr>
      <w:tr w:rsidR="00345918" w:rsidRPr="007F78CE" w14:paraId="1B7D0D75" w14:textId="77777777" w:rsidTr="00FB04F6">
        <w:trPr>
          <w:jc w:val="center"/>
        </w:trPr>
        <w:tc>
          <w:tcPr>
            <w:tcW w:w="1839" w:type="dxa"/>
          </w:tcPr>
          <w:p w14:paraId="0AE946A4" w14:textId="77777777" w:rsidR="00987831" w:rsidRPr="007F78CE" w:rsidRDefault="00987831" w:rsidP="00B434A6">
            <w:pPr>
              <w:spacing w:after="0" w:line="240" w:lineRule="auto"/>
              <w:contextualSpacing/>
              <w:rPr>
                <w:rFonts w:ascii="Arial Narrow" w:hAnsi="Arial Narrow" w:cs="Arial"/>
                <w:sz w:val="20"/>
                <w:szCs w:val="20"/>
              </w:rPr>
            </w:pPr>
            <w:r>
              <w:rPr>
                <w:rFonts w:ascii="Arial Narrow" w:hAnsi="Arial Narrow" w:cs="Arial"/>
                <w:sz w:val="20"/>
                <w:szCs w:val="20"/>
              </w:rPr>
              <w:t>Infrastructures numérique</w:t>
            </w:r>
            <w:r w:rsidR="00A73AF6">
              <w:rPr>
                <w:rFonts w:ascii="Arial Narrow" w:hAnsi="Arial Narrow" w:cs="Arial"/>
                <w:sz w:val="20"/>
                <w:szCs w:val="20"/>
              </w:rPr>
              <w:t>s</w:t>
            </w:r>
          </w:p>
        </w:tc>
        <w:tc>
          <w:tcPr>
            <w:tcW w:w="1023" w:type="dxa"/>
            <w:shd w:val="clear" w:color="auto" w:fill="auto"/>
          </w:tcPr>
          <w:p w14:paraId="3247B1D5" w14:textId="77777777" w:rsidR="00987831" w:rsidRPr="007F78CE" w:rsidRDefault="00987831" w:rsidP="007F78CE">
            <w:pPr>
              <w:spacing w:after="0" w:line="240" w:lineRule="auto"/>
              <w:contextualSpacing/>
              <w:jc w:val="center"/>
              <w:rPr>
                <w:rFonts w:ascii="Arial Narrow" w:hAnsi="Arial Narrow" w:cs="Arial"/>
                <w:bCs/>
                <w:sz w:val="20"/>
                <w:szCs w:val="20"/>
              </w:rPr>
            </w:pPr>
            <w:r>
              <w:rPr>
                <w:rFonts w:ascii="Arial Narrow" w:hAnsi="Arial Narrow" w:cs="Arial"/>
                <w:sz w:val="20"/>
                <w:szCs w:val="20"/>
              </w:rPr>
              <w:t>Moyenne</w:t>
            </w:r>
          </w:p>
          <w:p w14:paraId="037E1153"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1011" w:type="dxa"/>
            <w:shd w:val="clear" w:color="auto" w:fill="auto"/>
          </w:tcPr>
          <w:p w14:paraId="166B4192"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2BBF3C28"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90" w:type="dxa"/>
            <w:shd w:val="clear" w:color="auto" w:fill="auto"/>
          </w:tcPr>
          <w:p w14:paraId="62739442" w14:textId="77777777" w:rsidR="00987831" w:rsidRPr="007F78CE" w:rsidRDefault="00987831"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p w14:paraId="070B9DFE" w14:textId="77777777" w:rsidR="00987831" w:rsidRPr="007F78CE" w:rsidRDefault="00987831" w:rsidP="00266D6D">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1232" w:type="dxa"/>
            <w:shd w:val="clear" w:color="auto" w:fill="auto"/>
          </w:tcPr>
          <w:p w14:paraId="63B8CFF8"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440F4DDC"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17" w:type="dxa"/>
            <w:shd w:val="clear" w:color="auto" w:fill="FFFF00"/>
          </w:tcPr>
          <w:p w14:paraId="1A2AD8ED" w14:textId="77777777" w:rsidR="00987831" w:rsidRPr="007F78CE" w:rsidRDefault="00987831"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Moyenne </w:t>
            </w:r>
          </w:p>
          <w:p w14:paraId="78D0B411"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6</w:t>
            </w:r>
            <w:r w:rsidRPr="007F78CE">
              <w:rPr>
                <w:rFonts w:ascii="Arial Narrow" w:hAnsi="Arial Narrow" w:cs="Arial"/>
                <w:sz w:val="20"/>
                <w:szCs w:val="20"/>
              </w:rPr>
              <w:t>)</w:t>
            </w:r>
          </w:p>
        </w:tc>
        <w:tc>
          <w:tcPr>
            <w:tcW w:w="1064" w:type="dxa"/>
            <w:shd w:val="clear" w:color="auto" w:fill="auto"/>
          </w:tcPr>
          <w:p w14:paraId="7998E450" w14:textId="77777777" w:rsidR="00987831" w:rsidRDefault="00987831"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812" w:type="dxa"/>
            <w:shd w:val="clear" w:color="auto" w:fill="BFBFBF"/>
          </w:tcPr>
          <w:p w14:paraId="797BBFE1" w14:textId="77777777" w:rsidR="00987831" w:rsidRDefault="00987831"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r w:rsidR="00345918" w:rsidRPr="007F78CE" w14:paraId="1AC87BC9" w14:textId="77777777" w:rsidTr="00FB04F6">
        <w:trPr>
          <w:jc w:val="center"/>
        </w:trPr>
        <w:tc>
          <w:tcPr>
            <w:tcW w:w="1839" w:type="dxa"/>
          </w:tcPr>
          <w:p w14:paraId="2779F894" w14:textId="77777777" w:rsidR="00987831" w:rsidRPr="007F78CE" w:rsidRDefault="00987831" w:rsidP="00B434A6">
            <w:pPr>
              <w:spacing w:after="0" w:line="240" w:lineRule="auto"/>
              <w:contextualSpacing/>
              <w:rPr>
                <w:rFonts w:ascii="Arial Narrow" w:eastAsia="Times New Roman" w:hAnsi="Arial Narrow" w:cs="Arial"/>
                <w:b/>
                <w:smallCaps/>
                <w:color w:val="000000"/>
                <w:sz w:val="20"/>
                <w:szCs w:val="20"/>
              </w:rPr>
            </w:pPr>
            <w:r>
              <w:rPr>
                <w:rFonts w:ascii="Arial Narrow" w:hAnsi="Arial Narrow" w:cs="Arial"/>
                <w:sz w:val="20"/>
                <w:szCs w:val="20"/>
              </w:rPr>
              <w:t>Centrale électrique solaire</w:t>
            </w:r>
          </w:p>
        </w:tc>
        <w:tc>
          <w:tcPr>
            <w:tcW w:w="1023" w:type="dxa"/>
            <w:shd w:val="clear" w:color="auto" w:fill="auto"/>
          </w:tcPr>
          <w:p w14:paraId="0D420CA7" w14:textId="77777777" w:rsidR="00987831" w:rsidRPr="007F78CE" w:rsidRDefault="00987831" w:rsidP="00611CB5">
            <w:pPr>
              <w:spacing w:after="0" w:line="240" w:lineRule="auto"/>
              <w:contextualSpacing/>
              <w:jc w:val="center"/>
              <w:rPr>
                <w:rFonts w:ascii="Arial Narrow" w:hAnsi="Arial Narrow" w:cs="Arial"/>
                <w:bCs/>
                <w:sz w:val="20"/>
                <w:szCs w:val="20"/>
              </w:rPr>
            </w:pPr>
            <w:r>
              <w:rPr>
                <w:rFonts w:ascii="Arial Narrow" w:hAnsi="Arial Narrow" w:cs="Arial"/>
                <w:sz w:val="20"/>
                <w:szCs w:val="20"/>
              </w:rPr>
              <w:t>Moyenne</w:t>
            </w:r>
          </w:p>
          <w:p w14:paraId="39EC0FB3"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1011" w:type="dxa"/>
            <w:shd w:val="clear" w:color="auto" w:fill="auto"/>
          </w:tcPr>
          <w:p w14:paraId="3023263D" w14:textId="77777777" w:rsidR="00987831" w:rsidRPr="007F78CE" w:rsidRDefault="00987831"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4F7EAE54"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90" w:type="dxa"/>
            <w:shd w:val="clear" w:color="auto" w:fill="auto"/>
          </w:tcPr>
          <w:p w14:paraId="49F2A0E2" w14:textId="77777777" w:rsidR="00987831" w:rsidRPr="007F78CE" w:rsidRDefault="00987831" w:rsidP="00611CB5">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p w14:paraId="7C12EC2B"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1232" w:type="dxa"/>
            <w:shd w:val="clear" w:color="auto" w:fill="auto"/>
          </w:tcPr>
          <w:p w14:paraId="7CFB274D" w14:textId="77777777" w:rsidR="00987831" w:rsidRPr="007F78CE" w:rsidRDefault="00987831"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4A1FB493"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17" w:type="dxa"/>
            <w:shd w:val="clear" w:color="auto" w:fill="FFFF00"/>
          </w:tcPr>
          <w:p w14:paraId="3D5F5221" w14:textId="77777777" w:rsidR="00987831" w:rsidRPr="007F78CE" w:rsidRDefault="00987831" w:rsidP="00611CB5">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Moyenne </w:t>
            </w:r>
          </w:p>
          <w:p w14:paraId="0CDE96F4"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6</w:t>
            </w:r>
            <w:r w:rsidRPr="007F78CE">
              <w:rPr>
                <w:rFonts w:ascii="Arial Narrow" w:hAnsi="Arial Narrow" w:cs="Arial"/>
                <w:sz w:val="20"/>
                <w:szCs w:val="20"/>
              </w:rPr>
              <w:t>)</w:t>
            </w:r>
          </w:p>
        </w:tc>
        <w:tc>
          <w:tcPr>
            <w:tcW w:w="1064" w:type="dxa"/>
            <w:shd w:val="clear" w:color="auto" w:fill="auto"/>
          </w:tcPr>
          <w:p w14:paraId="5251D5BF" w14:textId="77777777" w:rsidR="00987831" w:rsidRDefault="00987831" w:rsidP="00611CB5">
            <w:pPr>
              <w:spacing w:after="0" w:line="240" w:lineRule="auto"/>
              <w:contextualSpacing/>
              <w:jc w:val="center"/>
              <w:rPr>
                <w:rFonts w:ascii="Arial Narrow" w:hAnsi="Arial Narrow" w:cs="Arial"/>
                <w:sz w:val="20"/>
                <w:szCs w:val="20"/>
              </w:rPr>
            </w:pPr>
            <w:r w:rsidRPr="00926C15">
              <w:rPr>
                <w:rFonts w:ascii="Arial Narrow" w:hAnsi="Arial Narrow" w:cs="Arial"/>
                <w:sz w:val="20"/>
                <w:szCs w:val="20"/>
              </w:rPr>
              <w:t xml:space="preserve">Faible </w:t>
            </w:r>
          </w:p>
        </w:tc>
        <w:tc>
          <w:tcPr>
            <w:tcW w:w="812" w:type="dxa"/>
            <w:shd w:val="clear" w:color="auto" w:fill="BFBFBF"/>
          </w:tcPr>
          <w:p w14:paraId="2881E8B0" w14:textId="77777777" w:rsidR="00987831" w:rsidRDefault="00987831" w:rsidP="00611CB5">
            <w:pPr>
              <w:spacing w:after="0" w:line="240" w:lineRule="auto"/>
              <w:contextualSpacing/>
              <w:jc w:val="center"/>
              <w:rPr>
                <w:rFonts w:ascii="Arial Narrow" w:hAnsi="Arial Narrow" w:cs="Arial"/>
                <w:sz w:val="20"/>
                <w:szCs w:val="20"/>
              </w:rPr>
            </w:pPr>
            <w:r w:rsidRPr="00926C15">
              <w:rPr>
                <w:rFonts w:ascii="Arial Narrow" w:hAnsi="Arial Narrow" w:cs="Arial"/>
                <w:sz w:val="20"/>
                <w:szCs w:val="20"/>
              </w:rPr>
              <w:t xml:space="preserve">Faible </w:t>
            </w:r>
          </w:p>
        </w:tc>
      </w:tr>
      <w:tr w:rsidR="00345918" w:rsidRPr="007F78CE" w14:paraId="1AE5BEED" w14:textId="77777777" w:rsidTr="00FB04F6">
        <w:trPr>
          <w:jc w:val="center"/>
        </w:trPr>
        <w:tc>
          <w:tcPr>
            <w:tcW w:w="1839" w:type="dxa"/>
          </w:tcPr>
          <w:p w14:paraId="18418B50" w14:textId="77777777" w:rsidR="00987831" w:rsidRPr="007F78CE" w:rsidRDefault="00987831" w:rsidP="00B434A6">
            <w:pPr>
              <w:spacing w:after="0" w:line="240" w:lineRule="auto"/>
              <w:contextualSpacing/>
              <w:rPr>
                <w:rFonts w:ascii="Arial Narrow" w:eastAsia="Times New Roman" w:hAnsi="Arial Narrow" w:cs="Arial"/>
                <w:b/>
                <w:smallCaps/>
                <w:color w:val="000000"/>
                <w:sz w:val="20"/>
                <w:szCs w:val="20"/>
              </w:rPr>
            </w:pPr>
            <w:r>
              <w:rPr>
                <w:rFonts w:ascii="Arial Narrow" w:hAnsi="Arial Narrow" w:cs="Arial"/>
                <w:sz w:val="20"/>
                <w:szCs w:val="20"/>
              </w:rPr>
              <w:t>Barrage hydroélectrique</w:t>
            </w:r>
          </w:p>
        </w:tc>
        <w:tc>
          <w:tcPr>
            <w:tcW w:w="1023" w:type="dxa"/>
            <w:shd w:val="clear" w:color="auto" w:fill="auto"/>
          </w:tcPr>
          <w:p w14:paraId="258A45DE" w14:textId="77777777" w:rsidR="00987831" w:rsidRPr="007F78CE" w:rsidRDefault="00987831" w:rsidP="00611CB5">
            <w:pPr>
              <w:spacing w:after="0" w:line="240" w:lineRule="auto"/>
              <w:contextualSpacing/>
              <w:jc w:val="center"/>
              <w:rPr>
                <w:rFonts w:ascii="Arial Narrow" w:hAnsi="Arial Narrow" w:cs="Arial"/>
                <w:bCs/>
                <w:sz w:val="20"/>
                <w:szCs w:val="20"/>
              </w:rPr>
            </w:pPr>
            <w:r>
              <w:rPr>
                <w:rFonts w:ascii="Arial Narrow" w:hAnsi="Arial Narrow" w:cs="Arial"/>
                <w:sz w:val="20"/>
                <w:szCs w:val="20"/>
              </w:rPr>
              <w:t>Moyenne</w:t>
            </w:r>
          </w:p>
          <w:p w14:paraId="44A72C44"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1011" w:type="dxa"/>
            <w:shd w:val="clear" w:color="auto" w:fill="auto"/>
          </w:tcPr>
          <w:p w14:paraId="5C5A05A4" w14:textId="77777777" w:rsidR="00987831" w:rsidRPr="007F78CE" w:rsidRDefault="00987831"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049755B9"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90" w:type="dxa"/>
            <w:shd w:val="clear" w:color="auto" w:fill="auto"/>
          </w:tcPr>
          <w:p w14:paraId="3CC05853" w14:textId="77777777" w:rsidR="00987831" w:rsidRPr="007F78CE" w:rsidRDefault="00987831" w:rsidP="00611CB5">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p w14:paraId="3A0931E2"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1232" w:type="dxa"/>
            <w:shd w:val="clear" w:color="auto" w:fill="auto"/>
          </w:tcPr>
          <w:p w14:paraId="0DCB7AC1" w14:textId="77777777" w:rsidR="00987831" w:rsidRPr="007F78CE" w:rsidRDefault="00987831"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5230F4CF"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17" w:type="dxa"/>
            <w:shd w:val="clear" w:color="auto" w:fill="FFFF00"/>
          </w:tcPr>
          <w:p w14:paraId="3B2C99F8" w14:textId="77777777" w:rsidR="00987831" w:rsidRPr="007F78CE" w:rsidRDefault="00987831" w:rsidP="00611CB5">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Moyenne </w:t>
            </w:r>
          </w:p>
          <w:p w14:paraId="391B80BB"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6</w:t>
            </w:r>
            <w:r w:rsidRPr="007F78CE">
              <w:rPr>
                <w:rFonts w:ascii="Arial Narrow" w:hAnsi="Arial Narrow" w:cs="Arial"/>
                <w:sz w:val="20"/>
                <w:szCs w:val="20"/>
              </w:rPr>
              <w:t>)</w:t>
            </w:r>
          </w:p>
        </w:tc>
        <w:tc>
          <w:tcPr>
            <w:tcW w:w="1064" w:type="dxa"/>
            <w:shd w:val="clear" w:color="auto" w:fill="auto"/>
          </w:tcPr>
          <w:p w14:paraId="6F266444" w14:textId="77777777" w:rsidR="00987831" w:rsidRDefault="00987831" w:rsidP="00611CB5">
            <w:pPr>
              <w:spacing w:after="0" w:line="240" w:lineRule="auto"/>
              <w:contextualSpacing/>
              <w:jc w:val="center"/>
              <w:rPr>
                <w:rFonts w:ascii="Arial Narrow" w:hAnsi="Arial Narrow" w:cs="Arial"/>
                <w:sz w:val="20"/>
                <w:szCs w:val="20"/>
              </w:rPr>
            </w:pPr>
            <w:r w:rsidRPr="00926C15">
              <w:rPr>
                <w:rFonts w:ascii="Arial Narrow" w:hAnsi="Arial Narrow" w:cs="Arial"/>
                <w:sz w:val="20"/>
                <w:szCs w:val="20"/>
              </w:rPr>
              <w:t xml:space="preserve">Faible </w:t>
            </w:r>
          </w:p>
        </w:tc>
        <w:tc>
          <w:tcPr>
            <w:tcW w:w="812" w:type="dxa"/>
            <w:shd w:val="clear" w:color="auto" w:fill="BFBFBF"/>
          </w:tcPr>
          <w:p w14:paraId="2EE178D8" w14:textId="77777777" w:rsidR="00987831" w:rsidRDefault="00987831" w:rsidP="00611CB5">
            <w:pPr>
              <w:spacing w:after="0" w:line="240" w:lineRule="auto"/>
              <w:contextualSpacing/>
              <w:jc w:val="center"/>
              <w:rPr>
                <w:rFonts w:ascii="Arial Narrow" w:hAnsi="Arial Narrow" w:cs="Arial"/>
                <w:sz w:val="20"/>
                <w:szCs w:val="20"/>
              </w:rPr>
            </w:pPr>
            <w:r w:rsidRPr="00926C15">
              <w:rPr>
                <w:rFonts w:ascii="Arial Narrow" w:hAnsi="Arial Narrow" w:cs="Arial"/>
                <w:sz w:val="20"/>
                <w:szCs w:val="20"/>
              </w:rPr>
              <w:t xml:space="preserve">Faible </w:t>
            </w:r>
          </w:p>
        </w:tc>
      </w:tr>
      <w:tr w:rsidR="00345918" w:rsidRPr="007F78CE" w14:paraId="6E2BB716" w14:textId="77777777" w:rsidTr="00FB04F6">
        <w:trPr>
          <w:jc w:val="center"/>
        </w:trPr>
        <w:tc>
          <w:tcPr>
            <w:tcW w:w="1839" w:type="dxa"/>
          </w:tcPr>
          <w:p w14:paraId="7ADA565F" w14:textId="77777777" w:rsidR="00987831" w:rsidRPr="007F78CE" w:rsidRDefault="00987831" w:rsidP="00B434A6">
            <w:pPr>
              <w:spacing w:after="0" w:line="240" w:lineRule="auto"/>
              <w:contextualSpacing/>
              <w:rPr>
                <w:rFonts w:ascii="Arial Narrow" w:eastAsia="Times New Roman" w:hAnsi="Arial Narrow" w:cs="Arial"/>
                <w:b/>
                <w:smallCaps/>
                <w:color w:val="000000"/>
                <w:sz w:val="20"/>
                <w:szCs w:val="20"/>
              </w:rPr>
            </w:pPr>
            <w:r>
              <w:rPr>
                <w:rFonts w:ascii="Arial Narrow" w:hAnsi="Arial Narrow" w:cs="Arial"/>
                <w:sz w:val="20"/>
                <w:szCs w:val="20"/>
              </w:rPr>
              <w:t>Réseau électrique</w:t>
            </w:r>
          </w:p>
        </w:tc>
        <w:tc>
          <w:tcPr>
            <w:tcW w:w="1023" w:type="dxa"/>
            <w:shd w:val="clear" w:color="auto" w:fill="auto"/>
          </w:tcPr>
          <w:p w14:paraId="25307745" w14:textId="77777777" w:rsidR="00987831" w:rsidRPr="007F78CE" w:rsidRDefault="00987831" w:rsidP="00611CB5">
            <w:pPr>
              <w:spacing w:after="0" w:line="240" w:lineRule="auto"/>
              <w:contextualSpacing/>
              <w:jc w:val="center"/>
              <w:rPr>
                <w:rFonts w:ascii="Arial Narrow" w:hAnsi="Arial Narrow" w:cs="Arial"/>
                <w:bCs/>
                <w:sz w:val="20"/>
                <w:szCs w:val="20"/>
              </w:rPr>
            </w:pPr>
            <w:r>
              <w:rPr>
                <w:rFonts w:ascii="Arial Narrow" w:hAnsi="Arial Narrow" w:cs="Arial"/>
                <w:sz w:val="20"/>
                <w:szCs w:val="20"/>
              </w:rPr>
              <w:t>Moyenne</w:t>
            </w:r>
          </w:p>
          <w:p w14:paraId="4F5C562D"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1011" w:type="dxa"/>
            <w:shd w:val="clear" w:color="auto" w:fill="auto"/>
          </w:tcPr>
          <w:p w14:paraId="2462DA76" w14:textId="77777777" w:rsidR="00987831" w:rsidRPr="007F78CE" w:rsidRDefault="00987831"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7F6399BC"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90" w:type="dxa"/>
            <w:shd w:val="clear" w:color="auto" w:fill="auto"/>
          </w:tcPr>
          <w:p w14:paraId="2B0DBC55" w14:textId="77777777" w:rsidR="00987831" w:rsidRPr="007F78CE" w:rsidRDefault="00987831" w:rsidP="00611CB5">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p w14:paraId="48FEC63F"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1232" w:type="dxa"/>
            <w:shd w:val="clear" w:color="auto" w:fill="auto"/>
          </w:tcPr>
          <w:p w14:paraId="71082FA8" w14:textId="77777777" w:rsidR="00987831" w:rsidRPr="007F78CE" w:rsidRDefault="00987831"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621938E4"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17" w:type="dxa"/>
            <w:shd w:val="clear" w:color="auto" w:fill="FFFF00"/>
          </w:tcPr>
          <w:p w14:paraId="7CA85C37" w14:textId="77777777" w:rsidR="00987831" w:rsidRPr="007F78CE" w:rsidRDefault="00987831" w:rsidP="00611CB5">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Moyenne </w:t>
            </w:r>
          </w:p>
          <w:p w14:paraId="61E69E91"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6</w:t>
            </w:r>
            <w:r w:rsidRPr="007F78CE">
              <w:rPr>
                <w:rFonts w:ascii="Arial Narrow" w:hAnsi="Arial Narrow" w:cs="Arial"/>
                <w:sz w:val="20"/>
                <w:szCs w:val="20"/>
              </w:rPr>
              <w:t>)</w:t>
            </w:r>
          </w:p>
        </w:tc>
        <w:tc>
          <w:tcPr>
            <w:tcW w:w="1064" w:type="dxa"/>
            <w:shd w:val="clear" w:color="auto" w:fill="auto"/>
          </w:tcPr>
          <w:p w14:paraId="675E12CA" w14:textId="77777777" w:rsidR="00987831" w:rsidRDefault="00987831" w:rsidP="00611CB5">
            <w:pPr>
              <w:spacing w:after="0" w:line="240" w:lineRule="auto"/>
              <w:contextualSpacing/>
              <w:jc w:val="center"/>
              <w:rPr>
                <w:rFonts w:ascii="Arial Narrow" w:hAnsi="Arial Narrow" w:cs="Arial"/>
                <w:sz w:val="20"/>
                <w:szCs w:val="20"/>
              </w:rPr>
            </w:pPr>
            <w:r w:rsidRPr="00926C15">
              <w:rPr>
                <w:rFonts w:ascii="Arial Narrow" w:hAnsi="Arial Narrow" w:cs="Arial"/>
                <w:sz w:val="20"/>
                <w:szCs w:val="20"/>
              </w:rPr>
              <w:t xml:space="preserve">Faible </w:t>
            </w:r>
          </w:p>
        </w:tc>
        <w:tc>
          <w:tcPr>
            <w:tcW w:w="812" w:type="dxa"/>
            <w:shd w:val="clear" w:color="auto" w:fill="BFBFBF"/>
          </w:tcPr>
          <w:p w14:paraId="1F03C1BA" w14:textId="77777777" w:rsidR="00987831" w:rsidRDefault="00987831" w:rsidP="00611CB5">
            <w:pPr>
              <w:spacing w:after="0" w:line="240" w:lineRule="auto"/>
              <w:contextualSpacing/>
              <w:jc w:val="center"/>
              <w:rPr>
                <w:rFonts w:ascii="Arial Narrow" w:hAnsi="Arial Narrow" w:cs="Arial"/>
                <w:sz w:val="20"/>
                <w:szCs w:val="20"/>
              </w:rPr>
            </w:pPr>
            <w:r w:rsidRPr="00926C15">
              <w:rPr>
                <w:rFonts w:ascii="Arial Narrow" w:hAnsi="Arial Narrow" w:cs="Arial"/>
                <w:sz w:val="20"/>
                <w:szCs w:val="20"/>
              </w:rPr>
              <w:t xml:space="preserve">Faible </w:t>
            </w:r>
          </w:p>
        </w:tc>
      </w:tr>
      <w:tr w:rsidR="00702DFF" w:rsidRPr="007F78CE" w14:paraId="53053D9B" w14:textId="77777777" w:rsidTr="00FB04F6">
        <w:trPr>
          <w:jc w:val="center"/>
        </w:trPr>
        <w:tc>
          <w:tcPr>
            <w:tcW w:w="1839" w:type="dxa"/>
          </w:tcPr>
          <w:p w14:paraId="1E1BC1E1" w14:textId="77777777" w:rsidR="00702DFF" w:rsidRDefault="00702DFF" w:rsidP="00B434A6">
            <w:pPr>
              <w:spacing w:after="0" w:line="240" w:lineRule="auto"/>
              <w:contextualSpacing/>
              <w:rPr>
                <w:rFonts w:ascii="Arial Narrow" w:hAnsi="Arial Narrow" w:cs="Arial"/>
                <w:sz w:val="20"/>
                <w:szCs w:val="20"/>
              </w:rPr>
            </w:pPr>
            <w:r>
              <w:rPr>
                <w:rFonts w:ascii="Arial Narrow" w:hAnsi="Arial Narrow" w:cs="Arial"/>
                <w:sz w:val="20"/>
                <w:szCs w:val="20"/>
              </w:rPr>
              <w:t>Impact cumulé</w:t>
            </w:r>
          </w:p>
        </w:tc>
        <w:tc>
          <w:tcPr>
            <w:tcW w:w="1023" w:type="dxa"/>
            <w:shd w:val="clear" w:color="auto" w:fill="auto"/>
          </w:tcPr>
          <w:p w14:paraId="29E98405" w14:textId="77777777" w:rsidR="00702DFF" w:rsidRPr="007F78CE" w:rsidRDefault="00702DFF" w:rsidP="00D70FB3">
            <w:pPr>
              <w:spacing w:after="0" w:line="240" w:lineRule="auto"/>
              <w:contextualSpacing/>
              <w:jc w:val="center"/>
              <w:rPr>
                <w:rFonts w:ascii="Arial Narrow" w:hAnsi="Arial Narrow" w:cs="Arial"/>
                <w:bCs/>
                <w:sz w:val="20"/>
                <w:szCs w:val="20"/>
              </w:rPr>
            </w:pPr>
            <w:r>
              <w:rPr>
                <w:rFonts w:ascii="Arial Narrow" w:hAnsi="Arial Narrow" w:cs="Arial"/>
                <w:sz w:val="20"/>
                <w:szCs w:val="20"/>
              </w:rPr>
              <w:t>Moyenne</w:t>
            </w:r>
          </w:p>
          <w:p w14:paraId="7E7A7EE4" w14:textId="77777777" w:rsidR="00702DFF" w:rsidRDefault="00702DFF"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1011" w:type="dxa"/>
            <w:shd w:val="clear" w:color="auto" w:fill="auto"/>
          </w:tcPr>
          <w:p w14:paraId="3C62F12E" w14:textId="77777777" w:rsidR="00702DFF" w:rsidRPr="007F78CE" w:rsidRDefault="00702DFF"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3ACB5165" w14:textId="77777777" w:rsidR="00702DFF" w:rsidRPr="007F78CE" w:rsidRDefault="00702DFF"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90" w:type="dxa"/>
            <w:shd w:val="clear" w:color="auto" w:fill="auto"/>
          </w:tcPr>
          <w:p w14:paraId="24FE67CF" w14:textId="77777777" w:rsidR="00702DFF" w:rsidRPr="007F78CE" w:rsidRDefault="00702DFF" w:rsidP="00D70FB3">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p w14:paraId="4EE13B0D" w14:textId="77777777" w:rsidR="00702DFF" w:rsidRDefault="00702DFF"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2</w:t>
            </w:r>
            <w:r w:rsidRPr="007F78CE">
              <w:rPr>
                <w:rFonts w:ascii="Arial Narrow" w:hAnsi="Arial Narrow" w:cs="Arial"/>
                <w:sz w:val="20"/>
                <w:szCs w:val="20"/>
              </w:rPr>
              <w:t>)</w:t>
            </w:r>
          </w:p>
        </w:tc>
        <w:tc>
          <w:tcPr>
            <w:tcW w:w="1232" w:type="dxa"/>
            <w:shd w:val="clear" w:color="auto" w:fill="auto"/>
          </w:tcPr>
          <w:p w14:paraId="31A34D2C" w14:textId="77777777" w:rsidR="00702DFF" w:rsidRPr="007F78CE" w:rsidRDefault="00702DFF"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60D45697" w14:textId="77777777" w:rsidR="00702DFF" w:rsidRPr="007F78CE" w:rsidRDefault="00702DFF"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17" w:type="dxa"/>
            <w:shd w:val="clear" w:color="auto" w:fill="FFFF00"/>
          </w:tcPr>
          <w:p w14:paraId="4D0AD53E" w14:textId="77777777" w:rsidR="00702DFF" w:rsidRPr="007F78CE" w:rsidRDefault="00702DFF" w:rsidP="00D70FB3">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Moyenne </w:t>
            </w:r>
          </w:p>
          <w:p w14:paraId="33A38510" w14:textId="77777777" w:rsidR="00702DFF" w:rsidRDefault="00702DFF"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6</w:t>
            </w:r>
            <w:r w:rsidRPr="007F78CE">
              <w:rPr>
                <w:rFonts w:ascii="Arial Narrow" w:hAnsi="Arial Narrow" w:cs="Arial"/>
                <w:sz w:val="20"/>
                <w:szCs w:val="20"/>
              </w:rPr>
              <w:t>)</w:t>
            </w:r>
          </w:p>
        </w:tc>
        <w:tc>
          <w:tcPr>
            <w:tcW w:w="1064" w:type="dxa"/>
            <w:shd w:val="clear" w:color="auto" w:fill="auto"/>
          </w:tcPr>
          <w:p w14:paraId="233492FA" w14:textId="77777777" w:rsidR="00702DFF" w:rsidRPr="00926C15" w:rsidRDefault="00702DFF" w:rsidP="00611CB5">
            <w:pPr>
              <w:spacing w:after="0" w:line="240" w:lineRule="auto"/>
              <w:contextualSpacing/>
              <w:jc w:val="center"/>
              <w:rPr>
                <w:rFonts w:ascii="Arial Narrow" w:hAnsi="Arial Narrow" w:cs="Arial"/>
                <w:sz w:val="20"/>
                <w:szCs w:val="20"/>
              </w:rPr>
            </w:pPr>
            <w:r w:rsidRPr="00926C15">
              <w:rPr>
                <w:rFonts w:ascii="Arial Narrow" w:hAnsi="Arial Narrow" w:cs="Arial"/>
                <w:sz w:val="20"/>
                <w:szCs w:val="20"/>
              </w:rPr>
              <w:t xml:space="preserve">Faible </w:t>
            </w:r>
          </w:p>
        </w:tc>
        <w:tc>
          <w:tcPr>
            <w:tcW w:w="812" w:type="dxa"/>
            <w:shd w:val="clear" w:color="auto" w:fill="BFBFBF"/>
          </w:tcPr>
          <w:p w14:paraId="32F74455" w14:textId="77777777" w:rsidR="00702DFF" w:rsidRPr="00926C15" w:rsidRDefault="00702DFF" w:rsidP="00611CB5">
            <w:pPr>
              <w:spacing w:after="0" w:line="240" w:lineRule="auto"/>
              <w:contextualSpacing/>
              <w:jc w:val="center"/>
              <w:rPr>
                <w:rFonts w:ascii="Arial Narrow" w:hAnsi="Arial Narrow" w:cs="Arial"/>
                <w:sz w:val="20"/>
                <w:szCs w:val="20"/>
              </w:rPr>
            </w:pPr>
            <w:r w:rsidRPr="00926C15">
              <w:rPr>
                <w:rFonts w:ascii="Arial Narrow" w:hAnsi="Arial Narrow" w:cs="Arial"/>
                <w:sz w:val="20"/>
                <w:szCs w:val="20"/>
              </w:rPr>
              <w:t xml:space="preserve">Faible </w:t>
            </w:r>
          </w:p>
        </w:tc>
      </w:tr>
    </w:tbl>
    <w:p w14:paraId="0B193D27" w14:textId="77777777" w:rsidR="0090044A" w:rsidRPr="003D0E24" w:rsidRDefault="0090044A" w:rsidP="00687DD2">
      <w:pPr>
        <w:pStyle w:val="Normal12"/>
        <w:numPr>
          <w:ilvl w:val="0"/>
          <w:numId w:val="85"/>
        </w:numPr>
        <w:spacing w:before="100" w:beforeAutospacing="1" w:after="100" w:afterAutospacing="1"/>
        <w:ind w:left="1077" w:hanging="357"/>
        <w:contextualSpacing/>
        <w:rPr>
          <w:i/>
          <w:iCs/>
          <w:lang w:val="fr-FR"/>
        </w:rPr>
      </w:pPr>
      <w:r w:rsidRPr="003D0E24">
        <w:rPr>
          <w:i/>
          <w:iCs/>
          <w:lang w:val="fr-FR"/>
        </w:rPr>
        <w:t>Accumulation des déchets d’équipement électrique et électronique (DEEE)</w:t>
      </w:r>
    </w:p>
    <w:p w14:paraId="624BAC7A" w14:textId="77777777" w:rsidR="0090044A" w:rsidRPr="00C41583" w:rsidRDefault="0090044A" w:rsidP="00C41583">
      <w:pPr>
        <w:spacing w:line="240" w:lineRule="auto"/>
        <w:jc w:val="both"/>
        <w:rPr>
          <w:rFonts w:ascii="Arial" w:hAnsi="Arial" w:cs="Arial"/>
        </w:rPr>
      </w:pPr>
      <w:r w:rsidRPr="00742D67">
        <w:rPr>
          <w:rFonts w:ascii="Arial" w:hAnsi="Arial" w:cs="Arial"/>
        </w:rPr>
        <w:t>L’entretien des infrastructures</w:t>
      </w:r>
      <w:r w:rsidR="0095085C" w:rsidRPr="00742D67">
        <w:rPr>
          <w:rFonts w:ascii="Arial" w:hAnsi="Arial" w:cs="Arial"/>
        </w:rPr>
        <w:t>, la maintenance des installations électrique</w:t>
      </w:r>
      <w:r w:rsidR="008F4DCC" w:rsidRPr="00742D67">
        <w:rPr>
          <w:rFonts w:ascii="Arial" w:hAnsi="Arial" w:cs="Arial"/>
        </w:rPr>
        <w:t>s</w:t>
      </w:r>
      <w:r w:rsidR="0095085C" w:rsidRPr="00742D67">
        <w:rPr>
          <w:rFonts w:ascii="Arial" w:hAnsi="Arial" w:cs="Arial"/>
        </w:rPr>
        <w:t xml:space="preserve"> ou de télécommunication</w:t>
      </w:r>
      <w:r w:rsidR="008F4DCC" w:rsidRPr="00742D67">
        <w:rPr>
          <w:rFonts w:ascii="Arial" w:hAnsi="Arial" w:cs="Arial"/>
        </w:rPr>
        <w:t>s</w:t>
      </w:r>
      <w:r w:rsidR="0095085C" w:rsidRPr="00742D67">
        <w:rPr>
          <w:rFonts w:ascii="Arial" w:hAnsi="Arial" w:cs="Arial"/>
        </w:rPr>
        <w:t>,</w:t>
      </w:r>
      <w:r w:rsidR="001F68EA" w:rsidRPr="00742D67">
        <w:rPr>
          <w:rFonts w:ascii="Arial" w:hAnsi="Arial" w:cs="Arial"/>
        </w:rPr>
        <w:t xml:space="preserve"> et l’acquisition des appareils TIC (Smartphone, tablette, Ordinateur Portable lampe solaire, etc.) par la population locale</w:t>
      </w:r>
      <w:r w:rsidRPr="00742D67">
        <w:rPr>
          <w:rFonts w:ascii="Arial" w:hAnsi="Arial" w:cs="Arial"/>
        </w:rPr>
        <w:t xml:space="preserve"> peu</w:t>
      </w:r>
      <w:r w:rsidR="008F4DCC" w:rsidRPr="00742D67">
        <w:rPr>
          <w:rFonts w:ascii="Arial" w:hAnsi="Arial" w:cs="Arial"/>
        </w:rPr>
        <w:t>ven</w:t>
      </w:r>
      <w:r w:rsidRPr="00742D67">
        <w:rPr>
          <w:rFonts w:ascii="Arial" w:hAnsi="Arial" w:cs="Arial"/>
        </w:rPr>
        <w:t>t engendrer des déchets</w:t>
      </w:r>
      <w:r w:rsidRPr="00C41583">
        <w:rPr>
          <w:rFonts w:ascii="Arial" w:hAnsi="Arial" w:cs="Arial"/>
        </w:rPr>
        <w:t xml:space="preserve"> d’équipement électrique et électronique (DEEE) au niveau du site. Le stockage et l’évacuation des déchets doivent être maîtrisés afin d’éviter toutes sources de contamination des sols et des eaux.</w:t>
      </w:r>
    </w:p>
    <w:p w14:paraId="0C249DB7" w14:textId="77777777" w:rsidR="0090044A" w:rsidRPr="00C41583" w:rsidRDefault="0090044A" w:rsidP="00C41583">
      <w:pPr>
        <w:spacing w:line="240" w:lineRule="auto"/>
        <w:jc w:val="both"/>
        <w:rPr>
          <w:rFonts w:ascii="Arial" w:hAnsi="Arial" w:cs="Arial"/>
        </w:rPr>
      </w:pPr>
      <w:r w:rsidRPr="00C41583">
        <w:rPr>
          <w:rFonts w:ascii="Arial" w:hAnsi="Arial" w:cs="Arial"/>
        </w:rPr>
        <w:t>Même si l’accumulation du DEEE ne se produit qu’au niveau des sites d’installations des infrastructures, leur durée de dégradation peut atteindre des centaines d’années. L’importance de ce type d’impact sera donc évaluée comme « moyenne »</w:t>
      </w:r>
      <w:r w:rsidR="0071222B">
        <w:rPr>
          <w:rFonts w:ascii="Arial" w:hAnsi="Arial" w:cs="Arial"/>
        </w:rPr>
        <w:t xml:space="preserve"> </w:t>
      </w:r>
      <w:r w:rsidR="00987831">
        <w:rPr>
          <w:rFonts w:ascii="Arial" w:hAnsi="Arial" w:cs="Arial"/>
        </w:rPr>
        <w:t xml:space="preserve">et le niveau de risque est élevé </w:t>
      </w:r>
      <w:r w:rsidR="0071222B">
        <w:rPr>
          <w:rFonts w:ascii="Arial" w:hAnsi="Arial" w:cs="Arial"/>
        </w:rPr>
        <w:t>selon le tableau ci dessosu</w:t>
      </w:r>
      <w:r w:rsidRPr="00C41583">
        <w:rPr>
          <w:rFonts w:ascii="Arial" w:hAnsi="Arial" w:cs="Arial"/>
        </w:rPr>
        <w:t>.</w:t>
      </w:r>
    </w:p>
    <w:p w14:paraId="73C31D57" w14:textId="77777777" w:rsidR="0090044A" w:rsidRPr="002E58DC" w:rsidRDefault="0090044A" w:rsidP="002E58DC">
      <w:pPr>
        <w:pStyle w:val="Lgende"/>
        <w:spacing w:before="120"/>
        <w:jc w:val="center"/>
        <w:rPr>
          <w:sz w:val="20"/>
        </w:rPr>
      </w:pPr>
      <w:bookmarkStart w:id="1032" w:name="_Toc100753946"/>
      <w:bookmarkStart w:id="1033" w:name="_Toc127957855"/>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59</w:t>
      </w:r>
      <w:r w:rsidRPr="002E58DC">
        <w:rPr>
          <w:sz w:val="20"/>
        </w:rPr>
        <w:fldChar w:fldCharType="end"/>
      </w:r>
      <w:r w:rsidRPr="002E58DC">
        <w:rPr>
          <w:sz w:val="20"/>
        </w:rPr>
        <w:t>. Evaluation l’impact -Accumulation des déchets solides incluant les déchets d’équipement électrique et électronique (DEEE)</w:t>
      </w:r>
      <w:bookmarkEnd w:id="1032"/>
      <w:bookmarkEnd w:id="1033"/>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060"/>
        <w:gridCol w:w="1095"/>
        <w:gridCol w:w="952"/>
        <w:gridCol w:w="1343"/>
        <w:gridCol w:w="1291"/>
        <w:gridCol w:w="1064"/>
        <w:gridCol w:w="879"/>
        <w:tblGridChange w:id="1034">
          <w:tblGrid>
            <w:gridCol w:w="1604"/>
            <w:gridCol w:w="1060"/>
            <w:gridCol w:w="1095"/>
            <w:gridCol w:w="952"/>
            <w:gridCol w:w="1343"/>
            <w:gridCol w:w="1291"/>
            <w:gridCol w:w="1064"/>
            <w:gridCol w:w="879"/>
          </w:tblGrid>
        </w:tblGridChange>
      </w:tblGrid>
      <w:tr w:rsidR="00987831" w:rsidRPr="007F78CE" w14:paraId="30FCAB8A" w14:textId="77777777" w:rsidTr="00345918">
        <w:trPr>
          <w:jc w:val="center"/>
        </w:trPr>
        <w:tc>
          <w:tcPr>
            <w:tcW w:w="1604" w:type="dxa"/>
            <w:shd w:val="clear" w:color="auto" w:fill="BFBFBF"/>
          </w:tcPr>
          <w:p w14:paraId="1F4984B9" w14:textId="77777777" w:rsidR="00987831" w:rsidRPr="007F78CE" w:rsidRDefault="00987831" w:rsidP="007F78CE">
            <w:pPr>
              <w:spacing w:after="0" w:line="240" w:lineRule="auto"/>
              <w:rPr>
                <w:rFonts w:ascii="Arial Narrow" w:hAnsi="Arial Narrow"/>
                <w:b/>
                <w:bCs/>
                <w:sz w:val="20"/>
                <w:szCs w:val="20"/>
              </w:rPr>
            </w:pPr>
            <w:r>
              <w:rPr>
                <w:rFonts w:ascii="Arial Narrow" w:hAnsi="Arial Narrow"/>
                <w:b/>
                <w:bCs/>
                <w:sz w:val="20"/>
                <w:szCs w:val="20"/>
              </w:rPr>
              <w:t>Sous Projet</w:t>
            </w:r>
          </w:p>
        </w:tc>
        <w:tc>
          <w:tcPr>
            <w:tcW w:w="1060" w:type="dxa"/>
            <w:shd w:val="clear" w:color="auto" w:fill="BFBFBF"/>
          </w:tcPr>
          <w:p w14:paraId="62757942" w14:textId="77777777" w:rsidR="00987831" w:rsidRPr="007F78CE" w:rsidRDefault="00987831"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095" w:type="dxa"/>
            <w:shd w:val="clear" w:color="auto" w:fill="BFBFBF"/>
          </w:tcPr>
          <w:p w14:paraId="4FB9C0D4" w14:textId="77777777" w:rsidR="00987831" w:rsidRPr="007F78CE" w:rsidRDefault="00987831"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952" w:type="dxa"/>
            <w:shd w:val="clear" w:color="auto" w:fill="BFBFBF"/>
          </w:tcPr>
          <w:p w14:paraId="2427556A" w14:textId="77777777" w:rsidR="00987831" w:rsidRPr="007F78CE" w:rsidRDefault="00987831"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343" w:type="dxa"/>
            <w:shd w:val="clear" w:color="auto" w:fill="BFBFBF"/>
          </w:tcPr>
          <w:p w14:paraId="14049987" w14:textId="77777777" w:rsidR="00987831" w:rsidRPr="007F78CE" w:rsidRDefault="00987831"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291" w:type="dxa"/>
            <w:shd w:val="clear" w:color="auto" w:fill="BFBFBF"/>
          </w:tcPr>
          <w:p w14:paraId="0F82979A" w14:textId="77777777" w:rsidR="00987831" w:rsidRPr="007F78CE" w:rsidRDefault="00987831"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BFBFBF"/>
          </w:tcPr>
          <w:p w14:paraId="1FFEB455" w14:textId="77777777" w:rsidR="00987831" w:rsidRPr="007F78CE" w:rsidRDefault="00987831"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879" w:type="dxa"/>
            <w:shd w:val="clear" w:color="auto" w:fill="BFBFBF"/>
          </w:tcPr>
          <w:p w14:paraId="0958DC00" w14:textId="77777777" w:rsidR="00987831" w:rsidRPr="007F78CE" w:rsidRDefault="00987831" w:rsidP="007F78CE">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987831" w:rsidRPr="007F78CE" w14:paraId="7072F411" w14:textId="77777777" w:rsidTr="00345918">
        <w:trPr>
          <w:jc w:val="center"/>
        </w:trPr>
        <w:tc>
          <w:tcPr>
            <w:tcW w:w="1604" w:type="dxa"/>
          </w:tcPr>
          <w:p w14:paraId="684DA82B" w14:textId="77777777" w:rsidR="00987831" w:rsidRPr="007F78CE" w:rsidRDefault="00987831" w:rsidP="00345918">
            <w:pPr>
              <w:spacing w:after="0" w:line="240" w:lineRule="auto"/>
              <w:contextualSpacing/>
              <w:rPr>
                <w:rFonts w:ascii="Arial Narrow" w:hAnsi="Arial Narrow" w:cs="Arial"/>
                <w:sz w:val="20"/>
                <w:szCs w:val="20"/>
              </w:rPr>
            </w:pPr>
            <w:r>
              <w:rPr>
                <w:rFonts w:ascii="Arial Narrow" w:hAnsi="Arial Narrow" w:cs="Arial"/>
                <w:sz w:val="20"/>
                <w:szCs w:val="20"/>
              </w:rPr>
              <w:t>Infrastructure</w:t>
            </w:r>
            <w:r w:rsidR="00A73AF6">
              <w:rPr>
                <w:rFonts w:ascii="Arial Narrow" w:hAnsi="Arial Narrow" w:cs="Arial"/>
                <w:sz w:val="20"/>
                <w:szCs w:val="20"/>
              </w:rPr>
              <w:t>s</w:t>
            </w:r>
            <w:r>
              <w:rPr>
                <w:rFonts w:ascii="Arial Narrow" w:hAnsi="Arial Narrow" w:cs="Arial"/>
                <w:sz w:val="20"/>
                <w:szCs w:val="20"/>
              </w:rPr>
              <w:t xml:space="preserve"> numérique</w:t>
            </w:r>
            <w:r w:rsidR="00A73AF6">
              <w:rPr>
                <w:rFonts w:ascii="Arial Narrow" w:hAnsi="Arial Narrow" w:cs="Arial"/>
                <w:sz w:val="20"/>
                <w:szCs w:val="20"/>
              </w:rPr>
              <w:t>s</w:t>
            </w:r>
            <w:r>
              <w:rPr>
                <w:rFonts w:ascii="Arial Narrow" w:hAnsi="Arial Narrow" w:cs="Arial"/>
                <w:sz w:val="20"/>
                <w:szCs w:val="20"/>
              </w:rPr>
              <w:t xml:space="preserve"> </w:t>
            </w:r>
          </w:p>
        </w:tc>
        <w:tc>
          <w:tcPr>
            <w:tcW w:w="1060" w:type="dxa"/>
            <w:shd w:val="clear" w:color="auto" w:fill="auto"/>
          </w:tcPr>
          <w:p w14:paraId="06396E10" w14:textId="77777777" w:rsidR="00987831" w:rsidRPr="007F78CE" w:rsidRDefault="00987831"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Moyenne</w:t>
            </w:r>
          </w:p>
          <w:p w14:paraId="644019A0"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095" w:type="dxa"/>
            <w:shd w:val="clear" w:color="auto" w:fill="auto"/>
          </w:tcPr>
          <w:p w14:paraId="0A2409B6"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239544E4"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52" w:type="dxa"/>
            <w:shd w:val="clear" w:color="auto" w:fill="auto"/>
          </w:tcPr>
          <w:p w14:paraId="30809407"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Longue</w:t>
            </w:r>
          </w:p>
          <w:p w14:paraId="4FBBA908"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343" w:type="dxa"/>
            <w:shd w:val="clear" w:color="auto" w:fill="auto"/>
          </w:tcPr>
          <w:p w14:paraId="6D508599"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45223BCA"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91" w:type="dxa"/>
            <w:shd w:val="clear" w:color="auto" w:fill="FFFF00"/>
          </w:tcPr>
          <w:p w14:paraId="4D5C7BF0"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700B91EF"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(8)</w:t>
            </w:r>
          </w:p>
        </w:tc>
        <w:tc>
          <w:tcPr>
            <w:tcW w:w="1064" w:type="dxa"/>
            <w:shd w:val="clear" w:color="auto" w:fill="auto"/>
          </w:tcPr>
          <w:p w14:paraId="06EA5F4F" w14:textId="77777777" w:rsidR="00987831" w:rsidRPr="007F78CE" w:rsidRDefault="00987831"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Elevé </w:t>
            </w:r>
          </w:p>
        </w:tc>
        <w:tc>
          <w:tcPr>
            <w:tcW w:w="879" w:type="dxa"/>
            <w:shd w:val="clear" w:color="auto" w:fill="FFC000"/>
          </w:tcPr>
          <w:p w14:paraId="68571950" w14:textId="77777777" w:rsidR="00987831" w:rsidRPr="007F78CE" w:rsidRDefault="00987831"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Elevé </w:t>
            </w:r>
          </w:p>
        </w:tc>
      </w:tr>
      <w:tr w:rsidR="00987831" w:rsidRPr="007F78CE" w14:paraId="1BD70E47" w14:textId="77777777" w:rsidTr="00345918">
        <w:trPr>
          <w:jc w:val="center"/>
        </w:trPr>
        <w:tc>
          <w:tcPr>
            <w:tcW w:w="1604" w:type="dxa"/>
          </w:tcPr>
          <w:p w14:paraId="050A207F" w14:textId="77777777" w:rsidR="00987831" w:rsidRDefault="00987831" w:rsidP="00B434A6">
            <w:pPr>
              <w:spacing w:after="0" w:line="240" w:lineRule="auto"/>
              <w:contextualSpacing/>
              <w:rPr>
                <w:rFonts w:ascii="Arial Narrow" w:hAnsi="Arial Narrow" w:cs="Arial"/>
                <w:sz w:val="20"/>
                <w:szCs w:val="20"/>
              </w:rPr>
            </w:pPr>
            <w:r>
              <w:rPr>
                <w:rFonts w:ascii="Arial Narrow" w:hAnsi="Arial Narrow" w:cs="Arial"/>
                <w:sz w:val="20"/>
                <w:szCs w:val="20"/>
              </w:rPr>
              <w:t>Centrale électrique solaire</w:t>
            </w:r>
          </w:p>
        </w:tc>
        <w:tc>
          <w:tcPr>
            <w:tcW w:w="1060" w:type="dxa"/>
            <w:shd w:val="clear" w:color="auto" w:fill="auto"/>
          </w:tcPr>
          <w:p w14:paraId="708D6666" w14:textId="77777777" w:rsidR="00987831" w:rsidRPr="007F78CE" w:rsidRDefault="00987831" w:rsidP="00611CB5">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Moyenne</w:t>
            </w:r>
          </w:p>
          <w:p w14:paraId="7B9E5515"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095" w:type="dxa"/>
            <w:shd w:val="clear" w:color="auto" w:fill="auto"/>
          </w:tcPr>
          <w:p w14:paraId="0432F48D" w14:textId="77777777" w:rsidR="00987831" w:rsidRPr="007F78CE" w:rsidRDefault="00987831"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31DC8AAF"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52" w:type="dxa"/>
            <w:shd w:val="clear" w:color="auto" w:fill="auto"/>
          </w:tcPr>
          <w:p w14:paraId="74C11DA8" w14:textId="77777777" w:rsidR="00987831" w:rsidRPr="007F78CE" w:rsidRDefault="00987831"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Longue</w:t>
            </w:r>
          </w:p>
          <w:p w14:paraId="2F9BBE2D"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343" w:type="dxa"/>
            <w:shd w:val="clear" w:color="auto" w:fill="auto"/>
          </w:tcPr>
          <w:p w14:paraId="04DB9FD7" w14:textId="77777777" w:rsidR="00987831" w:rsidRPr="007F78CE" w:rsidRDefault="00987831"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788FA643"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91" w:type="dxa"/>
            <w:shd w:val="clear" w:color="auto" w:fill="FFFF00"/>
          </w:tcPr>
          <w:p w14:paraId="39EA4A28" w14:textId="77777777" w:rsidR="00987831" w:rsidRPr="007F78CE" w:rsidRDefault="00987831"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6C2BB712"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(8)</w:t>
            </w:r>
          </w:p>
        </w:tc>
        <w:tc>
          <w:tcPr>
            <w:tcW w:w="1064" w:type="dxa"/>
            <w:shd w:val="clear" w:color="auto" w:fill="auto"/>
          </w:tcPr>
          <w:p w14:paraId="641B25DF" w14:textId="77777777" w:rsidR="00987831" w:rsidRPr="007F78CE" w:rsidRDefault="00987831" w:rsidP="00611CB5">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Elevé </w:t>
            </w:r>
          </w:p>
        </w:tc>
        <w:tc>
          <w:tcPr>
            <w:tcW w:w="879" w:type="dxa"/>
            <w:shd w:val="clear" w:color="auto" w:fill="FFC000"/>
          </w:tcPr>
          <w:p w14:paraId="0088D16E" w14:textId="77777777" w:rsidR="00987831" w:rsidRPr="007F78CE" w:rsidRDefault="00987831" w:rsidP="00611CB5">
            <w:pPr>
              <w:spacing w:after="0" w:line="240" w:lineRule="auto"/>
              <w:contextualSpacing/>
              <w:jc w:val="center"/>
              <w:rPr>
                <w:rFonts w:ascii="Arial Narrow" w:hAnsi="Arial Narrow" w:cs="Arial"/>
                <w:sz w:val="20"/>
                <w:szCs w:val="20"/>
              </w:rPr>
            </w:pPr>
            <w:r>
              <w:rPr>
                <w:rFonts w:ascii="Arial Narrow" w:hAnsi="Arial Narrow" w:cs="Arial"/>
                <w:sz w:val="20"/>
                <w:szCs w:val="20"/>
              </w:rPr>
              <w:t>Elevé</w:t>
            </w:r>
          </w:p>
        </w:tc>
      </w:tr>
      <w:tr w:rsidR="00702DFF" w:rsidRPr="007F78CE" w14:paraId="2D5722EB" w14:textId="77777777" w:rsidTr="00702DFF">
        <w:trPr>
          <w:jc w:val="center"/>
        </w:trPr>
        <w:tc>
          <w:tcPr>
            <w:tcW w:w="1604" w:type="dxa"/>
          </w:tcPr>
          <w:p w14:paraId="244B7ECE" w14:textId="77777777" w:rsidR="00702DFF" w:rsidRDefault="00702DFF" w:rsidP="00B434A6">
            <w:pPr>
              <w:spacing w:after="0" w:line="240" w:lineRule="auto"/>
              <w:contextualSpacing/>
              <w:rPr>
                <w:rFonts w:ascii="Arial Narrow" w:hAnsi="Arial Narrow" w:cs="Arial"/>
                <w:sz w:val="20"/>
                <w:szCs w:val="20"/>
              </w:rPr>
            </w:pPr>
            <w:r>
              <w:rPr>
                <w:rFonts w:ascii="Arial Narrow" w:hAnsi="Arial Narrow" w:cs="Arial"/>
                <w:sz w:val="20"/>
                <w:szCs w:val="20"/>
              </w:rPr>
              <w:t>Impact cumulé</w:t>
            </w:r>
          </w:p>
        </w:tc>
        <w:tc>
          <w:tcPr>
            <w:tcW w:w="1060" w:type="dxa"/>
            <w:shd w:val="clear" w:color="auto" w:fill="auto"/>
          </w:tcPr>
          <w:p w14:paraId="7F4C6EF9" w14:textId="77777777" w:rsidR="00702DFF" w:rsidRPr="007F78CE" w:rsidRDefault="00702DFF" w:rsidP="00D70FB3">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Moyenne</w:t>
            </w:r>
          </w:p>
          <w:p w14:paraId="324A4F9D" w14:textId="77777777" w:rsidR="00702DFF" w:rsidRPr="007F78CE" w:rsidRDefault="00702DFF"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095" w:type="dxa"/>
            <w:shd w:val="clear" w:color="auto" w:fill="auto"/>
          </w:tcPr>
          <w:p w14:paraId="67DD13B9" w14:textId="77777777" w:rsidR="00702DFF" w:rsidRPr="007F78CE" w:rsidRDefault="00702DFF"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274A8A4F" w14:textId="77777777" w:rsidR="00702DFF" w:rsidRPr="007F78CE" w:rsidRDefault="00702DFF"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52" w:type="dxa"/>
            <w:shd w:val="clear" w:color="auto" w:fill="auto"/>
          </w:tcPr>
          <w:p w14:paraId="71A8B3F7" w14:textId="77777777" w:rsidR="00702DFF" w:rsidRPr="007F78CE" w:rsidRDefault="00702DFF"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Longue</w:t>
            </w:r>
          </w:p>
          <w:p w14:paraId="700CFE91" w14:textId="77777777" w:rsidR="00702DFF" w:rsidRPr="007F78CE" w:rsidRDefault="00702DFF"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343" w:type="dxa"/>
            <w:shd w:val="clear" w:color="auto" w:fill="auto"/>
          </w:tcPr>
          <w:p w14:paraId="3D8EF9FC" w14:textId="77777777" w:rsidR="00702DFF" w:rsidRPr="007F78CE" w:rsidRDefault="00702DFF"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31191562" w14:textId="77777777" w:rsidR="00702DFF" w:rsidRPr="007F78CE" w:rsidRDefault="00702DFF"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91" w:type="dxa"/>
            <w:shd w:val="clear" w:color="auto" w:fill="FFFF00"/>
          </w:tcPr>
          <w:p w14:paraId="2A562C77" w14:textId="77777777" w:rsidR="00702DFF" w:rsidRPr="007F78CE" w:rsidRDefault="00702DFF"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46F49F3B" w14:textId="77777777" w:rsidR="00702DFF" w:rsidRPr="007F78CE" w:rsidRDefault="00702DFF"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(8)</w:t>
            </w:r>
          </w:p>
        </w:tc>
        <w:tc>
          <w:tcPr>
            <w:tcW w:w="1064" w:type="dxa"/>
            <w:shd w:val="clear" w:color="auto" w:fill="auto"/>
          </w:tcPr>
          <w:p w14:paraId="318D77A5" w14:textId="77777777" w:rsidR="00702DFF" w:rsidRDefault="00702DFF" w:rsidP="00611CB5">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Elevé </w:t>
            </w:r>
          </w:p>
        </w:tc>
        <w:tc>
          <w:tcPr>
            <w:tcW w:w="879" w:type="dxa"/>
            <w:shd w:val="clear" w:color="auto" w:fill="FFC000"/>
          </w:tcPr>
          <w:p w14:paraId="1B33CD49" w14:textId="77777777" w:rsidR="00702DFF" w:rsidRDefault="00702DFF" w:rsidP="00611CB5">
            <w:pPr>
              <w:spacing w:after="0" w:line="240" w:lineRule="auto"/>
              <w:contextualSpacing/>
              <w:jc w:val="center"/>
              <w:rPr>
                <w:rFonts w:ascii="Arial Narrow" w:hAnsi="Arial Narrow" w:cs="Arial"/>
                <w:sz w:val="20"/>
                <w:szCs w:val="20"/>
              </w:rPr>
            </w:pPr>
            <w:r>
              <w:rPr>
                <w:rFonts w:ascii="Arial Narrow" w:hAnsi="Arial Narrow" w:cs="Arial"/>
                <w:sz w:val="20"/>
                <w:szCs w:val="20"/>
              </w:rPr>
              <w:t>Elevé</w:t>
            </w:r>
          </w:p>
        </w:tc>
      </w:tr>
    </w:tbl>
    <w:p w14:paraId="02E34A19" w14:textId="77777777" w:rsidR="00225639" w:rsidRPr="00B434A6" w:rsidRDefault="00225639" w:rsidP="00B434A6">
      <w:pPr>
        <w:spacing w:line="240" w:lineRule="auto"/>
        <w:jc w:val="both"/>
        <w:rPr>
          <w:rFonts w:ascii="Arial" w:hAnsi="Arial" w:cs="Arial"/>
        </w:rPr>
      </w:pPr>
    </w:p>
    <w:p w14:paraId="649E4173" w14:textId="77777777" w:rsidR="0090044A" w:rsidRPr="004D050C" w:rsidRDefault="0090044A" w:rsidP="00687DD2">
      <w:pPr>
        <w:pStyle w:val="Normal12"/>
        <w:numPr>
          <w:ilvl w:val="0"/>
          <w:numId w:val="85"/>
        </w:numPr>
        <w:spacing w:before="100" w:beforeAutospacing="1" w:after="100" w:afterAutospacing="1"/>
        <w:ind w:left="1077" w:hanging="357"/>
        <w:contextualSpacing/>
        <w:rPr>
          <w:i/>
          <w:iCs/>
          <w:lang w:val="fr-FR"/>
        </w:rPr>
      </w:pPr>
      <w:r w:rsidRPr="004D050C">
        <w:rPr>
          <w:i/>
          <w:iCs/>
          <w:lang w:val="fr-FR"/>
        </w:rPr>
        <w:t>Impact visuel causé par le changement du paysage</w:t>
      </w:r>
    </w:p>
    <w:p w14:paraId="2641C49A" w14:textId="77777777" w:rsidR="0090044A" w:rsidRPr="00C41583" w:rsidRDefault="0090044A" w:rsidP="00C41583">
      <w:pPr>
        <w:spacing w:line="240" w:lineRule="auto"/>
        <w:jc w:val="both"/>
        <w:rPr>
          <w:rFonts w:ascii="Arial" w:hAnsi="Arial" w:cs="Arial"/>
        </w:rPr>
      </w:pPr>
      <w:r w:rsidRPr="00C41583">
        <w:rPr>
          <w:rFonts w:ascii="Arial" w:hAnsi="Arial" w:cs="Arial"/>
        </w:rPr>
        <w:t xml:space="preserve">Les installations photovoltaïques, les tours cellulaires, les microcentrales hydroélectriques </w:t>
      </w:r>
      <w:r w:rsidR="001F68EA" w:rsidRPr="00C41583">
        <w:rPr>
          <w:rFonts w:ascii="Arial" w:hAnsi="Arial" w:cs="Arial"/>
        </w:rPr>
        <w:t>impliquent</w:t>
      </w:r>
      <w:r w:rsidRPr="00C41583">
        <w:rPr>
          <w:rFonts w:ascii="Arial" w:hAnsi="Arial" w:cs="Arial"/>
        </w:rPr>
        <w:t xml:space="preserve"> un changement du cadre naturel en raison de leur taille, de leur harmonie, de leur conception et des matériaux utilisés. Ainsi, la mise en place de ces infrastructures prendra en compte les unités paysagères des sites. L’importance de cet impact pourrait être obtenue à partir de la visibilité du site. </w:t>
      </w:r>
    </w:p>
    <w:p w14:paraId="44202109" w14:textId="77777777" w:rsidR="0090044A" w:rsidRPr="00C41583" w:rsidRDefault="00D350BF" w:rsidP="00C41583">
      <w:pPr>
        <w:spacing w:line="240" w:lineRule="auto"/>
        <w:jc w:val="both"/>
        <w:rPr>
          <w:rFonts w:ascii="Arial" w:hAnsi="Arial" w:cs="Arial"/>
        </w:rPr>
      </w:pPr>
      <w:r>
        <w:rPr>
          <w:rFonts w:ascii="Arial" w:hAnsi="Arial" w:cs="Arial"/>
        </w:rPr>
        <w:t>Suivant le tableau ci-dessous, l</w:t>
      </w:r>
      <w:r w:rsidR="0090044A" w:rsidRPr="00C41583">
        <w:rPr>
          <w:rFonts w:ascii="Arial" w:hAnsi="Arial" w:cs="Arial"/>
        </w:rPr>
        <w:t xml:space="preserve">’impact visuel peut être </w:t>
      </w:r>
      <w:r w:rsidR="0095085C" w:rsidRPr="00C41583">
        <w:rPr>
          <w:rFonts w:ascii="Arial" w:hAnsi="Arial" w:cs="Arial"/>
        </w:rPr>
        <w:t>évalué</w:t>
      </w:r>
      <w:r w:rsidR="0090044A" w:rsidRPr="00C41583">
        <w:rPr>
          <w:rFonts w:ascii="Arial" w:hAnsi="Arial" w:cs="Arial"/>
        </w:rPr>
        <w:t xml:space="preserve"> comme d’importance « </w:t>
      </w:r>
      <w:r w:rsidR="0095085C" w:rsidRPr="00C41583">
        <w:rPr>
          <w:rFonts w:ascii="Arial" w:hAnsi="Arial" w:cs="Arial"/>
        </w:rPr>
        <w:t>M</w:t>
      </w:r>
      <w:r w:rsidR="0095085C">
        <w:rPr>
          <w:rFonts w:ascii="Arial" w:hAnsi="Arial" w:cs="Arial"/>
        </w:rPr>
        <w:t>oyenne</w:t>
      </w:r>
      <w:r w:rsidR="0095085C" w:rsidRPr="00C41583">
        <w:rPr>
          <w:rFonts w:ascii="Arial" w:hAnsi="Arial" w:cs="Arial"/>
        </w:rPr>
        <w:t> </w:t>
      </w:r>
      <w:r w:rsidR="0090044A" w:rsidRPr="00C41583">
        <w:rPr>
          <w:rFonts w:ascii="Arial" w:hAnsi="Arial" w:cs="Arial"/>
        </w:rPr>
        <w:t>»</w:t>
      </w:r>
      <w:r>
        <w:rPr>
          <w:rFonts w:ascii="Arial" w:hAnsi="Arial" w:cs="Arial"/>
        </w:rPr>
        <w:t>.</w:t>
      </w:r>
      <w:r w:rsidR="00987831">
        <w:rPr>
          <w:rFonts w:ascii="Arial" w:hAnsi="Arial" w:cs="Arial"/>
        </w:rPr>
        <w:t xml:space="preserve"> Le niveau de risque est élevé pour l’infrastrucure numérique et la centrale électrique solaire</w:t>
      </w:r>
      <w:r w:rsidR="0090044A" w:rsidRPr="00C41583">
        <w:rPr>
          <w:rFonts w:ascii="Arial" w:hAnsi="Arial" w:cs="Arial"/>
        </w:rPr>
        <w:t>.</w:t>
      </w:r>
      <w:r w:rsidR="00987831">
        <w:rPr>
          <w:rFonts w:ascii="Arial" w:hAnsi="Arial" w:cs="Arial"/>
        </w:rPr>
        <w:t>tandis qu’il est faible pour les autres sous projets.</w:t>
      </w:r>
    </w:p>
    <w:p w14:paraId="1FA02EFD" w14:textId="77777777" w:rsidR="0090044A" w:rsidRPr="002E58DC" w:rsidRDefault="0090044A" w:rsidP="002E58DC">
      <w:pPr>
        <w:pStyle w:val="Lgende"/>
        <w:spacing w:before="120"/>
        <w:jc w:val="center"/>
        <w:rPr>
          <w:sz w:val="20"/>
        </w:rPr>
      </w:pPr>
      <w:bookmarkStart w:id="1035" w:name="_Toc100753947"/>
      <w:bookmarkStart w:id="1036" w:name="_Toc127957856"/>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60</w:t>
      </w:r>
      <w:r w:rsidRPr="002E58DC">
        <w:rPr>
          <w:sz w:val="20"/>
        </w:rPr>
        <w:fldChar w:fldCharType="end"/>
      </w:r>
      <w:r w:rsidRPr="002E58DC">
        <w:rPr>
          <w:sz w:val="20"/>
        </w:rPr>
        <w:t>. Evaluation l’impact -Impact visuel causé par le changement de paysage</w:t>
      </w:r>
      <w:bookmarkEnd w:id="1035"/>
      <w:bookmarkEnd w:id="1036"/>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009"/>
        <w:gridCol w:w="1063"/>
        <w:gridCol w:w="1032"/>
        <w:gridCol w:w="1298"/>
        <w:gridCol w:w="1254"/>
        <w:gridCol w:w="1064"/>
        <w:gridCol w:w="816"/>
        <w:tblGridChange w:id="1037">
          <w:tblGrid>
            <w:gridCol w:w="1752"/>
            <w:gridCol w:w="1009"/>
            <w:gridCol w:w="1063"/>
            <w:gridCol w:w="1032"/>
            <w:gridCol w:w="1298"/>
            <w:gridCol w:w="1254"/>
            <w:gridCol w:w="1064"/>
            <w:gridCol w:w="816"/>
          </w:tblGrid>
        </w:tblGridChange>
      </w:tblGrid>
      <w:tr w:rsidR="00987831" w:rsidRPr="007F78CE" w14:paraId="04398E37" w14:textId="77777777" w:rsidTr="00345918">
        <w:trPr>
          <w:jc w:val="center"/>
        </w:trPr>
        <w:tc>
          <w:tcPr>
            <w:tcW w:w="1752" w:type="dxa"/>
            <w:shd w:val="clear" w:color="auto" w:fill="BFBFBF"/>
          </w:tcPr>
          <w:p w14:paraId="5F3755C8" w14:textId="77777777" w:rsidR="00987831" w:rsidRPr="007F78CE" w:rsidRDefault="00987831" w:rsidP="00B434A6">
            <w:pPr>
              <w:spacing w:after="0" w:line="240" w:lineRule="auto"/>
              <w:jc w:val="center"/>
              <w:rPr>
                <w:rFonts w:ascii="Arial Narrow" w:hAnsi="Arial Narrow"/>
                <w:b/>
                <w:bCs/>
                <w:sz w:val="20"/>
                <w:szCs w:val="20"/>
              </w:rPr>
            </w:pPr>
            <w:r>
              <w:rPr>
                <w:rFonts w:ascii="Arial Narrow" w:hAnsi="Arial Narrow"/>
                <w:b/>
                <w:bCs/>
                <w:sz w:val="20"/>
                <w:szCs w:val="20"/>
              </w:rPr>
              <w:t>Sous Projet</w:t>
            </w:r>
          </w:p>
        </w:tc>
        <w:tc>
          <w:tcPr>
            <w:tcW w:w="1009" w:type="dxa"/>
            <w:shd w:val="clear" w:color="auto" w:fill="BFBFBF"/>
          </w:tcPr>
          <w:p w14:paraId="68E2CA7F" w14:textId="77777777" w:rsidR="00987831" w:rsidRPr="007F78CE" w:rsidRDefault="00987831"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063" w:type="dxa"/>
            <w:shd w:val="clear" w:color="auto" w:fill="BFBFBF"/>
          </w:tcPr>
          <w:p w14:paraId="5F7F591B" w14:textId="77777777" w:rsidR="00987831" w:rsidRPr="007F78CE" w:rsidRDefault="00987831"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1032" w:type="dxa"/>
            <w:shd w:val="clear" w:color="auto" w:fill="BFBFBF"/>
          </w:tcPr>
          <w:p w14:paraId="338A3B06" w14:textId="77777777" w:rsidR="00987831" w:rsidRPr="007F78CE" w:rsidRDefault="00987831"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298" w:type="dxa"/>
            <w:shd w:val="clear" w:color="auto" w:fill="BFBFBF"/>
          </w:tcPr>
          <w:p w14:paraId="59072354" w14:textId="77777777" w:rsidR="00987831" w:rsidRPr="007F78CE" w:rsidRDefault="00987831"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254" w:type="dxa"/>
            <w:shd w:val="clear" w:color="auto" w:fill="BFBFBF"/>
          </w:tcPr>
          <w:p w14:paraId="01E338AB" w14:textId="77777777" w:rsidR="00987831" w:rsidRPr="007F78CE" w:rsidRDefault="00987831"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BFBFBF"/>
          </w:tcPr>
          <w:p w14:paraId="0501A1DC" w14:textId="77777777" w:rsidR="00987831" w:rsidRPr="007F78CE" w:rsidRDefault="00987831"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816" w:type="dxa"/>
            <w:shd w:val="clear" w:color="auto" w:fill="BFBFBF"/>
          </w:tcPr>
          <w:p w14:paraId="2AAB2F12" w14:textId="77777777" w:rsidR="00987831" w:rsidRPr="007F78CE" w:rsidRDefault="00987831" w:rsidP="007F78CE">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987831" w:rsidRPr="007F78CE" w14:paraId="5AF7ABFC" w14:textId="77777777" w:rsidTr="00345918">
        <w:trPr>
          <w:jc w:val="center"/>
        </w:trPr>
        <w:tc>
          <w:tcPr>
            <w:tcW w:w="1752" w:type="dxa"/>
          </w:tcPr>
          <w:p w14:paraId="2F117F8D" w14:textId="77777777" w:rsidR="00987831" w:rsidRPr="007F78CE" w:rsidRDefault="00987831" w:rsidP="00B434A6">
            <w:pPr>
              <w:spacing w:after="0" w:line="240" w:lineRule="auto"/>
              <w:contextualSpacing/>
              <w:rPr>
                <w:rFonts w:ascii="Arial Narrow" w:hAnsi="Arial Narrow" w:cs="Arial"/>
                <w:sz w:val="20"/>
                <w:szCs w:val="20"/>
              </w:rPr>
            </w:pPr>
            <w:r>
              <w:rPr>
                <w:rFonts w:ascii="Arial Narrow" w:hAnsi="Arial Narrow" w:cs="Arial"/>
                <w:sz w:val="20"/>
                <w:szCs w:val="20"/>
              </w:rPr>
              <w:t>Infrastructures numériques</w:t>
            </w:r>
          </w:p>
        </w:tc>
        <w:tc>
          <w:tcPr>
            <w:tcW w:w="1009" w:type="dxa"/>
            <w:shd w:val="clear" w:color="auto" w:fill="auto"/>
          </w:tcPr>
          <w:p w14:paraId="4D5722D2" w14:textId="77777777" w:rsidR="00987831" w:rsidRPr="007F78CE" w:rsidRDefault="00987831"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22DFA546"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63" w:type="dxa"/>
            <w:shd w:val="clear" w:color="auto" w:fill="auto"/>
          </w:tcPr>
          <w:p w14:paraId="78D43B74"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00F9C6DB"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32" w:type="dxa"/>
            <w:shd w:val="clear" w:color="auto" w:fill="auto"/>
          </w:tcPr>
          <w:p w14:paraId="094E80D3" w14:textId="77777777" w:rsidR="00987831" w:rsidRPr="007F78CE" w:rsidRDefault="00987831"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Longue </w:t>
            </w:r>
          </w:p>
          <w:p w14:paraId="23B0DA26" w14:textId="77777777" w:rsidR="00987831" w:rsidRPr="007F78CE" w:rsidRDefault="00987831" w:rsidP="0095085C">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3</w:t>
            </w:r>
            <w:r w:rsidRPr="007F78CE">
              <w:rPr>
                <w:rFonts w:ascii="Arial Narrow" w:hAnsi="Arial Narrow" w:cs="Arial"/>
                <w:sz w:val="20"/>
                <w:szCs w:val="20"/>
              </w:rPr>
              <w:t>)</w:t>
            </w:r>
          </w:p>
        </w:tc>
        <w:tc>
          <w:tcPr>
            <w:tcW w:w="1298" w:type="dxa"/>
            <w:shd w:val="clear" w:color="auto" w:fill="auto"/>
          </w:tcPr>
          <w:p w14:paraId="52ADAB53"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6B92643B"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54" w:type="dxa"/>
            <w:shd w:val="clear" w:color="auto" w:fill="FFFF00"/>
          </w:tcPr>
          <w:p w14:paraId="6A1C221E" w14:textId="77777777" w:rsidR="00987831" w:rsidRPr="007F78CE" w:rsidRDefault="00987831"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p w14:paraId="5455CE4F"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7</w:t>
            </w:r>
            <w:r w:rsidRPr="007F78CE">
              <w:rPr>
                <w:rFonts w:ascii="Arial Narrow" w:hAnsi="Arial Narrow" w:cs="Arial"/>
                <w:sz w:val="20"/>
                <w:szCs w:val="20"/>
              </w:rPr>
              <w:t>)</w:t>
            </w:r>
          </w:p>
        </w:tc>
        <w:tc>
          <w:tcPr>
            <w:tcW w:w="1064" w:type="dxa"/>
            <w:shd w:val="clear" w:color="auto" w:fill="auto"/>
          </w:tcPr>
          <w:p w14:paraId="7AD89EBD" w14:textId="77777777" w:rsidR="00987831" w:rsidRDefault="00987831"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Moyenne </w:t>
            </w:r>
          </w:p>
        </w:tc>
        <w:tc>
          <w:tcPr>
            <w:tcW w:w="816" w:type="dxa"/>
            <w:shd w:val="clear" w:color="auto" w:fill="FFC000"/>
          </w:tcPr>
          <w:p w14:paraId="634EA408" w14:textId="77777777" w:rsidR="00987831" w:rsidRDefault="00987831"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Elevé </w:t>
            </w:r>
          </w:p>
        </w:tc>
      </w:tr>
      <w:tr w:rsidR="00987831" w:rsidRPr="007F78CE" w14:paraId="0E407AB7" w14:textId="77777777" w:rsidTr="00345918">
        <w:trPr>
          <w:jc w:val="center"/>
        </w:trPr>
        <w:tc>
          <w:tcPr>
            <w:tcW w:w="1752" w:type="dxa"/>
          </w:tcPr>
          <w:p w14:paraId="6A8DBDA8" w14:textId="77777777" w:rsidR="00987831" w:rsidRPr="007F78CE" w:rsidRDefault="00987831" w:rsidP="00B434A6">
            <w:pPr>
              <w:spacing w:after="0" w:line="240" w:lineRule="auto"/>
              <w:contextualSpacing/>
              <w:rPr>
                <w:rFonts w:ascii="Arial Narrow" w:hAnsi="Arial Narrow" w:cs="Arial"/>
                <w:sz w:val="20"/>
                <w:szCs w:val="20"/>
              </w:rPr>
            </w:pPr>
            <w:r>
              <w:rPr>
                <w:rFonts w:ascii="Arial Narrow" w:hAnsi="Arial Narrow" w:cs="Arial"/>
                <w:sz w:val="20"/>
                <w:szCs w:val="20"/>
              </w:rPr>
              <w:t>Centrale électrique solaire</w:t>
            </w:r>
          </w:p>
        </w:tc>
        <w:tc>
          <w:tcPr>
            <w:tcW w:w="1009" w:type="dxa"/>
            <w:shd w:val="clear" w:color="auto" w:fill="auto"/>
          </w:tcPr>
          <w:p w14:paraId="5AB1D170" w14:textId="77777777" w:rsidR="00987831" w:rsidRPr="007F78CE" w:rsidRDefault="00987831" w:rsidP="00611CB5">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72BC95BE"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63" w:type="dxa"/>
            <w:shd w:val="clear" w:color="auto" w:fill="auto"/>
          </w:tcPr>
          <w:p w14:paraId="47C994FB" w14:textId="77777777" w:rsidR="00987831" w:rsidRPr="007F78CE" w:rsidRDefault="00987831"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1B653DDF"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32" w:type="dxa"/>
            <w:shd w:val="clear" w:color="auto" w:fill="auto"/>
          </w:tcPr>
          <w:p w14:paraId="160361F1" w14:textId="77777777" w:rsidR="00987831" w:rsidRPr="007F78CE" w:rsidRDefault="00987831" w:rsidP="00611CB5">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Longue </w:t>
            </w:r>
          </w:p>
          <w:p w14:paraId="1AD10A6F"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3</w:t>
            </w:r>
            <w:r w:rsidRPr="007F78CE">
              <w:rPr>
                <w:rFonts w:ascii="Arial Narrow" w:hAnsi="Arial Narrow" w:cs="Arial"/>
                <w:sz w:val="20"/>
                <w:szCs w:val="20"/>
              </w:rPr>
              <w:t>)</w:t>
            </w:r>
          </w:p>
        </w:tc>
        <w:tc>
          <w:tcPr>
            <w:tcW w:w="1298" w:type="dxa"/>
            <w:shd w:val="clear" w:color="auto" w:fill="auto"/>
          </w:tcPr>
          <w:p w14:paraId="6089FA6C" w14:textId="77777777" w:rsidR="00987831" w:rsidRPr="007F78CE" w:rsidRDefault="00987831"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2858E09F"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54" w:type="dxa"/>
            <w:shd w:val="clear" w:color="auto" w:fill="FFFF00"/>
          </w:tcPr>
          <w:p w14:paraId="74ADF000" w14:textId="77777777" w:rsidR="00987831" w:rsidRPr="007F78CE" w:rsidRDefault="00987831" w:rsidP="00611CB5">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p w14:paraId="4FDD31B3"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7</w:t>
            </w:r>
            <w:r w:rsidRPr="007F78CE">
              <w:rPr>
                <w:rFonts w:ascii="Arial Narrow" w:hAnsi="Arial Narrow" w:cs="Arial"/>
                <w:sz w:val="20"/>
                <w:szCs w:val="20"/>
              </w:rPr>
              <w:t>)</w:t>
            </w:r>
          </w:p>
        </w:tc>
        <w:tc>
          <w:tcPr>
            <w:tcW w:w="1064" w:type="dxa"/>
            <w:shd w:val="clear" w:color="auto" w:fill="auto"/>
          </w:tcPr>
          <w:p w14:paraId="73C88A0C" w14:textId="77777777" w:rsidR="00987831" w:rsidRDefault="00987831" w:rsidP="00611CB5">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816" w:type="dxa"/>
            <w:shd w:val="clear" w:color="auto" w:fill="FFC000"/>
          </w:tcPr>
          <w:p w14:paraId="6F64EF62" w14:textId="77777777" w:rsidR="00987831" w:rsidRDefault="00987831" w:rsidP="00611CB5">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Elevé </w:t>
            </w:r>
          </w:p>
        </w:tc>
      </w:tr>
      <w:tr w:rsidR="00345918" w:rsidRPr="007F78CE" w14:paraId="318144B8" w14:textId="77777777" w:rsidTr="00FB04F6">
        <w:trPr>
          <w:jc w:val="center"/>
        </w:trPr>
        <w:tc>
          <w:tcPr>
            <w:tcW w:w="1752" w:type="dxa"/>
          </w:tcPr>
          <w:p w14:paraId="5AB0788C" w14:textId="77777777" w:rsidR="00987831" w:rsidRPr="007F78CE" w:rsidRDefault="00987831" w:rsidP="00B434A6">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09" w:type="dxa"/>
            <w:shd w:val="clear" w:color="auto" w:fill="auto"/>
          </w:tcPr>
          <w:p w14:paraId="3F0D8A4C" w14:textId="77777777" w:rsidR="00987831" w:rsidRPr="007F78CE" w:rsidRDefault="00987831" w:rsidP="00611CB5">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057F4D9F"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63" w:type="dxa"/>
            <w:shd w:val="clear" w:color="auto" w:fill="auto"/>
          </w:tcPr>
          <w:p w14:paraId="7FD16F3A" w14:textId="77777777" w:rsidR="00987831" w:rsidRPr="007F78CE" w:rsidRDefault="00987831"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20A4F331"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32" w:type="dxa"/>
            <w:shd w:val="clear" w:color="auto" w:fill="auto"/>
          </w:tcPr>
          <w:p w14:paraId="731260A9" w14:textId="77777777" w:rsidR="00987831" w:rsidRPr="007F78CE" w:rsidRDefault="00987831" w:rsidP="00611CB5">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Longue </w:t>
            </w:r>
          </w:p>
          <w:p w14:paraId="231326A3"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3</w:t>
            </w:r>
            <w:r w:rsidRPr="007F78CE">
              <w:rPr>
                <w:rFonts w:ascii="Arial Narrow" w:hAnsi="Arial Narrow" w:cs="Arial"/>
                <w:sz w:val="20"/>
                <w:szCs w:val="20"/>
              </w:rPr>
              <w:t>)</w:t>
            </w:r>
          </w:p>
        </w:tc>
        <w:tc>
          <w:tcPr>
            <w:tcW w:w="1298" w:type="dxa"/>
            <w:shd w:val="clear" w:color="auto" w:fill="auto"/>
          </w:tcPr>
          <w:p w14:paraId="30BDFCC7" w14:textId="77777777" w:rsidR="00987831" w:rsidRPr="007F78CE" w:rsidRDefault="00987831"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039735AA"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54" w:type="dxa"/>
            <w:shd w:val="clear" w:color="auto" w:fill="FFFF00"/>
          </w:tcPr>
          <w:p w14:paraId="5AF2664A" w14:textId="77777777" w:rsidR="00987831" w:rsidRPr="007F78CE" w:rsidRDefault="00987831" w:rsidP="00611CB5">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p w14:paraId="204B132E"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7</w:t>
            </w:r>
            <w:r w:rsidRPr="007F78CE">
              <w:rPr>
                <w:rFonts w:ascii="Arial Narrow" w:hAnsi="Arial Narrow" w:cs="Arial"/>
                <w:sz w:val="20"/>
                <w:szCs w:val="20"/>
              </w:rPr>
              <w:t>)</w:t>
            </w:r>
          </w:p>
        </w:tc>
        <w:tc>
          <w:tcPr>
            <w:tcW w:w="1064" w:type="dxa"/>
            <w:shd w:val="clear" w:color="auto" w:fill="auto"/>
          </w:tcPr>
          <w:p w14:paraId="7B2B8D92" w14:textId="77777777" w:rsidR="00987831" w:rsidRDefault="00987831" w:rsidP="00611CB5">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816" w:type="dxa"/>
            <w:shd w:val="clear" w:color="auto" w:fill="BFBFBF"/>
          </w:tcPr>
          <w:p w14:paraId="50E30D47" w14:textId="77777777" w:rsidR="00987831" w:rsidRDefault="00987831" w:rsidP="00611CB5">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r w:rsidR="00345918" w:rsidRPr="007F78CE" w14:paraId="76F38E86" w14:textId="77777777" w:rsidTr="00FB04F6">
        <w:trPr>
          <w:jc w:val="center"/>
        </w:trPr>
        <w:tc>
          <w:tcPr>
            <w:tcW w:w="1752" w:type="dxa"/>
          </w:tcPr>
          <w:p w14:paraId="47361E36" w14:textId="77777777" w:rsidR="00987831" w:rsidRPr="007F78CE" w:rsidRDefault="00987831" w:rsidP="00B434A6">
            <w:pPr>
              <w:spacing w:after="0" w:line="240" w:lineRule="auto"/>
              <w:contextualSpacing/>
              <w:rPr>
                <w:rFonts w:ascii="Arial Narrow" w:hAnsi="Arial Narrow" w:cs="Arial"/>
                <w:sz w:val="20"/>
                <w:szCs w:val="20"/>
              </w:rPr>
            </w:pPr>
            <w:r>
              <w:rPr>
                <w:rFonts w:ascii="Arial Narrow" w:hAnsi="Arial Narrow" w:cs="Arial"/>
                <w:sz w:val="20"/>
                <w:szCs w:val="20"/>
              </w:rPr>
              <w:t>Réseau électrique</w:t>
            </w:r>
          </w:p>
        </w:tc>
        <w:tc>
          <w:tcPr>
            <w:tcW w:w="1009" w:type="dxa"/>
            <w:shd w:val="clear" w:color="auto" w:fill="auto"/>
          </w:tcPr>
          <w:p w14:paraId="0231CF85" w14:textId="77777777" w:rsidR="00987831" w:rsidRPr="007F78CE" w:rsidRDefault="00987831" w:rsidP="00611CB5">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4BF2C2E2"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63" w:type="dxa"/>
            <w:shd w:val="clear" w:color="auto" w:fill="auto"/>
          </w:tcPr>
          <w:p w14:paraId="3B2B4054" w14:textId="77777777" w:rsidR="00987831" w:rsidRPr="007F78CE" w:rsidRDefault="00987831"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054FBA66"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32" w:type="dxa"/>
            <w:shd w:val="clear" w:color="auto" w:fill="auto"/>
          </w:tcPr>
          <w:p w14:paraId="5EAE9366" w14:textId="77777777" w:rsidR="00987831" w:rsidRPr="007F78CE" w:rsidRDefault="00987831" w:rsidP="00611CB5">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Longue </w:t>
            </w:r>
          </w:p>
          <w:p w14:paraId="6A59A0AB"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3</w:t>
            </w:r>
            <w:r w:rsidRPr="007F78CE">
              <w:rPr>
                <w:rFonts w:ascii="Arial Narrow" w:hAnsi="Arial Narrow" w:cs="Arial"/>
                <w:sz w:val="20"/>
                <w:szCs w:val="20"/>
              </w:rPr>
              <w:t>)</w:t>
            </w:r>
          </w:p>
        </w:tc>
        <w:tc>
          <w:tcPr>
            <w:tcW w:w="1298" w:type="dxa"/>
            <w:shd w:val="clear" w:color="auto" w:fill="auto"/>
          </w:tcPr>
          <w:p w14:paraId="0B75C08D" w14:textId="77777777" w:rsidR="00987831" w:rsidRPr="007F78CE" w:rsidRDefault="00987831"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3F68A170"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54" w:type="dxa"/>
            <w:shd w:val="clear" w:color="auto" w:fill="FFFF00"/>
          </w:tcPr>
          <w:p w14:paraId="2C0612B7" w14:textId="77777777" w:rsidR="00987831" w:rsidRPr="007F78CE" w:rsidRDefault="00987831" w:rsidP="00611CB5">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p w14:paraId="0008C5D5"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7</w:t>
            </w:r>
            <w:r w:rsidRPr="007F78CE">
              <w:rPr>
                <w:rFonts w:ascii="Arial Narrow" w:hAnsi="Arial Narrow" w:cs="Arial"/>
                <w:sz w:val="20"/>
                <w:szCs w:val="20"/>
              </w:rPr>
              <w:t>)</w:t>
            </w:r>
          </w:p>
        </w:tc>
        <w:tc>
          <w:tcPr>
            <w:tcW w:w="1064" w:type="dxa"/>
            <w:shd w:val="clear" w:color="auto" w:fill="auto"/>
          </w:tcPr>
          <w:p w14:paraId="6B9A3D90" w14:textId="77777777" w:rsidR="00987831" w:rsidRDefault="00987831" w:rsidP="00611CB5">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816" w:type="dxa"/>
            <w:shd w:val="clear" w:color="auto" w:fill="BFBFBF"/>
          </w:tcPr>
          <w:p w14:paraId="1738BE91" w14:textId="77777777" w:rsidR="00987831" w:rsidRDefault="00987831" w:rsidP="00611CB5">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r w:rsidR="00702DFF" w:rsidRPr="007F78CE" w14:paraId="238EEA0D" w14:textId="77777777" w:rsidTr="00FB04F6">
        <w:trPr>
          <w:jc w:val="center"/>
        </w:trPr>
        <w:tc>
          <w:tcPr>
            <w:tcW w:w="1752" w:type="dxa"/>
          </w:tcPr>
          <w:p w14:paraId="78AFA050" w14:textId="77777777" w:rsidR="00702DFF" w:rsidRDefault="00702DFF" w:rsidP="00B434A6">
            <w:pPr>
              <w:spacing w:after="0" w:line="240" w:lineRule="auto"/>
              <w:contextualSpacing/>
              <w:rPr>
                <w:rFonts w:ascii="Arial Narrow" w:hAnsi="Arial Narrow" w:cs="Arial"/>
                <w:sz w:val="20"/>
                <w:szCs w:val="20"/>
              </w:rPr>
            </w:pPr>
            <w:r>
              <w:rPr>
                <w:rFonts w:ascii="Arial Narrow" w:hAnsi="Arial Narrow" w:cs="Arial"/>
                <w:sz w:val="20"/>
                <w:szCs w:val="20"/>
              </w:rPr>
              <w:t>Impact cumulé</w:t>
            </w:r>
          </w:p>
        </w:tc>
        <w:tc>
          <w:tcPr>
            <w:tcW w:w="1009" w:type="dxa"/>
            <w:shd w:val="clear" w:color="auto" w:fill="auto"/>
          </w:tcPr>
          <w:p w14:paraId="04A6242A" w14:textId="77777777" w:rsidR="00702DFF" w:rsidRPr="007F78CE" w:rsidRDefault="00702DFF" w:rsidP="00D70FB3">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74C5FF8D" w14:textId="77777777" w:rsidR="00702DFF" w:rsidRPr="007F78CE" w:rsidRDefault="00702DFF"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63" w:type="dxa"/>
            <w:shd w:val="clear" w:color="auto" w:fill="auto"/>
          </w:tcPr>
          <w:p w14:paraId="6AE9A913" w14:textId="77777777" w:rsidR="00702DFF" w:rsidRPr="007F78CE" w:rsidRDefault="00702DFF"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21082AA0" w14:textId="77777777" w:rsidR="00702DFF" w:rsidRPr="007F78CE" w:rsidRDefault="00702DFF"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32" w:type="dxa"/>
            <w:shd w:val="clear" w:color="auto" w:fill="auto"/>
          </w:tcPr>
          <w:p w14:paraId="5158052E" w14:textId="77777777" w:rsidR="00702DFF" w:rsidRPr="007F78CE" w:rsidRDefault="00702DFF" w:rsidP="00D70FB3">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Longue </w:t>
            </w:r>
          </w:p>
          <w:p w14:paraId="38CB935F" w14:textId="77777777" w:rsidR="00702DFF" w:rsidRDefault="00702DFF"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3</w:t>
            </w:r>
            <w:r w:rsidRPr="007F78CE">
              <w:rPr>
                <w:rFonts w:ascii="Arial Narrow" w:hAnsi="Arial Narrow" w:cs="Arial"/>
                <w:sz w:val="20"/>
                <w:szCs w:val="20"/>
              </w:rPr>
              <w:t>)</w:t>
            </w:r>
          </w:p>
        </w:tc>
        <w:tc>
          <w:tcPr>
            <w:tcW w:w="1298" w:type="dxa"/>
            <w:shd w:val="clear" w:color="auto" w:fill="auto"/>
          </w:tcPr>
          <w:p w14:paraId="74E17F4C" w14:textId="77777777" w:rsidR="00702DFF" w:rsidRPr="007F78CE" w:rsidRDefault="00702DFF"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09DD7402" w14:textId="77777777" w:rsidR="00702DFF" w:rsidRPr="007F78CE" w:rsidRDefault="00702DFF"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54" w:type="dxa"/>
            <w:shd w:val="clear" w:color="auto" w:fill="FFFF00"/>
          </w:tcPr>
          <w:p w14:paraId="0FB82BB3" w14:textId="77777777" w:rsidR="00702DFF" w:rsidRPr="007F78CE" w:rsidRDefault="00702DFF" w:rsidP="00D70FB3">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p w14:paraId="277123A2" w14:textId="77777777" w:rsidR="00702DFF" w:rsidRDefault="00702DFF" w:rsidP="00611CB5">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7</w:t>
            </w:r>
            <w:r w:rsidRPr="007F78CE">
              <w:rPr>
                <w:rFonts w:ascii="Arial Narrow" w:hAnsi="Arial Narrow" w:cs="Arial"/>
                <w:sz w:val="20"/>
                <w:szCs w:val="20"/>
              </w:rPr>
              <w:t>)</w:t>
            </w:r>
          </w:p>
        </w:tc>
        <w:tc>
          <w:tcPr>
            <w:tcW w:w="1064" w:type="dxa"/>
            <w:shd w:val="clear" w:color="auto" w:fill="auto"/>
          </w:tcPr>
          <w:p w14:paraId="3A70BAC5" w14:textId="77777777" w:rsidR="00702DFF" w:rsidRDefault="00702DFF" w:rsidP="00611CB5">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Moyenne </w:t>
            </w:r>
          </w:p>
        </w:tc>
        <w:tc>
          <w:tcPr>
            <w:tcW w:w="816" w:type="dxa"/>
            <w:shd w:val="clear" w:color="auto" w:fill="BFBFBF"/>
          </w:tcPr>
          <w:p w14:paraId="11B9E4E5" w14:textId="77777777" w:rsidR="00702DFF" w:rsidRDefault="00702DFF" w:rsidP="00611CB5">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Elevé </w:t>
            </w:r>
          </w:p>
        </w:tc>
      </w:tr>
    </w:tbl>
    <w:p w14:paraId="3CB5CBCA" w14:textId="77777777" w:rsidR="0090044A" w:rsidRPr="00FE7376" w:rsidRDefault="0090044A" w:rsidP="00F01166">
      <w:pPr>
        <w:spacing w:after="0"/>
        <w:rPr>
          <w:rFonts w:cs="Arial"/>
          <w:highlight w:val="yellow"/>
        </w:rPr>
      </w:pPr>
    </w:p>
    <w:p w14:paraId="2557E0C5" w14:textId="77777777" w:rsidR="0090044A" w:rsidRPr="004D050C" w:rsidRDefault="0090044A" w:rsidP="00687DD2">
      <w:pPr>
        <w:pStyle w:val="Normal12"/>
        <w:numPr>
          <w:ilvl w:val="0"/>
          <w:numId w:val="85"/>
        </w:numPr>
        <w:ind w:left="1077" w:hanging="357"/>
        <w:contextualSpacing/>
        <w:rPr>
          <w:i/>
          <w:iCs/>
          <w:lang w:val="fr-FR"/>
        </w:rPr>
      </w:pPr>
      <w:r w:rsidRPr="004D050C">
        <w:rPr>
          <w:i/>
          <w:iCs/>
          <w:lang w:val="fr-FR"/>
        </w:rPr>
        <w:t xml:space="preserve">Risques de conflits sociaux </w:t>
      </w:r>
      <w:r>
        <w:rPr>
          <w:i/>
          <w:iCs/>
          <w:lang w:val="fr-FR"/>
        </w:rPr>
        <w:t>liés à</w:t>
      </w:r>
      <w:r w:rsidRPr="004D050C">
        <w:rPr>
          <w:i/>
          <w:iCs/>
          <w:lang w:val="fr-FR"/>
        </w:rPr>
        <w:t xml:space="preserve"> l’utilisation de l’eau</w:t>
      </w:r>
    </w:p>
    <w:p w14:paraId="3756BDFC" w14:textId="77777777" w:rsidR="0090044A" w:rsidRPr="00C41583" w:rsidRDefault="0090044A" w:rsidP="00C41583">
      <w:pPr>
        <w:spacing w:line="240" w:lineRule="auto"/>
        <w:jc w:val="both"/>
        <w:rPr>
          <w:rFonts w:ascii="Arial" w:hAnsi="Arial" w:cs="Arial"/>
        </w:rPr>
      </w:pPr>
      <w:r w:rsidRPr="00C41583">
        <w:rPr>
          <w:rFonts w:ascii="Arial" w:hAnsi="Arial" w:cs="Arial"/>
        </w:rPr>
        <w:t xml:space="preserve">La centrale </w:t>
      </w:r>
      <w:r w:rsidR="00D350BF">
        <w:rPr>
          <w:rFonts w:ascii="Arial" w:hAnsi="Arial" w:cs="Arial"/>
        </w:rPr>
        <w:t xml:space="preserve">solaire </w:t>
      </w:r>
      <w:r w:rsidRPr="00C41583">
        <w:rPr>
          <w:rFonts w:ascii="Arial" w:hAnsi="Arial" w:cs="Arial"/>
        </w:rPr>
        <w:t>photovoltaïque est une unité consommatrice d’eau pour le nettoyage des panneaux solaires. D’autre part la microcentrale hydroélectrique utilise le cours d’eau existant. Ce qui pourra</w:t>
      </w:r>
      <w:r w:rsidR="00D350BF">
        <w:rPr>
          <w:rFonts w:ascii="Arial" w:hAnsi="Arial" w:cs="Arial"/>
        </w:rPr>
        <w:t>î</w:t>
      </w:r>
      <w:r w:rsidRPr="00C41583">
        <w:rPr>
          <w:rFonts w:ascii="Arial" w:hAnsi="Arial" w:cs="Arial"/>
        </w:rPr>
        <w:t>t entraîner des conflits par rapport à l’utilisation des ressources en eau dans la zone. L’importance de l’impact peut être « Moyenne »</w:t>
      </w:r>
      <w:r w:rsidR="00987831">
        <w:rPr>
          <w:rFonts w:ascii="Arial" w:hAnsi="Arial" w:cs="Arial"/>
        </w:rPr>
        <w:t xml:space="preserve"> et le niveau de risque est considéré comme faible </w:t>
      </w:r>
      <w:r w:rsidR="00D350BF">
        <w:rPr>
          <w:rFonts w:ascii="Arial" w:hAnsi="Arial" w:cs="Arial"/>
        </w:rPr>
        <w:t xml:space="preserve"> selon le tableau suivant</w:t>
      </w:r>
      <w:r w:rsidRPr="00C41583">
        <w:rPr>
          <w:rFonts w:ascii="Arial" w:hAnsi="Arial" w:cs="Arial"/>
        </w:rPr>
        <w:t>.</w:t>
      </w:r>
    </w:p>
    <w:p w14:paraId="15C32CEA" w14:textId="77777777" w:rsidR="0090044A" w:rsidRPr="002E58DC" w:rsidRDefault="0090044A" w:rsidP="002E58DC">
      <w:pPr>
        <w:pStyle w:val="Lgende"/>
        <w:spacing w:before="120"/>
        <w:jc w:val="center"/>
        <w:rPr>
          <w:sz w:val="20"/>
        </w:rPr>
      </w:pPr>
      <w:bookmarkStart w:id="1038" w:name="_Toc100753948"/>
      <w:bookmarkStart w:id="1039" w:name="_Toc127957857"/>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61</w:t>
      </w:r>
      <w:r w:rsidRPr="002E58DC">
        <w:rPr>
          <w:sz w:val="20"/>
        </w:rPr>
        <w:fldChar w:fldCharType="end"/>
      </w:r>
      <w:r w:rsidRPr="002E58DC">
        <w:rPr>
          <w:sz w:val="20"/>
        </w:rPr>
        <w:t>. Evaluation l’impact –Risque de conflits sociaux à cause de l’utilisation de l’eau</w:t>
      </w:r>
      <w:bookmarkEnd w:id="1038"/>
      <w:bookmarkEnd w:id="1039"/>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1088"/>
        <w:gridCol w:w="1060"/>
        <w:gridCol w:w="1044"/>
        <w:gridCol w:w="1367"/>
        <w:gridCol w:w="1323"/>
        <w:gridCol w:w="1064"/>
        <w:gridCol w:w="946"/>
        <w:tblGridChange w:id="1040">
          <w:tblGrid>
            <w:gridCol w:w="1396"/>
            <w:gridCol w:w="1088"/>
            <w:gridCol w:w="1060"/>
            <w:gridCol w:w="1044"/>
            <w:gridCol w:w="1367"/>
            <w:gridCol w:w="1323"/>
            <w:gridCol w:w="1064"/>
            <w:gridCol w:w="946"/>
          </w:tblGrid>
        </w:tblGridChange>
      </w:tblGrid>
      <w:tr w:rsidR="00987831" w:rsidRPr="007F78CE" w14:paraId="7A3EB979" w14:textId="77777777" w:rsidTr="00345918">
        <w:trPr>
          <w:jc w:val="center"/>
        </w:trPr>
        <w:tc>
          <w:tcPr>
            <w:tcW w:w="1427" w:type="dxa"/>
            <w:shd w:val="clear" w:color="auto" w:fill="BFBFBF"/>
          </w:tcPr>
          <w:p w14:paraId="7B9EC19B" w14:textId="77777777" w:rsidR="00987831" w:rsidRPr="007F78CE" w:rsidRDefault="00987831" w:rsidP="007F78CE">
            <w:pPr>
              <w:spacing w:after="0" w:line="240" w:lineRule="auto"/>
              <w:rPr>
                <w:rFonts w:ascii="Arial Narrow" w:hAnsi="Arial Narrow"/>
                <w:b/>
                <w:bCs/>
                <w:sz w:val="20"/>
                <w:szCs w:val="20"/>
              </w:rPr>
            </w:pPr>
            <w:r>
              <w:rPr>
                <w:rFonts w:ascii="Arial Narrow" w:hAnsi="Arial Narrow"/>
                <w:b/>
                <w:bCs/>
                <w:sz w:val="20"/>
                <w:szCs w:val="20"/>
              </w:rPr>
              <w:t xml:space="preserve">Sous projet </w:t>
            </w:r>
          </w:p>
        </w:tc>
        <w:tc>
          <w:tcPr>
            <w:tcW w:w="1101" w:type="dxa"/>
            <w:shd w:val="clear" w:color="auto" w:fill="BFBFBF"/>
          </w:tcPr>
          <w:p w14:paraId="147644C8" w14:textId="77777777" w:rsidR="00987831" w:rsidRPr="007F78CE" w:rsidRDefault="00987831"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073" w:type="dxa"/>
            <w:shd w:val="clear" w:color="auto" w:fill="BFBFBF"/>
          </w:tcPr>
          <w:p w14:paraId="18396EAC" w14:textId="77777777" w:rsidR="00987831" w:rsidRPr="007F78CE" w:rsidRDefault="00987831"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1054" w:type="dxa"/>
            <w:shd w:val="clear" w:color="auto" w:fill="BFBFBF"/>
          </w:tcPr>
          <w:p w14:paraId="6E5770EF" w14:textId="77777777" w:rsidR="00987831" w:rsidRPr="007F78CE" w:rsidRDefault="00987831"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379" w:type="dxa"/>
            <w:shd w:val="clear" w:color="auto" w:fill="BFBFBF"/>
          </w:tcPr>
          <w:p w14:paraId="2B94605C" w14:textId="77777777" w:rsidR="00987831" w:rsidRPr="007F78CE" w:rsidRDefault="00987831"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338" w:type="dxa"/>
            <w:shd w:val="clear" w:color="auto" w:fill="BFBFBF"/>
          </w:tcPr>
          <w:p w14:paraId="764173AC" w14:textId="77777777" w:rsidR="00987831" w:rsidRPr="007F78CE" w:rsidRDefault="00987831"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958" w:type="dxa"/>
            <w:shd w:val="clear" w:color="auto" w:fill="BFBFBF"/>
          </w:tcPr>
          <w:p w14:paraId="47FF8DE9" w14:textId="77777777" w:rsidR="00987831" w:rsidRPr="007F78CE" w:rsidRDefault="00987831"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958" w:type="dxa"/>
            <w:shd w:val="clear" w:color="auto" w:fill="BFBFBF"/>
          </w:tcPr>
          <w:p w14:paraId="31F40A5F" w14:textId="77777777" w:rsidR="00987831" w:rsidRPr="007F78CE" w:rsidRDefault="00987831" w:rsidP="007F78CE">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345918" w:rsidRPr="007F78CE" w14:paraId="093374A3" w14:textId="77777777" w:rsidTr="00FB04F6">
        <w:trPr>
          <w:jc w:val="center"/>
        </w:trPr>
        <w:tc>
          <w:tcPr>
            <w:tcW w:w="1427" w:type="dxa"/>
          </w:tcPr>
          <w:p w14:paraId="535E446D" w14:textId="77777777" w:rsidR="00987831" w:rsidRPr="007F78CE" w:rsidRDefault="00987831" w:rsidP="00345918">
            <w:pPr>
              <w:spacing w:after="0" w:line="240" w:lineRule="auto"/>
              <w:contextualSpacing/>
              <w:rPr>
                <w:rFonts w:ascii="Arial Narrow" w:hAnsi="Arial Narrow" w:cs="Arial"/>
                <w:sz w:val="20"/>
                <w:szCs w:val="20"/>
              </w:rPr>
            </w:pPr>
            <w:r>
              <w:rPr>
                <w:rFonts w:ascii="Arial Narrow" w:hAnsi="Arial Narrow" w:cs="Arial"/>
                <w:sz w:val="20"/>
                <w:szCs w:val="20"/>
              </w:rPr>
              <w:t>Centrale électrique solaire</w:t>
            </w:r>
          </w:p>
        </w:tc>
        <w:tc>
          <w:tcPr>
            <w:tcW w:w="1101" w:type="dxa"/>
            <w:shd w:val="clear" w:color="auto" w:fill="auto"/>
          </w:tcPr>
          <w:p w14:paraId="6273F1F9" w14:textId="77777777" w:rsidR="00987831" w:rsidRPr="007F78CE" w:rsidRDefault="00987831"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Moyenne</w:t>
            </w:r>
          </w:p>
          <w:p w14:paraId="1516B846"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073" w:type="dxa"/>
            <w:shd w:val="clear" w:color="auto" w:fill="auto"/>
          </w:tcPr>
          <w:p w14:paraId="23A80E9A"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0144F421"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054" w:type="dxa"/>
            <w:shd w:val="clear" w:color="auto" w:fill="auto"/>
          </w:tcPr>
          <w:p w14:paraId="4D5642B8"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014A778C"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379" w:type="dxa"/>
            <w:shd w:val="clear" w:color="auto" w:fill="auto"/>
          </w:tcPr>
          <w:p w14:paraId="20D8E79D"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3C3A3CE4"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338" w:type="dxa"/>
            <w:shd w:val="clear" w:color="auto" w:fill="FFFF00"/>
          </w:tcPr>
          <w:p w14:paraId="213EC76A"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007501BB"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(8)</w:t>
            </w:r>
          </w:p>
        </w:tc>
        <w:tc>
          <w:tcPr>
            <w:tcW w:w="958" w:type="dxa"/>
            <w:shd w:val="clear" w:color="auto" w:fill="auto"/>
          </w:tcPr>
          <w:p w14:paraId="23D01CB5" w14:textId="77777777" w:rsidR="00987831" w:rsidRPr="007F78CE" w:rsidRDefault="00987831"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958" w:type="dxa"/>
            <w:shd w:val="clear" w:color="auto" w:fill="BFBFBF"/>
          </w:tcPr>
          <w:p w14:paraId="01EA00F5" w14:textId="77777777" w:rsidR="00987831" w:rsidRPr="007F78CE" w:rsidRDefault="00987831"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bl>
    <w:p w14:paraId="160E40D6" w14:textId="77777777" w:rsidR="0090044A" w:rsidRDefault="0090044A" w:rsidP="0090044A">
      <w:pPr>
        <w:rPr>
          <w:rFonts w:cs="Arial"/>
          <w:highlight w:val="yellow"/>
        </w:rPr>
      </w:pPr>
    </w:p>
    <w:p w14:paraId="3BDA19A1" w14:textId="77777777" w:rsidR="0090044A" w:rsidRPr="003F0EB2" w:rsidRDefault="0090044A" w:rsidP="00687DD2">
      <w:pPr>
        <w:pStyle w:val="Normal12"/>
        <w:numPr>
          <w:ilvl w:val="0"/>
          <w:numId w:val="85"/>
        </w:numPr>
        <w:ind w:left="1077" w:hanging="357"/>
        <w:contextualSpacing/>
        <w:rPr>
          <w:i/>
          <w:iCs/>
          <w:lang w:val="fr-FR"/>
        </w:rPr>
      </w:pPr>
      <w:r w:rsidRPr="003F0EB2">
        <w:rPr>
          <w:i/>
          <w:iCs/>
          <w:lang w:val="fr-FR"/>
        </w:rPr>
        <w:t>Risque de bouleversement des mœurs</w:t>
      </w:r>
    </w:p>
    <w:p w14:paraId="3915F7CD" w14:textId="77777777" w:rsidR="0090044A" w:rsidRPr="00C41583" w:rsidRDefault="0090044A" w:rsidP="00C41583">
      <w:pPr>
        <w:spacing w:line="240" w:lineRule="auto"/>
        <w:jc w:val="both"/>
        <w:rPr>
          <w:rFonts w:ascii="Arial" w:hAnsi="Arial" w:cs="Arial"/>
        </w:rPr>
      </w:pPr>
      <w:r w:rsidRPr="00C41583">
        <w:rPr>
          <w:rFonts w:ascii="Arial" w:hAnsi="Arial" w:cs="Arial"/>
        </w:rPr>
        <w:t>Etant donné que la communication est un outil d’éducation et donc pouvant changer certaines conceptions dans la vie sociale, la mise à disposition de moyens de communications, notamment l’internet associé aux manques d’éducation peut engendrer le bouleversement des mœurs dans la société. L’importance de cet impact peut être considéré</w:t>
      </w:r>
      <w:r w:rsidR="00A53DB9">
        <w:rPr>
          <w:rFonts w:ascii="Arial" w:hAnsi="Arial" w:cs="Arial"/>
        </w:rPr>
        <w:t>e</w:t>
      </w:r>
      <w:r w:rsidRPr="00C41583">
        <w:rPr>
          <w:rFonts w:ascii="Arial" w:hAnsi="Arial" w:cs="Arial"/>
        </w:rPr>
        <w:t xml:space="preserve"> comme « majeur</w:t>
      </w:r>
      <w:r w:rsidR="00A53DB9">
        <w:rPr>
          <w:rFonts w:ascii="Arial" w:hAnsi="Arial" w:cs="Arial"/>
        </w:rPr>
        <w:t>e</w:t>
      </w:r>
      <w:r w:rsidRPr="00C41583">
        <w:rPr>
          <w:rFonts w:ascii="Arial" w:hAnsi="Arial" w:cs="Arial"/>
        </w:rPr>
        <w:t> »</w:t>
      </w:r>
      <w:r w:rsidR="00987831">
        <w:rPr>
          <w:rFonts w:ascii="Arial" w:hAnsi="Arial" w:cs="Arial"/>
        </w:rPr>
        <w:t xml:space="preserve"> et le niveau de risque est élevé</w:t>
      </w:r>
      <w:r w:rsidR="00D350BF">
        <w:rPr>
          <w:rFonts w:ascii="Arial" w:hAnsi="Arial" w:cs="Arial"/>
        </w:rPr>
        <w:t xml:space="preserve"> selon le tableau suivant</w:t>
      </w:r>
      <w:r w:rsidRPr="00C41583">
        <w:rPr>
          <w:rFonts w:ascii="Arial" w:hAnsi="Arial" w:cs="Arial"/>
        </w:rPr>
        <w:t xml:space="preserve"> puisqu’il peut atteindre toute une région et s’instaurer de façon définitive.</w:t>
      </w:r>
    </w:p>
    <w:p w14:paraId="1AD043CC" w14:textId="77777777" w:rsidR="0090044A" w:rsidRPr="002E58DC" w:rsidRDefault="0090044A" w:rsidP="002E58DC">
      <w:pPr>
        <w:pStyle w:val="Lgende"/>
        <w:spacing w:before="120"/>
        <w:jc w:val="center"/>
        <w:rPr>
          <w:sz w:val="20"/>
        </w:rPr>
      </w:pPr>
      <w:bookmarkStart w:id="1041" w:name="_Toc127957858"/>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62</w:t>
      </w:r>
      <w:r w:rsidRPr="002E58DC">
        <w:rPr>
          <w:sz w:val="20"/>
        </w:rPr>
        <w:fldChar w:fldCharType="end"/>
      </w:r>
      <w:r w:rsidRPr="002E58DC">
        <w:rPr>
          <w:sz w:val="20"/>
        </w:rPr>
        <w:t>. Evaluation l’impact –Risque de bouleversement des mœurs</w:t>
      </w:r>
      <w:bookmarkEnd w:id="1041"/>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077"/>
        <w:gridCol w:w="1095"/>
        <w:gridCol w:w="973"/>
        <w:gridCol w:w="1358"/>
        <w:gridCol w:w="1202"/>
        <w:gridCol w:w="1064"/>
        <w:gridCol w:w="842"/>
      </w:tblGrid>
      <w:tr w:rsidR="00987831" w:rsidRPr="007F78CE" w14:paraId="4821245C" w14:textId="77777777" w:rsidTr="00345918">
        <w:trPr>
          <w:jc w:val="center"/>
        </w:trPr>
        <w:tc>
          <w:tcPr>
            <w:tcW w:w="1743" w:type="dxa"/>
            <w:shd w:val="clear" w:color="auto" w:fill="BFBFBF"/>
          </w:tcPr>
          <w:p w14:paraId="42C5B829" w14:textId="77777777" w:rsidR="00987831" w:rsidRPr="007F78CE" w:rsidRDefault="00987831" w:rsidP="007F78CE">
            <w:pPr>
              <w:spacing w:after="0" w:line="240" w:lineRule="auto"/>
              <w:rPr>
                <w:rFonts w:ascii="Arial Narrow" w:hAnsi="Arial Narrow"/>
                <w:b/>
                <w:bCs/>
                <w:sz w:val="20"/>
                <w:szCs w:val="20"/>
              </w:rPr>
            </w:pPr>
            <w:r>
              <w:rPr>
                <w:rFonts w:ascii="Arial Narrow" w:hAnsi="Arial Narrow"/>
                <w:b/>
                <w:bCs/>
                <w:sz w:val="20"/>
                <w:szCs w:val="20"/>
              </w:rPr>
              <w:t>Sous projet</w:t>
            </w:r>
          </w:p>
        </w:tc>
        <w:tc>
          <w:tcPr>
            <w:tcW w:w="1107" w:type="dxa"/>
            <w:shd w:val="clear" w:color="auto" w:fill="BFBFBF"/>
          </w:tcPr>
          <w:p w14:paraId="3636C893" w14:textId="77777777" w:rsidR="00987831" w:rsidRPr="007F78CE" w:rsidRDefault="00987831"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118" w:type="dxa"/>
            <w:shd w:val="clear" w:color="auto" w:fill="BFBFBF"/>
          </w:tcPr>
          <w:p w14:paraId="6EB97469" w14:textId="77777777" w:rsidR="00987831" w:rsidRPr="007F78CE" w:rsidRDefault="00987831"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1007" w:type="dxa"/>
            <w:shd w:val="clear" w:color="auto" w:fill="BFBFBF"/>
          </w:tcPr>
          <w:p w14:paraId="5BB3C526" w14:textId="77777777" w:rsidR="00987831" w:rsidRPr="007F78CE" w:rsidRDefault="00987831"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385" w:type="dxa"/>
            <w:shd w:val="clear" w:color="auto" w:fill="BFBFBF"/>
          </w:tcPr>
          <w:p w14:paraId="1A9F16F4" w14:textId="77777777" w:rsidR="00987831" w:rsidRPr="007F78CE" w:rsidRDefault="00987831"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218" w:type="dxa"/>
            <w:shd w:val="clear" w:color="auto" w:fill="BFBFBF"/>
          </w:tcPr>
          <w:p w14:paraId="64404171" w14:textId="77777777" w:rsidR="00987831" w:rsidRPr="007F78CE" w:rsidRDefault="00987831"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855" w:type="dxa"/>
            <w:shd w:val="clear" w:color="auto" w:fill="BFBFBF"/>
          </w:tcPr>
          <w:p w14:paraId="101B6BBD" w14:textId="77777777" w:rsidR="00987831" w:rsidRPr="007F78CE" w:rsidRDefault="00987831"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855" w:type="dxa"/>
            <w:shd w:val="clear" w:color="auto" w:fill="BFBFBF"/>
          </w:tcPr>
          <w:p w14:paraId="0700E36B" w14:textId="77777777" w:rsidR="00987831" w:rsidRPr="007F78CE" w:rsidRDefault="00987831" w:rsidP="007F78CE">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987831" w:rsidRPr="007F78CE" w14:paraId="71FDAABA" w14:textId="77777777" w:rsidTr="00345918">
        <w:trPr>
          <w:jc w:val="center"/>
        </w:trPr>
        <w:tc>
          <w:tcPr>
            <w:tcW w:w="1743" w:type="dxa"/>
          </w:tcPr>
          <w:p w14:paraId="3A7CC8DF" w14:textId="77777777" w:rsidR="00987831" w:rsidRPr="007F78CE" w:rsidRDefault="00987831"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Infrastructure</w:t>
            </w:r>
            <w:r w:rsidR="00A73AF6">
              <w:rPr>
                <w:rFonts w:ascii="Arial Narrow" w:hAnsi="Arial Narrow" w:cs="Arial"/>
                <w:sz w:val="20"/>
                <w:szCs w:val="20"/>
              </w:rPr>
              <w:t>s</w:t>
            </w:r>
            <w:r>
              <w:rPr>
                <w:rFonts w:ascii="Arial Narrow" w:hAnsi="Arial Narrow" w:cs="Arial"/>
                <w:sz w:val="20"/>
                <w:szCs w:val="20"/>
              </w:rPr>
              <w:t xml:space="preserve"> numérique</w:t>
            </w:r>
            <w:r w:rsidR="00A73AF6">
              <w:rPr>
                <w:rFonts w:ascii="Arial Narrow" w:hAnsi="Arial Narrow" w:cs="Arial"/>
                <w:sz w:val="20"/>
                <w:szCs w:val="20"/>
              </w:rPr>
              <w:t>s</w:t>
            </w:r>
          </w:p>
        </w:tc>
        <w:tc>
          <w:tcPr>
            <w:tcW w:w="1107" w:type="dxa"/>
            <w:shd w:val="clear" w:color="auto" w:fill="auto"/>
          </w:tcPr>
          <w:p w14:paraId="6032D89E" w14:textId="77777777" w:rsidR="00987831" w:rsidRPr="007F78CE" w:rsidRDefault="00987831"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Moyenne</w:t>
            </w:r>
          </w:p>
          <w:p w14:paraId="19AD1BCA"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118" w:type="dxa"/>
            <w:shd w:val="clear" w:color="auto" w:fill="auto"/>
          </w:tcPr>
          <w:p w14:paraId="210FC790"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Régionale</w:t>
            </w:r>
          </w:p>
          <w:p w14:paraId="7567951C"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007" w:type="dxa"/>
            <w:shd w:val="clear" w:color="auto" w:fill="auto"/>
          </w:tcPr>
          <w:p w14:paraId="21D03D0C"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Longue</w:t>
            </w:r>
          </w:p>
          <w:p w14:paraId="4CC2C229"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385" w:type="dxa"/>
            <w:shd w:val="clear" w:color="auto" w:fill="auto"/>
          </w:tcPr>
          <w:p w14:paraId="669F7FB3"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0FF2E9F2"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18" w:type="dxa"/>
            <w:shd w:val="clear" w:color="auto" w:fill="FF0000"/>
          </w:tcPr>
          <w:p w14:paraId="75059C50"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Majeure</w:t>
            </w:r>
          </w:p>
          <w:p w14:paraId="734A9A20"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(10)</w:t>
            </w:r>
          </w:p>
        </w:tc>
        <w:tc>
          <w:tcPr>
            <w:tcW w:w="855" w:type="dxa"/>
            <w:shd w:val="clear" w:color="auto" w:fill="auto"/>
          </w:tcPr>
          <w:p w14:paraId="1007C194" w14:textId="77777777" w:rsidR="00987831" w:rsidRPr="007F78CE" w:rsidRDefault="00987831"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Moyenne </w:t>
            </w:r>
          </w:p>
        </w:tc>
        <w:tc>
          <w:tcPr>
            <w:tcW w:w="855" w:type="dxa"/>
            <w:shd w:val="clear" w:color="auto" w:fill="FFC000"/>
          </w:tcPr>
          <w:p w14:paraId="1499F94D" w14:textId="77777777" w:rsidR="00987831" w:rsidRPr="007F78CE" w:rsidRDefault="00987831"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Elevé </w:t>
            </w:r>
          </w:p>
        </w:tc>
      </w:tr>
    </w:tbl>
    <w:p w14:paraId="2B8BA4C5" w14:textId="77777777" w:rsidR="0090044A" w:rsidRPr="00FE7376" w:rsidRDefault="0090044A" w:rsidP="00F01166">
      <w:pPr>
        <w:spacing w:after="0"/>
        <w:rPr>
          <w:rFonts w:cs="Arial"/>
          <w:highlight w:val="yellow"/>
        </w:rPr>
      </w:pPr>
    </w:p>
    <w:p w14:paraId="273CF581" w14:textId="77777777" w:rsidR="0090044A" w:rsidRPr="007F78CE" w:rsidRDefault="0090044A" w:rsidP="00345918">
      <w:pPr>
        <w:pStyle w:val="Titre5"/>
        <w:keepNext w:val="0"/>
        <w:keepLines w:val="0"/>
        <w:numPr>
          <w:ilvl w:val="0"/>
          <w:numId w:val="95"/>
        </w:numPr>
        <w:tabs>
          <w:tab w:val="left" w:pos="708"/>
        </w:tabs>
        <w:spacing w:before="240" w:after="240" w:line="240" w:lineRule="auto"/>
        <w:ind w:left="562" w:firstLine="0"/>
        <w:contextualSpacing/>
        <w:jc w:val="both"/>
        <w:rPr>
          <w:rFonts w:eastAsia="Calibri"/>
          <w:b/>
          <w:bCs/>
        </w:rPr>
      </w:pPr>
      <w:r w:rsidRPr="007F78CE">
        <w:rPr>
          <w:rFonts w:eastAsia="Calibri"/>
          <w:b/>
          <w:bCs/>
        </w:rPr>
        <w:t xml:space="preserve">Santé et sécurité </w:t>
      </w:r>
    </w:p>
    <w:p w14:paraId="68A32AD4" w14:textId="77777777" w:rsidR="0090044A" w:rsidRPr="00C41583" w:rsidRDefault="0090044A" w:rsidP="00C41583">
      <w:pPr>
        <w:spacing w:line="240" w:lineRule="auto"/>
        <w:jc w:val="both"/>
        <w:rPr>
          <w:rFonts w:ascii="Arial" w:hAnsi="Arial" w:cs="Arial"/>
        </w:rPr>
      </w:pPr>
      <w:r w:rsidRPr="00C41583">
        <w:rPr>
          <w:rFonts w:ascii="Arial" w:hAnsi="Arial" w:cs="Arial"/>
        </w:rPr>
        <w:t xml:space="preserve">Les effets directs de la centrale </w:t>
      </w:r>
      <w:r w:rsidR="00D350BF">
        <w:rPr>
          <w:rFonts w:ascii="Arial" w:hAnsi="Arial" w:cs="Arial"/>
        </w:rPr>
        <w:t xml:space="preserve">solaire </w:t>
      </w:r>
      <w:r w:rsidR="008F4DCC">
        <w:rPr>
          <w:rFonts w:ascii="Arial" w:hAnsi="Arial" w:cs="Arial"/>
        </w:rPr>
        <w:t>photovoltaïque</w:t>
      </w:r>
      <w:r w:rsidR="005727FD">
        <w:rPr>
          <w:rFonts w:ascii="Arial" w:hAnsi="Arial" w:cs="Arial"/>
        </w:rPr>
        <w:t>, barrage hydroélectrique</w:t>
      </w:r>
      <w:r w:rsidRPr="00C41583">
        <w:rPr>
          <w:rFonts w:ascii="Arial" w:hAnsi="Arial" w:cs="Arial"/>
        </w:rPr>
        <w:t xml:space="preserve"> ainsi que la tour cellulaire sur la santé et la sécurité peuvent être provoqués par :</w:t>
      </w:r>
    </w:p>
    <w:p w14:paraId="56AF0678" w14:textId="77777777" w:rsidR="0090044A" w:rsidRPr="00C41583" w:rsidRDefault="0090044A" w:rsidP="00687DD2">
      <w:pPr>
        <w:pStyle w:val="Paragraphedeliste"/>
        <w:numPr>
          <w:ilvl w:val="0"/>
          <w:numId w:val="90"/>
        </w:numPr>
        <w:spacing w:before="120" w:after="0" w:line="240" w:lineRule="auto"/>
        <w:jc w:val="both"/>
        <w:rPr>
          <w:rFonts w:ascii="Arial" w:hAnsi="Arial" w:cs="Arial"/>
        </w:rPr>
      </w:pPr>
      <w:r w:rsidRPr="00C41583">
        <w:rPr>
          <w:rFonts w:ascii="Arial" w:hAnsi="Arial" w:cs="Arial"/>
        </w:rPr>
        <w:t>Le bruit émis par les matériels dans le site ;</w:t>
      </w:r>
    </w:p>
    <w:p w14:paraId="13980250" w14:textId="77777777" w:rsidR="0090044A" w:rsidRPr="00C41583" w:rsidRDefault="0090044A" w:rsidP="00687DD2">
      <w:pPr>
        <w:pStyle w:val="Paragraphedeliste"/>
        <w:numPr>
          <w:ilvl w:val="0"/>
          <w:numId w:val="90"/>
        </w:numPr>
        <w:spacing w:before="120" w:after="0" w:line="240" w:lineRule="auto"/>
        <w:jc w:val="both"/>
        <w:rPr>
          <w:rFonts w:ascii="Arial" w:hAnsi="Arial" w:cs="Arial"/>
        </w:rPr>
      </w:pPr>
      <w:r w:rsidRPr="00C41583">
        <w:rPr>
          <w:rFonts w:ascii="Arial" w:hAnsi="Arial" w:cs="Arial"/>
        </w:rPr>
        <w:t>La création d’un champ électromagnétique ;</w:t>
      </w:r>
    </w:p>
    <w:p w14:paraId="499D6CF0" w14:textId="77777777" w:rsidR="0090044A" w:rsidRPr="00C41583" w:rsidRDefault="0090044A" w:rsidP="00687DD2">
      <w:pPr>
        <w:pStyle w:val="Paragraphedeliste"/>
        <w:numPr>
          <w:ilvl w:val="0"/>
          <w:numId w:val="90"/>
        </w:numPr>
        <w:spacing w:before="120" w:after="0" w:line="240" w:lineRule="auto"/>
        <w:jc w:val="both"/>
        <w:rPr>
          <w:rFonts w:ascii="Arial" w:hAnsi="Arial" w:cs="Arial"/>
        </w:rPr>
      </w:pPr>
      <w:r w:rsidRPr="00C41583">
        <w:rPr>
          <w:rFonts w:ascii="Arial" w:hAnsi="Arial" w:cs="Arial"/>
        </w:rPr>
        <w:t>L’accident et ou incendies durant la maintenance des matériels ;</w:t>
      </w:r>
    </w:p>
    <w:p w14:paraId="3768FDAB" w14:textId="77777777" w:rsidR="0090044A" w:rsidRDefault="00A53DB9" w:rsidP="00687DD2">
      <w:pPr>
        <w:pStyle w:val="Paragraphedeliste"/>
        <w:numPr>
          <w:ilvl w:val="0"/>
          <w:numId w:val="90"/>
        </w:numPr>
        <w:spacing w:before="120" w:after="120" w:line="240" w:lineRule="auto"/>
        <w:jc w:val="both"/>
        <w:rPr>
          <w:rFonts w:ascii="Arial" w:hAnsi="Arial" w:cs="Arial"/>
        </w:rPr>
      </w:pPr>
      <w:r>
        <w:rPr>
          <w:rFonts w:ascii="Arial" w:hAnsi="Arial" w:cs="Arial"/>
        </w:rPr>
        <w:t>L’i</w:t>
      </w:r>
      <w:r w:rsidR="0090044A" w:rsidRPr="00C41583">
        <w:rPr>
          <w:rFonts w:ascii="Arial" w:hAnsi="Arial" w:cs="Arial"/>
        </w:rPr>
        <w:t>ntrusion humaine dans le site.</w:t>
      </w:r>
    </w:p>
    <w:p w14:paraId="51D851BA" w14:textId="77777777" w:rsidR="005727FD" w:rsidRPr="00742D67" w:rsidRDefault="005727FD" w:rsidP="00687DD2">
      <w:pPr>
        <w:pStyle w:val="Paragraphedeliste"/>
        <w:numPr>
          <w:ilvl w:val="0"/>
          <w:numId w:val="90"/>
        </w:numPr>
        <w:spacing w:before="120" w:after="120" w:line="240" w:lineRule="auto"/>
        <w:jc w:val="both"/>
        <w:rPr>
          <w:rFonts w:ascii="Arial" w:hAnsi="Arial" w:cs="Arial"/>
          <w:color w:val="auto"/>
        </w:rPr>
      </w:pPr>
      <w:r w:rsidRPr="00742D67">
        <w:rPr>
          <w:rFonts w:ascii="Arial" w:hAnsi="Arial" w:cs="Arial"/>
          <w:color w:val="auto"/>
        </w:rPr>
        <w:t>La rupture de barrage</w:t>
      </w:r>
      <w:r w:rsidR="001E1AAF" w:rsidRPr="00742D67">
        <w:rPr>
          <w:rFonts w:ascii="Arial" w:hAnsi="Arial" w:cs="Arial"/>
          <w:color w:val="auto"/>
        </w:rPr>
        <w:t>.</w:t>
      </w:r>
    </w:p>
    <w:p w14:paraId="72C426C8" w14:textId="77777777" w:rsidR="0090044A" w:rsidRPr="00673F6B" w:rsidRDefault="0090044A" w:rsidP="00F01166">
      <w:pPr>
        <w:pStyle w:val="Normal12"/>
        <w:numPr>
          <w:ilvl w:val="0"/>
          <w:numId w:val="85"/>
        </w:numPr>
        <w:spacing w:before="120" w:after="120"/>
        <w:contextualSpacing/>
        <w:rPr>
          <w:i/>
          <w:iCs/>
          <w:lang w:val="fr-FR"/>
        </w:rPr>
      </w:pPr>
      <w:r w:rsidRPr="00673F6B">
        <w:rPr>
          <w:i/>
          <w:iCs/>
          <w:lang w:val="fr-FR"/>
        </w:rPr>
        <w:t>Nuisances sonores</w:t>
      </w:r>
    </w:p>
    <w:p w14:paraId="6A10BB2B" w14:textId="77777777" w:rsidR="0090044A" w:rsidRPr="00C41583" w:rsidRDefault="0090044A" w:rsidP="00C41583">
      <w:pPr>
        <w:spacing w:line="240" w:lineRule="auto"/>
        <w:jc w:val="both"/>
        <w:rPr>
          <w:rFonts w:ascii="Arial" w:hAnsi="Arial" w:cs="Arial"/>
        </w:rPr>
      </w:pPr>
      <w:r w:rsidRPr="00C41583">
        <w:rPr>
          <w:rFonts w:ascii="Arial" w:hAnsi="Arial" w:cs="Arial"/>
        </w:rPr>
        <w:t xml:space="preserve">Au niveau de la centrale </w:t>
      </w:r>
      <w:r w:rsidR="00D350BF">
        <w:rPr>
          <w:rFonts w:ascii="Arial" w:hAnsi="Arial" w:cs="Arial"/>
        </w:rPr>
        <w:t xml:space="preserve">solaire </w:t>
      </w:r>
      <w:r w:rsidR="008F4DCC">
        <w:rPr>
          <w:rFonts w:ascii="Arial" w:hAnsi="Arial" w:cs="Arial"/>
        </w:rPr>
        <w:t>photovoltaïque</w:t>
      </w:r>
      <w:r w:rsidR="008F4DCC" w:rsidRPr="00C41583">
        <w:rPr>
          <w:rFonts w:ascii="Arial" w:hAnsi="Arial" w:cs="Arial"/>
        </w:rPr>
        <w:t xml:space="preserve"> </w:t>
      </w:r>
      <w:r w:rsidRPr="00C41583">
        <w:rPr>
          <w:rFonts w:ascii="Arial" w:hAnsi="Arial" w:cs="Arial"/>
        </w:rPr>
        <w:t xml:space="preserve">ainsi que </w:t>
      </w:r>
      <w:r w:rsidR="008168B4">
        <w:rPr>
          <w:rFonts w:ascii="Arial" w:hAnsi="Arial" w:cs="Arial"/>
        </w:rPr>
        <w:t>du</w:t>
      </w:r>
      <w:r w:rsidR="008168B4" w:rsidRPr="00C41583">
        <w:rPr>
          <w:rFonts w:ascii="Arial" w:hAnsi="Arial" w:cs="Arial"/>
        </w:rPr>
        <w:t xml:space="preserve"> </w:t>
      </w:r>
      <w:r w:rsidRPr="00C41583">
        <w:rPr>
          <w:rFonts w:ascii="Arial" w:hAnsi="Arial" w:cs="Arial"/>
        </w:rPr>
        <w:t xml:space="preserve">site de la tour cellulaire, on a des sources de bruits potentiels </w:t>
      </w:r>
      <w:r w:rsidR="008168B4">
        <w:rPr>
          <w:rFonts w:ascii="Arial" w:hAnsi="Arial" w:cs="Arial"/>
        </w:rPr>
        <w:t>qui peuvent</w:t>
      </w:r>
      <w:r w:rsidRPr="00C41583">
        <w:rPr>
          <w:rFonts w:ascii="Arial" w:hAnsi="Arial" w:cs="Arial"/>
        </w:rPr>
        <w:t xml:space="preserve"> provoquer des nuisances sonores aux employés et même aux riverains : </w:t>
      </w:r>
    </w:p>
    <w:p w14:paraId="1EE94BD9" w14:textId="77777777" w:rsidR="0090044A" w:rsidRPr="00C41583" w:rsidRDefault="0090044A" w:rsidP="00687DD2">
      <w:pPr>
        <w:pStyle w:val="Paragraphedeliste"/>
        <w:numPr>
          <w:ilvl w:val="0"/>
          <w:numId w:val="91"/>
        </w:numPr>
        <w:spacing w:before="120" w:after="0" w:line="240" w:lineRule="auto"/>
        <w:jc w:val="both"/>
        <w:rPr>
          <w:rFonts w:ascii="Arial" w:hAnsi="Arial" w:cs="Arial"/>
        </w:rPr>
      </w:pPr>
      <w:r w:rsidRPr="00C41583">
        <w:rPr>
          <w:rFonts w:ascii="Arial" w:hAnsi="Arial" w:cs="Arial"/>
        </w:rPr>
        <w:t xml:space="preserve">Bruit émanant du poste électrique : il s’agit en général des bruits provenant de l’alternateur, du transformateur et </w:t>
      </w:r>
      <w:r w:rsidR="008168B4">
        <w:rPr>
          <w:rFonts w:ascii="Arial" w:hAnsi="Arial" w:cs="Arial"/>
        </w:rPr>
        <w:t xml:space="preserve">de </w:t>
      </w:r>
      <w:r w:rsidRPr="00C41583">
        <w:rPr>
          <w:rFonts w:ascii="Arial" w:hAnsi="Arial" w:cs="Arial"/>
        </w:rPr>
        <w:t>ses organes réfrigérants. Ces matériels émettent un bruit qui se propage essentiellement au travers des grilles d’aération du local.</w:t>
      </w:r>
    </w:p>
    <w:p w14:paraId="770F7488" w14:textId="77777777" w:rsidR="0090044A" w:rsidRPr="00C41583" w:rsidRDefault="0090044A" w:rsidP="00687DD2">
      <w:pPr>
        <w:pStyle w:val="Paragraphedeliste"/>
        <w:numPr>
          <w:ilvl w:val="0"/>
          <w:numId w:val="91"/>
        </w:numPr>
        <w:spacing w:before="120" w:after="120" w:line="240" w:lineRule="auto"/>
        <w:jc w:val="both"/>
        <w:rPr>
          <w:rFonts w:ascii="Arial" w:hAnsi="Arial" w:cs="Arial"/>
        </w:rPr>
      </w:pPr>
      <w:r w:rsidRPr="00C41583">
        <w:rPr>
          <w:rFonts w:ascii="Arial" w:hAnsi="Arial" w:cs="Arial"/>
        </w:rPr>
        <w:t>Bruit issu des véhicules desservant le complexe : la pollution sonore provoquée par les véhicules sera toutefois négligeable pour les riverains en raison de sa faible densité et sa faible fréquence.</w:t>
      </w:r>
    </w:p>
    <w:p w14:paraId="26F68828" w14:textId="77777777" w:rsidR="0090044A" w:rsidRPr="00C41583" w:rsidRDefault="0090044A" w:rsidP="00C41583">
      <w:pPr>
        <w:spacing w:line="240" w:lineRule="auto"/>
        <w:jc w:val="both"/>
        <w:rPr>
          <w:rFonts w:ascii="Arial" w:hAnsi="Arial" w:cs="Arial"/>
        </w:rPr>
      </w:pPr>
      <w:r w:rsidRPr="00C41583">
        <w:rPr>
          <w:rFonts w:ascii="Arial" w:hAnsi="Arial" w:cs="Arial"/>
        </w:rPr>
        <w:t xml:space="preserve">En général, </w:t>
      </w:r>
      <w:r w:rsidR="008168B4">
        <w:rPr>
          <w:rFonts w:ascii="Arial" w:hAnsi="Arial" w:cs="Arial"/>
        </w:rPr>
        <w:t>l</w:t>
      </w:r>
      <w:r w:rsidRPr="00C41583">
        <w:rPr>
          <w:rFonts w:ascii="Arial" w:hAnsi="Arial" w:cs="Arial"/>
        </w:rPr>
        <w:t>es bruits émis par la centrale photovoltaïque ne présentent pas trop de risque pour la santé puisque ses intensités ne dépassent pas 85 dB</w:t>
      </w:r>
      <w:r w:rsidR="00D350BF">
        <w:rPr>
          <w:rFonts w:ascii="Arial" w:hAnsi="Arial" w:cs="Arial"/>
        </w:rPr>
        <w:t>(A)</w:t>
      </w:r>
      <w:r w:rsidRPr="00C41583">
        <w:rPr>
          <w:rFonts w:ascii="Arial" w:hAnsi="Arial" w:cs="Arial"/>
        </w:rPr>
        <w:t xml:space="preserve">. De plus, l’intensité du bruit diminue en fonction de la distance. D’après les recherches l’intensité de bruit diminue de </w:t>
      </w:r>
      <w:r w:rsidR="00A53DB9">
        <w:rPr>
          <w:rFonts w:ascii="Arial" w:hAnsi="Arial" w:cs="Arial"/>
        </w:rPr>
        <w:t xml:space="preserve">           </w:t>
      </w:r>
      <w:r w:rsidRPr="00C41583">
        <w:rPr>
          <w:rFonts w:ascii="Arial" w:hAnsi="Arial" w:cs="Arial"/>
        </w:rPr>
        <w:t>20</w:t>
      </w:r>
      <w:r w:rsidR="00A53DB9">
        <w:rPr>
          <w:rFonts w:ascii="Arial" w:hAnsi="Arial" w:cs="Arial"/>
        </w:rPr>
        <w:t xml:space="preserve"> </w:t>
      </w:r>
      <w:r w:rsidRPr="00C41583">
        <w:rPr>
          <w:rFonts w:ascii="Arial" w:hAnsi="Arial" w:cs="Arial"/>
        </w:rPr>
        <w:t>d</w:t>
      </w:r>
      <w:r w:rsidR="00A53DB9">
        <w:rPr>
          <w:rFonts w:ascii="Arial" w:hAnsi="Arial" w:cs="Arial"/>
        </w:rPr>
        <w:t>B</w:t>
      </w:r>
      <w:r w:rsidR="00D350BF">
        <w:rPr>
          <w:rFonts w:ascii="Arial" w:hAnsi="Arial" w:cs="Arial"/>
        </w:rPr>
        <w:t>(A)</w:t>
      </w:r>
      <w:r w:rsidRPr="00C41583">
        <w:rPr>
          <w:rFonts w:ascii="Arial" w:hAnsi="Arial" w:cs="Arial"/>
        </w:rPr>
        <w:t xml:space="preserve"> quand la distance est multipliée par 10. </w:t>
      </w:r>
    </w:p>
    <w:p w14:paraId="5AD23F05" w14:textId="77777777" w:rsidR="0090044A" w:rsidRPr="00C41583" w:rsidRDefault="0090044A" w:rsidP="00C41583">
      <w:pPr>
        <w:spacing w:line="240" w:lineRule="auto"/>
        <w:jc w:val="both"/>
        <w:rPr>
          <w:rFonts w:ascii="Arial" w:hAnsi="Arial" w:cs="Arial"/>
        </w:rPr>
      </w:pPr>
      <w:r w:rsidRPr="00C41583">
        <w:rPr>
          <w:rFonts w:ascii="Arial" w:hAnsi="Arial" w:cs="Arial"/>
        </w:rPr>
        <w:t>Ainsi, l’importance de cet impact peut être estimée comme « mineure »</w:t>
      </w:r>
      <w:r w:rsidR="00D350BF">
        <w:rPr>
          <w:rFonts w:ascii="Arial" w:hAnsi="Arial" w:cs="Arial"/>
        </w:rPr>
        <w:t xml:space="preserve"> </w:t>
      </w:r>
      <w:r w:rsidR="00987831">
        <w:rPr>
          <w:rFonts w:ascii="Arial" w:hAnsi="Arial" w:cs="Arial"/>
        </w:rPr>
        <w:t xml:space="preserve">et le niveau de risque est considéré comme très faible </w:t>
      </w:r>
      <w:r w:rsidR="00D350BF">
        <w:rPr>
          <w:rFonts w:ascii="Arial" w:hAnsi="Arial" w:cs="Arial"/>
        </w:rPr>
        <w:t>selon le tableau suivant</w:t>
      </w:r>
      <w:r w:rsidRPr="00C41583">
        <w:rPr>
          <w:rFonts w:ascii="Arial" w:hAnsi="Arial" w:cs="Arial"/>
        </w:rPr>
        <w:t>.</w:t>
      </w:r>
    </w:p>
    <w:p w14:paraId="4EC89083" w14:textId="77777777" w:rsidR="0090044A" w:rsidRPr="002E58DC" w:rsidRDefault="0090044A" w:rsidP="002E58DC">
      <w:pPr>
        <w:pStyle w:val="Lgende"/>
        <w:spacing w:before="120"/>
        <w:jc w:val="center"/>
        <w:rPr>
          <w:sz w:val="20"/>
        </w:rPr>
      </w:pPr>
      <w:bookmarkStart w:id="1042" w:name="_Toc100753949"/>
      <w:bookmarkStart w:id="1043" w:name="_Toc127957859"/>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63</w:t>
      </w:r>
      <w:r w:rsidRPr="002E58DC">
        <w:rPr>
          <w:sz w:val="20"/>
        </w:rPr>
        <w:fldChar w:fldCharType="end"/>
      </w:r>
      <w:r w:rsidRPr="002E58DC">
        <w:rPr>
          <w:sz w:val="20"/>
        </w:rPr>
        <w:t>. Evaluation l’impact -Nuisances sonores</w:t>
      </w:r>
      <w:bookmarkEnd w:id="1042"/>
      <w:bookmarkEnd w:id="1043"/>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043"/>
        <w:gridCol w:w="1083"/>
        <w:gridCol w:w="1009"/>
        <w:gridCol w:w="1328"/>
        <w:gridCol w:w="1272"/>
        <w:gridCol w:w="1064"/>
        <w:gridCol w:w="842"/>
        <w:tblGridChange w:id="1044">
          <w:tblGrid>
            <w:gridCol w:w="1647"/>
            <w:gridCol w:w="1043"/>
            <w:gridCol w:w="1083"/>
            <w:gridCol w:w="1009"/>
            <w:gridCol w:w="1328"/>
            <w:gridCol w:w="1272"/>
            <w:gridCol w:w="1064"/>
            <w:gridCol w:w="842"/>
          </w:tblGrid>
        </w:tblGridChange>
      </w:tblGrid>
      <w:tr w:rsidR="00987831" w:rsidRPr="007F78CE" w14:paraId="05EF1D01" w14:textId="77777777" w:rsidTr="00345918">
        <w:trPr>
          <w:jc w:val="center"/>
        </w:trPr>
        <w:tc>
          <w:tcPr>
            <w:tcW w:w="1647" w:type="dxa"/>
            <w:shd w:val="clear" w:color="auto" w:fill="BFBFBF"/>
          </w:tcPr>
          <w:p w14:paraId="7F5CC86E" w14:textId="77777777" w:rsidR="00987831" w:rsidRPr="007F78CE" w:rsidRDefault="00987831" w:rsidP="007F78CE">
            <w:pPr>
              <w:spacing w:after="0" w:line="240" w:lineRule="auto"/>
              <w:rPr>
                <w:rFonts w:ascii="Arial Narrow" w:hAnsi="Arial Narrow"/>
                <w:b/>
                <w:bCs/>
                <w:sz w:val="20"/>
                <w:szCs w:val="20"/>
              </w:rPr>
            </w:pPr>
            <w:r>
              <w:rPr>
                <w:rFonts w:ascii="Arial Narrow" w:hAnsi="Arial Narrow"/>
                <w:b/>
                <w:bCs/>
                <w:sz w:val="20"/>
                <w:szCs w:val="20"/>
              </w:rPr>
              <w:t>Sous projet</w:t>
            </w:r>
          </w:p>
        </w:tc>
        <w:tc>
          <w:tcPr>
            <w:tcW w:w="1043" w:type="dxa"/>
            <w:shd w:val="clear" w:color="auto" w:fill="BFBFBF"/>
          </w:tcPr>
          <w:p w14:paraId="258211CF" w14:textId="77777777" w:rsidR="00987831" w:rsidRPr="007F78CE" w:rsidRDefault="00987831"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083" w:type="dxa"/>
            <w:shd w:val="clear" w:color="auto" w:fill="BFBFBF"/>
          </w:tcPr>
          <w:p w14:paraId="09F1F0C5" w14:textId="77777777" w:rsidR="00987831" w:rsidRPr="007F78CE" w:rsidRDefault="00987831"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1009" w:type="dxa"/>
            <w:shd w:val="clear" w:color="auto" w:fill="BFBFBF"/>
          </w:tcPr>
          <w:p w14:paraId="21AE5C62" w14:textId="77777777" w:rsidR="00987831" w:rsidRPr="007F78CE" w:rsidRDefault="00987831"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328" w:type="dxa"/>
            <w:shd w:val="clear" w:color="auto" w:fill="BFBFBF"/>
          </w:tcPr>
          <w:p w14:paraId="391AD286" w14:textId="77777777" w:rsidR="00987831" w:rsidRPr="007F78CE" w:rsidRDefault="00987831"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272" w:type="dxa"/>
            <w:shd w:val="clear" w:color="auto" w:fill="BFBFBF"/>
          </w:tcPr>
          <w:p w14:paraId="550B3DFD" w14:textId="77777777" w:rsidR="00987831" w:rsidRPr="007F78CE" w:rsidRDefault="00987831"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BFBFBF"/>
          </w:tcPr>
          <w:p w14:paraId="2B55EE8D" w14:textId="77777777" w:rsidR="00987831" w:rsidRPr="007F78CE" w:rsidRDefault="00987831"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842" w:type="dxa"/>
            <w:shd w:val="clear" w:color="auto" w:fill="BFBFBF"/>
          </w:tcPr>
          <w:p w14:paraId="1AAD5052" w14:textId="77777777" w:rsidR="00987831" w:rsidRPr="007F78CE" w:rsidRDefault="00987831" w:rsidP="007F78CE">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345918" w:rsidRPr="007F78CE" w14:paraId="042CA0EE" w14:textId="77777777" w:rsidTr="00FB04F6">
        <w:trPr>
          <w:jc w:val="center"/>
        </w:trPr>
        <w:tc>
          <w:tcPr>
            <w:tcW w:w="1647" w:type="dxa"/>
          </w:tcPr>
          <w:p w14:paraId="41386037" w14:textId="77777777" w:rsidR="00987831" w:rsidRPr="007F78CE" w:rsidRDefault="00987831" w:rsidP="00345918">
            <w:pPr>
              <w:spacing w:after="0" w:line="240" w:lineRule="auto"/>
              <w:contextualSpacing/>
              <w:rPr>
                <w:rFonts w:ascii="Arial Narrow" w:hAnsi="Arial Narrow" w:cs="Arial"/>
                <w:sz w:val="20"/>
                <w:szCs w:val="20"/>
              </w:rPr>
            </w:pPr>
            <w:r>
              <w:rPr>
                <w:rFonts w:ascii="Arial Narrow" w:hAnsi="Arial Narrow" w:cs="Arial"/>
                <w:sz w:val="20"/>
                <w:szCs w:val="20"/>
              </w:rPr>
              <w:t>Infrastructures numériques</w:t>
            </w:r>
          </w:p>
        </w:tc>
        <w:tc>
          <w:tcPr>
            <w:tcW w:w="1043" w:type="dxa"/>
            <w:shd w:val="clear" w:color="auto" w:fill="auto"/>
          </w:tcPr>
          <w:p w14:paraId="2AD0084E" w14:textId="77777777" w:rsidR="00987831" w:rsidRPr="007F78CE" w:rsidRDefault="00987831"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09DB6883"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83" w:type="dxa"/>
            <w:shd w:val="clear" w:color="auto" w:fill="auto"/>
          </w:tcPr>
          <w:p w14:paraId="41452AB4"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15840F50"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09" w:type="dxa"/>
            <w:shd w:val="clear" w:color="auto" w:fill="auto"/>
          </w:tcPr>
          <w:p w14:paraId="064C3453"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348019D6"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328" w:type="dxa"/>
            <w:shd w:val="clear" w:color="auto" w:fill="auto"/>
          </w:tcPr>
          <w:p w14:paraId="316BFDBC"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16F1EAB8"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72" w:type="dxa"/>
            <w:shd w:val="clear" w:color="auto" w:fill="00B050"/>
          </w:tcPr>
          <w:p w14:paraId="59C64B04"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2738BECF"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tcPr>
          <w:p w14:paraId="46FCC352" w14:textId="77777777" w:rsidR="00987831" w:rsidRPr="007F78CE" w:rsidRDefault="00987831" w:rsidP="007F78CE">
            <w:pPr>
              <w:spacing w:after="0" w:line="240" w:lineRule="auto"/>
              <w:contextualSpacing/>
              <w:jc w:val="center"/>
              <w:rPr>
                <w:rFonts w:ascii="Arial Narrow" w:hAnsi="Arial Narrow" w:cs="Arial"/>
                <w:sz w:val="20"/>
                <w:szCs w:val="20"/>
              </w:rPr>
            </w:pPr>
            <w:r w:rsidRPr="00A02CA2">
              <w:rPr>
                <w:rFonts w:ascii="Arial Narrow" w:hAnsi="Arial Narrow" w:cs="Arial"/>
                <w:sz w:val="20"/>
                <w:szCs w:val="20"/>
              </w:rPr>
              <w:t xml:space="preserve">Faible </w:t>
            </w:r>
          </w:p>
        </w:tc>
        <w:tc>
          <w:tcPr>
            <w:tcW w:w="842" w:type="dxa"/>
            <w:shd w:val="clear" w:color="auto" w:fill="538135"/>
          </w:tcPr>
          <w:p w14:paraId="69DDFC80" w14:textId="77777777" w:rsidR="00987831" w:rsidRPr="007F78CE" w:rsidRDefault="00987831"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Très faible </w:t>
            </w:r>
          </w:p>
        </w:tc>
      </w:tr>
      <w:tr w:rsidR="00345918" w:rsidRPr="007F78CE" w14:paraId="16B57147" w14:textId="77777777" w:rsidTr="00FB04F6">
        <w:trPr>
          <w:jc w:val="center"/>
        </w:trPr>
        <w:tc>
          <w:tcPr>
            <w:tcW w:w="1647" w:type="dxa"/>
          </w:tcPr>
          <w:p w14:paraId="3F26898D" w14:textId="77777777" w:rsidR="00987831" w:rsidRPr="007F78CE" w:rsidRDefault="00987831" w:rsidP="00B434A6">
            <w:pPr>
              <w:spacing w:after="0" w:line="240" w:lineRule="auto"/>
              <w:contextualSpacing/>
              <w:rPr>
                <w:rFonts w:ascii="Arial Narrow" w:hAnsi="Arial Narrow" w:cs="Arial"/>
                <w:sz w:val="20"/>
                <w:szCs w:val="20"/>
              </w:rPr>
            </w:pPr>
            <w:r>
              <w:rPr>
                <w:rFonts w:ascii="Arial Narrow" w:hAnsi="Arial Narrow" w:cs="Arial"/>
                <w:sz w:val="20"/>
                <w:szCs w:val="20"/>
              </w:rPr>
              <w:t>Centrale électrique solaire</w:t>
            </w:r>
          </w:p>
        </w:tc>
        <w:tc>
          <w:tcPr>
            <w:tcW w:w="1043" w:type="dxa"/>
            <w:shd w:val="clear" w:color="auto" w:fill="auto"/>
          </w:tcPr>
          <w:p w14:paraId="4477BDD0" w14:textId="77777777" w:rsidR="00987831" w:rsidRPr="007F78CE" w:rsidRDefault="00987831" w:rsidP="00114831">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40B9BB5D"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83" w:type="dxa"/>
            <w:shd w:val="clear" w:color="auto" w:fill="auto"/>
          </w:tcPr>
          <w:p w14:paraId="3055C0B8" w14:textId="77777777" w:rsidR="00987831" w:rsidRPr="007F78CE" w:rsidRDefault="00987831"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64CF15D4"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09" w:type="dxa"/>
            <w:shd w:val="clear" w:color="auto" w:fill="auto"/>
          </w:tcPr>
          <w:p w14:paraId="77854EB0" w14:textId="77777777" w:rsidR="00987831" w:rsidRPr="007F78CE" w:rsidRDefault="00987831"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5028ACA0"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328" w:type="dxa"/>
            <w:shd w:val="clear" w:color="auto" w:fill="auto"/>
          </w:tcPr>
          <w:p w14:paraId="4373452D" w14:textId="77777777" w:rsidR="00987831" w:rsidRPr="007F78CE" w:rsidRDefault="00987831"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38319B07"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72" w:type="dxa"/>
            <w:shd w:val="clear" w:color="auto" w:fill="00B050"/>
          </w:tcPr>
          <w:p w14:paraId="6215208D" w14:textId="77777777" w:rsidR="00987831" w:rsidRPr="007F78CE" w:rsidRDefault="00987831"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5F8EA639"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tcPr>
          <w:p w14:paraId="7E8BD336" w14:textId="77777777" w:rsidR="00987831" w:rsidRPr="007F78CE" w:rsidRDefault="00987831" w:rsidP="00114831">
            <w:pPr>
              <w:spacing w:after="0" w:line="240" w:lineRule="auto"/>
              <w:contextualSpacing/>
              <w:jc w:val="center"/>
              <w:rPr>
                <w:rFonts w:ascii="Arial Narrow" w:hAnsi="Arial Narrow" w:cs="Arial"/>
                <w:sz w:val="20"/>
                <w:szCs w:val="20"/>
              </w:rPr>
            </w:pPr>
            <w:r w:rsidRPr="00A02CA2">
              <w:rPr>
                <w:rFonts w:ascii="Arial Narrow" w:hAnsi="Arial Narrow" w:cs="Arial"/>
                <w:sz w:val="20"/>
                <w:szCs w:val="20"/>
              </w:rPr>
              <w:t xml:space="preserve">Faible </w:t>
            </w:r>
          </w:p>
        </w:tc>
        <w:tc>
          <w:tcPr>
            <w:tcW w:w="842" w:type="dxa"/>
            <w:shd w:val="clear" w:color="auto" w:fill="538135"/>
          </w:tcPr>
          <w:p w14:paraId="5532BE25" w14:textId="77777777" w:rsidR="00987831" w:rsidRPr="007F78CE" w:rsidRDefault="00987831" w:rsidP="00114831">
            <w:pPr>
              <w:spacing w:after="0" w:line="240" w:lineRule="auto"/>
              <w:contextualSpacing/>
              <w:jc w:val="center"/>
              <w:rPr>
                <w:rFonts w:ascii="Arial Narrow" w:hAnsi="Arial Narrow" w:cs="Arial"/>
                <w:sz w:val="20"/>
                <w:szCs w:val="20"/>
              </w:rPr>
            </w:pPr>
            <w:r>
              <w:rPr>
                <w:rFonts w:ascii="Arial Narrow" w:hAnsi="Arial Narrow" w:cs="Arial"/>
                <w:sz w:val="20"/>
                <w:szCs w:val="20"/>
              </w:rPr>
              <w:t>Très faible</w:t>
            </w:r>
          </w:p>
        </w:tc>
      </w:tr>
      <w:tr w:rsidR="00345918" w:rsidRPr="007F78CE" w14:paraId="01B2CE44" w14:textId="77777777" w:rsidTr="00FB04F6">
        <w:trPr>
          <w:jc w:val="center"/>
        </w:trPr>
        <w:tc>
          <w:tcPr>
            <w:tcW w:w="1647" w:type="dxa"/>
          </w:tcPr>
          <w:p w14:paraId="49C7707B" w14:textId="77777777" w:rsidR="00987831" w:rsidRPr="007F78CE" w:rsidRDefault="00987831" w:rsidP="00345918">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43" w:type="dxa"/>
            <w:shd w:val="clear" w:color="auto" w:fill="auto"/>
          </w:tcPr>
          <w:p w14:paraId="033307AA" w14:textId="77777777" w:rsidR="00987831" w:rsidRPr="007F78CE" w:rsidRDefault="00987831" w:rsidP="00114831">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57B9A43A"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83" w:type="dxa"/>
            <w:shd w:val="clear" w:color="auto" w:fill="auto"/>
          </w:tcPr>
          <w:p w14:paraId="07DE2A01" w14:textId="77777777" w:rsidR="00987831" w:rsidRPr="007F78CE" w:rsidRDefault="00987831"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70FE262D"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09" w:type="dxa"/>
            <w:shd w:val="clear" w:color="auto" w:fill="auto"/>
          </w:tcPr>
          <w:p w14:paraId="610B86EE" w14:textId="77777777" w:rsidR="00987831" w:rsidRPr="007F78CE" w:rsidRDefault="00987831"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12443899"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328" w:type="dxa"/>
            <w:shd w:val="clear" w:color="auto" w:fill="auto"/>
          </w:tcPr>
          <w:p w14:paraId="5E3BFAC8" w14:textId="77777777" w:rsidR="00987831" w:rsidRPr="007F78CE" w:rsidRDefault="00987831"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3E10A326"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72" w:type="dxa"/>
            <w:shd w:val="clear" w:color="auto" w:fill="00B050"/>
          </w:tcPr>
          <w:p w14:paraId="1F4FB024" w14:textId="77777777" w:rsidR="00987831" w:rsidRPr="007F78CE" w:rsidRDefault="00987831"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4F25058E"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tcPr>
          <w:p w14:paraId="5A53066E" w14:textId="77777777" w:rsidR="00987831" w:rsidRPr="007F78CE" w:rsidRDefault="00987831" w:rsidP="00114831">
            <w:pPr>
              <w:spacing w:after="0" w:line="240" w:lineRule="auto"/>
              <w:contextualSpacing/>
              <w:jc w:val="center"/>
              <w:rPr>
                <w:rFonts w:ascii="Arial Narrow" w:hAnsi="Arial Narrow" w:cs="Arial"/>
                <w:sz w:val="20"/>
                <w:szCs w:val="20"/>
              </w:rPr>
            </w:pPr>
            <w:r w:rsidRPr="00A02CA2">
              <w:rPr>
                <w:rFonts w:ascii="Arial Narrow" w:hAnsi="Arial Narrow" w:cs="Arial"/>
                <w:sz w:val="20"/>
                <w:szCs w:val="20"/>
              </w:rPr>
              <w:t xml:space="preserve">Faible </w:t>
            </w:r>
          </w:p>
        </w:tc>
        <w:tc>
          <w:tcPr>
            <w:tcW w:w="842" w:type="dxa"/>
            <w:shd w:val="clear" w:color="auto" w:fill="538135"/>
          </w:tcPr>
          <w:p w14:paraId="3E2A8EBD" w14:textId="77777777" w:rsidR="00987831" w:rsidRPr="007F78CE" w:rsidRDefault="00987831" w:rsidP="00114831">
            <w:pPr>
              <w:spacing w:after="0" w:line="240" w:lineRule="auto"/>
              <w:contextualSpacing/>
              <w:jc w:val="center"/>
              <w:rPr>
                <w:rFonts w:ascii="Arial Narrow" w:hAnsi="Arial Narrow" w:cs="Arial"/>
                <w:sz w:val="20"/>
                <w:szCs w:val="20"/>
              </w:rPr>
            </w:pPr>
            <w:r>
              <w:rPr>
                <w:rFonts w:ascii="Arial Narrow" w:hAnsi="Arial Narrow" w:cs="Arial"/>
                <w:sz w:val="20"/>
                <w:szCs w:val="20"/>
              </w:rPr>
              <w:t>Très faible</w:t>
            </w:r>
          </w:p>
        </w:tc>
      </w:tr>
      <w:tr w:rsidR="00702DFF" w:rsidRPr="007F78CE" w14:paraId="0AFD79DD" w14:textId="77777777" w:rsidTr="00FB04F6">
        <w:trPr>
          <w:jc w:val="center"/>
        </w:trPr>
        <w:tc>
          <w:tcPr>
            <w:tcW w:w="1647" w:type="dxa"/>
          </w:tcPr>
          <w:p w14:paraId="439FC5DE" w14:textId="77777777" w:rsidR="00702DFF" w:rsidRDefault="00702DFF" w:rsidP="00987831">
            <w:pPr>
              <w:spacing w:after="0" w:line="240" w:lineRule="auto"/>
              <w:contextualSpacing/>
              <w:rPr>
                <w:rFonts w:ascii="Arial Narrow" w:hAnsi="Arial Narrow" w:cs="Arial"/>
                <w:sz w:val="20"/>
                <w:szCs w:val="20"/>
              </w:rPr>
            </w:pPr>
            <w:r>
              <w:rPr>
                <w:rFonts w:ascii="Arial Narrow" w:hAnsi="Arial Narrow" w:cs="Arial"/>
                <w:sz w:val="20"/>
                <w:szCs w:val="20"/>
              </w:rPr>
              <w:t>Impact cumulé</w:t>
            </w:r>
          </w:p>
        </w:tc>
        <w:tc>
          <w:tcPr>
            <w:tcW w:w="1043" w:type="dxa"/>
            <w:shd w:val="clear" w:color="auto" w:fill="auto"/>
          </w:tcPr>
          <w:p w14:paraId="6376B435" w14:textId="77777777" w:rsidR="00702DFF" w:rsidRPr="007F78CE" w:rsidRDefault="00702DFF" w:rsidP="00D70FB3">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5BEC4EF0" w14:textId="77777777" w:rsidR="00702DFF" w:rsidRPr="007F78CE" w:rsidRDefault="00702DFF"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83" w:type="dxa"/>
            <w:shd w:val="clear" w:color="auto" w:fill="auto"/>
          </w:tcPr>
          <w:p w14:paraId="139D266E" w14:textId="77777777" w:rsidR="00702DFF" w:rsidRPr="007F78CE" w:rsidRDefault="00702DFF"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0ED80A41" w14:textId="77777777" w:rsidR="00702DFF" w:rsidRPr="007F78CE" w:rsidRDefault="00702DFF"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009" w:type="dxa"/>
            <w:shd w:val="clear" w:color="auto" w:fill="auto"/>
          </w:tcPr>
          <w:p w14:paraId="110E0D3F" w14:textId="77777777" w:rsidR="00702DFF" w:rsidRPr="007F78CE" w:rsidRDefault="00702DFF"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631EF51D" w14:textId="77777777" w:rsidR="00702DFF" w:rsidRPr="007F78CE" w:rsidRDefault="00702DFF"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328" w:type="dxa"/>
            <w:shd w:val="clear" w:color="auto" w:fill="auto"/>
          </w:tcPr>
          <w:p w14:paraId="35AE4176" w14:textId="77777777" w:rsidR="00702DFF" w:rsidRPr="007F78CE" w:rsidRDefault="00702DFF"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7912233B" w14:textId="77777777" w:rsidR="00702DFF" w:rsidRPr="007F78CE" w:rsidRDefault="00702DFF"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72" w:type="dxa"/>
            <w:shd w:val="clear" w:color="auto" w:fill="00B050"/>
          </w:tcPr>
          <w:p w14:paraId="47DE86B1" w14:textId="77777777" w:rsidR="00702DFF" w:rsidRPr="007F78CE" w:rsidRDefault="00702DFF"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3EE222AC" w14:textId="77777777" w:rsidR="00702DFF" w:rsidRPr="007F78CE" w:rsidRDefault="00702DFF"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064" w:type="dxa"/>
            <w:shd w:val="clear" w:color="auto" w:fill="auto"/>
          </w:tcPr>
          <w:p w14:paraId="0458E952" w14:textId="77777777" w:rsidR="00702DFF" w:rsidRPr="00A02CA2" w:rsidRDefault="00702DFF" w:rsidP="00114831">
            <w:pPr>
              <w:spacing w:after="0" w:line="240" w:lineRule="auto"/>
              <w:contextualSpacing/>
              <w:jc w:val="center"/>
              <w:rPr>
                <w:rFonts w:ascii="Arial Narrow" w:hAnsi="Arial Narrow" w:cs="Arial"/>
                <w:sz w:val="20"/>
                <w:szCs w:val="20"/>
              </w:rPr>
            </w:pPr>
            <w:r w:rsidRPr="00A02CA2">
              <w:rPr>
                <w:rFonts w:ascii="Arial Narrow" w:hAnsi="Arial Narrow" w:cs="Arial"/>
                <w:sz w:val="20"/>
                <w:szCs w:val="20"/>
              </w:rPr>
              <w:t xml:space="preserve">Faible </w:t>
            </w:r>
          </w:p>
        </w:tc>
        <w:tc>
          <w:tcPr>
            <w:tcW w:w="842" w:type="dxa"/>
            <w:shd w:val="clear" w:color="auto" w:fill="538135"/>
          </w:tcPr>
          <w:p w14:paraId="61FB912E" w14:textId="77777777" w:rsidR="00702DFF" w:rsidRDefault="00702DFF" w:rsidP="00114831">
            <w:pPr>
              <w:spacing w:after="0" w:line="240" w:lineRule="auto"/>
              <w:contextualSpacing/>
              <w:jc w:val="center"/>
              <w:rPr>
                <w:rFonts w:ascii="Arial Narrow" w:hAnsi="Arial Narrow" w:cs="Arial"/>
                <w:sz w:val="20"/>
                <w:szCs w:val="20"/>
              </w:rPr>
            </w:pPr>
            <w:r>
              <w:rPr>
                <w:rFonts w:ascii="Arial Narrow" w:hAnsi="Arial Narrow" w:cs="Arial"/>
                <w:sz w:val="20"/>
                <w:szCs w:val="20"/>
              </w:rPr>
              <w:t>Très faible</w:t>
            </w:r>
          </w:p>
        </w:tc>
      </w:tr>
    </w:tbl>
    <w:p w14:paraId="3938D932" w14:textId="77777777" w:rsidR="0090044A" w:rsidRPr="00792719" w:rsidRDefault="00611CB5" w:rsidP="00F01166">
      <w:pPr>
        <w:pStyle w:val="Normal12"/>
        <w:numPr>
          <w:ilvl w:val="0"/>
          <w:numId w:val="85"/>
        </w:numPr>
        <w:spacing w:before="120" w:after="120"/>
        <w:contextualSpacing/>
        <w:rPr>
          <w:i/>
          <w:iCs/>
          <w:lang w:val="fr-FR"/>
        </w:rPr>
      </w:pPr>
      <w:r>
        <w:rPr>
          <w:i/>
          <w:iCs/>
          <w:lang w:val="fr-FR"/>
        </w:rPr>
        <w:t>Atteinte à la santé humaine par les</w:t>
      </w:r>
      <w:r w:rsidR="0090044A" w:rsidRPr="00792719">
        <w:rPr>
          <w:i/>
          <w:iCs/>
          <w:lang w:val="fr-FR"/>
        </w:rPr>
        <w:t xml:space="preserve"> champ</w:t>
      </w:r>
      <w:r>
        <w:rPr>
          <w:i/>
          <w:iCs/>
          <w:lang w:val="fr-FR"/>
        </w:rPr>
        <w:t>s</w:t>
      </w:r>
      <w:r w:rsidR="0090044A" w:rsidRPr="00792719">
        <w:rPr>
          <w:i/>
          <w:iCs/>
          <w:lang w:val="fr-FR"/>
        </w:rPr>
        <w:t xml:space="preserve"> électromagnétique</w:t>
      </w:r>
      <w:r>
        <w:rPr>
          <w:i/>
          <w:iCs/>
          <w:lang w:val="fr-FR"/>
        </w:rPr>
        <w:t>s</w:t>
      </w:r>
      <w:r w:rsidR="0090044A" w:rsidRPr="00792719">
        <w:rPr>
          <w:i/>
          <w:iCs/>
          <w:lang w:val="fr-FR"/>
        </w:rPr>
        <w:t xml:space="preserve"> (CEM)</w:t>
      </w:r>
    </w:p>
    <w:p w14:paraId="54F118B2" w14:textId="77777777" w:rsidR="0090044A" w:rsidRPr="00C41583" w:rsidRDefault="0090044A" w:rsidP="00C41583">
      <w:pPr>
        <w:spacing w:line="240" w:lineRule="auto"/>
        <w:jc w:val="both"/>
        <w:rPr>
          <w:rFonts w:ascii="Arial" w:hAnsi="Arial" w:cs="Arial"/>
        </w:rPr>
      </w:pPr>
      <w:r w:rsidRPr="00C41583">
        <w:rPr>
          <w:rFonts w:ascii="Arial" w:hAnsi="Arial" w:cs="Arial"/>
        </w:rPr>
        <w:t xml:space="preserve">Les modules </w:t>
      </w:r>
      <w:r w:rsidR="00D350BF">
        <w:rPr>
          <w:rFonts w:ascii="Arial" w:hAnsi="Arial" w:cs="Arial"/>
        </w:rPr>
        <w:t xml:space="preserve">solaires </w:t>
      </w:r>
      <w:r w:rsidRPr="00C41583">
        <w:rPr>
          <w:rFonts w:ascii="Arial" w:hAnsi="Arial" w:cs="Arial"/>
        </w:rPr>
        <w:t xml:space="preserve">photovoltaïques, l’alternateur, la tour cellulaire et les câbles de raccordement créent des champs électromagnétiques pouvant affecter la santé humaine. </w:t>
      </w:r>
    </w:p>
    <w:p w14:paraId="404D5415" w14:textId="77777777" w:rsidR="0090044A" w:rsidRPr="00C41583" w:rsidRDefault="0090044A" w:rsidP="00C41583">
      <w:pPr>
        <w:spacing w:line="240" w:lineRule="auto"/>
        <w:jc w:val="both"/>
        <w:rPr>
          <w:rFonts w:ascii="Arial" w:hAnsi="Arial" w:cs="Arial"/>
        </w:rPr>
      </w:pPr>
      <w:r w:rsidRPr="00C41583">
        <w:rPr>
          <w:rFonts w:ascii="Arial" w:hAnsi="Arial" w:cs="Arial"/>
        </w:rPr>
        <w:t xml:space="preserve">L’impact des CEM d’une ligne électrique sur la santé des populations est plus élevé directement près de la source mais il diminue rapidement dès que l’on s’en éloigne. Notant que l'importance des CEM dépend de l'alliage et de la configuration des câbles, du voltage et de la hauteur des câbles par rapport au sol. Tandis que pour la tour cellulaire, elle dépend notamment de la puissance de l’émetteur fixé sur la tour. Concernant l’impact sur la faune, le risque existe, mais il est peu probable et touche surtout les espèces de chauve-souris. </w:t>
      </w:r>
    </w:p>
    <w:p w14:paraId="719F8749" w14:textId="77777777" w:rsidR="00353921" w:rsidRDefault="0090044A" w:rsidP="00C41583">
      <w:pPr>
        <w:spacing w:line="240" w:lineRule="auto"/>
        <w:jc w:val="both"/>
        <w:rPr>
          <w:rFonts w:ascii="Arial" w:hAnsi="Arial" w:cs="Arial"/>
        </w:rPr>
      </w:pPr>
      <w:r w:rsidRPr="00C41583">
        <w:rPr>
          <w:rFonts w:ascii="Arial" w:hAnsi="Arial" w:cs="Arial"/>
        </w:rPr>
        <w:t>Ainsi, l’analyse de l’importance de cet impact suivant, la création des champs électromagnétiques peut être dangereux pour les ouvriers. C’est pourquoi il a été classé comme « Moyen »</w:t>
      </w:r>
      <w:r w:rsidR="00D350BF">
        <w:rPr>
          <w:rFonts w:ascii="Arial" w:hAnsi="Arial" w:cs="Arial"/>
        </w:rPr>
        <w:t xml:space="preserve"> </w:t>
      </w:r>
      <w:r w:rsidR="00AD121B">
        <w:rPr>
          <w:rFonts w:ascii="Arial" w:hAnsi="Arial" w:cs="Arial"/>
        </w:rPr>
        <w:t xml:space="preserve">avec un niveau de risque faible </w:t>
      </w:r>
      <w:r w:rsidR="00D350BF">
        <w:rPr>
          <w:rFonts w:ascii="Arial" w:hAnsi="Arial" w:cs="Arial"/>
        </w:rPr>
        <w:t>selon le tableau suivant</w:t>
      </w:r>
      <w:r w:rsidRPr="00C41583">
        <w:rPr>
          <w:rFonts w:ascii="Arial" w:hAnsi="Arial" w:cs="Arial"/>
        </w:rPr>
        <w:t>.</w:t>
      </w:r>
    </w:p>
    <w:p w14:paraId="1015FDAC" w14:textId="77777777" w:rsidR="0090044A" w:rsidRPr="00C41583" w:rsidRDefault="00353921" w:rsidP="00C41583">
      <w:pPr>
        <w:spacing w:line="240" w:lineRule="auto"/>
        <w:jc w:val="both"/>
        <w:rPr>
          <w:rFonts w:ascii="Arial" w:hAnsi="Arial" w:cs="Arial"/>
        </w:rPr>
      </w:pPr>
      <w:r>
        <w:rPr>
          <w:rFonts w:ascii="Arial" w:hAnsi="Arial" w:cs="Arial"/>
        </w:rPr>
        <w:br w:type="page"/>
      </w:r>
    </w:p>
    <w:p w14:paraId="36B17698" w14:textId="77777777" w:rsidR="0090044A" w:rsidRPr="002E58DC" w:rsidRDefault="0090044A" w:rsidP="002E58DC">
      <w:pPr>
        <w:pStyle w:val="Lgende"/>
        <w:spacing w:before="120"/>
        <w:jc w:val="center"/>
        <w:rPr>
          <w:sz w:val="20"/>
        </w:rPr>
      </w:pPr>
      <w:bookmarkStart w:id="1045" w:name="_Toc100753950"/>
      <w:bookmarkStart w:id="1046" w:name="_Toc127957860"/>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64</w:t>
      </w:r>
      <w:r w:rsidRPr="002E58DC">
        <w:rPr>
          <w:sz w:val="20"/>
        </w:rPr>
        <w:fldChar w:fldCharType="end"/>
      </w:r>
      <w:r w:rsidRPr="002E58DC">
        <w:rPr>
          <w:sz w:val="20"/>
        </w:rPr>
        <w:t>. Evaluation l’impact -Création de champ électromagnétique</w:t>
      </w:r>
      <w:bookmarkEnd w:id="1045"/>
      <w:bookmarkEnd w:id="1046"/>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54"/>
        <w:gridCol w:w="1092"/>
        <w:gridCol w:w="898"/>
        <w:gridCol w:w="1338"/>
        <w:gridCol w:w="1285"/>
        <w:gridCol w:w="1064"/>
        <w:gridCol w:w="862"/>
        <w:tblGridChange w:id="1047">
          <w:tblGrid>
            <w:gridCol w:w="1695"/>
            <w:gridCol w:w="1054"/>
            <w:gridCol w:w="1092"/>
            <w:gridCol w:w="898"/>
            <w:gridCol w:w="1338"/>
            <w:gridCol w:w="1285"/>
            <w:gridCol w:w="1064"/>
            <w:gridCol w:w="862"/>
          </w:tblGrid>
        </w:tblGridChange>
      </w:tblGrid>
      <w:tr w:rsidR="00987831" w:rsidRPr="007F78CE" w14:paraId="2E23D2B9" w14:textId="77777777" w:rsidTr="00345918">
        <w:trPr>
          <w:jc w:val="center"/>
        </w:trPr>
        <w:tc>
          <w:tcPr>
            <w:tcW w:w="1695" w:type="dxa"/>
            <w:shd w:val="clear" w:color="auto" w:fill="BFBFBF"/>
          </w:tcPr>
          <w:p w14:paraId="511F6728" w14:textId="77777777" w:rsidR="00987831" w:rsidRPr="007F78CE" w:rsidRDefault="00987831" w:rsidP="007F78CE">
            <w:pPr>
              <w:spacing w:after="0" w:line="240" w:lineRule="auto"/>
              <w:rPr>
                <w:rFonts w:ascii="Arial Narrow" w:hAnsi="Arial Narrow"/>
                <w:b/>
                <w:bCs/>
                <w:sz w:val="20"/>
                <w:szCs w:val="20"/>
              </w:rPr>
            </w:pPr>
            <w:r>
              <w:rPr>
                <w:rFonts w:ascii="Arial Narrow" w:hAnsi="Arial Narrow"/>
                <w:b/>
                <w:bCs/>
                <w:sz w:val="20"/>
                <w:szCs w:val="20"/>
              </w:rPr>
              <w:t>Sous projet</w:t>
            </w:r>
          </w:p>
        </w:tc>
        <w:tc>
          <w:tcPr>
            <w:tcW w:w="1054" w:type="dxa"/>
            <w:shd w:val="clear" w:color="auto" w:fill="BFBFBF"/>
          </w:tcPr>
          <w:p w14:paraId="3CC53D60" w14:textId="77777777" w:rsidR="00987831" w:rsidRPr="007F78CE" w:rsidRDefault="00987831" w:rsidP="007F78CE">
            <w:pPr>
              <w:spacing w:after="0" w:line="240" w:lineRule="auto"/>
              <w:rPr>
                <w:rFonts w:ascii="Arial Narrow" w:hAnsi="Arial Narrow"/>
                <w:b/>
                <w:sz w:val="20"/>
                <w:szCs w:val="20"/>
              </w:rPr>
            </w:pPr>
            <w:r w:rsidRPr="007F78CE">
              <w:rPr>
                <w:rFonts w:ascii="Arial Narrow" w:hAnsi="Arial Narrow"/>
                <w:b/>
                <w:bCs/>
                <w:sz w:val="20"/>
                <w:szCs w:val="20"/>
              </w:rPr>
              <w:t xml:space="preserve">Intensité </w:t>
            </w:r>
          </w:p>
        </w:tc>
        <w:tc>
          <w:tcPr>
            <w:tcW w:w="1092" w:type="dxa"/>
            <w:shd w:val="clear" w:color="auto" w:fill="BFBFBF"/>
          </w:tcPr>
          <w:p w14:paraId="75D06F87" w14:textId="77777777" w:rsidR="00987831" w:rsidRPr="007F78CE" w:rsidRDefault="00987831"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898" w:type="dxa"/>
            <w:shd w:val="clear" w:color="auto" w:fill="BFBFBF"/>
          </w:tcPr>
          <w:p w14:paraId="58537E36" w14:textId="77777777" w:rsidR="00987831" w:rsidRPr="007F78CE" w:rsidRDefault="00987831"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338" w:type="dxa"/>
            <w:shd w:val="clear" w:color="auto" w:fill="BFBFBF"/>
          </w:tcPr>
          <w:p w14:paraId="161DB450" w14:textId="77777777" w:rsidR="00987831" w:rsidRPr="007F78CE" w:rsidRDefault="00987831"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285" w:type="dxa"/>
            <w:shd w:val="clear" w:color="auto" w:fill="BFBFBF"/>
          </w:tcPr>
          <w:p w14:paraId="0C9B1A9C" w14:textId="77777777" w:rsidR="00987831" w:rsidRPr="007F78CE" w:rsidRDefault="00987831"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auto"/>
          </w:tcPr>
          <w:p w14:paraId="35589955" w14:textId="77777777" w:rsidR="00987831" w:rsidRPr="007F78CE" w:rsidRDefault="00987831"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862" w:type="dxa"/>
            <w:shd w:val="clear" w:color="auto" w:fill="auto"/>
          </w:tcPr>
          <w:p w14:paraId="22FF105F" w14:textId="77777777" w:rsidR="00987831" w:rsidRPr="007F78CE" w:rsidRDefault="00987831" w:rsidP="007F78CE">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345918" w:rsidRPr="007F78CE" w14:paraId="72457D2B" w14:textId="77777777" w:rsidTr="00FB04F6">
        <w:trPr>
          <w:jc w:val="center"/>
        </w:trPr>
        <w:tc>
          <w:tcPr>
            <w:tcW w:w="1695" w:type="dxa"/>
          </w:tcPr>
          <w:p w14:paraId="2F57BE40" w14:textId="77777777" w:rsidR="00987831" w:rsidRPr="007F78CE" w:rsidRDefault="00987831" w:rsidP="00B434A6">
            <w:pPr>
              <w:spacing w:after="0" w:line="240" w:lineRule="auto"/>
              <w:contextualSpacing/>
              <w:rPr>
                <w:rFonts w:ascii="Arial Narrow" w:hAnsi="Arial Narrow" w:cs="Arial"/>
                <w:sz w:val="20"/>
                <w:szCs w:val="20"/>
              </w:rPr>
            </w:pPr>
            <w:r>
              <w:rPr>
                <w:rFonts w:ascii="Arial Narrow" w:hAnsi="Arial Narrow" w:cs="Arial"/>
                <w:sz w:val="20"/>
                <w:szCs w:val="20"/>
              </w:rPr>
              <w:t>Infrastructures numérique</w:t>
            </w:r>
            <w:r w:rsidR="00A73AF6">
              <w:rPr>
                <w:rFonts w:ascii="Arial Narrow" w:hAnsi="Arial Narrow" w:cs="Arial"/>
                <w:sz w:val="20"/>
                <w:szCs w:val="20"/>
              </w:rPr>
              <w:t>s</w:t>
            </w:r>
          </w:p>
        </w:tc>
        <w:tc>
          <w:tcPr>
            <w:tcW w:w="1054" w:type="dxa"/>
            <w:shd w:val="clear" w:color="auto" w:fill="auto"/>
          </w:tcPr>
          <w:p w14:paraId="542A7C2F" w14:textId="77777777" w:rsidR="00987831" w:rsidRPr="007F78CE" w:rsidRDefault="00987831"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Forte</w:t>
            </w:r>
          </w:p>
          <w:p w14:paraId="7CEAF63B"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092" w:type="dxa"/>
            <w:shd w:val="clear" w:color="auto" w:fill="auto"/>
          </w:tcPr>
          <w:p w14:paraId="5CF5297F"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4445D4EA"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898" w:type="dxa"/>
            <w:shd w:val="clear" w:color="auto" w:fill="auto"/>
          </w:tcPr>
          <w:p w14:paraId="4605DE70"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w:t>
            </w:r>
          </w:p>
          <w:p w14:paraId="6A3348D3"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38" w:type="dxa"/>
            <w:shd w:val="clear" w:color="auto" w:fill="auto"/>
          </w:tcPr>
          <w:p w14:paraId="4C7DB432"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0D76D170"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85" w:type="dxa"/>
            <w:shd w:val="clear" w:color="auto" w:fill="FFFF00"/>
          </w:tcPr>
          <w:p w14:paraId="224D5F0D"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0D443364"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(7)</w:t>
            </w:r>
          </w:p>
        </w:tc>
        <w:tc>
          <w:tcPr>
            <w:tcW w:w="1064" w:type="dxa"/>
            <w:shd w:val="clear" w:color="auto" w:fill="auto"/>
          </w:tcPr>
          <w:p w14:paraId="0C74499D" w14:textId="77777777" w:rsidR="00987831" w:rsidRPr="007F78CE" w:rsidRDefault="00987831" w:rsidP="007F78CE">
            <w:pPr>
              <w:spacing w:after="0" w:line="240" w:lineRule="auto"/>
              <w:contextualSpacing/>
              <w:jc w:val="center"/>
              <w:rPr>
                <w:rFonts w:ascii="Arial Narrow" w:hAnsi="Arial Narrow" w:cs="Arial"/>
                <w:sz w:val="20"/>
                <w:szCs w:val="20"/>
              </w:rPr>
            </w:pPr>
            <w:r w:rsidRPr="00A02CA2">
              <w:rPr>
                <w:rFonts w:ascii="Arial Narrow" w:hAnsi="Arial Narrow" w:cs="Arial"/>
                <w:sz w:val="20"/>
                <w:szCs w:val="20"/>
              </w:rPr>
              <w:t xml:space="preserve">Faible </w:t>
            </w:r>
          </w:p>
        </w:tc>
        <w:tc>
          <w:tcPr>
            <w:tcW w:w="862" w:type="dxa"/>
            <w:shd w:val="clear" w:color="auto" w:fill="BFBFBF"/>
          </w:tcPr>
          <w:p w14:paraId="6438CE0C" w14:textId="77777777" w:rsidR="00987831" w:rsidRPr="007F78CE" w:rsidRDefault="00987831" w:rsidP="007F78CE">
            <w:pPr>
              <w:spacing w:after="0" w:line="240" w:lineRule="auto"/>
              <w:contextualSpacing/>
              <w:jc w:val="center"/>
              <w:rPr>
                <w:rFonts w:ascii="Arial Narrow" w:hAnsi="Arial Narrow" w:cs="Arial"/>
                <w:sz w:val="20"/>
                <w:szCs w:val="20"/>
              </w:rPr>
            </w:pPr>
            <w:r w:rsidRPr="00A02CA2">
              <w:rPr>
                <w:rFonts w:ascii="Arial Narrow" w:hAnsi="Arial Narrow" w:cs="Arial"/>
                <w:sz w:val="20"/>
                <w:szCs w:val="20"/>
              </w:rPr>
              <w:t xml:space="preserve">Faible </w:t>
            </w:r>
          </w:p>
        </w:tc>
      </w:tr>
      <w:tr w:rsidR="00345918" w:rsidRPr="007F78CE" w14:paraId="43BE15E1" w14:textId="77777777" w:rsidTr="00FB04F6">
        <w:trPr>
          <w:jc w:val="center"/>
        </w:trPr>
        <w:tc>
          <w:tcPr>
            <w:tcW w:w="1695" w:type="dxa"/>
          </w:tcPr>
          <w:p w14:paraId="6EDFE084" w14:textId="77777777" w:rsidR="00987831" w:rsidRPr="007F78CE" w:rsidRDefault="00987831" w:rsidP="00B434A6">
            <w:pPr>
              <w:spacing w:after="0" w:line="240" w:lineRule="auto"/>
              <w:contextualSpacing/>
              <w:rPr>
                <w:rFonts w:ascii="Arial Narrow" w:hAnsi="Arial Narrow" w:cs="Arial"/>
                <w:sz w:val="20"/>
                <w:szCs w:val="20"/>
              </w:rPr>
            </w:pPr>
            <w:r>
              <w:rPr>
                <w:rFonts w:ascii="Arial Narrow" w:hAnsi="Arial Narrow" w:cs="Arial"/>
                <w:sz w:val="20"/>
                <w:szCs w:val="20"/>
              </w:rPr>
              <w:t>Centrale électrique solaire</w:t>
            </w:r>
          </w:p>
        </w:tc>
        <w:tc>
          <w:tcPr>
            <w:tcW w:w="1054" w:type="dxa"/>
            <w:shd w:val="clear" w:color="auto" w:fill="auto"/>
          </w:tcPr>
          <w:p w14:paraId="1DB51893" w14:textId="77777777" w:rsidR="00987831" w:rsidRPr="007F78CE" w:rsidRDefault="00987831" w:rsidP="00114831">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Forte</w:t>
            </w:r>
          </w:p>
          <w:p w14:paraId="477C732D"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092" w:type="dxa"/>
            <w:shd w:val="clear" w:color="auto" w:fill="auto"/>
          </w:tcPr>
          <w:p w14:paraId="0C5B72E5" w14:textId="77777777" w:rsidR="00987831" w:rsidRPr="007F78CE" w:rsidRDefault="00987831"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2B538419"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898" w:type="dxa"/>
            <w:shd w:val="clear" w:color="auto" w:fill="auto"/>
          </w:tcPr>
          <w:p w14:paraId="3DFF82CE" w14:textId="77777777" w:rsidR="00987831" w:rsidRPr="007F78CE" w:rsidRDefault="00987831"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w:t>
            </w:r>
          </w:p>
          <w:p w14:paraId="0E49FCDE"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38" w:type="dxa"/>
            <w:shd w:val="clear" w:color="auto" w:fill="auto"/>
          </w:tcPr>
          <w:p w14:paraId="477696EE" w14:textId="77777777" w:rsidR="00987831" w:rsidRPr="007F78CE" w:rsidRDefault="00987831"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2B8910D6"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85" w:type="dxa"/>
            <w:shd w:val="clear" w:color="auto" w:fill="FFFF00"/>
          </w:tcPr>
          <w:p w14:paraId="4457BC8E" w14:textId="77777777" w:rsidR="00987831" w:rsidRPr="007F78CE" w:rsidRDefault="00987831"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74E9731E" w14:textId="77777777" w:rsidR="00987831" w:rsidRPr="007F78CE" w:rsidRDefault="00987831"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(7)</w:t>
            </w:r>
          </w:p>
        </w:tc>
        <w:tc>
          <w:tcPr>
            <w:tcW w:w="1064" w:type="dxa"/>
            <w:shd w:val="clear" w:color="auto" w:fill="auto"/>
          </w:tcPr>
          <w:p w14:paraId="3AF23671" w14:textId="77777777" w:rsidR="00987831" w:rsidRPr="007F78CE" w:rsidRDefault="00987831" w:rsidP="00114831">
            <w:pPr>
              <w:spacing w:after="0" w:line="240" w:lineRule="auto"/>
              <w:contextualSpacing/>
              <w:jc w:val="center"/>
              <w:rPr>
                <w:rFonts w:ascii="Arial Narrow" w:hAnsi="Arial Narrow" w:cs="Arial"/>
                <w:sz w:val="20"/>
                <w:szCs w:val="20"/>
              </w:rPr>
            </w:pPr>
            <w:r w:rsidRPr="00A02CA2">
              <w:rPr>
                <w:rFonts w:ascii="Arial Narrow" w:hAnsi="Arial Narrow" w:cs="Arial"/>
                <w:sz w:val="20"/>
                <w:szCs w:val="20"/>
              </w:rPr>
              <w:t xml:space="preserve">Faible </w:t>
            </w:r>
          </w:p>
        </w:tc>
        <w:tc>
          <w:tcPr>
            <w:tcW w:w="862" w:type="dxa"/>
            <w:shd w:val="clear" w:color="auto" w:fill="BFBFBF"/>
          </w:tcPr>
          <w:p w14:paraId="791F604B" w14:textId="77777777" w:rsidR="00987831" w:rsidRPr="007F78CE" w:rsidRDefault="00987831" w:rsidP="00114831">
            <w:pPr>
              <w:spacing w:after="0" w:line="240" w:lineRule="auto"/>
              <w:contextualSpacing/>
              <w:jc w:val="center"/>
              <w:rPr>
                <w:rFonts w:ascii="Arial Narrow" w:hAnsi="Arial Narrow" w:cs="Arial"/>
                <w:sz w:val="20"/>
                <w:szCs w:val="20"/>
              </w:rPr>
            </w:pPr>
            <w:r w:rsidRPr="00A02CA2">
              <w:rPr>
                <w:rFonts w:ascii="Arial Narrow" w:hAnsi="Arial Narrow" w:cs="Arial"/>
                <w:sz w:val="20"/>
                <w:szCs w:val="20"/>
              </w:rPr>
              <w:t xml:space="preserve">Faible </w:t>
            </w:r>
          </w:p>
        </w:tc>
      </w:tr>
      <w:tr w:rsidR="00702DFF" w:rsidRPr="007F78CE" w14:paraId="0CC8B1E9" w14:textId="77777777" w:rsidTr="00FB04F6">
        <w:trPr>
          <w:jc w:val="center"/>
        </w:trPr>
        <w:tc>
          <w:tcPr>
            <w:tcW w:w="1695" w:type="dxa"/>
          </w:tcPr>
          <w:p w14:paraId="6E5A43A9" w14:textId="77777777" w:rsidR="00702DFF" w:rsidRDefault="00702DFF" w:rsidP="00B434A6">
            <w:pPr>
              <w:spacing w:after="0" w:line="240" w:lineRule="auto"/>
              <w:contextualSpacing/>
              <w:rPr>
                <w:rFonts w:ascii="Arial Narrow" w:hAnsi="Arial Narrow" w:cs="Arial"/>
                <w:sz w:val="20"/>
                <w:szCs w:val="20"/>
              </w:rPr>
            </w:pPr>
            <w:r>
              <w:rPr>
                <w:rFonts w:ascii="Arial Narrow" w:hAnsi="Arial Narrow" w:cs="Arial"/>
                <w:sz w:val="20"/>
                <w:szCs w:val="20"/>
              </w:rPr>
              <w:t>Impact cumulé</w:t>
            </w:r>
          </w:p>
        </w:tc>
        <w:tc>
          <w:tcPr>
            <w:tcW w:w="1054" w:type="dxa"/>
            <w:shd w:val="clear" w:color="auto" w:fill="auto"/>
          </w:tcPr>
          <w:p w14:paraId="17E28BF4" w14:textId="77777777" w:rsidR="00702DFF" w:rsidRPr="007F78CE" w:rsidRDefault="00702DFF" w:rsidP="00D70FB3">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Forte</w:t>
            </w:r>
          </w:p>
          <w:p w14:paraId="691FD64C" w14:textId="77777777" w:rsidR="00702DFF" w:rsidRPr="007F78CE" w:rsidRDefault="00702DFF"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092" w:type="dxa"/>
            <w:shd w:val="clear" w:color="auto" w:fill="auto"/>
          </w:tcPr>
          <w:p w14:paraId="056D0677" w14:textId="77777777" w:rsidR="00702DFF" w:rsidRPr="007F78CE" w:rsidRDefault="00702DFF"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429DC970" w14:textId="77777777" w:rsidR="00702DFF" w:rsidRPr="007F78CE" w:rsidRDefault="00702DFF"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898" w:type="dxa"/>
            <w:shd w:val="clear" w:color="auto" w:fill="auto"/>
          </w:tcPr>
          <w:p w14:paraId="3A45AF18" w14:textId="77777777" w:rsidR="00702DFF" w:rsidRPr="007F78CE" w:rsidRDefault="00702DFF"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w:t>
            </w:r>
          </w:p>
          <w:p w14:paraId="1E5B0AA8" w14:textId="77777777" w:rsidR="00702DFF" w:rsidRPr="007F78CE" w:rsidRDefault="00702DFF"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38" w:type="dxa"/>
            <w:shd w:val="clear" w:color="auto" w:fill="auto"/>
          </w:tcPr>
          <w:p w14:paraId="25B487D4" w14:textId="77777777" w:rsidR="00702DFF" w:rsidRPr="007F78CE" w:rsidRDefault="00702DFF"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19CB9DB8" w14:textId="77777777" w:rsidR="00702DFF" w:rsidRPr="007F78CE" w:rsidRDefault="00702DFF"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85" w:type="dxa"/>
            <w:shd w:val="clear" w:color="auto" w:fill="FFFF00"/>
          </w:tcPr>
          <w:p w14:paraId="336E5D2F" w14:textId="77777777" w:rsidR="00702DFF" w:rsidRPr="007F78CE" w:rsidRDefault="00702DFF"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2BF9968A" w14:textId="77777777" w:rsidR="00702DFF" w:rsidRPr="007F78CE" w:rsidRDefault="00702DFF"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(7)</w:t>
            </w:r>
          </w:p>
        </w:tc>
        <w:tc>
          <w:tcPr>
            <w:tcW w:w="1064" w:type="dxa"/>
            <w:shd w:val="clear" w:color="auto" w:fill="auto"/>
          </w:tcPr>
          <w:p w14:paraId="2110E408" w14:textId="77777777" w:rsidR="00702DFF" w:rsidRPr="00A02CA2" w:rsidRDefault="00702DFF" w:rsidP="00114831">
            <w:pPr>
              <w:spacing w:after="0" w:line="240" w:lineRule="auto"/>
              <w:contextualSpacing/>
              <w:jc w:val="center"/>
              <w:rPr>
                <w:rFonts w:ascii="Arial Narrow" w:hAnsi="Arial Narrow" w:cs="Arial"/>
                <w:sz w:val="20"/>
                <w:szCs w:val="20"/>
              </w:rPr>
            </w:pPr>
            <w:r w:rsidRPr="00A02CA2">
              <w:rPr>
                <w:rFonts w:ascii="Arial Narrow" w:hAnsi="Arial Narrow" w:cs="Arial"/>
                <w:sz w:val="20"/>
                <w:szCs w:val="20"/>
              </w:rPr>
              <w:t xml:space="preserve">Faible </w:t>
            </w:r>
          </w:p>
        </w:tc>
        <w:tc>
          <w:tcPr>
            <w:tcW w:w="862" w:type="dxa"/>
            <w:shd w:val="clear" w:color="auto" w:fill="BFBFBF"/>
          </w:tcPr>
          <w:p w14:paraId="2008CDB7" w14:textId="77777777" w:rsidR="00702DFF" w:rsidRPr="00A02CA2" w:rsidRDefault="00702DFF" w:rsidP="00114831">
            <w:pPr>
              <w:spacing w:after="0" w:line="240" w:lineRule="auto"/>
              <w:contextualSpacing/>
              <w:jc w:val="center"/>
              <w:rPr>
                <w:rFonts w:ascii="Arial Narrow" w:hAnsi="Arial Narrow" w:cs="Arial"/>
                <w:sz w:val="20"/>
                <w:szCs w:val="20"/>
              </w:rPr>
            </w:pPr>
            <w:r w:rsidRPr="00A02CA2">
              <w:rPr>
                <w:rFonts w:ascii="Arial Narrow" w:hAnsi="Arial Narrow" w:cs="Arial"/>
                <w:sz w:val="20"/>
                <w:szCs w:val="20"/>
              </w:rPr>
              <w:t xml:space="preserve">Faible </w:t>
            </w:r>
          </w:p>
        </w:tc>
      </w:tr>
    </w:tbl>
    <w:p w14:paraId="0A5DF59D" w14:textId="77777777" w:rsidR="0090044A" w:rsidRPr="00974D25" w:rsidRDefault="0090044A" w:rsidP="00F01166">
      <w:pPr>
        <w:pStyle w:val="Normal12"/>
        <w:numPr>
          <w:ilvl w:val="0"/>
          <w:numId w:val="85"/>
        </w:numPr>
        <w:spacing w:before="120" w:after="120"/>
        <w:contextualSpacing/>
        <w:rPr>
          <w:i/>
          <w:iCs/>
          <w:lang w:val="fr-FR"/>
        </w:rPr>
      </w:pPr>
      <w:r w:rsidRPr="00974D25">
        <w:rPr>
          <w:i/>
          <w:iCs/>
          <w:lang w:val="fr-FR"/>
        </w:rPr>
        <w:t>Risque d’accident, d’incendie et/ou d’explosion</w:t>
      </w:r>
    </w:p>
    <w:p w14:paraId="51A443D4" w14:textId="77777777" w:rsidR="0090044A" w:rsidRPr="00C41583" w:rsidRDefault="0090044A" w:rsidP="00C41583">
      <w:pPr>
        <w:spacing w:line="240" w:lineRule="auto"/>
        <w:jc w:val="both"/>
        <w:rPr>
          <w:rFonts w:ascii="Arial" w:hAnsi="Arial" w:cs="Arial"/>
        </w:rPr>
      </w:pPr>
      <w:r w:rsidRPr="00C41583">
        <w:rPr>
          <w:rFonts w:ascii="Arial" w:hAnsi="Arial" w:cs="Arial"/>
        </w:rPr>
        <w:t xml:space="preserve">Les risques liés à l’accident, l’incendie et/ou explosion existent en raison de la présence d’équipement électrique, </w:t>
      </w:r>
      <w:r w:rsidR="00FA09AD">
        <w:rPr>
          <w:rFonts w:ascii="Arial" w:hAnsi="Arial" w:cs="Arial"/>
        </w:rPr>
        <w:t>d</w:t>
      </w:r>
      <w:r w:rsidRPr="00C41583">
        <w:rPr>
          <w:rFonts w:ascii="Arial" w:hAnsi="Arial" w:cs="Arial"/>
        </w:rPr>
        <w:t xml:space="preserve">es systèmes de climatisation, de surveillance et d’éclairage dans le site, </w:t>
      </w:r>
      <w:r w:rsidR="00FA09AD">
        <w:rPr>
          <w:rFonts w:ascii="Arial" w:hAnsi="Arial" w:cs="Arial"/>
        </w:rPr>
        <w:t xml:space="preserve">de </w:t>
      </w:r>
      <w:r w:rsidRPr="00C41583">
        <w:rPr>
          <w:rFonts w:ascii="Arial" w:hAnsi="Arial" w:cs="Arial"/>
        </w:rPr>
        <w:t>la réserve de carburant dans le cas de centrale hybride. L’accident peut subvenir lors de l’entretien et la maintenance des divers matériels dans le site. Il peut se manifester par :</w:t>
      </w:r>
    </w:p>
    <w:p w14:paraId="25CAF3E9" w14:textId="77777777" w:rsidR="0090044A" w:rsidRPr="00C41583" w:rsidRDefault="0090044A" w:rsidP="00687DD2">
      <w:pPr>
        <w:numPr>
          <w:ilvl w:val="0"/>
          <w:numId w:val="100"/>
        </w:numPr>
        <w:spacing w:after="0" w:line="240" w:lineRule="auto"/>
        <w:contextualSpacing/>
        <w:jc w:val="both"/>
        <w:rPr>
          <w:rFonts w:ascii="Arial" w:hAnsi="Arial" w:cs="Arial"/>
        </w:rPr>
      </w:pPr>
      <w:r w:rsidRPr="00C41583">
        <w:rPr>
          <w:rFonts w:ascii="Arial" w:hAnsi="Arial" w:cs="Arial"/>
          <w:b/>
        </w:rPr>
        <w:t>Electrocution</w:t>
      </w:r>
      <w:r w:rsidRPr="00C41583">
        <w:rPr>
          <w:rFonts w:ascii="Arial" w:hAnsi="Arial" w:cs="Arial"/>
        </w:rPr>
        <w:t xml:space="preserve"> causée par le contact des ouvriers avec les lignes électriques ;</w:t>
      </w:r>
    </w:p>
    <w:p w14:paraId="75FBE797" w14:textId="77777777" w:rsidR="0090044A" w:rsidRPr="00C41583" w:rsidRDefault="0090044A" w:rsidP="00687DD2">
      <w:pPr>
        <w:numPr>
          <w:ilvl w:val="0"/>
          <w:numId w:val="92"/>
        </w:numPr>
        <w:spacing w:after="0" w:line="240" w:lineRule="auto"/>
        <w:contextualSpacing/>
        <w:jc w:val="both"/>
        <w:rPr>
          <w:rFonts w:ascii="Arial" w:hAnsi="Arial" w:cs="Arial"/>
        </w:rPr>
      </w:pPr>
      <w:r w:rsidRPr="00C41583">
        <w:rPr>
          <w:rFonts w:ascii="Arial" w:hAnsi="Arial" w:cs="Arial"/>
          <w:b/>
        </w:rPr>
        <w:t xml:space="preserve">Blessures diverses </w:t>
      </w:r>
      <w:r w:rsidRPr="00C41583">
        <w:rPr>
          <w:rFonts w:ascii="Arial" w:hAnsi="Arial" w:cs="Arial"/>
        </w:rPr>
        <w:t xml:space="preserve">occasionnées par l’utilisation des matériels comme les objets pointus ou tranchant (tourne visse, couteaux, …), </w:t>
      </w:r>
    </w:p>
    <w:p w14:paraId="5BF083AA" w14:textId="77777777" w:rsidR="0090044A" w:rsidRDefault="0090044A" w:rsidP="00687DD2">
      <w:pPr>
        <w:numPr>
          <w:ilvl w:val="0"/>
          <w:numId w:val="92"/>
        </w:numPr>
        <w:spacing w:after="0" w:line="240" w:lineRule="auto"/>
        <w:contextualSpacing/>
        <w:jc w:val="both"/>
        <w:rPr>
          <w:rFonts w:ascii="Arial" w:hAnsi="Arial" w:cs="Arial"/>
        </w:rPr>
      </w:pPr>
      <w:r w:rsidRPr="00C41583">
        <w:rPr>
          <w:rFonts w:ascii="Arial" w:hAnsi="Arial" w:cs="Arial"/>
          <w:b/>
        </w:rPr>
        <w:t xml:space="preserve">Court-circuit </w:t>
      </w:r>
      <w:r w:rsidRPr="00C41583">
        <w:rPr>
          <w:rFonts w:ascii="Arial" w:hAnsi="Arial" w:cs="Arial"/>
        </w:rPr>
        <w:t xml:space="preserve">des lignes électriques au niveau des fils conducteurs. </w:t>
      </w:r>
    </w:p>
    <w:p w14:paraId="34F7FBAE" w14:textId="77777777" w:rsidR="005727FD" w:rsidRPr="00742D67" w:rsidRDefault="005727FD" w:rsidP="00687DD2">
      <w:pPr>
        <w:numPr>
          <w:ilvl w:val="0"/>
          <w:numId w:val="92"/>
        </w:numPr>
        <w:spacing w:after="0" w:line="240" w:lineRule="auto"/>
        <w:contextualSpacing/>
        <w:jc w:val="both"/>
        <w:rPr>
          <w:rFonts w:ascii="Arial" w:hAnsi="Arial" w:cs="Arial"/>
        </w:rPr>
      </w:pPr>
      <w:r w:rsidRPr="00742D67">
        <w:rPr>
          <w:rFonts w:ascii="Arial" w:hAnsi="Arial" w:cs="Arial"/>
          <w:b/>
        </w:rPr>
        <w:t xml:space="preserve">Travail en hauteur </w:t>
      </w:r>
      <w:r w:rsidRPr="00742D67">
        <w:rPr>
          <w:rFonts w:ascii="Arial" w:hAnsi="Arial" w:cs="Arial"/>
        </w:rPr>
        <w:t>pour l’entretien des tours cellulaires et les antennes</w:t>
      </w:r>
      <w:r w:rsidR="00E43024" w:rsidRPr="00742D67">
        <w:rPr>
          <w:rFonts w:ascii="Arial" w:hAnsi="Arial" w:cs="Arial"/>
        </w:rPr>
        <w:t> ;</w:t>
      </w:r>
    </w:p>
    <w:p w14:paraId="287F23C5" w14:textId="77777777" w:rsidR="005727FD" w:rsidRPr="00C41583" w:rsidRDefault="005727FD" w:rsidP="00687DD2">
      <w:pPr>
        <w:numPr>
          <w:ilvl w:val="0"/>
          <w:numId w:val="92"/>
        </w:numPr>
        <w:spacing w:after="0" w:line="240" w:lineRule="auto"/>
        <w:contextualSpacing/>
        <w:jc w:val="both"/>
        <w:rPr>
          <w:rFonts w:ascii="Arial" w:hAnsi="Arial" w:cs="Arial"/>
        </w:rPr>
      </w:pPr>
      <w:r>
        <w:rPr>
          <w:rFonts w:ascii="Arial" w:hAnsi="Arial" w:cs="Arial"/>
          <w:b/>
        </w:rPr>
        <w:t>Travail à proximité des sources de CEM</w:t>
      </w:r>
      <w:r w:rsidR="00E43024">
        <w:rPr>
          <w:rFonts w:ascii="Arial" w:hAnsi="Arial" w:cs="Arial"/>
          <w:b/>
        </w:rPr>
        <w:t>.</w:t>
      </w:r>
      <w:r w:rsidRPr="00B434A6">
        <w:rPr>
          <w:rFonts w:ascii="Arial" w:hAnsi="Arial" w:cs="Arial"/>
        </w:rPr>
        <w:t xml:space="preserve"> </w:t>
      </w:r>
    </w:p>
    <w:p w14:paraId="308C0313" w14:textId="77777777" w:rsidR="005727FD" w:rsidRDefault="005727FD" w:rsidP="00C41583">
      <w:pPr>
        <w:spacing w:line="240" w:lineRule="auto"/>
        <w:jc w:val="both"/>
        <w:rPr>
          <w:rFonts w:ascii="Arial" w:hAnsi="Arial" w:cs="Arial"/>
        </w:rPr>
      </w:pPr>
    </w:p>
    <w:p w14:paraId="065EC6D3" w14:textId="77777777" w:rsidR="0090044A" w:rsidRPr="00C41583" w:rsidRDefault="0090044A" w:rsidP="00C41583">
      <w:pPr>
        <w:spacing w:line="240" w:lineRule="auto"/>
        <w:jc w:val="both"/>
        <w:rPr>
          <w:rFonts w:ascii="Arial" w:hAnsi="Arial" w:cs="Arial"/>
        </w:rPr>
      </w:pPr>
      <w:r w:rsidRPr="00C41583">
        <w:rPr>
          <w:rFonts w:ascii="Arial" w:hAnsi="Arial" w:cs="Arial"/>
        </w:rPr>
        <w:t>L’évaluation de cet impact peut être considér</w:t>
      </w:r>
      <w:r w:rsidR="00FA09AD">
        <w:rPr>
          <w:rFonts w:ascii="Arial" w:hAnsi="Arial" w:cs="Arial"/>
        </w:rPr>
        <w:t>é</w:t>
      </w:r>
      <w:r w:rsidRPr="00C41583">
        <w:rPr>
          <w:rFonts w:ascii="Arial" w:hAnsi="Arial" w:cs="Arial"/>
        </w:rPr>
        <w:t xml:space="preserve"> comme « Moyenne »</w:t>
      </w:r>
      <w:r w:rsidR="00317C45">
        <w:rPr>
          <w:rFonts w:ascii="Arial" w:hAnsi="Arial" w:cs="Arial"/>
        </w:rPr>
        <w:t xml:space="preserve"> </w:t>
      </w:r>
      <w:r w:rsidR="00AD121B">
        <w:rPr>
          <w:rFonts w:ascii="Arial" w:hAnsi="Arial" w:cs="Arial"/>
        </w:rPr>
        <w:t xml:space="preserve">et le niveau de risque est évalué comme élevé </w:t>
      </w:r>
      <w:r w:rsidR="00317C45">
        <w:rPr>
          <w:rFonts w:ascii="Arial" w:hAnsi="Arial" w:cs="Arial"/>
        </w:rPr>
        <w:t>selon le tableau suivant</w:t>
      </w:r>
      <w:r w:rsidRPr="00C41583">
        <w:rPr>
          <w:rFonts w:ascii="Arial" w:hAnsi="Arial" w:cs="Arial"/>
        </w:rPr>
        <w:t>.</w:t>
      </w:r>
    </w:p>
    <w:p w14:paraId="7CFE34BC" w14:textId="77777777" w:rsidR="0090044A" w:rsidRPr="002E58DC" w:rsidRDefault="0090044A" w:rsidP="002E58DC">
      <w:pPr>
        <w:pStyle w:val="Lgende"/>
        <w:spacing w:before="120"/>
        <w:jc w:val="center"/>
        <w:rPr>
          <w:sz w:val="20"/>
        </w:rPr>
      </w:pPr>
      <w:bookmarkStart w:id="1048" w:name="_Toc100753951"/>
      <w:bookmarkStart w:id="1049" w:name="_Toc127957861"/>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65</w:t>
      </w:r>
      <w:r w:rsidRPr="002E58DC">
        <w:rPr>
          <w:sz w:val="20"/>
        </w:rPr>
        <w:fldChar w:fldCharType="end"/>
      </w:r>
      <w:r w:rsidRPr="002E58DC">
        <w:rPr>
          <w:sz w:val="20"/>
        </w:rPr>
        <w:t xml:space="preserve">. Evaluation </w:t>
      </w:r>
      <w:r w:rsidR="00067C78">
        <w:rPr>
          <w:sz w:val="20"/>
        </w:rPr>
        <w:t xml:space="preserve">de </w:t>
      </w:r>
      <w:r w:rsidRPr="002E58DC">
        <w:rPr>
          <w:sz w:val="20"/>
        </w:rPr>
        <w:t>l’impact -Risques d’accident et d’incendie</w:t>
      </w:r>
      <w:bookmarkEnd w:id="1048"/>
      <w:bookmarkEnd w:id="1049"/>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050"/>
        <w:gridCol w:w="1089"/>
        <w:gridCol w:w="908"/>
        <w:gridCol w:w="1334"/>
        <w:gridCol w:w="1281"/>
        <w:gridCol w:w="1064"/>
        <w:gridCol w:w="861"/>
        <w:tblGridChange w:id="1050">
          <w:tblGrid>
            <w:gridCol w:w="1701"/>
            <w:gridCol w:w="1050"/>
            <w:gridCol w:w="1089"/>
            <w:gridCol w:w="908"/>
            <w:gridCol w:w="1334"/>
            <w:gridCol w:w="1281"/>
            <w:gridCol w:w="1064"/>
            <w:gridCol w:w="861"/>
          </w:tblGrid>
        </w:tblGridChange>
      </w:tblGrid>
      <w:tr w:rsidR="00AD121B" w:rsidRPr="007F78CE" w14:paraId="2B202E60" w14:textId="77777777" w:rsidTr="00345918">
        <w:trPr>
          <w:jc w:val="center"/>
        </w:trPr>
        <w:tc>
          <w:tcPr>
            <w:tcW w:w="1701" w:type="dxa"/>
            <w:shd w:val="clear" w:color="auto" w:fill="BFBFBF"/>
          </w:tcPr>
          <w:p w14:paraId="3F3A1751" w14:textId="77777777" w:rsidR="00AD121B" w:rsidRPr="007F78CE" w:rsidRDefault="00AD121B" w:rsidP="00B434A6">
            <w:pPr>
              <w:spacing w:after="0" w:line="240" w:lineRule="auto"/>
              <w:jc w:val="center"/>
              <w:rPr>
                <w:rFonts w:ascii="Arial Narrow" w:hAnsi="Arial Narrow"/>
                <w:b/>
                <w:bCs/>
                <w:sz w:val="20"/>
                <w:szCs w:val="20"/>
              </w:rPr>
            </w:pPr>
            <w:r>
              <w:rPr>
                <w:rFonts w:ascii="Arial Narrow" w:hAnsi="Arial Narrow"/>
                <w:b/>
                <w:bCs/>
                <w:sz w:val="20"/>
                <w:szCs w:val="20"/>
              </w:rPr>
              <w:t>Sous Projet</w:t>
            </w:r>
          </w:p>
        </w:tc>
        <w:tc>
          <w:tcPr>
            <w:tcW w:w="1050" w:type="dxa"/>
            <w:shd w:val="clear" w:color="auto" w:fill="BFBFBF"/>
          </w:tcPr>
          <w:p w14:paraId="329D648E" w14:textId="77777777" w:rsidR="00AD121B" w:rsidRPr="007F78CE" w:rsidRDefault="00AD121B"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089" w:type="dxa"/>
            <w:shd w:val="clear" w:color="auto" w:fill="BFBFBF"/>
          </w:tcPr>
          <w:p w14:paraId="5B27652A" w14:textId="77777777" w:rsidR="00AD121B" w:rsidRPr="007F78CE" w:rsidRDefault="00AD121B"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908" w:type="dxa"/>
            <w:shd w:val="clear" w:color="auto" w:fill="BFBFBF"/>
          </w:tcPr>
          <w:p w14:paraId="1160E456" w14:textId="77777777" w:rsidR="00AD121B" w:rsidRPr="007F78CE" w:rsidRDefault="00AD121B"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334" w:type="dxa"/>
            <w:shd w:val="clear" w:color="auto" w:fill="BFBFBF"/>
          </w:tcPr>
          <w:p w14:paraId="4D24762E" w14:textId="77777777" w:rsidR="00AD121B" w:rsidRPr="007F78CE" w:rsidRDefault="00AD121B"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281" w:type="dxa"/>
            <w:shd w:val="clear" w:color="auto" w:fill="BFBFBF"/>
          </w:tcPr>
          <w:p w14:paraId="0AD6B2BB" w14:textId="77777777" w:rsidR="00AD121B" w:rsidRPr="007F78CE" w:rsidRDefault="00AD121B"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auto"/>
          </w:tcPr>
          <w:p w14:paraId="6993789D" w14:textId="77777777" w:rsidR="00AD121B" w:rsidRPr="007F78CE" w:rsidRDefault="00AD121B"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861" w:type="dxa"/>
            <w:shd w:val="clear" w:color="auto" w:fill="auto"/>
          </w:tcPr>
          <w:p w14:paraId="59870037" w14:textId="77777777" w:rsidR="00AD121B" w:rsidRPr="007F78CE" w:rsidRDefault="00AD121B" w:rsidP="007F78CE">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AD121B" w:rsidRPr="007F78CE" w14:paraId="349DC061" w14:textId="77777777" w:rsidTr="00345918">
        <w:trPr>
          <w:jc w:val="center"/>
        </w:trPr>
        <w:tc>
          <w:tcPr>
            <w:tcW w:w="1701" w:type="dxa"/>
          </w:tcPr>
          <w:p w14:paraId="0C9FDE0A" w14:textId="77777777" w:rsidR="00AD121B" w:rsidRPr="007F78CE" w:rsidRDefault="00AD121B" w:rsidP="00345918">
            <w:pPr>
              <w:spacing w:after="0" w:line="240" w:lineRule="auto"/>
              <w:contextualSpacing/>
              <w:rPr>
                <w:rFonts w:ascii="Arial Narrow" w:hAnsi="Arial Narrow" w:cs="Arial"/>
                <w:sz w:val="20"/>
                <w:szCs w:val="20"/>
              </w:rPr>
            </w:pPr>
            <w:r>
              <w:rPr>
                <w:rFonts w:ascii="Arial Narrow" w:hAnsi="Arial Narrow" w:cs="Arial"/>
                <w:sz w:val="20"/>
                <w:szCs w:val="20"/>
              </w:rPr>
              <w:t>Infrastructures numériques</w:t>
            </w:r>
          </w:p>
        </w:tc>
        <w:tc>
          <w:tcPr>
            <w:tcW w:w="1050" w:type="dxa"/>
            <w:shd w:val="clear" w:color="auto" w:fill="auto"/>
          </w:tcPr>
          <w:p w14:paraId="6C15CBD8" w14:textId="77777777" w:rsidR="00AD121B" w:rsidRPr="007F78CE" w:rsidRDefault="00AD121B"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Forte</w:t>
            </w:r>
          </w:p>
          <w:p w14:paraId="1B3A0FBD"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089" w:type="dxa"/>
            <w:shd w:val="clear" w:color="auto" w:fill="auto"/>
          </w:tcPr>
          <w:p w14:paraId="1D7A794A"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7E8BC520"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08" w:type="dxa"/>
            <w:shd w:val="clear" w:color="auto" w:fill="auto"/>
          </w:tcPr>
          <w:p w14:paraId="53165423"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1AA691C4"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34" w:type="dxa"/>
            <w:shd w:val="clear" w:color="auto" w:fill="auto"/>
          </w:tcPr>
          <w:p w14:paraId="0332D7E2"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5090BE1C"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81" w:type="dxa"/>
            <w:shd w:val="clear" w:color="auto" w:fill="FFFF00"/>
          </w:tcPr>
          <w:p w14:paraId="5BDA1D2D"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599E327E"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tcPr>
          <w:p w14:paraId="2504023D" w14:textId="77777777" w:rsidR="00AD121B" w:rsidRPr="007F78CE" w:rsidRDefault="00AD121B"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861" w:type="dxa"/>
            <w:shd w:val="clear" w:color="auto" w:fill="FFC000"/>
          </w:tcPr>
          <w:p w14:paraId="25D6984E" w14:textId="77777777" w:rsidR="00AD121B" w:rsidRPr="007F78CE" w:rsidRDefault="00AD121B"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Elevé </w:t>
            </w:r>
          </w:p>
        </w:tc>
      </w:tr>
      <w:tr w:rsidR="00AD121B" w:rsidRPr="007F78CE" w14:paraId="52F1830B" w14:textId="77777777" w:rsidTr="00345918">
        <w:trPr>
          <w:jc w:val="center"/>
        </w:trPr>
        <w:tc>
          <w:tcPr>
            <w:tcW w:w="1701" w:type="dxa"/>
          </w:tcPr>
          <w:p w14:paraId="22EA0D20" w14:textId="77777777" w:rsidR="00AD121B" w:rsidRPr="007F78CE" w:rsidRDefault="00AD121B" w:rsidP="00B434A6">
            <w:pPr>
              <w:spacing w:after="0" w:line="240" w:lineRule="auto"/>
              <w:contextualSpacing/>
              <w:rPr>
                <w:rFonts w:ascii="Arial Narrow" w:hAnsi="Arial Narrow" w:cs="Arial"/>
                <w:sz w:val="20"/>
                <w:szCs w:val="20"/>
              </w:rPr>
            </w:pPr>
            <w:r>
              <w:rPr>
                <w:rFonts w:ascii="Arial Narrow" w:hAnsi="Arial Narrow" w:cs="Arial"/>
                <w:sz w:val="20"/>
                <w:szCs w:val="20"/>
              </w:rPr>
              <w:t>Centrale solaire</w:t>
            </w:r>
          </w:p>
        </w:tc>
        <w:tc>
          <w:tcPr>
            <w:tcW w:w="1050" w:type="dxa"/>
            <w:shd w:val="clear" w:color="auto" w:fill="auto"/>
          </w:tcPr>
          <w:p w14:paraId="08064DD5" w14:textId="77777777" w:rsidR="00AD121B" w:rsidRPr="007F78CE" w:rsidRDefault="00AD121B" w:rsidP="00114831">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Forte</w:t>
            </w:r>
          </w:p>
          <w:p w14:paraId="74E4A99C"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089" w:type="dxa"/>
            <w:shd w:val="clear" w:color="auto" w:fill="auto"/>
          </w:tcPr>
          <w:p w14:paraId="034BBF96" w14:textId="77777777" w:rsidR="00AD121B" w:rsidRPr="007F78CE" w:rsidRDefault="00AD121B"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0C017EFD"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08" w:type="dxa"/>
            <w:shd w:val="clear" w:color="auto" w:fill="auto"/>
          </w:tcPr>
          <w:p w14:paraId="30716ACF" w14:textId="77777777" w:rsidR="00AD121B" w:rsidRPr="007F78CE" w:rsidRDefault="00AD121B"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0A1B48D5"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34" w:type="dxa"/>
            <w:shd w:val="clear" w:color="auto" w:fill="auto"/>
          </w:tcPr>
          <w:p w14:paraId="53C5BC1A" w14:textId="77777777" w:rsidR="00AD121B" w:rsidRPr="007F78CE" w:rsidRDefault="00AD121B"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63CE13C9"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81" w:type="dxa"/>
            <w:shd w:val="clear" w:color="auto" w:fill="FFFF00"/>
          </w:tcPr>
          <w:p w14:paraId="73DA028C" w14:textId="77777777" w:rsidR="00AD121B" w:rsidRPr="007F78CE" w:rsidRDefault="00AD121B"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0DA0B0B8"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tcPr>
          <w:p w14:paraId="68A8400F" w14:textId="77777777" w:rsidR="00AD121B" w:rsidRPr="007F78CE" w:rsidRDefault="00AD121B" w:rsidP="00114831">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Moyenne </w:t>
            </w:r>
          </w:p>
        </w:tc>
        <w:tc>
          <w:tcPr>
            <w:tcW w:w="861" w:type="dxa"/>
            <w:shd w:val="clear" w:color="auto" w:fill="FFC000"/>
          </w:tcPr>
          <w:p w14:paraId="19AE68A7" w14:textId="77777777" w:rsidR="00AD121B" w:rsidRPr="007F78CE" w:rsidRDefault="00AD121B" w:rsidP="00114831">
            <w:pPr>
              <w:spacing w:after="0" w:line="240" w:lineRule="auto"/>
              <w:contextualSpacing/>
              <w:jc w:val="center"/>
              <w:rPr>
                <w:rFonts w:ascii="Arial Narrow" w:hAnsi="Arial Narrow" w:cs="Arial"/>
                <w:sz w:val="20"/>
                <w:szCs w:val="20"/>
              </w:rPr>
            </w:pPr>
            <w:r w:rsidRPr="00A15C18">
              <w:rPr>
                <w:rFonts w:ascii="Arial Narrow" w:hAnsi="Arial Narrow" w:cs="Arial"/>
                <w:sz w:val="20"/>
                <w:szCs w:val="20"/>
              </w:rPr>
              <w:t xml:space="preserve">Elevé </w:t>
            </w:r>
          </w:p>
        </w:tc>
      </w:tr>
      <w:tr w:rsidR="00AD121B" w:rsidRPr="007F78CE" w14:paraId="5A2ED995" w14:textId="77777777" w:rsidTr="00345918">
        <w:trPr>
          <w:jc w:val="center"/>
        </w:trPr>
        <w:tc>
          <w:tcPr>
            <w:tcW w:w="1701" w:type="dxa"/>
          </w:tcPr>
          <w:p w14:paraId="163D1590" w14:textId="77777777" w:rsidR="00AD121B" w:rsidRPr="007F78CE" w:rsidRDefault="00AD121B" w:rsidP="00B434A6">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50" w:type="dxa"/>
            <w:shd w:val="clear" w:color="auto" w:fill="auto"/>
          </w:tcPr>
          <w:p w14:paraId="4071039D" w14:textId="77777777" w:rsidR="00AD121B" w:rsidRPr="007F78CE" w:rsidRDefault="00AD121B" w:rsidP="00114831">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Forte</w:t>
            </w:r>
          </w:p>
          <w:p w14:paraId="4AA470C1"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089" w:type="dxa"/>
            <w:shd w:val="clear" w:color="auto" w:fill="auto"/>
          </w:tcPr>
          <w:p w14:paraId="21868A56" w14:textId="77777777" w:rsidR="00AD121B" w:rsidRPr="007F78CE" w:rsidRDefault="00AD121B"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4175C023"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08" w:type="dxa"/>
            <w:shd w:val="clear" w:color="auto" w:fill="auto"/>
          </w:tcPr>
          <w:p w14:paraId="5D58CFB6" w14:textId="77777777" w:rsidR="00AD121B" w:rsidRPr="007F78CE" w:rsidRDefault="00AD121B"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33256085"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34" w:type="dxa"/>
            <w:shd w:val="clear" w:color="auto" w:fill="auto"/>
          </w:tcPr>
          <w:p w14:paraId="3BF49B45" w14:textId="77777777" w:rsidR="00AD121B" w:rsidRPr="007F78CE" w:rsidRDefault="00AD121B"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31F56E73"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81" w:type="dxa"/>
            <w:shd w:val="clear" w:color="auto" w:fill="FFFF00"/>
          </w:tcPr>
          <w:p w14:paraId="2F9AF716" w14:textId="77777777" w:rsidR="00AD121B" w:rsidRPr="007F78CE" w:rsidRDefault="00AD121B"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6705E181"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tcPr>
          <w:p w14:paraId="67A8FBE2" w14:textId="77777777" w:rsidR="00AD121B" w:rsidRPr="007F78CE" w:rsidRDefault="00AD121B" w:rsidP="00AD121B">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Moyenne </w:t>
            </w:r>
          </w:p>
        </w:tc>
        <w:tc>
          <w:tcPr>
            <w:tcW w:w="861" w:type="dxa"/>
            <w:shd w:val="clear" w:color="auto" w:fill="FFC000"/>
          </w:tcPr>
          <w:p w14:paraId="58D40E20" w14:textId="77777777" w:rsidR="00AD121B" w:rsidRPr="007F78CE" w:rsidRDefault="00AD121B" w:rsidP="00114831">
            <w:pPr>
              <w:spacing w:after="0" w:line="240" w:lineRule="auto"/>
              <w:contextualSpacing/>
              <w:jc w:val="center"/>
              <w:rPr>
                <w:rFonts w:ascii="Arial Narrow" w:hAnsi="Arial Narrow" w:cs="Arial"/>
                <w:sz w:val="20"/>
                <w:szCs w:val="20"/>
              </w:rPr>
            </w:pPr>
            <w:r w:rsidRPr="00A15C18">
              <w:rPr>
                <w:rFonts w:ascii="Arial Narrow" w:hAnsi="Arial Narrow" w:cs="Arial"/>
                <w:sz w:val="20"/>
                <w:szCs w:val="20"/>
              </w:rPr>
              <w:t xml:space="preserve">Elevé </w:t>
            </w:r>
          </w:p>
        </w:tc>
      </w:tr>
      <w:tr w:rsidR="00AD121B" w:rsidRPr="007F78CE" w14:paraId="391EACB8" w14:textId="77777777" w:rsidTr="00345918">
        <w:trPr>
          <w:jc w:val="center"/>
        </w:trPr>
        <w:tc>
          <w:tcPr>
            <w:tcW w:w="1701" w:type="dxa"/>
          </w:tcPr>
          <w:p w14:paraId="525E21EA" w14:textId="77777777" w:rsidR="00AD121B" w:rsidRPr="007F78CE" w:rsidRDefault="00AD121B" w:rsidP="00B434A6">
            <w:pPr>
              <w:spacing w:after="0" w:line="240" w:lineRule="auto"/>
              <w:contextualSpacing/>
              <w:rPr>
                <w:rFonts w:ascii="Arial Narrow" w:hAnsi="Arial Narrow" w:cs="Arial"/>
                <w:sz w:val="20"/>
                <w:szCs w:val="20"/>
              </w:rPr>
            </w:pPr>
            <w:r>
              <w:rPr>
                <w:rFonts w:ascii="Arial Narrow" w:hAnsi="Arial Narrow" w:cs="Arial"/>
                <w:sz w:val="20"/>
                <w:szCs w:val="20"/>
              </w:rPr>
              <w:t>Réseau électrique</w:t>
            </w:r>
          </w:p>
        </w:tc>
        <w:tc>
          <w:tcPr>
            <w:tcW w:w="1050" w:type="dxa"/>
            <w:shd w:val="clear" w:color="auto" w:fill="auto"/>
          </w:tcPr>
          <w:p w14:paraId="0047E05C" w14:textId="77777777" w:rsidR="00AD121B" w:rsidRPr="007F78CE" w:rsidRDefault="00AD121B" w:rsidP="00114831">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Forte</w:t>
            </w:r>
          </w:p>
          <w:p w14:paraId="6076CE6F"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089" w:type="dxa"/>
            <w:shd w:val="clear" w:color="auto" w:fill="auto"/>
          </w:tcPr>
          <w:p w14:paraId="48DA6E30" w14:textId="77777777" w:rsidR="00AD121B" w:rsidRPr="007F78CE" w:rsidRDefault="00AD121B"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7EC204F2"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08" w:type="dxa"/>
            <w:shd w:val="clear" w:color="auto" w:fill="auto"/>
          </w:tcPr>
          <w:p w14:paraId="7444AC20" w14:textId="77777777" w:rsidR="00AD121B" w:rsidRPr="007F78CE" w:rsidRDefault="00AD121B"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098C3D57"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34" w:type="dxa"/>
            <w:shd w:val="clear" w:color="auto" w:fill="auto"/>
          </w:tcPr>
          <w:p w14:paraId="6419F3DE" w14:textId="77777777" w:rsidR="00AD121B" w:rsidRPr="007F78CE" w:rsidRDefault="00AD121B"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52AD6D81"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81" w:type="dxa"/>
            <w:shd w:val="clear" w:color="auto" w:fill="FFFF00"/>
          </w:tcPr>
          <w:p w14:paraId="624ED03E" w14:textId="77777777" w:rsidR="00AD121B" w:rsidRPr="007F78CE" w:rsidRDefault="00AD121B"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0497C753"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tcPr>
          <w:p w14:paraId="4DC664BD" w14:textId="77777777" w:rsidR="00AD121B" w:rsidRPr="007F78CE" w:rsidRDefault="00AD121B" w:rsidP="00114831">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861" w:type="dxa"/>
            <w:shd w:val="clear" w:color="auto" w:fill="FFC000"/>
          </w:tcPr>
          <w:p w14:paraId="4F13793B" w14:textId="77777777" w:rsidR="00AD121B" w:rsidRPr="007F78CE" w:rsidRDefault="00AD121B" w:rsidP="00114831">
            <w:pPr>
              <w:spacing w:after="0" w:line="240" w:lineRule="auto"/>
              <w:contextualSpacing/>
              <w:jc w:val="center"/>
              <w:rPr>
                <w:rFonts w:ascii="Arial Narrow" w:hAnsi="Arial Narrow" w:cs="Arial"/>
                <w:sz w:val="20"/>
                <w:szCs w:val="20"/>
              </w:rPr>
            </w:pPr>
            <w:r w:rsidRPr="00A15C18">
              <w:rPr>
                <w:rFonts w:ascii="Arial Narrow" w:hAnsi="Arial Narrow" w:cs="Arial"/>
                <w:sz w:val="20"/>
                <w:szCs w:val="20"/>
              </w:rPr>
              <w:t xml:space="preserve">Elevé </w:t>
            </w:r>
          </w:p>
        </w:tc>
      </w:tr>
      <w:tr w:rsidR="00702DFF" w:rsidRPr="007F78CE" w14:paraId="2B6A753B" w14:textId="77777777" w:rsidTr="00AD121B">
        <w:trPr>
          <w:jc w:val="center"/>
        </w:trPr>
        <w:tc>
          <w:tcPr>
            <w:tcW w:w="1701" w:type="dxa"/>
          </w:tcPr>
          <w:p w14:paraId="68D4D1FA" w14:textId="77777777" w:rsidR="00702DFF" w:rsidRDefault="00702DFF" w:rsidP="00B434A6">
            <w:pPr>
              <w:spacing w:after="0" w:line="240" w:lineRule="auto"/>
              <w:contextualSpacing/>
              <w:rPr>
                <w:rFonts w:ascii="Arial Narrow" w:hAnsi="Arial Narrow" w:cs="Arial"/>
                <w:sz w:val="20"/>
                <w:szCs w:val="20"/>
              </w:rPr>
            </w:pPr>
            <w:r>
              <w:rPr>
                <w:rFonts w:ascii="Arial Narrow" w:hAnsi="Arial Narrow" w:cs="Arial"/>
                <w:sz w:val="20"/>
                <w:szCs w:val="20"/>
              </w:rPr>
              <w:t>Impact cumulé</w:t>
            </w:r>
          </w:p>
        </w:tc>
        <w:tc>
          <w:tcPr>
            <w:tcW w:w="1050" w:type="dxa"/>
            <w:shd w:val="clear" w:color="auto" w:fill="auto"/>
          </w:tcPr>
          <w:p w14:paraId="47885A6F" w14:textId="77777777" w:rsidR="00702DFF" w:rsidRPr="007F78CE" w:rsidRDefault="00702DFF" w:rsidP="00D70FB3">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Forte</w:t>
            </w:r>
          </w:p>
          <w:p w14:paraId="55021C67" w14:textId="77777777" w:rsidR="00702DFF" w:rsidRPr="007F78CE" w:rsidRDefault="00702DFF"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089" w:type="dxa"/>
            <w:shd w:val="clear" w:color="auto" w:fill="auto"/>
          </w:tcPr>
          <w:p w14:paraId="4D089194" w14:textId="77777777" w:rsidR="00702DFF" w:rsidRPr="007F78CE" w:rsidRDefault="00702DFF"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5CC5C5C3" w14:textId="77777777" w:rsidR="00702DFF" w:rsidRPr="007F78CE" w:rsidRDefault="00702DFF"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08" w:type="dxa"/>
            <w:shd w:val="clear" w:color="auto" w:fill="auto"/>
          </w:tcPr>
          <w:p w14:paraId="2A40B25E" w14:textId="77777777" w:rsidR="00702DFF" w:rsidRPr="007F78CE" w:rsidRDefault="00702DFF"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0F07828A" w14:textId="77777777" w:rsidR="00702DFF" w:rsidRPr="007F78CE" w:rsidRDefault="00702DFF"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34" w:type="dxa"/>
            <w:shd w:val="clear" w:color="auto" w:fill="auto"/>
          </w:tcPr>
          <w:p w14:paraId="2E279910" w14:textId="77777777" w:rsidR="00702DFF" w:rsidRPr="007F78CE" w:rsidRDefault="00702DFF"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4027C5BE" w14:textId="77777777" w:rsidR="00702DFF" w:rsidRPr="007F78CE" w:rsidRDefault="00702DFF"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81" w:type="dxa"/>
            <w:shd w:val="clear" w:color="auto" w:fill="FFFF00"/>
          </w:tcPr>
          <w:p w14:paraId="50D9D613" w14:textId="77777777" w:rsidR="00702DFF" w:rsidRPr="007F78CE" w:rsidRDefault="00702DFF"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4FF67EC1" w14:textId="77777777" w:rsidR="00702DFF" w:rsidRPr="007F78CE" w:rsidRDefault="00702DFF"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tcPr>
          <w:p w14:paraId="3E698283" w14:textId="77777777" w:rsidR="00702DFF" w:rsidRDefault="00702DFF" w:rsidP="00114831">
            <w:pPr>
              <w:spacing w:after="0" w:line="240" w:lineRule="auto"/>
              <w:contextualSpacing/>
              <w:jc w:val="center"/>
              <w:rPr>
                <w:rFonts w:ascii="Arial Narrow" w:hAnsi="Arial Narrow" w:cs="Arial"/>
                <w:sz w:val="20"/>
                <w:szCs w:val="20"/>
              </w:rPr>
            </w:pPr>
            <w:r>
              <w:rPr>
                <w:rFonts w:ascii="Arial Narrow" w:hAnsi="Arial Narrow" w:cs="Arial"/>
                <w:sz w:val="20"/>
                <w:szCs w:val="20"/>
              </w:rPr>
              <w:t>Moyenne</w:t>
            </w:r>
          </w:p>
        </w:tc>
        <w:tc>
          <w:tcPr>
            <w:tcW w:w="861" w:type="dxa"/>
            <w:shd w:val="clear" w:color="auto" w:fill="FFC000"/>
          </w:tcPr>
          <w:p w14:paraId="70C0B19B" w14:textId="77777777" w:rsidR="00702DFF" w:rsidRPr="00A15C18" w:rsidRDefault="00702DFF" w:rsidP="00114831">
            <w:pPr>
              <w:spacing w:after="0" w:line="240" w:lineRule="auto"/>
              <w:contextualSpacing/>
              <w:jc w:val="center"/>
              <w:rPr>
                <w:rFonts w:ascii="Arial Narrow" w:hAnsi="Arial Narrow" w:cs="Arial"/>
                <w:sz w:val="20"/>
                <w:szCs w:val="20"/>
              </w:rPr>
            </w:pPr>
            <w:r w:rsidRPr="00A15C18">
              <w:rPr>
                <w:rFonts w:ascii="Arial Narrow" w:hAnsi="Arial Narrow" w:cs="Arial"/>
                <w:sz w:val="20"/>
                <w:szCs w:val="20"/>
              </w:rPr>
              <w:t xml:space="preserve">Elevé </w:t>
            </w:r>
          </w:p>
        </w:tc>
      </w:tr>
    </w:tbl>
    <w:p w14:paraId="2E201DE5" w14:textId="77777777" w:rsidR="0090044A" w:rsidRPr="00801158" w:rsidRDefault="0090044A" w:rsidP="00F01166">
      <w:pPr>
        <w:pStyle w:val="Normal12"/>
        <w:numPr>
          <w:ilvl w:val="0"/>
          <w:numId w:val="85"/>
        </w:numPr>
        <w:spacing w:before="120" w:after="120"/>
        <w:contextualSpacing/>
        <w:rPr>
          <w:i/>
          <w:iCs/>
          <w:lang w:val="fr-FR"/>
        </w:rPr>
      </w:pPr>
      <w:r w:rsidRPr="00801158">
        <w:rPr>
          <w:i/>
          <w:iCs/>
          <w:lang w:val="fr-FR"/>
        </w:rPr>
        <w:t>Risque d’intrusion et de vol des matériels</w:t>
      </w:r>
    </w:p>
    <w:p w14:paraId="21279C48" w14:textId="77777777" w:rsidR="0090044A" w:rsidRPr="00742D67" w:rsidRDefault="0090044A" w:rsidP="00C41583">
      <w:pPr>
        <w:spacing w:line="240" w:lineRule="auto"/>
        <w:jc w:val="both"/>
        <w:rPr>
          <w:rFonts w:ascii="Arial" w:hAnsi="Arial" w:cs="Arial"/>
        </w:rPr>
      </w:pPr>
      <w:r w:rsidRPr="00C41583">
        <w:rPr>
          <w:rFonts w:ascii="Arial" w:hAnsi="Arial" w:cs="Arial"/>
        </w:rPr>
        <w:t xml:space="preserve">Ceci concerne toutes les composantes des infrastructures mise en place lors de la mise en œuvre du projet. A titre d’exemple, en ce qui concerne l’énergie solaire qui se présente comme une source d’énergie renouvelable gratuite, sans facture peut inciter </w:t>
      </w:r>
      <w:r w:rsidR="00E43024">
        <w:rPr>
          <w:rFonts w:ascii="Arial" w:hAnsi="Arial" w:cs="Arial"/>
        </w:rPr>
        <w:t>des vols de</w:t>
      </w:r>
      <w:r w:rsidRPr="00C41583">
        <w:rPr>
          <w:rFonts w:ascii="Arial" w:hAnsi="Arial" w:cs="Arial"/>
        </w:rPr>
        <w:t xml:space="preserve"> </w:t>
      </w:r>
      <w:r w:rsidRPr="00742D67">
        <w:rPr>
          <w:rFonts w:ascii="Arial" w:hAnsi="Arial" w:cs="Arial"/>
        </w:rPr>
        <w:t xml:space="preserve">matériels dans l’enceinte. </w:t>
      </w:r>
      <w:r w:rsidR="00C12646" w:rsidRPr="00742D67">
        <w:rPr>
          <w:rFonts w:ascii="Arial" w:hAnsi="Arial" w:cs="Arial"/>
        </w:rPr>
        <w:t>Il y a aussi les cas vols de lignes électriques et les dégâts par vandalisme. Les intrusions peuvent concerner aussi les populations riveraines souhaitant recharger des batteries au niveau de ces infrastructures</w:t>
      </w:r>
    </w:p>
    <w:p w14:paraId="07A33194" w14:textId="77777777" w:rsidR="0090044A" w:rsidRPr="00C41583" w:rsidRDefault="0090044A" w:rsidP="00C41583">
      <w:pPr>
        <w:spacing w:line="240" w:lineRule="auto"/>
        <w:jc w:val="both"/>
        <w:rPr>
          <w:rFonts w:ascii="Arial" w:hAnsi="Arial" w:cs="Arial"/>
        </w:rPr>
      </w:pPr>
      <w:r w:rsidRPr="00C41583">
        <w:rPr>
          <w:rFonts w:ascii="Arial" w:hAnsi="Arial" w:cs="Arial"/>
        </w:rPr>
        <w:t xml:space="preserve">Même si cet impact sera très localisé et limité dans le temps, le vol de matériel peut provoquer une incidence notable au niveau du fonctionnement des stations de production et de stockage de l’électricité </w:t>
      </w:r>
      <w:r w:rsidR="00FA09AD">
        <w:rPr>
          <w:rFonts w:ascii="Arial" w:hAnsi="Arial" w:cs="Arial"/>
        </w:rPr>
        <w:t>et</w:t>
      </w:r>
      <w:r w:rsidRPr="00C41583">
        <w:rPr>
          <w:rFonts w:ascii="Arial" w:hAnsi="Arial" w:cs="Arial"/>
        </w:rPr>
        <w:t xml:space="preserve"> </w:t>
      </w:r>
      <w:r w:rsidR="00FA09AD">
        <w:rPr>
          <w:rFonts w:ascii="Arial" w:hAnsi="Arial" w:cs="Arial"/>
        </w:rPr>
        <w:t>de</w:t>
      </w:r>
      <w:r w:rsidRPr="00C41583">
        <w:rPr>
          <w:rFonts w:ascii="Arial" w:hAnsi="Arial" w:cs="Arial"/>
        </w:rPr>
        <w:t xml:space="preserve"> la fourniture de réseau de communication. L’importance de ce type d’impact est considérée comme « Moyenne »</w:t>
      </w:r>
      <w:r w:rsidR="00AD121B">
        <w:rPr>
          <w:rFonts w:ascii="Arial" w:hAnsi="Arial" w:cs="Arial"/>
        </w:rPr>
        <w:t xml:space="preserve">. Le niveau de risque est considéré comme élevé pour la centrale électrique solaire et faible pour les autres sous projets </w:t>
      </w:r>
      <w:r w:rsidR="00317C45">
        <w:rPr>
          <w:rFonts w:ascii="Arial" w:hAnsi="Arial" w:cs="Arial"/>
        </w:rPr>
        <w:t xml:space="preserve"> selon le tableau ci-dessous</w:t>
      </w:r>
      <w:r w:rsidRPr="00C41583">
        <w:rPr>
          <w:rFonts w:ascii="Arial" w:hAnsi="Arial" w:cs="Arial"/>
        </w:rPr>
        <w:t>.</w:t>
      </w:r>
    </w:p>
    <w:p w14:paraId="1AB1AFD1" w14:textId="77777777" w:rsidR="0090044A" w:rsidRPr="002E58DC" w:rsidRDefault="0090044A" w:rsidP="002E58DC">
      <w:pPr>
        <w:pStyle w:val="Lgende"/>
        <w:spacing w:before="120"/>
        <w:jc w:val="center"/>
        <w:rPr>
          <w:sz w:val="20"/>
        </w:rPr>
      </w:pPr>
      <w:bookmarkStart w:id="1051" w:name="_Toc100753952"/>
      <w:bookmarkStart w:id="1052" w:name="_Toc127957862"/>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66</w:t>
      </w:r>
      <w:r w:rsidRPr="002E58DC">
        <w:rPr>
          <w:sz w:val="20"/>
        </w:rPr>
        <w:fldChar w:fldCharType="end"/>
      </w:r>
      <w:r w:rsidRPr="002E58DC">
        <w:rPr>
          <w:sz w:val="20"/>
        </w:rPr>
        <w:t xml:space="preserve">. Evaluation </w:t>
      </w:r>
      <w:r w:rsidR="00067C78">
        <w:rPr>
          <w:sz w:val="20"/>
        </w:rPr>
        <w:t xml:space="preserve">de </w:t>
      </w:r>
      <w:r w:rsidRPr="002E58DC">
        <w:rPr>
          <w:sz w:val="20"/>
        </w:rPr>
        <w:t>l’impact -Risques liés au vol et intrusions</w:t>
      </w:r>
      <w:bookmarkEnd w:id="1051"/>
      <w:bookmarkEnd w:id="1052"/>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059"/>
        <w:gridCol w:w="1097"/>
        <w:gridCol w:w="920"/>
        <w:gridCol w:w="1343"/>
        <w:gridCol w:w="1175"/>
        <w:gridCol w:w="1064"/>
        <w:gridCol w:w="805"/>
        <w:tblGridChange w:id="1053">
          <w:tblGrid>
            <w:gridCol w:w="1825"/>
            <w:gridCol w:w="1059"/>
            <w:gridCol w:w="1097"/>
            <w:gridCol w:w="920"/>
            <w:gridCol w:w="1343"/>
            <w:gridCol w:w="1175"/>
            <w:gridCol w:w="1064"/>
            <w:gridCol w:w="805"/>
          </w:tblGrid>
        </w:tblGridChange>
      </w:tblGrid>
      <w:tr w:rsidR="00AD121B" w:rsidRPr="007F78CE" w14:paraId="2086FEEF" w14:textId="77777777" w:rsidTr="00345918">
        <w:trPr>
          <w:jc w:val="center"/>
        </w:trPr>
        <w:tc>
          <w:tcPr>
            <w:tcW w:w="1825" w:type="dxa"/>
            <w:shd w:val="clear" w:color="auto" w:fill="BFBFBF"/>
          </w:tcPr>
          <w:p w14:paraId="2DB2AF7B" w14:textId="77777777" w:rsidR="00AD121B" w:rsidRPr="007F78CE" w:rsidRDefault="00AD121B" w:rsidP="00B434A6">
            <w:pPr>
              <w:spacing w:after="0" w:line="240" w:lineRule="auto"/>
              <w:jc w:val="center"/>
              <w:rPr>
                <w:rFonts w:ascii="Arial Narrow" w:hAnsi="Arial Narrow"/>
                <w:b/>
                <w:bCs/>
                <w:sz w:val="20"/>
                <w:szCs w:val="20"/>
              </w:rPr>
            </w:pPr>
            <w:r>
              <w:rPr>
                <w:rFonts w:ascii="Arial Narrow" w:hAnsi="Arial Narrow"/>
                <w:b/>
                <w:bCs/>
                <w:sz w:val="20"/>
                <w:szCs w:val="20"/>
              </w:rPr>
              <w:t>Sous Projet</w:t>
            </w:r>
          </w:p>
        </w:tc>
        <w:tc>
          <w:tcPr>
            <w:tcW w:w="1059" w:type="dxa"/>
            <w:shd w:val="clear" w:color="auto" w:fill="BFBFBF"/>
          </w:tcPr>
          <w:p w14:paraId="3B02D142" w14:textId="77777777" w:rsidR="00AD121B" w:rsidRPr="007F78CE" w:rsidRDefault="00AD121B"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097" w:type="dxa"/>
            <w:shd w:val="clear" w:color="auto" w:fill="BFBFBF"/>
          </w:tcPr>
          <w:p w14:paraId="7622A711" w14:textId="77777777" w:rsidR="00AD121B" w:rsidRPr="007F78CE" w:rsidRDefault="00AD121B"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920" w:type="dxa"/>
            <w:shd w:val="clear" w:color="auto" w:fill="BFBFBF"/>
          </w:tcPr>
          <w:p w14:paraId="2A702C11" w14:textId="77777777" w:rsidR="00AD121B" w:rsidRPr="007F78CE" w:rsidRDefault="00AD121B"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343" w:type="dxa"/>
            <w:shd w:val="clear" w:color="auto" w:fill="BFBFBF"/>
          </w:tcPr>
          <w:p w14:paraId="2C574971" w14:textId="77777777" w:rsidR="00AD121B" w:rsidRPr="007F78CE" w:rsidRDefault="00AD121B"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175" w:type="dxa"/>
            <w:shd w:val="clear" w:color="auto" w:fill="BFBFBF"/>
          </w:tcPr>
          <w:p w14:paraId="2BA92F8C" w14:textId="77777777" w:rsidR="00AD121B" w:rsidRPr="007F78CE" w:rsidRDefault="00AD121B"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064" w:type="dxa"/>
            <w:shd w:val="clear" w:color="auto" w:fill="auto"/>
          </w:tcPr>
          <w:p w14:paraId="1491C9E1" w14:textId="77777777" w:rsidR="00AD121B" w:rsidRPr="007F78CE" w:rsidRDefault="00AD121B"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805" w:type="dxa"/>
            <w:shd w:val="clear" w:color="auto" w:fill="auto"/>
          </w:tcPr>
          <w:p w14:paraId="37FA832C" w14:textId="77777777" w:rsidR="00AD121B" w:rsidRPr="007F78CE" w:rsidRDefault="00AD121B" w:rsidP="007F78CE">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345918" w:rsidRPr="007F78CE" w14:paraId="0286BFF7" w14:textId="77777777" w:rsidTr="00FB04F6">
        <w:trPr>
          <w:jc w:val="center"/>
        </w:trPr>
        <w:tc>
          <w:tcPr>
            <w:tcW w:w="1825" w:type="dxa"/>
          </w:tcPr>
          <w:p w14:paraId="75EEE964" w14:textId="77777777" w:rsidR="00AD121B" w:rsidRPr="007F78CE" w:rsidRDefault="00AD121B" w:rsidP="00345918">
            <w:pPr>
              <w:spacing w:after="0" w:line="240" w:lineRule="auto"/>
              <w:contextualSpacing/>
              <w:rPr>
                <w:rFonts w:ascii="Arial Narrow" w:hAnsi="Arial Narrow" w:cs="Arial"/>
                <w:sz w:val="20"/>
                <w:szCs w:val="20"/>
              </w:rPr>
            </w:pPr>
            <w:r>
              <w:rPr>
                <w:rFonts w:ascii="Arial Narrow" w:hAnsi="Arial Narrow" w:cs="Arial"/>
                <w:sz w:val="20"/>
                <w:szCs w:val="20"/>
              </w:rPr>
              <w:t>Infrastructures numériques</w:t>
            </w:r>
          </w:p>
        </w:tc>
        <w:tc>
          <w:tcPr>
            <w:tcW w:w="1059" w:type="dxa"/>
            <w:shd w:val="clear" w:color="auto" w:fill="auto"/>
          </w:tcPr>
          <w:p w14:paraId="697CA7F9" w14:textId="77777777" w:rsidR="00AD121B" w:rsidRPr="007F78CE" w:rsidRDefault="00AD121B"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Forte</w:t>
            </w:r>
          </w:p>
          <w:p w14:paraId="6E44E507"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097" w:type="dxa"/>
            <w:shd w:val="clear" w:color="auto" w:fill="auto"/>
          </w:tcPr>
          <w:p w14:paraId="64133B1F"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50CFFE96"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20" w:type="dxa"/>
            <w:shd w:val="clear" w:color="auto" w:fill="auto"/>
          </w:tcPr>
          <w:p w14:paraId="566690AA"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37C8B13C"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43" w:type="dxa"/>
            <w:shd w:val="clear" w:color="auto" w:fill="auto"/>
          </w:tcPr>
          <w:p w14:paraId="29441EB8"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355B3D1B"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175" w:type="dxa"/>
            <w:shd w:val="clear" w:color="auto" w:fill="FFFF00"/>
          </w:tcPr>
          <w:p w14:paraId="0843FA7F"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32ED8AC4"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tcPr>
          <w:p w14:paraId="5DF1569F" w14:textId="77777777" w:rsidR="00AD121B" w:rsidRPr="007F78CE" w:rsidRDefault="00AD121B"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805" w:type="dxa"/>
            <w:shd w:val="clear" w:color="auto" w:fill="BFBFBF"/>
          </w:tcPr>
          <w:p w14:paraId="0E94EE4D" w14:textId="77777777" w:rsidR="00AD121B" w:rsidRPr="007F78CE" w:rsidRDefault="00AD121B"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r w:rsidR="00AD121B" w:rsidRPr="007F78CE" w14:paraId="4C9761AD" w14:textId="77777777" w:rsidTr="00345918">
        <w:trPr>
          <w:jc w:val="center"/>
        </w:trPr>
        <w:tc>
          <w:tcPr>
            <w:tcW w:w="1825" w:type="dxa"/>
          </w:tcPr>
          <w:p w14:paraId="067F1EDB" w14:textId="77777777" w:rsidR="00AD121B" w:rsidRPr="007F78CE" w:rsidRDefault="00AD121B" w:rsidP="00345918">
            <w:pPr>
              <w:spacing w:after="0" w:line="240" w:lineRule="auto"/>
              <w:contextualSpacing/>
              <w:rPr>
                <w:rFonts w:ascii="Arial Narrow" w:hAnsi="Arial Narrow" w:cs="Arial"/>
                <w:sz w:val="20"/>
                <w:szCs w:val="20"/>
              </w:rPr>
            </w:pPr>
            <w:r>
              <w:rPr>
                <w:rFonts w:ascii="Arial Narrow" w:hAnsi="Arial Narrow" w:cs="Arial"/>
                <w:sz w:val="20"/>
                <w:szCs w:val="20"/>
              </w:rPr>
              <w:t>Centrale électrique solaire</w:t>
            </w:r>
          </w:p>
        </w:tc>
        <w:tc>
          <w:tcPr>
            <w:tcW w:w="1059" w:type="dxa"/>
            <w:shd w:val="clear" w:color="auto" w:fill="auto"/>
          </w:tcPr>
          <w:p w14:paraId="55CF6CE9" w14:textId="77777777" w:rsidR="00AD121B" w:rsidRPr="007F78CE" w:rsidRDefault="00AD121B" w:rsidP="00114831">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Forte</w:t>
            </w:r>
          </w:p>
          <w:p w14:paraId="1191FDB4"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097" w:type="dxa"/>
            <w:shd w:val="clear" w:color="auto" w:fill="auto"/>
          </w:tcPr>
          <w:p w14:paraId="28BEAF7E" w14:textId="77777777" w:rsidR="00AD121B" w:rsidRPr="007F78CE" w:rsidRDefault="00AD121B"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365F4B17"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20" w:type="dxa"/>
            <w:shd w:val="clear" w:color="auto" w:fill="auto"/>
          </w:tcPr>
          <w:p w14:paraId="00D094CA" w14:textId="77777777" w:rsidR="00AD121B" w:rsidRPr="007F78CE" w:rsidRDefault="00AD121B"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5CE8BE48"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43" w:type="dxa"/>
            <w:shd w:val="clear" w:color="auto" w:fill="auto"/>
          </w:tcPr>
          <w:p w14:paraId="67D8B323" w14:textId="77777777" w:rsidR="00AD121B" w:rsidRPr="007F78CE" w:rsidRDefault="00AD121B"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7F5D28FE"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175" w:type="dxa"/>
            <w:shd w:val="clear" w:color="auto" w:fill="FFFF00"/>
          </w:tcPr>
          <w:p w14:paraId="33FA8BF7" w14:textId="77777777" w:rsidR="00AD121B" w:rsidRPr="007F78CE" w:rsidRDefault="00AD121B"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2DD84797"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tcPr>
          <w:p w14:paraId="5D3F42EC" w14:textId="77777777" w:rsidR="00AD121B" w:rsidRPr="007F78CE" w:rsidRDefault="00AD121B" w:rsidP="00114831">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Elevé </w:t>
            </w:r>
          </w:p>
        </w:tc>
        <w:tc>
          <w:tcPr>
            <w:tcW w:w="805" w:type="dxa"/>
            <w:shd w:val="clear" w:color="auto" w:fill="FFC000"/>
          </w:tcPr>
          <w:p w14:paraId="5EF7341F" w14:textId="77777777" w:rsidR="00AD121B" w:rsidRPr="007F78CE" w:rsidRDefault="00AD121B" w:rsidP="00114831">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Elevé </w:t>
            </w:r>
          </w:p>
        </w:tc>
      </w:tr>
      <w:tr w:rsidR="00345918" w:rsidRPr="007F78CE" w14:paraId="5363754F" w14:textId="77777777" w:rsidTr="00FB04F6">
        <w:trPr>
          <w:jc w:val="center"/>
        </w:trPr>
        <w:tc>
          <w:tcPr>
            <w:tcW w:w="1825" w:type="dxa"/>
          </w:tcPr>
          <w:p w14:paraId="668B1093" w14:textId="77777777" w:rsidR="00AD121B" w:rsidRPr="007F78CE" w:rsidRDefault="00AD121B" w:rsidP="00345918">
            <w:pPr>
              <w:spacing w:after="0" w:line="240" w:lineRule="auto"/>
              <w:contextualSpacing/>
              <w:rPr>
                <w:rFonts w:ascii="Arial Narrow" w:hAnsi="Arial Narrow" w:cs="Arial"/>
                <w:sz w:val="20"/>
                <w:szCs w:val="20"/>
              </w:rPr>
            </w:pPr>
            <w:r>
              <w:rPr>
                <w:rFonts w:ascii="Arial Narrow" w:hAnsi="Arial Narrow" w:cs="Arial"/>
                <w:sz w:val="20"/>
                <w:szCs w:val="20"/>
              </w:rPr>
              <w:t>Barrage hydroélectrique</w:t>
            </w:r>
          </w:p>
        </w:tc>
        <w:tc>
          <w:tcPr>
            <w:tcW w:w="1059" w:type="dxa"/>
            <w:shd w:val="clear" w:color="auto" w:fill="auto"/>
          </w:tcPr>
          <w:p w14:paraId="0007B25F" w14:textId="77777777" w:rsidR="00AD121B" w:rsidRPr="007F78CE" w:rsidRDefault="00AD121B" w:rsidP="00114831">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Forte</w:t>
            </w:r>
          </w:p>
          <w:p w14:paraId="42528741"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097" w:type="dxa"/>
            <w:shd w:val="clear" w:color="auto" w:fill="auto"/>
          </w:tcPr>
          <w:p w14:paraId="731BB0E9" w14:textId="77777777" w:rsidR="00AD121B" w:rsidRPr="007F78CE" w:rsidRDefault="00AD121B"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085EE27E"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20" w:type="dxa"/>
            <w:shd w:val="clear" w:color="auto" w:fill="auto"/>
          </w:tcPr>
          <w:p w14:paraId="3B23BB63" w14:textId="77777777" w:rsidR="00AD121B" w:rsidRPr="007F78CE" w:rsidRDefault="00AD121B"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64D8A6F8"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43" w:type="dxa"/>
            <w:shd w:val="clear" w:color="auto" w:fill="auto"/>
          </w:tcPr>
          <w:p w14:paraId="668A6869" w14:textId="77777777" w:rsidR="00AD121B" w:rsidRPr="007F78CE" w:rsidRDefault="00AD121B"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66D468B2"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175" w:type="dxa"/>
            <w:shd w:val="clear" w:color="auto" w:fill="FFFF00"/>
          </w:tcPr>
          <w:p w14:paraId="7DC16BB9" w14:textId="77777777" w:rsidR="00AD121B" w:rsidRPr="007F78CE" w:rsidRDefault="00AD121B"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004E8A1A"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tcPr>
          <w:p w14:paraId="6014BE84" w14:textId="77777777" w:rsidR="00AD121B" w:rsidRPr="007F78CE" w:rsidRDefault="00AD121B" w:rsidP="00114831">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c>
          <w:tcPr>
            <w:tcW w:w="805" w:type="dxa"/>
            <w:shd w:val="clear" w:color="auto" w:fill="BFBFBF"/>
          </w:tcPr>
          <w:p w14:paraId="16DDBB34" w14:textId="77777777" w:rsidR="00AD121B" w:rsidRPr="007F78CE" w:rsidRDefault="00AD121B" w:rsidP="00114831">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r w:rsidR="00345918" w:rsidRPr="007F78CE" w14:paraId="21B40251" w14:textId="77777777" w:rsidTr="00FB04F6">
        <w:trPr>
          <w:jc w:val="center"/>
        </w:trPr>
        <w:tc>
          <w:tcPr>
            <w:tcW w:w="1825" w:type="dxa"/>
          </w:tcPr>
          <w:p w14:paraId="2998331D" w14:textId="77777777" w:rsidR="00AD121B" w:rsidRPr="007F78CE" w:rsidRDefault="00AD121B" w:rsidP="00345918">
            <w:pPr>
              <w:spacing w:after="0" w:line="240" w:lineRule="auto"/>
              <w:contextualSpacing/>
              <w:rPr>
                <w:rFonts w:ascii="Arial Narrow" w:hAnsi="Arial Narrow" w:cs="Arial"/>
                <w:sz w:val="20"/>
                <w:szCs w:val="20"/>
              </w:rPr>
            </w:pPr>
            <w:r>
              <w:rPr>
                <w:rFonts w:ascii="Arial Narrow" w:hAnsi="Arial Narrow" w:cs="Arial"/>
                <w:sz w:val="20"/>
                <w:szCs w:val="20"/>
              </w:rPr>
              <w:t>Réseau électrique</w:t>
            </w:r>
          </w:p>
        </w:tc>
        <w:tc>
          <w:tcPr>
            <w:tcW w:w="1059" w:type="dxa"/>
            <w:shd w:val="clear" w:color="auto" w:fill="auto"/>
          </w:tcPr>
          <w:p w14:paraId="4EEDAA17" w14:textId="77777777" w:rsidR="00AD121B" w:rsidRPr="007F78CE" w:rsidRDefault="00AD121B" w:rsidP="00114831">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Forte</w:t>
            </w:r>
          </w:p>
          <w:p w14:paraId="0EA303EF"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097" w:type="dxa"/>
            <w:shd w:val="clear" w:color="auto" w:fill="auto"/>
          </w:tcPr>
          <w:p w14:paraId="1EDA978E" w14:textId="77777777" w:rsidR="00AD121B" w:rsidRPr="007F78CE" w:rsidRDefault="00AD121B"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42F4F11C"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20" w:type="dxa"/>
            <w:shd w:val="clear" w:color="auto" w:fill="auto"/>
          </w:tcPr>
          <w:p w14:paraId="49D2A6CC" w14:textId="77777777" w:rsidR="00AD121B" w:rsidRPr="007F78CE" w:rsidRDefault="00AD121B"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3155C1F8"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43" w:type="dxa"/>
            <w:shd w:val="clear" w:color="auto" w:fill="auto"/>
          </w:tcPr>
          <w:p w14:paraId="41FF031D" w14:textId="77777777" w:rsidR="00AD121B" w:rsidRPr="007F78CE" w:rsidRDefault="00AD121B"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6F2735F7"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175" w:type="dxa"/>
            <w:shd w:val="clear" w:color="auto" w:fill="FFFF00"/>
          </w:tcPr>
          <w:p w14:paraId="4E4E3B0B" w14:textId="77777777" w:rsidR="00AD121B" w:rsidRPr="007F78CE" w:rsidRDefault="00AD121B"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2A3BE7A5"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tcPr>
          <w:p w14:paraId="573265D4" w14:textId="77777777" w:rsidR="00AD121B" w:rsidRPr="007F78CE" w:rsidRDefault="00AD121B" w:rsidP="00114831">
            <w:pPr>
              <w:spacing w:after="0" w:line="240" w:lineRule="auto"/>
              <w:contextualSpacing/>
              <w:jc w:val="center"/>
              <w:rPr>
                <w:rFonts w:ascii="Arial Narrow" w:hAnsi="Arial Narrow" w:cs="Arial"/>
                <w:sz w:val="20"/>
                <w:szCs w:val="20"/>
              </w:rPr>
            </w:pPr>
            <w:r>
              <w:rPr>
                <w:rFonts w:ascii="Arial Narrow" w:hAnsi="Arial Narrow" w:cs="Arial"/>
                <w:sz w:val="20"/>
                <w:szCs w:val="20"/>
              </w:rPr>
              <w:t>Faible</w:t>
            </w:r>
          </w:p>
        </w:tc>
        <w:tc>
          <w:tcPr>
            <w:tcW w:w="805" w:type="dxa"/>
            <w:shd w:val="clear" w:color="auto" w:fill="BFBFBF"/>
          </w:tcPr>
          <w:p w14:paraId="43795B65" w14:textId="77777777" w:rsidR="00AD121B" w:rsidRPr="007F78CE" w:rsidRDefault="00AD121B" w:rsidP="00114831">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r w:rsidR="00702DFF" w:rsidRPr="007F78CE" w14:paraId="2036A9F9" w14:textId="77777777" w:rsidTr="00FB04F6">
        <w:trPr>
          <w:jc w:val="center"/>
        </w:trPr>
        <w:tc>
          <w:tcPr>
            <w:tcW w:w="1825" w:type="dxa"/>
          </w:tcPr>
          <w:p w14:paraId="11C9A1FD" w14:textId="77777777" w:rsidR="00702DFF" w:rsidRDefault="00702DFF" w:rsidP="00AD121B">
            <w:pPr>
              <w:spacing w:after="0" w:line="240" w:lineRule="auto"/>
              <w:contextualSpacing/>
              <w:rPr>
                <w:rFonts w:ascii="Arial Narrow" w:hAnsi="Arial Narrow" w:cs="Arial"/>
                <w:sz w:val="20"/>
                <w:szCs w:val="20"/>
              </w:rPr>
            </w:pPr>
            <w:r>
              <w:rPr>
                <w:rFonts w:ascii="Arial Narrow" w:hAnsi="Arial Narrow" w:cs="Arial"/>
                <w:sz w:val="20"/>
                <w:szCs w:val="20"/>
              </w:rPr>
              <w:t>Impact cumulé</w:t>
            </w:r>
          </w:p>
        </w:tc>
        <w:tc>
          <w:tcPr>
            <w:tcW w:w="1059" w:type="dxa"/>
            <w:shd w:val="clear" w:color="auto" w:fill="auto"/>
          </w:tcPr>
          <w:p w14:paraId="7F58221A" w14:textId="77777777" w:rsidR="00702DFF" w:rsidRPr="007F78CE" w:rsidRDefault="00702DFF" w:rsidP="00D70FB3">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Forte</w:t>
            </w:r>
          </w:p>
          <w:p w14:paraId="73212C50" w14:textId="77777777" w:rsidR="00702DFF" w:rsidRPr="007F78CE" w:rsidRDefault="00702DFF"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097" w:type="dxa"/>
            <w:shd w:val="clear" w:color="auto" w:fill="auto"/>
          </w:tcPr>
          <w:p w14:paraId="5AADF66B" w14:textId="77777777" w:rsidR="00702DFF" w:rsidRPr="007F78CE" w:rsidRDefault="00702DFF"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5ED33C5D" w14:textId="77777777" w:rsidR="00702DFF" w:rsidRPr="007F78CE" w:rsidRDefault="00702DFF"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920" w:type="dxa"/>
            <w:shd w:val="clear" w:color="auto" w:fill="auto"/>
          </w:tcPr>
          <w:p w14:paraId="68BF9F4A" w14:textId="77777777" w:rsidR="00702DFF" w:rsidRPr="007F78CE" w:rsidRDefault="00702DFF"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1A4EBC1E" w14:textId="77777777" w:rsidR="00702DFF" w:rsidRPr="007F78CE" w:rsidRDefault="00702DFF"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43" w:type="dxa"/>
            <w:shd w:val="clear" w:color="auto" w:fill="auto"/>
          </w:tcPr>
          <w:p w14:paraId="59938365" w14:textId="77777777" w:rsidR="00702DFF" w:rsidRPr="007F78CE" w:rsidRDefault="00702DFF"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0B2491E3" w14:textId="77777777" w:rsidR="00702DFF" w:rsidRPr="007F78CE" w:rsidRDefault="00702DFF"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175" w:type="dxa"/>
            <w:shd w:val="clear" w:color="auto" w:fill="FFFF00"/>
          </w:tcPr>
          <w:p w14:paraId="14FD5CED" w14:textId="77777777" w:rsidR="00702DFF" w:rsidRPr="007F78CE" w:rsidRDefault="00702DFF" w:rsidP="00D70FB3">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56E2B10F" w14:textId="77777777" w:rsidR="00702DFF" w:rsidRPr="007F78CE" w:rsidRDefault="00702DFF" w:rsidP="00114831">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064" w:type="dxa"/>
            <w:shd w:val="clear" w:color="auto" w:fill="auto"/>
          </w:tcPr>
          <w:p w14:paraId="51AF78CB" w14:textId="77777777" w:rsidR="00702DFF" w:rsidRDefault="00702DFF" w:rsidP="00114831">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Elevé </w:t>
            </w:r>
          </w:p>
        </w:tc>
        <w:tc>
          <w:tcPr>
            <w:tcW w:w="805" w:type="dxa"/>
            <w:shd w:val="clear" w:color="auto" w:fill="BFBFBF"/>
          </w:tcPr>
          <w:p w14:paraId="53B9F69C" w14:textId="77777777" w:rsidR="00702DFF" w:rsidRDefault="00702DFF" w:rsidP="00114831">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Elevé </w:t>
            </w:r>
          </w:p>
        </w:tc>
      </w:tr>
    </w:tbl>
    <w:p w14:paraId="6C236D20" w14:textId="77777777" w:rsidR="0090044A" w:rsidRDefault="0090044A" w:rsidP="00B434A6">
      <w:pPr>
        <w:spacing w:after="0"/>
        <w:rPr>
          <w:highlight w:val="yellow"/>
        </w:rPr>
      </w:pPr>
      <w:bookmarkStart w:id="1054" w:name="_Toc97835157"/>
      <w:bookmarkStart w:id="1055" w:name="_Toc98192350"/>
      <w:bookmarkStart w:id="1056" w:name="_Toc100755461"/>
    </w:p>
    <w:p w14:paraId="261E6341" w14:textId="77777777" w:rsidR="00125C9E" w:rsidRDefault="00125C9E" w:rsidP="00F01166">
      <w:pPr>
        <w:pStyle w:val="Normal12"/>
        <w:spacing w:after="100" w:afterAutospacing="1"/>
        <w:ind w:firstLine="0"/>
        <w:contextualSpacing/>
        <w:rPr>
          <w:i/>
          <w:iCs/>
          <w:lang w:val="fr-FR"/>
        </w:rPr>
      </w:pPr>
    </w:p>
    <w:p w14:paraId="76D28D8D" w14:textId="77777777" w:rsidR="0090044A" w:rsidRPr="00C63427" w:rsidRDefault="0090044A" w:rsidP="00B434A6">
      <w:pPr>
        <w:pStyle w:val="Normal12"/>
        <w:numPr>
          <w:ilvl w:val="0"/>
          <w:numId w:val="85"/>
        </w:numPr>
        <w:spacing w:after="100" w:afterAutospacing="1"/>
        <w:contextualSpacing/>
        <w:rPr>
          <w:i/>
          <w:iCs/>
          <w:lang w:val="fr-FR"/>
        </w:rPr>
      </w:pPr>
      <w:r w:rsidRPr="00C63427">
        <w:rPr>
          <w:i/>
          <w:iCs/>
          <w:lang w:val="fr-FR"/>
        </w:rPr>
        <w:t>Risque d'augmentation des cas de VBG et EAS/HS dû à l'utilisation abusive de l'internet</w:t>
      </w:r>
    </w:p>
    <w:p w14:paraId="068D4B5E" w14:textId="77777777" w:rsidR="0090044A" w:rsidRPr="00C41583" w:rsidRDefault="0090044A" w:rsidP="00C41583">
      <w:pPr>
        <w:spacing w:line="240" w:lineRule="auto"/>
        <w:jc w:val="both"/>
        <w:rPr>
          <w:rFonts w:ascii="Arial" w:hAnsi="Arial" w:cs="Arial"/>
        </w:rPr>
      </w:pPr>
      <w:r w:rsidRPr="00C41583">
        <w:rPr>
          <w:rFonts w:ascii="Arial" w:hAnsi="Arial" w:cs="Arial"/>
        </w:rPr>
        <w:t>La vulgarisation de l’accès aux outils de télécommunication présente un certain revers, telle que l’augmentation des risques de VBG et EAS/HS. Ce risque peut tout aussi bien être local que régional du fait de l’interconnexion des réseaux de télécommunication. Il en résulte un besoin de mise en œuvre de mesures d’atténuations adéquates.</w:t>
      </w:r>
    </w:p>
    <w:p w14:paraId="75911369" w14:textId="77777777" w:rsidR="0090044A" w:rsidRPr="00C41583" w:rsidRDefault="00317C45" w:rsidP="00C41583">
      <w:pPr>
        <w:spacing w:line="240" w:lineRule="auto"/>
        <w:jc w:val="both"/>
        <w:rPr>
          <w:rFonts w:ascii="Arial" w:hAnsi="Arial" w:cs="Arial"/>
        </w:rPr>
      </w:pPr>
      <w:r>
        <w:rPr>
          <w:rFonts w:ascii="Arial" w:hAnsi="Arial" w:cs="Arial"/>
        </w:rPr>
        <w:t>D’après le tableau suivant, c</w:t>
      </w:r>
      <w:r w:rsidR="0090044A" w:rsidRPr="00C41583">
        <w:rPr>
          <w:rFonts w:ascii="Arial" w:hAnsi="Arial" w:cs="Arial"/>
        </w:rPr>
        <w:t>et impact peut être considéré comme d’importance « moyenne »</w:t>
      </w:r>
      <w:r w:rsidR="00AD121B">
        <w:rPr>
          <w:rFonts w:ascii="Arial" w:hAnsi="Arial" w:cs="Arial"/>
        </w:rPr>
        <w:t xml:space="preserve"> avec un niveau de risque élevé </w:t>
      </w:r>
      <w:r w:rsidR="00A53DB9">
        <w:rPr>
          <w:rFonts w:ascii="Arial" w:hAnsi="Arial" w:cs="Arial"/>
        </w:rPr>
        <w:t>.</w:t>
      </w:r>
    </w:p>
    <w:p w14:paraId="59A2A12C" w14:textId="77777777" w:rsidR="0090044A" w:rsidRPr="002E58DC" w:rsidRDefault="0090044A" w:rsidP="00B434A6">
      <w:pPr>
        <w:pStyle w:val="Lgende"/>
        <w:spacing w:before="120"/>
        <w:jc w:val="center"/>
        <w:rPr>
          <w:sz w:val="20"/>
        </w:rPr>
      </w:pPr>
      <w:bookmarkStart w:id="1057" w:name="_Toc127957863"/>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67</w:t>
      </w:r>
      <w:r w:rsidRPr="002E58DC">
        <w:rPr>
          <w:sz w:val="20"/>
        </w:rPr>
        <w:fldChar w:fldCharType="end"/>
      </w:r>
      <w:r w:rsidRPr="002E58DC">
        <w:rPr>
          <w:sz w:val="20"/>
        </w:rPr>
        <w:t>. Evaluation l’impact -Risques d’augmentation des cas de VBG et EAS/HS</w:t>
      </w:r>
      <w:bookmarkEnd w:id="1057"/>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081"/>
        <w:gridCol w:w="1098"/>
        <w:gridCol w:w="1035"/>
        <w:gridCol w:w="1192"/>
        <w:gridCol w:w="1188"/>
        <w:gridCol w:w="1064"/>
        <w:gridCol w:w="812"/>
      </w:tblGrid>
      <w:tr w:rsidR="00AD121B" w:rsidRPr="007F78CE" w14:paraId="003DA0E4" w14:textId="77777777" w:rsidTr="00345918">
        <w:trPr>
          <w:jc w:val="center"/>
        </w:trPr>
        <w:tc>
          <w:tcPr>
            <w:tcW w:w="1877" w:type="dxa"/>
            <w:shd w:val="clear" w:color="auto" w:fill="BFBFBF"/>
          </w:tcPr>
          <w:p w14:paraId="4F0E02E7" w14:textId="77777777" w:rsidR="00AD121B" w:rsidRPr="007F78CE" w:rsidRDefault="00AD121B" w:rsidP="00B434A6">
            <w:pPr>
              <w:spacing w:after="0" w:line="240" w:lineRule="auto"/>
              <w:jc w:val="center"/>
              <w:rPr>
                <w:rFonts w:ascii="Arial Narrow" w:hAnsi="Arial Narrow"/>
                <w:b/>
                <w:bCs/>
                <w:sz w:val="20"/>
                <w:szCs w:val="20"/>
              </w:rPr>
            </w:pPr>
            <w:r>
              <w:rPr>
                <w:rFonts w:ascii="Arial Narrow" w:hAnsi="Arial Narrow"/>
                <w:b/>
                <w:bCs/>
                <w:sz w:val="20"/>
                <w:szCs w:val="20"/>
              </w:rPr>
              <w:t>Sous Projet</w:t>
            </w:r>
          </w:p>
        </w:tc>
        <w:tc>
          <w:tcPr>
            <w:tcW w:w="1098" w:type="dxa"/>
            <w:shd w:val="clear" w:color="auto" w:fill="BFBFBF"/>
          </w:tcPr>
          <w:p w14:paraId="679243AA" w14:textId="77777777" w:rsidR="00AD121B" w:rsidRPr="007F78CE" w:rsidRDefault="00AD121B"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111" w:type="dxa"/>
            <w:shd w:val="clear" w:color="auto" w:fill="BFBFBF"/>
          </w:tcPr>
          <w:p w14:paraId="713AB23D" w14:textId="77777777" w:rsidR="00AD121B" w:rsidRPr="007F78CE" w:rsidRDefault="00AD121B"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1048" w:type="dxa"/>
            <w:shd w:val="clear" w:color="auto" w:fill="BFBFBF"/>
          </w:tcPr>
          <w:p w14:paraId="73D4B40F" w14:textId="77777777" w:rsidR="00AD121B" w:rsidRPr="007F78CE" w:rsidRDefault="00AD121B"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192" w:type="dxa"/>
            <w:shd w:val="clear" w:color="auto" w:fill="BFBFBF"/>
          </w:tcPr>
          <w:p w14:paraId="420CA4DA" w14:textId="77777777" w:rsidR="00AD121B" w:rsidRPr="007F78CE" w:rsidRDefault="00AD121B"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196" w:type="dxa"/>
            <w:shd w:val="clear" w:color="auto" w:fill="BFBFBF"/>
          </w:tcPr>
          <w:p w14:paraId="7A1D0D58" w14:textId="77777777" w:rsidR="00AD121B" w:rsidRPr="007F78CE" w:rsidRDefault="00AD121B"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950" w:type="dxa"/>
            <w:shd w:val="clear" w:color="auto" w:fill="BFBFBF"/>
          </w:tcPr>
          <w:p w14:paraId="4795D41E" w14:textId="77777777" w:rsidR="00AD121B" w:rsidRPr="007F78CE" w:rsidRDefault="00AD121B"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816" w:type="dxa"/>
            <w:shd w:val="clear" w:color="auto" w:fill="BFBFBF"/>
          </w:tcPr>
          <w:p w14:paraId="59F75325" w14:textId="77777777" w:rsidR="00AD121B" w:rsidRPr="007F78CE" w:rsidRDefault="00AD121B" w:rsidP="007F78CE">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AD121B" w:rsidRPr="007F78CE" w14:paraId="0F518238" w14:textId="77777777" w:rsidTr="00345918">
        <w:trPr>
          <w:jc w:val="center"/>
        </w:trPr>
        <w:tc>
          <w:tcPr>
            <w:tcW w:w="1877" w:type="dxa"/>
          </w:tcPr>
          <w:p w14:paraId="5751F443" w14:textId="77777777" w:rsidR="00AD121B" w:rsidRPr="007F78CE" w:rsidRDefault="00AD121B"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Infrastructure numérique</w:t>
            </w:r>
          </w:p>
        </w:tc>
        <w:tc>
          <w:tcPr>
            <w:tcW w:w="1098" w:type="dxa"/>
            <w:shd w:val="clear" w:color="auto" w:fill="auto"/>
          </w:tcPr>
          <w:p w14:paraId="7E149956" w14:textId="77777777" w:rsidR="00AD121B" w:rsidRPr="007F78CE" w:rsidRDefault="00AD121B"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Moyenne</w:t>
            </w:r>
          </w:p>
          <w:p w14:paraId="774B6F26"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111" w:type="dxa"/>
            <w:shd w:val="clear" w:color="auto" w:fill="auto"/>
          </w:tcPr>
          <w:p w14:paraId="23F40F33"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Régionale</w:t>
            </w:r>
          </w:p>
          <w:p w14:paraId="64F7DDE2"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048" w:type="dxa"/>
            <w:shd w:val="clear" w:color="auto" w:fill="auto"/>
          </w:tcPr>
          <w:p w14:paraId="14081673"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1551EA1C"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192" w:type="dxa"/>
            <w:shd w:val="clear" w:color="auto" w:fill="auto"/>
          </w:tcPr>
          <w:p w14:paraId="028EEDB9"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40427280"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196" w:type="dxa"/>
            <w:shd w:val="clear" w:color="auto" w:fill="FFFF00"/>
          </w:tcPr>
          <w:p w14:paraId="502F7D5B"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48E8E945"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(8)</w:t>
            </w:r>
          </w:p>
        </w:tc>
        <w:tc>
          <w:tcPr>
            <w:tcW w:w="950" w:type="dxa"/>
            <w:shd w:val="clear" w:color="auto" w:fill="auto"/>
          </w:tcPr>
          <w:p w14:paraId="2A49D469" w14:textId="77777777" w:rsidR="00AD121B" w:rsidRPr="007F78CE" w:rsidRDefault="00AD121B"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Elevé </w:t>
            </w:r>
          </w:p>
        </w:tc>
        <w:tc>
          <w:tcPr>
            <w:tcW w:w="816" w:type="dxa"/>
            <w:shd w:val="clear" w:color="auto" w:fill="FFC000"/>
          </w:tcPr>
          <w:p w14:paraId="6D66798A" w14:textId="77777777" w:rsidR="00AD121B" w:rsidRDefault="00AD121B"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Elevé </w:t>
            </w:r>
          </w:p>
        </w:tc>
      </w:tr>
    </w:tbl>
    <w:p w14:paraId="44FD6527" w14:textId="77777777" w:rsidR="0090044A" w:rsidRDefault="0090044A" w:rsidP="00B434A6">
      <w:pPr>
        <w:spacing w:after="0"/>
        <w:rPr>
          <w:highlight w:val="yellow"/>
        </w:rPr>
      </w:pPr>
    </w:p>
    <w:p w14:paraId="481E5598" w14:textId="77777777" w:rsidR="0090044A" w:rsidRPr="002D06E7" w:rsidRDefault="0090044A" w:rsidP="00B434A6">
      <w:pPr>
        <w:pStyle w:val="Normal12"/>
        <w:numPr>
          <w:ilvl w:val="0"/>
          <w:numId w:val="85"/>
        </w:numPr>
        <w:spacing w:after="100" w:afterAutospacing="1"/>
        <w:contextualSpacing/>
        <w:rPr>
          <w:i/>
          <w:iCs/>
          <w:lang w:val="fr-FR"/>
        </w:rPr>
      </w:pPr>
      <w:r w:rsidRPr="002D06E7">
        <w:rPr>
          <w:i/>
          <w:iCs/>
          <w:lang w:val="fr-FR"/>
        </w:rPr>
        <w:t>Risque d'augmentation des cas de cybercriminalité</w:t>
      </w:r>
    </w:p>
    <w:p w14:paraId="4EC68C8C" w14:textId="77777777" w:rsidR="0090044A" w:rsidRPr="00C41583" w:rsidRDefault="0090044A" w:rsidP="00C41583">
      <w:pPr>
        <w:spacing w:line="240" w:lineRule="auto"/>
        <w:jc w:val="both"/>
        <w:rPr>
          <w:rFonts w:ascii="Arial" w:hAnsi="Arial" w:cs="Arial"/>
        </w:rPr>
      </w:pPr>
      <w:r w:rsidRPr="00C41583">
        <w:rPr>
          <w:rFonts w:ascii="Arial" w:hAnsi="Arial" w:cs="Arial"/>
        </w:rPr>
        <w:t>Le terme de « </w:t>
      </w:r>
      <w:hyperlink r:id="rId56" w:tooltip="cybercriminalité" w:history="1">
        <w:r w:rsidRPr="00C41583">
          <w:rPr>
            <w:rFonts w:ascii="Arial" w:hAnsi="Arial" w:cs="Arial"/>
          </w:rPr>
          <w:t>cybercriminalité</w:t>
        </w:r>
      </w:hyperlink>
      <w:r w:rsidRPr="00C41583">
        <w:rPr>
          <w:rFonts w:ascii="Arial" w:hAnsi="Arial" w:cs="Arial"/>
        </w:rPr>
        <w:t xml:space="preserve"> » regroupe l’ensemble des infractions pénales susceptibles de se commettre sur les réseaux de télécommunications en général et plus particulièrement sur le réseau Internet. La cybercriminalité recouvre deux types d’infractions pénales : </w:t>
      </w:r>
    </w:p>
    <w:p w14:paraId="320AB904" w14:textId="77777777" w:rsidR="0090044A" w:rsidRPr="00C41583" w:rsidRDefault="0090044A" w:rsidP="00B434A6">
      <w:pPr>
        <w:numPr>
          <w:ilvl w:val="0"/>
          <w:numId w:val="100"/>
        </w:numPr>
        <w:spacing w:after="0" w:line="240" w:lineRule="auto"/>
        <w:contextualSpacing/>
        <w:jc w:val="both"/>
        <w:rPr>
          <w:rFonts w:ascii="Arial" w:hAnsi="Arial" w:cs="Arial"/>
          <w:color w:val="000000"/>
        </w:rPr>
      </w:pPr>
      <w:r w:rsidRPr="00C41583">
        <w:rPr>
          <w:rFonts w:ascii="Arial" w:hAnsi="Arial" w:cs="Arial"/>
          <w:color w:val="000000"/>
        </w:rPr>
        <w:t>les infractions directement liées aux technologies de l’information et de la communication (TIC) dans lesquelles l’informatique est l’objet même du délit,</w:t>
      </w:r>
    </w:p>
    <w:p w14:paraId="6068A658" w14:textId="77777777" w:rsidR="0090044A" w:rsidRPr="00C41583" w:rsidRDefault="0090044A" w:rsidP="00B434A6">
      <w:pPr>
        <w:numPr>
          <w:ilvl w:val="0"/>
          <w:numId w:val="100"/>
        </w:numPr>
        <w:spacing w:after="120" w:line="240" w:lineRule="auto"/>
        <w:ind w:left="720"/>
        <w:jc w:val="both"/>
        <w:rPr>
          <w:rFonts w:ascii="Arial" w:hAnsi="Arial" w:cs="Arial"/>
          <w:color w:val="000000"/>
        </w:rPr>
      </w:pPr>
      <w:r w:rsidRPr="00C41583">
        <w:rPr>
          <w:rFonts w:ascii="Arial" w:hAnsi="Arial" w:cs="Arial"/>
          <w:color w:val="000000"/>
        </w:rPr>
        <w:t>les infractions dont la commission est liée ou facilitée par les TIC et pour lesquelles l'informatique n’est qu’un moyen.</w:t>
      </w:r>
    </w:p>
    <w:p w14:paraId="29C25A48" w14:textId="77777777" w:rsidR="0090044A" w:rsidRPr="00C41583" w:rsidRDefault="0090044A" w:rsidP="00C41583">
      <w:pPr>
        <w:spacing w:line="240" w:lineRule="auto"/>
        <w:jc w:val="both"/>
        <w:rPr>
          <w:rFonts w:ascii="Arial" w:hAnsi="Arial" w:cs="Arial"/>
        </w:rPr>
      </w:pPr>
      <w:r w:rsidRPr="00C41583">
        <w:rPr>
          <w:rFonts w:ascii="Arial" w:hAnsi="Arial" w:cs="Arial"/>
        </w:rPr>
        <w:t>Dans le cadre du projet, le développement et la vulgarisation des TIC présentent des risques d’augmentation des cas de cybercriminalité au sein de la communauté. Ce risque peut aller à l’échelle régionale par le biais de l’interconnexion des réseaux de télécommunication. Il en résulte un besoin de mise en œuvre de mesures d’accompagnement adéquates.</w:t>
      </w:r>
    </w:p>
    <w:p w14:paraId="200E4D9B" w14:textId="77777777" w:rsidR="00353921" w:rsidRDefault="0090044A" w:rsidP="00C41583">
      <w:pPr>
        <w:spacing w:line="240" w:lineRule="auto"/>
        <w:jc w:val="both"/>
        <w:rPr>
          <w:rFonts w:ascii="Arial" w:hAnsi="Arial" w:cs="Arial"/>
        </w:rPr>
      </w:pPr>
      <w:r w:rsidRPr="00C41583">
        <w:rPr>
          <w:rFonts w:ascii="Arial" w:hAnsi="Arial" w:cs="Arial"/>
        </w:rPr>
        <w:t>Cet impact peut être considéré comme d’importance « moyenne »</w:t>
      </w:r>
      <w:r w:rsidR="00317C45">
        <w:rPr>
          <w:rFonts w:ascii="Arial" w:hAnsi="Arial" w:cs="Arial"/>
        </w:rPr>
        <w:t xml:space="preserve"> </w:t>
      </w:r>
      <w:r w:rsidR="00AD121B">
        <w:rPr>
          <w:rFonts w:ascii="Arial" w:hAnsi="Arial" w:cs="Arial"/>
        </w:rPr>
        <w:t xml:space="preserve">et le niveau de risque est évalué comme élevé </w:t>
      </w:r>
      <w:r w:rsidR="00317C45">
        <w:rPr>
          <w:rFonts w:ascii="Arial" w:hAnsi="Arial" w:cs="Arial"/>
        </w:rPr>
        <w:t>selon le tableau suivant</w:t>
      </w:r>
      <w:r w:rsidR="00A53DB9">
        <w:rPr>
          <w:rFonts w:ascii="Arial" w:hAnsi="Arial" w:cs="Arial"/>
        </w:rPr>
        <w:t>.</w:t>
      </w:r>
    </w:p>
    <w:p w14:paraId="5FC3F7CB" w14:textId="77777777" w:rsidR="00A53DB9" w:rsidRDefault="00353921" w:rsidP="00C41583">
      <w:pPr>
        <w:spacing w:line="240" w:lineRule="auto"/>
        <w:jc w:val="both"/>
        <w:rPr>
          <w:rFonts w:ascii="Arial" w:hAnsi="Arial" w:cs="Arial"/>
        </w:rPr>
      </w:pPr>
      <w:r>
        <w:rPr>
          <w:rFonts w:ascii="Arial" w:hAnsi="Arial" w:cs="Arial"/>
        </w:rPr>
        <w:br w:type="page"/>
      </w:r>
    </w:p>
    <w:p w14:paraId="7C060155" w14:textId="77777777" w:rsidR="003C126D" w:rsidRPr="002E58DC" w:rsidRDefault="003C126D" w:rsidP="003C126D">
      <w:pPr>
        <w:pStyle w:val="Lgende"/>
        <w:spacing w:before="120"/>
        <w:jc w:val="center"/>
        <w:rPr>
          <w:sz w:val="20"/>
        </w:rPr>
      </w:pPr>
      <w:bookmarkStart w:id="1058" w:name="_Toc127957864"/>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68</w:t>
      </w:r>
      <w:r w:rsidRPr="002E58DC">
        <w:rPr>
          <w:sz w:val="20"/>
        </w:rPr>
        <w:fldChar w:fldCharType="end"/>
      </w:r>
      <w:r w:rsidRPr="002E58DC">
        <w:rPr>
          <w:sz w:val="20"/>
        </w:rPr>
        <w:t>. Evaluation l’impact -</w:t>
      </w:r>
      <w:r w:rsidR="00874654" w:rsidRPr="002E58DC">
        <w:rPr>
          <w:sz w:val="20"/>
        </w:rPr>
        <w:t>Risque</w:t>
      </w:r>
      <w:r w:rsidRPr="002E58DC">
        <w:rPr>
          <w:sz w:val="20"/>
        </w:rPr>
        <w:t xml:space="preserve"> d’augmentation des cas de cybercriminalité</w:t>
      </w:r>
      <w:bookmarkEnd w:id="1058"/>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103"/>
        <w:gridCol w:w="1116"/>
        <w:gridCol w:w="1053"/>
        <w:gridCol w:w="1192"/>
        <w:gridCol w:w="1111"/>
        <w:gridCol w:w="1064"/>
        <w:gridCol w:w="834"/>
      </w:tblGrid>
      <w:tr w:rsidR="00AD121B" w:rsidRPr="007F78CE" w14:paraId="10EDAAAD" w14:textId="77777777" w:rsidTr="00345918">
        <w:trPr>
          <w:jc w:val="center"/>
        </w:trPr>
        <w:tc>
          <w:tcPr>
            <w:tcW w:w="1926" w:type="dxa"/>
            <w:shd w:val="clear" w:color="auto" w:fill="BFBFBF"/>
          </w:tcPr>
          <w:p w14:paraId="0D6E0AE0" w14:textId="77777777" w:rsidR="00AD121B" w:rsidRPr="007F78CE" w:rsidRDefault="00AD121B" w:rsidP="00A32694">
            <w:pPr>
              <w:spacing w:after="0" w:line="240" w:lineRule="auto"/>
              <w:rPr>
                <w:rFonts w:ascii="Arial Narrow" w:hAnsi="Arial Narrow"/>
                <w:b/>
                <w:bCs/>
                <w:sz w:val="20"/>
                <w:szCs w:val="20"/>
              </w:rPr>
            </w:pPr>
            <w:r>
              <w:rPr>
                <w:rFonts w:ascii="Arial Narrow" w:hAnsi="Arial Narrow"/>
                <w:b/>
                <w:bCs/>
                <w:sz w:val="20"/>
                <w:szCs w:val="20"/>
              </w:rPr>
              <w:t>Sous Projet</w:t>
            </w:r>
          </w:p>
        </w:tc>
        <w:tc>
          <w:tcPr>
            <w:tcW w:w="1140" w:type="dxa"/>
            <w:shd w:val="clear" w:color="auto" w:fill="BFBFBF"/>
          </w:tcPr>
          <w:p w14:paraId="51A3E38E" w14:textId="77777777" w:rsidR="00AD121B" w:rsidRPr="007F78CE" w:rsidRDefault="00AD121B" w:rsidP="00A32694">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144" w:type="dxa"/>
            <w:shd w:val="clear" w:color="auto" w:fill="BFBFBF"/>
          </w:tcPr>
          <w:p w14:paraId="175D908F" w14:textId="77777777" w:rsidR="00AD121B" w:rsidRPr="007F78CE" w:rsidRDefault="00AD121B" w:rsidP="00A32694">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1081" w:type="dxa"/>
            <w:shd w:val="clear" w:color="auto" w:fill="BFBFBF"/>
          </w:tcPr>
          <w:p w14:paraId="7B7F8CD8" w14:textId="77777777" w:rsidR="00AD121B" w:rsidRPr="007F78CE" w:rsidRDefault="00AD121B" w:rsidP="00A32694">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192" w:type="dxa"/>
            <w:shd w:val="clear" w:color="auto" w:fill="BFBFBF"/>
          </w:tcPr>
          <w:p w14:paraId="674B44EF" w14:textId="77777777" w:rsidR="00AD121B" w:rsidRPr="007F78CE" w:rsidRDefault="00AD121B" w:rsidP="00A32694">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113" w:type="dxa"/>
            <w:shd w:val="clear" w:color="auto" w:fill="BFBFBF"/>
          </w:tcPr>
          <w:p w14:paraId="4DA07870" w14:textId="77777777" w:rsidR="00AD121B" w:rsidRPr="007F78CE" w:rsidRDefault="00AD121B" w:rsidP="00A32694">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846" w:type="dxa"/>
            <w:shd w:val="clear" w:color="auto" w:fill="auto"/>
          </w:tcPr>
          <w:p w14:paraId="203944F2" w14:textId="77777777" w:rsidR="00AD121B" w:rsidRPr="007F78CE" w:rsidRDefault="00AD121B" w:rsidP="00A32694">
            <w:pPr>
              <w:spacing w:after="0" w:line="240" w:lineRule="auto"/>
              <w:rPr>
                <w:rFonts w:ascii="Arial Narrow" w:hAnsi="Arial Narrow"/>
                <w:b/>
                <w:bCs/>
                <w:sz w:val="20"/>
                <w:szCs w:val="20"/>
              </w:rPr>
            </w:pPr>
            <w:r>
              <w:rPr>
                <w:rFonts w:ascii="Arial Narrow" w:hAnsi="Arial Narrow"/>
                <w:b/>
                <w:bCs/>
                <w:sz w:val="20"/>
                <w:szCs w:val="20"/>
              </w:rPr>
              <w:t>Probabilité</w:t>
            </w:r>
          </w:p>
        </w:tc>
        <w:tc>
          <w:tcPr>
            <w:tcW w:w="846" w:type="dxa"/>
            <w:shd w:val="clear" w:color="auto" w:fill="auto"/>
          </w:tcPr>
          <w:p w14:paraId="5016ACBD" w14:textId="77777777" w:rsidR="00AD121B" w:rsidRPr="007F78CE" w:rsidRDefault="00AD121B" w:rsidP="00A32694">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AD121B" w:rsidRPr="007F78CE" w14:paraId="1AA8D594" w14:textId="77777777" w:rsidTr="00345918">
        <w:trPr>
          <w:jc w:val="center"/>
        </w:trPr>
        <w:tc>
          <w:tcPr>
            <w:tcW w:w="1926" w:type="dxa"/>
          </w:tcPr>
          <w:p w14:paraId="08B9646D" w14:textId="77777777" w:rsidR="00AD121B" w:rsidRPr="007F78CE" w:rsidRDefault="00AD121B" w:rsidP="00A32694">
            <w:pPr>
              <w:spacing w:after="0" w:line="240" w:lineRule="auto"/>
              <w:contextualSpacing/>
              <w:jc w:val="center"/>
              <w:rPr>
                <w:rFonts w:ascii="Arial Narrow" w:hAnsi="Arial Narrow" w:cs="Arial"/>
                <w:sz w:val="20"/>
                <w:szCs w:val="20"/>
              </w:rPr>
            </w:pPr>
            <w:r>
              <w:rPr>
                <w:rFonts w:ascii="Arial Narrow" w:hAnsi="Arial Narrow" w:cs="Arial"/>
                <w:sz w:val="20"/>
                <w:szCs w:val="20"/>
              </w:rPr>
              <w:t>Infrastructure numérique</w:t>
            </w:r>
          </w:p>
        </w:tc>
        <w:tc>
          <w:tcPr>
            <w:tcW w:w="1140" w:type="dxa"/>
            <w:shd w:val="clear" w:color="auto" w:fill="auto"/>
          </w:tcPr>
          <w:p w14:paraId="4B4E5834" w14:textId="77777777" w:rsidR="00AD121B" w:rsidRPr="007F78CE" w:rsidRDefault="00AD121B" w:rsidP="00A32694">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Moyenne</w:t>
            </w:r>
          </w:p>
          <w:p w14:paraId="179A9BFC" w14:textId="77777777" w:rsidR="00AD121B" w:rsidRPr="007F78CE" w:rsidRDefault="00AD121B" w:rsidP="00A32694">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144" w:type="dxa"/>
            <w:shd w:val="clear" w:color="auto" w:fill="auto"/>
          </w:tcPr>
          <w:p w14:paraId="215EC4E7" w14:textId="77777777" w:rsidR="00AD121B" w:rsidRPr="007F78CE" w:rsidRDefault="00AD121B" w:rsidP="00A32694">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Régionale</w:t>
            </w:r>
          </w:p>
          <w:p w14:paraId="4BB487CB" w14:textId="77777777" w:rsidR="00AD121B" w:rsidRPr="007F78CE" w:rsidRDefault="00AD121B" w:rsidP="00A32694">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081" w:type="dxa"/>
            <w:shd w:val="clear" w:color="auto" w:fill="auto"/>
          </w:tcPr>
          <w:p w14:paraId="67CA4139" w14:textId="77777777" w:rsidR="00AD121B" w:rsidRPr="007F78CE" w:rsidRDefault="00AD121B" w:rsidP="00A32694">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553516AD" w14:textId="77777777" w:rsidR="00AD121B" w:rsidRPr="007F78CE" w:rsidRDefault="00AD121B" w:rsidP="00A32694">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192" w:type="dxa"/>
            <w:shd w:val="clear" w:color="auto" w:fill="auto"/>
          </w:tcPr>
          <w:p w14:paraId="70B3C50F" w14:textId="77777777" w:rsidR="00AD121B" w:rsidRPr="007F78CE" w:rsidRDefault="00AD121B" w:rsidP="00A32694">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3B9BC4F7" w14:textId="77777777" w:rsidR="00AD121B" w:rsidRPr="007F78CE" w:rsidRDefault="00AD121B" w:rsidP="00A32694">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113" w:type="dxa"/>
            <w:shd w:val="clear" w:color="auto" w:fill="FFFF00"/>
          </w:tcPr>
          <w:p w14:paraId="61DFFC96" w14:textId="77777777" w:rsidR="00AD121B" w:rsidRPr="007F78CE" w:rsidRDefault="00AD121B" w:rsidP="00A32694">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68EA03EC" w14:textId="77777777" w:rsidR="00AD121B" w:rsidRPr="007F78CE" w:rsidRDefault="00AD121B" w:rsidP="00A32694">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(8)</w:t>
            </w:r>
          </w:p>
        </w:tc>
        <w:tc>
          <w:tcPr>
            <w:tcW w:w="846" w:type="dxa"/>
            <w:shd w:val="clear" w:color="auto" w:fill="auto"/>
          </w:tcPr>
          <w:p w14:paraId="74A5511E" w14:textId="77777777" w:rsidR="00AD121B" w:rsidRPr="007F78CE" w:rsidRDefault="00AD121B" w:rsidP="00A32694">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Elevé </w:t>
            </w:r>
          </w:p>
        </w:tc>
        <w:tc>
          <w:tcPr>
            <w:tcW w:w="846" w:type="dxa"/>
            <w:shd w:val="clear" w:color="auto" w:fill="FFC000"/>
          </w:tcPr>
          <w:p w14:paraId="0525EAAE" w14:textId="77777777" w:rsidR="00AD121B" w:rsidRPr="007F78CE" w:rsidRDefault="00AD121B" w:rsidP="00A32694">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Elevé </w:t>
            </w:r>
          </w:p>
        </w:tc>
      </w:tr>
    </w:tbl>
    <w:p w14:paraId="5A16435D" w14:textId="77777777" w:rsidR="003C126D" w:rsidRDefault="003C126D" w:rsidP="00C41583">
      <w:pPr>
        <w:spacing w:line="240" w:lineRule="auto"/>
        <w:jc w:val="both"/>
        <w:rPr>
          <w:rFonts w:ascii="Arial" w:hAnsi="Arial" w:cs="Arial"/>
        </w:rPr>
      </w:pPr>
    </w:p>
    <w:p w14:paraId="23233442" w14:textId="77777777" w:rsidR="003C126D" w:rsidRPr="00742D67" w:rsidRDefault="003C126D" w:rsidP="00F01166">
      <w:pPr>
        <w:pStyle w:val="Normal12"/>
        <w:numPr>
          <w:ilvl w:val="0"/>
          <w:numId w:val="85"/>
        </w:numPr>
        <w:spacing w:before="240" w:after="120"/>
        <w:contextualSpacing/>
        <w:rPr>
          <w:i/>
          <w:iCs/>
          <w:color w:val="auto"/>
          <w:lang w:val="fr-FR"/>
        </w:rPr>
      </w:pPr>
      <w:r w:rsidRPr="00742D67">
        <w:rPr>
          <w:i/>
          <w:iCs/>
          <w:color w:val="auto"/>
          <w:lang w:val="fr-FR"/>
        </w:rPr>
        <w:t xml:space="preserve">Atteinte à la sécurité de la population </w:t>
      </w:r>
      <w:r w:rsidR="00317C45">
        <w:rPr>
          <w:i/>
          <w:iCs/>
          <w:color w:val="auto"/>
          <w:lang w:val="fr-FR"/>
        </w:rPr>
        <w:t>par suite de</w:t>
      </w:r>
      <w:r w:rsidRPr="00742D67">
        <w:rPr>
          <w:i/>
          <w:iCs/>
          <w:color w:val="auto"/>
          <w:lang w:val="fr-FR"/>
        </w:rPr>
        <w:t xml:space="preserve"> la rupture de barrage</w:t>
      </w:r>
    </w:p>
    <w:p w14:paraId="189889EB" w14:textId="77777777" w:rsidR="003C126D" w:rsidRPr="00742D67" w:rsidRDefault="00874654" w:rsidP="00C41583">
      <w:pPr>
        <w:spacing w:line="240" w:lineRule="auto"/>
        <w:jc w:val="both"/>
        <w:rPr>
          <w:rFonts w:ascii="Arial" w:hAnsi="Arial" w:cs="Arial"/>
        </w:rPr>
      </w:pPr>
      <w:r w:rsidRPr="00742D67">
        <w:rPr>
          <w:rFonts w:ascii="Arial" w:hAnsi="Arial" w:cs="Arial"/>
        </w:rPr>
        <w:t xml:space="preserve">Le phénomène de rupture de barrage correspond à une destruction partielle ou totale d’un barrage. Elle entraîne la formation d’une onde de submersion se traduisant par une élévation brutale du niveau de l’eau à l’aval. </w:t>
      </w:r>
      <w:r w:rsidR="0097624B" w:rsidRPr="00742D67">
        <w:rPr>
          <w:rFonts w:ascii="Arial" w:hAnsi="Arial" w:cs="Arial"/>
        </w:rPr>
        <w:t>Le torrent et la montée d’eau risquerai</w:t>
      </w:r>
      <w:r w:rsidR="00E43024" w:rsidRPr="00742D67">
        <w:rPr>
          <w:rFonts w:ascii="Arial" w:hAnsi="Arial" w:cs="Arial"/>
        </w:rPr>
        <w:t>en</w:t>
      </w:r>
      <w:r w:rsidR="0097624B" w:rsidRPr="00742D67">
        <w:rPr>
          <w:rFonts w:ascii="Arial" w:hAnsi="Arial" w:cs="Arial"/>
        </w:rPr>
        <w:t>t d’inond</w:t>
      </w:r>
      <w:r w:rsidR="00E43024" w:rsidRPr="00742D67">
        <w:rPr>
          <w:rFonts w:ascii="Arial" w:hAnsi="Arial" w:cs="Arial"/>
        </w:rPr>
        <w:t>er</w:t>
      </w:r>
      <w:r w:rsidR="0097624B" w:rsidRPr="00742D67">
        <w:rPr>
          <w:rFonts w:ascii="Arial" w:hAnsi="Arial" w:cs="Arial"/>
        </w:rPr>
        <w:t xml:space="preserve"> ou de détruire les villages en aval ainsi que les terrains de culture. Ainsi, l’effet </w:t>
      </w:r>
      <w:r w:rsidR="00E43024" w:rsidRPr="00742D67">
        <w:rPr>
          <w:rFonts w:ascii="Arial" w:hAnsi="Arial" w:cs="Arial"/>
        </w:rPr>
        <w:t>d’</w:t>
      </w:r>
      <w:r w:rsidR="0097624B" w:rsidRPr="00742D67">
        <w:rPr>
          <w:rFonts w:ascii="Arial" w:hAnsi="Arial" w:cs="Arial"/>
        </w:rPr>
        <w:t>une rupture de barrage serait néfaste à la population locale même si elle est de courte durée et que les dégâts matériels peuvent être réparés. Son importance est donc jugée « Moyenne »</w:t>
      </w:r>
      <w:r w:rsidR="00317C45">
        <w:rPr>
          <w:rFonts w:ascii="Arial" w:hAnsi="Arial" w:cs="Arial"/>
        </w:rPr>
        <w:t xml:space="preserve"> </w:t>
      </w:r>
      <w:r w:rsidR="00AD121B">
        <w:rPr>
          <w:rFonts w:ascii="Arial" w:hAnsi="Arial" w:cs="Arial"/>
        </w:rPr>
        <w:t xml:space="preserve">et le niveau de risque est considéré comme faible </w:t>
      </w:r>
      <w:r w:rsidR="00317C45">
        <w:rPr>
          <w:rFonts w:ascii="Arial" w:hAnsi="Arial" w:cs="Arial"/>
        </w:rPr>
        <w:t>suivant le tableau suivant</w:t>
      </w:r>
      <w:r w:rsidR="0097624B" w:rsidRPr="00742D67">
        <w:rPr>
          <w:rFonts w:ascii="Arial" w:hAnsi="Arial" w:cs="Arial"/>
        </w:rPr>
        <w:t xml:space="preserve"> </w:t>
      </w:r>
    </w:p>
    <w:p w14:paraId="2EEFA9DB" w14:textId="77777777" w:rsidR="00874654" w:rsidRPr="00B434A6" w:rsidRDefault="00874654" w:rsidP="00B434A6">
      <w:pPr>
        <w:pStyle w:val="Lgende"/>
        <w:spacing w:before="120"/>
        <w:jc w:val="center"/>
        <w:rPr>
          <w:sz w:val="20"/>
        </w:rPr>
      </w:pPr>
      <w:bookmarkStart w:id="1059" w:name="_Toc127957865"/>
      <w:r w:rsidRPr="00B434A6">
        <w:rPr>
          <w:sz w:val="20"/>
        </w:rPr>
        <w:t xml:space="preserve">Tableau </w:t>
      </w:r>
      <w:r w:rsidRPr="00B434A6">
        <w:rPr>
          <w:sz w:val="20"/>
        </w:rPr>
        <w:fldChar w:fldCharType="begin"/>
      </w:r>
      <w:r w:rsidRPr="00B434A6">
        <w:rPr>
          <w:sz w:val="20"/>
        </w:rPr>
        <w:instrText xml:space="preserve"> SEQ Tableau \* ARABIC </w:instrText>
      </w:r>
      <w:r w:rsidRPr="00B434A6">
        <w:rPr>
          <w:sz w:val="20"/>
        </w:rPr>
        <w:fldChar w:fldCharType="separate"/>
      </w:r>
      <w:r w:rsidR="005430A1">
        <w:rPr>
          <w:noProof/>
          <w:sz w:val="20"/>
        </w:rPr>
        <w:t>69</w:t>
      </w:r>
      <w:r w:rsidRPr="00B434A6">
        <w:rPr>
          <w:sz w:val="20"/>
        </w:rPr>
        <w:fldChar w:fldCharType="end"/>
      </w:r>
      <w:r w:rsidRPr="00B434A6">
        <w:rPr>
          <w:sz w:val="20"/>
        </w:rPr>
        <w:t>. Evaluation de l’impact – atteinte à la sécurité de la population</w:t>
      </w:r>
      <w:bookmarkEnd w:id="1059"/>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1067"/>
        <w:gridCol w:w="1088"/>
        <w:gridCol w:w="892"/>
        <w:gridCol w:w="1229"/>
        <w:gridCol w:w="1279"/>
        <w:gridCol w:w="1064"/>
        <w:gridCol w:w="881"/>
        <w:tblGridChange w:id="1060">
          <w:tblGrid>
            <w:gridCol w:w="1788"/>
            <w:gridCol w:w="1067"/>
            <w:gridCol w:w="1088"/>
            <w:gridCol w:w="892"/>
            <w:gridCol w:w="1229"/>
            <w:gridCol w:w="1279"/>
            <w:gridCol w:w="1064"/>
            <w:gridCol w:w="881"/>
          </w:tblGrid>
        </w:tblGridChange>
      </w:tblGrid>
      <w:tr w:rsidR="00AD121B" w:rsidRPr="007F78CE" w14:paraId="76F32399" w14:textId="77777777" w:rsidTr="00345918">
        <w:trPr>
          <w:jc w:val="center"/>
        </w:trPr>
        <w:tc>
          <w:tcPr>
            <w:tcW w:w="1847" w:type="dxa"/>
            <w:shd w:val="clear" w:color="auto" w:fill="BFBFBF"/>
          </w:tcPr>
          <w:p w14:paraId="3B53F3DA" w14:textId="77777777" w:rsidR="00AD121B" w:rsidRPr="007F78CE" w:rsidRDefault="00AD121B" w:rsidP="00B434A6">
            <w:pPr>
              <w:spacing w:after="0" w:line="240" w:lineRule="auto"/>
              <w:jc w:val="center"/>
              <w:rPr>
                <w:rFonts w:ascii="Arial Narrow" w:hAnsi="Arial Narrow"/>
                <w:b/>
                <w:bCs/>
                <w:sz w:val="20"/>
                <w:szCs w:val="20"/>
              </w:rPr>
            </w:pPr>
            <w:r>
              <w:rPr>
                <w:rFonts w:ascii="Arial Narrow" w:hAnsi="Arial Narrow"/>
                <w:b/>
                <w:bCs/>
                <w:sz w:val="20"/>
                <w:szCs w:val="20"/>
              </w:rPr>
              <w:t>Sous Projet</w:t>
            </w:r>
          </w:p>
        </w:tc>
        <w:tc>
          <w:tcPr>
            <w:tcW w:w="1090" w:type="dxa"/>
            <w:shd w:val="clear" w:color="auto" w:fill="BFBFBF"/>
          </w:tcPr>
          <w:p w14:paraId="1EBEBC01" w14:textId="77777777" w:rsidR="00AD121B" w:rsidRPr="007F78CE" w:rsidRDefault="00AD121B" w:rsidP="00A32694">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105" w:type="dxa"/>
            <w:shd w:val="clear" w:color="auto" w:fill="BFBFBF"/>
          </w:tcPr>
          <w:p w14:paraId="163F229F" w14:textId="77777777" w:rsidR="00AD121B" w:rsidRPr="007F78CE" w:rsidRDefault="00AD121B" w:rsidP="00A32694">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916" w:type="dxa"/>
            <w:shd w:val="clear" w:color="auto" w:fill="BFBFBF"/>
          </w:tcPr>
          <w:p w14:paraId="0F1FE057" w14:textId="77777777" w:rsidR="00AD121B" w:rsidRPr="007F78CE" w:rsidRDefault="00AD121B" w:rsidP="00A32694">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234" w:type="dxa"/>
            <w:shd w:val="clear" w:color="auto" w:fill="BFBFBF"/>
          </w:tcPr>
          <w:p w14:paraId="54EE3462" w14:textId="77777777" w:rsidR="00AD121B" w:rsidRPr="007F78CE" w:rsidRDefault="00AD121B" w:rsidP="00A32694">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302" w:type="dxa"/>
            <w:shd w:val="clear" w:color="auto" w:fill="BFBFBF"/>
          </w:tcPr>
          <w:p w14:paraId="515C7814" w14:textId="77777777" w:rsidR="00AD121B" w:rsidRPr="007F78CE" w:rsidRDefault="00AD121B" w:rsidP="00A32694">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897" w:type="dxa"/>
            <w:shd w:val="clear" w:color="auto" w:fill="auto"/>
          </w:tcPr>
          <w:p w14:paraId="6377875B" w14:textId="77777777" w:rsidR="00AD121B" w:rsidRPr="007F78CE" w:rsidRDefault="00AD121B" w:rsidP="00A32694">
            <w:pPr>
              <w:spacing w:after="0" w:line="240" w:lineRule="auto"/>
              <w:rPr>
                <w:rFonts w:ascii="Arial Narrow" w:hAnsi="Arial Narrow"/>
                <w:b/>
                <w:bCs/>
                <w:sz w:val="20"/>
                <w:szCs w:val="20"/>
              </w:rPr>
            </w:pPr>
            <w:r>
              <w:rPr>
                <w:rFonts w:ascii="Arial Narrow" w:hAnsi="Arial Narrow"/>
                <w:b/>
                <w:bCs/>
                <w:sz w:val="20"/>
                <w:szCs w:val="20"/>
              </w:rPr>
              <w:t>Probabilité</w:t>
            </w:r>
          </w:p>
        </w:tc>
        <w:tc>
          <w:tcPr>
            <w:tcW w:w="897" w:type="dxa"/>
            <w:shd w:val="clear" w:color="auto" w:fill="auto"/>
          </w:tcPr>
          <w:p w14:paraId="7B90A411" w14:textId="77777777" w:rsidR="00AD121B" w:rsidRPr="007F78CE" w:rsidRDefault="00AD121B" w:rsidP="00A32694">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345918" w:rsidRPr="007F78CE" w14:paraId="5CBEDCC5" w14:textId="77777777" w:rsidTr="00FB04F6">
        <w:trPr>
          <w:jc w:val="center"/>
        </w:trPr>
        <w:tc>
          <w:tcPr>
            <w:tcW w:w="1847" w:type="dxa"/>
          </w:tcPr>
          <w:p w14:paraId="68A9957F" w14:textId="77777777" w:rsidR="00AD121B" w:rsidRPr="007F78CE" w:rsidRDefault="00AD121B" w:rsidP="00A32694">
            <w:pPr>
              <w:spacing w:after="0" w:line="240" w:lineRule="auto"/>
              <w:contextualSpacing/>
              <w:jc w:val="center"/>
              <w:rPr>
                <w:rFonts w:ascii="Arial Narrow" w:hAnsi="Arial Narrow" w:cs="Arial"/>
                <w:sz w:val="20"/>
                <w:szCs w:val="20"/>
              </w:rPr>
            </w:pPr>
            <w:r>
              <w:rPr>
                <w:rFonts w:ascii="Arial Narrow" w:hAnsi="Arial Narrow" w:cs="Arial"/>
                <w:sz w:val="20"/>
                <w:szCs w:val="20"/>
              </w:rPr>
              <w:t>Barrage hydroélectrique</w:t>
            </w:r>
          </w:p>
        </w:tc>
        <w:tc>
          <w:tcPr>
            <w:tcW w:w="1090" w:type="dxa"/>
            <w:shd w:val="clear" w:color="auto" w:fill="auto"/>
          </w:tcPr>
          <w:p w14:paraId="4CD91F26" w14:textId="77777777" w:rsidR="00AD121B" w:rsidRPr="007F78CE" w:rsidRDefault="00AD121B" w:rsidP="00A32694">
            <w:pPr>
              <w:spacing w:after="0" w:line="240" w:lineRule="auto"/>
              <w:contextualSpacing/>
              <w:jc w:val="center"/>
              <w:rPr>
                <w:rFonts w:ascii="Arial Narrow" w:hAnsi="Arial Narrow" w:cs="Arial"/>
                <w:bCs/>
                <w:sz w:val="20"/>
                <w:szCs w:val="20"/>
              </w:rPr>
            </w:pPr>
            <w:r>
              <w:rPr>
                <w:rFonts w:ascii="Arial Narrow" w:hAnsi="Arial Narrow" w:cs="Arial"/>
                <w:sz w:val="20"/>
                <w:szCs w:val="20"/>
              </w:rPr>
              <w:t>Forte</w:t>
            </w:r>
          </w:p>
          <w:p w14:paraId="408CD1DE" w14:textId="77777777" w:rsidR="00AD121B" w:rsidRPr="007F78CE" w:rsidRDefault="00AD121B" w:rsidP="00A32694">
            <w:pPr>
              <w:spacing w:after="0" w:line="240" w:lineRule="auto"/>
              <w:contextualSpacing/>
              <w:jc w:val="center"/>
              <w:rPr>
                <w:rFonts w:ascii="Arial Narrow" w:hAnsi="Arial Narrow" w:cs="Arial"/>
                <w:sz w:val="20"/>
                <w:szCs w:val="20"/>
              </w:rPr>
            </w:pPr>
            <w:r>
              <w:rPr>
                <w:rFonts w:ascii="Arial Narrow" w:hAnsi="Arial Narrow" w:cs="Arial"/>
                <w:sz w:val="20"/>
                <w:szCs w:val="20"/>
              </w:rPr>
              <w:t>(3</w:t>
            </w:r>
            <w:r w:rsidRPr="007F78CE">
              <w:rPr>
                <w:rFonts w:ascii="Arial Narrow" w:hAnsi="Arial Narrow" w:cs="Arial"/>
                <w:sz w:val="20"/>
                <w:szCs w:val="20"/>
              </w:rPr>
              <w:t>)</w:t>
            </w:r>
          </w:p>
        </w:tc>
        <w:tc>
          <w:tcPr>
            <w:tcW w:w="1105" w:type="dxa"/>
            <w:shd w:val="clear" w:color="auto" w:fill="auto"/>
          </w:tcPr>
          <w:p w14:paraId="755BFC0D" w14:textId="77777777" w:rsidR="00AD121B" w:rsidRPr="007F78CE" w:rsidRDefault="00AD121B" w:rsidP="00A32694">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Régionale</w:t>
            </w:r>
          </w:p>
          <w:p w14:paraId="64E166B9" w14:textId="77777777" w:rsidR="00AD121B" w:rsidRPr="007F78CE" w:rsidRDefault="00AD121B" w:rsidP="00A32694">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916" w:type="dxa"/>
            <w:shd w:val="clear" w:color="auto" w:fill="auto"/>
          </w:tcPr>
          <w:p w14:paraId="362EA58B" w14:textId="77777777" w:rsidR="00AD121B" w:rsidRPr="007F78CE" w:rsidRDefault="00AD121B" w:rsidP="00A32694">
            <w:pPr>
              <w:spacing w:after="0" w:line="240" w:lineRule="auto"/>
              <w:contextualSpacing/>
              <w:jc w:val="center"/>
              <w:rPr>
                <w:rFonts w:ascii="Arial Narrow" w:hAnsi="Arial Narrow" w:cs="Arial"/>
                <w:sz w:val="20"/>
                <w:szCs w:val="20"/>
              </w:rPr>
            </w:pPr>
            <w:r>
              <w:rPr>
                <w:rFonts w:ascii="Arial Narrow" w:hAnsi="Arial Narrow" w:cs="Arial"/>
                <w:sz w:val="20"/>
                <w:szCs w:val="20"/>
              </w:rPr>
              <w:t>Courte</w:t>
            </w:r>
          </w:p>
          <w:p w14:paraId="36919346" w14:textId="77777777" w:rsidR="00AD121B" w:rsidRPr="007F78CE" w:rsidRDefault="00AD121B" w:rsidP="0033675C">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w:t>
            </w:r>
            <w:r>
              <w:rPr>
                <w:rFonts w:ascii="Arial Narrow" w:hAnsi="Arial Narrow" w:cs="Arial"/>
                <w:sz w:val="20"/>
                <w:szCs w:val="20"/>
              </w:rPr>
              <w:t>1</w:t>
            </w:r>
            <w:r w:rsidRPr="007F78CE">
              <w:rPr>
                <w:rFonts w:ascii="Arial Narrow" w:hAnsi="Arial Narrow" w:cs="Arial"/>
                <w:sz w:val="20"/>
                <w:szCs w:val="20"/>
              </w:rPr>
              <w:t>)</w:t>
            </w:r>
          </w:p>
        </w:tc>
        <w:tc>
          <w:tcPr>
            <w:tcW w:w="1234" w:type="dxa"/>
            <w:shd w:val="clear" w:color="auto" w:fill="auto"/>
          </w:tcPr>
          <w:p w14:paraId="09CBACBD" w14:textId="77777777" w:rsidR="00AD121B" w:rsidRPr="007F78CE" w:rsidRDefault="00AD121B" w:rsidP="00A32694">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65AE8D00" w14:textId="77777777" w:rsidR="00AD121B" w:rsidRPr="007F78CE" w:rsidRDefault="00AD121B" w:rsidP="00A32694">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302" w:type="dxa"/>
            <w:shd w:val="clear" w:color="auto" w:fill="FFFF00"/>
          </w:tcPr>
          <w:p w14:paraId="746417A2" w14:textId="77777777" w:rsidR="00AD121B" w:rsidRPr="007F78CE" w:rsidRDefault="00AD121B" w:rsidP="00A32694">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3EEB8B80" w14:textId="77777777" w:rsidR="00AD121B" w:rsidRPr="007F78CE" w:rsidRDefault="00AD121B" w:rsidP="00A32694">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(8)</w:t>
            </w:r>
          </w:p>
        </w:tc>
        <w:tc>
          <w:tcPr>
            <w:tcW w:w="897" w:type="dxa"/>
            <w:shd w:val="clear" w:color="auto" w:fill="auto"/>
          </w:tcPr>
          <w:p w14:paraId="6D538BD5" w14:textId="77777777" w:rsidR="00AD121B" w:rsidRPr="007F78CE" w:rsidRDefault="00AD121B" w:rsidP="00A32694">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897" w:type="dxa"/>
            <w:shd w:val="clear" w:color="auto" w:fill="BFBFBF"/>
          </w:tcPr>
          <w:p w14:paraId="39285E85" w14:textId="77777777" w:rsidR="00AD121B" w:rsidRPr="007F78CE" w:rsidRDefault="00AD121B" w:rsidP="00A32694">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bl>
    <w:p w14:paraId="21286435" w14:textId="77777777" w:rsidR="00874654" w:rsidRPr="00C41583" w:rsidRDefault="00874654" w:rsidP="00C41583">
      <w:pPr>
        <w:spacing w:line="240" w:lineRule="auto"/>
        <w:jc w:val="both"/>
        <w:rPr>
          <w:rFonts w:ascii="Arial" w:hAnsi="Arial" w:cs="Arial"/>
        </w:rPr>
      </w:pPr>
    </w:p>
    <w:p w14:paraId="25991BA6" w14:textId="77777777" w:rsidR="0090044A" w:rsidRPr="00A31C26" w:rsidRDefault="0090044A" w:rsidP="0044500E">
      <w:pPr>
        <w:pStyle w:val="TIT40"/>
        <w:numPr>
          <w:ilvl w:val="3"/>
          <w:numId w:val="177"/>
        </w:numPr>
        <w:outlineLvl w:val="3"/>
      </w:pPr>
      <w:bookmarkStart w:id="1061" w:name="_Toc124956229"/>
      <w:bookmarkStart w:id="1062" w:name="_Toc125096805"/>
      <w:bookmarkStart w:id="1063" w:name="_Toc124956247"/>
      <w:bookmarkStart w:id="1064" w:name="_Toc124314747"/>
      <w:bookmarkStart w:id="1065" w:name="_Toc124956248"/>
      <w:bookmarkStart w:id="1066" w:name="_Toc125384624"/>
      <w:bookmarkStart w:id="1067" w:name="_Toc125385013"/>
      <w:bookmarkStart w:id="1068" w:name="_Toc127957686"/>
      <w:bookmarkEnd w:id="1061"/>
      <w:bookmarkEnd w:id="1062"/>
      <w:bookmarkEnd w:id="1063"/>
      <w:r w:rsidRPr="00A31C26">
        <w:t xml:space="preserve">Phase de </w:t>
      </w:r>
      <w:bookmarkEnd w:id="1054"/>
      <w:r w:rsidRPr="00A31C26">
        <w:t>démantèlement</w:t>
      </w:r>
      <w:bookmarkEnd w:id="1055"/>
      <w:bookmarkEnd w:id="1056"/>
      <w:bookmarkEnd w:id="1064"/>
      <w:bookmarkEnd w:id="1065"/>
      <w:bookmarkEnd w:id="1066"/>
      <w:bookmarkEnd w:id="1067"/>
      <w:bookmarkEnd w:id="1068"/>
    </w:p>
    <w:p w14:paraId="7DC67356" w14:textId="77777777" w:rsidR="0090044A" w:rsidRPr="00A31C26" w:rsidRDefault="0090044A" w:rsidP="00A31C26">
      <w:pPr>
        <w:spacing w:line="240" w:lineRule="auto"/>
        <w:jc w:val="both"/>
        <w:rPr>
          <w:rFonts w:ascii="Arial" w:hAnsi="Arial" w:cs="Arial"/>
        </w:rPr>
      </w:pPr>
      <w:r w:rsidRPr="00A31C26">
        <w:rPr>
          <w:rFonts w:ascii="Arial" w:hAnsi="Arial" w:cs="Arial"/>
        </w:rPr>
        <w:t xml:space="preserve">Ceci concerne surtout la centrale </w:t>
      </w:r>
      <w:r w:rsidR="00317C45">
        <w:rPr>
          <w:rFonts w:ascii="Arial" w:hAnsi="Arial" w:cs="Arial"/>
        </w:rPr>
        <w:t xml:space="preserve">solaire </w:t>
      </w:r>
      <w:r w:rsidRPr="00A31C26">
        <w:rPr>
          <w:rFonts w:ascii="Arial" w:hAnsi="Arial" w:cs="Arial"/>
        </w:rPr>
        <w:t>PV. En effet, en cas d’arrêt d’exploitation d’un site, le</w:t>
      </w:r>
      <w:r w:rsidR="001C596F">
        <w:rPr>
          <w:rFonts w:ascii="Arial" w:hAnsi="Arial" w:cs="Arial"/>
        </w:rPr>
        <w:t xml:space="preserve"> ma</w:t>
      </w:r>
      <w:r w:rsidR="00317C45">
        <w:rPr>
          <w:rFonts w:ascii="Arial" w:hAnsi="Arial" w:cs="Arial"/>
        </w:rPr>
        <w:t>î</w:t>
      </w:r>
      <w:r w:rsidR="001C596F">
        <w:rPr>
          <w:rFonts w:ascii="Arial" w:hAnsi="Arial" w:cs="Arial"/>
        </w:rPr>
        <w:t xml:space="preserve">tre d’ouvrage </w:t>
      </w:r>
      <w:r w:rsidRPr="00A31C26">
        <w:rPr>
          <w:rFonts w:ascii="Arial" w:hAnsi="Arial" w:cs="Arial"/>
        </w:rPr>
        <w:t xml:space="preserve">doit procéder au démantèlement des installations, la démolition des constructions et l’évacuation de tous types de déchets engendrés. Cette phase pourrait éventuellement occasionner des impacts sur l’environnement et </w:t>
      </w:r>
      <w:r w:rsidR="004E6E0A">
        <w:rPr>
          <w:rFonts w:ascii="Arial" w:hAnsi="Arial" w:cs="Arial"/>
        </w:rPr>
        <w:t xml:space="preserve">le milieu </w:t>
      </w:r>
      <w:r w:rsidRPr="00A31C26">
        <w:rPr>
          <w:rFonts w:ascii="Arial" w:hAnsi="Arial" w:cs="Arial"/>
        </w:rPr>
        <w:t>social.</w:t>
      </w:r>
    </w:p>
    <w:p w14:paraId="4143A7BF" w14:textId="77777777" w:rsidR="0090044A" w:rsidRPr="00A31C26" w:rsidRDefault="0090044A" w:rsidP="00A31C26">
      <w:pPr>
        <w:spacing w:line="240" w:lineRule="auto"/>
        <w:jc w:val="both"/>
        <w:rPr>
          <w:rFonts w:ascii="Arial" w:hAnsi="Arial" w:cs="Arial"/>
        </w:rPr>
      </w:pPr>
      <w:r w:rsidRPr="00A31C26">
        <w:rPr>
          <w:rFonts w:ascii="Arial" w:hAnsi="Arial" w:cs="Arial"/>
        </w:rPr>
        <w:t xml:space="preserve">Il faut noter que la durée de vie d’une centrale </w:t>
      </w:r>
      <w:r w:rsidR="00317C45">
        <w:rPr>
          <w:rFonts w:ascii="Arial" w:hAnsi="Arial" w:cs="Arial"/>
        </w:rPr>
        <w:t xml:space="preserve">solaire </w:t>
      </w:r>
      <w:r w:rsidRPr="00A31C26">
        <w:rPr>
          <w:rFonts w:ascii="Arial" w:hAnsi="Arial" w:cs="Arial"/>
        </w:rPr>
        <w:t>photovoltaïque est environ d’une vingtaine d’années</w:t>
      </w:r>
      <w:r w:rsidR="00317C45">
        <w:rPr>
          <w:rFonts w:ascii="Arial" w:hAnsi="Arial" w:cs="Arial"/>
        </w:rPr>
        <w:t xml:space="preserve"> (25 ans)</w:t>
      </w:r>
      <w:r w:rsidRPr="00A31C26">
        <w:rPr>
          <w:rFonts w:ascii="Arial" w:hAnsi="Arial" w:cs="Arial"/>
        </w:rPr>
        <w:t>. Néanmoins, certains impacts peuvent être prévisibles.</w:t>
      </w:r>
    </w:p>
    <w:p w14:paraId="5B872DD1" w14:textId="77777777" w:rsidR="0090044A" w:rsidRPr="000B2C7E" w:rsidRDefault="0090044A" w:rsidP="00A31C26">
      <w:pPr>
        <w:pStyle w:val="Style9"/>
        <w:ind w:left="2856"/>
      </w:pPr>
      <w:bookmarkStart w:id="1069" w:name="_Toc98192351"/>
      <w:bookmarkStart w:id="1070" w:name="_Toc97835158"/>
      <w:r w:rsidRPr="000B2C7E">
        <w:t>Impacts sur le milieu physique</w:t>
      </w:r>
      <w:bookmarkEnd w:id="1069"/>
      <w:bookmarkEnd w:id="1070"/>
    </w:p>
    <w:p w14:paraId="6BF58630" w14:textId="77777777" w:rsidR="0090044A" w:rsidRPr="007F78CE" w:rsidRDefault="0090044A" w:rsidP="00687DD2">
      <w:pPr>
        <w:pStyle w:val="Titre5"/>
        <w:keepNext w:val="0"/>
        <w:keepLines w:val="0"/>
        <w:numPr>
          <w:ilvl w:val="0"/>
          <w:numId w:val="101"/>
        </w:numPr>
        <w:tabs>
          <w:tab w:val="left" w:pos="708"/>
        </w:tabs>
        <w:spacing w:before="280" w:after="280" w:line="240" w:lineRule="auto"/>
        <w:ind w:left="2340" w:hanging="720"/>
        <w:contextualSpacing/>
        <w:jc w:val="both"/>
        <w:rPr>
          <w:rFonts w:eastAsia="Calibri"/>
          <w:b/>
          <w:bCs/>
        </w:rPr>
      </w:pPr>
      <w:r w:rsidRPr="007F78CE">
        <w:rPr>
          <w:rFonts w:eastAsia="Calibri"/>
          <w:b/>
          <w:bCs/>
        </w:rPr>
        <w:t xml:space="preserve">Effet sur l’atmosphère et l’air </w:t>
      </w:r>
    </w:p>
    <w:p w14:paraId="4529C26B" w14:textId="77777777" w:rsidR="0090044A" w:rsidRPr="000B2C7E" w:rsidRDefault="0090044A" w:rsidP="00687DD2">
      <w:pPr>
        <w:pStyle w:val="Normal12"/>
        <w:numPr>
          <w:ilvl w:val="0"/>
          <w:numId w:val="85"/>
        </w:numPr>
        <w:ind w:left="1077" w:hanging="357"/>
        <w:contextualSpacing/>
        <w:rPr>
          <w:i/>
          <w:iCs/>
        </w:rPr>
      </w:pPr>
      <w:r w:rsidRPr="000B2C7E">
        <w:rPr>
          <w:i/>
          <w:iCs/>
        </w:rPr>
        <w:t xml:space="preserve">Pollution </w:t>
      </w:r>
      <w:r w:rsidRPr="00F91FA3">
        <w:rPr>
          <w:i/>
          <w:iCs/>
          <w:lang w:val="fr-FR"/>
        </w:rPr>
        <w:t>atmosphérique</w:t>
      </w:r>
    </w:p>
    <w:p w14:paraId="6E145AC2" w14:textId="77777777" w:rsidR="0090044A" w:rsidRPr="00A31C26" w:rsidRDefault="0090044A" w:rsidP="00A31C26">
      <w:pPr>
        <w:spacing w:line="240" w:lineRule="auto"/>
        <w:jc w:val="both"/>
        <w:rPr>
          <w:rFonts w:ascii="Arial" w:hAnsi="Arial" w:cs="Arial"/>
        </w:rPr>
      </w:pPr>
      <w:r w:rsidRPr="00A31C26">
        <w:rPr>
          <w:rFonts w:ascii="Arial" w:hAnsi="Arial" w:cs="Arial"/>
        </w:rPr>
        <w:t>Pendant la phase de démantèlement, les impacts sur la qualité de l’air sont liés à la circulation des engins pendant le transport de matériel sur site. Elle pourra altérer la qualité de l’air à cause de l’émission de GES (gaz d’échappement des véhicules, …). Cet impact sera considéré comme « Mineur »</w:t>
      </w:r>
      <w:r w:rsidR="00AD121B">
        <w:rPr>
          <w:rFonts w:ascii="Arial" w:hAnsi="Arial" w:cs="Arial"/>
        </w:rPr>
        <w:t xml:space="preserve"> avec un niveau de risque très faible</w:t>
      </w:r>
      <w:r w:rsidRPr="00A31C26">
        <w:rPr>
          <w:rFonts w:ascii="Arial" w:hAnsi="Arial" w:cs="Arial"/>
        </w:rPr>
        <w:t xml:space="preserve"> </w:t>
      </w:r>
      <w:r w:rsidR="00317C45">
        <w:rPr>
          <w:rFonts w:ascii="Arial" w:hAnsi="Arial" w:cs="Arial"/>
        </w:rPr>
        <w:t xml:space="preserve">selon le tableau suivant </w:t>
      </w:r>
      <w:r w:rsidRPr="00A31C26">
        <w:rPr>
          <w:rFonts w:ascii="Arial" w:hAnsi="Arial" w:cs="Arial"/>
        </w:rPr>
        <w:t>puisqu’il sera de faible intensité et très limité dans le temps.</w:t>
      </w:r>
    </w:p>
    <w:p w14:paraId="1DEAC727" w14:textId="77777777" w:rsidR="0090044A" w:rsidRPr="002E58DC" w:rsidRDefault="0090044A" w:rsidP="002E58DC">
      <w:pPr>
        <w:pStyle w:val="Lgende"/>
        <w:spacing w:before="120"/>
        <w:jc w:val="center"/>
        <w:rPr>
          <w:sz w:val="20"/>
        </w:rPr>
      </w:pPr>
      <w:bookmarkStart w:id="1071" w:name="_Toc100753953"/>
      <w:bookmarkStart w:id="1072" w:name="_Toc127957866"/>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70</w:t>
      </w:r>
      <w:r w:rsidRPr="002E58DC">
        <w:rPr>
          <w:sz w:val="20"/>
        </w:rPr>
        <w:fldChar w:fldCharType="end"/>
      </w:r>
      <w:r w:rsidRPr="002E58DC">
        <w:rPr>
          <w:sz w:val="20"/>
        </w:rPr>
        <w:t xml:space="preserve">. Evaluation </w:t>
      </w:r>
      <w:r w:rsidR="0033675C">
        <w:rPr>
          <w:sz w:val="20"/>
        </w:rPr>
        <w:t xml:space="preserve">de </w:t>
      </w:r>
      <w:r w:rsidRPr="002E58DC">
        <w:rPr>
          <w:sz w:val="20"/>
        </w:rPr>
        <w:t>l’impact -Altération de l’air par l’émission de GES des véhicules ainsi que par les soulèvements de poussières</w:t>
      </w:r>
      <w:bookmarkEnd w:id="1071"/>
      <w:bookmarkEnd w:id="1072"/>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1194"/>
        <w:gridCol w:w="1126"/>
        <w:gridCol w:w="1488"/>
        <w:gridCol w:w="1478"/>
        <w:gridCol w:w="1253"/>
        <w:gridCol w:w="1134"/>
        <w:tblGridChange w:id="1073">
          <w:tblGrid>
            <w:gridCol w:w="1224"/>
            <w:gridCol w:w="1194"/>
            <w:gridCol w:w="1126"/>
            <w:gridCol w:w="1488"/>
            <w:gridCol w:w="1478"/>
            <w:gridCol w:w="1253"/>
            <w:gridCol w:w="1134"/>
          </w:tblGrid>
        </w:tblGridChange>
      </w:tblGrid>
      <w:tr w:rsidR="00AD121B" w:rsidRPr="007F78CE" w14:paraId="440D55E1" w14:textId="77777777" w:rsidTr="00345918">
        <w:trPr>
          <w:jc w:val="center"/>
        </w:trPr>
        <w:tc>
          <w:tcPr>
            <w:tcW w:w="1224" w:type="dxa"/>
            <w:shd w:val="clear" w:color="auto" w:fill="BFBFBF"/>
          </w:tcPr>
          <w:p w14:paraId="52E6F49D" w14:textId="77777777" w:rsidR="00AD121B" w:rsidRPr="007F78CE" w:rsidRDefault="00AD121B" w:rsidP="007F78CE">
            <w:pPr>
              <w:spacing w:after="0" w:line="240" w:lineRule="auto"/>
              <w:rPr>
                <w:rFonts w:ascii="Arial Narrow" w:hAnsi="Arial Narrow"/>
                <w:b/>
                <w:sz w:val="20"/>
                <w:szCs w:val="20"/>
              </w:rPr>
            </w:pPr>
            <w:r w:rsidRPr="007F78CE">
              <w:rPr>
                <w:rFonts w:ascii="Arial Narrow" w:hAnsi="Arial Narrow"/>
                <w:b/>
                <w:bCs/>
                <w:sz w:val="20"/>
                <w:szCs w:val="20"/>
              </w:rPr>
              <w:t xml:space="preserve">Intensité </w:t>
            </w:r>
          </w:p>
        </w:tc>
        <w:tc>
          <w:tcPr>
            <w:tcW w:w="1194" w:type="dxa"/>
            <w:shd w:val="clear" w:color="auto" w:fill="BFBFBF"/>
          </w:tcPr>
          <w:p w14:paraId="014315E3" w14:textId="77777777" w:rsidR="00AD121B" w:rsidRPr="007F78CE" w:rsidRDefault="00AD121B"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1126" w:type="dxa"/>
            <w:shd w:val="clear" w:color="auto" w:fill="BFBFBF"/>
          </w:tcPr>
          <w:p w14:paraId="05AB59B2" w14:textId="77777777" w:rsidR="00AD121B" w:rsidRPr="007F78CE" w:rsidRDefault="00AD121B"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488" w:type="dxa"/>
            <w:shd w:val="clear" w:color="auto" w:fill="BFBFBF"/>
          </w:tcPr>
          <w:p w14:paraId="199CA5EF" w14:textId="77777777" w:rsidR="00AD121B" w:rsidRPr="007F78CE" w:rsidRDefault="00AD121B"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478" w:type="dxa"/>
            <w:shd w:val="clear" w:color="auto" w:fill="BFBFBF"/>
          </w:tcPr>
          <w:p w14:paraId="29967D80" w14:textId="77777777" w:rsidR="00AD121B" w:rsidRPr="007F78CE" w:rsidRDefault="00AD121B"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253" w:type="dxa"/>
            <w:shd w:val="clear" w:color="auto" w:fill="BFBFBF"/>
          </w:tcPr>
          <w:p w14:paraId="0D597080" w14:textId="77777777" w:rsidR="00AD121B" w:rsidRPr="007F78CE" w:rsidRDefault="00AD121B"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1134" w:type="dxa"/>
            <w:shd w:val="clear" w:color="auto" w:fill="BFBFBF"/>
          </w:tcPr>
          <w:p w14:paraId="3B3D91C0" w14:textId="77777777" w:rsidR="00AD121B" w:rsidRPr="007F78CE" w:rsidRDefault="00AD121B" w:rsidP="007F78CE">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345918" w:rsidRPr="007F78CE" w14:paraId="2AA2E61C" w14:textId="77777777" w:rsidTr="00FB04F6">
        <w:trPr>
          <w:jc w:val="center"/>
        </w:trPr>
        <w:tc>
          <w:tcPr>
            <w:tcW w:w="1224" w:type="dxa"/>
            <w:shd w:val="clear" w:color="auto" w:fill="auto"/>
          </w:tcPr>
          <w:p w14:paraId="4EA47E7E" w14:textId="77777777" w:rsidR="00AD121B" w:rsidRPr="007F78CE" w:rsidRDefault="00AD121B"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Faible</w:t>
            </w:r>
          </w:p>
          <w:p w14:paraId="179574E1"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194" w:type="dxa"/>
            <w:shd w:val="clear" w:color="auto" w:fill="auto"/>
          </w:tcPr>
          <w:p w14:paraId="5BB18BB1"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4548E8BB"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126" w:type="dxa"/>
            <w:shd w:val="clear" w:color="auto" w:fill="auto"/>
          </w:tcPr>
          <w:p w14:paraId="19152933"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5BDA4625"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488" w:type="dxa"/>
            <w:shd w:val="clear" w:color="auto" w:fill="auto"/>
          </w:tcPr>
          <w:p w14:paraId="5FC1D141"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2985A652"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478" w:type="dxa"/>
            <w:shd w:val="clear" w:color="auto" w:fill="00B050"/>
          </w:tcPr>
          <w:p w14:paraId="074A6D5C"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4D522688"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253" w:type="dxa"/>
            <w:shd w:val="clear" w:color="auto" w:fill="auto"/>
          </w:tcPr>
          <w:p w14:paraId="639D0D84" w14:textId="77777777" w:rsidR="00AD121B" w:rsidRPr="007F78CE" w:rsidRDefault="00AD121B"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1134" w:type="dxa"/>
            <w:shd w:val="clear" w:color="auto" w:fill="D9D9D9"/>
          </w:tcPr>
          <w:p w14:paraId="1B1C6031" w14:textId="77777777" w:rsidR="00AD121B" w:rsidRPr="007F78CE" w:rsidRDefault="00AD121B"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Très faible </w:t>
            </w:r>
          </w:p>
        </w:tc>
      </w:tr>
    </w:tbl>
    <w:p w14:paraId="46627D63" w14:textId="77777777" w:rsidR="00353921" w:rsidRPr="00353921" w:rsidRDefault="00353921" w:rsidP="00353921">
      <w:pPr>
        <w:pStyle w:val="Titre5"/>
        <w:keepNext w:val="0"/>
        <w:keepLines w:val="0"/>
        <w:tabs>
          <w:tab w:val="left" w:pos="708"/>
        </w:tabs>
        <w:spacing w:before="280" w:after="280" w:line="240" w:lineRule="auto"/>
        <w:ind w:left="567"/>
        <w:contextualSpacing/>
        <w:jc w:val="both"/>
        <w:rPr>
          <w:rFonts w:ascii="Arial" w:eastAsia="Calibri" w:hAnsi="Arial" w:cs="Arial"/>
          <w:color w:val="auto"/>
        </w:rPr>
      </w:pPr>
    </w:p>
    <w:p w14:paraId="4B71282A" w14:textId="77777777" w:rsidR="0090044A" w:rsidRPr="007F78CE" w:rsidRDefault="00353921" w:rsidP="00345918">
      <w:pPr>
        <w:pStyle w:val="Titre5"/>
        <w:keepNext w:val="0"/>
        <w:keepLines w:val="0"/>
        <w:numPr>
          <w:ilvl w:val="0"/>
          <w:numId w:val="95"/>
        </w:numPr>
        <w:tabs>
          <w:tab w:val="left" w:pos="708"/>
        </w:tabs>
        <w:spacing w:before="280" w:after="280" w:line="240" w:lineRule="auto"/>
        <w:ind w:left="567" w:firstLine="0"/>
        <w:contextualSpacing/>
        <w:jc w:val="both"/>
        <w:rPr>
          <w:rFonts w:eastAsia="Calibri"/>
          <w:b/>
          <w:bCs/>
        </w:rPr>
      </w:pPr>
      <w:r>
        <w:rPr>
          <w:rFonts w:eastAsia="Calibri"/>
          <w:b/>
          <w:bCs/>
        </w:rPr>
        <w:br w:type="page"/>
      </w:r>
      <w:r w:rsidR="0090044A" w:rsidRPr="007F78CE">
        <w:rPr>
          <w:rFonts w:eastAsia="Calibri"/>
          <w:b/>
          <w:bCs/>
        </w:rPr>
        <w:t xml:space="preserve">Effet sur le sol et l’eau </w:t>
      </w:r>
    </w:p>
    <w:p w14:paraId="4F1EADFF" w14:textId="77777777" w:rsidR="0090044A" w:rsidRPr="00E64638" w:rsidRDefault="0090044A" w:rsidP="00687DD2">
      <w:pPr>
        <w:pStyle w:val="Normal12"/>
        <w:numPr>
          <w:ilvl w:val="0"/>
          <w:numId w:val="85"/>
        </w:numPr>
        <w:ind w:left="1077" w:hanging="357"/>
        <w:contextualSpacing/>
        <w:rPr>
          <w:i/>
          <w:iCs/>
          <w:lang w:val="fr-FR"/>
        </w:rPr>
      </w:pPr>
      <w:r w:rsidRPr="00E64638">
        <w:rPr>
          <w:i/>
          <w:iCs/>
          <w:lang w:val="fr-FR"/>
        </w:rPr>
        <w:t>Pollutions du sol et de l’eau</w:t>
      </w:r>
    </w:p>
    <w:p w14:paraId="6705E833" w14:textId="77777777" w:rsidR="0090044A" w:rsidRDefault="0090044A" w:rsidP="00A31C26">
      <w:pPr>
        <w:spacing w:line="240" w:lineRule="auto"/>
        <w:jc w:val="both"/>
        <w:rPr>
          <w:rFonts w:ascii="Arial" w:hAnsi="Arial" w:cs="Arial"/>
        </w:rPr>
      </w:pPr>
      <w:r w:rsidRPr="00A31C26">
        <w:rPr>
          <w:rFonts w:ascii="Arial" w:hAnsi="Arial" w:cs="Arial"/>
        </w:rPr>
        <w:t>Le déversement accidentel de substances polluantes (hydrocarbures…) par un engin ou un camion pour le transport</w:t>
      </w:r>
      <w:r w:rsidR="00EC1EA0">
        <w:rPr>
          <w:rFonts w:ascii="Arial" w:hAnsi="Arial" w:cs="Arial"/>
        </w:rPr>
        <w:t>,</w:t>
      </w:r>
      <w:r w:rsidRPr="00A31C26">
        <w:rPr>
          <w:rFonts w:ascii="Arial" w:hAnsi="Arial" w:cs="Arial"/>
        </w:rPr>
        <w:t xml:space="preserve"> les substances toxiques et les rejets hydrique</w:t>
      </w:r>
      <w:r w:rsidR="00EC1EA0">
        <w:rPr>
          <w:rFonts w:ascii="Arial" w:hAnsi="Arial" w:cs="Arial"/>
        </w:rPr>
        <w:t>s</w:t>
      </w:r>
      <w:r w:rsidRPr="00A31C26">
        <w:rPr>
          <w:rFonts w:ascii="Arial" w:hAnsi="Arial" w:cs="Arial"/>
        </w:rPr>
        <w:t>, pourraient être la cause de pollution du sol et du sous-sol ainsi que de l’eau</w:t>
      </w:r>
      <w:r w:rsidR="00317C45">
        <w:rPr>
          <w:rFonts w:ascii="Arial" w:hAnsi="Arial" w:cs="Arial"/>
        </w:rPr>
        <w:t xml:space="preserve"> (de surface et souterraine)</w:t>
      </w:r>
      <w:r w:rsidRPr="00A31C26">
        <w:rPr>
          <w:rFonts w:ascii="Arial" w:hAnsi="Arial" w:cs="Arial"/>
        </w:rPr>
        <w:t xml:space="preserve">. Les déchets générés pendant le démantèlement des installations pourraient également altérer la qualité de l’eau de surface et de l’eau souterraine. Notamment les produits chimiques issus des panneaux </w:t>
      </w:r>
      <w:r w:rsidR="00317C45">
        <w:rPr>
          <w:rFonts w:ascii="Arial" w:hAnsi="Arial" w:cs="Arial"/>
        </w:rPr>
        <w:t xml:space="preserve">solaires </w:t>
      </w:r>
      <w:r w:rsidR="4FA76525" w:rsidRPr="58DCDDAF">
        <w:rPr>
          <w:rFonts w:ascii="Arial" w:hAnsi="Arial" w:cs="Arial"/>
        </w:rPr>
        <w:t>et batteries</w:t>
      </w:r>
      <w:r w:rsidR="00067C78">
        <w:rPr>
          <w:rFonts w:ascii="Arial" w:hAnsi="Arial" w:cs="Arial"/>
        </w:rPr>
        <w:t xml:space="preserve"> </w:t>
      </w:r>
      <w:r w:rsidRPr="00A31C26">
        <w:rPr>
          <w:rFonts w:ascii="Arial" w:hAnsi="Arial" w:cs="Arial"/>
        </w:rPr>
        <w:t>risquent de contaminer l’environnement alentour. L’importance de cet impact peut être évaluée comme « moyenne »</w:t>
      </w:r>
      <w:r w:rsidR="00317C45">
        <w:rPr>
          <w:rFonts w:ascii="Arial" w:hAnsi="Arial" w:cs="Arial"/>
        </w:rPr>
        <w:t xml:space="preserve"> </w:t>
      </w:r>
      <w:r w:rsidR="00AD121B">
        <w:rPr>
          <w:rFonts w:ascii="Arial" w:hAnsi="Arial" w:cs="Arial"/>
        </w:rPr>
        <w:t xml:space="preserve">avec un niveau de risque faible </w:t>
      </w:r>
      <w:r w:rsidR="00317C45">
        <w:rPr>
          <w:rFonts w:ascii="Arial" w:hAnsi="Arial" w:cs="Arial"/>
        </w:rPr>
        <w:t>selon le tableau suivant</w:t>
      </w:r>
      <w:r w:rsidRPr="00A31C26">
        <w:rPr>
          <w:rFonts w:ascii="Arial" w:hAnsi="Arial" w:cs="Arial"/>
        </w:rPr>
        <w:t>.</w:t>
      </w:r>
    </w:p>
    <w:p w14:paraId="68A9E130" w14:textId="77777777" w:rsidR="0090044A" w:rsidRPr="002E58DC" w:rsidRDefault="004E1ADD" w:rsidP="00F01166">
      <w:pPr>
        <w:pStyle w:val="Lgende"/>
        <w:spacing w:before="120"/>
        <w:jc w:val="center"/>
        <w:rPr>
          <w:sz w:val="20"/>
        </w:rPr>
      </w:pPr>
      <w:bookmarkStart w:id="1074" w:name="_Toc127957867"/>
      <w:r w:rsidRPr="00B434A6">
        <w:rPr>
          <w:sz w:val="20"/>
        </w:rPr>
        <w:t xml:space="preserve">Tableau </w:t>
      </w:r>
      <w:r w:rsidRPr="00B434A6">
        <w:rPr>
          <w:sz w:val="20"/>
        </w:rPr>
        <w:fldChar w:fldCharType="begin"/>
      </w:r>
      <w:r w:rsidRPr="00B434A6">
        <w:rPr>
          <w:sz w:val="20"/>
        </w:rPr>
        <w:instrText xml:space="preserve"> SEQ Tableau \* ARABIC </w:instrText>
      </w:r>
      <w:r w:rsidRPr="00B434A6">
        <w:rPr>
          <w:sz w:val="20"/>
        </w:rPr>
        <w:fldChar w:fldCharType="separate"/>
      </w:r>
      <w:r w:rsidR="005430A1">
        <w:rPr>
          <w:noProof/>
          <w:sz w:val="20"/>
        </w:rPr>
        <w:t>71</w:t>
      </w:r>
      <w:r w:rsidRPr="00B434A6">
        <w:rPr>
          <w:sz w:val="20"/>
        </w:rPr>
        <w:fldChar w:fldCharType="end"/>
      </w:r>
      <w:r w:rsidRPr="00B434A6">
        <w:rPr>
          <w:sz w:val="20"/>
        </w:rPr>
        <w:t xml:space="preserve">. </w:t>
      </w:r>
      <w:r w:rsidRPr="002E58DC">
        <w:rPr>
          <w:sz w:val="20"/>
        </w:rPr>
        <w:t xml:space="preserve">Evaluation </w:t>
      </w:r>
      <w:r>
        <w:rPr>
          <w:sz w:val="20"/>
        </w:rPr>
        <w:t xml:space="preserve">de </w:t>
      </w:r>
      <w:r w:rsidRPr="002E58DC">
        <w:rPr>
          <w:sz w:val="20"/>
        </w:rPr>
        <w:t>l’impact -Pollution du sol et de l’eau par le déversement accidentel des substances polluantes</w:t>
      </w:r>
      <w:bookmarkEnd w:id="1074"/>
    </w:p>
    <w:tbl>
      <w:tblPr>
        <w:tblW w:w="8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1194"/>
        <w:gridCol w:w="1126"/>
        <w:gridCol w:w="1222"/>
        <w:gridCol w:w="1313"/>
        <w:gridCol w:w="1134"/>
        <w:gridCol w:w="1134"/>
        <w:tblGridChange w:id="1075">
          <w:tblGrid>
            <w:gridCol w:w="1224"/>
            <w:gridCol w:w="1194"/>
            <w:gridCol w:w="1126"/>
            <w:gridCol w:w="1222"/>
            <w:gridCol w:w="1313"/>
            <w:gridCol w:w="1134"/>
            <w:gridCol w:w="1134"/>
          </w:tblGrid>
        </w:tblGridChange>
      </w:tblGrid>
      <w:tr w:rsidR="00AD121B" w:rsidRPr="007F78CE" w14:paraId="6AC73150" w14:textId="77777777" w:rsidTr="00345918">
        <w:trPr>
          <w:jc w:val="center"/>
        </w:trPr>
        <w:tc>
          <w:tcPr>
            <w:tcW w:w="1224" w:type="dxa"/>
            <w:shd w:val="clear" w:color="auto" w:fill="BFBFBF"/>
          </w:tcPr>
          <w:p w14:paraId="5830E785" w14:textId="77777777" w:rsidR="00AD121B" w:rsidRPr="007F78CE" w:rsidRDefault="00AD121B"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194" w:type="dxa"/>
            <w:shd w:val="clear" w:color="auto" w:fill="BFBFBF"/>
          </w:tcPr>
          <w:p w14:paraId="672EC789" w14:textId="77777777" w:rsidR="00AD121B" w:rsidRPr="007F78CE" w:rsidRDefault="00AD121B"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1126" w:type="dxa"/>
            <w:shd w:val="clear" w:color="auto" w:fill="BFBFBF"/>
          </w:tcPr>
          <w:p w14:paraId="08A9B408" w14:textId="77777777" w:rsidR="00AD121B" w:rsidRPr="007F78CE" w:rsidRDefault="00AD121B"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222" w:type="dxa"/>
            <w:shd w:val="clear" w:color="auto" w:fill="BFBFBF"/>
          </w:tcPr>
          <w:p w14:paraId="716C418A" w14:textId="77777777" w:rsidR="00AD121B" w:rsidRPr="007F78CE" w:rsidRDefault="00AD121B"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313" w:type="dxa"/>
            <w:shd w:val="clear" w:color="auto" w:fill="BFBFBF"/>
          </w:tcPr>
          <w:p w14:paraId="611B3288" w14:textId="77777777" w:rsidR="00AD121B" w:rsidRPr="007F78CE" w:rsidRDefault="00AD121B"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134" w:type="dxa"/>
            <w:shd w:val="clear" w:color="auto" w:fill="auto"/>
          </w:tcPr>
          <w:p w14:paraId="6B6E7EB8" w14:textId="77777777" w:rsidR="00AD121B" w:rsidRPr="007F78CE" w:rsidRDefault="00AD121B"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1134" w:type="dxa"/>
            <w:shd w:val="clear" w:color="auto" w:fill="auto"/>
          </w:tcPr>
          <w:p w14:paraId="09004797" w14:textId="77777777" w:rsidR="00AD121B" w:rsidRPr="007F78CE" w:rsidRDefault="00AD121B" w:rsidP="007F78CE">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345918" w:rsidRPr="007F78CE" w14:paraId="1CFCF9BC" w14:textId="77777777" w:rsidTr="00FB04F6">
        <w:trPr>
          <w:jc w:val="center"/>
        </w:trPr>
        <w:tc>
          <w:tcPr>
            <w:tcW w:w="1224" w:type="dxa"/>
            <w:shd w:val="clear" w:color="auto" w:fill="auto"/>
          </w:tcPr>
          <w:p w14:paraId="76BBB282" w14:textId="77777777" w:rsidR="00AD121B" w:rsidRPr="007F78CE" w:rsidRDefault="00AD121B"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Moyenne</w:t>
            </w:r>
          </w:p>
          <w:p w14:paraId="19BC2D86"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194" w:type="dxa"/>
            <w:shd w:val="clear" w:color="auto" w:fill="auto"/>
          </w:tcPr>
          <w:p w14:paraId="632B30BD"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0AF9B24F"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126" w:type="dxa"/>
            <w:shd w:val="clear" w:color="auto" w:fill="auto"/>
          </w:tcPr>
          <w:p w14:paraId="283A268A"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59E54B8E"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222" w:type="dxa"/>
            <w:shd w:val="clear" w:color="auto" w:fill="auto"/>
          </w:tcPr>
          <w:p w14:paraId="4C90751B"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5CE96393"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313" w:type="dxa"/>
            <w:shd w:val="clear" w:color="auto" w:fill="FFFF00"/>
          </w:tcPr>
          <w:p w14:paraId="009DE548"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4471BDB1"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(7)</w:t>
            </w:r>
          </w:p>
        </w:tc>
        <w:tc>
          <w:tcPr>
            <w:tcW w:w="1134" w:type="dxa"/>
            <w:shd w:val="clear" w:color="auto" w:fill="auto"/>
          </w:tcPr>
          <w:p w14:paraId="5A871487" w14:textId="77777777" w:rsidR="00AD121B" w:rsidRPr="007F78CE" w:rsidRDefault="00AD121B"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1134" w:type="dxa"/>
            <w:shd w:val="clear" w:color="auto" w:fill="BFBFBF"/>
          </w:tcPr>
          <w:p w14:paraId="0B2B738F" w14:textId="77777777" w:rsidR="00AD121B" w:rsidRPr="007F78CE" w:rsidRDefault="00AD121B"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bl>
    <w:p w14:paraId="30057166" w14:textId="77777777" w:rsidR="005969CF" w:rsidRPr="00137365" w:rsidRDefault="005969CF" w:rsidP="00B434A6">
      <w:pPr>
        <w:spacing w:line="240" w:lineRule="auto"/>
        <w:jc w:val="both"/>
      </w:pPr>
      <w:bookmarkStart w:id="1076" w:name="_Toc98192352"/>
      <w:bookmarkStart w:id="1077" w:name="_Toc97835159"/>
    </w:p>
    <w:p w14:paraId="5BDC1033" w14:textId="77777777" w:rsidR="0090044A" w:rsidRPr="00DD74F8" w:rsidRDefault="0090044A" w:rsidP="00A31C26">
      <w:pPr>
        <w:pStyle w:val="Style9"/>
        <w:ind w:left="2856"/>
      </w:pPr>
      <w:r w:rsidRPr="00DD74F8">
        <w:t>Impacts sur le milieu humain</w:t>
      </w:r>
      <w:bookmarkEnd w:id="1076"/>
      <w:bookmarkEnd w:id="1077"/>
    </w:p>
    <w:p w14:paraId="24664C92" w14:textId="77777777" w:rsidR="0090044A" w:rsidRPr="00DD74F8" w:rsidRDefault="0090044A" w:rsidP="00687DD2">
      <w:pPr>
        <w:pStyle w:val="Normal12"/>
        <w:numPr>
          <w:ilvl w:val="0"/>
          <w:numId w:val="85"/>
        </w:numPr>
        <w:ind w:left="1077" w:hanging="357"/>
        <w:contextualSpacing/>
        <w:rPr>
          <w:i/>
          <w:iCs/>
          <w:lang w:val="fr-FR"/>
        </w:rPr>
      </w:pPr>
      <w:r w:rsidRPr="00DD74F8">
        <w:rPr>
          <w:i/>
          <w:iCs/>
          <w:lang w:val="fr-FR"/>
        </w:rPr>
        <w:t xml:space="preserve">Perte d’emplois des travailleurs au niveau du site </w:t>
      </w:r>
    </w:p>
    <w:p w14:paraId="039440EE" w14:textId="77777777" w:rsidR="0090044A" w:rsidRPr="00A31C26" w:rsidRDefault="0090044A" w:rsidP="00A31C26">
      <w:pPr>
        <w:spacing w:line="240" w:lineRule="auto"/>
        <w:jc w:val="both"/>
        <w:rPr>
          <w:rFonts w:ascii="Arial" w:hAnsi="Arial" w:cs="Arial"/>
        </w:rPr>
      </w:pPr>
      <w:r w:rsidRPr="00A31C26">
        <w:rPr>
          <w:rFonts w:ascii="Arial" w:hAnsi="Arial" w:cs="Arial"/>
        </w:rPr>
        <w:t xml:space="preserve">L’arrêt de la centrale signifie une perte d’emplois qui sont directement et exclusivement rattachés au fonctionnement de la centrale </w:t>
      </w:r>
      <w:r w:rsidR="00317C45">
        <w:rPr>
          <w:rFonts w:ascii="Arial" w:hAnsi="Arial" w:cs="Arial"/>
        </w:rPr>
        <w:t xml:space="preserve">solaire </w:t>
      </w:r>
      <w:r w:rsidRPr="00A31C26">
        <w:rPr>
          <w:rFonts w:ascii="Arial" w:hAnsi="Arial" w:cs="Arial"/>
        </w:rPr>
        <w:t>photovoltaïque. Cependant, le démantèlement du site nécessite un certain nombre d’emplois temporaires, mais ceci ne pourra pas compenser la perte subie par l’arrêt du site. L’effet de la perte d’emplois sur les personnels du site sera conséquent vu que le chef de famille devient chômeur et n’a plus de source de revenus stables. L’importance de cet effet sera « moyenne »</w:t>
      </w:r>
      <w:r w:rsidR="00317C45">
        <w:rPr>
          <w:rFonts w:ascii="Arial" w:hAnsi="Arial" w:cs="Arial"/>
        </w:rPr>
        <w:t xml:space="preserve"> </w:t>
      </w:r>
      <w:r w:rsidR="00AD121B">
        <w:rPr>
          <w:rFonts w:ascii="Arial" w:hAnsi="Arial" w:cs="Arial"/>
        </w:rPr>
        <w:t xml:space="preserve">avec un niveau de risque faible </w:t>
      </w:r>
      <w:r w:rsidR="00317C45">
        <w:rPr>
          <w:rFonts w:ascii="Arial" w:hAnsi="Arial" w:cs="Arial"/>
        </w:rPr>
        <w:t>selon le tableau suivant</w:t>
      </w:r>
      <w:r w:rsidRPr="00A31C26">
        <w:rPr>
          <w:rFonts w:ascii="Arial" w:hAnsi="Arial" w:cs="Arial"/>
        </w:rPr>
        <w:t>.</w:t>
      </w:r>
    </w:p>
    <w:p w14:paraId="698B8D4D" w14:textId="77777777" w:rsidR="0090044A" w:rsidRPr="002E58DC" w:rsidRDefault="0090044A" w:rsidP="002E58DC">
      <w:pPr>
        <w:pStyle w:val="Lgende"/>
        <w:spacing w:before="120"/>
        <w:jc w:val="center"/>
        <w:rPr>
          <w:sz w:val="20"/>
        </w:rPr>
      </w:pPr>
      <w:bookmarkStart w:id="1078" w:name="_Toc100753955"/>
      <w:bookmarkStart w:id="1079" w:name="_Toc127957868"/>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72</w:t>
      </w:r>
      <w:r w:rsidRPr="002E58DC">
        <w:rPr>
          <w:sz w:val="20"/>
        </w:rPr>
        <w:fldChar w:fldCharType="end"/>
      </w:r>
      <w:r w:rsidRPr="002E58DC">
        <w:rPr>
          <w:sz w:val="20"/>
        </w:rPr>
        <w:t xml:space="preserve">. Evaluation </w:t>
      </w:r>
      <w:r w:rsidR="0033675C">
        <w:rPr>
          <w:sz w:val="20"/>
        </w:rPr>
        <w:t xml:space="preserve">de </w:t>
      </w:r>
      <w:r w:rsidRPr="002E58DC">
        <w:rPr>
          <w:sz w:val="20"/>
        </w:rPr>
        <w:t>l’impact -Perte d'emploi pour les employés du projet</w:t>
      </w:r>
      <w:bookmarkEnd w:id="1078"/>
      <w:bookmarkEnd w:id="1079"/>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206"/>
        <w:gridCol w:w="1148"/>
        <w:gridCol w:w="1486"/>
        <w:gridCol w:w="1473"/>
        <w:gridCol w:w="1089"/>
        <w:gridCol w:w="992"/>
      </w:tblGrid>
      <w:tr w:rsidR="00AD121B" w:rsidRPr="007F78CE" w14:paraId="73FC5164" w14:textId="77777777" w:rsidTr="00345918">
        <w:trPr>
          <w:jc w:val="center"/>
        </w:trPr>
        <w:tc>
          <w:tcPr>
            <w:tcW w:w="1219" w:type="dxa"/>
            <w:shd w:val="clear" w:color="auto" w:fill="BFBFBF"/>
          </w:tcPr>
          <w:p w14:paraId="29B8AE92" w14:textId="77777777" w:rsidR="00AD121B" w:rsidRPr="007F78CE" w:rsidRDefault="00AD121B"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206" w:type="dxa"/>
            <w:shd w:val="clear" w:color="auto" w:fill="BFBFBF"/>
          </w:tcPr>
          <w:p w14:paraId="2D0DEA96" w14:textId="77777777" w:rsidR="00AD121B" w:rsidRPr="007F78CE" w:rsidRDefault="00AD121B"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1148" w:type="dxa"/>
            <w:shd w:val="clear" w:color="auto" w:fill="BFBFBF"/>
          </w:tcPr>
          <w:p w14:paraId="09ED4447" w14:textId="77777777" w:rsidR="00AD121B" w:rsidRPr="007F78CE" w:rsidRDefault="00AD121B"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486" w:type="dxa"/>
            <w:shd w:val="clear" w:color="auto" w:fill="BFBFBF"/>
          </w:tcPr>
          <w:p w14:paraId="6E610BB7" w14:textId="77777777" w:rsidR="00AD121B" w:rsidRPr="007F78CE" w:rsidRDefault="00AD121B"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473" w:type="dxa"/>
            <w:shd w:val="clear" w:color="auto" w:fill="BFBFBF"/>
          </w:tcPr>
          <w:p w14:paraId="1C0B66F7" w14:textId="77777777" w:rsidR="00AD121B" w:rsidRPr="007F78CE" w:rsidRDefault="00AD121B"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089" w:type="dxa"/>
            <w:shd w:val="clear" w:color="auto" w:fill="BFBFBF"/>
          </w:tcPr>
          <w:p w14:paraId="7C79D264" w14:textId="77777777" w:rsidR="00AD121B" w:rsidRPr="007F78CE" w:rsidRDefault="00AD121B"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992" w:type="dxa"/>
            <w:shd w:val="clear" w:color="auto" w:fill="BFBFBF"/>
          </w:tcPr>
          <w:p w14:paraId="68893D2A" w14:textId="77777777" w:rsidR="00AD121B" w:rsidRPr="007F78CE" w:rsidRDefault="00AD121B" w:rsidP="007F78CE">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AD121B" w:rsidRPr="007F78CE" w14:paraId="437DBFCA" w14:textId="77777777" w:rsidTr="00345918">
        <w:trPr>
          <w:jc w:val="center"/>
        </w:trPr>
        <w:tc>
          <w:tcPr>
            <w:tcW w:w="1219" w:type="dxa"/>
            <w:shd w:val="clear" w:color="auto" w:fill="auto"/>
          </w:tcPr>
          <w:p w14:paraId="31CB6111" w14:textId="77777777" w:rsidR="00AD121B" w:rsidRPr="007F78CE" w:rsidRDefault="00AD121B"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Moyenne</w:t>
            </w:r>
          </w:p>
          <w:p w14:paraId="625786D7"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06" w:type="dxa"/>
            <w:shd w:val="clear" w:color="auto" w:fill="auto"/>
          </w:tcPr>
          <w:p w14:paraId="52DCD2C0"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7C8DF81F"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148" w:type="dxa"/>
            <w:shd w:val="clear" w:color="auto" w:fill="auto"/>
          </w:tcPr>
          <w:p w14:paraId="6D74BE70"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32BAAE39"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486" w:type="dxa"/>
            <w:shd w:val="clear" w:color="auto" w:fill="auto"/>
          </w:tcPr>
          <w:p w14:paraId="3EBA8AF6"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Irréversible</w:t>
            </w:r>
          </w:p>
          <w:p w14:paraId="1571D96F"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473" w:type="dxa"/>
            <w:shd w:val="clear" w:color="auto" w:fill="FFFF00"/>
          </w:tcPr>
          <w:p w14:paraId="4BAF378A"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1BF27629"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(7)</w:t>
            </w:r>
          </w:p>
        </w:tc>
        <w:tc>
          <w:tcPr>
            <w:tcW w:w="1089" w:type="dxa"/>
            <w:shd w:val="clear" w:color="auto" w:fill="auto"/>
          </w:tcPr>
          <w:p w14:paraId="3FABD23E" w14:textId="77777777" w:rsidR="00AD121B" w:rsidRPr="007F78CE" w:rsidRDefault="00AD121B"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992" w:type="dxa"/>
            <w:shd w:val="clear" w:color="auto" w:fill="FFC000"/>
          </w:tcPr>
          <w:p w14:paraId="3DAD7C13" w14:textId="77777777" w:rsidR="00AD121B" w:rsidRPr="007F78CE" w:rsidRDefault="00AD121B"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bl>
    <w:p w14:paraId="4A338EE2" w14:textId="77777777" w:rsidR="0090044A" w:rsidRPr="00DD74F8" w:rsidRDefault="0090044A" w:rsidP="00687DD2">
      <w:pPr>
        <w:pStyle w:val="Normal12"/>
        <w:numPr>
          <w:ilvl w:val="0"/>
          <w:numId w:val="85"/>
        </w:numPr>
        <w:spacing w:before="100" w:beforeAutospacing="1" w:after="100" w:afterAutospacing="1"/>
        <w:ind w:left="1077" w:hanging="357"/>
        <w:contextualSpacing/>
        <w:rPr>
          <w:i/>
          <w:iCs/>
          <w:lang w:val="fr-FR"/>
        </w:rPr>
      </w:pPr>
      <w:r w:rsidRPr="00DD74F8">
        <w:rPr>
          <w:i/>
          <w:iCs/>
          <w:lang w:val="fr-FR"/>
        </w:rPr>
        <w:t xml:space="preserve">Accumulation de déchets divers </w:t>
      </w:r>
    </w:p>
    <w:p w14:paraId="36FD6086" w14:textId="77777777" w:rsidR="0090044A" w:rsidRPr="00A31C26" w:rsidRDefault="0090044A" w:rsidP="00A31C26">
      <w:pPr>
        <w:spacing w:line="240" w:lineRule="auto"/>
        <w:jc w:val="both"/>
        <w:rPr>
          <w:rFonts w:ascii="Arial" w:hAnsi="Arial" w:cs="Arial"/>
        </w:rPr>
      </w:pPr>
      <w:r w:rsidRPr="00A31C26">
        <w:rPr>
          <w:rFonts w:ascii="Arial" w:hAnsi="Arial" w:cs="Arial"/>
        </w:rPr>
        <w:t>Durant la phase de démantèlement, les principales opérations de démantèlement seront :</w:t>
      </w:r>
    </w:p>
    <w:p w14:paraId="316CC827" w14:textId="77777777" w:rsidR="0090044A" w:rsidRPr="00A31C26" w:rsidRDefault="0090044A" w:rsidP="00687DD2">
      <w:pPr>
        <w:numPr>
          <w:ilvl w:val="0"/>
          <w:numId w:val="93"/>
        </w:numPr>
        <w:spacing w:after="0" w:line="240" w:lineRule="auto"/>
        <w:ind w:right="220"/>
        <w:contextualSpacing/>
        <w:jc w:val="both"/>
        <w:rPr>
          <w:rFonts w:ascii="Arial" w:hAnsi="Arial" w:cs="Arial"/>
          <w:color w:val="000000"/>
        </w:rPr>
      </w:pPr>
      <w:r w:rsidRPr="00A31C26">
        <w:rPr>
          <w:rFonts w:ascii="Arial" w:hAnsi="Arial" w:cs="Arial"/>
          <w:color w:val="000000"/>
        </w:rPr>
        <w:t>Démontage des modules ;</w:t>
      </w:r>
    </w:p>
    <w:p w14:paraId="354740FB" w14:textId="77777777" w:rsidR="0090044A" w:rsidRPr="00A31C26" w:rsidRDefault="0090044A" w:rsidP="00687DD2">
      <w:pPr>
        <w:numPr>
          <w:ilvl w:val="0"/>
          <w:numId w:val="93"/>
        </w:numPr>
        <w:spacing w:after="0" w:line="240" w:lineRule="auto"/>
        <w:ind w:right="220"/>
        <w:contextualSpacing/>
        <w:jc w:val="both"/>
        <w:rPr>
          <w:rFonts w:ascii="Arial" w:hAnsi="Arial" w:cs="Arial"/>
          <w:color w:val="000000"/>
        </w:rPr>
      </w:pPr>
      <w:r w:rsidRPr="00A31C26">
        <w:rPr>
          <w:rFonts w:ascii="Arial" w:hAnsi="Arial" w:cs="Arial"/>
          <w:color w:val="000000"/>
        </w:rPr>
        <w:t>Démontage des structures métalliques et des ancrages au sol ;</w:t>
      </w:r>
    </w:p>
    <w:p w14:paraId="0994BB99" w14:textId="77777777" w:rsidR="0090044A" w:rsidRPr="00A31C26" w:rsidRDefault="0090044A" w:rsidP="00687DD2">
      <w:pPr>
        <w:numPr>
          <w:ilvl w:val="0"/>
          <w:numId w:val="93"/>
        </w:numPr>
        <w:spacing w:after="0" w:line="240" w:lineRule="auto"/>
        <w:ind w:right="220"/>
        <w:contextualSpacing/>
        <w:jc w:val="both"/>
        <w:rPr>
          <w:rFonts w:ascii="Arial" w:hAnsi="Arial" w:cs="Arial"/>
          <w:color w:val="000000"/>
        </w:rPr>
      </w:pPr>
      <w:r w:rsidRPr="00A31C26">
        <w:rPr>
          <w:rFonts w:ascii="Arial" w:hAnsi="Arial" w:cs="Arial"/>
          <w:color w:val="000000"/>
        </w:rPr>
        <w:t>Démolition des bâtiments d’exploitation ;</w:t>
      </w:r>
    </w:p>
    <w:p w14:paraId="29ED8AF7" w14:textId="77777777" w:rsidR="0090044A" w:rsidRPr="00A31C26" w:rsidRDefault="0090044A" w:rsidP="00687DD2">
      <w:pPr>
        <w:numPr>
          <w:ilvl w:val="0"/>
          <w:numId w:val="93"/>
        </w:numPr>
        <w:spacing w:after="0" w:line="240" w:lineRule="auto"/>
        <w:ind w:right="220"/>
        <w:contextualSpacing/>
        <w:jc w:val="both"/>
        <w:rPr>
          <w:rFonts w:ascii="Arial" w:hAnsi="Arial" w:cs="Arial"/>
          <w:color w:val="000000"/>
        </w:rPr>
      </w:pPr>
      <w:r w:rsidRPr="00A31C26">
        <w:rPr>
          <w:rFonts w:ascii="Arial" w:hAnsi="Arial" w:cs="Arial"/>
          <w:color w:val="000000"/>
        </w:rPr>
        <w:t>Ouverture des tranchées et retrait des câbles électriques ;</w:t>
      </w:r>
    </w:p>
    <w:p w14:paraId="18F8E9EB" w14:textId="77777777" w:rsidR="0090044A" w:rsidRPr="00A31C26" w:rsidRDefault="0090044A" w:rsidP="00687DD2">
      <w:pPr>
        <w:numPr>
          <w:ilvl w:val="0"/>
          <w:numId w:val="93"/>
        </w:numPr>
        <w:spacing w:after="0" w:line="240" w:lineRule="auto"/>
        <w:ind w:right="220"/>
        <w:contextualSpacing/>
        <w:jc w:val="both"/>
        <w:rPr>
          <w:rFonts w:ascii="Arial" w:hAnsi="Arial" w:cs="Arial"/>
          <w:color w:val="000000"/>
        </w:rPr>
      </w:pPr>
      <w:r w:rsidRPr="00A31C26">
        <w:rPr>
          <w:rFonts w:ascii="Arial" w:hAnsi="Arial" w:cs="Arial"/>
          <w:color w:val="000000"/>
        </w:rPr>
        <w:t>Remblaiement des tranchées et remise en état de la surface (aplanissement).</w:t>
      </w:r>
    </w:p>
    <w:p w14:paraId="20329B17" w14:textId="77777777" w:rsidR="0090044A" w:rsidRDefault="0090044A" w:rsidP="00B434A6">
      <w:pPr>
        <w:spacing w:before="120" w:line="240" w:lineRule="auto"/>
        <w:jc w:val="both"/>
        <w:rPr>
          <w:rFonts w:ascii="Arial" w:hAnsi="Arial" w:cs="Arial"/>
        </w:rPr>
      </w:pPr>
      <w:r w:rsidRPr="00A31C26">
        <w:rPr>
          <w:rFonts w:ascii="Arial" w:hAnsi="Arial" w:cs="Arial"/>
        </w:rPr>
        <w:t xml:space="preserve">Ces activités vont produire des déchets comme les gravats des bétons utilisés lors de l’ancrage des panneaux solaires et des bâtiments, et les amas de plaques photovoltaïques </w:t>
      </w:r>
      <w:r w:rsidR="7E0F9F31" w:rsidRPr="58DCDDAF">
        <w:rPr>
          <w:rFonts w:ascii="Arial" w:hAnsi="Arial" w:cs="Arial"/>
        </w:rPr>
        <w:t xml:space="preserve">et </w:t>
      </w:r>
      <w:r w:rsidR="00067C78" w:rsidRPr="58DCDDAF">
        <w:rPr>
          <w:rFonts w:ascii="Arial" w:hAnsi="Arial" w:cs="Arial"/>
        </w:rPr>
        <w:t>câblages</w:t>
      </w:r>
      <w:r w:rsidR="7E0F9F31" w:rsidRPr="58DCDDAF">
        <w:rPr>
          <w:rFonts w:ascii="Arial" w:hAnsi="Arial" w:cs="Arial"/>
        </w:rPr>
        <w:t xml:space="preserve"> </w:t>
      </w:r>
      <w:r w:rsidRPr="00A31C26">
        <w:rPr>
          <w:rFonts w:ascii="Arial" w:hAnsi="Arial" w:cs="Arial"/>
        </w:rPr>
        <w:t>inutilisables</w:t>
      </w:r>
      <w:r w:rsidR="00EC1EA0">
        <w:rPr>
          <w:rFonts w:ascii="Arial" w:hAnsi="Arial" w:cs="Arial"/>
        </w:rPr>
        <w:t>,</w:t>
      </w:r>
      <w:r w:rsidR="00EC5697">
        <w:rPr>
          <w:rFonts w:ascii="Arial" w:hAnsi="Arial" w:cs="Arial"/>
        </w:rPr>
        <w:t xml:space="preserve"> </w:t>
      </w:r>
      <w:r w:rsidR="00EC1EA0">
        <w:rPr>
          <w:rFonts w:ascii="Arial" w:hAnsi="Arial" w:cs="Arial"/>
        </w:rPr>
        <w:t>m</w:t>
      </w:r>
      <w:r w:rsidRPr="00A31C26">
        <w:rPr>
          <w:rFonts w:ascii="Arial" w:hAnsi="Arial" w:cs="Arial"/>
        </w:rPr>
        <w:t>ais surtout des produits chimiques contenus dans les panneaux. Même si ce type d’impact est limité dans l’espace (l’activité concerne seulement la centrale) et dans le temps (durant la phase de démantèlement), son intensité et effet pourrai</w:t>
      </w:r>
      <w:r w:rsidR="00EC1EA0">
        <w:rPr>
          <w:rFonts w:ascii="Arial" w:hAnsi="Arial" w:cs="Arial"/>
        </w:rPr>
        <w:t>en</w:t>
      </w:r>
      <w:r w:rsidRPr="00A31C26">
        <w:rPr>
          <w:rFonts w:ascii="Arial" w:hAnsi="Arial" w:cs="Arial"/>
        </w:rPr>
        <w:t>t être intense</w:t>
      </w:r>
      <w:r w:rsidR="00EC1EA0">
        <w:rPr>
          <w:rFonts w:ascii="Arial" w:hAnsi="Arial" w:cs="Arial"/>
        </w:rPr>
        <w:t>s</w:t>
      </w:r>
      <w:r w:rsidRPr="00A31C26">
        <w:rPr>
          <w:rFonts w:ascii="Arial" w:hAnsi="Arial" w:cs="Arial"/>
        </w:rPr>
        <w:t xml:space="preserve"> ce qui induira à classer ce type d’impact comme « moyenne »</w:t>
      </w:r>
      <w:r w:rsidR="00317C45">
        <w:rPr>
          <w:rFonts w:ascii="Arial" w:hAnsi="Arial" w:cs="Arial"/>
        </w:rPr>
        <w:t xml:space="preserve"> </w:t>
      </w:r>
      <w:r w:rsidR="0099193A">
        <w:rPr>
          <w:rFonts w:ascii="Arial" w:hAnsi="Arial" w:cs="Arial"/>
        </w:rPr>
        <w:t xml:space="preserve">et le niveau de risque est considéré comme faible </w:t>
      </w:r>
      <w:r w:rsidR="00317C45">
        <w:rPr>
          <w:rFonts w:ascii="Arial" w:hAnsi="Arial" w:cs="Arial"/>
        </w:rPr>
        <w:t>selon le tableau suivant</w:t>
      </w:r>
      <w:r w:rsidRPr="00A31C26">
        <w:rPr>
          <w:rFonts w:ascii="Arial" w:hAnsi="Arial" w:cs="Arial"/>
        </w:rPr>
        <w:t>.</w:t>
      </w:r>
    </w:p>
    <w:p w14:paraId="5074761B" w14:textId="77777777" w:rsidR="0090044A" w:rsidRPr="002E58DC" w:rsidRDefault="0090044A" w:rsidP="002E58DC">
      <w:pPr>
        <w:pStyle w:val="Lgende"/>
        <w:spacing w:before="120"/>
        <w:jc w:val="center"/>
        <w:rPr>
          <w:sz w:val="20"/>
        </w:rPr>
      </w:pPr>
      <w:bookmarkStart w:id="1080" w:name="_Toc100753956"/>
      <w:bookmarkStart w:id="1081" w:name="_Toc127957869"/>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73</w:t>
      </w:r>
      <w:r w:rsidRPr="002E58DC">
        <w:rPr>
          <w:sz w:val="20"/>
        </w:rPr>
        <w:fldChar w:fldCharType="end"/>
      </w:r>
      <w:r w:rsidRPr="002E58DC">
        <w:rPr>
          <w:sz w:val="20"/>
        </w:rPr>
        <w:t xml:space="preserve">. Evaluation </w:t>
      </w:r>
      <w:r w:rsidR="0033675C">
        <w:rPr>
          <w:sz w:val="20"/>
        </w:rPr>
        <w:t xml:space="preserve">de </w:t>
      </w:r>
      <w:r w:rsidRPr="002E58DC">
        <w:rPr>
          <w:sz w:val="20"/>
        </w:rPr>
        <w:t>l’impact -Pollution du sol et de l’eau par l'abandon et l’accumulation des déchets solides incluant les DEEE</w:t>
      </w:r>
      <w:bookmarkEnd w:id="1080"/>
      <w:bookmarkEnd w:id="1081"/>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1196"/>
        <w:gridCol w:w="1131"/>
        <w:gridCol w:w="1488"/>
        <w:gridCol w:w="1476"/>
        <w:gridCol w:w="1192"/>
        <w:gridCol w:w="1191"/>
      </w:tblGrid>
      <w:tr w:rsidR="00AD121B" w:rsidRPr="007F78CE" w14:paraId="511438F2" w14:textId="77777777" w:rsidTr="00345918">
        <w:trPr>
          <w:jc w:val="center"/>
        </w:trPr>
        <w:tc>
          <w:tcPr>
            <w:tcW w:w="1223" w:type="dxa"/>
            <w:shd w:val="clear" w:color="auto" w:fill="BFBFBF"/>
          </w:tcPr>
          <w:p w14:paraId="1EE3BEDB" w14:textId="77777777" w:rsidR="00AD121B" w:rsidRPr="007F78CE" w:rsidRDefault="00AD121B"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196" w:type="dxa"/>
            <w:shd w:val="clear" w:color="auto" w:fill="BFBFBF"/>
          </w:tcPr>
          <w:p w14:paraId="221D9141" w14:textId="77777777" w:rsidR="00AD121B" w:rsidRPr="007F78CE" w:rsidRDefault="00AD121B"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1131" w:type="dxa"/>
            <w:shd w:val="clear" w:color="auto" w:fill="BFBFBF"/>
          </w:tcPr>
          <w:p w14:paraId="635A3F35" w14:textId="77777777" w:rsidR="00AD121B" w:rsidRPr="007F78CE" w:rsidRDefault="00AD121B"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488" w:type="dxa"/>
            <w:shd w:val="clear" w:color="auto" w:fill="BFBFBF"/>
          </w:tcPr>
          <w:p w14:paraId="1837B0DE" w14:textId="77777777" w:rsidR="00AD121B" w:rsidRPr="007F78CE" w:rsidRDefault="00AD121B"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476" w:type="dxa"/>
            <w:shd w:val="clear" w:color="auto" w:fill="BFBFBF"/>
          </w:tcPr>
          <w:p w14:paraId="2B88FB9B" w14:textId="77777777" w:rsidR="00AD121B" w:rsidRPr="007F78CE" w:rsidRDefault="00AD121B"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192" w:type="dxa"/>
            <w:shd w:val="clear" w:color="auto" w:fill="BFBFBF"/>
          </w:tcPr>
          <w:p w14:paraId="412943AC" w14:textId="77777777" w:rsidR="00AD121B" w:rsidRPr="007F78CE" w:rsidRDefault="00AD121B"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1191" w:type="dxa"/>
            <w:shd w:val="clear" w:color="auto" w:fill="BFBFBF"/>
          </w:tcPr>
          <w:p w14:paraId="6715F992" w14:textId="77777777" w:rsidR="00AD121B" w:rsidRPr="007F78CE" w:rsidRDefault="00AD121B" w:rsidP="007F78CE">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AD121B" w:rsidRPr="007F78CE" w14:paraId="58C065E9" w14:textId="77777777" w:rsidTr="00345918">
        <w:trPr>
          <w:jc w:val="center"/>
        </w:trPr>
        <w:tc>
          <w:tcPr>
            <w:tcW w:w="1223" w:type="dxa"/>
            <w:shd w:val="clear" w:color="auto" w:fill="auto"/>
          </w:tcPr>
          <w:p w14:paraId="0FD96CC4" w14:textId="77777777" w:rsidR="00AD121B" w:rsidRPr="007F78CE" w:rsidRDefault="00AD121B"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Moyenne</w:t>
            </w:r>
          </w:p>
          <w:p w14:paraId="232E4E4E"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196" w:type="dxa"/>
            <w:shd w:val="clear" w:color="auto" w:fill="auto"/>
          </w:tcPr>
          <w:p w14:paraId="427EDB88"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Locale</w:t>
            </w:r>
          </w:p>
          <w:p w14:paraId="17B8B80A"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131" w:type="dxa"/>
            <w:shd w:val="clear" w:color="auto" w:fill="auto"/>
          </w:tcPr>
          <w:p w14:paraId="247923FD"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566657E8"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488" w:type="dxa"/>
            <w:shd w:val="clear" w:color="auto" w:fill="auto"/>
          </w:tcPr>
          <w:p w14:paraId="2F47458F"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5C445677"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476" w:type="dxa"/>
            <w:shd w:val="clear" w:color="auto" w:fill="FFFF00"/>
          </w:tcPr>
          <w:p w14:paraId="44B5F310"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133A92DE" w14:textId="77777777" w:rsidR="00AD121B" w:rsidRPr="007F78CE" w:rsidRDefault="00AD121B"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192" w:type="dxa"/>
            <w:shd w:val="clear" w:color="auto" w:fill="auto"/>
          </w:tcPr>
          <w:p w14:paraId="49211142" w14:textId="77777777" w:rsidR="00AD121B" w:rsidRPr="007F78CE" w:rsidRDefault="00AD121B"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1191" w:type="dxa"/>
            <w:shd w:val="clear" w:color="auto" w:fill="FFC000"/>
          </w:tcPr>
          <w:p w14:paraId="149FFD2D" w14:textId="77777777" w:rsidR="00AD121B" w:rsidRPr="007F78CE" w:rsidRDefault="00AD121B"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bl>
    <w:p w14:paraId="68128F2F" w14:textId="77777777" w:rsidR="0090044A" w:rsidRPr="00DD74F8" w:rsidRDefault="0090044A" w:rsidP="00687DD2">
      <w:pPr>
        <w:pStyle w:val="Normal12"/>
        <w:numPr>
          <w:ilvl w:val="0"/>
          <w:numId w:val="85"/>
        </w:numPr>
        <w:spacing w:before="100" w:beforeAutospacing="1" w:after="100" w:afterAutospacing="1"/>
        <w:ind w:left="1077" w:hanging="357"/>
        <w:contextualSpacing/>
        <w:rPr>
          <w:i/>
          <w:iCs/>
          <w:lang w:val="fr-FR"/>
        </w:rPr>
      </w:pPr>
      <w:r w:rsidRPr="00DD74F8">
        <w:rPr>
          <w:i/>
          <w:iCs/>
          <w:lang w:val="fr-FR"/>
        </w:rPr>
        <w:t>Risque d’accidents et dommages corporels</w:t>
      </w:r>
    </w:p>
    <w:p w14:paraId="2B0BDB5D" w14:textId="77777777" w:rsidR="0090044A" w:rsidRPr="00DD74F8" w:rsidRDefault="0090044A" w:rsidP="00B434A6">
      <w:pPr>
        <w:spacing w:line="240" w:lineRule="auto"/>
        <w:jc w:val="both"/>
        <w:rPr>
          <w:rFonts w:cs="Arial"/>
        </w:rPr>
      </w:pPr>
      <w:r w:rsidRPr="00A31C26">
        <w:rPr>
          <w:rFonts w:ascii="Arial" w:hAnsi="Arial" w:cs="Arial"/>
        </w:rPr>
        <w:t>Le démantèlement des installations pourrait causer des accidents de travail et des dommages corporels. Sur ce point, les activités de manipulation, de débranchement peuvent être des sources d’accidents et d’incendies. Ces opérations sont les suivantes (sans prétendre l’exhaustivité) le dévissement et le déboulonnage des éléments, l’arrachage, l’enlèvement de câbles, la réouverture des tranchées, l’enlèvement par grue, etc. Le niveau d’importance de cet impact est « mineur »</w:t>
      </w:r>
      <w:r w:rsidR="0099193A">
        <w:rPr>
          <w:rFonts w:ascii="Arial" w:hAnsi="Arial" w:cs="Arial"/>
        </w:rPr>
        <w:t xml:space="preserve"> et le niveau de risque est très faible</w:t>
      </w:r>
      <w:r w:rsidRPr="00A31C26">
        <w:rPr>
          <w:rFonts w:ascii="Arial" w:hAnsi="Arial" w:cs="Arial"/>
        </w:rPr>
        <w:t>.</w:t>
      </w:r>
    </w:p>
    <w:p w14:paraId="00EB37BC" w14:textId="77777777" w:rsidR="0090044A" w:rsidRPr="002E58DC" w:rsidRDefault="0090044A" w:rsidP="002E58DC">
      <w:pPr>
        <w:pStyle w:val="Lgende"/>
        <w:spacing w:before="120"/>
        <w:jc w:val="center"/>
        <w:rPr>
          <w:sz w:val="20"/>
        </w:rPr>
      </w:pPr>
      <w:bookmarkStart w:id="1082" w:name="_Toc100753957"/>
      <w:bookmarkStart w:id="1083" w:name="_Toc127957870"/>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74</w:t>
      </w:r>
      <w:r w:rsidRPr="002E58DC">
        <w:rPr>
          <w:sz w:val="20"/>
        </w:rPr>
        <w:fldChar w:fldCharType="end"/>
      </w:r>
      <w:r w:rsidRPr="002E58DC">
        <w:rPr>
          <w:sz w:val="20"/>
        </w:rPr>
        <w:t>. Evaluation l’impact -Risque d’accident de travail et dommage corporel</w:t>
      </w:r>
      <w:bookmarkEnd w:id="1082"/>
      <w:bookmarkEnd w:id="1083"/>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1208"/>
        <w:gridCol w:w="1125"/>
        <w:gridCol w:w="1488"/>
        <w:gridCol w:w="1476"/>
        <w:gridCol w:w="1385"/>
        <w:gridCol w:w="1136"/>
        <w:tblGridChange w:id="1084">
          <w:tblGrid>
            <w:gridCol w:w="1221"/>
            <w:gridCol w:w="1208"/>
            <w:gridCol w:w="1125"/>
            <w:gridCol w:w="1488"/>
            <w:gridCol w:w="1476"/>
            <w:gridCol w:w="1385"/>
            <w:gridCol w:w="1136"/>
          </w:tblGrid>
        </w:tblGridChange>
      </w:tblGrid>
      <w:tr w:rsidR="0099193A" w:rsidRPr="007F78CE" w14:paraId="4F861B3A" w14:textId="77777777" w:rsidTr="00345918">
        <w:trPr>
          <w:jc w:val="center"/>
        </w:trPr>
        <w:tc>
          <w:tcPr>
            <w:tcW w:w="1221" w:type="dxa"/>
            <w:shd w:val="clear" w:color="auto" w:fill="BFBFBF"/>
            <w:vAlign w:val="center"/>
          </w:tcPr>
          <w:p w14:paraId="5AC5DC92" w14:textId="77777777" w:rsidR="0099193A" w:rsidRPr="007F78CE" w:rsidRDefault="0099193A" w:rsidP="007F78CE">
            <w:pPr>
              <w:spacing w:after="0" w:line="240" w:lineRule="auto"/>
              <w:rPr>
                <w:rFonts w:ascii="Arial Narrow" w:hAnsi="Arial Narrow"/>
                <w:b/>
                <w:sz w:val="20"/>
                <w:szCs w:val="20"/>
              </w:rPr>
            </w:pPr>
            <w:r w:rsidRPr="007F78CE">
              <w:rPr>
                <w:rFonts w:ascii="Arial Narrow" w:hAnsi="Arial Narrow"/>
                <w:b/>
                <w:bCs/>
                <w:sz w:val="20"/>
                <w:szCs w:val="20"/>
              </w:rPr>
              <w:t>Intensité</w:t>
            </w:r>
          </w:p>
        </w:tc>
        <w:tc>
          <w:tcPr>
            <w:tcW w:w="1208" w:type="dxa"/>
            <w:shd w:val="clear" w:color="auto" w:fill="BFBFBF"/>
            <w:vAlign w:val="center"/>
          </w:tcPr>
          <w:p w14:paraId="73ABAC7F" w14:textId="77777777" w:rsidR="0099193A" w:rsidRPr="007F78CE" w:rsidRDefault="0099193A"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1125" w:type="dxa"/>
            <w:shd w:val="clear" w:color="auto" w:fill="BFBFBF"/>
            <w:vAlign w:val="center"/>
          </w:tcPr>
          <w:p w14:paraId="1C05792D" w14:textId="77777777" w:rsidR="0099193A" w:rsidRPr="007F78CE" w:rsidRDefault="0099193A"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488" w:type="dxa"/>
            <w:shd w:val="clear" w:color="auto" w:fill="BFBFBF"/>
            <w:vAlign w:val="center"/>
          </w:tcPr>
          <w:p w14:paraId="190682B3" w14:textId="77777777" w:rsidR="0099193A" w:rsidRPr="007F78CE" w:rsidRDefault="0099193A"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476" w:type="dxa"/>
            <w:shd w:val="clear" w:color="auto" w:fill="BFBFBF"/>
            <w:vAlign w:val="center"/>
          </w:tcPr>
          <w:p w14:paraId="29D0CE37" w14:textId="77777777" w:rsidR="0099193A" w:rsidRPr="007F78CE" w:rsidRDefault="0099193A"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385" w:type="dxa"/>
            <w:shd w:val="clear" w:color="auto" w:fill="BFBFBF"/>
          </w:tcPr>
          <w:p w14:paraId="4A83EEDE" w14:textId="77777777" w:rsidR="0099193A" w:rsidRPr="007F78CE" w:rsidRDefault="0099193A"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1136" w:type="dxa"/>
            <w:shd w:val="clear" w:color="auto" w:fill="BFBFBF"/>
          </w:tcPr>
          <w:p w14:paraId="426FA127" w14:textId="77777777" w:rsidR="0099193A" w:rsidRPr="007F78CE" w:rsidRDefault="0099193A" w:rsidP="007F78CE">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345918" w:rsidRPr="007F78CE" w14:paraId="2B6C7CB4" w14:textId="77777777" w:rsidTr="00FB04F6">
        <w:trPr>
          <w:jc w:val="center"/>
        </w:trPr>
        <w:tc>
          <w:tcPr>
            <w:tcW w:w="1221" w:type="dxa"/>
            <w:shd w:val="clear" w:color="auto" w:fill="auto"/>
          </w:tcPr>
          <w:p w14:paraId="66CF538A" w14:textId="77777777" w:rsidR="0099193A" w:rsidRPr="007F78CE" w:rsidRDefault="0099193A"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Moyenne</w:t>
            </w:r>
          </w:p>
          <w:p w14:paraId="3AC4BC4F" w14:textId="77777777" w:rsidR="0099193A" w:rsidRPr="007F78CE" w:rsidRDefault="0099193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(2)</w:t>
            </w:r>
          </w:p>
        </w:tc>
        <w:tc>
          <w:tcPr>
            <w:tcW w:w="1208" w:type="dxa"/>
            <w:shd w:val="clear" w:color="auto" w:fill="auto"/>
          </w:tcPr>
          <w:p w14:paraId="2879011C" w14:textId="77777777" w:rsidR="0099193A" w:rsidRPr="007F78CE" w:rsidRDefault="0099193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452C63EA" w14:textId="77777777" w:rsidR="0099193A" w:rsidRPr="007F78CE" w:rsidRDefault="0099193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125" w:type="dxa"/>
            <w:shd w:val="clear" w:color="auto" w:fill="auto"/>
          </w:tcPr>
          <w:p w14:paraId="5301F28E" w14:textId="77777777" w:rsidR="0099193A" w:rsidRPr="007F78CE" w:rsidRDefault="0099193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0CC316AB" w14:textId="77777777" w:rsidR="0099193A" w:rsidRPr="007F78CE" w:rsidRDefault="0099193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488" w:type="dxa"/>
            <w:shd w:val="clear" w:color="auto" w:fill="auto"/>
          </w:tcPr>
          <w:p w14:paraId="334952DF" w14:textId="77777777" w:rsidR="0099193A" w:rsidRPr="007F78CE" w:rsidRDefault="0099193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1EFD0A0F" w14:textId="77777777" w:rsidR="0099193A" w:rsidRPr="007F78CE" w:rsidRDefault="0099193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476" w:type="dxa"/>
            <w:shd w:val="clear" w:color="auto" w:fill="00B050"/>
          </w:tcPr>
          <w:p w14:paraId="6C779B24" w14:textId="77777777" w:rsidR="0099193A" w:rsidRPr="007F78CE" w:rsidRDefault="0099193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Mineure</w:t>
            </w:r>
          </w:p>
          <w:p w14:paraId="4387AF09" w14:textId="77777777" w:rsidR="0099193A" w:rsidRPr="007F78CE" w:rsidRDefault="0099193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(5)</w:t>
            </w:r>
          </w:p>
        </w:tc>
        <w:tc>
          <w:tcPr>
            <w:tcW w:w="1385" w:type="dxa"/>
            <w:shd w:val="clear" w:color="auto" w:fill="auto"/>
          </w:tcPr>
          <w:p w14:paraId="4752C8F5" w14:textId="77777777" w:rsidR="0099193A" w:rsidRPr="007F78CE" w:rsidRDefault="0099193A"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1136" w:type="dxa"/>
            <w:shd w:val="clear" w:color="auto" w:fill="538135"/>
          </w:tcPr>
          <w:p w14:paraId="4DF42CEE" w14:textId="77777777" w:rsidR="0099193A" w:rsidRPr="007F78CE" w:rsidRDefault="0099193A" w:rsidP="0099193A">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Très faible </w:t>
            </w:r>
          </w:p>
        </w:tc>
      </w:tr>
    </w:tbl>
    <w:p w14:paraId="7BF8E1D9" w14:textId="77777777" w:rsidR="0090044A" w:rsidRPr="00DD74F8" w:rsidRDefault="0090044A" w:rsidP="00687DD2">
      <w:pPr>
        <w:pStyle w:val="Normal12"/>
        <w:numPr>
          <w:ilvl w:val="0"/>
          <w:numId w:val="85"/>
        </w:numPr>
        <w:spacing w:before="100" w:beforeAutospacing="1" w:after="100" w:afterAutospacing="1"/>
        <w:ind w:left="1077" w:hanging="357"/>
        <w:contextualSpacing/>
        <w:rPr>
          <w:i/>
          <w:iCs/>
          <w:lang w:val="fr-FR"/>
        </w:rPr>
      </w:pPr>
      <w:r w:rsidRPr="00DD74F8">
        <w:rPr>
          <w:i/>
          <w:iCs/>
          <w:lang w:val="fr-FR"/>
        </w:rPr>
        <w:t>Perturbation de la circulation</w:t>
      </w:r>
    </w:p>
    <w:p w14:paraId="15FD4795" w14:textId="77777777" w:rsidR="0090044A" w:rsidRPr="00A31C26" w:rsidRDefault="0090044A" w:rsidP="00A31C26">
      <w:pPr>
        <w:spacing w:line="240" w:lineRule="auto"/>
        <w:jc w:val="both"/>
        <w:rPr>
          <w:rFonts w:ascii="Arial" w:hAnsi="Arial" w:cs="Arial"/>
        </w:rPr>
      </w:pPr>
      <w:r w:rsidRPr="00742D67">
        <w:rPr>
          <w:rFonts w:ascii="Arial" w:hAnsi="Arial" w:cs="Arial"/>
        </w:rPr>
        <w:t xml:space="preserve">Le transport des </w:t>
      </w:r>
      <w:r w:rsidR="0033675C" w:rsidRPr="00742D67">
        <w:rPr>
          <w:rFonts w:ascii="Arial" w:hAnsi="Arial" w:cs="Arial"/>
        </w:rPr>
        <w:t>différents matériels comme les panneaux solaires, les batteries, etc.</w:t>
      </w:r>
      <w:r w:rsidRPr="00742D67">
        <w:rPr>
          <w:rFonts w:ascii="Arial" w:hAnsi="Arial" w:cs="Arial"/>
        </w:rPr>
        <w:t xml:space="preserve"> du site vers </w:t>
      </w:r>
      <w:r w:rsidR="0033675C" w:rsidRPr="00742D67">
        <w:rPr>
          <w:rFonts w:ascii="Arial" w:hAnsi="Arial" w:cs="Arial"/>
        </w:rPr>
        <w:t>une zone de stockage</w:t>
      </w:r>
      <w:r w:rsidRPr="00742D67">
        <w:rPr>
          <w:rFonts w:ascii="Arial" w:hAnsi="Arial" w:cs="Arial"/>
        </w:rPr>
        <w:t xml:space="preserve"> est une opération délicate, qui doit être bien organisée et</w:t>
      </w:r>
      <w:r w:rsidRPr="00A31C26">
        <w:rPr>
          <w:rFonts w:ascii="Arial" w:hAnsi="Arial" w:cs="Arial"/>
        </w:rPr>
        <w:t xml:space="preserve"> planifiée afin d’éviter toute forme d’accident, tant au niveau de la circulation que de leur manutention. Cet impact est considéré « moyen »</w:t>
      </w:r>
      <w:r w:rsidR="0099193A">
        <w:rPr>
          <w:rFonts w:ascii="Arial" w:hAnsi="Arial" w:cs="Arial"/>
        </w:rPr>
        <w:t xml:space="preserve"> et le niveau  de risque est évalué comme faible</w:t>
      </w:r>
      <w:r w:rsidRPr="00A31C26">
        <w:rPr>
          <w:rFonts w:ascii="Arial" w:hAnsi="Arial" w:cs="Arial"/>
        </w:rPr>
        <w:t xml:space="preserve">. </w:t>
      </w:r>
    </w:p>
    <w:p w14:paraId="30AFDB73" w14:textId="77777777" w:rsidR="0090044A" w:rsidRPr="002E58DC" w:rsidRDefault="0090044A" w:rsidP="002E58DC">
      <w:pPr>
        <w:pStyle w:val="Lgende"/>
        <w:spacing w:before="120"/>
        <w:jc w:val="center"/>
        <w:rPr>
          <w:sz w:val="20"/>
        </w:rPr>
      </w:pPr>
      <w:bookmarkStart w:id="1085" w:name="_Toc100753958"/>
      <w:bookmarkStart w:id="1086" w:name="_Toc127957871"/>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75</w:t>
      </w:r>
      <w:r w:rsidRPr="002E58DC">
        <w:rPr>
          <w:sz w:val="20"/>
        </w:rPr>
        <w:fldChar w:fldCharType="end"/>
      </w:r>
      <w:r w:rsidRPr="002E58DC">
        <w:rPr>
          <w:sz w:val="20"/>
        </w:rPr>
        <w:t>. Evaluation l’impact -Perturbation de la circulation</w:t>
      </w:r>
      <w:bookmarkEnd w:id="1085"/>
      <w:bookmarkEnd w:id="1086"/>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1208"/>
        <w:gridCol w:w="1125"/>
        <w:gridCol w:w="1488"/>
        <w:gridCol w:w="1476"/>
        <w:gridCol w:w="1385"/>
        <w:gridCol w:w="1385"/>
        <w:tblGridChange w:id="1087">
          <w:tblGrid>
            <w:gridCol w:w="1221"/>
            <w:gridCol w:w="1208"/>
            <w:gridCol w:w="1125"/>
            <w:gridCol w:w="1488"/>
            <w:gridCol w:w="1476"/>
            <w:gridCol w:w="1385"/>
            <w:gridCol w:w="1385"/>
          </w:tblGrid>
        </w:tblGridChange>
      </w:tblGrid>
      <w:tr w:rsidR="0099193A" w:rsidRPr="007F78CE" w14:paraId="1E08CBFF" w14:textId="77777777" w:rsidTr="00345918">
        <w:trPr>
          <w:jc w:val="center"/>
        </w:trPr>
        <w:tc>
          <w:tcPr>
            <w:tcW w:w="1221" w:type="dxa"/>
            <w:shd w:val="clear" w:color="auto" w:fill="BFBFBF"/>
          </w:tcPr>
          <w:p w14:paraId="658286B8" w14:textId="77777777" w:rsidR="0099193A" w:rsidRPr="007F78CE" w:rsidRDefault="0099193A" w:rsidP="007F78CE">
            <w:pPr>
              <w:spacing w:after="0" w:line="240" w:lineRule="auto"/>
              <w:rPr>
                <w:rFonts w:ascii="Arial Narrow" w:hAnsi="Arial Narrow"/>
                <w:b/>
                <w:sz w:val="20"/>
                <w:szCs w:val="20"/>
              </w:rPr>
            </w:pPr>
            <w:r w:rsidRPr="007F78CE">
              <w:rPr>
                <w:rFonts w:ascii="Arial Narrow" w:hAnsi="Arial Narrow"/>
                <w:b/>
                <w:bCs/>
                <w:sz w:val="20"/>
                <w:szCs w:val="20"/>
              </w:rPr>
              <w:t xml:space="preserve">Intensité </w:t>
            </w:r>
          </w:p>
        </w:tc>
        <w:tc>
          <w:tcPr>
            <w:tcW w:w="1208" w:type="dxa"/>
            <w:shd w:val="clear" w:color="auto" w:fill="BFBFBF"/>
          </w:tcPr>
          <w:p w14:paraId="5B7726AC" w14:textId="77777777" w:rsidR="0099193A" w:rsidRPr="007F78CE" w:rsidRDefault="0099193A" w:rsidP="007F78CE">
            <w:pPr>
              <w:spacing w:after="0" w:line="240" w:lineRule="auto"/>
              <w:rPr>
                <w:rFonts w:ascii="Arial Narrow" w:hAnsi="Arial Narrow"/>
                <w:b/>
                <w:bCs/>
                <w:sz w:val="20"/>
                <w:szCs w:val="20"/>
              </w:rPr>
            </w:pPr>
            <w:r w:rsidRPr="007F78CE">
              <w:rPr>
                <w:rFonts w:ascii="Arial Narrow" w:hAnsi="Arial Narrow"/>
                <w:b/>
                <w:bCs/>
                <w:sz w:val="20"/>
                <w:szCs w:val="20"/>
              </w:rPr>
              <w:t>Étendue</w:t>
            </w:r>
          </w:p>
        </w:tc>
        <w:tc>
          <w:tcPr>
            <w:tcW w:w="1125" w:type="dxa"/>
            <w:shd w:val="clear" w:color="auto" w:fill="BFBFBF"/>
          </w:tcPr>
          <w:p w14:paraId="0513688F" w14:textId="77777777" w:rsidR="0099193A" w:rsidRPr="007F78CE" w:rsidRDefault="0099193A" w:rsidP="007F78CE">
            <w:pPr>
              <w:spacing w:after="0" w:line="240" w:lineRule="auto"/>
              <w:rPr>
                <w:rFonts w:ascii="Arial Narrow" w:hAnsi="Arial Narrow"/>
                <w:b/>
                <w:bCs/>
                <w:sz w:val="20"/>
                <w:szCs w:val="20"/>
              </w:rPr>
            </w:pPr>
            <w:r w:rsidRPr="007F78CE">
              <w:rPr>
                <w:rFonts w:ascii="Arial Narrow" w:hAnsi="Arial Narrow"/>
                <w:b/>
                <w:bCs/>
                <w:sz w:val="20"/>
                <w:szCs w:val="20"/>
              </w:rPr>
              <w:t>Durée</w:t>
            </w:r>
          </w:p>
        </w:tc>
        <w:tc>
          <w:tcPr>
            <w:tcW w:w="1488" w:type="dxa"/>
            <w:shd w:val="clear" w:color="auto" w:fill="BFBFBF"/>
          </w:tcPr>
          <w:p w14:paraId="549EE1C8" w14:textId="77777777" w:rsidR="0099193A" w:rsidRPr="007F78CE" w:rsidRDefault="0099193A" w:rsidP="007F78CE">
            <w:pPr>
              <w:spacing w:after="0" w:line="240" w:lineRule="auto"/>
              <w:rPr>
                <w:rFonts w:ascii="Arial Narrow" w:hAnsi="Arial Narrow"/>
                <w:b/>
                <w:bCs/>
                <w:sz w:val="20"/>
                <w:szCs w:val="20"/>
              </w:rPr>
            </w:pPr>
            <w:r w:rsidRPr="007F78CE">
              <w:rPr>
                <w:rFonts w:ascii="Arial Narrow" w:hAnsi="Arial Narrow"/>
                <w:b/>
                <w:bCs/>
                <w:sz w:val="20"/>
                <w:szCs w:val="20"/>
              </w:rPr>
              <w:t>Réversibilité</w:t>
            </w:r>
          </w:p>
        </w:tc>
        <w:tc>
          <w:tcPr>
            <w:tcW w:w="1476" w:type="dxa"/>
            <w:shd w:val="clear" w:color="auto" w:fill="BFBFBF"/>
          </w:tcPr>
          <w:p w14:paraId="6E489975" w14:textId="77777777" w:rsidR="0099193A" w:rsidRPr="007F78CE" w:rsidRDefault="0099193A" w:rsidP="007F78CE">
            <w:pPr>
              <w:spacing w:after="0" w:line="240" w:lineRule="auto"/>
              <w:rPr>
                <w:rFonts w:ascii="Arial Narrow" w:hAnsi="Arial Narrow"/>
                <w:b/>
                <w:bCs/>
                <w:sz w:val="20"/>
                <w:szCs w:val="20"/>
              </w:rPr>
            </w:pPr>
            <w:r w:rsidRPr="007F78CE">
              <w:rPr>
                <w:rFonts w:ascii="Arial Narrow" w:hAnsi="Arial Narrow"/>
                <w:b/>
                <w:bCs/>
                <w:sz w:val="20"/>
                <w:szCs w:val="20"/>
              </w:rPr>
              <w:t>Importance</w:t>
            </w:r>
          </w:p>
        </w:tc>
        <w:tc>
          <w:tcPr>
            <w:tcW w:w="1385" w:type="dxa"/>
            <w:shd w:val="clear" w:color="auto" w:fill="auto"/>
          </w:tcPr>
          <w:p w14:paraId="72341B9B" w14:textId="77777777" w:rsidR="0099193A" w:rsidRPr="007F78CE" w:rsidRDefault="0099193A" w:rsidP="007F78CE">
            <w:pPr>
              <w:spacing w:after="0" w:line="240" w:lineRule="auto"/>
              <w:rPr>
                <w:rFonts w:ascii="Arial Narrow" w:hAnsi="Arial Narrow"/>
                <w:b/>
                <w:bCs/>
                <w:sz w:val="20"/>
                <w:szCs w:val="20"/>
              </w:rPr>
            </w:pPr>
            <w:r>
              <w:rPr>
                <w:rFonts w:ascii="Arial Narrow" w:hAnsi="Arial Narrow"/>
                <w:b/>
                <w:bCs/>
                <w:sz w:val="20"/>
                <w:szCs w:val="20"/>
              </w:rPr>
              <w:t>Probabilité</w:t>
            </w:r>
          </w:p>
        </w:tc>
        <w:tc>
          <w:tcPr>
            <w:tcW w:w="1385" w:type="dxa"/>
            <w:shd w:val="clear" w:color="auto" w:fill="auto"/>
          </w:tcPr>
          <w:p w14:paraId="5413FE1F" w14:textId="77777777" w:rsidR="0099193A" w:rsidRPr="007F78CE" w:rsidRDefault="0099193A" w:rsidP="007F78CE">
            <w:pPr>
              <w:spacing w:after="0" w:line="240" w:lineRule="auto"/>
              <w:rPr>
                <w:rFonts w:ascii="Arial Narrow" w:hAnsi="Arial Narrow"/>
                <w:b/>
                <w:bCs/>
                <w:sz w:val="20"/>
                <w:szCs w:val="20"/>
              </w:rPr>
            </w:pPr>
            <w:r>
              <w:rPr>
                <w:rFonts w:ascii="Arial Narrow" w:hAnsi="Arial Narrow"/>
                <w:b/>
                <w:bCs/>
                <w:sz w:val="20"/>
                <w:szCs w:val="20"/>
              </w:rPr>
              <w:t xml:space="preserve">Risque </w:t>
            </w:r>
          </w:p>
        </w:tc>
      </w:tr>
      <w:tr w:rsidR="00345918" w:rsidRPr="007F78CE" w14:paraId="5F230046" w14:textId="77777777" w:rsidTr="00FB04F6">
        <w:trPr>
          <w:jc w:val="center"/>
        </w:trPr>
        <w:tc>
          <w:tcPr>
            <w:tcW w:w="1221" w:type="dxa"/>
            <w:shd w:val="clear" w:color="auto" w:fill="auto"/>
          </w:tcPr>
          <w:p w14:paraId="5286BC38" w14:textId="77777777" w:rsidR="0099193A" w:rsidRPr="007F78CE" w:rsidRDefault="0099193A" w:rsidP="007F78CE">
            <w:pPr>
              <w:spacing w:after="0" w:line="240" w:lineRule="auto"/>
              <w:contextualSpacing/>
              <w:jc w:val="center"/>
              <w:rPr>
                <w:rFonts w:ascii="Arial Narrow" w:hAnsi="Arial Narrow" w:cs="Arial"/>
                <w:bCs/>
                <w:sz w:val="20"/>
                <w:szCs w:val="20"/>
              </w:rPr>
            </w:pPr>
            <w:r w:rsidRPr="007F78CE">
              <w:rPr>
                <w:rFonts w:ascii="Arial Narrow" w:hAnsi="Arial Narrow" w:cs="Arial"/>
                <w:sz w:val="20"/>
                <w:szCs w:val="20"/>
              </w:rPr>
              <w:t>Forte</w:t>
            </w:r>
          </w:p>
          <w:p w14:paraId="15EF8E3B" w14:textId="77777777" w:rsidR="0099193A" w:rsidRPr="007F78CE" w:rsidRDefault="0099193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(3)</w:t>
            </w:r>
          </w:p>
        </w:tc>
        <w:tc>
          <w:tcPr>
            <w:tcW w:w="1208" w:type="dxa"/>
            <w:shd w:val="clear" w:color="auto" w:fill="auto"/>
          </w:tcPr>
          <w:p w14:paraId="223037C4" w14:textId="77777777" w:rsidR="0099193A" w:rsidRPr="007F78CE" w:rsidRDefault="0099193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Ponctuelle</w:t>
            </w:r>
          </w:p>
          <w:p w14:paraId="2ED814E0" w14:textId="77777777" w:rsidR="0099193A" w:rsidRPr="007F78CE" w:rsidRDefault="0099193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125" w:type="dxa"/>
            <w:shd w:val="clear" w:color="auto" w:fill="auto"/>
          </w:tcPr>
          <w:p w14:paraId="32A59178" w14:textId="77777777" w:rsidR="0099193A" w:rsidRPr="007F78CE" w:rsidRDefault="0099193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Courte</w:t>
            </w:r>
          </w:p>
          <w:p w14:paraId="14CA75FF" w14:textId="77777777" w:rsidR="0099193A" w:rsidRPr="007F78CE" w:rsidRDefault="0099193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488" w:type="dxa"/>
            <w:shd w:val="clear" w:color="auto" w:fill="auto"/>
          </w:tcPr>
          <w:p w14:paraId="361D8377" w14:textId="77777777" w:rsidR="0099193A" w:rsidRPr="007F78CE" w:rsidRDefault="0099193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Réversible</w:t>
            </w:r>
          </w:p>
          <w:p w14:paraId="25493F2E" w14:textId="77777777" w:rsidR="0099193A" w:rsidRPr="007F78CE" w:rsidRDefault="0099193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(1)</w:t>
            </w:r>
          </w:p>
        </w:tc>
        <w:tc>
          <w:tcPr>
            <w:tcW w:w="1476" w:type="dxa"/>
            <w:shd w:val="clear" w:color="auto" w:fill="FFFF00"/>
          </w:tcPr>
          <w:p w14:paraId="06097E1D" w14:textId="77777777" w:rsidR="0099193A" w:rsidRPr="007F78CE" w:rsidRDefault="0099193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Moyenne</w:t>
            </w:r>
          </w:p>
          <w:p w14:paraId="3537CD11" w14:textId="77777777" w:rsidR="0099193A" w:rsidRPr="007F78CE" w:rsidRDefault="0099193A" w:rsidP="007F78CE">
            <w:pPr>
              <w:spacing w:after="0" w:line="240" w:lineRule="auto"/>
              <w:contextualSpacing/>
              <w:jc w:val="center"/>
              <w:rPr>
                <w:rFonts w:ascii="Arial Narrow" w:hAnsi="Arial Narrow" w:cs="Arial"/>
                <w:sz w:val="20"/>
                <w:szCs w:val="20"/>
              </w:rPr>
            </w:pPr>
            <w:r w:rsidRPr="007F78CE">
              <w:rPr>
                <w:rFonts w:ascii="Arial Narrow" w:hAnsi="Arial Narrow" w:cs="Arial"/>
                <w:sz w:val="20"/>
                <w:szCs w:val="20"/>
              </w:rPr>
              <w:t>(6)</w:t>
            </w:r>
          </w:p>
        </w:tc>
        <w:tc>
          <w:tcPr>
            <w:tcW w:w="1385" w:type="dxa"/>
            <w:shd w:val="clear" w:color="auto" w:fill="auto"/>
          </w:tcPr>
          <w:p w14:paraId="38C2D74C" w14:textId="77777777" w:rsidR="0099193A" w:rsidRPr="007F78CE" w:rsidRDefault="0099193A"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c>
          <w:tcPr>
            <w:tcW w:w="1385" w:type="dxa"/>
            <w:shd w:val="clear" w:color="auto" w:fill="BFBFBF"/>
          </w:tcPr>
          <w:p w14:paraId="25CA5B73" w14:textId="77777777" w:rsidR="0099193A" w:rsidRPr="007F78CE" w:rsidRDefault="0099193A" w:rsidP="007F78CE">
            <w:pPr>
              <w:spacing w:after="0" w:line="240" w:lineRule="auto"/>
              <w:contextualSpacing/>
              <w:jc w:val="center"/>
              <w:rPr>
                <w:rFonts w:ascii="Arial Narrow" w:hAnsi="Arial Narrow" w:cs="Arial"/>
                <w:sz w:val="20"/>
                <w:szCs w:val="20"/>
              </w:rPr>
            </w:pPr>
            <w:r>
              <w:rPr>
                <w:rFonts w:ascii="Arial Narrow" w:hAnsi="Arial Narrow" w:cs="Arial"/>
                <w:sz w:val="20"/>
                <w:szCs w:val="20"/>
              </w:rPr>
              <w:t xml:space="preserve">Faible  </w:t>
            </w:r>
          </w:p>
        </w:tc>
      </w:tr>
    </w:tbl>
    <w:p w14:paraId="5CCE71CB" w14:textId="77777777" w:rsidR="00EC1EA0" w:rsidRDefault="00EC1EA0" w:rsidP="00F91FA3">
      <w:bookmarkStart w:id="1088" w:name="_Toc98192353"/>
      <w:bookmarkStart w:id="1089" w:name="_Toc95029802"/>
      <w:bookmarkStart w:id="1090" w:name="_Toc100755462"/>
    </w:p>
    <w:p w14:paraId="76F055F4" w14:textId="77777777" w:rsidR="0090044A" w:rsidRPr="007F78CE" w:rsidRDefault="0090044A" w:rsidP="0044500E">
      <w:pPr>
        <w:pStyle w:val="TIT2"/>
        <w:numPr>
          <w:ilvl w:val="1"/>
          <w:numId w:val="177"/>
        </w:numPr>
      </w:pPr>
      <w:bookmarkStart w:id="1091" w:name="_Toc124314748"/>
      <w:bookmarkStart w:id="1092" w:name="_Toc124956249"/>
      <w:bookmarkStart w:id="1093" w:name="_Toc125384625"/>
      <w:bookmarkStart w:id="1094" w:name="_Toc125385014"/>
      <w:bookmarkStart w:id="1095" w:name="_Toc127957687"/>
      <w:r w:rsidRPr="007F78CE">
        <w:t>Récapitulatif des impacts négatifs spécifique</w:t>
      </w:r>
      <w:bookmarkEnd w:id="1088"/>
      <w:bookmarkEnd w:id="1089"/>
      <w:r w:rsidRPr="007F78CE">
        <w:t>s par phase de travaux</w:t>
      </w:r>
      <w:bookmarkEnd w:id="1090"/>
      <w:bookmarkEnd w:id="1091"/>
      <w:bookmarkEnd w:id="1092"/>
      <w:bookmarkEnd w:id="1093"/>
      <w:bookmarkEnd w:id="1094"/>
      <w:bookmarkEnd w:id="1095"/>
    </w:p>
    <w:p w14:paraId="7D1E7057" w14:textId="77777777" w:rsidR="0090044A" w:rsidRDefault="0090044A" w:rsidP="00A31C26">
      <w:pPr>
        <w:spacing w:line="240" w:lineRule="auto"/>
        <w:jc w:val="both"/>
        <w:rPr>
          <w:rFonts w:ascii="Arial" w:hAnsi="Arial" w:cs="Arial"/>
        </w:rPr>
      </w:pPr>
      <w:r w:rsidRPr="00A31C26">
        <w:rPr>
          <w:rFonts w:ascii="Arial" w:hAnsi="Arial" w:cs="Arial"/>
        </w:rPr>
        <w:t xml:space="preserve">Le tableau qui suit récapitule les impacts négatifs spécifiques identifiés pour chaque sous projet. </w:t>
      </w:r>
    </w:p>
    <w:p w14:paraId="13C8BFCE" w14:textId="77777777" w:rsidR="001C18A4" w:rsidRPr="00A31C26" w:rsidRDefault="001C18A4" w:rsidP="00A31C26">
      <w:pPr>
        <w:spacing w:line="240" w:lineRule="auto"/>
        <w:jc w:val="both"/>
        <w:rPr>
          <w:rFonts w:ascii="Arial" w:hAnsi="Arial" w:cs="Arial"/>
        </w:rPr>
      </w:pPr>
    </w:p>
    <w:p w14:paraId="1773019A" w14:textId="77777777" w:rsidR="001C18A4" w:rsidRDefault="001C18A4" w:rsidP="002E58DC">
      <w:pPr>
        <w:pStyle w:val="Lgende"/>
        <w:spacing w:before="120"/>
        <w:jc w:val="center"/>
        <w:rPr>
          <w:sz w:val="20"/>
        </w:rPr>
        <w:sectPr w:rsidR="001C18A4">
          <w:headerReference w:type="default" r:id="rId57"/>
          <w:pgSz w:w="11906" w:h="16838"/>
          <w:pgMar w:top="1417" w:right="1417" w:bottom="1417" w:left="1417" w:header="708" w:footer="0" w:gutter="0"/>
          <w:cols w:space="720"/>
          <w:formProt w:val="0"/>
          <w:docGrid w:linePitch="360" w:charSpace="4096"/>
        </w:sectPr>
      </w:pPr>
      <w:bookmarkStart w:id="1096" w:name="_Toc95039063"/>
      <w:bookmarkStart w:id="1097" w:name="_Toc100753959"/>
    </w:p>
    <w:p w14:paraId="32113A87" w14:textId="77777777" w:rsidR="0090044A" w:rsidRPr="002E58DC" w:rsidRDefault="0090044A" w:rsidP="002E58DC">
      <w:pPr>
        <w:pStyle w:val="Lgende"/>
        <w:spacing w:before="120"/>
        <w:jc w:val="center"/>
        <w:rPr>
          <w:sz w:val="20"/>
        </w:rPr>
      </w:pPr>
      <w:bookmarkStart w:id="1098" w:name="_Toc127957872"/>
      <w:r w:rsidRPr="002E58DC">
        <w:rPr>
          <w:sz w:val="20"/>
        </w:rPr>
        <w:t xml:space="preserve">Tableau </w:t>
      </w:r>
      <w:r w:rsidRPr="002E58DC">
        <w:rPr>
          <w:sz w:val="20"/>
        </w:rPr>
        <w:fldChar w:fldCharType="begin"/>
      </w:r>
      <w:r w:rsidRPr="002E58DC">
        <w:rPr>
          <w:sz w:val="20"/>
        </w:rPr>
        <w:instrText>SEQ Tableau \* ARABIC</w:instrText>
      </w:r>
      <w:r w:rsidRPr="002E58DC">
        <w:rPr>
          <w:sz w:val="20"/>
        </w:rPr>
        <w:fldChar w:fldCharType="separate"/>
      </w:r>
      <w:r w:rsidR="005430A1">
        <w:rPr>
          <w:noProof/>
          <w:sz w:val="20"/>
        </w:rPr>
        <w:t>76</w:t>
      </w:r>
      <w:r w:rsidRPr="002E58DC">
        <w:rPr>
          <w:sz w:val="20"/>
        </w:rPr>
        <w:fldChar w:fldCharType="end"/>
      </w:r>
      <w:r w:rsidRPr="002E58DC">
        <w:rPr>
          <w:sz w:val="20"/>
        </w:rPr>
        <w:t xml:space="preserve">. Synthèse des impacts négatifs spécifiques types par </w:t>
      </w:r>
      <w:bookmarkEnd w:id="1096"/>
      <w:r w:rsidRPr="002E58DC">
        <w:rPr>
          <w:sz w:val="20"/>
        </w:rPr>
        <w:t>phase</w:t>
      </w:r>
      <w:bookmarkEnd w:id="1097"/>
      <w:bookmarkEnd w:id="1098"/>
    </w:p>
    <w:tbl>
      <w:tblPr>
        <w:tblW w:w="5000" w:type="pct"/>
        <w:tblCellMar>
          <w:left w:w="70" w:type="dxa"/>
          <w:right w:w="70" w:type="dxa"/>
        </w:tblCellMar>
        <w:tblLook w:val="04A0" w:firstRow="1" w:lastRow="0" w:firstColumn="1" w:lastColumn="0" w:noHBand="0" w:noVBand="1"/>
      </w:tblPr>
      <w:tblGrid>
        <w:gridCol w:w="1463"/>
        <w:gridCol w:w="1464"/>
        <w:gridCol w:w="4505"/>
        <w:gridCol w:w="1659"/>
        <w:gridCol w:w="1461"/>
        <w:gridCol w:w="1976"/>
        <w:gridCol w:w="1464"/>
      </w:tblGrid>
      <w:tr w:rsidR="00570262" w:rsidRPr="00570262" w14:paraId="69391663" w14:textId="77777777" w:rsidTr="00B434A6">
        <w:trPr>
          <w:trHeight w:val="300"/>
          <w:tblHeader/>
        </w:trPr>
        <w:tc>
          <w:tcPr>
            <w:tcW w:w="523" w:type="pct"/>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59FF0EC1" w14:textId="77777777" w:rsidR="00570262" w:rsidRPr="00570262" w:rsidRDefault="00570262" w:rsidP="00570262">
            <w:pPr>
              <w:spacing w:after="0" w:line="240" w:lineRule="auto"/>
              <w:jc w:val="center"/>
              <w:rPr>
                <w:rFonts w:ascii="Arial" w:eastAsia="Times New Roman" w:hAnsi="Arial" w:cs="Arial"/>
                <w:b/>
                <w:bCs/>
                <w:color w:val="000000"/>
                <w:sz w:val="18"/>
                <w:szCs w:val="18"/>
                <w:lang w:eastAsia="fr-FR"/>
              </w:rPr>
            </w:pPr>
            <w:r w:rsidRPr="00570262">
              <w:rPr>
                <w:rFonts w:ascii="Arial" w:eastAsia="Times New Roman" w:hAnsi="Arial" w:cs="Arial"/>
                <w:b/>
                <w:bCs/>
                <w:color w:val="000000"/>
                <w:sz w:val="18"/>
                <w:szCs w:val="18"/>
                <w:lang w:eastAsia="fr-FR"/>
              </w:rPr>
              <w:t>Milieu</w:t>
            </w:r>
          </w:p>
        </w:tc>
        <w:tc>
          <w:tcPr>
            <w:tcW w:w="523" w:type="pct"/>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28E5E76B" w14:textId="77777777" w:rsidR="00570262" w:rsidRPr="00570262" w:rsidRDefault="00570262" w:rsidP="00570262">
            <w:pPr>
              <w:spacing w:after="0" w:line="240" w:lineRule="auto"/>
              <w:jc w:val="center"/>
              <w:rPr>
                <w:rFonts w:ascii="Arial" w:eastAsia="Times New Roman" w:hAnsi="Arial" w:cs="Arial"/>
                <w:b/>
                <w:bCs/>
                <w:color w:val="000000"/>
                <w:sz w:val="18"/>
                <w:szCs w:val="18"/>
                <w:lang w:eastAsia="fr-FR"/>
              </w:rPr>
            </w:pPr>
            <w:r w:rsidRPr="00570262">
              <w:rPr>
                <w:rFonts w:ascii="Arial" w:eastAsia="Times New Roman" w:hAnsi="Arial" w:cs="Arial"/>
                <w:b/>
                <w:bCs/>
                <w:color w:val="000000"/>
                <w:sz w:val="18"/>
                <w:szCs w:val="18"/>
                <w:lang w:eastAsia="fr-FR"/>
              </w:rPr>
              <w:t>Sous composante</w:t>
            </w:r>
          </w:p>
        </w:tc>
        <w:tc>
          <w:tcPr>
            <w:tcW w:w="1610" w:type="pct"/>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16EBBD87" w14:textId="77777777" w:rsidR="00570262" w:rsidRPr="00570262" w:rsidRDefault="00570262" w:rsidP="00570262">
            <w:pPr>
              <w:spacing w:after="0" w:line="240" w:lineRule="auto"/>
              <w:jc w:val="center"/>
              <w:rPr>
                <w:rFonts w:ascii="Arial" w:eastAsia="Times New Roman" w:hAnsi="Arial" w:cs="Arial"/>
                <w:b/>
                <w:bCs/>
                <w:color w:val="000000"/>
                <w:sz w:val="18"/>
                <w:szCs w:val="18"/>
                <w:lang w:eastAsia="fr-FR"/>
              </w:rPr>
            </w:pPr>
            <w:r w:rsidRPr="00570262">
              <w:rPr>
                <w:rFonts w:ascii="Arial" w:eastAsia="Times New Roman" w:hAnsi="Arial" w:cs="Arial"/>
                <w:b/>
                <w:bCs/>
                <w:color w:val="000000"/>
                <w:sz w:val="18"/>
                <w:szCs w:val="18"/>
                <w:lang w:eastAsia="fr-FR"/>
              </w:rPr>
              <w:t>Impacts potentiels</w:t>
            </w:r>
          </w:p>
        </w:tc>
        <w:tc>
          <w:tcPr>
            <w:tcW w:w="2344" w:type="pct"/>
            <w:gridSpan w:val="4"/>
            <w:tcBorders>
              <w:top w:val="single" w:sz="4" w:space="0" w:color="auto"/>
              <w:left w:val="nil"/>
              <w:bottom w:val="single" w:sz="4" w:space="0" w:color="auto"/>
              <w:right w:val="single" w:sz="4" w:space="0" w:color="auto"/>
            </w:tcBorders>
            <w:shd w:val="clear" w:color="000000" w:fill="BDD7EE"/>
            <w:vAlign w:val="center"/>
            <w:hideMark/>
          </w:tcPr>
          <w:p w14:paraId="6CD2ACB9" w14:textId="77777777" w:rsidR="00570262" w:rsidRPr="00570262" w:rsidRDefault="00570262" w:rsidP="00570262">
            <w:pPr>
              <w:spacing w:after="0" w:line="240" w:lineRule="auto"/>
              <w:jc w:val="center"/>
              <w:rPr>
                <w:rFonts w:ascii="Arial" w:eastAsia="Times New Roman" w:hAnsi="Arial" w:cs="Arial"/>
                <w:b/>
                <w:bCs/>
                <w:color w:val="000000"/>
                <w:sz w:val="18"/>
                <w:szCs w:val="18"/>
                <w:lang w:eastAsia="fr-FR"/>
              </w:rPr>
            </w:pPr>
            <w:r w:rsidRPr="00570262">
              <w:rPr>
                <w:rFonts w:ascii="Arial" w:eastAsia="Times New Roman" w:hAnsi="Arial" w:cs="Arial"/>
                <w:b/>
                <w:bCs/>
                <w:color w:val="000000"/>
                <w:sz w:val="18"/>
                <w:szCs w:val="18"/>
                <w:lang w:eastAsia="fr-FR"/>
              </w:rPr>
              <w:t>Importance de l'impact</w:t>
            </w:r>
          </w:p>
        </w:tc>
      </w:tr>
      <w:tr w:rsidR="00570262" w:rsidRPr="00570262" w14:paraId="0D6B0016" w14:textId="77777777" w:rsidTr="00B434A6">
        <w:trPr>
          <w:trHeight w:val="480"/>
          <w:tblHeader/>
        </w:trPr>
        <w:tc>
          <w:tcPr>
            <w:tcW w:w="523" w:type="pct"/>
            <w:vMerge/>
            <w:tcBorders>
              <w:top w:val="single" w:sz="4" w:space="0" w:color="auto"/>
              <w:left w:val="single" w:sz="4" w:space="0" w:color="auto"/>
              <w:bottom w:val="single" w:sz="4" w:space="0" w:color="auto"/>
              <w:right w:val="single" w:sz="4" w:space="0" w:color="auto"/>
            </w:tcBorders>
            <w:vAlign w:val="center"/>
            <w:hideMark/>
          </w:tcPr>
          <w:p w14:paraId="4E1CC46F" w14:textId="77777777" w:rsidR="00570262" w:rsidRPr="00570262" w:rsidRDefault="00570262" w:rsidP="00570262">
            <w:pPr>
              <w:spacing w:after="0" w:line="240" w:lineRule="auto"/>
              <w:rPr>
                <w:rFonts w:ascii="Arial" w:eastAsia="Times New Roman" w:hAnsi="Arial" w:cs="Arial"/>
                <w:b/>
                <w:bCs/>
                <w:color w:val="000000"/>
                <w:sz w:val="18"/>
                <w:szCs w:val="18"/>
                <w:lang w:eastAsia="fr-FR"/>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14:paraId="40A8A274" w14:textId="77777777" w:rsidR="00570262" w:rsidRPr="00570262" w:rsidRDefault="00570262" w:rsidP="00570262">
            <w:pPr>
              <w:spacing w:after="0" w:line="240" w:lineRule="auto"/>
              <w:rPr>
                <w:rFonts w:ascii="Arial" w:eastAsia="Times New Roman" w:hAnsi="Arial" w:cs="Arial"/>
                <w:b/>
                <w:bCs/>
                <w:color w:val="000000"/>
                <w:sz w:val="18"/>
                <w:szCs w:val="18"/>
                <w:lang w:eastAsia="fr-FR"/>
              </w:rPr>
            </w:pPr>
          </w:p>
        </w:tc>
        <w:tc>
          <w:tcPr>
            <w:tcW w:w="1610" w:type="pct"/>
            <w:vMerge/>
            <w:tcBorders>
              <w:top w:val="single" w:sz="4" w:space="0" w:color="auto"/>
              <w:left w:val="single" w:sz="4" w:space="0" w:color="auto"/>
              <w:bottom w:val="single" w:sz="4" w:space="0" w:color="auto"/>
              <w:right w:val="single" w:sz="4" w:space="0" w:color="auto"/>
            </w:tcBorders>
            <w:vAlign w:val="center"/>
            <w:hideMark/>
          </w:tcPr>
          <w:p w14:paraId="206D0499" w14:textId="77777777" w:rsidR="00570262" w:rsidRPr="00570262" w:rsidRDefault="00570262" w:rsidP="00570262">
            <w:pPr>
              <w:spacing w:after="0" w:line="240" w:lineRule="auto"/>
              <w:rPr>
                <w:rFonts w:ascii="Arial" w:eastAsia="Times New Roman" w:hAnsi="Arial" w:cs="Arial"/>
                <w:b/>
                <w:bCs/>
                <w:color w:val="000000"/>
                <w:sz w:val="18"/>
                <w:szCs w:val="18"/>
                <w:lang w:eastAsia="fr-FR"/>
              </w:rPr>
            </w:pPr>
          </w:p>
        </w:tc>
        <w:tc>
          <w:tcPr>
            <w:tcW w:w="593" w:type="pct"/>
            <w:tcBorders>
              <w:top w:val="nil"/>
              <w:left w:val="nil"/>
              <w:bottom w:val="single" w:sz="4" w:space="0" w:color="auto"/>
              <w:right w:val="single" w:sz="4" w:space="0" w:color="auto"/>
            </w:tcBorders>
            <w:shd w:val="clear" w:color="000000" w:fill="BDD7EE"/>
            <w:vAlign w:val="center"/>
            <w:hideMark/>
          </w:tcPr>
          <w:p w14:paraId="11562DDD" w14:textId="77777777" w:rsidR="00570262" w:rsidRPr="00570262" w:rsidRDefault="00570262" w:rsidP="00570262">
            <w:pPr>
              <w:spacing w:after="0" w:line="240" w:lineRule="auto"/>
              <w:jc w:val="center"/>
              <w:rPr>
                <w:rFonts w:ascii="Arial" w:eastAsia="Times New Roman" w:hAnsi="Arial" w:cs="Arial"/>
                <w:b/>
                <w:bCs/>
                <w:color w:val="000000"/>
                <w:sz w:val="18"/>
                <w:szCs w:val="18"/>
                <w:lang w:eastAsia="fr-FR"/>
              </w:rPr>
            </w:pPr>
            <w:r w:rsidRPr="00570262">
              <w:rPr>
                <w:rFonts w:ascii="Arial" w:eastAsia="Times New Roman" w:hAnsi="Arial" w:cs="Arial"/>
                <w:b/>
                <w:bCs/>
                <w:color w:val="000000"/>
                <w:sz w:val="18"/>
                <w:szCs w:val="18"/>
                <w:lang w:eastAsia="fr-FR"/>
              </w:rPr>
              <w:t>Infrastructure numérique</w:t>
            </w:r>
          </w:p>
        </w:tc>
        <w:tc>
          <w:tcPr>
            <w:tcW w:w="522" w:type="pct"/>
            <w:tcBorders>
              <w:top w:val="nil"/>
              <w:left w:val="nil"/>
              <w:bottom w:val="single" w:sz="4" w:space="0" w:color="auto"/>
              <w:right w:val="single" w:sz="4" w:space="0" w:color="auto"/>
            </w:tcBorders>
            <w:shd w:val="clear" w:color="000000" w:fill="BDD7EE"/>
            <w:vAlign w:val="center"/>
            <w:hideMark/>
          </w:tcPr>
          <w:p w14:paraId="322A2751" w14:textId="77777777" w:rsidR="00570262" w:rsidRPr="00570262" w:rsidRDefault="008259C1" w:rsidP="00570262">
            <w:pPr>
              <w:spacing w:after="0" w:line="240" w:lineRule="auto"/>
              <w:jc w:val="center"/>
              <w:rPr>
                <w:rFonts w:ascii="Arial" w:eastAsia="Times New Roman" w:hAnsi="Arial" w:cs="Arial"/>
                <w:b/>
                <w:bCs/>
                <w:color w:val="000000"/>
                <w:sz w:val="18"/>
                <w:szCs w:val="18"/>
                <w:lang w:eastAsia="fr-FR"/>
              </w:rPr>
            </w:pPr>
            <w:r w:rsidRPr="00B434A6">
              <w:rPr>
                <w:rFonts w:ascii="Arial" w:eastAsia="Times New Roman" w:hAnsi="Arial" w:cs="Arial"/>
                <w:b/>
                <w:bCs/>
                <w:color w:val="000000"/>
                <w:sz w:val="18"/>
                <w:szCs w:val="18"/>
                <w:lang w:eastAsia="fr-FR"/>
              </w:rPr>
              <w:t>Centrale électrique solaire</w:t>
            </w:r>
          </w:p>
        </w:tc>
        <w:tc>
          <w:tcPr>
            <w:tcW w:w="706" w:type="pct"/>
            <w:tcBorders>
              <w:top w:val="nil"/>
              <w:left w:val="nil"/>
              <w:bottom w:val="single" w:sz="4" w:space="0" w:color="auto"/>
              <w:right w:val="single" w:sz="4" w:space="0" w:color="auto"/>
            </w:tcBorders>
            <w:shd w:val="clear" w:color="000000" w:fill="BDD7EE"/>
            <w:vAlign w:val="center"/>
            <w:hideMark/>
          </w:tcPr>
          <w:p w14:paraId="16331277" w14:textId="77777777" w:rsidR="00570262" w:rsidRPr="00570262" w:rsidRDefault="00570262" w:rsidP="00570262">
            <w:pPr>
              <w:spacing w:after="0" w:line="240" w:lineRule="auto"/>
              <w:jc w:val="center"/>
              <w:rPr>
                <w:rFonts w:ascii="Arial" w:eastAsia="Times New Roman" w:hAnsi="Arial" w:cs="Arial"/>
                <w:b/>
                <w:bCs/>
                <w:color w:val="000000"/>
                <w:sz w:val="18"/>
                <w:szCs w:val="18"/>
                <w:lang w:eastAsia="fr-FR"/>
              </w:rPr>
            </w:pPr>
            <w:r w:rsidRPr="00570262">
              <w:rPr>
                <w:rFonts w:ascii="Arial" w:eastAsia="Times New Roman" w:hAnsi="Arial" w:cs="Arial"/>
                <w:b/>
                <w:bCs/>
                <w:color w:val="000000"/>
                <w:sz w:val="18"/>
                <w:szCs w:val="18"/>
                <w:lang w:eastAsia="fr-FR"/>
              </w:rPr>
              <w:t>Barrage hydroélectrique</w:t>
            </w:r>
          </w:p>
        </w:tc>
        <w:tc>
          <w:tcPr>
            <w:tcW w:w="523" w:type="pct"/>
            <w:tcBorders>
              <w:top w:val="nil"/>
              <w:left w:val="nil"/>
              <w:bottom w:val="single" w:sz="4" w:space="0" w:color="auto"/>
              <w:right w:val="single" w:sz="4" w:space="0" w:color="auto"/>
            </w:tcBorders>
            <w:shd w:val="clear" w:color="000000" w:fill="BDD7EE"/>
            <w:vAlign w:val="center"/>
            <w:hideMark/>
          </w:tcPr>
          <w:p w14:paraId="40581002" w14:textId="77777777" w:rsidR="00570262" w:rsidRPr="00570262" w:rsidRDefault="00570262" w:rsidP="00570262">
            <w:pPr>
              <w:spacing w:after="0" w:line="240" w:lineRule="auto"/>
              <w:jc w:val="center"/>
              <w:rPr>
                <w:rFonts w:ascii="Arial" w:eastAsia="Times New Roman" w:hAnsi="Arial" w:cs="Arial"/>
                <w:b/>
                <w:bCs/>
                <w:color w:val="000000"/>
                <w:sz w:val="18"/>
                <w:szCs w:val="18"/>
                <w:lang w:eastAsia="fr-FR"/>
              </w:rPr>
            </w:pPr>
            <w:r w:rsidRPr="00570262">
              <w:rPr>
                <w:rFonts w:ascii="Arial" w:eastAsia="Times New Roman" w:hAnsi="Arial" w:cs="Arial"/>
                <w:b/>
                <w:bCs/>
                <w:color w:val="000000"/>
                <w:sz w:val="18"/>
                <w:szCs w:val="18"/>
                <w:lang w:eastAsia="fr-FR"/>
              </w:rPr>
              <w:t>Réseaux électriques</w:t>
            </w:r>
          </w:p>
        </w:tc>
      </w:tr>
      <w:tr w:rsidR="00570262" w:rsidRPr="00570262" w14:paraId="56F6B9D6" w14:textId="77777777" w:rsidTr="00B434A6">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000000" w:fill="00B0F0"/>
            <w:vAlign w:val="center"/>
            <w:hideMark/>
          </w:tcPr>
          <w:p w14:paraId="5CEEF9EC" w14:textId="77777777" w:rsidR="00570262" w:rsidRPr="00570262" w:rsidRDefault="00570262" w:rsidP="00570262">
            <w:pPr>
              <w:spacing w:after="0" w:line="240" w:lineRule="auto"/>
              <w:jc w:val="center"/>
              <w:rPr>
                <w:rFonts w:ascii="Arial" w:eastAsia="Times New Roman" w:hAnsi="Arial" w:cs="Arial"/>
                <w:b/>
                <w:bCs/>
                <w:color w:val="000000"/>
                <w:sz w:val="18"/>
                <w:szCs w:val="18"/>
                <w:lang w:eastAsia="fr-FR"/>
              </w:rPr>
            </w:pPr>
            <w:r w:rsidRPr="00570262">
              <w:rPr>
                <w:rFonts w:ascii="Arial" w:eastAsia="Times New Roman" w:hAnsi="Arial" w:cs="Arial"/>
                <w:b/>
                <w:bCs/>
                <w:color w:val="000000"/>
                <w:sz w:val="18"/>
                <w:szCs w:val="18"/>
                <w:lang w:eastAsia="fr-FR"/>
              </w:rPr>
              <w:t>Phase de construction </w:t>
            </w:r>
          </w:p>
        </w:tc>
      </w:tr>
      <w:tr w:rsidR="00570262" w:rsidRPr="00570262" w14:paraId="651F372A" w14:textId="77777777" w:rsidTr="00570262">
        <w:trPr>
          <w:trHeight w:val="1200"/>
        </w:trPr>
        <w:tc>
          <w:tcPr>
            <w:tcW w:w="523" w:type="pct"/>
            <w:vMerge w:val="restart"/>
            <w:tcBorders>
              <w:top w:val="nil"/>
              <w:left w:val="single" w:sz="4" w:space="0" w:color="auto"/>
              <w:bottom w:val="single" w:sz="4" w:space="0" w:color="auto"/>
              <w:right w:val="single" w:sz="4" w:space="0" w:color="auto"/>
            </w:tcBorders>
            <w:shd w:val="clear" w:color="auto" w:fill="auto"/>
            <w:vAlign w:val="center"/>
            <w:hideMark/>
          </w:tcPr>
          <w:p w14:paraId="52441E2F"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Physique</w:t>
            </w:r>
          </w:p>
        </w:tc>
        <w:tc>
          <w:tcPr>
            <w:tcW w:w="523" w:type="pct"/>
            <w:tcBorders>
              <w:top w:val="nil"/>
              <w:left w:val="nil"/>
              <w:bottom w:val="single" w:sz="4" w:space="0" w:color="auto"/>
              <w:right w:val="single" w:sz="4" w:space="0" w:color="auto"/>
            </w:tcBorders>
            <w:shd w:val="clear" w:color="auto" w:fill="auto"/>
            <w:vAlign w:val="center"/>
            <w:hideMark/>
          </w:tcPr>
          <w:p w14:paraId="1A46C9F1"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Climat / Air</w:t>
            </w:r>
          </w:p>
        </w:tc>
        <w:tc>
          <w:tcPr>
            <w:tcW w:w="1610" w:type="pct"/>
            <w:tcBorders>
              <w:top w:val="nil"/>
              <w:left w:val="nil"/>
              <w:bottom w:val="single" w:sz="4" w:space="0" w:color="auto"/>
              <w:right w:val="single" w:sz="4" w:space="0" w:color="auto"/>
            </w:tcBorders>
            <w:shd w:val="clear" w:color="auto" w:fill="auto"/>
            <w:vAlign w:val="center"/>
            <w:hideMark/>
          </w:tcPr>
          <w:p w14:paraId="28BDE65D"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Altération de la qualité de l’air par le soulèvement de poussières dû aux passages des véhicules de chantier et émanations GES des véhicules de chantier</w:t>
            </w:r>
          </w:p>
        </w:tc>
        <w:tc>
          <w:tcPr>
            <w:tcW w:w="593" w:type="pct"/>
            <w:tcBorders>
              <w:top w:val="nil"/>
              <w:left w:val="nil"/>
              <w:bottom w:val="single" w:sz="4" w:space="0" w:color="auto"/>
              <w:right w:val="single" w:sz="4" w:space="0" w:color="auto"/>
            </w:tcBorders>
            <w:shd w:val="clear" w:color="000000" w:fill="00B050"/>
            <w:vAlign w:val="center"/>
            <w:hideMark/>
          </w:tcPr>
          <w:p w14:paraId="183B4006"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Mineure </w:t>
            </w:r>
          </w:p>
        </w:tc>
        <w:tc>
          <w:tcPr>
            <w:tcW w:w="522" w:type="pct"/>
            <w:tcBorders>
              <w:top w:val="nil"/>
              <w:left w:val="nil"/>
              <w:bottom w:val="single" w:sz="4" w:space="0" w:color="auto"/>
              <w:right w:val="single" w:sz="4" w:space="0" w:color="auto"/>
            </w:tcBorders>
            <w:shd w:val="clear" w:color="000000" w:fill="FFFF00"/>
            <w:vAlign w:val="center"/>
            <w:hideMark/>
          </w:tcPr>
          <w:p w14:paraId="3413EF89"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706" w:type="pct"/>
            <w:tcBorders>
              <w:top w:val="nil"/>
              <w:left w:val="nil"/>
              <w:bottom w:val="single" w:sz="4" w:space="0" w:color="auto"/>
              <w:right w:val="single" w:sz="4" w:space="0" w:color="auto"/>
            </w:tcBorders>
            <w:shd w:val="clear" w:color="000000" w:fill="FFFF00"/>
            <w:vAlign w:val="center"/>
            <w:hideMark/>
          </w:tcPr>
          <w:p w14:paraId="7BD92DF0"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523" w:type="pct"/>
            <w:tcBorders>
              <w:top w:val="nil"/>
              <w:left w:val="nil"/>
              <w:bottom w:val="single" w:sz="4" w:space="0" w:color="auto"/>
              <w:right w:val="single" w:sz="4" w:space="0" w:color="auto"/>
            </w:tcBorders>
            <w:shd w:val="clear" w:color="000000" w:fill="00B050"/>
            <w:vAlign w:val="center"/>
            <w:hideMark/>
          </w:tcPr>
          <w:p w14:paraId="55C441DA"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Mineure </w:t>
            </w:r>
          </w:p>
        </w:tc>
      </w:tr>
      <w:tr w:rsidR="00570262" w:rsidRPr="00570262" w14:paraId="563329FA" w14:textId="77777777" w:rsidTr="00570262">
        <w:trPr>
          <w:trHeight w:val="480"/>
        </w:trPr>
        <w:tc>
          <w:tcPr>
            <w:tcW w:w="523" w:type="pct"/>
            <w:vMerge/>
            <w:tcBorders>
              <w:top w:val="nil"/>
              <w:left w:val="single" w:sz="4" w:space="0" w:color="auto"/>
              <w:bottom w:val="single" w:sz="4" w:space="0" w:color="auto"/>
              <w:right w:val="single" w:sz="4" w:space="0" w:color="auto"/>
            </w:tcBorders>
            <w:vAlign w:val="center"/>
            <w:hideMark/>
          </w:tcPr>
          <w:p w14:paraId="79942078"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val="restart"/>
            <w:tcBorders>
              <w:top w:val="nil"/>
              <w:left w:val="single" w:sz="4" w:space="0" w:color="auto"/>
              <w:bottom w:val="single" w:sz="4" w:space="0" w:color="000000"/>
              <w:right w:val="single" w:sz="4" w:space="0" w:color="auto"/>
            </w:tcBorders>
            <w:shd w:val="clear" w:color="auto" w:fill="auto"/>
            <w:vAlign w:val="center"/>
            <w:hideMark/>
          </w:tcPr>
          <w:p w14:paraId="42AE901B"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Sol</w:t>
            </w:r>
          </w:p>
        </w:tc>
        <w:tc>
          <w:tcPr>
            <w:tcW w:w="1610" w:type="pct"/>
            <w:tcBorders>
              <w:top w:val="nil"/>
              <w:left w:val="nil"/>
              <w:bottom w:val="single" w:sz="4" w:space="0" w:color="auto"/>
              <w:right w:val="single" w:sz="4" w:space="0" w:color="auto"/>
            </w:tcBorders>
            <w:shd w:val="clear" w:color="auto" w:fill="auto"/>
            <w:vAlign w:val="center"/>
            <w:hideMark/>
          </w:tcPr>
          <w:p w14:paraId="3DDB4708"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Compaction du sol dû aux passages fréquents des véhicules de chantier</w:t>
            </w:r>
          </w:p>
        </w:tc>
        <w:tc>
          <w:tcPr>
            <w:tcW w:w="593" w:type="pct"/>
            <w:tcBorders>
              <w:top w:val="nil"/>
              <w:left w:val="nil"/>
              <w:bottom w:val="single" w:sz="4" w:space="0" w:color="auto"/>
              <w:right w:val="single" w:sz="4" w:space="0" w:color="auto"/>
            </w:tcBorders>
            <w:shd w:val="clear" w:color="000000" w:fill="00B050"/>
            <w:vAlign w:val="center"/>
            <w:hideMark/>
          </w:tcPr>
          <w:p w14:paraId="2040D4FA"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Mineure </w:t>
            </w:r>
          </w:p>
        </w:tc>
        <w:tc>
          <w:tcPr>
            <w:tcW w:w="522" w:type="pct"/>
            <w:tcBorders>
              <w:top w:val="nil"/>
              <w:left w:val="nil"/>
              <w:bottom w:val="single" w:sz="4" w:space="0" w:color="auto"/>
              <w:right w:val="single" w:sz="4" w:space="0" w:color="auto"/>
            </w:tcBorders>
            <w:shd w:val="clear" w:color="000000" w:fill="00B050"/>
            <w:vAlign w:val="center"/>
            <w:hideMark/>
          </w:tcPr>
          <w:p w14:paraId="723730D7"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Mineure </w:t>
            </w:r>
          </w:p>
        </w:tc>
        <w:tc>
          <w:tcPr>
            <w:tcW w:w="706" w:type="pct"/>
            <w:tcBorders>
              <w:top w:val="nil"/>
              <w:left w:val="nil"/>
              <w:bottom w:val="single" w:sz="4" w:space="0" w:color="auto"/>
              <w:right w:val="single" w:sz="4" w:space="0" w:color="auto"/>
            </w:tcBorders>
            <w:shd w:val="clear" w:color="000000" w:fill="00B050"/>
            <w:vAlign w:val="center"/>
            <w:hideMark/>
          </w:tcPr>
          <w:p w14:paraId="4A59A6E2"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Mineure </w:t>
            </w:r>
          </w:p>
        </w:tc>
        <w:tc>
          <w:tcPr>
            <w:tcW w:w="523" w:type="pct"/>
            <w:tcBorders>
              <w:top w:val="nil"/>
              <w:left w:val="nil"/>
              <w:bottom w:val="single" w:sz="4" w:space="0" w:color="auto"/>
              <w:right w:val="single" w:sz="4" w:space="0" w:color="auto"/>
            </w:tcBorders>
            <w:shd w:val="clear" w:color="000000" w:fill="00B050"/>
            <w:vAlign w:val="center"/>
            <w:hideMark/>
          </w:tcPr>
          <w:p w14:paraId="6C6412D3"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Mineure </w:t>
            </w:r>
          </w:p>
        </w:tc>
      </w:tr>
      <w:tr w:rsidR="00570262" w:rsidRPr="00570262" w14:paraId="03348D6D" w14:textId="77777777" w:rsidTr="00570262">
        <w:trPr>
          <w:trHeight w:val="480"/>
        </w:trPr>
        <w:tc>
          <w:tcPr>
            <w:tcW w:w="523" w:type="pct"/>
            <w:vMerge/>
            <w:tcBorders>
              <w:top w:val="nil"/>
              <w:left w:val="single" w:sz="4" w:space="0" w:color="auto"/>
              <w:bottom w:val="single" w:sz="4" w:space="0" w:color="auto"/>
              <w:right w:val="single" w:sz="4" w:space="0" w:color="auto"/>
            </w:tcBorders>
            <w:vAlign w:val="center"/>
            <w:hideMark/>
          </w:tcPr>
          <w:p w14:paraId="03DE4972"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tcBorders>
              <w:top w:val="nil"/>
              <w:left w:val="single" w:sz="4" w:space="0" w:color="auto"/>
              <w:bottom w:val="single" w:sz="4" w:space="0" w:color="000000"/>
              <w:right w:val="single" w:sz="4" w:space="0" w:color="auto"/>
            </w:tcBorders>
            <w:vAlign w:val="center"/>
            <w:hideMark/>
          </w:tcPr>
          <w:p w14:paraId="01B443EE"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1610" w:type="pct"/>
            <w:tcBorders>
              <w:top w:val="nil"/>
              <w:left w:val="nil"/>
              <w:bottom w:val="single" w:sz="4" w:space="0" w:color="auto"/>
              <w:right w:val="single" w:sz="4" w:space="0" w:color="auto"/>
            </w:tcBorders>
            <w:shd w:val="clear" w:color="auto" w:fill="auto"/>
            <w:vAlign w:val="center"/>
            <w:hideMark/>
          </w:tcPr>
          <w:p w14:paraId="7B9EA6B2" w14:textId="77777777" w:rsidR="00570262" w:rsidRPr="00570262" w:rsidRDefault="00570262" w:rsidP="00570262">
            <w:pPr>
              <w:spacing w:after="0" w:line="240" w:lineRule="auto"/>
              <w:rPr>
                <w:rFonts w:ascii="Arial" w:eastAsia="Times New Roman" w:hAnsi="Arial" w:cs="Arial"/>
                <w:color w:val="FF0000"/>
                <w:sz w:val="18"/>
                <w:szCs w:val="18"/>
                <w:lang w:eastAsia="fr-FR"/>
              </w:rPr>
            </w:pPr>
            <w:r w:rsidRPr="00B434A6">
              <w:rPr>
                <w:rFonts w:ascii="Arial" w:eastAsia="Times New Roman" w:hAnsi="Arial" w:cs="Arial"/>
                <w:sz w:val="18"/>
                <w:szCs w:val="18"/>
                <w:lang w:eastAsia="fr-FR"/>
              </w:rPr>
              <w:t>Pollution du sol par le déversement accidentel des substances polluantes</w:t>
            </w:r>
          </w:p>
        </w:tc>
        <w:tc>
          <w:tcPr>
            <w:tcW w:w="593" w:type="pct"/>
            <w:tcBorders>
              <w:top w:val="nil"/>
              <w:left w:val="nil"/>
              <w:bottom w:val="single" w:sz="4" w:space="0" w:color="auto"/>
              <w:right w:val="single" w:sz="4" w:space="0" w:color="auto"/>
            </w:tcBorders>
            <w:shd w:val="clear" w:color="000000" w:fill="00B050"/>
            <w:vAlign w:val="center"/>
            <w:hideMark/>
          </w:tcPr>
          <w:p w14:paraId="106E0570"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Mineure </w:t>
            </w:r>
          </w:p>
        </w:tc>
        <w:tc>
          <w:tcPr>
            <w:tcW w:w="522" w:type="pct"/>
            <w:tcBorders>
              <w:top w:val="nil"/>
              <w:left w:val="nil"/>
              <w:bottom w:val="single" w:sz="4" w:space="0" w:color="auto"/>
              <w:right w:val="single" w:sz="4" w:space="0" w:color="auto"/>
            </w:tcBorders>
            <w:shd w:val="clear" w:color="000000" w:fill="00B050"/>
            <w:vAlign w:val="center"/>
            <w:hideMark/>
          </w:tcPr>
          <w:p w14:paraId="67D34D29"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Mineure </w:t>
            </w:r>
          </w:p>
        </w:tc>
        <w:tc>
          <w:tcPr>
            <w:tcW w:w="706" w:type="pct"/>
            <w:tcBorders>
              <w:top w:val="nil"/>
              <w:left w:val="nil"/>
              <w:bottom w:val="single" w:sz="4" w:space="0" w:color="auto"/>
              <w:right w:val="single" w:sz="4" w:space="0" w:color="auto"/>
            </w:tcBorders>
            <w:shd w:val="clear" w:color="000000" w:fill="00B050"/>
            <w:vAlign w:val="center"/>
            <w:hideMark/>
          </w:tcPr>
          <w:p w14:paraId="304415EE"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Mineure </w:t>
            </w:r>
          </w:p>
        </w:tc>
        <w:tc>
          <w:tcPr>
            <w:tcW w:w="523" w:type="pct"/>
            <w:tcBorders>
              <w:top w:val="nil"/>
              <w:left w:val="nil"/>
              <w:bottom w:val="single" w:sz="4" w:space="0" w:color="auto"/>
              <w:right w:val="single" w:sz="4" w:space="0" w:color="auto"/>
            </w:tcBorders>
            <w:shd w:val="clear" w:color="000000" w:fill="00B050"/>
            <w:vAlign w:val="center"/>
            <w:hideMark/>
          </w:tcPr>
          <w:p w14:paraId="3F0A24DA"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Mineure </w:t>
            </w:r>
          </w:p>
        </w:tc>
      </w:tr>
      <w:tr w:rsidR="00570262" w:rsidRPr="00570262" w14:paraId="30C2B4B3" w14:textId="77777777" w:rsidTr="00570262">
        <w:trPr>
          <w:trHeight w:val="300"/>
        </w:trPr>
        <w:tc>
          <w:tcPr>
            <w:tcW w:w="523" w:type="pct"/>
            <w:vMerge/>
            <w:tcBorders>
              <w:top w:val="nil"/>
              <w:left w:val="single" w:sz="4" w:space="0" w:color="auto"/>
              <w:bottom w:val="single" w:sz="4" w:space="0" w:color="auto"/>
              <w:right w:val="single" w:sz="4" w:space="0" w:color="auto"/>
            </w:tcBorders>
            <w:vAlign w:val="center"/>
            <w:hideMark/>
          </w:tcPr>
          <w:p w14:paraId="122233FD"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tcBorders>
              <w:top w:val="nil"/>
              <w:left w:val="single" w:sz="4" w:space="0" w:color="auto"/>
              <w:bottom w:val="single" w:sz="4" w:space="0" w:color="000000"/>
              <w:right w:val="single" w:sz="4" w:space="0" w:color="auto"/>
            </w:tcBorders>
            <w:vAlign w:val="center"/>
            <w:hideMark/>
          </w:tcPr>
          <w:p w14:paraId="45313CE4"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1610" w:type="pct"/>
            <w:tcBorders>
              <w:top w:val="nil"/>
              <w:left w:val="nil"/>
              <w:bottom w:val="single" w:sz="4" w:space="0" w:color="auto"/>
              <w:right w:val="single" w:sz="4" w:space="0" w:color="auto"/>
            </w:tcBorders>
            <w:shd w:val="clear" w:color="auto" w:fill="auto"/>
            <w:vAlign w:val="center"/>
            <w:hideMark/>
          </w:tcPr>
          <w:p w14:paraId="0CF9C85B"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Risque d’érosion du sol</w:t>
            </w:r>
          </w:p>
        </w:tc>
        <w:tc>
          <w:tcPr>
            <w:tcW w:w="593" w:type="pct"/>
            <w:tcBorders>
              <w:top w:val="nil"/>
              <w:left w:val="nil"/>
              <w:bottom w:val="single" w:sz="4" w:space="0" w:color="auto"/>
              <w:right w:val="single" w:sz="4" w:space="0" w:color="auto"/>
            </w:tcBorders>
            <w:shd w:val="clear" w:color="000000" w:fill="FFFF00"/>
            <w:vAlign w:val="center"/>
            <w:hideMark/>
          </w:tcPr>
          <w:p w14:paraId="6587F025"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522" w:type="pct"/>
            <w:tcBorders>
              <w:top w:val="nil"/>
              <w:left w:val="nil"/>
              <w:bottom w:val="single" w:sz="4" w:space="0" w:color="auto"/>
              <w:right w:val="single" w:sz="4" w:space="0" w:color="auto"/>
            </w:tcBorders>
            <w:shd w:val="clear" w:color="000000" w:fill="FFFF00"/>
            <w:vAlign w:val="center"/>
            <w:hideMark/>
          </w:tcPr>
          <w:p w14:paraId="2B14B846"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706" w:type="pct"/>
            <w:tcBorders>
              <w:top w:val="nil"/>
              <w:left w:val="nil"/>
              <w:bottom w:val="single" w:sz="4" w:space="0" w:color="auto"/>
              <w:right w:val="single" w:sz="4" w:space="0" w:color="auto"/>
            </w:tcBorders>
            <w:shd w:val="clear" w:color="000000" w:fill="FFFF00"/>
            <w:vAlign w:val="center"/>
            <w:hideMark/>
          </w:tcPr>
          <w:p w14:paraId="54EE206F"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523" w:type="pct"/>
            <w:tcBorders>
              <w:top w:val="nil"/>
              <w:left w:val="nil"/>
              <w:bottom w:val="single" w:sz="4" w:space="0" w:color="auto"/>
              <w:right w:val="single" w:sz="4" w:space="0" w:color="auto"/>
            </w:tcBorders>
            <w:shd w:val="clear" w:color="000000" w:fill="00B050"/>
            <w:vAlign w:val="center"/>
            <w:hideMark/>
          </w:tcPr>
          <w:p w14:paraId="4E5F1558"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Mineure </w:t>
            </w:r>
          </w:p>
        </w:tc>
      </w:tr>
      <w:tr w:rsidR="00570262" w:rsidRPr="00570262" w14:paraId="5B7735CA" w14:textId="77777777" w:rsidTr="00570262">
        <w:trPr>
          <w:trHeight w:val="300"/>
        </w:trPr>
        <w:tc>
          <w:tcPr>
            <w:tcW w:w="523" w:type="pct"/>
            <w:vMerge/>
            <w:tcBorders>
              <w:top w:val="nil"/>
              <w:left w:val="single" w:sz="4" w:space="0" w:color="auto"/>
              <w:bottom w:val="single" w:sz="4" w:space="0" w:color="auto"/>
              <w:right w:val="single" w:sz="4" w:space="0" w:color="auto"/>
            </w:tcBorders>
            <w:vAlign w:val="center"/>
            <w:hideMark/>
          </w:tcPr>
          <w:p w14:paraId="389B07CD"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tcBorders>
              <w:top w:val="nil"/>
              <w:left w:val="single" w:sz="4" w:space="0" w:color="auto"/>
              <w:bottom w:val="single" w:sz="4" w:space="0" w:color="000000"/>
              <w:right w:val="single" w:sz="4" w:space="0" w:color="auto"/>
            </w:tcBorders>
            <w:vAlign w:val="center"/>
            <w:hideMark/>
          </w:tcPr>
          <w:p w14:paraId="2E8715F8"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1610" w:type="pct"/>
            <w:tcBorders>
              <w:top w:val="nil"/>
              <w:left w:val="nil"/>
              <w:bottom w:val="single" w:sz="4" w:space="0" w:color="auto"/>
              <w:right w:val="single" w:sz="4" w:space="0" w:color="auto"/>
            </w:tcBorders>
            <w:shd w:val="clear" w:color="auto" w:fill="auto"/>
            <w:vAlign w:val="center"/>
            <w:hideMark/>
          </w:tcPr>
          <w:p w14:paraId="0F62A469"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Imperméabilisation du sol</w:t>
            </w:r>
          </w:p>
        </w:tc>
        <w:tc>
          <w:tcPr>
            <w:tcW w:w="593" w:type="pct"/>
            <w:tcBorders>
              <w:top w:val="nil"/>
              <w:left w:val="nil"/>
              <w:bottom w:val="single" w:sz="4" w:space="0" w:color="auto"/>
              <w:right w:val="single" w:sz="4" w:space="0" w:color="auto"/>
            </w:tcBorders>
            <w:shd w:val="clear" w:color="000000" w:fill="00B050"/>
            <w:vAlign w:val="center"/>
            <w:hideMark/>
          </w:tcPr>
          <w:p w14:paraId="564A1766"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Mineure </w:t>
            </w:r>
          </w:p>
        </w:tc>
        <w:tc>
          <w:tcPr>
            <w:tcW w:w="522" w:type="pct"/>
            <w:tcBorders>
              <w:top w:val="nil"/>
              <w:left w:val="nil"/>
              <w:bottom w:val="single" w:sz="4" w:space="0" w:color="auto"/>
              <w:right w:val="single" w:sz="4" w:space="0" w:color="auto"/>
            </w:tcBorders>
            <w:shd w:val="clear" w:color="000000" w:fill="00B050"/>
            <w:vAlign w:val="center"/>
            <w:hideMark/>
          </w:tcPr>
          <w:p w14:paraId="73709A4A"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Mineure </w:t>
            </w:r>
          </w:p>
        </w:tc>
        <w:tc>
          <w:tcPr>
            <w:tcW w:w="706" w:type="pct"/>
            <w:tcBorders>
              <w:top w:val="nil"/>
              <w:left w:val="nil"/>
              <w:bottom w:val="single" w:sz="4" w:space="0" w:color="auto"/>
              <w:right w:val="single" w:sz="4" w:space="0" w:color="auto"/>
            </w:tcBorders>
            <w:shd w:val="clear" w:color="000000" w:fill="00B050"/>
            <w:vAlign w:val="center"/>
            <w:hideMark/>
          </w:tcPr>
          <w:p w14:paraId="41DBFAD9"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Mineure </w:t>
            </w:r>
          </w:p>
        </w:tc>
        <w:tc>
          <w:tcPr>
            <w:tcW w:w="523" w:type="pct"/>
            <w:tcBorders>
              <w:top w:val="nil"/>
              <w:left w:val="nil"/>
              <w:bottom w:val="single" w:sz="4" w:space="0" w:color="auto"/>
              <w:right w:val="single" w:sz="4" w:space="0" w:color="auto"/>
            </w:tcBorders>
            <w:shd w:val="clear" w:color="000000" w:fill="00B050"/>
            <w:vAlign w:val="center"/>
            <w:hideMark/>
          </w:tcPr>
          <w:p w14:paraId="2F333B50"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Mineure </w:t>
            </w:r>
          </w:p>
        </w:tc>
      </w:tr>
      <w:tr w:rsidR="00570262" w:rsidRPr="00570262" w14:paraId="675863E8" w14:textId="77777777" w:rsidTr="00570262">
        <w:trPr>
          <w:trHeight w:val="480"/>
        </w:trPr>
        <w:tc>
          <w:tcPr>
            <w:tcW w:w="523" w:type="pct"/>
            <w:vMerge/>
            <w:tcBorders>
              <w:top w:val="nil"/>
              <w:left w:val="single" w:sz="4" w:space="0" w:color="auto"/>
              <w:bottom w:val="single" w:sz="4" w:space="0" w:color="auto"/>
              <w:right w:val="single" w:sz="4" w:space="0" w:color="auto"/>
            </w:tcBorders>
            <w:vAlign w:val="center"/>
            <w:hideMark/>
          </w:tcPr>
          <w:p w14:paraId="07577C66"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val="restart"/>
            <w:tcBorders>
              <w:top w:val="nil"/>
              <w:left w:val="single" w:sz="4" w:space="0" w:color="auto"/>
              <w:bottom w:val="single" w:sz="4" w:space="0" w:color="000000"/>
              <w:right w:val="single" w:sz="4" w:space="0" w:color="auto"/>
            </w:tcBorders>
            <w:shd w:val="clear" w:color="auto" w:fill="auto"/>
            <w:vAlign w:val="center"/>
            <w:hideMark/>
          </w:tcPr>
          <w:p w14:paraId="424C0BC1"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Ressource en eau</w:t>
            </w:r>
          </w:p>
        </w:tc>
        <w:tc>
          <w:tcPr>
            <w:tcW w:w="1610" w:type="pct"/>
            <w:tcBorders>
              <w:top w:val="nil"/>
              <w:left w:val="nil"/>
              <w:bottom w:val="single" w:sz="4" w:space="0" w:color="auto"/>
              <w:right w:val="single" w:sz="4" w:space="0" w:color="auto"/>
            </w:tcBorders>
            <w:shd w:val="clear" w:color="auto" w:fill="auto"/>
            <w:vAlign w:val="center"/>
            <w:hideMark/>
          </w:tcPr>
          <w:p w14:paraId="7A6BB584"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Pollution des ressources en eau par entraînement de substances polluantes</w:t>
            </w:r>
          </w:p>
        </w:tc>
        <w:tc>
          <w:tcPr>
            <w:tcW w:w="593" w:type="pct"/>
            <w:tcBorders>
              <w:top w:val="nil"/>
              <w:left w:val="nil"/>
              <w:bottom w:val="single" w:sz="4" w:space="0" w:color="auto"/>
              <w:right w:val="single" w:sz="4" w:space="0" w:color="auto"/>
            </w:tcBorders>
            <w:shd w:val="clear" w:color="000000" w:fill="FFFF00"/>
            <w:vAlign w:val="center"/>
            <w:hideMark/>
          </w:tcPr>
          <w:p w14:paraId="111F70F5"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522" w:type="pct"/>
            <w:tcBorders>
              <w:top w:val="nil"/>
              <w:left w:val="nil"/>
              <w:bottom w:val="single" w:sz="4" w:space="0" w:color="auto"/>
              <w:right w:val="single" w:sz="4" w:space="0" w:color="auto"/>
            </w:tcBorders>
            <w:shd w:val="clear" w:color="000000" w:fill="FFFF00"/>
            <w:vAlign w:val="center"/>
            <w:hideMark/>
          </w:tcPr>
          <w:p w14:paraId="7E3D1EF9"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706" w:type="pct"/>
            <w:tcBorders>
              <w:top w:val="nil"/>
              <w:left w:val="nil"/>
              <w:bottom w:val="single" w:sz="4" w:space="0" w:color="auto"/>
              <w:right w:val="single" w:sz="4" w:space="0" w:color="auto"/>
            </w:tcBorders>
            <w:shd w:val="clear" w:color="000000" w:fill="FF0000"/>
            <w:noWrap/>
            <w:vAlign w:val="center"/>
            <w:hideMark/>
          </w:tcPr>
          <w:p w14:paraId="09DA2A99" w14:textId="77777777" w:rsidR="00570262" w:rsidRPr="00570262" w:rsidRDefault="00570262" w:rsidP="00570262">
            <w:pPr>
              <w:spacing w:after="0" w:line="240" w:lineRule="auto"/>
              <w:jc w:val="center"/>
              <w:rPr>
                <w:rFonts w:eastAsia="Times New Roman" w:cs="Calibri"/>
                <w:color w:val="000000"/>
                <w:lang w:eastAsia="fr-FR"/>
              </w:rPr>
            </w:pPr>
            <w:r w:rsidRPr="00570262">
              <w:rPr>
                <w:rFonts w:eastAsia="Times New Roman" w:cs="Calibri"/>
                <w:color w:val="000000"/>
                <w:lang w:eastAsia="fr-FR"/>
              </w:rPr>
              <w:t>Majeure</w:t>
            </w:r>
          </w:p>
        </w:tc>
        <w:tc>
          <w:tcPr>
            <w:tcW w:w="523" w:type="pct"/>
            <w:tcBorders>
              <w:top w:val="nil"/>
              <w:left w:val="nil"/>
              <w:bottom w:val="single" w:sz="4" w:space="0" w:color="auto"/>
              <w:right w:val="single" w:sz="4" w:space="0" w:color="auto"/>
            </w:tcBorders>
            <w:shd w:val="clear" w:color="000000" w:fill="00B050"/>
            <w:vAlign w:val="center"/>
            <w:hideMark/>
          </w:tcPr>
          <w:p w14:paraId="11A0F80A"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Mineure </w:t>
            </w:r>
          </w:p>
        </w:tc>
      </w:tr>
      <w:tr w:rsidR="00570262" w:rsidRPr="00570262" w14:paraId="6CCAC030" w14:textId="77777777" w:rsidTr="00570262">
        <w:trPr>
          <w:trHeight w:val="300"/>
        </w:trPr>
        <w:tc>
          <w:tcPr>
            <w:tcW w:w="523" w:type="pct"/>
            <w:vMerge/>
            <w:tcBorders>
              <w:top w:val="nil"/>
              <w:left w:val="single" w:sz="4" w:space="0" w:color="auto"/>
              <w:bottom w:val="single" w:sz="4" w:space="0" w:color="auto"/>
              <w:right w:val="single" w:sz="4" w:space="0" w:color="auto"/>
            </w:tcBorders>
            <w:vAlign w:val="center"/>
            <w:hideMark/>
          </w:tcPr>
          <w:p w14:paraId="44FDB809"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tcBorders>
              <w:top w:val="nil"/>
              <w:left w:val="single" w:sz="4" w:space="0" w:color="auto"/>
              <w:bottom w:val="single" w:sz="4" w:space="0" w:color="000000"/>
              <w:right w:val="single" w:sz="4" w:space="0" w:color="auto"/>
            </w:tcBorders>
            <w:vAlign w:val="center"/>
            <w:hideMark/>
          </w:tcPr>
          <w:p w14:paraId="548A1BAB"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1610" w:type="pct"/>
            <w:tcBorders>
              <w:top w:val="nil"/>
              <w:left w:val="nil"/>
              <w:bottom w:val="single" w:sz="4" w:space="0" w:color="auto"/>
              <w:right w:val="single" w:sz="4" w:space="0" w:color="auto"/>
            </w:tcBorders>
            <w:shd w:val="clear" w:color="auto" w:fill="auto"/>
            <w:vAlign w:val="center"/>
            <w:hideMark/>
          </w:tcPr>
          <w:p w14:paraId="51544643"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Modification du régime de cours d'eau</w:t>
            </w:r>
          </w:p>
        </w:tc>
        <w:tc>
          <w:tcPr>
            <w:tcW w:w="593" w:type="pct"/>
            <w:tcBorders>
              <w:top w:val="nil"/>
              <w:left w:val="nil"/>
              <w:bottom w:val="single" w:sz="4" w:space="0" w:color="auto"/>
              <w:right w:val="single" w:sz="4" w:space="0" w:color="auto"/>
            </w:tcBorders>
            <w:shd w:val="clear" w:color="auto" w:fill="auto"/>
            <w:vAlign w:val="center"/>
            <w:hideMark/>
          </w:tcPr>
          <w:p w14:paraId="29185BB2"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2" w:type="pct"/>
            <w:tcBorders>
              <w:top w:val="nil"/>
              <w:left w:val="nil"/>
              <w:bottom w:val="single" w:sz="4" w:space="0" w:color="auto"/>
              <w:right w:val="single" w:sz="4" w:space="0" w:color="auto"/>
            </w:tcBorders>
            <w:shd w:val="clear" w:color="auto" w:fill="auto"/>
            <w:vAlign w:val="center"/>
            <w:hideMark/>
          </w:tcPr>
          <w:p w14:paraId="26828FF6"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706" w:type="pct"/>
            <w:tcBorders>
              <w:top w:val="nil"/>
              <w:left w:val="nil"/>
              <w:bottom w:val="single" w:sz="4" w:space="0" w:color="auto"/>
              <w:right w:val="single" w:sz="4" w:space="0" w:color="auto"/>
            </w:tcBorders>
            <w:shd w:val="clear" w:color="000000" w:fill="00B050"/>
            <w:vAlign w:val="center"/>
            <w:hideMark/>
          </w:tcPr>
          <w:p w14:paraId="79D9911A"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Mineure </w:t>
            </w:r>
          </w:p>
        </w:tc>
        <w:tc>
          <w:tcPr>
            <w:tcW w:w="523" w:type="pct"/>
            <w:tcBorders>
              <w:top w:val="nil"/>
              <w:left w:val="nil"/>
              <w:bottom w:val="single" w:sz="4" w:space="0" w:color="auto"/>
              <w:right w:val="single" w:sz="4" w:space="0" w:color="auto"/>
            </w:tcBorders>
            <w:shd w:val="clear" w:color="auto" w:fill="auto"/>
            <w:vAlign w:val="center"/>
            <w:hideMark/>
          </w:tcPr>
          <w:p w14:paraId="2AA09040"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r>
      <w:tr w:rsidR="00570262" w:rsidRPr="00570262" w14:paraId="2B93A6E7" w14:textId="77777777" w:rsidTr="00570262">
        <w:trPr>
          <w:trHeight w:val="300"/>
        </w:trPr>
        <w:tc>
          <w:tcPr>
            <w:tcW w:w="523" w:type="pct"/>
            <w:vMerge/>
            <w:tcBorders>
              <w:top w:val="nil"/>
              <w:left w:val="single" w:sz="4" w:space="0" w:color="auto"/>
              <w:bottom w:val="single" w:sz="4" w:space="0" w:color="auto"/>
              <w:right w:val="single" w:sz="4" w:space="0" w:color="auto"/>
            </w:tcBorders>
            <w:vAlign w:val="center"/>
            <w:hideMark/>
          </w:tcPr>
          <w:p w14:paraId="393BE294"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tcBorders>
              <w:top w:val="nil"/>
              <w:left w:val="nil"/>
              <w:bottom w:val="single" w:sz="4" w:space="0" w:color="auto"/>
              <w:right w:val="single" w:sz="4" w:space="0" w:color="auto"/>
            </w:tcBorders>
            <w:shd w:val="clear" w:color="auto" w:fill="auto"/>
            <w:vAlign w:val="center"/>
            <w:hideMark/>
          </w:tcPr>
          <w:p w14:paraId="49702C65"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Paysage</w:t>
            </w:r>
          </w:p>
        </w:tc>
        <w:tc>
          <w:tcPr>
            <w:tcW w:w="1610" w:type="pct"/>
            <w:tcBorders>
              <w:top w:val="nil"/>
              <w:left w:val="nil"/>
              <w:bottom w:val="single" w:sz="4" w:space="0" w:color="auto"/>
              <w:right w:val="single" w:sz="4" w:space="0" w:color="auto"/>
            </w:tcBorders>
            <w:shd w:val="clear" w:color="auto" w:fill="auto"/>
            <w:vAlign w:val="center"/>
            <w:hideMark/>
          </w:tcPr>
          <w:p w14:paraId="6F63F65B"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Modification du paysage</w:t>
            </w:r>
          </w:p>
        </w:tc>
        <w:tc>
          <w:tcPr>
            <w:tcW w:w="593" w:type="pct"/>
            <w:tcBorders>
              <w:top w:val="nil"/>
              <w:left w:val="nil"/>
              <w:bottom w:val="single" w:sz="4" w:space="0" w:color="auto"/>
              <w:right w:val="single" w:sz="4" w:space="0" w:color="auto"/>
            </w:tcBorders>
            <w:shd w:val="clear" w:color="000000" w:fill="FFFF00"/>
            <w:vAlign w:val="center"/>
            <w:hideMark/>
          </w:tcPr>
          <w:p w14:paraId="68EEEED4"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522" w:type="pct"/>
            <w:tcBorders>
              <w:top w:val="nil"/>
              <w:left w:val="nil"/>
              <w:bottom w:val="single" w:sz="4" w:space="0" w:color="auto"/>
              <w:right w:val="single" w:sz="4" w:space="0" w:color="auto"/>
            </w:tcBorders>
            <w:shd w:val="clear" w:color="000000" w:fill="FFFF00"/>
            <w:vAlign w:val="center"/>
            <w:hideMark/>
          </w:tcPr>
          <w:p w14:paraId="314D18E7"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706" w:type="pct"/>
            <w:tcBorders>
              <w:top w:val="nil"/>
              <w:left w:val="nil"/>
              <w:bottom w:val="single" w:sz="4" w:space="0" w:color="auto"/>
              <w:right w:val="single" w:sz="4" w:space="0" w:color="auto"/>
            </w:tcBorders>
            <w:shd w:val="clear" w:color="000000" w:fill="00B050"/>
            <w:vAlign w:val="center"/>
            <w:hideMark/>
          </w:tcPr>
          <w:p w14:paraId="75C1203E"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Mineure </w:t>
            </w:r>
          </w:p>
        </w:tc>
        <w:tc>
          <w:tcPr>
            <w:tcW w:w="523" w:type="pct"/>
            <w:tcBorders>
              <w:top w:val="nil"/>
              <w:left w:val="nil"/>
              <w:bottom w:val="single" w:sz="4" w:space="0" w:color="auto"/>
              <w:right w:val="single" w:sz="4" w:space="0" w:color="auto"/>
            </w:tcBorders>
            <w:shd w:val="clear" w:color="000000" w:fill="00B050"/>
            <w:vAlign w:val="center"/>
            <w:hideMark/>
          </w:tcPr>
          <w:p w14:paraId="0CFEF1EC"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Mineure </w:t>
            </w:r>
          </w:p>
        </w:tc>
      </w:tr>
      <w:tr w:rsidR="00570262" w:rsidRPr="00570262" w14:paraId="7B894522" w14:textId="77777777" w:rsidTr="00570262">
        <w:trPr>
          <w:trHeight w:val="480"/>
        </w:trPr>
        <w:tc>
          <w:tcPr>
            <w:tcW w:w="523" w:type="pct"/>
            <w:vMerge w:val="restart"/>
            <w:tcBorders>
              <w:top w:val="nil"/>
              <w:left w:val="single" w:sz="4" w:space="0" w:color="auto"/>
              <w:bottom w:val="single" w:sz="4" w:space="0" w:color="auto"/>
              <w:right w:val="single" w:sz="4" w:space="0" w:color="auto"/>
            </w:tcBorders>
            <w:shd w:val="clear" w:color="auto" w:fill="auto"/>
            <w:vAlign w:val="center"/>
            <w:hideMark/>
          </w:tcPr>
          <w:p w14:paraId="5A76C049"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Biologique</w:t>
            </w:r>
          </w:p>
        </w:tc>
        <w:tc>
          <w:tcPr>
            <w:tcW w:w="523" w:type="pct"/>
            <w:tcBorders>
              <w:top w:val="nil"/>
              <w:left w:val="nil"/>
              <w:bottom w:val="single" w:sz="4" w:space="0" w:color="auto"/>
              <w:right w:val="single" w:sz="4" w:space="0" w:color="auto"/>
            </w:tcBorders>
            <w:shd w:val="clear" w:color="auto" w:fill="auto"/>
            <w:vAlign w:val="center"/>
            <w:hideMark/>
          </w:tcPr>
          <w:p w14:paraId="18BB9E98"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Biodiversité / Flore</w:t>
            </w:r>
          </w:p>
        </w:tc>
        <w:tc>
          <w:tcPr>
            <w:tcW w:w="1610" w:type="pct"/>
            <w:tcBorders>
              <w:top w:val="nil"/>
              <w:left w:val="nil"/>
              <w:bottom w:val="single" w:sz="4" w:space="0" w:color="auto"/>
              <w:right w:val="single" w:sz="4" w:space="0" w:color="auto"/>
            </w:tcBorders>
            <w:shd w:val="clear" w:color="auto" w:fill="auto"/>
            <w:vAlign w:val="center"/>
            <w:hideMark/>
          </w:tcPr>
          <w:p w14:paraId="70BFDA2C"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Destruction du couvert végétal</w:t>
            </w:r>
          </w:p>
        </w:tc>
        <w:tc>
          <w:tcPr>
            <w:tcW w:w="593" w:type="pct"/>
            <w:tcBorders>
              <w:top w:val="nil"/>
              <w:left w:val="nil"/>
              <w:bottom w:val="single" w:sz="4" w:space="0" w:color="auto"/>
              <w:right w:val="single" w:sz="4" w:space="0" w:color="auto"/>
            </w:tcBorders>
            <w:shd w:val="clear" w:color="000000" w:fill="00B050"/>
            <w:vAlign w:val="center"/>
            <w:hideMark/>
          </w:tcPr>
          <w:p w14:paraId="0B21C997"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Mineure </w:t>
            </w:r>
          </w:p>
        </w:tc>
        <w:tc>
          <w:tcPr>
            <w:tcW w:w="522" w:type="pct"/>
            <w:tcBorders>
              <w:top w:val="nil"/>
              <w:left w:val="nil"/>
              <w:bottom w:val="single" w:sz="4" w:space="0" w:color="auto"/>
              <w:right w:val="single" w:sz="4" w:space="0" w:color="auto"/>
            </w:tcBorders>
            <w:shd w:val="clear" w:color="000000" w:fill="00B050"/>
            <w:vAlign w:val="center"/>
            <w:hideMark/>
          </w:tcPr>
          <w:p w14:paraId="2A3F6638"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Mineure </w:t>
            </w:r>
          </w:p>
        </w:tc>
        <w:tc>
          <w:tcPr>
            <w:tcW w:w="706" w:type="pct"/>
            <w:tcBorders>
              <w:top w:val="nil"/>
              <w:left w:val="nil"/>
              <w:bottom w:val="single" w:sz="4" w:space="0" w:color="auto"/>
              <w:right w:val="single" w:sz="4" w:space="0" w:color="auto"/>
            </w:tcBorders>
            <w:shd w:val="clear" w:color="000000" w:fill="00B050"/>
            <w:vAlign w:val="center"/>
            <w:hideMark/>
          </w:tcPr>
          <w:p w14:paraId="5D414D4E"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Mineure </w:t>
            </w:r>
          </w:p>
        </w:tc>
        <w:tc>
          <w:tcPr>
            <w:tcW w:w="523" w:type="pct"/>
            <w:tcBorders>
              <w:top w:val="nil"/>
              <w:left w:val="nil"/>
              <w:bottom w:val="single" w:sz="4" w:space="0" w:color="auto"/>
              <w:right w:val="single" w:sz="4" w:space="0" w:color="auto"/>
            </w:tcBorders>
            <w:shd w:val="clear" w:color="000000" w:fill="00B050"/>
            <w:vAlign w:val="center"/>
            <w:hideMark/>
          </w:tcPr>
          <w:p w14:paraId="2D3F96CF"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Mineure </w:t>
            </w:r>
          </w:p>
        </w:tc>
      </w:tr>
      <w:tr w:rsidR="00570262" w:rsidRPr="00570262" w14:paraId="446F4565" w14:textId="77777777" w:rsidTr="00570262">
        <w:trPr>
          <w:trHeight w:val="720"/>
        </w:trPr>
        <w:tc>
          <w:tcPr>
            <w:tcW w:w="523" w:type="pct"/>
            <w:vMerge/>
            <w:tcBorders>
              <w:top w:val="nil"/>
              <w:left w:val="single" w:sz="4" w:space="0" w:color="auto"/>
              <w:bottom w:val="single" w:sz="4" w:space="0" w:color="auto"/>
              <w:right w:val="single" w:sz="4" w:space="0" w:color="auto"/>
            </w:tcBorders>
            <w:vAlign w:val="center"/>
            <w:hideMark/>
          </w:tcPr>
          <w:p w14:paraId="5C2E238F"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tcBorders>
              <w:top w:val="nil"/>
              <w:left w:val="nil"/>
              <w:bottom w:val="single" w:sz="4" w:space="0" w:color="auto"/>
              <w:right w:val="single" w:sz="4" w:space="0" w:color="auto"/>
            </w:tcBorders>
            <w:shd w:val="clear" w:color="auto" w:fill="auto"/>
            <w:vAlign w:val="center"/>
            <w:hideMark/>
          </w:tcPr>
          <w:p w14:paraId="711708AD"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Habitat / faune</w:t>
            </w:r>
          </w:p>
        </w:tc>
        <w:tc>
          <w:tcPr>
            <w:tcW w:w="1610" w:type="pct"/>
            <w:tcBorders>
              <w:top w:val="nil"/>
              <w:left w:val="nil"/>
              <w:bottom w:val="single" w:sz="4" w:space="0" w:color="auto"/>
              <w:right w:val="single" w:sz="4" w:space="0" w:color="auto"/>
            </w:tcBorders>
            <w:shd w:val="clear" w:color="auto" w:fill="auto"/>
            <w:vAlign w:val="center"/>
            <w:hideMark/>
          </w:tcPr>
          <w:p w14:paraId="1BB4CBFC"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Destruction de la végétation par la préparation des terrains et délocalisation de certaines espèces de faune</w:t>
            </w:r>
          </w:p>
        </w:tc>
        <w:tc>
          <w:tcPr>
            <w:tcW w:w="593" w:type="pct"/>
            <w:tcBorders>
              <w:top w:val="nil"/>
              <w:left w:val="nil"/>
              <w:bottom w:val="single" w:sz="4" w:space="0" w:color="auto"/>
              <w:right w:val="single" w:sz="4" w:space="0" w:color="auto"/>
            </w:tcBorders>
            <w:shd w:val="clear" w:color="000000" w:fill="00B050"/>
            <w:vAlign w:val="center"/>
            <w:hideMark/>
          </w:tcPr>
          <w:p w14:paraId="02025532"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522" w:type="pct"/>
            <w:tcBorders>
              <w:top w:val="nil"/>
              <w:left w:val="nil"/>
              <w:bottom w:val="single" w:sz="4" w:space="0" w:color="auto"/>
              <w:right w:val="single" w:sz="4" w:space="0" w:color="auto"/>
            </w:tcBorders>
            <w:shd w:val="clear" w:color="000000" w:fill="00B050"/>
            <w:vAlign w:val="center"/>
            <w:hideMark/>
          </w:tcPr>
          <w:p w14:paraId="2E8B200E"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706" w:type="pct"/>
            <w:tcBorders>
              <w:top w:val="nil"/>
              <w:left w:val="nil"/>
              <w:bottom w:val="single" w:sz="4" w:space="0" w:color="auto"/>
              <w:right w:val="single" w:sz="4" w:space="0" w:color="auto"/>
            </w:tcBorders>
            <w:shd w:val="clear" w:color="000000" w:fill="00B050"/>
            <w:vAlign w:val="center"/>
            <w:hideMark/>
          </w:tcPr>
          <w:p w14:paraId="2A59781B"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523" w:type="pct"/>
            <w:tcBorders>
              <w:top w:val="nil"/>
              <w:left w:val="nil"/>
              <w:bottom w:val="single" w:sz="4" w:space="0" w:color="auto"/>
              <w:right w:val="single" w:sz="4" w:space="0" w:color="auto"/>
            </w:tcBorders>
            <w:shd w:val="clear" w:color="000000" w:fill="00B050"/>
            <w:vAlign w:val="center"/>
            <w:hideMark/>
          </w:tcPr>
          <w:p w14:paraId="45616512"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r>
      <w:tr w:rsidR="00570262" w:rsidRPr="00570262" w14:paraId="7B84EDF1" w14:textId="77777777" w:rsidTr="00570262">
        <w:trPr>
          <w:trHeight w:val="300"/>
        </w:trPr>
        <w:tc>
          <w:tcPr>
            <w:tcW w:w="523" w:type="pct"/>
            <w:vMerge/>
            <w:tcBorders>
              <w:top w:val="nil"/>
              <w:left w:val="single" w:sz="4" w:space="0" w:color="auto"/>
              <w:bottom w:val="single" w:sz="4" w:space="0" w:color="auto"/>
              <w:right w:val="single" w:sz="4" w:space="0" w:color="auto"/>
            </w:tcBorders>
            <w:vAlign w:val="center"/>
            <w:hideMark/>
          </w:tcPr>
          <w:p w14:paraId="7BC61612"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val="restart"/>
            <w:tcBorders>
              <w:top w:val="nil"/>
              <w:left w:val="single" w:sz="4" w:space="0" w:color="auto"/>
              <w:bottom w:val="single" w:sz="4" w:space="0" w:color="000000"/>
              <w:right w:val="single" w:sz="4" w:space="0" w:color="auto"/>
            </w:tcBorders>
            <w:shd w:val="clear" w:color="auto" w:fill="auto"/>
            <w:vAlign w:val="center"/>
            <w:hideMark/>
          </w:tcPr>
          <w:p w14:paraId="79499D55"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Faune</w:t>
            </w:r>
          </w:p>
        </w:tc>
        <w:tc>
          <w:tcPr>
            <w:tcW w:w="1610" w:type="pct"/>
            <w:tcBorders>
              <w:top w:val="nil"/>
              <w:left w:val="nil"/>
              <w:bottom w:val="single" w:sz="4" w:space="0" w:color="auto"/>
              <w:right w:val="single" w:sz="4" w:space="0" w:color="auto"/>
            </w:tcBorders>
            <w:shd w:val="clear" w:color="auto" w:fill="auto"/>
            <w:vAlign w:val="center"/>
            <w:hideMark/>
          </w:tcPr>
          <w:p w14:paraId="1825BC32"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Nuisance sonore</w:t>
            </w:r>
          </w:p>
        </w:tc>
        <w:tc>
          <w:tcPr>
            <w:tcW w:w="593" w:type="pct"/>
            <w:tcBorders>
              <w:top w:val="nil"/>
              <w:left w:val="nil"/>
              <w:bottom w:val="single" w:sz="4" w:space="0" w:color="auto"/>
              <w:right w:val="single" w:sz="4" w:space="0" w:color="auto"/>
            </w:tcBorders>
            <w:shd w:val="clear" w:color="000000" w:fill="00B050"/>
            <w:vAlign w:val="center"/>
            <w:hideMark/>
          </w:tcPr>
          <w:p w14:paraId="7AB17672"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522" w:type="pct"/>
            <w:tcBorders>
              <w:top w:val="nil"/>
              <w:left w:val="nil"/>
              <w:bottom w:val="single" w:sz="4" w:space="0" w:color="auto"/>
              <w:right w:val="single" w:sz="4" w:space="0" w:color="auto"/>
            </w:tcBorders>
            <w:shd w:val="clear" w:color="000000" w:fill="00B050"/>
            <w:vAlign w:val="center"/>
            <w:hideMark/>
          </w:tcPr>
          <w:p w14:paraId="0519DAAB"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706" w:type="pct"/>
            <w:tcBorders>
              <w:top w:val="nil"/>
              <w:left w:val="nil"/>
              <w:bottom w:val="single" w:sz="4" w:space="0" w:color="auto"/>
              <w:right w:val="single" w:sz="4" w:space="0" w:color="auto"/>
            </w:tcBorders>
            <w:shd w:val="clear" w:color="000000" w:fill="00B050"/>
            <w:vAlign w:val="center"/>
            <w:hideMark/>
          </w:tcPr>
          <w:p w14:paraId="4BE69149"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523" w:type="pct"/>
            <w:tcBorders>
              <w:top w:val="nil"/>
              <w:left w:val="nil"/>
              <w:bottom w:val="single" w:sz="4" w:space="0" w:color="auto"/>
              <w:right w:val="single" w:sz="4" w:space="0" w:color="auto"/>
            </w:tcBorders>
            <w:shd w:val="clear" w:color="000000" w:fill="00B050"/>
            <w:vAlign w:val="center"/>
            <w:hideMark/>
          </w:tcPr>
          <w:p w14:paraId="67607C14"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r>
      <w:tr w:rsidR="00570262" w:rsidRPr="00570262" w14:paraId="64228EB2" w14:textId="77777777" w:rsidTr="00570262">
        <w:trPr>
          <w:trHeight w:val="300"/>
        </w:trPr>
        <w:tc>
          <w:tcPr>
            <w:tcW w:w="523" w:type="pct"/>
            <w:vMerge/>
            <w:tcBorders>
              <w:top w:val="nil"/>
              <w:left w:val="single" w:sz="4" w:space="0" w:color="auto"/>
              <w:bottom w:val="single" w:sz="4" w:space="0" w:color="auto"/>
              <w:right w:val="single" w:sz="4" w:space="0" w:color="auto"/>
            </w:tcBorders>
            <w:vAlign w:val="center"/>
            <w:hideMark/>
          </w:tcPr>
          <w:p w14:paraId="35A93F39"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tcBorders>
              <w:top w:val="nil"/>
              <w:left w:val="single" w:sz="4" w:space="0" w:color="auto"/>
              <w:bottom w:val="single" w:sz="4" w:space="0" w:color="000000"/>
              <w:right w:val="single" w:sz="4" w:space="0" w:color="auto"/>
            </w:tcBorders>
            <w:vAlign w:val="center"/>
            <w:hideMark/>
          </w:tcPr>
          <w:p w14:paraId="38EB2D2C"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1610" w:type="pct"/>
            <w:tcBorders>
              <w:top w:val="nil"/>
              <w:left w:val="nil"/>
              <w:bottom w:val="single" w:sz="4" w:space="0" w:color="auto"/>
              <w:right w:val="single" w:sz="4" w:space="0" w:color="auto"/>
            </w:tcBorders>
            <w:shd w:val="clear" w:color="auto" w:fill="auto"/>
            <w:vAlign w:val="center"/>
            <w:hideMark/>
          </w:tcPr>
          <w:p w14:paraId="3130C50E"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Perturbation de la faune </w:t>
            </w:r>
            <w:r w:rsidR="00067C78" w:rsidRPr="00570262">
              <w:rPr>
                <w:rFonts w:ascii="Arial" w:eastAsia="Times New Roman" w:hAnsi="Arial" w:cs="Arial"/>
                <w:color w:val="000000"/>
                <w:sz w:val="18"/>
                <w:szCs w:val="18"/>
                <w:lang w:eastAsia="fr-FR"/>
              </w:rPr>
              <w:t>aquatique</w:t>
            </w:r>
          </w:p>
        </w:tc>
        <w:tc>
          <w:tcPr>
            <w:tcW w:w="593" w:type="pct"/>
            <w:tcBorders>
              <w:top w:val="nil"/>
              <w:left w:val="nil"/>
              <w:bottom w:val="single" w:sz="4" w:space="0" w:color="auto"/>
              <w:right w:val="single" w:sz="4" w:space="0" w:color="auto"/>
            </w:tcBorders>
            <w:shd w:val="clear" w:color="auto" w:fill="auto"/>
            <w:vAlign w:val="center"/>
            <w:hideMark/>
          </w:tcPr>
          <w:p w14:paraId="37047C48"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2" w:type="pct"/>
            <w:tcBorders>
              <w:top w:val="nil"/>
              <w:left w:val="nil"/>
              <w:bottom w:val="single" w:sz="4" w:space="0" w:color="auto"/>
              <w:right w:val="single" w:sz="4" w:space="0" w:color="auto"/>
            </w:tcBorders>
            <w:shd w:val="clear" w:color="auto" w:fill="auto"/>
            <w:vAlign w:val="center"/>
            <w:hideMark/>
          </w:tcPr>
          <w:p w14:paraId="4220B9F6"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706" w:type="pct"/>
            <w:tcBorders>
              <w:top w:val="nil"/>
              <w:left w:val="nil"/>
              <w:bottom w:val="single" w:sz="4" w:space="0" w:color="auto"/>
              <w:right w:val="single" w:sz="4" w:space="0" w:color="auto"/>
            </w:tcBorders>
            <w:shd w:val="clear" w:color="000000" w:fill="00B050"/>
            <w:vAlign w:val="center"/>
            <w:hideMark/>
          </w:tcPr>
          <w:p w14:paraId="7C8AEA1B"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523" w:type="pct"/>
            <w:tcBorders>
              <w:top w:val="nil"/>
              <w:left w:val="nil"/>
              <w:bottom w:val="single" w:sz="4" w:space="0" w:color="auto"/>
              <w:right w:val="single" w:sz="4" w:space="0" w:color="auto"/>
            </w:tcBorders>
            <w:shd w:val="clear" w:color="auto" w:fill="auto"/>
            <w:vAlign w:val="center"/>
            <w:hideMark/>
          </w:tcPr>
          <w:p w14:paraId="7844028B"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r>
      <w:tr w:rsidR="00570262" w:rsidRPr="00570262" w14:paraId="2B190F4B" w14:textId="77777777" w:rsidTr="00570262">
        <w:trPr>
          <w:trHeight w:val="480"/>
        </w:trPr>
        <w:tc>
          <w:tcPr>
            <w:tcW w:w="523" w:type="pct"/>
            <w:vMerge/>
            <w:tcBorders>
              <w:top w:val="nil"/>
              <w:left w:val="single" w:sz="4" w:space="0" w:color="auto"/>
              <w:bottom w:val="single" w:sz="4" w:space="0" w:color="auto"/>
              <w:right w:val="single" w:sz="4" w:space="0" w:color="auto"/>
            </w:tcBorders>
            <w:vAlign w:val="center"/>
            <w:hideMark/>
          </w:tcPr>
          <w:p w14:paraId="1CC93AC7"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tcBorders>
              <w:top w:val="nil"/>
              <w:left w:val="nil"/>
              <w:bottom w:val="single" w:sz="4" w:space="0" w:color="auto"/>
              <w:right w:val="single" w:sz="4" w:space="0" w:color="auto"/>
            </w:tcBorders>
            <w:shd w:val="clear" w:color="auto" w:fill="auto"/>
            <w:vAlign w:val="center"/>
            <w:hideMark/>
          </w:tcPr>
          <w:p w14:paraId="6EE09E49"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Flore</w:t>
            </w:r>
          </w:p>
        </w:tc>
        <w:tc>
          <w:tcPr>
            <w:tcW w:w="1610" w:type="pct"/>
            <w:tcBorders>
              <w:top w:val="nil"/>
              <w:left w:val="nil"/>
              <w:bottom w:val="single" w:sz="4" w:space="0" w:color="auto"/>
              <w:right w:val="single" w:sz="4" w:space="0" w:color="auto"/>
            </w:tcBorders>
            <w:shd w:val="clear" w:color="auto" w:fill="auto"/>
            <w:vAlign w:val="center"/>
            <w:hideMark/>
          </w:tcPr>
          <w:p w14:paraId="3A2546FD"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Coupe illicite pour les besoins de bois de chauffe du chantier</w:t>
            </w:r>
          </w:p>
        </w:tc>
        <w:tc>
          <w:tcPr>
            <w:tcW w:w="593" w:type="pct"/>
            <w:tcBorders>
              <w:top w:val="nil"/>
              <w:left w:val="nil"/>
              <w:bottom w:val="single" w:sz="4" w:space="0" w:color="auto"/>
              <w:right w:val="single" w:sz="4" w:space="0" w:color="auto"/>
            </w:tcBorders>
            <w:shd w:val="clear" w:color="000000" w:fill="00B050"/>
            <w:vAlign w:val="center"/>
            <w:hideMark/>
          </w:tcPr>
          <w:p w14:paraId="4321241D"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522" w:type="pct"/>
            <w:tcBorders>
              <w:top w:val="nil"/>
              <w:left w:val="nil"/>
              <w:bottom w:val="single" w:sz="4" w:space="0" w:color="auto"/>
              <w:right w:val="single" w:sz="4" w:space="0" w:color="auto"/>
            </w:tcBorders>
            <w:shd w:val="clear" w:color="000000" w:fill="00B050"/>
            <w:vAlign w:val="center"/>
            <w:hideMark/>
          </w:tcPr>
          <w:p w14:paraId="69733BF5"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706" w:type="pct"/>
            <w:tcBorders>
              <w:top w:val="nil"/>
              <w:left w:val="nil"/>
              <w:bottom w:val="single" w:sz="4" w:space="0" w:color="auto"/>
              <w:right w:val="single" w:sz="4" w:space="0" w:color="auto"/>
            </w:tcBorders>
            <w:shd w:val="clear" w:color="000000" w:fill="FFFF00"/>
            <w:vAlign w:val="center"/>
            <w:hideMark/>
          </w:tcPr>
          <w:p w14:paraId="04D01487"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523" w:type="pct"/>
            <w:tcBorders>
              <w:top w:val="nil"/>
              <w:left w:val="nil"/>
              <w:bottom w:val="single" w:sz="4" w:space="0" w:color="auto"/>
              <w:right w:val="single" w:sz="4" w:space="0" w:color="auto"/>
            </w:tcBorders>
            <w:shd w:val="clear" w:color="000000" w:fill="FFFF00"/>
            <w:vAlign w:val="center"/>
            <w:hideMark/>
          </w:tcPr>
          <w:p w14:paraId="3DB02F72"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r>
      <w:tr w:rsidR="00570262" w:rsidRPr="00570262" w14:paraId="21CF7B09" w14:textId="77777777" w:rsidTr="00570262">
        <w:trPr>
          <w:trHeight w:val="480"/>
        </w:trPr>
        <w:tc>
          <w:tcPr>
            <w:tcW w:w="523" w:type="pct"/>
            <w:vMerge w:val="restart"/>
            <w:tcBorders>
              <w:top w:val="nil"/>
              <w:left w:val="single" w:sz="4" w:space="0" w:color="auto"/>
              <w:bottom w:val="single" w:sz="4" w:space="0" w:color="auto"/>
              <w:right w:val="single" w:sz="4" w:space="0" w:color="auto"/>
            </w:tcBorders>
            <w:shd w:val="clear" w:color="auto" w:fill="auto"/>
            <w:vAlign w:val="center"/>
            <w:hideMark/>
          </w:tcPr>
          <w:p w14:paraId="7B6C72C7"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Humain</w:t>
            </w:r>
          </w:p>
        </w:tc>
        <w:tc>
          <w:tcPr>
            <w:tcW w:w="523" w:type="pct"/>
            <w:vMerge w:val="restart"/>
            <w:tcBorders>
              <w:top w:val="nil"/>
              <w:left w:val="single" w:sz="4" w:space="0" w:color="auto"/>
              <w:bottom w:val="single" w:sz="4" w:space="0" w:color="auto"/>
              <w:right w:val="single" w:sz="4" w:space="0" w:color="auto"/>
            </w:tcBorders>
            <w:shd w:val="clear" w:color="auto" w:fill="auto"/>
            <w:vAlign w:val="center"/>
            <w:hideMark/>
          </w:tcPr>
          <w:p w14:paraId="0A7C47E3"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Cadre de vie</w:t>
            </w:r>
          </w:p>
        </w:tc>
        <w:tc>
          <w:tcPr>
            <w:tcW w:w="1610" w:type="pct"/>
            <w:tcBorders>
              <w:top w:val="nil"/>
              <w:left w:val="nil"/>
              <w:bottom w:val="single" w:sz="4" w:space="0" w:color="auto"/>
              <w:right w:val="single" w:sz="4" w:space="0" w:color="auto"/>
            </w:tcBorders>
            <w:shd w:val="clear" w:color="auto" w:fill="auto"/>
            <w:vAlign w:val="center"/>
            <w:hideMark/>
          </w:tcPr>
          <w:p w14:paraId="5CDE9239"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Conflits sociaux par la présence des mains d’œuvre externes</w:t>
            </w:r>
          </w:p>
        </w:tc>
        <w:tc>
          <w:tcPr>
            <w:tcW w:w="593" w:type="pct"/>
            <w:tcBorders>
              <w:top w:val="nil"/>
              <w:left w:val="nil"/>
              <w:bottom w:val="single" w:sz="4" w:space="0" w:color="auto"/>
              <w:right w:val="single" w:sz="4" w:space="0" w:color="auto"/>
            </w:tcBorders>
            <w:shd w:val="clear" w:color="000000" w:fill="FFFF00"/>
            <w:vAlign w:val="center"/>
            <w:hideMark/>
          </w:tcPr>
          <w:p w14:paraId="619C8ED7"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522" w:type="pct"/>
            <w:tcBorders>
              <w:top w:val="nil"/>
              <w:left w:val="nil"/>
              <w:bottom w:val="single" w:sz="4" w:space="0" w:color="auto"/>
              <w:right w:val="single" w:sz="4" w:space="0" w:color="auto"/>
            </w:tcBorders>
            <w:shd w:val="clear" w:color="000000" w:fill="FFFF00"/>
            <w:vAlign w:val="center"/>
            <w:hideMark/>
          </w:tcPr>
          <w:p w14:paraId="4E20AACB"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706" w:type="pct"/>
            <w:tcBorders>
              <w:top w:val="nil"/>
              <w:left w:val="nil"/>
              <w:bottom w:val="single" w:sz="4" w:space="0" w:color="auto"/>
              <w:right w:val="single" w:sz="4" w:space="0" w:color="auto"/>
            </w:tcBorders>
            <w:shd w:val="clear" w:color="000000" w:fill="FFFF00"/>
            <w:vAlign w:val="center"/>
            <w:hideMark/>
          </w:tcPr>
          <w:p w14:paraId="5644FBAC"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523" w:type="pct"/>
            <w:tcBorders>
              <w:top w:val="nil"/>
              <w:left w:val="nil"/>
              <w:bottom w:val="single" w:sz="4" w:space="0" w:color="auto"/>
              <w:right w:val="single" w:sz="4" w:space="0" w:color="auto"/>
            </w:tcBorders>
            <w:shd w:val="clear" w:color="000000" w:fill="FFFF00"/>
            <w:vAlign w:val="center"/>
            <w:hideMark/>
          </w:tcPr>
          <w:p w14:paraId="2F77CBBA"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r>
      <w:tr w:rsidR="00570262" w:rsidRPr="00570262" w14:paraId="27528163" w14:textId="77777777" w:rsidTr="00570262">
        <w:trPr>
          <w:trHeight w:val="480"/>
        </w:trPr>
        <w:tc>
          <w:tcPr>
            <w:tcW w:w="523" w:type="pct"/>
            <w:vMerge/>
            <w:tcBorders>
              <w:top w:val="nil"/>
              <w:left w:val="single" w:sz="4" w:space="0" w:color="auto"/>
              <w:bottom w:val="single" w:sz="4" w:space="0" w:color="auto"/>
              <w:right w:val="single" w:sz="4" w:space="0" w:color="auto"/>
            </w:tcBorders>
            <w:vAlign w:val="center"/>
            <w:hideMark/>
          </w:tcPr>
          <w:p w14:paraId="2FAFC14B"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tcBorders>
              <w:top w:val="nil"/>
              <w:left w:val="single" w:sz="4" w:space="0" w:color="auto"/>
              <w:bottom w:val="single" w:sz="4" w:space="0" w:color="auto"/>
              <w:right w:val="single" w:sz="4" w:space="0" w:color="auto"/>
            </w:tcBorders>
            <w:vAlign w:val="center"/>
            <w:hideMark/>
          </w:tcPr>
          <w:p w14:paraId="0497167E"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1610" w:type="pct"/>
            <w:tcBorders>
              <w:top w:val="nil"/>
              <w:left w:val="nil"/>
              <w:bottom w:val="single" w:sz="4" w:space="0" w:color="auto"/>
              <w:right w:val="single" w:sz="4" w:space="0" w:color="auto"/>
            </w:tcBorders>
            <w:shd w:val="clear" w:color="auto" w:fill="auto"/>
            <w:vAlign w:val="center"/>
            <w:hideMark/>
          </w:tcPr>
          <w:p w14:paraId="334694C0"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Perte de propriété et des moyens de subsistance</w:t>
            </w:r>
          </w:p>
        </w:tc>
        <w:tc>
          <w:tcPr>
            <w:tcW w:w="593" w:type="pct"/>
            <w:tcBorders>
              <w:top w:val="nil"/>
              <w:left w:val="nil"/>
              <w:bottom w:val="single" w:sz="4" w:space="0" w:color="auto"/>
              <w:right w:val="single" w:sz="4" w:space="0" w:color="auto"/>
            </w:tcBorders>
            <w:shd w:val="clear" w:color="000000" w:fill="FFFF00"/>
            <w:vAlign w:val="center"/>
            <w:hideMark/>
          </w:tcPr>
          <w:p w14:paraId="35C54D56"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522" w:type="pct"/>
            <w:tcBorders>
              <w:top w:val="nil"/>
              <w:left w:val="nil"/>
              <w:bottom w:val="single" w:sz="4" w:space="0" w:color="auto"/>
              <w:right w:val="single" w:sz="4" w:space="0" w:color="auto"/>
            </w:tcBorders>
            <w:shd w:val="clear" w:color="000000" w:fill="FFFF00"/>
            <w:vAlign w:val="center"/>
            <w:hideMark/>
          </w:tcPr>
          <w:p w14:paraId="6D34AFEF"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706" w:type="pct"/>
            <w:tcBorders>
              <w:top w:val="nil"/>
              <w:left w:val="nil"/>
              <w:bottom w:val="single" w:sz="4" w:space="0" w:color="auto"/>
              <w:right w:val="single" w:sz="4" w:space="0" w:color="auto"/>
            </w:tcBorders>
            <w:shd w:val="clear" w:color="000000" w:fill="FFFF00"/>
            <w:vAlign w:val="center"/>
            <w:hideMark/>
          </w:tcPr>
          <w:p w14:paraId="194E5FE8"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523" w:type="pct"/>
            <w:tcBorders>
              <w:top w:val="nil"/>
              <w:left w:val="nil"/>
              <w:bottom w:val="single" w:sz="4" w:space="0" w:color="auto"/>
              <w:right w:val="single" w:sz="4" w:space="0" w:color="auto"/>
            </w:tcBorders>
            <w:shd w:val="clear" w:color="000000" w:fill="FFFF00"/>
            <w:vAlign w:val="center"/>
            <w:hideMark/>
          </w:tcPr>
          <w:p w14:paraId="6EC21953"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r>
      <w:tr w:rsidR="00A73AF6" w:rsidRPr="00570262" w14:paraId="24429B42" w14:textId="77777777" w:rsidTr="00345918">
        <w:trPr>
          <w:trHeight w:val="480"/>
        </w:trPr>
        <w:tc>
          <w:tcPr>
            <w:tcW w:w="523" w:type="pct"/>
            <w:vMerge/>
            <w:tcBorders>
              <w:top w:val="nil"/>
              <w:left w:val="single" w:sz="4" w:space="0" w:color="auto"/>
              <w:bottom w:val="single" w:sz="4" w:space="0" w:color="auto"/>
              <w:right w:val="single" w:sz="4" w:space="0" w:color="auto"/>
            </w:tcBorders>
            <w:vAlign w:val="center"/>
          </w:tcPr>
          <w:p w14:paraId="233A6CBD" w14:textId="77777777" w:rsidR="00A73AF6" w:rsidRPr="00570262" w:rsidRDefault="00A73AF6" w:rsidP="00570262">
            <w:pPr>
              <w:spacing w:after="0" w:line="240" w:lineRule="auto"/>
              <w:rPr>
                <w:rFonts w:ascii="Arial" w:eastAsia="Times New Roman" w:hAnsi="Arial" w:cs="Arial"/>
                <w:color w:val="000000"/>
                <w:sz w:val="18"/>
                <w:szCs w:val="18"/>
                <w:lang w:eastAsia="fr-FR"/>
              </w:rPr>
            </w:pPr>
          </w:p>
        </w:tc>
        <w:tc>
          <w:tcPr>
            <w:tcW w:w="523" w:type="pct"/>
            <w:vMerge/>
            <w:tcBorders>
              <w:top w:val="nil"/>
              <w:left w:val="single" w:sz="4" w:space="0" w:color="auto"/>
              <w:bottom w:val="single" w:sz="4" w:space="0" w:color="auto"/>
              <w:right w:val="single" w:sz="4" w:space="0" w:color="auto"/>
            </w:tcBorders>
            <w:vAlign w:val="center"/>
          </w:tcPr>
          <w:p w14:paraId="136A43DD" w14:textId="77777777" w:rsidR="00A73AF6" w:rsidRPr="00570262" w:rsidRDefault="00A73AF6" w:rsidP="00570262">
            <w:pPr>
              <w:spacing w:after="0" w:line="240" w:lineRule="auto"/>
              <w:rPr>
                <w:rFonts w:ascii="Arial" w:eastAsia="Times New Roman" w:hAnsi="Arial" w:cs="Arial"/>
                <w:color w:val="000000"/>
                <w:sz w:val="18"/>
                <w:szCs w:val="18"/>
                <w:lang w:eastAsia="fr-FR"/>
              </w:rPr>
            </w:pPr>
          </w:p>
        </w:tc>
        <w:tc>
          <w:tcPr>
            <w:tcW w:w="1610" w:type="pct"/>
            <w:tcBorders>
              <w:top w:val="nil"/>
              <w:left w:val="nil"/>
              <w:bottom w:val="single" w:sz="4" w:space="0" w:color="auto"/>
              <w:right w:val="single" w:sz="4" w:space="0" w:color="auto"/>
            </w:tcBorders>
            <w:shd w:val="clear" w:color="auto" w:fill="auto"/>
            <w:vAlign w:val="center"/>
          </w:tcPr>
          <w:p w14:paraId="6EBA2769" w14:textId="77777777" w:rsidR="00A73AF6" w:rsidRPr="00570262" w:rsidRDefault="00A73AF6" w:rsidP="00570262">
            <w:pPr>
              <w:spacing w:after="0" w:line="240" w:lineRule="auto"/>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Deplacement physique et/ou économique des personnes</w:t>
            </w:r>
          </w:p>
        </w:tc>
        <w:tc>
          <w:tcPr>
            <w:tcW w:w="593" w:type="pct"/>
            <w:tcBorders>
              <w:top w:val="nil"/>
              <w:left w:val="nil"/>
              <w:bottom w:val="single" w:sz="4" w:space="0" w:color="auto"/>
              <w:right w:val="single" w:sz="4" w:space="0" w:color="auto"/>
            </w:tcBorders>
            <w:shd w:val="clear" w:color="auto" w:fill="FFFF00"/>
            <w:vAlign w:val="center"/>
          </w:tcPr>
          <w:p w14:paraId="7686D4D6" w14:textId="77777777" w:rsidR="00A73AF6" w:rsidRPr="00570262" w:rsidRDefault="00A73AF6"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522" w:type="pct"/>
            <w:tcBorders>
              <w:top w:val="nil"/>
              <w:left w:val="nil"/>
              <w:bottom w:val="single" w:sz="4" w:space="0" w:color="auto"/>
              <w:right w:val="single" w:sz="4" w:space="0" w:color="auto"/>
            </w:tcBorders>
            <w:shd w:val="clear" w:color="auto" w:fill="FFFF00"/>
            <w:vAlign w:val="center"/>
          </w:tcPr>
          <w:p w14:paraId="2DA012F3" w14:textId="77777777" w:rsidR="00A73AF6" w:rsidRPr="00570262" w:rsidRDefault="00A73AF6"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706" w:type="pct"/>
            <w:tcBorders>
              <w:top w:val="nil"/>
              <w:left w:val="nil"/>
              <w:bottom w:val="single" w:sz="4" w:space="0" w:color="auto"/>
              <w:right w:val="single" w:sz="4" w:space="0" w:color="auto"/>
            </w:tcBorders>
            <w:shd w:val="clear" w:color="auto" w:fill="FFFF00"/>
            <w:vAlign w:val="center"/>
          </w:tcPr>
          <w:p w14:paraId="7103BBD5" w14:textId="77777777" w:rsidR="00A73AF6" w:rsidRPr="00570262" w:rsidRDefault="00A73AF6"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523" w:type="pct"/>
            <w:tcBorders>
              <w:top w:val="nil"/>
              <w:left w:val="nil"/>
              <w:bottom w:val="single" w:sz="4" w:space="0" w:color="auto"/>
              <w:right w:val="single" w:sz="4" w:space="0" w:color="auto"/>
            </w:tcBorders>
            <w:shd w:val="clear" w:color="auto" w:fill="FFFF00"/>
            <w:vAlign w:val="center"/>
          </w:tcPr>
          <w:p w14:paraId="3749C620" w14:textId="77777777" w:rsidR="00A73AF6" w:rsidRPr="00570262" w:rsidRDefault="00A73AF6"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r>
      <w:tr w:rsidR="00570262" w:rsidRPr="00570262" w14:paraId="7B72453C" w14:textId="77777777" w:rsidTr="00570262">
        <w:trPr>
          <w:trHeight w:val="480"/>
        </w:trPr>
        <w:tc>
          <w:tcPr>
            <w:tcW w:w="523" w:type="pct"/>
            <w:vMerge/>
            <w:tcBorders>
              <w:top w:val="nil"/>
              <w:left w:val="single" w:sz="4" w:space="0" w:color="auto"/>
              <w:bottom w:val="single" w:sz="4" w:space="0" w:color="auto"/>
              <w:right w:val="single" w:sz="4" w:space="0" w:color="auto"/>
            </w:tcBorders>
            <w:vAlign w:val="center"/>
            <w:hideMark/>
          </w:tcPr>
          <w:p w14:paraId="2A4B0074"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tcBorders>
              <w:top w:val="nil"/>
              <w:left w:val="single" w:sz="4" w:space="0" w:color="auto"/>
              <w:bottom w:val="single" w:sz="4" w:space="0" w:color="auto"/>
              <w:right w:val="single" w:sz="4" w:space="0" w:color="auto"/>
            </w:tcBorders>
            <w:vAlign w:val="center"/>
            <w:hideMark/>
          </w:tcPr>
          <w:p w14:paraId="1A5D34F0"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1610" w:type="pct"/>
            <w:tcBorders>
              <w:top w:val="nil"/>
              <w:left w:val="nil"/>
              <w:bottom w:val="single" w:sz="4" w:space="0" w:color="auto"/>
              <w:right w:val="single" w:sz="4" w:space="0" w:color="auto"/>
            </w:tcBorders>
            <w:shd w:val="clear" w:color="auto" w:fill="auto"/>
            <w:vAlign w:val="center"/>
            <w:hideMark/>
          </w:tcPr>
          <w:p w14:paraId="04C4AA04"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Nuisances sonores et vibrations pendant le transport</w:t>
            </w:r>
          </w:p>
        </w:tc>
        <w:tc>
          <w:tcPr>
            <w:tcW w:w="593" w:type="pct"/>
            <w:tcBorders>
              <w:top w:val="nil"/>
              <w:left w:val="nil"/>
              <w:bottom w:val="single" w:sz="4" w:space="0" w:color="auto"/>
              <w:right w:val="single" w:sz="4" w:space="0" w:color="auto"/>
            </w:tcBorders>
            <w:shd w:val="clear" w:color="000000" w:fill="FFFF00"/>
            <w:vAlign w:val="center"/>
            <w:hideMark/>
          </w:tcPr>
          <w:p w14:paraId="07BB123B"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522" w:type="pct"/>
            <w:tcBorders>
              <w:top w:val="nil"/>
              <w:left w:val="nil"/>
              <w:bottom w:val="single" w:sz="4" w:space="0" w:color="auto"/>
              <w:right w:val="single" w:sz="4" w:space="0" w:color="auto"/>
            </w:tcBorders>
            <w:shd w:val="clear" w:color="000000" w:fill="FFFF00"/>
            <w:vAlign w:val="center"/>
            <w:hideMark/>
          </w:tcPr>
          <w:p w14:paraId="2EB70C72"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706" w:type="pct"/>
            <w:tcBorders>
              <w:top w:val="nil"/>
              <w:left w:val="nil"/>
              <w:bottom w:val="single" w:sz="4" w:space="0" w:color="auto"/>
              <w:right w:val="single" w:sz="4" w:space="0" w:color="auto"/>
            </w:tcBorders>
            <w:shd w:val="clear" w:color="000000" w:fill="00B050"/>
            <w:vAlign w:val="center"/>
            <w:hideMark/>
          </w:tcPr>
          <w:p w14:paraId="3F652EEE"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523" w:type="pct"/>
            <w:tcBorders>
              <w:top w:val="nil"/>
              <w:left w:val="nil"/>
              <w:bottom w:val="single" w:sz="4" w:space="0" w:color="auto"/>
              <w:right w:val="single" w:sz="4" w:space="0" w:color="auto"/>
            </w:tcBorders>
            <w:shd w:val="clear" w:color="000000" w:fill="FFFF00"/>
            <w:vAlign w:val="center"/>
            <w:hideMark/>
          </w:tcPr>
          <w:p w14:paraId="27C63F2C"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r>
      <w:tr w:rsidR="00570262" w:rsidRPr="00570262" w14:paraId="4ACF9E39" w14:textId="77777777" w:rsidTr="00570262">
        <w:trPr>
          <w:trHeight w:val="300"/>
        </w:trPr>
        <w:tc>
          <w:tcPr>
            <w:tcW w:w="523" w:type="pct"/>
            <w:vMerge/>
            <w:tcBorders>
              <w:top w:val="nil"/>
              <w:left w:val="single" w:sz="4" w:space="0" w:color="auto"/>
              <w:bottom w:val="single" w:sz="4" w:space="0" w:color="auto"/>
              <w:right w:val="single" w:sz="4" w:space="0" w:color="auto"/>
            </w:tcBorders>
            <w:vAlign w:val="center"/>
            <w:hideMark/>
          </w:tcPr>
          <w:p w14:paraId="69D70F39"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tcBorders>
              <w:top w:val="nil"/>
              <w:left w:val="single" w:sz="4" w:space="0" w:color="auto"/>
              <w:bottom w:val="single" w:sz="4" w:space="0" w:color="auto"/>
              <w:right w:val="single" w:sz="4" w:space="0" w:color="auto"/>
            </w:tcBorders>
            <w:vAlign w:val="center"/>
            <w:hideMark/>
          </w:tcPr>
          <w:p w14:paraId="7A6FE46E"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1610" w:type="pct"/>
            <w:tcBorders>
              <w:top w:val="nil"/>
              <w:left w:val="nil"/>
              <w:bottom w:val="single" w:sz="4" w:space="0" w:color="auto"/>
              <w:right w:val="single" w:sz="4" w:space="0" w:color="auto"/>
            </w:tcBorders>
            <w:shd w:val="clear" w:color="auto" w:fill="auto"/>
            <w:vAlign w:val="center"/>
            <w:hideMark/>
          </w:tcPr>
          <w:p w14:paraId="319B514A"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Production de déchets, salubrité</w:t>
            </w:r>
          </w:p>
        </w:tc>
        <w:tc>
          <w:tcPr>
            <w:tcW w:w="593" w:type="pct"/>
            <w:tcBorders>
              <w:top w:val="nil"/>
              <w:left w:val="nil"/>
              <w:bottom w:val="single" w:sz="4" w:space="0" w:color="auto"/>
              <w:right w:val="single" w:sz="4" w:space="0" w:color="auto"/>
            </w:tcBorders>
            <w:shd w:val="clear" w:color="000000" w:fill="00B050"/>
            <w:vAlign w:val="center"/>
            <w:hideMark/>
          </w:tcPr>
          <w:p w14:paraId="2E8A4B24"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522" w:type="pct"/>
            <w:tcBorders>
              <w:top w:val="nil"/>
              <w:left w:val="nil"/>
              <w:bottom w:val="single" w:sz="4" w:space="0" w:color="auto"/>
              <w:right w:val="single" w:sz="4" w:space="0" w:color="auto"/>
            </w:tcBorders>
            <w:shd w:val="clear" w:color="000000" w:fill="00B050"/>
            <w:vAlign w:val="center"/>
            <w:hideMark/>
          </w:tcPr>
          <w:p w14:paraId="0A7173F5"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706" w:type="pct"/>
            <w:tcBorders>
              <w:top w:val="nil"/>
              <w:left w:val="nil"/>
              <w:bottom w:val="single" w:sz="4" w:space="0" w:color="auto"/>
              <w:right w:val="single" w:sz="4" w:space="0" w:color="auto"/>
            </w:tcBorders>
            <w:shd w:val="clear" w:color="000000" w:fill="00B050"/>
            <w:vAlign w:val="center"/>
            <w:hideMark/>
          </w:tcPr>
          <w:p w14:paraId="3D7A233E"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523" w:type="pct"/>
            <w:tcBorders>
              <w:top w:val="nil"/>
              <w:left w:val="nil"/>
              <w:bottom w:val="single" w:sz="4" w:space="0" w:color="auto"/>
              <w:right w:val="single" w:sz="4" w:space="0" w:color="auto"/>
            </w:tcBorders>
            <w:shd w:val="clear" w:color="000000" w:fill="00B050"/>
            <w:vAlign w:val="center"/>
            <w:hideMark/>
          </w:tcPr>
          <w:p w14:paraId="11A6E5EE"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r>
      <w:tr w:rsidR="00570262" w:rsidRPr="00570262" w14:paraId="46A5481E" w14:textId="77777777" w:rsidTr="00570262">
        <w:trPr>
          <w:trHeight w:val="720"/>
        </w:trPr>
        <w:tc>
          <w:tcPr>
            <w:tcW w:w="523" w:type="pct"/>
            <w:vMerge/>
            <w:tcBorders>
              <w:top w:val="nil"/>
              <w:left w:val="single" w:sz="4" w:space="0" w:color="auto"/>
              <w:bottom w:val="single" w:sz="4" w:space="0" w:color="auto"/>
              <w:right w:val="single" w:sz="4" w:space="0" w:color="auto"/>
            </w:tcBorders>
            <w:vAlign w:val="center"/>
            <w:hideMark/>
          </w:tcPr>
          <w:p w14:paraId="19F5C47B"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val="restart"/>
            <w:tcBorders>
              <w:top w:val="nil"/>
              <w:left w:val="single" w:sz="4" w:space="0" w:color="auto"/>
              <w:bottom w:val="single" w:sz="4" w:space="0" w:color="auto"/>
              <w:right w:val="single" w:sz="4" w:space="0" w:color="auto"/>
            </w:tcBorders>
            <w:shd w:val="clear" w:color="auto" w:fill="auto"/>
            <w:vAlign w:val="center"/>
            <w:hideMark/>
          </w:tcPr>
          <w:p w14:paraId="047F5903"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Santé et sécurité</w:t>
            </w:r>
          </w:p>
        </w:tc>
        <w:tc>
          <w:tcPr>
            <w:tcW w:w="1610" w:type="pct"/>
            <w:tcBorders>
              <w:top w:val="nil"/>
              <w:left w:val="nil"/>
              <w:bottom w:val="single" w:sz="4" w:space="0" w:color="auto"/>
              <w:right w:val="single" w:sz="4" w:space="0" w:color="auto"/>
            </w:tcBorders>
            <w:shd w:val="clear" w:color="auto" w:fill="auto"/>
            <w:vAlign w:val="center"/>
            <w:hideMark/>
          </w:tcPr>
          <w:p w14:paraId="24866FA7"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Risques de maladies respiratoires à cause des poussières et gaz d’échappement des véhicules de chantier</w:t>
            </w:r>
          </w:p>
        </w:tc>
        <w:tc>
          <w:tcPr>
            <w:tcW w:w="593" w:type="pct"/>
            <w:tcBorders>
              <w:top w:val="nil"/>
              <w:left w:val="nil"/>
              <w:bottom w:val="single" w:sz="4" w:space="0" w:color="auto"/>
              <w:right w:val="single" w:sz="4" w:space="0" w:color="auto"/>
            </w:tcBorders>
            <w:shd w:val="clear" w:color="000000" w:fill="FFFF00"/>
            <w:vAlign w:val="center"/>
            <w:hideMark/>
          </w:tcPr>
          <w:p w14:paraId="54762FE9"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522" w:type="pct"/>
            <w:tcBorders>
              <w:top w:val="nil"/>
              <w:left w:val="nil"/>
              <w:bottom w:val="single" w:sz="4" w:space="0" w:color="auto"/>
              <w:right w:val="single" w:sz="4" w:space="0" w:color="auto"/>
            </w:tcBorders>
            <w:shd w:val="clear" w:color="000000" w:fill="FFFF00"/>
            <w:vAlign w:val="center"/>
            <w:hideMark/>
          </w:tcPr>
          <w:p w14:paraId="5518DA1B"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706" w:type="pct"/>
            <w:tcBorders>
              <w:top w:val="nil"/>
              <w:left w:val="nil"/>
              <w:bottom w:val="single" w:sz="4" w:space="0" w:color="auto"/>
              <w:right w:val="single" w:sz="4" w:space="0" w:color="auto"/>
            </w:tcBorders>
            <w:shd w:val="clear" w:color="000000" w:fill="FFFF00"/>
            <w:vAlign w:val="center"/>
            <w:hideMark/>
          </w:tcPr>
          <w:p w14:paraId="35741D31"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523" w:type="pct"/>
            <w:tcBorders>
              <w:top w:val="nil"/>
              <w:left w:val="nil"/>
              <w:bottom w:val="single" w:sz="4" w:space="0" w:color="auto"/>
              <w:right w:val="single" w:sz="4" w:space="0" w:color="auto"/>
            </w:tcBorders>
            <w:shd w:val="clear" w:color="000000" w:fill="00B050"/>
            <w:vAlign w:val="center"/>
            <w:hideMark/>
          </w:tcPr>
          <w:p w14:paraId="4290C368"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r>
      <w:tr w:rsidR="00570262" w:rsidRPr="00570262" w14:paraId="051B4A62" w14:textId="77777777" w:rsidTr="00570262">
        <w:trPr>
          <w:trHeight w:val="720"/>
        </w:trPr>
        <w:tc>
          <w:tcPr>
            <w:tcW w:w="523" w:type="pct"/>
            <w:vMerge/>
            <w:tcBorders>
              <w:top w:val="nil"/>
              <w:left w:val="single" w:sz="4" w:space="0" w:color="auto"/>
              <w:bottom w:val="single" w:sz="4" w:space="0" w:color="auto"/>
              <w:right w:val="single" w:sz="4" w:space="0" w:color="auto"/>
            </w:tcBorders>
            <w:vAlign w:val="center"/>
            <w:hideMark/>
          </w:tcPr>
          <w:p w14:paraId="4DCC90D9"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tcBorders>
              <w:top w:val="nil"/>
              <w:left w:val="single" w:sz="4" w:space="0" w:color="auto"/>
              <w:bottom w:val="single" w:sz="4" w:space="0" w:color="auto"/>
              <w:right w:val="single" w:sz="4" w:space="0" w:color="auto"/>
            </w:tcBorders>
            <w:vAlign w:val="center"/>
            <w:hideMark/>
          </w:tcPr>
          <w:p w14:paraId="3BDDA887"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1610" w:type="pct"/>
            <w:tcBorders>
              <w:top w:val="nil"/>
              <w:left w:val="nil"/>
              <w:bottom w:val="single" w:sz="4" w:space="0" w:color="auto"/>
              <w:right w:val="single" w:sz="4" w:space="0" w:color="auto"/>
            </w:tcBorders>
            <w:shd w:val="clear" w:color="auto" w:fill="auto"/>
            <w:vAlign w:val="center"/>
            <w:hideMark/>
          </w:tcPr>
          <w:p w14:paraId="419718C3"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Risque de transmission des maladies transmissibles (MST/VIH SIDA, COVID - 19)</w:t>
            </w:r>
          </w:p>
        </w:tc>
        <w:tc>
          <w:tcPr>
            <w:tcW w:w="593" w:type="pct"/>
            <w:tcBorders>
              <w:top w:val="nil"/>
              <w:left w:val="nil"/>
              <w:bottom w:val="single" w:sz="4" w:space="0" w:color="auto"/>
              <w:right w:val="single" w:sz="4" w:space="0" w:color="auto"/>
            </w:tcBorders>
            <w:shd w:val="clear" w:color="000000" w:fill="FFFF00"/>
            <w:vAlign w:val="center"/>
            <w:hideMark/>
          </w:tcPr>
          <w:p w14:paraId="5C9DC2E3"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522" w:type="pct"/>
            <w:tcBorders>
              <w:top w:val="nil"/>
              <w:left w:val="nil"/>
              <w:bottom w:val="single" w:sz="4" w:space="0" w:color="auto"/>
              <w:right w:val="single" w:sz="4" w:space="0" w:color="auto"/>
            </w:tcBorders>
            <w:shd w:val="clear" w:color="000000" w:fill="FFFF00"/>
            <w:vAlign w:val="center"/>
            <w:hideMark/>
          </w:tcPr>
          <w:p w14:paraId="2B4A5456"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706" w:type="pct"/>
            <w:tcBorders>
              <w:top w:val="nil"/>
              <w:left w:val="nil"/>
              <w:bottom w:val="single" w:sz="4" w:space="0" w:color="auto"/>
              <w:right w:val="single" w:sz="4" w:space="0" w:color="auto"/>
            </w:tcBorders>
            <w:shd w:val="clear" w:color="000000" w:fill="FFFF00"/>
            <w:vAlign w:val="center"/>
            <w:hideMark/>
          </w:tcPr>
          <w:p w14:paraId="5D9220DC"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523" w:type="pct"/>
            <w:tcBorders>
              <w:top w:val="nil"/>
              <w:left w:val="nil"/>
              <w:bottom w:val="single" w:sz="4" w:space="0" w:color="auto"/>
              <w:right w:val="single" w:sz="4" w:space="0" w:color="auto"/>
            </w:tcBorders>
            <w:shd w:val="clear" w:color="000000" w:fill="FFFF00"/>
            <w:vAlign w:val="center"/>
            <w:hideMark/>
          </w:tcPr>
          <w:p w14:paraId="4A038BE9"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r>
      <w:tr w:rsidR="00570262" w:rsidRPr="00570262" w14:paraId="41CAFADA" w14:textId="77777777" w:rsidTr="00570262">
        <w:trPr>
          <w:trHeight w:val="480"/>
        </w:trPr>
        <w:tc>
          <w:tcPr>
            <w:tcW w:w="523" w:type="pct"/>
            <w:vMerge/>
            <w:tcBorders>
              <w:top w:val="nil"/>
              <w:left w:val="single" w:sz="4" w:space="0" w:color="auto"/>
              <w:bottom w:val="single" w:sz="4" w:space="0" w:color="auto"/>
              <w:right w:val="single" w:sz="4" w:space="0" w:color="auto"/>
            </w:tcBorders>
            <w:vAlign w:val="center"/>
            <w:hideMark/>
          </w:tcPr>
          <w:p w14:paraId="030131D3"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tcBorders>
              <w:top w:val="nil"/>
              <w:left w:val="single" w:sz="4" w:space="0" w:color="auto"/>
              <w:bottom w:val="single" w:sz="4" w:space="0" w:color="auto"/>
              <w:right w:val="single" w:sz="4" w:space="0" w:color="auto"/>
            </w:tcBorders>
            <w:vAlign w:val="center"/>
            <w:hideMark/>
          </w:tcPr>
          <w:p w14:paraId="5FE1232C"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1610" w:type="pct"/>
            <w:tcBorders>
              <w:top w:val="nil"/>
              <w:left w:val="nil"/>
              <w:bottom w:val="single" w:sz="4" w:space="0" w:color="auto"/>
              <w:right w:val="single" w:sz="4" w:space="0" w:color="auto"/>
            </w:tcBorders>
            <w:shd w:val="clear" w:color="auto" w:fill="auto"/>
            <w:vAlign w:val="center"/>
            <w:hideMark/>
          </w:tcPr>
          <w:p w14:paraId="5B0F3FAD"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Risque d'augmentation des cas de VBG, EAS/HS et grossesse non désirée</w:t>
            </w:r>
          </w:p>
        </w:tc>
        <w:tc>
          <w:tcPr>
            <w:tcW w:w="593" w:type="pct"/>
            <w:tcBorders>
              <w:top w:val="nil"/>
              <w:left w:val="nil"/>
              <w:bottom w:val="single" w:sz="4" w:space="0" w:color="auto"/>
              <w:right w:val="single" w:sz="4" w:space="0" w:color="auto"/>
            </w:tcBorders>
            <w:shd w:val="clear" w:color="000000" w:fill="FFFF00"/>
            <w:vAlign w:val="center"/>
            <w:hideMark/>
          </w:tcPr>
          <w:p w14:paraId="730AC7E1"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522" w:type="pct"/>
            <w:tcBorders>
              <w:top w:val="nil"/>
              <w:left w:val="nil"/>
              <w:bottom w:val="single" w:sz="4" w:space="0" w:color="auto"/>
              <w:right w:val="single" w:sz="4" w:space="0" w:color="auto"/>
            </w:tcBorders>
            <w:shd w:val="clear" w:color="000000" w:fill="FFFF00"/>
            <w:vAlign w:val="center"/>
            <w:hideMark/>
          </w:tcPr>
          <w:p w14:paraId="7FA3027D"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706" w:type="pct"/>
            <w:tcBorders>
              <w:top w:val="nil"/>
              <w:left w:val="nil"/>
              <w:bottom w:val="single" w:sz="4" w:space="0" w:color="auto"/>
              <w:right w:val="single" w:sz="4" w:space="0" w:color="auto"/>
            </w:tcBorders>
            <w:shd w:val="clear" w:color="000000" w:fill="FFFF00"/>
            <w:vAlign w:val="center"/>
            <w:hideMark/>
          </w:tcPr>
          <w:p w14:paraId="2BA36A13"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523" w:type="pct"/>
            <w:tcBorders>
              <w:top w:val="nil"/>
              <w:left w:val="nil"/>
              <w:bottom w:val="single" w:sz="4" w:space="0" w:color="auto"/>
              <w:right w:val="single" w:sz="4" w:space="0" w:color="auto"/>
            </w:tcBorders>
            <w:shd w:val="clear" w:color="000000" w:fill="FFFF00"/>
            <w:vAlign w:val="center"/>
            <w:hideMark/>
          </w:tcPr>
          <w:p w14:paraId="37292DB3"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r>
      <w:tr w:rsidR="00570262" w:rsidRPr="00570262" w14:paraId="0A82D0C4" w14:textId="77777777" w:rsidTr="00570262">
        <w:trPr>
          <w:trHeight w:val="300"/>
        </w:trPr>
        <w:tc>
          <w:tcPr>
            <w:tcW w:w="523" w:type="pct"/>
            <w:vMerge/>
            <w:tcBorders>
              <w:top w:val="nil"/>
              <w:left w:val="single" w:sz="4" w:space="0" w:color="auto"/>
              <w:bottom w:val="single" w:sz="4" w:space="0" w:color="auto"/>
              <w:right w:val="single" w:sz="4" w:space="0" w:color="auto"/>
            </w:tcBorders>
            <w:vAlign w:val="center"/>
            <w:hideMark/>
          </w:tcPr>
          <w:p w14:paraId="23065A55"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tcBorders>
              <w:top w:val="nil"/>
              <w:left w:val="single" w:sz="4" w:space="0" w:color="auto"/>
              <w:bottom w:val="single" w:sz="4" w:space="0" w:color="auto"/>
              <w:right w:val="single" w:sz="4" w:space="0" w:color="auto"/>
            </w:tcBorders>
            <w:vAlign w:val="center"/>
            <w:hideMark/>
          </w:tcPr>
          <w:p w14:paraId="45C44040"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1610" w:type="pct"/>
            <w:tcBorders>
              <w:top w:val="nil"/>
              <w:left w:val="nil"/>
              <w:bottom w:val="single" w:sz="4" w:space="0" w:color="auto"/>
              <w:right w:val="single" w:sz="4" w:space="0" w:color="auto"/>
            </w:tcBorders>
            <w:shd w:val="clear" w:color="auto" w:fill="auto"/>
            <w:vAlign w:val="center"/>
            <w:hideMark/>
          </w:tcPr>
          <w:p w14:paraId="14E1BB22"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Risque d’accident de circulation</w:t>
            </w:r>
          </w:p>
        </w:tc>
        <w:tc>
          <w:tcPr>
            <w:tcW w:w="593" w:type="pct"/>
            <w:tcBorders>
              <w:top w:val="nil"/>
              <w:left w:val="nil"/>
              <w:bottom w:val="single" w:sz="4" w:space="0" w:color="auto"/>
              <w:right w:val="single" w:sz="4" w:space="0" w:color="auto"/>
            </w:tcBorders>
            <w:shd w:val="clear" w:color="000000" w:fill="FFFF00"/>
            <w:vAlign w:val="center"/>
            <w:hideMark/>
          </w:tcPr>
          <w:p w14:paraId="32D4BFB3"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522" w:type="pct"/>
            <w:tcBorders>
              <w:top w:val="nil"/>
              <w:left w:val="nil"/>
              <w:bottom w:val="single" w:sz="4" w:space="0" w:color="auto"/>
              <w:right w:val="single" w:sz="4" w:space="0" w:color="auto"/>
            </w:tcBorders>
            <w:shd w:val="clear" w:color="000000" w:fill="FFFF00"/>
            <w:vAlign w:val="center"/>
            <w:hideMark/>
          </w:tcPr>
          <w:p w14:paraId="26CB0048"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706" w:type="pct"/>
            <w:tcBorders>
              <w:top w:val="nil"/>
              <w:left w:val="nil"/>
              <w:bottom w:val="single" w:sz="4" w:space="0" w:color="auto"/>
              <w:right w:val="single" w:sz="4" w:space="0" w:color="auto"/>
            </w:tcBorders>
            <w:shd w:val="clear" w:color="000000" w:fill="FFFF00"/>
            <w:vAlign w:val="center"/>
            <w:hideMark/>
          </w:tcPr>
          <w:p w14:paraId="54D6A438"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523" w:type="pct"/>
            <w:tcBorders>
              <w:top w:val="nil"/>
              <w:left w:val="nil"/>
              <w:bottom w:val="single" w:sz="4" w:space="0" w:color="auto"/>
              <w:right w:val="single" w:sz="4" w:space="0" w:color="auto"/>
            </w:tcBorders>
            <w:shd w:val="clear" w:color="000000" w:fill="FFFF00"/>
            <w:vAlign w:val="center"/>
            <w:hideMark/>
          </w:tcPr>
          <w:p w14:paraId="4966DEEC"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r>
      <w:tr w:rsidR="00570262" w:rsidRPr="00570262" w14:paraId="0459A673" w14:textId="77777777" w:rsidTr="00570262">
        <w:trPr>
          <w:trHeight w:val="300"/>
        </w:trPr>
        <w:tc>
          <w:tcPr>
            <w:tcW w:w="523" w:type="pct"/>
            <w:vMerge/>
            <w:tcBorders>
              <w:top w:val="nil"/>
              <w:left w:val="single" w:sz="4" w:space="0" w:color="auto"/>
              <w:bottom w:val="single" w:sz="4" w:space="0" w:color="auto"/>
              <w:right w:val="single" w:sz="4" w:space="0" w:color="auto"/>
            </w:tcBorders>
            <w:vAlign w:val="center"/>
            <w:hideMark/>
          </w:tcPr>
          <w:p w14:paraId="578F9830"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tcBorders>
              <w:top w:val="nil"/>
              <w:left w:val="single" w:sz="4" w:space="0" w:color="auto"/>
              <w:bottom w:val="single" w:sz="4" w:space="0" w:color="auto"/>
              <w:right w:val="single" w:sz="4" w:space="0" w:color="auto"/>
            </w:tcBorders>
            <w:vAlign w:val="center"/>
            <w:hideMark/>
          </w:tcPr>
          <w:p w14:paraId="3ACE50FD"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1610" w:type="pct"/>
            <w:tcBorders>
              <w:top w:val="nil"/>
              <w:left w:val="nil"/>
              <w:bottom w:val="single" w:sz="4" w:space="0" w:color="auto"/>
              <w:right w:val="single" w:sz="4" w:space="0" w:color="auto"/>
            </w:tcBorders>
            <w:shd w:val="clear" w:color="auto" w:fill="auto"/>
            <w:vAlign w:val="center"/>
            <w:hideMark/>
          </w:tcPr>
          <w:p w14:paraId="1805D4CD"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Risque d’accident de travail</w:t>
            </w:r>
          </w:p>
        </w:tc>
        <w:tc>
          <w:tcPr>
            <w:tcW w:w="593" w:type="pct"/>
            <w:tcBorders>
              <w:top w:val="nil"/>
              <w:left w:val="nil"/>
              <w:bottom w:val="single" w:sz="4" w:space="0" w:color="auto"/>
              <w:right w:val="single" w:sz="4" w:space="0" w:color="auto"/>
            </w:tcBorders>
            <w:shd w:val="clear" w:color="000000" w:fill="FFFF00"/>
            <w:vAlign w:val="center"/>
            <w:hideMark/>
          </w:tcPr>
          <w:p w14:paraId="32C17C9D"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522" w:type="pct"/>
            <w:tcBorders>
              <w:top w:val="nil"/>
              <w:left w:val="nil"/>
              <w:bottom w:val="single" w:sz="4" w:space="0" w:color="auto"/>
              <w:right w:val="single" w:sz="4" w:space="0" w:color="auto"/>
            </w:tcBorders>
            <w:shd w:val="clear" w:color="000000" w:fill="FFFF00"/>
            <w:vAlign w:val="center"/>
            <w:hideMark/>
          </w:tcPr>
          <w:p w14:paraId="43D65918"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706" w:type="pct"/>
            <w:tcBorders>
              <w:top w:val="nil"/>
              <w:left w:val="nil"/>
              <w:bottom w:val="single" w:sz="4" w:space="0" w:color="auto"/>
              <w:right w:val="single" w:sz="4" w:space="0" w:color="auto"/>
            </w:tcBorders>
            <w:shd w:val="clear" w:color="000000" w:fill="FFFF00"/>
            <w:vAlign w:val="center"/>
            <w:hideMark/>
          </w:tcPr>
          <w:p w14:paraId="1124C131"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523" w:type="pct"/>
            <w:tcBorders>
              <w:top w:val="nil"/>
              <w:left w:val="nil"/>
              <w:bottom w:val="single" w:sz="4" w:space="0" w:color="auto"/>
              <w:right w:val="single" w:sz="4" w:space="0" w:color="auto"/>
            </w:tcBorders>
            <w:shd w:val="clear" w:color="000000" w:fill="FFFF00"/>
            <w:vAlign w:val="center"/>
            <w:hideMark/>
          </w:tcPr>
          <w:p w14:paraId="4A14359D"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r>
      <w:tr w:rsidR="00570262" w:rsidRPr="00570262" w14:paraId="7F1443AB" w14:textId="77777777" w:rsidTr="00570262">
        <w:trPr>
          <w:trHeight w:val="300"/>
        </w:trPr>
        <w:tc>
          <w:tcPr>
            <w:tcW w:w="523" w:type="pct"/>
            <w:vMerge/>
            <w:tcBorders>
              <w:top w:val="nil"/>
              <w:left w:val="single" w:sz="4" w:space="0" w:color="auto"/>
              <w:bottom w:val="single" w:sz="4" w:space="0" w:color="auto"/>
              <w:right w:val="single" w:sz="4" w:space="0" w:color="auto"/>
            </w:tcBorders>
            <w:vAlign w:val="center"/>
            <w:hideMark/>
          </w:tcPr>
          <w:p w14:paraId="7E533828"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tcBorders>
              <w:top w:val="nil"/>
              <w:left w:val="single" w:sz="4" w:space="0" w:color="auto"/>
              <w:bottom w:val="single" w:sz="4" w:space="0" w:color="auto"/>
              <w:right w:val="single" w:sz="4" w:space="0" w:color="auto"/>
            </w:tcBorders>
            <w:vAlign w:val="center"/>
            <w:hideMark/>
          </w:tcPr>
          <w:p w14:paraId="599E4114"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1610" w:type="pct"/>
            <w:tcBorders>
              <w:top w:val="nil"/>
              <w:left w:val="nil"/>
              <w:bottom w:val="single" w:sz="4" w:space="0" w:color="auto"/>
              <w:right w:val="single" w:sz="4" w:space="0" w:color="auto"/>
            </w:tcBorders>
            <w:shd w:val="clear" w:color="auto" w:fill="auto"/>
            <w:vAlign w:val="center"/>
            <w:hideMark/>
          </w:tcPr>
          <w:p w14:paraId="2733817F"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Risque d’incendie et d’explosion</w:t>
            </w:r>
          </w:p>
        </w:tc>
        <w:tc>
          <w:tcPr>
            <w:tcW w:w="593" w:type="pct"/>
            <w:tcBorders>
              <w:top w:val="nil"/>
              <w:left w:val="nil"/>
              <w:bottom w:val="single" w:sz="4" w:space="0" w:color="auto"/>
              <w:right w:val="single" w:sz="4" w:space="0" w:color="auto"/>
            </w:tcBorders>
            <w:shd w:val="clear" w:color="000000" w:fill="00B050"/>
            <w:vAlign w:val="center"/>
            <w:hideMark/>
          </w:tcPr>
          <w:p w14:paraId="7DFBA7D2"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522" w:type="pct"/>
            <w:tcBorders>
              <w:top w:val="nil"/>
              <w:left w:val="nil"/>
              <w:bottom w:val="single" w:sz="4" w:space="0" w:color="auto"/>
              <w:right w:val="single" w:sz="4" w:space="0" w:color="auto"/>
            </w:tcBorders>
            <w:shd w:val="clear" w:color="000000" w:fill="FFFF00"/>
            <w:vAlign w:val="center"/>
            <w:hideMark/>
          </w:tcPr>
          <w:p w14:paraId="3A621674"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706" w:type="pct"/>
            <w:tcBorders>
              <w:top w:val="nil"/>
              <w:left w:val="nil"/>
              <w:bottom w:val="single" w:sz="4" w:space="0" w:color="auto"/>
              <w:right w:val="single" w:sz="4" w:space="0" w:color="auto"/>
            </w:tcBorders>
            <w:shd w:val="clear" w:color="000000" w:fill="FFFF00"/>
            <w:vAlign w:val="center"/>
            <w:hideMark/>
          </w:tcPr>
          <w:p w14:paraId="60044105"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523" w:type="pct"/>
            <w:tcBorders>
              <w:top w:val="nil"/>
              <w:left w:val="nil"/>
              <w:bottom w:val="single" w:sz="4" w:space="0" w:color="auto"/>
              <w:right w:val="single" w:sz="4" w:space="0" w:color="auto"/>
            </w:tcBorders>
            <w:shd w:val="clear" w:color="000000" w:fill="00B050"/>
            <w:vAlign w:val="center"/>
            <w:hideMark/>
          </w:tcPr>
          <w:p w14:paraId="1E3F57B4"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r>
      <w:tr w:rsidR="00A73AF6" w:rsidRPr="00570262" w14:paraId="03B6316A" w14:textId="77777777" w:rsidTr="00345918">
        <w:trPr>
          <w:trHeight w:val="300"/>
        </w:trPr>
        <w:tc>
          <w:tcPr>
            <w:tcW w:w="523" w:type="pct"/>
            <w:tcBorders>
              <w:top w:val="nil"/>
              <w:left w:val="single" w:sz="4" w:space="0" w:color="auto"/>
              <w:bottom w:val="single" w:sz="4" w:space="0" w:color="auto"/>
              <w:right w:val="single" w:sz="4" w:space="0" w:color="auto"/>
            </w:tcBorders>
            <w:vAlign w:val="center"/>
          </w:tcPr>
          <w:p w14:paraId="4774E890" w14:textId="77777777" w:rsidR="00A73AF6" w:rsidRPr="00570262" w:rsidRDefault="00A73AF6" w:rsidP="00570262">
            <w:pPr>
              <w:spacing w:after="0" w:line="240" w:lineRule="auto"/>
              <w:rPr>
                <w:rFonts w:ascii="Arial" w:eastAsia="Times New Roman" w:hAnsi="Arial" w:cs="Arial"/>
                <w:color w:val="000000"/>
                <w:sz w:val="18"/>
                <w:szCs w:val="18"/>
                <w:lang w:eastAsia="fr-FR"/>
              </w:rPr>
            </w:pPr>
          </w:p>
        </w:tc>
        <w:tc>
          <w:tcPr>
            <w:tcW w:w="523" w:type="pct"/>
            <w:tcBorders>
              <w:top w:val="nil"/>
              <w:left w:val="single" w:sz="4" w:space="0" w:color="auto"/>
              <w:bottom w:val="single" w:sz="4" w:space="0" w:color="auto"/>
              <w:right w:val="single" w:sz="4" w:space="0" w:color="auto"/>
            </w:tcBorders>
            <w:vAlign w:val="center"/>
          </w:tcPr>
          <w:p w14:paraId="6B0AB673" w14:textId="77777777" w:rsidR="00A73AF6" w:rsidRPr="00570262" w:rsidRDefault="00A73AF6" w:rsidP="00570262">
            <w:pPr>
              <w:spacing w:after="0" w:line="240" w:lineRule="auto"/>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Patrimoine culturel</w:t>
            </w:r>
          </w:p>
        </w:tc>
        <w:tc>
          <w:tcPr>
            <w:tcW w:w="1610" w:type="pct"/>
            <w:tcBorders>
              <w:top w:val="nil"/>
              <w:left w:val="nil"/>
              <w:bottom w:val="single" w:sz="4" w:space="0" w:color="auto"/>
              <w:right w:val="single" w:sz="4" w:space="0" w:color="auto"/>
            </w:tcBorders>
            <w:shd w:val="clear" w:color="auto" w:fill="auto"/>
            <w:vAlign w:val="center"/>
          </w:tcPr>
          <w:p w14:paraId="15064753" w14:textId="77777777" w:rsidR="00A73AF6" w:rsidRPr="00570262" w:rsidRDefault="00A73AF6" w:rsidP="00570262">
            <w:pPr>
              <w:spacing w:after="0" w:line="240" w:lineRule="auto"/>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Découverte fortutie et destruction des patrimoines culturels</w:t>
            </w:r>
          </w:p>
        </w:tc>
        <w:tc>
          <w:tcPr>
            <w:tcW w:w="593" w:type="pct"/>
            <w:tcBorders>
              <w:top w:val="nil"/>
              <w:left w:val="nil"/>
              <w:bottom w:val="single" w:sz="4" w:space="0" w:color="auto"/>
              <w:right w:val="single" w:sz="4" w:space="0" w:color="auto"/>
            </w:tcBorders>
            <w:shd w:val="clear" w:color="auto" w:fill="00B050"/>
            <w:vAlign w:val="center"/>
          </w:tcPr>
          <w:p w14:paraId="2CEB0435" w14:textId="77777777" w:rsidR="00A73AF6" w:rsidRPr="00570262" w:rsidRDefault="00A73AF6" w:rsidP="00A73AF6">
            <w:pPr>
              <w:spacing w:after="0" w:line="240" w:lineRule="auto"/>
              <w:jc w:val="center"/>
              <w:rPr>
                <w:rFonts w:ascii="Arial" w:eastAsia="Times New Roman" w:hAnsi="Arial" w:cs="Arial"/>
                <w:color w:val="000000"/>
                <w:sz w:val="18"/>
                <w:szCs w:val="18"/>
                <w:lang w:eastAsia="fr-FR"/>
              </w:rPr>
            </w:pPr>
            <w:r w:rsidRPr="00E4335D">
              <w:rPr>
                <w:rFonts w:ascii="Arial" w:eastAsia="Times New Roman" w:hAnsi="Arial" w:cs="Arial"/>
                <w:color w:val="000000"/>
                <w:sz w:val="18"/>
                <w:szCs w:val="18"/>
                <w:lang w:eastAsia="fr-FR"/>
              </w:rPr>
              <w:t>Mineure</w:t>
            </w:r>
          </w:p>
        </w:tc>
        <w:tc>
          <w:tcPr>
            <w:tcW w:w="522" w:type="pct"/>
            <w:tcBorders>
              <w:top w:val="nil"/>
              <w:left w:val="nil"/>
              <w:bottom w:val="single" w:sz="4" w:space="0" w:color="auto"/>
              <w:right w:val="single" w:sz="4" w:space="0" w:color="auto"/>
            </w:tcBorders>
            <w:shd w:val="clear" w:color="auto" w:fill="00B050"/>
            <w:vAlign w:val="center"/>
          </w:tcPr>
          <w:p w14:paraId="4F0D42EA" w14:textId="77777777" w:rsidR="00A73AF6" w:rsidRPr="00570262" w:rsidRDefault="00A73AF6" w:rsidP="001C0602">
            <w:pPr>
              <w:spacing w:after="0" w:line="240" w:lineRule="auto"/>
              <w:jc w:val="center"/>
              <w:rPr>
                <w:rFonts w:ascii="Arial" w:eastAsia="Times New Roman" w:hAnsi="Arial" w:cs="Arial"/>
                <w:color w:val="000000"/>
                <w:sz w:val="18"/>
                <w:szCs w:val="18"/>
                <w:lang w:eastAsia="fr-FR"/>
              </w:rPr>
            </w:pPr>
            <w:r w:rsidRPr="00E4335D">
              <w:rPr>
                <w:rFonts w:ascii="Arial" w:eastAsia="Times New Roman" w:hAnsi="Arial" w:cs="Arial"/>
                <w:color w:val="000000"/>
                <w:sz w:val="18"/>
                <w:szCs w:val="18"/>
                <w:lang w:eastAsia="fr-FR"/>
              </w:rPr>
              <w:t>Mineure</w:t>
            </w:r>
          </w:p>
        </w:tc>
        <w:tc>
          <w:tcPr>
            <w:tcW w:w="706" w:type="pct"/>
            <w:tcBorders>
              <w:top w:val="nil"/>
              <w:left w:val="nil"/>
              <w:bottom w:val="single" w:sz="4" w:space="0" w:color="auto"/>
              <w:right w:val="single" w:sz="4" w:space="0" w:color="auto"/>
            </w:tcBorders>
            <w:shd w:val="clear" w:color="auto" w:fill="00B050"/>
            <w:vAlign w:val="center"/>
          </w:tcPr>
          <w:p w14:paraId="4ACCE6CB" w14:textId="77777777" w:rsidR="00A73AF6" w:rsidRPr="00570262" w:rsidRDefault="00A73AF6" w:rsidP="006C5F2A">
            <w:pPr>
              <w:spacing w:after="0" w:line="240" w:lineRule="auto"/>
              <w:jc w:val="center"/>
              <w:rPr>
                <w:rFonts w:ascii="Arial" w:eastAsia="Times New Roman" w:hAnsi="Arial" w:cs="Arial"/>
                <w:color w:val="000000"/>
                <w:sz w:val="18"/>
                <w:szCs w:val="18"/>
                <w:lang w:eastAsia="fr-FR"/>
              </w:rPr>
            </w:pPr>
            <w:r w:rsidRPr="00E4335D">
              <w:rPr>
                <w:rFonts w:ascii="Arial" w:eastAsia="Times New Roman" w:hAnsi="Arial" w:cs="Arial"/>
                <w:color w:val="000000"/>
                <w:sz w:val="18"/>
                <w:szCs w:val="18"/>
                <w:lang w:eastAsia="fr-FR"/>
              </w:rPr>
              <w:t>Mineure</w:t>
            </w:r>
          </w:p>
        </w:tc>
        <w:tc>
          <w:tcPr>
            <w:tcW w:w="523" w:type="pct"/>
            <w:tcBorders>
              <w:top w:val="nil"/>
              <w:left w:val="nil"/>
              <w:bottom w:val="single" w:sz="4" w:space="0" w:color="auto"/>
              <w:right w:val="single" w:sz="4" w:space="0" w:color="auto"/>
            </w:tcBorders>
            <w:shd w:val="clear" w:color="auto" w:fill="00B050"/>
            <w:vAlign w:val="center"/>
          </w:tcPr>
          <w:p w14:paraId="31BEE725" w14:textId="77777777" w:rsidR="00A73AF6" w:rsidRPr="00570262" w:rsidRDefault="00A73AF6" w:rsidP="006C5F2A">
            <w:pPr>
              <w:spacing w:after="0" w:line="240" w:lineRule="auto"/>
              <w:jc w:val="center"/>
              <w:rPr>
                <w:rFonts w:ascii="Arial" w:eastAsia="Times New Roman" w:hAnsi="Arial" w:cs="Arial"/>
                <w:color w:val="000000"/>
                <w:sz w:val="18"/>
                <w:szCs w:val="18"/>
                <w:lang w:eastAsia="fr-FR"/>
              </w:rPr>
            </w:pPr>
            <w:r w:rsidRPr="00E4335D">
              <w:rPr>
                <w:rFonts w:ascii="Arial" w:eastAsia="Times New Roman" w:hAnsi="Arial" w:cs="Arial"/>
                <w:color w:val="000000"/>
                <w:sz w:val="18"/>
                <w:szCs w:val="18"/>
                <w:lang w:eastAsia="fr-FR"/>
              </w:rPr>
              <w:t>Mineure</w:t>
            </w:r>
          </w:p>
        </w:tc>
      </w:tr>
      <w:tr w:rsidR="00570262" w:rsidRPr="00570262" w14:paraId="2DA45274" w14:textId="77777777" w:rsidTr="00B434A6">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000000" w:fill="00B0F0"/>
            <w:vAlign w:val="center"/>
            <w:hideMark/>
          </w:tcPr>
          <w:p w14:paraId="7F92611B" w14:textId="77777777" w:rsidR="00570262" w:rsidRPr="00570262" w:rsidRDefault="00570262" w:rsidP="00570262">
            <w:pPr>
              <w:spacing w:after="0" w:line="240" w:lineRule="auto"/>
              <w:jc w:val="center"/>
              <w:rPr>
                <w:rFonts w:ascii="Arial" w:eastAsia="Times New Roman" w:hAnsi="Arial" w:cs="Arial"/>
                <w:b/>
                <w:bCs/>
                <w:color w:val="000000"/>
                <w:sz w:val="18"/>
                <w:szCs w:val="18"/>
                <w:lang w:eastAsia="fr-FR"/>
              </w:rPr>
            </w:pPr>
            <w:r w:rsidRPr="00570262">
              <w:rPr>
                <w:rFonts w:ascii="Arial" w:eastAsia="Times New Roman" w:hAnsi="Arial" w:cs="Arial"/>
                <w:b/>
                <w:bCs/>
                <w:color w:val="000000"/>
                <w:sz w:val="18"/>
                <w:szCs w:val="18"/>
                <w:lang w:eastAsia="fr-FR"/>
              </w:rPr>
              <w:t>Repli de chantier</w:t>
            </w:r>
          </w:p>
        </w:tc>
      </w:tr>
      <w:tr w:rsidR="00570262" w:rsidRPr="00570262" w14:paraId="4E639F2A" w14:textId="77777777" w:rsidTr="00570262">
        <w:trPr>
          <w:trHeight w:val="7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13FBF98B"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Physique</w:t>
            </w:r>
          </w:p>
        </w:tc>
        <w:tc>
          <w:tcPr>
            <w:tcW w:w="523" w:type="pct"/>
            <w:tcBorders>
              <w:top w:val="nil"/>
              <w:left w:val="nil"/>
              <w:bottom w:val="single" w:sz="4" w:space="0" w:color="auto"/>
              <w:right w:val="single" w:sz="4" w:space="0" w:color="auto"/>
            </w:tcBorders>
            <w:shd w:val="clear" w:color="auto" w:fill="auto"/>
            <w:vAlign w:val="center"/>
            <w:hideMark/>
          </w:tcPr>
          <w:p w14:paraId="44A11553"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Sol et eau</w:t>
            </w:r>
          </w:p>
        </w:tc>
        <w:tc>
          <w:tcPr>
            <w:tcW w:w="1610" w:type="pct"/>
            <w:tcBorders>
              <w:top w:val="nil"/>
              <w:left w:val="nil"/>
              <w:bottom w:val="single" w:sz="4" w:space="0" w:color="auto"/>
              <w:right w:val="single" w:sz="4" w:space="0" w:color="auto"/>
            </w:tcBorders>
            <w:shd w:val="clear" w:color="auto" w:fill="auto"/>
            <w:vAlign w:val="center"/>
            <w:hideMark/>
          </w:tcPr>
          <w:p w14:paraId="72BBE418"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Pollution du sol et de l’eau par l'Abandon de déchets sur le chantier et l'ancienne base vie</w:t>
            </w:r>
          </w:p>
        </w:tc>
        <w:tc>
          <w:tcPr>
            <w:tcW w:w="593" w:type="pct"/>
            <w:tcBorders>
              <w:top w:val="nil"/>
              <w:left w:val="nil"/>
              <w:bottom w:val="single" w:sz="4" w:space="0" w:color="auto"/>
              <w:right w:val="single" w:sz="4" w:space="0" w:color="auto"/>
            </w:tcBorders>
            <w:shd w:val="clear" w:color="000000" w:fill="00B050"/>
            <w:vAlign w:val="center"/>
            <w:hideMark/>
          </w:tcPr>
          <w:p w14:paraId="2D2A6FD8"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522" w:type="pct"/>
            <w:tcBorders>
              <w:top w:val="nil"/>
              <w:left w:val="nil"/>
              <w:bottom w:val="single" w:sz="4" w:space="0" w:color="auto"/>
              <w:right w:val="single" w:sz="4" w:space="0" w:color="auto"/>
            </w:tcBorders>
            <w:shd w:val="clear" w:color="000000" w:fill="00B050"/>
            <w:vAlign w:val="center"/>
            <w:hideMark/>
          </w:tcPr>
          <w:p w14:paraId="50118683"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706" w:type="pct"/>
            <w:tcBorders>
              <w:top w:val="nil"/>
              <w:left w:val="nil"/>
              <w:bottom w:val="single" w:sz="4" w:space="0" w:color="auto"/>
              <w:right w:val="single" w:sz="4" w:space="0" w:color="auto"/>
            </w:tcBorders>
            <w:shd w:val="clear" w:color="000000" w:fill="00B050"/>
            <w:vAlign w:val="center"/>
            <w:hideMark/>
          </w:tcPr>
          <w:p w14:paraId="4B622FA6"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523" w:type="pct"/>
            <w:tcBorders>
              <w:top w:val="nil"/>
              <w:left w:val="nil"/>
              <w:bottom w:val="single" w:sz="4" w:space="0" w:color="auto"/>
              <w:right w:val="single" w:sz="4" w:space="0" w:color="auto"/>
            </w:tcBorders>
            <w:shd w:val="clear" w:color="000000" w:fill="00B050"/>
            <w:vAlign w:val="center"/>
            <w:hideMark/>
          </w:tcPr>
          <w:p w14:paraId="10CAC7E7"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r>
      <w:tr w:rsidR="00570262" w:rsidRPr="00570262" w14:paraId="66354E34" w14:textId="77777777" w:rsidTr="00570262">
        <w:trPr>
          <w:trHeight w:val="720"/>
        </w:trPr>
        <w:tc>
          <w:tcPr>
            <w:tcW w:w="523" w:type="pct"/>
            <w:vMerge w:val="restart"/>
            <w:tcBorders>
              <w:top w:val="nil"/>
              <w:left w:val="single" w:sz="4" w:space="0" w:color="auto"/>
              <w:bottom w:val="single" w:sz="4" w:space="0" w:color="auto"/>
              <w:right w:val="single" w:sz="4" w:space="0" w:color="auto"/>
            </w:tcBorders>
            <w:shd w:val="clear" w:color="auto" w:fill="auto"/>
            <w:vAlign w:val="center"/>
            <w:hideMark/>
          </w:tcPr>
          <w:p w14:paraId="5EDDFB94"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Humain</w:t>
            </w:r>
          </w:p>
        </w:tc>
        <w:tc>
          <w:tcPr>
            <w:tcW w:w="523" w:type="pct"/>
            <w:vMerge w:val="restart"/>
            <w:tcBorders>
              <w:top w:val="nil"/>
              <w:left w:val="single" w:sz="4" w:space="0" w:color="auto"/>
              <w:bottom w:val="single" w:sz="4" w:space="0" w:color="auto"/>
              <w:right w:val="single" w:sz="4" w:space="0" w:color="auto"/>
            </w:tcBorders>
            <w:shd w:val="clear" w:color="auto" w:fill="auto"/>
            <w:vAlign w:val="center"/>
            <w:hideMark/>
          </w:tcPr>
          <w:p w14:paraId="05093722"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Cadre de vie</w:t>
            </w:r>
          </w:p>
        </w:tc>
        <w:tc>
          <w:tcPr>
            <w:tcW w:w="1610" w:type="pct"/>
            <w:tcBorders>
              <w:top w:val="nil"/>
              <w:left w:val="nil"/>
              <w:bottom w:val="single" w:sz="4" w:space="0" w:color="auto"/>
              <w:right w:val="single" w:sz="4" w:space="0" w:color="auto"/>
            </w:tcBorders>
            <w:shd w:val="clear" w:color="auto" w:fill="auto"/>
            <w:vAlign w:val="center"/>
            <w:hideMark/>
          </w:tcPr>
          <w:p w14:paraId="4D94C913"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Risque de conflit avec les locaux à cause de non-acquittement de </w:t>
            </w:r>
            <w:r w:rsidR="00067C78" w:rsidRPr="00570262">
              <w:rPr>
                <w:rFonts w:ascii="Arial" w:eastAsia="Times New Roman" w:hAnsi="Arial" w:cs="Arial"/>
                <w:color w:val="000000"/>
                <w:sz w:val="18"/>
                <w:szCs w:val="18"/>
                <w:lang w:eastAsia="fr-FR"/>
              </w:rPr>
              <w:t>dettes contractées</w:t>
            </w:r>
            <w:r w:rsidRPr="00570262">
              <w:rPr>
                <w:rFonts w:ascii="Arial" w:eastAsia="Times New Roman" w:hAnsi="Arial" w:cs="Arial"/>
                <w:color w:val="000000"/>
                <w:sz w:val="18"/>
                <w:szCs w:val="18"/>
                <w:lang w:eastAsia="fr-FR"/>
              </w:rPr>
              <w:t xml:space="preserve"> par les ouvriers</w:t>
            </w:r>
          </w:p>
        </w:tc>
        <w:tc>
          <w:tcPr>
            <w:tcW w:w="593" w:type="pct"/>
            <w:tcBorders>
              <w:top w:val="nil"/>
              <w:left w:val="nil"/>
              <w:bottom w:val="single" w:sz="4" w:space="0" w:color="auto"/>
              <w:right w:val="single" w:sz="4" w:space="0" w:color="auto"/>
            </w:tcBorders>
            <w:shd w:val="clear" w:color="000000" w:fill="00B050"/>
            <w:vAlign w:val="center"/>
            <w:hideMark/>
          </w:tcPr>
          <w:p w14:paraId="5FF2C0CE"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522" w:type="pct"/>
            <w:tcBorders>
              <w:top w:val="nil"/>
              <w:left w:val="nil"/>
              <w:bottom w:val="single" w:sz="4" w:space="0" w:color="auto"/>
              <w:right w:val="single" w:sz="4" w:space="0" w:color="auto"/>
            </w:tcBorders>
            <w:shd w:val="clear" w:color="000000" w:fill="00B050"/>
            <w:vAlign w:val="center"/>
            <w:hideMark/>
          </w:tcPr>
          <w:p w14:paraId="7EDB960B"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706" w:type="pct"/>
            <w:tcBorders>
              <w:top w:val="nil"/>
              <w:left w:val="nil"/>
              <w:bottom w:val="single" w:sz="4" w:space="0" w:color="auto"/>
              <w:right w:val="single" w:sz="4" w:space="0" w:color="auto"/>
            </w:tcBorders>
            <w:shd w:val="clear" w:color="000000" w:fill="00B050"/>
            <w:vAlign w:val="center"/>
            <w:hideMark/>
          </w:tcPr>
          <w:p w14:paraId="491823D3"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523" w:type="pct"/>
            <w:tcBorders>
              <w:top w:val="nil"/>
              <w:left w:val="nil"/>
              <w:bottom w:val="single" w:sz="4" w:space="0" w:color="auto"/>
              <w:right w:val="single" w:sz="4" w:space="0" w:color="auto"/>
            </w:tcBorders>
            <w:shd w:val="clear" w:color="000000" w:fill="00B050"/>
            <w:vAlign w:val="center"/>
            <w:hideMark/>
          </w:tcPr>
          <w:p w14:paraId="3E232AFF"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r>
      <w:tr w:rsidR="00570262" w:rsidRPr="00570262" w14:paraId="3F7E0915" w14:textId="77777777" w:rsidTr="00570262">
        <w:trPr>
          <w:trHeight w:val="480"/>
        </w:trPr>
        <w:tc>
          <w:tcPr>
            <w:tcW w:w="523" w:type="pct"/>
            <w:vMerge/>
            <w:tcBorders>
              <w:top w:val="nil"/>
              <w:left w:val="single" w:sz="4" w:space="0" w:color="auto"/>
              <w:bottom w:val="single" w:sz="4" w:space="0" w:color="auto"/>
              <w:right w:val="single" w:sz="4" w:space="0" w:color="auto"/>
            </w:tcBorders>
            <w:vAlign w:val="center"/>
            <w:hideMark/>
          </w:tcPr>
          <w:p w14:paraId="26060B5E"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tcBorders>
              <w:top w:val="nil"/>
              <w:left w:val="single" w:sz="4" w:space="0" w:color="auto"/>
              <w:bottom w:val="single" w:sz="4" w:space="0" w:color="auto"/>
              <w:right w:val="single" w:sz="4" w:space="0" w:color="auto"/>
            </w:tcBorders>
            <w:vAlign w:val="center"/>
            <w:hideMark/>
          </w:tcPr>
          <w:p w14:paraId="50EECCE5"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1610" w:type="pct"/>
            <w:tcBorders>
              <w:top w:val="nil"/>
              <w:left w:val="nil"/>
              <w:bottom w:val="single" w:sz="4" w:space="0" w:color="auto"/>
              <w:right w:val="single" w:sz="4" w:space="0" w:color="auto"/>
            </w:tcBorders>
            <w:shd w:val="clear" w:color="auto" w:fill="auto"/>
            <w:vAlign w:val="center"/>
            <w:hideMark/>
          </w:tcPr>
          <w:p w14:paraId="74374C6C"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Perte de revenu pour les employés temporaires du projet</w:t>
            </w:r>
          </w:p>
        </w:tc>
        <w:tc>
          <w:tcPr>
            <w:tcW w:w="593" w:type="pct"/>
            <w:tcBorders>
              <w:top w:val="nil"/>
              <w:left w:val="nil"/>
              <w:bottom w:val="single" w:sz="4" w:space="0" w:color="auto"/>
              <w:right w:val="single" w:sz="4" w:space="0" w:color="auto"/>
            </w:tcBorders>
            <w:shd w:val="clear" w:color="000000" w:fill="00B050"/>
            <w:vAlign w:val="center"/>
            <w:hideMark/>
          </w:tcPr>
          <w:p w14:paraId="087BC645"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522" w:type="pct"/>
            <w:tcBorders>
              <w:top w:val="nil"/>
              <w:left w:val="nil"/>
              <w:bottom w:val="single" w:sz="4" w:space="0" w:color="auto"/>
              <w:right w:val="single" w:sz="4" w:space="0" w:color="auto"/>
            </w:tcBorders>
            <w:shd w:val="clear" w:color="000000" w:fill="00B050"/>
            <w:vAlign w:val="center"/>
            <w:hideMark/>
          </w:tcPr>
          <w:p w14:paraId="0F720270"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706" w:type="pct"/>
            <w:tcBorders>
              <w:top w:val="nil"/>
              <w:left w:val="nil"/>
              <w:bottom w:val="single" w:sz="4" w:space="0" w:color="auto"/>
              <w:right w:val="single" w:sz="4" w:space="0" w:color="auto"/>
            </w:tcBorders>
            <w:shd w:val="clear" w:color="000000" w:fill="00B050"/>
            <w:vAlign w:val="center"/>
            <w:hideMark/>
          </w:tcPr>
          <w:p w14:paraId="23D42D19"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523" w:type="pct"/>
            <w:tcBorders>
              <w:top w:val="nil"/>
              <w:left w:val="nil"/>
              <w:bottom w:val="single" w:sz="4" w:space="0" w:color="auto"/>
              <w:right w:val="single" w:sz="4" w:space="0" w:color="auto"/>
            </w:tcBorders>
            <w:shd w:val="clear" w:color="000000" w:fill="00B050"/>
            <w:vAlign w:val="center"/>
            <w:hideMark/>
          </w:tcPr>
          <w:p w14:paraId="1DD2EA95"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r>
      <w:tr w:rsidR="00570262" w:rsidRPr="00570262" w14:paraId="25C24E66" w14:textId="77777777" w:rsidTr="00570262">
        <w:trPr>
          <w:trHeight w:val="480"/>
        </w:trPr>
        <w:tc>
          <w:tcPr>
            <w:tcW w:w="523" w:type="pct"/>
            <w:vMerge/>
            <w:tcBorders>
              <w:top w:val="nil"/>
              <w:left w:val="single" w:sz="4" w:space="0" w:color="auto"/>
              <w:bottom w:val="single" w:sz="4" w:space="0" w:color="auto"/>
              <w:right w:val="single" w:sz="4" w:space="0" w:color="auto"/>
            </w:tcBorders>
            <w:vAlign w:val="center"/>
            <w:hideMark/>
          </w:tcPr>
          <w:p w14:paraId="612F31E2"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tcBorders>
              <w:top w:val="nil"/>
              <w:left w:val="nil"/>
              <w:bottom w:val="single" w:sz="4" w:space="0" w:color="auto"/>
              <w:right w:val="single" w:sz="4" w:space="0" w:color="auto"/>
            </w:tcBorders>
            <w:shd w:val="clear" w:color="auto" w:fill="auto"/>
            <w:vAlign w:val="center"/>
            <w:hideMark/>
          </w:tcPr>
          <w:p w14:paraId="6A99A156"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Santé et sécurité</w:t>
            </w:r>
          </w:p>
        </w:tc>
        <w:tc>
          <w:tcPr>
            <w:tcW w:w="1610" w:type="pct"/>
            <w:tcBorders>
              <w:top w:val="nil"/>
              <w:left w:val="nil"/>
              <w:bottom w:val="single" w:sz="4" w:space="0" w:color="auto"/>
              <w:right w:val="single" w:sz="4" w:space="0" w:color="auto"/>
            </w:tcBorders>
            <w:shd w:val="clear" w:color="auto" w:fill="auto"/>
            <w:vAlign w:val="center"/>
            <w:hideMark/>
          </w:tcPr>
          <w:p w14:paraId="22CF5236"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Risques d'accidents de circulation</w:t>
            </w:r>
          </w:p>
        </w:tc>
        <w:tc>
          <w:tcPr>
            <w:tcW w:w="593" w:type="pct"/>
            <w:tcBorders>
              <w:top w:val="nil"/>
              <w:left w:val="nil"/>
              <w:bottom w:val="single" w:sz="4" w:space="0" w:color="auto"/>
              <w:right w:val="single" w:sz="4" w:space="0" w:color="auto"/>
            </w:tcBorders>
            <w:shd w:val="clear" w:color="000000" w:fill="FFFF00"/>
            <w:vAlign w:val="center"/>
            <w:hideMark/>
          </w:tcPr>
          <w:p w14:paraId="06919FA9"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522" w:type="pct"/>
            <w:tcBorders>
              <w:top w:val="nil"/>
              <w:left w:val="nil"/>
              <w:bottom w:val="single" w:sz="4" w:space="0" w:color="auto"/>
              <w:right w:val="single" w:sz="4" w:space="0" w:color="auto"/>
            </w:tcBorders>
            <w:shd w:val="clear" w:color="000000" w:fill="FFFF00"/>
            <w:vAlign w:val="center"/>
            <w:hideMark/>
          </w:tcPr>
          <w:p w14:paraId="1BA6D928"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706" w:type="pct"/>
            <w:tcBorders>
              <w:top w:val="nil"/>
              <w:left w:val="nil"/>
              <w:bottom w:val="single" w:sz="4" w:space="0" w:color="auto"/>
              <w:right w:val="single" w:sz="4" w:space="0" w:color="auto"/>
            </w:tcBorders>
            <w:shd w:val="clear" w:color="000000" w:fill="FFFF00"/>
            <w:vAlign w:val="center"/>
            <w:hideMark/>
          </w:tcPr>
          <w:p w14:paraId="6AE5A74C"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523" w:type="pct"/>
            <w:tcBorders>
              <w:top w:val="nil"/>
              <w:left w:val="nil"/>
              <w:bottom w:val="single" w:sz="4" w:space="0" w:color="auto"/>
              <w:right w:val="single" w:sz="4" w:space="0" w:color="auto"/>
            </w:tcBorders>
            <w:shd w:val="clear" w:color="000000" w:fill="FFFF00"/>
            <w:vAlign w:val="center"/>
            <w:hideMark/>
          </w:tcPr>
          <w:p w14:paraId="075011AA"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r>
      <w:tr w:rsidR="00570262" w:rsidRPr="00570262" w14:paraId="675A5742" w14:textId="77777777" w:rsidTr="00B434A6">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000000" w:fill="00B0F0"/>
            <w:vAlign w:val="center"/>
            <w:hideMark/>
          </w:tcPr>
          <w:p w14:paraId="2A4655E7" w14:textId="77777777" w:rsidR="00570262" w:rsidRPr="00570262" w:rsidRDefault="00570262" w:rsidP="00570262">
            <w:pPr>
              <w:spacing w:after="0" w:line="240" w:lineRule="auto"/>
              <w:jc w:val="center"/>
              <w:rPr>
                <w:rFonts w:ascii="Arial" w:eastAsia="Times New Roman" w:hAnsi="Arial" w:cs="Arial"/>
                <w:b/>
                <w:bCs/>
                <w:color w:val="000000"/>
                <w:sz w:val="18"/>
                <w:szCs w:val="18"/>
                <w:lang w:eastAsia="fr-FR"/>
              </w:rPr>
            </w:pPr>
            <w:r w:rsidRPr="00570262">
              <w:rPr>
                <w:rFonts w:ascii="Arial" w:eastAsia="Times New Roman" w:hAnsi="Arial" w:cs="Arial"/>
                <w:b/>
                <w:bCs/>
                <w:color w:val="000000"/>
                <w:sz w:val="18"/>
                <w:szCs w:val="18"/>
                <w:lang w:eastAsia="fr-FR"/>
              </w:rPr>
              <w:t>Phase d’exploitation</w:t>
            </w:r>
          </w:p>
        </w:tc>
      </w:tr>
      <w:tr w:rsidR="00570262" w:rsidRPr="00570262" w14:paraId="0C830C93" w14:textId="77777777" w:rsidTr="00570262">
        <w:trPr>
          <w:trHeight w:val="300"/>
        </w:trPr>
        <w:tc>
          <w:tcPr>
            <w:tcW w:w="523" w:type="pct"/>
            <w:vMerge w:val="restart"/>
            <w:tcBorders>
              <w:top w:val="nil"/>
              <w:left w:val="single" w:sz="4" w:space="0" w:color="auto"/>
              <w:bottom w:val="single" w:sz="4" w:space="0" w:color="000000"/>
              <w:right w:val="single" w:sz="4" w:space="0" w:color="auto"/>
            </w:tcBorders>
            <w:shd w:val="clear" w:color="auto" w:fill="auto"/>
            <w:vAlign w:val="center"/>
            <w:hideMark/>
          </w:tcPr>
          <w:p w14:paraId="0FD25EBD"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Physique</w:t>
            </w:r>
          </w:p>
        </w:tc>
        <w:tc>
          <w:tcPr>
            <w:tcW w:w="523" w:type="pct"/>
            <w:tcBorders>
              <w:top w:val="nil"/>
              <w:left w:val="nil"/>
              <w:bottom w:val="single" w:sz="4" w:space="0" w:color="auto"/>
              <w:right w:val="single" w:sz="4" w:space="0" w:color="auto"/>
            </w:tcBorders>
            <w:shd w:val="clear" w:color="auto" w:fill="auto"/>
            <w:vAlign w:val="center"/>
            <w:hideMark/>
          </w:tcPr>
          <w:p w14:paraId="14893162"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Climat</w:t>
            </w:r>
          </w:p>
        </w:tc>
        <w:tc>
          <w:tcPr>
            <w:tcW w:w="1610" w:type="pct"/>
            <w:tcBorders>
              <w:top w:val="nil"/>
              <w:left w:val="nil"/>
              <w:bottom w:val="single" w:sz="4" w:space="0" w:color="auto"/>
              <w:right w:val="single" w:sz="4" w:space="0" w:color="auto"/>
            </w:tcBorders>
            <w:shd w:val="clear" w:color="auto" w:fill="auto"/>
            <w:vAlign w:val="center"/>
            <w:hideMark/>
          </w:tcPr>
          <w:p w14:paraId="6E384355"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Formation d'îlot thermique</w:t>
            </w:r>
          </w:p>
        </w:tc>
        <w:tc>
          <w:tcPr>
            <w:tcW w:w="593" w:type="pct"/>
            <w:tcBorders>
              <w:top w:val="nil"/>
              <w:left w:val="nil"/>
              <w:bottom w:val="single" w:sz="4" w:space="0" w:color="auto"/>
              <w:right w:val="single" w:sz="4" w:space="0" w:color="auto"/>
            </w:tcBorders>
            <w:shd w:val="clear" w:color="auto" w:fill="auto"/>
            <w:vAlign w:val="center"/>
            <w:hideMark/>
          </w:tcPr>
          <w:p w14:paraId="7F7BFFB2"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2" w:type="pct"/>
            <w:tcBorders>
              <w:top w:val="nil"/>
              <w:left w:val="nil"/>
              <w:bottom w:val="single" w:sz="4" w:space="0" w:color="auto"/>
              <w:right w:val="single" w:sz="4" w:space="0" w:color="auto"/>
            </w:tcBorders>
            <w:shd w:val="clear" w:color="000000" w:fill="00B050"/>
            <w:vAlign w:val="center"/>
            <w:hideMark/>
          </w:tcPr>
          <w:p w14:paraId="530D5E8D"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706" w:type="pct"/>
            <w:tcBorders>
              <w:top w:val="nil"/>
              <w:left w:val="nil"/>
              <w:bottom w:val="single" w:sz="4" w:space="0" w:color="auto"/>
              <w:right w:val="single" w:sz="4" w:space="0" w:color="auto"/>
            </w:tcBorders>
            <w:shd w:val="clear" w:color="auto" w:fill="auto"/>
            <w:vAlign w:val="center"/>
            <w:hideMark/>
          </w:tcPr>
          <w:p w14:paraId="42F1300C"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3" w:type="pct"/>
            <w:tcBorders>
              <w:top w:val="nil"/>
              <w:left w:val="nil"/>
              <w:bottom w:val="single" w:sz="4" w:space="0" w:color="auto"/>
              <w:right w:val="single" w:sz="4" w:space="0" w:color="auto"/>
            </w:tcBorders>
            <w:shd w:val="clear" w:color="auto" w:fill="auto"/>
            <w:vAlign w:val="center"/>
            <w:hideMark/>
          </w:tcPr>
          <w:p w14:paraId="39CD1A9F"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r>
      <w:tr w:rsidR="00570262" w:rsidRPr="00570262" w14:paraId="658C7392" w14:textId="77777777" w:rsidTr="00570262">
        <w:trPr>
          <w:trHeight w:val="480"/>
        </w:trPr>
        <w:tc>
          <w:tcPr>
            <w:tcW w:w="523" w:type="pct"/>
            <w:vMerge/>
            <w:tcBorders>
              <w:top w:val="nil"/>
              <w:left w:val="single" w:sz="4" w:space="0" w:color="auto"/>
              <w:bottom w:val="single" w:sz="4" w:space="0" w:color="000000"/>
              <w:right w:val="single" w:sz="4" w:space="0" w:color="auto"/>
            </w:tcBorders>
            <w:vAlign w:val="center"/>
            <w:hideMark/>
          </w:tcPr>
          <w:p w14:paraId="1A860978"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tcBorders>
              <w:top w:val="nil"/>
              <w:left w:val="nil"/>
              <w:bottom w:val="single" w:sz="4" w:space="0" w:color="auto"/>
              <w:right w:val="single" w:sz="4" w:space="0" w:color="auto"/>
            </w:tcBorders>
            <w:shd w:val="clear" w:color="auto" w:fill="auto"/>
            <w:vAlign w:val="center"/>
            <w:hideMark/>
          </w:tcPr>
          <w:p w14:paraId="2325FE90"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Sol</w:t>
            </w:r>
          </w:p>
        </w:tc>
        <w:tc>
          <w:tcPr>
            <w:tcW w:w="1610" w:type="pct"/>
            <w:tcBorders>
              <w:top w:val="nil"/>
              <w:left w:val="nil"/>
              <w:bottom w:val="single" w:sz="4" w:space="0" w:color="auto"/>
              <w:right w:val="single" w:sz="4" w:space="0" w:color="auto"/>
            </w:tcBorders>
            <w:shd w:val="clear" w:color="auto" w:fill="auto"/>
            <w:vAlign w:val="center"/>
            <w:hideMark/>
          </w:tcPr>
          <w:p w14:paraId="03A3961C"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Erosion du sol nu par l'impact des gouttes d'eau des panneaux solaires</w:t>
            </w:r>
          </w:p>
        </w:tc>
        <w:tc>
          <w:tcPr>
            <w:tcW w:w="593" w:type="pct"/>
            <w:tcBorders>
              <w:top w:val="nil"/>
              <w:left w:val="nil"/>
              <w:bottom w:val="single" w:sz="4" w:space="0" w:color="auto"/>
              <w:right w:val="single" w:sz="4" w:space="0" w:color="auto"/>
            </w:tcBorders>
            <w:shd w:val="clear" w:color="auto" w:fill="auto"/>
            <w:vAlign w:val="center"/>
            <w:hideMark/>
          </w:tcPr>
          <w:p w14:paraId="35C261B3"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2" w:type="pct"/>
            <w:tcBorders>
              <w:top w:val="nil"/>
              <w:left w:val="nil"/>
              <w:bottom w:val="single" w:sz="4" w:space="0" w:color="auto"/>
              <w:right w:val="single" w:sz="4" w:space="0" w:color="auto"/>
            </w:tcBorders>
            <w:shd w:val="clear" w:color="000000" w:fill="00B050"/>
            <w:vAlign w:val="center"/>
            <w:hideMark/>
          </w:tcPr>
          <w:p w14:paraId="7D2AEC56"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706" w:type="pct"/>
            <w:tcBorders>
              <w:top w:val="nil"/>
              <w:left w:val="nil"/>
              <w:bottom w:val="single" w:sz="4" w:space="0" w:color="auto"/>
              <w:right w:val="single" w:sz="4" w:space="0" w:color="auto"/>
            </w:tcBorders>
            <w:shd w:val="clear" w:color="auto" w:fill="auto"/>
            <w:vAlign w:val="center"/>
            <w:hideMark/>
          </w:tcPr>
          <w:p w14:paraId="72B9970D"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3" w:type="pct"/>
            <w:tcBorders>
              <w:top w:val="nil"/>
              <w:left w:val="nil"/>
              <w:bottom w:val="single" w:sz="4" w:space="0" w:color="auto"/>
              <w:right w:val="single" w:sz="4" w:space="0" w:color="auto"/>
            </w:tcBorders>
            <w:shd w:val="clear" w:color="auto" w:fill="auto"/>
            <w:vAlign w:val="center"/>
            <w:hideMark/>
          </w:tcPr>
          <w:p w14:paraId="54E4B8A5"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r>
      <w:tr w:rsidR="00570262" w:rsidRPr="00570262" w14:paraId="5C93880D" w14:textId="77777777" w:rsidTr="00570262">
        <w:trPr>
          <w:trHeight w:val="300"/>
        </w:trPr>
        <w:tc>
          <w:tcPr>
            <w:tcW w:w="523" w:type="pct"/>
            <w:vMerge/>
            <w:tcBorders>
              <w:top w:val="nil"/>
              <w:left w:val="single" w:sz="4" w:space="0" w:color="auto"/>
              <w:bottom w:val="single" w:sz="4" w:space="0" w:color="000000"/>
              <w:right w:val="single" w:sz="4" w:space="0" w:color="auto"/>
            </w:tcBorders>
            <w:vAlign w:val="center"/>
            <w:hideMark/>
          </w:tcPr>
          <w:p w14:paraId="583A9BE1"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tcBorders>
              <w:top w:val="nil"/>
              <w:left w:val="nil"/>
              <w:bottom w:val="single" w:sz="4" w:space="0" w:color="auto"/>
              <w:right w:val="single" w:sz="4" w:space="0" w:color="auto"/>
            </w:tcBorders>
            <w:shd w:val="clear" w:color="auto" w:fill="auto"/>
            <w:vAlign w:val="center"/>
            <w:hideMark/>
          </w:tcPr>
          <w:p w14:paraId="5B7AD988"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Paysage</w:t>
            </w:r>
          </w:p>
        </w:tc>
        <w:tc>
          <w:tcPr>
            <w:tcW w:w="1610" w:type="pct"/>
            <w:tcBorders>
              <w:top w:val="nil"/>
              <w:left w:val="nil"/>
              <w:bottom w:val="single" w:sz="4" w:space="0" w:color="auto"/>
              <w:right w:val="single" w:sz="4" w:space="0" w:color="auto"/>
            </w:tcBorders>
            <w:shd w:val="clear" w:color="auto" w:fill="auto"/>
            <w:vAlign w:val="center"/>
            <w:hideMark/>
          </w:tcPr>
          <w:p w14:paraId="12F82B99"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Modification du paysage</w:t>
            </w:r>
          </w:p>
        </w:tc>
        <w:tc>
          <w:tcPr>
            <w:tcW w:w="593" w:type="pct"/>
            <w:tcBorders>
              <w:top w:val="nil"/>
              <w:left w:val="nil"/>
              <w:bottom w:val="single" w:sz="4" w:space="0" w:color="auto"/>
              <w:right w:val="single" w:sz="4" w:space="0" w:color="auto"/>
            </w:tcBorders>
            <w:shd w:val="clear" w:color="000000" w:fill="FFFF00"/>
            <w:vAlign w:val="center"/>
            <w:hideMark/>
          </w:tcPr>
          <w:p w14:paraId="55AD435B"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522" w:type="pct"/>
            <w:tcBorders>
              <w:top w:val="nil"/>
              <w:left w:val="nil"/>
              <w:bottom w:val="single" w:sz="4" w:space="0" w:color="auto"/>
              <w:right w:val="single" w:sz="4" w:space="0" w:color="auto"/>
            </w:tcBorders>
            <w:shd w:val="clear" w:color="000000" w:fill="FFFF00"/>
            <w:vAlign w:val="center"/>
            <w:hideMark/>
          </w:tcPr>
          <w:p w14:paraId="72FDCB6E"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706" w:type="pct"/>
            <w:tcBorders>
              <w:top w:val="nil"/>
              <w:left w:val="nil"/>
              <w:bottom w:val="single" w:sz="4" w:space="0" w:color="auto"/>
              <w:right w:val="single" w:sz="4" w:space="0" w:color="auto"/>
            </w:tcBorders>
            <w:shd w:val="clear" w:color="000000" w:fill="FFFF00"/>
            <w:vAlign w:val="center"/>
            <w:hideMark/>
          </w:tcPr>
          <w:p w14:paraId="0D721ED8"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523" w:type="pct"/>
            <w:tcBorders>
              <w:top w:val="nil"/>
              <w:left w:val="nil"/>
              <w:bottom w:val="single" w:sz="4" w:space="0" w:color="auto"/>
              <w:right w:val="single" w:sz="4" w:space="0" w:color="auto"/>
            </w:tcBorders>
            <w:shd w:val="clear" w:color="000000" w:fill="FFFF00"/>
            <w:vAlign w:val="center"/>
            <w:hideMark/>
          </w:tcPr>
          <w:p w14:paraId="6E15FCE3"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r>
      <w:tr w:rsidR="00570262" w:rsidRPr="00570262" w14:paraId="37A0CD38" w14:textId="77777777" w:rsidTr="00570262">
        <w:trPr>
          <w:trHeight w:val="720"/>
        </w:trPr>
        <w:tc>
          <w:tcPr>
            <w:tcW w:w="523" w:type="pct"/>
            <w:vMerge/>
            <w:tcBorders>
              <w:top w:val="nil"/>
              <w:left w:val="single" w:sz="4" w:space="0" w:color="auto"/>
              <w:bottom w:val="single" w:sz="4" w:space="0" w:color="000000"/>
              <w:right w:val="single" w:sz="4" w:space="0" w:color="auto"/>
            </w:tcBorders>
            <w:vAlign w:val="center"/>
            <w:hideMark/>
          </w:tcPr>
          <w:p w14:paraId="22D730AB"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val="restart"/>
            <w:tcBorders>
              <w:top w:val="nil"/>
              <w:left w:val="single" w:sz="4" w:space="0" w:color="auto"/>
              <w:bottom w:val="single" w:sz="4" w:space="0" w:color="000000"/>
              <w:right w:val="single" w:sz="4" w:space="0" w:color="auto"/>
            </w:tcBorders>
            <w:shd w:val="clear" w:color="auto" w:fill="auto"/>
            <w:vAlign w:val="center"/>
            <w:hideMark/>
          </w:tcPr>
          <w:p w14:paraId="3472D0B6"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Eau</w:t>
            </w:r>
          </w:p>
        </w:tc>
        <w:tc>
          <w:tcPr>
            <w:tcW w:w="1610" w:type="pct"/>
            <w:tcBorders>
              <w:top w:val="nil"/>
              <w:left w:val="nil"/>
              <w:bottom w:val="single" w:sz="4" w:space="0" w:color="auto"/>
              <w:right w:val="single" w:sz="4" w:space="0" w:color="auto"/>
            </w:tcBorders>
            <w:shd w:val="clear" w:color="auto" w:fill="auto"/>
            <w:vAlign w:val="center"/>
            <w:hideMark/>
          </w:tcPr>
          <w:p w14:paraId="33BD9F9F"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Risque d'épuisement de la ressource en eau à cause des besoins pour le lavage des panneaux solaires</w:t>
            </w:r>
          </w:p>
        </w:tc>
        <w:tc>
          <w:tcPr>
            <w:tcW w:w="593" w:type="pct"/>
            <w:tcBorders>
              <w:top w:val="nil"/>
              <w:left w:val="nil"/>
              <w:bottom w:val="single" w:sz="4" w:space="0" w:color="auto"/>
              <w:right w:val="single" w:sz="4" w:space="0" w:color="auto"/>
            </w:tcBorders>
            <w:shd w:val="clear" w:color="auto" w:fill="auto"/>
            <w:vAlign w:val="center"/>
            <w:hideMark/>
          </w:tcPr>
          <w:p w14:paraId="0CA177DF"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2" w:type="pct"/>
            <w:tcBorders>
              <w:top w:val="nil"/>
              <w:left w:val="nil"/>
              <w:bottom w:val="single" w:sz="4" w:space="0" w:color="auto"/>
              <w:right w:val="single" w:sz="4" w:space="0" w:color="auto"/>
            </w:tcBorders>
            <w:shd w:val="clear" w:color="000000" w:fill="FFFF00"/>
            <w:vAlign w:val="center"/>
            <w:hideMark/>
          </w:tcPr>
          <w:p w14:paraId="29806913"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706" w:type="pct"/>
            <w:tcBorders>
              <w:top w:val="nil"/>
              <w:left w:val="nil"/>
              <w:bottom w:val="single" w:sz="4" w:space="0" w:color="auto"/>
              <w:right w:val="single" w:sz="4" w:space="0" w:color="auto"/>
            </w:tcBorders>
            <w:shd w:val="clear" w:color="auto" w:fill="auto"/>
            <w:vAlign w:val="center"/>
            <w:hideMark/>
          </w:tcPr>
          <w:p w14:paraId="3E4BC72F"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3" w:type="pct"/>
            <w:tcBorders>
              <w:top w:val="nil"/>
              <w:left w:val="nil"/>
              <w:bottom w:val="single" w:sz="4" w:space="0" w:color="auto"/>
              <w:right w:val="single" w:sz="4" w:space="0" w:color="auto"/>
            </w:tcBorders>
            <w:shd w:val="clear" w:color="auto" w:fill="auto"/>
            <w:vAlign w:val="center"/>
            <w:hideMark/>
          </w:tcPr>
          <w:p w14:paraId="7C252246"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r>
      <w:tr w:rsidR="00570262" w:rsidRPr="00570262" w14:paraId="01A522C9" w14:textId="77777777" w:rsidTr="00570262">
        <w:trPr>
          <w:trHeight w:val="300"/>
        </w:trPr>
        <w:tc>
          <w:tcPr>
            <w:tcW w:w="523" w:type="pct"/>
            <w:vMerge/>
            <w:tcBorders>
              <w:top w:val="nil"/>
              <w:left w:val="single" w:sz="4" w:space="0" w:color="auto"/>
              <w:bottom w:val="single" w:sz="4" w:space="0" w:color="000000"/>
              <w:right w:val="single" w:sz="4" w:space="0" w:color="auto"/>
            </w:tcBorders>
            <w:vAlign w:val="center"/>
            <w:hideMark/>
          </w:tcPr>
          <w:p w14:paraId="2EEDA580"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tcBorders>
              <w:top w:val="nil"/>
              <w:left w:val="single" w:sz="4" w:space="0" w:color="auto"/>
              <w:bottom w:val="single" w:sz="4" w:space="0" w:color="000000"/>
              <w:right w:val="single" w:sz="4" w:space="0" w:color="auto"/>
            </w:tcBorders>
            <w:vAlign w:val="center"/>
            <w:hideMark/>
          </w:tcPr>
          <w:p w14:paraId="6DF2F644"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1610" w:type="pct"/>
            <w:tcBorders>
              <w:top w:val="nil"/>
              <w:left w:val="nil"/>
              <w:bottom w:val="single" w:sz="4" w:space="0" w:color="auto"/>
              <w:right w:val="single" w:sz="4" w:space="0" w:color="auto"/>
            </w:tcBorders>
            <w:shd w:val="clear" w:color="auto" w:fill="auto"/>
            <w:vAlign w:val="center"/>
            <w:hideMark/>
          </w:tcPr>
          <w:p w14:paraId="1CDE7595"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Modification du régime de cours d'eau</w:t>
            </w:r>
          </w:p>
        </w:tc>
        <w:tc>
          <w:tcPr>
            <w:tcW w:w="593" w:type="pct"/>
            <w:tcBorders>
              <w:top w:val="nil"/>
              <w:left w:val="nil"/>
              <w:bottom w:val="single" w:sz="4" w:space="0" w:color="auto"/>
              <w:right w:val="single" w:sz="4" w:space="0" w:color="auto"/>
            </w:tcBorders>
            <w:shd w:val="clear" w:color="auto" w:fill="auto"/>
            <w:vAlign w:val="center"/>
            <w:hideMark/>
          </w:tcPr>
          <w:p w14:paraId="1D5197BE"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2" w:type="pct"/>
            <w:tcBorders>
              <w:top w:val="nil"/>
              <w:left w:val="nil"/>
              <w:bottom w:val="single" w:sz="4" w:space="0" w:color="auto"/>
              <w:right w:val="single" w:sz="4" w:space="0" w:color="auto"/>
            </w:tcBorders>
            <w:shd w:val="clear" w:color="auto" w:fill="auto"/>
            <w:vAlign w:val="center"/>
            <w:hideMark/>
          </w:tcPr>
          <w:p w14:paraId="5E3719DB"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706" w:type="pct"/>
            <w:tcBorders>
              <w:top w:val="nil"/>
              <w:left w:val="nil"/>
              <w:bottom w:val="single" w:sz="4" w:space="0" w:color="auto"/>
              <w:right w:val="single" w:sz="4" w:space="0" w:color="auto"/>
            </w:tcBorders>
            <w:shd w:val="clear" w:color="000000" w:fill="00B050"/>
            <w:vAlign w:val="center"/>
            <w:hideMark/>
          </w:tcPr>
          <w:p w14:paraId="02E7CB7E"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523" w:type="pct"/>
            <w:tcBorders>
              <w:top w:val="nil"/>
              <w:left w:val="nil"/>
              <w:bottom w:val="single" w:sz="4" w:space="0" w:color="auto"/>
              <w:right w:val="single" w:sz="4" w:space="0" w:color="auto"/>
            </w:tcBorders>
            <w:shd w:val="clear" w:color="auto" w:fill="auto"/>
            <w:vAlign w:val="center"/>
            <w:hideMark/>
          </w:tcPr>
          <w:p w14:paraId="11764797"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r>
      <w:tr w:rsidR="00570262" w:rsidRPr="00570262" w14:paraId="227BD7A9" w14:textId="77777777" w:rsidTr="00570262">
        <w:trPr>
          <w:trHeight w:val="720"/>
        </w:trPr>
        <w:tc>
          <w:tcPr>
            <w:tcW w:w="523" w:type="pct"/>
            <w:vMerge w:val="restart"/>
            <w:tcBorders>
              <w:top w:val="nil"/>
              <w:left w:val="single" w:sz="4" w:space="0" w:color="auto"/>
              <w:bottom w:val="single" w:sz="4" w:space="0" w:color="000000"/>
              <w:right w:val="single" w:sz="4" w:space="0" w:color="auto"/>
            </w:tcBorders>
            <w:shd w:val="clear" w:color="auto" w:fill="auto"/>
            <w:vAlign w:val="center"/>
            <w:hideMark/>
          </w:tcPr>
          <w:p w14:paraId="3734229B"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Biologique</w:t>
            </w:r>
          </w:p>
        </w:tc>
        <w:tc>
          <w:tcPr>
            <w:tcW w:w="523" w:type="pct"/>
            <w:vMerge w:val="restart"/>
            <w:tcBorders>
              <w:top w:val="nil"/>
              <w:left w:val="single" w:sz="4" w:space="0" w:color="auto"/>
              <w:bottom w:val="single" w:sz="4" w:space="0" w:color="000000"/>
              <w:right w:val="single" w:sz="4" w:space="0" w:color="auto"/>
            </w:tcBorders>
            <w:shd w:val="clear" w:color="auto" w:fill="auto"/>
            <w:vAlign w:val="center"/>
            <w:hideMark/>
          </w:tcPr>
          <w:p w14:paraId="662066E1"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Faune</w:t>
            </w:r>
          </w:p>
        </w:tc>
        <w:tc>
          <w:tcPr>
            <w:tcW w:w="1610" w:type="pct"/>
            <w:tcBorders>
              <w:top w:val="nil"/>
              <w:left w:val="nil"/>
              <w:bottom w:val="single" w:sz="4" w:space="0" w:color="auto"/>
              <w:right w:val="single" w:sz="4" w:space="0" w:color="auto"/>
            </w:tcBorders>
            <w:shd w:val="clear" w:color="auto" w:fill="auto"/>
            <w:vAlign w:val="center"/>
            <w:hideMark/>
          </w:tcPr>
          <w:p w14:paraId="0417B17D"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Perturbation des activités de la faune </w:t>
            </w:r>
            <w:r w:rsidRPr="00570262">
              <w:rPr>
                <w:rFonts w:eastAsia="Times New Roman" w:cs="Calibri"/>
                <w:color w:val="000000"/>
                <w:sz w:val="16"/>
                <w:szCs w:val="16"/>
                <w:lang w:eastAsia="fr-FR"/>
              </w:rPr>
              <w:t> </w:t>
            </w:r>
            <w:r w:rsidRPr="00570262">
              <w:rPr>
                <w:rFonts w:ascii="Arial" w:eastAsia="Times New Roman" w:hAnsi="Arial" w:cs="Arial"/>
                <w:color w:val="000000"/>
                <w:sz w:val="18"/>
                <w:szCs w:val="18"/>
                <w:lang w:eastAsia="fr-FR"/>
              </w:rPr>
              <w:t>volante due à l'effet optique des panneaux solaires</w:t>
            </w:r>
          </w:p>
        </w:tc>
        <w:tc>
          <w:tcPr>
            <w:tcW w:w="593" w:type="pct"/>
            <w:tcBorders>
              <w:top w:val="nil"/>
              <w:left w:val="nil"/>
              <w:bottom w:val="single" w:sz="4" w:space="0" w:color="auto"/>
              <w:right w:val="single" w:sz="4" w:space="0" w:color="auto"/>
            </w:tcBorders>
            <w:shd w:val="clear" w:color="auto" w:fill="auto"/>
            <w:vAlign w:val="center"/>
            <w:hideMark/>
          </w:tcPr>
          <w:p w14:paraId="1C00C388"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2" w:type="pct"/>
            <w:tcBorders>
              <w:top w:val="nil"/>
              <w:left w:val="nil"/>
              <w:bottom w:val="single" w:sz="4" w:space="0" w:color="auto"/>
              <w:right w:val="single" w:sz="4" w:space="0" w:color="auto"/>
            </w:tcBorders>
            <w:shd w:val="clear" w:color="000000" w:fill="00B050"/>
            <w:vAlign w:val="center"/>
            <w:hideMark/>
          </w:tcPr>
          <w:p w14:paraId="6459F7F2"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706" w:type="pct"/>
            <w:tcBorders>
              <w:top w:val="nil"/>
              <w:left w:val="nil"/>
              <w:bottom w:val="single" w:sz="4" w:space="0" w:color="auto"/>
              <w:right w:val="single" w:sz="4" w:space="0" w:color="auto"/>
            </w:tcBorders>
            <w:shd w:val="clear" w:color="auto" w:fill="auto"/>
            <w:vAlign w:val="center"/>
            <w:hideMark/>
          </w:tcPr>
          <w:p w14:paraId="6A89D9F3"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3" w:type="pct"/>
            <w:tcBorders>
              <w:top w:val="nil"/>
              <w:left w:val="nil"/>
              <w:bottom w:val="single" w:sz="4" w:space="0" w:color="auto"/>
              <w:right w:val="single" w:sz="4" w:space="0" w:color="auto"/>
            </w:tcBorders>
            <w:shd w:val="clear" w:color="auto" w:fill="auto"/>
            <w:vAlign w:val="center"/>
            <w:hideMark/>
          </w:tcPr>
          <w:p w14:paraId="457B33B7"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r>
      <w:tr w:rsidR="00570262" w:rsidRPr="00570262" w14:paraId="04B9F540" w14:textId="77777777" w:rsidTr="00570262">
        <w:trPr>
          <w:trHeight w:val="480"/>
        </w:trPr>
        <w:tc>
          <w:tcPr>
            <w:tcW w:w="523" w:type="pct"/>
            <w:vMerge/>
            <w:tcBorders>
              <w:top w:val="nil"/>
              <w:left w:val="single" w:sz="4" w:space="0" w:color="auto"/>
              <w:bottom w:val="single" w:sz="4" w:space="0" w:color="000000"/>
              <w:right w:val="single" w:sz="4" w:space="0" w:color="auto"/>
            </w:tcBorders>
            <w:vAlign w:val="center"/>
            <w:hideMark/>
          </w:tcPr>
          <w:p w14:paraId="040D429E"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tcBorders>
              <w:top w:val="nil"/>
              <w:left w:val="single" w:sz="4" w:space="0" w:color="auto"/>
              <w:bottom w:val="single" w:sz="4" w:space="0" w:color="000000"/>
              <w:right w:val="single" w:sz="4" w:space="0" w:color="auto"/>
            </w:tcBorders>
            <w:vAlign w:val="center"/>
            <w:hideMark/>
          </w:tcPr>
          <w:p w14:paraId="0BC1612C"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1610" w:type="pct"/>
            <w:tcBorders>
              <w:top w:val="nil"/>
              <w:left w:val="nil"/>
              <w:bottom w:val="single" w:sz="4" w:space="0" w:color="auto"/>
              <w:right w:val="single" w:sz="4" w:space="0" w:color="auto"/>
            </w:tcBorders>
            <w:shd w:val="clear" w:color="auto" w:fill="auto"/>
            <w:vAlign w:val="center"/>
            <w:hideMark/>
          </w:tcPr>
          <w:p w14:paraId="14B98A30"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Perturbation du comportement de la faune locale due aux nuisances sonores</w:t>
            </w:r>
          </w:p>
        </w:tc>
        <w:tc>
          <w:tcPr>
            <w:tcW w:w="593" w:type="pct"/>
            <w:tcBorders>
              <w:top w:val="nil"/>
              <w:left w:val="nil"/>
              <w:bottom w:val="single" w:sz="4" w:space="0" w:color="auto"/>
              <w:right w:val="single" w:sz="4" w:space="0" w:color="auto"/>
            </w:tcBorders>
            <w:shd w:val="clear" w:color="auto" w:fill="auto"/>
            <w:vAlign w:val="center"/>
            <w:hideMark/>
          </w:tcPr>
          <w:p w14:paraId="2CF70591"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2" w:type="pct"/>
            <w:tcBorders>
              <w:top w:val="nil"/>
              <w:left w:val="nil"/>
              <w:bottom w:val="single" w:sz="4" w:space="0" w:color="auto"/>
              <w:right w:val="single" w:sz="4" w:space="0" w:color="auto"/>
            </w:tcBorders>
            <w:shd w:val="clear" w:color="000000" w:fill="00B050"/>
            <w:vAlign w:val="center"/>
            <w:hideMark/>
          </w:tcPr>
          <w:p w14:paraId="1B9D5303"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706" w:type="pct"/>
            <w:tcBorders>
              <w:top w:val="nil"/>
              <w:left w:val="nil"/>
              <w:bottom w:val="single" w:sz="4" w:space="0" w:color="auto"/>
              <w:right w:val="single" w:sz="4" w:space="0" w:color="auto"/>
            </w:tcBorders>
            <w:shd w:val="clear" w:color="auto" w:fill="auto"/>
            <w:vAlign w:val="center"/>
            <w:hideMark/>
          </w:tcPr>
          <w:p w14:paraId="7D864A91"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3" w:type="pct"/>
            <w:tcBorders>
              <w:top w:val="nil"/>
              <w:left w:val="nil"/>
              <w:bottom w:val="single" w:sz="4" w:space="0" w:color="auto"/>
              <w:right w:val="single" w:sz="4" w:space="0" w:color="auto"/>
            </w:tcBorders>
            <w:shd w:val="clear" w:color="auto" w:fill="auto"/>
            <w:vAlign w:val="center"/>
            <w:hideMark/>
          </w:tcPr>
          <w:p w14:paraId="23E78A86"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r>
      <w:tr w:rsidR="00570262" w:rsidRPr="00570262" w14:paraId="628BE490" w14:textId="77777777" w:rsidTr="00570262">
        <w:trPr>
          <w:trHeight w:val="480"/>
        </w:trPr>
        <w:tc>
          <w:tcPr>
            <w:tcW w:w="523" w:type="pct"/>
            <w:vMerge/>
            <w:tcBorders>
              <w:top w:val="nil"/>
              <w:left w:val="single" w:sz="4" w:space="0" w:color="auto"/>
              <w:bottom w:val="single" w:sz="4" w:space="0" w:color="000000"/>
              <w:right w:val="single" w:sz="4" w:space="0" w:color="auto"/>
            </w:tcBorders>
            <w:vAlign w:val="center"/>
            <w:hideMark/>
          </w:tcPr>
          <w:p w14:paraId="6D023F0F"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tcBorders>
              <w:top w:val="nil"/>
              <w:left w:val="single" w:sz="4" w:space="0" w:color="auto"/>
              <w:bottom w:val="single" w:sz="4" w:space="0" w:color="000000"/>
              <w:right w:val="single" w:sz="4" w:space="0" w:color="auto"/>
            </w:tcBorders>
            <w:vAlign w:val="center"/>
            <w:hideMark/>
          </w:tcPr>
          <w:p w14:paraId="0A3A261A"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1610" w:type="pct"/>
            <w:tcBorders>
              <w:top w:val="nil"/>
              <w:left w:val="nil"/>
              <w:bottom w:val="single" w:sz="4" w:space="0" w:color="auto"/>
              <w:right w:val="single" w:sz="4" w:space="0" w:color="auto"/>
            </w:tcBorders>
            <w:shd w:val="clear" w:color="auto" w:fill="auto"/>
            <w:vAlign w:val="center"/>
            <w:hideMark/>
          </w:tcPr>
          <w:p w14:paraId="73D46C77"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Création de CEM pouvant perturber la faune locale</w:t>
            </w:r>
          </w:p>
        </w:tc>
        <w:tc>
          <w:tcPr>
            <w:tcW w:w="593" w:type="pct"/>
            <w:tcBorders>
              <w:top w:val="nil"/>
              <w:left w:val="nil"/>
              <w:bottom w:val="single" w:sz="4" w:space="0" w:color="auto"/>
              <w:right w:val="single" w:sz="4" w:space="0" w:color="auto"/>
            </w:tcBorders>
            <w:shd w:val="clear" w:color="000000" w:fill="FFFF00"/>
            <w:vAlign w:val="center"/>
            <w:hideMark/>
          </w:tcPr>
          <w:p w14:paraId="3751F3D6"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522" w:type="pct"/>
            <w:tcBorders>
              <w:top w:val="nil"/>
              <w:left w:val="nil"/>
              <w:bottom w:val="single" w:sz="4" w:space="0" w:color="auto"/>
              <w:right w:val="single" w:sz="4" w:space="0" w:color="auto"/>
            </w:tcBorders>
            <w:shd w:val="clear" w:color="000000" w:fill="00B050"/>
            <w:vAlign w:val="center"/>
            <w:hideMark/>
          </w:tcPr>
          <w:p w14:paraId="5E043414"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706" w:type="pct"/>
            <w:tcBorders>
              <w:top w:val="nil"/>
              <w:left w:val="nil"/>
              <w:bottom w:val="single" w:sz="4" w:space="0" w:color="auto"/>
              <w:right w:val="single" w:sz="4" w:space="0" w:color="auto"/>
            </w:tcBorders>
            <w:shd w:val="clear" w:color="auto" w:fill="auto"/>
            <w:vAlign w:val="center"/>
            <w:hideMark/>
          </w:tcPr>
          <w:p w14:paraId="624ECD36"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3" w:type="pct"/>
            <w:tcBorders>
              <w:top w:val="nil"/>
              <w:left w:val="nil"/>
              <w:bottom w:val="single" w:sz="4" w:space="0" w:color="auto"/>
              <w:right w:val="single" w:sz="4" w:space="0" w:color="auto"/>
            </w:tcBorders>
            <w:shd w:val="clear" w:color="auto" w:fill="auto"/>
            <w:noWrap/>
            <w:vAlign w:val="bottom"/>
            <w:hideMark/>
          </w:tcPr>
          <w:p w14:paraId="04238AAE" w14:textId="77777777" w:rsidR="00570262" w:rsidRPr="00570262" w:rsidRDefault="00570262" w:rsidP="00570262">
            <w:pPr>
              <w:spacing w:after="0" w:line="240" w:lineRule="auto"/>
              <w:jc w:val="center"/>
              <w:rPr>
                <w:rFonts w:eastAsia="Times New Roman" w:cs="Calibri"/>
                <w:color w:val="000000"/>
                <w:lang w:eastAsia="fr-FR"/>
              </w:rPr>
            </w:pPr>
            <w:r w:rsidRPr="00570262">
              <w:rPr>
                <w:rFonts w:eastAsia="Times New Roman" w:cs="Calibri"/>
                <w:color w:val="000000"/>
                <w:lang w:eastAsia="fr-FR"/>
              </w:rPr>
              <w:t> </w:t>
            </w:r>
          </w:p>
        </w:tc>
      </w:tr>
      <w:tr w:rsidR="00570262" w:rsidRPr="00570262" w14:paraId="6D973C3B" w14:textId="77777777" w:rsidTr="00570262">
        <w:trPr>
          <w:trHeight w:val="300"/>
        </w:trPr>
        <w:tc>
          <w:tcPr>
            <w:tcW w:w="523" w:type="pct"/>
            <w:vMerge/>
            <w:tcBorders>
              <w:top w:val="nil"/>
              <w:left w:val="single" w:sz="4" w:space="0" w:color="auto"/>
              <w:bottom w:val="single" w:sz="4" w:space="0" w:color="000000"/>
              <w:right w:val="single" w:sz="4" w:space="0" w:color="auto"/>
            </w:tcBorders>
            <w:vAlign w:val="center"/>
            <w:hideMark/>
          </w:tcPr>
          <w:p w14:paraId="2BCC60B9"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tcBorders>
              <w:top w:val="nil"/>
              <w:left w:val="single" w:sz="4" w:space="0" w:color="auto"/>
              <w:bottom w:val="single" w:sz="4" w:space="0" w:color="000000"/>
              <w:right w:val="single" w:sz="4" w:space="0" w:color="auto"/>
            </w:tcBorders>
            <w:vAlign w:val="center"/>
            <w:hideMark/>
          </w:tcPr>
          <w:p w14:paraId="5AA76F13"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1610" w:type="pct"/>
            <w:tcBorders>
              <w:top w:val="nil"/>
              <w:left w:val="nil"/>
              <w:bottom w:val="single" w:sz="4" w:space="0" w:color="auto"/>
              <w:right w:val="single" w:sz="4" w:space="0" w:color="auto"/>
            </w:tcBorders>
            <w:shd w:val="clear" w:color="auto" w:fill="auto"/>
            <w:vAlign w:val="center"/>
            <w:hideMark/>
          </w:tcPr>
          <w:p w14:paraId="645D0BE2"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Perturbation de la faune acquatique</w:t>
            </w:r>
          </w:p>
        </w:tc>
        <w:tc>
          <w:tcPr>
            <w:tcW w:w="593" w:type="pct"/>
            <w:tcBorders>
              <w:top w:val="nil"/>
              <w:left w:val="nil"/>
              <w:bottom w:val="single" w:sz="4" w:space="0" w:color="auto"/>
              <w:right w:val="single" w:sz="4" w:space="0" w:color="auto"/>
            </w:tcBorders>
            <w:shd w:val="clear" w:color="auto" w:fill="auto"/>
            <w:vAlign w:val="center"/>
            <w:hideMark/>
          </w:tcPr>
          <w:p w14:paraId="609DD117"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2" w:type="pct"/>
            <w:tcBorders>
              <w:top w:val="nil"/>
              <w:left w:val="nil"/>
              <w:bottom w:val="single" w:sz="4" w:space="0" w:color="auto"/>
              <w:right w:val="single" w:sz="4" w:space="0" w:color="auto"/>
            </w:tcBorders>
            <w:shd w:val="clear" w:color="auto" w:fill="auto"/>
            <w:vAlign w:val="center"/>
            <w:hideMark/>
          </w:tcPr>
          <w:p w14:paraId="216B4017"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706" w:type="pct"/>
            <w:tcBorders>
              <w:top w:val="nil"/>
              <w:left w:val="nil"/>
              <w:bottom w:val="single" w:sz="4" w:space="0" w:color="auto"/>
              <w:right w:val="single" w:sz="4" w:space="0" w:color="auto"/>
            </w:tcBorders>
            <w:shd w:val="clear" w:color="000000" w:fill="00B050"/>
            <w:vAlign w:val="center"/>
            <w:hideMark/>
          </w:tcPr>
          <w:p w14:paraId="2A8678F1"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523" w:type="pct"/>
            <w:tcBorders>
              <w:top w:val="nil"/>
              <w:left w:val="nil"/>
              <w:bottom w:val="single" w:sz="4" w:space="0" w:color="auto"/>
              <w:right w:val="single" w:sz="4" w:space="0" w:color="auto"/>
            </w:tcBorders>
            <w:shd w:val="clear" w:color="auto" w:fill="auto"/>
            <w:vAlign w:val="center"/>
            <w:hideMark/>
          </w:tcPr>
          <w:p w14:paraId="03DA6D14"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r>
      <w:tr w:rsidR="00570262" w:rsidRPr="00570262" w14:paraId="211EA6EC" w14:textId="77777777" w:rsidTr="00570262">
        <w:trPr>
          <w:trHeight w:val="720"/>
        </w:trPr>
        <w:tc>
          <w:tcPr>
            <w:tcW w:w="523" w:type="pct"/>
            <w:vMerge w:val="restart"/>
            <w:tcBorders>
              <w:top w:val="nil"/>
              <w:left w:val="single" w:sz="4" w:space="0" w:color="auto"/>
              <w:bottom w:val="single" w:sz="4" w:space="0" w:color="auto"/>
              <w:right w:val="single" w:sz="4" w:space="0" w:color="auto"/>
            </w:tcBorders>
            <w:shd w:val="clear" w:color="auto" w:fill="auto"/>
            <w:vAlign w:val="center"/>
            <w:hideMark/>
          </w:tcPr>
          <w:p w14:paraId="5DEE8477"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Humain</w:t>
            </w:r>
          </w:p>
        </w:tc>
        <w:tc>
          <w:tcPr>
            <w:tcW w:w="523" w:type="pct"/>
            <w:vMerge w:val="restart"/>
            <w:tcBorders>
              <w:top w:val="nil"/>
              <w:left w:val="single" w:sz="4" w:space="0" w:color="auto"/>
              <w:bottom w:val="single" w:sz="4" w:space="0" w:color="auto"/>
              <w:right w:val="single" w:sz="4" w:space="0" w:color="auto"/>
            </w:tcBorders>
            <w:shd w:val="clear" w:color="auto" w:fill="auto"/>
            <w:vAlign w:val="center"/>
            <w:hideMark/>
          </w:tcPr>
          <w:p w14:paraId="225CABC3"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Cadre de vie</w:t>
            </w:r>
          </w:p>
        </w:tc>
        <w:tc>
          <w:tcPr>
            <w:tcW w:w="1610" w:type="pct"/>
            <w:tcBorders>
              <w:top w:val="nil"/>
              <w:left w:val="nil"/>
              <w:bottom w:val="single" w:sz="4" w:space="0" w:color="auto"/>
              <w:right w:val="single" w:sz="4" w:space="0" w:color="auto"/>
            </w:tcBorders>
            <w:shd w:val="clear" w:color="auto" w:fill="auto"/>
            <w:vAlign w:val="center"/>
            <w:hideMark/>
          </w:tcPr>
          <w:p w14:paraId="58362C35"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Accumulation des déchets solides incluant les déchets d’équipement électrique et électronique (DEEE)</w:t>
            </w:r>
          </w:p>
        </w:tc>
        <w:tc>
          <w:tcPr>
            <w:tcW w:w="593" w:type="pct"/>
            <w:tcBorders>
              <w:top w:val="nil"/>
              <w:left w:val="nil"/>
              <w:bottom w:val="single" w:sz="4" w:space="0" w:color="auto"/>
              <w:right w:val="single" w:sz="4" w:space="0" w:color="auto"/>
            </w:tcBorders>
            <w:shd w:val="clear" w:color="000000" w:fill="FFFF00"/>
            <w:vAlign w:val="center"/>
            <w:hideMark/>
          </w:tcPr>
          <w:p w14:paraId="314ADB53"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522" w:type="pct"/>
            <w:tcBorders>
              <w:top w:val="nil"/>
              <w:left w:val="nil"/>
              <w:bottom w:val="single" w:sz="4" w:space="0" w:color="auto"/>
              <w:right w:val="single" w:sz="4" w:space="0" w:color="auto"/>
            </w:tcBorders>
            <w:shd w:val="clear" w:color="000000" w:fill="FFFF00"/>
            <w:vAlign w:val="center"/>
            <w:hideMark/>
          </w:tcPr>
          <w:p w14:paraId="1FCCD27A"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706" w:type="pct"/>
            <w:tcBorders>
              <w:top w:val="nil"/>
              <w:left w:val="nil"/>
              <w:bottom w:val="single" w:sz="4" w:space="0" w:color="auto"/>
              <w:right w:val="single" w:sz="4" w:space="0" w:color="auto"/>
            </w:tcBorders>
            <w:shd w:val="clear" w:color="auto" w:fill="auto"/>
            <w:vAlign w:val="center"/>
            <w:hideMark/>
          </w:tcPr>
          <w:p w14:paraId="0FB34533"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3" w:type="pct"/>
            <w:tcBorders>
              <w:top w:val="nil"/>
              <w:left w:val="nil"/>
              <w:bottom w:val="single" w:sz="4" w:space="0" w:color="auto"/>
              <w:right w:val="single" w:sz="4" w:space="0" w:color="auto"/>
            </w:tcBorders>
            <w:shd w:val="clear" w:color="auto" w:fill="auto"/>
            <w:vAlign w:val="center"/>
            <w:hideMark/>
          </w:tcPr>
          <w:p w14:paraId="6B7275D0"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r>
      <w:tr w:rsidR="00570262" w:rsidRPr="00570262" w14:paraId="559914C9" w14:textId="77777777" w:rsidTr="00570262">
        <w:trPr>
          <w:trHeight w:val="720"/>
        </w:trPr>
        <w:tc>
          <w:tcPr>
            <w:tcW w:w="523" w:type="pct"/>
            <w:vMerge/>
            <w:tcBorders>
              <w:top w:val="nil"/>
              <w:left w:val="single" w:sz="4" w:space="0" w:color="auto"/>
              <w:bottom w:val="single" w:sz="4" w:space="0" w:color="auto"/>
              <w:right w:val="single" w:sz="4" w:space="0" w:color="auto"/>
            </w:tcBorders>
            <w:vAlign w:val="center"/>
            <w:hideMark/>
          </w:tcPr>
          <w:p w14:paraId="2FF6770A"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tcBorders>
              <w:top w:val="nil"/>
              <w:left w:val="single" w:sz="4" w:space="0" w:color="auto"/>
              <w:bottom w:val="single" w:sz="4" w:space="0" w:color="auto"/>
              <w:right w:val="single" w:sz="4" w:space="0" w:color="auto"/>
            </w:tcBorders>
            <w:vAlign w:val="center"/>
            <w:hideMark/>
          </w:tcPr>
          <w:p w14:paraId="1D41832A"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1610" w:type="pct"/>
            <w:tcBorders>
              <w:top w:val="nil"/>
              <w:left w:val="nil"/>
              <w:bottom w:val="single" w:sz="4" w:space="0" w:color="auto"/>
              <w:right w:val="single" w:sz="4" w:space="0" w:color="auto"/>
            </w:tcBorders>
            <w:shd w:val="clear" w:color="auto" w:fill="auto"/>
            <w:vAlign w:val="center"/>
            <w:hideMark/>
          </w:tcPr>
          <w:p w14:paraId="7551B580"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Risque de conflit avec les populations locales par la présence des mains d’œuvre externes</w:t>
            </w:r>
          </w:p>
        </w:tc>
        <w:tc>
          <w:tcPr>
            <w:tcW w:w="593" w:type="pct"/>
            <w:tcBorders>
              <w:top w:val="nil"/>
              <w:left w:val="nil"/>
              <w:bottom w:val="single" w:sz="4" w:space="0" w:color="auto"/>
              <w:right w:val="single" w:sz="4" w:space="0" w:color="auto"/>
            </w:tcBorders>
            <w:shd w:val="clear" w:color="000000" w:fill="FFFF00"/>
            <w:vAlign w:val="center"/>
            <w:hideMark/>
          </w:tcPr>
          <w:p w14:paraId="5AACE822"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522" w:type="pct"/>
            <w:tcBorders>
              <w:top w:val="nil"/>
              <w:left w:val="nil"/>
              <w:bottom w:val="single" w:sz="4" w:space="0" w:color="auto"/>
              <w:right w:val="single" w:sz="4" w:space="0" w:color="auto"/>
            </w:tcBorders>
            <w:shd w:val="clear" w:color="000000" w:fill="FFFF00"/>
            <w:vAlign w:val="center"/>
            <w:hideMark/>
          </w:tcPr>
          <w:p w14:paraId="36524B46"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706" w:type="pct"/>
            <w:tcBorders>
              <w:top w:val="nil"/>
              <w:left w:val="nil"/>
              <w:bottom w:val="single" w:sz="4" w:space="0" w:color="auto"/>
              <w:right w:val="single" w:sz="4" w:space="0" w:color="auto"/>
            </w:tcBorders>
            <w:shd w:val="clear" w:color="000000" w:fill="FFFF00"/>
            <w:vAlign w:val="center"/>
            <w:hideMark/>
          </w:tcPr>
          <w:p w14:paraId="0E1E9DFD"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523" w:type="pct"/>
            <w:tcBorders>
              <w:top w:val="nil"/>
              <w:left w:val="nil"/>
              <w:bottom w:val="single" w:sz="4" w:space="0" w:color="auto"/>
              <w:right w:val="single" w:sz="4" w:space="0" w:color="auto"/>
            </w:tcBorders>
            <w:shd w:val="clear" w:color="000000" w:fill="FFFF00"/>
            <w:vAlign w:val="center"/>
            <w:hideMark/>
          </w:tcPr>
          <w:p w14:paraId="479FB96B"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r>
      <w:tr w:rsidR="00570262" w:rsidRPr="00570262" w14:paraId="00862B7A" w14:textId="77777777" w:rsidTr="00570262">
        <w:trPr>
          <w:trHeight w:val="480"/>
        </w:trPr>
        <w:tc>
          <w:tcPr>
            <w:tcW w:w="523" w:type="pct"/>
            <w:vMerge/>
            <w:tcBorders>
              <w:top w:val="nil"/>
              <w:left w:val="single" w:sz="4" w:space="0" w:color="auto"/>
              <w:bottom w:val="single" w:sz="4" w:space="0" w:color="auto"/>
              <w:right w:val="single" w:sz="4" w:space="0" w:color="auto"/>
            </w:tcBorders>
            <w:vAlign w:val="center"/>
            <w:hideMark/>
          </w:tcPr>
          <w:p w14:paraId="6CBF57D5"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tcBorders>
              <w:top w:val="nil"/>
              <w:left w:val="single" w:sz="4" w:space="0" w:color="auto"/>
              <w:bottom w:val="single" w:sz="4" w:space="0" w:color="auto"/>
              <w:right w:val="single" w:sz="4" w:space="0" w:color="auto"/>
            </w:tcBorders>
            <w:vAlign w:val="center"/>
            <w:hideMark/>
          </w:tcPr>
          <w:p w14:paraId="0399670A"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1610" w:type="pct"/>
            <w:tcBorders>
              <w:top w:val="nil"/>
              <w:left w:val="nil"/>
              <w:bottom w:val="single" w:sz="4" w:space="0" w:color="auto"/>
              <w:right w:val="single" w:sz="4" w:space="0" w:color="auto"/>
            </w:tcBorders>
            <w:shd w:val="clear" w:color="auto" w:fill="auto"/>
            <w:vAlign w:val="center"/>
            <w:hideMark/>
          </w:tcPr>
          <w:p w14:paraId="2F12AA66"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Risque de conflits sociaux liés à l'utilisation de l'eau</w:t>
            </w:r>
          </w:p>
        </w:tc>
        <w:tc>
          <w:tcPr>
            <w:tcW w:w="593" w:type="pct"/>
            <w:tcBorders>
              <w:top w:val="nil"/>
              <w:left w:val="nil"/>
              <w:bottom w:val="single" w:sz="4" w:space="0" w:color="auto"/>
              <w:right w:val="single" w:sz="4" w:space="0" w:color="auto"/>
            </w:tcBorders>
            <w:shd w:val="clear" w:color="auto" w:fill="auto"/>
            <w:vAlign w:val="center"/>
            <w:hideMark/>
          </w:tcPr>
          <w:p w14:paraId="7A1FD4A2"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2" w:type="pct"/>
            <w:tcBorders>
              <w:top w:val="nil"/>
              <w:left w:val="nil"/>
              <w:bottom w:val="single" w:sz="4" w:space="0" w:color="auto"/>
              <w:right w:val="single" w:sz="4" w:space="0" w:color="auto"/>
            </w:tcBorders>
            <w:shd w:val="clear" w:color="000000" w:fill="FFFF00"/>
            <w:vAlign w:val="center"/>
            <w:hideMark/>
          </w:tcPr>
          <w:p w14:paraId="322D32EE"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706" w:type="pct"/>
            <w:tcBorders>
              <w:top w:val="nil"/>
              <w:left w:val="nil"/>
              <w:bottom w:val="single" w:sz="4" w:space="0" w:color="auto"/>
              <w:right w:val="single" w:sz="4" w:space="0" w:color="auto"/>
            </w:tcBorders>
            <w:shd w:val="clear" w:color="auto" w:fill="auto"/>
            <w:vAlign w:val="center"/>
            <w:hideMark/>
          </w:tcPr>
          <w:p w14:paraId="0B07937B"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3" w:type="pct"/>
            <w:tcBorders>
              <w:top w:val="nil"/>
              <w:left w:val="nil"/>
              <w:bottom w:val="single" w:sz="4" w:space="0" w:color="auto"/>
              <w:right w:val="single" w:sz="4" w:space="0" w:color="auto"/>
            </w:tcBorders>
            <w:shd w:val="clear" w:color="auto" w:fill="auto"/>
            <w:vAlign w:val="center"/>
            <w:hideMark/>
          </w:tcPr>
          <w:p w14:paraId="3CB17FF2"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r>
      <w:tr w:rsidR="00570262" w:rsidRPr="00570262" w14:paraId="294463E8" w14:textId="77777777" w:rsidTr="00570262">
        <w:trPr>
          <w:trHeight w:val="480"/>
        </w:trPr>
        <w:tc>
          <w:tcPr>
            <w:tcW w:w="523" w:type="pct"/>
            <w:vMerge/>
            <w:tcBorders>
              <w:top w:val="nil"/>
              <w:left w:val="single" w:sz="4" w:space="0" w:color="auto"/>
              <w:bottom w:val="single" w:sz="4" w:space="0" w:color="auto"/>
              <w:right w:val="single" w:sz="4" w:space="0" w:color="auto"/>
            </w:tcBorders>
            <w:vAlign w:val="center"/>
            <w:hideMark/>
          </w:tcPr>
          <w:p w14:paraId="363EA284"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tcBorders>
              <w:top w:val="nil"/>
              <w:left w:val="single" w:sz="4" w:space="0" w:color="auto"/>
              <w:bottom w:val="single" w:sz="4" w:space="0" w:color="auto"/>
              <w:right w:val="single" w:sz="4" w:space="0" w:color="auto"/>
            </w:tcBorders>
            <w:vAlign w:val="center"/>
            <w:hideMark/>
          </w:tcPr>
          <w:p w14:paraId="1BED6877"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1610" w:type="pct"/>
            <w:tcBorders>
              <w:top w:val="nil"/>
              <w:left w:val="nil"/>
              <w:bottom w:val="single" w:sz="4" w:space="0" w:color="auto"/>
              <w:right w:val="single" w:sz="4" w:space="0" w:color="auto"/>
            </w:tcBorders>
            <w:shd w:val="clear" w:color="auto" w:fill="auto"/>
            <w:vAlign w:val="center"/>
            <w:hideMark/>
          </w:tcPr>
          <w:p w14:paraId="7DCD593F"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Impact visuel causé par le changement de paysage</w:t>
            </w:r>
          </w:p>
        </w:tc>
        <w:tc>
          <w:tcPr>
            <w:tcW w:w="593" w:type="pct"/>
            <w:tcBorders>
              <w:top w:val="nil"/>
              <w:left w:val="nil"/>
              <w:bottom w:val="single" w:sz="4" w:space="0" w:color="auto"/>
              <w:right w:val="single" w:sz="4" w:space="0" w:color="auto"/>
            </w:tcBorders>
            <w:shd w:val="clear" w:color="000000" w:fill="FFFF00"/>
            <w:vAlign w:val="center"/>
            <w:hideMark/>
          </w:tcPr>
          <w:p w14:paraId="49E5B2AF"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522" w:type="pct"/>
            <w:tcBorders>
              <w:top w:val="nil"/>
              <w:left w:val="nil"/>
              <w:bottom w:val="single" w:sz="4" w:space="0" w:color="auto"/>
              <w:right w:val="single" w:sz="4" w:space="0" w:color="auto"/>
            </w:tcBorders>
            <w:shd w:val="clear" w:color="000000" w:fill="FFFF00"/>
            <w:vAlign w:val="center"/>
            <w:hideMark/>
          </w:tcPr>
          <w:p w14:paraId="0C04B387"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706" w:type="pct"/>
            <w:tcBorders>
              <w:top w:val="nil"/>
              <w:left w:val="nil"/>
              <w:bottom w:val="single" w:sz="4" w:space="0" w:color="auto"/>
              <w:right w:val="single" w:sz="4" w:space="0" w:color="auto"/>
            </w:tcBorders>
            <w:shd w:val="clear" w:color="000000" w:fill="FFFF00"/>
            <w:vAlign w:val="center"/>
            <w:hideMark/>
          </w:tcPr>
          <w:p w14:paraId="2B67EE41"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523" w:type="pct"/>
            <w:tcBorders>
              <w:top w:val="nil"/>
              <w:left w:val="nil"/>
              <w:bottom w:val="single" w:sz="4" w:space="0" w:color="auto"/>
              <w:right w:val="single" w:sz="4" w:space="0" w:color="auto"/>
            </w:tcBorders>
            <w:shd w:val="clear" w:color="000000" w:fill="FFFF00"/>
            <w:vAlign w:val="center"/>
            <w:hideMark/>
          </w:tcPr>
          <w:p w14:paraId="4D2BED88"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r>
      <w:tr w:rsidR="00570262" w:rsidRPr="00570262" w14:paraId="57D783CA" w14:textId="77777777" w:rsidTr="00570262">
        <w:trPr>
          <w:trHeight w:val="300"/>
        </w:trPr>
        <w:tc>
          <w:tcPr>
            <w:tcW w:w="523" w:type="pct"/>
            <w:vMerge/>
            <w:tcBorders>
              <w:top w:val="nil"/>
              <w:left w:val="single" w:sz="4" w:space="0" w:color="auto"/>
              <w:bottom w:val="single" w:sz="4" w:space="0" w:color="auto"/>
              <w:right w:val="single" w:sz="4" w:space="0" w:color="auto"/>
            </w:tcBorders>
            <w:vAlign w:val="center"/>
            <w:hideMark/>
          </w:tcPr>
          <w:p w14:paraId="3FB98B88"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tcBorders>
              <w:top w:val="nil"/>
              <w:left w:val="single" w:sz="4" w:space="0" w:color="auto"/>
              <w:bottom w:val="single" w:sz="4" w:space="0" w:color="auto"/>
              <w:right w:val="single" w:sz="4" w:space="0" w:color="auto"/>
            </w:tcBorders>
            <w:vAlign w:val="center"/>
            <w:hideMark/>
          </w:tcPr>
          <w:p w14:paraId="4C2AA87D"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1610" w:type="pct"/>
            <w:tcBorders>
              <w:top w:val="nil"/>
              <w:left w:val="nil"/>
              <w:bottom w:val="single" w:sz="4" w:space="0" w:color="auto"/>
              <w:right w:val="single" w:sz="4" w:space="0" w:color="auto"/>
            </w:tcBorders>
            <w:shd w:val="clear" w:color="auto" w:fill="auto"/>
            <w:vAlign w:val="center"/>
            <w:hideMark/>
          </w:tcPr>
          <w:p w14:paraId="1B8E9336"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Risque de bouleversement des mœurs</w:t>
            </w:r>
          </w:p>
        </w:tc>
        <w:tc>
          <w:tcPr>
            <w:tcW w:w="593" w:type="pct"/>
            <w:tcBorders>
              <w:top w:val="nil"/>
              <w:left w:val="nil"/>
              <w:bottom w:val="single" w:sz="4" w:space="0" w:color="auto"/>
              <w:right w:val="single" w:sz="4" w:space="0" w:color="auto"/>
            </w:tcBorders>
            <w:shd w:val="clear" w:color="000000" w:fill="FF0000"/>
            <w:vAlign w:val="center"/>
            <w:hideMark/>
          </w:tcPr>
          <w:p w14:paraId="47B24340"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Majeure</w:t>
            </w:r>
          </w:p>
        </w:tc>
        <w:tc>
          <w:tcPr>
            <w:tcW w:w="522" w:type="pct"/>
            <w:tcBorders>
              <w:top w:val="nil"/>
              <w:left w:val="nil"/>
              <w:bottom w:val="single" w:sz="4" w:space="0" w:color="auto"/>
              <w:right w:val="single" w:sz="4" w:space="0" w:color="auto"/>
            </w:tcBorders>
            <w:shd w:val="clear" w:color="auto" w:fill="auto"/>
            <w:vAlign w:val="center"/>
            <w:hideMark/>
          </w:tcPr>
          <w:p w14:paraId="1CCAD6C7"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706" w:type="pct"/>
            <w:tcBorders>
              <w:top w:val="nil"/>
              <w:left w:val="nil"/>
              <w:bottom w:val="single" w:sz="4" w:space="0" w:color="auto"/>
              <w:right w:val="single" w:sz="4" w:space="0" w:color="auto"/>
            </w:tcBorders>
            <w:shd w:val="clear" w:color="auto" w:fill="auto"/>
            <w:vAlign w:val="center"/>
            <w:hideMark/>
          </w:tcPr>
          <w:p w14:paraId="2C9E52AE"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3" w:type="pct"/>
            <w:tcBorders>
              <w:top w:val="nil"/>
              <w:left w:val="nil"/>
              <w:bottom w:val="single" w:sz="4" w:space="0" w:color="auto"/>
              <w:right w:val="single" w:sz="4" w:space="0" w:color="auto"/>
            </w:tcBorders>
            <w:shd w:val="clear" w:color="auto" w:fill="auto"/>
            <w:vAlign w:val="center"/>
            <w:hideMark/>
          </w:tcPr>
          <w:p w14:paraId="50D6B480"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r>
      <w:tr w:rsidR="00570262" w:rsidRPr="00570262" w14:paraId="3C325FEC" w14:textId="77777777" w:rsidTr="00570262">
        <w:trPr>
          <w:trHeight w:val="300"/>
        </w:trPr>
        <w:tc>
          <w:tcPr>
            <w:tcW w:w="523" w:type="pct"/>
            <w:vMerge/>
            <w:tcBorders>
              <w:top w:val="nil"/>
              <w:left w:val="single" w:sz="4" w:space="0" w:color="auto"/>
              <w:bottom w:val="single" w:sz="4" w:space="0" w:color="auto"/>
              <w:right w:val="single" w:sz="4" w:space="0" w:color="auto"/>
            </w:tcBorders>
            <w:vAlign w:val="center"/>
            <w:hideMark/>
          </w:tcPr>
          <w:p w14:paraId="01E7CECD"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val="restart"/>
            <w:tcBorders>
              <w:top w:val="nil"/>
              <w:left w:val="single" w:sz="4" w:space="0" w:color="auto"/>
              <w:bottom w:val="single" w:sz="4" w:space="0" w:color="auto"/>
              <w:right w:val="single" w:sz="4" w:space="0" w:color="auto"/>
            </w:tcBorders>
            <w:shd w:val="clear" w:color="auto" w:fill="auto"/>
            <w:vAlign w:val="center"/>
            <w:hideMark/>
          </w:tcPr>
          <w:p w14:paraId="34F54FF6"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Santé et sécurité</w:t>
            </w:r>
            <w:r w:rsidRPr="00570262">
              <w:rPr>
                <w:rFonts w:eastAsia="Times New Roman" w:cs="Calibri"/>
                <w:color w:val="000000"/>
                <w:sz w:val="16"/>
                <w:szCs w:val="16"/>
                <w:lang w:eastAsia="fr-FR"/>
              </w:rPr>
              <w:t> </w:t>
            </w:r>
          </w:p>
        </w:tc>
        <w:tc>
          <w:tcPr>
            <w:tcW w:w="1610" w:type="pct"/>
            <w:tcBorders>
              <w:top w:val="nil"/>
              <w:left w:val="nil"/>
              <w:bottom w:val="single" w:sz="4" w:space="0" w:color="auto"/>
              <w:right w:val="single" w:sz="4" w:space="0" w:color="auto"/>
            </w:tcBorders>
            <w:shd w:val="clear" w:color="auto" w:fill="auto"/>
            <w:vAlign w:val="center"/>
            <w:hideMark/>
          </w:tcPr>
          <w:p w14:paraId="420960C5"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Nuisances sonores</w:t>
            </w:r>
          </w:p>
        </w:tc>
        <w:tc>
          <w:tcPr>
            <w:tcW w:w="593" w:type="pct"/>
            <w:tcBorders>
              <w:top w:val="nil"/>
              <w:left w:val="nil"/>
              <w:bottom w:val="single" w:sz="4" w:space="0" w:color="auto"/>
              <w:right w:val="single" w:sz="4" w:space="0" w:color="auto"/>
            </w:tcBorders>
            <w:shd w:val="clear" w:color="000000" w:fill="00B050"/>
            <w:vAlign w:val="center"/>
            <w:hideMark/>
          </w:tcPr>
          <w:p w14:paraId="7CD22C38"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522" w:type="pct"/>
            <w:tcBorders>
              <w:top w:val="nil"/>
              <w:left w:val="nil"/>
              <w:bottom w:val="single" w:sz="4" w:space="0" w:color="auto"/>
              <w:right w:val="single" w:sz="4" w:space="0" w:color="auto"/>
            </w:tcBorders>
            <w:shd w:val="clear" w:color="000000" w:fill="00B050"/>
            <w:vAlign w:val="center"/>
            <w:hideMark/>
          </w:tcPr>
          <w:p w14:paraId="25F76B90"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706" w:type="pct"/>
            <w:tcBorders>
              <w:top w:val="nil"/>
              <w:left w:val="nil"/>
              <w:bottom w:val="single" w:sz="4" w:space="0" w:color="auto"/>
              <w:right w:val="single" w:sz="4" w:space="0" w:color="auto"/>
            </w:tcBorders>
            <w:shd w:val="clear" w:color="000000" w:fill="00B050"/>
            <w:vAlign w:val="center"/>
            <w:hideMark/>
          </w:tcPr>
          <w:p w14:paraId="1FE639AC"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523" w:type="pct"/>
            <w:tcBorders>
              <w:top w:val="nil"/>
              <w:left w:val="nil"/>
              <w:bottom w:val="single" w:sz="4" w:space="0" w:color="auto"/>
              <w:right w:val="single" w:sz="4" w:space="0" w:color="auto"/>
            </w:tcBorders>
            <w:shd w:val="clear" w:color="auto" w:fill="auto"/>
            <w:vAlign w:val="center"/>
            <w:hideMark/>
          </w:tcPr>
          <w:p w14:paraId="5E3F4477"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r>
      <w:tr w:rsidR="00570262" w:rsidRPr="00570262" w14:paraId="3C5DA983" w14:textId="77777777" w:rsidTr="00570262">
        <w:trPr>
          <w:trHeight w:val="480"/>
        </w:trPr>
        <w:tc>
          <w:tcPr>
            <w:tcW w:w="523" w:type="pct"/>
            <w:vMerge/>
            <w:tcBorders>
              <w:top w:val="nil"/>
              <w:left w:val="single" w:sz="4" w:space="0" w:color="auto"/>
              <w:bottom w:val="single" w:sz="4" w:space="0" w:color="auto"/>
              <w:right w:val="single" w:sz="4" w:space="0" w:color="auto"/>
            </w:tcBorders>
            <w:vAlign w:val="center"/>
            <w:hideMark/>
          </w:tcPr>
          <w:p w14:paraId="7396C0A4"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tcBorders>
              <w:top w:val="nil"/>
              <w:left w:val="single" w:sz="4" w:space="0" w:color="auto"/>
              <w:bottom w:val="single" w:sz="4" w:space="0" w:color="auto"/>
              <w:right w:val="single" w:sz="4" w:space="0" w:color="auto"/>
            </w:tcBorders>
            <w:vAlign w:val="center"/>
            <w:hideMark/>
          </w:tcPr>
          <w:p w14:paraId="79694098"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1610" w:type="pct"/>
            <w:tcBorders>
              <w:top w:val="nil"/>
              <w:left w:val="nil"/>
              <w:bottom w:val="single" w:sz="4" w:space="0" w:color="auto"/>
              <w:right w:val="single" w:sz="4" w:space="0" w:color="auto"/>
            </w:tcBorders>
            <w:shd w:val="clear" w:color="auto" w:fill="auto"/>
            <w:vAlign w:val="center"/>
            <w:hideMark/>
          </w:tcPr>
          <w:p w14:paraId="55E01282"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Création de champ électromagnétique (CEM)</w:t>
            </w:r>
          </w:p>
        </w:tc>
        <w:tc>
          <w:tcPr>
            <w:tcW w:w="593" w:type="pct"/>
            <w:tcBorders>
              <w:top w:val="nil"/>
              <w:left w:val="nil"/>
              <w:bottom w:val="single" w:sz="4" w:space="0" w:color="auto"/>
              <w:right w:val="single" w:sz="4" w:space="0" w:color="auto"/>
            </w:tcBorders>
            <w:shd w:val="clear" w:color="000000" w:fill="FFFF00"/>
            <w:vAlign w:val="center"/>
            <w:hideMark/>
          </w:tcPr>
          <w:p w14:paraId="1032F8D8"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522" w:type="pct"/>
            <w:tcBorders>
              <w:top w:val="nil"/>
              <w:left w:val="nil"/>
              <w:bottom w:val="single" w:sz="4" w:space="0" w:color="auto"/>
              <w:right w:val="single" w:sz="4" w:space="0" w:color="auto"/>
            </w:tcBorders>
            <w:shd w:val="clear" w:color="000000" w:fill="FFFF00"/>
            <w:vAlign w:val="center"/>
            <w:hideMark/>
          </w:tcPr>
          <w:p w14:paraId="0E81345D"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706" w:type="pct"/>
            <w:tcBorders>
              <w:top w:val="nil"/>
              <w:left w:val="nil"/>
              <w:bottom w:val="single" w:sz="4" w:space="0" w:color="auto"/>
              <w:right w:val="single" w:sz="4" w:space="0" w:color="auto"/>
            </w:tcBorders>
            <w:shd w:val="clear" w:color="auto" w:fill="auto"/>
            <w:vAlign w:val="center"/>
            <w:hideMark/>
          </w:tcPr>
          <w:p w14:paraId="0DC2889D"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3" w:type="pct"/>
            <w:tcBorders>
              <w:top w:val="nil"/>
              <w:left w:val="nil"/>
              <w:bottom w:val="single" w:sz="4" w:space="0" w:color="auto"/>
              <w:right w:val="single" w:sz="4" w:space="0" w:color="auto"/>
            </w:tcBorders>
            <w:shd w:val="clear" w:color="auto" w:fill="auto"/>
            <w:vAlign w:val="center"/>
            <w:hideMark/>
          </w:tcPr>
          <w:p w14:paraId="7AFFA4AE"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r>
      <w:tr w:rsidR="00570262" w:rsidRPr="00570262" w14:paraId="00AA7393" w14:textId="77777777" w:rsidTr="00570262">
        <w:trPr>
          <w:trHeight w:val="300"/>
        </w:trPr>
        <w:tc>
          <w:tcPr>
            <w:tcW w:w="523" w:type="pct"/>
            <w:vMerge/>
            <w:tcBorders>
              <w:top w:val="nil"/>
              <w:left w:val="single" w:sz="4" w:space="0" w:color="auto"/>
              <w:bottom w:val="single" w:sz="4" w:space="0" w:color="auto"/>
              <w:right w:val="single" w:sz="4" w:space="0" w:color="auto"/>
            </w:tcBorders>
            <w:vAlign w:val="center"/>
            <w:hideMark/>
          </w:tcPr>
          <w:p w14:paraId="703CDBA1"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tcBorders>
              <w:top w:val="nil"/>
              <w:left w:val="single" w:sz="4" w:space="0" w:color="auto"/>
              <w:bottom w:val="single" w:sz="4" w:space="0" w:color="auto"/>
              <w:right w:val="single" w:sz="4" w:space="0" w:color="auto"/>
            </w:tcBorders>
            <w:vAlign w:val="center"/>
            <w:hideMark/>
          </w:tcPr>
          <w:p w14:paraId="69C2B5E8"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1610" w:type="pct"/>
            <w:tcBorders>
              <w:top w:val="nil"/>
              <w:left w:val="nil"/>
              <w:bottom w:val="single" w:sz="4" w:space="0" w:color="auto"/>
              <w:right w:val="single" w:sz="4" w:space="0" w:color="auto"/>
            </w:tcBorders>
            <w:shd w:val="clear" w:color="auto" w:fill="auto"/>
            <w:vAlign w:val="center"/>
            <w:hideMark/>
          </w:tcPr>
          <w:p w14:paraId="6DC98063"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Risque d'accident et d’incendie</w:t>
            </w:r>
          </w:p>
        </w:tc>
        <w:tc>
          <w:tcPr>
            <w:tcW w:w="593" w:type="pct"/>
            <w:tcBorders>
              <w:top w:val="nil"/>
              <w:left w:val="nil"/>
              <w:bottom w:val="single" w:sz="4" w:space="0" w:color="auto"/>
              <w:right w:val="single" w:sz="4" w:space="0" w:color="auto"/>
            </w:tcBorders>
            <w:shd w:val="clear" w:color="000000" w:fill="FFFF00"/>
            <w:vAlign w:val="center"/>
            <w:hideMark/>
          </w:tcPr>
          <w:p w14:paraId="664F4083"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522" w:type="pct"/>
            <w:tcBorders>
              <w:top w:val="nil"/>
              <w:left w:val="nil"/>
              <w:bottom w:val="single" w:sz="4" w:space="0" w:color="auto"/>
              <w:right w:val="single" w:sz="4" w:space="0" w:color="auto"/>
            </w:tcBorders>
            <w:shd w:val="clear" w:color="000000" w:fill="FFFF00"/>
            <w:vAlign w:val="center"/>
            <w:hideMark/>
          </w:tcPr>
          <w:p w14:paraId="096AC6D2"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706" w:type="pct"/>
            <w:tcBorders>
              <w:top w:val="nil"/>
              <w:left w:val="nil"/>
              <w:bottom w:val="single" w:sz="4" w:space="0" w:color="auto"/>
              <w:right w:val="single" w:sz="4" w:space="0" w:color="auto"/>
            </w:tcBorders>
            <w:shd w:val="clear" w:color="000000" w:fill="FFFF00"/>
            <w:vAlign w:val="center"/>
            <w:hideMark/>
          </w:tcPr>
          <w:p w14:paraId="605A28F9"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523" w:type="pct"/>
            <w:tcBorders>
              <w:top w:val="nil"/>
              <w:left w:val="nil"/>
              <w:bottom w:val="single" w:sz="4" w:space="0" w:color="auto"/>
              <w:right w:val="single" w:sz="4" w:space="0" w:color="auto"/>
            </w:tcBorders>
            <w:shd w:val="clear" w:color="000000" w:fill="FFFF00"/>
            <w:vAlign w:val="center"/>
            <w:hideMark/>
          </w:tcPr>
          <w:p w14:paraId="7DE2CB9E"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r>
      <w:tr w:rsidR="00570262" w:rsidRPr="00570262" w14:paraId="410F500F" w14:textId="77777777" w:rsidTr="00570262">
        <w:trPr>
          <w:trHeight w:val="300"/>
        </w:trPr>
        <w:tc>
          <w:tcPr>
            <w:tcW w:w="523" w:type="pct"/>
            <w:vMerge/>
            <w:tcBorders>
              <w:top w:val="nil"/>
              <w:left w:val="single" w:sz="4" w:space="0" w:color="auto"/>
              <w:bottom w:val="single" w:sz="4" w:space="0" w:color="auto"/>
              <w:right w:val="single" w:sz="4" w:space="0" w:color="auto"/>
            </w:tcBorders>
            <w:vAlign w:val="center"/>
            <w:hideMark/>
          </w:tcPr>
          <w:p w14:paraId="26207597"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tcBorders>
              <w:top w:val="nil"/>
              <w:left w:val="single" w:sz="4" w:space="0" w:color="auto"/>
              <w:bottom w:val="single" w:sz="4" w:space="0" w:color="auto"/>
              <w:right w:val="single" w:sz="4" w:space="0" w:color="auto"/>
            </w:tcBorders>
            <w:vAlign w:val="center"/>
            <w:hideMark/>
          </w:tcPr>
          <w:p w14:paraId="464BFB9F"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1610" w:type="pct"/>
            <w:tcBorders>
              <w:top w:val="nil"/>
              <w:left w:val="nil"/>
              <w:bottom w:val="single" w:sz="4" w:space="0" w:color="auto"/>
              <w:right w:val="single" w:sz="4" w:space="0" w:color="auto"/>
            </w:tcBorders>
            <w:shd w:val="clear" w:color="auto" w:fill="auto"/>
            <w:vAlign w:val="center"/>
            <w:hideMark/>
          </w:tcPr>
          <w:p w14:paraId="6C00D8F7"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Risques liés au vol et intrusions</w:t>
            </w:r>
          </w:p>
        </w:tc>
        <w:tc>
          <w:tcPr>
            <w:tcW w:w="593" w:type="pct"/>
            <w:tcBorders>
              <w:top w:val="nil"/>
              <w:left w:val="nil"/>
              <w:bottom w:val="single" w:sz="4" w:space="0" w:color="auto"/>
              <w:right w:val="single" w:sz="4" w:space="0" w:color="auto"/>
            </w:tcBorders>
            <w:shd w:val="clear" w:color="000000" w:fill="FFFF00"/>
            <w:vAlign w:val="center"/>
            <w:hideMark/>
          </w:tcPr>
          <w:p w14:paraId="779067ED"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522" w:type="pct"/>
            <w:tcBorders>
              <w:top w:val="nil"/>
              <w:left w:val="nil"/>
              <w:bottom w:val="single" w:sz="4" w:space="0" w:color="auto"/>
              <w:right w:val="single" w:sz="4" w:space="0" w:color="auto"/>
            </w:tcBorders>
            <w:shd w:val="clear" w:color="000000" w:fill="FFFF00"/>
            <w:vAlign w:val="center"/>
            <w:hideMark/>
          </w:tcPr>
          <w:p w14:paraId="79EFD406"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706" w:type="pct"/>
            <w:tcBorders>
              <w:top w:val="nil"/>
              <w:left w:val="nil"/>
              <w:bottom w:val="single" w:sz="4" w:space="0" w:color="auto"/>
              <w:right w:val="single" w:sz="4" w:space="0" w:color="auto"/>
            </w:tcBorders>
            <w:shd w:val="clear" w:color="000000" w:fill="FFFF00"/>
            <w:vAlign w:val="center"/>
            <w:hideMark/>
          </w:tcPr>
          <w:p w14:paraId="00A5DDCC"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523" w:type="pct"/>
            <w:tcBorders>
              <w:top w:val="nil"/>
              <w:left w:val="nil"/>
              <w:bottom w:val="single" w:sz="4" w:space="0" w:color="auto"/>
              <w:right w:val="single" w:sz="4" w:space="0" w:color="auto"/>
            </w:tcBorders>
            <w:shd w:val="clear" w:color="000000" w:fill="FFFF00"/>
            <w:vAlign w:val="center"/>
            <w:hideMark/>
          </w:tcPr>
          <w:p w14:paraId="763A9912"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r>
      <w:tr w:rsidR="00570262" w:rsidRPr="00570262" w14:paraId="67F2DCA2" w14:textId="77777777" w:rsidTr="00570262">
        <w:trPr>
          <w:trHeight w:val="480"/>
        </w:trPr>
        <w:tc>
          <w:tcPr>
            <w:tcW w:w="523" w:type="pct"/>
            <w:vMerge/>
            <w:tcBorders>
              <w:top w:val="nil"/>
              <w:left w:val="single" w:sz="4" w:space="0" w:color="auto"/>
              <w:bottom w:val="single" w:sz="4" w:space="0" w:color="auto"/>
              <w:right w:val="single" w:sz="4" w:space="0" w:color="auto"/>
            </w:tcBorders>
            <w:vAlign w:val="center"/>
            <w:hideMark/>
          </w:tcPr>
          <w:p w14:paraId="037F32E2"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tcBorders>
              <w:top w:val="nil"/>
              <w:left w:val="single" w:sz="4" w:space="0" w:color="auto"/>
              <w:bottom w:val="single" w:sz="4" w:space="0" w:color="auto"/>
              <w:right w:val="single" w:sz="4" w:space="0" w:color="auto"/>
            </w:tcBorders>
            <w:vAlign w:val="center"/>
            <w:hideMark/>
          </w:tcPr>
          <w:p w14:paraId="41CFBD00"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1610" w:type="pct"/>
            <w:tcBorders>
              <w:top w:val="nil"/>
              <w:left w:val="nil"/>
              <w:bottom w:val="single" w:sz="4" w:space="0" w:color="auto"/>
              <w:right w:val="single" w:sz="4" w:space="0" w:color="auto"/>
            </w:tcBorders>
            <w:shd w:val="clear" w:color="auto" w:fill="auto"/>
            <w:vAlign w:val="center"/>
            <w:hideMark/>
          </w:tcPr>
          <w:p w14:paraId="59928BFB"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Risque d'augmentation des cas de VBG, EAS/HS dû à l'utilisation d'internet</w:t>
            </w:r>
          </w:p>
        </w:tc>
        <w:tc>
          <w:tcPr>
            <w:tcW w:w="593" w:type="pct"/>
            <w:tcBorders>
              <w:top w:val="nil"/>
              <w:left w:val="nil"/>
              <w:bottom w:val="single" w:sz="4" w:space="0" w:color="auto"/>
              <w:right w:val="single" w:sz="4" w:space="0" w:color="auto"/>
            </w:tcBorders>
            <w:shd w:val="clear" w:color="000000" w:fill="FFFF00"/>
            <w:vAlign w:val="center"/>
            <w:hideMark/>
          </w:tcPr>
          <w:p w14:paraId="6610F3FF"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522" w:type="pct"/>
            <w:tcBorders>
              <w:top w:val="nil"/>
              <w:left w:val="nil"/>
              <w:bottom w:val="single" w:sz="4" w:space="0" w:color="auto"/>
              <w:right w:val="single" w:sz="4" w:space="0" w:color="auto"/>
            </w:tcBorders>
            <w:shd w:val="clear" w:color="auto" w:fill="auto"/>
            <w:vAlign w:val="center"/>
            <w:hideMark/>
          </w:tcPr>
          <w:p w14:paraId="336D7958"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706" w:type="pct"/>
            <w:tcBorders>
              <w:top w:val="nil"/>
              <w:left w:val="nil"/>
              <w:bottom w:val="single" w:sz="4" w:space="0" w:color="auto"/>
              <w:right w:val="single" w:sz="4" w:space="0" w:color="auto"/>
            </w:tcBorders>
            <w:shd w:val="clear" w:color="auto" w:fill="auto"/>
            <w:vAlign w:val="center"/>
            <w:hideMark/>
          </w:tcPr>
          <w:p w14:paraId="09D4FA8A"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3" w:type="pct"/>
            <w:tcBorders>
              <w:top w:val="nil"/>
              <w:left w:val="nil"/>
              <w:bottom w:val="single" w:sz="4" w:space="0" w:color="auto"/>
              <w:right w:val="single" w:sz="4" w:space="0" w:color="auto"/>
            </w:tcBorders>
            <w:shd w:val="clear" w:color="auto" w:fill="auto"/>
            <w:vAlign w:val="center"/>
            <w:hideMark/>
          </w:tcPr>
          <w:p w14:paraId="4A9C443E"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r>
      <w:tr w:rsidR="00570262" w:rsidRPr="00570262" w14:paraId="2D23FF34" w14:textId="77777777" w:rsidTr="00570262">
        <w:trPr>
          <w:trHeight w:val="480"/>
        </w:trPr>
        <w:tc>
          <w:tcPr>
            <w:tcW w:w="523" w:type="pct"/>
            <w:vMerge/>
            <w:tcBorders>
              <w:top w:val="nil"/>
              <w:left w:val="single" w:sz="4" w:space="0" w:color="auto"/>
              <w:bottom w:val="single" w:sz="4" w:space="0" w:color="auto"/>
              <w:right w:val="single" w:sz="4" w:space="0" w:color="auto"/>
            </w:tcBorders>
            <w:vAlign w:val="center"/>
            <w:hideMark/>
          </w:tcPr>
          <w:p w14:paraId="6B071215"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tcBorders>
              <w:top w:val="nil"/>
              <w:left w:val="single" w:sz="4" w:space="0" w:color="auto"/>
              <w:bottom w:val="single" w:sz="4" w:space="0" w:color="auto"/>
              <w:right w:val="single" w:sz="4" w:space="0" w:color="auto"/>
            </w:tcBorders>
            <w:vAlign w:val="center"/>
            <w:hideMark/>
          </w:tcPr>
          <w:p w14:paraId="094DAAAA"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1610" w:type="pct"/>
            <w:tcBorders>
              <w:top w:val="nil"/>
              <w:left w:val="nil"/>
              <w:bottom w:val="single" w:sz="4" w:space="0" w:color="auto"/>
              <w:right w:val="single" w:sz="4" w:space="0" w:color="auto"/>
            </w:tcBorders>
            <w:shd w:val="clear" w:color="auto" w:fill="auto"/>
            <w:vAlign w:val="center"/>
            <w:hideMark/>
          </w:tcPr>
          <w:p w14:paraId="0398F921"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Risque d'augmentation de cas de cybercriminalité</w:t>
            </w:r>
          </w:p>
        </w:tc>
        <w:tc>
          <w:tcPr>
            <w:tcW w:w="593" w:type="pct"/>
            <w:tcBorders>
              <w:top w:val="nil"/>
              <w:left w:val="nil"/>
              <w:bottom w:val="single" w:sz="4" w:space="0" w:color="auto"/>
              <w:right w:val="single" w:sz="4" w:space="0" w:color="auto"/>
            </w:tcBorders>
            <w:shd w:val="clear" w:color="000000" w:fill="FFFF00"/>
            <w:vAlign w:val="center"/>
            <w:hideMark/>
          </w:tcPr>
          <w:p w14:paraId="1E9A1166"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522" w:type="pct"/>
            <w:tcBorders>
              <w:top w:val="nil"/>
              <w:left w:val="nil"/>
              <w:bottom w:val="single" w:sz="4" w:space="0" w:color="auto"/>
              <w:right w:val="single" w:sz="4" w:space="0" w:color="auto"/>
            </w:tcBorders>
            <w:shd w:val="clear" w:color="auto" w:fill="auto"/>
            <w:vAlign w:val="center"/>
            <w:hideMark/>
          </w:tcPr>
          <w:p w14:paraId="179A488E"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706" w:type="pct"/>
            <w:tcBorders>
              <w:top w:val="nil"/>
              <w:left w:val="nil"/>
              <w:bottom w:val="single" w:sz="4" w:space="0" w:color="auto"/>
              <w:right w:val="single" w:sz="4" w:space="0" w:color="auto"/>
            </w:tcBorders>
            <w:shd w:val="clear" w:color="auto" w:fill="auto"/>
            <w:vAlign w:val="center"/>
            <w:hideMark/>
          </w:tcPr>
          <w:p w14:paraId="14DE228A"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3" w:type="pct"/>
            <w:tcBorders>
              <w:top w:val="nil"/>
              <w:left w:val="nil"/>
              <w:bottom w:val="single" w:sz="4" w:space="0" w:color="auto"/>
              <w:right w:val="single" w:sz="4" w:space="0" w:color="auto"/>
            </w:tcBorders>
            <w:shd w:val="clear" w:color="auto" w:fill="auto"/>
            <w:vAlign w:val="center"/>
            <w:hideMark/>
          </w:tcPr>
          <w:p w14:paraId="28DFCF64"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r>
      <w:tr w:rsidR="00570262" w:rsidRPr="00570262" w14:paraId="76206D6E" w14:textId="77777777" w:rsidTr="00570262">
        <w:trPr>
          <w:trHeight w:val="300"/>
        </w:trPr>
        <w:tc>
          <w:tcPr>
            <w:tcW w:w="523" w:type="pct"/>
            <w:vMerge/>
            <w:tcBorders>
              <w:top w:val="nil"/>
              <w:left w:val="single" w:sz="4" w:space="0" w:color="auto"/>
              <w:bottom w:val="single" w:sz="4" w:space="0" w:color="auto"/>
              <w:right w:val="single" w:sz="4" w:space="0" w:color="auto"/>
            </w:tcBorders>
            <w:vAlign w:val="center"/>
            <w:hideMark/>
          </w:tcPr>
          <w:p w14:paraId="5902397E"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tcBorders>
              <w:top w:val="nil"/>
              <w:left w:val="single" w:sz="4" w:space="0" w:color="auto"/>
              <w:bottom w:val="single" w:sz="4" w:space="0" w:color="auto"/>
              <w:right w:val="single" w:sz="4" w:space="0" w:color="auto"/>
            </w:tcBorders>
            <w:vAlign w:val="center"/>
            <w:hideMark/>
          </w:tcPr>
          <w:p w14:paraId="45647B2D"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1610" w:type="pct"/>
            <w:tcBorders>
              <w:top w:val="nil"/>
              <w:left w:val="nil"/>
              <w:bottom w:val="single" w:sz="4" w:space="0" w:color="auto"/>
              <w:right w:val="nil"/>
            </w:tcBorders>
            <w:shd w:val="clear" w:color="auto" w:fill="auto"/>
            <w:vAlign w:val="center"/>
            <w:hideMark/>
          </w:tcPr>
          <w:p w14:paraId="3AD65679"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Atteinte à la sécurité de la population</w:t>
            </w:r>
          </w:p>
        </w:tc>
        <w:tc>
          <w:tcPr>
            <w:tcW w:w="593" w:type="pct"/>
            <w:tcBorders>
              <w:top w:val="nil"/>
              <w:left w:val="single" w:sz="4" w:space="0" w:color="auto"/>
              <w:bottom w:val="single" w:sz="4" w:space="0" w:color="auto"/>
              <w:right w:val="single" w:sz="4" w:space="0" w:color="auto"/>
            </w:tcBorders>
            <w:shd w:val="clear" w:color="auto" w:fill="auto"/>
            <w:vAlign w:val="center"/>
            <w:hideMark/>
          </w:tcPr>
          <w:p w14:paraId="4BC033BA"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2" w:type="pct"/>
            <w:tcBorders>
              <w:top w:val="nil"/>
              <w:left w:val="nil"/>
              <w:bottom w:val="single" w:sz="4" w:space="0" w:color="auto"/>
              <w:right w:val="single" w:sz="4" w:space="0" w:color="auto"/>
            </w:tcBorders>
            <w:shd w:val="clear" w:color="auto" w:fill="auto"/>
            <w:vAlign w:val="center"/>
            <w:hideMark/>
          </w:tcPr>
          <w:p w14:paraId="278D4342"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706" w:type="pct"/>
            <w:tcBorders>
              <w:top w:val="nil"/>
              <w:left w:val="nil"/>
              <w:bottom w:val="single" w:sz="4" w:space="0" w:color="auto"/>
              <w:right w:val="single" w:sz="4" w:space="0" w:color="auto"/>
            </w:tcBorders>
            <w:shd w:val="clear" w:color="000000" w:fill="FFFF00"/>
            <w:vAlign w:val="center"/>
            <w:hideMark/>
          </w:tcPr>
          <w:p w14:paraId="715A08E6"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523" w:type="pct"/>
            <w:tcBorders>
              <w:top w:val="nil"/>
              <w:left w:val="nil"/>
              <w:bottom w:val="single" w:sz="4" w:space="0" w:color="auto"/>
              <w:right w:val="single" w:sz="4" w:space="0" w:color="auto"/>
            </w:tcBorders>
            <w:shd w:val="clear" w:color="auto" w:fill="auto"/>
            <w:vAlign w:val="center"/>
            <w:hideMark/>
          </w:tcPr>
          <w:p w14:paraId="26145C2A"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r>
      <w:tr w:rsidR="00570262" w:rsidRPr="00570262" w14:paraId="54400AB2" w14:textId="77777777" w:rsidTr="00B434A6">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000000" w:fill="00B0F0"/>
            <w:vAlign w:val="center"/>
            <w:hideMark/>
          </w:tcPr>
          <w:p w14:paraId="5512FB50" w14:textId="77777777" w:rsidR="00570262" w:rsidRPr="00570262" w:rsidRDefault="00570262" w:rsidP="00570262">
            <w:pPr>
              <w:spacing w:after="0" w:line="240" w:lineRule="auto"/>
              <w:jc w:val="center"/>
              <w:rPr>
                <w:rFonts w:ascii="Arial" w:eastAsia="Times New Roman" w:hAnsi="Arial" w:cs="Arial"/>
                <w:b/>
                <w:bCs/>
                <w:color w:val="000000"/>
                <w:sz w:val="18"/>
                <w:szCs w:val="18"/>
                <w:lang w:eastAsia="fr-FR"/>
              </w:rPr>
            </w:pPr>
            <w:r w:rsidRPr="00570262">
              <w:rPr>
                <w:rFonts w:ascii="Arial" w:eastAsia="Times New Roman" w:hAnsi="Arial" w:cs="Arial"/>
                <w:b/>
                <w:bCs/>
                <w:color w:val="000000"/>
                <w:sz w:val="18"/>
                <w:szCs w:val="18"/>
                <w:lang w:eastAsia="fr-FR"/>
              </w:rPr>
              <w:t>Phase de démantèlement</w:t>
            </w:r>
          </w:p>
        </w:tc>
      </w:tr>
      <w:tr w:rsidR="00570262" w:rsidRPr="00570262" w14:paraId="0CD1D5C4" w14:textId="77777777" w:rsidTr="00570262">
        <w:trPr>
          <w:trHeight w:val="720"/>
        </w:trPr>
        <w:tc>
          <w:tcPr>
            <w:tcW w:w="523" w:type="pct"/>
            <w:vMerge w:val="restart"/>
            <w:tcBorders>
              <w:top w:val="nil"/>
              <w:left w:val="single" w:sz="4" w:space="0" w:color="auto"/>
              <w:bottom w:val="single" w:sz="4" w:space="0" w:color="auto"/>
              <w:right w:val="single" w:sz="4" w:space="0" w:color="auto"/>
            </w:tcBorders>
            <w:shd w:val="clear" w:color="auto" w:fill="auto"/>
            <w:vAlign w:val="center"/>
            <w:hideMark/>
          </w:tcPr>
          <w:p w14:paraId="37E73850"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Physique</w:t>
            </w:r>
          </w:p>
        </w:tc>
        <w:tc>
          <w:tcPr>
            <w:tcW w:w="523" w:type="pct"/>
            <w:tcBorders>
              <w:top w:val="nil"/>
              <w:left w:val="nil"/>
              <w:bottom w:val="single" w:sz="4" w:space="0" w:color="auto"/>
              <w:right w:val="single" w:sz="4" w:space="0" w:color="auto"/>
            </w:tcBorders>
            <w:shd w:val="clear" w:color="auto" w:fill="auto"/>
            <w:vAlign w:val="center"/>
            <w:hideMark/>
          </w:tcPr>
          <w:p w14:paraId="3C68333F"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Air</w:t>
            </w:r>
          </w:p>
        </w:tc>
        <w:tc>
          <w:tcPr>
            <w:tcW w:w="1610" w:type="pct"/>
            <w:tcBorders>
              <w:top w:val="nil"/>
              <w:left w:val="nil"/>
              <w:bottom w:val="single" w:sz="4" w:space="0" w:color="auto"/>
              <w:right w:val="single" w:sz="4" w:space="0" w:color="auto"/>
            </w:tcBorders>
            <w:shd w:val="clear" w:color="auto" w:fill="auto"/>
            <w:vAlign w:val="center"/>
            <w:hideMark/>
          </w:tcPr>
          <w:p w14:paraId="0482DE18"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Altération de l’air par l’émission de GES des véhicules ainsi que par les soulèvements de poussières</w:t>
            </w:r>
          </w:p>
        </w:tc>
        <w:tc>
          <w:tcPr>
            <w:tcW w:w="593" w:type="pct"/>
            <w:tcBorders>
              <w:top w:val="nil"/>
              <w:left w:val="nil"/>
              <w:bottom w:val="single" w:sz="4" w:space="0" w:color="auto"/>
              <w:right w:val="single" w:sz="4" w:space="0" w:color="auto"/>
            </w:tcBorders>
            <w:shd w:val="clear" w:color="auto" w:fill="auto"/>
            <w:vAlign w:val="center"/>
            <w:hideMark/>
          </w:tcPr>
          <w:p w14:paraId="2B8EE8E8"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2" w:type="pct"/>
            <w:tcBorders>
              <w:top w:val="nil"/>
              <w:left w:val="nil"/>
              <w:bottom w:val="single" w:sz="4" w:space="0" w:color="auto"/>
              <w:right w:val="single" w:sz="4" w:space="0" w:color="auto"/>
            </w:tcBorders>
            <w:shd w:val="clear" w:color="000000" w:fill="00B050"/>
            <w:vAlign w:val="center"/>
            <w:hideMark/>
          </w:tcPr>
          <w:p w14:paraId="2489C9E0"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706" w:type="pct"/>
            <w:tcBorders>
              <w:top w:val="nil"/>
              <w:left w:val="nil"/>
              <w:bottom w:val="single" w:sz="4" w:space="0" w:color="auto"/>
              <w:right w:val="single" w:sz="4" w:space="0" w:color="auto"/>
            </w:tcBorders>
            <w:shd w:val="clear" w:color="auto" w:fill="auto"/>
            <w:vAlign w:val="center"/>
            <w:hideMark/>
          </w:tcPr>
          <w:p w14:paraId="551255B0"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3" w:type="pct"/>
            <w:tcBorders>
              <w:top w:val="nil"/>
              <w:left w:val="nil"/>
              <w:bottom w:val="single" w:sz="4" w:space="0" w:color="auto"/>
              <w:right w:val="single" w:sz="4" w:space="0" w:color="auto"/>
            </w:tcBorders>
            <w:shd w:val="clear" w:color="auto" w:fill="auto"/>
            <w:vAlign w:val="center"/>
            <w:hideMark/>
          </w:tcPr>
          <w:p w14:paraId="3B6E2D6F"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r>
      <w:tr w:rsidR="00570262" w:rsidRPr="00570262" w14:paraId="7E5E7238" w14:textId="77777777" w:rsidTr="00570262">
        <w:trPr>
          <w:trHeight w:val="720"/>
        </w:trPr>
        <w:tc>
          <w:tcPr>
            <w:tcW w:w="523" w:type="pct"/>
            <w:vMerge/>
            <w:tcBorders>
              <w:top w:val="nil"/>
              <w:left w:val="single" w:sz="4" w:space="0" w:color="auto"/>
              <w:bottom w:val="single" w:sz="4" w:space="0" w:color="auto"/>
              <w:right w:val="single" w:sz="4" w:space="0" w:color="auto"/>
            </w:tcBorders>
            <w:vAlign w:val="center"/>
            <w:hideMark/>
          </w:tcPr>
          <w:p w14:paraId="69027CE5"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tcBorders>
              <w:top w:val="nil"/>
              <w:left w:val="nil"/>
              <w:bottom w:val="single" w:sz="4" w:space="0" w:color="auto"/>
              <w:right w:val="single" w:sz="4" w:space="0" w:color="auto"/>
            </w:tcBorders>
            <w:shd w:val="clear" w:color="auto" w:fill="auto"/>
            <w:vAlign w:val="center"/>
            <w:hideMark/>
          </w:tcPr>
          <w:p w14:paraId="1F7E3BFA"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Sol et eau</w:t>
            </w:r>
          </w:p>
        </w:tc>
        <w:tc>
          <w:tcPr>
            <w:tcW w:w="1610" w:type="pct"/>
            <w:tcBorders>
              <w:top w:val="nil"/>
              <w:left w:val="nil"/>
              <w:bottom w:val="single" w:sz="4" w:space="0" w:color="auto"/>
              <w:right w:val="single" w:sz="4" w:space="0" w:color="auto"/>
            </w:tcBorders>
            <w:shd w:val="clear" w:color="auto" w:fill="auto"/>
            <w:vAlign w:val="center"/>
            <w:hideMark/>
          </w:tcPr>
          <w:p w14:paraId="48CFB70B"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Pollution du sol et de l’eau par le déversement accidentel des substances polluantes et de substances dangereuses</w:t>
            </w:r>
          </w:p>
        </w:tc>
        <w:tc>
          <w:tcPr>
            <w:tcW w:w="593" w:type="pct"/>
            <w:tcBorders>
              <w:top w:val="nil"/>
              <w:left w:val="nil"/>
              <w:bottom w:val="single" w:sz="4" w:space="0" w:color="auto"/>
              <w:right w:val="single" w:sz="4" w:space="0" w:color="auto"/>
            </w:tcBorders>
            <w:shd w:val="clear" w:color="auto" w:fill="auto"/>
            <w:vAlign w:val="center"/>
            <w:hideMark/>
          </w:tcPr>
          <w:p w14:paraId="63ADF6F0"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2" w:type="pct"/>
            <w:tcBorders>
              <w:top w:val="nil"/>
              <w:left w:val="nil"/>
              <w:bottom w:val="single" w:sz="4" w:space="0" w:color="auto"/>
              <w:right w:val="single" w:sz="4" w:space="0" w:color="auto"/>
            </w:tcBorders>
            <w:shd w:val="clear" w:color="000000" w:fill="FFFF00"/>
            <w:vAlign w:val="center"/>
            <w:hideMark/>
          </w:tcPr>
          <w:p w14:paraId="23E73C24"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706" w:type="pct"/>
            <w:tcBorders>
              <w:top w:val="nil"/>
              <w:left w:val="nil"/>
              <w:bottom w:val="single" w:sz="4" w:space="0" w:color="auto"/>
              <w:right w:val="single" w:sz="4" w:space="0" w:color="auto"/>
            </w:tcBorders>
            <w:shd w:val="clear" w:color="auto" w:fill="auto"/>
            <w:vAlign w:val="center"/>
            <w:hideMark/>
          </w:tcPr>
          <w:p w14:paraId="78FAFA94"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3" w:type="pct"/>
            <w:tcBorders>
              <w:top w:val="nil"/>
              <w:left w:val="nil"/>
              <w:bottom w:val="single" w:sz="4" w:space="0" w:color="auto"/>
              <w:right w:val="single" w:sz="4" w:space="0" w:color="auto"/>
            </w:tcBorders>
            <w:shd w:val="clear" w:color="auto" w:fill="auto"/>
            <w:vAlign w:val="center"/>
            <w:hideMark/>
          </w:tcPr>
          <w:p w14:paraId="4F6C073C"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r>
      <w:tr w:rsidR="00570262" w:rsidRPr="00570262" w14:paraId="53F26B10" w14:textId="77777777" w:rsidTr="00570262">
        <w:trPr>
          <w:trHeight w:val="960"/>
        </w:trPr>
        <w:tc>
          <w:tcPr>
            <w:tcW w:w="523" w:type="pct"/>
            <w:vMerge/>
            <w:tcBorders>
              <w:top w:val="nil"/>
              <w:left w:val="single" w:sz="4" w:space="0" w:color="auto"/>
              <w:bottom w:val="single" w:sz="4" w:space="0" w:color="auto"/>
              <w:right w:val="single" w:sz="4" w:space="0" w:color="auto"/>
            </w:tcBorders>
            <w:vAlign w:val="center"/>
            <w:hideMark/>
          </w:tcPr>
          <w:p w14:paraId="0850BDFE"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tcBorders>
              <w:top w:val="nil"/>
              <w:left w:val="nil"/>
              <w:bottom w:val="single" w:sz="4" w:space="0" w:color="auto"/>
              <w:right w:val="single" w:sz="4" w:space="0" w:color="auto"/>
            </w:tcBorders>
            <w:shd w:val="clear" w:color="auto" w:fill="auto"/>
            <w:vAlign w:val="center"/>
            <w:hideMark/>
          </w:tcPr>
          <w:p w14:paraId="1C955F44"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Sol et eau</w:t>
            </w:r>
          </w:p>
        </w:tc>
        <w:tc>
          <w:tcPr>
            <w:tcW w:w="1610" w:type="pct"/>
            <w:tcBorders>
              <w:top w:val="nil"/>
              <w:left w:val="nil"/>
              <w:bottom w:val="single" w:sz="4" w:space="0" w:color="auto"/>
              <w:right w:val="single" w:sz="4" w:space="0" w:color="auto"/>
            </w:tcBorders>
            <w:shd w:val="clear" w:color="auto" w:fill="auto"/>
            <w:vAlign w:val="center"/>
            <w:hideMark/>
          </w:tcPr>
          <w:p w14:paraId="29746AB4"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Pollution du sol et de l’eau par l'abandon et l’accumulation des déchets solides incluant les déchets d’équipement électrique et électronique (DEEE)</w:t>
            </w:r>
          </w:p>
        </w:tc>
        <w:tc>
          <w:tcPr>
            <w:tcW w:w="593" w:type="pct"/>
            <w:tcBorders>
              <w:top w:val="nil"/>
              <w:left w:val="nil"/>
              <w:bottom w:val="single" w:sz="4" w:space="0" w:color="auto"/>
              <w:right w:val="single" w:sz="4" w:space="0" w:color="auto"/>
            </w:tcBorders>
            <w:shd w:val="clear" w:color="auto" w:fill="auto"/>
            <w:vAlign w:val="center"/>
            <w:hideMark/>
          </w:tcPr>
          <w:p w14:paraId="722E3B4D"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2" w:type="pct"/>
            <w:tcBorders>
              <w:top w:val="nil"/>
              <w:left w:val="nil"/>
              <w:bottom w:val="single" w:sz="4" w:space="0" w:color="auto"/>
              <w:right w:val="single" w:sz="4" w:space="0" w:color="auto"/>
            </w:tcBorders>
            <w:shd w:val="clear" w:color="000000" w:fill="FFFF00"/>
            <w:vAlign w:val="center"/>
            <w:hideMark/>
          </w:tcPr>
          <w:p w14:paraId="72A5F6D9"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706" w:type="pct"/>
            <w:tcBorders>
              <w:top w:val="nil"/>
              <w:left w:val="nil"/>
              <w:bottom w:val="single" w:sz="4" w:space="0" w:color="auto"/>
              <w:right w:val="single" w:sz="4" w:space="0" w:color="auto"/>
            </w:tcBorders>
            <w:shd w:val="clear" w:color="auto" w:fill="auto"/>
            <w:vAlign w:val="center"/>
            <w:hideMark/>
          </w:tcPr>
          <w:p w14:paraId="63FBE907"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3" w:type="pct"/>
            <w:tcBorders>
              <w:top w:val="nil"/>
              <w:left w:val="nil"/>
              <w:bottom w:val="single" w:sz="4" w:space="0" w:color="auto"/>
              <w:right w:val="single" w:sz="4" w:space="0" w:color="auto"/>
            </w:tcBorders>
            <w:shd w:val="clear" w:color="auto" w:fill="auto"/>
            <w:vAlign w:val="center"/>
            <w:hideMark/>
          </w:tcPr>
          <w:p w14:paraId="522797AB"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r>
      <w:tr w:rsidR="00570262" w:rsidRPr="00570262" w14:paraId="7AE23CA4" w14:textId="77777777" w:rsidTr="00570262">
        <w:trPr>
          <w:trHeight w:val="300"/>
        </w:trPr>
        <w:tc>
          <w:tcPr>
            <w:tcW w:w="523" w:type="pct"/>
            <w:vMerge w:val="restart"/>
            <w:tcBorders>
              <w:top w:val="nil"/>
              <w:left w:val="single" w:sz="4" w:space="0" w:color="auto"/>
              <w:bottom w:val="single" w:sz="4" w:space="0" w:color="auto"/>
              <w:right w:val="single" w:sz="4" w:space="0" w:color="auto"/>
            </w:tcBorders>
            <w:shd w:val="clear" w:color="auto" w:fill="auto"/>
            <w:vAlign w:val="center"/>
            <w:hideMark/>
          </w:tcPr>
          <w:p w14:paraId="16022CE4"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Humain</w:t>
            </w:r>
          </w:p>
        </w:tc>
        <w:tc>
          <w:tcPr>
            <w:tcW w:w="523" w:type="pct"/>
            <w:tcBorders>
              <w:top w:val="nil"/>
              <w:left w:val="nil"/>
              <w:bottom w:val="single" w:sz="4" w:space="0" w:color="auto"/>
              <w:right w:val="single" w:sz="4" w:space="0" w:color="auto"/>
            </w:tcBorders>
            <w:shd w:val="clear" w:color="auto" w:fill="auto"/>
            <w:vAlign w:val="center"/>
            <w:hideMark/>
          </w:tcPr>
          <w:p w14:paraId="6C80E5C4"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Emploi</w:t>
            </w:r>
          </w:p>
        </w:tc>
        <w:tc>
          <w:tcPr>
            <w:tcW w:w="1610" w:type="pct"/>
            <w:tcBorders>
              <w:top w:val="nil"/>
              <w:left w:val="nil"/>
              <w:bottom w:val="single" w:sz="4" w:space="0" w:color="auto"/>
              <w:right w:val="single" w:sz="4" w:space="0" w:color="auto"/>
            </w:tcBorders>
            <w:shd w:val="clear" w:color="auto" w:fill="auto"/>
            <w:vAlign w:val="center"/>
            <w:hideMark/>
          </w:tcPr>
          <w:p w14:paraId="27FB8039"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Perte d'emploi pour les employés du projet</w:t>
            </w:r>
          </w:p>
        </w:tc>
        <w:tc>
          <w:tcPr>
            <w:tcW w:w="593" w:type="pct"/>
            <w:tcBorders>
              <w:top w:val="nil"/>
              <w:left w:val="nil"/>
              <w:bottom w:val="single" w:sz="4" w:space="0" w:color="auto"/>
              <w:right w:val="single" w:sz="4" w:space="0" w:color="auto"/>
            </w:tcBorders>
            <w:shd w:val="clear" w:color="auto" w:fill="auto"/>
            <w:vAlign w:val="center"/>
            <w:hideMark/>
          </w:tcPr>
          <w:p w14:paraId="7672D376"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2" w:type="pct"/>
            <w:tcBorders>
              <w:top w:val="nil"/>
              <w:left w:val="nil"/>
              <w:bottom w:val="single" w:sz="4" w:space="0" w:color="auto"/>
              <w:right w:val="single" w:sz="4" w:space="0" w:color="auto"/>
            </w:tcBorders>
            <w:shd w:val="clear" w:color="000000" w:fill="FFFF00"/>
            <w:vAlign w:val="center"/>
            <w:hideMark/>
          </w:tcPr>
          <w:p w14:paraId="2E273E05"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Moyenne</w:t>
            </w:r>
          </w:p>
        </w:tc>
        <w:tc>
          <w:tcPr>
            <w:tcW w:w="706" w:type="pct"/>
            <w:tcBorders>
              <w:top w:val="nil"/>
              <w:left w:val="nil"/>
              <w:bottom w:val="single" w:sz="4" w:space="0" w:color="auto"/>
              <w:right w:val="single" w:sz="4" w:space="0" w:color="auto"/>
            </w:tcBorders>
            <w:shd w:val="clear" w:color="auto" w:fill="auto"/>
            <w:vAlign w:val="center"/>
            <w:hideMark/>
          </w:tcPr>
          <w:p w14:paraId="32830BE0"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3" w:type="pct"/>
            <w:tcBorders>
              <w:top w:val="nil"/>
              <w:left w:val="nil"/>
              <w:bottom w:val="single" w:sz="4" w:space="0" w:color="auto"/>
              <w:right w:val="single" w:sz="4" w:space="0" w:color="auto"/>
            </w:tcBorders>
            <w:shd w:val="clear" w:color="auto" w:fill="auto"/>
            <w:vAlign w:val="center"/>
            <w:hideMark/>
          </w:tcPr>
          <w:p w14:paraId="686B63D8"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r>
      <w:tr w:rsidR="00570262" w:rsidRPr="00570262" w14:paraId="05904554" w14:textId="77777777" w:rsidTr="00570262">
        <w:trPr>
          <w:trHeight w:val="300"/>
        </w:trPr>
        <w:tc>
          <w:tcPr>
            <w:tcW w:w="523" w:type="pct"/>
            <w:vMerge/>
            <w:tcBorders>
              <w:top w:val="nil"/>
              <w:left w:val="single" w:sz="4" w:space="0" w:color="auto"/>
              <w:bottom w:val="single" w:sz="4" w:space="0" w:color="auto"/>
              <w:right w:val="single" w:sz="4" w:space="0" w:color="auto"/>
            </w:tcBorders>
            <w:vAlign w:val="center"/>
            <w:hideMark/>
          </w:tcPr>
          <w:p w14:paraId="543D645A"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val="restart"/>
            <w:tcBorders>
              <w:top w:val="nil"/>
              <w:left w:val="single" w:sz="4" w:space="0" w:color="auto"/>
              <w:bottom w:val="single" w:sz="4" w:space="0" w:color="auto"/>
              <w:right w:val="single" w:sz="4" w:space="0" w:color="auto"/>
            </w:tcBorders>
            <w:shd w:val="clear" w:color="auto" w:fill="auto"/>
            <w:vAlign w:val="center"/>
            <w:hideMark/>
          </w:tcPr>
          <w:p w14:paraId="523FA570"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Santé et sécurité</w:t>
            </w:r>
          </w:p>
        </w:tc>
        <w:tc>
          <w:tcPr>
            <w:tcW w:w="1610" w:type="pct"/>
            <w:tcBorders>
              <w:top w:val="nil"/>
              <w:left w:val="nil"/>
              <w:bottom w:val="single" w:sz="4" w:space="0" w:color="auto"/>
              <w:right w:val="single" w:sz="4" w:space="0" w:color="auto"/>
            </w:tcBorders>
            <w:shd w:val="clear" w:color="auto" w:fill="auto"/>
            <w:vAlign w:val="center"/>
            <w:hideMark/>
          </w:tcPr>
          <w:p w14:paraId="6EBAA43C"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Perturbation de la circulation</w:t>
            </w:r>
          </w:p>
        </w:tc>
        <w:tc>
          <w:tcPr>
            <w:tcW w:w="593" w:type="pct"/>
            <w:tcBorders>
              <w:top w:val="nil"/>
              <w:left w:val="nil"/>
              <w:bottom w:val="single" w:sz="4" w:space="0" w:color="auto"/>
              <w:right w:val="single" w:sz="4" w:space="0" w:color="auto"/>
            </w:tcBorders>
            <w:shd w:val="clear" w:color="auto" w:fill="auto"/>
            <w:vAlign w:val="center"/>
            <w:hideMark/>
          </w:tcPr>
          <w:p w14:paraId="093B76E1"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2" w:type="pct"/>
            <w:tcBorders>
              <w:top w:val="nil"/>
              <w:left w:val="nil"/>
              <w:bottom w:val="single" w:sz="4" w:space="0" w:color="auto"/>
              <w:right w:val="single" w:sz="4" w:space="0" w:color="auto"/>
            </w:tcBorders>
            <w:shd w:val="clear" w:color="000000" w:fill="FFFF00"/>
            <w:vAlign w:val="center"/>
            <w:hideMark/>
          </w:tcPr>
          <w:p w14:paraId="494C4A90"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 xml:space="preserve">Moyenne </w:t>
            </w:r>
          </w:p>
        </w:tc>
        <w:tc>
          <w:tcPr>
            <w:tcW w:w="706" w:type="pct"/>
            <w:tcBorders>
              <w:top w:val="nil"/>
              <w:left w:val="nil"/>
              <w:bottom w:val="single" w:sz="4" w:space="0" w:color="auto"/>
              <w:right w:val="single" w:sz="4" w:space="0" w:color="auto"/>
            </w:tcBorders>
            <w:shd w:val="clear" w:color="auto" w:fill="auto"/>
            <w:vAlign w:val="center"/>
            <w:hideMark/>
          </w:tcPr>
          <w:p w14:paraId="0ED55254"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3" w:type="pct"/>
            <w:tcBorders>
              <w:top w:val="nil"/>
              <w:left w:val="nil"/>
              <w:bottom w:val="single" w:sz="4" w:space="0" w:color="auto"/>
              <w:right w:val="single" w:sz="4" w:space="0" w:color="auto"/>
            </w:tcBorders>
            <w:shd w:val="clear" w:color="auto" w:fill="auto"/>
            <w:vAlign w:val="center"/>
            <w:hideMark/>
          </w:tcPr>
          <w:p w14:paraId="28C41617"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r>
      <w:tr w:rsidR="00570262" w:rsidRPr="00570262" w14:paraId="562F4502" w14:textId="77777777" w:rsidTr="00570262">
        <w:trPr>
          <w:trHeight w:val="480"/>
        </w:trPr>
        <w:tc>
          <w:tcPr>
            <w:tcW w:w="523" w:type="pct"/>
            <w:vMerge/>
            <w:tcBorders>
              <w:top w:val="nil"/>
              <w:left w:val="single" w:sz="4" w:space="0" w:color="auto"/>
              <w:bottom w:val="single" w:sz="4" w:space="0" w:color="auto"/>
              <w:right w:val="single" w:sz="4" w:space="0" w:color="auto"/>
            </w:tcBorders>
            <w:vAlign w:val="center"/>
            <w:hideMark/>
          </w:tcPr>
          <w:p w14:paraId="0AC05A3F"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523" w:type="pct"/>
            <w:vMerge/>
            <w:tcBorders>
              <w:top w:val="nil"/>
              <w:left w:val="single" w:sz="4" w:space="0" w:color="auto"/>
              <w:bottom w:val="single" w:sz="4" w:space="0" w:color="auto"/>
              <w:right w:val="single" w:sz="4" w:space="0" w:color="auto"/>
            </w:tcBorders>
            <w:vAlign w:val="center"/>
            <w:hideMark/>
          </w:tcPr>
          <w:p w14:paraId="1052D53E" w14:textId="77777777" w:rsidR="00570262" w:rsidRPr="00570262" w:rsidRDefault="00570262" w:rsidP="00570262">
            <w:pPr>
              <w:spacing w:after="0" w:line="240" w:lineRule="auto"/>
              <w:rPr>
                <w:rFonts w:ascii="Arial" w:eastAsia="Times New Roman" w:hAnsi="Arial" w:cs="Arial"/>
                <w:color w:val="000000"/>
                <w:sz w:val="18"/>
                <w:szCs w:val="18"/>
                <w:lang w:eastAsia="fr-FR"/>
              </w:rPr>
            </w:pPr>
          </w:p>
        </w:tc>
        <w:tc>
          <w:tcPr>
            <w:tcW w:w="1610" w:type="pct"/>
            <w:tcBorders>
              <w:top w:val="nil"/>
              <w:left w:val="nil"/>
              <w:bottom w:val="single" w:sz="4" w:space="0" w:color="auto"/>
              <w:right w:val="single" w:sz="4" w:space="0" w:color="auto"/>
            </w:tcBorders>
            <w:shd w:val="clear" w:color="auto" w:fill="auto"/>
            <w:vAlign w:val="center"/>
            <w:hideMark/>
          </w:tcPr>
          <w:p w14:paraId="54CB6165" w14:textId="77777777" w:rsidR="00570262" w:rsidRPr="00570262" w:rsidRDefault="00570262" w:rsidP="00570262">
            <w:pPr>
              <w:spacing w:after="0" w:line="240" w:lineRule="auto"/>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Risque d’accident de travail et dommage corporel</w:t>
            </w:r>
          </w:p>
        </w:tc>
        <w:tc>
          <w:tcPr>
            <w:tcW w:w="593" w:type="pct"/>
            <w:tcBorders>
              <w:top w:val="nil"/>
              <w:left w:val="nil"/>
              <w:bottom w:val="single" w:sz="4" w:space="0" w:color="auto"/>
              <w:right w:val="single" w:sz="4" w:space="0" w:color="auto"/>
            </w:tcBorders>
            <w:shd w:val="clear" w:color="auto" w:fill="auto"/>
            <w:vAlign w:val="center"/>
            <w:hideMark/>
          </w:tcPr>
          <w:p w14:paraId="19645089"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2" w:type="pct"/>
            <w:tcBorders>
              <w:top w:val="nil"/>
              <w:left w:val="nil"/>
              <w:bottom w:val="single" w:sz="4" w:space="0" w:color="auto"/>
              <w:right w:val="single" w:sz="4" w:space="0" w:color="auto"/>
            </w:tcBorders>
            <w:shd w:val="clear" w:color="000000" w:fill="00B050"/>
            <w:vAlign w:val="center"/>
            <w:hideMark/>
          </w:tcPr>
          <w:p w14:paraId="38726060"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Mineure</w:t>
            </w:r>
          </w:p>
        </w:tc>
        <w:tc>
          <w:tcPr>
            <w:tcW w:w="706" w:type="pct"/>
            <w:tcBorders>
              <w:top w:val="nil"/>
              <w:left w:val="nil"/>
              <w:bottom w:val="single" w:sz="4" w:space="0" w:color="auto"/>
              <w:right w:val="single" w:sz="4" w:space="0" w:color="auto"/>
            </w:tcBorders>
            <w:shd w:val="clear" w:color="auto" w:fill="auto"/>
            <w:vAlign w:val="center"/>
            <w:hideMark/>
          </w:tcPr>
          <w:p w14:paraId="16E81D17"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c>
          <w:tcPr>
            <w:tcW w:w="523" w:type="pct"/>
            <w:tcBorders>
              <w:top w:val="nil"/>
              <w:left w:val="nil"/>
              <w:bottom w:val="single" w:sz="4" w:space="0" w:color="auto"/>
              <w:right w:val="single" w:sz="4" w:space="0" w:color="auto"/>
            </w:tcBorders>
            <w:shd w:val="clear" w:color="auto" w:fill="auto"/>
            <w:vAlign w:val="center"/>
            <w:hideMark/>
          </w:tcPr>
          <w:p w14:paraId="61B0C981" w14:textId="77777777" w:rsidR="00570262" w:rsidRPr="00570262" w:rsidRDefault="00570262" w:rsidP="00570262">
            <w:pPr>
              <w:spacing w:after="0" w:line="240" w:lineRule="auto"/>
              <w:jc w:val="center"/>
              <w:rPr>
                <w:rFonts w:ascii="Arial" w:eastAsia="Times New Roman" w:hAnsi="Arial" w:cs="Arial"/>
                <w:color w:val="000000"/>
                <w:sz w:val="18"/>
                <w:szCs w:val="18"/>
                <w:lang w:eastAsia="fr-FR"/>
              </w:rPr>
            </w:pPr>
            <w:r w:rsidRPr="00570262">
              <w:rPr>
                <w:rFonts w:ascii="Arial" w:eastAsia="Times New Roman" w:hAnsi="Arial" w:cs="Arial"/>
                <w:color w:val="000000"/>
                <w:sz w:val="18"/>
                <w:szCs w:val="18"/>
                <w:lang w:eastAsia="fr-FR"/>
              </w:rPr>
              <w:t>NC</w:t>
            </w:r>
          </w:p>
        </w:tc>
      </w:tr>
    </w:tbl>
    <w:p w14:paraId="6E775430" w14:textId="77777777" w:rsidR="0090044A" w:rsidRPr="00FE7376" w:rsidRDefault="0090044A" w:rsidP="0090044A">
      <w:pPr>
        <w:rPr>
          <w:highlight w:val="yellow"/>
        </w:rPr>
      </w:pPr>
    </w:p>
    <w:p w14:paraId="72E595F1" w14:textId="77777777" w:rsidR="001C18A4" w:rsidRPr="00B434A6" w:rsidRDefault="001C18A4" w:rsidP="00B434A6">
      <w:pPr>
        <w:spacing w:line="240" w:lineRule="auto"/>
        <w:jc w:val="both"/>
        <w:rPr>
          <w:rFonts w:ascii="Arial" w:hAnsi="Arial" w:cs="Arial"/>
        </w:rPr>
      </w:pPr>
      <w:bookmarkStart w:id="1099" w:name="_Toc124314749"/>
    </w:p>
    <w:p w14:paraId="6CB63CF4" w14:textId="77777777" w:rsidR="00A066BA" w:rsidRPr="00B434A6" w:rsidRDefault="00A066BA" w:rsidP="00B434A6">
      <w:pPr>
        <w:spacing w:line="240" w:lineRule="auto"/>
        <w:jc w:val="both"/>
        <w:rPr>
          <w:rFonts w:ascii="Arial" w:hAnsi="Arial" w:cs="Arial"/>
        </w:rPr>
        <w:sectPr w:rsidR="00A066BA" w:rsidRPr="00B434A6" w:rsidSect="00B434A6">
          <w:pgSz w:w="16838" w:h="11906" w:orient="landscape"/>
          <w:pgMar w:top="1418" w:right="1418" w:bottom="1418" w:left="1418" w:header="709" w:footer="0" w:gutter="0"/>
          <w:cols w:space="720"/>
          <w:formProt w:val="0"/>
          <w:docGrid w:linePitch="360" w:charSpace="4096"/>
        </w:sectPr>
      </w:pPr>
    </w:p>
    <w:p w14:paraId="264D46F7" w14:textId="77777777" w:rsidR="00044F2C" w:rsidRPr="007F78CE" w:rsidRDefault="00D96117" w:rsidP="0044500E">
      <w:pPr>
        <w:pStyle w:val="TIT2"/>
        <w:numPr>
          <w:ilvl w:val="1"/>
          <w:numId w:val="177"/>
        </w:numPr>
      </w:pPr>
      <w:bookmarkStart w:id="1100" w:name="_Toc124956250"/>
      <w:bookmarkStart w:id="1101" w:name="_Toc125384626"/>
      <w:bookmarkStart w:id="1102" w:name="_Toc125385015"/>
      <w:bookmarkStart w:id="1103" w:name="_Toc127957688"/>
      <w:r w:rsidRPr="007F78CE">
        <w:t>Impacts cumulatifs</w:t>
      </w:r>
      <w:bookmarkEnd w:id="1099"/>
      <w:bookmarkEnd w:id="1100"/>
      <w:bookmarkEnd w:id="1101"/>
      <w:bookmarkEnd w:id="1102"/>
      <w:bookmarkEnd w:id="1103"/>
      <w:r w:rsidRPr="007F78CE">
        <w:t xml:space="preserve"> </w:t>
      </w:r>
    </w:p>
    <w:p w14:paraId="7DA841FA" w14:textId="77777777" w:rsidR="00D96117" w:rsidRPr="00D96117" w:rsidRDefault="00D96117" w:rsidP="0044500E">
      <w:pPr>
        <w:pStyle w:val="TIT3"/>
        <w:numPr>
          <w:ilvl w:val="2"/>
          <w:numId w:val="177"/>
        </w:numPr>
      </w:pPr>
      <w:bookmarkStart w:id="1104" w:name="_Toc124312767"/>
      <w:bookmarkStart w:id="1105" w:name="_Toc121218855"/>
      <w:bookmarkStart w:id="1106" w:name="_Toc124314750"/>
      <w:bookmarkStart w:id="1107" w:name="_Toc124956251"/>
      <w:bookmarkStart w:id="1108" w:name="_Toc125384627"/>
      <w:bookmarkStart w:id="1109" w:name="_Toc125385016"/>
      <w:bookmarkStart w:id="1110" w:name="_Toc127957689"/>
      <w:bookmarkEnd w:id="1104"/>
      <w:r w:rsidRPr="00D96117">
        <w:t>Méthode d’évaluation</w:t>
      </w:r>
      <w:bookmarkEnd w:id="1105"/>
      <w:bookmarkEnd w:id="1106"/>
      <w:bookmarkEnd w:id="1107"/>
      <w:bookmarkEnd w:id="1108"/>
      <w:bookmarkEnd w:id="1109"/>
      <w:bookmarkEnd w:id="1110"/>
    </w:p>
    <w:p w14:paraId="3AF80244" w14:textId="77777777" w:rsidR="00D96117" w:rsidRPr="00D96117" w:rsidRDefault="00D96117" w:rsidP="00D96117">
      <w:pPr>
        <w:autoSpaceDE w:val="0"/>
        <w:autoSpaceDN w:val="0"/>
        <w:adjustRightInd w:val="0"/>
        <w:jc w:val="both"/>
        <w:rPr>
          <w:rFonts w:ascii="Arial" w:hAnsi="Arial" w:cs="Arial"/>
          <w:szCs w:val="24"/>
        </w:rPr>
      </w:pPr>
      <w:r w:rsidRPr="00D96117">
        <w:rPr>
          <w:rFonts w:ascii="Arial" w:hAnsi="Arial" w:cs="Arial"/>
          <w:szCs w:val="24"/>
        </w:rPr>
        <w:t>D’une manière générale, l’analyse des impacts cumulatifs consiste à évaluer si les impacts similaires entre différents projets existants ou à venir présentent des effets de synergie ou d’antagonisme (effets non linéaires) ou s’ils sont simplement additifs. En effet, si les effets sont simplement additifs, alors les mesures mises en place par le projet sont réputées être nécessaires et suffisantes. En revanche, si des effets de synergie sont à suspecter, comme un effet de seuil, les mesures développées spécifiquement pour chaque projet considéré individuellement risquent d’être insuffisantes. Des mesures complémentaires transverses peuvent alors être proposées si la contribution du Projet est significative.</w:t>
      </w:r>
    </w:p>
    <w:p w14:paraId="577BBAA7" w14:textId="77777777" w:rsidR="00D96117" w:rsidRPr="00F91FA3" w:rsidRDefault="00D96117" w:rsidP="00D96117">
      <w:pPr>
        <w:spacing w:after="240" w:line="240" w:lineRule="auto"/>
        <w:jc w:val="both"/>
        <w:rPr>
          <w:rFonts w:ascii="Arial" w:hAnsi="Arial" w:cs="Arial"/>
          <w:szCs w:val="24"/>
        </w:rPr>
      </w:pPr>
      <w:r w:rsidRPr="00F91FA3">
        <w:rPr>
          <w:rFonts w:ascii="Arial" w:hAnsi="Arial" w:cs="Arial"/>
          <w:szCs w:val="24"/>
        </w:rPr>
        <w:t>Dans le cadre de ce Projet, la méthode employée pour l’analyse des impacts cumulatifs est basée sur le guide de la SFI à savoir : Cumulative Impact Assessment and Management (2013)</w:t>
      </w:r>
      <w:r w:rsidRPr="00B434A6">
        <w:rPr>
          <w:rFonts w:ascii="Arial" w:hAnsi="Arial" w:cs="Arial"/>
          <w:szCs w:val="24"/>
          <w:vertAlign w:val="superscript"/>
        </w:rPr>
        <w:footnoteReference w:id="85"/>
      </w:r>
      <w:r w:rsidRPr="00F91FA3">
        <w:rPr>
          <w:rFonts w:ascii="Arial" w:hAnsi="Arial" w:cs="Arial"/>
          <w:szCs w:val="24"/>
        </w:rPr>
        <w:t xml:space="preserve"> : Guidance for the Private Sector in Emerging Markets. Elle reprend les principales étapes de la démarche présentée dans ce guide, à savoir :</w:t>
      </w:r>
    </w:p>
    <w:p w14:paraId="40B46B3D" w14:textId="77777777" w:rsidR="00D96117" w:rsidRPr="00D96117" w:rsidRDefault="00D96117" w:rsidP="00687DD2">
      <w:pPr>
        <w:pStyle w:val="Paragraphedeliste"/>
        <w:numPr>
          <w:ilvl w:val="0"/>
          <w:numId w:val="48"/>
        </w:numPr>
        <w:spacing w:after="240" w:line="240" w:lineRule="auto"/>
        <w:ind w:left="1276"/>
        <w:jc w:val="both"/>
        <w:rPr>
          <w:rFonts w:ascii="Arial" w:hAnsi="Arial" w:cs="Arial"/>
        </w:rPr>
      </w:pPr>
      <w:r w:rsidRPr="00D96117">
        <w:rPr>
          <w:rFonts w:ascii="Arial" w:hAnsi="Arial" w:cs="Arial"/>
        </w:rPr>
        <w:t xml:space="preserve">Déterminer les limites spatiales et temporelles de l’analyse ; </w:t>
      </w:r>
    </w:p>
    <w:p w14:paraId="6482E371" w14:textId="77777777" w:rsidR="00D96117" w:rsidRPr="00D96117" w:rsidRDefault="00D96117" w:rsidP="00687DD2">
      <w:pPr>
        <w:pStyle w:val="Paragraphedeliste"/>
        <w:numPr>
          <w:ilvl w:val="0"/>
          <w:numId w:val="48"/>
        </w:numPr>
        <w:spacing w:after="240" w:line="240" w:lineRule="auto"/>
        <w:ind w:left="1276"/>
        <w:jc w:val="both"/>
        <w:rPr>
          <w:rFonts w:ascii="Arial" w:hAnsi="Arial" w:cs="Arial"/>
        </w:rPr>
      </w:pPr>
      <w:r w:rsidRPr="00D96117">
        <w:rPr>
          <w:rFonts w:ascii="Arial" w:hAnsi="Arial" w:cs="Arial"/>
        </w:rPr>
        <w:t>Identifier les composantes environnementales et sociales de valeur ;</w:t>
      </w:r>
    </w:p>
    <w:p w14:paraId="0C5C4F8E" w14:textId="77777777" w:rsidR="00D96117" w:rsidRPr="00D96117" w:rsidRDefault="00D96117" w:rsidP="00687DD2">
      <w:pPr>
        <w:pStyle w:val="Paragraphedeliste"/>
        <w:numPr>
          <w:ilvl w:val="0"/>
          <w:numId w:val="48"/>
        </w:numPr>
        <w:spacing w:after="240" w:line="240" w:lineRule="auto"/>
        <w:ind w:left="1276"/>
        <w:jc w:val="both"/>
        <w:rPr>
          <w:rFonts w:ascii="Arial" w:hAnsi="Arial" w:cs="Arial"/>
        </w:rPr>
      </w:pPr>
      <w:r w:rsidRPr="00D96117">
        <w:rPr>
          <w:rFonts w:ascii="Arial" w:hAnsi="Arial" w:cs="Arial"/>
        </w:rPr>
        <w:t>Identifier tous les projets pouvant influencer ces composantes ;</w:t>
      </w:r>
    </w:p>
    <w:p w14:paraId="4C64A478" w14:textId="77777777" w:rsidR="00D96117" w:rsidRPr="00D96117" w:rsidRDefault="00D96117" w:rsidP="00687DD2">
      <w:pPr>
        <w:pStyle w:val="Paragraphedeliste"/>
        <w:numPr>
          <w:ilvl w:val="0"/>
          <w:numId w:val="48"/>
        </w:numPr>
        <w:spacing w:after="240" w:line="240" w:lineRule="auto"/>
        <w:ind w:left="1276"/>
        <w:jc w:val="both"/>
        <w:rPr>
          <w:rFonts w:ascii="Arial" w:hAnsi="Arial" w:cs="Arial"/>
        </w:rPr>
      </w:pPr>
      <w:r w:rsidRPr="00D96117">
        <w:rPr>
          <w:rFonts w:ascii="Arial" w:hAnsi="Arial" w:cs="Arial"/>
        </w:rPr>
        <w:t>Déterminer l’état initial de ces composantes ;</w:t>
      </w:r>
    </w:p>
    <w:p w14:paraId="4C067E0A" w14:textId="77777777" w:rsidR="00D96117" w:rsidRPr="00D96117" w:rsidRDefault="00145FBE" w:rsidP="00687DD2">
      <w:pPr>
        <w:pStyle w:val="Paragraphedeliste"/>
        <w:numPr>
          <w:ilvl w:val="0"/>
          <w:numId w:val="48"/>
        </w:numPr>
        <w:spacing w:after="240" w:line="240" w:lineRule="auto"/>
        <w:ind w:left="1276"/>
        <w:jc w:val="both"/>
        <w:rPr>
          <w:rFonts w:ascii="Arial" w:hAnsi="Arial" w:cs="Arial"/>
        </w:rPr>
      </w:pPr>
      <w:r w:rsidRPr="00D96117">
        <w:rPr>
          <w:rFonts w:ascii="Arial" w:hAnsi="Arial" w:cs="Arial"/>
        </w:rPr>
        <w:t>Évaluer</w:t>
      </w:r>
      <w:r w:rsidR="00D96117" w:rsidRPr="00D96117">
        <w:rPr>
          <w:rFonts w:ascii="Arial" w:hAnsi="Arial" w:cs="Arial"/>
        </w:rPr>
        <w:t xml:space="preserve"> les impacts cumulatifs et leur importance pour les composantes ;</w:t>
      </w:r>
    </w:p>
    <w:p w14:paraId="301E156F" w14:textId="77777777" w:rsidR="00D96117" w:rsidRPr="00D96117" w:rsidRDefault="00D96117" w:rsidP="00687DD2">
      <w:pPr>
        <w:pStyle w:val="Paragraphedeliste"/>
        <w:numPr>
          <w:ilvl w:val="0"/>
          <w:numId w:val="48"/>
        </w:numPr>
        <w:spacing w:after="240" w:line="240" w:lineRule="auto"/>
        <w:ind w:left="1276"/>
        <w:jc w:val="both"/>
        <w:rPr>
          <w:rFonts w:ascii="Arial" w:hAnsi="Arial" w:cs="Arial"/>
        </w:rPr>
      </w:pPr>
      <w:r w:rsidRPr="00D96117">
        <w:rPr>
          <w:rFonts w:ascii="Arial" w:hAnsi="Arial" w:cs="Arial"/>
        </w:rPr>
        <w:t xml:space="preserve">Développer des stratégies, plans et procédures pour gérer les impacts cumulatifs. </w:t>
      </w:r>
    </w:p>
    <w:p w14:paraId="0D2907F6" w14:textId="77777777" w:rsidR="005969CF" w:rsidRPr="005969CF" w:rsidRDefault="005969CF" w:rsidP="0044500E">
      <w:pPr>
        <w:numPr>
          <w:ilvl w:val="2"/>
          <w:numId w:val="177"/>
        </w:numPr>
        <w:spacing w:after="240" w:line="240" w:lineRule="auto"/>
        <w:jc w:val="both"/>
        <w:rPr>
          <w:rFonts w:ascii="Arial" w:hAnsi="Arial" w:cs="Arial"/>
          <w:b/>
        </w:rPr>
      </w:pPr>
      <w:r w:rsidRPr="005969CF">
        <w:rPr>
          <w:rFonts w:ascii="Arial" w:hAnsi="Arial" w:cs="Arial"/>
          <w:b/>
        </w:rPr>
        <w:t xml:space="preserve">Limite temporelle et spatiale </w:t>
      </w:r>
    </w:p>
    <w:p w14:paraId="7A232A87" w14:textId="77777777" w:rsidR="005969CF" w:rsidRPr="005969CF" w:rsidRDefault="005969CF" w:rsidP="005969CF">
      <w:pPr>
        <w:spacing w:after="240" w:line="240" w:lineRule="auto"/>
        <w:jc w:val="both"/>
        <w:rPr>
          <w:rFonts w:ascii="Arial" w:hAnsi="Arial" w:cs="Arial"/>
        </w:rPr>
      </w:pPr>
      <w:r w:rsidRPr="005969CF">
        <w:rPr>
          <w:rFonts w:ascii="Arial" w:hAnsi="Arial" w:cs="Arial"/>
        </w:rPr>
        <w:t xml:space="preserve">La limite spatiale couvre les 23 régions de Madagascar. Quant aux projets pris en considération, ce sont des projets connus et prévus à court ou moyen terme (2 à 10 ans), mais en tout état de cause ils sont surtout majeurs et/ou structurants et significatifs pour l’analyse. Ainsi, les projets retenus sont des projets qui couvrent tout le pays et qui sont dans le domaine de l’énergie et du TIC. </w:t>
      </w:r>
    </w:p>
    <w:p w14:paraId="322365CB" w14:textId="77777777" w:rsidR="005969CF" w:rsidRPr="005969CF" w:rsidRDefault="005969CF" w:rsidP="0044500E">
      <w:pPr>
        <w:numPr>
          <w:ilvl w:val="2"/>
          <w:numId w:val="177"/>
        </w:numPr>
        <w:spacing w:after="240" w:line="240" w:lineRule="auto"/>
        <w:jc w:val="both"/>
        <w:rPr>
          <w:rFonts w:ascii="Arial" w:hAnsi="Arial" w:cs="Arial"/>
          <w:b/>
        </w:rPr>
      </w:pPr>
      <w:r w:rsidRPr="005969CF">
        <w:rPr>
          <w:rFonts w:ascii="Arial" w:hAnsi="Arial" w:cs="Arial"/>
          <w:b/>
        </w:rPr>
        <w:t xml:space="preserve">Composantes environnementales et sociales de valeur </w:t>
      </w:r>
    </w:p>
    <w:p w14:paraId="1304F431" w14:textId="77777777" w:rsidR="005969CF" w:rsidRPr="005969CF" w:rsidRDefault="005969CF" w:rsidP="005969CF">
      <w:pPr>
        <w:spacing w:after="240" w:line="240" w:lineRule="auto"/>
        <w:jc w:val="both"/>
        <w:rPr>
          <w:rFonts w:ascii="Arial" w:hAnsi="Arial" w:cs="Arial"/>
        </w:rPr>
      </w:pPr>
      <w:r w:rsidRPr="005969CF">
        <w:rPr>
          <w:rFonts w:ascii="Arial" w:hAnsi="Arial" w:cs="Arial"/>
        </w:rPr>
        <w:t xml:space="preserve">Parmi les milieux physiques, naturels et humains, les composantes suivantes </w:t>
      </w:r>
      <w:r w:rsidR="00653CCE">
        <w:rPr>
          <w:rFonts w:ascii="Arial" w:hAnsi="Arial" w:cs="Arial"/>
        </w:rPr>
        <w:t xml:space="preserve">(tableau 74) </w:t>
      </w:r>
      <w:r w:rsidRPr="005969CF">
        <w:rPr>
          <w:rFonts w:ascii="Arial" w:hAnsi="Arial" w:cs="Arial"/>
        </w:rPr>
        <w:t>possèdent une valeur particulière qui nécessite qu’elles soient prises en compte dans l’analyse des impacts cumulatifs.</w:t>
      </w:r>
    </w:p>
    <w:p w14:paraId="4018AE4E" w14:textId="77777777" w:rsidR="005969CF" w:rsidRPr="00B434A6" w:rsidRDefault="005969CF" w:rsidP="00B434A6">
      <w:pPr>
        <w:pStyle w:val="Lgende"/>
        <w:jc w:val="center"/>
        <w:rPr>
          <w:b w:val="0"/>
          <w:bCs w:val="0"/>
          <w:sz w:val="20"/>
        </w:rPr>
      </w:pPr>
      <w:bookmarkStart w:id="1111" w:name="_Toc127957873"/>
      <w:r w:rsidRPr="00B434A6">
        <w:rPr>
          <w:sz w:val="20"/>
          <w:szCs w:val="20"/>
        </w:rPr>
        <w:t xml:space="preserve">Tableau </w:t>
      </w:r>
      <w:r w:rsidRPr="73E372D6">
        <w:rPr>
          <w:sz w:val="20"/>
          <w:szCs w:val="20"/>
        </w:rPr>
        <w:fldChar w:fldCharType="begin"/>
      </w:r>
      <w:r w:rsidRPr="73E372D6">
        <w:rPr>
          <w:sz w:val="20"/>
          <w:szCs w:val="20"/>
        </w:rPr>
        <w:instrText xml:space="preserve"> SEQ Tableau \* ARABIC </w:instrText>
      </w:r>
      <w:r w:rsidRPr="73E372D6">
        <w:rPr>
          <w:sz w:val="20"/>
          <w:szCs w:val="20"/>
        </w:rPr>
        <w:fldChar w:fldCharType="separate"/>
      </w:r>
      <w:r w:rsidR="005430A1">
        <w:rPr>
          <w:noProof/>
          <w:sz w:val="20"/>
          <w:szCs w:val="20"/>
        </w:rPr>
        <w:t>77</w:t>
      </w:r>
      <w:r w:rsidRPr="73E372D6">
        <w:rPr>
          <w:sz w:val="20"/>
          <w:szCs w:val="20"/>
        </w:rPr>
        <w:fldChar w:fldCharType="end"/>
      </w:r>
      <w:r w:rsidRPr="00B434A6">
        <w:rPr>
          <w:sz w:val="20"/>
          <w:szCs w:val="20"/>
        </w:rPr>
        <w:t>. Composantes du milieu pouvant être affectés</w:t>
      </w:r>
      <w:bookmarkEnd w:id="1111"/>
      <w:r w:rsidRPr="00B434A6">
        <w:rPr>
          <w:sz w:val="20"/>
          <w:szCs w:val="20"/>
        </w:rPr>
        <w:t xml:space="preserve"> </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175"/>
        <w:gridCol w:w="5875"/>
      </w:tblGrid>
      <w:tr w:rsidR="006D5F22" w:rsidRPr="005969CF" w14:paraId="003D0D5B" w14:textId="77777777" w:rsidTr="008C024E">
        <w:trPr>
          <w:tblHeader/>
        </w:trPr>
        <w:tc>
          <w:tcPr>
            <w:tcW w:w="3227" w:type="dxa"/>
            <w:shd w:val="clear" w:color="auto" w:fill="4F81BD"/>
            <w:vAlign w:val="center"/>
          </w:tcPr>
          <w:p w14:paraId="0DE3AA26" w14:textId="77777777" w:rsidR="005969CF" w:rsidRPr="005969CF" w:rsidRDefault="005969CF" w:rsidP="005969CF">
            <w:pPr>
              <w:spacing w:after="240" w:line="240" w:lineRule="auto"/>
              <w:jc w:val="both"/>
              <w:rPr>
                <w:rFonts w:ascii="Arial" w:hAnsi="Arial" w:cs="Arial"/>
                <w:b/>
                <w:bCs/>
              </w:rPr>
            </w:pPr>
            <w:r w:rsidRPr="005969CF">
              <w:rPr>
                <w:rFonts w:ascii="Arial" w:hAnsi="Arial" w:cs="Arial"/>
                <w:b/>
                <w:bCs/>
              </w:rPr>
              <w:t>Milieu</w:t>
            </w:r>
          </w:p>
        </w:tc>
        <w:tc>
          <w:tcPr>
            <w:tcW w:w="5985" w:type="dxa"/>
            <w:shd w:val="clear" w:color="auto" w:fill="4F81BD"/>
            <w:vAlign w:val="center"/>
          </w:tcPr>
          <w:p w14:paraId="7203360A" w14:textId="77777777" w:rsidR="005969CF" w:rsidRPr="005969CF" w:rsidRDefault="005969CF" w:rsidP="005969CF">
            <w:pPr>
              <w:spacing w:after="240" w:line="240" w:lineRule="auto"/>
              <w:jc w:val="both"/>
              <w:rPr>
                <w:rFonts w:ascii="Arial" w:hAnsi="Arial" w:cs="Arial"/>
                <w:b/>
                <w:bCs/>
              </w:rPr>
            </w:pPr>
            <w:r w:rsidRPr="005969CF">
              <w:rPr>
                <w:rFonts w:ascii="Arial" w:hAnsi="Arial" w:cs="Arial"/>
                <w:b/>
                <w:bCs/>
              </w:rPr>
              <w:t>Composantes</w:t>
            </w:r>
          </w:p>
        </w:tc>
      </w:tr>
      <w:tr w:rsidR="006D5F22" w:rsidRPr="005969CF" w14:paraId="5E6935C0" w14:textId="77777777" w:rsidTr="00EF3266">
        <w:tc>
          <w:tcPr>
            <w:tcW w:w="3227" w:type="dxa"/>
            <w:tcBorders>
              <w:top w:val="single" w:sz="8" w:space="0" w:color="4F81BD"/>
              <w:left w:val="single" w:sz="8" w:space="0" w:color="4F81BD"/>
              <w:bottom w:val="single" w:sz="8" w:space="0" w:color="4F81BD"/>
            </w:tcBorders>
            <w:shd w:val="clear" w:color="auto" w:fill="auto"/>
            <w:vAlign w:val="center"/>
          </w:tcPr>
          <w:p w14:paraId="413608F1" w14:textId="77777777" w:rsidR="005969CF" w:rsidRPr="005969CF" w:rsidRDefault="005969CF" w:rsidP="005969CF">
            <w:pPr>
              <w:spacing w:after="240" w:line="240" w:lineRule="auto"/>
              <w:jc w:val="both"/>
              <w:rPr>
                <w:rFonts w:ascii="Arial" w:hAnsi="Arial" w:cs="Arial"/>
                <w:b/>
                <w:bCs/>
              </w:rPr>
            </w:pPr>
            <w:r w:rsidRPr="005969CF">
              <w:rPr>
                <w:rFonts w:ascii="Arial" w:hAnsi="Arial" w:cs="Arial"/>
                <w:b/>
                <w:bCs/>
              </w:rPr>
              <w:t xml:space="preserve">Physique </w:t>
            </w:r>
          </w:p>
        </w:tc>
        <w:tc>
          <w:tcPr>
            <w:tcW w:w="5985" w:type="dxa"/>
            <w:tcBorders>
              <w:top w:val="single" w:sz="8" w:space="0" w:color="4F81BD"/>
              <w:bottom w:val="single" w:sz="8" w:space="0" w:color="4F81BD"/>
              <w:right w:val="single" w:sz="8" w:space="0" w:color="4F81BD"/>
            </w:tcBorders>
            <w:shd w:val="clear" w:color="auto" w:fill="auto"/>
            <w:vAlign w:val="center"/>
          </w:tcPr>
          <w:p w14:paraId="5101D7D3" w14:textId="77777777" w:rsidR="005969CF" w:rsidRPr="00B434A6" w:rsidRDefault="005969CF" w:rsidP="00B434A6">
            <w:pPr>
              <w:pStyle w:val="Paragraphedeliste"/>
              <w:numPr>
                <w:ilvl w:val="0"/>
                <w:numId w:val="49"/>
              </w:numPr>
              <w:spacing w:after="0" w:line="240" w:lineRule="auto"/>
              <w:jc w:val="both"/>
              <w:rPr>
                <w:rFonts w:ascii="Arial" w:hAnsi="Arial" w:cs="Arial"/>
                <w:sz w:val="18"/>
                <w:szCs w:val="18"/>
              </w:rPr>
            </w:pPr>
            <w:r w:rsidRPr="00B434A6">
              <w:rPr>
                <w:rFonts w:ascii="Arial" w:hAnsi="Arial" w:cs="Arial"/>
                <w:sz w:val="18"/>
                <w:szCs w:val="18"/>
              </w:rPr>
              <w:t>Qualité de l’air</w:t>
            </w:r>
          </w:p>
          <w:p w14:paraId="4EC18C73" w14:textId="77777777" w:rsidR="005969CF" w:rsidRPr="00B434A6" w:rsidRDefault="005969CF" w:rsidP="00B434A6">
            <w:pPr>
              <w:pStyle w:val="Paragraphedeliste"/>
              <w:numPr>
                <w:ilvl w:val="0"/>
                <w:numId w:val="49"/>
              </w:numPr>
              <w:spacing w:after="0" w:line="240" w:lineRule="auto"/>
              <w:jc w:val="both"/>
              <w:rPr>
                <w:rFonts w:ascii="Arial" w:hAnsi="Arial" w:cs="Arial"/>
                <w:sz w:val="18"/>
                <w:szCs w:val="18"/>
              </w:rPr>
            </w:pPr>
            <w:r w:rsidRPr="00B434A6">
              <w:rPr>
                <w:rFonts w:ascii="Arial" w:hAnsi="Arial" w:cs="Arial"/>
                <w:sz w:val="18"/>
                <w:szCs w:val="18"/>
              </w:rPr>
              <w:t>Qualité de sol</w:t>
            </w:r>
          </w:p>
          <w:p w14:paraId="7235E699" w14:textId="77777777" w:rsidR="005969CF" w:rsidRPr="00B434A6" w:rsidRDefault="005969CF" w:rsidP="00B434A6">
            <w:pPr>
              <w:pStyle w:val="Paragraphedeliste"/>
              <w:numPr>
                <w:ilvl w:val="0"/>
                <w:numId w:val="49"/>
              </w:numPr>
              <w:spacing w:after="0" w:line="240" w:lineRule="auto"/>
              <w:jc w:val="both"/>
              <w:rPr>
                <w:rFonts w:ascii="Arial" w:hAnsi="Arial" w:cs="Arial"/>
                <w:sz w:val="18"/>
                <w:szCs w:val="18"/>
              </w:rPr>
            </w:pPr>
            <w:r w:rsidRPr="00B434A6">
              <w:rPr>
                <w:rFonts w:ascii="Arial" w:hAnsi="Arial" w:cs="Arial"/>
                <w:sz w:val="18"/>
                <w:szCs w:val="18"/>
              </w:rPr>
              <w:t>Qualité de l’eau de surface</w:t>
            </w:r>
          </w:p>
          <w:p w14:paraId="18DC7F15" w14:textId="77777777" w:rsidR="005969CF" w:rsidRPr="00B434A6" w:rsidRDefault="005969CF" w:rsidP="00B434A6">
            <w:pPr>
              <w:pStyle w:val="Paragraphedeliste"/>
              <w:numPr>
                <w:ilvl w:val="0"/>
                <w:numId w:val="49"/>
              </w:numPr>
              <w:spacing w:after="0" w:line="240" w:lineRule="auto"/>
              <w:jc w:val="both"/>
              <w:rPr>
                <w:rFonts w:ascii="Arial" w:hAnsi="Arial" w:cs="Arial"/>
                <w:sz w:val="18"/>
                <w:szCs w:val="18"/>
              </w:rPr>
            </w:pPr>
            <w:r w:rsidRPr="00B434A6">
              <w:rPr>
                <w:rFonts w:ascii="Arial" w:hAnsi="Arial" w:cs="Arial"/>
                <w:sz w:val="18"/>
                <w:szCs w:val="18"/>
              </w:rPr>
              <w:t>Qualité de l’eau souterraine</w:t>
            </w:r>
          </w:p>
          <w:p w14:paraId="5E041A13" w14:textId="77777777" w:rsidR="005969CF" w:rsidRPr="00B434A6" w:rsidRDefault="005969CF" w:rsidP="00B434A6">
            <w:pPr>
              <w:pStyle w:val="Paragraphedeliste"/>
              <w:numPr>
                <w:ilvl w:val="0"/>
                <w:numId w:val="49"/>
              </w:numPr>
              <w:spacing w:after="0" w:line="240" w:lineRule="auto"/>
              <w:jc w:val="both"/>
              <w:rPr>
                <w:rFonts w:ascii="Arial" w:hAnsi="Arial" w:cs="Arial"/>
                <w:sz w:val="18"/>
                <w:szCs w:val="18"/>
              </w:rPr>
            </w:pPr>
            <w:r w:rsidRPr="00B434A6">
              <w:rPr>
                <w:rFonts w:ascii="Arial" w:hAnsi="Arial" w:cs="Arial"/>
                <w:sz w:val="18"/>
                <w:szCs w:val="18"/>
              </w:rPr>
              <w:t xml:space="preserve">Paysage </w:t>
            </w:r>
          </w:p>
        </w:tc>
      </w:tr>
      <w:tr w:rsidR="006D5F22" w:rsidRPr="005969CF" w14:paraId="2952B8A7" w14:textId="77777777" w:rsidTr="00EF3266">
        <w:tc>
          <w:tcPr>
            <w:tcW w:w="3227" w:type="dxa"/>
            <w:shd w:val="clear" w:color="auto" w:fill="auto"/>
            <w:vAlign w:val="center"/>
          </w:tcPr>
          <w:p w14:paraId="053FE158" w14:textId="77777777" w:rsidR="005969CF" w:rsidRPr="005969CF" w:rsidRDefault="005969CF" w:rsidP="005969CF">
            <w:pPr>
              <w:spacing w:after="240" w:line="240" w:lineRule="auto"/>
              <w:jc w:val="both"/>
              <w:rPr>
                <w:rFonts w:ascii="Arial" w:hAnsi="Arial" w:cs="Arial"/>
                <w:b/>
                <w:bCs/>
              </w:rPr>
            </w:pPr>
            <w:r w:rsidRPr="005969CF">
              <w:rPr>
                <w:rFonts w:ascii="Arial" w:hAnsi="Arial" w:cs="Arial"/>
                <w:b/>
                <w:bCs/>
              </w:rPr>
              <w:t xml:space="preserve">Biologique </w:t>
            </w:r>
          </w:p>
        </w:tc>
        <w:tc>
          <w:tcPr>
            <w:tcW w:w="5985" w:type="dxa"/>
            <w:shd w:val="clear" w:color="auto" w:fill="auto"/>
            <w:vAlign w:val="center"/>
          </w:tcPr>
          <w:p w14:paraId="7EB4913B" w14:textId="77777777" w:rsidR="005969CF" w:rsidRPr="00B434A6" w:rsidRDefault="005969CF" w:rsidP="00B434A6">
            <w:pPr>
              <w:pStyle w:val="Paragraphedeliste"/>
              <w:numPr>
                <w:ilvl w:val="0"/>
                <w:numId w:val="49"/>
              </w:numPr>
              <w:spacing w:after="0" w:line="240" w:lineRule="auto"/>
              <w:jc w:val="both"/>
              <w:rPr>
                <w:rFonts w:ascii="Arial" w:hAnsi="Arial" w:cs="Arial"/>
                <w:sz w:val="18"/>
                <w:szCs w:val="18"/>
              </w:rPr>
            </w:pPr>
            <w:r w:rsidRPr="00B434A6">
              <w:rPr>
                <w:rFonts w:ascii="Arial" w:hAnsi="Arial" w:cs="Arial"/>
                <w:sz w:val="18"/>
                <w:szCs w:val="18"/>
              </w:rPr>
              <w:t>Habitat (végétation)</w:t>
            </w:r>
          </w:p>
          <w:p w14:paraId="70348156" w14:textId="77777777" w:rsidR="005969CF" w:rsidRPr="00B434A6" w:rsidRDefault="005969CF" w:rsidP="00B434A6">
            <w:pPr>
              <w:pStyle w:val="Paragraphedeliste"/>
              <w:numPr>
                <w:ilvl w:val="0"/>
                <w:numId w:val="49"/>
              </w:numPr>
              <w:spacing w:after="0" w:line="240" w:lineRule="auto"/>
              <w:jc w:val="both"/>
              <w:rPr>
                <w:rFonts w:ascii="Arial" w:hAnsi="Arial" w:cs="Arial"/>
                <w:sz w:val="18"/>
                <w:szCs w:val="18"/>
              </w:rPr>
            </w:pPr>
            <w:r w:rsidRPr="00B434A6">
              <w:rPr>
                <w:rFonts w:ascii="Arial" w:hAnsi="Arial" w:cs="Arial"/>
                <w:sz w:val="18"/>
                <w:szCs w:val="18"/>
              </w:rPr>
              <w:t>Espèces floristique</w:t>
            </w:r>
            <w:r w:rsidR="4436666A" w:rsidRPr="58DCDDAF">
              <w:rPr>
                <w:rFonts w:ascii="Arial" w:hAnsi="Arial" w:cs="Arial"/>
                <w:sz w:val="18"/>
                <w:szCs w:val="18"/>
              </w:rPr>
              <w:t>s</w:t>
            </w:r>
            <w:r w:rsidRPr="00B434A6">
              <w:rPr>
                <w:rFonts w:ascii="Arial" w:hAnsi="Arial" w:cs="Arial"/>
                <w:sz w:val="18"/>
                <w:szCs w:val="18"/>
              </w:rPr>
              <w:t xml:space="preserve"> et faunistique</w:t>
            </w:r>
            <w:r w:rsidR="003B71F9">
              <w:rPr>
                <w:rFonts w:ascii="Arial" w:hAnsi="Arial" w:cs="Arial"/>
                <w:sz w:val="18"/>
                <w:szCs w:val="18"/>
              </w:rPr>
              <w:t>s</w:t>
            </w:r>
            <w:r w:rsidRPr="00B434A6">
              <w:rPr>
                <w:rFonts w:ascii="Arial" w:hAnsi="Arial" w:cs="Arial"/>
                <w:sz w:val="18"/>
                <w:szCs w:val="18"/>
              </w:rPr>
              <w:t xml:space="preserve"> </w:t>
            </w:r>
          </w:p>
        </w:tc>
      </w:tr>
      <w:tr w:rsidR="006D5F22" w:rsidRPr="005969CF" w14:paraId="3ED684C8" w14:textId="77777777" w:rsidTr="00EF3266">
        <w:tc>
          <w:tcPr>
            <w:tcW w:w="3227" w:type="dxa"/>
            <w:tcBorders>
              <w:top w:val="single" w:sz="8" w:space="0" w:color="4F81BD"/>
              <w:left w:val="single" w:sz="8" w:space="0" w:color="4F81BD"/>
              <w:bottom w:val="single" w:sz="8" w:space="0" w:color="4F81BD"/>
            </w:tcBorders>
            <w:shd w:val="clear" w:color="auto" w:fill="auto"/>
            <w:vAlign w:val="center"/>
          </w:tcPr>
          <w:p w14:paraId="6582B49C" w14:textId="77777777" w:rsidR="005969CF" w:rsidRPr="005969CF" w:rsidRDefault="005969CF" w:rsidP="005969CF">
            <w:pPr>
              <w:spacing w:after="240" w:line="240" w:lineRule="auto"/>
              <w:jc w:val="both"/>
              <w:rPr>
                <w:rFonts w:ascii="Arial" w:hAnsi="Arial" w:cs="Arial"/>
                <w:b/>
                <w:bCs/>
              </w:rPr>
            </w:pPr>
            <w:r w:rsidRPr="005969CF">
              <w:rPr>
                <w:rFonts w:ascii="Arial" w:hAnsi="Arial" w:cs="Arial"/>
                <w:b/>
                <w:bCs/>
              </w:rPr>
              <w:t xml:space="preserve">Humain </w:t>
            </w:r>
          </w:p>
        </w:tc>
        <w:tc>
          <w:tcPr>
            <w:tcW w:w="5985" w:type="dxa"/>
            <w:tcBorders>
              <w:top w:val="single" w:sz="8" w:space="0" w:color="4F81BD"/>
              <w:bottom w:val="single" w:sz="8" w:space="0" w:color="4F81BD"/>
              <w:right w:val="single" w:sz="8" w:space="0" w:color="4F81BD"/>
            </w:tcBorders>
            <w:shd w:val="clear" w:color="auto" w:fill="auto"/>
            <w:vAlign w:val="center"/>
          </w:tcPr>
          <w:p w14:paraId="6257AB9F" w14:textId="77777777" w:rsidR="005969CF" w:rsidRPr="00B434A6" w:rsidRDefault="005969CF" w:rsidP="00B434A6">
            <w:pPr>
              <w:pStyle w:val="Paragraphedeliste"/>
              <w:numPr>
                <w:ilvl w:val="0"/>
                <w:numId w:val="49"/>
              </w:numPr>
              <w:spacing w:after="0" w:line="240" w:lineRule="auto"/>
              <w:jc w:val="both"/>
              <w:rPr>
                <w:rFonts w:ascii="Arial" w:hAnsi="Arial" w:cs="Arial"/>
                <w:sz w:val="18"/>
                <w:szCs w:val="18"/>
              </w:rPr>
            </w:pPr>
            <w:r w:rsidRPr="00B434A6">
              <w:rPr>
                <w:rFonts w:ascii="Arial" w:hAnsi="Arial" w:cs="Arial"/>
                <w:sz w:val="18"/>
                <w:szCs w:val="18"/>
              </w:rPr>
              <w:t xml:space="preserve">Infrastructure et bien personnel </w:t>
            </w:r>
          </w:p>
          <w:p w14:paraId="585FE2A1" w14:textId="77777777" w:rsidR="005969CF" w:rsidRPr="00B434A6" w:rsidRDefault="005969CF" w:rsidP="00B434A6">
            <w:pPr>
              <w:pStyle w:val="Paragraphedeliste"/>
              <w:numPr>
                <w:ilvl w:val="0"/>
                <w:numId w:val="49"/>
              </w:numPr>
              <w:spacing w:after="0" w:line="240" w:lineRule="auto"/>
              <w:jc w:val="both"/>
              <w:rPr>
                <w:rFonts w:ascii="Arial" w:hAnsi="Arial" w:cs="Arial"/>
                <w:sz w:val="18"/>
                <w:szCs w:val="18"/>
              </w:rPr>
            </w:pPr>
            <w:r w:rsidRPr="00B434A6">
              <w:rPr>
                <w:rFonts w:ascii="Arial" w:hAnsi="Arial" w:cs="Arial"/>
                <w:sz w:val="18"/>
                <w:szCs w:val="18"/>
              </w:rPr>
              <w:t xml:space="preserve">Activités économiques et moyens de subsistance </w:t>
            </w:r>
          </w:p>
          <w:p w14:paraId="71861B98" w14:textId="77777777" w:rsidR="005969CF" w:rsidRPr="00B434A6" w:rsidRDefault="005969CF" w:rsidP="00B434A6">
            <w:pPr>
              <w:pStyle w:val="Paragraphedeliste"/>
              <w:numPr>
                <w:ilvl w:val="0"/>
                <w:numId w:val="49"/>
              </w:numPr>
              <w:spacing w:after="0" w:line="240" w:lineRule="auto"/>
              <w:jc w:val="both"/>
              <w:rPr>
                <w:rFonts w:ascii="Arial" w:hAnsi="Arial" w:cs="Arial"/>
                <w:sz w:val="18"/>
                <w:szCs w:val="18"/>
              </w:rPr>
            </w:pPr>
            <w:r w:rsidRPr="00B434A6">
              <w:rPr>
                <w:rFonts w:ascii="Arial" w:hAnsi="Arial" w:cs="Arial"/>
                <w:sz w:val="18"/>
                <w:szCs w:val="18"/>
              </w:rPr>
              <w:t>Us et Coutume</w:t>
            </w:r>
          </w:p>
          <w:p w14:paraId="40DD7FA5" w14:textId="77777777" w:rsidR="005969CF" w:rsidRPr="00B434A6" w:rsidRDefault="005969CF" w:rsidP="00B434A6">
            <w:pPr>
              <w:pStyle w:val="Paragraphedeliste"/>
              <w:numPr>
                <w:ilvl w:val="0"/>
                <w:numId w:val="49"/>
              </w:numPr>
              <w:spacing w:after="0" w:line="240" w:lineRule="auto"/>
              <w:jc w:val="both"/>
              <w:rPr>
                <w:rFonts w:ascii="Arial" w:hAnsi="Arial" w:cs="Arial"/>
                <w:sz w:val="18"/>
                <w:szCs w:val="18"/>
              </w:rPr>
            </w:pPr>
            <w:r w:rsidRPr="00B434A6">
              <w:rPr>
                <w:rFonts w:ascii="Arial" w:hAnsi="Arial" w:cs="Arial"/>
                <w:sz w:val="18"/>
                <w:szCs w:val="18"/>
              </w:rPr>
              <w:t xml:space="preserve">Troubles sociaux </w:t>
            </w:r>
          </w:p>
          <w:p w14:paraId="0C76A64D" w14:textId="77777777" w:rsidR="005969CF" w:rsidRPr="005969CF" w:rsidRDefault="005969CF" w:rsidP="00B434A6">
            <w:pPr>
              <w:pStyle w:val="Paragraphedeliste"/>
              <w:numPr>
                <w:ilvl w:val="0"/>
                <w:numId w:val="49"/>
              </w:numPr>
              <w:spacing w:after="0" w:line="240" w:lineRule="auto"/>
              <w:jc w:val="both"/>
              <w:rPr>
                <w:rFonts w:ascii="Arial" w:hAnsi="Arial" w:cs="Arial"/>
              </w:rPr>
            </w:pPr>
            <w:r w:rsidRPr="00B434A6">
              <w:rPr>
                <w:rFonts w:ascii="Arial" w:hAnsi="Arial" w:cs="Arial"/>
                <w:sz w:val="18"/>
                <w:szCs w:val="18"/>
              </w:rPr>
              <w:t>Santé et sécurité</w:t>
            </w:r>
            <w:r w:rsidRPr="005969CF">
              <w:rPr>
                <w:rFonts w:ascii="Arial" w:hAnsi="Arial" w:cs="Arial"/>
              </w:rPr>
              <w:t xml:space="preserve"> </w:t>
            </w:r>
          </w:p>
        </w:tc>
      </w:tr>
    </w:tbl>
    <w:p w14:paraId="46B0B7F6" w14:textId="77777777" w:rsidR="005969CF" w:rsidRDefault="005969CF" w:rsidP="005969CF">
      <w:pPr>
        <w:spacing w:after="240" w:line="240" w:lineRule="auto"/>
        <w:jc w:val="both"/>
        <w:rPr>
          <w:rFonts w:ascii="Arial" w:hAnsi="Arial" w:cs="Arial"/>
        </w:rPr>
      </w:pPr>
    </w:p>
    <w:p w14:paraId="048E20E7" w14:textId="77777777" w:rsidR="00D96117" w:rsidRPr="00D96117" w:rsidRDefault="00D96117" w:rsidP="0044500E">
      <w:pPr>
        <w:pStyle w:val="TIT3"/>
        <w:numPr>
          <w:ilvl w:val="2"/>
          <w:numId w:val="177"/>
        </w:numPr>
        <w:spacing w:before="0" w:beforeAutospacing="0" w:after="120" w:afterAutospacing="0"/>
      </w:pPr>
      <w:bookmarkStart w:id="1112" w:name="_Toc124956252"/>
      <w:bookmarkStart w:id="1113" w:name="_Toc124956253"/>
      <w:bookmarkStart w:id="1114" w:name="_Toc124956254"/>
      <w:bookmarkStart w:id="1115" w:name="_Toc124956255"/>
      <w:bookmarkStart w:id="1116" w:name="_Toc124956256"/>
      <w:bookmarkStart w:id="1117" w:name="_Toc124956257"/>
      <w:bookmarkStart w:id="1118" w:name="_Toc125096812"/>
      <w:bookmarkStart w:id="1119" w:name="_Toc124956279"/>
      <w:bookmarkStart w:id="1120" w:name="_Toc121218858"/>
      <w:bookmarkStart w:id="1121" w:name="_Toc124314753"/>
      <w:bookmarkStart w:id="1122" w:name="_Toc124956280"/>
      <w:bookmarkStart w:id="1123" w:name="_Toc125384628"/>
      <w:bookmarkStart w:id="1124" w:name="_Toc125385017"/>
      <w:bookmarkStart w:id="1125" w:name="_Toc127957690"/>
      <w:bookmarkEnd w:id="1112"/>
      <w:bookmarkEnd w:id="1113"/>
      <w:bookmarkEnd w:id="1114"/>
      <w:bookmarkEnd w:id="1115"/>
      <w:bookmarkEnd w:id="1116"/>
      <w:bookmarkEnd w:id="1117"/>
      <w:bookmarkEnd w:id="1118"/>
      <w:bookmarkEnd w:id="1119"/>
      <w:r w:rsidRPr="00D96117">
        <w:t>Projets retenus pour l’analyse</w:t>
      </w:r>
      <w:bookmarkEnd w:id="1120"/>
      <w:bookmarkEnd w:id="1121"/>
      <w:bookmarkEnd w:id="1122"/>
      <w:bookmarkEnd w:id="1123"/>
      <w:bookmarkEnd w:id="1124"/>
      <w:bookmarkEnd w:id="1125"/>
      <w:r w:rsidRPr="00D96117">
        <w:t xml:space="preserve"> </w:t>
      </w:r>
    </w:p>
    <w:p w14:paraId="5B90EACC" w14:textId="77777777" w:rsidR="00D96117" w:rsidRPr="00305594" w:rsidRDefault="00D96117" w:rsidP="00305594">
      <w:pPr>
        <w:autoSpaceDE w:val="0"/>
        <w:autoSpaceDN w:val="0"/>
        <w:adjustRightInd w:val="0"/>
        <w:jc w:val="both"/>
        <w:rPr>
          <w:rFonts w:ascii="Arial" w:hAnsi="Arial" w:cs="Arial"/>
          <w:szCs w:val="24"/>
        </w:rPr>
      </w:pPr>
      <w:r w:rsidRPr="00305594">
        <w:rPr>
          <w:rFonts w:ascii="Arial" w:hAnsi="Arial" w:cs="Arial"/>
          <w:szCs w:val="24"/>
        </w:rPr>
        <w:t xml:space="preserve">Les informations concernant les projets considérés pour l’analyse des impacts cumulatifs sont synthétisées dans le tableau ci-dessous.  </w:t>
      </w:r>
    </w:p>
    <w:p w14:paraId="618C8CBE" w14:textId="77777777" w:rsidR="00D96117" w:rsidRPr="00D96117" w:rsidRDefault="00D96117" w:rsidP="00D96117">
      <w:pPr>
        <w:pStyle w:val="Lgende"/>
        <w:jc w:val="center"/>
        <w:rPr>
          <w:sz w:val="20"/>
        </w:rPr>
      </w:pPr>
      <w:bookmarkStart w:id="1126" w:name="_Toc121215744"/>
      <w:bookmarkStart w:id="1127" w:name="_Toc127957874"/>
      <w:r w:rsidRPr="00D96117">
        <w:rPr>
          <w:sz w:val="20"/>
        </w:rPr>
        <w:t xml:space="preserve">Tableau </w:t>
      </w:r>
      <w:r w:rsidRPr="00D96117">
        <w:rPr>
          <w:sz w:val="20"/>
        </w:rPr>
        <w:fldChar w:fldCharType="begin"/>
      </w:r>
      <w:r w:rsidRPr="00D96117">
        <w:rPr>
          <w:sz w:val="20"/>
        </w:rPr>
        <w:instrText>SEQ Tableau \* ARABIC</w:instrText>
      </w:r>
      <w:r w:rsidRPr="00D96117">
        <w:rPr>
          <w:sz w:val="20"/>
        </w:rPr>
        <w:fldChar w:fldCharType="separate"/>
      </w:r>
      <w:r w:rsidR="005430A1">
        <w:rPr>
          <w:noProof/>
          <w:sz w:val="20"/>
        </w:rPr>
        <w:t>78</w:t>
      </w:r>
      <w:r w:rsidRPr="00D96117">
        <w:rPr>
          <w:sz w:val="20"/>
        </w:rPr>
        <w:fldChar w:fldCharType="end"/>
      </w:r>
      <w:r w:rsidRPr="00D96117">
        <w:rPr>
          <w:sz w:val="20"/>
        </w:rPr>
        <w:t>. Liste des Projets considérés pour l’analyse des impacts cumulatifs</w:t>
      </w:r>
      <w:bookmarkEnd w:id="1126"/>
      <w:bookmarkEnd w:id="1127"/>
    </w:p>
    <w:tbl>
      <w:tblPr>
        <w:tblW w:w="9561" w:type="dxa"/>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430"/>
        <w:gridCol w:w="7150"/>
        <w:gridCol w:w="981"/>
      </w:tblGrid>
      <w:tr w:rsidR="0063584D" w:rsidRPr="007F78CE" w14:paraId="68509BD1" w14:textId="77777777" w:rsidTr="00B434A6">
        <w:trPr>
          <w:tblHeader/>
          <w:jc w:val="center"/>
        </w:trPr>
        <w:tc>
          <w:tcPr>
            <w:tcW w:w="1430" w:type="dxa"/>
            <w:shd w:val="clear" w:color="auto" w:fill="4F81BD"/>
            <w:vAlign w:val="center"/>
          </w:tcPr>
          <w:p w14:paraId="68003FCB" w14:textId="77777777" w:rsidR="00D96117" w:rsidRPr="007F78CE" w:rsidRDefault="00D96117" w:rsidP="007F78CE">
            <w:pPr>
              <w:spacing w:after="120" w:line="240" w:lineRule="auto"/>
              <w:jc w:val="center"/>
              <w:rPr>
                <w:rFonts w:ascii="Arial" w:hAnsi="Arial" w:cs="Arial"/>
                <w:b/>
                <w:bCs/>
                <w:color w:val="FFFFFF"/>
                <w:sz w:val="18"/>
                <w:szCs w:val="18"/>
              </w:rPr>
            </w:pPr>
            <w:r w:rsidRPr="007F78CE">
              <w:rPr>
                <w:rFonts w:ascii="Arial" w:hAnsi="Arial" w:cs="Arial"/>
                <w:b/>
                <w:bCs/>
                <w:color w:val="FFFFFF"/>
                <w:sz w:val="18"/>
                <w:szCs w:val="18"/>
              </w:rPr>
              <w:t>Projet</w:t>
            </w:r>
          </w:p>
        </w:tc>
        <w:tc>
          <w:tcPr>
            <w:tcW w:w="7150" w:type="dxa"/>
            <w:shd w:val="clear" w:color="auto" w:fill="4F81BD"/>
            <w:vAlign w:val="center"/>
          </w:tcPr>
          <w:p w14:paraId="6C9C48BA" w14:textId="77777777" w:rsidR="00D96117" w:rsidRPr="007F78CE" w:rsidRDefault="00D96117" w:rsidP="007F78CE">
            <w:pPr>
              <w:spacing w:after="120" w:line="240" w:lineRule="auto"/>
              <w:jc w:val="center"/>
              <w:rPr>
                <w:rFonts w:ascii="Arial" w:hAnsi="Arial" w:cs="Arial"/>
                <w:b/>
                <w:bCs/>
                <w:color w:val="FFFFFF"/>
                <w:sz w:val="18"/>
                <w:szCs w:val="18"/>
              </w:rPr>
            </w:pPr>
            <w:r w:rsidRPr="007F78CE">
              <w:rPr>
                <w:rFonts w:ascii="Arial" w:hAnsi="Arial" w:cs="Arial"/>
                <w:b/>
                <w:bCs/>
                <w:color w:val="FFFFFF"/>
                <w:sz w:val="18"/>
                <w:szCs w:val="18"/>
              </w:rPr>
              <w:t>Description</w:t>
            </w:r>
          </w:p>
        </w:tc>
        <w:tc>
          <w:tcPr>
            <w:tcW w:w="981" w:type="dxa"/>
            <w:shd w:val="clear" w:color="auto" w:fill="4F81BD"/>
            <w:vAlign w:val="center"/>
          </w:tcPr>
          <w:p w14:paraId="429EFCAF" w14:textId="77777777" w:rsidR="00D96117" w:rsidRPr="007F78CE" w:rsidRDefault="00D96117" w:rsidP="007F78CE">
            <w:pPr>
              <w:spacing w:after="120" w:line="240" w:lineRule="auto"/>
              <w:jc w:val="center"/>
              <w:rPr>
                <w:rFonts w:ascii="Arial" w:hAnsi="Arial" w:cs="Arial"/>
                <w:b/>
                <w:bCs/>
                <w:color w:val="FFFFFF"/>
                <w:sz w:val="18"/>
                <w:szCs w:val="18"/>
              </w:rPr>
            </w:pPr>
            <w:r w:rsidRPr="007F78CE">
              <w:rPr>
                <w:rFonts w:ascii="Arial" w:hAnsi="Arial" w:cs="Arial"/>
                <w:b/>
                <w:bCs/>
                <w:color w:val="FFFFFF"/>
                <w:sz w:val="18"/>
                <w:szCs w:val="18"/>
              </w:rPr>
              <w:t>Stade</w:t>
            </w:r>
          </w:p>
        </w:tc>
      </w:tr>
      <w:tr w:rsidR="0063584D" w:rsidRPr="007F78CE" w14:paraId="0815A2B4" w14:textId="77777777" w:rsidTr="00B434A6">
        <w:trPr>
          <w:jc w:val="center"/>
        </w:trPr>
        <w:tc>
          <w:tcPr>
            <w:tcW w:w="1430" w:type="dxa"/>
            <w:tcBorders>
              <w:top w:val="single" w:sz="8" w:space="0" w:color="4F81BD"/>
              <w:left w:val="single" w:sz="8" w:space="0" w:color="4F81BD"/>
              <w:bottom w:val="single" w:sz="8" w:space="0" w:color="4F81BD"/>
            </w:tcBorders>
            <w:shd w:val="clear" w:color="auto" w:fill="auto"/>
          </w:tcPr>
          <w:p w14:paraId="77767D62" w14:textId="77777777" w:rsidR="00D96117" w:rsidRPr="007F78CE" w:rsidRDefault="00D96117" w:rsidP="007F78CE">
            <w:pPr>
              <w:spacing w:after="120" w:line="240" w:lineRule="auto"/>
              <w:jc w:val="both"/>
              <w:rPr>
                <w:rFonts w:ascii="Arial" w:hAnsi="Arial" w:cs="Arial"/>
                <w:b/>
                <w:bCs/>
                <w:color w:val="000000"/>
                <w:sz w:val="18"/>
                <w:szCs w:val="18"/>
              </w:rPr>
            </w:pPr>
            <w:r w:rsidRPr="007F78CE">
              <w:rPr>
                <w:rFonts w:ascii="Arial" w:hAnsi="Arial" w:cs="Arial"/>
                <w:b/>
                <w:bCs/>
                <w:color w:val="000000"/>
                <w:sz w:val="18"/>
                <w:szCs w:val="18"/>
              </w:rPr>
              <w:t>PAGOSE</w:t>
            </w:r>
            <w:r w:rsidR="005F04D4" w:rsidRPr="007F78CE">
              <w:rPr>
                <w:rFonts w:ascii="Arial" w:hAnsi="Arial" w:cs="Arial"/>
                <w:b/>
                <w:bCs/>
                <w:color w:val="000000"/>
                <w:sz w:val="18"/>
                <w:szCs w:val="18"/>
              </w:rPr>
              <w:t xml:space="preserve"> FA</w:t>
            </w:r>
          </w:p>
        </w:tc>
        <w:tc>
          <w:tcPr>
            <w:tcW w:w="7150" w:type="dxa"/>
            <w:tcBorders>
              <w:top w:val="single" w:sz="8" w:space="0" w:color="4F81BD"/>
              <w:bottom w:val="single" w:sz="8" w:space="0" w:color="4F81BD"/>
            </w:tcBorders>
            <w:shd w:val="clear" w:color="auto" w:fill="auto"/>
          </w:tcPr>
          <w:p w14:paraId="17B51E5A" w14:textId="77777777" w:rsidR="00D96117" w:rsidRPr="007F78CE" w:rsidRDefault="00934A67" w:rsidP="007F78CE">
            <w:pPr>
              <w:spacing w:after="120" w:line="240" w:lineRule="auto"/>
              <w:jc w:val="both"/>
              <w:rPr>
                <w:rFonts w:ascii="Arial" w:hAnsi="Arial" w:cs="Arial"/>
                <w:color w:val="000000"/>
                <w:sz w:val="18"/>
                <w:szCs w:val="18"/>
                <w:shd w:val="clear" w:color="auto" w:fill="FFFFFF"/>
              </w:rPr>
            </w:pPr>
            <w:r w:rsidRPr="007F78CE">
              <w:rPr>
                <w:rFonts w:ascii="Arial" w:hAnsi="Arial" w:cs="Arial"/>
                <w:color w:val="000000"/>
                <w:sz w:val="18"/>
                <w:szCs w:val="18"/>
                <w:shd w:val="clear" w:color="auto" w:fill="FFFFFF"/>
              </w:rPr>
              <w:t xml:space="preserve">Projet financé par la Banque mondiale, il a pour finalité d’améliorer la qualité de service d’approvisionnement de l’énergie et, par voie de conséquence, l’augmentation de la performance de la JIRAMA. Il en résulte ainsi à l’amélioration des services sociaux, économiques, culturels. </w:t>
            </w:r>
          </w:p>
          <w:p w14:paraId="1A5A1F04" w14:textId="77777777" w:rsidR="00934A67" w:rsidRPr="007F78CE" w:rsidRDefault="00934A67" w:rsidP="00687DD2">
            <w:pPr>
              <w:pStyle w:val="Paragraphedeliste"/>
              <w:numPr>
                <w:ilvl w:val="0"/>
                <w:numId w:val="63"/>
              </w:numPr>
              <w:spacing w:after="120" w:line="240" w:lineRule="auto"/>
              <w:jc w:val="both"/>
              <w:rPr>
                <w:rFonts w:ascii="Arial" w:hAnsi="Arial" w:cs="Arial"/>
                <w:sz w:val="18"/>
                <w:szCs w:val="18"/>
                <w:shd w:val="clear" w:color="auto" w:fill="FFFFFF"/>
              </w:rPr>
            </w:pPr>
            <w:r w:rsidRPr="007F78CE">
              <w:rPr>
                <w:rFonts w:ascii="Arial" w:hAnsi="Arial" w:cs="Arial"/>
                <w:sz w:val="18"/>
                <w:szCs w:val="18"/>
                <w:shd w:val="clear" w:color="auto" w:fill="FFFFFF"/>
              </w:rPr>
              <w:t xml:space="preserve">Réhabilitation et le renforcement du réseau de transport du réseau </w:t>
            </w:r>
            <w:r w:rsidR="0E2E1D2F" w:rsidRPr="007F78CE">
              <w:rPr>
                <w:rFonts w:ascii="Arial" w:hAnsi="Arial" w:cs="Arial"/>
                <w:sz w:val="18"/>
                <w:szCs w:val="18"/>
                <w:shd w:val="clear" w:color="auto" w:fill="FFFFFF"/>
              </w:rPr>
              <w:t>interconnect</w:t>
            </w:r>
            <w:r w:rsidR="5E1EB11A" w:rsidRPr="007F78CE">
              <w:rPr>
                <w:rFonts w:ascii="Arial" w:hAnsi="Arial" w:cs="Arial"/>
                <w:sz w:val="18"/>
                <w:szCs w:val="18"/>
                <w:shd w:val="clear" w:color="auto" w:fill="FFFFFF"/>
              </w:rPr>
              <w:t>é</w:t>
            </w:r>
            <w:r w:rsidRPr="007F78CE">
              <w:rPr>
                <w:rFonts w:ascii="Arial" w:hAnsi="Arial" w:cs="Arial"/>
                <w:sz w:val="18"/>
                <w:szCs w:val="18"/>
                <w:shd w:val="clear" w:color="auto" w:fill="FFFFFF"/>
              </w:rPr>
              <w:t xml:space="preserve"> d’Antananarivo (</w:t>
            </w:r>
            <w:r w:rsidR="005969CF" w:rsidRPr="58DCDDAF">
              <w:rPr>
                <w:rFonts w:ascii="Arial" w:hAnsi="Arial" w:cs="Arial"/>
                <w:sz w:val="18"/>
                <w:szCs w:val="18"/>
              </w:rPr>
              <w:t>RIA</w:t>
            </w:r>
            <w:r w:rsidRPr="007F78CE">
              <w:rPr>
                <w:rFonts w:ascii="Arial" w:hAnsi="Arial" w:cs="Arial"/>
                <w:sz w:val="18"/>
                <w:szCs w:val="18"/>
                <w:shd w:val="clear" w:color="auto" w:fill="FFFFFF"/>
              </w:rPr>
              <w:t>) / mise à niveau des réseaux de transport</w:t>
            </w:r>
          </w:p>
          <w:p w14:paraId="0E649866" w14:textId="77777777" w:rsidR="00934A67" w:rsidRPr="007F78CE" w:rsidRDefault="00934A67" w:rsidP="00687DD2">
            <w:pPr>
              <w:pStyle w:val="Paragraphedeliste"/>
              <w:numPr>
                <w:ilvl w:val="0"/>
                <w:numId w:val="63"/>
              </w:numPr>
              <w:spacing w:after="120" w:line="240" w:lineRule="auto"/>
              <w:jc w:val="both"/>
              <w:rPr>
                <w:rFonts w:ascii="Arial" w:hAnsi="Arial" w:cs="Arial"/>
                <w:sz w:val="18"/>
                <w:szCs w:val="18"/>
                <w:shd w:val="clear" w:color="auto" w:fill="FFFFFF"/>
              </w:rPr>
            </w:pPr>
            <w:r w:rsidRPr="007F78CE">
              <w:rPr>
                <w:rFonts w:ascii="Arial" w:hAnsi="Arial" w:cs="Arial"/>
                <w:sz w:val="18"/>
                <w:szCs w:val="18"/>
                <w:shd w:val="clear" w:color="auto" w:fill="FFFFFF"/>
              </w:rPr>
              <w:t>Réhabilitation/ mise à niveau des réseaux de distribution, y compris de l’équipement pour son installation par la JIRAMA</w:t>
            </w:r>
          </w:p>
          <w:p w14:paraId="44374085" w14:textId="77777777" w:rsidR="00934A67" w:rsidRPr="007F78CE" w:rsidRDefault="00934A67" w:rsidP="00687DD2">
            <w:pPr>
              <w:pStyle w:val="Paragraphedeliste"/>
              <w:numPr>
                <w:ilvl w:val="0"/>
                <w:numId w:val="63"/>
              </w:numPr>
              <w:spacing w:after="120" w:line="240" w:lineRule="auto"/>
              <w:jc w:val="both"/>
              <w:rPr>
                <w:rFonts w:ascii="Arial" w:hAnsi="Arial" w:cs="Arial"/>
                <w:sz w:val="18"/>
                <w:szCs w:val="18"/>
                <w:shd w:val="clear" w:color="auto" w:fill="FFFFFF"/>
              </w:rPr>
            </w:pPr>
            <w:r w:rsidRPr="007F78CE">
              <w:rPr>
                <w:rFonts w:ascii="Arial" w:hAnsi="Arial" w:cs="Arial"/>
                <w:sz w:val="18"/>
                <w:szCs w:val="18"/>
                <w:shd w:val="clear" w:color="auto" w:fill="FFFFFF"/>
              </w:rPr>
              <w:t>Remplacement des pièces des groupes pour permettre l’utilisation de fuel lourd</w:t>
            </w:r>
          </w:p>
          <w:p w14:paraId="16B30264" w14:textId="77777777" w:rsidR="00934A67" w:rsidRPr="007F78CE" w:rsidRDefault="00934A67" w:rsidP="00687DD2">
            <w:pPr>
              <w:pStyle w:val="Paragraphedeliste"/>
              <w:numPr>
                <w:ilvl w:val="0"/>
                <w:numId w:val="63"/>
              </w:numPr>
              <w:spacing w:after="120" w:line="240" w:lineRule="auto"/>
              <w:jc w:val="both"/>
              <w:rPr>
                <w:rFonts w:ascii="Arial" w:hAnsi="Arial" w:cs="Arial"/>
                <w:sz w:val="18"/>
                <w:szCs w:val="18"/>
                <w:shd w:val="clear" w:color="auto" w:fill="FFFFFF"/>
              </w:rPr>
            </w:pPr>
            <w:r w:rsidRPr="007F78CE">
              <w:rPr>
                <w:rFonts w:ascii="Arial" w:hAnsi="Arial" w:cs="Arial"/>
                <w:sz w:val="18"/>
                <w:szCs w:val="18"/>
                <w:shd w:val="clear" w:color="auto" w:fill="FFFFFF"/>
              </w:rPr>
              <w:t xml:space="preserve">Remise en service d’un alternateur </w:t>
            </w:r>
            <w:r w:rsidR="2683E8EF" w:rsidRPr="007F78CE">
              <w:rPr>
                <w:rFonts w:ascii="Arial" w:hAnsi="Arial" w:cs="Arial"/>
                <w:sz w:val="18"/>
                <w:szCs w:val="18"/>
                <w:shd w:val="clear" w:color="auto" w:fill="FFFFFF"/>
              </w:rPr>
              <w:t>à</w:t>
            </w:r>
            <w:r w:rsidRPr="007F78CE">
              <w:rPr>
                <w:rFonts w:ascii="Arial" w:hAnsi="Arial" w:cs="Arial"/>
                <w:sz w:val="18"/>
                <w:szCs w:val="18"/>
                <w:shd w:val="clear" w:color="auto" w:fill="FFFFFF"/>
              </w:rPr>
              <w:t xml:space="preserve"> Antelomita</w:t>
            </w:r>
          </w:p>
        </w:tc>
        <w:tc>
          <w:tcPr>
            <w:tcW w:w="981" w:type="dxa"/>
            <w:tcBorders>
              <w:top w:val="single" w:sz="8" w:space="0" w:color="4F81BD"/>
              <w:bottom w:val="single" w:sz="8" w:space="0" w:color="4F81BD"/>
              <w:right w:val="single" w:sz="8" w:space="0" w:color="4F81BD"/>
            </w:tcBorders>
            <w:shd w:val="clear" w:color="auto" w:fill="auto"/>
          </w:tcPr>
          <w:p w14:paraId="6C6F6229" w14:textId="77777777" w:rsidR="00D96117" w:rsidRPr="007F78CE" w:rsidRDefault="00D96117" w:rsidP="007F78CE">
            <w:pPr>
              <w:spacing w:after="120" w:line="240" w:lineRule="auto"/>
              <w:jc w:val="both"/>
              <w:rPr>
                <w:rFonts w:ascii="Arial" w:hAnsi="Arial" w:cs="Arial"/>
                <w:color w:val="000000"/>
                <w:sz w:val="18"/>
                <w:szCs w:val="18"/>
              </w:rPr>
            </w:pPr>
            <w:r w:rsidRPr="007F78CE">
              <w:rPr>
                <w:rFonts w:ascii="Arial" w:hAnsi="Arial" w:cs="Arial"/>
                <w:color w:val="000000"/>
                <w:sz w:val="18"/>
                <w:szCs w:val="18"/>
              </w:rPr>
              <w:t xml:space="preserve">En cours </w:t>
            </w:r>
          </w:p>
        </w:tc>
      </w:tr>
      <w:tr w:rsidR="0063584D" w:rsidRPr="007F78CE" w14:paraId="26FF6F79" w14:textId="77777777" w:rsidTr="00B434A6">
        <w:trPr>
          <w:jc w:val="center"/>
        </w:trPr>
        <w:tc>
          <w:tcPr>
            <w:tcW w:w="1430" w:type="dxa"/>
            <w:shd w:val="clear" w:color="auto" w:fill="auto"/>
          </w:tcPr>
          <w:p w14:paraId="410F84C5" w14:textId="77777777" w:rsidR="00D96117" w:rsidRPr="007F78CE" w:rsidRDefault="00D96117" w:rsidP="007F78CE">
            <w:pPr>
              <w:spacing w:after="120" w:line="240" w:lineRule="auto"/>
              <w:jc w:val="both"/>
              <w:rPr>
                <w:rFonts w:ascii="Arial" w:hAnsi="Arial" w:cs="Arial"/>
                <w:b/>
                <w:bCs/>
                <w:color w:val="000000"/>
                <w:sz w:val="18"/>
                <w:szCs w:val="18"/>
              </w:rPr>
            </w:pPr>
            <w:r w:rsidRPr="007F78CE">
              <w:rPr>
                <w:rFonts w:ascii="Arial" w:hAnsi="Arial" w:cs="Arial"/>
                <w:b/>
                <w:bCs/>
                <w:color w:val="000000"/>
                <w:sz w:val="18"/>
                <w:szCs w:val="18"/>
              </w:rPr>
              <w:t>PRI</w:t>
            </w:r>
            <w:r w:rsidR="005F04D4" w:rsidRPr="007F78CE">
              <w:rPr>
                <w:rFonts w:ascii="Arial" w:hAnsi="Arial" w:cs="Arial"/>
                <w:b/>
                <w:bCs/>
                <w:color w:val="000000"/>
                <w:sz w:val="18"/>
                <w:szCs w:val="18"/>
              </w:rPr>
              <w:t>R</w:t>
            </w:r>
            <w:r w:rsidRPr="007F78CE">
              <w:rPr>
                <w:rFonts w:ascii="Arial" w:hAnsi="Arial" w:cs="Arial"/>
                <w:b/>
                <w:bCs/>
                <w:color w:val="000000"/>
                <w:sz w:val="18"/>
                <w:szCs w:val="18"/>
              </w:rPr>
              <w:t>TEM 1</w:t>
            </w:r>
          </w:p>
        </w:tc>
        <w:tc>
          <w:tcPr>
            <w:tcW w:w="7150" w:type="dxa"/>
            <w:shd w:val="clear" w:color="auto" w:fill="auto"/>
          </w:tcPr>
          <w:p w14:paraId="0B6547F2" w14:textId="77777777" w:rsidR="00D96117" w:rsidRPr="007F78CE" w:rsidRDefault="008A7D38" w:rsidP="007F78CE">
            <w:pPr>
              <w:spacing w:after="120" w:line="240" w:lineRule="auto"/>
              <w:jc w:val="both"/>
              <w:rPr>
                <w:rFonts w:ascii="Arial" w:hAnsi="Arial" w:cs="Arial"/>
                <w:color w:val="000000"/>
                <w:sz w:val="18"/>
                <w:szCs w:val="18"/>
                <w:shd w:val="clear" w:color="auto" w:fill="FFFFFF"/>
              </w:rPr>
            </w:pPr>
            <w:r w:rsidRPr="007F78CE">
              <w:rPr>
                <w:rFonts w:ascii="Arial" w:hAnsi="Arial" w:cs="Arial"/>
                <w:color w:val="000000"/>
                <w:sz w:val="18"/>
                <w:szCs w:val="18"/>
                <w:shd w:val="clear" w:color="auto" w:fill="FFFFFF"/>
              </w:rPr>
              <w:t xml:space="preserve">Le projet a pour objectif de </w:t>
            </w:r>
            <w:r w:rsidR="005F04D4" w:rsidRPr="007F78CE">
              <w:rPr>
                <w:rFonts w:ascii="Arial" w:hAnsi="Arial" w:cs="Arial"/>
                <w:color w:val="000000"/>
                <w:sz w:val="18"/>
                <w:szCs w:val="18"/>
                <w:shd w:val="clear" w:color="auto" w:fill="FFFFFF"/>
              </w:rPr>
              <w:t>d</w:t>
            </w:r>
            <w:r w:rsidR="00D96117" w:rsidRPr="007F78CE">
              <w:rPr>
                <w:rFonts w:ascii="Arial" w:hAnsi="Arial" w:cs="Arial"/>
                <w:color w:val="000000"/>
                <w:sz w:val="18"/>
                <w:szCs w:val="18"/>
                <w:shd w:val="clear" w:color="auto" w:fill="FFFFFF"/>
              </w:rPr>
              <w:t>évelopper le réseau interconnecté de transport d'électricité Axe Antananarivo-Toamasina en visant à réduire les impacts de la production d'énergie électrique sur l'en</w:t>
            </w:r>
            <w:r w:rsidRPr="007F78CE">
              <w:rPr>
                <w:rFonts w:ascii="Arial" w:hAnsi="Arial" w:cs="Arial"/>
                <w:color w:val="000000"/>
                <w:sz w:val="18"/>
                <w:szCs w:val="18"/>
                <w:shd w:val="clear" w:color="auto" w:fill="FFFFFF"/>
              </w:rPr>
              <w:t xml:space="preserve">vironnement et </w:t>
            </w:r>
            <w:r w:rsidR="00D96117" w:rsidRPr="007F78CE">
              <w:rPr>
                <w:rFonts w:ascii="Arial" w:hAnsi="Arial" w:cs="Arial"/>
                <w:color w:val="000000"/>
                <w:sz w:val="18"/>
                <w:szCs w:val="18"/>
                <w:shd w:val="clear" w:color="auto" w:fill="FFFFFF"/>
              </w:rPr>
              <w:t>à sécuriser la fourniture d'électricité et à augmenter l</w:t>
            </w:r>
            <w:r w:rsidR="005969CF">
              <w:rPr>
                <w:rFonts w:ascii="Arial" w:hAnsi="Arial" w:cs="Arial"/>
                <w:color w:val="000000"/>
                <w:sz w:val="18"/>
                <w:szCs w:val="18"/>
                <w:shd w:val="clear" w:color="auto" w:fill="FFFFFF"/>
              </w:rPr>
              <w:t>’</w:t>
            </w:r>
            <w:r w:rsidR="00D96117" w:rsidRPr="007F78CE">
              <w:rPr>
                <w:rFonts w:ascii="Arial" w:hAnsi="Arial" w:cs="Arial"/>
                <w:color w:val="000000"/>
                <w:sz w:val="18"/>
                <w:szCs w:val="18"/>
                <w:shd w:val="clear" w:color="auto" w:fill="FFFFFF"/>
              </w:rPr>
              <w:t>accès à l'électricité aux populations en milieu rural</w:t>
            </w:r>
            <w:r w:rsidRPr="007F78CE">
              <w:rPr>
                <w:rFonts w:ascii="Arial" w:hAnsi="Arial" w:cs="Arial"/>
                <w:color w:val="000000"/>
                <w:sz w:val="18"/>
                <w:szCs w:val="18"/>
                <w:shd w:val="clear" w:color="auto" w:fill="FFFFFF"/>
              </w:rPr>
              <w:t>. Ce projet consiste à</w:t>
            </w:r>
            <w:r w:rsidR="005969CF">
              <w:rPr>
                <w:rFonts w:ascii="Arial" w:hAnsi="Arial" w:cs="Arial"/>
                <w:color w:val="000000"/>
                <w:sz w:val="18"/>
                <w:szCs w:val="18"/>
                <w:shd w:val="clear" w:color="auto" w:fill="FFFFFF"/>
              </w:rPr>
              <w:t> :</w:t>
            </w:r>
          </w:p>
          <w:p w14:paraId="4785C23D" w14:textId="77777777" w:rsidR="008A7D38" w:rsidRPr="007F78CE" w:rsidRDefault="00D11884" w:rsidP="00687DD2">
            <w:pPr>
              <w:pStyle w:val="Paragraphedeliste"/>
              <w:numPr>
                <w:ilvl w:val="0"/>
                <w:numId w:val="37"/>
              </w:numPr>
              <w:spacing w:after="120" w:line="240" w:lineRule="auto"/>
              <w:ind w:left="459" w:hanging="360"/>
              <w:jc w:val="both"/>
              <w:rPr>
                <w:rFonts w:ascii="Arial" w:hAnsi="Arial" w:cs="Arial"/>
                <w:sz w:val="18"/>
                <w:szCs w:val="18"/>
                <w:shd w:val="clear" w:color="auto" w:fill="FFFFFF"/>
              </w:rPr>
            </w:pPr>
            <w:r w:rsidRPr="007F78CE">
              <w:rPr>
                <w:rFonts w:ascii="Arial" w:hAnsi="Arial" w:cs="Arial"/>
                <w:sz w:val="18"/>
                <w:szCs w:val="18"/>
                <w:shd w:val="clear" w:color="auto" w:fill="FFFFFF"/>
              </w:rPr>
              <w:t>R</w:t>
            </w:r>
            <w:r w:rsidR="008A7D38" w:rsidRPr="007F78CE">
              <w:rPr>
                <w:rFonts w:ascii="Arial" w:hAnsi="Arial" w:cs="Arial"/>
                <w:sz w:val="18"/>
                <w:szCs w:val="18"/>
                <w:shd w:val="clear" w:color="auto" w:fill="FFFFFF"/>
              </w:rPr>
              <w:t>enforcer et à étendre le réseau de transport d'électricité par la construction de la ligne d'interconnexion électrique dépendant du Réseau Interconnecté d'Antananarivo (RIA) et celui de Toamasina (RIT) et les quatre (4) postes de transformation associés (Tana Nord II, Ambohibary, Antsampana</w:t>
            </w:r>
            <w:r w:rsidR="005F04D4" w:rsidRPr="007F78CE">
              <w:rPr>
                <w:rFonts w:ascii="Arial" w:hAnsi="Arial" w:cs="Arial"/>
                <w:sz w:val="18"/>
                <w:szCs w:val="18"/>
                <w:shd w:val="clear" w:color="auto" w:fill="FFFFFF"/>
              </w:rPr>
              <w:t>na</w:t>
            </w:r>
            <w:r w:rsidR="008A7D38" w:rsidRPr="007F78CE">
              <w:rPr>
                <w:rFonts w:ascii="Arial" w:hAnsi="Arial" w:cs="Arial"/>
                <w:sz w:val="18"/>
                <w:szCs w:val="18"/>
                <w:shd w:val="clear" w:color="auto" w:fill="FFFFFF"/>
              </w:rPr>
              <w:t xml:space="preserve"> et Toamasina).</w:t>
            </w:r>
          </w:p>
          <w:p w14:paraId="71798842" w14:textId="77777777" w:rsidR="008A7D38" w:rsidRPr="007F78CE" w:rsidRDefault="00D11884" w:rsidP="00687DD2">
            <w:pPr>
              <w:pStyle w:val="Paragraphedeliste"/>
              <w:numPr>
                <w:ilvl w:val="0"/>
                <w:numId w:val="37"/>
              </w:numPr>
              <w:spacing w:after="120" w:line="240" w:lineRule="auto"/>
              <w:ind w:left="459" w:hanging="360"/>
              <w:jc w:val="both"/>
              <w:rPr>
                <w:rFonts w:ascii="Arial" w:hAnsi="Arial" w:cs="Arial"/>
                <w:sz w:val="18"/>
                <w:szCs w:val="18"/>
                <w:shd w:val="clear" w:color="auto" w:fill="FFFFFF"/>
              </w:rPr>
            </w:pPr>
            <w:r w:rsidRPr="007F78CE">
              <w:rPr>
                <w:rFonts w:ascii="Arial" w:hAnsi="Arial" w:cs="Arial"/>
                <w:sz w:val="18"/>
                <w:szCs w:val="18"/>
                <w:shd w:val="clear" w:color="auto" w:fill="FFFFFF"/>
              </w:rPr>
              <w:t>E</w:t>
            </w:r>
            <w:r w:rsidR="008A7D38" w:rsidRPr="007F78CE">
              <w:rPr>
                <w:rFonts w:ascii="Arial" w:hAnsi="Arial" w:cs="Arial"/>
                <w:sz w:val="18"/>
                <w:szCs w:val="18"/>
                <w:shd w:val="clear" w:color="auto" w:fill="FFFFFF"/>
              </w:rPr>
              <w:t>lectrifier les localités rurales le long du corridor Antanarivo-Toamasina et à effectuer avec l'extension du réseau de distribution électrique à partir des postes d'Antsampanana et d'Ambohibary pour alimenter 03 Communes</w:t>
            </w:r>
          </w:p>
          <w:p w14:paraId="5E6D2D9B" w14:textId="77777777" w:rsidR="008A7D38" w:rsidRPr="007F78CE" w:rsidRDefault="00D11884" w:rsidP="00687DD2">
            <w:pPr>
              <w:pStyle w:val="Paragraphedeliste"/>
              <w:numPr>
                <w:ilvl w:val="0"/>
                <w:numId w:val="37"/>
              </w:numPr>
              <w:spacing w:after="120" w:line="240" w:lineRule="auto"/>
              <w:ind w:left="459" w:hanging="360"/>
              <w:jc w:val="both"/>
              <w:rPr>
                <w:rFonts w:ascii="Arial" w:hAnsi="Arial" w:cs="Arial"/>
                <w:sz w:val="18"/>
                <w:szCs w:val="18"/>
              </w:rPr>
            </w:pPr>
            <w:r w:rsidRPr="007F78CE">
              <w:rPr>
                <w:rFonts w:ascii="Arial" w:hAnsi="Arial" w:cs="Arial"/>
                <w:sz w:val="18"/>
                <w:szCs w:val="18"/>
                <w:shd w:val="clear" w:color="auto" w:fill="FFFFFF"/>
              </w:rPr>
              <w:t>C</w:t>
            </w:r>
            <w:r w:rsidR="008A7D38" w:rsidRPr="007F78CE">
              <w:rPr>
                <w:rFonts w:ascii="Arial" w:hAnsi="Arial" w:cs="Arial"/>
                <w:sz w:val="18"/>
                <w:szCs w:val="18"/>
                <w:shd w:val="clear" w:color="auto" w:fill="FFFFFF"/>
              </w:rPr>
              <w:t>onstruire trois (03) petits aménagements hydroélectriques pour une capacité installée cumulée d'environ 3 600 kW (Angadanoro 3 000 kW, Ampasimbe 350 kW, Sahandaso 250 kW), avec environ 324 km de ligne de distribution (MT/BT)</w:t>
            </w:r>
          </w:p>
        </w:tc>
        <w:tc>
          <w:tcPr>
            <w:tcW w:w="981" w:type="dxa"/>
            <w:shd w:val="clear" w:color="auto" w:fill="auto"/>
          </w:tcPr>
          <w:p w14:paraId="1D7B873A" w14:textId="77777777" w:rsidR="00D96117" w:rsidRPr="007F78CE" w:rsidRDefault="00D96117" w:rsidP="007F78CE">
            <w:pPr>
              <w:spacing w:after="120" w:line="240" w:lineRule="auto"/>
              <w:jc w:val="both"/>
              <w:rPr>
                <w:rFonts w:ascii="Arial" w:hAnsi="Arial" w:cs="Arial"/>
                <w:color w:val="000000"/>
                <w:sz w:val="18"/>
                <w:szCs w:val="18"/>
              </w:rPr>
            </w:pPr>
            <w:r w:rsidRPr="007F78CE">
              <w:rPr>
                <w:rFonts w:ascii="Arial" w:hAnsi="Arial" w:cs="Arial"/>
                <w:color w:val="000000"/>
                <w:sz w:val="18"/>
                <w:szCs w:val="18"/>
              </w:rPr>
              <w:t>Achevé</w:t>
            </w:r>
          </w:p>
        </w:tc>
      </w:tr>
      <w:tr w:rsidR="0063584D" w:rsidRPr="007F78CE" w14:paraId="2282C6B6" w14:textId="77777777" w:rsidTr="00B434A6">
        <w:trPr>
          <w:jc w:val="center"/>
        </w:trPr>
        <w:tc>
          <w:tcPr>
            <w:tcW w:w="1430" w:type="dxa"/>
            <w:tcBorders>
              <w:top w:val="single" w:sz="8" w:space="0" w:color="4F81BD"/>
              <w:left w:val="single" w:sz="8" w:space="0" w:color="4F81BD"/>
              <w:bottom w:val="single" w:sz="8" w:space="0" w:color="4F81BD"/>
            </w:tcBorders>
            <w:shd w:val="clear" w:color="auto" w:fill="auto"/>
          </w:tcPr>
          <w:p w14:paraId="30643FA9" w14:textId="77777777" w:rsidR="00D96117" w:rsidRPr="007F78CE" w:rsidRDefault="00D96117" w:rsidP="007F78CE">
            <w:pPr>
              <w:spacing w:after="120" w:line="240" w:lineRule="auto"/>
              <w:jc w:val="both"/>
              <w:rPr>
                <w:rFonts w:ascii="Arial" w:hAnsi="Arial" w:cs="Arial"/>
                <w:b/>
                <w:bCs/>
                <w:color w:val="000000"/>
                <w:sz w:val="18"/>
                <w:szCs w:val="18"/>
              </w:rPr>
            </w:pPr>
            <w:r w:rsidRPr="007F78CE">
              <w:rPr>
                <w:rFonts w:ascii="Arial" w:hAnsi="Arial" w:cs="Arial"/>
                <w:b/>
                <w:bCs/>
                <w:color w:val="000000"/>
                <w:sz w:val="18"/>
                <w:szCs w:val="18"/>
              </w:rPr>
              <w:t>PRI</w:t>
            </w:r>
            <w:r w:rsidR="005F04D4" w:rsidRPr="007F78CE">
              <w:rPr>
                <w:rFonts w:ascii="Arial" w:hAnsi="Arial" w:cs="Arial"/>
                <w:b/>
                <w:bCs/>
                <w:color w:val="000000"/>
                <w:sz w:val="18"/>
                <w:szCs w:val="18"/>
              </w:rPr>
              <w:t>R</w:t>
            </w:r>
            <w:r w:rsidRPr="007F78CE">
              <w:rPr>
                <w:rFonts w:ascii="Arial" w:hAnsi="Arial" w:cs="Arial"/>
                <w:b/>
                <w:bCs/>
                <w:color w:val="000000"/>
                <w:sz w:val="18"/>
                <w:szCs w:val="18"/>
              </w:rPr>
              <w:t>TEM 2</w:t>
            </w:r>
          </w:p>
        </w:tc>
        <w:tc>
          <w:tcPr>
            <w:tcW w:w="7150" w:type="dxa"/>
            <w:tcBorders>
              <w:top w:val="single" w:sz="8" w:space="0" w:color="4F81BD"/>
              <w:bottom w:val="single" w:sz="8" w:space="0" w:color="4F81BD"/>
            </w:tcBorders>
            <w:shd w:val="clear" w:color="auto" w:fill="auto"/>
          </w:tcPr>
          <w:p w14:paraId="10EB13E9" w14:textId="77777777" w:rsidR="00D96117" w:rsidRPr="007F78CE" w:rsidRDefault="008A7D38" w:rsidP="007F78CE">
            <w:pPr>
              <w:spacing w:after="120" w:line="240" w:lineRule="auto"/>
              <w:jc w:val="both"/>
              <w:rPr>
                <w:rFonts w:ascii="Arial" w:hAnsi="Arial" w:cs="Arial"/>
                <w:color w:val="000000"/>
                <w:sz w:val="18"/>
                <w:szCs w:val="18"/>
                <w:shd w:val="clear" w:color="auto" w:fill="FFFFFF"/>
              </w:rPr>
            </w:pPr>
            <w:r w:rsidRPr="007F78CE">
              <w:rPr>
                <w:rFonts w:ascii="Arial" w:hAnsi="Arial" w:cs="Arial"/>
                <w:color w:val="000000"/>
                <w:sz w:val="18"/>
                <w:szCs w:val="18"/>
                <w:shd w:val="clear" w:color="auto" w:fill="FFFFFF"/>
              </w:rPr>
              <w:t xml:space="preserve">Le projet de </w:t>
            </w:r>
            <w:r w:rsidR="00D11884" w:rsidRPr="007F78CE">
              <w:rPr>
                <w:rFonts w:ascii="Arial" w:hAnsi="Arial" w:cs="Arial"/>
                <w:color w:val="000000"/>
                <w:sz w:val="18"/>
                <w:szCs w:val="18"/>
                <w:shd w:val="clear" w:color="auto" w:fill="FFFFFF"/>
              </w:rPr>
              <w:t>PRIRTEM-2</w:t>
            </w:r>
            <w:r w:rsidRPr="007F78CE">
              <w:rPr>
                <w:rFonts w:ascii="Arial" w:hAnsi="Arial" w:cs="Arial"/>
                <w:color w:val="000000"/>
                <w:sz w:val="18"/>
                <w:szCs w:val="18"/>
                <w:shd w:val="clear" w:color="auto" w:fill="FFFFFF"/>
              </w:rPr>
              <w:t xml:space="preserve"> vise à résorber le déficit en électricité sur le réseau interconnecté d’Antananarivo (RIA) par le biais de l’intégration de nouvelles centrales électriques dont Sahofika d’une capacité de 192 MW avec un productible de près de </w:t>
            </w:r>
            <w:r w:rsidR="005969CF">
              <w:rPr>
                <w:rFonts w:ascii="Arial" w:hAnsi="Arial" w:cs="Arial"/>
                <w:color w:val="000000"/>
                <w:sz w:val="18"/>
                <w:szCs w:val="18"/>
                <w:shd w:val="clear" w:color="auto" w:fill="FFFFFF"/>
              </w:rPr>
              <w:t xml:space="preserve">      </w:t>
            </w:r>
            <w:r w:rsidRPr="007F78CE">
              <w:rPr>
                <w:rFonts w:ascii="Arial" w:hAnsi="Arial" w:cs="Arial"/>
                <w:color w:val="000000"/>
                <w:sz w:val="18"/>
                <w:szCs w:val="18"/>
                <w:shd w:val="clear" w:color="auto" w:fill="FFFFFF"/>
              </w:rPr>
              <w:t>1 500 GWh par an. En effet, Madagascar dispose d’un potentiel considérable d’énergie renouvelable insuffisamment mis en valeur. Moins de 3% du potentiel hydroélectrique (7 800 MW) est exploité.</w:t>
            </w:r>
          </w:p>
          <w:p w14:paraId="25677922" w14:textId="77777777" w:rsidR="00D11884" w:rsidRPr="007F78CE" w:rsidRDefault="00D11884" w:rsidP="007F78CE">
            <w:pPr>
              <w:spacing w:after="120" w:line="240" w:lineRule="auto"/>
              <w:jc w:val="both"/>
              <w:rPr>
                <w:rFonts w:ascii="Arial" w:hAnsi="Arial" w:cs="Arial"/>
                <w:color w:val="000000"/>
                <w:sz w:val="18"/>
                <w:szCs w:val="18"/>
              </w:rPr>
            </w:pPr>
            <w:r w:rsidRPr="007F78CE">
              <w:rPr>
                <w:rFonts w:ascii="Arial" w:hAnsi="Arial" w:cs="Arial"/>
                <w:color w:val="000000"/>
                <w:sz w:val="18"/>
                <w:szCs w:val="18"/>
                <w:shd w:val="clear" w:color="auto" w:fill="FFFFFF"/>
              </w:rPr>
              <w:t xml:space="preserve">Le projet comprend : (i) la construction d’une ligne d’interconnexion 220 kV à double ternes de 135 km, d’une capacité de 300 MW, entre les postes de Tana Sud 3 (TS3) et Vinaninkarena, via le poste </w:t>
            </w:r>
            <w:r w:rsidR="008C024E" w:rsidRPr="007F78CE">
              <w:rPr>
                <w:rFonts w:ascii="Arial" w:hAnsi="Arial" w:cs="Arial"/>
                <w:color w:val="000000"/>
                <w:sz w:val="18"/>
                <w:szCs w:val="18"/>
                <w:shd w:val="clear" w:color="auto" w:fill="FFFFFF"/>
              </w:rPr>
              <w:t>d’Antanifotsy ;</w:t>
            </w:r>
            <w:r w:rsidRPr="007F78CE">
              <w:rPr>
                <w:rFonts w:ascii="Arial" w:hAnsi="Arial" w:cs="Arial"/>
                <w:color w:val="000000"/>
                <w:sz w:val="18"/>
                <w:szCs w:val="18"/>
                <w:shd w:val="clear" w:color="auto" w:fill="FFFFFF"/>
              </w:rPr>
              <w:t xml:space="preserve"> (ii) la construction des postes de transformation 220/90/20 kV de TS3 et 220/63/20 kV de Vinaninkarena; et (iii) l’électrification de 19 villages dans les communes de Soanindrariny, d’Ambohidranandriana, d’Ambatomena et d’Ambohimiarivo, représentant 1000 ménages.</w:t>
            </w:r>
          </w:p>
        </w:tc>
        <w:tc>
          <w:tcPr>
            <w:tcW w:w="981" w:type="dxa"/>
            <w:tcBorders>
              <w:top w:val="single" w:sz="8" w:space="0" w:color="4F81BD"/>
              <w:bottom w:val="single" w:sz="8" w:space="0" w:color="4F81BD"/>
              <w:right w:val="single" w:sz="8" w:space="0" w:color="4F81BD"/>
            </w:tcBorders>
            <w:shd w:val="clear" w:color="auto" w:fill="auto"/>
          </w:tcPr>
          <w:p w14:paraId="0D9EDCA1" w14:textId="77777777" w:rsidR="00D96117" w:rsidRPr="007F78CE" w:rsidRDefault="00D96117" w:rsidP="007F78CE">
            <w:pPr>
              <w:spacing w:after="120" w:line="240" w:lineRule="auto"/>
              <w:jc w:val="both"/>
              <w:rPr>
                <w:rFonts w:ascii="Arial" w:hAnsi="Arial" w:cs="Arial"/>
                <w:color w:val="000000"/>
                <w:sz w:val="18"/>
                <w:szCs w:val="18"/>
              </w:rPr>
            </w:pPr>
            <w:r w:rsidRPr="007F78CE">
              <w:rPr>
                <w:rFonts w:ascii="Arial" w:hAnsi="Arial" w:cs="Arial"/>
                <w:color w:val="000000"/>
                <w:sz w:val="18"/>
                <w:szCs w:val="18"/>
              </w:rPr>
              <w:t>En cours</w:t>
            </w:r>
          </w:p>
        </w:tc>
      </w:tr>
      <w:tr w:rsidR="0063584D" w:rsidRPr="007F78CE" w14:paraId="7A369640" w14:textId="77777777" w:rsidTr="00B434A6">
        <w:trPr>
          <w:jc w:val="center"/>
        </w:trPr>
        <w:tc>
          <w:tcPr>
            <w:tcW w:w="1430" w:type="dxa"/>
            <w:shd w:val="clear" w:color="auto" w:fill="auto"/>
          </w:tcPr>
          <w:p w14:paraId="0E0DECC4" w14:textId="77777777" w:rsidR="008A7D38" w:rsidRPr="007F78CE" w:rsidRDefault="00D11884" w:rsidP="007F78CE">
            <w:pPr>
              <w:spacing w:after="120" w:line="240" w:lineRule="auto"/>
              <w:jc w:val="both"/>
              <w:rPr>
                <w:rFonts w:ascii="Arial" w:hAnsi="Arial" w:cs="Arial"/>
                <w:b/>
                <w:bCs/>
                <w:color w:val="000000"/>
                <w:sz w:val="18"/>
                <w:szCs w:val="18"/>
              </w:rPr>
            </w:pPr>
            <w:r w:rsidRPr="007F78CE">
              <w:rPr>
                <w:rFonts w:ascii="Arial" w:hAnsi="Arial" w:cs="Arial"/>
                <w:b/>
                <w:bCs/>
                <w:color w:val="222222"/>
                <w:sz w:val="18"/>
                <w:szCs w:val="18"/>
                <w:shd w:val="clear" w:color="auto" w:fill="FFFFFF"/>
              </w:rPr>
              <w:t>FIN</w:t>
            </w:r>
            <w:r w:rsidR="0082241D" w:rsidRPr="007F78CE">
              <w:rPr>
                <w:rFonts w:ascii="Arial" w:hAnsi="Arial" w:cs="Arial"/>
                <w:b/>
                <w:bCs/>
                <w:color w:val="222222"/>
                <w:sz w:val="18"/>
                <w:szCs w:val="18"/>
                <w:shd w:val="clear" w:color="auto" w:fill="FFFFFF"/>
              </w:rPr>
              <w:t>E</w:t>
            </w:r>
            <w:r w:rsidRPr="007F78CE">
              <w:rPr>
                <w:rFonts w:ascii="Arial" w:hAnsi="Arial" w:cs="Arial"/>
                <w:b/>
                <w:bCs/>
                <w:color w:val="222222"/>
                <w:sz w:val="18"/>
                <w:szCs w:val="18"/>
                <w:shd w:val="clear" w:color="auto" w:fill="FFFFFF"/>
              </w:rPr>
              <w:t>XPO</w:t>
            </w:r>
          </w:p>
        </w:tc>
        <w:tc>
          <w:tcPr>
            <w:tcW w:w="7150" w:type="dxa"/>
            <w:shd w:val="clear" w:color="auto" w:fill="auto"/>
          </w:tcPr>
          <w:p w14:paraId="4740DAF8" w14:textId="77777777" w:rsidR="008A7D38" w:rsidRPr="007F78CE" w:rsidRDefault="0082241D" w:rsidP="007F78CE">
            <w:pPr>
              <w:spacing w:after="120" w:line="240" w:lineRule="auto"/>
              <w:jc w:val="both"/>
              <w:rPr>
                <w:rFonts w:ascii="Arial" w:hAnsi="Arial" w:cs="Arial"/>
                <w:color w:val="000000"/>
                <w:sz w:val="18"/>
                <w:szCs w:val="18"/>
                <w:shd w:val="clear" w:color="auto" w:fill="FFFFFF"/>
              </w:rPr>
            </w:pPr>
            <w:r w:rsidRPr="007F78CE">
              <w:rPr>
                <w:rFonts w:ascii="Arial" w:hAnsi="Arial" w:cs="Arial"/>
                <w:color w:val="000000"/>
                <w:sz w:val="18"/>
                <w:szCs w:val="18"/>
                <w:shd w:val="clear" w:color="auto" w:fill="FFFFFF"/>
              </w:rPr>
              <w:t xml:space="preserve">Ce projet financé par </w:t>
            </w:r>
            <w:r w:rsidR="00653CCE" w:rsidRPr="007F78CE">
              <w:rPr>
                <w:rFonts w:ascii="Arial" w:hAnsi="Arial" w:cs="Arial"/>
                <w:color w:val="000000"/>
                <w:sz w:val="18"/>
                <w:szCs w:val="18"/>
                <w:shd w:val="clear" w:color="auto" w:fill="FFFFFF"/>
              </w:rPr>
              <w:t>l</w:t>
            </w:r>
            <w:r w:rsidR="00653CCE">
              <w:rPr>
                <w:rFonts w:ascii="Arial" w:hAnsi="Arial" w:cs="Arial"/>
                <w:color w:val="000000"/>
                <w:sz w:val="18"/>
                <w:szCs w:val="18"/>
                <w:shd w:val="clear" w:color="auto" w:fill="FFFFFF"/>
              </w:rPr>
              <w:t>a</w:t>
            </w:r>
            <w:r w:rsidR="00653CCE" w:rsidRPr="007F78CE">
              <w:rPr>
                <w:rFonts w:ascii="Arial" w:hAnsi="Arial" w:cs="Arial"/>
                <w:color w:val="000000"/>
                <w:sz w:val="18"/>
                <w:szCs w:val="18"/>
                <w:shd w:val="clear" w:color="auto" w:fill="FFFFFF"/>
              </w:rPr>
              <w:t xml:space="preserve"> </w:t>
            </w:r>
            <w:r w:rsidRPr="007F78CE">
              <w:rPr>
                <w:rFonts w:ascii="Arial" w:hAnsi="Arial" w:cs="Arial"/>
                <w:color w:val="000000"/>
                <w:sz w:val="18"/>
                <w:szCs w:val="18"/>
                <w:shd w:val="clear" w:color="auto" w:fill="FFFFFF"/>
              </w:rPr>
              <w:t xml:space="preserve">Belgique consiste à construire des centrales solaires de grandes tailles pour alimenter en électricité </w:t>
            </w:r>
            <w:r w:rsidR="00653CCE">
              <w:rPr>
                <w:rFonts w:ascii="Arial" w:hAnsi="Arial" w:cs="Arial"/>
                <w:color w:val="000000"/>
                <w:sz w:val="18"/>
                <w:szCs w:val="18"/>
                <w:shd w:val="clear" w:color="auto" w:fill="FFFFFF"/>
              </w:rPr>
              <w:t xml:space="preserve"> ciniq (0</w:t>
            </w:r>
            <w:r w:rsidRPr="007F78CE">
              <w:rPr>
                <w:rFonts w:ascii="Arial" w:hAnsi="Arial" w:cs="Arial"/>
                <w:color w:val="000000"/>
                <w:sz w:val="18"/>
                <w:szCs w:val="18"/>
                <w:shd w:val="clear" w:color="auto" w:fill="FFFFFF"/>
              </w:rPr>
              <w:t>5</w:t>
            </w:r>
            <w:r w:rsidR="00653CCE">
              <w:rPr>
                <w:rFonts w:ascii="Arial" w:hAnsi="Arial" w:cs="Arial"/>
                <w:color w:val="000000"/>
                <w:sz w:val="18"/>
                <w:szCs w:val="18"/>
                <w:shd w:val="clear" w:color="auto" w:fill="FFFFFF"/>
              </w:rPr>
              <w:t>)</w:t>
            </w:r>
            <w:r w:rsidRPr="007F78CE">
              <w:rPr>
                <w:rFonts w:ascii="Arial" w:hAnsi="Arial" w:cs="Arial"/>
                <w:color w:val="000000"/>
                <w:sz w:val="18"/>
                <w:szCs w:val="18"/>
                <w:shd w:val="clear" w:color="auto" w:fill="FFFFFF"/>
              </w:rPr>
              <w:t xml:space="preserve"> villes de Madagascar. </w:t>
            </w:r>
          </w:p>
          <w:p w14:paraId="1E1D25AD" w14:textId="77777777" w:rsidR="0082241D" w:rsidRPr="007F78CE" w:rsidRDefault="00934A67" w:rsidP="007F78CE">
            <w:pPr>
              <w:spacing w:after="120" w:line="240" w:lineRule="auto"/>
              <w:jc w:val="both"/>
              <w:rPr>
                <w:rFonts w:ascii="Arial" w:hAnsi="Arial" w:cs="Arial"/>
                <w:color w:val="000000"/>
                <w:sz w:val="18"/>
                <w:szCs w:val="18"/>
                <w:shd w:val="clear" w:color="auto" w:fill="FFFFFF"/>
              </w:rPr>
            </w:pPr>
            <w:r w:rsidRPr="007F78CE">
              <w:rPr>
                <w:rFonts w:ascii="Arial" w:hAnsi="Arial" w:cs="Arial"/>
                <w:color w:val="000000"/>
                <w:sz w:val="18"/>
                <w:szCs w:val="18"/>
                <w:shd w:val="clear" w:color="auto" w:fill="FFFFFF"/>
              </w:rPr>
              <w:t>C</w:t>
            </w:r>
            <w:r w:rsidR="0082241D" w:rsidRPr="007F78CE">
              <w:rPr>
                <w:rFonts w:ascii="Arial" w:hAnsi="Arial" w:cs="Arial"/>
                <w:color w:val="000000"/>
                <w:sz w:val="18"/>
                <w:szCs w:val="18"/>
                <w:shd w:val="clear" w:color="auto" w:fill="FFFFFF"/>
              </w:rPr>
              <w:t>e projet affiche une singularité par sa taille, par sa complexité technique – alliant intégration solaire, batteries et diesel</w:t>
            </w:r>
          </w:p>
        </w:tc>
        <w:tc>
          <w:tcPr>
            <w:tcW w:w="981" w:type="dxa"/>
            <w:shd w:val="clear" w:color="auto" w:fill="auto"/>
          </w:tcPr>
          <w:p w14:paraId="5F3B1F8F" w14:textId="77777777" w:rsidR="008A7D38" w:rsidRPr="007F78CE" w:rsidRDefault="0082241D" w:rsidP="007F78CE">
            <w:pPr>
              <w:spacing w:after="120" w:line="240" w:lineRule="auto"/>
              <w:jc w:val="both"/>
              <w:rPr>
                <w:rFonts w:ascii="Arial" w:hAnsi="Arial" w:cs="Arial"/>
                <w:color w:val="000000"/>
                <w:sz w:val="18"/>
                <w:szCs w:val="18"/>
              </w:rPr>
            </w:pPr>
            <w:r w:rsidRPr="007F78CE">
              <w:rPr>
                <w:rFonts w:ascii="Arial" w:hAnsi="Arial" w:cs="Arial"/>
                <w:color w:val="000000"/>
                <w:sz w:val="18"/>
                <w:szCs w:val="18"/>
              </w:rPr>
              <w:t xml:space="preserve">En cours </w:t>
            </w:r>
          </w:p>
        </w:tc>
      </w:tr>
      <w:tr w:rsidR="0063584D" w:rsidRPr="007F78CE" w14:paraId="717138E7" w14:textId="77777777" w:rsidTr="00B434A6">
        <w:trPr>
          <w:jc w:val="center"/>
        </w:trPr>
        <w:tc>
          <w:tcPr>
            <w:tcW w:w="1430" w:type="dxa"/>
            <w:tcBorders>
              <w:top w:val="single" w:sz="8" w:space="0" w:color="4F81BD"/>
              <w:left w:val="single" w:sz="8" w:space="0" w:color="4F81BD"/>
              <w:bottom w:val="single" w:sz="8" w:space="0" w:color="4F81BD"/>
            </w:tcBorders>
            <w:shd w:val="clear" w:color="auto" w:fill="auto"/>
          </w:tcPr>
          <w:p w14:paraId="1B2F0545" w14:textId="77777777" w:rsidR="00D96117" w:rsidRPr="007F78CE" w:rsidRDefault="00D96117" w:rsidP="007F78CE">
            <w:pPr>
              <w:spacing w:after="120" w:line="240" w:lineRule="auto"/>
              <w:jc w:val="both"/>
              <w:rPr>
                <w:rFonts w:ascii="Arial" w:hAnsi="Arial" w:cs="Arial"/>
                <w:b/>
                <w:bCs/>
                <w:color w:val="000000"/>
                <w:sz w:val="18"/>
                <w:szCs w:val="18"/>
              </w:rPr>
            </w:pPr>
            <w:r w:rsidRPr="007F78CE">
              <w:rPr>
                <w:rFonts w:ascii="Arial" w:hAnsi="Arial" w:cs="Arial"/>
                <w:b/>
                <w:bCs/>
                <w:color w:val="000000"/>
                <w:sz w:val="18"/>
                <w:szCs w:val="18"/>
              </w:rPr>
              <w:t>LEAD</w:t>
            </w:r>
          </w:p>
        </w:tc>
        <w:tc>
          <w:tcPr>
            <w:tcW w:w="7150" w:type="dxa"/>
            <w:tcBorders>
              <w:top w:val="single" w:sz="8" w:space="0" w:color="4F81BD"/>
              <w:bottom w:val="single" w:sz="8" w:space="0" w:color="4F81BD"/>
            </w:tcBorders>
            <w:shd w:val="clear" w:color="auto" w:fill="auto"/>
          </w:tcPr>
          <w:p w14:paraId="75E9F0D2" w14:textId="77777777" w:rsidR="00D96117" w:rsidRPr="007F78CE" w:rsidRDefault="00934A67" w:rsidP="007F78CE">
            <w:pPr>
              <w:spacing w:after="120" w:line="240" w:lineRule="auto"/>
              <w:jc w:val="both"/>
              <w:rPr>
                <w:rFonts w:ascii="Arial" w:hAnsi="Arial" w:cs="Arial"/>
                <w:color w:val="000000"/>
                <w:sz w:val="18"/>
                <w:szCs w:val="18"/>
                <w:shd w:val="clear" w:color="auto" w:fill="FFFFFF"/>
              </w:rPr>
            </w:pPr>
            <w:r w:rsidRPr="007F78CE">
              <w:rPr>
                <w:rFonts w:ascii="Arial" w:hAnsi="Arial" w:cs="Arial"/>
                <w:color w:val="000000"/>
                <w:sz w:val="18"/>
                <w:szCs w:val="18"/>
                <w:shd w:val="clear" w:color="auto" w:fill="FFFFFF"/>
              </w:rPr>
              <w:t xml:space="preserve">L’objectif de ce projet est d’augmenter le taux d’accès à l’électricité dans le pays à partir du réseau existant et par des systèmes solaires domestiques. </w:t>
            </w:r>
            <w:r w:rsidR="00DA6661" w:rsidRPr="007F78CE">
              <w:rPr>
                <w:rFonts w:ascii="Arial" w:hAnsi="Arial" w:cs="Arial"/>
                <w:color w:val="000000"/>
                <w:sz w:val="18"/>
                <w:szCs w:val="18"/>
                <w:shd w:val="clear" w:color="auto" w:fill="FFFFFF"/>
              </w:rPr>
              <w:t>L’action de ce projet consiste à :</w:t>
            </w:r>
          </w:p>
          <w:p w14:paraId="2AC89071" w14:textId="77777777" w:rsidR="00DA6661" w:rsidRPr="007F78CE" w:rsidRDefault="00DA6661" w:rsidP="00687DD2">
            <w:pPr>
              <w:pStyle w:val="Paragraphedeliste"/>
              <w:numPr>
                <w:ilvl w:val="0"/>
                <w:numId w:val="64"/>
              </w:numPr>
              <w:spacing w:after="120" w:line="240" w:lineRule="auto"/>
              <w:jc w:val="both"/>
              <w:rPr>
                <w:rFonts w:ascii="Arial" w:hAnsi="Arial" w:cs="Arial"/>
                <w:sz w:val="18"/>
                <w:szCs w:val="18"/>
                <w:shd w:val="clear" w:color="auto" w:fill="FFFFFF"/>
              </w:rPr>
            </w:pPr>
            <w:r w:rsidRPr="007F78CE">
              <w:rPr>
                <w:rFonts w:ascii="Arial" w:hAnsi="Arial" w:cs="Arial"/>
                <w:sz w:val="18"/>
                <w:szCs w:val="18"/>
                <w:shd w:val="clear" w:color="auto" w:fill="FFFFFF"/>
              </w:rPr>
              <w:t>L’a</w:t>
            </w:r>
            <w:r w:rsidR="00934A67" w:rsidRPr="007F78CE">
              <w:rPr>
                <w:rFonts w:ascii="Arial" w:hAnsi="Arial" w:cs="Arial"/>
                <w:sz w:val="18"/>
                <w:szCs w:val="18"/>
                <w:shd w:val="clear" w:color="auto" w:fill="FFFFFF"/>
              </w:rPr>
              <w:t xml:space="preserve">ugmentation du taux d’accès par densification par </w:t>
            </w:r>
            <w:r w:rsidRPr="007F78CE">
              <w:rPr>
                <w:rFonts w:ascii="Arial" w:hAnsi="Arial" w:cs="Arial"/>
                <w:sz w:val="18"/>
                <w:szCs w:val="18"/>
                <w:shd w:val="clear" w:color="auto" w:fill="FFFFFF"/>
              </w:rPr>
              <w:t xml:space="preserve">l’extension et </w:t>
            </w:r>
            <w:r w:rsidR="00653CCE">
              <w:rPr>
                <w:rFonts w:ascii="Arial" w:hAnsi="Arial" w:cs="Arial"/>
                <w:sz w:val="18"/>
                <w:szCs w:val="18"/>
                <w:shd w:val="clear" w:color="auto" w:fill="FFFFFF"/>
              </w:rPr>
              <w:t xml:space="preserve">le </w:t>
            </w:r>
            <w:r w:rsidRPr="007F78CE">
              <w:rPr>
                <w:rFonts w:ascii="Arial" w:hAnsi="Arial" w:cs="Arial"/>
                <w:sz w:val="18"/>
                <w:szCs w:val="18"/>
                <w:shd w:val="clear" w:color="auto" w:fill="FFFFFF"/>
              </w:rPr>
              <w:t>renforcement de réseau des réseaux existant en milieu urbain et périurbain</w:t>
            </w:r>
          </w:p>
          <w:p w14:paraId="6B5A051B" w14:textId="77777777" w:rsidR="00934A67" w:rsidRPr="007F78CE" w:rsidRDefault="00DA6661" w:rsidP="00687DD2">
            <w:pPr>
              <w:pStyle w:val="Paragraphedeliste"/>
              <w:numPr>
                <w:ilvl w:val="0"/>
                <w:numId w:val="64"/>
              </w:numPr>
              <w:spacing w:after="120" w:line="240" w:lineRule="auto"/>
              <w:jc w:val="both"/>
              <w:rPr>
                <w:rFonts w:ascii="Arial" w:hAnsi="Arial" w:cs="Arial"/>
                <w:sz w:val="18"/>
                <w:szCs w:val="18"/>
              </w:rPr>
            </w:pPr>
            <w:r w:rsidRPr="007F78CE">
              <w:rPr>
                <w:rFonts w:ascii="Arial" w:hAnsi="Arial" w:cs="Arial"/>
                <w:sz w:val="18"/>
                <w:szCs w:val="18"/>
                <w:shd w:val="clear" w:color="auto" w:fill="FFFFFF"/>
              </w:rPr>
              <w:t xml:space="preserve">L’augmentation du taux d’accès </w:t>
            </w:r>
            <w:r w:rsidR="00067C78" w:rsidRPr="007F78CE">
              <w:rPr>
                <w:rFonts w:ascii="Arial" w:hAnsi="Arial" w:cs="Arial"/>
                <w:sz w:val="18"/>
                <w:szCs w:val="18"/>
                <w:shd w:val="clear" w:color="auto" w:fill="FFFFFF"/>
              </w:rPr>
              <w:t>à</w:t>
            </w:r>
            <w:r w:rsidRPr="007F78CE">
              <w:rPr>
                <w:rFonts w:ascii="Arial" w:hAnsi="Arial" w:cs="Arial"/>
                <w:sz w:val="18"/>
                <w:szCs w:val="18"/>
                <w:shd w:val="clear" w:color="auto" w:fill="FFFFFF"/>
              </w:rPr>
              <w:t xml:space="preserve"> l’électricité hors réseau par </w:t>
            </w:r>
            <w:r w:rsidR="00653CCE">
              <w:rPr>
                <w:rFonts w:ascii="Arial" w:hAnsi="Arial" w:cs="Arial"/>
                <w:sz w:val="18"/>
                <w:szCs w:val="18"/>
                <w:shd w:val="clear" w:color="auto" w:fill="FFFFFF"/>
              </w:rPr>
              <w:t xml:space="preserve">des </w:t>
            </w:r>
            <w:r w:rsidRPr="007F78CE">
              <w:rPr>
                <w:rFonts w:ascii="Arial" w:hAnsi="Arial" w:cs="Arial"/>
                <w:sz w:val="18"/>
                <w:szCs w:val="18"/>
                <w:shd w:val="clear" w:color="auto" w:fill="FFFFFF"/>
              </w:rPr>
              <w:t>systèmes solaires pour atteindre environ 300 000 foyers, 2 000 entreprises et 500 centres de soins de santé</w:t>
            </w:r>
          </w:p>
        </w:tc>
        <w:tc>
          <w:tcPr>
            <w:tcW w:w="981" w:type="dxa"/>
            <w:tcBorders>
              <w:top w:val="single" w:sz="8" w:space="0" w:color="4F81BD"/>
              <w:bottom w:val="single" w:sz="8" w:space="0" w:color="4F81BD"/>
              <w:right w:val="single" w:sz="8" w:space="0" w:color="4F81BD"/>
            </w:tcBorders>
            <w:shd w:val="clear" w:color="auto" w:fill="auto"/>
          </w:tcPr>
          <w:p w14:paraId="7782D6A4" w14:textId="77777777" w:rsidR="00D96117" w:rsidRPr="007F78CE" w:rsidRDefault="00D96117" w:rsidP="007F78CE">
            <w:pPr>
              <w:spacing w:after="120" w:line="240" w:lineRule="auto"/>
              <w:jc w:val="both"/>
              <w:rPr>
                <w:rFonts w:ascii="Arial" w:hAnsi="Arial" w:cs="Arial"/>
                <w:color w:val="000000"/>
                <w:sz w:val="18"/>
                <w:szCs w:val="18"/>
              </w:rPr>
            </w:pPr>
            <w:r w:rsidRPr="007F78CE">
              <w:rPr>
                <w:rFonts w:ascii="Arial" w:hAnsi="Arial" w:cs="Arial"/>
                <w:color w:val="000000"/>
                <w:sz w:val="18"/>
                <w:szCs w:val="18"/>
              </w:rPr>
              <w:t>En cours</w:t>
            </w:r>
          </w:p>
        </w:tc>
      </w:tr>
      <w:tr w:rsidR="0063584D" w:rsidRPr="007F78CE" w14:paraId="0BBAF6B8" w14:textId="77777777" w:rsidTr="00B434A6">
        <w:trPr>
          <w:jc w:val="center"/>
        </w:trPr>
        <w:tc>
          <w:tcPr>
            <w:tcW w:w="1430" w:type="dxa"/>
            <w:shd w:val="clear" w:color="auto" w:fill="auto"/>
          </w:tcPr>
          <w:p w14:paraId="1FA0E257" w14:textId="77777777" w:rsidR="00D96117" w:rsidRPr="007F78CE" w:rsidRDefault="00D96117" w:rsidP="007F78CE">
            <w:pPr>
              <w:spacing w:after="120" w:line="240" w:lineRule="auto"/>
              <w:jc w:val="both"/>
              <w:rPr>
                <w:rFonts w:ascii="Arial" w:hAnsi="Arial" w:cs="Arial"/>
                <w:b/>
                <w:bCs/>
                <w:color w:val="000000"/>
                <w:sz w:val="18"/>
                <w:szCs w:val="18"/>
              </w:rPr>
            </w:pPr>
            <w:r w:rsidRPr="007F78CE">
              <w:rPr>
                <w:rFonts w:ascii="Arial" w:hAnsi="Arial" w:cs="Arial"/>
                <w:b/>
                <w:bCs/>
                <w:color w:val="000000"/>
                <w:sz w:val="18"/>
                <w:szCs w:val="18"/>
              </w:rPr>
              <w:t>Mbalik et Baobab +</w:t>
            </w:r>
          </w:p>
        </w:tc>
        <w:tc>
          <w:tcPr>
            <w:tcW w:w="7150" w:type="dxa"/>
            <w:shd w:val="clear" w:color="auto" w:fill="auto"/>
          </w:tcPr>
          <w:p w14:paraId="7A17F726" w14:textId="77777777" w:rsidR="00D96117" w:rsidRPr="007F78CE" w:rsidRDefault="005F04D4" w:rsidP="007F78CE">
            <w:pPr>
              <w:spacing w:after="120" w:line="240" w:lineRule="auto"/>
              <w:jc w:val="both"/>
              <w:rPr>
                <w:rFonts w:ascii="Arial" w:hAnsi="Arial" w:cs="Arial"/>
                <w:color w:val="000000"/>
                <w:sz w:val="18"/>
                <w:szCs w:val="18"/>
              </w:rPr>
            </w:pPr>
            <w:r w:rsidRPr="007F78CE">
              <w:rPr>
                <w:rFonts w:ascii="Arial" w:hAnsi="Arial" w:cs="Arial"/>
                <w:color w:val="000000"/>
                <w:sz w:val="18"/>
                <w:szCs w:val="18"/>
              </w:rPr>
              <w:t>Partenaires de l’OMDF (projet LEAD), i</w:t>
            </w:r>
            <w:r w:rsidR="00EF00FA" w:rsidRPr="007F78CE">
              <w:rPr>
                <w:rFonts w:ascii="Arial" w:hAnsi="Arial" w:cs="Arial"/>
                <w:color w:val="000000"/>
                <w:sz w:val="18"/>
                <w:szCs w:val="18"/>
              </w:rPr>
              <w:t>nitié</w:t>
            </w:r>
            <w:r w:rsidRPr="007F78CE">
              <w:rPr>
                <w:rFonts w:ascii="Arial" w:hAnsi="Arial" w:cs="Arial"/>
                <w:color w:val="000000"/>
                <w:sz w:val="18"/>
                <w:szCs w:val="18"/>
              </w:rPr>
              <w:t>s</w:t>
            </w:r>
            <w:r w:rsidR="00EF00FA" w:rsidRPr="007F78CE">
              <w:rPr>
                <w:rFonts w:ascii="Arial" w:hAnsi="Arial" w:cs="Arial"/>
                <w:color w:val="000000"/>
                <w:sz w:val="18"/>
                <w:szCs w:val="18"/>
              </w:rPr>
              <w:t xml:space="preserve"> par Telma (Mbalik) et Ba</w:t>
            </w:r>
            <w:r w:rsidR="005969CF">
              <w:rPr>
                <w:rFonts w:ascii="Arial" w:hAnsi="Arial" w:cs="Arial"/>
                <w:color w:val="000000"/>
                <w:sz w:val="18"/>
                <w:szCs w:val="18"/>
              </w:rPr>
              <w:t>o</w:t>
            </w:r>
            <w:r w:rsidR="00EF00FA" w:rsidRPr="007F78CE">
              <w:rPr>
                <w:rFonts w:ascii="Arial" w:hAnsi="Arial" w:cs="Arial"/>
                <w:color w:val="000000"/>
                <w:sz w:val="18"/>
                <w:szCs w:val="18"/>
              </w:rPr>
              <w:t xml:space="preserve">bab (Baobab+), il s’agit d’une vente et distribution de kits solaires à travers les agences du réseau TELMA, Baobab, Baobab+ par le système PAYGO. </w:t>
            </w:r>
            <w:r w:rsidR="00F841A8" w:rsidRPr="007F78CE">
              <w:rPr>
                <w:rFonts w:ascii="Arial" w:hAnsi="Arial" w:cs="Arial"/>
                <w:color w:val="000000"/>
                <w:sz w:val="18"/>
                <w:szCs w:val="18"/>
              </w:rPr>
              <w:t>A</w:t>
            </w:r>
            <w:r w:rsidR="00EF00FA" w:rsidRPr="007F78CE">
              <w:rPr>
                <w:rFonts w:ascii="Arial" w:hAnsi="Arial" w:cs="Arial"/>
                <w:color w:val="000000"/>
                <w:sz w:val="18"/>
                <w:szCs w:val="18"/>
              </w:rPr>
              <w:t>fin de rendre les produits accessibles au plus grand nombre de ménage. Le client réalise des paiements en fonction de ses capacités de remboursement afin d’activer le produit avant d’en devenir propriétaire.</w:t>
            </w:r>
          </w:p>
        </w:tc>
        <w:tc>
          <w:tcPr>
            <w:tcW w:w="981" w:type="dxa"/>
            <w:shd w:val="clear" w:color="auto" w:fill="auto"/>
          </w:tcPr>
          <w:p w14:paraId="04715AF4" w14:textId="77777777" w:rsidR="00D96117" w:rsidRPr="007F78CE" w:rsidRDefault="00D96117" w:rsidP="007F78CE">
            <w:pPr>
              <w:spacing w:after="120" w:line="240" w:lineRule="auto"/>
              <w:jc w:val="both"/>
              <w:rPr>
                <w:rFonts w:ascii="Arial" w:hAnsi="Arial" w:cs="Arial"/>
                <w:color w:val="000000"/>
                <w:sz w:val="18"/>
                <w:szCs w:val="18"/>
              </w:rPr>
            </w:pPr>
            <w:r w:rsidRPr="007F78CE">
              <w:rPr>
                <w:rFonts w:ascii="Arial" w:hAnsi="Arial" w:cs="Arial"/>
                <w:color w:val="000000"/>
                <w:sz w:val="18"/>
                <w:szCs w:val="18"/>
              </w:rPr>
              <w:t>En cours</w:t>
            </w:r>
          </w:p>
        </w:tc>
      </w:tr>
      <w:tr w:rsidR="0063584D" w:rsidRPr="007F78CE" w14:paraId="44C40A24" w14:textId="77777777" w:rsidTr="00B434A6">
        <w:trPr>
          <w:jc w:val="center"/>
        </w:trPr>
        <w:tc>
          <w:tcPr>
            <w:tcW w:w="1430" w:type="dxa"/>
            <w:tcBorders>
              <w:top w:val="single" w:sz="8" w:space="0" w:color="4F81BD"/>
              <w:left w:val="single" w:sz="8" w:space="0" w:color="4F81BD"/>
              <w:bottom w:val="single" w:sz="8" w:space="0" w:color="4F81BD"/>
            </w:tcBorders>
            <w:shd w:val="clear" w:color="auto" w:fill="auto"/>
          </w:tcPr>
          <w:p w14:paraId="1E97AD8A" w14:textId="77777777" w:rsidR="00D96117" w:rsidRPr="007F78CE" w:rsidRDefault="00A7361E" w:rsidP="007F78CE">
            <w:pPr>
              <w:spacing w:after="120" w:line="240" w:lineRule="auto"/>
              <w:jc w:val="both"/>
              <w:rPr>
                <w:rFonts w:ascii="Arial" w:hAnsi="Arial" w:cs="Arial"/>
                <w:b/>
                <w:bCs/>
                <w:color w:val="000000"/>
                <w:sz w:val="18"/>
                <w:szCs w:val="18"/>
              </w:rPr>
            </w:pPr>
            <w:r w:rsidRPr="007F78CE">
              <w:rPr>
                <w:rFonts w:ascii="Arial" w:hAnsi="Arial" w:cs="Arial"/>
                <w:b/>
                <w:bCs/>
                <w:sz w:val="18"/>
                <w:szCs w:val="18"/>
              </w:rPr>
              <w:t>Projet HOTSPOT </w:t>
            </w:r>
          </w:p>
        </w:tc>
        <w:tc>
          <w:tcPr>
            <w:tcW w:w="7150" w:type="dxa"/>
            <w:tcBorders>
              <w:top w:val="single" w:sz="8" w:space="0" w:color="4F81BD"/>
              <w:bottom w:val="single" w:sz="8" w:space="0" w:color="4F81BD"/>
            </w:tcBorders>
            <w:shd w:val="clear" w:color="auto" w:fill="auto"/>
          </w:tcPr>
          <w:p w14:paraId="3BE93F8E" w14:textId="77777777" w:rsidR="00A7361E" w:rsidRPr="007F78CE" w:rsidRDefault="00A7361E" w:rsidP="007F78CE">
            <w:pPr>
              <w:spacing w:after="120" w:line="240" w:lineRule="auto"/>
              <w:jc w:val="both"/>
              <w:rPr>
                <w:rFonts w:ascii="Arial" w:hAnsi="Arial" w:cs="Arial"/>
                <w:color w:val="000000"/>
                <w:sz w:val="18"/>
                <w:szCs w:val="18"/>
              </w:rPr>
            </w:pPr>
            <w:r w:rsidRPr="007F78CE">
              <w:rPr>
                <w:rFonts w:ascii="Arial" w:hAnsi="Arial" w:cs="Arial"/>
                <w:color w:val="000000"/>
                <w:sz w:val="18"/>
                <w:szCs w:val="18"/>
              </w:rPr>
              <w:t xml:space="preserve">Un projet </w:t>
            </w:r>
            <w:r w:rsidR="00E75489" w:rsidRPr="007F78CE">
              <w:rPr>
                <w:rFonts w:ascii="Arial" w:hAnsi="Arial" w:cs="Arial"/>
                <w:color w:val="000000"/>
                <w:sz w:val="18"/>
                <w:szCs w:val="18"/>
              </w:rPr>
              <w:t xml:space="preserve">développé par le </w:t>
            </w:r>
            <w:r w:rsidRPr="007F78CE">
              <w:rPr>
                <w:rFonts w:ascii="Arial" w:hAnsi="Arial" w:cs="Arial"/>
                <w:color w:val="000000"/>
                <w:sz w:val="18"/>
                <w:szCs w:val="18"/>
              </w:rPr>
              <w:t>Ministère en charge de la télécommunication et du développement numérique</w:t>
            </w:r>
            <w:r w:rsidR="00E75489" w:rsidRPr="007F78CE">
              <w:rPr>
                <w:rFonts w:ascii="Arial" w:hAnsi="Arial" w:cs="Arial"/>
                <w:color w:val="000000"/>
                <w:sz w:val="18"/>
                <w:szCs w:val="18"/>
              </w:rPr>
              <w:t xml:space="preserve"> qui consiste à la mise en place d’internet gratuit via des bornes wifi disposées dans des lieux publics stratégiques dans 130 villes de Madagascar.</w:t>
            </w:r>
          </w:p>
        </w:tc>
        <w:tc>
          <w:tcPr>
            <w:tcW w:w="981" w:type="dxa"/>
            <w:tcBorders>
              <w:top w:val="single" w:sz="8" w:space="0" w:color="4F81BD"/>
              <w:bottom w:val="single" w:sz="8" w:space="0" w:color="4F81BD"/>
              <w:right w:val="single" w:sz="8" w:space="0" w:color="4F81BD"/>
            </w:tcBorders>
            <w:shd w:val="clear" w:color="auto" w:fill="auto"/>
          </w:tcPr>
          <w:p w14:paraId="7E37FBCE" w14:textId="77777777" w:rsidR="00D96117" w:rsidRPr="007F78CE" w:rsidRDefault="00D96117" w:rsidP="007F78CE">
            <w:pPr>
              <w:spacing w:after="120" w:line="240" w:lineRule="auto"/>
              <w:jc w:val="both"/>
              <w:rPr>
                <w:rFonts w:ascii="Arial" w:hAnsi="Arial" w:cs="Arial"/>
                <w:color w:val="000000"/>
                <w:sz w:val="18"/>
                <w:szCs w:val="18"/>
              </w:rPr>
            </w:pPr>
            <w:r w:rsidRPr="007F78CE">
              <w:rPr>
                <w:rFonts w:ascii="Arial" w:hAnsi="Arial" w:cs="Arial"/>
                <w:color w:val="000000"/>
                <w:sz w:val="18"/>
                <w:szCs w:val="18"/>
              </w:rPr>
              <w:t xml:space="preserve">En cours </w:t>
            </w:r>
          </w:p>
        </w:tc>
      </w:tr>
      <w:tr w:rsidR="0063584D" w:rsidRPr="007F78CE" w14:paraId="06EA5BE1" w14:textId="77777777" w:rsidTr="00B434A6">
        <w:trPr>
          <w:jc w:val="center"/>
        </w:trPr>
        <w:tc>
          <w:tcPr>
            <w:tcW w:w="1430" w:type="dxa"/>
            <w:shd w:val="clear" w:color="auto" w:fill="auto"/>
          </w:tcPr>
          <w:p w14:paraId="2FC5EE1B" w14:textId="77777777" w:rsidR="00A7361E" w:rsidRPr="007F78CE" w:rsidRDefault="00A7361E" w:rsidP="007F78CE">
            <w:pPr>
              <w:spacing w:after="120" w:line="240" w:lineRule="auto"/>
              <w:jc w:val="both"/>
              <w:rPr>
                <w:rFonts w:ascii="Arial" w:hAnsi="Arial" w:cs="Arial"/>
                <w:b/>
                <w:bCs/>
                <w:sz w:val="18"/>
                <w:szCs w:val="18"/>
              </w:rPr>
            </w:pPr>
            <w:r w:rsidRPr="007F78CE">
              <w:rPr>
                <w:rFonts w:ascii="Arial" w:hAnsi="Arial" w:cs="Arial"/>
                <w:b/>
                <w:bCs/>
                <w:sz w:val="18"/>
                <w:szCs w:val="18"/>
              </w:rPr>
              <w:t>SMART Village</w:t>
            </w:r>
          </w:p>
        </w:tc>
        <w:tc>
          <w:tcPr>
            <w:tcW w:w="7150" w:type="dxa"/>
            <w:shd w:val="clear" w:color="auto" w:fill="auto"/>
          </w:tcPr>
          <w:p w14:paraId="574C5248" w14:textId="77777777" w:rsidR="00A7361E" w:rsidRPr="007F78CE" w:rsidRDefault="00E75489" w:rsidP="007F78CE">
            <w:pPr>
              <w:spacing w:after="120" w:line="240" w:lineRule="auto"/>
              <w:jc w:val="both"/>
              <w:rPr>
                <w:rFonts w:ascii="Arial" w:hAnsi="Arial" w:cs="Arial"/>
                <w:color w:val="000000"/>
                <w:sz w:val="18"/>
                <w:szCs w:val="18"/>
              </w:rPr>
            </w:pPr>
            <w:r w:rsidRPr="007F78CE">
              <w:rPr>
                <w:rFonts w:ascii="Arial" w:hAnsi="Arial" w:cs="Arial"/>
                <w:color w:val="000000"/>
                <w:sz w:val="18"/>
                <w:szCs w:val="18"/>
              </w:rPr>
              <w:t xml:space="preserve">Projet sous l’égide du Ministère </w:t>
            </w:r>
            <w:r w:rsidR="005969CF">
              <w:rPr>
                <w:rFonts w:ascii="Arial" w:hAnsi="Arial" w:cs="Arial"/>
                <w:color w:val="000000"/>
                <w:sz w:val="18"/>
                <w:szCs w:val="18"/>
              </w:rPr>
              <w:t xml:space="preserve">en </w:t>
            </w:r>
            <w:r w:rsidRPr="007F78CE">
              <w:rPr>
                <w:rFonts w:ascii="Arial" w:hAnsi="Arial" w:cs="Arial"/>
                <w:color w:val="000000"/>
                <w:sz w:val="18"/>
                <w:szCs w:val="18"/>
              </w:rPr>
              <w:t>charg</w:t>
            </w:r>
            <w:r w:rsidR="005969CF">
              <w:rPr>
                <w:rFonts w:ascii="Arial" w:hAnsi="Arial" w:cs="Arial"/>
                <w:color w:val="000000"/>
                <w:sz w:val="18"/>
                <w:szCs w:val="18"/>
              </w:rPr>
              <w:t>e</w:t>
            </w:r>
            <w:r w:rsidRPr="007F78CE">
              <w:rPr>
                <w:rFonts w:ascii="Arial" w:hAnsi="Arial" w:cs="Arial"/>
                <w:color w:val="000000"/>
                <w:sz w:val="18"/>
                <w:szCs w:val="18"/>
              </w:rPr>
              <w:t xml:space="preserve"> du développement du numérique (MNDPT)</w:t>
            </w:r>
            <w:r w:rsidR="00EF00FA" w:rsidRPr="007F78CE">
              <w:rPr>
                <w:rFonts w:ascii="Arial" w:hAnsi="Arial" w:cs="Arial"/>
                <w:color w:val="000000"/>
                <w:sz w:val="18"/>
                <w:szCs w:val="18"/>
              </w:rPr>
              <w:t>.</w:t>
            </w:r>
            <w:r w:rsidRPr="007F78CE">
              <w:rPr>
                <w:rFonts w:ascii="Arial" w:hAnsi="Arial" w:cs="Arial"/>
                <w:color w:val="000000"/>
                <w:sz w:val="18"/>
                <w:szCs w:val="18"/>
              </w:rPr>
              <w:t xml:space="preserve"> Le projet offre des espaces pour apprendre, travailler, entreprendre et de développer des activités socio-économiques innovantes dans un territoire enclavé</w:t>
            </w:r>
            <w:r w:rsidR="00EF00FA" w:rsidRPr="007F78CE">
              <w:rPr>
                <w:rFonts w:ascii="Arial" w:hAnsi="Arial" w:cs="Arial"/>
                <w:color w:val="000000"/>
                <w:sz w:val="18"/>
                <w:szCs w:val="18"/>
              </w:rPr>
              <w:t xml:space="preserve">. Il consiste à rénover les bureaux de poste et les équipés des antennes VSAT alimenté par des panneaux solaires. </w:t>
            </w:r>
          </w:p>
        </w:tc>
        <w:tc>
          <w:tcPr>
            <w:tcW w:w="981" w:type="dxa"/>
            <w:shd w:val="clear" w:color="auto" w:fill="auto"/>
          </w:tcPr>
          <w:p w14:paraId="25FD7125" w14:textId="77777777" w:rsidR="00A7361E" w:rsidRPr="007F78CE" w:rsidRDefault="00EF00FA" w:rsidP="007F78CE">
            <w:pPr>
              <w:spacing w:after="120" w:line="240" w:lineRule="auto"/>
              <w:jc w:val="both"/>
              <w:rPr>
                <w:rFonts w:ascii="Arial" w:hAnsi="Arial" w:cs="Arial"/>
                <w:color w:val="000000"/>
                <w:sz w:val="18"/>
                <w:szCs w:val="18"/>
              </w:rPr>
            </w:pPr>
            <w:r w:rsidRPr="007F78CE">
              <w:rPr>
                <w:rFonts w:ascii="Arial" w:hAnsi="Arial" w:cs="Arial"/>
                <w:color w:val="000000"/>
                <w:sz w:val="18"/>
                <w:szCs w:val="18"/>
              </w:rPr>
              <w:t>En cours</w:t>
            </w:r>
          </w:p>
        </w:tc>
      </w:tr>
    </w:tbl>
    <w:p w14:paraId="67D38C7F" w14:textId="77777777" w:rsidR="00A90D27" w:rsidRPr="00A90D27" w:rsidRDefault="00A90D27" w:rsidP="0044500E">
      <w:pPr>
        <w:pStyle w:val="TIT3"/>
        <w:numPr>
          <w:ilvl w:val="2"/>
          <w:numId w:val="177"/>
        </w:numPr>
      </w:pPr>
      <w:bookmarkStart w:id="1128" w:name="_Toc121218859"/>
      <w:bookmarkStart w:id="1129" w:name="_Toc124314754"/>
      <w:bookmarkStart w:id="1130" w:name="_Toc124956281"/>
      <w:bookmarkStart w:id="1131" w:name="_Toc125384629"/>
      <w:bookmarkStart w:id="1132" w:name="_Toc125385018"/>
      <w:bookmarkStart w:id="1133" w:name="_Toc127957691"/>
      <w:r w:rsidRPr="00A90D27">
        <w:t>Analyse des impacts cumulatifs</w:t>
      </w:r>
      <w:bookmarkEnd w:id="1128"/>
      <w:bookmarkEnd w:id="1129"/>
      <w:bookmarkEnd w:id="1130"/>
      <w:bookmarkEnd w:id="1131"/>
      <w:bookmarkEnd w:id="1132"/>
      <w:bookmarkEnd w:id="1133"/>
      <w:r w:rsidRPr="00A90D27">
        <w:t xml:space="preserve"> </w:t>
      </w:r>
    </w:p>
    <w:p w14:paraId="39C1C219" w14:textId="77777777" w:rsidR="00A90D27" w:rsidRPr="00305594" w:rsidRDefault="00A90D27" w:rsidP="00305594">
      <w:pPr>
        <w:autoSpaceDE w:val="0"/>
        <w:autoSpaceDN w:val="0"/>
        <w:adjustRightInd w:val="0"/>
        <w:jc w:val="both"/>
        <w:rPr>
          <w:rFonts w:ascii="Arial" w:hAnsi="Arial" w:cs="Arial"/>
          <w:szCs w:val="24"/>
        </w:rPr>
      </w:pPr>
      <w:r w:rsidRPr="00305594">
        <w:rPr>
          <w:rFonts w:ascii="Arial" w:hAnsi="Arial" w:cs="Arial"/>
          <w:szCs w:val="24"/>
        </w:rPr>
        <w:t xml:space="preserve">Le tableau ci-dessous synthétise l’analyse des impacts cumulatifs des différents projets en relation avec l’énergie et </w:t>
      </w:r>
      <w:r w:rsidR="00653CCE" w:rsidRPr="00305594">
        <w:rPr>
          <w:rFonts w:ascii="Arial" w:hAnsi="Arial" w:cs="Arial"/>
          <w:szCs w:val="24"/>
        </w:rPr>
        <w:t>l</w:t>
      </w:r>
      <w:r w:rsidR="00653CCE">
        <w:rPr>
          <w:rFonts w:ascii="Arial" w:hAnsi="Arial" w:cs="Arial"/>
          <w:szCs w:val="24"/>
        </w:rPr>
        <w:t>e</w:t>
      </w:r>
      <w:r w:rsidR="00653CCE" w:rsidRPr="00305594">
        <w:rPr>
          <w:rFonts w:ascii="Arial" w:hAnsi="Arial" w:cs="Arial"/>
          <w:szCs w:val="24"/>
        </w:rPr>
        <w:t xml:space="preserve"> </w:t>
      </w:r>
      <w:r w:rsidRPr="00305594">
        <w:rPr>
          <w:rFonts w:ascii="Arial" w:hAnsi="Arial" w:cs="Arial"/>
          <w:szCs w:val="24"/>
        </w:rPr>
        <w:t xml:space="preserve">numérique. </w:t>
      </w:r>
    </w:p>
    <w:p w14:paraId="59400A61" w14:textId="77777777" w:rsidR="00A90D27" w:rsidRPr="00305594" w:rsidRDefault="00A90D27" w:rsidP="00305594">
      <w:pPr>
        <w:pStyle w:val="Lgende"/>
        <w:jc w:val="center"/>
        <w:rPr>
          <w:sz w:val="20"/>
        </w:rPr>
      </w:pPr>
      <w:bookmarkStart w:id="1134" w:name="_Toc121215745"/>
      <w:bookmarkStart w:id="1135" w:name="_Toc127957875"/>
      <w:r w:rsidRPr="00305594">
        <w:rPr>
          <w:sz w:val="20"/>
        </w:rPr>
        <w:t xml:space="preserve">Tableau </w:t>
      </w:r>
      <w:r w:rsidRPr="00305594">
        <w:rPr>
          <w:sz w:val="20"/>
        </w:rPr>
        <w:fldChar w:fldCharType="begin"/>
      </w:r>
      <w:r w:rsidRPr="00305594">
        <w:rPr>
          <w:sz w:val="20"/>
        </w:rPr>
        <w:instrText>SEQ Tableau \* ARABIC</w:instrText>
      </w:r>
      <w:r w:rsidRPr="00305594">
        <w:rPr>
          <w:sz w:val="20"/>
        </w:rPr>
        <w:fldChar w:fldCharType="separate"/>
      </w:r>
      <w:r w:rsidR="005430A1">
        <w:rPr>
          <w:noProof/>
          <w:sz w:val="20"/>
        </w:rPr>
        <w:t>79</w:t>
      </w:r>
      <w:r w:rsidRPr="00305594">
        <w:rPr>
          <w:sz w:val="20"/>
        </w:rPr>
        <w:fldChar w:fldCharType="end"/>
      </w:r>
      <w:r w:rsidRPr="00305594">
        <w:rPr>
          <w:sz w:val="20"/>
        </w:rPr>
        <w:t>. Matrice des impacts cumulatifs</w:t>
      </w:r>
      <w:bookmarkEnd w:id="1134"/>
      <w:bookmarkEnd w:id="1135"/>
    </w:p>
    <w:tbl>
      <w:tblPr>
        <w:tblW w:w="5000" w:type="pct"/>
        <w:tblCellMar>
          <w:left w:w="70" w:type="dxa"/>
          <w:right w:w="70" w:type="dxa"/>
        </w:tblCellMar>
        <w:tblLook w:val="04A0" w:firstRow="1" w:lastRow="0" w:firstColumn="1" w:lastColumn="0" w:noHBand="0" w:noVBand="1"/>
      </w:tblPr>
      <w:tblGrid>
        <w:gridCol w:w="3010"/>
        <w:gridCol w:w="441"/>
        <w:gridCol w:w="441"/>
        <w:gridCol w:w="602"/>
        <w:gridCol w:w="603"/>
        <w:gridCol w:w="515"/>
        <w:gridCol w:w="654"/>
        <w:gridCol w:w="602"/>
        <w:gridCol w:w="865"/>
        <w:gridCol w:w="441"/>
        <w:gridCol w:w="445"/>
        <w:gridCol w:w="441"/>
      </w:tblGrid>
      <w:tr w:rsidR="00305594" w:rsidRPr="007F78CE" w14:paraId="1670FE28" w14:textId="77777777" w:rsidTr="00B434A6">
        <w:trPr>
          <w:trHeight w:val="300"/>
          <w:tblHeader/>
        </w:trPr>
        <w:tc>
          <w:tcPr>
            <w:tcW w:w="1666" w:type="pct"/>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8DB0827" w14:textId="77777777" w:rsidR="00305594" w:rsidRPr="00F841A8" w:rsidRDefault="00305594" w:rsidP="00F841A8">
            <w:pPr>
              <w:spacing w:after="0" w:line="240" w:lineRule="auto"/>
              <w:jc w:val="center"/>
              <w:rPr>
                <w:rFonts w:ascii="Arial" w:eastAsia="Times New Roman" w:hAnsi="Arial" w:cs="Arial"/>
                <w:b/>
                <w:bCs/>
                <w:color w:val="FFFFFF"/>
                <w:sz w:val="18"/>
                <w:szCs w:val="18"/>
                <w:lang w:eastAsia="fr-FR"/>
              </w:rPr>
            </w:pPr>
            <w:r w:rsidRPr="00F841A8">
              <w:rPr>
                <w:rFonts w:ascii="Arial" w:eastAsia="Times New Roman" w:hAnsi="Arial" w:cs="Arial"/>
                <w:b/>
                <w:bCs/>
                <w:color w:val="FFFFFF"/>
                <w:sz w:val="18"/>
                <w:szCs w:val="18"/>
                <w:lang w:eastAsia="fr-FR"/>
              </w:rPr>
              <w:t>Projet</w:t>
            </w:r>
          </w:p>
        </w:tc>
        <w:tc>
          <w:tcPr>
            <w:tcW w:w="1151" w:type="pct"/>
            <w:gridSpan w:val="4"/>
            <w:tcBorders>
              <w:top w:val="single" w:sz="4" w:space="0" w:color="auto"/>
              <w:left w:val="nil"/>
              <w:bottom w:val="single" w:sz="4" w:space="0" w:color="auto"/>
              <w:right w:val="single" w:sz="4" w:space="0" w:color="auto"/>
            </w:tcBorders>
            <w:shd w:val="clear" w:color="auto" w:fill="0070C0"/>
            <w:noWrap/>
            <w:vAlign w:val="center"/>
            <w:hideMark/>
          </w:tcPr>
          <w:p w14:paraId="55D47CA2" w14:textId="77777777" w:rsidR="00305594" w:rsidRPr="00F841A8" w:rsidRDefault="00305594" w:rsidP="00F841A8">
            <w:pPr>
              <w:spacing w:after="0" w:line="240" w:lineRule="auto"/>
              <w:jc w:val="center"/>
              <w:rPr>
                <w:rFonts w:ascii="Arial" w:eastAsia="Times New Roman" w:hAnsi="Arial" w:cs="Arial"/>
                <w:b/>
                <w:bCs/>
                <w:color w:val="FFFFFF"/>
                <w:sz w:val="18"/>
                <w:szCs w:val="18"/>
                <w:lang w:eastAsia="fr-FR"/>
              </w:rPr>
            </w:pPr>
            <w:r w:rsidRPr="00F841A8">
              <w:rPr>
                <w:rFonts w:ascii="Arial" w:eastAsia="Times New Roman" w:hAnsi="Arial" w:cs="Arial"/>
                <w:b/>
                <w:bCs/>
                <w:color w:val="FFFFFF"/>
                <w:sz w:val="18"/>
                <w:szCs w:val="18"/>
                <w:lang w:eastAsia="fr-FR"/>
              </w:rPr>
              <w:t>Physique</w:t>
            </w:r>
          </w:p>
        </w:tc>
        <w:tc>
          <w:tcPr>
            <w:tcW w:w="655" w:type="pct"/>
            <w:gridSpan w:val="2"/>
            <w:tcBorders>
              <w:top w:val="single" w:sz="4" w:space="0" w:color="auto"/>
              <w:left w:val="nil"/>
              <w:bottom w:val="single" w:sz="4" w:space="0" w:color="auto"/>
              <w:right w:val="single" w:sz="4" w:space="0" w:color="auto"/>
            </w:tcBorders>
            <w:shd w:val="clear" w:color="auto" w:fill="0070C0"/>
            <w:noWrap/>
            <w:vAlign w:val="center"/>
            <w:hideMark/>
          </w:tcPr>
          <w:p w14:paraId="53BE4318" w14:textId="77777777" w:rsidR="00305594" w:rsidRPr="00F841A8" w:rsidRDefault="00305594" w:rsidP="00F841A8">
            <w:pPr>
              <w:spacing w:after="0" w:line="240" w:lineRule="auto"/>
              <w:jc w:val="center"/>
              <w:rPr>
                <w:rFonts w:ascii="Arial" w:eastAsia="Times New Roman" w:hAnsi="Arial" w:cs="Arial"/>
                <w:b/>
                <w:bCs/>
                <w:color w:val="FFFFFF"/>
                <w:sz w:val="18"/>
                <w:szCs w:val="18"/>
                <w:lang w:eastAsia="fr-FR"/>
              </w:rPr>
            </w:pPr>
            <w:r w:rsidRPr="00F841A8">
              <w:rPr>
                <w:rFonts w:ascii="Arial" w:eastAsia="Times New Roman" w:hAnsi="Arial" w:cs="Arial"/>
                <w:b/>
                <w:bCs/>
                <w:color w:val="FFFFFF"/>
                <w:sz w:val="18"/>
                <w:szCs w:val="18"/>
                <w:lang w:eastAsia="fr-FR"/>
              </w:rPr>
              <w:t>Biologique</w:t>
            </w:r>
          </w:p>
        </w:tc>
        <w:tc>
          <w:tcPr>
            <w:tcW w:w="1528" w:type="pct"/>
            <w:gridSpan w:val="5"/>
            <w:tcBorders>
              <w:top w:val="single" w:sz="4" w:space="0" w:color="auto"/>
              <w:left w:val="nil"/>
              <w:bottom w:val="single" w:sz="4" w:space="0" w:color="auto"/>
              <w:right w:val="single" w:sz="4" w:space="0" w:color="auto"/>
            </w:tcBorders>
            <w:shd w:val="clear" w:color="auto" w:fill="0070C0"/>
            <w:noWrap/>
            <w:vAlign w:val="center"/>
            <w:hideMark/>
          </w:tcPr>
          <w:p w14:paraId="4520CD4E" w14:textId="77777777" w:rsidR="00305594" w:rsidRPr="00F841A8" w:rsidRDefault="00305594" w:rsidP="00F841A8">
            <w:pPr>
              <w:spacing w:after="0" w:line="240" w:lineRule="auto"/>
              <w:jc w:val="center"/>
              <w:rPr>
                <w:rFonts w:ascii="Arial" w:eastAsia="Times New Roman" w:hAnsi="Arial" w:cs="Arial"/>
                <w:b/>
                <w:bCs/>
                <w:color w:val="FFFFFF"/>
                <w:sz w:val="18"/>
                <w:szCs w:val="18"/>
                <w:lang w:eastAsia="fr-FR"/>
              </w:rPr>
            </w:pPr>
            <w:r w:rsidRPr="00F841A8">
              <w:rPr>
                <w:rFonts w:ascii="Arial" w:eastAsia="Times New Roman" w:hAnsi="Arial" w:cs="Arial"/>
                <w:b/>
                <w:bCs/>
                <w:color w:val="FFFFFF"/>
                <w:sz w:val="18"/>
                <w:szCs w:val="18"/>
                <w:lang w:eastAsia="fr-FR"/>
              </w:rPr>
              <w:t>Humain</w:t>
            </w:r>
          </w:p>
        </w:tc>
      </w:tr>
      <w:tr w:rsidR="00305594" w:rsidRPr="007F78CE" w14:paraId="5D55AEB7" w14:textId="77777777" w:rsidTr="00B434A6">
        <w:trPr>
          <w:trHeight w:val="2400"/>
          <w:tblHeader/>
        </w:trPr>
        <w:tc>
          <w:tcPr>
            <w:tcW w:w="1666" w:type="pct"/>
            <w:vMerge/>
            <w:vAlign w:val="center"/>
            <w:hideMark/>
          </w:tcPr>
          <w:p w14:paraId="07D30FB0" w14:textId="77777777" w:rsidR="00305594" w:rsidRPr="00F841A8" w:rsidRDefault="00305594" w:rsidP="00F841A8">
            <w:pPr>
              <w:spacing w:after="0" w:line="240" w:lineRule="auto"/>
              <w:rPr>
                <w:rFonts w:ascii="Arial" w:eastAsia="Times New Roman" w:hAnsi="Arial" w:cs="Arial"/>
                <w:b/>
                <w:bCs/>
                <w:color w:val="FFFFFF"/>
                <w:sz w:val="18"/>
                <w:szCs w:val="18"/>
                <w:lang w:eastAsia="fr-FR"/>
              </w:rPr>
            </w:pPr>
          </w:p>
        </w:tc>
        <w:tc>
          <w:tcPr>
            <w:tcW w:w="238" w:type="pct"/>
            <w:tcBorders>
              <w:top w:val="nil"/>
              <w:left w:val="nil"/>
              <w:bottom w:val="single" w:sz="4" w:space="0" w:color="auto"/>
              <w:right w:val="single" w:sz="4" w:space="0" w:color="auto"/>
            </w:tcBorders>
            <w:shd w:val="clear" w:color="auto" w:fill="0070C0"/>
            <w:textDirection w:val="btLr"/>
            <w:vAlign w:val="center"/>
            <w:hideMark/>
          </w:tcPr>
          <w:p w14:paraId="470D8D88" w14:textId="77777777" w:rsidR="00305594" w:rsidRPr="00F841A8" w:rsidRDefault="005F04D4" w:rsidP="00F841A8">
            <w:pPr>
              <w:spacing w:after="0" w:line="240" w:lineRule="auto"/>
              <w:jc w:val="center"/>
              <w:rPr>
                <w:rFonts w:ascii="Arial" w:eastAsia="Times New Roman" w:hAnsi="Arial" w:cs="Arial"/>
                <w:b/>
                <w:bCs/>
                <w:color w:val="FFFFFF"/>
                <w:sz w:val="18"/>
                <w:szCs w:val="18"/>
                <w:lang w:eastAsia="fr-FR"/>
              </w:rPr>
            </w:pPr>
            <w:r w:rsidRPr="0063584D">
              <w:rPr>
                <w:rFonts w:ascii="Arial" w:eastAsia="Times New Roman" w:hAnsi="Arial" w:cs="Arial"/>
                <w:b/>
                <w:bCs/>
                <w:color w:val="FFFFFF"/>
                <w:sz w:val="18"/>
                <w:szCs w:val="18"/>
                <w:lang w:eastAsia="fr-FR"/>
              </w:rPr>
              <w:t>Qualité</w:t>
            </w:r>
            <w:r w:rsidR="00305594" w:rsidRPr="0063584D">
              <w:rPr>
                <w:rFonts w:ascii="Arial" w:eastAsia="Times New Roman" w:hAnsi="Arial" w:cs="Arial"/>
                <w:b/>
                <w:bCs/>
                <w:color w:val="FFFFFF"/>
                <w:sz w:val="18"/>
                <w:szCs w:val="18"/>
                <w:lang w:eastAsia="fr-FR"/>
              </w:rPr>
              <w:t xml:space="preserve"> de l'air</w:t>
            </w:r>
          </w:p>
        </w:tc>
        <w:tc>
          <w:tcPr>
            <w:tcW w:w="238" w:type="pct"/>
            <w:tcBorders>
              <w:top w:val="nil"/>
              <w:left w:val="nil"/>
              <w:bottom w:val="single" w:sz="4" w:space="0" w:color="auto"/>
              <w:right w:val="single" w:sz="4" w:space="0" w:color="auto"/>
            </w:tcBorders>
            <w:shd w:val="clear" w:color="auto" w:fill="0070C0"/>
            <w:textDirection w:val="btLr"/>
            <w:vAlign w:val="center"/>
            <w:hideMark/>
          </w:tcPr>
          <w:p w14:paraId="6DFB75E4" w14:textId="77777777" w:rsidR="00305594" w:rsidRPr="00F841A8" w:rsidRDefault="00305594" w:rsidP="00F841A8">
            <w:pPr>
              <w:spacing w:after="0" w:line="240" w:lineRule="auto"/>
              <w:jc w:val="center"/>
              <w:rPr>
                <w:rFonts w:ascii="Arial" w:eastAsia="Times New Roman" w:hAnsi="Arial" w:cs="Arial"/>
                <w:b/>
                <w:bCs/>
                <w:color w:val="FFFFFF"/>
                <w:sz w:val="18"/>
                <w:szCs w:val="18"/>
                <w:lang w:eastAsia="fr-FR"/>
              </w:rPr>
            </w:pPr>
            <w:r w:rsidRPr="00F841A8">
              <w:rPr>
                <w:rFonts w:ascii="Arial" w:eastAsia="Times New Roman" w:hAnsi="Arial" w:cs="Arial"/>
                <w:b/>
                <w:bCs/>
                <w:color w:val="FFFFFF"/>
                <w:sz w:val="18"/>
                <w:szCs w:val="18"/>
                <w:lang w:eastAsia="fr-FR"/>
              </w:rPr>
              <w:t>Qualité de Sol</w:t>
            </w:r>
          </w:p>
        </w:tc>
        <w:tc>
          <w:tcPr>
            <w:tcW w:w="337" w:type="pct"/>
            <w:tcBorders>
              <w:top w:val="nil"/>
              <w:left w:val="nil"/>
              <w:bottom w:val="single" w:sz="4" w:space="0" w:color="auto"/>
              <w:right w:val="single" w:sz="4" w:space="0" w:color="auto"/>
            </w:tcBorders>
            <w:shd w:val="clear" w:color="auto" w:fill="0070C0"/>
            <w:textDirection w:val="btLr"/>
            <w:vAlign w:val="center"/>
            <w:hideMark/>
          </w:tcPr>
          <w:p w14:paraId="62E6A3B6" w14:textId="77777777" w:rsidR="00305594" w:rsidRPr="00F841A8" w:rsidRDefault="00305594" w:rsidP="00F841A8">
            <w:pPr>
              <w:spacing w:after="0" w:line="240" w:lineRule="auto"/>
              <w:jc w:val="center"/>
              <w:rPr>
                <w:rFonts w:ascii="Arial" w:eastAsia="Times New Roman" w:hAnsi="Arial" w:cs="Arial"/>
                <w:b/>
                <w:bCs/>
                <w:color w:val="FFFFFF"/>
                <w:sz w:val="18"/>
                <w:szCs w:val="18"/>
                <w:lang w:eastAsia="fr-FR"/>
              </w:rPr>
            </w:pPr>
            <w:r w:rsidRPr="00F841A8">
              <w:rPr>
                <w:rFonts w:ascii="Arial" w:eastAsia="Times New Roman" w:hAnsi="Arial" w:cs="Arial"/>
                <w:b/>
                <w:bCs/>
                <w:color w:val="FFFFFF"/>
                <w:sz w:val="18"/>
                <w:szCs w:val="18"/>
                <w:lang w:eastAsia="fr-FR"/>
              </w:rPr>
              <w:t>Qualité de l' Eau de surface</w:t>
            </w:r>
          </w:p>
        </w:tc>
        <w:tc>
          <w:tcPr>
            <w:tcW w:w="337" w:type="pct"/>
            <w:tcBorders>
              <w:top w:val="nil"/>
              <w:left w:val="nil"/>
              <w:bottom w:val="single" w:sz="4" w:space="0" w:color="auto"/>
              <w:right w:val="single" w:sz="4" w:space="0" w:color="auto"/>
            </w:tcBorders>
            <w:shd w:val="clear" w:color="auto" w:fill="0070C0"/>
            <w:textDirection w:val="btLr"/>
            <w:vAlign w:val="center"/>
            <w:hideMark/>
          </w:tcPr>
          <w:p w14:paraId="45236EEF" w14:textId="77777777" w:rsidR="00305594" w:rsidRPr="00F841A8" w:rsidRDefault="00305594" w:rsidP="00F841A8">
            <w:pPr>
              <w:spacing w:after="0" w:line="240" w:lineRule="auto"/>
              <w:jc w:val="center"/>
              <w:rPr>
                <w:rFonts w:ascii="Arial" w:eastAsia="Times New Roman" w:hAnsi="Arial" w:cs="Arial"/>
                <w:b/>
                <w:bCs/>
                <w:color w:val="FFFFFF"/>
                <w:sz w:val="18"/>
                <w:szCs w:val="18"/>
                <w:lang w:eastAsia="fr-FR"/>
              </w:rPr>
            </w:pPr>
            <w:r w:rsidRPr="00F841A8">
              <w:rPr>
                <w:rFonts w:ascii="Arial" w:eastAsia="Times New Roman" w:hAnsi="Arial" w:cs="Arial"/>
                <w:b/>
                <w:bCs/>
                <w:color w:val="FFFFFF"/>
                <w:sz w:val="18"/>
                <w:szCs w:val="18"/>
                <w:lang w:eastAsia="fr-FR"/>
              </w:rPr>
              <w:t>Qualité de l'Eau souterraine</w:t>
            </w:r>
          </w:p>
        </w:tc>
        <w:tc>
          <w:tcPr>
            <w:tcW w:w="289" w:type="pct"/>
            <w:tcBorders>
              <w:top w:val="nil"/>
              <w:left w:val="nil"/>
              <w:bottom w:val="single" w:sz="4" w:space="0" w:color="auto"/>
              <w:right w:val="single" w:sz="4" w:space="0" w:color="auto"/>
            </w:tcBorders>
            <w:shd w:val="clear" w:color="auto" w:fill="0070C0"/>
            <w:textDirection w:val="btLr"/>
            <w:vAlign w:val="center"/>
            <w:hideMark/>
          </w:tcPr>
          <w:p w14:paraId="7B639D4A" w14:textId="77777777" w:rsidR="00305594" w:rsidRPr="00F841A8" w:rsidRDefault="00305594" w:rsidP="00F841A8">
            <w:pPr>
              <w:spacing w:after="0" w:line="240" w:lineRule="auto"/>
              <w:jc w:val="center"/>
              <w:rPr>
                <w:rFonts w:ascii="Arial" w:eastAsia="Times New Roman" w:hAnsi="Arial" w:cs="Arial"/>
                <w:b/>
                <w:bCs/>
                <w:color w:val="FFFFFF"/>
                <w:sz w:val="18"/>
                <w:szCs w:val="18"/>
                <w:lang w:eastAsia="fr-FR"/>
              </w:rPr>
            </w:pPr>
            <w:r w:rsidRPr="00F841A8">
              <w:rPr>
                <w:rFonts w:ascii="Arial" w:eastAsia="Times New Roman" w:hAnsi="Arial" w:cs="Arial"/>
                <w:b/>
                <w:bCs/>
                <w:color w:val="FFFFFF"/>
                <w:sz w:val="18"/>
                <w:szCs w:val="18"/>
                <w:lang w:eastAsia="fr-FR"/>
              </w:rPr>
              <w:t>Végétation</w:t>
            </w:r>
          </w:p>
        </w:tc>
        <w:tc>
          <w:tcPr>
            <w:tcW w:w="366" w:type="pct"/>
            <w:tcBorders>
              <w:top w:val="nil"/>
              <w:left w:val="nil"/>
              <w:bottom w:val="single" w:sz="4" w:space="0" w:color="auto"/>
              <w:right w:val="single" w:sz="4" w:space="0" w:color="auto"/>
            </w:tcBorders>
            <w:shd w:val="clear" w:color="auto" w:fill="0070C0"/>
            <w:textDirection w:val="btLr"/>
            <w:vAlign w:val="center"/>
            <w:hideMark/>
          </w:tcPr>
          <w:p w14:paraId="37961140" w14:textId="77777777" w:rsidR="00305594" w:rsidRPr="00F841A8" w:rsidRDefault="005F04D4" w:rsidP="00F841A8">
            <w:pPr>
              <w:spacing w:after="0" w:line="240" w:lineRule="auto"/>
              <w:jc w:val="center"/>
              <w:rPr>
                <w:rFonts w:ascii="Arial" w:eastAsia="Times New Roman" w:hAnsi="Arial" w:cs="Arial"/>
                <w:b/>
                <w:bCs/>
                <w:color w:val="FFFFFF"/>
                <w:sz w:val="18"/>
                <w:szCs w:val="18"/>
                <w:lang w:eastAsia="fr-FR"/>
              </w:rPr>
            </w:pPr>
            <w:r>
              <w:rPr>
                <w:rFonts w:ascii="Arial" w:eastAsia="Times New Roman" w:hAnsi="Arial" w:cs="Arial"/>
                <w:b/>
                <w:bCs/>
                <w:color w:val="FFFFFF"/>
                <w:sz w:val="18"/>
                <w:szCs w:val="18"/>
                <w:lang w:eastAsia="fr-FR"/>
              </w:rPr>
              <w:t>E</w:t>
            </w:r>
            <w:r w:rsidR="00305594" w:rsidRPr="00F841A8">
              <w:rPr>
                <w:rFonts w:ascii="Arial" w:eastAsia="Times New Roman" w:hAnsi="Arial" w:cs="Arial"/>
                <w:b/>
                <w:bCs/>
                <w:color w:val="FFFFFF"/>
                <w:sz w:val="18"/>
                <w:szCs w:val="18"/>
                <w:lang w:eastAsia="fr-FR"/>
              </w:rPr>
              <w:t>spèces</w:t>
            </w:r>
          </w:p>
        </w:tc>
        <w:tc>
          <w:tcPr>
            <w:tcW w:w="337" w:type="pct"/>
            <w:tcBorders>
              <w:top w:val="nil"/>
              <w:left w:val="nil"/>
              <w:bottom w:val="single" w:sz="4" w:space="0" w:color="auto"/>
              <w:right w:val="single" w:sz="4" w:space="0" w:color="auto"/>
            </w:tcBorders>
            <w:shd w:val="clear" w:color="auto" w:fill="0070C0"/>
            <w:textDirection w:val="btLr"/>
            <w:vAlign w:val="center"/>
            <w:hideMark/>
          </w:tcPr>
          <w:p w14:paraId="13209759" w14:textId="77777777" w:rsidR="00305594" w:rsidRPr="00F841A8" w:rsidRDefault="00305594" w:rsidP="00F841A8">
            <w:pPr>
              <w:spacing w:after="0" w:line="240" w:lineRule="auto"/>
              <w:jc w:val="center"/>
              <w:rPr>
                <w:rFonts w:ascii="Arial" w:eastAsia="Times New Roman" w:hAnsi="Arial" w:cs="Arial"/>
                <w:b/>
                <w:bCs/>
                <w:color w:val="FFFFFF"/>
                <w:sz w:val="18"/>
                <w:szCs w:val="18"/>
                <w:lang w:eastAsia="fr-FR"/>
              </w:rPr>
            </w:pPr>
            <w:r w:rsidRPr="00F841A8">
              <w:rPr>
                <w:rFonts w:ascii="Arial" w:eastAsia="Times New Roman" w:hAnsi="Arial" w:cs="Arial"/>
                <w:b/>
                <w:bCs/>
                <w:color w:val="FFFFFF"/>
                <w:sz w:val="18"/>
                <w:szCs w:val="18"/>
                <w:lang w:eastAsia="fr-FR"/>
              </w:rPr>
              <w:t>Infrastructure et bien personnel</w:t>
            </w:r>
          </w:p>
        </w:tc>
        <w:tc>
          <w:tcPr>
            <w:tcW w:w="482" w:type="pct"/>
            <w:tcBorders>
              <w:top w:val="nil"/>
              <w:left w:val="nil"/>
              <w:bottom w:val="single" w:sz="4" w:space="0" w:color="auto"/>
              <w:right w:val="single" w:sz="4" w:space="0" w:color="auto"/>
            </w:tcBorders>
            <w:shd w:val="clear" w:color="auto" w:fill="0070C0"/>
            <w:textDirection w:val="btLr"/>
            <w:vAlign w:val="center"/>
            <w:hideMark/>
          </w:tcPr>
          <w:p w14:paraId="645AF5AA" w14:textId="77777777" w:rsidR="00305594" w:rsidRPr="00F841A8" w:rsidRDefault="00305594" w:rsidP="00F841A8">
            <w:pPr>
              <w:spacing w:after="0" w:line="240" w:lineRule="auto"/>
              <w:jc w:val="center"/>
              <w:rPr>
                <w:rFonts w:ascii="Arial" w:eastAsia="Times New Roman" w:hAnsi="Arial" w:cs="Arial"/>
                <w:b/>
                <w:bCs/>
                <w:color w:val="FFFFFF"/>
                <w:sz w:val="18"/>
                <w:szCs w:val="18"/>
                <w:lang w:eastAsia="fr-FR"/>
              </w:rPr>
            </w:pPr>
            <w:r w:rsidRPr="00F841A8">
              <w:rPr>
                <w:rFonts w:ascii="Arial" w:eastAsia="Times New Roman" w:hAnsi="Arial" w:cs="Arial"/>
                <w:b/>
                <w:bCs/>
                <w:color w:val="FFFFFF"/>
                <w:sz w:val="18"/>
                <w:szCs w:val="18"/>
                <w:lang w:eastAsia="fr-FR"/>
              </w:rPr>
              <w:t>Activités économiques et moyens de subsistance</w:t>
            </w:r>
          </w:p>
        </w:tc>
        <w:tc>
          <w:tcPr>
            <w:tcW w:w="230" w:type="pct"/>
            <w:tcBorders>
              <w:top w:val="nil"/>
              <w:left w:val="nil"/>
              <w:bottom w:val="single" w:sz="4" w:space="0" w:color="auto"/>
              <w:right w:val="single" w:sz="4" w:space="0" w:color="auto"/>
            </w:tcBorders>
            <w:shd w:val="clear" w:color="auto" w:fill="0070C0"/>
            <w:textDirection w:val="btLr"/>
            <w:vAlign w:val="center"/>
            <w:hideMark/>
          </w:tcPr>
          <w:p w14:paraId="108F6DC7" w14:textId="77777777" w:rsidR="00305594" w:rsidRPr="00F841A8" w:rsidRDefault="00305594" w:rsidP="00F841A8">
            <w:pPr>
              <w:spacing w:after="0" w:line="240" w:lineRule="auto"/>
              <w:jc w:val="center"/>
              <w:rPr>
                <w:rFonts w:ascii="Arial" w:eastAsia="Times New Roman" w:hAnsi="Arial" w:cs="Arial"/>
                <w:b/>
                <w:bCs/>
                <w:color w:val="FFFFFF"/>
                <w:sz w:val="18"/>
                <w:szCs w:val="18"/>
                <w:lang w:eastAsia="fr-FR"/>
              </w:rPr>
            </w:pPr>
            <w:r w:rsidRPr="00F841A8">
              <w:rPr>
                <w:rFonts w:ascii="Arial" w:eastAsia="Times New Roman" w:hAnsi="Arial" w:cs="Arial"/>
                <w:b/>
                <w:bCs/>
                <w:color w:val="FFFFFF"/>
                <w:sz w:val="18"/>
                <w:szCs w:val="18"/>
                <w:lang w:eastAsia="fr-FR"/>
              </w:rPr>
              <w:t>cadre de vie et bien être</w:t>
            </w:r>
          </w:p>
        </w:tc>
        <w:tc>
          <w:tcPr>
            <w:tcW w:w="250" w:type="pct"/>
            <w:tcBorders>
              <w:top w:val="nil"/>
              <w:left w:val="nil"/>
              <w:bottom w:val="single" w:sz="4" w:space="0" w:color="auto"/>
              <w:right w:val="single" w:sz="4" w:space="0" w:color="auto"/>
            </w:tcBorders>
            <w:shd w:val="clear" w:color="auto" w:fill="0070C0"/>
            <w:textDirection w:val="btLr"/>
            <w:vAlign w:val="center"/>
            <w:hideMark/>
          </w:tcPr>
          <w:p w14:paraId="697317CC" w14:textId="77777777" w:rsidR="00305594" w:rsidRPr="00F841A8" w:rsidRDefault="00305594" w:rsidP="00F841A8">
            <w:pPr>
              <w:spacing w:after="0" w:line="240" w:lineRule="auto"/>
              <w:jc w:val="center"/>
              <w:rPr>
                <w:rFonts w:ascii="Arial" w:eastAsia="Times New Roman" w:hAnsi="Arial" w:cs="Arial"/>
                <w:b/>
                <w:bCs/>
                <w:color w:val="FFFFFF"/>
                <w:sz w:val="18"/>
                <w:szCs w:val="18"/>
                <w:lang w:eastAsia="fr-FR"/>
              </w:rPr>
            </w:pPr>
            <w:r w:rsidRPr="00F841A8">
              <w:rPr>
                <w:rFonts w:ascii="Arial" w:eastAsia="Times New Roman" w:hAnsi="Arial" w:cs="Arial"/>
                <w:b/>
                <w:bCs/>
                <w:color w:val="FFFFFF"/>
                <w:sz w:val="18"/>
                <w:szCs w:val="18"/>
                <w:lang w:eastAsia="fr-FR"/>
              </w:rPr>
              <w:t>Us et Coutume</w:t>
            </w:r>
          </w:p>
        </w:tc>
        <w:tc>
          <w:tcPr>
            <w:tcW w:w="230" w:type="pct"/>
            <w:tcBorders>
              <w:top w:val="nil"/>
              <w:left w:val="nil"/>
              <w:bottom w:val="single" w:sz="4" w:space="0" w:color="auto"/>
              <w:right w:val="single" w:sz="4" w:space="0" w:color="auto"/>
            </w:tcBorders>
            <w:shd w:val="clear" w:color="auto" w:fill="0070C0"/>
            <w:textDirection w:val="btLr"/>
            <w:vAlign w:val="center"/>
            <w:hideMark/>
          </w:tcPr>
          <w:p w14:paraId="7F64E943" w14:textId="77777777" w:rsidR="00305594" w:rsidRPr="00F841A8" w:rsidRDefault="00305594" w:rsidP="00F841A8">
            <w:pPr>
              <w:spacing w:after="0" w:line="240" w:lineRule="auto"/>
              <w:jc w:val="center"/>
              <w:rPr>
                <w:rFonts w:ascii="Arial" w:eastAsia="Times New Roman" w:hAnsi="Arial" w:cs="Arial"/>
                <w:b/>
                <w:bCs/>
                <w:color w:val="FFFFFF"/>
                <w:sz w:val="18"/>
                <w:szCs w:val="18"/>
                <w:lang w:eastAsia="fr-FR"/>
              </w:rPr>
            </w:pPr>
            <w:r w:rsidRPr="00F841A8">
              <w:rPr>
                <w:rFonts w:ascii="Arial" w:eastAsia="Times New Roman" w:hAnsi="Arial" w:cs="Arial"/>
                <w:b/>
                <w:bCs/>
                <w:color w:val="FFFFFF"/>
                <w:sz w:val="18"/>
                <w:szCs w:val="18"/>
                <w:lang w:eastAsia="fr-FR"/>
              </w:rPr>
              <w:t>Santé et sécurité</w:t>
            </w:r>
          </w:p>
        </w:tc>
      </w:tr>
      <w:tr w:rsidR="00305594" w:rsidRPr="007F78CE" w14:paraId="463001AE" w14:textId="77777777" w:rsidTr="00F841A8">
        <w:trPr>
          <w:trHeight w:val="30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B1C9A97"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PAGOSE</w:t>
            </w:r>
          </w:p>
        </w:tc>
        <w:tc>
          <w:tcPr>
            <w:tcW w:w="238" w:type="pct"/>
            <w:tcBorders>
              <w:top w:val="nil"/>
              <w:left w:val="nil"/>
              <w:bottom w:val="single" w:sz="4" w:space="0" w:color="auto"/>
              <w:right w:val="single" w:sz="4" w:space="0" w:color="auto"/>
            </w:tcBorders>
            <w:shd w:val="clear" w:color="auto" w:fill="00B050"/>
            <w:noWrap/>
            <w:vAlign w:val="center"/>
            <w:hideMark/>
          </w:tcPr>
          <w:p w14:paraId="53637336"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238" w:type="pct"/>
            <w:tcBorders>
              <w:top w:val="nil"/>
              <w:left w:val="nil"/>
              <w:bottom w:val="single" w:sz="4" w:space="0" w:color="auto"/>
              <w:right w:val="single" w:sz="4" w:space="0" w:color="auto"/>
            </w:tcBorders>
            <w:shd w:val="clear" w:color="auto" w:fill="00B050"/>
            <w:noWrap/>
            <w:vAlign w:val="center"/>
            <w:hideMark/>
          </w:tcPr>
          <w:p w14:paraId="2947CF16"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337" w:type="pct"/>
            <w:tcBorders>
              <w:top w:val="nil"/>
              <w:left w:val="nil"/>
              <w:bottom w:val="single" w:sz="4" w:space="0" w:color="auto"/>
              <w:right w:val="single" w:sz="4" w:space="0" w:color="auto"/>
            </w:tcBorders>
            <w:shd w:val="clear" w:color="auto" w:fill="00B050"/>
            <w:noWrap/>
            <w:vAlign w:val="center"/>
            <w:hideMark/>
          </w:tcPr>
          <w:p w14:paraId="42E04B1F"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337" w:type="pct"/>
            <w:tcBorders>
              <w:top w:val="nil"/>
              <w:left w:val="nil"/>
              <w:bottom w:val="single" w:sz="4" w:space="0" w:color="auto"/>
              <w:right w:val="single" w:sz="4" w:space="0" w:color="auto"/>
            </w:tcBorders>
            <w:shd w:val="clear" w:color="auto" w:fill="00B050"/>
            <w:noWrap/>
            <w:vAlign w:val="center"/>
            <w:hideMark/>
          </w:tcPr>
          <w:p w14:paraId="31AEACB8"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289" w:type="pct"/>
            <w:tcBorders>
              <w:top w:val="nil"/>
              <w:left w:val="nil"/>
              <w:bottom w:val="single" w:sz="4" w:space="0" w:color="auto"/>
              <w:right w:val="single" w:sz="4" w:space="0" w:color="auto"/>
            </w:tcBorders>
            <w:shd w:val="clear" w:color="auto" w:fill="00B050"/>
            <w:noWrap/>
            <w:vAlign w:val="center"/>
            <w:hideMark/>
          </w:tcPr>
          <w:p w14:paraId="1524DB20"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366" w:type="pct"/>
            <w:tcBorders>
              <w:top w:val="nil"/>
              <w:left w:val="nil"/>
              <w:bottom w:val="single" w:sz="4" w:space="0" w:color="auto"/>
              <w:right w:val="single" w:sz="4" w:space="0" w:color="auto"/>
            </w:tcBorders>
            <w:shd w:val="clear" w:color="auto" w:fill="00B050"/>
            <w:noWrap/>
            <w:vAlign w:val="center"/>
            <w:hideMark/>
          </w:tcPr>
          <w:p w14:paraId="41F70AA7"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337" w:type="pct"/>
            <w:tcBorders>
              <w:top w:val="nil"/>
              <w:left w:val="nil"/>
              <w:bottom w:val="single" w:sz="4" w:space="0" w:color="auto"/>
              <w:right w:val="single" w:sz="4" w:space="0" w:color="auto"/>
            </w:tcBorders>
            <w:shd w:val="clear" w:color="auto" w:fill="00B050"/>
            <w:noWrap/>
            <w:vAlign w:val="center"/>
            <w:hideMark/>
          </w:tcPr>
          <w:p w14:paraId="3D609311"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482" w:type="pct"/>
            <w:tcBorders>
              <w:top w:val="nil"/>
              <w:left w:val="nil"/>
              <w:bottom w:val="single" w:sz="4" w:space="0" w:color="auto"/>
              <w:right w:val="single" w:sz="4" w:space="0" w:color="auto"/>
            </w:tcBorders>
            <w:shd w:val="clear" w:color="auto" w:fill="auto"/>
            <w:noWrap/>
            <w:vAlign w:val="center"/>
            <w:hideMark/>
          </w:tcPr>
          <w:p w14:paraId="3CF6CA51"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Po</w:t>
            </w:r>
          </w:p>
        </w:tc>
        <w:tc>
          <w:tcPr>
            <w:tcW w:w="230" w:type="pct"/>
            <w:tcBorders>
              <w:top w:val="nil"/>
              <w:left w:val="nil"/>
              <w:bottom w:val="single" w:sz="4" w:space="0" w:color="auto"/>
              <w:right w:val="single" w:sz="4" w:space="0" w:color="auto"/>
            </w:tcBorders>
            <w:shd w:val="clear" w:color="auto" w:fill="auto"/>
            <w:noWrap/>
            <w:vAlign w:val="center"/>
            <w:hideMark/>
          </w:tcPr>
          <w:p w14:paraId="62BC68C7"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250" w:type="pct"/>
            <w:tcBorders>
              <w:top w:val="nil"/>
              <w:left w:val="nil"/>
              <w:bottom w:val="single" w:sz="4" w:space="0" w:color="auto"/>
              <w:right w:val="single" w:sz="4" w:space="0" w:color="auto"/>
            </w:tcBorders>
            <w:shd w:val="clear" w:color="auto" w:fill="auto"/>
            <w:noWrap/>
            <w:vAlign w:val="center"/>
            <w:hideMark/>
          </w:tcPr>
          <w:p w14:paraId="710C94F3"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230" w:type="pct"/>
            <w:tcBorders>
              <w:top w:val="nil"/>
              <w:left w:val="nil"/>
              <w:bottom w:val="single" w:sz="4" w:space="0" w:color="auto"/>
              <w:right w:val="single" w:sz="4" w:space="0" w:color="auto"/>
            </w:tcBorders>
            <w:shd w:val="clear" w:color="auto" w:fill="auto"/>
            <w:noWrap/>
            <w:vAlign w:val="center"/>
            <w:hideMark/>
          </w:tcPr>
          <w:p w14:paraId="0ABB1562"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r>
      <w:tr w:rsidR="00305594" w:rsidRPr="007F78CE" w14:paraId="1060DAFB" w14:textId="77777777" w:rsidTr="58DCDDAF">
        <w:trPr>
          <w:trHeight w:val="30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ABD4914" w14:textId="77777777" w:rsidR="00305594" w:rsidRPr="00F841A8" w:rsidRDefault="558105B7" w:rsidP="00F841A8">
            <w:pPr>
              <w:spacing w:after="0" w:line="240" w:lineRule="auto"/>
              <w:rPr>
                <w:rFonts w:ascii="Arial" w:eastAsia="Times New Roman" w:hAnsi="Arial" w:cs="Arial"/>
                <w:color w:val="000000"/>
                <w:sz w:val="18"/>
                <w:szCs w:val="18"/>
                <w:lang w:eastAsia="fr-FR"/>
              </w:rPr>
            </w:pPr>
            <w:r w:rsidRPr="005D6D41">
              <w:rPr>
                <w:rFonts w:ascii="Arial" w:eastAsia="Times New Roman" w:hAnsi="Arial" w:cs="Arial"/>
                <w:color w:val="000000"/>
                <w:sz w:val="18"/>
                <w:szCs w:val="18"/>
                <w:lang w:eastAsia="fr-FR"/>
              </w:rPr>
              <w:t>PRIRT</w:t>
            </w:r>
            <w:r w:rsidR="627076A4" w:rsidRPr="005D6D41">
              <w:rPr>
                <w:rFonts w:ascii="Arial" w:eastAsia="Times New Roman" w:hAnsi="Arial" w:cs="Arial"/>
                <w:color w:val="000000"/>
                <w:sz w:val="18"/>
                <w:szCs w:val="18"/>
                <w:lang w:eastAsia="fr-FR"/>
              </w:rPr>
              <w:t>E</w:t>
            </w:r>
            <w:r w:rsidRPr="005D6D41">
              <w:rPr>
                <w:rFonts w:ascii="Arial" w:eastAsia="Times New Roman" w:hAnsi="Arial" w:cs="Arial"/>
                <w:color w:val="000000"/>
                <w:sz w:val="18"/>
                <w:szCs w:val="18"/>
                <w:lang w:eastAsia="fr-FR"/>
              </w:rPr>
              <w:t>M 1</w:t>
            </w:r>
          </w:p>
        </w:tc>
        <w:tc>
          <w:tcPr>
            <w:tcW w:w="238" w:type="pct"/>
            <w:tcBorders>
              <w:top w:val="nil"/>
              <w:left w:val="nil"/>
              <w:bottom w:val="single" w:sz="4" w:space="0" w:color="auto"/>
              <w:right w:val="single" w:sz="4" w:space="0" w:color="auto"/>
            </w:tcBorders>
            <w:shd w:val="clear" w:color="auto" w:fill="00B050"/>
            <w:noWrap/>
            <w:vAlign w:val="center"/>
            <w:hideMark/>
          </w:tcPr>
          <w:p w14:paraId="0AA94814"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238" w:type="pct"/>
            <w:tcBorders>
              <w:top w:val="nil"/>
              <w:left w:val="nil"/>
              <w:bottom w:val="single" w:sz="4" w:space="0" w:color="auto"/>
              <w:right w:val="single" w:sz="4" w:space="0" w:color="auto"/>
            </w:tcBorders>
            <w:shd w:val="clear" w:color="auto" w:fill="auto"/>
            <w:noWrap/>
            <w:vAlign w:val="center"/>
            <w:hideMark/>
          </w:tcPr>
          <w:p w14:paraId="1B3EE981"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337" w:type="pct"/>
            <w:tcBorders>
              <w:top w:val="nil"/>
              <w:left w:val="nil"/>
              <w:bottom w:val="single" w:sz="4" w:space="0" w:color="auto"/>
              <w:right w:val="single" w:sz="4" w:space="0" w:color="auto"/>
            </w:tcBorders>
            <w:shd w:val="clear" w:color="auto" w:fill="00B050"/>
            <w:noWrap/>
            <w:vAlign w:val="center"/>
            <w:hideMark/>
          </w:tcPr>
          <w:p w14:paraId="5790C338"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337" w:type="pct"/>
            <w:tcBorders>
              <w:top w:val="nil"/>
              <w:left w:val="nil"/>
              <w:bottom w:val="single" w:sz="4" w:space="0" w:color="auto"/>
              <w:right w:val="single" w:sz="4" w:space="0" w:color="auto"/>
            </w:tcBorders>
            <w:shd w:val="clear" w:color="auto" w:fill="00B050"/>
            <w:noWrap/>
            <w:vAlign w:val="center"/>
            <w:hideMark/>
          </w:tcPr>
          <w:p w14:paraId="679E0E83"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289" w:type="pct"/>
            <w:tcBorders>
              <w:top w:val="nil"/>
              <w:left w:val="nil"/>
              <w:bottom w:val="single" w:sz="4" w:space="0" w:color="auto"/>
              <w:right w:val="single" w:sz="4" w:space="0" w:color="auto"/>
            </w:tcBorders>
            <w:shd w:val="clear" w:color="auto" w:fill="00B050"/>
            <w:noWrap/>
            <w:vAlign w:val="center"/>
            <w:hideMark/>
          </w:tcPr>
          <w:p w14:paraId="359FA942"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366" w:type="pct"/>
            <w:tcBorders>
              <w:top w:val="nil"/>
              <w:left w:val="nil"/>
              <w:bottom w:val="single" w:sz="4" w:space="0" w:color="auto"/>
              <w:right w:val="single" w:sz="4" w:space="0" w:color="auto"/>
            </w:tcBorders>
            <w:shd w:val="clear" w:color="auto" w:fill="00B050"/>
            <w:noWrap/>
            <w:vAlign w:val="center"/>
            <w:hideMark/>
          </w:tcPr>
          <w:p w14:paraId="492D1182"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337" w:type="pct"/>
            <w:tcBorders>
              <w:top w:val="nil"/>
              <w:left w:val="nil"/>
              <w:bottom w:val="single" w:sz="4" w:space="0" w:color="auto"/>
              <w:right w:val="single" w:sz="4" w:space="0" w:color="auto"/>
            </w:tcBorders>
            <w:shd w:val="clear" w:color="auto" w:fill="FFFF00"/>
            <w:noWrap/>
            <w:vAlign w:val="center"/>
            <w:hideMark/>
          </w:tcPr>
          <w:p w14:paraId="61057B78"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Mo</w:t>
            </w:r>
          </w:p>
        </w:tc>
        <w:tc>
          <w:tcPr>
            <w:tcW w:w="482" w:type="pct"/>
            <w:tcBorders>
              <w:top w:val="nil"/>
              <w:left w:val="nil"/>
              <w:bottom w:val="single" w:sz="4" w:space="0" w:color="auto"/>
              <w:right w:val="single" w:sz="4" w:space="0" w:color="auto"/>
            </w:tcBorders>
            <w:shd w:val="clear" w:color="auto" w:fill="auto"/>
            <w:noWrap/>
            <w:vAlign w:val="center"/>
            <w:hideMark/>
          </w:tcPr>
          <w:p w14:paraId="2A5EA33B"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Po</w:t>
            </w:r>
          </w:p>
        </w:tc>
        <w:tc>
          <w:tcPr>
            <w:tcW w:w="230" w:type="pct"/>
            <w:tcBorders>
              <w:top w:val="nil"/>
              <w:left w:val="nil"/>
              <w:bottom w:val="single" w:sz="4" w:space="0" w:color="auto"/>
              <w:right w:val="single" w:sz="4" w:space="0" w:color="auto"/>
            </w:tcBorders>
            <w:shd w:val="clear" w:color="auto" w:fill="auto"/>
            <w:noWrap/>
            <w:vAlign w:val="center"/>
            <w:hideMark/>
          </w:tcPr>
          <w:p w14:paraId="0BA8D2D9"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250" w:type="pct"/>
            <w:tcBorders>
              <w:top w:val="nil"/>
              <w:left w:val="nil"/>
              <w:bottom w:val="single" w:sz="4" w:space="0" w:color="auto"/>
              <w:right w:val="single" w:sz="4" w:space="0" w:color="auto"/>
            </w:tcBorders>
            <w:shd w:val="clear" w:color="auto" w:fill="auto"/>
            <w:noWrap/>
            <w:vAlign w:val="center"/>
            <w:hideMark/>
          </w:tcPr>
          <w:p w14:paraId="66AD7C16"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230" w:type="pct"/>
            <w:tcBorders>
              <w:top w:val="nil"/>
              <w:left w:val="nil"/>
              <w:bottom w:val="single" w:sz="4" w:space="0" w:color="auto"/>
              <w:right w:val="single" w:sz="4" w:space="0" w:color="auto"/>
            </w:tcBorders>
            <w:shd w:val="clear" w:color="auto" w:fill="auto"/>
            <w:noWrap/>
            <w:vAlign w:val="center"/>
            <w:hideMark/>
          </w:tcPr>
          <w:p w14:paraId="287E4D1B"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r>
      <w:tr w:rsidR="00305594" w:rsidRPr="007F78CE" w14:paraId="0583CEDE" w14:textId="77777777" w:rsidTr="58DCDDAF">
        <w:trPr>
          <w:trHeight w:val="30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EBD7E50" w14:textId="77777777" w:rsidR="00305594" w:rsidRPr="00F841A8" w:rsidRDefault="558105B7" w:rsidP="00F841A8">
            <w:pPr>
              <w:spacing w:after="0" w:line="240" w:lineRule="auto"/>
              <w:rPr>
                <w:rFonts w:ascii="Arial" w:eastAsia="Times New Roman" w:hAnsi="Arial" w:cs="Arial"/>
                <w:color w:val="000000"/>
                <w:sz w:val="18"/>
                <w:szCs w:val="18"/>
                <w:lang w:eastAsia="fr-FR"/>
              </w:rPr>
            </w:pPr>
            <w:r w:rsidRPr="005D6D41">
              <w:rPr>
                <w:rFonts w:ascii="Arial" w:eastAsia="Times New Roman" w:hAnsi="Arial" w:cs="Arial"/>
                <w:color w:val="000000"/>
                <w:sz w:val="18"/>
                <w:szCs w:val="18"/>
                <w:lang w:eastAsia="fr-FR"/>
              </w:rPr>
              <w:t>PRIRT</w:t>
            </w:r>
            <w:r w:rsidR="11E0E8D3" w:rsidRPr="005D6D41">
              <w:rPr>
                <w:rFonts w:ascii="Arial" w:eastAsia="Times New Roman" w:hAnsi="Arial" w:cs="Arial"/>
                <w:color w:val="000000"/>
                <w:sz w:val="18"/>
                <w:szCs w:val="18"/>
                <w:lang w:eastAsia="fr-FR"/>
              </w:rPr>
              <w:t>E</w:t>
            </w:r>
            <w:r w:rsidRPr="005D6D41">
              <w:rPr>
                <w:rFonts w:ascii="Arial" w:eastAsia="Times New Roman" w:hAnsi="Arial" w:cs="Arial"/>
                <w:color w:val="000000"/>
                <w:sz w:val="18"/>
                <w:szCs w:val="18"/>
                <w:lang w:eastAsia="fr-FR"/>
              </w:rPr>
              <w:t>M 2</w:t>
            </w:r>
          </w:p>
        </w:tc>
        <w:tc>
          <w:tcPr>
            <w:tcW w:w="238" w:type="pct"/>
            <w:tcBorders>
              <w:top w:val="nil"/>
              <w:left w:val="nil"/>
              <w:bottom w:val="single" w:sz="4" w:space="0" w:color="auto"/>
              <w:right w:val="single" w:sz="4" w:space="0" w:color="auto"/>
            </w:tcBorders>
            <w:shd w:val="clear" w:color="auto" w:fill="00B050"/>
            <w:noWrap/>
            <w:vAlign w:val="center"/>
            <w:hideMark/>
          </w:tcPr>
          <w:p w14:paraId="76A3A690"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238" w:type="pct"/>
            <w:tcBorders>
              <w:top w:val="nil"/>
              <w:left w:val="nil"/>
              <w:bottom w:val="single" w:sz="4" w:space="0" w:color="auto"/>
              <w:right w:val="single" w:sz="4" w:space="0" w:color="auto"/>
            </w:tcBorders>
            <w:shd w:val="clear" w:color="auto" w:fill="auto"/>
            <w:noWrap/>
            <w:vAlign w:val="center"/>
            <w:hideMark/>
          </w:tcPr>
          <w:p w14:paraId="7F39EAE7"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337" w:type="pct"/>
            <w:tcBorders>
              <w:top w:val="nil"/>
              <w:left w:val="nil"/>
              <w:bottom w:val="single" w:sz="4" w:space="0" w:color="auto"/>
              <w:right w:val="single" w:sz="4" w:space="0" w:color="auto"/>
            </w:tcBorders>
            <w:shd w:val="clear" w:color="auto" w:fill="00B050"/>
            <w:noWrap/>
            <w:vAlign w:val="center"/>
            <w:hideMark/>
          </w:tcPr>
          <w:p w14:paraId="6BF5A537"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337" w:type="pct"/>
            <w:tcBorders>
              <w:top w:val="nil"/>
              <w:left w:val="nil"/>
              <w:bottom w:val="single" w:sz="4" w:space="0" w:color="auto"/>
              <w:right w:val="single" w:sz="4" w:space="0" w:color="auto"/>
            </w:tcBorders>
            <w:shd w:val="clear" w:color="auto" w:fill="00B050"/>
            <w:noWrap/>
            <w:vAlign w:val="center"/>
            <w:hideMark/>
          </w:tcPr>
          <w:p w14:paraId="49D00E37"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289" w:type="pct"/>
            <w:tcBorders>
              <w:top w:val="nil"/>
              <w:left w:val="nil"/>
              <w:bottom w:val="single" w:sz="4" w:space="0" w:color="auto"/>
              <w:right w:val="single" w:sz="4" w:space="0" w:color="auto"/>
            </w:tcBorders>
            <w:shd w:val="clear" w:color="auto" w:fill="00B050"/>
            <w:noWrap/>
            <w:vAlign w:val="center"/>
            <w:hideMark/>
          </w:tcPr>
          <w:p w14:paraId="4DBE28B9"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366" w:type="pct"/>
            <w:tcBorders>
              <w:top w:val="nil"/>
              <w:left w:val="nil"/>
              <w:bottom w:val="single" w:sz="4" w:space="0" w:color="auto"/>
              <w:right w:val="single" w:sz="4" w:space="0" w:color="auto"/>
            </w:tcBorders>
            <w:shd w:val="clear" w:color="auto" w:fill="00B050"/>
            <w:noWrap/>
            <w:vAlign w:val="center"/>
            <w:hideMark/>
          </w:tcPr>
          <w:p w14:paraId="132D2BC2"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337" w:type="pct"/>
            <w:tcBorders>
              <w:top w:val="nil"/>
              <w:left w:val="nil"/>
              <w:bottom w:val="single" w:sz="4" w:space="0" w:color="auto"/>
              <w:right w:val="single" w:sz="4" w:space="0" w:color="auto"/>
            </w:tcBorders>
            <w:shd w:val="clear" w:color="auto" w:fill="FFFF00"/>
            <w:noWrap/>
            <w:vAlign w:val="center"/>
            <w:hideMark/>
          </w:tcPr>
          <w:p w14:paraId="46F47031"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Mo</w:t>
            </w:r>
          </w:p>
        </w:tc>
        <w:tc>
          <w:tcPr>
            <w:tcW w:w="482" w:type="pct"/>
            <w:tcBorders>
              <w:top w:val="nil"/>
              <w:left w:val="nil"/>
              <w:bottom w:val="single" w:sz="4" w:space="0" w:color="auto"/>
              <w:right w:val="single" w:sz="4" w:space="0" w:color="auto"/>
            </w:tcBorders>
            <w:shd w:val="clear" w:color="auto" w:fill="auto"/>
            <w:noWrap/>
            <w:vAlign w:val="center"/>
            <w:hideMark/>
          </w:tcPr>
          <w:p w14:paraId="2A80E2EA"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Po</w:t>
            </w:r>
          </w:p>
        </w:tc>
        <w:tc>
          <w:tcPr>
            <w:tcW w:w="230" w:type="pct"/>
            <w:tcBorders>
              <w:top w:val="nil"/>
              <w:left w:val="nil"/>
              <w:bottom w:val="single" w:sz="4" w:space="0" w:color="auto"/>
              <w:right w:val="single" w:sz="4" w:space="0" w:color="auto"/>
            </w:tcBorders>
            <w:shd w:val="clear" w:color="auto" w:fill="auto"/>
            <w:noWrap/>
            <w:vAlign w:val="center"/>
            <w:hideMark/>
          </w:tcPr>
          <w:p w14:paraId="2D8E000E"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250" w:type="pct"/>
            <w:tcBorders>
              <w:top w:val="nil"/>
              <w:left w:val="nil"/>
              <w:bottom w:val="single" w:sz="4" w:space="0" w:color="auto"/>
              <w:right w:val="single" w:sz="4" w:space="0" w:color="auto"/>
            </w:tcBorders>
            <w:shd w:val="clear" w:color="auto" w:fill="auto"/>
            <w:noWrap/>
            <w:vAlign w:val="center"/>
            <w:hideMark/>
          </w:tcPr>
          <w:p w14:paraId="3BA4D2C8"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230" w:type="pct"/>
            <w:tcBorders>
              <w:top w:val="nil"/>
              <w:left w:val="nil"/>
              <w:bottom w:val="single" w:sz="4" w:space="0" w:color="auto"/>
              <w:right w:val="single" w:sz="4" w:space="0" w:color="auto"/>
            </w:tcBorders>
            <w:shd w:val="clear" w:color="auto" w:fill="auto"/>
            <w:noWrap/>
            <w:vAlign w:val="center"/>
            <w:hideMark/>
          </w:tcPr>
          <w:p w14:paraId="3D371740"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r>
      <w:tr w:rsidR="00305594" w:rsidRPr="007F78CE" w14:paraId="7BDBB2A8" w14:textId="77777777" w:rsidTr="58DCDDAF">
        <w:trPr>
          <w:trHeight w:val="30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CA3BB3E"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FINEXPO</w:t>
            </w:r>
          </w:p>
        </w:tc>
        <w:tc>
          <w:tcPr>
            <w:tcW w:w="238" w:type="pct"/>
            <w:tcBorders>
              <w:top w:val="nil"/>
              <w:left w:val="nil"/>
              <w:bottom w:val="single" w:sz="4" w:space="0" w:color="auto"/>
              <w:right w:val="single" w:sz="4" w:space="0" w:color="auto"/>
            </w:tcBorders>
            <w:shd w:val="clear" w:color="auto" w:fill="00B050"/>
            <w:noWrap/>
            <w:vAlign w:val="center"/>
            <w:hideMark/>
          </w:tcPr>
          <w:p w14:paraId="205313E4"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238" w:type="pct"/>
            <w:tcBorders>
              <w:top w:val="nil"/>
              <w:left w:val="nil"/>
              <w:bottom w:val="single" w:sz="4" w:space="0" w:color="auto"/>
              <w:right w:val="single" w:sz="4" w:space="0" w:color="auto"/>
            </w:tcBorders>
            <w:shd w:val="clear" w:color="auto" w:fill="FFFF00"/>
            <w:noWrap/>
            <w:vAlign w:val="center"/>
            <w:hideMark/>
          </w:tcPr>
          <w:p w14:paraId="2E2EC78E"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Mo</w:t>
            </w:r>
          </w:p>
        </w:tc>
        <w:tc>
          <w:tcPr>
            <w:tcW w:w="337" w:type="pct"/>
            <w:tcBorders>
              <w:top w:val="nil"/>
              <w:left w:val="nil"/>
              <w:bottom w:val="single" w:sz="4" w:space="0" w:color="auto"/>
              <w:right w:val="single" w:sz="4" w:space="0" w:color="auto"/>
            </w:tcBorders>
            <w:shd w:val="clear" w:color="auto" w:fill="00B050"/>
            <w:noWrap/>
            <w:vAlign w:val="center"/>
            <w:hideMark/>
          </w:tcPr>
          <w:p w14:paraId="53AA4F21"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337" w:type="pct"/>
            <w:tcBorders>
              <w:top w:val="nil"/>
              <w:left w:val="nil"/>
              <w:bottom w:val="single" w:sz="4" w:space="0" w:color="auto"/>
              <w:right w:val="single" w:sz="4" w:space="0" w:color="auto"/>
            </w:tcBorders>
            <w:shd w:val="clear" w:color="auto" w:fill="00B050"/>
            <w:noWrap/>
            <w:vAlign w:val="center"/>
            <w:hideMark/>
          </w:tcPr>
          <w:p w14:paraId="47AA75D6"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289" w:type="pct"/>
            <w:tcBorders>
              <w:top w:val="nil"/>
              <w:left w:val="nil"/>
              <w:bottom w:val="single" w:sz="4" w:space="0" w:color="auto"/>
              <w:right w:val="single" w:sz="4" w:space="0" w:color="auto"/>
            </w:tcBorders>
            <w:shd w:val="clear" w:color="auto" w:fill="00B050"/>
            <w:noWrap/>
            <w:vAlign w:val="center"/>
            <w:hideMark/>
          </w:tcPr>
          <w:p w14:paraId="71776C34"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366" w:type="pct"/>
            <w:tcBorders>
              <w:top w:val="nil"/>
              <w:left w:val="nil"/>
              <w:bottom w:val="single" w:sz="4" w:space="0" w:color="auto"/>
              <w:right w:val="single" w:sz="4" w:space="0" w:color="auto"/>
            </w:tcBorders>
            <w:shd w:val="clear" w:color="auto" w:fill="00B050"/>
            <w:noWrap/>
            <w:vAlign w:val="center"/>
            <w:hideMark/>
          </w:tcPr>
          <w:p w14:paraId="0D7F0273"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337" w:type="pct"/>
            <w:tcBorders>
              <w:top w:val="nil"/>
              <w:left w:val="nil"/>
              <w:bottom w:val="single" w:sz="4" w:space="0" w:color="auto"/>
              <w:right w:val="single" w:sz="4" w:space="0" w:color="auto"/>
            </w:tcBorders>
            <w:shd w:val="clear" w:color="auto" w:fill="00B050"/>
            <w:noWrap/>
            <w:vAlign w:val="center"/>
            <w:hideMark/>
          </w:tcPr>
          <w:p w14:paraId="5C8DBD7B"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482" w:type="pct"/>
            <w:tcBorders>
              <w:top w:val="nil"/>
              <w:left w:val="nil"/>
              <w:bottom w:val="single" w:sz="4" w:space="0" w:color="auto"/>
              <w:right w:val="single" w:sz="4" w:space="0" w:color="auto"/>
            </w:tcBorders>
            <w:shd w:val="clear" w:color="auto" w:fill="auto"/>
            <w:noWrap/>
            <w:vAlign w:val="center"/>
            <w:hideMark/>
          </w:tcPr>
          <w:p w14:paraId="44AB115E"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Po</w:t>
            </w:r>
          </w:p>
        </w:tc>
        <w:tc>
          <w:tcPr>
            <w:tcW w:w="230" w:type="pct"/>
            <w:tcBorders>
              <w:top w:val="nil"/>
              <w:left w:val="nil"/>
              <w:bottom w:val="single" w:sz="4" w:space="0" w:color="auto"/>
              <w:right w:val="single" w:sz="4" w:space="0" w:color="auto"/>
            </w:tcBorders>
            <w:shd w:val="clear" w:color="auto" w:fill="auto"/>
            <w:noWrap/>
            <w:vAlign w:val="center"/>
            <w:hideMark/>
          </w:tcPr>
          <w:p w14:paraId="71C61C63"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250" w:type="pct"/>
            <w:tcBorders>
              <w:top w:val="nil"/>
              <w:left w:val="nil"/>
              <w:bottom w:val="single" w:sz="4" w:space="0" w:color="auto"/>
              <w:right w:val="single" w:sz="4" w:space="0" w:color="auto"/>
            </w:tcBorders>
            <w:shd w:val="clear" w:color="auto" w:fill="auto"/>
            <w:noWrap/>
            <w:vAlign w:val="center"/>
            <w:hideMark/>
          </w:tcPr>
          <w:p w14:paraId="583BE89E"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230" w:type="pct"/>
            <w:tcBorders>
              <w:top w:val="nil"/>
              <w:left w:val="nil"/>
              <w:bottom w:val="single" w:sz="4" w:space="0" w:color="auto"/>
              <w:right w:val="single" w:sz="4" w:space="0" w:color="auto"/>
            </w:tcBorders>
            <w:shd w:val="clear" w:color="auto" w:fill="auto"/>
            <w:noWrap/>
            <w:vAlign w:val="center"/>
            <w:hideMark/>
          </w:tcPr>
          <w:p w14:paraId="0D57C98C"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r>
      <w:tr w:rsidR="00305594" w:rsidRPr="007F78CE" w14:paraId="333DAEDD" w14:textId="77777777" w:rsidTr="58DCDDAF">
        <w:trPr>
          <w:trHeight w:val="30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661DD14"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LEAD</w:t>
            </w:r>
          </w:p>
        </w:tc>
        <w:tc>
          <w:tcPr>
            <w:tcW w:w="238" w:type="pct"/>
            <w:tcBorders>
              <w:top w:val="nil"/>
              <w:left w:val="nil"/>
              <w:bottom w:val="single" w:sz="4" w:space="0" w:color="auto"/>
              <w:right w:val="single" w:sz="4" w:space="0" w:color="auto"/>
            </w:tcBorders>
            <w:shd w:val="clear" w:color="auto" w:fill="auto"/>
            <w:noWrap/>
            <w:vAlign w:val="center"/>
            <w:hideMark/>
          </w:tcPr>
          <w:p w14:paraId="636B2074"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238" w:type="pct"/>
            <w:tcBorders>
              <w:top w:val="nil"/>
              <w:left w:val="nil"/>
              <w:bottom w:val="single" w:sz="4" w:space="0" w:color="auto"/>
              <w:right w:val="single" w:sz="4" w:space="0" w:color="auto"/>
            </w:tcBorders>
            <w:shd w:val="clear" w:color="auto" w:fill="FFFF00"/>
            <w:noWrap/>
            <w:vAlign w:val="center"/>
            <w:hideMark/>
          </w:tcPr>
          <w:p w14:paraId="1FC8FA54"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Mo</w:t>
            </w:r>
          </w:p>
        </w:tc>
        <w:tc>
          <w:tcPr>
            <w:tcW w:w="337" w:type="pct"/>
            <w:tcBorders>
              <w:top w:val="nil"/>
              <w:left w:val="nil"/>
              <w:bottom w:val="single" w:sz="4" w:space="0" w:color="auto"/>
              <w:right w:val="single" w:sz="4" w:space="0" w:color="auto"/>
            </w:tcBorders>
            <w:shd w:val="clear" w:color="auto" w:fill="00B050"/>
            <w:noWrap/>
            <w:vAlign w:val="center"/>
            <w:hideMark/>
          </w:tcPr>
          <w:p w14:paraId="7C38297A"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337" w:type="pct"/>
            <w:tcBorders>
              <w:top w:val="nil"/>
              <w:left w:val="nil"/>
              <w:bottom w:val="single" w:sz="4" w:space="0" w:color="auto"/>
              <w:right w:val="single" w:sz="4" w:space="0" w:color="auto"/>
            </w:tcBorders>
            <w:shd w:val="clear" w:color="auto" w:fill="00B050"/>
            <w:noWrap/>
            <w:vAlign w:val="center"/>
            <w:hideMark/>
          </w:tcPr>
          <w:p w14:paraId="119C19AB"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289" w:type="pct"/>
            <w:tcBorders>
              <w:top w:val="nil"/>
              <w:left w:val="nil"/>
              <w:bottom w:val="single" w:sz="4" w:space="0" w:color="auto"/>
              <w:right w:val="single" w:sz="4" w:space="0" w:color="auto"/>
            </w:tcBorders>
            <w:shd w:val="clear" w:color="auto" w:fill="00B050"/>
            <w:noWrap/>
            <w:vAlign w:val="center"/>
            <w:hideMark/>
          </w:tcPr>
          <w:p w14:paraId="2C9181C6"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366" w:type="pct"/>
            <w:tcBorders>
              <w:top w:val="nil"/>
              <w:left w:val="nil"/>
              <w:bottom w:val="single" w:sz="4" w:space="0" w:color="auto"/>
              <w:right w:val="single" w:sz="4" w:space="0" w:color="auto"/>
            </w:tcBorders>
            <w:shd w:val="clear" w:color="auto" w:fill="00B050"/>
            <w:noWrap/>
            <w:vAlign w:val="center"/>
            <w:hideMark/>
          </w:tcPr>
          <w:p w14:paraId="652C5BCC"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337" w:type="pct"/>
            <w:tcBorders>
              <w:top w:val="nil"/>
              <w:left w:val="nil"/>
              <w:bottom w:val="single" w:sz="4" w:space="0" w:color="auto"/>
              <w:right w:val="single" w:sz="4" w:space="0" w:color="auto"/>
            </w:tcBorders>
            <w:shd w:val="clear" w:color="auto" w:fill="FFFF00"/>
            <w:noWrap/>
            <w:vAlign w:val="center"/>
            <w:hideMark/>
          </w:tcPr>
          <w:p w14:paraId="71CA9D43"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Mo</w:t>
            </w:r>
          </w:p>
        </w:tc>
        <w:tc>
          <w:tcPr>
            <w:tcW w:w="482" w:type="pct"/>
            <w:tcBorders>
              <w:top w:val="nil"/>
              <w:left w:val="nil"/>
              <w:bottom w:val="single" w:sz="4" w:space="0" w:color="auto"/>
              <w:right w:val="single" w:sz="4" w:space="0" w:color="auto"/>
            </w:tcBorders>
            <w:shd w:val="clear" w:color="auto" w:fill="auto"/>
            <w:noWrap/>
            <w:vAlign w:val="center"/>
            <w:hideMark/>
          </w:tcPr>
          <w:p w14:paraId="050012B9"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Po</w:t>
            </w:r>
          </w:p>
        </w:tc>
        <w:tc>
          <w:tcPr>
            <w:tcW w:w="230" w:type="pct"/>
            <w:tcBorders>
              <w:top w:val="nil"/>
              <w:left w:val="nil"/>
              <w:bottom w:val="single" w:sz="4" w:space="0" w:color="auto"/>
              <w:right w:val="single" w:sz="4" w:space="0" w:color="auto"/>
            </w:tcBorders>
            <w:shd w:val="clear" w:color="auto" w:fill="auto"/>
            <w:noWrap/>
            <w:vAlign w:val="center"/>
            <w:hideMark/>
          </w:tcPr>
          <w:p w14:paraId="6EDAEE97"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250" w:type="pct"/>
            <w:tcBorders>
              <w:top w:val="nil"/>
              <w:left w:val="nil"/>
              <w:bottom w:val="single" w:sz="4" w:space="0" w:color="auto"/>
              <w:right w:val="single" w:sz="4" w:space="0" w:color="auto"/>
            </w:tcBorders>
            <w:shd w:val="clear" w:color="auto" w:fill="auto"/>
            <w:noWrap/>
            <w:vAlign w:val="center"/>
            <w:hideMark/>
          </w:tcPr>
          <w:p w14:paraId="5FFFF736"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230" w:type="pct"/>
            <w:tcBorders>
              <w:top w:val="nil"/>
              <w:left w:val="nil"/>
              <w:bottom w:val="single" w:sz="4" w:space="0" w:color="auto"/>
              <w:right w:val="single" w:sz="4" w:space="0" w:color="auto"/>
            </w:tcBorders>
            <w:shd w:val="clear" w:color="auto" w:fill="auto"/>
            <w:noWrap/>
            <w:vAlign w:val="center"/>
            <w:hideMark/>
          </w:tcPr>
          <w:p w14:paraId="79BBC33B"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r>
      <w:tr w:rsidR="00305594" w:rsidRPr="007F78CE" w14:paraId="451100E9" w14:textId="77777777" w:rsidTr="58DCDDAF">
        <w:trPr>
          <w:trHeight w:val="30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06A14A6"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5D6D41">
              <w:rPr>
                <w:rFonts w:ascii="Arial" w:eastAsia="Times New Roman" w:hAnsi="Arial" w:cs="Arial"/>
                <w:color w:val="000000"/>
                <w:sz w:val="18"/>
                <w:szCs w:val="18"/>
                <w:lang w:eastAsia="fr-FR"/>
              </w:rPr>
              <w:t>Mbalik et Baobab +</w:t>
            </w:r>
          </w:p>
        </w:tc>
        <w:tc>
          <w:tcPr>
            <w:tcW w:w="238" w:type="pct"/>
            <w:tcBorders>
              <w:top w:val="nil"/>
              <w:left w:val="nil"/>
              <w:bottom w:val="single" w:sz="4" w:space="0" w:color="auto"/>
              <w:right w:val="single" w:sz="4" w:space="0" w:color="auto"/>
            </w:tcBorders>
            <w:shd w:val="clear" w:color="auto" w:fill="auto"/>
            <w:noWrap/>
            <w:vAlign w:val="center"/>
            <w:hideMark/>
          </w:tcPr>
          <w:p w14:paraId="60A6FF44"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238" w:type="pct"/>
            <w:tcBorders>
              <w:top w:val="nil"/>
              <w:left w:val="nil"/>
              <w:bottom w:val="single" w:sz="4" w:space="0" w:color="auto"/>
              <w:right w:val="single" w:sz="4" w:space="0" w:color="auto"/>
            </w:tcBorders>
            <w:shd w:val="clear" w:color="auto" w:fill="FFFF00"/>
            <w:noWrap/>
            <w:vAlign w:val="center"/>
            <w:hideMark/>
          </w:tcPr>
          <w:p w14:paraId="019BC12D"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Mo</w:t>
            </w:r>
          </w:p>
        </w:tc>
        <w:tc>
          <w:tcPr>
            <w:tcW w:w="337" w:type="pct"/>
            <w:tcBorders>
              <w:top w:val="nil"/>
              <w:left w:val="nil"/>
              <w:bottom w:val="single" w:sz="4" w:space="0" w:color="auto"/>
              <w:right w:val="single" w:sz="4" w:space="0" w:color="auto"/>
            </w:tcBorders>
            <w:shd w:val="clear" w:color="auto" w:fill="auto"/>
            <w:noWrap/>
            <w:vAlign w:val="center"/>
            <w:hideMark/>
          </w:tcPr>
          <w:p w14:paraId="4F4E9D49"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337" w:type="pct"/>
            <w:tcBorders>
              <w:top w:val="nil"/>
              <w:left w:val="nil"/>
              <w:bottom w:val="single" w:sz="4" w:space="0" w:color="auto"/>
              <w:right w:val="single" w:sz="4" w:space="0" w:color="auto"/>
            </w:tcBorders>
            <w:shd w:val="clear" w:color="auto" w:fill="auto"/>
            <w:noWrap/>
            <w:vAlign w:val="center"/>
            <w:hideMark/>
          </w:tcPr>
          <w:p w14:paraId="15F4CD5E"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289" w:type="pct"/>
            <w:tcBorders>
              <w:top w:val="nil"/>
              <w:left w:val="nil"/>
              <w:bottom w:val="single" w:sz="4" w:space="0" w:color="auto"/>
              <w:right w:val="single" w:sz="4" w:space="0" w:color="auto"/>
            </w:tcBorders>
            <w:shd w:val="clear" w:color="auto" w:fill="auto"/>
            <w:noWrap/>
            <w:vAlign w:val="center"/>
            <w:hideMark/>
          </w:tcPr>
          <w:p w14:paraId="6B7757E7"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366" w:type="pct"/>
            <w:tcBorders>
              <w:top w:val="nil"/>
              <w:left w:val="nil"/>
              <w:bottom w:val="single" w:sz="4" w:space="0" w:color="auto"/>
              <w:right w:val="single" w:sz="4" w:space="0" w:color="auto"/>
            </w:tcBorders>
            <w:shd w:val="clear" w:color="auto" w:fill="auto"/>
            <w:noWrap/>
            <w:vAlign w:val="center"/>
            <w:hideMark/>
          </w:tcPr>
          <w:p w14:paraId="5C742111"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337" w:type="pct"/>
            <w:tcBorders>
              <w:top w:val="nil"/>
              <w:left w:val="nil"/>
              <w:bottom w:val="single" w:sz="4" w:space="0" w:color="auto"/>
              <w:right w:val="single" w:sz="4" w:space="0" w:color="auto"/>
            </w:tcBorders>
            <w:shd w:val="clear" w:color="auto" w:fill="auto"/>
            <w:noWrap/>
            <w:vAlign w:val="center"/>
            <w:hideMark/>
          </w:tcPr>
          <w:p w14:paraId="6E257598"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482" w:type="pct"/>
            <w:tcBorders>
              <w:top w:val="nil"/>
              <w:left w:val="nil"/>
              <w:bottom w:val="single" w:sz="4" w:space="0" w:color="auto"/>
              <w:right w:val="single" w:sz="4" w:space="0" w:color="auto"/>
            </w:tcBorders>
            <w:shd w:val="clear" w:color="auto" w:fill="auto"/>
            <w:noWrap/>
            <w:vAlign w:val="center"/>
            <w:hideMark/>
          </w:tcPr>
          <w:p w14:paraId="2E1D420E"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Po</w:t>
            </w:r>
          </w:p>
        </w:tc>
        <w:tc>
          <w:tcPr>
            <w:tcW w:w="230" w:type="pct"/>
            <w:tcBorders>
              <w:top w:val="nil"/>
              <w:left w:val="nil"/>
              <w:bottom w:val="single" w:sz="4" w:space="0" w:color="auto"/>
              <w:right w:val="single" w:sz="4" w:space="0" w:color="auto"/>
            </w:tcBorders>
            <w:shd w:val="clear" w:color="auto" w:fill="auto"/>
            <w:noWrap/>
            <w:vAlign w:val="center"/>
            <w:hideMark/>
          </w:tcPr>
          <w:p w14:paraId="337BD40D"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250" w:type="pct"/>
            <w:tcBorders>
              <w:top w:val="nil"/>
              <w:left w:val="nil"/>
              <w:bottom w:val="single" w:sz="4" w:space="0" w:color="auto"/>
              <w:right w:val="single" w:sz="4" w:space="0" w:color="auto"/>
            </w:tcBorders>
            <w:shd w:val="clear" w:color="auto" w:fill="auto"/>
            <w:noWrap/>
            <w:vAlign w:val="center"/>
            <w:hideMark/>
          </w:tcPr>
          <w:p w14:paraId="3082BCB5"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230" w:type="pct"/>
            <w:tcBorders>
              <w:top w:val="nil"/>
              <w:left w:val="nil"/>
              <w:bottom w:val="single" w:sz="4" w:space="0" w:color="auto"/>
              <w:right w:val="single" w:sz="4" w:space="0" w:color="auto"/>
            </w:tcBorders>
            <w:shd w:val="clear" w:color="auto" w:fill="auto"/>
            <w:noWrap/>
            <w:vAlign w:val="center"/>
            <w:hideMark/>
          </w:tcPr>
          <w:p w14:paraId="228E3842"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r>
      <w:tr w:rsidR="00305594" w:rsidRPr="007F78CE" w14:paraId="6B439991" w14:textId="77777777" w:rsidTr="58DCDDAF">
        <w:trPr>
          <w:trHeight w:val="30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85CC8AE"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Projet HOTSPOT</w:t>
            </w:r>
          </w:p>
        </w:tc>
        <w:tc>
          <w:tcPr>
            <w:tcW w:w="238" w:type="pct"/>
            <w:tcBorders>
              <w:top w:val="nil"/>
              <w:left w:val="nil"/>
              <w:bottom w:val="single" w:sz="4" w:space="0" w:color="auto"/>
              <w:right w:val="single" w:sz="4" w:space="0" w:color="auto"/>
            </w:tcBorders>
            <w:shd w:val="clear" w:color="auto" w:fill="auto"/>
            <w:noWrap/>
            <w:vAlign w:val="center"/>
            <w:hideMark/>
          </w:tcPr>
          <w:p w14:paraId="5A8B937A"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238" w:type="pct"/>
            <w:tcBorders>
              <w:top w:val="nil"/>
              <w:left w:val="nil"/>
              <w:bottom w:val="single" w:sz="4" w:space="0" w:color="auto"/>
              <w:right w:val="single" w:sz="4" w:space="0" w:color="auto"/>
            </w:tcBorders>
            <w:shd w:val="clear" w:color="auto" w:fill="auto"/>
            <w:noWrap/>
            <w:vAlign w:val="center"/>
            <w:hideMark/>
          </w:tcPr>
          <w:p w14:paraId="37A5881C"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337" w:type="pct"/>
            <w:tcBorders>
              <w:top w:val="nil"/>
              <w:left w:val="nil"/>
              <w:bottom w:val="single" w:sz="4" w:space="0" w:color="auto"/>
              <w:right w:val="single" w:sz="4" w:space="0" w:color="auto"/>
            </w:tcBorders>
            <w:shd w:val="clear" w:color="auto" w:fill="00B050"/>
            <w:noWrap/>
            <w:vAlign w:val="center"/>
            <w:hideMark/>
          </w:tcPr>
          <w:p w14:paraId="64637D60"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337" w:type="pct"/>
            <w:tcBorders>
              <w:top w:val="nil"/>
              <w:left w:val="nil"/>
              <w:bottom w:val="single" w:sz="4" w:space="0" w:color="auto"/>
              <w:right w:val="single" w:sz="4" w:space="0" w:color="auto"/>
            </w:tcBorders>
            <w:shd w:val="clear" w:color="auto" w:fill="auto"/>
            <w:noWrap/>
            <w:vAlign w:val="center"/>
            <w:hideMark/>
          </w:tcPr>
          <w:p w14:paraId="57CDB898"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289" w:type="pct"/>
            <w:tcBorders>
              <w:top w:val="nil"/>
              <w:left w:val="nil"/>
              <w:bottom w:val="single" w:sz="4" w:space="0" w:color="auto"/>
              <w:right w:val="single" w:sz="4" w:space="0" w:color="auto"/>
            </w:tcBorders>
            <w:shd w:val="clear" w:color="auto" w:fill="auto"/>
            <w:noWrap/>
            <w:vAlign w:val="center"/>
            <w:hideMark/>
          </w:tcPr>
          <w:p w14:paraId="0A2F8E91"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366" w:type="pct"/>
            <w:tcBorders>
              <w:top w:val="nil"/>
              <w:left w:val="nil"/>
              <w:bottom w:val="single" w:sz="4" w:space="0" w:color="auto"/>
              <w:right w:val="single" w:sz="4" w:space="0" w:color="auto"/>
            </w:tcBorders>
            <w:shd w:val="clear" w:color="auto" w:fill="auto"/>
            <w:noWrap/>
            <w:vAlign w:val="center"/>
            <w:hideMark/>
          </w:tcPr>
          <w:p w14:paraId="5D7D0101"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337" w:type="pct"/>
            <w:tcBorders>
              <w:top w:val="nil"/>
              <w:left w:val="nil"/>
              <w:bottom w:val="single" w:sz="4" w:space="0" w:color="auto"/>
              <w:right w:val="single" w:sz="4" w:space="0" w:color="auto"/>
            </w:tcBorders>
            <w:shd w:val="clear" w:color="auto" w:fill="auto"/>
            <w:noWrap/>
            <w:vAlign w:val="center"/>
            <w:hideMark/>
          </w:tcPr>
          <w:p w14:paraId="1F9C6346"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482" w:type="pct"/>
            <w:tcBorders>
              <w:top w:val="nil"/>
              <w:left w:val="nil"/>
              <w:bottom w:val="single" w:sz="4" w:space="0" w:color="auto"/>
              <w:right w:val="single" w:sz="4" w:space="0" w:color="auto"/>
            </w:tcBorders>
            <w:shd w:val="clear" w:color="auto" w:fill="auto"/>
            <w:noWrap/>
            <w:vAlign w:val="center"/>
            <w:hideMark/>
          </w:tcPr>
          <w:p w14:paraId="4D993B16"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Po</w:t>
            </w:r>
          </w:p>
        </w:tc>
        <w:tc>
          <w:tcPr>
            <w:tcW w:w="230" w:type="pct"/>
            <w:tcBorders>
              <w:top w:val="nil"/>
              <w:left w:val="nil"/>
              <w:bottom w:val="single" w:sz="4" w:space="0" w:color="auto"/>
              <w:right w:val="single" w:sz="4" w:space="0" w:color="auto"/>
            </w:tcBorders>
            <w:shd w:val="clear" w:color="auto" w:fill="FFFF00"/>
            <w:noWrap/>
            <w:vAlign w:val="center"/>
            <w:hideMark/>
          </w:tcPr>
          <w:p w14:paraId="0A7C9FD9"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Mo</w:t>
            </w:r>
          </w:p>
        </w:tc>
        <w:tc>
          <w:tcPr>
            <w:tcW w:w="250" w:type="pct"/>
            <w:tcBorders>
              <w:top w:val="nil"/>
              <w:left w:val="nil"/>
              <w:bottom w:val="single" w:sz="4" w:space="0" w:color="auto"/>
              <w:right w:val="single" w:sz="4" w:space="0" w:color="auto"/>
            </w:tcBorders>
            <w:shd w:val="clear" w:color="auto" w:fill="00B050"/>
            <w:noWrap/>
            <w:vAlign w:val="center"/>
            <w:hideMark/>
          </w:tcPr>
          <w:p w14:paraId="6A0D0E0A"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xml:space="preserve">Min </w:t>
            </w:r>
          </w:p>
        </w:tc>
        <w:tc>
          <w:tcPr>
            <w:tcW w:w="230" w:type="pct"/>
            <w:tcBorders>
              <w:top w:val="nil"/>
              <w:left w:val="nil"/>
              <w:bottom w:val="single" w:sz="4" w:space="0" w:color="auto"/>
              <w:right w:val="single" w:sz="4" w:space="0" w:color="auto"/>
            </w:tcBorders>
            <w:shd w:val="clear" w:color="auto" w:fill="FFFF00"/>
            <w:noWrap/>
            <w:vAlign w:val="center"/>
            <w:hideMark/>
          </w:tcPr>
          <w:p w14:paraId="11E0770B"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Mo</w:t>
            </w:r>
          </w:p>
        </w:tc>
      </w:tr>
      <w:tr w:rsidR="00305594" w:rsidRPr="007F78CE" w14:paraId="02C88405" w14:textId="77777777" w:rsidTr="58DCDDAF">
        <w:trPr>
          <w:trHeight w:val="30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B672ED6"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SMART Village</w:t>
            </w:r>
          </w:p>
        </w:tc>
        <w:tc>
          <w:tcPr>
            <w:tcW w:w="238" w:type="pct"/>
            <w:tcBorders>
              <w:top w:val="nil"/>
              <w:left w:val="nil"/>
              <w:bottom w:val="single" w:sz="4" w:space="0" w:color="auto"/>
              <w:right w:val="single" w:sz="4" w:space="0" w:color="auto"/>
            </w:tcBorders>
            <w:shd w:val="clear" w:color="auto" w:fill="auto"/>
            <w:noWrap/>
            <w:vAlign w:val="center"/>
            <w:hideMark/>
          </w:tcPr>
          <w:p w14:paraId="607C9597"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238" w:type="pct"/>
            <w:tcBorders>
              <w:top w:val="nil"/>
              <w:left w:val="nil"/>
              <w:bottom w:val="single" w:sz="4" w:space="0" w:color="auto"/>
              <w:right w:val="single" w:sz="4" w:space="0" w:color="auto"/>
            </w:tcBorders>
            <w:shd w:val="clear" w:color="auto" w:fill="00B050"/>
            <w:noWrap/>
            <w:vAlign w:val="center"/>
            <w:hideMark/>
          </w:tcPr>
          <w:p w14:paraId="2683B77F"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337" w:type="pct"/>
            <w:tcBorders>
              <w:top w:val="nil"/>
              <w:left w:val="nil"/>
              <w:bottom w:val="single" w:sz="4" w:space="0" w:color="auto"/>
              <w:right w:val="single" w:sz="4" w:space="0" w:color="auto"/>
            </w:tcBorders>
            <w:shd w:val="clear" w:color="auto" w:fill="00B050"/>
            <w:noWrap/>
            <w:vAlign w:val="center"/>
            <w:hideMark/>
          </w:tcPr>
          <w:p w14:paraId="26233D5C"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337" w:type="pct"/>
            <w:tcBorders>
              <w:top w:val="nil"/>
              <w:left w:val="nil"/>
              <w:bottom w:val="single" w:sz="4" w:space="0" w:color="auto"/>
              <w:right w:val="single" w:sz="4" w:space="0" w:color="auto"/>
            </w:tcBorders>
            <w:shd w:val="clear" w:color="auto" w:fill="auto"/>
            <w:noWrap/>
            <w:vAlign w:val="center"/>
            <w:hideMark/>
          </w:tcPr>
          <w:p w14:paraId="30F5AB12"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289" w:type="pct"/>
            <w:tcBorders>
              <w:top w:val="nil"/>
              <w:left w:val="nil"/>
              <w:bottom w:val="single" w:sz="4" w:space="0" w:color="auto"/>
              <w:right w:val="single" w:sz="4" w:space="0" w:color="auto"/>
            </w:tcBorders>
            <w:shd w:val="clear" w:color="auto" w:fill="auto"/>
            <w:noWrap/>
            <w:vAlign w:val="center"/>
            <w:hideMark/>
          </w:tcPr>
          <w:p w14:paraId="5BB0914D"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366" w:type="pct"/>
            <w:tcBorders>
              <w:top w:val="nil"/>
              <w:left w:val="nil"/>
              <w:bottom w:val="single" w:sz="4" w:space="0" w:color="auto"/>
              <w:right w:val="single" w:sz="4" w:space="0" w:color="auto"/>
            </w:tcBorders>
            <w:shd w:val="clear" w:color="auto" w:fill="auto"/>
            <w:noWrap/>
            <w:vAlign w:val="center"/>
            <w:hideMark/>
          </w:tcPr>
          <w:p w14:paraId="1FC326EB"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337" w:type="pct"/>
            <w:tcBorders>
              <w:top w:val="nil"/>
              <w:left w:val="nil"/>
              <w:bottom w:val="single" w:sz="4" w:space="0" w:color="auto"/>
              <w:right w:val="single" w:sz="4" w:space="0" w:color="auto"/>
            </w:tcBorders>
            <w:shd w:val="clear" w:color="auto" w:fill="auto"/>
            <w:noWrap/>
            <w:vAlign w:val="center"/>
            <w:hideMark/>
          </w:tcPr>
          <w:p w14:paraId="1CB8C716"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482" w:type="pct"/>
            <w:tcBorders>
              <w:top w:val="nil"/>
              <w:left w:val="nil"/>
              <w:bottom w:val="single" w:sz="4" w:space="0" w:color="auto"/>
              <w:right w:val="single" w:sz="4" w:space="0" w:color="auto"/>
            </w:tcBorders>
            <w:shd w:val="clear" w:color="auto" w:fill="auto"/>
            <w:noWrap/>
            <w:vAlign w:val="center"/>
            <w:hideMark/>
          </w:tcPr>
          <w:p w14:paraId="77BA55EE"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Po</w:t>
            </w:r>
          </w:p>
        </w:tc>
        <w:tc>
          <w:tcPr>
            <w:tcW w:w="230" w:type="pct"/>
            <w:tcBorders>
              <w:top w:val="nil"/>
              <w:left w:val="nil"/>
              <w:bottom w:val="single" w:sz="4" w:space="0" w:color="auto"/>
              <w:right w:val="single" w:sz="4" w:space="0" w:color="auto"/>
            </w:tcBorders>
            <w:shd w:val="clear" w:color="auto" w:fill="auto"/>
            <w:noWrap/>
            <w:vAlign w:val="center"/>
            <w:hideMark/>
          </w:tcPr>
          <w:p w14:paraId="427F7B7B"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w:t>
            </w:r>
          </w:p>
        </w:tc>
        <w:tc>
          <w:tcPr>
            <w:tcW w:w="250" w:type="pct"/>
            <w:tcBorders>
              <w:top w:val="nil"/>
              <w:left w:val="nil"/>
              <w:bottom w:val="single" w:sz="4" w:space="0" w:color="auto"/>
              <w:right w:val="single" w:sz="4" w:space="0" w:color="auto"/>
            </w:tcBorders>
            <w:shd w:val="clear" w:color="auto" w:fill="00B050"/>
            <w:noWrap/>
            <w:vAlign w:val="center"/>
            <w:hideMark/>
          </w:tcPr>
          <w:p w14:paraId="2FB0E671"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 xml:space="preserve">Min </w:t>
            </w:r>
          </w:p>
        </w:tc>
        <w:tc>
          <w:tcPr>
            <w:tcW w:w="230" w:type="pct"/>
            <w:tcBorders>
              <w:top w:val="nil"/>
              <w:left w:val="nil"/>
              <w:bottom w:val="single" w:sz="4" w:space="0" w:color="auto"/>
              <w:right w:val="single" w:sz="4" w:space="0" w:color="auto"/>
            </w:tcBorders>
            <w:shd w:val="clear" w:color="auto" w:fill="FFFF00"/>
            <w:noWrap/>
            <w:vAlign w:val="center"/>
            <w:hideMark/>
          </w:tcPr>
          <w:p w14:paraId="30853ED7"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Mo</w:t>
            </w:r>
          </w:p>
        </w:tc>
      </w:tr>
      <w:tr w:rsidR="00305594" w:rsidRPr="007F78CE" w14:paraId="1FE57CF8" w14:textId="77777777" w:rsidTr="58DCDDAF">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00B0F0"/>
            <w:vAlign w:val="center"/>
            <w:hideMark/>
          </w:tcPr>
          <w:p w14:paraId="617D52FC"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Synthèse</w:t>
            </w:r>
          </w:p>
        </w:tc>
      </w:tr>
      <w:tr w:rsidR="00305594" w:rsidRPr="007F78CE" w14:paraId="5BDADDAA" w14:textId="77777777" w:rsidTr="00305594">
        <w:trPr>
          <w:trHeight w:val="30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41F80465"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Nb de projets impactant</w:t>
            </w:r>
          </w:p>
        </w:tc>
        <w:tc>
          <w:tcPr>
            <w:tcW w:w="238" w:type="pct"/>
            <w:tcBorders>
              <w:top w:val="nil"/>
              <w:left w:val="nil"/>
              <w:bottom w:val="single" w:sz="4" w:space="0" w:color="auto"/>
              <w:right w:val="single" w:sz="4" w:space="0" w:color="auto"/>
            </w:tcBorders>
            <w:shd w:val="clear" w:color="auto" w:fill="auto"/>
            <w:noWrap/>
            <w:vAlign w:val="center"/>
            <w:hideMark/>
          </w:tcPr>
          <w:p w14:paraId="62CD6969"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4</w:t>
            </w:r>
          </w:p>
        </w:tc>
        <w:tc>
          <w:tcPr>
            <w:tcW w:w="238" w:type="pct"/>
            <w:tcBorders>
              <w:top w:val="nil"/>
              <w:left w:val="nil"/>
              <w:bottom w:val="single" w:sz="4" w:space="0" w:color="auto"/>
              <w:right w:val="single" w:sz="4" w:space="0" w:color="auto"/>
            </w:tcBorders>
            <w:shd w:val="clear" w:color="auto" w:fill="auto"/>
            <w:noWrap/>
            <w:vAlign w:val="center"/>
            <w:hideMark/>
          </w:tcPr>
          <w:p w14:paraId="7D51CF5C"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5</w:t>
            </w:r>
          </w:p>
        </w:tc>
        <w:tc>
          <w:tcPr>
            <w:tcW w:w="337" w:type="pct"/>
            <w:tcBorders>
              <w:top w:val="nil"/>
              <w:left w:val="nil"/>
              <w:bottom w:val="single" w:sz="4" w:space="0" w:color="auto"/>
              <w:right w:val="single" w:sz="4" w:space="0" w:color="auto"/>
            </w:tcBorders>
            <w:shd w:val="clear" w:color="auto" w:fill="auto"/>
            <w:noWrap/>
            <w:vAlign w:val="center"/>
            <w:hideMark/>
          </w:tcPr>
          <w:p w14:paraId="468D040B"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7</w:t>
            </w:r>
          </w:p>
        </w:tc>
        <w:tc>
          <w:tcPr>
            <w:tcW w:w="337" w:type="pct"/>
            <w:tcBorders>
              <w:top w:val="nil"/>
              <w:left w:val="nil"/>
              <w:bottom w:val="single" w:sz="4" w:space="0" w:color="auto"/>
              <w:right w:val="single" w:sz="4" w:space="0" w:color="auto"/>
            </w:tcBorders>
            <w:shd w:val="clear" w:color="auto" w:fill="auto"/>
            <w:noWrap/>
            <w:vAlign w:val="center"/>
            <w:hideMark/>
          </w:tcPr>
          <w:p w14:paraId="2AE0EB25"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5</w:t>
            </w:r>
          </w:p>
        </w:tc>
        <w:tc>
          <w:tcPr>
            <w:tcW w:w="289" w:type="pct"/>
            <w:tcBorders>
              <w:top w:val="nil"/>
              <w:left w:val="nil"/>
              <w:bottom w:val="single" w:sz="4" w:space="0" w:color="auto"/>
              <w:right w:val="single" w:sz="4" w:space="0" w:color="auto"/>
            </w:tcBorders>
            <w:shd w:val="clear" w:color="auto" w:fill="auto"/>
            <w:noWrap/>
            <w:vAlign w:val="center"/>
            <w:hideMark/>
          </w:tcPr>
          <w:p w14:paraId="11A9B96B"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5</w:t>
            </w:r>
          </w:p>
        </w:tc>
        <w:tc>
          <w:tcPr>
            <w:tcW w:w="366" w:type="pct"/>
            <w:tcBorders>
              <w:top w:val="nil"/>
              <w:left w:val="nil"/>
              <w:bottom w:val="single" w:sz="4" w:space="0" w:color="auto"/>
              <w:right w:val="single" w:sz="4" w:space="0" w:color="auto"/>
            </w:tcBorders>
            <w:shd w:val="clear" w:color="auto" w:fill="auto"/>
            <w:noWrap/>
            <w:vAlign w:val="center"/>
            <w:hideMark/>
          </w:tcPr>
          <w:p w14:paraId="373B0295"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5</w:t>
            </w:r>
          </w:p>
        </w:tc>
        <w:tc>
          <w:tcPr>
            <w:tcW w:w="337" w:type="pct"/>
            <w:tcBorders>
              <w:top w:val="nil"/>
              <w:left w:val="nil"/>
              <w:bottom w:val="single" w:sz="4" w:space="0" w:color="auto"/>
              <w:right w:val="single" w:sz="4" w:space="0" w:color="auto"/>
            </w:tcBorders>
            <w:shd w:val="clear" w:color="auto" w:fill="auto"/>
            <w:noWrap/>
            <w:vAlign w:val="center"/>
            <w:hideMark/>
          </w:tcPr>
          <w:p w14:paraId="6DDED742"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5</w:t>
            </w:r>
          </w:p>
        </w:tc>
        <w:tc>
          <w:tcPr>
            <w:tcW w:w="482" w:type="pct"/>
            <w:tcBorders>
              <w:top w:val="nil"/>
              <w:left w:val="nil"/>
              <w:bottom w:val="single" w:sz="4" w:space="0" w:color="auto"/>
              <w:right w:val="single" w:sz="4" w:space="0" w:color="auto"/>
            </w:tcBorders>
            <w:shd w:val="clear" w:color="auto" w:fill="auto"/>
            <w:noWrap/>
            <w:vAlign w:val="center"/>
            <w:hideMark/>
          </w:tcPr>
          <w:p w14:paraId="18F4E39C"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7</w:t>
            </w:r>
          </w:p>
        </w:tc>
        <w:tc>
          <w:tcPr>
            <w:tcW w:w="230" w:type="pct"/>
            <w:tcBorders>
              <w:top w:val="nil"/>
              <w:left w:val="nil"/>
              <w:bottom w:val="single" w:sz="4" w:space="0" w:color="auto"/>
              <w:right w:val="single" w:sz="4" w:space="0" w:color="auto"/>
            </w:tcBorders>
            <w:shd w:val="clear" w:color="auto" w:fill="auto"/>
            <w:noWrap/>
            <w:vAlign w:val="center"/>
            <w:hideMark/>
          </w:tcPr>
          <w:p w14:paraId="05CC890E"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1</w:t>
            </w:r>
          </w:p>
        </w:tc>
        <w:tc>
          <w:tcPr>
            <w:tcW w:w="250" w:type="pct"/>
            <w:tcBorders>
              <w:top w:val="nil"/>
              <w:left w:val="nil"/>
              <w:bottom w:val="single" w:sz="4" w:space="0" w:color="auto"/>
              <w:right w:val="single" w:sz="4" w:space="0" w:color="auto"/>
            </w:tcBorders>
            <w:shd w:val="clear" w:color="auto" w:fill="auto"/>
            <w:noWrap/>
            <w:vAlign w:val="center"/>
            <w:hideMark/>
          </w:tcPr>
          <w:p w14:paraId="12B2861A"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1</w:t>
            </w:r>
          </w:p>
        </w:tc>
        <w:tc>
          <w:tcPr>
            <w:tcW w:w="230" w:type="pct"/>
            <w:tcBorders>
              <w:top w:val="nil"/>
              <w:left w:val="nil"/>
              <w:bottom w:val="single" w:sz="4" w:space="0" w:color="auto"/>
              <w:right w:val="single" w:sz="4" w:space="0" w:color="auto"/>
            </w:tcBorders>
            <w:shd w:val="clear" w:color="auto" w:fill="auto"/>
            <w:noWrap/>
            <w:vAlign w:val="center"/>
            <w:hideMark/>
          </w:tcPr>
          <w:p w14:paraId="65CF46C5"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1</w:t>
            </w:r>
          </w:p>
        </w:tc>
      </w:tr>
      <w:tr w:rsidR="00305594" w:rsidRPr="007F78CE" w14:paraId="70E963F7" w14:textId="77777777" w:rsidTr="00305594">
        <w:trPr>
          <w:trHeight w:val="30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7676A463"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Type d’interaction</w:t>
            </w:r>
          </w:p>
        </w:tc>
        <w:tc>
          <w:tcPr>
            <w:tcW w:w="238" w:type="pct"/>
            <w:tcBorders>
              <w:top w:val="nil"/>
              <w:left w:val="nil"/>
              <w:bottom w:val="single" w:sz="4" w:space="0" w:color="auto"/>
              <w:right w:val="single" w:sz="4" w:space="0" w:color="auto"/>
            </w:tcBorders>
            <w:shd w:val="clear" w:color="auto" w:fill="auto"/>
            <w:noWrap/>
            <w:vAlign w:val="center"/>
            <w:hideMark/>
          </w:tcPr>
          <w:p w14:paraId="408D5DCE"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add</w:t>
            </w:r>
          </w:p>
        </w:tc>
        <w:tc>
          <w:tcPr>
            <w:tcW w:w="238" w:type="pct"/>
            <w:tcBorders>
              <w:top w:val="nil"/>
              <w:left w:val="nil"/>
              <w:bottom w:val="single" w:sz="4" w:space="0" w:color="auto"/>
              <w:right w:val="single" w:sz="4" w:space="0" w:color="auto"/>
            </w:tcBorders>
            <w:shd w:val="clear" w:color="auto" w:fill="auto"/>
            <w:noWrap/>
            <w:vAlign w:val="center"/>
            <w:hideMark/>
          </w:tcPr>
          <w:p w14:paraId="0A547AC9"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add</w:t>
            </w:r>
          </w:p>
        </w:tc>
        <w:tc>
          <w:tcPr>
            <w:tcW w:w="337" w:type="pct"/>
            <w:tcBorders>
              <w:top w:val="nil"/>
              <w:left w:val="nil"/>
              <w:bottom w:val="single" w:sz="4" w:space="0" w:color="auto"/>
              <w:right w:val="single" w:sz="4" w:space="0" w:color="auto"/>
            </w:tcBorders>
            <w:shd w:val="clear" w:color="auto" w:fill="auto"/>
            <w:noWrap/>
            <w:vAlign w:val="center"/>
            <w:hideMark/>
          </w:tcPr>
          <w:p w14:paraId="65F7276A"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add</w:t>
            </w:r>
          </w:p>
        </w:tc>
        <w:tc>
          <w:tcPr>
            <w:tcW w:w="337" w:type="pct"/>
            <w:tcBorders>
              <w:top w:val="nil"/>
              <w:left w:val="nil"/>
              <w:bottom w:val="single" w:sz="4" w:space="0" w:color="auto"/>
              <w:right w:val="single" w:sz="4" w:space="0" w:color="auto"/>
            </w:tcBorders>
            <w:shd w:val="clear" w:color="auto" w:fill="auto"/>
            <w:noWrap/>
            <w:vAlign w:val="center"/>
            <w:hideMark/>
          </w:tcPr>
          <w:p w14:paraId="55B008C4"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add</w:t>
            </w:r>
          </w:p>
        </w:tc>
        <w:tc>
          <w:tcPr>
            <w:tcW w:w="289" w:type="pct"/>
            <w:tcBorders>
              <w:top w:val="nil"/>
              <w:left w:val="nil"/>
              <w:bottom w:val="single" w:sz="4" w:space="0" w:color="auto"/>
              <w:right w:val="single" w:sz="4" w:space="0" w:color="auto"/>
            </w:tcBorders>
            <w:shd w:val="clear" w:color="auto" w:fill="auto"/>
            <w:noWrap/>
            <w:vAlign w:val="center"/>
            <w:hideMark/>
          </w:tcPr>
          <w:p w14:paraId="5D4D1953"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add</w:t>
            </w:r>
          </w:p>
        </w:tc>
        <w:tc>
          <w:tcPr>
            <w:tcW w:w="366" w:type="pct"/>
            <w:tcBorders>
              <w:top w:val="nil"/>
              <w:left w:val="nil"/>
              <w:bottom w:val="single" w:sz="4" w:space="0" w:color="auto"/>
              <w:right w:val="single" w:sz="4" w:space="0" w:color="auto"/>
            </w:tcBorders>
            <w:shd w:val="clear" w:color="auto" w:fill="auto"/>
            <w:noWrap/>
            <w:vAlign w:val="center"/>
            <w:hideMark/>
          </w:tcPr>
          <w:p w14:paraId="71D161FC"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add</w:t>
            </w:r>
          </w:p>
        </w:tc>
        <w:tc>
          <w:tcPr>
            <w:tcW w:w="337" w:type="pct"/>
            <w:tcBorders>
              <w:top w:val="nil"/>
              <w:left w:val="nil"/>
              <w:bottom w:val="single" w:sz="4" w:space="0" w:color="auto"/>
              <w:right w:val="single" w:sz="4" w:space="0" w:color="auto"/>
            </w:tcBorders>
            <w:shd w:val="clear" w:color="auto" w:fill="auto"/>
            <w:noWrap/>
            <w:vAlign w:val="center"/>
            <w:hideMark/>
          </w:tcPr>
          <w:p w14:paraId="08A902C7"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add</w:t>
            </w:r>
          </w:p>
        </w:tc>
        <w:tc>
          <w:tcPr>
            <w:tcW w:w="482" w:type="pct"/>
            <w:tcBorders>
              <w:top w:val="nil"/>
              <w:left w:val="nil"/>
              <w:bottom w:val="single" w:sz="4" w:space="0" w:color="auto"/>
              <w:right w:val="single" w:sz="4" w:space="0" w:color="auto"/>
            </w:tcBorders>
            <w:shd w:val="clear" w:color="auto" w:fill="auto"/>
            <w:noWrap/>
            <w:vAlign w:val="center"/>
            <w:hideMark/>
          </w:tcPr>
          <w:p w14:paraId="56DC3414"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syn</w:t>
            </w:r>
          </w:p>
        </w:tc>
        <w:tc>
          <w:tcPr>
            <w:tcW w:w="230" w:type="pct"/>
            <w:tcBorders>
              <w:top w:val="nil"/>
              <w:left w:val="nil"/>
              <w:bottom w:val="single" w:sz="4" w:space="0" w:color="auto"/>
              <w:right w:val="single" w:sz="4" w:space="0" w:color="auto"/>
            </w:tcBorders>
            <w:shd w:val="clear" w:color="auto" w:fill="auto"/>
            <w:noWrap/>
            <w:vAlign w:val="center"/>
            <w:hideMark/>
          </w:tcPr>
          <w:p w14:paraId="58C6CE69"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add</w:t>
            </w:r>
          </w:p>
        </w:tc>
        <w:tc>
          <w:tcPr>
            <w:tcW w:w="250" w:type="pct"/>
            <w:tcBorders>
              <w:top w:val="nil"/>
              <w:left w:val="nil"/>
              <w:bottom w:val="single" w:sz="4" w:space="0" w:color="auto"/>
              <w:right w:val="single" w:sz="4" w:space="0" w:color="auto"/>
            </w:tcBorders>
            <w:shd w:val="clear" w:color="auto" w:fill="auto"/>
            <w:noWrap/>
            <w:vAlign w:val="center"/>
            <w:hideMark/>
          </w:tcPr>
          <w:p w14:paraId="5DE9889B"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add</w:t>
            </w:r>
          </w:p>
        </w:tc>
        <w:tc>
          <w:tcPr>
            <w:tcW w:w="230" w:type="pct"/>
            <w:tcBorders>
              <w:top w:val="nil"/>
              <w:left w:val="nil"/>
              <w:bottom w:val="single" w:sz="4" w:space="0" w:color="auto"/>
              <w:right w:val="single" w:sz="4" w:space="0" w:color="auto"/>
            </w:tcBorders>
            <w:shd w:val="clear" w:color="auto" w:fill="auto"/>
            <w:noWrap/>
            <w:vAlign w:val="center"/>
            <w:hideMark/>
          </w:tcPr>
          <w:p w14:paraId="632A82D0"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add</w:t>
            </w:r>
          </w:p>
        </w:tc>
      </w:tr>
      <w:tr w:rsidR="00305594" w:rsidRPr="007F78CE" w14:paraId="65DD4A4F" w14:textId="77777777" w:rsidTr="58DCDDAF">
        <w:trPr>
          <w:trHeight w:val="30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44ACE4FB"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Importance des impacts cumulatifs</w:t>
            </w:r>
          </w:p>
        </w:tc>
        <w:tc>
          <w:tcPr>
            <w:tcW w:w="238" w:type="pct"/>
            <w:tcBorders>
              <w:top w:val="nil"/>
              <w:left w:val="nil"/>
              <w:bottom w:val="single" w:sz="4" w:space="0" w:color="auto"/>
              <w:right w:val="single" w:sz="4" w:space="0" w:color="auto"/>
            </w:tcBorders>
            <w:shd w:val="clear" w:color="auto" w:fill="00B050"/>
            <w:noWrap/>
            <w:vAlign w:val="center"/>
            <w:hideMark/>
          </w:tcPr>
          <w:p w14:paraId="37D93A8A"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238" w:type="pct"/>
            <w:tcBorders>
              <w:top w:val="nil"/>
              <w:left w:val="nil"/>
              <w:bottom w:val="single" w:sz="4" w:space="0" w:color="auto"/>
              <w:right w:val="single" w:sz="4" w:space="0" w:color="auto"/>
            </w:tcBorders>
            <w:shd w:val="clear" w:color="auto" w:fill="FF0000"/>
            <w:noWrap/>
            <w:vAlign w:val="center"/>
            <w:hideMark/>
          </w:tcPr>
          <w:p w14:paraId="23A7934E"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Maj</w:t>
            </w:r>
          </w:p>
        </w:tc>
        <w:tc>
          <w:tcPr>
            <w:tcW w:w="337" w:type="pct"/>
            <w:tcBorders>
              <w:top w:val="nil"/>
              <w:left w:val="nil"/>
              <w:bottom w:val="single" w:sz="4" w:space="0" w:color="auto"/>
              <w:right w:val="single" w:sz="4" w:space="0" w:color="auto"/>
            </w:tcBorders>
            <w:shd w:val="clear" w:color="auto" w:fill="FFFF00"/>
            <w:noWrap/>
            <w:vAlign w:val="center"/>
            <w:hideMark/>
          </w:tcPr>
          <w:p w14:paraId="6ECAE2A3"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Mo</w:t>
            </w:r>
          </w:p>
        </w:tc>
        <w:tc>
          <w:tcPr>
            <w:tcW w:w="337" w:type="pct"/>
            <w:tcBorders>
              <w:top w:val="nil"/>
              <w:left w:val="nil"/>
              <w:bottom w:val="single" w:sz="4" w:space="0" w:color="auto"/>
              <w:right w:val="single" w:sz="4" w:space="0" w:color="auto"/>
            </w:tcBorders>
            <w:shd w:val="clear" w:color="auto" w:fill="00B050"/>
            <w:noWrap/>
            <w:vAlign w:val="center"/>
            <w:hideMark/>
          </w:tcPr>
          <w:p w14:paraId="7865761B"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289" w:type="pct"/>
            <w:tcBorders>
              <w:top w:val="nil"/>
              <w:left w:val="nil"/>
              <w:bottom w:val="single" w:sz="4" w:space="0" w:color="auto"/>
              <w:right w:val="single" w:sz="4" w:space="0" w:color="auto"/>
            </w:tcBorders>
            <w:shd w:val="clear" w:color="auto" w:fill="00B050"/>
            <w:noWrap/>
            <w:vAlign w:val="center"/>
            <w:hideMark/>
          </w:tcPr>
          <w:p w14:paraId="6770E36A"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366" w:type="pct"/>
            <w:tcBorders>
              <w:top w:val="nil"/>
              <w:left w:val="nil"/>
              <w:bottom w:val="single" w:sz="4" w:space="0" w:color="auto"/>
              <w:right w:val="single" w:sz="4" w:space="0" w:color="auto"/>
            </w:tcBorders>
            <w:shd w:val="clear" w:color="auto" w:fill="00B050"/>
            <w:noWrap/>
            <w:vAlign w:val="center"/>
            <w:hideMark/>
          </w:tcPr>
          <w:p w14:paraId="70D15237"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Min</w:t>
            </w:r>
          </w:p>
        </w:tc>
        <w:tc>
          <w:tcPr>
            <w:tcW w:w="337" w:type="pct"/>
            <w:tcBorders>
              <w:top w:val="nil"/>
              <w:left w:val="nil"/>
              <w:bottom w:val="single" w:sz="4" w:space="0" w:color="auto"/>
              <w:right w:val="single" w:sz="4" w:space="0" w:color="auto"/>
            </w:tcBorders>
            <w:shd w:val="clear" w:color="auto" w:fill="FFFF00"/>
            <w:noWrap/>
            <w:vAlign w:val="center"/>
            <w:hideMark/>
          </w:tcPr>
          <w:p w14:paraId="294BF9B9"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Mo</w:t>
            </w:r>
          </w:p>
        </w:tc>
        <w:tc>
          <w:tcPr>
            <w:tcW w:w="482" w:type="pct"/>
            <w:tcBorders>
              <w:top w:val="nil"/>
              <w:left w:val="nil"/>
              <w:bottom w:val="single" w:sz="4" w:space="0" w:color="auto"/>
              <w:right w:val="single" w:sz="4" w:space="0" w:color="auto"/>
            </w:tcBorders>
            <w:shd w:val="clear" w:color="auto" w:fill="FF0000"/>
            <w:noWrap/>
            <w:vAlign w:val="center"/>
            <w:hideMark/>
          </w:tcPr>
          <w:p w14:paraId="62B7FDDB"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Maj</w:t>
            </w:r>
          </w:p>
        </w:tc>
        <w:tc>
          <w:tcPr>
            <w:tcW w:w="230" w:type="pct"/>
            <w:tcBorders>
              <w:top w:val="nil"/>
              <w:left w:val="nil"/>
              <w:bottom w:val="single" w:sz="4" w:space="0" w:color="auto"/>
              <w:right w:val="single" w:sz="4" w:space="0" w:color="auto"/>
            </w:tcBorders>
            <w:shd w:val="clear" w:color="auto" w:fill="FFFF00"/>
            <w:noWrap/>
            <w:vAlign w:val="center"/>
            <w:hideMark/>
          </w:tcPr>
          <w:p w14:paraId="4792979F"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Mo</w:t>
            </w:r>
          </w:p>
        </w:tc>
        <w:tc>
          <w:tcPr>
            <w:tcW w:w="250" w:type="pct"/>
            <w:tcBorders>
              <w:top w:val="nil"/>
              <w:left w:val="nil"/>
              <w:bottom w:val="single" w:sz="4" w:space="0" w:color="auto"/>
              <w:right w:val="single" w:sz="4" w:space="0" w:color="auto"/>
            </w:tcBorders>
            <w:shd w:val="clear" w:color="auto" w:fill="FFFF00"/>
            <w:noWrap/>
            <w:vAlign w:val="center"/>
            <w:hideMark/>
          </w:tcPr>
          <w:p w14:paraId="5DCF792A"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Mo</w:t>
            </w:r>
          </w:p>
        </w:tc>
        <w:tc>
          <w:tcPr>
            <w:tcW w:w="230" w:type="pct"/>
            <w:tcBorders>
              <w:top w:val="nil"/>
              <w:left w:val="nil"/>
              <w:bottom w:val="single" w:sz="4" w:space="0" w:color="auto"/>
              <w:right w:val="single" w:sz="4" w:space="0" w:color="auto"/>
            </w:tcBorders>
            <w:shd w:val="clear" w:color="auto" w:fill="FFFF00"/>
            <w:noWrap/>
            <w:vAlign w:val="center"/>
            <w:hideMark/>
          </w:tcPr>
          <w:p w14:paraId="7B682841"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Mo</w:t>
            </w:r>
          </w:p>
        </w:tc>
      </w:tr>
      <w:tr w:rsidR="00305594" w:rsidRPr="007F78CE" w14:paraId="02C8729B" w14:textId="77777777" w:rsidTr="00305594">
        <w:trPr>
          <w:trHeight w:val="30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7578ACE9"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Influence du Projet DECIM</w:t>
            </w:r>
          </w:p>
        </w:tc>
        <w:tc>
          <w:tcPr>
            <w:tcW w:w="238" w:type="pct"/>
            <w:tcBorders>
              <w:top w:val="nil"/>
              <w:left w:val="nil"/>
              <w:bottom w:val="single" w:sz="4" w:space="0" w:color="auto"/>
              <w:right w:val="single" w:sz="4" w:space="0" w:color="auto"/>
            </w:tcBorders>
            <w:shd w:val="clear" w:color="auto" w:fill="auto"/>
            <w:noWrap/>
            <w:vAlign w:val="center"/>
            <w:hideMark/>
          </w:tcPr>
          <w:p w14:paraId="318E5C48" w14:textId="77777777" w:rsidR="00305594" w:rsidRPr="00F841A8" w:rsidRDefault="00305594" w:rsidP="00F841A8">
            <w:pPr>
              <w:spacing w:after="0" w:line="240" w:lineRule="auto"/>
              <w:jc w:val="center"/>
              <w:rPr>
                <w:rFonts w:ascii="Arial" w:eastAsia="Times New Roman" w:hAnsi="Arial" w:cs="Arial"/>
                <w:color w:val="00B050"/>
                <w:sz w:val="18"/>
                <w:szCs w:val="18"/>
                <w:lang w:eastAsia="fr-FR"/>
              </w:rPr>
            </w:pPr>
            <w:r w:rsidRPr="00F841A8">
              <w:rPr>
                <w:rFonts w:ascii="Arial" w:eastAsia="Times New Roman" w:hAnsi="Arial" w:cs="Arial"/>
                <w:color w:val="00B050"/>
                <w:sz w:val="18"/>
                <w:szCs w:val="18"/>
                <w:lang w:eastAsia="fr-FR"/>
              </w:rPr>
              <w:t>Fa</w:t>
            </w:r>
          </w:p>
        </w:tc>
        <w:tc>
          <w:tcPr>
            <w:tcW w:w="238" w:type="pct"/>
            <w:tcBorders>
              <w:top w:val="nil"/>
              <w:left w:val="nil"/>
              <w:bottom w:val="single" w:sz="4" w:space="0" w:color="auto"/>
              <w:right w:val="single" w:sz="4" w:space="0" w:color="auto"/>
            </w:tcBorders>
            <w:shd w:val="clear" w:color="auto" w:fill="auto"/>
            <w:noWrap/>
            <w:vAlign w:val="center"/>
            <w:hideMark/>
          </w:tcPr>
          <w:p w14:paraId="3D7716E4" w14:textId="77777777" w:rsidR="00305594" w:rsidRPr="00F841A8" w:rsidRDefault="00305594" w:rsidP="00F841A8">
            <w:pPr>
              <w:spacing w:after="0" w:line="240" w:lineRule="auto"/>
              <w:jc w:val="center"/>
              <w:rPr>
                <w:rFonts w:ascii="Arial" w:eastAsia="Times New Roman" w:hAnsi="Arial" w:cs="Arial"/>
                <w:color w:val="E36C0A"/>
                <w:sz w:val="18"/>
                <w:szCs w:val="18"/>
                <w:lang w:eastAsia="fr-FR"/>
              </w:rPr>
            </w:pPr>
            <w:r w:rsidRPr="00F841A8">
              <w:rPr>
                <w:rFonts w:ascii="Arial" w:eastAsia="Times New Roman" w:hAnsi="Arial" w:cs="Arial"/>
                <w:color w:val="E36C0A"/>
                <w:sz w:val="18"/>
                <w:szCs w:val="18"/>
                <w:lang w:eastAsia="fr-FR"/>
              </w:rPr>
              <w:t>Si</w:t>
            </w:r>
          </w:p>
        </w:tc>
        <w:tc>
          <w:tcPr>
            <w:tcW w:w="337" w:type="pct"/>
            <w:tcBorders>
              <w:top w:val="nil"/>
              <w:left w:val="nil"/>
              <w:bottom w:val="single" w:sz="4" w:space="0" w:color="auto"/>
              <w:right w:val="single" w:sz="4" w:space="0" w:color="auto"/>
            </w:tcBorders>
            <w:shd w:val="clear" w:color="auto" w:fill="auto"/>
            <w:noWrap/>
            <w:vAlign w:val="center"/>
            <w:hideMark/>
          </w:tcPr>
          <w:p w14:paraId="1CB5EF6A" w14:textId="77777777" w:rsidR="00305594" w:rsidRPr="00F841A8" w:rsidRDefault="00305594" w:rsidP="00F841A8">
            <w:pPr>
              <w:spacing w:after="0" w:line="240" w:lineRule="auto"/>
              <w:jc w:val="center"/>
              <w:rPr>
                <w:rFonts w:ascii="Arial" w:eastAsia="Times New Roman" w:hAnsi="Arial" w:cs="Arial"/>
                <w:color w:val="00B050"/>
                <w:sz w:val="18"/>
                <w:szCs w:val="18"/>
                <w:lang w:eastAsia="fr-FR"/>
              </w:rPr>
            </w:pPr>
            <w:r w:rsidRPr="00F841A8">
              <w:rPr>
                <w:rFonts w:ascii="Arial" w:eastAsia="Times New Roman" w:hAnsi="Arial" w:cs="Arial"/>
                <w:color w:val="00B050"/>
                <w:sz w:val="18"/>
                <w:szCs w:val="18"/>
                <w:lang w:eastAsia="fr-FR"/>
              </w:rPr>
              <w:t>Fa</w:t>
            </w:r>
          </w:p>
        </w:tc>
        <w:tc>
          <w:tcPr>
            <w:tcW w:w="337" w:type="pct"/>
            <w:tcBorders>
              <w:top w:val="nil"/>
              <w:left w:val="nil"/>
              <w:bottom w:val="single" w:sz="4" w:space="0" w:color="auto"/>
              <w:right w:val="single" w:sz="4" w:space="0" w:color="auto"/>
            </w:tcBorders>
            <w:shd w:val="clear" w:color="auto" w:fill="auto"/>
            <w:noWrap/>
            <w:vAlign w:val="center"/>
            <w:hideMark/>
          </w:tcPr>
          <w:p w14:paraId="0AAE6D09" w14:textId="77777777" w:rsidR="00305594" w:rsidRPr="00F841A8" w:rsidRDefault="00305594" w:rsidP="00F841A8">
            <w:pPr>
              <w:spacing w:after="0" w:line="240" w:lineRule="auto"/>
              <w:jc w:val="center"/>
              <w:rPr>
                <w:rFonts w:ascii="Arial" w:eastAsia="Times New Roman" w:hAnsi="Arial" w:cs="Arial"/>
                <w:color w:val="00B050"/>
                <w:sz w:val="18"/>
                <w:szCs w:val="18"/>
                <w:lang w:eastAsia="fr-FR"/>
              </w:rPr>
            </w:pPr>
            <w:r w:rsidRPr="00F841A8">
              <w:rPr>
                <w:rFonts w:ascii="Arial" w:eastAsia="Times New Roman" w:hAnsi="Arial" w:cs="Arial"/>
                <w:color w:val="00B050"/>
                <w:sz w:val="18"/>
                <w:szCs w:val="18"/>
                <w:lang w:eastAsia="fr-FR"/>
              </w:rPr>
              <w:t>Fa</w:t>
            </w:r>
          </w:p>
        </w:tc>
        <w:tc>
          <w:tcPr>
            <w:tcW w:w="289" w:type="pct"/>
            <w:tcBorders>
              <w:top w:val="nil"/>
              <w:left w:val="nil"/>
              <w:bottom w:val="single" w:sz="4" w:space="0" w:color="auto"/>
              <w:right w:val="single" w:sz="4" w:space="0" w:color="auto"/>
            </w:tcBorders>
            <w:shd w:val="clear" w:color="auto" w:fill="auto"/>
            <w:noWrap/>
            <w:vAlign w:val="center"/>
            <w:hideMark/>
          </w:tcPr>
          <w:p w14:paraId="6099963C" w14:textId="77777777" w:rsidR="00305594" w:rsidRPr="00F841A8" w:rsidRDefault="00305594" w:rsidP="00F841A8">
            <w:pPr>
              <w:spacing w:after="0" w:line="240" w:lineRule="auto"/>
              <w:jc w:val="center"/>
              <w:rPr>
                <w:rFonts w:ascii="Arial" w:eastAsia="Times New Roman" w:hAnsi="Arial" w:cs="Arial"/>
                <w:color w:val="00B050"/>
                <w:sz w:val="18"/>
                <w:szCs w:val="18"/>
                <w:lang w:eastAsia="fr-FR"/>
              </w:rPr>
            </w:pPr>
            <w:r w:rsidRPr="00F841A8">
              <w:rPr>
                <w:rFonts w:ascii="Arial" w:eastAsia="Times New Roman" w:hAnsi="Arial" w:cs="Arial"/>
                <w:color w:val="00B050"/>
                <w:sz w:val="18"/>
                <w:szCs w:val="18"/>
                <w:lang w:eastAsia="fr-FR"/>
              </w:rPr>
              <w:t>Fa</w:t>
            </w:r>
          </w:p>
        </w:tc>
        <w:tc>
          <w:tcPr>
            <w:tcW w:w="366" w:type="pct"/>
            <w:tcBorders>
              <w:top w:val="nil"/>
              <w:left w:val="nil"/>
              <w:bottom w:val="single" w:sz="4" w:space="0" w:color="auto"/>
              <w:right w:val="single" w:sz="4" w:space="0" w:color="auto"/>
            </w:tcBorders>
            <w:shd w:val="clear" w:color="auto" w:fill="auto"/>
            <w:noWrap/>
            <w:vAlign w:val="center"/>
            <w:hideMark/>
          </w:tcPr>
          <w:p w14:paraId="7F255CD3" w14:textId="77777777" w:rsidR="00305594" w:rsidRPr="00F841A8" w:rsidRDefault="00305594" w:rsidP="00F841A8">
            <w:pPr>
              <w:spacing w:after="0" w:line="240" w:lineRule="auto"/>
              <w:jc w:val="center"/>
              <w:rPr>
                <w:rFonts w:ascii="Arial" w:eastAsia="Times New Roman" w:hAnsi="Arial" w:cs="Arial"/>
                <w:color w:val="00B050"/>
                <w:sz w:val="18"/>
                <w:szCs w:val="18"/>
                <w:lang w:eastAsia="fr-FR"/>
              </w:rPr>
            </w:pPr>
            <w:r w:rsidRPr="00F841A8">
              <w:rPr>
                <w:rFonts w:ascii="Arial" w:eastAsia="Times New Roman" w:hAnsi="Arial" w:cs="Arial"/>
                <w:color w:val="00B050"/>
                <w:sz w:val="18"/>
                <w:szCs w:val="18"/>
                <w:lang w:eastAsia="fr-FR"/>
              </w:rPr>
              <w:t>Fa</w:t>
            </w:r>
          </w:p>
        </w:tc>
        <w:tc>
          <w:tcPr>
            <w:tcW w:w="337" w:type="pct"/>
            <w:tcBorders>
              <w:top w:val="nil"/>
              <w:left w:val="nil"/>
              <w:bottom w:val="single" w:sz="4" w:space="0" w:color="auto"/>
              <w:right w:val="single" w:sz="4" w:space="0" w:color="auto"/>
            </w:tcBorders>
            <w:shd w:val="clear" w:color="auto" w:fill="auto"/>
            <w:noWrap/>
            <w:vAlign w:val="center"/>
            <w:hideMark/>
          </w:tcPr>
          <w:p w14:paraId="57671378" w14:textId="77777777" w:rsidR="00305594" w:rsidRPr="00F841A8" w:rsidRDefault="00305594" w:rsidP="00F841A8">
            <w:pPr>
              <w:spacing w:after="0" w:line="240" w:lineRule="auto"/>
              <w:jc w:val="center"/>
              <w:rPr>
                <w:rFonts w:ascii="Arial" w:eastAsia="Times New Roman" w:hAnsi="Arial" w:cs="Arial"/>
                <w:color w:val="E36C0A"/>
                <w:sz w:val="18"/>
                <w:szCs w:val="18"/>
                <w:lang w:eastAsia="fr-FR"/>
              </w:rPr>
            </w:pPr>
            <w:r w:rsidRPr="00F841A8">
              <w:rPr>
                <w:rFonts w:ascii="Arial" w:eastAsia="Times New Roman" w:hAnsi="Arial" w:cs="Arial"/>
                <w:color w:val="E36C0A"/>
                <w:sz w:val="18"/>
                <w:szCs w:val="18"/>
                <w:lang w:eastAsia="fr-FR"/>
              </w:rPr>
              <w:t>Si</w:t>
            </w:r>
          </w:p>
        </w:tc>
        <w:tc>
          <w:tcPr>
            <w:tcW w:w="482" w:type="pct"/>
            <w:tcBorders>
              <w:top w:val="nil"/>
              <w:left w:val="nil"/>
              <w:bottom w:val="single" w:sz="4" w:space="0" w:color="auto"/>
              <w:right w:val="single" w:sz="4" w:space="0" w:color="auto"/>
            </w:tcBorders>
            <w:shd w:val="clear" w:color="auto" w:fill="auto"/>
            <w:noWrap/>
            <w:vAlign w:val="center"/>
            <w:hideMark/>
          </w:tcPr>
          <w:p w14:paraId="2862D682" w14:textId="77777777" w:rsidR="00305594" w:rsidRPr="00F841A8" w:rsidRDefault="00305594" w:rsidP="00F841A8">
            <w:pPr>
              <w:spacing w:after="0" w:line="240" w:lineRule="auto"/>
              <w:jc w:val="center"/>
              <w:rPr>
                <w:rFonts w:ascii="Arial" w:eastAsia="Times New Roman" w:hAnsi="Arial" w:cs="Arial"/>
                <w:color w:val="E36C0A"/>
                <w:sz w:val="18"/>
                <w:szCs w:val="18"/>
                <w:lang w:eastAsia="fr-FR"/>
              </w:rPr>
            </w:pPr>
            <w:r w:rsidRPr="00F841A8">
              <w:rPr>
                <w:rFonts w:ascii="Arial" w:eastAsia="Times New Roman" w:hAnsi="Arial" w:cs="Arial"/>
                <w:color w:val="E36C0A"/>
                <w:sz w:val="18"/>
                <w:szCs w:val="18"/>
                <w:lang w:eastAsia="fr-FR"/>
              </w:rPr>
              <w:t>Si</w:t>
            </w:r>
          </w:p>
        </w:tc>
        <w:tc>
          <w:tcPr>
            <w:tcW w:w="230" w:type="pct"/>
            <w:tcBorders>
              <w:top w:val="nil"/>
              <w:left w:val="nil"/>
              <w:bottom w:val="single" w:sz="4" w:space="0" w:color="auto"/>
              <w:right w:val="single" w:sz="4" w:space="0" w:color="auto"/>
            </w:tcBorders>
            <w:shd w:val="clear" w:color="auto" w:fill="auto"/>
            <w:noWrap/>
            <w:vAlign w:val="center"/>
            <w:hideMark/>
          </w:tcPr>
          <w:p w14:paraId="72CC12FD" w14:textId="77777777" w:rsidR="00305594" w:rsidRPr="00F841A8" w:rsidRDefault="00305594" w:rsidP="00F841A8">
            <w:pPr>
              <w:spacing w:after="0" w:line="240" w:lineRule="auto"/>
              <w:jc w:val="center"/>
              <w:rPr>
                <w:rFonts w:ascii="Arial" w:eastAsia="Times New Roman" w:hAnsi="Arial" w:cs="Arial"/>
                <w:color w:val="E36C0A"/>
                <w:sz w:val="18"/>
                <w:szCs w:val="18"/>
                <w:lang w:eastAsia="fr-FR"/>
              </w:rPr>
            </w:pPr>
            <w:r w:rsidRPr="00F841A8">
              <w:rPr>
                <w:rFonts w:ascii="Arial" w:eastAsia="Times New Roman" w:hAnsi="Arial" w:cs="Arial"/>
                <w:color w:val="E36C0A"/>
                <w:sz w:val="18"/>
                <w:szCs w:val="18"/>
                <w:lang w:eastAsia="fr-FR"/>
              </w:rPr>
              <w:t>Si</w:t>
            </w:r>
          </w:p>
        </w:tc>
        <w:tc>
          <w:tcPr>
            <w:tcW w:w="250" w:type="pct"/>
            <w:tcBorders>
              <w:top w:val="nil"/>
              <w:left w:val="nil"/>
              <w:bottom w:val="single" w:sz="4" w:space="0" w:color="auto"/>
              <w:right w:val="single" w:sz="4" w:space="0" w:color="auto"/>
            </w:tcBorders>
            <w:shd w:val="clear" w:color="auto" w:fill="auto"/>
            <w:noWrap/>
            <w:vAlign w:val="center"/>
            <w:hideMark/>
          </w:tcPr>
          <w:p w14:paraId="1A0164FB" w14:textId="77777777" w:rsidR="00305594" w:rsidRPr="00F841A8" w:rsidRDefault="00305594" w:rsidP="00F841A8">
            <w:pPr>
              <w:spacing w:after="0" w:line="240" w:lineRule="auto"/>
              <w:jc w:val="center"/>
              <w:rPr>
                <w:rFonts w:ascii="Arial" w:eastAsia="Times New Roman" w:hAnsi="Arial" w:cs="Arial"/>
                <w:color w:val="E36C0A"/>
                <w:sz w:val="18"/>
                <w:szCs w:val="18"/>
                <w:lang w:eastAsia="fr-FR"/>
              </w:rPr>
            </w:pPr>
            <w:r w:rsidRPr="00F841A8">
              <w:rPr>
                <w:rFonts w:ascii="Arial" w:eastAsia="Times New Roman" w:hAnsi="Arial" w:cs="Arial"/>
                <w:color w:val="E36C0A"/>
                <w:sz w:val="18"/>
                <w:szCs w:val="18"/>
                <w:lang w:eastAsia="fr-FR"/>
              </w:rPr>
              <w:t>Si</w:t>
            </w:r>
          </w:p>
        </w:tc>
        <w:tc>
          <w:tcPr>
            <w:tcW w:w="230" w:type="pct"/>
            <w:tcBorders>
              <w:top w:val="nil"/>
              <w:left w:val="nil"/>
              <w:bottom w:val="single" w:sz="4" w:space="0" w:color="auto"/>
              <w:right w:val="single" w:sz="4" w:space="0" w:color="auto"/>
            </w:tcBorders>
            <w:shd w:val="clear" w:color="auto" w:fill="auto"/>
            <w:noWrap/>
            <w:vAlign w:val="center"/>
            <w:hideMark/>
          </w:tcPr>
          <w:p w14:paraId="428BA868" w14:textId="77777777" w:rsidR="00305594" w:rsidRPr="00F841A8" w:rsidRDefault="00305594" w:rsidP="00F841A8">
            <w:pPr>
              <w:spacing w:after="0" w:line="240" w:lineRule="auto"/>
              <w:jc w:val="center"/>
              <w:rPr>
                <w:rFonts w:ascii="Arial" w:eastAsia="Times New Roman" w:hAnsi="Arial" w:cs="Arial"/>
                <w:color w:val="E36C0A"/>
                <w:sz w:val="18"/>
                <w:szCs w:val="18"/>
                <w:lang w:eastAsia="fr-FR"/>
              </w:rPr>
            </w:pPr>
            <w:r w:rsidRPr="00F841A8">
              <w:rPr>
                <w:rFonts w:ascii="Arial" w:eastAsia="Times New Roman" w:hAnsi="Arial" w:cs="Arial"/>
                <w:color w:val="E36C0A"/>
                <w:sz w:val="18"/>
                <w:szCs w:val="18"/>
                <w:lang w:eastAsia="fr-FR"/>
              </w:rPr>
              <w:t>Si</w:t>
            </w:r>
          </w:p>
        </w:tc>
      </w:tr>
      <w:tr w:rsidR="00305594" w:rsidRPr="007F78CE" w14:paraId="3BF1AABE" w14:textId="77777777" w:rsidTr="00305594">
        <w:trPr>
          <w:trHeight w:val="30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5EE14919" w14:textId="77777777" w:rsidR="00305594" w:rsidRPr="00F841A8" w:rsidRDefault="00305594" w:rsidP="00F841A8">
            <w:pPr>
              <w:spacing w:after="0" w:line="240" w:lineRule="auto"/>
              <w:rPr>
                <w:rFonts w:ascii="Arial" w:eastAsia="Times New Roman" w:hAnsi="Arial" w:cs="Arial"/>
                <w:color w:val="000000"/>
                <w:sz w:val="18"/>
                <w:szCs w:val="18"/>
                <w:lang w:eastAsia="fr-FR"/>
              </w:rPr>
            </w:pPr>
            <w:r w:rsidRPr="00F841A8">
              <w:rPr>
                <w:rFonts w:ascii="Arial" w:eastAsia="Times New Roman" w:hAnsi="Arial" w:cs="Arial"/>
                <w:color w:val="000000"/>
                <w:sz w:val="18"/>
                <w:szCs w:val="18"/>
                <w:lang w:eastAsia="fr-FR"/>
              </w:rPr>
              <w:t>Mesures complémentaires</w:t>
            </w:r>
          </w:p>
        </w:tc>
        <w:tc>
          <w:tcPr>
            <w:tcW w:w="238" w:type="pct"/>
            <w:tcBorders>
              <w:top w:val="nil"/>
              <w:left w:val="nil"/>
              <w:bottom w:val="single" w:sz="4" w:space="0" w:color="auto"/>
              <w:right w:val="single" w:sz="4" w:space="0" w:color="auto"/>
            </w:tcBorders>
            <w:shd w:val="clear" w:color="auto" w:fill="auto"/>
            <w:noWrap/>
            <w:vAlign w:val="center"/>
            <w:hideMark/>
          </w:tcPr>
          <w:p w14:paraId="03BE250C"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00B050"/>
                <w:sz w:val="18"/>
                <w:szCs w:val="18"/>
                <w:lang w:eastAsia="fr-FR"/>
              </w:rPr>
              <w:t>N</w:t>
            </w:r>
          </w:p>
        </w:tc>
        <w:tc>
          <w:tcPr>
            <w:tcW w:w="238" w:type="pct"/>
            <w:tcBorders>
              <w:top w:val="nil"/>
              <w:left w:val="nil"/>
              <w:bottom w:val="single" w:sz="4" w:space="0" w:color="auto"/>
              <w:right w:val="single" w:sz="4" w:space="0" w:color="auto"/>
            </w:tcBorders>
            <w:shd w:val="clear" w:color="auto" w:fill="auto"/>
            <w:noWrap/>
            <w:vAlign w:val="center"/>
            <w:hideMark/>
          </w:tcPr>
          <w:p w14:paraId="309FE320" w14:textId="77777777" w:rsidR="00305594" w:rsidRPr="00F841A8" w:rsidRDefault="00305594" w:rsidP="00F841A8">
            <w:pPr>
              <w:spacing w:after="0" w:line="240" w:lineRule="auto"/>
              <w:jc w:val="center"/>
              <w:rPr>
                <w:rFonts w:ascii="Arial" w:eastAsia="Times New Roman" w:hAnsi="Arial" w:cs="Arial"/>
                <w:color w:val="000000"/>
                <w:sz w:val="18"/>
                <w:szCs w:val="18"/>
                <w:lang w:eastAsia="fr-FR"/>
              </w:rPr>
            </w:pPr>
            <w:r w:rsidRPr="00F841A8">
              <w:rPr>
                <w:rFonts w:ascii="Arial" w:eastAsia="Times New Roman" w:hAnsi="Arial" w:cs="Arial"/>
                <w:color w:val="FF0000"/>
                <w:sz w:val="18"/>
                <w:szCs w:val="18"/>
                <w:lang w:eastAsia="fr-FR"/>
              </w:rPr>
              <w:t>0</w:t>
            </w:r>
          </w:p>
        </w:tc>
        <w:tc>
          <w:tcPr>
            <w:tcW w:w="337" w:type="pct"/>
            <w:tcBorders>
              <w:top w:val="nil"/>
              <w:left w:val="nil"/>
              <w:bottom w:val="single" w:sz="4" w:space="0" w:color="auto"/>
              <w:right w:val="single" w:sz="4" w:space="0" w:color="auto"/>
            </w:tcBorders>
            <w:shd w:val="clear" w:color="auto" w:fill="auto"/>
            <w:noWrap/>
            <w:vAlign w:val="center"/>
            <w:hideMark/>
          </w:tcPr>
          <w:p w14:paraId="00D90B16" w14:textId="77777777" w:rsidR="00305594" w:rsidRPr="00F841A8" w:rsidRDefault="00305594" w:rsidP="00F841A8">
            <w:pPr>
              <w:spacing w:after="0" w:line="240" w:lineRule="auto"/>
              <w:jc w:val="center"/>
              <w:rPr>
                <w:rFonts w:ascii="Arial" w:eastAsia="Times New Roman" w:hAnsi="Arial" w:cs="Arial"/>
                <w:color w:val="00B050"/>
                <w:sz w:val="18"/>
                <w:szCs w:val="18"/>
                <w:lang w:eastAsia="fr-FR"/>
              </w:rPr>
            </w:pPr>
            <w:r w:rsidRPr="00F841A8">
              <w:rPr>
                <w:rFonts w:ascii="Arial" w:eastAsia="Times New Roman" w:hAnsi="Arial" w:cs="Arial"/>
                <w:color w:val="00B050"/>
                <w:sz w:val="18"/>
                <w:szCs w:val="18"/>
                <w:lang w:eastAsia="fr-FR"/>
              </w:rPr>
              <w:t>N</w:t>
            </w:r>
          </w:p>
        </w:tc>
        <w:tc>
          <w:tcPr>
            <w:tcW w:w="337" w:type="pct"/>
            <w:tcBorders>
              <w:top w:val="nil"/>
              <w:left w:val="nil"/>
              <w:bottom w:val="single" w:sz="4" w:space="0" w:color="auto"/>
              <w:right w:val="single" w:sz="4" w:space="0" w:color="auto"/>
            </w:tcBorders>
            <w:shd w:val="clear" w:color="auto" w:fill="auto"/>
            <w:noWrap/>
            <w:vAlign w:val="center"/>
            <w:hideMark/>
          </w:tcPr>
          <w:p w14:paraId="218AF0E8" w14:textId="77777777" w:rsidR="00305594" w:rsidRPr="00F841A8" w:rsidRDefault="00305594" w:rsidP="00F841A8">
            <w:pPr>
              <w:spacing w:after="0" w:line="240" w:lineRule="auto"/>
              <w:jc w:val="center"/>
              <w:rPr>
                <w:rFonts w:ascii="Arial" w:eastAsia="Times New Roman" w:hAnsi="Arial" w:cs="Arial"/>
                <w:color w:val="00B050"/>
                <w:sz w:val="18"/>
                <w:szCs w:val="18"/>
                <w:lang w:eastAsia="fr-FR"/>
              </w:rPr>
            </w:pPr>
            <w:r w:rsidRPr="00F841A8">
              <w:rPr>
                <w:rFonts w:ascii="Arial" w:eastAsia="Times New Roman" w:hAnsi="Arial" w:cs="Arial"/>
                <w:color w:val="00B050"/>
                <w:sz w:val="18"/>
                <w:szCs w:val="18"/>
                <w:lang w:eastAsia="fr-FR"/>
              </w:rPr>
              <w:t>N</w:t>
            </w:r>
          </w:p>
        </w:tc>
        <w:tc>
          <w:tcPr>
            <w:tcW w:w="289" w:type="pct"/>
            <w:tcBorders>
              <w:top w:val="nil"/>
              <w:left w:val="nil"/>
              <w:bottom w:val="single" w:sz="4" w:space="0" w:color="auto"/>
              <w:right w:val="single" w:sz="4" w:space="0" w:color="auto"/>
            </w:tcBorders>
            <w:shd w:val="clear" w:color="auto" w:fill="auto"/>
            <w:noWrap/>
            <w:vAlign w:val="center"/>
            <w:hideMark/>
          </w:tcPr>
          <w:p w14:paraId="6A48CAAC" w14:textId="77777777" w:rsidR="00305594" w:rsidRPr="00F841A8" w:rsidRDefault="00305594" w:rsidP="00F841A8">
            <w:pPr>
              <w:spacing w:after="0" w:line="240" w:lineRule="auto"/>
              <w:jc w:val="center"/>
              <w:rPr>
                <w:rFonts w:ascii="Arial" w:eastAsia="Times New Roman" w:hAnsi="Arial" w:cs="Arial"/>
                <w:color w:val="00B050"/>
                <w:sz w:val="18"/>
                <w:szCs w:val="18"/>
                <w:lang w:eastAsia="fr-FR"/>
              </w:rPr>
            </w:pPr>
            <w:r w:rsidRPr="00F841A8">
              <w:rPr>
                <w:rFonts w:ascii="Arial" w:eastAsia="Times New Roman" w:hAnsi="Arial" w:cs="Arial"/>
                <w:color w:val="00B050"/>
                <w:sz w:val="18"/>
                <w:szCs w:val="18"/>
                <w:lang w:eastAsia="fr-FR"/>
              </w:rPr>
              <w:t>N</w:t>
            </w:r>
          </w:p>
        </w:tc>
        <w:tc>
          <w:tcPr>
            <w:tcW w:w="366" w:type="pct"/>
            <w:tcBorders>
              <w:top w:val="nil"/>
              <w:left w:val="nil"/>
              <w:bottom w:val="single" w:sz="4" w:space="0" w:color="auto"/>
              <w:right w:val="single" w:sz="4" w:space="0" w:color="auto"/>
            </w:tcBorders>
            <w:shd w:val="clear" w:color="auto" w:fill="auto"/>
            <w:noWrap/>
            <w:vAlign w:val="center"/>
            <w:hideMark/>
          </w:tcPr>
          <w:p w14:paraId="05941E63" w14:textId="77777777" w:rsidR="00305594" w:rsidRPr="00F841A8" w:rsidRDefault="00305594" w:rsidP="00F841A8">
            <w:pPr>
              <w:spacing w:after="0" w:line="240" w:lineRule="auto"/>
              <w:jc w:val="center"/>
              <w:rPr>
                <w:rFonts w:ascii="Arial" w:eastAsia="Times New Roman" w:hAnsi="Arial" w:cs="Arial"/>
                <w:color w:val="00B050"/>
                <w:sz w:val="18"/>
                <w:szCs w:val="18"/>
                <w:lang w:eastAsia="fr-FR"/>
              </w:rPr>
            </w:pPr>
            <w:r w:rsidRPr="00F841A8">
              <w:rPr>
                <w:rFonts w:ascii="Arial" w:eastAsia="Times New Roman" w:hAnsi="Arial" w:cs="Arial"/>
                <w:color w:val="00B050"/>
                <w:sz w:val="18"/>
                <w:szCs w:val="18"/>
                <w:lang w:eastAsia="fr-FR"/>
              </w:rPr>
              <w:t>N</w:t>
            </w:r>
          </w:p>
        </w:tc>
        <w:tc>
          <w:tcPr>
            <w:tcW w:w="337" w:type="pct"/>
            <w:tcBorders>
              <w:top w:val="nil"/>
              <w:left w:val="nil"/>
              <w:bottom w:val="single" w:sz="4" w:space="0" w:color="auto"/>
              <w:right w:val="single" w:sz="4" w:space="0" w:color="auto"/>
            </w:tcBorders>
            <w:shd w:val="clear" w:color="auto" w:fill="auto"/>
            <w:noWrap/>
            <w:vAlign w:val="center"/>
            <w:hideMark/>
          </w:tcPr>
          <w:p w14:paraId="1E5E7B5B" w14:textId="77777777" w:rsidR="00305594" w:rsidRPr="00F841A8" w:rsidRDefault="00305594" w:rsidP="00F841A8">
            <w:pPr>
              <w:spacing w:after="0" w:line="240" w:lineRule="auto"/>
              <w:jc w:val="center"/>
              <w:rPr>
                <w:rFonts w:ascii="Arial" w:eastAsia="Times New Roman" w:hAnsi="Arial" w:cs="Arial"/>
                <w:color w:val="00B050"/>
                <w:sz w:val="18"/>
                <w:szCs w:val="18"/>
                <w:lang w:eastAsia="fr-FR"/>
              </w:rPr>
            </w:pPr>
            <w:r w:rsidRPr="00F841A8">
              <w:rPr>
                <w:rFonts w:ascii="Arial" w:eastAsia="Times New Roman" w:hAnsi="Arial" w:cs="Arial"/>
                <w:color w:val="00B050"/>
                <w:sz w:val="18"/>
                <w:szCs w:val="18"/>
                <w:lang w:eastAsia="fr-FR"/>
              </w:rPr>
              <w:t>N</w:t>
            </w:r>
          </w:p>
        </w:tc>
        <w:tc>
          <w:tcPr>
            <w:tcW w:w="482" w:type="pct"/>
            <w:tcBorders>
              <w:top w:val="nil"/>
              <w:left w:val="nil"/>
              <w:bottom w:val="single" w:sz="4" w:space="0" w:color="auto"/>
              <w:right w:val="single" w:sz="4" w:space="0" w:color="auto"/>
            </w:tcBorders>
            <w:shd w:val="clear" w:color="auto" w:fill="auto"/>
            <w:noWrap/>
            <w:vAlign w:val="center"/>
            <w:hideMark/>
          </w:tcPr>
          <w:p w14:paraId="29AF1F29" w14:textId="77777777" w:rsidR="00305594" w:rsidRPr="00F841A8" w:rsidRDefault="00305594" w:rsidP="00F841A8">
            <w:pPr>
              <w:spacing w:after="0" w:line="240" w:lineRule="auto"/>
              <w:jc w:val="center"/>
              <w:rPr>
                <w:rFonts w:ascii="Arial" w:eastAsia="Times New Roman" w:hAnsi="Arial" w:cs="Arial"/>
                <w:color w:val="00B050"/>
                <w:sz w:val="18"/>
                <w:szCs w:val="18"/>
                <w:lang w:eastAsia="fr-FR"/>
              </w:rPr>
            </w:pPr>
            <w:r w:rsidRPr="00F841A8">
              <w:rPr>
                <w:rFonts w:ascii="Arial" w:eastAsia="Times New Roman" w:hAnsi="Arial" w:cs="Arial"/>
                <w:color w:val="00B050"/>
                <w:sz w:val="18"/>
                <w:szCs w:val="18"/>
                <w:lang w:eastAsia="fr-FR"/>
              </w:rPr>
              <w:t>N</w:t>
            </w:r>
          </w:p>
        </w:tc>
        <w:tc>
          <w:tcPr>
            <w:tcW w:w="230" w:type="pct"/>
            <w:tcBorders>
              <w:top w:val="nil"/>
              <w:left w:val="nil"/>
              <w:bottom w:val="single" w:sz="4" w:space="0" w:color="auto"/>
              <w:right w:val="single" w:sz="4" w:space="0" w:color="auto"/>
            </w:tcBorders>
            <w:shd w:val="clear" w:color="auto" w:fill="auto"/>
            <w:noWrap/>
            <w:vAlign w:val="center"/>
            <w:hideMark/>
          </w:tcPr>
          <w:p w14:paraId="3E4B3E36" w14:textId="77777777" w:rsidR="00305594" w:rsidRPr="00F841A8" w:rsidRDefault="00305594" w:rsidP="00F841A8">
            <w:pPr>
              <w:spacing w:after="0" w:line="240" w:lineRule="auto"/>
              <w:jc w:val="center"/>
              <w:rPr>
                <w:rFonts w:ascii="Arial" w:eastAsia="Times New Roman" w:hAnsi="Arial" w:cs="Arial"/>
                <w:color w:val="FF0000"/>
                <w:sz w:val="18"/>
                <w:szCs w:val="18"/>
                <w:lang w:eastAsia="fr-FR"/>
              </w:rPr>
            </w:pPr>
            <w:r w:rsidRPr="00F841A8">
              <w:rPr>
                <w:rFonts w:ascii="Arial" w:eastAsia="Times New Roman" w:hAnsi="Arial" w:cs="Arial"/>
                <w:color w:val="FF0000"/>
                <w:sz w:val="18"/>
                <w:szCs w:val="18"/>
                <w:lang w:eastAsia="fr-FR"/>
              </w:rPr>
              <w:t>0</w:t>
            </w:r>
          </w:p>
        </w:tc>
        <w:tc>
          <w:tcPr>
            <w:tcW w:w="250" w:type="pct"/>
            <w:tcBorders>
              <w:top w:val="nil"/>
              <w:left w:val="nil"/>
              <w:bottom w:val="single" w:sz="4" w:space="0" w:color="auto"/>
              <w:right w:val="single" w:sz="4" w:space="0" w:color="auto"/>
            </w:tcBorders>
            <w:shd w:val="clear" w:color="auto" w:fill="auto"/>
            <w:noWrap/>
            <w:vAlign w:val="center"/>
            <w:hideMark/>
          </w:tcPr>
          <w:p w14:paraId="679E810C" w14:textId="77777777" w:rsidR="00305594" w:rsidRPr="00F841A8" w:rsidRDefault="00305594" w:rsidP="00F841A8">
            <w:pPr>
              <w:spacing w:after="0" w:line="240" w:lineRule="auto"/>
              <w:jc w:val="center"/>
              <w:rPr>
                <w:rFonts w:ascii="Arial" w:eastAsia="Times New Roman" w:hAnsi="Arial" w:cs="Arial"/>
                <w:color w:val="FF0000"/>
                <w:sz w:val="18"/>
                <w:szCs w:val="18"/>
                <w:lang w:eastAsia="fr-FR"/>
              </w:rPr>
            </w:pPr>
            <w:r w:rsidRPr="00F841A8">
              <w:rPr>
                <w:rFonts w:ascii="Arial" w:eastAsia="Times New Roman" w:hAnsi="Arial" w:cs="Arial"/>
                <w:color w:val="FF0000"/>
                <w:sz w:val="18"/>
                <w:szCs w:val="18"/>
                <w:lang w:eastAsia="fr-FR"/>
              </w:rPr>
              <w:t>0</w:t>
            </w:r>
          </w:p>
        </w:tc>
        <w:tc>
          <w:tcPr>
            <w:tcW w:w="230" w:type="pct"/>
            <w:tcBorders>
              <w:top w:val="nil"/>
              <w:left w:val="nil"/>
              <w:bottom w:val="single" w:sz="4" w:space="0" w:color="auto"/>
              <w:right w:val="single" w:sz="4" w:space="0" w:color="auto"/>
            </w:tcBorders>
            <w:shd w:val="clear" w:color="auto" w:fill="auto"/>
            <w:noWrap/>
            <w:vAlign w:val="center"/>
            <w:hideMark/>
          </w:tcPr>
          <w:p w14:paraId="46C9849F" w14:textId="77777777" w:rsidR="00305594" w:rsidRPr="00F841A8" w:rsidRDefault="00305594" w:rsidP="00F841A8">
            <w:pPr>
              <w:spacing w:after="0" w:line="240" w:lineRule="auto"/>
              <w:jc w:val="center"/>
              <w:rPr>
                <w:rFonts w:ascii="Arial" w:eastAsia="Times New Roman" w:hAnsi="Arial" w:cs="Arial"/>
                <w:color w:val="FF0000"/>
                <w:sz w:val="18"/>
                <w:szCs w:val="18"/>
                <w:lang w:eastAsia="fr-FR"/>
              </w:rPr>
            </w:pPr>
            <w:r w:rsidRPr="00F841A8">
              <w:rPr>
                <w:rFonts w:ascii="Arial" w:eastAsia="Times New Roman" w:hAnsi="Arial" w:cs="Arial"/>
                <w:color w:val="FF0000"/>
                <w:sz w:val="18"/>
                <w:szCs w:val="18"/>
                <w:lang w:eastAsia="fr-FR"/>
              </w:rPr>
              <w:t>0</w:t>
            </w:r>
          </w:p>
        </w:tc>
      </w:tr>
    </w:tbl>
    <w:p w14:paraId="413012D7" w14:textId="77777777" w:rsidR="00A90D27" w:rsidRPr="00B434A6" w:rsidRDefault="00A90D27" w:rsidP="00A90D27">
      <w:pPr>
        <w:spacing w:after="240" w:line="240" w:lineRule="auto"/>
        <w:jc w:val="both"/>
        <w:rPr>
          <w:rFonts w:ascii="Arial" w:hAnsi="Arial" w:cs="Arial"/>
          <w:sz w:val="20"/>
          <w:szCs w:val="20"/>
        </w:rPr>
      </w:pPr>
      <w:r w:rsidRPr="00B434A6">
        <w:rPr>
          <w:rFonts w:ascii="Arial" w:hAnsi="Arial" w:cs="Arial"/>
          <w:sz w:val="20"/>
          <w:szCs w:val="20"/>
        </w:rPr>
        <w:t xml:space="preserve">Légende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386"/>
        <w:gridCol w:w="2083"/>
        <w:gridCol w:w="2337"/>
      </w:tblGrid>
      <w:tr w:rsidR="0063584D" w:rsidRPr="007F78CE" w14:paraId="0B2B56EA" w14:textId="77777777" w:rsidTr="007F78CE">
        <w:tc>
          <w:tcPr>
            <w:tcW w:w="2326" w:type="dxa"/>
            <w:shd w:val="clear" w:color="auto" w:fill="auto"/>
          </w:tcPr>
          <w:p w14:paraId="6C4F9772" w14:textId="77777777" w:rsidR="00A90D27" w:rsidRPr="007F78CE" w:rsidRDefault="00A90D27" w:rsidP="007F78CE">
            <w:pPr>
              <w:spacing w:after="0" w:line="240" w:lineRule="auto"/>
              <w:jc w:val="center"/>
              <w:rPr>
                <w:rFonts w:ascii="Arial" w:hAnsi="Arial" w:cs="Arial"/>
                <w:b/>
                <w:sz w:val="18"/>
              </w:rPr>
            </w:pPr>
            <w:r w:rsidRPr="007F78CE">
              <w:rPr>
                <w:rFonts w:ascii="Arial" w:hAnsi="Arial" w:cs="Arial"/>
                <w:b/>
                <w:sz w:val="18"/>
              </w:rPr>
              <w:t>Impact</w:t>
            </w:r>
          </w:p>
        </w:tc>
        <w:tc>
          <w:tcPr>
            <w:tcW w:w="2453" w:type="dxa"/>
            <w:shd w:val="clear" w:color="auto" w:fill="auto"/>
          </w:tcPr>
          <w:p w14:paraId="4471EC58" w14:textId="77777777" w:rsidR="00A90D27" w:rsidRPr="007F78CE" w:rsidRDefault="00A90D27" w:rsidP="007F78CE">
            <w:pPr>
              <w:spacing w:after="0" w:line="240" w:lineRule="auto"/>
              <w:jc w:val="center"/>
              <w:rPr>
                <w:rFonts w:ascii="Arial" w:hAnsi="Arial" w:cs="Arial"/>
                <w:b/>
                <w:sz w:val="18"/>
              </w:rPr>
            </w:pPr>
            <w:r w:rsidRPr="007F78CE">
              <w:rPr>
                <w:rFonts w:ascii="Arial" w:hAnsi="Arial" w:cs="Arial"/>
                <w:b/>
                <w:sz w:val="18"/>
              </w:rPr>
              <w:t>Interaction</w:t>
            </w:r>
          </w:p>
        </w:tc>
        <w:tc>
          <w:tcPr>
            <w:tcW w:w="2133" w:type="dxa"/>
            <w:shd w:val="clear" w:color="auto" w:fill="auto"/>
          </w:tcPr>
          <w:p w14:paraId="6184D697" w14:textId="77777777" w:rsidR="00A90D27" w:rsidRPr="007F78CE" w:rsidRDefault="00A90D27" w:rsidP="007F78CE">
            <w:pPr>
              <w:spacing w:after="0" w:line="240" w:lineRule="auto"/>
              <w:jc w:val="center"/>
              <w:rPr>
                <w:rFonts w:ascii="Arial" w:hAnsi="Arial" w:cs="Arial"/>
                <w:b/>
                <w:sz w:val="18"/>
              </w:rPr>
            </w:pPr>
            <w:r w:rsidRPr="007F78CE">
              <w:rPr>
                <w:rFonts w:ascii="Arial" w:hAnsi="Arial" w:cs="Arial"/>
                <w:b/>
                <w:sz w:val="18"/>
              </w:rPr>
              <w:t>Influence du Projet</w:t>
            </w:r>
          </w:p>
        </w:tc>
        <w:tc>
          <w:tcPr>
            <w:tcW w:w="2376" w:type="dxa"/>
            <w:shd w:val="clear" w:color="auto" w:fill="auto"/>
          </w:tcPr>
          <w:p w14:paraId="40294AE7" w14:textId="77777777" w:rsidR="00A90D27" w:rsidRPr="007F78CE" w:rsidRDefault="00A90D27" w:rsidP="007F78CE">
            <w:pPr>
              <w:spacing w:after="0" w:line="240" w:lineRule="auto"/>
              <w:jc w:val="center"/>
              <w:rPr>
                <w:rFonts w:ascii="Arial" w:hAnsi="Arial" w:cs="Arial"/>
                <w:b/>
                <w:sz w:val="18"/>
              </w:rPr>
            </w:pPr>
            <w:r w:rsidRPr="007F78CE">
              <w:rPr>
                <w:rFonts w:ascii="Arial" w:hAnsi="Arial" w:cs="Arial"/>
                <w:b/>
                <w:sz w:val="18"/>
              </w:rPr>
              <w:t>Mesures Complémentaire</w:t>
            </w:r>
          </w:p>
        </w:tc>
      </w:tr>
      <w:tr w:rsidR="0063584D" w:rsidRPr="007F78CE" w14:paraId="2B6730AB" w14:textId="77777777" w:rsidTr="007F78CE">
        <w:tc>
          <w:tcPr>
            <w:tcW w:w="2326" w:type="dxa"/>
            <w:shd w:val="clear" w:color="auto" w:fill="auto"/>
          </w:tcPr>
          <w:p w14:paraId="18B1FE11" w14:textId="77777777" w:rsidR="00A90D27" w:rsidRPr="007F78CE" w:rsidRDefault="00A90D27" w:rsidP="007F78CE">
            <w:pPr>
              <w:spacing w:after="0" w:line="240" w:lineRule="auto"/>
              <w:jc w:val="both"/>
              <w:rPr>
                <w:rFonts w:ascii="Arial" w:hAnsi="Arial" w:cs="Arial"/>
                <w:sz w:val="18"/>
              </w:rPr>
            </w:pPr>
            <w:r w:rsidRPr="007F78CE">
              <w:rPr>
                <w:rFonts w:ascii="Arial" w:hAnsi="Arial" w:cs="Arial"/>
                <w:sz w:val="18"/>
              </w:rPr>
              <w:t>Po : Positif</w:t>
            </w:r>
          </w:p>
          <w:p w14:paraId="7F6C8858" w14:textId="77777777" w:rsidR="00A90D27" w:rsidRPr="007F78CE" w:rsidRDefault="00A90D27" w:rsidP="007F78CE">
            <w:pPr>
              <w:spacing w:after="0" w:line="240" w:lineRule="auto"/>
              <w:jc w:val="both"/>
              <w:rPr>
                <w:rFonts w:ascii="Arial" w:hAnsi="Arial" w:cs="Arial"/>
                <w:sz w:val="18"/>
              </w:rPr>
            </w:pPr>
            <w:r w:rsidRPr="007F78CE">
              <w:rPr>
                <w:rFonts w:ascii="Arial" w:hAnsi="Arial" w:cs="Arial"/>
                <w:sz w:val="18"/>
              </w:rPr>
              <w:t>Min : Mineure</w:t>
            </w:r>
          </w:p>
          <w:p w14:paraId="01B7A4B0" w14:textId="77777777" w:rsidR="00A90D27" w:rsidRPr="007F78CE" w:rsidRDefault="00A90D27" w:rsidP="007F78CE">
            <w:pPr>
              <w:spacing w:after="0" w:line="240" w:lineRule="auto"/>
              <w:jc w:val="both"/>
              <w:rPr>
                <w:rFonts w:ascii="Arial" w:hAnsi="Arial" w:cs="Arial"/>
                <w:sz w:val="18"/>
              </w:rPr>
            </w:pPr>
            <w:r w:rsidRPr="007F78CE">
              <w:rPr>
                <w:rFonts w:ascii="Arial" w:hAnsi="Arial" w:cs="Arial"/>
                <w:sz w:val="18"/>
              </w:rPr>
              <w:t>Mo : Moyenne</w:t>
            </w:r>
          </w:p>
          <w:p w14:paraId="7D35AC35" w14:textId="77777777" w:rsidR="00A90D27" w:rsidRPr="007F78CE" w:rsidRDefault="00A90D27" w:rsidP="007F78CE">
            <w:pPr>
              <w:spacing w:after="0" w:line="240" w:lineRule="auto"/>
              <w:jc w:val="both"/>
              <w:rPr>
                <w:rFonts w:ascii="Arial" w:hAnsi="Arial" w:cs="Arial"/>
                <w:sz w:val="18"/>
              </w:rPr>
            </w:pPr>
            <w:r w:rsidRPr="007F78CE">
              <w:rPr>
                <w:rFonts w:ascii="Arial" w:hAnsi="Arial" w:cs="Arial"/>
                <w:sz w:val="18"/>
              </w:rPr>
              <w:t>Maj : Majeure</w:t>
            </w:r>
          </w:p>
        </w:tc>
        <w:tc>
          <w:tcPr>
            <w:tcW w:w="2453" w:type="dxa"/>
            <w:shd w:val="clear" w:color="auto" w:fill="auto"/>
          </w:tcPr>
          <w:p w14:paraId="0F1C56E9" w14:textId="77777777" w:rsidR="00A90D27" w:rsidRPr="007F78CE" w:rsidRDefault="00A90D27" w:rsidP="007F78CE">
            <w:pPr>
              <w:spacing w:after="0" w:line="240" w:lineRule="auto"/>
              <w:jc w:val="both"/>
              <w:rPr>
                <w:rFonts w:ascii="Arial" w:hAnsi="Arial" w:cs="Arial"/>
                <w:sz w:val="18"/>
              </w:rPr>
            </w:pPr>
            <w:r w:rsidRPr="007F78CE">
              <w:rPr>
                <w:rFonts w:ascii="Arial" w:hAnsi="Arial" w:cs="Arial"/>
                <w:sz w:val="18"/>
              </w:rPr>
              <w:t>Add : Additif simple</w:t>
            </w:r>
          </w:p>
          <w:p w14:paraId="4D3ED12E" w14:textId="77777777" w:rsidR="00A90D27" w:rsidRPr="007F78CE" w:rsidRDefault="00A90D27" w:rsidP="007F78CE">
            <w:pPr>
              <w:spacing w:after="0" w:line="240" w:lineRule="auto"/>
              <w:jc w:val="both"/>
              <w:rPr>
                <w:rFonts w:ascii="Arial" w:hAnsi="Arial" w:cs="Arial"/>
                <w:sz w:val="18"/>
              </w:rPr>
            </w:pPr>
            <w:r w:rsidRPr="007F78CE">
              <w:rPr>
                <w:rFonts w:ascii="Arial" w:hAnsi="Arial" w:cs="Arial"/>
                <w:sz w:val="18"/>
              </w:rPr>
              <w:t>Syn : Synérgie</w:t>
            </w:r>
          </w:p>
          <w:p w14:paraId="7DEBB5D0" w14:textId="77777777" w:rsidR="00A90D27" w:rsidRPr="007F78CE" w:rsidRDefault="00A90D27" w:rsidP="007F78CE">
            <w:pPr>
              <w:spacing w:after="0" w:line="240" w:lineRule="auto"/>
              <w:jc w:val="both"/>
              <w:rPr>
                <w:rFonts w:ascii="Arial" w:hAnsi="Arial" w:cs="Arial"/>
                <w:sz w:val="18"/>
              </w:rPr>
            </w:pPr>
            <w:r w:rsidRPr="007F78CE">
              <w:rPr>
                <w:rFonts w:ascii="Arial" w:hAnsi="Arial" w:cs="Arial"/>
                <w:sz w:val="18"/>
              </w:rPr>
              <w:t>Ant : Antagonsite</w:t>
            </w:r>
          </w:p>
        </w:tc>
        <w:tc>
          <w:tcPr>
            <w:tcW w:w="2133" w:type="dxa"/>
            <w:shd w:val="clear" w:color="auto" w:fill="auto"/>
          </w:tcPr>
          <w:p w14:paraId="56AAE02D" w14:textId="77777777" w:rsidR="00A90D27" w:rsidRPr="007F78CE" w:rsidRDefault="00A90D27" w:rsidP="007F78CE">
            <w:pPr>
              <w:spacing w:after="0" w:line="240" w:lineRule="auto"/>
              <w:jc w:val="both"/>
              <w:rPr>
                <w:rFonts w:ascii="Arial" w:hAnsi="Arial" w:cs="Arial"/>
                <w:sz w:val="18"/>
              </w:rPr>
            </w:pPr>
            <w:r w:rsidRPr="007F78CE">
              <w:rPr>
                <w:rFonts w:ascii="Arial" w:hAnsi="Arial" w:cs="Arial"/>
                <w:sz w:val="18"/>
              </w:rPr>
              <w:t>Fa : Faible</w:t>
            </w:r>
          </w:p>
          <w:p w14:paraId="746702AC" w14:textId="77777777" w:rsidR="00A90D27" w:rsidRPr="007F78CE" w:rsidRDefault="00A90D27" w:rsidP="007F78CE">
            <w:pPr>
              <w:spacing w:after="0" w:line="240" w:lineRule="auto"/>
              <w:jc w:val="both"/>
              <w:rPr>
                <w:rFonts w:ascii="Arial" w:hAnsi="Arial" w:cs="Arial"/>
                <w:sz w:val="18"/>
              </w:rPr>
            </w:pPr>
            <w:r w:rsidRPr="007F78CE">
              <w:rPr>
                <w:rFonts w:ascii="Arial" w:hAnsi="Arial" w:cs="Arial"/>
                <w:sz w:val="18"/>
              </w:rPr>
              <w:t xml:space="preserve">Si : Significative </w:t>
            </w:r>
          </w:p>
        </w:tc>
        <w:tc>
          <w:tcPr>
            <w:tcW w:w="2376" w:type="dxa"/>
            <w:shd w:val="clear" w:color="auto" w:fill="auto"/>
          </w:tcPr>
          <w:p w14:paraId="2EDE8901" w14:textId="77777777" w:rsidR="00A90D27" w:rsidRPr="007F78CE" w:rsidRDefault="00A90D27" w:rsidP="007F78CE">
            <w:pPr>
              <w:spacing w:after="0" w:line="240" w:lineRule="auto"/>
              <w:jc w:val="both"/>
              <w:rPr>
                <w:rFonts w:ascii="Arial" w:hAnsi="Arial" w:cs="Arial"/>
                <w:sz w:val="18"/>
              </w:rPr>
            </w:pPr>
            <w:r w:rsidRPr="007F78CE">
              <w:rPr>
                <w:rFonts w:ascii="Arial" w:hAnsi="Arial" w:cs="Arial"/>
                <w:sz w:val="18"/>
              </w:rPr>
              <w:t>N : Non</w:t>
            </w:r>
          </w:p>
          <w:p w14:paraId="2A3AC368" w14:textId="77777777" w:rsidR="00A90D27" w:rsidRPr="007F78CE" w:rsidRDefault="00A90D27" w:rsidP="007F78CE">
            <w:pPr>
              <w:spacing w:after="0" w:line="240" w:lineRule="auto"/>
              <w:jc w:val="both"/>
              <w:rPr>
                <w:rFonts w:ascii="Arial" w:hAnsi="Arial" w:cs="Arial"/>
                <w:sz w:val="18"/>
              </w:rPr>
            </w:pPr>
            <w:r w:rsidRPr="007F78CE">
              <w:rPr>
                <w:rFonts w:ascii="Arial" w:hAnsi="Arial" w:cs="Arial"/>
                <w:sz w:val="18"/>
              </w:rPr>
              <w:t>O : Oui</w:t>
            </w:r>
          </w:p>
        </w:tc>
      </w:tr>
    </w:tbl>
    <w:p w14:paraId="30C2D954" w14:textId="77777777" w:rsidR="00A90D27" w:rsidRPr="00305594" w:rsidRDefault="00A90D27" w:rsidP="00305594">
      <w:pPr>
        <w:autoSpaceDE w:val="0"/>
        <w:autoSpaceDN w:val="0"/>
        <w:adjustRightInd w:val="0"/>
        <w:jc w:val="both"/>
        <w:rPr>
          <w:rFonts w:ascii="Arial" w:hAnsi="Arial" w:cs="Arial"/>
          <w:szCs w:val="24"/>
        </w:rPr>
      </w:pPr>
    </w:p>
    <w:p w14:paraId="3E1830C0" w14:textId="77777777" w:rsidR="00A32694" w:rsidRDefault="00305594" w:rsidP="00B434A6">
      <w:pPr>
        <w:spacing w:after="240" w:line="240" w:lineRule="auto"/>
        <w:jc w:val="both"/>
        <w:rPr>
          <w:rFonts w:ascii="Arial" w:hAnsi="Arial" w:cs="Arial"/>
          <w:szCs w:val="24"/>
        </w:rPr>
      </w:pPr>
      <w:r w:rsidRPr="00305594">
        <w:rPr>
          <w:rFonts w:ascii="Arial" w:hAnsi="Arial" w:cs="Arial"/>
          <w:szCs w:val="24"/>
        </w:rPr>
        <w:t xml:space="preserve">Suivant </w:t>
      </w:r>
      <w:r w:rsidR="00653CCE">
        <w:rPr>
          <w:rFonts w:ascii="Arial" w:hAnsi="Arial" w:cs="Arial"/>
          <w:szCs w:val="24"/>
        </w:rPr>
        <w:t>l</w:t>
      </w:r>
      <w:r w:rsidRPr="00305594">
        <w:rPr>
          <w:rFonts w:ascii="Arial" w:hAnsi="Arial" w:cs="Arial"/>
          <w:szCs w:val="24"/>
        </w:rPr>
        <w:t>e tableau</w:t>
      </w:r>
      <w:r w:rsidR="00653CCE">
        <w:rPr>
          <w:rFonts w:ascii="Arial" w:hAnsi="Arial" w:cs="Arial"/>
          <w:szCs w:val="24"/>
        </w:rPr>
        <w:t xml:space="preserve"> ci dessus</w:t>
      </w:r>
      <w:r w:rsidRPr="00305594">
        <w:rPr>
          <w:rFonts w:ascii="Arial" w:hAnsi="Arial" w:cs="Arial"/>
          <w:szCs w:val="24"/>
        </w:rPr>
        <w:t xml:space="preserve">, la majorité des impacts cumulatifs observés dans le cadre de ce projet réside dans le milieu humain notamment </w:t>
      </w:r>
      <w:r>
        <w:rPr>
          <w:rFonts w:ascii="Arial" w:hAnsi="Arial" w:cs="Arial"/>
          <w:szCs w:val="24"/>
        </w:rPr>
        <w:t>dans les composante</w:t>
      </w:r>
      <w:r w:rsidR="00061371">
        <w:rPr>
          <w:rFonts w:ascii="Arial" w:hAnsi="Arial" w:cs="Arial"/>
          <w:szCs w:val="24"/>
        </w:rPr>
        <w:t xml:space="preserve">s </w:t>
      </w:r>
      <w:r>
        <w:rPr>
          <w:rFonts w:ascii="Arial" w:hAnsi="Arial" w:cs="Arial"/>
          <w:szCs w:val="24"/>
        </w:rPr>
        <w:t>infrastructures et bien</w:t>
      </w:r>
      <w:r w:rsidR="00FD078A">
        <w:rPr>
          <w:rFonts w:ascii="Arial" w:hAnsi="Arial" w:cs="Arial"/>
          <w:szCs w:val="24"/>
        </w:rPr>
        <w:t>s</w:t>
      </w:r>
      <w:r>
        <w:rPr>
          <w:rFonts w:ascii="Arial" w:hAnsi="Arial" w:cs="Arial"/>
          <w:szCs w:val="24"/>
        </w:rPr>
        <w:t xml:space="preserve"> personnel</w:t>
      </w:r>
      <w:r w:rsidR="00FD078A">
        <w:rPr>
          <w:rFonts w:ascii="Arial" w:hAnsi="Arial" w:cs="Arial"/>
          <w:szCs w:val="24"/>
        </w:rPr>
        <w:t>s</w:t>
      </w:r>
      <w:r>
        <w:rPr>
          <w:rFonts w:ascii="Arial" w:hAnsi="Arial" w:cs="Arial"/>
          <w:szCs w:val="24"/>
        </w:rPr>
        <w:t>, cadre de vie et bien</w:t>
      </w:r>
      <w:r w:rsidR="00061371">
        <w:rPr>
          <w:rFonts w:ascii="Arial" w:hAnsi="Arial" w:cs="Arial"/>
          <w:szCs w:val="24"/>
        </w:rPr>
        <w:t>-</w:t>
      </w:r>
      <w:r>
        <w:rPr>
          <w:rFonts w:ascii="Arial" w:hAnsi="Arial" w:cs="Arial"/>
          <w:szCs w:val="24"/>
        </w:rPr>
        <w:t xml:space="preserve">être, us et coutumes et enfin la santé et sécurité. Effectivement, l’effet cumulé par la mise en œuvre </w:t>
      </w:r>
      <w:r w:rsidR="00653CCE">
        <w:rPr>
          <w:rFonts w:ascii="Arial" w:hAnsi="Arial" w:cs="Arial"/>
          <w:szCs w:val="24"/>
        </w:rPr>
        <w:t xml:space="preserve">du </w:t>
      </w:r>
      <w:r>
        <w:rPr>
          <w:rFonts w:ascii="Arial" w:hAnsi="Arial" w:cs="Arial"/>
          <w:szCs w:val="24"/>
        </w:rPr>
        <w:t>Projet PRIRT</w:t>
      </w:r>
      <w:r w:rsidR="003B71F9">
        <w:rPr>
          <w:rFonts w:ascii="Arial" w:hAnsi="Arial" w:cs="Arial"/>
          <w:szCs w:val="24"/>
        </w:rPr>
        <w:t>E</w:t>
      </w:r>
      <w:r>
        <w:rPr>
          <w:rFonts w:ascii="Arial" w:hAnsi="Arial" w:cs="Arial"/>
          <w:szCs w:val="24"/>
        </w:rPr>
        <w:t>M</w:t>
      </w:r>
      <w:r w:rsidR="004D7B9A">
        <w:rPr>
          <w:rFonts w:ascii="Arial" w:hAnsi="Arial" w:cs="Arial"/>
          <w:szCs w:val="24"/>
        </w:rPr>
        <w:t xml:space="preserve">, LEAD avec le Projet DECIM sur l’acquisition des biens de la population locale n’est pas négligeable. De plus, l’impact négatif sur le changement de mœurs par l’accès à l’internet par l’action combinée </w:t>
      </w:r>
      <w:r w:rsidR="00653CCE">
        <w:rPr>
          <w:rFonts w:ascii="Arial" w:hAnsi="Arial" w:cs="Arial"/>
          <w:szCs w:val="24"/>
        </w:rPr>
        <w:t xml:space="preserve">des </w:t>
      </w:r>
      <w:r w:rsidR="004D7B9A">
        <w:rPr>
          <w:rFonts w:ascii="Arial" w:hAnsi="Arial" w:cs="Arial"/>
          <w:szCs w:val="24"/>
        </w:rPr>
        <w:t>projet</w:t>
      </w:r>
      <w:r w:rsidR="00653CCE">
        <w:rPr>
          <w:rFonts w:ascii="Arial" w:hAnsi="Arial" w:cs="Arial"/>
          <w:szCs w:val="24"/>
        </w:rPr>
        <w:t>s</w:t>
      </w:r>
      <w:r w:rsidR="004D7B9A">
        <w:rPr>
          <w:rFonts w:ascii="Arial" w:hAnsi="Arial" w:cs="Arial"/>
          <w:szCs w:val="24"/>
        </w:rPr>
        <w:t xml:space="preserve"> HOTSPOT, SMART village et DECIM pourrait </w:t>
      </w:r>
      <w:r w:rsidR="004D7B9A" w:rsidRPr="005969CF">
        <w:rPr>
          <w:rFonts w:ascii="Arial" w:hAnsi="Arial" w:cs="Arial"/>
        </w:rPr>
        <w:t>impact</w:t>
      </w:r>
      <w:r w:rsidR="005969CF">
        <w:rPr>
          <w:rFonts w:ascii="Arial" w:hAnsi="Arial" w:cs="Arial"/>
        </w:rPr>
        <w:t>er</w:t>
      </w:r>
      <w:r w:rsidR="004D7B9A">
        <w:rPr>
          <w:rFonts w:ascii="Arial" w:hAnsi="Arial" w:cs="Arial"/>
          <w:szCs w:val="24"/>
        </w:rPr>
        <w:t xml:space="preserve"> plusieurs villages dans tou</w:t>
      </w:r>
      <w:r w:rsidR="00145FBE">
        <w:rPr>
          <w:rFonts w:ascii="Arial" w:hAnsi="Arial" w:cs="Arial"/>
          <w:szCs w:val="24"/>
        </w:rPr>
        <w:t xml:space="preserve">t </w:t>
      </w:r>
      <w:r w:rsidR="004D7B9A">
        <w:rPr>
          <w:rFonts w:ascii="Arial" w:hAnsi="Arial" w:cs="Arial"/>
          <w:szCs w:val="24"/>
        </w:rPr>
        <w:t xml:space="preserve">Madagascar. Il en est de même sur l’augmentation de cas de </w:t>
      </w:r>
      <w:r w:rsidR="00FD078A">
        <w:rPr>
          <w:rFonts w:ascii="Arial" w:hAnsi="Arial" w:cs="Arial"/>
          <w:szCs w:val="24"/>
        </w:rPr>
        <w:t>v</w:t>
      </w:r>
      <w:r w:rsidR="004D7B9A">
        <w:rPr>
          <w:rFonts w:ascii="Arial" w:hAnsi="Arial" w:cs="Arial"/>
          <w:szCs w:val="24"/>
        </w:rPr>
        <w:t xml:space="preserve">iol. En outre, la dispersion des déchets dangereux comme les panneaux solaires hors d’usage dans les centres photovoltaïques (mise en œuvre du projet FINEXPO, LEAD, DECIM) et les kits solaires individuels obtenus à partir du système PAYGO de Baobab et Telma pourrait contaminer le sol et l’eau. </w:t>
      </w:r>
    </w:p>
    <w:p w14:paraId="4113094C" w14:textId="77777777" w:rsidR="00305594" w:rsidRPr="00742D67" w:rsidRDefault="00A32694" w:rsidP="00B434A6">
      <w:pPr>
        <w:spacing w:after="240" w:line="240" w:lineRule="auto"/>
        <w:jc w:val="both"/>
        <w:rPr>
          <w:rFonts w:ascii="Arial" w:hAnsi="Arial" w:cs="Arial"/>
          <w:szCs w:val="24"/>
        </w:rPr>
      </w:pPr>
      <w:r w:rsidRPr="00742D67">
        <w:rPr>
          <w:rFonts w:ascii="Arial" w:hAnsi="Arial" w:cs="Arial"/>
          <w:szCs w:val="24"/>
        </w:rPr>
        <w:t>En outre, la mise en œuvre de ces divers Projets risquerait d’accro</w:t>
      </w:r>
      <w:r w:rsidR="00653CCE">
        <w:rPr>
          <w:rFonts w:ascii="Arial" w:hAnsi="Arial" w:cs="Arial"/>
          <w:szCs w:val="24"/>
        </w:rPr>
        <w:t>î</w:t>
      </w:r>
      <w:r w:rsidRPr="00742D67">
        <w:rPr>
          <w:rFonts w:ascii="Arial" w:hAnsi="Arial" w:cs="Arial"/>
          <w:szCs w:val="24"/>
        </w:rPr>
        <w:t>tre la demande des panneaux solaire</w:t>
      </w:r>
      <w:r w:rsidR="00FD078A" w:rsidRPr="00742D67">
        <w:rPr>
          <w:rFonts w:ascii="Arial" w:hAnsi="Arial" w:cs="Arial"/>
          <w:szCs w:val="24"/>
        </w:rPr>
        <w:t>s</w:t>
      </w:r>
      <w:r w:rsidRPr="00742D67">
        <w:rPr>
          <w:rFonts w:ascii="Arial" w:hAnsi="Arial" w:cs="Arial"/>
          <w:szCs w:val="24"/>
        </w:rPr>
        <w:t xml:space="preserve"> à l’échelle nationale voire internationale. De plus, la demande en main d’œuvre qualifié</w:t>
      </w:r>
      <w:r w:rsidR="00FD078A" w:rsidRPr="00742D67">
        <w:rPr>
          <w:rFonts w:ascii="Arial" w:hAnsi="Arial" w:cs="Arial"/>
          <w:szCs w:val="24"/>
        </w:rPr>
        <w:t>e</w:t>
      </w:r>
      <w:r w:rsidRPr="00742D67">
        <w:rPr>
          <w:rFonts w:ascii="Arial" w:hAnsi="Arial" w:cs="Arial"/>
          <w:szCs w:val="24"/>
        </w:rPr>
        <w:t xml:space="preserve"> et non qualifié</w:t>
      </w:r>
      <w:r w:rsidR="00FD078A" w:rsidRPr="00742D67">
        <w:rPr>
          <w:rFonts w:ascii="Arial" w:hAnsi="Arial" w:cs="Arial"/>
          <w:szCs w:val="24"/>
        </w:rPr>
        <w:t>e</w:t>
      </w:r>
      <w:r w:rsidRPr="00742D67">
        <w:rPr>
          <w:rFonts w:ascii="Arial" w:hAnsi="Arial" w:cs="Arial"/>
          <w:szCs w:val="24"/>
        </w:rPr>
        <w:t xml:space="preserve"> ainsi que des ingénieurs spécialiste</w:t>
      </w:r>
      <w:r w:rsidR="003B71F9" w:rsidRPr="00742D67">
        <w:rPr>
          <w:rFonts w:ascii="Arial" w:hAnsi="Arial" w:cs="Arial"/>
          <w:szCs w:val="24"/>
        </w:rPr>
        <w:t>s</w:t>
      </w:r>
      <w:r w:rsidRPr="00742D67">
        <w:rPr>
          <w:rFonts w:ascii="Arial" w:hAnsi="Arial" w:cs="Arial"/>
          <w:szCs w:val="24"/>
        </w:rPr>
        <w:t xml:space="preserve"> en énergie électrique entra</w:t>
      </w:r>
      <w:r w:rsidR="00653CCE">
        <w:rPr>
          <w:rFonts w:ascii="Arial" w:hAnsi="Arial" w:cs="Arial"/>
          <w:szCs w:val="24"/>
        </w:rPr>
        <w:t>î</w:t>
      </w:r>
      <w:r w:rsidRPr="00742D67">
        <w:rPr>
          <w:rFonts w:ascii="Arial" w:hAnsi="Arial" w:cs="Arial"/>
          <w:szCs w:val="24"/>
        </w:rPr>
        <w:t xml:space="preserve">neront une migration de la </w:t>
      </w:r>
      <w:r w:rsidR="00B77499" w:rsidRPr="00742D67">
        <w:rPr>
          <w:rFonts w:ascii="Arial" w:hAnsi="Arial" w:cs="Arial"/>
          <w:szCs w:val="24"/>
        </w:rPr>
        <w:t>population. Cette migration sera aussi accentué</w:t>
      </w:r>
      <w:r w:rsidR="003B71F9" w:rsidRPr="00742D67">
        <w:rPr>
          <w:rFonts w:ascii="Arial" w:hAnsi="Arial" w:cs="Arial"/>
          <w:szCs w:val="24"/>
        </w:rPr>
        <w:t>e</w:t>
      </w:r>
      <w:r w:rsidR="00B77499" w:rsidRPr="00742D67">
        <w:rPr>
          <w:rFonts w:ascii="Arial" w:hAnsi="Arial" w:cs="Arial"/>
          <w:szCs w:val="24"/>
        </w:rPr>
        <w:t xml:space="preserve"> par le développement d</w:t>
      </w:r>
      <w:r w:rsidR="00245FF1">
        <w:rPr>
          <w:rFonts w:ascii="Arial" w:hAnsi="Arial" w:cs="Arial"/>
          <w:szCs w:val="24"/>
        </w:rPr>
        <w:t>es</w:t>
      </w:r>
      <w:r w:rsidR="00B77499" w:rsidRPr="00742D67">
        <w:rPr>
          <w:rFonts w:ascii="Arial" w:hAnsi="Arial" w:cs="Arial"/>
          <w:szCs w:val="24"/>
        </w:rPr>
        <w:t xml:space="preserve"> village</w:t>
      </w:r>
      <w:r w:rsidR="00245FF1">
        <w:rPr>
          <w:rFonts w:ascii="Arial" w:hAnsi="Arial" w:cs="Arial"/>
          <w:szCs w:val="24"/>
        </w:rPr>
        <w:t>s</w:t>
      </w:r>
      <w:r w:rsidR="00B77499" w:rsidRPr="00742D67">
        <w:rPr>
          <w:rFonts w:ascii="Arial" w:hAnsi="Arial" w:cs="Arial"/>
          <w:szCs w:val="24"/>
        </w:rPr>
        <w:t>.</w:t>
      </w:r>
    </w:p>
    <w:p w14:paraId="12587065" w14:textId="77777777" w:rsidR="00807905" w:rsidRPr="00807905" w:rsidRDefault="00807905" w:rsidP="00807905">
      <w:pPr>
        <w:spacing w:after="240" w:line="240" w:lineRule="auto"/>
        <w:jc w:val="both"/>
        <w:rPr>
          <w:rFonts w:ascii="Arial" w:hAnsi="Arial" w:cs="Arial"/>
          <w:szCs w:val="24"/>
        </w:rPr>
      </w:pPr>
      <w:r w:rsidRPr="00807905">
        <w:rPr>
          <w:rFonts w:ascii="Arial" w:hAnsi="Arial" w:cs="Arial"/>
          <w:szCs w:val="24"/>
        </w:rPr>
        <w:t xml:space="preserve">Par contre, la synergie entre les divers projets pourrait avoir un impact positif </w:t>
      </w:r>
      <w:r w:rsidR="00145FBE">
        <w:rPr>
          <w:rFonts w:ascii="Arial" w:hAnsi="Arial" w:cs="Arial"/>
          <w:szCs w:val="24"/>
        </w:rPr>
        <w:t xml:space="preserve">majeur </w:t>
      </w:r>
      <w:r w:rsidRPr="00807905">
        <w:rPr>
          <w:rFonts w:ascii="Arial" w:hAnsi="Arial" w:cs="Arial"/>
          <w:szCs w:val="24"/>
        </w:rPr>
        <w:t xml:space="preserve">sur le niveau de vie des ménages. Ces projets </w:t>
      </w:r>
      <w:r>
        <w:rPr>
          <w:rFonts w:ascii="Arial" w:hAnsi="Arial" w:cs="Arial"/>
          <w:szCs w:val="24"/>
        </w:rPr>
        <w:t>amélioreront les cadres de vie de la population locale et offre</w:t>
      </w:r>
      <w:r w:rsidR="00061371">
        <w:rPr>
          <w:rFonts w:ascii="Arial" w:hAnsi="Arial" w:cs="Arial"/>
          <w:szCs w:val="24"/>
        </w:rPr>
        <w:t xml:space="preserve">nt </w:t>
      </w:r>
      <w:r>
        <w:rPr>
          <w:rFonts w:ascii="Arial" w:hAnsi="Arial" w:cs="Arial"/>
          <w:szCs w:val="24"/>
        </w:rPr>
        <w:t xml:space="preserve">une nouvelle opportunité pour le développement des activités </w:t>
      </w:r>
      <w:r w:rsidR="003B02C7">
        <w:rPr>
          <w:rFonts w:ascii="Arial" w:hAnsi="Arial" w:cs="Arial"/>
          <w:szCs w:val="24"/>
        </w:rPr>
        <w:t xml:space="preserve">économiques </w:t>
      </w:r>
      <w:r>
        <w:rPr>
          <w:rFonts w:ascii="Arial" w:hAnsi="Arial" w:cs="Arial"/>
          <w:szCs w:val="24"/>
        </w:rPr>
        <w:t>lié</w:t>
      </w:r>
      <w:r w:rsidR="00061371">
        <w:rPr>
          <w:rFonts w:ascii="Arial" w:hAnsi="Arial" w:cs="Arial"/>
          <w:szCs w:val="24"/>
        </w:rPr>
        <w:t>es</w:t>
      </w:r>
      <w:r>
        <w:rPr>
          <w:rFonts w:ascii="Arial" w:hAnsi="Arial" w:cs="Arial"/>
          <w:szCs w:val="24"/>
        </w:rPr>
        <w:t xml:space="preserve"> aux NTIC et aux commerces. </w:t>
      </w:r>
      <w:r w:rsidR="00A32694">
        <w:rPr>
          <w:rFonts w:ascii="Arial" w:hAnsi="Arial" w:cs="Arial"/>
          <w:szCs w:val="24"/>
        </w:rPr>
        <w:t>De plus, ces projet</w:t>
      </w:r>
      <w:r w:rsidR="00927788">
        <w:rPr>
          <w:rFonts w:ascii="Arial" w:hAnsi="Arial" w:cs="Arial"/>
          <w:szCs w:val="24"/>
        </w:rPr>
        <w:t>s</w:t>
      </w:r>
      <w:r w:rsidR="00A32694">
        <w:rPr>
          <w:rFonts w:ascii="Arial" w:hAnsi="Arial" w:cs="Arial"/>
          <w:szCs w:val="24"/>
        </w:rPr>
        <w:t xml:space="preserve"> permettront de créer de nouveaux emplois car la mise en place de ces infrastructures lié</w:t>
      </w:r>
      <w:r w:rsidR="00927788">
        <w:rPr>
          <w:rFonts w:ascii="Arial" w:hAnsi="Arial" w:cs="Arial"/>
          <w:szCs w:val="24"/>
        </w:rPr>
        <w:t>e</w:t>
      </w:r>
      <w:r w:rsidR="00A32694">
        <w:rPr>
          <w:rFonts w:ascii="Arial" w:hAnsi="Arial" w:cs="Arial"/>
          <w:szCs w:val="24"/>
        </w:rPr>
        <w:t>s à l’énergie électrique nécessite le recrutement des personnels spécialistes en énergie solaire, en électricité, des ouvriers qualifiés et non qualifiés</w:t>
      </w:r>
    </w:p>
    <w:p w14:paraId="65DC869D" w14:textId="77777777" w:rsidR="00145FBE" w:rsidRDefault="00A90D27" w:rsidP="00A90D27">
      <w:pPr>
        <w:spacing w:after="240" w:line="240" w:lineRule="auto"/>
        <w:jc w:val="both"/>
        <w:rPr>
          <w:rFonts w:ascii="Arial" w:hAnsi="Arial" w:cs="Arial"/>
          <w:szCs w:val="24"/>
        </w:rPr>
      </w:pPr>
      <w:r w:rsidRPr="00061371">
        <w:rPr>
          <w:rFonts w:ascii="Arial" w:hAnsi="Arial" w:cs="Arial"/>
          <w:szCs w:val="24"/>
        </w:rPr>
        <w:t>Même si les impacts cumulatifs sur le plan humain de ces divers projets sont évalués « Moyenne à Majeure », aucune mesure complémentaire n’est nécessaire puisque les mesures d’atténuation et d’évitement de ces différents projets permettent de réduire l’importance des impacts au niveau minimum.</w:t>
      </w:r>
      <w:r w:rsidR="00807905" w:rsidRPr="00061371">
        <w:rPr>
          <w:rFonts w:ascii="Arial" w:hAnsi="Arial" w:cs="Arial"/>
          <w:szCs w:val="24"/>
        </w:rPr>
        <w:t xml:space="preserve"> </w:t>
      </w:r>
    </w:p>
    <w:p w14:paraId="58253084" w14:textId="77777777" w:rsidR="00245FF1" w:rsidRDefault="00653CCE" w:rsidP="00245FF1">
      <w:pPr>
        <w:jc w:val="both"/>
        <w:rPr>
          <w:rFonts w:ascii="Arial" w:hAnsi="Arial" w:cs="Arial"/>
          <w:szCs w:val="24"/>
        </w:rPr>
      </w:pPr>
      <w:r>
        <w:rPr>
          <w:rFonts w:ascii="Arial" w:hAnsi="Arial" w:cs="Arial"/>
          <w:szCs w:val="24"/>
        </w:rPr>
        <w:t>En revanche</w:t>
      </w:r>
      <w:r w:rsidR="00807905" w:rsidRPr="00061371">
        <w:rPr>
          <w:rFonts w:ascii="Arial" w:hAnsi="Arial" w:cs="Arial"/>
          <w:szCs w:val="24"/>
        </w:rPr>
        <w:t>, un renforcement des campagnes d’information d’</w:t>
      </w:r>
      <w:r w:rsidR="00145FBE" w:rsidRPr="00061371">
        <w:rPr>
          <w:rFonts w:ascii="Arial" w:hAnsi="Arial" w:cs="Arial"/>
          <w:szCs w:val="24"/>
        </w:rPr>
        <w:t>Éduc</w:t>
      </w:r>
      <w:r w:rsidR="00145FBE">
        <w:rPr>
          <w:rFonts w:ascii="Arial" w:hAnsi="Arial" w:cs="Arial"/>
          <w:szCs w:val="24"/>
        </w:rPr>
        <w:t>a</w:t>
      </w:r>
      <w:r w:rsidR="00145FBE" w:rsidRPr="00061371">
        <w:rPr>
          <w:rFonts w:ascii="Arial" w:hAnsi="Arial" w:cs="Arial"/>
          <w:szCs w:val="24"/>
        </w:rPr>
        <w:t>tion</w:t>
      </w:r>
      <w:r w:rsidR="00807905" w:rsidRPr="00061371">
        <w:rPr>
          <w:rFonts w:ascii="Arial" w:hAnsi="Arial" w:cs="Arial"/>
          <w:szCs w:val="24"/>
        </w:rPr>
        <w:t xml:space="preserve"> et de Communication concernant la lutte contre </w:t>
      </w:r>
      <w:r w:rsidR="008C024E">
        <w:rPr>
          <w:rFonts w:ascii="Arial" w:hAnsi="Arial" w:cs="Arial"/>
          <w:szCs w:val="24"/>
        </w:rPr>
        <w:t xml:space="preserve">la </w:t>
      </w:r>
      <w:r w:rsidR="00807905" w:rsidRPr="00061371">
        <w:rPr>
          <w:rFonts w:ascii="Arial" w:hAnsi="Arial" w:cs="Arial"/>
          <w:szCs w:val="24"/>
        </w:rPr>
        <w:t xml:space="preserve">VBG ainsi que l’effet néfaste sur l’utilisation de l’internet devra être effectué par le </w:t>
      </w:r>
      <w:r w:rsidR="003B02C7">
        <w:rPr>
          <w:rFonts w:ascii="Arial" w:hAnsi="Arial" w:cs="Arial"/>
          <w:szCs w:val="24"/>
        </w:rPr>
        <w:t>G</w:t>
      </w:r>
      <w:r w:rsidR="00807905" w:rsidRPr="00061371">
        <w:rPr>
          <w:rFonts w:ascii="Arial" w:hAnsi="Arial" w:cs="Arial"/>
          <w:szCs w:val="24"/>
        </w:rPr>
        <w:t xml:space="preserve">ouvernent étant donné que </w:t>
      </w:r>
      <w:r w:rsidR="00061371">
        <w:rPr>
          <w:rFonts w:ascii="Arial" w:hAnsi="Arial" w:cs="Arial"/>
          <w:szCs w:val="24"/>
        </w:rPr>
        <w:t xml:space="preserve">le projet financé par la </w:t>
      </w:r>
      <w:r w:rsidR="003B02C7">
        <w:rPr>
          <w:rFonts w:ascii="Arial" w:hAnsi="Arial" w:cs="Arial"/>
          <w:szCs w:val="24"/>
        </w:rPr>
        <w:t>B</w:t>
      </w:r>
      <w:r w:rsidR="00061371">
        <w:rPr>
          <w:rFonts w:ascii="Arial" w:hAnsi="Arial" w:cs="Arial"/>
          <w:szCs w:val="24"/>
        </w:rPr>
        <w:t>anque ne couvre pas toutes les localités des différents projets.</w:t>
      </w:r>
    </w:p>
    <w:p w14:paraId="25C31EFB" w14:textId="77777777" w:rsidR="00E95156" w:rsidRDefault="00061371" w:rsidP="00F01166">
      <w:pPr>
        <w:jc w:val="both"/>
      </w:pPr>
      <w:r>
        <w:rPr>
          <w:rFonts w:ascii="Arial" w:hAnsi="Arial" w:cs="Arial"/>
          <w:szCs w:val="24"/>
        </w:rPr>
        <w:t xml:space="preserve"> </w:t>
      </w:r>
      <w:r w:rsidR="00E95156">
        <w:br w:type="page"/>
      </w:r>
    </w:p>
    <w:p w14:paraId="498853A8" w14:textId="77777777" w:rsidR="00832CC9" w:rsidRPr="00B96EBA" w:rsidRDefault="00832CC9" w:rsidP="0044500E">
      <w:pPr>
        <w:pStyle w:val="Paragraphedeliste"/>
        <w:numPr>
          <w:ilvl w:val="0"/>
          <w:numId w:val="177"/>
        </w:numPr>
        <w:pBdr>
          <w:bottom w:val="single" w:sz="4" w:space="1" w:color="auto"/>
        </w:pBdr>
        <w:spacing w:line="240" w:lineRule="auto"/>
        <w:jc w:val="both"/>
        <w:outlineLvl w:val="0"/>
        <w:rPr>
          <w:b/>
          <w:bCs/>
          <w:caps/>
          <w:color w:val="44546A"/>
          <w:sz w:val="40"/>
          <w:szCs w:val="44"/>
        </w:rPr>
      </w:pPr>
      <w:bookmarkStart w:id="1136" w:name="_Toc124956282"/>
      <w:bookmarkStart w:id="1137" w:name="_Toc125384630"/>
      <w:bookmarkStart w:id="1138" w:name="_Toc125385019"/>
      <w:bookmarkStart w:id="1139" w:name="_Toc127957692"/>
      <w:r w:rsidRPr="00B96EBA">
        <w:rPr>
          <w:b/>
          <w:bCs/>
          <w:caps/>
          <w:color w:val="44546A"/>
          <w:sz w:val="40"/>
          <w:szCs w:val="44"/>
        </w:rPr>
        <w:t>Mesures d’atténuation et de bonification</w:t>
      </w:r>
      <w:bookmarkEnd w:id="1136"/>
      <w:bookmarkEnd w:id="1137"/>
      <w:bookmarkEnd w:id="1138"/>
      <w:bookmarkEnd w:id="1139"/>
    </w:p>
    <w:p w14:paraId="0DFE3105" w14:textId="77777777" w:rsidR="001D708A" w:rsidRPr="007F78CE" w:rsidRDefault="001D708A" w:rsidP="0044500E">
      <w:pPr>
        <w:pStyle w:val="TIT2"/>
        <w:numPr>
          <w:ilvl w:val="1"/>
          <w:numId w:val="177"/>
        </w:numPr>
      </w:pPr>
      <w:bookmarkStart w:id="1140" w:name="_Toc124312773"/>
      <w:bookmarkStart w:id="1141" w:name="_Toc124314755"/>
      <w:bookmarkStart w:id="1142" w:name="_Toc124956283"/>
      <w:bookmarkStart w:id="1143" w:name="_Toc125384631"/>
      <w:bookmarkStart w:id="1144" w:name="_Toc125385020"/>
      <w:bookmarkStart w:id="1145" w:name="_Toc127957693"/>
      <w:bookmarkEnd w:id="1140"/>
      <w:r w:rsidRPr="007F78CE">
        <w:t>Mesures de bonification des impacts positifs</w:t>
      </w:r>
      <w:bookmarkEnd w:id="1141"/>
      <w:bookmarkEnd w:id="1142"/>
      <w:bookmarkEnd w:id="1143"/>
      <w:bookmarkEnd w:id="1144"/>
      <w:r w:rsidR="00653CCE">
        <w:t xml:space="preserve"> </w:t>
      </w:r>
      <w:r w:rsidR="00653CCE" w:rsidRPr="00DA4452">
        <w:rPr>
          <w:sz w:val="22"/>
          <w:szCs w:val="22"/>
        </w:rPr>
        <w:t>POTENTIELS</w:t>
      </w:r>
      <w:bookmarkEnd w:id="1145"/>
    </w:p>
    <w:p w14:paraId="6BAB5040" w14:textId="77777777" w:rsidR="00F76951" w:rsidRPr="0068025E" w:rsidRDefault="0068025E" w:rsidP="0068025E">
      <w:pPr>
        <w:jc w:val="both"/>
        <w:rPr>
          <w:rFonts w:ascii="Arial" w:hAnsi="Arial" w:cs="Arial"/>
        </w:rPr>
      </w:pPr>
      <w:r w:rsidRPr="0068025E">
        <w:rPr>
          <w:rFonts w:ascii="Arial" w:hAnsi="Arial" w:cs="Arial"/>
        </w:rPr>
        <w:t xml:space="preserve">Des </w:t>
      </w:r>
      <w:r>
        <w:rPr>
          <w:rFonts w:ascii="Arial" w:hAnsi="Arial" w:cs="Arial"/>
        </w:rPr>
        <w:t>mesures de bonification des impacts positifs potentiels du projet permettron</w:t>
      </w:r>
      <w:r w:rsidR="003B02C7">
        <w:rPr>
          <w:rFonts w:ascii="Arial" w:hAnsi="Arial" w:cs="Arial"/>
        </w:rPr>
        <w:t>t</w:t>
      </w:r>
      <w:r>
        <w:rPr>
          <w:rFonts w:ascii="Arial" w:hAnsi="Arial" w:cs="Arial"/>
        </w:rPr>
        <w:t xml:space="preserve"> d’amplifier leurs effets sur les milieux récepteurs</w:t>
      </w:r>
      <w:r w:rsidR="00653CCE">
        <w:rPr>
          <w:rFonts w:ascii="Arial" w:hAnsi="Arial" w:cs="Arial"/>
        </w:rPr>
        <w:t xml:space="preserve"> tels que décrit dans le tableau  suivant</w:t>
      </w:r>
      <w:r>
        <w:rPr>
          <w:rFonts w:ascii="Arial" w:hAnsi="Arial" w:cs="Arial"/>
        </w:rPr>
        <w:t>.</w:t>
      </w:r>
    </w:p>
    <w:p w14:paraId="26329360" w14:textId="77777777" w:rsidR="00F76951" w:rsidRPr="00B434A6" w:rsidRDefault="00F76951" w:rsidP="00B434A6">
      <w:pPr>
        <w:pStyle w:val="Lgende"/>
        <w:jc w:val="center"/>
        <w:rPr>
          <w:sz w:val="20"/>
        </w:rPr>
      </w:pPr>
      <w:bookmarkStart w:id="1146" w:name="_Toc127957876"/>
      <w:r w:rsidRPr="00B434A6">
        <w:rPr>
          <w:sz w:val="20"/>
        </w:rPr>
        <w:t xml:space="preserve">Tableau </w:t>
      </w:r>
      <w:r w:rsidR="00252AC3" w:rsidRPr="00B434A6">
        <w:rPr>
          <w:sz w:val="20"/>
        </w:rPr>
        <w:fldChar w:fldCharType="begin"/>
      </w:r>
      <w:r w:rsidR="00252AC3" w:rsidRPr="00B434A6">
        <w:rPr>
          <w:sz w:val="20"/>
        </w:rPr>
        <w:instrText xml:space="preserve"> SEQ Tableau \* ARABIC </w:instrText>
      </w:r>
      <w:r w:rsidR="00252AC3" w:rsidRPr="00B434A6">
        <w:rPr>
          <w:sz w:val="20"/>
        </w:rPr>
        <w:fldChar w:fldCharType="separate"/>
      </w:r>
      <w:r w:rsidR="005430A1">
        <w:rPr>
          <w:noProof/>
          <w:sz w:val="20"/>
        </w:rPr>
        <w:t>80</w:t>
      </w:r>
      <w:r w:rsidR="00252AC3" w:rsidRPr="00B434A6">
        <w:rPr>
          <w:sz w:val="20"/>
        </w:rPr>
        <w:fldChar w:fldCharType="end"/>
      </w:r>
      <w:r w:rsidR="005969CF" w:rsidRPr="00B434A6">
        <w:rPr>
          <w:sz w:val="20"/>
        </w:rPr>
        <w:t>.</w:t>
      </w:r>
      <w:r w:rsidRPr="00B434A6">
        <w:rPr>
          <w:sz w:val="20"/>
        </w:rPr>
        <w:t xml:space="preserve"> Mesures de bonification des impacts positifs</w:t>
      </w:r>
      <w:bookmarkEnd w:id="1146"/>
    </w:p>
    <w:tbl>
      <w:tblPr>
        <w:tblW w:w="9498" w:type="dxa"/>
        <w:tblInd w:w="70" w:type="dxa"/>
        <w:tblCellMar>
          <w:left w:w="70" w:type="dxa"/>
          <w:right w:w="70" w:type="dxa"/>
        </w:tblCellMar>
        <w:tblLook w:val="04A0" w:firstRow="1" w:lastRow="0" w:firstColumn="1" w:lastColumn="0" w:noHBand="0" w:noVBand="1"/>
      </w:tblPr>
      <w:tblGrid>
        <w:gridCol w:w="1058"/>
        <w:gridCol w:w="1210"/>
        <w:gridCol w:w="2835"/>
        <w:gridCol w:w="4395"/>
      </w:tblGrid>
      <w:tr w:rsidR="005746D4" w:rsidRPr="007F78CE" w14:paraId="4A34AB7D" w14:textId="77777777" w:rsidTr="00F91FA3">
        <w:trPr>
          <w:trHeight w:val="480"/>
        </w:trPr>
        <w:tc>
          <w:tcPr>
            <w:tcW w:w="1058"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D4C818B" w14:textId="77777777" w:rsidR="005746D4" w:rsidRPr="005746D4" w:rsidRDefault="005746D4" w:rsidP="005746D4">
            <w:pPr>
              <w:spacing w:after="0" w:line="240" w:lineRule="auto"/>
              <w:jc w:val="center"/>
              <w:rPr>
                <w:rFonts w:eastAsia="Times New Roman" w:cs="Calibri"/>
                <w:b/>
                <w:bCs/>
                <w:sz w:val="18"/>
                <w:szCs w:val="18"/>
                <w:lang w:eastAsia="fr-FR"/>
              </w:rPr>
            </w:pPr>
            <w:r w:rsidRPr="005746D4">
              <w:rPr>
                <w:rFonts w:eastAsia="Times New Roman" w:cs="Calibri"/>
                <w:b/>
                <w:bCs/>
                <w:sz w:val="18"/>
                <w:szCs w:val="18"/>
                <w:lang w:eastAsia="fr-FR"/>
              </w:rPr>
              <w:t>Milieu</w:t>
            </w:r>
          </w:p>
        </w:tc>
        <w:tc>
          <w:tcPr>
            <w:tcW w:w="1210" w:type="dxa"/>
            <w:tcBorders>
              <w:top w:val="single" w:sz="4" w:space="0" w:color="auto"/>
              <w:left w:val="nil"/>
              <w:bottom w:val="single" w:sz="4" w:space="0" w:color="auto"/>
              <w:right w:val="single" w:sz="4" w:space="0" w:color="auto"/>
            </w:tcBorders>
            <w:shd w:val="clear" w:color="000000" w:fill="DDEBF7"/>
            <w:vAlign w:val="center"/>
            <w:hideMark/>
          </w:tcPr>
          <w:p w14:paraId="7B12B01F" w14:textId="77777777" w:rsidR="005746D4" w:rsidRPr="005746D4" w:rsidRDefault="005746D4" w:rsidP="005746D4">
            <w:pPr>
              <w:spacing w:after="0" w:line="240" w:lineRule="auto"/>
              <w:jc w:val="center"/>
              <w:rPr>
                <w:rFonts w:eastAsia="Times New Roman" w:cs="Calibri"/>
                <w:b/>
                <w:bCs/>
                <w:sz w:val="18"/>
                <w:szCs w:val="18"/>
                <w:lang w:eastAsia="fr-FR"/>
              </w:rPr>
            </w:pPr>
            <w:r w:rsidRPr="005746D4">
              <w:rPr>
                <w:rFonts w:eastAsia="Times New Roman" w:cs="Calibri"/>
                <w:b/>
                <w:bCs/>
                <w:sz w:val="18"/>
                <w:szCs w:val="18"/>
                <w:lang w:eastAsia="fr-FR"/>
              </w:rPr>
              <w:t>Composante affecté</w:t>
            </w:r>
            <w:r>
              <w:rPr>
                <w:rFonts w:eastAsia="Times New Roman" w:cs="Calibri"/>
                <w:b/>
                <w:bCs/>
                <w:sz w:val="18"/>
                <w:szCs w:val="18"/>
                <w:lang w:eastAsia="fr-FR"/>
              </w:rPr>
              <w:t>e</w:t>
            </w:r>
          </w:p>
        </w:tc>
        <w:tc>
          <w:tcPr>
            <w:tcW w:w="2835" w:type="dxa"/>
            <w:tcBorders>
              <w:top w:val="single" w:sz="4" w:space="0" w:color="auto"/>
              <w:left w:val="nil"/>
              <w:bottom w:val="single" w:sz="4" w:space="0" w:color="auto"/>
              <w:right w:val="single" w:sz="4" w:space="0" w:color="auto"/>
            </w:tcBorders>
            <w:shd w:val="clear" w:color="000000" w:fill="DDEBF7"/>
            <w:vAlign w:val="center"/>
            <w:hideMark/>
          </w:tcPr>
          <w:p w14:paraId="16FB9491" w14:textId="77777777" w:rsidR="005746D4" w:rsidRPr="005746D4" w:rsidRDefault="005746D4" w:rsidP="005746D4">
            <w:pPr>
              <w:spacing w:after="0" w:line="240" w:lineRule="auto"/>
              <w:jc w:val="center"/>
              <w:rPr>
                <w:rFonts w:eastAsia="Times New Roman" w:cs="Calibri"/>
                <w:b/>
                <w:bCs/>
                <w:sz w:val="18"/>
                <w:szCs w:val="18"/>
                <w:lang w:eastAsia="fr-FR"/>
              </w:rPr>
            </w:pPr>
            <w:r w:rsidRPr="005746D4">
              <w:rPr>
                <w:rFonts w:eastAsia="Times New Roman" w:cs="Calibri"/>
                <w:b/>
                <w:bCs/>
                <w:sz w:val="18"/>
                <w:szCs w:val="18"/>
                <w:lang w:eastAsia="fr-FR"/>
              </w:rPr>
              <w:t>Impacts potentiels</w:t>
            </w:r>
          </w:p>
        </w:tc>
        <w:tc>
          <w:tcPr>
            <w:tcW w:w="4395" w:type="dxa"/>
            <w:tcBorders>
              <w:top w:val="single" w:sz="4" w:space="0" w:color="auto"/>
              <w:left w:val="nil"/>
              <w:bottom w:val="single" w:sz="4" w:space="0" w:color="auto"/>
              <w:right w:val="single" w:sz="4" w:space="0" w:color="auto"/>
            </w:tcBorders>
            <w:shd w:val="clear" w:color="000000" w:fill="DDEBF7"/>
            <w:vAlign w:val="center"/>
            <w:hideMark/>
          </w:tcPr>
          <w:p w14:paraId="4C7F4987" w14:textId="77777777" w:rsidR="005746D4" w:rsidRPr="005746D4" w:rsidRDefault="005746D4" w:rsidP="005746D4">
            <w:pPr>
              <w:spacing w:after="0" w:line="240" w:lineRule="auto"/>
              <w:jc w:val="center"/>
              <w:rPr>
                <w:rFonts w:eastAsia="Times New Roman" w:cs="Calibri"/>
                <w:b/>
                <w:bCs/>
                <w:sz w:val="18"/>
                <w:szCs w:val="18"/>
                <w:lang w:eastAsia="fr-FR"/>
              </w:rPr>
            </w:pPr>
            <w:r w:rsidRPr="005746D4">
              <w:rPr>
                <w:rFonts w:eastAsia="Times New Roman" w:cs="Calibri"/>
                <w:b/>
                <w:bCs/>
                <w:sz w:val="18"/>
                <w:szCs w:val="18"/>
                <w:lang w:eastAsia="fr-FR"/>
              </w:rPr>
              <w:t>Mesures de bonification</w:t>
            </w:r>
          </w:p>
        </w:tc>
      </w:tr>
      <w:tr w:rsidR="005746D4" w:rsidRPr="007F78CE" w14:paraId="62FE6DA0" w14:textId="77777777" w:rsidTr="00F91FA3">
        <w:trPr>
          <w:trHeight w:val="288"/>
        </w:trPr>
        <w:tc>
          <w:tcPr>
            <w:tcW w:w="9498" w:type="dxa"/>
            <w:gridSpan w:val="4"/>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61A3C661" w14:textId="77777777" w:rsidR="005746D4" w:rsidRPr="005746D4" w:rsidRDefault="005746D4" w:rsidP="005746D4">
            <w:pPr>
              <w:spacing w:after="0" w:line="240" w:lineRule="auto"/>
              <w:rPr>
                <w:rFonts w:eastAsia="Times New Roman" w:cs="Calibri"/>
                <w:b/>
                <w:bCs/>
                <w:color w:val="000000"/>
                <w:sz w:val="18"/>
                <w:szCs w:val="18"/>
                <w:lang w:eastAsia="fr-FR"/>
              </w:rPr>
            </w:pPr>
            <w:r w:rsidRPr="005746D4">
              <w:rPr>
                <w:rFonts w:eastAsia="Times New Roman" w:cs="Calibri"/>
                <w:b/>
                <w:bCs/>
                <w:color w:val="000000"/>
                <w:sz w:val="18"/>
                <w:szCs w:val="18"/>
                <w:lang w:eastAsia="fr-FR"/>
              </w:rPr>
              <w:t>Phase construction</w:t>
            </w:r>
          </w:p>
        </w:tc>
      </w:tr>
      <w:tr w:rsidR="005746D4" w:rsidRPr="007F78CE" w14:paraId="362147E0" w14:textId="77777777" w:rsidTr="00F91FA3">
        <w:trPr>
          <w:trHeight w:val="288"/>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14:paraId="55C06CAA" w14:textId="77777777" w:rsidR="005746D4" w:rsidRPr="005746D4" w:rsidRDefault="005746D4" w:rsidP="005746D4">
            <w:pPr>
              <w:spacing w:after="0" w:line="240" w:lineRule="auto"/>
              <w:rPr>
                <w:rFonts w:eastAsia="Times New Roman" w:cs="Calibri"/>
                <w:color w:val="000000"/>
                <w:sz w:val="18"/>
                <w:szCs w:val="18"/>
                <w:lang w:eastAsia="fr-FR"/>
              </w:rPr>
            </w:pPr>
            <w:r w:rsidRPr="005746D4">
              <w:rPr>
                <w:rFonts w:eastAsia="Times New Roman" w:cs="Calibri"/>
                <w:color w:val="000000"/>
                <w:sz w:val="18"/>
                <w:szCs w:val="18"/>
                <w:lang w:eastAsia="fr-FR"/>
              </w:rPr>
              <w:t>Humain</w:t>
            </w:r>
          </w:p>
        </w:tc>
        <w:tc>
          <w:tcPr>
            <w:tcW w:w="1210" w:type="dxa"/>
            <w:tcBorders>
              <w:top w:val="nil"/>
              <w:left w:val="nil"/>
              <w:bottom w:val="single" w:sz="4" w:space="0" w:color="auto"/>
              <w:right w:val="single" w:sz="4" w:space="0" w:color="auto"/>
            </w:tcBorders>
            <w:shd w:val="clear" w:color="auto" w:fill="auto"/>
            <w:vAlign w:val="center"/>
            <w:hideMark/>
          </w:tcPr>
          <w:p w14:paraId="521591EB" w14:textId="77777777" w:rsidR="005746D4" w:rsidRPr="005746D4" w:rsidRDefault="005746D4" w:rsidP="005746D4">
            <w:pPr>
              <w:spacing w:after="0" w:line="240" w:lineRule="auto"/>
              <w:rPr>
                <w:rFonts w:eastAsia="Times New Roman" w:cs="Calibri"/>
                <w:color w:val="000000"/>
                <w:sz w:val="18"/>
                <w:szCs w:val="18"/>
                <w:lang w:eastAsia="fr-FR"/>
              </w:rPr>
            </w:pPr>
            <w:r w:rsidRPr="005746D4">
              <w:rPr>
                <w:rFonts w:eastAsia="Times New Roman" w:cs="Calibri"/>
                <w:color w:val="000000"/>
                <w:sz w:val="18"/>
                <w:szCs w:val="18"/>
                <w:lang w:eastAsia="fr-FR"/>
              </w:rPr>
              <w:t>Emploi</w:t>
            </w:r>
          </w:p>
        </w:tc>
        <w:tc>
          <w:tcPr>
            <w:tcW w:w="2835" w:type="dxa"/>
            <w:tcBorders>
              <w:top w:val="nil"/>
              <w:left w:val="nil"/>
              <w:bottom w:val="single" w:sz="4" w:space="0" w:color="auto"/>
              <w:right w:val="single" w:sz="4" w:space="0" w:color="auto"/>
            </w:tcBorders>
            <w:shd w:val="clear" w:color="auto" w:fill="auto"/>
            <w:vAlign w:val="center"/>
            <w:hideMark/>
          </w:tcPr>
          <w:p w14:paraId="208BCE3F" w14:textId="77777777" w:rsidR="005746D4" w:rsidRPr="005746D4" w:rsidRDefault="005746D4" w:rsidP="005746D4">
            <w:pPr>
              <w:spacing w:after="0" w:line="240" w:lineRule="auto"/>
              <w:rPr>
                <w:rFonts w:eastAsia="Times New Roman" w:cs="Calibri"/>
                <w:color w:val="000000"/>
                <w:sz w:val="18"/>
                <w:szCs w:val="18"/>
                <w:lang w:eastAsia="fr-FR"/>
              </w:rPr>
            </w:pPr>
            <w:r w:rsidRPr="005746D4">
              <w:rPr>
                <w:rFonts w:eastAsia="Times New Roman" w:cs="Calibri"/>
                <w:color w:val="000000"/>
                <w:sz w:val="18"/>
                <w:szCs w:val="18"/>
                <w:lang w:eastAsia="fr-FR"/>
              </w:rPr>
              <w:t>Création d’emplois pour les populations locales</w:t>
            </w:r>
          </w:p>
        </w:tc>
        <w:tc>
          <w:tcPr>
            <w:tcW w:w="4395" w:type="dxa"/>
            <w:tcBorders>
              <w:top w:val="nil"/>
              <w:left w:val="nil"/>
              <w:bottom w:val="single" w:sz="4" w:space="0" w:color="auto"/>
              <w:right w:val="single" w:sz="4" w:space="0" w:color="auto"/>
            </w:tcBorders>
            <w:shd w:val="clear" w:color="auto" w:fill="auto"/>
            <w:vAlign w:val="center"/>
            <w:hideMark/>
          </w:tcPr>
          <w:p w14:paraId="2E74139D" w14:textId="77777777" w:rsidR="005746D4" w:rsidRPr="005746D4" w:rsidRDefault="005746D4" w:rsidP="005746D4">
            <w:pPr>
              <w:spacing w:after="0" w:line="240" w:lineRule="auto"/>
              <w:jc w:val="both"/>
              <w:rPr>
                <w:rFonts w:eastAsia="Times New Roman" w:cs="Calibri"/>
                <w:color w:val="000000"/>
                <w:sz w:val="18"/>
                <w:szCs w:val="18"/>
                <w:lang w:eastAsia="fr-FR"/>
              </w:rPr>
            </w:pPr>
            <w:r w:rsidRPr="005746D4">
              <w:rPr>
                <w:rFonts w:eastAsia="Times New Roman" w:cs="Calibri"/>
                <w:color w:val="000000"/>
                <w:sz w:val="18"/>
                <w:szCs w:val="18"/>
                <w:lang w:eastAsia="fr-FR"/>
              </w:rPr>
              <w:t>Favoriser le recrutement local et prendre en compte l’approche genre</w:t>
            </w:r>
          </w:p>
        </w:tc>
      </w:tr>
      <w:tr w:rsidR="005746D4" w:rsidRPr="007F78CE" w14:paraId="68265BBF" w14:textId="77777777" w:rsidTr="00F91FA3">
        <w:trPr>
          <w:trHeight w:val="288"/>
        </w:trPr>
        <w:tc>
          <w:tcPr>
            <w:tcW w:w="9498" w:type="dxa"/>
            <w:gridSpan w:val="4"/>
            <w:tcBorders>
              <w:top w:val="nil"/>
              <w:left w:val="single" w:sz="8" w:space="0" w:color="auto"/>
              <w:bottom w:val="nil"/>
              <w:right w:val="single" w:sz="8" w:space="0" w:color="000000"/>
            </w:tcBorders>
            <w:shd w:val="clear" w:color="000000" w:fill="00B0F0"/>
            <w:noWrap/>
            <w:vAlign w:val="center"/>
            <w:hideMark/>
          </w:tcPr>
          <w:p w14:paraId="35CF2E0C" w14:textId="77777777" w:rsidR="005746D4" w:rsidRPr="005746D4" w:rsidRDefault="005746D4" w:rsidP="005746D4">
            <w:pPr>
              <w:spacing w:after="0" w:line="240" w:lineRule="auto"/>
              <w:rPr>
                <w:rFonts w:eastAsia="Times New Roman" w:cs="Calibri"/>
                <w:b/>
                <w:bCs/>
                <w:color w:val="000000"/>
                <w:sz w:val="18"/>
                <w:szCs w:val="18"/>
                <w:lang w:eastAsia="fr-FR"/>
              </w:rPr>
            </w:pPr>
            <w:r w:rsidRPr="005746D4">
              <w:rPr>
                <w:rFonts w:eastAsia="Times New Roman" w:cs="Calibri"/>
                <w:b/>
                <w:bCs/>
                <w:color w:val="000000"/>
                <w:sz w:val="18"/>
                <w:szCs w:val="18"/>
                <w:lang w:eastAsia="fr-FR"/>
              </w:rPr>
              <w:t>Phase exploitation</w:t>
            </w:r>
          </w:p>
        </w:tc>
      </w:tr>
      <w:tr w:rsidR="005746D4" w:rsidRPr="007F78CE" w14:paraId="5FD932C7" w14:textId="77777777" w:rsidTr="00F91FA3">
        <w:trPr>
          <w:trHeight w:val="960"/>
        </w:trPr>
        <w:tc>
          <w:tcPr>
            <w:tcW w:w="10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9AA2FA" w14:textId="77777777" w:rsidR="005746D4" w:rsidRPr="005746D4" w:rsidRDefault="005746D4" w:rsidP="005746D4">
            <w:pPr>
              <w:spacing w:after="0" w:line="240" w:lineRule="auto"/>
              <w:rPr>
                <w:rFonts w:eastAsia="Times New Roman" w:cs="Calibri"/>
                <w:color w:val="000000"/>
                <w:sz w:val="18"/>
                <w:szCs w:val="18"/>
                <w:lang w:eastAsia="fr-FR"/>
              </w:rPr>
            </w:pPr>
            <w:r w:rsidRPr="005746D4">
              <w:rPr>
                <w:rFonts w:eastAsia="Times New Roman" w:cs="Calibri"/>
                <w:color w:val="000000"/>
                <w:sz w:val="18"/>
                <w:szCs w:val="18"/>
                <w:lang w:eastAsia="fr-FR"/>
              </w:rPr>
              <w:t>Physique</w:t>
            </w:r>
          </w:p>
        </w:tc>
        <w:tc>
          <w:tcPr>
            <w:tcW w:w="12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16B1C93" w14:textId="77777777" w:rsidR="005746D4" w:rsidRPr="005746D4" w:rsidRDefault="005746D4" w:rsidP="005746D4">
            <w:pPr>
              <w:spacing w:after="0" w:line="240" w:lineRule="auto"/>
              <w:rPr>
                <w:rFonts w:eastAsia="Times New Roman" w:cs="Calibri"/>
                <w:color w:val="000000"/>
                <w:sz w:val="18"/>
                <w:szCs w:val="18"/>
                <w:lang w:eastAsia="fr-FR"/>
              </w:rPr>
            </w:pPr>
            <w:r w:rsidRPr="005746D4">
              <w:rPr>
                <w:rFonts w:eastAsia="Times New Roman" w:cs="Calibri"/>
                <w:color w:val="000000"/>
                <w:sz w:val="18"/>
                <w:szCs w:val="18"/>
                <w:lang w:eastAsia="fr-FR"/>
              </w:rPr>
              <w:t>Climat / Air</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2533FF62" w14:textId="77777777" w:rsidR="005746D4" w:rsidRPr="005746D4" w:rsidRDefault="005746D4" w:rsidP="005746D4">
            <w:pPr>
              <w:spacing w:after="0" w:line="240" w:lineRule="auto"/>
              <w:rPr>
                <w:rFonts w:eastAsia="Times New Roman" w:cs="Calibri"/>
                <w:color w:val="000000"/>
                <w:sz w:val="18"/>
                <w:szCs w:val="18"/>
                <w:lang w:eastAsia="fr-FR"/>
              </w:rPr>
            </w:pPr>
            <w:r w:rsidRPr="005746D4">
              <w:rPr>
                <w:rFonts w:eastAsia="Times New Roman" w:cs="Calibri"/>
                <w:color w:val="000000"/>
                <w:sz w:val="18"/>
                <w:szCs w:val="18"/>
                <w:lang w:eastAsia="fr-FR"/>
              </w:rPr>
              <w:t>Atténuation du changement climatique par limitation des émissions de gaz à effet de serre par l'énergie fossile</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14:paraId="56D90D1F" w14:textId="77777777" w:rsidR="005746D4" w:rsidRPr="005746D4" w:rsidRDefault="005746D4" w:rsidP="005746D4">
            <w:pPr>
              <w:spacing w:after="0" w:line="240" w:lineRule="auto"/>
              <w:jc w:val="both"/>
              <w:rPr>
                <w:rFonts w:eastAsia="Times New Roman" w:cs="Calibri"/>
                <w:color w:val="000000"/>
                <w:sz w:val="18"/>
                <w:szCs w:val="18"/>
                <w:lang w:eastAsia="fr-FR"/>
              </w:rPr>
            </w:pPr>
            <w:r w:rsidRPr="005746D4">
              <w:rPr>
                <w:rFonts w:eastAsia="Times New Roman" w:cs="Calibri"/>
                <w:color w:val="000000"/>
                <w:sz w:val="18"/>
                <w:szCs w:val="18"/>
                <w:lang w:eastAsia="fr-FR"/>
              </w:rPr>
              <w:t xml:space="preserve">Le Projet pourra être aussi un instrument pédagogique en expliquant le fonctionnement, la protection de l’environnement, la lutte contre le changement climatique, pendant les visites des écoliers, des universités, des industriels et des citoyens. </w:t>
            </w:r>
          </w:p>
        </w:tc>
      </w:tr>
      <w:tr w:rsidR="005746D4" w:rsidRPr="007F78CE" w14:paraId="45F76EB8" w14:textId="77777777" w:rsidTr="00F91FA3">
        <w:trPr>
          <w:trHeight w:val="480"/>
        </w:trPr>
        <w:tc>
          <w:tcPr>
            <w:tcW w:w="1058" w:type="dxa"/>
            <w:vMerge/>
            <w:tcBorders>
              <w:top w:val="single" w:sz="4" w:space="0" w:color="auto"/>
              <w:left w:val="single" w:sz="4" w:space="0" w:color="auto"/>
              <w:bottom w:val="single" w:sz="4" w:space="0" w:color="000000"/>
              <w:right w:val="single" w:sz="4" w:space="0" w:color="auto"/>
            </w:tcBorders>
            <w:vAlign w:val="center"/>
            <w:hideMark/>
          </w:tcPr>
          <w:p w14:paraId="2A7DF84D" w14:textId="77777777" w:rsidR="005746D4" w:rsidRPr="005746D4" w:rsidRDefault="005746D4" w:rsidP="005746D4">
            <w:pPr>
              <w:spacing w:after="0" w:line="240" w:lineRule="auto"/>
              <w:rPr>
                <w:rFonts w:eastAsia="Times New Roman" w:cs="Calibri"/>
                <w:color w:val="000000"/>
                <w:sz w:val="18"/>
                <w:szCs w:val="18"/>
                <w:lang w:eastAsia="fr-FR"/>
              </w:rPr>
            </w:pPr>
          </w:p>
        </w:tc>
        <w:tc>
          <w:tcPr>
            <w:tcW w:w="1210" w:type="dxa"/>
            <w:vMerge/>
            <w:tcBorders>
              <w:top w:val="single" w:sz="4" w:space="0" w:color="auto"/>
              <w:left w:val="single" w:sz="4" w:space="0" w:color="auto"/>
              <w:bottom w:val="single" w:sz="4" w:space="0" w:color="000000"/>
              <w:right w:val="single" w:sz="4" w:space="0" w:color="auto"/>
            </w:tcBorders>
            <w:vAlign w:val="center"/>
            <w:hideMark/>
          </w:tcPr>
          <w:p w14:paraId="3DAB6D0D" w14:textId="77777777" w:rsidR="005746D4" w:rsidRPr="005746D4" w:rsidRDefault="005746D4" w:rsidP="005746D4">
            <w:pPr>
              <w:spacing w:after="0" w:line="240" w:lineRule="auto"/>
              <w:rPr>
                <w:rFonts w:eastAsia="Times New Roman" w:cs="Calibr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14:paraId="748365B5" w14:textId="77777777" w:rsidR="005746D4" w:rsidRPr="005746D4" w:rsidRDefault="005746D4" w:rsidP="005746D4">
            <w:pPr>
              <w:spacing w:after="0" w:line="240" w:lineRule="auto"/>
              <w:rPr>
                <w:rFonts w:eastAsia="Times New Roman" w:cs="Calibri"/>
                <w:color w:val="000000"/>
                <w:sz w:val="18"/>
                <w:szCs w:val="18"/>
                <w:lang w:eastAsia="fr-FR"/>
              </w:rPr>
            </w:pPr>
            <w:r w:rsidRPr="005746D4">
              <w:rPr>
                <w:rFonts w:eastAsia="Times New Roman" w:cs="Calibri"/>
                <w:color w:val="000000"/>
                <w:sz w:val="18"/>
                <w:szCs w:val="18"/>
                <w:lang w:eastAsia="fr-FR"/>
              </w:rPr>
              <w:t>Promotion de la production d’électricité faisant recours à l’énergie renouvelable</w:t>
            </w:r>
          </w:p>
        </w:tc>
        <w:tc>
          <w:tcPr>
            <w:tcW w:w="4395" w:type="dxa"/>
            <w:tcBorders>
              <w:top w:val="nil"/>
              <w:left w:val="nil"/>
              <w:bottom w:val="single" w:sz="4" w:space="0" w:color="auto"/>
              <w:right w:val="single" w:sz="4" w:space="0" w:color="auto"/>
            </w:tcBorders>
            <w:shd w:val="clear" w:color="auto" w:fill="auto"/>
            <w:vAlign w:val="center"/>
            <w:hideMark/>
          </w:tcPr>
          <w:p w14:paraId="6FE1D6B9" w14:textId="77777777" w:rsidR="005746D4" w:rsidRPr="005746D4" w:rsidRDefault="005746D4" w:rsidP="005746D4">
            <w:pPr>
              <w:spacing w:after="0" w:line="240" w:lineRule="auto"/>
              <w:jc w:val="both"/>
              <w:rPr>
                <w:rFonts w:eastAsia="Times New Roman" w:cs="Calibri"/>
                <w:color w:val="000000"/>
                <w:sz w:val="18"/>
                <w:szCs w:val="18"/>
                <w:lang w:eastAsia="fr-FR"/>
              </w:rPr>
            </w:pPr>
            <w:r w:rsidRPr="005746D4">
              <w:rPr>
                <w:rFonts w:eastAsia="Times New Roman" w:cs="Calibri"/>
                <w:color w:val="000000"/>
                <w:sz w:val="18"/>
                <w:szCs w:val="18"/>
                <w:lang w:eastAsia="fr-FR"/>
              </w:rPr>
              <w:t xml:space="preserve">Le Projet peut être un support de recherche sur les technologies propres, les relations avec la biodiversité. </w:t>
            </w:r>
          </w:p>
        </w:tc>
      </w:tr>
      <w:tr w:rsidR="005746D4" w:rsidRPr="007F78CE" w14:paraId="69CF236E" w14:textId="77777777" w:rsidTr="00F91FA3">
        <w:trPr>
          <w:trHeight w:val="480"/>
        </w:trPr>
        <w:tc>
          <w:tcPr>
            <w:tcW w:w="1058" w:type="dxa"/>
            <w:vMerge/>
            <w:tcBorders>
              <w:top w:val="single" w:sz="4" w:space="0" w:color="auto"/>
              <w:left w:val="single" w:sz="4" w:space="0" w:color="auto"/>
              <w:bottom w:val="single" w:sz="4" w:space="0" w:color="000000"/>
              <w:right w:val="single" w:sz="4" w:space="0" w:color="auto"/>
            </w:tcBorders>
            <w:vAlign w:val="center"/>
            <w:hideMark/>
          </w:tcPr>
          <w:p w14:paraId="405F57E5" w14:textId="77777777" w:rsidR="005746D4" w:rsidRPr="005746D4" w:rsidRDefault="005746D4" w:rsidP="005746D4">
            <w:pPr>
              <w:spacing w:after="0" w:line="240" w:lineRule="auto"/>
              <w:rPr>
                <w:rFonts w:eastAsia="Times New Roman" w:cs="Calibri"/>
                <w:color w:val="000000"/>
                <w:sz w:val="18"/>
                <w:szCs w:val="18"/>
                <w:lang w:eastAsia="fr-FR"/>
              </w:rPr>
            </w:pPr>
          </w:p>
        </w:tc>
        <w:tc>
          <w:tcPr>
            <w:tcW w:w="1210" w:type="dxa"/>
            <w:vMerge/>
            <w:tcBorders>
              <w:top w:val="single" w:sz="4" w:space="0" w:color="auto"/>
              <w:left w:val="single" w:sz="4" w:space="0" w:color="auto"/>
              <w:bottom w:val="single" w:sz="4" w:space="0" w:color="000000"/>
              <w:right w:val="single" w:sz="4" w:space="0" w:color="auto"/>
            </w:tcBorders>
            <w:vAlign w:val="center"/>
            <w:hideMark/>
          </w:tcPr>
          <w:p w14:paraId="24BBB7DF" w14:textId="77777777" w:rsidR="005746D4" w:rsidRPr="005746D4" w:rsidRDefault="005746D4" w:rsidP="005746D4">
            <w:pPr>
              <w:spacing w:after="0" w:line="240" w:lineRule="auto"/>
              <w:rPr>
                <w:rFonts w:eastAsia="Times New Roman" w:cs="Calibr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14:paraId="5089AB05" w14:textId="77777777" w:rsidR="005746D4" w:rsidRPr="005746D4" w:rsidRDefault="005746D4" w:rsidP="005746D4">
            <w:pPr>
              <w:spacing w:after="0" w:line="240" w:lineRule="auto"/>
              <w:rPr>
                <w:rFonts w:eastAsia="Times New Roman" w:cs="Calibri"/>
                <w:color w:val="000000"/>
                <w:sz w:val="18"/>
                <w:szCs w:val="18"/>
                <w:lang w:eastAsia="fr-FR"/>
              </w:rPr>
            </w:pPr>
            <w:r w:rsidRPr="005746D4">
              <w:rPr>
                <w:rFonts w:eastAsia="Times New Roman" w:cs="Calibri"/>
                <w:color w:val="000000"/>
                <w:sz w:val="18"/>
                <w:szCs w:val="18"/>
                <w:lang w:eastAsia="fr-FR"/>
              </w:rPr>
              <w:t>Facilitation des échanges à distances sans besoin de déplacement</w:t>
            </w:r>
          </w:p>
        </w:tc>
        <w:tc>
          <w:tcPr>
            <w:tcW w:w="4395" w:type="dxa"/>
            <w:tcBorders>
              <w:top w:val="nil"/>
              <w:left w:val="nil"/>
              <w:bottom w:val="single" w:sz="4" w:space="0" w:color="auto"/>
              <w:right w:val="single" w:sz="4" w:space="0" w:color="auto"/>
            </w:tcBorders>
            <w:shd w:val="clear" w:color="auto" w:fill="auto"/>
            <w:vAlign w:val="center"/>
            <w:hideMark/>
          </w:tcPr>
          <w:p w14:paraId="4C72C3D2" w14:textId="77777777" w:rsidR="005746D4" w:rsidRPr="005746D4" w:rsidRDefault="005746D4" w:rsidP="005746D4">
            <w:pPr>
              <w:spacing w:after="0" w:line="240" w:lineRule="auto"/>
              <w:jc w:val="both"/>
              <w:rPr>
                <w:rFonts w:eastAsia="Times New Roman" w:cs="Calibri"/>
                <w:color w:val="000000"/>
                <w:sz w:val="18"/>
                <w:szCs w:val="18"/>
                <w:lang w:eastAsia="fr-FR"/>
              </w:rPr>
            </w:pPr>
            <w:r w:rsidRPr="005746D4">
              <w:rPr>
                <w:rFonts w:eastAsia="Times New Roman" w:cs="Calibri"/>
                <w:color w:val="000000"/>
                <w:sz w:val="18"/>
                <w:szCs w:val="18"/>
                <w:lang w:eastAsia="fr-FR"/>
              </w:rPr>
              <w:t>Densification des sites desservis par les réseaux de communication</w:t>
            </w:r>
          </w:p>
        </w:tc>
      </w:tr>
      <w:tr w:rsidR="005746D4" w:rsidRPr="007F78CE" w14:paraId="4B6B67AA" w14:textId="77777777" w:rsidTr="00F91FA3">
        <w:trPr>
          <w:trHeight w:val="480"/>
        </w:trPr>
        <w:tc>
          <w:tcPr>
            <w:tcW w:w="1058" w:type="dxa"/>
            <w:vMerge w:val="restart"/>
            <w:tcBorders>
              <w:top w:val="nil"/>
              <w:left w:val="single" w:sz="4" w:space="0" w:color="auto"/>
              <w:bottom w:val="single" w:sz="4" w:space="0" w:color="000000"/>
              <w:right w:val="single" w:sz="4" w:space="0" w:color="auto"/>
            </w:tcBorders>
            <w:shd w:val="clear" w:color="auto" w:fill="auto"/>
            <w:vAlign w:val="center"/>
            <w:hideMark/>
          </w:tcPr>
          <w:p w14:paraId="4A8F327D" w14:textId="77777777" w:rsidR="005746D4" w:rsidRPr="005746D4" w:rsidRDefault="005746D4" w:rsidP="005746D4">
            <w:pPr>
              <w:spacing w:after="0" w:line="240" w:lineRule="auto"/>
              <w:rPr>
                <w:rFonts w:eastAsia="Times New Roman" w:cs="Calibri"/>
                <w:color w:val="000000"/>
                <w:sz w:val="18"/>
                <w:szCs w:val="18"/>
                <w:lang w:eastAsia="fr-FR"/>
              </w:rPr>
            </w:pPr>
            <w:r w:rsidRPr="005746D4">
              <w:rPr>
                <w:rFonts w:eastAsia="Times New Roman" w:cs="Calibri"/>
                <w:color w:val="000000"/>
                <w:sz w:val="18"/>
                <w:szCs w:val="18"/>
                <w:lang w:eastAsia="fr-FR"/>
              </w:rPr>
              <w:t>Humain</w:t>
            </w:r>
          </w:p>
        </w:tc>
        <w:tc>
          <w:tcPr>
            <w:tcW w:w="1210" w:type="dxa"/>
            <w:tcBorders>
              <w:top w:val="nil"/>
              <w:left w:val="nil"/>
              <w:bottom w:val="nil"/>
              <w:right w:val="single" w:sz="4" w:space="0" w:color="auto"/>
            </w:tcBorders>
            <w:shd w:val="clear" w:color="auto" w:fill="auto"/>
            <w:noWrap/>
            <w:vAlign w:val="center"/>
            <w:hideMark/>
          </w:tcPr>
          <w:p w14:paraId="7290C517" w14:textId="77777777" w:rsidR="005746D4" w:rsidRPr="005746D4" w:rsidRDefault="005746D4" w:rsidP="005746D4">
            <w:pPr>
              <w:spacing w:after="0" w:line="240" w:lineRule="auto"/>
              <w:rPr>
                <w:rFonts w:eastAsia="Times New Roman" w:cs="Calibri"/>
                <w:color w:val="000000"/>
                <w:sz w:val="18"/>
                <w:szCs w:val="18"/>
                <w:lang w:eastAsia="fr-FR"/>
              </w:rPr>
            </w:pPr>
            <w:r w:rsidRPr="005746D4">
              <w:rPr>
                <w:rFonts w:eastAsia="Times New Roman" w:cs="Calibri"/>
                <w:color w:val="000000"/>
                <w:sz w:val="18"/>
                <w:szCs w:val="18"/>
                <w:lang w:eastAsia="fr-FR"/>
              </w:rPr>
              <w:t>Emplois</w:t>
            </w:r>
          </w:p>
        </w:tc>
        <w:tc>
          <w:tcPr>
            <w:tcW w:w="2835" w:type="dxa"/>
            <w:tcBorders>
              <w:top w:val="nil"/>
              <w:left w:val="nil"/>
              <w:bottom w:val="single" w:sz="4" w:space="0" w:color="auto"/>
              <w:right w:val="single" w:sz="4" w:space="0" w:color="auto"/>
            </w:tcBorders>
            <w:shd w:val="clear" w:color="auto" w:fill="auto"/>
            <w:vAlign w:val="center"/>
            <w:hideMark/>
          </w:tcPr>
          <w:p w14:paraId="36E601D6" w14:textId="77777777" w:rsidR="005746D4" w:rsidRPr="005746D4" w:rsidRDefault="005746D4" w:rsidP="005746D4">
            <w:pPr>
              <w:spacing w:after="0" w:line="240" w:lineRule="auto"/>
              <w:rPr>
                <w:rFonts w:eastAsia="Times New Roman" w:cs="Calibri"/>
                <w:color w:val="000000"/>
                <w:sz w:val="18"/>
                <w:szCs w:val="18"/>
                <w:lang w:eastAsia="fr-FR"/>
              </w:rPr>
            </w:pPr>
            <w:r w:rsidRPr="005746D4">
              <w:rPr>
                <w:rFonts w:eastAsia="Times New Roman" w:cs="Calibri"/>
                <w:color w:val="000000"/>
                <w:sz w:val="18"/>
                <w:szCs w:val="18"/>
                <w:lang w:eastAsia="fr-FR"/>
              </w:rPr>
              <w:t>Création de postes permanents pour les populations locales</w:t>
            </w:r>
          </w:p>
        </w:tc>
        <w:tc>
          <w:tcPr>
            <w:tcW w:w="4395" w:type="dxa"/>
            <w:tcBorders>
              <w:top w:val="nil"/>
              <w:left w:val="nil"/>
              <w:bottom w:val="single" w:sz="4" w:space="0" w:color="auto"/>
              <w:right w:val="single" w:sz="4" w:space="0" w:color="auto"/>
            </w:tcBorders>
            <w:shd w:val="clear" w:color="auto" w:fill="auto"/>
            <w:vAlign w:val="center"/>
            <w:hideMark/>
          </w:tcPr>
          <w:p w14:paraId="30E13999" w14:textId="77777777" w:rsidR="005746D4" w:rsidRPr="005746D4" w:rsidRDefault="005746D4" w:rsidP="005746D4">
            <w:pPr>
              <w:spacing w:after="0" w:line="240" w:lineRule="auto"/>
              <w:rPr>
                <w:rFonts w:eastAsia="Times New Roman" w:cs="Calibri"/>
                <w:color w:val="000000"/>
                <w:sz w:val="18"/>
                <w:szCs w:val="18"/>
                <w:lang w:eastAsia="fr-FR"/>
              </w:rPr>
            </w:pPr>
            <w:r w:rsidRPr="005746D4">
              <w:rPr>
                <w:rFonts w:eastAsia="Times New Roman" w:cs="Calibri"/>
                <w:color w:val="000000"/>
                <w:sz w:val="18"/>
                <w:szCs w:val="18"/>
                <w:lang w:eastAsia="fr-FR"/>
              </w:rPr>
              <w:t>Favoriser le recrutement au niveau local et tenir compte de l’approche genre</w:t>
            </w:r>
          </w:p>
        </w:tc>
      </w:tr>
      <w:tr w:rsidR="005746D4" w:rsidRPr="007F78CE" w14:paraId="45FF0FE8" w14:textId="77777777" w:rsidTr="00F91FA3">
        <w:trPr>
          <w:trHeight w:val="960"/>
        </w:trPr>
        <w:tc>
          <w:tcPr>
            <w:tcW w:w="1058" w:type="dxa"/>
            <w:vMerge/>
            <w:tcBorders>
              <w:top w:val="nil"/>
              <w:left w:val="single" w:sz="4" w:space="0" w:color="auto"/>
              <w:bottom w:val="single" w:sz="4" w:space="0" w:color="000000"/>
              <w:right w:val="single" w:sz="4" w:space="0" w:color="auto"/>
            </w:tcBorders>
            <w:vAlign w:val="center"/>
            <w:hideMark/>
          </w:tcPr>
          <w:p w14:paraId="7274D0BA" w14:textId="77777777" w:rsidR="005746D4" w:rsidRPr="005746D4" w:rsidRDefault="005746D4" w:rsidP="005746D4">
            <w:pPr>
              <w:spacing w:after="0" w:line="240" w:lineRule="auto"/>
              <w:rPr>
                <w:rFonts w:eastAsia="Times New Roman" w:cs="Calibri"/>
                <w:color w:val="000000"/>
                <w:sz w:val="18"/>
                <w:szCs w:val="18"/>
                <w:lang w:eastAsia="fr-FR"/>
              </w:rPr>
            </w:pPr>
          </w:p>
        </w:tc>
        <w:tc>
          <w:tcPr>
            <w:tcW w:w="12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7865F6" w14:textId="77777777" w:rsidR="005746D4" w:rsidRPr="005746D4" w:rsidRDefault="005746D4" w:rsidP="005746D4">
            <w:pPr>
              <w:spacing w:after="0" w:line="240" w:lineRule="auto"/>
              <w:rPr>
                <w:rFonts w:eastAsia="Times New Roman" w:cs="Calibri"/>
                <w:color w:val="000000"/>
                <w:sz w:val="18"/>
                <w:szCs w:val="18"/>
                <w:lang w:eastAsia="fr-FR"/>
              </w:rPr>
            </w:pPr>
            <w:r w:rsidRPr="005746D4">
              <w:rPr>
                <w:rFonts w:eastAsia="Times New Roman" w:cs="Calibri"/>
                <w:color w:val="000000"/>
                <w:sz w:val="18"/>
                <w:szCs w:val="18"/>
                <w:lang w:eastAsia="fr-FR"/>
              </w:rPr>
              <w:t>Activités socio-économiques</w:t>
            </w:r>
          </w:p>
        </w:tc>
        <w:tc>
          <w:tcPr>
            <w:tcW w:w="2835" w:type="dxa"/>
            <w:tcBorders>
              <w:top w:val="nil"/>
              <w:left w:val="nil"/>
              <w:bottom w:val="single" w:sz="4" w:space="0" w:color="auto"/>
              <w:right w:val="single" w:sz="4" w:space="0" w:color="auto"/>
            </w:tcBorders>
            <w:shd w:val="clear" w:color="auto" w:fill="auto"/>
            <w:vAlign w:val="center"/>
            <w:hideMark/>
          </w:tcPr>
          <w:p w14:paraId="53EC418B" w14:textId="77777777" w:rsidR="005746D4" w:rsidRPr="005746D4" w:rsidRDefault="005746D4" w:rsidP="005746D4">
            <w:pPr>
              <w:spacing w:after="0" w:line="240" w:lineRule="auto"/>
              <w:rPr>
                <w:rFonts w:eastAsia="Times New Roman" w:cs="Calibri"/>
                <w:color w:val="000000"/>
                <w:sz w:val="18"/>
                <w:szCs w:val="18"/>
                <w:lang w:eastAsia="fr-FR"/>
              </w:rPr>
            </w:pPr>
            <w:r w:rsidRPr="005746D4">
              <w:rPr>
                <w:rFonts w:eastAsia="Times New Roman" w:cs="Calibri"/>
                <w:color w:val="000000"/>
                <w:sz w:val="18"/>
                <w:szCs w:val="18"/>
                <w:lang w:eastAsia="fr-FR"/>
              </w:rPr>
              <w:t xml:space="preserve">Augmentation de la capacité de production et de distribution électrique de la JIRAMA  </w:t>
            </w:r>
          </w:p>
        </w:tc>
        <w:tc>
          <w:tcPr>
            <w:tcW w:w="4395" w:type="dxa"/>
            <w:tcBorders>
              <w:top w:val="nil"/>
              <w:left w:val="nil"/>
              <w:bottom w:val="single" w:sz="4" w:space="0" w:color="auto"/>
              <w:right w:val="single" w:sz="4" w:space="0" w:color="auto"/>
            </w:tcBorders>
            <w:shd w:val="clear" w:color="auto" w:fill="auto"/>
            <w:vAlign w:val="center"/>
            <w:hideMark/>
          </w:tcPr>
          <w:p w14:paraId="299B4DA9" w14:textId="77777777" w:rsidR="005746D4" w:rsidRPr="005746D4" w:rsidRDefault="005746D4" w:rsidP="005746D4">
            <w:pPr>
              <w:spacing w:after="0" w:line="240" w:lineRule="auto"/>
              <w:rPr>
                <w:rFonts w:eastAsia="Times New Roman" w:cs="Calibri"/>
                <w:color w:val="000000"/>
                <w:sz w:val="18"/>
                <w:szCs w:val="18"/>
                <w:lang w:eastAsia="fr-FR"/>
              </w:rPr>
            </w:pPr>
            <w:r w:rsidRPr="005746D4">
              <w:rPr>
                <w:rFonts w:eastAsia="Times New Roman" w:cs="Calibri"/>
                <w:color w:val="000000"/>
                <w:sz w:val="18"/>
                <w:szCs w:val="18"/>
                <w:lang w:eastAsia="fr-FR"/>
              </w:rPr>
              <w:t xml:space="preserve"> Alimenter le centre de stockage par l’énergie en provenance des centrales</w:t>
            </w:r>
            <w:r w:rsidR="00D017C2">
              <w:rPr>
                <w:rFonts w:eastAsia="Times New Roman" w:cs="Calibri"/>
                <w:color w:val="000000"/>
                <w:sz w:val="18"/>
                <w:szCs w:val="18"/>
                <w:lang w:eastAsia="fr-FR"/>
              </w:rPr>
              <w:t xml:space="preserve"> solaires</w:t>
            </w:r>
            <w:r w:rsidRPr="005746D4">
              <w:rPr>
                <w:rFonts w:eastAsia="Times New Roman" w:cs="Calibri"/>
                <w:color w:val="000000"/>
                <w:sz w:val="18"/>
                <w:szCs w:val="18"/>
                <w:lang w:eastAsia="fr-FR"/>
              </w:rPr>
              <w:t xml:space="preserve"> photovoltaïques et non seulement par la centrale thermique, afin de réduire le niveau de consommation de la centrale thermique. Remplacement progressif des sources d'énergie </w:t>
            </w:r>
            <w:r w:rsidR="003B02C7">
              <w:rPr>
                <w:rFonts w:eastAsia="Times New Roman" w:cs="Calibri"/>
                <w:color w:val="000000"/>
                <w:sz w:val="18"/>
                <w:szCs w:val="18"/>
                <w:lang w:eastAsia="fr-FR"/>
              </w:rPr>
              <w:t xml:space="preserve">thermique </w:t>
            </w:r>
            <w:r w:rsidRPr="005746D4">
              <w:rPr>
                <w:rFonts w:eastAsia="Times New Roman" w:cs="Calibri"/>
                <w:color w:val="000000"/>
                <w:sz w:val="18"/>
                <w:szCs w:val="18"/>
                <w:lang w:eastAsia="fr-FR"/>
              </w:rPr>
              <w:t>utilisées par la JIRAMA par de l'énergie renouvelable.</w:t>
            </w:r>
          </w:p>
        </w:tc>
      </w:tr>
      <w:tr w:rsidR="005746D4" w:rsidRPr="007F78CE" w14:paraId="7C6A482C" w14:textId="77777777" w:rsidTr="00F91FA3">
        <w:trPr>
          <w:trHeight w:val="480"/>
        </w:trPr>
        <w:tc>
          <w:tcPr>
            <w:tcW w:w="1058" w:type="dxa"/>
            <w:vMerge/>
            <w:tcBorders>
              <w:top w:val="nil"/>
              <w:left w:val="single" w:sz="4" w:space="0" w:color="auto"/>
              <w:bottom w:val="single" w:sz="4" w:space="0" w:color="000000"/>
              <w:right w:val="single" w:sz="4" w:space="0" w:color="auto"/>
            </w:tcBorders>
            <w:vAlign w:val="center"/>
            <w:hideMark/>
          </w:tcPr>
          <w:p w14:paraId="65120402" w14:textId="77777777" w:rsidR="005746D4" w:rsidRPr="005746D4" w:rsidRDefault="005746D4" w:rsidP="005746D4">
            <w:pPr>
              <w:spacing w:after="0" w:line="240" w:lineRule="auto"/>
              <w:rPr>
                <w:rFonts w:eastAsia="Times New Roman" w:cs="Calibri"/>
                <w:color w:val="000000"/>
                <w:sz w:val="18"/>
                <w:szCs w:val="18"/>
                <w:lang w:eastAsia="fr-FR"/>
              </w:rPr>
            </w:pPr>
          </w:p>
        </w:tc>
        <w:tc>
          <w:tcPr>
            <w:tcW w:w="1210" w:type="dxa"/>
            <w:vMerge/>
            <w:tcBorders>
              <w:top w:val="single" w:sz="4" w:space="0" w:color="auto"/>
              <w:left w:val="single" w:sz="4" w:space="0" w:color="auto"/>
              <w:bottom w:val="single" w:sz="4" w:space="0" w:color="000000"/>
              <w:right w:val="single" w:sz="4" w:space="0" w:color="auto"/>
            </w:tcBorders>
            <w:vAlign w:val="center"/>
            <w:hideMark/>
          </w:tcPr>
          <w:p w14:paraId="7F309A90" w14:textId="77777777" w:rsidR="005746D4" w:rsidRPr="005746D4" w:rsidRDefault="005746D4" w:rsidP="005746D4">
            <w:pPr>
              <w:spacing w:after="0" w:line="240" w:lineRule="auto"/>
              <w:rPr>
                <w:rFonts w:eastAsia="Times New Roman" w:cs="Calibr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14:paraId="06A67E5A" w14:textId="77777777" w:rsidR="005746D4" w:rsidRPr="005746D4" w:rsidRDefault="005746D4" w:rsidP="005746D4">
            <w:pPr>
              <w:spacing w:after="0" w:line="240" w:lineRule="auto"/>
              <w:rPr>
                <w:rFonts w:eastAsia="Times New Roman" w:cs="Calibri"/>
                <w:color w:val="000000"/>
                <w:sz w:val="18"/>
                <w:szCs w:val="18"/>
                <w:lang w:eastAsia="fr-FR"/>
              </w:rPr>
            </w:pPr>
            <w:r w:rsidRPr="005746D4">
              <w:rPr>
                <w:rFonts w:eastAsia="Times New Roman" w:cs="Calibri"/>
                <w:color w:val="000000"/>
                <w:sz w:val="18"/>
                <w:szCs w:val="18"/>
                <w:lang w:eastAsia="fr-FR"/>
              </w:rPr>
              <w:t>Renforcement du secteur énergétique</w:t>
            </w:r>
          </w:p>
        </w:tc>
        <w:tc>
          <w:tcPr>
            <w:tcW w:w="4395" w:type="dxa"/>
            <w:tcBorders>
              <w:top w:val="nil"/>
              <w:left w:val="nil"/>
              <w:bottom w:val="single" w:sz="4" w:space="0" w:color="auto"/>
              <w:right w:val="single" w:sz="4" w:space="0" w:color="auto"/>
            </w:tcBorders>
            <w:shd w:val="clear" w:color="auto" w:fill="auto"/>
            <w:vAlign w:val="center"/>
            <w:hideMark/>
          </w:tcPr>
          <w:p w14:paraId="3C49F5DF" w14:textId="77777777" w:rsidR="005746D4" w:rsidRPr="005746D4" w:rsidRDefault="005746D4" w:rsidP="005746D4">
            <w:pPr>
              <w:spacing w:after="0" w:line="240" w:lineRule="auto"/>
              <w:rPr>
                <w:rFonts w:eastAsia="Times New Roman" w:cs="Calibri"/>
                <w:color w:val="000000"/>
                <w:sz w:val="18"/>
                <w:szCs w:val="18"/>
                <w:lang w:eastAsia="fr-FR"/>
              </w:rPr>
            </w:pPr>
            <w:r w:rsidRPr="005746D4">
              <w:rPr>
                <w:rFonts w:eastAsia="Times New Roman" w:cs="Calibri"/>
                <w:color w:val="000000"/>
                <w:sz w:val="18"/>
                <w:szCs w:val="18"/>
                <w:lang w:eastAsia="fr-FR"/>
              </w:rPr>
              <w:t>Vulgarisation et extension de l'utilisation de ressources énergétique</w:t>
            </w:r>
            <w:r w:rsidR="003B02C7">
              <w:rPr>
                <w:rFonts w:eastAsia="Times New Roman" w:cs="Calibri"/>
                <w:color w:val="000000"/>
                <w:sz w:val="18"/>
                <w:szCs w:val="18"/>
                <w:lang w:eastAsia="fr-FR"/>
              </w:rPr>
              <w:t>s</w:t>
            </w:r>
            <w:r w:rsidRPr="005746D4">
              <w:rPr>
                <w:rFonts w:eastAsia="Times New Roman" w:cs="Calibri"/>
                <w:color w:val="000000"/>
                <w:sz w:val="18"/>
                <w:szCs w:val="18"/>
                <w:lang w:eastAsia="fr-FR"/>
              </w:rPr>
              <w:t xml:space="preserve"> renouvelables.</w:t>
            </w:r>
          </w:p>
        </w:tc>
      </w:tr>
      <w:tr w:rsidR="005746D4" w:rsidRPr="007F78CE" w14:paraId="1B5DF691" w14:textId="77777777" w:rsidTr="00F91FA3">
        <w:trPr>
          <w:trHeight w:val="480"/>
        </w:trPr>
        <w:tc>
          <w:tcPr>
            <w:tcW w:w="1058" w:type="dxa"/>
            <w:vMerge/>
            <w:tcBorders>
              <w:top w:val="nil"/>
              <w:left w:val="single" w:sz="4" w:space="0" w:color="auto"/>
              <w:bottom w:val="single" w:sz="4" w:space="0" w:color="000000"/>
              <w:right w:val="single" w:sz="4" w:space="0" w:color="auto"/>
            </w:tcBorders>
            <w:vAlign w:val="center"/>
            <w:hideMark/>
          </w:tcPr>
          <w:p w14:paraId="145FA9DC" w14:textId="77777777" w:rsidR="005746D4" w:rsidRPr="005746D4" w:rsidRDefault="005746D4" w:rsidP="005746D4">
            <w:pPr>
              <w:spacing w:after="0" w:line="240" w:lineRule="auto"/>
              <w:rPr>
                <w:rFonts w:eastAsia="Times New Roman" w:cs="Calibri"/>
                <w:color w:val="000000"/>
                <w:sz w:val="18"/>
                <w:szCs w:val="18"/>
                <w:lang w:eastAsia="fr-FR"/>
              </w:rPr>
            </w:pPr>
          </w:p>
        </w:tc>
        <w:tc>
          <w:tcPr>
            <w:tcW w:w="1210" w:type="dxa"/>
            <w:vMerge/>
            <w:tcBorders>
              <w:top w:val="single" w:sz="4" w:space="0" w:color="auto"/>
              <w:left w:val="single" w:sz="4" w:space="0" w:color="auto"/>
              <w:bottom w:val="single" w:sz="4" w:space="0" w:color="000000"/>
              <w:right w:val="single" w:sz="4" w:space="0" w:color="auto"/>
            </w:tcBorders>
            <w:vAlign w:val="center"/>
            <w:hideMark/>
          </w:tcPr>
          <w:p w14:paraId="350429B9" w14:textId="77777777" w:rsidR="005746D4" w:rsidRPr="005746D4" w:rsidRDefault="005746D4" w:rsidP="005746D4">
            <w:pPr>
              <w:spacing w:after="0" w:line="240" w:lineRule="auto"/>
              <w:rPr>
                <w:rFonts w:eastAsia="Times New Roman" w:cs="Calibr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14:paraId="7BC17F03" w14:textId="77777777" w:rsidR="005746D4" w:rsidRPr="005746D4" w:rsidRDefault="00B77499" w:rsidP="005746D4">
            <w:pPr>
              <w:spacing w:after="0" w:line="240" w:lineRule="auto"/>
              <w:rPr>
                <w:rFonts w:eastAsia="Times New Roman" w:cs="Calibri"/>
                <w:color w:val="000000"/>
                <w:sz w:val="18"/>
                <w:szCs w:val="18"/>
                <w:lang w:eastAsia="fr-FR"/>
              </w:rPr>
            </w:pPr>
            <w:r>
              <w:rPr>
                <w:rFonts w:eastAsia="Times New Roman" w:cs="Calibri"/>
                <w:color w:val="000000"/>
                <w:sz w:val="18"/>
                <w:szCs w:val="18"/>
                <w:lang w:eastAsia="fr-FR"/>
              </w:rPr>
              <w:t>A</w:t>
            </w:r>
            <w:r w:rsidRPr="00B434A6">
              <w:rPr>
                <w:rFonts w:eastAsia="Times New Roman" w:cs="Calibri"/>
                <w:color w:val="000000"/>
                <w:sz w:val="18"/>
                <w:szCs w:val="18"/>
                <w:lang w:eastAsia="fr-FR"/>
              </w:rPr>
              <w:t>ugmentation du taux d’accès à l’électricité de la population</w:t>
            </w:r>
          </w:p>
        </w:tc>
        <w:tc>
          <w:tcPr>
            <w:tcW w:w="4395" w:type="dxa"/>
            <w:tcBorders>
              <w:top w:val="nil"/>
              <w:left w:val="nil"/>
              <w:bottom w:val="single" w:sz="4" w:space="0" w:color="auto"/>
              <w:right w:val="single" w:sz="4" w:space="0" w:color="auto"/>
            </w:tcBorders>
            <w:shd w:val="clear" w:color="auto" w:fill="auto"/>
            <w:vAlign w:val="center"/>
            <w:hideMark/>
          </w:tcPr>
          <w:p w14:paraId="49328A01" w14:textId="77777777" w:rsidR="00B77499" w:rsidRDefault="00B77499" w:rsidP="005746D4">
            <w:pPr>
              <w:spacing w:after="0" w:line="240" w:lineRule="auto"/>
              <w:rPr>
                <w:rFonts w:eastAsia="Times New Roman" w:cs="Calibri"/>
                <w:color w:val="000000"/>
                <w:sz w:val="18"/>
                <w:szCs w:val="18"/>
                <w:lang w:eastAsia="fr-FR"/>
              </w:rPr>
            </w:pPr>
            <w:r>
              <w:rPr>
                <w:rFonts w:eastAsia="Times New Roman" w:cs="Calibri"/>
                <w:color w:val="000000"/>
                <w:sz w:val="18"/>
                <w:szCs w:val="18"/>
                <w:lang w:eastAsia="fr-FR"/>
              </w:rPr>
              <w:t xml:space="preserve">Entretien périodique des matériels et infrastructures </w:t>
            </w:r>
          </w:p>
          <w:p w14:paraId="32E52234" w14:textId="77777777" w:rsidR="005746D4" w:rsidRPr="005746D4" w:rsidRDefault="00B77499" w:rsidP="006F4204">
            <w:pPr>
              <w:spacing w:after="0" w:line="240" w:lineRule="auto"/>
              <w:rPr>
                <w:rFonts w:eastAsia="Times New Roman" w:cs="Calibri"/>
                <w:color w:val="000000"/>
                <w:sz w:val="18"/>
                <w:szCs w:val="18"/>
                <w:lang w:eastAsia="fr-FR"/>
              </w:rPr>
            </w:pPr>
            <w:r>
              <w:rPr>
                <w:rFonts w:eastAsia="Times New Roman" w:cs="Calibri"/>
                <w:color w:val="000000"/>
                <w:sz w:val="18"/>
                <w:szCs w:val="18"/>
                <w:lang w:eastAsia="fr-FR"/>
              </w:rPr>
              <w:t xml:space="preserve">Bonne gestion </w:t>
            </w:r>
            <w:r w:rsidR="001D6C60">
              <w:rPr>
                <w:rFonts w:eastAsia="Times New Roman" w:cs="Calibri"/>
                <w:color w:val="000000"/>
                <w:sz w:val="18"/>
                <w:szCs w:val="18"/>
                <w:lang w:eastAsia="fr-FR"/>
              </w:rPr>
              <w:t>de recettes liées</w:t>
            </w:r>
            <w:r>
              <w:rPr>
                <w:rFonts w:eastAsia="Times New Roman" w:cs="Calibri"/>
                <w:color w:val="000000"/>
                <w:sz w:val="18"/>
                <w:szCs w:val="18"/>
                <w:lang w:eastAsia="fr-FR"/>
              </w:rPr>
              <w:t xml:space="preserve"> à l’électricité </w:t>
            </w:r>
          </w:p>
        </w:tc>
      </w:tr>
      <w:tr w:rsidR="005746D4" w:rsidRPr="007F78CE" w14:paraId="05047F33" w14:textId="77777777" w:rsidTr="00F91FA3">
        <w:trPr>
          <w:trHeight w:val="480"/>
        </w:trPr>
        <w:tc>
          <w:tcPr>
            <w:tcW w:w="1058" w:type="dxa"/>
            <w:vMerge/>
            <w:tcBorders>
              <w:top w:val="nil"/>
              <w:left w:val="single" w:sz="4" w:space="0" w:color="auto"/>
              <w:bottom w:val="single" w:sz="4" w:space="0" w:color="000000"/>
              <w:right w:val="single" w:sz="4" w:space="0" w:color="auto"/>
            </w:tcBorders>
            <w:vAlign w:val="center"/>
            <w:hideMark/>
          </w:tcPr>
          <w:p w14:paraId="7EC8CBB3" w14:textId="77777777" w:rsidR="005746D4" w:rsidRPr="005746D4" w:rsidRDefault="005746D4" w:rsidP="005746D4">
            <w:pPr>
              <w:spacing w:after="0" w:line="240" w:lineRule="auto"/>
              <w:rPr>
                <w:rFonts w:eastAsia="Times New Roman" w:cs="Calibri"/>
                <w:color w:val="000000"/>
                <w:sz w:val="18"/>
                <w:szCs w:val="18"/>
                <w:lang w:eastAsia="fr-FR"/>
              </w:rPr>
            </w:pPr>
          </w:p>
        </w:tc>
        <w:tc>
          <w:tcPr>
            <w:tcW w:w="1210" w:type="dxa"/>
            <w:vMerge/>
            <w:tcBorders>
              <w:top w:val="single" w:sz="4" w:space="0" w:color="auto"/>
              <w:left w:val="single" w:sz="4" w:space="0" w:color="auto"/>
              <w:bottom w:val="single" w:sz="4" w:space="0" w:color="000000"/>
              <w:right w:val="single" w:sz="4" w:space="0" w:color="auto"/>
            </w:tcBorders>
            <w:vAlign w:val="center"/>
            <w:hideMark/>
          </w:tcPr>
          <w:p w14:paraId="783B869D" w14:textId="77777777" w:rsidR="005746D4" w:rsidRPr="005746D4" w:rsidRDefault="005746D4" w:rsidP="005746D4">
            <w:pPr>
              <w:spacing w:after="0" w:line="240" w:lineRule="auto"/>
              <w:rPr>
                <w:rFonts w:eastAsia="Times New Roman" w:cs="Calibr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14:paraId="1EA82727" w14:textId="77777777" w:rsidR="005746D4" w:rsidRPr="005746D4" w:rsidRDefault="005746D4" w:rsidP="005746D4">
            <w:pPr>
              <w:spacing w:after="0" w:line="240" w:lineRule="auto"/>
              <w:rPr>
                <w:rFonts w:eastAsia="Times New Roman" w:cs="Calibri"/>
                <w:color w:val="000000"/>
                <w:sz w:val="18"/>
                <w:szCs w:val="18"/>
                <w:lang w:eastAsia="fr-FR"/>
              </w:rPr>
            </w:pPr>
            <w:r w:rsidRPr="005746D4">
              <w:rPr>
                <w:rFonts w:eastAsia="Times New Roman" w:cs="Calibri"/>
                <w:color w:val="000000"/>
                <w:sz w:val="18"/>
                <w:szCs w:val="18"/>
                <w:lang w:eastAsia="fr-FR"/>
              </w:rPr>
              <w:t xml:space="preserve">Développement des activités socioéconomiques liés au numérique </w:t>
            </w:r>
          </w:p>
        </w:tc>
        <w:tc>
          <w:tcPr>
            <w:tcW w:w="4395" w:type="dxa"/>
            <w:vMerge w:val="restart"/>
            <w:tcBorders>
              <w:top w:val="nil"/>
              <w:left w:val="single" w:sz="4" w:space="0" w:color="auto"/>
              <w:bottom w:val="single" w:sz="4" w:space="0" w:color="000000"/>
              <w:right w:val="single" w:sz="4" w:space="0" w:color="auto"/>
            </w:tcBorders>
            <w:shd w:val="clear" w:color="auto" w:fill="auto"/>
            <w:vAlign w:val="center"/>
            <w:hideMark/>
          </w:tcPr>
          <w:p w14:paraId="33F2CF39" w14:textId="77777777" w:rsidR="005746D4" w:rsidRPr="005746D4" w:rsidRDefault="005746D4" w:rsidP="005746D4">
            <w:pPr>
              <w:spacing w:after="0" w:line="240" w:lineRule="auto"/>
              <w:rPr>
                <w:rFonts w:eastAsia="Times New Roman" w:cs="Calibri"/>
                <w:color w:val="000000"/>
                <w:sz w:val="18"/>
                <w:szCs w:val="18"/>
                <w:lang w:eastAsia="fr-FR"/>
              </w:rPr>
            </w:pPr>
            <w:r w:rsidRPr="005746D4">
              <w:rPr>
                <w:rFonts w:eastAsia="Times New Roman" w:cs="Calibri"/>
                <w:color w:val="000000"/>
                <w:sz w:val="18"/>
                <w:szCs w:val="18"/>
                <w:lang w:eastAsia="fr-FR"/>
              </w:rPr>
              <w:t>Densification des réseaux de communication</w:t>
            </w:r>
          </w:p>
        </w:tc>
      </w:tr>
      <w:tr w:rsidR="005746D4" w:rsidRPr="007F78CE" w14:paraId="053F00E5" w14:textId="77777777" w:rsidTr="00F91FA3">
        <w:trPr>
          <w:trHeight w:val="480"/>
        </w:trPr>
        <w:tc>
          <w:tcPr>
            <w:tcW w:w="1058" w:type="dxa"/>
            <w:vMerge/>
            <w:tcBorders>
              <w:top w:val="nil"/>
              <w:left w:val="single" w:sz="4" w:space="0" w:color="auto"/>
              <w:bottom w:val="single" w:sz="4" w:space="0" w:color="000000"/>
              <w:right w:val="single" w:sz="4" w:space="0" w:color="auto"/>
            </w:tcBorders>
            <w:vAlign w:val="center"/>
            <w:hideMark/>
          </w:tcPr>
          <w:p w14:paraId="18907191" w14:textId="77777777" w:rsidR="005746D4" w:rsidRPr="005746D4" w:rsidRDefault="005746D4" w:rsidP="005746D4">
            <w:pPr>
              <w:spacing w:after="0" w:line="240" w:lineRule="auto"/>
              <w:rPr>
                <w:rFonts w:eastAsia="Times New Roman" w:cs="Calibri"/>
                <w:color w:val="000000"/>
                <w:sz w:val="18"/>
                <w:szCs w:val="18"/>
                <w:lang w:eastAsia="fr-FR"/>
              </w:rPr>
            </w:pPr>
          </w:p>
        </w:tc>
        <w:tc>
          <w:tcPr>
            <w:tcW w:w="1210" w:type="dxa"/>
            <w:vMerge/>
            <w:tcBorders>
              <w:top w:val="single" w:sz="4" w:space="0" w:color="auto"/>
              <w:left w:val="single" w:sz="4" w:space="0" w:color="auto"/>
              <w:bottom w:val="single" w:sz="4" w:space="0" w:color="000000"/>
              <w:right w:val="single" w:sz="4" w:space="0" w:color="auto"/>
            </w:tcBorders>
            <w:vAlign w:val="center"/>
            <w:hideMark/>
          </w:tcPr>
          <w:p w14:paraId="78617754" w14:textId="77777777" w:rsidR="005746D4" w:rsidRPr="005746D4" w:rsidRDefault="005746D4" w:rsidP="005746D4">
            <w:pPr>
              <w:spacing w:after="0" w:line="240" w:lineRule="auto"/>
              <w:rPr>
                <w:rFonts w:eastAsia="Times New Roman" w:cs="Calibr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14:paraId="4E2BBF6F" w14:textId="77777777" w:rsidR="005746D4" w:rsidRPr="005746D4" w:rsidRDefault="005746D4" w:rsidP="005746D4">
            <w:pPr>
              <w:spacing w:after="0" w:line="240" w:lineRule="auto"/>
              <w:rPr>
                <w:rFonts w:eastAsia="Times New Roman" w:cs="Calibri"/>
                <w:color w:val="000000"/>
                <w:sz w:val="18"/>
                <w:szCs w:val="18"/>
                <w:lang w:eastAsia="fr-FR"/>
              </w:rPr>
            </w:pPr>
            <w:r w:rsidRPr="005746D4">
              <w:rPr>
                <w:rFonts w:eastAsia="Times New Roman" w:cs="Calibri"/>
                <w:color w:val="000000"/>
                <w:sz w:val="18"/>
                <w:szCs w:val="18"/>
                <w:lang w:eastAsia="fr-FR"/>
              </w:rPr>
              <w:t>Transformation numérique pour favoriser les échanges et la création d'emploi à distance</w:t>
            </w:r>
          </w:p>
        </w:tc>
        <w:tc>
          <w:tcPr>
            <w:tcW w:w="4395" w:type="dxa"/>
            <w:vMerge/>
            <w:tcBorders>
              <w:top w:val="nil"/>
              <w:left w:val="single" w:sz="4" w:space="0" w:color="auto"/>
              <w:bottom w:val="single" w:sz="4" w:space="0" w:color="000000"/>
              <w:right w:val="single" w:sz="4" w:space="0" w:color="auto"/>
            </w:tcBorders>
            <w:vAlign w:val="center"/>
            <w:hideMark/>
          </w:tcPr>
          <w:p w14:paraId="7F5BF124" w14:textId="77777777" w:rsidR="005746D4" w:rsidRPr="005746D4" w:rsidRDefault="005746D4" w:rsidP="005746D4">
            <w:pPr>
              <w:spacing w:after="0" w:line="240" w:lineRule="auto"/>
              <w:rPr>
                <w:rFonts w:eastAsia="Times New Roman" w:cs="Calibri"/>
                <w:color w:val="000000"/>
                <w:sz w:val="18"/>
                <w:szCs w:val="18"/>
                <w:lang w:eastAsia="fr-FR"/>
              </w:rPr>
            </w:pPr>
          </w:p>
        </w:tc>
      </w:tr>
      <w:tr w:rsidR="005746D4" w:rsidRPr="007F78CE" w14:paraId="1AA5C728" w14:textId="77777777" w:rsidTr="00F91FA3">
        <w:trPr>
          <w:trHeight w:val="480"/>
        </w:trPr>
        <w:tc>
          <w:tcPr>
            <w:tcW w:w="1058" w:type="dxa"/>
            <w:vMerge/>
            <w:tcBorders>
              <w:top w:val="nil"/>
              <w:left w:val="single" w:sz="4" w:space="0" w:color="auto"/>
              <w:bottom w:val="single" w:sz="4" w:space="0" w:color="000000"/>
              <w:right w:val="single" w:sz="4" w:space="0" w:color="auto"/>
            </w:tcBorders>
            <w:vAlign w:val="center"/>
            <w:hideMark/>
          </w:tcPr>
          <w:p w14:paraId="5D120CC2" w14:textId="77777777" w:rsidR="005746D4" w:rsidRPr="005746D4" w:rsidRDefault="005746D4" w:rsidP="005746D4">
            <w:pPr>
              <w:spacing w:after="0" w:line="240" w:lineRule="auto"/>
              <w:rPr>
                <w:rFonts w:eastAsia="Times New Roman" w:cs="Calibri"/>
                <w:color w:val="000000"/>
                <w:sz w:val="18"/>
                <w:szCs w:val="18"/>
                <w:lang w:eastAsia="fr-FR"/>
              </w:rPr>
            </w:pPr>
          </w:p>
        </w:tc>
        <w:tc>
          <w:tcPr>
            <w:tcW w:w="1210" w:type="dxa"/>
            <w:vMerge/>
            <w:tcBorders>
              <w:top w:val="single" w:sz="4" w:space="0" w:color="auto"/>
              <w:left w:val="single" w:sz="4" w:space="0" w:color="auto"/>
              <w:bottom w:val="single" w:sz="4" w:space="0" w:color="000000"/>
              <w:right w:val="single" w:sz="4" w:space="0" w:color="auto"/>
            </w:tcBorders>
            <w:vAlign w:val="center"/>
            <w:hideMark/>
          </w:tcPr>
          <w:p w14:paraId="188057D4" w14:textId="77777777" w:rsidR="005746D4" w:rsidRPr="005746D4" w:rsidRDefault="005746D4" w:rsidP="005746D4">
            <w:pPr>
              <w:spacing w:after="0" w:line="240" w:lineRule="auto"/>
              <w:rPr>
                <w:rFonts w:eastAsia="Times New Roman" w:cs="Calibr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14:paraId="0EB62255" w14:textId="77777777" w:rsidR="005746D4" w:rsidRPr="005746D4" w:rsidRDefault="005746D4" w:rsidP="005746D4">
            <w:pPr>
              <w:spacing w:after="0" w:line="240" w:lineRule="auto"/>
              <w:rPr>
                <w:rFonts w:eastAsia="Times New Roman" w:cs="Calibri"/>
                <w:color w:val="000000"/>
                <w:sz w:val="18"/>
                <w:szCs w:val="18"/>
                <w:lang w:eastAsia="fr-FR"/>
              </w:rPr>
            </w:pPr>
            <w:r w:rsidRPr="005746D4">
              <w:rPr>
                <w:rFonts w:eastAsia="Times New Roman" w:cs="Calibri"/>
                <w:color w:val="000000"/>
                <w:sz w:val="18"/>
                <w:szCs w:val="18"/>
                <w:lang w:eastAsia="fr-FR"/>
              </w:rPr>
              <w:t>Digitalisation des services publics</w:t>
            </w:r>
          </w:p>
        </w:tc>
        <w:tc>
          <w:tcPr>
            <w:tcW w:w="4395" w:type="dxa"/>
            <w:tcBorders>
              <w:top w:val="nil"/>
              <w:left w:val="nil"/>
              <w:bottom w:val="single" w:sz="4" w:space="0" w:color="auto"/>
              <w:right w:val="single" w:sz="4" w:space="0" w:color="auto"/>
            </w:tcBorders>
            <w:shd w:val="clear" w:color="auto" w:fill="auto"/>
            <w:vAlign w:val="center"/>
            <w:hideMark/>
          </w:tcPr>
          <w:p w14:paraId="7C4FC0D6" w14:textId="77777777" w:rsidR="005746D4" w:rsidRPr="005746D4" w:rsidRDefault="005746D4" w:rsidP="005746D4">
            <w:pPr>
              <w:spacing w:after="0" w:line="240" w:lineRule="auto"/>
              <w:rPr>
                <w:rFonts w:eastAsia="Times New Roman" w:cs="Calibri"/>
                <w:color w:val="000000"/>
                <w:sz w:val="18"/>
                <w:szCs w:val="18"/>
                <w:lang w:eastAsia="fr-FR"/>
              </w:rPr>
            </w:pPr>
            <w:r w:rsidRPr="005746D4">
              <w:rPr>
                <w:rFonts w:eastAsia="Times New Roman" w:cs="Calibri"/>
                <w:color w:val="000000"/>
                <w:sz w:val="18"/>
                <w:szCs w:val="18"/>
                <w:lang w:eastAsia="fr-FR"/>
              </w:rPr>
              <w:t>Dotation en équipement des services publics de proximité (fokontany et communes). Formation du personnel de ces services publics de proximité</w:t>
            </w:r>
          </w:p>
        </w:tc>
      </w:tr>
      <w:tr w:rsidR="005746D4" w:rsidRPr="007F78CE" w14:paraId="03FB5D80" w14:textId="77777777" w:rsidTr="00F91FA3">
        <w:trPr>
          <w:trHeight w:val="288"/>
        </w:trPr>
        <w:tc>
          <w:tcPr>
            <w:tcW w:w="9498" w:type="dxa"/>
            <w:gridSpan w:val="4"/>
            <w:tcBorders>
              <w:top w:val="single" w:sz="4" w:space="0" w:color="auto"/>
              <w:left w:val="single" w:sz="4" w:space="0" w:color="auto"/>
              <w:bottom w:val="single" w:sz="4" w:space="0" w:color="auto"/>
              <w:right w:val="single" w:sz="4" w:space="0" w:color="auto"/>
            </w:tcBorders>
            <w:shd w:val="clear" w:color="000000" w:fill="00B0F0"/>
            <w:vAlign w:val="center"/>
            <w:hideMark/>
          </w:tcPr>
          <w:p w14:paraId="64D61548" w14:textId="77777777" w:rsidR="005746D4" w:rsidRPr="005746D4" w:rsidRDefault="005746D4" w:rsidP="005746D4">
            <w:pPr>
              <w:spacing w:after="0" w:line="240" w:lineRule="auto"/>
              <w:rPr>
                <w:rFonts w:eastAsia="Times New Roman" w:cs="Calibri"/>
                <w:b/>
                <w:bCs/>
                <w:color w:val="000000"/>
                <w:sz w:val="18"/>
                <w:szCs w:val="18"/>
                <w:lang w:eastAsia="fr-FR"/>
              </w:rPr>
            </w:pPr>
            <w:r w:rsidRPr="005746D4">
              <w:rPr>
                <w:rFonts w:eastAsia="Times New Roman" w:cs="Calibri"/>
                <w:b/>
                <w:bCs/>
                <w:color w:val="000000"/>
                <w:sz w:val="18"/>
                <w:szCs w:val="18"/>
                <w:lang w:eastAsia="fr-FR"/>
              </w:rPr>
              <w:t xml:space="preserve">Phase démantèlement pour centrale </w:t>
            </w:r>
            <w:r w:rsidR="00D017C2">
              <w:rPr>
                <w:rFonts w:eastAsia="Times New Roman" w:cs="Calibri"/>
                <w:b/>
                <w:bCs/>
                <w:color w:val="000000"/>
                <w:sz w:val="18"/>
                <w:szCs w:val="18"/>
                <w:lang w:eastAsia="fr-FR"/>
              </w:rPr>
              <w:t xml:space="preserve"> solaire </w:t>
            </w:r>
            <w:r w:rsidRPr="005746D4">
              <w:rPr>
                <w:rFonts w:eastAsia="Times New Roman" w:cs="Calibri"/>
                <w:b/>
                <w:bCs/>
                <w:color w:val="000000"/>
                <w:sz w:val="18"/>
                <w:szCs w:val="18"/>
                <w:lang w:eastAsia="fr-FR"/>
              </w:rPr>
              <w:t>PV</w:t>
            </w:r>
          </w:p>
        </w:tc>
      </w:tr>
      <w:tr w:rsidR="005746D4" w:rsidRPr="007F78CE" w14:paraId="32978F7C" w14:textId="77777777" w:rsidTr="00F91FA3">
        <w:trPr>
          <w:trHeight w:val="288"/>
        </w:trPr>
        <w:tc>
          <w:tcPr>
            <w:tcW w:w="1058" w:type="dxa"/>
            <w:tcBorders>
              <w:top w:val="nil"/>
              <w:left w:val="single" w:sz="4" w:space="0" w:color="auto"/>
              <w:bottom w:val="single" w:sz="4" w:space="0" w:color="auto"/>
              <w:right w:val="single" w:sz="4" w:space="0" w:color="auto"/>
            </w:tcBorders>
            <w:shd w:val="clear" w:color="auto" w:fill="auto"/>
            <w:vAlign w:val="center"/>
            <w:hideMark/>
          </w:tcPr>
          <w:p w14:paraId="5D3EB204" w14:textId="77777777" w:rsidR="005746D4" w:rsidRPr="005746D4" w:rsidRDefault="005746D4" w:rsidP="005746D4">
            <w:pPr>
              <w:spacing w:after="0" w:line="240" w:lineRule="auto"/>
              <w:rPr>
                <w:rFonts w:eastAsia="Times New Roman" w:cs="Calibri"/>
                <w:color w:val="000000"/>
                <w:sz w:val="18"/>
                <w:szCs w:val="18"/>
                <w:lang w:eastAsia="fr-FR"/>
              </w:rPr>
            </w:pPr>
            <w:r w:rsidRPr="005746D4">
              <w:rPr>
                <w:rFonts w:eastAsia="Times New Roman" w:cs="Calibri"/>
                <w:color w:val="000000"/>
                <w:sz w:val="18"/>
                <w:szCs w:val="18"/>
                <w:lang w:eastAsia="fr-FR"/>
              </w:rPr>
              <w:t>Biologique</w:t>
            </w:r>
          </w:p>
        </w:tc>
        <w:tc>
          <w:tcPr>
            <w:tcW w:w="1210" w:type="dxa"/>
            <w:tcBorders>
              <w:top w:val="nil"/>
              <w:left w:val="nil"/>
              <w:bottom w:val="single" w:sz="4" w:space="0" w:color="auto"/>
              <w:right w:val="single" w:sz="4" w:space="0" w:color="auto"/>
            </w:tcBorders>
            <w:shd w:val="clear" w:color="auto" w:fill="auto"/>
            <w:noWrap/>
            <w:vAlign w:val="center"/>
            <w:hideMark/>
          </w:tcPr>
          <w:p w14:paraId="49403E56" w14:textId="77777777" w:rsidR="005746D4" w:rsidRPr="005746D4" w:rsidRDefault="005746D4" w:rsidP="005746D4">
            <w:pPr>
              <w:spacing w:after="0" w:line="240" w:lineRule="auto"/>
              <w:rPr>
                <w:rFonts w:eastAsia="Times New Roman" w:cs="Calibri"/>
                <w:color w:val="000000"/>
                <w:sz w:val="18"/>
                <w:szCs w:val="18"/>
                <w:lang w:eastAsia="fr-FR"/>
              </w:rPr>
            </w:pPr>
            <w:r w:rsidRPr="005746D4">
              <w:rPr>
                <w:rFonts w:eastAsia="Times New Roman" w:cs="Calibri"/>
                <w:color w:val="000000"/>
                <w:sz w:val="18"/>
                <w:szCs w:val="18"/>
                <w:lang w:eastAsia="fr-FR"/>
              </w:rPr>
              <w:t>Habitats naturels</w:t>
            </w:r>
          </w:p>
        </w:tc>
        <w:tc>
          <w:tcPr>
            <w:tcW w:w="2835" w:type="dxa"/>
            <w:tcBorders>
              <w:top w:val="nil"/>
              <w:left w:val="nil"/>
              <w:bottom w:val="single" w:sz="4" w:space="0" w:color="auto"/>
              <w:right w:val="single" w:sz="4" w:space="0" w:color="auto"/>
            </w:tcBorders>
            <w:shd w:val="clear" w:color="auto" w:fill="auto"/>
            <w:vAlign w:val="center"/>
            <w:hideMark/>
          </w:tcPr>
          <w:p w14:paraId="40A43EE3" w14:textId="77777777" w:rsidR="005746D4" w:rsidRPr="005746D4" w:rsidRDefault="005746D4" w:rsidP="005746D4">
            <w:pPr>
              <w:spacing w:after="0" w:line="240" w:lineRule="auto"/>
              <w:rPr>
                <w:rFonts w:eastAsia="Times New Roman" w:cs="Calibri"/>
                <w:color w:val="000000"/>
                <w:sz w:val="18"/>
                <w:szCs w:val="18"/>
                <w:lang w:eastAsia="fr-FR"/>
              </w:rPr>
            </w:pPr>
            <w:r w:rsidRPr="005746D4">
              <w:rPr>
                <w:rFonts w:eastAsia="Times New Roman" w:cs="Calibri"/>
                <w:color w:val="000000"/>
                <w:sz w:val="18"/>
                <w:szCs w:val="18"/>
                <w:lang w:eastAsia="fr-FR"/>
              </w:rPr>
              <w:t>Amélioration du couvert végétal</w:t>
            </w:r>
          </w:p>
        </w:tc>
        <w:tc>
          <w:tcPr>
            <w:tcW w:w="4395" w:type="dxa"/>
            <w:tcBorders>
              <w:top w:val="nil"/>
              <w:left w:val="nil"/>
              <w:bottom w:val="single" w:sz="4" w:space="0" w:color="auto"/>
              <w:right w:val="single" w:sz="4" w:space="0" w:color="auto"/>
            </w:tcBorders>
            <w:shd w:val="clear" w:color="auto" w:fill="auto"/>
            <w:vAlign w:val="center"/>
            <w:hideMark/>
          </w:tcPr>
          <w:p w14:paraId="780D558A" w14:textId="77777777" w:rsidR="005746D4" w:rsidRPr="005746D4" w:rsidRDefault="005746D4" w:rsidP="005746D4">
            <w:pPr>
              <w:spacing w:after="0" w:line="240" w:lineRule="auto"/>
              <w:rPr>
                <w:rFonts w:eastAsia="Times New Roman" w:cs="Calibri"/>
                <w:color w:val="000000"/>
                <w:sz w:val="18"/>
                <w:szCs w:val="18"/>
                <w:lang w:eastAsia="fr-FR"/>
              </w:rPr>
            </w:pPr>
            <w:r w:rsidRPr="005746D4">
              <w:rPr>
                <w:rFonts w:eastAsia="Times New Roman" w:cs="Calibri"/>
                <w:color w:val="000000"/>
                <w:sz w:val="18"/>
                <w:szCs w:val="18"/>
                <w:lang w:eastAsia="fr-FR"/>
              </w:rPr>
              <w:t xml:space="preserve">Embellissement du paysage par la revégétalisation du site </w:t>
            </w:r>
          </w:p>
        </w:tc>
      </w:tr>
      <w:tr w:rsidR="005746D4" w:rsidRPr="007F78CE" w14:paraId="5AD30CAC" w14:textId="77777777" w:rsidTr="00F91FA3">
        <w:trPr>
          <w:trHeight w:val="480"/>
        </w:trPr>
        <w:tc>
          <w:tcPr>
            <w:tcW w:w="1058" w:type="dxa"/>
            <w:tcBorders>
              <w:top w:val="nil"/>
              <w:left w:val="single" w:sz="4" w:space="0" w:color="auto"/>
              <w:bottom w:val="single" w:sz="4" w:space="0" w:color="auto"/>
              <w:right w:val="single" w:sz="4" w:space="0" w:color="auto"/>
            </w:tcBorders>
            <w:shd w:val="clear" w:color="auto" w:fill="auto"/>
            <w:vAlign w:val="center"/>
            <w:hideMark/>
          </w:tcPr>
          <w:p w14:paraId="7B6867BA" w14:textId="77777777" w:rsidR="005746D4" w:rsidRPr="005746D4" w:rsidRDefault="005746D4" w:rsidP="005746D4">
            <w:pPr>
              <w:spacing w:after="0" w:line="240" w:lineRule="auto"/>
              <w:rPr>
                <w:rFonts w:eastAsia="Times New Roman" w:cs="Calibri"/>
                <w:color w:val="000000"/>
                <w:sz w:val="18"/>
                <w:szCs w:val="18"/>
                <w:lang w:eastAsia="fr-FR"/>
              </w:rPr>
            </w:pPr>
            <w:r w:rsidRPr="005746D4">
              <w:rPr>
                <w:rFonts w:eastAsia="Times New Roman" w:cs="Calibri"/>
                <w:color w:val="000000"/>
                <w:sz w:val="18"/>
                <w:szCs w:val="18"/>
                <w:lang w:eastAsia="fr-FR"/>
              </w:rPr>
              <w:t>Humain</w:t>
            </w:r>
          </w:p>
        </w:tc>
        <w:tc>
          <w:tcPr>
            <w:tcW w:w="1210" w:type="dxa"/>
            <w:tcBorders>
              <w:top w:val="nil"/>
              <w:left w:val="nil"/>
              <w:bottom w:val="single" w:sz="4" w:space="0" w:color="auto"/>
              <w:right w:val="single" w:sz="4" w:space="0" w:color="auto"/>
            </w:tcBorders>
            <w:shd w:val="clear" w:color="auto" w:fill="auto"/>
            <w:vAlign w:val="center"/>
            <w:hideMark/>
          </w:tcPr>
          <w:p w14:paraId="6F60490C" w14:textId="77777777" w:rsidR="005746D4" w:rsidRPr="005746D4" w:rsidRDefault="005746D4" w:rsidP="005746D4">
            <w:pPr>
              <w:spacing w:after="0" w:line="240" w:lineRule="auto"/>
              <w:rPr>
                <w:rFonts w:eastAsia="Times New Roman" w:cs="Calibri"/>
                <w:color w:val="000000"/>
                <w:sz w:val="18"/>
                <w:szCs w:val="18"/>
                <w:lang w:eastAsia="fr-FR"/>
              </w:rPr>
            </w:pPr>
            <w:r w:rsidRPr="005746D4">
              <w:rPr>
                <w:rFonts w:eastAsia="Times New Roman" w:cs="Calibri"/>
                <w:color w:val="000000"/>
                <w:sz w:val="18"/>
                <w:szCs w:val="18"/>
                <w:lang w:eastAsia="fr-FR"/>
              </w:rPr>
              <w:t>Emploi</w:t>
            </w:r>
          </w:p>
        </w:tc>
        <w:tc>
          <w:tcPr>
            <w:tcW w:w="2835" w:type="dxa"/>
            <w:tcBorders>
              <w:top w:val="nil"/>
              <w:left w:val="nil"/>
              <w:bottom w:val="single" w:sz="4" w:space="0" w:color="auto"/>
              <w:right w:val="single" w:sz="4" w:space="0" w:color="auto"/>
            </w:tcBorders>
            <w:shd w:val="clear" w:color="auto" w:fill="auto"/>
            <w:vAlign w:val="center"/>
            <w:hideMark/>
          </w:tcPr>
          <w:p w14:paraId="5BDF4293" w14:textId="77777777" w:rsidR="005746D4" w:rsidRPr="005746D4" w:rsidRDefault="005746D4" w:rsidP="005746D4">
            <w:pPr>
              <w:spacing w:after="0" w:line="240" w:lineRule="auto"/>
              <w:rPr>
                <w:rFonts w:eastAsia="Times New Roman" w:cs="Calibri"/>
                <w:color w:val="000000"/>
                <w:sz w:val="18"/>
                <w:szCs w:val="18"/>
                <w:lang w:eastAsia="fr-FR"/>
              </w:rPr>
            </w:pPr>
            <w:r w:rsidRPr="005746D4">
              <w:rPr>
                <w:rFonts w:eastAsia="Times New Roman" w:cs="Calibri"/>
                <w:color w:val="000000"/>
                <w:sz w:val="18"/>
                <w:szCs w:val="18"/>
                <w:lang w:eastAsia="fr-FR"/>
              </w:rPr>
              <w:t>Opportunités d’emploi temporaires pour les populations locales</w:t>
            </w:r>
          </w:p>
        </w:tc>
        <w:tc>
          <w:tcPr>
            <w:tcW w:w="4395" w:type="dxa"/>
            <w:tcBorders>
              <w:top w:val="nil"/>
              <w:left w:val="nil"/>
              <w:bottom w:val="single" w:sz="4" w:space="0" w:color="auto"/>
              <w:right w:val="single" w:sz="4" w:space="0" w:color="auto"/>
            </w:tcBorders>
            <w:shd w:val="clear" w:color="auto" w:fill="auto"/>
            <w:vAlign w:val="center"/>
            <w:hideMark/>
          </w:tcPr>
          <w:p w14:paraId="1F09ECED" w14:textId="77777777" w:rsidR="005746D4" w:rsidRPr="005746D4" w:rsidRDefault="005746D4" w:rsidP="005746D4">
            <w:pPr>
              <w:spacing w:after="0" w:line="240" w:lineRule="auto"/>
              <w:rPr>
                <w:rFonts w:eastAsia="Times New Roman" w:cs="Calibri"/>
                <w:color w:val="000000"/>
                <w:sz w:val="18"/>
                <w:szCs w:val="18"/>
                <w:lang w:eastAsia="fr-FR"/>
              </w:rPr>
            </w:pPr>
            <w:r w:rsidRPr="005746D4">
              <w:rPr>
                <w:rFonts w:eastAsia="Times New Roman" w:cs="Calibri"/>
                <w:color w:val="000000"/>
                <w:sz w:val="18"/>
                <w:szCs w:val="18"/>
                <w:lang w:eastAsia="fr-FR"/>
              </w:rPr>
              <w:t>Favoriser le recrutement au niveau local et tenir compte de l’approche genre</w:t>
            </w:r>
          </w:p>
        </w:tc>
      </w:tr>
    </w:tbl>
    <w:p w14:paraId="6D9A14BF" w14:textId="77777777" w:rsidR="00CB2B76" w:rsidRDefault="00CB2B76" w:rsidP="00F91FA3"/>
    <w:p w14:paraId="4B1AE3AA" w14:textId="77777777" w:rsidR="008C024E" w:rsidRDefault="008C024E" w:rsidP="0044500E">
      <w:pPr>
        <w:pStyle w:val="TIT2"/>
        <w:numPr>
          <w:ilvl w:val="1"/>
          <w:numId w:val="177"/>
        </w:numPr>
        <w:sectPr w:rsidR="008C024E" w:rsidSect="001E1AAF">
          <w:pgSz w:w="11906" w:h="16838"/>
          <w:pgMar w:top="1418" w:right="1418" w:bottom="1418" w:left="1418" w:header="709" w:footer="0" w:gutter="0"/>
          <w:cols w:space="720"/>
          <w:formProt w:val="0"/>
          <w:docGrid w:linePitch="360" w:charSpace="4096"/>
        </w:sectPr>
      </w:pPr>
      <w:bookmarkStart w:id="1147" w:name="_Toc124314756"/>
      <w:bookmarkStart w:id="1148" w:name="_Toc124956284"/>
    </w:p>
    <w:p w14:paraId="619CC965" w14:textId="77777777" w:rsidR="001D708A" w:rsidRPr="00F91FA3" w:rsidRDefault="001D708A" w:rsidP="0044500E">
      <w:pPr>
        <w:pStyle w:val="TIT2"/>
        <w:numPr>
          <w:ilvl w:val="1"/>
          <w:numId w:val="177"/>
        </w:numPr>
      </w:pPr>
      <w:bookmarkStart w:id="1149" w:name="_Toc125384632"/>
      <w:bookmarkStart w:id="1150" w:name="_Toc125385021"/>
      <w:bookmarkStart w:id="1151" w:name="_Toc127957694"/>
      <w:r w:rsidRPr="00F91FA3">
        <w:t>Mesures d’évitement / atténuation des impacts négatifs potentiels</w:t>
      </w:r>
      <w:bookmarkEnd w:id="1147"/>
      <w:bookmarkEnd w:id="1148"/>
      <w:bookmarkEnd w:id="1149"/>
      <w:bookmarkEnd w:id="1150"/>
      <w:bookmarkEnd w:id="1151"/>
    </w:p>
    <w:p w14:paraId="56E72352" w14:textId="77777777" w:rsidR="00F76951" w:rsidRPr="0068025E" w:rsidRDefault="0068025E" w:rsidP="0068025E">
      <w:pPr>
        <w:spacing w:after="120" w:line="240" w:lineRule="auto"/>
        <w:jc w:val="both"/>
        <w:rPr>
          <w:rFonts w:ascii="Arial" w:hAnsi="Arial" w:cs="Arial"/>
        </w:rPr>
      </w:pPr>
      <w:r>
        <w:rPr>
          <w:rFonts w:ascii="Arial" w:hAnsi="Arial" w:cs="Arial"/>
        </w:rPr>
        <w:t xml:space="preserve">Des mesures d’évitement ou d’atténuation des impacts négatifs potentiels du projet </w:t>
      </w:r>
      <w:r w:rsidR="004719C1">
        <w:rPr>
          <w:rFonts w:ascii="Arial" w:hAnsi="Arial" w:cs="Arial"/>
        </w:rPr>
        <w:t>permettront</w:t>
      </w:r>
      <w:r>
        <w:rPr>
          <w:rFonts w:ascii="Arial" w:hAnsi="Arial" w:cs="Arial"/>
        </w:rPr>
        <w:t xml:space="preserve"> de contrôler les effets des sous-projets lors de la mise en œuvre du projet</w:t>
      </w:r>
      <w:r w:rsidR="00D017C2">
        <w:rPr>
          <w:rFonts w:ascii="Arial" w:hAnsi="Arial" w:cs="Arial"/>
        </w:rPr>
        <w:t xml:space="preserve"> tels que décrits dans le tableau ci après</w:t>
      </w:r>
      <w:r>
        <w:rPr>
          <w:rFonts w:ascii="Arial" w:hAnsi="Arial" w:cs="Arial"/>
        </w:rPr>
        <w:t>.</w:t>
      </w:r>
    </w:p>
    <w:p w14:paraId="7C42F5C0" w14:textId="77777777" w:rsidR="00F76951" w:rsidRPr="0068025E" w:rsidRDefault="00F76951" w:rsidP="0068025E">
      <w:pPr>
        <w:spacing w:after="120" w:line="240" w:lineRule="auto"/>
        <w:jc w:val="both"/>
        <w:rPr>
          <w:rFonts w:ascii="Arial" w:hAnsi="Arial" w:cs="Arial"/>
        </w:rPr>
      </w:pPr>
    </w:p>
    <w:p w14:paraId="2FDAB558" w14:textId="77777777" w:rsidR="00F76951" w:rsidRPr="00B434A6" w:rsidRDefault="00F76951" w:rsidP="00B434A6">
      <w:pPr>
        <w:pStyle w:val="Lgende"/>
        <w:jc w:val="center"/>
        <w:rPr>
          <w:sz w:val="20"/>
        </w:rPr>
      </w:pPr>
      <w:bookmarkStart w:id="1152" w:name="_Toc127957877"/>
      <w:r w:rsidRPr="00B434A6">
        <w:rPr>
          <w:sz w:val="20"/>
        </w:rPr>
        <w:t xml:space="preserve">Tableau </w:t>
      </w:r>
      <w:r w:rsidR="00252AC3" w:rsidRPr="00B434A6">
        <w:rPr>
          <w:sz w:val="20"/>
        </w:rPr>
        <w:fldChar w:fldCharType="begin"/>
      </w:r>
      <w:r w:rsidR="00252AC3" w:rsidRPr="00B434A6">
        <w:rPr>
          <w:sz w:val="20"/>
        </w:rPr>
        <w:instrText xml:space="preserve"> SEQ Tableau \* ARABIC </w:instrText>
      </w:r>
      <w:r w:rsidR="00252AC3" w:rsidRPr="00B434A6">
        <w:rPr>
          <w:sz w:val="20"/>
        </w:rPr>
        <w:fldChar w:fldCharType="separate"/>
      </w:r>
      <w:r w:rsidR="005430A1">
        <w:rPr>
          <w:noProof/>
          <w:sz w:val="20"/>
        </w:rPr>
        <w:t>81</w:t>
      </w:r>
      <w:r w:rsidR="00252AC3" w:rsidRPr="00B434A6">
        <w:rPr>
          <w:sz w:val="20"/>
        </w:rPr>
        <w:fldChar w:fldCharType="end"/>
      </w:r>
      <w:r w:rsidR="005969CF" w:rsidRPr="00B434A6">
        <w:rPr>
          <w:sz w:val="20"/>
        </w:rPr>
        <w:t>.</w:t>
      </w:r>
      <w:r w:rsidRPr="00B434A6">
        <w:rPr>
          <w:sz w:val="20"/>
        </w:rPr>
        <w:t xml:space="preserve"> Mesures d'évitement / atténuation des impacts négatifs potentiels et importance des impacts résiduels</w:t>
      </w:r>
      <w:bookmarkEnd w:id="1152"/>
    </w:p>
    <w:tbl>
      <w:tblPr>
        <w:tblW w:w="14860" w:type="dxa"/>
        <w:tblInd w:w="55" w:type="dxa"/>
        <w:tblCellMar>
          <w:left w:w="70" w:type="dxa"/>
          <w:right w:w="70" w:type="dxa"/>
        </w:tblCellMar>
        <w:tblLook w:val="04A0" w:firstRow="1" w:lastRow="0" w:firstColumn="1" w:lastColumn="0" w:noHBand="0" w:noVBand="1"/>
      </w:tblPr>
      <w:tblGrid>
        <w:gridCol w:w="3180"/>
        <w:gridCol w:w="5200"/>
        <w:gridCol w:w="1420"/>
        <w:gridCol w:w="1060"/>
        <w:gridCol w:w="1520"/>
        <w:gridCol w:w="1200"/>
        <w:gridCol w:w="1280"/>
      </w:tblGrid>
      <w:tr w:rsidR="00F21AEE" w:rsidRPr="00F21AEE" w14:paraId="6986BDA9" w14:textId="77777777" w:rsidTr="00B434A6">
        <w:trPr>
          <w:trHeight w:val="300"/>
          <w:tblHeader/>
        </w:trPr>
        <w:tc>
          <w:tcPr>
            <w:tcW w:w="3180" w:type="dxa"/>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14:paraId="746BCEB3" w14:textId="77777777" w:rsidR="00F21AEE" w:rsidRPr="00F21AEE" w:rsidRDefault="00F21AEE" w:rsidP="008C024E">
            <w:pPr>
              <w:spacing w:before="240" w:after="0" w:line="240" w:lineRule="auto"/>
              <w:jc w:val="center"/>
              <w:rPr>
                <w:rFonts w:eastAsia="Times New Roman" w:cs="Calibri"/>
                <w:b/>
                <w:bCs/>
                <w:color w:val="000000"/>
                <w:sz w:val="18"/>
                <w:szCs w:val="18"/>
                <w:lang w:eastAsia="fr-FR"/>
              </w:rPr>
            </w:pPr>
            <w:r w:rsidRPr="00F21AEE">
              <w:rPr>
                <w:rFonts w:eastAsia="Times New Roman" w:cs="Calibri"/>
                <w:b/>
                <w:bCs/>
                <w:color w:val="000000"/>
                <w:sz w:val="18"/>
                <w:szCs w:val="18"/>
                <w:lang w:eastAsia="fr-FR"/>
              </w:rPr>
              <w:t xml:space="preserve">Impact potentiel </w:t>
            </w:r>
          </w:p>
        </w:tc>
        <w:tc>
          <w:tcPr>
            <w:tcW w:w="5200" w:type="dxa"/>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14:paraId="66E5B225" w14:textId="77777777" w:rsidR="00F21AEE" w:rsidRPr="00F21AEE" w:rsidRDefault="00F21AEE" w:rsidP="008C024E">
            <w:pPr>
              <w:spacing w:before="240" w:after="0" w:line="240" w:lineRule="auto"/>
              <w:jc w:val="center"/>
              <w:rPr>
                <w:rFonts w:eastAsia="Times New Roman" w:cs="Calibri"/>
                <w:b/>
                <w:bCs/>
                <w:color w:val="000000"/>
                <w:sz w:val="18"/>
                <w:szCs w:val="18"/>
                <w:lang w:eastAsia="fr-FR"/>
              </w:rPr>
            </w:pPr>
            <w:r w:rsidRPr="00F21AEE">
              <w:rPr>
                <w:rFonts w:eastAsia="Times New Roman" w:cs="Calibri"/>
                <w:b/>
                <w:bCs/>
                <w:color w:val="000000"/>
                <w:sz w:val="18"/>
                <w:szCs w:val="18"/>
                <w:lang w:eastAsia="fr-FR"/>
              </w:rPr>
              <w:t>Mesure d'évitement ou d'atténuation</w:t>
            </w:r>
          </w:p>
        </w:tc>
        <w:tc>
          <w:tcPr>
            <w:tcW w:w="5200" w:type="dxa"/>
            <w:gridSpan w:val="4"/>
            <w:tcBorders>
              <w:top w:val="single" w:sz="4" w:space="0" w:color="auto"/>
              <w:left w:val="nil"/>
              <w:bottom w:val="single" w:sz="4" w:space="0" w:color="auto"/>
              <w:right w:val="single" w:sz="4" w:space="0" w:color="auto"/>
            </w:tcBorders>
            <w:shd w:val="clear" w:color="000000" w:fill="BDD7EE"/>
            <w:vAlign w:val="center"/>
            <w:hideMark/>
          </w:tcPr>
          <w:p w14:paraId="14F01EDE" w14:textId="77777777" w:rsidR="00F21AEE" w:rsidRPr="00F21AEE" w:rsidRDefault="00F21AEE" w:rsidP="008C024E">
            <w:pPr>
              <w:spacing w:before="240" w:after="0" w:line="240" w:lineRule="auto"/>
              <w:jc w:val="center"/>
              <w:rPr>
                <w:rFonts w:ascii="Arial" w:eastAsia="Times New Roman" w:hAnsi="Arial" w:cs="Arial"/>
                <w:b/>
                <w:bCs/>
                <w:color w:val="000000"/>
                <w:sz w:val="18"/>
                <w:szCs w:val="18"/>
                <w:lang w:eastAsia="fr-FR"/>
              </w:rPr>
            </w:pPr>
            <w:r w:rsidRPr="00F21AEE">
              <w:rPr>
                <w:rFonts w:ascii="Arial" w:eastAsia="Times New Roman" w:hAnsi="Arial" w:cs="Arial"/>
                <w:b/>
                <w:bCs/>
                <w:color w:val="000000"/>
                <w:sz w:val="18"/>
                <w:szCs w:val="18"/>
                <w:lang w:eastAsia="fr-FR"/>
              </w:rPr>
              <w:t>Importance de l'impact</w:t>
            </w:r>
          </w:p>
        </w:tc>
        <w:tc>
          <w:tcPr>
            <w:tcW w:w="1280" w:type="dxa"/>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14:paraId="5ADCF3ED" w14:textId="77777777" w:rsidR="00F21AEE" w:rsidRPr="00F21AEE" w:rsidRDefault="00F21AEE" w:rsidP="008C024E">
            <w:pPr>
              <w:spacing w:before="240" w:after="0" w:line="240" w:lineRule="auto"/>
              <w:jc w:val="center"/>
              <w:rPr>
                <w:rFonts w:eastAsia="Times New Roman" w:cs="Calibri"/>
                <w:b/>
                <w:bCs/>
                <w:color w:val="000000"/>
                <w:sz w:val="18"/>
                <w:szCs w:val="18"/>
                <w:lang w:eastAsia="fr-FR"/>
              </w:rPr>
            </w:pPr>
            <w:r w:rsidRPr="00F21AEE">
              <w:rPr>
                <w:rFonts w:eastAsia="Times New Roman" w:cs="Calibri"/>
                <w:b/>
                <w:bCs/>
                <w:color w:val="000000"/>
                <w:sz w:val="18"/>
                <w:szCs w:val="18"/>
                <w:lang w:eastAsia="fr-FR"/>
              </w:rPr>
              <w:t>Importance impact résiduel</w:t>
            </w:r>
          </w:p>
        </w:tc>
      </w:tr>
      <w:tr w:rsidR="00F21AEE" w:rsidRPr="00F21AEE" w14:paraId="051A52ED" w14:textId="77777777" w:rsidTr="00F21AEE">
        <w:trPr>
          <w:trHeight w:val="480"/>
          <w:tblHeader/>
        </w:trPr>
        <w:tc>
          <w:tcPr>
            <w:tcW w:w="3180" w:type="dxa"/>
            <w:vMerge/>
            <w:tcBorders>
              <w:top w:val="single" w:sz="4" w:space="0" w:color="auto"/>
              <w:left w:val="single" w:sz="4" w:space="0" w:color="auto"/>
              <w:bottom w:val="single" w:sz="4" w:space="0" w:color="000000"/>
              <w:right w:val="single" w:sz="4" w:space="0" w:color="auto"/>
            </w:tcBorders>
            <w:vAlign w:val="center"/>
            <w:hideMark/>
          </w:tcPr>
          <w:p w14:paraId="7126F22E" w14:textId="77777777" w:rsidR="00F21AEE" w:rsidRPr="00F21AEE" w:rsidRDefault="00F21AEE" w:rsidP="001C5508">
            <w:pPr>
              <w:spacing w:before="240" w:after="0" w:line="240" w:lineRule="auto"/>
              <w:rPr>
                <w:rFonts w:eastAsia="Times New Roman" w:cs="Calibri"/>
                <w:b/>
                <w:bCs/>
                <w:color w:val="000000"/>
                <w:sz w:val="18"/>
                <w:szCs w:val="18"/>
                <w:lang w:eastAsia="fr-FR"/>
              </w:rPr>
            </w:pPr>
          </w:p>
        </w:tc>
        <w:tc>
          <w:tcPr>
            <w:tcW w:w="5200" w:type="dxa"/>
            <w:vMerge/>
            <w:tcBorders>
              <w:top w:val="single" w:sz="4" w:space="0" w:color="auto"/>
              <w:left w:val="single" w:sz="4" w:space="0" w:color="auto"/>
              <w:bottom w:val="single" w:sz="4" w:space="0" w:color="000000"/>
              <w:right w:val="single" w:sz="4" w:space="0" w:color="auto"/>
            </w:tcBorders>
            <w:vAlign w:val="center"/>
            <w:hideMark/>
          </w:tcPr>
          <w:p w14:paraId="7E25BD3A" w14:textId="77777777" w:rsidR="00F21AEE" w:rsidRPr="00F21AEE" w:rsidRDefault="00F21AEE" w:rsidP="001C5508">
            <w:pPr>
              <w:spacing w:before="240" w:after="0" w:line="240" w:lineRule="auto"/>
              <w:rPr>
                <w:rFonts w:eastAsia="Times New Roman" w:cs="Calibri"/>
                <w:b/>
                <w:bCs/>
                <w:color w:val="000000"/>
                <w:sz w:val="18"/>
                <w:szCs w:val="18"/>
                <w:lang w:eastAsia="fr-FR"/>
              </w:rPr>
            </w:pPr>
          </w:p>
        </w:tc>
        <w:tc>
          <w:tcPr>
            <w:tcW w:w="1420" w:type="dxa"/>
            <w:tcBorders>
              <w:top w:val="nil"/>
              <w:left w:val="nil"/>
              <w:bottom w:val="single" w:sz="4" w:space="0" w:color="auto"/>
              <w:right w:val="single" w:sz="4" w:space="0" w:color="auto"/>
            </w:tcBorders>
            <w:shd w:val="clear" w:color="000000" w:fill="BDD7EE"/>
            <w:vAlign w:val="center"/>
            <w:hideMark/>
          </w:tcPr>
          <w:p w14:paraId="08D95747" w14:textId="77777777" w:rsidR="00F21AEE" w:rsidRPr="00F21AEE" w:rsidRDefault="00F21AEE" w:rsidP="001C5508">
            <w:pPr>
              <w:spacing w:before="240" w:after="0" w:line="240" w:lineRule="auto"/>
              <w:jc w:val="center"/>
              <w:rPr>
                <w:rFonts w:ascii="Arial" w:eastAsia="Times New Roman" w:hAnsi="Arial" w:cs="Arial"/>
                <w:b/>
                <w:bCs/>
                <w:color w:val="000000"/>
                <w:sz w:val="18"/>
                <w:szCs w:val="18"/>
                <w:lang w:eastAsia="fr-FR"/>
              </w:rPr>
            </w:pPr>
            <w:r w:rsidRPr="00F21AEE">
              <w:rPr>
                <w:rFonts w:ascii="Arial" w:eastAsia="Times New Roman" w:hAnsi="Arial" w:cs="Arial"/>
                <w:b/>
                <w:bCs/>
                <w:color w:val="000000"/>
                <w:sz w:val="18"/>
                <w:szCs w:val="18"/>
                <w:lang w:eastAsia="fr-FR"/>
              </w:rPr>
              <w:t>Infrastructure numérique</w:t>
            </w:r>
          </w:p>
        </w:tc>
        <w:tc>
          <w:tcPr>
            <w:tcW w:w="1060" w:type="dxa"/>
            <w:tcBorders>
              <w:top w:val="nil"/>
              <w:left w:val="nil"/>
              <w:bottom w:val="single" w:sz="4" w:space="0" w:color="auto"/>
              <w:right w:val="single" w:sz="4" w:space="0" w:color="auto"/>
            </w:tcBorders>
            <w:shd w:val="clear" w:color="000000" w:fill="BDD7EE"/>
            <w:vAlign w:val="center"/>
            <w:hideMark/>
          </w:tcPr>
          <w:p w14:paraId="14F6065A" w14:textId="77777777" w:rsidR="00F21AEE" w:rsidRPr="00F21AEE" w:rsidRDefault="00F21AEE" w:rsidP="001C5508">
            <w:pPr>
              <w:spacing w:before="240" w:after="0" w:line="240" w:lineRule="auto"/>
              <w:jc w:val="center"/>
              <w:rPr>
                <w:rFonts w:ascii="Arial" w:eastAsia="Times New Roman" w:hAnsi="Arial" w:cs="Arial"/>
                <w:b/>
                <w:bCs/>
                <w:color w:val="000000"/>
                <w:sz w:val="18"/>
                <w:szCs w:val="18"/>
                <w:lang w:eastAsia="fr-FR"/>
              </w:rPr>
            </w:pPr>
            <w:r w:rsidRPr="00F21AEE">
              <w:rPr>
                <w:rFonts w:ascii="Arial" w:eastAsia="Times New Roman" w:hAnsi="Arial" w:cs="Arial"/>
                <w:b/>
                <w:bCs/>
                <w:color w:val="000000"/>
                <w:sz w:val="18"/>
                <w:szCs w:val="18"/>
                <w:lang w:eastAsia="fr-FR"/>
              </w:rPr>
              <w:t>Centrale solaire</w:t>
            </w:r>
          </w:p>
        </w:tc>
        <w:tc>
          <w:tcPr>
            <w:tcW w:w="1520" w:type="dxa"/>
            <w:tcBorders>
              <w:top w:val="nil"/>
              <w:left w:val="nil"/>
              <w:bottom w:val="single" w:sz="4" w:space="0" w:color="auto"/>
              <w:right w:val="single" w:sz="4" w:space="0" w:color="auto"/>
            </w:tcBorders>
            <w:shd w:val="clear" w:color="000000" w:fill="BDD7EE"/>
            <w:vAlign w:val="center"/>
            <w:hideMark/>
          </w:tcPr>
          <w:p w14:paraId="3D5E7014" w14:textId="77777777" w:rsidR="00F21AEE" w:rsidRPr="00F21AEE" w:rsidRDefault="00F21AEE" w:rsidP="001C5508">
            <w:pPr>
              <w:spacing w:before="240" w:after="0" w:line="240" w:lineRule="auto"/>
              <w:jc w:val="center"/>
              <w:rPr>
                <w:rFonts w:ascii="Arial" w:eastAsia="Times New Roman" w:hAnsi="Arial" w:cs="Arial"/>
                <w:b/>
                <w:bCs/>
                <w:color w:val="000000"/>
                <w:sz w:val="18"/>
                <w:szCs w:val="18"/>
                <w:lang w:eastAsia="fr-FR"/>
              </w:rPr>
            </w:pPr>
            <w:r w:rsidRPr="00F21AEE">
              <w:rPr>
                <w:rFonts w:ascii="Arial" w:eastAsia="Times New Roman" w:hAnsi="Arial" w:cs="Arial"/>
                <w:b/>
                <w:bCs/>
                <w:color w:val="000000"/>
                <w:sz w:val="18"/>
                <w:szCs w:val="18"/>
                <w:lang w:eastAsia="fr-FR"/>
              </w:rPr>
              <w:t>Barrage hydroélectrique</w:t>
            </w:r>
          </w:p>
        </w:tc>
        <w:tc>
          <w:tcPr>
            <w:tcW w:w="1200" w:type="dxa"/>
            <w:tcBorders>
              <w:top w:val="nil"/>
              <w:left w:val="nil"/>
              <w:bottom w:val="single" w:sz="4" w:space="0" w:color="auto"/>
              <w:right w:val="single" w:sz="4" w:space="0" w:color="auto"/>
            </w:tcBorders>
            <w:shd w:val="clear" w:color="000000" w:fill="BDD7EE"/>
            <w:vAlign w:val="center"/>
            <w:hideMark/>
          </w:tcPr>
          <w:p w14:paraId="6AFE90BF" w14:textId="77777777" w:rsidR="00F21AEE" w:rsidRPr="00F21AEE" w:rsidRDefault="00F21AEE" w:rsidP="001C5508">
            <w:pPr>
              <w:spacing w:before="240" w:after="0" w:line="240" w:lineRule="auto"/>
              <w:jc w:val="center"/>
              <w:rPr>
                <w:rFonts w:ascii="Arial" w:eastAsia="Times New Roman" w:hAnsi="Arial" w:cs="Arial"/>
                <w:b/>
                <w:bCs/>
                <w:color w:val="000000"/>
                <w:sz w:val="18"/>
                <w:szCs w:val="18"/>
                <w:lang w:eastAsia="fr-FR"/>
              </w:rPr>
            </w:pPr>
            <w:r w:rsidRPr="00F21AEE">
              <w:rPr>
                <w:rFonts w:ascii="Arial" w:eastAsia="Times New Roman" w:hAnsi="Arial" w:cs="Arial"/>
                <w:b/>
                <w:bCs/>
                <w:color w:val="000000"/>
                <w:sz w:val="18"/>
                <w:szCs w:val="18"/>
                <w:lang w:eastAsia="fr-FR"/>
              </w:rPr>
              <w:t>Réseaux électriques</w:t>
            </w:r>
          </w:p>
        </w:tc>
        <w:tc>
          <w:tcPr>
            <w:tcW w:w="1280" w:type="dxa"/>
            <w:vMerge/>
            <w:tcBorders>
              <w:top w:val="single" w:sz="4" w:space="0" w:color="auto"/>
              <w:left w:val="single" w:sz="4" w:space="0" w:color="auto"/>
              <w:bottom w:val="single" w:sz="4" w:space="0" w:color="000000"/>
              <w:right w:val="single" w:sz="4" w:space="0" w:color="auto"/>
            </w:tcBorders>
            <w:vAlign w:val="center"/>
            <w:hideMark/>
          </w:tcPr>
          <w:p w14:paraId="4303D54A" w14:textId="77777777" w:rsidR="00F21AEE" w:rsidRPr="00F21AEE" w:rsidRDefault="00F21AEE" w:rsidP="001C5508">
            <w:pPr>
              <w:spacing w:before="240" w:after="0" w:line="240" w:lineRule="auto"/>
              <w:rPr>
                <w:rFonts w:eastAsia="Times New Roman" w:cs="Calibri"/>
                <w:b/>
                <w:bCs/>
                <w:color w:val="000000"/>
                <w:sz w:val="18"/>
                <w:szCs w:val="18"/>
                <w:lang w:eastAsia="fr-FR"/>
              </w:rPr>
            </w:pPr>
          </w:p>
        </w:tc>
      </w:tr>
      <w:tr w:rsidR="00F21AEE" w:rsidRPr="00F21AEE" w14:paraId="4041EA61" w14:textId="77777777" w:rsidTr="00F21AEE">
        <w:trPr>
          <w:trHeight w:val="300"/>
        </w:trPr>
        <w:tc>
          <w:tcPr>
            <w:tcW w:w="14860" w:type="dxa"/>
            <w:gridSpan w:val="7"/>
            <w:tcBorders>
              <w:top w:val="single" w:sz="4" w:space="0" w:color="auto"/>
              <w:left w:val="single" w:sz="4" w:space="0" w:color="auto"/>
              <w:bottom w:val="single" w:sz="4" w:space="0" w:color="auto"/>
              <w:right w:val="single" w:sz="4" w:space="0" w:color="000000"/>
            </w:tcBorders>
            <w:shd w:val="clear" w:color="000000" w:fill="00B0F0"/>
            <w:vAlign w:val="center"/>
            <w:hideMark/>
          </w:tcPr>
          <w:p w14:paraId="5DEBF5CF" w14:textId="77777777" w:rsidR="00F21AEE" w:rsidRPr="00F21AEE" w:rsidRDefault="00F21AEE" w:rsidP="008C024E">
            <w:pPr>
              <w:spacing w:before="240" w:after="0" w:line="240" w:lineRule="auto"/>
              <w:jc w:val="center"/>
              <w:rPr>
                <w:rFonts w:eastAsia="Times New Roman" w:cs="Calibri"/>
                <w:b/>
                <w:bCs/>
                <w:color w:val="000000"/>
                <w:sz w:val="18"/>
                <w:szCs w:val="18"/>
                <w:lang w:eastAsia="fr-FR"/>
              </w:rPr>
            </w:pPr>
            <w:r w:rsidRPr="00F21AEE">
              <w:rPr>
                <w:rFonts w:eastAsia="Times New Roman" w:cs="Calibri"/>
                <w:b/>
                <w:bCs/>
                <w:color w:val="000000"/>
                <w:sz w:val="18"/>
                <w:szCs w:val="18"/>
                <w:lang w:eastAsia="fr-FR"/>
              </w:rPr>
              <w:t>Phase Préparatoire et Construction</w:t>
            </w:r>
          </w:p>
        </w:tc>
      </w:tr>
      <w:tr w:rsidR="00F21AEE" w:rsidRPr="00F21AEE" w14:paraId="2B5B4B05" w14:textId="77777777" w:rsidTr="00F21AEE">
        <w:trPr>
          <w:trHeight w:val="120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3BC95F75"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Altération de la qualité de l’air par le soulèvement de poussières dû aux passages des véhicules de chantier et émanations GES des véhicules de chantier</w:t>
            </w:r>
          </w:p>
        </w:tc>
        <w:tc>
          <w:tcPr>
            <w:tcW w:w="5200" w:type="dxa"/>
            <w:tcBorders>
              <w:top w:val="nil"/>
              <w:left w:val="nil"/>
              <w:bottom w:val="single" w:sz="4" w:space="0" w:color="auto"/>
              <w:right w:val="single" w:sz="4" w:space="0" w:color="auto"/>
            </w:tcBorders>
            <w:shd w:val="clear" w:color="auto" w:fill="auto"/>
            <w:vAlign w:val="center"/>
            <w:hideMark/>
          </w:tcPr>
          <w:p w14:paraId="375FEBA3"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Humidification des sites. Utilisation de véhicule en bon état. Entretien régulier des véhicules</w:t>
            </w:r>
          </w:p>
        </w:tc>
        <w:tc>
          <w:tcPr>
            <w:tcW w:w="1420" w:type="dxa"/>
            <w:tcBorders>
              <w:top w:val="nil"/>
              <w:left w:val="nil"/>
              <w:bottom w:val="single" w:sz="4" w:space="0" w:color="auto"/>
              <w:right w:val="single" w:sz="4" w:space="0" w:color="auto"/>
            </w:tcBorders>
            <w:shd w:val="clear" w:color="auto" w:fill="auto"/>
            <w:vAlign w:val="center"/>
            <w:hideMark/>
          </w:tcPr>
          <w:p w14:paraId="75DFA7C6" w14:textId="77777777" w:rsidR="00F21AEE" w:rsidRPr="00AB1E0E" w:rsidRDefault="00F21AEE" w:rsidP="008C024E">
            <w:pPr>
              <w:spacing w:after="0"/>
              <w:jc w:val="center"/>
              <w:rPr>
                <w:rFonts w:cs="Calibri"/>
                <w:sz w:val="18"/>
                <w:szCs w:val="18"/>
                <w:lang w:eastAsia="fr-FR"/>
              </w:rPr>
            </w:pPr>
          </w:p>
        </w:tc>
        <w:tc>
          <w:tcPr>
            <w:tcW w:w="1060" w:type="dxa"/>
            <w:tcBorders>
              <w:top w:val="nil"/>
              <w:left w:val="nil"/>
              <w:bottom w:val="single" w:sz="4" w:space="0" w:color="auto"/>
              <w:right w:val="single" w:sz="4" w:space="0" w:color="auto"/>
            </w:tcBorders>
            <w:shd w:val="clear" w:color="auto" w:fill="auto"/>
            <w:vAlign w:val="center"/>
            <w:hideMark/>
          </w:tcPr>
          <w:p w14:paraId="203455C9"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12CBC76E"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00" w:type="dxa"/>
            <w:tcBorders>
              <w:top w:val="nil"/>
              <w:left w:val="nil"/>
              <w:bottom w:val="single" w:sz="4" w:space="0" w:color="auto"/>
              <w:right w:val="single" w:sz="4" w:space="0" w:color="auto"/>
            </w:tcBorders>
            <w:shd w:val="clear" w:color="auto" w:fill="auto"/>
            <w:vAlign w:val="center"/>
            <w:hideMark/>
          </w:tcPr>
          <w:p w14:paraId="2EAE7E69" w14:textId="77777777" w:rsidR="00F21AEE" w:rsidRPr="00AB1E0E" w:rsidRDefault="00F21AEE" w:rsidP="008C024E">
            <w:pPr>
              <w:spacing w:after="0"/>
              <w:jc w:val="center"/>
              <w:rPr>
                <w:rFonts w:cs="Calibri"/>
                <w:sz w:val="18"/>
                <w:szCs w:val="18"/>
                <w:lang w:eastAsia="fr-FR"/>
              </w:rPr>
            </w:pPr>
          </w:p>
        </w:tc>
        <w:tc>
          <w:tcPr>
            <w:tcW w:w="1280" w:type="dxa"/>
            <w:tcBorders>
              <w:top w:val="nil"/>
              <w:left w:val="nil"/>
              <w:bottom w:val="single" w:sz="4" w:space="0" w:color="auto"/>
              <w:right w:val="single" w:sz="4" w:space="0" w:color="auto"/>
            </w:tcBorders>
            <w:shd w:val="clear" w:color="000000" w:fill="00B050"/>
            <w:vAlign w:val="center"/>
            <w:hideMark/>
          </w:tcPr>
          <w:p w14:paraId="77344581"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Mineure</w:t>
            </w:r>
          </w:p>
        </w:tc>
      </w:tr>
      <w:tr w:rsidR="00F21AEE" w:rsidRPr="00F21AEE" w14:paraId="16AC99F3" w14:textId="77777777" w:rsidTr="00F21AEE">
        <w:trPr>
          <w:trHeight w:val="30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6859BAAF"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Risque d’érosion du sol</w:t>
            </w:r>
          </w:p>
        </w:tc>
        <w:tc>
          <w:tcPr>
            <w:tcW w:w="5200" w:type="dxa"/>
            <w:tcBorders>
              <w:top w:val="nil"/>
              <w:left w:val="nil"/>
              <w:bottom w:val="single" w:sz="4" w:space="0" w:color="auto"/>
              <w:right w:val="single" w:sz="4" w:space="0" w:color="auto"/>
            </w:tcBorders>
            <w:shd w:val="clear" w:color="auto" w:fill="auto"/>
            <w:vAlign w:val="center"/>
            <w:hideMark/>
          </w:tcPr>
          <w:p w14:paraId="555BAA6F"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Réaliser les travaux pendant la saison sèche </w:t>
            </w:r>
          </w:p>
        </w:tc>
        <w:tc>
          <w:tcPr>
            <w:tcW w:w="1420" w:type="dxa"/>
            <w:tcBorders>
              <w:top w:val="nil"/>
              <w:left w:val="nil"/>
              <w:bottom w:val="single" w:sz="4" w:space="0" w:color="auto"/>
              <w:right w:val="single" w:sz="4" w:space="0" w:color="auto"/>
            </w:tcBorders>
            <w:shd w:val="clear" w:color="auto" w:fill="auto"/>
            <w:vAlign w:val="center"/>
            <w:hideMark/>
          </w:tcPr>
          <w:p w14:paraId="38A63C84"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5C6C65C6"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45894441"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00" w:type="dxa"/>
            <w:tcBorders>
              <w:top w:val="nil"/>
              <w:left w:val="nil"/>
              <w:bottom w:val="single" w:sz="4" w:space="0" w:color="auto"/>
              <w:right w:val="single" w:sz="4" w:space="0" w:color="auto"/>
            </w:tcBorders>
            <w:shd w:val="clear" w:color="auto" w:fill="auto"/>
            <w:vAlign w:val="center"/>
            <w:hideMark/>
          </w:tcPr>
          <w:p w14:paraId="3E0C5DF6" w14:textId="77777777" w:rsidR="00F21AEE" w:rsidRPr="00AB1E0E" w:rsidRDefault="00F21AEE" w:rsidP="008C024E">
            <w:pPr>
              <w:spacing w:after="0"/>
              <w:jc w:val="center"/>
              <w:rPr>
                <w:rFonts w:cs="Calibri"/>
                <w:sz w:val="18"/>
                <w:szCs w:val="18"/>
                <w:lang w:eastAsia="fr-FR"/>
              </w:rPr>
            </w:pPr>
          </w:p>
        </w:tc>
        <w:tc>
          <w:tcPr>
            <w:tcW w:w="1280" w:type="dxa"/>
            <w:tcBorders>
              <w:top w:val="nil"/>
              <w:left w:val="nil"/>
              <w:bottom w:val="single" w:sz="4" w:space="0" w:color="auto"/>
              <w:right w:val="single" w:sz="4" w:space="0" w:color="auto"/>
            </w:tcBorders>
            <w:shd w:val="clear" w:color="000000" w:fill="00B050"/>
            <w:vAlign w:val="center"/>
            <w:hideMark/>
          </w:tcPr>
          <w:p w14:paraId="7B7D72DE"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Mineure</w:t>
            </w:r>
          </w:p>
        </w:tc>
      </w:tr>
      <w:tr w:rsidR="00F21AEE" w:rsidRPr="00F21AEE" w14:paraId="1E1D6027" w14:textId="77777777" w:rsidTr="00F21AEE">
        <w:trPr>
          <w:trHeight w:val="30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769AB6F2"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Modification du paysage</w:t>
            </w:r>
          </w:p>
        </w:tc>
        <w:tc>
          <w:tcPr>
            <w:tcW w:w="5200" w:type="dxa"/>
            <w:tcBorders>
              <w:top w:val="nil"/>
              <w:left w:val="nil"/>
              <w:bottom w:val="single" w:sz="4" w:space="0" w:color="auto"/>
              <w:right w:val="single" w:sz="4" w:space="0" w:color="auto"/>
            </w:tcBorders>
            <w:shd w:val="clear" w:color="auto" w:fill="auto"/>
            <w:vAlign w:val="center"/>
            <w:hideMark/>
          </w:tcPr>
          <w:p w14:paraId="2869608B"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Clôturer le site</w:t>
            </w:r>
          </w:p>
        </w:tc>
        <w:tc>
          <w:tcPr>
            <w:tcW w:w="1420" w:type="dxa"/>
            <w:tcBorders>
              <w:top w:val="nil"/>
              <w:left w:val="nil"/>
              <w:bottom w:val="single" w:sz="4" w:space="0" w:color="auto"/>
              <w:right w:val="single" w:sz="4" w:space="0" w:color="auto"/>
            </w:tcBorders>
            <w:shd w:val="clear" w:color="auto" w:fill="auto"/>
            <w:vAlign w:val="center"/>
            <w:hideMark/>
          </w:tcPr>
          <w:p w14:paraId="6DA98D6F"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1CA3CC78"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52E7D5DC" w14:textId="77777777" w:rsidR="00F21AEE" w:rsidRPr="00AB1E0E" w:rsidRDefault="00F21AEE" w:rsidP="008C024E">
            <w:pPr>
              <w:spacing w:after="0"/>
              <w:jc w:val="center"/>
              <w:rPr>
                <w:rFonts w:cs="Calibri"/>
                <w:sz w:val="18"/>
                <w:szCs w:val="18"/>
                <w:lang w:eastAsia="fr-FR"/>
              </w:rPr>
            </w:pPr>
          </w:p>
        </w:tc>
        <w:tc>
          <w:tcPr>
            <w:tcW w:w="1200" w:type="dxa"/>
            <w:tcBorders>
              <w:top w:val="nil"/>
              <w:left w:val="nil"/>
              <w:bottom w:val="single" w:sz="4" w:space="0" w:color="auto"/>
              <w:right w:val="single" w:sz="4" w:space="0" w:color="auto"/>
            </w:tcBorders>
            <w:shd w:val="clear" w:color="auto" w:fill="auto"/>
            <w:vAlign w:val="center"/>
            <w:hideMark/>
          </w:tcPr>
          <w:p w14:paraId="23043097" w14:textId="77777777" w:rsidR="00F21AEE" w:rsidRPr="00AB1E0E" w:rsidRDefault="00F21AEE" w:rsidP="008C024E">
            <w:pPr>
              <w:spacing w:after="0"/>
              <w:jc w:val="center"/>
              <w:rPr>
                <w:rFonts w:cs="Calibri"/>
                <w:sz w:val="18"/>
                <w:szCs w:val="18"/>
                <w:lang w:eastAsia="fr-FR"/>
              </w:rPr>
            </w:pPr>
          </w:p>
        </w:tc>
        <w:tc>
          <w:tcPr>
            <w:tcW w:w="1280" w:type="dxa"/>
            <w:tcBorders>
              <w:top w:val="nil"/>
              <w:left w:val="nil"/>
              <w:bottom w:val="single" w:sz="4" w:space="0" w:color="auto"/>
              <w:right w:val="single" w:sz="4" w:space="0" w:color="auto"/>
            </w:tcBorders>
            <w:shd w:val="clear" w:color="000000" w:fill="00B050"/>
            <w:vAlign w:val="center"/>
            <w:hideMark/>
          </w:tcPr>
          <w:p w14:paraId="72C8D842"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 </w:t>
            </w:r>
          </w:p>
        </w:tc>
      </w:tr>
      <w:tr w:rsidR="00F21AEE" w:rsidRPr="00F21AEE" w14:paraId="4D8220B7" w14:textId="77777777" w:rsidTr="00F21AEE">
        <w:trPr>
          <w:trHeight w:val="375"/>
        </w:trPr>
        <w:tc>
          <w:tcPr>
            <w:tcW w:w="3180" w:type="dxa"/>
            <w:vMerge w:val="restart"/>
            <w:tcBorders>
              <w:top w:val="nil"/>
              <w:left w:val="single" w:sz="4" w:space="0" w:color="auto"/>
              <w:bottom w:val="single" w:sz="4" w:space="0" w:color="000000"/>
              <w:right w:val="single" w:sz="4" w:space="0" w:color="auto"/>
            </w:tcBorders>
            <w:shd w:val="clear" w:color="auto" w:fill="auto"/>
            <w:vAlign w:val="center"/>
            <w:hideMark/>
          </w:tcPr>
          <w:p w14:paraId="67FE7B87"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Pollution des ressources en eau par entraînement de substances polluantes</w:t>
            </w:r>
          </w:p>
        </w:tc>
        <w:tc>
          <w:tcPr>
            <w:tcW w:w="5200" w:type="dxa"/>
            <w:tcBorders>
              <w:top w:val="nil"/>
              <w:left w:val="nil"/>
              <w:bottom w:val="single" w:sz="4" w:space="0" w:color="auto"/>
              <w:right w:val="single" w:sz="4" w:space="0" w:color="auto"/>
            </w:tcBorders>
            <w:shd w:val="clear" w:color="auto" w:fill="auto"/>
            <w:vAlign w:val="center"/>
            <w:hideMark/>
          </w:tcPr>
          <w:p w14:paraId="28D5CF33"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Elaboration et mise en œuvre de Plan de Gestion de</w:t>
            </w:r>
            <w:r w:rsidR="00C66FE1" w:rsidRPr="00AB1E0E">
              <w:rPr>
                <w:rFonts w:cs="Calibri"/>
                <w:sz w:val="18"/>
                <w:szCs w:val="18"/>
                <w:lang w:eastAsia="fr-FR"/>
              </w:rPr>
              <w:t>s</w:t>
            </w:r>
            <w:r w:rsidRPr="00AB1E0E">
              <w:rPr>
                <w:rFonts w:cs="Calibri"/>
                <w:sz w:val="18"/>
                <w:szCs w:val="18"/>
                <w:lang w:eastAsia="fr-FR"/>
              </w:rPr>
              <w:t xml:space="preserve"> Déchet</w:t>
            </w:r>
            <w:r w:rsidR="00C66FE1" w:rsidRPr="00AB1E0E">
              <w:rPr>
                <w:rFonts w:cs="Calibri"/>
                <w:sz w:val="18"/>
                <w:szCs w:val="18"/>
                <w:lang w:eastAsia="fr-FR"/>
              </w:rPr>
              <w:t>s</w:t>
            </w:r>
            <w:r w:rsidRPr="00AB1E0E">
              <w:rPr>
                <w:rFonts w:cs="Calibri"/>
                <w:sz w:val="18"/>
                <w:szCs w:val="18"/>
                <w:lang w:eastAsia="fr-FR"/>
              </w:rPr>
              <w:t> </w:t>
            </w:r>
          </w:p>
        </w:tc>
        <w:tc>
          <w:tcPr>
            <w:tcW w:w="1420" w:type="dxa"/>
            <w:tcBorders>
              <w:top w:val="nil"/>
              <w:left w:val="nil"/>
              <w:bottom w:val="single" w:sz="4" w:space="0" w:color="auto"/>
              <w:right w:val="single" w:sz="4" w:space="0" w:color="auto"/>
            </w:tcBorders>
            <w:shd w:val="clear" w:color="auto" w:fill="auto"/>
            <w:vAlign w:val="center"/>
            <w:hideMark/>
          </w:tcPr>
          <w:p w14:paraId="2D7A933F"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526FA8CF"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20ABEDA2"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00" w:type="dxa"/>
            <w:tcBorders>
              <w:top w:val="nil"/>
              <w:left w:val="nil"/>
              <w:bottom w:val="single" w:sz="4" w:space="0" w:color="auto"/>
              <w:right w:val="single" w:sz="4" w:space="0" w:color="auto"/>
            </w:tcBorders>
            <w:shd w:val="clear" w:color="auto" w:fill="auto"/>
            <w:vAlign w:val="center"/>
            <w:hideMark/>
          </w:tcPr>
          <w:p w14:paraId="7EC830EC" w14:textId="77777777" w:rsidR="00F21AEE" w:rsidRPr="00AB1E0E" w:rsidRDefault="00F21AEE" w:rsidP="008C024E">
            <w:pPr>
              <w:spacing w:after="0"/>
              <w:jc w:val="center"/>
              <w:rPr>
                <w:rFonts w:cs="Calibri"/>
                <w:sz w:val="18"/>
                <w:szCs w:val="18"/>
                <w:lang w:eastAsia="fr-FR"/>
              </w:rPr>
            </w:pPr>
          </w:p>
        </w:tc>
        <w:tc>
          <w:tcPr>
            <w:tcW w:w="1280" w:type="dxa"/>
            <w:tcBorders>
              <w:top w:val="nil"/>
              <w:left w:val="nil"/>
              <w:bottom w:val="single" w:sz="4" w:space="0" w:color="auto"/>
              <w:right w:val="single" w:sz="4" w:space="0" w:color="auto"/>
            </w:tcBorders>
            <w:shd w:val="clear" w:color="000000" w:fill="00B050"/>
            <w:vAlign w:val="center"/>
            <w:hideMark/>
          </w:tcPr>
          <w:p w14:paraId="6109BC1A"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Mineure</w:t>
            </w:r>
          </w:p>
        </w:tc>
      </w:tr>
      <w:tr w:rsidR="00F21AEE" w:rsidRPr="00F21AEE" w14:paraId="61832FA9" w14:textId="77777777" w:rsidTr="00F21AEE">
        <w:trPr>
          <w:trHeight w:val="570"/>
        </w:trPr>
        <w:tc>
          <w:tcPr>
            <w:tcW w:w="3180" w:type="dxa"/>
            <w:vMerge/>
            <w:tcBorders>
              <w:top w:val="nil"/>
              <w:left w:val="single" w:sz="4" w:space="0" w:color="auto"/>
              <w:bottom w:val="single" w:sz="4" w:space="0" w:color="000000"/>
              <w:right w:val="single" w:sz="4" w:space="0" w:color="auto"/>
            </w:tcBorders>
            <w:vAlign w:val="center"/>
            <w:hideMark/>
          </w:tcPr>
          <w:p w14:paraId="142DDC35" w14:textId="77777777" w:rsidR="00F21AEE" w:rsidRPr="00AB1E0E" w:rsidRDefault="00F21AEE" w:rsidP="008C024E">
            <w:pPr>
              <w:spacing w:after="0" w:line="240" w:lineRule="auto"/>
              <w:rPr>
                <w:rFonts w:cs="Calibri"/>
                <w:sz w:val="18"/>
                <w:szCs w:val="18"/>
                <w:lang w:eastAsia="fr-FR"/>
              </w:rPr>
            </w:pPr>
          </w:p>
        </w:tc>
        <w:tc>
          <w:tcPr>
            <w:tcW w:w="5200" w:type="dxa"/>
            <w:tcBorders>
              <w:top w:val="nil"/>
              <w:left w:val="nil"/>
              <w:bottom w:val="single" w:sz="4" w:space="0" w:color="auto"/>
              <w:right w:val="single" w:sz="4" w:space="0" w:color="auto"/>
            </w:tcBorders>
            <w:shd w:val="clear" w:color="auto" w:fill="auto"/>
            <w:vAlign w:val="center"/>
            <w:hideMark/>
          </w:tcPr>
          <w:p w14:paraId="3E659AEC"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Mise en place de système de collecte et de tri des déchets. </w:t>
            </w:r>
          </w:p>
        </w:tc>
        <w:tc>
          <w:tcPr>
            <w:tcW w:w="1420" w:type="dxa"/>
            <w:tcBorders>
              <w:top w:val="nil"/>
              <w:left w:val="nil"/>
              <w:bottom w:val="single" w:sz="4" w:space="0" w:color="auto"/>
              <w:right w:val="single" w:sz="4" w:space="0" w:color="auto"/>
            </w:tcBorders>
            <w:shd w:val="clear" w:color="auto" w:fill="auto"/>
            <w:vAlign w:val="center"/>
            <w:hideMark/>
          </w:tcPr>
          <w:p w14:paraId="5AF51604" w14:textId="77777777" w:rsidR="00F21AEE" w:rsidRPr="00AB1E0E" w:rsidRDefault="00F21AEE" w:rsidP="008C024E">
            <w:pPr>
              <w:spacing w:after="0"/>
              <w:jc w:val="center"/>
              <w:rPr>
                <w:rFonts w:cs="Calibri"/>
                <w:sz w:val="18"/>
                <w:szCs w:val="18"/>
                <w:lang w:eastAsia="fr-FR"/>
              </w:rPr>
            </w:pPr>
          </w:p>
        </w:tc>
        <w:tc>
          <w:tcPr>
            <w:tcW w:w="1060" w:type="dxa"/>
            <w:tcBorders>
              <w:top w:val="nil"/>
              <w:left w:val="nil"/>
              <w:bottom w:val="single" w:sz="4" w:space="0" w:color="auto"/>
              <w:right w:val="single" w:sz="4" w:space="0" w:color="auto"/>
            </w:tcBorders>
            <w:shd w:val="clear" w:color="auto" w:fill="auto"/>
            <w:vAlign w:val="center"/>
            <w:hideMark/>
          </w:tcPr>
          <w:p w14:paraId="075A7FD5" w14:textId="77777777" w:rsidR="00F21AEE" w:rsidRPr="00AB1E0E" w:rsidRDefault="00F21AEE" w:rsidP="008C024E">
            <w:pPr>
              <w:spacing w:after="0"/>
              <w:jc w:val="center"/>
              <w:rPr>
                <w:rFonts w:cs="Calibri"/>
                <w:sz w:val="18"/>
                <w:szCs w:val="18"/>
                <w:lang w:eastAsia="fr-FR"/>
              </w:rPr>
            </w:pPr>
          </w:p>
        </w:tc>
        <w:tc>
          <w:tcPr>
            <w:tcW w:w="1520" w:type="dxa"/>
            <w:tcBorders>
              <w:top w:val="nil"/>
              <w:left w:val="nil"/>
              <w:bottom w:val="single" w:sz="4" w:space="0" w:color="auto"/>
              <w:right w:val="single" w:sz="4" w:space="0" w:color="auto"/>
            </w:tcBorders>
            <w:shd w:val="clear" w:color="auto" w:fill="auto"/>
            <w:vAlign w:val="center"/>
            <w:hideMark/>
          </w:tcPr>
          <w:p w14:paraId="35E6C2D4" w14:textId="77777777" w:rsidR="00F21AEE" w:rsidRPr="00AB1E0E" w:rsidRDefault="00F21AEE" w:rsidP="008C024E">
            <w:pPr>
              <w:spacing w:after="0"/>
              <w:jc w:val="center"/>
              <w:rPr>
                <w:rFonts w:cs="Calibri"/>
                <w:sz w:val="18"/>
                <w:szCs w:val="18"/>
                <w:lang w:eastAsia="fr-FR"/>
              </w:rPr>
            </w:pPr>
          </w:p>
        </w:tc>
        <w:tc>
          <w:tcPr>
            <w:tcW w:w="1200" w:type="dxa"/>
            <w:tcBorders>
              <w:top w:val="nil"/>
              <w:left w:val="nil"/>
              <w:bottom w:val="single" w:sz="4" w:space="0" w:color="auto"/>
              <w:right w:val="single" w:sz="4" w:space="0" w:color="auto"/>
            </w:tcBorders>
            <w:shd w:val="clear" w:color="auto" w:fill="auto"/>
            <w:vAlign w:val="center"/>
            <w:hideMark/>
          </w:tcPr>
          <w:p w14:paraId="70CD1E8C" w14:textId="77777777" w:rsidR="00F21AEE" w:rsidRPr="00AB1E0E" w:rsidRDefault="00F21AEE" w:rsidP="008C024E">
            <w:pPr>
              <w:spacing w:after="0"/>
              <w:jc w:val="center"/>
              <w:rPr>
                <w:rFonts w:cs="Calibri"/>
                <w:sz w:val="18"/>
                <w:szCs w:val="18"/>
                <w:lang w:eastAsia="fr-FR"/>
              </w:rPr>
            </w:pPr>
          </w:p>
        </w:tc>
        <w:tc>
          <w:tcPr>
            <w:tcW w:w="1280" w:type="dxa"/>
            <w:tcBorders>
              <w:top w:val="nil"/>
              <w:left w:val="nil"/>
              <w:bottom w:val="single" w:sz="4" w:space="0" w:color="auto"/>
              <w:right w:val="single" w:sz="4" w:space="0" w:color="auto"/>
            </w:tcBorders>
            <w:shd w:val="clear" w:color="000000" w:fill="00B050"/>
            <w:vAlign w:val="center"/>
            <w:hideMark/>
          </w:tcPr>
          <w:p w14:paraId="0819D168"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 </w:t>
            </w:r>
          </w:p>
        </w:tc>
      </w:tr>
      <w:tr w:rsidR="00F21AEE" w:rsidRPr="00F21AEE" w14:paraId="30BE312B" w14:textId="77777777" w:rsidTr="00F21AEE">
        <w:trPr>
          <w:trHeight w:val="720"/>
        </w:trPr>
        <w:tc>
          <w:tcPr>
            <w:tcW w:w="3180" w:type="dxa"/>
            <w:vMerge w:val="restart"/>
            <w:tcBorders>
              <w:top w:val="nil"/>
              <w:left w:val="single" w:sz="4" w:space="0" w:color="auto"/>
              <w:bottom w:val="single" w:sz="4" w:space="0" w:color="000000"/>
              <w:right w:val="single" w:sz="4" w:space="0" w:color="auto"/>
            </w:tcBorders>
            <w:shd w:val="clear" w:color="auto" w:fill="auto"/>
            <w:vAlign w:val="center"/>
            <w:hideMark/>
          </w:tcPr>
          <w:p w14:paraId="00C85F09"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Coupe illicite pour les besoins de bois de chauffe du chantier</w:t>
            </w:r>
          </w:p>
        </w:tc>
        <w:tc>
          <w:tcPr>
            <w:tcW w:w="5200" w:type="dxa"/>
            <w:tcBorders>
              <w:top w:val="nil"/>
              <w:left w:val="nil"/>
              <w:bottom w:val="single" w:sz="4" w:space="0" w:color="auto"/>
              <w:right w:val="single" w:sz="4" w:space="0" w:color="auto"/>
            </w:tcBorders>
            <w:shd w:val="clear" w:color="auto" w:fill="auto"/>
            <w:vAlign w:val="center"/>
            <w:hideMark/>
          </w:tcPr>
          <w:p w14:paraId="21F27A51"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Interdiction formelle de prélèvement de bois dans la végétation alentour du site. Approvisionnement auprès de fournisseur agréé</w:t>
            </w:r>
          </w:p>
        </w:tc>
        <w:tc>
          <w:tcPr>
            <w:tcW w:w="1420" w:type="dxa"/>
            <w:tcBorders>
              <w:top w:val="nil"/>
              <w:left w:val="nil"/>
              <w:bottom w:val="single" w:sz="4" w:space="0" w:color="auto"/>
              <w:right w:val="single" w:sz="4" w:space="0" w:color="auto"/>
            </w:tcBorders>
            <w:shd w:val="clear" w:color="auto" w:fill="auto"/>
            <w:vAlign w:val="center"/>
            <w:hideMark/>
          </w:tcPr>
          <w:p w14:paraId="6E4B490B"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593E2B9C"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411BE49A"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00" w:type="dxa"/>
            <w:tcBorders>
              <w:top w:val="nil"/>
              <w:left w:val="nil"/>
              <w:bottom w:val="single" w:sz="4" w:space="0" w:color="auto"/>
              <w:right w:val="single" w:sz="4" w:space="0" w:color="auto"/>
            </w:tcBorders>
            <w:shd w:val="clear" w:color="auto" w:fill="auto"/>
            <w:vAlign w:val="center"/>
            <w:hideMark/>
          </w:tcPr>
          <w:p w14:paraId="661DB51F"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80" w:type="dxa"/>
            <w:tcBorders>
              <w:top w:val="nil"/>
              <w:left w:val="nil"/>
              <w:bottom w:val="single" w:sz="4" w:space="0" w:color="auto"/>
              <w:right w:val="single" w:sz="4" w:space="0" w:color="auto"/>
            </w:tcBorders>
            <w:shd w:val="clear" w:color="000000" w:fill="00B050"/>
            <w:vAlign w:val="center"/>
            <w:hideMark/>
          </w:tcPr>
          <w:p w14:paraId="1CBA438D"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 Mineure</w:t>
            </w:r>
          </w:p>
        </w:tc>
      </w:tr>
      <w:tr w:rsidR="00F21AEE" w:rsidRPr="00F21AEE" w14:paraId="49851900" w14:textId="77777777" w:rsidTr="00F21AEE">
        <w:trPr>
          <w:trHeight w:val="300"/>
        </w:trPr>
        <w:tc>
          <w:tcPr>
            <w:tcW w:w="3180" w:type="dxa"/>
            <w:vMerge/>
            <w:tcBorders>
              <w:top w:val="nil"/>
              <w:left w:val="single" w:sz="4" w:space="0" w:color="auto"/>
              <w:bottom w:val="single" w:sz="4" w:space="0" w:color="000000"/>
              <w:right w:val="single" w:sz="4" w:space="0" w:color="auto"/>
            </w:tcBorders>
            <w:vAlign w:val="center"/>
            <w:hideMark/>
          </w:tcPr>
          <w:p w14:paraId="0B711A43" w14:textId="77777777" w:rsidR="00F21AEE" w:rsidRPr="00AB1E0E" w:rsidRDefault="00F21AEE" w:rsidP="008C024E">
            <w:pPr>
              <w:spacing w:after="0" w:line="240" w:lineRule="auto"/>
              <w:rPr>
                <w:rFonts w:cs="Calibri"/>
                <w:sz w:val="18"/>
                <w:szCs w:val="18"/>
                <w:lang w:eastAsia="fr-FR"/>
              </w:rPr>
            </w:pPr>
          </w:p>
        </w:tc>
        <w:tc>
          <w:tcPr>
            <w:tcW w:w="5200" w:type="dxa"/>
            <w:tcBorders>
              <w:top w:val="nil"/>
              <w:left w:val="nil"/>
              <w:bottom w:val="single" w:sz="4" w:space="0" w:color="auto"/>
              <w:right w:val="single" w:sz="4" w:space="0" w:color="auto"/>
            </w:tcBorders>
            <w:shd w:val="clear" w:color="auto" w:fill="auto"/>
            <w:vAlign w:val="center"/>
            <w:hideMark/>
          </w:tcPr>
          <w:p w14:paraId="0D093570"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Utilisation d'autre source d'énergie pour la cuisson</w:t>
            </w:r>
          </w:p>
        </w:tc>
        <w:tc>
          <w:tcPr>
            <w:tcW w:w="1420" w:type="dxa"/>
            <w:tcBorders>
              <w:top w:val="nil"/>
              <w:left w:val="nil"/>
              <w:bottom w:val="single" w:sz="4" w:space="0" w:color="auto"/>
              <w:right w:val="single" w:sz="4" w:space="0" w:color="auto"/>
            </w:tcBorders>
            <w:shd w:val="clear" w:color="auto" w:fill="auto"/>
            <w:vAlign w:val="center"/>
            <w:hideMark/>
          </w:tcPr>
          <w:p w14:paraId="3553CCE6"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6AE86AC5"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7154F1E3"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00" w:type="dxa"/>
            <w:tcBorders>
              <w:top w:val="nil"/>
              <w:left w:val="nil"/>
              <w:bottom w:val="single" w:sz="4" w:space="0" w:color="auto"/>
              <w:right w:val="single" w:sz="4" w:space="0" w:color="auto"/>
            </w:tcBorders>
            <w:shd w:val="clear" w:color="auto" w:fill="auto"/>
            <w:vAlign w:val="center"/>
            <w:hideMark/>
          </w:tcPr>
          <w:p w14:paraId="62D08813"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80" w:type="dxa"/>
            <w:tcBorders>
              <w:top w:val="nil"/>
              <w:left w:val="nil"/>
              <w:bottom w:val="single" w:sz="4" w:space="0" w:color="auto"/>
              <w:right w:val="single" w:sz="4" w:space="0" w:color="auto"/>
            </w:tcBorders>
            <w:shd w:val="clear" w:color="000000" w:fill="00B050"/>
            <w:vAlign w:val="center"/>
            <w:hideMark/>
          </w:tcPr>
          <w:p w14:paraId="75012F6B"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 </w:t>
            </w:r>
          </w:p>
        </w:tc>
      </w:tr>
      <w:tr w:rsidR="00F21AEE" w:rsidRPr="00F21AEE" w14:paraId="3FEBD7E1" w14:textId="77777777" w:rsidTr="00F21AEE">
        <w:trPr>
          <w:trHeight w:val="300"/>
        </w:trPr>
        <w:tc>
          <w:tcPr>
            <w:tcW w:w="3180" w:type="dxa"/>
            <w:vMerge/>
            <w:tcBorders>
              <w:top w:val="nil"/>
              <w:left w:val="single" w:sz="4" w:space="0" w:color="auto"/>
              <w:bottom w:val="single" w:sz="4" w:space="0" w:color="000000"/>
              <w:right w:val="single" w:sz="4" w:space="0" w:color="auto"/>
            </w:tcBorders>
            <w:vAlign w:val="center"/>
            <w:hideMark/>
          </w:tcPr>
          <w:p w14:paraId="121CFC08" w14:textId="77777777" w:rsidR="00F21AEE" w:rsidRPr="00AB1E0E" w:rsidRDefault="00F21AEE" w:rsidP="008C024E">
            <w:pPr>
              <w:spacing w:after="0" w:line="240" w:lineRule="auto"/>
              <w:rPr>
                <w:rFonts w:cs="Calibri"/>
                <w:sz w:val="18"/>
                <w:szCs w:val="18"/>
                <w:lang w:eastAsia="fr-FR"/>
              </w:rPr>
            </w:pPr>
          </w:p>
        </w:tc>
        <w:tc>
          <w:tcPr>
            <w:tcW w:w="5200" w:type="dxa"/>
            <w:tcBorders>
              <w:top w:val="nil"/>
              <w:left w:val="nil"/>
              <w:bottom w:val="single" w:sz="4" w:space="0" w:color="auto"/>
              <w:right w:val="single" w:sz="4" w:space="0" w:color="auto"/>
            </w:tcBorders>
            <w:shd w:val="clear" w:color="auto" w:fill="auto"/>
            <w:vAlign w:val="center"/>
            <w:hideMark/>
          </w:tcPr>
          <w:p w14:paraId="7CFD6903"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 xml:space="preserve">Utilisation des poteaux en bétons armés </w:t>
            </w:r>
          </w:p>
        </w:tc>
        <w:tc>
          <w:tcPr>
            <w:tcW w:w="1420" w:type="dxa"/>
            <w:tcBorders>
              <w:top w:val="nil"/>
              <w:left w:val="nil"/>
              <w:bottom w:val="single" w:sz="4" w:space="0" w:color="auto"/>
              <w:right w:val="single" w:sz="4" w:space="0" w:color="auto"/>
            </w:tcBorders>
            <w:shd w:val="clear" w:color="auto" w:fill="auto"/>
            <w:vAlign w:val="center"/>
            <w:hideMark/>
          </w:tcPr>
          <w:p w14:paraId="20B29B71" w14:textId="77777777" w:rsidR="00F21AEE" w:rsidRPr="00AB1E0E" w:rsidRDefault="00F21AEE" w:rsidP="008C024E">
            <w:pPr>
              <w:spacing w:after="0"/>
              <w:jc w:val="center"/>
              <w:rPr>
                <w:rFonts w:cs="Calibri"/>
                <w:sz w:val="18"/>
                <w:szCs w:val="18"/>
                <w:lang w:eastAsia="fr-FR"/>
              </w:rPr>
            </w:pPr>
          </w:p>
        </w:tc>
        <w:tc>
          <w:tcPr>
            <w:tcW w:w="1060" w:type="dxa"/>
            <w:tcBorders>
              <w:top w:val="nil"/>
              <w:left w:val="nil"/>
              <w:bottom w:val="single" w:sz="4" w:space="0" w:color="auto"/>
              <w:right w:val="single" w:sz="4" w:space="0" w:color="auto"/>
            </w:tcBorders>
            <w:shd w:val="clear" w:color="auto" w:fill="auto"/>
            <w:vAlign w:val="center"/>
            <w:hideMark/>
          </w:tcPr>
          <w:p w14:paraId="7F02018F" w14:textId="77777777" w:rsidR="00F21AEE" w:rsidRPr="00AB1E0E" w:rsidRDefault="00F21AEE" w:rsidP="008C024E">
            <w:pPr>
              <w:spacing w:after="0"/>
              <w:jc w:val="center"/>
              <w:rPr>
                <w:rFonts w:cs="Calibri"/>
                <w:sz w:val="18"/>
                <w:szCs w:val="18"/>
                <w:lang w:eastAsia="fr-FR"/>
              </w:rPr>
            </w:pPr>
          </w:p>
        </w:tc>
        <w:tc>
          <w:tcPr>
            <w:tcW w:w="1520" w:type="dxa"/>
            <w:tcBorders>
              <w:top w:val="nil"/>
              <w:left w:val="nil"/>
              <w:bottom w:val="single" w:sz="4" w:space="0" w:color="auto"/>
              <w:right w:val="single" w:sz="4" w:space="0" w:color="auto"/>
            </w:tcBorders>
            <w:shd w:val="clear" w:color="auto" w:fill="auto"/>
            <w:vAlign w:val="center"/>
            <w:hideMark/>
          </w:tcPr>
          <w:p w14:paraId="0B02BE0B" w14:textId="77777777" w:rsidR="00F21AEE" w:rsidRPr="00AB1E0E" w:rsidRDefault="00F21AEE" w:rsidP="008C024E">
            <w:pPr>
              <w:spacing w:after="0"/>
              <w:jc w:val="center"/>
              <w:rPr>
                <w:rFonts w:cs="Calibri"/>
                <w:sz w:val="18"/>
                <w:szCs w:val="18"/>
                <w:lang w:eastAsia="fr-FR"/>
              </w:rPr>
            </w:pPr>
          </w:p>
        </w:tc>
        <w:tc>
          <w:tcPr>
            <w:tcW w:w="1200" w:type="dxa"/>
            <w:tcBorders>
              <w:top w:val="nil"/>
              <w:left w:val="nil"/>
              <w:bottom w:val="single" w:sz="4" w:space="0" w:color="auto"/>
              <w:right w:val="single" w:sz="4" w:space="0" w:color="auto"/>
            </w:tcBorders>
            <w:shd w:val="clear" w:color="auto" w:fill="auto"/>
            <w:vAlign w:val="center"/>
            <w:hideMark/>
          </w:tcPr>
          <w:p w14:paraId="03415F7A"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80" w:type="dxa"/>
            <w:tcBorders>
              <w:top w:val="nil"/>
              <w:left w:val="nil"/>
              <w:bottom w:val="single" w:sz="4" w:space="0" w:color="auto"/>
              <w:right w:val="single" w:sz="4" w:space="0" w:color="auto"/>
            </w:tcBorders>
            <w:shd w:val="clear" w:color="000000" w:fill="00B050"/>
            <w:vAlign w:val="center"/>
            <w:hideMark/>
          </w:tcPr>
          <w:p w14:paraId="7DF876A0"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 </w:t>
            </w:r>
          </w:p>
        </w:tc>
      </w:tr>
      <w:tr w:rsidR="00F21AEE" w:rsidRPr="00F21AEE" w14:paraId="72B7ADDB" w14:textId="77777777" w:rsidTr="00F21AEE">
        <w:trPr>
          <w:trHeight w:val="720"/>
        </w:trPr>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14:paraId="55C5B7F7"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Conflits sociaux par la présence des mains d’œuvres externes</w:t>
            </w:r>
          </w:p>
        </w:tc>
        <w:tc>
          <w:tcPr>
            <w:tcW w:w="5200" w:type="dxa"/>
            <w:tcBorders>
              <w:top w:val="nil"/>
              <w:left w:val="nil"/>
              <w:bottom w:val="single" w:sz="4" w:space="0" w:color="auto"/>
              <w:right w:val="single" w:sz="4" w:space="0" w:color="auto"/>
            </w:tcBorders>
            <w:shd w:val="clear" w:color="auto" w:fill="auto"/>
            <w:vAlign w:val="center"/>
            <w:hideMark/>
          </w:tcPr>
          <w:p w14:paraId="1D2F67C8"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Affichage des offres d’emploi au niveau Fokontany et Commune concernée. Identification au préalable des sites cultuels ou culturels de la zone du projet</w:t>
            </w:r>
          </w:p>
        </w:tc>
        <w:tc>
          <w:tcPr>
            <w:tcW w:w="1420" w:type="dxa"/>
            <w:tcBorders>
              <w:top w:val="nil"/>
              <w:left w:val="nil"/>
              <w:bottom w:val="single" w:sz="4" w:space="0" w:color="auto"/>
              <w:right w:val="single" w:sz="4" w:space="0" w:color="auto"/>
            </w:tcBorders>
            <w:shd w:val="clear" w:color="auto" w:fill="auto"/>
            <w:vAlign w:val="center"/>
            <w:hideMark/>
          </w:tcPr>
          <w:p w14:paraId="3EAD3075"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1528D950"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5B259F9D"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00" w:type="dxa"/>
            <w:tcBorders>
              <w:top w:val="nil"/>
              <w:left w:val="nil"/>
              <w:bottom w:val="single" w:sz="4" w:space="0" w:color="auto"/>
              <w:right w:val="single" w:sz="4" w:space="0" w:color="auto"/>
            </w:tcBorders>
            <w:shd w:val="clear" w:color="auto" w:fill="auto"/>
            <w:vAlign w:val="center"/>
            <w:hideMark/>
          </w:tcPr>
          <w:p w14:paraId="4D6923CC"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80" w:type="dxa"/>
            <w:tcBorders>
              <w:top w:val="nil"/>
              <w:left w:val="nil"/>
              <w:bottom w:val="single" w:sz="4" w:space="0" w:color="auto"/>
              <w:right w:val="single" w:sz="4" w:space="0" w:color="auto"/>
            </w:tcBorders>
            <w:shd w:val="clear" w:color="000000" w:fill="00B050"/>
            <w:vAlign w:val="center"/>
            <w:hideMark/>
          </w:tcPr>
          <w:p w14:paraId="558F3A2D"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Mineure</w:t>
            </w:r>
          </w:p>
        </w:tc>
      </w:tr>
      <w:tr w:rsidR="00F21AEE" w:rsidRPr="00F21AEE" w14:paraId="2AB208DD" w14:textId="77777777" w:rsidTr="00F21AEE">
        <w:trPr>
          <w:trHeight w:val="480"/>
        </w:trPr>
        <w:tc>
          <w:tcPr>
            <w:tcW w:w="3180" w:type="dxa"/>
            <w:vMerge/>
            <w:tcBorders>
              <w:top w:val="nil"/>
              <w:left w:val="single" w:sz="4" w:space="0" w:color="auto"/>
              <w:bottom w:val="single" w:sz="4" w:space="0" w:color="auto"/>
              <w:right w:val="single" w:sz="4" w:space="0" w:color="auto"/>
            </w:tcBorders>
            <w:vAlign w:val="center"/>
            <w:hideMark/>
          </w:tcPr>
          <w:p w14:paraId="0B959EC7" w14:textId="77777777" w:rsidR="00F21AEE" w:rsidRPr="00AB1E0E" w:rsidRDefault="00F21AEE" w:rsidP="008C024E">
            <w:pPr>
              <w:spacing w:after="0" w:line="240" w:lineRule="auto"/>
              <w:rPr>
                <w:rFonts w:cs="Calibri"/>
                <w:sz w:val="18"/>
                <w:szCs w:val="18"/>
                <w:lang w:eastAsia="fr-FR"/>
              </w:rPr>
            </w:pPr>
          </w:p>
        </w:tc>
        <w:tc>
          <w:tcPr>
            <w:tcW w:w="5200" w:type="dxa"/>
            <w:tcBorders>
              <w:top w:val="nil"/>
              <w:left w:val="nil"/>
              <w:bottom w:val="single" w:sz="4" w:space="0" w:color="auto"/>
              <w:right w:val="single" w:sz="4" w:space="0" w:color="auto"/>
            </w:tcBorders>
            <w:shd w:val="clear" w:color="auto" w:fill="auto"/>
            <w:vAlign w:val="center"/>
            <w:hideMark/>
          </w:tcPr>
          <w:p w14:paraId="05F8E148"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 xml:space="preserve">Information/Sensibilisation des ouvriers. Priorisation du recrutement local </w:t>
            </w:r>
          </w:p>
        </w:tc>
        <w:tc>
          <w:tcPr>
            <w:tcW w:w="1420" w:type="dxa"/>
            <w:tcBorders>
              <w:top w:val="nil"/>
              <w:left w:val="nil"/>
              <w:bottom w:val="single" w:sz="4" w:space="0" w:color="auto"/>
              <w:right w:val="single" w:sz="4" w:space="0" w:color="auto"/>
            </w:tcBorders>
            <w:shd w:val="clear" w:color="auto" w:fill="auto"/>
            <w:vAlign w:val="center"/>
            <w:hideMark/>
          </w:tcPr>
          <w:p w14:paraId="37E74858"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3ECF32DB"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2DDEE210"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00" w:type="dxa"/>
            <w:tcBorders>
              <w:top w:val="nil"/>
              <w:left w:val="nil"/>
              <w:bottom w:val="single" w:sz="4" w:space="0" w:color="auto"/>
              <w:right w:val="single" w:sz="4" w:space="0" w:color="auto"/>
            </w:tcBorders>
            <w:shd w:val="clear" w:color="auto" w:fill="auto"/>
            <w:vAlign w:val="center"/>
            <w:hideMark/>
          </w:tcPr>
          <w:p w14:paraId="5A9345DF"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80" w:type="dxa"/>
            <w:tcBorders>
              <w:top w:val="nil"/>
              <w:left w:val="nil"/>
              <w:bottom w:val="single" w:sz="4" w:space="0" w:color="auto"/>
              <w:right w:val="single" w:sz="4" w:space="0" w:color="auto"/>
            </w:tcBorders>
            <w:shd w:val="clear" w:color="000000" w:fill="00B050"/>
            <w:vAlign w:val="center"/>
            <w:hideMark/>
          </w:tcPr>
          <w:p w14:paraId="5EEC4F7B"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 </w:t>
            </w:r>
          </w:p>
        </w:tc>
      </w:tr>
      <w:tr w:rsidR="00F21AEE" w:rsidRPr="00F21AEE" w14:paraId="1063ABA9" w14:textId="77777777" w:rsidTr="00F21AEE">
        <w:trPr>
          <w:trHeight w:val="300"/>
        </w:trPr>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14:paraId="0B0ABE56"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Perte des biens (terres,…)</w:t>
            </w:r>
          </w:p>
        </w:tc>
        <w:tc>
          <w:tcPr>
            <w:tcW w:w="5200" w:type="dxa"/>
            <w:tcBorders>
              <w:top w:val="nil"/>
              <w:left w:val="nil"/>
              <w:bottom w:val="single" w:sz="4" w:space="0" w:color="auto"/>
              <w:right w:val="single" w:sz="4" w:space="0" w:color="auto"/>
            </w:tcBorders>
            <w:shd w:val="clear" w:color="auto" w:fill="auto"/>
            <w:vAlign w:val="center"/>
            <w:hideMark/>
          </w:tcPr>
          <w:p w14:paraId="363497A0"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Limiter au strict nécessaire l'emprise du projet</w:t>
            </w:r>
          </w:p>
        </w:tc>
        <w:tc>
          <w:tcPr>
            <w:tcW w:w="1420" w:type="dxa"/>
            <w:tcBorders>
              <w:top w:val="nil"/>
              <w:left w:val="nil"/>
              <w:bottom w:val="single" w:sz="4" w:space="0" w:color="auto"/>
              <w:right w:val="single" w:sz="4" w:space="0" w:color="auto"/>
            </w:tcBorders>
            <w:shd w:val="clear" w:color="auto" w:fill="auto"/>
            <w:vAlign w:val="center"/>
            <w:hideMark/>
          </w:tcPr>
          <w:p w14:paraId="1AA99950"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776B50C6"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6B06BD67"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00" w:type="dxa"/>
            <w:tcBorders>
              <w:top w:val="nil"/>
              <w:left w:val="nil"/>
              <w:bottom w:val="single" w:sz="4" w:space="0" w:color="auto"/>
              <w:right w:val="single" w:sz="4" w:space="0" w:color="auto"/>
            </w:tcBorders>
            <w:shd w:val="clear" w:color="auto" w:fill="auto"/>
            <w:vAlign w:val="center"/>
            <w:hideMark/>
          </w:tcPr>
          <w:p w14:paraId="7C9D13D2"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80" w:type="dxa"/>
            <w:vMerge w:val="restart"/>
            <w:tcBorders>
              <w:top w:val="nil"/>
              <w:left w:val="single" w:sz="4" w:space="0" w:color="auto"/>
              <w:bottom w:val="single" w:sz="4" w:space="0" w:color="auto"/>
              <w:right w:val="single" w:sz="4" w:space="0" w:color="auto"/>
            </w:tcBorders>
            <w:shd w:val="clear" w:color="000000" w:fill="00B050"/>
            <w:vAlign w:val="center"/>
            <w:hideMark/>
          </w:tcPr>
          <w:p w14:paraId="310E65C9"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Mineure</w:t>
            </w:r>
          </w:p>
        </w:tc>
      </w:tr>
      <w:tr w:rsidR="00F21AEE" w:rsidRPr="00F21AEE" w14:paraId="4E3BC2EE" w14:textId="77777777" w:rsidTr="00F21AEE">
        <w:trPr>
          <w:trHeight w:val="480"/>
        </w:trPr>
        <w:tc>
          <w:tcPr>
            <w:tcW w:w="3180" w:type="dxa"/>
            <w:vMerge/>
            <w:tcBorders>
              <w:top w:val="nil"/>
              <w:left w:val="single" w:sz="4" w:space="0" w:color="auto"/>
              <w:bottom w:val="single" w:sz="4" w:space="0" w:color="auto"/>
              <w:right w:val="single" w:sz="4" w:space="0" w:color="auto"/>
            </w:tcBorders>
            <w:vAlign w:val="center"/>
            <w:hideMark/>
          </w:tcPr>
          <w:p w14:paraId="5ABD2B7D" w14:textId="77777777" w:rsidR="00F21AEE" w:rsidRPr="00AB1E0E" w:rsidRDefault="00F21AEE" w:rsidP="008C024E">
            <w:pPr>
              <w:spacing w:after="0" w:line="240" w:lineRule="auto"/>
              <w:rPr>
                <w:rFonts w:cs="Calibri"/>
                <w:sz w:val="18"/>
                <w:szCs w:val="18"/>
                <w:lang w:eastAsia="fr-FR"/>
              </w:rPr>
            </w:pPr>
          </w:p>
        </w:tc>
        <w:tc>
          <w:tcPr>
            <w:tcW w:w="5200" w:type="dxa"/>
            <w:tcBorders>
              <w:top w:val="nil"/>
              <w:left w:val="nil"/>
              <w:bottom w:val="single" w:sz="4" w:space="0" w:color="auto"/>
              <w:right w:val="single" w:sz="4" w:space="0" w:color="auto"/>
            </w:tcBorders>
            <w:shd w:val="clear" w:color="auto" w:fill="auto"/>
            <w:vAlign w:val="center"/>
            <w:hideMark/>
          </w:tcPr>
          <w:p w14:paraId="263A43FC"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 xml:space="preserve">Mise en œuvre de système d'indemnisation pour la </w:t>
            </w:r>
            <w:r w:rsidR="00FD078A" w:rsidRPr="00AB1E0E">
              <w:rPr>
                <w:rFonts w:cs="Calibri"/>
                <w:sz w:val="18"/>
                <w:szCs w:val="18"/>
                <w:lang w:eastAsia="fr-FR"/>
              </w:rPr>
              <w:t>c</w:t>
            </w:r>
            <w:r w:rsidRPr="00AB1E0E">
              <w:rPr>
                <w:rFonts w:cs="Calibri"/>
                <w:sz w:val="18"/>
                <w:szCs w:val="18"/>
                <w:lang w:eastAsia="fr-FR"/>
              </w:rPr>
              <w:t>ompensation des biens et des activités des PAP</w:t>
            </w:r>
          </w:p>
        </w:tc>
        <w:tc>
          <w:tcPr>
            <w:tcW w:w="1420" w:type="dxa"/>
            <w:tcBorders>
              <w:top w:val="nil"/>
              <w:left w:val="nil"/>
              <w:bottom w:val="single" w:sz="4" w:space="0" w:color="auto"/>
              <w:right w:val="single" w:sz="4" w:space="0" w:color="auto"/>
            </w:tcBorders>
            <w:shd w:val="clear" w:color="auto" w:fill="auto"/>
            <w:vAlign w:val="center"/>
            <w:hideMark/>
          </w:tcPr>
          <w:p w14:paraId="244EF1C4"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039DB02B"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537C0B6E"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00" w:type="dxa"/>
            <w:tcBorders>
              <w:top w:val="nil"/>
              <w:left w:val="nil"/>
              <w:bottom w:val="single" w:sz="4" w:space="0" w:color="auto"/>
              <w:right w:val="single" w:sz="4" w:space="0" w:color="auto"/>
            </w:tcBorders>
            <w:shd w:val="clear" w:color="auto" w:fill="auto"/>
            <w:vAlign w:val="center"/>
            <w:hideMark/>
          </w:tcPr>
          <w:p w14:paraId="58CF6270"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80" w:type="dxa"/>
            <w:vMerge/>
            <w:tcBorders>
              <w:top w:val="nil"/>
              <w:left w:val="single" w:sz="4" w:space="0" w:color="auto"/>
              <w:bottom w:val="single" w:sz="4" w:space="0" w:color="auto"/>
              <w:right w:val="single" w:sz="4" w:space="0" w:color="auto"/>
            </w:tcBorders>
            <w:vAlign w:val="center"/>
            <w:hideMark/>
          </w:tcPr>
          <w:p w14:paraId="2700369C" w14:textId="77777777" w:rsidR="00F21AEE" w:rsidRPr="00AB1E0E" w:rsidRDefault="00F21AEE" w:rsidP="008C024E">
            <w:pPr>
              <w:spacing w:after="0"/>
              <w:rPr>
                <w:rFonts w:cs="Calibri"/>
                <w:sz w:val="18"/>
                <w:szCs w:val="18"/>
                <w:lang w:eastAsia="fr-FR"/>
              </w:rPr>
            </w:pPr>
          </w:p>
        </w:tc>
      </w:tr>
      <w:tr w:rsidR="00F21AEE" w:rsidRPr="00F21AEE" w14:paraId="427A3A4F" w14:textId="77777777" w:rsidTr="00F21AEE">
        <w:trPr>
          <w:trHeight w:val="48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65B21081"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Nuisances sonores et vibrations pendant le transport</w:t>
            </w:r>
          </w:p>
        </w:tc>
        <w:tc>
          <w:tcPr>
            <w:tcW w:w="5200" w:type="dxa"/>
            <w:tcBorders>
              <w:top w:val="nil"/>
              <w:left w:val="nil"/>
              <w:bottom w:val="single" w:sz="4" w:space="0" w:color="auto"/>
              <w:right w:val="single" w:sz="4" w:space="0" w:color="auto"/>
            </w:tcBorders>
            <w:shd w:val="clear" w:color="auto" w:fill="auto"/>
            <w:vAlign w:val="center"/>
            <w:hideMark/>
          </w:tcPr>
          <w:p w14:paraId="7B302237"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N'effectuer les travaux susceptibles d'émettre du bruit que pendant la journée</w:t>
            </w:r>
          </w:p>
        </w:tc>
        <w:tc>
          <w:tcPr>
            <w:tcW w:w="1420" w:type="dxa"/>
            <w:tcBorders>
              <w:top w:val="nil"/>
              <w:left w:val="nil"/>
              <w:bottom w:val="single" w:sz="4" w:space="0" w:color="auto"/>
              <w:right w:val="single" w:sz="4" w:space="0" w:color="auto"/>
            </w:tcBorders>
            <w:shd w:val="clear" w:color="auto" w:fill="auto"/>
            <w:vAlign w:val="center"/>
            <w:hideMark/>
          </w:tcPr>
          <w:p w14:paraId="009D93C4"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383A7C61"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36C2553B" w14:textId="77777777" w:rsidR="00F21AEE" w:rsidRPr="00AB1E0E" w:rsidRDefault="00F21AEE" w:rsidP="008C024E">
            <w:pPr>
              <w:spacing w:after="0"/>
              <w:jc w:val="center"/>
              <w:rPr>
                <w:rFonts w:cs="Calibri"/>
                <w:sz w:val="18"/>
                <w:szCs w:val="18"/>
                <w:lang w:eastAsia="fr-FR"/>
              </w:rPr>
            </w:pPr>
          </w:p>
        </w:tc>
        <w:tc>
          <w:tcPr>
            <w:tcW w:w="1200" w:type="dxa"/>
            <w:tcBorders>
              <w:top w:val="nil"/>
              <w:left w:val="nil"/>
              <w:bottom w:val="single" w:sz="4" w:space="0" w:color="auto"/>
              <w:right w:val="single" w:sz="4" w:space="0" w:color="auto"/>
            </w:tcBorders>
            <w:shd w:val="clear" w:color="auto" w:fill="auto"/>
            <w:vAlign w:val="center"/>
            <w:hideMark/>
          </w:tcPr>
          <w:p w14:paraId="584C7C05"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80" w:type="dxa"/>
            <w:tcBorders>
              <w:top w:val="nil"/>
              <w:left w:val="nil"/>
              <w:bottom w:val="single" w:sz="4" w:space="0" w:color="auto"/>
              <w:right w:val="single" w:sz="4" w:space="0" w:color="auto"/>
            </w:tcBorders>
            <w:shd w:val="clear" w:color="000000" w:fill="00B050"/>
            <w:vAlign w:val="center"/>
            <w:hideMark/>
          </w:tcPr>
          <w:p w14:paraId="093E9F84"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 Mineure</w:t>
            </w:r>
          </w:p>
        </w:tc>
      </w:tr>
      <w:tr w:rsidR="00F21AEE" w:rsidRPr="00F21AEE" w14:paraId="1A2AC27D" w14:textId="77777777" w:rsidTr="00F21AEE">
        <w:trPr>
          <w:trHeight w:val="480"/>
        </w:trPr>
        <w:tc>
          <w:tcPr>
            <w:tcW w:w="3180" w:type="dxa"/>
            <w:vMerge w:val="restart"/>
            <w:tcBorders>
              <w:top w:val="nil"/>
              <w:left w:val="single" w:sz="4" w:space="0" w:color="auto"/>
              <w:bottom w:val="single" w:sz="4" w:space="0" w:color="000000"/>
              <w:right w:val="single" w:sz="4" w:space="0" w:color="auto"/>
            </w:tcBorders>
            <w:shd w:val="clear" w:color="auto" w:fill="auto"/>
            <w:vAlign w:val="center"/>
            <w:hideMark/>
          </w:tcPr>
          <w:p w14:paraId="661BBABE"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Risque de transmission des maladies transmissibles (MST/VIH SIDA, COVID9)</w:t>
            </w:r>
          </w:p>
        </w:tc>
        <w:tc>
          <w:tcPr>
            <w:tcW w:w="5200" w:type="dxa"/>
            <w:tcBorders>
              <w:top w:val="nil"/>
              <w:left w:val="nil"/>
              <w:bottom w:val="single" w:sz="4" w:space="0" w:color="auto"/>
              <w:right w:val="single" w:sz="4" w:space="0" w:color="auto"/>
            </w:tcBorders>
            <w:shd w:val="clear" w:color="auto" w:fill="auto"/>
            <w:vAlign w:val="center"/>
            <w:hideMark/>
          </w:tcPr>
          <w:p w14:paraId="50D80741"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 xml:space="preserve">Assurer la disponibilité gratuite et régulière de préservatifs pour les mains d’œuvres jusqu’à la fin du chantier </w:t>
            </w:r>
          </w:p>
        </w:tc>
        <w:tc>
          <w:tcPr>
            <w:tcW w:w="1420" w:type="dxa"/>
            <w:tcBorders>
              <w:top w:val="nil"/>
              <w:left w:val="nil"/>
              <w:bottom w:val="single" w:sz="4" w:space="0" w:color="auto"/>
              <w:right w:val="single" w:sz="4" w:space="0" w:color="auto"/>
            </w:tcBorders>
            <w:shd w:val="clear" w:color="auto" w:fill="auto"/>
            <w:vAlign w:val="center"/>
            <w:hideMark/>
          </w:tcPr>
          <w:p w14:paraId="0A9B289A"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7D714334"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7D2C28FC"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00" w:type="dxa"/>
            <w:tcBorders>
              <w:top w:val="nil"/>
              <w:left w:val="nil"/>
              <w:bottom w:val="single" w:sz="4" w:space="0" w:color="auto"/>
              <w:right w:val="single" w:sz="4" w:space="0" w:color="auto"/>
            </w:tcBorders>
            <w:shd w:val="clear" w:color="auto" w:fill="auto"/>
            <w:vAlign w:val="center"/>
            <w:hideMark/>
          </w:tcPr>
          <w:p w14:paraId="222D3892"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80" w:type="dxa"/>
            <w:vMerge w:val="restart"/>
            <w:tcBorders>
              <w:top w:val="nil"/>
              <w:left w:val="single" w:sz="4" w:space="0" w:color="auto"/>
              <w:bottom w:val="single" w:sz="4" w:space="0" w:color="auto"/>
              <w:right w:val="single" w:sz="4" w:space="0" w:color="auto"/>
            </w:tcBorders>
            <w:shd w:val="clear" w:color="000000" w:fill="00B050"/>
            <w:vAlign w:val="center"/>
            <w:hideMark/>
          </w:tcPr>
          <w:p w14:paraId="3BDFF79B"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Mineure</w:t>
            </w:r>
          </w:p>
        </w:tc>
      </w:tr>
      <w:tr w:rsidR="00F21AEE" w:rsidRPr="00F21AEE" w14:paraId="11423EDD" w14:textId="77777777" w:rsidTr="00F21AEE">
        <w:trPr>
          <w:trHeight w:val="720"/>
        </w:trPr>
        <w:tc>
          <w:tcPr>
            <w:tcW w:w="3180" w:type="dxa"/>
            <w:vMerge/>
            <w:tcBorders>
              <w:top w:val="nil"/>
              <w:left w:val="single" w:sz="4" w:space="0" w:color="auto"/>
              <w:bottom w:val="single" w:sz="4" w:space="0" w:color="000000"/>
              <w:right w:val="single" w:sz="4" w:space="0" w:color="auto"/>
            </w:tcBorders>
            <w:vAlign w:val="center"/>
            <w:hideMark/>
          </w:tcPr>
          <w:p w14:paraId="7573EC54" w14:textId="77777777" w:rsidR="00F21AEE" w:rsidRPr="00AB1E0E" w:rsidRDefault="00F21AEE" w:rsidP="008C024E">
            <w:pPr>
              <w:spacing w:after="0" w:line="240" w:lineRule="auto"/>
              <w:rPr>
                <w:rFonts w:cs="Calibri"/>
                <w:sz w:val="18"/>
                <w:szCs w:val="18"/>
                <w:lang w:eastAsia="fr-FR"/>
              </w:rPr>
            </w:pPr>
          </w:p>
        </w:tc>
        <w:tc>
          <w:tcPr>
            <w:tcW w:w="5200" w:type="dxa"/>
            <w:tcBorders>
              <w:top w:val="nil"/>
              <w:left w:val="nil"/>
              <w:bottom w:val="single" w:sz="4" w:space="0" w:color="auto"/>
              <w:right w:val="single" w:sz="4" w:space="0" w:color="auto"/>
            </w:tcBorders>
            <w:shd w:val="clear" w:color="auto" w:fill="auto"/>
            <w:vAlign w:val="center"/>
            <w:hideMark/>
          </w:tcPr>
          <w:p w14:paraId="7B3E582F"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 xml:space="preserve">Information / Sensibilisation du personnel de l’entreprise sur les dangers et risques des IST/SIDA. Information / sensibilisation sur les mœurs locales. </w:t>
            </w:r>
            <w:r w:rsidR="00D017C2">
              <w:rPr>
                <w:rFonts w:cs="Calibri"/>
                <w:sz w:val="18"/>
                <w:szCs w:val="18"/>
                <w:lang w:eastAsia="fr-FR"/>
              </w:rPr>
              <w:t xml:space="preserve"> Sensibilisation sur les mesures barrières gouvernementales de prevention de la COVID-19</w:t>
            </w:r>
            <w:r w:rsidR="00286ACE">
              <w:rPr>
                <w:rFonts w:cs="Calibri"/>
                <w:sz w:val="18"/>
                <w:szCs w:val="18"/>
                <w:lang w:eastAsia="fr-FR"/>
              </w:rPr>
              <w:t xml:space="preserve"> (CF Plan de Gestion COVID 19 en annexe 11)</w:t>
            </w:r>
          </w:p>
        </w:tc>
        <w:tc>
          <w:tcPr>
            <w:tcW w:w="1420" w:type="dxa"/>
            <w:tcBorders>
              <w:top w:val="nil"/>
              <w:left w:val="nil"/>
              <w:bottom w:val="single" w:sz="4" w:space="0" w:color="auto"/>
              <w:right w:val="single" w:sz="4" w:space="0" w:color="auto"/>
            </w:tcBorders>
            <w:shd w:val="clear" w:color="auto" w:fill="auto"/>
            <w:vAlign w:val="center"/>
            <w:hideMark/>
          </w:tcPr>
          <w:p w14:paraId="21CA0514"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5E31896F"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2D7257DE"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00" w:type="dxa"/>
            <w:tcBorders>
              <w:top w:val="nil"/>
              <w:left w:val="nil"/>
              <w:bottom w:val="single" w:sz="4" w:space="0" w:color="auto"/>
              <w:right w:val="single" w:sz="4" w:space="0" w:color="auto"/>
            </w:tcBorders>
            <w:shd w:val="clear" w:color="auto" w:fill="auto"/>
            <w:vAlign w:val="center"/>
            <w:hideMark/>
          </w:tcPr>
          <w:p w14:paraId="16A1B2BF"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80" w:type="dxa"/>
            <w:vMerge/>
            <w:tcBorders>
              <w:top w:val="nil"/>
              <w:left w:val="single" w:sz="4" w:space="0" w:color="auto"/>
              <w:bottom w:val="single" w:sz="4" w:space="0" w:color="auto"/>
              <w:right w:val="single" w:sz="4" w:space="0" w:color="auto"/>
            </w:tcBorders>
            <w:vAlign w:val="center"/>
            <w:hideMark/>
          </w:tcPr>
          <w:p w14:paraId="54530DB8" w14:textId="77777777" w:rsidR="00F21AEE" w:rsidRPr="00AB1E0E" w:rsidRDefault="00F21AEE" w:rsidP="008C024E">
            <w:pPr>
              <w:spacing w:after="0"/>
              <w:rPr>
                <w:rFonts w:cs="Calibri"/>
                <w:sz w:val="18"/>
                <w:szCs w:val="18"/>
                <w:lang w:eastAsia="fr-FR"/>
              </w:rPr>
            </w:pPr>
          </w:p>
        </w:tc>
      </w:tr>
      <w:tr w:rsidR="00F21AEE" w:rsidRPr="00F21AEE" w14:paraId="4ECA5584" w14:textId="77777777" w:rsidTr="00F21AEE">
        <w:trPr>
          <w:trHeight w:val="480"/>
        </w:trPr>
        <w:tc>
          <w:tcPr>
            <w:tcW w:w="3180" w:type="dxa"/>
            <w:vMerge/>
            <w:tcBorders>
              <w:top w:val="nil"/>
              <w:left w:val="single" w:sz="4" w:space="0" w:color="auto"/>
              <w:bottom w:val="single" w:sz="4" w:space="0" w:color="000000"/>
              <w:right w:val="single" w:sz="4" w:space="0" w:color="auto"/>
            </w:tcBorders>
            <w:vAlign w:val="center"/>
            <w:hideMark/>
          </w:tcPr>
          <w:p w14:paraId="357250CB" w14:textId="77777777" w:rsidR="00F21AEE" w:rsidRPr="00AB1E0E" w:rsidRDefault="00F21AEE" w:rsidP="008C024E">
            <w:pPr>
              <w:spacing w:after="0" w:line="240" w:lineRule="auto"/>
              <w:rPr>
                <w:rFonts w:cs="Calibri"/>
                <w:sz w:val="18"/>
                <w:szCs w:val="18"/>
                <w:lang w:eastAsia="fr-FR"/>
              </w:rPr>
            </w:pPr>
          </w:p>
        </w:tc>
        <w:tc>
          <w:tcPr>
            <w:tcW w:w="5200" w:type="dxa"/>
            <w:tcBorders>
              <w:top w:val="nil"/>
              <w:left w:val="nil"/>
              <w:bottom w:val="single" w:sz="4" w:space="0" w:color="auto"/>
              <w:right w:val="single" w:sz="4" w:space="0" w:color="auto"/>
            </w:tcBorders>
            <w:shd w:val="clear" w:color="auto" w:fill="auto"/>
            <w:vAlign w:val="center"/>
            <w:hideMark/>
          </w:tcPr>
          <w:p w14:paraId="7D925189"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Mise à disposition de registre de plainte auprès des autorités locales</w:t>
            </w:r>
          </w:p>
        </w:tc>
        <w:tc>
          <w:tcPr>
            <w:tcW w:w="1420" w:type="dxa"/>
            <w:tcBorders>
              <w:top w:val="nil"/>
              <w:left w:val="nil"/>
              <w:bottom w:val="single" w:sz="4" w:space="0" w:color="auto"/>
              <w:right w:val="single" w:sz="4" w:space="0" w:color="auto"/>
            </w:tcBorders>
            <w:shd w:val="clear" w:color="auto" w:fill="auto"/>
            <w:vAlign w:val="center"/>
            <w:hideMark/>
          </w:tcPr>
          <w:p w14:paraId="714EF425"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7CF9278C"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7D6F2CA7"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00" w:type="dxa"/>
            <w:tcBorders>
              <w:top w:val="nil"/>
              <w:left w:val="nil"/>
              <w:bottom w:val="single" w:sz="4" w:space="0" w:color="auto"/>
              <w:right w:val="single" w:sz="4" w:space="0" w:color="auto"/>
            </w:tcBorders>
            <w:shd w:val="clear" w:color="auto" w:fill="auto"/>
            <w:vAlign w:val="center"/>
            <w:hideMark/>
          </w:tcPr>
          <w:p w14:paraId="2D10FA2E"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80" w:type="dxa"/>
            <w:tcBorders>
              <w:top w:val="nil"/>
              <w:left w:val="nil"/>
              <w:bottom w:val="nil"/>
              <w:right w:val="single" w:sz="4" w:space="0" w:color="auto"/>
            </w:tcBorders>
            <w:shd w:val="clear" w:color="000000" w:fill="00B050"/>
            <w:vAlign w:val="center"/>
            <w:hideMark/>
          </w:tcPr>
          <w:p w14:paraId="7F5A85C2"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 </w:t>
            </w:r>
          </w:p>
        </w:tc>
      </w:tr>
      <w:tr w:rsidR="00F21AEE" w:rsidRPr="00F21AEE" w14:paraId="1919AE27" w14:textId="77777777" w:rsidTr="00F21AEE">
        <w:trPr>
          <w:trHeight w:val="720"/>
        </w:trPr>
        <w:tc>
          <w:tcPr>
            <w:tcW w:w="3180" w:type="dxa"/>
            <w:vMerge w:val="restart"/>
            <w:tcBorders>
              <w:top w:val="nil"/>
              <w:left w:val="single" w:sz="4" w:space="0" w:color="auto"/>
              <w:bottom w:val="single" w:sz="4" w:space="0" w:color="000000"/>
              <w:right w:val="single" w:sz="4" w:space="0" w:color="auto"/>
            </w:tcBorders>
            <w:shd w:val="clear" w:color="auto" w:fill="auto"/>
            <w:vAlign w:val="center"/>
            <w:hideMark/>
          </w:tcPr>
          <w:p w14:paraId="433F947A"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Risque d'augmentation des cas de VBG, EAS/HS et grossesse non désirée</w:t>
            </w:r>
          </w:p>
        </w:tc>
        <w:tc>
          <w:tcPr>
            <w:tcW w:w="5200" w:type="dxa"/>
            <w:tcBorders>
              <w:top w:val="nil"/>
              <w:left w:val="nil"/>
              <w:bottom w:val="single" w:sz="4" w:space="0" w:color="auto"/>
              <w:right w:val="single" w:sz="4" w:space="0" w:color="auto"/>
            </w:tcBorders>
            <w:shd w:val="clear" w:color="auto" w:fill="auto"/>
            <w:vAlign w:val="center"/>
            <w:hideMark/>
          </w:tcPr>
          <w:p w14:paraId="792FD8E5"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 xml:space="preserve">Information / Sensibilisation du personnel de l’entreprise sur les dangers et risques des IST/SIDA. Information / sensibilisation sur les mœurs locales. </w:t>
            </w:r>
          </w:p>
        </w:tc>
        <w:tc>
          <w:tcPr>
            <w:tcW w:w="1420" w:type="dxa"/>
            <w:tcBorders>
              <w:top w:val="nil"/>
              <w:left w:val="nil"/>
              <w:bottom w:val="single" w:sz="4" w:space="0" w:color="auto"/>
              <w:right w:val="single" w:sz="4" w:space="0" w:color="auto"/>
            </w:tcBorders>
            <w:shd w:val="clear" w:color="auto" w:fill="auto"/>
            <w:vAlign w:val="center"/>
            <w:hideMark/>
          </w:tcPr>
          <w:p w14:paraId="3BA0BB75"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2044517F"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77F72E61"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00" w:type="dxa"/>
            <w:tcBorders>
              <w:top w:val="nil"/>
              <w:left w:val="nil"/>
              <w:bottom w:val="single" w:sz="4" w:space="0" w:color="auto"/>
              <w:right w:val="single" w:sz="4" w:space="0" w:color="auto"/>
            </w:tcBorders>
            <w:shd w:val="clear" w:color="auto" w:fill="auto"/>
            <w:vAlign w:val="center"/>
            <w:hideMark/>
          </w:tcPr>
          <w:p w14:paraId="60BB36BF"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80" w:type="dxa"/>
            <w:vMerge w:val="restart"/>
            <w:tcBorders>
              <w:top w:val="single" w:sz="4" w:space="0" w:color="auto"/>
              <w:left w:val="single" w:sz="4" w:space="0" w:color="auto"/>
              <w:bottom w:val="single" w:sz="4" w:space="0" w:color="000000"/>
              <w:right w:val="single" w:sz="4" w:space="0" w:color="auto"/>
            </w:tcBorders>
            <w:shd w:val="clear" w:color="000000" w:fill="00B050"/>
            <w:vAlign w:val="center"/>
            <w:hideMark/>
          </w:tcPr>
          <w:p w14:paraId="093032CE"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Mineure</w:t>
            </w:r>
          </w:p>
        </w:tc>
      </w:tr>
      <w:tr w:rsidR="00F21AEE" w:rsidRPr="00F21AEE" w14:paraId="1FF0AB5B" w14:textId="77777777" w:rsidTr="00F21AEE">
        <w:trPr>
          <w:trHeight w:val="480"/>
        </w:trPr>
        <w:tc>
          <w:tcPr>
            <w:tcW w:w="3180" w:type="dxa"/>
            <w:vMerge/>
            <w:tcBorders>
              <w:top w:val="nil"/>
              <w:left w:val="single" w:sz="4" w:space="0" w:color="auto"/>
              <w:bottom w:val="single" w:sz="4" w:space="0" w:color="000000"/>
              <w:right w:val="single" w:sz="4" w:space="0" w:color="auto"/>
            </w:tcBorders>
            <w:vAlign w:val="center"/>
            <w:hideMark/>
          </w:tcPr>
          <w:p w14:paraId="093AD32E" w14:textId="77777777" w:rsidR="00F21AEE" w:rsidRPr="00AB1E0E" w:rsidRDefault="00F21AEE" w:rsidP="008C024E">
            <w:pPr>
              <w:spacing w:after="0" w:line="240" w:lineRule="auto"/>
              <w:rPr>
                <w:rFonts w:cs="Calibri"/>
                <w:sz w:val="18"/>
                <w:szCs w:val="18"/>
                <w:lang w:eastAsia="fr-FR"/>
              </w:rPr>
            </w:pPr>
          </w:p>
        </w:tc>
        <w:tc>
          <w:tcPr>
            <w:tcW w:w="5200" w:type="dxa"/>
            <w:tcBorders>
              <w:top w:val="nil"/>
              <w:left w:val="nil"/>
              <w:bottom w:val="single" w:sz="4" w:space="0" w:color="auto"/>
              <w:right w:val="single" w:sz="4" w:space="0" w:color="auto"/>
            </w:tcBorders>
            <w:shd w:val="clear" w:color="auto" w:fill="auto"/>
            <w:vAlign w:val="center"/>
            <w:hideMark/>
          </w:tcPr>
          <w:p w14:paraId="30C44A5A"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Mise à disposition de registre de plainte auprès des autorités locales</w:t>
            </w:r>
          </w:p>
        </w:tc>
        <w:tc>
          <w:tcPr>
            <w:tcW w:w="1420" w:type="dxa"/>
            <w:tcBorders>
              <w:top w:val="nil"/>
              <w:left w:val="nil"/>
              <w:bottom w:val="single" w:sz="4" w:space="0" w:color="auto"/>
              <w:right w:val="single" w:sz="4" w:space="0" w:color="auto"/>
            </w:tcBorders>
            <w:shd w:val="clear" w:color="auto" w:fill="auto"/>
            <w:vAlign w:val="center"/>
            <w:hideMark/>
          </w:tcPr>
          <w:p w14:paraId="756532D6"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465C3B45"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5B5AA5E6"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00" w:type="dxa"/>
            <w:tcBorders>
              <w:top w:val="nil"/>
              <w:left w:val="nil"/>
              <w:bottom w:val="single" w:sz="4" w:space="0" w:color="auto"/>
              <w:right w:val="single" w:sz="4" w:space="0" w:color="auto"/>
            </w:tcBorders>
            <w:shd w:val="clear" w:color="auto" w:fill="auto"/>
            <w:vAlign w:val="center"/>
            <w:hideMark/>
          </w:tcPr>
          <w:p w14:paraId="3F9B4E9B"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80" w:type="dxa"/>
            <w:vMerge/>
            <w:tcBorders>
              <w:top w:val="single" w:sz="4" w:space="0" w:color="auto"/>
              <w:left w:val="single" w:sz="4" w:space="0" w:color="auto"/>
              <w:bottom w:val="single" w:sz="4" w:space="0" w:color="000000"/>
              <w:right w:val="single" w:sz="4" w:space="0" w:color="auto"/>
            </w:tcBorders>
            <w:vAlign w:val="center"/>
            <w:hideMark/>
          </w:tcPr>
          <w:p w14:paraId="44237948" w14:textId="77777777" w:rsidR="00F21AEE" w:rsidRPr="00AB1E0E" w:rsidRDefault="00F21AEE" w:rsidP="008C024E">
            <w:pPr>
              <w:spacing w:after="0"/>
              <w:rPr>
                <w:rFonts w:cs="Calibri"/>
                <w:sz w:val="18"/>
                <w:szCs w:val="18"/>
                <w:lang w:eastAsia="fr-FR"/>
              </w:rPr>
            </w:pPr>
          </w:p>
        </w:tc>
      </w:tr>
      <w:tr w:rsidR="00F21AEE" w:rsidRPr="00F21AEE" w14:paraId="78CDAE13" w14:textId="77777777" w:rsidTr="00F21AEE">
        <w:trPr>
          <w:trHeight w:val="300"/>
        </w:trPr>
        <w:tc>
          <w:tcPr>
            <w:tcW w:w="3180" w:type="dxa"/>
            <w:vMerge/>
            <w:tcBorders>
              <w:top w:val="nil"/>
              <w:left w:val="single" w:sz="4" w:space="0" w:color="auto"/>
              <w:bottom w:val="single" w:sz="4" w:space="0" w:color="000000"/>
              <w:right w:val="single" w:sz="4" w:space="0" w:color="auto"/>
            </w:tcBorders>
            <w:vAlign w:val="center"/>
            <w:hideMark/>
          </w:tcPr>
          <w:p w14:paraId="6EEA809F" w14:textId="77777777" w:rsidR="00F21AEE" w:rsidRPr="00AB1E0E" w:rsidRDefault="00F21AEE" w:rsidP="008C024E">
            <w:pPr>
              <w:spacing w:after="0" w:line="240" w:lineRule="auto"/>
              <w:rPr>
                <w:rFonts w:cs="Calibri"/>
                <w:sz w:val="18"/>
                <w:szCs w:val="18"/>
                <w:lang w:eastAsia="fr-FR"/>
              </w:rPr>
            </w:pPr>
          </w:p>
        </w:tc>
        <w:tc>
          <w:tcPr>
            <w:tcW w:w="5200" w:type="dxa"/>
            <w:tcBorders>
              <w:top w:val="nil"/>
              <w:left w:val="nil"/>
              <w:bottom w:val="single" w:sz="4" w:space="0" w:color="auto"/>
              <w:right w:val="single" w:sz="4" w:space="0" w:color="auto"/>
            </w:tcBorders>
            <w:shd w:val="clear" w:color="auto" w:fill="auto"/>
            <w:vAlign w:val="center"/>
            <w:hideMark/>
          </w:tcPr>
          <w:p w14:paraId="3555474D"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Sig</w:t>
            </w:r>
            <w:r w:rsidR="00FD078A" w:rsidRPr="00AB1E0E">
              <w:rPr>
                <w:rFonts w:cs="Calibri"/>
                <w:sz w:val="18"/>
                <w:szCs w:val="18"/>
                <w:lang w:eastAsia="fr-FR"/>
              </w:rPr>
              <w:t>n</w:t>
            </w:r>
            <w:r w:rsidRPr="00AB1E0E">
              <w:rPr>
                <w:rFonts w:cs="Calibri"/>
                <w:sz w:val="18"/>
                <w:szCs w:val="18"/>
                <w:lang w:eastAsia="fr-FR"/>
              </w:rPr>
              <w:t>ature du Code de Conduite</w:t>
            </w:r>
          </w:p>
        </w:tc>
        <w:tc>
          <w:tcPr>
            <w:tcW w:w="1420" w:type="dxa"/>
            <w:tcBorders>
              <w:top w:val="nil"/>
              <w:left w:val="nil"/>
              <w:bottom w:val="single" w:sz="4" w:space="0" w:color="auto"/>
              <w:right w:val="single" w:sz="4" w:space="0" w:color="auto"/>
            </w:tcBorders>
            <w:shd w:val="clear" w:color="auto" w:fill="auto"/>
            <w:vAlign w:val="center"/>
            <w:hideMark/>
          </w:tcPr>
          <w:p w14:paraId="239D3269"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60A3AD06"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0231B8F1"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00" w:type="dxa"/>
            <w:tcBorders>
              <w:top w:val="nil"/>
              <w:left w:val="nil"/>
              <w:bottom w:val="single" w:sz="4" w:space="0" w:color="auto"/>
              <w:right w:val="single" w:sz="4" w:space="0" w:color="auto"/>
            </w:tcBorders>
            <w:shd w:val="clear" w:color="auto" w:fill="auto"/>
            <w:vAlign w:val="center"/>
            <w:hideMark/>
          </w:tcPr>
          <w:p w14:paraId="4890AF65"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80" w:type="dxa"/>
            <w:vMerge/>
            <w:tcBorders>
              <w:top w:val="single" w:sz="4" w:space="0" w:color="auto"/>
              <w:left w:val="single" w:sz="4" w:space="0" w:color="auto"/>
              <w:bottom w:val="single" w:sz="4" w:space="0" w:color="000000"/>
              <w:right w:val="single" w:sz="4" w:space="0" w:color="auto"/>
            </w:tcBorders>
            <w:vAlign w:val="center"/>
            <w:hideMark/>
          </w:tcPr>
          <w:p w14:paraId="71A59839" w14:textId="77777777" w:rsidR="00F21AEE" w:rsidRPr="00AB1E0E" w:rsidRDefault="00F21AEE" w:rsidP="008C024E">
            <w:pPr>
              <w:spacing w:after="0"/>
              <w:rPr>
                <w:rFonts w:cs="Calibri"/>
                <w:sz w:val="18"/>
                <w:szCs w:val="18"/>
                <w:lang w:eastAsia="fr-FR"/>
              </w:rPr>
            </w:pPr>
          </w:p>
        </w:tc>
      </w:tr>
      <w:tr w:rsidR="00F21AEE" w:rsidRPr="00F21AEE" w14:paraId="2BB7A606" w14:textId="77777777" w:rsidTr="00F21AEE">
        <w:trPr>
          <w:trHeight w:val="960"/>
        </w:trPr>
        <w:tc>
          <w:tcPr>
            <w:tcW w:w="3180" w:type="dxa"/>
            <w:vMerge w:val="restart"/>
            <w:tcBorders>
              <w:top w:val="nil"/>
              <w:left w:val="single" w:sz="4" w:space="0" w:color="auto"/>
              <w:bottom w:val="single" w:sz="4" w:space="0" w:color="000000"/>
              <w:right w:val="single" w:sz="4" w:space="0" w:color="auto"/>
            </w:tcBorders>
            <w:shd w:val="clear" w:color="auto" w:fill="auto"/>
            <w:vAlign w:val="center"/>
            <w:hideMark/>
          </w:tcPr>
          <w:p w14:paraId="059C1A59"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Risque d’accident de circulation</w:t>
            </w:r>
          </w:p>
        </w:tc>
        <w:tc>
          <w:tcPr>
            <w:tcW w:w="5200" w:type="dxa"/>
            <w:tcBorders>
              <w:top w:val="nil"/>
              <w:left w:val="nil"/>
              <w:bottom w:val="single" w:sz="4" w:space="0" w:color="auto"/>
              <w:right w:val="single" w:sz="4" w:space="0" w:color="auto"/>
            </w:tcBorders>
            <w:shd w:val="clear" w:color="auto" w:fill="auto"/>
            <w:vAlign w:val="center"/>
            <w:hideMark/>
          </w:tcPr>
          <w:p w14:paraId="50AB7D28"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Formation / sensibilisation sur les risques d'accident liés à chaque poste de travail</w:t>
            </w:r>
            <w:r w:rsidR="00FD078A" w:rsidRPr="00AB1E0E">
              <w:rPr>
                <w:rFonts w:cs="Calibri"/>
                <w:sz w:val="18"/>
                <w:szCs w:val="18"/>
                <w:lang w:eastAsia="fr-FR"/>
              </w:rPr>
              <w:t>.</w:t>
            </w:r>
            <w:r w:rsidRPr="00AB1E0E">
              <w:rPr>
                <w:rFonts w:cs="Calibri"/>
                <w:sz w:val="18"/>
                <w:szCs w:val="18"/>
                <w:lang w:eastAsia="fr-FR"/>
              </w:rPr>
              <w:t xml:space="preserve"> Respect des consignes de conduite des engins. Mise en place de signaux de signalisation adéquats. Port d'EPI adéquat</w:t>
            </w:r>
          </w:p>
        </w:tc>
        <w:tc>
          <w:tcPr>
            <w:tcW w:w="1420" w:type="dxa"/>
            <w:tcBorders>
              <w:top w:val="nil"/>
              <w:left w:val="nil"/>
              <w:bottom w:val="single" w:sz="4" w:space="0" w:color="auto"/>
              <w:right w:val="single" w:sz="4" w:space="0" w:color="auto"/>
            </w:tcBorders>
            <w:shd w:val="clear" w:color="auto" w:fill="auto"/>
            <w:vAlign w:val="center"/>
            <w:hideMark/>
          </w:tcPr>
          <w:p w14:paraId="5DED438B"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7245076E"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5D3B024B"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00" w:type="dxa"/>
            <w:tcBorders>
              <w:top w:val="nil"/>
              <w:left w:val="nil"/>
              <w:bottom w:val="single" w:sz="4" w:space="0" w:color="auto"/>
              <w:right w:val="single" w:sz="4" w:space="0" w:color="auto"/>
            </w:tcBorders>
            <w:shd w:val="clear" w:color="auto" w:fill="auto"/>
            <w:vAlign w:val="center"/>
            <w:hideMark/>
          </w:tcPr>
          <w:p w14:paraId="3BD3D07C"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80" w:type="dxa"/>
            <w:vMerge w:val="restart"/>
            <w:tcBorders>
              <w:top w:val="nil"/>
              <w:left w:val="single" w:sz="4" w:space="0" w:color="auto"/>
              <w:bottom w:val="single" w:sz="4" w:space="0" w:color="000000"/>
              <w:right w:val="single" w:sz="4" w:space="0" w:color="auto"/>
            </w:tcBorders>
            <w:shd w:val="clear" w:color="000000" w:fill="00B050"/>
            <w:vAlign w:val="center"/>
            <w:hideMark/>
          </w:tcPr>
          <w:p w14:paraId="47F20BB3"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Mineure</w:t>
            </w:r>
          </w:p>
        </w:tc>
      </w:tr>
      <w:tr w:rsidR="00F21AEE" w:rsidRPr="00F21AEE" w14:paraId="1B7126D0" w14:textId="77777777" w:rsidTr="00F21AEE">
        <w:trPr>
          <w:trHeight w:val="480"/>
        </w:trPr>
        <w:tc>
          <w:tcPr>
            <w:tcW w:w="3180" w:type="dxa"/>
            <w:vMerge/>
            <w:tcBorders>
              <w:top w:val="nil"/>
              <w:left w:val="single" w:sz="4" w:space="0" w:color="auto"/>
              <w:bottom w:val="single" w:sz="4" w:space="0" w:color="000000"/>
              <w:right w:val="single" w:sz="4" w:space="0" w:color="auto"/>
            </w:tcBorders>
            <w:vAlign w:val="center"/>
            <w:hideMark/>
          </w:tcPr>
          <w:p w14:paraId="3F68FF68" w14:textId="77777777" w:rsidR="00F21AEE" w:rsidRPr="00AB1E0E" w:rsidRDefault="00F21AEE" w:rsidP="008C024E">
            <w:pPr>
              <w:spacing w:after="0" w:line="240" w:lineRule="auto"/>
              <w:rPr>
                <w:rFonts w:cs="Calibri"/>
                <w:sz w:val="18"/>
                <w:szCs w:val="18"/>
                <w:lang w:eastAsia="fr-FR"/>
              </w:rPr>
            </w:pPr>
          </w:p>
        </w:tc>
        <w:tc>
          <w:tcPr>
            <w:tcW w:w="5200" w:type="dxa"/>
            <w:tcBorders>
              <w:top w:val="nil"/>
              <w:left w:val="nil"/>
              <w:bottom w:val="single" w:sz="4" w:space="0" w:color="auto"/>
              <w:right w:val="single" w:sz="4" w:space="0" w:color="auto"/>
            </w:tcBorders>
            <w:shd w:val="clear" w:color="auto" w:fill="auto"/>
            <w:vAlign w:val="center"/>
            <w:hideMark/>
          </w:tcPr>
          <w:p w14:paraId="3A1B20B5"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Elaboration et application d'un Plan de Circulation des Engins</w:t>
            </w:r>
          </w:p>
        </w:tc>
        <w:tc>
          <w:tcPr>
            <w:tcW w:w="1420" w:type="dxa"/>
            <w:tcBorders>
              <w:top w:val="nil"/>
              <w:left w:val="nil"/>
              <w:bottom w:val="single" w:sz="4" w:space="0" w:color="auto"/>
              <w:right w:val="single" w:sz="4" w:space="0" w:color="auto"/>
            </w:tcBorders>
            <w:shd w:val="clear" w:color="auto" w:fill="auto"/>
            <w:vAlign w:val="center"/>
            <w:hideMark/>
          </w:tcPr>
          <w:p w14:paraId="3DC2971F"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6D2C5228"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5858B6D3"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00" w:type="dxa"/>
            <w:tcBorders>
              <w:top w:val="nil"/>
              <w:left w:val="nil"/>
              <w:bottom w:val="single" w:sz="4" w:space="0" w:color="auto"/>
              <w:right w:val="single" w:sz="4" w:space="0" w:color="auto"/>
            </w:tcBorders>
            <w:shd w:val="clear" w:color="auto" w:fill="auto"/>
            <w:vAlign w:val="center"/>
            <w:hideMark/>
          </w:tcPr>
          <w:p w14:paraId="5E6AA4E0"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80" w:type="dxa"/>
            <w:vMerge/>
            <w:tcBorders>
              <w:top w:val="nil"/>
              <w:left w:val="single" w:sz="4" w:space="0" w:color="auto"/>
              <w:bottom w:val="single" w:sz="4" w:space="0" w:color="000000"/>
              <w:right w:val="single" w:sz="4" w:space="0" w:color="auto"/>
            </w:tcBorders>
            <w:vAlign w:val="center"/>
            <w:hideMark/>
          </w:tcPr>
          <w:p w14:paraId="3C44189E" w14:textId="77777777" w:rsidR="00F21AEE" w:rsidRPr="00AB1E0E" w:rsidRDefault="00F21AEE" w:rsidP="008C024E">
            <w:pPr>
              <w:spacing w:after="0"/>
              <w:rPr>
                <w:rFonts w:cs="Calibri"/>
                <w:sz w:val="18"/>
                <w:szCs w:val="18"/>
                <w:lang w:eastAsia="fr-FR"/>
              </w:rPr>
            </w:pPr>
          </w:p>
        </w:tc>
      </w:tr>
      <w:tr w:rsidR="00F21AEE" w:rsidRPr="00F21AEE" w14:paraId="23C90E6F" w14:textId="77777777" w:rsidTr="00F21AEE">
        <w:trPr>
          <w:trHeight w:val="480"/>
        </w:trPr>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14:paraId="5EEAC2FE"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Risque d’accident de travail</w:t>
            </w:r>
          </w:p>
        </w:tc>
        <w:tc>
          <w:tcPr>
            <w:tcW w:w="5200" w:type="dxa"/>
            <w:tcBorders>
              <w:top w:val="nil"/>
              <w:left w:val="nil"/>
              <w:bottom w:val="single" w:sz="4" w:space="0" w:color="auto"/>
              <w:right w:val="single" w:sz="4" w:space="0" w:color="auto"/>
            </w:tcBorders>
            <w:shd w:val="clear" w:color="auto" w:fill="auto"/>
            <w:vAlign w:val="center"/>
            <w:hideMark/>
          </w:tcPr>
          <w:p w14:paraId="6F476469"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Formation / sensibilisation sur les risques d'accident liés à chaque poste de travail</w:t>
            </w:r>
          </w:p>
        </w:tc>
        <w:tc>
          <w:tcPr>
            <w:tcW w:w="1420" w:type="dxa"/>
            <w:tcBorders>
              <w:top w:val="nil"/>
              <w:left w:val="nil"/>
              <w:bottom w:val="single" w:sz="4" w:space="0" w:color="auto"/>
              <w:right w:val="single" w:sz="4" w:space="0" w:color="auto"/>
            </w:tcBorders>
            <w:shd w:val="clear" w:color="auto" w:fill="auto"/>
            <w:vAlign w:val="center"/>
            <w:hideMark/>
          </w:tcPr>
          <w:p w14:paraId="20E3FDB1"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6588385B"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35E6D8B8"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00" w:type="dxa"/>
            <w:tcBorders>
              <w:top w:val="nil"/>
              <w:left w:val="nil"/>
              <w:bottom w:val="single" w:sz="4" w:space="0" w:color="auto"/>
              <w:right w:val="single" w:sz="4" w:space="0" w:color="auto"/>
            </w:tcBorders>
            <w:shd w:val="clear" w:color="auto" w:fill="auto"/>
            <w:vAlign w:val="center"/>
            <w:hideMark/>
          </w:tcPr>
          <w:p w14:paraId="7414E6A1"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80" w:type="dxa"/>
            <w:vMerge w:val="restart"/>
            <w:tcBorders>
              <w:top w:val="nil"/>
              <w:left w:val="single" w:sz="4" w:space="0" w:color="auto"/>
              <w:bottom w:val="single" w:sz="4" w:space="0" w:color="auto"/>
              <w:right w:val="single" w:sz="4" w:space="0" w:color="auto"/>
            </w:tcBorders>
            <w:shd w:val="clear" w:color="000000" w:fill="00B050"/>
            <w:vAlign w:val="center"/>
            <w:hideMark/>
          </w:tcPr>
          <w:p w14:paraId="60E09BE2"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Mineure</w:t>
            </w:r>
          </w:p>
        </w:tc>
      </w:tr>
      <w:tr w:rsidR="00F21AEE" w:rsidRPr="00F21AEE" w14:paraId="72CC80AD" w14:textId="77777777" w:rsidTr="00F21AEE">
        <w:trPr>
          <w:trHeight w:val="300"/>
        </w:trPr>
        <w:tc>
          <w:tcPr>
            <w:tcW w:w="3180" w:type="dxa"/>
            <w:vMerge/>
            <w:tcBorders>
              <w:top w:val="nil"/>
              <w:left w:val="single" w:sz="4" w:space="0" w:color="auto"/>
              <w:bottom w:val="single" w:sz="4" w:space="0" w:color="auto"/>
              <w:right w:val="single" w:sz="4" w:space="0" w:color="auto"/>
            </w:tcBorders>
            <w:vAlign w:val="center"/>
            <w:hideMark/>
          </w:tcPr>
          <w:p w14:paraId="733B904A" w14:textId="77777777" w:rsidR="00F21AEE" w:rsidRPr="00AB1E0E" w:rsidRDefault="00F21AEE" w:rsidP="008C024E">
            <w:pPr>
              <w:spacing w:after="0" w:line="240" w:lineRule="auto"/>
              <w:rPr>
                <w:rFonts w:cs="Calibri"/>
                <w:sz w:val="18"/>
                <w:szCs w:val="18"/>
                <w:lang w:eastAsia="fr-FR"/>
              </w:rPr>
            </w:pPr>
          </w:p>
        </w:tc>
        <w:tc>
          <w:tcPr>
            <w:tcW w:w="5200" w:type="dxa"/>
            <w:tcBorders>
              <w:top w:val="nil"/>
              <w:left w:val="nil"/>
              <w:bottom w:val="single" w:sz="4" w:space="0" w:color="auto"/>
              <w:right w:val="single" w:sz="4" w:space="0" w:color="auto"/>
            </w:tcBorders>
            <w:shd w:val="clear" w:color="auto" w:fill="auto"/>
            <w:vAlign w:val="center"/>
            <w:hideMark/>
          </w:tcPr>
          <w:p w14:paraId="4F1B4A2A"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Port d'EPI adéquat</w:t>
            </w:r>
          </w:p>
        </w:tc>
        <w:tc>
          <w:tcPr>
            <w:tcW w:w="1420" w:type="dxa"/>
            <w:tcBorders>
              <w:top w:val="nil"/>
              <w:left w:val="nil"/>
              <w:bottom w:val="single" w:sz="4" w:space="0" w:color="auto"/>
              <w:right w:val="single" w:sz="4" w:space="0" w:color="auto"/>
            </w:tcBorders>
            <w:shd w:val="clear" w:color="auto" w:fill="auto"/>
            <w:vAlign w:val="center"/>
            <w:hideMark/>
          </w:tcPr>
          <w:p w14:paraId="64F8FAA8"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3EB4F139"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3E96EAA7"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00" w:type="dxa"/>
            <w:tcBorders>
              <w:top w:val="nil"/>
              <w:left w:val="nil"/>
              <w:bottom w:val="single" w:sz="4" w:space="0" w:color="auto"/>
              <w:right w:val="single" w:sz="4" w:space="0" w:color="auto"/>
            </w:tcBorders>
            <w:shd w:val="clear" w:color="auto" w:fill="auto"/>
            <w:vAlign w:val="center"/>
            <w:hideMark/>
          </w:tcPr>
          <w:p w14:paraId="3EB4E56E"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80" w:type="dxa"/>
            <w:vMerge/>
            <w:tcBorders>
              <w:top w:val="nil"/>
              <w:left w:val="single" w:sz="4" w:space="0" w:color="auto"/>
              <w:bottom w:val="single" w:sz="4" w:space="0" w:color="auto"/>
              <w:right w:val="single" w:sz="4" w:space="0" w:color="auto"/>
            </w:tcBorders>
            <w:vAlign w:val="center"/>
            <w:hideMark/>
          </w:tcPr>
          <w:p w14:paraId="3CD281DB" w14:textId="77777777" w:rsidR="00F21AEE" w:rsidRPr="00AB1E0E" w:rsidRDefault="00F21AEE" w:rsidP="008C024E">
            <w:pPr>
              <w:spacing w:after="0"/>
              <w:rPr>
                <w:rFonts w:cs="Calibri"/>
                <w:sz w:val="18"/>
                <w:szCs w:val="18"/>
                <w:lang w:eastAsia="fr-FR"/>
              </w:rPr>
            </w:pPr>
          </w:p>
        </w:tc>
      </w:tr>
      <w:tr w:rsidR="00F21AEE" w:rsidRPr="00F21AEE" w14:paraId="26ECE78D" w14:textId="77777777" w:rsidTr="00F21AEE">
        <w:trPr>
          <w:trHeight w:val="30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2A71700C"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Risque d’incendie et d'explosion</w:t>
            </w:r>
          </w:p>
        </w:tc>
        <w:tc>
          <w:tcPr>
            <w:tcW w:w="5200" w:type="dxa"/>
            <w:tcBorders>
              <w:top w:val="nil"/>
              <w:left w:val="nil"/>
              <w:bottom w:val="single" w:sz="4" w:space="0" w:color="auto"/>
              <w:right w:val="single" w:sz="4" w:space="0" w:color="auto"/>
            </w:tcBorders>
            <w:shd w:val="clear" w:color="auto" w:fill="auto"/>
            <w:vAlign w:val="center"/>
            <w:hideMark/>
          </w:tcPr>
          <w:p w14:paraId="5CE4584C"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Mise en place de dispositifs de lutte contre l'incendie</w:t>
            </w:r>
          </w:p>
        </w:tc>
        <w:tc>
          <w:tcPr>
            <w:tcW w:w="1420" w:type="dxa"/>
            <w:tcBorders>
              <w:top w:val="nil"/>
              <w:left w:val="nil"/>
              <w:bottom w:val="single" w:sz="4" w:space="0" w:color="auto"/>
              <w:right w:val="single" w:sz="4" w:space="0" w:color="auto"/>
            </w:tcBorders>
            <w:shd w:val="clear" w:color="auto" w:fill="auto"/>
            <w:vAlign w:val="center"/>
            <w:hideMark/>
          </w:tcPr>
          <w:p w14:paraId="3F1C3094" w14:textId="77777777" w:rsidR="00F21AEE" w:rsidRPr="00AB1E0E" w:rsidRDefault="00F21AEE" w:rsidP="008C024E">
            <w:pPr>
              <w:spacing w:after="0"/>
              <w:jc w:val="center"/>
              <w:rPr>
                <w:rFonts w:cs="Calibri"/>
                <w:sz w:val="18"/>
                <w:szCs w:val="18"/>
                <w:lang w:eastAsia="fr-FR"/>
              </w:rPr>
            </w:pPr>
          </w:p>
        </w:tc>
        <w:tc>
          <w:tcPr>
            <w:tcW w:w="1060" w:type="dxa"/>
            <w:tcBorders>
              <w:top w:val="nil"/>
              <w:left w:val="nil"/>
              <w:bottom w:val="single" w:sz="4" w:space="0" w:color="auto"/>
              <w:right w:val="single" w:sz="4" w:space="0" w:color="auto"/>
            </w:tcBorders>
            <w:shd w:val="clear" w:color="auto" w:fill="auto"/>
            <w:vAlign w:val="center"/>
            <w:hideMark/>
          </w:tcPr>
          <w:p w14:paraId="378076DB"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565C8846"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00" w:type="dxa"/>
            <w:tcBorders>
              <w:top w:val="nil"/>
              <w:left w:val="nil"/>
              <w:bottom w:val="single" w:sz="4" w:space="0" w:color="auto"/>
              <w:right w:val="single" w:sz="4" w:space="0" w:color="auto"/>
            </w:tcBorders>
            <w:shd w:val="clear" w:color="auto" w:fill="auto"/>
            <w:vAlign w:val="center"/>
            <w:hideMark/>
          </w:tcPr>
          <w:p w14:paraId="36E4C1AB" w14:textId="77777777" w:rsidR="00F21AEE" w:rsidRPr="00AB1E0E" w:rsidRDefault="00F21AEE" w:rsidP="008C024E">
            <w:pPr>
              <w:spacing w:after="0"/>
              <w:jc w:val="center"/>
              <w:rPr>
                <w:rFonts w:cs="Calibri"/>
                <w:sz w:val="18"/>
                <w:szCs w:val="18"/>
                <w:lang w:eastAsia="fr-FR"/>
              </w:rPr>
            </w:pPr>
          </w:p>
        </w:tc>
        <w:tc>
          <w:tcPr>
            <w:tcW w:w="1280" w:type="dxa"/>
            <w:tcBorders>
              <w:top w:val="nil"/>
              <w:left w:val="nil"/>
              <w:bottom w:val="single" w:sz="4" w:space="0" w:color="auto"/>
              <w:right w:val="single" w:sz="4" w:space="0" w:color="auto"/>
            </w:tcBorders>
            <w:shd w:val="clear" w:color="000000" w:fill="00B050"/>
            <w:vAlign w:val="center"/>
            <w:hideMark/>
          </w:tcPr>
          <w:p w14:paraId="00E6879B"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Mineure</w:t>
            </w:r>
          </w:p>
        </w:tc>
      </w:tr>
      <w:tr w:rsidR="00F21AEE" w:rsidRPr="00F21AEE" w14:paraId="51443057" w14:textId="77777777" w:rsidTr="00F21AEE">
        <w:trPr>
          <w:trHeight w:val="300"/>
        </w:trPr>
        <w:tc>
          <w:tcPr>
            <w:tcW w:w="14860" w:type="dxa"/>
            <w:gridSpan w:val="7"/>
            <w:tcBorders>
              <w:top w:val="single" w:sz="4" w:space="0" w:color="auto"/>
              <w:left w:val="single" w:sz="4" w:space="0" w:color="auto"/>
              <w:bottom w:val="single" w:sz="4" w:space="0" w:color="auto"/>
              <w:right w:val="single" w:sz="4" w:space="0" w:color="000000"/>
            </w:tcBorders>
            <w:shd w:val="clear" w:color="000000" w:fill="00B0F0"/>
            <w:vAlign w:val="center"/>
            <w:hideMark/>
          </w:tcPr>
          <w:p w14:paraId="697BE66F" w14:textId="77777777" w:rsidR="00F21AEE" w:rsidRPr="00AB1E0E" w:rsidRDefault="00F21AEE" w:rsidP="008C024E">
            <w:pPr>
              <w:spacing w:before="240"/>
              <w:jc w:val="center"/>
              <w:rPr>
                <w:rFonts w:cs="Calibri"/>
                <w:b/>
                <w:bCs/>
                <w:sz w:val="18"/>
                <w:szCs w:val="18"/>
                <w:lang w:eastAsia="fr-FR"/>
              </w:rPr>
            </w:pPr>
            <w:r w:rsidRPr="00AB1E0E">
              <w:rPr>
                <w:rFonts w:cs="Calibri"/>
                <w:b/>
                <w:bCs/>
                <w:sz w:val="18"/>
                <w:szCs w:val="18"/>
                <w:lang w:eastAsia="fr-FR"/>
              </w:rPr>
              <w:t>Repli de chantier</w:t>
            </w:r>
          </w:p>
        </w:tc>
      </w:tr>
      <w:tr w:rsidR="00F21AEE" w:rsidRPr="00F21AEE" w14:paraId="76BA197E" w14:textId="77777777" w:rsidTr="00F21AEE">
        <w:trPr>
          <w:trHeight w:val="300"/>
        </w:trPr>
        <w:tc>
          <w:tcPr>
            <w:tcW w:w="3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FF4D13"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Risques d'accidents de circulation</w:t>
            </w:r>
          </w:p>
        </w:tc>
        <w:tc>
          <w:tcPr>
            <w:tcW w:w="5200" w:type="dxa"/>
            <w:tcBorders>
              <w:top w:val="nil"/>
              <w:left w:val="nil"/>
              <w:bottom w:val="single" w:sz="4" w:space="0" w:color="auto"/>
              <w:right w:val="single" w:sz="4" w:space="0" w:color="auto"/>
            </w:tcBorders>
            <w:shd w:val="clear" w:color="auto" w:fill="auto"/>
            <w:vAlign w:val="center"/>
            <w:hideMark/>
          </w:tcPr>
          <w:p w14:paraId="403CB914"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Mise en place d'un plan de circulation</w:t>
            </w:r>
          </w:p>
        </w:tc>
        <w:tc>
          <w:tcPr>
            <w:tcW w:w="1420" w:type="dxa"/>
            <w:tcBorders>
              <w:top w:val="nil"/>
              <w:left w:val="nil"/>
              <w:bottom w:val="single" w:sz="4" w:space="0" w:color="auto"/>
              <w:right w:val="single" w:sz="4" w:space="0" w:color="auto"/>
            </w:tcBorders>
            <w:shd w:val="clear" w:color="auto" w:fill="auto"/>
            <w:vAlign w:val="center"/>
            <w:hideMark/>
          </w:tcPr>
          <w:p w14:paraId="749512AC"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15FA4B98"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3E32CA7B"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00" w:type="dxa"/>
            <w:tcBorders>
              <w:top w:val="nil"/>
              <w:left w:val="nil"/>
              <w:bottom w:val="single" w:sz="4" w:space="0" w:color="auto"/>
              <w:right w:val="single" w:sz="4" w:space="0" w:color="auto"/>
            </w:tcBorders>
            <w:shd w:val="clear" w:color="auto" w:fill="auto"/>
            <w:vAlign w:val="center"/>
            <w:hideMark/>
          </w:tcPr>
          <w:p w14:paraId="3D8E965E"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80" w:type="dxa"/>
            <w:vMerge w:val="restart"/>
            <w:tcBorders>
              <w:top w:val="nil"/>
              <w:left w:val="single" w:sz="4" w:space="0" w:color="auto"/>
              <w:bottom w:val="single" w:sz="4" w:space="0" w:color="auto"/>
              <w:right w:val="single" w:sz="4" w:space="0" w:color="auto"/>
            </w:tcBorders>
            <w:shd w:val="clear" w:color="000000" w:fill="00B050"/>
            <w:vAlign w:val="center"/>
            <w:hideMark/>
          </w:tcPr>
          <w:p w14:paraId="222B6B24"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Mineure</w:t>
            </w:r>
          </w:p>
        </w:tc>
      </w:tr>
      <w:tr w:rsidR="00F21AEE" w:rsidRPr="00F21AEE" w14:paraId="6C42A63D" w14:textId="77777777" w:rsidTr="00F21AEE">
        <w:trPr>
          <w:trHeight w:val="300"/>
        </w:trPr>
        <w:tc>
          <w:tcPr>
            <w:tcW w:w="3180" w:type="dxa"/>
            <w:vMerge/>
            <w:tcBorders>
              <w:top w:val="nil"/>
              <w:left w:val="single" w:sz="4" w:space="0" w:color="auto"/>
              <w:bottom w:val="single" w:sz="4" w:space="0" w:color="auto"/>
              <w:right w:val="single" w:sz="4" w:space="0" w:color="auto"/>
            </w:tcBorders>
            <w:vAlign w:val="center"/>
            <w:hideMark/>
          </w:tcPr>
          <w:p w14:paraId="5C70F9AC" w14:textId="77777777" w:rsidR="00F21AEE" w:rsidRPr="00AB1E0E" w:rsidRDefault="00F21AEE" w:rsidP="008C024E">
            <w:pPr>
              <w:spacing w:after="0" w:line="240" w:lineRule="auto"/>
              <w:rPr>
                <w:rFonts w:cs="Calibri"/>
                <w:sz w:val="18"/>
                <w:szCs w:val="18"/>
                <w:lang w:eastAsia="fr-FR"/>
              </w:rPr>
            </w:pPr>
          </w:p>
        </w:tc>
        <w:tc>
          <w:tcPr>
            <w:tcW w:w="5200" w:type="dxa"/>
            <w:tcBorders>
              <w:top w:val="nil"/>
              <w:left w:val="nil"/>
              <w:bottom w:val="single" w:sz="4" w:space="0" w:color="auto"/>
              <w:right w:val="single" w:sz="4" w:space="0" w:color="auto"/>
            </w:tcBorders>
            <w:shd w:val="clear" w:color="auto" w:fill="auto"/>
            <w:vAlign w:val="center"/>
            <w:hideMark/>
          </w:tcPr>
          <w:p w14:paraId="752721E9"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Respect des dispositifs mis en place. Signalisation</w:t>
            </w:r>
          </w:p>
        </w:tc>
        <w:tc>
          <w:tcPr>
            <w:tcW w:w="1420" w:type="dxa"/>
            <w:tcBorders>
              <w:top w:val="nil"/>
              <w:left w:val="nil"/>
              <w:bottom w:val="single" w:sz="4" w:space="0" w:color="auto"/>
              <w:right w:val="single" w:sz="4" w:space="0" w:color="auto"/>
            </w:tcBorders>
            <w:shd w:val="clear" w:color="auto" w:fill="auto"/>
            <w:vAlign w:val="center"/>
            <w:hideMark/>
          </w:tcPr>
          <w:p w14:paraId="794CCD18"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12650FD4"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4A1CE01A"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00" w:type="dxa"/>
            <w:tcBorders>
              <w:top w:val="nil"/>
              <w:left w:val="nil"/>
              <w:bottom w:val="single" w:sz="4" w:space="0" w:color="auto"/>
              <w:right w:val="single" w:sz="4" w:space="0" w:color="auto"/>
            </w:tcBorders>
            <w:shd w:val="clear" w:color="auto" w:fill="auto"/>
            <w:vAlign w:val="center"/>
            <w:hideMark/>
          </w:tcPr>
          <w:p w14:paraId="50CE261A"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80" w:type="dxa"/>
            <w:vMerge/>
            <w:tcBorders>
              <w:top w:val="nil"/>
              <w:left w:val="single" w:sz="4" w:space="0" w:color="auto"/>
              <w:bottom w:val="single" w:sz="4" w:space="0" w:color="auto"/>
              <w:right w:val="single" w:sz="4" w:space="0" w:color="auto"/>
            </w:tcBorders>
            <w:vAlign w:val="center"/>
            <w:hideMark/>
          </w:tcPr>
          <w:p w14:paraId="0F98996D" w14:textId="77777777" w:rsidR="00F21AEE" w:rsidRPr="00AB1E0E" w:rsidRDefault="00F21AEE" w:rsidP="008C024E">
            <w:pPr>
              <w:spacing w:after="0"/>
              <w:rPr>
                <w:rFonts w:cs="Calibri"/>
                <w:sz w:val="18"/>
                <w:szCs w:val="18"/>
                <w:lang w:eastAsia="fr-FR"/>
              </w:rPr>
            </w:pPr>
          </w:p>
        </w:tc>
      </w:tr>
      <w:tr w:rsidR="00F21AEE" w:rsidRPr="00F21AEE" w14:paraId="47FEC6F3" w14:textId="77777777" w:rsidTr="00F21AEE">
        <w:trPr>
          <w:trHeight w:val="300"/>
        </w:trPr>
        <w:tc>
          <w:tcPr>
            <w:tcW w:w="14860" w:type="dxa"/>
            <w:gridSpan w:val="7"/>
            <w:tcBorders>
              <w:top w:val="single" w:sz="4" w:space="0" w:color="auto"/>
              <w:left w:val="single" w:sz="4" w:space="0" w:color="auto"/>
              <w:bottom w:val="single" w:sz="4" w:space="0" w:color="auto"/>
              <w:right w:val="single" w:sz="4" w:space="0" w:color="000000"/>
            </w:tcBorders>
            <w:shd w:val="clear" w:color="000000" w:fill="00B0F0"/>
            <w:vAlign w:val="center"/>
            <w:hideMark/>
          </w:tcPr>
          <w:p w14:paraId="53F0627A" w14:textId="77777777" w:rsidR="00F21AEE" w:rsidRPr="00AB1E0E" w:rsidRDefault="00F21AEE" w:rsidP="008C024E">
            <w:pPr>
              <w:spacing w:before="240"/>
              <w:jc w:val="center"/>
              <w:rPr>
                <w:rFonts w:cs="Calibri"/>
                <w:b/>
                <w:bCs/>
                <w:sz w:val="18"/>
                <w:szCs w:val="18"/>
                <w:lang w:eastAsia="fr-FR"/>
              </w:rPr>
            </w:pPr>
            <w:r w:rsidRPr="00AB1E0E">
              <w:rPr>
                <w:rFonts w:cs="Calibri"/>
                <w:b/>
                <w:bCs/>
                <w:sz w:val="18"/>
                <w:szCs w:val="18"/>
                <w:lang w:eastAsia="fr-FR"/>
              </w:rPr>
              <w:t>Phase d'exploitation</w:t>
            </w:r>
          </w:p>
        </w:tc>
      </w:tr>
      <w:tr w:rsidR="00F21AEE" w:rsidRPr="00F21AEE" w14:paraId="3983F519" w14:textId="77777777" w:rsidTr="00F21AEE">
        <w:trPr>
          <w:trHeight w:val="72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14232FF2"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 xml:space="preserve">Risque d'épuisement de la ressource en eau à cause des besoins pour le lavage des </w:t>
            </w:r>
            <w:r w:rsidR="00D017C2">
              <w:rPr>
                <w:rFonts w:cs="Calibri"/>
                <w:sz w:val="18"/>
                <w:szCs w:val="18"/>
                <w:lang w:eastAsia="fr-FR"/>
              </w:rPr>
              <w:t xml:space="preserve">panneaux </w:t>
            </w:r>
            <w:r w:rsidRPr="00AB1E0E">
              <w:rPr>
                <w:rFonts w:cs="Calibri"/>
                <w:sz w:val="18"/>
                <w:szCs w:val="18"/>
                <w:lang w:eastAsia="fr-FR"/>
              </w:rPr>
              <w:t>PV</w:t>
            </w:r>
          </w:p>
        </w:tc>
        <w:tc>
          <w:tcPr>
            <w:tcW w:w="5200" w:type="dxa"/>
            <w:tcBorders>
              <w:top w:val="nil"/>
              <w:left w:val="nil"/>
              <w:bottom w:val="single" w:sz="4" w:space="0" w:color="auto"/>
              <w:right w:val="single" w:sz="4" w:space="0" w:color="auto"/>
            </w:tcBorders>
            <w:shd w:val="clear" w:color="auto" w:fill="auto"/>
            <w:vAlign w:val="center"/>
            <w:hideMark/>
          </w:tcPr>
          <w:p w14:paraId="24F31E53"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Mise en place de système de récupération et de traitement des eaux usée pour réutilisation</w:t>
            </w:r>
          </w:p>
        </w:tc>
        <w:tc>
          <w:tcPr>
            <w:tcW w:w="1420" w:type="dxa"/>
            <w:tcBorders>
              <w:top w:val="nil"/>
              <w:left w:val="nil"/>
              <w:bottom w:val="single" w:sz="4" w:space="0" w:color="auto"/>
              <w:right w:val="single" w:sz="4" w:space="0" w:color="auto"/>
            </w:tcBorders>
            <w:shd w:val="clear" w:color="auto" w:fill="auto"/>
            <w:vAlign w:val="center"/>
            <w:hideMark/>
          </w:tcPr>
          <w:p w14:paraId="1DDF0D9A" w14:textId="77777777" w:rsidR="00F21AEE" w:rsidRPr="00AB1E0E" w:rsidRDefault="00F21AEE" w:rsidP="008C024E">
            <w:pPr>
              <w:spacing w:after="0"/>
              <w:jc w:val="center"/>
              <w:rPr>
                <w:rFonts w:cs="Calibri"/>
                <w:sz w:val="18"/>
                <w:szCs w:val="18"/>
                <w:lang w:eastAsia="fr-FR"/>
              </w:rPr>
            </w:pPr>
          </w:p>
        </w:tc>
        <w:tc>
          <w:tcPr>
            <w:tcW w:w="1060" w:type="dxa"/>
            <w:tcBorders>
              <w:top w:val="nil"/>
              <w:left w:val="nil"/>
              <w:bottom w:val="single" w:sz="4" w:space="0" w:color="auto"/>
              <w:right w:val="single" w:sz="4" w:space="0" w:color="auto"/>
            </w:tcBorders>
            <w:shd w:val="clear" w:color="auto" w:fill="auto"/>
            <w:vAlign w:val="center"/>
            <w:hideMark/>
          </w:tcPr>
          <w:p w14:paraId="1119904F"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1CC1E57E" w14:textId="77777777" w:rsidR="00F21AEE" w:rsidRPr="00AB1E0E" w:rsidRDefault="00F21AEE" w:rsidP="008C024E">
            <w:pPr>
              <w:spacing w:after="0"/>
              <w:jc w:val="center"/>
              <w:rPr>
                <w:rFonts w:cs="Calibri"/>
                <w:sz w:val="18"/>
                <w:szCs w:val="18"/>
                <w:lang w:eastAsia="fr-FR"/>
              </w:rPr>
            </w:pPr>
          </w:p>
        </w:tc>
        <w:tc>
          <w:tcPr>
            <w:tcW w:w="1200" w:type="dxa"/>
            <w:tcBorders>
              <w:top w:val="nil"/>
              <w:left w:val="nil"/>
              <w:bottom w:val="single" w:sz="4" w:space="0" w:color="auto"/>
              <w:right w:val="single" w:sz="4" w:space="0" w:color="auto"/>
            </w:tcBorders>
            <w:shd w:val="clear" w:color="auto" w:fill="auto"/>
            <w:vAlign w:val="center"/>
            <w:hideMark/>
          </w:tcPr>
          <w:p w14:paraId="558DCE7E" w14:textId="77777777" w:rsidR="00F21AEE" w:rsidRPr="00AB1E0E" w:rsidRDefault="00F21AEE" w:rsidP="008C024E">
            <w:pPr>
              <w:spacing w:after="0"/>
              <w:jc w:val="center"/>
              <w:rPr>
                <w:rFonts w:cs="Calibri"/>
                <w:sz w:val="18"/>
                <w:szCs w:val="18"/>
                <w:lang w:eastAsia="fr-FR"/>
              </w:rPr>
            </w:pPr>
          </w:p>
        </w:tc>
        <w:tc>
          <w:tcPr>
            <w:tcW w:w="1280" w:type="dxa"/>
            <w:tcBorders>
              <w:top w:val="nil"/>
              <w:left w:val="nil"/>
              <w:bottom w:val="single" w:sz="4" w:space="0" w:color="auto"/>
              <w:right w:val="single" w:sz="4" w:space="0" w:color="auto"/>
            </w:tcBorders>
            <w:shd w:val="clear" w:color="000000" w:fill="00B050"/>
            <w:vAlign w:val="center"/>
            <w:hideMark/>
          </w:tcPr>
          <w:p w14:paraId="3C3788B2"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Mineure</w:t>
            </w:r>
          </w:p>
        </w:tc>
      </w:tr>
      <w:tr w:rsidR="00F21AEE" w:rsidRPr="00F21AEE" w14:paraId="550899C3" w14:textId="77777777" w:rsidTr="00F21AEE">
        <w:trPr>
          <w:trHeight w:val="48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165E9128"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Modification du paysage</w:t>
            </w:r>
          </w:p>
        </w:tc>
        <w:tc>
          <w:tcPr>
            <w:tcW w:w="5200" w:type="dxa"/>
            <w:tcBorders>
              <w:top w:val="nil"/>
              <w:left w:val="nil"/>
              <w:bottom w:val="single" w:sz="4" w:space="0" w:color="auto"/>
              <w:right w:val="single" w:sz="4" w:space="0" w:color="auto"/>
            </w:tcBorders>
            <w:shd w:val="clear" w:color="auto" w:fill="auto"/>
            <w:vAlign w:val="center"/>
            <w:hideMark/>
          </w:tcPr>
          <w:p w14:paraId="44F3738A"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 xml:space="preserve">Prendre en compte l'esthétique du paysage pendant la conception du plan des </w:t>
            </w:r>
            <w:r w:rsidR="00713368" w:rsidRPr="00AB1E0E">
              <w:rPr>
                <w:rFonts w:cs="Calibri"/>
                <w:sz w:val="18"/>
                <w:szCs w:val="18"/>
                <w:lang w:eastAsia="fr-FR"/>
              </w:rPr>
              <w:t>infrastructures</w:t>
            </w:r>
            <w:r w:rsidRPr="00AB1E0E">
              <w:rPr>
                <w:rFonts w:cs="Calibri"/>
                <w:sz w:val="18"/>
                <w:szCs w:val="18"/>
                <w:lang w:eastAsia="fr-FR"/>
              </w:rPr>
              <w:t xml:space="preserve"> à mettre en place</w:t>
            </w:r>
          </w:p>
        </w:tc>
        <w:tc>
          <w:tcPr>
            <w:tcW w:w="1420" w:type="dxa"/>
            <w:tcBorders>
              <w:top w:val="nil"/>
              <w:left w:val="nil"/>
              <w:bottom w:val="single" w:sz="4" w:space="0" w:color="auto"/>
              <w:right w:val="single" w:sz="4" w:space="0" w:color="auto"/>
            </w:tcBorders>
            <w:shd w:val="clear" w:color="auto" w:fill="auto"/>
            <w:vAlign w:val="center"/>
            <w:hideMark/>
          </w:tcPr>
          <w:p w14:paraId="4AA43DF6"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19E9F57D"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3F7B7E33"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00" w:type="dxa"/>
            <w:tcBorders>
              <w:top w:val="nil"/>
              <w:left w:val="nil"/>
              <w:bottom w:val="single" w:sz="4" w:space="0" w:color="auto"/>
              <w:right w:val="single" w:sz="4" w:space="0" w:color="auto"/>
            </w:tcBorders>
            <w:shd w:val="clear" w:color="auto" w:fill="auto"/>
            <w:vAlign w:val="center"/>
            <w:hideMark/>
          </w:tcPr>
          <w:p w14:paraId="7FA5306F"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80" w:type="dxa"/>
            <w:tcBorders>
              <w:top w:val="nil"/>
              <w:left w:val="nil"/>
              <w:bottom w:val="single" w:sz="4" w:space="0" w:color="auto"/>
              <w:right w:val="single" w:sz="4" w:space="0" w:color="auto"/>
            </w:tcBorders>
            <w:shd w:val="clear" w:color="000000" w:fill="00B050"/>
            <w:vAlign w:val="center"/>
            <w:hideMark/>
          </w:tcPr>
          <w:p w14:paraId="7F3FFE38"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 </w:t>
            </w:r>
          </w:p>
        </w:tc>
      </w:tr>
      <w:tr w:rsidR="00F21AEE" w:rsidRPr="00F21AEE" w14:paraId="690A5224" w14:textId="77777777" w:rsidTr="00F21AEE">
        <w:trPr>
          <w:trHeight w:val="96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45FFAB93"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Création de champs électromagnétique (CEM) pouvant perturber la faune locale</w:t>
            </w:r>
          </w:p>
        </w:tc>
        <w:tc>
          <w:tcPr>
            <w:tcW w:w="5200" w:type="dxa"/>
            <w:tcBorders>
              <w:top w:val="nil"/>
              <w:left w:val="nil"/>
              <w:bottom w:val="single" w:sz="4" w:space="0" w:color="auto"/>
              <w:right w:val="single" w:sz="4" w:space="0" w:color="auto"/>
            </w:tcBorders>
            <w:shd w:val="clear" w:color="auto" w:fill="auto"/>
            <w:vAlign w:val="center"/>
            <w:hideMark/>
          </w:tcPr>
          <w:p w14:paraId="7C660928"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 xml:space="preserve">Mise en place des sites d'installation des parcs </w:t>
            </w:r>
            <w:r w:rsidR="00D017C2">
              <w:rPr>
                <w:rFonts w:cs="Calibri"/>
                <w:sz w:val="18"/>
                <w:szCs w:val="18"/>
                <w:lang w:eastAsia="fr-FR"/>
              </w:rPr>
              <w:t xml:space="preserve">solaires </w:t>
            </w:r>
            <w:r w:rsidRPr="00AB1E0E">
              <w:rPr>
                <w:rFonts w:cs="Calibri"/>
                <w:sz w:val="18"/>
                <w:szCs w:val="18"/>
                <w:lang w:eastAsia="fr-FR"/>
              </w:rPr>
              <w:t>PV, Tours cellulaires</w:t>
            </w:r>
            <w:r w:rsidR="00C66FE1" w:rsidRPr="00AB1E0E">
              <w:rPr>
                <w:rFonts w:cs="Calibri"/>
                <w:sz w:val="18"/>
                <w:szCs w:val="18"/>
                <w:lang w:eastAsia="fr-FR"/>
              </w:rPr>
              <w:t xml:space="preserve"> s</w:t>
            </w:r>
            <w:r w:rsidRPr="00AB1E0E">
              <w:rPr>
                <w:rFonts w:cs="Calibri"/>
                <w:sz w:val="18"/>
                <w:szCs w:val="18"/>
                <w:lang w:eastAsia="fr-FR"/>
              </w:rPr>
              <w:t>ur des sites éloignés des Aires Protégées et autres sites de haute potentialité en matière de biodiversité</w:t>
            </w:r>
          </w:p>
        </w:tc>
        <w:tc>
          <w:tcPr>
            <w:tcW w:w="1420" w:type="dxa"/>
            <w:tcBorders>
              <w:top w:val="nil"/>
              <w:left w:val="nil"/>
              <w:bottom w:val="single" w:sz="4" w:space="0" w:color="auto"/>
              <w:right w:val="single" w:sz="4" w:space="0" w:color="auto"/>
            </w:tcBorders>
            <w:shd w:val="clear" w:color="auto" w:fill="auto"/>
            <w:vAlign w:val="center"/>
            <w:hideMark/>
          </w:tcPr>
          <w:p w14:paraId="717A2CCE"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7715BC9D" w14:textId="77777777" w:rsidR="00F21AEE" w:rsidRPr="00AB1E0E" w:rsidRDefault="00F21AEE" w:rsidP="008C024E">
            <w:pPr>
              <w:spacing w:after="0"/>
              <w:jc w:val="center"/>
              <w:rPr>
                <w:rFonts w:cs="Calibri"/>
                <w:sz w:val="18"/>
                <w:szCs w:val="18"/>
                <w:lang w:eastAsia="fr-FR"/>
              </w:rPr>
            </w:pPr>
          </w:p>
        </w:tc>
        <w:tc>
          <w:tcPr>
            <w:tcW w:w="1520" w:type="dxa"/>
            <w:tcBorders>
              <w:top w:val="nil"/>
              <w:left w:val="nil"/>
              <w:bottom w:val="single" w:sz="4" w:space="0" w:color="auto"/>
              <w:right w:val="single" w:sz="4" w:space="0" w:color="auto"/>
            </w:tcBorders>
            <w:shd w:val="clear" w:color="auto" w:fill="auto"/>
            <w:vAlign w:val="center"/>
            <w:hideMark/>
          </w:tcPr>
          <w:p w14:paraId="17F1D4E3" w14:textId="77777777" w:rsidR="00F21AEE" w:rsidRPr="00AB1E0E" w:rsidRDefault="00F21AEE" w:rsidP="008C024E">
            <w:pPr>
              <w:spacing w:after="0"/>
              <w:jc w:val="center"/>
              <w:rPr>
                <w:rFonts w:cs="Calibri"/>
                <w:sz w:val="18"/>
                <w:szCs w:val="18"/>
                <w:lang w:eastAsia="fr-FR"/>
              </w:rPr>
            </w:pPr>
          </w:p>
        </w:tc>
        <w:tc>
          <w:tcPr>
            <w:tcW w:w="1200" w:type="dxa"/>
            <w:tcBorders>
              <w:top w:val="nil"/>
              <w:left w:val="nil"/>
              <w:bottom w:val="single" w:sz="4" w:space="0" w:color="auto"/>
              <w:right w:val="single" w:sz="4" w:space="0" w:color="auto"/>
            </w:tcBorders>
            <w:shd w:val="clear" w:color="auto" w:fill="auto"/>
            <w:vAlign w:val="center"/>
            <w:hideMark/>
          </w:tcPr>
          <w:p w14:paraId="3380DA10" w14:textId="77777777" w:rsidR="00F21AEE" w:rsidRPr="00AB1E0E" w:rsidRDefault="00F21AEE" w:rsidP="008C024E">
            <w:pPr>
              <w:spacing w:after="0"/>
              <w:jc w:val="center"/>
              <w:rPr>
                <w:rFonts w:cs="Calibri"/>
                <w:sz w:val="18"/>
                <w:szCs w:val="18"/>
                <w:lang w:eastAsia="fr-FR"/>
              </w:rPr>
            </w:pPr>
          </w:p>
        </w:tc>
        <w:tc>
          <w:tcPr>
            <w:tcW w:w="1280" w:type="dxa"/>
            <w:tcBorders>
              <w:top w:val="nil"/>
              <w:left w:val="nil"/>
              <w:bottom w:val="single" w:sz="4" w:space="0" w:color="auto"/>
              <w:right w:val="single" w:sz="4" w:space="0" w:color="auto"/>
            </w:tcBorders>
            <w:shd w:val="clear" w:color="000000" w:fill="00B050"/>
            <w:vAlign w:val="center"/>
            <w:hideMark/>
          </w:tcPr>
          <w:p w14:paraId="713A6A3B"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Mineure</w:t>
            </w:r>
          </w:p>
        </w:tc>
      </w:tr>
      <w:tr w:rsidR="00F21AEE" w:rsidRPr="00F21AEE" w14:paraId="6D406C98" w14:textId="77777777" w:rsidTr="00F21AEE">
        <w:trPr>
          <w:trHeight w:val="72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4BFE20E5"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Accumulation des déchets solides incluant les déchets d’équipement électrique et électronique (DEEE)</w:t>
            </w:r>
          </w:p>
        </w:tc>
        <w:tc>
          <w:tcPr>
            <w:tcW w:w="5200" w:type="dxa"/>
            <w:tcBorders>
              <w:top w:val="nil"/>
              <w:left w:val="nil"/>
              <w:bottom w:val="single" w:sz="4" w:space="0" w:color="auto"/>
              <w:right w:val="single" w:sz="4" w:space="0" w:color="auto"/>
            </w:tcBorders>
            <w:shd w:val="clear" w:color="auto" w:fill="auto"/>
            <w:vAlign w:val="center"/>
            <w:hideMark/>
          </w:tcPr>
          <w:p w14:paraId="6F40C7A8"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Mise en place un Plan de Gestion des Déchets Solides (PGDS) avec des dispositifs spéciaux. Favoriser le recyclage des DEEE</w:t>
            </w:r>
          </w:p>
        </w:tc>
        <w:tc>
          <w:tcPr>
            <w:tcW w:w="1420" w:type="dxa"/>
            <w:tcBorders>
              <w:top w:val="nil"/>
              <w:left w:val="nil"/>
              <w:bottom w:val="single" w:sz="4" w:space="0" w:color="auto"/>
              <w:right w:val="single" w:sz="4" w:space="0" w:color="auto"/>
            </w:tcBorders>
            <w:shd w:val="clear" w:color="auto" w:fill="auto"/>
            <w:vAlign w:val="center"/>
            <w:hideMark/>
          </w:tcPr>
          <w:p w14:paraId="23386966"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46304126"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44403981" w14:textId="77777777" w:rsidR="00F21AEE" w:rsidRPr="00AB1E0E" w:rsidRDefault="00F21AEE" w:rsidP="008C024E">
            <w:pPr>
              <w:spacing w:after="0"/>
              <w:jc w:val="center"/>
              <w:rPr>
                <w:rFonts w:cs="Calibri"/>
                <w:sz w:val="18"/>
                <w:szCs w:val="18"/>
                <w:lang w:eastAsia="fr-FR"/>
              </w:rPr>
            </w:pPr>
          </w:p>
        </w:tc>
        <w:tc>
          <w:tcPr>
            <w:tcW w:w="1200" w:type="dxa"/>
            <w:tcBorders>
              <w:top w:val="nil"/>
              <w:left w:val="nil"/>
              <w:bottom w:val="single" w:sz="4" w:space="0" w:color="auto"/>
              <w:right w:val="single" w:sz="4" w:space="0" w:color="auto"/>
            </w:tcBorders>
            <w:shd w:val="clear" w:color="auto" w:fill="auto"/>
            <w:vAlign w:val="center"/>
            <w:hideMark/>
          </w:tcPr>
          <w:p w14:paraId="6EEAD683" w14:textId="77777777" w:rsidR="00F21AEE" w:rsidRPr="00AB1E0E" w:rsidRDefault="00F21AEE" w:rsidP="008C024E">
            <w:pPr>
              <w:spacing w:after="0"/>
              <w:jc w:val="center"/>
              <w:rPr>
                <w:rFonts w:cs="Calibri"/>
                <w:sz w:val="18"/>
                <w:szCs w:val="18"/>
                <w:lang w:eastAsia="fr-FR"/>
              </w:rPr>
            </w:pPr>
          </w:p>
        </w:tc>
        <w:tc>
          <w:tcPr>
            <w:tcW w:w="1280" w:type="dxa"/>
            <w:tcBorders>
              <w:top w:val="nil"/>
              <w:left w:val="nil"/>
              <w:bottom w:val="single" w:sz="4" w:space="0" w:color="auto"/>
              <w:right w:val="single" w:sz="4" w:space="0" w:color="auto"/>
            </w:tcBorders>
            <w:shd w:val="clear" w:color="000000" w:fill="00B050"/>
            <w:vAlign w:val="center"/>
            <w:hideMark/>
          </w:tcPr>
          <w:p w14:paraId="423458D3"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Mineure</w:t>
            </w:r>
          </w:p>
        </w:tc>
      </w:tr>
      <w:tr w:rsidR="00F21AEE" w:rsidRPr="00F21AEE" w14:paraId="6394A67D" w14:textId="77777777" w:rsidTr="00F21AEE">
        <w:trPr>
          <w:trHeight w:val="48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5B92EA2B"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Risque de conflit lié à l'utilisation de l'eau</w:t>
            </w:r>
          </w:p>
        </w:tc>
        <w:tc>
          <w:tcPr>
            <w:tcW w:w="5200" w:type="dxa"/>
            <w:tcBorders>
              <w:top w:val="nil"/>
              <w:left w:val="nil"/>
              <w:bottom w:val="single" w:sz="4" w:space="0" w:color="auto"/>
              <w:right w:val="single" w:sz="4" w:space="0" w:color="auto"/>
            </w:tcBorders>
            <w:shd w:val="clear" w:color="auto" w:fill="auto"/>
            <w:vAlign w:val="center"/>
            <w:hideMark/>
          </w:tcPr>
          <w:p w14:paraId="2E2E63A4"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Information sensibilisation sur la bonne gestion des ressources en eau</w:t>
            </w:r>
          </w:p>
        </w:tc>
        <w:tc>
          <w:tcPr>
            <w:tcW w:w="1420" w:type="dxa"/>
            <w:tcBorders>
              <w:top w:val="nil"/>
              <w:left w:val="nil"/>
              <w:bottom w:val="single" w:sz="4" w:space="0" w:color="auto"/>
              <w:right w:val="single" w:sz="4" w:space="0" w:color="auto"/>
            </w:tcBorders>
            <w:shd w:val="clear" w:color="auto" w:fill="auto"/>
            <w:vAlign w:val="center"/>
            <w:hideMark/>
          </w:tcPr>
          <w:p w14:paraId="44B15342" w14:textId="77777777" w:rsidR="00F21AEE" w:rsidRPr="00AB1E0E" w:rsidRDefault="00F21AEE" w:rsidP="008C024E">
            <w:pPr>
              <w:spacing w:after="0"/>
              <w:jc w:val="center"/>
              <w:rPr>
                <w:rFonts w:cs="Calibri"/>
                <w:sz w:val="18"/>
                <w:szCs w:val="18"/>
                <w:lang w:eastAsia="fr-FR"/>
              </w:rPr>
            </w:pPr>
          </w:p>
        </w:tc>
        <w:tc>
          <w:tcPr>
            <w:tcW w:w="1060" w:type="dxa"/>
            <w:tcBorders>
              <w:top w:val="nil"/>
              <w:left w:val="nil"/>
              <w:bottom w:val="single" w:sz="4" w:space="0" w:color="auto"/>
              <w:right w:val="single" w:sz="4" w:space="0" w:color="auto"/>
            </w:tcBorders>
            <w:shd w:val="clear" w:color="auto" w:fill="auto"/>
            <w:vAlign w:val="center"/>
            <w:hideMark/>
          </w:tcPr>
          <w:p w14:paraId="61D3EC28"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1A17AAED" w14:textId="77777777" w:rsidR="00F21AEE" w:rsidRPr="00AB1E0E" w:rsidRDefault="00F21AEE" w:rsidP="008C024E">
            <w:pPr>
              <w:spacing w:after="0"/>
              <w:jc w:val="center"/>
              <w:rPr>
                <w:rFonts w:cs="Calibri"/>
                <w:sz w:val="18"/>
                <w:szCs w:val="18"/>
                <w:lang w:eastAsia="fr-FR"/>
              </w:rPr>
            </w:pPr>
          </w:p>
        </w:tc>
        <w:tc>
          <w:tcPr>
            <w:tcW w:w="1200" w:type="dxa"/>
            <w:tcBorders>
              <w:top w:val="nil"/>
              <w:left w:val="nil"/>
              <w:bottom w:val="single" w:sz="4" w:space="0" w:color="auto"/>
              <w:right w:val="single" w:sz="4" w:space="0" w:color="auto"/>
            </w:tcBorders>
            <w:shd w:val="clear" w:color="auto" w:fill="auto"/>
            <w:vAlign w:val="center"/>
            <w:hideMark/>
          </w:tcPr>
          <w:p w14:paraId="19050B42" w14:textId="77777777" w:rsidR="00F21AEE" w:rsidRPr="00AB1E0E" w:rsidRDefault="00F21AEE" w:rsidP="008C024E">
            <w:pPr>
              <w:spacing w:after="0"/>
              <w:jc w:val="center"/>
              <w:rPr>
                <w:rFonts w:cs="Calibri"/>
                <w:sz w:val="18"/>
                <w:szCs w:val="18"/>
                <w:lang w:eastAsia="fr-FR"/>
              </w:rPr>
            </w:pPr>
          </w:p>
        </w:tc>
        <w:tc>
          <w:tcPr>
            <w:tcW w:w="1280" w:type="dxa"/>
            <w:tcBorders>
              <w:top w:val="nil"/>
              <w:left w:val="nil"/>
              <w:bottom w:val="single" w:sz="4" w:space="0" w:color="auto"/>
              <w:right w:val="single" w:sz="4" w:space="0" w:color="auto"/>
            </w:tcBorders>
            <w:shd w:val="clear" w:color="000000" w:fill="00B050"/>
            <w:vAlign w:val="center"/>
            <w:hideMark/>
          </w:tcPr>
          <w:p w14:paraId="718DAF8D"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Mineure</w:t>
            </w:r>
          </w:p>
        </w:tc>
      </w:tr>
      <w:tr w:rsidR="00F21AEE" w:rsidRPr="00F21AEE" w14:paraId="6E727685" w14:textId="77777777" w:rsidTr="00F21AEE">
        <w:trPr>
          <w:trHeight w:val="480"/>
        </w:trPr>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14:paraId="58C3E366"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Risque de bouleversement des mœurs</w:t>
            </w:r>
          </w:p>
        </w:tc>
        <w:tc>
          <w:tcPr>
            <w:tcW w:w="5200" w:type="dxa"/>
            <w:tcBorders>
              <w:top w:val="nil"/>
              <w:left w:val="nil"/>
              <w:bottom w:val="single" w:sz="4" w:space="0" w:color="auto"/>
              <w:right w:val="single" w:sz="4" w:space="0" w:color="auto"/>
            </w:tcBorders>
            <w:shd w:val="clear" w:color="auto" w:fill="auto"/>
            <w:vAlign w:val="center"/>
            <w:hideMark/>
          </w:tcPr>
          <w:p w14:paraId="6DF79FA9"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 xml:space="preserve">Information / sensibilisation sur l'utilisation des TIC et les risques qu’elle présente. </w:t>
            </w:r>
          </w:p>
        </w:tc>
        <w:tc>
          <w:tcPr>
            <w:tcW w:w="1420" w:type="dxa"/>
            <w:tcBorders>
              <w:top w:val="nil"/>
              <w:left w:val="nil"/>
              <w:bottom w:val="single" w:sz="4" w:space="0" w:color="auto"/>
              <w:right w:val="single" w:sz="4" w:space="0" w:color="auto"/>
            </w:tcBorders>
            <w:shd w:val="clear" w:color="auto" w:fill="auto"/>
            <w:vAlign w:val="center"/>
            <w:hideMark/>
          </w:tcPr>
          <w:p w14:paraId="4FB50DE8"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6FE34C54" w14:textId="77777777" w:rsidR="00F21AEE" w:rsidRPr="00AB1E0E" w:rsidRDefault="00F21AEE" w:rsidP="008C024E">
            <w:pPr>
              <w:spacing w:after="0"/>
              <w:jc w:val="center"/>
              <w:rPr>
                <w:rFonts w:cs="Calibri"/>
                <w:sz w:val="18"/>
                <w:szCs w:val="18"/>
                <w:lang w:eastAsia="fr-FR"/>
              </w:rPr>
            </w:pPr>
          </w:p>
        </w:tc>
        <w:tc>
          <w:tcPr>
            <w:tcW w:w="1520" w:type="dxa"/>
            <w:tcBorders>
              <w:top w:val="nil"/>
              <w:left w:val="nil"/>
              <w:bottom w:val="single" w:sz="4" w:space="0" w:color="auto"/>
              <w:right w:val="single" w:sz="4" w:space="0" w:color="auto"/>
            </w:tcBorders>
            <w:shd w:val="clear" w:color="auto" w:fill="auto"/>
            <w:vAlign w:val="center"/>
            <w:hideMark/>
          </w:tcPr>
          <w:p w14:paraId="7DF4248E" w14:textId="77777777" w:rsidR="00F21AEE" w:rsidRPr="00AB1E0E" w:rsidRDefault="00F21AEE" w:rsidP="008C024E">
            <w:pPr>
              <w:spacing w:after="0"/>
              <w:jc w:val="center"/>
              <w:rPr>
                <w:rFonts w:cs="Calibri"/>
                <w:sz w:val="18"/>
                <w:szCs w:val="18"/>
                <w:lang w:eastAsia="fr-FR"/>
              </w:rPr>
            </w:pPr>
          </w:p>
        </w:tc>
        <w:tc>
          <w:tcPr>
            <w:tcW w:w="1200" w:type="dxa"/>
            <w:tcBorders>
              <w:top w:val="nil"/>
              <w:left w:val="nil"/>
              <w:bottom w:val="single" w:sz="4" w:space="0" w:color="auto"/>
              <w:right w:val="single" w:sz="4" w:space="0" w:color="auto"/>
            </w:tcBorders>
            <w:shd w:val="clear" w:color="auto" w:fill="auto"/>
            <w:vAlign w:val="center"/>
            <w:hideMark/>
          </w:tcPr>
          <w:p w14:paraId="1A2B471C" w14:textId="77777777" w:rsidR="00F21AEE" w:rsidRPr="00AB1E0E" w:rsidRDefault="00F21AEE" w:rsidP="008C024E">
            <w:pPr>
              <w:spacing w:after="0"/>
              <w:jc w:val="center"/>
              <w:rPr>
                <w:rFonts w:cs="Calibri"/>
                <w:sz w:val="18"/>
                <w:szCs w:val="18"/>
                <w:lang w:eastAsia="fr-FR"/>
              </w:rPr>
            </w:pPr>
          </w:p>
        </w:tc>
        <w:tc>
          <w:tcPr>
            <w:tcW w:w="1280" w:type="dxa"/>
            <w:vMerge w:val="restart"/>
            <w:tcBorders>
              <w:top w:val="nil"/>
              <w:left w:val="single" w:sz="4" w:space="0" w:color="auto"/>
              <w:bottom w:val="single" w:sz="4" w:space="0" w:color="auto"/>
              <w:right w:val="single" w:sz="4" w:space="0" w:color="auto"/>
            </w:tcBorders>
            <w:shd w:val="clear" w:color="000000" w:fill="00B050"/>
            <w:vAlign w:val="center"/>
            <w:hideMark/>
          </w:tcPr>
          <w:p w14:paraId="0953C9D4"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Mineure</w:t>
            </w:r>
          </w:p>
        </w:tc>
      </w:tr>
      <w:tr w:rsidR="00F21AEE" w:rsidRPr="00F21AEE" w14:paraId="021145A1" w14:textId="77777777" w:rsidTr="00F21AEE">
        <w:trPr>
          <w:trHeight w:val="480"/>
        </w:trPr>
        <w:tc>
          <w:tcPr>
            <w:tcW w:w="3180" w:type="dxa"/>
            <w:vMerge/>
            <w:tcBorders>
              <w:top w:val="nil"/>
              <w:left w:val="single" w:sz="4" w:space="0" w:color="auto"/>
              <w:bottom w:val="single" w:sz="4" w:space="0" w:color="auto"/>
              <w:right w:val="single" w:sz="4" w:space="0" w:color="auto"/>
            </w:tcBorders>
            <w:vAlign w:val="center"/>
            <w:hideMark/>
          </w:tcPr>
          <w:p w14:paraId="3839C879" w14:textId="77777777" w:rsidR="00F21AEE" w:rsidRPr="00AB1E0E" w:rsidRDefault="00F21AEE" w:rsidP="008C024E">
            <w:pPr>
              <w:spacing w:after="0" w:line="240" w:lineRule="auto"/>
              <w:rPr>
                <w:rFonts w:cs="Calibri"/>
                <w:sz w:val="18"/>
                <w:szCs w:val="18"/>
                <w:lang w:eastAsia="fr-FR"/>
              </w:rPr>
            </w:pPr>
          </w:p>
        </w:tc>
        <w:tc>
          <w:tcPr>
            <w:tcW w:w="5200" w:type="dxa"/>
            <w:tcBorders>
              <w:top w:val="nil"/>
              <w:left w:val="nil"/>
              <w:bottom w:val="single" w:sz="4" w:space="0" w:color="auto"/>
              <w:right w:val="single" w:sz="4" w:space="0" w:color="auto"/>
            </w:tcBorders>
            <w:shd w:val="clear" w:color="auto" w:fill="auto"/>
            <w:vAlign w:val="center"/>
            <w:hideMark/>
          </w:tcPr>
          <w:p w14:paraId="1BCCA30D"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 xml:space="preserve">Formation des autorités en charge de la sécurité nationale sur l'utilisation des TIC. </w:t>
            </w:r>
          </w:p>
        </w:tc>
        <w:tc>
          <w:tcPr>
            <w:tcW w:w="1420" w:type="dxa"/>
            <w:tcBorders>
              <w:top w:val="nil"/>
              <w:left w:val="nil"/>
              <w:bottom w:val="single" w:sz="4" w:space="0" w:color="auto"/>
              <w:right w:val="single" w:sz="4" w:space="0" w:color="auto"/>
            </w:tcBorders>
            <w:shd w:val="clear" w:color="auto" w:fill="auto"/>
            <w:vAlign w:val="center"/>
            <w:hideMark/>
          </w:tcPr>
          <w:p w14:paraId="1497DC14"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20E2A124" w14:textId="77777777" w:rsidR="00F21AEE" w:rsidRPr="00AB1E0E" w:rsidRDefault="00F21AEE" w:rsidP="008C024E">
            <w:pPr>
              <w:spacing w:after="0"/>
              <w:jc w:val="center"/>
              <w:rPr>
                <w:rFonts w:cs="Calibri"/>
                <w:sz w:val="18"/>
                <w:szCs w:val="18"/>
                <w:lang w:eastAsia="fr-FR"/>
              </w:rPr>
            </w:pPr>
          </w:p>
        </w:tc>
        <w:tc>
          <w:tcPr>
            <w:tcW w:w="1520" w:type="dxa"/>
            <w:tcBorders>
              <w:top w:val="nil"/>
              <w:left w:val="nil"/>
              <w:bottom w:val="single" w:sz="4" w:space="0" w:color="auto"/>
              <w:right w:val="single" w:sz="4" w:space="0" w:color="auto"/>
            </w:tcBorders>
            <w:shd w:val="clear" w:color="auto" w:fill="auto"/>
            <w:vAlign w:val="center"/>
            <w:hideMark/>
          </w:tcPr>
          <w:p w14:paraId="314CAC8F" w14:textId="77777777" w:rsidR="00F21AEE" w:rsidRPr="00AB1E0E" w:rsidRDefault="00F21AEE" w:rsidP="008C024E">
            <w:pPr>
              <w:spacing w:after="0"/>
              <w:jc w:val="center"/>
              <w:rPr>
                <w:rFonts w:cs="Calibri"/>
                <w:sz w:val="18"/>
                <w:szCs w:val="18"/>
                <w:lang w:eastAsia="fr-FR"/>
              </w:rPr>
            </w:pPr>
          </w:p>
        </w:tc>
        <w:tc>
          <w:tcPr>
            <w:tcW w:w="1200" w:type="dxa"/>
            <w:tcBorders>
              <w:top w:val="nil"/>
              <w:left w:val="nil"/>
              <w:bottom w:val="single" w:sz="4" w:space="0" w:color="auto"/>
              <w:right w:val="single" w:sz="4" w:space="0" w:color="auto"/>
            </w:tcBorders>
            <w:shd w:val="clear" w:color="auto" w:fill="auto"/>
            <w:vAlign w:val="center"/>
            <w:hideMark/>
          </w:tcPr>
          <w:p w14:paraId="6584B28E" w14:textId="77777777" w:rsidR="00F21AEE" w:rsidRPr="00AB1E0E" w:rsidRDefault="00F21AEE" w:rsidP="008C024E">
            <w:pPr>
              <w:spacing w:after="0"/>
              <w:jc w:val="center"/>
              <w:rPr>
                <w:rFonts w:cs="Calibri"/>
                <w:sz w:val="18"/>
                <w:szCs w:val="18"/>
                <w:lang w:eastAsia="fr-FR"/>
              </w:rPr>
            </w:pPr>
          </w:p>
        </w:tc>
        <w:tc>
          <w:tcPr>
            <w:tcW w:w="1280" w:type="dxa"/>
            <w:vMerge/>
            <w:tcBorders>
              <w:top w:val="nil"/>
              <w:left w:val="single" w:sz="4" w:space="0" w:color="auto"/>
              <w:bottom w:val="single" w:sz="4" w:space="0" w:color="auto"/>
              <w:right w:val="single" w:sz="4" w:space="0" w:color="auto"/>
            </w:tcBorders>
            <w:vAlign w:val="center"/>
            <w:hideMark/>
          </w:tcPr>
          <w:p w14:paraId="2EC2CBCD" w14:textId="77777777" w:rsidR="00F21AEE" w:rsidRPr="00AB1E0E" w:rsidRDefault="00F21AEE" w:rsidP="008C024E">
            <w:pPr>
              <w:spacing w:after="0"/>
              <w:rPr>
                <w:rFonts w:cs="Calibri"/>
                <w:sz w:val="18"/>
                <w:szCs w:val="18"/>
                <w:lang w:eastAsia="fr-FR"/>
              </w:rPr>
            </w:pPr>
          </w:p>
        </w:tc>
      </w:tr>
      <w:tr w:rsidR="00F21AEE" w:rsidRPr="00F21AEE" w14:paraId="46609B8E" w14:textId="77777777" w:rsidTr="00F21AEE">
        <w:trPr>
          <w:trHeight w:val="480"/>
        </w:trPr>
        <w:tc>
          <w:tcPr>
            <w:tcW w:w="3180" w:type="dxa"/>
            <w:vMerge/>
            <w:tcBorders>
              <w:top w:val="nil"/>
              <w:left w:val="single" w:sz="4" w:space="0" w:color="auto"/>
              <w:bottom w:val="single" w:sz="4" w:space="0" w:color="auto"/>
              <w:right w:val="single" w:sz="4" w:space="0" w:color="auto"/>
            </w:tcBorders>
            <w:vAlign w:val="center"/>
            <w:hideMark/>
          </w:tcPr>
          <w:p w14:paraId="6BA8CFE8" w14:textId="77777777" w:rsidR="00F21AEE" w:rsidRPr="00AB1E0E" w:rsidRDefault="00F21AEE" w:rsidP="008C024E">
            <w:pPr>
              <w:spacing w:after="0" w:line="240" w:lineRule="auto"/>
              <w:rPr>
                <w:rFonts w:cs="Calibri"/>
                <w:sz w:val="18"/>
                <w:szCs w:val="18"/>
                <w:lang w:eastAsia="fr-FR"/>
              </w:rPr>
            </w:pPr>
          </w:p>
        </w:tc>
        <w:tc>
          <w:tcPr>
            <w:tcW w:w="5200" w:type="dxa"/>
            <w:tcBorders>
              <w:top w:val="nil"/>
              <w:left w:val="nil"/>
              <w:bottom w:val="single" w:sz="4" w:space="0" w:color="auto"/>
              <w:right w:val="single" w:sz="4" w:space="0" w:color="auto"/>
            </w:tcBorders>
            <w:shd w:val="clear" w:color="auto" w:fill="auto"/>
            <w:vAlign w:val="center"/>
            <w:hideMark/>
          </w:tcPr>
          <w:p w14:paraId="463CEDBF"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Formation et sensibilisation de la population sur l'importance du respect mutuel</w:t>
            </w:r>
          </w:p>
        </w:tc>
        <w:tc>
          <w:tcPr>
            <w:tcW w:w="1420" w:type="dxa"/>
            <w:tcBorders>
              <w:top w:val="nil"/>
              <w:left w:val="nil"/>
              <w:bottom w:val="single" w:sz="4" w:space="0" w:color="auto"/>
              <w:right w:val="single" w:sz="4" w:space="0" w:color="auto"/>
            </w:tcBorders>
            <w:shd w:val="clear" w:color="auto" w:fill="auto"/>
            <w:vAlign w:val="center"/>
            <w:hideMark/>
          </w:tcPr>
          <w:p w14:paraId="2A798989"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139E1BBF" w14:textId="77777777" w:rsidR="00F21AEE" w:rsidRPr="00AB1E0E" w:rsidRDefault="00F21AEE" w:rsidP="008C024E">
            <w:pPr>
              <w:spacing w:after="0"/>
              <w:jc w:val="center"/>
              <w:rPr>
                <w:rFonts w:cs="Calibri"/>
                <w:sz w:val="18"/>
                <w:szCs w:val="18"/>
                <w:lang w:eastAsia="fr-FR"/>
              </w:rPr>
            </w:pPr>
          </w:p>
        </w:tc>
        <w:tc>
          <w:tcPr>
            <w:tcW w:w="1520" w:type="dxa"/>
            <w:tcBorders>
              <w:top w:val="nil"/>
              <w:left w:val="nil"/>
              <w:bottom w:val="single" w:sz="4" w:space="0" w:color="auto"/>
              <w:right w:val="single" w:sz="4" w:space="0" w:color="auto"/>
            </w:tcBorders>
            <w:shd w:val="clear" w:color="auto" w:fill="auto"/>
            <w:vAlign w:val="center"/>
            <w:hideMark/>
          </w:tcPr>
          <w:p w14:paraId="339B3319" w14:textId="77777777" w:rsidR="00F21AEE" w:rsidRPr="00AB1E0E" w:rsidRDefault="00F21AEE" w:rsidP="008C024E">
            <w:pPr>
              <w:spacing w:after="0"/>
              <w:jc w:val="center"/>
              <w:rPr>
                <w:rFonts w:cs="Calibri"/>
                <w:sz w:val="18"/>
                <w:szCs w:val="18"/>
                <w:lang w:eastAsia="fr-FR"/>
              </w:rPr>
            </w:pPr>
          </w:p>
        </w:tc>
        <w:tc>
          <w:tcPr>
            <w:tcW w:w="1200" w:type="dxa"/>
            <w:tcBorders>
              <w:top w:val="nil"/>
              <w:left w:val="nil"/>
              <w:bottom w:val="single" w:sz="4" w:space="0" w:color="auto"/>
              <w:right w:val="single" w:sz="4" w:space="0" w:color="auto"/>
            </w:tcBorders>
            <w:shd w:val="clear" w:color="auto" w:fill="auto"/>
            <w:vAlign w:val="center"/>
            <w:hideMark/>
          </w:tcPr>
          <w:p w14:paraId="64040F36" w14:textId="77777777" w:rsidR="00F21AEE" w:rsidRPr="00AB1E0E" w:rsidRDefault="00F21AEE" w:rsidP="008C024E">
            <w:pPr>
              <w:spacing w:after="0"/>
              <w:jc w:val="center"/>
              <w:rPr>
                <w:rFonts w:cs="Calibri"/>
                <w:sz w:val="18"/>
                <w:szCs w:val="18"/>
                <w:lang w:eastAsia="fr-FR"/>
              </w:rPr>
            </w:pPr>
          </w:p>
        </w:tc>
        <w:tc>
          <w:tcPr>
            <w:tcW w:w="1280" w:type="dxa"/>
            <w:vMerge/>
            <w:tcBorders>
              <w:top w:val="nil"/>
              <w:left w:val="single" w:sz="4" w:space="0" w:color="auto"/>
              <w:bottom w:val="single" w:sz="4" w:space="0" w:color="auto"/>
              <w:right w:val="single" w:sz="4" w:space="0" w:color="auto"/>
            </w:tcBorders>
            <w:vAlign w:val="center"/>
            <w:hideMark/>
          </w:tcPr>
          <w:p w14:paraId="0AC86F40" w14:textId="77777777" w:rsidR="00F21AEE" w:rsidRPr="00AB1E0E" w:rsidRDefault="00F21AEE" w:rsidP="008C024E">
            <w:pPr>
              <w:spacing w:after="0"/>
              <w:rPr>
                <w:rFonts w:cs="Calibri"/>
                <w:sz w:val="18"/>
                <w:szCs w:val="18"/>
                <w:lang w:eastAsia="fr-FR"/>
              </w:rPr>
            </w:pPr>
          </w:p>
        </w:tc>
      </w:tr>
      <w:tr w:rsidR="00F21AEE" w:rsidRPr="00F21AEE" w14:paraId="41E9248C" w14:textId="77777777" w:rsidTr="00F21AEE">
        <w:trPr>
          <w:trHeight w:val="300"/>
        </w:trPr>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14:paraId="033C5DFF"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Création de CEM</w:t>
            </w:r>
          </w:p>
        </w:tc>
        <w:tc>
          <w:tcPr>
            <w:tcW w:w="5200" w:type="dxa"/>
            <w:tcBorders>
              <w:top w:val="nil"/>
              <w:left w:val="nil"/>
              <w:bottom w:val="single" w:sz="4" w:space="0" w:color="auto"/>
              <w:right w:val="single" w:sz="4" w:space="0" w:color="auto"/>
            </w:tcBorders>
            <w:shd w:val="clear" w:color="auto" w:fill="auto"/>
            <w:vAlign w:val="center"/>
            <w:hideMark/>
          </w:tcPr>
          <w:p w14:paraId="3DEEB716"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Mise en conformité de l’installation aux normes</w:t>
            </w:r>
          </w:p>
        </w:tc>
        <w:tc>
          <w:tcPr>
            <w:tcW w:w="1420" w:type="dxa"/>
            <w:tcBorders>
              <w:top w:val="nil"/>
              <w:left w:val="nil"/>
              <w:bottom w:val="single" w:sz="4" w:space="0" w:color="auto"/>
              <w:right w:val="single" w:sz="4" w:space="0" w:color="auto"/>
            </w:tcBorders>
            <w:shd w:val="clear" w:color="auto" w:fill="auto"/>
            <w:vAlign w:val="center"/>
            <w:hideMark/>
          </w:tcPr>
          <w:p w14:paraId="09F28A5C"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38B29ADA" w14:textId="77777777" w:rsidR="00F21AEE" w:rsidRPr="00AB1E0E" w:rsidRDefault="00F21AEE" w:rsidP="008C024E">
            <w:pPr>
              <w:spacing w:after="0"/>
              <w:jc w:val="center"/>
              <w:rPr>
                <w:rFonts w:cs="Calibri"/>
                <w:sz w:val="18"/>
                <w:szCs w:val="18"/>
                <w:lang w:eastAsia="fr-FR"/>
              </w:rPr>
            </w:pPr>
          </w:p>
        </w:tc>
        <w:tc>
          <w:tcPr>
            <w:tcW w:w="1520" w:type="dxa"/>
            <w:tcBorders>
              <w:top w:val="nil"/>
              <w:left w:val="nil"/>
              <w:bottom w:val="single" w:sz="4" w:space="0" w:color="auto"/>
              <w:right w:val="single" w:sz="4" w:space="0" w:color="auto"/>
            </w:tcBorders>
            <w:shd w:val="clear" w:color="auto" w:fill="auto"/>
            <w:vAlign w:val="center"/>
            <w:hideMark/>
          </w:tcPr>
          <w:p w14:paraId="36EB7636" w14:textId="77777777" w:rsidR="00F21AEE" w:rsidRPr="00AB1E0E" w:rsidRDefault="00F21AEE" w:rsidP="008C024E">
            <w:pPr>
              <w:spacing w:after="0"/>
              <w:jc w:val="center"/>
              <w:rPr>
                <w:rFonts w:cs="Calibri"/>
                <w:sz w:val="18"/>
                <w:szCs w:val="18"/>
                <w:lang w:eastAsia="fr-FR"/>
              </w:rPr>
            </w:pPr>
          </w:p>
        </w:tc>
        <w:tc>
          <w:tcPr>
            <w:tcW w:w="1200" w:type="dxa"/>
            <w:tcBorders>
              <w:top w:val="nil"/>
              <w:left w:val="nil"/>
              <w:bottom w:val="single" w:sz="4" w:space="0" w:color="auto"/>
              <w:right w:val="single" w:sz="4" w:space="0" w:color="auto"/>
            </w:tcBorders>
            <w:shd w:val="clear" w:color="auto" w:fill="auto"/>
            <w:vAlign w:val="center"/>
            <w:hideMark/>
          </w:tcPr>
          <w:p w14:paraId="0222C75E" w14:textId="77777777" w:rsidR="00F21AEE" w:rsidRPr="00AB1E0E" w:rsidRDefault="00F21AEE" w:rsidP="008C024E">
            <w:pPr>
              <w:spacing w:after="0"/>
              <w:jc w:val="center"/>
              <w:rPr>
                <w:rFonts w:cs="Calibri"/>
                <w:sz w:val="18"/>
                <w:szCs w:val="18"/>
                <w:lang w:eastAsia="fr-FR"/>
              </w:rPr>
            </w:pPr>
          </w:p>
        </w:tc>
        <w:tc>
          <w:tcPr>
            <w:tcW w:w="1280" w:type="dxa"/>
            <w:vMerge w:val="restart"/>
            <w:tcBorders>
              <w:top w:val="nil"/>
              <w:left w:val="single" w:sz="4" w:space="0" w:color="auto"/>
              <w:bottom w:val="single" w:sz="4" w:space="0" w:color="auto"/>
              <w:right w:val="single" w:sz="4" w:space="0" w:color="auto"/>
            </w:tcBorders>
            <w:shd w:val="clear" w:color="000000" w:fill="00B050"/>
            <w:vAlign w:val="center"/>
            <w:hideMark/>
          </w:tcPr>
          <w:p w14:paraId="0B471B25"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Mineure</w:t>
            </w:r>
          </w:p>
        </w:tc>
      </w:tr>
      <w:tr w:rsidR="00F21AEE" w:rsidRPr="00F21AEE" w14:paraId="2AE785E2" w14:textId="77777777" w:rsidTr="00F21AEE">
        <w:trPr>
          <w:trHeight w:val="720"/>
        </w:trPr>
        <w:tc>
          <w:tcPr>
            <w:tcW w:w="3180" w:type="dxa"/>
            <w:vMerge/>
            <w:tcBorders>
              <w:top w:val="nil"/>
              <w:left w:val="single" w:sz="4" w:space="0" w:color="auto"/>
              <w:bottom w:val="single" w:sz="4" w:space="0" w:color="auto"/>
              <w:right w:val="single" w:sz="4" w:space="0" w:color="auto"/>
            </w:tcBorders>
            <w:vAlign w:val="center"/>
            <w:hideMark/>
          </w:tcPr>
          <w:p w14:paraId="282BF1FB" w14:textId="77777777" w:rsidR="00F21AEE" w:rsidRPr="00AB1E0E" w:rsidRDefault="00F21AEE" w:rsidP="008C024E">
            <w:pPr>
              <w:spacing w:after="0" w:line="240" w:lineRule="auto"/>
              <w:rPr>
                <w:rFonts w:cs="Calibri"/>
                <w:sz w:val="18"/>
                <w:szCs w:val="18"/>
                <w:lang w:eastAsia="fr-FR"/>
              </w:rPr>
            </w:pPr>
          </w:p>
        </w:tc>
        <w:tc>
          <w:tcPr>
            <w:tcW w:w="5200" w:type="dxa"/>
            <w:tcBorders>
              <w:top w:val="nil"/>
              <w:left w:val="nil"/>
              <w:bottom w:val="single" w:sz="4" w:space="0" w:color="auto"/>
              <w:right w:val="single" w:sz="4" w:space="0" w:color="auto"/>
            </w:tcBorders>
            <w:shd w:val="clear" w:color="auto" w:fill="auto"/>
            <w:vAlign w:val="center"/>
            <w:hideMark/>
          </w:tcPr>
          <w:p w14:paraId="38EF00A7"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L’isolation électrique et électromagnétique des équipements dans des locaux faradisés/chambre de Faraday)</w:t>
            </w:r>
          </w:p>
        </w:tc>
        <w:tc>
          <w:tcPr>
            <w:tcW w:w="1420" w:type="dxa"/>
            <w:tcBorders>
              <w:top w:val="nil"/>
              <w:left w:val="nil"/>
              <w:bottom w:val="single" w:sz="4" w:space="0" w:color="auto"/>
              <w:right w:val="single" w:sz="4" w:space="0" w:color="auto"/>
            </w:tcBorders>
            <w:shd w:val="clear" w:color="auto" w:fill="auto"/>
            <w:vAlign w:val="center"/>
            <w:hideMark/>
          </w:tcPr>
          <w:p w14:paraId="43F8D1AC" w14:textId="77777777" w:rsidR="00F21AEE" w:rsidRPr="00AB1E0E" w:rsidRDefault="00F21AEE" w:rsidP="008C024E">
            <w:pPr>
              <w:spacing w:after="0"/>
              <w:jc w:val="center"/>
              <w:rPr>
                <w:rFonts w:cs="Calibri"/>
                <w:sz w:val="18"/>
                <w:szCs w:val="18"/>
                <w:lang w:eastAsia="fr-FR"/>
              </w:rPr>
            </w:pPr>
          </w:p>
        </w:tc>
        <w:tc>
          <w:tcPr>
            <w:tcW w:w="1060" w:type="dxa"/>
            <w:tcBorders>
              <w:top w:val="nil"/>
              <w:left w:val="nil"/>
              <w:bottom w:val="single" w:sz="4" w:space="0" w:color="auto"/>
              <w:right w:val="single" w:sz="4" w:space="0" w:color="auto"/>
            </w:tcBorders>
            <w:shd w:val="clear" w:color="auto" w:fill="auto"/>
            <w:vAlign w:val="center"/>
            <w:hideMark/>
          </w:tcPr>
          <w:p w14:paraId="3B908681"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3284E698" w14:textId="77777777" w:rsidR="00F21AEE" w:rsidRPr="00AB1E0E" w:rsidRDefault="00F21AEE" w:rsidP="008C024E">
            <w:pPr>
              <w:spacing w:after="0"/>
              <w:jc w:val="center"/>
              <w:rPr>
                <w:rFonts w:cs="Calibri"/>
                <w:sz w:val="18"/>
                <w:szCs w:val="18"/>
                <w:lang w:eastAsia="fr-FR"/>
              </w:rPr>
            </w:pPr>
          </w:p>
        </w:tc>
        <w:tc>
          <w:tcPr>
            <w:tcW w:w="1200" w:type="dxa"/>
            <w:tcBorders>
              <w:top w:val="nil"/>
              <w:left w:val="nil"/>
              <w:bottom w:val="single" w:sz="4" w:space="0" w:color="auto"/>
              <w:right w:val="single" w:sz="4" w:space="0" w:color="auto"/>
            </w:tcBorders>
            <w:shd w:val="clear" w:color="auto" w:fill="auto"/>
            <w:vAlign w:val="center"/>
            <w:hideMark/>
          </w:tcPr>
          <w:p w14:paraId="2F8F25FE" w14:textId="77777777" w:rsidR="00F21AEE" w:rsidRPr="00AB1E0E" w:rsidRDefault="00F21AEE" w:rsidP="008C024E">
            <w:pPr>
              <w:spacing w:after="0"/>
              <w:jc w:val="center"/>
              <w:rPr>
                <w:rFonts w:cs="Calibri"/>
                <w:sz w:val="18"/>
                <w:szCs w:val="18"/>
                <w:lang w:eastAsia="fr-FR"/>
              </w:rPr>
            </w:pPr>
          </w:p>
        </w:tc>
        <w:tc>
          <w:tcPr>
            <w:tcW w:w="1280" w:type="dxa"/>
            <w:vMerge/>
            <w:tcBorders>
              <w:top w:val="nil"/>
              <w:left w:val="single" w:sz="4" w:space="0" w:color="auto"/>
              <w:bottom w:val="single" w:sz="4" w:space="0" w:color="auto"/>
              <w:right w:val="single" w:sz="4" w:space="0" w:color="auto"/>
            </w:tcBorders>
            <w:vAlign w:val="center"/>
            <w:hideMark/>
          </w:tcPr>
          <w:p w14:paraId="21B153C6" w14:textId="77777777" w:rsidR="00F21AEE" w:rsidRPr="00AB1E0E" w:rsidRDefault="00F21AEE" w:rsidP="008C024E">
            <w:pPr>
              <w:spacing w:after="0"/>
              <w:rPr>
                <w:rFonts w:cs="Calibri"/>
                <w:sz w:val="18"/>
                <w:szCs w:val="18"/>
                <w:lang w:eastAsia="fr-FR"/>
              </w:rPr>
            </w:pPr>
          </w:p>
        </w:tc>
      </w:tr>
      <w:tr w:rsidR="00F21AEE" w:rsidRPr="00F21AEE" w14:paraId="6AABC33E" w14:textId="77777777" w:rsidTr="00F21AEE">
        <w:trPr>
          <w:trHeight w:val="480"/>
        </w:trPr>
        <w:tc>
          <w:tcPr>
            <w:tcW w:w="3180" w:type="dxa"/>
            <w:vMerge/>
            <w:tcBorders>
              <w:top w:val="nil"/>
              <w:left w:val="single" w:sz="4" w:space="0" w:color="auto"/>
              <w:bottom w:val="single" w:sz="4" w:space="0" w:color="auto"/>
              <w:right w:val="single" w:sz="4" w:space="0" w:color="auto"/>
            </w:tcBorders>
            <w:vAlign w:val="center"/>
            <w:hideMark/>
          </w:tcPr>
          <w:p w14:paraId="0F07F65D" w14:textId="77777777" w:rsidR="00F21AEE" w:rsidRPr="00AB1E0E" w:rsidRDefault="00F21AEE" w:rsidP="008C024E">
            <w:pPr>
              <w:spacing w:after="0" w:line="240" w:lineRule="auto"/>
              <w:rPr>
                <w:rFonts w:cs="Calibri"/>
                <w:sz w:val="18"/>
                <w:szCs w:val="18"/>
                <w:lang w:eastAsia="fr-FR"/>
              </w:rPr>
            </w:pPr>
          </w:p>
        </w:tc>
        <w:tc>
          <w:tcPr>
            <w:tcW w:w="5200" w:type="dxa"/>
            <w:tcBorders>
              <w:top w:val="nil"/>
              <w:left w:val="nil"/>
              <w:bottom w:val="single" w:sz="4" w:space="0" w:color="auto"/>
              <w:right w:val="single" w:sz="4" w:space="0" w:color="auto"/>
            </w:tcBorders>
            <w:shd w:val="clear" w:color="auto" w:fill="auto"/>
            <w:vAlign w:val="center"/>
            <w:hideMark/>
          </w:tcPr>
          <w:p w14:paraId="3F82F74C"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Limiter l’accès aux infrastructures uniquement au personnel qualifié et autorisé</w:t>
            </w:r>
          </w:p>
        </w:tc>
        <w:tc>
          <w:tcPr>
            <w:tcW w:w="1420" w:type="dxa"/>
            <w:tcBorders>
              <w:top w:val="nil"/>
              <w:left w:val="nil"/>
              <w:bottom w:val="single" w:sz="4" w:space="0" w:color="auto"/>
              <w:right w:val="single" w:sz="4" w:space="0" w:color="auto"/>
            </w:tcBorders>
            <w:shd w:val="clear" w:color="auto" w:fill="auto"/>
            <w:vAlign w:val="center"/>
            <w:hideMark/>
          </w:tcPr>
          <w:p w14:paraId="1E55EA37"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6106FE05"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644BEEF0" w14:textId="77777777" w:rsidR="00F21AEE" w:rsidRPr="00AB1E0E" w:rsidRDefault="00F21AEE" w:rsidP="008C024E">
            <w:pPr>
              <w:spacing w:after="0"/>
              <w:jc w:val="center"/>
              <w:rPr>
                <w:rFonts w:cs="Calibri"/>
                <w:sz w:val="18"/>
                <w:szCs w:val="18"/>
                <w:lang w:eastAsia="fr-FR"/>
              </w:rPr>
            </w:pPr>
          </w:p>
        </w:tc>
        <w:tc>
          <w:tcPr>
            <w:tcW w:w="1200" w:type="dxa"/>
            <w:tcBorders>
              <w:top w:val="nil"/>
              <w:left w:val="nil"/>
              <w:bottom w:val="single" w:sz="4" w:space="0" w:color="auto"/>
              <w:right w:val="single" w:sz="4" w:space="0" w:color="auto"/>
            </w:tcBorders>
            <w:shd w:val="clear" w:color="auto" w:fill="auto"/>
            <w:vAlign w:val="center"/>
            <w:hideMark/>
          </w:tcPr>
          <w:p w14:paraId="501A6752" w14:textId="77777777" w:rsidR="00F21AEE" w:rsidRPr="00AB1E0E" w:rsidRDefault="00F21AEE" w:rsidP="008C024E">
            <w:pPr>
              <w:spacing w:after="0"/>
              <w:jc w:val="center"/>
              <w:rPr>
                <w:rFonts w:cs="Calibri"/>
                <w:sz w:val="18"/>
                <w:szCs w:val="18"/>
                <w:lang w:eastAsia="fr-FR"/>
              </w:rPr>
            </w:pPr>
          </w:p>
        </w:tc>
        <w:tc>
          <w:tcPr>
            <w:tcW w:w="1280" w:type="dxa"/>
            <w:vMerge/>
            <w:tcBorders>
              <w:top w:val="nil"/>
              <w:left w:val="single" w:sz="4" w:space="0" w:color="auto"/>
              <w:bottom w:val="single" w:sz="4" w:space="0" w:color="auto"/>
              <w:right w:val="single" w:sz="4" w:space="0" w:color="auto"/>
            </w:tcBorders>
            <w:vAlign w:val="center"/>
            <w:hideMark/>
          </w:tcPr>
          <w:p w14:paraId="1FFA917A" w14:textId="77777777" w:rsidR="00F21AEE" w:rsidRPr="00AB1E0E" w:rsidRDefault="00F21AEE" w:rsidP="008C024E">
            <w:pPr>
              <w:spacing w:after="0"/>
              <w:rPr>
                <w:rFonts w:cs="Calibri"/>
                <w:sz w:val="18"/>
                <w:szCs w:val="18"/>
                <w:lang w:eastAsia="fr-FR"/>
              </w:rPr>
            </w:pPr>
          </w:p>
        </w:tc>
      </w:tr>
      <w:tr w:rsidR="00F21AEE" w:rsidRPr="00F21AEE" w14:paraId="5570EB5B" w14:textId="77777777" w:rsidTr="00F21AEE">
        <w:trPr>
          <w:trHeight w:val="300"/>
        </w:trPr>
        <w:tc>
          <w:tcPr>
            <w:tcW w:w="3180" w:type="dxa"/>
            <w:vMerge/>
            <w:tcBorders>
              <w:top w:val="nil"/>
              <w:left w:val="single" w:sz="4" w:space="0" w:color="auto"/>
              <w:bottom w:val="single" w:sz="4" w:space="0" w:color="auto"/>
              <w:right w:val="single" w:sz="4" w:space="0" w:color="auto"/>
            </w:tcBorders>
            <w:vAlign w:val="center"/>
            <w:hideMark/>
          </w:tcPr>
          <w:p w14:paraId="5A6E1E21" w14:textId="77777777" w:rsidR="00F21AEE" w:rsidRPr="00AB1E0E" w:rsidRDefault="00F21AEE" w:rsidP="008C024E">
            <w:pPr>
              <w:spacing w:after="0" w:line="240" w:lineRule="auto"/>
              <w:rPr>
                <w:rFonts w:cs="Calibri"/>
                <w:sz w:val="18"/>
                <w:szCs w:val="18"/>
                <w:lang w:eastAsia="fr-FR"/>
              </w:rPr>
            </w:pPr>
          </w:p>
        </w:tc>
        <w:tc>
          <w:tcPr>
            <w:tcW w:w="5200" w:type="dxa"/>
            <w:tcBorders>
              <w:top w:val="nil"/>
              <w:left w:val="nil"/>
              <w:bottom w:val="single" w:sz="4" w:space="0" w:color="auto"/>
              <w:right w:val="single" w:sz="4" w:space="0" w:color="auto"/>
            </w:tcBorders>
            <w:shd w:val="clear" w:color="auto" w:fill="auto"/>
            <w:vAlign w:val="center"/>
            <w:hideMark/>
          </w:tcPr>
          <w:p w14:paraId="4D86B473"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L’éloignement des bâtiments à 3,5m des câbles MT</w:t>
            </w:r>
          </w:p>
        </w:tc>
        <w:tc>
          <w:tcPr>
            <w:tcW w:w="1420" w:type="dxa"/>
            <w:tcBorders>
              <w:top w:val="nil"/>
              <w:left w:val="nil"/>
              <w:bottom w:val="single" w:sz="4" w:space="0" w:color="auto"/>
              <w:right w:val="single" w:sz="4" w:space="0" w:color="auto"/>
            </w:tcBorders>
            <w:shd w:val="clear" w:color="auto" w:fill="auto"/>
            <w:vAlign w:val="center"/>
            <w:hideMark/>
          </w:tcPr>
          <w:p w14:paraId="43C57F29" w14:textId="77777777" w:rsidR="00F21AEE" w:rsidRPr="00AB1E0E" w:rsidRDefault="00F21AEE" w:rsidP="008C024E">
            <w:pPr>
              <w:spacing w:after="0"/>
              <w:jc w:val="center"/>
              <w:rPr>
                <w:rFonts w:cs="Calibri"/>
                <w:sz w:val="18"/>
                <w:szCs w:val="18"/>
                <w:lang w:eastAsia="fr-FR"/>
              </w:rPr>
            </w:pPr>
          </w:p>
        </w:tc>
        <w:tc>
          <w:tcPr>
            <w:tcW w:w="1060" w:type="dxa"/>
            <w:tcBorders>
              <w:top w:val="nil"/>
              <w:left w:val="nil"/>
              <w:bottom w:val="single" w:sz="4" w:space="0" w:color="auto"/>
              <w:right w:val="single" w:sz="4" w:space="0" w:color="auto"/>
            </w:tcBorders>
            <w:shd w:val="clear" w:color="auto" w:fill="auto"/>
            <w:vAlign w:val="center"/>
            <w:hideMark/>
          </w:tcPr>
          <w:p w14:paraId="0AAC2A81"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09E74BD7" w14:textId="77777777" w:rsidR="00F21AEE" w:rsidRPr="00AB1E0E" w:rsidRDefault="00F21AEE" w:rsidP="008C024E">
            <w:pPr>
              <w:spacing w:after="0"/>
              <w:jc w:val="center"/>
              <w:rPr>
                <w:rFonts w:cs="Calibri"/>
                <w:sz w:val="18"/>
                <w:szCs w:val="18"/>
                <w:lang w:eastAsia="fr-FR"/>
              </w:rPr>
            </w:pPr>
          </w:p>
        </w:tc>
        <w:tc>
          <w:tcPr>
            <w:tcW w:w="1200" w:type="dxa"/>
            <w:tcBorders>
              <w:top w:val="nil"/>
              <w:left w:val="nil"/>
              <w:bottom w:val="single" w:sz="4" w:space="0" w:color="auto"/>
              <w:right w:val="single" w:sz="4" w:space="0" w:color="auto"/>
            </w:tcBorders>
            <w:shd w:val="clear" w:color="auto" w:fill="auto"/>
            <w:vAlign w:val="center"/>
            <w:hideMark/>
          </w:tcPr>
          <w:p w14:paraId="09553AB2" w14:textId="77777777" w:rsidR="00F21AEE" w:rsidRPr="00AB1E0E" w:rsidRDefault="00F21AEE" w:rsidP="008C024E">
            <w:pPr>
              <w:spacing w:after="0"/>
              <w:jc w:val="center"/>
              <w:rPr>
                <w:rFonts w:cs="Calibri"/>
                <w:sz w:val="18"/>
                <w:szCs w:val="18"/>
                <w:lang w:eastAsia="fr-FR"/>
              </w:rPr>
            </w:pPr>
          </w:p>
        </w:tc>
        <w:tc>
          <w:tcPr>
            <w:tcW w:w="1280" w:type="dxa"/>
            <w:vMerge/>
            <w:tcBorders>
              <w:top w:val="nil"/>
              <w:left w:val="single" w:sz="4" w:space="0" w:color="auto"/>
              <w:bottom w:val="single" w:sz="4" w:space="0" w:color="auto"/>
              <w:right w:val="single" w:sz="4" w:space="0" w:color="auto"/>
            </w:tcBorders>
            <w:vAlign w:val="center"/>
            <w:hideMark/>
          </w:tcPr>
          <w:p w14:paraId="25B96BFF" w14:textId="77777777" w:rsidR="00F21AEE" w:rsidRPr="00AB1E0E" w:rsidRDefault="00F21AEE" w:rsidP="008C024E">
            <w:pPr>
              <w:spacing w:after="0"/>
              <w:rPr>
                <w:rFonts w:cs="Calibri"/>
                <w:sz w:val="18"/>
                <w:szCs w:val="18"/>
                <w:lang w:eastAsia="fr-FR"/>
              </w:rPr>
            </w:pPr>
          </w:p>
        </w:tc>
      </w:tr>
      <w:tr w:rsidR="00F21AEE" w:rsidRPr="00F21AEE" w14:paraId="414E2D88" w14:textId="77777777" w:rsidTr="00F21AEE">
        <w:trPr>
          <w:trHeight w:val="300"/>
        </w:trPr>
        <w:tc>
          <w:tcPr>
            <w:tcW w:w="3180" w:type="dxa"/>
            <w:vMerge/>
            <w:tcBorders>
              <w:top w:val="nil"/>
              <w:left w:val="single" w:sz="4" w:space="0" w:color="auto"/>
              <w:bottom w:val="single" w:sz="4" w:space="0" w:color="auto"/>
              <w:right w:val="single" w:sz="4" w:space="0" w:color="auto"/>
            </w:tcBorders>
            <w:vAlign w:val="center"/>
            <w:hideMark/>
          </w:tcPr>
          <w:p w14:paraId="6801D41A" w14:textId="77777777" w:rsidR="00F21AEE" w:rsidRPr="00AB1E0E" w:rsidRDefault="00F21AEE" w:rsidP="008C024E">
            <w:pPr>
              <w:spacing w:after="0" w:line="240" w:lineRule="auto"/>
              <w:rPr>
                <w:rFonts w:cs="Calibri"/>
                <w:sz w:val="18"/>
                <w:szCs w:val="18"/>
                <w:lang w:eastAsia="fr-FR"/>
              </w:rPr>
            </w:pPr>
          </w:p>
        </w:tc>
        <w:tc>
          <w:tcPr>
            <w:tcW w:w="5200" w:type="dxa"/>
            <w:tcBorders>
              <w:top w:val="nil"/>
              <w:left w:val="nil"/>
              <w:bottom w:val="single" w:sz="4" w:space="0" w:color="auto"/>
              <w:right w:val="single" w:sz="4" w:space="0" w:color="auto"/>
            </w:tcBorders>
            <w:shd w:val="clear" w:color="auto" w:fill="auto"/>
            <w:vAlign w:val="center"/>
            <w:hideMark/>
          </w:tcPr>
          <w:p w14:paraId="2932E5AE"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La distance limite (0,75m) d’approches aux câbles</w:t>
            </w:r>
          </w:p>
        </w:tc>
        <w:tc>
          <w:tcPr>
            <w:tcW w:w="1420" w:type="dxa"/>
            <w:tcBorders>
              <w:top w:val="nil"/>
              <w:left w:val="nil"/>
              <w:bottom w:val="single" w:sz="4" w:space="0" w:color="auto"/>
              <w:right w:val="single" w:sz="4" w:space="0" w:color="auto"/>
            </w:tcBorders>
            <w:shd w:val="clear" w:color="auto" w:fill="auto"/>
            <w:vAlign w:val="center"/>
            <w:hideMark/>
          </w:tcPr>
          <w:p w14:paraId="20A1FDD5" w14:textId="77777777" w:rsidR="00F21AEE" w:rsidRPr="00AB1E0E" w:rsidRDefault="00F21AEE" w:rsidP="008C024E">
            <w:pPr>
              <w:spacing w:after="0"/>
              <w:jc w:val="center"/>
              <w:rPr>
                <w:rFonts w:cs="Calibri"/>
                <w:sz w:val="18"/>
                <w:szCs w:val="18"/>
                <w:lang w:eastAsia="fr-FR"/>
              </w:rPr>
            </w:pPr>
          </w:p>
        </w:tc>
        <w:tc>
          <w:tcPr>
            <w:tcW w:w="1060" w:type="dxa"/>
            <w:tcBorders>
              <w:top w:val="nil"/>
              <w:left w:val="nil"/>
              <w:bottom w:val="single" w:sz="4" w:space="0" w:color="auto"/>
              <w:right w:val="single" w:sz="4" w:space="0" w:color="auto"/>
            </w:tcBorders>
            <w:shd w:val="clear" w:color="auto" w:fill="auto"/>
            <w:vAlign w:val="center"/>
            <w:hideMark/>
          </w:tcPr>
          <w:p w14:paraId="0193A202"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17BAE119" w14:textId="77777777" w:rsidR="00F21AEE" w:rsidRPr="00AB1E0E" w:rsidRDefault="00F21AEE" w:rsidP="008C024E">
            <w:pPr>
              <w:spacing w:after="0"/>
              <w:jc w:val="center"/>
              <w:rPr>
                <w:rFonts w:cs="Calibri"/>
                <w:sz w:val="18"/>
                <w:szCs w:val="18"/>
                <w:lang w:eastAsia="fr-FR"/>
              </w:rPr>
            </w:pPr>
          </w:p>
        </w:tc>
        <w:tc>
          <w:tcPr>
            <w:tcW w:w="1200" w:type="dxa"/>
            <w:tcBorders>
              <w:top w:val="nil"/>
              <w:left w:val="nil"/>
              <w:bottom w:val="single" w:sz="4" w:space="0" w:color="auto"/>
              <w:right w:val="single" w:sz="4" w:space="0" w:color="auto"/>
            </w:tcBorders>
            <w:shd w:val="clear" w:color="auto" w:fill="auto"/>
            <w:vAlign w:val="center"/>
            <w:hideMark/>
          </w:tcPr>
          <w:p w14:paraId="775A42AA" w14:textId="77777777" w:rsidR="00F21AEE" w:rsidRPr="00AB1E0E" w:rsidRDefault="00F21AEE" w:rsidP="008C024E">
            <w:pPr>
              <w:spacing w:after="0"/>
              <w:jc w:val="center"/>
              <w:rPr>
                <w:rFonts w:cs="Calibri"/>
                <w:sz w:val="18"/>
                <w:szCs w:val="18"/>
                <w:lang w:eastAsia="fr-FR"/>
              </w:rPr>
            </w:pPr>
          </w:p>
        </w:tc>
        <w:tc>
          <w:tcPr>
            <w:tcW w:w="1280" w:type="dxa"/>
            <w:vMerge/>
            <w:tcBorders>
              <w:top w:val="nil"/>
              <w:left w:val="single" w:sz="4" w:space="0" w:color="auto"/>
              <w:bottom w:val="single" w:sz="4" w:space="0" w:color="auto"/>
              <w:right w:val="single" w:sz="4" w:space="0" w:color="auto"/>
            </w:tcBorders>
            <w:vAlign w:val="center"/>
            <w:hideMark/>
          </w:tcPr>
          <w:p w14:paraId="5CBC5D25" w14:textId="77777777" w:rsidR="00F21AEE" w:rsidRPr="00AB1E0E" w:rsidRDefault="00F21AEE" w:rsidP="008C024E">
            <w:pPr>
              <w:spacing w:after="0"/>
              <w:rPr>
                <w:rFonts w:cs="Calibri"/>
                <w:sz w:val="18"/>
                <w:szCs w:val="18"/>
                <w:lang w:eastAsia="fr-FR"/>
              </w:rPr>
            </w:pPr>
          </w:p>
        </w:tc>
      </w:tr>
      <w:tr w:rsidR="00F21AEE" w:rsidRPr="00F21AEE" w14:paraId="21B0C001" w14:textId="77777777" w:rsidTr="00F21AEE">
        <w:trPr>
          <w:trHeight w:val="300"/>
        </w:trPr>
        <w:tc>
          <w:tcPr>
            <w:tcW w:w="3180" w:type="dxa"/>
            <w:vMerge/>
            <w:tcBorders>
              <w:top w:val="nil"/>
              <w:left w:val="single" w:sz="4" w:space="0" w:color="auto"/>
              <w:bottom w:val="single" w:sz="4" w:space="0" w:color="auto"/>
              <w:right w:val="single" w:sz="4" w:space="0" w:color="auto"/>
            </w:tcBorders>
            <w:vAlign w:val="center"/>
            <w:hideMark/>
          </w:tcPr>
          <w:p w14:paraId="6F35931E" w14:textId="77777777" w:rsidR="00F21AEE" w:rsidRPr="00AB1E0E" w:rsidRDefault="00F21AEE" w:rsidP="008C024E">
            <w:pPr>
              <w:spacing w:after="0" w:line="240" w:lineRule="auto"/>
              <w:rPr>
                <w:rFonts w:cs="Calibri"/>
                <w:sz w:val="18"/>
                <w:szCs w:val="18"/>
                <w:lang w:eastAsia="fr-FR"/>
              </w:rPr>
            </w:pPr>
          </w:p>
        </w:tc>
        <w:tc>
          <w:tcPr>
            <w:tcW w:w="5200" w:type="dxa"/>
            <w:tcBorders>
              <w:top w:val="nil"/>
              <w:left w:val="nil"/>
              <w:bottom w:val="single" w:sz="4" w:space="0" w:color="auto"/>
              <w:right w:val="single" w:sz="4" w:space="0" w:color="auto"/>
            </w:tcBorders>
            <w:shd w:val="clear" w:color="auto" w:fill="auto"/>
            <w:vAlign w:val="center"/>
            <w:hideMark/>
          </w:tcPr>
          <w:p w14:paraId="7559E87F"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La distance de travail (2m) par rapport aux câbles</w:t>
            </w:r>
          </w:p>
        </w:tc>
        <w:tc>
          <w:tcPr>
            <w:tcW w:w="1420" w:type="dxa"/>
            <w:tcBorders>
              <w:top w:val="nil"/>
              <w:left w:val="nil"/>
              <w:bottom w:val="single" w:sz="4" w:space="0" w:color="auto"/>
              <w:right w:val="single" w:sz="4" w:space="0" w:color="auto"/>
            </w:tcBorders>
            <w:shd w:val="clear" w:color="auto" w:fill="auto"/>
            <w:vAlign w:val="center"/>
            <w:hideMark/>
          </w:tcPr>
          <w:p w14:paraId="1539410E" w14:textId="77777777" w:rsidR="00F21AEE" w:rsidRPr="00AB1E0E" w:rsidRDefault="00F21AEE" w:rsidP="008C024E">
            <w:pPr>
              <w:spacing w:after="0"/>
              <w:jc w:val="center"/>
              <w:rPr>
                <w:rFonts w:cs="Calibri"/>
                <w:sz w:val="18"/>
                <w:szCs w:val="18"/>
                <w:lang w:eastAsia="fr-FR"/>
              </w:rPr>
            </w:pPr>
          </w:p>
        </w:tc>
        <w:tc>
          <w:tcPr>
            <w:tcW w:w="1060" w:type="dxa"/>
            <w:tcBorders>
              <w:top w:val="nil"/>
              <w:left w:val="nil"/>
              <w:bottom w:val="single" w:sz="4" w:space="0" w:color="auto"/>
              <w:right w:val="single" w:sz="4" w:space="0" w:color="auto"/>
            </w:tcBorders>
            <w:shd w:val="clear" w:color="auto" w:fill="auto"/>
            <w:vAlign w:val="center"/>
            <w:hideMark/>
          </w:tcPr>
          <w:p w14:paraId="508185BC"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13F45A5C" w14:textId="77777777" w:rsidR="00F21AEE" w:rsidRPr="00AB1E0E" w:rsidRDefault="00F21AEE" w:rsidP="008C024E">
            <w:pPr>
              <w:spacing w:after="0"/>
              <w:jc w:val="center"/>
              <w:rPr>
                <w:rFonts w:cs="Calibri"/>
                <w:sz w:val="18"/>
                <w:szCs w:val="18"/>
                <w:lang w:eastAsia="fr-FR"/>
              </w:rPr>
            </w:pPr>
          </w:p>
        </w:tc>
        <w:tc>
          <w:tcPr>
            <w:tcW w:w="1200" w:type="dxa"/>
            <w:tcBorders>
              <w:top w:val="nil"/>
              <w:left w:val="nil"/>
              <w:bottom w:val="single" w:sz="4" w:space="0" w:color="auto"/>
              <w:right w:val="single" w:sz="4" w:space="0" w:color="auto"/>
            </w:tcBorders>
            <w:shd w:val="clear" w:color="auto" w:fill="auto"/>
            <w:vAlign w:val="center"/>
            <w:hideMark/>
          </w:tcPr>
          <w:p w14:paraId="203B45D4" w14:textId="77777777" w:rsidR="00F21AEE" w:rsidRPr="00AB1E0E" w:rsidRDefault="00F21AEE" w:rsidP="008C024E">
            <w:pPr>
              <w:spacing w:after="0"/>
              <w:jc w:val="center"/>
              <w:rPr>
                <w:rFonts w:cs="Calibri"/>
                <w:sz w:val="18"/>
                <w:szCs w:val="18"/>
                <w:lang w:eastAsia="fr-FR"/>
              </w:rPr>
            </w:pPr>
          </w:p>
        </w:tc>
        <w:tc>
          <w:tcPr>
            <w:tcW w:w="1280" w:type="dxa"/>
            <w:vMerge/>
            <w:tcBorders>
              <w:top w:val="nil"/>
              <w:left w:val="single" w:sz="4" w:space="0" w:color="auto"/>
              <w:bottom w:val="single" w:sz="4" w:space="0" w:color="auto"/>
              <w:right w:val="single" w:sz="4" w:space="0" w:color="auto"/>
            </w:tcBorders>
            <w:vAlign w:val="center"/>
            <w:hideMark/>
          </w:tcPr>
          <w:p w14:paraId="1CF297A8" w14:textId="77777777" w:rsidR="00F21AEE" w:rsidRPr="00AB1E0E" w:rsidRDefault="00F21AEE" w:rsidP="008C024E">
            <w:pPr>
              <w:spacing w:after="0"/>
              <w:rPr>
                <w:rFonts w:cs="Calibri"/>
                <w:sz w:val="18"/>
                <w:szCs w:val="18"/>
                <w:lang w:eastAsia="fr-FR"/>
              </w:rPr>
            </w:pPr>
          </w:p>
        </w:tc>
      </w:tr>
      <w:tr w:rsidR="00F21AEE" w:rsidRPr="00F21AEE" w14:paraId="63AA8D41" w14:textId="77777777" w:rsidTr="00F21AEE">
        <w:trPr>
          <w:trHeight w:val="720"/>
        </w:trPr>
        <w:tc>
          <w:tcPr>
            <w:tcW w:w="3180" w:type="dxa"/>
            <w:vMerge w:val="restart"/>
            <w:tcBorders>
              <w:top w:val="nil"/>
              <w:left w:val="single" w:sz="4" w:space="0" w:color="auto"/>
              <w:bottom w:val="single" w:sz="4" w:space="0" w:color="000000"/>
              <w:right w:val="single" w:sz="4" w:space="0" w:color="auto"/>
            </w:tcBorders>
            <w:shd w:val="clear" w:color="auto" w:fill="auto"/>
            <w:vAlign w:val="center"/>
            <w:hideMark/>
          </w:tcPr>
          <w:p w14:paraId="14C2B424"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Risque d'accident et d’incendie</w:t>
            </w:r>
          </w:p>
        </w:tc>
        <w:tc>
          <w:tcPr>
            <w:tcW w:w="5200" w:type="dxa"/>
            <w:tcBorders>
              <w:top w:val="nil"/>
              <w:left w:val="nil"/>
              <w:bottom w:val="single" w:sz="4" w:space="0" w:color="auto"/>
              <w:right w:val="single" w:sz="4" w:space="0" w:color="auto"/>
            </w:tcBorders>
            <w:shd w:val="clear" w:color="auto" w:fill="auto"/>
            <w:vAlign w:val="center"/>
            <w:hideMark/>
          </w:tcPr>
          <w:p w14:paraId="0C859163"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Mise en place d'un plan de prévention et d’intervention en cas d’accident ou d’incendie (sprinkler, extincteur adéquat selon les sources possibles d’incendies)</w:t>
            </w:r>
          </w:p>
        </w:tc>
        <w:tc>
          <w:tcPr>
            <w:tcW w:w="1420" w:type="dxa"/>
            <w:tcBorders>
              <w:top w:val="nil"/>
              <w:left w:val="nil"/>
              <w:bottom w:val="single" w:sz="4" w:space="0" w:color="auto"/>
              <w:right w:val="single" w:sz="4" w:space="0" w:color="auto"/>
            </w:tcBorders>
            <w:shd w:val="clear" w:color="auto" w:fill="auto"/>
            <w:vAlign w:val="center"/>
            <w:hideMark/>
          </w:tcPr>
          <w:p w14:paraId="7B27414D"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2C012BF9"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4400B2D1"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00" w:type="dxa"/>
            <w:tcBorders>
              <w:top w:val="nil"/>
              <w:left w:val="nil"/>
              <w:bottom w:val="single" w:sz="4" w:space="0" w:color="auto"/>
              <w:right w:val="single" w:sz="4" w:space="0" w:color="auto"/>
            </w:tcBorders>
            <w:shd w:val="clear" w:color="auto" w:fill="auto"/>
            <w:vAlign w:val="center"/>
            <w:hideMark/>
          </w:tcPr>
          <w:p w14:paraId="69D8E114"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80" w:type="dxa"/>
            <w:vMerge w:val="restart"/>
            <w:tcBorders>
              <w:top w:val="nil"/>
              <w:left w:val="single" w:sz="4" w:space="0" w:color="auto"/>
              <w:bottom w:val="single" w:sz="4" w:space="0" w:color="auto"/>
              <w:right w:val="single" w:sz="4" w:space="0" w:color="auto"/>
            </w:tcBorders>
            <w:shd w:val="clear" w:color="000000" w:fill="00B050"/>
            <w:vAlign w:val="center"/>
            <w:hideMark/>
          </w:tcPr>
          <w:p w14:paraId="403F9E59"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Mineure</w:t>
            </w:r>
          </w:p>
        </w:tc>
      </w:tr>
      <w:tr w:rsidR="00F21AEE" w:rsidRPr="00F21AEE" w14:paraId="412B43E5" w14:textId="77777777" w:rsidTr="00F21AEE">
        <w:trPr>
          <w:trHeight w:val="480"/>
        </w:trPr>
        <w:tc>
          <w:tcPr>
            <w:tcW w:w="3180" w:type="dxa"/>
            <w:vMerge/>
            <w:tcBorders>
              <w:top w:val="nil"/>
              <w:left w:val="single" w:sz="4" w:space="0" w:color="auto"/>
              <w:bottom w:val="single" w:sz="4" w:space="0" w:color="000000"/>
              <w:right w:val="single" w:sz="4" w:space="0" w:color="auto"/>
            </w:tcBorders>
            <w:vAlign w:val="center"/>
            <w:hideMark/>
          </w:tcPr>
          <w:p w14:paraId="20F9D70C" w14:textId="77777777" w:rsidR="00F21AEE" w:rsidRPr="00AB1E0E" w:rsidRDefault="00F21AEE" w:rsidP="008C024E">
            <w:pPr>
              <w:spacing w:after="0" w:line="240" w:lineRule="auto"/>
              <w:rPr>
                <w:rFonts w:cs="Calibri"/>
                <w:sz w:val="18"/>
                <w:szCs w:val="18"/>
                <w:lang w:eastAsia="fr-FR"/>
              </w:rPr>
            </w:pPr>
          </w:p>
        </w:tc>
        <w:tc>
          <w:tcPr>
            <w:tcW w:w="5200" w:type="dxa"/>
            <w:tcBorders>
              <w:top w:val="nil"/>
              <w:left w:val="nil"/>
              <w:bottom w:val="single" w:sz="4" w:space="0" w:color="auto"/>
              <w:right w:val="single" w:sz="4" w:space="0" w:color="auto"/>
            </w:tcBorders>
            <w:shd w:val="clear" w:color="auto" w:fill="auto"/>
            <w:vAlign w:val="center"/>
            <w:hideMark/>
          </w:tcPr>
          <w:p w14:paraId="2BBBB86F"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Former le personnel sur les mesures de prévention des accidents et des procédures à suivre en cas d’urgence</w:t>
            </w:r>
          </w:p>
        </w:tc>
        <w:tc>
          <w:tcPr>
            <w:tcW w:w="1420" w:type="dxa"/>
            <w:tcBorders>
              <w:top w:val="nil"/>
              <w:left w:val="nil"/>
              <w:bottom w:val="single" w:sz="4" w:space="0" w:color="auto"/>
              <w:right w:val="single" w:sz="4" w:space="0" w:color="auto"/>
            </w:tcBorders>
            <w:shd w:val="clear" w:color="auto" w:fill="auto"/>
            <w:vAlign w:val="center"/>
            <w:hideMark/>
          </w:tcPr>
          <w:p w14:paraId="5B9F4254"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07C07FB7"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7EF031DE"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00" w:type="dxa"/>
            <w:tcBorders>
              <w:top w:val="nil"/>
              <w:left w:val="nil"/>
              <w:bottom w:val="single" w:sz="4" w:space="0" w:color="auto"/>
              <w:right w:val="single" w:sz="4" w:space="0" w:color="auto"/>
            </w:tcBorders>
            <w:shd w:val="clear" w:color="auto" w:fill="auto"/>
            <w:vAlign w:val="center"/>
            <w:hideMark/>
          </w:tcPr>
          <w:p w14:paraId="5FB62029"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80" w:type="dxa"/>
            <w:vMerge/>
            <w:tcBorders>
              <w:top w:val="nil"/>
              <w:left w:val="single" w:sz="4" w:space="0" w:color="auto"/>
              <w:bottom w:val="single" w:sz="4" w:space="0" w:color="auto"/>
              <w:right w:val="single" w:sz="4" w:space="0" w:color="auto"/>
            </w:tcBorders>
            <w:vAlign w:val="center"/>
            <w:hideMark/>
          </w:tcPr>
          <w:p w14:paraId="68FCB150" w14:textId="77777777" w:rsidR="00F21AEE" w:rsidRPr="00AB1E0E" w:rsidRDefault="00F21AEE" w:rsidP="008C024E">
            <w:pPr>
              <w:spacing w:after="0"/>
              <w:rPr>
                <w:rFonts w:cs="Calibri"/>
                <w:sz w:val="18"/>
                <w:szCs w:val="18"/>
                <w:lang w:eastAsia="fr-FR"/>
              </w:rPr>
            </w:pPr>
          </w:p>
        </w:tc>
      </w:tr>
      <w:tr w:rsidR="00F21AEE" w:rsidRPr="00F21AEE" w14:paraId="67B98C5F" w14:textId="77777777" w:rsidTr="00F21AEE">
        <w:trPr>
          <w:trHeight w:val="480"/>
        </w:trPr>
        <w:tc>
          <w:tcPr>
            <w:tcW w:w="3180" w:type="dxa"/>
            <w:vMerge/>
            <w:tcBorders>
              <w:top w:val="nil"/>
              <w:left w:val="single" w:sz="4" w:space="0" w:color="auto"/>
              <w:bottom w:val="single" w:sz="4" w:space="0" w:color="000000"/>
              <w:right w:val="single" w:sz="4" w:space="0" w:color="auto"/>
            </w:tcBorders>
            <w:vAlign w:val="center"/>
            <w:hideMark/>
          </w:tcPr>
          <w:p w14:paraId="33D88F5E" w14:textId="77777777" w:rsidR="00F21AEE" w:rsidRPr="00AB1E0E" w:rsidRDefault="00F21AEE" w:rsidP="008C024E">
            <w:pPr>
              <w:spacing w:after="0" w:line="240" w:lineRule="auto"/>
              <w:rPr>
                <w:rFonts w:cs="Calibri"/>
                <w:sz w:val="18"/>
                <w:szCs w:val="18"/>
                <w:lang w:eastAsia="fr-FR"/>
              </w:rPr>
            </w:pPr>
          </w:p>
        </w:tc>
        <w:tc>
          <w:tcPr>
            <w:tcW w:w="5200" w:type="dxa"/>
            <w:tcBorders>
              <w:top w:val="nil"/>
              <w:left w:val="nil"/>
              <w:bottom w:val="single" w:sz="4" w:space="0" w:color="auto"/>
              <w:right w:val="single" w:sz="4" w:space="0" w:color="auto"/>
            </w:tcBorders>
            <w:shd w:val="clear" w:color="auto" w:fill="auto"/>
            <w:vAlign w:val="center"/>
            <w:hideMark/>
          </w:tcPr>
          <w:p w14:paraId="1600E790"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Elaboration et application d'un Plan d'Intervention d'Urgence</w:t>
            </w:r>
          </w:p>
        </w:tc>
        <w:tc>
          <w:tcPr>
            <w:tcW w:w="1420" w:type="dxa"/>
            <w:tcBorders>
              <w:top w:val="nil"/>
              <w:left w:val="nil"/>
              <w:bottom w:val="single" w:sz="4" w:space="0" w:color="auto"/>
              <w:right w:val="single" w:sz="4" w:space="0" w:color="auto"/>
            </w:tcBorders>
            <w:shd w:val="clear" w:color="auto" w:fill="auto"/>
            <w:vAlign w:val="center"/>
            <w:hideMark/>
          </w:tcPr>
          <w:p w14:paraId="3BC02DB2"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56A5C9D9"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313D6EE9"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00" w:type="dxa"/>
            <w:tcBorders>
              <w:top w:val="nil"/>
              <w:left w:val="nil"/>
              <w:bottom w:val="single" w:sz="4" w:space="0" w:color="auto"/>
              <w:right w:val="single" w:sz="4" w:space="0" w:color="auto"/>
            </w:tcBorders>
            <w:shd w:val="clear" w:color="auto" w:fill="auto"/>
            <w:vAlign w:val="center"/>
            <w:hideMark/>
          </w:tcPr>
          <w:p w14:paraId="1CD4BBC3"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80" w:type="dxa"/>
            <w:tcBorders>
              <w:top w:val="nil"/>
              <w:left w:val="nil"/>
              <w:bottom w:val="single" w:sz="4" w:space="0" w:color="auto"/>
              <w:right w:val="single" w:sz="4" w:space="0" w:color="auto"/>
            </w:tcBorders>
            <w:shd w:val="clear" w:color="000000" w:fill="00B050"/>
            <w:vAlign w:val="center"/>
            <w:hideMark/>
          </w:tcPr>
          <w:p w14:paraId="2833D686"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 </w:t>
            </w:r>
          </w:p>
        </w:tc>
      </w:tr>
      <w:tr w:rsidR="00F21AEE" w:rsidRPr="00F21AEE" w14:paraId="14F064CE" w14:textId="77777777" w:rsidTr="00F21AEE">
        <w:trPr>
          <w:trHeight w:val="72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544B1378"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Risques liés au vol et intrusions</w:t>
            </w:r>
          </w:p>
        </w:tc>
        <w:tc>
          <w:tcPr>
            <w:tcW w:w="5200" w:type="dxa"/>
            <w:tcBorders>
              <w:top w:val="nil"/>
              <w:left w:val="nil"/>
              <w:bottom w:val="single" w:sz="4" w:space="0" w:color="auto"/>
              <w:right w:val="single" w:sz="4" w:space="0" w:color="auto"/>
            </w:tcBorders>
            <w:shd w:val="clear" w:color="auto" w:fill="auto"/>
            <w:vAlign w:val="center"/>
            <w:hideMark/>
          </w:tcPr>
          <w:p w14:paraId="5F36BF34"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Mise en place de système de sécurisation du site : clôture, caméra de surveillance, accès restreint et poste de contrôle à l'entrée</w:t>
            </w:r>
          </w:p>
        </w:tc>
        <w:tc>
          <w:tcPr>
            <w:tcW w:w="1420" w:type="dxa"/>
            <w:tcBorders>
              <w:top w:val="nil"/>
              <w:left w:val="nil"/>
              <w:bottom w:val="single" w:sz="4" w:space="0" w:color="auto"/>
              <w:right w:val="single" w:sz="4" w:space="0" w:color="auto"/>
            </w:tcBorders>
            <w:shd w:val="clear" w:color="auto" w:fill="auto"/>
            <w:vAlign w:val="center"/>
            <w:hideMark/>
          </w:tcPr>
          <w:p w14:paraId="52521B36"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32EAC0FB"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72FA3945"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200" w:type="dxa"/>
            <w:tcBorders>
              <w:top w:val="nil"/>
              <w:left w:val="nil"/>
              <w:bottom w:val="single" w:sz="4" w:space="0" w:color="auto"/>
              <w:right w:val="single" w:sz="4" w:space="0" w:color="auto"/>
            </w:tcBorders>
            <w:shd w:val="clear" w:color="auto" w:fill="auto"/>
            <w:vAlign w:val="center"/>
            <w:hideMark/>
          </w:tcPr>
          <w:p w14:paraId="0473EEFA" w14:textId="77777777" w:rsidR="00F21AEE" w:rsidRPr="00AB1E0E" w:rsidRDefault="00F21AEE" w:rsidP="008C024E">
            <w:pPr>
              <w:spacing w:after="0"/>
              <w:jc w:val="center"/>
              <w:rPr>
                <w:rFonts w:cs="Calibri"/>
                <w:sz w:val="18"/>
                <w:szCs w:val="18"/>
                <w:lang w:eastAsia="fr-FR"/>
              </w:rPr>
            </w:pPr>
          </w:p>
        </w:tc>
        <w:tc>
          <w:tcPr>
            <w:tcW w:w="1280" w:type="dxa"/>
            <w:tcBorders>
              <w:top w:val="nil"/>
              <w:left w:val="nil"/>
              <w:bottom w:val="single" w:sz="4" w:space="0" w:color="auto"/>
              <w:right w:val="single" w:sz="4" w:space="0" w:color="auto"/>
            </w:tcBorders>
            <w:shd w:val="clear" w:color="000000" w:fill="00B050"/>
            <w:vAlign w:val="center"/>
            <w:hideMark/>
          </w:tcPr>
          <w:p w14:paraId="6EA3974D"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Mineure</w:t>
            </w:r>
          </w:p>
        </w:tc>
      </w:tr>
      <w:tr w:rsidR="00F21AEE" w:rsidRPr="00F21AEE" w14:paraId="312D11F4" w14:textId="77777777" w:rsidTr="00F21AEE">
        <w:trPr>
          <w:trHeight w:val="300"/>
        </w:trPr>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14:paraId="6557E1D0"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Risque d'augmentation des cas de VBG, EAS/HS dû à l'utilisation d'internet</w:t>
            </w:r>
          </w:p>
        </w:tc>
        <w:tc>
          <w:tcPr>
            <w:tcW w:w="5200" w:type="dxa"/>
            <w:tcBorders>
              <w:top w:val="nil"/>
              <w:left w:val="nil"/>
              <w:bottom w:val="single" w:sz="4" w:space="0" w:color="auto"/>
              <w:right w:val="single" w:sz="4" w:space="0" w:color="auto"/>
            </w:tcBorders>
            <w:shd w:val="clear" w:color="auto" w:fill="auto"/>
            <w:vAlign w:val="center"/>
            <w:hideMark/>
          </w:tcPr>
          <w:p w14:paraId="777EE47E"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 xml:space="preserve">Formation sensibilisation des utilisateurs d'internet. </w:t>
            </w:r>
          </w:p>
        </w:tc>
        <w:tc>
          <w:tcPr>
            <w:tcW w:w="1420" w:type="dxa"/>
            <w:tcBorders>
              <w:top w:val="nil"/>
              <w:left w:val="nil"/>
              <w:bottom w:val="single" w:sz="4" w:space="0" w:color="auto"/>
              <w:right w:val="single" w:sz="4" w:space="0" w:color="auto"/>
            </w:tcBorders>
            <w:shd w:val="clear" w:color="auto" w:fill="auto"/>
            <w:vAlign w:val="center"/>
            <w:hideMark/>
          </w:tcPr>
          <w:p w14:paraId="5A10A03F"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4AE06F12" w14:textId="77777777" w:rsidR="00F21AEE" w:rsidRPr="00AB1E0E" w:rsidRDefault="00F21AEE" w:rsidP="008C024E">
            <w:pPr>
              <w:spacing w:after="0"/>
              <w:jc w:val="center"/>
              <w:rPr>
                <w:rFonts w:cs="Calibri"/>
                <w:sz w:val="18"/>
                <w:szCs w:val="18"/>
                <w:lang w:eastAsia="fr-FR"/>
              </w:rPr>
            </w:pPr>
          </w:p>
        </w:tc>
        <w:tc>
          <w:tcPr>
            <w:tcW w:w="1520" w:type="dxa"/>
            <w:tcBorders>
              <w:top w:val="nil"/>
              <w:left w:val="nil"/>
              <w:bottom w:val="single" w:sz="4" w:space="0" w:color="auto"/>
              <w:right w:val="single" w:sz="4" w:space="0" w:color="auto"/>
            </w:tcBorders>
            <w:shd w:val="clear" w:color="auto" w:fill="auto"/>
            <w:vAlign w:val="center"/>
            <w:hideMark/>
          </w:tcPr>
          <w:p w14:paraId="1F11EBBE" w14:textId="77777777" w:rsidR="00F21AEE" w:rsidRPr="00AB1E0E" w:rsidRDefault="00F21AEE" w:rsidP="008C024E">
            <w:pPr>
              <w:spacing w:after="0"/>
              <w:jc w:val="center"/>
              <w:rPr>
                <w:rFonts w:cs="Calibri"/>
                <w:sz w:val="18"/>
                <w:szCs w:val="18"/>
                <w:lang w:eastAsia="fr-FR"/>
              </w:rPr>
            </w:pPr>
          </w:p>
        </w:tc>
        <w:tc>
          <w:tcPr>
            <w:tcW w:w="1200" w:type="dxa"/>
            <w:tcBorders>
              <w:top w:val="nil"/>
              <w:left w:val="nil"/>
              <w:bottom w:val="single" w:sz="4" w:space="0" w:color="auto"/>
              <w:right w:val="single" w:sz="4" w:space="0" w:color="auto"/>
            </w:tcBorders>
            <w:shd w:val="clear" w:color="auto" w:fill="auto"/>
            <w:vAlign w:val="center"/>
            <w:hideMark/>
          </w:tcPr>
          <w:p w14:paraId="0D8DA893" w14:textId="77777777" w:rsidR="00F21AEE" w:rsidRPr="00AB1E0E" w:rsidRDefault="00F21AEE" w:rsidP="008C024E">
            <w:pPr>
              <w:spacing w:after="0"/>
              <w:jc w:val="center"/>
              <w:rPr>
                <w:rFonts w:cs="Calibri"/>
                <w:sz w:val="18"/>
                <w:szCs w:val="18"/>
                <w:lang w:eastAsia="fr-FR"/>
              </w:rPr>
            </w:pPr>
          </w:p>
        </w:tc>
        <w:tc>
          <w:tcPr>
            <w:tcW w:w="1280" w:type="dxa"/>
            <w:vMerge w:val="restart"/>
            <w:tcBorders>
              <w:top w:val="nil"/>
              <w:left w:val="single" w:sz="4" w:space="0" w:color="auto"/>
              <w:bottom w:val="single" w:sz="4" w:space="0" w:color="auto"/>
              <w:right w:val="single" w:sz="4" w:space="0" w:color="auto"/>
            </w:tcBorders>
            <w:shd w:val="clear" w:color="000000" w:fill="00B050"/>
            <w:vAlign w:val="center"/>
            <w:hideMark/>
          </w:tcPr>
          <w:p w14:paraId="0E88CCFF"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Mineure</w:t>
            </w:r>
          </w:p>
        </w:tc>
      </w:tr>
      <w:tr w:rsidR="00F21AEE" w:rsidRPr="00F21AEE" w14:paraId="04EEE8B9" w14:textId="77777777" w:rsidTr="00F21AEE">
        <w:trPr>
          <w:trHeight w:val="480"/>
        </w:trPr>
        <w:tc>
          <w:tcPr>
            <w:tcW w:w="3180" w:type="dxa"/>
            <w:vMerge/>
            <w:tcBorders>
              <w:top w:val="nil"/>
              <w:left w:val="single" w:sz="4" w:space="0" w:color="auto"/>
              <w:bottom w:val="single" w:sz="4" w:space="0" w:color="auto"/>
              <w:right w:val="single" w:sz="4" w:space="0" w:color="auto"/>
            </w:tcBorders>
            <w:vAlign w:val="center"/>
            <w:hideMark/>
          </w:tcPr>
          <w:p w14:paraId="291683C6" w14:textId="77777777" w:rsidR="00F21AEE" w:rsidRPr="00AB1E0E" w:rsidRDefault="00F21AEE" w:rsidP="008C024E">
            <w:pPr>
              <w:spacing w:after="0" w:line="240" w:lineRule="auto"/>
              <w:rPr>
                <w:rFonts w:cs="Calibri"/>
                <w:sz w:val="18"/>
                <w:szCs w:val="18"/>
                <w:lang w:eastAsia="fr-FR"/>
              </w:rPr>
            </w:pPr>
          </w:p>
        </w:tc>
        <w:tc>
          <w:tcPr>
            <w:tcW w:w="5200" w:type="dxa"/>
            <w:tcBorders>
              <w:top w:val="nil"/>
              <w:left w:val="nil"/>
              <w:bottom w:val="single" w:sz="4" w:space="0" w:color="auto"/>
              <w:right w:val="single" w:sz="4" w:space="0" w:color="auto"/>
            </w:tcBorders>
            <w:shd w:val="clear" w:color="auto" w:fill="auto"/>
            <w:vAlign w:val="center"/>
            <w:hideMark/>
          </w:tcPr>
          <w:p w14:paraId="5FCA1D5E"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Sensibilisation sur l’importance du contrôle parental pour l’accès à internet des enfants.</w:t>
            </w:r>
          </w:p>
        </w:tc>
        <w:tc>
          <w:tcPr>
            <w:tcW w:w="1420" w:type="dxa"/>
            <w:tcBorders>
              <w:top w:val="nil"/>
              <w:left w:val="nil"/>
              <w:bottom w:val="single" w:sz="4" w:space="0" w:color="auto"/>
              <w:right w:val="single" w:sz="4" w:space="0" w:color="auto"/>
            </w:tcBorders>
            <w:shd w:val="clear" w:color="auto" w:fill="auto"/>
            <w:vAlign w:val="center"/>
            <w:hideMark/>
          </w:tcPr>
          <w:p w14:paraId="67D58234"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04F0E3AE" w14:textId="77777777" w:rsidR="00F21AEE" w:rsidRPr="00AB1E0E" w:rsidRDefault="00F21AEE" w:rsidP="008C024E">
            <w:pPr>
              <w:spacing w:after="0"/>
              <w:jc w:val="center"/>
              <w:rPr>
                <w:rFonts w:cs="Calibri"/>
                <w:sz w:val="18"/>
                <w:szCs w:val="18"/>
                <w:lang w:eastAsia="fr-FR"/>
              </w:rPr>
            </w:pPr>
          </w:p>
        </w:tc>
        <w:tc>
          <w:tcPr>
            <w:tcW w:w="1520" w:type="dxa"/>
            <w:tcBorders>
              <w:top w:val="nil"/>
              <w:left w:val="nil"/>
              <w:bottom w:val="single" w:sz="4" w:space="0" w:color="auto"/>
              <w:right w:val="single" w:sz="4" w:space="0" w:color="auto"/>
            </w:tcBorders>
            <w:shd w:val="clear" w:color="auto" w:fill="auto"/>
            <w:vAlign w:val="center"/>
            <w:hideMark/>
          </w:tcPr>
          <w:p w14:paraId="285B3512" w14:textId="77777777" w:rsidR="00F21AEE" w:rsidRPr="00AB1E0E" w:rsidRDefault="00F21AEE" w:rsidP="008C024E">
            <w:pPr>
              <w:spacing w:after="0"/>
              <w:jc w:val="center"/>
              <w:rPr>
                <w:rFonts w:cs="Calibri"/>
                <w:sz w:val="18"/>
                <w:szCs w:val="18"/>
                <w:lang w:eastAsia="fr-FR"/>
              </w:rPr>
            </w:pPr>
          </w:p>
        </w:tc>
        <w:tc>
          <w:tcPr>
            <w:tcW w:w="1200" w:type="dxa"/>
            <w:tcBorders>
              <w:top w:val="nil"/>
              <w:left w:val="nil"/>
              <w:bottom w:val="single" w:sz="4" w:space="0" w:color="auto"/>
              <w:right w:val="single" w:sz="4" w:space="0" w:color="auto"/>
            </w:tcBorders>
            <w:shd w:val="clear" w:color="auto" w:fill="auto"/>
            <w:vAlign w:val="center"/>
            <w:hideMark/>
          </w:tcPr>
          <w:p w14:paraId="4E0FC97B" w14:textId="77777777" w:rsidR="00F21AEE" w:rsidRPr="00AB1E0E" w:rsidRDefault="00F21AEE" w:rsidP="008C024E">
            <w:pPr>
              <w:spacing w:after="0"/>
              <w:jc w:val="center"/>
              <w:rPr>
                <w:rFonts w:cs="Calibri"/>
                <w:sz w:val="18"/>
                <w:szCs w:val="18"/>
                <w:lang w:eastAsia="fr-FR"/>
              </w:rPr>
            </w:pPr>
          </w:p>
        </w:tc>
        <w:tc>
          <w:tcPr>
            <w:tcW w:w="1280" w:type="dxa"/>
            <w:vMerge/>
            <w:tcBorders>
              <w:top w:val="nil"/>
              <w:left w:val="single" w:sz="4" w:space="0" w:color="auto"/>
              <w:bottom w:val="single" w:sz="4" w:space="0" w:color="auto"/>
              <w:right w:val="single" w:sz="4" w:space="0" w:color="auto"/>
            </w:tcBorders>
            <w:vAlign w:val="center"/>
            <w:hideMark/>
          </w:tcPr>
          <w:p w14:paraId="4EB15AA2" w14:textId="77777777" w:rsidR="00F21AEE" w:rsidRPr="00AB1E0E" w:rsidRDefault="00F21AEE" w:rsidP="008C024E">
            <w:pPr>
              <w:spacing w:after="0"/>
              <w:rPr>
                <w:rFonts w:cs="Calibri"/>
                <w:sz w:val="18"/>
                <w:szCs w:val="18"/>
                <w:lang w:eastAsia="fr-FR"/>
              </w:rPr>
            </w:pPr>
          </w:p>
        </w:tc>
      </w:tr>
      <w:tr w:rsidR="00F21AEE" w:rsidRPr="00F21AEE" w14:paraId="333B864E" w14:textId="77777777" w:rsidTr="00F21AEE">
        <w:trPr>
          <w:trHeight w:val="480"/>
        </w:trPr>
        <w:tc>
          <w:tcPr>
            <w:tcW w:w="3180" w:type="dxa"/>
            <w:vMerge/>
            <w:tcBorders>
              <w:top w:val="nil"/>
              <w:left w:val="single" w:sz="4" w:space="0" w:color="auto"/>
              <w:bottom w:val="single" w:sz="4" w:space="0" w:color="auto"/>
              <w:right w:val="single" w:sz="4" w:space="0" w:color="auto"/>
            </w:tcBorders>
            <w:vAlign w:val="center"/>
            <w:hideMark/>
          </w:tcPr>
          <w:p w14:paraId="5C62BBF3" w14:textId="77777777" w:rsidR="00F21AEE" w:rsidRPr="00AB1E0E" w:rsidRDefault="00F21AEE" w:rsidP="008C024E">
            <w:pPr>
              <w:spacing w:after="0" w:line="240" w:lineRule="auto"/>
              <w:rPr>
                <w:rFonts w:cs="Calibri"/>
                <w:sz w:val="18"/>
                <w:szCs w:val="18"/>
                <w:lang w:eastAsia="fr-FR"/>
              </w:rPr>
            </w:pPr>
          </w:p>
        </w:tc>
        <w:tc>
          <w:tcPr>
            <w:tcW w:w="5200" w:type="dxa"/>
            <w:tcBorders>
              <w:top w:val="nil"/>
              <w:left w:val="nil"/>
              <w:bottom w:val="single" w:sz="4" w:space="0" w:color="auto"/>
              <w:right w:val="single" w:sz="4" w:space="0" w:color="auto"/>
            </w:tcBorders>
            <w:shd w:val="clear" w:color="auto" w:fill="auto"/>
            <w:vAlign w:val="center"/>
            <w:hideMark/>
          </w:tcPr>
          <w:p w14:paraId="52D142B3"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 xml:space="preserve">Mise en place de structure de gestion des plaintes VBG et EAS/HS. </w:t>
            </w:r>
          </w:p>
        </w:tc>
        <w:tc>
          <w:tcPr>
            <w:tcW w:w="1420" w:type="dxa"/>
            <w:tcBorders>
              <w:top w:val="nil"/>
              <w:left w:val="nil"/>
              <w:bottom w:val="single" w:sz="4" w:space="0" w:color="auto"/>
              <w:right w:val="single" w:sz="4" w:space="0" w:color="auto"/>
            </w:tcBorders>
            <w:shd w:val="clear" w:color="auto" w:fill="auto"/>
            <w:vAlign w:val="center"/>
            <w:hideMark/>
          </w:tcPr>
          <w:p w14:paraId="40F8BCAC"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216ADEB0" w14:textId="77777777" w:rsidR="00F21AEE" w:rsidRPr="00AB1E0E" w:rsidRDefault="00F21AEE" w:rsidP="008C024E">
            <w:pPr>
              <w:spacing w:after="0"/>
              <w:jc w:val="center"/>
              <w:rPr>
                <w:rFonts w:cs="Calibri"/>
                <w:sz w:val="18"/>
                <w:szCs w:val="18"/>
                <w:lang w:eastAsia="fr-FR"/>
              </w:rPr>
            </w:pPr>
          </w:p>
        </w:tc>
        <w:tc>
          <w:tcPr>
            <w:tcW w:w="1520" w:type="dxa"/>
            <w:tcBorders>
              <w:top w:val="nil"/>
              <w:left w:val="nil"/>
              <w:bottom w:val="single" w:sz="4" w:space="0" w:color="auto"/>
              <w:right w:val="single" w:sz="4" w:space="0" w:color="auto"/>
            </w:tcBorders>
            <w:shd w:val="clear" w:color="auto" w:fill="auto"/>
            <w:vAlign w:val="center"/>
            <w:hideMark/>
          </w:tcPr>
          <w:p w14:paraId="1BEDD55D" w14:textId="77777777" w:rsidR="00F21AEE" w:rsidRPr="00AB1E0E" w:rsidRDefault="00F21AEE" w:rsidP="008C024E">
            <w:pPr>
              <w:spacing w:after="0"/>
              <w:jc w:val="center"/>
              <w:rPr>
                <w:rFonts w:cs="Calibri"/>
                <w:sz w:val="18"/>
                <w:szCs w:val="18"/>
                <w:lang w:eastAsia="fr-FR"/>
              </w:rPr>
            </w:pPr>
          </w:p>
        </w:tc>
        <w:tc>
          <w:tcPr>
            <w:tcW w:w="1200" w:type="dxa"/>
            <w:tcBorders>
              <w:top w:val="nil"/>
              <w:left w:val="nil"/>
              <w:bottom w:val="single" w:sz="4" w:space="0" w:color="auto"/>
              <w:right w:val="single" w:sz="4" w:space="0" w:color="auto"/>
            </w:tcBorders>
            <w:shd w:val="clear" w:color="auto" w:fill="auto"/>
            <w:vAlign w:val="center"/>
            <w:hideMark/>
          </w:tcPr>
          <w:p w14:paraId="0E1F18F2" w14:textId="77777777" w:rsidR="00F21AEE" w:rsidRPr="00AB1E0E" w:rsidRDefault="00F21AEE" w:rsidP="008C024E">
            <w:pPr>
              <w:spacing w:after="0"/>
              <w:jc w:val="center"/>
              <w:rPr>
                <w:rFonts w:cs="Calibri"/>
                <w:sz w:val="18"/>
                <w:szCs w:val="18"/>
                <w:lang w:eastAsia="fr-FR"/>
              </w:rPr>
            </w:pPr>
          </w:p>
        </w:tc>
        <w:tc>
          <w:tcPr>
            <w:tcW w:w="1280" w:type="dxa"/>
            <w:vMerge/>
            <w:tcBorders>
              <w:top w:val="nil"/>
              <w:left w:val="single" w:sz="4" w:space="0" w:color="auto"/>
              <w:bottom w:val="single" w:sz="4" w:space="0" w:color="auto"/>
              <w:right w:val="single" w:sz="4" w:space="0" w:color="auto"/>
            </w:tcBorders>
            <w:vAlign w:val="center"/>
            <w:hideMark/>
          </w:tcPr>
          <w:p w14:paraId="5A0CAC51" w14:textId="77777777" w:rsidR="00F21AEE" w:rsidRPr="00AB1E0E" w:rsidRDefault="00F21AEE" w:rsidP="008C024E">
            <w:pPr>
              <w:spacing w:after="0"/>
              <w:rPr>
                <w:rFonts w:cs="Calibri"/>
                <w:sz w:val="18"/>
                <w:szCs w:val="18"/>
                <w:lang w:eastAsia="fr-FR"/>
              </w:rPr>
            </w:pPr>
          </w:p>
        </w:tc>
      </w:tr>
      <w:tr w:rsidR="00F21AEE" w:rsidRPr="00F21AEE" w14:paraId="488B9903" w14:textId="77777777" w:rsidTr="00F21AEE">
        <w:trPr>
          <w:trHeight w:val="480"/>
        </w:trPr>
        <w:tc>
          <w:tcPr>
            <w:tcW w:w="3180" w:type="dxa"/>
            <w:vMerge/>
            <w:tcBorders>
              <w:top w:val="nil"/>
              <w:left w:val="single" w:sz="4" w:space="0" w:color="auto"/>
              <w:bottom w:val="single" w:sz="4" w:space="0" w:color="auto"/>
              <w:right w:val="single" w:sz="4" w:space="0" w:color="auto"/>
            </w:tcBorders>
            <w:vAlign w:val="center"/>
            <w:hideMark/>
          </w:tcPr>
          <w:p w14:paraId="0D9C20E0" w14:textId="77777777" w:rsidR="00F21AEE" w:rsidRPr="00AB1E0E" w:rsidRDefault="00F21AEE" w:rsidP="008C024E">
            <w:pPr>
              <w:spacing w:after="0" w:line="240" w:lineRule="auto"/>
              <w:rPr>
                <w:rFonts w:cs="Calibri"/>
                <w:sz w:val="18"/>
                <w:szCs w:val="18"/>
                <w:lang w:eastAsia="fr-FR"/>
              </w:rPr>
            </w:pPr>
          </w:p>
        </w:tc>
        <w:tc>
          <w:tcPr>
            <w:tcW w:w="5200" w:type="dxa"/>
            <w:tcBorders>
              <w:top w:val="nil"/>
              <w:left w:val="nil"/>
              <w:bottom w:val="single" w:sz="4" w:space="0" w:color="auto"/>
              <w:right w:val="single" w:sz="4" w:space="0" w:color="auto"/>
            </w:tcBorders>
            <w:shd w:val="clear" w:color="auto" w:fill="auto"/>
            <w:vAlign w:val="center"/>
            <w:hideMark/>
          </w:tcPr>
          <w:p w14:paraId="39A5F03E"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Renforcement de capacité et formation des autorités concernées (police nationale, gendarmerie…).</w:t>
            </w:r>
          </w:p>
        </w:tc>
        <w:tc>
          <w:tcPr>
            <w:tcW w:w="1420" w:type="dxa"/>
            <w:tcBorders>
              <w:top w:val="nil"/>
              <w:left w:val="nil"/>
              <w:bottom w:val="single" w:sz="4" w:space="0" w:color="auto"/>
              <w:right w:val="single" w:sz="4" w:space="0" w:color="auto"/>
            </w:tcBorders>
            <w:shd w:val="clear" w:color="auto" w:fill="auto"/>
            <w:vAlign w:val="center"/>
            <w:hideMark/>
          </w:tcPr>
          <w:p w14:paraId="2DFE3D36"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0D7F0D6C" w14:textId="77777777" w:rsidR="00F21AEE" w:rsidRPr="00AB1E0E" w:rsidRDefault="00F21AEE" w:rsidP="008C024E">
            <w:pPr>
              <w:spacing w:after="0"/>
              <w:jc w:val="center"/>
              <w:rPr>
                <w:rFonts w:cs="Calibri"/>
                <w:sz w:val="18"/>
                <w:szCs w:val="18"/>
                <w:lang w:eastAsia="fr-FR"/>
              </w:rPr>
            </w:pPr>
          </w:p>
        </w:tc>
        <w:tc>
          <w:tcPr>
            <w:tcW w:w="1520" w:type="dxa"/>
            <w:tcBorders>
              <w:top w:val="nil"/>
              <w:left w:val="nil"/>
              <w:bottom w:val="single" w:sz="4" w:space="0" w:color="auto"/>
              <w:right w:val="single" w:sz="4" w:space="0" w:color="auto"/>
            </w:tcBorders>
            <w:shd w:val="clear" w:color="auto" w:fill="auto"/>
            <w:vAlign w:val="center"/>
            <w:hideMark/>
          </w:tcPr>
          <w:p w14:paraId="5E32A2AD" w14:textId="77777777" w:rsidR="00F21AEE" w:rsidRPr="00AB1E0E" w:rsidRDefault="00F21AEE" w:rsidP="008C024E">
            <w:pPr>
              <w:spacing w:after="0"/>
              <w:jc w:val="center"/>
              <w:rPr>
                <w:rFonts w:cs="Calibri"/>
                <w:sz w:val="18"/>
                <w:szCs w:val="18"/>
                <w:lang w:eastAsia="fr-FR"/>
              </w:rPr>
            </w:pPr>
          </w:p>
        </w:tc>
        <w:tc>
          <w:tcPr>
            <w:tcW w:w="1200" w:type="dxa"/>
            <w:tcBorders>
              <w:top w:val="nil"/>
              <w:left w:val="nil"/>
              <w:bottom w:val="single" w:sz="4" w:space="0" w:color="auto"/>
              <w:right w:val="single" w:sz="4" w:space="0" w:color="auto"/>
            </w:tcBorders>
            <w:shd w:val="clear" w:color="auto" w:fill="auto"/>
            <w:vAlign w:val="center"/>
            <w:hideMark/>
          </w:tcPr>
          <w:p w14:paraId="5797BAC3" w14:textId="77777777" w:rsidR="00F21AEE" w:rsidRPr="00AB1E0E" w:rsidRDefault="00F21AEE" w:rsidP="008C024E">
            <w:pPr>
              <w:spacing w:after="0"/>
              <w:jc w:val="center"/>
              <w:rPr>
                <w:rFonts w:cs="Calibri"/>
                <w:sz w:val="18"/>
                <w:szCs w:val="18"/>
                <w:lang w:eastAsia="fr-FR"/>
              </w:rPr>
            </w:pPr>
          </w:p>
        </w:tc>
        <w:tc>
          <w:tcPr>
            <w:tcW w:w="1280" w:type="dxa"/>
            <w:vMerge/>
            <w:tcBorders>
              <w:top w:val="nil"/>
              <w:left w:val="single" w:sz="4" w:space="0" w:color="auto"/>
              <w:bottom w:val="single" w:sz="4" w:space="0" w:color="auto"/>
              <w:right w:val="single" w:sz="4" w:space="0" w:color="auto"/>
            </w:tcBorders>
            <w:vAlign w:val="center"/>
            <w:hideMark/>
          </w:tcPr>
          <w:p w14:paraId="72E4A49A" w14:textId="77777777" w:rsidR="00F21AEE" w:rsidRPr="00AB1E0E" w:rsidRDefault="00F21AEE" w:rsidP="008C024E">
            <w:pPr>
              <w:spacing w:after="0"/>
              <w:rPr>
                <w:rFonts w:cs="Calibri"/>
                <w:sz w:val="18"/>
                <w:szCs w:val="18"/>
                <w:lang w:eastAsia="fr-FR"/>
              </w:rPr>
            </w:pPr>
          </w:p>
        </w:tc>
      </w:tr>
      <w:tr w:rsidR="00F21AEE" w:rsidRPr="00F21AEE" w14:paraId="730137D8" w14:textId="77777777" w:rsidTr="00F21AEE">
        <w:trPr>
          <w:trHeight w:val="72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2E79E5AD"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Risque d'augmentation de cas de cybercriminalité</w:t>
            </w:r>
          </w:p>
        </w:tc>
        <w:tc>
          <w:tcPr>
            <w:tcW w:w="5200" w:type="dxa"/>
            <w:tcBorders>
              <w:top w:val="nil"/>
              <w:left w:val="nil"/>
              <w:bottom w:val="single" w:sz="4" w:space="0" w:color="auto"/>
              <w:right w:val="single" w:sz="4" w:space="0" w:color="auto"/>
            </w:tcBorders>
            <w:shd w:val="clear" w:color="auto" w:fill="auto"/>
            <w:vAlign w:val="center"/>
            <w:hideMark/>
          </w:tcPr>
          <w:p w14:paraId="156CF2AB"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Renforcement de capacité et formation des autorités concernées (police nationale, gendarmerie…). Dotation d'équipements de lutte contre la cybercriminalité</w:t>
            </w:r>
          </w:p>
        </w:tc>
        <w:tc>
          <w:tcPr>
            <w:tcW w:w="1420" w:type="dxa"/>
            <w:tcBorders>
              <w:top w:val="nil"/>
              <w:left w:val="nil"/>
              <w:bottom w:val="single" w:sz="4" w:space="0" w:color="auto"/>
              <w:right w:val="single" w:sz="4" w:space="0" w:color="auto"/>
            </w:tcBorders>
            <w:shd w:val="clear" w:color="auto" w:fill="auto"/>
            <w:vAlign w:val="center"/>
            <w:hideMark/>
          </w:tcPr>
          <w:p w14:paraId="0FA65547"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060" w:type="dxa"/>
            <w:tcBorders>
              <w:top w:val="nil"/>
              <w:left w:val="nil"/>
              <w:bottom w:val="single" w:sz="4" w:space="0" w:color="auto"/>
              <w:right w:val="single" w:sz="4" w:space="0" w:color="auto"/>
            </w:tcBorders>
            <w:shd w:val="clear" w:color="auto" w:fill="auto"/>
            <w:vAlign w:val="center"/>
            <w:hideMark/>
          </w:tcPr>
          <w:p w14:paraId="7B223F62" w14:textId="77777777" w:rsidR="00F21AEE" w:rsidRPr="00AB1E0E" w:rsidRDefault="00F21AEE" w:rsidP="008C024E">
            <w:pPr>
              <w:spacing w:after="0"/>
              <w:jc w:val="center"/>
              <w:rPr>
                <w:rFonts w:cs="Calibri"/>
                <w:sz w:val="18"/>
                <w:szCs w:val="18"/>
                <w:lang w:eastAsia="fr-FR"/>
              </w:rPr>
            </w:pPr>
          </w:p>
        </w:tc>
        <w:tc>
          <w:tcPr>
            <w:tcW w:w="1520" w:type="dxa"/>
            <w:tcBorders>
              <w:top w:val="nil"/>
              <w:left w:val="nil"/>
              <w:bottom w:val="single" w:sz="4" w:space="0" w:color="auto"/>
              <w:right w:val="single" w:sz="4" w:space="0" w:color="auto"/>
            </w:tcBorders>
            <w:shd w:val="clear" w:color="auto" w:fill="auto"/>
            <w:vAlign w:val="center"/>
            <w:hideMark/>
          </w:tcPr>
          <w:p w14:paraId="6BE69473" w14:textId="77777777" w:rsidR="00F21AEE" w:rsidRPr="00AB1E0E" w:rsidRDefault="00F21AEE" w:rsidP="008C024E">
            <w:pPr>
              <w:spacing w:after="0"/>
              <w:jc w:val="center"/>
              <w:rPr>
                <w:rFonts w:cs="Calibri"/>
                <w:sz w:val="18"/>
                <w:szCs w:val="18"/>
                <w:lang w:eastAsia="fr-FR"/>
              </w:rPr>
            </w:pPr>
          </w:p>
        </w:tc>
        <w:tc>
          <w:tcPr>
            <w:tcW w:w="1200" w:type="dxa"/>
            <w:tcBorders>
              <w:top w:val="nil"/>
              <w:left w:val="nil"/>
              <w:bottom w:val="single" w:sz="4" w:space="0" w:color="auto"/>
              <w:right w:val="single" w:sz="4" w:space="0" w:color="auto"/>
            </w:tcBorders>
            <w:shd w:val="clear" w:color="auto" w:fill="auto"/>
            <w:vAlign w:val="center"/>
            <w:hideMark/>
          </w:tcPr>
          <w:p w14:paraId="07D9F7BE" w14:textId="77777777" w:rsidR="00F21AEE" w:rsidRPr="00AB1E0E" w:rsidRDefault="00F21AEE" w:rsidP="008C024E">
            <w:pPr>
              <w:spacing w:after="0"/>
              <w:jc w:val="center"/>
              <w:rPr>
                <w:rFonts w:cs="Calibri"/>
                <w:sz w:val="18"/>
                <w:szCs w:val="18"/>
                <w:lang w:eastAsia="fr-FR"/>
              </w:rPr>
            </w:pPr>
          </w:p>
        </w:tc>
        <w:tc>
          <w:tcPr>
            <w:tcW w:w="1280" w:type="dxa"/>
            <w:tcBorders>
              <w:top w:val="nil"/>
              <w:left w:val="nil"/>
              <w:bottom w:val="single" w:sz="4" w:space="0" w:color="auto"/>
              <w:right w:val="single" w:sz="4" w:space="0" w:color="auto"/>
            </w:tcBorders>
            <w:shd w:val="clear" w:color="000000" w:fill="00B050"/>
            <w:vAlign w:val="center"/>
            <w:hideMark/>
          </w:tcPr>
          <w:p w14:paraId="5001E028"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Mineure</w:t>
            </w:r>
          </w:p>
        </w:tc>
      </w:tr>
      <w:tr w:rsidR="00F21AEE" w:rsidRPr="00F21AEE" w14:paraId="4132867A" w14:textId="77777777" w:rsidTr="00F21AEE">
        <w:trPr>
          <w:trHeight w:val="480"/>
        </w:trPr>
        <w:tc>
          <w:tcPr>
            <w:tcW w:w="3180" w:type="dxa"/>
            <w:vMerge w:val="restart"/>
            <w:tcBorders>
              <w:top w:val="nil"/>
              <w:left w:val="single" w:sz="4" w:space="0" w:color="auto"/>
              <w:bottom w:val="single" w:sz="4" w:space="0" w:color="000000"/>
              <w:right w:val="single" w:sz="4" w:space="0" w:color="auto"/>
            </w:tcBorders>
            <w:shd w:val="clear" w:color="auto" w:fill="auto"/>
            <w:vAlign w:val="center"/>
            <w:hideMark/>
          </w:tcPr>
          <w:p w14:paraId="10C84718"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Atteinte à la sécurité de la population</w:t>
            </w:r>
          </w:p>
        </w:tc>
        <w:tc>
          <w:tcPr>
            <w:tcW w:w="5200" w:type="dxa"/>
            <w:tcBorders>
              <w:top w:val="nil"/>
              <w:left w:val="nil"/>
              <w:bottom w:val="single" w:sz="4" w:space="0" w:color="auto"/>
              <w:right w:val="single" w:sz="4" w:space="0" w:color="auto"/>
            </w:tcBorders>
            <w:shd w:val="clear" w:color="auto" w:fill="auto"/>
            <w:vAlign w:val="center"/>
            <w:hideMark/>
          </w:tcPr>
          <w:p w14:paraId="6E5C0D4D"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 xml:space="preserve">Elaboration et application d'un Manuel de sécurité des </w:t>
            </w:r>
            <w:r w:rsidR="00084A8B" w:rsidRPr="00AB1E0E">
              <w:rPr>
                <w:rFonts w:cs="Calibri"/>
                <w:sz w:val="18"/>
                <w:szCs w:val="18"/>
                <w:lang w:eastAsia="fr-FR"/>
              </w:rPr>
              <w:t>barrages</w:t>
            </w:r>
          </w:p>
        </w:tc>
        <w:tc>
          <w:tcPr>
            <w:tcW w:w="1420" w:type="dxa"/>
            <w:tcBorders>
              <w:top w:val="nil"/>
              <w:left w:val="nil"/>
              <w:bottom w:val="single" w:sz="4" w:space="0" w:color="auto"/>
              <w:right w:val="single" w:sz="4" w:space="0" w:color="auto"/>
            </w:tcBorders>
            <w:shd w:val="clear" w:color="auto" w:fill="auto"/>
            <w:vAlign w:val="center"/>
            <w:hideMark/>
          </w:tcPr>
          <w:p w14:paraId="5C773BE8" w14:textId="77777777" w:rsidR="00F21AEE" w:rsidRPr="00AB1E0E" w:rsidRDefault="00F21AEE" w:rsidP="008C024E">
            <w:pPr>
              <w:spacing w:after="0"/>
              <w:jc w:val="center"/>
              <w:rPr>
                <w:rFonts w:cs="Calibri"/>
                <w:sz w:val="18"/>
                <w:szCs w:val="18"/>
                <w:lang w:eastAsia="fr-FR"/>
              </w:rPr>
            </w:pPr>
          </w:p>
        </w:tc>
        <w:tc>
          <w:tcPr>
            <w:tcW w:w="1060" w:type="dxa"/>
            <w:tcBorders>
              <w:top w:val="nil"/>
              <w:left w:val="nil"/>
              <w:bottom w:val="single" w:sz="4" w:space="0" w:color="auto"/>
              <w:right w:val="single" w:sz="4" w:space="0" w:color="auto"/>
            </w:tcBorders>
            <w:shd w:val="clear" w:color="auto" w:fill="auto"/>
            <w:vAlign w:val="center"/>
            <w:hideMark/>
          </w:tcPr>
          <w:p w14:paraId="654213B6"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32FB248E" w14:textId="77777777" w:rsidR="00F21AEE" w:rsidRPr="00AB1E0E" w:rsidRDefault="00F21AEE" w:rsidP="008C024E">
            <w:pPr>
              <w:spacing w:after="0"/>
              <w:jc w:val="center"/>
              <w:rPr>
                <w:rFonts w:cs="Calibri"/>
                <w:sz w:val="18"/>
                <w:szCs w:val="18"/>
                <w:lang w:eastAsia="fr-FR"/>
              </w:rPr>
            </w:pPr>
          </w:p>
        </w:tc>
        <w:tc>
          <w:tcPr>
            <w:tcW w:w="1200" w:type="dxa"/>
            <w:tcBorders>
              <w:top w:val="nil"/>
              <w:left w:val="nil"/>
              <w:bottom w:val="single" w:sz="4" w:space="0" w:color="auto"/>
              <w:right w:val="single" w:sz="4" w:space="0" w:color="auto"/>
            </w:tcBorders>
            <w:shd w:val="clear" w:color="auto" w:fill="auto"/>
            <w:vAlign w:val="center"/>
            <w:hideMark/>
          </w:tcPr>
          <w:p w14:paraId="67B62397" w14:textId="77777777" w:rsidR="00F21AEE" w:rsidRPr="00AB1E0E" w:rsidRDefault="00F21AEE" w:rsidP="008C024E">
            <w:pPr>
              <w:spacing w:after="0"/>
              <w:jc w:val="center"/>
              <w:rPr>
                <w:rFonts w:cs="Calibri"/>
                <w:sz w:val="18"/>
                <w:szCs w:val="18"/>
                <w:lang w:eastAsia="fr-FR"/>
              </w:rPr>
            </w:pPr>
          </w:p>
        </w:tc>
        <w:tc>
          <w:tcPr>
            <w:tcW w:w="1280" w:type="dxa"/>
            <w:vMerge w:val="restart"/>
            <w:tcBorders>
              <w:top w:val="nil"/>
              <w:left w:val="single" w:sz="4" w:space="0" w:color="auto"/>
              <w:bottom w:val="single" w:sz="4" w:space="0" w:color="auto"/>
              <w:right w:val="single" w:sz="4" w:space="0" w:color="auto"/>
            </w:tcBorders>
            <w:shd w:val="clear" w:color="000000" w:fill="00B050"/>
            <w:vAlign w:val="center"/>
            <w:hideMark/>
          </w:tcPr>
          <w:p w14:paraId="5180470C" w14:textId="77777777" w:rsidR="00F21AEE" w:rsidRPr="00AB1E0E" w:rsidRDefault="00F21AEE" w:rsidP="008C024E">
            <w:pPr>
              <w:spacing w:after="0"/>
              <w:rPr>
                <w:rFonts w:cs="Calibri"/>
                <w:sz w:val="18"/>
                <w:szCs w:val="18"/>
                <w:lang w:eastAsia="fr-FR"/>
              </w:rPr>
            </w:pPr>
            <w:r w:rsidRPr="00AB1E0E">
              <w:rPr>
                <w:rFonts w:cs="Calibri"/>
                <w:sz w:val="18"/>
                <w:szCs w:val="18"/>
                <w:lang w:eastAsia="fr-FR"/>
              </w:rPr>
              <w:t>Mineure</w:t>
            </w:r>
          </w:p>
        </w:tc>
      </w:tr>
      <w:tr w:rsidR="00F21AEE" w:rsidRPr="00F21AEE" w14:paraId="0D13CBF5" w14:textId="77777777" w:rsidTr="00F21AEE">
        <w:trPr>
          <w:trHeight w:val="300"/>
        </w:trPr>
        <w:tc>
          <w:tcPr>
            <w:tcW w:w="3180" w:type="dxa"/>
            <w:vMerge/>
            <w:tcBorders>
              <w:top w:val="nil"/>
              <w:left w:val="single" w:sz="4" w:space="0" w:color="auto"/>
              <w:bottom w:val="single" w:sz="4" w:space="0" w:color="000000"/>
              <w:right w:val="single" w:sz="4" w:space="0" w:color="auto"/>
            </w:tcBorders>
            <w:vAlign w:val="center"/>
            <w:hideMark/>
          </w:tcPr>
          <w:p w14:paraId="4A5DDE78" w14:textId="77777777" w:rsidR="00F21AEE" w:rsidRPr="00AB1E0E" w:rsidRDefault="00F21AEE" w:rsidP="008C024E">
            <w:pPr>
              <w:spacing w:after="0" w:line="240" w:lineRule="auto"/>
              <w:rPr>
                <w:rFonts w:cs="Calibri"/>
                <w:sz w:val="18"/>
                <w:szCs w:val="18"/>
                <w:lang w:eastAsia="fr-FR"/>
              </w:rPr>
            </w:pPr>
          </w:p>
        </w:tc>
        <w:tc>
          <w:tcPr>
            <w:tcW w:w="5200" w:type="dxa"/>
            <w:tcBorders>
              <w:top w:val="nil"/>
              <w:left w:val="nil"/>
              <w:bottom w:val="single" w:sz="4" w:space="0" w:color="auto"/>
              <w:right w:val="single" w:sz="4" w:space="0" w:color="auto"/>
            </w:tcBorders>
            <w:shd w:val="clear" w:color="auto" w:fill="auto"/>
            <w:vAlign w:val="center"/>
            <w:hideMark/>
          </w:tcPr>
          <w:p w14:paraId="0E2C8DDE" w14:textId="77777777" w:rsidR="00F21AEE" w:rsidRPr="00AB1E0E" w:rsidRDefault="00084A8B" w:rsidP="008C024E">
            <w:pPr>
              <w:spacing w:after="0" w:line="240" w:lineRule="auto"/>
              <w:rPr>
                <w:rFonts w:cs="Calibri"/>
                <w:sz w:val="18"/>
                <w:szCs w:val="18"/>
                <w:lang w:eastAsia="fr-FR"/>
              </w:rPr>
            </w:pPr>
            <w:r w:rsidRPr="00AB1E0E">
              <w:rPr>
                <w:rFonts w:cs="Calibri"/>
                <w:sz w:val="18"/>
                <w:szCs w:val="18"/>
                <w:lang w:eastAsia="fr-FR"/>
              </w:rPr>
              <w:t>Inspection</w:t>
            </w:r>
            <w:r w:rsidR="00F21AEE" w:rsidRPr="00AB1E0E">
              <w:rPr>
                <w:rFonts w:cs="Calibri"/>
                <w:sz w:val="18"/>
                <w:szCs w:val="18"/>
                <w:lang w:eastAsia="fr-FR"/>
              </w:rPr>
              <w:t xml:space="preserve"> périodique et entretien des barrages</w:t>
            </w:r>
          </w:p>
        </w:tc>
        <w:tc>
          <w:tcPr>
            <w:tcW w:w="1420" w:type="dxa"/>
            <w:tcBorders>
              <w:top w:val="nil"/>
              <w:left w:val="nil"/>
              <w:bottom w:val="single" w:sz="4" w:space="0" w:color="auto"/>
              <w:right w:val="single" w:sz="4" w:space="0" w:color="auto"/>
            </w:tcBorders>
            <w:shd w:val="clear" w:color="auto" w:fill="auto"/>
            <w:vAlign w:val="center"/>
            <w:hideMark/>
          </w:tcPr>
          <w:p w14:paraId="5E4B432E" w14:textId="77777777" w:rsidR="00F21AEE" w:rsidRPr="00AB1E0E" w:rsidRDefault="00F21AEE" w:rsidP="008C024E">
            <w:pPr>
              <w:spacing w:after="0"/>
              <w:jc w:val="center"/>
              <w:rPr>
                <w:rFonts w:cs="Calibri"/>
                <w:sz w:val="18"/>
                <w:szCs w:val="18"/>
                <w:lang w:eastAsia="fr-FR"/>
              </w:rPr>
            </w:pPr>
          </w:p>
        </w:tc>
        <w:tc>
          <w:tcPr>
            <w:tcW w:w="1060" w:type="dxa"/>
            <w:tcBorders>
              <w:top w:val="nil"/>
              <w:left w:val="nil"/>
              <w:bottom w:val="single" w:sz="4" w:space="0" w:color="auto"/>
              <w:right w:val="single" w:sz="4" w:space="0" w:color="auto"/>
            </w:tcBorders>
            <w:shd w:val="clear" w:color="auto" w:fill="auto"/>
            <w:vAlign w:val="center"/>
            <w:hideMark/>
          </w:tcPr>
          <w:p w14:paraId="085D2B22"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794C6EA5" w14:textId="77777777" w:rsidR="00F21AEE" w:rsidRPr="00AB1E0E" w:rsidRDefault="00F21AEE" w:rsidP="008C024E">
            <w:pPr>
              <w:spacing w:after="0"/>
              <w:jc w:val="center"/>
              <w:rPr>
                <w:rFonts w:cs="Calibri"/>
                <w:sz w:val="18"/>
                <w:szCs w:val="18"/>
                <w:lang w:eastAsia="fr-FR"/>
              </w:rPr>
            </w:pPr>
          </w:p>
        </w:tc>
        <w:tc>
          <w:tcPr>
            <w:tcW w:w="1200" w:type="dxa"/>
            <w:tcBorders>
              <w:top w:val="nil"/>
              <w:left w:val="nil"/>
              <w:bottom w:val="single" w:sz="4" w:space="0" w:color="auto"/>
              <w:right w:val="single" w:sz="4" w:space="0" w:color="auto"/>
            </w:tcBorders>
            <w:shd w:val="clear" w:color="auto" w:fill="auto"/>
            <w:vAlign w:val="center"/>
            <w:hideMark/>
          </w:tcPr>
          <w:p w14:paraId="043DB219" w14:textId="77777777" w:rsidR="00F21AEE" w:rsidRPr="00AB1E0E" w:rsidRDefault="00F21AEE" w:rsidP="008C024E">
            <w:pPr>
              <w:spacing w:after="0"/>
              <w:jc w:val="center"/>
              <w:rPr>
                <w:rFonts w:cs="Calibri"/>
                <w:sz w:val="18"/>
                <w:szCs w:val="18"/>
                <w:lang w:eastAsia="fr-FR"/>
              </w:rPr>
            </w:pPr>
          </w:p>
        </w:tc>
        <w:tc>
          <w:tcPr>
            <w:tcW w:w="1280" w:type="dxa"/>
            <w:vMerge/>
            <w:tcBorders>
              <w:top w:val="nil"/>
              <w:left w:val="single" w:sz="4" w:space="0" w:color="auto"/>
              <w:bottom w:val="single" w:sz="4" w:space="0" w:color="auto"/>
              <w:right w:val="single" w:sz="4" w:space="0" w:color="auto"/>
            </w:tcBorders>
            <w:vAlign w:val="center"/>
            <w:hideMark/>
          </w:tcPr>
          <w:p w14:paraId="4DE609D3" w14:textId="77777777" w:rsidR="00F21AEE" w:rsidRPr="00AB1E0E" w:rsidRDefault="00F21AEE" w:rsidP="008C024E">
            <w:pPr>
              <w:spacing w:after="0"/>
              <w:rPr>
                <w:rFonts w:cs="Calibri"/>
                <w:sz w:val="18"/>
                <w:szCs w:val="18"/>
                <w:lang w:eastAsia="fr-FR"/>
              </w:rPr>
            </w:pPr>
          </w:p>
        </w:tc>
      </w:tr>
      <w:tr w:rsidR="00F21AEE" w:rsidRPr="00F21AEE" w14:paraId="3E74E98A" w14:textId="77777777" w:rsidTr="00F21AEE">
        <w:trPr>
          <w:trHeight w:val="480"/>
        </w:trPr>
        <w:tc>
          <w:tcPr>
            <w:tcW w:w="3180" w:type="dxa"/>
            <w:vMerge/>
            <w:tcBorders>
              <w:top w:val="nil"/>
              <w:left w:val="single" w:sz="4" w:space="0" w:color="auto"/>
              <w:bottom w:val="single" w:sz="4" w:space="0" w:color="000000"/>
              <w:right w:val="single" w:sz="4" w:space="0" w:color="auto"/>
            </w:tcBorders>
            <w:vAlign w:val="center"/>
            <w:hideMark/>
          </w:tcPr>
          <w:p w14:paraId="4B84237C" w14:textId="77777777" w:rsidR="00F21AEE" w:rsidRPr="00AB1E0E" w:rsidRDefault="00F21AEE" w:rsidP="008C024E">
            <w:pPr>
              <w:spacing w:after="0" w:line="240" w:lineRule="auto"/>
              <w:rPr>
                <w:rFonts w:cs="Calibri"/>
                <w:sz w:val="18"/>
                <w:szCs w:val="18"/>
                <w:lang w:eastAsia="fr-FR"/>
              </w:rPr>
            </w:pPr>
          </w:p>
        </w:tc>
        <w:tc>
          <w:tcPr>
            <w:tcW w:w="5200" w:type="dxa"/>
            <w:tcBorders>
              <w:top w:val="nil"/>
              <w:left w:val="nil"/>
              <w:bottom w:val="single" w:sz="4" w:space="0" w:color="auto"/>
              <w:right w:val="single" w:sz="4" w:space="0" w:color="auto"/>
            </w:tcBorders>
            <w:shd w:val="clear" w:color="auto" w:fill="auto"/>
            <w:vAlign w:val="center"/>
            <w:hideMark/>
          </w:tcPr>
          <w:p w14:paraId="27522FB4" w14:textId="77777777" w:rsidR="00F21AEE" w:rsidRPr="00AB1E0E" w:rsidRDefault="00F21AEE" w:rsidP="008C024E">
            <w:pPr>
              <w:spacing w:after="0" w:line="240" w:lineRule="auto"/>
              <w:rPr>
                <w:rFonts w:cs="Calibri"/>
                <w:sz w:val="18"/>
                <w:szCs w:val="18"/>
                <w:lang w:eastAsia="fr-FR"/>
              </w:rPr>
            </w:pPr>
            <w:r w:rsidRPr="00AB1E0E">
              <w:rPr>
                <w:rFonts w:cs="Calibri"/>
                <w:sz w:val="18"/>
                <w:szCs w:val="18"/>
                <w:lang w:eastAsia="fr-FR"/>
              </w:rPr>
              <w:t>Elaboration et application d'un Plan d'Intervention d'Urgence</w:t>
            </w:r>
          </w:p>
        </w:tc>
        <w:tc>
          <w:tcPr>
            <w:tcW w:w="1420" w:type="dxa"/>
            <w:tcBorders>
              <w:top w:val="nil"/>
              <w:left w:val="nil"/>
              <w:bottom w:val="single" w:sz="4" w:space="0" w:color="auto"/>
              <w:right w:val="single" w:sz="4" w:space="0" w:color="auto"/>
            </w:tcBorders>
            <w:shd w:val="clear" w:color="auto" w:fill="auto"/>
            <w:vAlign w:val="center"/>
            <w:hideMark/>
          </w:tcPr>
          <w:p w14:paraId="16FCD633" w14:textId="77777777" w:rsidR="00F21AEE" w:rsidRPr="00AB1E0E" w:rsidRDefault="00F21AEE" w:rsidP="008C024E">
            <w:pPr>
              <w:spacing w:after="0"/>
              <w:jc w:val="center"/>
              <w:rPr>
                <w:rFonts w:cs="Calibri"/>
                <w:sz w:val="18"/>
                <w:szCs w:val="18"/>
                <w:lang w:eastAsia="fr-FR"/>
              </w:rPr>
            </w:pPr>
          </w:p>
        </w:tc>
        <w:tc>
          <w:tcPr>
            <w:tcW w:w="1060" w:type="dxa"/>
            <w:tcBorders>
              <w:top w:val="nil"/>
              <w:left w:val="nil"/>
              <w:bottom w:val="single" w:sz="4" w:space="0" w:color="auto"/>
              <w:right w:val="single" w:sz="4" w:space="0" w:color="auto"/>
            </w:tcBorders>
            <w:shd w:val="clear" w:color="auto" w:fill="auto"/>
            <w:vAlign w:val="center"/>
            <w:hideMark/>
          </w:tcPr>
          <w:p w14:paraId="7CB212C7" w14:textId="77777777" w:rsidR="00F21AEE" w:rsidRPr="00AB1E0E" w:rsidRDefault="00F21AEE" w:rsidP="008C024E">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56875B98" w14:textId="77777777" w:rsidR="00F21AEE" w:rsidRPr="00AB1E0E" w:rsidRDefault="00F21AEE" w:rsidP="008C024E">
            <w:pPr>
              <w:spacing w:after="0"/>
              <w:jc w:val="center"/>
              <w:rPr>
                <w:rFonts w:cs="Calibri"/>
                <w:sz w:val="18"/>
                <w:szCs w:val="18"/>
                <w:lang w:eastAsia="fr-FR"/>
              </w:rPr>
            </w:pPr>
          </w:p>
        </w:tc>
        <w:tc>
          <w:tcPr>
            <w:tcW w:w="1200" w:type="dxa"/>
            <w:tcBorders>
              <w:top w:val="nil"/>
              <w:left w:val="nil"/>
              <w:bottom w:val="single" w:sz="4" w:space="0" w:color="auto"/>
              <w:right w:val="single" w:sz="4" w:space="0" w:color="auto"/>
            </w:tcBorders>
            <w:shd w:val="clear" w:color="auto" w:fill="auto"/>
            <w:vAlign w:val="center"/>
            <w:hideMark/>
          </w:tcPr>
          <w:p w14:paraId="21D1C770" w14:textId="77777777" w:rsidR="00F21AEE" w:rsidRPr="00AB1E0E" w:rsidRDefault="00F21AEE" w:rsidP="008C024E">
            <w:pPr>
              <w:spacing w:after="0"/>
              <w:jc w:val="center"/>
              <w:rPr>
                <w:rFonts w:cs="Calibri"/>
                <w:sz w:val="18"/>
                <w:szCs w:val="18"/>
                <w:lang w:eastAsia="fr-FR"/>
              </w:rPr>
            </w:pPr>
          </w:p>
        </w:tc>
        <w:tc>
          <w:tcPr>
            <w:tcW w:w="1280" w:type="dxa"/>
            <w:vMerge/>
            <w:tcBorders>
              <w:top w:val="nil"/>
              <w:left w:val="single" w:sz="4" w:space="0" w:color="auto"/>
              <w:bottom w:val="single" w:sz="4" w:space="0" w:color="auto"/>
              <w:right w:val="single" w:sz="4" w:space="0" w:color="auto"/>
            </w:tcBorders>
            <w:vAlign w:val="center"/>
            <w:hideMark/>
          </w:tcPr>
          <w:p w14:paraId="07DCD8C6" w14:textId="77777777" w:rsidR="00F21AEE" w:rsidRPr="00AB1E0E" w:rsidRDefault="00F21AEE" w:rsidP="008C024E">
            <w:pPr>
              <w:spacing w:after="0"/>
              <w:rPr>
                <w:rFonts w:cs="Calibri"/>
                <w:sz w:val="18"/>
                <w:szCs w:val="18"/>
                <w:lang w:eastAsia="fr-FR"/>
              </w:rPr>
            </w:pPr>
          </w:p>
        </w:tc>
      </w:tr>
      <w:tr w:rsidR="00F21AEE" w:rsidRPr="00F21AEE" w14:paraId="1FC18F13" w14:textId="77777777" w:rsidTr="00F21AEE">
        <w:trPr>
          <w:trHeight w:val="300"/>
        </w:trPr>
        <w:tc>
          <w:tcPr>
            <w:tcW w:w="14860" w:type="dxa"/>
            <w:gridSpan w:val="7"/>
            <w:tcBorders>
              <w:top w:val="single" w:sz="4" w:space="0" w:color="auto"/>
              <w:left w:val="single" w:sz="4" w:space="0" w:color="auto"/>
              <w:bottom w:val="single" w:sz="4" w:space="0" w:color="auto"/>
              <w:right w:val="single" w:sz="4" w:space="0" w:color="000000"/>
            </w:tcBorders>
            <w:shd w:val="clear" w:color="000000" w:fill="00B0F0"/>
            <w:vAlign w:val="center"/>
            <w:hideMark/>
          </w:tcPr>
          <w:p w14:paraId="26302328" w14:textId="77777777" w:rsidR="00F21AEE" w:rsidRPr="00AB1E0E" w:rsidRDefault="00F21AEE" w:rsidP="004841BC">
            <w:pPr>
              <w:spacing w:before="240"/>
              <w:jc w:val="center"/>
              <w:rPr>
                <w:rFonts w:cs="Calibri"/>
                <w:b/>
                <w:bCs/>
                <w:sz w:val="18"/>
                <w:szCs w:val="18"/>
                <w:lang w:eastAsia="fr-FR"/>
              </w:rPr>
            </w:pPr>
            <w:r w:rsidRPr="00AB1E0E">
              <w:rPr>
                <w:rFonts w:cs="Calibri"/>
                <w:b/>
                <w:bCs/>
                <w:sz w:val="18"/>
                <w:szCs w:val="18"/>
                <w:lang w:eastAsia="fr-FR"/>
              </w:rPr>
              <w:t>Phase de démantèlement</w:t>
            </w:r>
          </w:p>
        </w:tc>
      </w:tr>
      <w:tr w:rsidR="00F21AEE" w:rsidRPr="00F21AEE" w14:paraId="2F517FFB" w14:textId="77777777" w:rsidTr="00F21AEE">
        <w:trPr>
          <w:trHeight w:val="96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5F9A81B3" w14:textId="77777777" w:rsidR="00F21AEE" w:rsidRPr="00AB1E0E" w:rsidRDefault="00F21AEE" w:rsidP="004841BC">
            <w:pPr>
              <w:spacing w:after="0" w:line="240" w:lineRule="auto"/>
              <w:rPr>
                <w:rFonts w:cs="Calibri"/>
                <w:sz w:val="18"/>
                <w:szCs w:val="18"/>
                <w:lang w:eastAsia="fr-FR"/>
              </w:rPr>
            </w:pPr>
            <w:r w:rsidRPr="00AB1E0E">
              <w:rPr>
                <w:rFonts w:cs="Calibri"/>
                <w:sz w:val="18"/>
                <w:szCs w:val="18"/>
                <w:lang w:eastAsia="fr-FR"/>
              </w:rPr>
              <w:t>Pollution du sol et de l’eau par le déversement accidentel des substances polluantes et de substances dangereuses</w:t>
            </w:r>
          </w:p>
        </w:tc>
        <w:tc>
          <w:tcPr>
            <w:tcW w:w="5200" w:type="dxa"/>
            <w:tcBorders>
              <w:top w:val="nil"/>
              <w:left w:val="nil"/>
              <w:bottom w:val="single" w:sz="4" w:space="0" w:color="auto"/>
              <w:right w:val="single" w:sz="4" w:space="0" w:color="auto"/>
            </w:tcBorders>
            <w:shd w:val="clear" w:color="auto" w:fill="auto"/>
            <w:vAlign w:val="center"/>
            <w:hideMark/>
          </w:tcPr>
          <w:p w14:paraId="456E99E7" w14:textId="77777777" w:rsidR="00F21AEE" w:rsidRPr="00AB1E0E" w:rsidRDefault="00F21AEE" w:rsidP="004841BC">
            <w:pPr>
              <w:spacing w:after="0" w:line="240" w:lineRule="auto"/>
              <w:rPr>
                <w:rFonts w:cs="Calibri"/>
                <w:sz w:val="18"/>
                <w:szCs w:val="18"/>
                <w:lang w:eastAsia="fr-FR"/>
              </w:rPr>
            </w:pPr>
            <w:r w:rsidRPr="00AB1E0E">
              <w:rPr>
                <w:rFonts w:cs="Calibri"/>
                <w:sz w:val="18"/>
                <w:szCs w:val="18"/>
                <w:lang w:eastAsia="fr-FR"/>
              </w:rPr>
              <w:t>Utilisation de véhicules en bon état. Nettoyage méticuleux avant de quitter les lieux.</w:t>
            </w:r>
          </w:p>
        </w:tc>
        <w:tc>
          <w:tcPr>
            <w:tcW w:w="1420" w:type="dxa"/>
            <w:tcBorders>
              <w:top w:val="nil"/>
              <w:left w:val="nil"/>
              <w:bottom w:val="single" w:sz="4" w:space="0" w:color="auto"/>
              <w:right w:val="single" w:sz="4" w:space="0" w:color="auto"/>
            </w:tcBorders>
            <w:shd w:val="clear" w:color="auto" w:fill="auto"/>
            <w:vAlign w:val="center"/>
            <w:hideMark/>
          </w:tcPr>
          <w:p w14:paraId="3F12FFA5" w14:textId="77777777" w:rsidR="00F21AEE" w:rsidRPr="00AB1E0E" w:rsidRDefault="00F21AEE" w:rsidP="004841BC">
            <w:pPr>
              <w:spacing w:after="0"/>
              <w:jc w:val="center"/>
              <w:rPr>
                <w:rFonts w:cs="Calibri"/>
                <w:sz w:val="18"/>
                <w:szCs w:val="18"/>
                <w:lang w:eastAsia="fr-FR"/>
              </w:rPr>
            </w:pPr>
          </w:p>
        </w:tc>
        <w:tc>
          <w:tcPr>
            <w:tcW w:w="1060" w:type="dxa"/>
            <w:tcBorders>
              <w:top w:val="nil"/>
              <w:left w:val="nil"/>
              <w:bottom w:val="single" w:sz="4" w:space="0" w:color="auto"/>
              <w:right w:val="single" w:sz="4" w:space="0" w:color="auto"/>
            </w:tcBorders>
            <w:shd w:val="clear" w:color="auto" w:fill="auto"/>
            <w:vAlign w:val="center"/>
            <w:hideMark/>
          </w:tcPr>
          <w:p w14:paraId="56E636C8" w14:textId="77777777" w:rsidR="00F21AEE" w:rsidRPr="00AB1E0E" w:rsidRDefault="00F21AEE" w:rsidP="004841BC">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58D06854" w14:textId="77777777" w:rsidR="00F21AEE" w:rsidRPr="00AB1E0E" w:rsidRDefault="00F21AEE" w:rsidP="004841BC">
            <w:pPr>
              <w:spacing w:after="0"/>
              <w:jc w:val="center"/>
              <w:rPr>
                <w:rFonts w:cs="Calibri"/>
                <w:sz w:val="18"/>
                <w:szCs w:val="18"/>
                <w:lang w:eastAsia="fr-FR"/>
              </w:rPr>
            </w:pPr>
          </w:p>
        </w:tc>
        <w:tc>
          <w:tcPr>
            <w:tcW w:w="1200" w:type="dxa"/>
            <w:tcBorders>
              <w:top w:val="nil"/>
              <w:left w:val="nil"/>
              <w:bottom w:val="single" w:sz="4" w:space="0" w:color="auto"/>
              <w:right w:val="single" w:sz="4" w:space="0" w:color="auto"/>
            </w:tcBorders>
            <w:shd w:val="clear" w:color="auto" w:fill="auto"/>
            <w:vAlign w:val="center"/>
            <w:hideMark/>
          </w:tcPr>
          <w:p w14:paraId="4E3F37E8" w14:textId="77777777" w:rsidR="00F21AEE" w:rsidRPr="00AB1E0E" w:rsidRDefault="00F21AEE" w:rsidP="004841BC">
            <w:pPr>
              <w:spacing w:after="0"/>
              <w:jc w:val="center"/>
              <w:rPr>
                <w:rFonts w:cs="Calibri"/>
                <w:sz w:val="18"/>
                <w:szCs w:val="18"/>
                <w:lang w:eastAsia="fr-FR"/>
              </w:rPr>
            </w:pPr>
          </w:p>
        </w:tc>
        <w:tc>
          <w:tcPr>
            <w:tcW w:w="1280" w:type="dxa"/>
            <w:tcBorders>
              <w:top w:val="nil"/>
              <w:left w:val="nil"/>
              <w:bottom w:val="single" w:sz="4" w:space="0" w:color="auto"/>
              <w:right w:val="single" w:sz="4" w:space="0" w:color="auto"/>
            </w:tcBorders>
            <w:shd w:val="clear" w:color="000000" w:fill="00B050"/>
            <w:vAlign w:val="center"/>
            <w:hideMark/>
          </w:tcPr>
          <w:p w14:paraId="6A508D81" w14:textId="77777777" w:rsidR="00F21AEE" w:rsidRPr="00AB1E0E" w:rsidRDefault="00F21AEE" w:rsidP="004841BC">
            <w:pPr>
              <w:spacing w:after="0"/>
              <w:rPr>
                <w:rFonts w:cs="Calibri"/>
                <w:sz w:val="18"/>
                <w:szCs w:val="18"/>
                <w:lang w:eastAsia="fr-FR"/>
              </w:rPr>
            </w:pPr>
            <w:r w:rsidRPr="00AB1E0E">
              <w:rPr>
                <w:rFonts w:cs="Calibri"/>
                <w:sz w:val="18"/>
                <w:szCs w:val="18"/>
                <w:lang w:eastAsia="fr-FR"/>
              </w:rPr>
              <w:t>Mineure</w:t>
            </w:r>
          </w:p>
        </w:tc>
      </w:tr>
      <w:tr w:rsidR="00F21AEE" w:rsidRPr="00F21AEE" w14:paraId="12300354" w14:textId="77777777" w:rsidTr="00F21AEE">
        <w:trPr>
          <w:trHeight w:val="96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64A78C29" w14:textId="77777777" w:rsidR="00F21AEE" w:rsidRPr="00AB1E0E" w:rsidRDefault="00F21AEE" w:rsidP="004841BC">
            <w:pPr>
              <w:spacing w:after="0" w:line="240" w:lineRule="auto"/>
              <w:rPr>
                <w:rFonts w:cs="Calibri"/>
                <w:sz w:val="18"/>
                <w:szCs w:val="18"/>
                <w:lang w:eastAsia="fr-FR"/>
              </w:rPr>
            </w:pPr>
            <w:r w:rsidRPr="00AB1E0E">
              <w:rPr>
                <w:rFonts w:cs="Calibri"/>
                <w:sz w:val="18"/>
                <w:szCs w:val="18"/>
                <w:lang w:eastAsia="fr-FR"/>
              </w:rPr>
              <w:t>Pollution du sol par l'abandon et l’accumulation des déchets solides incluant les déchets d’équipement électrique et électronique (DEEE)</w:t>
            </w:r>
          </w:p>
        </w:tc>
        <w:tc>
          <w:tcPr>
            <w:tcW w:w="5200" w:type="dxa"/>
            <w:tcBorders>
              <w:top w:val="nil"/>
              <w:left w:val="nil"/>
              <w:bottom w:val="single" w:sz="4" w:space="0" w:color="auto"/>
              <w:right w:val="single" w:sz="4" w:space="0" w:color="auto"/>
            </w:tcBorders>
            <w:shd w:val="clear" w:color="auto" w:fill="auto"/>
            <w:vAlign w:val="center"/>
            <w:hideMark/>
          </w:tcPr>
          <w:p w14:paraId="0AB8E1C8" w14:textId="77777777" w:rsidR="00F21AEE" w:rsidRPr="00AB1E0E" w:rsidRDefault="00F21AEE" w:rsidP="004841BC">
            <w:pPr>
              <w:spacing w:after="0" w:line="240" w:lineRule="auto"/>
              <w:rPr>
                <w:rFonts w:cs="Calibri"/>
                <w:sz w:val="18"/>
                <w:szCs w:val="18"/>
                <w:lang w:eastAsia="fr-FR"/>
              </w:rPr>
            </w:pPr>
            <w:r w:rsidRPr="00AB1E0E">
              <w:rPr>
                <w:rFonts w:cs="Calibri"/>
                <w:sz w:val="18"/>
                <w:szCs w:val="18"/>
                <w:lang w:eastAsia="fr-FR"/>
              </w:rPr>
              <w:t>Collecte et envoi des déchets dans un centre spécialisé dans le traitement des déchets</w:t>
            </w:r>
          </w:p>
        </w:tc>
        <w:tc>
          <w:tcPr>
            <w:tcW w:w="1420" w:type="dxa"/>
            <w:tcBorders>
              <w:top w:val="nil"/>
              <w:left w:val="nil"/>
              <w:bottom w:val="single" w:sz="4" w:space="0" w:color="auto"/>
              <w:right w:val="single" w:sz="4" w:space="0" w:color="auto"/>
            </w:tcBorders>
            <w:shd w:val="clear" w:color="auto" w:fill="auto"/>
            <w:vAlign w:val="center"/>
            <w:hideMark/>
          </w:tcPr>
          <w:p w14:paraId="71BA63CF" w14:textId="77777777" w:rsidR="00F21AEE" w:rsidRPr="00AB1E0E" w:rsidRDefault="00F21AEE" w:rsidP="004841BC">
            <w:pPr>
              <w:spacing w:after="0"/>
              <w:jc w:val="center"/>
              <w:rPr>
                <w:rFonts w:cs="Calibri"/>
                <w:sz w:val="18"/>
                <w:szCs w:val="18"/>
                <w:lang w:eastAsia="fr-FR"/>
              </w:rPr>
            </w:pPr>
          </w:p>
        </w:tc>
        <w:tc>
          <w:tcPr>
            <w:tcW w:w="1060" w:type="dxa"/>
            <w:tcBorders>
              <w:top w:val="nil"/>
              <w:left w:val="nil"/>
              <w:bottom w:val="single" w:sz="4" w:space="0" w:color="auto"/>
              <w:right w:val="single" w:sz="4" w:space="0" w:color="auto"/>
            </w:tcBorders>
            <w:shd w:val="clear" w:color="auto" w:fill="auto"/>
            <w:vAlign w:val="center"/>
            <w:hideMark/>
          </w:tcPr>
          <w:p w14:paraId="1693F835" w14:textId="77777777" w:rsidR="00F21AEE" w:rsidRPr="00AB1E0E" w:rsidRDefault="00F21AEE" w:rsidP="004841BC">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45A5D468" w14:textId="77777777" w:rsidR="00F21AEE" w:rsidRPr="00AB1E0E" w:rsidRDefault="00F21AEE" w:rsidP="004841BC">
            <w:pPr>
              <w:spacing w:after="0"/>
              <w:jc w:val="center"/>
              <w:rPr>
                <w:rFonts w:cs="Calibri"/>
                <w:sz w:val="18"/>
                <w:szCs w:val="18"/>
                <w:lang w:eastAsia="fr-FR"/>
              </w:rPr>
            </w:pPr>
          </w:p>
        </w:tc>
        <w:tc>
          <w:tcPr>
            <w:tcW w:w="1200" w:type="dxa"/>
            <w:tcBorders>
              <w:top w:val="nil"/>
              <w:left w:val="nil"/>
              <w:bottom w:val="single" w:sz="4" w:space="0" w:color="auto"/>
              <w:right w:val="single" w:sz="4" w:space="0" w:color="auto"/>
            </w:tcBorders>
            <w:shd w:val="clear" w:color="auto" w:fill="auto"/>
            <w:vAlign w:val="center"/>
            <w:hideMark/>
          </w:tcPr>
          <w:p w14:paraId="05D27ABE" w14:textId="77777777" w:rsidR="00F21AEE" w:rsidRPr="00AB1E0E" w:rsidRDefault="00F21AEE" w:rsidP="004841BC">
            <w:pPr>
              <w:spacing w:after="0"/>
              <w:jc w:val="center"/>
              <w:rPr>
                <w:rFonts w:cs="Calibri"/>
                <w:sz w:val="18"/>
                <w:szCs w:val="18"/>
                <w:lang w:eastAsia="fr-FR"/>
              </w:rPr>
            </w:pPr>
          </w:p>
        </w:tc>
        <w:tc>
          <w:tcPr>
            <w:tcW w:w="1280" w:type="dxa"/>
            <w:tcBorders>
              <w:top w:val="nil"/>
              <w:left w:val="nil"/>
              <w:bottom w:val="single" w:sz="4" w:space="0" w:color="auto"/>
              <w:right w:val="single" w:sz="4" w:space="0" w:color="auto"/>
            </w:tcBorders>
            <w:shd w:val="clear" w:color="000000" w:fill="00B050"/>
            <w:vAlign w:val="center"/>
            <w:hideMark/>
          </w:tcPr>
          <w:p w14:paraId="76BB8025" w14:textId="77777777" w:rsidR="00F21AEE" w:rsidRPr="00AB1E0E" w:rsidRDefault="00F21AEE" w:rsidP="004841BC">
            <w:pPr>
              <w:spacing w:after="0"/>
              <w:rPr>
                <w:rFonts w:cs="Calibri"/>
                <w:sz w:val="18"/>
                <w:szCs w:val="18"/>
                <w:lang w:eastAsia="fr-FR"/>
              </w:rPr>
            </w:pPr>
            <w:r w:rsidRPr="00AB1E0E">
              <w:rPr>
                <w:rFonts w:cs="Calibri"/>
                <w:sz w:val="18"/>
                <w:szCs w:val="18"/>
                <w:lang w:eastAsia="fr-FR"/>
              </w:rPr>
              <w:t>Mineure</w:t>
            </w:r>
          </w:p>
        </w:tc>
      </w:tr>
      <w:tr w:rsidR="00F21AEE" w:rsidRPr="00F21AEE" w14:paraId="5F2AABA2" w14:textId="77777777" w:rsidTr="00F21AEE">
        <w:trPr>
          <w:trHeight w:val="48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56FC78F8" w14:textId="77777777" w:rsidR="00F21AEE" w:rsidRPr="00AB1E0E" w:rsidRDefault="00F21AEE" w:rsidP="004841BC">
            <w:pPr>
              <w:spacing w:after="0" w:line="240" w:lineRule="auto"/>
              <w:rPr>
                <w:rFonts w:cs="Calibri"/>
                <w:sz w:val="18"/>
                <w:szCs w:val="18"/>
                <w:lang w:eastAsia="fr-FR"/>
              </w:rPr>
            </w:pPr>
            <w:r w:rsidRPr="00AB1E0E">
              <w:rPr>
                <w:rFonts w:cs="Calibri"/>
                <w:sz w:val="18"/>
                <w:szCs w:val="18"/>
                <w:lang w:eastAsia="fr-FR"/>
              </w:rPr>
              <w:t>Perte d'emploi</w:t>
            </w:r>
          </w:p>
        </w:tc>
        <w:tc>
          <w:tcPr>
            <w:tcW w:w="5200" w:type="dxa"/>
            <w:tcBorders>
              <w:top w:val="nil"/>
              <w:left w:val="nil"/>
              <w:bottom w:val="single" w:sz="4" w:space="0" w:color="auto"/>
              <w:right w:val="single" w:sz="4" w:space="0" w:color="auto"/>
            </w:tcBorders>
            <w:shd w:val="clear" w:color="auto" w:fill="auto"/>
            <w:vAlign w:val="center"/>
            <w:hideMark/>
          </w:tcPr>
          <w:p w14:paraId="2EB99890" w14:textId="77777777" w:rsidR="00F21AEE" w:rsidRPr="00AB1E0E" w:rsidRDefault="00F21AEE" w:rsidP="004841BC">
            <w:pPr>
              <w:spacing w:after="0" w:line="240" w:lineRule="auto"/>
              <w:rPr>
                <w:rFonts w:cs="Calibri"/>
                <w:sz w:val="18"/>
                <w:szCs w:val="18"/>
                <w:lang w:eastAsia="fr-FR"/>
              </w:rPr>
            </w:pPr>
            <w:r w:rsidRPr="00AB1E0E">
              <w:rPr>
                <w:rFonts w:cs="Calibri"/>
                <w:sz w:val="18"/>
                <w:szCs w:val="18"/>
                <w:lang w:eastAsia="fr-FR"/>
              </w:rPr>
              <w:t>Respect et application des textes sur l'emploi en vigueur dans le pays</w:t>
            </w:r>
          </w:p>
        </w:tc>
        <w:tc>
          <w:tcPr>
            <w:tcW w:w="1420" w:type="dxa"/>
            <w:tcBorders>
              <w:top w:val="nil"/>
              <w:left w:val="nil"/>
              <w:bottom w:val="single" w:sz="4" w:space="0" w:color="auto"/>
              <w:right w:val="single" w:sz="4" w:space="0" w:color="auto"/>
            </w:tcBorders>
            <w:shd w:val="clear" w:color="auto" w:fill="auto"/>
            <w:vAlign w:val="center"/>
            <w:hideMark/>
          </w:tcPr>
          <w:p w14:paraId="211E9751" w14:textId="77777777" w:rsidR="00F21AEE" w:rsidRPr="00AB1E0E" w:rsidRDefault="00F21AEE" w:rsidP="004841BC">
            <w:pPr>
              <w:spacing w:after="0"/>
              <w:jc w:val="center"/>
              <w:rPr>
                <w:rFonts w:cs="Calibri"/>
                <w:sz w:val="18"/>
                <w:szCs w:val="18"/>
                <w:lang w:eastAsia="fr-FR"/>
              </w:rPr>
            </w:pPr>
          </w:p>
        </w:tc>
        <w:tc>
          <w:tcPr>
            <w:tcW w:w="1060" w:type="dxa"/>
            <w:tcBorders>
              <w:top w:val="nil"/>
              <w:left w:val="nil"/>
              <w:bottom w:val="single" w:sz="4" w:space="0" w:color="auto"/>
              <w:right w:val="single" w:sz="4" w:space="0" w:color="auto"/>
            </w:tcBorders>
            <w:shd w:val="clear" w:color="auto" w:fill="auto"/>
            <w:vAlign w:val="center"/>
            <w:hideMark/>
          </w:tcPr>
          <w:p w14:paraId="2D9FD173" w14:textId="77777777" w:rsidR="00F21AEE" w:rsidRPr="00AB1E0E" w:rsidRDefault="00F21AEE" w:rsidP="004841BC">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6732E624" w14:textId="77777777" w:rsidR="00F21AEE" w:rsidRPr="00AB1E0E" w:rsidRDefault="00F21AEE" w:rsidP="004841BC">
            <w:pPr>
              <w:spacing w:after="0"/>
              <w:jc w:val="center"/>
              <w:rPr>
                <w:rFonts w:cs="Calibri"/>
                <w:sz w:val="18"/>
                <w:szCs w:val="18"/>
                <w:lang w:eastAsia="fr-FR"/>
              </w:rPr>
            </w:pPr>
          </w:p>
        </w:tc>
        <w:tc>
          <w:tcPr>
            <w:tcW w:w="1200" w:type="dxa"/>
            <w:tcBorders>
              <w:top w:val="nil"/>
              <w:left w:val="nil"/>
              <w:bottom w:val="single" w:sz="4" w:space="0" w:color="auto"/>
              <w:right w:val="single" w:sz="4" w:space="0" w:color="auto"/>
            </w:tcBorders>
            <w:shd w:val="clear" w:color="auto" w:fill="auto"/>
            <w:vAlign w:val="center"/>
            <w:hideMark/>
          </w:tcPr>
          <w:p w14:paraId="26B3EA37" w14:textId="77777777" w:rsidR="00F21AEE" w:rsidRPr="00AB1E0E" w:rsidRDefault="00F21AEE" w:rsidP="004841BC">
            <w:pPr>
              <w:spacing w:after="0"/>
              <w:jc w:val="center"/>
              <w:rPr>
                <w:rFonts w:cs="Calibri"/>
                <w:sz w:val="18"/>
                <w:szCs w:val="18"/>
                <w:lang w:eastAsia="fr-FR"/>
              </w:rPr>
            </w:pPr>
          </w:p>
        </w:tc>
        <w:tc>
          <w:tcPr>
            <w:tcW w:w="1280" w:type="dxa"/>
            <w:tcBorders>
              <w:top w:val="nil"/>
              <w:left w:val="nil"/>
              <w:bottom w:val="single" w:sz="4" w:space="0" w:color="auto"/>
              <w:right w:val="single" w:sz="4" w:space="0" w:color="auto"/>
            </w:tcBorders>
            <w:shd w:val="clear" w:color="000000" w:fill="00B050"/>
            <w:vAlign w:val="center"/>
            <w:hideMark/>
          </w:tcPr>
          <w:p w14:paraId="5F2D127A" w14:textId="77777777" w:rsidR="00F21AEE" w:rsidRPr="00AB1E0E" w:rsidRDefault="00F21AEE" w:rsidP="004841BC">
            <w:pPr>
              <w:spacing w:after="0"/>
              <w:rPr>
                <w:rFonts w:cs="Calibri"/>
                <w:sz w:val="18"/>
                <w:szCs w:val="18"/>
                <w:lang w:eastAsia="fr-FR"/>
              </w:rPr>
            </w:pPr>
            <w:r w:rsidRPr="00AB1E0E">
              <w:rPr>
                <w:rFonts w:cs="Calibri"/>
                <w:sz w:val="18"/>
                <w:szCs w:val="18"/>
                <w:lang w:eastAsia="fr-FR"/>
              </w:rPr>
              <w:t>Mineure</w:t>
            </w:r>
          </w:p>
        </w:tc>
      </w:tr>
      <w:tr w:rsidR="00F21AEE" w:rsidRPr="00F21AEE" w14:paraId="62BC9FE8" w14:textId="77777777" w:rsidTr="00F21AEE">
        <w:trPr>
          <w:trHeight w:val="30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0307537A" w14:textId="77777777" w:rsidR="00F21AEE" w:rsidRPr="00AB1E0E" w:rsidRDefault="00F21AEE" w:rsidP="004841BC">
            <w:pPr>
              <w:spacing w:after="0" w:line="240" w:lineRule="auto"/>
              <w:rPr>
                <w:rFonts w:cs="Calibri"/>
                <w:sz w:val="18"/>
                <w:szCs w:val="18"/>
                <w:lang w:eastAsia="fr-FR"/>
              </w:rPr>
            </w:pPr>
            <w:r w:rsidRPr="00AB1E0E">
              <w:rPr>
                <w:rFonts w:cs="Calibri"/>
                <w:sz w:val="18"/>
                <w:szCs w:val="18"/>
                <w:lang w:eastAsia="fr-FR"/>
              </w:rPr>
              <w:t>Perturbation de la circulation</w:t>
            </w:r>
          </w:p>
        </w:tc>
        <w:tc>
          <w:tcPr>
            <w:tcW w:w="5200" w:type="dxa"/>
            <w:tcBorders>
              <w:top w:val="nil"/>
              <w:left w:val="nil"/>
              <w:bottom w:val="single" w:sz="4" w:space="0" w:color="auto"/>
              <w:right w:val="single" w:sz="4" w:space="0" w:color="auto"/>
            </w:tcBorders>
            <w:shd w:val="clear" w:color="auto" w:fill="auto"/>
            <w:vAlign w:val="center"/>
            <w:hideMark/>
          </w:tcPr>
          <w:p w14:paraId="4B1A18D5" w14:textId="77777777" w:rsidR="00F21AEE" w:rsidRPr="00AB1E0E" w:rsidRDefault="00F21AEE" w:rsidP="004841BC">
            <w:pPr>
              <w:spacing w:after="0" w:line="240" w:lineRule="auto"/>
              <w:rPr>
                <w:rFonts w:cs="Calibri"/>
                <w:sz w:val="18"/>
                <w:szCs w:val="18"/>
                <w:lang w:eastAsia="fr-FR"/>
              </w:rPr>
            </w:pPr>
            <w:r w:rsidRPr="00AB1E0E">
              <w:rPr>
                <w:rFonts w:cs="Calibri"/>
                <w:sz w:val="18"/>
                <w:szCs w:val="18"/>
                <w:lang w:eastAsia="fr-FR"/>
              </w:rPr>
              <w:t>Respect du code de la route. </w:t>
            </w:r>
          </w:p>
        </w:tc>
        <w:tc>
          <w:tcPr>
            <w:tcW w:w="1420" w:type="dxa"/>
            <w:tcBorders>
              <w:top w:val="nil"/>
              <w:left w:val="nil"/>
              <w:bottom w:val="single" w:sz="4" w:space="0" w:color="auto"/>
              <w:right w:val="single" w:sz="4" w:space="0" w:color="auto"/>
            </w:tcBorders>
            <w:shd w:val="clear" w:color="auto" w:fill="auto"/>
            <w:vAlign w:val="center"/>
            <w:hideMark/>
          </w:tcPr>
          <w:p w14:paraId="43376EFC" w14:textId="77777777" w:rsidR="00F21AEE" w:rsidRPr="00AB1E0E" w:rsidRDefault="00F21AEE" w:rsidP="004841BC">
            <w:pPr>
              <w:spacing w:after="0"/>
              <w:jc w:val="center"/>
              <w:rPr>
                <w:rFonts w:cs="Calibri"/>
                <w:sz w:val="18"/>
                <w:szCs w:val="18"/>
                <w:lang w:eastAsia="fr-FR"/>
              </w:rPr>
            </w:pPr>
          </w:p>
        </w:tc>
        <w:tc>
          <w:tcPr>
            <w:tcW w:w="1060" w:type="dxa"/>
            <w:tcBorders>
              <w:top w:val="nil"/>
              <w:left w:val="nil"/>
              <w:bottom w:val="single" w:sz="4" w:space="0" w:color="auto"/>
              <w:right w:val="single" w:sz="4" w:space="0" w:color="auto"/>
            </w:tcBorders>
            <w:shd w:val="clear" w:color="auto" w:fill="auto"/>
            <w:vAlign w:val="center"/>
            <w:hideMark/>
          </w:tcPr>
          <w:p w14:paraId="40A98E97" w14:textId="77777777" w:rsidR="00F21AEE" w:rsidRPr="00AB1E0E" w:rsidRDefault="00F21AEE" w:rsidP="004841BC">
            <w:pPr>
              <w:spacing w:after="0"/>
              <w:jc w:val="center"/>
              <w:rPr>
                <w:rFonts w:cs="Calibri"/>
                <w:sz w:val="18"/>
                <w:szCs w:val="18"/>
                <w:lang w:eastAsia="fr-FR"/>
              </w:rPr>
            </w:pPr>
            <w:r w:rsidRPr="00AB1E0E">
              <w:rPr>
                <w:rFonts w:cs="Calibri"/>
                <w:sz w:val="18"/>
                <w:szCs w:val="18"/>
                <w:lang w:eastAsia="fr-FR"/>
              </w:rPr>
              <w:t>X</w:t>
            </w:r>
          </w:p>
        </w:tc>
        <w:tc>
          <w:tcPr>
            <w:tcW w:w="1520" w:type="dxa"/>
            <w:tcBorders>
              <w:top w:val="nil"/>
              <w:left w:val="nil"/>
              <w:bottom w:val="single" w:sz="4" w:space="0" w:color="auto"/>
              <w:right w:val="single" w:sz="4" w:space="0" w:color="auto"/>
            </w:tcBorders>
            <w:shd w:val="clear" w:color="auto" w:fill="auto"/>
            <w:vAlign w:val="center"/>
            <w:hideMark/>
          </w:tcPr>
          <w:p w14:paraId="43D016EA" w14:textId="77777777" w:rsidR="00F21AEE" w:rsidRPr="00AB1E0E" w:rsidRDefault="00F21AEE" w:rsidP="004841BC">
            <w:pPr>
              <w:spacing w:after="0"/>
              <w:jc w:val="center"/>
              <w:rPr>
                <w:rFonts w:cs="Calibri"/>
                <w:sz w:val="18"/>
                <w:szCs w:val="18"/>
                <w:lang w:eastAsia="fr-FR"/>
              </w:rPr>
            </w:pPr>
          </w:p>
        </w:tc>
        <w:tc>
          <w:tcPr>
            <w:tcW w:w="1200" w:type="dxa"/>
            <w:tcBorders>
              <w:top w:val="nil"/>
              <w:left w:val="nil"/>
              <w:bottom w:val="single" w:sz="4" w:space="0" w:color="auto"/>
              <w:right w:val="single" w:sz="4" w:space="0" w:color="auto"/>
            </w:tcBorders>
            <w:shd w:val="clear" w:color="auto" w:fill="auto"/>
            <w:vAlign w:val="center"/>
            <w:hideMark/>
          </w:tcPr>
          <w:p w14:paraId="210BE39B" w14:textId="77777777" w:rsidR="00F21AEE" w:rsidRPr="00AB1E0E" w:rsidRDefault="00F21AEE" w:rsidP="004841BC">
            <w:pPr>
              <w:spacing w:after="0"/>
              <w:jc w:val="center"/>
              <w:rPr>
                <w:rFonts w:cs="Calibri"/>
                <w:sz w:val="18"/>
                <w:szCs w:val="18"/>
                <w:lang w:eastAsia="fr-FR"/>
              </w:rPr>
            </w:pPr>
          </w:p>
        </w:tc>
        <w:tc>
          <w:tcPr>
            <w:tcW w:w="1280" w:type="dxa"/>
            <w:tcBorders>
              <w:top w:val="nil"/>
              <w:left w:val="nil"/>
              <w:bottom w:val="single" w:sz="4" w:space="0" w:color="auto"/>
              <w:right w:val="single" w:sz="4" w:space="0" w:color="auto"/>
            </w:tcBorders>
            <w:shd w:val="clear" w:color="000000" w:fill="00B050"/>
            <w:vAlign w:val="center"/>
            <w:hideMark/>
          </w:tcPr>
          <w:p w14:paraId="6027678E" w14:textId="77777777" w:rsidR="00F21AEE" w:rsidRPr="00AB1E0E" w:rsidRDefault="00F21AEE" w:rsidP="004841BC">
            <w:pPr>
              <w:spacing w:after="0"/>
              <w:rPr>
                <w:rFonts w:cs="Calibri"/>
                <w:sz w:val="18"/>
                <w:szCs w:val="18"/>
                <w:lang w:eastAsia="fr-FR"/>
              </w:rPr>
            </w:pPr>
            <w:r w:rsidRPr="00AB1E0E">
              <w:rPr>
                <w:rFonts w:cs="Calibri"/>
                <w:sz w:val="18"/>
                <w:szCs w:val="18"/>
                <w:lang w:eastAsia="fr-FR"/>
              </w:rPr>
              <w:t>Mineure</w:t>
            </w:r>
          </w:p>
        </w:tc>
      </w:tr>
    </w:tbl>
    <w:p w14:paraId="794F61A4" w14:textId="77777777" w:rsidR="00F76951" w:rsidRDefault="00F76951"/>
    <w:p w14:paraId="7561D306" w14:textId="77777777" w:rsidR="00F21AEE" w:rsidRDefault="00F21AEE" w:rsidP="00B434A6">
      <w:pPr>
        <w:sectPr w:rsidR="00F21AEE" w:rsidSect="008C024E">
          <w:pgSz w:w="16838" w:h="11906" w:orient="landscape"/>
          <w:pgMar w:top="1418" w:right="1418" w:bottom="1418" w:left="1418" w:header="709" w:footer="0" w:gutter="0"/>
          <w:cols w:space="720"/>
          <w:formProt w:val="0"/>
          <w:docGrid w:linePitch="360" w:charSpace="4096"/>
        </w:sectPr>
      </w:pPr>
    </w:p>
    <w:p w14:paraId="44E99686" w14:textId="77777777" w:rsidR="00832CC9" w:rsidRPr="00B96EBA" w:rsidRDefault="00832CC9" w:rsidP="0044500E">
      <w:pPr>
        <w:pStyle w:val="Paragraphedeliste"/>
        <w:numPr>
          <w:ilvl w:val="0"/>
          <w:numId w:val="177"/>
        </w:numPr>
        <w:pBdr>
          <w:bottom w:val="single" w:sz="4" w:space="1" w:color="auto"/>
        </w:pBdr>
        <w:spacing w:line="240" w:lineRule="auto"/>
        <w:jc w:val="both"/>
        <w:outlineLvl w:val="0"/>
        <w:rPr>
          <w:b/>
          <w:bCs/>
          <w:caps/>
          <w:color w:val="44546A"/>
          <w:sz w:val="40"/>
          <w:szCs w:val="44"/>
        </w:rPr>
      </w:pPr>
      <w:bookmarkStart w:id="1153" w:name="_Toc124956285"/>
      <w:bookmarkStart w:id="1154" w:name="_Toc125384633"/>
      <w:bookmarkStart w:id="1155" w:name="_Toc125385022"/>
      <w:bookmarkStart w:id="1156" w:name="_Toc127957695"/>
      <w:r w:rsidRPr="00B96EBA">
        <w:rPr>
          <w:b/>
          <w:bCs/>
          <w:caps/>
          <w:color w:val="44546A"/>
          <w:sz w:val="40"/>
          <w:szCs w:val="44"/>
        </w:rPr>
        <w:t>Processus de Consultations</w:t>
      </w:r>
      <w:bookmarkEnd w:id="1153"/>
      <w:bookmarkEnd w:id="1154"/>
      <w:bookmarkEnd w:id="1155"/>
      <w:bookmarkEnd w:id="1156"/>
    </w:p>
    <w:p w14:paraId="50406A92" w14:textId="77777777" w:rsidR="00B94CB2" w:rsidRPr="00B94CB2" w:rsidRDefault="00B94CB2" w:rsidP="00B94CB2">
      <w:pPr>
        <w:autoSpaceDE w:val="0"/>
        <w:autoSpaceDN w:val="0"/>
        <w:adjustRightInd w:val="0"/>
        <w:jc w:val="both"/>
        <w:rPr>
          <w:rFonts w:ascii="Arial" w:hAnsi="Arial" w:cs="Arial"/>
          <w:szCs w:val="24"/>
        </w:rPr>
      </w:pPr>
      <w:r w:rsidRPr="00B94CB2">
        <w:rPr>
          <w:rFonts w:ascii="Arial" w:hAnsi="Arial" w:cs="Arial"/>
          <w:szCs w:val="24"/>
        </w:rPr>
        <w:t>Le processus d’information, de consultation et de participation du public est essentiel parce qu'il constitue l'opportunité pour les personnes potentiellement affectées de participer à la fois à la conception et à la mise en œuvre des sous projets envisagés. Ce processus est déclenché dès la phase de formulation du projet et touchera toutes les parties prenantes au processus.</w:t>
      </w:r>
    </w:p>
    <w:p w14:paraId="52453F5A" w14:textId="77777777" w:rsidR="00832CC9" w:rsidRPr="00B94CB2" w:rsidRDefault="00B94CB2" w:rsidP="00B94CB2">
      <w:pPr>
        <w:autoSpaceDE w:val="0"/>
        <w:autoSpaceDN w:val="0"/>
        <w:adjustRightInd w:val="0"/>
        <w:jc w:val="both"/>
        <w:rPr>
          <w:rFonts w:ascii="Arial" w:hAnsi="Arial" w:cs="Arial"/>
          <w:szCs w:val="24"/>
        </w:rPr>
      </w:pPr>
      <w:r w:rsidRPr="00B94CB2">
        <w:rPr>
          <w:rFonts w:ascii="Arial" w:hAnsi="Arial" w:cs="Arial"/>
          <w:szCs w:val="24"/>
        </w:rPr>
        <w:t xml:space="preserve">En effet, conformément à la NES10 de la Banque </w:t>
      </w:r>
      <w:r w:rsidR="003B02C7">
        <w:rPr>
          <w:rFonts w:ascii="Arial" w:hAnsi="Arial" w:cs="Arial"/>
          <w:szCs w:val="24"/>
        </w:rPr>
        <w:t>m</w:t>
      </w:r>
      <w:r w:rsidRPr="00B94CB2">
        <w:rPr>
          <w:rFonts w:ascii="Arial" w:hAnsi="Arial" w:cs="Arial"/>
          <w:szCs w:val="24"/>
        </w:rPr>
        <w:t xml:space="preserve">ondiale, le Projet </w:t>
      </w:r>
      <w:r>
        <w:rPr>
          <w:rFonts w:ascii="Arial" w:hAnsi="Arial" w:cs="Arial"/>
          <w:szCs w:val="24"/>
        </w:rPr>
        <w:t>DECIM</w:t>
      </w:r>
      <w:r w:rsidRPr="00B94CB2">
        <w:rPr>
          <w:rFonts w:ascii="Arial" w:hAnsi="Arial" w:cs="Arial"/>
          <w:szCs w:val="24"/>
        </w:rPr>
        <w:t xml:space="preserve"> est tenu de rendre publique les informations sur ledit Projet pour permettre aux parties prenantes de comprendre les risques et les effets potentiels de celui-ci, ainsi que les opportunités qu’il pourrait offrir. En outre, il entreprend des consultations approfondies d’une manière qui offre</w:t>
      </w:r>
      <w:r w:rsidR="003B02C7">
        <w:rPr>
          <w:rFonts w:ascii="Arial" w:hAnsi="Arial" w:cs="Arial"/>
          <w:szCs w:val="24"/>
        </w:rPr>
        <w:t>nt</w:t>
      </w:r>
      <w:r w:rsidRPr="00B94CB2">
        <w:rPr>
          <w:rFonts w:ascii="Arial" w:hAnsi="Arial" w:cs="Arial"/>
          <w:szCs w:val="24"/>
        </w:rPr>
        <w:t xml:space="preserve"> la possibilité aux parties prenantes de donner leurs avis sur les risques, les effets et les mesures d’atténuation des activités, et au Projet </w:t>
      </w:r>
      <w:r>
        <w:rPr>
          <w:rFonts w:ascii="Arial" w:hAnsi="Arial" w:cs="Arial"/>
          <w:szCs w:val="24"/>
        </w:rPr>
        <w:t>DECIM</w:t>
      </w:r>
      <w:r w:rsidRPr="00B94CB2">
        <w:rPr>
          <w:rFonts w:ascii="Arial" w:hAnsi="Arial" w:cs="Arial"/>
          <w:szCs w:val="24"/>
        </w:rPr>
        <w:t xml:space="preserve"> d’en tenir compte et d’y répondre.</w:t>
      </w:r>
    </w:p>
    <w:p w14:paraId="459C3124" w14:textId="77777777" w:rsidR="00E95156" w:rsidRPr="007F78CE" w:rsidRDefault="00E95156" w:rsidP="0044500E">
      <w:pPr>
        <w:pStyle w:val="TIT2"/>
        <w:numPr>
          <w:ilvl w:val="1"/>
          <w:numId w:val="177"/>
        </w:numPr>
      </w:pPr>
      <w:bookmarkStart w:id="1157" w:name="_Toc124314757"/>
      <w:bookmarkStart w:id="1158" w:name="_Toc124956286"/>
      <w:bookmarkStart w:id="1159" w:name="_Toc125384634"/>
      <w:bookmarkStart w:id="1160" w:name="_Toc125385023"/>
      <w:bookmarkStart w:id="1161" w:name="_Toc127957696"/>
      <w:r w:rsidRPr="007F78CE">
        <w:t>Objectif des consultations publiques et des parties prenantes</w:t>
      </w:r>
      <w:bookmarkEnd w:id="1157"/>
      <w:bookmarkEnd w:id="1158"/>
      <w:bookmarkEnd w:id="1159"/>
      <w:bookmarkEnd w:id="1160"/>
      <w:bookmarkEnd w:id="1161"/>
    </w:p>
    <w:p w14:paraId="14161CEE" w14:textId="77777777" w:rsidR="00B94CB2" w:rsidRPr="00B94CB2" w:rsidRDefault="00B94CB2" w:rsidP="00B94CB2">
      <w:pPr>
        <w:autoSpaceDE w:val="0"/>
        <w:autoSpaceDN w:val="0"/>
        <w:adjustRightInd w:val="0"/>
        <w:jc w:val="both"/>
        <w:rPr>
          <w:rFonts w:ascii="Arial" w:hAnsi="Arial" w:cs="Arial"/>
          <w:szCs w:val="24"/>
        </w:rPr>
      </w:pPr>
      <w:r w:rsidRPr="00B94CB2">
        <w:rPr>
          <w:rFonts w:ascii="Arial" w:hAnsi="Arial" w:cs="Arial"/>
          <w:szCs w:val="24"/>
        </w:rPr>
        <w:t xml:space="preserve">La conception du CGES en vue de la préparation de sa mise en œuvre requiert la participation de différentes parties prenantes. Ainsi, le processus de consultation est conduit dans l’optique de l’élaboration du présent CGES et a vu la participation des publics et des parties prenantes impliquées dans le Projet. </w:t>
      </w:r>
    </w:p>
    <w:p w14:paraId="2F608AB0" w14:textId="77777777" w:rsidR="00B94CB2" w:rsidRPr="00B94CB2" w:rsidRDefault="00B94CB2" w:rsidP="00B94CB2">
      <w:pPr>
        <w:autoSpaceDE w:val="0"/>
        <w:autoSpaceDN w:val="0"/>
        <w:adjustRightInd w:val="0"/>
        <w:jc w:val="both"/>
        <w:rPr>
          <w:rFonts w:ascii="Arial" w:hAnsi="Arial" w:cs="Arial"/>
          <w:szCs w:val="24"/>
        </w:rPr>
      </w:pPr>
      <w:r w:rsidRPr="00B94CB2">
        <w:rPr>
          <w:rFonts w:ascii="Arial" w:hAnsi="Arial" w:cs="Arial"/>
          <w:szCs w:val="24"/>
        </w:rPr>
        <w:t>Les principaux objectifs de ces consultations consistent à :</w:t>
      </w:r>
    </w:p>
    <w:p w14:paraId="25B54C91" w14:textId="77777777" w:rsidR="00B94CB2" w:rsidRPr="00B94CB2" w:rsidRDefault="00B94CB2" w:rsidP="00687DD2">
      <w:pPr>
        <w:pStyle w:val="Paragraphedeliste"/>
        <w:numPr>
          <w:ilvl w:val="0"/>
          <w:numId w:val="46"/>
        </w:numPr>
        <w:tabs>
          <w:tab w:val="left" w:pos="1276"/>
        </w:tabs>
        <w:suppressAutoHyphens/>
        <w:spacing w:after="0" w:line="240" w:lineRule="auto"/>
        <w:ind w:left="1276" w:hanging="284"/>
        <w:jc w:val="both"/>
        <w:rPr>
          <w:rFonts w:ascii="Arial" w:hAnsi="Arial" w:cs="Arial"/>
          <w:szCs w:val="24"/>
        </w:rPr>
      </w:pPr>
      <w:r w:rsidRPr="00B94CB2">
        <w:rPr>
          <w:rFonts w:ascii="Arial" w:hAnsi="Arial" w:cs="Arial"/>
          <w:szCs w:val="24"/>
        </w:rPr>
        <w:t>Informer les parties prenantes sur le Projet, ses composantes et ses objectifs ;</w:t>
      </w:r>
    </w:p>
    <w:p w14:paraId="37472D38" w14:textId="77777777" w:rsidR="00B94CB2" w:rsidRPr="00B94CB2" w:rsidRDefault="00B94CB2" w:rsidP="00687DD2">
      <w:pPr>
        <w:pStyle w:val="Paragraphedeliste"/>
        <w:numPr>
          <w:ilvl w:val="0"/>
          <w:numId w:val="46"/>
        </w:numPr>
        <w:tabs>
          <w:tab w:val="left" w:pos="1276"/>
        </w:tabs>
        <w:suppressAutoHyphens/>
        <w:spacing w:after="0" w:line="240" w:lineRule="auto"/>
        <w:ind w:left="1276" w:hanging="284"/>
        <w:jc w:val="both"/>
        <w:rPr>
          <w:rFonts w:ascii="Arial" w:hAnsi="Arial" w:cs="Arial"/>
          <w:szCs w:val="24"/>
        </w:rPr>
      </w:pPr>
      <w:r w:rsidRPr="00B94CB2">
        <w:rPr>
          <w:rFonts w:ascii="Arial" w:hAnsi="Arial" w:cs="Arial"/>
          <w:szCs w:val="24"/>
        </w:rPr>
        <w:t>Collecter les points de vue, opinions, préoccupations et propositions de ces parties prenantes ;</w:t>
      </w:r>
    </w:p>
    <w:p w14:paraId="409E8F51" w14:textId="77777777" w:rsidR="00B94CB2" w:rsidRPr="00B94CB2" w:rsidRDefault="00B94CB2" w:rsidP="00687DD2">
      <w:pPr>
        <w:pStyle w:val="Paragraphedeliste"/>
        <w:numPr>
          <w:ilvl w:val="0"/>
          <w:numId w:val="46"/>
        </w:numPr>
        <w:tabs>
          <w:tab w:val="left" w:pos="1276"/>
        </w:tabs>
        <w:suppressAutoHyphens/>
        <w:spacing w:after="0" w:line="240" w:lineRule="auto"/>
        <w:ind w:left="1276" w:hanging="284"/>
        <w:jc w:val="both"/>
        <w:rPr>
          <w:rFonts w:ascii="Arial" w:hAnsi="Arial" w:cs="Arial"/>
          <w:szCs w:val="24"/>
        </w:rPr>
      </w:pPr>
      <w:r w:rsidRPr="00B94CB2">
        <w:rPr>
          <w:rFonts w:ascii="Arial" w:hAnsi="Arial" w:cs="Arial"/>
          <w:szCs w:val="24"/>
        </w:rPr>
        <w:t>S’appuyer sur les avis et propositions exprimées par les parties prenantes durant les différentes phases du projet ;</w:t>
      </w:r>
    </w:p>
    <w:p w14:paraId="1DECE554" w14:textId="77777777" w:rsidR="00B94CB2" w:rsidRPr="00B94CB2" w:rsidRDefault="00B94CB2" w:rsidP="00687DD2">
      <w:pPr>
        <w:pStyle w:val="Paragraphedeliste"/>
        <w:numPr>
          <w:ilvl w:val="0"/>
          <w:numId w:val="46"/>
        </w:numPr>
        <w:tabs>
          <w:tab w:val="left" w:pos="1276"/>
        </w:tabs>
        <w:suppressAutoHyphens/>
        <w:spacing w:after="0" w:line="240" w:lineRule="auto"/>
        <w:ind w:left="1276" w:hanging="284"/>
        <w:jc w:val="both"/>
        <w:rPr>
          <w:rFonts w:ascii="Arial" w:hAnsi="Arial" w:cs="Arial"/>
          <w:szCs w:val="24"/>
        </w:rPr>
      </w:pPr>
      <w:r w:rsidRPr="00B94CB2">
        <w:rPr>
          <w:rFonts w:ascii="Arial" w:hAnsi="Arial" w:cs="Arial"/>
          <w:szCs w:val="24"/>
        </w:rPr>
        <w:t>Etablir les implications sociales du Projet sur ses différentes phases ;</w:t>
      </w:r>
    </w:p>
    <w:p w14:paraId="24268542" w14:textId="77777777" w:rsidR="00B94CB2" w:rsidRPr="00B94CB2" w:rsidRDefault="00B94CB2" w:rsidP="00687DD2">
      <w:pPr>
        <w:pStyle w:val="Paragraphedeliste"/>
        <w:numPr>
          <w:ilvl w:val="0"/>
          <w:numId w:val="46"/>
        </w:numPr>
        <w:tabs>
          <w:tab w:val="left" w:pos="1276"/>
        </w:tabs>
        <w:suppressAutoHyphens/>
        <w:spacing w:after="0" w:line="240" w:lineRule="auto"/>
        <w:ind w:left="1276" w:hanging="284"/>
        <w:jc w:val="both"/>
        <w:rPr>
          <w:rFonts w:ascii="Arial" w:hAnsi="Arial" w:cs="Arial"/>
          <w:szCs w:val="24"/>
        </w:rPr>
      </w:pPr>
      <w:r w:rsidRPr="00B94CB2">
        <w:rPr>
          <w:rFonts w:ascii="Arial" w:hAnsi="Arial" w:cs="Arial"/>
          <w:szCs w:val="24"/>
        </w:rPr>
        <w:t>Acquérir de nouvelles informations pour enrichir davantage le projet notamment sur les plans valeurs et normes sociales au sein des communautés et au niveau de chaque île ;</w:t>
      </w:r>
    </w:p>
    <w:p w14:paraId="74D3023A" w14:textId="77777777" w:rsidR="00B94CB2" w:rsidRPr="00B94CB2" w:rsidRDefault="00B94CB2" w:rsidP="00687DD2">
      <w:pPr>
        <w:pStyle w:val="Paragraphedeliste"/>
        <w:numPr>
          <w:ilvl w:val="0"/>
          <w:numId w:val="46"/>
        </w:numPr>
        <w:tabs>
          <w:tab w:val="left" w:pos="1276"/>
        </w:tabs>
        <w:suppressAutoHyphens/>
        <w:spacing w:after="0" w:line="240" w:lineRule="auto"/>
        <w:ind w:left="1276" w:hanging="284"/>
        <w:jc w:val="both"/>
        <w:rPr>
          <w:rFonts w:ascii="Arial" w:hAnsi="Arial" w:cs="Arial"/>
          <w:szCs w:val="24"/>
        </w:rPr>
      </w:pPr>
      <w:r w:rsidRPr="00B94CB2">
        <w:rPr>
          <w:rFonts w:ascii="Arial" w:hAnsi="Arial" w:cs="Arial"/>
          <w:szCs w:val="24"/>
        </w:rPr>
        <w:t>Faire adhérer les parties prenantes au Projet</w:t>
      </w:r>
      <w:r w:rsidR="003B02C7">
        <w:rPr>
          <w:rFonts w:ascii="Arial" w:hAnsi="Arial" w:cs="Arial"/>
          <w:szCs w:val="24"/>
        </w:rPr>
        <w:t>.</w:t>
      </w:r>
    </w:p>
    <w:p w14:paraId="5E094F53" w14:textId="77777777" w:rsidR="00E95156" w:rsidRPr="00B94CB2" w:rsidRDefault="00E95156" w:rsidP="00B94CB2">
      <w:pPr>
        <w:autoSpaceDE w:val="0"/>
        <w:autoSpaceDN w:val="0"/>
        <w:adjustRightInd w:val="0"/>
        <w:jc w:val="both"/>
        <w:rPr>
          <w:rFonts w:ascii="Arial" w:hAnsi="Arial" w:cs="Arial"/>
          <w:szCs w:val="24"/>
        </w:rPr>
      </w:pPr>
    </w:p>
    <w:p w14:paraId="2634FE7E" w14:textId="77777777" w:rsidR="00E95156" w:rsidRPr="007F78CE" w:rsidRDefault="00E95156" w:rsidP="0044500E">
      <w:pPr>
        <w:pStyle w:val="TIT2"/>
        <w:numPr>
          <w:ilvl w:val="1"/>
          <w:numId w:val="177"/>
        </w:numPr>
      </w:pPr>
      <w:bookmarkStart w:id="1162" w:name="_Toc124314758"/>
      <w:bookmarkStart w:id="1163" w:name="_Toc124956287"/>
      <w:bookmarkStart w:id="1164" w:name="_Toc125384635"/>
      <w:bookmarkStart w:id="1165" w:name="_Toc125385024"/>
      <w:bookmarkStart w:id="1166" w:name="_Toc127957697"/>
      <w:r w:rsidRPr="007F78CE">
        <w:t>Méthodologie d’approche pour la préparation des consultations</w:t>
      </w:r>
      <w:bookmarkEnd w:id="1162"/>
      <w:bookmarkEnd w:id="1163"/>
      <w:bookmarkEnd w:id="1164"/>
      <w:bookmarkEnd w:id="1165"/>
      <w:bookmarkEnd w:id="1166"/>
    </w:p>
    <w:p w14:paraId="5A13EB5C" w14:textId="77777777" w:rsidR="00B94CB2" w:rsidRPr="00B94CB2" w:rsidRDefault="00B94CB2" w:rsidP="00B94CB2">
      <w:pPr>
        <w:autoSpaceDE w:val="0"/>
        <w:autoSpaceDN w:val="0"/>
        <w:adjustRightInd w:val="0"/>
        <w:jc w:val="both"/>
        <w:rPr>
          <w:rFonts w:ascii="Arial" w:hAnsi="Arial" w:cs="Arial"/>
          <w:szCs w:val="24"/>
        </w:rPr>
      </w:pPr>
      <w:r w:rsidRPr="00B94CB2">
        <w:rPr>
          <w:rFonts w:ascii="Arial" w:hAnsi="Arial" w:cs="Arial"/>
          <w:szCs w:val="24"/>
        </w:rPr>
        <w:t xml:space="preserve">Dans le cadre de la préparation des consultations publiques, trois approches ont été adoptées pour les différentes séances de réunion : (i) distribution des invitations et (ii) communication téléphonique, et (iii) information directe auprès des parties prenantes. En effet, pour la réunion de consultation publique dans les différentes zones, des invitations ont été élaborées préalablement pour être distribuées en avance auprès des différents acteurs et parties prenantes du Projet ; entre autres les CTD, les STD, les opérateurs œuvrant dans les secteurs ciblés. </w:t>
      </w:r>
    </w:p>
    <w:p w14:paraId="4938FC1E" w14:textId="77777777" w:rsidR="00E95156" w:rsidRPr="008F5046" w:rsidRDefault="00E95156" w:rsidP="008F5046">
      <w:pPr>
        <w:autoSpaceDE w:val="0"/>
        <w:autoSpaceDN w:val="0"/>
        <w:adjustRightInd w:val="0"/>
        <w:jc w:val="both"/>
        <w:rPr>
          <w:rFonts w:ascii="Arial" w:hAnsi="Arial" w:cs="Arial"/>
          <w:szCs w:val="24"/>
        </w:rPr>
      </w:pPr>
    </w:p>
    <w:p w14:paraId="2A2CE09E" w14:textId="77777777" w:rsidR="00E95156" w:rsidRPr="007F78CE" w:rsidRDefault="008F5046" w:rsidP="0044500E">
      <w:pPr>
        <w:pStyle w:val="TIT2"/>
        <w:numPr>
          <w:ilvl w:val="1"/>
          <w:numId w:val="177"/>
        </w:numPr>
      </w:pPr>
      <w:bookmarkStart w:id="1167" w:name="_Toc124314759"/>
      <w:bookmarkStart w:id="1168" w:name="_Toc124956288"/>
      <w:bookmarkStart w:id="1169" w:name="_Toc125384636"/>
      <w:bookmarkStart w:id="1170" w:name="_Toc125385025"/>
      <w:bookmarkStart w:id="1171" w:name="_Toc127957698"/>
      <w:r w:rsidRPr="007F78CE">
        <w:t>Déroulement et r</w:t>
      </w:r>
      <w:r w:rsidR="00E95156" w:rsidRPr="007F78CE">
        <w:t>ésultats des consultations</w:t>
      </w:r>
      <w:bookmarkEnd w:id="1167"/>
      <w:bookmarkEnd w:id="1168"/>
      <w:bookmarkEnd w:id="1169"/>
      <w:bookmarkEnd w:id="1170"/>
      <w:bookmarkEnd w:id="1171"/>
      <w:r w:rsidR="00E95156" w:rsidRPr="007F78CE">
        <w:t xml:space="preserve"> </w:t>
      </w:r>
    </w:p>
    <w:p w14:paraId="16B1DF73" w14:textId="77777777" w:rsidR="00E95156" w:rsidRPr="00E95156" w:rsidRDefault="00E95156" w:rsidP="0044500E">
      <w:pPr>
        <w:pStyle w:val="TIT3"/>
        <w:numPr>
          <w:ilvl w:val="2"/>
          <w:numId w:val="177"/>
        </w:numPr>
      </w:pPr>
      <w:bookmarkStart w:id="1172" w:name="_Toc124312779"/>
      <w:bookmarkStart w:id="1173" w:name="_Toc124314760"/>
      <w:bookmarkStart w:id="1174" w:name="_Toc124956289"/>
      <w:bookmarkStart w:id="1175" w:name="_Toc125384637"/>
      <w:bookmarkStart w:id="1176" w:name="_Toc125385026"/>
      <w:bookmarkStart w:id="1177" w:name="_Toc127957699"/>
      <w:bookmarkEnd w:id="1172"/>
      <w:r w:rsidRPr="00E95156">
        <w:t>Réunion d’information</w:t>
      </w:r>
      <w:bookmarkEnd w:id="1173"/>
      <w:bookmarkEnd w:id="1174"/>
      <w:bookmarkEnd w:id="1175"/>
      <w:bookmarkEnd w:id="1176"/>
      <w:bookmarkEnd w:id="1177"/>
    </w:p>
    <w:p w14:paraId="40D5EE48" w14:textId="77777777" w:rsidR="00941BF9" w:rsidRDefault="00941BF9" w:rsidP="009B2417">
      <w:pPr>
        <w:autoSpaceDE w:val="0"/>
        <w:autoSpaceDN w:val="0"/>
        <w:adjustRightInd w:val="0"/>
        <w:jc w:val="both"/>
        <w:rPr>
          <w:rFonts w:ascii="Arial" w:hAnsi="Arial" w:cs="Arial"/>
        </w:rPr>
      </w:pPr>
      <w:r w:rsidRPr="58F5F8BA">
        <w:rPr>
          <w:rFonts w:ascii="Arial" w:hAnsi="Arial" w:cs="Arial"/>
        </w:rPr>
        <w:t>Des</w:t>
      </w:r>
      <w:r w:rsidR="009B2417" w:rsidRPr="58F5F8BA">
        <w:rPr>
          <w:rFonts w:ascii="Arial" w:hAnsi="Arial" w:cs="Arial"/>
        </w:rPr>
        <w:t xml:space="preserve"> réunions d’information des parties prenantes</w:t>
      </w:r>
      <w:r w:rsidRPr="58F5F8BA">
        <w:rPr>
          <w:rFonts w:ascii="Arial" w:hAnsi="Arial" w:cs="Arial"/>
        </w:rPr>
        <w:t xml:space="preserve"> ont été menées au niveau de quelques sites potentiels du projet (Régions </w:t>
      </w:r>
      <w:r w:rsidR="009B2417" w:rsidRPr="58F5F8BA">
        <w:rPr>
          <w:rFonts w:ascii="Arial" w:hAnsi="Arial" w:cs="Arial"/>
        </w:rPr>
        <w:t xml:space="preserve">Analamanga, </w:t>
      </w:r>
      <w:r w:rsidRPr="58F5F8BA">
        <w:rPr>
          <w:rFonts w:ascii="Arial" w:hAnsi="Arial" w:cs="Arial"/>
        </w:rPr>
        <w:t>Boeny, Bongolava, Fitovinany, Menabe, Vakinankaratra</w:t>
      </w:r>
      <w:r w:rsidR="009B2417" w:rsidRPr="58F5F8BA">
        <w:rPr>
          <w:rFonts w:ascii="Arial" w:hAnsi="Arial" w:cs="Arial"/>
        </w:rPr>
        <w:t xml:space="preserve">) dans le cadre de l’élaboration de </w:t>
      </w:r>
      <w:r w:rsidR="00145FBE" w:rsidRPr="58F5F8BA">
        <w:rPr>
          <w:rFonts w:ascii="Arial" w:hAnsi="Arial" w:cs="Arial"/>
        </w:rPr>
        <w:t xml:space="preserve">ce </w:t>
      </w:r>
      <w:r w:rsidR="009B2417" w:rsidRPr="58F5F8BA">
        <w:rPr>
          <w:rFonts w:ascii="Arial" w:hAnsi="Arial" w:cs="Arial"/>
        </w:rPr>
        <w:t xml:space="preserve">document Cadre de Gestion Environnementale et Sociale du Projet DECIM. Ces réunions </w:t>
      </w:r>
      <w:r w:rsidR="00145FBE" w:rsidRPr="58F5F8BA">
        <w:rPr>
          <w:rFonts w:ascii="Arial" w:hAnsi="Arial" w:cs="Arial"/>
        </w:rPr>
        <w:t>ont</w:t>
      </w:r>
      <w:r w:rsidR="009B2417" w:rsidRPr="58F5F8BA">
        <w:rPr>
          <w:rFonts w:ascii="Arial" w:hAnsi="Arial" w:cs="Arial"/>
        </w:rPr>
        <w:t xml:space="preserve"> </w:t>
      </w:r>
      <w:r w:rsidR="005969CF">
        <w:rPr>
          <w:rFonts w:ascii="Arial" w:hAnsi="Arial" w:cs="Arial"/>
        </w:rPr>
        <w:t>eu</w:t>
      </w:r>
      <w:r w:rsidR="009B2417" w:rsidRPr="58F5F8BA">
        <w:rPr>
          <w:rFonts w:ascii="Arial" w:hAnsi="Arial" w:cs="Arial"/>
        </w:rPr>
        <w:t xml:space="preserve"> pour objectif</w:t>
      </w:r>
      <w:r w:rsidR="00145FBE" w:rsidRPr="58F5F8BA">
        <w:rPr>
          <w:rFonts w:ascii="Arial" w:hAnsi="Arial" w:cs="Arial"/>
        </w:rPr>
        <w:t>s</w:t>
      </w:r>
      <w:r w:rsidR="009B2417" w:rsidRPr="58F5F8BA">
        <w:rPr>
          <w:rFonts w:ascii="Arial" w:hAnsi="Arial" w:cs="Arial"/>
        </w:rPr>
        <w:t xml:space="preserve"> de : i) informer préalablement les parties prenantes sur l’existence de ce nouveau projet et sur la préparation des documents cadres de gestion des risques environnementaux et sociaux suscités tels qu’il est </w:t>
      </w:r>
      <w:r w:rsidR="7DDB1B7B" w:rsidRPr="58F5F8BA">
        <w:rPr>
          <w:rFonts w:ascii="Arial" w:hAnsi="Arial" w:cs="Arial"/>
        </w:rPr>
        <w:t>énonc</w:t>
      </w:r>
      <w:r w:rsidR="7F558E43" w:rsidRPr="58F5F8BA">
        <w:rPr>
          <w:rFonts w:ascii="Arial" w:hAnsi="Arial" w:cs="Arial"/>
        </w:rPr>
        <w:t>é</w:t>
      </w:r>
      <w:r w:rsidR="009B2417" w:rsidRPr="58F5F8BA">
        <w:rPr>
          <w:rFonts w:ascii="Arial" w:hAnsi="Arial" w:cs="Arial"/>
        </w:rPr>
        <w:t xml:space="preserve"> par les exigences des normes sociales et environnementales de la Banque mondiale ; ii) identifier les avis des parties prenantes et de la communauté sur les activités potentielles initiées par le Projet, iii) identifier les préoccupations (besoins, attentes, craintes, …) des parties prenantes et de la communauté et recueillir leurs suggestions et recommandations éventuelles. </w:t>
      </w:r>
    </w:p>
    <w:p w14:paraId="6A232023" w14:textId="77777777" w:rsidR="00941BF9" w:rsidRDefault="009B2417" w:rsidP="0096492E">
      <w:pPr>
        <w:autoSpaceDE w:val="0"/>
        <w:autoSpaceDN w:val="0"/>
        <w:adjustRightInd w:val="0"/>
        <w:jc w:val="both"/>
        <w:rPr>
          <w:rFonts w:ascii="Arial" w:hAnsi="Arial" w:cs="Arial"/>
          <w:szCs w:val="24"/>
        </w:rPr>
      </w:pPr>
      <w:r w:rsidRPr="009B2417">
        <w:rPr>
          <w:rFonts w:ascii="Arial" w:hAnsi="Arial" w:cs="Arial"/>
          <w:szCs w:val="24"/>
        </w:rPr>
        <w:t xml:space="preserve">Près d’une quinzaine de participants ou plus ont </w:t>
      </w:r>
      <w:r w:rsidR="00145FBE">
        <w:rPr>
          <w:rFonts w:ascii="Arial" w:hAnsi="Arial" w:cs="Arial"/>
          <w:szCs w:val="24"/>
        </w:rPr>
        <w:t xml:space="preserve">été présents </w:t>
      </w:r>
      <w:r w:rsidRPr="009B2417">
        <w:rPr>
          <w:rFonts w:ascii="Arial" w:hAnsi="Arial" w:cs="Arial"/>
          <w:szCs w:val="24"/>
        </w:rPr>
        <w:t xml:space="preserve">à </w:t>
      </w:r>
      <w:r w:rsidR="00145FBE">
        <w:rPr>
          <w:rFonts w:ascii="Arial" w:hAnsi="Arial" w:cs="Arial"/>
          <w:szCs w:val="24"/>
        </w:rPr>
        <w:t xml:space="preserve">chacune de </w:t>
      </w:r>
      <w:r w:rsidRPr="009B2417">
        <w:rPr>
          <w:rFonts w:ascii="Arial" w:hAnsi="Arial" w:cs="Arial"/>
          <w:szCs w:val="24"/>
        </w:rPr>
        <w:t xml:space="preserve">ces réunions </w:t>
      </w:r>
      <w:r w:rsidR="00145FBE">
        <w:rPr>
          <w:rFonts w:ascii="Arial" w:hAnsi="Arial" w:cs="Arial"/>
          <w:szCs w:val="24"/>
        </w:rPr>
        <w:t xml:space="preserve">dont </w:t>
      </w:r>
      <w:r w:rsidRPr="009B2417">
        <w:rPr>
          <w:rFonts w:ascii="Arial" w:hAnsi="Arial" w:cs="Arial"/>
          <w:szCs w:val="24"/>
        </w:rPr>
        <w:t>des représentants du gouvernorat, des STD, du préfet, des OSC/ONG, de la Police nationale, du JIRAMA et des opérateurs régionaux de la téléphonie mobile.</w:t>
      </w:r>
    </w:p>
    <w:p w14:paraId="6094D2B4" w14:textId="77777777" w:rsidR="00941BF9" w:rsidRDefault="009B2417" w:rsidP="0096492E">
      <w:pPr>
        <w:autoSpaceDE w:val="0"/>
        <w:autoSpaceDN w:val="0"/>
        <w:adjustRightInd w:val="0"/>
        <w:jc w:val="both"/>
        <w:rPr>
          <w:rFonts w:ascii="Arial" w:hAnsi="Arial" w:cs="Arial"/>
          <w:szCs w:val="24"/>
        </w:rPr>
      </w:pPr>
      <w:r>
        <w:rPr>
          <w:rFonts w:ascii="Arial" w:hAnsi="Arial" w:cs="Arial"/>
          <w:szCs w:val="24"/>
        </w:rPr>
        <w:t xml:space="preserve">La date de réunion ainsi que le nombre de participant dans chaque Région </w:t>
      </w:r>
      <w:r w:rsidR="00D017C2">
        <w:rPr>
          <w:rFonts w:ascii="Arial" w:hAnsi="Arial" w:cs="Arial"/>
          <w:szCs w:val="24"/>
        </w:rPr>
        <w:t xml:space="preserve">sont </w:t>
      </w:r>
      <w:r>
        <w:rPr>
          <w:rFonts w:ascii="Arial" w:hAnsi="Arial" w:cs="Arial"/>
          <w:szCs w:val="24"/>
        </w:rPr>
        <w:t>représenté</w:t>
      </w:r>
      <w:r w:rsidR="00D017C2">
        <w:rPr>
          <w:rFonts w:ascii="Arial" w:hAnsi="Arial" w:cs="Arial"/>
          <w:szCs w:val="24"/>
        </w:rPr>
        <w:t>s</w:t>
      </w:r>
      <w:r>
        <w:rPr>
          <w:rFonts w:ascii="Arial" w:hAnsi="Arial" w:cs="Arial"/>
          <w:szCs w:val="24"/>
        </w:rPr>
        <w:t xml:space="preserve"> dans le tableau suivant. </w:t>
      </w:r>
    </w:p>
    <w:p w14:paraId="4864241F" w14:textId="77777777" w:rsidR="00512FF5" w:rsidRPr="00061371" w:rsidRDefault="00061371" w:rsidP="00061371">
      <w:pPr>
        <w:pStyle w:val="Lgende"/>
        <w:jc w:val="center"/>
        <w:rPr>
          <w:sz w:val="20"/>
        </w:rPr>
      </w:pPr>
      <w:bookmarkStart w:id="1178" w:name="_Toc127957878"/>
      <w:r w:rsidRPr="00061371">
        <w:rPr>
          <w:sz w:val="20"/>
        </w:rPr>
        <w:t xml:space="preserve">Tableau </w:t>
      </w:r>
      <w:r w:rsidRPr="00061371">
        <w:rPr>
          <w:sz w:val="20"/>
        </w:rPr>
        <w:fldChar w:fldCharType="begin"/>
      </w:r>
      <w:r w:rsidRPr="00061371">
        <w:rPr>
          <w:sz w:val="20"/>
        </w:rPr>
        <w:instrText xml:space="preserve"> SEQ Tableau \* ARABIC </w:instrText>
      </w:r>
      <w:r w:rsidRPr="00061371">
        <w:rPr>
          <w:sz w:val="20"/>
        </w:rPr>
        <w:fldChar w:fldCharType="separate"/>
      </w:r>
      <w:r w:rsidR="005430A1">
        <w:rPr>
          <w:noProof/>
          <w:sz w:val="20"/>
        </w:rPr>
        <w:t>82</w:t>
      </w:r>
      <w:r w:rsidRPr="00061371">
        <w:rPr>
          <w:sz w:val="20"/>
        </w:rPr>
        <w:fldChar w:fldCharType="end"/>
      </w:r>
      <w:r w:rsidRPr="00061371">
        <w:rPr>
          <w:sz w:val="20"/>
        </w:rPr>
        <w:t>. Information sur les réunions d’information</w:t>
      </w:r>
      <w:r>
        <w:rPr>
          <w:sz w:val="20"/>
        </w:rPr>
        <w:t xml:space="preserve"> dans </w:t>
      </w:r>
      <w:r w:rsidR="00145FBE">
        <w:rPr>
          <w:sz w:val="20"/>
        </w:rPr>
        <w:t>les</w:t>
      </w:r>
      <w:r>
        <w:rPr>
          <w:sz w:val="20"/>
        </w:rPr>
        <w:t xml:space="preserve"> Région</w:t>
      </w:r>
      <w:r w:rsidR="00145FBE">
        <w:rPr>
          <w:sz w:val="20"/>
        </w:rPr>
        <w:t>s</w:t>
      </w:r>
      <w:r>
        <w:rPr>
          <w:sz w:val="20"/>
        </w:rPr>
        <w:t xml:space="preserve"> </w:t>
      </w:r>
      <w:r w:rsidRPr="00061371">
        <w:rPr>
          <w:sz w:val="20"/>
        </w:rPr>
        <w:t>concernant le Projet DECIM</w:t>
      </w:r>
      <w:bookmarkEnd w:id="1178"/>
    </w:p>
    <w:tbl>
      <w:tblPr>
        <w:tblW w:w="8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0"/>
        <w:gridCol w:w="1740"/>
        <w:gridCol w:w="1200"/>
        <w:gridCol w:w="1200"/>
        <w:gridCol w:w="1200"/>
        <w:gridCol w:w="1200"/>
      </w:tblGrid>
      <w:tr w:rsidR="00941BF9" w:rsidRPr="007F78CE" w14:paraId="3CC06578" w14:textId="77777777" w:rsidTr="00145FBE">
        <w:trPr>
          <w:trHeight w:val="300"/>
          <w:jc w:val="center"/>
        </w:trPr>
        <w:tc>
          <w:tcPr>
            <w:tcW w:w="1520" w:type="dxa"/>
            <w:shd w:val="clear" w:color="auto" w:fill="00B0F0"/>
            <w:noWrap/>
            <w:vAlign w:val="center"/>
            <w:hideMark/>
          </w:tcPr>
          <w:p w14:paraId="44CAA635" w14:textId="77777777" w:rsidR="00941BF9" w:rsidRPr="0068025E" w:rsidRDefault="00941BF9" w:rsidP="00941BF9">
            <w:pPr>
              <w:spacing w:after="0" w:line="240" w:lineRule="auto"/>
              <w:jc w:val="center"/>
              <w:rPr>
                <w:rFonts w:ascii="Arial" w:eastAsia="Times New Roman" w:hAnsi="Arial" w:cs="Arial"/>
                <w:b/>
                <w:bCs/>
                <w:color w:val="000000"/>
                <w:sz w:val="18"/>
                <w:szCs w:val="18"/>
                <w:lang w:eastAsia="fr-FR"/>
              </w:rPr>
            </w:pPr>
            <w:r w:rsidRPr="0068025E">
              <w:rPr>
                <w:rFonts w:ascii="Arial" w:eastAsia="Times New Roman" w:hAnsi="Arial" w:cs="Arial"/>
                <w:b/>
                <w:bCs/>
                <w:color w:val="000000"/>
                <w:sz w:val="18"/>
                <w:szCs w:val="18"/>
                <w:lang w:eastAsia="fr-FR"/>
              </w:rPr>
              <w:t>Régions</w:t>
            </w:r>
          </w:p>
        </w:tc>
        <w:tc>
          <w:tcPr>
            <w:tcW w:w="1740" w:type="dxa"/>
            <w:shd w:val="clear" w:color="auto" w:fill="00B0F0"/>
            <w:noWrap/>
            <w:vAlign w:val="center"/>
            <w:hideMark/>
          </w:tcPr>
          <w:p w14:paraId="2D571D24" w14:textId="77777777" w:rsidR="00941BF9" w:rsidRPr="0068025E" w:rsidRDefault="00941BF9" w:rsidP="00941BF9">
            <w:pPr>
              <w:spacing w:after="0" w:line="240" w:lineRule="auto"/>
              <w:jc w:val="center"/>
              <w:rPr>
                <w:rFonts w:ascii="Arial" w:eastAsia="Times New Roman" w:hAnsi="Arial" w:cs="Arial"/>
                <w:b/>
                <w:bCs/>
                <w:color w:val="000000"/>
                <w:sz w:val="18"/>
                <w:szCs w:val="18"/>
                <w:lang w:eastAsia="fr-FR"/>
              </w:rPr>
            </w:pPr>
            <w:r w:rsidRPr="0068025E">
              <w:rPr>
                <w:rFonts w:ascii="Arial" w:eastAsia="Times New Roman" w:hAnsi="Arial" w:cs="Arial"/>
                <w:b/>
                <w:bCs/>
                <w:color w:val="000000"/>
                <w:sz w:val="18"/>
                <w:szCs w:val="18"/>
                <w:lang w:eastAsia="fr-FR"/>
              </w:rPr>
              <w:t>Lieu</w:t>
            </w:r>
          </w:p>
        </w:tc>
        <w:tc>
          <w:tcPr>
            <w:tcW w:w="1200" w:type="dxa"/>
            <w:shd w:val="clear" w:color="auto" w:fill="00B0F0"/>
            <w:noWrap/>
            <w:vAlign w:val="center"/>
            <w:hideMark/>
          </w:tcPr>
          <w:p w14:paraId="0205B869" w14:textId="77777777" w:rsidR="00941BF9" w:rsidRPr="0068025E" w:rsidRDefault="00941BF9" w:rsidP="00941BF9">
            <w:pPr>
              <w:spacing w:after="0" w:line="240" w:lineRule="auto"/>
              <w:jc w:val="center"/>
              <w:rPr>
                <w:rFonts w:ascii="Arial" w:eastAsia="Times New Roman" w:hAnsi="Arial" w:cs="Arial"/>
                <w:b/>
                <w:bCs/>
                <w:color w:val="000000"/>
                <w:sz w:val="18"/>
                <w:szCs w:val="18"/>
                <w:lang w:eastAsia="fr-FR"/>
              </w:rPr>
            </w:pPr>
            <w:r w:rsidRPr="0068025E">
              <w:rPr>
                <w:rFonts w:ascii="Arial" w:eastAsia="Times New Roman" w:hAnsi="Arial" w:cs="Arial"/>
                <w:b/>
                <w:bCs/>
                <w:color w:val="000000"/>
                <w:sz w:val="18"/>
                <w:szCs w:val="18"/>
                <w:lang w:eastAsia="fr-FR"/>
              </w:rPr>
              <w:t>Date</w:t>
            </w:r>
          </w:p>
        </w:tc>
        <w:tc>
          <w:tcPr>
            <w:tcW w:w="1200" w:type="dxa"/>
            <w:shd w:val="clear" w:color="auto" w:fill="00B0F0"/>
            <w:noWrap/>
            <w:vAlign w:val="center"/>
            <w:hideMark/>
          </w:tcPr>
          <w:p w14:paraId="30804ED1" w14:textId="77777777" w:rsidR="00941BF9" w:rsidRPr="0068025E" w:rsidRDefault="00941BF9" w:rsidP="00941BF9">
            <w:pPr>
              <w:spacing w:after="0" w:line="240" w:lineRule="auto"/>
              <w:jc w:val="center"/>
              <w:rPr>
                <w:rFonts w:ascii="Arial" w:eastAsia="Times New Roman" w:hAnsi="Arial" w:cs="Arial"/>
                <w:b/>
                <w:bCs/>
                <w:color w:val="000000"/>
                <w:sz w:val="18"/>
                <w:szCs w:val="18"/>
                <w:lang w:eastAsia="fr-FR"/>
              </w:rPr>
            </w:pPr>
            <w:r w:rsidRPr="0068025E">
              <w:rPr>
                <w:rFonts w:ascii="Arial" w:eastAsia="Times New Roman" w:hAnsi="Arial" w:cs="Arial"/>
                <w:b/>
                <w:bCs/>
                <w:color w:val="000000"/>
                <w:sz w:val="18"/>
                <w:szCs w:val="18"/>
                <w:lang w:eastAsia="fr-FR"/>
              </w:rPr>
              <w:t>Nb femme</w:t>
            </w:r>
          </w:p>
        </w:tc>
        <w:tc>
          <w:tcPr>
            <w:tcW w:w="1200" w:type="dxa"/>
            <w:shd w:val="clear" w:color="auto" w:fill="00B0F0"/>
            <w:noWrap/>
            <w:vAlign w:val="center"/>
            <w:hideMark/>
          </w:tcPr>
          <w:p w14:paraId="455C6405" w14:textId="77777777" w:rsidR="00941BF9" w:rsidRPr="0068025E" w:rsidRDefault="00941BF9" w:rsidP="00941BF9">
            <w:pPr>
              <w:spacing w:after="0" w:line="240" w:lineRule="auto"/>
              <w:jc w:val="center"/>
              <w:rPr>
                <w:rFonts w:ascii="Arial" w:eastAsia="Times New Roman" w:hAnsi="Arial" w:cs="Arial"/>
                <w:b/>
                <w:bCs/>
                <w:color w:val="000000"/>
                <w:sz w:val="18"/>
                <w:szCs w:val="18"/>
                <w:lang w:eastAsia="fr-FR"/>
              </w:rPr>
            </w:pPr>
            <w:r w:rsidRPr="0068025E">
              <w:rPr>
                <w:rFonts w:ascii="Arial" w:eastAsia="Times New Roman" w:hAnsi="Arial" w:cs="Arial"/>
                <w:b/>
                <w:bCs/>
                <w:color w:val="000000"/>
                <w:sz w:val="18"/>
                <w:szCs w:val="18"/>
                <w:lang w:eastAsia="fr-FR"/>
              </w:rPr>
              <w:t>Nb homme</w:t>
            </w:r>
          </w:p>
        </w:tc>
        <w:tc>
          <w:tcPr>
            <w:tcW w:w="1200" w:type="dxa"/>
            <w:shd w:val="clear" w:color="auto" w:fill="00B0F0"/>
            <w:noWrap/>
            <w:vAlign w:val="center"/>
            <w:hideMark/>
          </w:tcPr>
          <w:p w14:paraId="0475F839" w14:textId="77777777" w:rsidR="00941BF9" w:rsidRPr="0068025E" w:rsidRDefault="00941BF9" w:rsidP="00941BF9">
            <w:pPr>
              <w:spacing w:after="0" w:line="240" w:lineRule="auto"/>
              <w:jc w:val="center"/>
              <w:rPr>
                <w:rFonts w:ascii="Arial" w:eastAsia="Times New Roman" w:hAnsi="Arial" w:cs="Arial"/>
                <w:b/>
                <w:bCs/>
                <w:color w:val="000000"/>
                <w:sz w:val="18"/>
                <w:szCs w:val="18"/>
                <w:lang w:eastAsia="fr-FR"/>
              </w:rPr>
            </w:pPr>
            <w:r w:rsidRPr="0068025E">
              <w:rPr>
                <w:rFonts w:ascii="Arial" w:eastAsia="Times New Roman" w:hAnsi="Arial" w:cs="Arial"/>
                <w:b/>
                <w:bCs/>
                <w:color w:val="000000"/>
                <w:sz w:val="18"/>
                <w:szCs w:val="18"/>
                <w:lang w:eastAsia="fr-FR"/>
              </w:rPr>
              <w:t>Total</w:t>
            </w:r>
          </w:p>
        </w:tc>
      </w:tr>
      <w:tr w:rsidR="00941BF9" w:rsidRPr="007F78CE" w14:paraId="1F4D8C94" w14:textId="77777777" w:rsidTr="00145FBE">
        <w:trPr>
          <w:trHeight w:val="300"/>
          <w:jc w:val="center"/>
        </w:trPr>
        <w:tc>
          <w:tcPr>
            <w:tcW w:w="1520" w:type="dxa"/>
            <w:shd w:val="clear" w:color="auto" w:fill="auto"/>
            <w:noWrap/>
            <w:vAlign w:val="bottom"/>
            <w:hideMark/>
          </w:tcPr>
          <w:p w14:paraId="3C01805D" w14:textId="77777777" w:rsidR="00941BF9" w:rsidRPr="0068025E" w:rsidRDefault="00941BF9" w:rsidP="00941BF9">
            <w:pPr>
              <w:spacing w:after="0" w:line="240" w:lineRule="auto"/>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Analamanga</w:t>
            </w:r>
          </w:p>
        </w:tc>
        <w:tc>
          <w:tcPr>
            <w:tcW w:w="1740" w:type="dxa"/>
            <w:shd w:val="clear" w:color="auto" w:fill="auto"/>
            <w:noWrap/>
            <w:vAlign w:val="bottom"/>
            <w:hideMark/>
          </w:tcPr>
          <w:p w14:paraId="20A64C79" w14:textId="77777777" w:rsidR="00941BF9" w:rsidRPr="0068025E" w:rsidRDefault="00941BF9" w:rsidP="00941BF9">
            <w:pPr>
              <w:spacing w:after="0" w:line="240" w:lineRule="auto"/>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Antsahavola</w:t>
            </w:r>
          </w:p>
        </w:tc>
        <w:tc>
          <w:tcPr>
            <w:tcW w:w="1200" w:type="dxa"/>
            <w:shd w:val="clear" w:color="auto" w:fill="auto"/>
            <w:noWrap/>
            <w:vAlign w:val="bottom"/>
            <w:hideMark/>
          </w:tcPr>
          <w:p w14:paraId="26D08BE2" w14:textId="77777777" w:rsidR="00941BF9" w:rsidRPr="0068025E" w:rsidRDefault="00941BF9" w:rsidP="00941BF9">
            <w:pPr>
              <w:spacing w:after="0" w:line="240" w:lineRule="auto"/>
              <w:jc w:val="right"/>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14/12/2022</w:t>
            </w:r>
          </w:p>
        </w:tc>
        <w:tc>
          <w:tcPr>
            <w:tcW w:w="1200" w:type="dxa"/>
            <w:shd w:val="clear" w:color="auto" w:fill="auto"/>
            <w:noWrap/>
            <w:vAlign w:val="bottom"/>
            <w:hideMark/>
          </w:tcPr>
          <w:p w14:paraId="29933359" w14:textId="77777777" w:rsidR="00941BF9" w:rsidRPr="0068025E" w:rsidRDefault="00941BF9" w:rsidP="00941BF9">
            <w:pPr>
              <w:spacing w:after="0" w:line="240" w:lineRule="auto"/>
              <w:jc w:val="right"/>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11</w:t>
            </w:r>
          </w:p>
        </w:tc>
        <w:tc>
          <w:tcPr>
            <w:tcW w:w="1200" w:type="dxa"/>
            <w:shd w:val="clear" w:color="auto" w:fill="auto"/>
            <w:noWrap/>
            <w:vAlign w:val="bottom"/>
            <w:hideMark/>
          </w:tcPr>
          <w:p w14:paraId="0F25936F" w14:textId="77777777" w:rsidR="00941BF9" w:rsidRPr="0068025E" w:rsidRDefault="00941BF9" w:rsidP="00941BF9">
            <w:pPr>
              <w:spacing w:after="0" w:line="240" w:lineRule="auto"/>
              <w:jc w:val="right"/>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21</w:t>
            </w:r>
          </w:p>
        </w:tc>
        <w:tc>
          <w:tcPr>
            <w:tcW w:w="1200" w:type="dxa"/>
            <w:shd w:val="clear" w:color="auto" w:fill="auto"/>
            <w:noWrap/>
            <w:vAlign w:val="bottom"/>
            <w:hideMark/>
          </w:tcPr>
          <w:p w14:paraId="2F95C259" w14:textId="77777777" w:rsidR="00941BF9" w:rsidRPr="0068025E" w:rsidRDefault="00941BF9" w:rsidP="00941BF9">
            <w:pPr>
              <w:spacing w:after="0" w:line="240" w:lineRule="auto"/>
              <w:jc w:val="right"/>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32</w:t>
            </w:r>
          </w:p>
        </w:tc>
      </w:tr>
      <w:tr w:rsidR="00941BF9" w:rsidRPr="007F78CE" w14:paraId="4430E555" w14:textId="77777777" w:rsidTr="00145FBE">
        <w:trPr>
          <w:trHeight w:val="300"/>
          <w:jc w:val="center"/>
        </w:trPr>
        <w:tc>
          <w:tcPr>
            <w:tcW w:w="1520" w:type="dxa"/>
            <w:shd w:val="clear" w:color="auto" w:fill="auto"/>
            <w:noWrap/>
            <w:vAlign w:val="bottom"/>
            <w:hideMark/>
          </w:tcPr>
          <w:p w14:paraId="7D16BEBD" w14:textId="77777777" w:rsidR="00941BF9" w:rsidRPr="0068025E" w:rsidRDefault="00941BF9" w:rsidP="00941BF9">
            <w:pPr>
              <w:spacing w:after="0" w:line="240" w:lineRule="auto"/>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Boeny</w:t>
            </w:r>
          </w:p>
        </w:tc>
        <w:tc>
          <w:tcPr>
            <w:tcW w:w="1740" w:type="dxa"/>
            <w:shd w:val="clear" w:color="auto" w:fill="auto"/>
            <w:noWrap/>
            <w:vAlign w:val="bottom"/>
            <w:hideMark/>
          </w:tcPr>
          <w:p w14:paraId="6CA0429B" w14:textId="77777777" w:rsidR="00941BF9" w:rsidRPr="0068025E" w:rsidRDefault="00941BF9" w:rsidP="00941BF9">
            <w:pPr>
              <w:spacing w:after="0" w:line="240" w:lineRule="auto"/>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Mahajanga</w:t>
            </w:r>
          </w:p>
        </w:tc>
        <w:tc>
          <w:tcPr>
            <w:tcW w:w="1200" w:type="dxa"/>
            <w:shd w:val="clear" w:color="auto" w:fill="auto"/>
            <w:noWrap/>
            <w:vAlign w:val="bottom"/>
            <w:hideMark/>
          </w:tcPr>
          <w:p w14:paraId="5B282E84" w14:textId="77777777" w:rsidR="00941BF9" w:rsidRPr="0068025E" w:rsidRDefault="00941BF9" w:rsidP="00941BF9">
            <w:pPr>
              <w:spacing w:after="0" w:line="240" w:lineRule="auto"/>
              <w:jc w:val="right"/>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16/12/2022</w:t>
            </w:r>
          </w:p>
        </w:tc>
        <w:tc>
          <w:tcPr>
            <w:tcW w:w="1200" w:type="dxa"/>
            <w:shd w:val="clear" w:color="auto" w:fill="auto"/>
            <w:noWrap/>
            <w:vAlign w:val="bottom"/>
            <w:hideMark/>
          </w:tcPr>
          <w:p w14:paraId="2F8D61AF" w14:textId="77777777" w:rsidR="00941BF9" w:rsidRPr="0068025E" w:rsidRDefault="00941BF9" w:rsidP="00941BF9">
            <w:pPr>
              <w:spacing w:after="0" w:line="240" w:lineRule="auto"/>
              <w:jc w:val="right"/>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8</w:t>
            </w:r>
          </w:p>
        </w:tc>
        <w:tc>
          <w:tcPr>
            <w:tcW w:w="1200" w:type="dxa"/>
            <w:shd w:val="clear" w:color="auto" w:fill="auto"/>
            <w:noWrap/>
            <w:vAlign w:val="bottom"/>
            <w:hideMark/>
          </w:tcPr>
          <w:p w14:paraId="5DE94758" w14:textId="77777777" w:rsidR="00941BF9" w:rsidRPr="0068025E" w:rsidRDefault="00941BF9" w:rsidP="00941BF9">
            <w:pPr>
              <w:spacing w:after="0" w:line="240" w:lineRule="auto"/>
              <w:jc w:val="right"/>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7</w:t>
            </w:r>
          </w:p>
        </w:tc>
        <w:tc>
          <w:tcPr>
            <w:tcW w:w="1200" w:type="dxa"/>
            <w:shd w:val="clear" w:color="auto" w:fill="auto"/>
            <w:noWrap/>
            <w:vAlign w:val="bottom"/>
            <w:hideMark/>
          </w:tcPr>
          <w:p w14:paraId="5962F3D4" w14:textId="77777777" w:rsidR="00941BF9" w:rsidRPr="0068025E" w:rsidRDefault="00941BF9" w:rsidP="00941BF9">
            <w:pPr>
              <w:spacing w:after="0" w:line="240" w:lineRule="auto"/>
              <w:jc w:val="right"/>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15</w:t>
            </w:r>
          </w:p>
        </w:tc>
      </w:tr>
      <w:tr w:rsidR="00941BF9" w:rsidRPr="007F78CE" w14:paraId="7BF6C2C7" w14:textId="77777777" w:rsidTr="00145FBE">
        <w:trPr>
          <w:trHeight w:val="300"/>
          <w:jc w:val="center"/>
        </w:trPr>
        <w:tc>
          <w:tcPr>
            <w:tcW w:w="1520" w:type="dxa"/>
            <w:shd w:val="clear" w:color="auto" w:fill="auto"/>
            <w:noWrap/>
            <w:vAlign w:val="bottom"/>
            <w:hideMark/>
          </w:tcPr>
          <w:p w14:paraId="22DAB523" w14:textId="77777777" w:rsidR="00941BF9" w:rsidRPr="0068025E" w:rsidRDefault="00941BF9" w:rsidP="00941BF9">
            <w:pPr>
              <w:spacing w:after="0" w:line="240" w:lineRule="auto"/>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Bongolava</w:t>
            </w:r>
          </w:p>
        </w:tc>
        <w:tc>
          <w:tcPr>
            <w:tcW w:w="1740" w:type="dxa"/>
            <w:shd w:val="clear" w:color="auto" w:fill="auto"/>
            <w:noWrap/>
            <w:vAlign w:val="bottom"/>
            <w:hideMark/>
          </w:tcPr>
          <w:p w14:paraId="3B63CF97" w14:textId="77777777" w:rsidR="00941BF9" w:rsidRPr="0068025E" w:rsidRDefault="00941BF9" w:rsidP="00941BF9">
            <w:pPr>
              <w:spacing w:after="0" w:line="240" w:lineRule="auto"/>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Tsiroanomandidy</w:t>
            </w:r>
          </w:p>
        </w:tc>
        <w:tc>
          <w:tcPr>
            <w:tcW w:w="1200" w:type="dxa"/>
            <w:shd w:val="clear" w:color="auto" w:fill="auto"/>
            <w:noWrap/>
            <w:vAlign w:val="bottom"/>
            <w:hideMark/>
          </w:tcPr>
          <w:p w14:paraId="7F1F9F74" w14:textId="77777777" w:rsidR="00941BF9" w:rsidRPr="0068025E" w:rsidRDefault="00941BF9" w:rsidP="00941BF9">
            <w:pPr>
              <w:spacing w:after="0" w:line="240" w:lineRule="auto"/>
              <w:jc w:val="right"/>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16/12/2022</w:t>
            </w:r>
          </w:p>
        </w:tc>
        <w:tc>
          <w:tcPr>
            <w:tcW w:w="1200" w:type="dxa"/>
            <w:shd w:val="clear" w:color="auto" w:fill="auto"/>
            <w:noWrap/>
            <w:vAlign w:val="bottom"/>
            <w:hideMark/>
          </w:tcPr>
          <w:p w14:paraId="7B352FE8" w14:textId="77777777" w:rsidR="00941BF9" w:rsidRPr="0068025E" w:rsidRDefault="00941BF9" w:rsidP="00941BF9">
            <w:pPr>
              <w:spacing w:after="0" w:line="240" w:lineRule="auto"/>
              <w:jc w:val="right"/>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10</w:t>
            </w:r>
          </w:p>
        </w:tc>
        <w:tc>
          <w:tcPr>
            <w:tcW w:w="1200" w:type="dxa"/>
            <w:shd w:val="clear" w:color="auto" w:fill="auto"/>
            <w:noWrap/>
            <w:vAlign w:val="bottom"/>
            <w:hideMark/>
          </w:tcPr>
          <w:p w14:paraId="427BC068" w14:textId="77777777" w:rsidR="00941BF9" w:rsidRPr="0068025E" w:rsidRDefault="00941BF9" w:rsidP="00941BF9">
            <w:pPr>
              <w:spacing w:after="0" w:line="240" w:lineRule="auto"/>
              <w:jc w:val="right"/>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5</w:t>
            </w:r>
          </w:p>
        </w:tc>
        <w:tc>
          <w:tcPr>
            <w:tcW w:w="1200" w:type="dxa"/>
            <w:shd w:val="clear" w:color="auto" w:fill="auto"/>
            <w:noWrap/>
            <w:vAlign w:val="bottom"/>
            <w:hideMark/>
          </w:tcPr>
          <w:p w14:paraId="209129A1" w14:textId="77777777" w:rsidR="00941BF9" w:rsidRPr="0068025E" w:rsidRDefault="00941BF9" w:rsidP="00941BF9">
            <w:pPr>
              <w:spacing w:after="0" w:line="240" w:lineRule="auto"/>
              <w:jc w:val="right"/>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15</w:t>
            </w:r>
          </w:p>
        </w:tc>
      </w:tr>
      <w:tr w:rsidR="00941BF9" w:rsidRPr="007F78CE" w14:paraId="642D5280" w14:textId="77777777" w:rsidTr="00145FBE">
        <w:trPr>
          <w:trHeight w:val="300"/>
          <w:jc w:val="center"/>
        </w:trPr>
        <w:tc>
          <w:tcPr>
            <w:tcW w:w="1520" w:type="dxa"/>
            <w:shd w:val="clear" w:color="auto" w:fill="auto"/>
            <w:noWrap/>
            <w:vAlign w:val="bottom"/>
            <w:hideMark/>
          </w:tcPr>
          <w:p w14:paraId="449B3C76" w14:textId="77777777" w:rsidR="00941BF9" w:rsidRPr="0068025E" w:rsidRDefault="00941BF9" w:rsidP="00941BF9">
            <w:pPr>
              <w:spacing w:after="0" w:line="240" w:lineRule="auto"/>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Fitovinany</w:t>
            </w:r>
          </w:p>
        </w:tc>
        <w:tc>
          <w:tcPr>
            <w:tcW w:w="1740" w:type="dxa"/>
            <w:shd w:val="clear" w:color="auto" w:fill="auto"/>
            <w:noWrap/>
            <w:vAlign w:val="bottom"/>
            <w:hideMark/>
          </w:tcPr>
          <w:p w14:paraId="126B5190" w14:textId="77777777" w:rsidR="00941BF9" w:rsidRPr="0068025E" w:rsidRDefault="00941BF9" w:rsidP="00941BF9">
            <w:pPr>
              <w:spacing w:after="0" w:line="240" w:lineRule="auto"/>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Manakara</w:t>
            </w:r>
          </w:p>
        </w:tc>
        <w:tc>
          <w:tcPr>
            <w:tcW w:w="1200" w:type="dxa"/>
            <w:shd w:val="clear" w:color="auto" w:fill="auto"/>
            <w:noWrap/>
            <w:vAlign w:val="bottom"/>
            <w:hideMark/>
          </w:tcPr>
          <w:p w14:paraId="3A24BADC" w14:textId="77777777" w:rsidR="00941BF9" w:rsidRPr="0068025E" w:rsidRDefault="00941BF9" w:rsidP="00941BF9">
            <w:pPr>
              <w:spacing w:after="0" w:line="240" w:lineRule="auto"/>
              <w:jc w:val="right"/>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16/12/2022</w:t>
            </w:r>
          </w:p>
        </w:tc>
        <w:tc>
          <w:tcPr>
            <w:tcW w:w="1200" w:type="dxa"/>
            <w:shd w:val="clear" w:color="auto" w:fill="auto"/>
            <w:noWrap/>
            <w:vAlign w:val="bottom"/>
            <w:hideMark/>
          </w:tcPr>
          <w:p w14:paraId="2E215095" w14:textId="77777777" w:rsidR="00941BF9" w:rsidRPr="0068025E" w:rsidRDefault="00941BF9" w:rsidP="00941BF9">
            <w:pPr>
              <w:spacing w:after="0" w:line="240" w:lineRule="auto"/>
              <w:jc w:val="right"/>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15</w:t>
            </w:r>
          </w:p>
        </w:tc>
        <w:tc>
          <w:tcPr>
            <w:tcW w:w="1200" w:type="dxa"/>
            <w:shd w:val="clear" w:color="auto" w:fill="auto"/>
            <w:noWrap/>
            <w:vAlign w:val="bottom"/>
            <w:hideMark/>
          </w:tcPr>
          <w:p w14:paraId="4F1D229E" w14:textId="77777777" w:rsidR="00941BF9" w:rsidRPr="0068025E" w:rsidRDefault="00941BF9" w:rsidP="00941BF9">
            <w:pPr>
              <w:spacing w:after="0" w:line="240" w:lineRule="auto"/>
              <w:jc w:val="right"/>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5</w:t>
            </w:r>
          </w:p>
        </w:tc>
        <w:tc>
          <w:tcPr>
            <w:tcW w:w="1200" w:type="dxa"/>
            <w:shd w:val="clear" w:color="auto" w:fill="auto"/>
            <w:noWrap/>
            <w:vAlign w:val="bottom"/>
            <w:hideMark/>
          </w:tcPr>
          <w:p w14:paraId="2BC5F3F9" w14:textId="77777777" w:rsidR="00941BF9" w:rsidRPr="0068025E" w:rsidRDefault="00941BF9" w:rsidP="00941BF9">
            <w:pPr>
              <w:spacing w:after="0" w:line="240" w:lineRule="auto"/>
              <w:jc w:val="right"/>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20</w:t>
            </w:r>
          </w:p>
        </w:tc>
      </w:tr>
      <w:tr w:rsidR="00941BF9" w:rsidRPr="007F78CE" w14:paraId="14309371" w14:textId="77777777" w:rsidTr="00145FBE">
        <w:trPr>
          <w:trHeight w:val="300"/>
          <w:jc w:val="center"/>
        </w:trPr>
        <w:tc>
          <w:tcPr>
            <w:tcW w:w="1520" w:type="dxa"/>
            <w:shd w:val="clear" w:color="auto" w:fill="auto"/>
            <w:noWrap/>
            <w:vAlign w:val="bottom"/>
            <w:hideMark/>
          </w:tcPr>
          <w:p w14:paraId="39C2D76F" w14:textId="77777777" w:rsidR="00941BF9" w:rsidRPr="0068025E" w:rsidRDefault="00941BF9" w:rsidP="00941BF9">
            <w:pPr>
              <w:spacing w:after="0" w:line="240" w:lineRule="auto"/>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Menabe</w:t>
            </w:r>
          </w:p>
        </w:tc>
        <w:tc>
          <w:tcPr>
            <w:tcW w:w="1740" w:type="dxa"/>
            <w:shd w:val="clear" w:color="auto" w:fill="auto"/>
            <w:noWrap/>
            <w:vAlign w:val="bottom"/>
            <w:hideMark/>
          </w:tcPr>
          <w:p w14:paraId="02CF9C7D" w14:textId="77777777" w:rsidR="00941BF9" w:rsidRPr="0068025E" w:rsidRDefault="00941BF9" w:rsidP="00941BF9">
            <w:pPr>
              <w:spacing w:after="0" w:line="240" w:lineRule="auto"/>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Morondava</w:t>
            </w:r>
          </w:p>
        </w:tc>
        <w:tc>
          <w:tcPr>
            <w:tcW w:w="1200" w:type="dxa"/>
            <w:shd w:val="clear" w:color="auto" w:fill="auto"/>
            <w:noWrap/>
            <w:vAlign w:val="bottom"/>
            <w:hideMark/>
          </w:tcPr>
          <w:p w14:paraId="71B30EBF" w14:textId="77777777" w:rsidR="00941BF9" w:rsidRPr="0068025E" w:rsidRDefault="00941BF9" w:rsidP="00941BF9">
            <w:pPr>
              <w:spacing w:after="0" w:line="240" w:lineRule="auto"/>
              <w:jc w:val="right"/>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16/12/2022</w:t>
            </w:r>
          </w:p>
        </w:tc>
        <w:tc>
          <w:tcPr>
            <w:tcW w:w="1200" w:type="dxa"/>
            <w:shd w:val="clear" w:color="auto" w:fill="auto"/>
            <w:noWrap/>
            <w:vAlign w:val="bottom"/>
            <w:hideMark/>
          </w:tcPr>
          <w:p w14:paraId="7D499D16" w14:textId="77777777" w:rsidR="00941BF9" w:rsidRPr="0068025E" w:rsidRDefault="00941BF9" w:rsidP="00941BF9">
            <w:pPr>
              <w:spacing w:after="0" w:line="240" w:lineRule="auto"/>
              <w:jc w:val="right"/>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9</w:t>
            </w:r>
          </w:p>
        </w:tc>
        <w:tc>
          <w:tcPr>
            <w:tcW w:w="1200" w:type="dxa"/>
            <w:shd w:val="clear" w:color="auto" w:fill="auto"/>
            <w:noWrap/>
            <w:vAlign w:val="bottom"/>
            <w:hideMark/>
          </w:tcPr>
          <w:p w14:paraId="0C1C54E6" w14:textId="77777777" w:rsidR="00941BF9" w:rsidRPr="0068025E" w:rsidRDefault="00941BF9" w:rsidP="00941BF9">
            <w:pPr>
              <w:spacing w:after="0" w:line="240" w:lineRule="auto"/>
              <w:jc w:val="right"/>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6</w:t>
            </w:r>
          </w:p>
        </w:tc>
        <w:tc>
          <w:tcPr>
            <w:tcW w:w="1200" w:type="dxa"/>
            <w:shd w:val="clear" w:color="auto" w:fill="auto"/>
            <w:noWrap/>
            <w:vAlign w:val="bottom"/>
            <w:hideMark/>
          </w:tcPr>
          <w:p w14:paraId="35F1B16E" w14:textId="77777777" w:rsidR="00941BF9" w:rsidRPr="0068025E" w:rsidRDefault="00941BF9" w:rsidP="00941BF9">
            <w:pPr>
              <w:spacing w:after="0" w:line="240" w:lineRule="auto"/>
              <w:jc w:val="right"/>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15</w:t>
            </w:r>
          </w:p>
        </w:tc>
      </w:tr>
      <w:tr w:rsidR="00941BF9" w:rsidRPr="007F78CE" w14:paraId="241D51FD" w14:textId="77777777" w:rsidTr="00145FBE">
        <w:trPr>
          <w:trHeight w:val="300"/>
          <w:jc w:val="center"/>
        </w:trPr>
        <w:tc>
          <w:tcPr>
            <w:tcW w:w="1520" w:type="dxa"/>
            <w:shd w:val="clear" w:color="auto" w:fill="auto"/>
            <w:noWrap/>
            <w:vAlign w:val="bottom"/>
            <w:hideMark/>
          </w:tcPr>
          <w:p w14:paraId="26951EA8" w14:textId="77777777" w:rsidR="00941BF9" w:rsidRPr="0068025E" w:rsidRDefault="00941BF9" w:rsidP="00941BF9">
            <w:pPr>
              <w:spacing w:after="0" w:line="240" w:lineRule="auto"/>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Vakinankaratra</w:t>
            </w:r>
          </w:p>
        </w:tc>
        <w:tc>
          <w:tcPr>
            <w:tcW w:w="1740" w:type="dxa"/>
            <w:shd w:val="clear" w:color="auto" w:fill="auto"/>
            <w:noWrap/>
            <w:vAlign w:val="bottom"/>
            <w:hideMark/>
          </w:tcPr>
          <w:p w14:paraId="41C5ED3F" w14:textId="77777777" w:rsidR="00941BF9" w:rsidRPr="0068025E" w:rsidRDefault="00941BF9" w:rsidP="00941BF9">
            <w:pPr>
              <w:spacing w:after="0" w:line="240" w:lineRule="auto"/>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Antsirabe</w:t>
            </w:r>
          </w:p>
        </w:tc>
        <w:tc>
          <w:tcPr>
            <w:tcW w:w="1200" w:type="dxa"/>
            <w:shd w:val="clear" w:color="auto" w:fill="auto"/>
            <w:noWrap/>
            <w:vAlign w:val="bottom"/>
            <w:hideMark/>
          </w:tcPr>
          <w:p w14:paraId="612B5809" w14:textId="77777777" w:rsidR="00941BF9" w:rsidRPr="0068025E" w:rsidRDefault="00941BF9" w:rsidP="00941BF9">
            <w:pPr>
              <w:spacing w:after="0" w:line="240" w:lineRule="auto"/>
              <w:jc w:val="right"/>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19/12/2022</w:t>
            </w:r>
          </w:p>
        </w:tc>
        <w:tc>
          <w:tcPr>
            <w:tcW w:w="1200" w:type="dxa"/>
            <w:shd w:val="clear" w:color="auto" w:fill="auto"/>
            <w:noWrap/>
            <w:vAlign w:val="bottom"/>
            <w:hideMark/>
          </w:tcPr>
          <w:p w14:paraId="56DD3C6A" w14:textId="77777777" w:rsidR="00941BF9" w:rsidRPr="0068025E" w:rsidRDefault="00941BF9" w:rsidP="00941BF9">
            <w:pPr>
              <w:spacing w:after="0" w:line="240" w:lineRule="auto"/>
              <w:jc w:val="right"/>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11</w:t>
            </w:r>
          </w:p>
        </w:tc>
        <w:tc>
          <w:tcPr>
            <w:tcW w:w="1200" w:type="dxa"/>
            <w:shd w:val="clear" w:color="auto" w:fill="auto"/>
            <w:noWrap/>
            <w:vAlign w:val="bottom"/>
            <w:hideMark/>
          </w:tcPr>
          <w:p w14:paraId="0063A4F9" w14:textId="77777777" w:rsidR="00941BF9" w:rsidRPr="0068025E" w:rsidRDefault="00941BF9" w:rsidP="00941BF9">
            <w:pPr>
              <w:spacing w:after="0" w:line="240" w:lineRule="auto"/>
              <w:jc w:val="right"/>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8</w:t>
            </w:r>
          </w:p>
        </w:tc>
        <w:tc>
          <w:tcPr>
            <w:tcW w:w="1200" w:type="dxa"/>
            <w:shd w:val="clear" w:color="auto" w:fill="auto"/>
            <w:noWrap/>
            <w:vAlign w:val="bottom"/>
            <w:hideMark/>
          </w:tcPr>
          <w:p w14:paraId="09BC9E9B" w14:textId="77777777" w:rsidR="00941BF9" w:rsidRPr="0068025E" w:rsidRDefault="00941BF9" w:rsidP="00941BF9">
            <w:pPr>
              <w:spacing w:after="0" w:line="240" w:lineRule="auto"/>
              <w:jc w:val="right"/>
              <w:rPr>
                <w:rFonts w:ascii="Arial" w:eastAsia="Times New Roman" w:hAnsi="Arial" w:cs="Arial"/>
                <w:color w:val="000000"/>
                <w:sz w:val="18"/>
                <w:szCs w:val="18"/>
                <w:lang w:eastAsia="fr-FR"/>
              </w:rPr>
            </w:pPr>
            <w:r w:rsidRPr="0068025E">
              <w:rPr>
                <w:rFonts w:ascii="Arial" w:eastAsia="Times New Roman" w:hAnsi="Arial" w:cs="Arial"/>
                <w:color w:val="000000"/>
                <w:sz w:val="18"/>
                <w:szCs w:val="18"/>
                <w:lang w:eastAsia="fr-FR"/>
              </w:rPr>
              <w:t>19</w:t>
            </w:r>
          </w:p>
        </w:tc>
      </w:tr>
      <w:tr w:rsidR="00941BF9" w:rsidRPr="007F78CE" w14:paraId="704D2216" w14:textId="77777777" w:rsidTr="00145FBE">
        <w:trPr>
          <w:trHeight w:val="300"/>
          <w:jc w:val="center"/>
        </w:trPr>
        <w:tc>
          <w:tcPr>
            <w:tcW w:w="4460" w:type="dxa"/>
            <w:gridSpan w:val="3"/>
            <w:shd w:val="clear" w:color="auto" w:fill="auto"/>
            <w:noWrap/>
            <w:vAlign w:val="bottom"/>
            <w:hideMark/>
          </w:tcPr>
          <w:p w14:paraId="13DF292D" w14:textId="77777777" w:rsidR="00941BF9" w:rsidRPr="0068025E" w:rsidRDefault="00941BF9" w:rsidP="00941BF9">
            <w:pPr>
              <w:spacing w:after="0" w:line="240" w:lineRule="auto"/>
              <w:jc w:val="center"/>
              <w:rPr>
                <w:rFonts w:ascii="Arial" w:eastAsia="Times New Roman" w:hAnsi="Arial" w:cs="Arial"/>
                <w:b/>
                <w:bCs/>
                <w:color w:val="000000"/>
                <w:sz w:val="18"/>
                <w:szCs w:val="18"/>
                <w:lang w:eastAsia="fr-FR"/>
              </w:rPr>
            </w:pPr>
            <w:r w:rsidRPr="0068025E">
              <w:rPr>
                <w:rFonts w:ascii="Arial" w:eastAsia="Times New Roman" w:hAnsi="Arial" w:cs="Arial"/>
                <w:b/>
                <w:bCs/>
                <w:color w:val="000000"/>
                <w:sz w:val="18"/>
                <w:szCs w:val="18"/>
                <w:lang w:eastAsia="fr-FR"/>
              </w:rPr>
              <w:t>TOTAL</w:t>
            </w:r>
          </w:p>
        </w:tc>
        <w:tc>
          <w:tcPr>
            <w:tcW w:w="1200" w:type="dxa"/>
            <w:shd w:val="clear" w:color="auto" w:fill="auto"/>
            <w:noWrap/>
            <w:vAlign w:val="bottom"/>
            <w:hideMark/>
          </w:tcPr>
          <w:p w14:paraId="733B5882" w14:textId="77777777" w:rsidR="00941BF9" w:rsidRPr="0068025E" w:rsidRDefault="00941BF9" w:rsidP="00941BF9">
            <w:pPr>
              <w:spacing w:after="0" w:line="240" w:lineRule="auto"/>
              <w:jc w:val="right"/>
              <w:rPr>
                <w:rFonts w:ascii="Arial" w:eastAsia="Times New Roman" w:hAnsi="Arial" w:cs="Arial"/>
                <w:b/>
                <w:bCs/>
                <w:color w:val="000000"/>
                <w:sz w:val="18"/>
                <w:szCs w:val="18"/>
                <w:lang w:eastAsia="fr-FR"/>
              </w:rPr>
            </w:pPr>
            <w:r w:rsidRPr="0068025E">
              <w:rPr>
                <w:rFonts w:ascii="Arial" w:eastAsia="Times New Roman" w:hAnsi="Arial" w:cs="Arial"/>
                <w:b/>
                <w:bCs/>
                <w:color w:val="000000"/>
                <w:sz w:val="18"/>
                <w:szCs w:val="18"/>
                <w:lang w:eastAsia="fr-FR"/>
              </w:rPr>
              <w:t>64</w:t>
            </w:r>
          </w:p>
        </w:tc>
        <w:tc>
          <w:tcPr>
            <w:tcW w:w="1200" w:type="dxa"/>
            <w:shd w:val="clear" w:color="auto" w:fill="auto"/>
            <w:noWrap/>
            <w:vAlign w:val="bottom"/>
            <w:hideMark/>
          </w:tcPr>
          <w:p w14:paraId="46BF5B6A" w14:textId="77777777" w:rsidR="00941BF9" w:rsidRPr="0068025E" w:rsidRDefault="00941BF9" w:rsidP="00941BF9">
            <w:pPr>
              <w:spacing w:after="0" w:line="240" w:lineRule="auto"/>
              <w:jc w:val="right"/>
              <w:rPr>
                <w:rFonts w:ascii="Arial" w:eastAsia="Times New Roman" w:hAnsi="Arial" w:cs="Arial"/>
                <w:b/>
                <w:bCs/>
                <w:color w:val="000000"/>
                <w:sz w:val="18"/>
                <w:szCs w:val="18"/>
                <w:lang w:eastAsia="fr-FR"/>
              </w:rPr>
            </w:pPr>
            <w:r w:rsidRPr="0068025E">
              <w:rPr>
                <w:rFonts w:ascii="Arial" w:eastAsia="Times New Roman" w:hAnsi="Arial" w:cs="Arial"/>
                <w:b/>
                <w:bCs/>
                <w:color w:val="000000"/>
                <w:sz w:val="18"/>
                <w:szCs w:val="18"/>
                <w:lang w:eastAsia="fr-FR"/>
              </w:rPr>
              <w:t>52</w:t>
            </w:r>
          </w:p>
        </w:tc>
        <w:tc>
          <w:tcPr>
            <w:tcW w:w="1200" w:type="dxa"/>
            <w:shd w:val="clear" w:color="auto" w:fill="auto"/>
            <w:noWrap/>
            <w:vAlign w:val="bottom"/>
            <w:hideMark/>
          </w:tcPr>
          <w:p w14:paraId="3622CE32" w14:textId="77777777" w:rsidR="00941BF9" w:rsidRPr="0068025E" w:rsidRDefault="00941BF9" w:rsidP="00941BF9">
            <w:pPr>
              <w:spacing w:after="0" w:line="240" w:lineRule="auto"/>
              <w:jc w:val="right"/>
              <w:rPr>
                <w:rFonts w:ascii="Arial" w:eastAsia="Times New Roman" w:hAnsi="Arial" w:cs="Arial"/>
                <w:b/>
                <w:bCs/>
                <w:color w:val="000000"/>
                <w:sz w:val="18"/>
                <w:szCs w:val="18"/>
                <w:lang w:eastAsia="fr-FR"/>
              </w:rPr>
            </w:pPr>
            <w:r w:rsidRPr="0068025E">
              <w:rPr>
                <w:rFonts w:ascii="Arial" w:eastAsia="Times New Roman" w:hAnsi="Arial" w:cs="Arial"/>
                <w:b/>
                <w:bCs/>
                <w:color w:val="000000"/>
                <w:sz w:val="18"/>
                <w:szCs w:val="18"/>
                <w:lang w:eastAsia="fr-FR"/>
              </w:rPr>
              <w:t>116</w:t>
            </w:r>
          </w:p>
        </w:tc>
      </w:tr>
    </w:tbl>
    <w:p w14:paraId="5A21A299" w14:textId="77777777" w:rsidR="00941BF9" w:rsidRDefault="00941BF9" w:rsidP="0096492E">
      <w:pPr>
        <w:autoSpaceDE w:val="0"/>
        <w:autoSpaceDN w:val="0"/>
        <w:adjustRightInd w:val="0"/>
        <w:jc w:val="both"/>
        <w:rPr>
          <w:rFonts w:ascii="Arial" w:hAnsi="Arial" w:cs="Arial"/>
          <w:szCs w:val="24"/>
        </w:rPr>
      </w:pPr>
    </w:p>
    <w:p w14:paraId="5767A41E" w14:textId="77777777" w:rsidR="009B2417" w:rsidRPr="009B2417" w:rsidRDefault="009B2417" w:rsidP="009B2417">
      <w:pPr>
        <w:autoSpaceDE w:val="0"/>
        <w:autoSpaceDN w:val="0"/>
        <w:adjustRightInd w:val="0"/>
        <w:jc w:val="both"/>
        <w:rPr>
          <w:rFonts w:ascii="Arial" w:hAnsi="Arial" w:cs="Arial"/>
          <w:szCs w:val="24"/>
        </w:rPr>
      </w:pPr>
      <w:r w:rsidRPr="009B2417">
        <w:rPr>
          <w:rFonts w:ascii="Arial" w:hAnsi="Arial" w:cs="Arial"/>
          <w:szCs w:val="24"/>
        </w:rPr>
        <w:t xml:space="preserve">La première partie de la réunion a été consacrée à la présentation du Projet (objectifs et ses composantes), à la description sommaire des documents cadres environnementaux et sociaux du Projet à élaborer. La seconde partie de la séance a été réservée aux questions/réponses des participants auxquelles ces derniers ont été également sollicités de donner leurs avis, attentes et préoccupations par rapport au projet. </w:t>
      </w:r>
    </w:p>
    <w:p w14:paraId="3E0FF940" w14:textId="77777777" w:rsidR="009B2417" w:rsidRPr="009B2417" w:rsidRDefault="009B2417" w:rsidP="009B2417">
      <w:pPr>
        <w:autoSpaceDE w:val="0"/>
        <w:autoSpaceDN w:val="0"/>
        <w:adjustRightInd w:val="0"/>
        <w:jc w:val="both"/>
        <w:rPr>
          <w:rFonts w:ascii="Arial" w:hAnsi="Arial" w:cs="Arial"/>
          <w:szCs w:val="24"/>
        </w:rPr>
      </w:pPr>
      <w:r w:rsidRPr="009B2417">
        <w:rPr>
          <w:rFonts w:ascii="Arial" w:hAnsi="Arial" w:cs="Arial"/>
          <w:szCs w:val="24"/>
        </w:rPr>
        <w:t>Les points soulevés par les participants lors de ces réunions d’information sont axés sur :</w:t>
      </w:r>
    </w:p>
    <w:p w14:paraId="05D9EABD" w14:textId="77777777" w:rsidR="009B2417" w:rsidRPr="009B2417" w:rsidRDefault="009B2417" w:rsidP="00687DD2">
      <w:pPr>
        <w:numPr>
          <w:ilvl w:val="0"/>
          <w:numId w:val="50"/>
        </w:numPr>
        <w:spacing w:after="0" w:line="240" w:lineRule="auto"/>
        <w:jc w:val="both"/>
        <w:rPr>
          <w:rFonts w:ascii="Arial" w:hAnsi="Arial" w:cs="Arial"/>
        </w:rPr>
      </w:pPr>
      <w:r w:rsidRPr="009B2417">
        <w:rPr>
          <w:rFonts w:ascii="Arial" w:hAnsi="Arial" w:cs="Arial"/>
        </w:rPr>
        <w:t>Des préoccupations par rapport au Projet :</w:t>
      </w:r>
    </w:p>
    <w:p w14:paraId="140F0A03" w14:textId="77777777" w:rsidR="009B2417" w:rsidRPr="009B2417" w:rsidRDefault="009B2417" w:rsidP="00687DD2">
      <w:pPr>
        <w:numPr>
          <w:ilvl w:val="0"/>
          <w:numId w:val="51"/>
        </w:numPr>
        <w:spacing w:before="100" w:beforeAutospacing="1" w:after="100" w:afterAutospacing="1"/>
        <w:jc w:val="both"/>
        <w:rPr>
          <w:rFonts w:ascii="Arial" w:hAnsi="Arial" w:cs="Arial"/>
        </w:rPr>
      </w:pPr>
      <w:r w:rsidRPr="009B2417">
        <w:rPr>
          <w:rFonts w:ascii="Arial" w:hAnsi="Arial" w:cs="Arial"/>
        </w:rPr>
        <w:t>Existence de région laissée pour compte lors de la mise en œuvre ;</w:t>
      </w:r>
    </w:p>
    <w:p w14:paraId="1FFFD528" w14:textId="77777777" w:rsidR="009B2417" w:rsidRPr="009B2417" w:rsidRDefault="009B2417" w:rsidP="00687DD2">
      <w:pPr>
        <w:numPr>
          <w:ilvl w:val="0"/>
          <w:numId w:val="51"/>
        </w:numPr>
        <w:spacing w:before="100" w:beforeAutospacing="1" w:after="100" w:afterAutospacing="1"/>
        <w:jc w:val="both"/>
        <w:rPr>
          <w:rFonts w:ascii="Arial" w:hAnsi="Arial" w:cs="Arial"/>
        </w:rPr>
      </w:pPr>
      <w:r w:rsidRPr="009B2417">
        <w:rPr>
          <w:rFonts w:ascii="Arial" w:hAnsi="Arial" w:cs="Arial"/>
        </w:rPr>
        <w:t>Offre de connexion ne satisfait pas les besoins de la population (vitesse, couverture) ;</w:t>
      </w:r>
    </w:p>
    <w:p w14:paraId="34A11E9F" w14:textId="77777777" w:rsidR="009B2417" w:rsidRPr="009B2417" w:rsidRDefault="009B2417" w:rsidP="00687DD2">
      <w:pPr>
        <w:numPr>
          <w:ilvl w:val="0"/>
          <w:numId w:val="51"/>
        </w:numPr>
        <w:spacing w:before="100" w:beforeAutospacing="1" w:after="100" w:afterAutospacing="1"/>
        <w:jc w:val="both"/>
        <w:rPr>
          <w:rFonts w:ascii="Arial" w:hAnsi="Arial" w:cs="Arial"/>
        </w:rPr>
      </w:pPr>
      <w:r w:rsidRPr="009B2417">
        <w:rPr>
          <w:rFonts w:ascii="Arial" w:hAnsi="Arial" w:cs="Arial"/>
        </w:rPr>
        <w:t xml:space="preserve">Mesures d’atténuation pour les impacts négatifs </w:t>
      </w:r>
      <w:r w:rsidR="00D017C2">
        <w:rPr>
          <w:rFonts w:ascii="Arial" w:hAnsi="Arial" w:cs="Arial"/>
        </w:rPr>
        <w:t xml:space="preserve">potentiels </w:t>
      </w:r>
      <w:r w:rsidRPr="009B2417">
        <w:rPr>
          <w:rFonts w:ascii="Arial" w:hAnsi="Arial" w:cs="Arial"/>
        </w:rPr>
        <w:t>générés par le projet ;</w:t>
      </w:r>
    </w:p>
    <w:p w14:paraId="2420915B" w14:textId="77777777" w:rsidR="009B2417" w:rsidRPr="009B2417" w:rsidRDefault="009B2417" w:rsidP="00687DD2">
      <w:pPr>
        <w:numPr>
          <w:ilvl w:val="0"/>
          <w:numId w:val="51"/>
        </w:numPr>
        <w:spacing w:before="100" w:beforeAutospacing="1" w:after="100" w:afterAutospacing="1"/>
        <w:jc w:val="both"/>
        <w:rPr>
          <w:rFonts w:ascii="Arial" w:hAnsi="Arial" w:cs="Arial"/>
        </w:rPr>
      </w:pPr>
      <w:r w:rsidRPr="009B2417">
        <w:rPr>
          <w:rFonts w:ascii="Arial" w:hAnsi="Arial" w:cs="Arial"/>
        </w:rPr>
        <w:t>Quid des installations solaires existantes.</w:t>
      </w:r>
    </w:p>
    <w:p w14:paraId="10751080" w14:textId="77777777" w:rsidR="009B2417" w:rsidRPr="009B2417" w:rsidRDefault="00927788" w:rsidP="00687DD2">
      <w:pPr>
        <w:numPr>
          <w:ilvl w:val="0"/>
          <w:numId w:val="51"/>
        </w:numPr>
        <w:spacing w:before="100" w:beforeAutospacing="1" w:after="100" w:afterAutospacing="1"/>
        <w:jc w:val="both"/>
        <w:rPr>
          <w:rFonts w:ascii="Arial" w:hAnsi="Arial" w:cs="Arial"/>
        </w:rPr>
      </w:pPr>
      <w:r>
        <w:rPr>
          <w:rFonts w:ascii="Arial" w:hAnsi="Arial" w:cs="Arial"/>
        </w:rPr>
        <w:t>S</w:t>
      </w:r>
      <w:r w:rsidR="009B2417" w:rsidRPr="009B2417">
        <w:rPr>
          <w:rFonts w:ascii="Arial" w:hAnsi="Arial" w:cs="Arial"/>
        </w:rPr>
        <w:t>écurité des équipements et matériels installés ;</w:t>
      </w:r>
    </w:p>
    <w:p w14:paraId="7606BA11" w14:textId="77777777" w:rsidR="009B2417" w:rsidRPr="009B2417" w:rsidRDefault="009B2417" w:rsidP="00687DD2">
      <w:pPr>
        <w:numPr>
          <w:ilvl w:val="0"/>
          <w:numId w:val="51"/>
        </w:numPr>
        <w:spacing w:before="100" w:beforeAutospacing="1" w:after="100" w:afterAutospacing="1"/>
        <w:jc w:val="both"/>
        <w:rPr>
          <w:rFonts w:ascii="Arial" w:hAnsi="Arial" w:cs="Arial"/>
        </w:rPr>
      </w:pPr>
      <w:r w:rsidRPr="009B2417">
        <w:rPr>
          <w:rFonts w:ascii="Arial" w:hAnsi="Arial" w:cs="Arial"/>
        </w:rPr>
        <w:t>Capacité des prestataires de travaux (technique, logistique, financier, ressources humaines) à bien analyser avant attribution du marché.</w:t>
      </w:r>
    </w:p>
    <w:p w14:paraId="7B1D0786" w14:textId="77777777" w:rsidR="009B2417" w:rsidRPr="009B2417" w:rsidRDefault="009B2417" w:rsidP="00687DD2">
      <w:pPr>
        <w:numPr>
          <w:ilvl w:val="0"/>
          <w:numId w:val="51"/>
        </w:numPr>
        <w:spacing w:before="100" w:beforeAutospacing="1" w:after="100" w:afterAutospacing="1"/>
        <w:jc w:val="both"/>
        <w:rPr>
          <w:rFonts w:ascii="Arial" w:hAnsi="Arial" w:cs="Arial"/>
        </w:rPr>
      </w:pPr>
      <w:r w:rsidRPr="009B2417">
        <w:rPr>
          <w:rFonts w:ascii="Arial" w:hAnsi="Arial" w:cs="Arial"/>
        </w:rPr>
        <w:t>Non réalisation du projet</w:t>
      </w:r>
    </w:p>
    <w:p w14:paraId="23B68882" w14:textId="77777777" w:rsidR="009B2417" w:rsidRPr="009B2417" w:rsidRDefault="009B2417" w:rsidP="00687DD2">
      <w:pPr>
        <w:numPr>
          <w:ilvl w:val="0"/>
          <w:numId w:val="50"/>
        </w:numPr>
        <w:spacing w:after="0" w:line="240" w:lineRule="auto"/>
        <w:jc w:val="both"/>
        <w:rPr>
          <w:rFonts w:ascii="Arial" w:hAnsi="Arial" w:cs="Arial"/>
        </w:rPr>
      </w:pPr>
      <w:r w:rsidRPr="009B2417">
        <w:rPr>
          <w:rFonts w:ascii="Arial" w:hAnsi="Arial" w:cs="Arial"/>
        </w:rPr>
        <w:t>Des recommandations d’ordre général :</w:t>
      </w:r>
    </w:p>
    <w:p w14:paraId="2C9F9B33" w14:textId="77777777" w:rsidR="009B2417" w:rsidRPr="009B2417" w:rsidRDefault="009B2417" w:rsidP="00687DD2">
      <w:pPr>
        <w:numPr>
          <w:ilvl w:val="0"/>
          <w:numId w:val="51"/>
        </w:numPr>
        <w:spacing w:before="100" w:beforeAutospacing="1" w:after="100" w:afterAutospacing="1"/>
        <w:jc w:val="both"/>
        <w:rPr>
          <w:rFonts w:ascii="Arial" w:hAnsi="Arial" w:cs="Arial"/>
        </w:rPr>
      </w:pPr>
      <w:r w:rsidRPr="009B2417">
        <w:rPr>
          <w:rFonts w:ascii="Arial" w:hAnsi="Arial" w:cs="Arial"/>
        </w:rPr>
        <w:t>Implication des agents de la sécurité publique lors de la sensibilisation, la formation sur l’utilisation de l’internet ;</w:t>
      </w:r>
    </w:p>
    <w:p w14:paraId="0211C14F" w14:textId="77777777" w:rsidR="009B2417" w:rsidRPr="009B2417" w:rsidRDefault="009B2417" w:rsidP="00687DD2">
      <w:pPr>
        <w:numPr>
          <w:ilvl w:val="0"/>
          <w:numId w:val="51"/>
        </w:numPr>
        <w:spacing w:before="100" w:beforeAutospacing="1" w:after="100" w:afterAutospacing="1"/>
        <w:jc w:val="both"/>
        <w:rPr>
          <w:rFonts w:ascii="Arial" w:hAnsi="Arial" w:cs="Arial"/>
        </w:rPr>
      </w:pPr>
      <w:r w:rsidRPr="009B2417">
        <w:rPr>
          <w:rFonts w:ascii="Arial" w:hAnsi="Arial" w:cs="Arial"/>
        </w:rPr>
        <w:t>Renforcement de la sensibilisation et de l’utilisation des matériels de connexion.</w:t>
      </w:r>
    </w:p>
    <w:p w14:paraId="7E3195A3" w14:textId="77777777" w:rsidR="009B2417" w:rsidRPr="009B2417" w:rsidRDefault="009B2417" w:rsidP="00687DD2">
      <w:pPr>
        <w:numPr>
          <w:ilvl w:val="0"/>
          <w:numId w:val="51"/>
        </w:numPr>
        <w:spacing w:before="100" w:beforeAutospacing="1" w:after="100" w:afterAutospacing="1"/>
        <w:jc w:val="both"/>
        <w:rPr>
          <w:rFonts w:ascii="Arial" w:hAnsi="Arial" w:cs="Arial"/>
        </w:rPr>
      </w:pPr>
      <w:r w:rsidRPr="009B2417">
        <w:rPr>
          <w:rFonts w:ascii="Arial" w:hAnsi="Arial" w:cs="Arial"/>
        </w:rPr>
        <w:t>Indemnisation des biens impactés (terrains, culture, arbres</w:t>
      </w:r>
      <w:r w:rsidR="00D017C2">
        <w:rPr>
          <w:rFonts w:ascii="Arial" w:hAnsi="Arial" w:cs="Arial"/>
        </w:rPr>
        <w:t xml:space="preserve"> fruitiers et autres</w:t>
      </w:r>
      <w:r w:rsidRPr="009B2417">
        <w:rPr>
          <w:rFonts w:ascii="Arial" w:hAnsi="Arial" w:cs="Arial"/>
        </w:rPr>
        <w:t>, etc.).</w:t>
      </w:r>
    </w:p>
    <w:p w14:paraId="4F469949" w14:textId="77777777" w:rsidR="009B2417" w:rsidRPr="009B2417" w:rsidRDefault="009B2417" w:rsidP="00687DD2">
      <w:pPr>
        <w:numPr>
          <w:ilvl w:val="0"/>
          <w:numId w:val="51"/>
        </w:numPr>
        <w:spacing w:before="100" w:beforeAutospacing="1" w:after="100" w:afterAutospacing="1"/>
        <w:jc w:val="both"/>
        <w:rPr>
          <w:rFonts w:ascii="Arial" w:hAnsi="Arial" w:cs="Arial"/>
        </w:rPr>
      </w:pPr>
      <w:r w:rsidRPr="009B2417">
        <w:rPr>
          <w:rFonts w:ascii="Arial" w:hAnsi="Arial" w:cs="Arial"/>
        </w:rPr>
        <w:t>Suivi dans la maintenance et l’entretien des matériels et équipements installés ;</w:t>
      </w:r>
    </w:p>
    <w:p w14:paraId="627354DE" w14:textId="77777777" w:rsidR="009B2417" w:rsidRPr="009B2417" w:rsidRDefault="009B2417" w:rsidP="00687DD2">
      <w:pPr>
        <w:numPr>
          <w:ilvl w:val="0"/>
          <w:numId w:val="51"/>
        </w:numPr>
        <w:spacing w:before="100" w:beforeAutospacing="1" w:after="100" w:afterAutospacing="1"/>
        <w:jc w:val="both"/>
        <w:rPr>
          <w:rFonts w:ascii="Arial" w:hAnsi="Arial" w:cs="Arial"/>
        </w:rPr>
      </w:pPr>
      <w:r w:rsidRPr="009B2417">
        <w:rPr>
          <w:rFonts w:ascii="Arial" w:hAnsi="Arial" w:cs="Arial"/>
        </w:rPr>
        <w:t xml:space="preserve">Renforcement des mesures d’atténuation pour les impacts négatifs </w:t>
      </w:r>
      <w:r w:rsidR="00D017C2">
        <w:rPr>
          <w:rFonts w:ascii="Arial" w:hAnsi="Arial" w:cs="Arial"/>
        </w:rPr>
        <w:t>potentiels</w:t>
      </w:r>
      <w:r w:rsidR="00D017C2" w:rsidRPr="009B2417">
        <w:rPr>
          <w:rFonts w:ascii="Arial" w:hAnsi="Arial" w:cs="Arial"/>
        </w:rPr>
        <w:t xml:space="preserve"> </w:t>
      </w:r>
      <w:r w:rsidRPr="009B2417">
        <w:rPr>
          <w:rFonts w:ascii="Arial" w:hAnsi="Arial" w:cs="Arial"/>
        </w:rPr>
        <w:t>sur l’environnement biophysique et humain ;</w:t>
      </w:r>
    </w:p>
    <w:p w14:paraId="7D8BB032" w14:textId="77777777" w:rsidR="009B2417" w:rsidRPr="009B2417" w:rsidRDefault="009B2417" w:rsidP="00687DD2">
      <w:pPr>
        <w:numPr>
          <w:ilvl w:val="0"/>
          <w:numId w:val="51"/>
        </w:numPr>
        <w:spacing w:before="100" w:beforeAutospacing="1" w:after="100" w:afterAutospacing="1"/>
        <w:jc w:val="both"/>
        <w:rPr>
          <w:rFonts w:ascii="Arial" w:hAnsi="Arial" w:cs="Arial"/>
        </w:rPr>
      </w:pPr>
      <w:r w:rsidRPr="009B2417">
        <w:rPr>
          <w:rFonts w:ascii="Arial" w:hAnsi="Arial" w:cs="Arial"/>
        </w:rPr>
        <w:t>Intégration des activités de sensibilisation et d’éducation aboutissant au changement de comportement envers la maintenance des matériels et équipements ;</w:t>
      </w:r>
    </w:p>
    <w:p w14:paraId="72F36F6A" w14:textId="77777777" w:rsidR="009B2417" w:rsidRPr="009B2417" w:rsidRDefault="009B2417" w:rsidP="00687DD2">
      <w:pPr>
        <w:numPr>
          <w:ilvl w:val="0"/>
          <w:numId w:val="50"/>
        </w:numPr>
        <w:spacing w:after="0" w:line="240" w:lineRule="auto"/>
        <w:jc w:val="both"/>
        <w:rPr>
          <w:rFonts w:ascii="Arial" w:hAnsi="Arial" w:cs="Arial"/>
        </w:rPr>
      </w:pPr>
      <w:r w:rsidRPr="009B2417">
        <w:rPr>
          <w:rFonts w:ascii="Arial" w:hAnsi="Arial" w:cs="Arial"/>
        </w:rPr>
        <w:t>Des suggestions pour la conduite et la mise en œuvre du projet :</w:t>
      </w:r>
    </w:p>
    <w:p w14:paraId="00061C17" w14:textId="77777777" w:rsidR="009B2417" w:rsidRPr="009B2417" w:rsidRDefault="009B2417" w:rsidP="00687DD2">
      <w:pPr>
        <w:numPr>
          <w:ilvl w:val="0"/>
          <w:numId w:val="51"/>
        </w:numPr>
        <w:spacing w:before="100" w:beforeAutospacing="1" w:after="100" w:afterAutospacing="1"/>
        <w:jc w:val="both"/>
        <w:rPr>
          <w:rFonts w:ascii="Arial" w:hAnsi="Arial" w:cs="Arial"/>
        </w:rPr>
      </w:pPr>
      <w:r w:rsidRPr="009B2417">
        <w:rPr>
          <w:rFonts w:ascii="Arial" w:hAnsi="Arial" w:cs="Arial"/>
        </w:rPr>
        <w:t>Aménagement d’espace « vert » autour des points wifi gratuit ;</w:t>
      </w:r>
    </w:p>
    <w:p w14:paraId="05704519" w14:textId="77777777" w:rsidR="009B2417" w:rsidRPr="009B2417" w:rsidRDefault="009B2417" w:rsidP="00687DD2">
      <w:pPr>
        <w:numPr>
          <w:ilvl w:val="0"/>
          <w:numId w:val="51"/>
        </w:numPr>
        <w:spacing w:before="100" w:beforeAutospacing="1" w:after="100" w:afterAutospacing="1"/>
        <w:jc w:val="both"/>
        <w:rPr>
          <w:rFonts w:ascii="Arial" w:hAnsi="Arial" w:cs="Arial"/>
        </w:rPr>
      </w:pPr>
      <w:r w:rsidRPr="009B2417">
        <w:rPr>
          <w:rFonts w:ascii="Arial" w:hAnsi="Arial" w:cs="Arial"/>
        </w:rPr>
        <w:t>Facilitation pour l’acquisition des équipements et matériels (lampe solaire, smartphone, etc.)</w:t>
      </w:r>
    </w:p>
    <w:p w14:paraId="3F17800A" w14:textId="77777777" w:rsidR="009B2417" w:rsidRPr="009B2417" w:rsidRDefault="009B2417" w:rsidP="00687DD2">
      <w:pPr>
        <w:numPr>
          <w:ilvl w:val="0"/>
          <w:numId w:val="51"/>
        </w:numPr>
        <w:spacing w:before="100" w:beforeAutospacing="1" w:after="100" w:afterAutospacing="1"/>
        <w:jc w:val="both"/>
        <w:rPr>
          <w:rFonts w:ascii="Arial" w:hAnsi="Arial" w:cs="Arial"/>
        </w:rPr>
      </w:pPr>
      <w:r w:rsidRPr="009B2417">
        <w:rPr>
          <w:rFonts w:ascii="Arial" w:hAnsi="Arial" w:cs="Arial"/>
        </w:rPr>
        <w:t>Mise en place de filtre (ou de balise) pour les informations véhiculées dans le réseau de connexion.</w:t>
      </w:r>
    </w:p>
    <w:p w14:paraId="0397CA5C" w14:textId="77777777" w:rsidR="009B2417" w:rsidRPr="009B2417" w:rsidRDefault="009B2417" w:rsidP="00687DD2">
      <w:pPr>
        <w:numPr>
          <w:ilvl w:val="0"/>
          <w:numId w:val="51"/>
        </w:numPr>
        <w:spacing w:before="100" w:beforeAutospacing="1" w:after="100" w:afterAutospacing="1"/>
        <w:jc w:val="both"/>
        <w:rPr>
          <w:rFonts w:ascii="Arial" w:hAnsi="Arial" w:cs="Arial"/>
        </w:rPr>
      </w:pPr>
      <w:r w:rsidRPr="009B2417">
        <w:rPr>
          <w:rFonts w:ascii="Arial" w:hAnsi="Arial" w:cs="Arial"/>
        </w:rPr>
        <w:t xml:space="preserve">Prévision de financement pour la réhabilitation des voies d’accès au site d’intervention du projet afin de faciliter les opérations de maintenance et </w:t>
      </w:r>
      <w:r w:rsidR="00767012">
        <w:rPr>
          <w:rFonts w:ascii="Arial" w:hAnsi="Arial" w:cs="Arial"/>
        </w:rPr>
        <w:t>d</w:t>
      </w:r>
      <w:r w:rsidRPr="009B2417">
        <w:rPr>
          <w:rFonts w:ascii="Arial" w:hAnsi="Arial" w:cs="Arial"/>
        </w:rPr>
        <w:t>e surveillance des installations ;</w:t>
      </w:r>
    </w:p>
    <w:p w14:paraId="713ADAB3" w14:textId="77777777" w:rsidR="009B2417" w:rsidRPr="009B2417" w:rsidRDefault="009B2417" w:rsidP="00687DD2">
      <w:pPr>
        <w:numPr>
          <w:ilvl w:val="0"/>
          <w:numId w:val="51"/>
        </w:numPr>
        <w:spacing w:before="100" w:beforeAutospacing="1" w:after="100" w:afterAutospacing="1"/>
        <w:jc w:val="both"/>
        <w:rPr>
          <w:rFonts w:ascii="Arial" w:hAnsi="Arial" w:cs="Arial"/>
        </w:rPr>
      </w:pPr>
      <w:r w:rsidRPr="009B2417">
        <w:rPr>
          <w:rFonts w:ascii="Arial" w:hAnsi="Arial" w:cs="Arial"/>
        </w:rPr>
        <w:t>Formation d’une équipe spécialisée dans la maintenance et la surveillance des matériels et équipements.</w:t>
      </w:r>
    </w:p>
    <w:p w14:paraId="79E4F677" w14:textId="77777777" w:rsidR="009B2417" w:rsidRPr="009B2417" w:rsidRDefault="009B2417" w:rsidP="00687DD2">
      <w:pPr>
        <w:numPr>
          <w:ilvl w:val="0"/>
          <w:numId w:val="51"/>
        </w:numPr>
        <w:spacing w:before="100" w:beforeAutospacing="1" w:after="100" w:afterAutospacing="1"/>
        <w:jc w:val="both"/>
        <w:rPr>
          <w:rFonts w:ascii="Arial" w:hAnsi="Arial" w:cs="Arial"/>
        </w:rPr>
      </w:pPr>
      <w:r w:rsidRPr="009B2417">
        <w:rPr>
          <w:rFonts w:ascii="Arial" w:hAnsi="Arial" w:cs="Arial"/>
        </w:rPr>
        <w:t>Renforcement des mesures pour préserver toutes formes de violences au niveau des jeunes bénéficiaires.</w:t>
      </w:r>
    </w:p>
    <w:p w14:paraId="5FD033BB" w14:textId="77777777" w:rsidR="009B2417" w:rsidRPr="009B2417" w:rsidRDefault="009B2417" w:rsidP="00687DD2">
      <w:pPr>
        <w:numPr>
          <w:ilvl w:val="0"/>
          <w:numId w:val="51"/>
        </w:numPr>
        <w:spacing w:before="100" w:beforeAutospacing="1" w:after="100" w:afterAutospacing="1"/>
        <w:jc w:val="both"/>
        <w:rPr>
          <w:rFonts w:ascii="Arial" w:hAnsi="Arial" w:cs="Arial"/>
        </w:rPr>
      </w:pPr>
      <w:r w:rsidRPr="009B2417">
        <w:rPr>
          <w:rFonts w:ascii="Arial" w:hAnsi="Arial" w:cs="Arial"/>
        </w:rPr>
        <w:t>Mise en place de mesures d’accompagnement avec l’alphabétisation numérique comme l’alphabétisation des adultes et des enfants non scolarisés, la réinsertion scolaire des enfants et jeunes déscolarisés,</w:t>
      </w:r>
      <w:r>
        <w:rPr>
          <w:rFonts w:ascii="Arial" w:hAnsi="Arial" w:cs="Arial"/>
        </w:rPr>
        <w:t xml:space="preserve"> </w:t>
      </w:r>
      <w:r w:rsidRPr="009B2417">
        <w:rPr>
          <w:rFonts w:ascii="Arial" w:hAnsi="Arial" w:cs="Arial"/>
        </w:rPr>
        <w:t>etc. ;</w:t>
      </w:r>
    </w:p>
    <w:p w14:paraId="515D7A8E" w14:textId="77777777" w:rsidR="009B2417" w:rsidRPr="009B2417" w:rsidRDefault="009B2417" w:rsidP="00687DD2">
      <w:pPr>
        <w:numPr>
          <w:ilvl w:val="0"/>
          <w:numId w:val="51"/>
        </w:numPr>
        <w:spacing w:before="100" w:beforeAutospacing="1" w:after="100" w:afterAutospacing="1"/>
        <w:jc w:val="both"/>
        <w:rPr>
          <w:rFonts w:ascii="Arial" w:hAnsi="Arial" w:cs="Arial"/>
        </w:rPr>
      </w:pPr>
      <w:r w:rsidRPr="009B2417">
        <w:rPr>
          <w:rFonts w:ascii="Arial" w:hAnsi="Arial" w:cs="Arial"/>
        </w:rPr>
        <w:t>Détermination des conditions et cadres légaux si le projet promeut l’installation de réseau 5G ;</w:t>
      </w:r>
    </w:p>
    <w:p w14:paraId="0A336977" w14:textId="77777777" w:rsidR="009B2417" w:rsidRPr="009B2417" w:rsidRDefault="009B2417" w:rsidP="00687DD2">
      <w:pPr>
        <w:numPr>
          <w:ilvl w:val="0"/>
          <w:numId w:val="51"/>
        </w:numPr>
        <w:spacing w:before="100" w:beforeAutospacing="1" w:after="100" w:afterAutospacing="1"/>
        <w:jc w:val="both"/>
        <w:rPr>
          <w:rFonts w:ascii="Arial" w:hAnsi="Arial" w:cs="Arial"/>
        </w:rPr>
      </w:pPr>
      <w:r w:rsidRPr="009B2417">
        <w:rPr>
          <w:rFonts w:ascii="Arial" w:hAnsi="Arial" w:cs="Arial"/>
        </w:rPr>
        <w:t>Détermination des coûts de connexion à l’électricité et à l’internet pour un prix abordable à tous.</w:t>
      </w:r>
    </w:p>
    <w:p w14:paraId="71619F78" w14:textId="77777777" w:rsidR="009B2417" w:rsidRPr="00767012" w:rsidRDefault="009B2417" w:rsidP="009B2417">
      <w:pPr>
        <w:autoSpaceDE w:val="0"/>
        <w:autoSpaceDN w:val="0"/>
        <w:adjustRightInd w:val="0"/>
        <w:jc w:val="both"/>
        <w:rPr>
          <w:rFonts w:ascii="Arial" w:hAnsi="Arial" w:cs="Arial"/>
          <w:b/>
          <w:bCs/>
          <w:i/>
          <w:iCs/>
          <w:szCs w:val="24"/>
        </w:rPr>
      </w:pPr>
      <w:r w:rsidRPr="00767012">
        <w:rPr>
          <w:rFonts w:ascii="Arial" w:hAnsi="Arial" w:cs="Arial"/>
          <w:b/>
          <w:bCs/>
          <w:i/>
          <w:iCs/>
          <w:szCs w:val="24"/>
        </w:rPr>
        <w:t>Malgré ces remarques et suggestion</w:t>
      </w:r>
      <w:r w:rsidR="00767012">
        <w:rPr>
          <w:rFonts w:ascii="Arial" w:hAnsi="Arial" w:cs="Arial"/>
          <w:b/>
          <w:bCs/>
          <w:i/>
          <w:iCs/>
          <w:szCs w:val="24"/>
        </w:rPr>
        <w:t>s</w:t>
      </w:r>
      <w:r w:rsidRPr="00767012">
        <w:rPr>
          <w:rFonts w:ascii="Arial" w:hAnsi="Arial" w:cs="Arial"/>
          <w:b/>
          <w:bCs/>
          <w:i/>
          <w:iCs/>
          <w:szCs w:val="24"/>
        </w:rPr>
        <w:t xml:space="preserve">, les parties prenantes </w:t>
      </w:r>
      <w:r w:rsidR="00767012">
        <w:rPr>
          <w:rFonts w:ascii="Arial" w:hAnsi="Arial" w:cs="Arial"/>
          <w:b/>
          <w:bCs/>
          <w:i/>
          <w:iCs/>
          <w:szCs w:val="24"/>
        </w:rPr>
        <w:t>consultées</w:t>
      </w:r>
      <w:r w:rsidRPr="00767012">
        <w:rPr>
          <w:rFonts w:ascii="Arial" w:hAnsi="Arial" w:cs="Arial"/>
          <w:b/>
          <w:bCs/>
          <w:i/>
          <w:iCs/>
          <w:szCs w:val="24"/>
        </w:rPr>
        <w:t xml:space="preserve"> au niveau régional sont unanime</w:t>
      </w:r>
      <w:r w:rsidR="00767012" w:rsidRPr="00767012">
        <w:rPr>
          <w:rFonts w:ascii="Arial" w:hAnsi="Arial" w:cs="Arial"/>
          <w:b/>
          <w:bCs/>
          <w:i/>
          <w:iCs/>
          <w:szCs w:val="24"/>
        </w:rPr>
        <w:t>s</w:t>
      </w:r>
      <w:r w:rsidRPr="00767012">
        <w:rPr>
          <w:rFonts w:ascii="Arial" w:hAnsi="Arial" w:cs="Arial"/>
          <w:b/>
          <w:bCs/>
          <w:i/>
          <w:iCs/>
          <w:szCs w:val="24"/>
        </w:rPr>
        <w:t xml:space="preserve"> sur le bienfait du projet et sont prêt</w:t>
      </w:r>
      <w:r w:rsidR="00767012">
        <w:rPr>
          <w:rFonts w:ascii="Arial" w:hAnsi="Arial" w:cs="Arial"/>
          <w:b/>
          <w:bCs/>
          <w:i/>
          <w:iCs/>
          <w:szCs w:val="24"/>
        </w:rPr>
        <w:t>es</w:t>
      </w:r>
      <w:r w:rsidRPr="00767012">
        <w:rPr>
          <w:rFonts w:ascii="Arial" w:hAnsi="Arial" w:cs="Arial"/>
          <w:b/>
          <w:bCs/>
          <w:i/>
          <w:iCs/>
          <w:szCs w:val="24"/>
        </w:rPr>
        <w:t xml:space="preserve"> à soutenir sa mise en œuvre.</w:t>
      </w:r>
    </w:p>
    <w:p w14:paraId="492FA2FF" w14:textId="77777777" w:rsidR="009B2417" w:rsidRDefault="009B2417" w:rsidP="009B2417">
      <w:pPr>
        <w:autoSpaceDE w:val="0"/>
        <w:autoSpaceDN w:val="0"/>
        <w:adjustRightInd w:val="0"/>
        <w:jc w:val="both"/>
        <w:rPr>
          <w:rFonts w:ascii="Arial" w:hAnsi="Arial" w:cs="Arial"/>
          <w:szCs w:val="24"/>
        </w:rPr>
      </w:pPr>
    </w:p>
    <w:p w14:paraId="438CF9C3" w14:textId="77777777" w:rsidR="009B2417" w:rsidRPr="009B2417" w:rsidRDefault="009B2417" w:rsidP="009B2417">
      <w:pPr>
        <w:autoSpaceDE w:val="0"/>
        <w:autoSpaceDN w:val="0"/>
        <w:adjustRightInd w:val="0"/>
        <w:jc w:val="both"/>
        <w:rPr>
          <w:rFonts w:ascii="Arial" w:hAnsi="Arial" w:cs="Arial"/>
          <w:szCs w:val="24"/>
        </w:rPr>
      </w:pPr>
      <w:r w:rsidRPr="009B2417">
        <w:rPr>
          <w:rFonts w:ascii="Arial" w:hAnsi="Arial" w:cs="Arial"/>
          <w:szCs w:val="24"/>
        </w:rPr>
        <w:t xml:space="preserve">Plus de détails, notamment d’autres questions relatives à la mise en œuvre du projet sont </w:t>
      </w:r>
      <w:r w:rsidR="0068025E" w:rsidRPr="009B2417">
        <w:rPr>
          <w:rFonts w:ascii="Arial" w:hAnsi="Arial" w:cs="Arial"/>
          <w:szCs w:val="24"/>
        </w:rPr>
        <w:t>données</w:t>
      </w:r>
      <w:r w:rsidRPr="009B2417">
        <w:rPr>
          <w:rFonts w:ascii="Arial" w:hAnsi="Arial" w:cs="Arial"/>
          <w:szCs w:val="24"/>
        </w:rPr>
        <w:t xml:space="preserve"> </w:t>
      </w:r>
      <w:r w:rsidR="00767012">
        <w:rPr>
          <w:rFonts w:ascii="Arial" w:hAnsi="Arial" w:cs="Arial"/>
          <w:szCs w:val="24"/>
        </w:rPr>
        <w:t>en A</w:t>
      </w:r>
      <w:r w:rsidRPr="009B2417">
        <w:rPr>
          <w:rFonts w:ascii="Arial" w:hAnsi="Arial" w:cs="Arial"/>
          <w:szCs w:val="24"/>
        </w:rPr>
        <w:t>nnexe.</w:t>
      </w:r>
    </w:p>
    <w:p w14:paraId="1256819D" w14:textId="77777777" w:rsidR="00E95156" w:rsidRPr="00E95156" w:rsidRDefault="00E95156" w:rsidP="0044500E">
      <w:pPr>
        <w:pStyle w:val="TIT3"/>
        <w:numPr>
          <w:ilvl w:val="2"/>
          <w:numId w:val="177"/>
        </w:numPr>
      </w:pPr>
      <w:bookmarkStart w:id="1179" w:name="_Toc124314761"/>
      <w:bookmarkStart w:id="1180" w:name="_Toc124956290"/>
      <w:bookmarkStart w:id="1181" w:name="_Toc125384638"/>
      <w:bookmarkStart w:id="1182" w:name="_Toc125385027"/>
      <w:bookmarkStart w:id="1183" w:name="_Toc127957700"/>
      <w:r w:rsidRPr="00E95156">
        <w:t xml:space="preserve">Consultation </w:t>
      </w:r>
      <w:r w:rsidR="003E32E9">
        <w:t>des Parties P</w:t>
      </w:r>
      <w:r w:rsidRPr="00E95156">
        <w:t>renantes</w:t>
      </w:r>
      <w:bookmarkEnd w:id="1179"/>
      <w:bookmarkEnd w:id="1180"/>
      <w:bookmarkEnd w:id="1181"/>
      <w:bookmarkEnd w:id="1182"/>
      <w:bookmarkEnd w:id="1183"/>
    </w:p>
    <w:p w14:paraId="1BB71A5C" w14:textId="77777777" w:rsidR="00512FF5" w:rsidRPr="00742D67" w:rsidRDefault="00512FF5" w:rsidP="00512FF5">
      <w:pPr>
        <w:autoSpaceDE w:val="0"/>
        <w:autoSpaceDN w:val="0"/>
        <w:adjustRightInd w:val="0"/>
        <w:jc w:val="both"/>
        <w:rPr>
          <w:rFonts w:ascii="Arial" w:hAnsi="Arial" w:cs="Arial"/>
        </w:rPr>
      </w:pPr>
      <w:r w:rsidRPr="58DCDDAF">
        <w:rPr>
          <w:rFonts w:ascii="Arial" w:hAnsi="Arial" w:cs="Arial"/>
        </w:rPr>
        <w:t xml:space="preserve">Divers acteurs impliqués directement ou indirectement </w:t>
      </w:r>
      <w:r w:rsidR="00767012" w:rsidRPr="58DCDDAF">
        <w:rPr>
          <w:rFonts w:ascii="Arial" w:hAnsi="Arial" w:cs="Arial"/>
        </w:rPr>
        <w:t>dans</w:t>
      </w:r>
      <w:r w:rsidRPr="58DCDDAF">
        <w:rPr>
          <w:rFonts w:ascii="Arial" w:hAnsi="Arial" w:cs="Arial"/>
        </w:rPr>
        <w:t xml:space="preserve"> la mise en œuvre du projet DECIM ont fait l’objet de consultation sous forme d’entretien individuel. Les principaux acteurs ciblés sont ceux qui interviennent dans les secteurs du numérique et de l’énergie comme le MEH, le MDNTDTP, la société JIRAMA, ADER, ARTEC, ARELEC, ainsi qu</w:t>
      </w:r>
      <w:r w:rsidR="00767012" w:rsidRPr="58DCDDAF">
        <w:rPr>
          <w:rFonts w:ascii="Arial" w:hAnsi="Arial" w:cs="Arial"/>
        </w:rPr>
        <w:t>e d’autres acteurs qui</w:t>
      </w:r>
      <w:r w:rsidRPr="58DCDDAF">
        <w:rPr>
          <w:rFonts w:ascii="Arial" w:hAnsi="Arial" w:cs="Arial"/>
        </w:rPr>
        <w:t xml:space="preserve"> pourrai</w:t>
      </w:r>
      <w:r w:rsidR="00767012" w:rsidRPr="58DCDDAF">
        <w:rPr>
          <w:rFonts w:ascii="Arial" w:hAnsi="Arial" w:cs="Arial"/>
        </w:rPr>
        <w:t>en</w:t>
      </w:r>
      <w:r w:rsidRPr="58DCDDAF">
        <w:rPr>
          <w:rFonts w:ascii="Arial" w:hAnsi="Arial" w:cs="Arial"/>
        </w:rPr>
        <w:t xml:space="preserve">t </w:t>
      </w:r>
      <w:r w:rsidR="00767012" w:rsidRPr="58DCDDAF">
        <w:rPr>
          <w:rFonts w:ascii="Arial" w:hAnsi="Arial" w:cs="Arial"/>
        </w:rPr>
        <w:t xml:space="preserve">être </w:t>
      </w:r>
      <w:r w:rsidRPr="58DCDDAF">
        <w:rPr>
          <w:rFonts w:ascii="Arial" w:hAnsi="Arial" w:cs="Arial"/>
        </w:rPr>
        <w:t>bénéfici</w:t>
      </w:r>
      <w:r w:rsidR="00767012" w:rsidRPr="58DCDDAF">
        <w:rPr>
          <w:rFonts w:ascii="Arial" w:hAnsi="Arial" w:cs="Arial"/>
        </w:rPr>
        <w:t>aires</w:t>
      </w:r>
      <w:r w:rsidRPr="58DCDDAF">
        <w:rPr>
          <w:rFonts w:ascii="Arial" w:hAnsi="Arial" w:cs="Arial"/>
        </w:rPr>
        <w:t xml:space="preserve"> du Projet comme </w:t>
      </w:r>
      <w:r w:rsidR="00767012" w:rsidRPr="58DCDDAF">
        <w:rPr>
          <w:rFonts w:ascii="Arial" w:hAnsi="Arial" w:cs="Arial"/>
        </w:rPr>
        <w:t xml:space="preserve">le </w:t>
      </w:r>
      <w:r w:rsidRPr="58DCDDAF">
        <w:rPr>
          <w:rFonts w:ascii="Arial" w:hAnsi="Arial" w:cs="Arial"/>
        </w:rPr>
        <w:t>Minis</w:t>
      </w:r>
      <w:r w:rsidR="003B02C7" w:rsidRPr="58DCDDAF">
        <w:rPr>
          <w:rFonts w:ascii="Arial" w:hAnsi="Arial" w:cs="Arial"/>
        </w:rPr>
        <w:t>t</w:t>
      </w:r>
      <w:r w:rsidRPr="58DCDDAF">
        <w:rPr>
          <w:rFonts w:ascii="Arial" w:hAnsi="Arial" w:cs="Arial"/>
        </w:rPr>
        <w:t>ère de l’</w:t>
      </w:r>
      <w:r w:rsidR="00767012" w:rsidRPr="58DCDDAF">
        <w:rPr>
          <w:rFonts w:ascii="Arial" w:hAnsi="Arial" w:cs="Arial"/>
        </w:rPr>
        <w:t>Éducation</w:t>
      </w:r>
      <w:r w:rsidRPr="58DCDDAF">
        <w:rPr>
          <w:rFonts w:ascii="Arial" w:hAnsi="Arial" w:cs="Arial"/>
        </w:rPr>
        <w:t xml:space="preserve"> Nationale, </w:t>
      </w:r>
      <w:r w:rsidR="00767012" w:rsidRPr="58DCDDAF">
        <w:rPr>
          <w:rFonts w:ascii="Arial" w:hAnsi="Arial" w:cs="Arial"/>
        </w:rPr>
        <w:t xml:space="preserve">le </w:t>
      </w:r>
      <w:r w:rsidRPr="58DCDDAF">
        <w:rPr>
          <w:rFonts w:ascii="Arial" w:hAnsi="Arial" w:cs="Arial"/>
        </w:rPr>
        <w:t>Ministère en charge de la Santé Publique, les Opérateurs téléphonique</w:t>
      </w:r>
      <w:r w:rsidR="00767012" w:rsidRPr="58DCDDAF">
        <w:rPr>
          <w:rFonts w:ascii="Arial" w:hAnsi="Arial" w:cs="Arial"/>
        </w:rPr>
        <w:t>s</w:t>
      </w:r>
      <w:r w:rsidRPr="58DCDDAF">
        <w:rPr>
          <w:rFonts w:ascii="Arial" w:hAnsi="Arial" w:cs="Arial"/>
        </w:rPr>
        <w:t xml:space="preserve"> (Airtel, Telma et Orange). D’autres parties prenantes qui pourraient intervenir dans la mise en œuvre du Projet ont été aussi consultées comme le Ministère en charge de la Population, les centres spécialisés dans le</w:t>
      </w:r>
      <w:r w:rsidR="00767012" w:rsidRPr="58DCDDAF">
        <w:rPr>
          <w:rFonts w:ascii="Arial" w:hAnsi="Arial" w:cs="Arial"/>
        </w:rPr>
        <w:t>s</w:t>
      </w:r>
      <w:r w:rsidRPr="58DCDDAF">
        <w:rPr>
          <w:rFonts w:ascii="Arial" w:hAnsi="Arial" w:cs="Arial"/>
        </w:rPr>
        <w:t xml:space="preserve"> VBG comme le CECJ et centre Vonjy, les forces de l’ordre, les </w:t>
      </w:r>
      <w:r w:rsidRPr="00742D67">
        <w:rPr>
          <w:rFonts w:ascii="Arial" w:hAnsi="Arial" w:cs="Arial"/>
        </w:rPr>
        <w:t>OSC</w:t>
      </w:r>
      <w:r w:rsidR="00F21AEE" w:rsidRPr="00742D67">
        <w:rPr>
          <w:rFonts w:ascii="Arial" w:hAnsi="Arial" w:cs="Arial"/>
        </w:rPr>
        <w:t>,</w:t>
      </w:r>
      <w:r w:rsidR="004A211E" w:rsidRPr="00742D67">
        <w:rPr>
          <w:rFonts w:ascii="Arial" w:hAnsi="Arial" w:cs="Arial"/>
        </w:rPr>
        <w:t xml:space="preserve"> les</w:t>
      </w:r>
      <w:r w:rsidR="00F21AEE" w:rsidRPr="00742D67">
        <w:rPr>
          <w:rFonts w:ascii="Arial" w:hAnsi="Arial" w:cs="Arial"/>
        </w:rPr>
        <w:t xml:space="preserve"> institutions </w:t>
      </w:r>
      <w:r w:rsidR="004A211E" w:rsidRPr="00742D67">
        <w:rPr>
          <w:rFonts w:ascii="Arial" w:hAnsi="Arial" w:cs="Arial"/>
        </w:rPr>
        <w:t>de microfinance</w:t>
      </w:r>
      <w:r w:rsidR="00245FF1">
        <w:rPr>
          <w:rFonts w:ascii="Arial" w:hAnsi="Arial" w:cs="Arial"/>
        </w:rPr>
        <w:t xml:space="preserve"> </w:t>
      </w:r>
      <w:r w:rsidR="00F21AEE" w:rsidRPr="00742D67">
        <w:rPr>
          <w:rFonts w:ascii="Arial" w:hAnsi="Arial" w:cs="Arial"/>
        </w:rPr>
        <w:t>et les banques primaires.</w:t>
      </w:r>
    </w:p>
    <w:p w14:paraId="5A7B0959" w14:textId="77777777" w:rsidR="00512FF5" w:rsidRPr="00512FF5" w:rsidRDefault="00512FF5" w:rsidP="00512FF5">
      <w:pPr>
        <w:autoSpaceDE w:val="0"/>
        <w:autoSpaceDN w:val="0"/>
        <w:adjustRightInd w:val="0"/>
        <w:jc w:val="both"/>
        <w:rPr>
          <w:rFonts w:ascii="Arial" w:hAnsi="Arial" w:cs="Arial"/>
          <w:szCs w:val="24"/>
        </w:rPr>
      </w:pPr>
      <w:r w:rsidRPr="00512FF5">
        <w:rPr>
          <w:rFonts w:ascii="Arial" w:hAnsi="Arial" w:cs="Arial"/>
          <w:szCs w:val="24"/>
        </w:rPr>
        <w:t xml:space="preserve">La consultation des parties prenantes a été conduite </w:t>
      </w:r>
      <w:r w:rsidR="00767012">
        <w:rPr>
          <w:rFonts w:ascii="Arial" w:hAnsi="Arial" w:cs="Arial"/>
          <w:szCs w:val="24"/>
        </w:rPr>
        <w:t>à</w:t>
      </w:r>
      <w:r w:rsidRPr="00512FF5">
        <w:rPr>
          <w:rFonts w:ascii="Arial" w:hAnsi="Arial" w:cs="Arial"/>
          <w:szCs w:val="24"/>
        </w:rPr>
        <w:t xml:space="preserve"> deux niveaux : au niveau national et au niveau régional.</w:t>
      </w:r>
    </w:p>
    <w:p w14:paraId="3D227193" w14:textId="77777777" w:rsidR="00512FF5" w:rsidRPr="00512FF5" w:rsidRDefault="00512FF5" w:rsidP="00512FF5">
      <w:pPr>
        <w:autoSpaceDE w:val="0"/>
        <w:autoSpaceDN w:val="0"/>
        <w:adjustRightInd w:val="0"/>
        <w:jc w:val="both"/>
        <w:rPr>
          <w:rFonts w:ascii="Arial" w:hAnsi="Arial" w:cs="Arial"/>
          <w:szCs w:val="24"/>
        </w:rPr>
      </w:pPr>
      <w:r w:rsidRPr="00512FF5">
        <w:rPr>
          <w:rFonts w:ascii="Arial" w:hAnsi="Arial" w:cs="Arial"/>
          <w:szCs w:val="24"/>
        </w:rPr>
        <w:t xml:space="preserve">Les consultations des parties prenantes ont permis de les informer sur le projet et les activités potentielles générées par les sous-projets, de collecter leur perception du projet, les problèmes/craintes </w:t>
      </w:r>
      <w:r w:rsidR="00767012">
        <w:rPr>
          <w:rFonts w:ascii="Arial" w:hAnsi="Arial" w:cs="Arial"/>
          <w:szCs w:val="24"/>
        </w:rPr>
        <w:t>liés à</w:t>
      </w:r>
      <w:r w:rsidRPr="00512FF5">
        <w:rPr>
          <w:rFonts w:ascii="Arial" w:hAnsi="Arial" w:cs="Arial"/>
          <w:szCs w:val="24"/>
        </w:rPr>
        <w:t xml:space="preserve"> la mise en œuvre du Projet. Les parties prenantes ont exprimé des fortes attentes par rapport aux résultats attendus du Projet. </w:t>
      </w:r>
    </w:p>
    <w:p w14:paraId="6D6BF0DD" w14:textId="77777777" w:rsidR="00512FF5" w:rsidRPr="00512FF5" w:rsidRDefault="00512FF5" w:rsidP="00512FF5">
      <w:pPr>
        <w:autoSpaceDE w:val="0"/>
        <w:autoSpaceDN w:val="0"/>
        <w:adjustRightInd w:val="0"/>
        <w:jc w:val="both"/>
        <w:rPr>
          <w:rFonts w:ascii="Arial" w:hAnsi="Arial" w:cs="Arial"/>
          <w:szCs w:val="24"/>
        </w:rPr>
      </w:pPr>
      <w:r w:rsidRPr="00512FF5">
        <w:rPr>
          <w:rFonts w:ascii="Arial" w:hAnsi="Arial" w:cs="Arial"/>
          <w:szCs w:val="24"/>
        </w:rPr>
        <w:t>Le tableau ci-après montre les préoccupations émises par les différentes parties prenantes consultées.</w:t>
      </w:r>
    </w:p>
    <w:p w14:paraId="61042DAB" w14:textId="77777777" w:rsidR="0096492E" w:rsidRPr="00512FF5" w:rsidRDefault="00512FF5" w:rsidP="00512FF5">
      <w:pPr>
        <w:pStyle w:val="Lgende"/>
        <w:jc w:val="center"/>
        <w:rPr>
          <w:sz w:val="20"/>
        </w:rPr>
      </w:pPr>
      <w:bookmarkStart w:id="1184" w:name="_Toc127957879"/>
      <w:r w:rsidRPr="00512FF5">
        <w:rPr>
          <w:sz w:val="20"/>
        </w:rPr>
        <w:t xml:space="preserve">Tableau </w:t>
      </w:r>
      <w:r w:rsidRPr="00512FF5">
        <w:rPr>
          <w:sz w:val="20"/>
        </w:rPr>
        <w:fldChar w:fldCharType="begin"/>
      </w:r>
      <w:r w:rsidRPr="00512FF5">
        <w:rPr>
          <w:sz w:val="20"/>
        </w:rPr>
        <w:instrText xml:space="preserve"> SEQ Tableau \* ARABIC </w:instrText>
      </w:r>
      <w:r w:rsidRPr="00512FF5">
        <w:rPr>
          <w:sz w:val="20"/>
        </w:rPr>
        <w:fldChar w:fldCharType="separate"/>
      </w:r>
      <w:r w:rsidR="005430A1">
        <w:rPr>
          <w:noProof/>
          <w:sz w:val="20"/>
        </w:rPr>
        <w:t>83</w:t>
      </w:r>
      <w:r w:rsidRPr="00512FF5">
        <w:rPr>
          <w:sz w:val="20"/>
        </w:rPr>
        <w:fldChar w:fldCharType="end"/>
      </w:r>
      <w:r w:rsidRPr="00512FF5">
        <w:rPr>
          <w:sz w:val="20"/>
        </w:rPr>
        <w:t>. Récapitulatif des préoccupations des parties prenantes du Projet DECIM</w:t>
      </w:r>
      <w:bookmarkEnd w:id="1184"/>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240"/>
        <w:gridCol w:w="5810"/>
      </w:tblGrid>
      <w:tr w:rsidR="0063584D" w:rsidRPr="007F78CE" w14:paraId="6F509D1E" w14:textId="77777777" w:rsidTr="007F78CE">
        <w:trPr>
          <w:tblHeader/>
        </w:trPr>
        <w:tc>
          <w:tcPr>
            <w:tcW w:w="1790" w:type="pct"/>
            <w:shd w:val="clear" w:color="auto" w:fill="4F81BD"/>
            <w:vAlign w:val="center"/>
          </w:tcPr>
          <w:p w14:paraId="7858DBCC" w14:textId="77777777" w:rsidR="00512FF5" w:rsidRPr="007F78CE" w:rsidRDefault="00512FF5" w:rsidP="007F78CE">
            <w:pPr>
              <w:spacing w:after="0" w:line="240" w:lineRule="auto"/>
              <w:jc w:val="center"/>
              <w:rPr>
                <w:rFonts w:ascii="Arial" w:hAnsi="Arial" w:cs="Arial"/>
                <w:color w:val="FFFFFF"/>
                <w:sz w:val="18"/>
                <w:szCs w:val="18"/>
              </w:rPr>
            </w:pPr>
            <w:r w:rsidRPr="007F78CE">
              <w:rPr>
                <w:rFonts w:ascii="Arial" w:hAnsi="Arial" w:cs="Arial"/>
                <w:color w:val="FFFFFF"/>
                <w:sz w:val="18"/>
                <w:szCs w:val="18"/>
              </w:rPr>
              <w:t>Catégorie de parties prenantes</w:t>
            </w:r>
          </w:p>
        </w:tc>
        <w:tc>
          <w:tcPr>
            <w:tcW w:w="3210" w:type="pct"/>
            <w:shd w:val="clear" w:color="auto" w:fill="4F81BD"/>
            <w:vAlign w:val="center"/>
          </w:tcPr>
          <w:p w14:paraId="03F529C8" w14:textId="77777777" w:rsidR="00512FF5" w:rsidRPr="007F78CE" w:rsidRDefault="00512FF5" w:rsidP="007F78CE">
            <w:pPr>
              <w:spacing w:after="0" w:line="240" w:lineRule="auto"/>
              <w:jc w:val="center"/>
              <w:rPr>
                <w:rFonts w:ascii="Arial" w:hAnsi="Arial" w:cs="Arial"/>
                <w:color w:val="FFFFFF"/>
                <w:sz w:val="18"/>
                <w:szCs w:val="18"/>
              </w:rPr>
            </w:pPr>
            <w:r w:rsidRPr="007F78CE">
              <w:rPr>
                <w:rFonts w:ascii="Arial" w:hAnsi="Arial" w:cs="Arial"/>
                <w:color w:val="FFFFFF"/>
                <w:sz w:val="18"/>
                <w:szCs w:val="18"/>
              </w:rPr>
              <w:t>Préoccupations</w:t>
            </w:r>
          </w:p>
        </w:tc>
      </w:tr>
      <w:tr w:rsidR="0063584D" w:rsidRPr="007F78CE" w14:paraId="3AE08173" w14:textId="77777777" w:rsidTr="007F78CE">
        <w:tc>
          <w:tcPr>
            <w:tcW w:w="1790" w:type="pct"/>
            <w:vMerge w:val="restart"/>
            <w:tcBorders>
              <w:top w:val="single" w:sz="8" w:space="0" w:color="4F81BD"/>
              <w:left w:val="single" w:sz="8" w:space="0" w:color="4F81BD"/>
              <w:bottom w:val="single" w:sz="8" w:space="0" w:color="4F81BD"/>
            </w:tcBorders>
            <w:shd w:val="clear" w:color="auto" w:fill="auto"/>
          </w:tcPr>
          <w:p w14:paraId="02A88256" w14:textId="77777777" w:rsidR="00512FF5" w:rsidRPr="007F78CE" w:rsidRDefault="00512FF5" w:rsidP="007F78CE">
            <w:pPr>
              <w:spacing w:after="0" w:line="240" w:lineRule="auto"/>
              <w:rPr>
                <w:rFonts w:ascii="Arial" w:hAnsi="Arial" w:cs="Arial"/>
                <w:b/>
                <w:bCs/>
                <w:sz w:val="18"/>
                <w:szCs w:val="18"/>
              </w:rPr>
            </w:pPr>
            <w:r w:rsidRPr="007F78CE">
              <w:rPr>
                <w:rFonts w:ascii="Arial" w:hAnsi="Arial" w:cs="Arial"/>
                <w:b/>
                <w:bCs/>
                <w:sz w:val="18"/>
                <w:szCs w:val="18"/>
              </w:rPr>
              <w:t>Gouvernorat/Région</w:t>
            </w:r>
          </w:p>
        </w:tc>
        <w:tc>
          <w:tcPr>
            <w:tcW w:w="3210" w:type="pct"/>
            <w:tcBorders>
              <w:top w:val="single" w:sz="8" w:space="0" w:color="4F81BD"/>
              <w:bottom w:val="single" w:sz="8" w:space="0" w:color="4F81BD"/>
              <w:right w:val="single" w:sz="8" w:space="0" w:color="4F81BD"/>
            </w:tcBorders>
            <w:shd w:val="clear" w:color="auto" w:fill="auto"/>
          </w:tcPr>
          <w:p w14:paraId="159CC93A"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Si action prioritaire du projet sur les localités alimentées par des centrales thermiques (chef-lieu de district, quelques communes), on ne fait qu’intervenir sur des sites qui bénéficient déjà de l’électricité et même des connexions numériques</w:t>
            </w:r>
          </w:p>
        </w:tc>
      </w:tr>
      <w:tr w:rsidR="00512FF5" w:rsidRPr="007F78CE" w14:paraId="37F19874" w14:textId="77777777" w:rsidTr="007F78CE">
        <w:tc>
          <w:tcPr>
            <w:tcW w:w="1790" w:type="pct"/>
            <w:vMerge/>
            <w:shd w:val="clear" w:color="auto" w:fill="auto"/>
          </w:tcPr>
          <w:p w14:paraId="51D2FF47" w14:textId="77777777" w:rsidR="00512FF5" w:rsidRPr="007F78CE" w:rsidRDefault="00512FF5" w:rsidP="007F78CE">
            <w:pPr>
              <w:spacing w:after="0" w:line="240" w:lineRule="auto"/>
              <w:rPr>
                <w:rFonts w:ascii="Arial" w:hAnsi="Arial" w:cs="Arial"/>
                <w:b/>
                <w:bCs/>
                <w:sz w:val="18"/>
                <w:szCs w:val="18"/>
              </w:rPr>
            </w:pPr>
          </w:p>
        </w:tc>
        <w:tc>
          <w:tcPr>
            <w:tcW w:w="3210" w:type="pct"/>
            <w:shd w:val="clear" w:color="auto" w:fill="auto"/>
          </w:tcPr>
          <w:p w14:paraId="26983337"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ADER a travaillé avec la Région pour la mise en place de réseaux électriques basés sur les énergies renouvelables. Des partenaires privés sont déjà identifiés pour l’installation de réseaux électriques. Il ne faut pas que le projet DECIM intervient dans ces mêmes sites sauf pour le développement de réseaux numériques</w:t>
            </w:r>
          </w:p>
        </w:tc>
      </w:tr>
      <w:tr w:rsidR="0063584D" w:rsidRPr="007F78CE" w14:paraId="58B8C477" w14:textId="77777777" w:rsidTr="007F78CE">
        <w:tc>
          <w:tcPr>
            <w:tcW w:w="1790" w:type="pct"/>
            <w:vMerge/>
            <w:tcBorders>
              <w:top w:val="single" w:sz="8" w:space="0" w:color="4F81BD"/>
              <w:left w:val="single" w:sz="8" w:space="0" w:color="4F81BD"/>
              <w:bottom w:val="single" w:sz="8" w:space="0" w:color="4F81BD"/>
            </w:tcBorders>
            <w:shd w:val="clear" w:color="auto" w:fill="auto"/>
          </w:tcPr>
          <w:p w14:paraId="4A725AF4" w14:textId="77777777" w:rsidR="00512FF5" w:rsidRPr="007F78CE" w:rsidRDefault="00512FF5" w:rsidP="007F78CE">
            <w:pPr>
              <w:spacing w:after="0" w:line="240" w:lineRule="auto"/>
              <w:rPr>
                <w:rFonts w:ascii="Arial" w:hAnsi="Arial" w:cs="Arial"/>
                <w:b/>
                <w:bCs/>
                <w:sz w:val="18"/>
                <w:szCs w:val="18"/>
              </w:rPr>
            </w:pPr>
          </w:p>
        </w:tc>
        <w:tc>
          <w:tcPr>
            <w:tcW w:w="3210" w:type="pct"/>
            <w:tcBorders>
              <w:top w:val="single" w:sz="8" w:space="0" w:color="4F81BD"/>
              <w:bottom w:val="single" w:sz="8" w:space="0" w:color="4F81BD"/>
              <w:right w:val="single" w:sz="8" w:space="0" w:color="4F81BD"/>
            </w:tcBorders>
            <w:shd w:val="clear" w:color="auto" w:fill="auto"/>
          </w:tcPr>
          <w:p w14:paraId="2018210D"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Facilitation du détournement de fonds, blanchissement d’argent</w:t>
            </w:r>
          </w:p>
        </w:tc>
      </w:tr>
      <w:tr w:rsidR="00512FF5" w:rsidRPr="007F78CE" w14:paraId="70AC5D9F" w14:textId="77777777" w:rsidTr="007F78CE">
        <w:tc>
          <w:tcPr>
            <w:tcW w:w="1790" w:type="pct"/>
            <w:vMerge/>
            <w:shd w:val="clear" w:color="auto" w:fill="auto"/>
          </w:tcPr>
          <w:p w14:paraId="4355F3C7" w14:textId="77777777" w:rsidR="00512FF5" w:rsidRPr="007F78CE" w:rsidRDefault="00512FF5" w:rsidP="007F78CE">
            <w:pPr>
              <w:spacing w:after="0" w:line="240" w:lineRule="auto"/>
              <w:rPr>
                <w:rFonts w:ascii="Arial" w:hAnsi="Arial" w:cs="Arial"/>
                <w:b/>
                <w:bCs/>
                <w:sz w:val="18"/>
                <w:szCs w:val="18"/>
              </w:rPr>
            </w:pPr>
          </w:p>
        </w:tc>
        <w:tc>
          <w:tcPr>
            <w:tcW w:w="3210" w:type="pct"/>
            <w:shd w:val="clear" w:color="auto" w:fill="auto"/>
          </w:tcPr>
          <w:p w14:paraId="5375FE5F"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Augmentation probable des escroqueries</w:t>
            </w:r>
          </w:p>
        </w:tc>
      </w:tr>
      <w:tr w:rsidR="0063584D" w:rsidRPr="007F78CE" w14:paraId="3FF38CAD" w14:textId="77777777" w:rsidTr="007F78CE">
        <w:tc>
          <w:tcPr>
            <w:tcW w:w="1790" w:type="pct"/>
            <w:vMerge/>
            <w:tcBorders>
              <w:top w:val="single" w:sz="8" w:space="0" w:color="4F81BD"/>
              <w:left w:val="single" w:sz="8" w:space="0" w:color="4F81BD"/>
              <w:bottom w:val="single" w:sz="8" w:space="0" w:color="4F81BD"/>
            </w:tcBorders>
            <w:shd w:val="clear" w:color="auto" w:fill="auto"/>
          </w:tcPr>
          <w:p w14:paraId="1F90982C" w14:textId="77777777" w:rsidR="00512FF5" w:rsidRPr="007F78CE" w:rsidRDefault="00512FF5" w:rsidP="007F78CE">
            <w:pPr>
              <w:spacing w:after="0" w:line="240" w:lineRule="auto"/>
              <w:rPr>
                <w:rFonts w:ascii="Arial" w:hAnsi="Arial" w:cs="Arial"/>
                <w:b/>
                <w:bCs/>
                <w:sz w:val="18"/>
                <w:szCs w:val="18"/>
              </w:rPr>
            </w:pPr>
          </w:p>
        </w:tc>
        <w:tc>
          <w:tcPr>
            <w:tcW w:w="3210" w:type="pct"/>
            <w:tcBorders>
              <w:top w:val="single" w:sz="8" w:space="0" w:color="4F81BD"/>
              <w:bottom w:val="single" w:sz="8" w:space="0" w:color="4F81BD"/>
              <w:right w:val="single" w:sz="8" w:space="0" w:color="4F81BD"/>
            </w:tcBorders>
            <w:shd w:val="clear" w:color="auto" w:fill="auto"/>
          </w:tcPr>
          <w:p w14:paraId="092A89C2"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Concentration des interventions le long des routes nationales</w:t>
            </w:r>
          </w:p>
        </w:tc>
      </w:tr>
      <w:tr w:rsidR="00512FF5" w:rsidRPr="007F78CE" w14:paraId="1D74C708" w14:textId="77777777" w:rsidTr="007F78CE">
        <w:tc>
          <w:tcPr>
            <w:tcW w:w="1790" w:type="pct"/>
            <w:vMerge/>
            <w:shd w:val="clear" w:color="auto" w:fill="auto"/>
          </w:tcPr>
          <w:p w14:paraId="7D68A156" w14:textId="77777777" w:rsidR="00512FF5" w:rsidRPr="007F78CE" w:rsidRDefault="00512FF5" w:rsidP="007F78CE">
            <w:pPr>
              <w:spacing w:after="0" w:line="240" w:lineRule="auto"/>
              <w:rPr>
                <w:rFonts w:ascii="Arial" w:hAnsi="Arial" w:cs="Arial"/>
                <w:b/>
                <w:bCs/>
                <w:sz w:val="18"/>
                <w:szCs w:val="18"/>
              </w:rPr>
            </w:pPr>
          </w:p>
        </w:tc>
        <w:tc>
          <w:tcPr>
            <w:tcW w:w="3210" w:type="pct"/>
            <w:shd w:val="clear" w:color="auto" w:fill="auto"/>
          </w:tcPr>
          <w:p w14:paraId="32024DF0"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Gestion de ressources attribuées au fonctionnement des sous-projets (notamment sur le plan financier)</w:t>
            </w:r>
          </w:p>
        </w:tc>
      </w:tr>
      <w:tr w:rsidR="0063584D" w:rsidRPr="007F78CE" w14:paraId="7B231D9F" w14:textId="77777777" w:rsidTr="007F78CE">
        <w:tc>
          <w:tcPr>
            <w:tcW w:w="1790" w:type="pct"/>
            <w:vMerge/>
            <w:tcBorders>
              <w:top w:val="single" w:sz="8" w:space="0" w:color="4F81BD"/>
              <w:left w:val="single" w:sz="8" w:space="0" w:color="4F81BD"/>
              <w:bottom w:val="single" w:sz="8" w:space="0" w:color="4F81BD"/>
            </w:tcBorders>
            <w:shd w:val="clear" w:color="auto" w:fill="auto"/>
          </w:tcPr>
          <w:p w14:paraId="24044564" w14:textId="77777777" w:rsidR="00512FF5" w:rsidRPr="007F78CE" w:rsidRDefault="00512FF5" w:rsidP="007F78CE">
            <w:pPr>
              <w:spacing w:after="0" w:line="240" w:lineRule="auto"/>
              <w:rPr>
                <w:rFonts w:ascii="Arial" w:hAnsi="Arial" w:cs="Arial"/>
                <w:b/>
                <w:bCs/>
                <w:sz w:val="18"/>
                <w:szCs w:val="18"/>
              </w:rPr>
            </w:pPr>
          </w:p>
        </w:tc>
        <w:tc>
          <w:tcPr>
            <w:tcW w:w="3210" w:type="pct"/>
            <w:tcBorders>
              <w:top w:val="single" w:sz="8" w:space="0" w:color="4F81BD"/>
              <w:bottom w:val="single" w:sz="8" w:space="0" w:color="4F81BD"/>
              <w:right w:val="single" w:sz="8" w:space="0" w:color="4F81BD"/>
            </w:tcBorders>
            <w:shd w:val="clear" w:color="auto" w:fill="auto"/>
          </w:tcPr>
          <w:p w14:paraId="52E6CBBE"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Sécurité des matériels et équipements</w:t>
            </w:r>
          </w:p>
        </w:tc>
      </w:tr>
      <w:tr w:rsidR="00512FF5" w:rsidRPr="007F78CE" w14:paraId="25304DF3" w14:textId="77777777" w:rsidTr="007F78CE">
        <w:tc>
          <w:tcPr>
            <w:tcW w:w="1790" w:type="pct"/>
            <w:vMerge w:val="restart"/>
            <w:shd w:val="clear" w:color="auto" w:fill="auto"/>
          </w:tcPr>
          <w:p w14:paraId="0D3468A8" w14:textId="77777777" w:rsidR="00512FF5" w:rsidRPr="007F78CE" w:rsidRDefault="00512FF5" w:rsidP="007F78CE">
            <w:pPr>
              <w:spacing w:after="0" w:line="240" w:lineRule="auto"/>
              <w:rPr>
                <w:rFonts w:ascii="Arial" w:hAnsi="Arial" w:cs="Arial"/>
                <w:b/>
                <w:bCs/>
                <w:sz w:val="18"/>
                <w:szCs w:val="18"/>
              </w:rPr>
            </w:pPr>
          </w:p>
          <w:p w14:paraId="2E9FAD4E" w14:textId="77777777" w:rsidR="00512FF5" w:rsidRPr="007F78CE" w:rsidRDefault="00512FF5" w:rsidP="007F78CE">
            <w:pPr>
              <w:spacing w:after="0" w:line="240" w:lineRule="auto"/>
              <w:rPr>
                <w:rFonts w:ascii="Arial" w:hAnsi="Arial" w:cs="Arial"/>
                <w:b/>
                <w:bCs/>
                <w:sz w:val="18"/>
                <w:szCs w:val="18"/>
              </w:rPr>
            </w:pPr>
            <w:r w:rsidRPr="007F78CE">
              <w:rPr>
                <w:rFonts w:ascii="Arial" w:hAnsi="Arial" w:cs="Arial"/>
                <w:b/>
                <w:bCs/>
                <w:sz w:val="18"/>
                <w:szCs w:val="18"/>
              </w:rPr>
              <w:t>Ministères de tutelle et ses démembrements régionaux</w:t>
            </w:r>
          </w:p>
        </w:tc>
        <w:tc>
          <w:tcPr>
            <w:tcW w:w="3210" w:type="pct"/>
            <w:shd w:val="clear" w:color="auto" w:fill="auto"/>
          </w:tcPr>
          <w:p w14:paraId="3EC84C9F"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Coordination des actions entre les deux ministères de tutelle. Risque de conflits d’intérêt</w:t>
            </w:r>
          </w:p>
        </w:tc>
      </w:tr>
      <w:tr w:rsidR="0063584D" w:rsidRPr="007F78CE" w14:paraId="6AD7275E" w14:textId="77777777" w:rsidTr="007F78CE">
        <w:tc>
          <w:tcPr>
            <w:tcW w:w="1790" w:type="pct"/>
            <w:vMerge/>
            <w:tcBorders>
              <w:top w:val="single" w:sz="8" w:space="0" w:color="4F81BD"/>
              <w:left w:val="single" w:sz="8" w:space="0" w:color="4F81BD"/>
              <w:bottom w:val="single" w:sz="8" w:space="0" w:color="4F81BD"/>
            </w:tcBorders>
            <w:shd w:val="clear" w:color="auto" w:fill="auto"/>
          </w:tcPr>
          <w:p w14:paraId="492B231E" w14:textId="77777777" w:rsidR="00512FF5" w:rsidRPr="007F78CE" w:rsidRDefault="00512FF5" w:rsidP="007F78CE">
            <w:pPr>
              <w:spacing w:after="0" w:line="240" w:lineRule="auto"/>
              <w:rPr>
                <w:rFonts w:ascii="Arial" w:hAnsi="Arial" w:cs="Arial"/>
                <w:b/>
                <w:bCs/>
                <w:sz w:val="18"/>
                <w:szCs w:val="18"/>
              </w:rPr>
            </w:pPr>
          </w:p>
        </w:tc>
        <w:tc>
          <w:tcPr>
            <w:tcW w:w="3210" w:type="pct"/>
            <w:tcBorders>
              <w:top w:val="single" w:sz="8" w:space="0" w:color="4F81BD"/>
              <w:bottom w:val="single" w:sz="8" w:space="0" w:color="4F81BD"/>
              <w:right w:val="single" w:sz="8" w:space="0" w:color="4F81BD"/>
            </w:tcBorders>
            <w:shd w:val="clear" w:color="auto" w:fill="auto"/>
          </w:tcPr>
          <w:p w14:paraId="16EF0673"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Prise de décision, prise de responsabilité</w:t>
            </w:r>
          </w:p>
        </w:tc>
      </w:tr>
      <w:tr w:rsidR="00512FF5" w:rsidRPr="007F78CE" w14:paraId="610FC11D" w14:textId="77777777" w:rsidTr="007F78CE">
        <w:tc>
          <w:tcPr>
            <w:tcW w:w="1790" w:type="pct"/>
            <w:vMerge/>
            <w:shd w:val="clear" w:color="auto" w:fill="auto"/>
          </w:tcPr>
          <w:p w14:paraId="5B0E26D3" w14:textId="77777777" w:rsidR="00512FF5" w:rsidRPr="007F78CE" w:rsidRDefault="00512FF5" w:rsidP="007F78CE">
            <w:pPr>
              <w:spacing w:after="0" w:line="240" w:lineRule="auto"/>
              <w:rPr>
                <w:rFonts w:ascii="Arial" w:hAnsi="Arial" w:cs="Arial"/>
                <w:b/>
                <w:bCs/>
                <w:sz w:val="18"/>
                <w:szCs w:val="18"/>
              </w:rPr>
            </w:pPr>
          </w:p>
        </w:tc>
        <w:tc>
          <w:tcPr>
            <w:tcW w:w="3210" w:type="pct"/>
            <w:shd w:val="clear" w:color="auto" w:fill="auto"/>
          </w:tcPr>
          <w:p w14:paraId="48F45939" w14:textId="77777777" w:rsidR="00512FF5" w:rsidRPr="007F78CE" w:rsidRDefault="00512FF5" w:rsidP="00D017C2">
            <w:pPr>
              <w:spacing w:after="0" w:line="240" w:lineRule="auto"/>
              <w:rPr>
                <w:rFonts w:ascii="Arial" w:hAnsi="Arial" w:cs="Arial"/>
                <w:sz w:val="18"/>
                <w:szCs w:val="18"/>
              </w:rPr>
            </w:pPr>
            <w:r w:rsidRPr="007F78CE">
              <w:rPr>
                <w:rFonts w:ascii="Arial" w:hAnsi="Arial" w:cs="Arial"/>
                <w:sz w:val="18"/>
                <w:szCs w:val="18"/>
              </w:rPr>
              <w:t xml:space="preserve">Non finalisation du projet </w:t>
            </w:r>
            <w:r w:rsidR="00D017C2">
              <w:rPr>
                <w:rFonts w:ascii="Arial" w:hAnsi="Arial" w:cs="Arial"/>
                <w:sz w:val="18"/>
                <w:szCs w:val="18"/>
              </w:rPr>
              <w:t xml:space="preserve">à la </w:t>
            </w:r>
            <w:r w:rsidRPr="007F78CE">
              <w:rPr>
                <w:rFonts w:ascii="Arial" w:hAnsi="Arial" w:cs="Arial"/>
                <w:sz w:val="18"/>
                <w:szCs w:val="18"/>
              </w:rPr>
              <w:t>suite</w:t>
            </w:r>
            <w:r w:rsidR="00D017C2">
              <w:rPr>
                <w:rFonts w:ascii="Arial" w:hAnsi="Arial" w:cs="Arial"/>
                <w:sz w:val="18"/>
                <w:szCs w:val="18"/>
              </w:rPr>
              <w:t xml:space="preserve"> </w:t>
            </w:r>
            <w:r w:rsidRPr="007F78CE">
              <w:rPr>
                <w:rFonts w:ascii="Arial" w:hAnsi="Arial" w:cs="Arial"/>
                <w:sz w:val="18"/>
                <w:szCs w:val="18"/>
              </w:rPr>
              <w:t xml:space="preserve"> des changements de dirigeants politiques</w:t>
            </w:r>
          </w:p>
        </w:tc>
      </w:tr>
      <w:tr w:rsidR="0063584D" w:rsidRPr="007F78CE" w14:paraId="4FF0DFD0" w14:textId="77777777" w:rsidTr="007F78CE">
        <w:tc>
          <w:tcPr>
            <w:tcW w:w="1790" w:type="pct"/>
            <w:vMerge/>
            <w:tcBorders>
              <w:top w:val="single" w:sz="8" w:space="0" w:color="4F81BD"/>
              <w:left w:val="single" w:sz="8" w:space="0" w:color="4F81BD"/>
              <w:bottom w:val="single" w:sz="8" w:space="0" w:color="4F81BD"/>
            </w:tcBorders>
            <w:shd w:val="clear" w:color="auto" w:fill="auto"/>
          </w:tcPr>
          <w:p w14:paraId="34705478" w14:textId="77777777" w:rsidR="00512FF5" w:rsidRPr="007F78CE" w:rsidRDefault="00512FF5" w:rsidP="007F78CE">
            <w:pPr>
              <w:spacing w:after="0" w:line="240" w:lineRule="auto"/>
              <w:rPr>
                <w:rFonts w:ascii="Arial" w:hAnsi="Arial" w:cs="Arial"/>
                <w:b/>
                <w:bCs/>
                <w:sz w:val="18"/>
                <w:szCs w:val="18"/>
              </w:rPr>
            </w:pPr>
          </w:p>
        </w:tc>
        <w:tc>
          <w:tcPr>
            <w:tcW w:w="3210" w:type="pct"/>
            <w:tcBorders>
              <w:top w:val="single" w:sz="8" w:space="0" w:color="4F81BD"/>
              <w:bottom w:val="single" w:sz="8" w:space="0" w:color="4F81BD"/>
              <w:right w:val="single" w:sz="8" w:space="0" w:color="4F81BD"/>
            </w:tcBorders>
            <w:shd w:val="clear" w:color="auto" w:fill="auto"/>
          </w:tcPr>
          <w:p w14:paraId="54655EC0"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Protection contre les vols des infrastructures (notamment pour les zones éloignées des routes nationales)</w:t>
            </w:r>
          </w:p>
        </w:tc>
      </w:tr>
      <w:tr w:rsidR="00512FF5" w:rsidRPr="007F78CE" w14:paraId="7209B684" w14:textId="77777777" w:rsidTr="007F78CE">
        <w:tc>
          <w:tcPr>
            <w:tcW w:w="1790" w:type="pct"/>
            <w:vMerge/>
            <w:shd w:val="clear" w:color="auto" w:fill="auto"/>
          </w:tcPr>
          <w:p w14:paraId="66C71643" w14:textId="77777777" w:rsidR="00512FF5" w:rsidRPr="007F78CE" w:rsidRDefault="00512FF5" w:rsidP="007F78CE">
            <w:pPr>
              <w:spacing w:after="0" w:line="240" w:lineRule="auto"/>
              <w:rPr>
                <w:rFonts w:ascii="Arial" w:hAnsi="Arial" w:cs="Arial"/>
                <w:b/>
                <w:bCs/>
                <w:sz w:val="18"/>
                <w:szCs w:val="18"/>
              </w:rPr>
            </w:pPr>
          </w:p>
        </w:tc>
        <w:tc>
          <w:tcPr>
            <w:tcW w:w="3210" w:type="pct"/>
            <w:shd w:val="clear" w:color="auto" w:fill="auto"/>
          </w:tcPr>
          <w:p w14:paraId="7EADF129"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Implantation des sites au cas où des terrains domaniaux font défaut</w:t>
            </w:r>
          </w:p>
        </w:tc>
      </w:tr>
      <w:tr w:rsidR="0063584D" w:rsidRPr="007F78CE" w14:paraId="39426DC8" w14:textId="77777777" w:rsidTr="007F78CE">
        <w:tc>
          <w:tcPr>
            <w:tcW w:w="1790" w:type="pct"/>
            <w:vMerge/>
            <w:tcBorders>
              <w:top w:val="single" w:sz="8" w:space="0" w:color="4F81BD"/>
              <w:left w:val="single" w:sz="8" w:space="0" w:color="4F81BD"/>
              <w:bottom w:val="single" w:sz="8" w:space="0" w:color="4F81BD"/>
            </w:tcBorders>
            <w:shd w:val="clear" w:color="auto" w:fill="auto"/>
          </w:tcPr>
          <w:p w14:paraId="79ABD345" w14:textId="77777777" w:rsidR="00512FF5" w:rsidRPr="007F78CE" w:rsidRDefault="00512FF5" w:rsidP="007F78CE">
            <w:pPr>
              <w:spacing w:after="0" w:line="240" w:lineRule="auto"/>
              <w:rPr>
                <w:rFonts w:ascii="Arial" w:hAnsi="Arial" w:cs="Arial"/>
                <w:b/>
                <w:bCs/>
                <w:sz w:val="18"/>
                <w:szCs w:val="18"/>
              </w:rPr>
            </w:pPr>
          </w:p>
        </w:tc>
        <w:tc>
          <w:tcPr>
            <w:tcW w:w="3210" w:type="pct"/>
            <w:tcBorders>
              <w:top w:val="single" w:sz="8" w:space="0" w:color="4F81BD"/>
              <w:bottom w:val="single" w:sz="8" w:space="0" w:color="4F81BD"/>
              <w:right w:val="single" w:sz="8" w:space="0" w:color="4F81BD"/>
            </w:tcBorders>
            <w:shd w:val="clear" w:color="auto" w:fill="auto"/>
          </w:tcPr>
          <w:p w14:paraId="4FD4FEDE"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Catégories de personnes non favorables au projet (exemple les notables)</w:t>
            </w:r>
          </w:p>
        </w:tc>
      </w:tr>
      <w:tr w:rsidR="00512FF5" w:rsidRPr="007F78CE" w14:paraId="1AF8B330" w14:textId="77777777" w:rsidTr="007F78CE">
        <w:tc>
          <w:tcPr>
            <w:tcW w:w="1790" w:type="pct"/>
            <w:vMerge/>
            <w:shd w:val="clear" w:color="auto" w:fill="auto"/>
          </w:tcPr>
          <w:p w14:paraId="447A510C" w14:textId="77777777" w:rsidR="00512FF5" w:rsidRPr="007F78CE" w:rsidRDefault="00512FF5" w:rsidP="007F78CE">
            <w:pPr>
              <w:spacing w:after="0" w:line="240" w:lineRule="auto"/>
              <w:rPr>
                <w:rFonts w:ascii="Arial" w:hAnsi="Arial" w:cs="Arial"/>
                <w:b/>
                <w:bCs/>
                <w:sz w:val="18"/>
                <w:szCs w:val="18"/>
              </w:rPr>
            </w:pPr>
          </w:p>
        </w:tc>
        <w:tc>
          <w:tcPr>
            <w:tcW w:w="3210" w:type="pct"/>
            <w:shd w:val="clear" w:color="auto" w:fill="auto"/>
          </w:tcPr>
          <w:p w14:paraId="23840676"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Choix des matériels (à prendre en considération l’action des rouilles sur les côtes)</w:t>
            </w:r>
          </w:p>
        </w:tc>
      </w:tr>
      <w:tr w:rsidR="0063584D" w:rsidRPr="007F78CE" w14:paraId="23F27B9B" w14:textId="77777777" w:rsidTr="007F78CE">
        <w:tc>
          <w:tcPr>
            <w:tcW w:w="1790" w:type="pct"/>
            <w:vMerge/>
            <w:tcBorders>
              <w:top w:val="single" w:sz="8" w:space="0" w:color="4F81BD"/>
              <w:left w:val="single" w:sz="8" w:space="0" w:color="4F81BD"/>
              <w:bottom w:val="single" w:sz="8" w:space="0" w:color="4F81BD"/>
            </w:tcBorders>
            <w:shd w:val="clear" w:color="auto" w:fill="auto"/>
          </w:tcPr>
          <w:p w14:paraId="51FEF581" w14:textId="77777777" w:rsidR="00512FF5" w:rsidRPr="007F78CE" w:rsidRDefault="00512FF5" w:rsidP="007F78CE">
            <w:pPr>
              <w:spacing w:after="0" w:line="240" w:lineRule="auto"/>
              <w:rPr>
                <w:rFonts w:ascii="Arial" w:hAnsi="Arial" w:cs="Arial"/>
                <w:b/>
                <w:bCs/>
                <w:sz w:val="18"/>
                <w:szCs w:val="18"/>
              </w:rPr>
            </w:pPr>
          </w:p>
        </w:tc>
        <w:tc>
          <w:tcPr>
            <w:tcW w:w="3210" w:type="pct"/>
            <w:tcBorders>
              <w:top w:val="single" w:sz="8" w:space="0" w:color="4F81BD"/>
              <w:bottom w:val="single" w:sz="8" w:space="0" w:color="4F81BD"/>
              <w:right w:val="single" w:sz="8" w:space="0" w:color="4F81BD"/>
            </w:tcBorders>
            <w:shd w:val="clear" w:color="auto" w:fill="auto"/>
          </w:tcPr>
          <w:p w14:paraId="3D1D3120"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 xml:space="preserve">Enjeux du projet non compris par les </w:t>
            </w:r>
            <w:r w:rsidR="003B02C7" w:rsidRPr="007F78CE">
              <w:rPr>
                <w:rFonts w:ascii="Arial" w:hAnsi="Arial" w:cs="Arial"/>
                <w:sz w:val="18"/>
                <w:szCs w:val="18"/>
              </w:rPr>
              <w:t>bénéficiaires</w:t>
            </w:r>
            <w:r w:rsidRPr="007F78CE">
              <w:rPr>
                <w:rFonts w:ascii="Arial" w:hAnsi="Arial" w:cs="Arial"/>
                <w:sz w:val="18"/>
                <w:szCs w:val="18"/>
              </w:rPr>
              <w:t xml:space="preserve"> cibles (zones rurales)</w:t>
            </w:r>
          </w:p>
        </w:tc>
      </w:tr>
      <w:tr w:rsidR="00512FF5" w:rsidRPr="007F78CE" w14:paraId="71C9A8A9" w14:textId="77777777" w:rsidTr="007F78CE">
        <w:tc>
          <w:tcPr>
            <w:tcW w:w="1790" w:type="pct"/>
            <w:vMerge/>
            <w:shd w:val="clear" w:color="auto" w:fill="auto"/>
          </w:tcPr>
          <w:p w14:paraId="287CC120" w14:textId="77777777" w:rsidR="00512FF5" w:rsidRPr="007F78CE" w:rsidRDefault="00512FF5" w:rsidP="007F78CE">
            <w:pPr>
              <w:spacing w:after="0" w:line="240" w:lineRule="auto"/>
              <w:rPr>
                <w:rFonts w:ascii="Arial" w:hAnsi="Arial" w:cs="Arial"/>
                <w:b/>
                <w:bCs/>
                <w:sz w:val="18"/>
                <w:szCs w:val="18"/>
              </w:rPr>
            </w:pPr>
          </w:p>
        </w:tc>
        <w:tc>
          <w:tcPr>
            <w:tcW w:w="3210" w:type="pct"/>
            <w:shd w:val="clear" w:color="auto" w:fill="auto"/>
          </w:tcPr>
          <w:p w14:paraId="5509BDF8"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Suivi des bâtiments publics cibles et des mini-grids isolés</w:t>
            </w:r>
          </w:p>
        </w:tc>
      </w:tr>
      <w:tr w:rsidR="0063584D" w:rsidRPr="007F78CE" w14:paraId="1C651CAE" w14:textId="77777777" w:rsidTr="007F78CE">
        <w:tc>
          <w:tcPr>
            <w:tcW w:w="1790" w:type="pct"/>
            <w:vMerge w:val="restart"/>
            <w:tcBorders>
              <w:top w:val="single" w:sz="8" w:space="0" w:color="4F81BD"/>
              <w:left w:val="single" w:sz="8" w:space="0" w:color="4F81BD"/>
              <w:bottom w:val="single" w:sz="8" w:space="0" w:color="4F81BD"/>
            </w:tcBorders>
            <w:shd w:val="clear" w:color="auto" w:fill="auto"/>
          </w:tcPr>
          <w:p w14:paraId="605845DE" w14:textId="77777777" w:rsidR="00512FF5" w:rsidRPr="007F78CE" w:rsidRDefault="00512FF5" w:rsidP="007F78CE">
            <w:pPr>
              <w:spacing w:after="0" w:line="240" w:lineRule="auto"/>
              <w:rPr>
                <w:rFonts w:ascii="Arial" w:hAnsi="Arial" w:cs="Arial"/>
                <w:b/>
                <w:bCs/>
                <w:sz w:val="18"/>
                <w:szCs w:val="18"/>
              </w:rPr>
            </w:pPr>
          </w:p>
          <w:p w14:paraId="357D33D6" w14:textId="77777777" w:rsidR="00512FF5" w:rsidRPr="007F78CE" w:rsidRDefault="00512FF5" w:rsidP="007F78CE">
            <w:pPr>
              <w:spacing w:after="0" w:line="240" w:lineRule="auto"/>
              <w:rPr>
                <w:rFonts w:ascii="Arial" w:hAnsi="Arial" w:cs="Arial"/>
                <w:b/>
                <w:bCs/>
                <w:sz w:val="18"/>
                <w:szCs w:val="18"/>
              </w:rPr>
            </w:pPr>
            <w:r w:rsidRPr="007F78CE">
              <w:rPr>
                <w:rFonts w:ascii="Arial" w:hAnsi="Arial" w:cs="Arial"/>
                <w:b/>
                <w:bCs/>
                <w:sz w:val="18"/>
                <w:szCs w:val="18"/>
              </w:rPr>
              <w:t>STD (autres que DIREH et DIRNDPT)</w:t>
            </w:r>
          </w:p>
        </w:tc>
        <w:tc>
          <w:tcPr>
            <w:tcW w:w="3210" w:type="pct"/>
            <w:tcBorders>
              <w:top w:val="single" w:sz="8" w:space="0" w:color="4F81BD"/>
              <w:bottom w:val="single" w:sz="8" w:space="0" w:color="4F81BD"/>
              <w:right w:val="single" w:sz="8" w:space="0" w:color="4F81BD"/>
            </w:tcBorders>
            <w:shd w:val="clear" w:color="auto" w:fill="auto"/>
          </w:tcPr>
          <w:p w14:paraId="1F3A5895"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Maintenance et entretien des équipements et matériels dans les zones éloignées des routes principales</w:t>
            </w:r>
          </w:p>
        </w:tc>
      </w:tr>
      <w:tr w:rsidR="00512FF5" w:rsidRPr="007F78CE" w14:paraId="3C41E060" w14:textId="77777777" w:rsidTr="007F78CE">
        <w:tc>
          <w:tcPr>
            <w:tcW w:w="1790" w:type="pct"/>
            <w:vMerge/>
            <w:shd w:val="clear" w:color="auto" w:fill="auto"/>
          </w:tcPr>
          <w:p w14:paraId="6E09FCCD" w14:textId="77777777" w:rsidR="00512FF5" w:rsidRPr="007F78CE" w:rsidRDefault="00512FF5" w:rsidP="007F78CE">
            <w:pPr>
              <w:spacing w:after="0" w:line="240" w:lineRule="auto"/>
              <w:rPr>
                <w:rFonts w:ascii="Arial" w:hAnsi="Arial" w:cs="Arial"/>
                <w:b/>
                <w:bCs/>
                <w:sz w:val="18"/>
                <w:szCs w:val="18"/>
              </w:rPr>
            </w:pPr>
          </w:p>
        </w:tc>
        <w:tc>
          <w:tcPr>
            <w:tcW w:w="3210" w:type="pct"/>
            <w:shd w:val="clear" w:color="auto" w:fill="auto"/>
          </w:tcPr>
          <w:p w14:paraId="10342A27"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Mise en œuvre effective des sous-projets</w:t>
            </w:r>
          </w:p>
        </w:tc>
      </w:tr>
      <w:tr w:rsidR="0063584D" w:rsidRPr="007F78CE" w14:paraId="5FA47A83" w14:textId="77777777" w:rsidTr="007F78CE">
        <w:tc>
          <w:tcPr>
            <w:tcW w:w="1790" w:type="pct"/>
            <w:vMerge/>
            <w:tcBorders>
              <w:top w:val="single" w:sz="8" w:space="0" w:color="4F81BD"/>
              <w:left w:val="single" w:sz="8" w:space="0" w:color="4F81BD"/>
              <w:bottom w:val="single" w:sz="8" w:space="0" w:color="4F81BD"/>
            </w:tcBorders>
            <w:shd w:val="clear" w:color="auto" w:fill="auto"/>
          </w:tcPr>
          <w:p w14:paraId="4649A448" w14:textId="77777777" w:rsidR="00512FF5" w:rsidRPr="007F78CE" w:rsidRDefault="00512FF5" w:rsidP="007F78CE">
            <w:pPr>
              <w:spacing w:after="0" w:line="240" w:lineRule="auto"/>
              <w:rPr>
                <w:rFonts w:ascii="Arial" w:hAnsi="Arial" w:cs="Arial"/>
                <w:b/>
                <w:bCs/>
                <w:sz w:val="18"/>
                <w:szCs w:val="18"/>
              </w:rPr>
            </w:pPr>
          </w:p>
        </w:tc>
        <w:tc>
          <w:tcPr>
            <w:tcW w:w="3210" w:type="pct"/>
            <w:tcBorders>
              <w:top w:val="single" w:sz="8" w:space="0" w:color="4F81BD"/>
              <w:bottom w:val="single" w:sz="8" w:space="0" w:color="4F81BD"/>
              <w:right w:val="single" w:sz="8" w:space="0" w:color="4F81BD"/>
            </w:tcBorders>
            <w:shd w:val="clear" w:color="auto" w:fill="auto"/>
          </w:tcPr>
          <w:p w14:paraId="12303D18"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Application effective des r</w:t>
            </w:r>
            <w:r w:rsidR="00474262">
              <w:rPr>
                <w:rFonts w:ascii="Arial" w:hAnsi="Arial" w:cs="Arial"/>
                <w:sz w:val="18"/>
                <w:szCs w:val="18"/>
              </w:rPr>
              <w:t>é</w:t>
            </w:r>
            <w:r w:rsidRPr="007F78CE">
              <w:rPr>
                <w:rFonts w:ascii="Arial" w:hAnsi="Arial" w:cs="Arial"/>
                <w:sz w:val="18"/>
                <w:szCs w:val="18"/>
              </w:rPr>
              <w:t>formes légales effectuées</w:t>
            </w:r>
          </w:p>
        </w:tc>
      </w:tr>
      <w:tr w:rsidR="00512FF5" w:rsidRPr="007F78CE" w14:paraId="0A52D3FA" w14:textId="77777777" w:rsidTr="007F78CE">
        <w:tc>
          <w:tcPr>
            <w:tcW w:w="1790" w:type="pct"/>
            <w:vMerge/>
            <w:shd w:val="clear" w:color="auto" w:fill="auto"/>
          </w:tcPr>
          <w:p w14:paraId="43FCE7A7" w14:textId="77777777" w:rsidR="00512FF5" w:rsidRPr="007F78CE" w:rsidRDefault="00512FF5" w:rsidP="007F78CE">
            <w:pPr>
              <w:spacing w:after="0" w:line="240" w:lineRule="auto"/>
              <w:rPr>
                <w:rFonts w:ascii="Arial" w:hAnsi="Arial" w:cs="Arial"/>
                <w:b/>
                <w:bCs/>
                <w:sz w:val="18"/>
                <w:szCs w:val="18"/>
              </w:rPr>
            </w:pPr>
          </w:p>
        </w:tc>
        <w:tc>
          <w:tcPr>
            <w:tcW w:w="3210" w:type="pct"/>
            <w:shd w:val="clear" w:color="auto" w:fill="auto"/>
          </w:tcPr>
          <w:p w14:paraId="584FD95E"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 xml:space="preserve">Garantie de l’accès à l’électricité et à la connexion numérique pour tous par le projet (inclusion effective) </w:t>
            </w:r>
          </w:p>
        </w:tc>
      </w:tr>
      <w:tr w:rsidR="0063584D" w:rsidRPr="007F78CE" w14:paraId="7FD66517" w14:textId="77777777" w:rsidTr="007F78CE">
        <w:tc>
          <w:tcPr>
            <w:tcW w:w="1790" w:type="pct"/>
            <w:vMerge/>
            <w:tcBorders>
              <w:top w:val="single" w:sz="8" w:space="0" w:color="4F81BD"/>
              <w:left w:val="single" w:sz="8" w:space="0" w:color="4F81BD"/>
              <w:bottom w:val="single" w:sz="8" w:space="0" w:color="4F81BD"/>
            </w:tcBorders>
            <w:shd w:val="clear" w:color="auto" w:fill="auto"/>
          </w:tcPr>
          <w:p w14:paraId="269AD5B8" w14:textId="77777777" w:rsidR="00512FF5" w:rsidRPr="007F78CE" w:rsidRDefault="00512FF5" w:rsidP="007F78CE">
            <w:pPr>
              <w:spacing w:after="0" w:line="240" w:lineRule="auto"/>
              <w:rPr>
                <w:rFonts w:ascii="Arial" w:hAnsi="Arial" w:cs="Arial"/>
                <w:b/>
                <w:bCs/>
                <w:sz w:val="18"/>
                <w:szCs w:val="18"/>
              </w:rPr>
            </w:pPr>
          </w:p>
        </w:tc>
        <w:tc>
          <w:tcPr>
            <w:tcW w:w="3210" w:type="pct"/>
            <w:tcBorders>
              <w:top w:val="single" w:sz="8" w:space="0" w:color="4F81BD"/>
              <w:bottom w:val="single" w:sz="8" w:space="0" w:color="4F81BD"/>
              <w:right w:val="single" w:sz="8" w:space="0" w:color="4F81BD"/>
            </w:tcBorders>
            <w:shd w:val="clear" w:color="auto" w:fill="auto"/>
          </w:tcPr>
          <w:p w14:paraId="1D05BAA7"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 xml:space="preserve">Opposition de l’installation des tours cellulaires par une frange de la population </w:t>
            </w:r>
          </w:p>
        </w:tc>
      </w:tr>
      <w:tr w:rsidR="00512FF5" w:rsidRPr="007F78CE" w14:paraId="099FD3B8" w14:textId="77777777" w:rsidTr="007F78CE">
        <w:tc>
          <w:tcPr>
            <w:tcW w:w="1790" w:type="pct"/>
            <w:vMerge/>
            <w:shd w:val="clear" w:color="auto" w:fill="auto"/>
          </w:tcPr>
          <w:p w14:paraId="5EF12E0C" w14:textId="77777777" w:rsidR="00512FF5" w:rsidRPr="007F78CE" w:rsidRDefault="00512FF5" w:rsidP="007F78CE">
            <w:pPr>
              <w:spacing w:after="0" w:line="240" w:lineRule="auto"/>
              <w:rPr>
                <w:rFonts w:ascii="Arial" w:hAnsi="Arial" w:cs="Arial"/>
                <w:b/>
                <w:bCs/>
                <w:sz w:val="18"/>
                <w:szCs w:val="18"/>
              </w:rPr>
            </w:pPr>
          </w:p>
        </w:tc>
        <w:tc>
          <w:tcPr>
            <w:tcW w:w="3210" w:type="pct"/>
            <w:shd w:val="clear" w:color="auto" w:fill="auto"/>
          </w:tcPr>
          <w:p w14:paraId="65806497"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Augmentation des cas de violences (notamment la VBG)</w:t>
            </w:r>
          </w:p>
        </w:tc>
      </w:tr>
      <w:tr w:rsidR="0063584D" w:rsidRPr="007F78CE" w14:paraId="717652A9" w14:textId="77777777" w:rsidTr="007F78CE">
        <w:tc>
          <w:tcPr>
            <w:tcW w:w="1790" w:type="pct"/>
            <w:vMerge/>
            <w:tcBorders>
              <w:top w:val="single" w:sz="8" w:space="0" w:color="4F81BD"/>
              <w:left w:val="single" w:sz="8" w:space="0" w:color="4F81BD"/>
              <w:bottom w:val="single" w:sz="8" w:space="0" w:color="4F81BD"/>
            </w:tcBorders>
            <w:shd w:val="clear" w:color="auto" w:fill="auto"/>
          </w:tcPr>
          <w:p w14:paraId="5389EBAC" w14:textId="77777777" w:rsidR="00512FF5" w:rsidRPr="007F78CE" w:rsidRDefault="00512FF5" w:rsidP="007F78CE">
            <w:pPr>
              <w:spacing w:after="0" w:line="240" w:lineRule="auto"/>
              <w:rPr>
                <w:rFonts w:ascii="Arial" w:hAnsi="Arial" w:cs="Arial"/>
                <w:b/>
                <w:bCs/>
                <w:sz w:val="18"/>
                <w:szCs w:val="18"/>
              </w:rPr>
            </w:pPr>
          </w:p>
        </w:tc>
        <w:tc>
          <w:tcPr>
            <w:tcW w:w="3210" w:type="pct"/>
            <w:tcBorders>
              <w:top w:val="single" w:sz="8" w:space="0" w:color="4F81BD"/>
              <w:bottom w:val="single" w:sz="8" w:space="0" w:color="4F81BD"/>
              <w:right w:val="single" w:sz="8" w:space="0" w:color="4F81BD"/>
            </w:tcBorders>
            <w:shd w:val="clear" w:color="auto" w:fill="auto"/>
          </w:tcPr>
          <w:p w14:paraId="6D22F74E"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Inexistence de filtre du contenu selon l’âge des utilisateurs de réseaux sociaux</w:t>
            </w:r>
          </w:p>
        </w:tc>
      </w:tr>
      <w:tr w:rsidR="00512FF5" w:rsidRPr="007F78CE" w14:paraId="53906BBD" w14:textId="77777777" w:rsidTr="007F78CE">
        <w:tc>
          <w:tcPr>
            <w:tcW w:w="1790" w:type="pct"/>
            <w:vMerge/>
            <w:shd w:val="clear" w:color="auto" w:fill="auto"/>
          </w:tcPr>
          <w:p w14:paraId="634E09D0" w14:textId="77777777" w:rsidR="00512FF5" w:rsidRPr="007F78CE" w:rsidRDefault="00512FF5" w:rsidP="007F78CE">
            <w:pPr>
              <w:spacing w:after="0" w:line="240" w:lineRule="auto"/>
              <w:rPr>
                <w:rFonts w:ascii="Arial" w:hAnsi="Arial" w:cs="Arial"/>
                <w:b/>
                <w:bCs/>
                <w:sz w:val="18"/>
                <w:szCs w:val="18"/>
              </w:rPr>
            </w:pPr>
          </w:p>
        </w:tc>
        <w:tc>
          <w:tcPr>
            <w:tcW w:w="3210" w:type="pct"/>
            <w:shd w:val="clear" w:color="auto" w:fill="auto"/>
          </w:tcPr>
          <w:p w14:paraId="43DB6A79"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Affectation du terrain des sites d’implantation des infrastructures</w:t>
            </w:r>
          </w:p>
        </w:tc>
      </w:tr>
      <w:tr w:rsidR="0063584D" w:rsidRPr="007F78CE" w14:paraId="7E938FB7" w14:textId="77777777" w:rsidTr="007F78CE">
        <w:tc>
          <w:tcPr>
            <w:tcW w:w="1790" w:type="pct"/>
            <w:vMerge/>
            <w:tcBorders>
              <w:top w:val="single" w:sz="8" w:space="0" w:color="4F81BD"/>
              <w:left w:val="single" w:sz="8" w:space="0" w:color="4F81BD"/>
              <w:bottom w:val="single" w:sz="8" w:space="0" w:color="4F81BD"/>
            </w:tcBorders>
            <w:shd w:val="clear" w:color="auto" w:fill="auto"/>
          </w:tcPr>
          <w:p w14:paraId="66820BF2" w14:textId="77777777" w:rsidR="00512FF5" w:rsidRPr="007F78CE" w:rsidRDefault="00512FF5" w:rsidP="007F78CE">
            <w:pPr>
              <w:spacing w:after="0" w:line="240" w:lineRule="auto"/>
              <w:rPr>
                <w:rFonts w:ascii="Arial" w:hAnsi="Arial" w:cs="Arial"/>
                <w:b/>
                <w:bCs/>
                <w:sz w:val="18"/>
                <w:szCs w:val="18"/>
              </w:rPr>
            </w:pPr>
          </w:p>
        </w:tc>
        <w:tc>
          <w:tcPr>
            <w:tcW w:w="3210" w:type="pct"/>
            <w:tcBorders>
              <w:top w:val="single" w:sz="8" w:space="0" w:color="4F81BD"/>
              <w:bottom w:val="single" w:sz="8" w:space="0" w:color="4F81BD"/>
              <w:right w:val="single" w:sz="8" w:space="0" w:color="4F81BD"/>
            </w:tcBorders>
            <w:shd w:val="clear" w:color="auto" w:fill="auto"/>
          </w:tcPr>
          <w:p w14:paraId="26113E66"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Suivi du fonctionnement dans les bâtiments publics non gérés par les deux ministères de tutelles</w:t>
            </w:r>
          </w:p>
        </w:tc>
      </w:tr>
      <w:tr w:rsidR="00512FF5" w:rsidRPr="007F78CE" w14:paraId="479DEBC2" w14:textId="77777777" w:rsidTr="007F78CE">
        <w:tc>
          <w:tcPr>
            <w:tcW w:w="1790" w:type="pct"/>
            <w:vMerge/>
            <w:shd w:val="clear" w:color="auto" w:fill="auto"/>
          </w:tcPr>
          <w:p w14:paraId="7DFD5650" w14:textId="77777777" w:rsidR="00512FF5" w:rsidRPr="007F78CE" w:rsidRDefault="00512FF5" w:rsidP="007F78CE">
            <w:pPr>
              <w:spacing w:after="0" w:line="240" w:lineRule="auto"/>
              <w:rPr>
                <w:rFonts w:ascii="Arial" w:hAnsi="Arial" w:cs="Arial"/>
                <w:b/>
                <w:bCs/>
                <w:sz w:val="18"/>
                <w:szCs w:val="18"/>
              </w:rPr>
            </w:pPr>
          </w:p>
        </w:tc>
        <w:tc>
          <w:tcPr>
            <w:tcW w:w="3210" w:type="pct"/>
            <w:shd w:val="clear" w:color="auto" w:fill="auto"/>
          </w:tcPr>
          <w:p w14:paraId="7AE53E8F"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Durabilité, entretien et maintena</w:t>
            </w:r>
            <w:r w:rsidR="003B02C7" w:rsidRPr="007F78CE">
              <w:rPr>
                <w:rFonts w:ascii="Arial" w:hAnsi="Arial" w:cs="Arial"/>
                <w:sz w:val="18"/>
                <w:szCs w:val="18"/>
              </w:rPr>
              <w:t>n</w:t>
            </w:r>
            <w:r w:rsidRPr="007F78CE">
              <w:rPr>
                <w:rFonts w:ascii="Arial" w:hAnsi="Arial" w:cs="Arial"/>
                <w:sz w:val="18"/>
                <w:szCs w:val="18"/>
              </w:rPr>
              <w:t>ce des équipements et matériels</w:t>
            </w:r>
          </w:p>
        </w:tc>
      </w:tr>
      <w:tr w:rsidR="0063584D" w:rsidRPr="007F78CE" w14:paraId="3009CB8B" w14:textId="77777777" w:rsidTr="007F78CE">
        <w:tc>
          <w:tcPr>
            <w:tcW w:w="1790" w:type="pct"/>
            <w:vMerge/>
            <w:tcBorders>
              <w:top w:val="single" w:sz="8" w:space="0" w:color="4F81BD"/>
              <w:left w:val="single" w:sz="8" w:space="0" w:color="4F81BD"/>
              <w:bottom w:val="single" w:sz="8" w:space="0" w:color="4F81BD"/>
            </w:tcBorders>
            <w:shd w:val="clear" w:color="auto" w:fill="auto"/>
          </w:tcPr>
          <w:p w14:paraId="106A5C67" w14:textId="77777777" w:rsidR="00512FF5" w:rsidRPr="007F78CE" w:rsidRDefault="00512FF5" w:rsidP="007F78CE">
            <w:pPr>
              <w:spacing w:after="0" w:line="240" w:lineRule="auto"/>
              <w:rPr>
                <w:rFonts w:ascii="Arial" w:hAnsi="Arial" w:cs="Arial"/>
                <w:b/>
                <w:bCs/>
                <w:sz w:val="18"/>
                <w:szCs w:val="18"/>
              </w:rPr>
            </w:pPr>
          </w:p>
        </w:tc>
        <w:tc>
          <w:tcPr>
            <w:tcW w:w="3210" w:type="pct"/>
            <w:tcBorders>
              <w:top w:val="single" w:sz="8" w:space="0" w:color="4F81BD"/>
              <w:bottom w:val="single" w:sz="8" w:space="0" w:color="4F81BD"/>
              <w:right w:val="single" w:sz="8" w:space="0" w:color="4F81BD"/>
            </w:tcBorders>
            <w:shd w:val="clear" w:color="auto" w:fill="auto"/>
          </w:tcPr>
          <w:p w14:paraId="5B67969C"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Coût de l’électricité non supporté par les CBB et les écoles publiques</w:t>
            </w:r>
          </w:p>
        </w:tc>
      </w:tr>
      <w:tr w:rsidR="00512FF5" w:rsidRPr="007F78CE" w14:paraId="5C34C1AA" w14:textId="77777777" w:rsidTr="007F78CE">
        <w:tc>
          <w:tcPr>
            <w:tcW w:w="1790" w:type="pct"/>
            <w:vMerge/>
            <w:shd w:val="clear" w:color="auto" w:fill="auto"/>
          </w:tcPr>
          <w:p w14:paraId="02D26A6B" w14:textId="77777777" w:rsidR="00512FF5" w:rsidRPr="007F78CE" w:rsidRDefault="00512FF5" w:rsidP="007F78CE">
            <w:pPr>
              <w:spacing w:after="0" w:line="240" w:lineRule="auto"/>
              <w:rPr>
                <w:rFonts w:ascii="Arial" w:hAnsi="Arial" w:cs="Arial"/>
                <w:b/>
                <w:bCs/>
                <w:sz w:val="18"/>
                <w:szCs w:val="18"/>
              </w:rPr>
            </w:pPr>
          </w:p>
        </w:tc>
        <w:tc>
          <w:tcPr>
            <w:tcW w:w="3210" w:type="pct"/>
            <w:shd w:val="clear" w:color="auto" w:fill="auto"/>
          </w:tcPr>
          <w:p w14:paraId="5D4932F5"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Pollution générée par les nouvelles infrastructures</w:t>
            </w:r>
          </w:p>
        </w:tc>
      </w:tr>
      <w:tr w:rsidR="0063584D" w:rsidRPr="007F78CE" w14:paraId="5FC720C7" w14:textId="77777777" w:rsidTr="007F78CE">
        <w:tc>
          <w:tcPr>
            <w:tcW w:w="1790" w:type="pct"/>
            <w:vMerge/>
            <w:tcBorders>
              <w:top w:val="single" w:sz="8" w:space="0" w:color="4F81BD"/>
              <w:left w:val="single" w:sz="8" w:space="0" w:color="4F81BD"/>
              <w:bottom w:val="single" w:sz="8" w:space="0" w:color="4F81BD"/>
            </w:tcBorders>
            <w:shd w:val="clear" w:color="auto" w:fill="auto"/>
          </w:tcPr>
          <w:p w14:paraId="6EF66D5F" w14:textId="77777777" w:rsidR="00512FF5" w:rsidRPr="007F78CE" w:rsidRDefault="00512FF5" w:rsidP="007F78CE">
            <w:pPr>
              <w:spacing w:after="0" w:line="240" w:lineRule="auto"/>
              <w:rPr>
                <w:rFonts w:ascii="Arial" w:hAnsi="Arial" w:cs="Arial"/>
                <w:b/>
                <w:bCs/>
                <w:sz w:val="18"/>
                <w:szCs w:val="18"/>
              </w:rPr>
            </w:pPr>
          </w:p>
        </w:tc>
        <w:tc>
          <w:tcPr>
            <w:tcW w:w="3210" w:type="pct"/>
            <w:tcBorders>
              <w:top w:val="single" w:sz="8" w:space="0" w:color="4F81BD"/>
              <w:bottom w:val="single" w:sz="8" w:space="0" w:color="4F81BD"/>
              <w:right w:val="single" w:sz="8" w:space="0" w:color="4F81BD"/>
            </w:tcBorders>
            <w:shd w:val="clear" w:color="auto" w:fill="auto"/>
          </w:tcPr>
          <w:p w14:paraId="7ECED4D0"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Insécurité</w:t>
            </w:r>
          </w:p>
        </w:tc>
      </w:tr>
      <w:tr w:rsidR="00512FF5" w:rsidRPr="007F78CE" w14:paraId="3B960BEB" w14:textId="77777777" w:rsidTr="007F78CE">
        <w:tc>
          <w:tcPr>
            <w:tcW w:w="1790" w:type="pct"/>
            <w:vMerge/>
            <w:shd w:val="clear" w:color="auto" w:fill="auto"/>
          </w:tcPr>
          <w:p w14:paraId="75415DD0" w14:textId="77777777" w:rsidR="00512FF5" w:rsidRPr="007F78CE" w:rsidRDefault="00512FF5" w:rsidP="007F78CE">
            <w:pPr>
              <w:spacing w:after="0" w:line="240" w:lineRule="auto"/>
              <w:rPr>
                <w:rFonts w:ascii="Arial" w:hAnsi="Arial" w:cs="Arial"/>
                <w:b/>
                <w:bCs/>
                <w:sz w:val="18"/>
                <w:szCs w:val="18"/>
              </w:rPr>
            </w:pPr>
          </w:p>
        </w:tc>
        <w:tc>
          <w:tcPr>
            <w:tcW w:w="3210" w:type="pct"/>
            <w:shd w:val="clear" w:color="auto" w:fill="auto"/>
          </w:tcPr>
          <w:p w14:paraId="67B8E780"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Impact négatif des ondes sur la santé de la population</w:t>
            </w:r>
          </w:p>
        </w:tc>
      </w:tr>
      <w:tr w:rsidR="0063584D" w:rsidRPr="007F78CE" w14:paraId="04B2B6D0" w14:textId="77777777" w:rsidTr="007F78CE">
        <w:tc>
          <w:tcPr>
            <w:tcW w:w="1790" w:type="pct"/>
            <w:vMerge/>
            <w:tcBorders>
              <w:top w:val="single" w:sz="8" w:space="0" w:color="4F81BD"/>
              <w:left w:val="single" w:sz="8" w:space="0" w:color="4F81BD"/>
              <w:bottom w:val="single" w:sz="8" w:space="0" w:color="4F81BD"/>
            </w:tcBorders>
            <w:shd w:val="clear" w:color="auto" w:fill="auto"/>
          </w:tcPr>
          <w:p w14:paraId="0653F7DD" w14:textId="77777777" w:rsidR="00512FF5" w:rsidRPr="007F78CE" w:rsidRDefault="00512FF5" w:rsidP="007F78CE">
            <w:pPr>
              <w:spacing w:after="0" w:line="240" w:lineRule="auto"/>
              <w:rPr>
                <w:rFonts w:ascii="Arial" w:hAnsi="Arial" w:cs="Arial"/>
                <w:b/>
                <w:bCs/>
                <w:sz w:val="18"/>
                <w:szCs w:val="18"/>
              </w:rPr>
            </w:pPr>
          </w:p>
        </w:tc>
        <w:tc>
          <w:tcPr>
            <w:tcW w:w="3210" w:type="pct"/>
            <w:tcBorders>
              <w:top w:val="single" w:sz="8" w:space="0" w:color="4F81BD"/>
              <w:bottom w:val="single" w:sz="8" w:space="0" w:color="4F81BD"/>
              <w:right w:val="single" w:sz="8" w:space="0" w:color="4F81BD"/>
            </w:tcBorders>
            <w:shd w:val="clear" w:color="auto" w:fill="auto"/>
          </w:tcPr>
          <w:p w14:paraId="5E588352"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Manque de sensibilisation pour les populations locales</w:t>
            </w:r>
          </w:p>
        </w:tc>
      </w:tr>
      <w:tr w:rsidR="00512FF5" w:rsidRPr="007F78CE" w14:paraId="45F7AE67" w14:textId="77777777" w:rsidTr="007F78CE">
        <w:tc>
          <w:tcPr>
            <w:tcW w:w="1790" w:type="pct"/>
            <w:vMerge/>
            <w:shd w:val="clear" w:color="auto" w:fill="auto"/>
          </w:tcPr>
          <w:p w14:paraId="571BEAC1" w14:textId="77777777" w:rsidR="00512FF5" w:rsidRPr="007F78CE" w:rsidRDefault="00512FF5" w:rsidP="007F78CE">
            <w:pPr>
              <w:spacing w:after="0" w:line="240" w:lineRule="auto"/>
              <w:rPr>
                <w:rFonts w:ascii="Arial" w:hAnsi="Arial" w:cs="Arial"/>
                <w:b/>
                <w:bCs/>
                <w:sz w:val="18"/>
                <w:szCs w:val="18"/>
              </w:rPr>
            </w:pPr>
          </w:p>
        </w:tc>
        <w:tc>
          <w:tcPr>
            <w:tcW w:w="3210" w:type="pct"/>
            <w:shd w:val="clear" w:color="auto" w:fill="auto"/>
          </w:tcPr>
          <w:p w14:paraId="6509D9DC"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Intérêt des politiciens au détriment des intérêts publics</w:t>
            </w:r>
          </w:p>
        </w:tc>
      </w:tr>
      <w:tr w:rsidR="0063584D" w:rsidRPr="007F78CE" w14:paraId="156CCA18" w14:textId="77777777" w:rsidTr="007F78CE">
        <w:tc>
          <w:tcPr>
            <w:tcW w:w="1790" w:type="pct"/>
            <w:vMerge/>
            <w:tcBorders>
              <w:top w:val="single" w:sz="8" w:space="0" w:color="4F81BD"/>
              <w:left w:val="single" w:sz="8" w:space="0" w:color="4F81BD"/>
              <w:bottom w:val="single" w:sz="8" w:space="0" w:color="4F81BD"/>
            </w:tcBorders>
            <w:shd w:val="clear" w:color="auto" w:fill="auto"/>
          </w:tcPr>
          <w:p w14:paraId="49EA8B52" w14:textId="77777777" w:rsidR="00512FF5" w:rsidRPr="007F78CE" w:rsidRDefault="00512FF5" w:rsidP="007F78CE">
            <w:pPr>
              <w:spacing w:after="0" w:line="240" w:lineRule="auto"/>
              <w:rPr>
                <w:rFonts w:ascii="Arial" w:hAnsi="Arial" w:cs="Arial"/>
                <w:b/>
                <w:bCs/>
                <w:sz w:val="18"/>
                <w:szCs w:val="18"/>
              </w:rPr>
            </w:pPr>
          </w:p>
        </w:tc>
        <w:tc>
          <w:tcPr>
            <w:tcW w:w="3210" w:type="pct"/>
            <w:tcBorders>
              <w:top w:val="single" w:sz="8" w:space="0" w:color="4F81BD"/>
              <w:bottom w:val="single" w:sz="8" w:space="0" w:color="4F81BD"/>
              <w:right w:val="single" w:sz="8" w:space="0" w:color="4F81BD"/>
            </w:tcBorders>
            <w:shd w:val="clear" w:color="auto" w:fill="auto"/>
          </w:tcPr>
          <w:p w14:paraId="45EFA3D4"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Critères de sélection des établissements publics connectés</w:t>
            </w:r>
          </w:p>
        </w:tc>
      </w:tr>
      <w:tr w:rsidR="00512FF5" w:rsidRPr="007F78CE" w14:paraId="4A14510B" w14:textId="77777777" w:rsidTr="007F78CE">
        <w:tc>
          <w:tcPr>
            <w:tcW w:w="1790" w:type="pct"/>
            <w:vMerge w:val="restart"/>
            <w:shd w:val="clear" w:color="auto" w:fill="auto"/>
          </w:tcPr>
          <w:p w14:paraId="0991B88A" w14:textId="77777777" w:rsidR="00512FF5" w:rsidRPr="007F78CE" w:rsidRDefault="00512FF5" w:rsidP="007F78CE">
            <w:pPr>
              <w:spacing w:after="0" w:line="240" w:lineRule="auto"/>
              <w:rPr>
                <w:rFonts w:ascii="Arial" w:hAnsi="Arial" w:cs="Arial"/>
                <w:b/>
                <w:bCs/>
                <w:sz w:val="18"/>
                <w:szCs w:val="18"/>
              </w:rPr>
            </w:pPr>
            <w:r w:rsidRPr="007F78CE">
              <w:rPr>
                <w:rFonts w:ascii="Arial" w:hAnsi="Arial" w:cs="Arial"/>
                <w:b/>
                <w:bCs/>
                <w:sz w:val="18"/>
                <w:szCs w:val="18"/>
              </w:rPr>
              <w:t>Sécurité publique/ Brigade Féminine de Proximité</w:t>
            </w:r>
          </w:p>
        </w:tc>
        <w:tc>
          <w:tcPr>
            <w:tcW w:w="3210" w:type="pct"/>
            <w:shd w:val="clear" w:color="auto" w:fill="auto"/>
          </w:tcPr>
          <w:p w14:paraId="366133FD"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Changement de comportement effectif de la population dans les zones rurales</w:t>
            </w:r>
          </w:p>
        </w:tc>
      </w:tr>
      <w:tr w:rsidR="0063584D" w:rsidRPr="007F78CE" w14:paraId="54430262" w14:textId="77777777" w:rsidTr="007F78CE">
        <w:tc>
          <w:tcPr>
            <w:tcW w:w="1790" w:type="pct"/>
            <w:vMerge/>
            <w:tcBorders>
              <w:top w:val="single" w:sz="8" w:space="0" w:color="4F81BD"/>
              <w:left w:val="single" w:sz="8" w:space="0" w:color="4F81BD"/>
              <w:bottom w:val="single" w:sz="8" w:space="0" w:color="4F81BD"/>
            </w:tcBorders>
            <w:shd w:val="clear" w:color="auto" w:fill="auto"/>
          </w:tcPr>
          <w:p w14:paraId="0875EE90" w14:textId="77777777" w:rsidR="00512FF5" w:rsidRPr="007F78CE" w:rsidRDefault="00512FF5" w:rsidP="007F78CE">
            <w:pPr>
              <w:spacing w:after="0" w:line="240" w:lineRule="auto"/>
              <w:rPr>
                <w:rFonts w:ascii="Arial" w:hAnsi="Arial" w:cs="Arial"/>
                <w:b/>
                <w:bCs/>
                <w:sz w:val="18"/>
                <w:szCs w:val="18"/>
              </w:rPr>
            </w:pPr>
          </w:p>
        </w:tc>
        <w:tc>
          <w:tcPr>
            <w:tcW w:w="3210" w:type="pct"/>
            <w:tcBorders>
              <w:top w:val="single" w:sz="8" w:space="0" w:color="4F81BD"/>
              <w:bottom w:val="single" w:sz="8" w:space="0" w:color="4F81BD"/>
              <w:right w:val="single" w:sz="8" w:space="0" w:color="4F81BD"/>
            </w:tcBorders>
            <w:shd w:val="clear" w:color="auto" w:fill="auto"/>
          </w:tcPr>
          <w:p w14:paraId="2F4DBC71"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Impact négatif des réseaux sociaux</w:t>
            </w:r>
          </w:p>
        </w:tc>
      </w:tr>
      <w:tr w:rsidR="00512FF5" w:rsidRPr="007F78CE" w14:paraId="1D1961F9" w14:textId="77777777" w:rsidTr="007F78CE">
        <w:tc>
          <w:tcPr>
            <w:tcW w:w="1790" w:type="pct"/>
            <w:vMerge/>
            <w:shd w:val="clear" w:color="auto" w:fill="auto"/>
          </w:tcPr>
          <w:p w14:paraId="29BF4072" w14:textId="77777777" w:rsidR="00512FF5" w:rsidRPr="007F78CE" w:rsidRDefault="00512FF5" w:rsidP="007F78CE">
            <w:pPr>
              <w:spacing w:after="0" w:line="240" w:lineRule="auto"/>
              <w:rPr>
                <w:rFonts w:ascii="Arial" w:hAnsi="Arial" w:cs="Arial"/>
                <w:b/>
                <w:bCs/>
                <w:sz w:val="18"/>
                <w:szCs w:val="18"/>
              </w:rPr>
            </w:pPr>
          </w:p>
        </w:tc>
        <w:tc>
          <w:tcPr>
            <w:tcW w:w="3210" w:type="pct"/>
            <w:shd w:val="clear" w:color="auto" w:fill="auto"/>
          </w:tcPr>
          <w:p w14:paraId="29181CE6"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Insécurité dans les zones mal desservies</w:t>
            </w:r>
          </w:p>
        </w:tc>
      </w:tr>
      <w:tr w:rsidR="0063584D" w:rsidRPr="007F78CE" w14:paraId="00C647FA" w14:textId="77777777" w:rsidTr="007F78CE">
        <w:tc>
          <w:tcPr>
            <w:tcW w:w="1790" w:type="pct"/>
            <w:vMerge w:val="restart"/>
            <w:tcBorders>
              <w:top w:val="single" w:sz="8" w:space="0" w:color="4F81BD"/>
              <w:left w:val="single" w:sz="8" w:space="0" w:color="4F81BD"/>
              <w:bottom w:val="single" w:sz="8" w:space="0" w:color="4F81BD"/>
            </w:tcBorders>
            <w:shd w:val="clear" w:color="auto" w:fill="auto"/>
          </w:tcPr>
          <w:p w14:paraId="71D04CB2" w14:textId="77777777" w:rsidR="00512FF5" w:rsidRPr="007F78CE" w:rsidRDefault="00512FF5" w:rsidP="007F78CE">
            <w:pPr>
              <w:spacing w:after="0" w:line="240" w:lineRule="auto"/>
              <w:rPr>
                <w:rFonts w:ascii="Arial" w:hAnsi="Arial" w:cs="Arial"/>
                <w:b/>
                <w:bCs/>
                <w:sz w:val="18"/>
                <w:szCs w:val="18"/>
              </w:rPr>
            </w:pPr>
          </w:p>
          <w:p w14:paraId="5F1B2E31" w14:textId="77777777" w:rsidR="00512FF5" w:rsidRPr="007F78CE" w:rsidRDefault="00512FF5" w:rsidP="007F78CE">
            <w:pPr>
              <w:spacing w:after="0" w:line="240" w:lineRule="auto"/>
              <w:rPr>
                <w:rFonts w:ascii="Arial" w:hAnsi="Arial" w:cs="Arial"/>
                <w:b/>
                <w:bCs/>
                <w:sz w:val="18"/>
                <w:szCs w:val="18"/>
              </w:rPr>
            </w:pPr>
            <w:r w:rsidRPr="007F78CE">
              <w:rPr>
                <w:rFonts w:ascii="Arial" w:hAnsi="Arial" w:cs="Arial"/>
                <w:b/>
                <w:bCs/>
                <w:sz w:val="18"/>
                <w:szCs w:val="18"/>
              </w:rPr>
              <w:t>Associations/ONG/OSC</w:t>
            </w:r>
          </w:p>
        </w:tc>
        <w:tc>
          <w:tcPr>
            <w:tcW w:w="3210" w:type="pct"/>
            <w:tcBorders>
              <w:top w:val="single" w:sz="8" w:space="0" w:color="4F81BD"/>
              <w:bottom w:val="single" w:sz="8" w:space="0" w:color="4F81BD"/>
              <w:right w:val="single" w:sz="8" w:space="0" w:color="4F81BD"/>
            </w:tcBorders>
            <w:shd w:val="clear" w:color="auto" w:fill="auto"/>
          </w:tcPr>
          <w:p w14:paraId="30C7EC70" w14:textId="77777777" w:rsidR="00512FF5" w:rsidRPr="007F78CE" w:rsidRDefault="00512FF5" w:rsidP="00D017C2">
            <w:pPr>
              <w:spacing w:after="0" w:line="240" w:lineRule="auto"/>
              <w:rPr>
                <w:rFonts w:ascii="Arial" w:hAnsi="Arial" w:cs="Arial"/>
                <w:sz w:val="18"/>
                <w:szCs w:val="18"/>
              </w:rPr>
            </w:pPr>
            <w:r w:rsidRPr="007F78CE">
              <w:rPr>
                <w:rFonts w:ascii="Arial" w:hAnsi="Arial" w:cs="Arial"/>
                <w:sz w:val="18"/>
                <w:szCs w:val="18"/>
              </w:rPr>
              <w:t xml:space="preserve">Non considération des sociétés </w:t>
            </w:r>
            <w:r w:rsidR="00D017C2" w:rsidRPr="007F78CE">
              <w:rPr>
                <w:rFonts w:ascii="Arial" w:hAnsi="Arial" w:cs="Arial"/>
                <w:sz w:val="18"/>
                <w:szCs w:val="18"/>
              </w:rPr>
              <w:t>civi</w:t>
            </w:r>
            <w:r w:rsidR="00D017C2">
              <w:rPr>
                <w:rFonts w:ascii="Arial" w:hAnsi="Arial" w:cs="Arial"/>
                <w:sz w:val="18"/>
                <w:szCs w:val="18"/>
              </w:rPr>
              <w:t>l</w:t>
            </w:r>
            <w:r w:rsidR="00D017C2" w:rsidRPr="007F78CE">
              <w:rPr>
                <w:rFonts w:ascii="Arial" w:hAnsi="Arial" w:cs="Arial"/>
                <w:sz w:val="18"/>
                <w:szCs w:val="18"/>
              </w:rPr>
              <w:t xml:space="preserve">es </w:t>
            </w:r>
            <w:r w:rsidRPr="007F78CE">
              <w:rPr>
                <w:rFonts w:ascii="Arial" w:hAnsi="Arial" w:cs="Arial"/>
                <w:sz w:val="18"/>
                <w:szCs w:val="18"/>
              </w:rPr>
              <w:t>dans la mise en œuvre</w:t>
            </w:r>
          </w:p>
        </w:tc>
      </w:tr>
      <w:tr w:rsidR="00512FF5" w:rsidRPr="007F78CE" w14:paraId="30714AAB" w14:textId="77777777" w:rsidTr="007F78CE">
        <w:tc>
          <w:tcPr>
            <w:tcW w:w="1790" w:type="pct"/>
            <w:vMerge/>
            <w:shd w:val="clear" w:color="auto" w:fill="auto"/>
          </w:tcPr>
          <w:p w14:paraId="51C3F9A4" w14:textId="77777777" w:rsidR="00512FF5" w:rsidRPr="007F78CE" w:rsidRDefault="00512FF5" w:rsidP="007F78CE">
            <w:pPr>
              <w:spacing w:after="0" w:line="240" w:lineRule="auto"/>
              <w:rPr>
                <w:rFonts w:ascii="Arial" w:hAnsi="Arial" w:cs="Arial"/>
                <w:b/>
                <w:bCs/>
                <w:sz w:val="18"/>
                <w:szCs w:val="18"/>
              </w:rPr>
            </w:pPr>
          </w:p>
        </w:tc>
        <w:tc>
          <w:tcPr>
            <w:tcW w:w="3210" w:type="pct"/>
            <w:shd w:val="clear" w:color="auto" w:fill="auto"/>
          </w:tcPr>
          <w:p w14:paraId="664CEEC8"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Précipitation pour avoir des résultats sans tenir compte des besoins de la population</w:t>
            </w:r>
          </w:p>
        </w:tc>
      </w:tr>
      <w:tr w:rsidR="0063584D" w:rsidRPr="007F78CE" w14:paraId="5D58F3F6" w14:textId="77777777" w:rsidTr="007F78CE">
        <w:tc>
          <w:tcPr>
            <w:tcW w:w="1790" w:type="pct"/>
            <w:vMerge/>
            <w:tcBorders>
              <w:top w:val="single" w:sz="8" w:space="0" w:color="4F81BD"/>
              <w:left w:val="single" w:sz="8" w:space="0" w:color="4F81BD"/>
              <w:bottom w:val="single" w:sz="8" w:space="0" w:color="4F81BD"/>
            </w:tcBorders>
            <w:shd w:val="clear" w:color="auto" w:fill="auto"/>
          </w:tcPr>
          <w:p w14:paraId="054A5E10" w14:textId="77777777" w:rsidR="00512FF5" w:rsidRPr="007F78CE" w:rsidRDefault="00512FF5" w:rsidP="007F78CE">
            <w:pPr>
              <w:spacing w:after="0" w:line="240" w:lineRule="auto"/>
              <w:rPr>
                <w:rFonts w:ascii="Arial" w:hAnsi="Arial" w:cs="Arial"/>
                <w:b/>
                <w:bCs/>
                <w:sz w:val="18"/>
                <w:szCs w:val="18"/>
              </w:rPr>
            </w:pPr>
          </w:p>
        </w:tc>
        <w:tc>
          <w:tcPr>
            <w:tcW w:w="3210" w:type="pct"/>
            <w:tcBorders>
              <w:top w:val="single" w:sz="8" w:space="0" w:color="4F81BD"/>
              <w:bottom w:val="single" w:sz="8" w:space="0" w:color="4F81BD"/>
              <w:right w:val="single" w:sz="8" w:space="0" w:color="4F81BD"/>
            </w:tcBorders>
            <w:shd w:val="clear" w:color="auto" w:fill="auto"/>
          </w:tcPr>
          <w:p w14:paraId="11073A6C"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Utilisation de l’internet vers la dégradation morale des jeunes</w:t>
            </w:r>
          </w:p>
        </w:tc>
      </w:tr>
      <w:tr w:rsidR="00512FF5" w:rsidRPr="007F78CE" w14:paraId="411F1121" w14:textId="77777777" w:rsidTr="007F78CE">
        <w:tc>
          <w:tcPr>
            <w:tcW w:w="1790" w:type="pct"/>
            <w:vMerge/>
            <w:shd w:val="clear" w:color="auto" w:fill="auto"/>
          </w:tcPr>
          <w:p w14:paraId="3893FD15" w14:textId="77777777" w:rsidR="00512FF5" w:rsidRPr="007F78CE" w:rsidRDefault="00512FF5" w:rsidP="007F78CE">
            <w:pPr>
              <w:spacing w:after="0" w:line="240" w:lineRule="auto"/>
              <w:rPr>
                <w:rFonts w:ascii="Arial" w:hAnsi="Arial" w:cs="Arial"/>
                <w:b/>
                <w:bCs/>
                <w:sz w:val="18"/>
                <w:szCs w:val="18"/>
              </w:rPr>
            </w:pPr>
          </w:p>
        </w:tc>
        <w:tc>
          <w:tcPr>
            <w:tcW w:w="3210" w:type="pct"/>
            <w:shd w:val="clear" w:color="auto" w:fill="auto"/>
          </w:tcPr>
          <w:p w14:paraId="2060EADE"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Exclusion des personnes handicapées</w:t>
            </w:r>
          </w:p>
        </w:tc>
      </w:tr>
      <w:tr w:rsidR="0063584D" w:rsidRPr="007F78CE" w14:paraId="6C154C79" w14:textId="77777777" w:rsidTr="007F78CE">
        <w:tc>
          <w:tcPr>
            <w:tcW w:w="1790" w:type="pct"/>
            <w:vMerge/>
            <w:tcBorders>
              <w:top w:val="single" w:sz="8" w:space="0" w:color="4F81BD"/>
              <w:left w:val="single" w:sz="8" w:space="0" w:color="4F81BD"/>
              <w:bottom w:val="single" w:sz="8" w:space="0" w:color="4F81BD"/>
            </w:tcBorders>
            <w:shd w:val="clear" w:color="auto" w:fill="auto"/>
          </w:tcPr>
          <w:p w14:paraId="5FE0E798" w14:textId="77777777" w:rsidR="00512FF5" w:rsidRPr="007F78CE" w:rsidRDefault="00512FF5" w:rsidP="007F78CE">
            <w:pPr>
              <w:spacing w:after="0" w:line="240" w:lineRule="auto"/>
              <w:rPr>
                <w:rFonts w:ascii="Arial" w:hAnsi="Arial" w:cs="Arial"/>
                <w:b/>
                <w:bCs/>
                <w:sz w:val="18"/>
                <w:szCs w:val="18"/>
              </w:rPr>
            </w:pPr>
          </w:p>
        </w:tc>
        <w:tc>
          <w:tcPr>
            <w:tcW w:w="3210" w:type="pct"/>
            <w:tcBorders>
              <w:top w:val="single" w:sz="8" w:space="0" w:color="4F81BD"/>
              <w:bottom w:val="single" w:sz="8" w:space="0" w:color="4F81BD"/>
              <w:right w:val="single" w:sz="8" w:space="0" w:color="4F81BD"/>
            </w:tcBorders>
            <w:shd w:val="clear" w:color="auto" w:fill="auto"/>
          </w:tcPr>
          <w:p w14:paraId="52218C6E"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Alphabétisation numérique et apprentissage aux nouvelles technologies non adaptées aux personnes handicapées</w:t>
            </w:r>
          </w:p>
        </w:tc>
      </w:tr>
      <w:tr w:rsidR="00512FF5" w:rsidRPr="007F78CE" w14:paraId="3F9BA488" w14:textId="77777777" w:rsidTr="007F78CE">
        <w:tc>
          <w:tcPr>
            <w:tcW w:w="1790" w:type="pct"/>
            <w:vMerge/>
            <w:shd w:val="clear" w:color="auto" w:fill="auto"/>
          </w:tcPr>
          <w:p w14:paraId="0823A91C" w14:textId="77777777" w:rsidR="00512FF5" w:rsidRPr="007F78CE" w:rsidRDefault="00512FF5" w:rsidP="007F78CE">
            <w:pPr>
              <w:spacing w:after="0" w:line="240" w:lineRule="auto"/>
              <w:rPr>
                <w:rFonts w:ascii="Arial" w:hAnsi="Arial" w:cs="Arial"/>
                <w:b/>
                <w:bCs/>
                <w:sz w:val="18"/>
                <w:szCs w:val="18"/>
              </w:rPr>
            </w:pPr>
          </w:p>
        </w:tc>
        <w:tc>
          <w:tcPr>
            <w:tcW w:w="3210" w:type="pct"/>
            <w:shd w:val="clear" w:color="auto" w:fill="auto"/>
          </w:tcPr>
          <w:p w14:paraId="5B1B410E"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Non réalisation du projet</w:t>
            </w:r>
          </w:p>
        </w:tc>
      </w:tr>
      <w:tr w:rsidR="0063584D" w:rsidRPr="007F78CE" w14:paraId="63F95AFD" w14:textId="77777777" w:rsidTr="007F78CE">
        <w:tc>
          <w:tcPr>
            <w:tcW w:w="1790" w:type="pct"/>
            <w:vMerge/>
            <w:tcBorders>
              <w:top w:val="single" w:sz="8" w:space="0" w:color="4F81BD"/>
              <w:left w:val="single" w:sz="8" w:space="0" w:color="4F81BD"/>
              <w:bottom w:val="single" w:sz="8" w:space="0" w:color="4F81BD"/>
            </w:tcBorders>
            <w:shd w:val="clear" w:color="auto" w:fill="auto"/>
          </w:tcPr>
          <w:p w14:paraId="5103C534" w14:textId="77777777" w:rsidR="00512FF5" w:rsidRPr="007F78CE" w:rsidRDefault="00512FF5" w:rsidP="007F78CE">
            <w:pPr>
              <w:spacing w:after="0" w:line="240" w:lineRule="auto"/>
              <w:rPr>
                <w:rFonts w:ascii="Arial" w:hAnsi="Arial" w:cs="Arial"/>
                <w:b/>
                <w:bCs/>
                <w:sz w:val="18"/>
                <w:szCs w:val="18"/>
              </w:rPr>
            </w:pPr>
          </w:p>
        </w:tc>
        <w:tc>
          <w:tcPr>
            <w:tcW w:w="3210" w:type="pct"/>
            <w:tcBorders>
              <w:top w:val="single" w:sz="8" w:space="0" w:color="4F81BD"/>
              <w:bottom w:val="single" w:sz="8" w:space="0" w:color="4F81BD"/>
              <w:right w:val="single" w:sz="8" w:space="0" w:color="4F81BD"/>
            </w:tcBorders>
            <w:shd w:val="clear" w:color="auto" w:fill="auto"/>
          </w:tcPr>
          <w:p w14:paraId="18B146E4"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Choix des sites prioritaires liés à des considérations politiques</w:t>
            </w:r>
          </w:p>
        </w:tc>
      </w:tr>
      <w:tr w:rsidR="00512FF5" w:rsidRPr="007F78CE" w14:paraId="206010F1" w14:textId="77777777" w:rsidTr="007F78CE">
        <w:tc>
          <w:tcPr>
            <w:tcW w:w="1790" w:type="pct"/>
            <w:vMerge w:val="restart"/>
            <w:shd w:val="clear" w:color="auto" w:fill="auto"/>
          </w:tcPr>
          <w:p w14:paraId="702484A8" w14:textId="77777777" w:rsidR="00512FF5" w:rsidRPr="007F78CE" w:rsidRDefault="00512FF5" w:rsidP="007F78CE">
            <w:pPr>
              <w:spacing w:after="0" w:line="240" w:lineRule="auto"/>
              <w:rPr>
                <w:rFonts w:ascii="Arial" w:hAnsi="Arial" w:cs="Arial"/>
                <w:b/>
                <w:bCs/>
                <w:sz w:val="18"/>
                <w:szCs w:val="18"/>
              </w:rPr>
            </w:pPr>
            <w:r w:rsidRPr="007F78CE">
              <w:rPr>
                <w:rFonts w:ascii="Arial" w:hAnsi="Arial" w:cs="Arial"/>
                <w:b/>
                <w:bCs/>
                <w:sz w:val="18"/>
                <w:szCs w:val="18"/>
              </w:rPr>
              <w:t>Organismes de régulation (ARTEC ; ORE/ARELEC)</w:t>
            </w:r>
          </w:p>
        </w:tc>
        <w:tc>
          <w:tcPr>
            <w:tcW w:w="3210" w:type="pct"/>
            <w:shd w:val="clear" w:color="auto" w:fill="auto"/>
          </w:tcPr>
          <w:p w14:paraId="44021EB0"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Suivi et contrôle des installations dans les réseaux isolés ou dans les régions enclavées</w:t>
            </w:r>
          </w:p>
        </w:tc>
      </w:tr>
      <w:tr w:rsidR="0063584D" w:rsidRPr="007F78CE" w14:paraId="08E04A58" w14:textId="77777777" w:rsidTr="007F78CE">
        <w:tc>
          <w:tcPr>
            <w:tcW w:w="1790" w:type="pct"/>
            <w:vMerge/>
            <w:tcBorders>
              <w:top w:val="single" w:sz="8" w:space="0" w:color="4F81BD"/>
              <w:left w:val="single" w:sz="8" w:space="0" w:color="4F81BD"/>
              <w:bottom w:val="single" w:sz="8" w:space="0" w:color="4F81BD"/>
            </w:tcBorders>
            <w:shd w:val="clear" w:color="auto" w:fill="auto"/>
          </w:tcPr>
          <w:p w14:paraId="2076C093" w14:textId="77777777" w:rsidR="00512FF5" w:rsidRPr="007F78CE" w:rsidRDefault="00512FF5" w:rsidP="007F78CE">
            <w:pPr>
              <w:spacing w:after="0" w:line="240" w:lineRule="auto"/>
              <w:rPr>
                <w:rFonts w:ascii="Arial" w:hAnsi="Arial" w:cs="Arial"/>
                <w:b/>
                <w:bCs/>
                <w:sz w:val="18"/>
                <w:szCs w:val="18"/>
              </w:rPr>
            </w:pPr>
          </w:p>
        </w:tc>
        <w:tc>
          <w:tcPr>
            <w:tcW w:w="3210" w:type="pct"/>
            <w:tcBorders>
              <w:top w:val="single" w:sz="8" w:space="0" w:color="4F81BD"/>
              <w:bottom w:val="single" w:sz="8" w:space="0" w:color="4F81BD"/>
              <w:right w:val="single" w:sz="8" w:space="0" w:color="4F81BD"/>
            </w:tcBorders>
            <w:shd w:val="clear" w:color="auto" w:fill="auto"/>
          </w:tcPr>
          <w:p w14:paraId="06C684C6"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Contrôle des enfants dans l’utilisation des connexions en ligne</w:t>
            </w:r>
          </w:p>
        </w:tc>
      </w:tr>
      <w:tr w:rsidR="00512FF5" w:rsidRPr="007F78CE" w14:paraId="535E3419" w14:textId="77777777" w:rsidTr="007F78CE">
        <w:tc>
          <w:tcPr>
            <w:tcW w:w="1790" w:type="pct"/>
            <w:vMerge/>
            <w:shd w:val="clear" w:color="auto" w:fill="auto"/>
          </w:tcPr>
          <w:p w14:paraId="1F90BE1B" w14:textId="77777777" w:rsidR="00512FF5" w:rsidRPr="007F78CE" w:rsidRDefault="00512FF5" w:rsidP="007F78CE">
            <w:pPr>
              <w:spacing w:after="0" w:line="240" w:lineRule="auto"/>
              <w:rPr>
                <w:rFonts w:ascii="Arial" w:hAnsi="Arial" w:cs="Arial"/>
                <w:b/>
                <w:bCs/>
                <w:sz w:val="18"/>
                <w:szCs w:val="18"/>
              </w:rPr>
            </w:pPr>
          </w:p>
        </w:tc>
        <w:tc>
          <w:tcPr>
            <w:tcW w:w="3210" w:type="pct"/>
            <w:shd w:val="clear" w:color="auto" w:fill="auto"/>
          </w:tcPr>
          <w:p w14:paraId="0ED9C4C3"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Augmentation de la dépravation de la jeunesse</w:t>
            </w:r>
          </w:p>
        </w:tc>
      </w:tr>
      <w:tr w:rsidR="0063584D" w:rsidRPr="007F78CE" w14:paraId="2FAB613E" w14:textId="77777777" w:rsidTr="007F78CE">
        <w:tc>
          <w:tcPr>
            <w:tcW w:w="1790" w:type="pct"/>
            <w:vMerge w:val="restart"/>
            <w:tcBorders>
              <w:top w:val="single" w:sz="8" w:space="0" w:color="4F81BD"/>
              <w:left w:val="single" w:sz="8" w:space="0" w:color="4F81BD"/>
              <w:bottom w:val="single" w:sz="8" w:space="0" w:color="4F81BD"/>
            </w:tcBorders>
            <w:shd w:val="clear" w:color="auto" w:fill="auto"/>
          </w:tcPr>
          <w:p w14:paraId="600172F4" w14:textId="77777777" w:rsidR="00512FF5" w:rsidRPr="007F78CE" w:rsidRDefault="00512FF5" w:rsidP="007F78CE">
            <w:pPr>
              <w:spacing w:after="0" w:line="240" w:lineRule="auto"/>
              <w:rPr>
                <w:rFonts w:ascii="Arial" w:hAnsi="Arial" w:cs="Arial"/>
                <w:b/>
                <w:bCs/>
                <w:sz w:val="18"/>
                <w:szCs w:val="18"/>
              </w:rPr>
            </w:pPr>
          </w:p>
          <w:p w14:paraId="32A3EC9C" w14:textId="77777777" w:rsidR="00512FF5" w:rsidRPr="007F78CE" w:rsidRDefault="00512FF5" w:rsidP="007F78CE">
            <w:pPr>
              <w:spacing w:after="0" w:line="240" w:lineRule="auto"/>
              <w:rPr>
                <w:rFonts w:ascii="Arial" w:hAnsi="Arial" w:cs="Arial"/>
                <w:b/>
                <w:bCs/>
                <w:sz w:val="18"/>
                <w:szCs w:val="18"/>
              </w:rPr>
            </w:pPr>
            <w:r w:rsidRPr="007F78CE">
              <w:rPr>
                <w:rFonts w:ascii="Arial" w:hAnsi="Arial" w:cs="Arial"/>
                <w:b/>
                <w:bCs/>
                <w:sz w:val="18"/>
                <w:szCs w:val="18"/>
              </w:rPr>
              <w:t>Agences d’exécution (ADER, JIRAMA)</w:t>
            </w:r>
          </w:p>
        </w:tc>
        <w:tc>
          <w:tcPr>
            <w:tcW w:w="3210" w:type="pct"/>
            <w:tcBorders>
              <w:top w:val="single" w:sz="8" w:space="0" w:color="4F81BD"/>
              <w:bottom w:val="single" w:sz="8" w:space="0" w:color="4F81BD"/>
              <w:right w:val="single" w:sz="8" w:space="0" w:color="4F81BD"/>
            </w:tcBorders>
            <w:shd w:val="clear" w:color="auto" w:fill="auto"/>
          </w:tcPr>
          <w:p w14:paraId="55B8DAB6"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Mise en œuvre du projet dans les zones enclavées (notamment problème de suivi)</w:t>
            </w:r>
          </w:p>
        </w:tc>
      </w:tr>
      <w:tr w:rsidR="00512FF5" w:rsidRPr="007F78CE" w14:paraId="464C26C0" w14:textId="77777777" w:rsidTr="007F78CE">
        <w:tc>
          <w:tcPr>
            <w:tcW w:w="1790" w:type="pct"/>
            <w:vMerge/>
            <w:shd w:val="clear" w:color="auto" w:fill="auto"/>
          </w:tcPr>
          <w:p w14:paraId="5CBE5B4B" w14:textId="77777777" w:rsidR="00512FF5" w:rsidRPr="007F78CE" w:rsidRDefault="00512FF5" w:rsidP="007F78CE">
            <w:pPr>
              <w:spacing w:after="0" w:line="240" w:lineRule="auto"/>
              <w:rPr>
                <w:rFonts w:ascii="Arial" w:hAnsi="Arial" w:cs="Arial"/>
                <w:b/>
                <w:bCs/>
                <w:sz w:val="18"/>
                <w:szCs w:val="18"/>
              </w:rPr>
            </w:pPr>
          </w:p>
        </w:tc>
        <w:tc>
          <w:tcPr>
            <w:tcW w:w="3210" w:type="pct"/>
            <w:shd w:val="clear" w:color="auto" w:fill="auto"/>
          </w:tcPr>
          <w:p w14:paraId="0DC128F0"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Problème d’insécurité</w:t>
            </w:r>
          </w:p>
        </w:tc>
      </w:tr>
      <w:tr w:rsidR="0063584D" w:rsidRPr="007F78CE" w14:paraId="6AF738D4" w14:textId="77777777" w:rsidTr="007F78CE">
        <w:tc>
          <w:tcPr>
            <w:tcW w:w="1790" w:type="pct"/>
            <w:vMerge/>
            <w:tcBorders>
              <w:top w:val="single" w:sz="8" w:space="0" w:color="4F81BD"/>
              <w:left w:val="single" w:sz="8" w:space="0" w:color="4F81BD"/>
              <w:bottom w:val="single" w:sz="8" w:space="0" w:color="4F81BD"/>
            </w:tcBorders>
            <w:shd w:val="clear" w:color="auto" w:fill="auto"/>
          </w:tcPr>
          <w:p w14:paraId="727769FD" w14:textId="77777777" w:rsidR="00512FF5" w:rsidRPr="007F78CE" w:rsidRDefault="00512FF5" w:rsidP="007F78CE">
            <w:pPr>
              <w:spacing w:after="0" w:line="240" w:lineRule="auto"/>
              <w:rPr>
                <w:rFonts w:ascii="Arial" w:hAnsi="Arial" w:cs="Arial"/>
                <w:b/>
                <w:bCs/>
                <w:sz w:val="18"/>
                <w:szCs w:val="18"/>
              </w:rPr>
            </w:pPr>
          </w:p>
        </w:tc>
        <w:tc>
          <w:tcPr>
            <w:tcW w:w="3210" w:type="pct"/>
            <w:tcBorders>
              <w:top w:val="single" w:sz="8" w:space="0" w:color="4F81BD"/>
              <w:bottom w:val="single" w:sz="8" w:space="0" w:color="4F81BD"/>
              <w:right w:val="single" w:sz="8" w:space="0" w:color="4F81BD"/>
            </w:tcBorders>
            <w:shd w:val="clear" w:color="auto" w:fill="auto"/>
          </w:tcPr>
          <w:p w14:paraId="6A2A11BC"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Développement des intérêts des grandes sociétés et non des intérêts de la JIRAMA</w:t>
            </w:r>
          </w:p>
        </w:tc>
      </w:tr>
      <w:tr w:rsidR="00512FF5" w:rsidRPr="007F78CE" w14:paraId="517B226F" w14:textId="77777777" w:rsidTr="007F78CE">
        <w:tc>
          <w:tcPr>
            <w:tcW w:w="1790" w:type="pct"/>
            <w:vMerge/>
            <w:shd w:val="clear" w:color="auto" w:fill="auto"/>
          </w:tcPr>
          <w:p w14:paraId="294C0D8F" w14:textId="77777777" w:rsidR="00512FF5" w:rsidRPr="007F78CE" w:rsidRDefault="00512FF5" w:rsidP="007F78CE">
            <w:pPr>
              <w:spacing w:after="0" w:line="240" w:lineRule="auto"/>
              <w:rPr>
                <w:rFonts w:ascii="Arial" w:hAnsi="Arial" w:cs="Arial"/>
                <w:b/>
                <w:bCs/>
                <w:sz w:val="18"/>
                <w:szCs w:val="18"/>
              </w:rPr>
            </w:pPr>
          </w:p>
        </w:tc>
        <w:tc>
          <w:tcPr>
            <w:tcW w:w="3210" w:type="pct"/>
            <w:shd w:val="clear" w:color="auto" w:fill="auto"/>
          </w:tcPr>
          <w:p w14:paraId="65B0FA31"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Non responsabilisation des gestionnaires des sites</w:t>
            </w:r>
          </w:p>
        </w:tc>
      </w:tr>
      <w:tr w:rsidR="0063584D" w:rsidRPr="007F78CE" w14:paraId="041D3125" w14:textId="77777777" w:rsidTr="007F78CE">
        <w:tc>
          <w:tcPr>
            <w:tcW w:w="1790" w:type="pct"/>
            <w:vMerge/>
            <w:tcBorders>
              <w:top w:val="single" w:sz="8" w:space="0" w:color="4F81BD"/>
              <w:left w:val="single" w:sz="8" w:space="0" w:color="4F81BD"/>
              <w:bottom w:val="single" w:sz="8" w:space="0" w:color="4F81BD"/>
            </w:tcBorders>
            <w:shd w:val="clear" w:color="auto" w:fill="auto"/>
          </w:tcPr>
          <w:p w14:paraId="7BE4E718" w14:textId="77777777" w:rsidR="00512FF5" w:rsidRPr="007F78CE" w:rsidRDefault="00512FF5" w:rsidP="007F78CE">
            <w:pPr>
              <w:spacing w:after="0" w:line="240" w:lineRule="auto"/>
              <w:rPr>
                <w:rFonts w:ascii="Arial" w:hAnsi="Arial" w:cs="Arial"/>
                <w:b/>
                <w:bCs/>
                <w:sz w:val="18"/>
                <w:szCs w:val="18"/>
              </w:rPr>
            </w:pPr>
          </w:p>
        </w:tc>
        <w:tc>
          <w:tcPr>
            <w:tcW w:w="3210" w:type="pct"/>
            <w:tcBorders>
              <w:top w:val="single" w:sz="8" w:space="0" w:color="4F81BD"/>
              <w:bottom w:val="single" w:sz="8" w:space="0" w:color="4F81BD"/>
              <w:right w:val="single" w:sz="8" w:space="0" w:color="4F81BD"/>
            </w:tcBorders>
            <w:shd w:val="clear" w:color="auto" w:fill="auto"/>
          </w:tcPr>
          <w:p w14:paraId="17827DB4"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Empiètement avec les activités de la JIRAMA</w:t>
            </w:r>
          </w:p>
        </w:tc>
      </w:tr>
      <w:tr w:rsidR="00512FF5" w:rsidRPr="007F78CE" w14:paraId="425022D1" w14:textId="77777777" w:rsidTr="007F78CE">
        <w:tc>
          <w:tcPr>
            <w:tcW w:w="1790" w:type="pct"/>
            <w:vMerge/>
            <w:shd w:val="clear" w:color="auto" w:fill="auto"/>
          </w:tcPr>
          <w:p w14:paraId="6EF3083E" w14:textId="77777777" w:rsidR="00512FF5" w:rsidRPr="007F78CE" w:rsidRDefault="00512FF5" w:rsidP="007F78CE">
            <w:pPr>
              <w:spacing w:after="0" w:line="240" w:lineRule="auto"/>
              <w:rPr>
                <w:rFonts w:ascii="Arial" w:hAnsi="Arial" w:cs="Arial"/>
                <w:b/>
                <w:bCs/>
                <w:sz w:val="18"/>
                <w:szCs w:val="18"/>
              </w:rPr>
            </w:pPr>
          </w:p>
        </w:tc>
        <w:tc>
          <w:tcPr>
            <w:tcW w:w="3210" w:type="pct"/>
            <w:shd w:val="clear" w:color="auto" w:fill="auto"/>
          </w:tcPr>
          <w:p w14:paraId="7C902E60"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Bouleversement de la distribution de l’électricité</w:t>
            </w:r>
          </w:p>
        </w:tc>
      </w:tr>
      <w:tr w:rsidR="0063584D" w:rsidRPr="007F78CE" w14:paraId="6BD87D3D" w14:textId="77777777" w:rsidTr="007F78CE">
        <w:tc>
          <w:tcPr>
            <w:tcW w:w="1790" w:type="pct"/>
            <w:vMerge/>
            <w:tcBorders>
              <w:top w:val="single" w:sz="8" w:space="0" w:color="4F81BD"/>
              <w:left w:val="single" w:sz="8" w:space="0" w:color="4F81BD"/>
              <w:bottom w:val="single" w:sz="8" w:space="0" w:color="4F81BD"/>
            </w:tcBorders>
            <w:shd w:val="clear" w:color="auto" w:fill="auto"/>
          </w:tcPr>
          <w:p w14:paraId="17549534" w14:textId="77777777" w:rsidR="00512FF5" w:rsidRPr="007F78CE" w:rsidRDefault="00512FF5" w:rsidP="007F78CE">
            <w:pPr>
              <w:spacing w:after="0" w:line="240" w:lineRule="auto"/>
              <w:rPr>
                <w:rFonts w:ascii="Arial" w:hAnsi="Arial" w:cs="Arial"/>
                <w:b/>
                <w:bCs/>
                <w:sz w:val="18"/>
                <w:szCs w:val="18"/>
              </w:rPr>
            </w:pPr>
          </w:p>
        </w:tc>
        <w:tc>
          <w:tcPr>
            <w:tcW w:w="3210" w:type="pct"/>
            <w:tcBorders>
              <w:top w:val="single" w:sz="8" w:space="0" w:color="4F81BD"/>
              <w:bottom w:val="single" w:sz="8" w:space="0" w:color="4F81BD"/>
              <w:right w:val="single" w:sz="8" w:space="0" w:color="4F81BD"/>
            </w:tcBorders>
            <w:shd w:val="clear" w:color="auto" w:fill="auto"/>
          </w:tcPr>
          <w:p w14:paraId="22ECA73C"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Risque de conflit social si approche et méthodologie de travail du projet non comprises par la communauté</w:t>
            </w:r>
          </w:p>
        </w:tc>
      </w:tr>
      <w:tr w:rsidR="00512FF5" w:rsidRPr="007F78CE" w14:paraId="7A5F51FF" w14:textId="77777777" w:rsidTr="007F78CE">
        <w:tc>
          <w:tcPr>
            <w:tcW w:w="1790" w:type="pct"/>
            <w:vMerge/>
            <w:shd w:val="clear" w:color="auto" w:fill="auto"/>
          </w:tcPr>
          <w:p w14:paraId="6B498232" w14:textId="77777777" w:rsidR="00512FF5" w:rsidRPr="007F78CE" w:rsidRDefault="00512FF5" w:rsidP="007F78CE">
            <w:pPr>
              <w:spacing w:after="0" w:line="240" w:lineRule="auto"/>
              <w:rPr>
                <w:rFonts w:ascii="Arial" w:hAnsi="Arial" w:cs="Arial"/>
                <w:b/>
                <w:bCs/>
                <w:sz w:val="18"/>
                <w:szCs w:val="18"/>
              </w:rPr>
            </w:pPr>
          </w:p>
        </w:tc>
        <w:tc>
          <w:tcPr>
            <w:tcW w:w="3210" w:type="pct"/>
            <w:shd w:val="clear" w:color="auto" w:fill="auto"/>
          </w:tcPr>
          <w:p w14:paraId="7E14ADDF"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Vente de l’électricité à perte</w:t>
            </w:r>
          </w:p>
        </w:tc>
      </w:tr>
      <w:tr w:rsidR="0063584D" w:rsidRPr="007F78CE" w14:paraId="41CC77BF" w14:textId="77777777" w:rsidTr="007F78CE">
        <w:tc>
          <w:tcPr>
            <w:tcW w:w="1790" w:type="pct"/>
            <w:vMerge w:val="restart"/>
            <w:tcBorders>
              <w:top w:val="single" w:sz="8" w:space="0" w:color="4F81BD"/>
              <w:left w:val="single" w:sz="8" w:space="0" w:color="4F81BD"/>
              <w:bottom w:val="single" w:sz="8" w:space="0" w:color="4F81BD"/>
            </w:tcBorders>
            <w:shd w:val="clear" w:color="auto" w:fill="auto"/>
          </w:tcPr>
          <w:p w14:paraId="35D9ABEF" w14:textId="77777777" w:rsidR="00512FF5" w:rsidRPr="007F78CE" w:rsidRDefault="00512FF5" w:rsidP="007F78CE">
            <w:pPr>
              <w:spacing w:after="0" w:line="240" w:lineRule="auto"/>
              <w:rPr>
                <w:rFonts w:ascii="Arial" w:hAnsi="Arial" w:cs="Arial"/>
                <w:b/>
                <w:bCs/>
                <w:sz w:val="18"/>
                <w:szCs w:val="18"/>
              </w:rPr>
            </w:pPr>
            <w:r w:rsidRPr="007F78CE">
              <w:rPr>
                <w:rFonts w:ascii="Arial" w:hAnsi="Arial" w:cs="Arial"/>
                <w:b/>
                <w:bCs/>
                <w:sz w:val="18"/>
                <w:szCs w:val="18"/>
              </w:rPr>
              <w:t>Opérateurs de téléphonie mobile</w:t>
            </w:r>
          </w:p>
        </w:tc>
        <w:tc>
          <w:tcPr>
            <w:tcW w:w="3210" w:type="pct"/>
            <w:tcBorders>
              <w:top w:val="single" w:sz="8" w:space="0" w:color="4F81BD"/>
              <w:bottom w:val="single" w:sz="8" w:space="0" w:color="4F81BD"/>
              <w:right w:val="single" w:sz="8" w:space="0" w:color="4F81BD"/>
            </w:tcBorders>
            <w:shd w:val="clear" w:color="auto" w:fill="auto"/>
          </w:tcPr>
          <w:p w14:paraId="7AA5B2E2"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Choix des sites d’implantation des infrastructures sans tenir compte de l’avis des opérateurs de téléphonie mobile</w:t>
            </w:r>
          </w:p>
        </w:tc>
      </w:tr>
      <w:tr w:rsidR="00512FF5" w:rsidRPr="007F78CE" w14:paraId="6D9E6C17" w14:textId="77777777" w:rsidTr="007F78CE">
        <w:tc>
          <w:tcPr>
            <w:tcW w:w="1790" w:type="pct"/>
            <w:vMerge/>
            <w:shd w:val="clear" w:color="auto" w:fill="auto"/>
          </w:tcPr>
          <w:p w14:paraId="5C1AA6BD" w14:textId="77777777" w:rsidR="00512FF5" w:rsidRPr="007F78CE" w:rsidRDefault="00512FF5" w:rsidP="007F78CE">
            <w:pPr>
              <w:spacing w:after="0" w:line="240" w:lineRule="auto"/>
              <w:rPr>
                <w:rFonts w:ascii="Arial" w:hAnsi="Arial" w:cs="Arial"/>
                <w:b/>
                <w:bCs/>
                <w:sz w:val="18"/>
                <w:szCs w:val="18"/>
              </w:rPr>
            </w:pPr>
          </w:p>
        </w:tc>
        <w:tc>
          <w:tcPr>
            <w:tcW w:w="3210" w:type="pct"/>
            <w:shd w:val="clear" w:color="auto" w:fill="auto"/>
          </w:tcPr>
          <w:p w14:paraId="057B7E06"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Quelle garantie de la capacité financière des bénéficiaires du projet à long terme</w:t>
            </w:r>
          </w:p>
        </w:tc>
      </w:tr>
      <w:tr w:rsidR="0063584D" w:rsidRPr="007F78CE" w14:paraId="0FF45B9E" w14:textId="77777777" w:rsidTr="007F78CE">
        <w:tc>
          <w:tcPr>
            <w:tcW w:w="1790" w:type="pct"/>
            <w:vMerge/>
            <w:tcBorders>
              <w:top w:val="single" w:sz="8" w:space="0" w:color="4F81BD"/>
              <w:left w:val="single" w:sz="8" w:space="0" w:color="4F81BD"/>
              <w:bottom w:val="single" w:sz="8" w:space="0" w:color="4F81BD"/>
            </w:tcBorders>
            <w:shd w:val="clear" w:color="auto" w:fill="auto"/>
          </w:tcPr>
          <w:p w14:paraId="71A5AC3B" w14:textId="77777777" w:rsidR="00512FF5" w:rsidRPr="007F78CE" w:rsidRDefault="00512FF5" w:rsidP="007F78CE">
            <w:pPr>
              <w:spacing w:after="0" w:line="240" w:lineRule="auto"/>
              <w:rPr>
                <w:rFonts w:ascii="Arial" w:hAnsi="Arial" w:cs="Arial"/>
                <w:b/>
                <w:bCs/>
                <w:sz w:val="18"/>
                <w:szCs w:val="18"/>
              </w:rPr>
            </w:pPr>
          </w:p>
        </w:tc>
        <w:tc>
          <w:tcPr>
            <w:tcW w:w="3210" w:type="pct"/>
            <w:tcBorders>
              <w:top w:val="single" w:sz="8" w:space="0" w:color="4F81BD"/>
              <w:bottom w:val="single" w:sz="8" w:space="0" w:color="4F81BD"/>
              <w:right w:val="single" w:sz="8" w:space="0" w:color="4F81BD"/>
            </w:tcBorders>
            <w:shd w:val="clear" w:color="auto" w:fill="auto"/>
          </w:tcPr>
          <w:p w14:paraId="7BCD59A0" w14:textId="77777777" w:rsidR="00512FF5" w:rsidRPr="007F78CE" w:rsidRDefault="00512FF5" w:rsidP="007F78CE">
            <w:pPr>
              <w:spacing w:after="0" w:line="240" w:lineRule="auto"/>
              <w:rPr>
                <w:rFonts w:ascii="Arial" w:hAnsi="Arial" w:cs="Arial"/>
                <w:sz w:val="18"/>
                <w:szCs w:val="18"/>
              </w:rPr>
            </w:pPr>
            <w:r w:rsidRPr="007F78CE">
              <w:rPr>
                <w:rFonts w:ascii="Arial" w:hAnsi="Arial" w:cs="Arial"/>
                <w:sz w:val="18"/>
                <w:szCs w:val="18"/>
              </w:rPr>
              <w:t>Développement de la VBG</w:t>
            </w:r>
          </w:p>
        </w:tc>
      </w:tr>
    </w:tbl>
    <w:p w14:paraId="2C6B860E" w14:textId="77777777" w:rsidR="00512FF5" w:rsidRPr="00512FF5" w:rsidRDefault="00512FF5" w:rsidP="00512FF5">
      <w:pPr>
        <w:rPr>
          <w:rFonts w:cs="Calibri"/>
          <w:i/>
          <w:sz w:val="16"/>
        </w:rPr>
      </w:pPr>
      <w:r w:rsidRPr="00512FF5">
        <w:rPr>
          <w:rFonts w:cs="Calibri"/>
          <w:i/>
          <w:sz w:val="16"/>
        </w:rPr>
        <w:t>Source : BIODEV (2022)</w:t>
      </w:r>
    </w:p>
    <w:p w14:paraId="34028FC4" w14:textId="77777777" w:rsidR="00512FF5" w:rsidRPr="00512FF5" w:rsidRDefault="00512FF5" w:rsidP="00512FF5">
      <w:pPr>
        <w:autoSpaceDE w:val="0"/>
        <w:autoSpaceDN w:val="0"/>
        <w:adjustRightInd w:val="0"/>
        <w:jc w:val="both"/>
        <w:rPr>
          <w:rFonts w:ascii="Arial" w:hAnsi="Arial" w:cs="Arial"/>
          <w:szCs w:val="24"/>
        </w:rPr>
      </w:pPr>
      <w:r w:rsidRPr="00512FF5">
        <w:rPr>
          <w:rFonts w:ascii="Arial" w:hAnsi="Arial" w:cs="Arial"/>
          <w:szCs w:val="24"/>
        </w:rPr>
        <w:t>A part le partage de ses préoccupations, les parties prenantes ont émis également des suggestions pour améliorer les interventions du projet ou pour mieux mettre en œuvre les différentes activités générées par les sous-projets. Les suggestions d’amélioration portent sur :</w:t>
      </w:r>
    </w:p>
    <w:p w14:paraId="61523362"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 xml:space="preserve">La consultation des Plans de Développement </w:t>
      </w:r>
      <w:r w:rsidR="007270B7" w:rsidRPr="00512FF5">
        <w:rPr>
          <w:rFonts w:ascii="Arial" w:hAnsi="Arial" w:cs="Arial"/>
        </w:rPr>
        <w:t>Régional</w:t>
      </w:r>
      <w:r w:rsidRPr="00512FF5">
        <w:rPr>
          <w:rFonts w:ascii="Arial" w:hAnsi="Arial" w:cs="Arial"/>
        </w:rPr>
        <w:t xml:space="preserve"> (PRD) mis à jour, si le document existe au sein de la région, lors du choix des sites d’implantation ou de la priorisation des interventions ;</w:t>
      </w:r>
    </w:p>
    <w:p w14:paraId="298A26FF"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 xml:space="preserve">Le renforcement des formations </w:t>
      </w:r>
      <w:r w:rsidR="00767012">
        <w:rPr>
          <w:rFonts w:ascii="Arial" w:hAnsi="Arial" w:cs="Arial"/>
        </w:rPr>
        <w:t>à</w:t>
      </w:r>
      <w:r w:rsidRPr="00512FF5">
        <w:rPr>
          <w:rFonts w:ascii="Arial" w:hAnsi="Arial" w:cs="Arial"/>
        </w:rPr>
        <w:t xml:space="preserve"> distance pour garantir le bon usage des connexions ;</w:t>
      </w:r>
    </w:p>
    <w:p w14:paraId="3406C9CC"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 xml:space="preserve">L’exploitation de la </w:t>
      </w:r>
      <w:r w:rsidR="007270B7" w:rsidRPr="00512FF5">
        <w:rPr>
          <w:rFonts w:ascii="Arial" w:hAnsi="Arial" w:cs="Arial"/>
        </w:rPr>
        <w:t>micro hydro-électrique</w:t>
      </w:r>
      <w:r w:rsidRPr="00512FF5">
        <w:rPr>
          <w:rFonts w:ascii="Arial" w:hAnsi="Arial" w:cs="Arial"/>
        </w:rPr>
        <w:t xml:space="preserve"> ou l’exploitation énergétique de la marée ;</w:t>
      </w:r>
    </w:p>
    <w:p w14:paraId="037863B1"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La consultation voire l’implication de la région et des autorités administratives pour l’identification des zones d’intervention ;</w:t>
      </w:r>
    </w:p>
    <w:p w14:paraId="3C9522D7"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L’implication de la région et des autorités administratives pour faciliter l’accès dans les zones où règne l’</w:t>
      </w:r>
      <w:r w:rsidR="007270B7" w:rsidRPr="00512FF5">
        <w:rPr>
          <w:rFonts w:ascii="Arial" w:hAnsi="Arial" w:cs="Arial"/>
        </w:rPr>
        <w:t>insécurité</w:t>
      </w:r>
      <w:r w:rsidRPr="00512FF5">
        <w:rPr>
          <w:rFonts w:ascii="Arial" w:hAnsi="Arial" w:cs="Arial"/>
        </w:rPr>
        <w:t> ;</w:t>
      </w:r>
    </w:p>
    <w:p w14:paraId="40666C05"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L’implication des autorités traditionnelles (notamment les Ampanjaka) pour faciliter la mise en œuvre du projet ;</w:t>
      </w:r>
    </w:p>
    <w:p w14:paraId="344AD475"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 xml:space="preserve">La nécessité de faire des </w:t>
      </w:r>
      <w:r w:rsidR="007270B7" w:rsidRPr="00512FF5">
        <w:rPr>
          <w:rFonts w:ascii="Arial" w:hAnsi="Arial" w:cs="Arial"/>
        </w:rPr>
        <w:t>analyses socio-économiques</w:t>
      </w:r>
      <w:r w:rsidRPr="00512FF5">
        <w:rPr>
          <w:rFonts w:ascii="Arial" w:hAnsi="Arial" w:cs="Arial"/>
        </w:rPr>
        <w:t xml:space="preserve"> des ménages, notamment sur les sources de revenu et les besoins de la population ;</w:t>
      </w:r>
    </w:p>
    <w:p w14:paraId="35C561C6"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La détermination préalable de</w:t>
      </w:r>
      <w:r w:rsidR="00767012">
        <w:rPr>
          <w:rFonts w:ascii="Arial" w:hAnsi="Arial" w:cs="Arial"/>
        </w:rPr>
        <w:t>s</w:t>
      </w:r>
      <w:r w:rsidRPr="00512FF5">
        <w:rPr>
          <w:rFonts w:ascii="Arial" w:hAnsi="Arial" w:cs="Arial"/>
        </w:rPr>
        <w:t xml:space="preserve"> responsabilité</w:t>
      </w:r>
      <w:r w:rsidR="00501938">
        <w:rPr>
          <w:rFonts w:ascii="Arial" w:hAnsi="Arial" w:cs="Arial"/>
        </w:rPr>
        <w:t>s</w:t>
      </w:r>
      <w:r w:rsidRPr="00512FF5">
        <w:rPr>
          <w:rFonts w:ascii="Arial" w:hAnsi="Arial" w:cs="Arial"/>
        </w:rPr>
        <w:t xml:space="preserve"> et attributions dans le projet de chaque département ministériel concerné avant la phase de mise en œuvre ou avant la phase d’exploitation ;</w:t>
      </w:r>
    </w:p>
    <w:p w14:paraId="7044B787"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La priorisation des zones mal desservies ou des zones isolées non connectées ;</w:t>
      </w:r>
    </w:p>
    <w:p w14:paraId="1741A4A4"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La sensibilisation de la population pour leur participation dans la surveillance et la maintenance des infrastructures ;</w:t>
      </w:r>
    </w:p>
    <w:p w14:paraId="4C55DEF3"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La protection des tours cellulaires par des traitements intenses (couche épaisse d’antirouille) ;</w:t>
      </w:r>
    </w:p>
    <w:p w14:paraId="1556F309"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Le renforcement de la sensibilisation orientée vers le changement de comportement ;</w:t>
      </w:r>
    </w:p>
    <w:p w14:paraId="43B6632E"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La priorisation des interventions par rapport aux besoins de la population ;</w:t>
      </w:r>
    </w:p>
    <w:p w14:paraId="4707BD6B"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 xml:space="preserve">L’établissement </w:t>
      </w:r>
      <w:r w:rsidR="007270B7" w:rsidRPr="00512FF5">
        <w:rPr>
          <w:rFonts w:ascii="Arial" w:hAnsi="Arial" w:cs="Arial"/>
        </w:rPr>
        <w:t>d’un bon</w:t>
      </w:r>
      <w:r w:rsidRPr="00512FF5">
        <w:rPr>
          <w:rFonts w:ascii="Arial" w:hAnsi="Arial" w:cs="Arial"/>
        </w:rPr>
        <w:t xml:space="preserve"> échange entre les responsables locaux (administration, éducation, santé) et le projet ;</w:t>
      </w:r>
    </w:p>
    <w:p w14:paraId="0EFA8652"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La maximisation de la couverture médiatique et le partage des informations auprès des parties prenantes (notamment sur l’impact négatif ou non du projet sur la santé humaine, sur la compensation des biens impactés, sur la lutte contre les VBG, etc.) ;</w:t>
      </w:r>
    </w:p>
    <w:p w14:paraId="3BFFA01A"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L’inclusion multisectorielle lors de prise de décision pour une meilleure priorisation des zones d’intervention ;</w:t>
      </w:r>
    </w:p>
    <w:p w14:paraId="58ADD4A5"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La mise en place d’une école des parents (</w:t>
      </w:r>
      <w:r w:rsidR="007270B7" w:rsidRPr="00512FF5">
        <w:rPr>
          <w:rFonts w:ascii="Arial" w:hAnsi="Arial" w:cs="Arial"/>
        </w:rPr>
        <w:t>apprentissage</w:t>
      </w:r>
      <w:r w:rsidRPr="00512FF5">
        <w:rPr>
          <w:rFonts w:ascii="Arial" w:hAnsi="Arial" w:cs="Arial"/>
        </w:rPr>
        <w:t xml:space="preserve"> d’une bonne pratique dans l’utilisation de nouvelles </w:t>
      </w:r>
      <w:r w:rsidR="007270B7" w:rsidRPr="00512FF5">
        <w:rPr>
          <w:rFonts w:ascii="Arial" w:hAnsi="Arial" w:cs="Arial"/>
        </w:rPr>
        <w:t>technologies</w:t>
      </w:r>
      <w:r w:rsidRPr="00512FF5">
        <w:rPr>
          <w:rFonts w:ascii="Arial" w:hAnsi="Arial" w:cs="Arial"/>
        </w:rPr>
        <w:t>, filtrage des contenus de l’internet, etc.) ;</w:t>
      </w:r>
    </w:p>
    <w:p w14:paraId="1FC3978F"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La mise en place de matériels et d’équipements durables, fiables au niveau des établissements publics cibles ;</w:t>
      </w:r>
    </w:p>
    <w:p w14:paraId="2D9A05B8"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 xml:space="preserve">La nécessité de former des techniciens des directions régionales pour l’opérationnalisation et la </w:t>
      </w:r>
      <w:r w:rsidR="007270B7" w:rsidRPr="00512FF5">
        <w:rPr>
          <w:rFonts w:ascii="Arial" w:hAnsi="Arial" w:cs="Arial"/>
        </w:rPr>
        <w:t>maintenance</w:t>
      </w:r>
      <w:r w:rsidRPr="00512FF5">
        <w:rPr>
          <w:rFonts w:ascii="Arial" w:hAnsi="Arial" w:cs="Arial"/>
        </w:rPr>
        <w:t xml:space="preserve"> des équipements installés ;</w:t>
      </w:r>
    </w:p>
    <w:p w14:paraId="08DA233D"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L’implication des STD et CTD dans toutes les phases du projet ;</w:t>
      </w:r>
    </w:p>
    <w:p w14:paraId="338681E6"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L’électrification solaire des bâtiments administratifs du DREDD pour servir de modèle de préservation des ressources naturelles ;</w:t>
      </w:r>
    </w:p>
    <w:p w14:paraId="4A322ADF"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 xml:space="preserve">La priorisation des activités en relation avec la préservation de l’environnement (mise en </w:t>
      </w:r>
      <w:r w:rsidR="007270B7" w:rsidRPr="00512FF5">
        <w:rPr>
          <w:rFonts w:ascii="Arial" w:hAnsi="Arial" w:cs="Arial"/>
        </w:rPr>
        <w:t>place</w:t>
      </w:r>
      <w:r w:rsidRPr="00512FF5">
        <w:rPr>
          <w:rFonts w:ascii="Arial" w:hAnsi="Arial" w:cs="Arial"/>
        </w:rPr>
        <w:t xml:space="preserve"> de pépinière de proximité, protection des bassins versants, </w:t>
      </w:r>
      <w:r w:rsidR="007270B7" w:rsidRPr="00512FF5">
        <w:rPr>
          <w:rFonts w:ascii="Arial" w:hAnsi="Arial" w:cs="Arial"/>
        </w:rPr>
        <w:t>protection</w:t>
      </w:r>
      <w:r w:rsidRPr="00512FF5">
        <w:rPr>
          <w:rFonts w:ascii="Arial" w:hAnsi="Arial" w:cs="Arial"/>
        </w:rPr>
        <w:t xml:space="preserve"> des sources d’eau, etc.) ;</w:t>
      </w:r>
    </w:p>
    <w:p w14:paraId="01A39072"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La mise en place d’une gestion locale des infrastructures installées (exemple l’établissement de dina) ;</w:t>
      </w:r>
    </w:p>
    <w:p w14:paraId="7AE91A4F"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Le renforcement de l’</w:t>
      </w:r>
      <w:r w:rsidR="007270B7" w:rsidRPr="00512FF5">
        <w:rPr>
          <w:rFonts w:ascii="Arial" w:hAnsi="Arial" w:cs="Arial"/>
        </w:rPr>
        <w:t>éducation</w:t>
      </w:r>
      <w:r w:rsidRPr="00512FF5">
        <w:rPr>
          <w:rFonts w:ascii="Arial" w:hAnsi="Arial" w:cs="Arial"/>
        </w:rPr>
        <w:t xml:space="preserve"> à la citoyenneté ;</w:t>
      </w:r>
    </w:p>
    <w:p w14:paraId="5BA3520B"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La prise en considération des spécificités régionales et locales ;</w:t>
      </w:r>
    </w:p>
    <w:p w14:paraId="238F536E"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 xml:space="preserve">La priorisation des zones où la </w:t>
      </w:r>
      <w:r w:rsidR="008C1348">
        <w:rPr>
          <w:rFonts w:ascii="Arial" w:hAnsi="Arial" w:cs="Arial"/>
        </w:rPr>
        <w:t>JIRAMA</w:t>
      </w:r>
      <w:r w:rsidRPr="00512FF5">
        <w:rPr>
          <w:rFonts w:ascii="Arial" w:hAnsi="Arial" w:cs="Arial"/>
        </w:rPr>
        <w:t xml:space="preserve"> n’est pas implantée ;</w:t>
      </w:r>
    </w:p>
    <w:p w14:paraId="4C8057DC"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La désignation de la JIRAMA comme principal gestionnaire de la production, de la distribution et de la vente de l’</w:t>
      </w:r>
      <w:r w:rsidR="007270B7" w:rsidRPr="00512FF5">
        <w:rPr>
          <w:rFonts w:ascii="Arial" w:hAnsi="Arial" w:cs="Arial"/>
        </w:rPr>
        <w:t>électricité</w:t>
      </w:r>
      <w:r w:rsidRPr="00512FF5">
        <w:rPr>
          <w:rFonts w:ascii="Arial" w:hAnsi="Arial" w:cs="Arial"/>
        </w:rPr>
        <w:t> ;</w:t>
      </w:r>
    </w:p>
    <w:p w14:paraId="72B775E6"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 xml:space="preserve">La mise en place de </w:t>
      </w:r>
      <w:r w:rsidR="007270B7" w:rsidRPr="00512FF5">
        <w:rPr>
          <w:rFonts w:ascii="Arial" w:hAnsi="Arial" w:cs="Arial"/>
        </w:rPr>
        <w:t>centrales biomasses</w:t>
      </w:r>
      <w:r w:rsidRPr="00512FF5">
        <w:rPr>
          <w:rFonts w:ascii="Arial" w:hAnsi="Arial" w:cs="Arial"/>
        </w:rPr>
        <w:t xml:space="preserve"> dans les zones fortement agricoles ;</w:t>
      </w:r>
    </w:p>
    <w:p w14:paraId="0332F6BD"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La responsabilisation des bénéficiaires dans l’entretien des infrastructures.</w:t>
      </w:r>
    </w:p>
    <w:p w14:paraId="55305FA4"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La prise en considération des compétences locales notamment au niveau des recrutements de personnels.</w:t>
      </w:r>
    </w:p>
    <w:p w14:paraId="3BD1EC26"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La mise en place de centre d’écoute au niveau des fokontany.</w:t>
      </w:r>
    </w:p>
    <w:p w14:paraId="7F5D48EA" w14:textId="77777777" w:rsidR="00512FF5" w:rsidRPr="00512FF5" w:rsidRDefault="00512FF5" w:rsidP="00687DD2">
      <w:pPr>
        <w:numPr>
          <w:ilvl w:val="0"/>
          <w:numId w:val="50"/>
        </w:numPr>
        <w:spacing w:after="0" w:line="240" w:lineRule="auto"/>
        <w:jc w:val="both"/>
        <w:rPr>
          <w:rFonts w:ascii="Arial" w:hAnsi="Arial" w:cs="Arial"/>
        </w:rPr>
      </w:pPr>
      <w:r w:rsidRPr="00512FF5">
        <w:rPr>
          <w:rFonts w:ascii="Arial" w:hAnsi="Arial" w:cs="Arial"/>
        </w:rPr>
        <w:t>La limitation des horaires d’utilisation et la définition de règles d’utilisation des connexions dans les points wifi gratuits.</w:t>
      </w:r>
    </w:p>
    <w:p w14:paraId="38C3346A" w14:textId="77777777" w:rsidR="00512FF5" w:rsidRDefault="00512FF5" w:rsidP="0096492E">
      <w:pPr>
        <w:autoSpaceDE w:val="0"/>
        <w:autoSpaceDN w:val="0"/>
        <w:adjustRightInd w:val="0"/>
        <w:jc w:val="both"/>
        <w:rPr>
          <w:rFonts w:ascii="Arial" w:hAnsi="Arial" w:cs="Arial"/>
          <w:szCs w:val="24"/>
        </w:rPr>
      </w:pPr>
    </w:p>
    <w:p w14:paraId="33BEA6A4" w14:textId="77777777" w:rsidR="0096492E" w:rsidRPr="0096492E" w:rsidRDefault="00CB0989" w:rsidP="0044500E">
      <w:pPr>
        <w:pStyle w:val="TIT3"/>
        <w:numPr>
          <w:ilvl w:val="2"/>
          <w:numId w:val="177"/>
        </w:numPr>
      </w:pPr>
      <w:bookmarkStart w:id="1185" w:name="_Toc124314762"/>
      <w:bookmarkStart w:id="1186" w:name="_Toc124956291"/>
      <w:bookmarkStart w:id="1187" w:name="_Toc125384639"/>
      <w:bookmarkStart w:id="1188" w:name="_Toc125385028"/>
      <w:bookmarkStart w:id="1189" w:name="_Toc127957701"/>
      <w:r>
        <w:t>Réunion avec les</w:t>
      </w:r>
      <w:r w:rsidR="0096492E" w:rsidRPr="0096492E">
        <w:t xml:space="preserve"> </w:t>
      </w:r>
      <w:r w:rsidR="0096492E">
        <w:t>notables</w:t>
      </w:r>
      <w:bookmarkEnd w:id="1185"/>
      <w:bookmarkEnd w:id="1186"/>
      <w:bookmarkEnd w:id="1187"/>
      <w:bookmarkEnd w:id="1188"/>
      <w:bookmarkEnd w:id="1189"/>
      <w:r w:rsidR="0096492E" w:rsidRPr="0096492E">
        <w:t xml:space="preserve"> </w:t>
      </w:r>
    </w:p>
    <w:p w14:paraId="340BBD24" w14:textId="77777777" w:rsidR="00B37CFA" w:rsidRPr="00B37CFA" w:rsidRDefault="00B37CFA" w:rsidP="0044500E">
      <w:pPr>
        <w:pStyle w:val="TIT40"/>
        <w:numPr>
          <w:ilvl w:val="3"/>
          <w:numId w:val="177"/>
        </w:numPr>
      </w:pPr>
      <w:bookmarkStart w:id="1190" w:name="_Toc124314763"/>
      <w:bookmarkStart w:id="1191" w:name="_Toc124956292"/>
      <w:bookmarkStart w:id="1192" w:name="_Toc125384640"/>
      <w:bookmarkStart w:id="1193" w:name="_Toc125385029"/>
      <w:bookmarkStart w:id="1194" w:name="_Toc127957702"/>
      <w:r w:rsidRPr="00B37CFA">
        <w:t>Déroulement de la réunion</w:t>
      </w:r>
      <w:bookmarkEnd w:id="1190"/>
      <w:bookmarkEnd w:id="1191"/>
      <w:bookmarkEnd w:id="1192"/>
      <w:bookmarkEnd w:id="1193"/>
      <w:bookmarkEnd w:id="1194"/>
    </w:p>
    <w:p w14:paraId="4163E692" w14:textId="77777777" w:rsidR="00B37CFA" w:rsidRDefault="00B37CFA" w:rsidP="0096492E">
      <w:pPr>
        <w:autoSpaceDE w:val="0"/>
        <w:autoSpaceDN w:val="0"/>
        <w:adjustRightInd w:val="0"/>
        <w:jc w:val="both"/>
        <w:rPr>
          <w:rFonts w:ascii="Arial" w:hAnsi="Arial" w:cs="Arial"/>
          <w:szCs w:val="24"/>
        </w:rPr>
      </w:pPr>
      <w:r>
        <w:rPr>
          <w:rFonts w:ascii="Arial" w:hAnsi="Arial" w:cs="Arial"/>
          <w:szCs w:val="24"/>
        </w:rPr>
        <w:t>Selon le tableau suivant, la réunion avec le notable dans chaque site visité s’est déroulé</w:t>
      </w:r>
      <w:r w:rsidR="003B02C7">
        <w:rPr>
          <w:rFonts w:ascii="Arial" w:hAnsi="Arial" w:cs="Arial"/>
          <w:szCs w:val="24"/>
        </w:rPr>
        <w:t>e</w:t>
      </w:r>
      <w:r>
        <w:rPr>
          <w:rFonts w:ascii="Arial" w:hAnsi="Arial" w:cs="Arial"/>
          <w:szCs w:val="24"/>
        </w:rPr>
        <w:t xml:space="preserve"> </w:t>
      </w:r>
      <w:r w:rsidR="003B02C7">
        <w:rPr>
          <w:rFonts w:ascii="Arial" w:hAnsi="Arial" w:cs="Arial"/>
          <w:szCs w:val="24"/>
        </w:rPr>
        <w:t xml:space="preserve">du </w:t>
      </w:r>
      <w:r>
        <w:rPr>
          <w:rFonts w:ascii="Arial" w:hAnsi="Arial" w:cs="Arial"/>
          <w:szCs w:val="24"/>
        </w:rPr>
        <w:t xml:space="preserve">17/12/2022 au 19/12/2022, dans les 13 sites, 121 notables ont participé à la réunion dont 01 femme et 120 hommes. </w:t>
      </w:r>
    </w:p>
    <w:p w14:paraId="3091365F" w14:textId="77777777" w:rsidR="0096492E" w:rsidRPr="00EE273B" w:rsidRDefault="00EE273B" w:rsidP="00EE273B">
      <w:pPr>
        <w:pStyle w:val="Lgende"/>
        <w:jc w:val="center"/>
        <w:rPr>
          <w:sz w:val="20"/>
        </w:rPr>
      </w:pPr>
      <w:bookmarkStart w:id="1195" w:name="_Toc127957880"/>
      <w:r w:rsidRPr="00EE273B">
        <w:rPr>
          <w:sz w:val="20"/>
        </w:rPr>
        <w:t xml:space="preserve">Tableau </w:t>
      </w:r>
      <w:r w:rsidRPr="00EE273B">
        <w:rPr>
          <w:sz w:val="20"/>
        </w:rPr>
        <w:fldChar w:fldCharType="begin"/>
      </w:r>
      <w:r w:rsidRPr="00EE273B">
        <w:rPr>
          <w:sz w:val="20"/>
        </w:rPr>
        <w:instrText xml:space="preserve"> SEQ Tableau \* ARABIC </w:instrText>
      </w:r>
      <w:r w:rsidRPr="00EE273B">
        <w:rPr>
          <w:sz w:val="20"/>
        </w:rPr>
        <w:fldChar w:fldCharType="separate"/>
      </w:r>
      <w:r w:rsidR="005430A1">
        <w:rPr>
          <w:noProof/>
          <w:sz w:val="20"/>
        </w:rPr>
        <w:t>84</w:t>
      </w:r>
      <w:r w:rsidRPr="00EE273B">
        <w:rPr>
          <w:sz w:val="20"/>
        </w:rPr>
        <w:fldChar w:fldCharType="end"/>
      </w:r>
      <w:r w:rsidRPr="00EE273B">
        <w:rPr>
          <w:sz w:val="20"/>
        </w:rPr>
        <w:t xml:space="preserve">. Information sur la consultation des notables dans </w:t>
      </w:r>
      <w:r>
        <w:rPr>
          <w:sz w:val="20"/>
        </w:rPr>
        <w:t>les sites visités</w:t>
      </w:r>
      <w:bookmarkEnd w:id="1195"/>
    </w:p>
    <w:tbl>
      <w:tblPr>
        <w:tblW w:w="9048" w:type="dxa"/>
        <w:tblInd w:w="-176"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705"/>
        <w:gridCol w:w="2740"/>
        <w:gridCol w:w="1280"/>
        <w:gridCol w:w="1220"/>
        <w:gridCol w:w="1220"/>
        <w:gridCol w:w="883"/>
      </w:tblGrid>
      <w:tr w:rsidR="0063584D" w:rsidRPr="007F78CE" w14:paraId="38BB9EBA" w14:textId="77777777" w:rsidTr="007F78CE">
        <w:trPr>
          <w:trHeight w:val="300"/>
          <w:tblHeader/>
        </w:trPr>
        <w:tc>
          <w:tcPr>
            <w:tcW w:w="1705" w:type="dxa"/>
            <w:shd w:val="clear" w:color="auto" w:fill="4F81BD"/>
            <w:noWrap/>
            <w:vAlign w:val="center"/>
            <w:hideMark/>
          </w:tcPr>
          <w:p w14:paraId="4DDFB15A" w14:textId="77777777" w:rsidR="0096492E" w:rsidRPr="007F78CE" w:rsidRDefault="0096492E" w:rsidP="007F78CE">
            <w:pPr>
              <w:spacing w:after="0" w:line="240" w:lineRule="auto"/>
              <w:jc w:val="center"/>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Région</w:t>
            </w:r>
          </w:p>
        </w:tc>
        <w:tc>
          <w:tcPr>
            <w:tcW w:w="2740" w:type="dxa"/>
            <w:shd w:val="clear" w:color="auto" w:fill="4F81BD"/>
            <w:noWrap/>
            <w:vAlign w:val="center"/>
            <w:hideMark/>
          </w:tcPr>
          <w:p w14:paraId="19A3B78B" w14:textId="77777777" w:rsidR="0096492E" w:rsidRPr="007F78CE" w:rsidRDefault="0096492E" w:rsidP="007F78CE">
            <w:pPr>
              <w:spacing w:after="0" w:line="240" w:lineRule="auto"/>
              <w:jc w:val="center"/>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Commune</w:t>
            </w:r>
          </w:p>
        </w:tc>
        <w:tc>
          <w:tcPr>
            <w:tcW w:w="1280" w:type="dxa"/>
            <w:shd w:val="clear" w:color="auto" w:fill="4F81BD"/>
            <w:noWrap/>
            <w:vAlign w:val="center"/>
            <w:hideMark/>
          </w:tcPr>
          <w:p w14:paraId="38C50DEA" w14:textId="77777777" w:rsidR="0096492E" w:rsidRPr="007F78CE" w:rsidRDefault="0096492E" w:rsidP="007F78CE">
            <w:pPr>
              <w:spacing w:after="0" w:line="240" w:lineRule="auto"/>
              <w:jc w:val="center"/>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Date</w:t>
            </w:r>
          </w:p>
        </w:tc>
        <w:tc>
          <w:tcPr>
            <w:tcW w:w="1220" w:type="dxa"/>
            <w:shd w:val="clear" w:color="auto" w:fill="4F81BD"/>
            <w:noWrap/>
            <w:vAlign w:val="center"/>
            <w:hideMark/>
          </w:tcPr>
          <w:p w14:paraId="7AB3893E" w14:textId="77777777" w:rsidR="0096492E" w:rsidRPr="007F78CE" w:rsidRDefault="0096492E" w:rsidP="007F78CE">
            <w:pPr>
              <w:spacing w:after="0" w:line="240" w:lineRule="auto"/>
              <w:jc w:val="center"/>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Nb Hommes</w:t>
            </w:r>
          </w:p>
        </w:tc>
        <w:tc>
          <w:tcPr>
            <w:tcW w:w="1220" w:type="dxa"/>
            <w:shd w:val="clear" w:color="auto" w:fill="4F81BD"/>
            <w:noWrap/>
            <w:vAlign w:val="center"/>
            <w:hideMark/>
          </w:tcPr>
          <w:p w14:paraId="54A51B6A" w14:textId="77777777" w:rsidR="0096492E" w:rsidRPr="007F78CE" w:rsidRDefault="0096492E" w:rsidP="007F78CE">
            <w:pPr>
              <w:spacing w:after="0" w:line="240" w:lineRule="auto"/>
              <w:jc w:val="center"/>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Nb femmes</w:t>
            </w:r>
          </w:p>
        </w:tc>
        <w:tc>
          <w:tcPr>
            <w:tcW w:w="883" w:type="dxa"/>
            <w:shd w:val="clear" w:color="auto" w:fill="4F81BD"/>
            <w:noWrap/>
            <w:vAlign w:val="center"/>
            <w:hideMark/>
          </w:tcPr>
          <w:p w14:paraId="5D199024" w14:textId="77777777" w:rsidR="0096492E" w:rsidRPr="007F78CE" w:rsidRDefault="0096492E" w:rsidP="007F78CE">
            <w:pPr>
              <w:spacing w:after="0" w:line="240" w:lineRule="auto"/>
              <w:jc w:val="center"/>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TOTAL</w:t>
            </w:r>
          </w:p>
        </w:tc>
      </w:tr>
      <w:tr w:rsidR="0063584D" w:rsidRPr="007F78CE" w14:paraId="5DDD0EDF" w14:textId="77777777" w:rsidTr="007F78CE">
        <w:trPr>
          <w:trHeight w:val="300"/>
        </w:trPr>
        <w:tc>
          <w:tcPr>
            <w:tcW w:w="1705" w:type="dxa"/>
            <w:tcBorders>
              <w:top w:val="single" w:sz="8" w:space="0" w:color="4F81BD"/>
              <w:left w:val="single" w:sz="8" w:space="0" w:color="4F81BD"/>
              <w:bottom w:val="single" w:sz="8" w:space="0" w:color="4F81BD"/>
            </w:tcBorders>
            <w:shd w:val="clear" w:color="auto" w:fill="auto"/>
            <w:noWrap/>
            <w:hideMark/>
          </w:tcPr>
          <w:p w14:paraId="10C523C2" w14:textId="77777777" w:rsidR="0096492E" w:rsidRPr="007F78CE" w:rsidRDefault="0096492E"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Bongolava</w:t>
            </w:r>
          </w:p>
        </w:tc>
        <w:tc>
          <w:tcPr>
            <w:tcW w:w="2740" w:type="dxa"/>
            <w:tcBorders>
              <w:top w:val="single" w:sz="8" w:space="0" w:color="4F81BD"/>
              <w:bottom w:val="single" w:sz="8" w:space="0" w:color="4F81BD"/>
            </w:tcBorders>
            <w:shd w:val="clear" w:color="auto" w:fill="auto"/>
            <w:noWrap/>
            <w:hideMark/>
          </w:tcPr>
          <w:p w14:paraId="75F98950" w14:textId="77777777" w:rsidR="0096492E" w:rsidRPr="007F78CE" w:rsidRDefault="0096492E"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Tsiroanomandidy Fihaonana</w:t>
            </w:r>
          </w:p>
        </w:tc>
        <w:tc>
          <w:tcPr>
            <w:tcW w:w="1280" w:type="dxa"/>
            <w:tcBorders>
              <w:top w:val="single" w:sz="8" w:space="0" w:color="4F81BD"/>
              <w:bottom w:val="single" w:sz="8" w:space="0" w:color="4F81BD"/>
            </w:tcBorders>
            <w:shd w:val="clear" w:color="auto" w:fill="auto"/>
            <w:noWrap/>
            <w:hideMark/>
          </w:tcPr>
          <w:p w14:paraId="0115B8FA"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19/12/2022</w:t>
            </w:r>
          </w:p>
        </w:tc>
        <w:tc>
          <w:tcPr>
            <w:tcW w:w="1220" w:type="dxa"/>
            <w:tcBorders>
              <w:top w:val="single" w:sz="8" w:space="0" w:color="4F81BD"/>
              <w:bottom w:val="single" w:sz="8" w:space="0" w:color="4F81BD"/>
            </w:tcBorders>
            <w:shd w:val="clear" w:color="auto" w:fill="auto"/>
            <w:noWrap/>
            <w:hideMark/>
          </w:tcPr>
          <w:p w14:paraId="39660C7D"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9</w:t>
            </w:r>
          </w:p>
        </w:tc>
        <w:tc>
          <w:tcPr>
            <w:tcW w:w="1220" w:type="dxa"/>
            <w:tcBorders>
              <w:top w:val="single" w:sz="8" w:space="0" w:color="4F81BD"/>
              <w:bottom w:val="single" w:sz="8" w:space="0" w:color="4F81BD"/>
            </w:tcBorders>
            <w:shd w:val="clear" w:color="auto" w:fill="auto"/>
            <w:noWrap/>
            <w:hideMark/>
          </w:tcPr>
          <w:p w14:paraId="1AF9DDB2"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0</w:t>
            </w:r>
          </w:p>
        </w:tc>
        <w:tc>
          <w:tcPr>
            <w:tcW w:w="883" w:type="dxa"/>
            <w:tcBorders>
              <w:top w:val="single" w:sz="8" w:space="0" w:color="4F81BD"/>
              <w:bottom w:val="single" w:sz="8" w:space="0" w:color="4F81BD"/>
              <w:right w:val="single" w:sz="8" w:space="0" w:color="4F81BD"/>
            </w:tcBorders>
            <w:shd w:val="clear" w:color="auto" w:fill="auto"/>
            <w:noWrap/>
            <w:hideMark/>
          </w:tcPr>
          <w:p w14:paraId="7EBAC323"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9</w:t>
            </w:r>
          </w:p>
        </w:tc>
      </w:tr>
      <w:tr w:rsidR="0063584D" w:rsidRPr="007F78CE" w14:paraId="4AA9C011" w14:textId="77777777" w:rsidTr="007F78CE">
        <w:trPr>
          <w:trHeight w:val="300"/>
        </w:trPr>
        <w:tc>
          <w:tcPr>
            <w:tcW w:w="1705" w:type="dxa"/>
            <w:shd w:val="clear" w:color="auto" w:fill="auto"/>
            <w:noWrap/>
            <w:hideMark/>
          </w:tcPr>
          <w:p w14:paraId="04907647" w14:textId="77777777" w:rsidR="0096492E" w:rsidRPr="007F78CE" w:rsidRDefault="0096492E"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Bongolava</w:t>
            </w:r>
          </w:p>
        </w:tc>
        <w:tc>
          <w:tcPr>
            <w:tcW w:w="2740" w:type="dxa"/>
            <w:shd w:val="clear" w:color="auto" w:fill="auto"/>
            <w:noWrap/>
            <w:hideMark/>
          </w:tcPr>
          <w:p w14:paraId="35163F89" w14:textId="77777777" w:rsidR="0096492E" w:rsidRPr="007F78CE" w:rsidRDefault="0096492E"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Tsinjoarivo Imanga</w:t>
            </w:r>
          </w:p>
        </w:tc>
        <w:tc>
          <w:tcPr>
            <w:tcW w:w="1280" w:type="dxa"/>
            <w:shd w:val="clear" w:color="auto" w:fill="auto"/>
            <w:noWrap/>
            <w:hideMark/>
          </w:tcPr>
          <w:p w14:paraId="31903806"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18/12/2022</w:t>
            </w:r>
          </w:p>
        </w:tc>
        <w:tc>
          <w:tcPr>
            <w:tcW w:w="1220" w:type="dxa"/>
            <w:shd w:val="clear" w:color="auto" w:fill="auto"/>
            <w:noWrap/>
            <w:hideMark/>
          </w:tcPr>
          <w:p w14:paraId="04C1FC13"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11</w:t>
            </w:r>
          </w:p>
        </w:tc>
        <w:tc>
          <w:tcPr>
            <w:tcW w:w="1220" w:type="dxa"/>
            <w:shd w:val="clear" w:color="auto" w:fill="auto"/>
            <w:noWrap/>
            <w:hideMark/>
          </w:tcPr>
          <w:p w14:paraId="20F019BB"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0</w:t>
            </w:r>
          </w:p>
        </w:tc>
        <w:tc>
          <w:tcPr>
            <w:tcW w:w="883" w:type="dxa"/>
            <w:shd w:val="clear" w:color="auto" w:fill="auto"/>
            <w:noWrap/>
            <w:hideMark/>
          </w:tcPr>
          <w:p w14:paraId="3617D095"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11</w:t>
            </w:r>
          </w:p>
        </w:tc>
      </w:tr>
      <w:tr w:rsidR="0063584D" w:rsidRPr="007F78CE" w14:paraId="4BD40BF7" w14:textId="77777777" w:rsidTr="007F78CE">
        <w:trPr>
          <w:trHeight w:val="300"/>
        </w:trPr>
        <w:tc>
          <w:tcPr>
            <w:tcW w:w="1705" w:type="dxa"/>
            <w:tcBorders>
              <w:top w:val="single" w:sz="8" w:space="0" w:color="4F81BD"/>
              <w:left w:val="single" w:sz="8" w:space="0" w:color="4F81BD"/>
              <w:bottom w:val="single" w:sz="8" w:space="0" w:color="4F81BD"/>
            </w:tcBorders>
            <w:shd w:val="clear" w:color="auto" w:fill="auto"/>
            <w:noWrap/>
            <w:hideMark/>
          </w:tcPr>
          <w:p w14:paraId="6D3A2124" w14:textId="77777777" w:rsidR="0096492E" w:rsidRPr="007F78CE" w:rsidRDefault="0096492E"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Bongolava</w:t>
            </w:r>
          </w:p>
        </w:tc>
        <w:tc>
          <w:tcPr>
            <w:tcW w:w="2740" w:type="dxa"/>
            <w:tcBorders>
              <w:top w:val="single" w:sz="8" w:space="0" w:color="4F81BD"/>
              <w:bottom w:val="single" w:sz="8" w:space="0" w:color="4F81BD"/>
            </w:tcBorders>
            <w:shd w:val="clear" w:color="auto" w:fill="auto"/>
            <w:noWrap/>
            <w:hideMark/>
          </w:tcPr>
          <w:p w14:paraId="6A166187" w14:textId="77777777" w:rsidR="0096492E" w:rsidRPr="007F78CE" w:rsidRDefault="0096492E"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Ankadinondry Sakay</w:t>
            </w:r>
          </w:p>
        </w:tc>
        <w:tc>
          <w:tcPr>
            <w:tcW w:w="1280" w:type="dxa"/>
            <w:tcBorders>
              <w:top w:val="single" w:sz="8" w:space="0" w:color="4F81BD"/>
              <w:bottom w:val="single" w:sz="8" w:space="0" w:color="4F81BD"/>
            </w:tcBorders>
            <w:shd w:val="clear" w:color="auto" w:fill="auto"/>
            <w:noWrap/>
            <w:hideMark/>
          </w:tcPr>
          <w:p w14:paraId="77A87731"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17/12/2022</w:t>
            </w:r>
          </w:p>
        </w:tc>
        <w:tc>
          <w:tcPr>
            <w:tcW w:w="1220" w:type="dxa"/>
            <w:tcBorders>
              <w:top w:val="single" w:sz="8" w:space="0" w:color="4F81BD"/>
              <w:bottom w:val="single" w:sz="8" w:space="0" w:color="4F81BD"/>
            </w:tcBorders>
            <w:shd w:val="clear" w:color="auto" w:fill="auto"/>
            <w:noWrap/>
            <w:hideMark/>
          </w:tcPr>
          <w:p w14:paraId="14F19C5F"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12</w:t>
            </w:r>
          </w:p>
        </w:tc>
        <w:tc>
          <w:tcPr>
            <w:tcW w:w="1220" w:type="dxa"/>
            <w:tcBorders>
              <w:top w:val="single" w:sz="8" w:space="0" w:color="4F81BD"/>
              <w:bottom w:val="single" w:sz="8" w:space="0" w:color="4F81BD"/>
            </w:tcBorders>
            <w:shd w:val="clear" w:color="auto" w:fill="auto"/>
            <w:noWrap/>
            <w:hideMark/>
          </w:tcPr>
          <w:p w14:paraId="1408AEDF"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0</w:t>
            </w:r>
          </w:p>
        </w:tc>
        <w:tc>
          <w:tcPr>
            <w:tcW w:w="883" w:type="dxa"/>
            <w:tcBorders>
              <w:top w:val="single" w:sz="8" w:space="0" w:color="4F81BD"/>
              <w:bottom w:val="single" w:sz="8" w:space="0" w:color="4F81BD"/>
              <w:right w:val="single" w:sz="8" w:space="0" w:color="4F81BD"/>
            </w:tcBorders>
            <w:shd w:val="clear" w:color="auto" w:fill="auto"/>
            <w:noWrap/>
            <w:hideMark/>
          </w:tcPr>
          <w:p w14:paraId="2C2969FE"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12</w:t>
            </w:r>
          </w:p>
        </w:tc>
      </w:tr>
      <w:tr w:rsidR="0063584D" w:rsidRPr="007F78CE" w14:paraId="65ECFF03" w14:textId="77777777" w:rsidTr="007F78CE">
        <w:trPr>
          <w:trHeight w:val="300"/>
        </w:trPr>
        <w:tc>
          <w:tcPr>
            <w:tcW w:w="1705" w:type="dxa"/>
            <w:shd w:val="clear" w:color="auto" w:fill="auto"/>
            <w:noWrap/>
            <w:hideMark/>
          </w:tcPr>
          <w:p w14:paraId="20DBE2A4" w14:textId="77777777" w:rsidR="0096492E" w:rsidRPr="007F78CE" w:rsidRDefault="0096492E"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Menabe</w:t>
            </w:r>
          </w:p>
        </w:tc>
        <w:tc>
          <w:tcPr>
            <w:tcW w:w="2740" w:type="dxa"/>
            <w:shd w:val="clear" w:color="auto" w:fill="auto"/>
            <w:noWrap/>
            <w:hideMark/>
          </w:tcPr>
          <w:p w14:paraId="2E92743D" w14:textId="77777777" w:rsidR="0096492E" w:rsidRPr="007F78CE" w:rsidRDefault="0096492E"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Mahabo</w:t>
            </w:r>
          </w:p>
        </w:tc>
        <w:tc>
          <w:tcPr>
            <w:tcW w:w="1280" w:type="dxa"/>
            <w:shd w:val="clear" w:color="auto" w:fill="auto"/>
            <w:noWrap/>
            <w:hideMark/>
          </w:tcPr>
          <w:p w14:paraId="438206A7"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19/12/2022</w:t>
            </w:r>
          </w:p>
        </w:tc>
        <w:tc>
          <w:tcPr>
            <w:tcW w:w="1220" w:type="dxa"/>
            <w:shd w:val="clear" w:color="auto" w:fill="auto"/>
            <w:noWrap/>
            <w:hideMark/>
          </w:tcPr>
          <w:p w14:paraId="6E45FAE0"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12</w:t>
            </w:r>
          </w:p>
        </w:tc>
        <w:tc>
          <w:tcPr>
            <w:tcW w:w="1220" w:type="dxa"/>
            <w:shd w:val="clear" w:color="auto" w:fill="auto"/>
            <w:noWrap/>
            <w:hideMark/>
          </w:tcPr>
          <w:p w14:paraId="0DB644C9"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0</w:t>
            </w:r>
          </w:p>
        </w:tc>
        <w:tc>
          <w:tcPr>
            <w:tcW w:w="883" w:type="dxa"/>
            <w:shd w:val="clear" w:color="auto" w:fill="auto"/>
            <w:noWrap/>
            <w:hideMark/>
          </w:tcPr>
          <w:p w14:paraId="24798B98"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12</w:t>
            </w:r>
          </w:p>
        </w:tc>
      </w:tr>
      <w:tr w:rsidR="0063584D" w:rsidRPr="007F78CE" w14:paraId="03C78C8D" w14:textId="77777777" w:rsidTr="007F78CE">
        <w:trPr>
          <w:trHeight w:val="300"/>
        </w:trPr>
        <w:tc>
          <w:tcPr>
            <w:tcW w:w="1705" w:type="dxa"/>
            <w:tcBorders>
              <w:top w:val="single" w:sz="8" w:space="0" w:color="4F81BD"/>
              <w:left w:val="single" w:sz="8" w:space="0" w:color="4F81BD"/>
              <w:bottom w:val="single" w:sz="8" w:space="0" w:color="4F81BD"/>
            </w:tcBorders>
            <w:shd w:val="clear" w:color="auto" w:fill="auto"/>
            <w:noWrap/>
            <w:hideMark/>
          </w:tcPr>
          <w:p w14:paraId="50000A27" w14:textId="77777777" w:rsidR="0096492E" w:rsidRPr="007F78CE" w:rsidRDefault="0096492E"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Menabe</w:t>
            </w:r>
          </w:p>
        </w:tc>
        <w:tc>
          <w:tcPr>
            <w:tcW w:w="2740" w:type="dxa"/>
            <w:tcBorders>
              <w:top w:val="single" w:sz="8" w:space="0" w:color="4F81BD"/>
              <w:bottom w:val="single" w:sz="8" w:space="0" w:color="4F81BD"/>
            </w:tcBorders>
            <w:shd w:val="clear" w:color="auto" w:fill="auto"/>
            <w:noWrap/>
            <w:hideMark/>
          </w:tcPr>
          <w:p w14:paraId="2C9261DF" w14:textId="77777777" w:rsidR="0096492E" w:rsidRPr="007F78CE" w:rsidRDefault="0096492E"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Miandrivazo</w:t>
            </w:r>
          </w:p>
        </w:tc>
        <w:tc>
          <w:tcPr>
            <w:tcW w:w="1280" w:type="dxa"/>
            <w:tcBorders>
              <w:top w:val="single" w:sz="8" w:space="0" w:color="4F81BD"/>
              <w:bottom w:val="single" w:sz="8" w:space="0" w:color="4F81BD"/>
            </w:tcBorders>
            <w:shd w:val="clear" w:color="auto" w:fill="auto"/>
            <w:noWrap/>
            <w:hideMark/>
          </w:tcPr>
          <w:p w14:paraId="06C16A7A"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17/12/2022</w:t>
            </w:r>
          </w:p>
        </w:tc>
        <w:tc>
          <w:tcPr>
            <w:tcW w:w="1220" w:type="dxa"/>
            <w:tcBorders>
              <w:top w:val="single" w:sz="8" w:space="0" w:color="4F81BD"/>
              <w:bottom w:val="single" w:sz="8" w:space="0" w:color="4F81BD"/>
            </w:tcBorders>
            <w:shd w:val="clear" w:color="auto" w:fill="auto"/>
            <w:noWrap/>
            <w:hideMark/>
          </w:tcPr>
          <w:p w14:paraId="451E8238"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5</w:t>
            </w:r>
          </w:p>
        </w:tc>
        <w:tc>
          <w:tcPr>
            <w:tcW w:w="1220" w:type="dxa"/>
            <w:tcBorders>
              <w:top w:val="single" w:sz="8" w:space="0" w:color="4F81BD"/>
              <w:bottom w:val="single" w:sz="8" w:space="0" w:color="4F81BD"/>
            </w:tcBorders>
            <w:shd w:val="clear" w:color="auto" w:fill="auto"/>
            <w:noWrap/>
            <w:hideMark/>
          </w:tcPr>
          <w:p w14:paraId="3E766527"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0</w:t>
            </w:r>
          </w:p>
        </w:tc>
        <w:tc>
          <w:tcPr>
            <w:tcW w:w="883" w:type="dxa"/>
            <w:tcBorders>
              <w:top w:val="single" w:sz="8" w:space="0" w:color="4F81BD"/>
              <w:bottom w:val="single" w:sz="8" w:space="0" w:color="4F81BD"/>
              <w:right w:val="single" w:sz="8" w:space="0" w:color="4F81BD"/>
            </w:tcBorders>
            <w:shd w:val="clear" w:color="auto" w:fill="auto"/>
            <w:noWrap/>
            <w:hideMark/>
          </w:tcPr>
          <w:p w14:paraId="5F135598"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5</w:t>
            </w:r>
          </w:p>
        </w:tc>
      </w:tr>
      <w:tr w:rsidR="0063584D" w:rsidRPr="007F78CE" w14:paraId="23C974C3" w14:textId="77777777" w:rsidTr="007F78CE">
        <w:trPr>
          <w:trHeight w:val="300"/>
        </w:trPr>
        <w:tc>
          <w:tcPr>
            <w:tcW w:w="1705" w:type="dxa"/>
            <w:shd w:val="clear" w:color="auto" w:fill="auto"/>
            <w:noWrap/>
            <w:hideMark/>
          </w:tcPr>
          <w:p w14:paraId="1967B905" w14:textId="77777777" w:rsidR="0096492E" w:rsidRPr="007F78CE" w:rsidRDefault="0096492E"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Fitovinany</w:t>
            </w:r>
          </w:p>
        </w:tc>
        <w:tc>
          <w:tcPr>
            <w:tcW w:w="2740" w:type="dxa"/>
            <w:shd w:val="clear" w:color="auto" w:fill="auto"/>
            <w:noWrap/>
            <w:hideMark/>
          </w:tcPr>
          <w:p w14:paraId="3B31A658" w14:textId="77777777" w:rsidR="0096492E" w:rsidRPr="007F78CE" w:rsidRDefault="0096492E"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Vohitsindry</w:t>
            </w:r>
          </w:p>
        </w:tc>
        <w:tc>
          <w:tcPr>
            <w:tcW w:w="1280" w:type="dxa"/>
            <w:shd w:val="clear" w:color="auto" w:fill="auto"/>
            <w:noWrap/>
            <w:hideMark/>
          </w:tcPr>
          <w:p w14:paraId="7AC75A47"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17/12/2022</w:t>
            </w:r>
          </w:p>
        </w:tc>
        <w:tc>
          <w:tcPr>
            <w:tcW w:w="1220" w:type="dxa"/>
            <w:shd w:val="clear" w:color="auto" w:fill="auto"/>
            <w:noWrap/>
            <w:hideMark/>
          </w:tcPr>
          <w:p w14:paraId="4CDF4D9A"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15</w:t>
            </w:r>
          </w:p>
        </w:tc>
        <w:tc>
          <w:tcPr>
            <w:tcW w:w="1220" w:type="dxa"/>
            <w:shd w:val="clear" w:color="auto" w:fill="auto"/>
            <w:noWrap/>
            <w:hideMark/>
          </w:tcPr>
          <w:p w14:paraId="2DB0F7DF"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0</w:t>
            </w:r>
          </w:p>
        </w:tc>
        <w:tc>
          <w:tcPr>
            <w:tcW w:w="883" w:type="dxa"/>
            <w:shd w:val="clear" w:color="auto" w:fill="auto"/>
            <w:noWrap/>
            <w:hideMark/>
          </w:tcPr>
          <w:p w14:paraId="7921E134"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15</w:t>
            </w:r>
          </w:p>
        </w:tc>
      </w:tr>
      <w:tr w:rsidR="0063584D" w:rsidRPr="007F78CE" w14:paraId="2844679F" w14:textId="77777777" w:rsidTr="007F78CE">
        <w:trPr>
          <w:trHeight w:val="300"/>
        </w:trPr>
        <w:tc>
          <w:tcPr>
            <w:tcW w:w="1705" w:type="dxa"/>
            <w:tcBorders>
              <w:top w:val="single" w:sz="8" w:space="0" w:color="4F81BD"/>
              <w:left w:val="single" w:sz="8" w:space="0" w:color="4F81BD"/>
              <w:bottom w:val="single" w:sz="8" w:space="0" w:color="4F81BD"/>
            </w:tcBorders>
            <w:shd w:val="clear" w:color="auto" w:fill="auto"/>
            <w:noWrap/>
            <w:hideMark/>
          </w:tcPr>
          <w:p w14:paraId="029133D6" w14:textId="77777777" w:rsidR="0096492E" w:rsidRPr="007F78CE" w:rsidRDefault="0096492E"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Fitovinany</w:t>
            </w:r>
          </w:p>
        </w:tc>
        <w:tc>
          <w:tcPr>
            <w:tcW w:w="2740" w:type="dxa"/>
            <w:tcBorders>
              <w:top w:val="single" w:sz="8" w:space="0" w:color="4F81BD"/>
              <w:bottom w:val="single" w:sz="8" w:space="0" w:color="4F81BD"/>
            </w:tcBorders>
            <w:shd w:val="clear" w:color="auto" w:fill="auto"/>
            <w:noWrap/>
            <w:hideMark/>
          </w:tcPr>
          <w:p w14:paraId="177E47CD" w14:textId="77777777" w:rsidR="0096492E" w:rsidRPr="007F78CE" w:rsidRDefault="0096492E"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Ambila</w:t>
            </w:r>
          </w:p>
        </w:tc>
        <w:tc>
          <w:tcPr>
            <w:tcW w:w="1280" w:type="dxa"/>
            <w:tcBorders>
              <w:top w:val="single" w:sz="8" w:space="0" w:color="4F81BD"/>
              <w:bottom w:val="single" w:sz="8" w:space="0" w:color="4F81BD"/>
            </w:tcBorders>
            <w:shd w:val="clear" w:color="auto" w:fill="auto"/>
            <w:noWrap/>
            <w:hideMark/>
          </w:tcPr>
          <w:p w14:paraId="629539A5"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20/12/2022</w:t>
            </w:r>
          </w:p>
        </w:tc>
        <w:tc>
          <w:tcPr>
            <w:tcW w:w="1220" w:type="dxa"/>
            <w:tcBorders>
              <w:top w:val="single" w:sz="8" w:space="0" w:color="4F81BD"/>
              <w:bottom w:val="single" w:sz="8" w:space="0" w:color="4F81BD"/>
            </w:tcBorders>
            <w:shd w:val="clear" w:color="auto" w:fill="auto"/>
            <w:noWrap/>
            <w:hideMark/>
          </w:tcPr>
          <w:p w14:paraId="11D16C4D"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11</w:t>
            </w:r>
          </w:p>
        </w:tc>
        <w:tc>
          <w:tcPr>
            <w:tcW w:w="1220" w:type="dxa"/>
            <w:tcBorders>
              <w:top w:val="single" w:sz="8" w:space="0" w:color="4F81BD"/>
              <w:bottom w:val="single" w:sz="8" w:space="0" w:color="4F81BD"/>
            </w:tcBorders>
            <w:shd w:val="clear" w:color="auto" w:fill="auto"/>
            <w:noWrap/>
            <w:hideMark/>
          </w:tcPr>
          <w:p w14:paraId="2A347507"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0</w:t>
            </w:r>
          </w:p>
        </w:tc>
        <w:tc>
          <w:tcPr>
            <w:tcW w:w="883" w:type="dxa"/>
            <w:tcBorders>
              <w:top w:val="single" w:sz="8" w:space="0" w:color="4F81BD"/>
              <w:bottom w:val="single" w:sz="8" w:space="0" w:color="4F81BD"/>
              <w:right w:val="single" w:sz="8" w:space="0" w:color="4F81BD"/>
            </w:tcBorders>
            <w:shd w:val="clear" w:color="auto" w:fill="auto"/>
            <w:noWrap/>
            <w:hideMark/>
          </w:tcPr>
          <w:p w14:paraId="397A6A15"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11</w:t>
            </w:r>
          </w:p>
        </w:tc>
      </w:tr>
      <w:tr w:rsidR="0063584D" w:rsidRPr="007F78CE" w14:paraId="1762C9C8" w14:textId="77777777" w:rsidTr="007F78CE">
        <w:trPr>
          <w:trHeight w:val="300"/>
        </w:trPr>
        <w:tc>
          <w:tcPr>
            <w:tcW w:w="1705" w:type="dxa"/>
            <w:shd w:val="clear" w:color="auto" w:fill="auto"/>
            <w:noWrap/>
            <w:hideMark/>
          </w:tcPr>
          <w:p w14:paraId="6347F6E2" w14:textId="77777777" w:rsidR="0096492E" w:rsidRPr="007F78CE" w:rsidRDefault="0096492E"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Fitovinany</w:t>
            </w:r>
          </w:p>
        </w:tc>
        <w:tc>
          <w:tcPr>
            <w:tcW w:w="2740" w:type="dxa"/>
            <w:shd w:val="clear" w:color="auto" w:fill="auto"/>
            <w:noWrap/>
            <w:hideMark/>
          </w:tcPr>
          <w:p w14:paraId="5AD717D0" w14:textId="77777777" w:rsidR="0096492E" w:rsidRPr="007F78CE" w:rsidRDefault="0096492E"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Nato</w:t>
            </w:r>
          </w:p>
        </w:tc>
        <w:tc>
          <w:tcPr>
            <w:tcW w:w="1280" w:type="dxa"/>
            <w:shd w:val="clear" w:color="auto" w:fill="auto"/>
            <w:noWrap/>
            <w:hideMark/>
          </w:tcPr>
          <w:p w14:paraId="08B96CFE"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18/12/2022</w:t>
            </w:r>
          </w:p>
        </w:tc>
        <w:tc>
          <w:tcPr>
            <w:tcW w:w="1220" w:type="dxa"/>
            <w:shd w:val="clear" w:color="auto" w:fill="auto"/>
            <w:noWrap/>
            <w:hideMark/>
          </w:tcPr>
          <w:p w14:paraId="4C970B5D"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8</w:t>
            </w:r>
          </w:p>
        </w:tc>
        <w:tc>
          <w:tcPr>
            <w:tcW w:w="1220" w:type="dxa"/>
            <w:shd w:val="clear" w:color="auto" w:fill="auto"/>
            <w:noWrap/>
            <w:hideMark/>
          </w:tcPr>
          <w:p w14:paraId="599BC660"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0</w:t>
            </w:r>
          </w:p>
        </w:tc>
        <w:tc>
          <w:tcPr>
            <w:tcW w:w="883" w:type="dxa"/>
            <w:shd w:val="clear" w:color="auto" w:fill="auto"/>
            <w:noWrap/>
            <w:hideMark/>
          </w:tcPr>
          <w:p w14:paraId="481637AD"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8</w:t>
            </w:r>
          </w:p>
        </w:tc>
      </w:tr>
      <w:tr w:rsidR="0063584D" w:rsidRPr="007F78CE" w14:paraId="716C549C" w14:textId="77777777" w:rsidTr="007F78CE">
        <w:trPr>
          <w:trHeight w:val="300"/>
        </w:trPr>
        <w:tc>
          <w:tcPr>
            <w:tcW w:w="1705" w:type="dxa"/>
            <w:tcBorders>
              <w:top w:val="single" w:sz="8" w:space="0" w:color="4F81BD"/>
              <w:left w:val="single" w:sz="8" w:space="0" w:color="4F81BD"/>
              <w:bottom w:val="single" w:sz="8" w:space="0" w:color="4F81BD"/>
            </w:tcBorders>
            <w:shd w:val="clear" w:color="auto" w:fill="auto"/>
            <w:noWrap/>
            <w:hideMark/>
          </w:tcPr>
          <w:p w14:paraId="43E3C0A4" w14:textId="77777777" w:rsidR="0096492E" w:rsidRPr="007F78CE" w:rsidRDefault="0096492E"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Boeny</w:t>
            </w:r>
          </w:p>
        </w:tc>
        <w:tc>
          <w:tcPr>
            <w:tcW w:w="2740" w:type="dxa"/>
            <w:tcBorders>
              <w:top w:val="single" w:sz="8" w:space="0" w:color="4F81BD"/>
              <w:bottom w:val="single" w:sz="8" w:space="0" w:color="4F81BD"/>
            </w:tcBorders>
            <w:shd w:val="clear" w:color="auto" w:fill="auto"/>
            <w:noWrap/>
            <w:hideMark/>
          </w:tcPr>
          <w:p w14:paraId="13623C42" w14:textId="77777777" w:rsidR="0096492E" w:rsidRPr="007F78CE" w:rsidRDefault="0096492E"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Ambatoboeny</w:t>
            </w:r>
          </w:p>
        </w:tc>
        <w:tc>
          <w:tcPr>
            <w:tcW w:w="1280" w:type="dxa"/>
            <w:tcBorders>
              <w:top w:val="single" w:sz="8" w:space="0" w:color="4F81BD"/>
              <w:bottom w:val="single" w:sz="8" w:space="0" w:color="4F81BD"/>
            </w:tcBorders>
            <w:shd w:val="clear" w:color="auto" w:fill="auto"/>
            <w:noWrap/>
            <w:hideMark/>
          </w:tcPr>
          <w:p w14:paraId="3AAE59F0"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17/12/2022</w:t>
            </w:r>
          </w:p>
        </w:tc>
        <w:tc>
          <w:tcPr>
            <w:tcW w:w="1220" w:type="dxa"/>
            <w:tcBorders>
              <w:top w:val="single" w:sz="8" w:space="0" w:color="4F81BD"/>
              <w:bottom w:val="single" w:sz="8" w:space="0" w:color="4F81BD"/>
            </w:tcBorders>
            <w:shd w:val="clear" w:color="auto" w:fill="auto"/>
            <w:noWrap/>
            <w:hideMark/>
          </w:tcPr>
          <w:p w14:paraId="4DBD1B3D"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7</w:t>
            </w:r>
          </w:p>
        </w:tc>
        <w:tc>
          <w:tcPr>
            <w:tcW w:w="1220" w:type="dxa"/>
            <w:tcBorders>
              <w:top w:val="single" w:sz="8" w:space="0" w:color="4F81BD"/>
              <w:bottom w:val="single" w:sz="8" w:space="0" w:color="4F81BD"/>
            </w:tcBorders>
            <w:shd w:val="clear" w:color="auto" w:fill="auto"/>
            <w:noWrap/>
            <w:hideMark/>
          </w:tcPr>
          <w:p w14:paraId="6ACABED6"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w:t>
            </w:r>
          </w:p>
        </w:tc>
        <w:tc>
          <w:tcPr>
            <w:tcW w:w="883" w:type="dxa"/>
            <w:tcBorders>
              <w:top w:val="single" w:sz="8" w:space="0" w:color="4F81BD"/>
              <w:bottom w:val="single" w:sz="8" w:space="0" w:color="4F81BD"/>
              <w:right w:val="single" w:sz="8" w:space="0" w:color="4F81BD"/>
            </w:tcBorders>
            <w:shd w:val="clear" w:color="auto" w:fill="auto"/>
            <w:noWrap/>
            <w:hideMark/>
          </w:tcPr>
          <w:p w14:paraId="7F08031C"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8</w:t>
            </w:r>
          </w:p>
        </w:tc>
      </w:tr>
      <w:tr w:rsidR="0063584D" w:rsidRPr="007F78CE" w14:paraId="4F6A7191" w14:textId="77777777" w:rsidTr="007F78CE">
        <w:trPr>
          <w:trHeight w:val="300"/>
        </w:trPr>
        <w:tc>
          <w:tcPr>
            <w:tcW w:w="1705" w:type="dxa"/>
            <w:shd w:val="clear" w:color="auto" w:fill="auto"/>
            <w:noWrap/>
            <w:hideMark/>
          </w:tcPr>
          <w:p w14:paraId="63F6E639" w14:textId="77777777" w:rsidR="0096492E" w:rsidRPr="007F78CE" w:rsidRDefault="0096492E"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Boeny</w:t>
            </w:r>
          </w:p>
        </w:tc>
        <w:tc>
          <w:tcPr>
            <w:tcW w:w="2740" w:type="dxa"/>
            <w:shd w:val="clear" w:color="auto" w:fill="auto"/>
            <w:noWrap/>
            <w:hideMark/>
          </w:tcPr>
          <w:p w14:paraId="11EAF4CC" w14:textId="77777777" w:rsidR="0096492E" w:rsidRPr="007F78CE" w:rsidRDefault="0096492E"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Marosakoa</w:t>
            </w:r>
          </w:p>
        </w:tc>
        <w:tc>
          <w:tcPr>
            <w:tcW w:w="1280" w:type="dxa"/>
            <w:shd w:val="clear" w:color="auto" w:fill="auto"/>
            <w:noWrap/>
            <w:hideMark/>
          </w:tcPr>
          <w:p w14:paraId="7DBDF2A6"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19/12/2022</w:t>
            </w:r>
          </w:p>
        </w:tc>
        <w:tc>
          <w:tcPr>
            <w:tcW w:w="1220" w:type="dxa"/>
            <w:shd w:val="clear" w:color="auto" w:fill="auto"/>
            <w:noWrap/>
            <w:hideMark/>
          </w:tcPr>
          <w:p w14:paraId="7B12C183"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8</w:t>
            </w:r>
          </w:p>
        </w:tc>
        <w:tc>
          <w:tcPr>
            <w:tcW w:w="1220" w:type="dxa"/>
            <w:shd w:val="clear" w:color="auto" w:fill="auto"/>
            <w:noWrap/>
            <w:hideMark/>
          </w:tcPr>
          <w:p w14:paraId="1996BE7F"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0</w:t>
            </w:r>
          </w:p>
        </w:tc>
        <w:tc>
          <w:tcPr>
            <w:tcW w:w="883" w:type="dxa"/>
            <w:shd w:val="clear" w:color="auto" w:fill="auto"/>
            <w:noWrap/>
            <w:hideMark/>
          </w:tcPr>
          <w:p w14:paraId="4716C403"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8</w:t>
            </w:r>
          </w:p>
        </w:tc>
      </w:tr>
      <w:tr w:rsidR="0063584D" w:rsidRPr="007F78CE" w14:paraId="34E8B9B2" w14:textId="77777777" w:rsidTr="007F78CE">
        <w:trPr>
          <w:trHeight w:val="300"/>
        </w:trPr>
        <w:tc>
          <w:tcPr>
            <w:tcW w:w="1705" w:type="dxa"/>
            <w:tcBorders>
              <w:top w:val="single" w:sz="8" w:space="0" w:color="4F81BD"/>
              <w:left w:val="single" w:sz="8" w:space="0" w:color="4F81BD"/>
              <w:bottom w:val="single" w:sz="8" w:space="0" w:color="4F81BD"/>
            </w:tcBorders>
            <w:shd w:val="clear" w:color="auto" w:fill="auto"/>
            <w:noWrap/>
            <w:hideMark/>
          </w:tcPr>
          <w:p w14:paraId="4193B6A5" w14:textId="77777777" w:rsidR="0096492E" w:rsidRPr="007F78CE" w:rsidRDefault="0096492E"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Vakina</w:t>
            </w:r>
            <w:r w:rsidR="005969CF">
              <w:rPr>
                <w:rFonts w:ascii="Arial" w:eastAsia="Times New Roman" w:hAnsi="Arial" w:cs="Arial"/>
                <w:b/>
                <w:bCs/>
                <w:color w:val="000000"/>
                <w:sz w:val="18"/>
                <w:szCs w:val="18"/>
                <w:lang w:eastAsia="fr-FR"/>
              </w:rPr>
              <w:t>n</w:t>
            </w:r>
            <w:r w:rsidRPr="007F78CE">
              <w:rPr>
                <w:rFonts w:ascii="Arial" w:eastAsia="Times New Roman" w:hAnsi="Arial" w:cs="Arial"/>
                <w:b/>
                <w:bCs/>
                <w:color w:val="000000"/>
                <w:sz w:val="18"/>
                <w:szCs w:val="18"/>
                <w:lang w:eastAsia="fr-FR"/>
              </w:rPr>
              <w:t>karatra</w:t>
            </w:r>
          </w:p>
        </w:tc>
        <w:tc>
          <w:tcPr>
            <w:tcW w:w="2740" w:type="dxa"/>
            <w:tcBorders>
              <w:top w:val="single" w:sz="8" w:space="0" w:color="4F81BD"/>
              <w:bottom w:val="single" w:sz="8" w:space="0" w:color="4F81BD"/>
            </w:tcBorders>
            <w:shd w:val="clear" w:color="auto" w:fill="auto"/>
            <w:noWrap/>
            <w:hideMark/>
          </w:tcPr>
          <w:p w14:paraId="5AD2B227" w14:textId="77777777" w:rsidR="0096492E" w:rsidRPr="007F78CE" w:rsidRDefault="0096492E"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Ambatondrakalalao</w:t>
            </w:r>
          </w:p>
        </w:tc>
        <w:tc>
          <w:tcPr>
            <w:tcW w:w="1280" w:type="dxa"/>
            <w:tcBorders>
              <w:top w:val="single" w:sz="8" w:space="0" w:color="4F81BD"/>
              <w:bottom w:val="single" w:sz="8" w:space="0" w:color="4F81BD"/>
            </w:tcBorders>
            <w:shd w:val="clear" w:color="auto" w:fill="auto"/>
            <w:noWrap/>
            <w:hideMark/>
          </w:tcPr>
          <w:p w14:paraId="600976AE"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23/12/2022</w:t>
            </w:r>
          </w:p>
        </w:tc>
        <w:tc>
          <w:tcPr>
            <w:tcW w:w="1220" w:type="dxa"/>
            <w:tcBorders>
              <w:top w:val="single" w:sz="8" w:space="0" w:color="4F81BD"/>
              <w:bottom w:val="single" w:sz="8" w:space="0" w:color="4F81BD"/>
            </w:tcBorders>
            <w:shd w:val="clear" w:color="auto" w:fill="auto"/>
            <w:noWrap/>
            <w:hideMark/>
          </w:tcPr>
          <w:p w14:paraId="661ADC5B"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14</w:t>
            </w:r>
          </w:p>
        </w:tc>
        <w:tc>
          <w:tcPr>
            <w:tcW w:w="1220" w:type="dxa"/>
            <w:tcBorders>
              <w:top w:val="single" w:sz="8" w:space="0" w:color="4F81BD"/>
              <w:bottom w:val="single" w:sz="8" w:space="0" w:color="4F81BD"/>
            </w:tcBorders>
            <w:shd w:val="clear" w:color="auto" w:fill="auto"/>
            <w:noWrap/>
            <w:hideMark/>
          </w:tcPr>
          <w:p w14:paraId="2F848586"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0</w:t>
            </w:r>
          </w:p>
        </w:tc>
        <w:tc>
          <w:tcPr>
            <w:tcW w:w="883" w:type="dxa"/>
            <w:tcBorders>
              <w:top w:val="single" w:sz="8" w:space="0" w:color="4F81BD"/>
              <w:bottom w:val="single" w:sz="8" w:space="0" w:color="4F81BD"/>
              <w:right w:val="single" w:sz="8" w:space="0" w:color="4F81BD"/>
            </w:tcBorders>
            <w:shd w:val="clear" w:color="auto" w:fill="auto"/>
            <w:noWrap/>
            <w:hideMark/>
          </w:tcPr>
          <w:p w14:paraId="0A031FD4"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14</w:t>
            </w:r>
          </w:p>
        </w:tc>
      </w:tr>
      <w:tr w:rsidR="0063584D" w:rsidRPr="007F78CE" w14:paraId="666B3A96" w14:textId="77777777" w:rsidTr="007F78CE">
        <w:trPr>
          <w:trHeight w:val="300"/>
        </w:trPr>
        <w:tc>
          <w:tcPr>
            <w:tcW w:w="1705" w:type="dxa"/>
            <w:shd w:val="clear" w:color="auto" w:fill="auto"/>
            <w:noWrap/>
            <w:hideMark/>
          </w:tcPr>
          <w:p w14:paraId="5F28A58C" w14:textId="77777777" w:rsidR="0096492E" w:rsidRPr="007F78CE" w:rsidRDefault="0096492E"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Vakin</w:t>
            </w:r>
            <w:r w:rsidR="005969CF">
              <w:rPr>
                <w:rFonts w:ascii="Arial" w:eastAsia="Times New Roman" w:hAnsi="Arial" w:cs="Arial"/>
                <w:b/>
                <w:bCs/>
                <w:color w:val="000000"/>
                <w:sz w:val="18"/>
                <w:szCs w:val="18"/>
                <w:lang w:eastAsia="fr-FR"/>
              </w:rPr>
              <w:t>n</w:t>
            </w:r>
            <w:r w:rsidRPr="007F78CE">
              <w:rPr>
                <w:rFonts w:ascii="Arial" w:eastAsia="Times New Roman" w:hAnsi="Arial" w:cs="Arial"/>
                <w:b/>
                <w:bCs/>
                <w:color w:val="000000"/>
                <w:sz w:val="18"/>
                <w:szCs w:val="18"/>
                <w:lang w:eastAsia="fr-FR"/>
              </w:rPr>
              <w:t>akaratra</w:t>
            </w:r>
          </w:p>
        </w:tc>
        <w:tc>
          <w:tcPr>
            <w:tcW w:w="2740" w:type="dxa"/>
            <w:shd w:val="clear" w:color="auto" w:fill="auto"/>
            <w:noWrap/>
            <w:hideMark/>
          </w:tcPr>
          <w:p w14:paraId="3563DB6E" w14:textId="77777777" w:rsidR="0096492E" w:rsidRPr="007F78CE" w:rsidRDefault="0096492E"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Ambohibary</w:t>
            </w:r>
          </w:p>
        </w:tc>
        <w:tc>
          <w:tcPr>
            <w:tcW w:w="1280" w:type="dxa"/>
            <w:shd w:val="clear" w:color="auto" w:fill="auto"/>
            <w:noWrap/>
            <w:hideMark/>
          </w:tcPr>
          <w:p w14:paraId="52E5D032"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22/12/2022</w:t>
            </w:r>
          </w:p>
        </w:tc>
        <w:tc>
          <w:tcPr>
            <w:tcW w:w="1220" w:type="dxa"/>
            <w:shd w:val="clear" w:color="auto" w:fill="auto"/>
            <w:noWrap/>
            <w:hideMark/>
          </w:tcPr>
          <w:p w14:paraId="5570E1B5"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4</w:t>
            </w:r>
          </w:p>
        </w:tc>
        <w:tc>
          <w:tcPr>
            <w:tcW w:w="1220" w:type="dxa"/>
            <w:shd w:val="clear" w:color="auto" w:fill="auto"/>
            <w:noWrap/>
            <w:hideMark/>
          </w:tcPr>
          <w:p w14:paraId="668FCAE5"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0</w:t>
            </w:r>
          </w:p>
        </w:tc>
        <w:tc>
          <w:tcPr>
            <w:tcW w:w="883" w:type="dxa"/>
            <w:shd w:val="clear" w:color="auto" w:fill="auto"/>
            <w:noWrap/>
            <w:hideMark/>
          </w:tcPr>
          <w:p w14:paraId="3567B3D8"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4</w:t>
            </w:r>
          </w:p>
        </w:tc>
      </w:tr>
      <w:tr w:rsidR="0063584D" w:rsidRPr="007F78CE" w14:paraId="2EEA31BB" w14:textId="77777777" w:rsidTr="007F78CE">
        <w:trPr>
          <w:trHeight w:val="300"/>
        </w:trPr>
        <w:tc>
          <w:tcPr>
            <w:tcW w:w="1705" w:type="dxa"/>
            <w:tcBorders>
              <w:top w:val="single" w:sz="8" w:space="0" w:color="4F81BD"/>
              <w:left w:val="single" w:sz="8" w:space="0" w:color="4F81BD"/>
              <w:bottom w:val="single" w:sz="8" w:space="0" w:color="4F81BD"/>
            </w:tcBorders>
            <w:shd w:val="clear" w:color="auto" w:fill="auto"/>
            <w:noWrap/>
            <w:hideMark/>
          </w:tcPr>
          <w:p w14:paraId="3AB37385" w14:textId="77777777" w:rsidR="0096492E" w:rsidRPr="007F78CE" w:rsidRDefault="0096492E"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Vakina</w:t>
            </w:r>
            <w:r w:rsidR="005969CF">
              <w:rPr>
                <w:rFonts w:ascii="Arial" w:eastAsia="Times New Roman" w:hAnsi="Arial" w:cs="Arial"/>
                <w:b/>
                <w:bCs/>
                <w:color w:val="000000"/>
                <w:sz w:val="18"/>
                <w:szCs w:val="18"/>
                <w:lang w:eastAsia="fr-FR"/>
              </w:rPr>
              <w:t>n</w:t>
            </w:r>
            <w:r w:rsidRPr="007F78CE">
              <w:rPr>
                <w:rFonts w:ascii="Arial" w:eastAsia="Times New Roman" w:hAnsi="Arial" w:cs="Arial"/>
                <w:b/>
                <w:bCs/>
                <w:color w:val="000000"/>
                <w:sz w:val="18"/>
                <w:szCs w:val="18"/>
                <w:lang w:eastAsia="fr-FR"/>
              </w:rPr>
              <w:t>karatra</w:t>
            </w:r>
          </w:p>
        </w:tc>
        <w:tc>
          <w:tcPr>
            <w:tcW w:w="2740" w:type="dxa"/>
            <w:tcBorders>
              <w:top w:val="single" w:sz="8" w:space="0" w:color="4F81BD"/>
              <w:bottom w:val="single" w:sz="8" w:space="0" w:color="4F81BD"/>
            </w:tcBorders>
            <w:shd w:val="clear" w:color="auto" w:fill="auto"/>
            <w:noWrap/>
            <w:hideMark/>
          </w:tcPr>
          <w:p w14:paraId="116385CB" w14:textId="77777777" w:rsidR="0096492E" w:rsidRPr="007F78CE" w:rsidRDefault="0096492E"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Ambohibary</w:t>
            </w:r>
          </w:p>
        </w:tc>
        <w:tc>
          <w:tcPr>
            <w:tcW w:w="1280" w:type="dxa"/>
            <w:tcBorders>
              <w:top w:val="single" w:sz="8" w:space="0" w:color="4F81BD"/>
              <w:bottom w:val="single" w:sz="8" w:space="0" w:color="4F81BD"/>
            </w:tcBorders>
            <w:shd w:val="clear" w:color="auto" w:fill="auto"/>
            <w:noWrap/>
            <w:hideMark/>
          </w:tcPr>
          <w:p w14:paraId="3210735F"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21/12/2022</w:t>
            </w:r>
          </w:p>
        </w:tc>
        <w:tc>
          <w:tcPr>
            <w:tcW w:w="1220" w:type="dxa"/>
            <w:tcBorders>
              <w:top w:val="single" w:sz="8" w:space="0" w:color="4F81BD"/>
              <w:bottom w:val="single" w:sz="8" w:space="0" w:color="4F81BD"/>
            </w:tcBorders>
            <w:shd w:val="clear" w:color="auto" w:fill="auto"/>
            <w:noWrap/>
            <w:hideMark/>
          </w:tcPr>
          <w:p w14:paraId="3C26C6F3"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4</w:t>
            </w:r>
          </w:p>
        </w:tc>
        <w:tc>
          <w:tcPr>
            <w:tcW w:w="1220" w:type="dxa"/>
            <w:tcBorders>
              <w:top w:val="single" w:sz="8" w:space="0" w:color="4F81BD"/>
              <w:bottom w:val="single" w:sz="8" w:space="0" w:color="4F81BD"/>
            </w:tcBorders>
            <w:shd w:val="clear" w:color="auto" w:fill="auto"/>
            <w:noWrap/>
            <w:hideMark/>
          </w:tcPr>
          <w:p w14:paraId="36AB1E09"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0</w:t>
            </w:r>
          </w:p>
        </w:tc>
        <w:tc>
          <w:tcPr>
            <w:tcW w:w="883" w:type="dxa"/>
            <w:tcBorders>
              <w:top w:val="single" w:sz="8" w:space="0" w:color="4F81BD"/>
              <w:bottom w:val="single" w:sz="8" w:space="0" w:color="4F81BD"/>
              <w:right w:val="single" w:sz="8" w:space="0" w:color="4F81BD"/>
            </w:tcBorders>
            <w:shd w:val="clear" w:color="auto" w:fill="auto"/>
            <w:noWrap/>
            <w:hideMark/>
          </w:tcPr>
          <w:p w14:paraId="5DAC1D3A"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4</w:t>
            </w:r>
          </w:p>
        </w:tc>
      </w:tr>
      <w:tr w:rsidR="0063584D" w:rsidRPr="007F78CE" w14:paraId="73098479" w14:textId="77777777" w:rsidTr="007F78CE">
        <w:trPr>
          <w:trHeight w:val="300"/>
        </w:trPr>
        <w:tc>
          <w:tcPr>
            <w:tcW w:w="5725" w:type="dxa"/>
            <w:gridSpan w:val="3"/>
            <w:shd w:val="clear" w:color="auto" w:fill="auto"/>
            <w:noWrap/>
            <w:hideMark/>
          </w:tcPr>
          <w:p w14:paraId="6982AFD8" w14:textId="77777777" w:rsidR="0096492E" w:rsidRPr="007F78CE" w:rsidRDefault="0096492E" w:rsidP="007F78CE">
            <w:pPr>
              <w:spacing w:after="0" w:line="240" w:lineRule="auto"/>
              <w:jc w:val="center"/>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TOTAL</w:t>
            </w:r>
          </w:p>
        </w:tc>
        <w:tc>
          <w:tcPr>
            <w:tcW w:w="1220" w:type="dxa"/>
            <w:shd w:val="clear" w:color="auto" w:fill="auto"/>
            <w:noWrap/>
            <w:hideMark/>
          </w:tcPr>
          <w:p w14:paraId="55A0D44C" w14:textId="77777777" w:rsidR="0096492E" w:rsidRPr="007F78CE" w:rsidRDefault="0096492E" w:rsidP="007F78CE">
            <w:pPr>
              <w:spacing w:after="0" w:line="240" w:lineRule="auto"/>
              <w:jc w:val="right"/>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120</w:t>
            </w:r>
          </w:p>
        </w:tc>
        <w:tc>
          <w:tcPr>
            <w:tcW w:w="1220" w:type="dxa"/>
            <w:shd w:val="clear" w:color="auto" w:fill="auto"/>
            <w:noWrap/>
            <w:hideMark/>
          </w:tcPr>
          <w:p w14:paraId="15FD57DB" w14:textId="77777777" w:rsidR="0096492E" w:rsidRPr="007F78CE" w:rsidRDefault="0096492E" w:rsidP="007F78CE">
            <w:pPr>
              <w:spacing w:after="0" w:line="240" w:lineRule="auto"/>
              <w:jc w:val="right"/>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1</w:t>
            </w:r>
          </w:p>
        </w:tc>
        <w:tc>
          <w:tcPr>
            <w:tcW w:w="883" w:type="dxa"/>
            <w:shd w:val="clear" w:color="auto" w:fill="auto"/>
            <w:noWrap/>
            <w:hideMark/>
          </w:tcPr>
          <w:p w14:paraId="332023C8" w14:textId="77777777" w:rsidR="0096492E" w:rsidRPr="007F78CE" w:rsidRDefault="0096492E" w:rsidP="007F78CE">
            <w:pPr>
              <w:spacing w:after="0" w:line="240" w:lineRule="auto"/>
              <w:jc w:val="right"/>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121</w:t>
            </w:r>
          </w:p>
        </w:tc>
      </w:tr>
    </w:tbl>
    <w:p w14:paraId="4F2C0779" w14:textId="77777777" w:rsidR="0096492E" w:rsidRDefault="0096492E" w:rsidP="0096492E">
      <w:pPr>
        <w:autoSpaceDE w:val="0"/>
        <w:autoSpaceDN w:val="0"/>
        <w:adjustRightInd w:val="0"/>
        <w:jc w:val="both"/>
        <w:rPr>
          <w:rFonts w:ascii="Arial" w:hAnsi="Arial" w:cs="Arial"/>
          <w:szCs w:val="24"/>
        </w:rPr>
      </w:pPr>
    </w:p>
    <w:p w14:paraId="67278DFD" w14:textId="77777777" w:rsidR="0096492E" w:rsidRPr="00B37CFA" w:rsidRDefault="008C1348" w:rsidP="0044500E">
      <w:pPr>
        <w:pStyle w:val="TIT40"/>
        <w:numPr>
          <w:ilvl w:val="3"/>
          <w:numId w:val="177"/>
        </w:numPr>
      </w:pPr>
      <w:r>
        <w:br w:type="page"/>
      </w:r>
      <w:bookmarkStart w:id="1196" w:name="_Toc124314764"/>
      <w:bookmarkStart w:id="1197" w:name="_Toc124956293"/>
      <w:bookmarkStart w:id="1198" w:name="_Toc125384641"/>
      <w:bookmarkStart w:id="1199" w:name="_Toc125385030"/>
      <w:bookmarkStart w:id="1200" w:name="_Toc127957703"/>
      <w:r w:rsidR="00B37CFA" w:rsidRPr="00B37CFA">
        <w:t>Résultat</w:t>
      </w:r>
      <w:r>
        <w:t>s</w:t>
      </w:r>
      <w:r w:rsidR="00B37CFA" w:rsidRPr="00B37CFA">
        <w:t xml:space="preserve"> de la consultation</w:t>
      </w:r>
      <w:bookmarkEnd w:id="1196"/>
      <w:bookmarkEnd w:id="1197"/>
      <w:bookmarkEnd w:id="1198"/>
      <w:bookmarkEnd w:id="1199"/>
      <w:bookmarkEnd w:id="1200"/>
      <w:r w:rsidR="00B37CFA" w:rsidRPr="00B37CFA">
        <w:t xml:space="preserve"> </w:t>
      </w:r>
    </w:p>
    <w:p w14:paraId="737F055D" w14:textId="77777777" w:rsidR="006F3F9E" w:rsidRDefault="00B37CFA" w:rsidP="006F3F9E">
      <w:pPr>
        <w:autoSpaceDE w:val="0"/>
        <w:autoSpaceDN w:val="0"/>
        <w:adjustRightInd w:val="0"/>
        <w:jc w:val="both"/>
        <w:rPr>
          <w:rFonts w:ascii="Arial" w:hAnsi="Arial" w:cs="Arial"/>
          <w:szCs w:val="24"/>
        </w:rPr>
      </w:pPr>
      <w:r>
        <w:rPr>
          <w:rFonts w:ascii="Arial" w:hAnsi="Arial" w:cs="Arial"/>
          <w:szCs w:val="24"/>
        </w:rPr>
        <w:t xml:space="preserve">Après l’explication du Projet DECIM effectué par le représentant du Projet, les notables sont unanimes sur le bien fait du Projet. </w:t>
      </w:r>
      <w:r w:rsidR="004A48B0">
        <w:rPr>
          <w:rFonts w:ascii="Arial" w:hAnsi="Arial" w:cs="Arial"/>
          <w:szCs w:val="24"/>
        </w:rPr>
        <w:t>Ils</w:t>
      </w:r>
      <w:r>
        <w:rPr>
          <w:rFonts w:ascii="Arial" w:hAnsi="Arial" w:cs="Arial"/>
          <w:szCs w:val="24"/>
        </w:rPr>
        <w:t xml:space="preserve"> sont conscients que l’apport du Projet DECIM dans le développement du village, l’amélioration du bien-être de la population et le développement économique </w:t>
      </w:r>
      <w:r w:rsidR="00D017C2">
        <w:rPr>
          <w:rFonts w:ascii="Arial" w:hAnsi="Arial" w:cs="Arial"/>
          <w:szCs w:val="24"/>
        </w:rPr>
        <w:t xml:space="preserve">ne sont </w:t>
      </w:r>
      <w:r>
        <w:rPr>
          <w:rFonts w:ascii="Arial" w:hAnsi="Arial" w:cs="Arial"/>
          <w:szCs w:val="24"/>
        </w:rPr>
        <w:t>pas négligeable</w:t>
      </w:r>
      <w:r w:rsidR="00D017C2">
        <w:rPr>
          <w:rFonts w:ascii="Arial" w:hAnsi="Arial" w:cs="Arial"/>
          <w:szCs w:val="24"/>
        </w:rPr>
        <w:t>s</w:t>
      </w:r>
      <w:r>
        <w:rPr>
          <w:rFonts w:ascii="Arial" w:hAnsi="Arial" w:cs="Arial"/>
          <w:szCs w:val="24"/>
        </w:rPr>
        <w:t xml:space="preserve">. Effectivement, ce Projet apportera : </w:t>
      </w:r>
    </w:p>
    <w:p w14:paraId="6AFDB48C" w14:textId="77777777" w:rsidR="004A48B0" w:rsidRPr="003E0CDB" w:rsidRDefault="004A48B0" w:rsidP="00687DD2">
      <w:pPr>
        <w:numPr>
          <w:ilvl w:val="0"/>
          <w:numId w:val="50"/>
        </w:numPr>
        <w:spacing w:after="0" w:line="240" w:lineRule="auto"/>
        <w:jc w:val="both"/>
        <w:rPr>
          <w:rFonts w:ascii="Arial" w:hAnsi="Arial" w:cs="Arial"/>
        </w:rPr>
      </w:pPr>
      <w:r w:rsidRPr="003E0CDB">
        <w:rPr>
          <w:rFonts w:ascii="Arial" w:hAnsi="Arial" w:cs="Arial"/>
        </w:rPr>
        <w:t>La fin de l’utilisation de bougies et de la lampe à pétrole pour l’éclairage</w:t>
      </w:r>
    </w:p>
    <w:p w14:paraId="22045121" w14:textId="77777777" w:rsidR="00B37CFA" w:rsidRPr="003E0CDB" w:rsidRDefault="00B37CFA" w:rsidP="00687DD2">
      <w:pPr>
        <w:numPr>
          <w:ilvl w:val="0"/>
          <w:numId w:val="50"/>
        </w:numPr>
        <w:spacing w:after="0" w:line="240" w:lineRule="auto"/>
        <w:jc w:val="both"/>
        <w:rPr>
          <w:rFonts w:ascii="Arial" w:hAnsi="Arial" w:cs="Arial"/>
        </w:rPr>
      </w:pPr>
      <w:r w:rsidRPr="003E0CDB">
        <w:rPr>
          <w:rFonts w:ascii="Arial" w:hAnsi="Arial" w:cs="Arial"/>
        </w:rPr>
        <w:t xml:space="preserve">Une </w:t>
      </w:r>
      <w:r w:rsidR="005969CF">
        <w:rPr>
          <w:rFonts w:ascii="Arial" w:hAnsi="Arial" w:cs="Arial"/>
        </w:rPr>
        <w:t>a</w:t>
      </w:r>
      <w:r w:rsidRPr="003E0CDB">
        <w:rPr>
          <w:rFonts w:ascii="Arial" w:hAnsi="Arial" w:cs="Arial"/>
        </w:rPr>
        <w:t>ssurance concernant la sécurité par l’électrification des villages</w:t>
      </w:r>
    </w:p>
    <w:p w14:paraId="1AA9129E" w14:textId="77777777" w:rsidR="00B37CFA" w:rsidRPr="003E0CDB" w:rsidRDefault="004A48B0" w:rsidP="00687DD2">
      <w:pPr>
        <w:numPr>
          <w:ilvl w:val="0"/>
          <w:numId w:val="50"/>
        </w:numPr>
        <w:spacing w:after="0" w:line="240" w:lineRule="auto"/>
        <w:jc w:val="both"/>
        <w:rPr>
          <w:rFonts w:ascii="Arial" w:hAnsi="Arial" w:cs="Arial"/>
        </w:rPr>
      </w:pPr>
      <w:r w:rsidRPr="003E0CDB">
        <w:rPr>
          <w:rFonts w:ascii="Arial" w:hAnsi="Arial" w:cs="Arial"/>
        </w:rPr>
        <w:t>Une possibilité de desserte d’électricité d’autre</w:t>
      </w:r>
      <w:r w:rsidR="00767012">
        <w:rPr>
          <w:rFonts w:ascii="Arial" w:hAnsi="Arial" w:cs="Arial"/>
        </w:rPr>
        <w:t>s</w:t>
      </w:r>
      <w:r w:rsidRPr="003E0CDB">
        <w:rPr>
          <w:rFonts w:ascii="Arial" w:hAnsi="Arial" w:cs="Arial"/>
        </w:rPr>
        <w:t xml:space="preserve"> quartier</w:t>
      </w:r>
      <w:r w:rsidR="00767012">
        <w:rPr>
          <w:rFonts w:ascii="Arial" w:hAnsi="Arial" w:cs="Arial"/>
        </w:rPr>
        <w:t>s</w:t>
      </w:r>
      <w:r w:rsidRPr="003E0CDB">
        <w:rPr>
          <w:rFonts w:ascii="Arial" w:hAnsi="Arial" w:cs="Arial"/>
        </w:rPr>
        <w:t>/village</w:t>
      </w:r>
      <w:r w:rsidR="00767012">
        <w:rPr>
          <w:rFonts w:ascii="Arial" w:hAnsi="Arial" w:cs="Arial"/>
        </w:rPr>
        <w:t>s</w:t>
      </w:r>
      <w:r w:rsidRPr="003E0CDB">
        <w:rPr>
          <w:rFonts w:ascii="Arial" w:hAnsi="Arial" w:cs="Arial"/>
        </w:rPr>
        <w:t xml:space="preserve"> à partir des communautés déjà desservies</w:t>
      </w:r>
    </w:p>
    <w:p w14:paraId="633BF0A4" w14:textId="77777777" w:rsidR="004A48B0" w:rsidRDefault="004A48B0" w:rsidP="00687DD2">
      <w:pPr>
        <w:numPr>
          <w:ilvl w:val="0"/>
          <w:numId w:val="50"/>
        </w:numPr>
        <w:spacing w:after="0" w:line="240" w:lineRule="auto"/>
        <w:jc w:val="both"/>
        <w:rPr>
          <w:rFonts w:ascii="Arial" w:hAnsi="Arial" w:cs="Arial"/>
        </w:rPr>
      </w:pPr>
      <w:r w:rsidRPr="003E0CDB">
        <w:rPr>
          <w:rFonts w:ascii="Arial" w:hAnsi="Arial" w:cs="Arial"/>
        </w:rPr>
        <w:t xml:space="preserve">Un </w:t>
      </w:r>
      <w:r w:rsidR="005969CF">
        <w:rPr>
          <w:rFonts w:ascii="Arial" w:hAnsi="Arial" w:cs="Arial"/>
        </w:rPr>
        <w:t>a</w:t>
      </w:r>
      <w:r w:rsidRPr="003E0CDB">
        <w:rPr>
          <w:rFonts w:ascii="Arial" w:hAnsi="Arial" w:cs="Arial"/>
        </w:rPr>
        <w:t>ppui aux personnes âgées qui ne peuvent pas travailler</w:t>
      </w:r>
      <w:r w:rsidR="003E0CDB">
        <w:rPr>
          <w:rFonts w:ascii="Arial" w:hAnsi="Arial" w:cs="Arial"/>
        </w:rPr>
        <w:t>.</w:t>
      </w:r>
    </w:p>
    <w:p w14:paraId="0D8BBB18" w14:textId="77777777" w:rsidR="003E0CDB" w:rsidRPr="003E0CDB" w:rsidRDefault="003E0CDB" w:rsidP="00F91FA3">
      <w:pPr>
        <w:spacing w:after="0" w:line="240" w:lineRule="auto"/>
        <w:jc w:val="both"/>
        <w:rPr>
          <w:rFonts w:ascii="Arial" w:hAnsi="Arial" w:cs="Arial"/>
        </w:rPr>
      </w:pPr>
    </w:p>
    <w:p w14:paraId="44953054" w14:textId="77777777" w:rsidR="00B37CFA" w:rsidRDefault="00651BC8" w:rsidP="006F3F9E">
      <w:pPr>
        <w:autoSpaceDE w:val="0"/>
        <w:autoSpaceDN w:val="0"/>
        <w:adjustRightInd w:val="0"/>
        <w:jc w:val="both"/>
        <w:rPr>
          <w:rFonts w:ascii="Arial" w:hAnsi="Arial" w:cs="Arial"/>
          <w:szCs w:val="24"/>
        </w:rPr>
      </w:pPr>
      <w:r>
        <w:rPr>
          <w:rFonts w:ascii="Arial" w:hAnsi="Arial" w:cs="Arial"/>
          <w:szCs w:val="24"/>
        </w:rPr>
        <w:t xml:space="preserve">Toutefois, </w:t>
      </w:r>
      <w:r w:rsidR="004A48B0">
        <w:rPr>
          <w:rFonts w:ascii="Arial" w:hAnsi="Arial" w:cs="Arial"/>
          <w:szCs w:val="24"/>
        </w:rPr>
        <w:t xml:space="preserve">les participants ont émis des préoccupations sur la mise en œuvre du Projet et pour chaque crainte, ils ont </w:t>
      </w:r>
      <w:r w:rsidR="003B02C7">
        <w:rPr>
          <w:rFonts w:ascii="Arial" w:hAnsi="Arial" w:cs="Arial"/>
          <w:szCs w:val="24"/>
        </w:rPr>
        <w:t>proposé</w:t>
      </w:r>
      <w:r w:rsidR="004A48B0">
        <w:rPr>
          <w:rFonts w:ascii="Arial" w:hAnsi="Arial" w:cs="Arial"/>
          <w:szCs w:val="24"/>
        </w:rPr>
        <w:t xml:space="preserve"> des suggestions d’atténuation</w:t>
      </w:r>
      <w:r>
        <w:rPr>
          <w:rFonts w:ascii="Arial" w:hAnsi="Arial" w:cs="Arial"/>
          <w:szCs w:val="24"/>
        </w:rPr>
        <w:t xml:space="preserve"> dont la synthèse est représentée dans le tableau qui suit</w:t>
      </w:r>
      <w:r w:rsidR="004A48B0">
        <w:rPr>
          <w:rFonts w:ascii="Arial" w:hAnsi="Arial" w:cs="Arial"/>
          <w:szCs w:val="24"/>
        </w:rPr>
        <w:t xml:space="preserve">. </w:t>
      </w:r>
    </w:p>
    <w:p w14:paraId="2A6BF197" w14:textId="77777777" w:rsidR="00651BC8" w:rsidRPr="00EE273B" w:rsidRDefault="00EE273B" w:rsidP="00EE273B">
      <w:pPr>
        <w:pStyle w:val="Lgende"/>
        <w:jc w:val="center"/>
        <w:rPr>
          <w:sz w:val="20"/>
        </w:rPr>
      </w:pPr>
      <w:bookmarkStart w:id="1201" w:name="_Toc127957881"/>
      <w:r w:rsidRPr="00EE273B">
        <w:rPr>
          <w:sz w:val="20"/>
        </w:rPr>
        <w:t xml:space="preserve">Tableau </w:t>
      </w:r>
      <w:r w:rsidRPr="00EE273B">
        <w:rPr>
          <w:sz w:val="20"/>
        </w:rPr>
        <w:fldChar w:fldCharType="begin"/>
      </w:r>
      <w:r w:rsidRPr="00EE273B">
        <w:rPr>
          <w:sz w:val="20"/>
        </w:rPr>
        <w:instrText xml:space="preserve"> SEQ Tableau \* ARABIC </w:instrText>
      </w:r>
      <w:r w:rsidRPr="00EE273B">
        <w:rPr>
          <w:sz w:val="20"/>
        </w:rPr>
        <w:fldChar w:fldCharType="separate"/>
      </w:r>
      <w:r w:rsidR="005430A1">
        <w:rPr>
          <w:noProof/>
          <w:sz w:val="20"/>
        </w:rPr>
        <w:t>85</w:t>
      </w:r>
      <w:r w:rsidRPr="00EE273B">
        <w:rPr>
          <w:sz w:val="20"/>
        </w:rPr>
        <w:fldChar w:fldCharType="end"/>
      </w:r>
      <w:r w:rsidRPr="00EE273B">
        <w:rPr>
          <w:sz w:val="20"/>
        </w:rPr>
        <w:t>. Préoccupations et suggestions des notables sur la mise en œuvre du Projet DECIM</w:t>
      </w:r>
      <w:bookmarkEnd w:id="1201"/>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93"/>
        <w:gridCol w:w="4253"/>
      </w:tblGrid>
      <w:tr w:rsidR="006F3F9E" w:rsidRPr="007F78CE" w14:paraId="1720C404" w14:textId="77777777" w:rsidTr="00307CF5">
        <w:trPr>
          <w:trHeight w:val="315"/>
          <w:tblHeader/>
        </w:trPr>
        <w:tc>
          <w:tcPr>
            <w:tcW w:w="4693" w:type="dxa"/>
            <w:shd w:val="clear" w:color="auto" w:fill="00B0F0"/>
            <w:vAlign w:val="center"/>
            <w:hideMark/>
          </w:tcPr>
          <w:p w14:paraId="0A1FF6FD" w14:textId="77777777" w:rsidR="006F3F9E" w:rsidRPr="00F73D14" w:rsidRDefault="006F3F9E" w:rsidP="00307CF5">
            <w:pPr>
              <w:spacing w:after="0" w:line="240" w:lineRule="auto"/>
              <w:jc w:val="center"/>
              <w:rPr>
                <w:rFonts w:ascii="Arial" w:eastAsia="Times New Roman" w:hAnsi="Arial" w:cs="Arial"/>
                <w:b/>
                <w:bCs/>
                <w:color w:val="000000"/>
                <w:sz w:val="18"/>
                <w:szCs w:val="18"/>
                <w:lang w:eastAsia="fr-FR"/>
              </w:rPr>
            </w:pPr>
            <w:r w:rsidRPr="00F73D14">
              <w:rPr>
                <w:rFonts w:ascii="Arial" w:eastAsia="Times New Roman" w:hAnsi="Arial" w:cs="Arial"/>
                <w:b/>
                <w:bCs/>
                <w:color w:val="000000"/>
                <w:sz w:val="18"/>
                <w:szCs w:val="18"/>
                <w:lang w:eastAsia="fr-FR"/>
              </w:rPr>
              <w:t>Préoccupations</w:t>
            </w:r>
          </w:p>
        </w:tc>
        <w:tc>
          <w:tcPr>
            <w:tcW w:w="4253" w:type="dxa"/>
            <w:shd w:val="clear" w:color="auto" w:fill="00B0F0"/>
            <w:vAlign w:val="center"/>
            <w:hideMark/>
          </w:tcPr>
          <w:p w14:paraId="0753062E" w14:textId="77777777" w:rsidR="006F3F9E" w:rsidRPr="00F73D14" w:rsidRDefault="006F3F9E" w:rsidP="00307CF5">
            <w:pPr>
              <w:spacing w:after="0" w:line="240" w:lineRule="auto"/>
              <w:jc w:val="center"/>
              <w:rPr>
                <w:rFonts w:ascii="Arial" w:eastAsia="Times New Roman" w:hAnsi="Arial" w:cs="Arial"/>
                <w:b/>
                <w:bCs/>
                <w:color w:val="000000"/>
                <w:sz w:val="18"/>
                <w:szCs w:val="18"/>
                <w:lang w:eastAsia="fr-FR"/>
              </w:rPr>
            </w:pPr>
            <w:r w:rsidRPr="00F73D14">
              <w:rPr>
                <w:rFonts w:ascii="Arial" w:eastAsia="Times New Roman" w:hAnsi="Arial" w:cs="Arial"/>
                <w:b/>
                <w:bCs/>
                <w:color w:val="000000"/>
                <w:sz w:val="18"/>
                <w:szCs w:val="18"/>
                <w:lang w:eastAsia="fr-FR"/>
              </w:rPr>
              <w:t>Suggestions</w:t>
            </w:r>
          </w:p>
        </w:tc>
      </w:tr>
      <w:tr w:rsidR="006F3F9E" w:rsidRPr="007F78CE" w14:paraId="1E9184A9" w14:textId="77777777" w:rsidTr="00307CF5">
        <w:trPr>
          <w:trHeight w:val="525"/>
        </w:trPr>
        <w:tc>
          <w:tcPr>
            <w:tcW w:w="4693" w:type="dxa"/>
            <w:shd w:val="clear" w:color="auto" w:fill="auto"/>
            <w:vAlign w:val="center"/>
            <w:hideMark/>
          </w:tcPr>
          <w:p w14:paraId="5F0C94DC" w14:textId="77777777" w:rsidR="006F3F9E" w:rsidRPr="00F73D14" w:rsidRDefault="006F3F9E" w:rsidP="00307CF5">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Risques pour la santé de la communauté, surtout pour les enfants</w:t>
            </w:r>
          </w:p>
        </w:tc>
        <w:tc>
          <w:tcPr>
            <w:tcW w:w="4253" w:type="dxa"/>
            <w:shd w:val="clear" w:color="auto" w:fill="auto"/>
            <w:vAlign w:val="center"/>
            <w:hideMark/>
          </w:tcPr>
          <w:p w14:paraId="00B799BC" w14:textId="77777777" w:rsidR="006F3F9E" w:rsidRPr="00F73D14" w:rsidRDefault="006F3F9E" w:rsidP="00307CF5">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Exécution rapide du Projet</w:t>
            </w:r>
          </w:p>
        </w:tc>
      </w:tr>
      <w:tr w:rsidR="006F3F9E" w:rsidRPr="007F78CE" w14:paraId="565CDAA4" w14:textId="77777777" w:rsidTr="00B434A6">
        <w:trPr>
          <w:trHeight w:val="576"/>
        </w:trPr>
        <w:tc>
          <w:tcPr>
            <w:tcW w:w="4693" w:type="dxa"/>
            <w:shd w:val="clear" w:color="auto" w:fill="auto"/>
            <w:vAlign w:val="center"/>
            <w:hideMark/>
          </w:tcPr>
          <w:p w14:paraId="4F9B062F" w14:textId="77777777" w:rsidR="006F3F9E" w:rsidRPr="00F73D14" w:rsidRDefault="006F3F9E" w:rsidP="00307CF5">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Risque de vol des matériels nouvellement installé</w:t>
            </w:r>
            <w:r w:rsidR="00767012">
              <w:rPr>
                <w:rFonts w:ascii="Arial" w:eastAsia="Times New Roman" w:hAnsi="Arial" w:cs="Arial"/>
                <w:color w:val="000000"/>
                <w:sz w:val="18"/>
                <w:szCs w:val="18"/>
                <w:lang w:eastAsia="fr-FR"/>
              </w:rPr>
              <w:t>s</w:t>
            </w:r>
            <w:r w:rsidRPr="00F73D14">
              <w:rPr>
                <w:rFonts w:ascii="Arial" w:eastAsia="Times New Roman" w:hAnsi="Arial" w:cs="Arial"/>
                <w:color w:val="000000"/>
                <w:sz w:val="18"/>
                <w:szCs w:val="18"/>
                <w:lang w:eastAsia="fr-FR"/>
              </w:rPr>
              <w:t xml:space="preserve"> </w:t>
            </w:r>
          </w:p>
        </w:tc>
        <w:tc>
          <w:tcPr>
            <w:tcW w:w="4253" w:type="dxa"/>
            <w:shd w:val="clear" w:color="auto" w:fill="auto"/>
            <w:vAlign w:val="center"/>
            <w:hideMark/>
          </w:tcPr>
          <w:p w14:paraId="094926A9" w14:textId="77777777" w:rsidR="006F3F9E" w:rsidRPr="00F73D14" w:rsidRDefault="006F3F9E" w:rsidP="00307CF5">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Recrutement d’un gardien pour assurer la sécurité des infrastructures et renforcement du gardiennage</w:t>
            </w:r>
          </w:p>
        </w:tc>
      </w:tr>
      <w:tr w:rsidR="006F3F9E" w:rsidRPr="007F78CE" w14:paraId="720CBB91" w14:textId="77777777" w:rsidTr="00307CF5">
        <w:trPr>
          <w:trHeight w:val="315"/>
        </w:trPr>
        <w:tc>
          <w:tcPr>
            <w:tcW w:w="4693" w:type="dxa"/>
            <w:shd w:val="clear" w:color="auto" w:fill="auto"/>
            <w:vAlign w:val="center"/>
            <w:hideMark/>
          </w:tcPr>
          <w:p w14:paraId="433C96BA" w14:textId="77777777" w:rsidR="006F3F9E" w:rsidRPr="00F73D14" w:rsidRDefault="006F3F9E" w:rsidP="00307CF5">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Augmentation des risques de tonnerres</w:t>
            </w:r>
          </w:p>
        </w:tc>
        <w:tc>
          <w:tcPr>
            <w:tcW w:w="4253" w:type="dxa"/>
            <w:shd w:val="clear" w:color="auto" w:fill="auto"/>
            <w:vAlign w:val="center"/>
            <w:hideMark/>
          </w:tcPr>
          <w:p w14:paraId="066F2C8C" w14:textId="77777777" w:rsidR="006F3F9E" w:rsidRPr="00F73D14" w:rsidRDefault="006F3F9E" w:rsidP="00307CF5">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 xml:space="preserve">Mise en place de paratonnerres </w:t>
            </w:r>
          </w:p>
        </w:tc>
      </w:tr>
      <w:tr w:rsidR="006F3F9E" w:rsidRPr="007F78CE" w14:paraId="58F1CDFD" w14:textId="77777777" w:rsidTr="00307CF5">
        <w:trPr>
          <w:trHeight w:val="525"/>
        </w:trPr>
        <w:tc>
          <w:tcPr>
            <w:tcW w:w="4693" w:type="dxa"/>
            <w:shd w:val="clear" w:color="auto" w:fill="auto"/>
            <w:vAlign w:val="center"/>
            <w:hideMark/>
          </w:tcPr>
          <w:p w14:paraId="6D84992B" w14:textId="77777777" w:rsidR="006F3F9E" w:rsidRPr="00F73D14" w:rsidRDefault="006F3F9E" w:rsidP="00307CF5">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Crainte par rapport au fait de devoir payer pour bénéficier du Projet</w:t>
            </w:r>
          </w:p>
        </w:tc>
        <w:tc>
          <w:tcPr>
            <w:tcW w:w="4253" w:type="dxa"/>
            <w:shd w:val="clear" w:color="auto" w:fill="auto"/>
            <w:vAlign w:val="center"/>
            <w:hideMark/>
          </w:tcPr>
          <w:p w14:paraId="12F4EB41" w14:textId="77777777" w:rsidR="006F3F9E" w:rsidRPr="00F73D14" w:rsidRDefault="006F3F9E" w:rsidP="00307CF5">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Appliquer le principe de transparence dans la mise en œuvre du Projet</w:t>
            </w:r>
          </w:p>
        </w:tc>
      </w:tr>
      <w:tr w:rsidR="006F3F9E" w:rsidRPr="007F78CE" w14:paraId="38147E5F" w14:textId="77777777" w:rsidTr="00B434A6">
        <w:trPr>
          <w:trHeight w:val="576"/>
        </w:trPr>
        <w:tc>
          <w:tcPr>
            <w:tcW w:w="4693" w:type="dxa"/>
            <w:shd w:val="clear" w:color="auto" w:fill="auto"/>
            <w:vAlign w:val="center"/>
            <w:hideMark/>
          </w:tcPr>
          <w:p w14:paraId="4F7857A6" w14:textId="77777777" w:rsidR="006F3F9E" w:rsidRPr="00F73D14" w:rsidRDefault="006F3F9E" w:rsidP="00307CF5">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Non-exécution du Projet car il y a déjà eu des Projet</w:t>
            </w:r>
            <w:r w:rsidR="00767012">
              <w:rPr>
                <w:rFonts w:ascii="Arial" w:eastAsia="Times New Roman" w:hAnsi="Arial" w:cs="Arial"/>
                <w:color w:val="000000"/>
                <w:sz w:val="18"/>
                <w:szCs w:val="18"/>
                <w:lang w:eastAsia="fr-FR"/>
              </w:rPr>
              <w:t>s</w:t>
            </w:r>
            <w:r w:rsidRPr="00F73D14">
              <w:rPr>
                <w:rFonts w:ascii="Arial" w:eastAsia="Times New Roman" w:hAnsi="Arial" w:cs="Arial"/>
                <w:color w:val="000000"/>
                <w:sz w:val="18"/>
                <w:szCs w:val="18"/>
                <w:lang w:eastAsia="fr-FR"/>
              </w:rPr>
              <w:t xml:space="preserve"> tels que celui-ci mais aucun n’a été réalisé</w:t>
            </w:r>
          </w:p>
        </w:tc>
        <w:tc>
          <w:tcPr>
            <w:tcW w:w="4253" w:type="dxa"/>
            <w:shd w:val="clear" w:color="auto" w:fill="auto"/>
            <w:vAlign w:val="center"/>
            <w:hideMark/>
          </w:tcPr>
          <w:p w14:paraId="56C754FE" w14:textId="77777777" w:rsidR="006F3F9E" w:rsidRPr="00F73D14" w:rsidRDefault="006F3F9E" w:rsidP="00307CF5">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Recrutement de main d’œuvres locale pour les activités du Projet</w:t>
            </w:r>
          </w:p>
        </w:tc>
      </w:tr>
      <w:tr w:rsidR="006F3F9E" w:rsidRPr="007F78CE" w14:paraId="4E31062B" w14:textId="77777777" w:rsidTr="00307CF5">
        <w:trPr>
          <w:trHeight w:val="525"/>
        </w:trPr>
        <w:tc>
          <w:tcPr>
            <w:tcW w:w="4693" w:type="dxa"/>
            <w:shd w:val="clear" w:color="auto" w:fill="auto"/>
            <w:vAlign w:val="center"/>
            <w:hideMark/>
          </w:tcPr>
          <w:p w14:paraId="0540E426" w14:textId="77777777" w:rsidR="006F3F9E" w:rsidRPr="00F73D14" w:rsidRDefault="006F3F9E" w:rsidP="00307CF5">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Non considération des notables dans le développement de Projets</w:t>
            </w:r>
          </w:p>
        </w:tc>
        <w:tc>
          <w:tcPr>
            <w:tcW w:w="4253" w:type="dxa"/>
            <w:shd w:val="clear" w:color="auto" w:fill="auto"/>
            <w:vAlign w:val="center"/>
            <w:hideMark/>
          </w:tcPr>
          <w:p w14:paraId="257D2CEB" w14:textId="77777777" w:rsidR="006F3F9E" w:rsidRPr="00F73D14" w:rsidRDefault="006F3F9E" w:rsidP="00307CF5">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Considération des olombe pour les décisions du Projet</w:t>
            </w:r>
          </w:p>
        </w:tc>
      </w:tr>
      <w:tr w:rsidR="006F3F9E" w:rsidRPr="007F78CE" w14:paraId="64F13A98" w14:textId="77777777" w:rsidTr="00B434A6">
        <w:trPr>
          <w:trHeight w:val="720"/>
        </w:trPr>
        <w:tc>
          <w:tcPr>
            <w:tcW w:w="4693" w:type="dxa"/>
            <w:shd w:val="clear" w:color="auto" w:fill="auto"/>
            <w:vAlign w:val="center"/>
            <w:hideMark/>
          </w:tcPr>
          <w:p w14:paraId="49C66E72" w14:textId="77777777" w:rsidR="006F3F9E" w:rsidRPr="00F73D14" w:rsidRDefault="006F3F9E" w:rsidP="00307CF5">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Destruction de la jeunesse par la technologie</w:t>
            </w:r>
          </w:p>
        </w:tc>
        <w:tc>
          <w:tcPr>
            <w:tcW w:w="4253" w:type="dxa"/>
            <w:shd w:val="clear" w:color="auto" w:fill="auto"/>
            <w:vAlign w:val="center"/>
            <w:hideMark/>
          </w:tcPr>
          <w:p w14:paraId="5C87E88C" w14:textId="77777777" w:rsidR="006F3F9E" w:rsidRPr="00F73D14" w:rsidRDefault="006F3F9E" w:rsidP="00307CF5">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Effort supplémentaire pour le maintien de la culture malgache, pour qu’elle ne soit pas souillée par internet</w:t>
            </w:r>
          </w:p>
        </w:tc>
      </w:tr>
      <w:tr w:rsidR="006F3F9E" w:rsidRPr="007F78CE" w14:paraId="5CC8A400" w14:textId="77777777" w:rsidTr="00B434A6">
        <w:trPr>
          <w:trHeight w:val="720"/>
        </w:trPr>
        <w:tc>
          <w:tcPr>
            <w:tcW w:w="4693" w:type="dxa"/>
            <w:shd w:val="clear" w:color="auto" w:fill="auto"/>
            <w:vAlign w:val="center"/>
            <w:hideMark/>
          </w:tcPr>
          <w:p w14:paraId="1561BD1A" w14:textId="77777777" w:rsidR="006F3F9E" w:rsidRPr="00F73D14" w:rsidRDefault="006F3F9E" w:rsidP="00307CF5">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Non-respect du soatoavina et des Ray aman-dreny</w:t>
            </w:r>
          </w:p>
        </w:tc>
        <w:tc>
          <w:tcPr>
            <w:tcW w:w="4253" w:type="dxa"/>
            <w:shd w:val="clear" w:color="auto" w:fill="auto"/>
            <w:vAlign w:val="center"/>
            <w:hideMark/>
          </w:tcPr>
          <w:p w14:paraId="61A046CA" w14:textId="77777777" w:rsidR="006F3F9E" w:rsidRPr="00F73D14" w:rsidRDefault="006F3F9E" w:rsidP="00307CF5">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Effort supplémentaire pour le maintien de la culture malgache, pour qu’elle ne soit pas souillée par internet</w:t>
            </w:r>
          </w:p>
        </w:tc>
      </w:tr>
      <w:tr w:rsidR="006F3F9E" w:rsidRPr="007F78CE" w14:paraId="5106C35B" w14:textId="77777777" w:rsidTr="00B434A6">
        <w:trPr>
          <w:trHeight w:val="576"/>
        </w:trPr>
        <w:tc>
          <w:tcPr>
            <w:tcW w:w="4693" w:type="dxa"/>
            <w:shd w:val="clear" w:color="auto" w:fill="auto"/>
            <w:vAlign w:val="center"/>
            <w:hideMark/>
          </w:tcPr>
          <w:p w14:paraId="18486E11" w14:textId="77777777" w:rsidR="006F3F9E" w:rsidRPr="00F73D14" w:rsidRDefault="006F3F9E" w:rsidP="00307CF5">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Recrudescence de l’insécurité : favorisation de la communication entre les malfaiteurs</w:t>
            </w:r>
          </w:p>
        </w:tc>
        <w:tc>
          <w:tcPr>
            <w:tcW w:w="4253" w:type="dxa"/>
            <w:shd w:val="clear" w:color="auto" w:fill="auto"/>
            <w:vAlign w:val="center"/>
            <w:hideMark/>
          </w:tcPr>
          <w:p w14:paraId="2DB34264" w14:textId="77777777" w:rsidR="006F3F9E" w:rsidRPr="00F73D14" w:rsidRDefault="006F3F9E" w:rsidP="00307CF5">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Recrutement des jeunes pour les activités du Projet</w:t>
            </w:r>
          </w:p>
        </w:tc>
      </w:tr>
      <w:tr w:rsidR="006F3F9E" w:rsidRPr="007F78CE" w14:paraId="216851C5" w14:textId="77777777" w:rsidTr="00B434A6">
        <w:trPr>
          <w:trHeight w:val="288"/>
        </w:trPr>
        <w:tc>
          <w:tcPr>
            <w:tcW w:w="4693" w:type="dxa"/>
            <w:vMerge w:val="restart"/>
            <w:shd w:val="clear" w:color="auto" w:fill="auto"/>
            <w:vAlign w:val="center"/>
            <w:hideMark/>
          </w:tcPr>
          <w:p w14:paraId="0B814969" w14:textId="77777777" w:rsidR="006F3F9E" w:rsidRPr="00F73D14" w:rsidRDefault="006F3F9E" w:rsidP="004A48B0">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Litiges fonciers si aucune considération des questions foncières avant réalisation du Projet</w:t>
            </w:r>
          </w:p>
        </w:tc>
        <w:tc>
          <w:tcPr>
            <w:tcW w:w="4253" w:type="dxa"/>
            <w:shd w:val="clear" w:color="auto" w:fill="auto"/>
            <w:vAlign w:val="center"/>
            <w:hideMark/>
          </w:tcPr>
          <w:p w14:paraId="79EA0254" w14:textId="77777777" w:rsidR="006F3F9E" w:rsidRPr="00F73D14" w:rsidRDefault="006F3F9E" w:rsidP="00307CF5">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Mise en œuvre du Projet sur un terrain domanial</w:t>
            </w:r>
          </w:p>
        </w:tc>
      </w:tr>
      <w:tr w:rsidR="006F3F9E" w:rsidRPr="007F78CE" w14:paraId="40615BEC" w14:textId="77777777" w:rsidTr="00307CF5">
        <w:trPr>
          <w:trHeight w:val="780"/>
        </w:trPr>
        <w:tc>
          <w:tcPr>
            <w:tcW w:w="4693" w:type="dxa"/>
            <w:vMerge/>
            <w:vAlign w:val="center"/>
            <w:hideMark/>
          </w:tcPr>
          <w:p w14:paraId="3A15B2C8" w14:textId="77777777" w:rsidR="006F3F9E" w:rsidRPr="00F73D14" w:rsidRDefault="006F3F9E" w:rsidP="00307CF5">
            <w:pPr>
              <w:spacing w:after="0" w:line="240" w:lineRule="auto"/>
              <w:rPr>
                <w:rFonts w:ascii="Arial" w:eastAsia="Times New Roman" w:hAnsi="Arial" w:cs="Arial"/>
                <w:color w:val="000000"/>
                <w:sz w:val="18"/>
                <w:szCs w:val="18"/>
                <w:lang w:eastAsia="fr-FR"/>
              </w:rPr>
            </w:pPr>
          </w:p>
        </w:tc>
        <w:tc>
          <w:tcPr>
            <w:tcW w:w="4253" w:type="dxa"/>
            <w:shd w:val="clear" w:color="auto" w:fill="auto"/>
            <w:vAlign w:val="center"/>
            <w:hideMark/>
          </w:tcPr>
          <w:p w14:paraId="6D786FAE" w14:textId="77777777" w:rsidR="006F3F9E" w:rsidRPr="00F73D14" w:rsidRDefault="006F3F9E" w:rsidP="00307CF5">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Implication du sojabe et du Fokontany dans le processus de négociation avec les propriétaires terriens</w:t>
            </w:r>
          </w:p>
        </w:tc>
      </w:tr>
      <w:tr w:rsidR="006F3F9E" w:rsidRPr="007F78CE" w14:paraId="31FF9953" w14:textId="77777777" w:rsidTr="00B434A6">
        <w:trPr>
          <w:trHeight w:val="576"/>
        </w:trPr>
        <w:tc>
          <w:tcPr>
            <w:tcW w:w="4693" w:type="dxa"/>
            <w:shd w:val="clear" w:color="auto" w:fill="auto"/>
            <w:vAlign w:val="center"/>
            <w:hideMark/>
          </w:tcPr>
          <w:p w14:paraId="7210545C" w14:textId="77777777" w:rsidR="006F3F9E" w:rsidRPr="00F73D14" w:rsidRDefault="006F3F9E" w:rsidP="00307CF5">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Craintes par rapport au manque de transparence venant du Projet</w:t>
            </w:r>
          </w:p>
        </w:tc>
        <w:tc>
          <w:tcPr>
            <w:tcW w:w="4253" w:type="dxa"/>
            <w:shd w:val="clear" w:color="auto" w:fill="auto"/>
            <w:vAlign w:val="center"/>
            <w:hideMark/>
          </w:tcPr>
          <w:p w14:paraId="77812F46" w14:textId="77777777" w:rsidR="006F3F9E" w:rsidRPr="00F73D14" w:rsidRDefault="006F3F9E" w:rsidP="00307CF5">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Formation des jeunes pour que l’utilisation d’internet n’ait pas un impact négatif sur eux</w:t>
            </w:r>
          </w:p>
        </w:tc>
      </w:tr>
      <w:tr w:rsidR="006F3F9E" w:rsidRPr="007F78CE" w14:paraId="338A602D" w14:textId="77777777" w:rsidTr="00307CF5">
        <w:trPr>
          <w:trHeight w:val="525"/>
        </w:trPr>
        <w:tc>
          <w:tcPr>
            <w:tcW w:w="4693" w:type="dxa"/>
            <w:shd w:val="clear" w:color="auto" w:fill="auto"/>
            <w:vAlign w:val="center"/>
            <w:hideMark/>
          </w:tcPr>
          <w:p w14:paraId="35A9D999" w14:textId="77777777" w:rsidR="006F3F9E" w:rsidRPr="00F73D14" w:rsidRDefault="006F3F9E" w:rsidP="00307CF5">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Communauté ne sait pas utiliser les TIC</w:t>
            </w:r>
          </w:p>
        </w:tc>
        <w:tc>
          <w:tcPr>
            <w:tcW w:w="4253" w:type="dxa"/>
            <w:shd w:val="clear" w:color="auto" w:fill="auto"/>
            <w:vAlign w:val="center"/>
            <w:hideMark/>
          </w:tcPr>
          <w:p w14:paraId="500D9142" w14:textId="77777777" w:rsidR="006F3F9E" w:rsidRPr="00F73D14" w:rsidRDefault="006F3F9E" w:rsidP="00307CF5">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Formation de la communauté sur l’utilisation des NTIC</w:t>
            </w:r>
          </w:p>
        </w:tc>
      </w:tr>
      <w:tr w:rsidR="006F3F9E" w:rsidRPr="007F78CE" w14:paraId="7D431CE3" w14:textId="77777777" w:rsidTr="00B434A6">
        <w:trPr>
          <w:trHeight w:val="432"/>
        </w:trPr>
        <w:tc>
          <w:tcPr>
            <w:tcW w:w="4693" w:type="dxa"/>
            <w:shd w:val="clear" w:color="auto" w:fill="auto"/>
            <w:vAlign w:val="center"/>
          </w:tcPr>
          <w:p w14:paraId="5E9877F6" w14:textId="77777777" w:rsidR="006F3F9E" w:rsidRPr="00F73D14" w:rsidRDefault="006F3F9E" w:rsidP="00307CF5">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 xml:space="preserve">Conflits entre les natifs et les ouvriers migrants </w:t>
            </w:r>
          </w:p>
        </w:tc>
        <w:tc>
          <w:tcPr>
            <w:tcW w:w="4253" w:type="dxa"/>
            <w:shd w:val="clear" w:color="auto" w:fill="auto"/>
            <w:vAlign w:val="center"/>
          </w:tcPr>
          <w:p w14:paraId="1A3EFB80" w14:textId="77777777" w:rsidR="006F3F9E" w:rsidRPr="00F73D14" w:rsidRDefault="006F3F9E" w:rsidP="00B434A6">
            <w:pPr>
              <w:autoSpaceDE w:val="0"/>
              <w:autoSpaceDN w:val="0"/>
              <w:adjustRightInd w:val="0"/>
              <w:spacing w:after="0"/>
              <w:jc w:val="both"/>
              <w:rPr>
                <w:rFonts w:ascii="Arial" w:eastAsia="Times New Roman" w:hAnsi="Arial" w:cs="Arial"/>
                <w:b/>
                <w:smallCaps/>
                <w:color w:val="000000"/>
                <w:sz w:val="18"/>
                <w:szCs w:val="18"/>
                <w:lang w:eastAsia="fr-FR"/>
              </w:rPr>
            </w:pPr>
            <w:r w:rsidRPr="007F78CE">
              <w:rPr>
                <w:rFonts w:ascii="Arial" w:hAnsi="Arial" w:cs="Arial"/>
                <w:sz w:val="18"/>
                <w:szCs w:val="18"/>
              </w:rPr>
              <w:t>Respect des us et coutumes locales durant la réalisation du Projet</w:t>
            </w:r>
          </w:p>
        </w:tc>
      </w:tr>
    </w:tbl>
    <w:p w14:paraId="12B823EF" w14:textId="77777777" w:rsidR="006F3F9E" w:rsidRDefault="006F3F9E" w:rsidP="00B434A6">
      <w:pPr>
        <w:autoSpaceDE w:val="0"/>
        <w:autoSpaceDN w:val="0"/>
        <w:adjustRightInd w:val="0"/>
        <w:spacing w:before="120" w:after="120"/>
        <w:jc w:val="both"/>
        <w:rPr>
          <w:rFonts w:ascii="Arial" w:hAnsi="Arial" w:cs="Arial"/>
          <w:szCs w:val="24"/>
        </w:rPr>
      </w:pPr>
      <w:r>
        <w:rPr>
          <w:rFonts w:ascii="Arial" w:hAnsi="Arial" w:cs="Arial"/>
          <w:szCs w:val="24"/>
        </w:rPr>
        <w:t xml:space="preserve">Outres ces préoccupations, les </w:t>
      </w:r>
      <w:r w:rsidR="00B37CFA">
        <w:rPr>
          <w:rFonts w:ascii="Arial" w:hAnsi="Arial" w:cs="Arial"/>
          <w:szCs w:val="24"/>
        </w:rPr>
        <w:t>notables</w:t>
      </w:r>
      <w:r>
        <w:rPr>
          <w:rFonts w:ascii="Arial" w:hAnsi="Arial" w:cs="Arial"/>
          <w:szCs w:val="24"/>
        </w:rPr>
        <w:t xml:space="preserve"> ont aussi émis des attentes qui sont résumé</w:t>
      </w:r>
      <w:r w:rsidR="00767012">
        <w:rPr>
          <w:rFonts w:ascii="Arial" w:hAnsi="Arial" w:cs="Arial"/>
          <w:szCs w:val="24"/>
        </w:rPr>
        <w:t>e</w:t>
      </w:r>
      <w:r>
        <w:rPr>
          <w:rFonts w:ascii="Arial" w:hAnsi="Arial" w:cs="Arial"/>
          <w:szCs w:val="24"/>
        </w:rPr>
        <w:t xml:space="preserve">s comme suit : </w:t>
      </w:r>
    </w:p>
    <w:p w14:paraId="3D4737DB" w14:textId="77777777" w:rsidR="006F3F9E" w:rsidRPr="003E0CDB" w:rsidRDefault="006F3F9E" w:rsidP="00687DD2">
      <w:pPr>
        <w:numPr>
          <w:ilvl w:val="0"/>
          <w:numId w:val="50"/>
        </w:numPr>
        <w:spacing w:after="0" w:line="240" w:lineRule="auto"/>
        <w:jc w:val="both"/>
        <w:rPr>
          <w:rFonts w:ascii="Arial" w:hAnsi="Arial" w:cs="Arial"/>
        </w:rPr>
      </w:pPr>
      <w:r w:rsidRPr="003E0CDB">
        <w:rPr>
          <w:rFonts w:ascii="Arial" w:hAnsi="Arial" w:cs="Arial"/>
        </w:rPr>
        <w:t>Mettre en place une liaison entre le Projet et l’accès à l’eau potable</w:t>
      </w:r>
      <w:r w:rsidR="003E0CDB">
        <w:rPr>
          <w:rFonts w:ascii="Arial" w:hAnsi="Arial" w:cs="Arial"/>
        </w:rPr>
        <w:t> ;</w:t>
      </w:r>
    </w:p>
    <w:p w14:paraId="70369097" w14:textId="77777777" w:rsidR="006F3F9E" w:rsidRPr="003E0CDB" w:rsidRDefault="006F3F9E" w:rsidP="00687DD2">
      <w:pPr>
        <w:numPr>
          <w:ilvl w:val="0"/>
          <w:numId w:val="50"/>
        </w:numPr>
        <w:spacing w:after="0" w:line="240" w:lineRule="auto"/>
        <w:jc w:val="both"/>
        <w:rPr>
          <w:rFonts w:ascii="Arial" w:hAnsi="Arial" w:cs="Arial"/>
        </w:rPr>
      </w:pPr>
      <w:r w:rsidRPr="003E0CDB">
        <w:rPr>
          <w:rFonts w:ascii="Arial" w:hAnsi="Arial" w:cs="Arial"/>
        </w:rPr>
        <w:t>Possibilité de desserte d’électricité à partir des communautés déjà desservies</w:t>
      </w:r>
      <w:r w:rsidR="003E0CDB">
        <w:rPr>
          <w:rFonts w:ascii="Arial" w:hAnsi="Arial" w:cs="Arial"/>
        </w:rPr>
        <w:t> ;</w:t>
      </w:r>
    </w:p>
    <w:p w14:paraId="7855EE5B" w14:textId="77777777" w:rsidR="006F3F9E" w:rsidRPr="003E0CDB" w:rsidRDefault="00767012" w:rsidP="00687DD2">
      <w:pPr>
        <w:numPr>
          <w:ilvl w:val="0"/>
          <w:numId w:val="50"/>
        </w:numPr>
        <w:spacing w:after="0" w:line="240" w:lineRule="auto"/>
        <w:jc w:val="both"/>
        <w:rPr>
          <w:rFonts w:ascii="Arial" w:hAnsi="Arial" w:cs="Arial"/>
        </w:rPr>
      </w:pPr>
      <w:r w:rsidRPr="003E0CDB">
        <w:rPr>
          <w:rFonts w:ascii="Arial" w:hAnsi="Arial" w:cs="Arial"/>
        </w:rPr>
        <w:t>Électrification</w:t>
      </w:r>
      <w:r w:rsidR="006F3F9E" w:rsidRPr="003E0CDB">
        <w:rPr>
          <w:rFonts w:ascii="Arial" w:hAnsi="Arial" w:cs="Arial"/>
        </w:rPr>
        <w:t xml:space="preserve"> des bureaux administratifs</w:t>
      </w:r>
      <w:r w:rsidR="003E0CDB">
        <w:rPr>
          <w:rFonts w:ascii="Arial" w:hAnsi="Arial" w:cs="Arial"/>
        </w:rPr>
        <w:t>.</w:t>
      </w:r>
    </w:p>
    <w:p w14:paraId="13A622DB" w14:textId="77777777" w:rsidR="00E95156" w:rsidRPr="004625ED" w:rsidRDefault="00CB0989" w:rsidP="0044500E">
      <w:pPr>
        <w:pStyle w:val="TIT3"/>
        <w:numPr>
          <w:ilvl w:val="2"/>
          <w:numId w:val="177"/>
        </w:numPr>
      </w:pPr>
      <w:bookmarkStart w:id="1202" w:name="_Toc124314765"/>
      <w:bookmarkStart w:id="1203" w:name="_Toc124956294"/>
      <w:bookmarkStart w:id="1204" w:name="_Toc125384642"/>
      <w:bookmarkStart w:id="1205" w:name="_Toc125385031"/>
      <w:bookmarkStart w:id="1206" w:name="_Toc127957704"/>
      <w:r>
        <w:t>Réunion avec les</w:t>
      </w:r>
      <w:r w:rsidR="004625ED" w:rsidRPr="004625ED">
        <w:t xml:space="preserve"> femmes</w:t>
      </w:r>
      <w:bookmarkEnd w:id="1202"/>
      <w:bookmarkEnd w:id="1203"/>
      <w:bookmarkEnd w:id="1204"/>
      <w:bookmarkEnd w:id="1205"/>
      <w:bookmarkEnd w:id="1206"/>
      <w:r w:rsidR="004625ED" w:rsidRPr="004625ED">
        <w:t xml:space="preserve"> </w:t>
      </w:r>
    </w:p>
    <w:p w14:paraId="6793E088" w14:textId="77777777" w:rsidR="001D2909" w:rsidRPr="001D2909" w:rsidRDefault="001D2909" w:rsidP="0044500E">
      <w:pPr>
        <w:pStyle w:val="TIT40"/>
        <w:numPr>
          <w:ilvl w:val="3"/>
          <w:numId w:val="177"/>
        </w:numPr>
        <w:outlineLvl w:val="3"/>
      </w:pPr>
      <w:bookmarkStart w:id="1207" w:name="_Toc124314766"/>
      <w:bookmarkStart w:id="1208" w:name="_Toc124956295"/>
      <w:bookmarkStart w:id="1209" w:name="_Toc125384643"/>
      <w:bookmarkStart w:id="1210" w:name="_Toc125385032"/>
      <w:bookmarkStart w:id="1211" w:name="_Toc127957705"/>
      <w:r w:rsidRPr="001D2909">
        <w:t>Déroulement de la réunion</w:t>
      </w:r>
      <w:bookmarkEnd w:id="1207"/>
      <w:bookmarkEnd w:id="1208"/>
      <w:bookmarkEnd w:id="1209"/>
      <w:bookmarkEnd w:id="1210"/>
      <w:bookmarkEnd w:id="1211"/>
      <w:r w:rsidRPr="001D2909">
        <w:t xml:space="preserve"> </w:t>
      </w:r>
    </w:p>
    <w:p w14:paraId="2F19AB5B" w14:textId="77777777" w:rsidR="001D2909" w:rsidRPr="00F73D14" w:rsidRDefault="001D2909" w:rsidP="00F73D14">
      <w:pPr>
        <w:spacing w:before="120" w:after="120" w:line="240" w:lineRule="auto"/>
        <w:jc w:val="both"/>
        <w:rPr>
          <w:rFonts w:ascii="Arial" w:hAnsi="Arial" w:cs="Arial"/>
        </w:rPr>
      </w:pPr>
      <w:r w:rsidRPr="00F73D14">
        <w:rPr>
          <w:rFonts w:ascii="Arial" w:hAnsi="Arial" w:cs="Arial"/>
        </w:rPr>
        <w:t>La consultation des groupes de femmes a été effectuée durant la descente sur le terrain dans les différentes Régions entre 17 décembre 2022 et 19 décembre 2022. Elle a vu la participation de 226 femmes dans les 15 fokontany visité</w:t>
      </w:r>
      <w:r w:rsidR="00767012">
        <w:rPr>
          <w:rFonts w:ascii="Arial" w:hAnsi="Arial" w:cs="Arial"/>
        </w:rPr>
        <w:t>s</w:t>
      </w:r>
      <w:r w:rsidRPr="00F73D14">
        <w:rPr>
          <w:rFonts w:ascii="Arial" w:hAnsi="Arial" w:cs="Arial"/>
        </w:rPr>
        <w:t xml:space="preserve">. Le calendrier de la consultation des femmes dans chaque Commune est présenté dans le tableau suivant. </w:t>
      </w:r>
    </w:p>
    <w:p w14:paraId="06CF95C2" w14:textId="77777777" w:rsidR="001D2909" w:rsidRPr="00EE273B" w:rsidRDefault="00EE273B" w:rsidP="00EE273B">
      <w:pPr>
        <w:pStyle w:val="Lgende"/>
        <w:jc w:val="center"/>
        <w:rPr>
          <w:sz w:val="20"/>
        </w:rPr>
      </w:pPr>
      <w:bookmarkStart w:id="1212" w:name="_Toc127957882"/>
      <w:r w:rsidRPr="00EE273B">
        <w:rPr>
          <w:sz w:val="20"/>
        </w:rPr>
        <w:t xml:space="preserve">Tableau </w:t>
      </w:r>
      <w:r w:rsidRPr="00EE273B">
        <w:rPr>
          <w:sz w:val="20"/>
        </w:rPr>
        <w:fldChar w:fldCharType="begin"/>
      </w:r>
      <w:r w:rsidRPr="00EE273B">
        <w:rPr>
          <w:sz w:val="20"/>
        </w:rPr>
        <w:instrText xml:space="preserve"> SEQ Tableau \* ARABIC </w:instrText>
      </w:r>
      <w:r w:rsidRPr="00EE273B">
        <w:rPr>
          <w:sz w:val="20"/>
        </w:rPr>
        <w:fldChar w:fldCharType="separate"/>
      </w:r>
      <w:r w:rsidR="005430A1">
        <w:rPr>
          <w:noProof/>
          <w:sz w:val="20"/>
        </w:rPr>
        <w:t>86</w:t>
      </w:r>
      <w:r w:rsidRPr="00EE273B">
        <w:rPr>
          <w:sz w:val="20"/>
        </w:rPr>
        <w:fldChar w:fldCharType="end"/>
      </w:r>
      <w:r w:rsidRPr="00EE273B">
        <w:rPr>
          <w:sz w:val="20"/>
        </w:rPr>
        <w:t>. Information sur les consultations des groupes de femmes</w:t>
      </w:r>
      <w:bookmarkEnd w:id="1212"/>
      <w:r w:rsidRPr="00EE273B">
        <w:rPr>
          <w:sz w:val="20"/>
        </w:rPr>
        <w:t xml:space="preserve"> </w:t>
      </w:r>
    </w:p>
    <w:tbl>
      <w:tblPr>
        <w:tblW w:w="7386" w:type="dxa"/>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851"/>
        <w:gridCol w:w="2997"/>
        <w:gridCol w:w="1318"/>
        <w:gridCol w:w="1220"/>
      </w:tblGrid>
      <w:tr w:rsidR="0063584D" w:rsidRPr="007F78CE" w14:paraId="4DA48259" w14:textId="77777777" w:rsidTr="007F78CE">
        <w:trPr>
          <w:trHeight w:val="300"/>
          <w:tblHeader/>
          <w:jc w:val="center"/>
        </w:trPr>
        <w:tc>
          <w:tcPr>
            <w:tcW w:w="1851" w:type="dxa"/>
            <w:shd w:val="clear" w:color="auto" w:fill="4F81BD"/>
            <w:noWrap/>
            <w:vAlign w:val="center"/>
            <w:hideMark/>
          </w:tcPr>
          <w:p w14:paraId="64B0E2D4" w14:textId="77777777" w:rsidR="001D2909" w:rsidRPr="007F78CE" w:rsidRDefault="001D2909" w:rsidP="007F78CE">
            <w:pPr>
              <w:spacing w:after="0" w:line="240" w:lineRule="auto"/>
              <w:jc w:val="center"/>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Région</w:t>
            </w:r>
          </w:p>
        </w:tc>
        <w:tc>
          <w:tcPr>
            <w:tcW w:w="2997" w:type="dxa"/>
            <w:shd w:val="clear" w:color="auto" w:fill="4F81BD"/>
            <w:noWrap/>
            <w:vAlign w:val="center"/>
            <w:hideMark/>
          </w:tcPr>
          <w:p w14:paraId="70FAD76C" w14:textId="77777777" w:rsidR="001D2909" w:rsidRPr="007F78CE" w:rsidRDefault="001D2909" w:rsidP="007F78CE">
            <w:pPr>
              <w:spacing w:after="0" w:line="240" w:lineRule="auto"/>
              <w:jc w:val="center"/>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Commune</w:t>
            </w:r>
          </w:p>
        </w:tc>
        <w:tc>
          <w:tcPr>
            <w:tcW w:w="1318" w:type="dxa"/>
            <w:shd w:val="clear" w:color="auto" w:fill="4F81BD"/>
            <w:noWrap/>
            <w:vAlign w:val="center"/>
            <w:hideMark/>
          </w:tcPr>
          <w:p w14:paraId="62274677" w14:textId="77777777" w:rsidR="001D2909" w:rsidRPr="007F78CE" w:rsidRDefault="001D2909" w:rsidP="007F78CE">
            <w:pPr>
              <w:spacing w:after="0" w:line="240" w:lineRule="auto"/>
              <w:jc w:val="center"/>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Date</w:t>
            </w:r>
          </w:p>
        </w:tc>
        <w:tc>
          <w:tcPr>
            <w:tcW w:w="1220" w:type="dxa"/>
            <w:shd w:val="clear" w:color="auto" w:fill="4F81BD"/>
            <w:noWrap/>
            <w:vAlign w:val="center"/>
            <w:hideMark/>
          </w:tcPr>
          <w:p w14:paraId="17C7235E" w14:textId="77777777" w:rsidR="001D2909" w:rsidRPr="007F78CE" w:rsidRDefault="001D2909" w:rsidP="007F78CE">
            <w:pPr>
              <w:spacing w:after="0" w:line="240" w:lineRule="auto"/>
              <w:jc w:val="center"/>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Nb femmes</w:t>
            </w:r>
          </w:p>
        </w:tc>
      </w:tr>
      <w:tr w:rsidR="0063584D" w:rsidRPr="007F78CE" w14:paraId="1B0C8BFB" w14:textId="77777777" w:rsidTr="007F78CE">
        <w:trPr>
          <w:trHeight w:val="300"/>
          <w:jc w:val="center"/>
        </w:trPr>
        <w:tc>
          <w:tcPr>
            <w:tcW w:w="1851" w:type="dxa"/>
            <w:tcBorders>
              <w:top w:val="single" w:sz="8" w:space="0" w:color="4F81BD"/>
              <w:left w:val="single" w:sz="8" w:space="0" w:color="4F81BD"/>
              <w:bottom w:val="single" w:sz="8" w:space="0" w:color="4F81BD"/>
            </w:tcBorders>
            <w:shd w:val="clear" w:color="auto" w:fill="auto"/>
            <w:noWrap/>
            <w:hideMark/>
          </w:tcPr>
          <w:p w14:paraId="3B2968D3" w14:textId="77777777" w:rsidR="001D2909" w:rsidRPr="007F78CE" w:rsidRDefault="001D2909" w:rsidP="007F78CE">
            <w:pPr>
              <w:spacing w:after="0" w:line="240" w:lineRule="auto"/>
              <w:rPr>
                <w:rFonts w:ascii="Arial" w:eastAsia="Times New Roman" w:hAnsi="Arial" w:cs="Arial"/>
                <w:b/>
                <w:bCs/>
                <w:color w:val="000000"/>
                <w:sz w:val="18"/>
                <w:szCs w:val="18"/>
                <w:lang w:eastAsia="fr-FR"/>
              </w:rPr>
            </w:pPr>
            <w:r w:rsidRPr="005D6D41">
              <w:rPr>
                <w:rFonts w:ascii="Arial" w:eastAsia="Times New Roman" w:hAnsi="Arial" w:cs="Arial"/>
                <w:b/>
                <w:color w:val="000000"/>
                <w:sz w:val="18"/>
                <w:szCs w:val="18"/>
                <w:lang w:eastAsia="fr-FR"/>
              </w:rPr>
              <w:t>Bongolava</w:t>
            </w:r>
          </w:p>
        </w:tc>
        <w:tc>
          <w:tcPr>
            <w:tcW w:w="2997" w:type="dxa"/>
            <w:tcBorders>
              <w:top w:val="single" w:sz="8" w:space="0" w:color="4F81BD"/>
              <w:bottom w:val="single" w:sz="8" w:space="0" w:color="4F81BD"/>
            </w:tcBorders>
            <w:shd w:val="clear" w:color="auto" w:fill="auto"/>
            <w:noWrap/>
            <w:hideMark/>
          </w:tcPr>
          <w:p w14:paraId="3EA72DFC" w14:textId="77777777" w:rsidR="001D2909" w:rsidRPr="007F78CE" w:rsidRDefault="001D2909"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Ankadinondry</w:t>
            </w:r>
          </w:p>
        </w:tc>
        <w:tc>
          <w:tcPr>
            <w:tcW w:w="1318" w:type="dxa"/>
            <w:tcBorders>
              <w:top w:val="single" w:sz="8" w:space="0" w:color="4F81BD"/>
              <w:bottom w:val="single" w:sz="8" w:space="0" w:color="4F81BD"/>
            </w:tcBorders>
            <w:shd w:val="clear" w:color="auto" w:fill="auto"/>
            <w:noWrap/>
            <w:hideMark/>
          </w:tcPr>
          <w:p w14:paraId="2E9BF364" w14:textId="77777777" w:rsidR="001D2909" w:rsidRPr="007F78CE" w:rsidRDefault="001D2909"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17/12/2022</w:t>
            </w:r>
          </w:p>
        </w:tc>
        <w:tc>
          <w:tcPr>
            <w:tcW w:w="1220" w:type="dxa"/>
            <w:tcBorders>
              <w:top w:val="single" w:sz="8" w:space="0" w:color="4F81BD"/>
              <w:bottom w:val="single" w:sz="8" w:space="0" w:color="4F81BD"/>
              <w:right w:val="single" w:sz="8" w:space="0" w:color="4F81BD"/>
            </w:tcBorders>
            <w:shd w:val="clear" w:color="auto" w:fill="auto"/>
            <w:noWrap/>
            <w:hideMark/>
          </w:tcPr>
          <w:p w14:paraId="2FD50AD0" w14:textId="77777777" w:rsidR="001D2909" w:rsidRPr="007F78CE" w:rsidRDefault="001D2909"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14</w:t>
            </w:r>
          </w:p>
        </w:tc>
      </w:tr>
      <w:tr w:rsidR="0063584D" w:rsidRPr="007F78CE" w14:paraId="1FD0EB9B" w14:textId="77777777" w:rsidTr="007F78CE">
        <w:trPr>
          <w:trHeight w:val="300"/>
          <w:jc w:val="center"/>
        </w:trPr>
        <w:tc>
          <w:tcPr>
            <w:tcW w:w="1851" w:type="dxa"/>
            <w:shd w:val="clear" w:color="auto" w:fill="auto"/>
            <w:noWrap/>
            <w:hideMark/>
          </w:tcPr>
          <w:p w14:paraId="4B62DB6C" w14:textId="77777777" w:rsidR="001D2909" w:rsidRPr="007F78CE" w:rsidRDefault="001D2909" w:rsidP="007F78CE">
            <w:pPr>
              <w:spacing w:after="0" w:line="240" w:lineRule="auto"/>
              <w:rPr>
                <w:rFonts w:ascii="Arial" w:eastAsia="Times New Roman" w:hAnsi="Arial" w:cs="Arial"/>
                <w:b/>
                <w:bCs/>
                <w:color w:val="000000"/>
                <w:sz w:val="18"/>
                <w:szCs w:val="18"/>
                <w:lang w:eastAsia="fr-FR"/>
              </w:rPr>
            </w:pPr>
            <w:r w:rsidRPr="005D6D41">
              <w:rPr>
                <w:rFonts w:ascii="Arial" w:eastAsia="Times New Roman" w:hAnsi="Arial" w:cs="Arial"/>
                <w:b/>
                <w:color w:val="000000"/>
                <w:sz w:val="18"/>
                <w:szCs w:val="18"/>
                <w:lang w:eastAsia="fr-FR"/>
              </w:rPr>
              <w:t>Bongolava</w:t>
            </w:r>
          </w:p>
        </w:tc>
        <w:tc>
          <w:tcPr>
            <w:tcW w:w="2997" w:type="dxa"/>
            <w:shd w:val="clear" w:color="auto" w:fill="auto"/>
            <w:noWrap/>
            <w:hideMark/>
          </w:tcPr>
          <w:p w14:paraId="2A88A3C4" w14:textId="77777777" w:rsidR="001D2909" w:rsidRPr="007F78CE" w:rsidRDefault="001D2909"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Tsinjoarivo Imanga</w:t>
            </w:r>
          </w:p>
        </w:tc>
        <w:tc>
          <w:tcPr>
            <w:tcW w:w="1318" w:type="dxa"/>
            <w:shd w:val="clear" w:color="auto" w:fill="auto"/>
            <w:noWrap/>
            <w:hideMark/>
          </w:tcPr>
          <w:p w14:paraId="56FF4E66" w14:textId="77777777" w:rsidR="001D2909" w:rsidRPr="007F78CE" w:rsidRDefault="001D2909"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18/12/2022</w:t>
            </w:r>
          </w:p>
        </w:tc>
        <w:tc>
          <w:tcPr>
            <w:tcW w:w="1220" w:type="dxa"/>
            <w:shd w:val="clear" w:color="auto" w:fill="auto"/>
            <w:noWrap/>
            <w:hideMark/>
          </w:tcPr>
          <w:p w14:paraId="1B6F81BD" w14:textId="77777777" w:rsidR="001D2909" w:rsidRPr="007F78CE" w:rsidRDefault="001D2909"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19</w:t>
            </w:r>
          </w:p>
        </w:tc>
      </w:tr>
      <w:tr w:rsidR="0063584D" w:rsidRPr="007F78CE" w14:paraId="727978D5" w14:textId="77777777" w:rsidTr="007F78CE">
        <w:trPr>
          <w:trHeight w:val="300"/>
          <w:jc w:val="center"/>
        </w:trPr>
        <w:tc>
          <w:tcPr>
            <w:tcW w:w="1851" w:type="dxa"/>
            <w:tcBorders>
              <w:top w:val="single" w:sz="8" w:space="0" w:color="4F81BD"/>
              <w:left w:val="single" w:sz="8" w:space="0" w:color="4F81BD"/>
              <w:bottom w:val="single" w:sz="8" w:space="0" w:color="4F81BD"/>
            </w:tcBorders>
            <w:shd w:val="clear" w:color="auto" w:fill="auto"/>
            <w:noWrap/>
            <w:hideMark/>
          </w:tcPr>
          <w:p w14:paraId="2CEB58C6" w14:textId="77777777" w:rsidR="001D2909" w:rsidRPr="007F78CE" w:rsidRDefault="001D2909" w:rsidP="007F78CE">
            <w:pPr>
              <w:spacing w:after="0" w:line="240" w:lineRule="auto"/>
              <w:rPr>
                <w:rFonts w:ascii="Arial" w:eastAsia="Times New Roman" w:hAnsi="Arial" w:cs="Arial"/>
                <w:b/>
                <w:bCs/>
                <w:color w:val="000000"/>
                <w:sz w:val="18"/>
                <w:szCs w:val="18"/>
                <w:lang w:eastAsia="fr-FR"/>
              </w:rPr>
            </w:pPr>
            <w:r w:rsidRPr="005D6D41">
              <w:rPr>
                <w:rFonts w:ascii="Arial" w:eastAsia="Times New Roman" w:hAnsi="Arial" w:cs="Arial"/>
                <w:b/>
                <w:color w:val="000000"/>
                <w:sz w:val="18"/>
                <w:szCs w:val="18"/>
                <w:lang w:eastAsia="fr-FR"/>
              </w:rPr>
              <w:t>Bongolava</w:t>
            </w:r>
          </w:p>
        </w:tc>
        <w:tc>
          <w:tcPr>
            <w:tcW w:w="2997" w:type="dxa"/>
            <w:tcBorders>
              <w:top w:val="single" w:sz="8" w:space="0" w:color="4F81BD"/>
              <w:bottom w:val="single" w:sz="8" w:space="0" w:color="4F81BD"/>
            </w:tcBorders>
            <w:shd w:val="clear" w:color="auto" w:fill="auto"/>
            <w:noWrap/>
            <w:hideMark/>
          </w:tcPr>
          <w:p w14:paraId="5BB977FF" w14:textId="77777777" w:rsidR="001D2909" w:rsidRPr="007F78CE" w:rsidRDefault="001D2909"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Tsiroanomandidy Fihaonana</w:t>
            </w:r>
          </w:p>
        </w:tc>
        <w:tc>
          <w:tcPr>
            <w:tcW w:w="1318" w:type="dxa"/>
            <w:tcBorders>
              <w:top w:val="single" w:sz="8" w:space="0" w:color="4F81BD"/>
              <w:bottom w:val="single" w:sz="8" w:space="0" w:color="4F81BD"/>
            </w:tcBorders>
            <w:shd w:val="clear" w:color="auto" w:fill="auto"/>
            <w:noWrap/>
            <w:hideMark/>
          </w:tcPr>
          <w:p w14:paraId="753D6A32" w14:textId="77777777" w:rsidR="001D2909" w:rsidRPr="007F78CE" w:rsidRDefault="001D2909"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19/12/2022</w:t>
            </w:r>
          </w:p>
        </w:tc>
        <w:tc>
          <w:tcPr>
            <w:tcW w:w="1220" w:type="dxa"/>
            <w:tcBorders>
              <w:top w:val="single" w:sz="8" w:space="0" w:color="4F81BD"/>
              <w:bottom w:val="single" w:sz="8" w:space="0" w:color="4F81BD"/>
              <w:right w:val="single" w:sz="8" w:space="0" w:color="4F81BD"/>
            </w:tcBorders>
            <w:shd w:val="clear" w:color="auto" w:fill="auto"/>
            <w:noWrap/>
            <w:hideMark/>
          </w:tcPr>
          <w:p w14:paraId="501FE3F8" w14:textId="77777777" w:rsidR="001D2909" w:rsidRPr="007F78CE" w:rsidRDefault="001D2909"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21</w:t>
            </w:r>
          </w:p>
        </w:tc>
      </w:tr>
      <w:tr w:rsidR="0063584D" w:rsidRPr="007F78CE" w14:paraId="66F5974A" w14:textId="77777777" w:rsidTr="007F78CE">
        <w:trPr>
          <w:trHeight w:val="300"/>
          <w:jc w:val="center"/>
        </w:trPr>
        <w:tc>
          <w:tcPr>
            <w:tcW w:w="1851" w:type="dxa"/>
            <w:shd w:val="clear" w:color="auto" w:fill="auto"/>
            <w:noWrap/>
            <w:hideMark/>
          </w:tcPr>
          <w:p w14:paraId="391D781E" w14:textId="77777777" w:rsidR="001D2909" w:rsidRPr="007F78CE" w:rsidRDefault="001D2909"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Menabe</w:t>
            </w:r>
          </w:p>
        </w:tc>
        <w:tc>
          <w:tcPr>
            <w:tcW w:w="2997" w:type="dxa"/>
            <w:shd w:val="clear" w:color="auto" w:fill="auto"/>
            <w:noWrap/>
            <w:hideMark/>
          </w:tcPr>
          <w:p w14:paraId="3A95F0BD" w14:textId="77777777" w:rsidR="001D2909" w:rsidRPr="007F78CE" w:rsidRDefault="001D2909"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Miandrivazo</w:t>
            </w:r>
          </w:p>
        </w:tc>
        <w:tc>
          <w:tcPr>
            <w:tcW w:w="1318" w:type="dxa"/>
            <w:shd w:val="clear" w:color="auto" w:fill="auto"/>
            <w:noWrap/>
            <w:hideMark/>
          </w:tcPr>
          <w:p w14:paraId="25415455" w14:textId="77777777" w:rsidR="001D2909" w:rsidRPr="007F78CE" w:rsidRDefault="001D2909"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17/12/2022</w:t>
            </w:r>
          </w:p>
        </w:tc>
        <w:tc>
          <w:tcPr>
            <w:tcW w:w="1220" w:type="dxa"/>
            <w:shd w:val="clear" w:color="auto" w:fill="auto"/>
            <w:noWrap/>
            <w:hideMark/>
          </w:tcPr>
          <w:p w14:paraId="564D1A44" w14:textId="77777777" w:rsidR="001D2909" w:rsidRPr="007F78CE" w:rsidRDefault="001D2909"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9</w:t>
            </w:r>
          </w:p>
        </w:tc>
      </w:tr>
      <w:tr w:rsidR="0063584D" w:rsidRPr="007F78CE" w14:paraId="3AB87712" w14:textId="77777777" w:rsidTr="007F78CE">
        <w:trPr>
          <w:trHeight w:val="300"/>
          <w:jc w:val="center"/>
        </w:trPr>
        <w:tc>
          <w:tcPr>
            <w:tcW w:w="1851" w:type="dxa"/>
            <w:tcBorders>
              <w:top w:val="single" w:sz="8" w:space="0" w:color="4F81BD"/>
              <w:left w:val="single" w:sz="8" w:space="0" w:color="4F81BD"/>
              <w:bottom w:val="single" w:sz="8" w:space="0" w:color="4F81BD"/>
            </w:tcBorders>
            <w:shd w:val="clear" w:color="auto" w:fill="auto"/>
            <w:noWrap/>
            <w:hideMark/>
          </w:tcPr>
          <w:p w14:paraId="76B9E3FF" w14:textId="77777777" w:rsidR="001D2909" w:rsidRPr="007F78CE" w:rsidRDefault="001D2909"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Menabe</w:t>
            </w:r>
          </w:p>
        </w:tc>
        <w:tc>
          <w:tcPr>
            <w:tcW w:w="2997" w:type="dxa"/>
            <w:tcBorders>
              <w:top w:val="single" w:sz="8" w:space="0" w:color="4F81BD"/>
              <w:bottom w:val="single" w:sz="8" w:space="0" w:color="4F81BD"/>
            </w:tcBorders>
            <w:shd w:val="clear" w:color="auto" w:fill="auto"/>
            <w:noWrap/>
            <w:hideMark/>
          </w:tcPr>
          <w:p w14:paraId="546C9FFA" w14:textId="77777777" w:rsidR="001D2909" w:rsidRPr="007F78CE" w:rsidRDefault="001D2909"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Malaimbandy</w:t>
            </w:r>
          </w:p>
        </w:tc>
        <w:tc>
          <w:tcPr>
            <w:tcW w:w="1318" w:type="dxa"/>
            <w:tcBorders>
              <w:top w:val="single" w:sz="8" w:space="0" w:color="4F81BD"/>
              <w:bottom w:val="single" w:sz="8" w:space="0" w:color="4F81BD"/>
            </w:tcBorders>
            <w:shd w:val="clear" w:color="auto" w:fill="auto"/>
            <w:noWrap/>
            <w:hideMark/>
          </w:tcPr>
          <w:p w14:paraId="66421ADA" w14:textId="77777777" w:rsidR="001D2909" w:rsidRPr="007F78CE" w:rsidRDefault="001D2909"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18/12/2022</w:t>
            </w:r>
          </w:p>
        </w:tc>
        <w:tc>
          <w:tcPr>
            <w:tcW w:w="1220" w:type="dxa"/>
            <w:tcBorders>
              <w:top w:val="single" w:sz="8" w:space="0" w:color="4F81BD"/>
              <w:bottom w:val="single" w:sz="8" w:space="0" w:color="4F81BD"/>
              <w:right w:val="single" w:sz="8" w:space="0" w:color="4F81BD"/>
            </w:tcBorders>
            <w:shd w:val="clear" w:color="auto" w:fill="auto"/>
            <w:noWrap/>
            <w:hideMark/>
          </w:tcPr>
          <w:p w14:paraId="110CFFA7" w14:textId="77777777" w:rsidR="001D2909" w:rsidRPr="007F78CE" w:rsidRDefault="001D2909"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30</w:t>
            </w:r>
          </w:p>
        </w:tc>
      </w:tr>
      <w:tr w:rsidR="0063584D" w:rsidRPr="007F78CE" w14:paraId="2CCDC9F7" w14:textId="77777777" w:rsidTr="007F78CE">
        <w:trPr>
          <w:trHeight w:val="300"/>
          <w:jc w:val="center"/>
        </w:trPr>
        <w:tc>
          <w:tcPr>
            <w:tcW w:w="1851" w:type="dxa"/>
            <w:shd w:val="clear" w:color="auto" w:fill="auto"/>
            <w:noWrap/>
            <w:hideMark/>
          </w:tcPr>
          <w:p w14:paraId="51BCB95E" w14:textId="77777777" w:rsidR="001D2909" w:rsidRPr="007F78CE" w:rsidRDefault="001D2909"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Menabe</w:t>
            </w:r>
          </w:p>
        </w:tc>
        <w:tc>
          <w:tcPr>
            <w:tcW w:w="2997" w:type="dxa"/>
            <w:shd w:val="clear" w:color="auto" w:fill="auto"/>
            <w:noWrap/>
            <w:hideMark/>
          </w:tcPr>
          <w:p w14:paraId="50201E18" w14:textId="77777777" w:rsidR="001D2909" w:rsidRPr="007F78CE" w:rsidRDefault="001D2909"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Mahabo</w:t>
            </w:r>
          </w:p>
        </w:tc>
        <w:tc>
          <w:tcPr>
            <w:tcW w:w="1318" w:type="dxa"/>
            <w:shd w:val="clear" w:color="auto" w:fill="auto"/>
            <w:noWrap/>
            <w:hideMark/>
          </w:tcPr>
          <w:p w14:paraId="7B2F5B7A" w14:textId="77777777" w:rsidR="001D2909" w:rsidRPr="007F78CE" w:rsidRDefault="001D2909"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19/12/2022</w:t>
            </w:r>
          </w:p>
        </w:tc>
        <w:tc>
          <w:tcPr>
            <w:tcW w:w="1220" w:type="dxa"/>
            <w:shd w:val="clear" w:color="auto" w:fill="auto"/>
            <w:noWrap/>
            <w:hideMark/>
          </w:tcPr>
          <w:p w14:paraId="62D55293" w14:textId="77777777" w:rsidR="001D2909" w:rsidRPr="007F78CE" w:rsidRDefault="001D2909"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15</w:t>
            </w:r>
          </w:p>
        </w:tc>
      </w:tr>
      <w:tr w:rsidR="0063584D" w:rsidRPr="007F78CE" w14:paraId="65B976CE" w14:textId="77777777" w:rsidTr="007F78CE">
        <w:trPr>
          <w:trHeight w:val="300"/>
          <w:jc w:val="center"/>
        </w:trPr>
        <w:tc>
          <w:tcPr>
            <w:tcW w:w="1851" w:type="dxa"/>
            <w:tcBorders>
              <w:top w:val="single" w:sz="8" w:space="0" w:color="4F81BD"/>
              <w:left w:val="single" w:sz="8" w:space="0" w:color="4F81BD"/>
              <w:bottom w:val="single" w:sz="8" w:space="0" w:color="4F81BD"/>
            </w:tcBorders>
            <w:shd w:val="clear" w:color="auto" w:fill="auto"/>
            <w:noWrap/>
            <w:hideMark/>
          </w:tcPr>
          <w:p w14:paraId="6DC9C62B" w14:textId="77777777" w:rsidR="001D2909" w:rsidRPr="007F78CE" w:rsidRDefault="001D2909"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Fitovinany</w:t>
            </w:r>
          </w:p>
        </w:tc>
        <w:tc>
          <w:tcPr>
            <w:tcW w:w="2997" w:type="dxa"/>
            <w:tcBorders>
              <w:top w:val="single" w:sz="8" w:space="0" w:color="4F81BD"/>
              <w:bottom w:val="single" w:sz="8" w:space="0" w:color="4F81BD"/>
            </w:tcBorders>
            <w:shd w:val="clear" w:color="auto" w:fill="auto"/>
            <w:noWrap/>
            <w:hideMark/>
          </w:tcPr>
          <w:p w14:paraId="70C45DB9" w14:textId="77777777" w:rsidR="001D2909" w:rsidRPr="007F78CE" w:rsidRDefault="001D2909"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Vohitsindry</w:t>
            </w:r>
          </w:p>
        </w:tc>
        <w:tc>
          <w:tcPr>
            <w:tcW w:w="1318" w:type="dxa"/>
            <w:tcBorders>
              <w:top w:val="single" w:sz="8" w:space="0" w:color="4F81BD"/>
              <w:bottom w:val="single" w:sz="8" w:space="0" w:color="4F81BD"/>
            </w:tcBorders>
            <w:shd w:val="clear" w:color="auto" w:fill="auto"/>
            <w:noWrap/>
            <w:hideMark/>
          </w:tcPr>
          <w:p w14:paraId="384C7705" w14:textId="77777777" w:rsidR="001D2909" w:rsidRPr="007F78CE" w:rsidRDefault="001D2909"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17/12/2022</w:t>
            </w:r>
          </w:p>
        </w:tc>
        <w:tc>
          <w:tcPr>
            <w:tcW w:w="1220" w:type="dxa"/>
            <w:tcBorders>
              <w:top w:val="single" w:sz="8" w:space="0" w:color="4F81BD"/>
              <w:bottom w:val="single" w:sz="8" w:space="0" w:color="4F81BD"/>
              <w:right w:val="single" w:sz="8" w:space="0" w:color="4F81BD"/>
            </w:tcBorders>
            <w:shd w:val="clear" w:color="auto" w:fill="auto"/>
            <w:noWrap/>
            <w:hideMark/>
          </w:tcPr>
          <w:p w14:paraId="687EDB8C" w14:textId="77777777" w:rsidR="001D2909" w:rsidRPr="007F78CE" w:rsidRDefault="001D2909"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8</w:t>
            </w:r>
          </w:p>
        </w:tc>
      </w:tr>
      <w:tr w:rsidR="0063584D" w:rsidRPr="007F78CE" w14:paraId="03BB5ADE" w14:textId="77777777" w:rsidTr="007F78CE">
        <w:trPr>
          <w:trHeight w:val="300"/>
          <w:jc w:val="center"/>
        </w:trPr>
        <w:tc>
          <w:tcPr>
            <w:tcW w:w="1851" w:type="dxa"/>
            <w:shd w:val="clear" w:color="auto" w:fill="auto"/>
            <w:noWrap/>
            <w:hideMark/>
          </w:tcPr>
          <w:p w14:paraId="170F9AB9" w14:textId="77777777" w:rsidR="001D2909" w:rsidRPr="007F78CE" w:rsidRDefault="001D2909"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Fitovinany</w:t>
            </w:r>
          </w:p>
        </w:tc>
        <w:tc>
          <w:tcPr>
            <w:tcW w:w="2997" w:type="dxa"/>
            <w:shd w:val="clear" w:color="auto" w:fill="auto"/>
            <w:noWrap/>
            <w:hideMark/>
          </w:tcPr>
          <w:p w14:paraId="4CAF7589" w14:textId="77777777" w:rsidR="001D2909" w:rsidRPr="007F78CE" w:rsidRDefault="001D2909"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Ambila</w:t>
            </w:r>
          </w:p>
        </w:tc>
        <w:tc>
          <w:tcPr>
            <w:tcW w:w="1318" w:type="dxa"/>
            <w:shd w:val="clear" w:color="auto" w:fill="auto"/>
            <w:noWrap/>
            <w:hideMark/>
          </w:tcPr>
          <w:p w14:paraId="023CE9CE" w14:textId="77777777" w:rsidR="001D2909" w:rsidRPr="007F78CE" w:rsidRDefault="001D2909"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20/12/2022</w:t>
            </w:r>
          </w:p>
        </w:tc>
        <w:tc>
          <w:tcPr>
            <w:tcW w:w="1220" w:type="dxa"/>
            <w:shd w:val="clear" w:color="auto" w:fill="auto"/>
            <w:noWrap/>
            <w:hideMark/>
          </w:tcPr>
          <w:p w14:paraId="75E23FED" w14:textId="77777777" w:rsidR="001D2909" w:rsidRPr="007F78CE" w:rsidRDefault="001D2909"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12</w:t>
            </w:r>
          </w:p>
        </w:tc>
      </w:tr>
      <w:tr w:rsidR="0063584D" w:rsidRPr="007F78CE" w14:paraId="35A0071A" w14:textId="77777777" w:rsidTr="007F78CE">
        <w:trPr>
          <w:trHeight w:val="300"/>
          <w:jc w:val="center"/>
        </w:trPr>
        <w:tc>
          <w:tcPr>
            <w:tcW w:w="1851" w:type="dxa"/>
            <w:tcBorders>
              <w:top w:val="single" w:sz="8" w:space="0" w:color="4F81BD"/>
              <w:left w:val="single" w:sz="8" w:space="0" w:color="4F81BD"/>
              <w:bottom w:val="single" w:sz="8" w:space="0" w:color="4F81BD"/>
            </w:tcBorders>
            <w:shd w:val="clear" w:color="auto" w:fill="auto"/>
            <w:noWrap/>
            <w:hideMark/>
          </w:tcPr>
          <w:p w14:paraId="4599B31E" w14:textId="77777777" w:rsidR="001D2909" w:rsidRPr="007F78CE" w:rsidRDefault="001D2909"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Fitovinany</w:t>
            </w:r>
          </w:p>
        </w:tc>
        <w:tc>
          <w:tcPr>
            <w:tcW w:w="2997" w:type="dxa"/>
            <w:tcBorders>
              <w:top w:val="single" w:sz="8" w:space="0" w:color="4F81BD"/>
              <w:bottom w:val="single" w:sz="8" w:space="0" w:color="4F81BD"/>
            </w:tcBorders>
            <w:shd w:val="clear" w:color="auto" w:fill="auto"/>
            <w:noWrap/>
            <w:hideMark/>
          </w:tcPr>
          <w:p w14:paraId="34794FC7" w14:textId="77777777" w:rsidR="001D2909" w:rsidRPr="007F78CE" w:rsidRDefault="001D2909"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Nato</w:t>
            </w:r>
          </w:p>
        </w:tc>
        <w:tc>
          <w:tcPr>
            <w:tcW w:w="1318" w:type="dxa"/>
            <w:tcBorders>
              <w:top w:val="single" w:sz="8" w:space="0" w:color="4F81BD"/>
              <w:bottom w:val="single" w:sz="8" w:space="0" w:color="4F81BD"/>
            </w:tcBorders>
            <w:shd w:val="clear" w:color="auto" w:fill="auto"/>
            <w:noWrap/>
            <w:hideMark/>
          </w:tcPr>
          <w:p w14:paraId="2CF662E1" w14:textId="77777777" w:rsidR="001D2909" w:rsidRPr="007F78CE" w:rsidRDefault="001D2909"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18/12/2022</w:t>
            </w:r>
          </w:p>
        </w:tc>
        <w:tc>
          <w:tcPr>
            <w:tcW w:w="1220" w:type="dxa"/>
            <w:tcBorders>
              <w:top w:val="single" w:sz="8" w:space="0" w:color="4F81BD"/>
              <w:bottom w:val="single" w:sz="8" w:space="0" w:color="4F81BD"/>
              <w:right w:val="single" w:sz="8" w:space="0" w:color="4F81BD"/>
            </w:tcBorders>
            <w:shd w:val="clear" w:color="auto" w:fill="auto"/>
            <w:noWrap/>
            <w:hideMark/>
          </w:tcPr>
          <w:p w14:paraId="033C2690" w14:textId="77777777" w:rsidR="001D2909" w:rsidRPr="007F78CE" w:rsidRDefault="001D2909"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13</w:t>
            </w:r>
          </w:p>
        </w:tc>
      </w:tr>
      <w:tr w:rsidR="0063584D" w:rsidRPr="007F78CE" w14:paraId="32156D9A" w14:textId="77777777" w:rsidTr="007F78CE">
        <w:trPr>
          <w:trHeight w:val="300"/>
          <w:jc w:val="center"/>
        </w:trPr>
        <w:tc>
          <w:tcPr>
            <w:tcW w:w="1851" w:type="dxa"/>
            <w:shd w:val="clear" w:color="auto" w:fill="auto"/>
            <w:noWrap/>
            <w:hideMark/>
          </w:tcPr>
          <w:p w14:paraId="573D5167" w14:textId="77777777" w:rsidR="001D2909" w:rsidRPr="007F78CE" w:rsidRDefault="001D2909"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Boeny</w:t>
            </w:r>
          </w:p>
        </w:tc>
        <w:tc>
          <w:tcPr>
            <w:tcW w:w="2997" w:type="dxa"/>
            <w:shd w:val="clear" w:color="auto" w:fill="auto"/>
            <w:noWrap/>
            <w:hideMark/>
          </w:tcPr>
          <w:p w14:paraId="6668CEE8" w14:textId="77777777" w:rsidR="001D2909" w:rsidRPr="007F78CE" w:rsidRDefault="001D2909"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Ambatoboeny</w:t>
            </w:r>
          </w:p>
        </w:tc>
        <w:tc>
          <w:tcPr>
            <w:tcW w:w="1318" w:type="dxa"/>
            <w:shd w:val="clear" w:color="auto" w:fill="auto"/>
            <w:noWrap/>
            <w:hideMark/>
          </w:tcPr>
          <w:p w14:paraId="5DD68919" w14:textId="77777777" w:rsidR="001D2909" w:rsidRPr="007F78CE" w:rsidRDefault="001D2909"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17/12/2022</w:t>
            </w:r>
          </w:p>
        </w:tc>
        <w:tc>
          <w:tcPr>
            <w:tcW w:w="1220" w:type="dxa"/>
            <w:shd w:val="clear" w:color="auto" w:fill="auto"/>
            <w:noWrap/>
            <w:hideMark/>
          </w:tcPr>
          <w:p w14:paraId="0A5676BA" w14:textId="77777777" w:rsidR="001D2909" w:rsidRPr="007F78CE" w:rsidRDefault="001D2909"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14</w:t>
            </w:r>
          </w:p>
        </w:tc>
      </w:tr>
      <w:tr w:rsidR="0063584D" w:rsidRPr="007F78CE" w14:paraId="4848D14F" w14:textId="77777777" w:rsidTr="007F78CE">
        <w:trPr>
          <w:trHeight w:val="300"/>
          <w:jc w:val="center"/>
        </w:trPr>
        <w:tc>
          <w:tcPr>
            <w:tcW w:w="1851" w:type="dxa"/>
            <w:tcBorders>
              <w:top w:val="single" w:sz="8" w:space="0" w:color="4F81BD"/>
              <w:left w:val="single" w:sz="8" w:space="0" w:color="4F81BD"/>
              <w:bottom w:val="single" w:sz="8" w:space="0" w:color="4F81BD"/>
            </w:tcBorders>
            <w:shd w:val="clear" w:color="auto" w:fill="auto"/>
            <w:noWrap/>
            <w:hideMark/>
          </w:tcPr>
          <w:p w14:paraId="7B1A70FA" w14:textId="77777777" w:rsidR="001D2909" w:rsidRPr="007F78CE" w:rsidRDefault="001D2909"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Boeny</w:t>
            </w:r>
          </w:p>
        </w:tc>
        <w:tc>
          <w:tcPr>
            <w:tcW w:w="2997" w:type="dxa"/>
            <w:tcBorders>
              <w:top w:val="single" w:sz="8" w:space="0" w:color="4F81BD"/>
              <w:bottom w:val="single" w:sz="8" w:space="0" w:color="4F81BD"/>
            </w:tcBorders>
            <w:shd w:val="clear" w:color="auto" w:fill="auto"/>
            <w:noWrap/>
            <w:hideMark/>
          </w:tcPr>
          <w:p w14:paraId="406D2453" w14:textId="77777777" w:rsidR="001D2909" w:rsidRPr="007F78CE" w:rsidRDefault="001D2909"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Andranofasika</w:t>
            </w:r>
          </w:p>
        </w:tc>
        <w:tc>
          <w:tcPr>
            <w:tcW w:w="1318" w:type="dxa"/>
            <w:tcBorders>
              <w:top w:val="single" w:sz="8" w:space="0" w:color="4F81BD"/>
              <w:bottom w:val="single" w:sz="8" w:space="0" w:color="4F81BD"/>
            </w:tcBorders>
            <w:shd w:val="clear" w:color="auto" w:fill="auto"/>
            <w:noWrap/>
            <w:hideMark/>
          </w:tcPr>
          <w:p w14:paraId="36176795" w14:textId="77777777" w:rsidR="001D2909" w:rsidRPr="007F78CE" w:rsidRDefault="001D2909"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18/12/2022</w:t>
            </w:r>
          </w:p>
        </w:tc>
        <w:tc>
          <w:tcPr>
            <w:tcW w:w="1220" w:type="dxa"/>
            <w:tcBorders>
              <w:top w:val="single" w:sz="8" w:space="0" w:color="4F81BD"/>
              <w:bottom w:val="single" w:sz="8" w:space="0" w:color="4F81BD"/>
              <w:right w:val="single" w:sz="8" w:space="0" w:color="4F81BD"/>
            </w:tcBorders>
            <w:shd w:val="clear" w:color="auto" w:fill="auto"/>
            <w:noWrap/>
            <w:hideMark/>
          </w:tcPr>
          <w:p w14:paraId="3AED9A64" w14:textId="77777777" w:rsidR="001D2909" w:rsidRPr="007F78CE" w:rsidRDefault="001D2909"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17</w:t>
            </w:r>
          </w:p>
        </w:tc>
      </w:tr>
      <w:tr w:rsidR="0063584D" w:rsidRPr="007F78CE" w14:paraId="34B2BB66" w14:textId="77777777" w:rsidTr="007F78CE">
        <w:trPr>
          <w:trHeight w:val="300"/>
          <w:jc w:val="center"/>
        </w:trPr>
        <w:tc>
          <w:tcPr>
            <w:tcW w:w="1851" w:type="dxa"/>
            <w:shd w:val="clear" w:color="auto" w:fill="auto"/>
            <w:noWrap/>
            <w:hideMark/>
          </w:tcPr>
          <w:p w14:paraId="2C929B84" w14:textId="77777777" w:rsidR="001D2909" w:rsidRPr="007F78CE" w:rsidRDefault="001D2909"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Boeny</w:t>
            </w:r>
          </w:p>
        </w:tc>
        <w:tc>
          <w:tcPr>
            <w:tcW w:w="2997" w:type="dxa"/>
            <w:shd w:val="clear" w:color="auto" w:fill="auto"/>
            <w:noWrap/>
            <w:hideMark/>
          </w:tcPr>
          <w:p w14:paraId="0F64EC4D" w14:textId="77777777" w:rsidR="001D2909" w:rsidRPr="007F78CE" w:rsidRDefault="001D2909"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Marosakoa</w:t>
            </w:r>
          </w:p>
        </w:tc>
        <w:tc>
          <w:tcPr>
            <w:tcW w:w="1318" w:type="dxa"/>
            <w:shd w:val="clear" w:color="auto" w:fill="auto"/>
            <w:noWrap/>
            <w:hideMark/>
          </w:tcPr>
          <w:p w14:paraId="2DC9F52E" w14:textId="77777777" w:rsidR="001D2909" w:rsidRPr="007F78CE" w:rsidRDefault="001D2909"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19/12/2022</w:t>
            </w:r>
          </w:p>
        </w:tc>
        <w:tc>
          <w:tcPr>
            <w:tcW w:w="1220" w:type="dxa"/>
            <w:shd w:val="clear" w:color="auto" w:fill="auto"/>
            <w:noWrap/>
            <w:hideMark/>
          </w:tcPr>
          <w:p w14:paraId="37CFA9D2" w14:textId="77777777" w:rsidR="001D2909" w:rsidRPr="007F78CE" w:rsidRDefault="001D2909"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18</w:t>
            </w:r>
          </w:p>
        </w:tc>
      </w:tr>
      <w:tr w:rsidR="0063584D" w:rsidRPr="007F78CE" w14:paraId="5D818017" w14:textId="77777777" w:rsidTr="007F78CE">
        <w:trPr>
          <w:trHeight w:val="300"/>
          <w:jc w:val="center"/>
        </w:trPr>
        <w:tc>
          <w:tcPr>
            <w:tcW w:w="1851" w:type="dxa"/>
            <w:tcBorders>
              <w:top w:val="single" w:sz="8" w:space="0" w:color="4F81BD"/>
              <w:left w:val="single" w:sz="8" w:space="0" w:color="4F81BD"/>
              <w:bottom w:val="single" w:sz="8" w:space="0" w:color="4F81BD"/>
            </w:tcBorders>
            <w:shd w:val="clear" w:color="auto" w:fill="auto"/>
            <w:noWrap/>
            <w:hideMark/>
          </w:tcPr>
          <w:p w14:paraId="47CC174A" w14:textId="77777777" w:rsidR="001D2909" w:rsidRPr="007F78CE" w:rsidRDefault="001D2909"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Vakina</w:t>
            </w:r>
            <w:r w:rsidR="005969CF">
              <w:rPr>
                <w:rFonts w:ascii="Arial" w:eastAsia="Times New Roman" w:hAnsi="Arial" w:cs="Arial"/>
                <w:b/>
                <w:bCs/>
                <w:color w:val="000000"/>
                <w:sz w:val="18"/>
                <w:szCs w:val="18"/>
                <w:lang w:eastAsia="fr-FR"/>
              </w:rPr>
              <w:t>n</w:t>
            </w:r>
            <w:r w:rsidRPr="007F78CE">
              <w:rPr>
                <w:rFonts w:ascii="Arial" w:eastAsia="Times New Roman" w:hAnsi="Arial" w:cs="Arial"/>
                <w:b/>
                <w:bCs/>
                <w:color w:val="000000"/>
                <w:sz w:val="18"/>
                <w:szCs w:val="18"/>
                <w:lang w:eastAsia="fr-FR"/>
              </w:rPr>
              <w:t>karatra</w:t>
            </w:r>
          </w:p>
        </w:tc>
        <w:tc>
          <w:tcPr>
            <w:tcW w:w="2997" w:type="dxa"/>
            <w:tcBorders>
              <w:top w:val="single" w:sz="8" w:space="0" w:color="4F81BD"/>
              <w:bottom w:val="single" w:sz="8" w:space="0" w:color="4F81BD"/>
            </w:tcBorders>
            <w:shd w:val="clear" w:color="auto" w:fill="auto"/>
            <w:noWrap/>
            <w:hideMark/>
          </w:tcPr>
          <w:p w14:paraId="7BA6468C" w14:textId="77777777" w:rsidR="001D2909" w:rsidRPr="007F78CE" w:rsidRDefault="001D2909"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Ambatondrakalalao</w:t>
            </w:r>
          </w:p>
        </w:tc>
        <w:tc>
          <w:tcPr>
            <w:tcW w:w="1318" w:type="dxa"/>
            <w:tcBorders>
              <w:top w:val="single" w:sz="8" w:space="0" w:color="4F81BD"/>
              <w:bottom w:val="single" w:sz="8" w:space="0" w:color="4F81BD"/>
            </w:tcBorders>
            <w:shd w:val="clear" w:color="auto" w:fill="auto"/>
            <w:noWrap/>
            <w:hideMark/>
          </w:tcPr>
          <w:p w14:paraId="34ED72CE" w14:textId="77777777" w:rsidR="001D2909" w:rsidRPr="007F78CE" w:rsidRDefault="001D2909"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23/12/2022</w:t>
            </w:r>
          </w:p>
        </w:tc>
        <w:tc>
          <w:tcPr>
            <w:tcW w:w="1220" w:type="dxa"/>
            <w:tcBorders>
              <w:top w:val="single" w:sz="8" w:space="0" w:color="4F81BD"/>
              <w:bottom w:val="single" w:sz="8" w:space="0" w:color="4F81BD"/>
              <w:right w:val="single" w:sz="8" w:space="0" w:color="4F81BD"/>
            </w:tcBorders>
            <w:shd w:val="clear" w:color="auto" w:fill="auto"/>
            <w:noWrap/>
            <w:hideMark/>
          </w:tcPr>
          <w:p w14:paraId="145A0BC0" w14:textId="77777777" w:rsidR="001D2909" w:rsidRPr="007F78CE" w:rsidRDefault="001D2909"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8</w:t>
            </w:r>
          </w:p>
        </w:tc>
      </w:tr>
      <w:tr w:rsidR="0063584D" w:rsidRPr="007F78CE" w14:paraId="25E04BE1" w14:textId="77777777" w:rsidTr="007F78CE">
        <w:trPr>
          <w:trHeight w:val="300"/>
          <w:jc w:val="center"/>
        </w:trPr>
        <w:tc>
          <w:tcPr>
            <w:tcW w:w="1851" w:type="dxa"/>
            <w:shd w:val="clear" w:color="auto" w:fill="auto"/>
            <w:noWrap/>
            <w:hideMark/>
          </w:tcPr>
          <w:p w14:paraId="4C1BED2A" w14:textId="77777777" w:rsidR="001D2909" w:rsidRPr="007F78CE" w:rsidRDefault="001D2909"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Vakina</w:t>
            </w:r>
            <w:r w:rsidR="005969CF">
              <w:rPr>
                <w:rFonts w:ascii="Arial" w:eastAsia="Times New Roman" w:hAnsi="Arial" w:cs="Arial"/>
                <w:b/>
                <w:bCs/>
                <w:color w:val="000000"/>
                <w:sz w:val="18"/>
                <w:szCs w:val="18"/>
                <w:lang w:eastAsia="fr-FR"/>
              </w:rPr>
              <w:t>n</w:t>
            </w:r>
            <w:r w:rsidRPr="007F78CE">
              <w:rPr>
                <w:rFonts w:ascii="Arial" w:eastAsia="Times New Roman" w:hAnsi="Arial" w:cs="Arial"/>
                <w:b/>
                <w:bCs/>
                <w:color w:val="000000"/>
                <w:sz w:val="18"/>
                <w:szCs w:val="18"/>
                <w:lang w:eastAsia="fr-FR"/>
              </w:rPr>
              <w:t>karatra</w:t>
            </w:r>
          </w:p>
        </w:tc>
        <w:tc>
          <w:tcPr>
            <w:tcW w:w="2997" w:type="dxa"/>
            <w:shd w:val="clear" w:color="auto" w:fill="auto"/>
            <w:noWrap/>
            <w:hideMark/>
          </w:tcPr>
          <w:p w14:paraId="666632EE" w14:textId="77777777" w:rsidR="001D2909" w:rsidRPr="007F78CE" w:rsidRDefault="001D2909"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Ambohibary</w:t>
            </w:r>
          </w:p>
        </w:tc>
        <w:tc>
          <w:tcPr>
            <w:tcW w:w="1318" w:type="dxa"/>
            <w:shd w:val="clear" w:color="auto" w:fill="auto"/>
            <w:noWrap/>
            <w:hideMark/>
          </w:tcPr>
          <w:p w14:paraId="79BCCA05" w14:textId="77777777" w:rsidR="001D2909" w:rsidRPr="007F78CE" w:rsidRDefault="001D2909"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22/12/2022</w:t>
            </w:r>
          </w:p>
        </w:tc>
        <w:tc>
          <w:tcPr>
            <w:tcW w:w="1220" w:type="dxa"/>
            <w:shd w:val="clear" w:color="auto" w:fill="auto"/>
            <w:noWrap/>
            <w:hideMark/>
          </w:tcPr>
          <w:p w14:paraId="5A9F21CB" w14:textId="77777777" w:rsidR="001D2909" w:rsidRPr="007F78CE" w:rsidRDefault="001D2909"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6</w:t>
            </w:r>
          </w:p>
        </w:tc>
      </w:tr>
      <w:tr w:rsidR="0063584D" w:rsidRPr="007F78CE" w14:paraId="085C2A46" w14:textId="77777777" w:rsidTr="007F78CE">
        <w:trPr>
          <w:trHeight w:val="300"/>
          <w:jc w:val="center"/>
        </w:trPr>
        <w:tc>
          <w:tcPr>
            <w:tcW w:w="1851" w:type="dxa"/>
            <w:tcBorders>
              <w:top w:val="single" w:sz="8" w:space="0" w:color="4F81BD"/>
              <w:left w:val="single" w:sz="8" w:space="0" w:color="4F81BD"/>
              <w:bottom w:val="single" w:sz="8" w:space="0" w:color="4F81BD"/>
            </w:tcBorders>
            <w:shd w:val="clear" w:color="auto" w:fill="auto"/>
            <w:noWrap/>
            <w:hideMark/>
          </w:tcPr>
          <w:p w14:paraId="28CBB621" w14:textId="77777777" w:rsidR="001D2909" w:rsidRPr="007F78CE" w:rsidRDefault="001D2909"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Vakina</w:t>
            </w:r>
            <w:r w:rsidR="005969CF">
              <w:rPr>
                <w:rFonts w:ascii="Arial" w:eastAsia="Times New Roman" w:hAnsi="Arial" w:cs="Arial"/>
                <w:b/>
                <w:bCs/>
                <w:color w:val="000000"/>
                <w:sz w:val="18"/>
                <w:szCs w:val="18"/>
                <w:lang w:eastAsia="fr-FR"/>
              </w:rPr>
              <w:t>n</w:t>
            </w:r>
            <w:r w:rsidRPr="007F78CE">
              <w:rPr>
                <w:rFonts w:ascii="Arial" w:eastAsia="Times New Roman" w:hAnsi="Arial" w:cs="Arial"/>
                <w:b/>
                <w:bCs/>
                <w:color w:val="000000"/>
                <w:sz w:val="18"/>
                <w:szCs w:val="18"/>
                <w:lang w:eastAsia="fr-FR"/>
              </w:rPr>
              <w:t>karatra</w:t>
            </w:r>
          </w:p>
        </w:tc>
        <w:tc>
          <w:tcPr>
            <w:tcW w:w="2997" w:type="dxa"/>
            <w:tcBorders>
              <w:top w:val="single" w:sz="8" w:space="0" w:color="4F81BD"/>
              <w:bottom w:val="single" w:sz="8" w:space="0" w:color="4F81BD"/>
            </w:tcBorders>
            <w:shd w:val="clear" w:color="auto" w:fill="auto"/>
            <w:noWrap/>
            <w:hideMark/>
          </w:tcPr>
          <w:p w14:paraId="2A16DD17" w14:textId="77777777" w:rsidR="001D2909" w:rsidRPr="007F78CE" w:rsidRDefault="001D2909"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Ambohibary</w:t>
            </w:r>
          </w:p>
        </w:tc>
        <w:tc>
          <w:tcPr>
            <w:tcW w:w="1318" w:type="dxa"/>
            <w:tcBorders>
              <w:top w:val="single" w:sz="8" w:space="0" w:color="4F81BD"/>
              <w:bottom w:val="single" w:sz="8" w:space="0" w:color="4F81BD"/>
            </w:tcBorders>
            <w:shd w:val="clear" w:color="auto" w:fill="auto"/>
            <w:noWrap/>
            <w:hideMark/>
          </w:tcPr>
          <w:p w14:paraId="4A2C91AC" w14:textId="77777777" w:rsidR="001D2909" w:rsidRPr="007F78CE" w:rsidRDefault="001D2909"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21/12/2022</w:t>
            </w:r>
          </w:p>
        </w:tc>
        <w:tc>
          <w:tcPr>
            <w:tcW w:w="1220" w:type="dxa"/>
            <w:tcBorders>
              <w:top w:val="single" w:sz="8" w:space="0" w:color="4F81BD"/>
              <w:bottom w:val="single" w:sz="8" w:space="0" w:color="4F81BD"/>
              <w:right w:val="single" w:sz="8" w:space="0" w:color="4F81BD"/>
            </w:tcBorders>
            <w:shd w:val="clear" w:color="auto" w:fill="auto"/>
            <w:noWrap/>
            <w:hideMark/>
          </w:tcPr>
          <w:p w14:paraId="2ADD56EA" w14:textId="77777777" w:rsidR="001D2909" w:rsidRPr="007F78CE" w:rsidRDefault="001D2909"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22</w:t>
            </w:r>
          </w:p>
        </w:tc>
      </w:tr>
      <w:tr w:rsidR="001D2909" w:rsidRPr="007F78CE" w14:paraId="156883B2" w14:textId="77777777" w:rsidTr="007F78CE">
        <w:trPr>
          <w:trHeight w:val="300"/>
          <w:jc w:val="center"/>
        </w:trPr>
        <w:tc>
          <w:tcPr>
            <w:tcW w:w="6166" w:type="dxa"/>
            <w:gridSpan w:val="3"/>
            <w:shd w:val="clear" w:color="auto" w:fill="auto"/>
            <w:noWrap/>
          </w:tcPr>
          <w:p w14:paraId="52CE7C0C" w14:textId="77777777" w:rsidR="001D2909" w:rsidRPr="007F78CE" w:rsidRDefault="001D2909" w:rsidP="007F78CE">
            <w:pPr>
              <w:spacing w:after="0" w:line="240" w:lineRule="auto"/>
              <w:jc w:val="right"/>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TOTAL</w:t>
            </w:r>
          </w:p>
        </w:tc>
        <w:tc>
          <w:tcPr>
            <w:tcW w:w="1220" w:type="dxa"/>
            <w:shd w:val="clear" w:color="auto" w:fill="auto"/>
            <w:noWrap/>
          </w:tcPr>
          <w:p w14:paraId="5679B02D" w14:textId="77777777" w:rsidR="001D2909" w:rsidRPr="007F78CE" w:rsidRDefault="001D2909"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226</w:t>
            </w:r>
          </w:p>
        </w:tc>
      </w:tr>
    </w:tbl>
    <w:p w14:paraId="6590F2DE" w14:textId="77777777" w:rsidR="008540E8" w:rsidRDefault="008540E8" w:rsidP="00F73D14">
      <w:pPr>
        <w:spacing w:after="0" w:line="240" w:lineRule="auto"/>
        <w:jc w:val="both"/>
        <w:rPr>
          <w:rFonts w:ascii="Arial" w:hAnsi="Arial" w:cs="Arial"/>
        </w:rPr>
      </w:pPr>
    </w:p>
    <w:p w14:paraId="04C21920" w14:textId="77777777" w:rsidR="00CB0989" w:rsidRDefault="00CB0989" w:rsidP="00F73D14">
      <w:pPr>
        <w:spacing w:after="0" w:line="240" w:lineRule="auto"/>
        <w:jc w:val="both"/>
        <w:rPr>
          <w:rFonts w:ascii="Arial" w:hAnsi="Arial" w:cs="Arial"/>
        </w:rPr>
      </w:pPr>
      <w:r w:rsidRPr="00F73D14">
        <w:rPr>
          <w:rFonts w:ascii="Arial" w:hAnsi="Arial" w:cs="Arial"/>
        </w:rPr>
        <w:t>Les discussions au cours de ces focus group avec les femmes sont axées sur les points ci-dessous, sans toutefois vêtir un caractère exhaustif</w:t>
      </w:r>
      <w:r w:rsidR="005969CF">
        <w:rPr>
          <w:rFonts w:ascii="Arial" w:hAnsi="Arial" w:cs="Arial"/>
        </w:rPr>
        <w:t> </w:t>
      </w:r>
      <w:r w:rsidRPr="00F73D14">
        <w:rPr>
          <w:rFonts w:ascii="Arial" w:hAnsi="Arial" w:cs="Arial"/>
        </w:rPr>
        <w:t>:</w:t>
      </w:r>
    </w:p>
    <w:p w14:paraId="254A9860" w14:textId="77777777" w:rsidR="00767012" w:rsidRPr="00F73D14" w:rsidRDefault="00767012" w:rsidP="00F73D14">
      <w:pPr>
        <w:spacing w:after="0" w:line="240" w:lineRule="auto"/>
        <w:jc w:val="both"/>
        <w:rPr>
          <w:rFonts w:ascii="Arial" w:hAnsi="Arial" w:cs="Arial"/>
        </w:rPr>
      </w:pPr>
    </w:p>
    <w:p w14:paraId="39C453BF" w14:textId="77777777" w:rsidR="00CB0989" w:rsidRPr="00F73D14" w:rsidRDefault="00CB0989" w:rsidP="00687DD2">
      <w:pPr>
        <w:pStyle w:val="Paragraphedeliste"/>
        <w:numPr>
          <w:ilvl w:val="0"/>
          <w:numId w:val="47"/>
        </w:numPr>
        <w:spacing w:after="0" w:line="240" w:lineRule="auto"/>
        <w:ind w:left="714" w:hanging="357"/>
        <w:jc w:val="both"/>
        <w:rPr>
          <w:rFonts w:ascii="Arial" w:hAnsi="Arial" w:cs="Arial"/>
        </w:rPr>
      </w:pPr>
      <w:r w:rsidRPr="00F73D14">
        <w:rPr>
          <w:rFonts w:ascii="Arial" w:hAnsi="Arial" w:cs="Arial"/>
        </w:rPr>
        <w:t>Place et rôle des femmes au sein des ménages, dans la société</w:t>
      </w:r>
      <w:r w:rsidR="005969CF">
        <w:rPr>
          <w:rFonts w:ascii="Arial" w:hAnsi="Arial" w:cs="Arial"/>
        </w:rPr>
        <w:t> </w:t>
      </w:r>
      <w:r w:rsidRPr="00F73D14">
        <w:rPr>
          <w:rFonts w:ascii="Arial" w:hAnsi="Arial" w:cs="Arial"/>
        </w:rPr>
        <w:t>;</w:t>
      </w:r>
    </w:p>
    <w:p w14:paraId="3BCD9B0E" w14:textId="77777777" w:rsidR="00CB0989" w:rsidRPr="00F73D14" w:rsidRDefault="00CB0989" w:rsidP="00687DD2">
      <w:pPr>
        <w:pStyle w:val="Paragraphedeliste"/>
        <w:numPr>
          <w:ilvl w:val="0"/>
          <w:numId w:val="47"/>
        </w:numPr>
        <w:spacing w:after="0" w:line="240" w:lineRule="auto"/>
        <w:ind w:left="714" w:hanging="357"/>
        <w:jc w:val="both"/>
        <w:rPr>
          <w:rFonts w:ascii="Arial" w:hAnsi="Arial" w:cs="Arial"/>
        </w:rPr>
      </w:pPr>
      <w:r w:rsidRPr="00F73D14">
        <w:rPr>
          <w:rFonts w:ascii="Arial" w:hAnsi="Arial" w:cs="Arial"/>
        </w:rPr>
        <w:t>Activités économiques des femmes</w:t>
      </w:r>
      <w:r w:rsidR="00C66FE1">
        <w:rPr>
          <w:rFonts w:ascii="Arial" w:hAnsi="Arial" w:cs="Arial"/>
        </w:rPr>
        <w:t> ;</w:t>
      </w:r>
    </w:p>
    <w:p w14:paraId="59C24BAA" w14:textId="77777777" w:rsidR="00CB0989" w:rsidRPr="00F73D14" w:rsidRDefault="00CB0989" w:rsidP="00687DD2">
      <w:pPr>
        <w:pStyle w:val="Paragraphedeliste"/>
        <w:numPr>
          <w:ilvl w:val="0"/>
          <w:numId w:val="47"/>
        </w:numPr>
        <w:spacing w:after="0" w:line="240" w:lineRule="auto"/>
        <w:ind w:left="714" w:hanging="357"/>
        <w:jc w:val="both"/>
        <w:rPr>
          <w:rFonts w:ascii="Arial" w:hAnsi="Arial" w:cs="Arial"/>
        </w:rPr>
      </w:pPr>
      <w:r w:rsidRPr="00F73D14">
        <w:rPr>
          <w:rFonts w:ascii="Arial" w:hAnsi="Arial" w:cs="Arial"/>
        </w:rPr>
        <w:t>Regroupement ou non dans une association</w:t>
      </w:r>
      <w:r w:rsidR="00C66FE1">
        <w:rPr>
          <w:rFonts w:ascii="Arial" w:hAnsi="Arial" w:cs="Arial"/>
        </w:rPr>
        <w:t> ;</w:t>
      </w:r>
    </w:p>
    <w:p w14:paraId="0DDDA1F6" w14:textId="77777777" w:rsidR="00CB0989" w:rsidRPr="00F73D14" w:rsidRDefault="00CB0989" w:rsidP="00687DD2">
      <w:pPr>
        <w:pStyle w:val="Paragraphedeliste"/>
        <w:numPr>
          <w:ilvl w:val="0"/>
          <w:numId w:val="47"/>
        </w:numPr>
        <w:spacing w:after="0" w:line="240" w:lineRule="auto"/>
        <w:ind w:left="714" w:hanging="357"/>
        <w:jc w:val="both"/>
        <w:rPr>
          <w:rFonts w:ascii="Arial" w:hAnsi="Arial" w:cs="Arial"/>
        </w:rPr>
      </w:pPr>
      <w:r w:rsidRPr="00F73D14">
        <w:rPr>
          <w:rFonts w:ascii="Arial" w:hAnsi="Arial" w:cs="Arial"/>
        </w:rPr>
        <w:t>Activités du groupement des femmes</w:t>
      </w:r>
      <w:r w:rsidR="00C66FE1">
        <w:rPr>
          <w:rFonts w:ascii="Arial" w:hAnsi="Arial" w:cs="Arial"/>
        </w:rPr>
        <w:t> ;</w:t>
      </w:r>
    </w:p>
    <w:p w14:paraId="0A9B0EBF" w14:textId="77777777" w:rsidR="00CB0989" w:rsidRPr="00F73D14" w:rsidRDefault="00CB0989" w:rsidP="00687DD2">
      <w:pPr>
        <w:pStyle w:val="Paragraphedeliste"/>
        <w:numPr>
          <w:ilvl w:val="0"/>
          <w:numId w:val="47"/>
        </w:numPr>
        <w:spacing w:after="0" w:line="240" w:lineRule="auto"/>
        <w:ind w:left="714" w:hanging="357"/>
        <w:jc w:val="both"/>
        <w:rPr>
          <w:rFonts w:ascii="Arial" w:hAnsi="Arial" w:cs="Arial"/>
        </w:rPr>
      </w:pPr>
      <w:r w:rsidRPr="00F73D14">
        <w:rPr>
          <w:rFonts w:ascii="Arial" w:hAnsi="Arial" w:cs="Arial"/>
        </w:rPr>
        <w:t>Problèmes rencontrés dans l’exécution de leurs activités</w:t>
      </w:r>
      <w:r w:rsidR="00C66FE1">
        <w:rPr>
          <w:rFonts w:ascii="Arial" w:hAnsi="Arial" w:cs="Arial"/>
        </w:rPr>
        <w:t> ;</w:t>
      </w:r>
    </w:p>
    <w:p w14:paraId="79916796" w14:textId="77777777" w:rsidR="00CB0989" w:rsidRPr="00F73D14" w:rsidRDefault="00CB0989" w:rsidP="00687DD2">
      <w:pPr>
        <w:pStyle w:val="Paragraphedeliste"/>
        <w:numPr>
          <w:ilvl w:val="0"/>
          <w:numId w:val="47"/>
        </w:numPr>
        <w:spacing w:after="0" w:line="240" w:lineRule="auto"/>
        <w:ind w:left="714" w:hanging="357"/>
        <w:jc w:val="both"/>
        <w:rPr>
          <w:rFonts w:ascii="Arial" w:hAnsi="Arial" w:cs="Arial"/>
        </w:rPr>
      </w:pPr>
      <w:r w:rsidRPr="00F73D14">
        <w:rPr>
          <w:rFonts w:ascii="Arial" w:hAnsi="Arial" w:cs="Arial"/>
        </w:rPr>
        <w:t>Solutions déjà entreprises</w:t>
      </w:r>
      <w:r w:rsidR="00C66FE1">
        <w:rPr>
          <w:rFonts w:ascii="Arial" w:hAnsi="Arial" w:cs="Arial"/>
        </w:rPr>
        <w:t> ;</w:t>
      </w:r>
    </w:p>
    <w:p w14:paraId="5A3FDA27" w14:textId="77777777" w:rsidR="00CB0989" w:rsidRPr="00F73D14" w:rsidRDefault="00CB0989" w:rsidP="00687DD2">
      <w:pPr>
        <w:pStyle w:val="Paragraphedeliste"/>
        <w:numPr>
          <w:ilvl w:val="0"/>
          <w:numId w:val="47"/>
        </w:numPr>
        <w:spacing w:after="0" w:line="240" w:lineRule="auto"/>
        <w:ind w:left="714" w:hanging="357"/>
        <w:jc w:val="both"/>
        <w:rPr>
          <w:rFonts w:ascii="Arial" w:hAnsi="Arial" w:cs="Arial"/>
        </w:rPr>
      </w:pPr>
      <w:r w:rsidRPr="00F73D14">
        <w:rPr>
          <w:rFonts w:ascii="Arial" w:hAnsi="Arial" w:cs="Arial"/>
        </w:rPr>
        <w:t>Types de violences rencontrés par les femmes</w:t>
      </w:r>
      <w:r w:rsidR="00C66FE1">
        <w:rPr>
          <w:rFonts w:ascii="Arial" w:hAnsi="Arial" w:cs="Arial"/>
        </w:rPr>
        <w:t> ;</w:t>
      </w:r>
    </w:p>
    <w:p w14:paraId="5EA10353" w14:textId="77777777" w:rsidR="00CB0989" w:rsidRPr="00F73D14" w:rsidRDefault="00CB0989" w:rsidP="00687DD2">
      <w:pPr>
        <w:pStyle w:val="Paragraphedeliste"/>
        <w:numPr>
          <w:ilvl w:val="0"/>
          <w:numId w:val="47"/>
        </w:numPr>
        <w:spacing w:after="0" w:line="240" w:lineRule="auto"/>
        <w:ind w:left="714" w:hanging="357"/>
        <w:jc w:val="both"/>
        <w:rPr>
          <w:rFonts w:ascii="Arial" w:hAnsi="Arial" w:cs="Arial"/>
        </w:rPr>
      </w:pPr>
      <w:r w:rsidRPr="00F73D14">
        <w:rPr>
          <w:rFonts w:ascii="Arial" w:hAnsi="Arial" w:cs="Arial"/>
        </w:rPr>
        <w:t>Existence ou non de recours en cas de violence sur les femmes</w:t>
      </w:r>
      <w:r w:rsidR="00C66FE1">
        <w:rPr>
          <w:rFonts w:ascii="Arial" w:hAnsi="Arial" w:cs="Arial"/>
        </w:rPr>
        <w:t> ;</w:t>
      </w:r>
    </w:p>
    <w:p w14:paraId="62097C57" w14:textId="77777777" w:rsidR="00CB0989" w:rsidRPr="00F73D14" w:rsidRDefault="00CB0989" w:rsidP="00687DD2">
      <w:pPr>
        <w:pStyle w:val="Paragraphedeliste"/>
        <w:numPr>
          <w:ilvl w:val="0"/>
          <w:numId w:val="47"/>
        </w:numPr>
        <w:spacing w:after="0" w:line="240" w:lineRule="auto"/>
        <w:ind w:left="714" w:hanging="357"/>
        <w:jc w:val="both"/>
        <w:rPr>
          <w:rFonts w:ascii="Arial" w:hAnsi="Arial" w:cs="Arial"/>
        </w:rPr>
      </w:pPr>
      <w:r w:rsidRPr="00F73D14">
        <w:rPr>
          <w:rFonts w:ascii="Arial" w:hAnsi="Arial" w:cs="Arial"/>
        </w:rPr>
        <w:t>Etc.</w:t>
      </w:r>
    </w:p>
    <w:p w14:paraId="20F3F2BE" w14:textId="77777777" w:rsidR="00CB0989" w:rsidRPr="001D2909" w:rsidRDefault="001D2909" w:rsidP="0044500E">
      <w:pPr>
        <w:pStyle w:val="TIT40"/>
        <w:numPr>
          <w:ilvl w:val="3"/>
          <w:numId w:val="177"/>
        </w:numPr>
        <w:outlineLvl w:val="3"/>
      </w:pPr>
      <w:bookmarkStart w:id="1213" w:name="_Toc124314767"/>
      <w:bookmarkStart w:id="1214" w:name="_Toc124956296"/>
      <w:bookmarkStart w:id="1215" w:name="_Toc125384644"/>
      <w:bookmarkStart w:id="1216" w:name="_Toc125385033"/>
      <w:bookmarkStart w:id="1217" w:name="_Toc127957706"/>
      <w:r w:rsidRPr="001D2909">
        <w:t>Résultat de la consultation des femmes</w:t>
      </w:r>
      <w:bookmarkEnd w:id="1213"/>
      <w:bookmarkEnd w:id="1214"/>
      <w:bookmarkEnd w:id="1215"/>
      <w:bookmarkEnd w:id="1216"/>
      <w:bookmarkEnd w:id="1217"/>
      <w:r w:rsidRPr="001D2909">
        <w:t xml:space="preserve"> </w:t>
      </w:r>
    </w:p>
    <w:p w14:paraId="49B43465" w14:textId="77777777" w:rsidR="00CB0989" w:rsidRPr="00F73D14" w:rsidRDefault="00CB0989" w:rsidP="00F73D14">
      <w:pPr>
        <w:spacing w:before="120" w:after="120" w:line="240" w:lineRule="auto"/>
        <w:jc w:val="both"/>
        <w:rPr>
          <w:rFonts w:ascii="Arial" w:hAnsi="Arial" w:cs="Arial"/>
        </w:rPr>
      </w:pPr>
      <w:r w:rsidRPr="00F73D14">
        <w:rPr>
          <w:rFonts w:ascii="Arial" w:hAnsi="Arial" w:cs="Arial"/>
        </w:rPr>
        <w:t>Dans l’ensemble, les groupes de femmes consultés, quels que soient leur âge, n’ont aucune objection à la mise en œuvre du projet. Les activités initiées par le projet leur sont favorables dans la mesure où elles offrent des opportunités pour la population à une amélioration de leur moyen d’existence et du bien-être familial. D’ailleurs, les participant</w:t>
      </w:r>
      <w:r w:rsidR="003E3E27">
        <w:rPr>
          <w:rFonts w:ascii="Arial" w:hAnsi="Arial" w:cs="Arial"/>
        </w:rPr>
        <w:t>e</w:t>
      </w:r>
      <w:r w:rsidRPr="00F73D14">
        <w:rPr>
          <w:rFonts w:ascii="Arial" w:hAnsi="Arial" w:cs="Arial"/>
        </w:rPr>
        <w:t xml:space="preserve">s ont souhaité que la concrétisation du projet se fasse dans les meilleurs délais. </w:t>
      </w:r>
      <w:r w:rsidR="003E3E27">
        <w:rPr>
          <w:rFonts w:ascii="Arial" w:hAnsi="Arial" w:cs="Arial"/>
        </w:rPr>
        <w:t>Elle</w:t>
      </w:r>
      <w:r w:rsidR="003E3E27" w:rsidRPr="00F73D14">
        <w:rPr>
          <w:rFonts w:ascii="Arial" w:hAnsi="Arial" w:cs="Arial"/>
        </w:rPr>
        <w:t xml:space="preserve">s </w:t>
      </w:r>
      <w:r w:rsidRPr="00F73D14">
        <w:rPr>
          <w:rFonts w:ascii="Arial" w:hAnsi="Arial" w:cs="Arial"/>
        </w:rPr>
        <w:t>espèrent que leur village soit parmi les bénéficiaires du projet.</w:t>
      </w:r>
      <w:r w:rsidR="006F3F9E" w:rsidRPr="00F73D14">
        <w:rPr>
          <w:rFonts w:ascii="Arial" w:hAnsi="Arial" w:cs="Arial"/>
        </w:rPr>
        <w:t xml:space="preserve"> </w:t>
      </w:r>
      <w:r w:rsidR="00F73D14" w:rsidRPr="00F73D14">
        <w:rPr>
          <w:rFonts w:ascii="Arial" w:hAnsi="Arial" w:cs="Arial"/>
        </w:rPr>
        <w:t>E</w:t>
      </w:r>
      <w:r w:rsidR="006F3F9E" w:rsidRPr="00F73D14">
        <w:rPr>
          <w:rFonts w:ascii="Arial" w:hAnsi="Arial" w:cs="Arial"/>
        </w:rPr>
        <w:t xml:space="preserve">n effet, la mise en œuvre du Projet pour elles </w:t>
      </w:r>
      <w:r w:rsidR="003E3E27">
        <w:rPr>
          <w:rFonts w:ascii="Arial" w:hAnsi="Arial" w:cs="Arial"/>
        </w:rPr>
        <w:t>est</w:t>
      </w:r>
      <w:r w:rsidR="003E3E27" w:rsidRPr="00F73D14">
        <w:rPr>
          <w:rFonts w:ascii="Arial" w:hAnsi="Arial" w:cs="Arial"/>
        </w:rPr>
        <w:t xml:space="preserve"> </w:t>
      </w:r>
      <w:r w:rsidR="006F3F9E" w:rsidRPr="00F73D14">
        <w:rPr>
          <w:rFonts w:ascii="Arial" w:hAnsi="Arial" w:cs="Arial"/>
        </w:rPr>
        <w:t>synonymes de</w:t>
      </w:r>
      <w:r w:rsidR="005969CF">
        <w:rPr>
          <w:rFonts w:ascii="Arial" w:hAnsi="Arial" w:cs="Arial"/>
        </w:rPr>
        <w:t> </w:t>
      </w:r>
      <w:r w:rsidR="00B54EEA" w:rsidRPr="00F73D14">
        <w:rPr>
          <w:rFonts w:ascii="Arial" w:hAnsi="Arial" w:cs="Arial"/>
        </w:rPr>
        <w:t>:</w:t>
      </w:r>
    </w:p>
    <w:p w14:paraId="214AEA93" w14:textId="77777777" w:rsidR="006F3F9E" w:rsidRPr="00F73D14" w:rsidRDefault="00B54EEA" w:rsidP="00687DD2">
      <w:pPr>
        <w:pStyle w:val="Paragraphedeliste"/>
        <w:numPr>
          <w:ilvl w:val="0"/>
          <w:numId w:val="47"/>
        </w:numPr>
        <w:spacing w:after="0" w:line="240" w:lineRule="auto"/>
        <w:ind w:left="714" w:hanging="357"/>
        <w:jc w:val="both"/>
        <w:rPr>
          <w:rFonts w:ascii="Arial" w:hAnsi="Arial" w:cs="Arial"/>
        </w:rPr>
      </w:pPr>
      <w:r w:rsidRPr="00F73D14">
        <w:rPr>
          <w:rFonts w:ascii="Arial" w:hAnsi="Arial" w:cs="Arial"/>
        </w:rPr>
        <w:t xml:space="preserve">Connexion internet à bas prix pour améliorer la qualité de service dans </w:t>
      </w:r>
      <w:r w:rsidR="00C66FE1" w:rsidRPr="00F73D14">
        <w:rPr>
          <w:rFonts w:ascii="Arial" w:hAnsi="Arial" w:cs="Arial"/>
        </w:rPr>
        <w:t>les cyber-cafés</w:t>
      </w:r>
      <w:r w:rsidRPr="00F73D14">
        <w:rPr>
          <w:rFonts w:ascii="Arial" w:hAnsi="Arial" w:cs="Arial"/>
        </w:rPr>
        <w:t xml:space="preserve"> </w:t>
      </w:r>
    </w:p>
    <w:p w14:paraId="5215C1BF" w14:textId="77777777" w:rsidR="00B54EEA" w:rsidRPr="00F73D14" w:rsidRDefault="00B54EEA" w:rsidP="00687DD2">
      <w:pPr>
        <w:pStyle w:val="Paragraphedeliste"/>
        <w:numPr>
          <w:ilvl w:val="0"/>
          <w:numId w:val="47"/>
        </w:numPr>
        <w:spacing w:after="0" w:line="240" w:lineRule="auto"/>
        <w:ind w:left="714" w:hanging="357"/>
        <w:jc w:val="both"/>
        <w:rPr>
          <w:rFonts w:ascii="Arial" w:hAnsi="Arial" w:cs="Arial"/>
        </w:rPr>
      </w:pPr>
      <w:r w:rsidRPr="00F73D14">
        <w:rPr>
          <w:rFonts w:ascii="Arial" w:hAnsi="Arial" w:cs="Arial"/>
        </w:rPr>
        <w:t>Facilitation de l’accès à l’électricité</w:t>
      </w:r>
      <w:r w:rsidR="005969CF">
        <w:rPr>
          <w:rFonts w:ascii="Arial" w:hAnsi="Arial" w:cs="Arial"/>
        </w:rPr>
        <w:t> </w:t>
      </w:r>
      <w:r w:rsidR="003E0CDB">
        <w:rPr>
          <w:rFonts w:ascii="Arial" w:hAnsi="Arial" w:cs="Arial"/>
        </w:rPr>
        <w:t>;</w:t>
      </w:r>
    </w:p>
    <w:p w14:paraId="27B6AD01" w14:textId="77777777" w:rsidR="00B54EEA" w:rsidRPr="00F73D14" w:rsidRDefault="00B54EEA" w:rsidP="00687DD2">
      <w:pPr>
        <w:pStyle w:val="Paragraphedeliste"/>
        <w:numPr>
          <w:ilvl w:val="0"/>
          <w:numId w:val="47"/>
        </w:numPr>
        <w:spacing w:after="0" w:line="240" w:lineRule="auto"/>
        <w:ind w:left="714" w:hanging="357"/>
        <w:jc w:val="both"/>
        <w:rPr>
          <w:rFonts w:ascii="Arial" w:hAnsi="Arial" w:cs="Arial"/>
        </w:rPr>
      </w:pPr>
      <w:r w:rsidRPr="00F73D14">
        <w:rPr>
          <w:rFonts w:ascii="Arial" w:hAnsi="Arial" w:cs="Arial"/>
        </w:rPr>
        <w:t>Opportunité d’emploi pour les femmes</w:t>
      </w:r>
      <w:r w:rsidR="005969CF">
        <w:rPr>
          <w:rFonts w:ascii="Arial" w:hAnsi="Arial" w:cs="Arial"/>
        </w:rPr>
        <w:t> </w:t>
      </w:r>
      <w:r w:rsidR="003E0CDB">
        <w:rPr>
          <w:rFonts w:ascii="Arial" w:hAnsi="Arial" w:cs="Arial"/>
        </w:rPr>
        <w:t>;</w:t>
      </w:r>
    </w:p>
    <w:p w14:paraId="2617D96E" w14:textId="77777777" w:rsidR="00B54EEA" w:rsidRPr="00F73D14" w:rsidRDefault="00B54EEA" w:rsidP="00687DD2">
      <w:pPr>
        <w:pStyle w:val="Paragraphedeliste"/>
        <w:numPr>
          <w:ilvl w:val="0"/>
          <w:numId w:val="47"/>
        </w:numPr>
        <w:spacing w:after="0" w:line="240" w:lineRule="auto"/>
        <w:ind w:left="714" w:hanging="357"/>
        <w:jc w:val="both"/>
        <w:rPr>
          <w:rFonts w:ascii="Arial" w:hAnsi="Arial" w:cs="Arial"/>
        </w:rPr>
      </w:pPr>
      <w:r w:rsidRPr="00F73D14">
        <w:rPr>
          <w:rFonts w:ascii="Arial" w:hAnsi="Arial" w:cs="Arial"/>
        </w:rPr>
        <w:t>Développement des activités économiques par l’utilisation de différentes machines (congélateurs, appareils ménagers…)</w:t>
      </w:r>
      <w:r w:rsidR="005969CF">
        <w:rPr>
          <w:rFonts w:ascii="Arial" w:hAnsi="Arial" w:cs="Arial"/>
        </w:rPr>
        <w:t> </w:t>
      </w:r>
      <w:r w:rsidR="003E0CDB">
        <w:rPr>
          <w:rFonts w:ascii="Arial" w:hAnsi="Arial" w:cs="Arial"/>
        </w:rPr>
        <w:t>;</w:t>
      </w:r>
    </w:p>
    <w:p w14:paraId="7BFD112C" w14:textId="77777777" w:rsidR="00B54EEA" w:rsidRPr="00F73D14" w:rsidRDefault="00B54EEA" w:rsidP="00687DD2">
      <w:pPr>
        <w:pStyle w:val="Paragraphedeliste"/>
        <w:numPr>
          <w:ilvl w:val="0"/>
          <w:numId w:val="47"/>
        </w:numPr>
        <w:spacing w:after="0" w:line="240" w:lineRule="auto"/>
        <w:ind w:left="714" w:hanging="357"/>
        <w:jc w:val="both"/>
        <w:rPr>
          <w:rFonts w:ascii="Arial" w:hAnsi="Arial" w:cs="Arial"/>
        </w:rPr>
      </w:pPr>
      <w:r w:rsidRPr="00F73D14">
        <w:rPr>
          <w:rFonts w:ascii="Arial" w:hAnsi="Arial" w:cs="Arial"/>
        </w:rPr>
        <w:t>Amélioration de la qualité des réseaux Airtel et Orange pour faciliter la communication en cas d’urgence</w:t>
      </w:r>
      <w:r w:rsidR="003E0CDB">
        <w:rPr>
          <w:rFonts w:ascii="Arial" w:hAnsi="Arial" w:cs="Arial"/>
        </w:rPr>
        <w:t>.</w:t>
      </w:r>
    </w:p>
    <w:p w14:paraId="3688B860" w14:textId="77777777" w:rsidR="00CB0989" w:rsidRPr="00F73D14" w:rsidRDefault="006F3F9E" w:rsidP="00F73D14">
      <w:pPr>
        <w:spacing w:before="120" w:after="120" w:line="240" w:lineRule="auto"/>
        <w:jc w:val="both"/>
        <w:rPr>
          <w:rFonts w:ascii="Arial" w:hAnsi="Arial" w:cs="Arial"/>
        </w:rPr>
      </w:pPr>
      <w:r w:rsidRPr="00F73D14">
        <w:rPr>
          <w:rFonts w:ascii="Arial" w:hAnsi="Arial" w:cs="Arial"/>
        </w:rPr>
        <w:t>Malgré cela, d</w:t>
      </w:r>
      <w:r w:rsidR="00CB0989" w:rsidRPr="00F73D14">
        <w:rPr>
          <w:rFonts w:ascii="Arial" w:hAnsi="Arial" w:cs="Arial"/>
        </w:rPr>
        <w:t xml:space="preserve">es remarques/observations, suggestions ont été déjà émises au cours de la consultation pour certains points évoqués </w:t>
      </w:r>
      <w:r w:rsidRPr="00F73D14">
        <w:rPr>
          <w:rFonts w:ascii="Arial" w:hAnsi="Arial" w:cs="Arial"/>
        </w:rPr>
        <w:t xml:space="preserve">dans le tableau </w:t>
      </w:r>
      <w:r w:rsidR="00CB0989" w:rsidRPr="00F73D14">
        <w:rPr>
          <w:rFonts w:ascii="Arial" w:hAnsi="Arial" w:cs="Arial"/>
        </w:rPr>
        <w:t xml:space="preserve">ci-dessus. </w:t>
      </w:r>
    </w:p>
    <w:p w14:paraId="36160A3A" w14:textId="77777777" w:rsidR="0096492E" w:rsidRPr="00EE273B" w:rsidRDefault="00EE273B" w:rsidP="00EE273B">
      <w:pPr>
        <w:pStyle w:val="Lgende"/>
        <w:jc w:val="center"/>
        <w:rPr>
          <w:sz w:val="20"/>
        </w:rPr>
      </w:pPr>
      <w:bookmarkStart w:id="1218" w:name="_Toc127957883"/>
      <w:r w:rsidRPr="00EE273B">
        <w:rPr>
          <w:sz w:val="20"/>
        </w:rPr>
        <w:t xml:space="preserve">Tableau </w:t>
      </w:r>
      <w:r w:rsidRPr="00EE273B">
        <w:rPr>
          <w:sz w:val="20"/>
        </w:rPr>
        <w:fldChar w:fldCharType="begin"/>
      </w:r>
      <w:r w:rsidRPr="00EE273B">
        <w:rPr>
          <w:sz w:val="20"/>
        </w:rPr>
        <w:instrText xml:space="preserve"> SEQ Tableau \* ARABIC </w:instrText>
      </w:r>
      <w:r w:rsidRPr="00EE273B">
        <w:rPr>
          <w:sz w:val="20"/>
        </w:rPr>
        <w:fldChar w:fldCharType="separate"/>
      </w:r>
      <w:r w:rsidR="005430A1">
        <w:rPr>
          <w:noProof/>
          <w:sz w:val="20"/>
        </w:rPr>
        <w:t>87</w:t>
      </w:r>
      <w:r w:rsidRPr="00EE273B">
        <w:rPr>
          <w:sz w:val="20"/>
        </w:rPr>
        <w:fldChar w:fldCharType="end"/>
      </w:r>
      <w:r w:rsidRPr="00EE273B">
        <w:rPr>
          <w:sz w:val="20"/>
        </w:rPr>
        <w:t>. Préoccupations et Suggestions des femmes sur la mise en œuvre du Projet DECIM</w:t>
      </w:r>
      <w:bookmarkEnd w:id="1218"/>
    </w:p>
    <w:tbl>
      <w:tblPr>
        <w:tblW w:w="8804" w:type="dxa"/>
        <w:tblInd w:w="55" w:type="dxa"/>
        <w:tblCellMar>
          <w:left w:w="70" w:type="dxa"/>
          <w:right w:w="70" w:type="dxa"/>
        </w:tblCellMar>
        <w:tblLook w:val="04A0" w:firstRow="1" w:lastRow="0" w:firstColumn="1" w:lastColumn="0" w:noHBand="0" w:noVBand="1"/>
      </w:tblPr>
      <w:tblGrid>
        <w:gridCol w:w="4268"/>
        <w:gridCol w:w="4536"/>
      </w:tblGrid>
      <w:tr w:rsidR="00B54EEA" w:rsidRPr="007F78CE" w14:paraId="7DE3BEC9" w14:textId="77777777" w:rsidTr="00B54EEA">
        <w:trPr>
          <w:trHeight w:val="315"/>
          <w:tblHeader/>
        </w:trPr>
        <w:tc>
          <w:tcPr>
            <w:tcW w:w="4268"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6931443" w14:textId="77777777" w:rsidR="00B54EEA" w:rsidRPr="00F73D14" w:rsidRDefault="00B54EEA" w:rsidP="00B54EEA">
            <w:pPr>
              <w:spacing w:after="0" w:line="240" w:lineRule="auto"/>
              <w:jc w:val="center"/>
              <w:rPr>
                <w:rFonts w:ascii="Arial" w:eastAsia="Times New Roman" w:hAnsi="Arial" w:cs="Arial"/>
                <w:b/>
                <w:bCs/>
                <w:color w:val="000000"/>
                <w:sz w:val="18"/>
                <w:szCs w:val="18"/>
                <w:lang w:eastAsia="fr-FR"/>
              </w:rPr>
            </w:pPr>
            <w:r w:rsidRPr="00F73D14">
              <w:rPr>
                <w:rFonts w:ascii="Arial" w:eastAsia="Times New Roman" w:hAnsi="Arial" w:cs="Arial"/>
                <w:b/>
                <w:bCs/>
                <w:color w:val="000000"/>
                <w:sz w:val="18"/>
                <w:szCs w:val="18"/>
                <w:lang w:eastAsia="fr-FR"/>
              </w:rPr>
              <w:t>Préoccupations</w:t>
            </w:r>
          </w:p>
        </w:tc>
        <w:tc>
          <w:tcPr>
            <w:tcW w:w="4536" w:type="dxa"/>
            <w:tcBorders>
              <w:top w:val="single" w:sz="4" w:space="0" w:color="auto"/>
              <w:left w:val="nil"/>
              <w:bottom w:val="single" w:sz="4" w:space="0" w:color="auto"/>
              <w:right w:val="single" w:sz="4" w:space="0" w:color="auto"/>
            </w:tcBorders>
            <w:shd w:val="clear" w:color="auto" w:fill="00B0F0"/>
            <w:vAlign w:val="center"/>
            <w:hideMark/>
          </w:tcPr>
          <w:p w14:paraId="537D02DD" w14:textId="77777777" w:rsidR="00B54EEA" w:rsidRPr="00F73D14" w:rsidRDefault="00B54EEA" w:rsidP="00B54EEA">
            <w:pPr>
              <w:spacing w:after="0" w:line="240" w:lineRule="auto"/>
              <w:jc w:val="center"/>
              <w:rPr>
                <w:rFonts w:ascii="Arial" w:eastAsia="Times New Roman" w:hAnsi="Arial" w:cs="Arial"/>
                <w:b/>
                <w:bCs/>
                <w:color w:val="000000"/>
                <w:sz w:val="18"/>
                <w:szCs w:val="18"/>
                <w:lang w:eastAsia="fr-FR"/>
              </w:rPr>
            </w:pPr>
            <w:r w:rsidRPr="00F73D14">
              <w:rPr>
                <w:rFonts w:ascii="Arial" w:eastAsia="Times New Roman" w:hAnsi="Arial" w:cs="Arial"/>
                <w:b/>
                <w:bCs/>
                <w:color w:val="000000"/>
                <w:sz w:val="18"/>
                <w:szCs w:val="18"/>
                <w:lang w:eastAsia="fr-FR"/>
              </w:rPr>
              <w:t>Suggestion</w:t>
            </w:r>
            <w:r w:rsidR="005969CF">
              <w:rPr>
                <w:rFonts w:ascii="Arial" w:eastAsia="Times New Roman" w:hAnsi="Arial" w:cs="Arial"/>
                <w:b/>
                <w:bCs/>
                <w:color w:val="000000"/>
                <w:sz w:val="18"/>
                <w:szCs w:val="18"/>
                <w:lang w:eastAsia="fr-FR"/>
              </w:rPr>
              <w:t>s</w:t>
            </w:r>
          </w:p>
        </w:tc>
      </w:tr>
      <w:tr w:rsidR="00B54EEA" w:rsidRPr="007F78CE" w14:paraId="2C8C885D" w14:textId="77777777" w:rsidTr="00B434A6">
        <w:trPr>
          <w:trHeight w:val="104"/>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251B1171" w14:textId="77777777" w:rsidR="00B54EEA" w:rsidRPr="00F73D14" w:rsidRDefault="00B54EEA" w:rsidP="00B54EEA">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Augmentation des risques de tonnerres</w:t>
            </w:r>
          </w:p>
        </w:tc>
        <w:tc>
          <w:tcPr>
            <w:tcW w:w="4536" w:type="dxa"/>
            <w:tcBorders>
              <w:top w:val="nil"/>
              <w:left w:val="nil"/>
              <w:bottom w:val="single" w:sz="4" w:space="0" w:color="auto"/>
              <w:right w:val="single" w:sz="4" w:space="0" w:color="auto"/>
            </w:tcBorders>
            <w:shd w:val="clear" w:color="auto" w:fill="auto"/>
            <w:vAlign w:val="center"/>
            <w:hideMark/>
          </w:tcPr>
          <w:p w14:paraId="1A78EF99" w14:textId="77777777" w:rsidR="00B54EEA" w:rsidRPr="00F73D14" w:rsidRDefault="00B54EEA" w:rsidP="00B54EEA">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Mise en place de paratonnerres</w:t>
            </w:r>
          </w:p>
        </w:tc>
      </w:tr>
      <w:tr w:rsidR="00B54EEA" w:rsidRPr="007F78CE" w14:paraId="49BD1ED8" w14:textId="77777777" w:rsidTr="00B434A6">
        <w:trPr>
          <w:trHeight w:val="50"/>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26583213" w14:textId="77777777" w:rsidR="00B54EEA" w:rsidRPr="00F73D14" w:rsidRDefault="00B54EEA" w:rsidP="00B54EEA">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Possibilité de nécessité de sacrifices</w:t>
            </w:r>
          </w:p>
        </w:tc>
        <w:tc>
          <w:tcPr>
            <w:tcW w:w="4536" w:type="dxa"/>
            <w:tcBorders>
              <w:top w:val="nil"/>
              <w:left w:val="nil"/>
              <w:bottom w:val="single" w:sz="4" w:space="0" w:color="auto"/>
              <w:right w:val="single" w:sz="4" w:space="0" w:color="auto"/>
            </w:tcBorders>
            <w:shd w:val="clear" w:color="auto" w:fill="auto"/>
            <w:vAlign w:val="center"/>
            <w:hideMark/>
          </w:tcPr>
          <w:p w14:paraId="2085D806" w14:textId="77777777" w:rsidR="00B54EEA" w:rsidRPr="00F73D14" w:rsidRDefault="00B54EEA" w:rsidP="00B54EEA">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Respect des us et coutumes locales</w:t>
            </w:r>
          </w:p>
        </w:tc>
      </w:tr>
      <w:tr w:rsidR="00B54EEA" w:rsidRPr="007F78CE" w14:paraId="2E98F7A5" w14:textId="77777777" w:rsidTr="00B434A6">
        <w:trPr>
          <w:trHeight w:val="111"/>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775514F0" w14:textId="77777777" w:rsidR="00B54EEA" w:rsidRPr="00F73D14" w:rsidRDefault="00B54EEA" w:rsidP="00B54EEA">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Non-exécution du Projet car il y a déjà eu des Projet</w:t>
            </w:r>
            <w:r w:rsidR="00C005EB">
              <w:rPr>
                <w:rFonts w:ascii="Arial" w:eastAsia="Times New Roman" w:hAnsi="Arial" w:cs="Arial"/>
                <w:color w:val="000000"/>
                <w:sz w:val="18"/>
                <w:szCs w:val="18"/>
                <w:lang w:eastAsia="fr-FR"/>
              </w:rPr>
              <w:t>s</w:t>
            </w:r>
            <w:r w:rsidRPr="00F73D14">
              <w:rPr>
                <w:rFonts w:ascii="Arial" w:eastAsia="Times New Roman" w:hAnsi="Arial" w:cs="Arial"/>
                <w:color w:val="000000"/>
                <w:sz w:val="18"/>
                <w:szCs w:val="18"/>
                <w:lang w:eastAsia="fr-FR"/>
              </w:rPr>
              <w:t xml:space="preserve"> tels que celui-ci mais aucun n’a été réalisé</w:t>
            </w:r>
          </w:p>
        </w:tc>
        <w:tc>
          <w:tcPr>
            <w:tcW w:w="4536" w:type="dxa"/>
            <w:tcBorders>
              <w:top w:val="nil"/>
              <w:left w:val="nil"/>
              <w:bottom w:val="single" w:sz="4" w:space="0" w:color="auto"/>
              <w:right w:val="single" w:sz="4" w:space="0" w:color="auto"/>
            </w:tcBorders>
            <w:shd w:val="clear" w:color="auto" w:fill="auto"/>
            <w:vAlign w:val="center"/>
            <w:hideMark/>
          </w:tcPr>
          <w:p w14:paraId="16113E8A" w14:textId="77777777" w:rsidR="00B54EEA" w:rsidRPr="00F73D14" w:rsidRDefault="00B54EEA" w:rsidP="00B54EEA">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Appliquer le principe de la transparence pendant la mise en œuvre du Projet</w:t>
            </w:r>
          </w:p>
        </w:tc>
      </w:tr>
      <w:tr w:rsidR="00B54EEA" w:rsidRPr="007F78CE" w14:paraId="2B7AAD0A" w14:textId="77777777" w:rsidTr="00B434A6">
        <w:trPr>
          <w:trHeight w:val="50"/>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3D6141AB" w14:textId="77777777" w:rsidR="00B54EEA" w:rsidRPr="00F73D14" w:rsidRDefault="00B54EEA" w:rsidP="00B54EEA">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Privatisation des équipements énergétiques après la réalisation du Projet (comme les bornes fontaines)</w:t>
            </w:r>
          </w:p>
        </w:tc>
        <w:tc>
          <w:tcPr>
            <w:tcW w:w="4536" w:type="dxa"/>
            <w:tcBorders>
              <w:top w:val="nil"/>
              <w:left w:val="nil"/>
              <w:bottom w:val="single" w:sz="4" w:space="0" w:color="auto"/>
              <w:right w:val="single" w:sz="4" w:space="0" w:color="auto"/>
            </w:tcBorders>
            <w:shd w:val="clear" w:color="auto" w:fill="auto"/>
            <w:vAlign w:val="center"/>
            <w:hideMark/>
          </w:tcPr>
          <w:p w14:paraId="572116F6" w14:textId="77777777" w:rsidR="00B54EEA" w:rsidRPr="00F73D14" w:rsidRDefault="00B54EEA" w:rsidP="003E3E27">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Que le co</w:t>
            </w:r>
            <w:r w:rsidR="003E3E27">
              <w:rPr>
                <w:rFonts w:ascii="Arial" w:eastAsia="Times New Roman" w:hAnsi="Arial" w:cs="Arial"/>
                <w:color w:val="000000"/>
                <w:sz w:val="18"/>
                <w:szCs w:val="18"/>
                <w:lang w:eastAsia="fr-FR"/>
              </w:rPr>
              <w:t>û</w:t>
            </w:r>
            <w:r w:rsidRPr="00F73D14">
              <w:rPr>
                <w:rFonts w:ascii="Arial" w:eastAsia="Times New Roman" w:hAnsi="Arial" w:cs="Arial"/>
                <w:color w:val="000000"/>
                <w:sz w:val="18"/>
                <w:szCs w:val="18"/>
                <w:lang w:eastAsia="fr-FR"/>
              </w:rPr>
              <w:t>t de l’électricité soit plus bas que celui fourni par les autres fournisseurs d</w:t>
            </w:r>
            <w:r w:rsidR="005969CF">
              <w:rPr>
                <w:rFonts w:ascii="Arial" w:eastAsia="Times New Roman" w:hAnsi="Arial" w:cs="Arial"/>
                <w:color w:val="000000"/>
                <w:sz w:val="18"/>
                <w:szCs w:val="18"/>
                <w:lang w:eastAsia="fr-FR"/>
              </w:rPr>
              <w:t>’</w:t>
            </w:r>
            <w:r w:rsidRPr="00F73D14">
              <w:rPr>
                <w:rFonts w:ascii="Arial" w:eastAsia="Times New Roman" w:hAnsi="Arial" w:cs="Arial"/>
                <w:color w:val="000000"/>
                <w:sz w:val="18"/>
                <w:szCs w:val="18"/>
                <w:lang w:eastAsia="fr-FR"/>
              </w:rPr>
              <w:t xml:space="preserve">électricité </w:t>
            </w:r>
          </w:p>
        </w:tc>
      </w:tr>
      <w:tr w:rsidR="00B54EEA" w:rsidRPr="007F78CE" w14:paraId="7C550788" w14:textId="77777777" w:rsidTr="00B434A6">
        <w:trPr>
          <w:trHeight w:val="50"/>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1C4D3206" w14:textId="77777777" w:rsidR="00B54EEA" w:rsidRPr="00F73D14" w:rsidRDefault="00B54EEA" w:rsidP="00B54EEA">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Non considération des moyens financiers de chaque ménage qui devrait être bénéficiaire</w:t>
            </w:r>
          </w:p>
        </w:tc>
        <w:tc>
          <w:tcPr>
            <w:tcW w:w="4536" w:type="dxa"/>
            <w:tcBorders>
              <w:top w:val="nil"/>
              <w:left w:val="nil"/>
              <w:bottom w:val="single" w:sz="4" w:space="0" w:color="auto"/>
              <w:right w:val="single" w:sz="4" w:space="0" w:color="auto"/>
            </w:tcBorders>
            <w:shd w:val="clear" w:color="auto" w:fill="auto"/>
            <w:vAlign w:val="center"/>
            <w:hideMark/>
          </w:tcPr>
          <w:p w14:paraId="5884DE67" w14:textId="77777777" w:rsidR="00B54EEA" w:rsidRPr="00F73D14" w:rsidRDefault="00B54EEA" w:rsidP="00B54EEA">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Dotations de matériels pour faciliter le quotidien</w:t>
            </w:r>
          </w:p>
        </w:tc>
      </w:tr>
      <w:tr w:rsidR="00B54EEA" w:rsidRPr="007F78CE" w14:paraId="16C2B954" w14:textId="77777777" w:rsidTr="00B434A6">
        <w:trPr>
          <w:trHeight w:val="50"/>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650EDEBF" w14:textId="77777777" w:rsidR="00B54EEA" w:rsidRPr="00F73D14" w:rsidRDefault="00B54EEA" w:rsidP="00B54EEA">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Les terrains privés peuvent être un obstacle dans la réalisation du Projet</w:t>
            </w:r>
          </w:p>
        </w:tc>
        <w:tc>
          <w:tcPr>
            <w:tcW w:w="4536" w:type="dxa"/>
            <w:tcBorders>
              <w:top w:val="nil"/>
              <w:left w:val="nil"/>
              <w:bottom w:val="single" w:sz="4" w:space="0" w:color="auto"/>
              <w:right w:val="single" w:sz="4" w:space="0" w:color="auto"/>
            </w:tcBorders>
            <w:shd w:val="clear" w:color="auto" w:fill="auto"/>
            <w:vAlign w:val="center"/>
            <w:hideMark/>
          </w:tcPr>
          <w:p w14:paraId="0684266C" w14:textId="77777777" w:rsidR="00B54EEA" w:rsidRPr="00F73D14" w:rsidRDefault="003E0CDB" w:rsidP="00B54EEA">
            <w:pPr>
              <w:spacing w:after="0" w:line="240" w:lineRule="auto"/>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U</w:t>
            </w:r>
            <w:r w:rsidR="00B54EEA" w:rsidRPr="00F73D14">
              <w:rPr>
                <w:rFonts w:ascii="Arial" w:eastAsia="Times New Roman" w:hAnsi="Arial" w:cs="Arial"/>
                <w:color w:val="000000"/>
                <w:sz w:val="18"/>
                <w:szCs w:val="18"/>
                <w:lang w:eastAsia="fr-FR"/>
              </w:rPr>
              <w:t xml:space="preserve">tiliser les terrains communaux </w:t>
            </w:r>
          </w:p>
        </w:tc>
      </w:tr>
      <w:tr w:rsidR="00B54EEA" w:rsidRPr="007F78CE" w14:paraId="0B52E67A" w14:textId="77777777" w:rsidTr="00B434A6">
        <w:trPr>
          <w:trHeight w:val="50"/>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474C98EB" w14:textId="77777777" w:rsidR="00B54EEA" w:rsidRPr="00F73D14" w:rsidRDefault="00B54EEA" w:rsidP="00B54EEA">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Craintes par rapport au non-paiement de la compensation promise</w:t>
            </w:r>
          </w:p>
        </w:tc>
        <w:tc>
          <w:tcPr>
            <w:tcW w:w="4536" w:type="dxa"/>
            <w:tcBorders>
              <w:top w:val="nil"/>
              <w:left w:val="nil"/>
              <w:bottom w:val="single" w:sz="4" w:space="0" w:color="auto"/>
              <w:right w:val="single" w:sz="4" w:space="0" w:color="auto"/>
            </w:tcBorders>
            <w:shd w:val="clear" w:color="auto" w:fill="auto"/>
            <w:vAlign w:val="center"/>
            <w:hideMark/>
          </w:tcPr>
          <w:p w14:paraId="60933B32" w14:textId="77777777" w:rsidR="00B54EEA" w:rsidRPr="00F73D14" w:rsidRDefault="00B54EEA" w:rsidP="00B54EEA">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Pa</w:t>
            </w:r>
            <w:r w:rsidR="00C005EB">
              <w:rPr>
                <w:rFonts w:ascii="Arial" w:eastAsia="Times New Roman" w:hAnsi="Arial" w:cs="Arial"/>
                <w:color w:val="000000"/>
                <w:sz w:val="18"/>
                <w:szCs w:val="18"/>
                <w:lang w:eastAsia="fr-FR"/>
              </w:rPr>
              <w:t>i</w:t>
            </w:r>
            <w:r w:rsidRPr="00F73D14">
              <w:rPr>
                <w:rFonts w:ascii="Arial" w:eastAsia="Times New Roman" w:hAnsi="Arial" w:cs="Arial"/>
                <w:color w:val="000000"/>
                <w:sz w:val="18"/>
                <w:szCs w:val="18"/>
                <w:lang w:eastAsia="fr-FR"/>
              </w:rPr>
              <w:t>ement des compensations avant le démarrage du Projet</w:t>
            </w:r>
          </w:p>
        </w:tc>
      </w:tr>
      <w:tr w:rsidR="00B54EEA" w:rsidRPr="007F78CE" w14:paraId="354A7BC8" w14:textId="77777777" w:rsidTr="00B434A6">
        <w:trPr>
          <w:trHeight w:val="50"/>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06608CB9" w14:textId="77777777" w:rsidR="00B54EEA" w:rsidRPr="00F73D14" w:rsidRDefault="00B54EEA" w:rsidP="00B54EEA">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Augmentation de l’insécurité après la réalisation du Projet</w:t>
            </w:r>
          </w:p>
        </w:tc>
        <w:tc>
          <w:tcPr>
            <w:tcW w:w="4536" w:type="dxa"/>
            <w:tcBorders>
              <w:top w:val="nil"/>
              <w:left w:val="nil"/>
              <w:bottom w:val="single" w:sz="4" w:space="0" w:color="auto"/>
              <w:right w:val="single" w:sz="4" w:space="0" w:color="auto"/>
            </w:tcBorders>
            <w:shd w:val="clear" w:color="auto" w:fill="auto"/>
            <w:vAlign w:val="center"/>
            <w:hideMark/>
          </w:tcPr>
          <w:p w14:paraId="410343BD" w14:textId="77777777" w:rsidR="00B54EEA" w:rsidRPr="00F73D14" w:rsidRDefault="00B54EEA" w:rsidP="00B54EEA">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Renforcement des postes avancés de la gendarmerie</w:t>
            </w:r>
          </w:p>
        </w:tc>
      </w:tr>
      <w:tr w:rsidR="00B54EEA" w:rsidRPr="007F78CE" w14:paraId="26298838" w14:textId="77777777" w:rsidTr="00B434A6">
        <w:trPr>
          <w:trHeight w:val="50"/>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057B847F" w14:textId="77777777" w:rsidR="00B54EEA" w:rsidRPr="00F73D14" w:rsidRDefault="00B54EEA" w:rsidP="00B54EEA">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 xml:space="preserve">Craintes par rapport à l’utilisation du Projet pour des intérêts politiques </w:t>
            </w:r>
          </w:p>
        </w:tc>
        <w:tc>
          <w:tcPr>
            <w:tcW w:w="4536" w:type="dxa"/>
            <w:tcBorders>
              <w:top w:val="nil"/>
              <w:left w:val="nil"/>
              <w:bottom w:val="single" w:sz="4" w:space="0" w:color="auto"/>
              <w:right w:val="single" w:sz="4" w:space="0" w:color="auto"/>
            </w:tcBorders>
            <w:shd w:val="clear" w:color="auto" w:fill="auto"/>
            <w:vAlign w:val="center"/>
            <w:hideMark/>
          </w:tcPr>
          <w:p w14:paraId="6E96B1A2" w14:textId="77777777" w:rsidR="00B54EEA" w:rsidRPr="00F73D14" w:rsidRDefault="00C66FE1" w:rsidP="00B54EEA">
            <w:pPr>
              <w:spacing w:after="0" w:line="240" w:lineRule="auto"/>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w:t>
            </w:r>
            <w:r w:rsidR="00B54EEA" w:rsidRPr="00F73D14">
              <w:rPr>
                <w:rFonts w:ascii="Arial" w:eastAsia="Times New Roman" w:hAnsi="Arial" w:cs="Arial"/>
                <w:color w:val="000000"/>
                <w:sz w:val="18"/>
                <w:szCs w:val="18"/>
                <w:lang w:eastAsia="fr-FR"/>
              </w:rPr>
              <w:t>ise en œuvre rapide du Projet</w:t>
            </w:r>
          </w:p>
        </w:tc>
      </w:tr>
      <w:tr w:rsidR="00B54EEA" w:rsidRPr="007F78CE" w14:paraId="255EF9BB" w14:textId="77777777" w:rsidTr="00B434A6">
        <w:trPr>
          <w:trHeight w:val="50"/>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225B8345" w14:textId="77777777" w:rsidR="00B54EEA" w:rsidRPr="00F73D14" w:rsidRDefault="00B54EEA" w:rsidP="00B54EEA">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Les femmes n’ont pas de pouvoir de décision au niveau de la société</w:t>
            </w:r>
            <w:r w:rsidR="005969CF">
              <w:rPr>
                <w:rFonts w:ascii="Arial" w:eastAsia="Times New Roman" w:hAnsi="Arial" w:cs="Arial"/>
                <w:color w:val="000000"/>
                <w:sz w:val="18"/>
                <w:szCs w:val="18"/>
                <w:lang w:eastAsia="fr-FR"/>
              </w:rPr>
              <w:t> </w:t>
            </w:r>
            <w:r w:rsidRPr="00F73D14">
              <w:rPr>
                <w:rFonts w:ascii="Arial" w:eastAsia="Times New Roman" w:hAnsi="Arial" w:cs="Arial"/>
                <w:color w:val="000000"/>
                <w:sz w:val="18"/>
                <w:szCs w:val="18"/>
                <w:lang w:eastAsia="fr-FR"/>
              </w:rPr>
              <w:t>: inégalité homme-femme</w:t>
            </w:r>
          </w:p>
        </w:tc>
        <w:tc>
          <w:tcPr>
            <w:tcW w:w="4536" w:type="dxa"/>
            <w:tcBorders>
              <w:top w:val="nil"/>
              <w:left w:val="nil"/>
              <w:bottom w:val="single" w:sz="4" w:space="0" w:color="auto"/>
              <w:right w:val="single" w:sz="4" w:space="0" w:color="auto"/>
            </w:tcBorders>
            <w:shd w:val="clear" w:color="auto" w:fill="auto"/>
            <w:vAlign w:val="center"/>
            <w:hideMark/>
          </w:tcPr>
          <w:p w14:paraId="2BC7A703" w14:textId="77777777" w:rsidR="00B54EEA" w:rsidRPr="00F73D14" w:rsidRDefault="00B54EEA" w:rsidP="00B54EEA">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Prendre et consid</w:t>
            </w:r>
            <w:r w:rsidR="00C005EB">
              <w:rPr>
                <w:rFonts w:ascii="Arial" w:eastAsia="Times New Roman" w:hAnsi="Arial" w:cs="Arial"/>
                <w:color w:val="000000"/>
                <w:sz w:val="18"/>
                <w:szCs w:val="18"/>
                <w:lang w:eastAsia="fr-FR"/>
              </w:rPr>
              <w:t>érer</w:t>
            </w:r>
            <w:r w:rsidRPr="00F73D14">
              <w:rPr>
                <w:rFonts w:ascii="Arial" w:eastAsia="Times New Roman" w:hAnsi="Arial" w:cs="Arial"/>
                <w:color w:val="000000"/>
                <w:sz w:val="18"/>
                <w:szCs w:val="18"/>
                <w:lang w:eastAsia="fr-FR"/>
              </w:rPr>
              <w:t xml:space="preserve"> les avis des femmes durant la mise en œuvre du Projet</w:t>
            </w:r>
          </w:p>
        </w:tc>
      </w:tr>
      <w:tr w:rsidR="00B54EEA" w:rsidRPr="007F78CE" w14:paraId="130B881E" w14:textId="77777777" w:rsidTr="00B434A6">
        <w:trPr>
          <w:trHeight w:val="173"/>
        </w:trPr>
        <w:tc>
          <w:tcPr>
            <w:tcW w:w="4268" w:type="dxa"/>
            <w:vMerge w:val="restart"/>
            <w:tcBorders>
              <w:top w:val="nil"/>
              <w:left w:val="single" w:sz="4" w:space="0" w:color="auto"/>
              <w:bottom w:val="single" w:sz="4" w:space="0" w:color="auto"/>
              <w:right w:val="single" w:sz="4" w:space="0" w:color="auto"/>
            </w:tcBorders>
            <w:shd w:val="clear" w:color="auto" w:fill="auto"/>
            <w:vAlign w:val="center"/>
            <w:hideMark/>
          </w:tcPr>
          <w:p w14:paraId="479F3407" w14:textId="77777777" w:rsidR="00B54EEA" w:rsidRPr="00F73D14" w:rsidRDefault="00B54EEA" w:rsidP="00651BC8">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Chômage des femmes.</w:t>
            </w:r>
          </w:p>
        </w:tc>
        <w:tc>
          <w:tcPr>
            <w:tcW w:w="4536" w:type="dxa"/>
            <w:tcBorders>
              <w:top w:val="nil"/>
              <w:left w:val="nil"/>
              <w:bottom w:val="single" w:sz="4" w:space="0" w:color="auto"/>
              <w:right w:val="single" w:sz="4" w:space="0" w:color="auto"/>
            </w:tcBorders>
            <w:shd w:val="clear" w:color="auto" w:fill="auto"/>
            <w:vAlign w:val="center"/>
            <w:hideMark/>
          </w:tcPr>
          <w:p w14:paraId="419BDA1E" w14:textId="77777777" w:rsidR="00B54EEA" w:rsidRPr="00F73D14" w:rsidRDefault="00B54EEA" w:rsidP="00B54EEA">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Priorisation des femmes et des jeunes lors du recrutement de main d’œuvres pour les activités du Projet</w:t>
            </w:r>
          </w:p>
        </w:tc>
      </w:tr>
      <w:tr w:rsidR="00B54EEA" w:rsidRPr="007F78CE" w14:paraId="7C22A231" w14:textId="77777777" w:rsidTr="00B434A6">
        <w:trPr>
          <w:trHeight w:val="50"/>
        </w:trPr>
        <w:tc>
          <w:tcPr>
            <w:tcW w:w="4268" w:type="dxa"/>
            <w:vMerge/>
            <w:tcBorders>
              <w:top w:val="nil"/>
              <w:left w:val="single" w:sz="4" w:space="0" w:color="auto"/>
              <w:bottom w:val="single" w:sz="4" w:space="0" w:color="auto"/>
              <w:right w:val="single" w:sz="4" w:space="0" w:color="auto"/>
            </w:tcBorders>
            <w:vAlign w:val="center"/>
            <w:hideMark/>
          </w:tcPr>
          <w:p w14:paraId="3C71AADC" w14:textId="77777777" w:rsidR="00B54EEA" w:rsidRPr="00F73D14" w:rsidRDefault="00B54EEA" w:rsidP="00B54EEA">
            <w:pPr>
              <w:spacing w:after="0" w:line="240" w:lineRule="auto"/>
              <w:rPr>
                <w:rFonts w:ascii="Arial" w:eastAsia="Times New Roman" w:hAnsi="Arial" w:cs="Arial"/>
                <w:color w:val="000000"/>
                <w:sz w:val="18"/>
                <w:szCs w:val="18"/>
                <w:lang w:eastAsia="fr-FR"/>
              </w:rPr>
            </w:pPr>
          </w:p>
        </w:tc>
        <w:tc>
          <w:tcPr>
            <w:tcW w:w="4536" w:type="dxa"/>
            <w:tcBorders>
              <w:top w:val="nil"/>
              <w:left w:val="nil"/>
              <w:bottom w:val="single" w:sz="4" w:space="0" w:color="auto"/>
              <w:right w:val="single" w:sz="4" w:space="0" w:color="auto"/>
            </w:tcBorders>
            <w:shd w:val="clear" w:color="auto" w:fill="auto"/>
            <w:vAlign w:val="center"/>
            <w:hideMark/>
          </w:tcPr>
          <w:p w14:paraId="6FB48A18" w14:textId="77777777" w:rsidR="00B54EEA" w:rsidRPr="00F73D14" w:rsidRDefault="00B54EEA" w:rsidP="00B54EEA">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Mise en place d’une association des femmes pour participer aux activités du Projet</w:t>
            </w:r>
          </w:p>
        </w:tc>
      </w:tr>
      <w:tr w:rsidR="00B54EEA" w:rsidRPr="007F78CE" w14:paraId="3351290F" w14:textId="77777777" w:rsidTr="00B434A6">
        <w:trPr>
          <w:trHeight w:val="50"/>
        </w:trPr>
        <w:tc>
          <w:tcPr>
            <w:tcW w:w="4268" w:type="dxa"/>
            <w:vMerge/>
            <w:tcBorders>
              <w:top w:val="nil"/>
              <w:left w:val="single" w:sz="4" w:space="0" w:color="auto"/>
              <w:bottom w:val="single" w:sz="4" w:space="0" w:color="auto"/>
              <w:right w:val="single" w:sz="4" w:space="0" w:color="auto"/>
            </w:tcBorders>
            <w:vAlign w:val="center"/>
            <w:hideMark/>
          </w:tcPr>
          <w:p w14:paraId="57B52C28" w14:textId="77777777" w:rsidR="00B54EEA" w:rsidRPr="00F73D14" w:rsidRDefault="00B54EEA" w:rsidP="00B54EEA">
            <w:pPr>
              <w:spacing w:after="0" w:line="240" w:lineRule="auto"/>
              <w:rPr>
                <w:rFonts w:ascii="Arial" w:eastAsia="Times New Roman" w:hAnsi="Arial" w:cs="Arial"/>
                <w:color w:val="000000"/>
                <w:sz w:val="18"/>
                <w:szCs w:val="18"/>
                <w:lang w:eastAsia="fr-FR"/>
              </w:rPr>
            </w:pPr>
          </w:p>
        </w:tc>
        <w:tc>
          <w:tcPr>
            <w:tcW w:w="4536" w:type="dxa"/>
            <w:tcBorders>
              <w:top w:val="nil"/>
              <w:left w:val="nil"/>
              <w:bottom w:val="single" w:sz="4" w:space="0" w:color="auto"/>
              <w:right w:val="single" w:sz="4" w:space="0" w:color="auto"/>
            </w:tcBorders>
            <w:shd w:val="clear" w:color="auto" w:fill="auto"/>
            <w:vAlign w:val="center"/>
            <w:hideMark/>
          </w:tcPr>
          <w:p w14:paraId="5C6BEC32" w14:textId="77777777" w:rsidR="00B54EEA" w:rsidRPr="00F73D14" w:rsidRDefault="00B54EEA" w:rsidP="00B54EEA">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Formation des femmes sur l’informatique et internet</w:t>
            </w:r>
          </w:p>
        </w:tc>
      </w:tr>
      <w:tr w:rsidR="00B54EEA" w:rsidRPr="007F78CE" w14:paraId="55FA7099" w14:textId="77777777" w:rsidTr="00B434A6">
        <w:trPr>
          <w:trHeight w:val="50"/>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4BA0F7B2" w14:textId="77777777" w:rsidR="00B54EEA" w:rsidRPr="00F73D14" w:rsidRDefault="00B54EEA" w:rsidP="00B54EEA">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Insuffisances de moyens financiers et matériels</w:t>
            </w:r>
          </w:p>
        </w:tc>
        <w:tc>
          <w:tcPr>
            <w:tcW w:w="4536" w:type="dxa"/>
            <w:tcBorders>
              <w:top w:val="nil"/>
              <w:left w:val="nil"/>
              <w:bottom w:val="single" w:sz="4" w:space="0" w:color="auto"/>
              <w:right w:val="single" w:sz="4" w:space="0" w:color="auto"/>
            </w:tcBorders>
            <w:shd w:val="clear" w:color="auto" w:fill="auto"/>
            <w:vAlign w:val="center"/>
            <w:hideMark/>
          </w:tcPr>
          <w:p w14:paraId="794B39EF" w14:textId="77777777" w:rsidR="00B54EEA" w:rsidRPr="00F73D14" w:rsidRDefault="00B54EEA" w:rsidP="00B54EEA">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Facilitation de l’obtention des outils de communications (téléphones, etc.)</w:t>
            </w:r>
          </w:p>
        </w:tc>
      </w:tr>
      <w:tr w:rsidR="00B54EEA" w:rsidRPr="007F78CE" w14:paraId="479121A3" w14:textId="77777777" w:rsidTr="00B434A6">
        <w:trPr>
          <w:trHeight w:val="50"/>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03BE7148" w14:textId="77777777" w:rsidR="00B54EEA" w:rsidRPr="00F73D14" w:rsidRDefault="003E0CDB" w:rsidP="00B54EEA">
            <w:pPr>
              <w:spacing w:after="0" w:line="240" w:lineRule="auto"/>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C</w:t>
            </w:r>
            <w:r w:rsidR="00B54EEA" w:rsidRPr="00F73D14">
              <w:rPr>
                <w:rFonts w:ascii="Arial" w:eastAsia="Times New Roman" w:hAnsi="Arial" w:cs="Arial"/>
                <w:color w:val="000000"/>
                <w:sz w:val="18"/>
                <w:szCs w:val="18"/>
                <w:lang w:eastAsia="fr-FR"/>
              </w:rPr>
              <w:t>rainte pour l</w:t>
            </w:r>
            <w:r w:rsidR="005969CF">
              <w:rPr>
                <w:rFonts w:ascii="Arial" w:eastAsia="Times New Roman" w:hAnsi="Arial" w:cs="Arial"/>
                <w:color w:val="000000"/>
                <w:sz w:val="18"/>
                <w:szCs w:val="18"/>
                <w:lang w:eastAsia="fr-FR"/>
              </w:rPr>
              <w:t>’</w:t>
            </w:r>
            <w:r w:rsidR="00B54EEA" w:rsidRPr="00F73D14">
              <w:rPr>
                <w:rFonts w:ascii="Arial" w:eastAsia="Times New Roman" w:hAnsi="Arial" w:cs="Arial"/>
                <w:color w:val="000000"/>
                <w:sz w:val="18"/>
                <w:szCs w:val="18"/>
                <w:lang w:eastAsia="fr-FR"/>
              </w:rPr>
              <w:t>augmentation de cas de VBG</w:t>
            </w:r>
          </w:p>
        </w:tc>
        <w:tc>
          <w:tcPr>
            <w:tcW w:w="4536" w:type="dxa"/>
            <w:tcBorders>
              <w:top w:val="nil"/>
              <w:left w:val="nil"/>
              <w:bottom w:val="single" w:sz="4" w:space="0" w:color="auto"/>
              <w:right w:val="single" w:sz="4" w:space="0" w:color="auto"/>
            </w:tcBorders>
            <w:shd w:val="clear" w:color="auto" w:fill="auto"/>
            <w:vAlign w:val="center"/>
            <w:hideMark/>
          </w:tcPr>
          <w:p w14:paraId="3C0C8683" w14:textId="77777777" w:rsidR="00B54EEA" w:rsidRPr="00F73D14" w:rsidRDefault="00B54EEA" w:rsidP="00B54EEA">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Sensibilisation et formations relatives aux VBG/EAS-HS par des entités externes</w:t>
            </w:r>
          </w:p>
        </w:tc>
      </w:tr>
      <w:tr w:rsidR="00B54EEA" w:rsidRPr="007F78CE" w14:paraId="1B0A65AA" w14:textId="77777777" w:rsidTr="00B434A6">
        <w:trPr>
          <w:trHeight w:val="50"/>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25C44016" w14:textId="77777777" w:rsidR="00B54EEA" w:rsidRPr="00F73D14" w:rsidRDefault="00C005EB" w:rsidP="00B54EEA">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État</w:t>
            </w:r>
            <w:r w:rsidR="00B54EEA" w:rsidRPr="00F73D14">
              <w:rPr>
                <w:rFonts w:ascii="Arial" w:eastAsia="Times New Roman" w:hAnsi="Arial" w:cs="Arial"/>
                <w:color w:val="000000"/>
                <w:sz w:val="18"/>
                <w:szCs w:val="18"/>
                <w:lang w:eastAsia="fr-FR"/>
              </w:rPr>
              <w:t xml:space="preserve"> de délabrement des voies de communication</w:t>
            </w:r>
          </w:p>
        </w:tc>
        <w:tc>
          <w:tcPr>
            <w:tcW w:w="4536" w:type="dxa"/>
            <w:tcBorders>
              <w:top w:val="nil"/>
              <w:left w:val="nil"/>
              <w:bottom w:val="single" w:sz="4" w:space="0" w:color="auto"/>
              <w:right w:val="single" w:sz="4" w:space="0" w:color="auto"/>
            </w:tcBorders>
            <w:shd w:val="clear" w:color="auto" w:fill="auto"/>
            <w:vAlign w:val="center"/>
            <w:hideMark/>
          </w:tcPr>
          <w:p w14:paraId="74DB459C" w14:textId="77777777" w:rsidR="00B54EEA" w:rsidRPr="00F73D14" w:rsidRDefault="00B54EEA" w:rsidP="00B54EEA">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Réhabilitation des voies de communication avant la mise en œuvre du Projet</w:t>
            </w:r>
          </w:p>
        </w:tc>
      </w:tr>
      <w:tr w:rsidR="00B54EEA" w:rsidRPr="007F78CE" w14:paraId="48616413" w14:textId="77777777" w:rsidTr="00B434A6">
        <w:trPr>
          <w:trHeight w:val="50"/>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78EAE520" w14:textId="77777777" w:rsidR="00B54EEA" w:rsidRPr="00F73D14" w:rsidRDefault="008540E8" w:rsidP="00B54EEA">
            <w:pPr>
              <w:spacing w:after="0" w:line="240" w:lineRule="auto"/>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Non</w:t>
            </w:r>
            <w:r w:rsidR="00B54EEA" w:rsidRPr="00F73D14">
              <w:rPr>
                <w:rFonts w:ascii="Arial" w:eastAsia="Times New Roman" w:hAnsi="Arial" w:cs="Arial"/>
                <w:color w:val="000000"/>
                <w:sz w:val="18"/>
                <w:szCs w:val="18"/>
                <w:lang w:eastAsia="fr-FR"/>
              </w:rPr>
              <w:t xml:space="preserve"> ma</w:t>
            </w:r>
            <w:r w:rsidR="003E3E27">
              <w:rPr>
                <w:rFonts w:ascii="Arial" w:eastAsia="Times New Roman" w:hAnsi="Arial" w:cs="Arial"/>
                <w:color w:val="000000"/>
                <w:sz w:val="18"/>
                <w:szCs w:val="18"/>
                <w:lang w:eastAsia="fr-FR"/>
              </w:rPr>
              <w:t>î</w:t>
            </w:r>
            <w:r w:rsidR="00B54EEA" w:rsidRPr="00F73D14">
              <w:rPr>
                <w:rFonts w:ascii="Arial" w:eastAsia="Times New Roman" w:hAnsi="Arial" w:cs="Arial"/>
                <w:color w:val="000000"/>
                <w:sz w:val="18"/>
                <w:szCs w:val="18"/>
                <w:lang w:eastAsia="fr-FR"/>
              </w:rPr>
              <w:t>trise de la nouvelle Technologie de l</w:t>
            </w:r>
            <w:r w:rsidR="005969CF">
              <w:rPr>
                <w:rFonts w:ascii="Arial" w:eastAsia="Times New Roman" w:hAnsi="Arial" w:cs="Arial"/>
                <w:color w:val="000000"/>
                <w:sz w:val="18"/>
                <w:szCs w:val="18"/>
                <w:lang w:eastAsia="fr-FR"/>
              </w:rPr>
              <w:t>’</w:t>
            </w:r>
            <w:r w:rsidR="00B54EEA" w:rsidRPr="00F73D14">
              <w:rPr>
                <w:rFonts w:ascii="Arial" w:eastAsia="Times New Roman" w:hAnsi="Arial" w:cs="Arial"/>
                <w:color w:val="000000"/>
                <w:sz w:val="18"/>
                <w:szCs w:val="18"/>
                <w:lang w:eastAsia="fr-FR"/>
              </w:rPr>
              <w:t>Information et de la Communication</w:t>
            </w:r>
          </w:p>
        </w:tc>
        <w:tc>
          <w:tcPr>
            <w:tcW w:w="4536" w:type="dxa"/>
            <w:tcBorders>
              <w:top w:val="nil"/>
              <w:left w:val="nil"/>
              <w:bottom w:val="single" w:sz="4" w:space="0" w:color="auto"/>
              <w:right w:val="single" w:sz="4" w:space="0" w:color="auto"/>
            </w:tcBorders>
            <w:shd w:val="clear" w:color="auto" w:fill="auto"/>
            <w:vAlign w:val="center"/>
            <w:hideMark/>
          </w:tcPr>
          <w:p w14:paraId="6664E992" w14:textId="77777777" w:rsidR="00B54EEA" w:rsidRPr="00F73D14" w:rsidRDefault="00B54EEA" w:rsidP="00B54EEA">
            <w:pPr>
              <w:spacing w:after="0" w:line="240" w:lineRule="auto"/>
              <w:rPr>
                <w:rFonts w:ascii="Arial" w:eastAsia="Times New Roman" w:hAnsi="Arial" w:cs="Arial"/>
                <w:color w:val="000000"/>
                <w:sz w:val="18"/>
                <w:szCs w:val="18"/>
                <w:lang w:eastAsia="fr-FR"/>
              </w:rPr>
            </w:pPr>
            <w:r w:rsidRPr="00F73D14">
              <w:rPr>
                <w:rFonts w:ascii="Arial" w:eastAsia="Times New Roman" w:hAnsi="Arial" w:cs="Arial"/>
                <w:color w:val="000000"/>
                <w:sz w:val="18"/>
                <w:szCs w:val="18"/>
                <w:lang w:eastAsia="fr-FR"/>
              </w:rPr>
              <w:t>Mise en place d’une éducation parentale pour enseigner l’utilisation d’internet aux jeunes</w:t>
            </w:r>
          </w:p>
        </w:tc>
      </w:tr>
    </w:tbl>
    <w:p w14:paraId="5B49052B" w14:textId="77777777" w:rsidR="00B54EEA" w:rsidRDefault="00B54EEA" w:rsidP="00B434A6">
      <w:pPr>
        <w:autoSpaceDE w:val="0"/>
        <w:autoSpaceDN w:val="0"/>
        <w:adjustRightInd w:val="0"/>
        <w:spacing w:after="0"/>
        <w:jc w:val="both"/>
        <w:rPr>
          <w:rFonts w:ascii="Arial" w:hAnsi="Arial" w:cs="Arial"/>
          <w:szCs w:val="24"/>
        </w:rPr>
      </w:pPr>
    </w:p>
    <w:p w14:paraId="1B581B6A" w14:textId="77777777" w:rsidR="00B54EEA" w:rsidRDefault="00B54EEA" w:rsidP="00F73D14">
      <w:pPr>
        <w:autoSpaceDE w:val="0"/>
        <w:autoSpaceDN w:val="0"/>
        <w:adjustRightInd w:val="0"/>
        <w:spacing w:after="120" w:line="240" w:lineRule="auto"/>
        <w:jc w:val="both"/>
        <w:rPr>
          <w:rFonts w:ascii="Arial" w:hAnsi="Arial" w:cs="Arial"/>
          <w:szCs w:val="24"/>
        </w:rPr>
      </w:pPr>
      <w:r>
        <w:rPr>
          <w:rFonts w:ascii="Arial" w:hAnsi="Arial" w:cs="Arial"/>
          <w:szCs w:val="24"/>
        </w:rPr>
        <w:t>Les groupes de femmes ont aussi émis leur</w:t>
      </w:r>
      <w:r w:rsidR="00C005EB">
        <w:rPr>
          <w:rFonts w:ascii="Arial" w:hAnsi="Arial" w:cs="Arial"/>
          <w:szCs w:val="24"/>
        </w:rPr>
        <w:t>s</w:t>
      </w:r>
      <w:r>
        <w:rPr>
          <w:rFonts w:ascii="Arial" w:hAnsi="Arial" w:cs="Arial"/>
          <w:szCs w:val="24"/>
        </w:rPr>
        <w:t xml:space="preserve"> attente</w:t>
      </w:r>
      <w:r w:rsidR="00C005EB">
        <w:rPr>
          <w:rFonts w:ascii="Arial" w:hAnsi="Arial" w:cs="Arial"/>
          <w:szCs w:val="24"/>
        </w:rPr>
        <w:t>s</w:t>
      </w:r>
      <w:r>
        <w:rPr>
          <w:rFonts w:ascii="Arial" w:hAnsi="Arial" w:cs="Arial"/>
          <w:szCs w:val="24"/>
        </w:rPr>
        <w:t>/demande</w:t>
      </w:r>
      <w:r w:rsidR="00C005EB">
        <w:rPr>
          <w:rFonts w:ascii="Arial" w:hAnsi="Arial" w:cs="Arial"/>
          <w:szCs w:val="24"/>
        </w:rPr>
        <w:t>s</w:t>
      </w:r>
      <w:r>
        <w:rPr>
          <w:rFonts w:ascii="Arial" w:hAnsi="Arial" w:cs="Arial"/>
          <w:szCs w:val="24"/>
        </w:rPr>
        <w:t xml:space="preserve"> par rapport au Projet et elles sont synthétisées comme suit</w:t>
      </w:r>
      <w:r w:rsidR="005969CF">
        <w:rPr>
          <w:rFonts w:ascii="Arial" w:hAnsi="Arial" w:cs="Arial"/>
          <w:szCs w:val="24"/>
        </w:rPr>
        <w:t> </w:t>
      </w:r>
      <w:r>
        <w:rPr>
          <w:rFonts w:ascii="Arial" w:hAnsi="Arial" w:cs="Arial"/>
          <w:szCs w:val="24"/>
        </w:rPr>
        <w:t xml:space="preserve">: </w:t>
      </w:r>
    </w:p>
    <w:p w14:paraId="1E206E5A" w14:textId="77777777" w:rsidR="00B54EEA" w:rsidRPr="003E0CDB" w:rsidRDefault="00B54EEA" w:rsidP="00687DD2">
      <w:pPr>
        <w:pStyle w:val="Paragraphedeliste"/>
        <w:numPr>
          <w:ilvl w:val="0"/>
          <w:numId w:val="47"/>
        </w:numPr>
        <w:spacing w:after="0" w:line="240" w:lineRule="auto"/>
        <w:ind w:left="714" w:hanging="357"/>
        <w:jc w:val="both"/>
        <w:rPr>
          <w:rFonts w:ascii="Arial" w:hAnsi="Arial" w:cs="Arial"/>
        </w:rPr>
      </w:pPr>
      <w:r w:rsidRPr="003E0CDB">
        <w:rPr>
          <w:rFonts w:ascii="Arial" w:hAnsi="Arial" w:cs="Arial"/>
        </w:rPr>
        <w:t>Pose de luminaires pour l’éclairage public le long des pistes et des routes si le Projet est réalisé</w:t>
      </w:r>
      <w:r w:rsidR="005969CF">
        <w:rPr>
          <w:rFonts w:ascii="Arial" w:hAnsi="Arial" w:cs="Arial"/>
        </w:rPr>
        <w:t> </w:t>
      </w:r>
      <w:r w:rsidR="003E0CDB">
        <w:rPr>
          <w:rFonts w:ascii="Arial" w:hAnsi="Arial" w:cs="Arial"/>
        </w:rPr>
        <w:t>;</w:t>
      </w:r>
    </w:p>
    <w:p w14:paraId="5D36390D" w14:textId="77777777" w:rsidR="00B54EEA" w:rsidRPr="003E0CDB" w:rsidRDefault="00C005EB" w:rsidP="00687DD2">
      <w:pPr>
        <w:pStyle w:val="Paragraphedeliste"/>
        <w:numPr>
          <w:ilvl w:val="0"/>
          <w:numId w:val="47"/>
        </w:numPr>
        <w:spacing w:after="0" w:line="240" w:lineRule="auto"/>
        <w:ind w:left="714" w:hanging="357"/>
        <w:jc w:val="both"/>
        <w:rPr>
          <w:rFonts w:ascii="Arial" w:hAnsi="Arial" w:cs="Arial"/>
        </w:rPr>
      </w:pPr>
      <w:r w:rsidRPr="003E0CDB">
        <w:rPr>
          <w:rFonts w:ascii="Arial" w:hAnsi="Arial" w:cs="Arial"/>
        </w:rPr>
        <w:t>Électrification</w:t>
      </w:r>
      <w:r w:rsidR="00B54EEA" w:rsidRPr="003E0CDB">
        <w:rPr>
          <w:rFonts w:ascii="Arial" w:hAnsi="Arial" w:cs="Arial"/>
        </w:rPr>
        <w:t xml:space="preserve"> des écoles</w:t>
      </w:r>
      <w:r w:rsidR="005969CF">
        <w:rPr>
          <w:rFonts w:ascii="Arial" w:hAnsi="Arial" w:cs="Arial"/>
        </w:rPr>
        <w:t> </w:t>
      </w:r>
      <w:r w:rsidR="003E0CDB">
        <w:rPr>
          <w:rFonts w:ascii="Arial" w:hAnsi="Arial" w:cs="Arial"/>
        </w:rPr>
        <w:t>;</w:t>
      </w:r>
    </w:p>
    <w:p w14:paraId="04379712" w14:textId="77777777" w:rsidR="00B54EEA" w:rsidRPr="003E0CDB" w:rsidRDefault="00B54EEA" w:rsidP="00687DD2">
      <w:pPr>
        <w:pStyle w:val="Paragraphedeliste"/>
        <w:numPr>
          <w:ilvl w:val="0"/>
          <w:numId w:val="47"/>
        </w:numPr>
        <w:spacing w:after="0" w:line="240" w:lineRule="auto"/>
        <w:ind w:left="714" w:hanging="357"/>
        <w:jc w:val="both"/>
        <w:rPr>
          <w:rFonts w:ascii="Arial" w:hAnsi="Arial" w:cs="Arial"/>
        </w:rPr>
      </w:pPr>
      <w:r w:rsidRPr="003E0CDB">
        <w:rPr>
          <w:rFonts w:ascii="Arial" w:hAnsi="Arial" w:cs="Arial"/>
        </w:rPr>
        <w:t>Formations professionnalisantes pour l’augmentation des moyens de subsistance</w:t>
      </w:r>
      <w:r w:rsidR="005969CF">
        <w:rPr>
          <w:rFonts w:ascii="Arial" w:hAnsi="Arial" w:cs="Arial"/>
        </w:rPr>
        <w:t> </w:t>
      </w:r>
      <w:r w:rsidRPr="003E0CDB">
        <w:rPr>
          <w:rFonts w:ascii="Arial" w:hAnsi="Arial" w:cs="Arial"/>
        </w:rPr>
        <w:t>: artisanat par exemple</w:t>
      </w:r>
    </w:p>
    <w:p w14:paraId="63AB3DDE" w14:textId="77777777" w:rsidR="00B54EEA" w:rsidRPr="003E0CDB" w:rsidRDefault="00B54EEA" w:rsidP="00687DD2">
      <w:pPr>
        <w:pStyle w:val="Paragraphedeliste"/>
        <w:numPr>
          <w:ilvl w:val="0"/>
          <w:numId w:val="47"/>
        </w:numPr>
        <w:spacing w:after="0" w:line="240" w:lineRule="auto"/>
        <w:ind w:left="714" w:hanging="357"/>
        <w:jc w:val="both"/>
        <w:rPr>
          <w:rFonts w:ascii="Arial" w:hAnsi="Arial" w:cs="Arial"/>
        </w:rPr>
      </w:pPr>
      <w:r w:rsidRPr="003E0CDB">
        <w:rPr>
          <w:rFonts w:ascii="Arial" w:hAnsi="Arial" w:cs="Arial"/>
        </w:rPr>
        <w:t>Rajout de pylône dans d’autres Commune/fokontany non desservie</w:t>
      </w:r>
      <w:r w:rsidR="00C005EB">
        <w:rPr>
          <w:rFonts w:ascii="Arial" w:hAnsi="Arial" w:cs="Arial"/>
        </w:rPr>
        <w:t>s</w:t>
      </w:r>
      <w:r w:rsidR="005969CF">
        <w:rPr>
          <w:rFonts w:ascii="Arial" w:hAnsi="Arial" w:cs="Arial"/>
        </w:rPr>
        <w:t> </w:t>
      </w:r>
      <w:r w:rsidR="003E0CDB">
        <w:rPr>
          <w:rFonts w:ascii="Arial" w:hAnsi="Arial" w:cs="Arial"/>
        </w:rPr>
        <w:t>;</w:t>
      </w:r>
    </w:p>
    <w:p w14:paraId="3B714D8F" w14:textId="77777777" w:rsidR="00B54EEA" w:rsidRPr="003E0CDB" w:rsidRDefault="00B54EEA" w:rsidP="00687DD2">
      <w:pPr>
        <w:pStyle w:val="Paragraphedeliste"/>
        <w:numPr>
          <w:ilvl w:val="0"/>
          <w:numId w:val="47"/>
        </w:numPr>
        <w:spacing w:after="0" w:line="240" w:lineRule="auto"/>
        <w:ind w:left="714" w:hanging="357"/>
        <w:jc w:val="both"/>
        <w:rPr>
          <w:rFonts w:ascii="Arial" w:hAnsi="Arial" w:cs="Arial"/>
        </w:rPr>
      </w:pPr>
      <w:r w:rsidRPr="003E0CDB">
        <w:rPr>
          <w:rFonts w:ascii="Arial" w:hAnsi="Arial" w:cs="Arial"/>
        </w:rPr>
        <w:t>Formation des femmes sur divers secteurs, autre que l’agriculture et l’élevage</w:t>
      </w:r>
      <w:r w:rsidR="005969CF">
        <w:rPr>
          <w:rFonts w:ascii="Arial" w:hAnsi="Arial" w:cs="Arial"/>
        </w:rPr>
        <w:t> </w:t>
      </w:r>
      <w:r w:rsidR="003E0CDB">
        <w:rPr>
          <w:rFonts w:ascii="Arial" w:hAnsi="Arial" w:cs="Arial"/>
        </w:rPr>
        <w:t>;</w:t>
      </w:r>
    </w:p>
    <w:p w14:paraId="04B92D9C" w14:textId="77777777" w:rsidR="00B54EEA" w:rsidRPr="003E0CDB" w:rsidRDefault="00B54EEA" w:rsidP="00687DD2">
      <w:pPr>
        <w:pStyle w:val="Paragraphedeliste"/>
        <w:numPr>
          <w:ilvl w:val="0"/>
          <w:numId w:val="47"/>
        </w:numPr>
        <w:spacing w:after="0" w:line="240" w:lineRule="auto"/>
        <w:ind w:left="714" w:hanging="357"/>
        <w:jc w:val="both"/>
        <w:rPr>
          <w:rFonts w:ascii="Arial" w:hAnsi="Arial" w:cs="Arial"/>
        </w:rPr>
      </w:pPr>
      <w:r w:rsidRPr="003E0CDB">
        <w:rPr>
          <w:rFonts w:ascii="Arial" w:hAnsi="Arial" w:cs="Arial"/>
        </w:rPr>
        <w:t>Facilitation financière de la pose de compteurs au niveau de chaque ménage</w:t>
      </w:r>
      <w:r w:rsidR="005969CF">
        <w:rPr>
          <w:rFonts w:ascii="Arial" w:hAnsi="Arial" w:cs="Arial"/>
        </w:rPr>
        <w:t> </w:t>
      </w:r>
      <w:r w:rsidR="003E0CDB">
        <w:rPr>
          <w:rFonts w:ascii="Arial" w:hAnsi="Arial" w:cs="Arial"/>
        </w:rPr>
        <w:t>;</w:t>
      </w:r>
    </w:p>
    <w:p w14:paraId="4F177829" w14:textId="77777777" w:rsidR="00B54EEA" w:rsidRDefault="00B54EEA" w:rsidP="00687DD2">
      <w:pPr>
        <w:pStyle w:val="Paragraphedeliste"/>
        <w:numPr>
          <w:ilvl w:val="0"/>
          <w:numId w:val="47"/>
        </w:numPr>
        <w:spacing w:after="0" w:line="240" w:lineRule="auto"/>
        <w:ind w:left="714" w:hanging="357"/>
        <w:jc w:val="both"/>
        <w:rPr>
          <w:rFonts w:ascii="Arial" w:hAnsi="Arial" w:cs="Arial"/>
        </w:rPr>
      </w:pPr>
      <w:r w:rsidRPr="003E0CDB">
        <w:rPr>
          <w:rFonts w:ascii="Arial" w:hAnsi="Arial" w:cs="Arial"/>
        </w:rPr>
        <w:t>Inclusion de l’amélioration de l’accès à l’eau aux activités du Projet</w:t>
      </w:r>
      <w:r w:rsidR="003E0CDB">
        <w:rPr>
          <w:rFonts w:ascii="Arial" w:hAnsi="Arial" w:cs="Arial"/>
        </w:rPr>
        <w:t>.</w:t>
      </w:r>
    </w:p>
    <w:p w14:paraId="5269A977" w14:textId="77777777" w:rsidR="003E0CDB" w:rsidRPr="00F91FA3" w:rsidRDefault="003E0CDB" w:rsidP="00F91FA3">
      <w:pPr>
        <w:spacing w:after="0" w:line="240" w:lineRule="auto"/>
        <w:jc w:val="both"/>
        <w:rPr>
          <w:rFonts w:ascii="Arial" w:hAnsi="Arial" w:cs="Arial"/>
        </w:rPr>
      </w:pPr>
    </w:p>
    <w:p w14:paraId="3A971BA3" w14:textId="77777777" w:rsidR="004625ED" w:rsidRPr="004625ED" w:rsidRDefault="00CB0989" w:rsidP="0044500E">
      <w:pPr>
        <w:pStyle w:val="TIT3"/>
        <w:numPr>
          <w:ilvl w:val="2"/>
          <w:numId w:val="177"/>
        </w:numPr>
      </w:pPr>
      <w:bookmarkStart w:id="1219" w:name="_Toc124314768"/>
      <w:bookmarkStart w:id="1220" w:name="_Toc124956297"/>
      <w:bookmarkStart w:id="1221" w:name="_Toc125384645"/>
      <w:bookmarkStart w:id="1222" w:name="_Toc125385034"/>
      <w:bookmarkStart w:id="1223" w:name="_Toc127957707"/>
      <w:r>
        <w:t xml:space="preserve">Réunion avec les </w:t>
      </w:r>
      <w:r w:rsidR="004625ED" w:rsidRPr="004625ED">
        <w:t>jeunes</w:t>
      </w:r>
      <w:bookmarkEnd w:id="1219"/>
      <w:bookmarkEnd w:id="1220"/>
      <w:bookmarkEnd w:id="1221"/>
      <w:bookmarkEnd w:id="1222"/>
      <w:bookmarkEnd w:id="1223"/>
      <w:r w:rsidR="004625ED" w:rsidRPr="004625ED">
        <w:t xml:space="preserve"> </w:t>
      </w:r>
    </w:p>
    <w:p w14:paraId="520C1B26" w14:textId="77777777" w:rsidR="006461F2" w:rsidRPr="006461F2" w:rsidRDefault="006461F2" w:rsidP="0044500E">
      <w:pPr>
        <w:pStyle w:val="TIT40"/>
        <w:numPr>
          <w:ilvl w:val="3"/>
          <w:numId w:val="177"/>
        </w:numPr>
        <w:outlineLvl w:val="3"/>
      </w:pPr>
      <w:bookmarkStart w:id="1224" w:name="_Toc124314769"/>
      <w:bookmarkStart w:id="1225" w:name="_Toc124956298"/>
      <w:bookmarkStart w:id="1226" w:name="_Toc125384646"/>
      <w:bookmarkStart w:id="1227" w:name="_Toc125385035"/>
      <w:bookmarkStart w:id="1228" w:name="_Toc127957708"/>
      <w:r w:rsidRPr="006461F2">
        <w:t xml:space="preserve">Déroulement de la réunion </w:t>
      </w:r>
      <w:r>
        <w:t>avec les jeunes</w:t>
      </w:r>
      <w:bookmarkEnd w:id="1224"/>
      <w:bookmarkEnd w:id="1225"/>
      <w:bookmarkEnd w:id="1226"/>
      <w:bookmarkEnd w:id="1227"/>
      <w:bookmarkEnd w:id="1228"/>
    </w:p>
    <w:p w14:paraId="357A5FF7" w14:textId="77777777" w:rsidR="004625ED" w:rsidRDefault="006F3F9E" w:rsidP="0096492E">
      <w:pPr>
        <w:autoSpaceDE w:val="0"/>
        <w:autoSpaceDN w:val="0"/>
        <w:adjustRightInd w:val="0"/>
        <w:jc w:val="both"/>
        <w:rPr>
          <w:rFonts w:ascii="Arial" w:hAnsi="Arial" w:cs="Arial"/>
          <w:szCs w:val="24"/>
        </w:rPr>
      </w:pPr>
      <w:r>
        <w:rPr>
          <w:rFonts w:ascii="Arial" w:hAnsi="Arial" w:cs="Arial"/>
          <w:szCs w:val="24"/>
        </w:rPr>
        <w:t xml:space="preserve">Le tableau suivant montre la date, les communes ainsi que le nombre des jeunes qui ont participé au focus groupes. </w:t>
      </w:r>
    </w:p>
    <w:p w14:paraId="32C0546F" w14:textId="77777777" w:rsidR="00F649C8" w:rsidRPr="00F649C8" w:rsidRDefault="00F649C8" w:rsidP="00F649C8">
      <w:pPr>
        <w:pStyle w:val="Lgende"/>
        <w:jc w:val="center"/>
        <w:rPr>
          <w:sz w:val="20"/>
        </w:rPr>
      </w:pPr>
      <w:bookmarkStart w:id="1229" w:name="_Toc127957884"/>
      <w:r w:rsidRPr="00F649C8">
        <w:rPr>
          <w:sz w:val="20"/>
        </w:rPr>
        <w:t xml:space="preserve">Tableau </w:t>
      </w:r>
      <w:r w:rsidRPr="00F649C8">
        <w:rPr>
          <w:sz w:val="20"/>
        </w:rPr>
        <w:fldChar w:fldCharType="begin"/>
      </w:r>
      <w:r w:rsidRPr="00F649C8">
        <w:rPr>
          <w:sz w:val="20"/>
        </w:rPr>
        <w:instrText xml:space="preserve"> SEQ Tableau \* ARABIC </w:instrText>
      </w:r>
      <w:r w:rsidRPr="00F649C8">
        <w:rPr>
          <w:sz w:val="20"/>
        </w:rPr>
        <w:fldChar w:fldCharType="separate"/>
      </w:r>
      <w:r w:rsidR="005430A1">
        <w:rPr>
          <w:noProof/>
          <w:sz w:val="20"/>
        </w:rPr>
        <w:t>88</w:t>
      </w:r>
      <w:r w:rsidRPr="00F649C8">
        <w:rPr>
          <w:sz w:val="20"/>
        </w:rPr>
        <w:fldChar w:fldCharType="end"/>
      </w:r>
      <w:r w:rsidRPr="00F649C8">
        <w:rPr>
          <w:sz w:val="20"/>
        </w:rPr>
        <w:t xml:space="preserve">. Consultation des jeunes organisées dans </w:t>
      </w:r>
      <w:r>
        <w:rPr>
          <w:sz w:val="20"/>
        </w:rPr>
        <w:t>sites visités</w:t>
      </w:r>
      <w:bookmarkEnd w:id="1229"/>
    </w:p>
    <w:tbl>
      <w:tblPr>
        <w:tblW w:w="8692"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529"/>
        <w:gridCol w:w="2832"/>
        <w:gridCol w:w="1117"/>
        <w:gridCol w:w="1240"/>
        <w:gridCol w:w="1240"/>
        <w:gridCol w:w="883"/>
      </w:tblGrid>
      <w:tr w:rsidR="0063584D" w:rsidRPr="007F78CE" w14:paraId="7AE023BA" w14:textId="77777777" w:rsidTr="007F78CE">
        <w:trPr>
          <w:trHeight w:val="255"/>
          <w:tblHeader/>
        </w:trPr>
        <w:tc>
          <w:tcPr>
            <w:tcW w:w="1529" w:type="dxa"/>
            <w:shd w:val="clear" w:color="auto" w:fill="4F81BD"/>
            <w:noWrap/>
            <w:vAlign w:val="center"/>
            <w:hideMark/>
          </w:tcPr>
          <w:p w14:paraId="1773E7AA" w14:textId="77777777" w:rsidR="0096492E" w:rsidRPr="007F78CE" w:rsidRDefault="0096492E" w:rsidP="007F78CE">
            <w:pPr>
              <w:spacing w:after="0" w:line="240" w:lineRule="auto"/>
              <w:jc w:val="center"/>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Région</w:t>
            </w:r>
          </w:p>
        </w:tc>
        <w:tc>
          <w:tcPr>
            <w:tcW w:w="2832" w:type="dxa"/>
            <w:shd w:val="clear" w:color="auto" w:fill="4F81BD"/>
            <w:noWrap/>
            <w:vAlign w:val="center"/>
            <w:hideMark/>
          </w:tcPr>
          <w:p w14:paraId="548B2738" w14:textId="77777777" w:rsidR="0096492E" w:rsidRPr="007F78CE" w:rsidRDefault="0096492E" w:rsidP="007F78CE">
            <w:pPr>
              <w:spacing w:after="0" w:line="240" w:lineRule="auto"/>
              <w:jc w:val="center"/>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Commune</w:t>
            </w:r>
          </w:p>
        </w:tc>
        <w:tc>
          <w:tcPr>
            <w:tcW w:w="968" w:type="dxa"/>
            <w:shd w:val="clear" w:color="auto" w:fill="4F81BD"/>
            <w:noWrap/>
            <w:vAlign w:val="center"/>
            <w:hideMark/>
          </w:tcPr>
          <w:p w14:paraId="796C6D9A" w14:textId="77777777" w:rsidR="0096492E" w:rsidRPr="007F78CE" w:rsidRDefault="0096492E" w:rsidP="007F78CE">
            <w:pPr>
              <w:spacing w:after="0" w:line="240" w:lineRule="auto"/>
              <w:jc w:val="center"/>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Date</w:t>
            </w:r>
          </w:p>
        </w:tc>
        <w:tc>
          <w:tcPr>
            <w:tcW w:w="1240" w:type="dxa"/>
            <w:shd w:val="clear" w:color="auto" w:fill="4F81BD"/>
            <w:noWrap/>
            <w:vAlign w:val="center"/>
            <w:hideMark/>
          </w:tcPr>
          <w:p w14:paraId="4FB59A1D" w14:textId="77777777" w:rsidR="0096492E" w:rsidRPr="007F78CE" w:rsidRDefault="0096492E" w:rsidP="007F78CE">
            <w:pPr>
              <w:spacing w:after="0" w:line="240" w:lineRule="auto"/>
              <w:jc w:val="center"/>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Nb Hommes</w:t>
            </w:r>
          </w:p>
        </w:tc>
        <w:tc>
          <w:tcPr>
            <w:tcW w:w="1240" w:type="dxa"/>
            <w:shd w:val="clear" w:color="auto" w:fill="4F81BD"/>
            <w:noWrap/>
            <w:vAlign w:val="center"/>
            <w:hideMark/>
          </w:tcPr>
          <w:p w14:paraId="04E63D67" w14:textId="77777777" w:rsidR="0096492E" w:rsidRPr="007F78CE" w:rsidRDefault="0096492E" w:rsidP="007F78CE">
            <w:pPr>
              <w:spacing w:after="0" w:line="240" w:lineRule="auto"/>
              <w:jc w:val="center"/>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Nb femmes</w:t>
            </w:r>
          </w:p>
        </w:tc>
        <w:tc>
          <w:tcPr>
            <w:tcW w:w="883" w:type="dxa"/>
            <w:shd w:val="clear" w:color="auto" w:fill="4F81BD"/>
            <w:noWrap/>
            <w:vAlign w:val="center"/>
            <w:hideMark/>
          </w:tcPr>
          <w:p w14:paraId="0FCE5D5B" w14:textId="77777777" w:rsidR="0096492E" w:rsidRPr="007F78CE" w:rsidRDefault="0096492E" w:rsidP="007F78CE">
            <w:pPr>
              <w:spacing w:after="0" w:line="240" w:lineRule="auto"/>
              <w:jc w:val="center"/>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TOTAL</w:t>
            </w:r>
          </w:p>
        </w:tc>
      </w:tr>
      <w:tr w:rsidR="0063584D" w:rsidRPr="007F78CE" w14:paraId="3811ADEA" w14:textId="77777777" w:rsidTr="007F78CE">
        <w:trPr>
          <w:trHeight w:val="255"/>
        </w:trPr>
        <w:tc>
          <w:tcPr>
            <w:tcW w:w="1529" w:type="dxa"/>
            <w:tcBorders>
              <w:top w:val="single" w:sz="8" w:space="0" w:color="4F81BD"/>
              <w:left w:val="single" w:sz="8" w:space="0" w:color="4F81BD"/>
              <w:bottom w:val="single" w:sz="8" w:space="0" w:color="4F81BD"/>
            </w:tcBorders>
            <w:shd w:val="clear" w:color="auto" w:fill="auto"/>
            <w:noWrap/>
            <w:hideMark/>
          </w:tcPr>
          <w:p w14:paraId="03C79534" w14:textId="77777777" w:rsidR="0096492E" w:rsidRPr="007F78CE" w:rsidRDefault="0096492E"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Menabe</w:t>
            </w:r>
          </w:p>
        </w:tc>
        <w:tc>
          <w:tcPr>
            <w:tcW w:w="2832" w:type="dxa"/>
            <w:tcBorders>
              <w:top w:val="single" w:sz="8" w:space="0" w:color="4F81BD"/>
              <w:bottom w:val="single" w:sz="8" w:space="0" w:color="4F81BD"/>
            </w:tcBorders>
            <w:shd w:val="clear" w:color="auto" w:fill="auto"/>
            <w:noWrap/>
            <w:hideMark/>
          </w:tcPr>
          <w:p w14:paraId="1AB39E78" w14:textId="77777777" w:rsidR="0096492E" w:rsidRPr="007F78CE" w:rsidRDefault="0096492E"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Miandrivazo</w:t>
            </w:r>
          </w:p>
        </w:tc>
        <w:tc>
          <w:tcPr>
            <w:tcW w:w="968" w:type="dxa"/>
            <w:tcBorders>
              <w:top w:val="single" w:sz="8" w:space="0" w:color="4F81BD"/>
              <w:bottom w:val="single" w:sz="8" w:space="0" w:color="4F81BD"/>
            </w:tcBorders>
            <w:shd w:val="clear" w:color="auto" w:fill="auto"/>
            <w:noWrap/>
            <w:hideMark/>
          </w:tcPr>
          <w:p w14:paraId="77D32C5E"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17/12/2022</w:t>
            </w:r>
          </w:p>
        </w:tc>
        <w:tc>
          <w:tcPr>
            <w:tcW w:w="1240" w:type="dxa"/>
            <w:tcBorders>
              <w:top w:val="single" w:sz="8" w:space="0" w:color="4F81BD"/>
              <w:bottom w:val="single" w:sz="8" w:space="0" w:color="4F81BD"/>
            </w:tcBorders>
            <w:shd w:val="clear" w:color="auto" w:fill="auto"/>
            <w:noWrap/>
            <w:hideMark/>
          </w:tcPr>
          <w:p w14:paraId="7B5A1CFD"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8</w:t>
            </w:r>
          </w:p>
        </w:tc>
        <w:tc>
          <w:tcPr>
            <w:tcW w:w="1240" w:type="dxa"/>
            <w:tcBorders>
              <w:top w:val="single" w:sz="8" w:space="0" w:color="4F81BD"/>
              <w:bottom w:val="single" w:sz="8" w:space="0" w:color="4F81BD"/>
            </w:tcBorders>
            <w:shd w:val="clear" w:color="auto" w:fill="auto"/>
            <w:noWrap/>
            <w:hideMark/>
          </w:tcPr>
          <w:p w14:paraId="4B170614"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w:t>
            </w:r>
          </w:p>
        </w:tc>
        <w:tc>
          <w:tcPr>
            <w:tcW w:w="883" w:type="dxa"/>
            <w:tcBorders>
              <w:top w:val="single" w:sz="8" w:space="0" w:color="4F81BD"/>
              <w:bottom w:val="single" w:sz="8" w:space="0" w:color="4F81BD"/>
              <w:right w:val="single" w:sz="8" w:space="0" w:color="4F81BD"/>
            </w:tcBorders>
            <w:shd w:val="clear" w:color="auto" w:fill="auto"/>
            <w:noWrap/>
            <w:hideMark/>
          </w:tcPr>
          <w:p w14:paraId="4D5103F5"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9</w:t>
            </w:r>
          </w:p>
        </w:tc>
      </w:tr>
      <w:tr w:rsidR="0063584D" w:rsidRPr="007F78CE" w14:paraId="2A2450E6" w14:textId="77777777" w:rsidTr="007F78CE">
        <w:trPr>
          <w:trHeight w:val="255"/>
        </w:trPr>
        <w:tc>
          <w:tcPr>
            <w:tcW w:w="1529" w:type="dxa"/>
            <w:shd w:val="clear" w:color="auto" w:fill="auto"/>
            <w:noWrap/>
            <w:hideMark/>
          </w:tcPr>
          <w:p w14:paraId="1949B0AB" w14:textId="77777777" w:rsidR="0096492E" w:rsidRPr="007F78CE" w:rsidRDefault="0096492E"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Menabe</w:t>
            </w:r>
          </w:p>
        </w:tc>
        <w:tc>
          <w:tcPr>
            <w:tcW w:w="2832" w:type="dxa"/>
            <w:shd w:val="clear" w:color="auto" w:fill="auto"/>
            <w:noWrap/>
            <w:hideMark/>
          </w:tcPr>
          <w:p w14:paraId="3B0B4E9D" w14:textId="77777777" w:rsidR="0096492E" w:rsidRPr="007F78CE" w:rsidRDefault="0096492E"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Mahabo</w:t>
            </w:r>
          </w:p>
        </w:tc>
        <w:tc>
          <w:tcPr>
            <w:tcW w:w="968" w:type="dxa"/>
            <w:shd w:val="clear" w:color="auto" w:fill="auto"/>
            <w:noWrap/>
            <w:hideMark/>
          </w:tcPr>
          <w:p w14:paraId="3BD3A33E"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19/12/2022</w:t>
            </w:r>
          </w:p>
        </w:tc>
        <w:tc>
          <w:tcPr>
            <w:tcW w:w="1240" w:type="dxa"/>
            <w:shd w:val="clear" w:color="auto" w:fill="auto"/>
            <w:noWrap/>
            <w:hideMark/>
          </w:tcPr>
          <w:p w14:paraId="412A62EE"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3</w:t>
            </w:r>
          </w:p>
        </w:tc>
        <w:tc>
          <w:tcPr>
            <w:tcW w:w="1240" w:type="dxa"/>
            <w:shd w:val="clear" w:color="auto" w:fill="auto"/>
            <w:noWrap/>
            <w:hideMark/>
          </w:tcPr>
          <w:p w14:paraId="12222366"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4</w:t>
            </w:r>
          </w:p>
        </w:tc>
        <w:tc>
          <w:tcPr>
            <w:tcW w:w="883" w:type="dxa"/>
            <w:shd w:val="clear" w:color="auto" w:fill="auto"/>
            <w:noWrap/>
            <w:hideMark/>
          </w:tcPr>
          <w:p w14:paraId="42B4B8DA"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7</w:t>
            </w:r>
          </w:p>
        </w:tc>
      </w:tr>
      <w:tr w:rsidR="0063584D" w:rsidRPr="007F78CE" w14:paraId="7D362899" w14:textId="77777777" w:rsidTr="007F78CE">
        <w:trPr>
          <w:trHeight w:val="255"/>
        </w:trPr>
        <w:tc>
          <w:tcPr>
            <w:tcW w:w="1529" w:type="dxa"/>
            <w:tcBorders>
              <w:top w:val="single" w:sz="8" w:space="0" w:color="4F81BD"/>
              <w:left w:val="single" w:sz="8" w:space="0" w:color="4F81BD"/>
              <w:bottom w:val="single" w:sz="8" w:space="0" w:color="4F81BD"/>
            </w:tcBorders>
            <w:shd w:val="clear" w:color="auto" w:fill="auto"/>
            <w:noWrap/>
            <w:hideMark/>
          </w:tcPr>
          <w:p w14:paraId="4E4048E4" w14:textId="77777777" w:rsidR="0096492E" w:rsidRPr="007F78CE" w:rsidRDefault="0096492E"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Fitovinany</w:t>
            </w:r>
          </w:p>
        </w:tc>
        <w:tc>
          <w:tcPr>
            <w:tcW w:w="2832" w:type="dxa"/>
            <w:tcBorders>
              <w:top w:val="single" w:sz="8" w:space="0" w:color="4F81BD"/>
              <w:bottom w:val="single" w:sz="8" w:space="0" w:color="4F81BD"/>
            </w:tcBorders>
            <w:shd w:val="clear" w:color="auto" w:fill="auto"/>
            <w:noWrap/>
            <w:hideMark/>
          </w:tcPr>
          <w:p w14:paraId="13393BA8" w14:textId="77777777" w:rsidR="0096492E" w:rsidRPr="007F78CE" w:rsidRDefault="0096492E"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Vohitsindry</w:t>
            </w:r>
          </w:p>
        </w:tc>
        <w:tc>
          <w:tcPr>
            <w:tcW w:w="968" w:type="dxa"/>
            <w:tcBorders>
              <w:top w:val="single" w:sz="8" w:space="0" w:color="4F81BD"/>
              <w:bottom w:val="single" w:sz="8" w:space="0" w:color="4F81BD"/>
            </w:tcBorders>
            <w:shd w:val="clear" w:color="auto" w:fill="auto"/>
            <w:noWrap/>
            <w:hideMark/>
          </w:tcPr>
          <w:p w14:paraId="15B253EE"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17/12/2022</w:t>
            </w:r>
          </w:p>
        </w:tc>
        <w:tc>
          <w:tcPr>
            <w:tcW w:w="1240" w:type="dxa"/>
            <w:tcBorders>
              <w:top w:val="single" w:sz="8" w:space="0" w:color="4F81BD"/>
              <w:bottom w:val="single" w:sz="8" w:space="0" w:color="4F81BD"/>
            </w:tcBorders>
            <w:shd w:val="clear" w:color="auto" w:fill="auto"/>
            <w:noWrap/>
            <w:hideMark/>
          </w:tcPr>
          <w:p w14:paraId="754A9844"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15</w:t>
            </w:r>
          </w:p>
        </w:tc>
        <w:tc>
          <w:tcPr>
            <w:tcW w:w="1240" w:type="dxa"/>
            <w:tcBorders>
              <w:top w:val="single" w:sz="8" w:space="0" w:color="4F81BD"/>
              <w:bottom w:val="single" w:sz="8" w:space="0" w:color="4F81BD"/>
            </w:tcBorders>
            <w:shd w:val="clear" w:color="auto" w:fill="auto"/>
            <w:noWrap/>
            <w:hideMark/>
          </w:tcPr>
          <w:p w14:paraId="49C05B7E"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0</w:t>
            </w:r>
          </w:p>
        </w:tc>
        <w:tc>
          <w:tcPr>
            <w:tcW w:w="883" w:type="dxa"/>
            <w:tcBorders>
              <w:top w:val="single" w:sz="8" w:space="0" w:color="4F81BD"/>
              <w:bottom w:val="single" w:sz="8" w:space="0" w:color="4F81BD"/>
              <w:right w:val="single" w:sz="8" w:space="0" w:color="4F81BD"/>
            </w:tcBorders>
            <w:shd w:val="clear" w:color="auto" w:fill="auto"/>
            <w:noWrap/>
            <w:hideMark/>
          </w:tcPr>
          <w:p w14:paraId="7382D519"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15</w:t>
            </w:r>
          </w:p>
        </w:tc>
      </w:tr>
      <w:tr w:rsidR="0063584D" w:rsidRPr="007F78CE" w14:paraId="79D1784B" w14:textId="77777777" w:rsidTr="007F78CE">
        <w:trPr>
          <w:trHeight w:val="255"/>
        </w:trPr>
        <w:tc>
          <w:tcPr>
            <w:tcW w:w="1529" w:type="dxa"/>
            <w:shd w:val="clear" w:color="auto" w:fill="auto"/>
            <w:noWrap/>
            <w:hideMark/>
          </w:tcPr>
          <w:p w14:paraId="21C073FD" w14:textId="77777777" w:rsidR="0096492E" w:rsidRPr="007F78CE" w:rsidRDefault="0096492E"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Fitovinany</w:t>
            </w:r>
          </w:p>
        </w:tc>
        <w:tc>
          <w:tcPr>
            <w:tcW w:w="2832" w:type="dxa"/>
            <w:shd w:val="clear" w:color="auto" w:fill="auto"/>
            <w:noWrap/>
            <w:hideMark/>
          </w:tcPr>
          <w:p w14:paraId="6F2E74DE" w14:textId="77777777" w:rsidR="0096492E" w:rsidRPr="007F78CE" w:rsidRDefault="0096492E"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Ambila</w:t>
            </w:r>
          </w:p>
        </w:tc>
        <w:tc>
          <w:tcPr>
            <w:tcW w:w="968" w:type="dxa"/>
            <w:shd w:val="clear" w:color="auto" w:fill="auto"/>
            <w:noWrap/>
            <w:hideMark/>
          </w:tcPr>
          <w:p w14:paraId="64465F2F"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20/12/2022</w:t>
            </w:r>
          </w:p>
        </w:tc>
        <w:tc>
          <w:tcPr>
            <w:tcW w:w="1240" w:type="dxa"/>
            <w:shd w:val="clear" w:color="auto" w:fill="auto"/>
            <w:noWrap/>
            <w:hideMark/>
          </w:tcPr>
          <w:p w14:paraId="7ABE75B2"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12</w:t>
            </w:r>
          </w:p>
        </w:tc>
        <w:tc>
          <w:tcPr>
            <w:tcW w:w="1240" w:type="dxa"/>
            <w:shd w:val="clear" w:color="auto" w:fill="auto"/>
            <w:noWrap/>
            <w:hideMark/>
          </w:tcPr>
          <w:p w14:paraId="77B635E1"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w:t>
            </w:r>
          </w:p>
        </w:tc>
        <w:tc>
          <w:tcPr>
            <w:tcW w:w="883" w:type="dxa"/>
            <w:shd w:val="clear" w:color="auto" w:fill="auto"/>
            <w:noWrap/>
            <w:hideMark/>
          </w:tcPr>
          <w:p w14:paraId="243E01A2"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13</w:t>
            </w:r>
          </w:p>
        </w:tc>
      </w:tr>
      <w:tr w:rsidR="0063584D" w:rsidRPr="007F78CE" w14:paraId="2A6DD6A5" w14:textId="77777777" w:rsidTr="007F78CE">
        <w:trPr>
          <w:trHeight w:val="255"/>
        </w:trPr>
        <w:tc>
          <w:tcPr>
            <w:tcW w:w="1529" w:type="dxa"/>
            <w:tcBorders>
              <w:top w:val="single" w:sz="8" w:space="0" w:color="4F81BD"/>
              <w:left w:val="single" w:sz="8" w:space="0" w:color="4F81BD"/>
              <w:bottom w:val="single" w:sz="8" w:space="0" w:color="4F81BD"/>
            </w:tcBorders>
            <w:shd w:val="clear" w:color="auto" w:fill="auto"/>
            <w:noWrap/>
            <w:hideMark/>
          </w:tcPr>
          <w:p w14:paraId="7400CA48" w14:textId="77777777" w:rsidR="0096492E" w:rsidRPr="007F78CE" w:rsidRDefault="0096492E"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Fitovinany</w:t>
            </w:r>
          </w:p>
        </w:tc>
        <w:tc>
          <w:tcPr>
            <w:tcW w:w="2832" w:type="dxa"/>
            <w:tcBorders>
              <w:top w:val="single" w:sz="8" w:space="0" w:color="4F81BD"/>
              <w:bottom w:val="single" w:sz="8" w:space="0" w:color="4F81BD"/>
            </w:tcBorders>
            <w:shd w:val="clear" w:color="auto" w:fill="auto"/>
            <w:noWrap/>
            <w:hideMark/>
          </w:tcPr>
          <w:p w14:paraId="5D5D21DE" w14:textId="77777777" w:rsidR="0096492E" w:rsidRPr="007F78CE" w:rsidRDefault="0096492E"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Nato</w:t>
            </w:r>
          </w:p>
        </w:tc>
        <w:tc>
          <w:tcPr>
            <w:tcW w:w="968" w:type="dxa"/>
            <w:tcBorders>
              <w:top w:val="single" w:sz="8" w:space="0" w:color="4F81BD"/>
              <w:bottom w:val="single" w:sz="8" w:space="0" w:color="4F81BD"/>
            </w:tcBorders>
            <w:shd w:val="clear" w:color="auto" w:fill="auto"/>
            <w:noWrap/>
            <w:hideMark/>
          </w:tcPr>
          <w:p w14:paraId="58E92946"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18/12/2022</w:t>
            </w:r>
          </w:p>
        </w:tc>
        <w:tc>
          <w:tcPr>
            <w:tcW w:w="1240" w:type="dxa"/>
            <w:tcBorders>
              <w:top w:val="single" w:sz="8" w:space="0" w:color="4F81BD"/>
              <w:bottom w:val="single" w:sz="8" w:space="0" w:color="4F81BD"/>
            </w:tcBorders>
            <w:shd w:val="clear" w:color="auto" w:fill="auto"/>
            <w:noWrap/>
            <w:hideMark/>
          </w:tcPr>
          <w:p w14:paraId="03E1444A"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7</w:t>
            </w:r>
          </w:p>
        </w:tc>
        <w:tc>
          <w:tcPr>
            <w:tcW w:w="1240" w:type="dxa"/>
            <w:tcBorders>
              <w:top w:val="single" w:sz="8" w:space="0" w:color="4F81BD"/>
              <w:bottom w:val="single" w:sz="8" w:space="0" w:color="4F81BD"/>
            </w:tcBorders>
            <w:shd w:val="clear" w:color="auto" w:fill="auto"/>
            <w:noWrap/>
            <w:hideMark/>
          </w:tcPr>
          <w:p w14:paraId="740586E6"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5</w:t>
            </w:r>
          </w:p>
        </w:tc>
        <w:tc>
          <w:tcPr>
            <w:tcW w:w="883" w:type="dxa"/>
            <w:tcBorders>
              <w:top w:val="single" w:sz="8" w:space="0" w:color="4F81BD"/>
              <w:bottom w:val="single" w:sz="8" w:space="0" w:color="4F81BD"/>
              <w:right w:val="single" w:sz="8" w:space="0" w:color="4F81BD"/>
            </w:tcBorders>
            <w:shd w:val="clear" w:color="auto" w:fill="auto"/>
            <w:noWrap/>
            <w:hideMark/>
          </w:tcPr>
          <w:p w14:paraId="1315125B"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12</w:t>
            </w:r>
          </w:p>
        </w:tc>
      </w:tr>
      <w:tr w:rsidR="0063584D" w:rsidRPr="007F78CE" w14:paraId="3EA8B5CB" w14:textId="77777777" w:rsidTr="007F78CE">
        <w:trPr>
          <w:trHeight w:val="255"/>
        </w:trPr>
        <w:tc>
          <w:tcPr>
            <w:tcW w:w="1529" w:type="dxa"/>
            <w:shd w:val="clear" w:color="auto" w:fill="auto"/>
            <w:noWrap/>
            <w:hideMark/>
          </w:tcPr>
          <w:p w14:paraId="52D04A83" w14:textId="77777777" w:rsidR="0096492E" w:rsidRPr="007F78CE" w:rsidRDefault="0096492E"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Boeny</w:t>
            </w:r>
          </w:p>
        </w:tc>
        <w:tc>
          <w:tcPr>
            <w:tcW w:w="2832" w:type="dxa"/>
            <w:shd w:val="clear" w:color="auto" w:fill="auto"/>
            <w:noWrap/>
            <w:hideMark/>
          </w:tcPr>
          <w:p w14:paraId="1BC763E0" w14:textId="77777777" w:rsidR="0096492E" w:rsidRPr="007F78CE" w:rsidRDefault="0096492E"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Ambatoboeny</w:t>
            </w:r>
          </w:p>
        </w:tc>
        <w:tc>
          <w:tcPr>
            <w:tcW w:w="968" w:type="dxa"/>
            <w:shd w:val="clear" w:color="auto" w:fill="auto"/>
            <w:noWrap/>
            <w:hideMark/>
          </w:tcPr>
          <w:p w14:paraId="4B4F4B83"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17/12/2022</w:t>
            </w:r>
          </w:p>
        </w:tc>
        <w:tc>
          <w:tcPr>
            <w:tcW w:w="1240" w:type="dxa"/>
            <w:shd w:val="clear" w:color="auto" w:fill="auto"/>
            <w:noWrap/>
            <w:hideMark/>
          </w:tcPr>
          <w:p w14:paraId="3C10B0D7"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13</w:t>
            </w:r>
          </w:p>
        </w:tc>
        <w:tc>
          <w:tcPr>
            <w:tcW w:w="1240" w:type="dxa"/>
            <w:shd w:val="clear" w:color="auto" w:fill="auto"/>
            <w:noWrap/>
            <w:hideMark/>
          </w:tcPr>
          <w:p w14:paraId="675CF02F"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2</w:t>
            </w:r>
          </w:p>
        </w:tc>
        <w:tc>
          <w:tcPr>
            <w:tcW w:w="883" w:type="dxa"/>
            <w:shd w:val="clear" w:color="auto" w:fill="auto"/>
            <w:noWrap/>
            <w:hideMark/>
          </w:tcPr>
          <w:p w14:paraId="7377313C"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15</w:t>
            </w:r>
          </w:p>
        </w:tc>
      </w:tr>
      <w:tr w:rsidR="0063584D" w:rsidRPr="007F78CE" w14:paraId="1A19AB2C" w14:textId="77777777" w:rsidTr="007F78CE">
        <w:trPr>
          <w:trHeight w:val="255"/>
        </w:trPr>
        <w:tc>
          <w:tcPr>
            <w:tcW w:w="1529" w:type="dxa"/>
            <w:tcBorders>
              <w:top w:val="single" w:sz="8" w:space="0" w:color="4F81BD"/>
              <w:left w:val="single" w:sz="8" w:space="0" w:color="4F81BD"/>
              <w:bottom w:val="single" w:sz="8" w:space="0" w:color="4F81BD"/>
            </w:tcBorders>
            <w:shd w:val="clear" w:color="auto" w:fill="auto"/>
            <w:noWrap/>
            <w:hideMark/>
          </w:tcPr>
          <w:p w14:paraId="69531545" w14:textId="77777777" w:rsidR="0096492E" w:rsidRPr="007F78CE" w:rsidRDefault="0096492E"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Boeny</w:t>
            </w:r>
          </w:p>
        </w:tc>
        <w:tc>
          <w:tcPr>
            <w:tcW w:w="2832" w:type="dxa"/>
            <w:tcBorders>
              <w:top w:val="single" w:sz="8" w:space="0" w:color="4F81BD"/>
              <w:bottom w:val="single" w:sz="8" w:space="0" w:color="4F81BD"/>
            </w:tcBorders>
            <w:shd w:val="clear" w:color="auto" w:fill="auto"/>
            <w:noWrap/>
            <w:hideMark/>
          </w:tcPr>
          <w:p w14:paraId="3363E0D1" w14:textId="77777777" w:rsidR="0096492E" w:rsidRPr="007F78CE" w:rsidRDefault="0096492E"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Andranofasika</w:t>
            </w:r>
          </w:p>
        </w:tc>
        <w:tc>
          <w:tcPr>
            <w:tcW w:w="968" w:type="dxa"/>
            <w:tcBorders>
              <w:top w:val="single" w:sz="8" w:space="0" w:color="4F81BD"/>
              <w:bottom w:val="single" w:sz="8" w:space="0" w:color="4F81BD"/>
            </w:tcBorders>
            <w:shd w:val="clear" w:color="auto" w:fill="auto"/>
            <w:noWrap/>
            <w:hideMark/>
          </w:tcPr>
          <w:p w14:paraId="19B48938"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18/12/2022</w:t>
            </w:r>
          </w:p>
        </w:tc>
        <w:tc>
          <w:tcPr>
            <w:tcW w:w="1240" w:type="dxa"/>
            <w:tcBorders>
              <w:top w:val="single" w:sz="8" w:space="0" w:color="4F81BD"/>
              <w:bottom w:val="single" w:sz="8" w:space="0" w:color="4F81BD"/>
            </w:tcBorders>
            <w:shd w:val="clear" w:color="auto" w:fill="auto"/>
            <w:noWrap/>
            <w:hideMark/>
          </w:tcPr>
          <w:p w14:paraId="3E00F446"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4</w:t>
            </w:r>
          </w:p>
        </w:tc>
        <w:tc>
          <w:tcPr>
            <w:tcW w:w="1240" w:type="dxa"/>
            <w:tcBorders>
              <w:top w:val="single" w:sz="8" w:space="0" w:color="4F81BD"/>
              <w:bottom w:val="single" w:sz="8" w:space="0" w:color="4F81BD"/>
            </w:tcBorders>
            <w:shd w:val="clear" w:color="auto" w:fill="auto"/>
            <w:noWrap/>
            <w:hideMark/>
          </w:tcPr>
          <w:p w14:paraId="45A7ED7B"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3</w:t>
            </w:r>
          </w:p>
        </w:tc>
        <w:tc>
          <w:tcPr>
            <w:tcW w:w="883" w:type="dxa"/>
            <w:tcBorders>
              <w:top w:val="single" w:sz="8" w:space="0" w:color="4F81BD"/>
              <w:bottom w:val="single" w:sz="8" w:space="0" w:color="4F81BD"/>
              <w:right w:val="single" w:sz="8" w:space="0" w:color="4F81BD"/>
            </w:tcBorders>
            <w:shd w:val="clear" w:color="auto" w:fill="auto"/>
            <w:noWrap/>
            <w:hideMark/>
          </w:tcPr>
          <w:p w14:paraId="564E6F88"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7</w:t>
            </w:r>
          </w:p>
        </w:tc>
      </w:tr>
      <w:tr w:rsidR="0063584D" w:rsidRPr="007F78CE" w14:paraId="33576FC9" w14:textId="77777777" w:rsidTr="007F78CE">
        <w:trPr>
          <w:trHeight w:val="255"/>
        </w:trPr>
        <w:tc>
          <w:tcPr>
            <w:tcW w:w="1529" w:type="dxa"/>
            <w:shd w:val="clear" w:color="auto" w:fill="auto"/>
            <w:noWrap/>
            <w:hideMark/>
          </w:tcPr>
          <w:p w14:paraId="65C866A3" w14:textId="77777777" w:rsidR="0096492E" w:rsidRPr="007F78CE" w:rsidRDefault="0096492E"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Boeny</w:t>
            </w:r>
          </w:p>
        </w:tc>
        <w:tc>
          <w:tcPr>
            <w:tcW w:w="2832" w:type="dxa"/>
            <w:shd w:val="clear" w:color="auto" w:fill="auto"/>
            <w:noWrap/>
            <w:hideMark/>
          </w:tcPr>
          <w:p w14:paraId="54166922" w14:textId="77777777" w:rsidR="0096492E" w:rsidRPr="007F78CE" w:rsidRDefault="0096492E"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Marosakoa</w:t>
            </w:r>
          </w:p>
        </w:tc>
        <w:tc>
          <w:tcPr>
            <w:tcW w:w="968" w:type="dxa"/>
            <w:shd w:val="clear" w:color="auto" w:fill="auto"/>
            <w:noWrap/>
            <w:hideMark/>
          </w:tcPr>
          <w:p w14:paraId="7ACC2918"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19/12/2022</w:t>
            </w:r>
          </w:p>
        </w:tc>
        <w:tc>
          <w:tcPr>
            <w:tcW w:w="1240" w:type="dxa"/>
            <w:shd w:val="clear" w:color="auto" w:fill="auto"/>
            <w:noWrap/>
            <w:hideMark/>
          </w:tcPr>
          <w:p w14:paraId="05518591"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8</w:t>
            </w:r>
          </w:p>
        </w:tc>
        <w:tc>
          <w:tcPr>
            <w:tcW w:w="1240" w:type="dxa"/>
            <w:shd w:val="clear" w:color="auto" w:fill="auto"/>
            <w:noWrap/>
            <w:hideMark/>
          </w:tcPr>
          <w:p w14:paraId="237DCB4B"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0</w:t>
            </w:r>
          </w:p>
        </w:tc>
        <w:tc>
          <w:tcPr>
            <w:tcW w:w="883" w:type="dxa"/>
            <w:shd w:val="clear" w:color="auto" w:fill="auto"/>
            <w:noWrap/>
            <w:hideMark/>
          </w:tcPr>
          <w:p w14:paraId="2BECB7E4"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8</w:t>
            </w:r>
          </w:p>
        </w:tc>
      </w:tr>
      <w:tr w:rsidR="0063584D" w:rsidRPr="007F78CE" w14:paraId="200837BD" w14:textId="77777777" w:rsidTr="007F78CE">
        <w:trPr>
          <w:trHeight w:val="255"/>
        </w:trPr>
        <w:tc>
          <w:tcPr>
            <w:tcW w:w="1529" w:type="dxa"/>
            <w:tcBorders>
              <w:top w:val="single" w:sz="8" w:space="0" w:color="4F81BD"/>
              <w:left w:val="single" w:sz="8" w:space="0" w:color="4F81BD"/>
              <w:bottom w:val="single" w:sz="8" w:space="0" w:color="4F81BD"/>
            </w:tcBorders>
            <w:shd w:val="clear" w:color="auto" w:fill="auto"/>
            <w:noWrap/>
            <w:hideMark/>
          </w:tcPr>
          <w:p w14:paraId="3C683036" w14:textId="77777777" w:rsidR="0096492E" w:rsidRPr="007F78CE" w:rsidRDefault="0096492E" w:rsidP="007F78CE">
            <w:pPr>
              <w:spacing w:after="0" w:line="240" w:lineRule="auto"/>
              <w:rPr>
                <w:rFonts w:ascii="Arial" w:eastAsia="Times New Roman" w:hAnsi="Arial" w:cs="Arial"/>
                <w:b/>
                <w:bCs/>
                <w:color w:val="000000"/>
                <w:sz w:val="18"/>
                <w:szCs w:val="18"/>
                <w:lang w:eastAsia="fr-FR"/>
              </w:rPr>
            </w:pPr>
            <w:r w:rsidRPr="005D6D41">
              <w:rPr>
                <w:rFonts w:ascii="Arial" w:eastAsia="Times New Roman" w:hAnsi="Arial" w:cs="Arial"/>
                <w:b/>
                <w:color w:val="000000"/>
                <w:sz w:val="18"/>
                <w:szCs w:val="18"/>
                <w:lang w:eastAsia="fr-FR"/>
              </w:rPr>
              <w:t>Bongolava</w:t>
            </w:r>
          </w:p>
        </w:tc>
        <w:tc>
          <w:tcPr>
            <w:tcW w:w="2832" w:type="dxa"/>
            <w:tcBorders>
              <w:top w:val="single" w:sz="8" w:space="0" w:color="4F81BD"/>
              <w:bottom w:val="single" w:sz="8" w:space="0" w:color="4F81BD"/>
            </w:tcBorders>
            <w:shd w:val="clear" w:color="auto" w:fill="auto"/>
            <w:noWrap/>
            <w:hideMark/>
          </w:tcPr>
          <w:p w14:paraId="040E5852" w14:textId="77777777" w:rsidR="0096492E" w:rsidRPr="007F78CE" w:rsidRDefault="0096492E"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Tsinjoarivo Imanga</w:t>
            </w:r>
          </w:p>
        </w:tc>
        <w:tc>
          <w:tcPr>
            <w:tcW w:w="968" w:type="dxa"/>
            <w:tcBorders>
              <w:top w:val="single" w:sz="8" w:space="0" w:color="4F81BD"/>
              <w:bottom w:val="single" w:sz="8" w:space="0" w:color="4F81BD"/>
            </w:tcBorders>
            <w:shd w:val="clear" w:color="auto" w:fill="auto"/>
            <w:noWrap/>
            <w:hideMark/>
          </w:tcPr>
          <w:p w14:paraId="355EE6F4"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18/12/2022</w:t>
            </w:r>
          </w:p>
        </w:tc>
        <w:tc>
          <w:tcPr>
            <w:tcW w:w="1240" w:type="dxa"/>
            <w:tcBorders>
              <w:top w:val="single" w:sz="8" w:space="0" w:color="4F81BD"/>
              <w:bottom w:val="single" w:sz="8" w:space="0" w:color="4F81BD"/>
            </w:tcBorders>
            <w:shd w:val="clear" w:color="auto" w:fill="auto"/>
            <w:noWrap/>
            <w:hideMark/>
          </w:tcPr>
          <w:p w14:paraId="14CEFC14"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24</w:t>
            </w:r>
          </w:p>
        </w:tc>
        <w:tc>
          <w:tcPr>
            <w:tcW w:w="1240" w:type="dxa"/>
            <w:tcBorders>
              <w:top w:val="single" w:sz="8" w:space="0" w:color="4F81BD"/>
              <w:bottom w:val="single" w:sz="8" w:space="0" w:color="4F81BD"/>
            </w:tcBorders>
            <w:shd w:val="clear" w:color="auto" w:fill="auto"/>
            <w:noWrap/>
            <w:hideMark/>
          </w:tcPr>
          <w:p w14:paraId="63A95225"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0</w:t>
            </w:r>
          </w:p>
        </w:tc>
        <w:tc>
          <w:tcPr>
            <w:tcW w:w="883" w:type="dxa"/>
            <w:tcBorders>
              <w:top w:val="single" w:sz="8" w:space="0" w:color="4F81BD"/>
              <w:bottom w:val="single" w:sz="8" w:space="0" w:color="4F81BD"/>
              <w:right w:val="single" w:sz="8" w:space="0" w:color="4F81BD"/>
            </w:tcBorders>
            <w:shd w:val="clear" w:color="auto" w:fill="auto"/>
            <w:noWrap/>
            <w:hideMark/>
          </w:tcPr>
          <w:p w14:paraId="71C14F32"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24</w:t>
            </w:r>
          </w:p>
        </w:tc>
      </w:tr>
      <w:tr w:rsidR="0063584D" w:rsidRPr="007F78CE" w14:paraId="38513531" w14:textId="77777777" w:rsidTr="007F78CE">
        <w:trPr>
          <w:trHeight w:val="255"/>
        </w:trPr>
        <w:tc>
          <w:tcPr>
            <w:tcW w:w="1529" w:type="dxa"/>
            <w:shd w:val="clear" w:color="auto" w:fill="auto"/>
            <w:noWrap/>
            <w:hideMark/>
          </w:tcPr>
          <w:p w14:paraId="764F09D3" w14:textId="77777777" w:rsidR="0096492E" w:rsidRPr="007F78CE" w:rsidRDefault="0096492E" w:rsidP="007F78CE">
            <w:pPr>
              <w:spacing w:after="0" w:line="240" w:lineRule="auto"/>
              <w:rPr>
                <w:rFonts w:ascii="Arial" w:eastAsia="Times New Roman" w:hAnsi="Arial" w:cs="Arial"/>
                <w:b/>
                <w:bCs/>
                <w:color w:val="000000"/>
                <w:sz w:val="18"/>
                <w:szCs w:val="18"/>
                <w:lang w:eastAsia="fr-FR"/>
              </w:rPr>
            </w:pPr>
            <w:r w:rsidRPr="005D6D41">
              <w:rPr>
                <w:rFonts w:ascii="Arial" w:eastAsia="Times New Roman" w:hAnsi="Arial" w:cs="Arial"/>
                <w:b/>
                <w:color w:val="000000"/>
                <w:sz w:val="18"/>
                <w:szCs w:val="18"/>
                <w:lang w:eastAsia="fr-FR"/>
              </w:rPr>
              <w:t>Bongolava</w:t>
            </w:r>
          </w:p>
        </w:tc>
        <w:tc>
          <w:tcPr>
            <w:tcW w:w="2832" w:type="dxa"/>
            <w:shd w:val="clear" w:color="auto" w:fill="auto"/>
            <w:noWrap/>
            <w:hideMark/>
          </w:tcPr>
          <w:p w14:paraId="5138DE62" w14:textId="77777777" w:rsidR="0096492E" w:rsidRPr="007F78CE" w:rsidRDefault="0096492E"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Tsiroanomandidy Fihaonana</w:t>
            </w:r>
          </w:p>
        </w:tc>
        <w:tc>
          <w:tcPr>
            <w:tcW w:w="968" w:type="dxa"/>
            <w:shd w:val="clear" w:color="auto" w:fill="auto"/>
            <w:noWrap/>
            <w:hideMark/>
          </w:tcPr>
          <w:p w14:paraId="0DB843D3"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19/12/2022</w:t>
            </w:r>
          </w:p>
        </w:tc>
        <w:tc>
          <w:tcPr>
            <w:tcW w:w="1240" w:type="dxa"/>
            <w:shd w:val="clear" w:color="auto" w:fill="auto"/>
            <w:noWrap/>
            <w:hideMark/>
          </w:tcPr>
          <w:p w14:paraId="710EB08B"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11</w:t>
            </w:r>
          </w:p>
        </w:tc>
        <w:tc>
          <w:tcPr>
            <w:tcW w:w="1240" w:type="dxa"/>
            <w:shd w:val="clear" w:color="auto" w:fill="auto"/>
            <w:noWrap/>
            <w:hideMark/>
          </w:tcPr>
          <w:p w14:paraId="5B97BBDB"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11</w:t>
            </w:r>
          </w:p>
        </w:tc>
        <w:tc>
          <w:tcPr>
            <w:tcW w:w="883" w:type="dxa"/>
            <w:shd w:val="clear" w:color="auto" w:fill="auto"/>
            <w:noWrap/>
            <w:hideMark/>
          </w:tcPr>
          <w:p w14:paraId="670EA808"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22</w:t>
            </w:r>
          </w:p>
        </w:tc>
      </w:tr>
      <w:tr w:rsidR="0063584D" w:rsidRPr="007F78CE" w14:paraId="6A014DC6" w14:textId="77777777" w:rsidTr="007F78CE">
        <w:trPr>
          <w:trHeight w:val="255"/>
        </w:trPr>
        <w:tc>
          <w:tcPr>
            <w:tcW w:w="1529" w:type="dxa"/>
            <w:tcBorders>
              <w:top w:val="single" w:sz="8" w:space="0" w:color="4F81BD"/>
              <w:left w:val="single" w:sz="8" w:space="0" w:color="4F81BD"/>
              <w:bottom w:val="single" w:sz="8" w:space="0" w:color="4F81BD"/>
            </w:tcBorders>
            <w:shd w:val="clear" w:color="auto" w:fill="auto"/>
            <w:noWrap/>
            <w:hideMark/>
          </w:tcPr>
          <w:p w14:paraId="1E725D10" w14:textId="77777777" w:rsidR="0096492E" w:rsidRPr="007F78CE" w:rsidRDefault="0096492E" w:rsidP="007F78CE">
            <w:pPr>
              <w:spacing w:after="0" w:line="240" w:lineRule="auto"/>
              <w:rPr>
                <w:rFonts w:ascii="Arial" w:eastAsia="Times New Roman" w:hAnsi="Arial" w:cs="Arial"/>
                <w:b/>
                <w:bCs/>
                <w:color w:val="000000"/>
                <w:sz w:val="18"/>
                <w:szCs w:val="18"/>
                <w:lang w:eastAsia="fr-FR"/>
              </w:rPr>
            </w:pPr>
            <w:r w:rsidRPr="005D6D41">
              <w:rPr>
                <w:rFonts w:ascii="Arial" w:eastAsia="Times New Roman" w:hAnsi="Arial" w:cs="Arial"/>
                <w:b/>
                <w:color w:val="000000"/>
                <w:sz w:val="18"/>
                <w:szCs w:val="18"/>
                <w:lang w:eastAsia="fr-FR"/>
              </w:rPr>
              <w:t>Bongolava</w:t>
            </w:r>
          </w:p>
        </w:tc>
        <w:tc>
          <w:tcPr>
            <w:tcW w:w="2832" w:type="dxa"/>
            <w:tcBorders>
              <w:top w:val="single" w:sz="8" w:space="0" w:color="4F81BD"/>
              <w:bottom w:val="single" w:sz="8" w:space="0" w:color="4F81BD"/>
            </w:tcBorders>
            <w:shd w:val="clear" w:color="auto" w:fill="auto"/>
            <w:noWrap/>
            <w:hideMark/>
          </w:tcPr>
          <w:p w14:paraId="2468F47F" w14:textId="77777777" w:rsidR="0096492E" w:rsidRPr="007F78CE" w:rsidRDefault="0096492E"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Ankadinondry</w:t>
            </w:r>
          </w:p>
        </w:tc>
        <w:tc>
          <w:tcPr>
            <w:tcW w:w="968" w:type="dxa"/>
            <w:tcBorders>
              <w:top w:val="single" w:sz="8" w:space="0" w:color="4F81BD"/>
              <w:bottom w:val="single" w:sz="8" w:space="0" w:color="4F81BD"/>
            </w:tcBorders>
            <w:shd w:val="clear" w:color="auto" w:fill="auto"/>
            <w:noWrap/>
            <w:hideMark/>
          </w:tcPr>
          <w:p w14:paraId="69788320"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17/12/2022</w:t>
            </w:r>
          </w:p>
        </w:tc>
        <w:tc>
          <w:tcPr>
            <w:tcW w:w="1240" w:type="dxa"/>
            <w:tcBorders>
              <w:top w:val="single" w:sz="8" w:space="0" w:color="4F81BD"/>
              <w:bottom w:val="single" w:sz="8" w:space="0" w:color="4F81BD"/>
            </w:tcBorders>
            <w:shd w:val="clear" w:color="auto" w:fill="auto"/>
            <w:noWrap/>
            <w:hideMark/>
          </w:tcPr>
          <w:p w14:paraId="4F4B5E68"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9</w:t>
            </w:r>
          </w:p>
        </w:tc>
        <w:tc>
          <w:tcPr>
            <w:tcW w:w="1240" w:type="dxa"/>
            <w:tcBorders>
              <w:top w:val="single" w:sz="8" w:space="0" w:color="4F81BD"/>
              <w:bottom w:val="single" w:sz="8" w:space="0" w:color="4F81BD"/>
            </w:tcBorders>
            <w:shd w:val="clear" w:color="auto" w:fill="auto"/>
            <w:noWrap/>
            <w:hideMark/>
          </w:tcPr>
          <w:p w14:paraId="19719852"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7</w:t>
            </w:r>
          </w:p>
        </w:tc>
        <w:tc>
          <w:tcPr>
            <w:tcW w:w="883" w:type="dxa"/>
            <w:tcBorders>
              <w:top w:val="single" w:sz="8" w:space="0" w:color="4F81BD"/>
              <w:bottom w:val="single" w:sz="8" w:space="0" w:color="4F81BD"/>
              <w:right w:val="single" w:sz="8" w:space="0" w:color="4F81BD"/>
            </w:tcBorders>
            <w:shd w:val="clear" w:color="auto" w:fill="auto"/>
            <w:noWrap/>
            <w:hideMark/>
          </w:tcPr>
          <w:p w14:paraId="35ED41C7"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16</w:t>
            </w:r>
          </w:p>
        </w:tc>
      </w:tr>
      <w:tr w:rsidR="0063584D" w:rsidRPr="007F78CE" w14:paraId="29012CD6" w14:textId="77777777" w:rsidTr="007F78CE">
        <w:trPr>
          <w:trHeight w:val="255"/>
        </w:trPr>
        <w:tc>
          <w:tcPr>
            <w:tcW w:w="1529" w:type="dxa"/>
            <w:shd w:val="clear" w:color="auto" w:fill="auto"/>
            <w:noWrap/>
            <w:hideMark/>
          </w:tcPr>
          <w:p w14:paraId="4F11A701" w14:textId="77777777" w:rsidR="0096492E" w:rsidRPr="007F78CE" w:rsidRDefault="0096492E"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Vakina</w:t>
            </w:r>
            <w:r w:rsidR="005969CF">
              <w:rPr>
                <w:rFonts w:ascii="Arial" w:eastAsia="Times New Roman" w:hAnsi="Arial" w:cs="Arial"/>
                <w:b/>
                <w:bCs/>
                <w:color w:val="000000"/>
                <w:sz w:val="18"/>
                <w:szCs w:val="18"/>
                <w:lang w:eastAsia="fr-FR"/>
              </w:rPr>
              <w:t>n</w:t>
            </w:r>
            <w:r w:rsidRPr="007F78CE">
              <w:rPr>
                <w:rFonts w:ascii="Arial" w:eastAsia="Times New Roman" w:hAnsi="Arial" w:cs="Arial"/>
                <w:b/>
                <w:bCs/>
                <w:color w:val="000000"/>
                <w:sz w:val="18"/>
                <w:szCs w:val="18"/>
                <w:lang w:eastAsia="fr-FR"/>
              </w:rPr>
              <w:t>karatra</w:t>
            </w:r>
          </w:p>
        </w:tc>
        <w:tc>
          <w:tcPr>
            <w:tcW w:w="2832" w:type="dxa"/>
            <w:shd w:val="clear" w:color="auto" w:fill="auto"/>
            <w:noWrap/>
            <w:hideMark/>
          </w:tcPr>
          <w:p w14:paraId="7340B7CA" w14:textId="77777777" w:rsidR="0096492E" w:rsidRPr="007F78CE" w:rsidRDefault="0096492E"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Ambatondrakalalao</w:t>
            </w:r>
          </w:p>
        </w:tc>
        <w:tc>
          <w:tcPr>
            <w:tcW w:w="968" w:type="dxa"/>
            <w:shd w:val="clear" w:color="auto" w:fill="auto"/>
            <w:noWrap/>
            <w:hideMark/>
          </w:tcPr>
          <w:p w14:paraId="14D7A5D7"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23/12/2022</w:t>
            </w:r>
          </w:p>
        </w:tc>
        <w:tc>
          <w:tcPr>
            <w:tcW w:w="1240" w:type="dxa"/>
            <w:shd w:val="clear" w:color="auto" w:fill="auto"/>
            <w:noWrap/>
            <w:hideMark/>
          </w:tcPr>
          <w:p w14:paraId="3001DA7C"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w:t>
            </w:r>
          </w:p>
        </w:tc>
        <w:tc>
          <w:tcPr>
            <w:tcW w:w="1240" w:type="dxa"/>
            <w:shd w:val="clear" w:color="auto" w:fill="auto"/>
            <w:noWrap/>
            <w:hideMark/>
          </w:tcPr>
          <w:p w14:paraId="5227956C"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3</w:t>
            </w:r>
          </w:p>
        </w:tc>
        <w:tc>
          <w:tcPr>
            <w:tcW w:w="883" w:type="dxa"/>
            <w:shd w:val="clear" w:color="auto" w:fill="auto"/>
            <w:noWrap/>
            <w:hideMark/>
          </w:tcPr>
          <w:p w14:paraId="539C29EC"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4</w:t>
            </w:r>
          </w:p>
        </w:tc>
      </w:tr>
      <w:tr w:rsidR="0063584D" w:rsidRPr="007F78CE" w14:paraId="03A276C8" w14:textId="77777777" w:rsidTr="007F78CE">
        <w:trPr>
          <w:trHeight w:val="255"/>
        </w:trPr>
        <w:tc>
          <w:tcPr>
            <w:tcW w:w="1529" w:type="dxa"/>
            <w:tcBorders>
              <w:top w:val="single" w:sz="8" w:space="0" w:color="4F81BD"/>
              <w:left w:val="single" w:sz="8" w:space="0" w:color="4F81BD"/>
              <w:bottom w:val="single" w:sz="8" w:space="0" w:color="4F81BD"/>
            </w:tcBorders>
            <w:shd w:val="clear" w:color="auto" w:fill="auto"/>
            <w:noWrap/>
            <w:hideMark/>
          </w:tcPr>
          <w:p w14:paraId="2D21C903" w14:textId="77777777" w:rsidR="0096492E" w:rsidRPr="007F78CE" w:rsidRDefault="0096492E"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Vakina</w:t>
            </w:r>
            <w:r w:rsidR="005969CF">
              <w:rPr>
                <w:rFonts w:ascii="Arial" w:eastAsia="Times New Roman" w:hAnsi="Arial" w:cs="Arial"/>
                <w:b/>
                <w:bCs/>
                <w:color w:val="000000"/>
                <w:sz w:val="18"/>
                <w:szCs w:val="18"/>
                <w:lang w:eastAsia="fr-FR"/>
              </w:rPr>
              <w:t>n</w:t>
            </w:r>
            <w:r w:rsidRPr="007F78CE">
              <w:rPr>
                <w:rFonts w:ascii="Arial" w:eastAsia="Times New Roman" w:hAnsi="Arial" w:cs="Arial"/>
                <w:b/>
                <w:bCs/>
                <w:color w:val="000000"/>
                <w:sz w:val="18"/>
                <w:szCs w:val="18"/>
                <w:lang w:eastAsia="fr-FR"/>
              </w:rPr>
              <w:t>karatra</w:t>
            </w:r>
          </w:p>
        </w:tc>
        <w:tc>
          <w:tcPr>
            <w:tcW w:w="2832" w:type="dxa"/>
            <w:tcBorders>
              <w:top w:val="single" w:sz="8" w:space="0" w:color="4F81BD"/>
              <w:bottom w:val="single" w:sz="8" w:space="0" w:color="4F81BD"/>
            </w:tcBorders>
            <w:shd w:val="clear" w:color="auto" w:fill="auto"/>
            <w:noWrap/>
            <w:hideMark/>
          </w:tcPr>
          <w:p w14:paraId="04294592" w14:textId="77777777" w:rsidR="0096492E" w:rsidRPr="007F78CE" w:rsidRDefault="0096492E"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Ambohibary</w:t>
            </w:r>
          </w:p>
        </w:tc>
        <w:tc>
          <w:tcPr>
            <w:tcW w:w="968" w:type="dxa"/>
            <w:tcBorders>
              <w:top w:val="single" w:sz="8" w:space="0" w:color="4F81BD"/>
              <w:bottom w:val="single" w:sz="8" w:space="0" w:color="4F81BD"/>
            </w:tcBorders>
            <w:shd w:val="clear" w:color="auto" w:fill="auto"/>
            <w:noWrap/>
            <w:hideMark/>
          </w:tcPr>
          <w:p w14:paraId="3E5E9E79"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22/12/2022</w:t>
            </w:r>
          </w:p>
        </w:tc>
        <w:tc>
          <w:tcPr>
            <w:tcW w:w="1240" w:type="dxa"/>
            <w:tcBorders>
              <w:top w:val="single" w:sz="8" w:space="0" w:color="4F81BD"/>
              <w:bottom w:val="single" w:sz="8" w:space="0" w:color="4F81BD"/>
            </w:tcBorders>
            <w:shd w:val="clear" w:color="auto" w:fill="auto"/>
            <w:noWrap/>
            <w:hideMark/>
          </w:tcPr>
          <w:p w14:paraId="4EF256C8"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5</w:t>
            </w:r>
          </w:p>
        </w:tc>
        <w:tc>
          <w:tcPr>
            <w:tcW w:w="1240" w:type="dxa"/>
            <w:tcBorders>
              <w:top w:val="single" w:sz="8" w:space="0" w:color="4F81BD"/>
              <w:bottom w:val="single" w:sz="8" w:space="0" w:color="4F81BD"/>
            </w:tcBorders>
            <w:shd w:val="clear" w:color="auto" w:fill="auto"/>
            <w:noWrap/>
            <w:hideMark/>
          </w:tcPr>
          <w:p w14:paraId="41F813CB"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2</w:t>
            </w:r>
          </w:p>
        </w:tc>
        <w:tc>
          <w:tcPr>
            <w:tcW w:w="883" w:type="dxa"/>
            <w:tcBorders>
              <w:top w:val="single" w:sz="8" w:space="0" w:color="4F81BD"/>
              <w:bottom w:val="single" w:sz="8" w:space="0" w:color="4F81BD"/>
              <w:right w:val="single" w:sz="8" w:space="0" w:color="4F81BD"/>
            </w:tcBorders>
            <w:shd w:val="clear" w:color="auto" w:fill="auto"/>
            <w:noWrap/>
            <w:hideMark/>
          </w:tcPr>
          <w:p w14:paraId="651C241E"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7</w:t>
            </w:r>
          </w:p>
        </w:tc>
      </w:tr>
      <w:tr w:rsidR="0063584D" w:rsidRPr="007F78CE" w14:paraId="36F867E7" w14:textId="77777777" w:rsidTr="007F78CE">
        <w:trPr>
          <w:trHeight w:val="285"/>
        </w:trPr>
        <w:tc>
          <w:tcPr>
            <w:tcW w:w="1529" w:type="dxa"/>
            <w:shd w:val="clear" w:color="auto" w:fill="auto"/>
            <w:noWrap/>
            <w:hideMark/>
          </w:tcPr>
          <w:p w14:paraId="0AB38F02" w14:textId="77777777" w:rsidR="0096492E" w:rsidRPr="007F78CE" w:rsidRDefault="0096492E" w:rsidP="007F78CE">
            <w:pPr>
              <w:spacing w:after="0" w:line="240" w:lineRule="auto"/>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Vakina</w:t>
            </w:r>
            <w:r w:rsidR="005969CF">
              <w:rPr>
                <w:rFonts w:ascii="Arial" w:eastAsia="Times New Roman" w:hAnsi="Arial" w:cs="Arial"/>
                <w:b/>
                <w:bCs/>
                <w:color w:val="000000"/>
                <w:sz w:val="18"/>
                <w:szCs w:val="18"/>
                <w:lang w:eastAsia="fr-FR"/>
              </w:rPr>
              <w:t>n</w:t>
            </w:r>
            <w:r w:rsidRPr="007F78CE">
              <w:rPr>
                <w:rFonts w:ascii="Arial" w:eastAsia="Times New Roman" w:hAnsi="Arial" w:cs="Arial"/>
                <w:b/>
                <w:bCs/>
                <w:color w:val="000000"/>
                <w:sz w:val="18"/>
                <w:szCs w:val="18"/>
                <w:lang w:eastAsia="fr-FR"/>
              </w:rPr>
              <w:t>karatra</w:t>
            </w:r>
          </w:p>
        </w:tc>
        <w:tc>
          <w:tcPr>
            <w:tcW w:w="2832" w:type="dxa"/>
            <w:shd w:val="clear" w:color="auto" w:fill="auto"/>
            <w:noWrap/>
            <w:hideMark/>
          </w:tcPr>
          <w:p w14:paraId="2581E39F" w14:textId="77777777" w:rsidR="0096492E" w:rsidRPr="007F78CE" w:rsidRDefault="0096492E"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Ambohibary</w:t>
            </w:r>
          </w:p>
        </w:tc>
        <w:tc>
          <w:tcPr>
            <w:tcW w:w="968" w:type="dxa"/>
            <w:shd w:val="clear" w:color="auto" w:fill="auto"/>
            <w:noWrap/>
            <w:hideMark/>
          </w:tcPr>
          <w:p w14:paraId="0305FE77"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21/12/2022</w:t>
            </w:r>
          </w:p>
        </w:tc>
        <w:tc>
          <w:tcPr>
            <w:tcW w:w="1240" w:type="dxa"/>
            <w:shd w:val="clear" w:color="auto" w:fill="auto"/>
            <w:noWrap/>
            <w:hideMark/>
          </w:tcPr>
          <w:p w14:paraId="17FFDB72"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14</w:t>
            </w:r>
          </w:p>
        </w:tc>
        <w:tc>
          <w:tcPr>
            <w:tcW w:w="1240" w:type="dxa"/>
            <w:shd w:val="clear" w:color="auto" w:fill="auto"/>
            <w:noWrap/>
            <w:hideMark/>
          </w:tcPr>
          <w:p w14:paraId="4D927171"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w:t>
            </w:r>
          </w:p>
        </w:tc>
        <w:tc>
          <w:tcPr>
            <w:tcW w:w="883" w:type="dxa"/>
            <w:shd w:val="clear" w:color="auto" w:fill="auto"/>
            <w:noWrap/>
            <w:hideMark/>
          </w:tcPr>
          <w:p w14:paraId="0616E268" w14:textId="77777777" w:rsidR="0096492E" w:rsidRPr="007F78CE" w:rsidRDefault="0096492E" w:rsidP="007F78CE">
            <w:pPr>
              <w:spacing w:after="0" w:line="240" w:lineRule="auto"/>
              <w:jc w:val="right"/>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15</w:t>
            </w:r>
          </w:p>
        </w:tc>
      </w:tr>
      <w:tr w:rsidR="0063584D" w:rsidRPr="007F78CE" w14:paraId="5A1DCF11" w14:textId="77777777" w:rsidTr="007F78CE">
        <w:trPr>
          <w:trHeight w:val="255"/>
        </w:trPr>
        <w:tc>
          <w:tcPr>
            <w:tcW w:w="5329" w:type="dxa"/>
            <w:gridSpan w:val="3"/>
            <w:tcBorders>
              <w:top w:val="single" w:sz="8" w:space="0" w:color="4F81BD"/>
              <w:left w:val="single" w:sz="8" w:space="0" w:color="4F81BD"/>
              <w:bottom w:val="single" w:sz="8" w:space="0" w:color="4F81BD"/>
            </w:tcBorders>
            <w:shd w:val="clear" w:color="auto" w:fill="auto"/>
            <w:noWrap/>
            <w:hideMark/>
          </w:tcPr>
          <w:p w14:paraId="72B6E4A1" w14:textId="77777777" w:rsidR="0096492E" w:rsidRPr="007F78CE" w:rsidRDefault="0096492E" w:rsidP="007F78CE">
            <w:pPr>
              <w:spacing w:after="0" w:line="240" w:lineRule="auto"/>
              <w:jc w:val="center"/>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TOTAL</w:t>
            </w:r>
          </w:p>
        </w:tc>
        <w:tc>
          <w:tcPr>
            <w:tcW w:w="1240" w:type="dxa"/>
            <w:tcBorders>
              <w:top w:val="single" w:sz="8" w:space="0" w:color="4F81BD"/>
              <w:bottom w:val="single" w:sz="8" w:space="0" w:color="4F81BD"/>
            </w:tcBorders>
            <w:shd w:val="clear" w:color="auto" w:fill="auto"/>
            <w:noWrap/>
            <w:hideMark/>
          </w:tcPr>
          <w:p w14:paraId="6D6DDAEA" w14:textId="77777777" w:rsidR="0096492E" w:rsidRPr="007F78CE" w:rsidRDefault="0096492E" w:rsidP="007F78CE">
            <w:pPr>
              <w:spacing w:after="0" w:line="240" w:lineRule="auto"/>
              <w:jc w:val="right"/>
              <w:rPr>
                <w:rFonts w:ascii="Arial" w:eastAsia="Times New Roman" w:hAnsi="Arial" w:cs="Arial"/>
                <w:b/>
                <w:color w:val="000000"/>
                <w:sz w:val="18"/>
                <w:szCs w:val="18"/>
                <w:lang w:eastAsia="fr-FR"/>
              </w:rPr>
            </w:pPr>
            <w:r w:rsidRPr="007F78CE">
              <w:rPr>
                <w:rFonts w:ascii="Arial" w:eastAsia="Times New Roman" w:hAnsi="Arial" w:cs="Arial"/>
                <w:b/>
                <w:color w:val="000000"/>
                <w:sz w:val="18"/>
                <w:szCs w:val="18"/>
                <w:lang w:eastAsia="fr-FR"/>
              </w:rPr>
              <w:t>134</w:t>
            </w:r>
          </w:p>
        </w:tc>
        <w:tc>
          <w:tcPr>
            <w:tcW w:w="1240" w:type="dxa"/>
            <w:tcBorders>
              <w:top w:val="single" w:sz="8" w:space="0" w:color="4F81BD"/>
              <w:bottom w:val="single" w:sz="8" w:space="0" w:color="4F81BD"/>
            </w:tcBorders>
            <w:shd w:val="clear" w:color="auto" w:fill="auto"/>
            <w:noWrap/>
            <w:hideMark/>
          </w:tcPr>
          <w:p w14:paraId="2A74288A" w14:textId="77777777" w:rsidR="0096492E" w:rsidRPr="007F78CE" w:rsidRDefault="0096492E" w:rsidP="007F78CE">
            <w:pPr>
              <w:spacing w:after="0" w:line="240" w:lineRule="auto"/>
              <w:jc w:val="right"/>
              <w:rPr>
                <w:rFonts w:ascii="Arial" w:eastAsia="Times New Roman" w:hAnsi="Arial" w:cs="Arial"/>
                <w:b/>
                <w:color w:val="000000"/>
                <w:sz w:val="18"/>
                <w:szCs w:val="18"/>
                <w:lang w:eastAsia="fr-FR"/>
              </w:rPr>
            </w:pPr>
            <w:r w:rsidRPr="007F78CE">
              <w:rPr>
                <w:rFonts w:ascii="Arial" w:eastAsia="Times New Roman" w:hAnsi="Arial" w:cs="Arial"/>
                <w:b/>
                <w:color w:val="000000"/>
                <w:sz w:val="18"/>
                <w:szCs w:val="18"/>
                <w:lang w:eastAsia="fr-FR"/>
              </w:rPr>
              <w:t>40</w:t>
            </w:r>
          </w:p>
        </w:tc>
        <w:tc>
          <w:tcPr>
            <w:tcW w:w="883" w:type="dxa"/>
            <w:tcBorders>
              <w:top w:val="single" w:sz="8" w:space="0" w:color="4F81BD"/>
              <w:bottom w:val="single" w:sz="8" w:space="0" w:color="4F81BD"/>
              <w:right w:val="single" w:sz="8" w:space="0" w:color="4F81BD"/>
            </w:tcBorders>
            <w:shd w:val="clear" w:color="auto" w:fill="auto"/>
            <w:noWrap/>
            <w:hideMark/>
          </w:tcPr>
          <w:p w14:paraId="4543EE67" w14:textId="77777777" w:rsidR="0096492E" w:rsidRPr="007F78CE" w:rsidRDefault="0096492E" w:rsidP="007F78CE">
            <w:pPr>
              <w:spacing w:after="0" w:line="240" w:lineRule="auto"/>
              <w:jc w:val="right"/>
              <w:rPr>
                <w:rFonts w:ascii="Arial" w:eastAsia="Times New Roman" w:hAnsi="Arial" w:cs="Arial"/>
                <w:b/>
                <w:color w:val="000000"/>
                <w:sz w:val="18"/>
                <w:szCs w:val="18"/>
                <w:lang w:eastAsia="fr-FR"/>
              </w:rPr>
            </w:pPr>
            <w:r w:rsidRPr="007F78CE">
              <w:rPr>
                <w:rFonts w:ascii="Arial" w:eastAsia="Times New Roman" w:hAnsi="Arial" w:cs="Arial"/>
                <w:b/>
                <w:color w:val="000000"/>
                <w:sz w:val="18"/>
                <w:szCs w:val="18"/>
                <w:lang w:eastAsia="fr-FR"/>
              </w:rPr>
              <w:t>174</w:t>
            </w:r>
          </w:p>
        </w:tc>
      </w:tr>
    </w:tbl>
    <w:p w14:paraId="449D9D5C" w14:textId="77777777" w:rsidR="0096492E" w:rsidRDefault="0096492E" w:rsidP="0096492E">
      <w:pPr>
        <w:autoSpaceDE w:val="0"/>
        <w:autoSpaceDN w:val="0"/>
        <w:adjustRightInd w:val="0"/>
        <w:jc w:val="both"/>
        <w:rPr>
          <w:rFonts w:ascii="Arial" w:hAnsi="Arial" w:cs="Arial"/>
          <w:szCs w:val="24"/>
        </w:rPr>
      </w:pPr>
    </w:p>
    <w:p w14:paraId="6DAAB89F" w14:textId="77777777" w:rsidR="00307CF5" w:rsidRDefault="00307CF5" w:rsidP="0096492E">
      <w:pPr>
        <w:autoSpaceDE w:val="0"/>
        <w:autoSpaceDN w:val="0"/>
        <w:adjustRightInd w:val="0"/>
        <w:jc w:val="both"/>
        <w:rPr>
          <w:rFonts w:ascii="Arial" w:hAnsi="Arial" w:cs="Arial"/>
          <w:szCs w:val="24"/>
        </w:rPr>
      </w:pPr>
      <w:r>
        <w:rPr>
          <w:rFonts w:ascii="Arial" w:hAnsi="Arial" w:cs="Arial"/>
          <w:szCs w:val="24"/>
        </w:rPr>
        <w:t xml:space="preserve">Ainsi, 174 jeunes ont </w:t>
      </w:r>
      <w:r w:rsidR="003E0CDB">
        <w:rPr>
          <w:rFonts w:ascii="Arial" w:hAnsi="Arial" w:cs="Arial"/>
          <w:szCs w:val="24"/>
        </w:rPr>
        <w:t>participé</w:t>
      </w:r>
      <w:r>
        <w:rPr>
          <w:rFonts w:ascii="Arial" w:hAnsi="Arial" w:cs="Arial"/>
          <w:szCs w:val="24"/>
        </w:rPr>
        <w:t xml:space="preserve"> au focus groupe organisé dans les différents sites visités dans le cadre du Projet DECIM dont 134 hommes et 40 femmes.</w:t>
      </w:r>
    </w:p>
    <w:p w14:paraId="4979A2AC" w14:textId="77777777" w:rsidR="006461F2" w:rsidRPr="006461F2" w:rsidRDefault="006461F2" w:rsidP="0044500E">
      <w:pPr>
        <w:pStyle w:val="TIT40"/>
        <w:numPr>
          <w:ilvl w:val="3"/>
          <w:numId w:val="177"/>
        </w:numPr>
        <w:outlineLvl w:val="3"/>
      </w:pPr>
      <w:bookmarkStart w:id="1230" w:name="_Toc124314770"/>
      <w:bookmarkStart w:id="1231" w:name="_Toc124956299"/>
      <w:bookmarkStart w:id="1232" w:name="_Toc125384647"/>
      <w:bookmarkStart w:id="1233" w:name="_Toc125385036"/>
      <w:bookmarkStart w:id="1234" w:name="_Toc127957709"/>
      <w:r w:rsidRPr="006461F2">
        <w:t>Résultats de la consultation des jeunes</w:t>
      </w:r>
      <w:bookmarkEnd w:id="1230"/>
      <w:bookmarkEnd w:id="1231"/>
      <w:bookmarkEnd w:id="1232"/>
      <w:bookmarkEnd w:id="1233"/>
      <w:bookmarkEnd w:id="1234"/>
    </w:p>
    <w:p w14:paraId="5A628483" w14:textId="77777777" w:rsidR="005969CF" w:rsidRDefault="006461F2" w:rsidP="0096492E">
      <w:pPr>
        <w:autoSpaceDE w:val="0"/>
        <w:autoSpaceDN w:val="0"/>
        <w:adjustRightInd w:val="0"/>
        <w:jc w:val="both"/>
        <w:rPr>
          <w:rFonts w:ascii="Arial" w:hAnsi="Arial" w:cs="Arial"/>
        </w:rPr>
      </w:pPr>
      <w:r w:rsidRPr="73E372D6">
        <w:rPr>
          <w:rFonts w:ascii="Arial" w:hAnsi="Arial" w:cs="Arial"/>
        </w:rPr>
        <w:t>Au niveau des réunions effectuées avec les jeunes, leurs avis sur des points précis et leurs préoccupations par rapport au projet ont été discutés dont les résumés sont synthétisés dans le tableau ci-après</w:t>
      </w:r>
      <w:r w:rsidR="005969CF" w:rsidRPr="73E372D6">
        <w:rPr>
          <w:rFonts w:ascii="Arial" w:hAnsi="Arial" w:cs="Arial"/>
        </w:rPr>
        <w:t>.</w:t>
      </w:r>
    </w:p>
    <w:p w14:paraId="1082823D" w14:textId="77777777" w:rsidR="0096492E" w:rsidRPr="00EE273B" w:rsidRDefault="00EE273B" w:rsidP="00EE273B">
      <w:pPr>
        <w:pStyle w:val="Lgende"/>
        <w:jc w:val="center"/>
        <w:rPr>
          <w:sz w:val="20"/>
        </w:rPr>
      </w:pPr>
      <w:bookmarkStart w:id="1235" w:name="_Toc127957885"/>
      <w:r w:rsidRPr="00EE273B">
        <w:rPr>
          <w:sz w:val="20"/>
        </w:rPr>
        <w:t xml:space="preserve">Tableau </w:t>
      </w:r>
      <w:r w:rsidRPr="00EE273B">
        <w:rPr>
          <w:sz w:val="20"/>
        </w:rPr>
        <w:fldChar w:fldCharType="begin"/>
      </w:r>
      <w:r w:rsidRPr="00EE273B">
        <w:rPr>
          <w:sz w:val="20"/>
        </w:rPr>
        <w:instrText xml:space="preserve"> SEQ Tableau \* ARABIC </w:instrText>
      </w:r>
      <w:r w:rsidRPr="00EE273B">
        <w:rPr>
          <w:sz w:val="20"/>
        </w:rPr>
        <w:fldChar w:fldCharType="separate"/>
      </w:r>
      <w:r w:rsidR="005430A1">
        <w:rPr>
          <w:noProof/>
          <w:sz w:val="20"/>
        </w:rPr>
        <w:t>89</w:t>
      </w:r>
      <w:r w:rsidRPr="00EE273B">
        <w:rPr>
          <w:sz w:val="20"/>
        </w:rPr>
        <w:fldChar w:fldCharType="end"/>
      </w:r>
      <w:r w:rsidRPr="00EE273B">
        <w:rPr>
          <w:sz w:val="20"/>
        </w:rPr>
        <w:t>. Préoccupation et suggestion des jeunes concernant la mise en œuvre du Projet DECIM</w:t>
      </w:r>
      <w:bookmarkEnd w:id="1235"/>
    </w:p>
    <w:tbl>
      <w:tblPr>
        <w:tblW w:w="924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620"/>
        <w:gridCol w:w="4620"/>
      </w:tblGrid>
      <w:tr w:rsidR="0063584D" w:rsidRPr="007F78CE" w14:paraId="4B43FBA5" w14:textId="77777777" w:rsidTr="007F78CE">
        <w:trPr>
          <w:trHeight w:val="255"/>
          <w:tblHeader/>
        </w:trPr>
        <w:tc>
          <w:tcPr>
            <w:tcW w:w="4620" w:type="dxa"/>
            <w:tcBorders>
              <w:top w:val="single" w:sz="8" w:space="0" w:color="4F81BD"/>
              <w:left w:val="single" w:sz="8" w:space="0" w:color="4F81BD"/>
              <w:bottom w:val="single" w:sz="18" w:space="0" w:color="4F81BD"/>
              <w:right w:val="single" w:sz="8" w:space="0" w:color="4F81BD"/>
            </w:tcBorders>
            <w:shd w:val="clear" w:color="auto" w:fill="auto"/>
            <w:vAlign w:val="center"/>
            <w:hideMark/>
          </w:tcPr>
          <w:p w14:paraId="79CB202B" w14:textId="77777777" w:rsidR="00277DBD" w:rsidRPr="007F78CE" w:rsidRDefault="00277DBD" w:rsidP="007F78CE">
            <w:pPr>
              <w:spacing w:after="0" w:line="240" w:lineRule="auto"/>
              <w:jc w:val="center"/>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Préoccupations</w:t>
            </w:r>
          </w:p>
        </w:tc>
        <w:tc>
          <w:tcPr>
            <w:tcW w:w="4620" w:type="dxa"/>
            <w:tcBorders>
              <w:top w:val="single" w:sz="8" w:space="0" w:color="4F81BD"/>
              <w:left w:val="single" w:sz="8" w:space="0" w:color="4F81BD"/>
              <w:bottom w:val="single" w:sz="18" w:space="0" w:color="4F81BD"/>
              <w:right w:val="single" w:sz="8" w:space="0" w:color="4F81BD"/>
            </w:tcBorders>
            <w:shd w:val="clear" w:color="auto" w:fill="auto"/>
            <w:vAlign w:val="center"/>
            <w:hideMark/>
          </w:tcPr>
          <w:p w14:paraId="009E12CD" w14:textId="77777777" w:rsidR="00277DBD" w:rsidRPr="007F78CE" w:rsidRDefault="00277DBD" w:rsidP="007F78CE">
            <w:pPr>
              <w:spacing w:after="0" w:line="240" w:lineRule="auto"/>
              <w:jc w:val="center"/>
              <w:rPr>
                <w:rFonts w:ascii="Arial" w:eastAsia="Times New Roman" w:hAnsi="Arial" w:cs="Arial"/>
                <w:b/>
                <w:bCs/>
                <w:color w:val="000000"/>
                <w:sz w:val="18"/>
                <w:szCs w:val="18"/>
                <w:lang w:eastAsia="fr-FR"/>
              </w:rPr>
            </w:pPr>
            <w:r w:rsidRPr="007F78CE">
              <w:rPr>
                <w:rFonts w:ascii="Arial" w:eastAsia="Times New Roman" w:hAnsi="Arial" w:cs="Arial"/>
                <w:b/>
                <w:bCs/>
                <w:color w:val="000000"/>
                <w:sz w:val="18"/>
                <w:szCs w:val="18"/>
                <w:lang w:eastAsia="fr-FR"/>
              </w:rPr>
              <w:t>Suggestions</w:t>
            </w:r>
          </w:p>
        </w:tc>
      </w:tr>
      <w:tr w:rsidR="0063584D" w:rsidRPr="007F78CE" w14:paraId="7E4F7CF7" w14:textId="77777777" w:rsidTr="00B434A6">
        <w:trPr>
          <w:trHeight w:val="432"/>
        </w:trPr>
        <w:tc>
          <w:tcPr>
            <w:tcW w:w="4620" w:type="dxa"/>
            <w:tcBorders>
              <w:top w:val="single" w:sz="8" w:space="0" w:color="4F81BD"/>
              <w:left w:val="single" w:sz="8" w:space="0" w:color="4F81BD"/>
              <w:bottom w:val="single" w:sz="8" w:space="0" w:color="4F81BD"/>
              <w:right w:val="single" w:sz="8" w:space="0" w:color="4F81BD"/>
            </w:tcBorders>
            <w:shd w:val="clear" w:color="auto" w:fill="D3DFEE"/>
            <w:hideMark/>
          </w:tcPr>
          <w:p w14:paraId="0A19B320" w14:textId="77777777" w:rsidR="00277DBD" w:rsidRPr="00B434A6" w:rsidRDefault="00277DBD" w:rsidP="007F78CE">
            <w:pPr>
              <w:spacing w:after="0" w:line="240" w:lineRule="auto"/>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Non considération des zones enclavées dans les activités du Projet</w:t>
            </w:r>
          </w:p>
        </w:tc>
        <w:tc>
          <w:tcPr>
            <w:tcW w:w="4620" w:type="dxa"/>
            <w:tcBorders>
              <w:top w:val="single" w:sz="8" w:space="0" w:color="4F81BD"/>
              <w:left w:val="single" w:sz="8" w:space="0" w:color="4F81BD"/>
              <w:bottom w:val="single" w:sz="8" w:space="0" w:color="4F81BD"/>
              <w:right w:val="single" w:sz="8" w:space="0" w:color="4F81BD"/>
            </w:tcBorders>
            <w:shd w:val="clear" w:color="auto" w:fill="D3DFEE"/>
            <w:hideMark/>
          </w:tcPr>
          <w:p w14:paraId="16F98AD3" w14:textId="77777777" w:rsidR="00277DBD" w:rsidRPr="007F78CE" w:rsidRDefault="00277DBD"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le Projet devrait se concentrer plus dans les zones enclavées</w:t>
            </w:r>
          </w:p>
        </w:tc>
      </w:tr>
      <w:tr w:rsidR="0063584D" w:rsidRPr="007F78CE" w14:paraId="28D4402C" w14:textId="77777777" w:rsidTr="00B434A6">
        <w:trPr>
          <w:trHeight w:val="432"/>
        </w:trPr>
        <w:tc>
          <w:tcPr>
            <w:tcW w:w="4620" w:type="dxa"/>
            <w:tcBorders>
              <w:top w:val="single" w:sz="8" w:space="0" w:color="4F81BD"/>
              <w:left w:val="single" w:sz="8" w:space="0" w:color="4F81BD"/>
              <w:bottom w:val="single" w:sz="8" w:space="0" w:color="4F81BD"/>
              <w:right w:val="single" w:sz="8" w:space="0" w:color="4F81BD"/>
            </w:tcBorders>
            <w:shd w:val="clear" w:color="auto" w:fill="auto"/>
            <w:hideMark/>
          </w:tcPr>
          <w:p w14:paraId="4A7A1866" w14:textId="77777777" w:rsidR="00277DBD" w:rsidRPr="00B434A6" w:rsidRDefault="00277DBD" w:rsidP="007F78CE">
            <w:pPr>
              <w:spacing w:after="0" w:line="240" w:lineRule="auto"/>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Faible puissance des panneaux solaires à cause du changement climatique</w:t>
            </w:r>
          </w:p>
        </w:tc>
        <w:tc>
          <w:tcPr>
            <w:tcW w:w="4620" w:type="dxa"/>
            <w:tcBorders>
              <w:top w:val="single" w:sz="8" w:space="0" w:color="4F81BD"/>
              <w:left w:val="single" w:sz="8" w:space="0" w:color="4F81BD"/>
              <w:bottom w:val="single" w:sz="8" w:space="0" w:color="4F81BD"/>
              <w:right w:val="single" w:sz="8" w:space="0" w:color="4F81BD"/>
            </w:tcBorders>
            <w:shd w:val="clear" w:color="auto" w:fill="auto"/>
            <w:hideMark/>
          </w:tcPr>
          <w:p w14:paraId="4906E6E2" w14:textId="77777777" w:rsidR="00277DBD" w:rsidRPr="007F78CE" w:rsidRDefault="00277DBD"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Utilisation d'autres sources d'énergie comme l</w:t>
            </w:r>
            <w:r w:rsidR="005969CF">
              <w:rPr>
                <w:rFonts w:ascii="Arial" w:eastAsia="Times New Roman" w:hAnsi="Arial" w:cs="Arial"/>
                <w:color w:val="000000"/>
                <w:sz w:val="18"/>
                <w:szCs w:val="18"/>
                <w:lang w:eastAsia="fr-FR"/>
              </w:rPr>
              <w:t>’énergi</w:t>
            </w:r>
            <w:r w:rsidRPr="007F78CE">
              <w:rPr>
                <w:rFonts w:ascii="Arial" w:eastAsia="Times New Roman" w:hAnsi="Arial" w:cs="Arial"/>
                <w:color w:val="000000"/>
                <w:sz w:val="18"/>
                <w:szCs w:val="18"/>
                <w:lang w:eastAsia="fr-FR"/>
              </w:rPr>
              <w:t>e hydroélectrique ou éolienne</w:t>
            </w:r>
          </w:p>
        </w:tc>
      </w:tr>
      <w:tr w:rsidR="0063584D" w:rsidRPr="007F78CE" w14:paraId="6CA5C1B1" w14:textId="77777777" w:rsidTr="007F78CE">
        <w:trPr>
          <w:trHeight w:val="525"/>
        </w:trPr>
        <w:tc>
          <w:tcPr>
            <w:tcW w:w="4620" w:type="dxa"/>
            <w:tcBorders>
              <w:top w:val="single" w:sz="8" w:space="0" w:color="4F81BD"/>
              <w:left w:val="single" w:sz="8" w:space="0" w:color="4F81BD"/>
              <w:bottom w:val="single" w:sz="8" w:space="0" w:color="4F81BD"/>
              <w:right w:val="single" w:sz="8" w:space="0" w:color="4F81BD"/>
            </w:tcBorders>
            <w:shd w:val="clear" w:color="auto" w:fill="D3DFEE"/>
            <w:hideMark/>
          </w:tcPr>
          <w:p w14:paraId="71AEAA2E" w14:textId="77777777" w:rsidR="00277DBD" w:rsidRPr="00B434A6" w:rsidRDefault="00277DBD" w:rsidP="007F78CE">
            <w:pPr>
              <w:spacing w:after="0" w:line="240" w:lineRule="auto"/>
              <w:rPr>
                <w:rFonts w:ascii="Arial" w:eastAsia="Times New Roman" w:hAnsi="Arial" w:cs="Arial"/>
                <w:color w:val="000000"/>
                <w:sz w:val="18"/>
                <w:szCs w:val="18"/>
                <w:lang w:eastAsia="fr-FR"/>
              </w:rPr>
            </w:pPr>
            <w:r w:rsidRPr="00B434A6">
              <w:rPr>
                <w:rFonts w:ascii="Arial" w:eastAsia="Times New Roman" w:hAnsi="Arial" w:cs="Arial"/>
                <w:color w:val="000000"/>
                <w:sz w:val="18"/>
                <w:szCs w:val="18"/>
                <w:lang w:eastAsia="fr-FR"/>
              </w:rPr>
              <w:t xml:space="preserve">Craintes par rapport à l’augmentation du coût de l’électricité </w:t>
            </w:r>
            <w:r w:rsidR="003E3E27">
              <w:rPr>
                <w:rFonts w:ascii="Arial" w:eastAsia="Times New Roman" w:hAnsi="Arial" w:cs="Arial"/>
                <w:color w:val="000000"/>
                <w:sz w:val="18"/>
                <w:szCs w:val="18"/>
                <w:lang w:eastAsia="fr-FR"/>
              </w:rPr>
              <w:t xml:space="preserve">à la </w:t>
            </w:r>
            <w:r w:rsidRPr="00B434A6">
              <w:rPr>
                <w:rFonts w:ascii="Arial" w:eastAsia="Times New Roman" w:hAnsi="Arial" w:cs="Arial"/>
                <w:color w:val="000000"/>
                <w:sz w:val="18"/>
                <w:szCs w:val="18"/>
                <w:lang w:eastAsia="fr-FR"/>
              </w:rPr>
              <w:t xml:space="preserve">suite </w:t>
            </w:r>
            <w:r w:rsidR="003E3E27">
              <w:rPr>
                <w:rFonts w:ascii="Arial" w:eastAsia="Times New Roman" w:hAnsi="Arial" w:cs="Arial"/>
                <w:color w:val="000000"/>
                <w:sz w:val="18"/>
                <w:szCs w:val="18"/>
                <w:lang w:eastAsia="fr-FR"/>
              </w:rPr>
              <w:t>de</w:t>
            </w:r>
            <w:r w:rsidRPr="00B434A6">
              <w:rPr>
                <w:rFonts w:ascii="Arial" w:eastAsia="Times New Roman" w:hAnsi="Arial" w:cs="Arial"/>
                <w:color w:val="000000"/>
                <w:sz w:val="18"/>
                <w:szCs w:val="18"/>
                <w:lang w:eastAsia="fr-FR"/>
              </w:rPr>
              <w:t xml:space="preserve"> la réalisation du Projet</w:t>
            </w:r>
          </w:p>
        </w:tc>
        <w:tc>
          <w:tcPr>
            <w:tcW w:w="4620" w:type="dxa"/>
            <w:tcBorders>
              <w:top w:val="single" w:sz="8" w:space="0" w:color="4F81BD"/>
              <w:left w:val="single" w:sz="8" w:space="0" w:color="4F81BD"/>
              <w:bottom w:val="single" w:sz="8" w:space="0" w:color="4F81BD"/>
              <w:right w:val="single" w:sz="8" w:space="0" w:color="4F81BD"/>
            </w:tcBorders>
            <w:shd w:val="clear" w:color="auto" w:fill="D3DFEE"/>
            <w:hideMark/>
          </w:tcPr>
          <w:p w14:paraId="54C38A84" w14:textId="77777777" w:rsidR="00277DBD" w:rsidRPr="007F78CE" w:rsidRDefault="00277DBD"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Paiement partiel de l’électricité, paiement total à effectuer en temps de moisson</w:t>
            </w:r>
          </w:p>
        </w:tc>
      </w:tr>
      <w:tr w:rsidR="0063584D" w:rsidRPr="007F78CE" w14:paraId="7E5EA0A0" w14:textId="77777777" w:rsidTr="00B434A6">
        <w:trPr>
          <w:trHeight w:val="432"/>
        </w:trPr>
        <w:tc>
          <w:tcPr>
            <w:tcW w:w="4620" w:type="dxa"/>
            <w:tcBorders>
              <w:top w:val="single" w:sz="8" w:space="0" w:color="4F81BD"/>
              <w:left w:val="single" w:sz="8" w:space="0" w:color="4F81BD"/>
              <w:bottom w:val="single" w:sz="8" w:space="0" w:color="4F81BD"/>
              <w:right w:val="single" w:sz="8" w:space="0" w:color="4F81BD"/>
            </w:tcBorders>
            <w:shd w:val="clear" w:color="auto" w:fill="auto"/>
            <w:hideMark/>
          </w:tcPr>
          <w:p w14:paraId="2E04980A" w14:textId="77777777" w:rsidR="00277DBD" w:rsidRPr="005C566E" w:rsidRDefault="00277DBD" w:rsidP="005C566E">
            <w:pPr>
              <w:spacing w:after="0" w:line="240" w:lineRule="auto"/>
              <w:rPr>
                <w:rFonts w:ascii="Arial" w:eastAsia="Times New Roman" w:hAnsi="Arial" w:cs="Arial"/>
                <w:color w:val="000000"/>
                <w:sz w:val="18"/>
                <w:szCs w:val="18"/>
                <w:lang w:eastAsia="fr-FR"/>
              </w:rPr>
            </w:pPr>
            <w:bookmarkStart w:id="1236" w:name="_Toc124956300"/>
            <w:bookmarkStart w:id="1237" w:name="_Toc125384648"/>
            <w:bookmarkStart w:id="1238" w:name="_Toc125385037"/>
            <w:r w:rsidRPr="005C566E">
              <w:rPr>
                <w:rFonts w:ascii="Arial" w:eastAsia="Times New Roman" w:hAnsi="Arial" w:cs="Arial"/>
                <w:color w:val="000000"/>
                <w:sz w:val="18"/>
                <w:szCs w:val="18"/>
                <w:lang w:eastAsia="fr-FR"/>
              </w:rPr>
              <w:t>Suivi négligé de la jeunesse par rapport à l’utilisation d’internet</w:t>
            </w:r>
            <w:bookmarkEnd w:id="1236"/>
            <w:bookmarkEnd w:id="1237"/>
            <w:bookmarkEnd w:id="1238"/>
          </w:p>
        </w:tc>
        <w:tc>
          <w:tcPr>
            <w:tcW w:w="4620" w:type="dxa"/>
            <w:tcBorders>
              <w:top w:val="single" w:sz="8" w:space="0" w:color="4F81BD"/>
              <w:left w:val="single" w:sz="8" w:space="0" w:color="4F81BD"/>
              <w:bottom w:val="single" w:sz="8" w:space="0" w:color="4F81BD"/>
              <w:right w:val="single" w:sz="8" w:space="0" w:color="4F81BD"/>
            </w:tcBorders>
            <w:shd w:val="clear" w:color="auto" w:fill="auto"/>
            <w:hideMark/>
          </w:tcPr>
          <w:p w14:paraId="0149917A" w14:textId="77777777" w:rsidR="00277DBD" w:rsidRPr="007F78CE" w:rsidRDefault="00C005EB" w:rsidP="007F78CE">
            <w:pPr>
              <w:spacing w:after="0" w:line="240" w:lineRule="auto"/>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w:t>
            </w:r>
            <w:r w:rsidR="00277DBD" w:rsidRPr="007F78CE">
              <w:rPr>
                <w:rFonts w:ascii="Arial" w:eastAsia="Times New Roman" w:hAnsi="Arial" w:cs="Arial"/>
                <w:color w:val="000000"/>
                <w:sz w:val="18"/>
                <w:szCs w:val="18"/>
                <w:lang w:eastAsia="fr-FR"/>
              </w:rPr>
              <w:t xml:space="preserve">ise en place d'un filtre sur </w:t>
            </w:r>
            <w:r>
              <w:rPr>
                <w:rFonts w:ascii="Arial" w:eastAsia="Times New Roman" w:hAnsi="Arial" w:cs="Arial"/>
                <w:color w:val="000000"/>
                <w:sz w:val="18"/>
                <w:szCs w:val="18"/>
                <w:lang w:eastAsia="fr-FR"/>
              </w:rPr>
              <w:t>la connexion internet</w:t>
            </w:r>
          </w:p>
        </w:tc>
      </w:tr>
      <w:tr w:rsidR="0063584D" w:rsidRPr="007F78CE" w14:paraId="0C494D71" w14:textId="77777777" w:rsidTr="007F78CE">
        <w:trPr>
          <w:trHeight w:val="525"/>
        </w:trPr>
        <w:tc>
          <w:tcPr>
            <w:tcW w:w="4620" w:type="dxa"/>
            <w:tcBorders>
              <w:top w:val="single" w:sz="8" w:space="0" w:color="4F81BD"/>
              <w:left w:val="single" w:sz="8" w:space="0" w:color="4F81BD"/>
              <w:bottom w:val="single" w:sz="8" w:space="0" w:color="4F81BD"/>
              <w:right w:val="single" w:sz="8" w:space="0" w:color="4F81BD"/>
            </w:tcBorders>
            <w:shd w:val="clear" w:color="auto" w:fill="D3DFEE"/>
            <w:hideMark/>
          </w:tcPr>
          <w:p w14:paraId="0F4519E2" w14:textId="77777777" w:rsidR="00277DBD" w:rsidRPr="005C566E" w:rsidRDefault="00277DBD" w:rsidP="00CC01C2">
            <w:pPr>
              <w:spacing w:after="0" w:line="240" w:lineRule="auto"/>
              <w:rPr>
                <w:rFonts w:ascii="Arial" w:eastAsia="Times New Roman" w:hAnsi="Arial" w:cs="Arial"/>
                <w:color w:val="000000"/>
                <w:sz w:val="18"/>
                <w:szCs w:val="18"/>
                <w:lang w:eastAsia="fr-FR"/>
              </w:rPr>
            </w:pPr>
            <w:r w:rsidRPr="005C566E">
              <w:rPr>
                <w:rFonts w:ascii="Arial" w:eastAsia="Times New Roman" w:hAnsi="Arial" w:cs="Arial"/>
                <w:color w:val="000000"/>
                <w:sz w:val="18"/>
                <w:szCs w:val="18"/>
                <w:lang w:eastAsia="fr-FR"/>
              </w:rPr>
              <w:t xml:space="preserve">Craintes par rapport au fait que le Projet </w:t>
            </w:r>
            <w:r w:rsidR="00380091" w:rsidRPr="005C566E">
              <w:rPr>
                <w:rFonts w:ascii="Arial" w:eastAsia="Times New Roman" w:hAnsi="Arial" w:cs="Arial"/>
                <w:color w:val="000000"/>
                <w:sz w:val="18"/>
                <w:szCs w:val="18"/>
                <w:lang w:eastAsia="fr-FR"/>
              </w:rPr>
              <w:t>ne soit</w:t>
            </w:r>
            <w:r w:rsidRPr="005C566E">
              <w:rPr>
                <w:rFonts w:ascii="Arial" w:eastAsia="Times New Roman" w:hAnsi="Arial" w:cs="Arial"/>
                <w:color w:val="000000"/>
                <w:sz w:val="18"/>
                <w:szCs w:val="18"/>
                <w:lang w:eastAsia="fr-FR"/>
              </w:rPr>
              <w:t xml:space="preserve"> pas gratuit</w:t>
            </w:r>
          </w:p>
        </w:tc>
        <w:tc>
          <w:tcPr>
            <w:tcW w:w="4620" w:type="dxa"/>
            <w:tcBorders>
              <w:top w:val="single" w:sz="8" w:space="0" w:color="4F81BD"/>
              <w:left w:val="single" w:sz="8" w:space="0" w:color="4F81BD"/>
              <w:bottom w:val="single" w:sz="8" w:space="0" w:color="4F81BD"/>
              <w:right w:val="single" w:sz="8" w:space="0" w:color="4F81BD"/>
            </w:tcBorders>
            <w:shd w:val="clear" w:color="auto" w:fill="D3DFEE"/>
            <w:hideMark/>
          </w:tcPr>
          <w:p w14:paraId="68FEA693" w14:textId="77777777" w:rsidR="00277DBD" w:rsidRPr="007F78CE" w:rsidRDefault="00277DBD"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Mettre en place un système pour la facilitation d'acquérir des matériels NTIC</w:t>
            </w:r>
          </w:p>
        </w:tc>
      </w:tr>
      <w:tr w:rsidR="0063584D" w:rsidRPr="007F78CE" w14:paraId="6008DC05" w14:textId="77777777" w:rsidTr="00B434A6">
        <w:trPr>
          <w:trHeight w:val="432"/>
        </w:trPr>
        <w:tc>
          <w:tcPr>
            <w:tcW w:w="4620" w:type="dxa"/>
            <w:vMerge w:val="restart"/>
            <w:tcBorders>
              <w:top w:val="single" w:sz="8" w:space="0" w:color="4F81BD"/>
              <w:left w:val="single" w:sz="8" w:space="0" w:color="4F81BD"/>
              <w:bottom w:val="single" w:sz="8" w:space="0" w:color="4F81BD"/>
              <w:right w:val="single" w:sz="8" w:space="0" w:color="4F81BD"/>
            </w:tcBorders>
            <w:shd w:val="clear" w:color="auto" w:fill="auto"/>
            <w:hideMark/>
          </w:tcPr>
          <w:p w14:paraId="732C9B13" w14:textId="77777777" w:rsidR="00277DBD" w:rsidRPr="005C566E" w:rsidRDefault="00277DBD" w:rsidP="005C566E">
            <w:pPr>
              <w:spacing w:after="0" w:line="240" w:lineRule="auto"/>
              <w:rPr>
                <w:rFonts w:ascii="Arial" w:eastAsia="Times New Roman" w:hAnsi="Arial" w:cs="Arial"/>
                <w:color w:val="000000"/>
                <w:sz w:val="18"/>
                <w:szCs w:val="18"/>
                <w:lang w:eastAsia="fr-FR"/>
              </w:rPr>
            </w:pPr>
            <w:bookmarkStart w:id="1239" w:name="_Toc124956301"/>
            <w:bookmarkStart w:id="1240" w:name="_Toc125384649"/>
            <w:bookmarkStart w:id="1241" w:name="_Toc125385038"/>
            <w:r w:rsidRPr="005C566E">
              <w:rPr>
                <w:rFonts w:ascii="Arial" w:eastAsia="Times New Roman" w:hAnsi="Arial" w:cs="Arial"/>
                <w:color w:val="000000"/>
                <w:sz w:val="18"/>
                <w:szCs w:val="18"/>
                <w:lang w:eastAsia="fr-FR"/>
              </w:rPr>
              <w:t>Propagation de l’insécurité : la mise en place de panneaux solaires pourrait attirer les voleurs,</w:t>
            </w:r>
            <w:bookmarkEnd w:id="1239"/>
            <w:bookmarkEnd w:id="1240"/>
            <w:bookmarkEnd w:id="1241"/>
            <w:r w:rsidRPr="005C566E">
              <w:rPr>
                <w:rFonts w:ascii="Arial" w:eastAsia="Times New Roman" w:hAnsi="Arial" w:cs="Arial"/>
                <w:color w:val="000000"/>
                <w:sz w:val="18"/>
                <w:szCs w:val="18"/>
                <w:lang w:eastAsia="fr-FR"/>
              </w:rPr>
              <w:t xml:space="preserve"> </w:t>
            </w:r>
          </w:p>
          <w:p w14:paraId="11461C7E" w14:textId="77777777" w:rsidR="00277DBD" w:rsidRPr="005C566E" w:rsidRDefault="003E0CDB" w:rsidP="00CC01C2">
            <w:pPr>
              <w:spacing w:after="0" w:line="240" w:lineRule="auto"/>
              <w:rPr>
                <w:rFonts w:ascii="Arial" w:eastAsia="Times New Roman" w:hAnsi="Arial" w:cs="Arial"/>
                <w:color w:val="000000"/>
                <w:sz w:val="18"/>
                <w:szCs w:val="18"/>
                <w:lang w:eastAsia="fr-FR"/>
              </w:rPr>
            </w:pPr>
            <w:r w:rsidRPr="005C566E">
              <w:rPr>
                <w:rFonts w:ascii="Arial" w:eastAsia="Times New Roman" w:hAnsi="Arial" w:cs="Arial"/>
                <w:color w:val="000000"/>
                <w:sz w:val="18"/>
                <w:szCs w:val="18"/>
                <w:lang w:eastAsia="fr-FR"/>
              </w:rPr>
              <w:t>Craintes</w:t>
            </w:r>
            <w:r w:rsidR="00277DBD" w:rsidRPr="005C566E">
              <w:rPr>
                <w:rFonts w:ascii="Arial" w:eastAsia="Times New Roman" w:hAnsi="Arial" w:cs="Arial"/>
                <w:color w:val="000000"/>
                <w:sz w:val="18"/>
                <w:szCs w:val="18"/>
                <w:lang w:eastAsia="fr-FR"/>
              </w:rPr>
              <w:t xml:space="preserve"> par rapport à la sécurité des infrastructures</w:t>
            </w:r>
          </w:p>
        </w:tc>
        <w:tc>
          <w:tcPr>
            <w:tcW w:w="4620" w:type="dxa"/>
            <w:tcBorders>
              <w:top w:val="single" w:sz="8" w:space="0" w:color="4F81BD"/>
              <w:left w:val="single" w:sz="8" w:space="0" w:color="4F81BD"/>
              <w:bottom w:val="single" w:sz="8" w:space="0" w:color="4F81BD"/>
              <w:right w:val="single" w:sz="8" w:space="0" w:color="4F81BD"/>
            </w:tcBorders>
            <w:shd w:val="clear" w:color="auto" w:fill="auto"/>
            <w:hideMark/>
          </w:tcPr>
          <w:p w14:paraId="49BFD987" w14:textId="77777777" w:rsidR="00277DBD" w:rsidRPr="007F78CE" w:rsidRDefault="00277DBD"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Collaboration avec les gendarmes et la police pour la sécurité des équipements</w:t>
            </w:r>
          </w:p>
        </w:tc>
      </w:tr>
      <w:tr w:rsidR="0063584D" w:rsidRPr="007F78CE" w14:paraId="28326781" w14:textId="77777777" w:rsidTr="3F0A0941">
        <w:trPr>
          <w:trHeight w:val="604"/>
        </w:trPr>
        <w:tc>
          <w:tcPr>
            <w:tcW w:w="4620" w:type="dxa"/>
            <w:vMerge/>
            <w:hideMark/>
          </w:tcPr>
          <w:p w14:paraId="4EED8CB3" w14:textId="77777777" w:rsidR="00277DBD" w:rsidRPr="005C566E" w:rsidRDefault="00277DBD" w:rsidP="005D11CF">
            <w:pPr>
              <w:spacing w:after="0" w:line="240" w:lineRule="auto"/>
              <w:rPr>
                <w:rFonts w:ascii="Arial" w:eastAsia="Times New Roman" w:hAnsi="Arial" w:cs="Arial"/>
                <w:color w:val="000000"/>
                <w:sz w:val="18"/>
                <w:szCs w:val="18"/>
                <w:lang w:eastAsia="fr-FR"/>
              </w:rPr>
            </w:pPr>
          </w:p>
        </w:tc>
        <w:tc>
          <w:tcPr>
            <w:tcW w:w="4620" w:type="dxa"/>
            <w:tcBorders>
              <w:top w:val="single" w:sz="8" w:space="0" w:color="4F81BD"/>
              <w:left w:val="single" w:sz="8" w:space="0" w:color="4F81BD"/>
              <w:bottom w:val="single" w:sz="8" w:space="0" w:color="4F81BD"/>
              <w:right w:val="single" w:sz="8" w:space="0" w:color="4F81BD"/>
            </w:tcBorders>
            <w:shd w:val="clear" w:color="auto" w:fill="D3DFEE"/>
            <w:hideMark/>
          </w:tcPr>
          <w:p w14:paraId="0A3B838D" w14:textId="77777777" w:rsidR="00277DBD" w:rsidRPr="007F78CE" w:rsidRDefault="00277DBD"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Responsabilisation de tout un chacun par rapport aux équipements publics</w:t>
            </w:r>
          </w:p>
        </w:tc>
      </w:tr>
      <w:tr w:rsidR="0063584D" w:rsidRPr="007F78CE" w14:paraId="7324A2BD" w14:textId="77777777" w:rsidTr="00B434A6">
        <w:trPr>
          <w:trHeight w:val="432"/>
        </w:trPr>
        <w:tc>
          <w:tcPr>
            <w:tcW w:w="4620" w:type="dxa"/>
            <w:tcBorders>
              <w:top w:val="single" w:sz="8" w:space="0" w:color="4F81BD"/>
              <w:left w:val="single" w:sz="8" w:space="0" w:color="4F81BD"/>
              <w:bottom w:val="single" w:sz="8" w:space="0" w:color="4F81BD"/>
              <w:right w:val="single" w:sz="8" w:space="0" w:color="4F81BD"/>
            </w:tcBorders>
            <w:shd w:val="clear" w:color="auto" w:fill="auto"/>
            <w:hideMark/>
          </w:tcPr>
          <w:p w14:paraId="30B98AF1" w14:textId="77777777" w:rsidR="00277DBD" w:rsidRPr="005C566E" w:rsidRDefault="00277DBD" w:rsidP="005C566E">
            <w:pPr>
              <w:spacing w:after="0" w:line="240" w:lineRule="auto"/>
              <w:rPr>
                <w:rFonts w:ascii="Arial" w:eastAsia="Times New Roman" w:hAnsi="Arial" w:cs="Arial"/>
                <w:color w:val="000000"/>
                <w:sz w:val="18"/>
                <w:szCs w:val="18"/>
                <w:lang w:eastAsia="fr-FR"/>
              </w:rPr>
            </w:pPr>
            <w:bookmarkStart w:id="1242" w:name="_Toc124956302"/>
            <w:bookmarkStart w:id="1243" w:name="_Toc125384650"/>
            <w:bookmarkStart w:id="1244" w:name="_Toc125385039"/>
            <w:r w:rsidRPr="005C566E">
              <w:rPr>
                <w:rFonts w:ascii="Arial" w:eastAsia="Times New Roman" w:hAnsi="Arial" w:cs="Arial"/>
                <w:color w:val="000000"/>
                <w:sz w:val="18"/>
                <w:szCs w:val="18"/>
                <w:lang w:eastAsia="fr-FR"/>
              </w:rPr>
              <w:t>Craintes par rapport à la dégradation de la santé</w:t>
            </w:r>
            <w:r w:rsidR="00C005EB" w:rsidRPr="005C566E">
              <w:rPr>
                <w:rFonts w:ascii="Arial" w:eastAsia="Times New Roman" w:hAnsi="Arial" w:cs="Arial"/>
                <w:color w:val="000000"/>
                <w:sz w:val="18"/>
                <w:szCs w:val="18"/>
                <w:lang w:eastAsia="fr-FR"/>
              </w:rPr>
              <w:t xml:space="preserve"> suite aux </w:t>
            </w:r>
            <w:r w:rsidRPr="005C566E">
              <w:rPr>
                <w:rFonts w:ascii="Arial" w:eastAsia="Times New Roman" w:hAnsi="Arial" w:cs="Arial"/>
                <w:color w:val="000000"/>
                <w:sz w:val="18"/>
                <w:szCs w:val="18"/>
                <w:lang w:eastAsia="fr-FR"/>
              </w:rPr>
              <w:t>effets de l’installation de pylônes</w:t>
            </w:r>
            <w:bookmarkEnd w:id="1242"/>
            <w:bookmarkEnd w:id="1243"/>
            <w:bookmarkEnd w:id="1244"/>
          </w:p>
        </w:tc>
        <w:tc>
          <w:tcPr>
            <w:tcW w:w="4620" w:type="dxa"/>
            <w:tcBorders>
              <w:top w:val="single" w:sz="8" w:space="0" w:color="4F81BD"/>
              <w:left w:val="single" w:sz="8" w:space="0" w:color="4F81BD"/>
              <w:bottom w:val="single" w:sz="8" w:space="0" w:color="4F81BD"/>
              <w:right w:val="single" w:sz="8" w:space="0" w:color="4F81BD"/>
            </w:tcBorders>
            <w:shd w:val="clear" w:color="auto" w:fill="auto"/>
            <w:noWrap/>
            <w:hideMark/>
          </w:tcPr>
          <w:p w14:paraId="5914198A" w14:textId="77777777" w:rsidR="00277DBD" w:rsidRPr="007F78CE" w:rsidRDefault="00277DBD"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Mettre le pylône en dehors de la zone d'habitation</w:t>
            </w:r>
          </w:p>
        </w:tc>
      </w:tr>
      <w:tr w:rsidR="0063584D" w:rsidRPr="007F78CE" w14:paraId="3BB8D3F3" w14:textId="77777777" w:rsidTr="007F78CE">
        <w:trPr>
          <w:trHeight w:val="525"/>
        </w:trPr>
        <w:tc>
          <w:tcPr>
            <w:tcW w:w="4620" w:type="dxa"/>
            <w:tcBorders>
              <w:top w:val="single" w:sz="8" w:space="0" w:color="4F81BD"/>
              <w:left w:val="single" w:sz="8" w:space="0" w:color="4F81BD"/>
              <w:bottom w:val="single" w:sz="8" w:space="0" w:color="4F81BD"/>
              <w:right w:val="single" w:sz="8" w:space="0" w:color="4F81BD"/>
            </w:tcBorders>
            <w:shd w:val="clear" w:color="auto" w:fill="D3DFEE"/>
            <w:hideMark/>
          </w:tcPr>
          <w:p w14:paraId="5F84242B" w14:textId="77777777" w:rsidR="00277DBD" w:rsidRPr="005C566E" w:rsidRDefault="00277DBD" w:rsidP="00CC01C2">
            <w:pPr>
              <w:spacing w:after="0" w:line="240" w:lineRule="auto"/>
              <w:rPr>
                <w:rFonts w:ascii="Arial" w:eastAsia="Times New Roman" w:hAnsi="Arial" w:cs="Arial"/>
                <w:color w:val="000000"/>
                <w:sz w:val="18"/>
                <w:szCs w:val="18"/>
                <w:lang w:eastAsia="fr-FR"/>
              </w:rPr>
            </w:pPr>
            <w:r w:rsidRPr="005C566E">
              <w:rPr>
                <w:rFonts w:ascii="Arial" w:eastAsia="Times New Roman" w:hAnsi="Arial" w:cs="Arial"/>
                <w:color w:val="000000"/>
                <w:sz w:val="18"/>
                <w:szCs w:val="18"/>
                <w:lang w:eastAsia="fr-FR"/>
              </w:rPr>
              <w:t xml:space="preserve">Crainte par rapport à la baisse du taux de réussite des élèves à cause de </w:t>
            </w:r>
            <w:r w:rsidR="105719AC" w:rsidRPr="005C566E">
              <w:rPr>
                <w:rFonts w:ascii="Arial" w:eastAsia="Times New Roman" w:hAnsi="Arial" w:cs="Arial"/>
                <w:color w:val="000000"/>
                <w:sz w:val="18"/>
                <w:szCs w:val="18"/>
                <w:lang w:eastAsia="fr-FR"/>
              </w:rPr>
              <w:t>Facebook</w:t>
            </w:r>
          </w:p>
        </w:tc>
        <w:tc>
          <w:tcPr>
            <w:tcW w:w="4620" w:type="dxa"/>
            <w:tcBorders>
              <w:top w:val="single" w:sz="8" w:space="0" w:color="4F81BD"/>
              <w:left w:val="single" w:sz="8" w:space="0" w:color="4F81BD"/>
              <w:bottom w:val="single" w:sz="8" w:space="0" w:color="4F81BD"/>
              <w:right w:val="single" w:sz="8" w:space="0" w:color="4F81BD"/>
            </w:tcBorders>
            <w:shd w:val="clear" w:color="auto" w:fill="D3DFEE"/>
            <w:hideMark/>
          </w:tcPr>
          <w:p w14:paraId="6B6C7B08" w14:textId="77777777" w:rsidR="00277DBD" w:rsidRPr="007F78CE" w:rsidRDefault="00277DBD"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Sensibilisation par mass-média des avantages et désavantages d’internet</w:t>
            </w:r>
          </w:p>
        </w:tc>
      </w:tr>
      <w:tr w:rsidR="0063584D" w:rsidRPr="007F78CE" w14:paraId="0BB9239C" w14:textId="77777777" w:rsidTr="007F78CE">
        <w:trPr>
          <w:trHeight w:val="466"/>
        </w:trPr>
        <w:tc>
          <w:tcPr>
            <w:tcW w:w="4620" w:type="dxa"/>
            <w:vMerge w:val="restart"/>
            <w:tcBorders>
              <w:top w:val="single" w:sz="8" w:space="0" w:color="4F81BD"/>
              <w:left w:val="single" w:sz="8" w:space="0" w:color="4F81BD"/>
              <w:bottom w:val="single" w:sz="8" w:space="0" w:color="4F81BD"/>
              <w:right w:val="single" w:sz="8" w:space="0" w:color="4F81BD"/>
            </w:tcBorders>
            <w:shd w:val="clear" w:color="auto" w:fill="auto"/>
            <w:hideMark/>
          </w:tcPr>
          <w:p w14:paraId="3CA7D670" w14:textId="77777777" w:rsidR="00277DBD" w:rsidRPr="005C566E" w:rsidRDefault="00277DBD" w:rsidP="005C566E">
            <w:pPr>
              <w:spacing w:after="0" w:line="240" w:lineRule="auto"/>
              <w:rPr>
                <w:rFonts w:ascii="Arial" w:eastAsia="Times New Roman" w:hAnsi="Arial" w:cs="Arial"/>
                <w:color w:val="000000"/>
                <w:sz w:val="18"/>
                <w:szCs w:val="18"/>
                <w:lang w:eastAsia="fr-FR"/>
              </w:rPr>
            </w:pPr>
            <w:bookmarkStart w:id="1245" w:name="_Toc124956303"/>
            <w:bookmarkStart w:id="1246" w:name="_Toc125384651"/>
            <w:bookmarkStart w:id="1247" w:name="_Toc125385040"/>
            <w:r w:rsidRPr="005C566E">
              <w:rPr>
                <w:rFonts w:ascii="Arial" w:eastAsia="Times New Roman" w:hAnsi="Arial" w:cs="Arial"/>
                <w:color w:val="000000"/>
                <w:sz w:val="18"/>
                <w:szCs w:val="18"/>
                <w:lang w:eastAsia="fr-FR"/>
              </w:rPr>
              <w:t>Chômage des jeunes à cause du nombre élevé de jeunes diplômés. Aucun travail à la hauteur du diplôme des étudiants. Manque d’expérience</w:t>
            </w:r>
            <w:bookmarkEnd w:id="1245"/>
            <w:bookmarkEnd w:id="1246"/>
            <w:bookmarkEnd w:id="1247"/>
          </w:p>
        </w:tc>
        <w:tc>
          <w:tcPr>
            <w:tcW w:w="4620" w:type="dxa"/>
            <w:tcBorders>
              <w:top w:val="single" w:sz="8" w:space="0" w:color="4F81BD"/>
              <w:left w:val="single" w:sz="8" w:space="0" w:color="4F81BD"/>
              <w:bottom w:val="single" w:sz="8" w:space="0" w:color="4F81BD"/>
              <w:right w:val="single" w:sz="8" w:space="0" w:color="4F81BD"/>
            </w:tcBorders>
            <w:shd w:val="clear" w:color="auto" w:fill="auto"/>
            <w:hideMark/>
          </w:tcPr>
          <w:p w14:paraId="0DDA5345" w14:textId="77777777" w:rsidR="00277DBD" w:rsidRPr="007F78CE" w:rsidRDefault="00277DBD"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Recrutement des jeunes locaux pour l’ensemble des activités du projet</w:t>
            </w:r>
          </w:p>
        </w:tc>
      </w:tr>
      <w:tr w:rsidR="0063584D" w:rsidRPr="007F78CE" w14:paraId="339E859A" w14:textId="77777777" w:rsidTr="3F0A0941">
        <w:trPr>
          <w:trHeight w:val="402"/>
        </w:trPr>
        <w:tc>
          <w:tcPr>
            <w:tcW w:w="4620" w:type="dxa"/>
            <w:vMerge/>
            <w:hideMark/>
          </w:tcPr>
          <w:p w14:paraId="5897CB39" w14:textId="77777777" w:rsidR="00277DBD" w:rsidRPr="005C566E" w:rsidRDefault="00277DBD" w:rsidP="005D11CF">
            <w:pPr>
              <w:spacing w:after="0" w:line="240" w:lineRule="auto"/>
              <w:rPr>
                <w:rFonts w:ascii="Arial" w:eastAsia="Times New Roman" w:hAnsi="Arial" w:cs="Arial"/>
                <w:color w:val="000000"/>
                <w:sz w:val="18"/>
                <w:szCs w:val="18"/>
                <w:lang w:eastAsia="fr-FR"/>
              </w:rPr>
            </w:pPr>
          </w:p>
        </w:tc>
        <w:tc>
          <w:tcPr>
            <w:tcW w:w="4620" w:type="dxa"/>
            <w:tcBorders>
              <w:top w:val="single" w:sz="8" w:space="0" w:color="4F81BD"/>
              <w:left w:val="single" w:sz="8" w:space="0" w:color="4F81BD"/>
              <w:bottom w:val="single" w:sz="8" w:space="0" w:color="4F81BD"/>
              <w:right w:val="single" w:sz="8" w:space="0" w:color="4F81BD"/>
            </w:tcBorders>
            <w:shd w:val="clear" w:color="auto" w:fill="D3DFEE"/>
            <w:hideMark/>
          </w:tcPr>
          <w:p w14:paraId="525C2259" w14:textId="77777777" w:rsidR="00277DBD" w:rsidRPr="007F78CE" w:rsidRDefault="00277DBD"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Priorisation des jeunes sans emploi pour les activités du Projet</w:t>
            </w:r>
          </w:p>
        </w:tc>
      </w:tr>
      <w:tr w:rsidR="0063584D" w:rsidRPr="007F78CE" w14:paraId="5D4D3217" w14:textId="77777777" w:rsidTr="007F78CE">
        <w:trPr>
          <w:trHeight w:val="510"/>
        </w:trPr>
        <w:tc>
          <w:tcPr>
            <w:tcW w:w="4620" w:type="dxa"/>
            <w:tcBorders>
              <w:top w:val="single" w:sz="8" w:space="0" w:color="4F81BD"/>
              <w:left w:val="single" w:sz="8" w:space="0" w:color="4F81BD"/>
              <w:bottom w:val="single" w:sz="8" w:space="0" w:color="4F81BD"/>
              <w:right w:val="single" w:sz="8" w:space="0" w:color="4F81BD"/>
            </w:tcBorders>
            <w:shd w:val="clear" w:color="auto" w:fill="auto"/>
            <w:hideMark/>
          </w:tcPr>
          <w:p w14:paraId="6378338B" w14:textId="77777777" w:rsidR="00277DBD" w:rsidRPr="005C566E" w:rsidRDefault="00277DBD" w:rsidP="005C566E">
            <w:pPr>
              <w:spacing w:after="0" w:line="240" w:lineRule="auto"/>
              <w:rPr>
                <w:rFonts w:ascii="Arial" w:eastAsia="Times New Roman" w:hAnsi="Arial" w:cs="Arial"/>
                <w:color w:val="000000"/>
                <w:sz w:val="18"/>
                <w:szCs w:val="18"/>
                <w:lang w:eastAsia="fr-FR"/>
              </w:rPr>
            </w:pPr>
            <w:bookmarkStart w:id="1248" w:name="_Toc124956304"/>
            <w:bookmarkStart w:id="1249" w:name="_Toc125384652"/>
            <w:bookmarkStart w:id="1250" w:name="_Toc125385041"/>
            <w:r w:rsidRPr="005C566E">
              <w:rPr>
                <w:rFonts w:ascii="Arial" w:eastAsia="Times New Roman" w:hAnsi="Arial" w:cs="Arial"/>
                <w:color w:val="000000"/>
                <w:sz w:val="18"/>
                <w:szCs w:val="18"/>
                <w:lang w:eastAsia="fr-FR"/>
              </w:rPr>
              <w:t>Priorisation des mains d’œuvre externes pour les activités du Projet</w:t>
            </w:r>
            <w:bookmarkEnd w:id="1248"/>
            <w:bookmarkEnd w:id="1249"/>
            <w:bookmarkEnd w:id="1250"/>
          </w:p>
        </w:tc>
        <w:tc>
          <w:tcPr>
            <w:tcW w:w="4620" w:type="dxa"/>
            <w:tcBorders>
              <w:top w:val="single" w:sz="8" w:space="0" w:color="4F81BD"/>
              <w:left w:val="single" w:sz="8" w:space="0" w:color="4F81BD"/>
              <w:bottom w:val="single" w:sz="8" w:space="0" w:color="4F81BD"/>
              <w:right w:val="single" w:sz="8" w:space="0" w:color="4F81BD"/>
            </w:tcBorders>
            <w:shd w:val="clear" w:color="auto" w:fill="auto"/>
            <w:hideMark/>
          </w:tcPr>
          <w:p w14:paraId="155E4A18" w14:textId="77777777" w:rsidR="00277DBD" w:rsidRPr="007F78CE" w:rsidRDefault="00277DBD"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Recrutement des jeunes locaux pour l’ensemble des activités du projet</w:t>
            </w:r>
          </w:p>
        </w:tc>
      </w:tr>
      <w:tr w:rsidR="0063584D" w:rsidRPr="007F78CE" w14:paraId="0B7C7D33" w14:textId="77777777" w:rsidTr="00B434A6">
        <w:trPr>
          <w:trHeight w:val="576"/>
        </w:trPr>
        <w:tc>
          <w:tcPr>
            <w:tcW w:w="4620" w:type="dxa"/>
            <w:tcBorders>
              <w:top w:val="single" w:sz="8" w:space="0" w:color="4F81BD"/>
              <w:left w:val="single" w:sz="8" w:space="0" w:color="4F81BD"/>
              <w:bottom w:val="single" w:sz="8" w:space="0" w:color="4F81BD"/>
              <w:right w:val="single" w:sz="8" w:space="0" w:color="4F81BD"/>
            </w:tcBorders>
            <w:shd w:val="clear" w:color="auto" w:fill="D3DFEE"/>
            <w:hideMark/>
          </w:tcPr>
          <w:p w14:paraId="75877F1C" w14:textId="77777777" w:rsidR="00277DBD" w:rsidRPr="005C566E" w:rsidRDefault="00277DBD" w:rsidP="005C566E">
            <w:pPr>
              <w:spacing w:after="0" w:line="240" w:lineRule="auto"/>
              <w:rPr>
                <w:rFonts w:ascii="Arial" w:eastAsia="Times New Roman" w:hAnsi="Arial" w:cs="Arial"/>
                <w:color w:val="000000"/>
                <w:sz w:val="18"/>
                <w:szCs w:val="18"/>
                <w:lang w:eastAsia="fr-FR"/>
              </w:rPr>
            </w:pPr>
            <w:bookmarkStart w:id="1251" w:name="_Toc124956305"/>
            <w:bookmarkStart w:id="1252" w:name="_Toc125384653"/>
            <w:bookmarkStart w:id="1253" w:name="_Toc125385042"/>
            <w:r w:rsidRPr="005C566E">
              <w:rPr>
                <w:rFonts w:ascii="Arial" w:eastAsia="Times New Roman" w:hAnsi="Arial" w:cs="Arial"/>
                <w:color w:val="000000"/>
                <w:sz w:val="18"/>
                <w:szCs w:val="18"/>
                <w:lang w:eastAsia="fr-FR"/>
              </w:rPr>
              <w:t>Mauvaise utilisation de l'internet comme la propagation de fausse nouvelle ou des haines par rapport à d'autres groupes de personnes</w:t>
            </w:r>
            <w:bookmarkEnd w:id="1251"/>
            <w:bookmarkEnd w:id="1252"/>
            <w:bookmarkEnd w:id="1253"/>
          </w:p>
        </w:tc>
        <w:tc>
          <w:tcPr>
            <w:tcW w:w="4620" w:type="dxa"/>
            <w:tcBorders>
              <w:top w:val="single" w:sz="8" w:space="0" w:color="4F81BD"/>
              <w:left w:val="single" w:sz="8" w:space="0" w:color="4F81BD"/>
              <w:bottom w:val="single" w:sz="8" w:space="0" w:color="4F81BD"/>
              <w:right w:val="single" w:sz="8" w:space="0" w:color="4F81BD"/>
            </w:tcBorders>
            <w:shd w:val="clear" w:color="auto" w:fill="D3DFEE"/>
            <w:hideMark/>
          </w:tcPr>
          <w:p w14:paraId="6A243E72" w14:textId="77777777" w:rsidR="00277DBD" w:rsidRPr="007F78CE" w:rsidRDefault="00277DBD" w:rsidP="007F78CE">
            <w:pPr>
              <w:spacing w:after="0" w:line="240" w:lineRule="auto"/>
              <w:rPr>
                <w:rFonts w:ascii="Arial" w:eastAsia="Times New Roman" w:hAnsi="Arial" w:cs="Arial"/>
                <w:color w:val="000000"/>
                <w:sz w:val="18"/>
                <w:szCs w:val="18"/>
                <w:lang w:eastAsia="fr-FR"/>
              </w:rPr>
            </w:pPr>
            <w:r w:rsidRPr="007F78CE">
              <w:rPr>
                <w:rFonts w:ascii="Arial" w:eastAsia="Times New Roman" w:hAnsi="Arial" w:cs="Arial"/>
                <w:color w:val="000000"/>
                <w:sz w:val="18"/>
                <w:szCs w:val="18"/>
                <w:lang w:eastAsia="fr-FR"/>
              </w:rPr>
              <w:t>Renforcement des lois sur l’utilisation des réseaux sociaux</w:t>
            </w:r>
          </w:p>
        </w:tc>
      </w:tr>
    </w:tbl>
    <w:p w14:paraId="41DBC294" w14:textId="77777777" w:rsidR="00277DBD" w:rsidRDefault="00277DBD" w:rsidP="0096492E">
      <w:pPr>
        <w:autoSpaceDE w:val="0"/>
        <w:autoSpaceDN w:val="0"/>
        <w:adjustRightInd w:val="0"/>
        <w:jc w:val="both"/>
        <w:rPr>
          <w:rFonts w:ascii="Arial" w:hAnsi="Arial" w:cs="Arial"/>
          <w:szCs w:val="24"/>
        </w:rPr>
      </w:pPr>
    </w:p>
    <w:p w14:paraId="26C47252" w14:textId="77777777" w:rsidR="00277DBD" w:rsidRDefault="00277DBD" w:rsidP="0096492E">
      <w:pPr>
        <w:autoSpaceDE w:val="0"/>
        <w:autoSpaceDN w:val="0"/>
        <w:adjustRightInd w:val="0"/>
        <w:jc w:val="both"/>
        <w:rPr>
          <w:rFonts w:ascii="Arial" w:hAnsi="Arial" w:cs="Arial"/>
          <w:szCs w:val="24"/>
        </w:rPr>
      </w:pPr>
      <w:r>
        <w:rPr>
          <w:rFonts w:ascii="Arial" w:hAnsi="Arial" w:cs="Arial"/>
          <w:szCs w:val="24"/>
        </w:rPr>
        <w:t>Malgré ces préoccupations, les jeunes sont conscients du bien fait du Projet et apporte</w:t>
      </w:r>
      <w:r w:rsidR="00411B7D">
        <w:rPr>
          <w:rFonts w:ascii="Arial" w:hAnsi="Arial" w:cs="Arial"/>
          <w:szCs w:val="24"/>
        </w:rPr>
        <w:t xml:space="preserve">nt </w:t>
      </w:r>
      <w:r>
        <w:rPr>
          <w:rFonts w:ascii="Arial" w:hAnsi="Arial" w:cs="Arial"/>
          <w:szCs w:val="24"/>
        </w:rPr>
        <w:t xml:space="preserve">leurs soutiens quant à sa mise en œuvre. D’après les jeunes, le Projet DECIM pourrait apporter : </w:t>
      </w:r>
    </w:p>
    <w:p w14:paraId="5962835D" w14:textId="77777777" w:rsidR="00277DBD" w:rsidRPr="003E0CDB" w:rsidRDefault="004841BC" w:rsidP="00687DD2">
      <w:pPr>
        <w:pStyle w:val="Paragraphedeliste"/>
        <w:numPr>
          <w:ilvl w:val="0"/>
          <w:numId w:val="47"/>
        </w:numPr>
        <w:spacing w:after="0" w:line="240" w:lineRule="auto"/>
        <w:ind w:left="714" w:hanging="357"/>
        <w:jc w:val="both"/>
        <w:rPr>
          <w:rFonts w:ascii="Arial" w:hAnsi="Arial" w:cs="Arial"/>
        </w:rPr>
      </w:pPr>
      <w:r>
        <w:rPr>
          <w:rFonts w:ascii="Arial" w:hAnsi="Arial" w:cs="Arial"/>
        </w:rPr>
        <w:t>L</w:t>
      </w:r>
      <w:r w:rsidR="00C005EB">
        <w:rPr>
          <w:rFonts w:ascii="Arial" w:hAnsi="Arial" w:cs="Arial"/>
        </w:rPr>
        <w:t>a</w:t>
      </w:r>
      <w:r w:rsidR="00277DBD" w:rsidRPr="003E0CDB">
        <w:rPr>
          <w:rFonts w:ascii="Arial" w:hAnsi="Arial" w:cs="Arial"/>
        </w:rPr>
        <w:t xml:space="preserve"> Création d’entreprises </w:t>
      </w:r>
      <w:r w:rsidR="00C005EB">
        <w:rPr>
          <w:rFonts w:ascii="Arial" w:hAnsi="Arial" w:cs="Arial"/>
        </w:rPr>
        <w:t xml:space="preserve">donc </w:t>
      </w:r>
      <w:r w:rsidR="00277DBD" w:rsidRPr="003E0CDB">
        <w:rPr>
          <w:rFonts w:ascii="Arial" w:hAnsi="Arial" w:cs="Arial"/>
        </w:rPr>
        <w:t xml:space="preserve">d’emplois </w:t>
      </w:r>
      <w:r w:rsidR="003E3E27">
        <w:rPr>
          <w:rFonts w:ascii="Arial" w:hAnsi="Arial" w:cs="Arial"/>
        </w:rPr>
        <w:t xml:space="preserve">à la </w:t>
      </w:r>
      <w:r w:rsidR="00C005EB">
        <w:rPr>
          <w:rFonts w:ascii="Arial" w:hAnsi="Arial" w:cs="Arial"/>
        </w:rPr>
        <w:t xml:space="preserve">suite </w:t>
      </w:r>
      <w:r w:rsidR="003E3E27">
        <w:rPr>
          <w:rFonts w:ascii="Arial" w:hAnsi="Arial" w:cs="Arial"/>
        </w:rPr>
        <w:t>de</w:t>
      </w:r>
      <w:r w:rsidR="003E3E27" w:rsidRPr="003E0CDB">
        <w:rPr>
          <w:rFonts w:ascii="Arial" w:hAnsi="Arial" w:cs="Arial"/>
        </w:rPr>
        <w:t xml:space="preserve"> </w:t>
      </w:r>
      <w:r w:rsidR="00277DBD" w:rsidRPr="003E0CDB">
        <w:rPr>
          <w:rFonts w:ascii="Arial" w:hAnsi="Arial" w:cs="Arial"/>
        </w:rPr>
        <w:t>l’électrification du village</w:t>
      </w:r>
      <w:r w:rsidR="003E0CDB">
        <w:rPr>
          <w:rFonts w:ascii="Arial" w:hAnsi="Arial" w:cs="Arial"/>
        </w:rPr>
        <w:t> ;</w:t>
      </w:r>
    </w:p>
    <w:p w14:paraId="33565CE1" w14:textId="77777777" w:rsidR="00277DBD" w:rsidRPr="003E0CDB" w:rsidRDefault="004841BC" w:rsidP="00687DD2">
      <w:pPr>
        <w:pStyle w:val="Paragraphedeliste"/>
        <w:numPr>
          <w:ilvl w:val="0"/>
          <w:numId w:val="47"/>
        </w:numPr>
        <w:spacing w:after="0" w:line="240" w:lineRule="auto"/>
        <w:ind w:left="714" w:hanging="357"/>
        <w:jc w:val="both"/>
        <w:rPr>
          <w:rFonts w:ascii="Arial" w:hAnsi="Arial" w:cs="Arial"/>
        </w:rPr>
      </w:pPr>
      <w:r>
        <w:rPr>
          <w:rFonts w:ascii="Arial" w:hAnsi="Arial" w:cs="Arial"/>
        </w:rPr>
        <w:t>L</w:t>
      </w:r>
      <w:r w:rsidR="00C005EB">
        <w:rPr>
          <w:rFonts w:ascii="Arial" w:hAnsi="Arial" w:cs="Arial"/>
        </w:rPr>
        <w:t>’</w:t>
      </w:r>
      <w:r w:rsidR="00277DBD" w:rsidRPr="003E0CDB">
        <w:rPr>
          <w:rFonts w:ascii="Arial" w:hAnsi="Arial" w:cs="Arial"/>
        </w:rPr>
        <w:t>éclairage de l’ensemble de la zone d’habitation</w:t>
      </w:r>
      <w:r w:rsidR="003E0CDB">
        <w:rPr>
          <w:rFonts w:ascii="Arial" w:hAnsi="Arial" w:cs="Arial"/>
        </w:rPr>
        <w:t> ;</w:t>
      </w:r>
    </w:p>
    <w:p w14:paraId="1335F244" w14:textId="77777777" w:rsidR="00277DBD" w:rsidRPr="003E0CDB" w:rsidRDefault="004841BC" w:rsidP="00687DD2">
      <w:pPr>
        <w:pStyle w:val="Paragraphedeliste"/>
        <w:numPr>
          <w:ilvl w:val="0"/>
          <w:numId w:val="47"/>
        </w:numPr>
        <w:spacing w:after="0" w:line="240" w:lineRule="auto"/>
        <w:ind w:left="714" w:hanging="357"/>
        <w:jc w:val="both"/>
        <w:rPr>
          <w:rFonts w:ascii="Arial" w:hAnsi="Arial" w:cs="Arial"/>
        </w:rPr>
      </w:pPr>
      <w:r>
        <w:rPr>
          <w:rFonts w:ascii="Arial" w:hAnsi="Arial" w:cs="Arial"/>
        </w:rPr>
        <w:t>L</w:t>
      </w:r>
      <w:r w:rsidR="00277DBD" w:rsidRPr="003E0CDB">
        <w:rPr>
          <w:rFonts w:ascii="Arial" w:hAnsi="Arial" w:cs="Arial"/>
        </w:rPr>
        <w:t>a facilitation de l’accès aux NTIC</w:t>
      </w:r>
      <w:r w:rsidR="003E0CDB">
        <w:rPr>
          <w:rFonts w:ascii="Arial" w:hAnsi="Arial" w:cs="Arial"/>
        </w:rPr>
        <w:t> ;</w:t>
      </w:r>
    </w:p>
    <w:p w14:paraId="179BDBF8" w14:textId="77777777" w:rsidR="00277DBD" w:rsidRPr="003E0CDB" w:rsidRDefault="004841BC" w:rsidP="00687DD2">
      <w:pPr>
        <w:pStyle w:val="Paragraphedeliste"/>
        <w:numPr>
          <w:ilvl w:val="0"/>
          <w:numId w:val="47"/>
        </w:numPr>
        <w:spacing w:after="0" w:line="240" w:lineRule="auto"/>
        <w:ind w:left="714" w:hanging="357"/>
        <w:jc w:val="both"/>
        <w:rPr>
          <w:rFonts w:ascii="Arial" w:hAnsi="Arial" w:cs="Arial"/>
        </w:rPr>
      </w:pPr>
      <w:r>
        <w:rPr>
          <w:rFonts w:ascii="Arial" w:hAnsi="Arial" w:cs="Arial"/>
        </w:rPr>
        <w:t>L</w:t>
      </w:r>
      <w:r w:rsidR="00C005EB">
        <w:rPr>
          <w:rFonts w:ascii="Arial" w:hAnsi="Arial" w:cs="Arial"/>
        </w:rPr>
        <w:t xml:space="preserve">e </w:t>
      </w:r>
      <w:r w:rsidR="00277DBD" w:rsidRPr="003E0CDB">
        <w:rPr>
          <w:rFonts w:ascii="Arial" w:hAnsi="Arial" w:cs="Arial"/>
        </w:rPr>
        <w:t xml:space="preserve">développement </w:t>
      </w:r>
      <w:r w:rsidR="00C005EB">
        <w:rPr>
          <w:rFonts w:ascii="Arial" w:hAnsi="Arial" w:cs="Arial"/>
        </w:rPr>
        <w:t>de la communication</w:t>
      </w:r>
      <w:r w:rsidR="00277DBD" w:rsidRPr="003E0CDB">
        <w:rPr>
          <w:rFonts w:ascii="Arial" w:hAnsi="Arial" w:cs="Arial"/>
        </w:rPr>
        <w:t xml:space="preserve"> avec les autres Régions de Madagascar</w:t>
      </w:r>
      <w:r w:rsidR="003E0CDB">
        <w:rPr>
          <w:rFonts w:ascii="Arial" w:hAnsi="Arial" w:cs="Arial"/>
        </w:rPr>
        <w:t> ;</w:t>
      </w:r>
    </w:p>
    <w:p w14:paraId="51527496" w14:textId="77777777" w:rsidR="00277DBD" w:rsidRPr="003E0CDB" w:rsidRDefault="004841BC" w:rsidP="00687DD2">
      <w:pPr>
        <w:pStyle w:val="Paragraphedeliste"/>
        <w:numPr>
          <w:ilvl w:val="0"/>
          <w:numId w:val="47"/>
        </w:numPr>
        <w:spacing w:after="0" w:line="240" w:lineRule="auto"/>
        <w:ind w:left="714" w:hanging="357"/>
        <w:jc w:val="both"/>
        <w:rPr>
          <w:rFonts w:ascii="Arial" w:hAnsi="Arial" w:cs="Arial"/>
        </w:rPr>
      </w:pPr>
      <w:r>
        <w:rPr>
          <w:rFonts w:ascii="Arial" w:hAnsi="Arial" w:cs="Arial"/>
        </w:rPr>
        <w:t>L</w:t>
      </w:r>
      <w:r w:rsidR="00C005EB">
        <w:rPr>
          <w:rFonts w:ascii="Arial" w:hAnsi="Arial" w:cs="Arial"/>
        </w:rPr>
        <w:t>’</w:t>
      </w:r>
      <w:r w:rsidR="00277DBD" w:rsidRPr="003E0CDB">
        <w:rPr>
          <w:rFonts w:ascii="Arial" w:hAnsi="Arial" w:cs="Arial"/>
        </w:rPr>
        <w:t xml:space="preserve">amélioration de la communication qui entraine une </w:t>
      </w:r>
      <w:r w:rsidR="00C005EB">
        <w:rPr>
          <w:rFonts w:ascii="Arial" w:hAnsi="Arial" w:cs="Arial"/>
        </w:rPr>
        <w:t>d</w:t>
      </w:r>
      <w:r w:rsidR="00277DBD" w:rsidRPr="003E0CDB">
        <w:rPr>
          <w:rFonts w:ascii="Arial" w:hAnsi="Arial" w:cs="Arial"/>
        </w:rPr>
        <w:t>iminution de la perte de temps</w:t>
      </w:r>
    </w:p>
    <w:p w14:paraId="634F80DF" w14:textId="77777777" w:rsidR="00277DBD" w:rsidRPr="003E0CDB" w:rsidRDefault="004841BC" w:rsidP="00687DD2">
      <w:pPr>
        <w:pStyle w:val="Paragraphedeliste"/>
        <w:numPr>
          <w:ilvl w:val="0"/>
          <w:numId w:val="47"/>
        </w:numPr>
        <w:spacing w:after="0" w:line="240" w:lineRule="auto"/>
        <w:ind w:left="714" w:hanging="357"/>
        <w:jc w:val="both"/>
        <w:rPr>
          <w:rFonts w:ascii="Arial" w:hAnsi="Arial" w:cs="Arial"/>
        </w:rPr>
      </w:pPr>
      <w:r>
        <w:rPr>
          <w:rFonts w:ascii="Arial" w:hAnsi="Arial" w:cs="Arial"/>
        </w:rPr>
        <w:t>L</w:t>
      </w:r>
      <w:r w:rsidR="00C005EB">
        <w:rPr>
          <w:rFonts w:ascii="Arial" w:hAnsi="Arial" w:cs="Arial"/>
        </w:rPr>
        <w:t>a f</w:t>
      </w:r>
      <w:r w:rsidR="00277DBD" w:rsidRPr="003E0CDB">
        <w:rPr>
          <w:rFonts w:ascii="Arial" w:hAnsi="Arial" w:cs="Arial"/>
        </w:rPr>
        <w:t>acilitation d’accès à l’eau potable grâce à l’utilisation de motopompe électrique</w:t>
      </w:r>
      <w:r w:rsidR="003E0CDB">
        <w:rPr>
          <w:rFonts w:ascii="Arial" w:hAnsi="Arial" w:cs="Arial"/>
        </w:rPr>
        <w:t> ;</w:t>
      </w:r>
    </w:p>
    <w:p w14:paraId="7C0FD7CE" w14:textId="77777777" w:rsidR="004625ED" w:rsidRPr="004625ED" w:rsidRDefault="004625ED" w:rsidP="0044500E">
      <w:pPr>
        <w:pStyle w:val="TIT3"/>
        <w:numPr>
          <w:ilvl w:val="2"/>
          <w:numId w:val="177"/>
        </w:numPr>
      </w:pPr>
      <w:bookmarkStart w:id="1254" w:name="_Toc124314771"/>
      <w:bookmarkStart w:id="1255" w:name="_Toc124956306"/>
      <w:bookmarkStart w:id="1256" w:name="_Toc125384654"/>
      <w:bookmarkStart w:id="1257" w:name="_Toc125385043"/>
      <w:bookmarkStart w:id="1258" w:name="_Toc127957710"/>
      <w:r w:rsidRPr="004625ED">
        <w:t>Consultation publique</w:t>
      </w:r>
      <w:bookmarkEnd w:id="1254"/>
      <w:bookmarkEnd w:id="1255"/>
      <w:bookmarkEnd w:id="1256"/>
      <w:bookmarkEnd w:id="1257"/>
      <w:bookmarkEnd w:id="1258"/>
    </w:p>
    <w:p w14:paraId="06D6F027" w14:textId="77777777" w:rsidR="007270B7" w:rsidRPr="007270B7" w:rsidRDefault="007270B7" w:rsidP="0044500E">
      <w:pPr>
        <w:pStyle w:val="TIT40"/>
        <w:numPr>
          <w:ilvl w:val="3"/>
          <w:numId w:val="177"/>
        </w:numPr>
        <w:outlineLvl w:val="3"/>
      </w:pPr>
      <w:bookmarkStart w:id="1259" w:name="_Toc124314772"/>
      <w:bookmarkStart w:id="1260" w:name="_Toc124956307"/>
      <w:bookmarkStart w:id="1261" w:name="_Toc125384655"/>
      <w:bookmarkStart w:id="1262" w:name="_Toc125385044"/>
      <w:bookmarkStart w:id="1263" w:name="_Toc127957711"/>
      <w:r w:rsidRPr="007270B7">
        <w:t>Déroulement de la consultation publique</w:t>
      </w:r>
      <w:bookmarkEnd w:id="1259"/>
      <w:bookmarkEnd w:id="1260"/>
      <w:bookmarkEnd w:id="1261"/>
      <w:bookmarkEnd w:id="1262"/>
      <w:bookmarkEnd w:id="1263"/>
      <w:r w:rsidRPr="007270B7">
        <w:t xml:space="preserve"> </w:t>
      </w:r>
    </w:p>
    <w:p w14:paraId="7EC7B472" w14:textId="77777777" w:rsidR="007270B7" w:rsidRPr="007270B7" w:rsidRDefault="007270B7" w:rsidP="007270B7">
      <w:pPr>
        <w:autoSpaceDE w:val="0"/>
        <w:autoSpaceDN w:val="0"/>
        <w:adjustRightInd w:val="0"/>
        <w:jc w:val="both"/>
        <w:rPr>
          <w:rFonts w:ascii="Arial" w:hAnsi="Arial" w:cs="Arial"/>
          <w:szCs w:val="24"/>
        </w:rPr>
      </w:pPr>
      <w:r w:rsidRPr="007270B7">
        <w:rPr>
          <w:rFonts w:ascii="Arial" w:hAnsi="Arial" w:cs="Arial"/>
          <w:szCs w:val="24"/>
        </w:rPr>
        <w:t xml:space="preserve">Au niveau local (fokontany ou localités de quelques </w:t>
      </w:r>
      <w:r w:rsidR="00823B35" w:rsidRPr="007270B7">
        <w:rPr>
          <w:rFonts w:ascii="Arial" w:hAnsi="Arial" w:cs="Arial"/>
          <w:szCs w:val="24"/>
        </w:rPr>
        <w:t>chefs-lieux</w:t>
      </w:r>
      <w:r w:rsidRPr="007270B7">
        <w:rPr>
          <w:rFonts w:ascii="Arial" w:hAnsi="Arial" w:cs="Arial"/>
          <w:szCs w:val="24"/>
        </w:rPr>
        <w:t xml:space="preserve"> de commune), des consultations publiques ont été organisées pour informer la communauté de l’existence du projet et des activités potentielles générées par les composantes et sous-composantes</w:t>
      </w:r>
      <w:r w:rsidR="003E3E27">
        <w:rPr>
          <w:rFonts w:ascii="Arial" w:hAnsi="Arial" w:cs="Arial"/>
          <w:szCs w:val="24"/>
        </w:rPr>
        <w:t xml:space="preserve"> du Projet</w:t>
      </w:r>
      <w:r w:rsidRPr="007270B7">
        <w:rPr>
          <w:rFonts w:ascii="Arial" w:hAnsi="Arial" w:cs="Arial"/>
          <w:szCs w:val="24"/>
        </w:rPr>
        <w:t xml:space="preserve">. Les consultations publiques permettent également de recueillir les avis et les préoccupations de la communauté par rapport au Projet. Le tableau ci-dessous renseigne sur le nombre des consultations publiques tenues au niveau des régions visitées. </w:t>
      </w:r>
    </w:p>
    <w:p w14:paraId="4E628707" w14:textId="77777777" w:rsidR="0096492E" w:rsidRPr="007270B7" w:rsidRDefault="004841BC" w:rsidP="007270B7">
      <w:pPr>
        <w:pStyle w:val="Lgende"/>
        <w:jc w:val="center"/>
        <w:rPr>
          <w:sz w:val="20"/>
        </w:rPr>
      </w:pPr>
      <w:r>
        <w:rPr>
          <w:sz w:val="20"/>
        </w:rPr>
        <w:br w:type="page"/>
      </w:r>
      <w:bookmarkStart w:id="1264" w:name="_Toc127957886"/>
      <w:r w:rsidR="007270B7" w:rsidRPr="007270B7">
        <w:rPr>
          <w:sz w:val="20"/>
        </w:rPr>
        <w:t xml:space="preserve">Tableau </w:t>
      </w:r>
      <w:r w:rsidR="007270B7" w:rsidRPr="007270B7">
        <w:rPr>
          <w:sz w:val="20"/>
        </w:rPr>
        <w:fldChar w:fldCharType="begin"/>
      </w:r>
      <w:r w:rsidR="007270B7" w:rsidRPr="007270B7">
        <w:rPr>
          <w:sz w:val="20"/>
        </w:rPr>
        <w:instrText xml:space="preserve"> SEQ Tableau \* ARABIC </w:instrText>
      </w:r>
      <w:r w:rsidR="007270B7" w:rsidRPr="007270B7">
        <w:rPr>
          <w:sz w:val="20"/>
        </w:rPr>
        <w:fldChar w:fldCharType="separate"/>
      </w:r>
      <w:r w:rsidR="005430A1">
        <w:rPr>
          <w:noProof/>
          <w:sz w:val="20"/>
        </w:rPr>
        <w:t>90</w:t>
      </w:r>
      <w:r w:rsidR="007270B7" w:rsidRPr="007270B7">
        <w:rPr>
          <w:sz w:val="20"/>
        </w:rPr>
        <w:fldChar w:fldCharType="end"/>
      </w:r>
      <w:r w:rsidR="007270B7" w:rsidRPr="007270B7">
        <w:rPr>
          <w:sz w:val="20"/>
        </w:rPr>
        <w:t>. Consultations publiques effectuées dans les Région</w:t>
      </w:r>
      <w:r w:rsidR="005969CF">
        <w:rPr>
          <w:sz w:val="20"/>
        </w:rPr>
        <w:t>s</w:t>
      </w:r>
      <w:r w:rsidR="007270B7" w:rsidRPr="007270B7">
        <w:rPr>
          <w:sz w:val="20"/>
        </w:rPr>
        <w:t xml:space="preserve"> visitées</w:t>
      </w:r>
      <w:bookmarkEnd w:id="1264"/>
    </w:p>
    <w:tbl>
      <w:tblPr>
        <w:tblW w:w="5478" w:type="pct"/>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31"/>
        <w:gridCol w:w="1521"/>
        <w:gridCol w:w="1705"/>
        <w:gridCol w:w="1003"/>
        <w:gridCol w:w="1374"/>
        <w:gridCol w:w="1013"/>
        <w:gridCol w:w="950"/>
        <w:gridCol w:w="1918"/>
      </w:tblGrid>
      <w:tr w:rsidR="0063584D" w:rsidRPr="007F78CE" w14:paraId="40FF91E0" w14:textId="77777777" w:rsidTr="007F78CE">
        <w:trPr>
          <w:tblHeader/>
          <w:jc w:val="center"/>
        </w:trPr>
        <w:tc>
          <w:tcPr>
            <w:tcW w:w="217" w:type="pct"/>
            <w:tcBorders>
              <w:top w:val="single" w:sz="8" w:space="0" w:color="4F81BD"/>
              <w:left w:val="single" w:sz="8" w:space="0" w:color="4F81BD"/>
              <w:bottom w:val="single" w:sz="18" w:space="0" w:color="4F81BD"/>
              <w:right w:val="single" w:sz="8" w:space="0" w:color="4F81BD"/>
            </w:tcBorders>
            <w:shd w:val="clear" w:color="auto" w:fill="auto"/>
            <w:vAlign w:val="center"/>
          </w:tcPr>
          <w:p w14:paraId="34E2FD12" w14:textId="77777777" w:rsidR="007270B7" w:rsidRPr="007F78CE" w:rsidRDefault="007270B7" w:rsidP="007F78CE">
            <w:pPr>
              <w:spacing w:after="0" w:line="240" w:lineRule="auto"/>
              <w:jc w:val="center"/>
              <w:rPr>
                <w:rFonts w:ascii="Arial" w:eastAsia="Times New Roman" w:hAnsi="Arial" w:cs="Arial"/>
                <w:b/>
                <w:bCs/>
                <w:sz w:val="18"/>
                <w:szCs w:val="18"/>
              </w:rPr>
            </w:pPr>
            <w:r w:rsidRPr="007F78CE">
              <w:rPr>
                <w:rFonts w:ascii="Arial" w:eastAsia="Times New Roman" w:hAnsi="Arial" w:cs="Arial"/>
                <w:b/>
                <w:bCs/>
                <w:sz w:val="18"/>
                <w:szCs w:val="18"/>
              </w:rPr>
              <w:t>N°</w:t>
            </w:r>
          </w:p>
        </w:tc>
        <w:tc>
          <w:tcPr>
            <w:tcW w:w="767" w:type="pct"/>
            <w:tcBorders>
              <w:top w:val="single" w:sz="8" w:space="0" w:color="4F81BD"/>
              <w:left w:val="single" w:sz="8" w:space="0" w:color="4F81BD"/>
              <w:bottom w:val="single" w:sz="18" w:space="0" w:color="4F81BD"/>
              <w:right w:val="single" w:sz="8" w:space="0" w:color="4F81BD"/>
            </w:tcBorders>
            <w:shd w:val="clear" w:color="auto" w:fill="auto"/>
            <w:vAlign w:val="center"/>
          </w:tcPr>
          <w:p w14:paraId="03137A1A" w14:textId="77777777" w:rsidR="007270B7" w:rsidRPr="007F78CE" w:rsidRDefault="007270B7" w:rsidP="007F78CE">
            <w:pPr>
              <w:spacing w:after="0" w:line="240" w:lineRule="auto"/>
              <w:jc w:val="center"/>
              <w:rPr>
                <w:rFonts w:ascii="Arial" w:eastAsia="Times New Roman" w:hAnsi="Arial" w:cs="Arial"/>
                <w:b/>
                <w:bCs/>
                <w:sz w:val="18"/>
                <w:szCs w:val="18"/>
              </w:rPr>
            </w:pPr>
            <w:r w:rsidRPr="007F78CE">
              <w:rPr>
                <w:rFonts w:ascii="Arial" w:eastAsia="Times New Roman" w:hAnsi="Arial" w:cs="Arial"/>
                <w:b/>
                <w:bCs/>
                <w:sz w:val="18"/>
                <w:szCs w:val="18"/>
              </w:rPr>
              <w:t>Régions</w:t>
            </w:r>
          </w:p>
        </w:tc>
        <w:tc>
          <w:tcPr>
            <w:tcW w:w="860" w:type="pct"/>
            <w:tcBorders>
              <w:top w:val="single" w:sz="8" w:space="0" w:color="4F81BD"/>
              <w:left w:val="single" w:sz="8" w:space="0" w:color="4F81BD"/>
              <w:bottom w:val="single" w:sz="18" w:space="0" w:color="4F81BD"/>
              <w:right w:val="single" w:sz="8" w:space="0" w:color="4F81BD"/>
            </w:tcBorders>
            <w:shd w:val="clear" w:color="auto" w:fill="auto"/>
            <w:vAlign w:val="center"/>
          </w:tcPr>
          <w:p w14:paraId="1D3FF3C4" w14:textId="77777777" w:rsidR="007270B7" w:rsidRPr="007F78CE" w:rsidRDefault="007270B7" w:rsidP="007F78CE">
            <w:pPr>
              <w:spacing w:after="0" w:line="240" w:lineRule="auto"/>
              <w:jc w:val="center"/>
              <w:rPr>
                <w:rFonts w:ascii="Arial" w:eastAsia="Times New Roman" w:hAnsi="Arial" w:cs="Arial"/>
                <w:b/>
                <w:bCs/>
                <w:sz w:val="18"/>
                <w:szCs w:val="18"/>
              </w:rPr>
            </w:pPr>
            <w:r w:rsidRPr="007F78CE">
              <w:rPr>
                <w:rFonts w:ascii="Arial" w:eastAsia="Times New Roman" w:hAnsi="Arial" w:cs="Arial"/>
                <w:b/>
                <w:bCs/>
                <w:sz w:val="18"/>
                <w:szCs w:val="18"/>
              </w:rPr>
              <w:t>Districts</w:t>
            </w:r>
          </w:p>
        </w:tc>
        <w:tc>
          <w:tcPr>
            <w:tcW w:w="506" w:type="pct"/>
            <w:tcBorders>
              <w:top w:val="single" w:sz="8" w:space="0" w:color="4F81BD"/>
              <w:left w:val="single" w:sz="8" w:space="0" w:color="4F81BD"/>
              <w:bottom w:val="single" w:sz="18" w:space="0" w:color="4F81BD"/>
              <w:right w:val="single" w:sz="8" w:space="0" w:color="4F81BD"/>
            </w:tcBorders>
            <w:shd w:val="clear" w:color="auto" w:fill="auto"/>
            <w:vAlign w:val="center"/>
          </w:tcPr>
          <w:p w14:paraId="39776226" w14:textId="77777777" w:rsidR="007270B7" w:rsidRPr="007F78CE" w:rsidRDefault="007270B7" w:rsidP="007F78CE">
            <w:pPr>
              <w:spacing w:after="0" w:line="240" w:lineRule="auto"/>
              <w:ind w:firstLine="18"/>
              <w:jc w:val="center"/>
              <w:rPr>
                <w:rFonts w:ascii="Arial" w:eastAsia="Times New Roman" w:hAnsi="Arial" w:cs="Arial"/>
                <w:b/>
                <w:bCs/>
                <w:sz w:val="18"/>
                <w:szCs w:val="18"/>
              </w:rPr>
            </w:pPr>
            <w:r w:rsidRPr="007F78CE">
              <w:rPr>
                <w:rFonts w:ascii="Arial" w:eastAsia="Times New Roman" w:hAnsi="Arial" w:cs="Arial"/>
                <w:b/>
                <w:bCs/>
                <w:sz w:val="18"/>
                <w:szCs w:val="18"/>
              </w:rPr>
              <w:t>Nombre de CP</w:t>
            </w:r>
          </w:p>
        </w:tc>
        <w:tc>
          <w:tcPr>
            <w:tcW w:w="693" w:type="pct"/>
            <w:tcBorders>
              <w:top w:val="single" w:sz="8" w:space="0" w:color="4F81BD"/>
              <w:left w:val="single" w:sz="8" w:space="0" w:color="4F81BD"/>
              <w:bottom w:val="single" w:sz="18" w:space="0" w:color="4F81BD"/>
              <w:right w:val="single" w:sz="8" w:space="0" w:color="4F81BD"/>
            </w:tcBorders>
            <w:shd w:val="clear" w:color="auto" w:fill="auto"/>
            <w:vAlign w:val="center"/>
          </w:tcPr>
          <w:p w14:paraId="33FD2246" w14:textId="77777777" w:rsidR="007270B7" w:rsidRPr="007F78CE" w:rsidRDefault="007270B7" w:rsidP="007F78CE">
            <w:pPr>
              <w:spacing w:after="0" w:line="240" w:lineRule="auto"/>
              <w:jc w:val="center"/>
              <w:rPr>
                <w:rFonts w:ascii="Arial" w:eastAsia="Times New Roman" w:hAnsi="Arial" w:cs="Arial"/>
                <w:b/>
                <w:bCs/>
                <w:sz w:val="18"/>
                <w:szCs w:val="18"/>
              </w:rPr>
            </w:pPr>
            <w:r w:rsidRPr="007F78CE">
              <w:rPr>
                <w:rFonts w:ascii="Arial" w:eastAsia="Times New Roman" w:hAnsi="Arial" w:cs="Arial"/>
                <w:b/>
                <w:bCs/>
                <w:sz w:val="18"/>
                <w:szCs w:val="18"/>
              </w:rPr>
              <w:t>Total participants</w:t>
            </w:r>
          </w:p>
        </w:tc>
        <w:tc>
          <w:tcPr>
            <w:tcW w:w="511" w:type="pct"/>
            <w:tcBorders>
              <w:top w:val="single" w:sz="8" w:space="0" w:color="4F81BD"/>
              <w:left w:val="single" w:sz="8" w:space="0" w:color="4F81BD"/>
              <w:bottom w:val="single" w:sz="18" w:space="0" w:color="4F81BD"/>
              <w:right w:val="single" w:sz="8" w:space="0" w:color="4F81BD"/>
            </w:tcBorders>
            <w:shd w:val="clear" w:color="auto" w:fill="auto"/>
            <w:vAlign w:val="center"/>
          </w:tcPr>
          <w:p w14:paraId="1118A270" w14:textId="77777777" w:rsidR="007270B7" w:rsidRPr="007F78CE" w:rsidRDefault="007270B7" w:rsidP="007F78CE">
            <w:pPr>
              <w:spacing w:after="0" w:line="240" w:lineRule="auto"/>
              <w:jc w:val="center"/>
              <w:rPr>
                <w:rFonts w:ascii="Arial" w:eastAsia="Times New Roman" w:hAnsi="Arial" w:cs="Arial"/>
                <w:b/>
                <w:bCs/>
                <w:sz w:val="18"/>
                <w:szCs w:val="18"/>
              </w:rPr>
            </w:pPr>
            <w:r w:rsidRPr="007F78CE">
              <w:rPr>
                <w:rFonts w:ascii="Arial" w:eastAsia="Times New Roman" w:hAnsi="Arial" w:cs="Arial"/>
                <w:b/>
                <w:bCs/>
                <w:sz w:val="18"/>
                <w:szCs w:val="18"/>
              </w:rPr>
              <w:t>Dont hommes</w:t>
            </w:r>
          </w:p>
        </w:tc>
        <w:tc>
          <w:tcPr>
            <w:tcW w:w="479" w:type="pct"/>
            <w:tcBorders>
              <w:top w:val="single" w:sz="8" w:space="0" w:color="4F81BD"/>
              <w:left w:val="single" w:sz="8" w:space="0" w:color="4F81BD"/>
              <w:bottom w:val="single" w:sz="18" w:space="0" w:color="4F81BD"/>
              <w:right w:val="single" w:sz="8" w:space="0" w:color="4F81BD"/>
            </w:tcBorders>
            <w:shd w:val="clear" w:color="auto" w:fill="auto"/>
            <w:vAlign w:val="center"/>
          </w:tcPr>
          <w:p w14:paraId="791C4F57" w14:textId="77777777" w:rsidR="007270B7" w:rsidRPr="007F78CE" w:rsidRDefault="007270B7" w:rsidP="007F78CE">
            <w:pPr>
              <w:spacing w:after="0" w:line="240" w:lineRule="auto"/>
              <w:jc w:val="center"/>
              <w:rPr>
                <w:rFonts w:ascii="Arial" w:eastAsia="Times New Roman" w:hAnsi="Arial" w:cs="Arial"/>
                <w:b/>
                <w:bCs/>
                <w:sz w:val="18"/>
                <w:szCs w:val="18"/>
              </w:rPr>
            </w:pPr>
            <w:r w:rsidRPr="007F78CE">
              <w:rPr>
                <w:rFonts w:ascii="Arial" w:eastAsia="Times New Roman" w:hAnsi="Arial" w:cs="Arial"/>
                <w:b/>
                <w:bCs/>
                <w:sz w:val="18"/>
                <w:szCs w:val="18"/>
              </w:rPr>
              <w:t>Dont femmes</w:t>
            </w:r>
          </w:p>
        </w:tc>
        <w:tc>
          <w:tcPr>
            <w:tcW w:w="967" w:type="pct"/>
            <w:tcBorders>
              <w:top w:val="single" w:sz="8" w:space="0" w:color="4F81BD"/>
              <w:left w:val="single" w:sz="8" w:space="0" w:color="4F81BD"/>
              <w:bottom w:val="single" w:sz="18" w:space="0" w:color="4F81BD"/>
              <w:right w:val="single" w:sz="8" w:space="0" w:color="4F81BD"/>
            </w:tcBorders>
            <w:shd w:val="clear" w:color="auto" w:fill="auto"/>
            <w:vAlign w:val="center"/>
          </w:tcPr>
          <w:p w14:paraId="4E1CC6B3" w14:textId="77777777" w:rsidR="007270B7" w:rsidRPr="007F78CE" w:rsidRDefault="007270B7" w:rsidP="007F78CE">
            <w:pPr>
              <w:spacing w:after="0" w:line="240" w:lineRule="auto"/>
              <w:jc w:val="center"/>
              <w:rPr>
                <w:rFonts w:ascii="Arial" w:eastAsia="Times New Roman" w:hAnsi="Arial" w:cs="Arial"/>
                <w:b/>
                <w:bCs/>
                <w:sz w:val="18"/>
                <w:szCs w:val="18"/>
              </w:rPr>
            </w:pPr>
            <w:r w:rsidRPr="007F78CE">
              <w:rPr>
                <w:rFonts w:ascii="Arial" w:eastAsia="Times New Roman" w:hAnsi="Arial" w:cs="Arial"/>
                <w:b/>
                <w:bCs/>
                <w:sz w:val="18"/>
                <w:szCs w:val="18"/>
              </w:rPr>
              <w:t>Profils des participants</w:t>
            </w:r>
          </w:p>
        </w:tc>
      </w:tr>
      <w:tr w:rsidR="0063584D" w:rsidRPr="007F78CE" w14:paraId="6E85215B" w14:textId="77777777" w:rsidTr="007F78CE">
        <w:trPr>
          <w:jc w:val="center"/>
        </w:trPr>
        <w:tc>
          <w:tcPr>
            <w:tcW w:w="217" w:type="pct"/>
            <w:tcBorders>
              <w:top w:val="single" w:sz="8" w:space="0" w:color="4F81BD"/>
              <w:left w:val="single" w:sz="8" w:space="0" w:color="4F81BD"/>
              <w:bottom w:val="single" w:sz="8" w:space="0" w:color="4F81BD"/>
              <w:right w:val="single" w:sz="8" w:space="0" w:color="4F81BD"/>
            </w:tcBorders>
            <w:shd w:val="clear" w:color="auto" w:fill="D3DFEE"/>
            <w:vAlign w:val="center"/>
          </w:tcPr>
          <w:p w14:paraId="278C17D7" w14:textId="77777777" w:rsidR="007270B7" w:rsidRPr="007F78CE" w:rsidRDefault="007270B7" w:rsidP="007F78CE">
            <w:pPr>
              <w:spacing w:after="0" w:line="240" w:lineRule="auto"/>
              <w:jc w:val="center"/>
              <w:rPr>
                <w:rFonts w:ascii="Arial" w:eastAsia="Times New Roman" w:hAnsi="Arial" w:cs="Arial"/>
                <w:b/>
                <w:bCs/>
                <w:sz w:val="18"/>
                <w:szCs w:val="18"/>
              </w:rPr>
            </w:pPr>
            <w:r w:rsidRPr="007F78CE">
              <w:rPr>
                <w:rFonts w:ascii="Arial" w:eastAsia="Times New Roman" w:hAnsi="Arial" w:cs="Arial"/>
                <w:b/>
                <w:bCs/>
                <w:sz w:val="18"/>
                <w:szCs w:val="18"/>
              </w:rPr>
              <w:t>1</w:t>
            </w:r>
          </w:p>
        </w:tc>
        <w:tc>
          <w:tcPr>
            <w:tcW w:w="767" w:type="pct"/>
            <w:tcBorders>
              <w:top w:val="single" w:sz="8" w:space="0" w:color="4F81BD"/>
              <w:left w:val="single" w:sz="8" w:space="0" w:color="4F81BD"/>
              <w:bottom w:val="single" w:sz="8" w:space="0" w:color="4F81BD"/>
              <w:right w:val="single" w:sz="8" w:space="0" w:color="4F81BD"/>
            </w:tcBorders>
            <w:shd w:val="clear" w:color="auto" w:fill="D3DFEE"/>
            <w:vAlign w:val="center"/>
          </w:tcPr>
          <w:p w14:paraId="447B684D" w14:textId="77777777" w:rsidR="007270B7" w:rsidRPr="007F78CE" w:rsidRDefault="007270B7" w:rsidP="007F78CE">
            <w:pPr>
              <w:spacing w:after="0" w:line="240" w:lineRule="auto"/>
              <w:rPr>
                <w:rFonts w:ascii="Arial" w:hAnsi="Arial" w:cs="Arial"/>
                <w:sz w:val="18"/>
                <w:szCs w:val="18"/>
              </w:rPr>
            </w:pPr>
            <w:r w:rsidRPr="007F78CE">
              <w:rPr>
                <w:rFonts w:ascii="Arial" w:hAnsi="Arial" w:cs="Arial"/>
                <w:sz w:val="18"/>
                <w:szCs w:val="18"/>
              </w:rPr>
              <w:t>Boeny</w:t>
            </w:r>
          </w:p>
        </w:tc>
        <w:tc>
          <w:tcPr>
            <w:tcW w:w="860" w:type="pct"/>
            <w:tcBorders>
              <w:top w:val="single" w:sz="8" w:space="0" w:color="4F81BD"/>
              <w:left w:val="single" w:sz="8" w:space="0" w:color="4F81BD"/>
              <w:bottom w:val="single" w:sz="8" w:space="0" w:color="4F81BD"/>
              <w:right w:val="single" w:sz="8" w:space="0" w:color="4F81BD"/>
            </w:tcBorders>
            <w:shd w:val="clear" w:color="auto" w:fill="D3DFEE"/>
            <w:vAlign w:val="center"/>
          </w:tcPr>
          <w:p w14:paraId="4D5D199B" w14:textId="77777777" w:rsidR="007270B7" w:rsidRPr="007F78CE" w:rsidRDefault="007270B7" w:rsidP="007F78CE">
            <w:pPr>
              <w:spacing w:after="0" w:line="240" w:lineRule="auto"/>
              <w:rPr>
                <w:rFonts w:ascii="Arial" w:hAnsi="Arial" w:cs="Arial"/>
                <w:sz w:val="18"/>
                <w:szCs w:val="18"/>
              </w:rPr>
            </w:pPr>
            <w:r w:rsidRPr="007F78CE">
              <w:rPr>
                <w:rFonts w:ascii="Arial" w:hAnsi="Arial" w:cs="Arial"/>
                <w:sz w:val="18"/>
                <w:szCs w:val="18"/>
              </w:rPr>
              <w:t>Ambatoboeny</w:t>
            </w:r>
          </w:p>
          <w:p w14:paraId="07AC1BAA" w14:textId="77777777" w:rsidR="007270B7" w:rsidRPr="007F78CE" w:rsidRDefault="007270B7" w:rsidP="007F78CE">
            <w:pPr>
              <w:spacing w:after="0" w:line="240" w:lineRule="auto"/>
              <w:rPr>
                <w:rFonts w:ascii="Arial" w:hAnsi="Arial" w:cs="Arial"/>
                <w:sz w:val="18"/>
                <w:szCs w:val="18"/>
              </w:rPr>
            </w:pPr>
            <w:r w:rsidRPr="007F78CE">
              <w:rPr>
                <w:rFonts w:ascii="Arial" w:hAnsi="Arial" w:cs="Arial"/>
                <w:sz w:val="18"/>
                <w:szCs w:val="18"/>
              </w:rPr>
              <w:t>Marovoay</w:t>
            </w:r>
          </w:p>
        </w:tc>
        <w:tc>
          <w:tcPr>
            <w:tcW w:w="506" w:type="pct"/>
            <w:tcBorders>
              <w:top w:val="single" w:sz="8" w:space="0" w:color="4F81BD"/>
              <w:left w:val="single" w:sz="8" w:space="0" w:color="4F81BD"/>
              <w:bottom w:val="single" w:sz="8" w:space="0" w:color="4F81BD"/>
              <w:right w:val="single" w:sz="8" w:space="0" w:color="4F81BD"/>
            </w:tcBorders>
            <w:shd w:val="clear" w:color="auto" w:fill="D3DFEE"/>
            <w:vAlign w:val="center"/>
          </w:tcPr>
          <w:p w14:paraId="70ADFFC1" w14:textId="77777777" w:rsidR="007270B7" w:rsidRPr="007F78CE" w:rsidRDefault="007270B7" w:rsidP="007F78CE">
            <w:pPr>
              <w:spacing w:after="0" w:line="240" w:lineRule="auto"/>
              <w:jc w:val="center"/>
              <w:rPr>
                <w:rFonts w:ascii="Arial" w:hAnsi="Arial" w:cs="Arial"/>
                <w:sz w:val="18"/>
                <w:szCs w:val="18"/>
              </w:rPr>
            </w:pPr>
            <w:r w:rsidRPr="007F78CE">
              <w:rPr>
                <w:rFonts w:ascii="Arial" w:hAnsi="Arial" w:cs="Arial"/>
                <w:sz w:val="18"/>
                <w:szCs w:val="18"/>
              </w:rPr>
              <w:t>03</w:t>
            </w:r>
          </w:p>
        </w:tc>
        <w:tc>
          <w:tcPr>
            <w:tcW w:w="693" w:type="pct"/>
            <w:tcBorders>
              <w:top w:val="single" w:sz="8" w:space="0" w:color="4F81BD"/>
              <w:left w:val="single" w:sz="8" w:space="0" w:color="4F81BD"/>
              <w:bottom w:val="single" w:sz="8" w:space="0" w:color="4F81BD"/>
              <w:right w:val="single" w:sz="8" w:space="0" w:color="4F81BD"/>
            </w:tcBorders>
            <w:shd w:val="clear" w:color="auto" w:fill="D3DFEE"/>
            <w:vAlign w:val="center"/>
          </w:tcPr>
          <w:p w14:paraId="5E397564" w14:textId="77777777" w:rsidR="007270B7" w:rsidRPr="007F78CE" w:rsidRDefault="007270B7" w:rsidP="007F78CE">
            <w:pPr>
              <w:spacing w:after="0" w:line="240" w:lineRule="auto"/>
              <w:jc w:val="center"/>
              <w:rPr>
                <w:rFonts w:ascii="Arial" w:hAnsi="Arial" w:cs="Arial"/>
                <w:sz w:val="18"/>
                <w:szCs w:val="18"/>
              </w:rPr>
            </w:pPr>
            <w:r w:rsidRPr="007F78CE">
              <w:rPr>
                <w:rFonts w:ascii="Arial" w:hAnsi="Arial" w:cs="Arial"/>
                <w:sz w:val="18"/>
                <w:szCs w:val="18"/>
              </w:rPr>
              <w:t>98</w:t>
            </w:r>
          </w:p>
        </w:tc>
        <w:tc>
          <w:tcPr>
            <w:tcW w:w="511" w:type="pct"/>
            <w:tcBorders>
              <w:top w:val="single" w:sz="8" w:space="0" w:color="4F81BD"/>
              <w:left w:val="single" w:sz="8" w:space="0" w:color="4F81BD"/>
              <w:bottom w:val="single" w:sz="8" w:space="0" w:color="4F81BD"/>
              <w:right w:val="single" w:sz="8" w:space="0" w:color="4F81BD"/>
            </w:tcBorders>
            <w:shd w:val="clear" w:color="auto" w:fill="D3DFEE"/>
            <w:vAlign w:val="center"/>
          </w:tcPr>
          <w:p w14:paraId="5D5954EB" w14:textId="77777777" w:rsidR="007270B7" w:rsidRPr="007F78CE" w:rsidRDefault="007270B7" w:rsidP="007F78CE">
            <w:pPr>
              <w:spacing w:after="0" w:line="240" w:lineRule="auto"/>
              <w:jc w:val="center"/>
              <w:rPr>
                <w:rFonts w:ascii="Arial" w:hAnsi="Arial" w:cs="Arial"/>
                <w:sz w:val="18"/>
                <w:szCs w:val="18"/>
              </w:rPr>
            </w:pPr>
            <w:r w:rsidRPr="007F78CE">
              <w:rPr>
                <w:rFonts w:ascii="Arial" w:hAnsi="Arial" w:cs="Arial"/>
                <w:sz w:val="18"/>
                <w:szCs w:val="18"/>
              </w:rPr>
              <w:t>53</w:t>
            </w:r>
          </w:p>
        </w:tc>
        <w:tc>
          <w:tcPr>
            <w:tcW w:w="479" w:type="pct"/>
            <w:tcBorders>
              <w:top w:val="single" w:sz="8" w:space="0" w:color="4F81BD"/>
              <w:left w:val="single" w:sz="8" w:space="0" w:color="4F81BD"/>
              <w:bottom w:val="single" w:sz="8" w:space="0" w:color="4F81BD"/>
              <w:right w:val="single" w:sz="8" w:space="0" w:color="4F81BD"/>
            </w:tcBorders>
            <w:shd w:val="clear" w:color="auto" w:fill="D3DFEE"/>
            <w:vAlign w:val="center"/>
          </w:tcPr>
          <w:p w14:paraId="471BA22C" w14:textId="77777777" w:rsidR="007270B7" w:rsidRPr="007F78CE" w:rsidRDefault="007270B7" w:rsidP="007F78CE">
            <w:pPr>
              <w:spacing w:after="0" w:line="240" w:lineRule="auto"/>
              <w:jc w:val="center"/>
              <w:rPr>
                <w:rFonts w:ascii="Arial" w:hAnsi="Arial" w:cs="Arial"/>
                <w:sz w:val="18"/>
                <w:szCs w:val="18"/>
              </w:rPr>
            </w:pPr>
            <w:r w:rsidRPr="007F78CE">
              <w:rPr>
                <w:rFonts w:ascii="Arial" w:hAnsi="Arial" w:cs="Arial"/>
                <w:sz w:val="18"/>
                <w:szCs w:val="18"/>
              </w:rPr>
              <w:t>45</w:t>
            </w:r>
          </w:p>
        </w:tc>
        <w:tc>
          <w:tcPr>
            <w:tcW w:w="967" w:type="pct"/>
            <w:tcBorders>
              <w:top w:val="single" w:sz="8" w:space="0" w:color="4F81BD"/>
              <w:left w:val="single" w:sz="8" w:space="0" w:color="4F81BD"/>
              <w:bottom w:val="single" w:sz="8" w:space="0" w:color="4F81BD"/>
              <w:right w:val="single" w:sz="8" w:space="0" w:color="4F81BD"/>
            </w:tcBorders>
            <w:shd w:val="clear" w:color="auto" w:fill="D3DFEE"/>
          </w:tcPr>
          <w:p w14:paraId="0A2953EB" w14:textId="77777777" w:rsidR="007270B7" w:rsidRPr="007F78CE" w:rsidRDefault="007270B7" w:rsidP="007F78CE">
            <w:pPr>
              <w:spacing w:after="0" w:line="240" w:lineRule="auto"/>
              <w:rPr>
                <w:rFonts w:ascii="Arial" w:hAnsi="Arial" w:cs="Arial"/>
                <w:sz w:val="18"/>
                <w:szCs w:val="18"/>
              </w:rPr>
            </w:pPr>
            <w:r w:rsidRPr="007F78CE">
              <w:rPr>
                <w:rFonts w:ascii="Arial" w:hAnsi="Arial" w:cs="Arial"/>
                <w:sz w:val="18"/>
                <w:szCs w:val="18"/>
              </w:rPr>
              <w:t>Agriculteurs, autorités locales, enseignants, commerçants, étudiants, religieux, techniciens</w:t>
            </w:r>
          </w:p>
        </w:tc>
      </w:tr>
      <w:tr w:rsidR="0063584D" w:rsidRPr="007F78CE" w14:paraId="23CE8E28" w14:textId="77777777" w:rsidTr="007F78CE">
        <w:trPr>
          <w:jc w:val="center"/>
        </w:trPr>
        <w:tc>
          <w:tcPr>
            <w:tcW w:w="217" w:type="pct"/>
            <w:tcBorders>
              <w:top w:val="single" w:sz="8" w:space="0" w:color="4F81BD"/>
              <w:left w:val="single" w:sz="8" w:space="0" w:color="4F81BD"/>
              <w:bottom w:val="single" w:sz="8" w:space="0" w:color="4F81BD"/>
              <w:right w:val="single" w:sz="8" w:space="0" w:color="4F81BD"/>
            </w:tcBorders>
            <w:shd w:val="clear" w:color="auto" w:fill="auto"/>
            <w:vAlign w:val="center"/>
          </w:tcPr>
          <w:p w14:paraId="045D88BD" w14:textId="77777777" w:rsidR="007270B7" w:rsidRPr="007F78CE" w:rsidRDefault="007270B7" w:rsidP="007F78CE">
            <w:pPr>
              <w:spacing w:after="0" w:line="240" w:lineRule="auto"/>
              <w:jc w:val="center"/>
              <w:rPr>
                <w:rFonts w:ascii="Arial" w:eastAsia="Times New Roman" w:hAnsi="Arial" w:cs="Arial"/>
                <w:b/>
                <w:bCs/>
                <w:sz w:val="18"/>
                <w:szCs w:val="18"/>
              </w:rPr>
            </w:pPr>
            <w:r w:rsidRPr="007F78CE">
              <w:rPr>
                <w:rFonts w:ascii="Arial" w:eastAsia="Times New Roman" w:hAnsi="Arial" w:cs="Arial"/>
                <w:b/>
                <w:bCs/>
                <w:sz w:val="18"/>
                <w:szCs w:val="18"/>
              </w:rPr>
              <w:t>2</w:t>
            </w:r>
          </w:p>
        </w:tc>
        <w:tc>
          <w:tcPr>
            <w:tcW w:w="767" w:type="pct"/>
            <w:tcBorders>
              <w:top w:val="single" w:sz="8" w:space="0" w:color="4F81BD"/>
              <w:left w:val="single" w:sz="8" w:space="0" w:color="4F81BD"/>
              <w:bottom w:val="single" w:sz="8" w:space="0" w:color="4F81BD"/>
              <w:right w:val="single" w:sz="8" w:space="0" w:color="4F81BD"/>
            </w:tcBorders>
            <w:shd w:val="clear" w:color="auto" w:fill="auto"/>
            <w:vAlign w:val="center"/>
          </w:tcPr>
          <w:p w14:paraId="135364B3" w14:textId="77777777" w:rsidR="007270B7" w:rsidRPr="007F78CE" w:rsidRDefault="007270B7" w:rsidP="007F78CE">
            <w:pPr>
              <w:spacing w:after="0" w:line="240" w:lineRule="auto"/>
              <w:rPr>
                <w:rFonts w:ascii="Arial" w:hAnsi="Arial" w:cs="Arial"/>
                <w:sz w:val="18"/>
                <w:szCs w:val="18"/>
              </w:rPr>
            </w:pPr>
            <w:r w:rsidRPr="007F78CE">
              <w:rPr>
                <w:rFonts w:ascii="Arial" w:hAnsi="Arial" w:cs="Arial"/>
                <w:sz w:val="18"/>
                <w:szCs w:val="18"/>
              </w:rPr>
              <w:t>Bongolava</w:t>
            </w:r>
          </w:p>
        </w:tc>
        <w:tc>
          <w:tcPr>
            <w:tcW w:w="860" w:type="pct"/>
            <w:tcBorders>
              <w:top w:val="single" w:sz="8" w:space="0" w:color="4F81BD"/>
              <w:left w:val="single" w:sz="8" w:space="0" w:color="4F81BD"/>
              <w:bottom w:val="single" w:sz="8" w:space="0" w:color="4F81BD"/>
              <w:right w:val="single" w:sz="8" w:space="0" w:color="4F81BD"/>
            </w:tcBorders>
            <w:shd w:val="clear" w:color="auto" w:fill="auto"/>
            <w:vAlign w:val="center"/>
          </w:tcPr>
          <w:p w14:paraId="014AD6B0" w14:textId="77777777" w:rsidR="007270B7" w:rsidRPr="007F78CE" w:rsidRDefault="007270B7" w:rsidP="007F78CE">
            <w:pPr>
              <w:spacing w:after="0" w:line="240" w:lineRule="auto"/>
              <w:rPr>
                <w:rFonts w:ascii="Arial" w:hAnsi="Arial" w:cs="Arial"/>
                <w:sz w:val="18"/>
                <w:szCs w:val="18"/>
              </w:rPr>
            </w:pPr>
            <w:r w:rsidRPr="007F78CE">
              <w:rPr>
                <w:rFonts w:ascii="Arial" w:hAnsi="Arial" w:cs="Arial"/>
                <w:sz w:val="18"/>
                <w:szCs w:val="18"/>
              </w:rPr>
              <w:t>Tsiroanomandidy</w:t>
            </w:r>
          </w:p>
        </w:tc>
        <w:tc>
          <w:tcPr>
            <w:tcW w:w="506" w:type="pct"/>
            <w:tcBorders>
              <w:top w:val="single" w:sz="8" w:space="0" w:color="4F81BD"/>
              <w:left w:val="single" w:sz="8" w:space="0" w:color="4F81BD"/>
              <w:bottom w:val="single" w:sz="8" w:space="0" w:color="4F81BD"/>
              <w:right w:val="single" w:sz="8" w:space="0" w:color="4F81BD"/>
            </w:tcBorders>
            <w:shd w:val="clear" w:color="auto" w:fill="auto"/>
            <w:vAlign w:val="center"/>
          </w:tcPr>
          <w:p w14:paraId="2F1ABF22" w14:textId="77777777" w:rsidR="007270B7" w:rsidRPr="007F78CE" w:rsidRDefault="007270B7" w:rsidP="007F78CE">
            <w:pPr>
              <w:spacing w:after="0" w:line="240" w:lineRule="auto"/>
              <w:jc w:val="center"/>
              <w:rPr>
                <w:rFonts w:ascii="Arial" w:hAnsi="Arial" w:cs="Arial"/>
                <w:sz w:val="18"/>
                <w:szCs w:val="18"/>
              </w:rPr>
            </w:pPr>
            <w:r w:rsidRPr="007F78CE">
              <w:rPr>
                <w:rFonts w:ascii="Arial" w:hAnsi="Arial" w:cs="Arial"/>
                <w:sz w:val="18"/>
                <w:szCs w:val="18"/>
              </w:rPr>
              <w:t>03</w:t>
            </w:r>
          </w:p>
        </w:tc>
        <w:tc>
          <w:tcPr>
            <w:tcW w:w="693" w:type="pct"/>
            <w:tcBorders>
              <w:top w:val="single" w:sz="8" w:space="0" w:color="4F81BD"/>
              <w:left w:val="single" w:sz="8" w:space="0" w:color="4F81BD"/>
              <w:bottom w:val="single" w:sz="8" w:space="0" w:color="4F81BD"/>
              <w:right w:val="single" w:sz="8" w:space="0" w:color="4F81BD"/>
            </w:tcBorders>
            <w:shd w:val="clear" w:color="auto" w:fill="auto"/>
            <w:vAlign w:val="center"/>
          </w:tcPr>
          <w:p w14:paraId="302340BD" w14:textId="77777777" w:rsidR="007270B7" w:rsidRPr="007F78CE" w:rsidRDefault="007270B7" w:rsidP="007F78CE">
            <w:pPr>
              <w:spacing w:after="0" w:line="240" w:lineRule="auto"/>
              <w:jc w:val="center"/>
              <w:rPr>
                <w:rFonts w:ascii="Arial" w:hAnsi="Arial" w:cs="Arial"/>
                <w:sz w:val="18"/>
                <w:szCs w:val="18"/>
              </w:rPr>
            </w:pPr>
            <w:r w:rsidRPr="007F78CE">
              <w:rPr>
                <w:rFonts w:ascii="Arial" w:hAnsi="Arial" w:cs="Arial"/>
                <w:sz w:val="18"/>
                <w:szCs w:val="18"/>
              </w:rPr>
              <w:t>109</w:t>
            </w:r>
          </w:p>
        </w:tc>
        <w:tc>
          <w:tcPr>
            <w:tcW w:w="511" w:type="pct"/>
            <w:tcBorders>
              <w:top w:val="single" w:sz="8" w:space="0" w:color="4F81BD"/>
              <w:left w:val="single" w:sz="8" w:space="0" w:color="4F81BD"/>
              <w:bottom w:val="single" w:sz="8" w:space="0" w:color="4F81BD"/>
              <w:right w:val="single" w:sz="8" w:space="0" w:color="4F81BD"/>
            </w:tcBorders>
            <w:shd w:val="clear" w:color="auto" w:fill="auto"/>
            <w:vAlign w:val="center"/>
          </w:tcPr>
          <w:p w14:paraId="53775947" w14:textId="77777777" w:rsidR="007270B7" w:rsidRPr="007F78CE" w:rsidRDefault="007270B7" w:rsidP="007F78CE">
            <w:pPr>
              <w:spacing w:after="0" w:line="240" w:lineRule="auto"/>
              <w:jc w:val="center"/>
              <w:rPr>
                <w:rFonts w:ascii="Arial" w:hAnsi="Arial" w:cs="Arial"/>
                <w:sz w:val="18"/>
                <w:szCs w:val="18"/>
              </w:rPr>
            </w:pPr>
            <w:r w:rsidRPr="007F78CE">
              <w:rPr>
                <w:rFonts w:ascii="Arial" w:hAnsi="Arial" w:cs="Arial"/>
                <w:sz w:val="18"/>
                <w:szCs w:val="18"/>
              </w:rPr>
              <w:t>67</w:t>
            </w:r>
          </w:p>
        </w:tc>
        <w:tc>
          <w:tcPr>
            <w:tcW w:w="479" w:type="pct"/>
            <w:tcBorders>
              <w:top w:val="single" w:sz="8" w:space="0" w:color="4F81BD"/>
              <w:left w:val="single" w:sz="8" w:space="0" w:color="4F81BD"/>
              <w:bottom w:val="single" w:sz="8" w:space="0" w:color="4F81BD"/>
              <w:right w:val="single" w:sz="8" w:space="0" w:color="4F81BD"/>
            </w:tcBorders>
            <w:shd w:val="clear" w:color="auto" w:fill="auto"/>
            <w:vAlign w:val="center"/>
          </w:tcPr>
          <w:p w14:paraId="24A8ED59" w14:textId="77777777" w:rsidR="007270B7" w:rsidRPr="007F78CE" w:rsidRDefault="007270B7" w:rsidP="007F78CE">
            <w:pPr>
              <w:spacing w:after="0" w:line="240" w:lineRule="auto"/>
              <w:jc w:val="center"/>
              <w:rPr>
                <w:rFonts w:ascii="Arial" w:hAnsi="Arial" w:cs="Arial"/>
                <w:sz w:val="18"/>
                <w:szCs w:val="18"/>
              </w:rPr>
            </w:pPr>
            <w:r w:rsidRPr="007F78CE">
              <w:rPr>
                <w:rFonts w:ascii="Arial" w:hAnsi="Arial" w:cs="Arial"/>
                <w:sz w:val="18"/>
                <w:szCs w:val="18"/>
              </w:rPr>
              <w:t>42</w:t>
            </w:r>
          </w:p>
        </w:tc>
        <w:tc>
          <w:tcPr>
            <w:tcW w:w="967" w:type="pct"/>
            <w:tcBorders>
              <w:top w:val="single" w:sz="8" w:space="0" w:color="4F81BD"/>
              <w:left w:val="single" w:sz="8" w:space="0" w:color="4F81BD"/>
              <w:bottom w:val="single" w:sz="8" w:space="0" w:color="4F81BD"/>
              <w:right w:val="single" w:sz="8" w:space="0" w:color="4F81BD"/>
            </w:tcBorders>
            <w:shd w:val="clear" w:color="auto" w:fill="auto"/>
          </w:tcPr>
          <w:p w14:paraId="7FA62461" w14:textId="77777777" w:rsidR="007270B7" w:rsidRPr="007F78CE" w:rsidRDefault="007270B7" w:rsidP="007F78CE">
            <w:pPr>
              <w:spacing w:after="0" w:line="240" w:lineRule="auto"/>
              <w:rPr>
                <w:rFonts w:ascii="Arial" w:hAnsi="Arial" w:cs="Arial"/>
                <w:sz w:val="18"/>
                <w:szCs w:val="18"/>
              </w:rPr>
            </w:pPr>
            <w:r w:rsidRPr="007F78CE">
              <w:rPr>
                <w:rFonts w:ascii="Arial" w:hAnsi="Arial" w:cs="Arial"/>
                <w:sz w:val="18"/>
                <w:szCs w:val="18"/>
              </w:rPr>
              <w:t>Agriculteurs, autorités locales, commerçant</w:t>
            </w:r>
          </w:p>
        </w:tc>
      </w:tr>
      <w:tr w:rsidR="0063584D" w:rsidRPr="007F78CE" w14:paraId="5E4D41AA" w14:textId="77777777" w:rsidTr="007F78CE">
        <w:trPr>
          <w:jc w:val="center"/>
        </w:trPr>
        <w:tc>
          <w:tcPr>
            <w:tcW w:w="217" w:type="pct"/>
            <w:tcBorders>
              <w:top w:val="single" w:sz="8" w:space="0" w:color="4F81BD"/>
              <w:left w:val="single" w:sz="8" w:space="0" w:color="4F81BD"/>
              <w:bottom w:val="single" w:sz="8" w:space="0" w:color="4F81BD"/>
              <w:right w:val="single" w:sz="8" w:space="0" w:color="4F81BD"/>
            </w:tcBorders>
            <w:shd w:val="clear" w:color="auto" w:fill="D3DFEE"/>
            <w:vAlign w:val="center"/>
          </w:tcPr>
          <w:p w14:paraId="4630642E" w14:textId="77777777" w:rsidR="007270B7" w:rsidRPr="007F78CE" w:rsidRDefault="007270B7" w:rsidP="007F78CE">
            <w:pPr>
              <w:spacing w:after="0" w:line="240" w:lineRule="auto"/>
              <w:jc w:val="center"/>
              <w:rPr>
                <w:rFonts w:ascii="Arial" w:eastAsia="Times New Roman" w:hAnsi="Arial" w:cs="Arial"/>
                <w:b/>
                <w:bCs/>
                <w:sz w:val="18"/>
                <w:szCs w:val="18"/>
              </w:rPr>
            </w:pPr>
            <w:r w:rsidRPr="007F78CE">
              <w:rPr>
                <w:rFonts w:ascii="Arial" w:eastAsia="Times New Roman" w:hAnsi="Arial" w:cs="Arial"/>
                <w:b/>
                <w:bCs/>
                <w:sz w:val="18"/>
                <w:szCs w:val="18"/>
              </w:rPr>
              <w:t>3</w:t>
            </w:r>
          </w:p>
        </w:tc>
        <w:tc>
          <w:tcPr>
            <w:tcW w:w="767" w:type="pct"/>
            <w:tcBorders>
              <w:top w:val="single" w:sz="8" w:space="0" w:color="4F81BD"/>
              <w:left w:val="single" w:sz="8" w:space="0" w:color="4F81BD"/>
              <w:bottom w:val="single" w:sz="8" w:space="0" w:color="4F81BD"/>
              <w:right w:val="single" w:sz="8" w:space="0" w:color="4F81BD"/>
            </w:tcBorders>
            <w:shd w:val="clear" w:color="auto" w:fill="D3DFEE"/>
            <w:vAlign w:val="center"/>
          </w:tcPr>
          <w:p w14:paraId="498015C6" w14:textId="77777777" w:rsidR="007270B7" w:rsidRPr="007F78CE" w:rsidRDefault="007270B7" w:rsidP="007F78CE">
            <w:pPr>
              <w:spacing w:after="0" w:line="240" w:lineRule="auto"/>
              <w:rPr>
                <w:rFonts w:ascii="Arial" w:hAnsi="Arial" w:cs="Arial"/>
                <w:sz w:val="18"/>
                <w:szCs w:val="18"/>
              </w:rPr>
            </w:pPr>
            <w:r w:rsidRPr="007F78CE">
              <w:rPr>
                <w:rFonts w:ascii="Arial" w:hAnsi="Arial" w:cs="Arial"/>
                <w:sz w:val="18"/>
                <w:szCs w:val="18"/>
              </w:rPr>
              <w:t>Fitovinany</w:t>
            </w:r>
          </w:p>
        </w:tc>
        <w:tc>
          <w:tcPr>
            <w:tcW w:w="860" w:type="pct"/>
            <w:tcBorders>
              <w:top w:val="single" w:sz="8" w:space="0" w:color="4F81BD"/>
              <w:left w:val="single" w:sz="8" w:space="0" w:color="4F81BD"/>
              <w:bottom w:val="single" w:sz="8" w:space="0" w:color="4F81BD"/>
              <w:right w:val="single" w:sz="8" w:space="0" w:color="4F81BD"/>
            </w:tcBorders>
            <w:shd w:val="clear" w:color="auto" w:fill="D3DFEE"/>
            <w:vAlign w:val="center"/>
          </w:tcPr>
          <w:p w14:paraId="51D01755" w14:textId="77777777" w:rsidR="007270B7" w:rsidRPr="007F78CE" w:rsidRDefault="007270B7" w:rsidP="007F78CE">
            <w:pPr>
              <w:spacing w:after="0" w:line="240" w:lineRule="auto"/>
              <w:rPr>
                <w:rFonts w:ascii="Arial" w:hAnsi="Arial" w:cs="Arial"/>
                <w:sz w:val="18"/>
                <w:szCs w:val="18"/>
              </w:rPr>
            </w:pPr>
            <w:r w:rsidRPr="007F78CE">
              <w:rPr>
                <w:rFonts w:ascii="Arial" w:hAnsi="Arial" w:cs="Arial"/>
                <w:sz w:val="18"/>
                <w:szCs w:val="18"/>
              </w:rPr>
              <w:t>Manakara Atsimo</w:t>
            </w:r>
          </w:p>
        </w:tc>
        <w:tc>
          <w:tcPr>
            <w:tcW w:w="506" w:type="pct"/>
            <w:tcBorders>
              <w:top w:val="single" w:sz="8" w:space="0" w:color="4F81BD"/>
              <w:left w:val="single" w:sz="8" w:space="0" w:color="4F81BD"/>
              <w:bottom w:val="single" w:sz="8" w:space="0" w:color="4F81BD"/>
              <w:right w:val="single" w:sz="8" w:space="0" w:color="4F81BD"/>
            </w:tcBorders>
            <w:shd w:val="clear" w:color="auto" w:fill="D3DFEE"/>
            <w:vAlign w:val="center"/>
          </w:tcPr>
          <w:p w14:paraId="371BFFE1" w14:textId="77777777" w:rsidR="007270B7" w:rsidRPr="007F78CE" w:rsidRDefault="007270B7" w:rsidP="007F78CE">
            <w:pPr>
              <w:spacing w:after="0" w:line="240" w:lineRule="auto"/>
              <w:jc w:val="center"/>
              <w:rPr>
                <w:rFonts w:ascii="Arial" w:hAnsi="Arial" w:cs="Arial"/>
                <w:sz w:val="18"/>
                <w:szCs w:val="18"/>
              </w:rPr>
            </w:pPr>
            <w:r w:rsidRPr="007F78CE">
              <w:rPr>
                <w:rFonts w:ascii="Arial" w:hAnsi="Arial" w:cs="Arial"/>
                <w:sz w:val="18"/>
                <w:szCs w:val="18"/>
              </w:rPr>
              <w:t>03</w:t>
            </w:r>
          </w:p>
        </w:tc>
        <w:tc>
          <w:tcPr>
            <w:tcW w:w="693" w:type="pct"/>
            <w:tcBorders>
              <w:top w:val="single" w:sz="8" w:space="0" w:color="4F81BD"/>
              <w:left w:val="single" w:sz="8" w:space="0" w:color="4F81BD"/>
              <w:bottom w:val="single" w:sz="8" w:space="0" w:color="4F81BD"/>
              <w:right w:val="single" w:sz="8" w:space="0" w:color="4F81BD"/>
            </w:tcBorders>
            <w:shd w:val="clear" w:color="auto" w:fill="D3DFEE"/>
            <w:vAlign w:val="center"/>
          </w:tcPr>
          <w:p w14:paraId="48343913" w14:textId="77777777" w:rsidR="007270B7" w:rsidRPr="007F78CE" w:rsidRDefault="007270B7" w:rsidP="007F78CE">
            <w:pPr>
              <w:spacing w:after="0" w:line="240" w:lineRule="auto"/>
              <w:jc w:val="center"/>
              <w:rPr>
                <w:rFonts w:ascii="Arial" w:hAnsi="Arial" w:cs="Arial"/>
                <w:sz w:val="18"/>
                <w:szCs w:val="18"/>
              </w:rPr>
            </w:pPr>
            <w:r w:rsidRPr="007F78CE">
              <w:rPr>
                <w:rFonts w:ascii="Arial" w:hAnsi="Arial" w:cs="Arial"/>
                <w:sz w:val="18"/>
                <w:szCs w:val="18"/>
              </w:rPr>
              <w:t>149</w:t>
            </w:r>
          </w:p>
        </w:tc>
        <w:tc>
          <w:tcPr>
            <w:tcW w:w="511" w:type="pct"/>
            <w:tcBorders>
              <w:top w:val="single" w:sz="8" w:space="0" w:color="4F81BD"/>
              <w:left w:val="single" w:sz="8" w:space="0" w:color="4F81BD"/>
              <w:bottom w:val="single" w:sz="8" w:space="0" w:color="4F81BD"/>
              <w:right w:val="single" w:sz="8" w:space="0" w:color="4F81BD"/>
            </w:tcBorders>
            <w:shd w:val="clear" w:color="auto" w:fill="D3DFEE"/>
            <w:vAlign w:val="center"/>
          </w:tcPr>
          <w:p w14:paraId="167E5BAE" w14:textId="77777777" w:rsidR="007270B7" w:rsidRPr="007F78CE" w:rsidRDefault="007270B7" w:rsidP="007F78CE">
            <w:pPr>
              <w:spacing w:after="0" w:line="240" w:lineRule="auto"/>
              <w:jc w:val="center"/>
              <w:rPr>
                <w:rFonts w:ascii="Arial" w:hAnsi="Arial" w:cs="Arial"/>
                <w:sz w:val="18"/>
                <w:szCs w:val="18"/>
              </w:rPr>
            </w:pPr>
            <w:r w:rsidRPr="007F78CE">
              <w:rPr>
                <w:rFonts w:ascii="Arial" w:hAnsi="Arial" w:cs="Arial"/>
                <w:sz w:val="18"/>
                <w:szCs w:val="18"/>
              </w:rPr>
              <w:t>54</w:t>
            </w:r>
          </w:p>
        </w:tc>
        <w:tc>
          <w:tcPr>
            <w:tcW w:w="479" w:type="pct"/>
            <w:tcBorders>
              <w:top w:val="single" w:sz="8" w:space="0" w:color="4F81BD"/>
              <w:left w:val="single" w:sz="8" w:space="0" w:color="4F81BD"/>
              <w:bottom w:val="single" w:sz="8" w:space="0" w:color="4F81BD"/>
              <w:right w:val="single" w:sz="8" w:space="0" w:color="4F81BD"/>
            </w:tcBorders>
            <w:shd w:val="clear" w:color="auto" w:fill="D3DFEE"/>
            <w:vAlign w:val="center"/>
          </w:tcPr>
          <w:p w14:paraId="088FEA85" w14:textId="77777777" w:rsidR="007270B7" w:rsidRPr="007F78CE" w:rsidRDefault="007270B7" w:rsidP="007F78CE">
            <w:pPr>
              <w:spacing w:after="0" w:line="240" w:lineRule="auto"/>
              <w:jc w:val="center"/>
              <w:rPr>
                <w:rFonts w:ascii="Arial" w:hAnsi="Arial" w:cs="Arial"/>
                <w:sz w:val="18"/>
                <w:szCs w:val="18"/>
              </w:rPr>
            </w:pPr>
            <w:r w:rsidRPr="007F78CE">
              <w:rPr>
                <w:rFonts w:ascii="Arial" w:hAnsi="Arial" w:cs="Arial"/>
                <w:sz w:val="18"/>
                <w:szCs w:val="18"/>
              </w:rPr>
              <w:t>95</w:t>
            </w:r>
          </w:p>
        </w:tc>
        <w:tc>
          <w:tcPr>
            <w:tcW w:w="967" w:type="pct"/>
            <w:tcBorders>
              <w:top w:val="single" w:sz="8" w:space="0" w:color="4F81BD"/>
              <w:left w:val="single" w:sz="8" w:space="0" w:color="4F81BD"/>
              <w:bottom w:val="single" w:sz="8" w:space="0" w:color="4F81BD"/>
              <w:right w:val="single" w:sz="8" w:space="0" w:color="4F81BD"/>
            </w:tcBorders>
            <w:shd w:val="clear" w:color="auto" w:fill="D3DFEE"/>
          </w:tcPr>
          <w:p w14:paraId="1424AEA9" w14:textId="77777777" w:rsidR="007270B7" w:rsidRPr="007F78CE" w:rsidRDefault="007270B7" w:rsidP="007F78CE">
            <w:pPr>
              <w:spacing w:after="0" w:line="240" w:lineRule="auto"/>
              <w:rPr>
                <w:rFonts w:ascii="Arial" w:hAnsi="Arial" w:cs="Arial"/>
                <w:sz w:val="18"/>
                <w:szCs w:val="18"/>
              </w:rPr>
            </w:pPr>
            <w:r w:rsidRPr="007F78CE">
              <w:rPr>
                <w:rFonts w:ascii="Arial" w:hAnsi="Arial" w:cs="Arial"/>
                <w:sz w:val="18"/>
                <w:szCs w:val="18"/>
              </w:rPr>
              <w:t>Agriculteurs, autorités locales, enseignant, commerçant, charpentiers, artisans</w:t>
            </w:r>
          </w:p>
        </w:tc>
      </w:tr>
      <w:tr w:rsidR="0063584D" w:rsidRPr="007F78CE" w14:paraId="5BEF3F23" w14:textId="77777777" w:rsidTr="007F78CE">
        <w:trPr>
          <w:jc w:val="center"/>
        </w:trPr>
        <w:tc>
          <w:tcPr>
            <w:tcW w:w="217" w:type="pct"/>
            <w:tcBorders>
              <w:top w:val="single" w:sz="8" w:space="0" w:color="4F81BD"/>
              <w:left w:val="single" w:sz="8" w:space="0" w:color="4F81BD"/>
              <w:bottom w:val="single" w:sz="8" w:space="0" w:color="4F81BD"/>
              <w:right w:val="single" w:sz="8" w:space="0" w:color="4F81BD"/>
            </w:tcBorders>
            <w:shd w:val="clear" w:color="auto" w:fill="auto"/>
            <w:vAlign w:val="center"/>
          </w:tcPr>
          <w:p w14:paraId="54DD0068" w14:textId="77777777" w:rsidR="007270B7" w:rsidRPr="007F78CE" w:rsidRDefault="007270B7" w:rsidP="007F78CE">
            <w:pPr>
              <w:spacing w:after="0" w:line="240" w:lineRule="auto"/>
              <w:jc w:val="center"/>
              <w:rPr>
                <w:rFonts w:ascii="Arial" w:eastAsia="Times New Roman" w:hAnsi="Arial" w:cs="Arial"/>
                <w:b/>
                <w:bCs/>
                <w:sz w:val="18"/>
                <w:szCs w:val="18"/>
              </w:rPr>
            </w:pPr>
            <w:r w:rsidRPr="007F78CE">
              <w:rPr>
                <w:rFonts w:ascii="Arial" w:eastAsia="Times New Roman" w:hAnsi="Arial" w:cs="Arial"/>
                <w:b/>
                <w:bCs/>
                <w:sz w:val="18"/>
                <w:szCs w:val="18"/>
              </w:rPr>
              <w:t>4</w:t>
            </w:r>
          </w:p>
        </w:tc>
        <w:tc>
          <w:tcPr>
            <w:tcW w:w="767" w:type="pct"/>
            <w:tcBorders>
              <w:top w:val="single" w:sz="8" w:space="0" w:color="4F81BD"/>
              <w:left w:val="single" w:sz="8" w:space="0" w:color="4F81BD"/>
              <w:bottom w:val="single" w:sz="8" w:space="0" w:color="4F81BD"/>
              <w:right w:val="single" w:sz="8" w:space="0" w:color="4F81BD"/>
            </w:tcBorders>
            <w:shd w:val="clear" w:color="auto" w:fill="auto"/>
            <w:vAlign w:val="center"/>
          </w:tcPr>
          <w:p w14:paraId="3D6573F7" w14:textId="77777777" w:rsidR="007270B7" w:rsidRPr="007F78CE" w:rsidRDefault="007270B7" w:rsidP="007F78CE">
            <w:pPr>
              <w:spacing w:after="0" w:line="240" w:lineRule="auto"/>
              <w:rPr>
                <w:rFonts w:ascii="Arial" w:hAnsi="Arial" w:cs="Arial"/>
                <w:sz w:val="18"/>
                <w:szCs w:val="18"/>
              </w:rPr>
            </w:pPr>
            <w:r w:rsidRPr="007F78CE">
              <w:rPr>
                <w:rFonts w:ascii="Arial" w:hAnsi="Arial" w:cs="Arial"/>
                <w:sz w:val="18"/>
                <w:szCs w:val="18"/>
              </w:rPr>
              <w:t>Menabe</w:t>
            </w:r>
          </w:p>
        </w:tc>
        <w:tc>
          <w:tcPr>
            <w:tcW w:w="860" w:type="pct"/>
            <w:tcBorders>
              <w:top w:val="single" w:sz="8" w:space="0" w:color="4F81BD"/>
              <w:left w:val="single" w:sz="8" w:space="0" w:color="4F81BD"/>
              <w:bottom w:val="single" w:sz="8" w:space="0" w:color="4F81BD"/>
              <w:right w:val="single" w:sz="8" w:space="0" w:color="4F81BD"/>
            </w:tcBorders>
            <w:shd w:val="clear" w:color="auto" w:fill="auto"/>
            <w:vAlign w:val="center"/>
          </w:tcPr>
          <w:p w14:paraId="781EB0EE" w14:textId="77777777" w:rsidR="007270B7" w:rsidRPr="007F78CE" w:rsidRDefault="007270B7" w:rsidP="007F78CE">
            <w:pPr>
              <w:spacing w:after="0" w:line="240" w:lineRule="auto"/>
              <w:rPr>
                <w:rFonts w:ascii="Arial" w:hAnsi="Arial" w:cs="Arial"/>
                <w:sz w:val="18"/>
                <w:szCs w:val="18"/>
              </w:rPr>
            </w:pPr>
            <w:r w:rsidRPr="007F78CE">
              <w:rPr>
                <w:rFonts w:ascii="Arial" w:hAnsi="Arial" w:cs="Arial"/>
                <w:sz w:val="18"/>
                <w:szCs w:val="18"/>
              </w:rPr>
              <w:t>Mahabo, Malaimbandy, Miandrivazo</w:t>
            </w:r>
          </w:p>
        </w:tc>
        <w:tc>
          <w:tcPr>
            <w:tcW w:w="506" w:type="pct"/>
            <w:tcBorders>
              <w:top w:val="single" w:sz="8" w:space="0" w:color="4F81BD"/>
              <w:left w:val="single" w:sz="8" w:space="0" w:color="4F81BD"/>
              <w:bottom w:val="single" w:sz="8" w:space="0" w:color="4F81BD"/>
              <w:right w:val="single" w:sz="8" w:space="0" w:color="4F81BD"/>
            </w:tcBorders>
            <w:shd w:val="clear" w:color="auto" w:fill="auto"/>
            <w:vAlign w:val="center"/>
          </w:tcPr>
          <w:p w14:paraId="4C76915F" w14:textId="77777777" w:rsidR="007270B7" w:rsidRPr="007F78CE" w:rsidRDefault="007270B7" w:rsidP="007F78CE">
            <w:pPr>
              <w:spacing w:after="0" w:line="240" w:lineRule="auto"/>
              <w:jc w:val="center"/>
              <w:rPr>
                <w:rFonts w:ascii="Arial" w:hAnsi="Arial" w:cs="Arial"/>
                <w:sz w:val="18"/>
                <w:szCs w:val="18"/>
              </w:rPr>
            </w:pPr>
            <w:r w:rsidRPr="007F78CE">
              <w:rPr>
                <w:rFonts w:ascii="Arial" w:hAnsi="Arial" w:cs="Arial"/>
                <w:sz w:val="18"/>
                <w:szCs w:val="18"/>
              </w:rPr>
              <w:t>03</w:t>
            </w:r>
          </w:p>
        </w:tc>
        <w:tc>
          <w:tcPr>
            <w:tcW w:w="693" w:type="pct"/>
            <w:tcBorders>
              <w:top w:val="single" w:sz="8" w:space="0" w:color="4F81BD"/>
              <w:left w:val="single" w:sz="8" w:space="0" w:color="4F81BD"/>
              <w:bottom w:val="single" w:sz="8" w:space="0" w:color="4F81BD"/>
              <w:right w:val="single" w:sz="8" w:space="0" w:color="4F81BD"/>
            </w:tcBorders>
            <w:shd w:val="clear" w:color="auto" w:fill="auto"/>
            <w:vAlign w:val="center"/>
          </w:tcPr>
          <w:p w14:paraId="7BB3CD8A" w14:textId="77777777" w:rsidR="007270B7" w:rsidRPr="007F78CE" w:rsidRDefault="007270B7" w:rsidP="007F78CE">
            <w:pPr>
              <w:spacing w:after="0" w:line="240" w:lineRule="auto"/>
              <w:jc w:val="center"/>
              <w:rPr>
                <w:rFonts w:ascii="Arial" w:hAnsi="Arial" w:cs="Arial"/>
                <w:sz w:val="18"/>
                <w:szCs w:val="18"/>
              </w:rPr>
            </w:pPr>
            <w:r w:rsidRPr="007F78CE">
              <w:rPr>
                <w:rFonts w:ascii="Arial" w:hAnsi="Arial" w:cs="Arial"/>
                <w:sz w:val="18"/>
                <w:szCs w:val="18"/>
              </w:rPr>
              <w:t>113</w:t>
            </w:r>
          </w:p>
        </w:tc>
        <w:tc>
          <w:tcPr>
            <w:tcW w:w="511" w:type="pct"/>
            <w:tcBorders>
              <w:top w:val="single" w:sz="8" w:space="0" w:color="4F81BD"/>
              <w:left w:val="single" w:sz="8" w:space="0" w:color="4F81BD"/>
              <w:bottom w:val="single" w:sz="8" w:space="0" w:color="4F81BD"/>
              <w:right w:val="single" w:sz="8" w:space="0" w:color="4F81BD"/>
            </w:tcBorders>
            <w:shd w:val="clear" w:color="auto" w:fill="auto"/>
            <w:vAlign w:val="center"/>
          </w:tcPr>
          <w:p w14:paraId="3BE113C8" w14:textId="77777777" w:rsidR="007270B7" w:rsidRPr="007F78CE" w:rsidRDefault="007270B7" w:rsidP="007F78CE">
            <w:pPr>
              <w:spacing w:after="0" w:line="240" w:lineRule="auto"/>
              <w:jc w:val="center"/>
              <w:rPr>
                <w:rFonts w:ascii="Arial" w:hAnsi="Arial" w:cs="Arial"/>
                <w:sz w:val="18"/>
                <w:szCs w:val="18"/>
              </w:rPr>
            </w:pPr>
            <w:r w:rsidRPr="007F78CE">
              <w:rPr>
                <w:rFonts w:ascii="Arial" w:hAnsi="Arial" w:cs="Arial"/>
                <w:sz w:val="18"/>
                <w:szCs w:val="18"/>
              </w:rPr>
              <w:t>64</w:t>
            </w:r>
          </w:p>
        </w:tc>
        <w:tc>
          <w:tcPr>
            <w:tcW w:w="479" w:type="pct"/>
            <w:tcBorders>
              <w:top w:val="single" w:sz="8" w:space="0" w:color="4F81BD"/>
              <w:left w:val="single" w:sz="8" w:space="0" w:color="4F81BD"/>
              <w:bottom w:val="single" w:sz="8" w:space="0" w:color="4F81BD"/>
              <w:right w:val="single" w:sz="8" w:space="0" w:color="4F81BD"/>
            </w:tcBorders>
            <w:shd w:val="clear" w:color="auto" w:fill="auto"/>
            <w:vAlign w:val="center"/>
          </w:tcPr>
          <w:p w14:paraId="44C0A1D1" w14:textId="77777777" w:rsidR="007270B7" w:rsidRPr="007F78CE" w:rsidRDefault="007270B7" w:rsidP="007F78CE">
            <w:pPr>
              <w:spacing w:after="0" w:line="240" w:lineRule="auto"/>
              <w:jc w:val="center"/>
              <w:rPr>
                <w:rFonts w:ascii="Arial" w:hAnsi="Arial" w:cs="Arial"/>
                <w:sz w:val="18"/>
                <w:szCs w:val="18"/>
              </w:rPr>
            </w:pPr>
            <w:r w:rsidRPr="007F78CE">
              <w:rPr>
                <w:rFonts w:ascii="Arial" w:hAnsi="Arial" w:cs="Arial"/>
                <w:sz w:val="18"/>
                <w:szCs w:val="18"/>
              </w:rPr>
              <w:t>49</w:t>
            </w:r>
          </w:p>
        </w:tc>
        <w:tc>
          <w:tcPr>
            <w:tcW w:w="967" w:type="pct"/>
            <w:tcBorders>
              <w:top w:val="single" w:sz="8" w:space="0" w:color="4F81BD"/>
              <w:left w:val="single" w:sz="8" w:space="0" w:color="4F81BD"/>
              <w:bottom w:val="single" w:sz="8" w:space="0" w:color="4F81BD"/>
              <w:right w:val="single" w:sz="8" w:space="0" w:color="4F81BD"/>
            </w:tcBorders>
            <w:shd w:val="clear" w:color="auto" w:fill="auto"/>
          </w:tcPr>
          <w:p w14:paraId="2D0CB7AD" w14:textId="77777777" w:rsidR="007270B7" w:rsidRPr="007F78CE" w:rsidRDefault="007270B7" w:rsidP="007F78CE">
            <w:pPr>
              <w:spacing w:after="0" w:line="240" w:lineRule="auto"/>
              <w:rPr>
                <w:rFonts w:ascii="Arial" w:hAnsi="Arial" w:cs="Arial"/>
                <w:sz w:val="18"/>
                <w:szCs w:val="18"/>
              </w:rPr>
            </w:pPr>
            <w:r w:rsidRPr="007F78CE">
              <w:rPr>
                <w:rFonts w:ascii="Arial" w:hAnsi="Arial" w:cs="Arial"/>
                <w:sz w:val="18"/>
                <w:szCs w:val="18"/>
              </w:rPr>
              <w:t>Agriculteurs, autorités locales, enseignants, commerçant, étudiants, chauffeurs, mécanicien, guide touristique, DJ</w:t>
            </w:r>
          </w:p>
        </w:tc>
      </w:tr>
      <w:tr w:rsidR="0063584D" w:rsidRPr="007F78CE" w14:paraId="26829156" w14:textId="77777777" w:rsidTr="007F78CE">
        <w:trPr>
          <w:jc w:val="center"/>
        </w:trPr>
        <w:tc>
          <w:tcPr>
            <w:tcW w:w="217" w:type="pct"/>
            <w:tcBorders>
              <w:top w:val="single" w:sz="8" w:space="0" w:color="4F81BD"/>
              <w:left w:val="single" w:sz="8" w:space="0" w:color="4F81BD"/>
              <w:bottom w:val="single" w:sz="8" w:space="0" w:color="4F81BD"/>
              <w:right w:val="single" w:sz="8" w:space="0" w:color="4F81BD"/>
            </w:tcBorders>
            <w:shd w:val="clear" w:color="auto" w:fill="D3DFEE"/>
            <w:vAlign w:val="center"/>
          </w:tcPr>
          <w:p w14:paraId="04561303" w14:textId="77777777" w:rsidR="007270B7" w:rsidRPr="007F78CE" w:rsidRDefault="007270B7" w:rsidP="007F78CE">
            <w:pPr>
              <w:spacing w:after="0" w:line="240" w:lineRule="auto"/>
              <w:jc w:val="center"/>
              <w:rPr>
                <w:rFonts w:ascii="Arial" w:eastAsia="Times New Roman" w:hAnsi="Arial" w:cs="Arial"/>
                <w:b/>
                <w:bCs/>
                <w:sz w:val="18"/>
                <w:szCs w:val="18"/>
              </w:rPr>
            </w:pPr>
            <w:r w:rsidRPr="007F78CE">
              <w:rPr>
                <w:rFonts w:ascii="Arial" w:eastAsia="Times New Roman" w:hAnsi="Arial" w:cs="Arial"/>
                <w:b/>
                <w:bCs/>
                <w:sz w:val="18"/>
                <w:szCs w:val="18"/>
              </w:rPr>
              <w:t>5</w:t>
            </w:r>
          </w:p>
        </w:tc>
        <w:tc>
          <w:tcPr>
            <w:tcW w:w="767" w:type="pct"/>
            <w:tcBorders>
              <w:top w:val="single" w:sz="8" w:space="0" w:color="4F81BD"/>
              <w:left w:val="single" w:sz="8" w:space="0" w:color="4F81BD"/>
              <w:bottom w:val="single" w:sz="8" w:space="0" w:color="4F81BD"/>
              <w:right w:val="single" w:sz="8" w:space="0" w:color="4F81BD"/>
            </w:tcBorders>
            <w:shd w:val="clear" w:color="auto" w:fill="D3DFEE"/>
            <w:vAlign w:val="center"/>
          </w:tcPr>
          <w:p w14:paraId="7523FFC7" w14:textId="77777777" w:rsidR="007270B7" w:rsidRPr="007F78CE" w:rsidRDefault="007270B7" w:rsidP="007F78CE">
            <w:pPr>
              <w:spacing w:after="0" w:line="240" w:lineRule="auto"/>
              <w:rPr>
                <w:rFonts w:ascii="Arial" w:hAnsi="Arial" w:cs="Arial"/>
                <w:sz w:val="18"/>
                <w:szCs w:val="18"/>
              </w:rPr>
            </w:pPr>
            <w:r w:rsidRPr="007F78CE">
              <w:rPr>
                <w:rFonts w:ascii="Arial" w:hAnsi="Arial" w:cs="Arial"/>
                <w:sz w:val="18"/>
                <w:szCs w:val="18"/>
              </w:rPr>
              <w:t>Vakinankaratra</w:t>
            </w:r>
          </w:p>
        </w:tc>
        <w:tc>
          <w:tcPr>
            <w:tcW w:w="860" w:type="pct"/>
            <w:tcBorders>
              <w:top w:val="single" w:sz="8" w:space="0" w:color="4F81BD"/>
              <w:left w:val="single" w:sz="8" w:space="0" w:color="4F81BD"/>
              <w:bottom w:val="single" w:sz="8" w:space="0" w:color="4F81BD"/>
              <w:right w:val="single" w:sz="8" w:space="0" w:color="4F81BD"/>
            </w:tcBorders>
            <w:shd w:val="clear" w:color="auto" w:fill="D3DFEE"/>
            <w:vAlign w:val="center"/>
          </w:tcPr>
          <w:p w14:paraId="01185D26" w14:textId="77777777" w:rsidR="007270B7" w:rsidRPr="007F78CE" w:rsidRDefault="007270B7" w:rsidP="007F78CE">
            <w:pPr>
              <w:spacing w:after="0" w:line="240" w:lineRule="auto"/>
              <w:rPr>
                <w:rFonts w:ascii="Arial" w:hAnsi="Arial" w:cs="Arial"/>
                <w:sz w:val="18"/>
                <w:szCs w:val="18"/>
              </w:rPr>
            </w:pPr>
            <w:r w:rsidRPr="007F78CE">
              <w:rPr>
                <w:rFonts w:ascii="Arial" w:hAnsi="Arial" w:cs="Arial"/>
                <w:sz w:val="18"/>
                <w:szCs w:val="18"/>
              </w:rPr>
              <w:t>Ambatolampy, Antsirabe II</w:t>
            </w:r>
          </w:p>
        </w:tc>
        <w:tc>
          <w:tcPr>
            <w:tcW w:w="506" w:type="pct"/>
            <w:tcBorders>
              <w:top w:val="single" w:sz="8" w:space="0" w:color="4F81BD"/>
              <w:left w:val="single" w:sz="8" w:space="0" w:color="4F81BD"/>
              <w:bottom w:val="single" w:sz="8" w:space="0" w:color="4F81BD"/>
              <w:right w:val="single" w:sz="8" w:space="0" w:color="4F81BD"/>
            </w:tcBorders>
            <w:shd w:val="clear" w:color="auto" w:fill="D3DFEE"/>
            <w:vAlign w:val="center"/>
          </w:tcPr>
          <w:p w14:paraId="1EBA24FE" w14:textId="77777777" w:rsidR="007270B7" w:rsidRPr="007F78CE" w:rsidRDefault="007270B7" w:rsidP="007F78CE">
            <w:pPr>
              <w:spacing w:after="0" w:line="240" w:lineRule="auto"/>
              <w:jc w:val="center"/>
              <w:rPr>
                <w:rFonts w:ascii="Arial" w:hAnsi="Arial" w:cs="Arial"/>
                <w:sz w:val="18"/>
                <w:szCs w:val="18"/>
              </w:rPr>
            </w:pPr>
            <w:r w:rsidRPr="007F78CE">
              <w:rPr>
                <w:rFonts w:ascii="Arial" w:hAnsi="Arial" w:cs="Arial"/>
                <w:sz w:val="18"/>
                <w:szCs w:val="18"/>
              </w:rPr>
              <w:t>03</w:t>
            </w:r>
          </w:p>
        </w:tc>
        <w:tc>
          <w:tcPr>
            <w:tcW w:w="693" w:type="pct"/>
            <w:tcBorders>
              <w:top w:val="single" w:sz="8" w:space="0" w:color="4F81BD"/>
              <w:left w:val="single" w:sz="8" w:space="0" w:color="4F81BD"/>
              <w:bottom w:val="single" w:sz="8" w:space="0" w:color="4F81BD"/>
              <w:right w:val="single" w:sz="8" w:space="0" w:color="4F81BD"/>
            </w:tcBorders>
            <w:shd w:val="clear" w:color="auto" w:fill="D3DFEE"/>
            <w:vAlign w:val="center"/>
          </w:tcPr>
          <w:p w14:paraId="6629E1DD" w14:textId="77777777" w:rsidR="007270B7" w:rsidRPr="007F78CE" w:rsidRDefault="007270B7" w:rsidP="007F78CE">
            <w:pPr>
              <w:spacing w:after="0" w:line="240" w:lineRule="auto"/>
              <w:jc w:val="center"/>
              <w:rPr>
                <w:rFonts w:ascii="Arial" w:hAnsi="Arial" w:cs="Arial"/>
                <w:sz w:val="18"/>
                <w:szCs w:val="18"/>
              </w:rPr>
            </w:pPr>
            <w:r w:rsidRPr="007F78CE">
              <w:rPr>
                <w:rFonts w:ascii="Arial" w:hAnsi="Arial" w:cs="Arial"/>
                <w:sz w:val="18"/>
                <w:szCs w:val="18"/>
              </w:rPr>
              <w:t>60</w:t>
            </w:r>
          </w:p>
        </w:tc>
        <w:tc>
          <w:tcPr>
            <w:tcW w:w="511" w:type="pct"/>
            <w:tcBorders>
              <w:top w:val="single" w:sz="8" w:space="0" w:color="4F81BD"/>
              <w:left w:val="single" w:sz="8" w:space="0" w:color="4F81BD"/>
              <w:bottom w:val="single" w:sz="8" w:space="0" w:color="4F81BD"/>
              <w:right w:val="single" w:sz="8" w:space="0" w:color="4F81BD"/>
            </w:tcBorders>
            <w:shd w:val="clear" w:color="auto" w:fill="D3DFEE"/>
            <w:vAlign w:val="center"/>
          </w:tcPr>
          <w:p w14:paraId="6FCACC76" w14:textId="77777777" w:rsidR="007270B7" w:rsidRPr="007F78CE" w:rsidRDefault="007270B7" w:rsidP="007F78CE">
            <w:pPr>
              <w:spacing w:after="0" w:line="240" w:lineRule="auto"/>
              <w:jc w:val="center"/>
              <w:rPr>
                <w:rFonts w:ascii="Arial" w:hAnsi="Arial" w:cs="Arial"/>
                <w:sz w:val="18"/>
                <w:szCs w:val="18"/>
              </w:rPr>
            </w:pPr>
            <w:r w:rsidRPr="007F78CE">
              <w:rPr>
                <w:rFonts w:ascii="Arial" w:hAnsi="Arial" w:cs="Arial"/>
                <w:sz w:val="18"/>
                <w:szCs w:val="18"/>
              </w:rPr>
              <w:t>30</w:t>
            </w:r>
          </w:p>
        </w:tc>
        <w:tc>
          <w:tcPr>
            <w:tcW w:w="479" w:type="pct"/>
            <w:tcBorders>
              <w:top w:val="single" w:sz="8" w:space="0" w:color="4F81BD"/>
              <w:left w:val="single" w:sz="8" w:space="0" w:color="4F81BD"/>
              <w:bottom w:val="single" w:sz="8" w:space="0" w:color="4F81BD"/>
              <w:right w:val="single" w:sz="8" w:space="0" w:color="4F81BD"/>
            </w:tcBorders>
            <w:shd w:val="clear" w:color="auto" w:fill="D3DFEE"/>
            <w:vAlign w:val="center"/>
          </w:tcPr>
          <w:p w14:paraId="5212C60C" w14:textId="77777777" w:rsidR="007270B7" w:rsidRPr="007F78CE" w:rsidRDefault="007270B7" w:rsidP="007F78CE">
            <w:pPr>
              <w:spacing w:after="0" w:line="240" w:lineRule="auto"/>
              <w:jc w:val="center"/>
              <w:rPr>
                <w:rFonts w:ascii="Arial" w:hAnsi="Arial" w:cs="Arial"/>
                <w:sz w:val="18"/>
                <w:szCs w:val="18"/>
              </w:rPr>
            </w:pPr>
            <w:r w:rsidRPr="007F78CE">
              <w:rPr>
                <w:rFonts w:ascii="Arial" w:hAnsi="Arial" w:cs="Arial"/>
                <w:sz w:val="18"/>
                <w:szCs w:val="18"/>
              </w:rPr>
              <w:t>30</w:t>
            </w:r>
          </w:p>
        </w:tc>
        <w:tc>
          <w:tcPr>
            <w:tcW w:w="967" w:type="pct"/>
            <w:tcBorders>
              <w:top w:val="single" w:sz="8" w:space="0" w:color="4F81BD"/>
              <w:left w:val="single" w:sz="8" w:space="0" w:color="4F81BD"/>
              <w:bottom w:val="single" w:sz="8" w:space="0" w:color="4F81BD"/>
              <w:right w:val="single" w:sz="8" w:space="0" w:color="4F81BD"/>
            </w:tcBorders>
            <w:shd w:val="clear" w:color="auto" w:fill="D3DFEE"/>
          </w:tcPr>
          <w:p w14:paraId="3544ABE0" w14:textId="77777777" w:rsidR="007270B7" w:rsidRPr="007F78CE" w:rsidRDefault="007270B7" w:rsidP="007F78CE">
            <w:pPr>
              <w:spacing w:after="0" w:line="240" w:lineRule="auto"/>
              <w:rPr>
                <w:rFonts w:ascii="Arial" w:hAnsi="Arial" w:cs="Arial"/>
                <w:sz w:val="18"/>
                <w:szCs w:val="18"/>
              </w:rPr>
            </w:pPr>
            <w:r w:rsidRPr="007F78CE">
              <w:rPr>
                <w:rFonts w:ascii="Arial" w:hAnsi="Arial" w:cs="Arial"/>
                <w:sz w:val="18"/>
                <w:szCs w:val="18"/>
              </w:rPr>
              <w:t>Agriculteurs, autorités locales, enseignants, mécanicien, étudiants, sage-femme</w:t>
            </w:r>
          </w:p>
        </w:tc>
      </w:tr>
      <w:tr w:rsidR="0063584D" w:rsidRPr="007F78CE" w14:paraId="251A5AB2" w14:textId="77777777" w:rsidTr="007F78CE">
        <w:trPr>
          <w:jc w:val="center"/>
        </w:trPr>
        <w:tc>
          <w:tcPr>
            <w:tcW w:w="217" w:type="pct"/>
            <w:tcBorders>
              <w:top w:val="single" w:sz="8" w:space="0" w:color="4F81BD"/>
              <w:left w:val="single" w:sz="8" w:space="0" w:color="4F81BD"/>
              <w:bottom w:val="single" w:sz="8" w:space="0" w:color="4F81BD"/>
              <w:right w:val="single" w:sz="8" w:space="0" w:color="4F81BD"/>
            </w:tcBorders>
            <w:shd w:val="clear" w:color="auto" w:fill="auto"/>
            <w:vAlign w:val="center"/>
          </w:tcPr>
          <w:p w14:paraId="7A0E455D" w14:textId="77777777" w:rsidR="007270B7" w:rsidRPr="007F78CE" w:rsidRDefault="007270B7" w:rsidP="007F78CE">
            <w:pPr>
              <w:spacing w:after="0" w:line="240" w:lineRule="auto"/>
              <w:jc w:val="center"/>
              <w:rPr>
                <w:rFonts w:ascii="Arial" w:eastAsia="Times New Roman" w:hAnsi="Arial" w:cs="Arial"/>
                <w:b/>
                <w:bCs/>
                <w:sz w:val="18"/>
                <w:szCs w:val="18"/>
              </w:rPr>
            </w:pPr>
          </w:p>
        </w:tc>
        <w:tc>
          <w:tcPr>
            <w:tcW w:w="767" w:type="pct"/>
            <w:tcBorders>
              <w:top w:val="single" w:sz="8" w:space="0" w:color="4F81BD"/>
              <w:left w:val="single" w:sz="8" w:space="0" w:color="4F81BD"/>
              <w:bottom w:val="single" w:sz="8" w:space="0" w:color="4F81BD"/>
              <w:right w:val="single" w:sz="8" w:space="0" w:color="4F81BD"/>
            </w:tcBorders>
            <w:shd w:val="clear" w:color="auto" w:fill="auto"/>
            <w:vAlign w:val="center"/>
          </w:tcPr>
          <w:p w14:paraId="1087F8AC" w14:textId="77777777" w:rsidR="007270B7" w:rsidRPr="007F78CE" w:rsidRDefault="007270B7" w:rsidP="007F78CE">
            <w:pPr>
              <w:spacing w:after="0" w:line="240" w:lineRule="auto"/>
              <w:jc w:val="center"/>
              <w:rPr>
                <w:rFonts w:ascii="Arial" w:hAnsi="Arial" w:cs="Arial"/>
                <w:b/>
                <w:sz w:val="18"/>
                <w:szCs w:val="18"/>
              </w:rPr>
            </w:pPr>
            <w:r w:rsidRPr="007F78CE">
              <w:rPr>
                <w:rFonts w:ascii="Arial" w:hAnsi="Arial" w:cs="Arial"/>
                <w:b/>
                <w:sz w:val="18"/>
                <w:szCs w:val="18"/>
              </w:rPr>
              <w:t>Total</w:t>
            </w:r>
          </w:p>
        </w:tc>
        <w:tc>
          <w:tcPr>
            <w:tcW w:w="860" w:type="pct"/>
            <w:tcBorders>
              <w:top w:val="single" w:sz="8" w:space="0" w:color="4F81BD"/>
              <w:left w:val="single" w:sz="8" w:space="0" w:color="4F81BD"/>
              <w:bottom w:val="single" w:sz="8" w:space="0" w:color="4F81BD"/>
              <w:right w:val="single" w:sz="8" w:space="0" w:color="4F81BD"/>
            </w:tcBorders>
            <w:shd w:val="clear" w:color="auto" w:fill="auto"/>
            <w:vAlign w:val="center"/>
          </w:tcPr>
          <w:p w14:paraId="4B5BA9F0" w14:textId="77777777" w:rsidR="007270B7" w:rsidRPr="007F78CE" w:rsidRDefault="007270B7" w:rsidP="007F78CE">
            <w:pPr>
              <w:spacing w:after="0" w:line="240" w:lineRule="auto"/>
              <w:jc w:val="center"/>
              <w:rPr>
                <w:rFonts w:ascii="Arial" w:hAnsi="Arial" w:cs="Arial"/>
                <w:b/>
                <w:sz w:val="18"/>
                <w:szCs w:val="18"/>
              </w:rPr>
            </w:pPr>
          </w:p>
        </w:tc>
        <w:tc>
          <w:tcPr>
            <w:tcW w:w="506" w:type="pct"/>
            <w:tcBorders>
              <w:top w:val="single" w:sz="8" w:space="0" w:color="4F81BD"/>
              <w:left w:val="single" w:sz="8" w:space="0" w:color="4F81BD"/>
              <w:bottom w:val="single" w:sz="8" w:space="0" w:color="4F81BD"/>
              <w:right w:val="single" w:sz="8" w:space="0" w:color="4F81BD"/>
            </w:tcBorders>
            <w:shd w:val="clear" w:color="auto" w:fill="auto"/>
            <w:vAlign w:val="center"/>
          </w:tcPr>
          <w:p w14:paraId="169332A8" w14:textId="77777777" w:rsidR="007270B7" w:rsidRPr="007F78CE" w:rsidRDefault="007270B7" w:rsidP="007F78CE">
            <w:pPr>
              <w:spacing w:after="0" w:line="240" w:lineRule="auto"/>
              <w:jc w:val="center"/>
              <w:rPr>
                <w:rFonts w:ascii="Arial" w:hAnsi="Arial" w:cs="Arial"/>
                <w:b/>
                <w:sz w:val="18"/>
                <w:szCs w:val="18"/>
              </w:rPr>
            </w:pPr>
            <w:r w:rsidRPr="007F78CE">
              <w:rPr>
                <w:rFonts w:ascii="Arial" w:hAnsi="Arial" w:cs="Arial"/>
                <w:b/>
                <w:sz w:val="18"/>
                <w:szCs w:val="18"/>
              </w:rPr>
              <w:t>15</w:t>
            </w:r>
          </w:p>
        </w:tc>
        <w:tc>
          <w:tcPr>
            <w:tcW w:w="693" w:type="pct"/>
            <w:tcBorders>
              <w:top w:val="single" w:sz="8" w:space="0" w:color="4F81BD"/>
              <w:left w:val="single" w:sz="8" w:space="0" w:color="4F81BD"/>
              <w:bottom w:val="single" w:sz="8" w:space="0" w:color="4F81BD"/>
              <w:right w:val="single" w:sz="8" w:space="0" w:color="4F81BD"/>
            </w:tcBorders>
            <w:shd w:val="clear" w:color="auto" w:fill="auto"/>
            <w:vAlign w:val="center"/>
          </w:tcPr>
          <w:p w14:paraId="280B2209" w14:textId="77777777" w:rsidR="007270B7" w:rsidRPr="007F78CE" w:rsidRDefault="007270B7" w:rsidP="007F78CE">
            <w:pPr>
              <w:spacing w:after="0" w:line="240" w:lineRule="auto"/>
              <w:jc w:val="center"/>
              <w:rPr>
                <w:rFonts w:ascii="Arial" w:hAnsi="Arial" w:cs="Arial"/>
                <w:b/>
                <w:sz w:val="18"/>
                <w:szCs w:val="18"/>
              </w:rPr>
            </w:pPr>
            <w:r w:rsidRPr="007F78CE">
              <w:rPr>
                <w:rFonts w:ascii="Arial" w:hAnsi="Arial" w:cs="Arial"/>
                <w:b/>
                <w:sz w:val="18"/>
                <w:szCs w:val="18"/>
              </w:rPr>
              <w:t>529</w:t>
            </w:r>
          </w:p>
        </w:tc>
        <w:tc>
          <w:tcPr>
            <w:tcW w:w="511" w:type="pct"/>
            <w:tcBorders>
              <w:top w:val="single" w:sz="8" w:space="0" w:color="4F81BD"/>
              <w:left w:val="single" w:sz="8" w:space="0" w:color="4F81BD"/>
              <w:bottom w:val="single" w:sz="8" w:space="0" w:color="4F81BD"/>
              <w:right w:val="single" w:sz="8" w:space="0" w:color="4F81BD"/>
            </w:tcBorders>
            <w:shd w:val="clear" w:color="auto" w:fill="auto"/>
            <w:vAlign w:val="center"/>
          </w:tcPr>
          <w:p w14:paraId="4E25864A" w14:textId="77777777" w:rsidR="007270B7" w:rsidRPr="007F78CE" w:rsidRDefault="007270B7" w:rsidP="007F78CE">
            <w:pPr>
              <w:spacing w:after="0" w:line="240" w:lineRule="auto"/>
              <w:jc w:val="center"/>
              <w:rPr>
                <w:rFonts w:ascii="Arial" w:hAnsi="Arial" w:cs="Arial"/>
                <w:b/>
                <w:sz w:val="18"/>
                <w:szCs w:val="18"/>
              </w:rPr>
            </w:pPr>
            <w:r w:rsidRPr="007F78CE">
              <w:rPr>
                <w:rFonts w:ascii="Arial" w:hAnsi="Arial" w:cs="Arial"/>
                <w:b/>
                <w:sz w:val="18"/>
                <w:szCs w:val="18"/>
              </w:rPr>
              <w:t>268</w:t>
            </w:r>
          </w:p>
        </w:tc>
        <w:tc>
          <w:tcPr>
            <w:tcW w:w="479" w:type="pct"/>
            <w:tcBorders>
              <w:top w:val="single" w:sz="8" w:space="0" w:color="4F81BD"/>
              <w:left w:val="single" w:sz="8" w:space="0" w:color="4F81BD"/>
              <w:bottom w:val="single" w:sz="8" w:space="0" w:color="4F81BD"/>
              <w:right w:val="single" w:sz="8" w:space="0" w:color="4F81BD"/>
            </w:tcBorders>
            <w:shd w:val="clear" w:color="auto" w:fill="auto"/>
            <w:vAlign w:val="center"/>
          </w:tcPr>
          <w:p w14:paraId="109DA89E" w14:textId="77777777" w:rsidR="007270B7" w:rsidRPr="007F78CE" w:rsidRDefault="007270B7" w:rsidP="007F78CE">
            <w:pPr>
              <w:spacing w:after="0" w:line="240" w:lineRule="auto"/>
              <w:jc w:val="center"/>
              <w:rPr>
                <w:rFonts w:ascii="Arial" w:hAnsi="Arial" w:cs="Arial"/>
                <w:b/>
                <w:sz w:val="18"/>
                <w:szCs w:val="18"/>
              </w:rPr>
            </w:pPr>
            <w:r w:rsidRPr="007F78CE">
              <w:rPr>
                <w:rFonts w:ascii="Arial" w:hAnsi="Arial" w:cs="Arial"/>
                <w:b/>
                <w:sz w:val="18"/>
                <w:szCs w:val="18"/>
              </w:rPr>
              <w:t>261</w:t>
            </w:r>
          </w:p>
        </w:tc>
        <w:tc>
          <w:tcPr>
            <w:tcW w:w="967" w:type="pct"/>
            <w:tcBorders>
              <w:top w:val="single" w:sz="8" w:space="0" w:color="4F81BD"/>
              <w:left w:val="single" w:sz="8" w:space="0" w:color="4F81BD"/>
              <w:bottom w:val="single" w:sz="8" w:space="0" w:color="4F81BD"/>
              <w:right w:val="single" w:sz="8" w:space="0" w:color="4F81BD"/>
            </w:tcBorders>
            <w:shd w:val="clear" w:color="auto" w:fill="auto"/>
          </w:tcPr>
          <w:p w14:paraId="0B5A5FD0" w14:textId="77777777" w:rsidR="007270B7" w:rsidRPr="007F78CE" w:rsidRDefault="007270B7" w:rsidP="007F78CE">
            <w:pPr>
              <w:spacing w:after="0" w:line="240" w:lineRule="auto"/>
              <w:rPr>
                <w:rFonts w:ascii="Arial" w:hAnsi="Arial" w:cs="Arial"/>
                <w:b/>
                <w:sz w:val="18"/>
                <w:szCs w:val="18"/>
              </w:rPr>
            </w:pPr>
          </w:p>
        </w:tc>
      </w:tr>
    </w:tbl>
    <w:p w14:paraId="7F1637FA" w14:textId="77777777" w:rsidR="0096492E" w:rsidRPr="007270B7" w:rsidRDefault="007270B7" w:rsidP="0096492E">
      <w:pPr>
        <w:autoSpaceDE w:val="0"/>
        <w:autoSpaceDN w:val="0"/>
        <w:adjustRightInd w:val="0"/>
        <w:jc w:val="both"/>
        <w:rPr>
          <w:rFonts w:ascii="Arial" w:hAnsi="Arial" w:cs="Arial"/>
          <w:i/>
          <w:sz w:val="16"/>
          <w:szCs w:val="24"/>
        </w:rPr>
      </w:pPr>
      <w:r w:rsidRPr="007270B7">
        <w:rPr>
          <w:rFonts w:ascii="Arial" w:hAnsi="Arial" w:cs="Arial"/>
          <w:i/>
          <w:sz w:val="16"/>
          <w:szCs w:val="24"/>
        </w:rPr>
        <w:t>Source BIODEV 2022</w:t>
      </w:r>
    </w:p>
    <w:p w14:paraId="126E5F72" w14:textId="77777777" w:rsidR="0096492E" w:rsidRDefault="0096492E" w:rsidP="00B434A6">
      <w:pPr>
        <w:autoSpaceDE w:val="0"/>
        <w:autoSpaceDN w:val="0"/>
        <w:adjustRightInd w:val="0"/>
        <w:spacing w:after="0"/>
        <w:jc w:val="both"/>
        <w:rPr>
          <w:rFonts w:ascii="Arial" w:hAnsi="Arial" w:cs="Arial"/>
          <w:szCs w:val="24"/>
        </w:rPr>
      </w:pPr>
    </w:p>
    <w:p w14:paraId="2F504200" w14:textId="77777777" w:rsidR="0096492E" w:rsidRPr="007270B7" w:rsidRDefault="007270B7" w:rsidP="0044500E">
      <w:pPr>
        <w:pStyle w:val="TIT40"/>
        <w:numPr>
          <w:ilvl w:val="3"/>
          <w:numId w:val="177"/>
        </w:numPr>
        <w:spacing w:before="120"/>
        <w:outlineLvl w:val="3"/>
      </w:pPr>
      <w:bookmarkStart w:id="1265" w:name="_Toc124314773"/>
      <w:bookmarkStart w:id="1266" w:name="_Toc124956308"/>
      <w:bookmarkStart w:id="1267" w:name="_Toc125384656"/>
      <w:bookmarkStart w:id="1268" w:name="_Toc125385045"/>
      <w:bookmarkStart w:id="1269" w:name="_Toc127957712"/>
      <w:r w:rsidRPr="007270B7">
        <w:t>Résultats de la consultation publique</w:t>
      </w:r>
      <w:bookmarkEnd w:id="1265"/>
      <w:bookmarkEnd w:id="1266"/>
      <w:bookmarkEnd w:id="1267"/>
      <w:bookmarkEnd w:id="1268"/>
      <w:bookmarkEnd w:id="1269"/>
      <w:r w:rsidRPr="007270B7">
        <w:t xml:space="preserve"> </w:t>
      </w:r>
    </w:p>
    <w:p w14:paraId="3500CC92" w14:textId="77777777" w:rsidR="007270B7" w:rsidRDefault="00EE273B" w:rsidP="0096492E">
      <w:pPr>
        <w:autoSpaceDE w:val="0"/>
        <w:autoSpaceDN w:val="0"/>
        <w:adjustRightInd w:val="0"/>
        <w:jc w:val="both"/>
        <w:rPr>
          <w:rFonts w:ascii="Arial" w:hAnsi="Arial" w:cs="Arial"/>
          <w:szCs w:val="24"/>
        </w:rPr>
      </w:pPr>
      <w:r>
        <w:rPr>
          <w:rFonts w:ascii="Arial" w:hAnsi="Arial" w:cs="Arial"/>
          <w:szCs w:val="24"/>
        </w:rPr>
        <w:t xml:space="preserve">Après l’explication sur l’objectif du Projet </w:t>
      </w:r>
      <w:r w:rsidR="00761654">
        <w:rPr>
          <w:rFonts w:ascii="Arial" w:hAnsi="Arial" w:cs="Arial"/>
          <w:szCs w:val="24"/>
        </w:rPr>
        <w:t xml:space="preserve">ainsi que la restitution des diagnostics effectués par les techniciens sur le terrain, la population locale a donné </w:t>
      </w:r>
      <w:r w:rsidR="003E3E27">
        <w:rPr>
          <w:rFonts w:ascii="Arial" w:hAnsi="Arial" w:cs="Arial"/>
          <w:szCs w:val="24"/>
        </w:rPr>
        <w:t xml:space="preserve">son </w:t>
      </w:r>
      <w:r w:rsidR="00761654">
        <w:rPr>
          <w:rFonts w:ascii="Arial" w:hAnsi="Arial" w:cs="Arial"/>
          <w:szCs w:val="24"/>
        </w:rPr>
        <w:t>avis concernant le Projet DECIM. Les préoccupations de la population locale ainsi que les éléments de réponse apporté</w:t>
      </w:r>
      <w:r w:rsidR="00C214FA">
        <w:rPr>
          <w:rFonts w:ascii="Arial" w:hAnsi="Arial" w:cs="Arial"/>
          <w:szCs w:val="24"/>
        </w:rPr>
        <w:t>s</w:t>
      </w:r>
      <w:r w:rsidR="00761654">
        <w:rPr>
          <w:rFonts w:ascii="Arial" w:hAnsi="Arial" w:cs="Arial"/>
          <w:szCs w:val="24"/>
        </w:rPr>
        <w:t xml:space="preserve"> par le responsable du Ministère de tutelle sont synthétisées dans le tableau suivant </w:t>
      </w:r>
    </w:p>
    <w:p w14:paraId="7AB4DD52" w14:textId="77777777" w:rsidR="00EE273B" w:rsidRPr="00761654" w:rsidRDefault="00761654" w:rsidP="00761654">
      <w:pPr>
        <w:pStyle w:val="Lgende"/>
        <w:jc w:val="center"/>
        <w:rPr>
          <w:sz w:val="20"/>
        </w:rPr>
      </w:pPr>
      <w:bookmarkStart w:id="1270" w:name="_Toc127957887"/>
      <w:r w:rsidRPr="00761654">
        <w:rPr>
          <w:sz w:val="20"/>
        </w:rPr>
        <w:t xml:space="preserve">Tableau </w:t>
      </w:r>
      <w:r w:rsidRPr="00761654">
        <w:rPr>
          <w:sz w:val="20"/>
        </w:rPr>
        <w:fldChar w:fldCharType="begin"/>
      </w:r>
      <w:r w:rsidRPr="00761654">
        <w:rPr>
          <w:sz w:val="20"/>
        </w:rPr>
        <w:instrText xml:space="preserve"> SEQ Tableau \* ARABIC </w:instrText>
      </w:r>
      <w:r w:rsidRPr="00761654">
        <w:rPr>
          <w:sz w:val="20"/>
        </w:rPr>
        <w:fldChar w:fldCharType="separate"/>
      </w:r>
      <w:r w:rsidR="005430A1">
        <w:rPr>
          <w:noProof/>
          <w:sz w:val="20"/>
        </w:rPr>
        <w:t>91</w:t>
      </w:r>
      <w:r w:rsidRPr="00761654">
        <w:rPr>
          <w:sz w:val="20"/>
        </w:rPr>
        <w:fldChar w:fldCharType="end"/>
      </w:r>
      <w:r w:rsidRPr="00761654">
        <w:rPr>
          <w:sz w:val="20"/>
        </w:rPr>
        <w:t>. Préoccupation et suggestion de la population locale lors des consultations publiques</w:t>
      </w:r>
      <w:bookmarkEnd w:id="1270"/>
      <w:r w:rsidRPr="00761654">
        <w:rPr>
          <w:sz w:val="20"/>
        </w:rPr>
        <w:t xml:space="preserve"> </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528"/>
        <w:gridCol w:w="4522"/>
      </w:tblGrid>
      <w:tr w:rsidR="0063584D" w:rsidRPr="007F78CE" w14:paraId="46AB276F" w14:textId="77777777" w:rsidTr="007F78CE">
        <w:trPr>
          <w:tblHeader/>
        </w:trPr>
        <w:tc>
          <w:tcPr>
            <w:tcW w:w="4534" w:type="dxa"/>
            <w:shd w:val="clear" w:color="auto" w:fill="4F81BD"/>
          </w:tcPr>
          <w:p w14:paraId="079B7C4B" w14:textId="77777777" w:rsidR="00EE273B" w:rsidRPr="007F78CE" w:rsidRDefault="00EE273B" w:rsidP="007F78CE">
            <w:pPr>
              <w:spacing w:after="0" w:line="240" w:lineRule="auto"/>
              <w:jc w:val="center"/>
              <w:rPr>
                <w:rFonts w:ascii="Arial" w:hAnsi="Arial" w:cs="Arial"/>
                <w:b/>
                <w:color w:val="FFFFFF"/>
                <w:sz w:val="18"/>
                <w:szCs w:val="18"/>
              </w:rPr>
            </w:pPr>
            <w:r w:rsidRPr="007F78CE">
              <w:rPr>
                <w:rFonts w:ascii="Arial" w:hAnsi="Arial" w:cs="Arial"/>
                <w:b/>
                <w:color w:val="FFFFFF"/>
                <w:sz w:val="18"/>
                <w:szCs w:val="18"/>
              </w:rPr>
              <w:t>Craintes/Questions</w:t>
            </w:r>
          </w:p>
        </w:tc>
        <w:tc>
          <w:tcPr>
            <w:tcW w:w="4528" w:type="dxa"/>
            <w:shd w:val="clear" w:color="auto" w:fill="4F81BD"/>
          </w:tcPr>
          <w:p w14:paraId="72FBF321" w14:textId="77777777" w:rsidR="00EE273B" w:rsidRPr="007F78CE" w:rsidRDefault="00EE273B" w:rsidP="007F78CE">
            <w:pPr>
              <w:spacing w:after="0" w:line="240" w:lineRule="auto"/>
              <w:jc w:val="center"/>
              <w:rPr>
                <w:rFonts w:ascii="Arial" w:hAnsi="Arial" w:cs="Arial"/>
                <w:b/>
                <w:color w:val="FFFFFF"/>
                <w:sz w:val="18"/>
                <w:szCs w:val="18"/>
              </w:rPr>
            </w:pPr>
            <w:r w:rsidRPr="007F78CE">
              <w:rPr>
                <w:rFonts w:ascii="Arial" w:hAnsi="Arial" w:cs="Arial"/>
                <w:b/>
                <w:color w:val="FFFFFF"/>
                <w:sz w:val="18"/>
                <w:szCs w:val="18"/>
              </w:rPr>
              <w:t>Réponses</w:t>
            </w:r>
          </w:p>
        </w:tc>
      </w:tr>
      <w:tr w:rsidR="0063584D" w:rsidRPr="007F78CE" w14:paraId="3A7D3549" w14:textId="77777777" w:rsidTr="007F78CE">
        <w:tc>
          <w:tcPr>
            <w:tcW w:w="4534" w:type="dxa"/>
            <w:tcBorders>
              <w:top w:val="single" w:sz="8" w:space="0" w:color="4F81BD"/>
              <w:left w:val="single" w:sz="8" w:space="0" w:color="4F81BD"/>
              <w:bottom w:val="single" w:sz="8" w:space="0" w:color="4F81BD"/>
            </w:tcBorders>
            <w:shd w:val="clear" w:color="auto" w:fill="auto"/>
          </w:tcPr>
          <w:p w14:paraId="2F149D46"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Quand est ce que le Projet démarrera ?</w:t>
            </w:r>
          </w:p>
        </w:tc>
        <w:tc>
          <w:tcPr>
            <w:tcW w:w="4528" w:type="dxa"/>
            <w:tcBorders>
              <w:top w:val="single" w:sz="8" w:space="0" w:color="4F81BD"/>
              <w:bottom w:val="single" w:sz="8" w:space="0" w:color="4F81BD"/>
              <w:right w:val="single" w:sz="8" w:space="0" w:color="4F81BD"/>
            </w:tcBorders>
            <w:shd w:val="clear" w:color="auto" w:fill="auto"/>
          </w:tcPr>
          <w:p w14:paraId="44E25900" w14:textId="77777777" w:rsidR="00EE273B" w:rsidRPr="007F78CE" w:rsidRDefault="00EE273B" w:rsidP="007F78CE">
            <w:pPr>
              <w:spacing w:after="0" w:line="240" w:lineRule="auto"/>
              <w:rPr>
                <w:rFonts w:ascii="Arial" w:hAnsi="Arial" w:cs="Arial"/>
                <w:bCs/>
                <w:sz w:val="18"/>
                <w:szCs w:val="18"/>
              </w:rPr>
            </w:pPr>
            <w:r w:rsidRPr="007F78CE">
              <w:rPr>
                <w:rFonts w:ascii="Arial" w:hAnsi="Arial" w:cs="Arial"/>
                <w:bCs/>
                <w:sz w:val="18"/>
                <w:szCs w:val="18"/>
              </w:rPr>
              <w:t xml:space="preserve">Ceci dépendra des résultats de cette étude environnementale et sociale sur </w:t>
            </w:r>
            <w:r w:rsidR="003E3E27">
              <w:rPr>
                <w:rFonts w:ascii="Arial" w:hAnsi="Arial" w:cs="Arial"/>
                <w:bCs/>
                <w:sz w:val="18"/>
                <w:szCs w:val="18"/>
              </w:rPr>
              <w:t xml:space="preserve">le </w:t>
            </w:r>
            <w:r w:rsidRPr="007F78CE">
              <w:rPr>
                <w:rFonts w:ascii="Arial" w:hAnsi="Arial" w:cs="Arial"/>
                <w:bCs/>
                <w:sz w:val="18"/>
                <w:szCs w:val="18"/>
              </w:rPr>
              <w:t xml:space="preserve">terrain. </w:t>
            </w:r>
          </w:p>
        </w:tc>
      </w:tr>
      <w:tr w:rsidR="00EE273B" w:rsidRPr="007F78CE" w14:paraId="120F0F51" w14:textId="77777777" w:rsidTr="007F78CE">
        <w:tc>
          <w:tcPr>
            <w:tcW w:w="4534" w:type="dxa"/>
            <w:shd w:val="clear" w:color="auto" w:fill="auto"/>
          </w:tcPr>
          <w:p w14:paraId="7071F4A7"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Pouvons-nous espérer bénéficier du Projet ?</w:t>
            </w:r>
          </w:p>
        </w:tc>
        <w:tc>
          <w:tcPr>
            <w:tcW w:w="4528" w:type="dxa"/>
            <w:shd w:val="clear" w:color="auto" w:fill="auto"/>
          </w:tcPr>
          <w:p w14:paraId="5EC3A147" w14:textId="77777777" w:rsidR="00EE273B" w:rsidRPr="007F78CE" w:rsidRDefault="00EE273B" w:rsidP="007F78CE">
            <w:pPr>
              <w:spacing w:after="0" w:line="240" w:lineRule="auto"/>
              <w:rPr>
                <w:rFonts w:ascii="Arial" w:hAnsi="Arial" w:cs="Arial"/>
                <w:bCs/>
                <w:sz w:val="18"/>
                <w:szCs w:val="18"/>
              </w:rPr>
            </w:pPr>
            <w:r w:rsidRPr="007F78CE">
              <w:rPr>
                <w:rFonts w:ascii="Arial" w:hAnsi="Arial" w:cs="Arial"/>
                <w:bCs/>
                <w:sz w:val="18"/>
                <w:szCs w:val="18"/>
              </w:rPr>
              <w:t>Ce Projet devrait être exécuté sur l’ensemble des 23 Régions de Madagascar. Il ne nous est pas possible de dire</w:t>
            </w:r>
            <w:r w:rsidR="00C214FA">
              <w:rPr>
                <w:rFonts w:ascii="Arial" w:hAnsi="Arial" w:cs="Arial"/>
                <w:bCs/>
                <w:sz w:val="18"/>
                <w:szCs w:val="18"/>
              </w:rPr>
              <w:t xml:space="preserve"> actuellement</w:t>
            </w:r>
            <w:r w:rsidRPr="007F78CE">
              <w:rPr>
                <w:rFonts w:ascii="Arial" w:hAnsi="Arial" w:cs="Arial"/>
                <w:bCs/>
                <w:sz w:val="18"/>
                <w:szCs w:val="18"/>
              </w:rPr>
              <w:t xml:space="preserve"> quel</w:t>
            </w:r>
            <w:r w:rsidR="00C214FA">
              <w:rPr>
                <w:rFonts w:ascii="Arial" w:hAnsi="Arial" w:cs="Arial"/>
                <w:bCs/>
                <w:sz w:val="18"/>
                <w:szCs w:val="18"/>
              </w:rPr>
              <w:t>le</w:t>
            </w:r>
            <w:r w:rsidRPr="007F78CE">
              <w:rPr>
                <w:rFonts w:ascii="Arial" w:hAnsi="Arial" w:cs="Arial"/>
                <w:bCs/>
                <w:sz w:val="18"/>
                <w:szCs w:val="18"/>
              </w:rPr>
              <w:t>s sont les localités où des activités seront mises en place.</w:t>
            </w:r>
          </w:p>
        </w:tc>
      </w:tr>
      <w:tr w:rsidR="0063584D" w:rsidRPr="007F78CE" w14:paraId="1E1328BB" w14:textId="77777777" w:rsidTr="007F78CE">
        <w:tc>
          <w:tcPr>
            <w:tcW w:w="4534" w:type="dxa"/>
            <w:tcBorders>
              <w:top w:val="single" w:sz="8" w:space="0" w:color="4F81BD"/>
              <w:left w:val="single" w:sz="8" w:space="0" w:color="4F81BD"/>
              <w:bottom w:val="single" w:sz="8" w:space="0" w:color="4F81BD"/>
            </w:tcBorders>
            <w:shd w:val="clear" w:color="auto" w:fill="auto"/>
          </w:tcPr>
          <w:p w14:paraId="66CB46D4"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 xml:space="preserve">Combien de temps durera le Projet ? </w:t>
            </w:r>
          </w:p>
        </w:tc>
        <w:tc>
          <w:tcPr>
            <w:tcW w:w="4528" w:type="dxa"/>
            <w:tcBorders>
              <w:top w:val="single" w:sz="8" w:space="0" w:color="4F81BD"/>
              <w:bottom w:val="single" w:sz="8" w:space="0" w:color="4F81BD"/>
              <w:right w:val="single" w:sz="8" w:space="0" w:color="4F81BD"/>
            </w:tcBorders>
            <w:shd w:val="clear" w:color="auto" w:fill="auto"/>
          </w:tcPr>
          <w:p w14:paraId="1F6919E5" w14:textId="77777777" w:rsidR="00EE273B" w:rsidRPr="007F78CE" w:rsidRDefault="00761654" w:rsidP="007F78CE">
            <w:pPr>
              <w:spacing w:after="0" w:line="240" w:lineRule="auto"/>
              <w:rPr>
                <w:rFonts w:ascii="Arial" w:hAnsi="Arial" w:cs="Arial"/>
                <w:bCs/>
                <w:sz w:val="18"/>
                <w:szCs w:val="18"/>
              </w:rPr>
            </w:pPr>
            <w:r w:rsidRPr="007F78CE">
              <w:rPr>
                <w:rFonts w:ascii="Arial" w:hAnsi="Arial" w:cs="Arial"/>
                <w:bCs/>
                <w:sz w:val="18"/>
                <w:szCs w:val="18"/>
              </w:rPr>
              <w:t>Le Projet durera e</w:t>
            </w:r>
            <w:r w:rsidR="00EE273B" w:rsidRPr="007F78CE">
              <w:rPr>
                <w:rFonts w:ascii="Arial" w:hAnsi="Arial" w:cs="Arial"/>
                <w:bCs/>
                <w:sz w:val="18"/>
                <w:szCs w:val="18"/>
              </w:rPr>
              <w:t>ntre 4 à 5 ans </w:t>
            </w:r>
          </w:p>
        </w:tc>
      </w:tr>
      <w:tr w:rsidR="00EE273B" w:rsidRPr="007F78CE" w14:paraId="1B764CB3" w14:textId="77777777" w:rsidTr="007F78CE">
        <w:tc>
          <w:tcPr>
            <w:tcW w:w="4534" w:type="dxa"/>
            <w:shd w:val="clear" w:color="auto" w:fill="auto"/>
          </w:tcPr>
          <w:p w14:paraId="600E4CCC"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 xml:space="preserve">Qu’en sera-t-il des biens affectés par le Projet ? </w:t>
            </w:r>
          </w:p>
        </w:tc>
        <w:tc>
          <w:tcPr>
            <w:tcW w:w="4528" w:type="dxa"/>
            <w:shd w:val="clear" w:color="auto" w:fill="auto"/>
          </w:tcPr>
          <w:p w14:paraId="1FA51729" w14:textId="77777777" w:rsidR="00EE273B" w:rsidRPr="007F78CE" w:rsidRDefault="00EE273B" w:rsidP="007F78CE">
            <w:pPr>
              <w:spacing w:after="0" w:line="240" w:lineRule="auto"/>
              <w:rPr>
                <w:rFonts w:ascii="Arial" w:hAnsi="Arial" w:cs="Arial"/>
                <w:bCs/>
                <w:sz w:val="18"/>
                <w:szCs w:val="18"/>
              </w:rPr>
            </w:pPr>
            <w:r w:rsidRPr="007F78CE">
              <w:rPr>
                <w:rFonts w:ascii="Arial" w:hAnsi="Arial" w:cs="Arial"/>
                <w:bCs/>
                <w:sz w:val="18"/>
                <w:szCs w:val="18"/>
              </w:rPr>
              <w:t>Le principe d’évitement est priorisé. Toutefois s’il est impossible d’éviter l’acquisition de biens privés, l’</w:t>
            </w:r>
            <w:r w:rsidR="00C214FA" w:rsidRPr="007F78CE">
              <w:rPr>
                <w:rFonts w:ascii="Arial" w:hAnsi="Arial" w:cs="Arial"/>
                <w:bCs/>
                <w:sz w:val="18"/>
                <w:szCs w:val="18"/>
              </w:rPr>
              <w:t>État</w:t>
            </w:r>
            <w:r w:rsidRPr="007F78CE">
              <w:rPr>
                <w:rFonts w:ascii="Arial" w:hAnsi="Arial" w:cs="Arial"/>
                <w:bCs/>
                <w:sz w:val="18"/>
                <w:szCs w:val="18"/>
              </w:rPr>
              <w:t xml:space="preserve"> procèdera à la compensation de tous les biens touchés. </w:t>
            </w:r>
          </w:p>
        </w:tc>
      </w:tr>
      <w:tr w:rsidR="0063584D" w:rsidRPr="007F78CE" w14:paraId="5DAD58FD" w14:textId="77777777" w:rsidTr="007F78CE">
        <w:tc>
          <w:tcPr>
            <w:tcW w:w="4534" w:type="dxa"/>
            <w:tcBorders>
              <w:top w:val="single" w:sz="8" w:space="0" w:color="4F81BD"/>
              <w:left w:val="single" w:sz="8" w:space="0" w:color="4F81BD"/>
              <w:bottom w:val="single" w:sz="8" w:space="0" w:color="4F81BD"/>
            </w:tcBorders>
            <w:shd w:val="clear" w:color="auto" w:fill="auto"/>
          </w:tcPr>
          <w:p w14:paraId="24692979"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Est-ce que le Projet dispose de personnes pouvant former les jeunes au numérique et à l’utilisation d’internet ?</w:t>
            </w:r>
          </w:p>
        </w:tc>
        <w:tc>
          <w:tcPr>
            <w:tcW w:w="4528" w:type="dxa"/>
            <w:tcBorders>
              <w:top w:val="single" w:sz="8" w:space="0" w:color="4F81BD"/>
              <w:bottom w:val="single" w:sz="8" w:space="0" w:color="4F81BD"/>
              <w:right w:val="single" w:sz="8" w:space="0" w:color="4F81BD"/>
            </w:tcBorders>
            <w:shd w:val="clear" w:color="auto" w:fill="auto"/>
          </w:tcPr>
          <w:p w14:paraId="7168D481" w14:textId="77777777" w:rsidR="00EE273B" w:rsidRPr="007F78CE" w:rsidRDefault="00EE273B" w:rsidP="007F78CE">
            <w:pPr>
              <w:spacing w:after="0" w:line="240" w:lineRule="auto"/>
              <w:rPr>
                <w:rFonts w:ascii="Arial" w:hAnsi="Arial" w:cs="Arial"/>
                <w:bCs/>
                <w:sz w:val="18"/>
                <w:szCs w:val="18"/>
              </w:rPr>
            </w:pPr>
            <w:r w:rsidRPr="007F78CE">
              <w:rPr>
                <w:rFonts w:ascii="Arial" w:hAnsi="Arial" w:cs="Arial"/>
                <w:bCs/>
                <w:sz w:val="18"/>
                <w:szCs w:val="18"/>
              </w:rPr>
              <w:t xml:space="preserve">Un ambassadeur numérique sera mis en place au niveau des communautés sélectionnées </w:t>
            </w:r>
          </w:p>
        </w:tc>
      </w:tr>
      <w:tr w:rsidR="00EE273B" w:rsidRPr="007F78CE" w14:paraId="2668C483" w14:textId="77777777" w:rsidTr="007F78CE">
        <w:tc>
          <w:tcPr>
            <w:tcW w:w="4534" w:type="dxa"/>
            <w:shd w:val="clear" w:color="auto" w:fill="auto"/>
          </w:tcPr>
          <w:p w14:paraId="5E3BD320"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L’</w:t>
            </w:r>
            <w:r w:rsidR="00C214FA" w:rsidRPr="007F78CE">
              <w:rPr>
                <w:rFonts w:ascii="Arial" w:hAnsi="Arial" w:cs="Arial"/>
                <w:sz w:val="18"/>
                <w:szCs w:val="18"/>
              </w:rPr>
              <w:t>État</w:t>
            </w:r>
            <w:r w:rsidRPr="007F78CE">
              <w:rPr>
                <w:rFonts w:ascii="Arial" w:hAnsi="Arial" w:cs="Arial"/>
                <w:sz w:val="18"/>
                <w:szCs w:val="18"/>
              </w:rPr>
              <w:t xml:space="preserve"> pourra t’il procéder au recrutement d’employés après la réalisation du Projet ?</w:t>
            </w:r>
          </w:p>
        </w:tc>
        <w:tc>
          <w:tcPr>
            <w:tcW w:w="4528" w:type="dxa"/>
            <w:shd w:val="clear" w:color="auto" w:fill="auto"/>
          </w:tcPr>
          <w:p w14:paraId="381F5E13" w14:textId="77777777" w:rsidR="00EE273B" w:rsidRPr="007F78CE" w:rsidRDefault="00EE273B" w:rsidP="007F78CE">
            <w:pPr>
              <w:spacing w:after="0" w:line="240" w:lineRule="auto"/>
              <w:rPr>
                <w:rFonts w:ascii="Arial" w:hAnsi="Arial" w:cs="Arial"/>
                <w:bCs/>
                <w:sz w:val="18"/>
                <w:szCs w:val="18"/>
              </w:rPr>
            </w:pPr>
            <w:r w:rsidRPr="007F78CE">
              <w:rPr>
                <w:rFonts w:ascii="Arial" w:hAnsi="Arial" w:cs="Arial"/>
                <w:bCs/>
                <w:sz w:val="18"/>
                <w:szCs w:val="18"/>
              </w:rPr>
              <w:t>Vous pourrez vous-mêmes vous créer un emploi (ex : cybercafé)</w:t>
            </w:r>
          </w:p>
        </w:tc>
      </w:tr>
      <w:tr w:rsidR="0063584D" w:rsidRPr="007F78CE" w14:paraId="11AB5091" w14:textId="77777777" w:rsidTr="007F78CE">
        <w:tc>
          <w:tcPr>
            <w:tcW w:w="4534" w:type="dxa"/>
            <w:tcBorders>
              <w:top w:val="single" w:sz="8" w:space="0" w:color="4F81BD"/>
              <w:left w:val="single" w:sz="8" w:space="0" w:color="4F81BD"/>
              <w:bottom w:val="single" w:sz="8" w:space="0" w:color="4F81BD"/>
            </w:tcBorders>
            <w:shd w:val="clear" w:color="auto" w:fill="auto"/>
          </w:tcPr>
          <w:p w14:paraId="1C47A59E"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Combien de ménages pourront bénéficier de la mise en place des panneaux ?</w:t>
            </w:r>
          </w:p>
        </w:tc>
        <w:tc>
          <w:tcPr>
            <w:tcW w:w="4528" w:type="dxa"/>
            <w:tcBorders>
              <w:top w:val="single" w:sz="8" w:space="0" w:color="4F81BD"/>
              <w:bottom w:val="single" w:sz="8" w:space="0" w:color="4F81BD"/>
              <w:right w:val="single" w:sz="8" w:space="0" w:color="4F81BD"/>
            </w:tcBorders>
            <w:shd w:val="clear" w:color="auto" w:fill="auto"/>
          </w:tcPr>
          <w:p w14:paraId="03A95194" w14:textId="77777777" w:rsidR="00EE273B" w:rsidRPr="007F78CE" w:rsidRDefault="00EE273B" w:rsidP="007F78CE">
            <w:pPr>
              <w:spacing w:after="0" w:line="240" w:lineRule="auto"/>
              <w:rPr>
                <w:rFonts w:ascii="Arial" w:hAnsi="Arial" w:cs="Arial"/>
                <w:bCs/>
                <w:sz w:val="18"/>
                <w:szCs w:val="18"/>
              </w:rPr>
            </w:pPr>
            <w:r w:rsidRPr="007F78CE">
              <w:rPr>
                <w:rFonts w:ascii="Arial" w:hAnsi="Arial" w:cs="Arial"/>
                <w:bCs/>
                <w:sz w:val="18"/>
                <w:szCs w:val="18"/>
              </w:rPr>
              <w:t>Nous ne pouvons pas encore vous donner une réponse sur cela.</w:t>
            </w:r>
          </w:p>
        </w:tc>
      </w:tr>
      <w:tr w:rsidR="00EE273B" w:rsidRPr="007F78CE" w14:paraId="4EFDE919" w14:textId="77777777" w:rsidTr="007F78CE">
        <w:tc>
          <w:tcPr>
            <w:tcW w:w="4534" w:type="dxa"/>
            <w:shd w:val="clear" w:color="auto" w:fill="auto"/>
          </w:tcPr>
          <w:p w14:paraId="743E8E2F"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Quelle est votre mission actuelle au niveau de la communauté ?</w:t>
            </w:r>
          </w:p>
        </w:tc>
        <w:tc>
          <w:tcPr>
            <w:tcW w:w="4528" w:type="dxa"/>
            <w:shd w:val="clear" w:color="auto" w:fill="auto"/>
          </w:tcPr>
          <w:p w14:paraId="1EE1942B" w14:textId="77777777" w:rsidR="00EE273B" w:rsidRPr="007F78CE" w:rsidRDefault="00EE273B" w:rsidP="007F78CE">
            <w:pPr>
              <w:spacing w:after="0" w:line="240" w:lineRule="auto"/>
              <w:rPr>
                <w:rFonts w:ascii="Arial" w:hAnsi="Arial" w:cs="Arial"/>
                <w:bCs/>
                <w:sz w:val="18"/>
                <w:szCs w:val="18"/>
              </w:rPr>
            </w:pPr>
            <w:r w:rsidRPr="007F78CE">
              <w:rPr>
                <w:rFonts w:ascii="Arial" w:hAnsi="Arial" w:cs="Arial"/>
                <w:bCs/>
                <w:sz w:val="18"/>
                <w:szCs w:val="18"/>
              </w:rPr>
              <w:t xml:space="preserve">Nous effectuons un diagnostic social et environnemental sur </w:t>
            </w:r>
            <w:r w:rsidR="003E3E27">
              <w:rPr>
                <w:rFonts w:ascii="Arial" w:hAnsi="Arial" w:cs="Arial"/>
                <w:bCs/>
                <w:sz w:val="18"/>
                <w:szCs w:val="18"/>
              </w:rPr>
              <w:t xml:space="preserve"> le </w:t>
            </w:r>
            <w:r w:rsidRPr="007F78CE">
              <w:rPr>
                <w:rFonts w:ascii="Arial" w:hAnsi="Arial" w:cs="Arial"/>
                <w:bCs/>
                <w:sz w:val="18"/>
                <w:szCs w:val="18"/>
              </w:rPr>
              <w:t>terrain.</w:t>
            </w:r>
          </w:p>
        </w:tc>
      </w:tr>
      <w:tr w:rsidR="0063584D" w:rsidRPr="007F78CE" w14:paraId="0AD9512B" w14:textId="77777777" w:rsidTr="007F78CE">
        <w:tc>
          <w:tcPr>
            <w:tcW w:w="4534" w:type="dxa"/>
            <w:tcBorders>
              <w:top w:val="single" w:sz="8" w:space="0" w:color="4F81BD"/>
              <w:left w:val="single" w:sz="8" w:space="0" w:color="4F81BD"/>
              <w:bottom w:val="single" w:sz="8" w:space="0" w:color="4F81BD"/>
            </w:tcBorders>
            <w:shd w:val="clear" w:color="auto" w:fill="auto"/>
          </w:tcPr>
          <w:p w14:paraId="7DE435C0"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Est-ce que les panneaux seront opérationnels même sans soleil ?</w:t>
            </w:r>
          </w:p>
        </w:tc>
        <w:tc>
          <w:tcPr>
            <w:tcW w:w="4528" w:type="dxa"/>
            <w:tcBorders>
              <w:top w:val="single" w:sz="8" w:space="0" w:color="4F81BD"/>
              <w:bottom w:val="single" w:sz="8" w:space="0" w:color="4F81BD"/>
              <w:right w:val="single" w:sz="8" w:space="0" w:color="4F81BD"/>
            </w:tcBorders>
            <w:shd w:val="clear" w:color="auto" w:fill="auto"/>
          </w:tcPr>
          <w:p w14:paraId="36EF0681" w14:textId="77777777" w:rsidR="00EE273B" w:rsidRPr="007F78CE" w:rsidRDefault="00EE273B" w:rsidP="007F78CE">
            <w:pPr>
              <w:spacing w:after="0" w:line="240" w:lineRule="auto"/>
              <w:rPr>
                <w:rFonts w:ascii="Arial" w:hAnsi="Arial" w:cs="Arial"/>
                <w:bCs/>
                <w:sz w:val="18"/>
                <w:szCs w:val="18"/>
              </w:rPr>
            </w:pPr>
            <w:r w:rsidRPr="007F78CE">
              <w:rPr>
                <w:rFonts w:ascii="Arial" w:hAnsi="Arial" w:cs="Arial"/>
                <w:bCs/>
                <w:sz w:val="18"/>
                <w:szCs w:val="18"/>
              </w:rPr>
              <w:t>Une batterie de stockage sera mise en place parallèlement aux panneaux</w:t>
            </w:r>
          </w:p>
        </w:tc>
      </w:tr>
      <w:tr w:rsidR="00EE273B" w:rsidRPr="007F78CE" w14:paraId="394C6BE4" w14:textId="77777777" w:rsidTr="007F78CE">
        <w:tc>
          <w:tcPr>
            <w:tcW w:w="4534" w:type="dxa"/>
            <w:shd w:val="clear" w:color="auto" w:fill="auto"/>
          </w:tcPr>
          <w:p w14:paraId="4E0B8AFA"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Quels genres de panneaux solaires seront mis en place ?</w:t>
            </w:r>
          </w:p>
        </w:tc>
        <w:tc>
          <w:tcPr>
            <w:tcW w:w="4528" w:type="dxa"/>
            <w:shd w:val="clear" w:color="auto" w:fill="auto"/>
          </w:tcPr>
          <w:p w14:paraId="2BDF870B" w14:textId="77777777" w:rsidR="00EE273B" w:rsidRPr="007F78CE" w:rsidRDefault="00EE273B" w:rsidP="007F78CE">
            <w:pPr>
              <w:spacing w:after="0" w:line="240" w:lineRule="auto"/>
              <w:rPr>
                <w:rFonts w:ascii="Arial" w:hAnsi="Arial" w:cs="Arial"/>
                <w:bCs/>
                <w:sz w:val="18"/>
                <w:szCs w:val="18"/>
              </w:rPr>
            </w:pPr>
            <w:r w:rsidRPr="007F78CE">
              <w:rPr>
                <w:rFonts w:ascii="Arial" w:hAnsi="Arial" w:cs="Arial"/>
                <w:bCs/>
                <w:sz w:val="18"/>
                <w:szCs w:val="18"/>
              </w:rPr>
              <w:t>Des techniciens se chargeront plus tard de déterminer les détails techniques.</w:t>
            </w:r>
          </w:p>
        </w:tc>
      </w:tr>
      <w:tr w:rsidR="0063584D" w:rsidRPr="007F78CE" w14:paraId="6567BE09" w14:textId="77777777" w:rsidTr="007F78CE">
        <w:tc>
          <w:tcPr>
            <w:tcW w:w="4534" w:type="dxa"/>
            <w:tcBorders>
              <w:top w:val="single" w:sz="8" w:space="0" w:color="4F81BD"/>
              <w:left w:val="single" w:sz="8" w:space="0" w:color="4F81BD"/>
              <w:bottom w:val="single" w:sz="8" w:space="0" w:color="4F81BD"/>
            </w:tcBorders>
            <w:shd w:val="clear" w:color="auto" w:fill="auto"/>
          </w:tcPr>
          <w:p w14:paraId="43D3DAD3"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Est-ce que la mise en place des pylônes peut attirer le tonnerre ?</w:t>
            </w:r>
          </w:p>
        </w:tc>
        <w:tc>
          <w:tcPr>
            <w:tcW w:w="4528" w:type="dxa"/>
            <w:tcBorders>
              <w:top w:val="single" w:sz="8" w:space="0" w:color="4F81BD"/>
              <w:bottom w:val="single" w:sz="8" w:space="0" w:color="4F81BD"/>
              <w:right w:val="single" w:sz="8" w:space="0" w:color="4F81BD"/>
            </w:tcBorders>
            <w:shd w:val="clear" w:color="auto" w:fill="auto"/>
          </w:tcPr>
          <w:p w14:paraId="317EB80E" w14:textId="77777777" w:rsidR="00EE273B" w:rsidRPr="007F78CE" w:rsidRDefault="00EE273B" w:rsidP="007F78CE">
            <w:pPr>
              <w:spacing w:after="0" w:line="240" w:lineRule="auto"/>
              <w:rPr>
                <w:rFonts w:ascii="Arial" w:hAnsi="Arial" w:cs="Arial"/>
                <w:bCs/>
                <w:sz w:val="18"/>
                <w:szCs w:val="18"/>
              </w:rPr>
            </w:pPr>
            <w:r w:rsidRPr="007F78CE">
              <w:rPr>
                <w:rFonts w:ascii="Arial" w:hAnsi="Arial" w:cs="Arial"/>
                <w:bCs/>
                <w:sz w:val="18"/>
                <w:szCs w:val="18"/>
              </w:rPr>
              <w:t>Cette information n’a pas encore été vérifiée jusqu’à présent : des techniciens se chargeront d’étudier ce cas.</w:t>
            </w:r>
          </w:p>
        </w:tc>
      </w:tr>
      <w:tr w:rsidR="00EE273B" w:rsidRPr="007F78CE" w14:paraId="0DCE775B" w14:textId="77777777" w:rsidTr="007F78CE">
        <w:tc>
          <w:tcPr>
            <w:tcW w:w="4534" w:type="dxa"/>
            <w:shd w:val="clear" w:color="auto" w:fill="auto"/>
          </w:tcPr>
          <w:p w14:paraId="57F24E03"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Est-ce que l’électricité sera gratuite ?</w:t>
            </w:r>
          </w:p>
        </w:tc>
        <w:tc>
          <w:tcPr>
            <w:tcW w:w="4528" w:type="dxa"/>
            <w:shd w:val="clear" w:color="auto" w:fill="auto"/>
          </w:tcPr>
          <w:p w14:paraId="05A7B4C4" w14:textId="77777777" w:rsidR="00EE273B" w:rsidRPr="007F78CE" w:rsidRDefault="00EE273B" w:rsidP="007F78CE">
            <w:pPr>
              <w:spacing w:after="0" w:line="240" w:lineRule="auto"/>
              <w:rPr>
                <w:rFonts w:ascii="Arial" w:hAnsi="Arial" w:cs="Arial"/>
                <w:bCs/>
                <w:sz w:val="18"/>
                <w:szCs w:val="18"/>
              </w:rPr>
            </w:pPr>
            <w:r w:rsidRPr="007F78CE">
              <w:rPr>
                <w:rFonts w:ascii="Arial" w:hAnsi="Arial" w:cs="Arial"/>
                <w:bCs/>
                <w:sz w:val="18"/>
                <w:szCs w:val="18"/>
              </w:rPr>
              <w:t>Non, ce ne sera pas gratuit mais il y aura prise en considération des moyens de chaque ménage.</w:t>
            </w:r>
          </w:p>
        </w:tc>
      </w:tr>
      <w:tr w:rsidR="0063584D" w:rsidRPr="007F78CE" w14:paraId="7F064ED2" w14:textId="77777777" w:rsidTr="007F78CE">
        <w:tc>
          <w:tcPr>
            <w:tcW w:w="4534" w:type="dxa"/>
            <w:tcBorders>
              <w:top w:val="single" w:sz="8" w:space="0" w:color="4F81BD"/>
              <w:left w:val="single" w:sz="8" w:space="0" w:color="4F81BD"/>
              <w:bottom w:val="single" w:sz="8" w:space="0" w:color="4F81BD"/>
            </w:tcBorders>
            <w:shd w:val="clear" w:color="auto" w:fill="auto"/>
          </w:tcPr>
          <w:p w14:paraId="44C5A1B8"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Est-ce que l’électrification des luminaires dans les lieux publics peut être gratuite ? nous payerons uniquement l’électricité de nos ménages</w:t>
            </w:r>
          </w:p>
        </w:tc>
        <w:tc>
          <w:tcPr>
            <w:tcW w:w="4528" w:type="dxa"/>
            <w:tcBorders>
              <w:top w:val="single" w:sz="8" w:space="0" w:color="4F81BD"/>
              <w:bottom w:val="single" w:sz="8" w:space="0" w:color="4F81BD"/>
              <w:right w:val="single" w:sz="8" w:space="0" w:color="4F81BD"/>
            </w:tcBorders>
            <w:shd w:val="clear" w:color="auto" w:fill="auto"/>
          </w:tcPr>
          <w:p w14:paraId="6CD9EA81" w14:textId="77777777" w:rsidR="00EE273B" w:rsidRPr="007F78CE" w:rsidRDefault="00761654" w:rsidP="007F78CE">
            <w:pPr>
              <w:spacing w:after="0" w:line="240" w:lineRule="auto"/>
              <w:rPr>
                <w:rFonts w:ascii="Arial" w:hAnsi="Arial" w:cs="Arial"/>
                <w:bCs/>
                <w:sz w:val="18"/>
                <w:szCs w:val="18"/>
              </w:rPr>
            </w:pPr>
            <w:r w:rsidRPr="007F78CE">
              <w:rPr>
                <w:rFonts w:ascii="Arial" w:hAnsi="Arial" w:cs="Arial"/>
                <w:bCs/>
                <w:sz w:val="18"/>
                <w:szCs w:val="18"/>
              </w:rPr>
              <w:t xml:space="preserve">La </w:t>
            </w:r>
            <w:r w:rsidR="00EE273B" w:rsidRPr="007F78CE">
              <w:rPr>
                <w:rFonts w:ascii="Arial" w:hAnsi="Arial" w:cs="Arial"/>
                <w:bCs/>
                <w:sz w:val="18"/>
                <w:szCs w:val="18"/>
              </w:rPr>
              <w:t>suggestion sera transmise aux responsables du Projet</w:t>
            </w:r>
          </w:p>
        </w:tc>
      </w:tr>
      <w:tr w:rsidR="00EE273B" w:rsidRPr="007F78CE" w14:paraId="57D40A63" w14:textId="77777777" w:rsidTr="007F78CE">
        <w:tc>
          <w:tcPr>
            <w:tcW w:w="4534" w:type="dxa"/>
            <w:shd w:val="clear" w:color="auto" w:fill="auto"/>
          </w:tcPr>
          <w:p w14:paraId="300AC726"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Est-ce que la pose de paratonnerres peut être incluse parmi les activités Projet ?</w:t>
            </w:r>
          </w:p>
        </w:tc>
        <w:tc>
          <w:tcPr>
            <w:tcW w:w="4528" w:type="dxa"/>
            <w:shd w:val="clear" w:color="auto" w:fill="auto"/>
          </w:tcPr>
          <w:p w14:paraId="2886D632" w14:textId="77777777" w:rsidR="00EE273B" w:rsidRPr="007F78CE" w:rsidRDefault="00761654" w:rsidP="007F78CE">
            <w:pPr>
              <w:spacing w:after="0" w:line="240" w:lineRule="auto"/>
              <w:rPr>
                <w:rFonts w:ascii="Arial" w:hAnsi="Arial" w:cs="Arial"/>
                <w:bCs/>
                <w:sz w:val="18"/>
                <w:szCs w:val="18"/>
              </w:rPr>
            </w:pPr>
            <w:r w:rsidRPr="007F78CE">
              <w:rPr>
                <w:rFonts w:ascii="Arial" w:hAnsi="Arial" w:cs="Arial"/>
                <w:bCs/>
                <w:sz w:val="18"/>
                <w:szCs w:val="18"/>
              </w:rPr>
              <w:t>La</w:t>
            </w:r>
            <w:r w:rsidR="00EE273B" w:rsidRPr="007F78CE">
              <w:rPr>
                <w:rFonts w:ascii="Arial" w:hAnsi="Arial" w:cs="Arial"/>
                <w:bCs/>
                <w:sz w:val="18"/>
                <w:szCs w:val="18"/>
              </w:rPr>
              <w:t xml:space="preserve"> suggestion sera transmise aux responsables du Projet</w:t>
            </w:r>
          </w:p>
        </w:tc>
      </w:tr>
      <w:tr w:rsidR="0063584D" w:rsidRPr="007F78CE" w14:paraId="6E20E257" w14:textId="77777777" w:rsidTr="007F78CE">
        <w:tc>
          <w:tcPr>
            <w:tcW w:w="4534" w:type="dxa"/>
            <w:tcBorders>
              <w:top w:val="single" w:sz="8" w:space="0" w:color="4F81BD"/>
              <w:left w:val="single" w:sz="8" w:space="0" w:color="4F81BD"/>
              <w:bottom w:val="single" w:sz="8" w:space="0" w:color="4F81BD"/>
            </w:tcBorders>
            <w:shd w:val="clear" w:color="auto" w:fill="auto"/>
          </w:tcPr>
          <w:p w14:paraId="7C9F6A14"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Est-ce que le Projet peut se charger de former les jeunes dans différents domaines, ou seulement dans le domaine de l’énergie et du numérique ?</w:t>
            </w:r>
          </w:p>
        </w:tc>
        <w:tc>
          <w:tcPr>
            <w:tcW w:w="4528" w:type="dxa"/>
            <w:tcBorders>
              <w:top w:val="single" w:sz="8" w:space="0" w:color="4F81BD"/>
              <w:bottom w:val="single" w:sz="8" w:space="0" w:color="4F81BD"/>
              <w:right w:val="single" w:sz="8" w:space="0" w:color="4F81BD"/>
            </w:tcBorders>
            <w:shd w:val="clear" w:color="auto" w:fill="auto"/>
          </w:tcPr>
          <w:p w14:paraId="0AB5739C" w14:textId="77777777" w:rsidR="00EE273B" w:rsidRPr="007F78CE" w:rsidRDefault="00EE273B" w:rsidP="007F78CE">
            <w:pPr>
              <w:spacing w:after="0" w:line="240" w:lineRule="auto"/>
              <w:rPr>
                <w:rFonts w:ascii="Arial" w:hAnsi="Arial" w:cs="Arial"/>
                <w:bCs/>
                <w:sz w:val="18"/>
                <w:szCs w:val="18"/>
              </w:rPr>
            </w:pPr>
            <w:r w:rsidRPr="007F78CE">
              <w:rPr>
                <w:rFonts w:ascii="Arial" w:hAnsi="Arial" w:cs="Arial"/>
                <w:bCs/>
                <w:sz w:val="18"/>
                <w:szCs w:val="18"/>
              </w:rPr>
              <w:t>Cette question sera transmise aux responsables du Projet</w:t>
            </w:r>
          </w:p>
        </w:tc>
      </w:tr>
      <w:tr w:rsidR="00EE273B" w:rsidRPr="007F78CE" w14:paraId="4CFD06A0" w14:textId="77777777" w:rsidTr="007F78CE">
        <w:tc>
          <w:tcPr>
            <w:tcW w:w="4534" w:type="dxa"/>
            <w:shd w:val="clear" w:color="auto" w:fill="auto"/>
          </w:tcPr>
          <w:p w14:paraId="7E98060F"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Est-ce que des techniciens spécialisés formeront la communauté à l’utilisation des appareils numériques ? Y aurait-il un suivi après la réalisation du Projet ?</w:t>
            </w:r>
          </w:p>
        </w:tc>
        <w:tc>
          <w:tcPr>
            <w:tcW w:w="4528" w:type="dxa"/>
            <w:shd w:val="clear" w:color="auto" w:fill="auto"/>
          </w:tcPr>
          <w:p w14:paraId="292D615D" w14:textId="77777777" w:rsidR="00EE273B" w:rsidRPr="007F78CE" w:rsidRDefault="00EE273B" w:rsidP="007F78CE">
            <w:pPr>
              <w:spacing w:after="0" w:line="240" w:lineRule="auto"/>
              <w:rPr>
                <w:rFonts w:ascii="Arial" w:hAnsi="Arial" w:cs="Arial"/>
                <w:bCs/>
                <w:sz w:val="18"/>
                <w:szCs w:val="18"/>
              </w:rPr>
            </w:pPr>
            <w:r w:rsidRPr="007F78CE">
              <w:rPr>
                <w:rFonts w:ascii="Arial" w:hAnsi="Arial" w:cs="Arial"/>
                <w:bCs/>
                <w:sz w:val="18"/>
                <w:szCs w:val="18"/>
              </w:rPr>
              <w:t xml:space="preserve">L’alphabétisation numérique fait partie des activités prévues par le Projet. La </w:t>
            </w:r>
            <w:r w:rsidR="00BD5F97" w:rsidRPr="007F78CE">
              <w:rPr>
                <w:rFonts w:ascii="Arial" w:hAnsi="Arial" w:cs="Arial"/>
                <w:bCs/>
                <w:sz w:val="18"/>
                <w:szCs w:val="18"/>
              </w:rPr>
              <w:t>pérennisation</w:t>
            </w:r>
            <w:r w:rsidRPr="007F78CE">
              <w:rPr>
                <w:rFonts w:ascii="Arial" w:hAnsi="Arial" w:cs="Arial"/>
                <w:bCs/>
                <w:sz w:val="18"/>
                <w:szCs w:val="18"/>
              </w:rPr>
              <w:t xml:space="preserve"> de ceci est envisagée par le Projet.</w:t>
            </w:r>
          </w:p>
        </w:tc>
      </w:tr>
      <w:tr w:rsidR="0063584D" w:rsidRPr="007F78CE" w14:paraId="7A2B5CB9" w14:textId="77777777" w:rsidTr="007F78CE">
        <w:tc>
          <w:tcPr>
            <w:tcW w:w="4534" w:type="dxa"/>
            <w:tcBorders>
              <w:top w:val="single" w:sz="8" w:space="0" w:color="4F81BD"/>
              <w:left w:val="single" w:sz="8" w:space="0" w:color="4F81BD"/>
              <w:bottom w:val="single" w:sz="8" w:space="0" w:color="4F81BD"/>
            </w:tcBorders>
            <w:shd w:val="clear" w:color="auto" w:fill="auto"/>
          </w:tcPr>
          <w:p w14:paraId="21F3F9CD"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Est-ce que la population devra payer une somme pour la mise en place de panneaux solaires ?</w:t>
            </w:r>
          </w:p>
        </w:tc>
        <w:tc>
          <w:tcPr>
            <w:tcW w:w="4528" w:type="dxa"/>
            <w:tcBorders>
              <w:top w:val="single" w:sz="8" w:space="0" w:color="4F81BD"/>
              <w:bottom w:val="single" w:sz="8" w:space="0" w:color="4F81BD"/>
              <w:right w:val="single" w:sz="8" w:space="0" w:color="4F81BD"/>
            </w:tcBorders>
            <w:shd w:val="clear" w:color="auto" w:fill="auto"/>
          </w:tcPr>
          <w:p w14:paraId="27C2E080" w14:textId="77777777" w:rsidR="00EE273B" w:rsidRPr="007F78CE" w:rsidRDefault="00EE273B" w:rsidP="007F78CE">
            <w:pPr>
              <w:spacing w:after="0" w:line="240" w:lineRule="auto"/>
              <w:rPr>
                <w:rFonts w:ascii="Arial" w:hAnsi="Arial" w:cs="Arial"/>
                <w:bCs/>
                <w:sz w:val="18"/>
                <w:szCs w:val="18"/>
              </w:rPr>
            </w:pPr>
            <w:r w:rsidRPr="007F78CE">
              <w:rPr>
                <w:rFonts w:ascii="Arial" w:hAnsi="Arial" w:cs="Arial"/>
                <w:bCs/>
                <w:sz w:val="18"/>
                <w:szCs w:val="18"/>
              </w:rPr>
              <w:t>Le Projet prend en compte les dépenses pour la mise en place d’équipements</w:t>
            </w:r>
          </w:p>
        </w:tc>
      </w:tr>
      <w:tr w:rsidR="00EE273B" w:rsidRPr="007F78CE" w14:paraId="370D8DD1" w14:textId="77777777" w:rsidTr="007F78CE">
        <w:tc>
          <w:tcPr>
            <w:tcW w:w="4534" w:type="dxa"/>
            <w:shd w:val="clear" w:color="auto" w:fill="auto"/>
          </w:tcPr>
          <w:p w14:paraId="6C911752"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S’il n’y a pas de site pour la mise en place de pylône, est ce que le Projet sera bloqué ?</w:t>
            </w:r>
          </w:p>
        </w:tc>
        <w:tc>
          <w:tcPr>
            <w:tcW w:w="4528" w:type="dxa"/>
            <w:shd w:val="clear" w:color="auto" w:fill="auto"/>
          </w:tcPr>
          <w:p w14:paraId="15389735" w14:textId="77777777" w:rsidR="00EE273B" w:rsidRPr="007F78CE" w:rsidRDefault="00EE273B" w:rsidP="007F78CE">
            <w:pPr>
              <w:spacing w:after="0" w:line="240" w:lineRule="auto"/>
              <w:rPr>
                <w:rFonts w:ascii="Arial" w:hAnsi="Arial" w:cs="Arial"/>
                <w:bCs/>
                <w:sz w:val="18"/>
                <w:szCs w:val="18"/>
              </w:rPr>
            </w:pPr>
            <w:r w:rsidRPr="007F78CE">
              <w:rPr>
                <w:rFonts w:ascii="Arial" w:hAnsi="Arial" w:cs="Arial"/>
                <w:bCs/>
                <w:sz w:val="18"/>
                <w:szCs w:val="18"/>
              </w:rPr>
              <w:t>Des techniciens se chargeront plus tard de déterminer les détails techniques.</w:t>
            </w:r>
          </w:p>
        </w:tc>
      </w:tr>
      <w:tr w:rsidR="0063584D" w:rsidRPr="007F78CE" w14:paraId="35DBAB9D" w14:textId="77777777" w:rsidTr="007F78CE">
        <w:tc>
          <w:tcPr>
            <w:tcW w:w="4534" w:type="dxa"/>
            <w:tcBorders>
              <w:top w:val="single" w:sz="8" w:space="0" w:color="4F81BD"/>
              <w:left w:val="single" w:sz="8" w:space="0" w:color="4F81BD"/>
              <w:bottom w:val="single" w:sz="8" w:space="0" w:color="4F81BD"/>
            </w:tcBorders>
            <w:shd w:val="clear" w:color="auto" w:fill="auto"/>
          </w:tcPr>
          <w:p w14:paraId="1E06624B"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Est-ce que le fait que la majorité des terrains soient privés peut se poser en obstacle à la réalisation du Projet ?</w:t>
            </w:r>
          </w:p>
        </w:tc>
        <w:tc>
          <w:tcPr>
            <w:tcW w:w="4528" w:type="dxa"/>
            <w:tcBorders>
              <w:top w:val="single" w:sz="8" w:space="0" w:color="4F81BD"/>
              <w:bottom w:val="single" w:sz="8" w:space="0" w:color="4F81BD"/>
              <w:right w:val="single" w:sz="8" w:space="0" w:color="4F81BD"/>
            </w:tcBorders>
            <w:shd w:val="clear" w:color="auto" w:fill="auto"/>
          </w:tcPr>
          <w:p w14:paraId="75F5A924" w14:textId="77777777" w:rsidR="00EE273B" w:rsidRPr="007F78CE" w:rsidRDefault="00EE273B" w:rsidP="007F78CE">
            <w:pPr>
              <w:spacing w:after="0" w:line="240" w:lineRule="auto"/>
              <w:rPr>
                <w:rFonts w:ascii="Arial" w:hAnsi="Arial" w:cs="Arial"/>
                <w:bCs/>
                <w:sz w:val="18"/>
                <w:szCs w:val="18"/>
              </w:rPr>
            </w:pPr>
            <w:r w:rsidRPr="007F78CE">
              <w:rPr>
                <w:rFonts w:ascii="Arial" w:hAnsi="Arial" w:cs="Arial"/>
                <w:bCs/>
                <w:sz w:val="18"/>
                <w:szCs w:val="18"/>
              </w:rPr>
              <w:t xml:space="preserve">Si les activités sont réalisées sur un terrain privé, une compensation sera donnée au propriétaire terrien. </w:t>
            </w:r>
          </w:p>
          <w:p w14:paraId="6C66B85F" w14:textId="77777777" w:rsidR="00EE273B" w:rsidRPr="007F78CE" w:rsidRDefault="00EE273B" w:rsidP="007F78CE">
            <w:pPr>
              <w:spacing w:after="0" w:line="240" w:lineRule="auto"/>
              <w:rPr>
                <w:rFonts w:ascii="Arial" w:hAnsi="Arial" w:cs="Arial"/>
                <w:bCs/>
                <w:sz w:val="18"/>
                <w:szCs w:val="18"/>
              </w:rPr>
            </w:pPr>
          </w:p>
          <w:p w14:paraId="3BBBFCBD" w14:textId="77777777" w:rsidR="00EE273B" w:rsidRPr="007F78CE" w:rsidRDefault="00EE273B" w:rsidP="007F78CE">
            <w:pPr>
              <w:spacing w:after="0" w:line="240" w:lineRule="auto"/>
              <w:rPr>
                <w:rFonts w:ascii="Arial" w:hAnsi="Arial" w:cs="Arial"/>
                <w:bCs/>
                <w:sz w:val="18"/>
                <w:szCs w:val="18"/>
              </w:rPr>
            </w:pPr>
            <w:r w:rsidRPr="007F78CE">
              <w:rPr>
                <w:rFonts w:ascii="Arial" w:hAnsi="Arial" w:cs="Arial"/>
                <w:bCs/>
                <w:sz w:val="18"/>
                <w:szCs w:val="18"/>
              </w:rPr>
              <w:t>Il n’y aura pas de compensation pour les terrains domaniaux</w:t>
            </w:r>
          </w:p>
        </w:tc>
      </w:tr>
      <w:tr w:rsidR="00EE273B" w:rsidRPr="007F78CE" w14:paraId="65D5F339" w14:textId="77777777" w:rsidTr="007F78CE">
        <w:tc>
          <w:tcPr>
            <w:tcW w:w="4534" w:type="dxa"/>
            <w:shd w:val="clear" w:color="auto" w:fill="auto"/>
          </w:tcPr>
          <w:p w14:paraId="47536E6A"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 xml:space="preserve">Existe-t-il une garantie par rapport au paiement de la compensation ? </w:t>
            </w:r>
          </w:p>
        </w:tc>
        <w:tc>
          <w:tcPr>
            <w:tcW w:w="4528" w:type="dxa"/>
            <w:shd w:val="clear" w:color="auto" w:fill="auto"/>
          </w:tcPr>
          <w:p w14:paraId="66BFC42D" w14:textId="77777777" w:rsidR="00EE273B" w:rsidRPr="007F78CE" w:rsidRDefault="00EE273B" w:rsidP="007F78CE">
            <w:pPr>
              <w:spacing w:after="0" w:line="240" w:lineRule="auto"/>
              <w:rPr>
                <w:rFonts w:ascii="Arial" w:hAnsi="Arial" w:cs="Arial"/>
                <w:bCs/>
                <w:sz w:val="18"/>
                <w:szCs w:val="18"/>
              </w:rPr>
            </w:pPr>
            <w:r w:rsidRPr="007F78CE">
              <w:rPr>
                <w:rFonts w:ascii="Arial" w:hAnsi="Arial" w:cs="Arial"/>
                <w:bCs/>
                <w:sz w:val="18"/>
                <w:szCs w:val="18"/>
              </w:rPr>
              <w:t>C’est une condition imposée par le bailleur de fond. Toute perte de bien doit être compensée.</w:t>
            </w:r>
          </w:p>
        </w:tc>
      </w:tr>
      <w:tr w:rsidR="0063584D" w:rsidRPr="007F78CE" w14:paraId="1CBEF22E" w14:textId="77777777" w:rsidTr="007F78CE">
        <w:tc>
          <w:tcPr>
            <w:tcW w:w="4534" w:type="dxa"/>
            <w:tcBorders>
              <w:top w:val="single" w:sz="8" w:space="0" w:color="4F81BD"/>
              <w:left w:val="single" w:sz="8" w:space="0" w:color="4F81BD"/>
              <w:bottom w:val="single" w:sz="8" w:space="0" w:color="4F81BD"/>
            </w:tcBorders>
            <w:shd w:val="clear" w:color="auto" w:fill="auto"/>
          </w:tcPr>
          <w:p w14:paraId="5BE0BBBB"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Est-ce que la mise en place de pylônes n’aurait pas un impact négatif sur la santé des femmes enceintes ?</w:t>
            </w:r>
          </w:p>
        </w:tc>
        <w:tc>
          <w:tcPr>
            <w:tcW w:w="4528" w:type="dxa"/>
            <w:tcBorders>
              <w:top w:val="single" w:sz="8" w:space="0" w:color="4F81BD"/>
              <w:bottom w:val="single" w:sz="8" w:space="0" w:color="4F81BD"/>
              <w:right w:val="single" w:sz="8" w:space="0" w:color="4F81BD"/>
            </w:tcBorders>
            <w:shd w:val="clear" w:color="auto" w:fill="auto"/>
          </w:tcPr>
          <w:p w14:paraId="578ECF99" w14:textId="77777777" w:rsidR="00EE273B" w:rsidRPr="007F78CE" w:rsidRDefault="00EE273B" w:rsidP="007F78CE">
            <w:pPr>
              <w:spacing w:after="0" w:line="240" w:lineRule="auto"/>
              <w:rPr>
                <w:rFonts w:ascii="Arial" w:hAnsi="Arial" w:cs="Arial"/>
                <w:bCs/>
                <w:sz w:val="18"/>
                <w:szCs w:val="18"/>
              </w:rPr>
            </w:pPr>
            <w:r w:rsidRPr="007F78CE">
              <w:rPr>
                <w:rFonts w:ascii="Arial" w:hAnsi="Arial" w:cs="Arial"/>
                <w:bCs/>
                <w:sz w:val="18"/>
                <w:szCs w:val="18"/>
              </w:rPr>
              <w:t>Des mesures de minimisation des impacts négatifs seront prises.</w:t>
            </w:r>
          </w:p>
        </w:tc>
      </w:tr>
      <w:tr w:rsidR="00EE273B" w:rsidRPr="007F78CE" w14:paraId="3963AA6E" w14:textId="77777777" w:rsidTr="007F78CE">
        <w:tc>
          <w:tcPr>
            <w:tcW w:w="4534" w:type="dxa"/>
            <w:shd w:val="clear" w:color="auto" w:fill="auto"/>
          </w:tcPr>
          <w:p w14:paraId="645DA121"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N’y a-t-il pas de risques de court-circuit ?</w:t>
            </w:r>
          </w:p>
        </w:tc>
        <w:tc>
          <w:tcPr>
            <w:tcW w:w="4528" w:type="dxa"/>
            <w:shd w:val="clear" w:color="auto" w:fill="auto"/>
          </w:tcPr>
          <w:p w14:paraId="76FB67B2" w14:textId="77777777" w:rsidR="00EE273B" w:rsidRPr="007F78CE" w:rsidRDefault="00EE273B" w:rsidP="007F78CE">
            <w:pPr>
              <w:spacing w:after="0" w:line="240" w:lineRule="auto"/>
              <w:rPr>
                <w:rFonts w:ascii="Arial" w:hAnsi="Arial" w:cs="Arial"/>
                <w:bCs/>
                <w:sz w:val="18"/>
                <w:szCs w:val="18"/>
              </w:rPr>
            </w:pPr>
            <w:r w:rsidRPr="007F78CE">
              <w:rPr>
                <w:rFonts w:ascii="Arial" w:hAnsi="Arial" w:cs="Arial"/>
                <w:bCs/>
                <w:sz w:val="18"/>
                <w:szCs w:val="18"/>
              </w:rPr>
              <w:t xml:space="preserve">Des formations sur l’utilisation des équipements seront données pour pallier ces risques. </w:t>
            </w:r>
          </w:p>
          <w:p w14:paraId="25C60968" w14:textId="77777777" w:rsidR="00EE273B" w:rsidRPr="007F78CE" w:rsidRDefault="00EE273B" w:rsidP="007F78CE">
            <w:pPr>
              <w:spacing w:after="0" w:line="240" w:lineRule="auto"/>
              <w:rPr>
                <w:rFonts w:ascii="Arial" w:hAnsi="Arial" w:cs="Arial"/>
                <w:bCs/>
                <w:sz w:val="18"/>
                <w:szCs w:val="18"/>
              </w:rPr>
            </w:pPr>
            <w:r w:rsidRPr="007F78CE">
              <w:rPr>
                <w:rFonts w:ascii="Arial" w:hAnsi="Arial" w:cs="Arial"/>
                <w:bCs/>
                <w:sz w:val="18"/>
                <w:szCs w:val="18"/>
              </w:rPr>
              <w:t>Il y aura également une formation pour les jeunes, les étudiants, les personnes âgées et les handicapés</w:t>
            </w:r>
          </w:p>
        </w:tc>
      </w:tr>
      <w:tr w:rsidR="0063584D" w:rsidRPr="007F78CE" w14:paraId="6CBE5F21" w14:textId="77777777" w:rsidTr="007F78CE">
        <w:tc>
          <w:tcPr>
            <w:tcW w:w="4534" w:type="dxa"/>
            <w:tcBorders>
              <w:top w:val="single" w:sz="8" w:space="0" w:color="4F81BD"/>
              <w:left w:val="single" w:sz="8" w:space="0" w:color="4F81BD"/>
              <w:bottom w:val="single" w:sz="8" w:space="0" w:color="4F81BD"/>
            </w:tcBorders>
            <w:shd w:val="clear" w:color="auto" w:fill="auto"/>
          </w:tcPr>
          <w:p w14:paraId="3F8E1B06"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Est-ce que les bénéficiaires seront sélectionnés ?</w:t>
            </w:r>
          </w:p>
        </w:tc>
        <w:tc>
          <w:tcPr>
            <w:tcW w:w="4528" w:type="dxa"/>
            <w:tcBorders>
              <w:top w:val="single" w:sz="8" w:space="0" w:color="4F81BD"/>
              <w:bottom w:val="single" w:sz="8" w:space="0" w:color="4F81BD"/>
              <w:right w:val="single" w:sz="8" w:space="0" w:color="4F81BD"/>
            </w:tcBorders>
            <w:shd w:val="clear" w:color="auto" w:fill="auto"/>
          </w:tcPr>
          <w:p w14:paraId="49AF7F95" w14:textId="77777777" w:rsidR="00EE273B" w:rsidRPr="007F78CE" w:rsidRDefault="00EE273B" w:rsidP="007F78CE">
            <w:pPr>
              <w:spacing w:after="0" w:line="240" w:lineRule="auto"/>
              <w:rPr>
                <w:rFonts w:ascii="Arial" w:hAnsi="Arial" w:cs="Arial"/>
                <w:bCs/>
                <w:sz w:val="18"/>
                <w:szCs w:val="18"/>
              </w:rPr>
            </w:pPr>
            <w:r w:rsidRPr="007F78CE">
              <w:rPr>
                <w:rFonts w:ascii="Arial" w:hAnsi="Arial" w:cs="Arial"/>
                <w:bCs/>
                <w:sz w:val="18"/>
                <w:szCs w:val="18"/>
              </w:rPr>
              <w:t>Le Projet vise à ce que toute la communauté bénéficie de l’électricité et du développement numérique</w:t>
            </w:r>
          </w:p>
        </w:tc>
      </w:tr>
      <w:tr w:rsidR="00EE273B" w:rsidRPr="007F78CE" w14:paraId="70E8A6A2" w14:textId="77777777" w:rsidTr="007F78CE">
        <w:tc>
          <w:tcPr>
            <w:tcW w:w="4534" w:type="dxa"/>
            <w:shd w:val="clear" w:color="auto" w:fill="auto"/>
          </w:tcPr>
          <w:p w14:paraId="5E545352"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Est-ce que les équipements peuvent uniquement être implantés sur des terrains de haut niveau ?</w:t>
            </w:r>
          </w:p>
        </w:tc>
        <w:tc>
          <w:tcPr>
            <w:tcW w:w="4528" w:type="dxa"/>
            <w:shd w:val="clear" w:color="auto" w:fill="auto"/>
          </w:tcPr>
          <w:p w14:paraId="640D6500" w14:textId="77777777" w:rsidR="00EE273B" w:rsidRPr="007F78CE" w:rsidRDefault="00EE273B" w:rsidP="007F78CE">
            <w:pPr>
              <w:spacing w:after="0" w:line="240" w:lineRule="auto"/>
              <w:rPr>
                <w:rFonts w:ascii="Arial" w:hAnsi="Arial" w:cs="Arial"/>
                <w:bCs/>
                <w:sz w:val="18"/>
                <w:szCs w:val="18"/>
              </w:rPr>
            </w:pPr>
            <w:r w:rsidRPr="007F78CE">
              <w:rPr>
                <w:rFonts w:ascii="Arial" w:hAnsi="Arial" w:cs="Arial"/>
                <w:bCs/>
                <w:sz w:val="18"/>
                <w:szCs w:val="18"/>
              </w:rPr>
              <w:t xml:space="preserve">Un diagnostic technique sera encore effectué plus tard pour les zones sélectionnées. </w:t>
            </w:r>
          </w:p>
        </w:tc>
      </w:tr>
      <w:tr w:rsidR="0063584D" w:rsidRPr="007F78CE" w14:paraId="020004E7" w14:textId="77777777" w:rsidTr="007F78CE">
        <w:tc>
          <w:tcPr>
            <w:tcW w:w="4534" w:type="dxa"/>
            <w:tcBorders>
              <w:top w:val="single" w:sz="8" w:space="0" w:color="4F81BD"/>
              <w:left w:val="single" w:sz="8" w:space="0" w:color="4F81BD"/>
              <w:bottom w:val="single" w:sz="8" w:space="0" w:color="4F81BD"/>
            </w:tcBorders>
            <w:shd w:val="clear" w:color="auto" w:fill="auto"/>
          </w:tcPr>
          <w:p w14:paraId="284D9BCD"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Devons-nous effectuer une demande pour bénéficier du Projet ou est-ce le Projet qui décide des zones où ses activités seront effectuées ?</w:t>
            </w:r>
          </w:p>
        </w:tc>
        <w:tc>
          <w:tcPr>
            <w:tcW w:w="4528" w:type="dxa"/>
            <w:tcBorders>
              <w:top w:val="single" w:sz="8" w:space="0" w:color="4F81BD"/>
              <w:bottom w:val="single" w:sz="8" w:space="0" w:color="4F81BD"/>
              <w:right w:val="single" w:sz="8" w:space="0" w:color="4F81BD"/>
            </w:tcBorders>
            <w:shd w:val="clear" w:color="auto" w:fill="auto"/>
          </w:tcPr>
          <w:p w14:paraId="445EC032" w14:textId="77777777" w:rsidR="00EE273B" w:rsidRPr="007F78CE" w:rsidRDefault="00EE273B" w:rsidP="007F78CE">
            <w:pPr>
              <w:spacing w:after="0" w:line="240" w:lineRule="auto"/>
              <w:rPr>
                <w:rFonts w:ascii="Arial" w:hAnsi="Arial" w:cs="Arial"/>
                <w:bCs/>
                <w:sz w:val="18"/>
                <w:szCs w:val="18"/>
              </w:rPr>
            </w:pPr>
            <w:r w:rsidRPr="007F78CE">
              <w:rPr>
                <w:rFonts w:ascii="Arial" w:hAnsi="Arial" w:cs="Arial"/>
                <w:bCs/>
                <w:sz w:val="18"/>
                <w:szCs w:val="18"/>
              </w:rPr>
              <w:t xml:space="preserve">Un diagnostic plus détaillé doit être mené pour répondre à cette question. </w:t>
            </w:r>
          </w:p>
        </w:tc>
      </w:tr>
      <w:tr w:rsidR="00EE273B" w:rsidRPr="007F78CE" w14:paraId="7EBDAEEA" w14:textId="77777777" w:rsidTr="007F78CE">
        <w:tc>
          <w:tcPr>
            <w:tcW w:w="4534" w:type="dxa"/>
            <w:shd w:val="clear" w:color="auto" w:fill="auto"/>
          </w:tcPr>
          <w:p w14:paraId="55C8B103"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 xml:space="preserve">Est-ce que la mise en place de pylônes pourrait perturber le climat ? </w:t>
            </w:r>
          </w:p>
        </w:tc>
        <w:tc>
          <w:tcPr>
            <w:tcW w:w="4528" w:type="dxa"/>
            <w:shd w:val="clear" w:color="auto" w:fill="auto"/>
          </w:tcPr>
          <w:p w14:paraId="0F3BA88C" w14:textId="77777777" w:rsidR="00EE273B" w:rsidRPr="007F78CE" w:rsidRDefault="00FD7760" w:rsidP="007F78CE">
            <w:pPr>
              <w:spacing w:after="0" w:line="240" w:lineRule="auto"/>
              <w:rPr>
                <w:rFonts w:ascii="Arial" w:hAnsi="Arial" w:cs="Arial"/>
                <w:bCs/>
                <w:sz w:val="18"/>
                <w:szCs w:val="18"/>
              </w:rPr>
            </w:pPr>
            <w:r>
              <w:rPr>
                <w:rFonts w:ascii="Arial" w:hAnsi="Arial" w:cs="Arial"/>
                <w:bCs/>
                <w:sz w:val="18"/>
                <w:szCs w:val="18"/>
              </w:rPr>
              <w:t>Non normalement</w:t>
            </w:r>
          </w:p>
        </w:tc>
      </w:tr>
      <w:tr w:rsidR="0063584D" w:rsidRPr="007F78CE" w14:paraId="10B6D714" w14:textId="77777777" w:rsidTr="007F78CE">
        <w:tc>
          <w:tcPr>
            <w:tcW w:w="4534" w:type="dxa"/>
            <w:tcBorders>
              <w:top w:val="single" w:sz="8" w:space="0" w:color="4F81BD"/>
              <w:left w:val="single" w:sz="8" w:space="0" w:color="4F81BD"/>
              <w:bottom w:val="single" w:sz="8" w:space="0" w:color="4F81BD"/>
            </w:tcBorders>
            <w:shd w:val="clear" w:color="auto" w:fill="auto"/>
          </w:tcPr>
          <w:p w14:paraId="4DEC3FB7"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Peut-on utiliser des motopompes pour l’arrosage des rizières avec l’électricité ?</w:t>
            </w:r>
          </w:p>
        </w:tc>
        <w:tc>
          <w:tcPr>
            <w:tcW w:w="4528" w:type="dxa"/>
            <w:tcBorders>
              <w:top w:val="single" w:sz="8" w:space="0" w:color="4F81BD"/>
              <w:bottom w:val="single" w:sz="8" w:space="0" w:color="4F81BD"/>
              <w:right w:val="single" w:sz="8" w:space="0" w:color="4F81BD"/>
            </w:tcBorders>
            <w:shd w:val="clear" w:color="auto" w:fill="auto"/>
          </w:tcPr>
          <w:p w14:paraId="7B55414B" w14:textId="77777777" w:rsidR="00EE273B" w:rsidRPr="007F78CE" w:rsidRDefault="00EE273B" w:rsidP="007F78CE">
            <w:pPr>
              <w:spacing w:after="0" w:line="240" w:lineRule="auto"/>
              <w:rPr>
                <w:rFonts w:ascii="Arial" w:hAnsi="Arial" w:cs="Arial"/>
                <w:bCs/>
                <w:sz w:val="18"/>
                <w:szCs w:val="18"/>
              </w:rPr>
            </w:pPr>
            <w:r w:rsidRPr="007F78CE">
              <w:rPr>
                <w:rFonts w:ascii="Arial" w:hAnsi="Arial" w:cs="Arial"/>
                <w:bCs/>
                <w:sz w:val="18"/>
                <w:szCs w:val="18"/>
              </w:rPr>
              <w:t xml:space="preserve">Oui, c’est possible. Le Projet pourrait avoir de nombreux </w:t>
            </w:r>
            <w:r w:rsidR="00FD7760">
              <w:rPr>
                <w:rFonts w:ascii="Arial" w:hAnsi="Arial" w:cs="Arial"/>
                <w:bCs/>
                <w:sz w:val="18"/>
                <w:szCs w:val="18"/>
              </w:rPr>
              <w:t xml:space="preserve">autres </w:t>
            </w:r>
            <w:r w:rsidRPr="007F78CE">
              <w:rPr>
                <w:rFonts w:ascii="Arial" w:hAnsi="Arial" w:cs="Arial"/>
                <w:bCs/>
                <w:sz w:val="18"/>
                <w:szCs w:val="18"/>
              </w:rPr>
              <w:t>avantages</w:t>
            </w:r>
            <w:r w:rsidR="00FD7760">
              <w:rPr>
                <w:rFonts w:ascii="Arial" w:hAnsi="Arial" w:cs="Arial"/>
                <w:bCs/>
                <w:sz w:val="18"/>
                <w:szCs w:val="18"/>
              </w:rPr>
              <w:t xml:space="preserve"> indirectement</w:t>
            </w:r>
          </w:p>
        </w:tc>
      </w:tr>
      <w:tr w:rsidR="00EE273B" w:rsidRPr="007F78CE" w14:paraId="3D551281" w14:textId="77777777" w:rsidTr="007F78CE">
        <w:tc>
          <w:tcPr>
            <w:tcW w:w="4534" w:type="dxa"/>
            <w:shd w:val="clear" w:color="auto" w:fill="auto"/>
          </w:tcPr>
          <w:p w14:paraId="5165E56B"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Le fokonolona devra-t-il payer les frais d’utilisation de l’électricité des hôpitaux et des écoles ?</w:t>
            </w:r>
          </w:p>
        </w:tc>
        <w:tc>
          <w:tcPr>
            <w:tcW w:w="4528" w:type="dxa"/>
            <w:shd w:val="clear" w:color="auto" w:fill="auto"/>
          </w:tcPr>
          <w:p w14:paraId="4D1F1AD4" w14:textId="77777777" w:rsidR="00EE273B" w:rsidRPr="007F78CE" w:rsidRDefault="00EE273B" w:rsidP="007F78CE">
            <w:pPr>
              <w:spacing w:after="0" w:line="240" w:lineRule="auto"/>
              <w:rPr>
                <w:rFonts w:ascii="Arial" w:hAnsi="Arial" w:cs="Arial"/>
                <w:bCs/>
                <w:sz w:val="18"/>
                <w:szCs w:val="18"/>
              </w:rPr>
            </w:pPr>
            <w:r w:rsidRPr="007F78CE">
              <w:rPr>
                <w:rFonts w:ascii="Arial" w:hAnsi="Arial" w:cs="Arial"/>
                <w:bCs/>
                <w:sz w:val="18"/>
                <w:szCs w:val="18"/>
              </w:rPr>
              <w:t xml:space="preserve">Il ne devrait pas y avoir de participation financière, mais ce sera au fokonolona d’entretenir les équipements du Projet. </w:t>
            </w:r>
          </w:p>
        </w:tc>
      </w:tr>
      <w:tr w:rsidR="0063584D" w:rsidRPr="007F78CE" w14:paraId="6F118C56" w14:textId="77777777" w:rsidTr="007F78CE">
        <w:tc>
          <w:tcPr>
            <w:tcW w:w="4534" w:type="dxa"/>
            <w:tcBorders>
              <w:top w:val="single" w:sz="8" w:space="0" w:color="4F81BD"/>
              <w:left w:val="single" w:sz="8" w:space="0" w:color="4F81BD"/>
              <w:bottom w:val="single" w:sz="8" w:space="0" w:color="4F81BD"/>
            </w:tcBorders>
            <w:shd w:val="clear" w:color="auto" w:fill="auto"/>
          </w:tcPr>
          <w:p w14:paraId="03B3B064"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Pourra-t-on ne plus utiliser CASELEC après la réalisation du Projet ?</w:t>
            </w:r>
          </w:p>
        </w:tc>
        <w:tc>
          <w:tcPr>
            <w:tcW w:w="4528" w:type="dxa"/>
            <w:tcBorders>
              <w:top w:val="single" w:sz="8" w:space="0" w:color="4F81BD"/>
              <w:bottom w:val="single" w:sz="8" w:space="0" w:color="4F81BD"/>
              <w:right w:val="single" w:sz="8" w:space="0" w:color="4F81BD"/>
            </w:tcBorders>
            <w:shd w:val="clear" w:color="auto" w:fill="auto"/>
          </w:tcPr>
          <w:p w14:paraId="1F82916C" w14:textId="77777777" w:rsidR="00EE273B" w:rsidRPr="007F78CE" w:rsidRDefault="00EE273B" w:rsidP="007F78CE">
            <w:pPr>
              <w:spacing w:after="0" w:line="240" w:lineRule="auto"/>
              <w:rPr>
                <w:rFonts w:ascii="Arial" w:hAnsi="Arial" w:cs="Arial"/>
                <w:bCs/>
                <w:sz w:val="18"/>
                <w:szCs w:val="18"/>
              </w:rPr>
            </w:pPr>
            <w:r w:rsidRPr="007F78CE">
              <w:rPr>
                <w:rFonts w:ascii="Arial" w:hAnsi="Arial" w:cs="Arial"/>
                <w:bCs/>
                <w:sz w:val="18"/>
                <w:szCs w:val="18"/>
              </w:rPr>
              <w:t>Le Projet participe à l’amélioration de l’offre et à réduire les pertes</w:t>
            </w:r>
          </w:p>
        </w:tc>
      </w:tr>
      <w:tr w:rsidR="00EE273B" w:rsidRPr="007F78CE" w14:paraId="206600E7" w14:textId="77777777" w:rsidTr="007F78CE">
        <w:tc>
          <w:tcPr>
            <w:tcW w:w="4534" w:type="dxa"/>
            <w:shd w:val="clear" w:color="auto" w:fill="auto"/>
          </w:tcPr>
          <w:p w14:paraId="0F41B09D"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Est-ce qu’il s’agit d’une autre étude consécutive à celle faite en amont ?</w:t>
            </w:r>
          </w:p>
        </w:tc>
        <w:tc>
          <w:tcPr>
            <w:tcW w:w="4528" w:type="dxa"/>
            <w:shd w:val="clear" w:color="auto" w:fill="auto"/>
          </w:tcPr>
          <w:p w14:paraId="662123C4" w14:textId="77777777" w:rsidR="00EE273B" w:rsidRPr="007F78CE" w:rsidRDefault="00EE273B" w:rsidP="007F78CE">
            <w:pPr>
              <w:spacing w:after="0" w:line="240" w:lineRule="auto"/>
              <w:rPr>
                <w:rFonts w:ascii="Arial" w:hAnsi="Arial" w:cs="Arial"/>
                <w:bCs/>
                <w:sz w:val="18"/>
                <w:szCs w:val="18"/>
              </w:rPr>
            </w:pPr>
            <w:r w:rsidRPr="007F78CE">
              <w:rPr>
                <w:rFonts w:ascii="Arial" w:hAnsi="Arial" w:cs="Arial"/>
                <w:bCs/>
                <w:sz w:val="18"/>
                <w:szCs w:val="18"/>
              </w:rPr>
              <w:t>Il s’agit d’un nouveau Projet mais les objectifs peuvent être un peu redondants</w:t>
            </w:r>
          </w:p>
        </w:tc>
      </w:tr>
      <w:tr w:rsidR="0063584D" w:rsidRPr="007F78CE" w14:paraId="5ED70170" w14:textId="77777777" w:rsidTr="007F78CE">
        <w:tc>
          <w:tcPr>
            <w:tcW w:w="4534" w:type="dxa"/>
            <w:tcBorders>
              <w:top w:val="single" w:sz="8" w:space="0" w:color="4F81BD"/>
              <w:left w:val="single" w:sz="8" w:space="0" w:color="4F81BD"/>
              <w:bottom w:val="single" w:sz="8" w:space="0" w:color="4F81BD"/>
            </w:tcBorders>
            <w:shd w:val="clear" w:color="auto" w:fill="auto"/>
          </w:tcPr>
          <w:p w14:paraId="043D6A93"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De quelle superficie le Projet a besoin de disposer ?</w:t>
            </w:r>
          </w:p>
        </w:tc>
        <w:tc>
          <w:tcPr>
            <w:tcW w:w="4528" w:type="dxa"/>
            <w:tcBorders>
              <w:top w:val="single" w:sz="8" w:space="0" w:color="4F81BD"/>
              <w:bottom w:val="single" w:sz="8" w:space="0" w:color="4F81BD"/>
              <w:right w:val="single" w:sz="8" w:space="0" w:color="4F81BD"/>
            </w:tcBorders>
            <w:shd w:val="clear" w:color="auto" w:fill="auto"/>
          </w:tcPr>
          <w:p w14:paraId="432E35E9" w14:textId="77777777" w:rsidR="00EE273B" w:rsidRPr="007F78CE" w:rsidRDefault="00EE273B" w:rsidP="007F78CE">
            <w:pPr>
              <w:spacing w:after="0" w:line="240" w:lineRule="auto"/>
              <w:rPr>
                <w:rFonts w:ascii="Arial" w:hAnsi="Arial" w:cs="Arial"/>
                <w:bCs/>
                <w:sz w:val="18"/>
                <w:szCs w:val="18"/>
              </w:rPr>
            </w:pPr>
            <w:r w:rsidRPr="007F78CE">
              <w:rPr>
                <w:rFonts w:ascii="Arial" w:hAnsi="Arial" w:cs="Arial"/>
                <w:bCs/>
                <w:sz w:val="18"/>
                <w:szCs w:val="18"/>
              </w:rPr>
              <w:t>La production de 1MW pour 200 ménages nécessite 100x100 m2</w:t>
            </w:r>
          </w:p>
        </w:tc>
      </w:tr>
      <w:tr w:rsidR="00EE273B" w:rsidRPr="007F78CE" w14:paraId="4FC44C26" w14:textId="77777777" w:rsidTr="007F78CE">
        <w:tc>
          <w:tcPr>
            <w:tcW w:w="4534" w:type="dxa"/>
            <w:shd w:val="clear" w:color="auto" w:fill="auto"/>
          </w:tcPr>
          <w:p w14:paraId="795EFEB3" w14:textId="77777777" w:rsidR="00EE273B" w:rsidRPr="007F78CE" w:rsidRDefault="00EE273B" w:rsidP="007F78CE">
            <w:pPr>
              <w:spacing w:after="0" w:line="240" w:lineRule="auto"/>
              <w:rPr>
                <w:rFonts w:ascii="Arial" w:hAnsi="Arial" w:cs="Arial"/>
                <w:sz w:val="18"/>
                <w:szCs w:val="18"/>
              </w:rPr>
            </w:pPr>
            <w:r w:rsidRPr="007F78CE">
              <w:rPr>
                <w:rFonts w:ascii="Arial" w:hAnsi="Arial" w:cs="Arial"/>
                <w:sz w:val="18"/>
                <w:szCs w:val="18"/>
              </w:rPr>
              <w:t>Le Projet DECIM sera-t-il réellement exécuté ?</w:t>
            </w:r>
          </w:p>
        </w:tc>
        <w:tc>
          <w:tcPr>
            <w:tcW w:w="4528" w:type="dxa"/>
            <w:shd w:val="clear" w:color="auto" w:fill="auto"/>
          </w:tcPr>
          <w:p w14:paraId="4C5E1123" w14:textId="77777777" w:rsidR="00EE273B" w:rsidRPr="007F78CE" w:rsidRDefault="00EE273B" w:rsidP="007F78CE">
            <w:pPr>
              <w:spacing w:after="0" w:line="240" w:lineRule="auto"/>
              <w:rPr>
                <w:rFonts w:ascii="Arial" w:hAnsi="Arial" w:cs="Arial"/>
                <w:bCs/>
                <w:sz w:val="18"/>
                <w:szCs w:val="18"/>
              </w:rPr>
            </w:pPr>
            <w:r w:rsidRPr="007F78CE">
              <w:rPr>
                <w:rFonts w:ascii="Arial" w:hAnsi="Arial" w:cs="Arial"/>
                <w:bCs/>
                <w:sz w:val="18"/>
                <w:szCs w:val="18"/>
              </w:rPr>
              <w:t>Nous sommes en phase de demande de crédit, c’est la raison pour laquelle nous effectuons cette consultation publique.</w:t>
            </w:r>
          </w:p>
        </w:tc>
      </w:tr>
    </w:tbl>
    <w:p w14:paraId="38AA1EE1" w14:textId="77777777" w:rsidR="00EE273B" w:rsidRDefault="00EE273B" w:rsidP="0096492E">
      <w:pPr>
        <w:autoSpaceDE w:val="0"/>
        <w:autoSpaceDN w:val="0"/>
        <w:adjustRightInd w:val="0"/>
        <w:jc w:val="both"/>
        <w:rPr>
          <w:rFonts w:ascii="Arial" w:hAnsi="Arial" w:cs="Arial"/>
          <w:szCs w:val="24"/>
        </w:rPr>
      </w:pPr>
    </w:p>
    <w:p w14:paraId="716F65BE" w14:textId="77777777" w:rsidR="00EE273B" w:rsidRDefault="00B30A89" w:rsidP="008540E8">
      <w:pPr>
        <w:autoSpaceDE w:val="0"/>
        <w:autoSpaceDN w:val="0"/>
        <w:adjustRightInd w:val="0"/>
        <w:jc w:val="both"/>
        <w:rPr>
          <w:rFonts w:ascii="Arial" w:hAnsi="Arial" w:cs="Arial"/>
          <w:szCs w:val="24"/>
        </w:rPr>
      </w:pPr>
      <w:r>
        <w:rPr>
          <w:rFonts w:ascii="Arial" w:hAnsi="Arial" w:cs="Arial"/>
          <w:szCs w:val="24"/>
        </w:rPr>
        <w:t xml:space="preserve">Même si la population locale a émis ces différentes préoccupations, elle est consciente que le Projet DECIM peut apporter le développement au sein de leur village et améliore leur condition de vie. En effet, la mise en œuvre du Projet dans les villages peut : </w:t>
      </w:r>
    </w:p>
    <w:p w14:paraId="599F1937" w14:textId="77777777" w:rsidR="00EE273B" w:rsidRDefault="00B30A89" w:rsidP="00687DD2">
      <w:pPr>
        <w:pStyle w:val="Paragraphedeliste"/>
        <w:numPr>
          <w:ilvl w:val="0"/>
          <w:numId w:val="54"/>
        </w:numPr>
        <w:autoSpaceDE w:val="0"/>
        <w:autoSpaceDN w:val="0"/>
        <w:adjustRightInd w:val="0"/>
        <w:jc w:val="both"/>
        <w:rPr>
          <w:rFonts w:ascii="Arial" w:hAnsi="Arial" w:cs="Arial"/>
          <w:szCs w:val="24"/>
        </w:rPr>
      </w:pPr>
      <w:r w:rsidRPr="00B30A89">
        <w:rPr>
          <w:rFonts w:ascii="Arial" w:hAnsi="Arial" w:cs="Arial"/>
          <w:szCs w:val="24"/>
        </w:rPr>
        <w:t>Créer des emplois pour la communauté et surtout pour les jeunes</w:t>
      </w:r>
      <w:r w:rsidR="006564D3">
        <w:rPr>
          <w:rFonts w:ascii="Arial" w:hAnsi="Arial" w:cs="Arial"/>
          <w:szCs w:val="24"/>
        </w:rPr>
        <w:t> ;</w:t>
      </w:r>
    </w:p>
    <w:p w14:paraId="47974219" w14:textId="77777777" w:rsidR="00B30A89" w:rsidRDefault="00B30A89" w:rsidP="00687DD2">
      <w:pPr>
        <w:pStyle w:val="Paragraphedeliste"/>
        <w:numPr>
          <w:ilvl w:val="0"/>
          <w:numId w:val="54"/>
        </w:numPr>
        <w:autoSpaceDE w:val="0"/>
        <w:autoSpaceDN w:val="0"/>
        <w:adjustRightInd w:val="0"/>
        <w:jc w:val="both"/>
        <w:rPr>
          <w:rFonts w:ascii="Arial" w:hAnsi="Arial" w:cs="Arial"/>
          <w:szCs w:val="24"/>
        </w:rPr>
      </w:pPr>
      <w:r w:rsidRPr="00B30A89">
        <w:rPr>
          <w:rFonts w:ascii="Arial" w:hAnsi="Arial" w:cs="Arial"/>
          <w:szCs w:val="24"/>
        </w:rPr>
        <w:t>Apporter l’électricité pour tous les ménages</w:t>
      </w:r>
      <w:r w:rsidR="006564D3">
        <w:rPr>
          <w:rFonts w:ascii="Arial" w:hAnsi="Arial" w:cs="Arial"/>
          <w:szCs w:val="24"/>
        </w:rPr>
        <w:t> ;</w:t>
      </w:r>
    </w:p>
    <w:p w14:paraId="10CFA13C" w14:textId="77777777" w:rsidR="00B30A89" w:rsidRDefault="00B30A89" w:rsidP="00687DD2">
      <w:pPr>
        <w:pStyle w:val="Paragraphedeliste"/>
        <w:numPr>
          <w:ilvl w:val="0"/>
          <w:numId w:val="54"/>
        </w:numPr>
        <w:autoSpaceDE w:val="0"/>
        <w:autoSpaceDN w:val="0"/>
        <w:adjustRightInd w:val="0"/>
        <w:jc w:val="both"/>
        <w:rPr>
          <w:rFonts w:ascii="Arial" w:hAnsi="Arial" w:cs="Arial"/>
        </w:rPr>
      </w:pPr>
      <w:r w:rsidRPr="3F0A0941">
        <w:rPr>
          <w:rFonts w:ascii="Arial" w:hAnsi="Arial" w:cs="Arial"/>
        </w:rPr>
        <w:t>Développer d’autre</w:t>
      </w:r>
      <w:r w:rsidR="00FD7760" w:rsidRPr="3F0A0941">
        <w:rPr>
          <w:rFonts w:ascii="Arial" w:hAnsi="Arial" w:cs="Arial"/>
        </w:rPr>
        <w:t>s</w:t>
      </w:r>
      <w:r w:rsidRPr="3F0A0941">
        <w:rPr>
          <w:rFonts w:ascii="Arial" w:hAnsi="Arial" w:cs="Arial"/>
        </w:rPr>
        <w:t xml:space="preserve"> activité</w:t>
      </w:r>
      <w:r w:rsidR="00FD7760" w:rsidRPr="3F0A0941">
        <w:rPr>
          <w:rFonts w:ascii="Arial" w:hAnsi="Arial" w:cs="Arial"/>
        </w:rPr>
        <w:t>s</w:t>
      </w:r>
      <w:r w:rsidRPr="3F0A0941">
        <w:rPr>
          <w:rFonts w:ascii="Arial" w:hAnsi="Arial" w:cs="Arial"/>
        </w:rPr>
        <w:t xml:space="preserve"> source</w:t>
      </w:r>
      <w:r w:rsidR="00FD7760" w:rsidRPr="3F0A0941">
        <w:rPr>
          <w:rFonts w:ascii="Arial" w:hAnsi="Arial" w:cs="Arial"/>
        </w:rPr>
        <w:t>s</w:t>
      </w:r>
      <w:r w:rsidRPr="3F0A0941">
        <w:rPr>
          <w:rFonts w:ascii="Arial" w:hAnsi="Arial" w:cs="Arial"/>
        </w:rPr>
        <w:t xml:space="preserve"> de revenu </w:t>
      </w:r>
      <w:r w:rsidR="003E3E27">
        <w:rPr>
          <w:rFonts w:ascii="Arial" w:hAnsi="Arial" w:cs="Arial"/>
        </w:rPr>
        <w:t xml:space="preserve">à la </w:t>
      </w:r>
      <w:r w:rsidR="00FD7760" w:rsidRPr="3F0A0941">
        <w:rPr>
          <w:rFonts w:ascii="Arial" w:hAnsi="Arial" w:cs="Arial"/>
        </w:rPr>
        <w:t xml:space="preserve">suite </w:t>
      </w:r>
      <w:r w:rsidR="003E3E27">
        <w:rPr>
          <w:rFonts w:ascii="Arial" w:hAnsi="Arial" w:cs="Arial"/>
        </w:rPr>
        <w:t>de</w:t>
      </w:r>
      <w:r w:rsidR="003E3E27" w:rsidRPr="3F0A0941">
        <w:rPr>
          <w:rFonts w:ascii="Arial" w:hAnsi="Arial" w:cs="Arial"/>
        </w:rPr>
        <w:t xml:space="preserve"> </w:t>
      </w:r>
      <w:r w:rsidRPr="3F0A0941">
        <w:rPr>
          <w:rFonts w:ascii="Arial" w:hAnsi="Arial" w:cs="Arial"/>
        </w:rPr>
        <w:t>la disponibilité de l’électricité</w:t>
      </w:r>
      <w:r w:rsidR="006564D3" w:rsidRPr="3F0A0941">
        <w:rPr>
          <w:rFonts w:ascii="Arial" w:hAnsi="Arial" w:cs="Arial"/>
        </w:rPr>
        <w:t> ;</w:t>
      </w:r>
    </w:p>
    <w:p w14:paraId="086940B5" w14:textId="77777777" w:rsidR="00B30A89" w:rsidRDefault="00F934BA" w:rsidP="00687DD2">
      <w:pPr>
        <w:pStyle w:val="Paragraphedeliste"/>
        <w:numPr>
          <w:ilvl w:val="0"/>
          <w:numId w:val="54"/>
        </w:numPr>
        <w:autoSpaceDE w:val="0"/>
        <w:autoSpaceDN w:val="0"/>
        <w:adjustRightInd w:val="0"/>
        <w:jc w:val="both"/>
        <w:rPr>
          <w:rFonts w:ascii="Arial" w:hAnsi="Arial" w:cs="Arial"/>
          <w:szCs w:val="24"/>
        </w:rPr>
      </w:pPr>
      <w:r w:rsidRPr="00F934BA">
        <w:rPr>
          <w:rFonts w:ascii="Arial" w:hAnsi="Arial" w:cs="Arial"/>
          <w:szCs w:val="24"/>
        </w:rPr>
        <w:t>Illuminer le village par l</w:t>
      </w:r>
      <w:r w:rsidR="00FD7760">
        <w:rPr>
          <w:rFonts w:ascii="Arial" w:hAnsi="Arial" w:cs="Arial"/>
          <w:szCs w:val="24"/>
        </w:rPr>
        <w:t>a</w:t>
      </w:r>
      <w:r w:rsidRPr="00F934BA">
        <w:rPr>
          <w:rFonts w:ascii="Arial" w:hAnsi="Arial" w:cs="Arial"/>
          <w:szCs w:val="24"/>
        </w:rPr>
        <w:t xml:space="preserve"> </w:t>
      </w:r>
      <w:r w:rsidR="00B30A89" w:rsidRPr="00F934BA">
        <w:rPr>
          <w:rFonts w:ascii="Arial" w:hAnsi="Arial" w:cs="Arial"/>
          <w:szCs w:val="24"/>
        </w:rPr>
        <w:t>Pose de luminaires pour l’éclairage public l</w:t>
      </w:r>
      <w:r>
        <w:rPr>
          <w:rFonts w:ascii="Arial" w:hAnsi="Arial" w:cs="Arial"/>
          <w:szCs w:val="24"/>
        </w:rPr>
        <w:t>e long des pistes et des routes</w:t>
      </w:r>
      <w:r w:rsidR="006564D3">
        <w:rPr>
          <w:rFonts w:ascii="Arial" w:hAnsi="Arial" w:cs="Arial"/>
          <w:szCs w:val="24"/>
        </w:rPr>
        <w:t> ;</w:t>
      </w:r>
    </w:p>
    <w:p w14:paraId="48E4254A" w14:textId="77777777" w:rsidR="00F934BA" w:rsidRDefault="00F934BA" w:rsidP="00687DD2">
      <w:pPr>
        <w:pStyle w:val="Paragraphedeliste"/>
        <w:numPr>
          <w:ilvl w:val="0"/>
          <w:numId w:val="54"/>
        </w:numPr>
        <w:autoSpaceDE w:val="0"/>
        <w:autoSpaceDN w:val="0"/>
        <w:adjustRightInd w:val="0"/>
        <w:jc w:val="both"/>
        <w:rPr>
          <w:rFonts w:ascii="Arial" w:hAnsi="Arial" w:cs="Arial"/>
          <w:szCs w:val="24"/>
        </w:rPr>
      </w:pPr>
      <w:r>
        <w:rPr>
          <w:rFonts w:ascii="Arial" w:hAnsi="Arial" w:cs="Arial"/>
          <w:szCs w:val="24"/>
        </w:rPr>
        <w:t xml:space="preserve">Lutter contre l’insécurité </w:t>
      </w:r>
      <w:r w:rsidR="00FD7760">
        <w:rPr>
          <w:rFonts w:ascii="Arial" w:hAnsi="Arial" w:cs="Arial"/>
          <w:szCs w:val="24"/>
        </w:rPr>
        <w:t>grâce à l</w:t>
      </w:r>
      <w:r>
        <w:rPr>
          <w:rFonts w:ascii="Arial" w:hAnsi="Arial" w:cs="Arial"/>
          <w:szCs w:val="24"/>
        </w:rPr>
        <w:t>’arrivé</w:t>
      </w:r>
      <w:r w:rsidR="00FD7760">
        <w:rPr>
          <w:rFonts w:ascii="Arial" w:hAnsi="Arial" w:cs="Arial"/>
          <w:szCs w:val="24"/>
        </w:rPr>
        <w:t>e l’électricité</w:t>
      </w:r>
      <w:r>
        <w:rPr>
          <w:rFonts w:ascii="Arial" w:hAnsi="Arial" w:cs="Arial"/>
          <w:szCs w:val="24"/>
        </w:rPr>
        <w:t xml:space="preserve"> dans le village</w:t>
      </w:r>
      <w:r w:rsidR="006564D3">
        <w:rPr>
          <w:rFonts w:ascii="Arial" w:hAnsi="Arial" w:cs="Arial"/>
          <w:szCs w:val="24"/>
        </w:rPr>
        <w:t>.</w:t>
      </w:r>
    </w:p>
    <w:p w14:paraId="737750EF" w14:textId="77777777" w:rsidR="006564D3" w:rsidRDefault="006564D3" w:rsidP="006564D3">
      <w:pPr>
        <w:pStyle w:val="Paragraphedeliste"/>
        <w:autoSpaceDE w:val="0"/>
        <w:autoSpaceDN w:val="0"/>
        <w:adjustRightInd w:val="0"/>
        <w:jc w:val="both"/>
        <w:rPr>
          <w:rFonts w:ascii="Arial" w:hAnsi="Arial" w:cs="Arial"/>
          <w:szCs w:val="24"/>
        </w:rPr>
      </w:pPr>
    </w:p>
    <w:p w14:paraId="4368E4D9" w14:textId="77777777" w:rsidR="006564D3" w:rsidRPr="006564D3" w:rsidRDefault="006564D3" w:rsidP="0044500E">
      <w:pPr>
        <w:pStyle w:val="TIT2"/>
        <w:numPr>
          <w:ilvl w:val="1"/>
          <w:numId w:val="177"/>
        </w:numPr>
      </w:pPr>
      <w:bookmarkStart w:id="1271" w:name="_Toc124314774"/>
      <w:bookmarkStart w:id="1272" w:name="_Toc124956309"/>
      <w:bookmarkStart w:id="1273" w:name="_Toc125384657"/>
      <w:bookmarkStart w:id="1274" w:name="_Toc125385046"/>
      <w:bookmarkStart w:id="1275" w:name="_Toc127957713"/>
      <w:r>
        <w:t>Conclusion de la consultation publique</w:t>
      </w:r>
      <w:bookmarkEnd w:id="1271"/>
      <w:bookmarkEnd w:id="1272"/>
      <w:bookmarkEnd w:id="1273"/>
      <w:bookmarkEnd w:id="1274"/>
      <w:bookmarkEnd w:id="1275"/>
    </w:p>
    <w:p w14:paraId="2A2034C5" w14:textId="77777777" w:rsidR="0003227A" w:rsidRPr="0003227A" w:rsidRDefault="0003227A" w:rsidP="0003227A">
      <w:pPr>
        <w:autoSpaceDE w:val="0"/>
        <w:autoSpaceDN w:val="0"/>
        <w:adjustRightInd w:val="0"/>
        <w:jc w:val="both"/>
        <w:rPr>
          <w:rFonts w:ascii="Arial" w:hAnsi="Arial" w:cs="Arial"/>
          <w:szCs w:val="24"/>
        </w:rPr>
      </w:pPr>
      <w:r w:rsidRPr="0003227A">
        <w:rPr>
          <w:rFonts w:ascii="Arial" w:hAnsi="Arial" w:cs="Arial"/>
          <w:szCs w:val="24"/>
        </w:rPr>
        <w:t xml:space="preserve">Les préoccupations des différents acteurs sur la mise en œuvre des sous projets ont été évoquées au cours des séances de consultations publiques. Par rapport à ces préoccupations, presque chaque partie prenante a proposé des recommandations dans le but de la mise en œuvre effective de ces sous-projets et pour que les objectifs fixés soient atteints. Tous les acteurs ainsi que les communautés attendent avec intérêt la mise en œuvre </w:t>
      </w:r>
      <w:r>
        <w:rPr>
          <w:rFonts w:ascii="Arial" w:hAnsi="Arial" w:cs="Arial"/>
          <w:szCs w:val="24"/>
        </w:rPr>
        <w:t>du Projet DECIM</w:t>
      </w:r>
      <w:r w:rsidRPr="0003227A">
        <w:rPr>
          <w:rFonts w:ascii="Arial" w:hAnsi="Arial" w:cs="Arial"/>
          <w:szCs w:val="24"/>
        </w:rPr>
        <w:t xml:space="preserve">. </w:t>
      </w:r>
    </w:p>
    <w:p w14:paraId="30953E89" w14:textId="77777777" w:rsidR="0003227A" w:rsidRDefault="008C1348">
      <w:pPr>
        <w:rPr>
          <w:rFonts w:ascii="Arial" w:hAnsi="Arial" w:cs="Arial"/>
          <w:szCs w:val="24"/>
        </w:rPr>
      </w:pPr>
      <w:r>
        <w:rPr>
          <w:rFonts w:ascii="Arial" w:hAnsi="Arial" w:cs="Arial"/>
          <w:szCs w:val="24"/>
        </w:rPr>
        <w:br w:type="page"/>
      </w:r>
    </w:p>
    <w:tbl>
      <w:tblPr>
        <w:tblW w:w="0" w:type="auto"/>
        <w:tblLook w:val="04A0" w:firstRow="1" w:lastRow="0" w:firstColumn="1" w:lastColumn="0" w:noHBand="0" w:noVBand="1"/>
      </w:tblPr>
      <w:tblGrid>
        <w:gridCol w:w="4567"/>
        <w:gridCol w:w="4503"/>
      </w:tblGrid>
      <w:tr w:rsidR="0003227A" w:rsidRPr="007F78CE" w14:paraId="7E186F73" w14:textId="77777777" w:rsidTr="007F78CE">
        <w:tc>
          <w:tcPr>
            <w:tcW w:w="4606" w:type="dxa"/>
            <w:shd w:val="clear" w:color="auto" w:fill="auto"/>
          </w:tcPr>
          <w:p w14:paraId="688CE6DB" w14:textId="593C9141" w:rsidR="0003227A" w:rsidRPr="007F78CE" w:rsidRDefault="00E97ECD" w:rsidP="007F78CE">
            <w:pPr>
              <w:autoSpaceDE w:val="0"/>
              <w:autoSpaceDN w:val="0"/>
              <w:adjustRightInd w:val="0"/>
              <w:spacing w:after="0" w:line="240" w:lineRule="auto"/>
              <w:jc w:val="both"/>
              <w:rPr>
                <w:rFonts w:ascii="Arial" w:hAnsi="Arial" w:cs="Arial"/>
                <w:szCs w:val="24"/>
              </w:rPr>
            </w:pPr>
            <w:r w:rsidRPr="00FB04F6">
              <w:rPr>
                <w:rFonts w:ascii="Arial" w:hAnsi="Arial" w:cs="Arial"/>
                <w:noProof/>
                <w:szCs w:val="24"/>
                <w:lang w:eastAsia="fr-FR"/>
              </w:rPr>
              <w:drawing>
                <wp:inline distT="0" distB="0" distL="0" distR="0" wp14:anchorId="7BF46282" wp14:editId="2D66BBBA">
                  <wp:extent cx="2381250" cy="1762125"/>
                  <wp:effectExtent l="0" t="0" r="0" b="0"/>
                  <wp:docPr id="37" name="Image 259" descr="Description : D:\ASA\DECIM_Energie\Photo\Photo_Menabe\Reunion d' inf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9" descr="Description : D:\ASA\DECIM_Energie\Photo\Photo_Menabe\Reunion d' info 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0" cy="1762125"/>
                          </a:xfrm>
                          <a:prstGeom prst="rect">
                            <a:avLst/>
                          </a:prstGeom>
                          <a:noFill/>
                          <a:ln>
                            <a:noFill/>
                          </a:ln>
                        </pic:spPr>
                      </pic:pic>
                    </a:graphicData>
                  </a:graphic>
                </wp:inline>
              </w:drawing>
            </w:r>
          </w:p>
        </w:tc>
        <w:tc>
          <w:tcPr>
            <w:tcW w:w="4606" w:type="dxa"/>
            <w:shd w:val="clear" w:color="auto" w:fill="auto"/>
          </w:tcPr>
          <w:p w14:paraId="00815EA4" w14:textId="015CBC04" w:rsidR="0003227A" w:rsidRPr="007F78CE" w:rsidRDefault="00E97ECD" w:rsidP="007F78CE">
            <w:pPr>
              <w:autoSpaceDE w:val="0"/>
              <w:autoSpaceDN w:val="0"/>
              <w:adjustRightInd w:val="0"/>
              <w:spacing w:after="0" w:line="240" w:lineRule="auto"/>
              <w:jc w:val="both"/>
              <w:rPr>
                <w:rFonts w:ascii="Arial" w:hAnsi="Arial" w:cs="Arial"/>
                <w:szCs w:val="24"/>
              </w:rPr>
            </w:pPr>
            <w:r w:rsidRPr="00FB04F6">
              <w:rPr>
                <w:rFonts w:ascii="Arial" w:hAnsi="Arial" w:cs="Arial"/>
                <w:noProof/>
                <w:szCs w:val="24"/>
                <w:lang w:eastAsia="fr-FR"/>
              </w:rPr>
              <w:drawing>
                <wp:inline distT="0" distB="0" distL="0" distR="0" wp14:anchorId="69741248" wp14:editId="243E33FA">
                  <wp:extent cx="2352675" cy="1762125"/>
                  <wp:effectExtent l="0" t="0" r="0" b="0"/>
                  <wp:docPr id="38" name="Image 260" descr="Description : D:\ASA\DECIM_Energie\Photo\Photo VKN\DECIM_VAK_réunion inf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0" descr="Description : D:\ASA\DECIM_Energie\Photo\Photo VKN\DECIM_VAK_réunion info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52675" cy="1762125"/>
                          </a:xfrm>
                          <a:prstGeom prst="rect">
                            <a:avLst/>
                          </a:prstGeom>
                          <a:noFill/>
                          <a:ln>
                            <a:noFill/>
                          </a:ln>
                        </pic:spPr>
                      </pic:pic>
                    </a:graphicData>
                  </a:graphic>
                </wp:inline>
              </w:drawing>
            </w:r>
          </w:p>
        </w:tc>
      </w:tr>
      <w:tr w:rsidR="0003227A" w:rsidRPr="007F78CE" w14:paraId="57A8FF72" w14:textId="77777777" w:rsidTr="007F78CE">
        <w:tc>
          <w:tcPr>
            <w:tcW w:w="4606" w:type="dxa"/>
            <w:shd w:val="clear" w:color="auto" w:fill="auto"/>
          </w:tcPr>
          <w:p w14:paraId="0A787FA0" w14:textId="77777777" w:rsidR="0003227A" w:rsidRPr="007F78CE" w:rsidRDefault="0003227A" w:rsidP="007F78CE">
            <w:pPr>
              <w:autoSpaceDE w:val="0"/>
              <w:autoSpaceDN w:val="0"/>
              <w:adjustRightInd w:val="0"/>
              <w:spacing w:after="0" w:line="240" w:lineRule="auto"/>
              <w:jc w:val="center"/>
              <w:rPr>
                <w:rFonts w:ascii="Arial" w:hAnsi="Arial" w:cs="Arial"/>
                <w:sz w:val="20"/>
                <w:szCs w:val="24"/>
              </w:rPr>
            </w:pPr>
            <w:r w:rsidRPr="007F78CE">
              <w:rPr>
                <w:rFonts w:ascii="Arial" w:hAnsi="Arial" w:cs="Arial"/>
                <w:sz w:val="20"/>
                <w:szCs w:val="24"/>
              </w:rPr>
              <w:t>Réunion d’information à Morondava</w:t>
            </w:r>
          </w:p>
        </w:tc>
        <w:tc>
          <w:tcPr>
            <w:tcW w:w="4606" w:type="dxa"/>
            <w:shd w:val="clear" w:color="auto" w:fill="auto"/>
          </w:tcPr>
          <w:p w14:paraId="4BC4CAE8" w14:textId="77777777" w:rsidR="0003227A" w:rsidRPr="007F78CE" w:rsidRDefault="0003227A" w:rsidP="007F78CE">
            <w:pPr>
              <w:autoSpaceDE w:val="0"/>
              <w:autoSpaceDN w:val="0"/>
              <w:adjustRightInd w:val="0"/>
              <w:spacing w:after="0" w:line="240" w:lineRule="auto"/>
              <w:jc w:val="center"/>
              <w:rPr>
                <w:rFonts w:ascii="Arial" w:hAnsi="Arial" w:cs="Arial"/>
                <w:sz w:val="20"/>
                <w:szCs w:val="24"/>
              </w:rPr>
            </w:pPr>
            <w:r w:rsidRPr="007F78CE">
              <w:rPr>
                <w:rFonts w:ascii="Arial" w:hAnsi="Arial" w:cs="Arial"/>
                <w:sz w:val="20"/>
                <w:szCs w:val="24"/>
              </w:rPr>
              <w:t>Réunion d’information à Antsirabe</w:t>
            </w:r>
          </w:p>
        </w:tc>
      </w:tr>
      <w:tr w:rsidR="0003227A" w:rsidRPr="007F78CE" w14:paraId="0470A262" w14:textId="77777777" w:rsidTr="007F78CE">
        <w:tc>
          <w:tcPr>
            <w:tcW w:w="4606" w:type="dxa"/>
            <w:shd w:val="clear" w:color="auto" w:fill="auto"/>
          </w:tcPr>
          <w:p w14:paraId="095C981A" w14:textId="3BC82869" w:rsidR="0003227A" w:rsidRPr="007F78CE" w:rsidRDefault="00E97ECD" w:rsidP="007F78CE">
            <w:pPr>
              <w:autoSpaceDE w:val="0"/>
              <w:autoSpaceDN w:val="0"/>
              <w:adjustRightInd w:val="0"/>
              <w:spacing w:after="0" w:line="240" w:lineRule="auto"/>
              <w:jc w:val="both"/>
              <w:rPr>
                <w:rFonts w:ascii="Arial" w:hAnsi="Arial" w:cs="Arial"/>
                <w:szCs w:val="24"/>
              </w:rPr>
            </w:pPr>
            <w:r w:rsidRPr="00977215">
              <w:rPr>
                <w:noProof/>
                <w:lang w:eastAsia="fr-FR"/>
              </w:rPr>
              <w:drawing>
                <wp:inline distT="0" distB="0" distL="0" distR="0" wp14:anchorId="24EE3424" wp14:editId="632C766D">
                  <wp:extent cx="2476500" cy="1762125"/>
                  <wp:effectExtent l="0" t="0" r="0" b="0"/>
                  <wp:docPr id="39" name="Image 261" descr="Description : C:\Users\Administrateur\Downloads\Partie prenant SOFIAMA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1" descr="Description : C:\Users\Administrateur\Downloads\Partie prenant SOFIAMAD .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76500" cy="1762125"/>
                          </a:xfrm>
                          <a:prstGeom prst="rect">
                            <a:avLst/>
                          </a:prstGeom>
                          <a:noFill/>
                          <a:ln>
                            <a:noFill/>
                          </a:ln>
                        </pic:spPr>
                      </pic:pic>
                    </a:graphicData>
                  </a:graphic>
                </wp:inline>
              </w:drawing>
            </w:r>
          </w:p>
        </w:tc>
        <w:tc>
          <w:tcPr>
            <w:tcW w:w="4606" w:type="dxa"/>
            <w:shd w:val="clear" w:color="auto" w:fill="auto"/>
          </w:tcPr>
          <w:p w14:paraId="4043CF33" w14:textId="5EB37C86" w:rsidR="0003227A" w:rsidRPr="007F78CE" w:rsidRDefault="00E97ECD" w:rsidP="007F78CE">
            <w:pPr>
              <w:autoSpaceDE w:val="0"/>
              <w:autoSpaceDN w:val="0"/>
              <w:adjustRightInd w:val="0"/>
              <w:spacing w:after="0" w:line="240" w:lineRule="auto"/>
              <w:jc w:val="both"/>
              <w:rPr>
                <w:rFonts w:ascii="Arial" w:hAnsi="Arial" w:cs="Arial"/>
                <w:szCs w:val="24"/>
              </w:rPr>
            </w:pPr>
            <w:r w:rsidRPr="00FB04F6">
              <w:rPr>
                <w:rFonts w:ascii="Arial" w:hAnsi="Arial" w:cs="Arial"/>
                <w:noProof/>
                <w:szCs w:val="24"/>
                <w:lang w:eastAsia="fr-FR"/>
              </w:rPr>
              <w:drawing>
                <wp:inline distT="0" distB="0" distL="0" distR="0" wp14:anchorId="615316B4" wp14:editId="78C5FE23">
                  <wp:extent cx="2286000" cy="1704975"/>
                  <wp:effectExtent l="0" t="0" r="0" b="0"/>
                  <wp:docPr id="40" name="Image 266" descr="Description : F:\DECIM\Photo Terrain Tsiroanomandidy december 2022\IMG_20221216_16383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6" descr="Description : F:\DECIM\Photo Terrain Tsiroanomandidy december 2022\IMG_20221216_163833_HDR.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0" cy="1704975"/>
                          </a:xfrm>
                          <a:prstGeom prst="rect">
                            <a:avLst/>
                          </a:prstGeom>
                          <a:noFill/>
                          <a:ln>
                            <a:noFill/>
                          </a:ln>
                        </pic:spPr>
                      </pic:pic>
                    </a:graphicData>
                  </a:graphic>
                </wp:inline>
              </w:drawing>
            </w:r>
          </w:p>
        </w:tc>
      </w:tr>
      <w:tr w:rsidR="0003227A" w:rsidRPr="007F78CE" w14:paraId="7BCD79F4" w14:textId="77777777" w:rsidTr="007F78CE">
        <w:tc>
          <w:tcPr>
            <w:tcW w:w="4606" w:type="dxa"/>
            <w:shd w:val="clear" w:color="auto" w:fill="auto"/>
          </w:tcPr>
          <w:p w14:paraId="70124EAF" w14:textId="77777777" w:rsidR="0003227A" w:rsidRPr="007F78CE" w:rsidRDefault="0003227A" w:rsidP="007F78CE">
            <w:pPr>
              <w:autoSpaceDE w:val="0"/>
              <w:autoSpaceDN w:val="0"/>
              <w:adjustRightInd w:val="0"/>
              <w:spacing w:after="0" w:line="240" w:lineRule="auto"/>
              <w:jc w:val="center"/>
              <w:rPr>
                <w:rFonts w:ascii="Arial" w:hAnsi="Arial" w:cs="Arial"/>
                <w:sz w:val="20"/>
                <w:szCs w:val="24"/>
              </w:rPr>
            </w:pPr>
            <w:r w:rsidRPr="007F78CE">
              <w:rPr>
                <w:rFonts w:ascii="Arial" w:hAnsi="Arial" w:cs="Arial"/>
                <w:sz w:val="20"/>
                <w:szCs w:val="24"/>
              </w:rPr>
              <w:t>Consultation des Parties Prenante</w:t>
            </w:r>
            <w:r w:rsidR="00FD7760">
              <w:rPr>
                <w:rFonts w:ascii="Arial" w:hAnsi="Arial" w:cs="Arial"/>
                <w:sz w:val="20"/>
                <w:szCs w:val="24"/>
              </w:rPr>
              <w:t>s</w:t>
            </w:r>
            <w:r w:rsidRPr="007F78CE">
              <w:rPr>
                <w:rFonts w:ascii="Arial" w:hAnsi="Arial" w:cs="Arial"/>
                <w:sz w:val="20"/>
                <w:szCs w:val="24"/>
              </w:rPr>
              <w:t xml:space="preserve"> à Manakara</w:t>
            </w:r>
          </w:p>
        </w:tc>
        <w:tc>
          <w:tcPr>
            <w:tcW w:w="4606" w:type="dxa"/>
            <w:shd w:val="clear" w:color="auto" w:fill="auto"/>
          </w:tcPr>
          <w:p w14:paraId="09617B8D" w14:textId="77777777" w:rsidR="0003227A" w:rsidRPr="007F78CE" w:rsidRDefault="003D35DD" w:rsidP="007F78CE">
            <w:pPr>
              <w:autoSpaceDE w:val="0"/>
              <w:autoSpaceDN w:val="0"/>
              <w:adjustRightInd w:val="0"/>
              <w:spacing w:after="0" w:line="240" w:lineRule="auto"/>
              <w:jc w:val="center"/>
              <w:rPr>
                <w:rFonts w:ascii="Arial" w:hAnsi="Arial" w:cs="Arial"/>
                <w:sz w:val="20"/>
                <w:szCs w:val="24"/>
              </w:rPr>
            </w:pPr>
            <w:r w:rsidRPr="007F78CE">
              <w:rPr>
                <w:rFonts w:ascii="Arial" w:hAnsi="Arial" w:cs="Arial"/>
                <w:sz w:val="20"/>
                <w:szCs w:val="24"/>
              </w:rPr>
              <w:t>Consultation des Parties Prenante</w:t>
            </w:r>
            <w:r w:rsidR="00FD7760">
              <w:rPr>
                <w:rFonts w:ascii="Arial" w:hAnsi="Arial" w:cs="Arial"/>
                <w:sz w:val="20"/>
                <w:szCs w:val="24"/>
              </w:rPr>
              <w:t>s</w:t>
            </w:r>
            <w:r w:rsidRPr="007F78CE">
              <w:rPr>
                <w:rFonts w:ascii="Arial" w:hAnsi="Arial" w:cs="Arial"/>
                <w:sz w:val="20"/>
                <w:szCs w:val="24"/>
              </w:rPr>
              <w:t xml:space="preserve"> à Ambato Boeny</w:t>
            </w:r>
          </w:p>
        </w:tc>
      </w:tr>
      <w:tr w:rsidR="0003227A" w:rsidRPr="007F78CE" w14:paraId="13DCEBBD" w14:textId="77777777" w:rsidTr="007F78CE">
        <w:tc>
          <w:tcPr>
            <w:tcW w:w="4606" w:type="dxa"/>
            <w:shd w:val="clear" w:color="auto" w:fill="auto"/>
          </w:tcPr>
          <w:p w14:paraId="14CC8C84" w14:textId="563D4EB4" w:rsidR="0003227A" w:rsidRPr="007F78CE" w:rsidRDefault="00E97ECD" w:rsidP="007F78CE">
            <w:pPr>
              <w:autoSpaceDE w:val="0"/>
              <w:autoSpaceDN w:val="0"/>
              <w:adjustRightInd w:val="0"/>
              <w:spacing w:after="0" w:line="240" w:lineRule="auto"/>
              <w:jc w:val="both"/>
              <w:rPr>
                <w:rFonts w:ascii="Arial" w:hAnsi="Arial" w:cs="Arial"/>
                <w:szCs w:val="24"/>
              </w:rPr>
            </w:pPr>
            <w:r w:rsidRPr="00FB04F6">
              <w:rPr>
                <w:rFonts w:ascii="Arial" w:hAnsi="Arial" w:cs="Arial"/>
                <w:noProof/>
                <w:szCs w:val="24"/>
                <w:lang w:eastAsia="fr-FR"/>
              </w:rPr>
              <w:drawing>
                <wp:inline distT="0" distB="0" distL="0" distR="0" wp14:anchorId="4B9AD81F" wp14:editId="0B4AF8F4">
                  <wp:extent cx="2657475" cy="1762125"/>
                  <wp:effectExtent l="0" t="0" r="0" b="0"/>
                  <wp:docPr id="41" name="Image 262" descr="Description : D:\ASA\DECIM_Energie\Photo\Photo_Menabe\FG femme Maha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2" descr="Description : D:\ASA\DECIM_Energie\Photo\Photo_Menabe\FG femme Mahabo.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57475" cy="1762125"/>
                          </a:xfrm>
                          <a:prstGeom prst="rect">
                            <a:avLst/>
                          </a:prstGeom>
                          <a:noFill/>
                          <a:ln>
                            <a:noFill/>
                          </a:ln>
                        </pic:spPr>
                      </pic:pic>
                    </a:graphicData>
                  </a:graphic>
                </wp:inline>
              </w:drawing>
            </w:r>
          </w:p>
        </w:tc>
        <w:tc>
          <w:tcPr>
            <w:tcW w:w="4606" w:type="dxa"/>
            <w:shd w:val="clear" w:color="auto" w:fill="auto"/>
          </w:tcPr>
          <w:p w14:paraId="063755A2" w14:textId="4ED7E033" w:rsidR="0003227A" w:rsidRPr="007F78CE" w:rsidRDefault="00E97ECD" w:rsidP="007F78CE">
            <w:pPr>
              <w:autoSpaceDE w:val="0"/>
              <w:autoSpaceDN w:val="0"/>
              <w:adjustRightInd w:val="0"/>
              <w:spacing w:after="0" w:line="240" w:lineRule="auto"/>
              <w:jc w:val="both"/>
              <w:rPr>
                <w:rFonts w:ascii="Arial" w:hAnsi="Arial" w:cs="Arial"/>
                <w:szCs w:val="24"/>
              </w:rPr>
            </w:pPr>
            <w:r w:rsidRPr="00977215">
              <w:rPr>
                <w:noProof/>
                <w:lang w:eastAsia="fr-FR"/>
              </w:rPr>
              <w:drawing>
                <wp:inline distT="0" distB="0" distL="0" distR="0" wp14:anchorId="0E620A36" wp14:editId="22D13480">
                  <wp:extent cx="2619375" cy="1771650"/>
                  <wp:effectExtent l="0" t="0" r="0" b="0"/>
                  <wp:docPr id="42" name="Image 264" descr="Description : D:\DECIM\Manakara\IMG_20221218_16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4" descr="Description : D:\DECIM\Manakara\IMG_20221218_16303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19375" cy="1771650"/>
                          </a:xfrm>
                          <a:prstGeom prst="rect">
                            <a:avLst/>
                          </a:prstGeom>
                          <a:noFill/>
                          <a:ln>
                            <a:noFill/>
                          </a:ln>
                        </pic:spPr>
                      </pic:pic>
                    </a:graphicData>
                  </a:graphic>
                </wp:inline>
              </w:drawing>
            </w:r>
          </w:p>
        </w:tc>
      </w:tr>
      <w:tr w:rsidR="0003227A" w:rsidRPr="007F78CE" w14:paraId="4D5BC0A5" w14:textId="77777777" w:rsidTr="007F78CE">
        <w:tc>
          <w:tcPr>
            <w:tcW w:w="4606" w:type="dxa"/>
            <w:shd w:val="clear" w:color="auto" w:fill="auto"/>
          </w:tcPr>
          <w:p w14:paraId="1D4C7ADE" w14:textId="77777777" w:rsidR="0003227A" w:rsidRPr="007F78CE" w:rsidRDefault="003D35DD" w:rsidP="007F78CE">
            <w:pPr>
              <w:autoSpaceDE w:val="0"/>
              <w:autoSpaceDN w:val="0"/>
              <w:adjustRightInd w:val="0"/>
              <w:spacing w:after="0" w:line="240" w:lineRule="auto"/>
              <w:jc w:val="center"/>
              <w:rPr>
                <w:rFonts w:ascii="Arial" w:hAnsi="Arial" w:cs="Arial"/>
                <w:sz w:val="20"/>
                <w:szCs w:val="24"/>
              </w:rPr>
            </w:pPr>
            <w:r w:rsidRPr="007F78CE">
              <w:rPr>
                <w:rFonts w:ascii="Arial" w:hAnsi="Arial" w:cs="Arial"/>
                <w:sz w:val="20"/>
                <w:szCs w:val="24"/>
              </w:rPr>
              <w:t>Focus group avec des femmes à Mahabo (Région Menabe)</w:t>
            </w:r>
          </w:p>
        </w:tc>
        <w:tc>
          <w:tcPr>
            <w:tcW w:w="4606" w:type="dxa"/>
            <w:shd w:val="clear" w:color="auto" w:fill="auto"/>
          </w:tcPr>
          <w:p w14:paraId="1A125BE3" w14:textId="77777777" w:rsidR="0003227A" w:rsidRPr="007F78CE" w:rsidRDefault="003D35DD" w:rsidP="007F78CE">
            <w:pPr>
              <w:autoSpaceDE w:val="0"/>
              <w:autoSpaceDN w:val="0"/>
              <w:adjustRightInd w:val="0"/>
              <w:spacing w:after="0" w:line="240" w:lineRule="auto"/>
              <w:jc w:val="center"/>
              <w:rPr>
                <w:rFonts w:ascii="Arial" w:hAnsi="Arial" w:cs="Arial"/>
                <w:sz w:val="20"/>
                <w:szCs w:val="24"/>
              </w:rPr>
            </w:pPr>
            <w:r w:rsidRPr="007F78CE">
              <w:rPr>
                <w:rFonts w:ascii="Arial" w:hAnsi="Arial" w:cs="Arial"/>
                <w:sz w:val="20"/>
                <w:szCs w:val="24"/>
              </w:rPr>
              <w:t>Focus group avec les notables à Vohitsindry (Région Vatovavy)</w:t>
            </w:r>
          </w:p>
        </w:tc>
      </w:tr>
      <w:tr w:rsidR="0003227A" w:rsidRPr="007F78CE" w14:paraId="3BFD1546" w14:textId="77777777" w:rsidTr="007F78CE">
        <w:tc>
          <w:tcPr>
            <w:tcW w:w="4606" w:type="dxa"/>
            <w:shd w:val="clear" w:color="auto" w:fill="auto"/>
          </w:tcPr>
          <w:p w14:paraId="53FA6816" w14:textId="3C907F63" w:rsidR="0003227A" w:rsidRPr="007F78CE" w:rsidRDefault="00E97ECD" w:rsidP="007F78CE">
            <w:pPr>
              <w:autoSpaceDE w:val="0"/>
              <w:autoSpaceDN w:val="0"/>
              <w:adjustRightInd w:val="0"/>
              <w:spacing w:after="0" w:line="240" w:lineRule="auto"/>
              <w:jc w:val="both"/>
              <w:rPr>
                <w:rFonts w:ascii="Arial" w:hAnsi="Arial" w:cs="Arial"/>
                <w:szCs w:val="24"/>
              </w:rPr>
            </w:pPr>
            <w:r w:rsidRPr="00977215">
              <w:rPr>
                <w:noProof/>
                <w:lang w:eastAsia="fr-FR"/>
              </w:rPr>
              <w:drawing>
                <wp:inline distT="0" distB="0" distL="0" distR="0" wp14:anchorId="622E7123" wp14:editId="18E24C29">
                  <wp:extent cx="2724150" cy="1762125"/>
                  <wp:effectExtent l="0" t="0" r="0" b="0"/>
                  <wp:docPr id="43" name="Image 265" descr="Description : D:\DECIM\Manakara\IMG_20221220_15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5" descr="Description : D:\DECIM\Manakara\IMG_20221220_15380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24150" cy="1762125"/>
                          </a:xfrm>
                          <a:prstGeom prst="rect">
                            <a:avLst/>
                          </a:prstGeom>
                          <a:noFill/>
                          <a:ln>
                            <a:noFill/>
                          </a:ln>
                        </pic:spPr>
                      </pic:pic>
                    </a:graphicData>
                  </a:graphic>
                </wp:inline>
              </w:drawing>
            </w:r>
          </w:p>
        </w:tc>
        <w:tc>
          <w:tcPr>
            <w:tcW w:w="4606" w:type="dxa"/>
            <w:shd w:val="clear" w:color="auto" w:fill="auto"/>
          </w:tcPr>
          <w:p w14:paraId="4877EE48" w14:textId="2466AF0B" w:rsidR="0003227A" w:rsidRPr="007F78CE" w:rsidRDefault="00E97ECD" w:rsidP="007F78CE">
            <w:pPr>
              <w:autoSpaceDE w:val="0"/>
              <w:autoSpaceDN w:val="0"/>
              <w:adjustRightInd w:val="0"/>
              <w:spacing w:after="0" w:line="240" w:lineRule="auto"/>
              <w:jc w:val="both"/>
              <w:rPr>
                <w:rFonts w:ascii="Arial" w:hAnsi="Arial" w:cs="Arial"/>
                <w:szCs w:val="24"/>
              </w:rPr>
            </w:pPr>
            <w:r w:rsidRPr="00FB04F6">
              <w:rPr>
                <w:rFonts w:ascii="Arial" w:hAnsi="Arial" w:cs="Arial"/>
                <w:noProof/>
                <w:szCs w:val="24"/>
                <w:lang w:eastAsia="fr-FR"/>
              </w:rPr>
              <w:drawing>
                <wp:inline distT="0" distB="0" distL="0" distR="0" wp14:anchorId="2AB73C69" wp14:editId="4BA8C3A7">
                  <wp:extent cx="2428875" cy="1771650"/>
                  <wp:effectExtent l="0" t="0" r="0" b="0"/>
                  <wp:docPr id="44" name="Image 267" descr="Description : F:\DECIM\Photo\Photo_Menabe\CP Maha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7" descr="Description : F:\DECIM\Photo\Photo_Menabe\CP Mahabo.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28875" cy="1771650"/>
                          </a:xfrm>
                          <a:prstGeom prst="rect">
                            <a:avLst/>
                          </a:prstGeom>
                          <a:noFill/>
                          <a:ln>
                            <a:noFill/>
                          </a:ln>
                        </pic:spPr>
                      </pic:pic>
                    </a:graphicData>
                  </a:graphic>
                </wp:inline>
              </w:drawing>
            </w:r>
          </w:p>
        </w:tc>
      </w:tr>
      <w:tr w:rsidR="0003227A" w:rsidRPr="007F78CE" w14:paraId="4FD338F5" w14:textId="77777777" w:rsidTr="007F78CE">
        <w:tc>
          <w:tcPr>
            <w:tcW w:w="4606" w:type="dxa"/>
            <w:shd w:val="clear" w:color="auto" w:fill="auto"/>
          </w:tcPr>
          <w:p w14:paraId="77260574" w14:textId="77777777" w:rsidR="0003227A" w:rsidRPr="007F78CE" w:rsidRDefault="00C036F0" w:rsidP="007F78CE">
            <w:pPr>
              <w:autoSpaceDE w:val="0"/>
              <w:autoSpaceDN w:val="0"/>
              <w:adjustRightInd w:val="0"/>
              <w:spacing w:after="0" w:line="240" w:lineRule="auto"/>
              <w:jc w:val="center"/>
              <w:rPr>
                <w:rFonts w:ascii="Arial" w:hAnsi="Arial" w:cs="Arial"/>
                <w:sz w:val="20"/>
                <w:szCs w:val="24"/>
              </w:rPr>
            </w:pPr>
            <w:r w:rsidRPr="007F78CE">
              <w:rPr>
                <w:rFonts w:ascii="Arial" w:hAnsi="Arial" w:cs="Arial"/>
                <w:sz w:val="20"/>
                <w:szCs w:val="24"/>
              </w:rPr>
              <w:t xml:space="preserve">Consultation publique à Ambila (Région </w:t>
            </w:r>
            <w:r w:rsidR="005969CF">
              <w:rPr>
                <w:rFonts w:ascii="Arial" w:hAnsi="Arial" w:cs="Arial"/>
                <w:sz w:val="20"/>
                <w:szCs w:val="24"/>
              </w:rPr>
              <w:t>V</w:t>
            </w:r>
            <w:r w:rsidRPr="007F78CE">
              <w:rPr>
                <w:rFonts w:ascii="Arial" w:hAnsi="Arial" w:cs="Arial"/>
                <w:sz w:val="20"/>
                <w:szCs w:val="24"/>
              </w:rPr>
              <w:t>atovavy)</w:t>
            </w:r>
          </w:p>
        </w:tc>
        <w:tc>
          <w:tcPr>
            <w:tcW w:w="4606" w:type="dxa"/>
            <w:shd w:val="clear" w:color="auto" w:fill="auto"/>
          </w:tcPr>
          <w:p w14:paraId="08AC29FB" w14:textId="77777777" w:rsidR="0003227A" w:rsidRPr="007F78CE" w:rsidRDefault="004A0D4E" w:rsidP="007F78CE">
            <w:pPr>
              <w:autoSpaceDE w:val="0"/>
              <w:autoSpaceDN w:val="0"/>
              <w:adjustRightInd w:val="0"/>
              <w:spacing w:after="0" w:line="240" w:lineRule="auto"/>
              <w:jc w:val="center"/>
              <w:rPr>
                <w:rFonts w:ascii="Arial" w:hAnsi="Arial" w:cs="Arial"/>
                <w:sz w:val="20"/>
                <w:szCs w:val="24"/>
              </w:rPr>
            </w:pPr>
            <w:r w:rsidRPr="007F78CE">
              <w:rPr>
                <w:rFonts w:ascii="Arial" w:hAnsi="Arial" w:cs="Arial"/>
                <w:sz w:val="20"/>
                <w:szCs w:val="24"/>
              </w:rPr>
              <w:t>Consultation publique à Mahabo (Région Menabe)</w:t>
            </w:r>
          </w:p>
        </w:tc>
      </w:tr>
    </w:tbl>
    <w:p w14:paraId="753CE060" w14:textId="77777777" w:rsidR="0003227A" w:rsidRPr="00C036F0" w:rsidRDefault="00C036F0" w:rsidP="00C036F0">
      <w:pPr>
        <w:pStyle w:val="Lgende"/>
        <w:jc w:val="center"/>
        <w:rPr>
          <w:rFonts w:ascii="Arial" w:hAnsi="Arial" w:cs="Arial"/>
          <w:sz w:val="20"/>
          <w:szCs w:val="24"/>
        </w:rPr>
      </w:pPr>
      <w:bookmarkStart w:id="1276" w:name="_Toc125409963"/>
      <w:r w:rsidRPr="00C036F0">
        <w:rPr>
          <w:rFonts w:ascii="Arial" w:hAnsi="Arial" w:cs="Arial"/>
          <w:sz w:val="20"/>
        </w:rPr>
        <w:t xml:space="preserve">Photo </w:t>
      </w:r>
      <w:r w:rsidRPr="00C036F0">
        <w:rPr>
          <w:rFonts w:ascii="Arial" w:hAnsi="Arial" w:cs="Arial"/>
          <w:sz w:val="20"/>
        </w:rPr>
        <w:fldChar w:fldCharType="begin"/>
      </w:r>
      <w:r w:rsidRPr="00C036F0">
        <w:rPr>
          <w:rFonts w:ascii="Arial" w:hAnsi="Arial" w:cs="Arial"/>
          <w:sz w:val="20"/>
        </w:rPr>
        <w:instrText xml:space="preserve"> SEQ Photo \* ARABIC </w:instrText>
      </w:r>
      <w:r w:rsidRPr="00C036F0">
        <w:rPr>
          <w:rFonts w:ascii="Arial" w:hAnsi="Arial" w:cs="Arial"/>
          <w:sz w:val="20"/>
        </w:rPr>
        <w:fldChar w:fldCharType="separate"/>
      </w:r>
      <w:r w:rsidR="00382606">
        <w:rPr>
          <w:rFonts w:ascii="Arial" w:hAnsi="Arial" w:cs="Arial"/>
          <w:noProof/>
          <w:sz w:val="20"/>
        </w:rPr>
        <w:t>10</w:t>
      </w:r>
      <w:r w:rsidRPr="00C036F0">
        <w:rPr>
          <w:rFonts w:ascii="Arial" w:hAnsi="Arial" w:cs="Arial"/>
          <w:sz w:val="20"/>
        </w:rPr>
        <w:fldChar w:fldCharType="end"/>
      </w:r>
      <w:r w:rsidRPr="00C036F0">
        <w:rPr>
          <w:rFonts w:ascii="Arial" w:hAnsi="Arial" w:cs="Arial"/>
          <w:sz w:val="20"/>
        </w:rPr>
        <w:t>. Extrait</w:t>
      </w:r>
      <w:r w:rsidR="00FD7760">
        <w:rPr>
          <w:rFonts w:ascii="Arial" w:hAnsi="Arial" w:cs="Arial"/>
          <w:sz w:val="20"/>
        </w:rPr>
        <w:t>s</w:t>
      </w:r>
      <w:r w:rsidRPr="00C036F0">
        <w:rPr>
          <w:rFonts w:ascii="Arial" w:hAnsi="Arial" w:cs="Arial"/>
          <w:sz w:val="20"/>
        </w:rPr>
        <w:t xml:space="preserve"> de diverses consultations dans les sites visités</w:t>
      </w:r>
      <w:bookmarkEnd w:id="1276"/>
    </w:p>
    <w:p w14:paraId="3B78A6C1" w14:textId="77777777" w:rsidR="00832CC9" w:rsidRPr="00B96EBA" w:rsidRDefault="00E95156" w:rsidP="0044500E">
      <w:pPr>
        <w:pStyle w:val="Paragraphedeliste"/>
        <w:numPr>
          <w:ilvl w:val="0"/>
          <w:numId w:val="177"/>
        </w:numPr>
        <w:pBdr>
          <w:bottom w:val="single" w:sz="4" w:space="1" w:color="auto"/>
        </w:pBdr>
        <w:spacing w:line="240" w:lineRule="auto"/>
        <w:jc w:val="both"/>
        <w:outlineLvl w:val="0"/>
        <w:rPr>
          <w:b/>
          <w:bCs/>
          <w:caps/>
          <w:color w:val="44546A"/>
          <w:sz w:val="40"/>
          <w:szCs w:val="44"/>
        </w:rPr>
      </w:pPr>
      <w:r>
        <w:br w:type="page"/>
      </w:r>
      <w:bookmarkStart w:id="1277" w:name="_Toc124956310"/>
      <w:bookmarkStart w:id="1278" w:name="_Toc125384658"/>
      <w:bookmarkStart w:id="1279" w:name="_Toc125385047"/>
      <w:bookmarkStart w:id="1280" w:name="_Toc127957714"/>
      <w:r w:rsidR="00832CC9" w:rsidRPr="00B96EBA">
        <w:rPr>
          <w:b/>
          <w:bCs/>
          <w:caps/>
          <w:color w:val="44546A"/>
          <w:sz w:val="40"/>
          <w:szCs w:val="44"/>
        </w:rPr>
        <w:t>Procédures et responsabilités de Gestion environnementale et sociale</w:t>
      </w:r>
      <w:bookmarkEnd w:id="1277"/>
      <w:bookmarkEnd w:id="1278"/>
      <w:bookmarkEnd w:id="1279"/>
      <w:bookmarkEnd w:id="1280"/>
    </w:p>
    <w:p w14:paraId="1EA218E6" w14:textId="77777777" w:rsidR="003E32E9" w:rsidRPr="007F78CE" w:rsidRDefault="00C261A6" w:rsidP="0044500E">
      <w:pPr>
        <w:pStyle w:val="TIT2"/>
        <w:numPr>
          <w:ilvl w:val="1"/>
          <w:numId w:val="177"/>
        </w:numPr>
      </w:pPr>
      <w:bookmarkStart w:id="1281" w:name="_Toc124314775"/>
      <w:bookmarkStart w:id="1282" w:name="_Toc124956311"/>
      <w:bookmarkStart w:id="1283" w:name="_Toc125384659"/>
      <w:bookmarkStart w:id="1284" w:name="_Toc125385048"/>
      <w:bookmarkStart w:id="1285" w:name="_Toc127957715"/>
      <w:r w:rsidRPr="007F78CE">
        <w:t>Procédure générale de mise en œuvre des activités</w:t>
      </w:r>
      <w:bookmarkEnd w:id="1281"/>
      <w:bookmarkEnd w:id="1282"/>
      <w:bookmarkEnd w:id="1283"/>
      <w:bookmarkEnd w:id="1284"/>
      <w:bookmarkEnd w:id="1285"/>
    </w:p>
    <w:p w14:paraId="4BA200C7" w14:textId="77777777" w:rsidR="00061371" w:rsidRPr="00061371" w:rsidRDefault="00061371" w:rsidP="00061371">
      <w:pPr>
        <w:spacing w:line="240" w:lineRule="auto"/>
        <w:jc w:val="both"/>
        <w:rPr>
          <w:rFonts w:ascii="Arial" w:hAnsi="Arial" w:cs="Arial"/>
          <w:szCs w:val="24"/>
        </w:rPr>
      </w:pPr>
      <w:r w:rsidRPr="00061371">
        <w:rPr>
          <w:rFonts w:ascii="Arial" w:hAnsi="Arial" w:cs="Arial"/>
          <w:szCs w:val="24"/>
        </w:rPr>
        <w:t>Pour la mise en œuvre du Projet, le promoteur devra :</w:t>
      </w:r>
    </w:p>
    <w:p w14:paraId="2104A83D" w14:textId="77777777" w:rsidR="00BE4F1E" w:rsidRPr="00BE4F1E" w:rsidRDefault="00BE4F1E" w:rsidP="00687DD2">
      <w:pPr>
        <w:pStyle w:val="Paragraphedeliste"/>
        <w:numPr>
          <w:ilvl w:val="0"/>
          <w:numId w:val="61"/>
        </w:numPr>
        <w:spacing w:before="100" w:beforeAutospacing="1" w:after="100" w:afterAutospacing="1" w:line="240" w:lineRule="auto"/>
        <w:jc w:val="both"/>
        <w:rPr>
          <w:rFonts w:ascii="Arial" w:hAnsi="Arial" w:cs="Arial"/>
        </w:rPr>
      </w:pPr>
      <w:r w:rsidRPr="00BE4F1E">
        <w:rPr>
          <w:rFonts w:ascii="Arial" w:hAnsi="Arial" w:cs="Arial"/>
        </w:rPr>
        <w:t>Faire une étude de préfaisabilité du sous-projet afin d’établir les avantages et inconvénients probables lors de la mise en œuvre du sous-projet, en mettant en évidence les données techniques afin de proportionner les études environnementales et sociales aux enjeux associés. Pour cela, des réunions au niveau des Communes doivent être effectuées pour que la population puisse être informée sur les tenants et aboutissants du sous-projet et de donner leur accord de principe ;</w:t>
      </w:r>
    </w:p>
    <w:p w14:paraId="4AB6ECBF" w14:textId="77777777" w:rsidR="00BE4F1E" w:rsidRPr="00BE4F1E" w:rsidRDefault="00BE4F1E" w:rsidP="00687DD2">
      <w:pPr>
        <w:pStyle w:val="Paragraphedeliste"/>
        <w:numPr>
          <w:ilvl w:val="0"/>
          <w:numId w:val="61"/>
        </w:numPr>
        <w:spacing w:before="100" w:beforeAutospacing="1" w:after="100" w:afterAutospacing="1" w:line="240" w:lineRule="auto"/>
        <w:jc w:val="both"/>
        <w:rPr>
          <w:rFonts w:ascii="Arial" w:hAnsi="Arial" w:cs="Arial"/>
        </w:rPr>
      </w:pPr>
      <w:r w:rsidRPr="00BE4F1E">
        <w:rPr>
          <w:rFonts w:ascii="Arial" w:hAnsi="Arial" w:cs="Arial"/>
        </w:rPr>
        <w:t xml:space="preserve">Procéder à l’étude de faisabilité avec l’étude environnementale et sociale appropriée (EIES, </w:t>
      </w:r>
      <w:r>
        <w:rPr>
          <w:rFonts w:ascii="Arial" w:hAnsi="Arial" w:cs="Arial"/>
        </w:rPr>
        <w:t xml:space="preserve">PREE, </w:t>
      </w:r>
      <w:r w:rsidRPr="00BE4F1E">
        <w:rPr>
          <w:rFonts w:ascii="Arial" w:hAnsi="Arial" w:cs="Arial"/>
        </w:rPr>
        <w:t xml:space="preserve">PGES, PR, autres) en veillant à la participation de la population dès la conception du projet ; </w:t>
      </w:r>
    </w:p>
    <w:p w14:paraId="66A54B41" w14:textId="77777777" w:rsidR="00BE4F1E" w:rsidRPr="00BE4F1E" w:rsidRDefault="00BE4F1E" w:rsidP="00687DD2">
      <w:pPr>
        <w:pStyle w:val="Paragraphedeliste"/>
        <w:numPr>
          <w:ilvl w:val="0"/>
          <w:numId w:val="61"/>
        </w:numPr>
        <w:spacing w:before="100" w:beforeAutospacing="1" w:after="100" w:afterAutospacing="1" w:line="240" w:lineRule="auto"/>
        <w:jc w:val="both"/>
        <w:rPr>
          <w:rFonts w:ascii="Arial" w:hAnsi="Arial" w:cs="Arial"/>
        </w:rPr>
      </w:pPr>
      <w:r w:rsidRPr="00BE4F1E">
        <w:rPr>
          <w:rFonts w:ascii="Arial" w:hAnsi="Arial" w:cs="Arial"/>
        </w:rPr>
        <w:t>Procéder, le cas échéant, à la compensation des personnes affectées avant que les travaux et activités ne commencent ;</w:t>
      </w:r>
    </w:p>
    <w:p w14:paraId="6E44DDB8" w14:textId="77777777" w:rsidR="00BE4F1E" w:rsidRPr="00BE4F1E" w:rsidRDefault="00BE4F1E" w:rsidP="00687DD2">
      <w:pPr>
        <w:pStyle w:val="Paragraphedeliste"/>
        <w:numPr>
          <w:ilvl w:val="0"/>
          <w:numId w:val="61"/>
        </w:numPr>
        <w:spacing w:before="100" w:beforeAutospacing="1" w:after="100" w:afterAutospacing="1" w:line="240" w:lineRule="auto"/>
        <w:jc w:val="both"/>
        <w:rPr>
          <w:rFonts w:ascii="Arial" w:hAnsi="Arial" w:cs="Arial"/>
        </w:rPr>
      </w:pPr>
      <w:r w:rsidRPr="00BE4F1E">
        <w:rPr>
          <w:rFonts w:ascii="Arial" w:hAnsi="Arial" w:cs="Arial"/>
        </w:rPr>
        <w:t>Mettre en œuvre le sous-projet tout en veillant à satisfaire les doléances appropriées et fondées de la population riveraine ;</w:t>
      </w:r>
    </w:p>
    <w:p w14:paraId="62FAC544" w14:textId="77777777" w:rsidR="00BE4F1E" w:rsidRPr="00BE4F1E" w:rsidRDefault="00BE4F1E" w:rsidP="00687DD2">
      <w:pPr>
        <w:pStyle w:val="Paragraphedeliste"/>
        <w:numPr>
          <w:ilvl w:val="0"/>
          <w:numId w:val="61"/>
        </w:numPr>
        <w:spacing w:before="100" w:beforeAutospacing="1" w:after="100" w:afterAutospacing="1" w:line="240" w:lineRule="auto"/>
        <w:jc w:val="both"/>
        <w:rPr>
          <w:rFonts w:ascii="Arial" w:hAnsi="Arial" w:cs="Arial"/>
        </w:rPr>
      </w:pPr>
      <w:r w:rsidRPr="00BE4F1E">
        <w:rPr>
          <w:rFonts w:ascii="Arial" w:hAnsi="Arial" w:cs="Arial"/>
        </w:rPr>
        <w:t>Effectuer et assurer les surveillances et suivi des mesures environnementales et sociales ainsi que le suivi participatif tout au long du sous-projet ;</w:t>
      </w:r>
    </w:p>
    <w:p w14:paraId="496EB16C" w14:textId="77777777" w:rsidR="00BE4F1E" w:rsidRPr="00BE4F1E" w:rsidRDefault="00BE4F1E" w:rsidP="00687DD2">
      <w:pPr>
        <w:pStyle w:val="Paragraphedeliste"/>
        <w:numPr>
          <w:ilvl w:val="0"/>
          <w:numId w:val="61"/>
        </w:numPr>
        <w:spacing w:before="100" w:beforeAutospacing="1" w:after="100" w:afterAutospacing="1" w:line="240" w:lineRule="auto"/>
        <w:jc w:val="both"/>
        <w:rPr>
          <w:rFonts w:ascii="Arial" w:hAnsi="Arial" w:cs="Arial"/>
        </w:rPr>
      </w:pPr>
      <w:r w:rsidRPr="00BE4F1E">
        <w:rPr>
          <w:rFonts w:ascii="Arial" w:hAnsi="Arial" w:cs="Arial"/>
        </w:rPr>
        <w:t>Faciliter la participation de toutes les parties prenantes au processus de suivi participatif ;</w:t>
      </w:r>
    </w:p>
    <w:p w14:paraId="36994F68" w14:textId="77777777" w:rsidR="00BE4F1E" w:rsidRPr="00BE4F1E" w:rsidRDefault="00BE4F1E" w:rsidP="00687DD2">
      <w:pPr>
        <w:pStyle w:val="Paragraphedeliste"/>
        <w:numPr>
          <w:ilvl w:val="0"/>
          <w:numId w:val="61"/>
        </w:numPr>
        <w:spacing w:before="100" w:beforeAutospacing="1" w:after="100" w:afterAutospacing="1" w:line="240" w:lineRule="auto"/>
        <w:jc w:val="both"/>
        <w:rPr>
          <w:rFonts w:ascii="Arial" w:hAnsi="Arial" w:cs="Arial"/>
        </w:rPr>
      </w:pPr>
      <w:r w:rsidRPr="00BE4F1E">
        <w:rPr>
          <w:rFonts w:ascii="Arial" w:hAnsi="Arial" w:cs="Arial"/>
        </w:rPr>
        <w:t>Participer, avec toutes les parties prenantes, aux réunions de restitution des travaux de suivi ;</w:t>
      </w:r>
    </w:p>
    <w:p w14:paraId="32881416" w14:textId="77777777" w:rsidR="00061371" w:rsidRPr="00BE4F1E" w:rsidRDefault="00BE4F1E" w:rsidP="00687DD2">
      <w:pPr>
        <w:numPr>
          <w:ilvl w:val="0"/>
          <w:numId w:val="61"/>
        </w:numPr>
        <w:autoSpaceDE w:val="0"/>
        <w:autoSpaceDN w:val="0"/>
        <w:adjustRightInd w:val="0"/>
        <w:spacing w:after="0" w:line="240" w:lineRule="auto"/>
        <w:jc w:val="both"/>
        <w:rPr>
          <w:rFonts w:ascii="Arial" w:hAnsi="Arial" w:cs="Arial"/>
        </w:rPr>
      </w:pPr>
      <w:r w:rsidRPr="00BE4F1E">
        <w:rPr>
          <w:rFonts w:ascii="Arial" w:hAnsi="Arial" w:cs="Arial"/>
        </w:rPr>
        <w:t>Veiller à faire des communications périodiques par le biais des moyens appropriés pour chaque partie prenante concernant les résultats et les perspectives du sous-projet</w:t>
      </w:r>
      <w:r w:rsidR="00061371" w:rsidRPr="00BE4F1E">
        <w:rPr>
          <w:rFonts w:ascii="Arial" w:hAnsi="Arial" w:cs="Arial"/>
        </w:rPr>
        <w:t>.</w:t>
      </w:r>
    </w:p>
    <w:p w14:paraId="29775886" w14:textId="77777777" w:rsidR="00061371" w:rsidRPr="00061371" w:rsidRDefault="00061371" w:rsidP="00061371">
      <w:pPr>
        <w:spacing w:before="240" w:line="240" w:lineRule="auto"/>
        <w:jc w:val="both"/>
        <w:rPr>
          <w:rFonts w:ascii="Arial" w:hAnsi="Arial" w:cs="Arial"/>
          <w:szCs w:val="24"/>
          <w:highlight w:val="yellow"/>
        </w:rPr>
      </w:pPr>
      <w:r w:rsidRPr="00061371">
        <w:rPr>
          <w:rFonts w:ascii="Arial" w:hAnsi="Arial" w:cs="Arial"/>
          <w:szCs w:val="24"/>
        </w:rPr>
        <w:t>Veiller à faire des communications périodiques par le biais des moyens appropriés pour chaque partie prenante concernant les résultats et les perspectives du sous-projet.</w:t>
      </w:r>
    </w:p>
    <w:p w14:paraId="628BDFEC" w14:textId="77777777" w:rsidR="003E32E9" w:rsidRPr="007F78CE" w:rsidRDefault="00C261A6" w:rsidP="0044500E">
      <w:pPr>
        <w:pStyle w:val="TIT2"/>
        <w:numPr>
          <w:ilvl w:val="1"/>
          <w:numId w:val="177"/>
        </w:numPr>
      </w:pPr>
      <w:bookmarkStart w:id="1286" w:name="_Toc124314776"/>
      <w:bookmarkStart w:id="1287" w:name="_Toc124956312"/>
      <w:bookmarkStart w:id="1288" w:name="_Toc125384660"/>
      <w:bookmarkStart w:id="1289" w:name="_Toc125385049"/>
      <w:bookmarkStart w:id="1290" w:name="_Toc127957716"/>
      <w:r w:rsidRPr="007F78CE">
        <w:t>Processus d’évaluation environnementale et sociale</w:t>
      </w:r>
      <w:bookmarkEnd w:id="1286"/>
      <w:bookmarkEnd w:id="1287"/>
      <w:bookmarkEnd w:id="1288"/>
      <w:bookmarkEnd w:id="1289"/>
      <w:bookmarkEnd w:id="1290"/>
    </w:p>
    <w:p w14:paraId="2B1A595F" w14:textId="77777777" w:rsidR="00BE4F1E" w:rsidRPr="00BE4F1E" w:rsidRDefault="00BE4F1E" w:rsidP="00BE4F1E">
      <w:pPr>
        <w:spacing w:before="240" w:line="240" w:lineRule="auto"/>
        <w:jc w:val="both"/>
        <w:rPr>
          <w:rFonts w:ascii="Arial" w:hAnsi="Arial" w:cs="Arial"/>
          <w:szCs w:val="24"/>
        </w:rPr>
      </w:pPr>
      <w:r w:rsidRPr="00BE4F1E">
        <w:rPr>
          <w:rFonts w:ascii="Arial" w:hAnsi="Arial" w:cs="Arial"/>
          <w:szCs w:val="24"/>
        </w:rPr>
        <w:t xml:space="preserve">L’évaluation environnementale et sociale du projet comprend les étapes suivantes : </w:t>
      </w:r>
    </w:p>
    <w:p w14:paraId="2CE355EC" w14:textId="77777777" w:rsidR="00BE4F1E" w:rsidRPr="00BE4F1E" w:rsidRDefault="00BE4F1E" w:rsidP="0044500E">
      <w:pPr>
        <w:pStyle w:val="TIT3"/>
        <w:numPr>
          <w:ilvl w:val="2"/>
          <w:numId w:val="177"/>
        </w:numPr>
      </w:pPr>
      <w:bookmarkStart w:id="1291" w:name="_Toc54083330"/>
      <w:bookmarkStart w:id="1292" w:name="_Toc67430704"/>
      <w:bookmarkStart w:id="1293" w:name="_Toc82338174"/>
      <w:bookmarkStart w:id="1294" w:name="_Toc89768110"/>
      <w:bookmarkStart w:id="1295" w:name="_Toc92792848"/>
      <w:bookmarkStart w:id="1296" w:name="_Toc121232655"/>
      <w:bookmarkStart w:id="1297" w:name="_Toc124314777"/>
      <w:bookmarkStart w:id="1298" w:name="_Toc124956313"/>
      <w:bookmarkStart w:id="1299" w:name="_Toc125384661"/>
      <w:bookmarkStart w:id="1300" w:name="_Toc125385050"/>
      <w:bookmarkStart w:id="1301" w:name="_Toc127957717"/>
      <w:r w:rsidRPr="00BE4F1E">
        <w:t>Etape 1. Screening environnemental et social</w:t>
      </w:r>
      <w:bookmarkEnd w:id="1291"/>
      <w:bookmarkEnd w:id="1292"/>
      <w:bookmarkEnd w:id="1293"/>
      <w:bookmarkEnd w:id="1294"/>
      <w:bookmarkEnd w:id="1295"/>
      <w:bookmarkEnd w:id="1296"/>
      <w:bookmarkEnd w:id="1297"/>
      <w:bookmarkEnd w:id="1298"/>
      <w:bookmarkEnd w:id="1299"/>
      <w:bookmarkEnd w:id="1300"/>
      <w:bookmarkEnd w:id="1301"/>
    </w:p>
    <w:p w14:paraId="2864125B" w14:textId="77777777" w:rsidR="00BE4F1E" w:rsidRPr="00BE4F1E" w:rsidRDefault="00BE4F1E" w:rsidP="00BE4F1E">
      <w:pPr>
        <w:spacing w:before="240" w:line="240" w:lineRule="auto"/>
        <w:jc w:val="both"/>
        <w:rPr>
          <w:rFonts w:ascii="Arial" w:hAnsi="Arial" w:cs="Arial"/>
          <w:szCs w:val="24"/>
        </w:rPr>
      </w:pPr>
      <w:r w:rsidRPr="00BE4F1E">
        <w:rPr>
          <w:rFonts w:ascii="Arial" w:hAnsi="Arial" w:cs="Arial"/>
          <w:szCs w:val="24"/>
        </w:rPr>
        <w:t>L’examen environnemental et social préliminaire consiste à définir les caractéristiques du sous-projet envisagé afin de déterminer l’ampleur de ses impacts négatifs potentiels. La démarche permet (i) de catégoriser ledit sous-projet et (ii) de déterminer les types de document d’évaluation environnementale et sociale à produire et le type de consultation du public à mener.</w:t>
      </w:r>
    </w:p>
    <w:p w14:paraId="2220FBCF" w14:textId="77777777" w:rsidR="00BE4F1E" w:rsidRPr="00BE4F1E" w:rsidRDefault="00BE4F1E" w:rsidP="00BE4F1E">
      <w:pPr>
        <w:spacing w:before="240" w:line="240" w:lineRule="auto"/>
        <w:jc w:val="both"/>
        <w:rPr>
          <w:rFonts w:ascii="Arial" w:hAnsi="Arial" w:cs="Arial"/>
          <w:szCs w:val="24"/>
        </w:rPr>
      </w:pPr>
      <w:r w:rsidRPr="00BE4F1E">
        <w:rPr>
          <w:rFonts w:ascii="Arial" w:hAnsi="Arial" w:cs="Arial"/>
          <w:szCs w:val="24"/>
        </w:rPr>
        <w:t>Les inputs requis se rapportent aux éléments ci-après :</w:t>
      </w:r>
    </w:p>
    <w:p w14:paraId="66690A5D" w14:textId="77777777" w:rsidR="00BE4F1E" w:rsidRPr="00BE4F1E" w:rsidRDefault="00BE4F1E" w:rsidP="00687DD2">
      <w:pPr>
        <w:pStyle w:val="Paragraphedeliste"/>
        <w:numPr>
          <w:ilvl w:val="0"/>
          <w:numId w:val="65"/>
        </w:numPr>
        <w:spacing w:before="100" w:beforeAutospacing="1" w:after="100" w:afterAutospacing="1" w:line="240" w:lineRule="auto"/>
        <w:jc w:val="both"/>
        <w:rPr>
          <w:rFonts w:ascii="Arial" w:hAnsi="Arial" w:cs="Arial"/>
          <w:szCs w:val="24"/>
        </w:rPr>
      </w:pPr>
      <w:r w:rsidRPr="00BE4F1E">
        <w:rPr>
          <w:rFonts w:ascii="Arial" w:hAnsi="Arial" w:cs="Arial"/>
          <w:szCs w:val="24"/>
        </w:rPr>
        <w:t>La nature du sous-projet et des travaux</w:t>
      </w:r>
      <w:r w:rsidR="0099268E">
        <w:rPr>
          <w:rFonts w:ascii="Arial" w:hAnsi="Arial" w:cs="Arial"/>
          <w:szCs w:val="24"/>
        </w:rPr>
        <w:t xml:space="preserve"> </w:t>
      </w:r>
      <w:r w:rsidRPr="00BE4F1E">
        <w:rPr>
          <w:rFonts w:ascii="Arial" w:hAnsi="Arial" w:cs="Arial"/>
          <w:szCs w:val="24"/>
        </w:rPr>
        <w:t>;</w:t>
      </w:r>
    </w:p>
    <w:p w14:paraId="66BF8DA4" w14:textId="77777777" w:rsidR="00BE4F1E" w:rsidRPr="00BE4F1E" w:rsidRDefault="00BE4F1E" w:rsidP="00687DD2">
      <w:pPr>
        <w:pStyle w:val="Paragraphedeliste"/>
        <w:numPr>
          <w:ilvl w:val="0"/>
          <w:numId w:val="65"/>
        </w:numPr>
        <w:spacing w:before="100" w:beforeAutospacing="1" w:after="100" w:afterAutospacing="1" w:line="240" w:lineRule="auto"/>
        <w:jc w:val="both"/>
        <w:rPr>
          <w:rFonts w:ascii="Arial" w:hAnsi="Arial" w:cs="Arial"/>
          <w:szCs w:val="24"/>
        </w:rPr>
      </w:pPr>
      <w:r w:rsidRPr="00BE4F1E">
        <w:rPr>
          <w:rFonts w:ascii="Arial" w:hAnsi="Arial" w:cs="Arial"/>
          <w:szCs w:val="24"/>
        </w:rPr>
        <w:t>Les enjeux environnementaux et sociaux potentiels ;</w:t>
      </w:r>
    </w:p>
    <w:p w14:paraId="5DA9B015" w14:textId="77777777" w:rsidR="00BE4F1E" w:rsidRPr="00BE4F1E" w:rsidRDefault="00BE4F1E" w:rsidP="00687DD2">
      <w:pPr>
        <w:pStyle w:val="Paragraphedeliste"/>
        <w:numPr>
          <w:ilvl w:val="0"/>
          <w:numId w:val="65"/>
        </w:numPr>
        <w:spacing w:before="100" w:beforeAutospacing="1" w:after="100" w:afterAutospacing="1" w:line="240" w:lineRule="auto"/>
        <w:jc w:val="both"/>
        <w:rPr>
          <w:rFonts w:ascii="Arial" w:hAnsi="Arial" w:cs="Arial"/>
          <w:szCs w:val="24"/>
        </w:rPr>
      </w:pPr>
      <w:r w:rsidRPr="00BE4F1E">
        <w:rPr>
          <w:rFonts w:ascii="Arial" w:hAnsi="Arial" w:cs="Arial"/>
          <w:szCs w:val="24"/>
        </w:rPr>
        <w:t>Les tâches spécifiques (excavation, déblai, remblai ...) ayant des risques et impacts particuliers sur l’environnement et nécessitant des mesures d’atténuation appropriées ;</w:t>
      </w:r>
    </w:p>
    <w:p w14:paraId="51D4F7DC" w14:textId="77777777" w:rsidR="00BE4F1E" w:rsidRPr="00BE4F1E" w:rsidRDefault="00BE4F1E" w:rsidP="00687DD2">
      <w:pPr>
        <w:pStyle w:val="Paragraphedeliste"/>
        <w:numPr>
          <w:ilvl w:val="0"/>
          <w:numId w:val="65"/>
        </w:numPr>
        <w:spacing w:before="100" w:beforeAutospacing="1" w:after="100" w:afterAutospacing="1" w:line="240" w:lineRule="auto"/>
        <w:jc w:val="both"/>
        <w:rPr>
          <w:rFonts w:ascii="Arial" w:hAnsi="Arial" w:cs="Arial"/>
        </w:rPr>
      </w:pPr>
      <w:r w:rsidRPr="3F0A0941">
        <w:rPr>
          <w:rFonts w:ascii="Arial" w:hAnsi="Arial" w:cs="Arial"/>
        </w:rPr>
        <w:t>Le type de consultation du public à mener</w:t>
      </w:r>
      <w:r w:rsidR="78CA261D" w:rsidRPr="240635A6">
        <w:rPr>
          <w:rFonts w:ascii="Arial" w:hAnsi="Arial" w:cs="Arial"/>
        </w:rPr>
        <w:t xml:space="preserve"> </w:t>
      </w:r>
      <w:r w:rsidRPr="3F0A0941">
        <w:rPr>
          <w:rFonts w:ascii="Arial" w:hAnsi="Arial" w:cs="Arial"/>
        </w:rPr>
        <w:t>;</w:t>
      </w:r>
    </w:p>
    <w:p w14:paraId="723591C7" w14:textId="77777777" w:rsidR="00BE4F1E" w:rsidRDefault="00BE4F1E" w:rsidP="00687DD2">
      <w:pPr>
        <w:pStyle w:val="Paragraphedeliste"/>
        <w:numPr>
          <w:ilvl w:val="0"/>
          <w:numId w:val="65"/>
        </w:numPr>
        <w:spacing w:before="100" w:beforeAutospacing="1" w:after="100" w:afterAutospacing="1" w:line="240" w:lineRule="auto"/>
        <w:jc w:val="both"/>
        <w:rPr>
          <w:rFonts w:ascii="Arial" w:hAnsi="Arial" w:cs="Arial"/>
          <w:szCs w:val="24"/>
        </w:rPr>
      </w:pPr>
      <w:r w:rsidRPr="00BE4F1E">
        <w:rPr>
          <w:rFonts w:ascii="Arial" w:hAnsi="Arial" w:cs="Arial"/>
          <w:szCs w:val="24"/>
        </w:rPr>
        <w:t>Les normes environnementales et sociales de la Banque mondiale pertinentes.</w:t>
      </w:r>
    </w:p>
    <w:p w14:paraId="0C267DDA" w14:textId="77777777" w:rsidR="00C7540B" w:rsidRPr="00345918" w:rsidRDefault="00C7540B" w:rsidP="00345918">
      <w:pPr>
        <w:spacing w:before="100" w:beforeAutospacing="1" w:after="100" w:afterAutospacing="1" w:line="240" w:lineRule="auto"/>
        <w:jc w:val="both"/>
        <w:rPr>
          <w:rFonts w:ascii="Arial" w:hAnsi="Arial" w:cs="Arial"/>
          <w:szCs w:val="24"/>
        </w:rPr>
      </w:pPr>
      <w:r>
        <w:rPr>
          <w:rFonts w:ascii="Arial" w:hAnsi="Arial" w:cs="Arial"/>
          <w:szCs w:val="24"/>
        </w:rPr>
        <w:t xml:space="preserve">La fiche de tri environnemental dans le cadre du projet DECIM est annexée dans le présent document (annexe 3) </w:t>
      </w:r>
    </w:p>
    <w:p w14:paraId="3BB6BFBB" w14:textId="77777777" w:rsidR="00BE4F1E" w:rsidRPr="00BE4F1E" w:rsidRDefault="00BE4F1E" w:rsidP="0044500E">
      <w:pPr>
        <w:pStyle w:val="TIT3"/>
        <w:numPr>
          <w:ilvl w:val="2"/>
          <w:numId w:val="177"/>
        </w:numPr>
      </w:pPr>
      <w:bookmarkStart w:id="1302" w:name="_Toc54083331"/>
      <w:bookmarkStart w:id="1303" w:name="_Toc67430705"/>
      <w:bookmarkStart w:id="1304" w:name="_Toc82338175"/>
      <w:bookmarkStart w:id="1305" w:name="_Toc89768111"/>
      <w:bookmarkStart w:id="1306" w:name="_Toc92792849"/>
      <w:bookmarkStart w:id="1307" w:name="_Toc124314778"/>
      <w:bookmarkStart w:id="1308" w:name="_Toc124956314"/>
      <w:bookmarkStart w:id="1309" w:name="_Toc125384662"/>
      <w:bookmarkStart w:id="1310" w:name="_Toc125385051"/>
      <w:bookmarkStart w:id="1311" w:name="_Toc127957718"/>
      <w:r w:rsidRPr="00BE4F1E">
        <w:t>Notes sur la catégorisation des sous projets</w:t>
      </w:r>
      <w:bookmarkEnd w:id="1302"/>
      <w:bookmarkEnd w:id="1303"/>
      <w:bookmarkEnd w:id="1304"/>
      <w:bookmarkEnd w:id="1305"/>
      <w:bookmarkEnd w:id="1306"/>
      <w:bookmarkEnd w:id="1307"/>
      <w:bookmarkEnd w:id="1308"/>
      <w:bookmarkEnd w:id="1309"/>
      <w:bookmarkEnd w:id="1310"/>
      <w:bookmarkEnd w:id="1311"/>
    </w:p>
    <w:p w14:paraId="6CE630DD" w14:textId="77777777" w:rsidR="00BE4F1E" w:rsidRPr="00BE4F1E" w:rsidRDefault="00BE4F1E" w:rsidP="00687DD2">
      <w:pPr>
        <w:pStyle w:val="TIT5"/>
        <w:numPr>
          <w:ilvl w:val="0"/>
          <w:numId w:val="69"/>
        </w:numPr>
        <w:spacing w:line="240" w:lineRule="auto"/>
        <w:rPr>
          <w:b/>
          <w:i/>
          <w:sz w:val="24"/>
          <w:szCs w:val="24"/>
        </w:rPr>
      </w:pPr>
      <w:bookmarkStart w:id="1312" w:name="_Toc54083332"/>
      <w:r w:rsidRPr="00BE4F1E">
        <w:rPr>
          <w:b/>
          <w:i/>
          <w:sz w:val="24"/>
          <w:szCs w:val="24"/>
        </w:rPr>
        <w:t>Classification nationale, Notes sur la catégorisation des sous-projets selon le décret MECIE</w:t>
      </w:r>
      <w:bookmarkEnd w:id="1312"/>
    </w:p>
    <w:p w14:paraId="55ED7682" w14:textId="77777777" w:rsidR="00BE4F1E" w:rsidRPr="00BE4F1E" w:rsidRDefault="00BE4F1E" w:rsidP="00BE4F1E">
      <w:pPr>
        <w:jc w:val="both"/>
        <w:rPr>
          <w:rFonts w:ascii="Arial" w:hAnsi="Arial" w:cs="Arial"/>
          <w:szCs w:val="24"/>
        </w:rPr>
      </w:pPr>
      <w:r w:rsidRPr="00BE4F1E">
        <w:rPr>
          <w:rFonts w:ascii="Arial" w:hAnsi="Arial" w:cs="Arial"/>
          <w:szCs w:val="24"/>
        </w:rPr>
        <w:t>Selon les dispositions du Décret 99-954 du 15 décembre 1999 portant Mise en Compatibilité des Investissements avec l’Environnement (MECIE), modifié par le Décret 2004-167 du 3 février 2004, les projets peuvent être classifiés en trois catégories :</w:t>
      </w:r>
    </w:p>
    <w:p w14:paraId="11E84C8B" w14:textId="77777777" w:rsidR="00BE4F1E" w:rsidRPr="00BE4F1E" w:rsidRDefault="00BE4F1E" w:rsidP="00687DD2">
      <w:pPr>
        <w:pStyle w:val="Paragraphedeliste"/>
        <w:numPr>
          <w:ilvl w:val="0"/>
          <w:numId w:val="66"/>
        </w:numPr>
        <w:spacing w:before="100" w:beforeAutospacing="1" w:after="100" w:afterAutospacing="1" w:line="240" w:lineRule="auto"/>
        <w:jc w:val="both"/>
        <w:rPr>
          <w:rFonts w:ascii="Arial" w:hAnsi="Arial" w:cs="Arial"/>
          <w:szCs w:val="24"/>
        </w:rPr>
      </w:pPr>
      <w:r w:rsidRPr="00BE4F1E">
        <w:rPr>
          <w:rFonts w:ascii="Arial" w:hAnsi="Arial" w:cs="Arial"/>
          <w:b/>
          <w:szCs w:val="24"/>
        </w:rPr>
        <w:t>Catégorie 1 : suivant l’annexe 1 Sous-Projets soumis à une Etude d’Impact Environnemental</w:t>
      </w:r>
      <w:r w:rsidR="00691328">
        <w:rPr>
          <w:rFonts w:ascii="Arial" w:hAnsi="Arial" w:cs="Arial"/>
          <w:b/>
          <w:szCs w:val="24"/>
        </w:rPr>
        <w:t>e</w:t>
      </w:r>
      <w:r w:rsidRPr="00BE4F1E">
        <w:rPr>
          <w:rFonts w:ascii="Arial" w:hAnsi="Arial" w:cs="Arial"/>
          <w:b/>
          <w:szCs w:val="24"/>
        </w:rPr>
        <w:t xml:space="preserve"> (EIE</w:t>
      </w:r>
      <w:r w:rsidRPr="00BE4F1E">
        <w:rPr>
          <w:rFonts w:ascii="Arial" w:hAnsi="Arial" w:cs="Arial"/>
          <w:szCs w:val="24"/>
        </w:rPr>
        <w:t>) : les projets soumis à l’EIE sont des projets qui de par leur nature technique, leur contiguïté, l’importance de leurs dimensions ou de la sensibilité du milieu d’implantation, sont susceptibles d’avoir des conséquences dommageables sur l’environnement.).</w:t>
      </w:r>
    </w:p>
    <w:p w14:paraId="17CD38E1" w14:textId="77777777" w:rsidR="00BE4F1E" w:rsidRPr="00BE4F1E" w:rsidRDefault="00BE4F1E" w:rsidP="00687DD2">
      <w:pPr>
        <w:pStyle w:val="Paragraphedeliste"/>
        <w:numPr>
          <w:ilvl w:val="0"/>
          <w:numId w:val="66"/>
        </w:numPr>
        <w:spacing w:before="100" w:beforeAutospacing="1" w:after="100" w:afterAutospacing="1" w:line="240" w:lineRule="auto"/>
        <w:jc w:val="both"/>
        <w:rPr>
          <w:rFonts w:ascii="Arial" w:hAnsi="Arial" w:cs="Arial"/>
          <w:szCs w:val="24"/>
        </w:rPr>
      </w:pPr>
      <w:r w:rsidRPr="00BE4F1E">
        <w:rPr>
          <w:rFonts w:ascii="Arial" w:hAnsi="Arial" w:cs="Arial"/>
          <w:b/>
          <w:szCs w:val="24"/>
        </w:rPr>
        <w:t>Catégorie 2 : suivant l’annexe 2 Sous-Projets soumis à Programme d’Engagement Environnemental (PREE)</w:t>
      </w:r>
      <w:r w:rsidRPr="00BE4F1E">
        <w:rPr>
          <w:rFonts w:ascii="Arial" w:hAnsi="Arial" w:cs="Arial"/>
          <w:szCs w:val="24"/>
        </w:rPr>
        <w:t xml:space="preserve"> : les projets qui se trouvent à l’Annexe II du Décret MECIE sont soumis au PREE. Ce sont des projets dont la nature, l’ampleur et d’autres caractéristiques connexes ont le potentiel nécessaire pour provoquer certains impacts sur l'environnement, impacts qui ne sont cependant pas suffisamment importants pour nécessiter une EIE indépendante complète. </w:t>
      </w:r>
    </w:p>
    <w:p w14:paraId="370BD50C" w14:textId="77777777" w:rsidR="00BE4F1E" w:rsidRPr="00BE4F1E" w:rsidRDefault="00BE4F1E" w:rsidP="00BE4F1E">
      <w:pPr>
        <w:ind w:left="1416"/>
        <w:jc w:val="both"/>
        <w:rPr>
          <w:rFonts w:ascii="Arial" w:hAnsi="Arial" w:cs="Arial"/>
          <w:i/>
          <w:iCs/>
          <w:szCs w:val="24"/>
        </w:rPr>
      </w:pPr>
      <w:r w:rsidRPr="00BE4F1E">
        <w:rPr>
          <w:rFonts w:ascii="Arial" w:hAnsi="Arial" w:cs="Arial"/>
          <w:szCs w:val="24"/>
        </w:rPr>
        <w:t xml:space="preserve">En plus des classifications des annexes I et II du décret MECIE, il faut rajouter les dispositions de l’article 4.3 </w:t>
      </w:r>
      <w:r w:rsidR="00B044D1">
        <w:rPr>
          <w:rFonts w:ascii="Arial" w:hAnsi="Arial" w:cs="Arial"/>
          <w:szCs w:val="24"/>
        </w:rPr>
        <w:t xml:space="preserve">dudit décret </w:t>
      </w:r>
      <w:r w:rsidRPr="00BE4F1E">
        <w:rPr>
          <w:rFonts w:ascii="Arial" w:hAnsi="Arial" w:cs="Arial"/>
          <w:szCs w:val="24"/>
        </w:rPr>
        <w:t>qui précisent « </w:t>
      </w:r>
      <w:r w:rsidRPr="00BE4F1E">
        <w:rPr>
          <w:rFonts w:ascii="Arial" w:hAnsi="Arial" w:cs="Arial"/>
          <w:i/>
          <w:iCs/>
          <w:szCs w:val="24"/>
        </w:rPr>
        <w:t>Toutes implantations ou modifications des aménagements, ouvrages et travaux susceptibles, de par leur nature technique, leur contiguïté, l’importance de leurs dimensions ou de la sensibilité du milieu d’implantation, d’avoir des conséquences dommageables sur l’environnement, non visées par l’article 4.1 ou par l’annexe 1 du Décret</w:t>
      </w:r>
      <w:r w:rsidR="00691328">
        <w:rPr>
          <w:rFonts w:ascii="Arial" w:hAnsi="Arial" w:cs="Arial"/>
          <w:i/>
          <w:iCs/>
          <w:szCs w:val="24"/>
        </w:rPr>
        <w:t xml:space="preserve">, </w:t>
      </w:r>
      <w:r w:rsidRPr="00BE4F1E">
        <w:rPr>
          <w:rFonts w:ascii="Arial" w:hAnsi="Arial" w:cs="Arial"/>
          <w:i/>
          <w:iCs/>
          <w:szCs w:val="24"/>
        </w:rPr>
        <w:t>et pour lesquelles l’ONE, dûment saisi ou non par le promoteur, et après consultation de la Cellule Environnementale du secteur concerné, notifie au promoteur qu’une EIE est nécessaire ».</w:t>
      </w:r>
    </w:p>
    <w:p w14:paraId="5BF907DF" w14:textId="77777777" w:rsidR="00BE4F1E" w:rsidRPr="00BE4F1E" w:rsidRDefault="00BE4F1E" w:rsidP="00687DD2">
      <w:pPr>
        <w:pStyle w:val="Paragraphedeliste"/>
        <w:numPr>
          <w:ilvl w:val="0"/>
          <w:numId w:val="66"/>
        </w:numPr>
        <w:spacing w:before="100" w:beforeAutospacing="1" w:after="100" w:afterAutospacing="1" w:line="240" w:lineRule="auto"/>
        <w:jc w:val="both"/>
        <w:rPr>
          <w:rFonts w:ascii="Arial" w:hAnsi="Arial" w:cs="Arial"/>
          <w:szCs w:val="24"/>
        </w:rPr>
      </w:pPr>
      <w:r w:rsidRPr="0A1598FD">
        <w:rPr>
          <w:rFonts w:ascii="Arial" w:hAnsi="Arial" w:cs="Arial"/>
        </w:rPr>
        <w:t xml:space="preserve">Les </w:t>
      </w:r>
      <w:r w:rsidRPr="0A1598FD">
        <w:rPr>
          <w:rFonts w:ascii="Arial" w:hAnsi="Arial" w:cs="Arial"/>
          <w:b/>
          <w:bCs/>
        </w:rPr>
        <w:t>sous-projets qui ne figurent pas dans les Annexes I et II</w:t>
      </w:r>
      <w:r w:rsidRPr="0A1598FD">
        <w:rPr>
          <w:rFonts w:ascii="Arial" w:hAnsi="Arial" w:cs="Arial"/>
        </w:rPr>
        <w:t xml:space="preserve"> et qui ne sont pas concernés </w:t>
      </w:r>
      <w:r w:rsidR="00B044D1" w:rsidRPr="0A1598FD">
        <w:rPr>
          <w:rFonts w:ascii="Arial" w:hAnsi="Arial" w:cs="Arial"/>
        </w:rPr>
        <w:t xml:space="preserve">par l’article </w:t>
      </w:r>
      <w:r w:rsidR="00D13A96" w:rsidRPr="0A1598FD">
        <w:rPr>
          <w:rFonts w:ascii="Arial" w:hAnsi="Arial" w:cs="Arial"/>
        </w:rPr>
        <w:t xml:space="preserve">4.3 </w:t>
      </w:r>
      <w:r w:rsidR="00B044D1" w:rsidRPr="0A1598FD">
        <w:rPr>
          <w:rFonts w:ascii="Arial" w:hAnsi="Arial" w:cs="Arial"/>
        </w:rPr>
        <w:t xml:space="preserve">ci-dessus </w:t>
      </w:r>
      <w:r w:rsidRPr="0A1598FD">
        <w:rPr>
          <w:rFonts w:ascii="Arial" w:hAnsi="Arial" w:cs="Arial"/>
        </w:rPr>
        <w:t xml:space="preserve"> ne nécessitent aucun des documents environnementaux spécifiques.</w:t>
      </w:r>
    </w:p>
    <w:p w14:paraId="7BAFE008" w14:textId="77777777" w:rsidR="00BE4F1E" w:rsidRPr="00BE4F1E" w:rsidRDefault="00BE4F1E" w:rsidP="00687DD2">
      <w:pPr>
        <w:pStyle w:val="TIT5"/>
        <w:numPr>
          <w:ilvl w:val="0"/>
          <w:numId w:val="69"/>
        </w:numPr>
        <w:spacing w:line="240" w:lineRule="auto"/>
        <w:rPr>
          <w:b/>
          <w:i/>
          <w:sz w:val="24"/>
          <w:szCs w:val="24"/>
        </w:rPr>
      </w:pPr>
      <w:bookmarkStart w:id="1313" w:name="_Toc54083333"/>
      <w:r w:rsidRPr="00BE4F1E">
        <w:rPr>
          <w:b/>
          <w:i/>
          <w:sz w:val="24"/>
          <w:szCs w:val="24"/>
        </w:rPr>
        <w:t>Classification selon le CES de la Banque mondiale</w:t>
      </w:r>
      <w:bookmarkEnd w:id="1313"/>
    </w:p>
    <w:p w14:paraId="253293EF" w14:textId="77777777" w:rsidR="00BE4F1E" w:rsidRPr="00BE4F1E" w:rsidRDefault="00BE4F1E" w:rsidP="00B434A6">
      <w:pPr>
        <w:jc w:val="both"/>
        <w:rPr>
          <w:rFonts w:ascii="Arial" w:hAnsi="Arial" w:cs="Arial"/>
          <w:szCs w:val="24"/>
        </w:rPr>
      </w:pPr>
      <w:r w:rsidRPr="00BE4F1E">
        <w:rPr>
          <w:rFonts w:ascii="Arial" w:hAnsi="Arial" w:cs="Arial"/>
          <w:szCs w:val="24"/>
        </w:rPr>
        <w:t xml:space="preserve">La Banque mondiale, en conformité avec les dispositions du nouveau CES, classifie les sous-projets, en quatre (4) niveaux, selon le niveau </w:t>
      </w:r>
      <w:r w:rsidR="00F97B1B">
        <w:rPr>
          <w:rFonts w:ascii="Arial" w:hAnsi="Arial" w:cs="Arial"/>
          <w:szCs w:val="24"/>
        </w:rPr>
        <w:t>des</w:t>
      </w:r>
      <w:r w:rsidR="00F97B1B" w:rsidRPr="00BE4F1E">
        <w:rPr>
          <w:rFonts w:ascii="Arial" w:hAnsi="Arial" w:cs="Arial"/>
          <w:szCs w:val="24"/>
        </w:rPr>
        <w:t xml:space="preserve"> </w:t>
      </w:r>
      <w:r w:rsidRPr="00BE4F1E">
        <w:rPr>
          <w:rFonts w:ascii="Arial" w:hAnsi="Arial" w:cs="Arial"/>
          <w:szCs w:val="24"/>
        </w:rPr>
        <w:t xml:space="preserve">risques E&amp;S s’y rapportant : </w:t>
      </w:r>
    </w:p>
    <w:p w14:paraId="20620993" w14:textId="77777777" w:rsidR="00BE4F1E" w:rsidRPr="00BE4F1E" w:rsidRDefault="00BE4F1E" w:rsidP="00687DD2">
      <w:pPr>
        <w:pStyle w:val="Paragraphedeliste"/>
        <w:numPr>
          <w:ilvl w:val="0"/>
          <w:numId w:val="67"/>
        </w:numPr>
        <w:spacing w:before="100" w:beforeAutospacing="1" w:after="100" w:afterAutospacing="1" w:line="240" w:lineRule="auto"/>
        <w:jc w:val="both"/>
        <w:rPr>
          <w:rFonts w:ascii="Arial" w:hAnsi="Arial" w:cs="Arial"/>
          <w:bCs/>
          <w:szCs w:val="24"/>
        </w:rPr>
      </w:pPr>
      <w:r w:rsidRPr="00BE4F1E">
        <w:rPr>
          <w:rFonts w:ascii="Arial" w:hAnsi="Arial" w:cs="Arial"/>
          <w:b/>
          <w:szCs w:val="24"/>
        </w:rPr>
        <w:t xml:space="preserve">Risque élevé : </w:t>
      </w:r>
      <w:r w:rsidRPr="00BE4F1E">
        <w:rPr>
          <w:rFonts w:ascii="Arial" w:hAnsi="Arial" w:cs="Arial"/>
          <w:bCs/>
          <w:szCs w:val="24"/>
        </w:rPr>
        <w:t xml:space="preserve">regroupe les projets qui présentent des risques environnementaux et sociaux majeurs avec des incidences négatives, irréversibles, multiples, sans précédent, avec, par exemple, des effets ressentis dans une zone plus vaste que le site. Selon le CES, ce type de projet nécessite ainsi l’intervention des experts et spécialistes, qui fourniront des conseils et qui exerceront un contrôle sur le sous-projet de manière indépendante. </w:t>
      </w:r>
    </w:p>
    <w:p w14:paraId="6C160665" w14:textId="77777777" w:rsidR="00BE4F1E" w:rsidRPr="00BE4F1E" w:rsidRDefault="00BE4F1E" w:rsidP="00687DD2">
      <w:pPr>
        <w:pStyle w:val="Paragraphedeliste"/>
        <w:numPr>
          <w:ilvl w:val="0"/>
          <w:numId w:val="67"/>
        </w:numPr>
        <w:spacing w:before="100" w:beforeAutospacing="1" w:after="100" w:afterAutospacing="1" w:line="240" w:lineRule="auto"/>
        <w:jc w:val="both"/>
        <w:rPr>
          <w:rFonts w:ascii="Arial" w:hAnsi="Arial" w:cs="Arial"/>
          <w:bCs/>
          <w:szCs w:val="24"/>
        </w:rPr>
      </w:pPr>
      <w:r w:rsidRPr="00BE4F1E">
        <w:rPr>
          <w:rFonts w:ascii="Arial" w:hAnsi="Arial" w:cs="Arial"/>
          <w:b/>
          <w:szCs w:val="24"/>
        </w:rPr>
        <w:t xml:space="preserve">Risque substantiel : </w:t>
      </w:r>
      <w:r w:rsidRPr="00BE4F1E">
        <w:rPr>
          <w:rFonts w:ascii="Arial" w:hAnsi="Arial" w:cs="Arial"/>
          <w:bCs/>
          <w:szCs w:val="24"/>
        </w:rPr>
        <w:t xml:space="preserve">les risques sont dits substantiels lorsqu’ils sont qualifiés de majeurs, importants, sur les habitats critiques et les habitants naturels, sur la santé et la sécurité des travailleurs, sur le patrimoine culturel, sur les ressources naturelles biologiques. Selon le CES, il doit être préparé en cas de risques substantiels sur la biodiversité, le plan de gestion de la biodiversité. </w:t>
      </w:r>
    </w:p>
    <w:p w14:paraId="24004129" w14:textId="77777777" w:rsidR="00BE4F1E" w:rsidRPr="00BE4F1E" w:rsidRDefault="00BE4F1E" w:rsidP="00687DD2">
      <w:pPr>
        <w:pStyle w:val="Paragraphedeliste"/>
        <w:numPr>
          <w:ilvl w:val="0"/>
          <w:numId w:val="67"/>
        </w:numPr>
        <w:spacing w:before="100" w:beforeAutospacing="1" w:after="100" w:afterAutospacing="1" w:line="240" w:lineRule="auto"/>
        <w:jc w:val="both"/>
        <w:rPr>
          <w:rFonts w:ascii="Arial" w:hAnsi="Arial" w:cs="Arial"/>
          <w:bCs/>
          <w:szCs w:val="24"/>
        </w:rPr>
      </w:pPr>
      <w:r w:rsidRPr="00BE4F1E">
        <w:rPr>
          <w:rFonts w:ascii="Arial" w:hAnsi="Arial" w:cs="Arial"/>
          <w:b/>
          <w:szCs w:val="24"/>
        </w:rPr>
        <w:t xml:space="preserve">Risque modéré : </w:t>
      </w:r>
      <w:r w:rsidRPr="00BE4F1E">
        <w:rPr>
          <w:rFonts w:ascii="Arial" w:hAnsi="Arial" w:cs="Arial"/>
          <w:bCs/>
          <w:szCs w:val="24"/>
        </w:rPr>
        <w:t xml:space="preserve">On parle de risques modérés, lorsqu’ils ne sont pas graves, et restent à des niveaux acceptables. </w:t>
      </w:r>
    </w:p>
    <w:p w14:paraId="38D08E19" w14:textId="77777777" w:rsidR="00BE4F1E" w:rsidRPr="00BE4F1E" w:rsidRDefault="00BE4F1E" w:rsidP="00687DD2">
      <w:pPr>
        <w:pStyle w:val="Paragraphedeliste"/>
        <w:numPr>
          <w:ilvl w:val="0"/>
          <w:numId w:val="67"/>
        </w:numPr>
        <w:spacing w:before="100" w:beforeAutospacing="1" w:after="100" w:afterAutospacing="1" w:line="240" w:lineRule="auto"/>
        <w:jc w:val="both"/>
        <w:rPr>
          <w:rFonts w:ascii="Arial" w:hAnsi="Arial" w:cs="Arial"/>
          <w:bCs/>
          <w:szCs w:val="24"/>
        </w:rPr>
      </w:pPr>
      <w:r w:rsidRPr="00BE4F1E">
        <w:rPr>
          <w:rFonts w:ascii="Arial" w:hAnsi="Arial" w:cs="Arial"/>
          <w:b/>
          <w:szCs w:val="24"/>
        </w:rPr>
        <w:t>Risque faible</w:t>
      </w:r>
      <w:r w:rsidR="005D0235">
        <w:rPr>
          <w:rFonts w:ascii="Arial" w:hAnsi="Arial" w:cs="Arial"/>
          <w:b/>
          <w:szCs w:val="24"/>
        </w:rPr>
        <w:t> :</w:t>
      </w:r>
      <w:r w:rsidR="00C7540B">
        <w:rPr>
          <w:rFonts w:ascii="Arial" w:hAnsi="Arial" w:cs="Arial"/>
          <w:b/>
          <w:szCs w:val="24"/>
        </w:rPr>
        <w:t xml:space="preserve"> </w:t>
      </w:r>
      <w:r w:rsidRPr="00BE4F1E">
        <w:rPr>
          <w:rFonts w:ascii="Arial" w:hAnsi="Arial" w:cs="Arial"/>
          <w:bCs/>
          <w:szCs w:val="24"/>
        </w:rPr>
        <w:t xml:space="preserve">correspond avec les projets sans impacts significatifs sur l’environnement et le social. Ce sont des risques qui peuvent être neutralisés avec des mesures d’atténuation simples. </w:t>
      </w:r>
    </w:p>
    <w:p w14:paraId="33E82482" w14:textId="77777777" w:rsidR="00FB10F0" w:rsidRDefault="00FB10F0" w:rsidP="00B434A6">
      <w:pPr>
        <w:jc w:val="both"/>
        <w:rPr>
          <w:rFonts w:ascii="Arial" w:hAnsi="Arial" w:cs="Arial"/>
          <w:szCs w:val="24"/>
        </w:rPr>
      </w:pPr>
      <w:r w:rsidRPr="00B434A6">
        <w:rPr>
          <w:rFonts w:ascii="Arial" w:hAnsi="Arial" w:cs="Arial"/>
          <w:szCs w:val="24"/>
        </w:rPr>
        <w:t xml:space="preserve">Selon le document </w:t>
      </w:r>
      <w:r w:rsidR="00B044D1">
        <w:rPr>
          <w:rFonts w:ascii="Arial" w:hAnsi="Arial" w:cs="Arial"/>
          <w:szCs w:val="24"/>
        </w:rPr>
        <w:t>du Projet (</w:t>
      </w:r>
      <w:r w:rsidRPr="00B434A6">
        <w:rPr>
          <w:rFonts w:ascii="Arial" w:hAnsi="Arial" w:cs="Arial"/>
          <w:szCs w:val="24"/>
        </w:rPr>
        <w:t>PAD</w:t>
      </w:r>
      <w:r w:rsidR="00B044D1">
        <w:rPr>
          <w:rFonts w:ascii="Arial" w:hAnsi="Arial" w:cs="Arial"/>
          <w:szCs w:val="24"/>
        </w:rPr>
        <w:t>)</w:t>
      </w:r>
      <w:r w:rsidRPr="00B434A6">
        <w:rPr>
          <w:rFonts w:ascii="Arial" w:hAnsi="Arial" w:cs="Arial"/>
          <w:szCs w:val="24"/>
        </w:rPr>
        <w:t xml:space="preserve">, </w:t>
      </w:r>
      <w:r w:rsidR="00C66FE1">
        <w:rPr>
          <w:rFonts w:ascii="Arial" w:hAnsi="Arial" w:cs="Arial"/>
          <w:szCs w:val="24"/>
        </w:rPr>
        <w:t>l</w:t>
      </w:r>
      <w:r w:rsidRPr="00B434A6">
        <w:rPr>
          <w:rFonts w:ascii="Arial" w:hAnsi="Arial" w:cs="Arial"/>
          <w:szCs w:val="24"/>
        </w:rPr>
        <w:t xml:space="preserve">e risque environnemental et social de ce Projet est jugé substantiel. </w:t>
      </w:r>
      <w:r w:rsidR="00763A75" w:rsidRPr="00B434A6">
        <w:rPr>
          <w:rFonts w:ascii="Arial" w:hAnsi="Arial" w:cs="Arial"/>
          <w:szCs w:val="24"/>
        </w:rPr>
        <w:t xml:space="preserve">Afin de ne pas porter atteinte à l’intégrité des </w:t>
      </w:r>
      <w:r w:rsidR="00763A75" w:rsidRPr="00FA2299">
        <w:rPr>
          <w:rFonts w:ascii="Arial" w:hAnsi="Arial" w:cs="Arial"/>
          <w:szCs w:val="24"/>
        </w:rPr>
        <w:t>h</w:t>
      </w:r>
      <w:r w:rsidR="00EF10D2" w:rsidRPr="00312FE9">
        <w:rPr>
          <w:rFonts w:ascii="Arial" w:hAnsi="Arial" w:cs="Arial"/>
          <w:szCs w:val="24"/>
        </w:rPr>
        <w:t>abitats critiques et les habita</w:t>
      </w:r>
      <w:r w:rsidR="00763A75" w:rsidRPr="008627F7">
        <w:rPr>
          <w:rFonts w:ascii="Arial" w:hAnsi="Arial" w:cs="Arial"/>
          <w:szCs w:val="24"/>
        </w:rPr>
        <w:t>ts naturels</w:t>
      </w:r>
      <w:r w:rsidR="00C66FE1">
        <w:rPr>
          <w:rFonts w:ascii="Arial" w:hAnsi="Arial" w:cs="Arial"/>
          <w:szCs w:val="24"/>
        </w:rPr>
        <w:t>, ces lieux</w:t>
      </w:r>
      <w:r w:rsidR="00763A75" w:rsidRPr="00B434A6">
        <w:rPr>
          <w:rFonts w:ascii="Arial" w:hAnsi="Arial" w:cs="Arial"/>
          <w:szCs w:val="24"/>
        </w:rPr>
        <w:t xml:space="preserve"> seront </w:t>
      </w:r>
      <w:r w:rsidR="00C66FE1">
        <w:rPr>
          <w:rFonts w:ascii="Arial" w:hAnsi="Arial" w:cs="Arial"/>
          <w:szCs w:val="24"/>
        </w:rPr>
        <w:t xml:space="preserve">à </w:t>
      </w:r>
      <w:r w:rsidR="00763A75" w:rsidRPr="00B434A6">
        <w:rPr>
          <w:rFonts w:ascii="Arial" w:hAnsi="Arial" w:cs="Arial"/>
          <w:szCs w:val="24"/>
        </w:rPr>
        <w:t>évit</w:t>
      </w:r>
      <w:r w:rsidR="00C66FE1">
        <w:rPr>
          <w:rFonts w:ascii="Arial" w:hAnsi="Arial" w:cs="Arial"/>
          <w:szCs w:val="24"/>
        </w:rPr>
        <w:t>er</w:t>
      </w:r>
      <w:r w:rsidR="00763A75" w:rsidRPr="00B434A6">
        <w:rPr>
          <w:rFonts w:ascii="Arial" w:hAnsi="Arial" w:cs="Arial"/>
          <w:szCs w:val="24"/>
        </w:rPr>
        <w:t>. Ainsi, tous les sous projets qui impacteront les aires protégées, les forêts naturelles contenant des espèces en voie d’extinction ne seront pas éligible</w:t>
      </w:r>
      <w:r w:rsidR="00380091">
        <w:rPr>
          <w:rFonts w:ascii="Arial" w:hAnsi="Arial" w:cs="Arial"/>
          <w:szCs w:val="24"/>
        </w:rPr>
        <w:t>s</w:t>
      </w:r>
      <w:r w:rsidR="00763A75" w:rsidRPr="00B434A6">
        <w:rPr>
          <w:rFonts w:ascii="Arial" w:hAnsi="Arial" w:cs="Arial"/>
          <w:szCs w:val="24"/>
        </w:rPr>
        <w:t>. Il en est de même pour les sous projet</w:t>
      </w:r>
      <w:r w:rsidR="00380091">
        <w:rPr>
          <w:rFonts w:ascii="Arial" w:hAnsi="Arial" w:cs="Arial"/>
          <w:szCs w:val="24"/>
        </w:rPr>
        <w:t>s</w:t>
      </w:r>
      <w:r w:rsidR="00763A75" w:rsidRPr="00B434A6">
        <w:rPr>
          <w:rFonts w:ascii="Arial" w:hAnsi="Arial" w:cs="Arial"/>
          <w:szCs w:val="24"/>
        </w:rPr>
        <w:t xml:space="preserve"> qui pourraient </w:t>
      </w:r>
      <w:r w:rsidR="00EF10D2">
        <w:rPr>
          <w:rFonts w:ascii="Arial" w:hAnsi="Arial" w:cs="Arial"/>
          <w:szCs w:val="24"/>
        </w:rPr>
        <w:t xml:space="preserve">avoir des effets néfastes sur une très large zone du site à l’image des grands barrages comme Andekaleka, Antelomita, etc. </w:t>
      </w:r>
    </w:p>
    <w:p w14:paraId="6BCD5761" w14:textId="77777777" w:rsidR="00BD3DB8" w:rsidRPr="00B434A6" w:rsidRDefault="00BD3DB8" w:rsidP="00B434A6">
      <w:pPr>
        <w:jc w:val="both"/>
        <w:rPr>
          <w:rFonts w:ascii="Arial" w:hAnsi="Arial" w:cs="Arial"/>
          <w:szCs w:val="24"/>
        </w:rPr>
      </w:pPr>
      <w:r w:rsidRPr="00B434A6">
        <w:rPr>
          <w:rFonts w:ascii="Arial" w:hAnsi="Arial" w:cs="Arial"/>
          <w:szCs w:val="24"/>
        </w:rPr>
        <w:t xml:space="preserve">Une fois que le niveau de risque environnemental et social a été approuvé par l’ONE et la Banque mondiale, le processus de préparation des instruments de sauvegarde environnementale et sociale sera déclenché. Ce travail sera à la charge du personnel responsable </w:t>
      </w:r>
      <w:r>
        <w:rPr>
          <w:rFonts w:ascii="Arial" w:hAnsi="Arial" w:cs="Arial"/>
          <w:szCs w:val="24"/>
        </w:rPr>
        <w:t>de gestion des risques</w:t>
      </w:r>
      <w:r w:rsidRPr="00B434A6">
        <w:rPr>
          <w:rFonts w:ascii="Arial" w:hAnsi="Arial" w:cs="Arial"/>
          <w:szCs w:val="24"/>
        </w:rPr>
        <w:t xml:space="preserve"> </w:t>
      </w:r>
      <w:r w:rsidRPr="00FA2299">
        <w:rPr>
          <w:rFonts w:ascii="Arial" w:hAnsi="Arial" w:cs="Arial"/>
          <w:szCs w:val="24"/>
        </w:rPr>
        <w:t>environnementaux et sociaux</w:t>
      </w:r>
      <w:r w:rsidRPr="00B434A6">
        <w:rPr>
          <w:rFonts w:ascii="Arial" w:hAnsi="Arial" w:cs="Arial"/>
          <w:szCs w:val="24"/>
        </w:rPr>
        <w:t xml:space="preserve"> du Projet </w:t>
      </w:r>
      <w:r>
        <w:rPr>
          <w:rFonts w:ascii="Arial" w:hAnsi="Arial" w:cs="Arial"/>
          <w:szCs w:val="24"/>
        </w:rPr>
        <w:t>DECIM</w:t>
      </w:r>
      <w:r w:rsidRPr="00B434A6">
        <w:rPr>
          <w:rFonts w:ascii="Arial" w:hAnsi="Arial" w:cs="Arial"/>
          <w:szCs w:val="24"/>
        </w:rPr>
        <w:t>. Ces instruments peuvent être des EIE</w:t>
      </w:r>
      <w:r w:rsidR="00B044D1">
        <w:rPr>
          <w:rFonts w:ascii="Arial" w:hAnsi="Arial" w:cs="Arial"/>
          <w:szCs w:val="24"/>
        </w:rPr>
        <w:t>S</w:t>
      </w:r>
      <w:r w:rsidRPr="00B434A6">
        <w:rPr>
          <w:rFonts w:ascii="Arial" w:hAnsi="Arial" w:cs="Arial"/>
          <w:szCs w:val="24"/>
        </w:rPr>
        <w:t>, PREE, PAR ou une simple fiche environnementale et/ou sociale.</w:t>
      </w:r>
    </w:p>
    <w:p w14:paraId="3F9E215E" w14:textId="77777777" w:rsidR="00BE4F1E" w:rsidRPr="00BE4F1E" w:rsidRDefault="00BE4F1E" w:rsidP="0044500E">
      <w:pPr>
        <w:pStyle w:val="TIT3"/>
        <w:numPr>
          <w:ilvl w:val="2"/>
          <w:numId w:val="177"/>
        </w:numPr>
      </w:pPr>
      <w:bookmarkStart w:id="1314" w:name="_Toc54083334"/>
      <w:bookmarkStart w:id="1315" w:name="_Toc67430706"/>
      <w:bookmarkStart w:id="1316" w:name="_Toc82338176"/>
      <w:bookmarkStart w:id="1317" w:name="_Toc89768112"/>
      <w:bookmarkStart w:id="1318" w:name="_Toc92792850"/>
      <w:bookmarkStart w:id="1319" w:name="_Toc121232656"/>
      <w:bookmarkStart w:id="1320" w:name="_Toc124314779"/>
      <w:bookmarkStart w:id="1321" w:name="_Toc124956315"/>
      <w:bookmarkStart w:id="1322" w:name="_Toc125384663"/>
      <w:bookmarkStart w:id="1323" w:name="_Toc125385052"/>
      <w:bookmarkStart w:id="1324" w:name="_Toc127957719"/>
      <w:r w:rsidRPr="00BE4F1E">
        <w:t>Etape 2 : Réalisation de l’étude environnementale et sociale</w:t>
      </w:r>
      <w:bookmarkEnd w:id="1314"/>
      <w:bookmarkEnd w:id="1315"/>
      <w:bookmarkEnd w:id="1316"/>
      <w:bookmarkEnd w:id="1317"/>
      <w:bookmarkEnd w:id="1318"/>
      <w:bookmarkEnd w:id="1319"/>
      <w:bookmarkEnd w:id="1320"/>
      <w:bookmarkEnd w:id="1321"/>
      <w:bookmarkEnd w:id="1322"/>
      <w:bookmarkEnd w:id="1323"/>
      <w:bookmarkEnd w:id="1324"/>
    </w:p>
    <w:p w14:paraId="3072FA2D" w14:textId="77777777" w:rsidR="00BE4F1E" w:rsidRPr="00BE4F1E" w:rsidRDefault="00BE4F1E" w:rsidP="00BE4F1E">
      <w:pPr>
        <w:rPr>
          <w:rFonts w:ascii="Arial" w:hAnsi="Arial" w:cs="Arial"/>
          <w:szCs w:val="24"/>
        </w:rPr>
      </w:pPr>
      <w:r w:rsidRPr="00BE4F1E">
        <w:rPr>
          <w:rFonts w:ascii="Arial" w:hAnsi="Arial" w:cs="Arial"/>
          <w:szCs w:val="24"/>
        </w:rPr>
        <w:t>Globalement, cette étape comprend les activités suivantes :</w:t>
      </w:r>
    </w:p>
    <w:p w14:paraId="45F460D2" w14:textId="77777777" w:rsidR="00BE4F1E" w:rsidRPr="00BE4F1E" w:rsidRDefault="00BE4F1E" w:rsidP="00687DD2">
      <w:pPr>
        <w:pStyle w:val="Paragraphedeliste"/>
        <w:numPr>
          <w:ilvl w:val="0"/>
          <w:numId w:val="67"/>
        </w:numPr>
        <w:spacing w:before="100" w:beforeAutospacing="1" w:after="100" w:afterAutospacing="1" w:line="240" w:lineRule="auto"/>
        <w:jc w:val="both"/>
        <w:rPr>
          <w:rFonts w:ascii="Arial" w:hAnsi="Arial" w:cs="Arial"/>
          <w:szCs w:val="24"/>
        </w:rPr>
      </w:pPr>
      <w:r w:rsidRPr="00BE4F1E">
        <w:rPr>
          <w:rFonts w:ascii="Arial" w:hAnsi="Arial" w:cs="Arial"/>
          <w:szCs w:val="24"/>
        </w:rPr>
        <w:t>Préparation par l’U</w:t>
      </w:r>
      <w:r w:rsidR="00F97B1B">
        <w:rPr>
          <w:rFonts w:ascii="Arial" w:hAnsi="Arial" w:cs="Arial"/>
          <w:szCs w:val="24"/>
        </w:rPr>
        <w:t>C</w:t>
      </w:r>
      <w:r w:rsidRPr="00BE4F1E">
        <w:rPr>
          <w:rFonts w:ascii="Arial" w:hAnsi="Arial" w:cs="Arial"/>
          <w:szCs w:val="24"/>
        </w:rPr>
        <w:t>P des termes de référence des études à réaliser.</w:t>
      </w:r>
    </w:p>
    <w:p w14:paraId="4B333546" w14:textId="77777777" w:rsidR="00BE4F1E" w:rsidRPr="00BE4F1E" w:rsidRDefault="00BE4F1E" w:rsidP="00687DD2">
      <w:pPr>
        <w:pStyle w:val="Paragraphedeliste"/>
        <w:numPr>
          <w:ilvl w:val="0"/>
          <w:numId w:val="67"/>
        </w:numPr>
        <w:spacing w:before="100" w:beforeAutospacing="1" w:after="100" w:afterAutospacing="1" w:line="240" w:lineRule="auto"/>
        <w:jc w:val="both"/>
        <w:rPr>
          <w:rFonts w:ascii="Arial" w:hAnsi="Arial" w:cs="Arial"/>
          <w:szCs w:val="24"/>
        </w:rPr>
      </w:pPr>
      <w:r w:rsidRPr="00BE4F1E">
        <w:rPr>
          <w:rFonts w:ascii="Arial" w:hAnsi="Arial" w:cs="Arial"/>
          <w:szCs w:val="24"/>
        </w:rPr>
        <w:t>Recrutement de consultants qualifiés pour les conduire.</w:t>
      </w:r>
    </w:p>
    <w:p w14:paraId="068FA83B" w14:textId="77777777" w:rsidR="00BE4F1E" w:rsidRPr="00BE4F1E" w:rsidRDefault="00F97B1B" w:rsidP="00687DD2">
      <w:pPr>
        <w:pStyle w:val="Paragraphedeliste"/>
        <w:numPr>
          <w:ilvl w:val="0"/>
          <w:numId w:val="67"/>
        </w:numPr>
        <w:spacing w:before="100" w:beforeAutospacing="1" w:after="100" w:afterAutospacing="1" w:line="240" w:lineRule="auto"/>
        <w:jc w:val="both"/>
        <w:rPr>
          <w:rFonts w:ascii="Arial" w:hAnsi="Arial" w:cs="Arial"/>
          <w:szCs w:val="24"/>
        </w:rPr>
      </w:pPr>
      <w:r>
        <w:rPr>
          <w:rFonts w:ascii="Arial" w:hAnsi="Arial" w:cs="Arial"/>
          <w:szCs w:val="24"/>
        </w:rPr>
        <w:t>Organisation de c</w:t>
      </w:r>
      <w:r w:rsidR="00BE4F1E" w:rsidRPr="00BE4F1E">
        <w:rPr>
          <w:rFonts w:ascii="Arial" w:hAnsi="Arial" w:cs="Arial"/>
          <w:szCs w:val="24"/>
        </w:rPr>
        <w:t>onsultations publiques.</w:t>
      </w:r>
    </w:p>
    <w:p w14:paraId="5035A531" w14:textId="77777777" w:rsidR="00BE4F1E" w:rsidRPr="00BE4F1E" w:rsidRDefault="00BE4F1E" w:rsidP="00687DD2">
      <w:pPr>
        <w:pStyle w:val="Paragraphedeliste"/>
        <w:numPr>
          <w:ilvl w:val="0"/>
          <w:numId w:val="67"/>
        </w:numPr>
        <w:spacing w:before="100" w:beforeAutospacing="1" w:after="100" w:afterAutospacing="1" w:line="240" w:lineRule="auto"/>
        <w:jc w:val="both"/>
        <w:rPr>
          <w:rFonts w:ascii="Arial" w:hAnsi="Arial" w:cs="Arial"/>
          <w:szCs w:val="24"/>
        </w:rPr>
      </w:pPr>
      <w:r w:rsidRPr="00BE4F1E">
        <w:rPr>
          <w:rFonts w:ascii="Arial" w:hAnsi="Arial" w:cs="Arial"/>
          <w:szCs w:val="24"/>
        </w:rPr>
        <w:t>Rédaction du Rapport d’étude.</w:t>
      </w:r>
    </w:p>
    <w:p w14:paraId="350F26C3" w14:textId="77777777" w:rsidR="00BE4F1E" w:rsidRPr="00BE4F1E" w:rsidRDefault="00F97B1B" w:rsidP="00BE4F1E">
      <w:pPr>
        <w:jc w:val="both"/>
        <w:rPr>
          <w:rFonts w:ascii="Arial" w:hAnsi="Arial" w:cs="Arial"/>
          <w:szCs w:val="24"/>
        </w:rPr>
      </w:pPr>
      <w:r>
        <w:rPr>
          <w:rFonts w:ascii="Arial" w:hAnsi="Arial" w:cs="Arial"/>
          <w:szCs w:val="24"/>
        </w:rPr>
        <w:t>La</w:t>
      </w:r>
      <w:r w:rsidR="00BE4F1E" w:rsidRPr="00BE4F1E">
        <w:rPr>
          <w:rFonts w:ascii="Arial" w:hAnsi="Arial" w:cs="Arial"/>
          <w:szCs w:val="24"/>
        </w:rPr>
        <w:t xml:space="preserve"> législation nationale </w:t>
      </w:r>
      <w:r>
        <w:rPr>
          <w:rFonts w:ascii="Arial" w:hAnsi="Arial" w:cs="Arial"/>
          <w:szCs w:val="24"/>
        </w:rPr>
        <w:t>et</w:t>
      </w:r>
      <w:r w:rsidRPr="00BE4F1E">
        <w:rPr>
          <w:rFonts w:ascii="Arial" w:hAnsi="Arial" w:cs="Arial"/>
          <w:szCs w:val="24"/>
        </w:rPr>
        <w:t xml:space="preserve"> </w:t>
      </w:r>
      <w:r w:rsidR="00BE4F1E" w:rsidRPr="00BE4F1E">
        <w:rPr>
          <w:rFonts w:ascii="Arial" w:hAnsi="Arial" w:cs="Arial"/>
          <w:szCs w:val="24"/>
        </w:rPr>
        <w:t>les NES prévoient la participation du public dans la préparation de l’étude environnementale et sociale. Ainsi, des consultations publiques avec les communautés locales et les autres parties prenantes/affectées/intéressées seront organisées. Les résultats desdites consultations publiques seront pris en compte dans le rapport et dans le design/conception du projet.</w:t>
      </w:r>
    </w:p>
    <w:p w14:paraId="214ED824" w14:textId="77777777" w:rsidR="00BE4F1E" w:rsidRDefault="00BE4F1E" w:rsidP="00BE4F1E">
      <w:pPr>
        <w:jc w:val="both"/>
        <w:rPr>
          <w:rFonts w:ascii="Arial" w:hAnsi="Arial" w:cs="Arial"/>
          <w:szCs w:val="24"/>
        </w:rPr>
      </w:pPr>
      <w:r w:rsidRPr="00BE4F1E">
        <w:rPr>
          <w:rFonts w:ascii="Arial" w:hAnsi="Arial" w:cs="Arial"/>
          <w:szCs w:val="24"/>
        </w:rPr>
        <w:t>En outre, tous les documents devront comporter des résumés non techniques en Malagasy, en Français et en Anglais afin d’en faciliter la compréhension. Les résumés indiqueront en des termes accessibles au public, l’état initial de l’environnement du sous-projet envisagé, les modifications apportées par le sous-projet et les mesures envisagées pour pallier les conséquences dommageables de l’investissement sur l’environnement et le social ainsi que les arrangements institutionnels pour sa mise en œuvre.</w:t>
      </w:r>
    </w:p>
    <w:p w14:paraId="68C693A0" w14:textId="77777777" w:rsidR="00286ACE" w:rsidRPr="00BE4F1E" w:rsidRDefault="00286ACE" w:rsidP="00BE4F1E">
      <w:pPr>
        <w:jc w:val="both"/>
        <w:rPr>
          <w:rFonts w:ascii="Arial" w:hAnsi="Arial" w:cs="Arial"/>
          <w:szCs w:val="24"/>
        </w:rPr>
      </w:pPr>
      <w:r>
        <w:rPr>
          <w:rFonts w:ascii="Arial" w:hAnsi="Arial" w:cs="Arial"/>
          <w:szCs w:val="24"/>
        </w:rPr>
        <w:t xml:space="preserve">Des modèles de TDRs pour l’élaboration d’EIEs et PGES sont présentés en annexe 15 et 16 du présent document. </w:t>
      </w:r>
    </w:p>
    <w:p w14:paraId="251A43F5" w14:textId="77777777" w:rsidR="00BE4F1E" w:rsidRPr="00BE4F1E" w:rsidRDefault="00BE4F1E" w:rsidP="0044500E">
      <w:pPr>
        <w:pStyle w:val="TIT3"/>
        <w:numPr>
          <w:ilvl w:val="2"/>
          <w:numId w:val="177"/>
        </w:numPr>
      </w:pPr>
      <w:bookmarkStart w:id="1325" w:name="_Toc92792851"/>
      <w:bookmarkStart w:id="1326" w:name="_Toc54083335"/>
      <w:bookmarkStart w:id="1327" w:name="_Toc67430707"/>
      <w:bookmarkStart w:id="1328" w:name="_Toc82338177"/>
      <w:bookmarkStart w:id="1329" w:name="_Toc89768113"/>
      <w:bookmarkStart w:id="1330" w:name="_Toc121232657"/>
      <w:bookmarkStart w:id="1331" w:name="_Toc124314780"/>
      <w:bookmarkStart w:id="1332" w:name="_Toc124956316"/>
      <w:bookmarkStart w:id="1333" w:name="_Toc125384664"/>
      <w:bookmarkStart w:id="1334" w:name="_Toc125385053"/>
      <w:bookmarkStart w:id="1335" w:name="_Toc127957720"/>
      <w:r w:rsidRPr="00BE4F1E">
        <w:t>Etape 3 : Examen et évaluation des rapports</w:t>
      </w:r>
      <w:bookmarkEnd w:id="1325"/>
      <w:bookmarkEnd w:id="1326"/>
      <w:bookmarkEnd w:id="1327"/>
      <w:bookmarkEnd w:id="1328"/>
      <w:bookmarkEnd w:id="1329"/>
      <w:bookmarkEnd w:id="1330"/>
      <w:bookmarkEnd w:id="1331"/>
      <w:bookmarkEnd w:id="1332"/>
      <w:bookmarkEnd w:id="1333"/>
      <w:bookmarkEnd w:id="1334"/>
      <w:bookmarkEnd w:id="1335"/>
    </w:p>
    <w:p w14:paraId="7BADD7E1" w14:textId="77777777" w:rsidR="00BD3DB8" w:rsidRPr="00742D67" w:rsidRDefault="00BE4F1E" w:rsidP="00BE4F1E">
      <w:pPr>
        <w:jc w:val="both"/>
        <w:rPr>
          <w:rFonts w:ascii="Arial" w:hAnsi="Arial" w:cs="Arial"/>
        </w:rPr>
      </w:pPr>
      <w:bookmarkStart w:id="1336" w:name="_Toc54083336"/>
      <w:r w:rsidRPr="0A1598FD">
        <w:rPr>
          <w:rFonts w:ascii="Arial" w:hAnsi="Arial" w:cs="Arial"/>
        </w:rPr>
        <w:t>L</w:t>
      </w:r>
      <w:bookmarkStart w:id="1337" w:name="_Toc89768114"/>
      <w:r w:rsidRPr="0A1598FD">
        <w:rPr>
          <w:rFonts w:ascii="Arial" w:hAnsi="Arial" w:cs="Arial"/>
        </w:rPr>
        <w:t>’examen</w:t>
      </w:r>
      <w:bookmarkEnd w:id="1337"/>
      <w:r w:rsidRPr="0A1598FD">
        <w:rPr>
          <w:rFonts w:ascii="Arial" w:hAnsi="Arial" w:cs="Arial"/>
        </w:rPr>
        <w:t xml:space="preserve"> du Rapport d’études environnementales et sociales sera d’abord soumis par le consultant </w:t>
      </w:r>
      <w:r w:rsidR="00B044D1" w:rsidRPr="0A1598FD">
        <w:rPr>
          <w:rFonts w:ascii="Arial" w:hAnsi="Arial" w:cs="Arial"/>
        </w:rPr>
        <w:t xml:space="preserve">à l’UCP du </w:t>
      </w:r>
      <w:r w:rsidR="0071568A" w:rsidRPr="0A1598FD">
        <w:rPr>
          <w:rFonts w:ascii="Arial" w:hAnsi="Arial" w:cs="Arial"/>
        </w:rPr>
        <w:t>Projet et aux IF</w:t>
      </w:r>
      <w:r w:rsidR="00BD3DB8" w:rsidRPr="0A1598FD">
        <w:rPr>
          <w:rFonts w:ascii="Arial" w:hAnsi="Arial" w:cs="Arial"/>
        </w:rPr>
        <w:t xml:space="preserve"> pour le cas des sous</w:t>
      </w:r>
      <w:r w:rsidR="007A42B9" w:rsidRPr="0A1598FD">
        <w:rPr>
          <w:rFonts w:ascii="Arial" w:hAnsi="Arial" w:cs="Arial"/>
        </w:rPr>
        <w:t>-</w:t>
      </w:r>
      <w:r w:rsidR="00BD3DB8" w:rsidRPr="0A1598FD">
        <w:rPr>
          <w:rFonts w:ascii="Arial" w:hAnsi="Arial" w:cs="Arial"/>
        </w:rPr>
        <w:t>projet</w:t>
      </w:r>
      <w:r w:rsidR="00380091" w:rsidRPr="0A1598FD">
        <w:rPr>
          <w:rFonts w:ascii="Arial" w:hAnsi="Arial" w:cs="Arial"/>
        </w:rPr>
        <w:t>s</w:t>
      </w:r>
      <w:r w:rsidR="00BD3DB8" w:rsidRPr="0A1598FD">
        <w:rPr>
          <w:rFonts w:ascii="Arial" w:hAnsi="Arial" w:cs="Arial"/>
        </w:rPr>
        <w:t xml:space="preserve"> d’IF</w:t>
      </w:r>
      <w:r w:rsidRPr="0A1598FD">
        <w:rPr>
          <w:rFonts w:ascii="Arial" w:hAnsi="Arial" w:cs="Arial"/>
        </w:rPr>
        <w:t xml:space="preserve">. Par la suite, et après revue, </w:t>
      </w:r>
      <w:r w:rsidR="00B044D1" w:rsidRPr="0A1598FD">
        <w:rPr>
          <w:rFonts w:ascii="Arial" w:hAnsi="Arial" w:cs="Arial"/>
        </w:rPr>
        <w:t xml:space="preserve">ces </w:t>
      </w:r>
      <w:r w:rsidR="00621B82" w:rsidRPr="0A1598FD">
        <w:rPr>
          <w:rFonts w:ascii="Arial" w:hAnsi="Arial" w:cs="Arial"/>
        </w:rPr>
        <w:t>deux (02) entités</w:t>
      </w:r>
      <w:r w:rsidR="00B044D1" w:rsidRPr="0A1598FD">
        <w:rPr>
          <w:rFonts w:ascii="Arial" w:hAnsi="Arial" w:cs="Arial"/>
        </w:rPr>
        <w:t xml:space="preserve"> le soumettront à son tour à l’ONE </w:t>
      </w:r>
      <w:r w:rsidR="00BD3DB8" w:rsidRPr="0A1598FD">
        <w:rPr>
          <w:rFonts w:ascii="Arial" w:hAnsi="Arial" w:cs="Arial"/>
        </w:rPr>
        <w:t xml:space="preserve">ou Ministères de tutelle selon le cas (EIES ou PREE) </w:t>
      </w:r>
      <w:r w:rsidR="007A42B9" w:rsidRPr="0A1598FD">
        <w:rPr>
          <w:rFonts w:ascii="Arial" w:hAnsi="Arial" w:cs="Arial"/>
        </w:rPr>
        <w:t xml:space="preserve">pour évaluation, et à la Banque mondiale </w:t>
      </w:r>
      <w:r w:rsidR="00BD3DB8" w:rsidRPr="0A1598FD">
        <w:rPr>
          <w:rFonts w:ascii="Arial" w:hAnsi="Arial" w:cs="Arial"/>
        </w:rPr>
        <w:t>pour validation.</w:t>
      </w:r>
    </w:p>
    <w:p w14:paraId="573FD6B0" w14:textId="77777777" w:rsidR="00BE4F1E" w:rsidRPr="00BE4F1E" w:rsidRDefault="00BE4F1E" w:rsidP="00BE4F1E">
      <w:pPr>
        <w:jc w:val="both"/>
        <w:rPr>
          <w:rFonts w:ascii="Arial" w:hAnsi="Arial" w:cs="Arial"/>
          <w:szCs w:val="24"/>
        </w:rPr>
      </w:pPr>
      <w:r w:rsidRPr="00BE4F1E">
        <w:rPr>
          <w:rFonts w:ascii="Arial" w:hAnsi="Arial" w:cs="Arial"/>
          <w:szCs w:val="24"/>
        </w:rPr>
        <w:t>Une copie dudit Rapport sera envoyée au</w:t>
      </w:r>
      <w:r w:rsidR="00904F4F">
        <w:rPr>
          <w:rFonts w:ascii="Arial" w:hAnsi="Arial" w:cs="Arial"/>
          <w:szCs w:val="24"/>
        </w:rPr>
        <w:t>x</w:t>
      </w:r>
      <w:r w:rsidRPr="00BE4F1E">
        <w:rPr>
          <w:rFonts w:ascii="Arial" w:hAnsi="Arial" w:cs="Arial"/>
          <w:szCs w:val="24"/>
        </w:rPr>
        <w:t xml:space="preserve"> Ministère</w:t>
      </w:r>
      <w:r w:rsidR="00904F4F">
        <w:rPr>
          <w:rFonts w:ascii="Arial" w:hAnsi="Arial" w:cs="Arial"/>
          <w:szCs w:val="24"/>
        </w:rPr>
        <w:t>s</w:t>
      </w:r>
      <w:r w:rsidRPr="00BE4F1E">
        <w:rPr>
          <w:rFonts w:ascii="Arial" w:hAnsi="Arial" w:cs="Arial"/>
          <w:szCs w:val="24"/>
        </w:rPr>
        <w:t xml:space="preserve"> de tutelle </w:t>
      </w:r>
      <w:r w:rsidR="00BD3DB8" w:rsidRPr="00742D67">
        <w:rPr>
          <w:rFonts w:ascii="Arial" w:hAnsi="Arial" w:cs="Arial"/>
          <w:szCs w:val="24"/>
        </w:rPr>
        <w:t>(cas EIE)</w:t>
      </w:r>
      <w:r w:rsidR="00BD3DB8">
        <w:rPr>
          <w:rFonts w:ascii="Arial" w:hAnsi="Arial" w:cs="Arial"/>
          <w:szCs w:val="24"/>
        </w:rPr>
        <w:t xml:space="preserve"> </w:t>
      </w:r>
      <w:r w:rsidRPr="00BE4F1E">
        <w:rPr>
          <w:rFonts w:ascii="Arial" w:hAnsi="Arial" w:cs="Arial"/>
          <w:szCs w:val="24"/>
        </w:rPr>
        <w:t>afin que ce</w:t>
      </w:r>
      <w:r w:rsidR="00904F4F">
        <w:rPr>
          <w:rFonts w:ascii="Arial" w:hAnsi="Arial" w:cs="Arial"/>
          <w:szCs w:val="24"/>
        </w:rPr>
        <w:t>s</w:t>
      </w:r>
      <w:r w:rsidRPr="00BE4F1E">
        <w:rPr>
          <w:rFonts w:ascii="Arial" w:hAnsi="Arial" w:cs="Arial"/>
          <w:szCs w:val="24"/>
        </w:rPr>
        <w:t xml:space="preserve"> dernier</w:t>
      </w:r>
      <w:r w:rsidR="00904F4F">
        <w:rPr>
          <w:rFonts w:ascii="Arial" w:hAnsi="Arial" w:cs="Arial"/>
          <w:szCs w:val="24"/>
        </w:rPr>
        <w:t>s</w:t>
      </w:r>
      <w:r w:rsidRPr="00BE4F1E">
        <w:rPr>
          <w:rFonts w:ascii="Arial" w:hAnsi="Arial" w:cs="Arial"/>
          <w:szCs w:val="24"/>
        </w:rPr>
        <w:t xml:space="preserve"> soi</w:t>
      </w:r>
      <w:r w:rsidR="00904F4F">
        <w:rPr>
          <w:rFonts w:ascii="Arial" w:hAnsi="Arial" w:cs="Arial"/>
          <w:szCs w:val="24"/>
        </w:rPr>
        <w:t>en</w:t>
      </w:r>
      <w:r w:rsidRPr="00BE4F1E">
        <w:rPr>
          <w:rFonts w:ascii="Arial" w:hAnsi="Arial" w:cs="Arial"/>
          <w:szCs w:val="24"/>
        </w:rPr>
        <w:t>t au courant et puisse</w:t>
      </w:r>
      <w:r w:rsidR="00904F4F">
        <w:rPr>
          <w:rFonts w:ascii="Arial" w:hAnsi="Arial" w:cs="Arial"/>
          <w:szCs w:val="24"/>
        </w:rPr>
        <w:t>nt</w:t>
      </w:r>
      <w:r w:rsidRPr="00BE4F1E">
        <w:rPr>
          <w:rFonts w:ascii="Arial" w:hAnsi="Arial" w:cs="Arial"/>
          <w:szCs w:val="24"/>
        </w:rPr>
        <w:t xml:space="preserve"> procéder au suivi environnemental et social participatif. En effet, de cette manière, le</w:t>
      </w:r>
      <w:r w:rsidR="00904F4F">
        <w:rPr>
          <w:rFonts w:ascii="Arial" w:hAnsi="Arial" w:cs="Arial"/>
          <w:szCs w:val="24"/>
        </w:rPr>
        <w:t>s</w:t>
      </w:r>
      <w:r w:rsidRPr="00BE4F1E">
        <w:rPr>
          <w:rFonts w:ascii="Arial" w:hAnsi="Arial" w:cs="Arial"/>
          <w:szCs w:val="24"/>
        </w:rPr>
        <w:t xml:space="preserve"> Ministère</w:t>
      </w:r>
      <w:r w:rsidR="00904F4F">
        <w:rPr>
          <w:rFonts w:ascii="Arial" w:hAnsi="Arial" w:cs="Arial"/>
          <w:szCs w:val="24"/>
        </w:rPr>
        <w:t>s concernés</w:t>
      </w:r>
      <w:r w:rsidRPr="00BE4F1E">
        <w:rPr>
          <w:rFonts w:ascii="Arial" w:hAnsi="Arial" w:cs="Arial"/>
          <w:szCs w:val="24"/>
        </w:rPr>
        <w:t xml:space="preserve"> pourra</w:t>
      </w:r>
      <w:r w:rsidR="00904F4F">
        <w:rPr>
          <w:rFonts w:ascii="Arial" w:hAnsi="Arial" w:cs="Arial"/>
          <w:szCs w:val="24"/>
        </w:rPr>
        <w:t>ient</w:t>
      </w:r>
      <w:r w:rsidRPr="00BE4F1E">
        <w:rPr>
          <w:rFonts w:ascii="Arial" w:hAnsi="Arial" w:cs="Arial"/>
          <w:szCs w:val="24"/>
        </w:rPr>
        <w:t xml:space="preserve"> aussi émettre des </w:t>
      </w:r>
      <w:r w:rsidR="00B044D1">
        <w:rPr>
          <w:rFonts w:ascii="Arial" w:hAnsi="Arial" w:cs="Arial"/>
          <w:szCs w:val="24"/>
        </w:rPr>
        <w:t>avis/</w:t>
      </w:r>
      <w:r w:rsidRPr="00BE4F1E">
        <w:rPr>
          <w:rFonts w:ascii="Arial" w:hAnsi="Arial" w:cs="Arial"/>
          <w:szCs w:val="24"/>
        </w:rPr>
        <w:t xml:space="preserve">commentaires quant à la qualité du document et, durant la mise en œuvre, ses agents pourront également exercer leur mission </w:t>
      </w:r>
      <w:r w:rsidR="00B044D1">
        <w:rPr>
          <w:rFonts w:ascii="Arial" w:hAnsi="Arial" w:cs="Arial"/>
          <w:szCs w:val="24"/>
        </w:rPr>
        <w:t>de</w:t>
      </w:r>
      <w:r w:rsidRPr="00BE4F1E">
        <w:rPr>
          <w:rFonts w:ascii="Arial" w:hAnsi="Arial" w:cs="Arial"/>
          <w:szCs w:val="24"/>
        </w:rPr>
        <w:t xml:space="preserve"> suivi.</w:t>
      </w:r>
      <w:bookmarkEnd w:id="1336"/>
    </w:p>
    <w:p w14:paraId="471BF2D5" w14:textId="77777777" w:rsidR="00BE4F1E" w:rsidRPr="00BE4F1E" w:rsidRDefault="00BE4F1E" w:rsidP="0044500E">
      <w:pPr>
        <w:pStyle w:val="TIT3"/>
        <w:numPr>
          <w:ilvl w:val="2"/>
          <w:numId w:val="177"/>
        </w:numPr>
      </w:pPr>
      <w:bookmarkStart w:id="1338" w:name="_Toc54083338"/>
      <w:bookmarkStart w:id="1339" w:name="_Toc67430708"/>
      <w:bookmarkStart w:id="1340" w:name="_Toc82338178"/>
      <w:bookmarkStart w:id="1341" w:name="_Toc89768116"/>
      <w:bookmarkStart w:id="1342" w:name="_Toc92792852"/>
      <w:bookmarkStart w:id="1343" w:name="_Toc121232658"/>
      <w:bookmarkStart w:id="1344" w:name="_Toc124314781"/>
      <w:bookmarkStart w:id="1345" w:name="_Toc124956317"/>
      <w:bookmarkStart w:id="1346" w:name="_Toc125384665"/>
      <w:bookmarkStart w:id="1347" w:name="_Toc125385054"/>
      <w:bookmarkStart w:id="1348" w:name="_Toc127957721"/>
      <w:r w:rsidRPr="00BE4F1E">
        <w:t xml:space="preserve">Etape 4 : Consultation et diffusion des </w:t>
      </w:r>
      <w:bookmarkEnd w:id="1338"/>
      <w:bookmarkEnd w:id="1339"/>
      <w:bookmarkEnd w:id="1340"/>
      <w:bookmarkEnd w:id="1341"/>
      <w:bookmarkEnd w:id="1342"/>
      <w:r w:rsidRPr="00BE4F1E">
        <w:t xml:space="preserve">instruments de gestion </w:t>
      </w:r>
      <w:r w:rsidR="00904F4F">
        <w:t>E</w:t>
      </w:r>
      <w:r w:rsidRPr="00BE4F1E">
        <w:t>&amp;</w:t>
      </w:r>
      <w:r w:rsidR="00904F4F">
        <w:t>S</w:t>
      </w:r>
      <w:r w:rsidRPr="00BE4F1E">
        <w:t xml:space="preserve"> du sous-projet</w:t>
      </w:r>
      <w:bookmarkEnd w:id="1343"/>
      <w:bookmarkEnd w:id="1344"/>
      <w:bookmarkEnd w:id="1345"/>
      <w:bookmarkEnd w:id="1346"/>
      <w:bookmarkEnd w:id="1347"/>
      <w:bookmarkEnd w:id="1348"/>
    </w:p>
    <w:p w14:paraId="163FA781" w14:textId="77777777" w:rsidR="00BE4F1E" w:rsidRPr="00BE4F1E" w:rsidRDefault="00BE4F1E" w:rsidP="00BE4F1E">
      <w:pPr>
        <w:jc w:val="both"/>
        <w:rPr>
          <w:rFonts w:ascii="Arial" w:hAnsi="Arial" w:cs="Arial"/>
          <w:szCs w:val="24"/>
        </w:rPr>
      </w:pPr>
      <w:r w:rsidRPr="00BE4F1E">
        <w:rPr>
          <w:rFonts w:ascii="Arial" w:hAnsi="Arial" w:cs="Arial"/>
          <w:szCs w:val="24"/>
        </w:rPr>
        <w:t xml:space="preserve">La législation nationale et le CES prévoient que les documents doivent être mis à la disposition du public. Pour ce faire, une fois approuvés par la Banque mondiale, les documents seront publiés sur le site Web du </w:t>
      </w:r>
      <w:r w:rsidRPr="00742D67">
        <w:rPr>
          <w:rFonts w:ascii="Arial" w:hAnsi="Arial" w:cs="Arial"/>
          <w:szCs w:val="24"/>
        </w:rPr>
        <w:t>Projet</w:t>
      </w:r>
      <w:r w:rsidR="00BD3DB8" w:rsidRPr="00742D67">
        <w:rPr>
          <w:rFonts w:ascii="Arial" w:hAnsi="Arial" w:cs="Arial"/>
          <w:szCs w:val="24"/>
        </w:rPr>
        <w:t xml:space="preserve"> ou de l’IF</w:t>
      </w:r>
      <w:r w:rsidRPr="00742D67">
        <w:rPr>
          <w:rFonts w:ascii="Arial" w:hAnsi="Arial" w:cs="Arial"/>
          <w:szCs w:val="24"/>
        </w:rPr>
        <w:t>.</w:t>
      </w:r>
      <w:r w:rsidRPr="00BE4F1E">
        <w:rPr>
          <w:rFonts w:ascii="Arial" w:hAnsi="Arial" w:cs="Arial"/>
          <w:szCs w:val="24"/>
        </w:rPr>
        <w:t xml:space="preserve"> Avec l’autorisation du Gouvernement, la Banque mondiale les publiera également sur son site Web externe.</w:t>
      </w:r>
    </w:p>
    <w:p w14:paraId="2309B657" w14:textId="77777777" w:rsidR="00BE4F1E" w:rsidRPr="00BE4F1E" w:rsidRDefault="00BE4F1E" w:rsidP="00BE4F1E">
      <w:pPr>
        <w:jc w:val="both"/>
        <w:rPr>
          <w:rFonts w:ascii="Arial" w:hAnsi="Arial" w:cs="Arial"/>
          <w:szCs w:val="24"/>
        </w:rPr>
      </w:pPr>
      <w:r w:rsidRPr="00BE4F1E">
        <w:rPr>
          <w:rFonts w:ascii="Arial" w:hAnsi="Arial" w:cs="Arial"/>
          <w:szCs w:val="24"/>
        </w:rPr>
        <w:t xml:space="preserve">En respect des dispositions nationales et des exigences des NES de la Banque mondiale, des copies avec des résumés non techniques seront aussi déposées au niveau des Directions </w:t>
      </w:r>
      <w:r w:rsidR="00904F4F">
        <w:rPr>
          <w:rFonts w:ascii="Arial" w:hAnsi="Arial" w:cs="Arial"/>
          <w:szCs w:val="24"/>
        </w:rPr>
        <w:t>Générales et des Direction inter</w:t>
      </w:r>
      <w:r w:rsidRPr="00BE4F1E">
        <w:rPr>
          <w:rFonts w:ascii="Arial" w:hAnsi="Arial" w:cs="Arial"/>
          <w:szCs w:val="24"/>
        </w:rPr>
        <w:t>régionales de</w:t>
      </w:r>
      <w:r w:rsidR="00904F4F">
        <w:rPr>
          <w:rFonts w:ascii="Arial" w:hAnsi="Arial" w:cs="Arial"/>
          <w:szCs w:val="24"/>
        </w:rPr>
        <w:t>s deux Ministères de tutelle (MEH et MNDPT)</w:t>
      </w:r>
      <w:r w:rsidRPr="00BE4F1E">
        <w:rPr>
          <w:rFonts w:ascii="Arial" w:hAnsi="Arial" w:cs="Arial"/>
          <w:szCs w:val="24"/>
        </w:rPr>
        <w:t>, et des Communes concernées par le projet.</w:t>
      </w:r>
    </w:p>
    <w:p w14:paraId="46A4DD1B" w14:textId="77777777" w:rsidR="00BE4F1E" w:rsidRPr="00BE4F1E" w:rsidRDefault="00BE4F1E" w:rsidP="0044500E">
      <w:pPr>
        <w:pStyle w:val="TIT3"/>
        <w:numPr>
          <w:ilvl w:val="2"/>
          <w:numId w:val="177"/>
        </w:numPr>
      </w:pPr>
      <w:bookmarkStart w:id="1349" w:name="_Toc54083339"/>
      <w:bookmarkStart w:id="1350" w:name="_Toc67430709"/>
      <w:bookmarkStart w:id="1351" w:name="_Toc82338179"/>
      <w:bookmarkStart w:id="1352" w:name="_Toc89768117"/>
      <w:bookmarkStart w:id="1353" w:name="_Toc92792853"/>
      <w:bookmarkStart w:id="1354" w:name="_Toc121232659"/>
      <w:bookmarkStart w:id="1355" w:name="_Toc124314782"/>
      <w:bookmarkStart w:id="1356" w:name="_Toc124956318"/>
      <w:bookmarkStart w:id="1357" w:name="_Toc125384666"/>
      <w:bookmarkStart w:id="1358" w:name="_Toc125385055"/>
      <w:bookmarkStart w:id="1359" w:name="_Toc127957722"/>
      <w:r w:rsidRPr="00BE4F1E">
        <w:t>Etape 5 : Intégration des clauses environnementales et sociales dans les dossiers d’appel d’offres et d’exécution des travaux</w:t>
      </w:r>
      <w:bookmarkEnd w:id="1349"/>
      <w:bookmarkEnd w:id="1350"/>
      <w:bookmarkEnd w:id="1351"/>
      <w:bookmarkEnd w:id="1352"/>
      <w:bookmarkEnd w:id="1353"/>
      <w:bookmarkEnd w:id="1354"/>
      <w:bookmarkEnd w:id="1355"/>
      <w:bookmarkEnd w:id="1356"/>
      <w:bookmarkEnd w:id="1357"/>
      <w:bookmarkEnd w:id="1358"/>
      <w:bookmarkEnd w:id="1359"/>
    </w:p>
    <w:p w14:paraId="3DC322CF" w14:textId="77777777" w:rsidR="00BE4F1E" w:rsidRPr="00BE4F1E" w:rsidRDefault="00BE4F1E" w:rsidP="00BE4F1E">
      <w:pPr>
        <w:jc w:val="both"/>
        <w:rPr>
          <w:rFonts w:ascii="Arial" w:hAnsi="Arial" w:cs="Arial"/>
          <w:szCs w:val="24"/>
        </w:rPr>
      </w:pPr>
      <w:r w:rsidRPr="00BE4F1E">
        <w:rPr>
          <w:rFonts w:ascii="Arial" w:hAnsi="Arial" w:cs="Arial"/>
          <w:szCs w:val="24"/>
        </w:rPr>
        <w:t xml:space="preserve">Quel que soit le niveau de risques E&amp;S du sous-projet envisagé (risques faibles, risques modérés ou risques substantiels, risques élevés), les clauses/mesures environnementales et sociales définies dans le Plan de gestion environnementale et sociale devront être intégrées dans le dossier d’appel d’offres </w:t>
      </w:r>
      <w:r w:rsidR="00B044D1" w:rsidRPr="00BE4F1E">
        <w:rPr>
          <w:rFonts w:ascii="Arial" w:hAnsi="Arial" w:cs="Arial"/>
          <w:szCs w:val="24"/>
        </w:rPr>
        <w:t xml:space="preserve">(DAO) </w:t>
      </w:r>
      <w:r w:rsidRPr="00BE4F1E">
        <w:rPr>
          <w:rFonts w:ascii="Arial" w:hAnsi="Arial" w:cs="Arial"/>
          <w:szCs w:val="24"/>
        </w:rPr>
        <w:t>des travaux qui y correspond</w:t>
      </w:r>
      <w:r w:rsidR="00904F4F">
        <w:rPr>
          <w:rFonts w:ascii="Arial" w:hAnsi="Arial" w:cs="Arial"/>
          <w:szCs w:val="24"/>
        </w:rPr>
        <w:t>ent</w:t>
      </w:r>
      <w:r w:rsidRPr="00BE4F1E">
        <w:rPr>
          <w:rFonts w:ascii="Arial" w:hAnsi="Arial" w:cs="Arial"/>
          <w:szCs w:val="24"/>
        </w:rPr>
        <w:t>. Par voie de conséquence, elles feront partie du contrat de l’Entreprise de travaux.</w:t>
      </w:r>
    </w:p>
    <w:p w14:paraId="021B3C6A" w14:textId="77777777" w:rsidR="00BE4F1E" w:rsidRPr="00BE4F1E" w:rsidRDefault="00BE4F1E" w:rsidP="00BE4F1E">
      <w:pPr>
        <w:jc w:val="both"/>
        <w:rPr>
          <w:rFonts w:ascii="Arial" w:hAnsi="Arial" w:cs="Arial"/>
          <w:szCs w:val="24"/>
        </w:rPr>
      </w:pPr>
      <w:r w:rsidRPr="00BE4F1E">
        <w:rPr>
          <w:rFonts w:ascii="Arial" w:hAnsi="Arial" w:cs="Arial"/>
          <w:szCs w:val="24"/>
        </w:rPr>
        <w:t>Les Spécialistes en gestion des risques environnementaux, des risques sociaux et de VBG de l’U</w:t>
      </w:r>
      <w:r w:rsidR="00904F4F">
        <w:rPr>
          <w:rFonts w:ascii="Arial" w:hAnsi="Arial" w:cs="Arial"/>
          <w:szCs w:val="24"/>
        </w:rPr>
        <w:t>C</w:t>
      </w:r>
      <w:r w:rsidRPr="00BE4F1E">
        <w:rPr>
          <w:rFonts w:ascii="Arial" w:hAnsi="Arial" w:cs="Arial"/>
          <w:szCs w:val="24"/>
        </w:rPr>
        <w:t xml:space="preserve">P </w:t>
      </w:r>
      <w:r w:rsidR="00BD3DB8">
        <w:rPr>
          <w:rFonts w:ascii="Arial" w:hAnsi="Arial" w:cs="Arial"/>
          <w:szCs w:val="24"/>
        </w:rPr>
        <w:t xml:space="preserve">et le responsable du système de gestion environnementale et sociale de l’IF </w:t>
      </w:r>
      <w:r w:rsidRPr="00BE4F1E">
        <w:rPr>
          <w:rFonts w:ascii="Arial" w:hAnsi="Arial" w:cs="Arial"/>
          <w:szCs w:val="24"/>
        </w:rPr>
        <w:t>veilleront à ce que toutes les prescriptions et recommandations environnementales et sociales soient effectivement intégrées dans les DAO.</w:t>
      </w:r>
    </w:p>
    <w:p w14:paraId="69E9607C" w14:textId="77777777" w:rsidR="00BE4F1E" w:rsidRPr="00BE4F1E" w:rsidRDefault="00BE4F1E" w:rsidP="0044500E">
      <w:pPr>
        <w:pStyle w:val="TIT3"/>
        <w:numPr>
          <w:ilvl w:val="2"/>
          <w:numId w:val="177"/>
        </w:numPr>
      </w:pPr>
      <w:bookmarkStart w:id="1360" w:name="_Toc54083340"/>
      <w:bookmarkStart w:id="1361" w:name="_Toc67430710"/>
      <w:bookmarkStart w:id="1362" w:name="_Toc82338180"/>
      <w:bookmarkStart w:id="1363" w:name="_Toc89768118"/>
      <w:bookmarkStart w:id="1364" w:name="_Toc92792854"/>
      <w:bookmarkStart w:id="1365" w:name="_Toc121232660"/>
      <w:bookmarkStart w:id="1366" w:name="_Toc124314783"/>
      <w:bookmarkStart w:id="1367" w:name="_Toc124956319"/>
      <w:bookmarkStart w:id="1368" w:name="_Toc125384667"/>
      <w:bookmarkStart w:id="1369" w:name="_Toc125385056"/>
      <w:bookmarkStart w:id="1370" w:name="_Toc127957723"/>
      <w:r w:rsidRPr="00BE4F1E">
        <w:t>Etape 6 : Surveillance et Suivi environnemental et social</w:t>
      </w:r>
      <w:bookmarkEnd w:id="1360"/>
      <w:bookmarkEnd w:id="1361"/>
      <w:bookmarkEnd w:id="1362"/>
      <w:bookmarkEnd w:id="1363"/>
      <w:bookmarkEnd w:id="1364"/>
      <w:bookmarkEnd w:id="1365"/>
      <w:bookmarkEnd w:id="1366"/>
      <w:bookmarkEnd w:id="1367"/>
      <w:bookmarkEnd w:id="1368"/>
      <w:bookmarkEnd w:id="1369"/>
      <w:bookmarkEnd w:id="1370"/>
    </w:p>
    <w:p w14:paraId="392754CF" w14:textId="77777777" w:rsidR="00BE4F1E" w:rsidRPr="00BE4F1E" w:rsidRDefault="00BE4F1E" w:rsidP="00BE4F1E">
      <w:pPr>
        <w:jc w:val="both"/>
        <w:rPr>
          <w:rFonts w:ascii="Arial" w:hAnsi="Arial" w:cs="Arial"/>
          <w:szCs w:val="24"/>
        </w:rPr>
      </w:pPr>
      <w:r w:rsidRPr="00BE4F1E">
        <w:rPr>
          <w:rFonts w:ascii="Arial" w:hAnsi="Arial" w:cs="Arial"/>
          <w:szCs w:val="24"/>
        </w:rPr>
        <w:t>La surveillance (se rapportant au contrôle de l’effectivité des mesures) et le suivi environnemental et social (changement dans les composantes affectées) sont menés en parallèle avec l’exécution des activités du sous-projet considéré :</w:t>
      </w:r>
    </w:p>
    <w:p w14:paraId="34ED58ED" w14:textId="77777777" w:rsidR="00B044D1" w:rsidRPr="00BE4F1E" w:rsidRDefault="00B044D1" w:rsidP="48B05EC0">
      <w:pPr>
        <w:pStyle w:val="Paragraphedeliste"/>
        <w:numPr>
          <w:ilvl w:val="0"/>
          <w:numId w:val="68"/>
        </w:numPr>
        <w:spacing w:before="100" w:beforeAutospacing="1" w:after="100" w:afterAutospacing="1" w:line="240" w:lineRule="auto"/>
        <w:jc w:val="both"/>
        <w:rPr>
          <w:rFonts w:ascii="Arial" w:hAnsi="Arial" w:cs="Arial"/>
        </w:rPr>
      </w:pPr>
      <w:r w:rsidRPr="0A1598FD">
        <w:rPr>
          <w:rFonts w:ascii="Arial" w:hAnsi="Arial" w:cs="Arial"/>
        </w:rPr>
        <w:t>La surveillance a pour principal objectif de s’assurer que les mesures préconisées sont effectivement mises en œuvre durant l’exécution du sous-projet</w:t>
      </w:r>
      <w:r w:rsidR="72F756F6" w:rsidRPr="0A1598FD">
        <w:rPr>
          <w:rFonts w:ascii="Arial" w:hAnsi="Arial" w:cs="Arial"/>
        </w:rPr>
        <w:t>.</w:t>
      </w:r>
      <w:r w:rsidRPr="0A1598FD">
        <w:rPr>
          <w:rFonts w:ascii="Arial" w:hAnsi="Arial" w:cs="Arial"/>
        </w:rPr>
        <w:t xml:space="preserve"> </w:t>
      </w:r>
      <w:r w:rsidR="00E501AD" w:rsidRPr="00AE406E">
        <w:rPr>
          <w:rFonts w:ascii="Arial" w:hAnsi="Arial" w:cs="Arial"/>
        </w:rPr>
        <w:t>Elle sera effectuée par l’entreprise, la mission de contrôle et les ministères de tutelles ainsi que l’UCP et la Banque</w:t>
      </w:r>
    </w:p>
    <w:p w14:paraId="107939C4" w14:textId="77777777" w:rsidR="00BE4F1E" w:rsidRPr="00BE4F1E" w:rsidRDefault="00B044D1" w:rsidP="00687DD2">
      <w:pPr>
        <w:pStyle w:val="Paragraphedeliste"/>
        <w:numPr>
          <w:ilvl w:val="0"/>
          <w:numId w:val="68"/>
        </w:numPr>
        <w:spacing w:before="100" w:beforeAutospacing="1" w:after="100" w:afterAutospacing="1" w:line="240" w:lineRule="auto"/>
        <w:jc w:val="both"/>
        <w:rPr>
          <w:rFonts w:ascii="Arial" w:hAnsi="Arial" w:cs="Arial"/>
          <w:szCs w:val="24"/>
        </w:rPr>
      </w:pPr>
      <w:r w:rsidRPr="48B05EC0">
        <w:rPr>
          <w:rFonts w:ascii="Arial" w:hAnsi="Arial" w:cs="Arial"/>
        </w:rPr>
        <w:t>Le suivi environnemental consiste à suivre les changements dans les composantes de l’environnement affecté et de préparer, le cas échéant, des mesures de correction appropriées</w:t>
      </w:r>
      <w:r w:rsidR="00621B82" w:rsidRPr="48B05EC0">
        <w:rPr>
          <w:rFonts w:ascii="Arial" w:hAnsi="Arial" w:cs="Arial"/>
        </w:rPr>
        <w:t xml:space="preserve">. </w:t>
      </w:r>
      <w:r w:rsidR="00E501AD" w:rsidRPr="00AE406E">
        <w:rPr>
          <w:rFonts w:ascii="Arial" w:hAnsi="Arial" w:cs="Arial"/>
        </w:rPr>
        <w:t xml:space="preserve">Il sera effectué par </w:t>
      </w:r>
      <w:r w:rsidR="357E3CFE" w:rsidRPr="48B05EC0">
        <w:rPr>
          <w:rFonts w:ascii="Arial" w:hAnsi="Arial" w:cs="Arial"/>
        </w:rPr>
        <w:t xml:space="preserve">l’enreprise, la mission de contrôle, </w:t>
      </w:r>
      <w:r w:rsidR="00E501AD" w:rsidRPr="00AE406E">
        <w:rPr>
          <w:rFonts w:ascii="Arial" w:hAnsi="Arial" w:cs="Arial"/>
        </w:rPr>
        <w:t xml:space="preserve">le </w:t>
      </w:r>
      <w:r w:rsidR="30D53D52" w:rsidRPr="48B05EC0">
        <w:rPr>
          <w:rFonts w:ascii="Arial" w:hAnsi="Arial" w:cs="Arial"/>
        </w:rPr>
        <w:t>M</w:t>
      </w:r>
      <w:r w:rsidR="00E501AD" w:rsidRPr="00AE406E">
        <w:rPr>
          <w:rFonts w:ascii="Arial" w:hAnsi="Arial" w:cs="Arial"/>
        </w:rPr>
        <w:t>inistère de tutelle et le comité technique de suivi environnemental coordonné par l’ONE</w:t>
      </w:r>
      <w:r w:rsidR="00E501AD" w:rsidRPr="48B05EC0">
        <w:rPr>
          <w:rFonts w:ascii="Arial" w:hAnsi="Arial" w:cs="Arial"/>
        </w:rPr>
        <w:t xml:space="preserve"> </w:t>
      </w:r>
      <w:r w:rsidR="00BE4F1E" w:rsidRPr="00BE4F1E">
        <w:rPr>
          <w:rFonts w:ascii="Arial" w:hAnsi="Arial" w:cs="Arial"/>
          <w:szCs w:val="24"/>
        </w:rPr>
        <w:t xml:space="preserve">Dans ce cadre, les PGES qui seront préparés pour les différents sous-projets préciseront, entre autres : </w:t>
      </w:r>
    </w:p>
    <w:p w14:paraId="15A9DA7D" w14:textId="77777777" w:rsidR="00BE4F1E" w:rsidRPr="00BE4F1E" w:rsidRDefault="00BE4F1E" w:rsidP="00B434A6">
      <w:pPr>
        <w:pStyle w:val="Paragraphedeliste"/>
        <w:numPr>
          <w:ilvl w:val="0"/>
          <w:numId w:val="70"/>
        </w:numPr>
        <w:spacing w:before="100" w:beforeAutospacing="1" w:after="100" w:afterAutospacing="1" w:line="240" w:lineRule="auto"/>
        <w:ind w:left="1080"/>
        <w:jc w:val="both"/>
        <w:rPr>
          <w:rFonts w:ascii="Arial" w:hAnsi="Arial" w:cs="Arial"/>
          <w:szCs w:val="24"/>
        </w:rPr>
      </w:pPr>
      <w:r w:rsidRPr="00BE4F1E">
        <w:rPr>
          <w:rFonts w:ascii="Arial" w:hAnsi="Arial" w:cs="Arial"/>
          <w:szCs w:val="24"/>
        </w:rPr>
        <w:t>La liste des éléments ou paramètres qui nécessitent une surveillance et un suivi environnemental ;</w:t>
      </w:r>
    </w:p>
    <w:p w14:paraId="302FAF6C" w14:textId="77777777" w:rsidR="00BE4F1E" w:rsidRPr="00BE4F1E" w:rsidRDefault="00BE4F1E" w:rsidP="00B434A6">
      <w:pPr>
        <w:pStyle w:val="Paragraphedeliste"/>
        <w:numPr>
          <w:ilvl w:val="0"/>
          <w:numId w:val="70"/>
        </w:numPr>
        <w:spacing w:before="100" w:beforeAutospacing="1" w:after="100" w:afterAutospacing="1" w:line="240" w:lineRule="auto"/>
        <w:ind w:left="1080"/>
        <w:jc w:val="both"/>
        <w:rPr>
          <w:rFonts w:ascii="Arial" w:hAnsi="Arial" w:cs="Arial"/>
          <w:szCs w:val="24"/>
        </w:rPr>
      </w:pPr>
      <w:r w:rsidRPr="00BE4F1E">
        <w:rPr>
          <w:rFonts w:ascii="Arial" w:hAnsi="Arial" w:cs="Arial"/>
          <w:szCs w:val="24"/>
        </w:rPr>
        <w:t>L’ensemble des moyens envisagés pour protéger l’environnement et le milieu humain ;</w:t>
      </w:r>
    </w:p>
    <w:p w14:paraId="30699D0C" w14:textId="77777777" w:rsidR="00BE4F1E" w:rsidRPr="00BE4F1E" w:rsidRDefault="00BE4F1E" w:rsidP="48B05EC0">
      <w:pPr>
        <w:pStyle w:val="Paragraphedeliste"/>
        <w:numPr>
          <w:ilvl w:val="0"/>
          <w:numId w:val="70"/>
        </w:numPr>
        <w:spacing w:before="100" w:beforeAutospacing="1" w:after="100" w:afterAutospacing="1" w:line="240" w:lineRule="auto"/>
        <w:ind w:left="1080"/>
        <w:jc w:val="both"/>
        <w:rPr>
          <w:rFonts w:ascii="Arial" w:hAnsi="Arial" w:cs="Arial"/>
        </w:rPr>
      </w:pPr>
      <w:r w:rsidRPr="48B05EC0">
        <w:rPr>
          <w:rFonts w:ascii="Arial" w:hAnsi="Arial" w:cs="Arial"/>
        </w:rPr>
        <w:t xml:space="preserve">Le mécanisme d’intervention en cas de non-respect du PGES considéré (non-conformité) ; </w:t>
      </w:r>
      <w:r w:rsidR="00B044D1" w:rsidRPr="48B05EC0">
        <w:rPr>
          <w:rFonts w:ascii="Arial" w:hAnsi="Arial" w:cs="Arial"/>
        </w:rPr>
        <w:t>des mesures de correction seront alors élaborées, mises en œuvre et suivies</w:t>
      </w:r>
      <w:r w:rsidR="00871E0F" w:rsidRPr="48B05EC0">
        <w:rPr>
          <w:rFonts w:ascii="Arial" w:hAnsi="Arial" w:cs="Arial"/>
        </w:rPr>
        <w:t xml:space="preserve"> qui est assuré d</w:t>
      </w:r>
      <w:r w:rsidR="3E1E073B" w:rsidRPr="48B05EC0">
        <w:rPr>
          <w:rFonts w:ascii="Arial" w:hAnsi="Arial" w:cs="Arial"/>
        </w:rPr>
        <w:t>es</w:t>
      </w:r>
      <w:r w:rsidR="00871E0F" w:rsidRPr="48B05EC0">
        <w:rPr>
          <w:rFonts w:ascii="Arial" w:hAnsi="Arial" w:cs="Arial"/>
        </w:rPr>
        <w:t xml:space="preserve"> responsable de la gestion des risques environnementaux et sociaux </w:t>
      </w:r>
      <w:r w:rsidR="43894F2F" w:rsidRPr="48B05EC0">
        <w:rPr>
          <w:rFonts w:ascii="Arial" w:hAnsi="Arial" w:cs="Arial"/>
        </w:rPr>
        <w:t>des acteurs du sous-</w:t>
      </w:r>
      <w:r w:rsidR="7CAD82F4" w:rsidRPr="48B05EC0">
        <w:rPr>
          <w:rFonts w:ascii="Arial" w:hAnsi="Arial" w:cs="Arial"/>
        </w:rPr>
        <w:t>p</w:t>
      </w:r>
      <w:r w:rsidR="00871E0F" w:rsidRPr="48B05EC0">
        <w:rPr>
          <w:rFonts w:ascii="Arial" w:hAnsi="Arial" w:cs="Arial"/>
        </w:rPr>
        <w:t>rojet</w:t>
      </w:r>
      <w:r w:rsidR="00B044D1" w:rsidRPr="48B05EC0">
        <w:rPr>
          <w:rFonts w:ascii="Arial" w:hAnsi="Arial" w:cs="Arial"/>
        </w:rPr>
        <w:t xml:space="preserve"> </w:t>
      </w:r>
      <w:r w:rsidR="6E40BDED" w:rsidRPr="48B05EC0">
        <w:rPr>
          <w:rFonts w:ascii="Arial" w:hAnsi="Arial" w:cs="Arial"/>
        </w:rPr>
        <w:t>(principalement de l’entreprise, de la mission de contrôle) et sous la coordination d</w:t>
      </w:r>
      <w:r w:rsidR="6E3284D3" w:rsidRPr="48B05EC0">
        <w:rPr>
          <w:rFonts w:ascii="Arial" w:hAnsi="Arial" w:cs="Arial"/>
        </w:rPr>
        <w:t>es</w:t>
      </w:r>
      <w:r w:rsidR="6E40BDED" w:rsidRPr="48B05EC0">
        <w:rPr>
          <w:rFonts w:ascii="Arial" w:hAnsi="Arial" w:cs="Arial"/>
        </w:rPr>
        <w:t xml:space="preserve"> spécialiste</w:t>
      </w:r>
      <w:r w:rsidR="498FE4B5" w:rsidRPr="48B05EC0">
        <w:rPr>
          <w:rFonts w:ascii="Arial" w:hAnsi="Arial" w:cs="Arial"/>
        </w:rPr>
        <w:t>s</w:t>
      </w:r>
      <w:r w:rsidR="6E40BDED" w:rsidRPr="48B05EC0">
        <w:rPr>
          <w:rFonts w:ascii="Arial" w:hAnsi="Arial" w:cs="Arial"/>
        </w:rPr>
        <w:t xml:space="preserve"> en </w:t>
      </w:r>
      <w:r w:rsidR="12177B65" w:rsidRPr="48B05EC0">
        <w:rPr>
          <w:rFonts w:ascii="Arial" w:hAnsi="Arial" w:cs="Arial"/>
        </w:rPr>
        <w:t>E&amp;S</w:t>
      </w:r>
      <w:r w:rsidR="6E40BDED" w:rsidRPr="48B05EC0">
        <w:rPr>
          <w:rFonts w:ascii="Arial" w:hAnsi="Arial" w:cs="Arial"/>
        </w:rPr>
        <w:t xml:space="preserve"> du Projet</w:t>
      </w:r>
      <w:r w:rsidR="00B044D1" w:rsidRPr="48B05EC0">
        <w:rPr>
          <w:rFonts w:ascii="Arial" w:hAnsi="Arial" w:cs="Arial"/>
        </w:rPr>
        <w:t>;</w:t>
      </w:r>
    </w:p>
    <w:p w14:paraId="5EBAB4E4" w14:textId="77777777" w:rsidR="00BE4F1E" w:rsidRPr="00BE4F1E" w:rsidRDefault="00BE4F1E" w:rsidP="00B434A6">
      <w:pPr>
        <w:pStyle w:val="Paragraphedeliste"/>
        <w:numPr>
          <w:ilvl w:val="0"/>
          <w:numId w:val="70"/>
        </w:numPr>
        <w:spacing w:before="100" w:beforeAutospacing="1" w:after="100" w:afterAutospacing="1" w:line="240" w:lineRule="auto"/>
        <w:ind w:left="1080"/>
        <w:jc w:val="both"/>
        <w:rPr>
          <w:rFonts w:ascii="Arial" w:hAnsi="Arial" w:cs="Arial"/>
          <w:szCs w:val="24"/>
        </w:rPr>
      </w:pPr>
      <w:r w:rsidRPr="00BE4F1E">
        <w:rPr>
          <w:rFonts w:ascii="Arial" w:hAnsi="Arial" w:cs="Arial"/>
          <w:szCs w:val="24"/>
        </w:rPr>
        <w:t>Les engagements du Maître d’œuvre et du Maître d’ouvrage délégué quant à l’intégration des mesures environnementales et sociales dans leur plan d’action.</w:t>
      </w:r>
    </w:p>
    <w:p w14:paraId="3BBA7F5F" w14:textId="77777777" w:rsidR="00BE4F1E" w:rsidRPr="00BE4F1E" w:rsidRDefault="00BE4F1E" w:rsidP="00BE4F1E">
      <w:pPr>
        <w:rPr>
          <w:rFonts w:ascii="Arial" w:hAnsi="Arial" w:cs="Arial"/>
          <w:szCs w:val="24"/>
        </w:rPr>
      </w:pPr>
      <w:r w:rsidRPr="00BE4F1E">
        <w:rPr>
          <w:rFonts w:ascii="Arial" w:hAnsi="Arial" w:cs="Arial"/>
          <w:szCs w:val="24"/>
        </w:rPr>
        <w:t>Le programme de surveillance et de suivi environnemental devra couvrir toutes les étapes du sous-projet considéré.</w:t>
      </w:r>
    </w:p>
    <w:p w14:paraId="7CB5329B" w14:textId="77777777" w:rsidR="00BE4F1E" w:rsidRPr="00BE4F1E" w:rsidRDefault="00BE4F1E" w:rsidP="48B05EC0">
      <w:pPr>
        <w:jc w:val="both"/>
        <w:rPr>
          <w:rFonts w:ascii="Arial" w:hAnsi="Arial" w:cs="Arial"/>
        </w:rPr>
      </w:pPr>
      <w:r w:rsidRPr="48B05EC0">
        <w:rPr>
          <w:rFonts w:ascii="Arial" w:hAnsi="Arial" w:cs="Arial"/>
        </w:rPr>
        <w:t xml:space="preserve">Un système de reporting sera également mis en place. Ceci inclura notamment des rapports de surveillance et de suivi environnemental. </w:t>
      </w:r>
      <w:r w:rsidR="00B044D1" w:rsidRPr="48B05EC0">
        <w:rPr>
          <w:rFonts w:ascii="Arial" w:hAnsi="Arial" w:cs="Arial"/>
        </w:rPr>
        <w:t>Un cahier de surveillance environnementale sera mis en place</w:t>
      </w:r>
      <w:r w:rsidR="00871E0F" w:rsidRPr="48B05EC0">
        <w:rPr>
          <w:rFonts w:ascii="Arial" w:hAnsi="Arial" w:cs="Arial"/>
        </w:rPr>
        <w:t xml:space="preserve"> et à remplir par la MdC</w:t>
      </w:r>
      <w:r w:rsidR="00B044D1" w:rsidRPr="48B05EC0">
        <w:rPr>
          <w:rFonts w:ascii="Arial" w:hAnsi="Arial" w:cs="Arial"/>
        </w:rPr>
        <w:t>. Ce registre mentionnera toutes les activités environnementales et sociales entreprises durant le cycle du sous-projet considéré.</w:t>
      </w:r>
      <w:r w:rsidR="00871E0F" w:rsidRPr="48B05EC0">
        <w:rPr>
          <w:rFonts w:ascii="Arial" w:hAnsi="Arial" w:cs="Arial"/>
        </w:rPr>
        <w:t xml:space="preserve"> </w:t>
      </w:r>
    </w:p>
    <w:p w14:paraId="4E634F02" w14:textId="77777777" w:rsidR="00BE4F1E" w:rsidRPr="00BE4F1E" w:rsidRDefault="00BE4F1E" w:rsidP="0044500E">
      <w:pPr>
        <w:pStyle w:val="TIT2"/>
        <w:numPr>
          <w:ilvl w:val="1"/>
          <w:numId w:val="177"/>
        </w:numPr>
      </w:pPr>
      <w:bookmarkStart w:id="1371" w:name="_Toc82338181"/>
      <w:bookmarkStart w:id="1372" w:name="_Toc89768119"/>
      <w:bookmarkStart w:id="1373" w:name="_Toc92792855"/>
      <w:bookmarkStart w:id="1374" w:name="_Toc121232661"/>
      <w:bookmarkStart w:id="1375" w:name="_Toc124314784"/>
      <w:bookmarkStart w:id="1376" w:name="_Toc124956320"/>
      <w:bookmarkStart w:id="1377" w:name="_Toc125384668"/>
      <w:bookmarkStart w:id="1378" w:name="_Toc125385057"/>
      <w:bookmarkStart w:id="1379" w:name="_Toc127957724"/>
      <w:r w:rsidRPr="00BE4F1E">
        <w:t>RESPONSABILITES DES ACTEURS DANS LE PROCESSUS</w:t>
      </w:r>
      <w:bookmarkEnd w:id="1371"/>
      <w:bookmarkEnd w:id="1372"/>
      <w:bookmarkEnd w:id="1373"/>
      <w:bookmarkEnd w:id="1374"/>
      <w:bookmarkEnd w:id="1375"/>
      <w:bookmarkEnd w:id="1376"/>
      <w:bookmarkEnd w:id="1377"/>
      <w:bookmarkEnd w:id="1378"/>
      <w:bookmarkEnd w:id="1379"/>
    </w:p>
    <w:p w14:paraId="52DACC61" w14:textId="77777777" w:rsidR="00654785" w:rsidRDefault="00BE4F1E" w:rsidP="00BE4F1E">
      <w:pPr>
        <w:jc w:val="both"/>
        <w:rPr>
          <w:rFonts w:ascii="Arial" w:hAnsi="Arial" w:cs="Arial"/>
          <w:szCs w:val="24"/>
        </w:rPr>
      </w:pPr>
      <w:r w:rsidRPr="00F91FA3">
        <w:rPr>
          <w:rFonts w:ascii="Arial" w:hAnsi="Arial" w:cs="Arial"/>
          <w:szCs w:val="24"/>
        </w:rPr>
        <w:t>Les responsabilités des acteurs dans l’intégration de la procédure d’évaluation environnementale et sociale du Projet seront récapitulées dans le tableau ci-dessous.</w:t>
      </w:r>
      <w:bookmarkStart w:id="1380" w:name="_Toc52091632"/>
    </w:p>
    <w:p w14:paraId="2EDF781C" w14:textId="77777777" w:rsidR="00904F4F" w:rsidRPr="00B434A6" w:rsidRDefault="00654785" w:rsidP="00B434A6">
      <w:pPr>
        <w:pStyle w:val="Lgende"/>
        <w:jc w:val="center"/>
        <w:rPr>
          <w:sz w:val="20"/>
        </w:rPr>
      </w:pPr>
      <w:bookmarkStart w:id="1381" w:name="_Toc127957888"/>
      <w:r w:rsidRPr="00B434A6">
        <w:rPr>
          <w:sz w:val="20"/>
        </w:rPr>
        <w:t xml:space="preserve">Tableau </w:t>
      </w:r>
      <w:r w:rsidRPr="00B434A6">
        <w:rPr>
          <w:sz w:val="20"/>
        </w:rPr>
        <w:fldChar w:fldCharType="begin"/>
      </w:r>
      <w:r w:rsidRPr="00B434A6">
        <w:rPr>
          <w:sz w:val="20"/>
        </w:rPr>
        <w:instrText xml:space="preserve"> SEQ Tableau \* ARABIC </w:instrText>
      </w:r>
      <w:r w:rsidRPr="00B434A6">
        <w:rPr>
          <w:sz w:val="20"/>
        </w:rPr>
        <w:fldChar w:fldCharType="separate"/>
      </w:r>
      <w:r w:rsidR="005430A1">
        <w:rPr>
          <w:noProof/>
          <w:sz w:val="20"/>
        </w:rPr>
        <w:t>92</w:t>
      </w:r>
      <w:r w:rsidRPr="00B434A6">
        <w:rPr>
          <w:sz w:val="20"/>
        </w:rPr>
        <w:fldChar w:fldCharType="end"/>
      </w:r>
      <w:r w:rsidRPr="00B434A6">
        <w:rPr>
          <w:sz w:val="20"/>
        </w:rPr>
        <w:t xml:space="preserve">. </w:t>
      </w:r>
      <w:r w:rsidR="005D0235" w:rsidRPr="00B434A6">
        <w:rPr>
          <w:sz w:val="20"/>
        </w:rPr>
        <w:t>Responsabilités</w:t>
      </w:r>
      <w:r w:rsidRPr="00B434A6">
        <w:rPr>
          <w:sz w:val="20"/>
        </w:rPr>
        <w:t xml:space="preserve"> des acteurs dans le cadre de la Gestion environnementale et sociale du Projet DECIM</w:t>
      </w:r>
      <w:bookmarkEnd w:id="1381"/>
    </w:p>
    <w:tbl>
      <w:tblPr>
        <w:tblW w:w="10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1743"/>
        <w:gridCol w:w="1738"/>
        <w:gridCol w:w="1656"/>
        <w:gridCol w:w="1656"/>
        <w:gridCol w:w="1820"/>
      </w:tblGrid>
      <w:tr w:rsidR="00345918" w:rsidRPr="00DC2F70" w14:paraId="23CAF433" w14:textId="77777777" w:rsidTr="00FB04F6">
        <w:trPr>
          <w:tblHeader/>
          <w:jc w:val="center"/>
        </w:trPr>
        <w:tc>
          <w:tcPr>
            <w:tcW w:w="1757" w:type="dxa"/>
            <w:shd w:val="clear" w:color="auto" w:fill="002060"/>
            <w:vAlign w:val="center"/>
          </w:tcPr>
          <w:bookmarkEnd w:id="1380"/>
          <w:p w14:paraId="4E0F9FF7" w14:textId="77777777" w:rsidR="00610CD4" w:rsidRPr="00FB04F6" w:rsidRDefault="00610CD4" w:rsidP="00FB04F6">
            <w:pPr>
              <w:suppressAutoHyphens/>
              <w:spacing w:after="0" w:line="240" w:lineRule="auto"/>
              <w:jc w:val="center"/>
              <w:rPr>
                <w:rStyle w:val="fontstyle01"/>
                <w:rFonts w:eastAsia="Times New Roman"/>
                <w:b/>
                <w:color w:val="FFFFFF"/>
              </w:rPr>
            </w:pPr>
            <w:r w:rsidRPr="00FB04F6">
              <w:rPr>
                <w:rStyle w:val="fontstyle01"/>
                <w:rFonts w:eastAsia="Times New Roman"/>
                <w:b/>
                <w:color w:val="FFFFFF"/>
              </w:rPr>
              <w:t xml:space="preserve">Principales </w:t>
            </w:r>
            <w:r w:rsidRPr="00FB04F6">
              <w:rPr>
                <w:rStyle w:val="fontstyle01"/>
                <w:rFonts w:eastAsia="Times New Roman" w:hint="eastAsia"/>
                <w:b/>
                <w:color w:val="FFFFFF"/>
              </w:rPr>
              <w:t>é</w:t>
            </w:r>
            <w:r w:rsidRPr="00FB04F6">
              <w:rPr>
                <w:rStyle w:val="fontstyle01"/>
                <w:rFonts w:eastAsia="Times New Roman"/>
                <w:b/>
                <w:color w:val="FFFFFF"/>
              </w:rPr>
              <w:t>tapes</w:t>
            </w:r>
          </w:p>
        </w:tc>
        <w:tc>
          <w:tcPr>
            <w:tcW w:w="1895" w:type="dxa"/>
            <w:shd w:val="clear" w:color="auto" w:fill="002060"/>
            <w:vAlign w:val="center"/>
          </w:tcPr>
          <w:p w14:paraId="48789FBF" w14:textId="77777777" w:rsidR="00610CD4" w:rsidRPr="00FB04F6" w:rsidRDefault="00610CD4" w:rsidP="00FB04F6">
            <w:pPr>
              <w:suppressAutoHyphens/>
              <w:spacing w:after="0" w:line="240" w:lineRule="auto"/>
              <w:jc w:val="center"/>
              <w:rPr>
                <w:rStyle w:val="fontstyle01"/>
                <w:rFonts w:eastAsia="Times New Roman"/>
                <w:b/>
                <w:color w:val="FFFFFF"/>
              </w:rPr>
            </w:pPr>
            <w:r w:rsidRPr="00FB04F6">
              <w:rPr>
                <w:rStyle w:val="fontstyle01"/>
                <w:rFonts w:eastAsia="Times New Roman"/>
                <w:b/>
                <w:color w:val="FFFFFF"/>
              </w:rPr>
              <w:t>Unit</w:t>
            </w:r>
            <w:r w:rsidRPr="00FB04F6">
              <w:rPr>
                <w:rStyle w:val="fontstyle01"/>
                <w:rFonts w:eastAsia="Times New Roman" w:hint="eastAsia"/>
                <w:b/>
                <w:color w:val="FFFFFF"/>
              </w:rPr>
              <w:t>é</w:t>
            </w:r>
            <w:r w:rsidRPr="00FB04F6">
              <w:rPr>
                <w:rStyle w:val="fontstyle01"/>
                <w:rFonts w:eastAsia="Times New Roman"/>
                <w:b/>
                <w:color w:val="FFFFFF"/>
              </w:rPr>
              <w:t xml:space="preserve"> de </w:t>
            </w:r>
            <w:r w:rsidR="00D1070E" w:rsidRPr="00FB04F6">
              <w:rPr>
                <w:rStyle w:val="fontstyle01"/>
                <w:rFonts w:eastAsia="Times New Roman"/>
                <w:b/>
                <w:color w:val="FFFFFF"/>
              </w:rPr>
              <w:t xml:space="preserve">Coordination </w:t>
            </w:r>
            <w:r w:rsidRPr="00FB04F6">
              <w:rPr>
                <w:rStyle w:val="fontstyle01"/>
                <w:rFonts w:eastAsia="Times New Roman"/>
                <w:b/>
                <w:color w:val="FFFFFF"/>
              </w:rPr>
              <w:t>du Projet</w:t>
            </w:r>
          </w:p>
        </w:tc>
        <w:tc>
          <w:tcPr>
            <w:tcW w:w="1737" w:type="dxa"/>
            <w:shd w:val="clear" w:color="auto" w:fill="002060"/>
            <w:vAlign w:val="center"/>
          </w:tcPr>
          <w:p w14:paraId="56953422" w14:textId="77777777" w:rsidR="00610CD4" w:rsidRPr="00FB04F6" w:rsidRDefault="00610CD4" w:rsidP="00FB04F6">
            <w:pPr>
              <w:suppressAutoHyphens/>
              <w:spacing w:after="0" w:line="240" w:lineRule="auto"/>
              <w:jc w:val="center"/>
              <w:rPr>
                <w:rStyle w:val="fontstyle01"/>
                <w:rFonts w:eastAsia="Times New Roman"/>
                <w:b/>
                <w:color w:val="FFFFFF"/>
              </w:rPr>
            </w:pPr>
            <w:r w:rsidRPr="00FB04F6">
              <w:rPr>
                <w:rStyle w:val="fontstyle01"/>
                <w:rFonts w:eastAsia="Times New Roman"/>
                <w:b/>
                <w:color w:val="FFFFFF"/>
              </w:rPr>
              <w:t>Interm</w:t>
            </w:r>
            <w:r w:rsidRPr="00FB04F6">
              <w:rPr>
                <w:rStyle w:val="fontstyle01"/>
                <w:rFonts w:eastAsia="Times New Roman" w:hint="eastAsia"/>
                <w:b/>
                <w:color w:val="FFFFFF"/>
              </w:rPr>
              <w:t>é</w:t>
            </w:r>
            <w:r w:rsidRPr="00FB04F6">
              <w:rPr>
                <w:rStyle w:val="fontstyle01"/>
                <w:rFonts w:eastAsia="Times New Roman"/>
                <w:b/>
                <w:color w:val="FFFFFF"/>
              </w:rPr>
              <w:t>diaires Financiers</w:t>
            </w:r>
          </w:p>
        </w:tc>
        <w:tc>
          <w:tcPr>
            <w:tcW w:w="1523" w:type="dxa"/>
            <w:shd w:val="clear" w:color="auto" w:fill="002060"/>
            <w:vAlign w:val="center"/>
          </w:tcPr>
          <w:p w14:paraId="34FDDCB6" w14:textId="77777777" w:rsidR="00610CD4" w:rsidRPr="00FB04F6" w:rsidRDefault="00610CD4" w:rsidP="00FB04F6">
            <w:pPr>
              <w:suppressAutoHyphens/>
              <w:spacing w:after="0" w:line="240" w:lineRule="auto"/>
              <w:jc w:val="center"/>
              <w:rPr>
                <w:rStyle w:val="fontstyle01"/>
                <w:rFonts w:eastAsia="Times New Roman"/>
                <w:b/>
                <w:color w:val="FFFFFF"/>
              </w:rPr>
            </w:pPr>
            <w:r w:rsidRPr="00FB04F6">
              <w:rPr>
                <w:rStyle w:val="fontstyle01"/>
                <w:rFonts w:eastAsia="Times New Roman"/>
                <w:b/>
                <w:color w:val="FFFFFF"/>
              </w:rPr>
              <w:t>ONE</w:t>
            </w:r>
          </w:p>
        </w:tc>
        <w:tc>
          <w:tcPr>
            <w:tcW w:w="1647" w:type="dxa"/>
            <w:shd w:val="clear" w:color="auto" w:fill="002060"/>
            <w:vAlign w:val="center"/>
          </w:tcPr>
          <w:p w14:paraId="0A08FC3A" w14:textId="77777777" w:rsidR="00610CD4" w:rsidRPr="00FB04F6" w:rsidRDefault="00610CD4" w:rsidP="00FB04F6">
            <w:pPr>
              <w:suppressAutoHyphens/>
              <w:spacing w:after="0" w:line="240" w:lineRule="auto"/>
              <w:jc w:val="center"/>
              <w:rPr>
                <w:rStyle w:val="fontstyle01"/>
                <w:rFonts w:eastAsia="Times New Roman"/>
                <w:b/>
                <w:color w:val="FFFFFF"/>
              </w:rPr>
            </w:pPr>
            <w:r w:rsidRPr="00FB04F6">
              <w:rPr>
                <w:rStyle w:val="fontstyle01"/>
                <w:rFonts w:eastAsia="Times New Roman"/>
                <w:b/>
                <w:color w:val="FFFFFF"/>
              </w:rPr>
              <w:t>Minist</w:t>
            </w:r>
            <w:r w:rsidRPr="00FB04F6">
              <w:rPr>
                <w:rStyle w:val="fontstyle01"/>
                <w:rFonts w:eastAsia="Times New Roman" w:hint="eastAsia"/>
                <w:b/>
                <w:color w:val="FFFFFF"/>
              </w:rPr>
              <w:t>è</w:t>
            </w:r>
            <w:r w:rsidRPr="00FB04F6">
              <w:rPr>
                <w:rStyle w:val="fontstyle01"/>
                <w:rFonts w:eastAsia="Times New Roman"/>
                <w:b/>
                <w:color w:val="FFFFFF"/>
              </w:rPr>
              <w:t>re de tutelle</w:t>
            </w:r>
          </w:p>
        </w:tc>
        <w:tc>
          <w:tcPr>
            <w:tcW w:w="1817" w:type="dxa"/>
            <w:shd w:val="clear" w:color="auto" w:fill="002060"/>
            <w:vAlign w:val="center"/>
          </w:tcPr>
          <w:p w14:paraId="15C0E2D6" w14:textId="77777777" w:rsidR="00610CD4" w:rsidRPr="00FB04F6" w:rsidRDefault="00610CD4" w:rsidP="00FB04F6">
            <w:pPr>
              <w:suppressAutoHyphens/>
              <w:spacing w:after="0" w:line="240" w:lineRule="auto"/>
              <w:jc w:val="center"/>
              <w:rPr>
                <w:rStyle w:val="fontstyle01"/>
                <w:rFonts w:eastAsia="Times New Roman"/>
                <w:b/>
                <w:color w:val="FFFFFF"/>
              </w:rPr>
            </w:pPr>
            <w:r w:rsidRPr="00FB04F6">
              <w:rPr>
                <w:rStyle w:val="fontstyle01"/>
                <w:rFonts w:eastAsia="Times New Roman"/>
                <w:b/>
                <w:color w:val="FFFFFF"/>
              </w:rPr>
              <w:t>Banque mondiale</w:t>
            </w:r>
          </w:p>
        </w:tc>
      </w:tr>
      <w:tr w:rsidR="00345918" w:rsidRPr="007F78CE" w14:paraId="6A7F7308" w14:textId="77777777" w:rsidTr="00FB04F6">
        <w:trPr>
          <w:jc w:val="center"/>
        </w:trPr>
        <w:tc>
          <w:tcPr>
            <w:tcW w:w="1757" w:type="dxa"/>
            <w:shd w:val="clear" w:color="auto" w:fill="auto"/>
          </w:tcPr>
          <w:p w14:paraId="3C0714CE" w14:textId="77777777" w:rsidR="00610CD4" w:rsidRPr="00FB04F6" w:rsidRDefault="00610CD4" w:rsidP="00FB04F6">
            <w:pPr>
              <w:suppressAutoHyphens/>
              <w:spacing w:after="0" w:line="240" w:lineRule="auto"/>
              <w:jc w:val="both"/>
              <w:rPr>
                <w:rFonts w:ascii="Arial" w:eastAsia="Times New Roman" w:hAnsi="Arial" w:cs="Arial"/>
                <w:b/>
                <w:bCs/>
                <w:sz w:val="18"/>
                <w:szCs w:val="18"/>
              </w:rPr>
            </w:pPr>
            <w:r w:rsidRPr="00FB04F6">
              <w:rPr>
                <w:rStyle w:val="fontstyle01"/>
                <w:rFonts w:ascii="Arial" w:eastAsia="Times New Roman" w:hAnsi="Arial" w:cs="Arial"/>
                <w:b/>
                <w:bCs/>
                <w:sz w:val="18"/>
                <w:szCs w:val="18"/>
              </w:rPr>
              <w:t>Examen environnemental préalable (screening)</w:t>
            </w:r>
          </w:p>
        </w:tc>
        <w:tc>
          <w:tcPr>
            <w:tcW w:w="1895" w:type="dxa"/>
            <w:shd w:val="clear" w:color="auto" w:fill="auto"/>
          </w:tcPr>
          <w:p w14:paraId="76B5F93A" w14:textId="77777777" w:rsidR="00610CD4" w:rsidRPr="00FB04F6" w:rsidRDefault="00610CD4" w:rsidP="00FB04F6">
            <w:pPr>
              <w:suppressAutoHyphens/>
              <w:spacing w:after="0" w:line="240" w:lineRule="auto"/>
              <w:jc w:val="both"/>
              <w:rPr>
                <w:rStyle w:val="fontstyle01"/>
                <w:rFonts w:ascii="Arial" w:hAnsi="Arial" w:cs="Arial"/>
                <w:b/>
                <w:i w:val="0"/>
                <w:iCs w:val="0"/>
                <w:sz w:val="18"/>
                <w:szCs w:val="18"/>
              </w:rPr>
            </w:pPr>
            <w:r w:rsidRPr="00FB04F6">
              <w:rPr>
                <w:rStyle w:val="fontstyle01"/>
                <w:rFonts w:ascii="Arial" w:eastAsia="Times New Roman" w:hAnsi="Arial" w:cs="Arial"/>
                <w:sz w:val="18"/>
                <w:szCs w:val="18"/>
              </w:rPr>
              <w:t>Préparation de la fiche d’examen environnemental préalable</w:t>
            </w:r>
          </w:p>
          <w:p w14:paraId="3E271078" w14:textId="77777777" w:rsidR="00610CD4" w:rsidRPr="00FB04F6" w:rsidRDefault="00610CD4" w:rsidP="00FB04F6">
            <w:pPr>
              <w:suppressAutoHyphens/>
              <w:spacing w:after="0" w:line="240" w:lineRule="auto"/>
              <w:jc w:val="both"/>
              <w:rPr>
                <w:rStyle w:val="fontstyle01"/>
                <w:rFonts w:ascii="Arial" w:hAnsi="Arial" w:cs="Arial"/>
                <w:b/>
                <w:i w:val="0"/>
                <w:iCs w:val="0"/>
                <w:sz w:val="18"/>
                <w:szCs w:val="18"/>
              </w:rPr>
            </w:pPr>
            <w:r w:rsidRPr="00FB04F6">
              <w:rPr>
                <w:rStyle w:val="fontstyle01"/>
                <w:rFonts w:ascii="Arial" w:eastAsia="Times New Roman" w:hAnsi="Arial" w:cs="Arial"/>
                <w:sz w:val="18"/>
                <w:szCs w:val="18"/>
              </w:rPr>
              <w:t xml:space="preserve">Catégorisation du sous-projet et identification des documents à préparer selon les NES concernées </w:t>
            </w:r>
          </w:p>
          <w:p w14:paraId="7BAFA2BB" w14:textId="77777777" w:rsidR="00610CD4" w:rsidRPr="00FB04F6" w:rsidRDefault="00610CD4" w:rsidP="00FB04F6">
            <w:pPr>
              <w:suppressAutoHyphens/>
              <w:spacing w:after="0" w:line="240" w:lineRule="auto"/>
              <w:jc w:val="both"/>
              <w:rPr>
                <w:rStyle w:val="fontstyle01"/>
                <w:rFonts w:ascii="Arial" w:hAnsi="Arial" w:cs="Arial"/>
                <w:i w:val="0"/>
                <w:iCs w:val="0"/>
                <w:sz w:val="18"/>
                <w:szCs w:val="18"/>
              </w:rPr>
            </w:pPr>
            <w:r w:rsidRPr="00FB04F6">
              <w:rPr>
                <w:rStyle w:val="fontstyle01"/>
                <w:rFonts w:ascii="Arial" w:eastAsia="Times New Roman" w:hAnsi="Arial" w:cs="Arial"/>
                <w:sz w:val="18"/>
                <w:szCs w:val="18"/>
              </w:rPr>
              <w:t xml:space="preserve">Vérification que toutes les fiches et dossiers sont complets </w:t>
            </w:r>
          </w:p>
        </w:tc>
        <w:tc>
          <w:tcPr>
            <w:tcW w:w="1737" w:type="dxa"/>
            <w:shd w:val="clear" w:color="auto" w:fill="auto"/>
          </w:tcPr>
          <w:p w14:paraId="1C02E9A8" w14:textId="77777777" w:rsidR="00610CD4" w:rsidRPr="00FB04F6" w:rsidRDefault="00610CD4" w:rsidP="00FB04F6">
            <w:pPr>
              <w:suppressAutoHyphens/>
              <w:spacing w:after="0" w:line="240" w:lineRule="auto"/>
              <w:jc w:val="both"/>
              <w:rPr>
                <w:rStyle w:val="fontstyle01"/>
                <w:rFonts w:ascii="Arial" w:eastAsia="Times New Roman" w:hAnsi="Arial" w:cs="Arial"/>
                <w:sz w:val="18"/>
                <w:szCs w:val="18"/>
              </w:rPr>
            </w:pPr>
            <w:r w:rsidRPr="00FB04F6">
              <w:rPr>
                <w:rStyle w:val="fontstyle01"/>
                <w:rFonts w:ascii="Arial" w:eastAsia="Times New Roman" w:hAnsi="Arial" w:cs="Arial"/>
                <w:sz w:val="18"/>
                <w:szCs w:val="18"/>
              </w:rPr>
              <w:t>Trie, examine et classe les sous</w:t>
            </w:r>
            <w:r w:rsidR="005D0235" w:rsidRPr="00FB04F6">
              <w:rPr>
                <w:rStyle w:val="fontstyle01"/>
                <w:rFonts w:ascii="Arial" w:eastAsia="Times New Roman" w:hAnsi="Arial" w:cs="Arial"/>
                <w:sz w:val="18"/>
                <w:szCs w:val="18"/>
              </w:rPr>
              <w:t>-</w:t>
            </w:r>
            <w:r w:rsidRPr="00FB04F6">
              <w:rPr>
                <w:rStyle w:val="fontstyle01"/>
                <w:rFonts w:ascii="Arial" w:eastAsia="Times New Roman" w:hAnsi="Arial" w:cs="Arial"/>
                <w:sz w:val="18"/>
                <w:szCs w:val="18"/>
              </w:rPr>
              <w:t>projet</w:t>
            </w:r>
            <w:r w:rsidR="00380091" w:rsidRPr="00FB04F6">
              <w:rPr>
                <w:rStyle w:val="fontstyle01"/>
                <w:rFonts w:ascii="Arial" w:eastAsia="Times New Roman" w:hAnsi="Arial" w:cs="Arial"/>
                <w:sz w:val="18"/>
                <w:szCs w:val="18"/>
              </w:rPr>
              <w:t>s</w:t>
            </w:r>
            <w:r w:rsidRPr="00FB04F6">
              <w:rPr>
                <w:rStyle w:val="fontstyle01"/>
                <w:rFonts w:ascii="Arial" w:eastAsia="Times New Roman" w:hAnsi="Arial" w:cs="Arial"/>
                <w:sz w:val="18"/>
                <w:szCs w:val="18"/>
              </w:rPr>
              <w:t xml:space="preserve"> d’IF en fonction des risques et effets environnementaux et sociaux </w:t>
            </w:r>
          </w:p>
        </w:tc>
        <w:tc>
          <w:tcPr>
            <w:tcW w:w="1523" w:type="dxa"/>
            <w:shd w:val="clear" w:color="auto" w:fill="auto"/>
          </w:tcPr>
          <w:p w14:paraId="36CA801D" w14:textId="77777777" w:rsidR="00610CD4" w:rsidRPr="00FB04F6" w:rsidRDefault="00610CD4" w:rsidP="00FB04F6">
            <w:pPr>
              <w:suppressAutoHyphens/>
              <w:spacing w:after="0" w:line="240" w:lineRule="auto"/>
              <w:jc w:val="both"/>
              <w:rPr>
                <w:rStyle w:val="fontstyle01"/>
                <w:rFonts w:ascii="Arial" w:hAnsi="Arial" w:cs="Arial"/>
                <w:sz w:val="18"/>
                <w:szCs w:val="18"/>
              </w:rPr>
            </w:pPr>
            <w:r w:rsidRPr="00FB04F6">
              <w:rPr>
                <w:rStyle w:val="fontstyle01"/>
                <w:rFonts w:ascii="Arial" w:eastAsia="Times New Roman" w:hAnsi="Arial" w:cs="Arial"/>
                <w:sz w:val="18"/>
                <w:szCs w:val="18"/>
              </w:rPr>
              <w:t xml:space="preserve">Responsable du Screening environnementale et la catégorisation du Sous projet </w:t>
            </w:r>
          </w:p>
          <w:p w14:paraId="11A1A737" w14:textId="77777777" w:rsidR="00610CD4" w:rsidRPr="00FB04F6" w:rsidRDefault="00610CD4" w:rsidP="00FB04F6">
            <w:pPr>
              <w:suppressAutoHyphens/>
              <w:spacing w:after="0" w:line="240" w:lineRule="auto"/>
              <w:jc w:val="both"/>
              <w:rPr>
                <w:rStyle w:val="fontstyle01"/>
                <w:rFonts w:ascii="Arial" w:hAnsi="Arial" w:cs="Arial"/>
                <w:sz w:val="18"/>
                <w:szCs w:val="18"/>
              </w:rPr>
            </w:pPr>
          </w:p>
          <w:p w14:paraId="019891D2" w14:textId="77777777" w:rsidR="00610CD4" w:rsidRPr="00FB04F6" w:rsidRDefault="00610CD4" w:rsidP="00FB04F6">
            <w:pPr>
              <w:suppressAutoHyphens/>
              <w:spacing w:after="0" w:line="240" w:lineRule="auto"/>
              <w:jc w:val="both"/>
              <w:rPr>
                <w:rStyle w:val="fontstyle01"/>
                <w:rFonts w:ascii="Arial" w:hAnsi="Arial" w:cs="Arial"/>
                <w:sz w:val="18"/>
                <w:szCs w:val="18"/>
              </w:rPr>
            </w:pPr>
            <w:r w:rsidRPr="00FB04F6">
              <w:rPr>
                <w:rStyle w:val="fontstyle01"/>
                <w:rFonts w:ascii="Arial" w:eastAsia="Times New Roman" w:hAnsi="Arial" w:cs="Arial"/>
                <w:sz w:val="18"/>
                <w:szCs w:val="18"/>
              </w:rPr>
              <w:t xml:space="preserve">Notifie le projet sur le résultat du screening </w:t>
            </w:r>
          </w:p>
        </w:tc>
        <w:tc>
          <w:tcPr>
            <w:tcW w:w="1647" w:type="dxa"/>
            <w:shd w:val="clear" w:color="auto" w:fill="auto"/>
          </w:tcPr>
          <w:p w14:paraId="551ED88A" w14:textId="77777777" w:rsidR="00610CD4" w:rsidRPr="00FB04F6" w:rsidRDefault="00610CD4" w:rsidP="00FB04F6">
            <w:pPr>
              <w:suppressAutoHyphens/>
              <w:spacing w:after="0" w:line="240" w:lineRule="auto"/>
              <w:jc w:val="both"/>
              <w:rPr>
                <w:rStyle w:val="fontstyle01"/>
                <w:rFonts w:ascii="Arial" w:hAnsi="Arial" w:cs="Arial"/>
                <w:sz w:val="18"/>
                <w:szCs w:val="18"/>
              </w:rPr>
            </w:pPr>
          </w:p>
        </w:tc>
        <w:tc>
          <w:tcPr>
            <w:tcW w:w="1817" w:type="dxa"/>
            <w:shd w:val="clear" w:color="auto" w:fill="auto"/>
          </w:tcPr>
          <w:p w14:paraId="1B660944" w14:textId="77777777" w:rsidR="00610CD4" w:rsidRPr="00FB04F6" w:rsidRDefault="00610CD4" w:rsidP="00FB04F6">
            <w:pPr>
              <w:suppressAutoHyphens/>
              <w:spacing w:after="0" w:line="240" w:lineRule="auto"/>
              <w:jc w:val="both"/>
              <w:rPr>
                <w:rStyle w:val="fontstyle01"/>
                <w:rFonts w:ascii="Arial" w:eastAsia="Times New Roman" w:hAnsi="Arial" w:cs="Arial"/>
                <w:sz w:val="18"/>
                <w:szCs w:val="18"/>
              </w:rPr>
            </w:pPr>
            <w:r w:rsidRPr="00FB04F6">
              <w:rPr>
                <w:rStyle w:val="fontstyle01"/>
                <w:rFonts w:ascii="Arial" w:eastAsia="Times New Roman" w:hAnsi="Arial" w:cs="Arial"/>
                <w:sz w:val="18"/>
                <w:szCs w:val="18"/>
              </w:rPr>
              <w:t>Une vérification à posteriori de la catégorisation du sous projet et des NES pertinentes</w:t>
            </w:r>
          </w:p>
          <w:p w14:paraId="347E408F" w14:textId="77777777" w:rsidR="00610CD4" w:rsidRPr="00FB04F6" w:rsidRDefault="00610CD4" w:rsidP="00FB04F6">
            <w:pPr>
              <w:suppressAutoHyphens/>
              <w:spacing w:after="0" w:line="240" w:lineRule="auto"/>
              <w:jc w:val="both"/>
              <w:rPr>
                <w:rStyle w:val="fontstyle01"/>
                <w:rFonts w:ascii="Arial" w:eastAsia="Times New Roman" w:hAnsi="Arial"/>
                <w:sz w:val="18"/>
                <w:szCs w:val="18"/>
              </w:rPr>
            </w:pPr>
            <w:r w:rsidRPr="00FB04F6">
              <w:rPr>
                <w:rStyle w:val="fontstyle01"/>
                <w:rFonts w:ascii="Arial" w:eastAsia="Times New Roman" w:hAnsi="Arial" w:cs="Arial"/>
                <w:sz w:val="18"/>
                <w:szCs w:val="18"/>
              </w:rPr>
              <w:t>Une fiche de tri est annexée à toutes les études environnementales et sociales soumises à la Banque mondiale</w:t>
            </w:r>
          </w:p>
        </w:tc>
      </w:tr>
      <w:tr w:rsidR="00345918" w:rsidRPr="00DC2F70" w14:paraId="78578B46" w14:textId="77777777" w:rsidTr="00FB04F6">
        <w:trPr>
          <w:jc w:val="center"/>
        </w:trPr>
        <w:tc>
          <w:tcPr>
            <w:tcW w:w="1757" w:type="dxa"/>
            <w:shd w:val="clear" w:color="auto" w:fill="auto"/>
          </w:tcPr>
          <w:p w14:paraId="366CE5E1" w14:textId="77777777" w:rsidR="00610CD4" w:rsidRPr="00FB04F6" w:rsidRDefault="00610CD4" w:rsidP="00FB04F6">
            <w:pPr>
              <w:suppressAutoHyphens/>
              <w:spacing w:after="0" w:line="240" w:lineRule="auto"/>
              <w:jc w:val="both"/>
              <w:rPr>
                <w:rFonts w:ascii="Arial" w:eastAsia="Times New Roman" w:hAnsi="Arial" w:cs="Arial"/>
                <w:b/>
                <w:bCs/>
                <w:sz w:val="18"/>
                <w:szCs w:val="18"/>
              </w:rPr>
            </w:pPr>
            <w:r w:rsidRPr="00FB04F6">
              <w:rPr>
                <w:rFonts w:ascii="Arial" w:eastAsia="Times New Roman" w:hAnsi="Arial" w:cs="Arial"/>
                <w:b/>
                <w:bCs/>
                <w:sz w:val="18"/>
                <w:szCs w:val="18"/>
              </w:rPr>
              <w:t>Mise en œuvre du PMPP, consultations publiques</w:t>
            </w:r>
          </w:p>
        </w:tc>
        <w:tc>
          <w:tcPr>
            <w:tcW w:w="1895" w:type="dxa"/>
            <w:shd w:val="clear" w:color="auto" w:fill="auto"/>
          </w:tcPr>
          <w:p w14:paraId="0ABBB8C4" w14:textId="77777777" w:rsidR="00610CD4" w:rsidRPr="00FB04F6" w:rsidRDefault="00610CD4" w:rsidP="00FB04F6">
            <w:pPr>
              <w:suppressAutoHyphens/>
              <w:spacing w:after="0" w:line="240" w:lineRule="auto"/>
              <w:jc w:val="both"/>
              <w:rPr>
                <w:rStyle w:val="fontstyle01"/>
                <w:rFonts w:ascii="Arial" w:hAnsi="Arial" w:cs="Arial"/>
                <w:i w:val="0"/>
                <w:iCs w:val="0"/>
                <w:sz w:val="18"/>
                <w:szCs w:val="18"/>
              </w:rPr>
            </w:pPr>
            <w:r w:rsidRPr="00FB04F6">
              <w:rPr>
                <w:rStyle w:val="fontstyle01"/>
                <w:rFonts w:ascii="Arial" w:eastAsia="Times New Roman" w:hAnsi="Arial" w:cs="Arial"/>
                <w:sz w:val="18"/>
                <w:szCs w:val="18"/>
              </w:rPr>
              <w:t xml:space="preserve">Consultation des groupes affectés par le sous-projet et les intéressés </w:t>
            </w:r>
          </w:p>
        </w:tc>
        <w:tc>
          <w:tcPr>
            <w:tcW w:w="1737" w:type="dxa"/>
            <w:shd w:val="clear" w:color="auto" w:fill="auto"/>
          </w:tcPr>
          <w:p w14:paraId="5EABEA61" w14:textId="77777777" w:rsidR="00610CD4" w:rsidRPr="00FB04F6" w:rsidRDefault="00D1070E" w:rsidP="00FB04F6">
            <w:pPr>
              <w:suppressAutoHyphens/>
              <w:spacing w:after="0" w:line="240" w:lineRule="auto"/>
              <w:jc w:val="both"/>
              <w:rPr>
                <w:rStyle w:val="fontstyle01"/>
                <w:rFonts w:ascii="Arial" w:eastAsia="Times New Roman" w:hAnsi="Arial"/>
                <w:sz w:val="18"/>
                <w:szCs w:val="18"/>
              </w:rPr>
            </w:pPr>
            <w:r w:rsidRPr="00FB04F6">
              <w:rPr>
                <w:rStyle w:val="fontstyle01"/>
                <w:rFonts w:ascii="Arial" w:eastAsia="Times New Roman" w:hAnsi="Arial" w:cs="Arial"/>
                <w:sz w:val="18"/>
                <w:szCs w:val="18"/>
              </w:rPr>
              <w:t>Consultation des groupes affectés par le sous-projet d’IF</w:t>
            </w:r>
          </w:p>
        </w:tc>
        <w:tc>
          <w:tcPr>
            <w:tcW w:w="1523" w:type="dxa"/>
            <w:shd w:val="clear" w:color="auto" w:fill="auto"/>
          </w:tcPr>
          <w:p w14:paraId="044B6767" w14:textId="77777777" w:rsidR="00610CD4" w:rsidRPr="00FB04F6" w:rsidRDefault="00610CD4" w:rsidP="00FB04F6">
            <w:pPr>
              <w:suppressAutoHyphens/>
              <w:spacing w:after="0" w:line="240" w:lineRule="auto"/>
              <w:jc w:val="both"/>
              <w:rPr>
                <w:rStyle w:val="fontstyle01"/>
                <w:rFonts w:ascii="Arial" w:eastAsia="Times New Roman" w:hAnsi="Arial"/>
                <w:sz w:val="18"/>
                <w:szCs w:val="18"/>
              </w:rPr>
            </w:pPr>
          </w:p>
        </w:tc>
        <w:tc>
          <w:tcPr>
            <w:tcW w:w="1647" w:type="dxa"/>
            <w:shd w:val="clear" w:color="auto" w:fill="auto"/>
          </w:tcPr>
          <w:p w14:paraId="5BCA9DED" w14:textId="77777777" w:rsidR="00610CD4" w:rsidRPr="00FB04F6" w:rsidRDefault="00610CD4" w:rsidP="00FB04F6">
            <w:pPr>
              <w:suppressAutoHyphens/>
              <w:spacing w:after="0" w:line="240" w:lineRule="auto"/>
              <w:jc w:val="both"/>
              <w:rPr>
                <w:rStyle w:val="fontstyle01"/>
                <w:rFonts w:ascii="Arial" w:eastAsia="Times New Roman" w:hAnsi="Arial"/>
                <w:sz w:val="18"/>
                <w:szCs w:val="18"/>
              </w:rPr>
            </w:pPr>
          </w:p>
        </w:tc>
        <w:tc>
          <w:tcPr>
            <w:tcW w:w="1817" w:type="dxa"/>
            <w:shd w:val="clear" w:color="auto" w:fill="auto"/>
          </w:tcPr>
          <w:p w14:paraId="07198031" w14:textId="77777777" w:rsidR="00610CD4" w:rsidRPr="00FB04F6" w:rsidRDefault="00610CD4" w:rsidP="00FB04F6">
            <w:pPr>
              <w:suppressAutoHyphens/>
              <w:spacing w:after="0" w:line="240" w:lineRule="auto"/>
              <w:jc w:val="both"/>
              <w:rPr>
                <w:rStyle w:val="fontstyle01"/>
                <w:rFonts w:ascii="Arial" w:eastAsia="Times New Roman" w:hAnsi="Arial"/>
                <w:sz w:val="18"/>
                <w:szCs w:val="18"/>
              </w:rPr>
            </w:pPr>
            <w:r w:rsidRPr="00FB04F6">
              <w:rPr>
                <w:rStyle w:val="fontstyle01"/>
                <w:rFonts w:ascii="Arial" w:eastAsia="Times New Roman" w:hAnsi="Arial"/>
                <w:sz w:val="18"/>
                <w:szCs w:val="18"/>
              </w:rPr>
              <w:t>Vérification à posteriori</w:t>
            </w:r>
          </w:p>
        </w:tc>
      </w:tr>
      <w:tr w:rsidR="00345918" w:rsidRPr="00DC2F70" w14:paraId="5066090B" w14:textId="77777777" w:rsidTr="00FB04F6">
        <w:trPr>
          <w:gridAfter w:val="1"/>
          <w:wAfter w:w="1820" w:type="dxa"/>
          <w:jc w:val="center"/>
        </w:trPr>
        <w:tc>
          <w:tcPr>
            <w:tcW w:w="1757" w:type="dxa"/>
            <w:shd w:val="clear" w:color="auto" w:fill="auto"/>
          </w:tcPr>
          <w:p w14:paraId="5186F477" w14:textId="77777777" w:rsidR="00610CD4" w:rsidRPr="00FB04F6" w:rsidRDefault="00610CD4" w:rsidP="00FB04F6">
            <w:pPr>
              <w:suppressAutoHyphens/>
              <w:spacing w:after="0" w:line="240" w:lineRule="auto"/>
              <w:jc w:val="both"/>
              <w:rPr>
                <w:rStyle w:val="fontstyle01"/>
                <w:rFonts w:ascii="Arial" w:hAnsi="Arial" w:cs="Arial"/>
                <w:i w:val="0"/>
                <w:iCs w:val="0"/>
                <w:sz w:val="18"/>
                <w:szCs w:val="18"/>
              </w:rPr>
            </w:pPr>
            <w:r w:rsidRPr="00FB04F6">
              <w:rPr>
                <w:rFonts w:ascii="Arial" w:eastAsia="Times New Roman" w:hAnsi="Arial" w:cs="Arial"/>
                <w:b/>
                <w:bCs/>
                <w:sz w:val="18"/>
                <w:szCs w:val="18"/>
              </w:rPr>
              <w:t>Elaboration des TdRs</w:t>
            </w:r>
            <w:r w:rsidRPr="00FB04F6">
              <w:rPr>
                <w:rStyle w:val="fontstyle01"/>
                <w:rFonts w:ascii="Arial" w:eastAsia="Times New Roman" w:hAnsi="Arial" w:cs="Arial"/>
                <w:sz w:val="18"/>
                <w:szCs w:val="18"/>
              </w:rPr>
              <w:t>des études requises (PGES, PR, etc…)</w:t>
            </w:r>
          </w:p>
        </w:tc>
        <w:tc>
          <w:tcPr>
            <w:tcW w:w="1757" w:type="dxa"/>
            <w:shd w:val="clear" w:color="auto" w:fill="auto"/>
          </w:tcPr>
          <w:p w14:paraId="415D52C5" w14:textId="77777777" w:rsidR="00D1070E" w:rsidRPr="00FB04F6" w:rsidRDefault="00D1070E" w:rsidP="00FB04F6">
            <w:pPr>
              <w:suppressAutoHyphens/>
              <w:spacing w:after="0" w:line="240" w:lineRule="auto"/>
              <w:jc w:val="both"/>
              <w:rPr>
                <w:rStyle w:val="fontstyle01"/>
                <w:rFonts w:ascii="Arial" w:hAnsi="Arial" w:cs="Arial"/>
                <w:i w:val="0"/>
                <w:iCs w:val="0"/>
                <w:color w:val="auto"/>
                <w:sz w:val="18"/>
                <w:szCs w:val="18"/>
              </w:rPr>
            </w:pPr>
            <w:r w:rsidRPr="00FB04F6">
              <w:rPr>
                <w:rStyle w:val="fontstyle01"/>
                <w:rFonts w:ascii="Arial" w:eastAsia="Times New Roman" w:hAnsi="Arial" w:cs="Arial"/>
                <w:color w:val="auto"/>
                <w:sz w:val="18"/>
                <w:szCs w:val="18"/>
              </w:rPr>
              <w:t>Préparation des TdR des études E&amp;S et des autres études requises</w:t>
            </w:r>
          </w:p>
          <w:p w14:paraId="343D2BBB" w14:textId="77777777" w:rsidR="00610CD4" w:rsidRPr="00FB04F6" w:rsidRDefault="00D1070E" w:rsidP="00FB04F6">
            <w:pPr>
              <w:suppressAutoHyphens/>
              <w:spacing w:after="0" w:line="240" w:lineRule="auto"/>
              <w:jc w:val="both"/>
              <w:rPr>
                <w:rFonts w:ascii="Arial" w:eastAsia="Times New Roman" w:hAnsi="Arial" w:cs="Arial"/>
                <w:sz w:val="18"/>
                <w:szCs w:val="18"/>
              </w:rPr>
            </w:pPr>
            <w:r w:rsidRPr="00FB04F6">
              <w:rPr>
                <w:rStyle w:val="fontstyle01"/>
                <w:rFonts w:ascii="Arial" w:eastAsia="Times New Roman" w:hAnsi="Arial" w:cs="Arial"/>
                <w:color w:val="auto"/>
                <w:sz w:val="18"/>
                <w:szCs w:val="18"/>
              </w:rPr>
              <w:t>Sélection du consultant pour la réalisation des études requises (PGES, PR, etc…)</w:t>
            </w:r>
          </w:p>
        </w:tc>
        <w:tc>
          <w:tcPr>
            <w:tcW w:w="1757" w:type="dxa"/>
            <w:shd w:val="clear" w:color="auto" w:fill="auto"/>
          </w:tcPr>
          <w:p w14:paraId="29C36872" w14:textId="77777777" w:rsidR="00610CD4" w:rsidRPr="00FB04F6" w:rsidRDefault="00610CD4" w:rsidP="00FB04F6">
            <w:pPr>
              <w:suppressAutoHyphens/>
              <w:spacing w:after="0" w:line="240" w:lineRule="auto"/>
              <w:jc w:val="both"/>
              <w:rPr>
                <w:rStyle w:val="fontstyle01"/>
                <w:rFonts w:ascii="Arial" w:eastAsia="Times New Roman" w:hAnsi="Arial"/>
                <w:sz w:val="18"/>
                <w:szCs w:val="18"/>
              </w:rPr>
            </w:pPr>
          </w:p>
        </w:tc>
        <w:tc>
          <w:tcPr>
            <w:tcW w:w="1757" w:type="dxa"/>
            <w:shd w:val="clear" w:color="auto" w:fill="auto"/>
          </w:tcPr>
          <w:p w14:paraId="488AAA24" w14:textId="77777777" w:rsidR="00610CD4" w:rsidRPr="00FB04F6" w:rsidRDefault="00BD3DB8" w:rsidP="00FB04F6">
            <w:pPr>
              <w:suppressAutoHyphens/>
              <w:spacing w:after="0" w:line="240" w:lineRule="auto"/>
              <w:jc w:val="both"/>
              <w:rPr>
                <w:rStyle w:val="fontstyle01"/>
                <w:rFonts w:ascii="Arial" w:eastAsia="Times New Roman" w:hAnsi="Arial"/>
                <w:sz w:val="18"/>
                <w:szCs w:val="18"/>
              </w:rPr>
            </w:pPr>
            <w:r w:rsidRPr="00FB04F6">
              <w:rPr>
                <w:rStyle w:val="fontstyle01"/>
                <w:rFonts w:ascii="Arial" w:eastAsia="Times New Roman" w:hAnsi="Arial"/>
                <w:sz w:val="18"/>
                <w:szCs w:val="18"/>
              </w:rPr>
              <w:t>Validation du TDRs</w:t>
            </w:r>
          </w:p>
        </w:tc>
        <w:tc>
          <w:tcPr>
            <w:tcW w:w="1757" w:type="dxa"/>
            <w:shd w:val="clear" w:color="auto" w:fill="auto"/>
          </w:tcPr>
          <w:p w14:paraId="0AAE00EC" w14:textId="77777777" w:rsidR="00610CD4" w:rsidRPr="00FB04F6" w:rsidDel="00AD1357" w:rsidRDefault="00610CD4" w:rsidP="00FB04F6">
            <w:pPr>
              <w:suppressAutoHyphens/>
              <w:spacing w:after="0" w:line="240" w:lineRule="auto"/>
              <w:jc w:val="both"/>
              <w:rPr>
                <w:rStyle w:val="fontstyle01"/>
                <w:rFonts w:ascii="Arial" w:eastAsia="Times New Roman" w:hAnsi="Arial"/>
                <w:sz w:val="18"/>
                <w:szCs w:val="18"/>
              </w:rPr>
            </w:pPr>
            <w:r w:rsidRPr="00FB04F6">
              <w:rPr>
                <w:rStyle w:val="fontstyle01"/>
                <w:rFonts w:ascii="Arial" w:eastAsia="Times New Roman" w:hAnsi="Arial"/>
                <w:sz w:val="18"/>
                <w:szCs w:val="18"/>
              </w:rPr>
              <w:t>Non objection des TDR</w:t>
            </w:r>
          </w:p>
        </w:tc>
      </w:tr>
      <w:tr w:rsidR="00345918" w14:paraId="6AD63C20" w14:textId="77777777" w:rsidTr="00FB04F6">
        <w:trPr>
          <w:jc w:val="center"/>
        </w:trPr>
        <w:tc>
          <w:tcPr>
            <w:tcW w:w="1757" w:type="dxa"/>
            <w:shd w:val="clear" w:color="auto" w:fill="auto"/>
          </w:tcPr>
          <w:p w14:paraId="7575C462" w14:textId="77777777" w:rsidR="00610CD4" w:rsidRPr="00FB04F6" w:rsidRDefault="00610CD4" w:rsidP="00FB04F6">
            <w:pPr>
              <w:suppressAutoHyphens/>
              <w:spacing w:after="0" w:line="240" w:lineRule="auto"/>
              <w:jc w:val="both"/>
              <w:rPr>
                <w:rFonts w:ascii="Arial" w:eastAsia="Times New Roman" w:hAnsi="Arial" w:cs="Arial"/>
                <w:b/>
                <w:bCs/>
                <w:sz w:val="18"/>
                <w:szCs w:val="18"/>
              </w:rPr>
            </w:pPr>
            <w:r w:rsidRPr="00FB04F6">
              <w:rPr>
                <w:rStyle w:val="fontstyle01"/>
                <w:rFonts w:ascii="Arial" w:eastAsia="Times New Roman" w:hAnsi="Arial" w:cs="Arial"/>
                <w:b/>
                <w:bCs/>
                <w:sz w:val="18"/>
                <w:szCs w:val="18"/>
              </w:rPr>
              <w:t>Analyse environnementale et sociale</w:t>
            </w:r>
          </w:p>
        </w:tc>
        <w:tc>
          <w:tcPr>
            <w:tcW w:w="1757" w:type="dxa"/>
            <w:shd w:val="clear" w:color="auto" w:fill="auto"/>
          </w:tcPr>
          <w:p w14:paraId="41FBD831" w14:textId="77777777" w:rsidR="00610CD4" w:rsidRPr="00FB04F6" w:rsidRDefault="00BD3DB8" w:rsidP="00FB04F6">
            <w:pPr>
              <w:suppressAutoHyphens/>
              <w:spacing w:after="0" w:line="240" w:lineRule="auto"/>
              <w:jc w:val="both"/>
              <w:rPr>
                <w:rStyle w:val="fontstyle01"/>
                <w:rFonts w:ascii="Arial" w:eastAsia="Times New Roman" w:hAnsi="Arial" w:cs="Arial"/>
                <w:color w:val="auto"/>
                <w:sz w:val="18"/>
                <w:szCs w:val="18"/>
              </w:rPr>
            </w:pPr>
            <w:r w:rsidRPr="00FB04F6">
              <w:rPr>
                <w:rStyle w:val="fontstyle01"/>
                <w:rFonts w:ascii="Arial" w:eastAsia="Times New Roman" w:hAnsi="Arial" w:cs="Arial"/>
                <w:color w:val="auto"/>
                <w:sz w:val="18"/>
                <w:szCs w:val="18"/>
              </w:rPr>
              <w:t>S</w:t>
            </w:r>
            <w:r w:rsidR="00610CD4" w:rsidRPr="00FB04F6">
              <w:rPr>
                <w:rStyle w:val="fontstyle01"/>
                <w:rFonts w:ascii="Arial" w:eastAsia="Times New Roman" w:hAnsi="Arial" w:cs="Arial"/>
                <w:color w:val="auto"/>
                <w:sz w:val="18"/>
                <w:szCs w:val="18"/>
              </w:rPr>
              <w:t>uivi</w:t>
            </w:r>
            <w:r w:rsidRPr="00FB04F6">
              <w:rPr>
                <w:rStyle w:val="fontstyle01"/>
                <w:rFonts w:ascii="Arial" w:eastAsia="Times New Roman" w:hAnsi="Arial" w:cs="Arial"/>
                <w:color w:val="auto"/>
                <w:sz w:val="18"/>
                <w:szCs w:val="18"/>
              </w:rPr>
              <w:t xml:space="preserve"> </w:t>
            </w:r>
            <w:r w:rsidR="00610CD4" w:rsidRPr="00FB04F6">
              <w:rPr>
                <w:rStyle w:val="fontstyle01"/>
                <w:rFonts w:ascii="Arial" w:eastAsia="Times New Roman" w:hAnsi="Arial" w:cs="Arial"/>
                <w:color w:val="auto"/>
                <w:sz w:val="18"/>
                <w:szCs w:val="18"/>
              </w:rPr>
              <w:t>de la conformité des études environnementales et sociale avec le TDRs</w:t>
            </w:r>
          </w:p>
          <w:p w14:paraId="75A19B8D" w14:textId="77777777" w:rsidR="00610CD4" w:rsidRPr="00FB04F6" w:rsidRDefault="00610CD4" w:rsidP="00FB04F6">
            <w:pPr>
              <w:suppressAutoHyphens/>
              <w:spacing w:after="0" w:line="240" w:lineRule="auto"/>
              <w:jc w:val="both"/>
              <w:rPr>
                <w:rStyle w:val="fontstyle01"/>
                <w:rFonts w:ascii="Arial" w:eastAsia="Times New Roman" w:hAnsi="Arial" w:cs="Arial"/>
                <w:color w:val="auto"/>
                <w:sz w:val="18"/>
                <w:szCs w:val="18"/>
              </w:rPr>
            </w:pPr>
            <w:r w:rsidRPr="00FB04F6">
              <w:rPr>
                <w:rStyle w:val="fontstyle01"/>
                <w:rFonts w:ascii="Arial" w:eastAsia="Times New Roman" w:hAnsi="Arial" w:cs="Arial"/>
                <w:color w:val="auto"/>
                <w:sz w:val="18"/>
                <w:szCs w:val="18"/>
              </w:rPr>
              <w:t xml:space="preserve">Commentaires sur les études réalisées </w:t>
            </w:r>
          </w:p>
        </w:tc>
        <w:tc>
          <w:tcPr>
            <w:tcW w:w="1757" w:type="dxa"/>
            <w:shd w:val="clear" w:color="auto" w:fill="auto"/>
          </w:tcPr>
          <w:p w14:paraId="53D96290" w14:textId="77777777" w:rsidR="00D1070E" w:rsidRPr="00FB04F6" w:rsidRDefault="00D1070E" w:rsidP="00FB04F6">
            <w:pPr>
              <w:suppressAutoHyphens/>
              <w:spacing w:after="0" w:line="240" w:lineRule="auto"/>
              <w:jc w:val="both"/>
              <w:rPr>
                <w:rStyle w:val="fontstyle01"/>
                <w:rFonts w:ascii="Arial" w:hAnsi="Arial" w:cs="Arial"/>
                <w:color w:val="auto"/>
                <w:sz w:val="18"/>
                <w:szCs w:val="18"/>
              </w:rPr>
            </w:pPr>
            <w:r w:rsidRPr="00FB04F6">
              <w:rPr>
                <w:rStyle w:val="fontstyle01"/>
                <w:rFonts w:ascii="Arial" w:eastAsia="Times New Roman" w:hAnsi="Arial" w:cs="Arial"/>
                <w:color w:val="auto"/>
                <w:sz w:val="18"/>
                <w:szCs w:val="18"/>
              </w:rPr>
              <w:t>Pour le sous projet d’IF : conformité des études environnementales et sociale avec le TDRs</w:t>
            </w:r>
          </w:p>
          <w:p w14:paraId="55A70F58" w14:textId="77777777" w:rsidR="00610CD4" w:rsidRPr="00FB04F6" w:rsidRDefault="00D1070E" w:rsidP="00FB04F6">
            <w:pPr>
              <w:suppressAutoHyphens/>
              <w:spacing w:after="0" w:line="240" w:lineRule="auto"/>
              <w:jc w:val="both"/>
              <w:rPr>
                <w:rStyle w:val="fontstyle01"/>
                <w:rFonts w:ascii="Arial" w:hAnsi="Arial" w:cs="Arial"/>
                <w:color w:val="auto"/>
                <w:sz w:val="18"/>
                <w:szCs w:val="18"/>
              </w:rPr>
            </w:pPr>
            <w:r w:rsidRPr="00FB04F6">
              <w:rPr>
                <w:rStyle w:val="fontstyle01"/>
                <w:rFonts w:ascii="Arial" w:eastAsia="Times New Roman" w:hAnsi="Arial" w:cs="Arial"/>
                <w:color w:val="auto"/>
                <w:sz w:val="18"/>
                <w:szCs w:val="18"/>
              </w:rPr>
              <w:t>Commentaires sur les études réalisées</w:t>
            </w:r>
          </w:p>
        </w:tc>
        <w:tc>
          <w:tcPr>
            <w:tcW w:w="1895" w:type="dxa"/>
            <w:shd w:val="clear" w:color="auto" w:fill="auto"/>
          </w:tcPr>
          <w:p w14:paraId="0504856E" w14:textId="77777777" w:rsidR="00610CD4" w:rsidRPr="00FB04F6" w:rsidRDefault="00610CD4" w:rsidP="00FB04F6">
            <w:pPr>
              <w:suppressAutoHyphens/>
              <w:spacing w:after="0" w:line="240" w:lineRule="auto"/>
              <w:jc w:val="both"/>
              <w:rPr>
                <w:rStyle w:val="fontstyle01"/>
                <w:rFonts w:ascii="Arial" w:eastAsia="Times New Roman" w:hAnsi="Arial" w:cs="Arial"/>
                <w:color w:val="auto"/>
                <w:sz w:val="18"/>
                <w:szCs w:val="18"/>
              </w:rPr>
            </w:pPr>
          </w:p>
        </w:tc>
        <w:tc>
          <w:tcPr>
            <w:tcW w:w="1895" w:type="dxa"/>
            <w:shd w:val="clear" w:color="auto" w:fill="auto"/>
          </w:tcPr>
          <w:p w14:paraId="197F7400" w14:textId="77777777" w:rsidR="00610CD4" w:rsidRPr="00FB04F6" w:rsidRDefault="00610CD4" w:rsidP="00FB04F6">
            <w:pPr>
              <w:suppressAutoHyphens/>
              <w:spacing w:after="0" w:line="240" w:lineRule="auto"/>
              <w:jc w:val="both"/>
              <w:rPr>
                <w:rStyle w:val="fontstyle01"/>
                <w:rFonts w:ascii="Arial" w:eastAsia="Times New Roman" w:hAnsi="Arial" w:cs="Arial"/>
                <w:color w:val="auto"/>
                <w:sz w:val="18"/>
                <w:szCs w:val="18"/>
              </w:rPr>
            </w:pPr>
          </w:p>
        </w:tc>
        <w:tc>
          <w:tcPr>
            <w:tcW w:w="1895" w:type="dxa"/>
            <w:shd w:val="clear" w:color="auto" w:fill="auto"/>
          </w:tcPr>
          <w:p w14:paraId="4991EFD4" w14:textId="77777777" w:rsidR="00610CD4" w:rsidRPr="00FB04F6" w:rsidRDefault="00610CD4" w:rsidP="00FB04F6">
            <w:pPr>
              <w:suppressAutoHyphens/>
              <w:spacing w:after="0" w:line="240" w:lineRule="auto"/>
              <w:jc w:val="both"/>
              <w:rPr>
                <w:rStyle w:val="fontstyle01"/>
                <w:rFonts w:ascii="Arial" w:eastAsia="Times New Roman" w:hAnsi="Arial"/>
                <w:sz w:val="18"/>
                <w:szCs w:val="18"/>
              </w:rPr>
            </w:pPr>
            <w:r w:rsidRPr="00FB04F6">
              <w:rPr>
                <w:rStyle w:val="fontstyle01"/>
                <w:rFonts w:ascii="Arial" w:eastAsia="Times New Roman" w:hAnsi="Arial" w:cs="Arial"/>
                <w:sz w:val="18"/>
                <w:szCs w:val="18"/>
              </w:rPr>
              <w:t>Commentaires sur les études réalisées</w:t>
            </w:r>
          </w:p>
          <w:p w14:paraId="7EAA6AF5" w14:textId="77777777" w:rsidR="00610CD4" w:rsidRPr="00FB04F6" w:rsidRDefault="00610CD4" w:rsidP="00FB04F6">
            <w:pPr>
              <w:suppressAutoHyphens/>
              <w:spacing w:after="0" w:line="240" w:lineRule="auto"/>
              <w:jc w:val="both"/>
              <w:rPr>
                <w:rStyle w:val="fontstyle01"/>
                <w:rFonts w:ascii="Arial" w:eastAsia="Times New Roman" w:hAnsi="Arial"/>
                <w:sz w:val="18"/>
                <w:szCs w:val="18"/>
              </w:rPr>
            </w:pPr>
          </w:p>
        </w:tc>
      </w:tr>
      <w:tr w:rsidR="00345918" w:rsidRPr="00742D67" w14:paraId="64DC4309" w14:textId="77777777" w:rsidTr="00FB04F6">
        <w:trPr>
          <w:jc w:val="center"/>
        </w:trPr>
        <w:tc>
          <w:tcPr>
            <w:tcW w:w="1895" w:type="dxa"/>
            <w:shd w:val="clear" w:color="auto" w:fill="auto"/>
          </w:tcPr>
          <w:p w14:paraId="37CD9308" w14:textId="77777777" w:rsidR="00610CD4" w:rsidRPr="00FB04F6" w:rsidRDefault="00610CD4" w:rsidP="00FB04F6">
            <w:pPr>
              <w:suppressAutoHyphens/>
              <w:spacing w:after="0" w:line="240" w:lineRule="auto"/>
              <w:jc w:val="both"/>
              <w:rPr>
                <w:rFonts w:ascii="Arial" w:eastAsia="Times New Roman" w:hAnsi="Arial" w:cs="Arial"/>
                <w:b/>
                <w:bCs/>
                <w:sz w:val="18"/>
                <w:szCs w:val="18"/>
              </w:rPr>
            </w:pPr>
            <w:r w:rsidRPr="00FB04F6">
              <w:rPr>
                <w:rFonts w:ascii="Arial" w:eastAsia="Times New Roman" w:hAnsi="Arial" w:cs="Arial"/>
                <w:b/>
                <w:bCs/>
                <w:sz w:val="18"/>
                <w:szCs w:val="18"/>
              </w:rPr>
              <w:t>Examen et approbation des documents</w:t>
            </w:r>
          </w:p>
        </w:tc>
        <w:tc>
          <w:tcPr>
            <w:tcW w:w="1895" w:type="dxa"/>
            <w:shd w:val="clear" w:color="auto" w:fill="auto"/>
          </w:tcPr>
          <w:p w14:paraId="648E7A0A" w14:textId="77777777" w:rsidR="00610CD4" w:rsidRPr="00FB04F6" w:rsidRDefault="00610CD4" w:rsidP="00FB04F6">
            <w:pPr>
              <w:suppressAutoHyphens/>
              <w:spacing w:after="0" w:line="240" w:lineRule="auto"/>
              <w:jc w:val="both"/>
              <w:rPr>
                <w:rStyle w:val="fontstyle01"/>
                <w:rFonts w:ascii="Arial" w:eastAsia="Times New Roman" w:hAnsi="Arial" w:cs="Arial"/>
                <w:color w:val="auto"/>
                <w:sz w:val="18"/>
                <w:szCs w:val="18"/>
              </w:rPr>
            </w:pPr>
            <w:r w:rsidRPr="00FB04F6">
              <w:rPr>
                <w:rStyle w:val="fontstyle01"/>
                <w:rFonts w:ascii="Arial" w:eastAsia="Times New Roman" w:hAnsi="Arial" w:cs="Arial"/>
                <w:color w:val="auto"/>
                <w:sz w:val="18"/>
                <w:szCs w:val="18"/>
              </w:rPr>
              <w:t>Vérification de la conformité des études aux TDRs</w:t>
            </w:r>
          </w:p>
          <w:p w14:paraId="48ECAD32" w14:textId="77777777" w:rsidR="00610CD4" w:rsidRPr="00FB04F6" w:rsidRDefault="00B044D1" w:rsidP="00FB04F6">
            <w:pPr>
              <w:suppressAutoHyphens/>
              <w:spacing w:after="0" w:line="240" w:lineRule="auto"/>
              <w:jc w:val="both"/>
              <w:rPr>
                <w:rStyle w:val="fontstyle01"/>
                <w:rFonts w:ascii="Arial" w:eastAsia="Times New Roman" w:hAnsi="Arial" w:cs="Arial"/>
                <w:color w:val="auto"/>
                <w:sz w:val="18"/>
                <w:szCs w:val="18"/>
              </w:rPr>
            </w:pPr>
            <w:r w:rsidRPr="00FB04F6">
              <w:rPr>
                <w:rStyle w:val="fontstyle01"/>
                <w:rFonts w:ascii="Arial" w:eastAsia="Times New Roman" w:hAnsi="Arial" w:cs="Arial"/>
                <w:color w:val="auto"/>
                <w:sz w:val="18"/>
                <w:szCs w:val="18"/>
              </w:rPr>
              <w:t xml:space="preserve">Mise à jours </w:t>
            </w:r>
            <w:r w:rsidR="00610CD4" w:rsidRPr="00FB04F6">
              <w:rPr>
                <w:rStyle w:val="fontstyle01"/>
                <w:rFonts w:ascii="Arial" w:eastAsia="Times New Roman" w:hAnsi="Arial" w:cs="Arial"/>
                <w:color w:val="auto"/>
                <w:sz w:val="18"/>
                <w:szCs w:val="18"/>
              </w:rPr>
              <w:t xml:space="preserve">des documents selon les commentaires des intervenants </w:t>
            </w:r>
          </w:p>
          <w:p w14:paraId="3ABD2FA8" w14:textId="77777777" w:rsidR="00610CD4" w:rsidRPr="00FB04F6" w:rsidRDefault="00610CD4" w:rsidP="00FB04F6">
            <w:pPr>
              <w:suppressAutoHyphens/>
              <w:spacing w:after="0" w:line="240" w:lineRule="auto"/>
              <w:jc w:val="both"/>
              <w:rPr>
                <w:rStyle w:val="fontstyle01"/>
                <w:rFonts w:ascii="Arial" w:eastAsia="Times New Roman" w:hAnsi="Arial" w:cs="Arial"/>
                <w:color w:val="auto"/>
                <w:sz w:val="18"/>
                <w:szCs w:val="18"/>
              </w:rPr>
            </w:pPr>
            <w:r w:rsidRPr="00FB04F6">
              <w:rPr>
                <w:rStyle w:val="fontstyle01"/>
                <w:rFonts w:ascii="Arial" w:eastAsia="Times New Roman" w:hAnsi="Arial" w:cs="Arial"/>
                <w:color w:val="auto"/>
                <w:sz w:val="18"/>
                <w:szCs w:val="18"/>
              </w:rPr>
              <w:t xml:space="preserve">Soumission du Plan de gestion environnementale et sociale (PGES) du sous projet et autres documents requis par la Banque </w:t>
            </w:r>
            <w:r w:rsidR="00B044D1" w:rsidRPr="00FB04F6">
              <w:rPr>
                <w:rStyle w:val="fontstyle01"/>
                <w:rFonts w:ascii="Arial" w:eastAsia="Times New Roman" w:hAnsi="Arial" w:cs="Arial"/>
                <w:color w:val="auto"/>
                <w:sz w:val="18"/>
                <w:szCs w:val="18"/>
              </w:rPr>
              <w:t>mondiale</w:t>
            </w:r>
          </w:p>
          <w:p w14:paraId="06DA075E" w14:textId="77777777" w:rsidR="00610CD4" w:rsidRPr="00FB04F6" w:rsidRDefault="00610CD4" w:rsidP="00FB04F6">
            <w:pPr>
              <w:suppressAutoHyphens/>
              <w:spacing w:after="0" w:line="240" w:lineRule="auto"/>
              <w:jc w:val="both"/>
              <w:rPr>
                <w:rStyle w:val="fontstyle01"/>
                <w:rFonts w:ascii="Arial" w:eastAsia="Times New Roman" w:hAnsi="Arial" w:cs="Arial"/>
                <w:color w:val="auto"/>
                <w:sz w:val="18"/>
                <w:szCs w:val="18"/>
              </w:rPr>
            </w:pPr>
            <w:r w:rsidRPr="00FB04F6">
              <w:rPr>
                <w:rStyle w:val="fontstyle01"/>
                <w:rFonts w:ascii="Arial" w:eastAsia="Times New Roman" w:hAnsi="Arial" w:cs="Arial"/>
                <w:color w:val="auto"/>
                <w:sz w:val="18"/>
                <w:szCs w:val="18"/>
              </w:rPr>
              <w:t>Soumission du PGES du sous-projet et autres documents requis à l’ONE</w:t>
            </w:r>
            <w:r w:rsidR="00D1070E" w:rsidRPr="00FB04F6">
              <w:rPr>
                <w:rStyle w:val="fontstyle01"/>
                <w:rFonts w:ascii="Arial" w:eastAsia="Times New Roman" w:hAnsi="Arial" w:cs="Arial"/>
                <w:color w:val="auto"/>
                <w:sz w:val="18"/>
                <w:szCs w:val="18"/>
              </w:rPr>
              <w:t xml:space="preserve"> (EIES), Ministère de tutelle (PREE)</w:t>
            </w:r>
            <w:r w:rsidR="007A42B9" w:rsidRPr="00FB04F6">
              <w:rPr>
                <w:rStyle w:val="fontstyle01"/>
                <w:rFonts w:ascii="Arial" w:eastAsia="Times New Roman" w:hAnsi="Arial" w:cs="Arial"/>
                <w:color w:val="auto"/>
                <w:sz w:val="18"/>
                <w:szCs w:val="18"/>
              </w:rPr>
              <w:t xml:space="preserve"> </w:t>
            </w:r>
            <w:r w:rsidRPr="00FB04F6">
              <w:rPr>
                <w:rStyle w:val="fontstyle01"/>
                <w:rFonts w:ascii="Arial" w:eastAsia="Times New Roman" w:hAnsi="Arial" w:cs="Arial"/>
                <w:color w:val="auto"/>
                <w:sz w:val="18"/>
                <w:szCs w:val="18"/>
              </w:rPr>
              <w:t>et à la Banque mondiale</w:t>
            </w:r>
          </w:p>
        </w:tc>
        <w:tc>
          <w:tcPr>
            <w:tcW w:w="1757" w:type="dxa"/>
            <w:shd w:val="clear" w:color="auto" w:fill="auto"/>
          </w:tcPr>
          <w:p w14:paraId="755951A0" w14:textId="77777777" w:rsidR="00610CD4" w:rsidRPr="00FB04F6" w:rsidRDefault="00D1070E" w:rsidP="00FB04F6">
            <w:pPr>
              <w:suppressAutoHyphens/>
              <w:spacing w:after="0" w:line="240" w:lineRule="auto"/>
              <w:jc w:val="both"/>
              <w:rPr>
                <w:rStyle w:val="fontstyle01"/>
                <w:rFonts w:ascii="Arial" w:hAnsi="Arial" w:cs="Arial"/>
                <w:color w:val="auto"/>
                <w:sz w:val="18"/>
                <w:szCs w:val="18"/>
              </w:rPr>
            </w:pPr>
            <w:r w:rsidRPr="00FB04F6">
              <w:rPr>
                <w:rStyle w:val="fontstyle01"/>
                <w:rFonts w:ascii="Arial" w:eastAsia="Times New Roman" w:hAnsi="Arial" w:cs="Arial"/>
                <w:color w:val="auto"/>
                <w:sz w:val="18"/>
                <w:szCs w:val="18"/>
              </w:rPr>
              <w:t>Idem à celles de l’UCP</w:t>
            </w:r>
          </w:p>
        </w:tc>
        <w:tc>
          <w:tcPr>
            <w:tcW w:w="1757" w:type="dxa"/>
            <w:shd w:val="clear" w:color="auto" w:fill="auto"/>
          </w:tcPr>
          <w:p w14:paraId="7E9D54F7" w14:textId="77777777" w:rsidR="00610CD4" w:rsidRPr="00FB04F6" w:rsidRDefault="00610CD4" w:rsidP="00FB04F6">
            <w:pPr>
              <w:suppressAutoHyphens/>
              <w:spacing w:after="0" w:line="240" w:lineRule="auto"/>
              <w:jc w:val="both"/>
              <w:rPr>
                <w:rStyle w:val="fontstyle01"/>
                <w:rFonts w:ascii="Arial" w:eastAsia="Times New Roman" w:hAnsi="Arial" w:cs="Arial"/>
                <w:color w:val="auto"/>
                <w:sz w:val="18"/>
                <w:szCs w:val="18"/>
              </w:rPr>
            </w:pPr>
            <w:r w:rsidRPr="00FB04F6">
              <w:rPr>
                <w:rStyle w:val="fontstyle01"/>
                <w:rFonts w:ascii="Arial" w:eastAsia="Times New Roman" w:hAnsi="Arial" w:cs="Arial"/>
                <w:color w:val="auto"/>
                <w:sz w:val="18"/>
                <w:szCs w:val="18"/>
              </w:rPr>
              <w:t>Validation du document et délivrance d’un permis environnemental en cas d’EIEs</w:t>
            </w:r>
          </w:p>
        </w:tc>
        <w:tc>
          <w:tcPr>
            <w:tcW w:w="1757" w:type="dxa"/>
            <w:shd w:val="clear" w:color="auto" w:fill="auto"/>
          </w:tcPr>
          <w:p w14:paraId="74D19305" w14:textId="77777777" w:rsidR="00610CD4" w:rsidRPr="00FB04F6" w:rsidRDefault="00610CD4" w:rsidP="00FB04F6">
            <w:pPr>
              <w:suppressAutoHyphens/>
              <w:spacing w:after="0" w:line="240" w:lineRule="auto"/>
              <w:jc w:val="both"/>
              <w:rPr>
                <w:rStyle w:val="fontstyle01"/>
                <w:rFonts w:ascii="Arial" w:eastAsia="Times New Roman" w:hAnsi="Arial" w:cs="Arial"/>
                <w:color w:val="auto"/>
                <w:sz w:val="18"/>
                <w:szCs w:val="18"/>
              </w:rPr>
            </w:pPr>
            <w:r w:rsidRPr="00FB04F6">
              <w:rPr>
                <w:rStyle w:val="fontstyle01"/>
                <w:rFonts w:ascii="Arial" w:eastAsia="Times New Roman" w:hAnsi="Arial" w:cs="Arial"/>
                <w:color w:val="auto"/>
                <w:sz w:val="18"/>
                <w:szCs w:val="18"/>
              </w:rPr>
              <w:t>Validation du document et délivrance d’une autorisation environnementale en cas de PREE</w:t>
            </w:r>
          </w:p>
        </w:tc>
        <w:tc>
          <w:tcPr>
            <w:tcW w:w="1757" w:type="dxa"/>
            <w:shd w:val="clear" w:color="auto" w:fill="auto"/>
          </w:tcPr>
          <w:p w14:paraId="27021A6F" w14:textId="77777777" w:rsidR="00610CD4" w:rsidRPr="00FB04F6" w:rsidRDefault="00610CD4" w:rsidP="00FB04F6">
            <w:pPr>
              <w:suppressAutoHyphens/>
              <w:spacing w:after="0" w:line="240" w:lineRule="auto"/>
              <w:jc w:val="both"/>
              <w:rPr>
                <w:rStyle w:val="fontstyle01"/>
                <w:rFonts w:ascii="Arial" w:eastAsia="Times New Roman" w:hAnsi="Arial"/>
                <w:sz w:val="18"/>
                <w:szCs w:val="18"/>
              </w:rPr>
            </w:pPr>
            <w:r w:rsidRPr="00FB04F6">
              <w:rPr>
                <w:rStyle w:val="fontstyle01"/>
                <w:rFonts w:ascii="Arial" w:eastAsia="Times New Roman" w:hAnsi="Arial" w:cs="Arial"/>
                <w:sz w:val="18"/>
                <w:szCs w:val="18"/>
              </w:rPr>
              <w:t>Commentaires sur les études réalisées</w:t>
            </w:r>
          </w:p>
          <w:p w14:paraId="16BCD24B" w14:textId="77777777" w:rsidR="00610CD4" w:rsidRPr="00FB04F6" w:rsidRDefault="00610CD4" w:rsidP="00FB04F6">
            <w:pPr>
              <w:suppressAutoHyphens/>
              <w:spacing w:after="0" w:line="240" w:lineRule="auto"/>
              <w:jc w:val="both"/>
              <w:rPr>
                <w:rStyle w:val="fontstyle01"/>
                <w:rFonts w:ascii="Arial" w:eastAsia="Times New Roman" w:hAnsi="Arial"/>
                <w:sz w:val="18"/>
                <w:szCs w:val="18"/>
              </w:rPr>
            </w:pPr>
            <w:r w:rsidRPr="00FB04F6">
              <w:rPr>
                <w:rStyle w:val="fontstyle01"/>
                <w:rFonts w:ascii="Arial" w:eastAsia="Times New Roman" w:hAnsi="Arial" w:cs="Arial"/>
                <w:sz w:val="18"/>
                <w:szCs w:val="18"/>
              </w:rPr>
              <w:t xml:space="preserve">Approbation des études environnementales et sociales requises </w:t>
            </w:r>
          </w:p>
        </w:tc>
      </w:tr>
      <w:tr w:rsidR="00345918" w:rsidRPr="00742D67" w14:paraId="7DF6D838" w14:textId="77777777" w:rsidTr="00FB04F6">
        <w:trPr>
          <w:jc w:val="center"/>
        </w:trPr>
        <w:tc>
          <w:tcPr>
            <w:tcW w:w="1757" w:type="dxa"/>
            <w:shd w:val="clear" w:color="auto" w:fill="auto"/>
          </w:tcPr>
          <w:p w14:paraId="7104AE85" w14:textId="77777777" w:rsidR="00610CD4" w:rsidRPr="00FB04F6" w:rsidRDefault="00610CD4" w:rsidP="00FB04F6">
            <w:pPr>
              <w:suppressAutoHyphens/>
              <w:spacing w:after="0" w:line="240" w:lineRule="auto"/>
              <w:jc w:val="both"/>
              <w:rPr>
                <w:rFonts w:ascii="Arial" w:eastAsia="Times New Roman" w:hAnsi="Arial" w:cs="Arial"/>
                <w:b/>
                <w:bCs/>
                <w:sz w:val="18"/>
                <w:szCs w:val="18"/>
              </w:rPr>
            </w:pPr>
            <w:r w:rsidRPr="00FB04F6">
              <w:rPr>
                <w:rFonts w:ascii="Arial" w:eastAsia="Times New Roman" w:hAnsi="Arial" w:cs="Arial"/>
                <w:b/>
                <w:bCs/>
                <w:sz w:val="18"/>
                <w:szCs w:val="18"/>
              </w:rPr>
              <w:t>Diffusion des documents</w:t>
            </w:r>
          </w:p>
        </w:tc>
        <w:tc>
          <w:tcPr>
            <w:tcW w:w="1757" w:type="dxa"/>
            <w:shd w:val="clear" w:color="auto" w:fill="auto"/>
          </w:tcPr>
          <w:p w14:paraId="5BA826FD" w14:textId="77777777" w:rsidR="00610CD4" w:rsidRPr="00FB04F6" w:rsidRDefault="00610CD4" w:rsidP="00FB04F6">
            <w:pPr>
              <w:suppressAutoHyphens/>
              <w:spacing w:after="0" w:line="240" w:lineRule="auto"/>
              <w:jc w:val="both"/>
              <w:rPr>
                <w:rStyle w:val="fontstyle01"/>
                <w:rFonts w:ascii="Arial" w:eastAsia="Times New Roman" w:hAnsi="Arial"/>
                <w:color w:val="auto"/>
                <w:sz w:val="18"/>
                <w:szCs w:val="18"/>
              </w:rPr>
            </w:pPr>
            <w:r w:rsidRPr="00FB04F6">
              <w:rPr>
                <w:rStyle w:val="fontstyle01"/>
                <w:rFonts w:ascii="Arial" w:eastAsia="Times New Roman" w:hAnsi="Arial"/>
                <w:color w:val="auto"/>
                <w:sz w:val="18"/>
                <w:szCs w:val="18"/>
              </w:rPr>
              <w:t xml:space="preserve">Site Web du Projet/ </w:t>
            </w:r>
            <w:r w:rsidR="00D1070E" w:rsidRPr="00FB04F6">
              <w:rPr>
                <w:rStyle w:val="fontstyle01"/>
                <w:rFonts w:ascii="Arial" w:eastAsia="Times New Roman" w:hAnsi="Arial"/>
                <w:color w:val="auto"/>
                <w:sz w:val="18"/>
                <w:szCs w:val="18"/>
              </w:rPr>
              <w:t>MEH/MNDPT</w:t>
            </w:r>
          </w:p>
          <w:p w14:paraId="5CECAFB8" w14:textId="77777777" w:rsidR="00610CD4" w:rsidRPr="00FB04F6" w:rsidRDefault="00610CD4" w:rsidP="00FB04F6">
            <w:pPr>
              <w:suppressAutoHyphens/>
              <w:spacing w:after="0" w:line="240" w:lineRule="auto"/>
              <w:jc w:val="both"/>
              <w:rPr>
                <w:rStyle w:val="fontstyle01"/>
                <w:rFonts w:ascii="Arial" w:eastAsia="Times New Roman" w:hAnsi="Arial" w:cs="Arial"/>
                <w:color w:val="auto"/>
                <w:sz w:val="18"/>
                <w:szCs w:val="18"/>
              </w:rPr>
            </w:pPr>
            <w:r w:rsidRPr="00FB04F6">
              <w:rPr>
                <w:rStyle w:val="fontstyle01"/>
                <w:rFonts w:ascii="Arial" w:eastAsia="Times New Roman" w:hAnsi="Arial"/>
                <w:color w:val="auto"/>
                <w:sz w:val="18"/>
                <w:szCs w:val="18"/>
              </w:rPr>
              <w:t>Au niveau local (dans les Fokontany et les Communes)</w:t>
            </w:r>
          </w:p>
        </w:tc>
        <w:tc>
          <w:tcPr>
            <w:tcW w:w="1757" w:type="dxa"/>
            <w:shd w:val="clear" w:color="auto" w:fill="auto"/>
          </w:tcPr>
          <w:p w14:paraId="7F1E10B0" w14:textId="77777777" w:rsidR="00610CD4" w:rsidRPr="00FB04F6" w:rsidRDefault="00D1070E" w:rsidP="00FB04F6">
            <w:pPr>
              <w:suppressAutoHyphens/>
              <w:spacing w:after="0" w:line="240" w:lineRule="auto"/>
              <w:jc w:val="both"/>
              <w:rPr>
                <w:rStyle w:val="fontstyle01"/>
                <w:rFonts w:ascii="Arial" w:eastAsia="Times New Roman" w:hAnsi="Arial"/>
                <w:color w:val="auto"/>
                <w:sz w:val="18"/>
                <w:szCs w:val="18"/>
              </w:rPr>
            </w:pPr>
            <w:r w:rsidRPr="00FB04F6">
              <w:rPr>
                <w:rStyle w:val="fontstyle01"/>
                <w:rFonts w:ascii="Arial" w:eastAsia="Times New Roman" w:hAnsi="Arial" w:cs="Arial"/>
                <w:color w:val="auto"/>
                <w:sz w:val="18"/>
                <w:szCs w:val="18"/>
              </w:rPr>
              <w:t>Idem à celles de l’UCP</w:t>
            </w:r>
          </w:p>
        </w:tc>
        <w:tc>
          <w:tcPr>
            <w:tcW w:w="1757" w:type="dxa"/>
            <w:shd w:val="clear" w:color="auto" w:fill="auto"/>
          </w:tcPr>
          <w:p w14:paraId="3F7330E4" w14:textId="77777777" w:rsidR="00610CD4" w:rsidRPr="00FB04F6" w:rsidRDefault="00610CD4" w:rsidP="00FB04F6">
            <w:pPr>
              <w:suppressAutoHyphens/>
              <w:spacing w:after="0" w:line="240" w:lineRule="auto"/>
              <w:jc w:val="both"/>
              <w:rPr>
                <w:rStyle w:val="fontstyle01"/>
                <w:rFonts w:ascii="Arial" w:eastAsia="Times New Roman" w:hAnsi="Arial"/>
                <w:color w:val="auto"/>
                <w:sz w:val="18"/>
                <w:szCs w:val="18"/>
              </w:rPr>
            </w:pPr>
          </w:p>
        </w:tc>
        <w:tc>
          <w:tcPr>
            <w:tcW w:w="1757" w:type="dxa"/>
            <w:shd w:val="clear" w:color="auto" w:fill="auto"/>
          </w:tcPr>
          <w:p w14:paraId="41276588" w14:textId="77777777" w:rsidR="00610CD4" w:rsidRPr="00FB04F6" w:rsidRDefault="00610CD4" w:rsidP="00FB04F6">
            <w:pPr>
              <w:suppressAutoHyphens/>
              <w:spacing w:after="0" w:line="240" w:lineRule="auto"/>
              <w:jc w:val="both"/>
              <w:rPr>
                <w:rStyle w:val="fontstyle01"/>
                <w:rFonts w:ascii="Arial" w:eastAsia="Times New Roman" w:hAnsi="Arial"/>
                <w:color w:val="auto"/>
                <w:sz w:val="18"/>
                <w:szCs w:val="18"/>
              </w:rPr>
            </w:pPr>
          </w:p>
        </w:tc>
        <w:tc>
          <w:tcPr>
            <w:tcW w:w="1757" w:type="dxa"/>
            <w:shd w:val="clear" w:color="auto" w:fill="auto"/>
          </w:tcPr>
          <w:p w14:paraId="1F6EEFEB" w14:textId="77777777" w:rsidR="00610CD4" w:rsidRPr="00FB04F6" w:rsidRDefault="00610CD4" w:rsidP="00FB04F6">
            <w:pPr>
              <w:suppressAutoHyphens/>
              <w:spacing w:after="0" w:line="240" w:lineRule="auto"/>
              <w:jc w:val="both"/>
              <w:rPr>
                <w:rStyle w:val="fontstyle01"/>
                <w:rFonts w:ascii="Arial" w:eastAsia="Times New Roman" w:hAnsi="Arial" w:cs="Arial"/>
                <w:sz w:val="18"/>
                <w:szCs w:val="18"/>
              </w:rPr>
            </w:pPr>
            <w:r w:rsidRPr="00FB04F6">
              <w:rPr>
                <w:rStyle w:val="fontstyle01"/>
                <w:rFonts w:ascii="Arial" w:eastAsia="Times New Roman" w:hAnsi="Arial"/>
                <w:sz w:val="18"/>
                <w:szCs w:val="18"/>
              </w:rPr>
              <w:t>Site Web public de la Banque mondiale</w:t>
            </w:r>
          </w:p>
        </w:tc>
      </w:tr>
      <w:tr w:rsidR="00345918" w:rsidRPr="007F78CE" w14:paraId="435F9D1A" w14:textId="77777777" w:rsidTr="00FB04F6">
        <w:trPr>
          <w:jc w:val="center"/>
        </w:trPr>
        <w:tc>
          <w:tcPr>
            <w:tcW w:w="1757" w:type="dxa"/>
            <w:shd w:val="clear" w:color="auto" w:fill="auto"/>
          </w:tcPr>
          <w:p w14:paraId="01D1D1FC" w14:textId="77777777" w:rsidR="00610CD4" w:rsidRPr="00FB04F6" w:rsidRDefault="00610CD4" w:rsidP="00FB04F6">
            <w:pPr>
              <w:suppressAutoHyphens/>
              <w:spacing w:after="0" w:line="240" w:lineRule="auto"/>
              <w:jc w:val="both"/>
              <w:rPr>
                <w:rFonts w:ascii="Arial" w:eastAsia="Times New Roman" w:hAnsi="Arial" w:cs="Arial"/>
                <w:b/>
                <w:bCs/>
                <w:sz w:val="18"/>
                <w:szCs w:val="18"/>
              </w:rPr>
            </w:pPr>
            <w:r w:rsidRPr="00FB04F6">
              <w:rPr>
                <w:rStyle w:val="fontstyle01"/>
                <w:rFonts w:ascii="Arial" w:eastAsia="Times New Roman" w:hAnsi="Arial" w:cs="Arial"/>
                <w:b/>
                <w:bCs/>
                <w:sz w:val="18"/>
                <w:szCs w:val="18"/>
              </w:rPr>
              <w:t>Surveillance et suivi environnemental et social</w:t>
            </w:r>
          </w:p>
        </w:tc>
        <w:tc>
          <w:tcPr>
            <w:tcW w:w="1757" w:type="dxa"/>
            <w:shd w:val="clear" w:color="auto" w:fill="auto"/>
          </w:tcPr>
          <w:p w14:paraId="69716AEA" w14:textId="77777777" w:rsidR="00610CD4" w:rsidRPr="00FB04F6" w:rsidRDefault="00871E0F" w:rsidP="00FB04F6">
            <w:pPr>
              <w:suppressAutoHyphens/>
              <w:spacing w:after="0" w:line="240" w:lineRule="auto"/>
              <w:jc w:val="both"/>
              <w:rPr>
                <w:rStyle w:val="fontstyle01"/>
                <w:rFonts w:ascii="Arial" w:eastAsia="Times New Roman" w:hAnsi="Arial" w:cs="Arial"/>
                <w:color w:val="auto"/>
                <w:sz w:val="18"/>
                <w:szCs w:val="18"/>
              </w:rPr>
            </w:pPr>
            <w:r w:rsidRPr="00FB04F6">
              <w:rPr>
                <w:rStyle w:val="fontstyle01"/>
                <w:rFonts w:ascii="Arial" w:eastAsia="Times New Roman" w:hAnsi="Arial" w:cs="Arial"/>
                <w:color w:val="auto"/>
                <w:sz w:val="18"/>
                <w:szCs w:val="18"/>
              </w:rPr>
              <w:t>Surveillance et s</w:t>
            </w:r>
            <w:r w:rsidR="00B044D1" w:rsidRPr="00FB04F6">
              <w:rPr>
                <w:rStyle w:val="fontstyle01"/>
                <w:rFonts w:ascii="Arial" w:eastAsia="Times New Roman" w:hAnsi="Arial" w:cs="Arial"/>
                <w:color w:val="auto"/>
                <w:sz w:val="18"/>
                <w:szCs w:val="18"/>
              </w:rPr>
              <w:t xml:space="preserve">uivi interne </w:t>
            </w:r>
            <w:r w:rsidR="02CAA371" w:rsidRPr="00FB04F6">
              <w:rPr>
                <w:rStyle w:val="fontstyle01"/>
                <w:rFonts w:ascii="Arial" w:eastAsia="Times New Roman" w:hAnsi="Arial" w:cs="Arial"/>
                <w:color w:val="auto"/>
                <w:sz w:val="18"/>
                <w:szCs w:val="18"/>
              </w:rPr>
              <w:t xml:space="preserve">de l’exécution du PGES </w:t>
            </w:r>
          </w:p>
          <w:p w14:paraId="3F1F7FF5" w14:textId="77777777" w:rsidR="00610CD4" w:rsidRPr="00FB04F6" w:rsidRDefault="00610CD4" w:rsidP="00FB04F6">
            <w:pPr>
              <w:suppressAutoHyphens/>
              <w:spacing w:after="0" w:line="240" w:lineRule="auto"/>
              <w:jc w:val="both"/>
              <w:rPr>
                <w:rStyle w:val="fontstyle01"/>
                <w:rFonts w:ascii="Arial" w:eastAsia="Times New Roman" w:hAnsi="Arial" w:cs="Arial"/>
                <w:color w:val="auto"/>
                <w:sz w:val="18"/>
                <w:szCs w:val="18"/>
              </w:rPr>
            </w:pPr>
            <w:r w:rsidRPr="00FB04F6">
              <w:rPr>
                <w:rStyle w:val="fontstyle01"/>
                <w:rFonts w:ascii="Arial" w:eastAsia="Times New Roman" w:hAnsi="Arial" w:cs="Arial"/>
                <w:color w:val="auto"/>
                <w:sz w:val="18"/>
                <w:szCs w:val="18"/>
              </w:rPr>
              <w:t>Soumission de rapports périodiques à l’ONE et à la Banque mondiale</w:t>
            </w:r>
          </w:p>
          <w:p w14:paraId="367CA888" w14:textId="77777777" w:rsidR="00610CD4" w:rsidRPr="00FB04F6" w:rsidRDefault="00610CD4" w:rsidP="00FB04F6">
            <w:pPr>
              <w:suppressAutoHyphens/>
              <w:spacing w:after="0" w:line="240" w:lineRule="auto"/>
              <w:jc w:val="both"/>
              <w:rPr>
                <w:rStyle w:val="fontstyle01"/>
                <w:rFonts w:ascii="Arial" w:eastAsia="Times New Roman" w:hAnsi="Arial"/>
                <w:color w:val="auto"/>
                <w:sz w:val="18"/>
                <w:szCs w:val="18"/>
              </w:rPr>
            </w:pPr>
            <w:r w:rsidRPr="00FB04F6">
              <w:rPr>
                <w:rStyle w:val="fontstyle01"/>
                <w:rFonts w:ascii="Arial" w:eastAsia="Times New Roman" w:hAnsi="Arial" w:cs="Arial"/>
                <w:color w:val="auto"/>
                <w:sz w:val="18"/>
                <w:szCs w:val="18"/>
              </w:rPr>
              <w:t xml:space="preserve">Evaluation/audit (mi-parcours et final) </w:t>
            </w:r>
          </w:p>
        </w:tc>
        <w:tc>
          <w:tcPr>
            <w:tcW w:w="1757" w:type="dxa"/>
            <w:shd w:val="clear" w:color="auto" w:fill="auto"/>
          </w:tcPr>
          <w:p w14:paraId="675A2AAB" w14:textId="77777777" w:rsidR="00610CD4" w:rsidRPr="00FB04F6" w:rsidRDefault="00D1070E" w:rsidP="00FB04F6">
            <w:pPr>
              <w:suppressAutoHyphens/>
              <w:spacing w:after="0" w:line="240" w:lineRule="auto"/>
              <w:jc w:val="both"/>
              <w:rPr>
                <w:rStyle w:val="fontstyle01"/>
                <w:rFonts w:ascii="Arial" w:hAnsi="Arial" w:cs="Arial"/>
                <w:color w:val="auto"/>
                <w:sz w:val="18"/>
                <w:szCs w:val="18"/>
              </w:rPr>
            </w:pPr>
            <w:r w:rsidRPr="00FB04F6">
              <w:rPr>
                <w:rStyle w:val="fontstyle01"/>
                <w:rFonts w:ascii="Arial" w:eastAsia="Times New Roman" w:hAnsi="Arial" w:cs="Arial"/>
                <w:color w:val="auto"/>
                <w:sz w:val="18"/>
                <w:szCs w:val="18"/>
              </w:rPr>
              <w:t>Idem à celles de l’UCP</w:t>
            </w:r>
          </w:p>
        </w:tc>
        <w:tc>
          <w:tcPr>
            <w:tcW w:w="1757" w:type="dxa"/>
            <w:shd w:val="clear" w:color="auto" w:fill="auto"/>
          </w:tcPr>
          <w:p w14:paraId="0923C3FB" w14:textId="77777777" w:rsidR="00610CD4" w:rsidRPr="00FB04F6" w:rsidRDefault="00B044D1" w:rsidP="00FB04F6">
            <w:pPr>
              <w:suppressAutoHyphens/>
              <w:spacing w:after="0" w:line="240" w:lineRule="auto"/>
              <w:jc w:val="both"/>
              <w:rPr>
                <w:rStyle w:val="fontstyle01"/>
                <w:rFonts w:ascii="Arial" w:eastAsia="Times New Roman" w:hAnsi="Arial" w:cs="Arial"/>
                <w:color w:val="auto"/>
                <w:sz w:val="18"/>
                <w:szCs w:val="18"/>
              </w:rPr>
            </w:pPr>
            <w:r w:rsidRPr="00FB04F6">
              <w:rPr>
                <w:rStyle w:val="fontstyle01"/>
                <w:rFonts w:ascii="Arial" w:eastAsia="Times New Roman" w:hAnsi="Arial" w:cs="Arial"/>
                <w:color w:val="auto"/>
                <w:sz w:val="18"/>
                <w:szCs w:val="18"/>
              </w:rPr>
              <w:t xml:space="preserve">Responsable de suivi </w:t>
            </w:r>
            <w:r w:rsidR="00871E0F" w:rsidRPr="00FB04F6">
              <w:rPr>
                <w:rStyle w:val="fontstyle01"/>
                <w:rFonts w:ascii="Arial" w:eastAsia="Times New Roman" w:hAnsi="Arial" w:cs="Arial"/>
                <w:color w:val="auto"/>
                <w:sz w:val="18"/>
                <w:szCs w:val="18"/>
              </w:rPr>
              <w:t xml:space="preserve">externe </w:t>
            </w:r>
            <w:r w:rsidR="02CAA371" w:rsidRPr="00FB04F6">
              <w:rPr>
                <w:rStyle w:val="fontstyle01"/>
                <w:rFonts w:ascii="Arial" w:eastAsia="Times New Roman" w:hAnsi="Arial" w:cs="Arial"/>
                <w:color w:val="auto"/>
                <w:sz w:val="18"/>
                <w:szCs w:val="18"/>
              </w:rPr>
              <w:t>environnemental en cas d’EIES</w:t>
            </w:r>
          </w:p>
        </w:tc>
        <w:tc>
          <w:tcPr>
            <w:tcW w:w="1757" w:type="dxa"/>
            <w:shd w:val="clear" w:color="auto" w:fill="auto"/>
          </w:tcPr>
          <w:p w14:paraId="3C223034" w14:textId="77777777" w:rsidR="00610CD4" w:rsidRPr="00FB04F6" w:rsidRDefault="00610CD4" w:rsidP="00FB04F6">
            <w:pPr>
              <w:suppressAutoHyphens/>
              <w:spacing w:after="0" w:line="240" w:lineRule="auto"/>
              <w:jc w:val="both"/>
              <w:rPr>
                <w:rStyle w:val="fontstyle01"/>
                <w:rFonts w:ascii="Arial" w:eastAsia="Times New Roman" w:hAnsi="Arial" w:cs="Arial"/>
                <w:color w:val="auto"/>
                <w:sz w:val="18"/>
                <w:szCs w:val="18"/>
              </w:rPr>
            </w:pPr>
            <w:r w:rsidRPr="00FB04F6">
              <w:rPr>
                <w:rStyle w:val="fontstyle01"/>
                <w:rFonts w:ascii="Arial" w:eastAsia="Times New Roman" w:hAnsi="Arial" w:cs="Arial"/>
                <w:color w:val="auto"/>
                <w:sz w:val="18"/>
                <w:szCs w:val="18"/>
              </w:rPr>
              <w:t>Responsable de suivi environnemental en cas de PREE</w:t>
            </w:r>
          </w:p>
        </w:tc>
        <w:tc>
          <w:tcPr>
            <w:tcW w:w="1757" w:type="dxa"/>
            <w:shd w:val="clear" w:color="auto" w:fill="auto"/>
          </w:tcPr>
          <w:p w14:paraId="06A00154" w14:textId="77777777" w:rsidR="00610CD4" w:rsidRPr="00FB04F6" w:rsidRDefault="00610CD4" w:rsidP="00FB04F6">
            <w:pPr>
              <w:suppressAutoHyphens/>
              <w:spacing w:after="0" w:line="240" w:lineRule="auto"/>
              <w:jc w:val="both"/>
              <w:rPr>
                <w:rStyle w:val="fontstyle01"/>
                <w:rFonts w:ascii="Arial" w:eastAsia="Times New Roman" w:hAnsi="Arial"/>
                <w:sz w:val="18"/>
                <w:szCs w:val="18"/>
              </w:rPr>
            </w:pPr>
            <w:r w:rsidRPr="00FB04F6">
              <w:rPr>
                <w:rStyle w:val="fontstyle01"/>
                <w:rFonts w:ascii="Arial" w:eastAsia="Times New Roman" w:hAnsi="Arial" w:cs="Arial"/>
                <w:sz w:val="18"/>
                <w:szCs w:val="18"/>
              </w:rPr>
              <w:t>Supervision/Mission d’appui (tous les 6 mois)</w:t>
            </w:r>
          </w:p>
        </w:tc>
      </w:tr>
    </w:tbl>
    <w:p w14:paraId="461AC104" w14:textId="77777777" w:rsidR="004A22F3" w:rsidRDefault="004A22F3"/>
    <w:p w14:paraId="0B6B96BD" w14:textId="77777777" w:rsidR="003E32E9" w:rsidRPr="007F78CE" w:rsidRDefault="00C261A6" w:rsidP="0044500E">
      <w:pPr>
        <w:pStyle w:val="TIT2"/>
        <w:numPr>
          <w:ilvl w:val="1"/>
          <w:numId w:val="177"/>
        </w:numPr>
      </w:pPr>
      <w:bookmarkStart w:id="1382" w:name="_Toc127957725"/>
      <w:r w:rsidRPr="007F78CE">
        <w:t>Arrangements institutionnels pour la mise en œuvre et suivi du CGES</w:t>
      </w:r>
      <w:bookmarkEnd w:id="1382"/>
    </w:p>
    <w:p w14:paraId="398293CC" w14:textId="77777777" w:rsidR="00764D3E" w:rsidRDefault="00764D3E" w:rsidP="00764D3E">
      <w:pPr>
        <w:autoSpaceDE w:val="0"/>
        <w:autoSpaceDN w:val="0"/>
        <w:adjustRightInd w:val="0"/>
        <w:jc w:val="both"/>
        <w:rPr>
          <w:rFonts w:ascii="Arial" w:hAnsi="Arial" w:cs="Arial"/>
        </w:rPr>
      </w:pPr>
      <w:r w:rsidRPr="1B6D98A2">
        <w:rPr>
          <w:rFonts w:ascii="Arial" w:hAnsi="Arial" w:cs="Arial"/>
        </w:rPr>
        <w:t xml:space="preserve">Les principaux acteurs sont les suivants : </w:t>
      </w:r>
    </w:p>
    <w:p w14:paraId="616CC95B" w14:textId="77777777" w:rsidR="00764D3E" w:rsidRPr="00FD3415" w:rsidRDefault="004B1AF2" w:rsidP="00DC2F70">
      <w:pPr>
        <w:pStyle w:val="Paragraphedeliste"/>
        <w:numPr>
          <w:ilvl w:val="0"/>
          <w:numId w:val="23"/>
        </w:numPr>
        <w:autoSpaceDE w:val="0"/>
        <w:autoSpaceDN w:val="0"/>
        <w:adjustRightInd w:val="0"/>
        <w:jc w:val="both"/>
        <w:rPr>
          <w:rFonts w:ascii="Arial" w:hAnsi="Arial" w:cs="Arial"/>
          <w:szCs w:val="24"/>
        </w:rPr>
      </w:pPr>
      <w:r w:rsidRPr="00DC2F70">
        <w:rPr>
          <w:rFonts w:ascii="Arial" w:hAnsi="Arial" w:cs="Arial"/>
          <w:szCs w:val="24"/>
        </w:rPr>
        <w:t>L</w:t>
      </w:r>
      <w:r w:rsidR="00764D3E" w:rsidRPr="00DC2F70">
        <w:rPr>
          <w:rFonts w:ascii="Arial" w:hAnsi="Arial" w:cs="Arial"/>
          <w:szCs w:val="24"/>
        </w:rPr>
        <w:t xml:space="preserve">e Ministère de </w:t>
      </w:r>
      <w:bookmarkStart w:id="1383" w:name="_Toc124314785"/>
      <w:bookmarkStart w:id="1384" w:name="_Toc124956321"/>
      <w:bookmarkStart w:id="1385" w:name="_Toc125384669"/>
      <w:bookmarkStart w:id="1386" w:name="_Toc125385058"/>
      <w:r w:rsidR="00764D3E" w:rsidRPr="00DC2F70">
        <w:rPr>
          <w:rFonts w:ascii="Arial" w:hAnsi="Arial" w:cs="Arial"/>
          <w:szCs w:val="24"/>
        </w:rPr>
        <w:t>l’Energie et des Hydrocarbures et le Ministère du Développement Num</w:t>
      </w:r>
      <w:bookmarkEnd w:id="1383"/>
      <w:bookmarkEnd w:id="1384"/>
      <w:bookmarkEnd w:id="1385"/>
      <w:bookmarkEnd w:id="1386"/>
      <w:r w:rsidR="00764D3E" w:rsidRPr="00DC2F70">
        <w:rPr>
          <w:rFonts w:ascii="Arial" w:hAnsi="Arial" w:cs="Arial"/>
          <w:szCs w:val="24"/>
        </w:rPr>
        <w:t xml:space="preserve">érique, </w:t>
      </w:r>
      <w:r w:rsidRPr="009745D3">
        <w:rPr>
          <w:rFonts w:ascii="Arial" w:hAnsi="Arial" w:cs="Arial"/>
          <w:szCs w:val="24"/>
        </w:rPr>
        <w:t xml:space="preserve">de la </w:t>
      </w:r>
      <w:r w:rsidR="00764D3E" w:rsidRPr="00FD3415">
        <w:rPr>
          <w:rFonts w:ascii="Arial" w:hAnsi="Arial" w:cs="Arial"/>
          <w:szCs w:val="24"/>
        </w:rPr>
        <w:t>Transformation Digitale, des Postes et des Télécommunications (MNDPT), en tant que Ma</w:t>
      </w:r>
      <w:r w:rsidR="00B044D1" w:rsidRPr="00FD3415">
        <w:rPr>
          <w:rFonts w:ascii="Arial" w:hAnsi="Arial" w:cs="Arial"/>
          <w:szCs w:val="24"/>
        </w:rPr>
        <w:t>î</w:t>
      </w:r>
      <w:r w:rsidR="00764D3E" w:rsidRPr="0018026D">
        <w:rPr>
          <w:rFonts w:ascii="Arial" w:hAnsi="Arial" w:cs="Arial"/>
          <w:szCs w:val="24"/>
        </w:rPr>
        <w:t xml:space="preserve">tre d’Ouvrage </w:t>
      </w:r>
      <w:r w:rsidR="005D0235" w:rsidRPr="00FD3415">
        <w:rPr>
          <w:rFonts w:ascii="Arial" w:hAnsi="Arial" w:cs="Arial"/>
          <w:szCs w:val="24"/>
        </w:rPr>
        <w:t>;</w:t>
      </w:r>
    </w:p>
    <w:p w14:paraId="25759681" w14:textId="77777777" w:rsidR="00764D3E" w:rsidRDefault="004B1AF2" w:rsidP="00687DD2">
      <w:pPr>
        <w:pStyle w:val="Paragraphedeliste"/>
        <w:numPr>
          <w:ilvl w:val="0"/>
          <w:numId w:val="23"/>
        </w:numPr>
        <w:autoSpaceDE w:val="0"/>
        <w:autoSpaceDN w:val="0"/>
        <w:adjustRightInd w:val="0"/>
        <w:jc w:val="both"/>
        <w:rPr>
          <w:rFonts w:ascii="Arial" w:hAnsi="Arial" w:cs="Arial"/>
          <w:szCs w:val="24"/>
        </w:rPr>
      </w:pPr>
      <w:r>
        <w:rPr>
          <w:rFonts w:ascii="Arial" w:hAnsi="Arial" w:cs="Arial"/>
          <w:szCs w:val="24"/>
        </w:rPr>
        <w:t>L</w:t>
      </w:r>
      <w:r w:rsidR="00764D3E">
        <w:rPr>
          <w:rFonts w:ascii="Arial" w:hAnsi="Arial" w:cs="Arial"/>
          <w:szCs w:val="24"/>
        </w:rPr>
        <w:t>’Unité de Coordination du Projet qui assurera la mise en œuvre du Projet DECIM</w:t>
      </w:r>
    </w:p>
    <w:p w14:paraId="2B1BA2AA" w14:textId="77777777" w:rsidR="00764D3E" w:rsidRPr="00BD5601" w:rsidRDefault="00B044D1" w:rsidP="00687DD2">
      <w:pPr>
        <w:pStyle w:val="Paragraphedeliste"/>
        <w:numPr>
          <w:ilvl w:val="0"/>
          <w:numId w:val="23"/>
        </w:numPr>
        <w:spacing w:before="120" w:after="0" w:line="240" w:lineRule="auto"/>
        <w:jc w:val="both"/>
        <w:rPr>
          <w:rFonts w:ascii="Arial" w:hAnsi="Arial" w:cs="Arial"/>
          <w:szCs w:val="24"/>
        </w:rPr>
      </w:pPr>
      <w:r w:rsidRPr="0A1598FD">
        <w:rPr>
          <w:rFonts w:ascii="Arial" w:hAnsi="Arial" w:cs="Arial"/>
        </w:rPr>
        <w:t xml:space="preserve">Le Comité Technique </w:t>
      </w:r>
      <w:r w:rsidR="00764D3E" w:rsidRPr="0A1598FD">
        <w:rPr>
          <w:rFonts w:ascii="Arial" w:hAnsi="Arial" w:cs="Arial"/>
        </w:rPr>
        <w:t>qui fournira un soutien technique supplémentaire au Projet</w:t>
      </w:r>
      <w:r w:rsidR="005D0235" w:rsidRPr="0A1598FD">
        <w:rPr>
          <w:rFonts w:ascii="Arial" w:hAnsi="Arial" w:cs="Arial"/>
        </w:rPr>
        <w:t> ;</w:t>
      </w:r>
    </w:p>
    <w:p w14:paraId="5E3C1864" w14:textId="77777777" w:rsidR="00764D3E" w:rsidRDefault="004B1AF2" w:rsidP="00687DD2">
      <w:pPr>
        <w:pStyle w:val="Paragraphedeliste"/>
        <w:numPr>
          <w:ilvl w:val="0"/>
          <w:numId w:val="23"/>
        </w:numPr>
        <w:autoSpaceDE w:val="0"/>
        <w:autoSpaceDN w:val="0"/>
        <w:adjustRightInd w:val="0"/>
        <w:jc w:val="both"/>
        <w:rPr>
          <w:rFonts w:ascii="Arial" w:hAnsi="Arial" w:cs="Arial"/>
          <w:szCs w:val="24"/>
        </w:rPr>
      </w:pPr>
      <w:r>
        <w:rPr>
          <w:rFonts w:ascii="Arial" w:hAnsi="Arial" w:cs="Arial"/>
          <w:szCs w:val="24"/>
        </w:rPr>
        <w:t>L</w:t>
      </w:r>
      <w:r w:rsidR="00764D3E">
        <w:rPr>
          <w:rFonts w:ascii="Arial" w:hAnsi="Arial" w:cs="Arial"/>
          <w:szCs w:val="24"/>
        </w:rPr>
        <w:t>a JIRAMA et l’ADER ainsi que les Opérateur</w:t>
      </w:r>
      <w:r>
        <w:rPr>
          <w:rFonts w:ascii="Arial" w:hAnsi="Arial" w:cs="Arial"/>
          <w:szCs w:val="24"/>
        </w:rPr>
        <w:t>s</w:t>
      </w:r>
      <w:r w:rsidR="00764D3E">
        <w:rPr>
          <w:rFonts w:ascii="Arial" w:hAnsi="Arial" w:cs="Arial"/>
          <w:szCs w:val="24"/>
        </w:rPr>
        <w:t xml:space="preserve"> numérique</w:t>
      </w:r>
      <w:r>
        <w:rPr>
          <w:rFonts w:ascii="Arial" w:hAnsi="Arial" w:cs="Arial"/>
          <w:szCs w:val="24"/>
        </w:rPr>
        <w:t>s</w:t>
      </w:r>
      <w:r w:rsidR="00764D3E">
        <w:rPr>
          <w:rFonts w:ascii="Arial" w:hAnsi="Arial" w:cs="Arial"/>
          <w:szCs w:val="24"/>
        </w:rPr>
        <w:t xml:space="preserve"> en tant que Ma</w:t>
      </w:r>
      <w:r w:rsidR="00B044D1">
        <w:rPr>
          <w:rFonts w:ascii="Arial" w:hAnsi="Arial" w:cs="Arial"/>
          <w:szCs w:val="24"/>
        </w:rPr>
        <w:t>î</w:t>
      </w:r>
      <w:r w:rsidR="00764D3E">
        <w:rPr>
          <w:rFonts w:ascii="Arial" w:hAnsi="Arial" w:cs="Arial"/>
          <w:szCs w:val="24"/>
        </w:rPr>
        <w:t>tre d’ouvrage délégué</w:t>
      </w:r>
      <w:r w:rsidR="005D0235">
        <w:rPr>
          <w:rFonts w:ascii="Arial" w:hAnsi="Arial" w:cs="Arial"/>
          <w:szCs w:val="24"/>
        </w:rPr>
        <w:t> ;</w:t>
      </w:r>
    </w:p>
    <w:p w14:paraId="42809CDA" w14:textId="77777777" w:rsidR="006F4204" w:rsidRPr="00742D67" w:rsidRDefault="006F4204" w:rsidP="00687DD2">
      <w:pPr>
        <w:pStyle w:val="Paragraphedeliste"/>
        <w:numPr>
          <w:ilvl w:val="0"/>
          <w:numId w:val="23"/>
        </w:numPr>
        <w:autoSpaceDE w:val="0"/>
        <w:autoSpaceDN w:val="0"/>
        <w:adjustRightInd w:val="0"/>
        <w:jc w:val="both"/>
        <w:rPr>
          <w:rFonts w:ascii="Arial" w:hAnsi="Arial" w:cs="Arial"/>
          <w:color w:val="auto"/>
          <w:szCs w:val="24"/>
        </w:rPr>
      </w:pPr>
      <w:r w:rsidRPr="00742D67">
        <w:rPr>
          <w:rFonts w:ascii="Arial" w:hAnsi="Arial" w:cs="Arial"/>
          <w:color w:val="auto"/>
          <w:szCs w:val="24"/>
        </w:rPr>
        <w:t>Les banques primaires et les Institutions de Micro</w:t>
      </w:r>
      <w:r w:rsidR="00C66FE1" w:rsidRPr="00742D67">
        <w:rPr>
          <w:rFonts w:ascii="Arial" w:hAnsi="Arial" w:cs="Arial"/>
          <w:color w:val="auto"/>
          <w:szCs w:val="24"/>
        </w:rPr>
        <w:t>-</w:t>
      </w:r>
      <w:r w:rsidRPr="00742D67">
        <w:rPr>
          <w:rFonts w:ascii="Arial" w:hAnsi="Arial" w:cs="Arial"/>
          <w:color w:val="auto"/>
          <w:szCs w:val="24"/>
        </w:rPr>
        <w:t xml:space="preserve">finance (IMF) qui sont les </w:t>
      </w:r>
      <w:r w:rsidR="007A42B9">
        <w:rPr>
          <w:rFonts w:ascii="Arial" w:hAnsi="Arial" w:cs="Arial"/>
          <w:color w:val="auto"/>
          <w:szCs w:val="24"/>
        </w:rPr>
        <w:t>I</w:t>
      </w:r>
      <w:r w:rsidRPr="00742D67">
        <w:rPr>
          <w:rFonts w:ascii="Arial" w:hAnsi="Arial" w:cs="Arial"/>
          <w:color w:val="auto"/>
          <w:szCs w:val="24"/>
        </w:rPr>
        <w:t xml:space="preserve">ntermédiaires Financiers </w:t>
      </w:r>
      <w:r w:rsidR="00C66FE1" w:rsidRPr="00742D67">
        <w:rPr>
          <w:rFonts w:ascii="Arial" w:hAnsi="Arial" w:cs="Arial"/>
          <w:color w:val="auto"/>
          <w:szCs w:val="24"/>
        </w:rPr>
        <w:t>en tant que</w:t>
      </w:r>
      <w:r w:rsidRPr="00742D67">
        <w:rPr>
          <w:rFonts w:ascii="Arial" w:hAnsi="Arial" w:cs="Arial"/>
          <w:color w:val="auto"/>
          <w:szCs w:val="24"/>
        </w:rPr>
        <w:t xml:space="preserve"> gestionnaire</w:t>
      </w:r>
      <w:r w:rsidR="00C66FE1" w:rsidRPr="00742D67">
        <w:rPr>
          <w:rFonts w:ascii="Arial" w:hAnsi="Arial" w:cs="Arial"/>
          <w:color w:val="auto"/>
          <w:szCs w:val="24"/>
        </w:rPr>
        <w:t>s</w:t>
      </w:r>
      <w:r w:rsidRPr="00742D67">
        <w:rPr>
          <w:rFonts w:ascii="Arial" w:hAnsi="Arial" w:cs="Arial"/>
          <w:color w:val="auto"/>
          <w:szCs w:val="24"/>
        </w:rPr>
        <w:t xml:space="preserve"> de fond</w:t>
      </w:r>
      <w:r w:rsidR="005D0235">
        <w:rPr>
          <w:rFonts w:ascii="Arial" w:hAnsi="Arial" w:cs="Arial"/>
          <w:color w:val="auto"/>
          <w:szCs w:val="24"/>
        </w:rPr>
        <w:t> ;</w:t>
      </w:r>
      <w:r w:rsidRPr="00742D67">
        <w:rPr>
          <w:rFonts w:ascii="Arial" w:hAnsi="Arial" w:cs="Arial"/>
          <w:color w:val="auto"/>
          <w:szCs w:val="24"/>
        </w:rPr>
        <w:t xml:space="preserve"> </w:t>
      </w:r>
    </w:p>
    <w:p w14:paraId="5B0E3FF2" w14:textId="77777777" w:rsidR="00764D3E" w:rsidRPr="00742D67" w:rsidRDefault="00764D3E" w:rsidP="00687DD2">
      <w:pPr>
        <w:pStyle w:val="Paragraphedeliste"/>
        <w:numPr>
          <w:ilvl w:val="0"/>
          <w:numId w:val="23"/>
        </w:numPr>
        <w:spacing w:before="120" w:after="0" w:line="240" w:lineRule="auto"/>
        <w:jc w:val="both"/>
        <w:rPr>
          <w:rFonts w:ascii="Arial" w:hAnsi="Arial" w:cs="Arial"/>
          <w:color w:val="auto"/>
          <w:szCs w:val="24"/>
        </w:rPr>
      </w:pPr>
      <w:r w:rsidRPr="00742D67">
        <w:rPr>
          <w:rFonts w:ascii="Arial" w:hAnsi="Arial" w:cs="Arial"/>
          <w:color w:val="auto"/>
          <w:szCs w:val="24"/>
        </w:rPr>
        <w:t xml:space="preserve">L‘Entreprise </w:t>
      </w:r>
      <w:r w:rsidR="004A22F3" w:rsidRPr="00742D67">
        <w:rPr>
          <w:rFonts w:ascii="Arial" w:hAnsi="Arial" w:cs="Arial"/>
          <w:color w:val="auto"/>
          <w:szCs w:val="24"/>
        </w:rPr>
        <w:t>en</w:t>
      </w:r>
      <w:r w:rsidRPr="00742D67">
        <w:rPr>
          <w:rFonts w:ascii="Arial" w:hAnsi="Arial" w:cs="Arial"/>
          <w:color w:val="auto"/>
          <w:szCs w:val="24"/>
        </w:rPr>
        <w:t xml:space="preserve"> charge des travaux</w:t>
      </w:r>
      <w:r w:rsidR="003C18DC" w:rsidRPr="00742D67">
        <w:rPr>
          <w:rFonts w:ascii="Arial" w:hAnsi="Arial" w:cs="Arial"/>
          <w:color w:val="auto"/>
          <w:szCs w:val="24"/>
        </w:rPr>
        <w:t>, les concessionnaires en charge de l’exploitation des réseaux off-grid qui assureront</w:t>
      </w:r>
      <w:r w:rsidRPr="00742D67">
        <w:rPr>
          <w:rFonts w:ascii="Arial" w:hAnsi="Arial" w:cs="Arial"/>
          <w:color w:val="auto"/>
          <w:szCs w:val="24"/>
        </w:rPr>
        <w:t xml:space="preserve"> la mise en œuvre des mesures environnementales </w:t>
      </w:r>
      <w:r w:rsidR="006F4204" w:rsidRPr="00742D67">
        <w:rPr>
          <w:rFonts w:ascii="Arial" w:hAnsi="Arial" w:cs="Arial"/>
          <w:color w:val="auto"/>
          <w:szCs w:val="24"/>
        </w:rPr>
        <w:t>décrites dans le PGES et les cahiers de charges</w:t>
      </w:r>
      <w:r w:rsidR="00C66FE1" w:rsidRPr="00742D67">
        <w:rPr>
          <w:rFonts w:ascii="Arial" w:hAnsi="Arial" w:cs="Arial"/>
          <w:color w:val="auto"/>
          <w:szCs w:val="24"/>
        </w:rPr>
        <w:t xml:space="preserve"> </w:t>
      </w:r>
      <w:r w:rsidRPr="00742D67">
        <w:rPr>
          <w:rFonts w:ascii="Arial" w:hAnsi="Arial" w:cs="Arial"/>
          <w:color w:val="auto"/>
          <w:szCs w:val="24"/>
        </w:rPr>
        <w:t>;</w:t>
      </w:r>
    </w:p>
    <w:p w14:paraId="4CB7FE34" w14:textId="77777777" w:rsidR="00764D3E" w:rsidRPr="00742D67" w:rsidRDefault="00764D3E" w:rsidP="00687DD2">
      <w:pPr>
        <w:pStyle w:val="Paragraphedeliste"/>
        <w:numPr>
          <w:ilvl w:val="0"/>
          <w:numId w:val="23"/>
        </w:numPr>
        <w:spacing w:before="120" w:after="0" w:line="240" w:lineRule="auto"/>
        <w:jc w:val="both"/>
        <w:rPr>
          <w:rFonts w:ascii="Arial" w:hAnsi="Arial" w:cs="Arial"/>
          <w:color w:val="auto"/>
          <w:szCs w:val="24"/>
        </w:rPr>
      </w:pPr>
      <w:r w:rsidRPr="00742D67">
        <w:rPr>
          <w:rFonts w:ascii="Arial" w:hAnsi="Arial" w:cs="Arial"/>
          <w:color w:val="auto"/>
          <w:szCs w:val="24"/>
        </w:rPr>
        <w:t xml:space="preserve">La Mission de Contrôle qui devra valider tous les aspects techniques et environnementaux et sociaux avec les techniciens du Projet DECIM </w:t>
      </w:r>
      <w:r w:rsidR="006F4204" w:rsidRPr="00742D67">
        <w:rPr>
          <w:rFonts w:ascii="Arial" w:hAnsi="Arial" w:cs="Arial"/>
          <w:color w:val="auto"/>
          <w:szCs w:val="24"/>
        </w:rPr>
        <w:t xml:space="preserve">ainsi que la surveillance environnementale et sociale </w:t>
      </w:r>
      <w:r w:rsidR="00B044D1">
        <w:rPr>
          <w:rFonts w:ascii="Arial" w:hAnsi="Arial" w:cs="Arial"/>
          <w:color w:val="auto"/>
          <w:szCs w:val="24"/>
        </w:rPr>
        <w:t xml:space="preserve">(surveillance des travaux) </w:t>
      </w:r>
      <w:r w:rsidR="006F4204" w:rsidRPr="00742D67">
        <w:rPr>
          <w:rFonts w:ascii="Arial" w:hAnsi="Arial" w:cs="Arial"/>
          <w:color w:val="auto"/>
          <w:szCs w:val="24"/>
        </w:rPr>
        <w:t>durant la phase de construction</w:t>
      </w:r>
      <w:r w:rsidR="00C66FE1" w:rsidRPr="00742D67">
        <w:rPr>
          <w:rFonts w:ascii="Arial" w:hAnsi="Arial" w:cs="Arial"/>
          <w:color w:val="auto"/>
          <w:szCs w:val="24"/>
        </w:rPr>
        <w:t xml:space="preserve"> </w:t>
      </w:r>
      <w:r w:rsidRPr="00742D67">
        <w:rPr>
          <w:rFonts w:ascii="Arial" w:hAnsi="Arial" w:cs="Arial"/>
          <w:color w:val="auto"/>
          <w:szCs w:val="24"/>
        </w:rPr>
        <w:t>;</w:t>
      </w:r>
      <w:r w:rsidR="006F4204" w:rsidRPr="00742D67">
        <w:rPr>
          <w:rFonts w:ascii="Arial" w:hAnsi="Arial" w:cs="Arial"/>
          <w:color w:val="auto"/>
          <w:szCs w:val="24"/>
        </w:rPr>
        <w:t xml:space="preserve"> </w:t>
      </w:r>
    </w:p>
    <w:p w14:paraId="49A0022F" w14:textId="77777777" w:rsidR="00764D3E" w:rsidRPr="00742D67" w:rsidRDefault="00764D3E" w:rsidP="00687DD2">
      <w:pPr>
        <w:pStyle w:val="Paragraphedeliste"/>
        <w:numPr>
          <w:ilvl w:val="0"/>
          <w:numId w:val="23"/>
        </w:numPr>
        <w:spacing w:before="120" w:after="0" w:line="240" w:lineRule="auto"/>
        <w:jc w:val="both"/>
        <w:rPr>
          <w:rFonts w:ascii="Arial" w:hAnsi="Arial" w:cs="Arial"/>
          <w:color w:val="auto"/>
          <w:szCs w:val="24"/>
        </w:rPr>
      </w:pPr>
      <w:r w:rsidRPr="00742D67">
        <w:rPr>
          <w:rFonts w:ascii="Arial" w:hAnsi="Arial" w:cs="Arial"/>
          <w:color w:val="auto"/>
          <w:szCs w:val="24"/>
        </w:rPr>
        <w:t xml:space="preserve">La Banque </w:t>
      </w:r>
      <w:r w:rsidR="004B1AF2" w:rsidRPr="00742D67">
        <w:rPr>
          <w:rFonts w:ascii="Arial" w:hAnsi="Arial" w:cs="Arial"/>
          <w:color w:val="auto"/>
          <w:szCs w:val="24"/>
        </w:rPr>
        <w:t>m</w:t>
      </w:r>
      <w:r w:rsidRPr="00742D67">
        <w:rPr>
          <w:rFonts w:ascii="Arial" w:hAnsi="Arial" w:cs="Arial"/>
          <w:color w:val="auto"/>
          <w:szCs w:val="24"/>
        </w:rPr>
        <w:t>ondiale assurera le rôle de supervision et de conseil </w:t>
      </w:r>
      <w:r w:rsidR="00B044D1">
        <w:rPr>
          <w:rFonts w:ascii="Arial" w:hAnsi="Arial" w:cs="Arial"/>
          <w:color w:val="auto"/>
          <w:szCs w:val="24"/>
        </w:rPr>
        <w:t>lors de ses missions d’appui et de supervision du Projet DECIM</w:t>
      </w:r>
      <w:r w:rsidR="00B044D1" w:rsidRPr="00742D67">
        <w:rPr>
          <w:rFonts w:ascii="Arial" w:hAnsi="Arial" w:cs="Arial"/>
          <w:color w:val="auto"/>
          <w:szCs w:val="24"/>
        </w:rPr>
        <w:t> </w:t>
      </w:r>
      <w:r w:rsidRPr="00742D67">
        <w:rPr>
          <w:rFonts w:ascii="Arial" w:hAnsi="Arial" w:cs="Arial"/>
          <w:color w:val="auto"/>
          <w:szCs w:val="24"/>
        </w:rPr>
        <w:t>;</w:t>
      </w:r>
    </w:p>
    <w:p w14:paraId="1A809121" w14:textId="77777777" w:rsidR="00764D3E" w:rsidRPr="00742D67" w:rsidRDefault="00764D3E" w:rsidP="00687DD2">
      <w:pPr>
        <w:pStyle w:val="Paragraphedeliste"/>
        <w:numPr>
          <w:ilvl w:val="0"/>
          <w:numId w:val="23"/>
        </w:numPr>
        <w:spacing w:before="120" w:after="0" w:line="240" w:lineRule="auto"/>
        <w:jc w:val="both"/>
        <w:rPr>
          <w:rFonts w:ascii="Arial" w:hAnsi="Arial" w:cs="Arial"/>
          <w:color w:val="auto"/>
          <w:szCs w:val="24"/>
        </w:rPr>
      </w:pPr>
      <w:r w:rsidRPr="00742D67">
        <w:rPr>
          <w:rFonts w:ascii="Arial" w:hAnsi="Arial" w:cs="Arial"/>
          <w:color w:val="auto"/>
          <w:szCs w:val="24"/>
        </w:rPr>
        <w:t xml:space="preserve">Les agents des Ministères concernés (notamment le MEH, MNDPT et les agents du Ministère </w:t>
      </w:r>
      <w:r w:rsidR="004B1AF2" w:rsidRPr="00742D67">
        <w:rPr>
          <w:rFonts w:ascii="Arial" w:hAnsi="Arial" w:cs="Arial"/>
          <w:color w:val="auto"/>
          <w:szCs w:val="24"/>
        </w:rPr>
        <w:t xml:space="preserve">en charge </w:t>
      </w:r>
      <w:r w:rsidRPr="00742D67">
        <w:rPr>
          <w:rFonts w:ascii="Arial" w:hAnsi="Arial" w:cs="Arial"/>
          <w:color w:val="auto"/>
          <w:szCs w:val="24"/>
        </w:rPr>
        <w:t>de l’Environnement) peuvent, à tout moment, organiser des missions de contrôle inopiné sur site</w:t>
      </w:r>
      <w:r w:rsidR="007A42B9">
        <w:rPr>
          <w:rFonts w:ascii="Arial" w:hAnsi="Arial" w:cs="Arial"/>
          <w:color w:val="auto"/>
          <w:szCs w:val="24"/>
        </w:rPr>
        <w:t> </w:t>
      </w:r>
      <w:r w:rsidR="00B044D1">
        <w:rPr>
          <w:rFonts w:ascii="Arial" w:hAnsi="Arial" w:cs="Arial"/>
          <w:color w:val="auto"/>
          <w:szCs w:val="24"/>
        </w:rPr>
        <w:t>(ou de suivi interne )</w:t>
      </w:r>
      <w:r w:rsidR="007A42B9">
        <w:rPr>
          <w:rFonts w:ascii="Arial" w:hAnsi="Arial" w:cs="Arial"/>
          <w:color w:val="auto"/>
          <w:szCs w:val="24"/>
        </w:rPr>
        <w:t>;</w:t>
      </w:r>
    </w:p>
    <w:p w14:paraId="514C607A" w14:textId="77777777" w:rsidR="00764D3E" w:rsidRPr="00742D67" w:rsidRDefault="003C18DC" w:rsidP="00687DD2">
      <w:pPr>
        <w:pStyle w:val="Paragraphedeliste"/>
        <w:numPr>
          <w:ilvl w:val="0"/>
          <w:numId w:val="23"/>
        </w:numPr>
        <w:spacing w:before="120" w:after="0" w:line="240" w:lineRule="auto"/>
        <w:jc w:val="both"/>
        <w:rPr>
          <w:rFonts w:ascii="Arial" w:hAnsi="Arial" w:cs="Arial"/>
          <w:color w:val="auto"/>
          <w:szCs w:val="24"/>
        </w:rPr>
      </w:pPr>
      <w:r w:rsidRPr="00742D67">
        <w:rPr>
          <w:rFonts w:ascii="Arial" w:hAnsi="Arial" w:cs="Arial"/>
          <w:color w:val="auto"/>
          <w:szCs w:val="24"/>
        </w:rPr>
        <w:t xml:space="preserve">Le </w:t>
      </w:r>
      <w:r w:rsidR="00764D3E" w:rsidRPr="00742D67">
        <w:rPr>
          <w:rFonts w:ascii="Arial" w:hAnsi="Arial" w:cs="Arial"/>
          <w:color w:val="auto"/>
          <w:szCs w:val="24"/>
        </w:rPr>
        <w:t>Ministère en charge de l’Environnement pour contrôle des normes environnementales</w:t>
      </w:r>
      <w:r w:rsidR="007A42B9">
        <w:rPr>
          <w:rFonts w:ascii="Arial" w:hAnsi="Arial" w:cs="Arial"/>
          <w:color w:val="auto"/>
          <w:szCs w:val="24"/>
        </w:rPr>
        <w:t> </w:t>
      </w:r>
      <w:r w:rsidR="00B044D1">
        <w:rPr>
          <w:rFonts w:ascii="Arial" w:hAnsi="Arial" w:cs="Arial"/>
          <w:color w:val="auto"/>
          <w:szCs w:val="24"/>
        </w:rPr>
        <w:t>de suivi externe </w:t>
      </w:r>
      <w:r w:rsidR="007A42B9">
        <w:rPr>
          <w:rFonts w:ascii="Arial" w:hAnsi="Arial" w:cs="Arial"/>
          <w:color w:val="auto"/>
          <w:szCs w:val="24"/>
        </w:rPr>
        <w:t>;</w:t>
      </w:r>
    </w:p>
    <w:p w14:paraId="7A1DF8B7" w14:textId="77777777" w:rsidR="00764D3E" w:rsidRPr="00742D67" w:rsidRDefault="00764D3E" w:rsidP="00687DD2">
      <w:pPr>
        <w:pStyle w:val="Paragraphedeliste"/>
        <w:numPr>
          <w:ilvl w:val="0"/>
          <w:numId w:val="23"/>
        </w:numPr>
        <w:spacing w:before="120" w:after="0" w:line="240" w:lineRule="auto"/>
        <w:jc w:val="both"/>
        <w:rPr>
          <w:rFonts w:ascii="Arial" w:hAnsi="Arial" w:cs="Arial"/>
          <w:color w:val="auto"/>
          <w:szCs w:val="24"/>
        </w:rPr>
      </w:pPr>
      <w:r w:rsidRPr="00742D67">
        <w:rPr>
          <w:rFonts w:ascii="Arial" w:hAnsi="Arial" w:cs="Arial"/>
          <w:color w:val="auto"/>
          <w:szCs w:val="24"/>
        </w:rPr>
        <w:t>L’Office National pour l’Environnement (ONE) pour le suivi environnemental de la mise en œuvre des cahiers des charges environnementaux</w:t>
      </w:r>
      <w:r w:rsidR="006F4204" w:rsidRPr="00742D67">
        <w:rPr>
          <w:rFonts w:ascii="Arial" w:hAnsi="Arial" w:cs="Arial"/>
          <w:color w:val="auto"/>
          <w:szCs w:val="24"/>
        </w:rPr>
        <w:t xml:space="preserve"> pour les sous projets relevant de l’annexe I du MECIE</w:t>
      </w:r>
      <w:r w:rsidR="007A42B9">
        <w:rPr>
          <w:rFonts w:ascii="Arial" w:hAnsi="Arial" w:cs="Arial"/>
          <w:color w:val="auto"/>
          <w:szCs w:val="24"/>
        </w:rPr>
        <w:t> </w:t>
      </w:r>
      <w:r w:rsidR="00B044D1">
        <w:rPr>
          <w:rFonts w:ascii="Arial" w:hAnsi="Arial" w:cs="Arial"/>
          <w:color w:val="auto"/>
          <w:szCs w:val="24"/>
        </w:rPr>
        <w:t xml:space="preserve"> (suivi externe avec le Ministère de l’Environnement) </w:t>
      </w:r>
      <w:r w:rsidR="007A42B9">
        <w:rPr>
          <w:rFonts w:ascii="Arial" w:hAnsi="Arial" w:cs="Arial"/>
          <w:color w:val="auto"/>
          <w:szCs w:val="24"/>
        </w:rPr>
        <w:t>;</w:t>
      </w:r>
    </w:p>
    <w:p w14:paraId="6ADB80DC" w14:textId="77777777" w:rsidR="00764D3E" w:rsidRPr="00BD5601" w:rsidRDefault="00764D3E" w:rsidP="00687DD2">
      <w:pPr>
        <w:pStyle w:val="Paragraphedeliste"/>
        <w:numPr>
          <w:ilvl w:val="0"/>
          <w:numId w:val="23"/>
        </w:numPr>
        <w:spacing w:before="120" w:after="0" w:line="240" w:lineRule="auto"/>
        <w:jc w:val="both"/>
        <w:rPr>
          <w:rFonts w:ascii="Arial" w:hAnsi="Arial" w:cs="Arial"/>
          <w:szCs w:val="24"/>
        </w:rPr>
      </w:pPr>
      <w:r w:rsidRPr="00742D67">
        <w:rPr>
          <w:rFonts w:ascii="Arial" w:hAnsi="Arial" w:cs="Arial"/>
          <w:color w:val="auto"/>
          <w:szCs w:val="24"/>
        </w:rPr>
        <w:t>Les autorités locales représentées par la Commune et les chefs de Fokontany</w:t>
      </w:r>
      <w:r w:rsidRPr="00BD5601">
        <w:rPr>
          <w:rFonts w:ascii="Arial" w:hAnsi="Arial" w:cs="Arial"/>
          <w:szCs w:val="24"/>
        </w:rPr>
        <w:t xml:space="preserve"> concernés pour le suivi des plaintes et doléances ;</w:t>
      </w:r>
    </w:p>
    <w:p w14:paraId="01EB65D9" w14:textId="77777777" w:rsidR="00764D3E" w:rsidRDefault="00764D3E" w:rsidP="00B434A6">
      <w:pPr>
        <w:pStyle w:val="Paragraphedeliste"/>
        <w:numPr>
          <w:ilvl w:val="0"/>
          <w:numId w:val="23"/>
        </w:numPr>
        <w:spacing w:before="120" w:after="120" w:line="240" w:lineRule="auto"/>
        <w:jc w:val="both"/>
      </w:pPr>
      <w:r w:rsidRPr="00BD5601">
        <w:rPr>
          <w:rFonts w:ascii="Arial" w:hAnsi="Arial" w:cs="Arial"/>
          <w:szCs w:val="24"/>
        </w:rPr>
        <w:t>La population riveraine, ainsi que toutes ONG actives dans la zone, joueront un rôle d’alerte.</w:t>
      </w:r>
    </w:p>
    <w:p w14:paraId="3EAED4ED" w14:textId="77777777" w:rsidR="00764D3E" w:rsidRPr="00764D3E" w:rsidRDefault="00764D3E" w:rsidP="0044500E">
      <w:pPr>
        <w:pStyle w:val="TIT3"/>
        <w:numPr>
          <w:ilvl w:val="2"/>
          <w:numId w:val="177"/>
        </w:numPr>
      </w:pPr>
      <w:bookmarkStart w:id="1387" w:name="_Toc89768134"/>
      <w:bookmarkStart w:id="1388" w:name="_Toc54083366"/>
      <w:bookmarkStart w:id="1389" w:name="_Toc124956322"/>
      <w:bookmarkStart w:id="1390" w:name="_Toc125384670"/>
      <w:bookmarkStart w:id="1391" w:name="_Toc125385059"/>
      <w:bookmarkStart w:id="1392" w:name="_Toc98192391"/>
      <w:bookmarkStart w:id="1393" w:name="_Toc95029835"/>
      <w:bookmarkStart w:id="1394" w:name="_Toc100755482"/>
      <w:bookmarkStart w:id="1395" w:name="_Toc124314786"/>
      <w:bookmarkStart w:id="1396" w:name="_Toc127957726"/>
      <w:r>
        <w:t>Comité technique</w:t>
      </w:r>
      <w:bookmarkEnd w:id="1387"/>
      <w:bookmarkEnd w:id="1388"/>
      <w:bookmarkEnd w:id="1389"/>
      <w:bookmarkEnd w:id="1390"/>
      <w:bookmarkEnd w:id="1391"/>
      <w:bookmarkEnd w:id="1396"/>
      <w:r w:rsidR="00B044D1">
        <w:t xml:space="preserve"> </w:t>
      </w:r>
      <w:r>
        <w:t xml:space="preserve"> </w:t>
      </w:r>
      <w:bookmarkEnd w:id="1392"/>
      <w:bookmarkEnd w:id="1393"/>
      <w:bookmarkEnd w:id="1394"/>
      <w:bookmarkEnd w:id="1395"/>
    </w:p>
    <w:p w14:paraId="542B708D" w14:textId="77777777" w:rsidR="00764D3E" w:rsidRPr="00CA07E1" w:rsidRDefault="00764D3E" w:rsidP="00764D3E">
      <w:pPr>
        <w:jc w:val="both"/>
        <w:rPr>
          <w:rFonts w:ascii="Arial" w:hAnsi="Arial" w:cs="Arial"/>
          <w:szCs w:val="24"/>
        </w:rPr>
      </w:pPr>
      <w:r w:rsidRPr="00764D3E">
        <w:rPr>
          <w:rFonts w:ascii="Arial" w:hAnsi="Arial" w:cs="Arial"/>
          <w:color w:val="000000"/>
          <w:szCs w:val="24"/>
        </w:rPr>
        <w:t>Le comité technique a pour tâche de fournir un soutien technique supplémentaire au Projet, il sera</w:t>
      </w:r>
      <w:r>
        <w:rPr>
          <w:rFonts w:ascii="Arial" w:hAnsi="Arial" w:cs="Arial"/>
          <w:szCs w:val="24"/>
        </w:rPr>
        <w:t xml:space="preserve"> ainsi constitué </w:t>
      </w:r>
      <w:r w:rsidR="004B1AF2">
        <w:rPr>
          <w:rFonts w:ascii="Arial" w:hAnsi="Arial" w:cs="Arial"/>
          <w:szCs w:val="24"/>
        </w:rPr>
        <w:t>entre autres</w:t>
      </w:r>
      <w:r>
        <w:rPr>
          <w:rFonts w:ascii="Arial" w:hAnsi="Arial" w:cs="Arial"/>
          <w:szCs w:val="24"/>
        </w:rPr>
        <w:t xml:space="preserve"> par les techniciens du Ministère de l’</w:t>
      </w:r>
      <w:r w:rsidR="004B1AF2">
        <w:rPr>
          <w:rFonts w:ascii="Arial" w:hAnsi="Arial" w:cs="Arial"/>
          <w:szCs w:val="24"/>
        </w:rPr>
        <w:t>E</w:t>
      </w:r>
      <w:r>
        <w:rPr>
          <w:rFonts w:ascii="Arial" w:hAnsi="Arial" w:cs="Arial"/>
          <w:szCs w:val="24"/>
        </w:rPr>
        <w:t xml:space="preserve">nergie et des </w:t>
      </w:r>
      <w:r w:rsidR="004B1AF2">
        <w:rPr>
          <w:rFonts w:ascii="Arial" w:hAnsi="Arial" w:cs="Arial"/>
          <w:szCs w:val="24"/>
        </w:rPr>
        <w:t>H</w:t>
      </w:r>
      <w:r>
        <w:rPr>
          <w:rFonts w:ascii="Arial" w:hAnsi="Arial" w:cs="Arial"/>
          <w:szCs w:val="24"/>
        </w:rPr>
        <w:t xml:space="preserve">ydrocarbures, </w:t>
      </w:r>
      <w:r w:rsidRPr="00C06EC1">
        <w:rPr>
          <w:rFonts w:ascii="Arial" w:hAnsi="Arial" w:cs="Arial"/>
          <w:color w:val="000000"/>
          <w:szCs w:val="24"/>
        </w:rPr>
        <w:t xml:space="preserve">Ministère du Développement Numérique, </w:t>
      </w:r>
      <w:r w:rsidR="004B1AF2">
        <w:rPr>
          <w:rFonts w:ascii="Arial" w:hAnsi="Arial" w:cs="Arial"/>
          <w:color w:val="000000"/>
          <w:szCs w:val="24"/>
        </w:rPr>
        <w:t xml:space="preserve">de la </w:t>
      </w:r>
      <w:r w:rsidRPr="00C06EC1">
        <w:rPr>
          <w:rFonts w:ascii="Arial" w:hAnsi="Arial" w:cs="Arial"/>
          <w:color w:val="000000"/>
          <w:szCs w:val="24"/>
        </w:rPr>
        <w:t>Transformation Digitale des Postes et des Télécommunications</w:t>
      </w:r>
      <w:r w:rsidR="004B1AF2">
        <w:rPr>
          <w:rFonts w:ascii="Arial" w:hAnsi="Arial" w:cs="Arial"/>
          <w:color w:val="000000"/>
          <w:szCs w:val="24"/>
        </w:rPr>
        <w:t xml:space="preserve"> (</w:t>
      </w:r>
      <w:r w:rsidR="004B1AF2">
        <w:rPr>
          <w:rFonts w:ascii="Arial" w:hAnsi="Arial" w:cs="Arial"/>
          <w:szCs w:val="24"/>
        </w:rPr>
        <w:t>MNDPT)</w:t>
      </w:r>
      <w:r>
        <w:rPr>
          <w:rFonts w:ascii="Arial" w:hAnsi="Arial" w:cs="Arial"/>
          <w:color w:val="000000"/>
          <w:szCs w:val="24"/>
        </w:rPr>
        <w:t xml:space="preserve">, </w:t>
      </w:r>
      <w:r w:rsidRPr="003360A5">
        <w:rPr>
          <w:rFonts w:ascii="Arial" w:hAnsi="Arial" w:cs="Arial"/>
          <w:color w:val="000000"/>
          <w:szCs w:val="24"/>
        </w:rPr>
        <w:t xml:space="preserve">Ministère de l'Education Nationale </w:t>
      </w:r>
      <w:r w:rsidR="00C604E8">
        <w:rPr>
          <w:rFonts w:ascii="Arial" w:hAnsi="Arial" w:cs="Arial"/>
          <w:color w:val="000000"/>
          <w:szCs w:val="24"/>
        </w:rPr>
        <w:t>(MEN</w:t>
      </w:r>
      <w:r w:rsidRPr="003360A5">
        <w:rPr>
          <w:rFonts w:ascii="Arial" w:hAnsi="Arial" w:cs="Arial"/>
          <w:color w:val="000000"/>
          <w:szCs w:val="24"/>
        </w:rPr>
        <w:t xml:space="preserve">), Ministère de la Santé </w:t>
      </w:r>
      <w:r w:rsidR="004B1AF2">
        <w:rPr>
          <w:rFonts w:ascii="Arial" w:hAnsi="Arial" w:cs="Arial"/>
          <w:color w:val="000000"/>
          <w:szCs w:val="24"/>
        </w:rPr>
        <w:t xml:space="preserve">Publique </w:t>
      </w:r>
      <w:r w:rsidRPr="003360A5">
        <w:rPr>
          <w:rFonts w:ascii="Arial" w:hAnsi="Arial" w:cs="Arial"/>
          <w:color w:val="000000"/>
          <w:szCs w:val="24"/>
        </w:rPr>
        <w:t>(MSANP), Ministère de l’Economie et des Finance (MEF), JIRAMA, ADER,</w:t>
      </w:r>
      <w:r>
        <w:rPr>
          <w:rFonts w:ascii="Arial" w:hAnsi="Arial" w:cs="Arial"/>
          <w:szCs w:val="24"/>
        </w:rPr>
        <w:t xml:space="preserve"> AREL</w:t>
      </w:r>
      <w:r w:rsidR="00BD65CD">
        <w:rPr>
          <w:rFonts w:ascii="Arial" w:hAnsi="Arial" w:cs="Arial"/>
          <w:szCs w:val="24"/>
        </w:rPr>
        <w:t>E</w:t>
      </w:r>
      <w:r>
        <w:rPr>
          <w:rFonts w:ascii="Arial" w:hAnsi="Arial" w:cs="Arial"/>
          <w:szCs w:val="24"/>
        </w:rPr>
        <w:t>C et ARTEC. L</w:t>
      </w:r>
      <w:r w:rsidR="004B1AF2">
        <w:rPr>
          <w:rFonts w:ascii="Arial" w:hAnsi="Arial" w:cs="Arial"/>
          <w:szCs w:val="24"/>
        </w:rPr>
        <w:t>a</w:t>
      </w:r>
      <w:r>
        <w:rPr>
          <w:rFonts w:ascii="Arial" w:hAnsi="Arial" w:cs="Arial"/>
          <w:szCs w:val="24"/>
        </w:rPr>
        <w:t xml:space="preserve"> présiden</w:t>
      </w:r>
      <w:r w:rsidR="004B1AF2">
        <w:rPr>
          <w:rFonts w:ascii="Arial" w:hAnsi="Arial" w:cs="Arial"/>
          <w:szCs w:val="24"/>
        </w:rPr>
        <w:t>ce</w:t>
      </w:r>
      <w:r>
        <w:rPr>
          <w:rFonts w:ascii="Arial" w:hAnsi="Arial" w:cs="Arial"/>
          <w:szCs w:val="24"/>
        </w:rPr>
        <w:t xml:space="preserve"> de ce comité </w:t>
      </w:r>
      <w:r w:rsidR="004B1AF2">
        <w:rPr>
          <w:rFonts w:ascii="Arial" w:hAnsi="Arial" w:cs="Arial"/>
          <w:szCs w:val="24"/>
        </w:rPr>
        <w:t xml:space="preserve">est assumé soir </w:t>
      </w:r>
      <w:r>
        <w:rPr>
          <w:rFonts w:ascii="Arial" w:hAnsi="Arial" w:cs="Arial"/>
          <w:szCs w:val="24"/>
        </w:rPr>
        <w:t>par le représentant du MEH</w:t>
      </w:r>
      <w:r w:rsidR="004B1AF2">
        <w:rPr>
          <w:rFonts w:ascii="Arial" w:hAnsi="Arial" w:cs="Arial"/>
          <w:szCs w:val="24"/>
        </w:rPr>
        <w:t>, soit par celui du</w:t>
      </w:r>
      <w:r>
        <w:rPr>
          <w:rFonts w:ascii="Arial" w:hAnsi="Arial" w:cs="Arial"/>
          <w:szCs w:val="24"/>
        </w:rPr>
        <w:t xml:space="preserve"> MNDPT. </w:t>
      </w:r>
      <w:r w:rsidRPr="00CA07E1">
        <w:rPr>
          <w:rFonts w:ascii="Arial" w:hAnsi="Arial" w:cs="Arial"/>
          <w:szCs w:val="24"/>
        </w:rPr>
        <w:t>Dans ce cadre, par simple convocation de son président, le Comité se réunit autant de fois que c’est nécessaire.</w:t>
      </w:r>
    </w:p>
    <w:p w14:paraId="2189A3A5" w14:textId="77777777" w:rsidR="00764D3E" w:rsidRPr="00764D3E" w:rsidRDefault="00764D3E" w:rsidP="0044500E">
      <w:pPr>
        <w:pStyle w:val="TIT3"/>
        <w:numPr>
          <w:ilvl w:val="2"/>
          <w:numId w:val="177"/>
        </w:numPr>
      </w:pPr>
      <w:bookmarkStart w:id="1397" w:name="_Toc125384671"/>
      <w:bookmarkStart w:id="1398" w:name="_Toc125385060"/>
      <w:bookmarkStart w:id="1399" w:name="_Toc98192392"/>
      <w:bookmarkStart w:id="1400" w:name="_Toc95029836"/>
      <w:bookmarkStart w:id="1401" w:name="_Toc89768135"/>
      <w:bookmarkStart w:id="1402" w:name="_Toc54083367"/>
      <w:bookmarkStart w:id="1403" w:name="_Toc100755483"/>
      <w:bookmarkStart w:id="1404" w:name="_Toc124314787"/>
      <w:bookmarkStart w:id="1405" w:name="_Toc124956323"/>
      <w:bookmarkStart w:id="1406" w:name="_Toc127957727"/>
      <w:r w:rsidRPr="00764D3E">
        <w:t>Maître d’ouvrage</w:t>
      </w:r>
      <w:bookmarkEnd w:id="1397"/>
      <w:bookmarkEnd w:id="1398"/>
      <w:bookmarkEnd w:id="1399"/>
      <w:bookmarkEnd w:id="1400"/>
      <w:bookmarkEnd w:id="1401"/>
      <w:bookmarkEnd w:id="1402"/>
      <w:bookmarkEnd w:id="1403"/>
      <w:bookmarkEnd w:id="1404"/>
      <w:bookmarkEnd w:id="1405"/>
      <w:bookmarkEnd w:id="1406"/>
    </w:p>
    <w:p w14:paraId="3857C34A" w14:textId="77777777" w:rsidR="00764D3E" w:rsidRPr="003360A5" w:rsidRDefault="00764D3E" w:rsidP="00764D3E">
      <w:pPr>
        <w:jc w:val="both"/>
        <w:rPr>
          <w:rFonts w:ascii="Arial" w:hAnsi="Arial" w:cs="Arial"/>
          <w:szCs w:val="24"/>
        </w:rPr>
      </w:pPr>
      <w:r w:rsidRPr="003360A5">
        <w:rPr>
          <w:rFonts w:ascii="Arial" w:hAnsi="Arial" w:cs="Arial"/>
          <w:szCs w:val="24"/>
        </w:rPr>
        <w:t xml:space="preserve">Le maître d’ouvrage du Projet est le </w:t>
      </w:r>
      <w:r>
        <w:rPr>
          <w:rFonts w:ascii="Arial" w:hAnsi="Arial" w:cs="Arial"/>
          <w:szCs w:val="24"/>
        </w:rPr>
        <w:t>Ministère en charge de l’énergie et le Ministère en charge du développement Numérique</w:t>
      </w:r>
      <w:r w:rsidRPr="003360A5">
        <w:rPr>
          <w:rFonts w:ascii="Arial" w:hAnsi="Arial" w:cs="Arial"/>
          <w:szCs w:val="24"/>
        </w:rPr>
        <w:t xml:space="preserve">. Son mandat est de diriger l’exécution du Projet. Il approuvera et suivra l’application de tous les documents cadres de </w:t>
      </w:r>
      <w:r w:rsidR="00C3660F">
        <w:rPr>
          <w:rFonts w:ascii="Arial" w:hAnsi="Arial" w:cs="Arial"/>
          <w:szCs w:val="24"/>
        </w:rPr>
        <w:t>gestion des risques</w:t>
      </w:r>
      <w:r w:rsidR="00C3660F" w:rsidRPr="003360A5">
        <w:rPr>
          <w:rFonts w:ascii="Arial" w:hAnsi="Arial" w:cs="Arial"/>
          <w:szCs w:val="24"/>
        </w:rPr>
        <w:t xml:space="preserve"> </w:t>
      </w:r>
      <w:r w:rsidRPr="003360A5">
        <w:rPr>
          <w:rFonts w:ascii="Arial" w:hAnsi="Arial" w:cs="Arial"/>
          <w:szCs w:val="24"/>
        </w:rPr>
        <w:t>environnementa</w:t>
      </w:r>
      <w:r w:rsidR="00C3660F">
        <w:rPr>
          <w:rFonts w:ascii="Arial" w:hAnsi="Arial" w:cs="Arial"/>
          <w:szCs w:val="24"/>
        </w:rPr>
        <w:t>ux</w:t>
      </w:r>
      <w:r w:rsidRPr="003360A5">
        <w:rPr>
          <w:rFonts w:ascii="Arial" w:hAnsi="Arial" w:cs="Arial"/>
          <w:szCs w:val="24"/>
        </w:rPr>
        <w:t xml:space="preserve"> et socia</w:t>
      </w:r>
      <w:r w:rsidR="00C3660F">
        <w:rPr>
          <w:rFonts w:ascii="Arial" w:hAnsi="Arial" w:cs="Arial"/>
          <w:szCs w:val="24"/>
        </w:rPr>
        <w:t>ux</w:t>
      </w:r>
      <w:r w:rsidRPr="003360A5">
        <w:rPr>
          <w:rFonts w:ascii="Arial" w:hAnsi="Arial" w:cs="Arial"/>
          <w:szCs w:val="24"/>
        </w:rPr>
        <w:t xml:space="preserve"> tout au long de la mise en œuvre du Projet.</w:t>
      </w:r>
    </w:p>
    <w:p w14:paraId="19EBB943" w14:textId="77777777" w:rsidR="00764D3E" w:rsidRPr="003360A5" w:rsidRDefault="00764D3E" w:rsidP="00764D3E">
      <w:pPr>
        <w:jc w:val="both"/>
        <w:rPr>
          <w:rFonts w:ascii="Arial" w:hAnsi="Arial" w:cs="Arial"/>
          <w:szCs w:val="24"/>
        </w:rPr>
      </w:pPr>
      <w:r w:rsidRPr="003360A5">
        <w:rPr>
          <w:rFonts w:ascii="Arial" w:hAnsi="Arial" w:cs="Arial"/>
          <w:szCs w:val="24"/>
        </w:rPr>
        <w:t>Le Maître d’ouvrage assure également la communication sur le Projet à toutes les parties prenantes.</w:t>
      </w:r>
    </w:p>
    <w:p w14:paraId="032F0ED8" w14:textId="77777777" w:rsidR="00764D3E" w:rsidRDefault="00764D3E" w:rsidP="00764D3E">
      <w:pPr>
        <w:jc w:val="both"/>
        <w:rPr>
          <w:rFonts w:ascii="Arial" w:hAnsi="Arial" w:cs="Arial"/>
          <w:szCs w:val="24"/>
        </w:rPr>
      </w:pPr>
      <w:r w:rsidRPr="003360A5">
        <w:rPr>
          <w:rFonts w:ascii="Arial" w:hAnsi="Arial" w:cs="Arial"/>
          <w:szCs w:val="24"/>
        </w:rPr>
        <w:t xml:space="preserve">En outre, les principales missions du Maître d’ouvrage consistent à la mobilisation des moyens budgétaires et humains nécessaires à la réalisation du Projet ainsi que le suivi de l’avancement et coordination des différentes phases du Projet. </w:t>
      </w:r>
    </w:p>
    <w:p w14:paraId="3F591D3B" w14:textId="77777777" w:rsidR="00764D3E" w:rsidRPr="00742D67" w:rsidRDefault="00B044D1" w:rsidP="0044500E">
      <w:pPr>
        <w:pStyle w:val="TIT3"/>
        <w:numPr>
          <w:ilvl w:val="2"/>
          <w:numId w:val="177"/>
        </w:numPr>
      </w:pPr>
      <w:bookmarkStart w:id="1407" w:name="_Toc124314788"/>
      <w:bookmarkStart w:id="1408" w:name="_Toc124956324"/>
      <w:bookmarkStart w:id="1409" w:name="_Toc125384672"/>
      <w:bookmarkStart w:id="1410" w:name="_Toc125385061"/>
      <w:bookmarkStart w:id="1411" w:name="_Toc127957728"/>
      <w:r w:rsidRPr="00742D67">
        <w:t>Ma</w:t>
      </w:r>
      <w:r>
        <w:t>î</w:t>
      </w:r>
      <w:r w:rsidRPr="00742D67">
        <w:t>trise d’ouvrage déléguée</w:t>
      </w:r>
      <w:bookmarkEnd w:id="1411"/>
      <w:r w:rsidRPr="00742D67">
        <w:t xml:space="preserve"> </w:t>
      </w:r>
      <w:bookmarkEnd w:id="1407"/>
      <w:bookmarkEnd w:id="1408"/>
      <w:bookmarkEnd w:id="1409"/>
      <w:bookmarkEnd w:id="1410"/>
    </w:p>
    <w:p w14:paraId="58C33315" w14:textId="77777777" w:rsidR="00764D3E" w:rsidRDefault="00764D3E" w:rsidP="00764D3E">
      <w:pPr>
        <w:jc w:val="both"/>
        <w:rPr>
          <w:rFonts w:ascii="Arial" w:hAnsi="Arial" w:cs="Arial"/>
          <w:szCs w:val="24"/>
        </w:rPr>
      </w:pPr>
      <w:r>
        <w:rPr>
          <w:rFonts w:ascii="Arial" w:hAnsi="Arial" w:cs="Arial"/>
          <w:szCs w:val="24"/>
        </w:rPr>
        <w:t>La ma</w:t>
      </w:r>
      <w:r w:rsidR="003A6A50">
        <w:rPr>
          <w:rFonts w:ascii="Arial" w:hAnsi="Arial" w:cs="Arial"/>
          <w:szCs w:val="24"/>
        </w:rPr>
        <w:t>î</w:t>
      </w:r>
      <w:r>
        <w:rPr>
          <w:rFonts w:ascii="Arial" w:hAnsi="Arial" w:cs="Arial"/>
          <w:szCs w:val="24"/>
        </w:rPr>
        <w:t xml:space="preserve">trise </w:t>
      </w:r>
      <w:r w:rsidR="0071568A">
        <w:rPr>
          <w:rFonts w:ascii="Arial" w:hAnsi="Arial" w:cs="Arial"/>
          <w:szCs w:val="24"/>
        </w:rPr>
        <w:t xml:space="preserve">d’ouvrage </w:t>
      </w:r>
      <w:r>
        <w:rPr>
          <w:rFonts w:ascii="Arial" w:hAnsi="Arial" w:cs="Arial"/>
          <w:szCs w:val="24"/>
        </w:rPr>
        <w:t>délégué</w:t>
      </w:r>
      <w:r w:rsidR="0062577C">
        <w:rPr>
          <w:rFonts w:ascii="Arial" w:hAnsi="Arial" w:cs="Arial"/>
          <w:szCs w:val="24"/>
        </w:rPr>
        <w:t>e</w:t>
      </w:r>
      <w:r>
        <w:rPr>
          <w:rFonts w:ascii="Arial" w:hAnsi="Arial" w:cs="Arial"/>
          <w:szCs w:val="24"/>
        </w:rPr>
        <w:t xml:space="preserve"> a pour rôle d’assurer la mise en œuvre d’un</w:t>
      </w:r>
      <w:r w:rsidR="004B1AF2">
        <w:rPr>
          <w:rFonts w:ascii="Arial" w:hAnsi="Arial" w:cs="Arial"/>
          <w:szCs w:val="24"/>
        </w:rPr>
        <w:t>e</w:t>
      </w:r>
      <w:r>
        <w:rPr>
          <w:rFonts w:ascii="Arial" w:hAnsi="Arial" w:cs="Arial"/>
          <w:szCs w:val="24"/>
        </w:rPr>
        <w:t xml:space="preserve"> sous composante spécifique du Projet.</w:t>
      </w:r>
    </w:p>
    <w:p w14:paraId="538B8485" w14:textId="77777777" w:rsidR="00764D3E" w:rsidRDefault="0071568A" w:rsidP="00764D3E">
      <w:pPr>
        <w:jc w:val="both"/>
        <w:rPr>
          <w:rFonts w:ascii="Arial" w:hAnsi="Arial" w:cs="Arial"/>
        </w:rPr>
      </w:pPr>
      <w:r w:rsidRPr="1B6D98A2">
        <w:rPr>
          <w:rFonts w:ascii="Arial" w:hAnsi="Arial" w:cs="Arial"/>
        </w:rPr>
        <w:t>L</w:t>
      </w:r>
      <w:r>
        <w:rPr>
          <w:rFonts w:ascii="Arial" w:hAnsi="Arial" w:cs="Arial"/>
        </w:rPr>
        <w:t>a</w:t>
      </w:r>
      <w:r w:rsidRPr="1B6D98A2">
        <w:rPr>
          <w:rFonts w:ascii="Arial" w:hAnsi="Arial" w:cs="Arial"/>
        </w:rPr>
        <w:t xml:space="preserve"> </w:t>
      </w:r>
      <w:r w:rsidR="00764D3E" w:rsidRPr="1B6D98A2">
        <w:rPr>
          <w:rFonts w:ascii="Arial" w:hAnsi="Arial" w:cs="Arial"/>
        </w:rPr>
        <w:t>Ma</w:t>
      </w:r>
      <w:r w:rsidR="003A6A50">
        <w:rPr>
          <w:rFonts w:ascii="Arial" w:hAnsi="Arial" w:cs="Arial"/>
        </w:rPr>
        <w:t>î</w:t>
      </w:r>
      <w:r w:rsidR="00764D3E" w:rsidRPr="1B6D98A2">
        <w:rPr>
          <w:rFonts w:ascii="Arial" w:hAnsi="Arial" w:cs="Arial"/>
        </w:rPr>
        <w:t>tr</w:t>
      </w:r>
      <w:r>
        <w:rPr>
          <w:rFonts w:ascii="Arial" w:hAnsi="Arial" w:cs="Arial"/>
        </w:rPr>
        <w:t>ise</w:t>
      </w:r>
      <w:r w:rsidR="00764D3E" w:rsidRPr="1B6D98A2">
        <w:rPr>
          <w:rFonts w:ascii="Arial" w:hAnsi="Arial" w:cs="Arial"/>
        </w:rPr>
        <w:t xml:space="preserve"> d’Ouvrage Délégué</w:t>
      </w:r>
      <w:r>
        <w:rPr>
          <w:rFonts w:ascii="Arial" w:hAnsi="Arial" w:cs="Arial"/>
        </w:rPr>
        <w:t>e</w:t>
      </w:r>
      <w:r w:rsidR="00764D3E" w:rsidRPr="1B6D98A2">
        <w:rPr>
          <w:rFonts w:ascii="Arial" w:hAnsi="Arial" w:cs="Arial"/>
        </w:rPr>
        <w:t xml:space="preserve"> (MOD) agit au nom et pour le compte du Maître d’ouvrage. En ce sens, il assure la mission d’assistance au Ma</w:t>
      </w:r>
      <w:r w:rsidR="003A6A50">
        <w:rPr>
          <w:rFonts w:ascii="Arial" w:hAnsi="Arial" w:cs="Arial"/>
        </w:rPr>
        <w:t>î</w:t>
      </w:r>
      <w:r w:rsidR="00764D3E" w:rsidRPr="1B6D98A2">
        <w:rPr>
          <w:rFonts w:ascii="Arial" w:hAnsi="Arial" w:cs="Arial"/>
        </w:rPr>
        <w:t>tre d’ouvrage. Compte tenu des contraintes opérationnelles de ce dernier, le MOD suit le Projet depuis sa conception, jusqu’à sa clôture, dans le respect des objectifs et des résultats attendus. Il s’occupe de l’organisation, de la prévision et planification, et de l’établissement des marchés et des études, ainsi que des travaux. Dans la cadre de la mise en œuvre du Projet DECIM, le MOD utilisera les manuels de procédures administratives et financières conçus pour le Projet (notamment en ce qui concerne l</w:t>
      </w:r>
      <w:r w:rsidR="003A6A50">
        <w:rPr>
          <w:rFonts w:ascii="Arial" w:hAnsi="Arial" w:cs="Arial"/>
        </w:rPr>
        <w:t>es</w:t>
      </w:r>
      <w:r w:rsidR="00764D3E" w:rsidRPr="1B6D98A2">
        <w:rPr>
          <w:rFonts w:ascii="Arial" w:hAnsi="Arial" w:cs="Arial"/>
        </w:rPr>
        <w:t>appel</w:t>
      </w:r>
      <w:r w:rsidR="003A6A50">
        <w:rPr>
          <w:rFonts w:ascii="Arial" w:hAnsi="Arial" w:cs="Arial"/>
        </w:rPr>
        <w:t>s</w:t>
      </w:r>
      <w:r w:rsidR="00764D3E" w:rsidRPr="1B6D98A2">
        <w:rPr>
          <w:rFonts w:ascii="Arial" w:hAnsi="Arial" w:cs="Arial"/>
        </w:rPr>
        <w:t xml:space="preserve"> d’offres, l’évaluation des offres, l’attribution des marchés et leur exécution).</w:t>
      </w:r>
    </w:p>
    <w:p w14:paraId="2A67BEA1" w14:textId="77777777" w:rsidR="00764D3E" w:rsidRDefault="00764D3E" w:rsidP="00764D3E">
      <w:pPr>
        <w:jc w:val="both"/>
        <w:rPr>
          <w:rFonts w:ascii="Arial" w:hAnsi="Arial" w:cs="Arial"/>
          <w:szCs w:val="24"/>
        </w:rPr>
      </w:pPr>
      <w:r>
        <w:rPr>
          <w:rFonts w:ascii="Arial" w:hAnsi="Arial" w:cs="Arial"/>
          <w:szCs w:val="24"/>
        </w:rPr>
        <w:t>Dans le cas des sous composante</w:t>
      </w:r>
      <w:r w:rsidR="004B1AF2">
        <w:rPr>
          <w:rFonts w:ascii="Arial" w:hAnsi="Arial" w:cs="Arial"/>
          <w:szCs w:val="24"/>
        </w:rPr>
        <w:t>s</w:t>
      </w:r>
      <w:r>
        <w:rPr>
          <w:rFonts w:ascii="Arial" w:hAnsi="Arial" w:cs="Arial"/>
          <w:szCs w:val="24"/>
        </w:rPr>
        <w:t xml:space="preserve"> 1.1, et 1.3 le MOD est assuré respectivement par la JIRAMA et l’ADER, alors que la mise en œuvre d</w:t>
      </w:r>
      <w:r w:rsidR="004B1AF2">
        <w:rPr>
          <w:rFonts w:ascii="Arial" w:hAnsi="Arial" w:cs="Arial"/>
          <w:szCs w:val="24"/>
        </w:rPr>
        <w:t>es</w:t>
      </w:r>
      <w:r>
        <w:rPr>
          <w:rFonts w:ascii="Arial" w:hAnsi="Arial" w:cs="Arial"/>
          <w:szCs w:val="24"/>
        </w:rPr>
        <w:t xml:space="preserve"> sous composante</w:t>
      </w:r>
      <w:r w:rsidR="004B1AF2">
        <w:rPr>
          <w:rFonts w:ascii="Arial" w:hAnsi="Arial" w:cs="Arial"/>
          <w:szCs w:val="24"/>
        </w:rPr>
        <w:t>s</w:t>
      </w:r>
      <w:r>
        <w:rPr>
          <w:rFonts w:ascii="Arial" w:hAnsi="Arial" w:cs="Arial"/>
          <w:szCs w:val="24"/>
        </w:rPr>
        <w:t xml:space="preserve"> 1.2, 2.2 et 2.3 est assuré par les Opérateur</w:t>
      </w:r>
      <w:r w:rsidR="004B1AF2">
        <w:rPr>
          <w:rFonts w:ascii="Arial" w:hAnsi="Arial" w:cs="Arial"/>
          <w:szCs w:val="24"/>
        </w:rPr>
        <w:t>s privés</w:t>
      </w:r>
      <w:r>
        <w:rPr>
          <w:rFonts w:ascii="Arial" w:hAnsi="Arial" w:cs="Arial"/>
          <w:szCs w:val="24"/>
        </w:rPr>
        <w:t xml:space="preserve"> dans la numérique comme TELMA, Airtel et Orange.</w:t>
      </w:r>
    </w:p>
    <w:p w14:paraId="6908F7EF" w14:textId="77777777" w:rsidR="00764D3E" w:rsidRPr="00D6114E" w:rsidRDefault="00764D3E" w:rsidP="00764D3E">
      <w:pPr>
        <w:jc w:val="both"/>
        <w:rPr>
          <w:rFonts w:ascii="Arial" w:hAnsi="Arial" w:cs="Arial"/>
          <w:szCs w:val="24"/>
        </w:rPr>
      </w:pPr>
      <w:r w:rsidRPr="00D6114E">
        <w:rPr>
          <w:rFonts w:ascii="Arial" w:hAnsi="Arial" w:cs="Arial"/>
          <w:szCs w:val="24"/>
        </w:rPr>
        <w:t xml:space="preserve">Ces acteurs s’impliquent également dans l’application des dispositions édictées par les NES en termes de </w:t>
      </w:r>
      <w:r w:rsidR="004B1AF2">
        <w:rPr>
          <w:rFonts w:ascii="Arial" w:hAnsi="Arial" w:cs="Arial"/>
          <w:szCs w:val="24"/>
        </w:rPr>
        <w:t>gestion des risques</w:t>
      </w:r>
      <w:r w:rsidR="004B1AF2" w:rsidRPr="00D6114E">
        <w:rPr>
          <w:rFonts w:ascii="Arial" w:hAnsi="Arial" w:cs="Arial"/>
          <w:szCs w:val="24"/>
        </w:rPr>
        <w:t xml:space="preserve"> </w:t>
      </w:r>
      <w:r w:rsidRPr="00D6114E">
        <w:rPr>
          <w:rFonts w:ascii="Arial" w:hAnsi="Arial" w:cs="Arial"/>
          <w:szCs w:val="24"/>
        </w:rPr>
        <w:t>environnementa</w:t>
      </w:r>
      <w:r w:rsidR="0062577C">
        <w:rPr>
          <w:rFonts w:ascii="Arial" w:hAnsi="Arial" w:cs="Arial"/>
          <w:szCs w:val="24"/>
        </w:rPr>
        <w:t>ux</w:t>
      </w:r>
      <w:r w:rsidRPr="00D6114E">
        <w:rPr>
          <w:rFonts w:ascii="Arial" w:hAnsi="Arial" w:cs="Arial"/>
          <w:szCs w:val="24"/>
        </w:rPr>
        <w:t xml:space="preserve"> et socia</w:t>
      </w:r>
      <w:r w:rsidR="0062577C">
        <w:rPr>
          <w:rFonts w:ascii="Arial" w:hAnsi="Arial" w:cs="Arial"/>
          <w:szCs w:val="24"/>
        </w:rPr>
        <w:t>ux</w:t>
      </w:r>
      <w:r w:rsidRPr="00D6114E">
        <w:rPr>
          <w:rFonts w:ascii="Arial" w:hAnsi="Arial" w:cs="Arial"/>
          <w:szCs w:val="24"/>
        </w:rPr>
        <w:t>. En outre, ils seront également concernés par la mise en œuvre et le suivi des différents plans élaborés dans le cadre du présent Projet (PGES, PMPP, PGMO, PVBG, PR).</w:t>
      </w:r>
    </w:p>
    <w:p w14:paraId="181C76AD" w14:textId="77777777" w:rsidR="00764D3E" w:rsidRDefault="00764D3E" w:rsidP="00764D3E">
      <w:pPr>
        <w:jc w:val="both"/>
        <w:rPr>
          <w:rFonts w:ascii="Arial" w:hAnsi="Arial" w:cs="Arial"/>
          <w:szCs w:val="24"/>
        </w:rPr>
      </w:pPr>
      <w:r w:rsidRPr="00D6114E">
        <w:rPr>
          <w:rFonts w:ascii="Arial" w:hAnsi="Arial" w:cs="Arial"/>
          <w:szCs w:val="24"/>
        </w:rPr>
        <w:t>La convention entre le MO et le MOD doit préciser les modalités des suivis et contrôles : nature, périodicité, contenu des rapports, compte-rendu à fournir par le MOD</w:t>
      </w:r>
      <w:r>
        <w:rPr>
          <w:rFonts w:ascii="Arial" w:hAnsi="Arial" w:cs="Arial"/>
          <w:szCs w:val="24"/>
        </w:rPr>
        <w:t>.</w:t>
      </w:r>
    </w:p>
    <w:p w14:paraId="17017F13" w14:textId="77777777" w:rsidR="00764D3E" w:rsidRPr="00742D67" w:rsidRDefault="00764D3E" w:rsidP="0044500E">
      <w:pPr>
        <w:pStyle w:val="TIT3"/>
        <w:numPr>
          <w:ilvl w:val="2"/>
          <w:numId w:val="177"/>
        </w:numPr>
      </w:pPr>
      <w:bookmarkStart w:id="1412" w:name="_Toc98192394"/>
      <w:bookmarkStart w:id="1413" w:name="_Toc95029838"/>
      <w:bookmarkStart w:id="1414" w:name="_Toc89768137"/>
      <w:bookmarkStart w:id="1415" w:name="_Toc54083369"/>
      <w:bookmarkStart w:id="1416" w:name="_Toc100755485"/>
      <w:bookmarkStart w:id="1417" w:name="_Toc124314789"/>
      <w:bookmarkStart w:id="1418" w:name="_Toc124956325"/>
      <w:bookmarkStart w:id="1419" w:name="_Toc125384673"/>
      <w:bookmarkStart w:id="1420" w:name="_Toc125385062"/>
      <w:bookmarkStart w:id="1421" w:name="_Toc127957729"/>
      <w:r w:rsidRPr="00742D67">
        <w:t>Unité de Coordination du Projet</w:t>
      </w:r>
      <w:bookmarkEnd w:id="1412"/>
      <w:bookmarkEnd w:id="1413"/>
      <w:bookmarkEnd w:id="1414"/>
      <w:bookmarkEnd w:id="1415"/>
      <w:bookmarkEnd w:id="1416"/>
      <w:bookmarkEnd w:id="1417"/>
      <w:bookmarkEnd w:id="1418"/>
      <w:bookmarkEnd w:id="1419"/>
      <w:bookmarkEnd w:id="1420"/>
      <w:bookmarkEnd w:id="1421"/>
    </w:p>
    <w:p w14:paraId="2F74C688" w14:textId="77777777" w:rsidR="00764D3E" w:rsidRPr="003360A5" w:rsidRDefault="00764D3E" w:rsidP="00764D3E">
      <w:pPr>
        <w:jc w:val="both"/>
        <w:rPr>
          <w:rFonts w:ascii="Arial" w:hAnsi="Arial" w:cs="Arial"/>
          <w:szCs w:val="24"/>
        </w:rPr>
      </w:pPr>
      <w:r w:rsidRPr="003360A5">
        <w:rPr>
          <w:rFonts w:ascii="Arial" w:hAnsi="Arial" w:cs="Arial"/>
          <w:szCs w:val="24"/>
        </w:rPr>
        <w:t xml:space="preserve">La fonction de coordination et de gestion globale revient à l’Unité de </w:t>
      </w:r>
      <w:r>
        <w:rPr>
          <w:rFonts w:ascii="Arial" w:hAnsi="Arial" w:cs="Arial"/>
          <w:szCs w:val="24"/>
        </w:rPr>
        <w:t xml:space="preserve">Coordination </w:t>
      </w:r>
      <w:r w:rsidRPr="003360A5">
        <w:rPr>
          <w:rFonts w:ascii="Arial" w:hAnsi="Arial" w:cs="Arial"/>
          <w:szCs w:val="24"/>
        </w:rPr>
        <w:t xml:space="preserve">du Projet </w:t>
      </w:r>
      <w:r>
        <w:rPr>
          <w:rFonts w:ascii="Arial" w:hAnsi="Arial" w:cs="Arial"/>
          <w:szCs w:val="24"/>
        </w:rPr>
        <w:t>(UC</w:t>
      </w:r>
      <w:r w:rsidRPr="003360A5">
        <w:rPr>
          <w:rFonts w:ascii="Arial" w:hAnsi="Arial" w:cs="Arial"/>
          <w:szCs w:val="24"/>
        </w:rPr>
        <w:t>P</w:t>
      </w:r>
      <w:r>
        <w:rPr>
          <w:rFonts w:ascii="Arial" w:hAnsi="Arial" w:cs="Arial"/>
          <w:szCs w:val="24"/>
        </w:rPr>
        <w:t>)</w:t>
      </w:r>
      <w:r w:rsidRPr="003360A5">
        <w:rPr>
          <w:rFonts w:ascii="Arial" w:hAnsi="Arial" w:cs="Arial"/>
          <w:szCs w:val="24"/>
        </w:rPr>
        <w:t xml:space="preserve">. Son existence se justifie du fait de la pluralité des acteurs </w:t>
      </w:r>
      <w:r>
        <w:rPr>
          <w:rFonts w:ascii="Arial" w:hAnsi="Arial" w:cs="Arial"/>
          <w:szCs w:val="24"/>
        </w:rPr>
        <w:t>de mise en œuvre. En effet, l’UC</w:t>
      </w:r>
      <w:r w:rsidRPr="003360A5">
        <w:rPr>
          <w:rFonts w:ascii="Arial" w:hAnsi="Arial" w:cs="Arial"/>
          <w:szCs w:val="24"/>
        </w:rPr>
        <w:t xml:space="preserve">P </w:t>
      </w:r>
      <w:r w:rsidR="003A6A50">
        <w:rPr>
          <w:rFonts w:ascii="Arial" w:hAnsi="Arial" w:cs="Arial"/>
          <w:szCs w:val="24"/>
        </w:rPr>
        <w:t xml:space="preserve">a la </w:t>
      </w:r>
      <w:r w:rsidRPr="003360A5">
        <w:rPr>
          <w:rFonts w:ascii="Arial" w:hAnsi="Arial" w:cs="Arial"/>
          <w:szCs w:val="24"/>
        </w:rPr>
        <w:t>charge de la coordination régulière des activités, de la consolidation des résultats du Projet (qui sont alimentés périodiquement pa</w:t>
      </w:r>
      <w:r>
        <w:rPr>
          <w:rFonts w:ascii="Arial" w:hAnsi="Arial" w:cs="Arial"/>
          <w:szCs w:val="24"/>
        </w:rPr>
        <w:t>r les entités d’exécution). L’UC</w:t>
      </w:r>
      <w:r w:rsidRPr="003360A5">
        <w:rPr>
          <w:rFonts w:ascii="Arial" w:hAnsi="Arial" w:cs="Arial"/>
          <w:szCs w:val="24"/>
        </w:rPr>
        <w:t xml:space="preserve">P assure en outre l’interface du Projet avec les instances </w:t>
      </w:r>
      <w:r>
        <w:rPr>
          <w:rFonts w:ascii="Arial" w:hAnsi="Arial" w:cs="Arial"/>
          <w:szCs w:val="24"/>
        </w:rPr>
        <w:t>externes. Dans la pratique, l’UC</w:t>
      </w:r>
      <w:r w:rsidRPr="003360A5">
        <w:rPr>
          <w:rFonts w:ascii="Arial" w:hAnsi="Arial" w:cs="Arial"/>
          <w:szCs w:val="24"/>
        </w:rPr>
        <w:t xml:space="preserve">P assure davantage le suivi des réalisations techniques et financières, en conformité avec les PTBA validés et le Cadre de Résultats, et en rend compte auprès du </w:t>
      </w:r>
      <w:r w:rsidR="003A6A50" w:rsidRPr="003360A5">
        <w:rPr>
          <w:rFonts w:ascii="Arial" w:hAnsi="Arial" w:cs="Arial"/>
          <w:szCs w:val="24"/>
        </w:rPr>
        <w:t xml:space="preserve">Comité de Pilotage </w:t>
      </w:r>
      <w:r w:rsidRPr="003360A5">
        <w:rPr>
          <w:rFonts w:ascii="Arial" w:hAnsi="Arial" w:cs="Arial"/>
          <w:szCs w:val="24"/>
        </w:rPr>
        <w:t xml:space="preserve">et de la Banque mondiale. </w:t>
      </w:r>
    </w:p>
    <w:p w14:paraId="2DF125F3" w14:textId="77777777" w:rsidR="00764D3E" w:rsidRPr="00742D67" w:rsidRDefault="00764D3E" w:rsidP="00764D3E">
      <w:pPr>
        <w:jc w:val="both"/>
        <w:rPr>
          <w:rFonts w:ascii="Arial" w:hAnsi="Arial" w:cs="Arial"/>
        </w:rPr>
      </w:pPr>
      <w:r w:rsidRPr="1B6D98A2">
        <w:rPr>
          <w:rFonts w:ascii="Arial" w:hAnsi="Arial" w:cs="Arial"/>
        </w:rPr>
        <w:t xml:space="preserve">Outre l’équipe chargé de l’administration et l’équipe technique, il y aura au sein de l’unité de gestion, un(e) responsable de </w:t>
      </w:r>
      <w:r w:rsidR="00C3660F" w:rsidRPr="1B6D98A2">
        <w:rPr>
          <w:rFonts w:ascii="Arial" w:hAnsi="Arial" w:cs="Arial"/>
        </w:rPr>
        <w:t xml:space="preserve">gestion des risques </w:t>
      </w:r>
      <w:r w:rsidRPr="1B6D98A2">
        <w:rPr>
          <w:rFonts w:ascii="Arial" w:hAnsi="Arial" w:cs="Arial"/>
        </w:rPr>
        <w:t>environnementaux, un(e) responsable de</w:t>
      </w:r>
      <w:r w:rsidR="00C3660F" w:rsidRPr="1B6D98A2">
        <w:rPr>
          <w:rFonts w:ascii="Arial" w:hAnsi="Arial" w:cs="Arial"/>
        </w:rPr>
        <w:t xml:space="preserve"> gestion des risque</w:t>
      </w:r>
      <w:r w:rsidRPr="1B6D98A2">
        <w:rPr>
          <w:rFonts w:ascii="Arial" w:hAnsi="Arial" w:cs="Arial"/>
        </w:rPr>
        <w:t>s sociaux, un responsable de gestion des VBG/EAS/HS, qui travailleront en temps plein pour le Projet</w:t>
      </w:r>
      <w:r w:rsidR="003A6A50">
        <w:rPr>
          <w:rFonts w:ascii="Arial" w:hAnsi="Arial" w:cs="Arial"/>
        </w:rPr>
        <w:t xml:space="preserve"> (cellule E&amp;S du Projet)</w:t>
      </w:r>
      <w:r w:rsidR="003A6A50" w:rsidRPr="1B6D98A2">
        <w:rPr>
          <w:rFonts w:ascii="Arial" w:hAnsi="Arial" w:cs="Arial"/>
        </w:rPr>
        <w:t>.</w:t>
      </w:r>
      <w:r w:rsidRPr="1B6D98A2">
        <w:rPr>
          <w:rFonts w:ascii="Arial" w:hAnsi="Arial" w:cs="Arial"/>
        </w:rPr>
        <w:t xml:space="preserve">. Leur mission est de garantir l’effectivité de la prise en compte des aspects environnementaux et sociaux du Projet, sur la base des documents cadres tels </w:t>
      </w:r>
      <w:r w:rsidRPr="00742D67">
        <w:rPr>
          <w:rFonts w:ascii="Arial" w:hAnsi="Arial" w:cs="Arial"/>
        </w:rPr>
        <w:t>que PEES, CGES, EIES/PGES, PGMO, PMPP, CR et éventuellement le PR.</w:t>
      </w:r>
    </w:p>
    <w:p w14:paraId="1749AD40" w14:textId="77777777" w:rsidR="00F20B6A" w:rsidRPr="00742D67" w:rsidRDefault="00191F68" w:rsidP="0044500E">
      <w:pPr>
        <w:pStyle w:val="TIT3"/>
        <w:numPr>
          <w:ilvl w:val="2"/>
          <w:numId w:val="177"/>
        </w:numPr>
      </w:pPr>
      <w:bookmarkStart w:id="1422" w:name="_Toc125384674"/>
      <w:bookmarkStart w:id="1423" w:name="_Toc125385063"/>
      <w:bookmarkStart w:id="1424" w:name="_Toc127957730"/>
      <w:r w:rsidRPr="00742D67">
        <w:t>I</w:t>
      </w:r>
      <w:r w:rsidR="00F20B6A" w:rsidRPr="00742D67">
        <w:t>ntermédiaires financiers</w:t>
      </w:r>
      <w:bookmarkEnd w:id="1422"/>
      <w:bookmarkEnd w:id="1423"/>
      <w:bookmarkEnd w:id="1424"/>
      <w:r w:rsidR="00F20B6A" w:rsidRPr="00742D67">
        <w:t xml:space="preserve"> </w:t>
      </w:r>
    </w:p>
    <w:p w14:paraId="00883F27" w14:textId="77777777" w:rsidR="005303A7" w:rsidRPr="00742D67" w:rsidRDefault="005303A7" w:rsidP="00764D3E">
      <w:pPr>
        <w:jc w:val="both"/>
        <w:rPr>
          <w:rFonts w:ascii="Arial" w:hAnsi="Arial" w:cs="Arial"/>
        </w:rPr>
      </w:pPr>
      <w:r w:rsidRPr="00742D67">
        <w:rPr>
          <w:rFonts w:ascii="Arial" w:hAnsi="Arial" w:cs="Arial"/>
        </w:rPr>
        <w:t xml:space="preserve">Les intermédiaires financiers ont pour rôle </w:t>
      </w:r>
      <w:r w:rsidR="000738DF" w:rsidRPr="00742D67">
        <w:rPr>
          <w:rFonts w:ascii="Arial" w:hAnsi="Arial" w:cs="Arial"/>
        </w:rPr>
        <w:t>la</w:t>
      </w:r>
      <w:r w:rsidRPr="00742D67">
        <w:rPr>
          <w:rFonts w:ascii="Arial" w:hAnsi="Arial" w:cs="Arial"/>
        </w:rPr>
        <w:t xml:space="preserve"> gestion de fond pour le programme de financement de l'accessibilité des appareils dans le cadre de la sous-composante 2.1. Ainsi, ils assurent que les sous projet d’IF qu’ils financent ne portent pas atteinte aux composantes environnementales et sociales. </w:t>
      </w:r>
      <w:r w:rsidR="0080211B" w:rsidRPr="00742D67">
        <w:rPr>
          <w:rFonts w:ascii="Arial" w:hAnsi="Arial" w:cs="Arial"/>
        </w:rPr>
        <w:t>A cet effet</w:t>
      </w:r>
      <w:r w:rsidR="007A42B9">
        <w:rPr>
          <w:rFonts w:ascii="Arial" w:hAnsi="Arial" w:cs="Arial"/>
        </w:rPr>
        <w:t>,</w:t>
      </w:r>
      <w:r w:rsidR="0080211B" w:rsidRPr="00742D67">
        <w:rPr>
          <w:rFonts w:ascii="Arial" w:hAnsi="Arial" w:cs="Arial"/>
        </w:rPr>
        <w:t xml:space="preserve"> ils doivent : </w:t>
      </w:r>
    </w:p>
    <w:p w14:paraId="05EB78EA" w14:textId="77777777" w:rsidR="0080211B" w:rsidRPr="00742D67" w:rsidRDefault="0080211B" w:rsidP="0044500E">
      <w:pPr>
        <w:pStyle w:val="Paragraphedeliste"/>
        <w:numPr>
          <w:ilvl w:val="0"/>
          <w:numId w:val="188"/>
        </w:numPr>
        <w:jc w:val="both"/>
        <w:rPr>
          <w:rFonts w:ascii="Arial" w:hAnsi="Arial" w:cs="Arial"/>
          <w:color w:val="auto"/>
        </w:rPr>
      </w:pPr>
      <w:r w:rsidRPr="00742D67">
        <w:rPr>
          <w:rFonts w:ascii="Arial" w:hAnsi="Arial" w:cs="Arial"/>
          <w:color w:val="auto"/>
        </w:rPr>
        <w:t>Procéder au tri, à l’examen et au classement des sous-projets en fonction des risques et effets environnementaux et sociaux qu’ils pourraient présenter</w:t>
      </w:r>
    </w:p>
    <w:p w14:paraId="358A4FE6" w14:textId="77777777" w:rsidR="0080211B" w:rsidRPr="00742D67" w:rsidRDefault="0080211B" w:rsidP="0044500E">
      <w:pPr>
        <w:pStyle w:val="Paragraphedeliste"/>
        <w:numPr>
          <w:ilvl w:val="0"/>
          <w:numId w:val="188"/>
        </w:numPr>
        <w:jc w:val="both"/>
        <w:rPr>
          <w:rFonts w:ascii="Arial" w:hAnsi="Arial" w:cs="Arial"/>
          <w:color w:val="auto"/>
        </w:rPr>
      </w:pPr>
      <w:r w:rsidRPr="00742D67">
        <w:rPr>
          <w:rFonts w:ascii="Arial" w:hAnsi="Arial" w:cs="Arial"/>
          <w:color w:val="auto"/>
        </w:rPr>
        <w:t>Assurer que les sous-projets d’IF soient évalués, élaborés et mis en œuvre conformément au droit national et, les dispositions pertinentes des NES</w:t>
      </w:r>
    </w:p>
    <w:p w14:paraId="1627F3F2" w14:textId="77777777" w:rsidR="0080211B" w:rsidRPr="00742D67" w:rsidRDefault="0080211B" w:rsidP="0044500E">
      <w:pPr>
        <w:pStyle w:val="Paragraphedeliste"/>
        <w:numPr>
          <w:ilvl w:val="0"/>
          <w:numId w:val="188"/>
        </w:numPr>
        <w:jc w:val="both"/>
        <w:rPr>
          <w:rFonts w:ascii="Arial" w:hAnsi="Arial" w:cs="Arial"/>
          <w:color w:val="auto"/>
        </w:rPr>
      </w:pPr>
      <w:r w:rsidRPr="00742D67">
        <w:rPr>
          <w:rFonts w:ascii="Arial" w:hAnsi="Arial" w:cs="Arial"/>
          <w:color w:val="auto"/>
        </w:rPr>
        <w:t>Veiller que toutes les mesures pour atténuer les risques environnementaux et sociaux identifiées soit respectées et suivies</w:t>
      </w:r>
    </w:p>
    <w:p w14:paraId="15C646C9" w14:textId="77777777" w:rsidR="0080211B" w:rsidRPr="00742D67" w:rsidRDefault="0080211B" w:rsidP="0044500E">
      <w:pPr>
        <w:pStyle w:val="Paragraphedeliste"/>
        <w:numPr>
          <w:ilvl w:val="0"/>
          <w:numId w:val="188"/>
        </w:numPr>
        <w:jc w:val="both"/>
        <w:rPr>
          <w:rFonts w:ascii="Arial" w:hAnsi="Arial" w:cs="Arial"/>
          <w:color w:val="auto"/>
        </w:rPr>
      </w:pPr>
      <w:r w:rsidRPr="00742D67">
        <w:rPr>
          <w:rFonts w:ascii="Arial" w:hAnsi="Arial" w:cs="Arial"/>
          <w:color w:val="auto"/>
        </w:rPr>
        <w:t>Assurer le suivi et la mise à jour régulière des données environnementales et sociales concernant les</w:t>
      </w:r>
      <w:r w:rsidR="007F0DCA" w:rsidRPr="00742D67">
        <w:rPr>
          <w:rFonts w:ascii="Arial" w:hAnsi="Arial" w:cs="Arial"/>
          <w:color w:val="auto"/>
        </w:rPr>
        <w:t xml:space="preserve"> </w:t>
      </w:r>
      <w:r w:rsidRPr="00742D67">
        <w:rPr>
          <w:rFonts w:ascii="Arial" w:hAnsi="Arial" w:cs="Arial"/>
          <w:color w:val="auto"/>
        </w:rPr>
        <w:t>sous-projets d’IF</w:t>
      </w:r>
    </w:p>
    <w:p w14:paraId="72964583" w14:textId="77777777" w:rsidR="005303A7" w:rsidRPr="00742D67" w:rsidRDefault="007F0DCA" w:rsidP="0044500E">
      <w:pPr>
        <w:pStyle w:val="Paragraphedeliste"/>
        <w:numPr>
          <w:ilvl w:val="0"/>
          <w:numId w:val="188"/>
        </w:numPr>
        <w:jc w:val="both"/>
        <w:rPr>
          <w:rFonts w:ascii="Arial" w:hAnsi="Arial" w:cs="Arial"/>
          <w:color w:val="auto"/>
        </w:rPr>
      </w:pPr>
      <w:r w:rsidRPr="00742D67">
        <w:rPr>
          <w:rFonts w:ascii="Arial" w:hAnsi="Arial" w:cs="Arial"/>
          <w:color w:val="auto"/>
        </w:rPr>
        <w:t>Appliquer les dispositions pertinentes des NES et en rendre compte d’une manière appropriée lorsque le profil de risque d’un sous-projet d’IF augmente de manière substantielle</w:t>
      </w:r>
    </w:p>
    <w:p w14:paraId="09F5B126" w14:textId="77777777" w:rsidR="007F0DCA" w:rsidRPr="00742D67" w:rsidRDefault="007F0DCA" w:rsidP="0044500E">
      <w:pPr>
        <w:pStyle w:val="Paragraphedeliste"/>
        <w:numPr>
          <w:ilvl w:val="0"/>
          <w:numId w:val="188"/>
        </w:numPr>
        <w:jc w:val="both"/>
        <w:rPr>
          <w:rFonts w:ascii="Arial" w:hAnsi="Arial" w:cs="Arial"/>
          <w:color w:val="auto"/>
        </w:rPr>
      </w:pPr>
      <w:r w:rsidRPr="00742D67">
        <w:rPr>
          <w:rFonts w:ascii="Arial" w:hAnsi="Arial" w:cs="Arial"/>
          <w:color w:val="auto"/>
        </w:rPr>
        <w:t>Assurer le suivi des risques environnementaux et sociaux du portefeuille de l’IF.</w:t>
      </w:r>
    </w:p>
    <w:p w14:paraId="3199AA57" w14:textId="77777777" w:rsidR="00DB39E5" w:rsidRPr="00742D67" w:rsidRDefault="007F0DCA" w:rsidP="00B434A6">
      <w:pPr>
        <w:jc w:val="both"/>
        <w:rPr>
          <w:rFonts w:ascii="Arial" w:hAnsi="Arial" w:cs="Arial"/>
        </w:rPr>
      </w:pPr>
      <w:r w:rsidRPr="00742D67">
        <w:rPr>
          <w:rFonts w:ascii="Arial" w:hAnsi="Arial" w:cs="Arial"/>
        </w:rPr>
        <w:t>Un haut responsable de l’intermédiaire financier</w:t>
      </w:r>
      <w:r w:rsidR="003A6A50">
        <w:rPr>
          <w:rFonts w:ascii="Arial" w:hAnsi="Arial" w:cs="Arial"/>
        </w:rPr>
        <w:t xml:space="preserve"> avec des compétences E&amp;S</w:t>
      </w:r>
      <w:r w:rsidRPr="00742D67">
        <w:rPr>
          <w:rFonts w:ascii="Arial" w:hAnsi="Arial" w:cs="Arial"/>
        </w:rPr>
        <w:t xml:space="preserve"> sera nommé pour garantir la bonne performance environnementale et sociale des sous projet</w:t>
      </w:r>
      <w:r w:rsidR="000738DF" w:rsidRPr="00742D67">
        <w:rPr>
          <w:rFonts w:ascii="Arial" w:hAnsi="Arial" w:cs="Arial"/>
        </w:rPr>
        <w:t>s</w:t>
      </w:r>
      <w:r w:rsidRPr="00742D67">
        <w:rPr>
          <w:rFonts w:ascii="Arial" w:hAnsi="Arial" w:cs="Arial"/>
        </w:rPr>
        <w:t xml:space="preserve"> d’IF. Ce haut responsable sera alors chargé de</w:t>
      </w:r>
      <w:r w:rsidR="00DB39E5" w:rsidRPr="00742D67">
        <w:rPr>
          <w:rFonts w:ascii="Arial" w:hAnsi="Arial" w:cs="Arial"/>
        </w:rPr>
        <w:t> : (1)</w:t>
      </w:r>
      <w:r w:rsidRPr="00742D67">
        <w:rPr>
          <w:rFonts w:ascii="Arial" w:hAnsi="Arial" w:cs="Arial"/>
        </w:rPr>
        <w:t xml:space="preserve"> contrôler la disponibilité des ressources pour la gestion environnementale et sociale ainsi que les formations y afférant</w:t>
      </w:r>
      <w:r w:rsidR="003A6A50">
        <w:rPr>
          <w:rFonts w:ascii="Arial" w:hAnsi="Arial" w:cs="Arial"/>
        </w:rPr>
        <w:t>es</w:t>
      </w:r>
      <w:r w:rsidR="00DB39E5" w:rsidRPr="00742D67">
        <w:rPr>
          <w:rFonts w:ascii="Arial" w:hAnsi="Arial" w:cs="Arial"/>
        </w:rPr>
        <w:t>, (2) veiller à la disponibilité des experts compétents pour effectuer les vérifications préalables et gérer les risques et effets environnementaux et sociaux des sous-projets d’IF et d’apporter un appui à la mise en œuvre si nécessaire. Ce responsable sera secondé par un membre du personnel de l’IF qui sera chargé de la mise en œuvre quotidienne des dispositions du SGES en matière environnementale et sociale, y compris les procédures environnementales et sociales</w:t>
      </w:r>
    </w:p>
    <w:p w14:paraId="6F289389" w14:textId="77777777" w:rsidR="00764D3E" w:rsidRPr="00764D3E" w:rsidRDefault="00764D3E" w:rsidP="0044500E">
      <w:pPr>
        <w:pStyle w:val="TIT3"/>
        <w:numPr>
          <w:ilvl w:val="2"/>
          <w:numId w:val="177"/>
        </w:numPr>
      </w:pPr>
      <w:bookmarkStart w:id="1425" w:name="_Toc98192395"/>
      <w:bookmarkStart w:id="1426" w:name="_Toc95029839"/>
      <w:bookmarkStart w:id="1427" w:name="_Toc54083371"/>
      <w:bookmarkStart w:id="1428" w:name="_Toc100755486"/>
      <w:bookmarkStart w:id="1429" w:name="_Toc124314790"/>
      <w:bookmarkStart w:id="1430" w:name="_Toc124956326"/>
      <w:bookmarkStart w:id="1431" w:name="_Toc125384675"/>
      <w:bookmarkStart w:id="1432" w:name="_Toc125385064"/>
      <w:bookmarkStart w:id="1433" w:name="_Toc127957731"/>
      <w:r w:rsidRPr="00764D3E">
        <w:t xml:space="preserve">Mission de </w:t>
      </w:r>
      <w:bookmarkStart w:id="1434" w:name="_Toc89768138"/>
      <w:r w:rsidRPr="00764D3E">
        <w:t>Contrôle</w:t>
      </w:r>
      <w:bookmarkEnd w:id="1425"/>
      <w:bookmarkEnd w:id="1426"/>
      <w:bookmarkEnd w:id="1427"/>
      <w:bookmarkEnd w:id="1428"/>
      <w:bookmarkEnd w:id="1429"/>
      <w:bookmarkEnd w:id="1430"/>
      <w:bookmarkEnd w:id="1431"/>
      <w:bookmarkEnd w:id="1432"/>
      <w:bookmarkEnd w:id="1433"/>
      <w:bookmarkEnd w:id="1434"/>
    </w:p>
    <w:p w14:paraId="02B0D700" w14:textId="77777777" w:rsidR="00764D3E" w:rsidRPr="000E641E" w:rsidRDefault="00764D3E" w:rsidP="00764D3E">
      <w:pPr>
        <w:jc w:val="both"/>
        <w:rPr>
          <w:rFonts w:ascii="Arial" w:hAnsi="Arial" w:cs="Arial"/>
          <w:szCs w:val="24"/>
        </w:rPr>
      </w:pPr>
      <w:r w:rsidRPr="000E641E">
        <w:rPr>
          <w:rFonts w:ascii="Arial" w:hAnsi="Arial" w:cs="Arial"/>
          <w:szCs w:val="24"/>
        </w:rPr>
        <w:t>L</w:t>
      </w:r>
      <w:r w:rsidR="00340AC0">
        <w:rPr>
          <w:rFonts w:ascii="Arial" w:hAnsi="Arial" w:cs="Arial"/>
          <w:szCs w:val="24"/>
        </w:rPr>
        <w:t xml:space="preserve">a mission de contrôle </w:t>
      </w:r>
      <w:r w:rsidRPr="000E641E">
        <w:rPr>
          <w:rFonts w:ascii="Arial" w:hAnsi="Arial" w:cs="Arial"/>
          <w:szCs w:val="24"/>
        </w:rPr>
        <w:t>agira et assurera les activités suivantes :</w:t>
      </w:r>
    </w:p>
    <w:p w14:paraId="5534C196" w14:textId="77777777" w:rsidR="00764D3E" w:rsidRPr="000E641E" w:rsidRDefault="00764D3E" w:rsidP="00687DD2">
      <w:pPr>
        <w:pStyle w:val="Paragraphedeliste"/>
        <w:numPr>
          <w:ilvl w:val="0"/>
          <w:numId w:val="24"/>
        </w:numPr>
        <w:spacing w:before="280" w:after="0" w:line="240" w:lineRule="auto"/>
        <w:jc w:val="both"/>
        <w:rPr>
          <w:rFonts w:ascii="Arial" w:hAnsi="Arial" w:cs="Arial"/>
        </w:rPr>
      </w:pPr>
      <w:r w:rsidRPr="000E641E">
        <w:rPr>
          <w:rFonts w:ascii="Arial" w:hAnsi="Arial" w:cs="Arial"/>
        </w:rPr>
        <w:t>Assistance à la coordination générale de chaque opération et en particulier la mise à disposition des sites des ouvrages ;</w:t>
      </w:r>
    </w:p>
    <w:p w14:paraId="63F3863D" w14:textId="77777777" w:rsidR="00764D3E" w:rsidRPr="000E641E" w:rsidRDefault="00764D3E" w:rsidP="00687DD2">
      <w:pPr>
        <w:pStyle w:val="Paragraphedeliste"/>
        <w:numPr>
          <w:ilvl w:val="0"/>
          <w:numId w:val="24"/>
        </w:numPr>
        <w:spacing w:before="280" w:after="0" w:line="240" w:lineRule="auto"/>
        <w:jc w:val="both"/>
        <w:rPr>
          <w:rFonts w:ascii="Arial" w:hAnsi="Arial" w:cs="Arial"/>
        </w:rPr>
      </w:pPr>
      <w:r w:rsidRPr="000E641E">
        <w:rPr>
          <w:rFonts w:ascii="Arial" w:hAnsi="Arial" w:cs="Arial"/>
        </w:rPr>
        <w:t xml:space="preserve">Validation des </w:t>
      </w:r>
      <w:r w:rsidR="003A6A50" w:rsidRPr="000E641E">
        <w:rPr>
          <w:rFonts w:ascii="Arial" w:hAnsi="Arial" w:cs="Arial"/>
        </w:rPr>
        <w:t xml:space="preserve">PGES-E, </w:t>
      </w:r>
      <w:r w:rsidRPr="000E641E">
        <w:rPr>
          <w:rFonts w:ascii="Arial" w:hAnsi="Arial" w:cs="Arial"/>
        </w:rPr>
        <w:t xml:space="preserve">, </w:t>
      </w:r>
      <w:r w:rsidRPr="00F01166">
        <w:rPr>
          <w:rFonts w:ascii="Arial" w:hAnsi="Arial" w:cs="Arial"/>
          <w:color w:val="auto"/>
        </w:rPr>
        <w:t>P</w:t>
      </w:r>
      <w:r w:rsidR="3F773BB6" w:rsidRPr="00F01166">
        <w:rPr>
          <w:rFonts w:ascii="Arial" w:hAnsi="Arial" w:cs="Arial"/>
          <w:color w:val="auto"/>
        </w:rPr>
        <w:t>P</w:t>
      </w:r>
      <w:r w:rsidRPr="00F01166">
        <w:rPr>
          <w:rFonts w:ascii="Arial" w:hAnsi="Arial" w:cs="Arial"/>
          <w:color w:val="auto"/>
        </w:rPr>
        <w:t xml:space="preserve">ES </w:t>
      </w:r>
      <w:r w:rsidRPr="000E641E">
        <w:rPr>
          <w:rFonts w:ascii="Arial" w:hAnsi="Arial" w:cs="Arial"/>
        </w:rPr>
        <w:t>et autres instruments E&amp;S relatifs aux travaux.</w:t>
      </w:r>
    </w:p>
    <w:p w14:paraId="1071AE7A" w14:textId="77777777" w:rsidR="00764D3E" w:rsidRPr="000E641E" w:rsidRDefault="00764D3E" w:rsidP="00687DD2">
      <w:pPr>
        <w:pStyle w:val="Paragraphedeliste"/>
        <w:numPr>
          <w:ilvl w:val="0"/>
          <w:numId w:val="24"/>
        </w:numPr>
        <w:spacing w:before="280" w:after="0" w:line="240" w:lineRule="auto"/>
        <w:jc w:val="both"/>
        <w:rPr>
          <w:rFonts w:ascii="Arial" w:hAnsi="Arial" w:cs="Arial"/>
        </w:rPr>
      </w:pPr>
      <w:r w:rsidRPr="000E641E">
        <w:rPr>
          <w:rFonts w:ascii="Arial" w:hAnsi="Arial" w:cs="Arial"/>
        </w:rPr>
        <w:t>Suivi des délais de mise à disposition des sites des ouvrages ;</w:t>
      </w:r>
    </w:p>
    <w:p w14:paraId="743F2967" w14:textId="77777777" w:rsidR="00764D3E" w:rsidRPr="000E641E" w:rsidRDefault="00764D3E" w:rsidP="00687DD2">
      <w:pPr>
        <w:pStyle w:val="Paragraphedeliste"/>
        <w:numPr>
          <w:ilvl w:val="0"/>
          <w:numId w:val="24"/>
        </w:numPr>
        <w:spacing w:before="280" w:after="0" w:line="240" w:lineRule="auto"/>
        <w:jc w:val="both"/>
        <w:rPr>
          <w:rFonts w:ascii="Arial" w:hAnsi="Arial" w:cs="Arial"/>
        </w:rPr>
      </w:pPr>
      <w:r w:rsidRPr="000E641E">
        <w:rPr>
          <w:rFonts w:ascii="Arial" w:hAnsi="Arial" w:cs="Arial"/>
        </w:rPr>
        <w:t>Estimation de l'impact financier et contractuel des modifications des ouvrages demandées par le Maître d'Ouvrage et préparation des projets d'ordre de service et d'avenants aux marchés correspondant ;</w:t>
      </w:r>
    </w:p>
    <w:p w14:paraId="36243F44" w14:textId="77777777" w:rsidR="00764D3E" w:rsidRPr="000E641E" w:rsidRDefault="00764D3E" w:rsidP="00687DD2">
      <w:pPr>
        <w:pStyle w:val="Paragraphedeliste"/>
        <w:numPr>
          <w:ilvl w:val="0"/>
          <w:numId w:val="24"/>
        </w:numPr>
        <w:spacing w:before="280" w:after="0" w:line="240" w:lineRule="auto"/>
        <w:jc w:val="both"/>
        <w:rPr>
          <w:rFonts w:ascii="Arial" w:hAnsi="Arial" w:cs="Arial"/>
        </w:rPr>
      </w:pPr>
      <w:r w:rsidRPr="000E641E">
        <w:rPr>
          <w:rFonts w:ascii="Arial" w:hAnsi="Arial" w:cs="Arial"/>
        </w:rPr>
        <w:t>Assistance au Projet pour tout ce qui concerne les relations avec les institutions publiques et privées, notamment les collectivités locales, les riverains et les concessionnaires de réseaux ;</w:t>
      </w:r>
    </w:p>
    <w:p w14:paraId="279BEE71" w14:textId="77777777" w:rsidR="00764D3E" w:rsidRPr="000E641E" w:rsidRDefault="00764D3E" w:rsidP="00687DD2">
      <w:pPr>
        <w:pStyle w:val="Paragraphedeliste"/>
        <w:numPr>
          <w:ilvl w:val="0"/>
          <w:numId w:val="24"/>
        </w:numPr>
        <w:spacing w:before="280" w:after="0" w:line="240" w:lineRule="auto"/>
        <w:jc w:val="both"/>
        <w:rPr>
          <w:rFonts w:ascii="Arial" w:hAnsi="Arial" w:cs="Arial"/>
        </w:rPr>
      </w:pPr>
      <w:r w:rsidRPr="000E641E">
        <w:rPr>
          <w:rFonts w:ascii="Arial" w:hAnsi="Arial" w:cs="Arial"/>
        </w:rPr>
        <w:t>Assistance à l’entreprise pour la sensibilisation à la lutte contre le VIH/SIDA.</w:t>
      </w:r>
    </w:p>
    <w:p w14:paraId="24173D9E" w14:textId="77777777" w:rsidR="00764D3E" w:rsidRPr="000E641E" w:rsidRDefault="00764D3E" w:rsidP="00687DD2">
      <w:pPr>
        <w:pStyle w:val="Paragraphedeliste"/>
        <w:numPr>
          <w:ilvl w:val="0"/>
          <w:numId w:val="24"/>
        </w:numPr>
        <w:spacing w:before="280" w:after="0" w:line="240" w:lineRule="auto"/>
        <w:jc w:val="both"/>
        <w:rPr>
          <w:rFonts w:ascii="Arial" w:hAnsi="Arial" w:cs="Arial"/>
        </w:rPr>
      </w:pPr>
      <w:r w:rsidRPr="000E641E">
        <w:rPr>
          <w:rFonts w:ascii="Arial" w:hAnsi="Arial" w:cs="Arial"/>
        </w:rPr>
        <w:t>Rédaction des rapports tels que décrits dans les termes de référence du Maître d’Œuvre.</w:t>
      </w:r>
    </w:p>
    <w:p w14:paraId="2AA3A4B3" w14:textId="77777777" w:rsidR="00764D3E" w:rsidRPr="000E641E" w:rsidRDefault="00764D3E" w:rsidP="00687DD2">
      <w:pPr>
        <w:pStyle w:val="Paragraphedeliste"/>
        <w:numPr>
          <w:ilvl w:val="0"/>
          <w:numId w:val="24"/>
        </w:numPr>
        <w:spacing w:before="280" w:after="0" w:line="240" w:lineRule="auto"/>
        <w:jc w:val="both"/>
        <w:rPr>
          <w:rFonts w:ascii="Arial" w:hAnsi="Arial" w:cs="Arial"/>
        </w:rPr>
      </w:pPr>
      <w:r w:rsidRPr="000E641E">
        <w:rPr>
          <w:rFonts w:ascii="Arial" w:hAnsi="Arial" w:cs="Arial"/>
        </w:rPr>
        <w:t xml:space="preserve">Description environnementale du milieu initial avant les travaux ; aux évaluations de la suffisance des mesures de protections environnementales </w:t>
      </w:r>
      <w:r w:rsidR="003A6A50">
        <w:rPr>
          <w:rFonts w:ascii="Arial" w:hAnsi="Arial" w:cs="Arial"/>
        </w:rPr>
        <w:t xml:space="preserve">et sociales </w:t>
      </w:r>
      <w:r w:rsidRPr="000E641E">
        <w:rPr>
          <w:rFonts w:ascii="Arial" w:hAnsi="Arial" w:cs="Arial"/>
        </w:rPr>
        <w:t xml:space="preserve">préconisées par l’entreprise par rapport aux problématiques environnementales </w:t>
      </w:r>
      <w:r w:rsidR="003A6A50">
        <w:rPr>
          <w:rFonts w:ascii="Arial" w:hAnsi="Arial" w:cs="Arial"/>
        </w:rPr>
        <w:t xml:space="preserve">et sociales </w:t>
      </w:r>
      <w:r w:rsidRPr="000E641E">
        <w:rPr>
          <w:rFonts w:ascii="Arial" w:hAnsi="Arial" w:cs="Arial"/>
        </w:rPr>
        <w:t>rencontré</w:t>
      </w:r>
      <w:r w:rsidR="0062577C">
        <w:rPr>
          <w:rFonts w:ascii="Arial" w:hAnsi="Arial" w:cs="Arial"/>
        </w:rPr>
        <w:t>e</w:t>
      </w:r>
      <w:r w:rsidRPr="000E641E">
        <w:rPr>
          <w:rFonts w:ascii="Arial" w:hAnsi="Arial" w:cs="Arial"/>
        </w:rPr>
        <w:t>s et prévisibles dans la zone.</w:t>
      </w:r>
    </w:p>
    <w:p w14:paraId="62F239BF" w14:textId="77777777" w:rsidR="00764D3E" w:rsidRPr="00E0336A" w:rsidRDefault="00764D3E" w:rsidP="00687DD2">
      <w:pPr>
        <w:pStyle w:val="Paragraphedeliste"/>
        <w:numPr>
          <w:ilvl w:val="0"/>
          <w:numId w:val="24"/>
        </w:numPr>
        <w:spacing w:after="0" w:line="240" w:lineRule="auto"/>
        <w:jc w:val="both"/>
        <w:rPr>
          <w:rFonts w:ascii="Arial" w:hAnsi="Arial" w:cs="Arial"/>
        </w:rPr>
      </w:pPr>
      <w:r w:rsidRPr="00E0336A">
        <w:rPr>
          <w:rFonts w:ascii="Arial" w:hAnsi="Arial" w:cs="Arial"/>
        </w:rPr>
        <w:t xml:space="preserve">Proposition de mesures de protection environnementales </w:t>
      </w:r>
      <w:r w:rsidR="003A6A50">
        <w:rPr>
          <w:rFonts w:ascii="Arial" w:hAnsi="Arial" w:cs="Arial"/>
        </w:rPr>
        <w:t xml:space="preserve">et sociales </w:t>
      </w:r>
      <w:r w:rsidRPr="00E0336A">
        <w:rPr>
          <w:rFonts w:ascii="Arial" w:hAnsi="Arial" w:cs="Arial"/>
        </w:rPr>
        <w:t>post-travaux avec le mode de réalisation et les moyens de réalisation dont la proposition de charte de responsabilité des différents acteurs concernés.</w:t>
      </w:r>
    </w:p>
    <w:p w14:paraId="019E429C" w14:textId="77777777" w:rsidR="00764D3E" w:rsidRDefault="00764D3E" w:rsidP="00764D3E">
      <w:pPr>
        <w:jc w:val="both"/>
        <w:rPr>
          <w:rFonts w:ascii="Arial" w:hAnsi="Arial" w:cs="Arial"/>
          <w:szCs w:val="24"/>
        </w:rPr>
      </w:pPr>
    </w:p>
    <w:p w14:paraId="2F6E1591" w14:textId="77777777" w:rsidR="00340AC0" w:rsidRDefault="003A6A50" w:rsidP="00340AC0">
      <w:pPr>
        <w:jc w:val="both"/>
        <w:rPr>
          <w:rFonts w:ascii="Arial" w:hAnsi="Arial" w:cs="Arial"/>
          <w:szCs w:val="24"/>
        </w:rPr>
      </w:pPr>
      <w:r>
        <w:rPr>
          <w:rFonts w:ascii="Arial" w:hAnsi="Arial" w:cs="Arial"/>
          <w:szCs w:val="24"/>
        </w:rPr>
        <w:t xml:space="preserve">Pendant la phase d’étude, le </w:t>
      </w:r>
      <w:r w:rsidR="001B3489">
        <w:rPr>
          <w:rFonts w:ascii="Arial" w:hAnsi="Arial" w:cs="Arial"/>
          <w:szCs w:val="24"/>
        </w:rPr>
        <w:t>prestataire de service</w:t>
      </w:r>
      <w:r>
        <w:rPr>
          <w:rFonts w:ascii="Arial" w:hAnsi="Arial" w:cs="Arial"/>
          <w:szCs w:val="24"/>
        </w:rPr>
        <w:t xml:space="preserve"> </w:t>
      </w:r>
      <w:r w:rsidR="001B3489">
        <w:rPr>
          <w:rFonts w:ascii="Arial" w:hAnsi="Arial" w:cs="Arial"/>
          <w:szCs w:val="24"/>
        </w:rPr>
        <w:t xml:space="preserve">chargé </w:t>
      </w:r>
      <w:r w:rsidR="00DC2F70">
        <w:rPr>
          <w:rFonts w:ascii="Arial" w:hAnsi="Arial" w:cs="Arial"/>
          <w:szCs w:val="24"/>
        </w:rPr>
        <w:t xml:space="preserve">d’élaboration du document </w:t>
      </w:r>
      <w:r w:rsidR="001B3489">
        <w:rPr>
          <w:rFonts w:ascii="Arial" w:hAnsi="Arial" w:cs="Arial"/>
          <w:szCs w:val="24"/>
        </w:rPr>
        <w:t xml:space="preserve">EIEs </w:t>
      </w:r>
      <w:r>
        <w:rPr>
          <w:rFonts w:ascii="Arial" w:hAnsi="Arial" w:cs="Arial"/>
          <w:szCs w:val="24"/>
        </w:rPr>
        <w:t xml:space="preserve">devra identifier </w:t>
      </w:r>
      <w:r w:rsidR="00340AC0">
        <w:rPr>
          <w:rFonts w:ascii="Arial" w:hAnsi="Arial" w:cs="Arial"/>
          <w:szCs w:val="24"/>
        </w:rPr>
        <w:t xml:space="preserve">tous les risques environnementaux et sociaux que le Projet pouvait engendrer, ensuite de proposer des mesures pour atténuer ou d’éviter ces impacts négatifs. Il élaborera aussi un Plan de Gestion Environnementale et Sociale qu’il mettra à la disposition de l’entreprise titulaire des travaux. </w:t>
      </w:r>
    </w:p>
    <w:p w14:paraId="2D3E2CAD" w14:textId="77777777" w:rsidR="00F82908" w:rsidRDefault="00F82908" w:rsidP="00764D3E">
      <w:pPr>
        <w:jc w:val="both"/>
        <w:rPr>
          <w:rFonts w:ascii="Arial" w:hAnsi="Arial" w:cs="Arial"/>
          <w:szCs w:val="24"/>
        </w:rPr>
      </w:pPr>
      <w:r>
        <w:rPr>
          <w:rFonts w:ascii="Arial" w:hAnsi="Arial" w:cs="Arial"/>
          <w:szCs w:val="24"/>
        </w:rPr>
        <w:t xml:space="preserve">Durant la phase de construction, le rôle du bureau d’étude et de contrôle est d’assurer la surveillance environnementale et sociale. Il s’assure aussi que tous les acteurs du projet sur les chantiers soient sensibilisés aux différentes préoccupations environnementales et sociales et les mesures de protection adéquate. </w:t>
      </w:r>
    </w:p>
    <w:p w14:paraId="4544B563" w14:textId="77777777" w:rsidR="00764D3E" w:rsidRPr="00764D3E" w:rsidRDefault="00764D3E" w:rsidP="0044500E">
      <w:pPr>
        <w:pStyle w:val="TIT3"/>
        <w:numPr>
          <w:ilvl w:val="2"/>
          <w:numId w:val="177"/>
        </w:numPr>
      </w:pPr>
      <w:bookmarkStart w:id="1435" w:name="_Toc124956327"/>
      <w:bookmarkStart w:id="1436" w:name="_Toc124314791"/>
      <w:bookmarkStart w:id="1437" w:name="_Toc124956328"/>
      <w:bookmarkStart w:id="1438" w:name="_Toc125384676"/>
      <w:bookmarkStart w:id="1439" w:name="_Toc125385065"/>
      <w:bookmarkStart w:id="1440" w:name="_Toc127957732"/>
      <w:bookmarkEnd w:id="1435"/>
      <w:r w:rsidRPr="00764D3E">
        <w:t>ONE</w:t>
      </w:r>
      <w:bookmarkEnd w:id="1436"/>
      <w:bookmarkEnd w:id="1437"/>
      <w:bookmarkEnd w:id="1438"/>
      <w:bookmarkEnd w:id="1439"/>
      <w:bookmarkEnd w:id="1440"/>
    </w:p>
    <w:p w14:paraId="77EF7290" w14:textId="77777777" w:rsidR="00764D3E" w:rsidRPr="00742D67" w:rsidRDefault="00764D3E" w:rsidP="00764D3E">
      <w:pPr>
        <w:jc w:val="both"/>
        <w:rPr>
          <w:rFonts w:ascii="Arial" w:hAnsi="Arial" w:cs="Arial"/>
          <w:szCs w:val="24"/>
        </w:rPr>
      </w:pPr>
      <w:r w:rsidRPr="00742D67">
        <w:rPr>
          <w:rFonts w:ascii="Arial" w:hAnsi="Arial" w:cs="Arial"/>
          <w:szCs w:val="24"/>
        </w:rPr>
        <w:t xml:space="preserve">Dans le cadre du Projet DECIM, l’ONE est chargé de valider la catégorisation environnementale </w:t>
      </w:r>
      <w:r w:rsidR="003A6A50">
        <w:rPr>
          <w:rFonts w:ascii="Arial" w:hAnsi="Arial" w:cs="Arial"/>
          <w:szCs w:val="24"/>
        </w:rPr>
        <w:t xml:space="preserve">est sociale </w:t>
      </w:r>
      <w:r w:rsidRPr="00742D67">
        <w:rPr>
          <w:rFonts w:ascii="Arial" w:hAnsi="Arial" w:cs="Arial"/>
          <w:szCs w:val="24"/>
        </w:rPr>
        <w:t>des sous projets</w:t>
      </w:r>
      <w:r w:rsidR="0071568A" w:rsidRPr="00742D67">
        <w:rPr>
          <w:rFonts w:ascii="Arial" w:hAnsi="Arial" w:cs="Arial"/>
          <w:szCs w:val="24"/>
        </w:rPr>
        <w:t>, l</w:t>
      </w:r>
      <w:r w:rsidR="007A42B9">
        <w:rPr>
          <w:rFonts w:ascii="Arial" w:hAnsi="Arial" w:cs="Arial"/>
          <w:szCs w:val="24"/>
        </w:rPr>
        <w:t>’évalu</w:t>
      </w:r>
      <w:r w:rsidR="0071568A" w:rsidRPr="00742D67">
        <w:rPr>
          <w:rFonts w:ascii="Arial" w:hAnsi="Arial" w:cs="Arial"/>
          <w:szCs w:val="24"/>
        </w:rPr>
        <w:t xml:space="preserve">ation du document EIES et la délivrance du permis environnemental. </w:t>
      </w:r>
      <w:r w:rsidR="003A6A50">
        <w:rPr>
          <w:rFonts w:ascii="Arial" w:hAnsi="Arial" w:cs="Arial"/>
          <w:szCs w:val="24"/>
        </w:rPr>
        <w:t>Il est également responsable du</w:t>
      </w:r>
      <w:r w:rsidR="003A6A50" w:rsidRPr="00742D67">
        <w:rPr>
          <w:rFonts w:ascii="Arial" w:hAnsi="Arial" w:cs="Arial"/>
          <w:szCs w:val="24"/>
        </w:rPr>
        <w:t xml:space="preserve"> suivi environnemental de la mise en œuvre des cahiers des charges environnementaux pour les sous projets relevant de l’annexe I du MECIE</w:t>
      </w:r>
      <w:r w:rsidR="003A6A50">
        <w:rPr>
          <w:rFonts w:ascii="Arial" w:hAnsi="Arial" w:cs="Arial"/>
          <w:szCs w:val="24"/>
        </w:rPr>
        <w:t xml:space="preserve">. </w:t>
      </w:r>
      <w:r w:rsidR="0071568A" w:rsidRPr="00742D67">
        <w:rPr>
          <w:rFonts w:ascii="Arial" w:hAnsi="Arial" w:cs="Arial"/>
          <w:szCs w:val="24"/>
        </w:rPr>
        <w:t xml:space="preserve">Il </w:t>
      </w:r>
      <w:r w:rsidRPr="00742D67">
        <w:rPr>
          <w:rFonts w:ascii="Arial" w:hAnsi="Arial" w:cs="Arial"/>
          <w:szCs w:val="24"/>
        </w:rPr>
        <w:t>sera aussi chargé de suivi environnemental du Projet</w:t>
      </w:r>
      <w:r w:rsidR="0071568A" w:rsidRPr="00742D67">
        <w:rPr>
          <w:rFonts w:ascii="Arial" w:hAnsi="Arial" w:cs="Arial"/>
          <w:szCs w:val="24"/>
        </w:rPr>
        <w:t xml:space="preserve"> </w:t>
      </w:r>
    </w:p>
    <w:p w14:paraId="380AED82" w14:textId="77777777" w:rsidR="00764D3E" w:rsidRPr="00764D3E" w:rsidRDefault="00764D3E" w:rsidP="0044500E">
      <w:pPr>
        <w:pStyle w:val="TIT3"/>
        <w:numPr>
          <w:ilvl w:val="2"/>
          <w:numId w:val="177"/>
        </w:numPr>
      </w:pPr>
      <w:bookmarkStart w:id="1441" w:name="_Toc124314792"/>
      <w:bookmarkStart w:id="1442" w:name="_Toc124956329"/>
      <w:bookmarkStart w:id="1443" w:name="_Toc125384677"/>
      <w:bookmarkStart w:id="1444" w:name="_Toc125385066"/>
      <w:bookmarkStart w:id="1445" w:name="_Toc127957733"/>
      <w:r w:rsidRPr="00764D3E">
        <w:t>Banque mondiale</w:t>
      </w:r>
      <w:bookmarkEnd w:id="1441"/>
      <w:bookmarkEnd w:id="1442"/>
      <w:bookmarkEnd w:id="1443"/>
      <w:bookmarkEnd w:id="1444"/>
      <w:bookmarkEnd w:id="1445"/>
    </w:p>
    <w:p w14:paraId="16465CFC" w14:textId="77777777" w:rsidR="00F82908" w:rsidRDefault="00764D3E" w:rsidP="00B434A6">
      <w:pPr>
        <w:jc w:val="both"/>
        <w:rPr>
          <w:rFonts w:ascii="Arial" w:hAnsi="Arial" w:cs="Arial"/>
          <w:szCs w:val="24"/>
        </w:rPr>
      </w:pPr>
      <w:r>
        <w:rPr>
          <w:rFonts w:ascii="Arial" w:hAnsi="Arial" w:cs="Arial"/>
          <w:szCs w:val="24"/>
        </w:rPr>
        <w:t xml:space="preserve">Comme étant le bailleur </w:t>
      </w:r>
      <w:r w:rsidR="003A6A50">
        <w:rPr>
          <w:rFonts w:ascii="Arial" w:hAnsi="Arial" w:cs="Arial"/>
          <w:szCs w:val="24"/>
        </w:rPr>
        <w:t xml:space="preserve">de fonds </w:t>
      </w:r>
      <w:r>
        <w:rPr>
          <w:rFonts w:ascii="Arial" w:hAnsi="Arial" w:cs="Arial"/>
          <w:szCs w:val="24"/>
        </w:rPr>
        <w:t xml:space="preserve">de ce Projet, </w:t>
      </w:r>
      <w:r w:rsidR="00F82908">
        <w:rPr>
          <w:rFonts w:ascii="Arial" w:hAnsi="Arial" w:cs="Arial"/>
          <w:szCs w:val="24"/>
        </w:rPr>
        <w:t xml:space="preserve">la mission de </w:t>
      </w:r>
      <w:r>
        <w:rPr>
          <w:rFonts w:ascii="Arial" w:hAnsi="Arial" w:cs="Arial"/>
          <w:szCs w:val="24"/>
        </w:rPr>
        <w:t xml:space="preserve">la Banque </w:t>
      </w:r>
      <w:r w:rsidR="004B1AF2">
        <w:rPr>
          <w:rFonts w:ascii="Arial" w:hAnsi="Arial" w:cs="Arial"/>
          <w:szCs w:val="24"/>
        </w:rPr>
        <w:t>m</w:t>
      </w:r>
      <w:r>
        <w:rPr>
          <w:rFonts w:ascii="Arial" w:hAnsi="Arial" w:cs="Arial"/>
          <w:szCs w:val="24"/>
        </w:rPr>
        <w:t>ondiale</w:t>
      </w:r>
      <w:r w:rsidR="00F82908">
        <w:rPr>
          <w:rFonts w:ascii="Arial" w:hAnsi="Arial" w:cs="Arial"/>
          <w:szCs w:val="24"/>
        </w:rPr>
        <w:t xml:space="preserve"> consiste à la supervision de</w:t>
      </w:r>
      <w:r w:rsidR="003A6A50">
        <w:rPr>
          <w:rFonts w:ascii="Arial" w:hAnsi="Arial" w:cs="Arial"/>
          <w:szCs w:val="24"/>
        </w:rPr>
        <w:t xml:space="preserve"> l’</w:t>
      </w:r>
      <w:r w:rsidR="00F82908">
        <w:rPr>
          <w:rFonts w:ascii="Arial" w:hAnsi="Arial" w:cs="Arial"/>
          <w:szCs w:val="24"/>
        </w:rPr>
        <w:t>application des NES et de faire des appuis technique</w:t>
      </w:r>
      <w:r w:rsidR="003C18DC">
        <w:rPr>
          <w:rFonts w:ascii="Arial" w:hAnsi="Arial" w:cs="Arial"/>
          <w:szCs w:val="24"/>
        </w:rPr>
        <w:t>s</w:t>
      </w:r>
      <w:r w:rsidR="00F82908">
        <w:rPr>
          <w:rFonts w:ascii="Arial" w:hAnsi="Arial" w:cs="Arial"/>
          <w:szCs w:val="24"/>
        </w:rPr>
        <w:t xml:space="preserve"> au Projet si nécessaires. Ainsi, la Banque commente et approuve</w:t>
      </w:r>
      <w:r w:rsidR="00F82908" w:rsidRPr="00B434A6">
        <w:rPr>
          <w:szCs w:val="24"/>
        </w:rPr>
        <w:t xml:space="preserve"> </w:t>
      </w:r>
      <w:r w:rsidR="00F82908" w:rsidRPr="00F82908">
        <w:rPr>
          <w:rFonts w:ascii="Arial" w:hAnsi="Arial" w:cs="Arial"/>
          <w:szCs w:val="24"/>
        </w:rPr>
        <w:t>le</w:t>
      </w:r>
      <w:r w:rsidR="00F82908">
        <w:rPr>
          <w:rFonts w:ascii="Arial" w:hAnsi="Arial" w:cs="Arial"/>
          <w:szCs w:val="24"/>
        </w:rPr>
        <w:t>s</w:t>
      </w:r>
      <w:r w:rsidR="00F82908" w:rsidRPr="00F82908">
        <w:rPr>
          <w:rFonts w:ascii="Arial" w:hAnsi="Arial" w:cs="Arial"/>
          <w:szCs w:val="24"/>
        </w:rPr>
        <w:t xml:space="preserve"> différent</w:t>
      </w:r>
      <w:r w:rsidR="00F82908">
        <w:rPr>
          <w:rFonts w:ascii="Arial" w:hAnsi="Arial" w:cs="Arial"/>
          <w:szCs w:val="24"/>
        </w:rPr>
        <w:t>s</w:t>
      </w:r>
      <w:r w:rsidR="00F82908" w:rsidRPr="00F82908">
        <w:rPr>
          <w:rFonts w:ascii="Arial" w:hAnsi="Arial" w:cs="Arial"/>
          <w:szCs w:val="24"/>
        </w:rPr>
        <w:t xml:space="preserve"> document</w:t>
      </w:r>
      <w:r w:rsidR="00F82908">
        <w:rPr>
          <w:rFonts w:ascii="Arial" w:hAnsi="Arial" w:cs="Arial"/>
          <w:szCs w:val="24"/>
        </w:rPr>
        <w:t xml:space="preserve">s </w:t>
      </w:r>
      <w:r w:rsidR="003A6A50">
        <w:rPr>
          <w:rFonts w:ascii="Arial" w:hAnsi="Arial" w:cs="Arial"/>
          <w:szCs w:val="24"/>
        </w:rPr>
        <w:t xml:space="preserve">E&amp;S </w:t>
      </w:r>
      <w:r w:rsidR="00F82908">
        <w:rPr>
          <w:rFonts w:ascii="Arial" w:hAnsi="Arial" w:cs="Arial"/>
          <w:szCs w:val="24"/>
        </w:rPr>
        <w:t>que le Projet ou l’IF envoie périodiquement.</w:t>
      </w:r>
    </w:p>
    <w:p w14:paraId="2469F156" w14:textId="77777777" w:rsidR="003A6A50" w:rsidRPr="001B3489" w:rsidRDefault="003A6A50" w:rsidP="00AE406E">
      <w:pPr>
        <w:pStyle w:val="TIT3"/>
        <w:numPr>
          <w:ilvl w:val="2"/>
          <w:numId w:val="177"/>
        </w:numPr>
      </w:pPr>
      <w:bookmarkStart w:id="1446" w:name="_Toc127957734"/>
      <w:r w:rsidRPr="001B3489">
        <w:t>Auditeur Externe</w:t>
      </w:r>
      <w:bookmarkEnd w:id="1446"/>
    </w:p>
    <w:p w14:paraId="0F5C3627" w14:textId="77777777" w:rsidR="003A6A50" w:rsidRPr="00B434A6" w:rsidRDefault="001B3489" w:rsidP="48B05EC0">
      <w:pPr>
        <w:jc w:val="both"/>
        <w:rPr>
          <w:rFonts w:ascii="Arial" w:hAnsi="Arial" w:cs="Arial"/>
        </w:rPr>
      </w:pPr>
      <w:r w:rsidRPr="48B05EC0">
        <w:rPr>
          <w:rFonts w:ascii="Arial" w:hAnsi="Arial" w:cs="Arial"/>
        </w:rPr>
        <w:t>L’auditeur externe du Projet a pour rôle de vérifie</w:t>
      </w:r>
      <w:r w:rsidR="009818F4" w:rsidRPr="48B05EC0">
        <w:rPr>
          <w:rFonts w:ascii="Arial" w:hAnsi="Arial" w:cs="Arial"/>
        </w:rPr>
        <w:t>r</w:t>
      </w:r>
      <w:r w:rsidRPr="48B05EC0">
        <w:rPr>
          <w:rFonts w:ascii="Arial" w:hAnsi="Arial" w:cs="Arial"/>
        </w:rPr>
        <w:t xml:space="preserve"> l’effectivité </w:t>
      </w:r>
      <w:r w:rsidR="00227950" w:rsidRPr="48B05EC0">
        <w:rPr>
          <w:rFonts w:ascii="Arial" w:hAnsi="Arial" w:cs="Arial"/>
        </w:rPr>
        <w:t xml:space="preserve">et la performance </w:t>
      </w:r>
      <w:r w:rsidRPr="48B05EC0">
        <w:rPr>
          <w:rFonts w:ascii="Arial" w:hAnsi="Arial" w:cs="Arial"/>
        </w:rPr>
        <w:t>des différentes mesures décrit</w:t>
      </w:r>
      <w:r w:rsidR="006B164A" w:rsidRPr="48B05EC0">
        <w:rPr>
          <w:rFonts w:ascii="Arial" w:hAnsi="Arial" w:cs="Arial"/>
        </w:rPr>
        <w:t>es</w:t>
      </w:r>
      <w:r w:rsidRPr="48B05EC0">
        <w:rPr>
          <w:rFonts w:ascii="Arial" w:hAnsi="Arial" w:cs="Arial"/>
        </w:rPr>
        <w:t xml:space="preserve"> dans le CGES. </w:t>
      </w:r>
      <w:r w:rsidR="006B164A" w:rsidRPr="48B05EC0">
        <w:rPr>
          <w:rFonts w:ascii="Arial" w:hAnsi="Arial" w:cs="Arial"/>
        </w:rPr>
        <w:t xml:space="preserve">Il propose aussi des recommandations pour une meilleure gestion environnementale et sociale. </w:t>
      </w:r>
      <w:r w:rsidR="00DC2F70" w:rsidRPr="48B05EC0">
        <w:rPr>
          <w:rFonts w:ascii="Arial" w:hAnsi="Arial" w:cs="Arial"/>
        </w:rPr>
        <w:t>Il</w:t>
      </w:r>
      <w:r w:rsidR="006B164A" w:rsidRPr="48B05EC0">
        <w:rPr>
          <w:rFonts w:ascii="Arial" w:hAnsi="Arial" w:cs="Arial"/>
        </w:rPr>
        <w:t xml:space="preserve"> importe de noter que l’audit environnemental et social sera effectué à mi</w:t>
      </w:r>
      <w:r w:rsidR="6E5595B1" w:rsidRPr="48B05EC0">
        <w:rPr>
          <w:rFonts w:ascii="Arial" w:hAnsi="Arial" w:cs="Arial"/>
        </w:rPr>
        <w:t>-</w:t>
      </w:r>
      <w:r w:rsidR="006B164A" w:rsidRPr="48B05EC0">
        <w:rPr>
          <w:rFonts w:ascii="Arial" w:hAnsi="Arial" w:cs="Arial"/>
        </w:rPr>
        <w:t>parcours et à la fin du projet.</w:t>
      </w:r>
    </w:p>
    <w:p w14:paraId="5F963BB3" w14:textId="77777777" w:rsidR="00764D3E" w:rsidRPr="00764D3E" w:rsidRDefault="00764D3E" w:rsidP="0044500E">
      <w:pPr>
        <w:pStyle w:val="TIT3"/>
        <w:numPr>
          <w:ilvl w:val="2"/>
          <w:numId w:val="177"/>
        </w:numPr>
      </w:pPr>
      <w:bookmarkStart w:id="1447" w:name="_Toc124956330"/>
      <w:bookmarkStart w:id="1448" w:name="_Toc124314793"/>
      <w:bookmarkStart w:id="1449" w:name="_Toc124956331"/>
      <w:bookmarkStart w:id="1450" w:name="_Toc125384678"/>
      <w:bookmarkStart w:id="1451" w:name="_Toc125385067"/>
      <w:bookmarkStart w:id="1452" w:name="_Toc127957735"/>
      <w:bookmarkEnd w:id="1447"/>
      <w:r w:rsidRPr="00764D3E">
        <w:t>Collectivité territoriale décentralisée</w:t>
      </w:r>
      <w:bookmarkEnd w:id="1448"/>
      <w:bookmarkEnd w:id="1449"/>
      <w:bookmarkEnd w:id="1450"/>
      <w:bookmarkEnd w:id="1451"/>
      <w:bookmarkEnd w:id="1452"/>
    </w:p>
    <w:p w14:paraId="217D3173" w14:textId="77777777" w:rsidR="00764D3E" w:rsidRPr="00C6023B" w:rsidRDefault="00764D3E" w:rsidP="00764D3E">
      <w:pPr>
        <w:jc w:val="both"/>
        <w:rPr>
          <w:rFonts w:ascii="Arial" w:hAnsi="Arial" w:cs="Arial"/>
          <w:szCs w:val="24"/>
        </w:rPr>
      </w:pPr>
      <w:r w:rsidRPr="00C6023B">
        <w:rPr>
          <w:rFonts w:ascii="Arial" w:hAnsi="Arial" w:cs="Arial"/>
          <w:szCs w:val="24"/>
        </w:rPr>
        <w:t xml:space="preserve">Elle joue le rôle de veille et d’alerte en cas de non-respect des clauses environnementales et des Directives HSE. Elle participera à l’évaluation environnementale et au suivi environnemental </w:t>
      </w:r>
      <w:r w:rsidR="003A6A50">
        <w:rPr>
          <w:rFonts w:ascii="Arial" w:hAnsi="Arial" w:cs="Arial"/>
          <w:szCs w:val="24"/>
        </w:rPr>
        <w:t xml:space="preserve">et social de proximité </w:t>
      </w:r>
      <w:r w:rsidRPr="00C6023B">
        <w:rPr>
          <w:rFonts w:ascii="Arial" w:hAnsi="Arial" w:cs="Arial"/>
          <w:szCs w:val="24"/>
        </w:rPr>
        <w:t>du projet.</w:t>
      </w:r>
      <w:r>
        <w:rPr>
          <w:rFonts w:ascii="Arial" w:hAnsi="Arial" w:cs="Arial"/>
          <w:szCs w:val="24"/>
        </w:rPr>
        <w:t xml:space="preserve"> En outre, l’autorité locale </w:t>
      </w:r>
      <w:r w:rsidR="003A6A50">
        <w:rPr>
          <w:rFonts w:ascii="Arial" w:hAnsi="Arial" w:cs="Arial"/>
          <w:szCs w:val="24"/>
        </w:rPr>
        <w:t xml:space="preserve">joue </w:t>
      </w:r>
      <w:r>
        <w:rPr>
          <w:rFonts w:ascii="Arial" w:hAnsi="Arial" w:cs="Arial"/>
          <w:szCs w:val="24"/>
        </w:rPr>
        <w:t>un rôle important dans la résolution à l’amiable du conflit.</w:t>
      </w:r>
    </w:p>
    <w:p w14:paraId="5ADEC013" w14:textId="77777777" w:rsidR="00764D3E" w:rsidRPr="00764D3E" w:rsidRDefault="00764D3E" w:rsidP="0044500E">
      <w:pPr>
        <w:pStyle w:val="TIT3"/>
        <w:numPr>
          <w:ilvl w:val="2"/>
          <w:numId w:val="177"/>
        </w:numPr>
      </w:pPr>
      <w:bookmarkStart w:id="1453" w:name="_Toc124314794"/>
      <w:bookmarkStart w:id="1454" w:name="_Toc124956332"/>
      <w:bookmarkStart w:id="1455" w:name="_Toc125384679"/>
      <w:bookmarkStart w:id="1456" w:name="_Toc125385068"/>
      <w:bookmarkStart w:id="1457" w:name="_Toc127957736"/>
      <w:r w:rsidRPr="00764D3E">
        <w:t>Population locale</w:t>
      </w:r>
      <w:bookmarkEnd w:id="1453"/>
      <w:bookmarkEnd w:id="1454"/>
      <w:bookmarkEnd w:id="1455"/>
      <w:bookmarkEnd w:id="1456"/>
      <w:bookmarkEnd w:id="1457"/>
      <w:r w:rsidRPr="00764D3E">
        <w:t xml:space="preserve"> </w:t>
      </w:r>
    </w:p>
    <w:p w14:paraId="2E7B74B1" w14:textId="77777777" w:rsidR="00764D3E" w:rsidRDefault="00764D3E" w:rsidP="00764D3E">
      <w:pPr>
        <w:jc w:val="both"/>
        <w:rPr>
          <w:rFonts w:ascii="Arial" w:hAnsi="Arial" w:cs="Arial"/>
          <w:szCs w:val="24"/>
        </w:rPr>
      </w:pPr>
      <w:r>
        <w:rPr>
          <w:rFonts w:ascii="Arial" w:hAnsi="Arial" w:cs="Arial"/>
          <w:szCs w:val="24"/>
        </w:rPr>
        <w:t xml:space="preserve">La population locale a un rôle important dans le processus de </w:t>
      </w:r>
      <w:r w:rsidR="001A47F9">
        <w:rPr>
          <w:rFonts w:ascii="Arial" w:hAnsi="Arial" w:cs="Arial"/>
          <w:szCs w:val="24"/>
        </w:rPr>
        <w:t xml:space="preserve">gestion des risques </w:t>
      </w:r>
      <w:r>
        <w:rPr>
          <w:rFonts w:ascii="Arial" w:hAnsi="Arial" w:cs="Arial"/>
          <w:szCs w:val="24"/>
        </w:rPr>
        <w:t>environnementa</w:t>
      </w:r>
      <w:r w:rsidR="001A47F9">
        <w:rPr>
          <w:rFonts w:ascii="Arial" w:hAnsi="Arial" w:cs="Arial"/>
          <w:szCs w:val="24"/>
        </w:rPr>
        <w:t>ux</w:t>
      </w:r>
      <w:r>
        <w:rPr>
          <w:rFonts w:ascii="Arial" w:hAnsi="Arial" w:cs="Arial"/>
          <w:szCs w:val="24"/>
        </w:rPr>
        <w:t xml:space="preserve"> et socia</w:t>
      </w:r>
      <w:r w:rsidR="001A47F9">
        <w:rPr>
          <w:rFonts w:ascii="Arial" w:hAnsi="Arial" w:cs="Arial"/>
          <w:szCs w:val="24"/>
        </w:rPr>
        <w:t>ux</w:t>
      </w:r>
      <w:r>
        <w:rPr>
          <w:rFonts w:ascii="Arial" w:hAnsi="Arial" w:cs="Arial"/>
          <w:szCs w:val="24"/>
        </w:rPr>
        <w:t xml:space="preserve">. Outre sa participation à </w:t>
      </w:r>
      <w:r w:rsidRPr="00C6023B">
        <w:rPr>
          <w:rFonts w:ascii="Arial" w:hAnsi="Arial" w:cs="Arial"/>
          <w:szCs w:val="24"/>
        </w:rPr>
        <w:t>l’évaluation environnementale</w:t>
      </w:r>
      <w:r>
        <w:rPr>
          <w:rFonts w:ascii="Arial" w:hAnsi="Arial" w:cs="Arial"/>
          <w:szCs w:val="24"/>
        </w:rPr>
        <w:t>, elle est a pour rôle de déclar</w:t>
      </w:r>
      <w:r w:rsidR="004B1AF2">
        <w:rPr>
          <w:rFonts w:ascii="Arial" w:hAnsi="Arial" w:cs="Arial"/>
          <w:szCs w:val="24"/>
        </w:rPr>
        <w:t>er</w:t>
      </w:r>
      <w:r>
        <w:rPr>
          <w:rFonts w:ascii="Arial" w:hAnsi="Arial" w:cs="Arial"/>
          <w:szCs w:val="24"/>
        </w:rPr>
        <w:t xml:space="preserve"> tous les problèmes environnementaux et sociaux </w:t>
      </w:r>
      <w:r w:rsidR="003A6A50">
        <w:rPr>
          <w:rFonts w:ascii="Arial" w:hAnsi="Arial" w:cs="Arial"/>
          <w:szCs w:val="24"/>
        </w:rPr>
        <w:t xml:space="preserve">(suivi de proximité) </w:t>
      </w:r>
      <w:r>
        <w:rPr>
          <w:rFonts w:ascii="Arial" w:hAnsi="Arial" w:cs="Arial"/>
          <w:szCs w:val="24"/>
        </w:rPr>
        <w:t xml:space="preserve">engendrés par le Projet. </w:t>
      </w:r>
    </w:p>
    <w:p w14:paraId="51387155" w14:textId="77777777" w:rsidR="00764D3E" w:rsidRPr="00764D3E" w:rsidRDefault="00764D3E" w:rsidP="0044500E">
      <w:pPr>
        <w:pStyle w:val="TIT3"/>
        <w:numPr>
          <w:ilvl w:val="2"/>
          <w:numId w:val="177"/>
        </w:numPr>
      </w:pPr>
      <w:bookmarkStart w:id="1458" w:name="_Toc124314796"/>
      <w:bookmarkStart w:id="1459" w:name="_Toc124956333"/>
      <w:bookmarkStart w:id="1460" w:name="_Toc125384680"/>
      <w:bookmarkStart w:id="1461" w:name="_Toc125385069"/>
      <w:bookmarkStart w:id="1462" w:name="_Toc127957737"/>
      <w:r w:rsidRPr="00764D3E">
        <w:t>Entreprise</w:t>
      </w:r>
      <w:bookmarkEnd w:id="1458"/>
      <w:bookmarkEnd w:id="1459"/>
      <w:bookmarkEnd w:id="1460"/>
      <w:bookmarkEnd w:id="1461"/>
      <w:bookmarkEnd w:id="1462"/>
      <w:r w:rsidRPr="00764D3E">
        <w:t xml:space="preserve"> </w:t>
      </w:r>
    </w:p>
    <w:p w14:paraId="7D60AB35" w14:textId="77777777" w:rsidR="00764D3E" w:rsidRPr="00D5757C" w:rsidRDefault="00764D3E" w:rsidP="00764D3E">
      <w:pPr>
        <w:jc w:val="both"/>
        <w:rPr>
          <w:rFonts w:ascii="Arial" w:hAnsi="Arial" w:cs="Arial"/>
          <w:szCs w:val="24"/>
        </w:rPr>
      </w:pPr>
      <w:r>
        <w:rPr>
          <w:rFonts w:ascii="Arial" w:hAnsi="Arial" w:cs="Arial"/>
          <w:szCs w:val="24"/>
        </w:rPr>
        <w:t>C’est à l’Ent</w:t>
      </w:r>
      <w:r w:rsidR="001A47F9">
        <w:rPr>
          <w:rFonts w:ascii="Arial" w:hAnsi="Arial" w:cs="Arial"/>
          <w:szCs w:val="24"/>
        </w:rPr>
        <w:t>r</w:t>
      </w:r>
      <w:r>
        <w:rPr>
          <w:rFonts w:ascii="Arial" w:hAnsi="Arial" w:cs="Arial"/>
          <w:szCs w:val="24"/>
        </w:rPr>
        <w:t>eprise que revient la charge de la mise en œuvre du PGES</w:t>
      </w:r>
      <w:r w:rsidR="003A6A50">
        <w:rPr>
          <w:rFonts w:ascii="Arial" w:hAnsi="Arial" w:cs="Arial"/>
          <w:szCs w:val="24"/>
        </w:rPr>
        <w:t xml:space="preserve"> - E</w:t>
      </w:r>
      <w:r>
        <w:rPr>
          <w:rFonts w:ascii="Arial" w:hAnsi="Arial" w:cs="Arial"/>
          <w:szCs w:val="24"/>
        </w:rPr>
        <w:t xml:space="preserve"> </w:t>
      </w:r>
      <w:r w:rsidRPr="00D5757C">
        <w:rPr>
          <w:rFonts w:ascii="Arial" w:hAnsi="Arial" w:cs="Arial"/>
          <w:szCs w:val="24"/>
        </w:rPr>
        <w:t>et du Plan d’Hygiène Sécurité Santé et Environnement (PHSSE)</w:t>
      </w:r>
      <w:r>
        <w:rPr>
          <w:rFonts w:ascii="Arial" w:hAnsi="Arial" w:cs="Arial"/>
          <w:szCs w:val="24"/>
        </w:rPr>
        <w:t xml:space="preserve"> sur le chantier. Son rôle est d’appliquer </w:t>
      </w:r>
      <w:r w:rsidR="00665B96">
        <w:rPr>
          <w:rFonts w:ascii="Arial" w:hAnsi="Arial" w:cs="Arial"/>
          <w:szCs w:val="24"/>
        </w:rPr>
        <w:t>toutes les mesures énoncées</w:t>
      </w:r>
      <w:r>
        <w:rPr>
          <w:rFonts w:ascii="Arial" w:hAnsi="Arial" w:cs="Arial"/>
          <w:szCs w:val="24"/>
        </w:rPr>
        <w:t xml:space="preserve"> dans le PGES </w:t>
      </w:r>
      <w:r w:rsidR="00665B96">
        <w:rPr>
          <w:rFonts w:ascii="Arial" w:hAnsi="Arial" w:cs="Arial"/>
          <w:szCs w:val="24"/>
        </w:rPr>
        <w:t>afin</w:t>
      </w:r>
      <w:r>
        <w:rPr>
          <w:rFonts w:ascii="Arial" w:hAnsi="Arial" w:cs="Arial"/>
          <w:szCs w:val="24"/>
        </w:rPr>
        <w:t xml:space="preserve"> de préserver la qualité de l’environnement et d’éviter les problèmes sociaux.</w:t>
      </w:r>
    </w:p>
    <w:p w14:paraId="00950E96" w14:textId="77777777" w:rsidR="00764D3E" w:rsidRPr="00764D3E" w:rsidRDefault="00764D3E" w:rsidP="0044500E">
      <w:pPr>
        <w:pStyle w:val="TIT3"/>
        <w:numPr>
          <w:ilvl w:val="2"/>
          <w:numId w:val="177"/>
        </w:numPr>
      </w:pPr>
      <w:bookmarkStart w:id="1463" w:name="_Toc124314797"/>
      <w:bookmarkStart w:id="1464" w:name="_Toc124956334"/>
      <w:bookmarkStart w:id="1465" w:name="_Toc125384681"/>
      <w:bookmarkStart w:id="1466" w:name="_Toc125385070"/>
      <w:bookmarkStart w:id="1467" w:name="_Toc127957738"/>
      <w:r w:rsidRPr="00764D3E">
        <w:t>Charte de responsabilité des acteurs</w:t>
      </w:r>
      <w:bookmarkEnd w:id="1463"/>
      <w:bookmarkEnd w:id="1464"/>
      <w:bookmarkEnd w:id="1465"/>
      <w:bookmarkEnd w:id="1466"/>
      <w:bookmarkEnd w:id="1467"/>
      <w:r w:rsidRPr="00764D3E">
        <w:t xml:space="preserve"> </w:t>
      </w:r>
    </w:p>
    <w:p w14:paraId="715D4D8E" w14:textId="77777777" w:rsidR="00353921" w:rsidRDefault="00764D3E" w:rsidP="00764D3E">
      <w:pPr>
        <w:autoSpaceDE w:val="0"/>
        <w:autoSpaceDN w:val="0"/>
        <w:adjustRightInd w:val="0"/>
        <w:jc w:val="both"/>
        <w:rPr>
          <w:rFonts w:ascii="Arial" w:hAnsi="Arial" w:cs="Arial"/>
          <w:szCs w:val="24"/>
        </w:rPr>
      </w:pPr>
      <w:r w:rsidRPr="00473E86">
        <w:rPr>
          <w:rFonts w:ascii="Arial" w:hAnsi="Arial" w:cs="Arial"/>
          <w:szCs w:val="24"/>
        </w:rPr>
        <w:t xml:space="preserve">Le tableau suivant résume la charte des responsabilités des différentes entités dans le cadre de la mise en œuvre </w:t>
      </w:r>
      <w:r w:rsidR="00340AC0">
        <w:rPr>
          <w:rFonts w:ascii="Arial" w:hAnsi="Arial" w:cs="Arial"/>
          <w:szCs w:val="24"/>
        </w:rPr>
        <w:t>et suivi du CGES</w:t>
      </w:r>
      <w:r w:rsidRPr="00473E86">
        <w:rPr>
          <w:rFonts w:ascii="Arial" w:hAnsi="Arial" w:cs="Arial"/>
          <w:szCs w:val="24"/>
        </w:rPr>
        <w:t>.</w:t>
      </w:r>
    </w:p>
    <w:p w14:paraId="23754237" w14:textId="77777777" w:rsidR="00764D3E" w:rsidRPr="00473E86" w:rsidRDefault="00353921" w:rsidP="00764D3E">
      <w:pPr>
        <w:autoSpaceDE w:val="0"/>
        <w:autoSpaceDN w:val="0"/>
        <w:adjustRightInd w:val="0"/>
        <w:jc w:val="both"/>
        <w:rPr>
          <w:rFonts w:ascii="Arial" w:hAnsi="Arial" w:cs="Arial"/>
          <w:szCs w:val="24"/>
        </w:rPr>
      </w:pPr>
      <w:r>
        <w:rPr>
          <w:rFonts w:ascii="Arial" w:hAnsi="Arial" w:cs="Arial"/>
          <w:szCs w:val="24"/>
        </w:rPr>
        <w:br w:type="page"/>
      </w:r>
    </w:p>
    <w:p w14:paraId="647A0022" w14:textId="77777777" w:rsidR="00764D3E" w:rsidRPr="00CF326F" w:rsidRDefault="00764D3E" w:rsidP="00CF326F">
      <w:pPr>
        <w:pStyle w:val="Lgende"/>
        <w:spacing w:before="120"/>
        <w:jc w:val="center"/>
        <w:rPr>
          <w:sz w:val="20"/>
        </w:rPr>
      </w:pPr>
      <w:bookmarkStart w:id="1468" w:name="_Toc127957889"/>
      <w:r w:rsidRPr="00CF326F">
        <w:rPr>
          <w:sz w:val="20"/>
        </w:rPr>
        <w:t xml:space="preserve">Tableau </w:t>
      </w:r>
      <w:r w:rsidRPr="00CF326F">
        <w:rPr>
          <w:sz w:val="20"/>
        </w:rPr>
        <w:fldChar w:fldCharType="begin"/>
      </w:r>
      <w:r w:rsidRPr="00CF326F">
        <w:rPr>
          <w:sz w:val="20"/>
        </w:rPr>
        <w:instrText xml:space="preserve"> SEQ Tableau \* ARABIC </w:instrText>
      </w:r>
      <w:r w:rsidRPr="00CF326F">
        <w:rPr>
          <w:sz w:val="20"/>
        </w:rPr>
        <w:fldChar w:fldCharType="separate"/>
      </w:r>
      <w:r w:rsidR="005430A1">
        <w:rPr>
          <w:noProof/>
          <w:sz w:val="20"/>
        </w:rPr>
        <w:t>93</w:t>
      </w:r>
      <w:r w:rsidRPr="00CF326F">
        <w:rPr>
          <w:sz w:val="20"/>
        </w:rPr>
        <w:fldChar w:fldCharType="end"/>
      </w:r>
      <w:r w:rsidRPr="00CF326F">
        <w:rPr>
          <w:sz w:val="20"/>
        </w:rPr>
        <w:t xml:space="preserve">. Charte de responsabilité des acteurs dans la mise en œuvre </w:t>
      </w:r>
      <w:r w:rsidR="00340AC0">
        <w:rPr>
          <w:sz w:val="20"/>
        </w:rPr>
        <w:t xml:space="preserve">et suivi </w:t>
      </w:r>
      <w:r w:rsidR="007A42B9">
        <w:rPr>
          <w:sz w:val="20"/>
        </w:rPr>
        <w:t xml:space="preserve">du </w:t>
      </w:r>
      <w:r w:rsidR="00340AC0">
        <w:rPr>
          <w:sz w:val="20"/>
        </w:rPr>
        <w:t>CGES</w:t>
      </w:r>
      <w:bookmarkEnd w:id="1468"/>
    </w:p>
    <w:tbl>
      <w:tblPr>
        <w:tblW w:w="10173"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2943"/>
        <w:gridCol w:w="3213"/>
        <w:gridCol w:w="4017"/>
      </w:tblGrid>
      <w:tr w:rsidR="0063584D" w:rsidRPr="007F78CE" w14:paraId="7C21CE0F" w14:textId="77777777" w:rsidTr="48B05EC0">
        <w:trPr>
          <w:trHeight w:val="391"/>
          <w:tblHeader/>
        </w:trPr>
        <w:tc>
          <w:tcPr>
            <w:tcW w:w="2943" w:type="dxa"/>
            <w:shd w:val="clear" w:color="auto" w:fill="4F81BD"/>
            <w:vAlign w:val="center"/>
            <w:hideMark/>
          </w:tcPr>
          <w:p w14:paraId="3764157C" w14:textId="77777777" w:rsidR="00764D3E" w:rsidRPr="005D6D41" w:rsidRDefault="00764D3E" w:rsidP="005D6D41">
            <w:pPr>
              <w:spacing w:after="0" w:line="240" w:lineRule="auto"/>
              <w:jc w:val="center"/>
              <w:rPr>
                <w:rFonts w:ascii="Arial" w:eastAsia="Times New Roman" w:hAnsi="Arial" w:cs="Arial"/>
                <w:b/>
                <w:bCs/>
                <w:color w:val="FFFFFF"/>
                <w:sz w:val="18"/>
                <w:szCs w:val="18"/>
                <w:lang w:eastAsia="fr-FR"/>
              </w:rPr>
            </w:pPr>
            <w:r w:rsidRPr="005D6D41">
              <w:rPr>
                <w:rFonts w:ascii="Arial" w:eastAsia="Times New Roman" w:hAnsi="Arial" w:cs="Arial"/>
                <w:color w:val="FFFFFF"/>
                <w:sz w:val="18"/>
                <w:szCs w:val="18"/>
                <w:lang w:eastAsia="fr-FR"/>
              </w:rPr>
              <w:t>Acteurs</w:t>
            </w:r>
          </w:p>
        </w:tc>
        <w:tc>
          <w:tcPr>
            <w:tcW w:w="3213" w:type="dxa"/>
            <w:shd w:val="clear" w:color="auto" w:fill="4F81BD"/>
            <w:vAlign w:val="center"/>
            <w:hideMark/>
          </w:tcPr>
          <w:p w14:paraId="1598F690" w14:textId="77777777" w:rsidR="00764D3E" w:rsidRPr="005D6D41" w:rsidRDefault="00764D3E" w:rsidP="005D6D41">
            <w:pPr>
              <w:spacing w:after="0" w:line="240" w:lineRule="auto"/>
              <w:jc w:val="center"/>
              <w:rPr>
                <w:rFonts w:ascii="Arial" w:eastAsia="Times New Roman" w:hAnsi="Arial" w:cs="Arial"/>
                <w:b/>
                <w:bCs/>
                <w:color w:val="FFFFFF"/>
                <w:sz w:val="18"/>
                <w:szCs w:val="18"/>
                <w:lang w:eastAsia="fr-FR"/>
              </w:rPr>
            </w:pPr>
            <w:r w:rsidRPr="005D6D41">
              <w:rPr>
                <w:rFonts w:ascii="Arial" w:eastAsia="Times New Roman" w:hAnsi="Arial" w:cs="Arial"/>
                <w:color w:val="FFFFFF"/>
                <w:sz w:val="18"/>
                <w:szCs w:val="18"/>
                <w:lang w:eastAsia="fr-FR"/>
              </w:rPr>
              <w:t>Responsabilité</w:t>
            </w:r>
          </w:p>
        </w:tc>
        <w:tc>
          <w:tcPr>
            <w:tcW w:w="4017" w:type="dxa"/>
            <w:shd w:val="clear" w:color="auto" w:fill="4F81BD"/>
            <w:vAlign w:val="center"/>
            <w:hideMark/>
          </w:tcPr>
          <w:p w14:paraId="2837B4DA" w14:textId="77777777" w:rsidR="00764D3E" w:rsidRPr="005D6D41" w:rsidRDefault="00764D3E" w:rsidP="005D6D41">
            <w:pPr>
              <w:spacing w:after="0" w:line="240" w:lineRule="auto"/>
              <w:jc w:val="center"/>
              <w:rPr>
                <w:rFonts w:ascii="Arial" w:eastAsia="Times New Roman" w:hAnsi="Arial" w:cs="Arial"/>
                <w:b/>
                <w:bCs/>
                <w:sz w:val="18"/>
                <w:szCs w:val="18"/>
                <w:lang w:eastAsia="fr-FR"/>
              </w:rPr>
            </w:pPr>
            <w:r w:rsidRPr="005D6D41">
              <w:rPr>
                <w:rFonts w:ascii="Arial" w:eastAsia="Times New Roman" w:hAnsi="Arial" w:cs="Arial"/>
                <w:color w:val="FFFFFF"/>
                <w:sz w:val="18"/>
                <w:szCs w:val="18"/>
                <w:lang w:eastAsia="fr-FR"/>
              </w:rPr>
              <w:t>Personnes responsables et taches</w:t>
            </w:r>
          </w:p>
        </w:tc>
      </w:tr>
      <w:tr w:rsidR="0063584D" w:rsidRPr="007F78CE" w14:paraId="539EEBC8" w14:textId="77777777" w:rsidTr="48B05EC0">
        <w:trPr>
          <w:trHeight w:val="391"/>
        </w:trPr>
        <w:tc>
          <w:tcPr>
            <w:tcW w:w="2943" w:type="dxa"/>
            <w:tcBorders>
              <w:top w:val="single" w:sz="8" w:space="0" w:color="4F81BD"/>
              <w:left w:val="single" w:sz="8" w:space="0" w:color="4F81BD"/>
              <w:bottom w:val="single" w:sz="8" w:space="0" w:color="4F81BD"/>
            </w:tcBorders>
            <w:shd w:val="clear" w:color="auto" w:fill="auto"/>
          </w:tcPr>
          <w:p w14:paraId="37EAFE80" w14:textId="77777777" w:rsidR="00764D3E" w:rsidRPr="005D6D41" w:rsidRDefault="00764D3E" w:rsidP="005D6D41">
            <w:pPr>
              <w:spacing w:after="0" w:line="240" w:lineRule="auto"/>
              <w:rPr>
                <w:rFonts w:ascii="Arial" w:eastAsia="Times New Roman" w:hAnsi="Arial" w:cs="Arial"/>
                <w:b/>
                <w:bCs/>
                <w:color w:val="000000"/>
                <w:sz w:val="18"/>
                <w:szCs w:val="18"/>
                <w:lang w:eastAsia="fr-FR"/>
              </w:rPr>
            </w:pPr>
            <w:r w:rsidRPr="005D6D41">
              <w:rPr>
                <w:rFonts w:ascii="Arial" w:eastAsia="Times New Roman" w:hAnsi="Arial" w:cs="Arial"/>
                <w:color w:val="000000"/>
                <w:sz w:val="18"/>
                <w:szCs w:val="18"/>
                <w:lang w:eastAsia="fr-FR"/>
              </w:rPr>
              <w:t xml:space="preserve">Comité technique  </w:t>
            </w:r>
          </w:p>
        </w:tc>
        <w:tc>
          <w:tcPr>
            <w:tcW w:w="3213" w:type="dxa"/>
            <w:tcBorders>
              <w:top w:val="single" w:sz="8" w:space="0" w:color="4F81BD"/>
              <w:bottom w:val="single" w:sz="8" w:space="0" w:color="4F81BD"/>
            </w:tcBorders>
            <w:shd w:val="clear" w:color="auto" w:fill="auto"/>
          </w:tcPr>
          <w:p w14:paraId="4D324173"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 xml:space="preserve">Fournir une orientation politique et stratégique globale du Projet </w:t>
            </w:r>
          </w:p>
          <w:p w14:paraId="1C05C786"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Supervision globale des avancements des activités du Projet</w:t>
            </w:r>
          </w:p>
          <w:p w14:paraId="24C424FE"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 xml:space="preserve">Conseil et orientation technique </w:t>
            </w:r>
          </w:p>
          <w:p w14:paraId="13CBD86D"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 xml:space="preserve">Valide le manuel de procédure du Projet </w:t>
            </w:r>
          </w:p>
          <w:p w14:paraId="0E3A9143" w14:textId="77777777" w:rsidR="00764D3E" w:rsidRPr="005D6D41" w:rsidRDefault="00764D3E" w:rsidP="005D6D41">
            <w:pPr>
              <w:spacing w:after="0" w:line="240" w:lineRule="auto"/>
              <w:jc w:val="both"/>
              <w:rPr>
                <w:rFonts w:ascii="Arial" w:eastAsia="Times New Roman" w:hAnsi="Arial" w:cs="Arial"/>
                <w:color w:val="000000"/>
                <w:sz w:val="18"/>
                <w:szCs w:val="18"/>
                <w:lang w:eastAsia="fr-FR"/>
              </w:rPr>
            </w:pPr>
            <w:r w:rsidRPr="005D6D41">
              <w:rPr>
                <w:rFonts w:ascii="Arial" w:eastAsia="Times New Roman" w:hAnsi="Arial" w:cs="Arial"/>
                <w:bCs/>
                <w:color w:val="000000"/>
                <w:sz w:val="18"/>
                <w:szCs w:val="18"/>
                <w:lang w:eastAsia="fr-FR"/>
              </w:rPr>
              <w:t>Analyse et valide les rapports d’activité, d’Audit technique, d’audit interne et d’audit financier de l’UGP ainsi que les rapports d’audits opérationnel, d’évaluation du processus et d’évaluation du projet</w:t>
            </w:r>
          </w:p>
        </w:tc>
        <w:tc>
          <w:tcPr>
            <w:tcW w:w="4017" w:type="dxa"/>
            <w:tcBorders>
              <w:top w:val="single" w:sz="8" w:space="0" w:color="4F81BD"/>
              <w:bottom w:val="single" w:sz="8" w:space="0" w:color="4F81BD"/>
              <w:right w:val="single" w:sz="8" w:space="0" w:color="4F81BD"/>
            </w:tcBorders>
            <w:shd w:val="clear" w:color="auto" w:fill="auto"/>
          </w:tcPr>
          <w:p w14:paraId="77E36BA3" w14:textId="77777777" w:rsidR="00764D3E" w:rsidRPr="005D6D41" w:rsidRDefault="00764D3E" w:rsidP="005D6D41">
            <w:pPr>
              <w:spacing w:after="0" w:line="240" w:lineRule="auto"/>
              <w:rPr>
                <w:rFonts w:ascii="Arial" w:eastAsia="Times New Roman" w:hAnsi="Arial" w:cs="Arial"/>
                <w:color w:val="000000"/>
                <w:sz w:val="18"/>
                <w:szCs w:val="18"/>
                <w:lang w:eastAsia="fr-FR"/>
              </w:rPr>
            </w:pPr>
            <w:r w:rsidRPr="005D6D41">
              <w:rPr>
                <w:rFonts w:ascii="Arial" w:eastAsia="Times New Roman" w:hAnsi="Arial" w:cs="Arial"/>
                <w:color w:val="000000"/>
                <w:sz w:val="18"/>
                <w:szCs w:val="18"/>
                <w:lang w:eastAsia="fr-FR"/>
              </w:rPr>
              <w:t xml:space="preserve">Ces comités devront avoir des techniciens qui ont des connaissances en : </w:t>
            </w:r>
          </w:p>
          <w:p w14:paraId="6AA5442C" w14:textId="77777777" w:rsidR="00764D3E" w:rsidRPr="005D6D41" w:rsidRDefault="00764D3E" w:rsidP="005D6D41">
            <w:pPr>
              <w:pStyle w:val="Paragraphedeliste"/>
              <w:numPr>
                <w:ilvl w:val="0"/>
                <w:numId w:val="26"/>
              </w:numPr>
              <w:spacing w:after="0" w:line="240" w:lineRule="auto"/>
              <w:rPr>
                <w:rFonts w:ascii="Arial" w:eastAsia="Times New Roman" w:hAnsi="Arial" w:cs="Arial"/>
                <w:sz w:val="18"/>
                <w:szCs w:val="18"/>
                <w:lang w:eastAsia="fr-FR"/>
              </w:rPr>
            </w:pPr>
            <w:r w:rsidRPr="005D6D41">
              <w:rPr>
                <w:rFonts w:ascii="Arial" w:eastAsia="Times New Roman" w:hAnsi="Arial" w:cs="Arial"/>
                <w:sz w:val="18"/>
                <w:szCs w:val="18"/>
                <w:lang w:eastAsia="fr-FR"/>
              </w:rPr>
              <w:t>Mod</w:t>
            </w:r>
            <w:r w:rsidR="005ECB9B" w:rsidRPr="005D6D41">
              <w:rPr>
                <w:rFonts w:ascii="Arial" w:eastAsia="Times New Roman" w:hAnsi="Arial" w:cs="Arial"/>
                <w:sz w:val="18"/>
                <w:szCs w:val="18"/>
                <w:lang w:eastAsia="fr-FR"/>
              </w:rPr>
              <w:t>è</w:t>
            </w:r>
            <w:r w:rsidRPr="005D6D41">
              <w:rPr>
                <w:rFonts w:ascii="Arial" w:eastAsia="Times New Roman" w:hAnsi="Arial" w:cs="Arial"/>
                <w:sz w:val="18"/>
                <w:szCs w:val="18"/>
                <w:lang w:eastAsia="fr-FR"/>
              </w:rPr>
              <w:t>l</w:t>
            </w:r>
            <w:r w:rsidR="1E7478D6" w:rsidRPr="005D6D41">
              <w:rPr>
                <w:rFonts w:ascii="Arial" w:eastAsia="Times New Roman" w:hAnsi="Arial" w:cs="Arial"/>
                <w:sz w:val="18"/>
                <w:szCs w:val="18"/>
                <w:lang w:eastAsia="fr-FR"/>
              </w:rPr>
              <w:t>e</w:t>
            </w:r>
            <w:r w:rsidRPr="005D6D41">
              <w:rPr>
                <w:rFonts w:ascii="Arial" w:eastAsia="Times New Roman" w:hAnsi="Arial" w:cs="Arial"/>
                <w:sz w:val="18"/>
                <w:szCs w:val="18"/>
                <w:lang w:eastAsia="fr-FR"/>
              </w:rPr>
              <w:t xml:space="preserve"> d’infrastructures résilientes au changement climatique</w:t>
            </w:r>
          </w:p>
          <w:p w14:paraId="613544D8" w14:textId="77777777" w:rsidR="00764D3E" w:rsidRPr="005D6D41" w:rsidRDefault="00764D3E" w:rsidP="005D6D41">
            <w:pPr>
              <w:pStyle w:val="Paragraphedeliste"/>
              <w:numPr>
                <w:ilvl w:val="0"/>
                <w:numId w:val="26"/>
              </w:numPr>
              <w:spacing w:after="0" w:line="240" w:lineRule="auto"/>
              <w:rPr>
                <w:rFonts w:ascii="Arial" w:eastAsia="Times New Roman" w:hAnsi="Arial" w:cs="Arial"/>
                <w:sz w:val="18"/>
                <w:szCs w:val="18"/>
                <w:lang w:eastAsia="fr-FR"/>
              </w:rPr>
            </w:pPr>
            <w:r w:rsidRPr="005D6D41">
              <w:rPr>
                <w:rFonts w:ascii="Arial" w:eastAsia="Times New Roman" w:hAnsi="Arial" w:cs="Arial"/>
                <w:sz w:val="18"/>
                <w:szCs w:val="18"/>
                <w:lang w:eastAsia="fr-FR"/>
              </w:rPr>
              <w:t>Gestion environnementale et sociale pour la validation des procédures environnementale</w:t>
            </w:r>
            <w:r w:rsidR="763D94CF" w:rsidRPr="005D6D41">
              <w:rPr>
                <w:rFonts w:ascii="Arial" w:eastAsia="Times New Roman" w:hAnsi="Arial" w:cs="Arial"/>
                <w:sz w:val="18"/>
                <w:szCs w:val="18"/>
                <w:lang w:eastAsia="fr-FR"/>
              </w:rPr>
              <w:t>s</w:t>
            </w:r>
            <w:r w:rsidRPr="005D6D41">
              <w:rPr>
                <w:rFonts w:ascii="Arial" w:eastAsia="Times New Roman" w:hAnsi="Arial" w:cs="Arial"/>
                <w:sz w:val="18"/>
                <w:szCs w:val="18"/>
                <w:lang w:eastAsia="fr-FR"/>
              </w:rPr>
              <w:t xml:space="preserve"> et sociale</w:t>
            </w:r>
            <w:r w:rsidR="7795CDB8" w:rsidRPr="005D6D41">
              <w:rPr>
                <w:rFonts w:ascii="Arial" w:eastAsia="Times New Roman" w:hAnsi="Arial" w:cs="Arial"/>
                <w:sz w:val="18"/>
                <w:szCs w:val="18"/>
                <w:lang w:eastAsia="fr-FR"/>
              </w:rPr>
              <w:t>s</w:t>
            </w:r>
            <w:r w:rsidRPr="005D6D41">
              <w:rPr>
                <w:rFonts w:ascii="Arial" w:eastAsia="Times New Roman" w:hAnsi="Arial" w:cs="Arial"/>
                <w:sz w:val="18"/>
                <w:szCs w:val="18"/>
                <w:lang w:eastAsia="fr-FR"/>
              </w:rPr>
              <w:t xml:space="preserve"> et pour l’analyse des audits environnementaux et sociaux</w:t>
            </w:r>
          </w:p>
        </w:tc>
      </w:tr>
      <w:tr w:rsidR="0063584D" w:rsidRPr="007F78CE" w14:paraId="68BDBDF4" w14:textId="77777777" w:rsidTr="48B05EC0">
        <w:trPr>
          <w:trHeight w:val="391"/>
        </w:trPr>
        <w:tc>
          <w:tcPr>
            <w:tcW w:w="2943" w:type="dxa"/>
            <w:shd w:val="clear" w:color="auto" w:fill="auto"/>
          </w:tcPr>
          <w:p w14:paraId="12C84548" w14:textId="77777777" w:rsidR="00764D3E" w:rsidRPr="005D6D41" w:rsidRDefault="003A6A50" w:rsidP="006B164A">
            <w:pPr>
              <w:spacing w:after="0" w:line="240" w:lineRule="auto"/>
              <w:rPr>
                <w:rFonts w:ascii="Arial" w:eastAsia="Times New Roman" w:hAnsi="Arial" w:cs="Arial"/>
                <w:b/>
                <w:bCs/>
                <w:color w:val="000000"/>
                <w:sz w:val="18"/>
                <w:szCs w:val="18"/>
                <w:lang w:eastAsia="fr-FR"/>
              </w:rPr>
            </w:pPr>
            <w:r w:rsidRPr="005D6D41">
              <w:rPr>
                <w:rFonts w:ascii="Arial" w:eastAsia="Times New Roman" w:hAnsi="Arial" w:cs="Arial"/>
                <w:color w:val="000000"/>
                <w:sz w:val="18"/>
                <w:szCs w:val="18"/>
                <w:lang w:eastAsia="fr-FR"/>
              </w:rPr>
              <w:t>Ma</w:t>
            </w:r>
            <w:r>
              <w:rPr>
                <w:rFonts w:ascii="Arial" w:eastAsia="Times New Roman" w:hAnsi="Arial" w:cs="Arial"/>
                <w:color w:val="000000"/>
                <w:sz w:val="18"/>
                <w:szCs w:val="18"/>
                <w:lang w:eastAsia="fr-FR"/>
              </w:rPr>
              <w:t>î</w:t>
            </w:r>
            <w:r w:rsidRPr="005D6D41">
              <w:rPr>
                <w:rFonts w:ascii="Arial" w:eastAsia="Times New Roman" w:hAnsi="Arial" w:cs="Arial"/>
                <w:color w:val="000000"/>
                <w:sz w:val="18"/>
                <w:szCs w:val="18"/>
                <w:lang w:eastAsia="fr-FR"/>
              </w:rPr>
              <w:t xml:space="preserve">tre </w:t>
            </w:r>
            <w:r w:rsidR="006B164A">
              <w:rPr>
                <w:rFonts w:ascii="Arial" w:eastAsia="Times New Roman" w:hAnsi="Arial" w:cs="Arial"/>
                <w:color w:val="000000"/>
                <w:sz w:val="18"/>
                <w:szCs w:val="18"/>
                <w:lang w:eastAsia="fr-FR"/>
              </w:rPr>
              <w:t>d’ouvrag</w:t>
            </w:r>
            <w:r w:rsidRPr="005D6D41">
              <w:rPr>
                <w:rFonts w:ascii="Arial" w:eastAsia="Times New Roman" w:hAnsi="Arial" w:cs="Arial"/>
                <w:color w:val="000000"/>
                <w:sz w:val="18"/>
                <w:szCs w:val="18"/>
                <w:lang w:eastAsia="fr-FR"/>
              </w:rPr>
              <w:t>e</w:t>
            </w:r>
          </w:p>
        </w:tc>
        <w:tc>
          <w:tcPr>
            <w:tcW w:w="3213" w:type="dxa"/>
            <w:shd w:val="clear" w:color="auto" w:fill="auto"/>
          </w:tcPr>
          <w:p w14:paraId="281684AB" w14:textId="77777777" w:rsidR="00764D3E" w:rsidRPr="005D6D41" w:rsidRDefault="00764D3E" w:rsidP="005D6D41">
            <w:pPr>
              <w:spacing w:after="0" w:line="240" w:lineRule="auto"/>
              <w:rPr>
                <w:rFonts w:ascii="Arial" w:hAnsi="Arial" w:cs="Arial"/>
                <w:sz w:val="18"/>
                <w:szCs w:val="18"/>
              </w:rPr>
            </w:pPr>
            <w:r w:rsidRPr="005D6D41">
              <w:rPr>
                <w:rFonts w:ascii="Arial" w:hAnsi="Arial" w:cs="Arial"/>
                <w:sz w:val="18"/>
                <w:szCs w:val="18"/>
              </w:rPr>
              <w:t>Définira les orientations opérationnelles de la mise en œuvre globale du Projet</w:t>
            </w:r>
          </w:p>
          <w:p w14:paraId="02EC5FBA" w14:textId="77777777" w:rsidR="00764D3E" w:rsidRPr="005D6D41" w:rsidRDefault="00764D3E" w:rsidP="005D6D41">
            <w:pPr>
              <w:spacing w:after="0" w:line="240" w:lineRule="auto"/>
              <w:rPr>
                <w:rFonts w:ascii="Arial" w:eastAsia="Times New Roman" w:hAnsi="Arial" w:cs="Arial"/>
                <w:color w:val="000000"/>
                <w:sz w:val="18"/>
                <w:szCs w:val="18"/>
                <w:lang w:eastAsia="fr-FR"/>
              </w:rPr>
            </w:pPr>
            <w:r w:rsidRPr="005D6D41">
              <w:rPr>
                <w:rFonts w:ascii="Arial" w:hAnsi="Arial" w:cs="Arial"/>
                <w:sz w:val="18"/>
                <w:szCs w:val="18"/>
              </w:rPr>
              <w:t>Approuvera et suivra l’application de tous les documents cadres de sauvegarde environnementale et sociale tout au long de la mise en œuvre du Projet</w:t>
            </w:r>
          </w:p>
        </w:tc>
        <w:tc>
          <w:tcPr>
            <w:tcW w:w="4017" w:type="dxa"/>
            <w:shd w:val="clear" w:color="auto" w:fill="auto"/>
          </w:tcPr>
          <w:p w14:paraId="4121209C" w14:textId="77777777" w:rsidR="00764D3E" w:rsidRPr="005D6D41" w:rsidRDefault="00764D3E" w:rsidP="005D6D41">
            <w:pPr>
              <w:spacing w:after="0" w:line="240" w:lineRule="auto"/>
              <w:rPr>
                <w:rFonts w:ascii="Arial" w:eastAsia="Times New Roman" w:hAnsi="Arial" w:cs="Arial"/>
                <w:color w:val="000000"/>
                <w:sz w:val="18"/>
                <w:szCs w:val="18"/>
                <w:lang w:eastAsia="fr-FR"/>
              </w:rPr>
            </w:pPr>
            <w:r w:rsidRPr="005D6D41">
              <w:rPr>
                <w:rFonts w:ascii="Arial" w:eastAsia="Times New Roman" w:hAnsi="Arial" w:cs="Arial"/>
                <w:color w:val="000000"/>
                <w:sz w:val="18"/>
                <w:szCs w:val="18"/>
                <w:lang w:eastAsia="fr-FR"/>
              </w:rPr>
              <w:t xml:space="preserve">Le maitre d’œuvre devra avoir un responsable environnemental et social qui a pour mission de : </w:t>
            </w:r>
          </w:p>
          <w:p w14:paraId="2EECE9CD" w14:textId="77777777" w:rsidR="00764D3E" w:rsidRPr="005D6D41" w:rsidRDefault="00764D3E" w:rsidP="005D6D41">
            <w:pPr>
              <w:pStyle w:val="Paragraphedeliste"/>
              <w:numPr>
                <w:ilvl w:val="0"/>
                <w:numId w:val="25"/>
              </w:numPr>
              <w:spacing w:after="0" w:line="240" w:lineRule="auto"/>
              <w:rPr>
                <w:rFonts w:ascii="Arial" w:eastAsia="Times New Roman" w:hAnsi="Arial" w:cs="Arial"/>
                <w:sz w:val="18"/>
                <w:szCs w:val="18"/>
                <w:lang w:eastAsia="fr-FR"/>
              </w:rPr>
            </w:pPr>
            <w:r w:rsidRPr="005D6D41">
              <w:rPr>
                <w:rFonts w:ascii="Arial" w:eastAsia="Times New Roman" w:hAnsi="Arial" w:cs="Arial"/>
                <w:sz w:val="18"/>
                <w:szCs w:val="18"/>
                <w:lang w:eastAsia="fr-FR"/>
              </w:rPr>
              <w:t>Valider les études environnementales et sociales des différents sous projets (EIES, PREE, PGES)</w:t>
            </w:r>
          </w:p>
          <w:p w14:paraId="51D221E2" w14:textId="77777777" w:rsidR="00764D3E" w:rsidRPr="005D6D41" w:rsidRDefault="00764D3E" w:rsidP="005D6D41">
            <w:pPr>
              <w:pStyle w:val="Paragraphedeliste"/>
              <w:numPr>
                <w:ilvl w:val="0"/>
                <w:numId w:val="25"/>
              </w:numPr>
              <w:spacing w:after="0" w:line="240" w:lineRule="auto"/>
              <w:rPr>
                <w:rFonts w:ascii="Arial" w:eastAsia="Times New Roman" w:hAnsi="Arial" w:cs="Arial"/>
                <w:sz w:val="18"/>
                <w:szCs w:val="18"/>
                <w:lang w:eastAsia="fr-FR"/>
              </w:rPr>
            </w:pPr>
            <w:r w:rsidRPr="005D6D41">
              <w:rPr>
                <w:rFonts w:ascii="Arial" w:eastAsia="Times New Roman" w:hAnsi="Arial" w:cs="Arial"/>
                <w:sz w:val="18"/>
                <w:szCs w:val="18"/>
                <w:lang w:eastAsia="fr-FR"/>
              </w:rPr>
              <w:t>Superviser l’application des différentes mesures environnementales et sociale décrites dans le PGES</w:t>
            </w:r>
          </w:p>
          <w:p w14:paraId="056AAEBA" w14:textId="77777777" w:rsidR="00764D3E" w:rsidRPr="005D6D41" w:rsidRDefault="00764D3E" w:rsidP="005D6D41">
            <w:pPr>
              <w:pStyle w:val="Paragraphedeliste"/>
              <w:numPr>
                <w:ilvl w:val="0"/>
                <w:numId w:val="25"/>
              </w:numPr>
              <w:spacing w:after="0" w:line="240" w:lineRule="auto"/>
              <w:rPr>
                <w:rFonts w:ascii="Arial" w:eastAsia="Times New Roman" w:hAnsi="Arial" w:cs="Arial"/>
                <w:sz w:val="18"/>
                <w:szCs w:val="18"/>
                <w:lang w:eastAsia="fr-FR"/>
              </w:rPr>
            </w:pPr>
            <w:r w:rsidRPr="005D6D41">
              <w:rPr>
                <w:rFonts w:ascii="Arial" w:eastAsia="Times New Roman" w:hAnsi="Arial" w:cs="Arial"/>
                <w:sz w:val="18"/>
                <w:szCs w:val="18"/>
                <w:lang w:eastAsia="fr-FR"/>
              </w:rPr>
              <w:t xml:space="preserve">Conseils l’UCP en cas d’apparition de nouvel impact ou d’impact résiduel important </w:t>
            </w:r>
          </w:p>
        </w:tc>
      </w:tr>
      <w:tr w:rsidR="0063584D" w:rsidRPr="007F78CE" w14:paraId="55E92959" w14:textId="77777777" w:rsidTr="48B05EC0">
        <w:trPr>
          <w:trHeight w:val="391"/>
        </w:trPr>
        <w:tc>
          <w:tcPr>
            <w:tcW w:w="2943" w:type="dxa"/>
            <w:tcBorders>
              <w:top w:val="single" w:sz="8" w:space="0" w:color="4F81BD"/>
              <w:left w:val="single" w:sz="8" w:space="0" w:color="4F81BD"/>
              <w:bottom w:val="single" w:sz="8" w:space="0" w:color="4F81BD"/>
            </w:tcBorders>
            <w:shd w:val="clear" w:color="auto" w:fill="auto"/>
          </w:tcPr>
          <w:p w14:paraId="522D362C" w14:textId="77777777" w:rsidR="00764D3E" w:rsidRPr="005D6D41" w:rsidRDefault="00340AC0" w:rsidP="005D6D41">
            <w:pPr>
              <w:spacing w:after="0" w:line="240" w:lineRule="auto"/>
              <w:rPr>
                <w:rFonts w:ascii="Arial" w:eastAsia="Times New Roman" w:hAnsi="Arial" w:cs="Arial"/>
                <w:b/>
                <w:bCs/>
                <w:color w:val="000000"/>
                <w:sz w:val="18"/>
                <w:szCs w:val="18"/>
                <w:lang w:eastAsia="fr-FR"/>
              </w:rPr>
            </w:pPr>
            <w:r w:rsidRPr="00FB04F6">
              <w:rPr>
                <w:rFonts w:ascii="Arial" w:eastAsia="Times New Roman" w:hAnsi="Arial" w:cs="Arial"/>
                <w:color w:val="000000"/>
                <w:sz w:val="18"/>
                <w:szCs w:val="18"/>
                <w:lang w:eastAsia="fr-FR"/>
              </w:rPr>
              <w:t>Ma</w:t>
            </w:r>
            <w:r w:rsidR="003A6A50" w:rsidRPr="00FB04F6">
              <w:rPr>
                <w:rFonts w:ascii="Arial" w:eastAsia="Times New Roman" w:hAnsi="Arial" w:cs="Arial"/>
                <w:color w:val="000000"/>
                <w:sz w:val="18"/>
                <w:szCs w:val="18"/>
                <w:lang w:eastAsia="fr-FR"/>
              </w:rPr>
              <w:t>î</w:t>
            </w:r>
            <w:r w:rsidRPr="00FB04F6">
              <w:rPr>
                <w:rFonts w:ascii="Arial" w:eastAsia="Times New Roman" w:hAnsi="Arial" w:cs="Arial"/>
                <w:color w:val="000000"/>
                <w:sz w:val="18"/>
                <w:szCs w:val="18"/>
                <w:lang w:eastAsia="fr-FR"/>
              </w:rPr>
              <w:t>tre d’ouvrage</w:t>
            </w:r>
            <w:r w:rsidR="00764D3E" w:rsidRPr="00FB04F6">
              <w:rPr>
                <w:rFonts w:ascii="Arial" w:eastAsia="Times New Roman" w:hAnsi="Arial" w:cs="Arial"/>
                <w:color w:val="000000"/>
                <w:sz w:val="18"/>
                <w:szCs w:val="18"/>
                <w:lang w:eastAsia="fr-FR"/>
              </w:rPr>
              <w:t xml:space="preserve"> délégué</w:t>
            </w:r>
            <w:r w:rsidRPr="00FB04F6">
              <w:rPr>
                <w:rFonts w:ascii="Arial" w:eastAsia="Times New Roman" w:hAnsi="Arial" w:cs="Arial"/>
                <w:color w:val="000000"/>
                <w:sz w:val="18"/>
                <w:szCs w:val="18"/>
                <w:lang w:eastAsia="fr-FR"/>
              </w:rPr>
              <w:t>e</w:t>
            </w:r>
            <w:r w:rsidR="00764D3E" w:rsidRPr="00FB04F6">
              <w:rPr>
                <w:rFonts w:ascii="Arial" w:eastAsia="Times New Roman" w:hAnsi="Arial" w:cs="Arial"/>
                <w:color w:val="000000"/>
                <w:sz w:val="18"/>
                <w:szCs w:val="18"/>
                <w:lang w:eastAsia="fr-FR"/>
              </w:rPr>
              <w:t xml:space="preserve"> </w:t>
            </w:r>
          </w:p>
        </w:tc>
        <w:tc>
          <w:tcPr>
            <w:tcW w:w="3213" w:type="dxa"/>
            <w:tcBorders>
              <w:top w:val="single" w:sz="8" w:space="0" w:color="4F81BD"/>
              <w:bottom w:val="single" w:sz="8" w:space="0" w:color="4F81BD"/>
            </w:tcBorders>
            <w:shd w:val="clear" w:color="auto" w:fill="auto"/>
          </w:tcPr>
          <w:p w14:paraId="2B840B7B" w14:textId="77777777" w:rsidR="00764D3E" w:rsidRPr="005D6D41" w:rsidRDefault="00764D3E" w:rsidP="005D6D41">
            <w:pPr>
              <w:spacing w:after="0" w:line="240" w:lineRule="auto"/>
              <w:rPr>
                <w:rFonts w:ascii="Arial" w:eastAsia="Times New Roman" w:hAnsi="Arial" w:cs="Arial"/>
                <w:color w:val="000000"/>
                <w:sz w:val="18"/>
                <w:szCs w:val="18"/>
                <w:lang w:eastAsia="fr-FR"/>
              </w:rPr>
            </w:pPr>
            <w:r w:rsidRPr="005D6D41">
              <w:rPr>
                <w:rFonts w:ascii="Arial" w:eastAsia="Times New Roman" w:hAnsi="Arial" w:cs="Arial"/>
                <w:color w:val="000000"/>
                <w:sz w:val="18"/>
                <w:szCs w:val="18"/>
                <w:lang w:eastAsia="fr-FR"/>
              </w:rPr>
              <w:t xml:space="preserve">Assure la mise en œuvre de certaine sous composante du sous projet : </w:t>
            </w:r>
          </w:p>
          <w:p w14:paraId="03B92AD4" w14:textId="77777777" w:rsidR="00764D3E" w:rsidRPr="005D6D41" w:rsidRDefault="00764D3E" w:rsidP="005D6D41">
            <w:pPr>
              <w:spacing w:after="0" w:line="240" w:lineRule="auto"/>
              <w:rPr>
                <w:rFonts w:ascii="Arial" w:eastAsia="Times New Roman" w:hAnsi="Arial" w:cs="Arial"/>
                <w:color w:val="000000"/>
                <w:sz w:val="18"/>
                <w:szCs w:val="18"/>
                <w:lang w:eastAsia="fr-FR"/>
              </w:rPr>
            </w:pPr>
            <w:r w:rsidRPr="005D6D41">
              <w:rPr>
                <w:rFonts w:ascii="Arial" w:eastAsia="Times New Roman" w:hAnsi="Arial" w:cs="Arial"/>
                <w:color w:val="000000"/>
                <w:sz w:val="18"/>
                <w:szCs w:val="18"/>
                <w:lang w:eastAsia="fr-FR"/>
              </w:rPr>
              <w:t xml:space="preserve">Assure la passation de marché, l’étude et l’exécution des travaux  </w:t>
            </w:r>
          </w:p>
          <w:p w14:paraId="71ACC2E1"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Assure que les mesures qui doivent être mises en œuvre par les entreprises lors des travaux soient intégrées dans les DAO</w:t>
            </w:r>
          </w:p>
          <w:p w14:paraId="0BBD36F7" w14:textId="77777777" w:rsidR="00764D3E" w:rsidRPr="005D6D41" w:rsidRDefault="00764D3E" w:rsidP="005D6D41">
            <w:pPr>
              <w:spacing w:after="0" w:line="240" w:lineRule="auto"/>
              <w:rPr>
                <w:rFonts w:ascii="Arial" w:eastAsia="Times New Roman" w:hAnsi="Arial" w:cs="Arial"/>
                <w:color w:val="000000"/>
                <w:sz w:val="18"/>
                <w:szCs w:val="18"/>
                <w:lang w:eastAsia="fr-FR"/>
              </w:rPr>
            </w:pPr>
            <w:r w:rsidRPr="005D6D41">
              <w:rPr>
                <w:rFonts w:ascii="Arial" w:eastAsia="Times New Roman" w:hAnsi="Arial" w:cs="Arial"/>
                <w:bCs/>
                <w:color w:val="000000"/>
                <w:sz w:val="18"/>
                <w:szCs w:val="18"/>
                <w:lang w:eastAsia="fr-FR"/>
              </w:rPr>
              <w:t>Supervise les travaux de surveillance environnementale faite par le Bureau d’étude</w:t>
            </w:r>
          </w:p>
        </w:tc>
        <w:tc>
          <w:tcPr>
            <w:tcW w:w="4017" w:type="dxa"/>
            <w:tcBorders>
              <w:top w:val="single" w:sz="8" w:space="0" w:color="4F81BD"/>
              <w:bottom w:val="single" w:sz="8" w:space="0" w:color="4F81BD"/>
              <w:right w:val="single" w:sz="8" w:space="0" w:color="4F81BD"/>
            </w:tcBorders>
            <w:shd w:val="clear" w:color="auto" w:fill="auto"/>
          </w:tcPr>
          <w:p w14:paraId="74F253B4" w14:textId="77777777" w:rsidR="00764D3E" w:rsidRPr="005D6D41" w:rsidRDefault="00764D3E" w:rsidP="005D6D41">
            <w:pPr>
              <w:spacing w:after="0" w:line="240" w:lineRule="auto"/>
              <w:rPr>
                <w:rFonts w:ascii="Arial" w:eastAsia="Times New Roman" w:hAnsi="Arial" w:cs="Arial"/>
                <w:color w:val="000000"/>
                <w:sz w:val="18"/>
                <w:szCs w:val="18"/>
                <w:lang w:eastAsia="fr-FR"/>
              </w:rPr>
            </w:pPr>
            <w:r w:rsidRPr="005D6D41">
              <w:rPr>
                <w:rFonts w:ascii="Arial" w:eastAsia="Times New Roman" w:hAnsi="Arial" w:cs="Arial"/>
                <w:color w:val="000000"/>
                <w:sz w:val="18"/>
                <w:szCs w:val="18"/>
                <w:lang w:eastAsia="fr-FR"/>
              </w:rPr>
              <w:t xml:space="preserve">Le </w:t>
            </w:r>
            <w:r w:rsidR="004B1AF2" w:rsidRPr="005D6D41">
              <w:rPr>
                <w:rFonts w:ascii="Arial" w:eastAsia="Times New Roman" w:hAnsi="Arial" w:cs="Arial"/>
                <w:color w:val="000000"/>
                <w:sz w:val="18"/>
                <w:szCs w:val="18"/>
                <w:lang w:eastAsia="fr-FR"/>
              </w:rPr>
              <w:t xml:space="preserve">MOD </w:t>
            </w:r>
            <w:r w:rsidRPr="005D6D41">
              <w:rPr>
                <w:rFonts w:ascii="Arial" w:eastAsia="Times New Roman" w:hAnsi="Arial" w:cs="Arial"/>
                <w:color w:val="000000"/>
                <w:sz w:val="18"/>
                <w:szCs w:val="18"/>
                <w:lang w:eastAsia="fr-FR"/>
              </w:rPr>
              <w:t xml:space="preserve">doit avoir un spécialiste en gestion environnemental et social afin de : </w:t>
            </w:r>
          </w:p>
          <w:p w14:paraId="0F822684" w14:textId="77777777" w:rsidR="00764D3E" w:rsidRPr="005D6D41" w:rsidRDefault="00764D3E" w:rsidP="005D6D41">
            <w:pPr>
              <w:pStyle w:val="Paragraphedeliste"/>
              <w:numPr>
                <w:ilvl w:val="0"/>
                <w:numId w:val="25"/>
              </w:numPr>
              <w:spacing w:after="0" w:line="240" w:lineRule="auto"/>
              <w:rPr>
                <w:rFonts w:ascii="Arial" w:eastAsia="Times New Roman" w:hAnsi="Arial" w:cs="Arial"/>
                <w:sz w:val="18"/>
                <w:szCs w:val="18"/>
                <w:lang w:eastAsia="fr-FR"/>
              </w:rPr>
            </w:pPr>
            <w:r w:rsidRPr="005D6D41">
              <w:rPr>
                <w:rFonts w:ascii="Arial" w:eastAsia="Times New Roman" w:hAnsi="Arial" w:cs="Arial"/>
                <w:sz w:val="18"/>
                <w:szCs w:val="18"/>
                <w:lang w:eastAsia="fr-FR"/>
              </w:rPr>
              <w:t>D’assurer la dimension environnementale et sociale est bien intégré durant toute la phase du Projet (de la phase d’étude à la phase de construction et jusqu’à la phase d’exploitation)</w:t>
            </w:r>
          </w:p>
          <w:p w14:paraId="0F0C4ED4" w14:textId="77777777" w:rsidR="00764D3E" w:rsidRPr="005D6D41" w:rsidRDefault="00764D3E" w:rsidP="005D6D41">
            <w:pPr>
              <w:pStyle w:val="Paragraphedeliste"/>
              <w:numPr>
                <w:ilvl w:val="0"/>
                <w:numId w:val="25"/>
              </w:numPr>
              <w:spacing w:after="0" w:line="240" w:lineRule="auto"/>
              <w:rPr>
                <w:rFonts w:ascii="Arial" w:eastAsia="Times New Roman" w:hAnsi="Arial" w:cs="Arial"/>
                <w:sz w:val="18"/>
                <w:szCs w:val="18"/>
                <w:lang w:eastAsia="fr-FR"/>
              </w:rPr>
            </w:pPr>
            <w:r w:rsidRPr="005D6D41">
              <w:rPr>
                <w:rFonts w:ascii="Arial" w:eastAsia="Times New Roman" w:hAnsi="Arial" w:cs="Arial"/>
                <w:sz w:val="18"/>
                <w:szCs w:val="18"/>
                <w:lang w:eastAsia="fr-FR"/>
              </w:rPr>
              <w:t xml:space="preserve">Valide les études environnementales et sociales </w:t>
            </w:r>
            <w:r w:rsidR="009D43E0" w:rsidRPr="005D6D41">
              <w:rPr>
                <w:rFonts w:ascii="Arial" w:eastAsia="Times New Roman" w:hAnsi="Arial" w:cs="Arial"/>
                <w:sz w:val="18"/>
                <w:szCs w:val="18"/>
                <w:lang w:eastAsia="fr-FR"/>
              </w:rPr>
              <w:t>des sous projets</w:t>
            </w:r>
          </w:p>
          <w:p w14:paraId="6638C952" w14:textId="77777777" w:rsidR="00764D3E" w:rsidRPr="005D6D41" w:rsidRDefault="00764D3E" w:rsidP="005D6D41">
            <w:pPr>
              <w:pStyle w:val="Paragraphedeliste"/>
              <w:numPr>
                <w:ilvl w:val="0"/>
                <w:numId w:val="25"/>
              </w:numPr>
              <w:spacing w:after="0" w:line="240" w:lineRule="auto"/>
              <w:rPr>
                <w:rFonts w:ascii="Arial" w:eastAsia="Times New Roman" w:hAnsi="Arial" w:cs="Arial"/>
                <w:sz w:val="18"/>
                <w:szCs w:val="18"/>
                <w:lang w:eastAsia="fr-FR"/>
              </w:rPr>
            </w:pPr>
            <w:r w:rsidRPr="005D6D41">
              <w:rPr>
                <w:rFonts w:ascii="Arial" w:eastAsia="Times New Roman" w:hAnsi="Arial" w:cs="Arial"/>
                <w:sz w:val="18"/>
                <w:szCs w:val="18"/>
                <w:lang w:eastAsia="fr-FR"/>
              </w:rPr>
              <w:t xml:space="preserve">Supervise l’application des mesures environnementales et sociales décrite dans le PGES </w:t>
            </w:r>
          </w:p>
          <w:p w14:paraId="2B90325F" w14:textId="77777777" w:rsidR="00764D3E" w:rsidRPr="005D6D41" w:rsidRDefault="00764D3E" w:rsidP="005D6D41">
            <w:pPr>
              <w:pStyle w:val="Paragraphedeliste"/>
              <w:numPr>
                <w:ilvl w:val="0"/>
                <w:numId w:val="25"/>
              </w:numPr>
              <w:spacing w:after="0" w:line="240" w:lineRule="auto"/>
              <w:rPr>
                <w:rFonts w:ascii="Arial" w:eastAsia="Times New Roman" w:hAnsi="Arial" w:cs="Arial"/>
                <w:sz w:val="18"/>
                <w:szCs w:val="18"/>
                <w:lang w:eastAsia="fr-FR"/>
              </w:rPr>
            </w:pPr>
            <w:r w:rsidRPr="005D6D41">
              <w:rPr>
                <w:rFonts w:ascii="Arial" w:eastAsia="Times New Roman" w:hAnsi="Arial" w:cs="Arial"/>
                <w:sz w:val="18"/>
                <w:szCs w:val="18"/>
                <w:lang w:eastAsia="fr-FR"/>
              </w:rPr>
              <w:t xml:space="preserve">S’assure que la procédure environnementale et sociale du Projet soit bien </w:t>
            </w:r>
            <w:r w:rsidR="0023459D" w:rsidRPr="005D6D41">
              <w:rPr>
                <w:rFonts w:ascii="Arial" w:eastAsia="Times New Roman" w:hAnsi="Arial" w:cs="Arial"/>
                <w:sz w:val="18"/>
                <w:szCs w:val="18"/>
                <w:lang w:eastAsia="fr-FR"/>
              </w:rPr>
              <w:t>respectée</w:t>
            </w:r>
          </w:p>
        </w:tc>
      </w:tr>
      <w:tr w:rsidR="0063584D" w:rsidRPr="007F78CE" w14:paraId="337918BE" w14:textId="77777777" w:rsidTr="48B05EC0">
        <w:trPr>
          <w:trHeight w:val="2965"/>
        </w:trPr>
        <w:tc>
          <w:tcPr>
            <w:tcW w:w="2943" w:type="dxa"/>
            <w:shd w:val="clear" w:color="auto" w:fill="auto"/>
            <w:hideMark/>
          </w:tcPr>
          <w:p w14:paraId="6CE41611" w14:textId="77777777" w:rsidR="00764D3E" w:rsidRPr="005D6D41" w:rsidRDefault="003A6A50" w:rsidP="005D6D41">
            <w:pPr>
              <w:spacing w:after="0" w:line="240" w:lineRule="auto"/>
              <w:jc w:val="both"/>
              <w:rPr>
                <w:rFonts w:ascii="Arial" w:eastAsia="Times New Roman" w:hAnsi="Arial" w:cs="Arial"/>
                <w:b/>
                <w:bCs/>
                <w:color w:val="000000"/>
                <w:sz w:val="18"/>
                <w:szCs w:val="18"/>
                <w:lang w:eastAsia="fr-FR"/>
              </w:rPr>
            </w:pPr>
            <w:r w:rsidRPr="005D6D41">
              <w:rPr>
                <w:rFonts w:ascii="Arial" w:eastAsia="Times New Roman" w:hAnsi="Arial" w:cs="Arial"/>
                <w:color w:val="000000"/>
                <w:sz w:val="18"/>
                <w:szCs w:val="18"/>
                <w:lang w:eastAsia="fr-FR"/>
              </w:rPr>
              <w:t>UCP</w:t>
            </w:r>
          </w:p>
        </w:tc>
        <w:tc>
          <w:tcPr>
            <w:tcW w:w="3213" w:type="dxa"/>
            <w:shd w:val="clear" w:color="auto" w:fill="auto"/>
            <w:hideMark/>
          </w:tcPr>
          <w:p w14:paraId="052F891C" w14:textId="77777777" w:rsidR="006E13C8" w:rsidRPr="00AE406E" w:rsidRDefault="006E13C8" w:rsidP="00AE406E">
            <w:pPr>
              <w:spacing w:after="0" w:line="240" w:lineRule="auto"/>
              <w:jc w:val="both"/>
              <w:rPr>
                <w:rFonts w:ascii="Arial" w:eastAsia="Times New Roman" w:hAnsi="Arial" w:cs="Arial"/>
                <w:bCs/>
                <w:color w:val="000000"/>
                <w:sz w:val="18"/>
                <w:szCs w:val="18"/>
                <w:lang w:eastAsia="fr-FR"/>
              </w:rPr>
            </w:pPr>
            <w:r w:rsidRPr="00AE406E">
              <w:rPr>
                <w:rFonts w:ascii="Arial" w:eastAsia="Times New Roman" w:hAnsi="Arial" w:cs="Arial"/>
                <w:bCs/>
                <w:color w:val="000000"/>
                <w:sz w:val="18"/>
                <w:szCs w:val="18"/>
                <w:lang w:eastAsia="fr-FR"/>
              </w:rPr>
              <w:t>Coordonne et consolide les plans de travail et budgets annuels et supervise la gestion financière et la passation de marchés de toutes les agences d'exécution.</w:t>
            </w:r>
          </w:p>
          <w:p w14:paraId="0BAB9F43" w14:textId="77777777" w:rsidR="006E13C8" w:rsidRDefault="006E13C8" w:rsidP="005D6D41">
            <w:pPr>
              <w:spacing w:after="0" w:line="240" w:lineRule="auto"/>
              <w:jc w:val="both"/>
              <w:rPr>
                <w:rFonts w:ascii="Arial" w:eastAsia="Times New Roman" w:hAnsi="Arial" w:cs="Arial"/>
                <w:bCs/>
                <w:color w:val="000000"/>
                <w:sz w:val="18"/>
                <w:szCs w:val="18"/>
                <w:lang w:eastAsia="fr-FR"/>
              </w:rPr>
            </w:pPr>
          </w:p>
          <w:p w14:paraId="520987A2"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 xml:space="preserve">Assure la coordination de la mise en œuvre du PGES </w:t>
            </w:r>
          </w:p>
          <w:p w14:paraId="52A537D4"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Planifie et supervise la conformité de l’exécution des mesures environnementales et sociales par rapport aux dispositions du PGES et des textes de loi.</w:t>
            </w:r>
          </w:p>
          <w:p w14:paraId="275BA206"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Assure que les mesures qui doivent être mises en œuvre par les entreprises lors des travaux soient intégrées dans les DAO</w:t>
            </w:r>
          </w:p>
          <w:p w14:paraId="01638A23"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Supervise les travaux de surveillance environnementale faite par le Bureau d’étude</w:t>
            </w:r>
          </w:p>
        </w:tc>
        <w:tc>
          <w:tcPr>
            <w:tcW w:w="4017" w:type="dxa"/>
            <w:shd w:val="clear" w:color="auto" w:fill="auto"/>
            <w:hideMark/>
          </w:tcPr>
          <w:p w14:paraId="62B71EE7"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Les spécialistes : en gestion des risques environnementaux, en gestion des risques sociaux, et VBG auront pour mission de :</w:t>
            </w:r>
          </w:p>
          <w:p w14:paraId="26297AFB" w14:textId="77777777" w:rsidR="00764D3E" w:rsidRPr="005D6D41" w:rsidRDefault="00764D3E" w:rsidP="005D6D41">
            <w:pPr>
              <w:pStyle w:val="Paragraphedeliste"/>
              <w:numPr>
                <w:ilvl w:val="0"/>
                <w:numId w:val="18"/>
              </w:numPr>
              <w:spacing w:after="0" w:line="240" w:lineRule="auto"/>
              <w:jc w:val="both"/>
              <w:rPr>
                <w:rFonts w:ascii="Arial" w:eastAsia="Times New Roman" w:hAnsi="Arial" w:cs="Arial"/>
                <w:bCs/>
                <w:sz w:val="18"/>
                <w:szCs w:val="18"/>
                <w:lang w:eastAsia="fr-FR"/>
              </w:rPr>
            </w:pPr>
            <w:r w:rsidRPr="005D6D41">
              <w:rPr>
                <w:rFonts w:ascii="Arial" w:eastAsia="Times New Roman" w:hAnsi="Arial" w:cs="Arial"/>
                <w:bCs/>
                <w:sz w:val="18"/>
                <w:szCs w:val="18"/>
                <w:lang w:eastAsia="fr-FR"/>
              </w:rPr>
              <w:t>Assurer la prise en compte et l’intégration de la dimension environnementale et sociale dans chaque phase du projet (de l’élaboration à l’exploitation), conformément au présent CGES</w:t>
            </w:r>
          </w:p>
          <w:p w14:paraId="205FC62D" w14:textId="77777777" w:rsidR="00764D3E" w:rsidRPr="005D6D41" w:rsidRDefault="00764D3E" w:rsidP="005D6D41">
            <w:pPr>
              <w:pStyle w:val="Paragraphedeliste"/>
              <w:numPr>
                <w:ilvl w:val="0"/>
                <w:numId w:val="18"/>
              </w:numPr>
              <w:spacing w:after="0" w:line="240" w:lineRule="auto"/>
              <w:jc w:val="both"/>
              <w:rPr>
                <w:rFonts w:ascii="Arial" w:eastAsia="Times New Roman" w:hAnsi="Arial" w:cs="Arial"/>
                <w:bCs/>
                <w:sz w:val="18"/>
                <w:szCs w:val="18"/>
                <w:lang w:eastAsia="fr-FR"/>
              </w:rPr>
            </w:pPr>
            <w:r w:rsidRPr="005D6D41">
              <w:rPr>
                <w:rFonts w:ascii="Arial" w:eastAsia="Times New Roman" w:hAnsi="Arial" w:cs="Arial"/>
                <w:bCs/>
                <w:sz w:val="18"/>
                <w:szCs w:val="18"/>
                <w:lang w:eastAsia="fr-FR"/>
              </w:rPr>
              <w:t>Superviser la mise en œuvre des instruments des gestions environnementale et sociale du projet (incluant le PGES et le PR)</w:t>
            </w:r>
          </w:p>
          <w:p w14:paraId="154281C5" w14:textId="77777777" w:rsidR="00764D3E" w:rsidRPr="005D6D41" w:rsidRDefault="00764D3E" w:rsidP="005D6D41">
            <w:pPr>
              <w:pStyle w:val="Paragraphedeliste"/>
              <w:numPr>
                <w:ilvl w:val="0"/>
                <w:numId w:val="18"/>
              </w:numPr>
              <w:spacing w:after="0" w:line="240" w:lineRule="auto"/>
              <w:jc w:val="both"/>
              <w:rPr>
                <w:rFonts w:ascii="Arial" w:eastAsia="Times New Roman" w:hAnsi="Arial" w:cs="Arial"/>
                <w:bCs/>
                <w:sz w:val="18"/>
                <w:szCs w:val="18"/>
                <w:lang w:eastAsia="fr-FR"/>
              </w:rPr>
            </w:pPr>
            <w:r w:rsidRPr="005D6D41">
              <w:rPr>
                <w:rFonts w:ascii="Arial" w:eastAsia="Times New Roman" w:hAnsi="Arial" w:cs="Arial"/>
                <w:bCs/>
                <w:sz w:val="18"/>
                <w:szCs w:val="18"/>
                <w:lang w:eastAsia="fr-FR"/>
              </w:rPr>
              <w:t>Rédiger les manuels de sécurité pendant la phase d’exploitation</w:t>
            </w:r>
          </w:p>
        </w:tc>
      </w:tr>
      <w:tr w:rsidR="009814BA" w:rsidRPr="007F78CE" w14:paraId="200B935D" w14:textId="77777777" w:rsidTr="48B05EC0">
        <w:trPr>
          <w:trHeight w:val="1993"/>
        </w:trPr>
        <w:tc>
          <w:tcPr>
            <w:tcW w:w="2943" w:type="dxa"/>
            <w:tcBorders>
              <w:top w:val="single" w:sz="8" w:space="0" w:color="4F81BD"/>
              <w:left w:val="single" w:sz="8" w:space="0" w:color="4F81BD"/>
              <w:bottom w:val="single" w:sz="8" w:space="0" w:color="4F81BD"/>
            </w:tcBorders>
            <w:shd w:val="clear" w:color="auto" w:fill="auto"/>
          </w:tcPr>
          <w:p w14:paraId="47B6F103" w14:textId="77777777" w:rsidR="009814BA" w:rsidRPr="00742D67" w:rsidRDefault="009814BA" w:rsidP="005D6D41">
            <w:pPr>
              <w:spacing w:after="0" w:line="240" w:lineRule="auto"/>
              <w:jc w:val="both"/>
              <w:rPr>
                <w:rFonts w:ascii="Arial" w:eastAsia="Times New Roman" w:hAnsi="Arial" w:cs="Arial"/>
                <w:b/>
                <w:bCs/>
                <w:sz w:val="18"/>
                <w:szCs w:val="18"/>
                <w:lang w:eastAsia="fr-FR"/>
              </w:rPr>
            </w:pPr>
            <w:r w:rsidRPr="00742D67">
              <w:rPr>
                <w:rFonts w:ascii="Arial" w:eastAsia="Times New Roman" w:hAnsi="Arial" w:cs="Arial"/>
                <w:sz w:val="18"/>
                <w:szCs w:val="18"/>
                <w:lang w:eastAsia="fr-FR"/>
              </w:rPr>
              <w:t xml:space="preserve">Intermédiaires financiers </w:t>
            </w:r>
          </w:p>
        </w:tc>
        <w:tc>
          <w:tcPr>
            <w:tcW w:w="3213" w:type="dxa"/>
            <w:tcBorders>
              <w:top w:val="single" w:sz="8" w:space="0" w:color="4F81BD"/>
              <w:bottom w:val="single" w:sz="8" w:space="0" w:color="4F81BD"/>
            </w:tcBorders>
            <w:shd w:val="clear" w:color="auto" w:fill="auto"/>
          </w:tcPr>
          <w:p w14:paraId="5048DE93" w14:textId="77777777" w:rsidR="009814BA" w:rsidRPr="00F01166" w:rsidRDefault="009814BA" w:rsidP="005D6D41">
            <w:pPr>
              <w:spacing w:after="0" w:line="240" w:lineRule="auto"/>
              <w:jc w:val="both"/>
              <w:rPr>
                <w:rFonts w:ascii="Arial" w:eastAsia="Times New Roman" w:hAnsi="Arial" w:cs="Arial"/>
                <w:bCs/>
                <w:sz w:val="18"/>
                <w:szCs w:val="18"/>
                <w:lang w:eastAsia="fr-FR"/>
              </w:rPr>
            </w:pPr>
            <w:r w:rsidRPr="00F01166">
              <w:rPr>
                <w:rFonts w:ascii="Arial" w:eastAsia="Times New Roman" w:hAnsi="Arial" w:cs="Arial"/>
                <w:bCs/>
                <w:sz w:val="18"/>
                <w:szCs w:val="18"/>
                <w:lang w:eastAsia="fr-FR"/>
              </w:rPr>
              <w:t xml:space="preserve">Assure que la dimension environnementale et sociale soit considérée à chaque phase du sous projet </w:t>
            </w:r>
          </w:p>
          <w:p w14:paraId="168F891E" w14:textId="77777777" w:rsidR="009814BA" w:rsidRPr="00F01166" w:rsidRDefault="009814BA" w:rsidP="005D6D41">
            <w:pPr>
              <w:spacing w:after="0" w:line="240" w:lineRule="auto"/>
              <w:jc w:val="both"/>
              <w:rPr>
                <w:rFonts w:ascii="Arial" w:eastAsia="Times New Roman" w:hAnsi="Arial" w:cs="Arial"/>
                <w:bCs/>
                <w:sz w:val="18"/>
                <w:szCs w:val="18"/>
                <w:lang w:eastAsia="fr-FR"/>
              </w:rPr>
            </w:pPr>
            <w:r w:rsidRPr="00F01166">
              <w:rPr>
                <w:rFonts w:ascii="Arial" w:eastAsia="Times New Roman" w:hAnsi="Arial" w:cs="Arial"/>
                <w:bCs/>
                <w:sz w:val="18"/>
                <w:szCs w:val="18"/>
                <w:lang w:eastAsia="fr-FR"/>
              </w:rPr>
              <w:t>Coordonne la mise en œuvre du PGES pour le cas des sous projet</w:t>
            </w:r>
            <w:r w:rsidR="00BD65CD" w:rsidRPr="00F01166">
              <w:rPr>
                <w:rFonts w:ascii="Arial" w:eastAsia="Times New Roman" w:hAnsi="Arial" w:cs="Arial"/>
                <w:bCs/>
                <w:sz w:val="18"/>
                <w:szCs w:val="18"/>
                <w:lang w:eastAsia="fr-FR"/>
              </w:rPr>
              <w:t>s</w:t>
            </w:r>
            <w:r w:rsidRPr="00F01166">
              <w:rPr>
                <w:rFonts w:ascii="Arial" w:eastAsia="Times New Roman" w:hAnsi="Arial" w:cs="Arial"/>
                <w:bCs/>
                <w:sz w:val="18"/>
                <w:szCs w:val="18"/>
                <w:lang w:eastAsia="fr-FR"/>
              </w:rPr>
              <w:t xml:space="preserve"> d’IF</w:t>
            </w:r>
          </w:p>
          <w:p w14:paraId="1B8C03F7" w14:textId="77777777" w:rsidR="009814BA" w:rsidRPr="00F01166" w:rsidRDefault="009814BA" w:rsidP="005D6D41">
            <w:pPr>
              <w:spacing w:after="0" w:line="240" w:lineRule="auto"/>
              <w:jc w:val="both"/>
              <w:rPr>
                <w:rFonts w:ascii="Arial" w:eastAsia="Times New Roman" w:hAnsi="Arial" w:cs="Arial"/>
                <w:bCs/>
                <w:sz w:val="18"/>
                <w:szCs w:val="18"/>
                <w:lang w:eastAsia="fr-FR"/>
              </w:rPr>
            </w:pPr>
            <w:r w:rsidRPr="00F01166">
              <w:rPr>
                <w:rFonts w:ascii="Arial" w:eastAsia="Times New Roman" w:hAnsi="Arial" w:cs="Arial"/>
                <w:bCs/>
                <w:sz w:val="18"/>
                <w:szCs w:val="18"/>
                <w:lang w:eastAsia="fr-FR"/>
              </w:rPr>
              <w:t>Faire des suivis des risques environnementaux et sociaux</w:t>
            </w:r>
          </w:p>
        </w:tc>
        <w:tc>
          <w:tcPr>
            <w:tcW w:w="4017" w:type="dxa"/>
            <w:tcBorders>
              <w:top w:val="single" w:sz="8" w:space="0" w:color="4F81BD"/>
              <w:bottom w:val="single" w:sz="8" w:space="0" w:color="4F81BD"/>
              <w:right w:val="single" w:sz="8" w:space="0" w:color="4F81BD"/>
            </w:tcBorders>
            <w:shd w:val="clear" w:color="auto" w:fill="auto"/>
          </w:tcPr>
          <w:p w14:paraId="6580D9D1" w14:textId="77777777" w:rsidR="009814BA" w:rsidRPr="00F01166" w:rsidRDefault="00034C74" w:rsidP="005D6D41">
            <w:pPr>
              <w:spacing w:after="0" w:line="240" w:lineRule="auto"/>
              <w:jc w:val="both"/>
              <w:rPr>
                <w:rFonts w:ascii="Arial" w:hAnsi="Arial" w:cs="Arial"/>
                <w:sz w:val="18"/>
                <w:szCs w:val="18"/>
              </w:rPr>
            </w:pPr>
            <w:r w:rsidRPr="00F01166">
              <w:rPr>
                <w:rFonts w:ascii="Arial" w:eastAsia="Times New Roman" w:hAnsi="Arial" w:cs="Arial"/>
                <w:bCs/>
                <w:sz w:val="18"/>
                <w:szCs w:val="18"/>
                <w:lang w:eastAsia="fr-FR"/>
              </w:rPr>
              <w:t xml:space="preserve">L’IF désignera un </w:t>
            </w:r>
            <w:r w:rsidRPr="00F01166">
              <w:rPr>
                <w:rFonts w:ascii="Arial" w:hAnsi="Arial" w:cs="Arial"/>
                <w:sz w:val="18"/>
                <w:szCs w:val="18"/>
              </w:rPr>
              <w:t xml:space="preserve">responsable pour assurer la performance globale de ses sous-projets sur le plan environnemental et social. Son rôle et de veiller à ce que :  </w:t>
            </w:r>
          </w:p>
          <w:p w14:paraId="1B3124E2" w14:textId="77777777" w:rsidR="00034C74" w:rsidRPr="00F01166" w:rsidRDefault="00034C74" w:rsidP="005D6D41">
            <w:pPr>
              <w:autoSpaceDE w:val="0"/>
              <w:autoSpaceDN w:val="0"/>
              <w:adjustRightInd w:val="0"/>
              <w:spacing w:after="0" w:line="240" w:lineRule="auto"/>
              <w:rPr>
                <w:rFonts w:ascii="Arial" w:eastAsia="Times New Roman" w:hAnsi="Arial" w:cs="Arial"/>
                <w:b/>
                <w:smallCaps/>
                <w:sz w:val="18"/>
                <w:szCs w:val="18"/>
              </w:rPr>
            </w:pPr>
          </w:p>
          <w:p w14:paraId="4760B28A" w14:textId="77777777" w:rsidR="00034C74" w:rsidRPr="00F01166" w:rsidRDefault="00034C74" w:rsidP="0044500E">
            <w:pPr>
              <w:pStyle w:val="Paragraphedeliste"/>
              <w:numPr>
                <w:ilvl w:val="0"/>
                <w:numId w:val="182"/>
              </w:numPr>
              <w:autoSpaceDE w:val="0"/>
              <w:autoSpaceDN w:val="0"/>
              <w:adjustRightInd w:val="0"/>
              <w:spacing w:after="0" w:line="240" w:lineRule="auto"/>
              <w:rPr>
                <w:rFonts w:ascii="Arial" w:eastAsia="Times New Roman" w:hAnsi="Arial" w:cs="Arial"/>
                <w:bCs/>
                <w:color w:val="auto"/>
                <w:sz w:val="18"/>
                <w:szCs w:val="18"/>
                <w:lang w:eastAsia="fr-FR"/>
              </w:rPr>
            </w:pPr>
            <w:r w:rsidRPr="00F01166">
              <w:rPr>
                <w:rFonts w:ascii="Arial" w:hAnsi="Arial" w:cs="Arial"/>
                <w:color w:val="auto"/>
                <w:sz w:val="18"/>
                <w:szCs w:val="18"/>
              </w:rPr>
              <w:t>Des ressources suffisantes soient disponibles pour la gestion environnementales et sociales et les formations à dispenser à cet égard</w:t>
            </w:r>
          </w:p>
          <w:p w14:paraId="63AE3A10" w14:textId="77777777" w:rsidR="00034C74" w:rsidRPr="00F01166" w:rsidRDefault="00034C74" w:rsidP="0044500E">
            <w:pPr>
              <w:pStyle w:val="Paragraphedeliste"/>
              <w:numPr>
                <w:ilvl w:val="0"/>
                <w:numId w:val="182"/>
              </w:numPr>
              <w:autoSpaceDE w:val="0"/>
              <w:autoSpaceDN w:val="0"/>
              <w:adjustRightInd w:val="0"/>
              <w:spacing w:after="0" w:line="240" w:lineRule="auto"/>
              <w:rPr>
                <w:rFonts w:ascii="Arial" w:eastAsia="Times New Roman" w:hAnsi="Arial" w:cs="Arial"/>
                <w:bCs/>
                <w:color w:val="auto"/>
                <w:sz w:val="18"/>
                <w:szCs w:val="18"/>
                <w:lang w:eastAsia="fr-FR"/>
              </w:rPr>
            </w:pPr>
            <w:r w:rsidRPr="00F01166">
              <w:rPr>
                <w:rFonts w:ascii="Arial" w:hAnsi="Arial" w:cs="Arial"/>
                <w:color w:val="auto"/>
                <w:sz w:val="18"/>
                <w:szCs w:val="18"/>
              </w:rPr>
              <w:t>Des experts compétents, internes ou externes, soient mis à disposition pour effectuer les vérifications préalables et gérer les risques et effets environnementaux et sociaux des sous-projets d’IF, notamment en fournissant un appui à la mise en œuvre selon les besoins.</w:t>
            </w:r>
          </w:p>
          <w:p w14:paraId="2DF6612A" w14:textId="77777777" w:rsidR="00034C74" w:rsidRPr="00F01166" w:rsidRDefault="00034C74" w:rsidP="005D6D41">
            <w:pPr>
              <w:autoSpaceDE w:val="0"/>
              <w:autoSpaceDN w:val="0"/>
              <w:adjustRightInd w:val="0"/>
              <w:spacing w:after="0" w:line="240" w:lineRule="auto"/>
              <w:rPr>
                <w:rFonts w:ascii="Arial" w:hAnsi="Arial" w:cs="Arial"/>
                <w:sz w:val="18"/>
                <w:szCs w:val="18"/>
              </w:rPr>
            </w:pPr>
          </w:p>
          <w:p w14:paraId="5FFA4A91" w14:textId="77777777" w:rsidR="00034C74" w:rsidRPr="00F01166" w:rsidRDefault="00034C74" w:rsidP="005D6D41">
            <w:pPr>
              <w:autoSpaceDE w:val="0"/>
              <w:autoSpaceDN w:val="0"/>
              <w:adjustRightInd w:val="0"/>
              <w:spacing w:after="0" w:line="240" w:lineRule="auto"/>
              <w:rPr>
                <w:rFonts w:ascii="Arial" w:eastAsia="Times New Roman" w:hAnsi="Arial" w:cs="Arial"/>
                <w:bCs/>
                <w:sz w:val="18"/>
                <w:szCs w:val="18"/>
                <w:lang w:eastAsia="fr-FR"/>
              </w:rPr>
            </w:pPr>
            <w:r w:rsidRPr="00F01166">
              <w:rPr>
                <w:rFonts w:ascii="Arial" w:hAnsi="Arial" w:cs="Arial"/>
                <w:sz w:val="18"/>
                <w:szCs w:val="18"/>
              </w:rPr>
              <w:t>Il y aura aussi un responsable pour la mise en œuvre des dispositions du SGES</w:t>
            </w:r>
          </w:p>
        </w:tc>
      </w:tr>
      <w:tr w:rsidR="0063584D" w:rsidRPr="007F78CE" w14:paraId="25A5CB6C" w14:textId="77777777" w:rsidTr="48B05EC0">
        <w:trPr>
          <w:trHeight w:val="2413"/>
        </w:trPr>
        <w:tc>
          <w:tcPr>
            <w:tcW w:w="2943" w:type="dxa"/>
            <w:shd w:val="clear" w:color="auto" w:fill="auto"/>
            <w:hideMark/>
          </w:tcPr>
          <w:p w14:paraId="772125D5" w14:textId="77777777" w:rsidR="00764D3E" w:rsidRPr="005D6D41" w:rsidRDefault="00764D3E" w:rsidP="005D6D41">
            <w:pPr>
              <w:spacing w:after="0" w:line="240" w:lineRule="auto"/>
              <w:jc w:val="both"/>
              <w:rPr>
                <w:rFonts w:ascii="Arial" w:eastAsia="Times New Roman" w:hAnsi="Arial" w:cs="Arial"/>
                <w:b/>
                <w:bCs/>
                <w:color w:val="000000"/>
                <w:sz w:val="18"/>
                <w:szCs w:val="18"/>
                <w:lang w:eastAsia="fr-FR"/>
              </w:rPr>
            </w:pPr>
            <w:r w:rsidRPr="005D6D41">
              <w:rPr>
                <w:rFonts w:ascii="Arial" w:eastAsia="Times New Roman" w:hAnsi="Arial" w:cs="Arial"/>
                <w:color w:val="000000"/>
                <w:sz w:val="18"/>
                <w:szCs w:val="18"/>
                <w:lang w:eastAsia="fr-FR"/>
              </w:rPr>
              <w:t>Bureau de contrôle (ou MDC)</w:t>
            </w:r>
          </w:p>
        </w:tc>
        <w:tc>
          <w:tcPr>
            <w:tcW w:w="3213" w:type="dxa"/>
            <w:vMerge w:val="restart"/>
            <w:shd w:val="clear" w:color="auto" w:fill="auto"/>
            <w:hideMark/>
          </w:tcPr>
          <w:p w14:paraId="4DB54E6B"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Contrôle quotidiennement l’exécution des mesures faites par les entreprises</w:t>
            </w:r>
          </w:p>
          <w:p w14:paraId="3F8E4A65"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color w:val="000000"/>
                <w:sz w:val="18"/>
                <w:szCs w:val="18"/>
                <w:lang w:eastAsia="fr-FR"/>
              </w:rPr>
              <w:t xml:space="preserve">Rédige des rapports </w:t>
            </w:r>
            <w:r w:rsidR="3851E728" w:rsidRPr="005D6D41">
              <w:rPr>
                <w:rFonts w:ascii="Arial" w:eastAsia="Times New Roman" w:hAnsi="Arial" w:cs="Arial"/>
                <w:color w:val="000000"/>
                <w:sz w:val="18"/>
                <w:szCs w:val="18"/>
                <w:lang w:eastAsia="fr-FR"/>
              </w:rPr>
              <w:t xml:space="preserve">mensuels et </w:t>
            </w:r>
            <w:r w:rsidRPr="005D6D41">
              <w:rPr>
                <w:rFonts w:ascii="Arial" w:eastAsia="Times New Roman" w:hAnsi="Arial" w:cs="Arial"/>
                <w:color w:val="000000"/>
                <w:sz w:val="18"/>
                <w:szCs w:val="18"/>
                <w:lang w:eastAsia="fr-FR"/>
              </w:rPr>
              <w:t>trimestriels sur l’exécution des clauses environnementales et sociales par les entreprises.</w:t>
            </w:r>
          </w:p>
          <w:p w14:paraId="50C8D144" w14:textId="77777777" w:rsidR="00764D3E" w:rsidRPr="005D6D41" w:rsidRDefault="003A6A50" w:rsidP="005D6D41">
            <w:pPr>
              <w:spacing w:after="0" w:line="240" w:lineRule="auto"/>
              <w:jc w:val="both"/>
              <w:rPr>
                <w:rFonts w:ascii="Arial" w:eastAsia="Times New Roman" w:hAnsi="Arial" w:cs="Arial"/>
                <w:bCs/>
                <w:color w:val="000000"/>
                <w:sz w:val="18"/>
                <w:szCs w:val="18"/>
                <w:lang w:eastAsia="fr-FR"/>
              </w:rPr>
            </w:pPr>
            <w:r>
              <w:rPr>
                <w:rFonts w:ascii="Arial" w:eastAsia="Times New Roman" w:hAnsi="Arial" w:cs="Arial"/>
                <w:bCs/>
                <w:color w:val="000000"/>
                <w:sz w:val="18"/>
                <w:szCs w:val="18"/>
                <w:lang w:eastAsia="fr-FR"/>
              </w:rPr>
              <w:t>S’assurer de la mise</w:t>
            </w:r>
            <w:r w:rsidR="00764D3E" w:rsidRPr="005D6D41">
              <w:rPr>
                <w:rFonts w:ascii="Arial" w:eastAsia="Times New Roman" w:hAnsi="Arial" w:cs="Arial"/>
                <w:bCs/>
                <w:color w:val="000000"/>
                <w:sz w:val="18"/>
                <w:szCs w:val="18"/>
                <w:lang w:eastAsia="fr-FR"/>
              </w:rPr>
              <w:t xml:space="preserve"> en œuvre les mesures d’atténuation des impacts décrits dans le PGES</w:t>
            </w:r>
          </w:p>
        </w:tc>
        <w:tc>
          <w:tcPr>
            <w:tcW w:w="4017" w:type="dxa"/>
            <w:shd w:val="clear" w:color="auto" w:fill="auto"/>
            <w:hideMark/>
          </w:tcPr>
          <w:p w14:paraId="43110FF8"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 xml:space="preserve">Le Bureau de contrôle doit avoir un Responsable environnemental afin de : </w:t>
            </w:r>
          </w:p>
          <w:p w14:paraId="009E7703" w14:textId="77777777" w:rsidR="00764D3E" w:rsidRPr="005D6D41" w:rsidRDefault="00764D3E" w:rsidP="005D6D41">
            <w:pPr>
              <w:pStyle w:val="Paragraphedeliste"/>
              <w:numPr>
                <w:ilvl w:val="0"/>
                <w:numId w:val="19"/>
              </w:numPr>
              <w:spacing w:after="0" w:line="240" w:lineRule="auto"/>
              <w:jc w:val="both"/>
              <w:rPr>
                <w:rFonts w:ascii="Arial" w:eastAsia="Times New Roman" w:hAnsi="Arial" w:cs="Arial"/>
                <w:bCs/>
                <w:sz w:val="18"/>
                <w:szCs w:val="18"/>
                <w:lang w:eastAsia="fr-FR"/>
              </w:rPr>
            </w:pPr>
            <w:r w:rsidRPr="005D6D41">
              <w:rPr>
                <w:rFonts w:ascii="Arial" w:eastAsia="Times New Roman" w:hAnsi="Arial" w:cs="Arial"/>
                <w:bCs/>
                <w:sz w:val="18"/>
                <w:szCs w:val="18"/>
                <w:lang w:eastAsia="fr-FR"/>
              </w:rPr>
              <w:t>Assurer la bonne mise en œuvre des mesures décrites dans les instruments de gestion des risques environnementaux et sociaux préparés selon le CGES à travers les indicateurs de performance</w:t>
            </w:r>
          </w:p>
          <w:p w14:paraId="5A48605E" w14:textId="77777777" w:rsidR="00764D3E" w:rsidRPr="005D6D41" w:rsidRDefault="00764D3E" w:rsidP="005D6D41">
            <w:pPr>
              <w:pStyle w:val="Paragraphedeliste"/>
              <w:numPr>
                <w:ilvl w:val="0"/>
                <w:numId w:val="19"/>
              </w:numPr>
              <w:spacing w:after="0" w:line="240" w:lineRule="auto"/>
              <w:jc w:val="both"/>
              <w:rPr>
                <w:rFonts w:ascii="Arial" w:eastAsia="Times New Roman" w:hAnsi="Arial" w:cs="Arial"/>
                <w:bCs/>
                <w:sz w:val="18"/>
                <w:szCs w:val="18"/>
                <w:lang w:eastAsia="fr-FR"/>
              </w:rPr>
            </w:pPr>
            <w:r w:rsidRPr="005D6D41">
              <w:rPr>
                <w:rFonts w:ascii="Arial" w:eastAsia="Times New Roman" w:hAnsi="Arial" w:cs="Arial"/>
                <w:bCs/>
                <w:sz w:val="18"/>
                <w:szCs w:val="18"/>
                <w:lang w:eastAsia="fr-FR"/>
              </w:rPr>
              <w:t>Proposer des mesures en cas d’identification de nouvel impact</w:t>
            </w:r>
          </w:p>
        </w:tc>
      </w:tr>
      <w:tr w:rsidR="0063584D" w:rsidRPr="007F78CE" w14:paraId="1275F449" w14:textId="77777777" w:rsidTr="48B05EC0">
        <w:trPr>
          <w:trHeight w:val="2263"/>
        </w:trPr>
        <w:tc>
          <w:tcPr>
            <w:tcW w:w="2943" w:type="dxa"/>
            <w:tcBorders>
              <w:top w:val="single" w:sz="8" w:space="0" w:color="4F81BD"/>
              <w:left w:val="single" w:sz="8" w:space="0" w:color="4F81BD"/>
              <w:bottom w:val="single" w:sz="8" w:space="0" w:color="4F81BD"/>
            </w:tcBorders>
            <w:shd w:val="clear" w:color="auto" w:fill="auto"/>
            <w:hideMark/>
          </w:tcPr>
          <w:p w14:paraId="6479A1EF" w14:textId="77777777" w:rsidR="00764D3E" w:rsidRPr="005D6D41" w:rsidRDefault="00764D3E" w:rsidP="005D6D41">
            <w:pPr>
              <w:spacing w:after="0" w:line="240" w:lineRule="auto"/>
              <w:jc w:val="both"/>
              <w:rPr>
                <w:rFonts w:ascii="Arial" w:eastAsia="Times New Roman" w:hAnsi="Arial" w:cs="Arial"/>
                <w:b/>
                <w:bCs/>
                <w:color w:val="000000"/>
                <w:sz w:val="18"/>
                <w:szCs w:val="18"/>
                <w:lang w:eastAsia="fr-FR"/>
              </w:rPr>
            </w:pPr>
            <w:r w:rsidRPr="005D6D41">
              <w:rPr>
                <w:rFonts w:ascii="Arial" w:eastAsia="Times New Roman" w:hAnsi="Arial" w:cs="Arial"/>
                <w:color w:val="000000"/>
                <w:sz w:val="18"/>
                <w:szCs w:val="18"/>
                <w:lang w:eastAsia="fr-FR"/>
              </w:rPr>
              <w:t xml:space="preserve">Entreprise </w:t>
            </w:r>
            <w:r w:rsidR="003A6A50">
              <w:rPr>
                <w:rFonts w:ascii="Arial" w:eastAsia="Times New Roman" w:hAnsi="Arial" w:cs="Arial"/>
                <w:color w:val="000000"/>
                <w:sz w:val="18"/>
                <w:szCs w:val="18"/>
                <w:lang w:eastAsia="fr-FR"/>
              </w:rPr>
              <w:t>contractante</w:t>
            </w:r>
          </w:p>
        </w:tc>
        <w:tc>
          <w:tcPr>
            <w:tcW w:w="3213" w:type="dxa"/>
            <w:vMerge/>
            <w:hideMark/>
          </w:tcPr>
          <w:p w14:paraId="29463467"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p>
        </w:tc>
        <w:tc>
          <w:tcPr>
            <w:tcW w:w="4017" w:type="dxa"/>
            <w:tcBorders>
              <w:top w:val="single" w:sz="8" w:space="0" w:color="4F81BD"/>
              <w:bottom w:val="single" w:sz="8" w:space="0" w:color="4F81BD"/>
              <w:right w:val="single" w:sz="8" w:space="0" w:color="4F81BD"/>
            </w:tcBorders>
            <w:shd w:val="clear" w:color="auto" w:fill="auto"/>
            <w:hideMark/>
          </w:tcPr>
          <w:p w14:paraId="05552073"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L’entreprise</w:t>
            </w:r>
            <w:r w:rsidR="003A6A50">
              <w:rPr>
                <w:rFonts w:ascii="Arial" w:eastAsia="Times New Roman" w:hAnsi="Arial" w:cs="Arial"/>
                <w:bCs/>
                <w:color w:val="000000"/>
                <w:sz w:val="18"/>
                <w:szCs w:val="18"/>
                <w:lang w:eastAsia="fr-FR"/>
              </w:rPr>
              <w:t xml:space="preserve"> contractante</w:t>
            </w:r>
            <w:r w:rsidRPr="005D6D41">
              <w:rPr>
                <w:rFonts w:ascii="Arial" w:eastAsia="Times New Roman" w:hAnsi="Arial" w:cs="Arial"/>
                <w:bCs/>
                <w:color w:val="000000"/>
                <w:sz w:val="18"/>
                <w:szCs w:val="18"/>
                <w:lang w:eastAsia="fr-FR"/>
              </w:rPr>
              <w:t xml:space="preserve"> doit recruter un responsable HSE qui a pour rôle : </w:t>
            </w:r>
          </w:p>
          <w:p w14:paraId="2DCA84C4" w14:textId="77777777" w:rsidR="008C6201" w:rsidRPr="005D6D41" w:rsidRDefault="008C6201" w:rsidP="005D6D41">
            <w:pPr>
              <w:spacing w:after="0" w:line="240" w:lineRule="auto"/>
              <w:jc w:val="both"/>
              <w:rPr>
                <w:rFonts w:ascii="Arial" w:eastAsia="Times New Roman" w:hAnsi="Arial" w:cs="Arial"/>
                <w:bCs/>
                <w:color w:val="000000"/>
                <w:sz w:val="18"/>
                <w:szCs w:val="18"/>
                <w:lang w:eastAsia="fr-FR"/>
              </w:rPr>
            </w:pPr>
          </w:p>
          <w:p w14:paraId="4D541464" w14:textId="77777777" w:rsidR="00764D3E" w:rsidRPr="005D6D41" w:rsidRDefault="00764D3E" w:rsidP="005D6D41">
            <w:pPr>
              <w:pStyle w:val="Paragraphedeliste"/>
              <w:numPr>
                <w:ilvl w:val="0"/>
                <w:numId w:val="17"/>
              </w:numPr>
              <w:spacing w:after="0" w:line="240" w:lineRule="auto"/>
              <w:jc w:val="both"/>
              <w:rPr>
                <w:rFonts w:ascii="Arial" w:eastAsia="Times New Roman" w:hAnsi="Arial" w:cs="Arial"/>
                <w:bCs/>
                <w:sz w:val="18"/>
                <w:szCs w:val="18"/>
                <w:lang w:eastAsia="fr-FR"/>
              </w:rPr>
            </w:pPr>
            <w:r w:rsidRPr="005D6D41">
              <w:rPr>
                <w:rFonts w:ascii="Arial" w:eastAsia="Times New Roman" w:hAnsi="Arial" w:cs="Arial"/>
                <w:bCs/>
                <w:sz w:val="18"/>
                <w:szCs w:val="18"/>
                <w:lang w:eastAsia="fr-FR"/>
              </w:rPr>
              <w:t xml:space="preserve">D’assurer le respect de </w:t>
            </w:r>
            <w:r w:rsidR="069D95B4" w:rsidRPr="005D6D41">
              <w:rPr>
                <w:rFonts w:ascii="Arial" w:eastAsia="Times New Roman" w:hAnsi="Arial" w:cs="Arial"/>
                <w:sz w:val="18"/>
                <w:szCs w:val="18"/>
                <w:lang w:eastAsia="fr-FR"/>
              </w:rPr>
              <w:t>procédur</w:t>
            </w:r>
            <w:r w:rsidRPr="005D6D41">
              <w:rPr>
                <w:rFonts w:ascii="Arial" w:eastAsia="Times New Roman" w:hAnsi="Arial" w:cs="Arial"/>
                <w:sz w:val="18"/>
                <w:szCs w:val="18"/>
                <w:lang w:eastAsia="fr-FR"/>
              </w:rPr>
              <w:t>es</w:t>
            </w:r>
            <w:r w:rsidRPr="005D6D41">
              <w:rPr>
                <w:rFonts w:ascii="Arial" w:eastAsia="Times New Roman" w:hAnsi="Arial" w:cs="Arial"/>
                <w:bCs/>
                <w:sz w:val="18"/>
                <w:szCs w:val="18"/>
                <w:lang w:eastAsia="fr-FR"/>
              </w:rPr>
              <w:t xml:space="preserve"> environnementales </w:t>
            </w:r>
            <w:r w:rsidR="3D004D8E" w:rsidRPr="005D6D41">
              <w:rPr>
                <w:rFonts w:ascii="Arial" w:eastAsia="Times New Roman" w:hAnsi="Arial" w:cs="Arial"/>
                <w:sz w:val="18"/>
                <w:szCs w:val="18"/>
                <w:lang w:eastAsia="fr-FR"/>
              </w:rPr>
              <w:t xml:space="preserve">et sociales </w:t>
            </w:r>
            <w:r w:rsidRPr="005D6D41">
              <w:rPr>
                <w:rFonts w:ascii="Arial" w:eastAsia="Times New Roman" w:hAnsi="Arial" w:cs="Arial"/>
                <w:bCs/>
                <w:sz w:val="18"/>
                <w:szCs w:val="18"/>
                <w:lang w:eastAsia="fr-FR"/>
              </w:rPr>
              <w:t>de l’entreprise,</w:t>
            </w:r>
          </w:p>
          <w:p w14:paraId="2D9F1B38" w14:textId="77777777" w:rsidR="00764D3E" w:rsidRPr="005D6D41" w:rsidRDefault="00764D3E" w:rsidP="005D6D41">
            <w:pPr>
              <w:pStyle w:val="Paragraphedeliste"/>
              <w:numPr>
                <w:ilvl w:val="0"/>
                <w:numId w:val="17"/>
              </w:numPr>
              <w:spacing w:after="0" w:line="240" w:lineRule="auto"/>
              <w:jc w:val="both"/>
              <w:rPr>
                <w:rFonts w:ascii="Arial" w:eastAsia="Times New Roman" w:hAnsi="Arial" w:cs="Arial"/>
                <w:bCs/>
                <w:sz w:val="18"/>
                <w:szCs w:val="18"/>
                <w:lang w:eastAsia="fr-FR"/>
              </w:rPr>
            </w:pPr>
            <w:r w:rsidRPr="005D6D41">
              <w:rPr>
                <w:rFonts w:ascii="Arial" w:eastAsia="Times New Roman" w:hAnsi="Arial" w:cs="Arial"/>
                <w:bCs/>
                <w:sz w:val="18"/>
                <w:szCs w:val="18"/>
                <w:lang w:eastAsia="fr-FR"/>
              </w:rPr>
              <w:t>D’assurer le respect des mesures décrites dans les instruments de gestion des risques environnementaux et sociaux préparés</w:t>
            </w:r>
            <w:r w:rsidR="6718FB55" w:rsidRPr="005D6D41">
              <w:rPr>
                <w:rFonts w:ascii="Arial" w:eastAsia="Times New Roman" w:hAnsi="Arial" w:cs="Arial"/>
                <w:sz w:val="18"/>
                <w:szCs w:val="18"/>
                <w:lang w:eastAsia="fr-FR"/>
              </w:rPr>
              <w:t>,</w:t>
            </w:r>
            <w:r w:rsidRPr="005D6D41">
              <w:rPr>
                <w:rFonts w:ascii="Arial" w:eastAsia="Times New Roman" w:hAnsi="Arial" w:cs="Arial"/>
                <w:bCs/>
                <w:sz w:val="18"/>
                <w:szCs w:val="18"/>
                <w:lang w:eastAsia="fr-FR"/>
              </w:rPr>
              <w:t xml:space="preserve"> </w:t>
            </w:r>
            <w:r w:rsidR="6088E599" w:rsidRPr="005D6D41">
              <w:rPr>
                <w:rFonts w:ascii="Arial" w:eastAsia="Times New Roman" w:hAnsi="Arial" w:cs="Arial"/>
                <w:sz w:val="18"/>
                <w:szCs w:val="18"/>
                <w:lang w:eastAsia="fr-FR"/>
              </w:rPr>
              <w:t>c’est à dire le</w:t>
            </w:r>
            <w:r w:rsidRPr="005D6D41">
              <w:rPr>
                <w:rFonts w:ascii="Arial" w:eastAsia="Times New Roman" w:hAnsi="Arial" w:cs="Arial"/>
                <w:bCs/>
                <w:sz w:val="18"/>
                <w:szCs w:val="18"/>
                <w:lang w:eastAsia="fr-FR"/>
              </w:rPr>
              <w:t xml:space="preserve"> PGES de l’entreprise, </w:t>
            </w:r>
            <w:r w:rsidR="75A8CC5E" w:rsidRPr="005D6D41">
              <w:rPr>
                <w:rFonts w:ascii="Arial" w:eastAsia="Times New Roman" w:hAnsi="Arial" w:cs="Arial"/>
                <w:sz w:val="18"/>
                <w:szCs w:val="18"/>
                <w:lang w:eastAsia="fr-FR"/>
              </w:rPr>
              <w:t>PEES, etc</w:t>
            </w:r>
          </w:p>
          <w:p w14:paraId="4BE3F37B" w14:textId="77777777" w:rsidR="00764D3E" w:rsidRPr="005D6D41" w:rsidRDefault="00764D3E" w:rsidP="005D6D41">
            <w:pPr>
              <w:pStyle w:val="Paragraphedeliste"/>
              <w:numPr>
                <w:ilvl w:val="0"/>
                <w:numId w:val="17"/>
              </w:numPr>
              <w:spacing w:after="0" w:line="240" w:lineRule="auto"/>
              <w:jc w:val="both"/>
              <w:rPr>
                <w:rFonts w:ascii="Arial" w:eastAsia="Times New Roman" w:hAnsi="Arial" w:cs="Arial"/>
                <w:bCs/>
                <w:sz w:val="18"/>
                <w:szCs w:val="18"/>
                <w:lang w:eastAsia="fr-FR"/>
              </w:rPr>
            </w:pPr>
            <w:r w:rsidRPr="005D6D41">
              <w:rPr>
                <w:rFonts w:ascii="Arial" w:eastAsia="Times New Roman" w:hAnsi="Arial" w:cs="Arial"/>
                <w:bCs/>
                <w:sz w:val="18"/>
                <w:szCs w:val="18"/>
                <w:lang w:eastAsia="fr-FR"/>
              </w:rPr>
              <w:t>D’informer les employés sur les différents risques et accidents probables durant les phases de travaux</w:t>
            </w:r>
          </w:p>
          <w:p w14:paraId="0300A21C" w14:textId="77777777" w:rsidR="00764D3E" w:rsidRPr="005D6D41" w:rsidRDefault="00764D3E" w:rsidP="005D6D41">
            <w:pPr>
              <w:pStyle w:val="Paragraphedeliste"/>
              <w:numPr>
                <w:ilvl w:val="0"/>
                <w:numId w:val="17"/>
              </w:numPr>
              <w:spacing w:after="0" w:line="240" w:lineRule="auto"/>
              <w:jc w:val="both"/>
              <w:rPr>
                <w:rFonts w:ascii="Arial" w:eastAsia="Times New Roman" w:hAnsi="Arial" w:cs="Arial"/>
                <w:bCs/>
                <w:sz w:val="18"/>
                <w:szCs w:val="18"/>
                <w:lang w:eastAsia="fr-FR"/>
              </w:rPr>
            </w:pPr>
            <w:r w:rsidRPr="005D6D41">
              <w:rPr>
                <w:rFonts w:ascii="Arial" w:eastAsia="Times New Roman" w:hAnsi="Arial" w:cs="Arial"/>
                <w:bCs/>
                <w:sz w:val="18"/>
                <w:szCs w:val="18"/>
                <w:lang w:eastAsia="fr-FR"/>
              </w:rPr>
              <w:t>Faire respecter les mesures de sécurité prise par l’entreprise à tous les employés du chantier</w:t>
            </w:r>
          </w:p>
          <w:p w14:paraId="4A57B947" w14:textId="77777777" w:rsidR="00764D3E" w:rsidRPr="005D6D41" w:rsidRDefault="00764D3E" w:rsidP="005D6D41">
            <w:pPr>
              <w:pStyle w:val="Paragraphedeliste"/>
              <w:numPr>
                <w:ilvl w:val="0"/>
                <w:numId w:val="17"/>
              </w:numPr>
              <w:spacing w:after="0" w:line="240" w:lineRule="auto"/>
              <w:jc w:val="both"/>
              <w:rPr>
                <w:rFonts w:ascii="Arial" w:eastAsia="Times New Roman" w:hAnsi="Arial" w:cs="Arial"/>
                <w:bCs/>
                <w:sz w:val="18"/>
                <w:szCs w:val="18"/>
                <w:lang w:eastAsia="fr-FR"/>
              </w:rPr>
            </w:pPr>
            <w:r w:rsidRPr="005D6D41">
              <w:rPr>
                <w:rFonts w:ascii="Arial" w:eastAsia="Times New Roman" w:hAnsi="Arial" w:cs="Arial"/>
                <w:bCs/>
                <w:sz w:val="18"/>
                <w:szCs w:val="18"/>
                <w:lang w:eastAsia="fr-FR"/>
              </w:rPr>
              <w:t>Former les employés sur les bonnes pratiques environnementales et sociales</w:t>
            </w:r>
          </w:p>
          <w:p w14:paraId="226BBFF9" w14:textId="77777777" w:rsidR="00764D3E" w:rsidRPr="005D6D41" w:rsidRDefault="00764D3E" w:rsidP="005D6D41">
            <w:pPr>
              <w:pStyle w:val="Paragraphedeliste"/>
              <w:numPr>
                <w:ilvl w:val="0"/>
                <w:numId w:val="17"/>
              </w:numPr>
              <w:spacing w:after="0" w:line="240" w:lineRule="auto"/>
              <w:jc w:val="both"/>
              <w:rPr>
                <w:rFonts w:ascii="Arial" w:eastAsia="Times New Roman" w:hAnsi="Arial" w:cs="Arial"/>
                <w:bCs/>
                <w:sz w:val="18"/>
                <w:szCs w:val="18"/>
                <w:lang w:eastAsia="fr-FR"/>
              </w:rPr>
            </w:pPr>
            <w:r w:rsidRPr="005D6D41">
              <w:rPr>
                <w:rFonts w:ascii="Arial" w:eastAsia="Times New Roman" w:hAnsi="Arial" w:cs="Arial"/>
                <w:bCs/>
                <w:sz w:val="18"/>
                <w:szCs w:val="18"/>
                <w:lang w:eastAsia="fr-FR"/>
              </w:rPr>
              <w:t>Recueillir les fiches de non-conformité environnementale</w:t>
            </w:r>
          </w:p>
          <w:p w14:paraId="1AB08282" w14:textId="77777777" w:rsidR="00764D3E" w:rsidRPr="005D6D41" w:rsidRDefault="00764D3E" w:rsidP="005D6D41">
            <w:pPr>
              <w:pStyle w:val="Paragraphedeliste"/>
              <w:numPr>
                <w:ilvl w:val="0"/>
                <w:numId w:val="17"/>
              </w:numPr>
              <w:spacing w:after="0" w:line="240" w:lineRule="auto"/>
              <w:jc w:val="both"/>
              <w:rPr>
                <w:rFonts w:ascii="Arial" w:eastAsia="Times New Roman" w:hAnsi="Arial" w:cs="Arial"/>
                <w:bCs/>
                <w:sz w:val="18"/>
                <w:szCs w:val="18"/>
                <w:lang w:eastAsia="fr-FR"/>
              </w:rPr>
            </w:pPr>
            <w:r w:rsidRPr="005D6D41">
              <w:rPr>
                <w:rFonts w:ascii="Arial" w:eastAsia="Times New Roman" w:hAnsi="Arial" w:cs="Arial"/>
                <w:bCs/>
                <w:sz w:val="18"/>
                <w:szCs w:val="18"/>
                <w:lang w:eastAsia="fr-FR"/>
              </w:rPr>
              <w:t>Etablir les rapports environnementaux et sociaux</w:t>
            </w:r>
          </w:p>
          <w:p w14:paraId="008B80E9" w14:textId="77777777" w:rsidR="00764D3E" w:rsidRPr="005D6D41" w:rsidRDefault="00764D3E" w:rsidP="005D6D41">
            <w:pPr>
              <w:pStyle w:val="Paragraphedeliste"/>
              <w:numPr>
                <w:ilvl w:val="0"/>
                <w:numId w:val="17"/>
              </w:numPr>
              <w:spacing w:after="0" w:line="240" w:lineRule="auto"/>
              <w:jc w:val="both"/>
              <w:rPr>
                <w:rFonts w:ascii="Arial" w:eastAsia="Times New Roman" w:hAnsi="Arial" w:cs="Arial"/>
                <w:bCs/>
                <w:sz w:val="18"/>
                <w:szCs w:val="18"/>
                <w:lang w:eastAsia="fr-FR"/>
              </w:rPr>
            </w:pPr>
            <w:r w:rsidRPr="005D6D41">
              <w:rPr>
                <w:rFonts w:ascii="Arial" w:eastAsia="Times New Roman" w:hAnsi="Arial" w:cs="Arial"/>
                <w:bCs/>
                <w:sz w:val="18"/>
                <w:szCs w:val="18"/>
                <w:lang w:eastAsia="fr-FR"/>
              </w:rPr>
              <w:t>Un responsable de communication qui a pour tâche de :</w:t>
            </w:r>
          </w:p>
          <w:p w14:paraId="02DD094B" w14:textId="77777777" w:rsidR="00764D3E" w:rsidRPr="005D6D41" w:rsidRDefault="1133C7F7" w:rsidP="005D6D41">
            <w:pPr>
              <w:pStyle w:val="Paragraphedeliste"/>
              <w:numPr>
                <w:ilvl w:val="0"/>
                <w:numId w:val="17"/>
              </w:numPr>
              <w:spacing w:after="0" w:line="240" w:lineRule="auto"/>
              <w:jc w:val="both"/>
              <w:rPr>
                <w:rFonts w:ascii="Arial" w:eastAsia="Times New Roman" w:hAnsi="Arial" w:cs="Arial"/>
                <w:bCs/>
                <w:sz w:val="18"/>
                <w:szCs w:val="18"/>
                <w:lang w:eastAsia="fr-FR"/>
              </w:rPr>
            </w:pPr>
            <w:r w:rsidRPr="005D6D41">
              <w:rPr>
                <w:rFonts w:ascii="Arial" w:eastAsia="Times New Roman" w:hAnsi="Arial" w:cs="Arial"/>
                <w:sz w:val="18"/>
                <w:szCs w:val="18"/>
                <w:lang w:eastAsia="fr-FR"/>
              </w:rPr>
              <w:t>Être</w:t>
            </w:r>
            <w:r w:rsidR="00764D3E" w:rsidRPr="005D6D41">
              <w:rPr>
                <w:rFonts w:ascii="Arial" w:eastAsia="Times New Roman" w:hAnsi="Arial" w:cs="Arial"/>
                <w:bCs/>
                <w:sz w:val="18"/>
                <w:szCs w:val="18"/>
                <w:lang w:eastAsia="fr-FR"/>
              </w:rPr>
              <w:t xml:space="preserve"> interlocuteur entre l’entreprise et les autres acteurs</w:t>
            </w:r>
            <w:r w:rsidR="5A8A398C" w:rsidRPr="005D6D41">
              <w:rPr>
                <w:rFonts w:ascii="Arial" w:eastAsia="Times New Roman" w:hAnsi="Arial" w:cs="Arial"/>
                <w:sz w:val="18"/>
                <w:szCs w:val="18"/>
                <w:lang w:eastAsia="fr-FR"/>
              </w:rPr>
              <w:t xml:space="preserve"> dans le cadre de la mise en œuvre du sous-projet</w:t>
            </w:r>
          </w:p>
          <w:p w14:paraId="74BA40E2" w14:textId="77777777" w:rsidR="00764D3E" w:rsidRPr="005D6D41" w:rsidRDefault="00764D3E" w:rsidP="005D6D41">
            <w:pPr>
              <w:pStyle w:val="Paragraphedeliste"/>
              <w:numPr>
                <w:ilvl w:val="0"/>
                <w:numId w:val="17"/>
              </w:numPr>
              <w:spacing w:after="0" w:line="240" w:lineRule="auto"/>
              <w:jc w:val="both"/>
              <w:rPr>
                <w:rFonts w:ascii="Arial" w:eastAsia="Times New Roman" w:hAnsi="Arial" w:cs="Arial"/>
                <w:bCs/>
                <w:sz w:val="18"/>
                <w:szCs w:val="18"/>
                <w:lang w:eastAsia="fr-FR"/>
              </w:rPr>
            </w:pPr>
            <w:r w:rsidRPr="005D6D41">
              <w:rPr>
                <w:rFonts w:ascii="Arial" w:eastAsia="Times New Roman" w:hAnsi="Arial" w:cs="Arial"/>
                <w:bCs/>
                <w:sz w:val="18"/>
                <w:szCs w:val="18"/>
                <w:lang w:eastAsia="fr-FR"/>
              </w:rPr>
              <w:t>Informer les autorités locales sur l’avancement des travaux</w:t>
            </w:r>
          </w:p>
          <w:p w14:paraId="2858241C" w14:textId="77777777" w:rsidR="00764D3E" w:rsidRPr="005D6D41" w:rsidRDefault="00764D3E" w:rsidP="005D6D41">
            <w:pPr>
              <w:pStyle w:val="Paragraphedeliste"/>
              <w:numPr>
                <w:ilvl w:val="0"/>
                <w:numId w:val="17"/>
              </w:numPr>
              <w:spacing w:after="0" w:line="240" w:lineRule="auto"/>
              <w:jc w:val="both"/>
              <w:rPr>
                <w:rFonts w:ascii="Arial" w:eastAsia="Times New Roman" w:hAnsi="Arial" w:cs="Arial"/>
                <w:bCs/>
                <w:sz w:val="18"/>
                <w:szCs w:val="18"/>
                <w:lang w:eastAsia="fr-FR"/>
              </w:rPr>
            </w:pPr>
            <w:r w:rsidRPr="005D6D41">
              <w:rPr>
                <w:rFonts w:ascii="Arial" w:eastAsia="Times New Roman" w:hAnsi="Arial" w:cs="Arial"/>
                <w:bCs/>
                <w:sz w:val="18"/>
                <w:szCs w:val="18"/>
                <w:lang w:eastAsia="fr-FR"/>
              </w:rPr>
              <w:t>Recueillir les plaintes au niveau des autorités locales et les commentaires des riverains en relation avec le chantier</w:t>
            </w:r>
          </w:p>
          <w:p w14:paraId="586E1705" w14:textId="77777777" w:rsidR="00764D3E" w:rsidRPr="005D6D41" w:rsidRDefault="00764D3E" w:rsidP="005D6D41">
            <w:pPr>
              <w:pStyle w:val="Paragraphedeliste"/>
              <w:numPr>
                <w:ilvl w:val="0"/>
                <w:numId w:val="17"/>
              </w:numPr>
              <w:spacing w:after="0" w:line="240" w:lineRule="auto"/>
              <w:jc w:val="both"/>
              <w:rPr>
                <w:rFonts w:ascii="Arial" w:eastAsia="Times New Roman" w:hAnsi="Arial" w:cs="Arial"/>
                <w:bCs/>
                <w:sz w:val="18"/>
                <w:szCs w:val="18"/>
                <w:lang w:eastAsia="fr-FR"/>
              </w:rPr>
            </w:pPr>
            <w:r w:rsidRPr="005D6D41">
              <w:rPr>
                <w:rFonts w:ascii="Arial" w:eastAsia="Times New Roman" w:hAnsi="Arial" w:cs="Arial"/>
                <w:bCs/>
                <w:sz w:val="18"/>
                <w:szCs w:val="18"/>
                <w:lang w:eastAsia="fr-FR"/>
              </w:rPr>
              <w:t>Participer à la résolution du conflit</w:t>
            </w:r>
          </w:p>
        </w:tc>
      </w:tr>
      <w:tr w:rsidR="0063584D" w:rsidRPr="007F78CE" w14:paraId="7538505E" w14:textId="77777777" w:rsidTr="48B05EC0">
        <w:trPr>
          <w:trHeight w:val="2988"/>
        </w:trPr>
        <w:tc>
          <w:tcPr>
            <w:tcW w:w="2943" w:type="dxa"/>
            <w:shd w:val="clear" w:color="auto" w:fill="auto"/>
            <w:hideMark/>
          </w:tcPr>
          <w:p w14:paraId="52294359" w14:textId="77777777" w:rsidR="00764D3E" w:rsidRPr="005D6D41" w:rsidRDefault="00764D3E" w:rsidP="005D6D41">
            <w:pPr>
              <w:spacing w:after="0" w:line="240" w:lineRule="auto"/>
              <w:jc w:val="both"/>
              <w:rPr>
                <w:rFonts w:ascii="Arial" w:eastAsia="Times New Roman" w:hAnsi="Arial" w:cs="Arial"/>
                <w:b/>
                <w:bCs/>
                <w:color w:val="000000"/>
                <w:sz w:val="18"/>
                <w:szCs w:val="18"/>
                <w:lang w:eastAsia="fr-FR"/>
              </w:rPr>
            </w:pPr>
            <w:r w:rsidRPr="005D6D41">
              <w:rPr>
                <w:rFonts w:ascii="Arial" w:eastAsia="Times New Roman" w:hAnsi="Arial" w:cs="Arial"/>
                <w:color w:val="000000"/>
                <w:sz w:val="18"/>
                <w:szCs w:val="18"/>
                <w:lang w:eastAsia="fr-FR"/>
              </w:rPr>
              <w:t>Ministère en Charge de l’Environnement (DREDD) </w:t>
            </w:r>
          </w:p>
        </w:tc>
        <w:tc>
          <w:tcPr>
            <w:tcW w:w="3213" w:type="dxa"/>
            <w:shd w:val="clear" w:color="auto" w:fill="auto"/>
            <w:hideMark/>
          </w:tcPr>
          <w:p w14:paraId="14099B54"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Suivi et contrôle de conformité de l’exécution des mesures environnementales et sociales par rapport aux dispositions du PGES et de la réglementation nationale.</w:t>
            </w:r>
          </w:p>
          <w:p w14:paraId="4F98B1DE"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Evaluation des effets des mesures de mitigation </w:t>
            </w:r>
          </w:p>
          <w:p w14:paraId="2FEC6F03"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Servira de ressource et de conseil pour la gestion environnementale du Projet</w:t>
            </w:r>
          </w:p>
          <w:p w14:paraId="1C6B8602"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Interlocuteur entre le Projet et la population locale</w:t>
            </w:r>
          </w:p>
          <w:p w14:paraId="6400ABE1"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 xml:space="preserve">Suivi et surveillance sociale et environnementale </w:t>
            </w:r>
            <w:r w:rsidR="003A6A50">
              <w:rPr>
                <w:rFonts w:ascii="Arial" w:eastAsia="Times New Roman" w:hAnsi="Arial" w:cs="Arial"/>
                <w:bCs/>
                <w:color w:val="000000"/>
                <w:sz w:val="18"/>
                <w:szCs w:val="18"/>
                <w:lang w:eastAsia="fr-FR"/>
              </w:rPr>
              <w:t xml:space="preserve">externe </w:t>
            </w:r>
            <w:r w:rsidRPr="005D6D41">
              <w:rPr>
                <w:rFonts w:ascii="Arial" w:eastAsia="Times New Roman" w:hAnsi="Arial" w:cs="Arial"/>
                <w:bCs/>
                <w:color w:val="000000"/>
                <w:sz w:val="18"/>
                <w:szCs w:val="18"/>
                <w:lang w:eastAsia="fr-FR"/>
              </w:rPr>
              <w:t xml:space="preserve">du site </w:t>
            </w:r>
          </w:p>
        </w:tc>
        <w:tc>
          <w:tcPr>
            <w:tcW w:w="4017" w:type="dxa"/>
            <w:shd w:val="clear" w:color="auto" w:fill="auto"/>
            <w:hideMark/>
          </w:tcPr>
          <w:p w14:paraId="08CEB693"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color w:val="000000"/>
                <w:sz w:val="18"/>
                <w:szCs w:val="18"/>
                <w:lang w:eastAsia="fr-FR"/>
              </w:rPr>
              <w:t xml:space="preserve">Le ministère </w:t>
            </w:r>
            <w:r w:rsidR="0986A826" w:rsidRPr="005D6D41">
              <w:rPr>
                <w:rFonts w:ascii="Arial" w:eastAsia="Times New Roman" w:hAnsi="Arial" w:cs="Arial"/>
                <w:color w:val="000000"/>
                <w:sz w:val="18"/>
                <w:szCs w:val="18"/>
                <w:lang w:eastAsia="fr-FR"/>
              </w:rPr>
              <w:t>sera représenté</w:t>
            </w:r>
            <w:r w:rsidRPr="005D6D41">
              <w:rPr>
                <w:rFonts w:ascii="Arial" w:eastAsia="Times New Roman" w:hAnsi="Arial" w:cs="Arial"/>
                <w:color w:val="000000"/>
                <w:sz w:val="18"/>
                <w:szCs w:val="18"/>
                <w:lang w:eastAsia="fr-FR"/>
              </w:rPr>
              <w:t xml:space="preserve"> pour </w:t>
            </w:r>
          </w:p>
          <w:p w14:paraId="7D3EE517" w14:textId="77777777" w:rsidR="00764D3E" w:rsidRPr="005D6D41" w:rsidRDefault="00764D3E" w:rsidP="005D6D41">
            <w:pPr>
              <w:pStyle w:val="Paragraphedeliste"/>
              <w:numPr>
                <w:ilvl w:val="0"/>
                <w:numId w:val="20"/>
              </w:numPr>
              <w:spacing w:after="0" w:line="240" w:lineRule="auto"/>
              <w:jc w:val="both"/>
              <w:rPr>
                <w:rFonts w:ascii="Arial" w:eastAsia="Times New Roman" w:hAnsi="Arial" w:cs="Arial"/>
                <w:bCs/>
                <w:sz w:val="18"/>
                <w:szCs w:val="18"/>
                <w:lang w:eastAsia="fr-FR"/>
              </w:rPr>
            </w:pPr>
            <w:r w:rsidRPr="005D6D41">
              <w:rPr>
                <w:rFonts w:ascii="Arial" w:eastAsia="Times New Roman" w:hAnsi="Arial" w:cs="Arial"/>
                <w:bCs/>
                <w:sz w:val="18"/>
                <w:szCs w:val="18"/>
                <w:lang w:eastAsia="fr-FR"/>
              </w:rPr>
              <w:t xml:space="preserve">La Participation au </w:t>
            </w:r>
            <w:r w:rsidRPr="005D6D41">
              <w:rPr>
                <w:rFonts w:ascii="Arial" w:eastAsia="Times New Roman" w:hAnsi="Arial" w:cs="Arial"/>
                <w:sz w:val="18"/>
                <w:szCs w:val="18"/>
                <w:lang w:eastAsia="fr-FR"/>
              </w:rPr>
              <w:t>contr</w:t>
            </w:r>
            <w:r w:rsidR="42BBBFAA" w:rsidRPr="005D6D41">
              <w:rPr>
                <w:rFonts w:ascii="Arial" w:eastAsia="Times New Roman" w:hAnsi="Arial" w:cs="Arial"/>
                <w:sz w:val="18"/>
                <w:szCs w:val="18"/>
                <w:lang w:eastAsia="fr-FR"/>
              </w:rPr>
              <w:t>ô</w:t>
            </w:r>
            <w:r w:rsidRPr="005D6D41">
              <w:rPr>
                <w:rFonts w:ascii="Arial" w:eastAsia="Times New Roman" w:hAnsi="Arial" w:cs="Arial"/>
                <w:sz w:val="18"/>
                <w:szCs w:val="18"/>
                <w:lang w:eastAsia="fr-FR"/>
              </w:rPr>
              <w:t>l</w:t>
            </w:r>
            <w:r w:rsidR="45388B96" w:rsidRPr="005D6D41">
              <w:rPr>
                <w:rFonts w:ascii="Arial" w:eastAsia="Times New Roman" w:hAnsi="Arial" w:cs="Arial"/>
                <w:sz w:val="18"/>
                <w:szCs w:val="18"/>
                <w:lang w:eastAsia="fr-FR"/>
              </w:rPr>
              <w:t>e</w:t>
            </w:r>
            <w:r w:rsidR="00534F94">
              <w:rPr>
                <w:rFonts w:ascii="Arial" w:eastAsia="Times New Roman" w:hAnsi="Arial" w:cs="Arial"/>
                <w:sz w:val="18"/>
                <w:szCs w:val="18"/>
                <w:lang w:eastAsia="fr-FR"/>
              </w:rPr>
              <w:t xml:space="preserve"> </w:t>
            </w:r>
            <w:r w:rsidRPr="005D6D41">
              <w:rPr>
                <w:rFonts w:ascii="Arial" w:eastAsia="Times New Roman" w:hAnsi="Arial" w:cs="Arial"/>
                <w:bCs/>
                <w:sz w:val="18"/>
                <w:szCs w:val="18"/>
                <w:lang w:eastAsia="fr-FR"/>
              </w:rPr>
              <w:t xml:space="preserve">environnemental </w:t>
            </w:r>
          </w:p>
          <w:p w14:paraId="70E78C54" w14:textId="77777777" w:rsidR="00764D3E" w:rsidRPr="005D6D41" w:rsidRDefault="00764D3E" w:rsidP="005D6D41">
            <w:pPr>
              <w:pStyle w:val="Paragraphedeliste"/>
              <w:numPr>
                <w:ilvl w:val="0"/>
                <w:numId w:val="20"/>
              </w:numPr>
              <w:spacing w:after="0" w:line="240" w:lineRule="auto"/>
              <w:jc w:val="both"/>
              <w:rPr>
                <w:rFonts w:ascii="Arial" w:eastAsia="Times New Roman" w:hAnsi="Arial" w:cs="Arial"/>
                <w:bCs/>
                <w:sz w:val="18"/>
                <w:szCs w:val="18"/>
                <w:lang w:eastAsia="fr-FR"/>
              </w:rPr>
            </w:pPr>
            <w:r w:rsidRPr="005D6D41">
              <w:rPr>
                <w:rFonts w:ascii="Arial" w:eastAsia="Times New Roman" w:hAnsi="Arial" w:cs="Arial"/>
                <w:bCs/>
                <w:sz w:val="18"/>
                <w:szCs w:val="18"/>
                <w:lang w:eastAsia="fr-FR"/>
              </w:rPr>
              <w:t>Evaluer l’efficacité des mesures d’atténuation</w:t>
            </w:r>
          </w:p>
          <w:p w14:paraId="7DFF5EC9" w14:textId="77777777" w:rsidR="00764D3E" w:rsidRPr="005D6D41" w:rsidRDefault="00764D3E" w:rsidP="005D6D41">
            <w:pPr>
              <w:pStyle w:val="Paragraphedeliste"/>
              <w:numPr>
                <w:ilvl w:val="0"/>
                <w:numId w:val="20"/>
              </w:numPr>
              <w:spacing w:after="0" w:line="240" w:lineRule="auto"/>
              <w:jc w:val="both"/>
              <w:rPr>
                <w:rFonts w:ascii="Arial" w:eastAsia="Times New Roman" w:hAnsi="Arial" w:cs="Arial"/>
                <w:bCs/>
                <w:sz w:val="18"/>
                <w:szCs w:val="18"/>
                <w:lang w:eastAsia="fr-FR"/>
              </w:rPr>
            </w:pPr>
            <w:r w:rsidRPr="005D6D41">
              <w:rPr>
                <w:rFonts w:ascii="Arial" w:eastAsia="Times New Roman" w:hAnsi="Arial" w:cs="Arial"/>
                <w:bCs/>
                <w:sz w:val="18"/>
                <w:szCs w:val="18"/>
                <w:lang w:eastAsia="fr-FR"/>
              </w:rPr>
              <w:t>Proposer des mesures alternatives en cas de persistance de l’impact</w:t>
            </w:r>
          </w:p>
          <w:p w14:paraId="48E430FE" w14:textId="77777777" w:rsidR="00764D3E" w:rsidRPr="005D6D41" w:rsidRDefault="00764D3E" w:rsidP="005D6D41">
            <w:pPr>
              <w:pStyle w:val="Paragraphedeliste"/>
              <w:numPr>
                <w:ilvl w:val="0"/>
                <w:numId w:val="20"/>
              </w:numPr>
              <w:spacing w:after="0" w:line="240" w:lineRule="auto"/>
              <w:jc w:val="both"/>
              <w:rPr>
                <w:rFonts w:ascii="Arial" w:eastAsia="Times New Roman" w:hAnsi="Arial" w:cs="Arial"/>
                <w:bCs/>
                <w:sz w:val="18"/>
                <w:szCs w:val="18"/>
                <w:lang w:eastAsia="fr-FR"/>
              </w:rPr>
            </w:pPr>
            <w:r w:rsidRPr="005D6D41">
              <w:rPr>
                <w:rFonts w:ascii="Arial" w:eastAsia="Times New Roman" w:hAnsi="Arial" w:cs="Arial"/>
                <w:bCs/>
                <w:sz w:val="18"/>
                <w:szCs w:val="18"/>
                <w:lang w:eastAsia="fr-FR"/>
              </w:rPr>
              <w:t>Proposer de nouvelle mesure en cas d’apparition de problème environnemental</w:t>
            </w:r>
          </w:p>
        </w:tc>
      </w:tr>
      <w:tr w:rsidR="0063584D" w:rsidRPr="007F78CE" w14:paraId="15D5598B" w14:textId="77777777" w:rsidTr="48B05EC0">
        <w:trPr>
          <w:trHeight w:val="3744"/>
        </w:trPr>
        <w:tc>
          <w:tcPr>
            <w:tcW w:w="2943" w:type="dxa"/>
            <w:tcBorders>
              <w:top w:val="single" w:sz="8" w:space="0" w:color="4F81BD"/>
              <w:left w:val="single" w:sz="8" w:space="0" w:color="4F81BD"/>
              <w:bottom w:val="single" w:sz="8" w:space="0" w:color="4F81BD"/>
            </w:tcBorders>
            <w:shd w:val="clear" w:color="auto" w:fill="auto"/>
            <w:hideMark/>
          </w:tcPr>
          <w:p w14:paraId="0C702D06" w14:textId="77777777" w:rsidR="00764D3E" w:rsidRPr="005D6D41" w:rsidRDefault="00764D3E" w:rsidP="005D6D41">
            <w:pPr>
              <w:spacing w:after="0" w:line="240" w:lineRule="auto"/>
              <w:jc w:val="both"/>
              <w:rPr>
                <w:rFonts w:ascii="Arial" w:eastAsia="Times New Roman" w:hAnsi="Arial" w:cs="Arial"/>
                <w:b/>
                <w:bCs/>
                <w:color w:val="000000"/>
                <w:sz w:val="18"/>
                <w:szCs w:val="18"/>
                <w:lang w:eastAsia="fr-FR"/>
              </w:rPr>
            </w:pPr>
            <w:r w:rsidRPr="005D6D41">
              <w:rPr>
                <w:rFonts w:ascii="Arial" w:eastAsia="Times New Roman" w:hAnsi="Arial" w:cs="Arial"/>
                <w:color w:val="000000"/>
                <w:sz w:val="18"/>
                <w:szCs w:val="18"/>
                <w:lang w:eastAsia="fr-FR"/>
              </w:rPr>
              <w:t>ONE</w:t>
            </w:r>
          </w:p>
        </w:tc>
        <w:tc>
          <w:tcPr>
            <w:tcW w:w="3213" w:type="dxa"/>
            <w:tcBorders>
              <w:top w:val="single" w:sz="8" w:space="0" w:color="4F81BD"/>
              <w:bottom w:val="single" w:sz="8" w:space="0" w:color="4F81BD"/>
            </w:tcBorders>
            <w:shd w:val="clear" w:color="auto" w:fill="auto"/>
            <w:hideMark/>
          </w:tcPr>
          <w:p w14:paraId="467BF0DB"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Evaluation des dossiers d’EIES</w:t>
            </w:r>
          </w:p>
          <w:p w14:paraId="1BD3EBCF"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Suivi environnemental de la mise en œuvre des PGES relatifs aux travaux</w:t>
            </w:r>
          </w:p>
          <w:p w14:paraId="2C0A2D68"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Suivi et contrôle de conformité de l’exécution des mesures environnementales et sociales par rapport aux dispositions du PGES et de la réglementation nationale.</w:t>
            </w:r>
          </w:p>
          <w:p w14:paraId="1D7CB404"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Evaluation des effets des mesures de mitigation </w:t>
            </w:r>
          </w:p>
          <w:p w14:paraId="5412D0FF"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Servira de ressource et de conseil pour la gestion environnementale du Projet</w:t>
            </w:r>
          </w:p>
          <w:p w14:paraId="70E8B4C7"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Interlocuteur entre le Projet et la population locale</w:t>
            </w:r>
          </w:p>
          <w:p w14:paraId="2A6C36F2"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 xml:space="preserve">Suivi et surveillance sociale et environnementale </w:t>
            </w:r>
            <w:r w:rsidR="00401845">
              <w:rPr>
                <w:rFonts w:ascii="Arial" w:eastAsia="Times New Roman" w:hAnsi="Arial" w:cs="Arial"/>
                <w:bCs/>
                <w:color w:val="000000"/>
                <w:sz w:val="18"/>
                <w:szCs w:val="18"/>
                <w:lang w:eastAsia="fr-FR"/>
              </w:rPr>
              <w:t xml:space="preserve">externe </w:t>
            </w:r>
            <w:r w:rsidRPr="005D6D41">
              <w:rPr>
                <w:rFonts w:ascii="Arial" w:eastAsia="Times New Roman" w:hAnsi="Arial" w:cs="Arial"/>
                <w:bCs/>
                <w:color w:val="000000"/>
                <w:sz w:val="18"/>
                <w:szCs w:val="18"/>
                <w:lang w:eastAsia="fr-FR"/>
              </w:rPr>
              <w:t xml:space="preserve">du site </w:t>
            </w:r>
          </w:p>
        </w:tc>
        <w:tc>
          <w:tcPr>
            <w:tcW w:w="4017" w:type="dxa"/>
            <w:tcBorders>
              <w:top w:val="single" w:sz="8" w:space="0" w:color="4F81BD"/>
              <w:bottom w:val="single" w:sz="8" w:space="0" w:color="4F81BD"/>
              <w:right w:val="single" w:sz="8" w:space="0" w:color="4F81BD"/>
            </w:tcBorders>
            <w:shd w:val="clear" w:color="auto" w:fill="auto"/>
            <w:hideMark/>
          </w:tcPr>
          <w:p w14:paraId="1484B71C" w14:textId="77777777" w:rsidR="00384105" w:rsidRPr="005D6D41" w:rsidRDefault="00384105" w:rsidP="005D6D41">
            <w:pPr>
              <w:spacing w:after="0" w:line="240" w:lineRule="auto"/>
              <w:jc w:val="both"/>
              <w:rPr>
                <w:rFonts w:ascii="Arial" w:eastAsia="Times New Roman" w:hAnsi="Arial" w:cs="Arial"/>
                <w:b/>
                <w:bCs/>
                <w:color w:val="000000"/>
                <w:sz w:val="18"/>
                <w:szCs w:val="18"/>
                <w:lang w:eastAsia="fr-FR"/>
              </w:rPr>
            </w:pPr>
          </w:p>
          <w:p w14:paraId="427174CE" w14:textId="77777777" w:rsidR="00764D3E" w:rsidRPr="005D6D41" w:rsidRDefault="00764D3E" w:rsidP="005D6D41">
            <w:pPr>
              <w:pStyle w:val="Paragraphedeliste"/>
              <w:numPr>
                <w:ilvl w:val="0"/>
                <w:numId w:val="21"/>
              </w:numPr>
              <w:spacing w:after="0" w:line="240" w:lineRule="auto"/>
              <w:jc w:val="both"/>
              <w:rPr>
                <w:rFonts w:ascii="Arial" w:eastAsia="Times New Roman" w:hAnsi="Arial" w:cs="Arial"/>
                <w:bCs/>
                <w:sz w:val="18"/>
                <w:szCs w:val="18"/>
                <w:lang w:eastAsia="fr-FR"/>
              </w:rPr>
            </w:pPr>
            <w:r w:rsidRPr="005D6D41">
              <w:rPr>
                <w:rFonts w:ascii="Arial" w:eastAsia="Times New Roman" w:hAnsi="Arial" w:cs="Arial"/>
                <w:bCs/>
                <w:sz w:val="18"/>
                <w:szCs w:val="18"/>
                <w:lang w:eastAsia="fr-FR"/>
              </w:rPr>
              <w:t xml:space="preserve">Faire des suivis environnementaux au niveau du site et de la zone éloignée du site. </w:t>
            </w:r>
          </w:p>
          <w:p w14:paraId="159ACF31" w14:textId="77777777" w:rsidR="00764D3E" w:rsidRPr="005D6D41" w:rsidRDefault="00764D3E" w:rsidP="005D6D41">
            <w:pPr>
              <w:pStyle w:val="Paragraphedeliste"/>
              <w:numPr>
                <w:ilvl w:val="0"/>
                <w:numId w:val="21"/>
              </w:numPr>
              <w:spacing w:after="0" w:line="240" w:lineRule="auto"/>
              <w:jc w:val="both"/>
              <w:rPr>
                <w:rFonts w:ascii="Arial" w:eastAsia="Times New Roman" w:hAnsi="Arial" w:cs="Arial"/>
                <w:bCs/>
                <w:sz w:val="18"/>
                <w:szCs w:val="18"/>
                <w:lang w:eastAsia="fr-FR"/>
              </w:rPr>
            </w:pPr>
            <w:r w:rsidRPr="005D6D41">
              <w:rPr>
                <w:rFonts w:ascii="Arial" w:eastAsia="Times New Roman" w:hAnsi="Arial" w:cs="Arial"/>
                <w:bCs/>
                <w:sz w:val="18"/>
                <w:szCs w:val="18"/>
                <w:lang w:eastAsia="fr-FR"/>
              </w:rPr>
              <w:t>Evaluer l’efficacité des mesures d’atténuation</w:t>
            </w:r>
          </w:p>
          <w:p w14:paraId="6F0B41CC" w14:textId="77777777" w:rsidR="00764D3E" w:rsidRPr="005D6D41" w:rsidRDefault="00764D3E" w:rsidP="005D6D41">
            <w:pPr>
              <w:pStyle w:val="Paragraphedeliste"/>
              <w:numPr>
                <w:ilvl w:val="0"/>
                <w:numId w:val="21"/>
              </w:numPr>
              <w:spacing w:after="0" w:line="240" w:lineRule="auto"/>
              <w:jc w:val="both"/>
              <w:rPr>
                <w:rFonts w:ascii="Arial" w:eastAsia="Times New Roman" w:hAnsi="Arial" w:cs="Arial"/>
                <w:bCs/>
                <w:sz w:val="18"/>
                <w:szCs w:val="18"/>
                <w:lang w:eastAsia="fr-FR"/>
              </w:rPr>
            </w:pPr>
            <w:r w:rsidRPr="005D6D41">
              <w:rPr>
                <w:rFonts w:ascii="Arial" w:eastAsia="Times New Roman" w:hAnsi="Arial" w:cs="Arial"/>
                <w:bCs/>
                <w:sz w:val="18"/>
                <w:szCs w:val="18"/>
                <w:lang w:eastAsia="fr-FR"/>
              </w:rPr>
              <w:t>Proposer des mesures alternatives en cas de persistance de l’impact</w:t>
            </w:r>
          </w:p>
          <w:p w14:paraId="1DE81564" w14:textId="77777777" w:rsidR="00764D3E" w:rsidRPr="00DF7822" w:rsidRDefault="00764D3E" w:rsidP="005D6D41">
            <w:pPr>
              <w:pStyle w:val="Paragraphedeliste"/>
              <w:numPr>
                <w:ilvl w:val="0"/>
                <w:numId w:val="21"/>
              </w:numPr>
              <w:spacing w:after="0" w:line="240" w:lineRule="auto"/>
              <w:jc w:val="both"/>
              <w:rPr>
                <w:rFonts w:ascii="Arial" w:eastAsia="Times New Roman" w:hAnsi="Arial" w:cs="Arial"/>
                <w:b/>
                <w:bCs/>
                <w:sz w:val="18"/>
                <w:szCs w:val="18"/>
                <w:lang w:eastAsia="fr-FR"/>
              </w:rPr>
            </w:pPr>
            <w:r w:rsidRPr="005D6D41">
              <w:rPr>
                <w:rFonts w:ascii="Arial" w:eastAsia="Times New Roman" w:hAnsi="Arial" w:cs="Arial"/>
                <w:bCs/>
                <w:sz w:val="18"/>
                <w:szCs w:val="18"/>
                <w:lang w:eastAsia="fr-FR"/>
              </w:rPr>
              <w:t>Proposer de nouvelle mesure en cas d’apparition de problème environnemental</w:t>
            </w:r>
          </w:p>
          <w:p w14:paraId="6B894E8E" w14:textId="77777777" w:rsidR="00384105" w:rsidRPr="005D6D41" w:rsidRDefault="00384105" w:rsidP="005D6D41">
            <w:pPr>
              <w:spacing w:after="0" w:line="240" w:lineRule="auto"/>
              <w:jc w:val="both"/>
              <w:rPr>
                <w:rFonts w:ascii="Arial" w:eastAsia="Times New Roman" w:hAnsi="Arial" w:cs="Arial"/>
                <w:bCs/>
                <w:color w:val="000000"/>
                <w:sz w:val="18"/>
                <w:szCs w:val="18"/>
                <w:lang w:eastAsia="fr-FR"/>
              </w:rPr>
            </w:pPr>
          </w:p>
          <w:p w14:paraId="0D978464" w14:textId="77777777" w:rsidR="00384105" w:rsidRPr="005D6D41" w:rsidRDefault="00384105"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 xml:space="preserve">Ces taches sont assurées par des personnes en charges de l'évaluation environnementale avec le CTE et des responsables chargés du suivi de dossier </w:t>
            </w:r>
          </w:p>
          <w:p w14:paraId="08BEABE6" w14:textId="77777777" w:rsidR="00384105" w:rsidRPr="00DF7822" w:rsidRDefault="00384105" w:rsidP="005D6D41">
            <w:pPr>
              <w:spacing w:after="0" w:line="240" w:lineRule="auto"/>
              <w:jc w:val="both"/>
              <w:rPr>
                <w:rFonts w:ascii="Arial" w:eastAsia="Times New Roman" w:hAnsi="Arial" w:cs="Arial"/>
                <w:b/>
                <w:bCs/>
                <w:sz w:val="18"/>
                <w:szCs w:val="18"/>
                <w:lang w:eastAsia="fr-FR"/>
              </w:rPr>
            </w:pPr>
          </w:p>
        </w:tc>
      </w:tr>
      <w:tr w:rsidR="0063584D" w:rsidRPr="007F78CE" w14:paraId="730EFFAF" w14:textId="77777777" w:rsidTr="48B05EC0">
        <w:trPr>
          <w:trHeight w:val="1728"/>
        </w:trPr>
        <w:tc>
          <w:tcPr>
            <w:tcW w:w="2943" w:type="dxa"/>
            <w:shd w:val="clear" w:color="auto" w:fill="auto"/>
            <w:hideMark/>
          </w:tcPr>
          <w:p w14:paraId="34D8EBCF" w14:textId="77777777" w:rsidR="00764D3E" w:rsidRPr="005D6D41" w:rsidRDefault="00764D3E" w:rsidP="005D6D41">
            <w:pPr>
              <w:spacing w:after="0" w:line="240" w:lineRule="auto"/>
              <w:jc w:val="both"/>
              <w:rPr>
                <w:rFonts w:ascii="Arial" w:eastAsia="Times New Roman" w:hAnsi="Arial" w:cs="Arial"/>
                <w:b/>
                <w:bCs/>
                <w:color w:val="000000"/>
                <w:sz w:val="18"/>
                <w:szCs w:val="18"/>
                <w:lang w:eastAsia="fr-FR"/>
              </w:rPr>
            </w:pPr>
            <w:r w:rsidRPr="005D6D41">
              <w:rPr>
                <w:rFonts w:ascii="Arial" w:eastAsia="Times New Roman" w:hAnsi="Arial" w:cs="Arial"/>
                <w:color w:val="000000"/>
                <w:sz w:val="18"/>
                <w:szCs w:val="18"/>
                <w:lang w:eastAsia="fr-FR"/>
              </w:rPr>
              <w:t xml:space="preserve">Autorités locales </w:t>
            </w:r>
          </w:p>
        </w:tc>
        <w:tc>
          <w:tcPr>
            <w:tcW w:w="3213" w:type="dxa"/>
            <w:shd w:val="clear" w:color="auto" w:fill="auto"/>
            <w:hideMark/>
          </w:tcPr>
          <w:p w14:paraId="00DB3487"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 xml:space="preserve">Reçoit et enregistre les plaintes et remarques de la population et le faire part au bureau de contrôle </w:t>
            </w:r>
          </w:p>
          <w:p w14:paraId="747AC7BA"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Participe à la résolution des conflits</w:t>
            </w:r>
          </w:p>
        </w:tc>
        <w:tc>
          <w:tcPr>
            <w:tcW w:w="4017" w:type="dxa"/>
            <w:shd w:val="clear" w:color="auto" w:fill="auto"/>
            <w:hideMark/>
          </w:tcPr>
          <w:p w14:paraId="254D1C9D"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 xml:space="preserve">Présence d’un personnel chargé de </w:t>
            </w:r>
          </w:p>
          <w:p w14:paraId="1A4F8396" w14:textId="77777777" w:rsidR="00764D3E" w:rsidRPr="005D6D41" w:rsidRDefault="00764D3E" w:rsidP="005D6D41">
            <w:pPr>
              <w:pStyle w:val="Paragraphedeliste"/>
              <w:numPr>
                <w:ilvl w:val="0"/>
                <w:numId w:val="22"/>
              </w:numPr>
              <w:spacing w:after="0" w:line="240" w:lineRule="auto"/>
              <w:jc w:val="both"/>
              <w:rPr>
                <w:rFonts w:ascii="Arial" w:eastAsia="Times New Roman" w:hAnsi="Arial" w:cs="Arial"/>
                <w:bCs/>
                <w:sz w:val="18"/>
                <w:szCs w:val="18"/>
                <w:lang w:eastAsia="fr-FR"/>
              </w:rPr>
            </w:pPr>
            <w:r w:rsidRPr="005D6D41">
              <w:rPr>
                <w:rFonts w:ascii="Arial" w:eastAsia="Times New Roman" w:hAnsi="Arial" w:cs="Arial"/>
                <w:bCs/>
                <w:sz w:val="18"/>
                <w:szCs w:val="18"/>
                <w:lang w:eastAsia="fr-FR"/>
              </w:rPr>
              <w:t>Contrôle et Surveillance des activités et les mesures de l’entreprise et du Bureau d’étude</w:t>
            </w:r>
          </w:p>
          <w:p w14:paraId="7777CF15" w14:textId="77777777" w:rsidR="00764D3E" w:rsidRPr="005D6D41" w:rsidRDefault="00764D3E" w:rsidP="005D6D41">
            <w:pPr>
              <w:pStyle w:val="Paragraphedeliste"/>
              <w:numPr>
                <w:ilvl w:val="0"/>
                <w:numId w:val="22"/>
              </w:numPr>
              <w:spacing w:after="0" w:line="240" w:lineRule="auto"/>
              <w:jc w:val="both"/>
              <w:rPr>
                <w:rFonts w:ascii="Arial" w:eastAsia="Times New Roman" w:hAnsi="Arial" w:cs="Arial"/>
                <w:bCs/>
                <w:sz w:val="18"/>
                <w:szCs w:val="18"/>
                <w:lang w:eastAsia="fr-FR"/>
              </w:rPr>
            </w:pPr>
            <w:r w:rsidRPr="005D6D41">
              <w:rPr>
                <w:rFonts w:ascii="Arial" w:eastAsia="Times New Roman" w:hAnsi="Arial" w:cs="Arial"/>
                <w:bCs/>
                <w:sz w:val="18"/>
                <w:szCs w:val="18"/>
                <w:lang w:eastAsia="fr-FR"/>
              </w:rPr>
              <w:t>Faire des rapports au niveau du Bureau d’étude suivant le cas</w:t>
            </w:r>
          </w:p>
          <w:p w14:paraId="4A503E4E"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p>
          <w:p w14:paraId="037322E9"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color w:val="000000"/>
                <w:sz w:val="18"/>
                <w:szCs w:val="18"/>
                <w:lang w:eastAsia="fr-FR"/>
              </w:rPr>
              <w:t xml:space="preserve">Ce rôle peut être effectué par le Maire ou </w:t>
            </w:r>
            <w:r w:rsidR="4EF9DDF2" w:rsidRPr="005D6D41">
              <w:rPr>
                <w:rFonts w:ascii="Arial" w:eastAsia="Times New Roman" w:hAnsi="Arial" w:cs="Arial"/>
                <w:color w:val="000000"/>
                <w:sz w:val="18"/>
                <w:szCs w:val="18"/>
                <w:lang w:eastAsia="fr-FR"/>
              </w:rPr>
              <w:t xml:space="preserve">être </w:t>
            </w:r>
            <w:r w:rsidRPr="005D6D41">
              <w:rPr>
                <w:rFonts w:ascii="Arial" w:eastAsia="Times New Roman" w:hAnsi="Arial" w:cs="Arial"/>
                <w:color w:val="000000"/>
                <w:sz w:val="18"/>
                <w:szCs w:val="18"/>
                <w:lang w:eastAsia="fr-FR"/>
              </w:rPr>
              <w:t>délégu</w:t>
            </w:r>
            <w:r w:rsidR="0FEF5FFA" w:rsidRPr="005D6D41">
              <w:rPr>
                <w:rFonts w:ascii="Arial" w:eastAsia="Times New Roman" w:hAnsi="Arial" w:cs="Arial"/>
                <w:color w:val="000000"/>
                <w:sz w:val="18"/>
                <w:szCs w:val="18"/>
                <w:lang w:eastAsia="fr-FR"/>
              </w:rPr>
              <w:t>é</w:t>
            </w:r>
            <w:r w:rsidRPr="005D6D41">
              <w:rPr>
                <w:rFonts w:ascii="Arial" w:eastAsia="Times New Roman" w:hAnsi="Arial" w:cs="Arial"/>
                <w:color w:val="000000"/>
                <w:sz w:val="18"/>
                <w:szCs w:val="18"/>
                <w:lang w:eastAsia="fr-FR"/>
              </w:rPr>
              <w:t xml:space="preserve"> aux personnels de la mairie</w:t>
            </w:r>
          </w:p>
        </w:tc>
      </w:tr>
      <w:tr w:rsidR="0063584D" w:rsidRPr="007F78CE" w14:paraId="782AE332" w14:textId="77777777" w:rsidTr="48B05EC0">
        <w:trPr>
          <w:trHeight w:val="864"/>
        </w:trPr>
        <w:tc>
          <w:tcPr>
            <w:tcW w:w="2943" w:type="dxa"/>
            <w:tcBorders>
              <w:top w:val="single" w:sz="8" w:space="0" w:color="4F81BD"/>
              <w:left w:val="single" w:sz="8" w:space="0" w:color="4F81BD"/>
              <w:bottom w:val="single" w:sz="8" w:space="0" w:color="4F81BD"/>
            </w:tcBorders>
            <w:shd w:val="clear" w:color="auto" w:fill="auto"/>
            <w:hideMark/>
          </w:tcPr>
          <w:p w14:paraId="2173E1E0" w14:textId="77777777" w:rsidR="00764D3E" w:rsidRPr="005D6D41" w:rsidRDefault="00764D3E" w:rsidP="005D6D41">
            <w:pPr>
              <w:spacing w:after="0" w:line="240" w:lineRule="auto"/>
              <w:jc w:val="both"/>
              <w:rPr>
                <w:rFonts w:ascii="Arial" w:eastAsia="Times New Roman" w:hAnsi="Arial" w:cs="Arial"/>
                <w:b/>
                <w:bCs/>
                <w:color w:val="000000"/>
                <w:sz w:val="18"/>
                <w:szCs w:val="18"/>
                <w:lang w:eastAsia="fr-FR"/>
              </w:rPr>
            </w:pPr>
            <w:r w:rsidRPr="005D6D41">
              <w:rPr>
                <w:rFonts w:ascii="Arial" w:eastAsia="Times New Roman" w:hAnsi="Arial" w:cs="Arial"/>
                <w:color w:val="000000"/>
                <w:sz w:val="18"/>
                <w:szCs w:val="18"/>
                <w:lang w:eastAsia="fr-FR"/>
              </w:rPr>
              <w:t>Population locale</w:t>
            </w:r>
          </w:p>
        </w:tc>
        <w:tc>
          <w:tcPr>
            <w:tcW w:w="3213" w:type="dxa"/>
            <w:tcBorders>
              <w:top w:val="single" w:sz="8" w:space="0" w:color="4F81BD"/>
              <w:bottom w:val="single" w:sz="8" w:space="0" w:color="4F81BD"/>
            </w:tcBorders>
            <w:shd w:val="clear" w:color="auto" w:fill="auto"/>
            <w:hideMark/>
          </w:tcPr>
          <w:p w14:paraId="75AD073E"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Gardien de la préservation de l’environnement et sociale</w:t>
            </w:r>
            <w:r w:rsidR="00401845">
              <w:rPr>
                <w:rFonts w:ascii="Arial" w:eastAsia="Times New Roman" w:hAnsi="Arial" w:cs="Arial"/>
                <w:bCs/>
                <w:color w:val="000000"/>
                <w:sz w:val="18"/>
                <w:szCs w:val="18"/>
                <w:lang w:eastAsia="fr-FR"/>
              </w:rPr>
              <w:t xml:space="preserve"> (suivi de proximité)</w:t>
            </w:r>
          </w:p>
        </w:tc>
        <w:tc>
          <w:tcPr>
            <w:tcW w:w="4017" w:type="dxa"/>
            <w:tcBorders>
              <w:top w:val="single" w:sz="8" w:space="0" w:color="4F81BD"/>
              <w:bottom w:val="single" w:sz="8" w:space="0" w:color="4F81BD"/>
              <w:right w:val="single" w:sz="8" w:space="0" w:color="4F81BD"/>
            </w:tcBorders>
            <w:shd w:val="clear" w:color="auto" w:fill="auto"/>
            <w:hideMark/>
          </w:tcPr>
          <w:p w14:paraId="09FBD08F"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Toute la population</w:t>
            </w:r>
          </w:p>
          <w:p w14:paraId="1C7CBB51" w14:textId="77777777" w:rsidR="00764D3E" w:rsidRPr="005D6D41" w:rsidRDefault="00764D3E" w:rsidP="005D6D41">
            <w:pPr>
              <w:spacing w:after="0" w:line="240" w:lineRule="auto"/>
              <w:jc w:val="both"/>
              <w:rPr>
                <w:rFonts w:ascii="Arial" w:eastAsia="Times New Roman" w:hAnsi="Arial" w:cs="Arial"/>
                <w:bCs/>
                <w:color w:val="000000"/>
                <w:sz w:val="18"/>
                <w:szCs w:val="18"/>
                <w:lang w:eastAsia="fr-FR"/>
              </w:rPr>
            </w:pPr>
            <w:r w:rsidRPr="005D6D41">
              <w:rPr>
                <w:rFonts w:ascii="Arial" w:eastAsia="Times New Roman" w:hAnsi="Arial" w:cs="Arial"/>
                <w:bCs/>
                <w:color w:val="000000"/>
                <w:sz w:val="18"/>
                <w:szCs w:val="18"/>
                <w:lang w:eastAsia="fr-FR"/>
              </w:rPr>
              <w:t>En cas de problème, la population peut faire des rapports (verbale ou par écrit sur le cahier de doléance) auprès des autorités locales ou directement vers le bureau de contrôle.</w:t>
            </w:r>
          </w:p>
        </w:tc>
      </w:tr>
    </w:tbl>
    <w:p w14:paraId="205AEE07" w14:textId="77777777" w:rsidR="00C06EC1" w:rsidRDefault="00C06EC1"/>
    <w:p w14:paraId="5B6A3591" w14:textId="77777777" w:rsidR="003E32E9" w:rsidRPr="007F78CE" w:rsidRDefault="00C261A6" w:rsidP="0044500E">
      <w:pPr>
        <w:pStyle w:val="TIT2"/>
        <w:numPr>
          <w:ilvl w:val="1"/>
          <w:numId w:val="177"/>
        </w:numPr>
      </w:pPr>
      <w:bookmarkStart w:id="1469" w:name="_Toc124314798"/>
      <w:bookmarkStart w:id="1470" w:name="_Toc124956335"/>
      <w:bookmarkStart w:id="1471" w:name="_Toc125384682"/>
      <w:bookmarkStart w:id="1472" w:name="_Toc125385071"/>
      <w:bookmarkStart w:id="1473" w:name="_Toc127957739"/>
      <w:r w:rsidRPr="007F78CE">
        <w:t>Renforcement de capacités institutionnelles</w:t>
      </w:r>
      <w:bookmarkEnd w:id="1469"/>
      <w:bookmarkEnd w:id="1470"/>
      <w:bookmarkEnd w:id="1471"/>
      <w:bookmarkEnd w:id="1472"/>
      <w:bookmarkEnd w:id="1473"/>
    </w:p>
    <w:p w14:paraId="1495F044" w14:textId="77777777" w:rsidR="00764D3E" w:rsidRPr="001B5994" w:rsidRDefault="00764D3E" w:rsidP="00764D3E">
      <w:pPr>
        <w:jc w:val="both"/>
        <w:rPr>
          <w:rFonts w:ascii="Arial" w:hAnsi="Arial" w:cs="Arial"/>
          <w:szCs w:val="24"/>
        </w:rPr>
      </w:pPr>
      <w:bookmarkStart w:id="1474" w:name="_Toc89768143"/>
      <w:bookmarkStart w:id="1475" w:name="_Toc82338209"/>
      <w:r w:rsidRPr="001B5994">
        <w:rPr>
          <w:rFonts w:ascii="Arial" w:hAnsi="Arial" w:cs="Arial"/>
          <w:szCs w:val="24"/>
        </w:rPr>
        <w:t>Cette section donne des définitions et les caractéristiques des besoins en formation, en renforcement de capacités, en assistance technique, dans la mise en œuvre, et le suivi des dispositifs du CGES.</w:t>
      </w:r>
    </w:p>
    <w:p w14:paraId="572F2C74" w14:textId="77777777" w:rsidR="00764D3E" w:rsidRPr="00764D3E" w:rsidRDefault="00764D3E" w:rsidP="0044500E">
      <w:pPr>
        <w:pStyle w:val="TIT3"/>
        <w:numPr>
          <w:ilvl w:val="2"/>
          <w:numId w:val="177"/>
        </w:numPr>
      </w:pPr>
      <w:bookmarkStart w:id="1476" w:name="_Toc98192400"/>
      <w:bookmarkStart w:id="1477" w:name="_Toc95029845"/>
      <w:bookmarkStart w:id="1478" w:name="_Toc89768144"/>
      <w:bookmarkStart w:id="1479" w:name="_Toc100755488"/>
      <w:bookmarkStart w:id="1480" w:name="_Toc124314799"/>
      <w:bookmarkStart w:id="1481" w:name="_Toc124956336"/>
      <w:bookmarkStart w:id="1482" w:name="_Toc125384683"/>
      <w:bookmarkStart w:id="1483" w:name="_Toc125385072"/>
      <w:bookmarkStart w:id="1484" w:name="_Toc127957740"/>
      <w:bookmarkEnd w:id="1474"/>
      <w:bookmarkEnd w:id="1475"/>
      <w:r w:rsidRPr="00764D3E">
        <w:t>Renforcement de capacité des acteurs institutionnels</w:t>
      </w:r>
      <w:bookmarkEnd w:id="1476"/>
      <w:bookmarkEnd w:id="1477"/>
      <w:bookmarkEnd w:id="1478"/>
      <w:bookmarkEnd w:id="1479"/>
      <w:bookmarkEnd w:id="1480"/>
      <w:bookmarkEnd w:id="1481"/>
      <w:bookmarkEnd w:id="1482"/>
      <w:bookmarkEnd w:id="1483"/>
      <w:bookmarkEnd w:id="1484"/>
    </w:p>
    <w:p w14:paraId="47C9507B" w14:textId="77777777" w:rsidR="00764D3E" w:rsidRPr="001B5994" w:rsidRDefault="00764D3E" w:rsidP="00764D3E">
      <w:pPr>
        <w:jc w:val="both"/>
        <w:rPr>
          <w:rFonts w:ascii="Arial" w:hAnsi="Arial" w:cs="Arial"/>
          <w:szCs w:val="24"/>
        </w:rPr>
      </w:pPr>
      <w:r w:rsidRPr="001B5994">
        <w:rPr>
          <w:rFonts w:ascii="Arial" w:hAnsi="Arial" w:cs="Arial"/>
          <w:szCs w:val="24"/>
        </w:rPr>
        <w:t xml:space="preserve">Il est recommandé d’organiser une séance d’initiation sur le nouveau CES de la Banque </w:t>
      </w:r>
      <w:r w:rsidR="0023459D">
        <w:rPr>
          <w:rFonts w:ascii="Arial" w:hAnsi="Arial" w:cs="Arial"/>
          <w:szCs w:val="24"/>
        </w:rPr>
        <w:t>m</w:t>
      </w:r>
      <w:r w:rsidRPr="001B5994">
        <w:rPr>
          <w:rFonts w:ascii="Arial" w:hAnsi="Arial" w:cs="Arial"/>
          <w:szCs w:val="24"/>
        </w:rPr>
        <w:t>ondiale pour les différents acteurs institutionnels. Il est notable que certains d’entre eux connaissent déjà les anciennes Politiques opérationnelles de sauvegarde.</w:t>
      </w:r>
    </w:p>
    <w:p w14:paraId="11215F92" w14:textId="77777777" w:rsidR="00764D3E" w:rsidRPr="001B5994" w:rsidRDefault="00764D3E" w:rsidP="00764D3E">
      <w:pPr>
        <w:jc w:val="both"/>
        <w:rPr>
          <w:rFonts w:ascii="Arial" w:hAnsi="Arial" w:cs="Arial"/>
          <w:szCs w:val="24"/>
        </w:rPr>
      </w:pPr>
      <w:r w:rsidRPr="001B5994">
        <w:rPr>
          <w:rFonts w:ascii="Arial" w:hAnsi="Arial" w:cs="Arial"/>
          <w:szCs w:val="24"/>
        </w:rPr>
        <w:t>Compte tenu de leurs postes de responsabilité au sein d</w:t>
      </w:r>
      <w:r w:rsidR="00A2037D">
        <w:rPr>
          <w:rFonts w:ascii="Arial" w:hAnsi="Arial" w:cs="Arial"/>
          <w:szCs w:val="24"/>
        </w:rPr>
        <w:t>e</w:t>
      </w:r>
      <w:r w:rsidRPr="001B5994">
        <w:rPr>
          <w:rFonts w:ascii="Arial" w:hAnsi="Arial" w:cs="Arial"/>
          <w:szCs w:val="24"/>
        </w:rPr>
        <w:t xml:space="preserve"> </w:t>
      </w:r>
      <w:r w:rsidR="00A2037D">
        <w:rPr>
          <w:rFonts w:ascii="Arial" w:hAnsi="Arial" w:cs="Arial"/>
          <w:szCs w:val="24"/>
        </w:rPr>
        <w:t>leur</w:t>
      </w:r>
      <w:r w:rsidRPr="001B5994">
        <w:rPr>
          <w:rFonts w:ascii="Arial" w:hAnsi="Arial" w:cs="Arial"/>
          <w:szCs w:val="24"/>
        </w:rPr>
        <w:t xml:space="preserve"> Ministère, la séance pourrait être planifiée pour une journée de réunion. </w:t>
      </w:r>
    </w:p>
    <w:p w14:paraId="485C1232" w14:textId="77777777" w:rsidR="00764D3E" w:rsidRPr="00764D3E" w:rsidRDefault="00764D3E" w:rsidP="0044500E">
      <w:pPr>
        <w:pStyle w:val="TIT3"/>
        <w:numPr>
          <w:ilvl w:val="2"/>
          <w:numId w:val="177"/>
        </w:numPr>
      </w:pPr>
      <w:bookmarkStart w:id="1485" w:name="_Toc98192401"/>
      <w:bookmarkStart w:id="1486" w:name="_Toc95029846"/>
      <w:bookmarkStart w:id="1487" w:name="_Toc89768145"/>
      <w:bookmarkStart w:id="1488" w:name="_Toc100755489"/>
      <w:bookmarkStart w:id="1489" w:name="_Toc124314800"/>
      <w:bookmarkStart w:id="1490" w:name="_Toc124956337"/>
      <w:bookmarkStart w:id="1491" w:name="_Toc125384684"/>
      <w:bookmarkStart w:id="1492" w:name="_Toc125385073"/>
      <w:bookmarkStart w:id="1493" w:name="_Toc127957741"/>
      <w:r w:rsidRPr="00764D3E">
        <w:t>Expertise environnementale et sociale de l’</w:t>
      </w:r>
      <w:bookmarkEnd w:id="1485"/>
      <w:bookmarkEnd w:id="1486"/>
      <w:bookmarkEnd w:id="1487"/>
      <w:bookmarkEnd w:id="1488"/>
      <w:r w:rsidRPr="00764D3E">
        <w:t>UCP</w:t>
      </w:r>
      <w:bookmarkEnd w:id="1489"/>
      <w:bookmarkEnd w:id="1490"/>
      <w:bookmarkEnd w:id="1491"/>
      <w:bookmarkEnd w:id="1492"/>
      <w:bookmarkEnd w:id="1493"/>
    </w:p>
    <w:p w14:paraId="0F32DDCF" w14:textId="77777777" w:rsidR="00764D3E" w:rsidRPr="001B5994" w:rsidRDefault="00764D3E" w:rsidP="00764D3E">
      <w:pPr>
        <w:jc w:val="both"/>
        <w:rPr>
          <w:rFonts w:ascii="Arial" w:hAnsi="Arial" w:cs="Arial"/>
          <w:szCs w:val="24"/>
        </w:rPr>
      </w:pPr>
      <w:r w:rsidRPr="001B5994">
        <w:rPr>
          <w:rFonts w:ascii="Arial" w:hAnsi="Arial" w:cs="Arial"/>
          <w:szCs w:val="24"/>
        </w:rPr>
        <w:t xml:space="preserve">Pour les équipes du Projet, notamment l’équipe « </w:t>
      </w:r>
      <w:r>
        <w:rPr>
          <w:rFonts w:ascii="Arial" w:hAnsi="Arial" w:cs="Arial"/>
          <w:szCs w:val="24"/>
        </w:rPr>
        <w:t>Responsable</w:t>
      </w:r>
      <w:r w:rsidR="00E36692">
        <w:rPr>
          <w:rFonts w:ascii="Arial" w:hAnsi="Arial" w:cs="Arial"/>
          <w:szCs w:val="24"/>
        </w:rPr>
        <w:t>s</w:t>
      </w:r>
      <w:r>
        <w:rPr>
          <w:rFonts w:ascii="Arial" w:hAnsi="Arial" w:cs="Arial"/>
          <w:szCs w:val="24"/>
        </w:rPr>
        <w:t xml:space="preserve"> de</w:t>
      </w:r>
      <w:r w:rsidR="00E36692">
        <w:rPr>
          <w:rFonts w:ascii="Arial" w:hAnsi="Arial" w:cs="Arial"/>
          <w:szCs w:val="24"/>
        </w:rPr>
        <w:t>s gestions des risques environnementaux et sociaux</w:t>
      </w:r>
      <w:r w:rsidRPr="001B5994">
        <w:rPr>
          <w:rFonts w:ascii="Arial" w:hAnsi="Arial" w:cs="Arial"/>
          <w:szCs w:val="24"/>
        </w:rPr>
        <w:t xml:space="preserve"> », l’on prévoit les thématiques suivantes qui, éventuellement, pourraient être complétées :</w:t>
      </w:r>
    </w:p>
    <w:p w14:paraId="2D741947" w14:textId="77777777" w:rsidR="00764D3E" w:rsidRPr="001B5994" w:rsidRDefault="00764D3E" w:rsidP="00687DD2">
      <w:pPr>
        <w:pStyle w:val="Paragraphedeliste"/>
        <w:numPr>
          <w:ilvl w:val="0"/>
          <w:numId w:val="28"/>
        </w:numPr>
        <w:spacing w:before="280" w:after="0" w:line="240" w:lineRule="auto"/>
        <w:jc w:val="both"/>
        <w:rPr>
          <w:rFonts w:ascii="Arial" w:hAnsi="Arial" w:cs="Arial"/>
          <w:szCs w:val="24"/>
        </w:rPr>
      </w:pPr>
      <w:r w:rsidRPr="001B5994">
        <w:rPr>
          <w:rFonts w:ascii="Arial" w:hAnsi="Arial" w:cs="Arial"/>
          <w:szCs w:val="24"/>
        </w:rPr>
        <w:t xml:space="preserve">CES, NES et Directives EHS du Groupe de la Banque </w:t>
      </w:r>
      <w:r w:rsidR="0023459D">
        <w:rPr>
          <w:rFonts w:ascii="Arial" w:hAnsi="Arial" w:cs="Arial"/>
          <w:szCs w:val="24"/>
        </w:rPr>
        <w:t>m</w:t>
      </w:r>
      <w:r w:rsidRPr="001B5994">
        <w:rPr>
          <w:rFonts w:ascii="Arial" w:hAnsi="Arial" w:cs="Arial"/>
          <w:szCs w:val="24"/>
        </w:rPr>
        <w:t>ondiale</w:t>
      </w:r>
      <w:r w:rsidR="0023459D">
        <w:rPr>
          <w:rFonts w:ascii="Arial" w:hAnsi="Arial" w:cs="Arial"/>
          <w:szCs w:val="24"/>
        </w:rPr>
        <w:t> ;</w:t>
      </w:r>
    </w:p>
    <w:p w14:paraId="59FA92C8" w14:textId="77777777" w:rsidR="00764D3E" w:rsidRPr="001B5994" w:rsidRDefault="00764D3E" w:rsidP="00687DD2">
      <w:pPr>
        <w:pStyle w:val="Paragraphedeliste"/>
        <w:numPr>
          <w:ilvl w:val="0"/>
          <w:numId w:val="28"/>
        </w:numPr>
        <w:spacing w:before="280" w:after="0" w:line="240" w:lineRule="auto"/>
        <w:jc w:val="both"/>
        <w:rPr>
          <w:rFonts w:ascii="Arial" w:hAnsi="Arial" w:cs="Arial"/>
          <w:szCs w:val="24"/>
        </w:rPr>
      </w:pPr>
      <w:r w:rsidRPr="001B5994">
        <w:rPr>
          <w:rFonts w:ascii="Arial" w:hAnsi="Arial" w:cs="Arial"/>
          <w:szCs w:val="24"/>
        </w:rPr>
        <w:t>Mobilisation des Parties Prenantes</w:t>
      </w:r>
      <w:r w:rsidR="0023459D">
        <w:rPr>
          <w:rFonts w:ascii="Arial" w:hAnsi="Arial" w:cs="Arial"/>
          <w:szCs w:val="24"/>
        </w:rPr>
        <w:t> ;</w:t>
      </w:r>
    </w:p>
    <w:p w14:paraId="7CDDE243" w14:textId="77777777" w:rsidR="00764D3E" w:rsidRPr="001B5994" w:rsidRDefault="00764D3E" w:rsidP="4E4A4666">
      <w:pPr>
        <w:pStyle w:val="Paragraphedeliste"/>
        <w:numPr>
          <w:ilvl w:val="0"/>
          <w:numId w:val="28"/>
        </w:numPr>
        <w:spacing w:before="280" w:after="0" w:line="240" w:lineRule="auto"/>
        <w:jc w:val="both"/>
        <w:rPr>
          <w:rFonts w:ascii="Arial" w:hAnsi="Arial" w:cs="Arial"/>
        </w:rPr>
      </w:pPr>
      <w:r w:rsidRPr="4E4A4666">
        <w:rPr>
          <w:rFonts w:ascii="Arial" w:hAnsi="Arial" w:cs="Arial"/>
        </w:rPr>
        <w:t>Santé et sécurité des travailleurs et des communautés</w:t>
      </w:r>
      <w:r w:rsidR="0023459D" w:rsidRPr="4E4A4666">
        <w:rPr>
          <w:rFonts w:ascii="Arial" w:hAnsi="Arial" w:cs="Arial"/>
        </w:rPr>
        <w:t> </w:t>
      </w:r>
    </w:p>
    <w:p w14:paraId="673E1BD9" w14:textId="77777777" w:rsidR="00764D3E" w:rsidRPr="001B5994" w:rsidRDefault="1CC1DDC1" w:rsidP="00687DD2">
      <w:pPr>
        <w:pStyle w:val="Paragraphedeliste"/>
        <w:numPr>
          <w:ilvl w:val="0"/>
          <w:numId w:val="28"/>
        </w:numPr>
        <w:spacing w:before="280" w:after="0" w:line="240" w:lineRule="auto"/>
        <w:jc w:val="both"/>
        <w:rPr>
          <w:rFonts w:ascii="Arial" w:hAnsi="Arial" w:cs="Arial"/>
        </w:rPr>
      </w:pPr>
      <w:r w:rsidRPr="4E4A4666">
        <w:rPr>
          <w:rFonts w:ascii="Arial" w:hAnsi="Arial" w:cs="Arial"/>
        </w:rPr>
        <w:t xml:space="preserve">La gestion des déchets générés par les activités du projet, dont les DEEE </w:t>
      </w:r>
      <w:r w:rsidR="0023459D" w:rsidRPr="4E4A4666">
        <w:rPr>
          <w:rFonts w:ascii="Arial" w:hAnsi="Arial" w:cs="Arial"/>
        </w:rPr>
        <w:t>;</w:t>
      </w:r>
    </w:p>
    <w:p w14:paraId="54BF493E" w14:textId="77777777" w:rsidR="00764D3E" w:rsidRPr="001B5994" w:rsidRDefault="00764D3E" w:rsidP="00687DD2">
      <w:pPr>
        <w:pStyle w:val="Paragraphedeliste"/>
        <w:numPr>
          <w:ilvl w:val="0"/>
          <w:numId w:val="28"/>
        </w:numPr>
        <w:spacing w:before="280" w:after="0" w:line="240" w:lineRule="auto"/>
        <w:jc w:val="both"/>
        <w:rPr>
          <w:rFonts w:ascii="Arial" w:hAnsi="Arial" w:cs="Arial"/>
          <w:szCs w:val="24"/>
        </w:rPr>
      </w:pPr>
      <w:r w:rsidRPr="639F2DD4">
        <w:rPr>
          <w:rFonts w:ascii="Arial" w:hAnsi="Arial" w:cs="Arial"/>
        </w:rPr>
        <w:t>Atténuation des risques de VBG</w:t>
      </w:r>
      <w:r w:rsidR="0023459D" w:rsidRPr="639F2DD4">
        <w:rPr>
          <w:rFonts w:ascii="Arial" w:hAnsi="Arial" w:cs="Arial"/>
        </w:rPr>
        <w:t> ;</w:t>
      </w:r>
    </w:p>
    <w:p w14:paraId="4969C190" w14:textId="77777777" w:rsidR="00764D3E" w:rsidRPr="001B5994" w:rsidRDefault="00764D3E" w:rsidP="00687DD2">
      <w:pPr>
        <w:pStyle w:val="Paragraphedeliste"/>
        <w:numPr>
          <w:ilvl w:val="0"/>
          <w:numId w:val="28"/>
        </w:numPr>
        <w:spacing w:before="280" w:after="0" w:line="240" w:lineRule="auto"/>
        <w:jc w:val="both"/>
        <w:rPr>
          <w:rFonts w:ascii="Arial" w:hAnsi="Arial" w:cs="Arial"/>
          <w:szCs w:val="24"/>
        </w:rPr>
      </w:pPr>
      <w:r w:rsidRPr="639F2DD4">
        <w:rPr>
          <w:rFonts w:ascii="Arial" w:hAnsi="Arial" w:cs="Arial"/>
        </w:rPr>
        <w:t>Préparation et intervention en cas d’urgence</w:t>
      </w:r>
      <w:r w:rsidR="0023459D" w:rsidRPr="639F2DD4">
        <w:rPr>
          <w:rFonts w:ascii="Arial" w:hAnsi="Arial" w:cs="Arial"/>
        </w:rPr>
        <w:t> ;</w:t>
      </w:r>
    </w:p>
    <w:p w14:paraId="79339CAE" w14:textId="77777777" w:rsidR="00764D3E" w:rsidRPr="001B5994" w:rsidRDefault="00764D3E" w:rsidP="00687DD2">
      <w:pPr>
        <w:pStyle w:val="Paragraphedeliste"/>
        <w:numPr>
          <w:ilvl w:val="0"/>
          <w:numId w:val="28"/>
        </w:numPr>
        <w:spacing w:before="280" w:after="0" w:line="240" w:lineRule="auto"/>
        <w:jc w:val="both"/>
        <w:rPr>
          <w:rFonts w:ascii="Arial" w:hAnsi="Arial" w:cs="Arial"/>
          <w:szCs w:val="24"/>
        </w:rPr>
      </w:pPr>
      <w:r w:rsidRPr="639F2DD4">
        <w:rPr>
          <w:rFonts w:ascii="Arial" w:hAnsi="Arial" w:cs="Arial"/>
        </w:rPr>
        <w:t>Formation sur l’inclusion des groupes vulnérables et défavorisés dans le processus de consultation</w:t>
      </w:r>
      <w:r w:rsidR="0023459D" w:rsidRPr="639F2DD4">
        <w:rPr>
          <w:rFonts w:ascii="Arial" w:hAnsi="Arial" w:cs="Arial"/>
        </w:rPr>
        <w:t> ;</w:t>
      </w:r>
    </w:p>
    <w:p w14:paraId="4C0ECA94" w14:textId="77777777" w:rsidR="00764D3E" w:rsidRPr="001B5994" w:rsidRDefault="00764D3E" w:rsidP="00687DD2">
      <w:pPr>
        <w:pStyle w:val="Paragraphedeliste"/>
        <w:numPr>
          <w:ilvl w:val="0"/>
          <w:numId w:val="28"/>
        </w:numPr>
        <w:spacing w:before="280" w:after="0" w:line="240" w:lineRule="auto"/>
        <w:jc w:val="both"/>
        <w:rPr>
          <w:rFonts w:ascii="Arial" w:hAnsi="Arial" w:cs="Arial"/>
          <w:szCs w:val="24"/>
        </w:rPr>
      </w:pPr>
      <w:r w:rsidRPr="639F2DD4">
        <w:rPr>
          <w:rFonts w:ascii="Arial" w:hAnsi="Arial" w:cs="Arial"/>
        </w:rPr>
        <w:t>Mécanisme de gestion des plaintes</w:t>
      </w:r>
      <w:r w:rsidR="0023459D" w:rsidRPr="639F2DD4">
        <w:rPr>
          <w:rFonts w:ascii="Arial" w:hAnsi="Arial" w:cs="Arial"/>
        </w:rPr>
        <w:t> ;</w:t>
      </w:r>
    </w:p>
    <w:p w14:paraId="6E7E63E8" w14:textId="77777777" w:rsidR="00764D3E" w:rsidRPr="001B5994" w:rsidRDefault="00764D3E" w:rsidP="00687DD2">
      <w:pPr>
        <w:pStyle w:val="Paragraphedeliste"/>
        <w:numPr>
          <w:ilvl w:val="0"/>
          <w:numId w:val="28"/>
        </w:numPr>
        <w:spacing w:before="280" w:after="0" w:line="240" w:lineRule="auto"/>
        <w:jc w:val="both"/>
        <w:rPr>
          <w:rFonts w:ascii="Arial" w:hAnsi="Arial" w:cs="Arial"/>
          <w:szCs w:val="24"/>
        </w:rPr>
      </w:pPr>
      <w:r w:rsidRPr="639F2DD4">
        <w:rPr>
          <w:rFonts w:ascii="Arial" w:hAnsi="Arial" w:cs="Arial"/>
        </w:rPr>
        <w:t>Développement, mise en œuvre, suivi et reporting en conformité au PGMO</w:t>
      </w:r>
      <w:r w:rsidR="0023459D" w:rsidRPr="639F2DD4">
        <w:rPr>
          <w:rFonts w:ascii="Arial" w:hAnsi="Arial" w:cs="Arial"/>
        </w:rPr>
        <w:t> ;</w:t>
      </w:r>
    </w:p>
    <w:p w14:paraId="01CBBAD0" w14:textId="77777777" w:rsidR="00764D3E" w:rsidRPr="001B5994" w:rsidRDefault="00764D3E" w:rsidP="00687DD2">
      <w:pPr>
        <w:pStyle w:val="Paragraphedeliste"/>
        <w:numPr>
          <w:ilvl w:val="0"/>
          <w:numId w:val="28"/>
        </w:numPr>
        <w:spacing w:before="280" w:after="0" w:line="240" w:lineRule="auto"/>
        <w:jc w:val="both"/>
        <w:rPr>
          <w:rFonts w:ascii="Arial" w:hAnsi="Arial" w:cs="Arial"/>
          <w:szCs w:val="24"/>
        </w:rPr>
      </w:pPr>
      <w:r w:rsidRPr="639F2DD4">
        <w:rPr>
          <w:rFonts w:ascii="Arial" w:hAnsi="Arial" w:cs="Arial"/>
        </w:rPr>
        <w:t>Sensibilisation, conscientisation et prévention sur les infections sexuellement transmissibles : VIH/SIDA, …</w:t>
      </w:r>
    </w:p>
    <w:p w14:paraId="7FCA7707" w14:textId="77777777" w:rsidR="00764D3E" w:rsidRPr="001B5994" w:rsidRDefault="00764D3E" w:rsidP="00687DD2">
      <w:pPr>
        <w:pStyle w:val="Paragraphedeliste"/>
        <w:numPr>
          <w:ilvl w:val="0"/>
          <w:numId w:val="28"/>
        </w:numPr>
        <w:spacing w:before="280" w:after="0" w:line="240" w:lineRule="auto"/>
        <w:jc w:val="both"/>
        <w:rPr>
          <w:rFonts w:ascii="Arial" w:hAnsi="Arial" w:cs="Arial"/>
          <w:szCs w:val="24"/>
        </w:rPr>
      </w:pPr>
      <w:r w:rsidRPr="639F2DD4">
        <w:rPr>
          <w:rFonts w:ascii="Arial" w:hAnsi="Arial" w:cs="Arial"/>
        </w:rPr>
        <w:t>Sensibilisation sur VBG incluant AES-HS et protection de l’enfant</w:t>
      </w:r>
      <w:r w:rsidR="0023459D" w:rsidRPr="639F2DD4">
        <w:rPr>
          <w:rFonts w:ascii="Arial" w:hAnsi="Arial" w:cs="Arial"/>
        </w:rPr>
        <w:t> ;</w:t>
      </w:r>
    </w:p>
    <w:p w14:paraId="154553F7" w14:textId="77777777" w:rsidR="00764D3E" w:rsidRPr="001B5994" w:rsidRDefault="00764D3E" w:rsidP="00687DD2">
      <w:pPr>
        <w:pStyle w:val="Paragraphedeliste"/>
        <w:numPr>
          <w:ilvl w:val="0"/>
          <w:numId w:val="28"/>
        </w:numPr>
        <w:spacing w:before="280" w:after="0" w:line="240" w:lineRule="auto"/>
        <w:jc w:val="both"/>
        <w:rPr>
          <w:rFonts w:ascii="Arial" w:hAnsi="Arial" w:cs="Arial"/>
          <w:szCs w:val="24"/>
        </w:rPr>
      </w:pPr>
      <w:r w:rsidRPr="639F2DD4">
        <w:rPr>
          <w:rFonts w:ascii="Arial" w:hAnsi="Arial" w:cs="Arial"/>
        </w:rPr>
        <w:t xml:space="preserve">Sensibilisation sur les mesures barrières contre la propagation du COVID </w:t>
      </w:r>
      <w:r w:rsidR="0023459D" w:rsidRPr="639F2DD4">
        <w:rPr>
          <w:rFonts w:ascii="Arial" w:hAnsi="Arial" w:cs="Arial"/>
        </w:rPr>
        <w:t>–</w:t>
      </w:r>
      <w:r w:rsidRPr="639F2DD4">
        <w:rPr>
          <w:rFonts w:ascii="Arial" w:hAnsi="Arial" w:cs="Arial"/>
        </w:rPr>
        <w:t xml:space="preserve"> 19</w:t>
      </w:r>
      <w:r w:rsidR="0023459D" w:rsidRPr="639F2DD4">
        <w:rPr>
          <w:rFonts w:ascii="Arial" w:hAnsi="Arial" w:cs="Arial"/>
        </w:rPr>
        <w:t> ;</w:t>
      </w:r>
    </w:p>
    <w:p w14:paraId="1FB2DE0F" w14:textId="77777777" w:rsidR="00764D3E" w:rsidRPr="001B5994" w:rsidRDefault="00764D3E" w:rsidP="00687DD2">
      <w:pPr>
        <w:pStyle w:val="Paragraphedeliste"/>
        <w:numPr>
          <w:ilvl w:val="0"/>
          <w:numId w:val="28"/>
        </w:numPr>
        <w:spacing w:before="280" w:after="0" w:line="240" w:lineRule="auto"/>
        <w:jc w:val="both"/>
        <w:rPr>
          <w:rFonts w:ascii="Arial" w:hAnsi="Arial" w:cs="Arial"/>
          <w:szCs w:val="24"/>
        </w:rPr>
      </w:pPr>
      <w:r w:rsidRPr="639F2DD4">
        <w:rPr>
          <w:rFonts w:ascii="Arial" w:hAnsi="Arial" w:cs="Arial"/>
        </w:rPr>
        <w:t>Mise en œuvre d’un PR</w:t>
      </w:r>
      <w:r w:rsidR="0023459D" w:rsidRPr="639F2DD4">
        <w:rPr>
          <w:rFonts w:ascii="Arial" w:hAnsi="Arial" w:cs="Arial"/>
        </w:rPr>
        <w:t> ;</w:t>
      </w:r>
    </w:p>
    <w:p w14:paraId="2BFDA930" w14:textId="77777777" w:rsidR="00764D3E" w:rsidRPr="001B5994" w:rsidRDefault="00764D3E" w:rsidP="00687DD2">
      <w:pPr>
        <w:pStyle w:val="Paragraphedeliste"/>
        <w:numPr>
          <w:ilvl w:val="0"/>
          <w:numId w:val="28"/>
        </w:numPr>
        <w:spacing w:before="280" w:after="0" w:line="240" w:lineRule="auto"/>
        <w:jc w:val="both"/>
        <w:rPr>
          <w:rFonts w:ascii="Arial" w:hAnsi="Arial" w:cs="Arial"/>
          <w:szCs w:val="24"/>
        </w:rPr>
      </w:pPr>
      <w:r w:rsidRPr="639F2DD4">
        <w:rPr>
          <w:rFonts w:ascii="Arial" w:hAnsi="Arial" w:cs="Arial"/>
        </w:rPr>
        <w:t>Mise en œuvre des procédures en cas de découverte fortuite</w:t>
      </w:r>
      <w:r w:rsidR="0023459D" w:rsidRPr="639F2DD4">
        <w:rPr>
          <w:rFonts w:ascii="Arial" w:hAnsi="Arial" w:cs="Arial"/>
        </w:rPr>
        <w:t> ;</w:t>
      </w:r>
    </w:p>
    <w:p w14:paraId="3D5051B5" w14:textId="77777777" w:rsidR="00764D3E" w:rsidRPr="00F01166" w:rsidRDefault="00764D3E" w:rsidP="00F01166">
      <w:pPr>
        <w:pStyle w:val="Paragraphedeliste"/>
        <w:numPr>
          <w:ilvl w:val="0"/>
          <w:numId w:val="28"/>
        </w:numPr>
        <w:spacing w:before="280" w:after="0" w:line="240" w:lineRule="auto"/>
        <w:jc w:val="both"/>
        <w:rPr>
          <w:rFonts w:ascii="Arial" w:hAnsi="Arial" w:cs="Arial"/>
          <w:szCs w:val="24"/>
        </w:rPr>
      </w:pPr>
      <w:r w:rsidRPr="639F2DD4">
        <w:rPr>
          <w:rFonts w:ascii="Arial" w:hAnsi="Arial" w:cs="Arial"/>
        </w:rPr>
        <w:t>Concept d’accès universel et non-discrimination</w:t>
      </w:r>
      <w:r w:rsidR="0023459D" w:rsidRPr="639F2DD4">
        <w:rPr>
          <w:rFonts w:ascii="Arial" w:hAnsi="Arial" w:cs="Arial"/>
        </w:rPr>
        <w:t>.</w:t>
      </w:r>
    </w:p>
    <w:p w14:paraId="4D5B5A3B" w14:textId="77777777" w:rsidR="00764D3E" w:rsidRPr="00764D3E" w:rsidRDefault="00764D3E" w:rsidP="0044500E">
      <w:pPr>
        <w:pStyle w:val="TIT3"/>
        <w:numPr>
          <w:ilvl w:val="2"/>
          <w:numId w:val="177"/>
        </w:numPr>
      </w:pPr>
      <w:bookmarkStart w:id="1494" w:name="_Toc98192402"/>
      <w:bookmarkStart w:id="1495" w:name="_Toc95029847"/>
      <w:bookmarkStart w:id="1496" w:name="_Toc100755490"/>
      <w:bookmarkStart w:id="1497" w:name="_Toc124314801"/>
      <w:bookmarkStart w:id="1498" w:name="_Toc124956338"/>
      <w:bookmarkStart w:id="1499" w:name="_Toc125384685"/>
      <w:bookmarkStart w:id="1500" w:name="_Toc125385074"/>
      <w:bookmarkStart w:id="1501" w:name="_Toc127957742"/>
      <w:r w:rsidRPr="00764D3E">
        <w:t>Thèmes de Formation pour les Autres Parties Prenantes</w:t>
      </w:r>
      <w:bookmarkStart w:id="1502" w:name="_Toc89768146"/>
      <w:r w:rsidRPr="00764D3E">
        <w:t xml:space="preserve"> et Entreprises</w:t>
      </w:r>
      <w:bookmarkEnd w:id="1494"/>
      <w:bookmarkEnd w:id="1495"/>
      <w:bookmarkEnd w:id="1496"/>
      <w:bookmarkEnd w:id="1497"/>
      <w:bookmarkEnd w:id="1498"/>
      <w:bookmarkEnd w:id="1499"/>
      <w:bookmarkEnd w:id="1500"/>
      <w:bookmarkEnd w:id="1501"/>
      <w:bookmarkEnd w:id="1502"/>
    </w:p>
    <w:p w14:paraId="44A15C3B" w14:textId="77777777" w:rsidR="00764D3E" w:rsidRDefault="00764D3E" w:rsidP="00764D3E">
      <w:pPr>
        <w:jc w:val="both"/>
        <w:rPr>
          <w:rFonts w:ascii="Arial" w:hAnsi="Arial" w:cs="Arial"/>
          <w:szCs w:val="24"/>
        </w:rPr>
      </w:pPr>
      <w:r w:rsidRPr="001B5994">
        <w:rPr>
          <w:rFonts w:ascii="Arial" w:hAnsi="Arial" w:cs="Arial"/>
          <w:szCs w:val="24"/>
        </w:rPr>
        <w:t>Les thèmes de formation sont définis ultérieurement dans le cadre EIES et PGES du sous-projet après une étude plus élaborée des dangers et risques encourus par les travailleurs et les riverains. Ensuite, un plan de concertation et de formation sera conçu, en lien avec la liste non exhaustive des postes à risque suivante : manipulation de produits dangereux, soudeur, ferrailleur, conducteurs d’engins, ... ; avec un tableau d’identification et de qualification des risques et mis en œuvre tout au long de la durée de vie du projet.</w:t>
      </w:r>
    </w:p>
    <w:p w14:paraId="7D5C1241" w14:textId="77777777" w:rsidR="00384105" w:rsidRPr="001B5994" w:rsidRDefault="00384105" w:rsidP="00384105">
      <w:pPr>
        <w:jc w:val="both"/>
        <w:rPr>
          <w:rFonts w:ascii="Arial" w:hAnsi="Arial" w:cs="Arial"/>
          <w:szCs w:val="24"/>
        </w:rPr>
      </w:pPr>
      <w:r w:rsidRPr="001B5994">
        <w:rPr>
          <w:rFonts w:ascii="Arial" w:hAnsi="Arial" w:cs="Arial"/>
          <w:szCs w:val="24"/>
        </w:rPr>
        <w:t>Pour les travailleurs contractuels, les formations concerneront (liste non exhaustive) :</w:t>
      </w:r>
    </w:p>
    <w:p w14:paraId="50354B1D" w14:textId="77777777" w:rsidR="00384105" w:rsidRPr="001B5994" w:rsidRDefault="00384105" w:rsidP="00384105">
      <w:pPr>
        <w:pStyle w:val="Paragraphedeliste"/>
        <w:numPr>
          <w:ilvl w:val="0"/>
          <w:numId w:val="28"/>
        </w:numPr>
        <w:spacing w:before="280" w:after="0" w:line="240" w:lineRule="auto"/>
        <w:jc w:val="both"/>
        <w:rPr>
          <w:rFonts w:ascii="Arial" w:hAnsi="Arial" w:cs="Arial"/>
          <w:szCs w:val="24"/>
        </w:rPr>
      </w:pPr>
      <w:r w:rsidRPr="639F2DD4">
        <w:rPr>
          <w:rFonts w:ascii="Arial" w:hAnsi="Arial" w:cs="Arial"/>
        </w:rPr>
        <w:t>Initiation au CES, aux NES et aux Directives HSSE du Groupe de la Banque mondiale ;</w:t>
      </w:r>
    </w:p>
    <w:p w14:paraId="278F68FC" w14:textId="77777777" w:rsidR="00384105" w:rsidRPr="001B5994" w:rsidRDefault="00384105" w:rsidP="00384105">
      <w:pPr>
        <w:pStyle w:val="Paragraphedeliste"/>
        <w:numPr>
          <w:ilvl w:val="0"/>
          <w:numId w:val="28"/>
        </w:numPr>
        <w:spacing w:before="280" w:after="0" w:line="240" w:lineRule="auto"/>
        <w:jc w:val="both"/>
        <w:rPr>
          <w:rFonts w:ascii="Arial" w:hAnsi="Arial" w:cs="Arial"/>
          <w:szCs w:val="24"/>
        </w:rPr>
      </w:pPr>
      <w:r w:rsidRPr="639F2DD4">
        <w:rPr>
          <w:rFonts w:ascii="Arial" w:hAnsi="Arial" w:cs="Arial"/>
        </w:rPr>
        <w:t>Mise en œuvre des PGES, dont :</w:t>
      </w:r>
    </w:p>
    <w:p w14:paraId="43BB5008" w14:textId="77777777" w:rsidR="00384105" w:rsidRPr="001B5994" w:rsidRDefault="00384105" w:rsidP="00384105">
      <w:pPr>
        <w:pStyle w:val="Paragraphedeliste"/>
        <w:numPr>
          <w:ilvl w:val="0"/>
          <w:numId w:val="28"/>
        </w:numPr>
        <w:spacing w:before="280" w:after="0" w:line="240" w:lineRule="auto"/>
        <w:jc w:val="both"/>
        <w:rPr>
          <w:rFonts w:ascii="Arial" w:hAnsi="Arial" w:cs="Arial"/>
          <w:szCs w:val="24"/>
        </w:rPr>
      </w:pPr>
      <w:r w:rsidRPr="639F2DD4">
        <w:rPr>
          <w:rFonts w:ascii="Arial" w:hAnsi="Arial" w:cs="Arial"/>
        </w:rPr>
        <w:t>Santé et sécurité des travailleurs et des communautés ;</w:t>
      </w:r>
    </w:p>
    <w:p w14:paraId="03FA1D80" w14:textId="77777777" w:rsidR="00384105" w:rsidRPr="001B5994" w:rsidRDefault="00384105" w:rsidP="00384105">
      <w:pPr>
        <w:pStyle w:val="Paragraphedeliste"/>
        <w:numPr>
          <w:ilvl w:val="0"/>
          <w:numId w:val="28"/>
        </w:numPr>
        <w:spacing w:before="280" w:after="0" w:line="240" w:lineRule="auto"/>
        <w:jc w:val="both"/>
        <w:rPr>
          <w:rFonts w:ascii="Arial" w:hAnsi="Arial" w:cs="Arial"/>
          <w:szCs w:val="24"/>
        </w:rPr>
      </w:pPr>
      <w:r w:rsidRPr="639F2DD4">
        <w:rPr>
          <w:rFonts w:ascii="Arial" w:hAnsi="Arial" w:cs="Arial"/>
        </w:rPr>
        <w:t>Sensibilisation sur les VBG, lutte et prévention ;</w:t>
      </w:r>
    </w:p>
    <w:p w14:paraId="2D4A5BC4" w14:textId="77777777" w:rsidR="00384105" w:rsidRPr="001B5994" w:rsidRDefault="00384105" w:rsidP="00384105">
      <w:pPr>
        <w:pStyle w:val="Paragraphedeliste"/>
        <w:numPr>
          <w:ilvl w:val="0"/>
          <w:numId w:val="28"/>
        </w:numPr>
        <w:spacing w:before="280" w:after="0" w:line="240" w:lineRule="auto"/>
        <w:jc w:val="both"/>
        <w:rPr>
          <w:rFonts w:ascii="Arial" w:hAnsi="Arial" w:cs="Arial"/>
          <w:szCs w:val="24"/>
        </w:rPr>
      </w:pPr>
      <w:r w:rsidRPr="639F2DD4">
        <w:rPr>
          <w:rFonts w:ascii="Arial" w:hAnsi="Arial" w:cs="Arial"/>
        </w:rPr>
        <w:t>Préparation et intervention en cas d’urgence ;</w:t>
      </w:r>
    </w:p>
    <w:p w14:paraId="18AF44BF" w14:textId="77777777" w:rsidR="00384105" w:rsidRPr="001B5994" w:rsidRDefault="00384105" w:rsidP="00384105">
      <w:pPr>
        <w:pStyle w:val="Paragraphedeliste"/>
        <w:numPr>
          <w:ilvl w:val="0"/>
          <w:numId w:val="28"/>
        </w:numPr>
        <w:spacing w:before="280" w:after="0" w:line="240" w:lineRule="auto"/>
        <w:jc w:val="both"/>
        <w:rPr>
          <w:rFonts w:ascii="Arial" w:hAnsi="Arial" w:cs="Arial"/>
          <w:szCs w:val="24"/>
        </w:rPr>
      </w:pPr>
      <w:r w:rsidRPr="639F2DD4">
        <w:rPr>
          <w:rFonts w:ascii="Arial" w:hAnsi="Arial" w:cs="Arial"/>
        </w:rPr>
        <w:t>Mécanisme de gestion des plaintes ;</w:t>
      </w:r>
    </w:p>
    <w:p w14:paraId="16ED255C" w14:textId="77777777" w:rsidR="00384105" w:rsidRPr="001B5994" w:rsidRDefault="00384105" w:rsidP="00384105">
      <w:pPr>
        <w:pStyle w:val="Paragraphedeliste"/>
        <w:numPr>
          <w:ilvl w:val="0"/>
          <w:numId w:val="28"/>
        </w:numPr>
        <w:spacing w:before="280" w:after="0" w:line="240" w:lineRule="auto"/>
        <w:jc w:val="both"/>
        <w:rPr>
          <w:rFonts w:ascii="Arial" w:hAnsi="Arial" w:cs="Arial"/>
          <w:szCs w:val="24"/>
        </w:rPr>
      </w:pPr>
      <w:r w:rsidRPr="639F2DD4">
        <w:rPr>
          <w:rFonts w:ascii="Arial" w:hAnsi="Arial" w:cs="Arial"/>
        </w:rPr>
        <w:t>Développement, mise en œuvre, suivi et reporting en conformité au PGMO ;</w:t>
      </w:r>
    </w:p>
    <w:p w14:paraId="22BF0953" w14:textId="77777777" w:rsidR="00384105" w:rsidRPr="001B5994" w:rsidRDefault="00384105" w:rsidP="00384105">
      <w:pPr>
        <w:pStyle w:val="Paragraphedeliste"/>
        <w:numPr>
          <w:ilvl w:val="0"/>
          <w:numId w:val="28"/>
        </w:numPr>
        <w:spacing w:before="280" w:after="0" w:line="240" w:lineRule="auto"/>
        <w:jc w:val="both"/>
        <w:rPr>
          <w:rFonts w:ascii="Arial" w:hAnsi="Arial" w:cs="Arial"/>
          <w:szCs w:val="24"/>
        </w:rPr>
      </w:pPr>
      <w:r w:rsidRPr="639F2DD4">
        <w:rPr>
          <w:rFonts w:ascii="Arial" w:hAnsi="Arial" w:cs="Arial"/>
        </w:rPr>
        <w:t>Sensibilisation, conscientisation et prévention sur les infections sexuellement transmissibles : VIH/SIDA, …</w:t>
      </w:r>
    </w:p>
    <w:p w14:paraId="15D572E5" w14:textId="77777777" w:rsidR="00384105" w:rsidRPr="001B5994" w:rsidRDefault="00384105" w:rsidP="00384105">
      <w:pPr>
        <w:pStyle w:val="Paragraphedeliste"/>
        <w:numPr>
          <w:ilvl w:val="0"/>
          <w:numId w:val="28"/>
        </w:numPr>
        <w:spacing w:before="280" w:after="0" w:line="240" w:lineRule="auto"/>
        <w:jc w:val="both"/>
        <w:rPr>
          <w:rFonts w:ascii="Arial" w:hAnsi="Arial" w:cs="Arial"/>
          <w:szCs w:val="24"/>
        </w:rPr>
      </w:pPr>
      <w:r w:rsidRPr="639F2DD4">
        <w:rPr>
          <w:rFonts w:ascii="Arial" w:hAnsi="Arial" w:cs="Arial"/>
        </w:rPr>
        <w:t>Sensibilisation sur les mesures contre la propagation et la lutte contre le COVID – 19 </w:t>
      </w:r>
      <w:r w:rsidR="00286ACE">
        <w:rPr>
          <w:rFonts w:ascii="Arial" w:hAnsi="Arial" w:cs="Arial"/>
        </w:rPr>
        <w:t xml:space="preserve"> (cf annexe 9)</w:t>
      </w:r>
      <w:r w:rsidRPr="639F2DD4">
        <w:rPr>
          <w:rFonts w:ascii="Arial" w:hAnsi="Arial" w:cs="Arial"/>
        </w:rPr>
        <w:t>;</w:t>
      </w:r>
    </w:p>
    <w:p w14:paraId="38A58871" w14:textId="77777777" w:rsidR="00384105" w:rsidRPr="001B5994" w:rsidRDefault="00384105" w:rsidP="00384105">
      <w:pPr>
        <w:pStyle w:val="Paragraphedeliste"/>
        <w:numPr>
          <w:ilvl w:val="0"/>
          <w:numId w:val="28"/>
        </w:numPr>
        <w:spacing w:before="280" w:after="0" w:line="240" w:lineRule="auto"/>
        <w:jc w:val="both"/>
        <w:rPr>
          <w:rFonts w:ascii="Arial" w:hAnsi="Arial" w:cs="Arial"/>
          <w:szCs w:val="24"/>
        </w:rPr>
      </w:pPr>
      <w:r w:rsidRPr="639F2DD4">
        <w:rPr>
          <w:rFonts w:ascii="Arial" w:hAnsi="Arial" w:cs="Arial"/>
        </w:rPr>
        <w:t>Mise en œuvre des procédures en cas de découverte fortuite ;</w:t>
      </w:r>
    </w:p>
    <w:p w14:paraId="41703B4E" w14:textId="77777777" w:rsidR="00384105" w:rsidRDefault="00384105" w:rsidP="00384105">
      <w:pPr>
        <w:pStyle w:val="Paragraphedeliste"/>
        <w:numPr>
          <w:ilvl w:val="0"/>
          <w:numId w:val="28"/>
        </w:numPr>
        <w:spacing w:before="280" w:after="0" w:line="240" w:lineRule="auto"/>
        <w:jc w:val="both"/>
        <w:rPr>
          <w:rFonts w:ascii="Arial" w:hAnsi="Arial" w:cs="Arial"/>
          <w:szCs w:val="24"/>
        </w:rPr>
      </w:pPr>
      <w:r w:rsidRPr="639F2DD4">
        <w:rPr>
          <w:rFonts w:ascii="Arial" w:hAnsi="Arial" w:cs="Arial"/>
        </w:rPr>
        <w:t>Concept d’accès universel et non-discrimination.</w:t>
      </w:r>
    </w:p>
    <w:p w14:paraId="099FFA87" w14:textId="77777777" w:rsidR="00384105" w:rsidRPr="001B5994" w:rsidRDefault="00384105" w:rsidP="00764D3E">
      <w:pPr>
        <w:jc w:val="both"/>
        <w:rPr>
          <w:rFonts w:ascii="Arial" w:hAnsi="Arial" w:cs="Arial"/>
          <w:szCs w:val="24"/>
        </w:rPr>
      </w:pPr>
    </w:p>
    <w:p w14:paraId="595AC2B1" w14:textId="77777777" w:rsidR="00764D3E" w:rsidRPr="00764D3E" w:rsidRDefault="00764D3E" w:rsidP="0044500E">
      <w:pPr>
        <w:pStyle w:val="TIT3"/>
        <w:numPr>
          <w:ilvl w:val="2"/>
          <w:numId w:val="177"/>
        </w:numPr>
      </w:pPr>
      <w:bookmarkStart w:id="1503" w:name="_Toc124314802"/>
      <w:bookmarkStart w:id="1504" w:name="_Toc124956339"/>
      <w:bookmarkStart w:id="1505" w:name="_Toc125384686"/>
      <w:bookmarkStart w:id="1506" w:name="_Toc125385075"/>
      <w:bookmarkStart w:id="1507" w:name="_Toc127957743"/>
      <w:r w:rsidRPr="00764D3E">
        <w:t>Formation des acteurs impliqués dans la mise en œuvre du Projet</w:t>
      </w:r>
      <w:bookmarkEnd w:id="1503"/>
      <w:bookmarkEnd w:id="1504"/>
      <w:bookmarkEnd w:id="1505"/>
      <w:bookmarkEnd w:id="1506"/>
      <w:bookmarkEnd w:id="1507"/>
      <w:r w:rsidRPr="00764D3E">
        <w:t xml:space="preserve"> </w:t>
      </w:r>
    </w:p>
    <w:p w14:paraId="09EBDC3E" w14:textId="77777777" w:rsidR="00764D3E" w:rsidRPr="001B5994" w:rsidRDefault="00764D3E" w:rsidP="00764D3E">
      <w:pPr>
        <w:jc w:val="both"/>
        <w:rPr>
          <w:rFonts w:ascii="Arial" w:hAnsi="Arial" w:cs="Arial"/>
          <w:szCs w:val="24"/>
        </w:rPr>
      </w:pPr>
      <w:r w:rsidRPr="001B5994">
        <w:rPr>
          <w:rFonts w:ascii="Arial" w:hAnsi="Arial" w:cs="Arial"/>
          <w:szCs w:val="24"/>
        </w:rPr>
        <w:t>Il convient de prendre en compte les thématiques développées dans la matrice suivante, pour la formation des parties prenantes au cours de la mise en œuvre du CGES, selon le tableau ci-dessous.</w:t>
      </w:r>
    </w:p>
    <w:p w14:paraId="386CE521" w14:textId="77777777" w:rsidR="00764D3E" w:rsidRPr="00CF326F" w:rsidRDefault="00764D3E" w:rsidP="00CF326F">
      <w:pPr>
        <w:pStyle w:val="Lgende"/>
        <w:spacing w:before="120"/>
        <w:jc w:val="center"/>
        <w:rPr>
          <w:sz w:val="20"/>
        </w:rPr>
      </w:pPr>
      <w:bookmarkStart w:id="1508" w:name="_Toc121213470"/>
      <w:bookmarkStart w:id="1509" w:name="_Toc127957890"/>
      <w:r w:rsidRPr="00CF326F">
        <w:rPr>
          <w:sz w:val="20"/>
        </w:rPr>
        <w:t xml:space="preserve">Tableau </w:t>
      </w:r>
      <w:r w:rsidRPr="00CF326F">
        <w:rPr>
          <w:sz w:val="20"/>
        </w:rPr>
        <w:fldChar w:fldCharType="begin"/>
      </w:r>
      <w:r w:rsidRPr="00CF326F">
        <w:rPr>
          <w:sz w:val="20"/>
        </w:rPr>
        <w:instrText xml:space="preserve"> SEQ Tableau \* ARABIC </w:instrText>
      </w:r>
      <w:r w:rsidRPr="00CF326F">
        <w:rPr>
          <w:sz w:val="20"/>
        </w:rPr>
        <w:fldChar w:fldCharType="separate"/>
      </w:r>
      <w:r w:rsidR="005430A1">
        <w:rPr>
          <w:noProof/>
          <w:sz w:val="20"/>
        </w:rPr>
        <w:t>94</w:t>
      </w:r>
      <w:r w:rsidRPr="00CF326F">
        <w:rPr>
          <w:sz w:val="20"/>
        </w:rPr>
        <w:fldChar w:fldCharType="end"/>
      </w:r>
      <w:r w:rsidRPr="00CF326F">
        <w:rPr>
          <w:sz w:val="20"/>
        </w:rPr>
        <w:t>.Thèmes de formation et parties prenantes concernées</w:t>
      </w:r>
      <w:bookmarkEnd w:id="1508"/>
      <w:bookmarkEnd w:id="1509"/>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5439"/>
        <w:gridCol w:w="3611"/>
      </w:tblGrid>
      <w:tr w:rsidR="0063584D" w:rsidRPr="007F78CE" w14:paraId="0EBD706C" w14:textId="77777777" w:rsidTr="007F78CE">
        <w:trPr>
          <w:tblHeader/>
        </w:trPr>
        <w:tc>
          <w:tcPr>
            <w:tcW w:w="5584" w:type="dxa"/>
            <w:shd w:val="clear" w:color="auto" w:fill="4F81BD"/>
            <w:vAlign w:val="center"/>
          </w:tcPr>
          <w:p w14:paraId="449EFC14" w14:textId="77777777" w:rsidR="00764D3E" w:rsidRPr="007F78CE" w:rsidRDefault="00764D3E" w:rsidP="007F78CE">
            <w:pPr>
              <w:spacing w:after="0" w:line="240" w:lineRule="auto"/>
              <w:jc w:val="center"/>
              <w:rPr>
                <w:rFonts w:ascii="Arial" w:hAnsi="Arial" w:cs="Arial"/>
                <w:color w:val="FFFFFF"/>
                <w:sz w:val="18"/>
                <w:szCs w:val="18"/>
              </w:rPr>
            </w:pPr>
            <w:r w:rsidRPr="007F78CE">
              <w:rPr>
                <w:rFonts w:ascii="Arial" w:hAnsi="Arial" w:cs="Arial"/>
                <w:b/>
                <w:bCs/>
                <w:color w:val="FFFFFF"/>
                <w:sz w:val="18"/>
                <w:szCs w:val="18"/>
              </w:rPr>
              <w:t>Thèmes de formation</w:t>
            </w:r>
            <w:r w:rsidR="00534F94">
              <w:rPr>
                <w:rFonts w:ascii="Arial" w:hAnsi="Arial" w:cs="Arial"/>
                <w:b/>
                <w:bCs/>
                <w:color w:val="FFFFFF"/>
                <w:sz w:val="18"/>
                <w:szCs w:val="18"/>
              </w:rPr>
              <w:t>s</w:t>
            </w:r>
            <w:r w:rsidRPr="007F78CE">
              <w:rPr>
                <w:rFonts w:ascii="Arial" w:hAnsi="Arial" w:cs="Arial"/>
                <w:b/>
                <w:bCs/>
                <w:color w:val="FFFFFF"/>
                <w:sz w:val="18"/>
                <w:szCs w:val="18"/>
              </w:rPr>
              <w:t xml:space="preserve"> proposées</w:t>
            </w:r>
          </w:p>
        </w:tc>
        <w:tc>
          <w:tcPr>
            <w:tcW w:w="3704" w:type="dxa"/>
            <w:shd w:val="clear" w:color="auto" w:fill="4F81BD"/>
            <w:vAlign w:val="center"/>
          </w:tcPr>
          <w:p w14:paraId="223963FC" w14:textId="77777777" w:rsidR="00764D3E" w:rsidRPr="007F78CE" w:rsidRDefault="00764D3E" w:rsidP="007F78CE">
            <w:pPr>
              <w:spacing w:after="0" w:line="240" w:lineRule="auto"/>
              <w:jc w:val="center"/>
              <w:rPr>
                <w:rFonts w:ascii="Arial" w:eastAsia="Times New Roman" w:hAnsi="Arial" w:cs="Arial"/>
                <w:b/>
                <w:bCs/>
                <w:color w:val="FFFFFF"/>
                <w:sz w:val="18"/>
                <w:szCs w:val="18"/>
              </w:rPr>
            </w:pPr>
            <w:r w:rsidRPr="007F78CE">
              <w:rPr>
                <w:rFonts w:ascii="Arial" w:eastAsia="Times New Roman" w:hAnsi="Arial" w:cs="Arial"/>
                <w:b/>
                <w:bCs/>
                <w:color w:val="FFFFFF"/>
                <w:sz w:val="18"/>
                <w:szCs w:val="18"/>
              </w:rPr>
              <w:t>Acteurs concernés</w:t>
            </w:r>
          </w:p>
        </w:tc>
      </w:tr>
      <w:tr w:rsidR="0063584D" w:rsidRPr="007F78CE" w14:paraId="7271A4ED" w14:textId="77777777" w:rsidTr="007F78CE">
        <w:tc>
          <w:tcPr>
            <w:tcW w:w="5584" w:type="dxa"/>
            <w:tcBorders>
              <w:top w:val="single" w:sz="8" w:space="0" w:color="4F81BD"/>
              <w:left w:val="single" w:sz="8" w:space="0" w:color="4F81BD"/>
              <w:bottom w:val="single" w:sz="8" w:space="0" w:color="4F81BD"/>
            </w:tcBorders>
            <w:shd w:val="clear" w:color="auto" w:fill="auto"/>
          </w:tcPr>
          <w:p w14:paraId="148EA9B7" w14:textId="77777777" w:rsidR="00764D3E" w:rsidRPr="007F78CE" w:rsidRDefault="00764D3E" w:rsidP="007F78CE">
            <w:pPr>
              <w:spacing w:after="0" w:line="240" w:lineRule="auto"/>
              <w:rPr>
                <w:rFonts w:ascii="Arial" w:hAnsi="Arial" w:cs="Arial"/>
                <w:sz w:val="18"/>
                <w:szCs w:val="18"/>
                <w:u w:val="single"/>
              </w:rPr>
            </w:pPr>
            <w:r w:rsidRPr="007F78CE">
              <w:rPr>
                <w:rFonts w:ascii="Arial" w:hAnsi="Arial" w:cs="Arial"/>
                <w:b/>
                <w:bCs/>
                <w:sz w:val="18"/>
                <w:szCs w:val="18"/>
                <w:u w:val="single"/>
              </w:rPr>
              <w:t xml:space="preserve">Evaluation Environnementale et Sociale </w:t>
            </w:r>
          </w:p>
          <w:p w14:paraId="40119A16" w14:textId="77777777" w:rsidR="00764D3E" w:rsidRPr="005226F4" w:rsidRDefault="00764D3E" w:rsidP="00687DD2">
            <w:pPr>
              <w:pStyle w:val="Listecouleur-Accent12"/>
              <w:numPr>
                <w:ilvl w:val="0"/>
                <w:numId w:val="27"/>
              </w:numPr>
              <w:suppressAutoHyphens/>
              <w:ind w:left="774" w:hanging="360"/>
              <w:jc w:val="left"/>
              <w:rPr>
                <w:rFonts w:ascii="Arial" w:hAnsi="Arial" w:cs="Arial"/>
                <w:b/>
                <w:bCs/>
                <w:sz w:val="18"/>
                <w:szCs w:val="18"/>
                <w:lang w:val="fr-FR"/>
              </w:rPr>
            </w:pPr>
            <w:r w:rsidRPr="005226F4">
              <w:rPr>
                <w:rFonts w:ascii="Arial" w:hAnsi="Arial" w:cs="Arial"/>
                <w:sz w:val="18"/>
                <w:szCs w:val="18"/>
                <w:lang w:val="fr-FR"/>
              </w:rPr>
              <w:t>Procédures et Normes environnementales et sociales de la Banque mondiale</w:t>
            </w:r>
          </w:p>
          <w:p w14:paraId="7E511834" w14:textId="77777777" w:rsidR="00764D3E" w:rsidRPr="005226F4" w:rsidRDefault="00764D3E" w:rsidP="00687DD2">
            <w:pPr>
              <w:pStyle w:val="Listecouleur-Accent12"/>
              <w:numPr>
                <w:ilvl w:val="0"/>
                <w:numId w:val="27"/>
              </w:numPr>
              <w:suppressAutoHyphens/>
              <w:ind w:left="774" w:hanging="360"/>
              <w:jc w:val="left"/>
              <w:rPr>
                <w:rFonts w:ascii="Arial" w:hAnsi="Arial" w:cs="Arial"/>
                <w:b/>
                <w:bCs/>
                <w:sz w:val="18"/>
                <w:szCs w:val="18"/>
                <w:lang w:val="fr-FR"/>
              </w:rPr>
            </w:pPr>
            <w:r w:rsidRPr="005226F4">
              <w:rPr>
                <w:rFonts w:ascii="Arial" w:hAnsi="Arial" w:cs="Arial"/>
                <w:sz w:val="18"/>
                <w:szCs w:val="18"/>
                <w:lang w:val="fr-FR"/>
              </w:rPr>
              <w:t>CGES, PMPP, PGMO, MGP et CR</w:t>
            </w:r>
          </w:p>
          <w:p w14:paraId="081A7768" w14:textId="77777777" w:rsidR="00764D3E" w:rsidRPr="005226F4" w:rsidRDefault="00764D3E" w:rsidP="00687DD2">
            <w:pPr>
              <w:pStyle w:val="Listecouleur-Accent12"/>
              <w:numPr>
                <w:ilvl w:val="0"/>
                <w:numId w:val="27"/>
              </w:numPr>
              <w:suppressAutoHyphens/>
              <w:ind w:left="774" w:hanging="360"/>
              <w:jc w:val="left"/>
              <w:rPr>
                <w:rFonts w:ascii="Arial" w:hAnsi="Arial" w:cs="Arial"/>
                <w:b/>
                <w:bCs/>
                <w:sz w:val="18"/>
                <w:szCs w:val="18"/>
                <w:lang w:val="fr-FR"/>
              </w:rPr>
            </w:pPr>
            <w:r w:rsidRPr="005226F4">
              <w:rPr>
                <w:rFonts w:ascii="Arial" w:hAnsi="Arial" w:cs="Arial"/>
                <w:sz w:val="18"/>
                <w:szCs w:val="18"/>
                <w:lang w:val="fr-FR"/>
              </w:rPr>
              <w:t>Esprit de l’étude d’impact environnemental</w:t>
            </w:r>
            <w:r w:rsidR="00A2037D" w:rsidRPr="005226F4">
              <w:rPr>
                <w:rFonts w:ascii="Arial" w:hAnsi="Arial" w:cs="Arial"/>
                <w:sz w:val="18"/>
                <w:szCs w:val="18"/>
                <w:lang w:val="fr-FR"/>
              </w:rPr>
              <w:t>e</w:t>
            </w:r>
            <w:r w:rsidRPr="005226F4">
              <w:rPr>
                <w:rFonts w:ascii="Arial" w:hAnsi="Arial" w:cs="Arial"/>
                <w:sz w:val="18"/>
                <w:szCs w:val="18"/>
                <w:lang w:val="fr-FR"/>
              </w:rPr>
              <w:t xml:space="preserve"> et social</w:t>
            </w:r>
            <w:r w:rsidR="00A2037D" w:rsidRPr="005226F4">
              <w:rPr>
                <w:rFonts w:ascii="Arial" w:hAnsi="Arial" w:cs="Arial"/>
                <w:sz w:val="18"/>
                <w:szCs w:val="18"/>
                <w:lang w:val="fr-FR"/>
              </w:rPr>
              <w:t>e</w:t>
            </w:r>
            <w:r w:rsidRPr="005226F4">
              <w:rPr>
                <w:rFonts w:ascii="Arial" w:hAnsi="Arial" w:cs="Arial"/>
                <w:sz w:val="18"/>
                <w:szCs w:val="18"/>
                <w:lang w:val="fr-FR"/>
              </w:rPr>
              <w:t xml:space="preserve"> et le processus de sa mise en œuvre </w:t>
            </w:r>
          </w:p>
          <w:p w14:paraId="7A6395A3" w14:textId="77777777" w:rsidR="00764D3E" w:rsidRPr="005226F4" w:rsidRDefault="00A2037D" w:rsidP="00687DD2">
            <w:pPr>
              <w:pStyle w:val="Listecouleur-Accent12"/>
              <w:numPr>
                <w:ilvl w:val="0"/>
                <w:numId w:val="27"/>
              </w:numPr>
              <w:suppressAutoHyphens/>
              <w:ind w:left="774" w:hanging="360"/>
              <w:jc w:val="left"/>
              <w:rPr>
                <w:rFonts w:ascii="Arial" w:hAnsi="Arial" w:cs="Arial"/>
                <w:b/>
                <w:bCs/>
                <w:sz w:val="18"/>
                <w:szCs w:val="18"/>
                <w:lang w:val="fr-FR"/>
              </w:rPr>
            </w:pPr>
            <w:r w:rsidRPr="005226F4">
              <w:rPr>
                <w:rFonts w:ascii="Arial" w:hAnsi="Arial" w:cs="Arial"/>
                <w:sz w:val="18"/>
                <w:szCs w:val="18"/>
                <w:lang w:val="fr-FR"/>
              </w:rPr>
              <w:t>P</w:t>
            </w:r>
            <w:r w:rsidR="00764D3E" w:rsidRPr="005226F4">
              <w:rPr>
                <w:rFonts w:ascii="Arial" w:hAnsi="Arial" w:cs="Arial"/>
                <w:sz w:val="18"/>
                <w:szCs w:val="18"/>
                <w:lang w:val="fr-FR"/>
              </w:rPr>
              <w:t>lan de réinstallation</w:t>
            </w:r>
          </w:p>
        </w:tc>
        <w:tc>
          <w:tcPr>
            <w:tcW w:w="3704" w:type="dxa"/>
            <w:tcBorders>
              <w:top w:val="single" w:sz="8" w:space="0" w:color="4F81BD"/>
              <w:bottom w:val="single" w:sz="8" w:space="0" w:color="4F81BD"/>
              <w:right w:val="single" w:sz="8" w:space="0" w:color="4F81BD"/>
            </w:tcBorders>
            <w:shd w:val="clear" w:color="auto" w:fill="auto"/>
          </w:tcPr>
          <w:p w14:paraId="59708BA5" w14:textId="77777777" w:rsidR="00764D3E" w:rsidRPr="007F78CE" w:rsidRDefault="00764D3E" w:rsidP="007F78CE">
            <w:pPr>
              <w:spacing w:after="0" w:line="240" w:lineRule="auto"/>
              <w:ind w:left="360"/>
              <w:rPr>
                <w:rFonts w:ascii="Arial" w:eastAsia="Times New Roman" w:hAnsi="Arial" w:cs="Arial"/>
                <w:bCs/>
                <w:sz w:val="18"/>
                <w:szCs w:val="18"/>
              </w:rPr>
            </w:pPr>
          </w:p>
          <w:p w14:paraId="4DAA157A" w14:textId="77777777" w:rsidR="00764D3E" w:rsidRPr="007F78CE" w:rsidRDefault="00764D3E" w:rsidP="007F78CE">
            <w:pPr>
              <w:spacing w:after="0" w:line="240" w:lineRule="auto"/>
              <w:rPr>
                <w:rFonts w:ascii="Arial" w:eastAsia="Times New Roman" w:hAnsi="Arial" w:cs="Arial"/>
                <w:bCs/>
                <w:sz w:val="18"/>
                <w:szCs w:val="18"/>
              </w:rPr>
            </w:pPr>
            <w:r w:rsidRPr="007F78CE">
              <w:rPr>
                <w:rFonts w:ascii="Arial" w:eastAsia="Times New Roman" w:hAnsi="Arial" w:cs="Arial"/>
                <w:bCs/>
                <w:sz w:val="18"/>
                <w:szCs w:val="18"/>
              </w:rPr>
              <w:t>Membre du COPIL</w:t>
            </w:r>
          </w:p>
          <w:p w14:paraId="1106CFAD" w14:textId="77777777" w:rsidR="00764D3E" w:rsidRPr="007F78CE" w:rsidRDefault="00764D3E" w:rsidP="007F78CE">
            <w:pPr>
              <w:spacing w:after="0" w:line="240" w:lineRule="auto"/>
              <w:rPr>
                <w:rFonts w:ascii="Arial" w:eastAsia="Times New Roman" w:hAnsi="Arial" w:cs="Arial"/>
                <w:bCs/>
                <w:sz w:val="18"/>
                <w:szCs w:val="18"/>
              </w:rPr>
            </w:pPr>
            <w:r w:rsidRPr="007F78CE">
              <w:rPr>
                <w:rFonts w:ascii="Arial" w:eastAsia="Times New Roman" w:hAnsi="Arial" w:cs="Arial"/>
                <w:bCs/>
                <w:sz w:val="18"/>
                <w:szCs w:val="18"/>
              </w:rPr>
              <w:t xml:space="preserve">Responsable Environnemental et social des Maitres </w:t>
            </w:r>
            <w:r w:rsidR="00384105">
              <w:rPr>
                <w:rFonts w:ascii="Arial" w:eastAsia="Times New Roman" w:hAnsi="Arial" w:cs="Arial"/>
                <w:bCs/>
                <w:sz w:val="18"/>
                <w:szCs w:val="18"/>
              </w:rPr>
              <w:t>d’o</w:t>
            </w:r>
            <w:r w:rsidR="00384105" w:rsidRPr="007F78CE">
              <w:rPr>
                <w:rFonts w:ascii="Arial" w:eastAsia="Times New Roman" w:hAnsi="Arial" w:cs="Arial"/>
                <w:bCs/>
                <w:sz w:val="18"/>
                <w:szCs w:val="18"/>
              </w:rPr>
              <w:t>uvr</w:t>
            </w:r>
            <w:r w:rsidR="00384105">
              <w:rPr>
                <w:rFonts w:ascii="Arial" w:eastAsia="Times New Roman" w:hAnsi="Arial" w:cs="Arial"/>
                <w:bCs/>
                <w:sz w:val="18"/>
                <w:szCs w:val="18"/>
              </w:rPr>
              <w:t>age</w:t>
            </w:r>
          </w:p>
          <w:p w14:paraId="4D59D7F8" w14:textId="77777777" w:rsidR="00764D3E" w:rsidRPr="007F78CE" w:rsidRDefault="00764D3E" w:rsidP="007F78CE">
            <w:pPr>
              <w:spacing w:after="0" w:line="240" w:lineRule="auto"/>
              <w:rPr>
                <w:rFonts w:ascii="Arial" w:eastAsia="Times New Roman" w:hAnsi="Arial" w:cs="Arial"/>
                <w:bCs/>
                <w:sz w:val="18"/>
                <w:szCs w:val="18"/>
              </w:rPr>
            </w:pPr>
            <w:r w:rsidRPr="007F78CE">
              <w:rPr>
                <w:rFonts w:ascii="Arial" w:eastAsia="Times New Roman" w:hAnsi="Arial" w:cs="Arial"/>
                <w:bCs/>
                <w:sz w:val="18"/>
                <w:szCs w:val="18"/>
              </w:rPr>
              <w:t xml:space="preserve">Responsable environnemental et social des maitres </w:t>
            </w:r>
            <w:r w:rsidR="00384105" w:rsidRPr="00F01166">
              <w:rPr>
                <w:rFonts w:ascii="Arial" w:eastAsia="Times New Roman" w:hAnsi="Arial" w:cs="Arial"/>
                <w:bCs/>
                <w:sz w:val="18"/>
                <w:szCs w:val="18"/>
              </w:rPr>
              <w:t xml:space="preserve">d’ouvrage </w:t>
            </w:r>
            <w:r w:rsidRPr="007F78CE">
              <w:rPr>
                <w:rFonts w:ascii="Arial" w:eastAsia="Times New Roman" w:hAnsi="Arial" w:cs="Arial"/>
                <w:bCs/>
                <w:sz w:val="18"/>
                <w:szCs w:val="18"/>
              </w:rPr>
              <w:t>délégué</w:t>
            </w:r>
            <w:r w:rsidR="007A42B9">
              <w:rPr>
                <w:rFonts w:ascii="Arial" w:eastAsia="Times New Roman" w:hAnsi="Arial" w:cs="Arial"/>
                <w:bCs/>
                <w:sz w:val="18"/>
                <w:szCs w:val="18"/>
              </w:rPr>
              <w:t>s</w:t>
            </w:r>
          </w:p>
          <w:p w14:paraId="0ABF20CF" w14:textId="77777777" w:rsidR="00764D3E" w:rsidRPr="007F78CE" w:rsidRDefault="00764D3E" w:rsidP="007F78CE">
            <w:pPr>
              <w:spacing w:after="0" w:line="240" w:lineRule="auto"/>
              <w:rPr>
                <w:rFonts w:ascii="Arial" w:eastAsia="Times New Roman" w:hAnsi="Arial" w:cs="Arial"/>
                <w:bCs/>
                <w:sz w:val="18"/>
                <w:szCs w:val="18"/>
              </w:rPr>
            </w:pPr>
            <w:r w:rsidRPr="007F78CE">
              <w:rPr>
                <w:rFonts w:ascii="Arial" w:eastAsia="Times New Roman" w:hAnsi="Arial" w:cs="Arial"/>
                <w:bCs/>
                <w:sz w:val="18"/>
                <w:szCs w:val="18"/>
              </w:rPr>
              <w:t>Responsables de gestion des risques environnementa</w:t>
            </w:r>
            <w:r w:rsidR="00A2037D">
              <w:rPr>
                <w:rFonts w:ascii="Arial" w:eastAsia="Times New Roman" w:hAnsi="Arial" w:cs="Arial"/>
                <w:bCs/>
                <w:sz w:val="18"/>
                <w:szCs w:val="18"/>
              </w:rPr>
              <w:t>ux</w:t>
            </w:r>
            <w:r w:rsidRPr="007F78CE">
              <w:rPr>
                <w:rFonts w:ascii="Arial" w:eastAsia="Times New Roman" w:hAnsi="Arial" w:cs="Arial"/>
                <w:bCs/>
                <w:sz w:val="18"/>
                <w:szCs w:val="18"/>
              </w:rPr>
              <w:t xml:space="preserve"> et socia</w:t>
            </w:r>
            <w:r w:rsidR="00A2037D">
              <w:rPr>
                <w:rFonts w:ascii="Arial" w:eastAsia="Times New Roman" w:hAnsi="Arial" w:cs="Arial"/>
                <w:bCs/>
                <w:sz w:val="18"/>
                <w:szCs w:val="18"/>
              </w:rPr>
              <w:t>ux</w:t>
            </w:r>
            <w:r w:rsidRPr="007F78CE">
              <w:rPr>
                <w:rFonts w:ascii="Arial" w:eastAsia="Times New Roman" w:hAnsi="Arial" w:cs="Arial"/>
                <w:bCs/>
                <w:sz w:val="18"/>
                <w:szCs w:val="18"/>
              </w:rPr>
              <w:t xml:space="preserve"> du Projet</w:t>
            </w:r>
          </w:p>
          <w:p w14:paraId="615A6543" w14:textId="77777777" w:rsidR="00764D3E" w:rsidRPr="007F78CE" w:rsidRDefault="00764D3E" w:rsidP="007F78CE">
            <w:pPr>
              <w:spacing w:after="0" w:line="240" w:lineRule="auto"/>
              <w:rPr>
                <w:rFonts w:ascii="Arial" w:eastAsia="Times New Roman" w:hAnsi="Arial" w:cs="Arial"/>
                <w:b/>
                <w:bCs/>
                <w:sz w:val="18"/>
                <w:szCs w:val="18"/>
              </w:rPr>
            </w:pPr>
            <w:r w:rsidRPr="007F78CE">
              <w:rPr>
                <w:rFonts w:ascii="Arial" w:eastAsia="Times New Roman" w:hAnsi="Arial" w:cs="Arial"/>
                <w:bCs/>
                <w:sz w:val="18"/>
                <w:szCs w:val="18"/>
              </w:rPr>
              <w:t>UCP</w:t>
            </w:r>
          </w:p>
          <w:p w14:paraId="63EBA0CA" w14:textId="77777777" w:rsidR="00764D3E" w:rsidRPr="007F78CE" w:rsidRDefault="00764D3E" w:rsidP="007F78CE">
            <w:pPr>
              <w:spacing w:after="0" w:line="240" w:lineRule="auto"/>
              <w:rPr>
                <w:rFonts w:ascii="Arial" w:eastAsia="Times New Roman" w:hAnsi="Arial" w:cs="Arial"/>
                <w:bCs/>
                <w:sz w:val="18"/>
                <w:szCs w:val="18"/>
              </w:rPr>
            </w:pPr>
            <w:r w:rsidRPr="007F78CE">
              <w:rPr>
                <w:rFonts w:ascii="Arial" w:eastAsia="Times New Roman" w:hAnsi="Arial" w:cs="Arial"/>
                <w:bCs/>
                <w:sz w:val="18"/>
                <w:szCs w:val="18"/>
              </w:rPr>
              <w:t>Entreprises de construction</w:t>
            </w:r>
          </w:p>
          <w:p w14:paraId="61846356" w14:textId="77777777" w:rsidR="00764D3E" w:rsidRPr="007F78CE" w:rsidRDefault="00764D3E" w:rsidP="007F78CE">
            <w:pPr>
              <w:spacing w:after="0" w:line="240" w:lineRule="auto"/>
              <w:rPr>
                <w:rFonts w:ascii="Arial" w:eastAsia="Times New Roman" w:hAnsi="Arial" w:cs="Arial"/>
                <w:bCs/>
                <w:sz w:val="18"/>
                <w:szCs w:val="18"/>
              </w:rPr>
            </w:pPr>
            <w:r w:rsidRPr="007F78CE">
              <w:rPr>
                <w:rFonts w:ascii="Arial" w:eastAsia="Times New Roman" w:hAnsi="Arial" w:cs="Arial"/>
                <w:bCs/>
                <w:sz w:val="18"/>
                <w:szCs w:val="18"/>
              </w:rPr>
              <w:t>Bureaux d’études et de contrôle</w:t>
            </w:r>
          </w:p>
          <w:p w14:paraId="2EE3C10C" w14:textId="77777777" w:rsidR="00764D3E" w:rsidRPr="007F78CE" w:rsidRDefault="00764D3E" w:rsidP="007F78CE">
            <w:pPr>
              <w:spacing w:after="0" w:line="240" w:lineRule="auto"/>
              <w:rPr>
                <w:rFonts w:ascii="Arial" w:hAnsi="Arial" w:cs="Arial"/>
                <w:sz w:val="18"/>
                <w:szCs w:val="18"/>
              </w:rPr>
            </w:pPr>
            <w:r w:rsidRPr="007F78CE">
              <w:rPr>
                <w:rFonts w:ascii="Arial" w:eastAsia="Times New Roman" w:hAnsi="Arial" w:cs="Arial"/>
                <w:bCs/>
                <w:sz w:val="18"/>
                <w:szCs w:val="18"/>
              </w:rPr>
              <w:t>ONE</w:t>
            </w:r>
          </w:p>
        </w:tc>
      </w:tr>
      <w:tr w:rsidR="00764D3E" w:rsidRPr="007F78CE" w14:paraId="2B9F05DA" w14:textId="77777777" w:rsidTr="007F78CE">
        <w:tc>
          <w:tcPr>
            <w:tcW w:w="5584" w:type="dxa"/>
            <w:shd w:val="clear" w:color="auto" w:fill="auto"/>
          </w:tcPr>
          <w:p w14:paraId="0CD10173" w14:textId="77777777" w:rsidR="00764D3E" w:rsidRPr="007F78CE" w:rsidRDefault="00764D3E" w:rsidP="007F78CE">
            <w:pPr>
              <w:spacing w:after="0" w:line="240" w:lineRule="auto"/>
              <w:rPr>
                <w:rFonts w:ascii="Arial" w:hAnsi="Arial" w:cs="Arial"/>
                <w:sz w:val="18"/>
                <w:szCs w:val="18"/>
                <w:u w:val="single"/>
              </w:rPr>
            </w:pPr>
            <w:r w:rsidRPr="007F78CE">
              <w:rPr>
                <w:rFonts w:ascii="Arial" w:hAnsi="Arial" w:cs="Arial"/>
                <w:b/>
                <w:bCs/>
                <w:sz w:val="18"/>
                <w:szCs w:val="18"/>
                <w:u w:val="single"/>
              </w:rPr>
              <w:t xml:space="preserve">Suivi environnemental et social </w:t>
            </w:r>
          </w:p>
          <w:p w14:paraId="49315B3D" w14:textId="77777777" w:rsidR="00764D3E" w:rsidRPr="005226F4" w:rsidRDefault="00764D3E" w:rsidP="00687DD2">
            <w:pPr>
              <w:pStyle w:val="Listecouleur-Accent12"/>
              <w:numPr>
                <w:ilvl w:val="0"/>
                <w:numId w:val="27"/>
              </w:numPr>
              <w:suppressAutoHyphens/>
              <w:ind w:left="774" w:hanging="360"/>
              <w:jc w:val="left"/>
              <w:rPr>
                <w:rFonts w:ascii="Arial" w:hAnsi="Arial" w:cs="Arial"/>
                <w:b/>
                <w:bCs/>
                <w:sz w:val="18"/>
                <w:szCs w:val="18"/>
                <w:lang w:val="fr-FR"/>
              </w:rPr>
            </w:pPr>
            <w:r w:rsidRPr="005226F4">
              <w:rPr>
                <w:rFonts w:ascii="Arial" w:hAnsi="Arial" w:cs="Arial"/>
                <w:sz w:val="18"/>
                <w:szCs w:val="18"/>
                <w:lang w:val="fr-FR"/>
              </w:rPr>
              <w:t>Méthodes ou modalités de suivi</w:t>
            </w:r>
          </w:p>
          <w:p w14:paraId="0586116D" w14:textId="77777777" w:rsidR="00764D3E" w:rsidRPr="005226F4" w:rsidRDefault="00764D3E" w:rsidP="00687DD2">
            <w:pPr>
              <w:pStyle w:val="Listecouleur-Accent12"/>
              <w:numPr>
                <w:ilvl w:val="0"/>
                <w:numId w:val="27"/>
              </w:numPr>
              <w:suppressAutoHyphens/>
              <w:ind w:left="774" w:hanging="360"/>
              <w:jc w:val="left"/>
              <w:rPr>
                <w:rFonts w:ascii="Arial" w:hAnsi="Arial" w:cs="Arial"/>
                <w:b/>
                <w:bCs/>
                <w:sz w:val="18"/>
                <w:szCs w:val="18"/>
                <w:lang w:val="fr-FR"/>
              </w:rPr>
            </w:pPr>
            <w:r w:rsidRPr="005226F4">
              <w:rPr>
                <w:rFonts w:ascii="Arial" w:hAnsi="Arial" w:cs="Arial"/>
                <w:sz w:val="18"/>
                <w:szCs w:val="18"/>
                <w:lang w:val="fr-FR"/>
              </w:rPr>
              <w:t xml:space="preserve">Détermination et choix des indicateurs de suivi environnemental et social ; </w:t>
            </w:r>
          </w:p>
          <w:p w14:paraId="0357230C" w14:textId="77777777" w:rsidR="00764D3E" w:rsidRPr="005226F4" w:rsidRDefault="00764D3E" w:rsidP="00687DD2">
            <w:pPr>
              <w:pStyle w:val="Listecouleur-Accent12"/>
              <w:numPr>
                <w:ilvl w:val="0"/>
                <w:numId w:val="27"/>
              </w:numPr>
              <w:suppressAutoHyphens/>
              <w:ind w:left="774" w:hanging="360"/>
              <w:jc w:val="left"/>
              <w:rPr>
                <w:rFonts w:ascii="Arial" w:hAnsi="Arial" w:cs="Arial"/>
                <w:b/>
                <w:bCs/>
                <w:sz w:val="18"/>
                <w:szCs w:val="18"/>
                <w:lang w:val="fr-FR"/>
              </w:rPr>
            </w:pPr>
            <w:r w:rsidRPr="005226F4">
              <w:rPr>
                <w:rFonts w:ascii="Arial" w:hAnsi="Arial" w:cs="Arial"/>
                <w:sz w:val="18"/>
                <w:szCs w:val="18"/>
                <w:lang w:val="fr-FR"/>
              </w:rPr>
              <w:t>Respect et application des lois et règlementations en vigueur relatives à l’environnement</w:t>
            </w:r>
          </w:p>
        </w:tc>
        <w:tc>
          <w:tcPr>
            <w:tcW w:w="3704" w:type="dxa"/>
            <w:shd w:val="clear" w:color="auto" w:fill="auto"/>
          </w:tcPr>
          <w:p w14:paraId="40E8296C" w14:textId="77777777" w:rsidR="00764D3E" w:rsidRPr="007F78CE" w:rsidRDefault="00764D3E" w:rsidP="007F78CE">
            <w:pPr>
              <w:spacing w:after="0" w:line="240" w:lineRule="auto"/>
              <w:rPr>
                <w:rFonts w:ascii="Arial" w:hAnsi="Arial" w:cs="Arial"/>
                <w:b/>
                <w:sz w:val="18"/>
                <w:szCs w:val="18"/>
              </w:rPr>
            </w:pPr>
          </w:p>
          <w:p w14:paraId="2589F891" w14:textId="77777777" w:rsidR="00764D3E" w:rsidRPr="007F78CE" w:rsidRDefault="00764D3E" w:rsidP="007F78CE">
            <w:pPr>
              <w:spacing w:after="0" w:line="240" w:lineRule="auto"/>
              <w:rPr>
                <w:rFonts w:ascii="Arial" w:eastAsia="Times New Roman" w:hAnsi="Arial" w:cs="Arial"/>
                <w:bCs/>
                <w:sz w:val="18"/>
                <w:szCs w:val="18"/>
              </w:rPr>
            </w:pPr>
            <w:r w:rsidRPr="007F78CE">
              <w:rPr>
                <w:rFonts w:ascii="Arial" w:eastAsia="Times New Roman" w:hAnsi="Arial" w:cs="Arial"/>
                <w:bCs/>
                <w:sz w:val="18"/>
                <w:szCs w:val="18"/>
              </w:rPr>
              <w:t>Responsable Environnemental et social des Maitres d’Œuvre</w:t>
            </w:r>
          </w:p>
          <w:p w14:paraId="39118E78" w14:textId="77777777" w:rsidR="00764D3E" w:rsidRPr="007F78CE" w:rsidRDefault="00764D3E" w:rsidP="00B434A6">
            <w:pPr>
              <w:spacing w:after="0" w:line="240" w:lineRule="auto"/>
              <w:rPr>
                <w:rFonts w:ascii="Arial" w:eastAsia="Times New Roman" w:hAnsi="Arial" w:cs="Arial"/>
                <w:b/>
                <w:bCs/>
                <w:smallCaps/>
                <w:color w:val="000000"/>
                <w:sz w:val="18"/>
                <w:szCs w:val="18"/>
              </w:rPr>
            </w:pPr>
            <w:r w:rsidRPr="007F78CE">
              <w:rPr>
                <w:rFonts w:ascii="Arial" w:eastAsia="Times New Roman" w:hAnsi="Arial" w:cs="Arial"/>
                <w:bCs/>
                <w:sz w:val="18"/>
                <w:szCs w:val="18"/>
              </w:rPr>
              <w:t>Responsable environnemental et social des maitr</w:t>
            </w:r>
            <w:r w:rsidR="00384105">
              <w:rPr>
                <w:rFonts w:ascii="Arial" w:eastAsia="Times New Roman" w:hAnsi="Arial" w:cs="Arial"/>
                <w:bCs/>
                <w:sz w:val="18"/>
                <w:szCs w:val="18"/>
              </w:rPr>
              <w:t>is</w:t>
            </w:r>
            <w:r w:rsidRPr="007F78CE">
              <w:rPr>
                <w:rFonts w:ascii="Arial" w:eastAsia="Times New Roman" w:hAnsi="Arial" w:cs="Arial"/>
                <w:bCs/>
                <w:sz w:val="18"/>
                <w:szCs w:val="18"/>
              </w:rPr>
              <w:t xml:space="preserve">es </w:t>
            </w:r>
            <w:r w:rsidR="00A82675" w:rsidRPr="007F78CE">
              <w:rPr>
                <w:rFonts w:ascii="Arial" w:eastAsia="Times New Roman" w:hAnsi="Arial" w:cs="Arial"/>
                <w:bCs/>
                <w:sz w:val="18"/>
                <w:szCs w:val="18"/>
              </w:rPr>
              <w:t>d’</w:t>
            </w:r>
            <w:r w:rsidR="00A82675">
              <w:rPr>
                <w:rFonts w:ascii="Arial" w:eastAsia="Times New Roman" w:hAnsi="Arial" w:cs="Arial"/>
                <w:bCs/>
                <w:sz w:val="18"/>
                <w:szCs w:val="18"/>
              </w:rPr>
              <w:t>ouvrages</w:t>
            </w:r>
            <w:r w:rsidR="00A82675" w:rsidRPr="007F78CE">
              <w:rPr>
                <w:rFonts w:ascii="Arial" w:eastAsia="Times New Roman" w:hAnsi="Arial" w:cs="Arial"/>
                <w:bCs/>
                <w:sz w:val="18"/>
                <w:szCs w:val="18"/>
              </w:rPr>
              <w:t xml:space="preserve"> délégu</w:t>
            </w:r>
            <w:r w:rsidR="00A82675">
              <w:rPr>
                <w:rFonts w:ascii="Arial" w:eastAsia="Times New Roman" w:hAnsi="Arial" w:cs="Arial"/>
                <w:bCs/>
                <w:sz w:val="18"/>
                <w:szCs w:val="18"/>
              </w:rPr>
              <w:t>ée</w:t>
            </w:r>
            <w:r w:rsidR="00384105">
              <w:rPr>
                <w:rFonts w:ascii="Arial" w:eastAsia="Times New Roman" w:hAnsi="Arial" w:cs="Arial"/>
                <w:bCs/>
                <w:sz w:val="18"/>
                <w:szCs w:val="18"/>
              </w:rPr>
              <w:t>s</w:t>
            </w:r>
          </w:p>
          <w:p w14:paraId="7193697B" w14:textId="77777777" w:rsidR="00764D3E" w:rsidRPr="007F78CE" w:rsidRDefault="00764D3E" w:rsidP="007F78CE">
            <w:pPr>
              <w:spacing w:after="0" w:line="240" w:lineRule="auto"/>
              <w:rPr>
                <w:rFonts w:ascii="Arial" w:eastAsia="Times New Roman" w:hAnsi="Arial" w:cs="Arial"/>
                <w:bCs/>
                <w:sz w:val="18"/>
                <w:szCs w:val="18"/>
              </w:rPr>
            </w:pPr>
            <w:r w:rsidRPr="007F78CE">
              <w:rPr>
                <w:rFonts w:ascii="Arial" w:eastAsia="Times New Roman" w:hAnsi="Arial" w:cs="Arial"/>
                <w:bCs/>
                <w:sz w:val="18"/>
                <w:szCs w:val="18"/>
              </w:rPr>
              <w:t xml:space="preserve">Responsable </w:t>
            </w:r>
            <w:r w:rsidR="00806276">
              <w:rPr>
                <w:rFonts w:ascii="Arial" w:eastAsia="Times New Roman" w:hAnsi="Arial" w:cs="Arial"/>
                <w:bCs/>
                <w:sz w:val="18"/>
                <w:szCs w:val="18"/>
              </w:rPr>
              <w:t xml:space="preserve">de la Gestion des déchets, des polluants et des plaintes environnementales </w:t>
            </w:r>
            <w:r w:rsidRPr="007F78CE">
              <w:rPr>
                <w:rFonts w:ascii="Arial" w:eastAsia="Times New Roman" w:hAnsi="Arial" w:cs="Arial"/>
                <w:bCs/>
                <w:sz w:val="18"/>
                <w:szCs w:val="18"/>
              </w:rPr>
              <w:t>au sein du MEDD</w:t>
            </w:r>
          </w:p>
          <w:p w14:paraId="3F42965C" w14:textId="77777777" w:rsidR="00764D3E" w:rsidRPr="007F78CE" w:rsidRDefault="00764D3E" w:rsidP="007F78CE">
            <w:pPr>
              <w:spacing w:after="0" w:line="240" w:lineRule="auto"/>
              <w:rPr>
                <w:rFonts w:ascii="Arial" w:eastAsia="Times New Roman" w:hAnsi="Arial" w:cs="Arial"/>
                <w:bCs/>
                <w:sz w:val="18"/>
                <w:szCs w:val="18"/>
              </w:rPr>
            </w:pPr>
            <w:r w:rsidRPr="007F78CE">
              <w:rPr>
                <w:rFonts w:ascii="Arial" w:eastAsia="Times New Roman" w:hAnsi="Arial" w:cs="Arial"/>
                <w:bCs/>
                <w:sz w:val="18"/>
                <w:szCs w:val="18"/>
              </w:rPr>
              <w:t>Entreprises de construction</w:t>
            </w:r>
          </w:p>
          <w:p w14:paraId="788F18DE" w14:textId="77777777" w:rsidR="00764D3E" w:rsidRPr="007F78CE" w:rsidRDefault="00764D3E" w:rsidP="007F78CE">
            <w:pPr>
              <w:spacing w:after="0" w:line="240" w:lineRule="auto"/>
              <w:rPr>
                <w:rFonts w:ascii="Arial" w:eastAsia="Times New Roman" w:hAnsi="Arial" w:cs="Arial"/>
                <w:bCs/>
                <w:sz w:val="18"/>
                <w:szCs w:val="18"/>
              </w:rPr>
            </w:pPr>
            <w:r w:rsidRPr="007F78CE">
              <w:rPr>
                <w:rFonts w:ascii="Arial" w:eastAsia="Times New Roman" w:hAnsi="Arial" w:cs="Arial"/>
                <w:bCs/>
                <w:sz w:val="18"/>
                <w:szCs w:val="18"/>
              </w:rPr>
              <w:t xml:space="preserve">Bureaux d’études et </w:t>
            </w:r>
          </w:p>
          <w:p w14:paraId="24B9E780" w14:textId="77777777" w:rsidR="00764D3E" w:rsidRPr="007F78CE" w:rsidRDefault="00384105" w:rsidP="007F78CE">
            <w:pPr>
              <w:spacing w:after="0" w:line="240" w:lineRule="auto"/>
              <w:rPr>
                <w:rFonts w:ascii="Arial" w:eastAsia="Times New Roman" w:hAnsi="Arial" w:cs="Arial"/>
                <w:bCs/>
                <w:sz w:val="18"/>
                <w:szCs w:val="18"/>
              </w:rPr>
            </w:pPr>
            <w:r>
              <w:rPr>
                <w:rFonts w:ascii="Arial" w:eastAsia="Times New Roman" w:hAnsi="Arial" w:cs="Arial"/>
                <w:bCs/>
                <w:sz w:val="18"/>
                <w:szCs w:val="18"/>
              </w:rPr>
              <w:t xml:space="preserve">Mission de contrôle </w:t>
            </w:r>
            <w:r w:rsidR="00764D3E" w:rsidRPr="007F78CE">
              <w:rPr>
                <w:rFonts w:ascii="Arial" w:eastAsia="Times New Roman" w:hAnsi="Arial" w:cs="Arial"/>
                <w:bCs/>
                <w:sz w:val="18"/>
                <w:szCs w:val="18"/>
              </w:rPr>
              <w:t xml:space="preserve"> </w:t>
            </w:r>
          </w:p>
          <w:p w14:paraId="0AF2CDE1" w14:textId="77777777" w:rsidR="00764D3E" w:rsidRPr="007F78CE" w:rsidRDefault="00764D3E" w:rsidP="007F78CE">
            <w:pPr>
              <w:spacing w:after="0" w:line="240" w:lineRule="auto"/>
              <w:rPr>
                <w:rFonts w:ascii="Arial" w:eastAsia="Times New Roman" w:hAnsi="Arial" w:cs="Arial"/>
                <w:bCs/>
                <w:sz w:val="18"/>
                <w:szCs w:val="18"/>
              </w:rPr>
            </w:pPr>
            <w:r w:rsidRPr="007F78CE">
              <w:rPr>
                <w:rFonts w:ascii="Arial" w:eastAsia="Times New Roman" w:hAnsi="Arial" w:cs="Arial"/>
                <w:bCs/>
                <w:sz w:val="18"/>
                <w:szCs w:val="18"/>
              </w:rPr>
              <w:t xml:space="preserve">Responsables de </w:t>
            </w:r>
            <w:r w:rsidR="00C3660F" w:rsidRPr="007F78CE">
              <w:rPr>
                <w:rFonts w:ascii="Arial" w:eastAsia="Times New Roman" w:hAnsi="Arial" w:cs="Arial"/>
                <w:bCs/>
                <w:sz w:val="18"/>
                <w:szCs w:val="18"/>
              </w:rPr>
              <w:t xml:space="preserve">gestion des risques </w:t>
            </w:r>
            <w:r w:rsidRPr="007F78CE">
              <w:rPr>
                <w:rFonts w:ascii="Arial" w:eastAsia="Times New Roman" w:hAnsi="Arial" w:cs="Arial"/>
                <w:bCs/>
                <w:sz w:val="18"/>
                <w:szCs w:val="18"/>
              </w:rPr>
              <w:t>environnementa</w:t>
            </w:r>
            <w:r w:rsidR="00A2037D">
              <w:rPr>
                <w:rFonts w:ascii="Arial" w:eastAsia="Times New Roman" w:hAnsi="Arial" w:cs="Arial"/>
                <w:bCs/>
                <w:sz w:val="18"/>
                <w:szCs w:val="18"/>
              </w:rPr>
              <w:t>ux</w:t>
            </w:r>
            <w:r w:rsidRPr="007F78CE">
              <w:rPr>
                <w:rFonts w:ascii="Arial" w:eastAsia="Times New Roman" w:hAnsi="Arial" w:cs="Arial"/>
                <w:bCs/>
                <w:sz w:val="18"/>
                <w:szCs w:val="18"/>
              </w:rPr>
              <w:t xml:space="preserve"> et socia</w:t>
            </w:r>
            <w:r w:rsidR="00A2037D">
              <w:rPr>
                <w:rFonts w:ascii="Arial" w:eastAsia="Times New Roman" w:hAnsi="Arial" w:cs="Arial"/>
                <w:bCs/>
                <w:sz w:val="18"/>
                <w:szCs w:val="18"/>
              </w:rPr>
              <w:t>ux</w:t>
            </w:r>
            <w:r w:rsidRPr="007F78CE">
              <w:rPr>
                <w:rFonts w:ascii="Arial" w:eastAsia="Times New Roman" w:hAnsi="Arial" w:cs="Arial"/>
                <w:bCs/>
                <w:sz w:val="18"/>
                <w:szCs w:val="18"/>
              </w:rPr>
              <w:t xml:space="preserve"> du Projet</w:t>
            </w:r>
          </w:p>
          <w:p w14:paraId="1FD0E2F1" w14:textId="77777777" w:rsidR="00764D3E" w:rsidRPr="007F78CE" w:rsidRDefault="00764D3E" w:rsidP="007F78CE">
            <w:pPr>
              <w:spacing w:after="0" w:line="240" w:lineRule="auto"/>
              <w:rPr>
                <w:rFonts w:ascii="Arial" w:hAnsi="Arial" w:cs="Arial"/>
                <w:bCs/>
                <w:sz w:val="18"/>
                <w:szCs w:val="18"/>
              </w:rPr>
            </w:pPr>
            <w:r w:rsidRPr="007F78CE">
              <w:rPr>
                <w:rFonts w:ascii="Arial" w:hAnsi="Arial" w:cs="Arial"/>
                <w:bCs/>
                <w:sz w:val="18"/>
                <w:szCs w:val="18"/>
              </w:rPr>
              <w:t>UCP</w:t>
            </w:r>
          </w:p>
        </w:tc>
      </w:tr>
      <w:tr w:rsidR="0063584D" w:rsidRPr="007F78CE" w14:paraId="0135BA37" w14:textId="77777777" w:rsidTr="007F78CE">
        <w:tc>
          <w:tcPr>
            <w:tcW w:w="5584" w:type="dxa"/>
            <w:tcBorders>
              <w:top w:val="single" w:sz="8" w:space="0" w:color="4F81BD"/>
              <w:left w:val="single" w:sz="8" w:space="0" w:color="4F81BD"/>
              <w:bottom w:val="single" w:sz="8" w:space="0" w:color="4F81BD"/>
            </w:tcBorders>
            <w:shd w:val="clear" w:color="auto" w:fill="auto"/>
          </w:tcPr>
          <w:p w14:paraId="0EB04EEB" w14:textId="77777777" w:rsidR="00764D3E" w:rsidRPr="007F78CE" w:rsidRDefault="00764D3E" w:rsidP="007F78CE">
            <w:pPr>
              <w:spacing w:after="0" w:line="240" w:lineRule="auto"/>
              <w:rPr>
                <w:rFonts w:ascii="Arial" w:hAnsi="Arial" w:cs="Arial"/>
                <w:b/>
                <w:bCs/>
                <w:sz w:val="18"/>
                <w:szCs w:val="18"/>
                <w:u w:val="single"/>
              </w:rPr>
            </w:pPr>
            <w:r w:rsidRPr="007F78CE">
              <w:rPr>
                <w:rFonts w:ascii="Arial" w:hAnsi="Arial" w:cs="Arial"/>
                <w:b/>
                <w:bCs/>
                <w:sz w:val="18"/>
                <w:szCs w:val="18"/>
                <w:u w:val="single"/>
              </w:rPr>
              <w:t xml:space="preserve">Traitement des plaintes </w:t>
            </w:r>
          </w:p>
          <w:p w14:paraId="1CD0553B" w14:textId="77777777" w:rsidR="00764D3E" w:rsidRPr="005226F4" w:rsidRDefault="00764D3E" w:rsidP="00687DD2">
            <w:pPr>
              <w:pStyle w:val="Listecouleur-Accent12"/>
              <w:numPr>
                <w:ilvl w:val="0"/>
                <w:numId w:val="27"/>
              </w:numPr>
              <w:suppressAutoHyphens/>
              <w:ind w:left="774" w:hanging="360"/>
              <w:jc w:val="left"/>
              <w:rPr>
                <w:rFonts w:ascii="Arial" w:hAnsi="Arial" w:cs="Arial"/>
                <w:b/>
                <w:bCs/>
                <w:sz w:val="18"/>
                <w:szCs w:val="18"/>
                <w:lang w:val="fr-FR"/>
              </w:rPr>
            </w:pPr>
            <w:r w:rsidRPr="005226F4">
              <w:rPr>
                <w:rFonts w:ascii="Arial" w:hAnsi="Arial" w:cs="Arial"/>
                <w:sz w:val="18"/>
                <w:szCs w:val="18"/>
                <w:lang w:val="fr-FR"/>
              </w:rPr>
              <w:t>Mécanisme de gestion des plaintes du Projet</w:t>
            </w:r>
            <w:r w:rsidRPr="005226F4">
              <w:rPr>
                <w:rFonts w:ascii="Arial" w:hAnsi="Arial" w:cs="Arial"/>
                <w:b/>
                <w:bCs/>
                <w:sz w:val="18"/>
                <w:szCs w:val="18"/>
                <w:u w:val="single"/>
                <w:lang w:val="fr-FR"/>
              </w:rPr>
              <w:t xml:space="preserve"> </w:t>
            </w:r>
          </w:p>
          <w:p w14:paraId="7F627353" w14:textId="77777777" w:rsidR="00764D3E" w:rsidRPr="005226F4" w:rsidRDefault="00764D3E" w:rsidP="00687DD2">
            <w:pPr>
              <w:pStyle w:val="Listecouleur-Accent12"/>
              <w:numPr>
                <w:ilvl w:val="0"/>
                <w:numId w:val="27"/>
              </w:numPr>
              <w:suppressAutoHyphens/>
              <w:ind w:left="774" w:hanging="360"/>
              <w:jc w:val="left"/>
              <w:rPr>
                <w:rFonts w:ascii="Arial" w:hAnsi="Arial" w:cs="Arial"/>
                <w:b/>
                <w:bCs/>
                <w:sz w:val="18"/>
                <w:szCs w:val="18"/>
                <w:lang w:val="fr-FR"/>
              </w:rPr>
            </w:pPr>
            <w:r w:rsidRPr="005226F4">
              <w:rPr>
                <w:rFonts w:ascii="Arial" w:hAnsi="Arial" w:cs="Arial"/>
                <w:sz w:val="18"/>
                <w:szCs w:val="18"/>
                <w:lang w:val="fr-FR"/>
              </w:rPr>
              <w:t>Loi et texte</w:t>
            </w:r>
            <w:r w:rsidR="2CE493C6" w:rsidRPr="005226F4">
              <w:rPr>
                <w:rFonts w:ascii="Arial" w:hAnsi="Arial" w:cs="Arial"/>
                <w:sz w:val="18"/>
                <w:szCs w:val="18"/>
                <w:lang w:val="fr-FR"/>
              </w:rPr>
              <w:t>s</w:t>
            </w:r>
            <w:r w:rsidRPr="005226F4">
              <w:rPr>
                <w:rFonts w:ascii="Arial" w:hAnsi="Arial" w:cs="Arial"/>
                <w:sz w:val="18"/>
                <w:szCs w:val="18"/>
                <w:lang w:val="fr-FR"/>
              </w:rPr>
              <w:t xml:space="preserve"> nationa</w:t>
            </w:r>
            <w:r w:rsidR="10BF1ABD" w:rsidRPr="005226F4">
              <w:rPr>
                <w:rFonts w:ascii="Arial" w:hAnsi="Arial" w:cs="Arial"/>
                <w:sz w:val="18"/>
                <w:szCs w:val="18"/>
                <w:lang w:val="fr-FR"/>
              </w:rPr>
              <w:t>ux</w:t>
            </w:r>
            <w:r w:rsidRPr="005226F4">
              <w:rPr>
                <w:rFonts w:ascii="Arial" w:hAnsi="Arial" w:cs="Arial"/>
                <w:sz w:val="18"/>
                <w:szCs w:val="18"/>
                <w:lang w:val="fr-FR"/>
              </w:rPr>
              <w:t xml:space="preserve"> sur le VBG et EAS/HS</w:t>
            </w:r>
          </w:p>
        </w:tc>
        <w:tc>
          <w:tcPr>
            <w:tcW w:w="3704" w:type="dxa"/>
            <w:tcBorders>
              <w:top w:val="single" w:sz="8" w:space="0" w:color="4F81BD"/>
              <w:bottom w:val="single" w:sz="8" w:space="0" w:color="4F81BD"/>
              <w:right w:val="single" w:sz="8" w:space="0" w:color="4F81BD"/>
            </w:tcBorders>
            <w:shd w:val="clear" w:color="auto" w:fill="auto"/>
          </w:tcPr>
          <w:p w14:paraId="7EEF2E82" w14:textId="77777777" w:rsidR="00764D3E" w:rsidRPr="007F78CE" w:rsidRDefault="00764D3E" w:rsidP="007F78CE">
            <w:pPr>
              <w:spacing w:after="0" w:line="240" w:lineRule="auto"/>
              <w:rPr>
                <w:rFonts w:ascii="Arial" w:eastAsia="Times New Roman" w:hAnsi="Arial" w:cs="Arial"/>
                <w:bCs/>
                <w:sz w:val="18"/>
                <w:szCs w:val="18"/>
              </w:rPr>
            </w:pPr>
            <w:r w:rsidRPr="007F78CE">
              <w:rPr>
                <w:rFonts w:ascii="Arial" w:eastAsia="Times New Roman" w:hAnsi="Arial" w:cs="Arial"/>
                <w:bCs/>
                <w:sz w:val="18"/>
                <w:szCs w:val="18"/>
              </w:rPr>
              <w:t xml:space="preserve">Responsables de </w:t>
            </w:r>
            <w:r w:rsidR="00C3660F" w:rsidRPr="007F78CE">
              <w:rPr>
                <w:rFonts w:ascii="Arial" w:eastAsia="Times New Roman" w:hAnsi="Arial" w:cs="Arial"/>
                <w:bCs/>
                <w:sz w:val="18"/>
                <w:szCs w:val="18"/>
              </w:rPr>
              <w:t>gestion des risques</w:t>
            </w:r>
            <w:r w:rsidRPr="007F78CE">
              <w:rPr>
                <w:rFonts w:ascii="Arial" w:eastAsia="Times New Roman" w:hAnsi="Arial" w:cs="Arial"/>
                <w:bCs/>
                <w:sz w:val="18"/>
                <w:szCs w:val="18"/>
              </w:rPr>
              <w:t xml:space="preserve"> environnementa</w:t>
            </w:r>
            <w:r w:rsidR="00A2037D">
              <w:rPr>
                <w:rFonts w:ascii="Arial" w:eastAsia="Times New Roman" w:hAnsi="Arial" w:cs="Arial"/>
                <w:bCs/>
                <w:sz w:val="18"/>
                <w:szCs w:val="18"/>
              </w:rPr>
              <w:t>ux</w:t>
            </w:r>
            <w:r w:rsidRPr="007F78CE">
              <w:rPr>
                <w:rFonts w:ascii="Arial" w:eastAsia="Times New Roman" w:hAnsi="Arial" w:cs="Arial"/>
                <w:bCs/>
                <w:sz w:val="18"/>
                <w:szCs w:val="18"/>
              </w:rPr>
              <w:t xml:space="preserve"> et socia</w:t>
            </w:r>
            <w:r w:rsidR="00A2037D">
              <w:rPr>
                <w:rFonts w:ascii="Arial" w:eastAsia="Times New Roman" w:hAnsi="Arial" w:cs="Arial"/>
                <w:bCs/>
                <w:sz w:val="18"/>
                <w:szCs w:val="18"/>
              </w:rPr>
              <w:t>ux</w:t>
            </w:r>
            <w:r w:rsidRPr="007F78CE">
              <w:rPr>
                <w:rFonts w:ascii="Arial" w:eastAsia="Times New Roman" w:hAnsi="Arial" w:cs="Arial"/>
                <w:bCs/>
                <w:sz w:val="18"/>
                <w:szCs w:val="18"/>
              </w:rPr>
              <w:t xml:space="preserve"> du Projet</w:t>
            </w:r>
          </w:p>
          <w:p w14:paraId="38D83F11" w14:textId="77777777" w:rsidR="00764D3E" w:rsidRPr="007F78CE" w:rsidRDefault="00764D3E" w:rsidP="007F78CE">
            <w:pPr>
              <w:spacing w:after="0" w:line="240" w:lineRule="auto"/>
              <w:rPr>
                <w:rFonts w:ascii="Arial" w:eastAsia="Times New Roman" w:hAnsi="Arial" w:cs="Arial"/>
                <w:bCs/>
                <w:sz w:val="18"/>
                <w:szCs w:val="18"/>
              </w:rPr>
            </w:pPr>
            <w:r w:rsidRPr="007F78CE">
              <w:rPr>
                <w:rFonts w:ascii="Arial" w:hAnsi="Arial" w:cs="Arial"/>
                <w:bCs/>
                <w:sz w:val="18"/>
                <w:szCs w:val="18"/>
              </w:rPr>
              <w:t>UCP</w:t>
            </w:r>
          </w:p>
          <w:p w14:paraId="5AF8432B" w14:textId="77777777" w:rsidR="00764D3E" w:rsidRPr="007F78CE" w:rsidRDefault="00764D3E" w:rsidP="007F78CE">
            <w:pPr>
              <w:spacing w:after="0" w:line="240" w:lineRule="auto"/>
              <w:rPr>
                <w:rFonts w:ascii="Arial" w:hAnsi="Arial" w:cs="Arial"/>
                <w:b/>
                <w:sz w:val="18"/>
                <w:szCs w:val="18"/>
              </w:rPr>
            </w:pPr>
            <w:r w:rsidRPr="007F78CE">
              <w:rPr>
                <w:rFonts w:ascii="Arial" w:eastAsia="Times New Roman" w:hAnsi="Arial" w:cs="Arial"/>
                <w:bCs/>
                <w:sz w:val="18"/>
                <w:szCs w:val="18"/>
              </w:rPr>
              <w:t>Autorité locale</w:t>
            </w:r>
            <w:r w:rsidRPr="007F78CE">
              <w:rPr>
                <w:rFonts w:ascii="Arial" w:hAnsi="Arial" w:cs="Arial"/>
                <w:b/>
                <w:sz w:val="18"/>
                <w:szCs w:val="18"/>
              </w:rPr>
              <w:t xml:space="preserve"> </w:t>
            </w:r>
          </w:p>
        </w:tc>
      </w:tr>
      <w:tr w:rsidR="00764D3E" w:rsidRPr="007F78CE" w14:paraId="18D973D5" w14:textId="77777777" w:rsidTr="007F78CE">
        <w:tc>
          <w:tcPr>
            <w:tcW w:w="5584" w:type="dxa"/>
            <w:shd w:val="clear" w:color="auto" w:fill="auto"/>
          </w:tcPr>
          <w:p w14:paraId="0535918C" w14:textId="77777777" w:rsidR="00764D3E" w:rsidRPr="007F78CE" w:rsidRDefault="00764D3E" w:rsidP="007F78CE">
            <w:pPr>
              <w:autoSpaceDE w:val="0"/>
              <w:autoSpaceDN w:val="0"/>
              <w:adjustRightInd w:val="0"/>
              <w:spacing w:after="120" w:line="240" w:lineRule="auto"/>
              <w:rPr>
                <w:rFonts w:ascii="Arial" w:hAnsi="Arial" w:cs="Arial"/>
                <w:color w:val="000000"/>
                <w:sz w:val="18"/>
                <w:szCs w:val="18"/>
                <w:u w:val="single"/>
              </w:rPr>
            </w:pPr>
            <w:r w:rsidRPr="007F78CE">
              <w:rPr>
                <w:rFonts w:ascii="Arial" w:hAnsi="Arial" w:cs="Arial"/>
                <w:b/>
                <w:bCs/>
                <w:color w:val="000000"/>
                <w:sz w:val="18"/>
                <w:szCs w:val="18"/>
                <w:u w:val="single"/>
              </w:rPr>
              <w:t xml:space="preserve">Sensibilisation des populations </w:t>
            </w:r>
          </w:p>
          <w:p w14:paraId="731D58DC" w14:textId="77777777" w:rsidR="00764D3E" w:rsidRPr="005226F4" w:rsidRDefault="00764D3E" w:rsidP="00687DD2">
            <w:pPr>
              <w:pStyle w:val="Listecouleur-Accent12"/>
              <w:numPr>
                <w:ilvl w:val="0"/>
                <w:numId w:val="27"/>
              </w:numPr>
              <w:suppressAutoHyphens/>
              <w:ind w:left="774" w:hanging="360"/>
              <w:jc w:val="left"/>
              <w:rPr>
                <w:rFonts w:ascii="Arial" w:hAnsi="Arial" w:cs="Arial"/>
                <w:b/>
                <w:bCs/>
                <w:sz w:val="18"/>
                <w:szCs w:val="18"/>
                <w:lang w:val="fr-FR"/>
              </w:rPr>
            </w:pPr>
            <w:r w:rsidRPr="005226F4">
              <w:rPr>
                <w:rFonts w:ascii="Arial" w:hAnsi="Arial" w:cs="Arial"/>
                <w:sz w:val="18"/>
                <w:szCs w:val="18"/>
                <w:lang w:val="fr-FR"/>
              </w:rPr>
              <w:t>Protection et préservation des biens publics</w:t>
            </w:r>
          </w:p>
          <w:p w14:paraId="47E6F3AE" w14:textId="77777777" w:rsidR="00764D3E" w:rsidRPr="005226F4" w:rsidRDefault="00764D3E" w:rsidP="00687DD2">
            <w:pPr>
              <w:pStyle w:val="Listecouleur-Accent12"/>
              <w:numPr>
                <w:ilvl w:val="0"/>
                <w:numId w:val="27"/>
              </w:numPr>
              <w:suppressAutoHyphens/>
              <w:ind w:left="774" w:hanging="360"/>
              <w:jc w:val="left"/>
              <w:rPr>
                <w:rFonts w:ascii="Arial" w:hAnsi="Arial" w:cs="Arial"/>
                <w:b/>
                <w:bCs/>
                <w:sz w:val="18"/>
                <w:szCs w:val="18"/>
                <w:u w:val="single"/>
                <w:lang w:val="fr-FR"/>
              </w:rPr>
            </w:pPr>
            <w:r w:rsidRPr="005226F4">
              <w:rPr>
                <w:rFonts w:ascii="Arial" w:hAnsi="Arial" w:cs="Arial"/>
                <w:sz w:val="18"/>
                <w:szCs w:val="18"/>
                <w:lang w:val="fr-FR"/>
              </w:rPr>
              <w:t>Lois et réglementations en matière de droits sur les biens publics</w:t>
            </w:r>
          </w:p>
        </w:tc>
        <w:tc>
          <w:tcPr>
            <w:tcW w:w="3704" w:type="dxa"/>
            <w:shd w:val="clear" w:color="auto" w:fill="auto"/>
          </w:tcPr>
          <w:p w14:paraId="021F2944" w14:textId="77777777" w:rsidR="00764D3E" w:rsidRPr="007F78CE" w:rsidRDefault="00764D3E" w:rsidP="4E4A4666">
            <w:pPr>
              <w:spacing w:after="0" w:line="240" w:lineRule="auto"/>
              <w:rPr>
                <w:rFonts w:ascii="Arial" w:eastAsia="Times New Roman" w:hAnsi="Arial" w:cs="Arial"/>
                <w:sz w:val="18"/>
                <w:szCs w:val="18"/>
              </w:rPr>
            </w:pPr>
            <w:r w:rsidRPr="005D6D41">
              <w:rPr>
                <w:rFonts w:ascii="Arial" w:eastAsia="Times New Roman" w:hAnsi="Arial" w:cs="Arial"/>
                <w:color w:val="000000"/>
                <w:sz w:val="18"/>
                <w:szCs w:val="18"/>
                <w:lang w:val="fr-ML"/>
              </w:rPr>
              <w:t xml:space="preserve">Responsable de </w:t>
            </w:r>
            <w:r w:rsidR="00C3660F" w:rsidRPr="005D6D41">
              <w:rPr>
                <w:rFonts w:ascii="Arial" w:eastAsia="Times New Roman" w:hAnsi="Arial" w:cs="Arial"/>
                <w:color w:val="000000"/>
                <w:sz w:val="18"/>
                <w:szCs w:val="18"/>
                <w:lang w:val="fr-ML"/>
              </w:rPr>
              <w:t xml:space="preserve">gestion des risques </w:t>
            </w:r>
            <w:r w:rsidRPr="005D6D41">
              <w:rPr>
                <w:rFonts w:ascii="Arial" w:eastAsia="Times New Roman" w:hAnsi="Arial" w:cs="Arial"/>
                <w:color w:val="000000"/>
                <w:sz w:val="18"/>
                <w:szCs w:val="18"/>
                <w:lang w:val="fr-ML"/>
              </w:rPr>
              <w:t>environnementa</w:t>
            </w:r>
            <w:r w:rsidR="00A2037D" w:rsidRPr="005D6D41">
              <w:rPr>
                <w:rFonts w:ascii="Arial" w:eastAsia="Times New Roman" w:hAnsi="Arial" w:cs="Arial"/>
                <w:color w:val="000000"/>
                <w:sz w:val="18"/>
                <w:szCs w:val="18"/>
                <w:lang w:val="fr-ML"/>
              </w:rPr>
              <w:t>ux</w:t>
            </w:r>
            <w:r w:rsidRPr="005D6D41">
              <w:rPr>
                <w:rFonts w:ascii="Arial" w:eastAsia="Times New Roman" w:hAnsi="Arial" w:cs="Arial"/>
                <w:color w:val="000000"/>
                <w:sz w:val="18"/>
                <w:szCs w:val="18"/>
                <w:lang w:val="fr-ML"/>
              </w:rPr>
              <w:t xml:space="preserve"> et socia</w:t>
            </w:r>
            <w:r w:rsidR="00A2037D" w:rsidRPr="005D6D41">
              <w:rPr>
                <w:rFonts w:ascii="Arial" w:eastAsia="Times New Roman" w:hAnsi="Arial" w:cs="Arial"/>
                <w:color w:val="000000"/>
                <w:sz w:val="18"/>
                <w:szCs w:val="18"/>
                <w:lang w:val="fr-ML"/>
              </w:rPr>
              <w:t>ux</w:t>
            </w:r>
            <w:r w:rsidRPr="005D6D41">
              <w:rPr>
                <w:rFonts w:ascii="Arial" w:eastAsia="Times New Roman" w:hAnsi="Arial" w:cs="Arial"/>
                <w:color w:val="000000"/>
                <w:sz w:val="18"/>
                <w:szCs w:val="18"/>
                <w:lang w:val="fr-ML"/>
              </w:rPr>
              <w:t xml:space="preserve"> du Projet</w:t>
            </w:r>
          </w:p>
          <w:p w14:paraId="007EBB06" w14:textId="77777777" w:rsidR="00764D3E" w:rsidRPr="005D6D41" w:rsidRDefault="7395718F" w:rsidP="007F78CE">
            <w:pPr>
              <w:spacing w:after="0" w:line="240" w:lineRule="auto"/>
              <w:rPr>
                <w:rFonts w:ascii="Arial" w:eastAsia="Times New Roman" w:hAnsi="Arial" w:cs="Arial"/>
                <w:color w:val="000000"/>
                <w:sz w:val="18"/>
                <w:szCs w:val="18"/>
                <w:lang w:val="fr-ML"/>
              </w:rPr>
            </w:pPr>
            <w:r w:rsidRPr="005D6D41">
              <w:rPr>
                <w:rFonts w:ascii="Arial" w:eastAsia="Times New Roman" w:hAnsi="Arial" w:cs="Arial"/>
                <w:color w:val="000000"/>
                <w:sz w:val="18"/>
                <w:szCs w:val="18"/>
                <w:lang w:val="fr-ML"/>
              </w:rPr>
              <w:t>Maitre d’ouvrage</w:t>
            </w:r>
          </w:p>
        </w:tc>
      </w:tr>
    </w:tbl>
    <w:p w14:paraId="693D61A7" w14:textId="77777777" w:rsidR="00764D3E" w:rsidRDefault="00764D3E" w:rsidP="00764D3E"/>
    <w:p w14:paraId="72D821FB" w14:textId="77777777" w:rsidR="003E32E9" w:rsidRPr="007F78CE" w:rsidRDefault="00C261A6" w:rsidP="0044500E">
      <w:pPr>
        <w:pStyle w:val="TIT2"/>
        <w:numPr>
          <w:ilvl w:val="1"/>
          <w:numId w:val="177"/>
        </w:numPr>
      </w:pPr>
      <w:bookmarkStart w:id="1510" w:name="_Toc124314803"/>
      <w:bookmarkStart w:id="1511" w:name="_Toc124956340"/>
      <w:bookmarkStart w:id="1512" w:name="_Toc125384687"/>
      <w:bookmarkStart w:id="1513" w:name="_Toc125385076"/>
      <w:bookmarkStart w:id="1514" w:name="_Toc127957744"/>
      <w:r w:rsidRPr="007F78CE">
        <w:t xml:space="preserve">Plan de </w:t>
      </w:r>
      <w:r w:rsidR="00FE78E6" w:rsidRPr="007F78CE">
        <w:t>gestion</w:t>
      </w:r>
      <w:r w:rsidRPr="007F78CE">
        <w:t xml:space="preserve"> </w:t>
      </w:r>
      <w:r w:rsidR="0774A92D">
        <w:t>environnemental</w:t>
      </w:r>
      <w:r w:rsidR="0C5A173D">
        <w:t>e</w:t>
      </w:r>
      <w:r w:rsidRPr="007F78CE">
        <w:t xml:space="preserve"> et </w:t>
      </w:r>
      <w:bookmarkEnd w:id="1510"/>
      <w:r w:rsidR="0774A92D">
        <w:t>social</w:t>
      </w:r>
      <w:r w:rsidR="2D18CB6A">
        <w:t>e</w:t>
      </w:r>
      <w:bookmarkEnd w:id="1511"/>
      <w:bookmarkEnd w:id="1512"/>
      <w:bookmarkEnd w:id="1513"/>
      <w:bookmarkEnd w:id="1514"/>
    </w:p>
    <w:p w14:paraId="689C9630" w14:textId="77777777" w:rsidR="00FE78E6" w:rsidRPr="00FE78E6" w:rsidRDefault="00FE78E6" w:rsidP="00FE78E6">
      <w:pPr>
        <w:jc w:val="both"/>
        <w:rPr>
          <w:rFonts w:ascii="Arial" w:hAnsi="Arial" w:cs="Arial"/>
          <w:highlight w:val="yellow"/>
        </w:rPr>
      </w:pPr>
      <w:r w:rsidRPr="00FE78E6">
        <w:rPr>
          <w:rFonts w:ascii="Arial" w:hAnsi="Arial" w:cs="Arial"/>
        </w:rPr>
        <w:t xml:space="preserve">Le Plan de Gestion Environnementale et Sociale (PGES) a pour objectif d’assurer que les mesures d’atténuation des impacts négatifs prévues correspondent aux prévisions en matière d’évitement ou de minimisation des impacts prédits. </w:t>
      </w:r>
      <w:r>
        <w:rPr>
          <w:rFonts w:ascii="Arial" w:hAnsi="Arial" w:cs="Arial"/>
        </w:rPr>
        <w:t>Ainsi, e</w:t>
      </w:r>
      <w:r w:rsidRPr="00FE78E6">
        <w:rPr>
          <w:rFonts w:ascii="Arial" w:hAnsi="Arial" w:cs="Arial"/>
        </w:rPr>
        <w:t>n fonction de la situation, des mesures correcti</w:t>
      </w:r>
      <w:r>
        <w:rPr>
          <w:rFonts w:ascii="Arial" w:hAnsi="Arial" w:cs="Arial"/>
        </w:rPr>
        <w:t>ves</w:t>
      </w:r>
      <w:r w:rsidRPr="00FE78E6">
        <w:rPr>
          <w:rFonts w:ascii="Arial" w:hAnsi="Arial" w:cs="Arial"/>
        </w:rPr>
        <w:t xml:space="preserve"> pourront être nécessaires. Il réunit à la fois les paramètres à surveiller d’une manière quotidienne et ceux à suivre dans le temps.</w:t>
      </w:r>
    </w:p>
    <w:p w14:paraId="5A3AA0F4" w14:textId="77777777" w:rsidR="00FE78E6" w:rsidRPr="00FE78E6" w:rsidRDefault="00FE78E6" w:rsidP="00FE78E6">
      <w:pPr>
        <w:rPr>
          <w:rFonts w:ascii="Arial" w:hAnsi="Arial" w:cs="Arial"/>
          <w:highlight w:val="yellow"/>
        </w:rPr>
      </w:pPr>
      <w:r w:rsidRPr="00FE78E6">
        <w:rPr>
          <w:rFonts w:ascii="Arial" w:hAnsi="Arial" w:cs="Arial"/>
        </w:rPr>
        <w:t xml:space="preserve">Les objectifs spécifiques du plan de gestion environnementale et sociale consistent ainsi à : </w:t>
      </w:r>
    </w:p>
    <w:p w14:paraId="163D919A" w14:textId="77777777" w:rsidR="00FE78E6" w:rsidRPr="00FE78E6" w:rsidRDefault="00FE78E6" w:rsidP="00687DD2">
      <w:pPr>
        <w:pStyle w:val="Paragraphedeliste"/>
        <w:numPr>
          <w:ilvl w:val="0"/>
          <w:numId w:val="104"/>
        </w:numPr>
        <w:spacing w:before="280" w:after="0" w:line="240" w:lineRule="auto"/>
        <w:ind w:left="993" w:hanging="273"/>
        <w:jc w:val="both"/>
        <w:rPr>
          <w:rFonts w:ascii="Arial" w:hAnsi="Arial" w:cs="Arial"/>
        </w:rPr>
      </w:pPr>
      <w:r w:rsidRPr="00FE78E6">
        <w:rPr>
          <w:rFonts w:ascii="Arial" w:hAnsi="Arial" w:cs="Arial"/>
        </w:rPr>
        <w:t>Concrétiser</w:t>
      </w:r>
      <w:r>
        <w:rPr>
          <w:rFonts w:ascii="Arial" w:hAnsi="Arial" w:cs="Arial"/>
        </w:rPr>
        <w:t xml:space="preserve"> </w:t>
      </w:r>
      <w:r w:rsidRPr="00FE78E6">
        <w:rPr>
          <w:rFonts w:ascii="Arial" w:hAnsi="Arial" w:cs="Arial"/>
        </w:rPr>
        <w:t>tous les engagements du Projet vis-à-vis de l’environnement et des communautés</w:t>
      </w:r>
      <w:r>
        <w:rPr>
          <w:rFonts w:ascii="Arial" w:hAnsi="Arial" w:cs="Arial"/>
        </w:rPr>
        <w:t xml:space="preserve"> </w:t>
      </w:r>
      <w:r w:rsidRPr="00FE78E6">
        <w:rPr>
          <w:rFonts w:ascii="Arial" w:hAnsi="Arial" w:cs="Arial"/>
        </w:rPr>
        <w:t>riveraines ;</w:t>
      </w:r>
    </w:p>
    <w:p w14:paraId="53077612" w14:textId="77777777" w:rsidR="00FE78E6" w:rsidRPr="00FE78E6" w:rsidRDefault="00FE78E6" w:rsidP="00687DD2">
      <w:pPr>
        <w:pStyle w:val="Paragraphedeliste"/>
        <w:numPr>
          <w:ilvl w:val="0"/>
          <w:numId w:val="104"/>
        </w:numPr>
        <w:spacing w:before="280" w:after="0" w:line="240" w:lineRule="auto"/>
        <w:ind w:left="993" w:hanging="273"/>
        <w:jc w:val="both"/>
        <w:rPr>
          <w:rFonts w:ascii="Arial" w:hAnsi="Arial" w:cs="Arial"/>
        </w:rPr>
      </w:pPr>
      <w:r w:rsidRPr="00FE78E6">
        <w:rPr>
          <w:rFonts w:ascii="Arial" w:hAnsi="Arial" w:cs="Arial"/>
        </w:rPr>
        <w:t>Préciser les problématiques</w:t>
      </w:r>
      <w:r>
        <w:rPr>
          <w:rFonts w:ascii="Arial" w:hAnsi="Arial" w:cs="Arial"/>
        </w:rPr>
        <w:t xml:space="preserve"> </w:t>
      </w:r>
      <w:r w:rsidRPr="00FE78E6">
        <w:rPr>
          <w:rFonts w:ascii="Arial" w:hAnsi="Arial" w:cs="Arial"/>
        </w:rPr>
        <w:t>environnementales et sociales relatives aux différentes</w:t>
      </w:r>
      <w:r>
        <w:rPr>
          <w:rFonts w:ascii="Arial" w:hAnsi="Arial" w:cs="Arial"/>
        </w:rPr>
        <w:t xml:space="preserve"> </w:t>
      </w:r>
      <w:r w:rsidRPr="00FE78E6">
        <w:rPr>
          <w:rFonts w:ascii="Arial" w:hAnsi="Arial" w:cs="Arial"/>
        </w:rPr>
        <w:t>activités du Projet et d’élaborer</w:t>
      </w:r>
      <w:r>
        <w:rPr>
          <w:rFonts w:ascii="Arial" w:hAnsi="Arial" w:cs="Arial"/>
        </w:rPr>
        <w:t xml:space="preserve"> </w:t>
      </w:r>
      <w:r w:rsidRPr="00FE78E6">
        <w:rPr>
          <w:rFonts w:ascii="Arial" w:hAnsi="Arial" w:cs="Arial"/>
        </w:rPr>
        <w:t>une planification et des procédures pour gérer</w:t>
      </w:r>
      <w:r>
        <w:rPr>
          <w:rFonts w:ascii="Arial" w:hAnsi="Arial" w:cs="Arial"/>
        </w:rPr>
        <w:t xml:space="preserve"> </w:t>
      </w:r>
      <w:r w:rsidRPr="00FE78E6">
        <w:rPr>
          <w:rFonts w:ascii="Arial" w:hAnsi="Arial" w:cs="Arial"/>
        </w:rPr>
        <w:t>ces</w:t>
      </w:r>
      <w:r>
        <w:rPr>
          <w:rFonts w:ascii="Arial" w:hAnsi="Arial" w:cs="Arial"/>
        </w:rPr>
        <w:t xml:space="preserve"> </w:t>
      </w:r>
      <w:r w:rsidRPr="00FE78E6">
        <w:rPr>
          <w:rFonts w:ascii="Arial" w:hAnsi="Arial" w:cs="Arial"/>
        </w:rPr>
        <w:t>problématiques ;</w:t>
      </w:r>
    </w:p>
    <w:p w14:paraId="6049620F" w14:textId="77777777" w:rsidR="00FE78E6" w:rsidRPr="00FE78E6" w:rsidRDefault="00FE78E6" w:rsidP="00687DD2">
      <w:pPr>
        <w:pStyle w:val="Paragraphedeliste"/>
        <w:numPr>
          <w:ilvl w:val="0"/>
          <w:numId w:val="104"/>
        </w:numPr>
        <w:spacing w:before="280" w:after="0" w:line="240" w:lineRule="auto"/>
        <w:ind w:left="993" w:hanging="273"/>
        <w:jc w:val="both"/>
        <w:rPr>
          <w:rFonts w:ascii="Arial" w:hAnsi="Arial" w:cs="Arial"/>
        </w:rPr>
      </w:pPr>
      <w:r w:rsidRPr="00FE78E6">
        <w:rPr>
          <w:rFonts w:ascii="Arial" w:hAnsi="Arial" w:cs="Arial"/>
        </w:rPr>
        <w:t>Déterminer les responsabilités du personnel clé du Projet</w:t>
      </w:r>
      <w:r>
        <w:rPr>
          <w:rFonts w:ascii="Arial" w:hAnsi="Arial" w:cs="Arial"/>
        </w:rPr>
        <w:t xml:space="preserve"> </w:t>
      </w:r>
      <w:r w:rsidRPr="00FE78E6">
        <w:rPr>
          <w:rFonts w:ascii="Arial" w:hAnsi="Arial" w:cs="Arial"/>
        </w:rPr>
        <w:t>relativement au PGES ;</w:t>
      </w:r>
    </w:p>
    <w:p w14:paraId="7A43CB43" w14:textId="77777777" w:rsidR="00FE78E6" w:rsidRPr="00FE78E6" w:rsidRDefault="00FE78E6" w:rsidP="00687DD2">
      <w:pPr>
        <w:pStyle w:val="Paragraphedeliste"/>
        <w:numPr>
          <w:ilvl w:val="0"/>
          <w:numId w:val="104"/>
        </w:numPr>
        <w:spacing w:before="280" w:after="0" w:line="240" w:lineRule="auto"/>
        <w:ind w:left="993" w:hanging="273"/>
        <w:jc w:val="both"/>
        <w:rPr>
          <w:rFonts w:ascii="Arial" w:hAnsi="Arial" w:cs="Arial"/>
        </w:rPr>
      </w:pPr>
      <w:r w:rsidRPr="00FE78E6">
        <w:rPr>
          <w:rFonts w:ascii="Arial" w:hAnsi="Arial" w:cs="Arial"/>
        </w:rPr>
        <w:t>Mettre les informations sur la mise en</w:t>
      </w:r>
      <w:r>
        <w:rPr>
          <w:rFonts w:ascii="Arial" w:hAnsi="Arial" w:cs="Arial"/>
        </w:rPr>
        <w:t xml:space="preserve"> </w:t>
      </w:r>
      <w:r w:rsidRPr="00FE78E6">
        <w:rPr>
          <w:rFonts w:ascii="Arial" w:hAnsi="Arial" w:cs="Arial"/>
        </w:rPr>
        <w:t>œuvre du Projet et les obligations environnementales y afférentes aux autorités locales, régionales</w:t>
      </w:r>
      <w:r>
        <w:rPr>
          <w:rFonts w:ascii="Arial" w:hAnsi="Arial" w:cs="Arial"/>
        </w:rPr>
        <w:t xml:space="preserve"> </w:t>
      </w:r>
      <w:r w:rsidRPr="00FE78E6">
        <w:rPr>
          <w:rFonts w:ascii="Arial" w:hAnsi="Arial" w:cs="Arial"/>
        </w:rPr>
        <w:t>voire</w:t>
      </w:r>
      <w:r>
        <w:rPr>
          <w:rFonts w:ascii="Arial" w:hAnsi="Arial" w:cs="Arial"/>
        </w:rPr>
        <w:t xml:space="preserve"> </w:t>
      </w:r>
      <w:r w:rsidRPr="00FE78E6">
        <w:rPr>
          <w:rFonts w:ascii="Arial" w:hAnsi="Arial" w:cs="Arial"/>
        </w:rPr>
        <w:t>nationales et aux endroits des citoyens</w:t>
      </w:r>
      <w:r>
        <w:rPr>
          <w:rFonts w:ascii="Arial" w:hAnsi="Arial" w:cs="Arial"/>
        </w:rPr>
        <w:t xml:space="preserve"> </w:t>
      </w:r>
      <w:r w:rsidRPr="00FE78E6">
        <w:rPr>
          <w:rFonts w:ascii="Arial" w:hAnsi="Arial" w:cs="Arial"/>
        </w:rPr>
        <w:t>concernés ;</w:t>
      </w:r>
    </w:p>
    <w:p w14:paraId="15D9C62C" w14:textId="77777777" w:rsidR="00FE78E6" w:rsidRDefault="00FE78E6" w:rsidP="00687DD2">
      <w:pPr>
        <w:pStyle w:val="Paragraphedeliste"/>
        <w:numPr>
          <w:ilvl w:val="0"/>
          <w:numId w:val="104"/>
        </w:numPr>
        <w:spacing w:before="280" w:after="280" w:line="240" w:lineRule="auto"/>
        <w:ind w:left="993" w:hanging="273"/>
        <w:jc w:val="both"/>
        <w:rPr>
          <w:rFonts w:ascii="Arial" w:hAnsi="Arial" w:cs="Arial"/>
        </w:rPr>
      </w:pPr>
      <w:r w:rsidRPr="00FE78E6">
        <w:rPr>
          <w:rFonts w:ascii="Arial" w:hAnsi="Arial" w:cs="Arial"/>
        </w:rPr>
        <w:t>Le cas</w:t>
      </w:r>
      <w:r>
        <w:rPr>
          <w:rFonts w:ascii="Arial" w:hAnsi="Arial" w:cs="Arial"/>
        </w:rPr>
        <w:t xml:space="preserve"> </w:t>
      </w:r>
      <w:r w:rsidRPr="00FE78E6">
        <w:rPr>
          <w:rFonts w:ascii="Arial" w:hAnsi="Arial" w:cs="Arial"/>
        </w:rPr>
        <w:t>échéant, établir les actions correctives et d’ajustement.</w:t>
      </w:r>
    </w:p>
    <w:p w14:paraId="5E945123" w14:textId="77777777" w:rsidR="006B3915" w:rsidRPr="00FE78E6" w:rsidRDefault="006B3915" w:rsidP="006B3915">
      <w:pPr>
        <w:pStyle w:val="Paragraphedeliste"/>
        <w:spacing w:before="280" w:after="240" w:line="240" w:lineRule="auto"/>
        <w:ind w:left="992"/>
        <w:jc w:val="both"/>
        <w:rPr>
          <w:rFonts w:ascii="Arial" w:hAnsi="Arial" w:cs="Arial"/>
        </w:rPr>
      </w:pPr>
    </w:p>
    <w:p w14:paraId="7AF98CAB" w14:textId="77777777" w:rsidR="00044F2C" w:rsidRPr="003856BD" w:rsidRDefault="00FE78E6" w:rsidP="0044500E">
      <w:pPr>
        <w:pStyle w:val="TIT3"/>
        <w:numPr>
          <w:ilvl w:val="2"/>
          <w:numId w:val="177"/>
        </w:numPr>
      </w:pPr>
      <w:bookmarkStart w:id="1515" w:name="_Toc124314804"/>
      <w:bookmarkStart w:id="1516" w:name="_Toc124956341"/>
      <w:bookmarkStart w:id="1517" w:name="_Toc125384688"/>
      <w:bookmarkStart w:id="1518" w:name="_Toc125385077"/>
      <w:bookmarkStart w:id="1519" w:name="_Toc127957745"/>
      <w:r w:rsidRPr="003856BD">
        <w:t>Programme</w:t>
      </w:r>
      <w:r w:rsidR="00044F2C" w:rsidRPr="003856BD">
        <w:t xml:space="preserve"> de surveillance environnementale et sociale</w:t>
      </w:r>
      <w:bookmarkEnd w:id="1515"/>
      <w:bookmarkEnd w:id="1516"/>
      <w:bookmarkEnd w:id="1517"/>
      <w:bookmarkEnd w:id="1518"/>
      <w:bookmarkEnd w:id="1519"/>
      <w:r w:rsidR="00044F2C" w:rsidRPr="003856BD">
        <w:t xml:space="preserve"> </w:t>
      </w:r>
    </w:p>
    <w:p w14:paraId="52967DF9" w14:textId="77777777" w:rsidR="00FE78E6" w:rsidRPr="00FE78E6" w:rsidRDefault="00FE78E6" w:rsidP="00FE78E6">
      <w:pPr>
        <w:jc w:val="both"/>
        <w:rPr>
          <w:rFonts w:ascii="Arial" w:hAnsi="Arial" w:cs="Arial"/>
          <w:highlight w:val="yellow"/>
        </w:rPr>
      </w:pPr>
      <w:r w:rsidRPr="00FE78E6">
        <w:rPr>
          <w:rFonts w:ascii="Arial" w:hAnsi="Arial" w:cs="Arial"/>
        </w:rPr>
        <w:t>La surveillance environnementale concerne le contrôle de la mise en œuvre effective des mesures environnementales proposées. Normalement, la surveillance environnementale débute à la phase préparatoire jusqu'à la phase de fermeture et même au-delà. Ce programme de surveillance décrira les moyens et les mécanismes proposés par le promoteur pour assurer le respect des exigences légales et environnementales et le bon fonctionnement des travaux, des équipements et des installations.</w:t>
      </w:r>
    </w:p>
    <w:p w14:paraId="726B8B0D" w14:textId="77777777" w:rsidR="000C0139" w:rsidRDefault="000C0139" w:rsidP="000C0139">
      <w:pPr>
        <w:pStyle w:val="Lgende"/>
        <w:spacing w:before="120"/>
        <w:jc w:val="center"/>
        <w:rPr>
          <w:sz w:val="20"/>
        </w:rPr>
        <w:sectPr w:rsidR="000C0139" w:rsidSect="004841BC">
          <w:pgSz w:w="11906" w:h="16838"/>
          <w:pgMar w:top="1418" w:right="1418" w:bottom="1418" w:left="1418" w:header="709" w:footer="0" w:gutter="0"/>
          <w:cols w:space="720"/>
          <w:formProt w:val="0"/>
          <w:docGrid w:linePitch="360" w:charSpace="4096"/>
        </w:sectPr>
      </w:pPr>
    </w:p>
    <w:p w14:paraId="22C26A82" w14:textId="77777777" w:rsidR="00FE78E6" w:rsidRPr="000C0139" w:rsidRDefault="000C0139" w:rsidP="000C0139">
      <w:pPr>
        <w:pStyle w:val="Lgende"/>
        <w:spacing w:before="120"/>
        <w:jc w:val="center"/>
        <w:rPr>
          <w:sz w:val="20"/>
        </w:rPr>
      </w:pPr>
      <w:bookmarkStart w:id="1520" w:name="_Toc127957891"/>
      <w:r w:rsidRPr="000C0139">
        <w:rPr>
          <w:sz w:val="20"/>
        </w:rPr>
        <w:t xml:space="preserve">Tableau </w:t>
      </w:r>
      <w:r w:rsidRPr="000C0139">
        <w:rPr>
          <w:sz w:val="20"/>
        </w:rPr>
        <w:fldChar w:fldCharType="begin"/>
      </w:r>
      <w:r w:rsidRPr="000C0139">
        <w:rPr>
          <w:sz w:val="20"/>
        </w:rPr>
        <w:instrText xml:space="preserve"> SEQ Tableau \* ARABIC </w:instrText>
      </w:r>
      <w:r w:rsidRPr="000C0139">
        <w:rPr>
          <w:sz w:val="20"/>
        </w:rPr>
        <w:fldChar w:fldCharType="separate"/>
      </w:r>
      <w:r w:rsidR="005430A1">
        <w:rPr>
          <w:noProof/>
          <w:sz w:val="20"/>
        </w:rPr>
        <w:t>95</w:t>
      </w:r>
      <w:r w:rsidRPr="000C0139">
        <w:rPr>
          <w:sz w:val="20"/>
        </w:rPr>
        <w:fldChar w:fldCharType="end"/>
      </w:r>
      <w:r w:rsidR="00A2037D">
        <w:rPr>
          <w:sz w:val="20"/>
        </w:rPr>
        <w:t>.</w:t>
      </w:r>
      <w:r w:rsidRPr="000C0139">
        <w:rPr>
          <w:sz w:val="20"/>
        </w:rPr>
        <w:t xml:space="preserve"> Surveillance environnementale et sociale</w:t>
      </w:r>
      <w:bookmarkEnd w:id="1520"/>
    </w:p>
    <w:tbl>
      <w:tblPr>
        <w:tblW w:w="0" w:type="auto"/>
        <w:tblInd w:w="55" w:type="dxa"/>
        <w:tblCellMar>
          <w:left w:w="70" w:type="dxa"/>
          <w:right w:w="70" w:type="dxa"/>
        </w:tblCellMar>
        <w:tblLook w:val="04A0" w:firstRow="1" w:lastRow="0" w:firstColumn="1" w:lastColumn="0" w:noHBand="0" w:noVBand="1"/>
      </w:tblPr>
      <w:tblGrid>
        <w:gridCol w:w="2973"/>
        <w:gridCol w:w="3005"/>
        <w:gridCol w:w="1646"/>
        <w:gridCol w:w="2145"/>
        <w:gridCol w:w="1371"/>
        <w:gridCol w:w="1595"/>
        <w:gridCol w:w="1202"/>
      </w:tblGrid>
      <w:tr w:rsidR="00DD4EBF" w:rsidRPr="00AB1E0E" w14:paraId="3CF2443C" w14:textId="77777777" w:rsidTr="00B434A6">
        <w:trPr>
          <w:trHeight w:val="600"/>
          <w:tblHeader/>
        </w:trPr>
        <w:tc>
          <w:tcPr>
            <w:tcW w:w="0" w:type="auto"/>
            <w:tcBorders>
              <w:top w:val="single" w:sz="4" w:space="0" w:color="auto"/>
              <w:left w:val="single" w:sz="4" w:space="0" w:color="auto"/>
              <w:bottom w:val="single" w:sz="4" w:space="0" w:color="auto"/>
              <w:right w:val="single" w:sz="4" w:space="0" w:color="auto"/>
            </w:tcBorders>
            <w:shd w:val="clear" w:color="000000" w:fill="BDD7EE"/>
            <w:vAlign w:val="center"/>
            <w:hideMark/>
          </w:tcPr>
          <w:p w14:paraId="177CCF93" w14:textId="77777777" w:rsidR="00713368" w:rsidRPr="00AB1E0E" w:rsidRDefault="00713368" w:rsidP="00DD4EBF">
            <w:pPr>
              <w:jc w:val="center"/>
              <w:rPr>
                <w:rStyle w:val="CharacterStyle1"/>
                <w:rFonts w:cs="Calibri"/>
                <w:b/>
                <w:bCs/>
                <w:sz w:val="18"/>
                <w:szCs w:val="18"/>
              </w:rPr>
            </w:pPr>
            <w:r w:rsidRPr="00AB1E0E">
              <w:rPr>
                <w:rStyle w:val="CharacterStyle1"/>
                <w:rFonts w:cs="Calibri"/>
                <w:b/>
                <w:bCs/>
                <w:sz w:val="18"/>
                <w:szCs w:val="18"/>
              </w:rPr>
              <w:t>Impact potentiel</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2A3405C8" w14:textId="77777777" w:rsidR="00713368" w:rsidRPr="00AB1E0E" w:rsidRDefault="00713368" w:rsidP="00DD4EBF">
            <w:pPr>
              <w:jc w:val="center"/>
              <w:rPr>
                <w:rStyle w:val="CharacterStyle1"/>
                <w:rFonts w:cs="Calibri"/>
                <w:b/>
                <w:bCs/>
                <w:sz w:val="18"/>
                <w:szCs w:val="18"/>
              </w:rPr>
            </w:pPr>
            <w:r w:rsidRPr="00AB1E0E">
              <w:rPr>
                <w:rStyle w:val="CharacterStyle1"/>
                <w:rFonts w:cs="Calibri"/>
                <w:b/>
                <w:bCs/>
                <w:sz w:val="18"/>
                <w:szCs w:val="18"/>
              </w:rPr>
              <w:t>Mesure d'évitement ou d'atténuation</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28CE9928" w14:textId="77777777" w:rsidR="00713368" w:rsidRPr="00AB1E0E" w:rsidRDefault="00713368" w:rsidP="00DD4EBF">
            <w:pPr>
              <w:jc w:val="center"/>
              <w:rPr>
                <w:rStyle w:val="CharacterStyle1"/>
                <w:rFonts w:cs="Calibri"/>
                <w:b/>
                <w:bCs/>
                <w:sz w:val="18"/>
                <w:szCs w:val="18"/>
              </w:rPr>
            </w:pPr>
            <w:r w:rsidRPr="00AB1E0E">
              <w:rPr>
                <w:rStyle w:val="CharacterStyle1"/>
                <w:rFonts w:cs="Calibri"/>
                <w:b/>
                <w:bCs/>
                <w:sz w:val="18"/>
                <w:szCs w:val="18"/>
              </w:rPr>
              <w:t>Indicateurs de surveillance</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18D662A9" w14:textId="77777777" w:rsidR="00713368" w:rsidRPr="00AB1E0E" w:rsidRDefault="00713368" w:rsidP="00DD4EBF">
            <w:pPr>
              <w:jc w:val="center"/>
              <w:rPr>
                <w:rStyle w:val="CharacterStyle1"/>
                <w:rFonts w:cs="Calibri"/>
                <w:b/>
                <w:bCs/>
                <w:sz w:val="18"/>
                <w:szCs w:val="18"/>
              </w:rPr>
            </w:pPr>
            <w:r w:rsidRPr="00AB1E0E">
              <w:rPr>
                <w:rStyle w:val="CharacterStyle1"/>
                <w:rFonts w:cs="Calibri"/>
                <w:b/>
                <w:bCs/>
                <w:sz w:val="18"/>
                <w:szCs w:val="18"/>
              </w:rPr>
              <w:t>Moyen de surveillance</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739399AD" w14:textId="77777777" w:rsidR="00713368" w:rsidRPr="00AB1E0E" w:rsidRDefault="00713368" w:rsidP="00DD4EBF">
            <w:pPr>
              <w:jc w:val="center"/>
              <w:rPr>
                <w:rStyle w:val="CharacterStyle1"/>
                <w:rFonts w:cs="Calibri"/>
                <w:b/>
                <w:bCs/>
                <w:sz w:val="18"/>
                <w:szCs w:val="18"/>
              </w:rPr>
            </w:pPr>
            <w:r w:rsidRPr="00AB1E0E">
              <w:rPr>
                <w:rStyle w:val="CharacterStyle1"/>
                <w:rFonts w:cs="Calibri"/>
                <w:b/>
                <w:bCs/>
                <w:sz w:val="18"/>
                <w:szCs w:val="18"/>
              </w:rPr>
              <w:t>Calendrier</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007B691A" w14:textId="77777777" w:rsidR="00713368" w:rsidRPr="00AB1E0E" w:rsidRDefault="00713368" w:rsidP="00DD4EBF">
            <w:pPr>
              <w:jc w:val="center"/>
              <w:rPr>
                <w:rStyle w:val="CharacterStyle1"/>
                <w:rFonts w:cs="Calibri"/>
                <w:b/>
                <w:bCs/>
                <w:sz w:val="18"/>
                <w:szCs w:val="18"/>
              </w:rPr>
            </w:pPr>
            <w:r w:rsidRPr="00AB1E0E">
              <w:rPr>
                <w:rStyle w:val="CharacterStyle1"/>
                <w:rFonts w:cs="Calibri"/>
                <w:b/>
                <w:bCs/>
                <w:sz w:val="18"/>
                <w:szCs w:val="18"/>
              </w:rPr>
              <w:t>Responsables</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197BC99D" w14:textId="77777777" w:rsidR="00713368" w:rsidRPr="00AB1E0E" w:rsidRDefault="00713368" w:rsidP="00DD4EBF">
            <w:pPr>
              <w:jc w:val="center"/>
              <w:rPr>
                <w:rStyle w:val="CharacterStyle1"/>
                <w:rFonts w:cs="Calibri"/>
                <w:b/>
                <w:bCs/>
                <w:sz w:val="18"/>
                <w:szCs w:val="18"/>
              </w:rPr>
            </w:pPr>
            <w:r w:rsidRPr="00AB1E0E">
              <w:rPr>
                <w:rStyle w:val="CharacterStyle1"/>
                <w:rFonts w:cs="Calibri"/>
                <w:b/>
                <w:bCs/>
                <w:sz w:val="18"/>
                <w:szCs w:val="18"/>
              </w:rPr>
              <w:t>Contrôle</w:t>
            </w:r>
          </w:p>
        </w:tc>
      </w:tr>
      <w:tr w:rsidR="00713368" w:rsidRPr="001C5508" w14:paraId="1FB66D08" w14:textId="77777777" w:rsidTr="00B434A6">
        <w:trPr>
          <w:trHeight w:val="300"/>
        </w:trPr>
        <w:tc>
          <w:tcPr>
            <w:tcW w:w="0" w:type="auto"/>
            <w:gridSpan w:val="7"/>
            <w:tcBorders>
              <w:top w:val="single" w:sz="4" w:space="0" w:color="auto"/>
              <w:left w:val="single" w:sz="4" w:space="0" w:color="auto"/>
              <w:bottom w:val="single" w:sz="4" w:space="0" w:color="auto"/>
              <w:right w:val="single" w:sz="4" w:space="0" w:color="auto"/>
            </w:tcBorders>
            <w:shd w:val="clear" w:color="000000" w:fill="00B0F0"/>
            <w:vAlign w:val="center"/>
            <w:hideMark/>
          </w:tcPr>
          <w:p w14:paraId="3530799E" w14:textId="77777777" w:rsidR="00713368" w:rsidRPr="00AB1E0E" w:rsidRDefault="00713368" w:rsidP="00DD4EBF">
            <w:pPr>
              <w:jc w:val="center"/>
              <w:rPr>
                <w:rStyle w:val="CharacterStyle1"/>
                <w:rFonts w:cs="Calibri"/>
                <w:b/>
                <w:bCs/>
                <w:sz w:val="18"/>
                <w:szCs w:val="18"/>
              </w:rPr>
            </w:pPr>
            <w:r w:rsidRPr="00AB1E0E">
              <w:rPr>
                <w:rStyle w:val="CharacterStyle1"/>
                <w:rFonts w:cs="Calibri"/>
                <w:b/>
                <w:bCs/>
                <w:sz w:val="18"/>
                <w:szCs w:val="18"/>
              </w:rPr>
              <w:t>Phase Préparatoire et Construction</w:t>
            </w:r>
          </w:p>
        </w:tc>
      </w:tr>
      <w:tr w:rsidR="00DD4EBF" w:rsidRPr="00AB1E0E" w14:paraId="1B2D25D5" w14:textId="77777777" w:rsidTr="00B434A6">
        <w:trPr>
          <w:trHeight w:val="9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817C16"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Altération de la qualité de l’air par le soulèvement de poussières dû aux passages des véhicules de chantier et émanations GES des véhicules de chantier</w:t>
            </w:r>
          </w:p>
        </w:tc>
        <w:tc>
          <w:tcPr>
            <w:tcW w:w="0" w:type="auto"/>
            <w:tcBorders>
              <w:top w:val="nil"/>
              <w:left w:val="nil"/>
              <w:bottom w:val="single" w:sz="4" w:space="0" w:color="auto"/>
              <w:right w:val="single" w:sz="4" w:space="0" w:color="auto"/>
            </w:tcBorders>
            <w:shd w:val="clear" w:color="auto" w:fill="auto"/>
            <w:vAlign w:val="center"/>
            <w:hideMark/>
          </w:tcPr>
          <w:p w14:paraId="668229F6"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Humidification des sites. Utilisation de véhicule en bon état. Entretien régulier des véhicules</w:t>
            </w:r>
          </w:p>
        </w:tc>
        <w:tc>
          <w:tcPr>
            <w:tcW w:w="0" w:type="auto"/>
            <w:tcBorders>
              <w:top w:val="nil"/>
              <w:left w:val="nil"/>
              <w:bottom w:val="single" w:sz="4" w:space="0" w:color="auto"/>
              <w:right w:val="single" w:sz="4" w:space="0" w:color="auto"/>
            </w:tcBorders>
            <w:shd w:val="clear" w:color="auto" w:fill="auto"/>
            <w:vAlign w:val="center"/>
            <w:hideMark/>
          </w:tcPr>
          <w:p w14:paraId="2A90B7A2"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Humidification réalisée</w:t>
            </w:r>
          </w:p>
        </w:tc>
        <w:tc>
          <w:tcPr>
            <w:tcW w:w="0" w:type="auto"/>
            <w:tcBorders>
              <w:top w:val="nil"/>
              <w:left w:val="nil"/>
              <w:bottom w:val="single" w:sz="4" w:space="0" w:color="auto"/>
              <w:right w:val="single" w:sz="4" w:space="0" w:color="auto"/>
            </w:tcBorders>
            <w:shd w:val="clear" w:color="auto" w:fill="auto"/>
            <w:noWrap/>
            <w:vAlign w:val="center"/>
            <w:hideMark/>
          </w:tcPr>
          <w:p w14:paraId="0CE17F99"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Observation</w:t>
            </w:r>
          </w:p>
        </w:tc>
        <w:tc>
          <w:tcPr>
            <w:tcW w:w="0" w:type="auto"/>
            <w:tcBorders>
              <w:top w:val="nil"/>
              <w:left w:val="nil"/>
              <w:bottom w:val="single" w:sz="4" w:space="0" w:color="auto"/>
              <w:right w:val="single" w:sz="4" w:space="0" w:color="auto"/>
            </w:tcBorders>
            <w:shd w:val="clear" w:color="auto" w:fill="auto"/>
            <w:vAlign w:val="center"/>
            <w:hideMark/>
          </w:tcPr>
          <w:p w14:paraId="41E8B778"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Hebdomadaire</w:t>
            </w:r>
          </w:p>
        </w:tc>
        <w:tc>
          <w:tcPr>
            <w:tcW w:w="0" w:type="auto"/>
            <w:tcBorders>
              <w:top w:val="nil"/>
              <w:left w:val="nil"/>
              <w:bottom w:val="single" w:sz="4" w:space="0" w:color="auto"/>
              <w:right w:val="single" w:sz="4" w:space="0" w:color="auto"/>
            </w:tcBorders>
            <w:shd w:val="clear" w:color="auto" w:fill="auto"/>
            <w:noWrap/>
            <w:vAlign w:val="center"/>
            <w:hideMark/>
          </w:tcPr>
          <w:p w14:paraId="17D35ADA"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Entreprise</w:t>
            </w:r>
          </w:p>
        </w:tc>
        <w:tc>
          <w:tcPr>
            <w:tcW w:w="0" w:type="auto"/>
            <w:tcBorders>
              <w:top w:val="nil"/>
              <w:left w:val="nil"/>
              <w:bottom w:val="single" w:sz="4" w:space="0" w:color="auto"/>
              <w:right w:val="single" w:sz="4" w:space="0" w:color="auto"/>
            </w:tcBorders>
            <w:shd w:val="clear" w:color="auto" w:fill="auto"/>
            <w:vAlign w:val="center"/>
            <w:hideMark/>
          </w:tcPr>
          <w:p w14:paraId="22511206"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MdC</w:t>
            </w:r>
          </w:p>
        </w:tc>
      </w:tr>
      <w:tr w:rsidR="00DD4EBF" w:rsidRPr="00AB1E0E" w14:paraId="1B71F938" w14:textId="77777777" w:rsidTr="00B434A6">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1111F4"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Risque d’érosion du sol</w:t>
            </w:r>
          </w:p>
        </w:tc>
        <w:tc>
          <w:tcPr>
            <w:tcW w:w="0" w:type="auto"/>
            <w:tcBorders>
              <w:top w:val="nil"/>
              <w:left w:val="nil"/>
              <w:bottom w:val="single" w:sz="4" w:space="0" w:color="auto"/>
              <w:right w:val="single" w:sz="4" w:space="0" w:color="auto"/>
            </w:tcBorders>
            <w:shd w:val="clear" w:color="auto" w:fill="auto"/>
            <w:vAlign w:val="center"/>
            <w:hideMark/>
          </w:tcPr>
          <w:p w14:paraId="5FEA929C"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Réaliser les travaux pendant la saison sèche </w:t>
            </w:r>
          </w:p>
        </w:tc>
        <w:tc>
          <w:tcPr>
            <w:tcW w:w="0" w:type="auto"/>
            <w:tcBorders>
              <w:top w:val="nil"/>
              <w:left w:val="nil"/>
              <w:bottom w:val="single" w:sz="4" w:space="0" w:color="auto"/>
              <w:right w:val="single" w:sz="4" w:space="0" w:color="auto"/>
            </w:tcBorders>
            <w:shd w:val="clear" w:color="auto" w:fill="auto"/>
            <w:vAlign w:val="center"/>
            <w:hideMark/>
          </w:tcPr>
          <w:p w14:paraId="450743C3"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Calendrier d'exécution</w:t>
            </w:r>
          </w:p>
        </w:tc>
        <w:tc>
          <w:tcPr>
            <w:tcW w:w="0" w:type="auto"/>
            <w:tcBorders>
              <w:top w:val="nil"/>
              <w:left w:val="nil"/>
              <w:bottom w:val="single" w:sz="4" w:space="0" w:color="auto"/>
              <w:right w:val="single" w:sz="4" w:space="0" w:color="auto"/>
            </w:tcBorders>
            <w:shd w:val="clear" w:color="auto" w:fill="auto"/>
            <w:noWrap/>
            <w:vAlign w:val="center"/>
            <w:hideMark/>
          </w:tcPr>
          <w:p w14:paraId="42BF688E"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Observation</w:t>
            </w:r>
          </w:p>
        </w:tc>
        <w:tc>
          <w:tcPr>
            <w:tcW w:w="0" w:type="auto"/>
            <w:tcBorders>
              <w:top w:val="nil"/>
              <w:left w:val="nil"/>
              <w:bottom w:val="single" w:sz="4" w:space="0" w:color="auto"/>
              <w:right w:val="single" w:sz="4" w:space="0" w:color="auto"/>
            </w:tcBorders>
            <w:shd w:val="clear" w:color="auto" w:fill="auto"/>
            <w:vAlign w:val="center"/>
            <w:hideMark/>
          </w:tcPr>
          <w:p w14:paraId="441AEBD3"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 Trimestriel</w:t>
            </w:r>
          </w:p>
        </w:tc>
        <w:tc>
          <w:tcPr>
            <w:tcW w:w="0" w:type="auto"/>
            <w:tcBorders>
              <w:top w:val="nil"/>
              <w:left w:val="nil"/>
              <w:bottom w:val="single" w:sz="4" w:space="0" w:color="auto"/>
              <w:right w:val="single" w:sz="4" w:space="0" w:color="auto"/>
            </w:tcBorders>
            <w:shd w:val="clear" w:color="auto" w:fill="auto"/>
            <w:noWrap/>
            <w:vAlign w:val="center"/>
            <w:hideMark/>
          </w:tcPr>
          <w:p w14:paraId="57D5C821"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Entreprise</w:t>
            </w:r>
          </w:p>
        </w:tc>
        <w:tc>
          <w:tcPr>
            <w:tcW w:w="0" w:type="auto"/>
            <w:tcBorders>
              <w:top w:val="nil"/>
              <w:left w:val="nil"/>
              <w:bottom w:val="single" w:sz="4" w:space="0" w:color="auto"/>
              <w:right w:val="single" w:sz="4" w:space="0" w:color="auto"/>
            </w:tcBorders>
            <w:shd w:val="clear" w:color="auto" w:fill="auto"/>
            <w:vAlign w:val="center"/>
            <w:hideMark/>
          </w:tcPr>
          <w:p w14:paraId="3F6B88F5"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MdC</w:t>
            </w:r>
          </w:p>
        </w:tc>
      </w:tr>
      <w:tr w:rsidR="00DD4EBF" w:rsidRPr="00AB1E0E" w14:paraId="10638713" w14:textId="77777777" w:rsidTr="00B434A6">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72A77E"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Modification du Paysage</w:t>
            </w:r>
          </w:p>
        </w:tc>
        <w:tc>
          <w:tcPr>
            <w:tcW w:w="0" w:type="auto"/>
            <w:tcBorders>
              <w:top w:val="nil"/>
              <w:left w:val="nil"/>
              <w:bottom w:val="single" w:sz="4" w:space="0" w:color="auto"/>
              <w:right w:val="single" w:sz="4" w:space="0" w:color="auto"/>
            </w:tcBorders>
            <w:shd w:val="clear" w:color="auto" w:fill="auto"/>
            <w:vAlign w:val="center"/>
            <w:hideMark/>
          </w:tcPr>
          <w:p w14:paraId="0F9077ED"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Clôture du site</w:t>
            </w:r>
          </w:p>
        </w:tc>
        <w:tc>
          <w:tcPr>
            <w:tcW w:w="0" w:type="auto"/>
            <w:tcBorders>
              <w:top w:val="nil"/>
              <w:left w:val="nil"/>
              <w:bottom w:val="single" w:sz="4" w:space="0" w:color="auto"/>
              <w:right w:val="single" w:sz="4" w:space="0" w:color="auto"/>
            </w:tcBorders>
            <w:shd w:val="clear" w:color="auto" w:fill="auto"/>
            <w:vAlign w:val="center"/>
            <w:hideMark/>
          </w:tcPr>
          <w:p w14:paraId="345568FC"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Présence de Clôture</w:t>
            </w:r>
          </w:p>
        </w:tc>
        <w:tc>
          <w:tcPr>
            <w:tcW w:w="0" w:type="auto"/>
            <w:tcBorders>
              <w:top w:val="nil"/>
              <w:left w:val="nil"/>
              <w:bottom w:val="single" w:sz="4" w:space="0" w:color="auto"/>
              <w:right w:val="single" w:sz="4" w:space="0" w:color="auto"/>
            </w:tcBorders>
            <w:shd w:val="clear" w:color="auto" w:fill="auto"/>
            <w:noWrap/>
            <w:vAlign w:val="center"/>
            <w:hideMark/>
          </w:tcPr>
          <w:p w14:paraId="4BA953A1"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Observation</w:t>
            </w:r>
          </w:p>
        </w:tc>
        <w:tc>
          <w:tcPr>
            <w:tcW w:w="0" w:type="auto"/>
            <w:tcBorders>
              <w:top w:val="nil"/>
              <w:left w:val="nil"/>
              <w:bottom w:val="single" w:sz="4" w:space="0" w:color="auto"/>
              <w:right w:val="single" w:sz="4" w:space="0" w:color="auto"/>
            </w:tcBorders>
            <w:shd w:val="clear" w:color="auto" w:fill="auto"/>
            <w:vAlign w:val="center"/>
            <w:hideMark/>
          </w:tcPr>
          <w:p w14:paraId="39FA174A"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Mensuel</w:t>
            </w:r>
          </w:p>
        </w:tc>
        <w:tc>
          <w:tcPr>
            <w:tcW w:w="0" w:type="auto"/>
            <w:tcBorders>
              <w:top w:val="nil"/>
              <w:left w:val="nil"/>
              <w:bottom w:val="single" w:sz="4" w:space="0" w:color="auto"/>
              <w:right w:val="single" w:sz="4" w:space="0" w:color="auto"/>
            </w:tcBorders>
            <w:shd w:val="clear" w:color="auto" w:fill="auto"/>
            <w:noWrap/>
            <w:vAlign w:val="center"/>
            <w:hideMark/>
          </w:tcPr>
          <w:p w14:paraId="4A5C3684"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Entreprise</w:t>
            </w:r>
          </w:p>
        </w:tc>
        <w:tc>
          <w:tcPr>
            <w:tcW w:w="0" w:type="auto"/>
            <w:tcBorders>
              <w:top w:val="nil"/>
              <w:left w:val="nil"/>
              <w:bottom w:val="single" w:sz="4" w:space="0" w:color="auto"/>
              <w:right w:val="single" w:sz="4" w:space="0" w:color="auto"/>
            </w:tcBorders>
            <w:shd w:val="clear" w:color="auto" w:fill="auto"/>
            <w:vAlign w:val="center"/>
            <w:hideMark/>
          </w:tcPr>
          <w:p w14:paraId="4EA44E7A"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MdC</w:t>
            </w:r>
          </w:p>
        </w:tc>
      </w:tr>
      <w:tr w:rsidR="00DD4EBF" w:rsidRPr="00AB1E0E" w14:paraId="57738FFA" w14:textId="77777777" w:rsidTr="00B434A6">
        <w:trPr>
          <w:trHeight w:val="48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54194D4"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Pollution des ressources en eau par entraînement de substances polluantes</w:t>
            </w:r>
          </w:p>
        </w:tc>
        <w:tc>
          <w:tcPr>
            <w:tcW w:w="0" w:type="auto"/>
            <w:tcBorders>
              <w:top w:val="nil"/>
              <w:left w:val="nil"/>
              <w:bottom w:val="single" w:sz="4" w:space="0" w:color="auto"/>
              <w:right w:val="single" w:sz="4" w:space="0" w:color="auto"/>
            </w:tcBorders>
            <w:shd w:val="clear" w:color="auto" w:fill="auto"/>
            <w:vAlign w:val="center"/>
            <w:hideMark/>
          </w:tcPr>
          <w:p w14:paraId="4FF77A4E"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Elaboration et mise en œuvre de Plan de Gestion de</w:t>
            </w:r>
            <w:r w:rsidR="00195A84" w:rsidRPr="00AB1E0E">
              <w:rPr>
                <w:rStyle w:val="CharacterStyle1"/>
                <w:rFonts w:cs="Calibri"/>
                <w:sz w:val="18"/>
                <w:szCs w:val="18"/>
              </w:rPr>
              <w:t>s</w:t>
            </w:r>
            <w:r w:rsidRPr="00AB1E0E">
              <w:rPr>
                <w:rStyle w:val="CharacterStyle1"/>
                <w:rFonts w:cs="Calibri"/>
                <w:sz w:val="18"/>
                <w:szCs w:val="18"/>
              </w:rPr>
              <w:t xml:space="preserve"> Déchet</w:t>
            </w:r>
            <w:r w:rsidR="00195A84" w:rsidRPr="00AB1E0E">
              <w:rPr>
                <w:rStyle w:val="CharacterStyle1"/>
                <w:rFonts w:cs="Calibri"/>
                <w:sz w:val="18"/>
                <w:szCs w:val="18"/>
              </w:rPr>
              <w:t>s</w:t>
            </w:r>
            <w:r w:rsidRPr="00AB1E0E">
              <w:rPr>
                <w:rStyle w:val="CharacterStyle1"/>
                <w:rFonts w:cs="Calibri"/>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641BF4C0"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Présence du Document</w:t>
            </w:r>
          </w:p>
        </w:tc>
        <w:tc>
          <w:tcPr>
            <w:tcW w:w="0" w:type="auto"/>
            <w:tcBorders>
              <w:top w:val="nil"/>
              <w:left w:val="nil"/>
              <w:bottom w:val="single" w:sz="4" w:space="0" w:color="auto"/>
              <w:right w:val="single" w:sz="4" w:space="0" w:color="auto"/>
            </w:tcBorders>
            <w:shd w:val="clear" w:color="auto" w:fill="auto"/>
            <w:noWrap/>
            <w:vAlign w:val="center"/>
            <w:hideMark/>
          </w:tcPr>
          <w:p w14:paraId="1F89519A"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Consultation document</w:t>
            </w:r>
          </w:p>
        </w:tc>
        <w:tc>
          <w:tcPr>
            <w:tcW w:w="0" w:type="auto"/>
            <w:tcBorders>
              <w:top w:val="nil"/>
              <w:left w:val="nil"/>
              <w:bottom w:val="single" w:sz="4" w:space="0" w:color="auto"/>
              <w:right w:val="single" w:sz="4" w:space="0" w:color="auto"/>
            </w:tcBorders>
            <w:shd w:val="clear" w:color="auto" w:fill="auto"/>
            <w:vAlign w:val="center"/>
            <w:hideMark/>
          </w:tcPr>
          <w:p w14:paraId="720C5157"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Début des travaux</w:t>
            </w:r>
          </w:p>
        </w:tc>
        <w:tc>
          <w:tcPr>
            <w:tcW w:w="0" w:type="auto"/>
            <w:tcBorders>
              <w:top w:val="nil"/>
              <w:left w:val="nil"/>
              <w:bottom w:val="single" w:sz="4" w:space="0" w:color="auto"/>
              <w:right w:val="single" w:sz="4" w:space="0" w:color="auto"/>
            </w:tcBorders>
            <w:shd w:val="clear" w:color="auto" w:fill="auto"/>
            <w:noWrap/>
            <w:vAlign w:val="center"/>
            <w:hideMark/>
          </w:tcPr>
          <w:p w14:paraId="5D9972FC"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Entreprise</w:t>
            </w:r>
          </w:p>
        </w:tc>
        <w:tc>
          <w:tcPr>
            <w:tcW w:w="0" w:type="auto"/>
            <w:tcBorders>
              <w:top w:val="nil"/>
              <w:left w:val="nil"/>
              <w:bottom w:val="single" w:sz="4" w:space="0" w:color="auto"/>
              <w:right w:val="single" w:sz="4" w:space="0" w:color="auto"/>
            </w:tcBorders>
            <w:shd w:val="clear" w:color="auto" w:fill="auto"/>
            <w:vAlign w:val="center"/>
            <w:hideMark/>
          </w:tcPr>
          <w:p w14:paraId="62DD1B77"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MdC</w:t>
            </w:r>
          </w:p>
        </w:tc>
      </w:tr>
      <w:tr w:rsidR="00DD4EBF" w:rsidRPr="00AB1E0E" w14:paraId="2108C76E" w14:textId="77777777" w:rsidTr="00B434A6">
        <w:trPr>
          <w:trHeight w:val="720"/>
        </w:trPr>
        <w:tc>
          <w:tcPr>
            <w:tcW w:w="0" w:type="auto"/>
            <w:vMerge/>
            <w:tcBorders>
              <w:top w:val="nil"/>
              <w:left w:val="single" w:sz="4" w:space="0" w:color="auto"/>
              <w:bottom w:val="single" w:sz="4" w:space="0" w:color="000000"/>
              <w:right w:val="single" w:sz="4" w:space="0" w:color="auto"/>
            </w:tcBorders>
            <w:vAlign w:val="center"/>
            <w:hideMark/>
          </w:tcPr>
          <w:p w14:paraId="07674B4E" w14:textId="77777777" w:rsidR="00713368" w:rsidRPr="00AB1E0E" w:rsidRDefault="00713368" w:rsidP="00DD4EBF">
            <w:pPr>
              <w:spacing w:line="240" w:lineRule="auto"/>
              <w:rPr>
                <w:rStyle w:val="CharacterStyle1"/>
                <w:rFonts w:cs="Calibri"/>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20C0AEE1"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Mise en place de système de collecte et de tri des déchets. </w:t>
            </w:r>
          </w:p>
        </w:tc>
        <w:tc>
          <w:tcPr>
            <w:tcW w:w="0" w:type="auto"/>
            <w:tcBorders>
              <w:top w:val="nil"/>
              <w:left w:val="nil"/>
              <w:bottom w:val="single" w:sz="4" w:space="0" w:color="auto"/>
              <w:right w:val="single" w:sz="4" w:space="0" w:color="auto"/>
            </w:tcBorders>
            <w:shd w:val="clear" w:color="auto" w:fill="auto"/>
            <w:vAlign w:val="center"/>
            <w:hideMark/>
          </w:tcPr>
          <w:p w14:paraId="1B01A26A"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Système de collecte et de tri des déchets mis en place</w:t>
            </w:r>
          </w:p>
        </w:tc>
        <w:tc>
          <w:tcPr>
            <w:tcW w:w="0" w:type="auto"/>
            <w:tcBorders>
              <w:top w:val="nil"/>
              <w:left w:val="nil"/>
              <w:bottom w:val="single" w:sz="4" w:space="0" w:color="auto"/>
              <w:right w:val="single" w:sz="4" w:space="0" w:color="auto"/>
            </w:tcBorders>
            <w:shd w:val="clear" w:color="auto" w:fill="auto"/>
            <w:noWrap/>
            <w:vAlign w:val="center"/>
            <w:hideMark/>
          </w:tcPr>
          <w:p w14:paraId="28C08A96"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Observation</w:t>
            </w:r>
          </w:p>
        </w:tc>
        <w:tc>
          <w:tcPr>
            <w:tcW w:w="0" w:type="auto"/>
            <w:tcBorders>
              <w:top w:val="nil"/>
              <w:left w:val="nil"/>
              <w:bottom w:val="single" w:sz="4" w:space="0" w:color="auto"/>
              <w:right w:val="single" w:sz="4" w:space="0" w:color="auto"/>
            </w:tcBorders>
            <w:shd w:val="clear" w:color="auto" w:fill="auto"/>
            <w:vAlign w:val="center"/>
            <w:hideMark/>
          </w:tcPr>
          <w:p w14:paraId="7D915A4E"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Hebdomadaire</w:t>
            </w:r>
          </w:p>
        </w:tc>
        <w:tc>
          <w:tcPr>
            <w:tcW w:w="0" w:type="auto"/>
            <w:tcBorders>
              <w:top w:val="nil"/>
              <w:left w:val="nil"/>
              <w:bottom w:val="single" w:sz="4" w:space="0" w:color="auto"/>
              <w:right w:val="single" w:sz="4" w:space="0" w:color="auto"/>
            </w:tcBorders>
            <w:shd w:val="clear" w:color="auto" w:fill="auto"/>
            <w:noWrap/>
            <w:vAlign w:val="center"/>
            <w:hideMark/>
          </w:tcPr>
          <w:p w14:paraId="4C425CEB"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Entreprise</w:t>
            </w:r>
          </w:p>
        </w:tc>
        <w:tc>
          <w:tcPr>
            <w:tcW w:w="0" w:type="auto"/>
            <w:tcBorders>
              <w:top w:val="nil"/>
              <w:left w:val="nil"/>
              <w:bottom w:val="single" w:sz="4" w:space="0" w:color="auto"/>
              <w:right w:val="single" w:sz="4" w:space="0" w:color="auto"/>
            </w:tcBorders>
            <w:shd w:val="clear" w:color="auto" w:fill="auto"/>
            <w:vAlign w:val="center"/>
            <w:hideMark/>
          </w:tcPr>
          <w:p w14:paraId="28F38381"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MdC</w:t>
            </w:r>
          </w:p>
        </w:tc>
      </w:tr>
      <w:tr w:rsidR="00DD4EBF" w:rsidRPr="00AB1E0E" w14:paraId="534B9FFA" w14:textId="77777777" w:rsidTr="00B434A6">
        <w:trPr>
          <w:trHeight w:val="48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8D77916"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Coupe illicite pour les besoins de bois de chauffe du chantier</w:t>
            </w:r>
          </w:p>
        </w:tc>
        <w:tc>
          <w:tcPr>
            <w:tcW w:w="0" w:type="auto"/>
            <w:tcBorders>
              <w:top w:val="nil"/>
              <w:left w:val="nil"/>
              <w:bottom w:val="single" w:sz="4" w:space="0" w:color="auto"/>
              <w:right w:val="single" w:sz="4" w:space="0" w:color="auto"/>
            </w:tcBorders>
            <w:shd w:val="clear" w:color="auto" w:fill="auto"/>
            <w:vAlign w:val="center"/>
            <w:hideMark/>
          </w:tcPr>
          <w:p w14:paraId="2D4D2EB0"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Interdiction formelle de prélèvement de bois dans la végétation alentour du site. Approvisionnement auprès de fournisseur agréé</w:t>
            </w:r>
          </w:p>
        </w:tc>
        <w:tc>
          <w:tcPr>
            <w:tcW w:w="0" w:type="auto"/>
            <w:tcBorders>
              <w:top w:val="nil"/>
              <w:left w:val="nil"/>
              <w:bottom w:val="single" w:sz="4" w:space="0" w:color="auto"/>
              <w:right w:val="single" w:sz="4" w:space="0" w:color="auto"/>
            </w:tcBorders>
            <w:shd w:val="clear" w:color="auto" w:fill="auto"/>
            <w:vAlign w:val="center"/>
            <w:hideMark/>
          </w:tcPr>
          <w:p w14:paraId="0504ECC9"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Facture d'achat de bois de chauffe</w:t>
            </w:r>
          </w:p>
        </w:tc>
        <w:tc>
          <w:tcPr>
            <w:tcW w:w="0" w:type="auto"/>
            <w:tcBorders>
              <w:top w:val="nil"/>
              <w:left w:val="nil"/>
              <w:bottom w:val="single" w:sz="4" w:space="0" w:color="auto"/>
              <w:right w:val="single" w:sz="4" w:space="0" w:color="auto"/>
            </w:tcBorders>
            <w:shd w:val="clear" w:color="auto" w:fill="auto"/>
            <w:noWrap/>
            <w:vAlign w:val="center"/>
            <w:hideMark/>
          </w:tcPr>
          <w:p w14:paraId="28FC7C24"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Consultation document</w:t>
            </w:r>
          </w:p>
        </w:tc>
        <w:tc>
          <w:tcPr>
            <w:tcW w:w="0" w:type="auto"/>
            <w:tcBorders>
              <w:top w:val="nil"/>
              <w:left w:val="nil"/>
              <w:bottom w:val="single" w:sz="4" w:space="0" w:color="auto"/>
              <w:right w:val="single" w:sz="4" w:space="0" w:color="auto"/>
            </w:tcBorders>
            <w:shd w:val="clear" w:color="auto" w:fill="auto"/>
            <w:vAlign w:val="center"/>
            <w:hideMark/>
          </w:tcPr>
          <w:p w14:paraId="79332F7D"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Mensuel</w:t>
            </w:r>
          </w:p>
        </w:tc>
        <w:tc>
          <w:tcPr>
            <w:tcW w:w="0" w:type="auto"/>
            <w:tcBorders>
              <w:top w:val="nil"/>
              <w:left w:val="nil"/>
              <w:bottom w:val="single" w:sz="4" w:space="0" w:color="auto"/>
              <w:right w:val="single" w:sz="4" w:space="0" w:color="auto"/>
            </w:tcBorders>
            <w:shd w:val="clear" w:color="auto" w:fill="auto"/>
            <w:noWrap/>
            <w:vAlign w:val="center"/>
            <w:hideMark/>
          </w:tcPr>
          <w:p w14:paraId="3BB1DA60"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Entreprise</w:t>
            </w:r>
          </w:p>
        </w:tc>
        <w:tc>
          <w:tcPr>
            <w:tcW w:w="0" w:type="auto"/>
            <w:tcBorders>
              <w:top w:val="nil"/>
              <w:left w:val="nil"/>
              <w:bottom w:val="single" w:sz="4" w:space="0" w:color="auto"/>
              <w:right w:val="single" w:sz="4" w:space="0" w:color="auto"/>
            </w:tcBorders>
            <w:shd w:val="clear" w:color="auto" w:fill="auto"/>
            <w:vAlign w:val="center"/>
            <w:hideMark/>
          </w:tcPr>
          <w:p w14:paraId="31137A67"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MdC</w:t>
            </w:r>
          </w:p>
        </w:tc>
      </w:tr>
      <w:tr w:rsidR="00DD4EBF" w:rsidRPr="00AB1E0E" w14:paraId="1265A633" w14:textId="77777777" w:rsidTr="00B434A6">
        <w:trPr>
          <w:trHeight w:val="720"/>
        </w:trPr>
        <w:tc>
          <w:tcPr>
            <w:tcW w:w="0" w:type="auto"/>
            <w:vMerge/>
            <w:tcBorders>
              <w:top w:val="nil"/>
              <w:left w:val="single" w:sz="4" w:space="0" w:color="auto"/>
              <w:bottom w:val="single" w:sz="4" w:space="0" w:color="000000"/>
              <w:right w:val="single" w:sz="4" w:space="0" w:color="auto"/>
            </w:tcBorders>
            <w:vAlign w:val="center"/>
            <w:hideMark/>
          </w:tcPr>
          <w:p w14:paraId="17451C81" w14:textId="77777777" w:rsidR="00713368" w:rsidRPr="00AB1E0E" w:rsidRDefault="00713368" w:rsidP="00DD4EBF">
            <w:pPr>
              <w:spacing w:line="240" w:lineRule="auto"/>
              <w:rPr>
                <w:rStyle w:val="CharacterStyle1"/>
                <w:rFonts w:cs="Calibri"/>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51633CCE"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Utilisation d'autre source d'énergie pour la cuisson</w:t>
            </w:r>
          </w:p>
        </w:tc>
        <w:tc>
          <w:tcPr>
            <w:tcW w:w="0" w:type="auto"/>
            <w:tcBorders>
              <w:top w:val="nil"/>
              <w:left w:val="nil"/>
              <w:bottom w:val="nil"/>
              <w:right w:val="single" w:sz="4" w:space="0" w:color="auto"/>
            </w:tcBorders>
            <w:shd w:val="clear" w:color="auto" w:fill="auto"/>
            <w:vAlign w:val="center"/>
            <w:hideMark/>
          </w:tcPr>
          <w:p w14:paraId="672090A9"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Présence d'autre source d'énergie de cuisson</w:t>
            </w:r>
          </w:p>
        </w:tc>
        <w:tc>
          <w:tcPr>
            <w:tcW w:w="0" w:type="auto"/>
            <w:tcBorders>
              <w:top w:val="nil"/>
              <w:left w:val="nil"/>
              <w:bottom w:val="single" w:sz="4" w:space="0" w:color="auto"/>
              <w:right w:val="single" w:sz="4" w:space="0" w:color="auto"/>
            </w:tcBorders>
            <w:shd w:val="clear" w:color="auto" w:fill="auto"/>
            <w:noWrap/>
            <w:vAlign w:val="center"/>
            <w:hideMark/>
          </w:tcPr>
          <w:p w14:paraId="675A9DD3"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Observation</w:t>
            </w:r>
          </w:p>
        </w:tc>
        <w:tc>
          <w:tcPr>
            <w:tcW w:w="0" w:type="auto"/>
            <w:tcBorders>
              <w:top w:val="nil"/>
              <w:left w:val="nil"/>
              <w:bottom w:val="single" w:sz="4" w:space="0" w:color="auto"/>
              <w:right w:val="single" w:sz="4" w:space="0" w:color="auto"/>
            </w:tcBorders>
            <w:shd w:val="clear" w:color="auto" w:fill="auto"/>
            <w:vAlign w:val="center"/>
            <w:hideMark/>
          </w:tcPr>
          <w:p w14:paraId="1A65A037"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Mensuel</w:t>
            </w:r>
          </w:p>
        </w:tc>
        <w:tc>
          <w:tcPr>
            <w:tcW w:w="0" w:type="auto"/>
            <w:tcBorders>
              <w:top w:val="nil"/>
              <w:left w:val="nil"/>
              <w:bottom w:val="single" w:sz="4" w:space="0" w:color="auto"/>
              <w:right w:val="single" w:sz="4" w:space="0" w:color="auto"/>
            </w:tcBorders>
            <w:shd w:val="clear" w:color="auto" w:fill="auto"/>
            <w:noWrap/>
            <w:vAlign w:val="center"/>
            <w:hideMark/>
          </w:tcPr>
          <w:p w14:paraId="47C01B6C"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Entreprise</w:t>
            </w:r>
          </w:p>
        </w:tc>
        <w:tc>
          <w:tcPr>
            <w:tcW w:w="0" w:type="auto"/>
            <w:tcBorders>
              <w:top w:val="nil"/>
              <w:left w:val="nil"/>
              <w:bottom w:val="single" w:sz="4" w:space="0" w:color="auto"/>
              <w:right w:val="single" w:sz="4" w:space="0" w:color="auto"/>
            </w:tcBorders>
            <w:shd w:val="clear" w:color="auto" w:fill="auto"/>
            <w:vAlign w:val="center"/>
            <w:hideMark/>
          </w:tcPr>
          <w:p w14:paraId="2FE8D5FA"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MdC</w:t>
            </w:r>
          </w:p>
        </w:tc>
      </w:tr>
      <w:tr w:rsidR="00DD4EBF" w:rsidRPr="00AB1E0E" w14:paraId="676B0A67" w14:textId="77777777" w:rsidTr="00B434A6">
        <w:trPr>
          <w:trHeight w:val="480"/>
        </w:trPr>
        <w:tc>
          <w:tcPr>
            <w:tcW w:w="0" w:type="auto"/>
            <w:vMerge/>
            <w:tcBorders>
              <w:top w:val="nil"/>
              <w:left w:val="single" w:sz="4" w:space="0" w:color="auto"/>
              <w:bottom w:val="single" w:sz="4" w:space="0" w:color="000000"/>
              <w:right w:val="single" w:sz="4" w:space="0" w:color="auto"/>
            </w:tcBorders>
            <w:vAlign w:val="center"/>
            <w:hideMark/>
          </w:tcPr>
          <w:p w14:paraId="60A5A5DA" w14:textId="77777777" w:rsidR="00713368" w:rsidRPr="00AB1E0E" w:rsidRDefault="00713368" w:rsidP="00DD4EBF">
            <w:pPr>
              <w:spacing w:line="240" w:lineRule="auto"/>
              <w:rPr>
                <w:rStyle w:val="CharacterStyle1"/>
                <w:rFonts w:cs="Calibri"/>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4DD8864B"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 xml:space="preserve">Utilisation des poteaux en bétons armés </w:t>
            </w:r>
          </w:p>
        </w:tc>
        <w:tc>
          <w:tcPr>
            <w:tcW w:w="0" w:type="auto"/>
            <w:tcBorders>
              <w:top w:val="single" w:sz="4" w:space="0" w:color="auto"/>
              <w:left w:val="nil"/>
              <w:bottom w:val="nil"/>
              <w:right w:val="single" w:sz="4" w:space="0" w:color="auto"/>
            </w:tcBorders>
            <w:shd w:val="clear" w:color="auto" w:fill="auto"/>
            <w:vAlign w:val="center"/>
            <w:hideMark/>
          </w:tcPr>
          <w:p w14:paraId="06A4CCE2"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Nb de Poteaux en bétons armés utilisés</w:t>
            </w:r>
          </w:p>
        </w:tc>
        <w:tc>
          <w:tcPr>
            <w:tcW w:w="0" w:type="auto"/>
            <w:tcBorders>
              <w:top w:val="nil"/>
              <w:left w:val="nil"/>
              <w:bottom w:val="single" w:sz="4" w:space="0" w:color="auto"/>
              <w:right w:val="single" w:sz="4" w:space="0" w:color="auto"/>
            </w:tcBorders>
            <w:shd w:val="clear" w:color="auto" w:fill="auto"/>
            <w:vAlign w:val="center"/>
            <w:hideMark/>
          </w:tcPr>
          <w:p w14:paraId="7B54A136"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Consultation document</w:t>
            </w:r>
            <w:r w:rsidRPr="00AB1E0E">
              <w:rPr>
                <w:rStyle w:val="CharacterStyle1"/>
                <w:rFonts w:cs="Calibri"/>
                <w:sz w:val="18"/>
                <w:szCs w:val="18"/>
              </w:rPr>
              <w:br/>
              <w:t>Observation</w:t>
            </w:r>
          </w:p>
        </w:tc>
        <w:tc>
          <w:tcPr>
            <w:tcW w:w="0" w:type="auto"/>
            <w:tcBorders>
              <w:top w:val="nil"/>
              <w:left w:val="nil"/>
              <w:bottom w:val="single" w:sz="4" w:space="0" w:color="auto"/>
              <w:right w:val="single" w:sz="4" w:space="0" w:color="auto"/>
            </w:tcBorders>
            <w:shd w:val="clear" w:color="auto" w:fill="auto"/>
            <w:vAlign w:val="center"/>
            <w:hideMark/>
          </w:tcPr>
          <w:p w14:paraId="78B98DC6"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Mensuel</w:t>
            </w:r>
          </w:p>
        </w:tc>
        <w:tc>
          <w:tcPr>
            <w:tcW w:w="0" w:type="auto"/>
            <w:tcBorders>
              <w:top w:val="nil"/>
              <w:left w:val="nil"/>
              <w:bottom w:val="single" w:sz="4" w:space="0" w:color="auto"/>
              <w:right w:val="single" w:sz="4" w:space="0" w:color="auto"/>
            </w:tcBorders>
            <w:shd w:val="clear" w:color="auto" w:fill="auto"/>
            <w:noWrap/>
            <w:vAlign w:val="center"/>
            <w:hideMark/>
          </w:tcPr>
          <w:p w14:paraId="0180DA32"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Entreprise</w:t>
            </w:r>
          </w:p>
        </w:tc>
        <w:tc>
          <w:tcPr>
            <w:tcW w:w="0" w:type="auto"/>
            <w:tcBorders>
              <w:top w:val="nil"/>
              <w:left w:val="nil"/>
              <w:bottom w:val="single" w:sz="4" w:space="0" w:color="auto"/>
              <w:right w:val="single" w:sz="4" w:space="0" w:color="auto"/>
            </w:tcBorders>
            <w:shd w:val="clear" w:color="auto" w:fill="auto"/>
            <w:vAlign w:val="center"/>
            <w:hideMark/>
          </w:tcPr>
          <w:p w14:paraId="473F6DFB"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MdC</w:t>
            </w:r>
          </w:p>
        </w:tc>
      </w:tr>
      <w:tr w:rsidR="00DD4EBF" w:rsidRPr="00AB1E0E" w14:paraId="566E3ECC" w14:textId="77777777" w:rsidTr="00B434A6">
        <w:trPr>
          <w:trHeight w:val="67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07AFD05"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Conflits sociaux par la présence des mains d’œuvre externes</w:t>
            </w:r>
          </w:p>
        </w:tc>
        <w:tc>
          <w:tcPr>
            <w:tcW w:w="0" w:type="auto"/>
            <w:tcBorders>
              <w:top w:val="nil"/>
              <w:left w:val="nil"/>
              <w:bottom w:val="single" w:sz="4" w:space="0" w:color="auto"/>
              <w:right w:val="single" w:sz="4" w:space="0" w:color="auto"/>
            </w:tcBorders>
            <w:shd w:val="clear" w:color="auto" w:fill="auto"/>
            <w:vAlign w:val="center"/>
            <w:hideMark/>
          </w:tcPr>
          <w:p w14:paraId="594955FF"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Affichage des offres d’emploi au niveau Fokontany et Commune concernée. Identification au préalable des sites cultuels ou culturels de la zone du projet</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7505C7"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Cartographie des sites cultuels. PV + Liste de présence. Registre de recrutement. Règlement du personnel. Autorisation.</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D6BA3F2"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Observation</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57D501B"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Début des travaux</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37709CE"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Entreprise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8BFF030"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MdC</w:t>
            </w:r>
          </w:p>
        </w:tc>
      </w:tr>
      <w:tr w:rsidR="00DD4EBF" w:rsidRPr="00AB1E0E" w14:paraId="715595E8" w14:textId="77777777" w:rsidTr="00B434A6">
        <w:trPr>
          <w:trHeight w:val="1320"/>
        </w:trPr>
        <w:tc>
          <w:tcPr>
            <w:tcW w:w="0" w:type="auto"/>
            <w:vMerge/>
            <w:tcBorders>
              <w:top w:val="nil"/>
              <w:left w:val="single" w:sz="4" w:space="0" w:color="auto"/>
              <w:bottom w:val="single" w:sz="4" w:space="0" w:color="auto"/>
              <w:right w:val="single" w:sz="4" w:space="0" w:color="auto"/>
            </w:tcBorders>
            <w:vAlign w:val="center"/>
            <w:hideMark/>
          </w:tcPr>
          <w:p w14:paraId="5E6BFE63" w14:textId="77777777" w:rsidR="00713368" w:rsidRPr="00AB1E0E" w:rsidRDefault="00713368" w:rsidP="00DD4EBF">
            <w:pPr>
              <w:spacing w:line="240" w:lineRule="auto"/>
              <w:rPr>
                <w:rStyle w:val="CharacterStyle1"/>
                <w:rFonts w:cs="Calibri"/>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700AF37A"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 xml:space="preserve">Information/Sensibilisation des ouvriers. Priorisation du recrutement local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F2B9584"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7613CF14"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70FC2248"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13BC1347"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313C4CA8" w14:textId="77777777" w:rsidR="00713368" w:rsidRPr="00AB1E0E" w:rsidRDefault="00713368" w:rsidP="00DD4EBF">
            <w:pPr>
              <w:spacing w:line="240" w:lineRule="auto"/>
              <w:rPr>
                <w:rStyle w:val="CharacterStyle1"/>
                <w:rFonts w:cs="Calibri"/>
                <w:sz w:val="18"/>
                <w:szCs w:val="18"/>
              </w:rPr>
            </w:pPr>
          </w:p>
        </w:tc>
      </w:tr>
      <w:tr w:rsidR="00DD4EBF" w:rsidRPr="00AB1E0E" w14:paraId="638D12B5" w14:textId="77777777" w:rsidTr="00B434A6">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B64CD0E"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Perte des biens (terres,…)</w:t>
            </w:r>
          </w:p>
        </w:tc>
        <w:tc>
          <w:tcPr>
            <w:tcW w:w="0" w:type="auto"/>
            <w:tcBorders>
              <w:top w:val="nil"/>
              <w:left w:val="nil"/>
              <w:bottom w:val="single" w:sz="4" w:space="0" w:color="auto"/>
              <w:right w:val="single" w:sz="4" w:space="0" w:color="auto"/>
            </w:tcBorders>
            <w:shd w:val="clear" w:color="auto" w:fill="auto"/>
            <w:vAlign w:val="center"/>
            <w:hideMark/>
          </w:tcPr>
          <w:p w14:paraId="651B81F4"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Limiter au strict nécessaire l'emprise du projet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554ED2"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Processus d'indemnisation enclenché</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2BDBEAF"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PV d'indemnisation</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44904BD"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Début des travaux</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0476CE1"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Entreprise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F289947"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MdC, BM</w:t>
            </w:r>
          </w:p>
        </w:tc>
      </w:tr>
      <w:tr w:rsidR="00DD4EBF" w:rsidRPr="00AB1E0E" w14:paraId="7C332D3A" w14:textId="77777777" w:rsidTr="00B434A6">
        <w:trPr>
          <w:trHeight w:val="480"/>
        </w:trPr>
        <w:tc>
          <w:tcPr>
            <w:tcW w:w="0" w:type="auto"/>
            <w:vMerge/>
            <w:tcBorders>
              <w:top w:val="nil"/>
              <w:left w:val="single" w:sz="4" w:space="0" w:color="auto"/>
              <w:bottom w:val="single" w:sz="4" w:space="0" w:color="auto"/>
              <w:right w:val="single" w:sz="4" w:space="0" w:color="auto"/>
            </w:tcBorders>
            <w:vAlign w:val="center"/>
            <w:hideMark/>
          </w:tcPr>
          <w:p w14:paraId="361390C8" w14:textId="77777777" w:rsidR="00713368" w:rsidRPr="00AB1E0E" w:rsidRDefault="00713368" w:rsidP="00DD4EBF">
            <w:pPr>
              <w:spacing w:line="240" w:lineRule="auto"/>
              <w:rPr>
                <w:rStyle w:val="CharacterStyle1"/>
                <w:rFonts w:cs="Calibri"/>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27A61922"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Mise en œuvre de système d'indemnisation pour la Compensation des biens et des activités des PAP</w:t>
            </w:r>
          </w:p>
        </w:tc>
        <w:tc>
          <w:tcPr>
            <w:tcW w:w="0" w:type="auto"/>
            <w:vMerge/>
            <w:tcBorders>
              <w:top w:val="nil"/>
              <w:left w:val="single" w:sz="4" w:space="0" w:color="auto"/>
              <w:bottom w:val="single" w:sz="4" w:space="0" w:color="auto"/>
              <w:right w:val="single" w:sz="4" w:space="0" w:color="auto"/>
            </w:tcBorders>
            <w:vAlign w:val="center"/>
            <w:hideMark/>
          </w:tcPr>
          <w:p w14:paraId="2A1EE3FA"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7E1CB141"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2DC8F6BC"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11AE6856"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6AE55D24" w14:textId="77777777" w:rsidR="00713368" w:rsidRPr="00AB1E0E" w:rsidRDefault="00713368" w:rsidP="00DD4EBF">
            <w:pPr>
              <w:spacing w:line="240" w:lineRule="auto"/>
              <w:rPr>
                <w:rStyle w:val="CharacterStyle1"/>
                <w:rFonts w:cs="Calibri"/>
                <w:sz w:val="18"/>
                <w:szCs w:val="18"/>
              </w:rPr>
            </w:pPr>
          </w:p>
        </w:tc>
      </w:tr>
      <w:tr w:rsidR="00DD4EBF" w:rsidRPr="00AB1E0E" w14:paraId="795F7B9C" w14:textId="77777777" w:rsidTr="00B434A6">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5B13B6"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Nuisances sonores et vibrations pendant le transport</w:t>
            </w:r>
          </w:p>
        </w:tc>
        <w:tc>
          <w:tcPr>
            <w:tcW w:w="0" w:type="auto"/>
            <w:tcBorders>
              <w:top w:val="nil"/>
              <w:left w:val="nil"/>
              <w:bottom w:val="single" w:sz="4" w:space="0" w:color="auto"/>
              <w:right w:val="single" w:sz="4" w:space="0" w:color="auto"/>
            </w:tcBorders>
            <w:shd w:val="clear" w:color="auto" w:fill="auto"/>
            <w:vAlign w:val="center"/>
            <w:hideMark/>
          </w:tcPr>
          <w:p w14:paraId="0B1020E3"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N'effectuer les travaux susceptibles d'émettre du bruit que pendant la journée</w:t>
            </w:r>
          </w:p>
        </w:tc>
        <w:tc>
          <w:tcPr>
            <w:tcW w:w="0" w:type="auto"/>
            <w:tcBorders>
              <w:top w:val="nil"/>
              <w:left w:val="nil"/>
              <w:bottom w:val="single" w:sz="4" w:space="0" w:color="auto"/>
              <w:right w:val="single" w:sz="4" w:space="0" w:color="auto"/>
            </w:tcBorders>
            <w:shd w:val="clear" w:color="auto" w:fill="auto"/>
            <w:vAlign w:val="center"/>
            <w:hideMark/>
          </w:tcPr>
          <w:p w14:paraId="04CA49EF"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Travaux pendant la journée</w:t>
            </w:r>
          </w:p>
        </w:tc>
        <w:tc>
          <w:tcPr>
            <w:tcW w:w="0" w:type="auto"/>
            <w:tcBorders>
              <w:top w:val="nil"/>
              <w:left w:val="nil"/>
              <w:bottom w:val="single" w:sz="4" w:space="0" w:color="auto"/>
              <w:right w:val="single" w:sz="4" w:space="0" w:color="auto"/>
            </w:tcBorders>
            <w:shd w:val="clear" w:color="auto" w:fill="auto"/>
            <w:noWrap/>
            <w:vAlign w:val="center"/>
            <w:hideMark/>
          </w:tcPr>
          <w:p w14:paraId="5F830268"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Observation</w:t>
            </w:r>
          </w:p>
        </w:tc>
        <w:tc>
          <w:tcPr>
            <w:tcW w:w="0" w:type="auto"/>
            <w:tcBorders>
              <w:top w:val="nil"/>
              <w:left w:val="nil"/>
              <w:bottom w:val="single" w:sz="4" w:space="0" w:color="auto"/>
              <w:right w:val="single" w:sz="4" w:space="0" w:color="auto"/>
            </w:tcBorders>
            <w:shd w:val="clear" w:color="auto" w:fill="auto"/>
            <w:vAlign w:val="center"/>
            <w:hideMark/>
          </w:tcPr>
          <w:p w14:paraId="40002C8B"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61B9A563"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Entreprise</w:t>
            </w:r>
          </w:p>
        </w:tc>
        <w:tc>
          <w:tcPr>
            <w:tcW w:w="0" w:type="auto"/>
            <w:tcBorders>
              <w:top w:val="nil"/>
              <w:left w:val="nil"/>
              <w:bottom w:val="single" w:sz="4" w:space="0" w:color="auto"/>
              <w:right w:val="single" w:sz="4" w:space="0" w:color="auto"/>
            </w:tcBorders>
            <w:shd w:val="clear" w:color="auto" w:fill="auto"/>
            <w:vAlign w:val="center"/>
            <w:hideMark/>
          </w:tcPr>
          <w:p w14:paraId="2A0ABF74"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MdC</w:t>
            </w:r>
          </w:p>
        </w:tc>
      </w:tr>
      <w:tr w:rsidR="00DD4EBF" w:rsidRPr="00AB1E0E" w14:paraId="33B806C1" w14:textId="77777777" w:rsidTr="00B434A6">
        <w:trPr>
          <w:trHeight w:val="4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1611E5"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Risque de transmission des maladies transmissibles (MST/VIH SIDA, COVID19)</w:t>
            </w:r>
          </w:p>
        </w:tc>
        <w:tc>
          <w:tcPr>
            <w:tcW w:w="0" w:type="auto"/>
            <w:tcBorders>
              <w:top w:val="nil"/>
              <w:left w:val="nil"/>
              <w:bottom w:val="single" w:sz="4" w:space="0" w:color="auto"/>
              <w:right w:val="single" w:sz="4" w:space="0" w:color="auto"/>
            </w:tcBorders>
            <w:shd w:val="clear" w:color="auto" w:fill="auto"/>
            <w:vAlign w:val="center"/>
            <w:hideMark/>
          </w:tcPr>
          <w:p w14:paraId="6CB972B4"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 xml:space="preserve">Assurer la disponibilité gratuite et régulière de préservatifs pour les mains d’œuvres jusqu’à la fin du chantier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724E8A"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PV + Liste de présence. Registre de plainte déposé auprès des autorités locales</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93BD462"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Observation</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74F7BAF"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Mensuel</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F48B85F"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Entreprise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3D5FF83"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MdC</w:t>
            </w:r>
          </w:p>
        </w:tc>
      </w:tr>
      <w:tr w:rsidR="00DD4EBF" w:rsidRPr="00AB1E0E" w14:paraId="22150F7E" w14:textId="77777777" w:rsidTr="00B434A6">
        <w:trPr>
          <w:trHeight w:val="720"/>
        </w:trPr>
        <w:tc>
          <w:tcPr>
            <w:tcW w:w="0" w:type="auto"/>
            <w:vMerge/>
            <w:tcBorders>
              <w:top w:val="nil"/>
              <w:left w:val="single" w:sz="4" w:space="0" w:color="auto"/>
              <w:bottom w:val="single" w:sz="4" w:space="0" w:color="auto"/>
              <w:right w:val="single" w:sz="4" w:space="0" w:color="auto"/>
            </w:tcBorders>
            <w:vAlign w:val="center"/>
            <w:hideMark/>
          </w:tcPr>
          <w:p w14:paraId="35E7DC80" w14:textId="77777777" w:rsidR="00713368" w:rsidRPr="00AB1E0E" w:rsidRDefault="00713368" w:rsidP="00DD4EBF">
            <w:pPr>
              <w:spacing w:line="240" w:lineRule="auto"/>
              <w:rPr>
                <w:rStyle w:val="CharacterStyle1"/>
                <w:rFonts w:cs="Calibri"/>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1B02F1CB"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Information / Sensibilisation du personnel de l’entreprise sur les dangers et risques des IST/SIDA. Information / sensibilisation sur les mœurs locales. Mise à disposition de registre de plainte auprès des autorités locales</w:t>
            </w:r>
          </w:p>
        </w:tc>
        <w:tc>
          <w:tcPr>
            <w:tcW w:w="0" w:type="auto"/>
            <w:vMerge/>
            <w:tcBorders>
              <w:top w:val="nil"/>
              <w:left w:val="single" w:sz="4" w:space="0" w:color="auto"/>
              <w:bottom w:val="single" w:sz="4" w:space="0" w:color="auto"/>
              <w:right w:val="single" w:sz="4" w:space="0" w:color="auto"/>
            </w:tcBorders>
            <w:vAlign w:val="center"/>
            <w:hideMark/>
          </w:tcPr>
          <w:p w14:paraId="5B02C3AC"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14198FE7"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33B25268"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B10302E"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17152ABB" w14:textId="77777777" w:rsidR="00713368" w:rsidRPr="00AB1E0E" w:rsidRDefault="00713368" w:rsidP="00DD4EBF">
            <w:pPr>
              <w:spacing w:line="240" w:lineRule="auto"/>
              <w:rPr>
                <w:rStyle w:val="CharacterStyle1"/>
                <w:rFonts w:cs="Calibri"/>
                <w:sz w:val="18"/>
                <w:szCs w:val="18"/>
              </w:rPr>
            </w:pPr>
          </w:p>
        </w:tc>
      </w:tr>
      <w:tr w:rsidR="00DD4EBF" w:rsidRPr="00AB1E0E" w14:paraId="346B5B7B" w14:textId="77777777" w:rsidTr="00B434A6">
        <w:trPr>
          <w:trHeight w:val="48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D001A29"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Risque d’augmentation des cas de VBG, EAS/HS et grossesse non désirée</w:t>
            </w:r>
          </w:p>
        </w:tc>
        <w:tc>
          <w:tcPr>
            <w:tcW w:w="0" w:type="auto"/>
            <w:tcBorders>
              <w:top w:val="nil"/>
              <w:left w:val="nil"/>
              <w:bottom w:val="single" w:sz="4" w:space="0" w:color="auto"/>
              <w:right w:val="single" w:sz="4" w:space="0" w:color="auto"/>
            </w:tcBorders>
            <w:shd w:val="clear" w:color="auto" w:fill="auto"/>
            <w:vAlign w:val="center"/>
            <w:hideMark/>
          </w:tcPr>
          <w:p w14:paraId="27F85204"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 xml:space="preserve">Information / Sensibilisation du personnel de l’entreprise sur les dangers et risques des IST/SIDA. Information / sensibilisation sur les mœurs locales. </w:t>
            </w:r>
          </w:p>
        </w:tc>
        <w:tc>
          <w:tcPr>
            <w:tcW w:w="0" w:type="auto"/>
            <w:tcBorders>
              <w:top w:val="nil"/>
              <w:left w:val="nil"/>
              <w:bottom w:val="single" w:sz="4" w:space="0" w:color="auto"/>
              <w:right w:val="single" w:sz="4" w:space="0" w:color="auto"/>
            </w:tcBorders>
            <w:shd w:val="clear" w:color="auto" w:fill="auto"/>
            <w:vAlign w:val="center"/>
            <w:hideMark/>
          </w:tcPr>
          <w:p w14:paraId="7C6F22FD"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 xml:space="preserve">PV + Liste de présence. </w:t>
            </w:r>
          </w:p>
        </w:tc>
        <w:tc>
          <w:tcPr>
            <w:tcW w:w="0" w:type="auto"/>
            <w:tcBorders>
              <w:top w:val="nil"/>
              <w:left w:val="nil"/>
              <w:bottom w:val="single" w:sz="4" w:space="0" w:color="auto"/>
              <w:right w:val="single" w:sz="4" w:space="0" w:color="auto"/>
            </w:tcBorders>
            <w:shd w:val="clear" w:color="auto" w:fill="auto"/>
            <w:noWrap/>
            <w:vAlign w:val="center"/>
            <w:hideMark/>
          </w:tcPr>
          <w:p w14:paraId="4E9E4550"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Observation</w:t>
            </w:r>
          </w:p>
        </w:tc>
        <w:tc>
          <w:tcPr>
            <w:tcW w:w="0" w:type="auto"/>
            <w:tcBorders>
              <w:top w:val="nil"/>
              <w:left w:val="nil"/>
              <w:bottom w:val="single" w:sz="4" w:space="0" w:color="auto"/>
              <w:right w:val="single" w:sz="4" w:space="0" w:color="auto"/>
            </w:tcBorders>
            <w:shd w:val="clear" w:color="auto" w:fill="auto"/>
            <w:vAlign w:val="center"/>
            <w:hideMark/>
          </w:tcPr>
          <w:p w14:paraId="28D5DC37"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Mensuel</w:t>
            </w:r>
          </w:p>
        </w:tc>
        <w:tc>
          <w:tcPr>
            <w:tcW w:w="0" w:type="auto"/>
            <w:tcBorders>
              <w:top w:val="nil"/>
              <w:left w:val="nil"/>
              <w:bottom w:val="single" w:sz="4" w:space="0" w:color="auto"/>
              <w:right w:val="single" w:sz="4" w:space="0" w:color="auto"/>
            </w:tcBorders>
            <w:shd w:val="clear" w:color="auto" w:fill="auto"/>
            <w:noWrap/>
            <w:vAlign w:val="center"/>
            <w:hideMark/>
          </w:tcPr>
          <w:p w14:paraId="2F6DEEC4"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Entreprise</w:t>
            </w:r>
          </w:p>
        </w:tc>
        <w:tc>
          <w:tcPr>
            <w:tcW w:w="0" w:type="auto"/>
            <w:tcBorders>
              <w:top w:val="nil"/>
              <w:left w:val="nil"/>
              <w:bottom w:val="single" w:sz="4" w:space="0" w:color="auto"/>
              <w:right w:val="single" w:sz="4" w:space="0" w:color="auto"/>
            </w:tcBorders>
            <w:shd w:val="clear" w:color="auto" w:fill="auto"/>
            <w:vAlign w:val="center"/>
            <w:hideMark/>
          </w:tcPr>
          <w:p w14:paraId="276DA54E"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MdC</w:t>
            </w:r>
          </w:p>
        </w:tc>
      </w:tr>
      <w:tr w:rsidR="00DD4EBF" w:rsidRPr="00AB1E0E" w14:paraId="07FCE923" w14:textId="77777777" w:rsidTr="00B434A6">
        <w:trPr>
          <w:trHeight w:val="960"/>
        </w:trPr>
        <w:tc>
          <w:tcPr>
            <w:tcW w:w="0" w:type="auto"/>
            <w:vMerge/>
            <w:tcBorders>
              <w:top w:val="nil"/>
              <w:left w:val="single" w:sz="4" w:space="0" w:color="auto"/>
              <w:bottom w:val="single" w:sz="4" w:space="0" w:color="000000"/>
              <w:right w:val="single" w:sz="4" w:space="0" w:color="auto"/>
            </w:tcBorders>
            <w:vAlign w:val="center"/>
            <w:hideMark/>
          </w:tcPr>
          <w:p w14:paraId="15A155BA" w14:textId="77777777" w:rsidR="00713368" w:rsidRPr="00AB1E0E" w:rsidRDefault="00713368" w:rsidP="00DD4EBF">
            <w:pPr>
              <w:spacing w:line="240" w:lineRule="auto"/>
              <w:rPr>
                <w:rStyle w:val="CharacterStyle1"/>
                <w:rFonts w:cs="Calibri"/>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69628474"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Mise à disposition de registre de plainte auprès des autorités locales</w:t>
            </w:r>
          </w:p>
        </w:tc>
        <w:tc>
          <w:tcPr>
            <w:tcW w:w="0" w:type="auto"/>
            <w:tcBorders>
              <w:top w:val="nil"/>
              <w:left w:val="nil"/>
              <w:bottom w:val="single" w:sz="4" w:space="0" w:color="auto"/>
              <w:right w:val="single" w:sz="4" w:space="0" w:color="auto"/>
            </w:tcBorders>
            <w:shd w:val="clear" w:color="auto" w:fill="auto"/>
            <w:vAlign w:val="center"/>
            <w:hideMark/>
          </w:tcPr>
          <w:p w14:paraId="038045B6"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Présence de Registre de plainte déposé auprès des autorités locales</w:t>
            </w:r>
          </w:p>
        </w:tc>
        <w:tc>
          <w:tcPr>
            <w:tcW w:w="0" w:type="auto"/>
            <w:tcBorders>
              <w:top w:val="nil"/>
              <w:left w:val="nil"/>
              <w:bottom w:val="single" w:sz="4" w:space="0" w:color="auto"/>
              <w:right w:val="single" w:sz="4" w:space="0" w:color="auto"/>
            </w:tcBorders>
            <w:shd w:val="clear" w:color="auto" w:fill="auto"/>
            <w:noWrap/>
            <w:vAlign w:val="center"/>
            <w:hideMark/>
          </w:tcPr>
          <w:p w14:paraId="6AFF1C59"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Observation</w:t>
            </w:r>
          </w:p>
        </w:tc>
        <w:tc>
          <w:tcPr>
            <w:tcW w:w="0" w:type="auto"/>
            <w:tcBorders>
              <w:top w:val="nil"/>
              <w:left w:val="nil"/>
              <w:bottom w:val="single" w:sz="4" w:space="0" w:color="auto"/>
              <w:right w:val="single" w:sz="4" w:space="0" w:color="auto"/>
            </w:tcBorders>
            <w:shd w:val="clear" w:color="auto" w:fill="auto"/>
            <w:vAlign w:val="center"/>
            <w:hideMark/>
          </w:tcPr>
          <w:p w14:paraId="57EF7C3D"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Mensuel</w:t>
            </w:r>
          </w:p>
        </w:tc>
        <w:tc>
          <w:tcPr>
            <w:tcW w:w="0" w:type="auto"/>
            <w:tcBorders>
              <w:top w:val="nil"/>
              <w:left w:val="nil"/>
              <w:bottom w:val="single" w:sz="4" w:space="0" w:color="auto"/>
              <w:right w:val="single" w:sz="4" w:space="0" w:color="auto"/>
            </w:tcBorders>
            <w:shd w:val="clear" w:color="auto" w:fill="auto"/>
            <w:noWrap/>
            <w:vAlign w:val="center"/>
            <w:hideMark/>
          </w:tcPr>
          <w:p w14:paraId="197E1E62"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Entreprise</w:t>
            </w:r>
          </w:p>
        </w:tc>
        <w:tc>
          <w:tcPr>
            <w:tcW w:w="0" w:type="auto"/>
            <w:tcBorders>
              <w:top w:val="nil"/>
              <w:left w:val="nil"/>
              <w:bottom w:val="single" w:sz="4" w:space="0" w:color="auto"/>
              <w:right w:val="single" w:sz="4" w:space="0" w:color="auto"/>
            </w:tcBorders>
            <w:shd w:val="clear" w:color="auto" w:fill="auto"/>
            <w:vAlign w:val="center"/>
            <w:hideMark/>
          </w:tcPr>
          <w:p w14:paraId="16605080"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MdC</w:t>
            </w:r>
          </w:p>
        </w:tc>
      </w:tr>
      <w:tr w:rsidR="00DD4EBF" w:rsidRPr="00AB1E0E" w14:paraId="18A3A53F" w14:textId="77777777" w:rsidTr="00B434A6">
        <w:trPr>
          <w:trHeight w:val="480"/>
        </w:trPr>
        <w:tc>
          <w:tcPr>
            <w:tcW w:w="0" w:type="auto"/>
            <w:vMerge/>
            <w:tcBorders>
              <w:top w:val="nil"/>
              <w:left w:val="single" w:sz="4" w:space="0" w:color="auto"/>
              <w:bottom w:val="single" w:sz="4" w:space="0" w:color="000000"/>
              <w:right w:val="single" w:sz="4" w:space="0" w:color="auto"/>
            </w:tcBorders>
            <w:vAlign w:val="center"/>
            <w:hideMark/>
          </w:tcPr>
          <w:p w14:paraId="0C88A4C2" w14:textId="77777777" w:rsidR="00713368" w:rsidRPr="00AB1E0E" w:rsidRDefault="00713368" w:rsidP="00DD4EBF">
            <w:pPr>
              <w:spacing w:line="240" w:lineRule="auto"/>
              <w:rPr>
                <w:rStyle w:val="CharacterStyle1"/>
                <w:rFonts w:cs="Calibri"/>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71254D10" w14:textId="77777777" w:rsidR="00713368" w:rsidRPr="00AB1E0E" w:rsidRDefault="001D6C60" w:rsidP="00DD4EBF">
            <w:pPr>
              <w:spacing w:line="240" w:lineRule="auto"/>
              <w:rPr>
                <w:rStyle w:val="CharacterStyle1"/>
                <w:rFonts w:cs="Calibri"/>
                <w:sz w:val="18"/>
                <w:szCs w:val="18"/>
              </w:rPr>
            </w:pPr>
            <w:r w:rsidRPr="00AB1E0E">
              <w:rPr>
                <w:rStyle w:val="CharacterStyle1"/>
                <w:rFonts w:cs="Calibri"/>
                <w:sz w:val="18"/>
                <w:szCs w:val="18"/>
              </w:rPr>
              <w:t>Signature</w:t>
            </w:r>
            <w:r w:rsidR="00713368" w:rsidRPr="00AB1E0E">
              <w:rPr>
                <w:rStyle w:val="CharacterStyle1"/>
                <w:rFonts w:cs="Calibri"/>
                <w:sz w:val="18"/>
                <w:szCs w:val="18"/>
              </w:rPr>
              <w:t xml:space="preserve"> du Code de Conduite</w:t>
            </w:r>
          </w:p>
        </w:tc>
        <w:tc>
          <w:tcPr>
            <w:tcW w:w="0" w:type="auto"/>
            <w:tcBorders>
              <w:top w:val="nil"/>
              <w:left w:val="nil"/>
              <w:bottom w:val="single" w:sz="4" w:space="0" w:color="auto"/>
              <w:right w:val="single" w:sz="4" w:space="0" w:color="auto"/>
            </w:tcBorders>
            <w:shd w:val="clear" w:color="auto" w:fill="auto"/>
            <w:vAlign w:val="center"/>
            <w:hideMark/>
          </w:tcPr>
          <w:p w14:paraId="3F0A4D8F"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Nb employé signant le code de conduite</w:t>
            </w:r>
          </w:p>
        </w:tc>
        <w:tc>
          <w:tcPr>
            <w:tcW w:w="0" w:type="auto"/>
            <w:tcBorders>
              <w:top w:val="nil"/>
              <w:left w:val="nil"/>
              <w:bottom w:val="single" w:sz="4" w:space="0" w:color="auto"/>
              <w:right w:val="single" w:sz="4" w:space="0" w:color="auto"/>
            </w:tcBorders>
            <w:shd w:val="clear" w:color="auto" w:fill="auto"/>
            <w:vAlign w:val="center"/>
            <w:hideMark/>
          </w:tcPr>
          <w:p w14:paraId="094E2C69"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Consultation du code de conduite signé</w:t>
            </w:r>
          </w:p>
        </w:tc>
        <w:tc>
          <w:tcPr>
            <w:tcW w:w="0" w:type="auto"/>
            <w:tcBorders>
              <w:top w:val="nil"/>
              <w:left w:val="nil"/>
              <w:bottom w:val="single" w:sz="4" w:space="0" w:color="auto"/>
              <w:right w:val="single" w:sz="4" w:space="0" w:color="auto"/>
            </w:tcBorders>
            <w:shd w:val="clear" w:color="auto" w:fill="auto"/>
            <w:vAlign w:val="center"/>
            <w:hideMark/>
          </w:tcPr>
          <w:p w14:paraId="170A7A3C"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Mensuel</w:t>
            </w:r>
          </w:p>
        </w:tc>
        <w:tc>
          <w:tcPr>
            <w:tcW w:w="0" w:type="auto"/>
            <w:tcBorders>
              <w:top w:val="nil"/>
              <w:left w:val="nil"/>
              <w:bottom w:val="single" w:sz="4" w:space="0" w:color="auto"/>
              <w:right w:val="single" w:sz="4" w:space="0" w:color="auto"/>
            </w:tcBorders>
            <w:shd w:val="clear" w:color="auto" w:fill="auto"/>
            <w:noWrap/>
            <w:vAlign w:val="center"/>
            <w:hideMark/>
          </w:tcPr>
          <w:p w14:paraId="08000B38"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Entreprise</w:t>
            </w:r>
          </w:p>
        </w:tc>
        <w:tc>
          <w:tcPr>
            <w:tcW w:w="0" w:type="auto"/>
            <w:tcBorders>
              <w:top w:val="nil"/>
              <w:left w:val="nil"/>
              <w:bottom w:val="single" w:sz="4" w:space="0" w:color="auto"/>
              <w:right w:val="single" w:sz="4" w:space="0" w:color="auto"/>
            </w:tcBorders>
            <w:shd w:val="clear" w:color="auto" w:fill="auto"/>
            <w:vAlign w:val="center"/>
            <w:hideMark/>
          </w:tcPr>
          <w:p w14:paraId="04BB1866"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UCP</w:t>
            </w:r>
          </w:p>
        </w:tc>
      </w:tr>
      <w:tr w:rsidR="00DD4EBF" w:rsidRPr="00AB1E0E" w14:paraId="5E95CF11" w14:textId="77777777" w:rsidTr="00B434A6">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073176"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Risque d’accident de circulation</w:t>
            </w:r>
          </w:p>
        </w:tc>
        <w:tc>
          <w:tcPr>
            <w:tcW w:w="0" w:type="auto"/>
            <w:tcBorders>
              <w:top w:val="nil"/>
              <w:left w:val="nil"/>
              <w:bottom w:val="single" w:sz="4" w:space="0" w:color="auto"/>
              <w:right w:val="single" w:sz="4" w:space="0" w:color="auto"/>
            </w:tcBorders>
            <w:shd w:val="clear" w:color="auto" w:fill="auto"/>
            <w:vAlign w:val="center"/>
            <w:hideMark/>
          </w:tcPr>
          <w:p w14:paraId="040151F7"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Formation / sensibilisation sur les risques d’accident liés à chaque poste de travail Respect des consignes de conduite des engins. Mise en place de signaux de signalisation adéquats. Port d’EPI adéquat</w:t>
            </w:r>
          </w:p>
        </w:tc>
        <w:tc>
          <w:tcPr>
            <w:tcW w:w="0" w:type="auto"/>
            <w:tcBorders>
              <w:top w:val="nil"/>
              <w:left w:val="nil"/>
              <w:bottom w:val="single" w:sz="4" w:space="0" w:color="auto"/>
              <w:right w:val="single" w:sz="4" w:space="0" w:color="auto"/>
            </w:tcBorders>
            <w:shd w:val="clear" w:color="auto" w:fill="auto"/>
            <w:vAlign w:val="center"/>
            <w:hideMark/>
          </w:tcPr>
          <w:p w14:paraId="41B218E4"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Registre des accidents</w:t>
            </w:r>
          </w:p>
        </w:tc>
        <w:tc>
          <w:tcPr>
            <w:tcW w:w="0" w:type="auto"/>
            <w:tcBorders>
              <w:top w:val="nil"/>
              <w:left w:val="nil"/>
              <w:bottom w:val="single" w:sz="4" w:space="0" w:color="auto"/>
              <w:right w:val="single" w:sz="4" w:space="0" w:color="auto"/>
            </w:tcBorders>
            <w:shd w:val="clear" w:color="auto" w:fill="auto"/>
            <w:noWrap/>
            <w:vAlign w:val="center"/>
            <w:hideMark/>
          </w:tcPr>
          <w:p w14:paraId="6871CA74"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Observation</w:t>
            </w:r>
          </w:p>
        </w:tc>
        <w:tc>
          <w:tcPr>
            <w:tcW w:w="0" w:type="auto"/>
            <w:tcBorders>
              <w:top w:val="nil"/>
              <w:left w:val="nil"/>
              <w:bottom w:val="single" w:sz="4" w:space="0" w:color="auto"/>
              <w:right w:val="single" w:sz="4" w:space="0" w:color="auto"/>
            </w:tcBorders>
            <w:shd w:val="clear" w:color="auto" w:fill="auto"/>
            <w:vAlign w:val="center"/>
            <w:hideMark/>
          </w:tcPr>
          <w:p w14:paraId="7070A5FF"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Mensuel</w:t>
            </w:r>
          </w:p>
        </w:tc>
        <w:tc>
          <w:tcPr>
            <w:tcW w:w="0" w:type="auto"/>
            <w:tcBorders>
              <w:top w:val="nil"/>
              <w:left w:val="nil"/>
              <w:bottom w:val="single" w:sz="4" w:space="0" w:color="auto"/>
              <w:right w:val="single" w:sz="4" w:space="0" w:color="auto"/>
            </w:tcBorders>
            <w:shd w:val="clear" w:color="auto" w:fill="auto"/>
            <w:noWrap/>
            <w:vAlign w:val="center"/>
            <w:hideMark/>
          </w:tcPr>
          <w:p w14:paraId="2C9D0A05"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Entreprise</w:t>
            </w:r>
          </w:p>
        </w:tc>
        <w:tc>
          <w:tcPr>
            <w:tcW w:w="0" w:type="auto"/>
            <w:tcBorders>
              <w:top w:val="nil"/>
              <w:left w:val="nil"/>
              <w:bottom w:val="single" w:sz="4" w:space="0" w:color="auto"/>
              <w:right w:val="single" w:sz="4" w:space="0" w:color="auto"/>
            </w:tcBorders>
            <w:shd w:val="clear" w:color="auto" w:fill="auto"/>
            <w:vAlign w:val="center"/>
            <w:hideMark/>
          </w:tcPr>
          <w:p w14:paraId="1F962854"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MdC</w:t>
            </w:r>
          </w:p>
        </w:tc>
      </w:tr>
      <w:tr w:rsidR="00DD4EBF" w:rsidRPr="00AB1E0E" w14:paraId="6099230D" w14:textId="77777777" w:rsidTr="00B434A6">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435B3FD"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Risque d’accident de travail</w:t>
            </w:r>
          </w:p>
        </w:tc>
        <w:tc>
          <w:tcPr>
            <w:tcW w:w="0" w:type="auto"/>
            <w:tcBorders>
              <w:top w:val="nil"/>
              <w:left w:val="nil"/>
              <w:bottom w:val="single" w:sz="4" w:space="0" w:color="auto"/>
              <w:right w:val="single" w:sz="4" w:space="0" w:color="auto"/>
            </w:tcBorders>
            <w:shd w:val="clear" w:color="auto" w:fill="auto"/>
            <w:vAlign w:val="center"/>
            <w:hideMark/>
          </w:tcPr>
          <w:p w14:paraId="0B46D192"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Formation / sensibilisation sur les risques d’accident liés à chaque poste de travail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6E28DA7"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Registre des accidents</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C6121AD"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Observation</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55B3CE"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Mensuel</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3DFA406"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Entreprise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5A4713E"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MdC</w:t>
            </w:r>
          </w:p>
        </w:tc>
      </w:tr>
      <w:tr w:rsidR="00DD4EBF" w:rsidRPr="00AB1E0E" w14:paraId="4673FABF" w14:textId="77777777" w:rsidTr="00B434A6">
        <w:trPr>
          <w:trHeight w:val="300"/>
        </w:trPr>
        <w:tc>
          <w:tcPr>
            <w:tcW w:w="0" w:type="auto"/>
            <w:vMerge/>
            <w:tcBorders>
              <w:top w:val="nil"/>
              <w:left w:val="single" w:sz="4" w:space="0" w:color="auto"/>
              <w:bottom w:val="single" w:sz="4" w:space="0" w:color="auto"/>
              <w:right w:val="single" w:sz="4" w:space="0" w:color="auto"/>
            </w:tcBorders>
            <w:vAlign w:val="center"/>
            <w:hideMark/>
          </w:tcPr>
          <w:p w14:paraId="6DE28728" w14:textId="77777777" w:rsidR="00713368" w:rsidRPr="00AB1E0E" w:rsidRDefault="00713368" w:rsidP="00DD4EBF">
            <w:pPr>
              <w:spacing w:line="240" w:lineRule="auto"/>
              <w:rPr>
                <w:rStyle w:val="CharacterStyle1"/>
                <w:rFonts w:cs="Calibri"/>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2667F6C7"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Port d’EPI adéquat</w:t>
            </w:r>
          </w:p>
        </w:tc>
        <w:tc>
          <w:tcPr>
            <w:tcW w:w="0" w:type="auto"/>
            <w:vMerge/>
            <w:tcBorders>
              <w:top w:val="nil"/>
              <w:left w:val="single" w:sz="4" w:space="0" w:color="auto"/>
              <w:bottom w:val="single" w:sz="4" w:space="0" w:color="auto"/>
              <w:right w:val="single" w:sz="4" w:space="0" w:color="auto"/>
            </w:tcBorders>
            <w:vAlign w:val="center"/>
            <w:hideMark/>
          </w:tcPr>
          <w:p w14:paraId="7D7303D6"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406716E3"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4DE5DCE7"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06586CFA"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09596B3F" w14:textId="77777777" w:rsidR="00713368" w:rsidRPr="00AB1E0E" w:rsidRDefault="00713368" w:rsidP="00DD4EBF">
            <w:pPr>
              <w:spacing w:line="240" w:lineRule="auto"/>
              <w:rPr>
                <w:rStyle w:val="CharacterStyle1"/>
                <w:rFonts w:cs="Calibri"/>
                <w:sz w:val="18"/>
                <w:szCs w:val="18"/>
              </w:rPr>
            </w:pPr>
          </w:p>
        </w:tc>
      </w:tr>
      <w:tr w:rsidR="00DD4EBF" w:rsidRPr="00AB1E0E" w14:paraId="1C711F2A" w14:textId="77777777" w:rsidTr="00B434A6">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674754"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Risque d’incendie et d’explosion</w:t>
            </w:r>
          </w:p>
        </w:tc>
        <w:tc>
          <w:tcPr>
            <w:tcW w:w="0" w:type="auto"/>
            <w:tcBorders>
              <w:top w:val="nil"/>
              <w:left w:val="nil"/>
              <w:bottom w:val="single" w:sz="4" w:space="0" w:color="auto"/>
              <w:right w:val="single" w:sz="4" w:space="0" w:color="auto"/>
            </w:tcBorders>
            <w:shd w:val="clear" w:color="auto" w:fill="auto"/>
            <w:vAlign w:val="center"/>
            <w:hideMark/>
          </w:tcPr>
          <w:p w14:paraId="17284878"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Mise en place de dispositifs de lutte contre l’incendie</w:t>
            </w:r>
          </w:p>
        </w:tc>
        <w:tc>
          <w:tcPr>
            <w:tcW w:w="0" w:type="auto"/>
            <w:tcBorders>
              <w:top w:val="nil"/>
              <w:left w:val="nil"/>
              <w:bottom w:val="single" w:sz="4" w:space="0" w:color="auto"/>
              <w:right w:val="single" w:sz="4" w:space="0" w:color="auto"/>
            </w:tcBorders>
            <w:shd w:val="clear" w:color="auto" w:fill="auto"/>
            <w:vAlign w:val="center"/>
            <w:hideMark/>
          </w:tcPr>
          <w:p w14:paraId="7F70ED18"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Dispositifs de lutte anti incendie mis en place</w:t>
            </w:r>
          </w:p>
        </w:tc>
        <w:tc>
          <w:tcPr>
            <w:tcW w:w="0" w:type="auto"/>
            <w:tcBorders>
              <w:top w:val="nil"/>
              <w:left w:val="nil"/>
              <w:bottom w:val="single" w:sz="4" w:space="0" w:color="auto"/>
              <w:right w:val="single" w:sz="4" w:space="0" w:color="auto"/>
            </w:tcBorders>
            <w:shd w:val="clear" w:color="auto" w:fill="auto"/>
            <w:noWrap/>
            <w:vAlign w:val="center"/>
            <w:hideMark/>
          </w:tcPr>
          <w:p w14:paraId="2A44B931"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Observation</w:t>
            </w:r>
          </w:p>
        </w:tc>
        <w:tc>
          <w:tcPr>
            <w:tcW w:w="0" w:type="auto"/>
            <w:tcBorders>
              <w:top w:val="nil"/>
              <w:left w:val="nil"/>
              <w:bottom w:val="single" w:sz="4" w:space="0" w:color="auto"/>
              <w:right w:val="single" w:sz="4" w:space="0" w:color="auto"/>
            </w:tcBorders>
            <w:shd w:val="clear" w:color="auto" w:fill="auto"/>
            <w:vAlign w:val="center"/>
            <w:hideMark/>
          </w:tcPr>
          <w:p w14:paraId="29814FDD"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Mensuel</w:t>
            </w:r>
          </w:p>
        </w:tc>
        <w:tc>
          <w:tcPr>
            <w:tcW w:w="0" w:type="auto"/>
            <w:tcBorders>
              <w:top w:val="nil"/>
              <w:left w:val="nil"/>
              <w:bottom w:val="single" w:sz="4" w:space="0" w:color="auto"/>
              <w:right w:val="single" w:sz="4" w:space="0" w:color="auto"/>
            </w:tcBorders>
            <w:shd w:val="clear" w:color="auto" w:fill="auto"/>
            <w:noWrap/>
            <w:vAlign w:val="center"/>
            <w:hideMark/>
          </w:tcPr>
          <w:p w14:paraId="60E19A90"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Entreprise</w:t>
            </w:r>
          </w:p>
        </w:tc>
        <w:tc>
          <w:tcPr>
            <w:tcW w:w="0" w:type="auto"/>
            <w:tcBorders>
              <w:top w:val="nil"/>
              <w:left w:val="nil"/>
              <w:bottom w:val="single" w:sz="4" w:space="0" w:color="auto"/>
              <w:right w:val="single" w:sz="4" w:space="0" w:color="auto"/>
            </w:tcBorders>
            <w:shd w:val="clear" w:color="auto" w:fill="auto"/>
            <w:vAlign w:val="center"/>
            <w:hideMark/>
          </w:tcPr>
          <w:p w14:paraId="49F378E1"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MdC</w:t>
            </w:r>
          </w:p>
        </w:tc>
      </w:tr>
      <w:tr w:rsidR="00713368" w:rsidRPr="00AB1E0E" w14:paraId="3F90F746" w14:textId="77777777" w:rsidTr="00B434A6">
        <w:trPr>
          <w:trHeight w:val="300"/>
        </w:trPr>
        <w:tc>
          <w:tcPr>
            <w:tcW w:w="0" w:type="auto"/>
            <w:gridSpan w:val="7"/>
            <w:tcBorders>
              <w:top w:val="single" w:sz="4" w:space="0" w:color="auto"/>
              <w:left w:val="single" w:sz="4" w:space="0" w:color="auto"/>
              <w:bottom w:val="single" w:sz="4" w:space="0" w:color="auto"/>
              <w:right w:val="single" w:sz="4" w:space="0" w:color="auto"/>
            </w:tcBorders>
            <w:shd w:val="clear" w:color="000000" w:fill="00B0F0"/>
            <w:vAlign w:val="center"/>
            <w:hideMark/>
          </w:tcPr>
          <w:p w14:paraId="3AC5566A" w14:textId="77777777" w:rsidR="00713368" w:rsidRPr="00AB1E0E" w:rsidRDefault="00713368" w:rsidP="00DD4EBF">
            <w:pPr>
              <w:jc w:val="center"/>
              <w:rPr>
                <w:rStyle w:val="CharacterStyle1"/>
                <w:rFonts w:cs="Calibri"/>
                <w:b/>
                <w:bCs/>
                <w:sz w:val="18"/>
                <w:szCs w:val="18"/>
              </w:rPr>
            </w:pPr>
            <w:r w:rsidRPr="00AB1E0E">
              <w:rPr>
                <w:rStyle w:val="CharacterStyle1"/>
                <w:rFonts w:cs="Calibri"/>
                <w:b/>
                <w:bCs/>
                <w:sz w:val="18"/>
                <w:szCs w:val="18"/>
              </w:rPr>
              <w:t>Repli de chantier</w:t>
            </w:r>
          </w:p>
        </w:tc>
      </w:tr>
      <w:tr w:rsidR="00DD4EBF" w:rsidRPr="00AB1E0E" w14:paraId="248380C3" w14:textId="77777777" w:rsidTr="00B434A6">
        <w:trPr>
          <w:trHeight w:val="3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76B1F4F"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Risques d’accidents de circulation</w:t>
            </w:r>
          </w:p>
        </w:tc>
        <w:tc>
          <w:tcPr>
            <w:tcW w:w="0" w:type="auto"/>
            <w:tcBorders>
              <w:top w:val="nil"/>
              <w:left w:val="nil"/>
              <w:bottom w:val="single" w:sz="4" w:space="0" w:color="auto"/>
              <w:right w:val="single" w:sz="4" w:space="0" w:color="auto"/>
            </w:tcBorders>
            <w:shd w:val="clear" w:color="auto" w:fill="auto"/>
            <w:vAlign w:val="center"/>
            <w:hideMark/>
          </w:tcPr>
          <w:p w14:paraId="239CDC3D"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Mise en place d’un plan de circulation</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3B9CF06"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Plan de circulation mis en place</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A48023B"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Observation</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8A5E3C"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Fin repli de chantier</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24E049A"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Entreprise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6137BDC"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MdC</w:t>
            </w:r>
          </w:p>
        </w:tc>
      </w:tr>
      <w:tr w:rsidR="00DD4EBF" w:rsidRPr="00AB1E0E" w14:paraId="3A2E4710" w14:textId="77777777" w:rsidTr="001C5508">
        <w:trPr>
          <w:trHeight w:val="489"/>
        </w:trPr>
        <w:tc>
          <w:tcPr>
            <w:tcW w:w="0" w:type="auto"/>
            <w:vMerge/>
            <w:tcBorders>
              <w:top w:val="nil"/>
              <w:left w:val="single" w:sz="4" w:space="0" w:color="auto"/>
              <w:bottom w:val="single" w:sz="4" w:space="0" w:color="auto"/>
              <w:right w:val="single" w:sz="4" w:space="0" w:color="auto"/>
            </w:tcBorders>
            <w:vAlign w:val="center"/>
            <w:hideMark/>
          </w:tcPr>
          <w:p w14:paraId="63EF8A83" w14:textId="77777777" w:rsidR="00713368" w:rsidRPr="00AB1E0E" w:rsidRDefault="00713368" w:rsidP="00DD4EBF">
            <w:pPr>
              <w:rPr>
                <w:rStyle w:val="CharacterStyle1"/>
                <w:rFonts w:cs="Calibri"/>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77A19CFA" w14:textId="77777777" w:rsidR="00713368" w:rsidRPr="00AB1E0E" w:rsidRDefault="00713368" w:rsidP="00DD4EBF">
            <w:pPr>
              <w:rPr>
                <w:rStyle w:val="CharacterStyle1"/>
                <w:rFonts w:cs="Calibri"/>
                <w:sz w:val="18"/>
                <w:szCs w:val="18"/>
              </w:rPr>
            </w:pPr>
            <w:r w:rsidRPr="00AB1E0E">
              <w:rPr>
                <w:rStyle w:val="CharacterStyle1"/>
                <w:rFonts w:cs="Calibri"/>
                <w:sz w:val="18"/>
                <w:szCs w:val="18"/>
              </w:rPr>
              <w:t>Respect des dispositifs mis en place. Signalisation</w:t>
            </w:r>
          </w:p>
        </w:tc>
        <w:tc>
          <w:tcPr>
            <w:tcW w:w="0" w:type="auto"/>
            <w:vMerge/>
            <w:tcBorders>
              <w:top w:val="nil"/>
              <w:left w:val="single" w:sz="4" w:space="0" w:color="auto"/>
              <w:bottom w:val="single" w:sz="4" w:space="0" w:color="auto"/>
              <w:right w:val="single" w:sz="4" w:space="0" w:color="auto"/>
            </w:tcBorders>
            <w:vAlign w:val="center"/>
            <w:hideMark/>
          </w:tcPr>
          <w:p w14:paraId="0E101769" w14:textId="77777777" w:rsidR="00713368" w:rsidRPr="00AB1E0E" w:rsidRDefault="00713368" w:rsidP="00DD4EBF">
            <w:pPr>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1A5EE2E6" w14:textId="77777777" w:rsidR="00713368" w:rsidRPr="00AB1E0E" w:rsidRDefault="00713368" w:rsidP="00DD4EBF">
            <w:pPr>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45335D88" w14:textId="77777777" w:rsidR="00713368" w:rsidRPr="00AB1E0E" w:rsidRDefault="00713368" w:rsidP="00DD4EBF">
            <w:pPr>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E980B49" w14:textId="77777777" w:rsidR="00713368" w:rsidRPr="00AB1E0E" w:rsidRDefault="00713368" w:rsidP="00DD4EBF">
            <w:pPr>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09F5EA68" w14:textId="77777777" w:rsidR="00713368" w:rsidRPr="00AB1E0E" w:rsidRDefault="00713368" w:rsidP="00DD4EBF">
            <w:pPr>
              <w:rPr>
                <w:rStyle w:val="CharacterStyle1"/>
                <w:rFonts w:cs="Calibri"/>
                <w:sz w:val="18"/>
                <w:szCs w:val="18"/>
              </w:rPr>
            </w:pPr>
          </w:p>
        </w:tc>
      </w:tr>
      <w:tr w:rsidR="00713368" w:rsidRPr="00AB1E0E" w14:paraId="029433D2" w14:textId="77777777" w:rsidTr="00B434A6">
        <w:trPr>
          <w:trHeight w:val="300"/>
        </w:trPr>
        <w:tc>
          <w:tcPr>
            <w:tcW w:w="0" w:type="auto"/>
            <w:gridSpan w:val="7"/>
            <w:tcBorders>
              <w:top w:val="single" w:sz="4" w:space="0" w:color="auto"/>
              <w:left w:val="single" w:sz="4" w:space="0" w:color="auto"/>
              <w:bottom w:val="single" w:sz="4" w:space="0" w:color="auto"/>
              <w:right w:val="single" w:sz="4" w:space="0" w:color="auto"/>
            </w:tcBorders>
            <w:shd w:val="clear" w:color="000000" w:fill="00B0F0"/>
            <w:vAlign w:val="center"/>
            <w:hideMark/>
          </w:tcPr>
          <w:p w14:paraId="1C68FBE5" w14:textId="77777777" w:rsidR="00713368" w:rsidRPr="00AB1E0E" w:rsidRDefault="00713368" w:rsidP="00DD4EBF">
            <w:pPr>
              <w:jc w:val="center"/>
              <w:rPr>
                <w:rStyle w:val="CharacterStyle1"/>
                <w:rFonts w:cs="Calibri"/>
                <w:b/>
                <w:bCs/>
                <w:sz w:val="18"/>
                <w:szCs w:val="18"/>
              </w:rPr>
            </w:pPr>
            <w:r w:rsidRPr="00AB1E0E">
              <w:rPr>
                <w:rStyle w:val="CharacterStyle1"/>
                <w:rFonts w:cs="Calibri"/>
                <w:b/>
                <w:bCs/>
                <w:sz w:val="18"/>
                <w:szCs w:val="18"/>
              </w:rPr>
              <w:t>Phase d’exploitation</w:t>
            </w:r>
          </w:p>
        </w:tc>
      </w:tr>
      <w:tr w:rsidR="00DD4EBF" w:rsidRPr="00AB1E0E" w14:paraId="6F035480" w14:textId="77777777" w:rsidTr="00B434A6">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94B88A"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Risque d’épuisement de la ressource en eau à cause des besoins pour le lavage des PV</w:t>
            </w:r>
          </w:p>
        </w:tc>
        <w:tc>
          <w:tcPr>
            <w:tcW w:w="0" w:type="auto"/>
            <w:tcBorders>
              <w:top w:val="nil"/>
              <w:left w:val="nil"/>
              <w:bottom w:val="single" w:sz="4" w:space="0" w:color="auto"/>
              <w:right w:val="single" w:sz="4" w:space="0" w:color="auto"/>
            </w:tcBorders>
            <w:shd w:val="clear" w:color="auto" w:fill="auto"/>
            <w:vAlign w:val="center"/>
            <w:hideMark/>
          </w:tcPr>
          <w:p w14:paraId="067830EC"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Mise en place de système de récupération et de traitement des eaux usée pour réutilisation</w:t>
            </w:r>
          </w:p>
        </w:tc>
        <w:tc>
          <w:tcPr>
            <w:tcW w:w="0" w:type="auto"/>
            <w:tcBorders>
              <w:top w:val="nil"/>
              <w:left w:val="nil"/>
              <w:bottom w:val="single" w:sz="4" w:space="0" w:color="auto"/>
              <w:right w:val="single" w:sz="4" w:space="0" w:color="auto"/>
            </w:tcBorders>
            <w:shd w:val="clear" w:color="auto" w:fill="auto"/>
            <w:vAlign w:val="center"/>
            <w:hideMark/>
          </w:tcPr>
          <w:p w14:paraId="4BF98D57"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Système de récupération mise en place</w:t>
            </w:r>
          </w:p>
        </w:tc>
        <w:tc>
          <w:tcPr>
            <w:tcW w:w="0" w:type="auto"/>
            <w:tcBorders>
              <w:top w:val="nil"/>
              <w:left w:val="nil"/>
              <w:bottom w:val="single" w:sz="4" w:space="0" w:color="auto"/>
              <w:right w:val="single" w:sz="4" w:space="0" w:color="auto"/>
            </w:tcBorders>
            <w:shd w:val="clear" w:color="auto" w:fill="auto"/>
            <w:noWrap/>
            <w:vAlign w:val="center"/>
            <w:hideMark/>
          </w:tcPr>
          <w:p w14:paraId="3FB0155B"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Observation</w:t>
            </w:r>
          </w:p>
        </w:tc>
        <w:tc>
          <w:tcPr>
            <w:tcW w:w="0" w:type="auto"/>
            <w:tcBorders>
              <w:top w:val="nil"/>
              <w:left w:val="nil"/>
              <w:bottom w:val="single" w:sz="4" w:space="0" w:color="auto"/>
              <w:right w:val="single" w:sz="4" w:space="0" w:color="auto"/>
            </w:tcBorders>
            <w:shd w:val="clear" w:color="auto" w:fill="auto"/>
            <w:vAlign w:val="center"/>
            <w:hideMark/>
          </w:tcPr>
          <w:p w14:paraId="61301355"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Mensuel</w:t>
            </w:r>
          </w:p>
        </w:tc>
        <w:tc>
          <w:tcPr>
            <w:tcW w:w="0" w:type="auto"/>
            <w:tcBorders>
              <w:top w:val="nil"/>
              <w:left w:val="nil"/>
              <w:bottom w:val="single" w:sz="4" w:space="0" w:color="auto"/>
              <w:right w:val="single" w:sz="4" w:space="0" w:color="auto"/>
            </w:tcBorders>
            <w:shd w:val="clear" w:color="auto" w:fill="auto"/>
            <w:noWrap/>
            <w:vAlign w:val="center"/>
            <w:hideMark/>
          </w:tcPr>
          <w:p w14:paraId="0C628477"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Projet/ Exploitant</w:t>
            </w:r>
          </w:p>
        </w:tc>
        <w:tc>
          <w:tcPr>
            <w:tcW w:w="0" w:type="auto"/>
            <w:tcBorders>
              <w:top w:val="nil"/>
              <w:left w:val="nil"/>
              <w:bottom w:val="single" w:sz="4" w:space="0" w:color="auto"/>
              <w:right w:val="single" w:sz="4" w:space="0" w:color="auto"/>
            </w:tcBorders>
            <w:shd w:val="clear" w:color="auto" w:fill="auto"/>
            <w:vAlign w:val="center"/>
            <w:hideMark/>
          </w:tcPr>
          <w:p w14:paraId="3A8081E0"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MEH, BM</w:t>
            </w:r>
          </w:p>
        </w:tc>
      </w:tr>
      <w:tr w:rsidR="00DD4EBF" w:rsidRPr="00AB1E0E" w14:paraId="1084DAEA" w14:textId="77777777" w:rsidTr="00B434A6">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CDA271"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Modification du paysage</w:t>
            </w:r>
          </w:p>
        </w:tc>
        <w:tc>
          <w:tcPr>
            <w:tcW w:w="0" w:type="auto"/>
            <w:tcBorders>
              <w:top w:val="nil"/>
              <w:left w:val="nil"/>
              <w:bottom w:val="single" w:sz="4" w:space="0" w:color="auto"/>
              <w:right w:val="single" w:sz="4" w:space="0" w:color="auto"/>
            </w:tcBorders>
            <w:shd w:val="clear" w:color="auto" w:fill="auto"/>
            <w:vAlign w:val="center"/>
            <w:hideMark/>
          </w:tcPr>
          <w:p w14:paraId="04DDB148"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 xml:space="preserve">Prendre en compte l'esthétique du paysage pendant la conception du plan des </w:t>
            </w:r>
            <w:r w:rsidR="001D6C60" w:rsidRPr="00AB1E0E">
              <w:rPr>
                <w:rStyle w:val="CharacterStyle1"/>
                <w:rFonts w:cs="Calibri"/>
                <w:sz w:val="18"/>
                <w:szCs w:val="18"/>
              </w:rPr>
              <w:t>infrastructures</w:t>
            </w:r>
            <w:r w:rsidRPr="00AB1E0E">
              <w:rPr>
                <w:rStyle w:val="CharacterStyle1"/>
                <w:rFonts w:cs="Calibri"/>
                <w:sz w:val="18"/>
                <w:szCs w:val="18"/>
              </w:rPr>
              <w:t xml:space="preserve"> à mettre en place</w:t>
            </w:r>
          </w:p>
        </w:tc>
        <w:tc>
          <w:tcPr>
            <w:tcW w:w="0" w:type="auto"/>
            <w:tcBorders>
              <w:top w:val="nil"/>
              <w:left w:val="nil"/>
              <w:bottom w:val="single" w:sz="4" w:space="0" w:color="auto"/>
              <w:right w:val="single" w:sz="4" w:space="0" w:color="auto"/>
            </w:tcBorders>
            <w:shd w:val="clear" w:color="auto" w:fill="auto"/>
            <w:vAlign w:val="center"/>
            <w:hideMark/>
          </w:tcPr>
          <w:p w14:paraId="47E6BDBF"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Plan de l'</w:t>
            </w:r>
            <w:r w:rsidR="001D6C60" w:rsidRPr="00AB1E0E">
              <w:rPr>
                <w:rStyle w:val="CharacterStyle1"/>
                <w:rFonts w:cs="Calibri"/>
                <w:sz w:val="18"/>
                <w:szCs w:val="18"/>
              </w:rPr>
              <w:t>infrastructure</w:t>
            </w:r>
          </w:p>
        </w:tc>
        <w:tc>
          <w:tcPr>
            <w:tcW w:w="0" w:type="auto"/>
            <w:tcBorders>
              <w:top w:val="nil"/>
              <w:left w:val="nil"/>
              <w:bottom w:val="single" w:sz="4" w:space="0" w:color="auto"/>
              <w:right w:val="single" w:sz="4" w:space="0" w:color="auto"/>
            </w:tcBorders>
            <w:shd w:val="clear" w:color="auto" w:fill="auto"/>
            <w:noWrap/>
            <w:vAlign w:val="center"/>
            <w:hideMark/>
          </w:tcPr>
          <w:p w14:paraId="7A0A10C4" w14:textId="77777777" w:rsidR="00713368" w:rsidRPr="00AB1E0E" w:rsidRDefault="001D6C60" w:rsidP="00DD4EBF">
            <w:pPr>
              <w:spacing w:line="240" w:lineRule="auto"/>
              <w:rPr>
                <w:rStyle w:val="CharacterStyle1"/>
                <w:rFonts w:cs="Calibri"/>
                <w:sz w:val="18"/>
                <w:szCs w:val="18"/>
              </w:rPr>
            </w:pPr>
            <w:r w:rsidRPr="00AB1E0E">
              <w:rPr>
                <w:rStyle w:val="CharacterStyle1"/>
                <w:rFonts w:cs="Calibri"/>
                <w:sz w:val="18"/>
                <w:szCs w:val="18"/>
              </w:rPr>
              <w:t>Consultation</w:t>
            </w:r>
            <w:r w:rsidR="00713368" w:rsidRPr="00AB1E0E">
              <w:rPr>
                <w:rStyle w:val="CharacterStyle1"/>
                <w:rFonts w:cs="Calibri"/>
                <w:sz w:val="18"/>
                <w:szCs w:val="18"/>
              </w:rPr>
              <w:t xml:space="preserve"> du plan</w:t>
            </w:r>
          </w:p>
        </w:tc>
        <w:tc>
          <w:tcPr>
            <w:tcW w:w="0" w:type="auto"/>
            <w:tcBorders>
              <w:top w:val="nil"/>
              <w:left w:val="nil"/>
              <w:bottom w:val="single" w:sz="4" w:space="0" w:color="auto"/>
              <w:right w:val="single" w:sz="4" w:space="0" w:color="auto"/>
            </w:tcBorders>
            <w:shd w:val="clear" w:color="auto" w:fill="auto"/>
            <w:vAlign w:val="center"/>
            <w:hideMark/>
          </w:tcPr>
          <w:p w14:paraId="6F321ADF"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pendant la phase de conception</w:t>
            </w:r>
          </w:p>
        </w:tc>
        <w:tc>
          <w:tcPr>
            <w:tcW w:w="0" w:type="auto"/>
            <w:tcBorders>
              <w:top w:val="nil"/>
              <w:left w:val="nil"/>
              <w:bottom w:val="single" w:sz="4" w:space="0" w:color="auto"/>
              <w:right w:val="single" w:sz="4" w:space="0" w:color="auto"/>
            </w:tcBorders>
            <w:shd w:val="clear" w:color="auto" w:fill="auto"/>
            <w:noWrap/>
            <w:vAlign w:val="center"/>
            <w:hideMark/>
          </w:tcPr>
          <w:p w14:paraId="703DDDF6"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Bureau d'étude</w:t>
            </w:r>
          </w:p>
        </w:tc>
        <w:tc>
          <w:tcPr>
            <w:tcW w:w="0" w:type="auto"/>
            <w:tcBorders>
              <w:top w:val="nil"/>
              <w:left w:val="nil"/>
              <w:bottom w:val="single" w:sz="4" w:space="0" w:color="auto"/>
              <w:right w:val="single" w:sz="4" w:space="0" w:color="auto"/>
            </w:tcBorders>
            <w:shd w:val="clear" w:color="auto" w:fill="auto"/>
            <w:vAlign w:val="center"/>
            <w:hideMark/>
          </w:tcPr>
          <w:p w14:paraId="10791770"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Projet, MEH</w:t>
            </w:r>
          </w:p>
        </w:tc>
      </w:tr>
      <w:tr w:rsidR="00DD4EBF" w:rsidRPr="00AB1E0E" w14:paraId="0CE067BC" w14:textId="77777777" w:rsidTr="00B434A6">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CEF176"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Création de champs électromagnétiques (CEM) pouvant perturber la faune locale</w:t>
            </w:r>
          </w:p>
        </w:tc>
        <w:tc>
          <w:tcPr>
            <w:tcW w:w="0" w:type="auto"/>
            <w:tcBorders>
              <w:top w:val="nil"/>
              <w:left w:val="nil"/>
              <w:bottom w:val="single" w:sz="4" w:space="0" w:color="auto"/>
              <w:right w:val="single" w:sz="4" w:space="0" w:color="auto"/>
            </w:tcBorders>
            <w:shd w:val="clear" w:color="auto" w:fill="auto"/>
            <w:vAlign w:val="center"/>
            <w:hideMark/>
          </w:tcPr>
          <w:p w14:paraId="45122D62"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 xml:space="preserve">Mise en place des sites d'installation des parcs </w:t>
            </w:r>
            <w:r w:rsidR="00401845">
              <w:rPr>
                <w:rStyle w:val="CharacterStyle1"/>
                <w:rFonts w:cs="Calibri"/>
                <w:sz w:val="18"/>
                <w:szCs w:val="18"/>
              </w:rPr>
              <w:t xml:space="preserve">solaires </w:t>
            </w:r>
            <w:r w:rsidRPr="00AB1E0E">
              <w:rPr>
                <w:rStyle w:val="CharacterStyle1"/>
                <w:rFonts w:cs="Calibri"/>
                <w:sz w:val="18"/>
                <w:szCs w:val="18"/>
              </w:rPr>
              <w:t>PV, Tours cellulaire</w:t>
            </w:r>
            <w:r w:rsidR="00195A84" w:rsidRPr="00AB1E0E">
              <w:rPr>
                <w:rStyle w:val="CharacterStyle1"/>
                <w:rFonts w:cs="Calibri"/>
                <w:sz w:val="18"/>
                <w:szCs w:val="18"/>
              </w:rPr>
              <w:t xml:space="preserve"> s</w:t>
            </w:r>
            <w:r w:rsidRPr="00AB1E0E">
              <w:rPr>
                <w:rStyle w:val="CharacterStyle1"/>
                <w:rFonts w:cs="Calibri"/>
                <w:sz w:val="18"/>
                <w:szCs w:val="18"/>
              </w:rPr>
              <w:t>ur des sites éloignés des Aires Protégées et autres sites de haute potentialité en matière de biodiversité</w:t>
            </w:r>
          </w:p>
        </w:tc>
        <w:tc>
          <w:tcPr>
            <w:tcW w:w="0" w:type="auto"/>
            <w:tcBorders>
              <w:top w:val="nil"/>
              <w:left w:val="nil"/>
              <w:bottom w:val="single" w:sz="4" w:space="0" w:color="auto"/>
              <w:right w:val="single" w:sz="4" w:space="0" w:color="auto"/>
            </w:tcBorders>
            <w:shd w:val="clear" w:color="auto" w:fill="auto"/>
            <w:vAlign w:val="center"/>
            <w:hideMark/>
          </w:tcPr>
          <w:p w14:paraId="6563E98F"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Site d'installation des infrastructures</w:t>
            </w:r>
          </w:p>
        </w:tc>
        <w:tc>
          <w:tcPr>
            <w:tcW w:w="0" w:type="auto"/>
            <w:tcBorders>
              <w:top w:val="nil"/>
              <w:left w:val="nil"/>
              <w:bottom w:val="single" w:sz="4" w:space="0" w:color="auto"/>
              <w:right w:val="single" w:sz="4" w:space="0" w:color="auto"/>
            </w:tcBorders>
            <w:shd w:val="clear" w:color="auto" w:fill="auto"/>
            <w:noWrap/>
            <w:vAlign w:val="center"/>
            <w:hideMark/>
          </w:tcPr>
          <w:p w14:paraId="4503EE70"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Observation</w:t>
            </w:r>
          </w:p>
        </w:tc>
        <w:tc>
          <w:tcPr>
            <w:tcW w:w="0" w:type="auto"/>
            <w:tcBorders>
              <w:top w:val="nil"/>
              <w:left w:val="nil"/>
              <w:bottom w:val="single" w:sz="4" w:space="0" w:color="auto"/>
              <w:right w:val="single" w:sz="4" w:space="0" w:color="auto"/>
            </w:tcBorders>
            <w:shd w:val="clear" w:color="auto" w:fill="auto"/>
            <w:vAlign w:val="center"/>
            <w:hideMark/>
          </w:tcPr>
          <w:p w14:paraId="42DF1036"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Semestriel</w:t>
            </w:r>
          </w:p>
        </w:tc>
        <w:tc>
          <w:tcPr>
            <w:tcW w:w="0" w:type="auto"/>
            <w:tcBorders>
              <w:top w:val="nil"/>
              <w:left w:val="nil"/>
              <w:bottom w:val="single" w:sz="4" w:space="0" w:color="auto"/>
              <w:right w:val="single" w:sz="4" w:space="0" w:color="auto"/>
            </w:tcBorders>
            <w:shd w:val="clear" w:color="auto" w:fill="auto"/>
            <w:noWrap/>
            <w:vAlign w:val="center"/>
            <w:hideMark/>
          </w:tcPr>
          <w:p w14:paraId="027DB313"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Projet/ Exploitant</w:t>
            </w:r>
          </w:p>
        </w:tc>
        <w:tc>
          <w:tcPr>
            <w:tcW w:w="0" w:type="auto"/>
            <w:tcBorders>
              <w:top w:val="nil"/>
              <w:left w:val="nil"/>
              <w:bottom w:val="single" w:sz="4" w:space="0" w:color="auto"/>
              <w:right w:val="single" w:sz="4" w:space="0" w:color="auto"/>
            </w:tcBorders>
            <w:shd w:val="clear" w:color="auto" w:fill="auto"/>
            <w:vAlign w:val="center"/>
            <w:hideMark/>
          </w:tcPr>
          <w:p w14:paraId="2B4B9002"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MEH, MEED</w:t>
            </w:r>
          </w:p>
        </w:tc>
      </w:tr>
      <w:tr w:rsidR="00DD4EBF" w:rsidRPr="00AB1E0E" w14:paraId="4CE49ACD" w14:textId="77777777" w:rsidTr="00B434A6">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F85AF6"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Accumulation des déchets solides incluant les déchets d’équipement électrique et électronique (DEEE)</w:t>
            </w:r>
          </w:p>
        </w:tc>
        <w:tc>
          <w:tcPr>
            <w:tcW w:w="0" w:type="auto"/>
            <w:tcBorders>
              <w:top w:val="nil"/>
              <w:left w:val="nil"/>
              <w:bottom w:val="single" w:sz="4" w:space="0" w:color="auto"/>
              <w:right w:val="single" w:sz="4" w:space="0" w:color="auto"/>
            </w:tcBorders>
            <w:shd w:val="clear" w:color="auto" w:fill="auto"/>
            <w:vAlign w:val="center"/>
            <w:hideMark/>
          </w:tcPr>
          <w:p w14:paraId="2DC643AB" w14:textId="77777777" w:rsidR="00713368" w:rsidRPr="00AB1E0E" w:rsidRDefault="00713368" w:rsidP="00345918">
            <w:pPr>
              <w:spacing w:line="240" w:lineRule="auto"/>
              <w:rPr>
                <w:rStyle w:val="CharacterStyle1"/>
                <w:rFonts w:cs="Calibri"/>
                <w:sz w:val="18"/>
                <w:szCs w:val="18"/>
              </w:rPr>
            </w:pPr>
            <w:r w:rsidRPr="00AB1E0E">
              <w:rPr>
                <w:rStyle w:val="CharacterStyle1"/>
                <w:rFonts w:cs="Calibri"/>
                <w:sz w:val="18"/>
                <w:szCs w:val="18"/>
              </w:rPr>
              <w:t>Mise en place un Plan de Gestion des Déchets Solides (PGDS) avec des dispositifs spéciaux. Favoriser le recyclage des DEEE</w:t>
            </w:r>
            <w:r w:rsidR="00286ACE">
              <w:rPr>
                <w:rStyle w:val="CharacterStyle1"/>
                <w:rFonts w:cs="Calibri"/>
                <w:sz w:val="18"/>
                <w:szCs w:val="18"/>
              </w:rPr>
              <w:t xml:space="preserve"> (cf Annexe 10)</w:t>
            </w:r>
          </w:p>
        </w:tc>
        <w:tc>
          <w:tcPr>
            <w:tcW w:w="0" w:type="auto"/>
            <w:tcBorders>
              <w:top w:val="nil"/>
              <w:left w:val="nil"/>
              <w:bottom w:val="single" w:sz="4" w:space="0" w:color="auto"/>
              <w:right w:val="single" w:sz="4" w:space="0" w:color="auto"/>
            </w:tcBorders>
            <w:shd w:val="clear" w:color="auto" w:fill="auto"/>
            <w:vAlign w:val="center"/>
            <w:hideMark/>
          </w:tcPr>
          <w:p w14:paraId="2A1EC8B8"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PGDS mis en place</w:t>
            </w:r>
          </w:p>
        </w:tc>
        <w:tc>
          <w:tcPr>
            <w:tcW w:w="0" w:type="auto"/>
            <w:tcBorders>
              <w:top w:val="nil"/>
              <w:left w:val="nil"/>
              <w:bottom w:val="single" w:sz="4" w:space="0" w:color="auto"/>
              <w:right w:val="single" w:sz="4" w:space="0" w:color="auto"/>
            </w:tcBorders>
            <w:shd w:val="clear" w:color="auto" w:fill="auto"/>
            <w:noWrap/>
            <w:vAlign w:val="center"/>
            <w:hideMark/>
          </w:tcPr>
          <w:p w14:paraId="7A070D43"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Observation</w:t>
            </w:r>
          </w:p>
        </w:tc>
        <w:tc>
          <w:tcPr>
            <w:tcW w:w="0" w:type="auto"/>
            <w:tcBorders>
              <w:top w:val="nil"/>
              <w:left w:val="nil"/>
              <w:bottom w:val="single" w:sz="4" w:space="0" w:color="auto"/>
              <w:right w:val="single" w:sz="4" w:space="0" w:color="auto"/>
            </w:tcBorders>
            <w:shd w:val="clear" w:color="auto" w:fill="auto"/>
            <w:vAlign w:val="center"/>
            <w:hideMark/>
          </w:tcPr>
          <w:p w14:paraId="7B94BC0C"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Semestriel</w:t>
            </w:r>
          </w:p>
        </w:tc>
        <w:tc>
          <w:tcPr>
            <w:tcW w:w="0" w:type="auto"/>
            <w:tcBorders>
              <w:top w:val="nil"/>
              <w:left w:val="nil"/>
              <w:bottom w:val="single" w:sz="4" w:space="0" w:color="auto"/>
              <w:right w:val="single" w:sz="4" w:space="0" w:color="auto"/>
            </w:tcBorders>
            <w:shd w:val="clear" w:color="auto" w:fill="auto"/>
            <w:noWrap/>
            <w:vAlign w:val="center"/>
            <w:hideMark/>
          </w:tcPr>
          <w:p w14:paraId="13FF0A2E"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Projet/ Exploitant</w:t>
            </w:r>
          </w:p>
        </w:tc>
        <w:tc>
          <w:tcPr>
            <w:tcW w:w="0" w:type="auto"/>
            <w:tcBorders>
              <w:top w:val="nil"/>
              <w:left w:val="nil"/>
              <w:bottom w:val="single" w:sz="4" w:space="0" w:color="auto"/>
              <w:right w:val="single" w:sz="4" w:space="0" w:color="auto"/>
            </w:tcBorders>
            <w:shd w:val="clear" w:color="auto" w:fill="auto"/>
            <w:vAlign w:val="center"/>
            <w:hideMark/>
          </w:tcPr>
          <w:p w14:paraId="3A3636E4"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MEH, BM</w:t>
            </w:r>
          </w:p>
        </w:tc>
      </w:tr>
      <w:tr w:rsidR="00DD4EBF" w:rsidRPr="00AB1E0E" w14:paraId="7E0EF090" w14:textId="77777777" w:rsidTr="00B434A6">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13795E"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Risque de conflit lié à l'utilisation de l'eau</w:t>
            </w:r>
          </w:p>
        </w:tc>
        <w:tc>
          <w:tcPr>
            <w:tcW w:w="0" w:type="auto"/>
            <w:tcBorders>
              <w:top w:val="nil"/>
              <w:left w:val="nil"/>
              <w:bottom w:val="single" w:sz="4" w:space="0" w:color="auto"/>
              <w:right w:val="single" w:sz="4" w:space="0" w:color="auto"/>
            </w:tcBorders>
            <w:shd w:val="clear" w:color="auto" w:fill="auto"/>
            <w:vAlign w:val="center"/>
            <w:hideMark/>
          </w:tcPr>
          <w:p w14:paraId="7B24159D"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Information sensibilisation sur la bonne gestion des ressources en eau</w:t>
            </w:r>
          </w:p>
        </w:tc>
        <w:tc>
          <w:tcPr>
            <w:tcW w:w="0" w:type="auto"/>
            <w:tcBorders>
              <w:top w:val="nil"/>
              <w:left w:val="nil"/>
              <w:bottom w:val="single" w:sz="4" w:space="0" w:color="auto"/>
              <w:right w:val="single" w:sz="4" w:space="0" w:color="auto"/>
            </w:tcBorders>
            <w:shd w:val="clear" w:color="auto" w:fill="auto"/>
            <w:vAlign w:val="center"/>
            <w:hideMark/>
          </w:tcPr>
          <w:p w14:paraId="325E1BA7"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Suffisance des ressources en eau</w:t>
            </w:r>
          </w:p>
        </w:tc>
        <w:tc>
          <w:tcPr>
            <w:tcW w:w="0" w:type="auto"/>
            <w:tcBorders>
              <w:top w:val="nil"/>
              <w:left w:val="nil"/>
              <w:bottom w:val="single" w:sz="4" w:space="0" w:color="auto"/>
              <w:right w:val="single" w:sz="4" w:space="0" w:color="auto"/>
            </w:tcBorders>
            <w:shd w:val="clear" w:color="auto" w:fill="auto"/>
            <w:noWrap/>
            <w:vAlign w:val="center"/>
            <w:hideMark/>
          </w:tcPr>
          <w:p w14:paraId="5F5793A2"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Observation</w:t>
            </w:r>
          </w:p>
        </w:tc>
        <w:tc>
          <w:tcPr>
            <w:tcW w:w="0" w:type="auto"/>
            <w:tcBorders>
              <w:top w:val="nil"/>
              <w:left w:val="nil"/>
              <w:bottom w:val="single" w:sz="4" w:space="0" w:color="auto"/>
              <w:right w:val="single" w:sz="4" w:space="0" w:color="auto"/>
            </w:tcBorders>
            <w:shd w:val="clear" w:color="auto" w:fill="auto"/>
            <w:vAlign w:val="center"/>
            <w:hideMark/>
          </w:tcPr>
          <w:p w14:paraId="3DC79002"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Trimestriel</w:t>
            </w:r>
          </w:p>
        </w:tc>
        <w:tc>
          <w:tcPr>
            <w:tcW w:w="0" w:type="auto"/>
            <w:tcBorders>
              <w:top w:val="nil"/>
              <w:left w:val="nil"/>
              <w:bottom w:val="single" w:sz="4" w:space="0" w:color="auto"/>
              <w:right w:val="single" w:sz="4" w:space="0" w:color="auto"/>
            </w:tcBorders>
            <w:shd w:val="clear" w:color="auto" w:fill="auto"/>
            <w:noWrap/>
            <w:vAlign w:val="center"/>
            <w:hideMark/>
          </w:tcPr>
          <w:p w14:paraId="2BEC749E"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Projet/ Exploitant</w:t>
            </w:r>
          </w:p>
        </w:tc>
        <w:tc>
          <w:tcPr>
            <w:tcW w:w="0" w:type="auto"/>
            <w:tcBorders>
              <w:top w:val="nil"/>
              <w:left w:val="nil"/>
              <w:bottom w:val="single" w:sz="4" w:space="0" w:color="auto"/>
              <w:right w:val="single" w:sz="4" w:space="0" w:color="auto"/>
            </w:tcBorders>
            <w:shd w:val="clear" w:color="auto" w:fill="auto"/>
            <w:vAlign w:val="center"/>
            <w:hideMark/>
          </w:tcPr>
          <w:p w14:paraId="2942ADB6"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MEAH, MEH</w:t>
            </w:r>
          </w:p>
        </w:tc>
      </w:tr>
      <w:tr w:rsidR="00DD4EBF" w:rsidRPr="00AB1E0E" w14:paraId="5D36059B" w14:textId="77777777" w:rsidTr="00B434A6">
        <w:trPr>
          <w:trHeight w:val="16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2FAF2A"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Risque de bouleversement des mœurs</w:t>
            </w:r>
          </w:p>
        </w:tc>
        <w:tc>
          <w:tcPr>
            <w:tcW w:w="0" w:type="auto"/>
            <w:tcBorders>
              <w:top w:val="nil"/>
              <w:left w:val="nil"/>
              <w:bottom w:val="single" w:sz="4" w:space="0" w:color="auto"/>
              <w:right w:val="single" w:sz="4" w:space="0" w:color="auto"/>
            </w:tcBorders>
            <w:shd w:val="clear" w:color="auto" w:fill="auto"/>
            <w:vAlign w:val="center"/>
            <w:hideMark/>
          </w:tcPr>
          <w:p w14:paraId="265F92A2"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Information / sensibilisation sur l'utilisation des TIC et les risques qu’elles présentent. Formation des autorités en charge de la sécurité nationale sur l'utilisation des TICs. Formation et sensibilisation de la population sur l'importance du respect mutuel</w:t>
            </w:r>
          </w:p>
        </w:tc>
        <w:tc>
          <w:tcPr>
            <w:tcW w:w="0" w:type="auto"/>
            <w:tcBorders>
              <w:top w:val="nil"/>
              <w:left w:val="nil"/>
              <w:bottom w:val="single" w:sz="4" w:space="0" w:color="auto"/>
              <w:right w:val="single" w:sz="4" w:space="0" w:color="auto"/>
            </w:tcBorders>
            <w:shd w:val="clear" w:color="auto" w:fill="auto"/>
            <w:vAlign w:val="center"/>
            <w:hideMark/>
          </w:tcPr>
          <w:p w14:paraId="3B89296B"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Stabilité de la société locale</w:t>
            </w:r>
          </w:p>
        </w:tc>
        <w:tc>
          <w:tcPr>
            <w:tcW w:w="0" w:type="auto"/>
            <w:tcBorders>
              <w:top w:val="nil"/>
              <w:left w:val="nil"/>
              <w:bottom w:val="single" w:sz="4" w:space="0" w:color="auto"/>
              <w:right w:val="single" w:sz="4" w:space="0" w:color="auto"/>
            </w:tcBorders>
            <w:shd w:val="clear" w:color="auto" w:fill="auto"/>
            <w:noWrap/>
            <w:vAlign w:val="center"/>
            <w:hideMark/>
          </w:tcPr>
          <w:p w14:paraId="1806BC2D"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Observation</w:t>
            </w:r>
          </w:p>
        </w:tc>
        <w:tc>
          <w:tcPr>
            <w:tcW w:w="0" w:type="auto"/>
            <w:tcBorders>
              <w:top w:val="nil"/>
              <w:left w:val="nil"/>
              <w:bottom w:val="single" w:sz="4" w:space="0" w:color="auto"/>
              <w:right w:val="single" w:sz="4" w:space="0" w:color="auto"/>
            </w:tcBorders>
            <w:shd w:val="clear" w:color="auto" w:fill="auto"/>
            <w:vAlign w:val="center"/>
            <w:hideMark/>
          </w:tcPr>
          <w:p w14:paraId="556DB6B4"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Comptage</w:t>
            </w:r>
          </w:p>
        </w:tc>
        <w:tc>
          <w:tcPr>
            <w:tcW w:w="0" w:type="auto"/>
            <w:tcBorders>
              <w:top w:val="nil"/>
              <w:left w:val="nil"/>
              <w:bottom w:val="single" w:sz="4" w:space="0" w:color="auto"/>
              <w:right w:val="single" w:sz="4" w:space="0" w:color="auto"/>
            </w:tcBorders>
            <w:shd w:val="clear" w:color="auto" w:fill="auto"/>
            <w:noWrap/>
            <w:vAlign w:val="center"/>
            <w:hideMark/>
          </w:tcPr>
          <w:p w14:paraId="6D07059C"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Projet/ Exploitant</w:t>
            </w:r>
          </w:p>
        </w:tc>
        <w:tc>
          <w:tcPr>
            <w:tcW w:w="0" w:type="auto"/>
            <w:tcBorders>
              <w:top w:val="nil"/>
              <w:left w:val="nil"/>
              <w:bottom w:val="single" w:sz="4" w:space="0" w:color="auto"/>
              <w:right w:val="single" w:sz="4" w:space="0" w:color="auto"/>
            </w:tcBorders>
            <w:shd w:val="clear" w:color="auto" w:fill="auto"/>
            <w:vAlign w:val="center"/>
            <w:hideMark/>
          </w:tcPr>
          <w:p w14:paraId="416F12EE"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Ministère en charge de la population, Ministère en charge de la sécurité publique</w:t>
            </w:r>
          </w:p>
        </w:tc>
      </w:tr>
      <w:tr w:rsidR="00DD4EBF" w:rsidRPr="00AB1E0E" w14:paraId="332DDD36" w14:textId="77777777" w:rsidTr="00B434A6">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8200A5"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Création de CEM</w:t>
            </w:r>
          </w:p>
        </w:tc>
        <w:tc>
          <w:tcPr>
            <w:tcW w:w="0" w:type="auto"/>
            <w:tcBorders>
              <w:top w:val="nil"/>
              <w:left w:val="nil"/>
              <w:bottom w:val="single" w:sz="4" w:space="0" w:color="auto"/>
              <w:right w:val="single" w:sz="4" w:space="0" w:color="auto"/>
            </w:tcBorders>
            <w:shd w:val="clear" w:color="auto" w:fill="auto"/>
            <w:vAlign w:val="center"/>
            <w:hideMark/>
          </w:tcPr>
          <w:p w14:paraId="225FA504"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Mise en conformité de l’installation aux normes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A4A53A8"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Plan de masse des installations</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0783FA1"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Observation</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2DD709"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Fin de chantier</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99F3C0D"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Entreprise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CCF9903"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MEH</w:t>
            </w:r>
          </w:p>
        </w:tc>
      </w:tr>
      <w:tr w:rsidR="00DD4EBF" w:rsidRPr="00AB1E0E" w14:paraId="36CA8409" w14:textId="77777777" w:rsidTr="00B434A6">
        <w:trPr>
          <w:trHeight w:val="480"/>
        </w:trPr>
        <w:tc>
          <w:tcPr>
            <w:tcW w:w="0" w:type="auto"/>
            <w:vMerge/>
            <w:tcBorders>
              <w:top w:val="nil"/>
              <w:left w:val="single" w:sz="4" w:space="0" w:color="auto"/>
              <w:bottom w:val="single" w:sz="4" w:space="0" w:color="auto"/>
              <w:right w:val="single" w:sz="4" w:space="0" w:color="auto"/>
            </w:tcBorders>
            <w:vAlign w:val="center"/>
            <w:hideMark/>
          </w:tcPr>
          <w:p w14:paraId="018C2149" w14:textId="77777777" w:rsidR="00713368" w:rsidRPr="00AB1E0E" w:rsidRDefault="00713368" w:rsidP="00DD4EBF">
            <w:pPr>
              <w:spacing w:line="240" w:lineRule="auto"/>
              <w:rPr>
                <w:rStyle w:val="CharacterStyle1"/>
                <w:rFonts w:cs="Calibri"/>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77E597A0"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L’isolation électrique et électromagnétique des équipements dans des locaux faradisés/chambre de Faraday)</w:t>
            </w:r>
          </w:p>
        </w:tc>
        <w:tc>
          <w:tcPr>
            <w:tcW w:w="0" w:type="auto"/>
            <w:vMerge/>
            <w:tcBorders>
              <w:top w:val="nil"/>
              <w:left w:val="single" w:sz="4" w:space="0" w:color="auto"/>
              <w:bottom w:val="single" w:sz="4" w:space="0" w:color="auto"/>
              <w:right w:val="single" w:sz="4" w:space="0" w:color="auto"/>
            </w:tcBorders>
            <w:vAlign w:val="center"/>
            <w:hideMark/>
          </w:tcPr>
          <w:p w14:paraId="3DF6D87A"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41DB8F5F"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1F17FB31"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760C4BCF"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0C52934" w14:textId="77777777" w:rsidR="00713368" w:rsidRPr="00AB1E0E" w:rsidRDefault="00713368" w:rsidP="00DD4EBF">
            <w:pPr>
              <w:spacing w:line="240" w:lineRule="auto"/>
              <w:rPr>
                <w:rStyle w:val="CharacterStyle1"/>
                <w:rFonts w:cs="Calibri"/>
                <w:sz w:val="18"/>
                <w:szCs w:val="18"/>
              </w:rPr>
            </w:pPr>
          </w:p>
        </w:tc>
      </w:tr>
      <w:tr w:rsidR="00DD4EBF" w:rsidRPr="00AB1E0E" w14:paraId="04A58C5D" w14:textId="77777777" w:rsidTr="00B434A6">
        <w:trPr>
          <w:trHeight w:val="300"/>
        </w:trPr>
        <w:tc>
          <w:tcPr>
            <w:tcW w:w="0" w:type="auto"/>
            <w:vMerge/>
            <w:tcBorders>
              <w:top w:val="nil"/>
              <w:left w:val="single" w:sz="4" w:space="0" w:color="auto"/>
              <w:bottom w:val="single" w:sz="4" w:space="0" w:color="auto"/>
              <w:right w:val="single" w:sz="4" w:space="0" w:color="auto"/>
            </w:tcBorders>
            <w:vAlign w:val="center"/>
            <w:hideMark/>
          </w:tcPr>
          <w:p w14:paraId="12382670" w14:textId="77777777" w:rsidR="00713368" w:rsidRPr="00AB1E0E" w:rsidRDefault="00713368" w:rsidP="00DD4EBF">
            <w:pPr>
              <w:spacing w:line="240" w:lineRule="auto"/>
              <w:rPr>
                <w:rStyle w:val="CharacterStyle1"/>
                <w:rFonts w:cs="Calibri"/>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0F275003"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L’éloignement des bâtiments à 3,5m des câbles MT</w:t>
            </w:r>
          </w:p>
        </w:tc>
        <w:tc>
          <w:tcPr>
            <w:tcW w:w="0" w:type="auto"/>
            <w:vMerge/>
            <w:tcBorders>
              <w:top w:val="nil"/>
              <w:left w:val="single" w:sz="4" w:space="0" w:color="auto"/>
              <w:bottom w:val="single" w:sz="4" w:space="0" w:color="auto"/>
              <w:right w:val="single" w:sz="4" w:space="0" w:color="auto"/>
            </w:tcBorders>
            <w:vAlign w:val="center"/>
            <w:hideMark/>
          </w:tcPr>
          <w:p w14:paraId="723534D7"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7E390D52"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6DC0EE4F"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1D833FB7"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4F30226D" w14:textId="77777777" w:rsidR="00713368" w:rsidRPr="00AB1E0E" w:rsidRDefault="00713368" w:rsidP="00DD4EBF">
            <w:pPr>
              <w:spacing w:line="240" w:lineRule="auto"/>
              <w:rPr>
                <w:rStyle w:val="CharacterStyle1"/>
                <w:rFonts w:cs="Calibri"/>
                <w:sz w:val="18"/>
                <w:szCs w:val="18"/>
              </w:rPr>
            </w:pPr>
          </w:p>
        </w:tc>
      </w:tr>
      <w:tr w:rsidR="00DD4EBF" w:rsidRPr="00AB1E0E" w14:paraId="027A1FDF" w14:textId="77777777" w:rsidTr="00B434A6">
        <w:trPr>
          <w:trHeight w:val="300"/>
        </w:trPr>
        <w:tc>
          <w:tcPr>
            <w:tcW w:w="0" w:type="auto"/>
            <w:vMerge/>
            <w:tcBorders>
              <w:top w:val="nil"/>
              <w:left w:val="single" w:sz="4" w:space="0" w:color="auto"/>
              <w:bottom w:val="single" w:sz="4" w:space="0" w:color="auto"/>
              <w:right w:val="single" w:sz="4" w:space="0" w:color="auto"/>
            </w:tcBorders>
            <w:vAlign w:val="center"/>
            <w:hideMark/>
          </w:tcPr>
          <w:p w14:paraId="5E067A50" w14:textId="77777777" w:rsidR="00713368" w:rsidRPr="00AB1E0E" w:rsidRDefault="00713368" w:rsidP="00DD4EBF">
            <w:pPr>
              <w:spacing w:line="240" w:lineRule="auto"/>
              <w:rPr>
                <w:rStyle w:val="CharacterStyle1"/>
                <w:rFonts w:cs="Calibri"/>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398F478C"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La distance limite (0,75m) d’approches aux câbles</w:t>
            </w:r>
          </w:p>
        </w:tc>
        <w:tc>
          <w:tcPr>
            <w:tcW w:w="0" w:type="auto"/>
            <w:vMerge/>
            <w:tcBorders>
              <w:top w:val="nil"/>
              <w:left w:val="single" w:sz="4" w:space="0" w:color="auto"/>
              <w:bottom w:val="single" w:sz="4" w:space="0" w:color="auto"/>
              <w:right w:val="single" w:sz="4" w:space="0" w:color="auto"/>
            </w:tcBorders>
            <w:vAlign w:val="center"/>
            <w:hideMark/>
          </w:tcPr>
          <w:p w14:paraId="48B8A2B2"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6E466286"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1D3EA30C"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0701BA49"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68543B77" w14:textId="77777777" w:rsidR="00713368" w:rsidRPr="00AB1E0E" w:rsidRDefault="00713368" w:rsidP="00DD4EBF">
            <w:pPr>
              <w:spacing w:line="240" w:lineRule="auto"/>
              <w:rPr>
                <w:rStyle w:val="CharacterStyle1"/>
                <w:rFonts w:cs="Calibri"/>
                <w:sz w:val="18"/>
                <w:szCs w:val="18"/>
              </w:rPr>
            </w:pPr>
          </w:p>
        </w:tc>
      </w:tr>
      <w:tr w:rsidR="00DD4EBF" w:rsidRPr="00AB1E0E" w14:paraId="43D0A52B" w14:textId="77777777" w:rsidTr="00B434A6">
        <w:trPr>
          <w:trHeight w:val="300"/>
        </w:trPr>
        <w:tc>
          <w:tcPr>
            <w:tcW w:w="0" w:type="auto"/>
            <w:vMerge/>
            <w:tcBorders>
              <w:top w:val="nil"/>
              <w:left w:val="single" w:sz="4" w:space="0" w:color="auto"/>
              <w:bottom w:val="single" w:sz="4" w:space="0" w:color="auto"/>
              <w:right w:val="single" w:sz="4" w:space="0" w:color="auto"/>
            </w:tcBorders>
            <w:vAlign w:val="center"/>
            <w:hideMark/>
          </w:tcPr>
          <w:p w14:paraId="2225671C" w14:textId="77777777" w:rsidR="00713368" w:rsidRPr="00AB1E0E" w:rsidRDefault="00713368" w:rsidP="00DD4EBF">
            <w:pPr>
              <w:spacing w:line="240" w:lineRule="auto"/>
              <w:rPr>
                <w:rStyle w:val="CharacterStyle1"/>
                <w:rFonts w:cs="Calibri"/>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0FF16063"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La distance de travail (2m) par rapport aux câbles</w:t>
            </w:r>
          </w:p>
        </w:tc>
        <w:tc>
          <w:tcPr>
            <w:tcW w:w="0" w:type="auto"/>
            <w:vMerge/>
            <w:tcBorders>
              <w:top w:val="nil"/>
              <w:left w:val="single" w:sz="4" w:space="0" w:color="auto"/>
              <w:bottom w:val="single" w:sz="4" w:space="0" w:color="auto"/>
              <w:right w:val="single" w:sz="4" w:space="0" w:color="auto"/>
            </w:tcBorders>
            <w:vAlign w:val="center"/>
            <w:hideMark/>
          </w:tcPr>
          <w:p w14:paraId="3A0B7DD2"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65E6C28B"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60C245DB"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17FEC9F6" w14:textId="77777777" w:rsidR="00713368" w:rsidRPr="00AB1E0E" w:rsidRDefault="00713368" w:rsidP="00DD4EBF">
            <w:pPr>
              <w:spacing w:line="240" w:lineRule="auto"/>
              <w:rPr>
                <w:rStyle w:val="CharacterStyle1"/>
                <w:rFonts w:cs="Calibri"/>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2496AF52" w14:textId="77777777" w:rsidR="00713368" w:rsidRPr="00AB1E0E" w:rsidRDefault="00713368" w:rsidP="00DD4EBF">
            <w:pPr>
              <w:spacing w:line="240" w:lineRule="auto"/>
              <w:rPr>
                <w:rStyle w:val="CharacterStyle1"/>
                <w:rFonts w:cs="Calibri"/>
                <w:sz w:val="18"/>
                <w:szCs w:val="18"/>
              </w:rPr>
            </w:pPr>
          </w:p>
        </w:tc>
      </w:tr>
      <w:tr w:rsidR="00DD4EBF" w:rsidRPr="00AB1E0E" w14:paraId="7ED150C8" w14:textId="77777777" w:rsidTr="00B434A6">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5D4E4B"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Risque d'accident et d’incendie</w:t>
            </w:r>
          </w:p>
        </w:tc>
        <w:tc>
          <w:tcPr>
            <w:tcW w:w="0" w:type="auto"/>
            <w:tcBorders>
              <w:top w:val="nil"/>
              <w:left w:val="nil"/>
              <w:bottom w:val="single" w:sz="4" w:space="0" w:color="auto"/>
              <w:right w:val="single" w:sz="4" w:space="0" w:color="auto"/>
            </w:tcBorders>
            <w:shd w:val="clear" w:color="auto" w:fill="auto"/>
            <w:vAlign w:val="center"/>
            <w:hideMark/>
          </w:tcPr>
          <w:p w14:paraId="34916DC3"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Mise en place d'un plan de prévention et d’intervention en cas d’incendie : extincteur adéquat (à CO2)</w:t>
            </w:r>
          </w:p>
        </w:tc>
        <w:tc>
          <w:tcPr>
            <w:tcW w:w="0" w:type="auto"/>
            <w:tcBorders>
              <w:top w:val="nil"/>
              <w:left w:val="nil"/>
              <w:bottom w:val="single" w:sz="4" w:space="0" w:color="auto"/>
              <w:right w:val="single" w:sz="4" w:space="0" w:color="auto"/>
            </w:tcBorders>
            <w:shd w:val="clear" w:color="auto" w:fill="auto"/>
            <w:vAlign w:val="center"/>
            <w:hideMark/>
          </w:tcPr>
          <w:p w14:paraId="4A2C9580"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Plan de prévention des risque</w:t>
            </w:r>
            <w:r w:rsidR="00534F94">
              <w:rPr>
                <w:rStyle w:val="CharacterStyle1"/>
                <w:rFonts w:cs="Calibri"/>
                <w:sz w:val="18"/>
                <w:szCs w:val="18"/>
              </w:rPr>
              <w:t>s</w:t>
            </w:r>
            <w:r w:rsidRPr="00AB1E0E">
              <w:rPr>
                <w:rStyle w:val="CharacterStyle1"/>
                <w:rFonts w:cs="Calibri"/>
                <w:sz w:val="18"/>
                <w:szCs w:val="18"/>
              </w:rPr>
              <w:t xml:space="preserve"> mis en place</w:t>
            </w:r>
          </w:p>
        </w:tc>
        <w:tc>
          <w:tcPr>
            <w:tcW w:w="0" w:type="auto"/>
            <w:tcBorders>
              <w:top w:val="nil"/>
              <w:left w:val="nil"/>
              <w:bottom w:val="single" w:sz="4" w:space="0" w:color="auto"/>
              <w:right w:val="single" w:sz="4" w:space="0" w:color="auto"/>
            </w:tcBorders>
            <w:shd w:val="clear" w:color="auto" w:fill="auto"/>
            <w:noWrap/>
            <w:vAlign w:val="center"/>
            <w:hideMark/>
          </w:tcPr>
          <w:p w14:paraId="2B702A2A"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Observation</w:t>
            </w:r>
          </w:p>
        </w:tc>
        <w:tc>
          <w:tcPr>
            <w:tcW w:w="0" w:type="auto"/>
            <w:tcBorders>
              <w:top w:val="nil"/>
              <w:left w:val="nil"/>
              <w:bottom w:val="single" w:sz="4" w:space="0" w:color="auto"/>
              <w:right w:val="single" w:sz="4" w:space="0" w:color="auto"/>
            </w:tcBorders>
            <w:shd w:val="clear" w:color="auto" w:fill="auto"/>
            <w:vAlign w:val="center"/>
            <w:hideMark/>
          </w:tcPr>
          <w:p w14:paraId="090E5EDC"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Trimestriel</w:t>
            </w:r>
          </w:p>
        </w:tc>
        <w:tc>
          <w:tcPr>
            <w:tcW w:w="0" w:type="auto"/>
            <w:tcBorders>
              <w:top w:val="nil"/>
              <w:left w:val="nil"/>
              <w:bottom w:val="single" w:sz="4" w:space="0" w:color="auto"/>
              <w:right w:val="single" w:sz="4" w:space="0" w:color="auto"/>
            </w:tcBorders>
            <w:shd w:val="clear" w:color="auto" w:fill="auto"/>
            <w:noWrap/>
            <w:vAlign w:val="center"/>
            <w:hideMark/>
          </w:tcPr>
          <w:p w14:paraId="0759C9FC"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Projet/ Exploitant</w:t>
            </w:r>
          </w:p>
        </w:tc>
        <w:tc>
          <w:tcPr>
            <w:tcW w:w="0" w:type="auto"/>
            <w:tcBorders>
              <w:top w:val="nil"/>
              <w:left w:val="nil"/>
              <w:bottom w:val="single" w:sz="4" w:space="0" w:color="auto"/>
              <w:right w:val="single" w:sz="4" w:space="0" w:color="auto"/>
            </w:tcBorders>
            <w:shd w:val="clear" w:color="auto" w:fill="auto"/>
            <w:vAlign w:val="center"/>
            <w:hideMark/>
          </w:tcPr>
          <w:p w14:paraId="1AA67488"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MEH,  BM</w:t>
            </w:r>
          </w:p>
        </w:tc>
      </w:tr>
      <w:tr w:rsidR="00DD4EBF" w:rsidRPr="00AB1E0E" w14:paraId="33075438" w14:textId="77777777" w:rsidTr="00DD4EBF">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14FE85"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Risques liés au vol et intrusions</w:t>
            </w:r>
          </w:p>
        </w:tc>
        <w:tc>
          <w:tcPr>
            <w:tcW w:w="0" w:type="auto"/>
            <w:tcBorders>
              <w:top w:val="nil"/>
              <w:left w:val="nil"/>
              <w:bottom w:val="single" w:sz="4" w:space="0" w:color="auto"/>
              <w:right w:val="single" w:sz="4" w:space="0" w:color="auto"/>
            </w:tcBorders>
            <w:shd w:val="clear" w:color="auto" w:fill="auto"/>
            <w:vAlign w:val="center"/>
            <w:hideMark/>
          </w:tcPr>
          <w:p w14:paraId="23750385"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Mise en place de système de sécurisation du site : clôture, caméra de surveillance, accès restreint et poste de contrôle à l'entrée</w:t>
            </w:r>
          </w:p>
        </w:tc>
        <w:tc>
          <w:tcPr>
            <w:tcW w:w="0" w:type="auto"/>
            <w:tcBorders>
              <w:top w:val="nil"/>
              <w:left w:val="nil"/>
              <w:bottom w:val="single" w:sz="4" w:space="0" w:color="auto"/>
              <w:right w:val="single" w:sz="4" w:space="0" w:color="auto"/>
            </w:tcBorders>
            <w:shd w:val="clear" w:color="auto" w:fill="auto"/>
            <w:vAlign w:val="center"/>
            <w:hideMark/>
          </w:tcPr>
          <w:p w14:paraId="5B14B891"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Système de surveillance mis en place</w:t>
            </w:r>
          </w:p>
        </w:tc>
        <w:tc>
          <w:tcPr>
            <w:tcW w:w="0" w:type="auto"/>
            <w:tcBorders>
              <w:top w:val="nil"/>
              <w:left w:val="nil"/>
              <w:bottom w:val="single" w:sz="4" w:space="0" w:color="auto"/>
              <w:right w:val="single" w:sz="4" w:space="0" w:color="auto"/>
            </w:tcBorders>
            <w:shd w:val="clear" w:color="auto" w:fill="auto"/>
            <w:noWrap/>
            <w:vAlign w:val="center"/>
            <w:hideMark/>
          </w:tcPr>
          <w:p w14:paraId="44F975CE"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Observation</w:t>
            </w:r>
          </w:p>
        </w:tc>
        <w:tc>
          <w:tcPr>
            <w:tcW w:w="0" w:type="auto"/>
            <w:tcBorders>
              <w:top w:val="nil"/>
              <w:left w:val="nil"/>
              <w:bottom w:val="single" w:sz="4" w:space="0" w:color="auto"/>
              <w:right w:val="single" w:sz="4" w:space="0" w:color="auto"/>
            </w:tcBorders>
            <w:shd w:val="clear" w:color="auto" w:fill="auto"/>
            <w:vAlign w:val="center"/>
            <w:hideMark/>
          </w:tcPr>
          <w:p w14:paraId="31294597"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Trimestriel</w:t>
            </w:r>
          </w:p>
        </w:tc>
        <w:tc>
          <w:tcPr>
            <w:tcW w:w="0" w:type="auto"/>
            <w:tcBorders>
              <w:top w:val="nil"/>
              <w:left w:val="nil"/>
              <w:bottom w:val="single" w:sz="4" w:space="0" w:color="auto"/>
              <w:right w:val="single" w:sz="4" w:space="0" w:color="auto"/>
            </w:tcBorders>
            <w:shd w:val="clear" w:color="auto" w:fill="auto"/>
            <w:noWrap/>
            <w:vAlign w:val="center"/>
            <w:hideMark/>
          </w:tcPr>
          <w:p w14:paraId="175F7EF6"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Projet/ Exploitant</w:t>
            </w:r>
          </w:p>
        </w:tc>
        <w:tc>
          <w:tcPr>
            <w:tcW w:w="0" w:type="auto"/>
            <w:tcBorders>
              <w:top w:val="nil"/>
              <w:left w:val="nil"/>
              <w:bottom w:val="single" w:sz="4" w:space="0" w:color="auto"/>
              <w:right w:val="single" w:sz="4" w:space="0" w:color="auto"/>
            </w:tcBorders>
            <w:shd w:val="clear" w:color="auto" w:fill="auto"/>
            <w:vAlign w:val="center"/>
            <w:hideMark/>
          </w:tcPr>
          <w:p w14:paraId="45965352"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MEH,  BM</w:t>
            </w:r>
          </w:p>
        </w:tc>
      </w:tr>
      <w:tr w:rsidR="00DD4EBF" w:rsidRPr="00AB1E0E" w14:paraId="4C0471CD" w14:textId="77777777" w:rsidTr="00B434A6">
        <w:trPr>
          <w:trHeight w:val="9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36C39B"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Risque d'augmentation des cas de VBG, EAS/HS dû à l'utilisation d'internet</w:t>
            </w:r>
          </w:p>
        </w:tc>
        <w:tc>
          <w:tcPr>
            <w:tcW w:w="0" w:type="auto"/>
            <w:tcBorders>
              <w:top w:val="nil"/>
              <w:left w:val="nil"/>
              <w:bottom w:val="single" w:sz="4" w:space="0" w:color="auto"/>
              <w:right w:val="single" w:sz="4" w:space="0" w:color="auto"/>
            </w:tcBorders>
            <w:shd w:val="clear" w:color="auto" w:fill="auto"/>
            <w:vAlign w:val="center"/>
            <w:hideMark/>
          </w:tcPr>
          <w:p w14:paraId="3EFAF44A"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Formation sensibilisation des utilisateurs d'internet. Sensibilisation sur l’importance du contrôle parental pour l’accès à internet des enfants. Mise en place de structure de gestion des plaintes VBG et EAS/HS. Renforcement de capacité et formation des autorités concernées (police nationale, gendarmerie…).</w:t>
            </w:r>
          </w:p>
        </w:tc>
        <w:tc>
          <w:tcPr>
            <w:tcW w:w="0" w:type="auto"/>
            <w:tcBorders>
              <w:top w:val="nil"/>
              <w:left w:val="nil"/>
              <w:bottom w:val="single" w:sz="4" w:space="0" w:color="auto"/>
              <w:right w:val="single" w:sz="4" w:space="0" w:color="auto"/>
            </w:tcBorders>
            <w:shd w:val="clear" w:color="auto" w:fill="auto"/>
            <w:vAlign w:val="center"/>
            <w:hideMark/>
          </w:tcPr>
          <w:p w14:paraId="3C7A92B3"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Plaintes VBG enregistrées</w:t>
            </w:r>
          </w:p>
        </w:tc>
        <w:tc>
          <w:tcPr>
            <w:tcW w:w="0" w:type="auto"/>
            <w:tcBorders>
              <w:top w:val="nil"/>
              <w:left w:val="nil"/>
              <w:bottom w:val="single" w:sz="4" w:space="0" w:color="auto"/>
              <w:right w:val="single" w:sz="4" w:space="0" w:color="auto"/>
            </w:tcBorders>
            <w:shd w:val="clear" w:color="auto" w:fill="auto"/>
            <w:noWrap/>
            <w:vAlign w:val="center"/>
            <w:hideMark/>
          </w:tcPr>
          <w:p w14:paraId="455AB25F"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Observation</w:t>
            </w:r>
          </w:p>
        </w:tc>
        <w:tc>
          <w:tcPr>
            <w:tcW w:w="0" w:type="auto"/>
            <w:tcBorders>
              <w:top w:val="nil"/>
              <w:left w:val="nil"/>
              <w:bottom w:val="single" w:sz="4" w:space="0" w:color="auto"/>
              <w:right w:val="single" w:sz="4" w:space="0" w:color="auto"/>
            </w:tcBorders>
            <w:shd w:val="clear" w:color="auto" w:fill="auto"/>
            <w:vAlign w:val="center"/>
            <w:hideMark/>
          </w:tcPr>
          <w:p w14:paraId="4379BC14"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Trimestriel</w:t>
            </w:r>
          </w:p>
        </w:tc>
        <w:tc>
          <w:tcPr>
            <w:tcW w:w="0" w:type="auto"/>
            <w:tcBorders>
              <w:top w:val="nil"/>
              <w:left w:val="nil"/>
              <w:bottom w:val="single" w:sz="4" w:space="0" w:color="auto"/>
              <w:right w:val="single" w:sz="4" w:space="0" w:color="auto"/>
            </w:tcBorders>
            <w:shd w:val="clear" w:color="auto" w:fill="auto"/>
            <w:noWrap/>
            <w:vAlign w:val="center"/>
            <w:hideMark/>
          </w:tcPr>
          <w:p w14:paraId="303135BD"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Autorités locales</w:t>
            </w:r>
          </w:p>
        </w:tc>
        <w:tc>
          <w:tcPr>
            <w:tcW w:w="0" w:type="auto"/>
            <w:tcBorders>
              <w:top w:val="nil"/>
              <w:left w:val="nil"/>
              <w:bottom w:val="single" w:sz="4" w:space="0" w:color="auto"/>
              <w:right w:val="single" w:sz="4" w:space="0" w:color="auto"/>
            </w:tcBorders>
            <w:shd w:val="clear" w:color="auto" w:fill="auto"/>
            <w:vAlign w:val="center"/>
            <w:hideMark/>
          </w:tcPr>
          <w:p w14:paraId="6AE771C5"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Ministère concerné, BM</w:t>
            </w:r>
          </w:p>
        </w:tc>
      </w:tr>
      <w:tr w:rsidR="00DD4EBF" w:rsidRPr="00AB1E0E" w14:paraId="65A8BFF0" w14:textId="77777777" w:rsidTr="00B434A6">
        <w:trPr>
          <w:trHeight w:val="9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8E9A37"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Risque d'augmentation de cas de cybercriminalité</w:t>
            </w:r>
          </w:p>
        </w:tc>
        <w:tc>
          <w:tcPr>
            <w:tcW w:w="0" w:type="auto"/>
            <w:tcBorders>
              <w:top w:val="nil"/>
              <w:left w:val="nil"/>
              <w:bottom w:val="single" w:sz="4" w:space="0" w:color="auto"/>
              <w:right w:val="single" w:sz="4" w:space="0" w:color="auto"/>
            </w:tcBorders>
            <w:shd w:val="clear" w:color="auto" w:fill="auto"/>
            <w:vAlign w:val="center"/>
            <w:hideMark/>
          </w:tcPr>
          <w:p w14:paraId="36BF1A88"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Renforcement de capacité et formation des autorités concernées (police nationale, gendarmerie…). Dotation d'équipements de lutte contre la cybercriminalité</w:t>
            </w:r>
          </w:p>
        </w:tc>
        <w:tc>
          <w:tcPr>
            <w:tcW w:w="0" w:type="auto"/>
            <w:tcBorders>
              <w:top w:val="nil"/>
              <w:left w:val="nil"/>
              <w:bottom w:val="single" w:sz="4" w:space="0" w:color="auto"/>
              <w:right w:val="single" w:sz="4" w:space="0" w:color="auto"/>
            </w:tcBorders>
            <w:shd w:val="clear" w:color="auto" w:fill="auto"/>
            <w:vAlign w:val="center"/>
            <w:hideMark/>
          </w:tcPr>
          <w:p w14:paraId="5C69921F"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Formations réalisées. Existence de dotation de matériels</w:t>
            </w:r>
          </w:p>
        </w:tc>
        <w:tc>
          <w:tcPr>
            <w:tcW w:w="0" w:type="auto"/>
            <w:tcBorders>
              <w:top w:val="nil"/>
              <w:left w:val="nil"/>
              <w:bottom w:val="single" w:sz="4" w:space="0" w:color="auto"/>
              <w:right w:val="single" w:sz="4" w:space="0" w:color="auto"/>
            </w:tcBorders>
            <w:shd w:val="clear" w:color="auto" w:fill="auto"/>
            <w:noWrap/>
            <w:vAlign w:val="center"/>
            <w:hideMark/>
          </w:tcPr>
          <w:p w14:paraId="59178A60"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Observation</w:t>
            </w:r>
          </w:p>
        </w:tc>
        <w:tc>
          <w:tcPr>
            <w:tcW w:w="0" w:type="auto"/>
            <w:tcBorders>
              <w:top w:val="nil"/>
              <w:left w:val="nil"/>
              <w:bottom w:val="single" w:sz="4" w:space="0" w:color="auto"/>
              <w:right w:val="single" w:sz="4" w:space="0" w:color="auto"/>
            </w:tcBorders>
            <w:shd w:val="clear" w:color="auto" w:fill="auto"/>
            <w:vAlign w:val="center"/>
            <w:hideMark/>
          </w:tcPr>
          <w:p w14:paraId="772459EA"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Fin des travaux de construction</w:t>
            </w:r>
          </w:p>
        </w:tc>
        <w:tc>
          <w:tcPr>
            <w:tcW w:w="0" w:type="auto"/>
            <w:tcBorders>
              <w:top w:val="nil"/>
              <w:left w:val="nil"/>
              <w:bottom w:val="single" w:sz="4" w:space="0" w:color="auto"/>
              <w:right w:val="single" w:sz="4" w:space="0" w:color="auto"/>
            </w:tcBorders>
            <w:shd w:val="clear" w:color="auto" w:fill="auto"/>
            <w:noWrap/>
            <w:vAlign w:val="center"/>
            <w:hideMark/>
          </w:tcPr>
          <w:p w14:paraId="489A6C6E"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Projet/ Exploitant</w:t>
            </w:r>
          </w:p>
        </w:tc>
        <w:tc>
          <w:tcPr>
            <w:tcW w:w="0" w:type="auto"/>
            <w:tcBorders>
              <w:top w:val="nil"/>
              <w:left w:val="nil"/>
              <w:bottom w:val="single" w:sz="4" w:space="0" w:color="auto"/>
              <w:right w:val="single" w:sz="4" w:space="0" w:color="auto"/>
            </w:tcBorders>
            <w:shd w:val="clear" w:color="auto" w:fill="auto"/>
            <w:vAlign w:val="center"/>
            <w:hideMark/>
          </w:tcPr>
          <w:p w14:paraId="673E8CB4"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BM</w:t>
            </w:r>
          </w:p>
        </w:tc>
      </w:tr>
      <w:tr w:rsidR="00DD4EBF" w:rsidRPr="00AB1E0E" w14:paraId="7A69F90E" w14:textId="77777777" w:rsidTr="00B434A6">
        <w:trPr>
          <w:trHeight w:val="12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5D83F45"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Atteinte à la sécurité de la population</w:t>
            </w:r>
          </w:p>
        </w:tc>
        <w:tc>
          <w:tcPr>
            <w:tcW w:w="0" w:type="auto"/>
            <w:tcBorders>
              <w:top w:val="nil"/>
              <w:left w:val="nil"/>
              <w:bottom w:val="single" w:sz="4" w:space="0" w:color="auto"/>
              <w:right w:val="single" w:sz="4" w:space="0" w:color="auto"/>
            </w:tcBorders>
            <w:shd w:val="clear" w:color="auto" w:fill="auto"/>
            <w:vAlign w:val="center"/>
            <w:hideMark/>
          </w:tcPr>
          <w:p w14:paraId="23FFEED1"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 xml:space="preserve">Elaboration et application d'un Manuel de sécurité des </w:t>
            </w:r>
            <w:r w:rsidR="001D6C60" w:rsidRPr="00AB1E0E">
              <w:rPr>
                <w:rStyle w:val="CharacterStyle1"/>
                <w:rFonts w:cs="Calibri"/>
                <w:sz w:val="18"/>
                <w:szCs w:val="18"/>
              </w:rPr>
              <w:t>barrages</w:t>
            </w:r>
          </w:p>
        </w:tc>
        <w:tc>
          <w:tcPr>
            <w:tcW w:w="0" w:type="auto"/>
            <w:tcBorders>
              <w:top w:val="nil"/>
              <w:left w:val="nil"/>
              <w:bottom w:val="single" w:sz="4" w:space="0" w:color="auto"/>
              <w:right w:val="single" w:sz="4" w:space="0" w:color="auto"/>
            </w:tcBorders>
            <w:shd w:val="clear" w:color="auto" w:fill="auto"/>
            <w:vAlign w:val="center"/>
            <w:hideMark/>
          </w:tcPr>
          <w:p w14:paraId="2C799CF9"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Manuel élaboré</w:t>
            </w:r>
          </w:p>
        </w:tc>
        <w:tc>
          <w:tcPr>
            <w:tcW w:w="0" w:type="auto"/>
            <w:tcBorders>
              <w:top w:val="nil"/>
              <w:left w:val="nil"/>
              <w:bottom w:val="single" w:sz="4" w:space="0" w:color="auto"/>
              <w:right w:val="single" w:sz="4" w:space="0" w:color="auto"/>
            </w:tcBorders>
            <w:shd w:val="clear" w:color="auto" w:fill="auto"/>
            <w:noWrap/>
            <w:vAlign w:val="center"/>
            <w:hideMark/>
          </w:tcPr>
          <w:p w14:paraId="5087B627"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Consultation du Document</w:t>
            </w:r>
          </w:p>
        </w:tc>
        <w:tc>
          <w:tcPr>
            <w:tcW w:w="0" w:type="auto"/>
            <w:tcBorders>
              <w:top w:val="nil"/>
              <w:left w:val="nil"/>
              <w:bottom w:val="single" w:sz="4" w:space="0" w:color="auto"/>
              <w:right w:val="single" w:sz="4" w:space="0" w:color="auto"/>
            </w:tcBorders>
            <w:shd w:val="clear" w:color="auto" w:fill="auto"/>
            <w:vAlign w:val="center"/>
            <w:hideMark/>
          </w:tcPr>
          <w:p w14:paraId="0163CAC4"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 xml:space="preserve">Avant la </w:t>
            </w:r>
            <w:r w:rsidR="001D6C60" w:rsidRPr="00AB1E0E">
              <w:rPr>
                <w:rStyle w:val="CharacterStyle1"/>
                <w:rFonts w:cs="Calibri"/>
                <w:sz w:val="18"/>
                <w:szCs w:val="18"/>
              </w:rPr>
              <w:t>signature</w:t>
            </w:r>
            <w:r w:rsidRPr="00AB1E0E">
              <w:rPr>
                <w:rStyle w:val="CharacterStyle1"/>
                <w:rFonts w:cs="Calibri"/>
                <w:sz w:val="18"/>
                <w:szCs w:val="18"/>
              </w:rPr>
              <w:t xml:space="preserve"> du </w:t>
            </w:r>
            <w:r w:rsidR="001D6C60" w:rsidRPr="00AB1E0E">
              <w:rPr>
                <w:rStyle w:val="CharacterStyle1"/>
                <w:rFonts w:cs="Calibri"/>
                <w:sz w:val="18"/>
                <w:szCs w:val="18"/>
              </w:rPr>
              <w:t>contrat</w:t>
            </w:r>
            <w:r w:rsidRPr="00AB1E0E">
              <w:rPr>
                <w:rStyle w:val="CharacterStyle1"/>
                <w:rFonts w:cs="Calibri"/>
                <w:sz w:val="18"/>
                <w:szCs w:val="18"/>
              </w:rPr>
              <w:t xml:space="preserve"> du Projet conforment au PEES</w:t>
            </w:r>
          </w:p>
        </w:tc>
        <w:tc>
          <w:tcPr>
            <w:tcW w:w="0" w:type="auto"/>
            <w:tcBorders>
              <w:top w:val="nil"/>
              <w:left w:val="nil"/>
              <w:bottom w:val="single" w:sz="4" w:space="0" w:color="auto"/>
              <w:right w:val="single" w:sz="4" w:space="0" w:color="auto"/>
            </w:tcBorders>
            <w:shd w:val="clear" w:color="auto" w:fill="auto"/>
            <w:noWrap/>
            <w:vAlign w:val="center"/>
            <w:hideMark/>
          </w:tcPr>
          <w:p w14:paraId="6C667773"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Projet</w:t>
            </w:r>
          </w:p>
        </w:tc>
        <w:tc>
          <w:tcPr>
            <w:tcW w:w="0" w:type="auto"/>
            <w:tcBorders>
              <w:top w:val="nil"/>
              <w:left w:val="nil"/>
              <w:bottom w:val="single" w:sz="4" w:space="0" w:color="auto"/>
              <w:right w:val="single" w:sz="4" w:space="0" w:color="auto"/>
            </w:tcBorders>
            <w:shd w:val="clear" w:color="auto" w:fill="auto"/>
            <w:vAlign w:val="center"/>
            <w:hideMark/>
          </w:tcPr>
          <w:p w14:paraId="3201641A"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BM</w:t>
            </w:r>
          </w:p>
        </w:tc>
      </w:tr>
      <w:tr w:rsidR="00DD4EBF" w:rsidRPr="00AB1E0E" w14:paraId="27655019" w14:textId="77777777" w:rsidTr="00B434A6">
        <w:trPr>
          <w:trHeight w:val="720"/>
        </w:trPr>
        <w:tc>
          <w:tcPr>
            <w:tcW w:w="0" w:type="auto"/>
            <w:vMerge/>
            <w:tcBorders>
              <w:top w:val="nil"/>
              <w:left w:val="single" w:sz="4" w:space="0" w:color="auto"/>
              <w:bottom w:val="single" w:sz="4" w:space="0" w:color="000000"/>
              <w:right w:val="single" w:sz="4" w:space="0" w:color="auto"/>
            </w:tcBorders>
            <w:vAlign w:val="center"/>
            <w:hideMark/>
          </w:tcPr>
          <w:p w14:paraId="4E849674" w14:textId="77777777" w:rsidR="00713368" w:rsidRPr="00AB1E0E" w:rsidRDefault="00713368" w:rsidP="00DD4EBF">
            <w:pPr>
              <w:spacing w:line="240" w:lineRule="auto"/>
              <w:rPr>
                <w:rStyle w:val="CharacterStyle1"/>
                <w:rFonts w:cs="Calibri"/>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4F8CD075" w14:textId="77777777" w:rsidR="00713368" w:rsidRPr="00AB1E0E" w:rsidRDefault="00195A84" w:rsidP="00DD4EBF">
            <w:pPr>
              <w:spacing w:line="240" w:lineRule="auto"/>
              <w:rPr>
                <w:rStyle w:val="CharacterStyle1"/>
                <w:rFonts w:cs="Calibri"/>
                <w:sz w:val="18"/>
                <w:szCs w:val="18"/>
              </w:rPr>
            </w:pPr>
            <w:r w:rsidRPr="00AB1E0E">
              <w:rPr>
                <w:rStyle w:val="CharacterStyle1"/>
                <w:rFonts w:cs="Calibri"/>
                <w:sz w:val="18"/>
                <w:szCs w:val="18"/>
              </w:rPr>
              <w:t>I</w:t>
            </w:r>
            <w:r w:rsidR="001D6C60" w:rsidRPr="00AB1E0E">
              <w:rPr>
                <w:rStyle w:val="CharacterStyle1"/>
                <w:rFonts w:cs="Calibri"/>
                <w:sz w:val="18"/>
                <w:szCs w:val="18"/>
              </w:rPr>
              <w:t>nspection</w:t>
            </w:r>
            <w:r w:rsidR="00713368" w:rsidRPr="00AB1E0E">
              <w:rPr>
                <w:rStyle w:val="CharacterStyle1"/>
                <w:rFonts w:cs="Calibri"/>
                <w:sz w:val="18"/>
                <w:szCs w:val="18"/>
              </w:rPr>
              <w:t xml:space="preserve"> périodique et entretien des barrages</w:t>
            </w:r>
          </w:p>
        </w:tc>
        <w:tc>
          <w:tcPr>
            <w:tcW w:w="0" w:type="auto"/>
            <w:tcBorders>
              <w:top w:val="nil"/>
              <w:left w:val="nil"/>
              <w:bottom w:val="single" w:sz="4" w:space="0" w:color="auto"/>
              <w:right w:val="single" w:sz="4" w:space="0" w:color="auto"/>
            </w:tcBorders>
            <w:shd w:val="clear" w:color="auto" w:fill="auto"/>
            <w:vAlign w:val="center"/>
            <w:hideMark/>
          </w:tcPr>
          <w:p w14:paraId="6825FD0E"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nb inspection et entretien effectué</w:t>
            </w:r>
          </w:p>
        </w:tc>
        <w:tc>
          <w:tcPr>
            <w:tcW w:w="0" w:type="auto"/>
            <w:tcBorders>
              <w:top w:val="nil"/>
              <w:left w:val="nil"/>
              <w:bottom w:val="single" w:sz="4" w:space="0" w:color="auto"/>
              <w:right w:val="single" w:sz="4" w:space="0" w:color="auto"/>
            </w:tcBorders>
            <w:shd w:val="clear" w:color="auto" w:fill="auto"/>
            <w:noWrap/>
            <w:vAlign w:val="center"/>
            <w:hideMark/>
          </w:tcPr>
          <w:p w14:paraId="1469F926" w14:textId="77777777" w:rsidR="00713368" w:rsidRPr="00AB1E0E" w:rsidRDefault="001D6C60" w:rsidP="00DD4EBF">
            <w:pPr>
              <w:spacing w:line="240" w:lineRule="auto"/>
              <w:rPr>
                <w:rStyle w:val="CharacterStyle1"/>
                <w:rFonts w:cs="Calibri"/>
                <w:sz w:val="18"/>
                <w:szCs w:val="18"/>
              </w:rPr>
            </w:pPr>
            <w:r w:rsidRPr="00AB1E0E">
              <w:rPr>
                <w:rStyle w:val="CharacterStyle1"/>
                <w:rFonts w:cs="Calibri"/>
                <w:sz w:val="18"/>
                <w:szCs w:val="18"/>
              </w:rPr>
              <w:t>Consultation</w:t>
            </w:r>
            <w:r w:rsidR="00713368" w:rsidRPr="00AB1E0E">
              <w:rPr>
                <w:rStyle w:val="CharacterStyle1"/>
                <w:rFonts w:cs="Calibri"/>
                <w:sz w:val="18"/>
                <w:szCs w:val="18"/>
              </w:rPr>
              <w:t xml:space="preserve"> registre</w:t>
            </w:r>
          </w:p>
        </w:tc>
        <w:tc>
          <w:tcPr>
            <w:tcW w:w="0" w:type="auto"/>
            <w:tcBorders>
              <w:top w:val="nil"/>
              <w:left w:val="nil"/>
              <w:bottom w:val="single" w:sz="4" w:space="0" w:color="auto"/>
              <w:right w:val="single" w:sz="4" w:space="0" w:color="auto"/>
            </w:tcBorders>
            <w:shd w:val="clear" w:color="auto" w:fill="auto"/>
            <w:vAlign w:val="center"/>
            <w:hideMark/>
          </w:tcPr>
          <w:p w14:paraId="4087F255"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Annuel</w:t>
            </w:r>
          </w:p>
        </w:tc>
        <w:tc>
          <w:tcPr>
            <w:tcW w:w="0" w:type="auto"/>
            <w:tcBorders>
              <w:top w:val="nil"/>
              <w:left w:val="nil"/>
              <w:bottom w:val="single" w:sz="4" w:space="0" w:color="auto"/>
              <w:right w:val="single" w:sz="4" w:space="0" w:color="auto"/>
            </w:tcBorders>
            <w:shd w:val="clear" w:color="auto" w:fill="auto"/>
            <w:vAlign w:val="center"/>
            <w:hideMark/>
          </w:tcPr>
          <w:p w14:paraId="3A688451"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Société exploitant le barrage</w:t>
            </w:r>
          </w:p>
        </w:tc>
        <w:tc>
          <w:tcPr>
            <w:tcW w:w="0" w:type="auto"/>
            <w:tcBorders>
              <w:top w:val="nil"/>
              <w:left w:val="nil"/>
              <w:bottom w:val="single" w:sz="4" w:space="0" w:color="auto"/>
              <w:right w:val="single" w:sz="4" w:space="0" w:color="auto"/>
            </w:tcBorders>
            <w:shd w:val="clear" w:color="auto" w:fill="auto"/>
            <w:vAlign w:val="center"/>
            <w:hideMark/>
          </w:tcPr>
          <w:p w14:paraId="56A8DE4F"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Ministère concerné</w:t>
            </w:r>
          </w:p>
        </w:tc>
      </w:tr>
      <w:tr w:rsidR="00DD4EBF" w:rsidRPr="00AB1E0E" w14:paraId="218E51FD" w14:textId="77777777" w:rsidTr="00B434A6">
        <w:trPr>
          <w:trHeight w:val="480"/>
        </w:trPr>
        <w:tc>
          <w:tcPr>
            <w:tcW w:w="0" w:type="auto"/>
            <w:vMerge/>
            <w:tcBorders>
              <w:top w:val="nil"/>
              <w:left w:val="single" w:sz="4" w:space="0" w:color="auto"/>
              <w:bottom w:val="single" w:sz="4" w:space="0" w:color="000000"/>
              <w:right w:val="single" w:sz="4" w:space="0" w:color="auto"/>
            </w:tcBorders>
            <w:vAlign w:val="center"/>
            <w:hideMark/>
          </w:tcPr>
          <w:p w14:paraId="74BE88EC" w14:textId="77777777" w:rsidR="00713368" w:rsidRPr="00AB1E0E" w:rsidRDefault="00713368" w:rsidP="00DD4EBF">
            <w:pPr>
              <w:spacing w:line="240" w:lineRule="auto"/>
              <w:rPr>
                <w:rStyle w:val="CharacterStyle1"/>
                <w:rFonts w:cs="Calibri"/>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4C97CEA1"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Elaboration et application d'un Plan d'Intervention d'Urgence</w:t>
            </w:r>
          </w:p>
        </w:tc>
        <w:tc>
          <w:tcPr>
            <w:tcW w:w="0" w:type="auto"/>
            <w:tcBorders>
              <w:top w:val="nil"/>
              <w:left w:val="nil"/>
              <w:bottom w:val="single" w:sz="4" w:space="0" w:color="auto"/>
              <w:right w:val="single" w:sz="4" w:space="0" w:color="auto"/>
            </w:tcBorders>
            <w:shd w:val="clear" w:color="auto" w:fill="auto"/>
            <w:vAlign w:val="center"/>
            <w:hideMark/>
          </w:tcPr>
          <w:p w14:paraId="76DECAEE"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PIU mise en place</w:t>
            </w:r>
          </w:p>
        </w:tc>
        <w:tc>
          <w:tcPr>
            <w:tcW w:w="0" w:type="auto"/>
            <w:tcBorders>
              <w:top w:val="nil"/>
              <w:left w:val="nil"/>
              <w:bottom w:val="single" w:sz="4" w:space="0" w:color="auto"/>
              <w:right w:val="single" w:sz="4" w:space="0" w:color="auto"/>
            </w:tcBorders>
            <w:shd w:val="clear" w:color="auto" w:fill="auto"/>
            <w:noWrap/>
            <w:vAlign w:val="center"/>
            <w:hideMark/>
          </w:tcPr>
          <w:p w14:paraId="5C1C017F"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Observation</w:t>
            </w:r>
          </w:p>
        </w:tc>
        <w:tc>
          <w:tcPr>
            <w:tcW w:w="0" w:type="auto"/>
            <w:tcBorders>
              <w:top w:val="nil"/>
              <w:left w:val="nil"/>
              <w:bottom w:val="single" w:sz="4" w:space="0" w:color="auto"/>
              <w:right w:val="single" w:sz="4" w:space="0" w:color="auto"/>
            </w:tcBorders>
            <w:shd w:val="clear" w:color="auto" w:fill="auto"/>
            <w:vAlign w:val="center"/>
            <w:hideMark/>
          </w:tcPr>
          <w:p w14:paraId="39725ADA"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Fin des travaux de construction</w:t>
            </w:r>
          </w:p>
        </w:tc>
        <w:tc>
          <w:tcPr>
            <w:tcW w:w="0" w:type="auto"/>
            <w:tcBorders>
              <w:top w:val="nil"/>
              <w:left w:val="nil"/>
              <w:bottom w:val="single" w:sz="4" w:space="0" w:color="auto"/>
              <w:right w:val="single" w:sz="4" w:space="0" w:color="auto"/>
            </w:tcBorders>
            <w:shd w:val="clear" w:color="auto" w:fill="auto"/>
            <w:noWrap/>
            <w:vAlign w:val="center"/>
            <w:hideMark/>
          </w:tcPr>
          <w:p w14:paraId="73141E61"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Bureau de Contrôle</w:t>
            </w:r>
          </w:p>
        </w:tc>
        <w:tc>
          <w:tcPr>
            <w:tcW w:w="0" w:type="auto"/>
            <w:tcBorders>
              <w:top w:val="nil"/>
              <w:left w:val="nil"/>
              <w:bottom w:val="single" w:sz="4" w:space="0" w:color="auto"/>
              <w:right w:val="single" w:sz="4" w:space="0" w:color="auto"/>
            </w:tcBorders>
            <w:shd w:val="clear" w:color="auto" w:fill="auto"/>
            <w:noWrap/>
            <w:vAlign w:val="center"/>
            <w:hideMark/>
          </w:tcPr>
          <w:p w14:paraId="65DE707D"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Projet</w:t>
            </w:r>
          </w:p>
        </w:tc>
      </w:tr>
      <w:tr w:rsidR="00713368" w:rsidRPr="00AB1E0E" w14:paraId="5D2B7D89" w14:textId="77777777" w:rsidTr="00B434A6">
        <w:trPr>
          <w:trHeight w:val="300"/>
        </w:trPr>
        <w:tc>
          <w:tcPr>
            <w:tcW w:w="0" w:type="auto"/>
            <w:gridSpan w:val="7"/>
            <w:tcBorders>
              <w:top w:val="single" w:sz="4" w:space="0" w:color="auto"/>
              <w:left w:val="single" w:sz="4" w:space="0" w:color="auto"/>
              <w:bottom w:val="single" w:sz="4" w:space="0" w:color="auto"/>
              <w:right w:val="single" w:sz="4" w:space="0" w:color="auto"/>
            </w:tcBorders>
            <w:shd w:val="clear" w:color="000000" w:fill="00B0F0"/>
            <w:vAlign w:val="center"/>
            <w:hideMark/>
          </w:tcPr>
          <w:p w14:paraId="6BEC23EF" w14:textId="77777777" w:rsidR="00713368" w:rsidRPr="00AB1E0E" w:rsidRDefault="00713368" w:rsidP="00DD4EBF">
            <w:pPr>
              <w:jc w:val="center"/>
              <w:rPr>
                <w:rStyle w:val="CharacterStyle1"/>
                <w:rFonts w:cs="Calibri"/>
                <w:b/>
                <w:bCs/>
                <w:sz w:val="18"/>
                <w:szCs w:val="18"/>
              </w:rPr>
            </w:pPr>
            <w:r w:rsidRPr="00AB1E0E">
              <w:rPr>
                <w:rStyle w:val="CharacterStyle1"/>
                <w:rFonts w:cs="Calibri"/>
                <w:b/>
                <w:bCs/>
                <w:sz w:val="18"/>
                <w:szCs w:val="18"/>
              </w:rPr>
              <w:t>Phase de démantèlement</w:t>
            </w:r>
          </w:p>
        </w:tc>
      </w:tr>
      <w:tr w:rsidR="00DD4EBF" w:rsidRPr="00AB1E0E" w14:paraId="6383116C" w14:textId="77777777" w:rsidTr="00B434A6">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7BD865"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Pollution du sol et de l’eau par le déversement accidentel des substances polluantes et de substances dangereuses</w:t>
            </w:r>
          </w:p>
        </w:tc>
        <w:tc>
          <w:tcPr>
            <w:tcW w:w="0" w:type="auto"/>
            <w:tcBorders>
              <w:top w:val="nil"/>
              <w:left w:val="nil"/>
              <w:bottom w:val="single" w:sz="4" w:space="0" w:color="auto"/>
              <w:right w:val="single" w:sz="4" w:space="0" w:color="auto"/>
            </w:tcBorders>
            <w:shd w:val="clear" w:color="auto" w:fill="auto"/>
            <w:vAlign w:val="center"/>
            <w:hideMark/>
          </w:tcPr>
          <w:p w14:paraId="72297C8C"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Utilisation de véhicules en bon état. Nettoyage méticuleux avant de quitter les lieux.</w:t>
            </w:r>
          </w:p>
        </w:tc>
        <w:tc>
          <w:tcPr>
            <w:tcW w:w="0" w:type="auto"/>
            <w:tcBorders>
              <w:top w:val="nil"/>
              <w:left w:val="nil"/>
              <w:bottom w:val="single" w:sz="4" w:space="0" w:color="auto"/>
              <w:right w:val="single" w:sz="4" w:space="0" w:color="auto"/>
            </w:tcBorders>
            <w:shd w:val="clear" w:color="auto" w:fill="auto"/>
            <w:vAlign w:val="center"/>
            <w:hideMark/>
          </w:tcPr>
          <w:p w14:paraId="3C9BE93E"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Utilisation de véhicules en bon état</w:t>
            </w:r>
          </w:p>
        </w:tc>
        <w:tc>
          <w:tcPr>
            <w:tcW w:w="0" w:type="auto"/>
            <w:tcBorders>
              <w:top w:val="nil"/>
              <w:left w:val="nil"/>
              <w:bottom w:val="single" w:sz="4" w:space="0" w:color="auto"/>
              <w:right w:val="single" w:sz="4" w:space="0" w:color="auto"/>
            </w:tcBorders>
            <w:shd w:val="clear" w:color="auto" w:fill="auto"/>
            <w:noWrap/>
            <w:vAlign w:val="center"/>
            <w:hideMark/>
          </w:tcPr>
          <w:p w14:paraId="444FB608"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Observation</w:t>
            </w:r>
          </w:p>
        </w:tc>
        <w:tc>
          <w:tcPr>
            <w:tcW w:w="0" w:type="auto"/>
            <w:tcBorders>
              <w:top w:val="nil"/>
              <w:left w:val="nil"/>
              <w:bottom w:val="single" w:sz="4" w:space="0" w:color="auto"/>
              <w:right w:val="single" w:sz="4" w:space="0" w:color="auto"/>
            </w:tcBorders>
            <w:shd w:val="clear" w:color="auto" w:fill="auto"/>
            <w:vAlign w:val="center"/>
            <w:hideMark/>
          </w:tcPr>
          <w:p w14:paraId="410727D3"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Fin des travaux</w:t>
            </w:r>
          </w:p>
        </w:tc>
        <w:tc>
          <w:tcPr>
            <w:tcW w:w="0" w:type="auto"/>
            <w:tcBorders>
              <w:top w:val="nil"/>
              <w:left w:val="nil"/>
              <w:bottom w:val="single" w:sz="4" w:space="0" w:color="auto"/>
              <w:right w:val="single" w:sz="4" w:space="0" w:color="auto"/>
            </w:tcBorders>
            <w:shd w:val="clear" w:color="auto" w:fill="auto"/>
            <w:noWrap/>
            <w:vAlign w:val="center"/>
            <w:hideMark/>
          </w:tcPr>
          <w:p w14:paraId="4A8F981A"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Projet/ Exploitant</w:t>
            </w:r>
          </w:p>
        </w:tc>
        <w:tc>
          <w:tcPr>
            <w:tcW w:w="0" w:type="auto"/>
            <w:tcBorders>
              <w:top w:val="nil"/>
              <w:left w:val="nil"/>
              <w:bottom w:val="single" w:sz="4" w:space="0" w:color="auto"/>
              <w:right w:val="single" w:sz="4" w:space="0" w:color="auto"/>
            </w:tcBorders>
            <w:shd w:val="clear" w:color="auto" w:fill="auto"/>
            <w:vAlign w:val="center"/>
            <w:hideMark/>
          </w:tcPr>
          <w:p w14:paraId="01CAFE1B"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MEH, BM</w:t>
            </w:r>
          </w:p>
        </w:tc>
      </w:tr>
      <w:tr w:rsidR="00DD4EBF" w:rsidRPr="00AB1E0E" w14:paraId="41F38A00" w14:textId="77777777" w:rsidTr="00B434A6">
        <w:trPr>
          <w:trHeight w:val="9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403E3E"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Pollution du sol par l'abandon et l’accumulation des déchets solides incluant les déchets d’équipement électrique et électronique (DEEE)</w:t>
            </w:r>
          </w:p>
        </w:tc>
        <w:tc>
          <w:tcPr>
            <w:tcW w:w="0" w:type="auto"/>
            <w:tcBorders>
              <w:top w:val="nil"/>
              <w:left w:val="nil"/>
              <w:bottom w:val="single" w:sz="4" w:space="0" w:color="auto"/>
              <w:right w:val="single" w:sz="4" w:space="0" w:color="auto"/>
            </w:tcBorders>
            <w:shd w:val="clear" w:color="auto" w:fill="auto"/>
            <w:vAlign w:val="center"/>
            <w:hideMark/>
          </w:tcPr>
          <w:p w14:paraId="59A0B17B"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Collecte et envoi des déchets dans un centre spécialisé dans le traitement des déchets</w:t>
            </w:r>
          </w:p>
        </w:tc>
        <w:tc>
          <w:tcPr>
            <w:tcW w:w="0" w:type="auto"/>
            <w:tcBorders>
              <w:top w:val="nil"/>
              <w:left w:val="nil"/>
              <w:bottom w:val="single" w:sz="4" w:space="0" w:color="auto"/>
              <w:right w:val="single" w:sz="4" w:space="0" w:color="auto"/>
            </w:tcBorders>
            <w:shd w:val="clear" w:color="auto" w:fill="auto"/>
            <w:vAlign w:val="center"/>
            <w:hideMark/>
          </w:tcPr>
          <w:p w14:paraId="04C5972D"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Déchets collectés et envoyés dans un centre spécialisé</w:t>
            </w:r>
          </w:p>
        </w:tc>
        <w:tc>
          <w:tcPr>
            <w:tcW w:w="0" w:type="auto"/>
            <w:tcBorders>
              <w:top w:val="nil"/>
              <w:left w:val="nil"/>
              <w:bottom w:val="single" w:sz="4" w:space="0" w:color="auto"/>
              <w:right w:val="single" w:sz="4" w:space="0" w:color="auto"/>
            </w:tcBorders>
            <w:shd w:val="clear" w:color="auto" w:fill="auto"/>
            <w:noWrap/>
            <w:vAlign w:val="center"/>
            <w:hideMark/>
          </w:tcPr>
          <w:p w14:paraId="2B454482"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Observation</w:t>
            </w:r>
          </w:p>
        </w:tc>
        <w:tc>
          <w:tcPr>
            <w:tcW w:w="0" w:type="auto"/>
            <w:tcBorders>
              <w:top w:val="nil"/>
              <w:left w:val="nil"/>
              <w:bottom w:val="single" w:sz="4" w:space="0" w:color="auto"/>
              <w:right w:val="single" w:sz="4" w:space="0" w:color="auto"/>
            </w:tcBorders>
            <w:shd w:val="clear" w:color="auto" w:fill="auto"/>
            <w:vAlign w:val="center"/>
            <w:hideMark/>
          </w:tcPr>
          <w:p w14:paraId="1B61FAAF"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Fin des travaux</w:t>
            </w:r>
          </w:p>
        </w:tc>
        <w:tc>
          <w:tcPr>
            <w:tcW w:w="0" w:type="auto"/>
            <w:tcBorders>
              <w:top w:val="nil"/>
              <w:left w:val="nil"/>
              <w:bottom w:val="single" w:sz="4" w:space="0" w:color="auto"/>
              <w:right w:val="single" w:sz="4" w:space="0" w:color="auto"/>
            </w:tcBorders>
            <w:shd w:val="clear" w:color="auto" w:fill="auto"/>
            <w:noWrap/>
            <w:vAlign w:val="center"/>
            <w:hideMark/>
          </w:tcPr>
          <w:p w14:paraId="18DABBAE"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Projet/ Exploitant</w:t>
            </w:r>
          </w:p>
        </w:tc>
        <w:tc>
          <w:tcPr>
            <w:tcW w:w="0" w:type="auto"/>
            <w:tcBorders>
              <w:top w:val="nil"/>
              <w:left w:val="nil"/>
              <w:bottom w:val="single" w:sz="4" w:space="0" w:color="auto"/>
              <w:right w:val="single" w:sz="4" w:space="0" w:color="auto"/>
            </w:tcBorders>
            <w:shd w:val="clear" w:color="auto" w:fill="auto"/>
            <w:vAlign w:val="center"/>
            <w:hideMark/>
          </w:tcPr>
          <w:p w14:paraId="1A5ECD37"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MEH, BM</w:t>
            </w:r>
          </w:p>
        </w:tc>
      </w:tr>
      <w:tr w:rsidR="00DD4EBF" w:rsidRPr="00AB1E0E" w14:paraId="086658E5" w14:textId="77777777" w:rsidTr="00B434A6">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0205BB"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Perte d'emploi</w:t>
            </w:r>
          </w:p>
        </w:tc>
        <w:tc>
          <w:tcPr>
            <w:tcW w:w="0" w:type="auto"/>
            <w:tcBorders>
              <w:top w:val="nil"/>
              <w:left w:val="nil"/>
              <w:bottom w:val="single" w:sz="4" w:space="0" w:color="auto"/>
              <w:right w:val="single" w:sz="4" w:space="0" w:color="auto"/>
            </w:tcBorders>
            <w:shd w:val="clear" w:color="auto" w:fill="auto"/>
            <w:vAlign w:val="center"/>
            <w:hideMark/>
          </w:tcPr>
          <w:p w14:paraId="63A2A7B4"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Respect et application des textes sur l'emploi en vigueur dans le pays</w:t>
            </w:r>
          </w:p>
        </w:tc>
        <w:tc>
          <w:tcPr>
            <w:tcW w:w="0" w:type="auto"/>
            <w:tcBorders>
              <w:top w:val="nil"/>
              <w:left w:val="nil"/>
              <w:bottom w:val="single" w:sz="4" w:space="0" w:color="auto"/>
              <w:right w:val="single" w:sz="4" w:space="0" w:color="auto"/>
            </w:tcBorders>
            <w:shd w:val="clear" w:color="auto" w:fill="auto"/>
            <w:vAlign w:val="center"/>
            <w:hideMark/>
          </w:tcPr>
          <w:p w14:paraId="72089D3F"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Fin de contrat</w:t>
            </w:r>
          </w:p>
        </w:tc>
        <w:tc>
          <w:tcPr>
            <w:tcW w:w="0" w:type="auto"/>
            <w:tcBorders>
              <w:top w:val="nil"/>
              <w:left w:val="nil"/>
              <w:bottom w:val="single" w:sz="4" w:space="0" w:color="auto"/>
              <w:right w:val="single" w:sz="4" w:space="0" w:color="auto"/>
            </w:tcBorders>
            <w:shd w:val="clear" w:color="auto" w:fill="auto"/>
            <w:noWrap/>
            <w:vAlign w:val="center"/>
            <w:hideMark/>
          </w:tcPr>
          <w:p w14:paraId="4F857990"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Observation</w:t>
            </w:r>
          </w:p>
        </w:tc>
        <w:tc>
          <w:tcPr>
            <w:tcW w:w="0" w:type="auto"/>
            <w:tcBorders>
              <w:top w:val="nil"/>
              <w:left w:val="nil"/>
              <w:bottom w:val="single" w:sz="4" w:space="0" w:color="auto"/>
              <w:right w:val="single" w:sz="4" w:space="0" w:color="auto"/>
            </w:tcBorders>
            <w:shd w:val="clear" w:color="auto" w:fill="auto"/>
            <w:vAlign w:val="center"/>
            <w:hideMark/>
          </w:tcPr>
          <w:p w14:paraId="4E9576EF"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Fin des travaux</w:t>
            </w:r>
          </w:p>
        </w:tc>
        <w:tc>
          <w:tcPr>
            <w:tcW w:w="0" w:type="auto"/>
            <w:tcBorders>
              <w:top w:val="nil"/>
              <w:left w:val="nil"/>
              <w:bottom w:val="single" w:sz="4" w:space="0" w:color="auto"/>
              <w:right w:val="single" w:sz="4" w:space="0" w:color="auto"/>
            </w:tcBorders>
            <w:shd w:val="clear" w:color="auto" w:fill="auto"/>
            <w:noWrap/>
            <w:vAlign w:val="center"/>
            <w:hideMark/>
          </w:tcPr>
          <w:p w14:paraId="57007EB2"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Projet/ Exploitant</w:t>
            </w:r>
          </w:p>
        </w:tc>
        <w:tc>
          <w:tcPr>
            <w:tcW w:w="0" w:type="auto"/>
            <w:tcBorders>
              <w:top w:val="nil"/>
              <w:left w:val="nil"/>
              <w:bottom w:val="single" w:sz="4" w:space="0" w:color="auto"/>
              <w:right w:val="single" w:sz="4" w:space="0" w:color="auto"/>
            </w:tcBorders>
            <w:shd w:val="clear" w:color="auto" w:fill="auto"/>
            <w:vAlign w:val="center"/>
            <w:hideMark/>
          </w:tcPr>
          <w:p w14:paraId="490964A1"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MEH,  BM</w:t>
            </w:r>
          </w:p>
        </w:tc>
      </w:tr>
      <w:tr w:rsidR="00DD4EBF" w:rsidRPr="00AB1E0E" w14:paraId="5AD778BF" w14:textId="77777777" w:rsidTr="00B434A6">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6D0BF4"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Perturbation de la circulation</w:t>
            </w:r>
          </w:p>
        </w:tc>
        <w:tc>
          <w:tcPr>
            <w:tcW w:w="0" w:type="auto"/>
            <w:tcBorders>
              <w:top w:val="nil"/>
              <w:left w:val="nil"/>
              <w:bottom w:val="single" w:sz="4" w:space="0" w:color="auto"/>
              <w:right w:val="single" w:sz="4" w:space="0" w:color="auto"/>
            </w:tcBorders>
            <w:shd w:val="clear" w:color="auto" w:fill="auto"/>
            <w:vAlign w:val="center"/>
            <w:hideMark/>
          </w:tcPr>
          <w:p w14:paraId="47706369"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Respect du code de la route. </w:t>
            </w:r>
          </w:p>
        </w:tc>
        <w:tc>
          <w:tcPr>
            <w:tcW w:w="0" w:type="auto"/>
            <w:tcBorders>
              <w:top w:val="nil"/>
              <w:left w:val="nil"/>
              <w:bottom w:val="single" w:sz="4" w:space="0" w:color="auto"/>
              <w:right w:val="single" w:sz="4" w:space="0" w:color="auto"/>
            </w:tcBorders>
            <w:shd w:val="clear" w:color="auto" w:fill="auto"/>
            <w:vAlign w:val="center"/>
            <w:hideMark/>
          </w:tcPr>
          <w:p w14:paraId="3DA28FD5"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Code routier respecté</w:t>
            </w:r>
          </w:p>
        </w:tc>
        <w:tc>
          <w:tcPr>
            <w:tcW w:w="0" w:type="auto"/>
            <w:tcBorders>
              <w:top w:val="nil"/>
              <w:left w:val="nil"/>
              <w:bottom w:val="single" w:sz="4" w:space="0" w:color="auto"/>
              <w:right w:val="single" w:sz="4" w:space="0" w:color="auto"/>
            </w:tcBorders>
            <w:shd w:val="clear" w:color="auto" w:fill="auto"/>
            <w:noWrap/>
            <w:vAlign w:val="center"/>
            <w:hideMark/>
          </w:tcPr>
          <w:p w14:paraId="2074AC4E"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Observation</w:t>
            </w:r>
          </w:p>
        </w:tc>
        <w:tc>
          <w:tcPr>
            <w:tcW w:w="0" w:type="auto"/>
            <w:tcBorders>
              <w:top w:val="nil"/>
              <w:left w:val="nil"/>
              <w:bottom w:val="single" w:sz="4" w:space="0" w:color="auto"/>
              <w:right w:val="single" w:sz="4" w:space="0" w:color="auto"/>
            </w:tcBorders>
            <w:shd w:val="clear" w:color="auto" w:fill="auto"/>
            <w:vAlign w:val="center"/>
            <w:hideMark/>
          </w:tcPr>
          <w:p w14:paraId="37030294"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Fin des travaux</w:t>
            </w:r>
          </w:p>
        </w:tc>
        <w:tc>
          <w:tcPr>
            <w:tcW w:w="0" w:type="auto"/>
            <w:tcBorders>
              <w:top w:val="nil"/>
              <w:left w:val="nil"/>
              <w:bottom w:val="single" w:sz="4" w:space="0" w:color="auto"/>
              <w:right w:val="single" w:sz="4" w:space="0" w:color="auto"/>
            </w:tcBorders>
            <w:shd w:val="clear" w:color="auto" w:fill="auto"/>
            <w:noWrap/>
            <w:vAlign w:val="center"/>
            <w:hideMark/>
          </w:tcPr>
          <w:p w14:paraId="0986C43B"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Projet/ Exploitant</w:t>
            </w:r>
          </w:p>
        </w:tc>
        <w:tc>
          <w:tcPr>
            <w:tcW w:w="0" w:type="auto"/>
            <w:tcBorders>
              <w:top w:val="nil"/>
              <w:left w:val="nil"/>
              <w:bottom w:val="single" w:sz="4" w:space="0" w:color="auto"/>
              <w:right w:val="single" w:sz="4" w:space="0" w:color="auto"/>
            </w:tcBorders>
            <w:shd w:val="clear" w:color="auto" w:fill="auto"/>
            <w:vAlign w:val="center"/>
            <w:hideMark/>
          </w:tcPr>
          <w:p w14:paraId="1222C475" w14:textId="77777777" w:rsidR="00713368" w:rsidRPr="00AB1E0E" w:rsidRDefault="00713368" w:rsidP="00DD4EBF">
            <w:pPr>
              <w:spacing w:line="240" w:lineRule="auto"/>
              <w:rPr>
                <w:rStyle w:val="CharacterStyle1"/>
                <w:rFonts w:cs="Calibri"/>
                <w:sz w:val="18"/>
                <w:szCs w:val="18"/>
              </w:rPr>
            </w:pPr>
            <w:r w:rsidRPr="00AB1E0E">
              <w:rPr>
                <w:rStyle w:val="CharacterStyle1"/>
                <w:rFonts w:cs="Calibri"/>
                <w:sz w:val="18"/>
                <w:szCs w:val="18"/>
              </w:rPr>
              <w:t>MEH, BM</w:t>
            </w:r>
          </w:p>
        </w:tc>
      </w:tr>
    </w:tbl>
    <w:p w14:paraId="174012BA" w14:textId="77777777" w:rsidR="00713368" w:rsidRPr="001D6C60" w:rsidRDefault="00713368" w:rsidP="00FE78E6">
      <w:pPr>
        <w:spacing w:after="120" w:line="240" w:lineRule="auto"/>
        <w:jc w:val="both"/>
        <w:rPr>
          <w:rFonts w:ascii="Arial" w:hAnsi="Arial" w:cs="Arial"/>
        </w:rPr>
      </w:pPr>
    </w:p>
    <w:p w14:paraId="101B2D29" w14:textId="77777777" w:rsidR="000C0139" w:rsidRPr="000C0139" w:rsidRDefault="00FD7760" w:rsidP="00FE78E6">
      <w:pPr>
        <w:spacing w:after="120" w:line="240" w:lineRule="auto"/>
        <w:jc w:val="both"/>
        <w:rPr>
          <w:rFonts w:ascii="Arial" w:hAnsi="Arial" w:cs="Arial"/>
        </w:rPr>
      </w:pPr>
      <w:r>
        <w:rPr>
          <w:rFonts w:ascii="Arial" w:hAnsi="Arial" w:cs="Arial"/>
        </w:rPr>
        <w:br w:type="page"/>
      </w:r>
    </w:p>
    <w:p w14:paraId="7DA02B39" w14:textId="77777777" w:rsidR="00044F2C" w:rsidRPr="000C0139" w:rsidRDefault="006B3915" w:rsidP="0044500E">
      <w:pPr>
        <w:pStyle w:val="TIT3"/>
        <w:numPr>
          <w:ilvl w:val="2"/>
          <w:numId w:val="177"/>
        </w:numPr>
      </w:pPr>
      <w:bookmarkStart w:id="1521" w:name="_Toc124956342"/>
      <w:bookmarkStart w:id="1522" w:name="_Toc124314805"/>
      <w:bookmarkStart w:id="1523" w:name="_Toc125384689"/>
      <w:bookmarkStart w:id="1524" w:name="_Toc125385078"/>
      <w:bookmarkStart w:id="1525" w:name="_Toc127957746"/>
      <w:r w:rsidRPr="000C0139">
        <w:t>Programme</w:t>
      </w:r>
      <w:r w:rsidR="00044F2C" w:rsidRPr="000C0139">
        <w:t xml:space="preserve"> de sui</w:t>
      </w:r>
      <w:r w:rsidR="00FE78E6" w:rsidRPr="000C0139">
        <w:t>vi</w:t>
      </w:r>
      <w:r w:rsidR="00044F2C" w:rsidRPr="000C0139">
        <w:t xml:space="preserve"> environnemental et social</w:t>
      </w:r>
      <w:bookmarkEnd w:id="1521"/>
      <w:bookmarkEnd w:id="1522"/>
      <w:bookmarkEnd w:id="1523"/>
      <w:bookmarkEnd w:id="1524"/>
      <w:bookmarkEnd w:id="1525"/>
    </w:p>
    <w:p w14:paraId="04A725CB" w14:textId="77777777" w:rsidR="000D6B91" w:rsidRPr="000C0139" w:rsidRDefault="000D6B91" w:rsidP="000D6B91">
      <w:pPr>
        <w:pStyle w:val="Lgende"/>
        <w:spacing w:before="120"/>
        <w:jc w:val="center"/>
        <w:rPr>
          <w:sz w:val="20"/>
        </w:rPr>
      </w:pPr>
      <w:bookmarkStart w:id="1526" w:name="_Toc127957892"/>
      <w:r w:rsidRPr="00B434A6">
        <w:rPr>
          <w:sz w:val="20"/>
        </w:rPr>
        <w:t xml:space="preserve">Tableau </w:t>
      </w:r>
      <w:r w:rsidRPr="00B434A6">
        <w:rPr>
          <w:sz w:val="20"/>
        </w:rPr>
        <w:fldChar w:fldCharType="begin"/>
      </w:r>
      <w:r w:rsidRPr="00B434A6">
        <w:rPr>
          <w:sz w:val="20"/>
        </w:rPr>
        <w:instrText xml:space="preserve"> SEQ Tableau \* ARABIC </w:instrText>
      </w:r>
      <w:r w:rsidRPr="00B434A6">
        <w:rPr>
          <w:sz w:val="20"/>
        </w:rPr>
        <w:fldChar w:fldCharType="separate"/>
      </w:r>
      <w:r w:rsidR="005430A1">
        <w:rPr>
          <w:noProof/>
          <w:sz w:val="20"/>
        </w:rPr>
        <w:t>96</w:t>
      </w:r>
      <w:r w:rsidRPr="00B434A6">
        <w:rPr>
          <w:sz w:val="20"/>
        </w:rPr>
        <w:fldChar w:fldCharType="end"/>
      </w:r>
      <w:r w:rsidRPr="00B434A6">
        <w:rPr>
          <w:sz w:val="20"/>
        </w:rPr>
        <w:t xml:space="preserve">. </w:t>
      </w:r>
      <w:r w:rsidRPr="000C0139">
        <w:rPr>
          <w:sz w:val="20"/>
        </w:rPr>
        <w:t>Suivi environnemental et social</w:t>
      </w:r>
      <w:bookmarkEnd w:id="1526"/>
    </w:p>
    <w:tbl>
      <w:tblPr>
        <w:tblW w:w="12899" w:type="dxa"/>
        <w:tblInd w:w="125" w:type="dxa"/>
        <w:tblCellMar>
          <w:left w:w="70" w:type="dxa"/>
          <w:right w:w="70" w:type="dxa"/>
        </w:tblCellMar>
        <w:tblLook w:val="04A0" w:firstRow="1" w:lastRow="0" w:firstColumn="1" w:lastColumn="0" w:noHBand="0" w:noVBand="1"/>
      </w:tblPr>
      <w:tblGrid>
        <w:gridCol w:w="2707"/>
        <w:gridCol w:w="2385"/>
        <w:gridCol w:w="1640"/>
        <w:gridCol w:w="1093"/>
        <w:gridCol w:w="1897"/>
        <w:gridCol w:w="2054"/>
        <w:gridCol w:w="1123"/>
      </w:tblGrid>
      <w:tr w:rsidR="00FD3415" w:rsidRPr="001C5508" w14:paraId="73945927" w14:textId="77777777" w:rsidTr="00AE406E">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000000" w:fill="BDD7EE"/>
            <w:vAlign w:val="center"/>
            <w:hideMark/>
          </w:tcPr>
          <w:p w14:paraId="1B61886F" w14:textId="77777777" w:rsidR="00FD3415" w:rsidRPr="00AB1E0E" w:rsidRDefault="00FD3415" w:rsidP="004B6E62">
            <w:pPr>
              <w:rPr>
                <w:rFonts w:cs="Calibri"/>
                <w:b/>
                <w:bCs/>
                <w:sz w:val="18"/>
                <w:szCs w:val="18"/>
                <w:lang w:eastAsia="fr-FR"/>
              </w:rPr>
            </w:pPr>
            <w:r w:rsidRPr="00AB1E0E">
              <w:rPr>
                <w:rFonts w:cs="Calibri"/>
                <w:b/>
                <w:bCs/>
                <w:sz w:val="18"/>
                <w:szCs w:val="18"/>
                <w:lang w:eastAsia="fr-FR"/>
              </w:rPr>
              <w:t xml:space="preserve">Impact potentiel </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07BBB9D5" w14:textId="77777777" w:rsidR="00FD3415" w:rsidRPr="00AB1E0E" w:rsidRDefault="00FD3415" w:rsidP="004B6E62">
            <w:pPr>
              <w:rPr>
                <w:rFonts w:cs="Calibri"/>
                <w:b/>
                <w:bCs/>
                <w:sz w:val="18"/>
                <w:szCs w:val="18"/>
                <w:lang w:eastAsia="fr-FR"/>
              </w:rPr>
            </w:pPr>
            <w:r w:rsidRPr="00AB1E0E">
              <w:rPr>
                <w:rFonts w:cs="Calibri"/>
                <w:b/>
                <w:bCs/>
                <w:sz w:val="18"/>
                <w:szCs w:val="18"/>
                <w:lang w:eastAsia="fr-FR"/>
              </w:rPr>
              <w:t>Mesure d'évitement ou d'atténuation</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47D4DA00" w14:textId="77777777" w:rsidR="00FD3415" w:rsidRPr="00AB1E0E" w:rsidRDefault="00FD3415" w:rsidP="004B6E62">
            <w:pPr>
              <w:rPr>
                <w:rFonts w:cs="Calibri"/>
                <w:b/>
                <w:bCs/>
                <w:sz w:val="18"/>
                <w:szCs w:val="18"/>
                <w:lang w:eastAsia="fr-FR"/>
              </w:rPr>
            </w:pPr>
            <w:r w:rsidRPr="00AB1E0E">
              <w:rPr>
                <w:rFonts w:cs="Calibri"/>
                <w:b/>
                <w:bCs/>
                <w:sz w:val="18"/>
                <w:szCs w:val="18"/>
                <w:lang w:eastAsia="fr-FR"/>
              </w:rPr>
              <w:t>Indicateur de suivi </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4BBBFFA0" w14:textId="77777777" w:rsidR="00FD3415" w:rsidRPr="00AB1E0E" w:rsidRDefault="00FD3415" w:rsidP="004B6E62">
            <w:pPr>
              <w:rPr>
                <w:rFonts w:cs="Calibri"/>
                <w:b/>
                <w:bCs/>
                <w:sz w:val="18"/>
                <w:szCs w:val="18"/>
                <w:lang w:eastAsia="fr-FR"/>
              </w:rPr>
            </w:pPr>
            <w:r w:rsidRPr="00AB1E0E">
              <w:rPr>
                <w:rFonts w:cs="Calibri"/>
                <w:b/>
                <w:bCs/>
                <w:sz w:val="18"/>
                <w:szCs w:val="18"/>
                <w:lang w:eastAsia="fr-FR"/>
              </w:rPr>
              <w:t>Moyen de suivi</w:t>
            </w:r>
          </w:p>
        </w:tc>
        <w:tc>
          <w:tcPr>
            <w:tcW w:w="1897" w:type="dxa"/>
            <w:tcBorders>
              <w:top w:val="single" w:sz="4" w:space="0" w:color="auto"/>
              <w:left w:val="nil"/>
              <w:bottom w:val="single" w:sz="4" w:space="0" w:color="auto"/>
              <w:right w:val="single" w:sz="4" w:space="0" w:color="auto"/>
            </w:tcBorders>
            <w:shd w:val="clear" w:color="000000" w:fill="BDD7EE"/>
            <w:vAlign w:val="center"/>
            <w:hideMark/>
          </w:tcPr>
          <w:p w14:paraId="064A7DDC" w14:textId="77777777" w:rsidR="00FD3415" w:rsidRPr="00AB1E0E" w:rsidRDefault="00FD3415" w:rsidP="004B6E62">
            <w:pPr>
              <w:rPr>
                <w:rFonts w:cs="Calibri"/>
                <w:b/>
                <w:bCs/>
                <w:sz w:val="18"/>
                <w:szCs w:val="18"/>
                <w:lang w:eastAsia="fr-FR"/>
              </w:rPr>
            </w:pPr>
            <w:r w:rsidRPr="00AB1E0E">
              <w:rPr>
                <w:rFonts w:cs="Calibri"/>
                <w:b/>
                <w:bCs/>
                <w:sz w:val="18"/>
                <w:szCs w:val="18"/>
                <w:lang w:eastAsia="fr-FR"/>
              </w:rPr>
              <w:t>Calendrier</w:t>
            </w:r>
          </w:p>
        </w:tc>
        <w:tc>
          <w:tcPr>
            <w:tcW w:w="2054" w:type="dxa"/>
            <w:tcBorders>
              <w:top w:val="single" w:sz="4" w:space="0" w:color="auto"/>
              <w:left w:val="nil"/>
              <w:bottom w:val="single" w:sz="4" w:space="0" w:color="auto"/>
              <w:right w:val="single" w:sz="4" w:space="0" w:color="auto"/>
            </w:tcBorders>
            <w:shd w:val="clear" w:color="000000" w:fill="BDD7EE"/>
            <w:vAlign w:val="center"/>
            <w:hideMark/>
          </w:tcPr>
          <w:p w14:paraId="72CB2780" w14:textId="77777777" w:rsidR="00FD3415" w:rsidRPr="00AB1E0E" w:rsidRDefault="00FD3415" w:rsidP="004B6E62">
            <w:pPr>
              <w:rPr>
                <w:rFonts w:cs="Calibri"/>
                <w:b/>
                <w:bCs/>
                <w:sz w:val="18"/>
                <w:szCs w:val="18"/>
                <w:lang w:eastAsia="fr-FR"/>
              </w:rPr>
            </w:pPr>
            <w:r w:rsidRPr="00AB1E0E">
              <w:rPr>
                <w:rFonts w:cs="Calibri"/>
                <w:b/>
                <w:bCs/>
                <w:sz w:val="18"/>
                <w:szCs w:val="18"/>
                <w:lang w:eastAsia="fr-FR"/>
              </w:rPr>
              <w:t>Responsables</w:t>
            </w:r>
          </w:p>
        </w:tc>
        <w:tc>
          <w:tcPr>
            <w:tcW w:w="1123" w:type="dxa"/>
            <w:tcBorders>
              <w:top w:val="single" w:sz="4" w:space="0" w:color="auto"/>
              <w:left w:val="nil"/>
              <w:bottom w:val="single" w:sz="4" w:space="0" w:color="auto"/>
              <w:right w:val="single" w:sz="4" w:space="0" w:color="auto"/>
            </w:tcBorders>
            <w:shd w:val="clear" w:color="000000" w:fill="BDD7EE"/>
            <w:vAlign w:val="center"/>
            <w:hideMark/>
          </w:tcPr>
          <w:p w14:paraId="76B75DBF" w14:textId="77777777" w:rsidR="00FD3415" w:rsidRPr="00AB1E0E" w:rsidRDefault="00FD3415" w:rsidP="004B6E62">
            <w:pPr>
              <w:rPr>
                <w:rFonts w:cs="Calibri"/>
                <w:b/>
                <w:bCs/>
                <w:sz w:val="18"/>
                <w:szCs w:val="18"/>
                <w:lang w:eastAsia="fr-FR"/>
              </w:rPr>
            </w:pPr>
            <w:r w:rsidRPr="00AB1E0E">
              <w:rPr>
                <w:rFonts w:cs="Calibri"/>
                <w:b/>
                <w:bCs/>
                <w:sz w:val="18"/>
                <w:szCs w:val="18"/>
                <w:lang w:eastAsia="fr-FR"/>
              </w:rPr>
              <w:t>Contrôle</w:t>
            </w:r>
          </w:p>
        </w:tc>
      </w:tr>
      <w:tr w:rsidR="00FD3415" w:rsidRPr="00AB1E0E" w14:paraId="6594D0E6" w14:textId="77777777" w:rsidTr="00AE406E">
        <w:trPr>
          <w:trHeight w:val="269"/>
        </w:trPr>
        <w:tc>
          <w:tcPr>
            <w:tcW w:w="12899" w:type="dxa"/>
            <w:gridSpan w:val="7"/>
            <w:tcBorders>
              <w:top w:val="single" w:sz="4" w:space="0" w:color="auto"/>
              <w:left w:val="single" w:sz="4" w:space="0" w:color="auto"/>
              <w:bottom w:val="single" w:sz="4" w:space="0" w:color="auto"/>
              <w:right w:val="single" w:sz="4" w:space="0" w:color="auto"/>
            </w:tcBorders>
            <w:shd w:val="clear" w:color="000000" w:fill="00B0F0"/>
            <w:vAlign w:val="center"/>
            <w:hideMark/>
          </w:tcPr>
          <w:p w14:paraId="1D2D153F" w14:textId="77777777" w:rsidR="00FD3415" w:rsidRPr="00AB1E0E" w:rsidRDefault="00FD3415" w:rsidP="004B6E62">
            <w:pPr>
              <w:jc w:val="center"/>
              <w:rPr>
                <w:rFonts w:cs="Calibri"/>
                <w:b/>
                <w:bCs/>
                <w:sz w:val="18"/>
                <w:szCs w:val="18"/>
                <w:lang w:eastAsia="fr-FR"/>
              </w:rPr>
            </w:pPr>
            <w:r w:rsidRPr="00AB1E0E">
              <w:rPr>
                <w:rFonts w:cs="Calibri"/>
                <w:b/>
                <w:bCs/>
                <w:sz w:val="18"/>
                <w:szCs w:val="18"/>
                <w:lang w:eastAsia="fr-FR"/>
              </w:rPr>
              <w:t>Phase Préparatoire et Construction</w:t>
            </w:r>
          </w:p>
        </w:tc>
      </w:tr>
      <w:tr w:rsidR="00FD3415" w:rsidRPr="00AB1E0E" w14:paraId="5F5B78A6" w14:textId="77777777" w:rsidTr="00AE406E">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1EFE8B" w14:textId="77777777" w:rsidR="00FD3415" w:rsidRPr="00AB1E0E" w:rsidRDefault="00FD3415" w:rsidP="004B6E62">
            <w:pPr>
              <w:rPr>
                <w:rFonts w:cs="Calibri"/>
                <w:sz w:val="18"/>
                <w:szCs w:val="18"/>
                <w:lang w:eastAsia="fr-FR"/>
              </w:rPr>
            </w:pPr>
            <w:r w:rsidRPr="00AB1E0E">
              <w:rPr>
                <w:rFonts w:cs="Calibri"/>
                <w:sz w:val="18"/>
                <w:szCs w:val="18"/>
                <w:lang w:eastAsia="fr-FR"/>
              </w:rPr>
              <w:t>Altération de la qualité de l’air par le soulèvement de poussières dû aux passages des véhicules de chantier et émanations GES des véhicules de chantier</w:t>
            </w:r>
          </w:p>
        </w:tc>
        <w:tc>
          <w:tcPr>
            <w:tcW w:w="0" w:type="auto"/>
            <w:tcBorders>
              <w:top w:val="nil"/>
              <w:left w:val="nil"/>
              <w:bottom w:val="single" w:sz="4" w:space="0" w:color="auto"/>
              <w:right w:val="single" w:sz="4" w:space="0" w:color="auto"/>
            </w:tcBorders>
            <w:shd w:val="clear" w:color="auto" w:fill="auto"/>
            <w:vAlign w:val="center"/>
            <w:hideMark/>
          </w:tcPr>
          <w:p w14:paraId="5517DF0E" w14:textId="77777777" w:rsidR="00FD3415" w:rsidRPr="00AB1E0E" w:rsidRDefault="00FD3415" w:rsidP="004B6E62">
            <w:pPr>
              <w:rPr>
                <w:rFonts w:cs="Calibri"/>
                <w:sz w:val="18"/>
                <w:szCs w:val="18"/>
                <w:lang w:eastAsia="fr-FR"/>
              </w:rPr>
            </w:pPr>
            <w:r w:rsidRPr="00AB1E0E">
              <w:rPr>
                <w:rFonts w:cs="Calibri"/>
                <w:sz w:val="18"/>
                <w:szCs w:val="18"/>
                <w:lang w:eastAsia="fr-FR"/>
              </w:rPr>
              <w:t>Humidification des sites. Utilisation de véhicule en bon état. Entretien régulier des véhicules</w:t>
            </w:r>
          </w:p>
        </w:tc>
        <w:tc>
          <w:tcPr>
            <w:tcW w:w="0" w:type="auto"/>
            <w:tcBorders>
              <w:top w:val="nil"/>
              <w:left w:val="nil"/>
              <w:bottom w:val="single" w:sz="4" w:space="0" w:color="auto"/>
              <w:right w:val="single" w:sz="4" w:space="0" w:color="auto"/>
            </w:tcBorders>
            <w:shd w:val="clear" w:color="auto" w:fill="auto"/>
            <w:vAlign w:val="center"/>
            <w:hideMark/>
          </w:tcPr>
          <w:p w14:paraId="0FD4FDA5" w14:textId="77777777" w:rsidR="00FD3415" w:rsidRPr="00AB1E0E" w:rsidRDefault="00FD3415" w:rsidP="004B6E62">
            <w:pPr>
              <w:rPr>
                <w:rFonts w:cs="Calibri"/>
                <w:sz w:val="18"/>
                <w:szCs w:val="18"/>
                <w:lang w:eastAsia="fr-FR"/>
              </w:rPr>
            </w:pPr>
            <w:r w:rsidRPr="00AB1E0E">
              <w:rPr>
                <w:rFonts w:cs="Calibri"/>
                <w:sz w:val="18"/>
                <w:szCs w:val="18"/>
                <w:lang w:eastAsia="fr-FR"/>
              </w:rPr>
              <w:t>Surface humidifiée</w:t>
            </w:r>
          </w:p>
        </w:tc>
        <w:tc>
          <w:tcPr>
            <w:tcW w:w="0" w:type="auto"/>
            <w:tcBorders>
              <w:top w:val="nil"/>
              <w:left w:val="nil"/>
              <w:bottom w:val="single" w:sz="4" w:space="0" w:color="auto"/>
              <w:right w:val="single" w:sz="4" w:space="0" w:color="auto"/>
            </w:tcBorders>
            <w:shd w:val="clear" w:color="auto" w:fill="auto"/>
            <w:vAlign w:val="center"/>
            <w:hideMark/>
          </w:tcPr>
          <w:p w14:paraId="79136972" w14:textId="77777777" w:rsidR="00FD3415" w:rsidRPr="00AB1E0E" w:rsidRDefault="00FD3415" w:rsidP="00F86002">
            <w:pPr>
              <w:rPr>
                <w:rFonts w:cs="Calibri"/>
                <w:sz w:val="18"/>
                <w:szCs w:val="18"/>
                <w:lang w:eastAsia="fr-FR"/>
              </w:rPr>
            </w:pPr>
            <w:r w:rsidRPr="00AB1E0E">
              <w:rPr>
                <w:rFonts w:cs="Calibri"/>
                <w:sz w:val="18"/>
                <w:szCs w:val="18"/>
                <w:lang w:eastAsia="fr-FR"/>
              </w:rPr>
              <w:t>Mesurer</w:t>
            </w:r>
            <w:r>
              <w:rPr>
                <w:rFonts w:cs="Calibri"/>
                <w:sz w:val="18"/>
                <w:szCs w:val="18"/>
                <w:lang w:eastAsia="fr-FR"/>
              </w:rPr>
              <w:t xml:space="preserve"> à l’aide d’un décametre</w:t>
            </w:r>
          </w:p>
        </w:tc>
        <w:tc>
          <w:tcPr>
            <w:tcW w:w="1897" w:type="dxa"/>
            <w:tcBorders>
              <w:top w:val="nil"/>
              <w:left w:val="nil"/>
              <w:bottom w:val="single" w:sz="4" w:space="0" w:color="auto"/>
              <w:right w:val="single" w:sz="4" w:space="0" w:color="auto"/>
            </w:tcBorders>
            <w:shd w:val="clear" w:color="auto" w:fill="auto"/>
            <w:vAlign w:val="center"/>
            <w:hideMark/>
          </w:tcPr>
          <w:p w14:paraId="78C137B1" w14:textId="77777777" w:rsidR="00FD3415" w:rsidRPr="00AB1E0E" w:rsidRDefault="00FD3415" w:rsidP="004B6E62">
            <w:pPr>
              <w:rPr>
                <w:rFonts w:cs="Calibri"/>
                <w:sz w:val="18"/>
                <w:szCs w:val="18"/>
                <w:lang w:eastAsia="fr-FR"/>
              </w:rPr>
            </w:pPr>
            <w:r>
              <w:rPr>
                <w:rFonts w:cs="Calibri"/>
                <w:sz w:val="18"/>
                <w:szCs w:val="18"/>
                <w:lang w:eastAsia="fr-FR"/>
              </w:rPr>
              <w:t>Mensuel</w:t>
            </w:r>
          </w:p>
        </w:tc>
        <w:tc>
          <w:tcPr>
            <w:tcW w:w="2054" w:type="dxa"/>
            <w:tcBorders>
              <w:top w:val="nil"/>
              <w:left w:val="nil"/>
              <w:bottom w:val="single" w:sz="4" w:space="0" w:color="auto"/>
              <w:right w:val="single" w:sz="4" w:space="0" w:color="auto"/>
            </w:tcBorders>
            <w:shd w:val="clear" w:color="auto" w:fill="auto"/>
            <w:vAlign w:val="center"/>
            <w:hideMark/>
          </w:tcPr>
          <w:p w14:paraId="2782761E" w14:textId="77777777" w:rsidR="00FD3415" w:rsidRPr="00AB1E0E" w:rsidRDefault="00FD3415" w:rsidP="004B6E62">
            <w:pPr>
              <w:rPr>
                <w:rFonts w:cs="Calibri"/>
                <w:sz w:val="18"/>
                <w:szCs w:val="18"/>
                <w:lang w:eastAsia="fr-FR"/>
              </w:rPr>
            </w:pPr>
            <w:r w:rsidRPr="00AB1E0E">
              <w:rPr>
                <w:rFonts w:cs="Calibri"/>
                <w:sz w:val="18"/>
                <w:szCs w:val="18"/>
                <w:lang w:eastAsia="fr-FR"/>
              </w:rPr>
              <w:t>Entreprise</w:t>
            </w:r>
          </w:p>
        </w:tc>
        <w:tc>
          <w:tcPr>
            <w:tcW w:w="1123" w:type="dxa"/>
            <w:tcBorders>
              <w:top w:val="nil"/>
              <w:left w:val="nil"/>
              <w:bottom w:val="single" w:sz="4" w:space="0" w:color="auto"/>
              <w:right w:val="single" w:sz="4" w:space="0" w:color="auto"/>
            </w:tcBorders>
            <w:shd w:val="clear" w:color="auto" w:fill="auto"/>
            <w:vAlign w:val="center"/>
            <w:hideMark/>
          </w:tcPr>
          <w:p w14:paraId="52FA1744" w14:textId="77777777" w:rsidR="00FD3415" w:rsidRPr="00AB1E0E" w:rsidRDefault="00FD3415" w:rsidP="004B6E62">
            <w:pPr>
              <w:rPr>
                <w:rFonts w:cs="Calibri"/>
                <w:sz w:val="18"/>
                <w:szCs w:val="18"/>
                <w:lang w:eastAsia="fr-FR"/>
              </w:rPr>
            </w:pPr>
            <w:r w:rsidRPr="00AB1E0E">
              <w:rPr>
                <w:rFonts w:cs="Calibri"/>
                <w:sz w:val="18"/>
                <w:szCs w:val="18"/>
                <w:lang w:eastAsia="fr-FR"/>
              </w:rPr>
              <w:t>MdC</w:t>
            </w:r>
          </w:p>
        </w:tc>
      </w:tr>
      <w:tr w:rsidR="00FD3415" w:rsidRPr="00AB1E0E" w14:paraId="5F097CA4" w14:textId="77777777" w:rsidTr="00AE406E">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305630" w14:textId="77777777" w:rsidR="00FD3415" w:rsidRPr="00AB1E0E" w:rsidRDefault="00FD3415" w:rsidP="004B6E62">
            <w:pPr>
              <w:rPr>
                <w:rFonts w:cs="Calibri"/>
                <w:sz w:val="18"/>
                <w:szCs w:val="18"/>
                <w:lang w:eastAsia="fr-FR"/>
              </w:rPr>
            </w:pPr>
            <w:r w:rsidRPr="00AB1E0E">
              <w:rPr>
                <w:rFonts w:cs="Calibri"/>
                <w:sz w:val="18"/>
                <w:szCs w:val="18"/>
                <w:lang w:eastAsia="fr-FR"/>
              </w:rPr>
              <w:t>Risque d’érosion du sol</w:t>
            </w:r>
          </w:p>
        </w:tc>
        <w:tc>
          <w:tcPr>
            <w:tcW w:w="0" w:type="auto"/>
            <w:tcBorders>
              <w:top w:val="nil"/>
              <w:left w:val="nil"/>
              <w:bottom w:val="single" w:sz="4" w:space="0" w:color="auto"/>
              <w:right w:val="single" w:sz="4" w:space="0" w:color="auto"/>
            </w:tcBorders>
            <w:shd w:val="clear" w:color="auto" w:fill="auto"/>
            <w:vAlign w:val="center"/>
            <w:hideMark/>
          </w:tcPr>
          <w:p w14:paraId="00676022" w14:textId="77777777" w:rsidR="00FD3415" w:rsidRPr="00AB1E0E" w:rsidRDefault="00FD3415" w:rsidP="004B6E62">
            <w:pPr>
              <w:rPr>
                <w:rFonts w:cs="Calibri"/>
                <w:sz w:val="18"/>
                <w:szCs w:val="18"/>
                <w:lang w:eastAsia="fr-FR"/>
              </w:rPr>
            </w:pPr>
            <w:r w:rsidRPr="00AB1E0E">
              <w:rPr>
                <w:rFonts w:cs="Calibri"/>
                <w:sz w:val="18"/>
                <w:szCs w:val="18"/>
                <w:lang w:eastAsia="fr-FR"/>
              </w:rPr>
              <w:t>Réaliser les travaux pendant la saison sèche </w:t>
            </w:r>
          </w:p>
        </w:tc>
        <w:tc>
          <w:tcPr>
            <w:tcW w:w="0" w:type="auto"/>
            <w:tcBorders>
              <w:top w:val="nil"/>
              <w:left w:val="nil"/>
              <w:bottom w:val="single" w:sz="4" w:space="0" w:color="auto"/>
              <w:right w:val="single" w:sz="4" w:space="0" w:color="auto"/>
            </w:tcBorders>
            <w:shd w:val="clear" w:color="auto" w:fill="auto"/>
            <w:vAlign w:val="center"/>
            <w:hideMark/>
          </w:tcPr>
          <w:p w14:paraId="18DFB306" w14:textId="77777777" w:rsidR="00FD3415" w:rsidRPr="00AB1E0E" w:rsidRDefault="00FD3415" w:rsidP="004B6E62">
            <w:pPr>
              <w:rPr>
                <w:rFonts w:cs="Calibri"/>
                <w:sz w:val="18"/>
                <w:szCs w:val="18"/>
                <w:lang w:eastAsia="fr-FR"/>
              </w:rPr>
            </w:pPr>
            <w:r w:rsidRPr="00AB1E0E">
              <w:rPr>
                <w:rFonts w:cs="Calibri"/>
                <w:sz w:val="18"/>
                <w:szCs w:val="18"/>
                <w:lang w:eastAsia="fr-FR"/>
              </w:rPr>
              <w:t> Surface érodée</w:t>
            </w:r>
          </w:p>
        </w:tc>
        <w:tc>
          <w:tcPr>
            <w:tcW w:w="0" w:type="auto"/>
            <w:tcBorders>
              <w:top w:val="nil"/>
              <w:left w:val="nil"/>
              <w:bottom w:val="single" w:sz="4" w:space="0" w:color="auto"/>
              <w:right w:val="single" w:sz="4" w:space="0" w:color="auto"/>
            </w:tcBorders>
            <w:shd w:val="clear" w:color="auto" w:fill="auto"/>
            <w:vAlign w:val="center"/>
            <w:hideMark/>
          </w:tcPr>
          <w:p w14:paraId="58E3A946" w14:textId="77777777" w:rsidR="00FD3415" w:rsidRPr="00AB1E0E" w:rsidRDefault="00FD3415" w:rsidP="004B6E62">
            <w:pPr>
              <w:rPr>
                <w:rFonts w:cs="Calibri"/>
                <w:sz w:val="18"/>
                <w:szCs w:val="18"/>
                <w:lang w:eastAsia="fr-FR"/>
              </w:rPr>
            </w:pPr>
            <w:r w:rsidRPr="00AB1E0E">
              <w:rPr>
                <w:rFonts w:cs="Calibri"/>
                <w:sz w:val="18"/>
                <w:szCs w:val="18"/>
                <w:lang w:eastAsia="fr-FR"/>
              </w:rPr>
              <w:t>Mesurer</w:t>
            </w:r>
            <w:r>
              <w:rPr>
                <w:rFonts w:cs="Calibri"/>
                <w:sz w:val="18"/>
                <w:szCs w:val="18"/>
                <w:lang w:eastAsia="fr-FR"/>
              </w:rPr>
              <w:t xml:space="preserve"> à l’aide d’un décametre </w:t>
            </w:r>
          </w:p>
        </w:tc>
        <w:tc>
          <w:tcPr>
            <w:tcW w:w="1897" w:type="dxa"/>
            <w:tcBorders>
              <w:top w:val="nil"/>
              <w:left w:val="nil"/>
              <w:bottom w:val="single" w:sz="4" w:space="0" w:color="auto"/>
              <w:right w:val="single" w:sz="4" w:space="0" w:color="auto"/>
            </w:tcBorders>
            <w:shd w:val="clear" w:color="auto" w:fill="auto"/>
            <w:vAlign w:val="center"/>
            <w:hideMark/>
          </w:tcPr>
          <w:p w14:paraId="30E1BE33" w14:textId="77777777" w:rsidR="00FD3415" w:rsidRPr="00AB1E0E" w:rsidRDefault="00FD3415" w:rsidP="004B6E62">
            <w:pPr>
              <w:rPr>
                <w:rFonts w:cs="Calibri"/>
                <w:sz w:val="18"/>
                <w:szCs w:val="18"/>
                <w:lang w:eastAsia="fr-FR"/>
              </w:rPr>
            </w:pPr>
            <w:r w:rsidRPr="00AB1E0E">
              <w:rPr>
                <w:rFonts w:cs="Calibri"/>
                <w:sz w:val="18"/>
                <w:szCs w:val="18"/>
                <w:lang w:eastAsia="fr-FR"/>
              </w:rPr>
              <w:t> Trimestriel</w:t>
            </w:r>
          </w:p>
        </w:tc>
        <w:tc>
          <w:tcPr>
            <w:tcW w:w="2054" w:type="dxa"/>
            <w:tcBorders>
              <w:top w:val="nil"/>
              <w:left w:val="nil"/>
              <w:bottom w:val="single" w:sz="4" w:space="0" w:color="auto"/>
              <w:right w:val="single" w:sz="4" w:space="0" w:color="auto"/>
            </w:tcBorders>
            <w:shd w:val="clear" w:color="auto" w:fill="auto"/>
            <w:vAlign w:val="center"/>
            <w:hideMark/>
          </w:tcPr>
          <w:p w14:paraId="5F4A796D" w14:textId="77777777" w:rsidR="00FD3415" w:rsidRPr="00AB1E0E" w:rsidRDefault="00FD3415" w:rsidP="004B6E62">
            <w:pPr>
              <w:rPr>
                <w:rFonts w:cs="Calibri"/>
                <w:sz w:val="18"/>
                <w:szCs w:val="18"/>
                <w:lang w:eastAsia="fr-FR"/>
              </w:rPr>
            </w:pPr>
            <w:r w:rsidRPr="00AB1E0E">
              <w:rPr>
                <w:rFonts w:cs="Calibri"/>
                <w:sz w:val="18"/>
                <w:szCs w:val="18"/>
                <w:lang w:eastAsia="fr-FR"/>
              </w:rPr>
              <w:t>Entreprise</w:t>
            </w:r>
          </w:p>
        </w:tc>
        <w:tc>
          <w:tcPr>
            <w:tcW w:w="1123" w:type="dxa"/>
            <w:tcBorders>
              <w:top w:val="nil"/>
              <w:left w:val="nil"/>
              <w:bottom w:val="single" w:sz="4" w:space="0" w:color="auto"/>
              <w:right w:val="single" w:sz="4" w:space="0" w:color="auto"/>
            </w:tcBorders>
            <w:shd w:val="clear" w:color="auto" w:fill="auto"/>
            <w:vAlign w:val="center"/>
            <w:hideMark/>
          </w:tcPr>
          <w:p w14:paraId="47212EB4" w14:textId="77777777" w:rsidR="00FD3415" w:rsidRPr="00AB1E0E" w:rsidRDefault="00FD3415" w:rsidP="004B6E62">
            <w:pPr>
              <w:rPr>
                <w:rFonts w:cs="Calibri"/>
                <w:sz w:val="18"/>
                <w:szCs w:val="18"/>
                <w:lang w:eastAsia="fr-FR"/>
              </w:rPr>
            </w:pPr>
            <w:r w:rsidRPr="00AB1E0E">
              <w:rPr>
                <w:rFonts w:cs="Calibri"/>
                <w:sz w:val="18"/>
                <w:szCs w:val="18"/>
                <w:lang w:eastAsia="fr-FR"/>
              </w:rPr>
              <w:t>MdC</w:t>
            </w:r>
          </w:p>
        </w:tc>
      </w:tr>
      <w:tr w:rsidR="00FD3415" w:rsidRPr="00AB1E0E" w14:paraId="1E19489C" w14:textId="77777777" w:rsidTr="00AE406E">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FF83D6" w14:textId="77777777" w:rsidR="00FD3415" w:rsidRPr="00AB1E0E" w:rsidRDefault="00FD3415" w:rsidP="004B6E62">
            <w:pPr>
              <w:rPr>
                <w:rFonts w:cs="Calibri"/>
                <w:sz w:val="18"/>
                <w:szCs w:val="18"/>
                <w:lang w:eastAsia="fr-FR"/>
              </w:rPr>
            </w:pPr>
            <w:r w:rsidRPr="00AB1E0E">
              <w:rPr>
                <w:rFonts w:cs="Calibri"/>
                <w:sz w:val="18"/>
                <w:szCs w:val="18"/>
                <w:lang w:eastAsia="fr-FR"/>
              </w:rPr>
              <w:t>Modification du Paysage</w:t>
            </w:r>
          </w:p>
        </w:tc>
        <w:tc>
          <w:tcPr>
            <w:tcW w:w="0" w:type="auto"/>
            <w:tcBorders>
              <w:top w:val="nil"/>
              <w:left w:val="nil"/>
              <w:bottom w:val="single" w:sz="4" w:space="0" w:color="auto"/>
              <w:right w:val="single" w:sz="4" w:space="0" w:color="auto"/>
            </w:tcBorders>
            <w:shd w:val="clear" w:color="auto" w:fill="auto"/>
            <w:vAlign w:val="center"/>
            <w:hideMark/>
          </w:tcPr>
          <w:p w14:paraId="2A715D91" w14:textId="77777777" w:rsidR="00FD3415" w:rsidRPr="00AB1E0E" w:rsidRDefault="00FD3415" w:rsidP="004B6E62">
            <w:pPr>
              <w:rPr>
                <w:rFonts w:cs="Calibri"/>
                <w:sz w:val="18"/>
                <w:szCs w:val="18"/>
                <w:lang w:eastAsia="fr-FR"/>
              </w:rPr>
            </w:pPr>
            <w:r w:rsidRPr="00AB1E0E">
              <w:rPr>
                <w:rFonts w:cs="Calibri"/>
                <w:sz w:val="18"/>
                <w:szCs w:val="18"/>
                <w:lang w:eastAsia="fr-FR"/>
              </w:rPr>
              <w:t>Clôture du site</w:t>
            </w:r>
          </w:p>
        </w:tc>
        <w:tc>
          <w:tcPr>
            <w:tcW w:w="0" w:type="auto"/>
            <w:tcBorders>
              <w:top w:val="nil"/>
              <w:left w:val="nil"/>
              <w:bottom w:val="single" w:sz="4" w:space="0" w:color="auto"/>
              <w:right w:val="single" w:sz="4" w:space="0" w:color="auto"/>
            </w:tcBorders>
            <w:shd w:val="clear" w:color="auto" w:fill="auto"/>
            <w:vAlign w:val="center"/>
            <w:hideMark/>
          </w:tcPr>
          <w:p w14:paraId="5A1F5FB0" w14:textId="77777777" w:rsidR="00FD3415" w:rsidRPr="00AB1E0E" w:rsidRDefault="00FD3415" w:rsidP="004B6E62">
            <w:pPr>
              <w:rPr>
                <w:rFonts w:cs="Calibri"/>
                <w:sz w:val="18"/>
                <w:szCs w:val="18"/>
                <w:lang w:eastAsia="fr-FR"/>
              </w:rPr>
            </w:pPr>
            <w:r w:rsidRPr="00AB1E0E">
              <w:rPr>
                <w:rFonts w:cs="Calibri"/>
                <w:sz w:val="18"/>
                <w:szCs w:val="18"/>
                <w:lang w:eastAsia="fr-FR"/>
              </w:rPr>
              <w:t>Nb plainte des riverains</w:t>
            </w:r>
          </w:p>
        </w:tc>
        <w:tc>
          <w:tcPr>
            <w:tcW w:w="0" w:type="auto"/>
            <w:tcBorders>
              <w:top w:val="nil"/>
              <w:left w:val="nil"/>
              <w:bottom w:val="single" w:sz="4" w:space="0" w:color="auto"/>
              <w:right w:val="single" w:sz="4" w:space="0" w:color="auto"/>
            </w:tcBorders>
            <w:shd w:val="clear" w:color="auto" w:fill="auto"/>
            <w:vAlign w:val="center"/>
            <w:hideMark/>
          </w:tcPr>
          <w:p w14:paraId="00A6BEE1" w14:textId="77777777" w:rsidR="00FD3415" w:rsidRPr="00AB1E0E" w:rsidRDefault="00FD3415" w:rsidP="004B6E62">
            <w:pPr>
              <w:rPr>
                <w:rFonts w:cs="Calibri"/>
                <w:sz w:val="18"/>
                <w:szCs w:val="18"/>
                <w:lang w:eastAsia="fr-FR"/>
              </w:rPr>
            </w:pPr>
            <w:r w:rsidRPr="00AB1E0E">
              <w:rPr>
                <w:rFonts w:cs="Calibri"/>
                <w:sz w:val="18"/>
                <w:szCs w:val="18"/>
                <w:lang w:eastAsia="fr-FR"/>
              </w:rPr>
              <w:t>Entretien avec les riverains</w:t>
            </w:r>
          </w:p>
        </w:tc>
        <w:tc>
          <w:tcPr>
            <w:tcW w:w="1897" w:type="dxa"/>
            <w:tcBorders>
              <w:top w:val="nil"/>
              <w:left w:val="nil"/>
              <w:bottom w:val="single" w:sz="4" w:space="0" w:color="auto"/>
              <w:right w:val="single" w:sz="4" w:space="0" w:color="auto"/>
            </w:tcBorders>
            <w:shd w:val="clear" w:color="auto" w:fill="auto"/>
            <w:vAlign w:val="center"/>
            <w:hideMark/>
          </w:tcPr>
          <w:p w14:paraId="17F56C59" w14:textId="77777777" w:rsidR="00FD3415" w:rsidRPr="00AB1E0E" w:rsidRDefault="00FD3415" w:rsidP="004B6E62">
            <w:pPr>
              <w:rPr>
                <w:rFonts w:cs="Calibri"/>
                <w:sz w:val="18"/>
                <w:szCs w:val="18"/>
                <w:lang w:eastAsia="fr-FR"/>
              </w:rPr>
            </w:pPr>
            <w:r w:rsidRPr="00AB1E0E">
              <w:rPr>
                <w:rFonts w:cs="Calibri"/>
                <w:sz w:val="18"/>
                <w:szCs w:val="18"/>
                <w:lang w:eastAsia="fr-FR"/>
              </w:rPr>
              <w:t> Trimestriel</w:t>
            </w:r>
          </w:p>
        </w:tc>
        <w:tc>
          <w:tcPr>
            <w:tcW w:w="2054" w:type="dxa"/>
            <w:tcBorders>
              <w:top w:val="nil"/>
              <w:left w:val="nil"/>
              <w:bottom w:val="single" w:sz="4" w:space="0" w:color="auto"/>
              <w:right w:val="single" w:sz="4" w:space="0" w:color="auto"/>
            </w:tcBorders>
            <w:shd w:val="clear" w:color="auto" w:fill="auto"/>
            <w:vAlign w:val="center"/>
            <w:hideMark/>
          </w:tcPr>
          <w:p w14:paraId="3D4A450F" w14:textId="77777777" w:rsidR="00FD3415" w:rsidRPr="00AB1E0E" w:rsidRDefault="00FD3415" w:rsidP="004B6E62">
            <w:pPr>
              <w:rPr>
                <w:rFonts w:cs="Calibri"/>
                <w:sz w:val="18"/>
                <w:szCs w:val="18"/>
                <w:lang w:eastAsia="fr-FR"/>
              </w:rPr>
            </w:pPr>
            <w:r w:rsidRPr="00AB1E0E">
              <w:rPr>
                <w:rFonts w:cs="Calibri"/>
                <w:sz w:val="18"/>
                <w:szCs w:val="18"/>
                <w:lang w:eastAsia="fr-FR"/>
              </w:rPr>
              <w:t>Entreprise</w:t>
            </w:r>
          </w:p>
        </w:tc>
        <w:tc>
          <w:tcPr>
            <w:tcW w:w="1123" w:type="dxa"/>
            <w:tcBorders>
              <w:top w:val="nil"/>
              <w:left w:val="nil"/>
              <w:bottom w:val="single" w:sz="4" w:space="0" w:color="auto"/>
              <w:right w:val="single" w:sz="4" w:space="0" w:color="auto"/>
            </w:tcBorders>
            <w:shd w:val="clear" w:color="auto" w:fill="auto"/>
            <w:vAlign w:val="center"/>
            <w:hideMark/>
          </w:tcPr>
          <w:p w14:paraId="654834AA" w14:textId="77777777" w:rsidR="00FD3415" w:rsidRPr="00AB1E0E" w:rsidRDefault="00FD3415" w:rsidP="004B6E62">
            <w:pPr>
              <w:rPr>
                <w:rFonts w:cs="Calibri"/>
                <w:sz w:val="18"/>
                <w:szCs w:val="18"/>
                <w:lang w:eastAsia="fr-FR"/>
              </w:rPr>
            </w:pPr>
            <w:r w:rsidRPr="00AB1E0E">
              <w:rPr>
                <w:rFonts w:cs="Calibri"/>
                <w:sz w:val="18"/>
                <w:szCs w:val="18"/>
                <w:lang w:eastAsia="fr-FR"/>
              </w:rPr>
              <w:t>MdC</w:t>
            </w:r>
          </w:p>
        </w:tc>
      </w:tr>
      <w:tr w:rsidR="00FD3415" w:rsidRPr="00AB1E0E" w14:paraId="186097C2" w14:textId="77777777" w:rsidTr="00AE406E">
        <w:trPr>
          <w:trHeight w:val="48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B033CE6" w14:textId="77777777" w:rsidR="00FD3415" w:rsidRPr="00AB1E0E" w:rsidRDefault="00FD3415" w:rsidP="004B6E62">
            <w:pPr>
              <w:rPr>
                <w:rFonts w:cs="Calibri"/>
                <w:sz w:val="18"/>
                <w:szCs w:val="18"/>
                <w:lang w:eastAsia="fr-FR"/>
              </w:rPr>
            </w:pPr>
            <w:r w:rsidRPr="00AB1E0E">
              <w:rPr>
                <w:rFonts w:cs="Calibri"/>
                <w:sz w:val="18"/>
                <w:szCs w:val="18"/>
                <w:lang w:eastAsia="fr-FR"/>
              </w:rPr>
              <w:t>Pollution des ressources en eau par entraînement de substances polluantes</w:t>
            </w:r>
          </w:p>
        </w:tc>
        <w:tc>
          <w:tcPr>
            <w:tcW w:w="0" w:type="auto"/>
            <w:tcBorders>
              <w:top w:val="nil"/>
              <w:left w:val="nil"/>
              <w:bottom w:val="single" w:sz="4" w:space="0" w:color="auto"/>
              <w:right w:val="single" w:sz="4" w:space="0" w:color="auto"/>
            </w:tcBorders>
            <w:shd w:val="clear" w:color="auto" w:fill="auto"/>
            <w:vAlign w:val="center"/>
            <w:hideMark/>
          </w:tcPr>
          <w:p w14:paraId="56440E2F" w14:textId="77777777" w:rsidR="00FD3415" w:rsidRPr="00AB1E0E" w:rsidRDefault="00FD3415" w:rsidP="004B6E62">
            <w:pPr>
              <w:rPr>
                <w:rFonts w:cs="Calibri"/>
                <w:sz w:val="18"/>
                <w:szCs w:val="18"/>
                <w:lang w:eastAsia="fr-FR"/>
              </w:rPr>
            </w:pPr>
            <w:r w:rsidRPr="00AB1E0E">
              <w:rPr>
                <w:rFonts w:cs="Calibri"/>
                <w:sz w:val="18"/>
                <w:szCs w:val="18"/>
                <w:lang w:eastAsia="fr-FR"/>
              </w:rPr>
              <w:t>Elaboration et mise en œuvre de Plan de Gestion des Déchets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BE0F79F" w14:textId="77777777" w:rsidR="00FD3415" w:rsidRPr="00AB1E0E" w:rsidRDefault="00FD3415" w:rsidP="004B6E62">
            <w:pPr>
              <w:rPr>
                <w:rFonts w:cs="Calibri"/>
                <w:sz w:val="18"/>
                <w:szCs w:val="18"/>
                <w:lang w:eastAsia="fr-FR"/>
              </w:rPr>
            </w:pPr>
            <w:r w:rsidRPr="00AB1E0E">
              <w:rPr>
                <w:rFonts w:cs="Calibri"/>
                <w:sz w:val="18"/>
                <w:szCs w:val="18"/>
                <w:lang w:eastAsia="fr-FR"/>
              </w:rPr>
              <w:t>Volume de déchet trié</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0883A5F" w14:textId="77777777" w:rsidR="00FD3415" w:rsidRPr="00AB1E0E" w:rsidRDefault="00FD3415" w:rsidP="004B6E62">
            <w:pPr>
              <w:rPr>
                <w:rFonts w:cs="Calibri"/>
                <w:sz w:val="18"/>
                <w:szCs w:val="18"/>
                <w:lang w:eastAsia="fr-FR"/>
              </w:rPr>
            </w:pPr>
            <w:r w:rsidRPr="00AB1E0E">
              <w:rPr>
                <w:rFonts w:cs="Calibri"/>
                <w:sz w:val="18"/>
                <w:szCs w:val="18"/>
                <w:lang w:eastAsia="fr-FR"/>
              </w:rPr>
              <w:t>Mesurer</w:t>
            </w:r>
            <w:r>
              <w:rPr>
                <w:rFonts w:cs="Calibri"/>
                <w:sz w:val="18"/>
                <w:szCs w:val="18"/>
                <w:lang w:eastAsia="fr-FR"/>
              </w:rPr>
              <w:t xml:space="preserve">  à l’aide d’un décametre</w:t>
            </w:r>
          </w:p>
        </w:tc>
        <w:tc>
          <w:tcPr>
            <w:tcW w:w="1897" w:type="dxa"/>
            <w:vMerge w:val="restart"/>
            <w:tcBorders>
              <w:top w:val="nil"/>
              <w:left w:val="single" w:sz="4" w:space="0" w:color="auto"/>
              <w:bottom w:val="single" w:sz="4" w:space="0" w:color="000000"/>
              <w:right w:val="single" w:sz="4" w:space="0" w:color="auto"/>
            </w:tcBorders>
            <w:shd w:val="clear" w:color="auto" w:fill="auto"/>
            <w:vAlign w:val="center"/>
            <w:hideMark/>
          </w:tcPr>
          <w:p w14:paraId="15341D6A" w14:textId="77777777" w:rsidR="00FD3415" w:rsidRPr="00AB1E0E" w:rsidRDefault="00FD3415" w:rsidP="004B6E62">
            <w:pPr>
              <w:rPr>
                <w:rFonts w:cs="Calibri"/>
                <w:sz w:val="18"/>
                <w:szCs w:val="18"/>
                <w:lang w:eastAsia="fr-FR"/>
              </w:rPr>
            </w:pPr>
            <w:r w:rsidRPr="00AB1E0E">
              <w:rPr>
                <w:rFonts w:cs="Calibri"/>
                <w:sz w:val="18"/>
                <w:szCs w:val="18"/>
                <w:lang w:eastAsia="fr-FR"/>
              </w:rPr>
              <w:t>Mensuel</w:t>
            </w:r>
          </w:p>
        </w:tc>
        <w:tc>
          <w:tcPr>
            <w:tcW w:w="2054" w:type="dxa"/>
            <w:vMerge w:val="restart"/>
            <w:tcBorders>
              <w:top w:val="nil"/>
              <w:left w:val="single" w:sz="4" w:space="0" w:color="auto"/>
              <w:bottom w:val="single" w:sz="4" w:space="0" w:color="000000"/>
              <w:right w:val="single" w:sz="4" w:space="0" w:color="auto"/>
            </w:tcBorders>
            <w:shd w:val="clear" w:color="auto" w:fill="auto"/>
            <w:vAlign w:val="center"/>
            <w:hideMark/>
          </w:tcPr>
          <w:p w14:paraId="0B592941" w14:textId="77777777" w:rsidR="00FD3415" w:rsidRPr="00AB1E0E" w:rsidRDefault="00FD3415" w:rsidP="004B6E62">
            <w:pPr>
              <w:rPr>
                <w:rFonts w:cs="Calibri"/>
                <w:sz w:val="18"/>
                <w:szCs w:val="18"/>
                <w:lang w:eastAsia="fr-FR"/>
              </w:rPr>
            </w:pPr>
            <w:r w:rsidRPr="00AB1E0E">
              <w:rPr>
                <w:rFonts w:cs="Calibri"/>
                <w:sz w:val="18"/>
                <w:szCs w:val="18"/>
                <w:lang w:eastAsia="fr-FR"/>
              </w:rPr>
              <w:t>Entreprise</w:t>
            </w:r>
          </w:p>
        </w:tc>
        <w:tc>
          <w:tcPr>
            <w:tcW w:w="1123" w:type="dxa"/>
            <w:vMerge w:val="restart"/>
            <w:tcBorders>
              <w:top w:val="nil"/>
              <w:left w:val="single" w:sz="4" w:space="0" w:color="auto"/>
              <w:bottom w:val="single" w:sz="4" w:space="0" w:color="000000"/>
              <w:right w:val="single" w:sz="4" w:space="0" w:color="auto"/>
            </w:tcBorders>
            <w:shd w:val="clear" w:color="auto" w:fill="auto"/>
            <w:vAlign w:val="center"/>
            <w:hideMark/>
          </w:tcPr>
          <w:p w14:paraId="76904980" w14:textId="77777777" w:rsidR="00FD3415" w:rsidRPr="00AB1E0E" w:rsidRDefault="00FD3415" w:rsidP="004B6E62">
            <w:pPr>
              <w:rPr>
                <w:rFonts w:cs="Calibri"/>
                <w:sz w:val="18"/>
                <w:szCs w:val="18"/>
                <w:lang w:eastAsia="fr-FR"/>
              </w:rPr>
            </w:pPr>
            <w:r w:rsidRPr="00AB1E0E">
              <w:rPr>
                <w:rFonts w:cs="Calibri"/>
                <w:sz w:val="18"/>
                <w:szCs w:val="18"/>
                <w:lang w:eastAsia="fr-FR"/>
              </w:rPr>
              <w:t>MdC</w:t>
            </w:r>
          </w:p>
        </w:tc>
      </w:tr>
      <w:tr w:rsidR="00FD3415" w:rsidRPr="00AB1E0E" w14:paraId="251A99C7" w14:textId="77777777" w:rsidTr="00AE406E">
        <w:trPr>
          <w:trHeight w:val="480"/>
        </w:trPr>
        <w:tc>
          <w:tcPr>
            <w:tcW w:w="0" w:type="auto"/>
            <w:vMerge/>
            <w:tcBorders>
              <w:top w:val="nil"/>
              <w:left w:val="single" w:sz="4" w:space="0" w:color="auto"/>
              <w:bottom w:val="single" w:sz="4" w:space="0" w:color="000000"/>
              <w:right w:val="single" w:sz="4" w:space="0" w:color="auto"/>
            </w:tcBorders>
            <w:vAlign w:val="center"/>
            <w:hideMark/>
          </w:tcPr>
          <w:p w14:paraId="4CAAA273" w14:textId="77777777" w:rsidR="00FD3415" w:rsidRPr="00AB1E0E" w:rsidRDefault="00FD3415" w:rsidP="004B6E62">
            <w:pPr>
              <w:rPr>
                <w:rFonts w:cs="Calibri"/>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4926FFBA" w14:textId="77777777" w:rsidR="00FD3415" w:rsidRPr="00AB1E0E" w:rsidRDefault="00FD3415" w:rsidP="004B6E62">
            <w:pPr>
              <w:rPr>
                <w:rFonts w:cs="Calibri"/>
                <w:sz w:val="18"/>
                <w:szCs w:val="18"/>
                <w:lang w:eastAsia="fr-FR"/>
              </w:rPr>
            </w:pPr>
            <w:r w:rsidRPr="00AB1E0E">
              <w:rPr>
                <w:rFonts w:cs="Calibri"/>
                <w:sz w:val="18"/>
                <w:szCs w:val="18"/>
                <w:lang w:eastAsia="fr-FR"/>
              </w:rPr>
              <w:t>Mise en place de système de collecte et de tri des déchets. </w:t>
            </w:r>
          </w:p>
        </w:tc>
        <w:tc>
          <w:tcPr>
            <w:tcW w:w="0" w:type="auto"/>
            <w:vMerge/>
            <w:tcBorders>
              <w:top w:val="nil"/>
              <w:left w:val="single" w:sz="4" w:space="0" w:color="auto"/>
              <w:bottom w:val="single" w:sz="4" w:space="0" w:color="000000"/>
              <w:right w:val="single" w:sz="4" w:space="0" w:color="auto"/>
            </w:tcBorders>
            <w:vAlign w:val="center"/>
            <w:hideMark/>
          </w:tcPr>
          <w:p w14:paraId="782D5643" w14:textId="77777777" w:rsidR="00FD3415" w:rsidRPr="00AB1E0E" w:rsidRDefault="00FD3415" w:rsidP="004B6E62">
            <w:pPr>
              <w:rPr>
                <w:rFonts w:cs="Calibri"/>
                <w:sz w:val="18"/>
                <w:szCs w:val="18"/>
                <w:lang w:eastAsia="fr-FR"/>
              </w:rPr>
            </w:pPr>
          </w:p>
        </w:tc>
        <w:tc>
          <w:tcPr>
            <w:tcW w:w="0" w:type="auto"/>
            <w:vMerge/>
            <w:tcBorders>
              <w:top w:val="nil"/>
              <w:left w:val="single" w:sz="4" w:space="0" w:color="auto"/>
              <w:bottom w:val="single" w:sz="4" w:space="0" w:color="000000"/>
              <w:right w:val="single" w:sz="4" w:space="0" w:color="auto"/>
            </w:tcBorders>
            <w:vAlign w:val="center"/>
            <w:hideMark/>
          </w:tcPr>
          <w:p w14:paraId="7E53446B" w14:textId="77777777" w:rsidR="00FD3415" w:rsidRPr="00AB1E0E" w:rsidRDefault="00FD3415" w:rsidP="004B6E62">
            <w:pPr>
              <w:rPr>
                <w:rFonts w:cs="Calibri"/>
                <w:sz w:val="18"/>
                <w:szCs w:val="18"/>
                <w:lang w:eastAsia="fr-FR"/>
              </w:rPr>
            </w:pPr>
          </w:p>
        </w:tc>
        <w:tc>
          <w:tcPr>
            <w:tcW w:w="1897" w:type="dxa"/>
            <w:vMerge/>
            <w:tcBorders>
              <w:top w:val="nil"/>
              <w:left w:val="single" w:sz="4" w:space="0" w:color="auto"/>
              <w:bottom w:val="single" w:sz="4" w:space="0" w:color="000000"/>
              <w:right w:val="single" w:sz="4" w:space="0" w:color="auto"/>
            </w:tcBorders>
            <w:vAlign w:val="center"/>
            <w:hideMark/>
          </w:tcPr>
          <w:p w14:paraId="5B74B548" w14:textId="77777777" w:rsidR="00FD3415" w:rsidRPr="00AB1E0E" w:rsidRDefault="00FD3415" w:rsidP="004B6E62">
            <w:pPr>
              <w:rPr>
                <w:rFonts w:cs="Calibri"/>
                <w:sz w:val="18"/>
                <w:szCs w:val="18"/>
                <w:lang w:eastAsia="fr-FR"/>
              </w:rPr>
            </w:pPr>
          </w:p>
        </w:tc>
        <w:tc>
          <w:tcPr>
            <w:tcW w:w="2054" w:type="dxa"/>
            <w:vMerge/>
            <w:tcBorders>
              <w:top w:val="nil"/>
              <w:left w:val="single" w:sz="4" w:space="0" w:color="auto"/>
              <w:bottom w:val="single" w:sz="4" w:space="0" w:color="000000"/>
              <w:right w:val="single" w:sz="4" w:space="0" w:color="auto"/>
            </w:tcBorders>
            <w:vAlign w:val="center"/>
            <w:hideMark/>
          </w:tcPr>
          <w:p w14:paraId="275B611A" w14:textId="77777777" w:rsidR="00FD3415" w:rsidRPr="00AB1E0E" w:rsidRDefault="00FD3415" w:rsidP="004B6E62">
            <w:pPr>
              <w:rPr>
                <w:rFonts w:cs="Calibri"/>
                <w:sz w:val="18"/>
                <w:szCs w:val="18"/>
                <w:lang w:eastAsia="fr-FR"/>
              </w:rPr>
            </w:pPr>
          </w:p>
        </w:tc>
        <w:tc>
          <w:tcPr>
            <w:tcW w:w="1123" w:type="dxa"/>
            <w:vMerge/>
            <w:tcBorders>
              <w:top w:val="nil"/>
              <w:left w:val="single" w:sz="4" w:space="0" w:color="auto"/>
              <w:bottom w:val="single" w:sz="4" w:space="0" w:color="000000"/>
              <w:right w:val="single" w:sz="4" w:space="0" w:color="auto"/>
            </w:tcBorders>
            <w:vAlign w:val="center"/>
            <w:hideMark/>
          </w:tcPr>
          <w:p w14:paraId="77A8E308" w14:textId="77777777" w:rsidR="00FD3415" w:rsidRPr="00AB1E0E" w:rsidRDefault="00FD3415" w:rsidP="004B6E62">
            <w:pPr>
              <w:rPr>
                <w:rFonts w:cs="Calibri"/>
                <w:sz w:val="18"/>
                <w:szCs w:val="18"/>
                <w:lang w:eastAsia="fr-FR"/>
              </w:rPr>
            </w:pPr>
          </w:p>
        </w:tc>
      </w:tr>
      <w:tr w:rsidR="00FD3415" w:rsidRPr="00AB1E0E" w14:paraId="454DC6EC" w14:textId="77777777" w:rsidTr="00AE406E">
        <w:trPr>
          <w:trHeight w:val="296"/>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88A221E" w14:textId="77777777" w:rsidR="00FD3415" w:rsidRPr="00AB1E0E" w:rsidRDefault="00FD3415" w:rsidP="004B6E62">
            <w:pPr>
              <w:rPr>
                <w:rFonts w:cs="Calibri"/>
                <w:sz w:val="18"/>
                <w:szCs w:val="18"/>
                <w:lang w:eastAsia="fr-FR"/>
              </w:rPr>
            </w:pPr>
            <w:r w:rsidRPr="00AB1E0E">
              <w:rPr>
                <w:rFonts w:cs="Calibri"/>
                <w:sz w:val="18"/>
                <w:szCs w:val="18"/>
                <w:lang w:eastAsia="fr-FR"/>
              </w:rPr>
              <w:t>Coupe illicite pour les besoins de bois de chauffe du chantier</w:t>
            </w:r>
          </w:p>
        </w:tc>
        <w:tc>
          <w:tcPr>
            <w:tcW w:w="0" w:type="auto"/>
            <w:tcBorders>
              <w:top w:val="nil"/>
              <w:left w:val="nil"/>
              <w:bottom w:val="single" w:sz="4" w:space="0" w:color="auto"/>
              <w:right w:val="single" w:sz="4" w:space="0" w:color="auto"/>
            </w:tcBorders>
            <w:shd w:val="clear" w:color="auto" w:fill="auto"/>
            <w:vAlign w:val="center"/>
            <w:hideMark/>
          </w:tcPr>
          <w:p w14:paraId="364B7C91" w14:textId="77777777" w:rsidR="00FD3415" w:rsidRPr="00AB1E0E" w:rsidRDefault="00FD3415" w:rsidP="004B6E62">
            <w:pPr>
              <w:rPr>
                <w:rFonts w:cs="Calibri"/>
                <w:sz w:val="18"/>
                <w:szCs w:val="18"/>
                <w:lang w:eastAsia="fr-FR"/>
              </w:rPr>
            </w:pPr>
            <w:r w:rsidRPr="00AB1E0E">
              <w:rPr>
                <w:rFonts w:cs="Calibri"/>
                <w:sz w:val="18"/>
                <w:szCs w:val="18"/>
                <w:lang w:eastAsia="fr-FR"/>
              </w:rPr>
              <w:t> Interdiction formelle de prélèvement de bois dans la végétation alentour du site. Approvisionnement auprès de fournisseur agréé</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8F68BD7" w14:textId="77777777" w:rsidR="00FD3415" w:rsidRPr="00AB1E0E" w:rsidRDefault="00FD3415" w:rsidP="004B6E62">
            <w:pPr>
              <w:rPr>
                <w:rFonts w:cs="Calibri"/>
                <w:sz w:val="18"/>
                <w:szCs w:val="18"/>
                <w:lang w:eastAsia="fr-FR"/>
              </w:rPr>
            </w:pPr>
            <w:r w:rsidRPr="00AB1E0E">
              <w:rPr>
                <w:rFonts w:cs="Calibri"/>
                <w:sz w:val="18"/>
                <w:szCs w:val="18"/>
                <w:lang w:eastAsia="fr-FR"/>
              </w:rPr>
              <w:t>Quantité de bois de chauffe achetée</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55F5D51" w14:textId="77777777" w:rsidR="00FD3415" w:rsidRPr="00AB1E0E" w:rsidRDefault="00FD3415" w:rsidP="004B6E62">
            <w:pPr>
              <w:rPr>
                <w:rFonts w:cs="Calibri"/>
                <w:sz w:val="18"/>
                <w:szCs w:val="18"/>
                <w:lang w:eastAsia="fr-FR"/>
              </w:rPr>
            </w:pPr>
            <w:r>
              <w:rPr>
                <w:rFonts w:cs="Calibri"/>
                <w:sz w:val="18"/>
                <w:szCs w:val="18"/>
                <w:lang w:eastAsia="fr-FR"/>
              </w:rPr>
              <w:t>Comptage</w:t>
            </w:r>
          </w:p>
        </w:tc>
        <w:tc>
          <w:tcPr>
            <w:tcW w:w="1897" w:type="dxa"/>
            <w:vMerge w:val="restart"/>
            <w:tcBorders>
              <w:top w:val="nil"/>
              <w:left w:val="single" w:sz="4" w:space="0" w:color="auto"/>
              <w:bottom w:val="single" w:sz="4" w:space="0" w:color="000000"/>
              <w:right w:val="single" w:sz="4" w:space="0" w:color="auto"/>
            </w:tcBorders>
            <w:shd w:val="clear" w:color="auto" w:fill="auto"/>
            <w:vAlign w:val="center"/>
            <w:hideMark/>
          </w:tcPr>
          <w:p w14:paraId="668BDEB0" w14:textId="77777777" w:rsidR="00FD3415" w:rsidRPr="00AB1E0E" w:rsidRDefault="00FD3415" w:rsidP="004B6E62">
            <w:pPr>
              <w:rPr>
                <w:rFonts w:cs="Calibri"/>
                <w:sz w:val="18"/>
                <w:szCs w:val="18"/>
                <w:lang w:eastAsia="fr-FR"/>
              </w:rPr>
            </w:pPr>
            <w:r w:rsidRPr="00AB1E0E">
              <w:rPr>
                <w:rFonts w:cs="Calibri"/>
                <w:sz w:val="18"/>
                <w:szCs w:val="18"/>
                <w:lang w:eastAsia="fr-FR"/>
              </w:rPr>
              <w:t>Mensuel</w:t>
            </w:r>
          </w:p>
        </w:tc>
        <w:tc>
          <w:tcPr>
            <w:tcW w:w="2054" w:type="dxa"/>
            <w:vMerge w:val="restart"/>
            <w:tcBorders>
              <w:top w:val="nil"/>
              <w:left w:val="single" w:sz="4" w:space="0" w:color="auto"/>
              <w:bottom w:val="single" w:sz="4" w:space="0" w:color="000000"/>
              <w:right w:val="single" w:sz="4" w:space="0" w:color="auto"/>
            </w:tcBorders>
            <w:shd w:val="clear" w:color="auto" w:fill="auto"/>
            <w:vAlign w:val="center"/>
            <w:hideMark/>
          </w:tcPr>
          <w:p w14:paraId="1EEB064B" w14:textId="77777777" w:rsidR="00FD3415" w:rsidRPr="00AB1E0E" w:rsidRDefault="00FD3415" w:rsidP="004B6E62">
            <w:pPr>
              <w:rPr>
                <w:rFonts w:cs="Calibri"/>
                <w:sz w:val="18"/>
                <w:szCs w:val="18"/>
                <w:lang w:eastAsia="fr-FR"/>
              </w:rPr>
            </w:pPr>
            <w:r w:rsidRPr="00AB1E0E">
              <w:rPr>
                <w:rFonts w:cs="Calibri"/>
                <w:sz w:val="18"/>
                <w:szCs w:val="18"/>
                <w:lang w:eastAsia="fr-FR"/>
              </w:rPr>
              <w:t>Entreprise</w:t>
            </w:r>
          </w:p>
        </w:tc>
        <w:tc>
          <w:tcPr>
            <w:tcW w:w="1123" w:type="dxa"/>
            <w:vMerge w:val="restart"/>
            <w:tcBorders>
              <w:top w:val="nil"/>
              <w:left w:val="single" w:sz="4" w:space="0" w:color="auto"/>
              <w:bottom w:val="single" w:sz="4" w:space="0" w:color="000000"/>
              <w:right w:val="single" w:sz="4" w:space="0" w:color="auto"/>
            </w:tcBorders>
            <w:shd w:val="clear" w:color="auto" w:fill="auto"/>
            <w:vAlign w:val="center"/>
            <w:hideMark/>
          </w:tcPr>
          <w:p w14:paraId="395D247E" w14:textId="77777777" w:rsidR="00FD3415" w:rsidRPr="00AB1E0E" w:rsidRDefault="00FD3415" w:rsidP="004B6E62">
            <w:pPr>
              <w:rPr>
                <w:rFonts w:cs="Calibri"/>
                <w:sz w:val="18"/>
                <w:szCs w:val="18"/>
                <w:lang w:eastAsia="fr-FR"/>
              </w:rPr>
            </w:pPr>
            <w:r w:rsidRPr="00AB1E0E">
              <w:rPr>
                <w:rFonts w:cs="Calibri"/>
                <w:sz w:val="18"/>
                <w:szCs w:val="18"/>
                <w:lang w:eastAsia="fr-FR"/>
              </w:rPr>
              <w:t>MdC</w:t>
            </w:r>
          </w:p>
        </w:tc>
      </w:tr>
      <w:tr w:rsidR="00FD3415" w:rsidRPr="00AB1E0E" w14:paraId="433667B5" w14:textId="77777777" w:rsidTr="00AE406E">
        <w:trPr>
          <w:trHeight w:val="480"/>
        </w:trPr>
        <w:tc>
          <w:tcPr>
            <w:tcW w:w="0" w:type="auto"/>
            <w:vMerge/>
            <w:tcBorders>
              <w:top w:val="nil"/>
              <w:left w:val="single" w:sz="4" w:space="0" w:color="auto"/>
              <w:bottom w:val="single" w:sz="4" w:space="0" w:color="000000"/>
              <w:right w:val="single" w:sz="4" w:space="0" w:color="auto"/>
            </w:tcBorders>
            <w:vAlign w:val="center"/>
            <w:hideMark/>
          </w:tcPr>
          <w:p w14:paraId="53D51AB5" w14:textId="77777777" w:rsidR="00FD3415" w:rsidRPr="00AB1E0E" w:rsidRDefault="00FD3415" w:rsidP="004B6E62">
            <w:pPr>
              <w:rPr>
                <w:rFonts w:cs="Calibri"/>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316E7CD4" w14:textId="77777777" w:rsidR="00FD3415" w:rsidRPr="00AB1E0E" w:rsidRDefault="00FD3415" w:rsidP="004B6E62">
            <w:pPr>
              <w:rPr>
                <w:rFonts w:cs="Calibri"/>
                <w:sz w:val="18"/>
                <w:szCs w:val="18"/>
                <w:lang w:eastAsia="fr-FR"/>
              </w:rPr>
            </w:pPr>
            <w:r w:rsidRPr="00AB1E0E">
              <w:rPr>
                <w:rFonts w:cs="Calibri"/>
                <w:sz w:val="18"/>
                <w:szCs w:val="18"/>
                <w:lang w:eastAsia="fr-FR"/>
              </w:rPr>
              <w:t>Utilisation d'autre source d'énergie pour la cuisson</w:t>
            </w:r>
          </w:p>
        </w:tc>
        <w:tc>
          <w:tcPr>
            <w:tcW w:w="0" w:type="auto"/>
            <w:vMerge/>
            <w:tcBorders>
              <w:top w:val="nil"/>
              <w:left w:val="single" w:sz="4" w:space="0" w:color="auto"/>
              <w:bottom w:val="single" w:sz="4" w:space="0" w:color="000000"/>
              <w:right w:val="single" w:sz="4" w:space="0" w:color="auto"/>
            </w:tcBorders>
            <w:vAlign w:val="center"/>
            <w:hideMark/>
          </w:tcPr>
          <w:p w14:paraId="76B79A25" w14:textId="77777777" w:rsidR="00FD3415" w:rsidRPr="00AB1E0E" w:rsidRDefault="00FD3415" w:rsidP="004B6E62">
            <w:pPr>
              <w:rPr>
                <w:rFonts w:cs="Calibri"/>
                <w:sz w:val="18"/>
                <w:szCs w:val="18"/>
                <w:lang w:eastAsia="fr-FR"/>
              </w:rPr>
            </w:pPr>
          </w:p>
        </w:tc>
        <w:tc>
          <w:tcPr>
            <w:tcW w:w="0" w:type="auto"/>
            <w:vMerge/>
            <w:tcBorders>
              <w:top w:val="nil"/>
              <w:left w:val="single" w:sz="4" w:space="0" w:color="auto"/>
              <w:bottom w:val="single" w:sz="4" w:space="0" w:color="000000"/>
              <w:right w:val="single" w:sz="4" w:space="0" w:color="auto"/>
            </w:tcBorders>
            <w:vAlign w:val="center"/>
            <w:hideMark/>
          </w:tcPr>
          <w:p w14:paraId="7CA16211" w14:textId="77777777" w:rsidR="00FD3415" w:rsidRPr="00AB1E0E" w:rsidRDefault="00FD3415" w:rsidP="004B6E62">
            <w:pPr>
              <w:rPr>
                <w:rFonts w:cs="Calibri"/>
                <w:sz w:val="18"/>
                <w:szCs w:val="18"/>
                <w:lang w:eastAsia="fr-FR"/>
              </w:rPr>
            </w:pPr>
          </w:p>
        </w:tc>
        <w:tc>
          <w:tcPr>
            <w:tcW w:w="1897" w:type="dxa"/>
            <w:vMerge/>
            <w:tcBorders>
              <w:top w:val="nil"/>
              <w:left w:val="single" w:sz="4" w:space="0" w:color="auto"/>
              <w:bottom w:val="single" w:sz="4" w:space="0" w:color="000000"/>
              <w:right w:val="single" w:sz="4" w:space="0" w:color="auto"/>
            </w:tcBorders>
            <w:vAlign w:val="center"/>
            <w:hideMark/>
          </w:tcPr>
          <w:p w14:paraId="563C2447" w14:textId="77777777" w:rsidR="00FD3415" w:rsidRPr="00AB1E0E" w:rsidRDefault="00FD3415" w:rsidP="004B6E62">
            <w:pPr>
              <w:rPr>
                <w:rFonts w:cs="Calibri"/>
                <w:sz w:val="18"/>
                <w:szCs w:val="18"/>
                <w:lang w:eastAsia="fr-FR"/>
              </w:rPr>
            </w:pPr>
          </w:p>
        </w:tc>
        <w:tc>
          <w:tcPr>
            <w:tcW w:w="2054" w:type="dxa"/>
            <w:vMerge/>
            <w:tcBorders>
              <w:top w:val="nil"/>
              <w:left w:val="single" w:sz="4" w:space="0" w:color="auto"/>
              <w:bottom w:val="single" w:sz="4" w:space="0" w:color="000000"/>
              <w:right w:val="single" w:sz="4" w:space="0" w:color="auto"/>
            </w:tcBorders>
            <w:vAlign w:val="center"/>
            <w:hideMark/>
          </w:tcPr>
          <w:p w14:paraId="5C48AC9B" w14:textId="77777777" w:rsidR="00FD3415" w:rsidRPr="00AB1E0E" w:rsidRDefault="00FD3415" w:rsidP="004B6E62">
            <w:pPr>
              <w:rPr>
                <w:rFonts w:cs="Calibri"/>
                <w:sz w:val="18"/>
                <w:szCs w:val="18"/>
                <w:lang w:eastAsia="fr-FR"/>
              </w:rPr>
            </w:pPr>
          </w:p>
        </w:tc>
        <w:tc>
          <w:tcPr>
            <w:tcW w:w="1123" w:type="dxa"/>
            <w:vMerge/>
            <w:tcBorders>
              <w:top w:val="nil"/>
              <w:left w:val="single" w:sz="4" w:space="0" w:color="auto"/>
              <w:bottom w:val="single" w:sz="4" w:space="0" w:color="000000"/>
              <w:right w:val="single" w:sz="4" w:space="0" w:color="auto"/>
            </w:tcBorders>
            <w:vAlign w:val="center"/>
            <w:hideMark/>
          </w:tcPr>
          <w:p w14:paraId="6B1296F7" w14:textId="77777777" w:rsidR="00FD3415" w:rsidRPr="00AB1E0E" w:rsidRDefault="00FD3415" w:rsidP="004B6E62">
            <w:pPr>
              <w:rPr>
                <w:rFonts w:cs="Calibri"/>
                <w:sz w:val="18"/>
                <w:szCs w:val="18"/>
                <w:lang w:eastAsia="fr-FR"/>
              </w:rPr>
            </w:pPr>
          </w:p>
        </w:tc>
      </w:tr>
      <w:tr w:rsidR="00FD3415" w:rsidRPr="00AB1E0E" w14:paraId="3EF7ADDD" w14:textId="77777777" w:rsidTr="00AE406E">
        <w:trPr>
          <w:trHeight w:val="300"/>
        </w:trPr>
        <w:tc>
          <w:tcPr>
            <w:tcW w:w="0" w:type="auto"/>
            <w:vMerge/>
            <w:tcBorders>
              <w:top w:val="nil"/>
              <w:left w:val="single" w:sz="4" w:space="0" w:color="auto"/>
              <w:bottom w:val="single" w:sz="4" w:space="0" w:color="000000"/>
              <w:right w:val="single" w:sz="4" w:space="0" w:color="auto"/>
            </w:tcBorders>
            <w:vAlign w:val="center"/>
            <w:hideMark/>
          </w:tcPr>
          <w:p w14:paraId="19356CD6" w14:textId="77777777" w:rsidR="00FD3415" w:rsidRPr="00AB1E0E" w:rsidRDefault="00FD3415" w:rsidP="004B6E62">
            <w:pPr>
              <w:rPr>
                <w:rFonts w:cs="Calibri"/>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319D1EAA" w14:textId="77777777" w:rsidR="00FD3415" w:rsidRPr="00AB1E0E" w:rsidRDefault="00FD3415" w:rsidP="004B6E62">
            <w:pPr>
              <w:rPr>
                <w:rFonts w:cs="Calibri"/>
                <w:sz w:val="18"/>
                <w:szCs w:val="18"/>
                <w:lang w:eastAsia="fr-FR"/>
              </w:rPr>
            </w:pPr>
            <w:r w:rsidRPr="00AB1E0E">
              <w:rPr>
                <w:rFonts w:cs="Calibri"/>
                <w:sz w:val="18"/>
                <w:szCs w:val="18"/>
                <w:lang w:eastAsia="fr-FR"/>
              </w:rPr>
              <w:t xml:space="preserve">Utilisation des poteaux en bétons armés </w:t>
            </w:r>
          </w:p>
        </w:tc>
        <w:tc>
          <w:tcPr>
            <w:tcW w:w="0" w:type="auto"/>
            <w:vMerge/>
            <w:tcBorders>
              <w:top w:val="nil"/>
              <w:left w:val="single" w:sz="4" w:space="0" w:color="auto"/>
              <w:bottom w:val="single" w:sz="4" w:space="0" w:color="000000"/>
              <w:right w:val="single" w:sz="4" w:space="0" w:color="auto"/>
            </w:tcBorders>
            <w:vAlign w:val="center"/>
            <w:hideMark/>
          </w:tcPr>
          <w:p w14:paraId="73AE4030" w14:textId="77777777" w:rsidR="00FD3415" w:rsidRPr="00AB1E0E" w:rsidRDefault="00FD3415" w:rsidP="004B6E62">
            <w:pPr>
              <w:rPr>
                <w:rFonts w:cs="Calibri"/>
                <w:sz w:val="18"/>
                <w:szCs w:val="18"/>
                <w:lang w:eastAsia="fr-FR"/>
              </w:rPr>
            </w:pPr>
          </w:p>
        </w:tc>
        <w:tc>
          <w:tcPr>
            <w:tcW w:w="0" w:type="auto"/>
            <w:vMerge/>
            <w:tcBorders>
              <w:top w:val="nil"/>
              <w:left w:val="single" w:sz="4" w:space="0" w:color="auto"/>
              <w:bottom w:val="single" w:sz="4" w:space="0" w:color="000000"/>
              <w:right w:val="single" w:sz="4" w:space="0" w:color="auto"/>
            </w:tcBorders>
            <w:vAlign w:val="center"/>
            <w:hideMark/>
          </w:tcPr>
          <w:p w14:paraId="7EE168DF" w14:textId="77777777" w:rsidR="00FD3415" w:rsidRPr="00AB1E0E" w:rsidRDefault="00FD3415" w:rsidP="004B6E62">
            <w:pPr>
              <w:rPr>
                <w:rFonts w:cs="Calibri"/>
                <w:sz w:val="18"/>
                <w:szCs w:val="18"/>
                <w:lang w:eastAsia="fr-FR"/>
              </w:rPr>
            </w:pPr>
          </w:p>
        </w:tc>
        <w:tc>
          <w:tcPr>
            <w:tcW w:w="1897" w:type="dxa"/>
            <w:vMerge/>
            <w:tcBorders>
              <w:top w:val="nil"/>
              <w:left w:val="single" w:sz="4" w:space="0" w:color="auto"/>
              <w:bottom w:val="single" w:sz="4" w:space="0" w:color="000000"/>
              <w:right w:val="single" w:sz="4" w:space="0" w:color="auto"/>
            </w:tcBorders>
            <w:vAlign w:val="center"/>
            <w:hideMark/>
          </w:tcPr>
          <w:p w14:paraId="28812188" w14:textId="77777777" w:rsidR="00FD3415" w:rsidRPr="00AB1E0E" w:rsidRDefault="00FD3415" w:rsidP="004B6E62">
            <w:pPr>
              <w:rPr>
                <w:rFonts w:cs="Calibri"/>
                <w:sz w:val="18"/>
                <w:szCs w:val="18"/>
                <w:lang w:eastAsia="fr-FR"/>
              </w:rPr>
            </w:pPr>
          </w:p>
        </w:tc>
        <w:tc>
          <w:tcPr>
            <w:tcW w:w="2054" w:type="dxa"/>
            <w:vMerge/>
            <w:tcBorders>
              <w:top w:val="nil"/>
              <w:left w:val="single" w:sz="4" w:space="0" w:color="auto"/>
              <w:bottom w:val="single" w:sz="4" w:space="0" w:color="000000"/>
              <w:right w:val="single" w:sz="4" w:space="0" w:color="auto"/>
            </w:tcBorders>
            <w:vAlign w:val="center"/>
            <w:hideMark/>
          </w:tcPr>
          <w:p w14:paraId="7CF0353F" w14:textId="77777777" w:rsidR="00FD3415" w:rsidRPr="00AB1E0E" w:rsidRDefault="00FD3415" w:rsidP="004B6E62">
            <w:pPr>
              <w:rPr>
                <w:rFonts w:cs="Calibri"/>
                <w:sz w:val="18"/>
                <w:szCs w:val="18"/>
                <w:lang w:eastAsia="fr-FR"/>
              </w:rPr>
            </w:pPr>
          </w:p>
        </w:tc>
        <w:tc>
          <w:tcPr>
            <w:tcW w:w="1123" w:type="dxa"/>
            <w:vMerge/>
            <w:tcBorders>
              <w:top w:val="nil"/>
              <w:left w:val="single" w:sz="4" w:space="0" w:color="auto"/>
              <w:bottom w:val="single" w:sz="4" w:space="0" w:color="000000"/>
              <w:right w:val="single" w:sz="4" w:space="0" w:color="auto"/>
            </w:tcBorders>
            <w:vAlign w:val="center"/>
            <w:hideMark/>
          </w:tcPr>
          <w:p w14:paraId="26379FBC" w14:textId="77777777" w:rsidR="00FD3415" w:rsidRPr="00AB1E0E" w:rsidRDefault="00FD3415" w:rsidP="004B6E62">
            <w:pPr>
              <w:rPr>
                <w:rFonts w:cs="Calibri"/>
                <w:sz w:val="18"/>
                <w:szCs w:val="18"/>
                <w:lang w:eastAsia="fr-FR"/>
              </w:rPr>
            </w:pPr>
          </w:p>
        </w:tc>
      </w:tr>
      <w:tr w:rsidR="00FD3415" w:rsidRPr="00AB1E0E" w14:paraId="1FAA0D07" w14:textId="77777777" w:rsidTr="00AE406E">
        <w:trPr>
          <w:trHeight w:val="96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D5C476" w14:textId="77777777" w:rsidR="00FD3415" w:rsidRPr="00AB1E0E" w:rsidRDefault="00FD3415" w:rsidP="004B6E62">
            <w:pPr>
              <w:rPr>
                <w:rFonts w:cs="Calibri"/>
                <w:sz w:val="18"/>
                <w:szCs w:val="18"/>
                <w:lang w:eastAsia="fr-FR"/>
              </w:rPr>
            </w:pPr>
            <w:r w:rsidRPr="00AB1E0E">
              <w:rPr>
                <w:rFonts w:cs="Calibri"/>
                <w:sz w:val="18"/>
                <w:szCs w:val="18"/>
                <w:lang w:eastAsia="fr-FR"/>
              </w:rPr>
              <w:t>Conflits sociaux par la présence des mains d’œuvre externes</w:t>
            </w:r>
          </w:p>
        </w:tc>
        <w:tc>
          <w:tcPr>
            <w:tcW w:w="0" w:type="auto"/>
            <w:tcBorders>
              <w:top w:val="nil"/>
              <w:left w:val="nil"/>
              <w:bottom w:val="single" w:sz="4" w:space="0" w:color="auto"/>
              <w:right w:val="single" w:sz="4" w:space="0" w:color="auto"/>
            </w:tcBorders>
            <w:shd w:val="clear" w:color="auto" w:fill="auto"/>
            <w:vAlign w:val="center"/>
            <w:hideMark/>
          </w:tcPr>
          <w:p w14:paraId="29DEC028" w14:textId="77777777" w:rsidR="00FD3415" w:rsidRPr="00AB1E0E" w:rsidRDefault="00FD3415" w:rsidP="004B6E62">
            <w:pPr>
              <w:rPr>
                <w:rFonts w:cs="Calibri"/>
                <w:sz w:val="18"/>
                <w:szCs w:val="18"/>
                <w:lang w:eastAsia="fr-FR"/>
              </w:rPr>
            </w:pPr>
            <w:r w:rsidRPr="00AB1E0E">
              <w:rPr>
                <w:rFonts w:cs="Calibri"/>
                <w:sz w:val="18"/>
                <w:szCs w:val="18"/>
                <w:lang w:eastAsia="fr-FR"/>
              </w:rPr>
              <w:t>Affichage des offres d’emploi au niveau Fokontany et Commune concernée. Identification au préalable des sites cultuels ou culturels de la zone du projet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17E777A" w14:textId="77777777" w:rsidR="00FD3415" w:rsidRPr="00AB1E0E" w:rsidRDefault="00FD3415" w:rsidP="004B6E62">
            <w:pPr>
              <w:rPr>
                <w:rFonts w:cs="Calibri"/>
                <w:sz w:val="18"/>
                <w:szCs w:val="18"/>
                <w:lang w:eastAsia="fr-FR"/>
              </w:rPr>
            </w:pPr>
            <w:r w:rsidRPr="00AB1E0E">
              <w:rPr>
                <w:rFonts w:cs="Calibri"/>
                <w:sz w:val="18"/>
                <w:szCs w:val="18"/>
                <w:lang w:eastAsia="fr-FR"/>
              </w:rPr>
              <w:t>Nombre de locaux recrutés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BBA5EF5" w14:textId="77777777" w:rsidR="00FD3415" w:rsidRPr="00AB1E0E" w:rsidRDefault="00FD3415" w:rsidP="004B6E62">
            <w:pPr>
              <w:rPr>
                <w:rFonts w:cs="Calibri"/>
                <w:sz w:val="18"/>
                <w:szCs w:val="18"/>
                <w:lang w:eastAsia="fr-FR"/>
              </w:rPr>
            </w:pPr>
            <w:r w:rsidRPr="00AB1E0E">
              <w:rPr>
                <w:rFonts w:cs="Calibri"/>
                <w:sz w:val="18"/>
                <w:szCs w:val="18"/>
                <w:lang w:eastAsia="fr-FR"/>
              </w:rPr>
              <w:t>Comptage</w:t>
            </w:r>
          </w:p>
        </w:tc>
        <w:tc>
          <w:tcPr>
            <w:tcW w:w="1897" w:type="dxa"/>
            <w:vMerge w:val="restart"/>
            <w:tcBorders>
              <w:top w:val="nil"/>
              <w:left w:val="single" w:sz="4" w:space="0" w:color="auto"/>
              <w:bottom w:val="single" w:sz="4" w:space="0" w:color="auto"/>
              <w:right w:val="single" w:sz="4" w:space="0" w:color="auto"/>
            </w:tcBorders>
            <w:shd w:val="clear" w:color="auto" w:fill="auto"/>
            <w:vAlign w:val="center"/>
            <w:hideMark/>
          </w:tcPr>
          <w:p w14:paraId="47D9BC76" w14:textId="77777777" w:rsidR="00FD3415" w:rsidRPr="00AB1E0E" w:rsidRDefault="00FD3415" w:rsidP="004B6E62">
            <w:pPr>
              <w:rPr>
                <w:rFonts w:cs="Calibri"/>
                <w:sz w:val="18"/>
                <w:szCs w:val="18"/>
                <w:lang w:eastAsia="fr-FR"/>
              </w:rPr>
            </w:pPr>
            <w:r w:rsidRPr="00AB1E0E">
              <w:rPr>
                <w:rFonts w:cs="Calibri"/>
                <w:sz w:val="18"/>
                <w:szCs w:val="18"/>
                <w:lang w:eastAsia="fr-FR"/>
              </w:rPr>
              <w:t>Début des travaux</w:t>
            </w:r>
          </w:p>
        </w:tc>
        <w:tc>
          <w:tcPr>
            <w:tcW w:w="2054" w:type="dxa"/>
            <w:vMerge w:val="restart"/>
            <w:tcBorders>
              <w:top w:val="nil"/>
              <w:left w:val="single" w:sz="4" w:space="0" w:color="auto"/>
              <w:bottom w:val="single" w:sz="4" w:space="0" w:color="auto"/>
              <w:right w:val="single" w:sz="4" w:space="0" w:color="auto"/>
            </w:tcBorders>
            <w:shd w:val="clear" w:color="auto" w:fill="auto"/>
            <w:vAlign w:val="center"/>
            <w:hideMark/>
          </w:tcPr>
          <w:p w14:paraId="071FE472" w14:textId="77777777" w:rsidR="00FD3415" w:rsidRPr="00AB1E0E" w:rsidRDefault="00FD3415" w:rsidP="004B6E62">
            <w:pPr>
              <w:rPr>
                <w:rFonts w:cs="Calibri"/>
                <w:sz w:val="18"/>
                <w:szCs w:val="18"/>
                <w:lang w:eastAsia="fr-FR"/>
              </w:rPr>
            </w:pPr>
            <w:r w:rsidRPr="00AB1E0E">
              <w:rPr>
                <w:rFonts w:cs="Calibri"/>
                <w:sz w:val="18"/>
                <w:szCs w:val="18"/>
                <w:lang w:eastAsia="fr-FR"/>
              </w:rPr>
              <w:t>Entreprise</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hideMark/>
          </w:tcPr>
          <w:p w14:paraId="6D8B9A44" w14:textId="77777777" w:rsidR="00FD3415" w:rsidRPr="00AB1E0E" w:rsidRDefault="00FD3415" w:rsidP="004B6E62">
            <w:pPr>
              <w:rPr>
                <w:rFonts w:cs="Calibri"/>
                <w:sz w:val="18"/>
                <w:szCs w:val="18"/>
                <w:lang w:eastAsia="fr-FR"/>
              </w:rPr>
            </w:pPr>
            <w:r w:rsidRPr="00AB1E0E">
              <w:rPr>
                <w:rFonts w:cs="Calibri"/>
                <w:sz w:val="18"/>
                <w:szCs w:val="18"/>
                <w:lang w:eastAsia="fr-FR"/>
              </w:rPr>
              <w:t>MdC</w:t>
            </w:r>
          </w:p>
        </w:tc>
      </w:tr>
      <w:tr w:rsidR="00FD3415" w:rsidRPr="00AB1E0E" w14:paraId="0F86722E" w14:textId="77777777" w:rsidTr="00AE406E">
        <w:trPr>
          <w:trHeight w:val="495"/>
        </w:trPr>
        <w:tc>
          <w:tcPr>
            <w:tcW w:w="0" w:type="auto"/>
            <w:vMerge/>
            <w:tcBorders>
              <w:top w:val="nil"/>
              <w:left w:val="single" w:sz="4" w:space="0" w:color="auto"/>
              <w:bottom w:val="single" w:sz="4" w:space="0" w:color="auto"/>
              <w:right w:val="single" w:sz="4" w:space="0" w:color="auto"/>
            </w:tcBorders>
            <w:vAlign w:val="center"/>
            <w:hideMark/>
          </w:tcPr>
          <w:p w14:paraId="59C295CA" w14:textId="77777777" w:rsidR="00FD3415" w:rsidRPr="00AB1E0E" w:rsidRDefault="00FD3415" w:rsidP="004B6E62">
            <w:pPr>
              <w:rPr>
                <w:rFonts w:cs="Calibri"/>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18F954D4" w14:textId="77777777" w:rsidR="00FD3415" w:rsidRPr="00AB1E0E" w:rsidRDefault="00FD3415" w:rsidP="004B6E62">
            <w:pPr>
              <w:rPr>
                <w:rFonts w:cs="Calibri"/>
                <w:sz w:val="18"/>
                <w:szCs w:val="18"/>
                <w:lang w:eastAsia="fr-FR"/>
              </w:rPr>
            </w:pPr>
            <w:r w:rsidRPr="00AB1E0E">
              <w:rPr>
                <w:rFonts w:cs="Calibri"/>
                <w:sz w:val="18"/>
                <w:szCs w:val="18"/>
                <w:lang w:eastAsia="fr-FR"/>
              </w:rPr>
              <w:t xml:space="preserve">Information/Sensibilisation des ouvriers. Priorisation du recrutement local </w:t>
            </w:r>
          </w:p>
        </w:tc>
        <w:tc>
          <w:tcPr>
            <w:tcW w:w="0" w:type="auto"/>
            <w:vMerge/>
            <w:tcBorders>
              <w:top w:val="nil"/>
              <w:left w:val="single" w:sz="4" w:space="0" w:color="auto"/>
              <w:bottom w:val="single" w:sz="4" w:space="0" w:color="auto"/>
              <w:right w:val="single" w:sz="4" w:space="0" w:color="auto"/>
            </w:tcBorders>
            <w:vAlign w:val="center"/>
            <w:hideMark/>
          </w:tcPr>
          <w:p w14:paraId="303818D1" w14:textId="77777777" w:rsidR="00FD3415" w:rsidRPr="00AB1E0E" w:rsidRDefault="00FD3415" w:rsidP="004B6E62">
            <w:pPr>
              <w:rPr>
                <w:rFonts w:cs="Calibri"/>
                <w:sz w:val="18"/>
                <w:szCs w:val="18"/>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731CCE8F" w14:textId="77777777" w:rsidR="00FD3415" w:rsidRPr="00AB1E0E" w:rsidRDefault="00FD3415" w:rsidP="004B6E62">
            <w:pPr>
              <w:rPr>
                <w:rFonts w:cs="Calibri"/>
                <w:sz w:val="18"/>
                <w:szCs w:val="18"/>
                <w:lang w:eastAsia="fr-FR"/>
              </w:rPr>
            </w:pPr>
          </w:p>
        </w:tc>
        <w:tc>
          <w:tcPr>
            <w:tcW w:w="1897" w:type="dxa"/>
            <w:vMerge/>
            <w:tcBorders>
              <w:top w:val="nil"/>
              <w:left w:val="single" w:sz="4" w:space="0" w:color="auto"/>
              <w:bottom w:val="single" w:sz="4" w:space="0" w:color="auto"/>
              <w:right w:val="single" w:sz="4" w:space="0" w:color="auto"/>
            </w:tcBorders>
            <w:vAlign w:val="center"/>
            <w:hideMark/>
          </w:tcPr>
          <w:p w14:paraId="332D2C7A" w14:textId="77777777" w:rsidR="00FD3415" w:rsidRPr="00AB1E0E" w:rsidRDefault="00FD3415" w:rsidP="004B6E62">
            <w:pPr>
              <w:rPr>
                <w:rFonts w:cs="Calibri"/>
                <w:sz w:val="18"/>
                <w:szCs w:val="18"/>
                <w:lang w:eastAsia="fr-FR"/>
              </w:rPr>
            </w:pPr>
          </w:p>
        </w:tc>
        <w:tc>
          <w:tcPr>
            <w:tcW w:w="2054" w:type="dxa"/>
            <w:vMerge/>
            <w:tcBorders>
              <w:top w:val="nil"/>
              <w:left w:val="single" w:sz="4" w:space="0" w:color="auto"/>
              <w:bottom w:val="single" w:sz="4" w:space="0" w:color="auto"/>
              <w:right w:val="single" w:sz="4" w:space="0" w:color="auto"/>
            </w:tcBorders>
            <w:vAlign w:val="center"/>
            <w:hideMark/>
          </w:tcPr>
          <w:p w14:paraId="671006C8" w14:textId="77777777" w:rsidR="00FD3415" w:rsidRPr="00AB1E0E" w:rsidRDefault="00FD3415" w:rsidP="004B6E62">
            <w:pPr>
              <w:rPr>
                <w:rFonts w:cs="Calibri"/>
                <w:sz w:val="18"/>
                <w:szCs w:val="18"/>
                <w:lang w:eastAsia="fr-FR"/>
              </w:rPr>
            </w:pPr>
          </w:p>
        </w:tc>
        <w:tc>
          <w:tcPr>
            <w:tcW w:w="1123" w:type="dxa"/>
            <w:vMerge/>
            <w:tcBorders>
              <w:top w:val="nil"/>
              <w:left w:val="single" w:sz="4" w:space="0" w:color="auto"/>
              <w:bottom w:val="single" w:sz="4" w:space="0" w:color="auto"/>
              <w:right w:val="single" w:sz="4" w:space="0" w:color="auto"/>
            </w:tcBorders>
            <w:vAlign w:val="center"/>
            <w:hideMark/>
          </w:tcPr>
          <w:p w14:paraId="6CE104EA" w14:textId="77777777" w:rsidR="00FD3415" w:rsidRPr="00AB1E0E" w:rsidRDefault="00FD3415" w:rsidP="004B6E62">
            <w:pPr>
              <w:rPr>
                <w:rFonts w:cs="Calibri"/>
                <w:sz w:val="18"/>
                <w:szCs w:val="18"/>
                <w:lang w:eastAsia="fr-FR"/>
              </w:rPr>
            </w:pPr>
          </w:p>
        </w:tc>
      </w:tr>
      <w:tr w:rsidR="00FD3415" w:rsidRPr="00AB1E0E" w14:paraId="2AB3C7A9" w14:textId="77777777" w:rsidTr="00AE406E">
        <w:trPr>
          <w:trHeight w:val="55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3D71B37" w14:textId="77777777" w:rsidR="00FD3415" w:rsidRPr="00AB1E0E" w:rsidRDefault="00FD3415" w:rsidP="004B6E62">
            <w:pPr>
              <w:rPr>
                <w:rFonts w:cs="Calibri"/>
                <w:sz w:val="18"/>
                <w:szCs w:val="18"/>
                <w:lang w:eastAsia="fr-FR"/>
              </w:rPr>
            </w:pPr>
            <w:r w:rsidRPr="00AB1E0E">
              <w:rPr>
                <w:rFonts w:cs="Calibri"/>
                <w:sz w:val="18"/>
                <w:szCs w:val="18"/>
                <w:lang w:eastAsia="fr-FR"/>
              </w:rPr>
              <w:t>Perte des biens (terres,…)</w:t>
            </w:r>
          </w:p>
        </w:tc>
        <w:tc>
          <w:tcPr>
            <w:tcW w:w="0" w:type="auto"/>
            <w:tcBorders>
              <w:top w:val="nil"/>
              <w:left w:val="nil"/>
              <w:bottom w:val="single" w:sz="4" w:space="0" w:color="auto"/>
              <w:right w:val="single" w:sz="4" w:space="0" w:color="auto"/>
            </w:tcBorders>
            <w:shd w:val="clear" w:color="auto" w:fill="auto"/>
            <w:vAlign w:val="center"/>
            <w:hideMark/>
          </w:tcPr>
          <w:p w14:paraId="5E3BD1EA" w14:textId="77777777" w:rsidR="00FD3415" w:rsidRPr="00AB1E0E" w:rsidRDefault="00FD3415" w:rsidP="004B6E62">
            <w:pPr>
              <w:rPr>
                <w:rFonts w:cs="Calibri"/>
                <w:sz w:val="18"/>
                <w:szCs w:val="18"/>
                <w:lang w:eastAsia="fr-FR"/>
              </w:rPr>
            </w:pPr>
            <w:r w:rsidRPr="00AB1E0E">
              <w:rPr>
                <w:rFonts w:cs="Calibri"/>
                <w:sz w:val="18"/>
                <w:szCs w:val="18"/>
                <w:lang w:eastAsia="fr-FR"/>
              </w:rPr>
              <w:t>Limiter au strict nécessaire l'emprise du projet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7F0DC0B" w14:textId="77777777" w:rsidR="00FD3415" w:rsidRPr="00AB1E0E" w:rsidRDefault="00FD3415" w:rsidP="004B6E62">
            <w:pPr>
              <w:rPr>
                <w:rFonts w:cs="Calibri"/>
                <w:sz w:val="18"/>
                <w:szCs w:val="18"/>
                <w:lang w:eastAsia="fr-FR"/>
              </w:rPr>
            </w:pPr>
            <w:r w:rsidRPr="00AB1E0E">
              <w:rPr>
                <w:rFonts w:cs="Calibri"/>
                <w:sz w:val="18"/>
                <w:szCs w:val="18"/>
                <w:lang w:eastAsia="fr-FR"/>
              </w:rPr>
              <w:t>Nombre de reçu de paiement des indemnisations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E366A43" w14:textId="77777777" w:rsidR="00FD3415" w:rsidRPr="00AB1E0E" w:rsidRDefault="00FD3415" w:rsidP="004B6E62">
            <w:pPr>
              <w:rPr>
                <w:rFonts w:cs="Calibri"/>
                <w:sz w:val="18"/>
                <w:szCs w:val="18"/>
                <w:lang w:eastAsia="fr-FR"/>
              </w:rPr>
            </w:pPr>
            <w:r w:rsidRPr="00AB1E0E">
              <w:rPr>
                <w:rFonts w:cs="Calibri"/>
                <w:sz w:val="18"/>
                <w:szCs w:val="18"/>
                <w:lang w:eastAsia="fr-FR"/>
              </w:rPr>
              <w:t>Comptage</w:t>
            </w:r>
          </w:p>
        </w:tc>
        <w:tc>
          <w:tcPr>
            <w:tcW w:w="1897" w:type="dxa"/>
            <w:vMerge w:val="restart"/>
            <w:tcBorders>
              <w:top w:val="nil"/>
              <w:left w:val="single" w:sz="4" w:space="0" w:color="auto"/>
              <w:bottom w:val="single" w:sz="4" w:space="0" w:color="auto"/>
              <w:right w:val="single" w:sz="4" w:space="0" w:color="auto"/>
            </w:tcBorders>
            <w:shd w:val="clear" w:color="auto" w:fill="auto"/>
            <w:vAlign w:val="center"/>
            <w:hideMark/>
          </w:tcPr>
          <w:p w14:paraId="78976520" w14:textId="77777777" w:rsidR="00FD3415" w:rsidRPr="00AB1E0E" w:rsidRDefault="00FD3415" w:rsidP="004B6E62">
            <w:pPr>
              <w:rPr>
                <w:rFonts w:cs="Calibri"/>
                <w:sz w:val="18"/>
                <w:szCs w:val="18"/>
                <w:lang w:eastAsia="fr-FR"/>
              </w:rPr>
            </w:pPr>
            <w:r w:rsidRPr="00AB1E0E">
              <w:rPr>
                <w:rFonts w:cs="Calibri"/>
                <w:sz w:val="18"/>
                <w:szCs w:val="18"/>
                <w:lang w:eastAsia="fr-FR"/>
              </w:rPr>
              <w:t>Début des travaux</w:t>
            </w:r>
          </w:p>
        </w:tc>
        <w:tc>
          <w:tcPr>
            <w:tcW w:w="2054" w:type="dxa"/>
            <w:vMerge w:val="restart"/>
            <w:tcBorders>
              <w:top w:val="nil"/>
              <w:left w:val="single" w:sz="4" w:space="0" w:color="auto"/>
              <w:bottom w:val="single" w:sz="4" w:space="0" w:color="auto"/>
              <w:right w:val="single" w:sz="4" w:space="0" w:color="auto"/>
            </w:tcBorders>
            <w:shd w:val="clear" w:color="auto" w:fill="auto"/>
            <w:vAlign w:val="center"/>
            <w:hideMark/>
          </w:tcPr>
          <w:p w14:paraId="630F8631" w14:textId="77777777" w:rsidR="00FD3415" w:rsidRPr="00AB1E0E" w:rsidRDefault="00FD3415" w:rsidP="004B6E62">
            <w:pPr>
              <w:rPr>
                <w:rFonts w:cs="Calibri"/>
                <w:sz w:val="18"/>
                <w:szCs w:val="18"/>
                <w:lang w:eastAsia="fr-FR"/>
              </w:rPr>
            </w:pPr>
            <w:r w:rsidRPr="00AB1E0E">
              <w:rPr>
                <w:rFonts w:cs="Calibri"/>
                <w:sz w:val="18"/>
                <w:szCs w:val="18"/>
                <w:lang w:eastAsia="fr-FR"/>
              </w:rPr>
              <w:t>Entreprise, SONELEC</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hideMark/>
          </w:tcPr>
          <w:p w14:paraId="659BF285" w14:textId="77777777" w:rsidR="00FD3415" w:rsidRPr="00AB1E0E" w:rsidRDefault="00FD3415" w:rsidP="004B6E62">
            <w:pPr>
              <w:rPr>
                <w:rFonts w:cs="Calibri"/>
                <w:sz w:val="18"/>
                <w:szCs w:val="18"/>
                <w:lang w:eastAsia="fr-FR"/>
              </w:rPr>
            </w:pPr>
            <w:r w:rsidRPr="00AB1E0E">
              <w:rPr>
                <w:rFonts w:cs="Calibri"/>
                <w:sz w:val="18"/>
                <w:szCs w:val="18"/>
                <w:lang w:eastAsia="fr-FR"/>
              </w:rPr>
              <w:t>MdC, BM</w:t>
            </w:r>
          </w:p>
        </w:tc>
      </w:tr>
      <w:tr w:rsidR="00FD3415" w:rsidRPr="00AB1E0E" w14:paraId="0605CFF7" w14:textId="77777777" w:rsidTr="00AE406E">
        <w:trPr>
          <w:trHeight w:val="945"/>
        </w:trPr>
        <w:tc>
          <w:tcPr>
            <w:tcW w:w="0" w:type="auto"/>
            <w:vMerge/>
            <w:tcBorders>
              <w:top w:val="nil"/>
              <w:left w:val="single" w:sz="4" w:space="0" w:color="auto"/>
              <w:bottom w:val="single" w:sz="4" w:space="0" w:color="auto"/>
              <w:right w:val="single" w:sz="4" w:space="0" w:color="auto"/>
            </w:tcBorders>
            <w:vAlign w:val="center"/>
            <w:hideMark/>
          </w:tcPr>
          <w:p w14:paraId="4DFF7516" w14:textId="77777777" w:rsidR="00FD3415" w:rsidRPr="00AB1E0E" w:rsidRDefault="00FD3415" w:rsidP="004B6E62">
            <w:pPr>
              <w:rPr>
                <w:rFonts w:cs="Calibri"/>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5C3BACE6" w14:textId="77777777" w:rsidR="00FD3415" w:rsidRPr="00AB1E0E" w:rsidRDefault="00FD3415" w:rsidP="004B6E62">
            <w:pPr>
              <w:rPr>
                <w:rFonts w:cs="Calibri"/>
                <w:sz w:val="18"/>
                <w:szCs w:val="18"/>
                <w:lang w:eastAsia="fr-FR"/>
              </w:rPr>
            </w:pPr>
            <w:r w:rsidRPr="00AB1E0E">
              <w:rPr>
                <w:rFonts w:cs="Calibri"/>
                <w:sz w:val="18"/>
                <w:szCs w:val="18"/>
                <w:lang w:eastAsia="fr-FR"/>
              </w:rPr>
              <w:t>Mise en œuvre de système d'indemnisation pour la Compensation des biens et des activités des PAP</w:t>
            </w:r>
          </w:p>
        </w:tc>
        <w:tc>
          <w:tcPr>
            <w:tcW w:w="0" w:type="auto"/>
            <w:vMerge/>
            <w:tcBorders>
              <w:top w:val="nil"/>
              <w:left w:val="single" w:sz="4" w:space="0" w:color="auto"/>
              <w:bottom w:val="single" w:sz="4" w:space="0" w:color="auto"/>
              <w:right w:val="single" w:sz="4" w:space="0" w:color="auto"/>
            </w:tcBorders>
            <w:vAlign w:val="center"/>
            <w:hideMark/>
          </w:tcPr>
          <w:p w14:paraId="7864E092" w14:textId="77777777" w:rsidR="00FD3415" w:rsidRPr="00AB1E0E" w:rsidRDefault="00FD3415" w:rsidP="004B6E62">
            <w:pPr>
              <w:rPr>
                <w:rFonts w:cs="Calibri"/>
                <w:sz w:val="18"/>
                <w:szCs w:val="18"/>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51084C41" w14:textId="77777777" w:rsidR="00FD3415" w:rsidRPr="00AB1E0E" w:rsidRDefault="00FD3415" w:rsidP="004B6E62">
            <w:pPr>
              <w:rPr>
                <w:rFonts w:cs="Calibri"/>
                <w:sz w:val="18"/>
                <w:szCs w:val="18"/>
                <w:lang w:eastAsia="fr-FR"/>
              </w:rPr>
            </w:pPr>
          </w:p>
        </w:tc>
        <w:tc>
          <w:tcPr>
            <w:tcW w:w="1897" w:type="dxa"/>
            <w:vMerge/>
            <w:tcBorders>
              <w:top w:val="nil"/>
              <w:left w:val="single" w:sz="4" w:space="0" w:color="auto"/>
              <w:bottom w:val="single" w:sz="4" w:space="0" w:color="auto"/>
              <w:right w:val="single" w:sz="4" w:space="0" w:color="auto"/>
            </w:tcBorders>
            <w:vAlign w:val="center"/>
            <w:hideMark/>
          </w:tcPr>
          <w:p w14:paraId="46624656" w14:textId="77777777" w:rsidR="00FD3415" w:rsidRPr="00AB1E0E" w:rsidRDefault="00FD3415" w:rsidP="004B6E62">
            <w:pPr>
              <w:rPr>
                <w:rFonts w:cs="Calibri"/>
                <w:sz w:val="18"/>
                <w:szCs w:val="18"/>
                <w:lang w:eastAsia="fr-FR"/>
              </w:rPr>
            </w:pPr>
          </w:p>
        </w:tc>
        <w:tc>
          <w:tcPr>
            <w:tcW w:w="2054" w:type="dxa"/>
            <w:vMerge/>
            <w:tcBorders>
              <w:top w:val="nil"/>
              <w:left w:val="single" w:sz="4" w:space="0" w:color="auto"/>
              <w:bottom w:val="single" w:sz="4" w:space="0" w:color="auto"/>
              <w:right w:val="single" w:sz="4" w:space="0" w:color="auto"/>
            </w:tcBorders>
            <w:vAlign w:val="center"/>
            <w:hideMark/>
          </w:tcPr>
          <w:p w14:paraId="43311A39" w14:textId="77777777" w:rsidR="00FD3415" w:rsidRPr="00AB1E0E" w:rsidRDefault="00FD3415" w:rsidP="004B6E62">
            <w:pPr>
              <w:rPr>
                <w:rFonts w:cs="Calibri"/>
                <w:sz w:val="18"/>
                <w:szCs w:val="18"/>
                <w:lang w:eastAsia="fr-FR"/>
              </w:rPr>
            </w:pPr>
          </w:p>
        </w:tc>
        <w:tc>
          <w:tcPr>
            <w:tcW w:w="1123" w:type="dxa"/>
            <w:vMerge/>
            <w:tcBorders>
              <w:top w:val="nil"/>
              <w:left w:val="single" w:sz="4" w:space="0" w:color="auto"/>
              <w:bottom w:val="single" w:sz="4" w:space="0" w:color="auto"/>
              <w:right w:val="single" w:sz="4" w:space="0" w:color="auto"/>
            </w:tcBorders>
            <w:vAlign w:val="center"/>
            <w:hideMark/>
          </w:tcPr>
          <w:p w14:paraId="4DC7D366" w14:textId="77777777" w:rsidR="00FD3415" w:rsidRPr="00AB1E0E" w:rsidRDefault="00FD3415" w:rsidP="004B6E62">
            <w:pPr>
              <w:rPr>
                <w:rFonts w:cs="Calibri"/>
                <w:sz w:val="18"/>
                <w:szCs w:val="18"/>
                <w:lang w:eastAsia="fr-FR"/>
              </w:rPr>
            </w:pPr>
          </w:p>
        </w:tc>
      </w:tr>
      <w:tr w:rsidR="00FD3415" w:rsidRPr="00AB1E0E" w14:paraId="3B0F6ACF" w14:textId="77777777" w:rsidTr="00AE406E">
        <w:trPr>
          <w:trHeight w:val="9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07FD64" w14:textId="77777777" w:rsidR="00FD3415" w:rsidRPr="00AB1E0E" w:rsidRDefault="00FD3415" w:rsidP="004B6E62">
            <w:pPr>
              <w:rPr>
                <w:rFonts w:cs="Calibri"/>
                <w:sz w:val="18"/>
                <w:szCs w:val="18"/>
                <w:lang w:eastAsia="fr-FR"/>
              </w:rPr>
            </w:pPr>
            <w:r w:rsidRPr="00AB1E0E">
              <w:rPr>
                <w:rFonts w:cs="Calibri"/>
                <w:sz w:val="18"/>
                <w:szCs w:val="18"/>
                <w:lang w:eastAsia="fr-FR"/>
              </w:rPr>
              <w:t>Nuisances sonores et vibrations pendant le transport</w:t>
            </w:r>
          </w:p>
        </w:tc>
        <w:tc>
          <w:tcPr>
            <w:tcW w:w="0" w:type="auto"/>
            <w:tcBorders>
              <w:top w:val="nil"/>
              <w:left w:val="nil"/>
              <w:bottom w:val="single" w:sz="4" w:space="0" w:color="auto"/>
              <w:right w:val="single" w:sz="4" w:space="0" w:color="auto"/>
            </w:tcBorders>
            <w:shd w:val="clear" w:color="auto" w:fill="auto"/>
            <w:vAlign w:val="center"/>
            <w:hideMark/>
          </w:tcPr>
          <w:p w14:paraId="5590A3D1" w14:textId="77777777" w:rsidR="00FD3415" w:rsidRPr="00AB1E0E" w:rsidRDefault="00FD3415" w:rsidP="004B6E62">
            <w:pPr>
              <w:rPr>
                <w:rFonts w:cs="Calibri"/>
                <w:sz w:val="18"/>
                <w:szCs w:val="18"/>
                <w:lang w:eastAsia="fr-FR"/>
              </w:rPr>
            </w:pPr>
            <w:r w:rsidRPr="00AB1E0E">
              <w:rPr>
                <w:rFonts w:cs="Calibri"/>
                <w:sz w:val="18"/>
                <w:szCs w:val="18"/>
                <w:lang w:eastAsia="fr-FR"/>
              </w:rPr>
              <w:t>N'effectuer les travaux susceptibles d'émettre du bruit que pendant la journée</w:t>
            </w:r>
          </w:p>
        </w:tc>
        <w:tc>
          <w:tcPr>
            <w:tcW w:w="0" w:type="auto"/>
            <w:tcBorders>
              <w:top w:val="nil"/>
              <w:left w:val="nil"/>
              <w:bottom w:val="single" w:sz="4" w:space="0" w:color="auto"/>
              <w:right w:val="single" w:sz="4" w:space="0" w:color="auto"/>
            </w:tcBorders>
            <w:shd w:val="clear" w:color="auto" w:fill="auto"/>
            <w:vAlign w:val="center"/>
            <w:hideMark/>
          </w:tcPr>
          <w:p w14:paraId="28E97580" w14:textId="77777777" w:rsidR="00FD3415" w:rsidRPr="00AB1E0E" w:rsidRDefault="00FD3415" w:rsidP="004B6E62">
            <w:pPr>
              <w:rPr>
                <w:rFonts w:cs="Calibri"/>
                <w:sz w:val="18"/>
                <w:szCs w:val="18"/>
                <w:lang w:eastAsia="fr-FR"/>
              </w:rPr>
            </w:pPr>
            <w:r w:rsidRPr="00AB1E0E">
              <w:rPr>
                <w:rFonts w:cs="Calibri"/>
                <w:sz w:val="18"/>
                <w:szCs w:val="18"/>
                <w:lang w:eastAsia="fr-FR"/>
              </w:rPr>
              <w:t>Nombre de plaintes enregistrées liée aux nuisances sonores et vibrations</w:t>
            </w:r>
          </w:p>
        </w:tc>
        <w:tc>
          <w:tcPr>
            <w:tcW w:w="0" w:type="auto"/>
            <w:tcBorders>
              <w:top w:val="nil"/>
              <w:left w:val="nil"/>
              <w:bottom w:val="single" w:sz="4" w:space="0" w:color="auto"/>
              <w:right w:val="single" w:sz="4" w:space="0" w:color="auto"/>
            </w:tcBorders>
            <w:shd w:val="clear" w:color="auto" w:fill="auto"/>
            <w:vAlign w:val="center"/>
            <w:hideMark/>
          </w:tcPr>
          <w:p w14:paraId="1F4D6A8C" w14:textId="77777777" w:rsidR="00FD3415" w:rsidRPr="00AB1E0E" w:rsidRDefault="00FD3415" w:rsidP="004B6E62">
            <w:pPr>
              <w:rPr>
                <w:rFonts w:cs="Calibri"/>
                <w:sz w:val="18"/>
                <w:szCs w:val="18"/>
                <w:lang w:eastAsia="fr-FR"/>
              </w:rPr>
            </w:pPr>
            <w:r w:rsidRPr="00AB1E0E">
              <w:rPr>
                <w:rFonts w:cs="Calibri"/>
                <w:sz w:val="18"/>
                <w:szCs w:val="18"/>
                <w:lang w:eastAsia="fr-FR"/>
              </w:rPr>
              <w:t> </w:t>
            </w:r>
          </w:p>
        </w:tc>
        <w:tc>
          <w:tcPr>
            <w:tcW w:w="1897" w:type="dxa"/>
            <w:tcBorders>
              <w:top w:val="nil"/>
              <w:left w:val="nil"/>
              <w:bottom w:val="single" w:sz="4" w:space="0" w:color="auto"/>
              <w:right w:val="single" w:sz="4" w:space="0" w:color="auto"/>
            </w:tcBorders>
            <w:shd w:val="clear" w:color="auto" w:fill="auto"/>
            <w:vAlign w:val="center"/>
            <w:hideMark/>
          </w:tcPr>
          <w:p w14:paraId="77FD356D" w14:textId="77777777" w:rsidR="00FD3415" w:rsidRPr="00AB1E0E" w:rsidRDefault="00FD3415" w:rsidP="004B6E62">
            <w:pPr>
              <w:rPr>
                <w:rFonts w:cs="Calibri"/>
                <w:sz w:val="18"/>
                <w:szCs w:val="18"/>
                <w:lang w:eastAsia="fr-FR"/>
              </w:rPr>
            </w:pPr>
            <w:r w:rsidRPr="00AB1E0E">
              <w:rPr>
                <w:rFonts w:cs="Calibri"/>
                <w:sz w:val="18"/>
                <w:szCs w:val="18"/>
                <w:lang w:eastAsia="fr-FR"/>
              </w:rPr>
              <w:t> </w:t>
            </w:r>
          </w:p>
        </w:tc>
        <w:tc>
          <w:tcPr>
            <w:tcW w:w="2054" w:type="dxa"/>
            <w:tcBorders>
              <w:top w:val="nil"/>
              <w:left w:val="nil"/>
              <w:bottom w:val="single" w:sz="4" w:space="0" w:color="auto"/>
              <w:right w:val="single" w:sz="4" w:space="0" w:color="auto"/>
            </w:tcBorders>
            <w:shd w:val="clear" w:color="auto" w:fill="auto"/>
            <w:vAlign w:val="center"/>
            <w:hideMark/>
          </w:tcPr>
          <w:p w14:paraId="47F79C1F" w14:textId="77777777" w:rsidR="00FD3415" w:rsidRPr="00AB1E0E" w:rsidRDefault="00FD3415" w:rsidP="004B6E62">
            <w:pPr>
              <w:rPr>
                <w:rFonts w:cs="Calibri"/>
                <w:sz w:val="18"/>
                <w:szCs w:val="18"/>
                <w:lang w:eastAsia="fr-FR"/>
              </w:rPr>
            </w:pPr>
            <w:r w:rsidRPr="00AB1E0E">
              <w:rPr>
                <w:rFonts w:cs="Calibri"/>
                <w:sz w:val="18"/>
                <w:szCs w:val="18"/>
                <w:lang w:eastAsia="fr-FR"/>
              </w:rPr>
              <w:t>Entreprise</w:t>
            </w:r>
          </w:p>
        </w:tc>
        <w:tc>
          <w:tcPr>
            <w:tcW w:w="1123" w:type="dxa"/>
            <w:tcBorders>
              <w:top w:val="nil"/>
              <w:left w:val="nil"/>
              <w:bottom w:val="single" w:sz="4" w:space="0" w:color="auto"/>
              <w:right w:val="single" w:sz="4" w:space="0" w:color="auto"/>
            </w:tcBorders>
            <w:shd w:val="clear" w:color="auto" w:fill="auto"/>
            <w:vAlign w:val="center"/>
            <w:hideMark/>
          </w:tcPr>
          <w:p w14:paraId="012D1F1E" w14:textId="77777777" w:rsidR="00FD3415" w:rsidRPr="00AB1E0E" w:rsidRDefault="00FD3415" w:rsidP="004B6E62">
            <w:pPr>
              <w:rPr>
                <w:rFonts w:cs="Calibri"/>
                <w:sz w:val="18"/>
                <w:szCs w:val="18"/>
                <w:lang w:eastAsia="fr-FR"/>
              </w:rPr>
            </w:pPr>
            <w:r w:rsidRPr="00AB1E0E">
              <w:rPr>
                <w:rFonts w:cs="Calibri"/>
                <w:sz w:val="18"/>
                <w:szCs w:val="18"/>
                <w:lang w:eastAsia="fr-FR"/>
              </w:rPr>
              <w:t>MdC</w:t>
            </w:r>
          </w:p>
        </w:tc>
      </w:tr>
      <w:tr w:rsidR="00FD3415" w:rsidRPr="00AB1E0E" w14:paraId="33B52C24" w14:textId="77777777" w:rsidTr="00AE406E">
        <w:trPr>
          <w:trHeight w:val="7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98167C8" w14:textId="77777777" w:rsidR="00FD3415" w:rsidRPr="00AB1E0E" w:rsidRDefault="00FD3415" w:rsidP="004B6E62">
            <w:pPr>
              <w:rPr>
                <w:rFonts w:cs="Calibri"/>
                <w:sz w:val="18"/>
                <w:szCs w:val="18"/>
                <w:lang w:eastAsia="fr-FR"/>
              </w:rPr>
            </w:pPr>
            <w:r w:rsidRPr="00AB1E0E">
              <w:rPr>
                <w:rFonts w:cs="Calibri"/>
                <w:sz w:val="18"/>
                <w:szCs w:val="18"/>
                <w:lang w:eastAsia="fr-FR"/>
              </w:rPr>
              <w:t>Risque de transmission des maladies transmissibles (MST/VIH SIDA, COVID19)</w:t>
            </w:r>
          </w:p>
        </w:tc>
        <w:tc>
          <w:tcPr>
            <w:tcW w:w="0" w:type="auto"/>
            <w:tcBorders>
              <w:top w:val="nil"/>
              <w:left w:val="nil"/>
              <w:bottom w:val="single" w:sz="4" w:space="0" w:color="auto"/>
              <w:right w:val="single" w:sz="4" w:space="0" w:color="auto"/>
            </w:tcBorders>
            <w:shd w:val="clear" w:color="auto" w:fill="auto"/>
            <w:vAlign w:val="center"/>
            <w:hideMark/>
          </w:tcPr>
          <w:p w14:paraId="54774E21" w14:textId="77777777" w:rsidR="00FD3415" w:rsidRPr="00AB1E0E" w:rsidRDefault="00FD3415" w:rsidP="004B6E62">
            <w:pPr>
              <w:rPr>
                <w:rFonts w:cs="Calibri"/>
                <w:sz w:val="18"/>
                <w:szCs w:val="18"/>
                <w:lang w:eastAsia="fr-FR"/>
              </w:rPr>
            </w:pPr>
            <w:r w:rsidRPr="00AB1E0E">
              <w:rPr>
                <w:rFonts w:cs="Calibri"/>
                <w:sz w:val="18"/>
                <w:szCs w:val="18"/>
                <w:lang w:eastAsia="fr-FR"/>
              </w:rPr>
              <w:t xml:space="preserve">Assurer la disponibilité gratuite et régulière de préservatifs pour les mains d’œuvres jusqu’à la fin du chantier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FFD2618" w14:textId="77777777" w:rsidR="00FD3415" w:rsidRPr="00AB1E0E" w:rsidRDefault="00FD3415" w:rsidP="004B6E62">
            <w:pPr>
              <w:rPr>
                <w:rFonts w:cs="Calibri"/>
                <w:sz w:val="18"/>
                <w:szCs w:val="18"/>
                <w:lang w:eastAsia="fr-FR"/>
              </w:rPr>
            </w:pPr>
            <w:r w:rsidRPr="00AB1E0E">
              <w:rPr>
                <w:rFonts w:cs="Calibri"/>
                <w:sz w:val="18"/>
                <w:szCs w:val="18"/>
                <w:lang w:eastAsia="fr-FR"/>
              </w:rPr>
              <w:t>Nombre de plaintes enregistrées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DAB6C51" w14:textId="77777777" w:rsidR="00FD3415" w:rsidRPr="00AB1E0E" w:rsidRDefault="00FD3415" w:rsidP="004B6E62">
            <w:pPr>
              <w:rPr>
                <w:rFonts w:cs="Calibri"/>
                <w:sz w:val="18"/>
                <w:szCs w:val="18"/>
                <w:lang w:eastAsia="fr-FR"/>
              </w:rPr>
            </w:pPr>
            <w:r w:rsidRPr="00AB1E0E">
              <w:rPr>
                <w:rFonts w:cs="Calibri"/>
                <w:sz w:val="18"/>
                <w:szCs w:val="18"/>
                <w:lang w:eastAsia="fr-FR"/>
              </w:rPr>
              <w:t>Consultation registre de plainte</w:t>
            </w:r>
          </w:p>
        </w:tc>
        <w:tc>
          <w:tcPr>
            <w:tcW w:w="1897" w:type="dxa"/>
            <w:vMerge w:val="restart"/>
            <w:tcBorders>
              <w:top w:val="nil"/>
              <w:left w:val="single" w:sz="4" w:space="0" w:color="auto"/>
              <w:bottom w:val="single" w:sz="4" w:space="0" w:color="auto"/>
              <w:right w:val="single" w:sz="4" w:space="0" w:color="auto"/>
            </w:tcBorders>
            <w:shd w:val="clear" w:color="auto" w:fill="auto"/>
            <w:vAlign w:val="center"/>
            <w:hideMark/>
          </w:tcPr>
          <w:p w14:paraId="2467342C" w14:textId="77777777" w:rsidR="00FD3415" w:rsidRPr="00AB1E0E" w:rsidRDefault="00FD3415" w:rsidP="004B6E62">
            <w:pPr>
              <w:rPr>
                <w:rFonts w:cs="Calibri"/>
                <w:sz w:val="18"/>
                <w:szCs w:val="18"/>
                <w:lang w:eastAsia="fr-FR"/>
              </w:rPr>
            </w:pPr>
            <w:r w:rsidRPr="00AB1E0E">
              <w:rPr>
                <w:rFonts w:cs="Calibri"/>
                <w:sz w:val="18"/>
                <w:szCs w:val="18"/>
                <w:lang w:eastAsia="fr-FR"/>
              </w:rPr>
              <w:t>Mensuel</w:t>
            </w:r>
          </w:p>
        </w:tc>
        <w:tc>
          <w:tcPr>
            <w:tcW w:w="2054" w:type="dxa"/>
            <w:vMerge w:val="restart"/>
            <w:tcBorders>
              <w:top w:val="nil"/>
              <w:left w:val="single" w:sz="4" w:space="0" w:color="auto"/>
              <w:bottom w:val="single" w:sz="4" w:space="0" w:color="auto"/>
              <w:right w:val="single" w:sz="4" w:space="0" w:color="auto"/>
            </w:tcBorders>
            <w:shd w:val="clear" w:color="auto" w:fill="auto"/>
            <w:vAlign w:val="center"/>
            <w:hideMark/>
          </w:tcPr>
          <w:p w14:paraId="2649402C" w14:textId="77777777" w:rsidR="00FD3415" w:rsidRPr="00AB1E0E" w:rsidRDefault="00FD3415" w:rsidP="004B6E62">
            <w:pPr>
              <w:rPr>
                <w:rFonts w:cs="Calibri"/>
                <w:sz w:val="18"/>
                <w:szCs w:val="18"/>
                <w:lang w:eastAsia="fr-FR"/>
              </w:rPr>
            </w:pPr>
            <w:r w:rsidRPr="00AB1E0E">
              <w:rPr>
                <w:rFonts w:cs="Calibri"/>
                <w:sz w:val="18"/>
                <w:szCs w:val="18"/>
                <w:lang w:eastAsia="fr-FR"/>
              </w:rPr>
              <w:t>Entreprise</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hideMark/>
          </w:tcPr>
          <w:p w14:paraId="632F96B3" w14:textId="77777777" w:rsidR="00FD3415" w:rsidRPr="00AB1E0E" w:rsidRDefault="00FD3415" w:rsidP="004B6E62">
            <w:pPr>
              <w:rPr>
                <w:rFonts w:cs="Calibri"/>
                <w:sz w:val="18"/>
                <w:szCs w:val="18"/>
                <w:lang w:eastAsia="fr-FR"/>
              </w:rPr>
            </w:pPr>
            <w:r w:rsidRPr="00AB1E0E">
              <w:rPr>
                <w:rFonts w:cs="Calibri"/>
                <w:sz w:val="18"/>
                <w:szCs w:val="18"/>
                <w:lang w:eastAsia="fr-FR"/>
              </w:rPr>
              <w:t>MdC</w:t>
            </w:r>
          </w:p>
        </w:tc>
      </w:tr>
      <w:tr w:rsidR="00FD3415" w:rsidRPr="00AB1E0E" w14:paraId="367F4C9B" w14:textId="77777777" w:rsidTr="00AE406E">
        <w:trPr>
          <w:trHeight w:val="1545"/>
        </w:trPr>
        <w:tc>
          <w:tcPr>
            <w:tcW w:w="0" w:type="auto"/>
            <w:vMerge/>
            <w:tcBorders>
              <w:top w:val="nil"/>
              <w:left w:val="single" w:sz="4" w:space="0" w:color="auto"/>
              <w:bottom w:val="single" w:sz="4" w:space="0" w:color="auto"/>
              <w:right w:val="single" w:sz="4" w:space="0" w:color="auto"/>
            </w:tcBorders>
            <w:vAlign w:val="center"/>
            <w:hideMark/>
          </w:tcPr>
          <w:p w14:paraId="486B361F" w14:textId="77777777" w:rsidR="00FD3415" w:rsidRPr="00AB1E0E" w:rsidRDefault="00FD3415" w:rsidP="004B6E62">
            <w:pPr>
              <w:rPr>
                <w:rFonts w:cs="Calibri"/>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54082352" w14:textId="77777777" w:rsidR="00FD3415" w:rsidRPr="00AB1E0E" w:rsidRDefault="00FD3415" w:rsidP="004B6E62">
            <w:pPr>
              <w:rPr>
                <w:rFonts w:cs="Calibri"/>
                <w:sz w:val="18"/>
                <w:szCs w:val="18"/>
                <w:lang w:eastAsia="fr-FR"/>
              </w:rPr>
            </w:pPr>
            <w:r w:rsidRPr="00AB1E0E">
              <w:rPr>
                <w:rFonts w:cs="Calibri"/>
                <w:sz w:val="18"/>
                <w:szCs w:val="18"/>
                <w:lang w:eastAsia="fr-FR"/>
              </w:rPr>
              <w:t>Information / Sensibilisation du personnel de l’entreprise sur les dangers et risques des IST/SIDA. Information / sensibilisation sur les mœurs locales. Mise à disposition de registre de plainte auprès des autorités locales</w:t>
            </w:r>
          </w:p>
        </w:tc>
        <w:tc>
          <w:tcPr>
            <w:tcW w:w="0" w:type="auto"/>
            <w:vMerge/>
            <w:tcBorders>
              <w:top w:val="nil"/>
              <w:left w:val="single" w:sz="4" w:space="0" w:color="auto"/>
              <w:bottom w:val="single" w:sz="4" w:space="0" w:color="auto"/>
              <w:right w:val="single" w:sz="4" w:space="0" w:color="auto"/>
            </w:tcBorders>
            <w:vAlign w:val="center"/>
            <w:hideMark/>
          </w:tcPr>
          <w:p w14:paraId="573FD562" w14:textId="77777777" w:rsidR="00FD3415" w:rsidRPr="00AB1E0E" w:rsidRDefault="00FD3415" w:rsidP="004B6E62">
            <w:pPr>
              <w:rPr>
                <w:rFonts w:cs="Calibri"/>
                <w:sz w:val="18"/>
                <w:szCs w:val="18"/>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46E9ED36" w14:textId="77777777" w:rsidR="00FD3415" w:rsidRPr="00AB1E0E" w:rsidRDefault="00FD3415" w:rsidP="004B6E62">
            <w:pPr>
              <w:rPr>
                <w:rFonts w:cs="Calibri"/>
                <w:sz w:val="18"/>
                <w:szCs w:val="18"/>
                <w:lang w:eastAsia="fr-FR"/>
              </w:rPr>
            </w:pPr>
          </w:p>
        </w:tc>
        <w:tc>
          <w:tcPr>
            <w:tcW w:w="1897" w:type="dxa"/>
            <w:vMerge/>
            <w:tcBorders>
              <w:top w:val="nil"/>
              <w:left w:val="single" w:sz="4" w:space="0" w:color="auto"/>
              <w:bottom w:val="single" w:sz="4" w:space="0" w:color="auto"/>
              <w:right w:val="single" w:sz="4" w:space="0" w:color="auto"/>
            </w:tcBorders>
            <w:vAlign w:val="center"/>
            <w:hideMark/>
          </w:tcPr>
          <w:p w14:paraId="173E1DF1" w14:textId="77777777" w:rsidR="00FD3415" w:rsidRPr="00AB1E0E" w:rsidRDefault="00FD3415" w:rsidP="004B6E62">
            <w:pPr>
              <w:rPr>
                <w:rFonts w:cs="Calibri"/>
                <w:sz w:val="18"/>
                <w:szCs w:val="18"/>
                <w:lang w:eastAsia="fr-FR"/>
              </w:rPr>
            </w:pPr>
          </w:p>
        </w:tc>
        <w:tc>
          <w:tcPr>
            <w:tcW w:w="2054" w:type="dxa"/>
            <w:vMerge/>
            <w:tcBorders>
              <w:top w:val="nil"/>
              <w:left w:val="single" w:sz="4" w:space="0" w:color="auto"/>
              <w:bottom w:val="single" w:sz="4" w:space="0" w:color="auto"/>
              <w:right w:val="single" w:sz="4" w:space="0" w:color="auto"/>
            </w:tcBorders>
            <w:vAlign w:val="center"/>
            <w:hideMark/>
          </w:tcPr>
          <w:p w14:paraId="450F5A8D" w14:textId="77777777" w:rsidR="00FD3415" w:rsidRPr="00AB1E0E" w:rsidRDefault="00FD3415" w:rsidP="004B6E62">
            <w:pPr>
              <w:rPr>
                <w:rFonts w:cs="Calibri"/>
                <w:sz w:val="18"/>
                <w:szCs w:val="18"/>
                <w:lang w:eastAsia="fr-FR"/>
              </w:rPr>
            </w:pPr>
          </w:p>
        </w:tc>
        <w:tc>
          <w:tcPr>
            <w:tcW w:w="1123" w:type="dxa"/>
            <w:vMerge/>
            <w:tcBorders>
              <w:top w:val="nil"/>
              <w:left w:val="single" w:sz="4" w:space="0" w:color="auto"/>
              <w:bottom w:val="single" w:sz="4" w:space="0" w:color="auto"/>
              <w:right w:val="single" w:sz="4" w:space="0" w:color="auto"/>
            </w:tcBorders>
            <w:vAlign w:val="center"/>
            <w:hideMark/>
          </w:tcPr>
          <w:p w14:paraId="7911AF4E" w14:textId="77777777" w:rsidR="00FD3415" w:rsidRPr="00AB1E0E" w:rsidRDefault="00FD3415" w:rsidP="004B6E62">
            <w:pPr>
              <w:rPr>
                <w:rFonts w:cs="Calibri"/>
                <w:sz w:val="18"/>
                <w:szCs w:val="18"/>
                <w:lang w:eastAsia="fr-FR"/>
              </w:rPr>
            </w:pPr>
          </w:p>
        </w:tc>
      </w:tr>
      <w:tr w:rsidR="00FD3415" w:rsidRPr="00AB1E0E" w14:paraId="49F90B7E" w14:textId="77777777" w:rsidTr="00AE406E">
        <w:trPr>
          <w:trHeight w:val="168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CAAA728" w14:textId="77777777" w:rsidR="00FD3415" w:rsidRPr="00AB1E0E" w:rsidRDefault="00FD3415" w:rsidP="004B6E62">
            <w:pPr>
              <w:rPr>
                <w:rFonts w:cs="Calibri"/>
                <w:sz w:val="18"/>
                <w:szCs w:val="18"/>
                <w:lang w:eastAsia="fr-FR"/>
              </w:rPr>
            </w:pPr>
            <w:r w:rsidRPr="00AB1E0E">
              <w:rPr>
                <w:rFonts w:cs="Calibri"/>
                <w:sz w:val="18"/>
                <w:szCs w:val="18"/>
                <w:lang w:eastAsia="fr-FR"/>
              </w:rPr>
              <w:t>Risque d'augmentation des cas de VBG, EAS/HS et grossesse non désirée</w:t>
            </w:r>
          </w:p>
        </w:tc>
        <w:tc>
          <w:tcPr>
            <w:tcW w:w="0" w:type="auto"/>
            <w:tcBorders>
              <w:top w:val="nil"/>
              <w:left w:val="nil"/>
              <w:bottom w:val="single" w:sz="4" w:space="0" w:color="auto"/>
              <w:right w:val="single" w:sz="4" w:space="0" w:color="auto"/>
            </w:tcBorders>
            <w:shd w:val="clear" w:color="auto" w:fill="auto"/>
            <w:vAlign w:val="center"/>
            <w:hideMark/>
          </w:tcPr>
          <w:p w14:paraId="49DB82FF" w14:textId="77777777" w:rsidR="00FD3415" w:rsidRPr="00AB1E0E" w:rsidRDefault="00FD3415" w:rsidP="004B6E62">
            <w:pPr>
              <w:rPr>
                <w:rFonts w:cs="Calibri"/>
                <w:sz w:val="18"/>
                <w:szCs w:val="18"/>
                <w:lang w:eastAsia="fr-FR"/>
              </w:rPr>
            </w:pPr>
            <w:r w:rsidRPr="00AB1E0E">
              <w:rPr>
                <w:rFonts w:cs="Calibri"/>
                <w:sz w:val="18"/>
                <w:szCs w:val="18"/>
                <w:lang w:eastAsia="fr-FR"/>
              </w:rPr>
              <w:t>Information / Sensibilisation du personnel de l’entreprise sur les dangers et risques des IST/SIDA. Information / sensibilisation sur les mœurs locales. Mise à disposition de registre de plainte auprès des autorités locales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53D45D6" w14:textId="77777777" w:rsidR="00FD3415" w:rsidRPr="00AB1E0E" w:rsidRDefault="00FD3415" w:rsidP="004B6E62">
            <w:pPr>
              <w:rPr>
                <w:rFonts w:cs="Calibri"/>
                <w:sz w:val="18"/>
                <w:szCs w:val="18"/>
                <w:lang w:eastAsia="fr-FR"/>
              </w:rPr>
            </w:pPr>
            <w:r w:rsidRPr="00AB1E0E">
              <w:rPr>
                <w:rFonts w:cs="Calibri"/>
                <w:sz w:val="18"/>
                <w:szCs w:val="18"/>
                <w:lang w:eastAsia="fr-FR"/>
              </w:rPr>
              <w:t>Nombre de plaintes enregistrées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AACC403" w14:textId="77777777" w:rsidR="00FD3415" w:rsidRPr="00AB1E0E" w:rsidRDefault="00FD3415" w:rsidP="004B6E62">
            <w:pPr>
              <w:rPr>
                <w:rFonts w:cs="Calibri"/>
                <w:sz w:val="18"/>
                <w:szCs w:val="18"/>
                <w:lang w:eastAsia="fr-FR"/>
              </w:rPr>
            </w:pPr>
            <w:r w:rsidRPr="00AB1E0E">
              <w:rPr>
                <w:rFonts w:cs="Calibri"/>
                <w:sz w:val="18"/>
                <w:szCs w:val="18"/>
                <w:lang w:eastAsia="fr-FR"/>
              </w:rPr>
              <w:t>Consultation registre de plainte</w:t>
            </w:r>
          </w:p>
        </w:tc>
        <w:tc>
          <w:tcPr>
            <w:tcW w:w="1897" w:type="dxa"/>
            <w:vMerge w:val="restart"/>
            <w:tcBorders>
              <w:top w:val="nil"/>
              <w:left w:val="single" w:sz="4" w:space="0" w:color="auto"/>
              <w:bottom w:val="single" w:sz="4" w:space="0" w:color="000000"/>
              <w:right w:val="single" w:sz="4" w:space="0" w:color="auto"/>
            </w:tcBorders>
            <w:shd w:val="clear" w:color="auto" w:fill="auto"/>
            <w:vAlign w:val="center"/>
            <w:hideMark/>
          </w:tcPr>
          <w:p w14:paraId="70E87370" w14:textId="77777777" w:rsidR="00FD3415" w:rsidRPr="00AB1E0E" w:rsidRDefault="00FD3415" w:rsidP="004B6E62">
            <w:pPr>
              <w:rPr>
                <w:rFonts w:cs="Calibri"/>
                <w:sz w:val="18"/>
                <w:szCs w:val="18"/>
                <w:lang w:eastAsia="fr-FR"/>
              </w:rPr>
            </w:pPr>
            <w:r w:rsidRPr="00AB1E0E">
              <w:rPr>
                <w:rFonts w:cs="Calibri"/>
                <w:sz w:val="18"/>
                <w:szCs w:val="18"/>
                <w:lang w:eastAsia="fr-FR"/>
              </w:rPr>
              <w:t>Mensuel</w:t>
            </w:r>
          </w:p>
        </w:tc>
        <w:tc>
          <w:tcPr>
            <w:tcW w:w="2054" w:type="dxa"/>
            <w:vMerge w:val="restart"/>
            <w:tcBorders>
              <w:top w:val="nil"/>
              <w:left w:val="single" w:sz="4" w:space="0" w:color="auto"/>
              <w:bottom w:val="single" w:sz="4" w:space="0" w:color="000000"/>
              <w:right w:val="single" w:sz="4" w:space="0" w:color="auto"/>
            </w:tcBorders>
            <w:shd w:val="clear" w:color="auto" w:fill="auto"/>
            <w:vAlign w:val="center"/>
            <w:hideMark/>
          </w:tcPr>
          <w:p w14:paraId="20A1936A" w14:textId="77777777" w:rsidR="00FD3415" w:rsidRPr="00AB1E0E" w:rsidRDefault="00FD3415" w:rsidP="004B6E62">
            <w:pPr>
              <w:rPr>
                <w:rFonts w:cs="Calibri"/>
                <w:sz w:val="18"/>
                <w:szCs w:val="18"/>
                <w:lang w:eastAsia="fr-FR"/>
              </w:rPr>
            </w:pPr>
            <w:r w:rsidRPr="00AB1E0E">
              <w:rPr>
                <w:rFonts w:cs="Calibri"/>
                <w:sz w:val="18"/>
                <w:szCs w:val="18"/>
                <w:lang w:eastAsia="fr-FR"/>
              </w:rPr>
              <w:t>Entreprise</w:t>
            </w:r>
          </w:p>
        </w:tc>
        <w:tc>
          <w:tcPr>
            <w:tcW w:w="1123" w:type="dxa"/>
            <w:vMerge w:val="restart"/>
            <w:tcBorders>
              <w:top w:val="nil"/>
              <w:left w:val="single" w:sz="4" w:space="0" w:color="auto"/>
              <w:bottom w:val="single" w:sz="4" w:space="0" w:color="000000"/>
              <w:right w:val="single" w:sz="4" w:space="0" w:color="auto"/>
            </w:tcBorders>
            <w:shd w:val="clear" w:color="auto" w:fill="auto"/>
            <w:vAlign w:val="center"/>
            <w:hideMark/>
          </w:tcPr>
          <w:p w14:paraId="71A10992" w14:textId="77777777" w:rsidR="00FD3415" w:rsidRPr="00AB1E0E" w:rsidRDefault="00FD3415" w:rsidP="004B6E62">
            <w:pPr>
              <w:rPr>
                <w:rFonts w:cs="Calibri"/>
                <w:sz w:val="18"/>
                <w:szCs w:val="18"/>
                <w:lang w:eastAsia="fr-FR"/>
              </w:rPr>
            </w:pPr>
            <w:r w:rsidRPr="00AB1E0E">
              <w:rPr>
                <w:rFonts w:cs="Calibri"/>
                <w:sz w:val="18"/>
                <w:szCs w:val="18"/>
                <w:lang w:eastAsia="fr-FR"/>
              </w:rPr>
              <w:t>MdC</w:t>
            </w:r>
          </w:p>
        </w:tc>
      </w:tr>
      <w:tr w:rsidR="00FD3415" w:rsidRPr="00AB1E0E" w14:paraId="26ED96C1" w14:textId="77777777" w:rsidTr="00AE406E">
        <w:trPr>
          <w:trHeight w:val="480"/>
        </w:trPr>
        <w:tc>
          <w:tcPr>
            <w:tcW w:w="0" w:type="auto"/>
            <w:vMerge/>
            <w:tcBorders>
              <w:top w:val="nil"/>
              <w:left w:val="single" w:sz="4" w:space="0" w:color="auto"/>
              <w:bottom w:val="single" w:sz="4" w:space="0" w:color="000000"/>
              <w:right w:val="single" w:sz="4" w:space="0" w:color="auto"/>
            </w:tcBorders>
            <w:vAlign w:val="center"/>
            <w:hideMark/>
          </w:tcPr>
          <w:p w14:paraId="723AB883" w14:textId="77777777" w:rsidR="00FD3415" w:rsidRPr="00AB1E0E" w:rsidRDefault="00FD3415" w:rsidP="004B6E62">
            <w:pPr>
              <w:rPr>
                <w:rFonts w:cs="Calibri"/>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51C56E54" w14:textId="77777777" w:rsidR="00FD3415" w:rsidRPr="00AB1E0E" w:rsidRDefault="00FD3415" w:rsidP="004B6E62">
            <w:pPr>
              <w:rPr>
                <w:rFonts w:cs="Calibri"/>
                <w:sz w:val="18"/>
                <w:szCs w:val="18"/>
                <w:lang w:eastAsia="fr-FR"/>
              </w:rPr>
            </w:pPr>
            <w:r w:rsidRPr="00AB1E0E">
              <w:rPr>
                <w:rFonts w:cs="Calibri"/>
                <w:sz w:val="18"/>
                <w:szCs w:val="18"/>
                <w:lang w:eastAsia="fr-FR"/>
              </w:rPr>
              <w:t>Mise à disposition de registre de plainte auprès des autorités locales</w:t>
            </w:r>
          </w:p>
        </w:tc>
        <w:tc>
          <w:tcPr>
            <w:tcW w:w="0" w:type="auto"/>
            <w:vMerge/>
            <w:tcBorders>
              <w:top w:val="nil"/>
              <w:left w:val="single" w:sz="4" w:space="0" w:color="auto"/>
              <w:bottom w:val="single" w:sz="4" w:space="0" w:color="000000"/>
              <w:right w:val="single" w:sz="4" w:space="0" w:color="auto"/>
            </w:tcBorders>
            <w:vAlign w:val="center"/>
            <w:hideMark/>
          </w:tcPr>
          <w:p w14:paraId="1E26665B" w14:textId="77777777" w:rsidR="00FD3415" w:rsidRPr="00AB1E0E" w:rsidRDefault="00FD3415" w:rsidP="004B6E62">
            <w:pPr>
              <w:rPr>
                <w:rFonts w:cs="Calibri"/>
                <w:sz w:val="18"/>
                <w:szCs w:val="18"/>
                <w:lang w:eastAsia="fr-FR"/>
              </w:rPr>
            </w:pPr>
          </w:p>
        </w:tc>
        <w:tc>
          <w:tcPr>
            <w:tcW w:w="0" w:type="auto"/>
            <w:vMerge/>
            <w:tcBorders>
              <w:top w:val="nil"/>
              <w:left w:val="single" w:sz="4" w:space="0" w:color="auto"/>
              <w:bottom w:val="single" w:sz="4" w:space="0" w:color="000000"/>
              <w:right w:val="single" w:sz="4" w:space="0" w:color="auto"/>
            </w:tcBorders>
            <w:vAlign w:val="center"/>
            <w:hideMark/>
          </w:tcPr>
          <w:p w14:paraId="423182BB" w14:textId="77777777" w:rsidR="00FD3415" w:rsidRPr="00AB1E0E" w:rsidRDefault="00FD3415" w:rsidP="004B6E62">
            <w:pPr>
              <w:rPr>
                <w:rFonts w:cs="Calibri"/>
                <w:sz w:val="18"/>
                <w:szCs w:val="18"/>
                <w:lang w:eastAsia="fr-FR"/>
              </w:rPr>
            </w:pPr>
          </w:p>
        </w:tc>
        <w:tc>
          <w:tcPr>
            <w:tcW w:w="1897" w:type="dxa"/>
            <w:vMerge/>
            <w:tcBorders>
              <w:top w:val="nil"/>
              <w:left w:val="single" w:sz="4" w:space="0" w:color="auto"/>
              <w:bottom w:val="single" w:sz="4" w:space="0" w:color="000000"/>
              <w:right w:val="single" w:sz="4" w:space="0" w:color="auto"/>
            </w:tcBorders>
            <w:vAlign w:val="center"/>
            <w:hideMark/>
          </w:tcPr>
          <w:p w14:paraId="00711954" w14:textId="77777777" w:rsidR="00FD3415" w:rsidRPr="00AB1E0E" w:rsidRDefault="00FD3415" w:rsidP="004B6E62">
            <w:pPr>
              <w:rPr>
                <w:rFonts w:cs="Calibri"/>
                <w:sz w:val="18"/>
                <w:szCs w:val="18"/>
                <w:lang w:eastAsia="fr-FR"/>
              </w:rPr>
            </w:pPr>
          </w:p>
        </w:tc>
        <w:tc>
          <w:tcPr>
            <w:tcW w:w="2054" w:type="dxa"/>
            <w:vMerge/>
            <w:tcBorders>
              <w:top w:val="nil"/>
              <w:left w:val="single" w:sz="4" w:space="0" w:color="auto"/>
              <w:bottom w:val="single" w:sz="4" w:space="0" w:color="000000"/>
              <w:right w:val="single" w:sz="4" w:space="0" w:color="auto"/>
            </w:tcBorders>
            <w:vAlign w:val="center"/>
            <w:hideMark/>
          </w:tcPr>
          <w:p w14:paraId="0DE55362" w14:textId="77777777" w:rsidR="00FD3415" w:rsidRPr="00AB1E0E" w:rsidRDefault="00FD3415" w:rsidP="004B6E62">
            <w:pPr>
              <w:rPr>
                <w:rFonts w:cs="Calibri"/>
                <w:sz w:val="18"/>
                <w:szCs w:val="18"/>
                <w:lang w:eastAsia="fr-FR"/>
              </w:rPr>
            </w:pPr>
          </w:p>
        </w:tc>
        <w:tc>
          <w:tcPr>
            <w:tcW w:w="1123" w:type="dxa"/>
            <w:vMerge/>
            <w:tcBorders>
              <w:top w:val="nil"/>
              <w:left w:val="single" w:sz="4" w:space="0" w:color="auto"/>
              <w:bottom w:val="single" w:sz="4" w:space="0" w:color="000000"/>
              <w:right w:val="single" w:sz="4" w:space="0" w:color="auto"/>
            </w:tcBorders>
            <w:vAlign w:val="center"/>
            <w:hideMark/>
          </w:tcPr>
          <w:p w14:paraId="31BC7BFE" w14:textId="77777777" w:rsidR="00FD3415" w:rsidRPr="00AB1E0E" w:rsidRDefault="00FD3415" w:rsidP="004B6E62">
            <w:pPr>
              <w:rPr>
                <w:rFonts w:cs="Calibri"/>
                <w:sz w:val="18"/>
                <w:szCs w:val="18"/>
                <w:lang w:eastAsia="fr-FR"/>
              </w:rPr>
            </w:pPr>
          </w:p>
        </w:tc>
      </w:tr>
      <w:tr w:rsidR="00FD3415" w:rsidRPr="00AB1E0E" w14:paraId="214DD119" w14:textId="77777777" w:rsidTr="00AE406E">
        <w:trPr>
          <w:trHeight w:val="300"/>
        </w:trPr>
        <w:tc>
          <w:tcPr>
            <w:tcW w:w="0" w:type="auto"/>
            <w:vMerge/>
            <w:tcBorders>
              <w:top w:val="nil"/>
              <w:left w:val="single" w:sz="4" w:space="0" w:color="auto"/>
              <w:bottom w:val="single" w:sz="4" w:space="0" w:color="000000"/>
              <w:right w:val="single" w:sz="4" w:space="0" w:color="auto"/>
            </w:tcBorders>
            <w:vAlign w:val="center"/>
            <w:hideMark/>
          </w:tcPr>
          <w:p w14:paraId="03BD3349" w14:textId="77777777" w:rsidR="00FD3415" w:rsidRPr="00AB1E0E" w:rsidRDefault="00FD3415" w:rsidP="004B6E62">
            <w:pPr>
              <w:rPr>
                <w:rFonts w:cs="Calibri"/>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0C652617" w14:textId="77777777" w:rsidR="00FD3415" w:rsidRPr="00AB1E0E" w:rsidRDefault="00FD3415" w:rsidP="004B6E62">
            <w:pPr>
              <w:rPr>
                <w:rFonts w:cs="Calibri"/>
                <w:sz w:val="18"/>
                <w:szCs w:val="18"/>
                <w:lang w:eastAsia="fr-FR"/>
              </w:rPr>
            </w:pPr>
            <w:r w:rsidRPr="00AB1E0E">
              <w:rPr>
                <w:rFonts w:cs="Calibri"/>
                <w:sz w:val="18"/>
                <w:szCs w:val="18"/>
                <w:lang w:eastAsia="fr-FR"/>
              </w:rPr>
              <w:t>Signature du Code de Conduite</w:t>
            </w:r>
          </w:p>
        </w:tc>
        <w:tc>
          <w:tcPr>
            <w:tcW w:w="0" w:type="auto"/>
            <w:vMerge/>
            <w:tcBorders>
              <w:top w:val="nil"/>
              <w:left w:val="single" w:sz="4" w:space="0" w:color="auto"/>
              <w:bottom w:val="single" w:sz="4" w:space="0" w:color="000000"/>
              <w:right w:val="single" w:sz="4" w:space="0" w:color="auto"/>
            </w:tcBorders>
            <w:vAlign w:val="center"/>
            <w:hideMark/>
          </w:tcPr>
          <w:p w14:paraId="1F7302C8" w14:textId="77777777" w:rsidR="00FD3415" w:rsidRPr="00AB1E0E" w:rsidRDefault="00FD3415" w:rsidP="004B6E62">
            <w:pPr>
              <w:rPr>
                <w:rFonts w:cs="Calibri"/>
                <w:sz w:val="18"/>
                <w:szCs w:val="18"/>
                <w:lang w:eastAsia="fr-FR"/>
              </w:rPr>
            </w:pPr>
          </w:p>
        </w:tc>
        <w:tc>
          <w:tcPr>
            <w:tcW w:w="0" w:type="auto"/>
            <w:vMerge/>
            <w:tcBorders>
              <w:top w:val="nil"/>
              <w:left w:val="single" w:sz="4" w:space="0" w:color="auto"/>
              <w:bottom w:val="single" w:sz="4" w:space="0" w:color="000000"/>
              <w:right w:val="single" w:sz="4" w:space="0" w:color="auto"/>
            </w:tcBorders>
            <w:vAlign w:val="center"/>
            <w:hideMark/>
          </w:tcPr>
          <w:p w14:paraId="1A3E7A41" w14:textId="77777777" w:rsidR="00FD3415" w:rsidRPr="00AB1E0E" w:rsidRDefault="00FD3415" w:rsidP="004B6E62">
            <w:pPr>
              <w:rPr>
                <w:rFonts w:cs="Calibri"/>
                <w:sz w:val="18"/>
                <w:szCs w:val="18"/>
                <w:lang w:eastAsia="fr-FR"/>
              </w:rPr>
            </w:pPr>
          </w:p>
        </w:tc>
        <w:tc>
          <w:tcPr>
            <w:tcW w:w="1897" w:type="dxa"/>
            <w:vMerge/>
            <w:tcBorders>
              <w:top w:val="nil"/>
              <w:left w:val="single" w:sz="4" w:space="0" w:color="auto"/>
              <w:bottom w:val="single" w:sz="4" w:space="0" w:color="000000"/>
              <w:right w:val="single" w:sz="4" w:space="0" w:color="auto"/>
            </w:tcBorders>
            <w:vAlign w:val="center"/>
            <w:hideMark/>
          </w:tcPr>
          <w:p w14:paraId="69E4C54C" w14:textId="77777777" w:rsidR="00FD3415" w:rsidRPr="00AB1E0E" w:rsidRDefault="00FD3415" w:rsidP="004B6E62">
            <w:pPr>
              <w:rPr>
                <w:rFonts w:cs="Calibri"/>
                <w:sz w:val="18"/>
                <w:szCs w:val="18"/>
                <w:lang w:eastAsia="fr-FR"/>
              </w:rPr>
            </w:pPr>
          </w:p>
        </w:tc>
        <w:tc>
          <w:tcPr>
            <w:tcW w:w="2054" w:type="dxa"/>
            <w:vMerge/>
            <w:tcBorders>
              <w:top w:val="nil"/>
              <w:left w:val="single" w:sz="4" w:space="0" w:color="auto"/>
              <w:bottom w:val="single" w:sz="4" w:space="0" w:color="000000"/>
              <w:right w:val="single" w:sz="4" w:space="0" w:color="auto"/>
            </w:tcBorders>
            <w:vAlign w:val="center"/>
            <w:hideMark/>
          </w:tcPr>
          <w:p w14:paraId="0871E737" w14:textId="77777777" w:rsidR="00FD3415" w:rsidRPr="00AB1E0E" w:rsidRDefault="00FD3415" w:rsidP="004B6E62">
            <w:pPr>
              <w:rPr>
                <w:rFonts w:cs="Calibri"/>
                <w:sz w:val="18"/>
                <w:szCs w:val="18"/>
                <w:lang w:eastAsia="fr-FR"/>
              </w:rPr>
            </w:pPr>
          </w:p>
        </w:tc>
        <w:tc>
          <w:tcPr>
            <w:tcW w:w="1123" w:type="dxa"/>
            <w:vMerge/>
            <w:tcBorders>
              <w:top w:val="nil"/>
              <w:left w:val="single" w:sz="4" w:space="0" w:color="auto"/>
              <w:bottom w:val="single" w:sz="4" w:space="0" w:color="000000"/>
              <w:right w:val="single" w:sz="4" w:space="0" w:color="auto"/>
            </w:tcBorders>
            <w:vAlign w:val="center"/>
            <w:hideMark/>
          </w:tcPr>
          <w:p w14:paraId="14BFE8AC" w14:textId="77777777" w:rsidR="00FD3415" w:rsidRPr="00AB1E0E" w:rsidRDefault="00FD3415" w:rsidP="004B6E62">
            <w:pPr>
              <w:rPr>
                <w:rFonts w:cs="Calibri"/>
                <w:sz w:val="18"/>
                <w:szCs w:val="18"/>
                <w:lang w:eastAsia="fr-FR"/>
              </w:rPr>
            </w:pPr>
          </w:p>
        </w:tc>
      </w:tr>
      <w:tr w:rsidR="00FD3415" w:rsidRPr="00AB1E0E" w14:paraId="7AAE5208" w14:textId="77777777" w:rsidTr="00AE406E">
        <w:trPr>
          <w:trHeight w:val="14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5B71EA" w14:textId="77777777" w:rsidR="00FD3415" w:rsidRPr="00AB1E0E" w:rsidRDefault="00FD3415" w:rsidP="004B6E62">
            <w:pPr>
              <w:rPr>
                <w:rFonts w:cs="Calibri"/>
                <w:sz w:val="18"/>
                <w:szCs w:val="18"/>
                <w:lang w:eastAsia="fr-FR"/>
              </w:rPr>
            </w:pPr>
            <w:r w:rsidRPr="00AB1E0E">
              <w:rPr>
                <w:rFonts w:cs="Calibri"/>
                <w:sz w:val="18"/>
                <w:szCs w:val="18"/>
                <w:lang w:eastAsia="fr-FR"/>
              </w:rPr>
              <w:t>Risque d’accident de circulation</w:t>
            </w:r>
          </w:p>
        </w:tc>
        <w:tc>
          <w:tcPr>
            <w:tcW w:w="0" w:type="auto"/>
            <w:tcBorders>
              <w:top w:val="nil"/>
              <w:left w:val="nil"/>
              <w:bottom w:val="single" w:sz="4" w:space="0" w:color="auto"/>
              <w:right w:val="single" w:sz="4" w:space="0" w:color="auto"/>
            </w:tcBorders>
            <w:shd w:val="clear" w:color="auto" w:fill="auto"/>
            <w:vAlign w:val="center"/>
            <w:hideMark/>
          </w:tcPr>
          <w:p w14:paraId="6C2E02EF" w14:textId="77777777" w:rsidR="00FD3415" w:rsidRPr="00AB1E0E" w:rsidRDefault="00FD3415" w:rsidP="004B6E62">
            <w:pPr>
              <w:rPr>
                <w:rFonts w:cs="Calibri"/>
                <w:sz w:val="18"/>
                <w:szCs w:val="18"/>
                <w:lang w:eastAsia="fr-FR"/>
              </w:rPr>
            </w:pPr>
            <w:r w:rsidRPr="00AB1E0E">
              <w:rPr>
                <w:rFonts w:cs="Calibri"/>
                <w:sz w:val="18"/>
                <w:szCs w:val="18"/>
                <w:lang w:eastAsia="fr-FR"/>
              </w:rPr>
              <w:t>Formation / sensibilisation sur les risques d'accident liés à chaque poste de travail Respect des consignes de conduite des engins. Mise en place de signaux de signalisation adéquats. Port d'EPI adéquat</w:t>
            </w:r>
          </w:p>
        </w:tc>
        <w:tc>
          <w:tcPr>
            <w:tcW w:w="0" w:type="auto"/>
            <w:tcBorders>
              <w:top w:val="nil"/>
              <w:left w:val="nil"/>
              <w:bottom w:val="single" w:sz="4" w:space="0" w:color="auto"/>
              <w:right w:val="single" w:sz="4" w:space="0" w:color="auto"/>
            </w:tcBorders>
            <w:shd w:val="clear" w:color="auto" w:fill="auto"/>
            <w:vAlign w:val="center"/>
            <w:hideMark/>
          </w:tcPr>
          <w:p w14:paraId="3C337E5D" w14:textId="77777777" w:rsidR="00FD3415" w:rsidRPr="00AB1E0E" w:rsidRDefault="00FD3415" w:rsidP="004B6E62">
            <w:pPr>
              <w:rPr>
                <w:rFonts w:cs="Calibri"/>
                <w:sz w:val="18"/>
                <w:szCs w:val="18"/>
                <w:lang w:eastAsia="fr-FR"/>
              </w:rPr>
            </w:pPr>
            <w:r w:rsidRPr="00AB1E0E">
              <w:rPr>
                <w:rFonts w:cs="Calibri"/>
                <w:sz w:val="18"/>
                <w:szCs w:val="18"/>
                <w:lang w:eastAsia="fr-FR"/>
              </w:rPr>
              <w:t>Nombre d'accident</w:t>
            </w:r>
          </w:p>
        </w:tc>
        <w:tc>
          <w:tcPr>
            <w:tcW w:w="0" w:type="auto"/>
            <w:tcBorders>
              <w:top w:val="nil"/>
              <w:left w:val="nil"/>
              <w:bottom w:val="single" w:sz="4" w:space="0" w:color="auto"/>
              <w:right w:val="single" w:sz="4" w:space="0" w:color="auto"/>
            </w:tcBorders>
            <w:shd w:val="clear" w:color="auto" w:fill="auto"/>
            <w:vAlign w:val="center"/>
            <w:hideMark/>
          </w:tcPr>
          <w:p w14:paraId="1E839339" w14:textId="77777777" w:rsidR="00FD3415" w:rsidRPr="00AB1E0E" w:rsidRDefault="00FD3415" w:rsidP="004B6E62">
            <w:pPr>
              <w:rPr>
                <w:rFonts w:cs="Calibri"/>
                <w:sz w:val="18"/>
                <w:szCs w:val="18"/>
                <w:lang w:eastAsia="fr-FR"/>
              </w:rPr>
            </w:pPr>
            <w:r w:rsidRPr="00AB1E0E">
              <w:rPr>
                <w:rFonts w:cs="Calibri"/>
                <w:sz w:val="18"/>
                <w:szCs w:val="18"/>
                <w:lang w:eastAsia="fr-FR"/>
              </w:rPr>
              <w:t>Comptage</w:t>
            </w:r>
          </w:p>
        </w:tc>
        <w:tc>
          <w:tcPr>
            <w:tcW w:w="1897" w:type="dxa"/>
            <w:tcBorders>
              <w:top w:val="nil"/>
              <w:left w:val="nil"/>
              <w:bottom w:val="single" w:sz="4" w:space="0" w:color="auto"/>
              <w:right w:val="single" w:sz="4" w:space="0" w:color="auto"/>
            </w:tcBorders>
            <w:shd w:val="clear" w:color="auto" w:fill="auto"/>
            <w:vAlign w:val="center"/>
            <w:hideMark/>
          </w:tcPr>
          <w:p w14:paraId="38B3B897" w14:textId="77777777" w:rsidR="00FD3415" w:rsidRPr="00AB1E0E" w:rsidRDefault="00FD3415" w:rsidP="004B6E62">
            <w:pPr>
              <w:rPr>
                <w:rFonts w:cs="Calibri"/>
                <w:sz w:val="18"/>
                <w:szCs w:val="18"/>
                <w:lang w:eastAsia="fr-FR"/>
              </w:rPr>
            </w:pPr>
            <w:r w:rsidRPr="00AB1E0E">
              <w:rPr>
                <w:rFonts w:cs="Calibri"/>
                <w:sz w:val="18"/>
                <w:szCs w:val="18"/>
                <w:lang w:eastAsia="fr-FR"/>
              </w:rPr>
              <w:t>Mensuel</w:t>
            </w:r>
          </w:p>
        </w:tc>
        <w:tc>
          <w:tcPr>
            <w:tcW w:w="2054" w:type="dxa"/>
            <w:tcBorders>
              <w:top w:val="nil"/>
              <w:left w:val="nil"/>
              <w:bottom w:val="single" w:sz="4" w:space="0" w:color="auto"/>
              <w:right w:val="single" w:sz="4" w:space="0" w:color="auto"/>
            </w:tcBorders>
            <w:shd w:val="clear" w:color="auto" w:fill="auto"/>
            <w:vAlign w:val="center"/>
            <w:hideMark/>
          </w:tcPr>
          <w:p w14:paraId="61BD4C40" w14:textId="77777777" w:rsidR="00FD3415" w:rsidRPr="00AB1E0E" w:rsidRDefault="00FD3415" w:rsidP="004B6E62">
            <w:pPr>
              <w:rPr>
                <w:rFonts w:cs="Calibri"/>
                <w:sz w:val="18"/>
                <w:szCs w:val="18"/>
                <w:lang w:eastAsia="fr-FR"/>
              </w:rPr>
            </w:pPr>
            <w:r w:rsidRPr="00AB1E0E">
              <w:rPr>
                <w:rFonts w:cs="Calibri"/>
                <w:sz w:val="18"/>
                <w:szCs w:val="18"/>
                <w:lang w:eastAsia="fr-FR"/>
              </w:rPr>
              <w:t>Entreprise</w:t>
            </w:r>
          </w:p>
        </w:tc>
        <w:tc>
          <w:tcPr>
            <w:tcW w:w="1123" w:type="dxa"/>
            <w:tcBorders>
              <w:top w:val="nil"/>
              <w:left w:val="nil"/>
              <w:bottom w:val="single" w:sz="4" w:space="0" w:color="auto"/>
              <w:right w:val="single" w:sz="4" w:space="0" w:color="auto"/>
            </w:tcBorders>
            <w:shd w:val="clear" w:color="auto" w:fill="auto"/>
            <w:vAlign w:val="center"/>
            <w:hideMark/>
          </w:tcPr>
          <w:p w14:paraId="36231375" w14:textId="77777777" w:rsidR="00FD3415" w:rsidRPr="00AB1E0E" w:rsidRDefault="00FD3415" w:rsidP="004B6E62">
            <w:pPr>
              <w:rPr>
                <w:rFonts w:cs="Calibri"/>
                <w:sz w:val="18"/>
                <w:szCs w:val="18"/>
                <w:lang w:eastAsia="fr-FR"/>
              </w:rPr>
            </w:pPr>
            <w:r w:rsidRPr="00AB1E0E">
              <w:rPr>
                <w:rFonts w:cs="Calibri"/>
                <w:sz w:val="18"/>
                <w:szCs w:val="18"/>
                <w:lang w:eastAsia="fr-FR"/>
              </w:rPr>
              <w:t>MdC</w:t>
            </w:r>
          </w:p>
        </w:tc>
      </w:tr>
      <w:tr w:rsidR="00FD3415" w:rsidRPr="00AB1E0E" w14:paraId="4EAF15D4" w14:textId="77777777" w:rsidTr="00AE406E">
        <w:trPr>
          <w:trHeight w:val="7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C8DF7A4" w14:textId="77777777" w:rsidR="00FD3415" w:rsidRPr="00AB1E0E" w:rsidRDefault="00FD3415" w:rsidP="004B6E62">
            <w:pPr>
              <w:rPr>
                <w:rFonts w:cs="Calibri"/>
                <w:sz w:val="18"/>
                <w:szCs w:val="18"/>
                <w:lang w:eastAsia="fr-FR"/>
              </w:rPr>
            </w:pPr>
            <w:r w:rsidRPr="00AB1E0E">
              <w:rPr>
                <w:rFonts w:cs="Calibri"/>
                <w:sz w:val="18"/>
                <w:szCs w:val="18"/>
                <w:lang w:eastAsia="fr-FR"/>
              </w:rPr>
              <w:t>Risque d’accident de travail</w:t>
            </w:r>
          </w:p>
        </w:tc>
        <w:tc>
          <w:tcPr>
            <w:tcW w:w="0" w:type="auto"/>
            <w:tcBorders>
              <w:top w:val="nil"/>
              <w:left w:val="nil"/>
              <w:bottom w:val="single" w:sz="4" w:space="0" w:color="auto"/>
              <w:right w:val="single" w:sz="4" w:space="0" w:color="auto"/>
            </w:tcBorders>
            <w:shd w:val="clear" w:color="auto" w:fill="auto"/>
            <w:vAlign w:val="center"/>
            <w:hideMark/>
          </w:tcPr>
          <w:p w14:paraId="3D62166F" w14:textId="77777777" w:rsidR="00FD3415" w:rsidRPr="00AB1E0E" w:rsidRDefault="00FD3415" w:rsidP="004B6E62">
            <w:pPr>
              <w:rPr>
                <w:rFonts w:cs="Calibri"/>
                <w:sz w:val="18"/>
                <w:szCs w:val="18"/>
                <w:lang w:eastAsia="fr-FR"/>
              </w:rPr>
            </w:pPr>
            <w:r w:rsidRPr="00AB1E0E">
              <w:rPr>
                <w:rFonts w:cs="Calibri"/>
                <w:sz w:val="18"/>
                <w:szCs w:val="18"/>
                <w:lang w:eastAsia="fr-FR"/>
              </w:rPr>
              <w:t>Formation / sensibilisation sur les risques d'accident liés à chaque poste de travail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038194" w14:textId="77777777" w:rsidR="00FD3415" w:rsidRPr="00AB1E0E" w:rsidRDefault="00FD3415" w:rsidP="004B6E62">
            <w:pPr>
              <w:rPr>
                <w:rFonts w:cs="Calibri"/>
                <w:sz w:val="18"/>
                <w:szCs w:val="18"/>
                <w:lang w:eastAsia="fr-FR"/>
              </w:rPr>
            </w:pPr>
            <w:r w:rsidRPr="00AB1E0E">
              <w:rPr>
                <w:rFonts w:cs="Calibri"/>
                <w:sz w:val="18"/>
                <w:szCs w:val="18"/>
                <w:lang w:eastAsia="fr-FR"/>
              </w:rPr>
              <w:t>Nombre d'accident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C8F0220" w14:textId="77777777" w:rsidR="00FD3415" w:rsidRPr="00AB1E0E" w:rsidRDefault="00FD3415" w:rsidP="004B6E62">
            <w:pPr>
              <w:rPr>
                <w:rFonts w:cs="Calibri"/>
                <w:sz w:val="18"/>
                <w:szCs w:val="18"/>
                <w:lang w:eastAsia="fr-FR"/>
              </w:rPr>
            </w:pPr>
            <w:r w:rsidRPr="00AB1E0E">
              <w:rPr>
                <w:rFonts w:cs="Calibri"/>
                <w:sz w:val="18"/>
                <w:szCs w:val="18"/>
                <w:lang w:eastAsia="fr-FR"/>
              </w:rPr>
              <w:t>Comptage</w:t>
            </w:r>
          </w:p>
        </w:tc>
        <w:tc>
          <w:tcPr>
            <w:tcW w:w="1897" w:type="dxa"/>
            <w:vMerge w:val="restart"/>
            <w:tcBorders>
              <w:top w:val="nil"/>
              <w:left w:val="single" w:sz="4" w:space="0" w:color="auto"/>
              <w:bottom w:val="single" w:sz="4" w:space="0" w:color="auto"/>
              <w:right w:val="single" w:sz="4" w:space="0" w:color="auto"/>
            </w:tcBorders>
            <w:shd w:val="clear" w:color="auto" w:fill="auto"/>
            <w:vAlign w:val="center"/>
            <w:hideMark/>
          </w:tcPr>
          <w:p w14:paraId="75516D19" w14:textId="77777777" w:rsidR="00FD3415" w:rsidRPr="00AB1E0E" w:rsidRDefault="00FD3415" w:rsidP="004B6E62">
            <w:pPr>
              <w:rPr>
                <w:rFonts w:cs="Calibri"/>
                <w:sz w:val="18"/>
                <w:szCs w:val="18"/>
                <w:lang w:eastAsia="fr-FR"/>
              </w:rPr>
            </w:pPr>
            <w:r w:rsidRPr="00AB1E0E">
              <w:rPr>
                <w:rFonts w:cs="Calibri"/>
                <w:sz w:val="18"/>
                <w:szCs w:val="18"/>
                <w:lang w:eastAsia="fr-FR"/>
              </w:rPr>
              <w:t>Mensuel</w:t>
            </w:r>
          </w:p>
        </w:tc>
        <w:tc>
          <w:tcPr>
            <w:tcW w:w="2054" w:type="dxa"/>
            <w:vMerge w:val="restart"/>
            <w:tcBorders>
              <w:top w:val="nil"/>
              <w:left w:val="single" w:sz="4" w:space="0" w:color="auto"/>
              <w:bottom w:val="single" w:sz="4" w:space="0" w:color="auto"/>
              <w:right w:val="single" w:sz="4" w:space="0" w:color="auto"/>
            </w:tcBorders>
            <w:shd w:val="clear" w:color="auto" w:fill="auto"/>
            <w:vAlign w:val="center"/>
            <w:hideMark/>
          </w:tcPr>
          <w:p w14:paraId="4FD3525D" w14:textId="77777777" w:rsidR="00FD3415" w:rsidRPr="00AB1E0E" w:rsidRDefault="00FD3415" w:rsidP="004B6E62">
            <w:pPr>
              <w:rPr>
                <w:rFonts w:cs="Calibri"/>
                <w:sz w:val="18"/>
                <w:szCs w:val="18"/>
                <w:lang w:eastAsia="fr-FR"/>
              </w:rPr>
            </w:pPr>
            <w:r w:rsidRPr="00AB1E0E">
              <w:rPr>
                <w:rFonts w:cs="Calibri"/>
                <w:sz w:val="18"/>
                <w:szCs w:val="18"/>
                <w:lang w:eastAsia="fr-FR"/>
              </w:rPr>
              <w:t>Entreprise</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hideMark/>
          </w:tcPr>
          <w:p w14:paraId="790BA468" w14:textId="77777777" w:rsidR="00FD3415" w:rsidRPr="00AB1E0E" w:rsidRDefault="00FD3415" w:rsidP="004B6E62">
            <w:pPr>
              <w:rPr>
                <w:rFonts w:cs="Calibri"/>
                <w:sz w:val="18"/>
                <w:szCs w:val="18"/>
                <w:lang w:eastAsia="fr-FR"/>
              </w:rPr>
            </w:pPr>
            <w:r w:rsidRPr="00AB1E0E">
              <w:rPr>
                <w:rFonts w:cs="Calibri"/>
                <w:sz w:val="18"/>
                <w:szCs w:val="18"/>
                <w:lang w:eastAsia="fr-FR"/>
              </w:rPr>
              <w:t>MdC</w:t>
            </w:r>
          </w:p>
        </w:tc>
      </w:tr>
      <w:tr w:rsidR="00FD3415" w:rsidRPr="00AB1E0E" w14:paraId="4EBEAE23" w14:textId="77777777" w:rsidTr="00AE406E">
        <w:trPr>
          <w:trHeight w:val="300"/>
        </w:trPr>
        <w:tc>
          <w:tcPr>
            <w:tcW w:w="0" w:type="auto"/>
            <w:vMerge/>
            <w:tcBorders>
              <w:top w:val="nil"/>
              <w:left w:val="single" w:sz="4" w:space="0" w:color="auto"/>
              <w:bottom w:val="single" w:sz="4" w:space="0" w:color="auto"/>
              <w:right w:val="single" w:sz="4" w:space="0" w:color="auto"/>
            </w:tcBorders>
            <w:vAlign w:val="center"/>
            <w:hideMark/>
          </w:tcPr>
          <w:p w14:paraId="2DE53D29" w14:textId="77777777" w:rsidR="00FD3415" w:rsidRPr="00AB1E0E" w:rsidRDefault="00FD3415" w:rsidP="004B6E62">
            <w:pPr>
              <w:rPr>
                <w:rFonts w:cs="Calibri"/>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4E680AE3" w14:textId="77777777" w:rsidR="00FD3415" w:rsidRPr="00AB1E0E" w:rsidRDefault="00FD3415" w:rsidP="004B6E62">
            <w:pPr>
              <w:rPr>
                <w:rFonts w:cs="Calibri"/>
                <w:sz w:val="18"/>
                <w:szCs w:val="18"/>
                <w:lang w:eastAsia="fr-FR"/>
              </w:rPr>
            </w:pPr>
            <w:r w:rsidRPr="00AB1E0E">
              <w:rPr>
                <w:rFonts w:cs="Calibri"/>
                <w:sz w:val="18"/>
                <w:szCs w:val="18"/>
                <w:lang w:eastAsia="fr-FR"/>
              </w:rPr>
              <w:t>Port d'EPI adéquat</w:t>
            </w:r>
          </w:p>
        </w:tc>
        <w:tc>
          <w:tcPr>
            <w:tcW w:w="0" w:type="auto"/>
            <w:vMerge/>
            <w:tcBorders>
              <w:top w:val="nil"/>
              <w:left w:val="single" w:sz="4" w:space="0" w:color="auto"/>
              <w:bottom w:val="single" w:sz="4" w:space="0" w:color="auto"/>
              <w:right w:val="single" w:sz="4" w:space="0" w:color="auto"/>
            </w:tcBorders>
            <w:vAlign w:val="center"/>
            <w:hideMark/>
          </w:tcPr>
          <w:p w14:paraId="08767AC3" w14:textId="77777777" w:rsidR="00FD3415" w:rsidRPr="00AB1E0E" w:rsidRDefault="00FD3415" w:rsidP="004B6E62">
            <w:pPr>
              <w:rPr>
                <w:rFonts w:cs="Calibri"/>
                <w:sz w:val="18"/>
                <w:szCs w:val="18"/>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44504B94" w14:textId="77777777" w:rsidR="00FD3415" w:rsidRPr="00AB1E0E" w:rsidRDefault="00FD3415" w:rsidP="004B6E62">
            <w:pPr>
              <w:rPr>
                <w:rFonts w:cs="Calibri"/>
                <w:sz w:val="18"/>
                <w:szCs w:val="18"/>
                <w:lang w:eastAsia="fr-FR"/>
              </w:rPr>
            </w:pPr>
          </w:p>
        </w:tc>
        <w:tc>
          <w:tcPr>
            <w:tcW w:w="1897" w:type="dxa"/>
            <w:vMerge/>
            <w:tcBorders>
              <w:top w:val="nil"/>
              <w:left w:val="single" w:sz="4" w:space="0" w:color="auto"/>
              <w:bottom w:val="single" w:sz="4" w:space="0" w:color="auto"/>
              <w:right w:val="single" w:sz="4" w:space="0" w:color="auto"/>
            </w:tcBorders>
            <w:vAlign w:val="center"/>
            <w:hideMark/>
          </w:tcPr>
          <w:p w14:paraId="57704435" w14:textId="77777777" w:rsidR="00FD3415" w:rsidRPr="00AB1E0E" w:rsidRDefault="00FD3415" w:rsidP="004B6E62">
            <w:pPr>
              <w:rPr>
                <w:rFonts w:cs="Calibri"/>
                <w:sz w:val="18"/>
                <w:szCs w:val="18"/>
                <w:lang w:eastAsia="fr-FR"/>
              </w:rPr>
            </w:pPr>
          </w:p>
        </w:tc>
        <w:tc>
          <w:tcPr>
            <w:tcW w:w="2054" w:type="dxa"/>
            <w:vMerge/>
            <w:tcBorders>
              <w:top w:val="nil"/>
              <w:left w:val="single" w:sz="4" w:space="0" w:color="auto"/>
              <w:bottom w:val="single" w:sz="4" w:space="0" w:color="auto"/>
              <w:right w:val="single" w:sz="4" w:space="0" w:color="auto"/>
            </w:tcBorders>
            <w:vAlign w:val="center"/>
            <w:hideMark/>
          </w:tcPr>
          <w:p w14:paraId="08F57E1F" w14:textId="77777777" w:rsidR="00FD3415" w:rsidRPr="00AB1E0E" w:rsidRDefault="00FD3415" w:rsidP="004B6E62">
            <w:pPr>
              <w:rPr>
                <w:rFonts w:cs="Calibri"/>
                <w:sz w:val="18"/>
                <w:szCs w:val="18"/>
                <w:lang w:eastAsia="fr-FR"/>
              </w:rPr>
            </w:pPr>
          </w:p>
        </w:tc>
        <w:tc>
          <w:tcPr>
            <w:tcW w:w="1123" w:type="dxa"/>
            <w:vMerge/>
            <w:tcBorders>
              <w:top w:val="nil"/>
              <w:left w:val="single" w:sz="4" w:space="0" w:color="auto"/>
              <w:bottom w:val="single" w:sz="4" w:space="0" w:color="auto"/>
              <w:right w:val="single" w:sz="4" w:space="0" w:color="auto"/>
            </w:tcBorders>
            <w:vAlign w:val="center"/>
            <w:hideMark/>
          </w:tcPr>
          <w:p w14:paraId="4CF42F12" w14:textId="77777777" w:rsidR="00FD3415" w:rsidRPr="00AB1E0E" w:rsidRDefault="00FD3415" w:rsidP="004B6E62">
            <w:pPr>
              <w:rPr>
                <w:rFonts w:cs="Calibri"/>
                <w:sz w:val="18"/>
                <w:szCs w:val="18"/>
                <w:lang w:eastAsia="fr-FR"/>
              </w:rPr>
            </w:pPr>
          </w:p>
        </w:tc>
      </w:tr>
      <w:tr w:rsidR="00FD3415" w:rsidRPr="00AB1E0E" w14:paraId="31A26E58" w14:textId="77777777" w:rsidTr="00AE406E">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2B6470" w14:textId="77777777" w:rsidR="00FD3415" w:rsidRPr="00AB1E0E" w:rsidRDefault="00FD3415" w:rsidP="004B6E62">
            <w:pPr>
              <w:rPr>
                <w:rFonts w:cs="Calibri"/>
                <w:sz w:val="18"/>
                <w:szCs w:val="18"/>
                <w:lang w:eastAsia="fr-FR"/>
              </w:rPr>
            </w:pPr>
            <w:r w:rsidRPr="00AB1E0E">
              <w:rPr>
                <w:rFonts w:cs="Calibri"/>
                <w:sz w:val="18"/>
                <w:szCs w:val="18"/>
                <w:lang w:eastAsia="fr-FR"/>
              </w:rPr>
              <w:t>Risque d’incendie et d'explosion</w:t>
            </w:r>
          </w:p>
        </w:tc>
        <w:tc>
          <w:tcPr>
            <w:tcW w:w="0" w:type="auto"/>
            <w:tcBorders>
              <w:top w:val="nil"/>
              <w:left w:val="nil"/>
              <w:bottom w:val="single" w:sz="4" w:space="0" w:color="auto"/>
              <w:right w:val="single" w:sz="4" w:space="0" w:color="auto"/>
            </w:tcBorders>
            <w:shd w:val="clear" w:color="auto" w:fill="auto"/>
            <w:vAlign w:val="center"/>
            <w:hideMark/>
          </w:tcPr>
          <w:p w14:paraId="0FB8C97F" w14:textId="77777777" w:rsidR="00FD3415" w:rsidRPr="00AB1E0E" w:rsidRDefault="00FD3415" w:rsidP="004B6E62">
            <w:pPr>
              <w:rPr>
                <w:rFonts w:cs="Calibri"/>
                <w:sz w:val="18"/>
                <w:szCs w:val="18"/>
                <w:lang w:eastAsia="fr-FR"/>
              </w:rPr>
            </w:pPr>
            <w:r w:rsidRPr="00AB1E0E">
              <w:rPr>
                <w:rFonts w:cs="Calibri"/>
                <w:sz w:val="18"/>
                <w:szCs w:val="18"/>
                <w:lang w:eastAsia="fr-FR"/>
              </w:rPr>
              <w:t>Mise en place de dispositifs de lutte contre l'incendie</w:t>
            </w:r>
          </w:p>
        </w:tc>
        <w:tc>
          <w:tcPr>
            <w:tcW w:w="0" w:type="auto"/>
            <w:tcBorders>
              <w:top w:val="nil"/>
              <w:left w:val="nil"/>
              <w:bottom w:val="single" w:sz="4" w:space="0" w:color="auto"/>
              <w:right w:val="single" w:sz="4" w:space="0" w:color="auto"/>
            </w:tcBorders>
            <w:shd w:val="clear" w:color="auto" w:fill="auto"/>
            <w:vAlign w:val="center"/>
            <w:hideMark/>
          </w:tcPr>
          <w:p w14:paraId="3F16D871" w14:textId="77777777" w:rsidR="00FD3415" w:rsidRPr="00AB1E0E" w:rsidRDefault="00FD3415" w:rsidP="004B6E62">
            <w:pPr>
              <w:rPr>
                <w:rFonts w:cs="Calibri"/>
                <w:sz w:val="18"/>
                <w:szCs w:val="18"/>
                <w:lang w:eastAsia="fr-FR"/>
              </w:rPr>
            </w:pPr>
            <w:r w:rsidRPr="00AB1E0E">
              <w:rPr>
                <w:rFonts w:cs="Calibri"/>
                <w:sz w:val="18"/>
                <w:szCs w:val="18"/>
                <w:lang w:eastAsia="fr-FR"/>
              </w:rPr>
              <w:t>Nombre d'incendie</w:t>
            </w:r>
          </w:p>
        </w:tc>
        <w:tc>
          <w:tcPr>
            <w:tcW w:w="0" w:type="auto"/>
            <w:tcBorders>
              <w:top w:val="nil"/>
              <w:left w:val="nil"/>
              <w:bottom w:val="single" w:sz="4" w:space="0" w:color="auto"/>
              <w:right w:val="single" w:sz="4" w:space="0" w:color="auto"/>
            </w:tcBorders>
            <w:shd w:val="clear" w:color="auto" w:fill="auto"/>
            <w:vAlign w:val="center"/>
            <w:hideMark/>
          </w:tcPr>
          <w:p w14:paraId="6A7A2F94" w14:textId="77777777" w:rsidR="00FD3415" w:rsidRPr="00AB1E0E" w:rsidRDefault="00FD3415" w:rsidP="004B6E62">
            <w:pPr>
              <w:rPr>
                <w:rFonts w:cs="Calibri"/>
                <w:sz w:val="18"/>
                <w:szCs w:val="18"/>
                <w:lang w:eastAsia="fr-FR"/>
              </w:rPr>
            </w:pPr>
            <w:r w:rsidRPr="00AB1E0E">
              <w:rPr>
                <w:rFonts w:cs="Calibri"/>
                <w:sz w:val="18"/>
                <w:szCs w:val="18"/>
                <w:lang w:eastAsia="fr-FR"/>
              </w:rPr>
              <w:t>Comptage</w:t>
            </w:r>
          </w:p>
        </w:tc>
        <w:tc>
          <w:tcPr>
            <w:tcW w:w="1897" w:type="dxa"/>
            <w:tcBorders>
              <w:top w:val="nil"/>
              <w:left w:val="nil"/>
              <w:bottom w:val="single" w:sz="4" w:space="0" w:color="auto"/>
              <w:right w:val="single" w:sz="4" w:space="0" w:color="auto"/>
            </w:tcBorders>
            <w:shd w:val="clear" w:color="auto" w:fill="auto"/>
            <w:vAlign w:val="center"/>
            <w:hideMark/>
          </w:tcPr>
          <w:p w14:paraId="6C803A5F" w14:textId="77777777" w:rsidR="00FD3415" w:rsidRPr="00AB1E0E" w:rsidRDefault="00FD3415" w:rsidP="004B6E62">
            <w:pPr>
              <w:rPr>
                <w:rFonts w:cs="Calibri"/>
                <w:sz w:val="18"/>
                <w:szCs w:val="18"/>
                <w:lang w:eastAsia="fr-FR"/>
              </w:rPr>
            </w:pPr>
            <w:r w:rsidRPr="00AB1E0E">
              <w:rPr>
                <w:rFonts w:cs="Calibri"/>
                <w:sz w:val="18"/>
                <w:szCs w:val="18"/>
                <w:lang w:eastAsia="fr-FR"/>
              </w:rPr>
              <w:t>Mensuel</w:t>
            </w:r>
          </w:p>
        </w:tc>
        <w:tc>
          <w:tcPr>
            <w:tcW w:w="2054" w:type="dxa"/>
            <w:tcBorders>
              <w:top w:val="nil"/>
              <w:left w:val="nil"/>
              <w:bottom w:val="single" w:sz="4" w:space="0" w:color="auto"/>
              <w:right w:val="single" w:sz="4" w:space="0" w:color="auto"/>
            </w:tcBorders>
            <w:shd w:val="clear" w:color="auto" w:fill="auto"/>
            <w:vAlign w:val="center"/>
            <w:hideMark/>
          </w:tcPr>
          <w:p w14:paraId="0E4C4726" w14:textId="77777777" w:rsidR="00FD3415" w:rsidRPr="00AB1E0E" w:rsidRDefault="00FD3415" w:rsidP="004B6E62">
            <w:pPr>
              <w:rPr>
                <w:rFonts w:cs="Calibri"/>
                <w:sz w:val="18"/>
                <w:szCs w:val="18"/>
                <w:lang w:eastAsia="fr-FR"/>
              </w:rPr>
            </w:pPr>
            <w:r w:rsidRPr="00AB1E0E">
              <w:rPr>
                <w:rFonts w:cs="Calibri"/>
                <w:sz w:val="18"/>
                <w:szCs w:val="18"/>
                <w:lang w:eastAsia="fr-FR"/>
              </w:rPr>
              <w:t>Entreprise</w:t>
            </w:r>
          </w:p>
        </w:tc>
        <w:tc>
          <w:tcPr>
            <w:tcW w:w="1123" w:type="dxa"/>
            <w:tcBorders>
              <w:top w:val="nil"/>
              <w:left w:val="nil"/>
              <w:bottom w:val="single" w:sz="4" w:space="0" w:color="auto"/>
              <w:right w:val="single" w:sz="4" w:space="0" w:color="auto"/>
            </w:tcBorders>
            <w:shd w:val="clear" w:color="auto" w:fill="auto"/>
            <w:vAlign w:val="center"/>
            <w:hideMark/>
          </w:tcPr>
          <w:p w14:paraId="1F52415E" w14:textId="77777777" w:rsidR="00FD3415" w:rsidRPr="00AB1E0E" w:rsidRDefault="00FD3415" w:rsidP="004B6E62">
            <w:pPr>
              <w:rPr>
                <w:rFonts w:cs="Calibri"/>
                <w:sz w:val="18"/>
                <w:szCs w:val="18"/>
                <w:lang w:eastAsia="fr-FR"/>
              </w:rPr>
            </w:pPr>
            <w:r w:rsidRPr="00AB1E0E">
              <w:rPr>
                <w:rFonts w:cs="Calibri"/>
                <w:sz w:val="18"/>
                <w:szCs w:val="18"/>
                <w:lang w:eastAsia="fr-FR"/>
              </w:rPr>
              <w:t>MdC</w:t>
            </w:r>
          </w:p>
        </w:tc>
      </w:tr>
      <w:tr w:rsidR="00FD3415" w:rsidRPr="00AB1E0E" w14:paraId="43CFDB3D" w14:textId="77777777" w:rsidTr="00AE406E">
        <w:trPr>
          <w:trHeight w:val="300"/>
        </w:trPr>
        <w:tc>
          <w:tcPr>
            <w:tcW w:w="12899" w:type="dxa"/>
            <w:gridSpan w:val="7"/>
            <w:tcBorders>
              <w:top w:val="single" w:sz="4" w:space="0" w:color="auto"/>
              <w:left w:val="single" w:sz="4" w:space="0" w:color="auto"/>
              <w:bottom w:val="single" w:sz="4" w:space="0" w:color="auto"/>
              <w:right w:val="single" w:sz="4" w:space="0" w:color="auto"/>
            </w:tcBorders>
            <w:shd w:val="clear" w:color="000000" w:fill="00B0F0"/>
            <w:vAlign w:val="center"/>
            <w:hideMark/>
          </w:tcPr>
          <w:p w14:paraId="3F6FEC7A" w14:textId="77777777" w:rsidR="00FD3415" w:rsidRPr="00AB1E0E" w:rsidRDefault="00FD3415" w:rsidP="004B6E62">
            <w:pPr>
              <w:jc w:val="center"/>
              <w:rPr>
                <w:rFonts w:cs="Calibri"/>
                <w:b/>
                <w:bCs/>
                <w:sz w:val="18"/>
                <w:szCs w:val="18"/>
                <w:lang w:eastAsia="fr-FR"/>
              </w:rPr>
            </w:pPr>
            <w:r w:rsidRPr="00AB1E0E">
              <w:rPr>
                <w:rFonts w:cs="Calibri"/>
                <w:b/>
                <w:bCs/>
                <w:sz w:val="18"/>
                <w:szCs w:val="18"/>
                <w:lang w:eastAsia="fr-FR"/>
              </w:rPr>
              <w:t>Repli de chantier</w:t>
            </w:r>
          </w:p>
        </w:tc>
      </w:tr>
      <w:tr w:rsidR="00FD3415" w:rsidRPr="00AB1E0E" w14:paraId="74521217" w14:textId="77777777" w:rsidTr="00AE406E">
        <w:trPr>
          <w:trHeight w:val="3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81A819D" w14:textId="77777777" w:rsidR="00FD3415" w:rsidRPr="00AB1E0E" w:rsidRDefault="00FD3415" w:rsidP="004B6E62">
            <w:pPr>
              <w:rPr>
                <w:rFonts w:cs="Calibri"/>
                <w:sz w:val="18"/>
                <w:szCs w:val="18"/>
                <w:lang w:eastAsia="fr-FR"/>
              </w:rPr>
            </w:pPr>
            <w:r w:rsidRPr="00AB1E0E">
              <w:rPr>
                <w:rFonts w:cs="Calibri"/>
                <w:sz w:val="18"/>
                <w:szCs w:val="18"/>
                <w:lang w:eastAsia="fr-FR"/>
              </w:rPr>
              <w:t>Risques d'accidents de circulation</w:t>
            </w:r>
          </w:p>
        </w:tc>
        <w:tc>
          <w:tcPr>
            <w:tcW w:w="0" w:type="auto"/>
            <w:tcBorders>
              <w:top w:val="nil"/>
              <w:left w:val="nil"/>
              <w:bottom w:val="single" w:sz="4" w:space="0" w:color="auto"/>
              <w:right w:val="single" w:sz="4" w:space="0" w:color="auto"/>
            </w:tcBorders>
            <w:shd w:val="clear" w:color="auto" w:fill="auto"/>
            <w:vAlign w:val="center"/>
            <w:hideMark/>
          </w:tcPr>
          <w:p w14:paraId="4BEB1E54" w14:textId="77777777" w:rsidR="00FD3415" w:rsidRPr="00AB1E0E" w:rsidRDefault="00FD3415" w:rsidP="004B6E62">
            <w:pPr>
              <w:rPr>
                <w:rFonts w:cs="Calibri"/>
                <w:sz w:val="18"/>
                <w:szCs w:val="18"/>
                <w:lang w:eastAsia="fr-FR"/>
              </w:rPr>
            </w:pPr>
            <w:r w:rsidRPr="00AB1E0E">
              <w:rPr>
                <w:rFonts w:cs="Calibri"/>
                <w:sz w:val="18"/>
                <w:szCs w:val="18"/>
                <w:lang w:eastAsia="fr-FR"/>
              </w:rPr>
              <w:t>Mise en place d'un plan de circulation</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5F7627F" w14:textId="77777777" w:rsidR="00FD3415" w:rsidRPr="00AB1E0E" w:rsidRDefault="00FD3415" w:rsidP="004B6E62">
            <w:pPr>
              <w:rPr>
                <w:rFonts w:cs="Calibri"/>
                <w:sz w:val="18"/>
                <w:szCs w:val="18"/>
                <w:lang w:eastAsia="fr-FR"/>
              </w:rPr>
            </w:pPr>
            <w:r w:rsidRPr="00AB1E0E">
              <w:rPr>
                <w:rFonts w:cs="Calibri"/>
                <w:sz w:val="18"/>
                <w:szCs w:val="18"/>
                <w:lang w:eastAsia="fr-FR"/>
              </w:rPr>
              <w:t>Nombre d'accidents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8A5DC7" w14:textId="77777777" w:rsidR="00FD3415" w:rsidRPr="00AB1E0E" w:rsidRDefault="00FD3415" w:rsidP="004B6E62">
            <w:pPr>
              <w:rPr>
                <w:rFonts w:cs="Calibri"/>
                <w:sz w:val="18"/>
                <w:szCs w:val="18"/>
                <w:lang w:eastAsia="fr-FR"/>
              </w:rPr>
            </w:pPr>
            <w:r w:rsidRPr="00AB1E0E">
              <w:rPr>
                <w:rFonts w:cs="Calibri"/>
                <w:sz w:val="18"/>
                <w:szCs w:val="18"/>
                <w:lang w:eastAsia="fr-FR"/>
              </w:rPr>
              <w:t>Comptage</w:t>
            </w:r>
          </w:p>
        </w:tc>
        <w:tc>
          <w:tcPr>
            <w:tcW w:w="1897" w:type="dxa"/>
            <w:vMerge w:val="restart"/>
            <w:tcBorders>
              <w:top w:val="nil"/>
              <w:left w:val="single" w:sz="4" w:space="0" w:color="auto"/>
              <w:bottom w:val="single" w:sz="4" w:space="0" w:color="auto"/>
              <w:right w:val="single" w:sz="4" w:space="0" w:color="auto"/>
            </w:tcBorders>
            <w:shd w:val="clear" w:color="auto" w:fill="auto"/>
            <w:vAlign w:val="center"/>
            <w:hideMark/>
          </w:tcPr>
          <w:p w14:paraId="2D3C8B9D" w14:textId="77777777" w:rsidR="00FD3415" w:rsidRPr="00AB1E0E" w:rsidRDefault="00FD3415" w:rsidP="004B6E62">
            <w:pPr>
              <w:rPr>
                <w:rFonts w:cs="Calibri"/>
                <w:sz w:val="18"/>
                <w:szCs w:val="18"/>
                <w:lang w:eastAsia="fr-FR"/>
              </w:rPr>
            </w:pPr>
            <w:r w:rsidRPr="00AB1E0E">
              <w:rPr>
                <w:rFonts w:cs="Calibri"/>
                <w:sz w:val="18"/>
                <w:szCs w:val="18"/>
                <w:lang w:eastAsia="fr-FR"/>
              </w:rPr>
              <w:t>Fin repli de chantier</w:t>
            </w:r>
          </w:p>
        </w:tc>
        <w:tc>
          <w:tcPr>
            <w:tcW w:w="2054" w:type="dxa"/>
            <w:vMerge w:val="restart"/>
            <w:tcBorders>
              <w:top w:val="nil"/>
              <w:left w:val="single" w:sz="4" w:space="0" w:color="auto"/>
              <w:bottom w:val="single" w:sz="4" w:space="0" w:color="auto"/>
              <w:right w:val="single" w:sz="4" w:space="0" w:color="auto"/>
            </w:tcBorders>
            <w:shd w:val="clear" w:color="auto" w:fill="auto"/>
            <w:vAlign w:val="center"/>
            <w:hideMark/>
          </w:tcPr>
          <w:p w14:paraId="06C4C43B" w14:textId="77777777" w:rsidR="00FD3415" w:rsidRPr="00AB1E0E" w:rsidRDefault="00FD3415" w:rsidP="004B6E62">
            <w:pPr>
              <w:rPr>
                <w:rFonts w:cs="Calibri"/>
                <w:sz w:val="18"/>
                <w:szCs w:val="18"/>
                <w:lang w:eastAsia="fr-FR"/>
              </w:rPr>
            </w:pPr>
            <w:r w:rsidRPr="00AB1E0E">
              <w:rPr>
                <w:rFonts w:cs="Calibri"/>
                <w:sz w:val="18"/>
                <w:szCs w:val="18"/>
                <w:lang w:eastAsia="fr-FR"/>
              </w:rPr>
              <w:t>Entreprise</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hideMark/>
          </w:tcPr>
          <w:p w14:paraId="45A8B5C5" w14:textId="77777777" w:rsidR="00FD3415" w:rsidRPr="00AB1E0E" w:rsidRDefault="00FD3415" w:rsidP="004B6E62">
            <w:pPr>
              <w:rPr>
                <w:rFonts w:cs="Calibri"/>
                <w:sz w:val="18"/>
                <w:szCs w:val="18"/>
                <w:lang w:eastAsia="fr-FR"/>
              </w:rPr>
            </w:pPr>
            <w:r w:rsidRPr="00AB1E0E">
              <w:rPr>
                <w:rFonts w:cs="Calibri"/>
                <w:sz w:val="18"/>
                <w:szCs w:val="18"/>
                <w:lang w:eastAsia="fr-FR"/>
              </w:rPr>
              <w:t>MdC</w:t>
            </w:r>
          </w:p>
        </w:tc>
      </w:tr>
      <w:tr w:rsidR="00FD3415" w:rsidRPr="00AB1E0E" w14:paraId="0AF6329A" w14:textId="77777777" w:rsidTr="00AE406E">
        <w:trPr>
          <w:trHeight w:val="480"/>
        </w:trPr>
        <w:tc>
          <w:tcPr>
            <w:tcW w:w="0" w:type="auto"/>
            <w:vMerge/>
            <w:tcBorders>
              <w:top w:val="nil"/>
              <w:left w:val="single" w:sz="4" w:space="0" w:color="auto"/>
              <w:bottom w:val="single" w:sz="4" w:space="0" w:color="auto"/>
              <w:right w:val="single" w:sz="4" w:space="0" w:color="auto"/>
            </w:tcBorders>
            <w:vAlign w:val="center"/>
            <w:hideMark/>
          </w:tcPr>
          <w:p w14:paraId="0B8D0028" w14:textId="77777777" w:rsidR="00FD3415" w:rsidRPr="00AB1E0E" w:rsidRDefault="00FD3415" w:rsidP="004B6E62">
            <w:pPr>
              <w:rPr>
                <w:rFonts w:cs="Calibri"/>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3B4BC57D" w14:textId="77777777" w:rsidR="00FD3415" w:rsidRPr="00AB1E0E" w:rsidRDefault="00FD3415" w:rsidP="004B6E62">
            <w:pPr>
              <w:rPr>
                <w:rFonts w:cs="Calibri"/>
                <w:sz w:val="18"/>
                <w:szCs w:val="18"/>
                <w:lang w:eastAsia="fr-FR"/>
              </w:rPr>
            </w:pPr>
            <w:r w:rsidRPr="00AB1E0E">
              <w:rPr>
                <w:rFonts w:cs="Calibri"/>
                <w:sz w:val="18"/>
                <w:szCs w:val="18"/>
                <w:lang w:eastAsia="fr-FR"/>
              </w:rPr>
              <w:t>Respect des dispositifs mis en place. Signalisation</w:t>
            </w:r>
          </w:p>
        </w:tc>
        <w:tc>
          <w:tcPr>
            <w:tcW w:w="0" w:type="auto"/>
            <w:vMerge/>
            <w:tcBorders>
              <w:top w:val="nil"/>
              <w:left w:val="single" w:sz="4" w:space="0" w:color="auto"/>
              <w:bottom w:val="single" w:sz="4" w:space="0" w:color="auto"/>
              <w:right w:val="single" w:sz="4" w:space="0" w:color="auto"/>
            </w:tcBorders>
            <w:vAlign w:val="center"/>
            <w:hideMark/>
          </w:tcPr>
          <w:p w14:paraId="64E426C6" w14:textId="77777777" w:rsidR="00FD3415" w:rsidRPr="00AB1E0E" w:rsidRDefault="00FD3415" w:rsidP="004B6E62">
            <w:pPr>
              <w:rPr>
                <w:rFonts w:cs="Calibri"/>
                <w:sz w:val="18"/>
                <w:szCs w:val="18"/>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1FB05605" w14:textId="77777777" w:rsidR="00FD3415" w:rsidRPr="00AB1E0E" w:rsidRDefault="00FD3415" w:rsidP="004B6E62">
            <w:pPr>
              <w:rPr>
                <w:rFonts w:cs="Calibri"/>
                <w:sz w:val="18"/>
                <w:szCs w:val="18"/>
                <w:lang w:eastAsia="fr-FR"/>
              </w:rPr>
            </w:pPr>
          </w:p>
        </w:tc>
        <w:tc>
          <w:tcPr>
            <w:tcW w:w="1897" w:type="dxa"/>
            <w:vMerge/>
            <w:tcBorders>
              <w:top w:val="nil"/>
              <w:left w:val="single" w:sz="4" w:space="0" w:color="auto"/>
              <w:bottom w:val="single" w:sz="4" w:space="0" w:color="auto"/>
              <w:right w:val="single" w:sz="4" w:space="0" w:color="auto"/>
            </w:tcBorders>
            <w:vAlign w:val="center"/>
            <w:hideMark/>
          </w:tcPr>
          <w:p w14:paraId="4AE0BA5C" w14:textId="77777777" w:rsidR="00FD3415" w:rsidRPr="00AB1E0E" w:rsidRDefault="00FD3415" w:rsidP="004B6E62">
            <w:pPr>
              <w:rPr>
                <w:rFonts w:cs="Calibri"/>
                <w:sz w:val="18"/>
                <w:szCs w:val="18"/>
                <w:lang w:eastAsia="fr-FR"/>
              </w:rPr>
            </w:pPr>
          </w:p>
        </w:tc>
        <w:tc>
          <w:tcPr>
            <w:tcW w:w="2054" w:type="dxa"/>
            <w:vMerge/>
            <w:tcBorders>
              <w:top w:val="nil"/>
              <w:left w:val="single" w:sz="4" w:space="0" w:color="auto"/>
              <w:bottom w:val="single" w:sz="4" w:space="0" w:color="auto"/>
              <w:right w:val="single" w:sz="4" w:space="0" w:color="auto"/>
            </w:tcBorders>
            <w:vAlign w:val="center"/>
            <w:hideMark/>
          </w:tcPr>
          <w:p w14:paraId="2A5A2C45" w14:textId="77777777" w:rsidR="00FD3415" w:rsidRPr="00AB1E0E" w:rsidRDefault="00FD3415" w:rsidP="004B6E62">
            <w:pPr>
              <w:rPr>
                <w:rFonts w:cs="Calibri"/>
                <w:sz w:val="18"/>
                <w:szCs w:val="18"/>
                <w:lang w:eastAsia="fr-FR"/>
              </w:rPr>
            </w:pPr>
          </w:p>
        </w:tc>
        <w:tc>
          <w:tcPr>
            <w:tcW w:w="1123" w:type="dxa"/>
            <w:vMerge/>
            <w:tcBorders>
              <w:top w:val="nil"/>
              <w:left w:val="single" w:sz="4" w:space="0" w:color="auto"/>
              <w:bottom w:val="single" w:sz="4" w:space="0" w:color="auto"/>
              <w:right w:val="single" w:sz="4" w:space="0" w:color="auto"/>
            </w:tcBorders>
            <w:vAlign w:val="center"/>
            <w:hideMark/>
          </w:tcPr>
          <w:p w14:paraId="60612C87" w14:textId="77777777" w:rsidR="00FD3415" w:rsidRPr="00AB1E0E" w:rsidRDefault="00FD3415" w:rsidP="004B6E62">
            <w:pPr>
              <w:rPr>
                <w:rFonts w:cs="Calibri"/>
                <w:sz w:val="18"/>
                <w:szCs w:val="18"/>
                <w:lang w:eastAsia="fr-FR"/>
              </w:rPr>
            </w:pPr>
          </w:p>
        </w:tc>
      </w:tr>
      <w:tr w:rsidR="00FD3415" w:rsidRPr="00AB1E0E" w14:paraId="75E2CB1D" w14:textId="77777777" w:rsidTr="00AE406E">
        <w:trPr>
          <w:trHeight w:val="300"/>
        </w:trPr>
        <w:tc>
          <w:tcPr>
            <w:tcW w:w="12899" w:type="dxa"/>
            <w:gridSpan w:val="7"/>
            <w:tcBorders>
              <w:top w:val="single" w:sz="4" w:space="0" w:color="auto"/>
              <w:left w:val="single" w:sz="4" w:space="0" w:color="auto"/>
              <w:bottom w:val="single" w:sz="4" w:space="0" w:color="auto"/>
              <w:right w:val="single" w:sz="4" w:space="0" w:color="auto"/>
            </w:tcBorders>
            <w:shd w:val="clear" w:color="000000" w:fill="00B0F0"/>
            <w:vAlign w:val="center"/>
            <w:hideMark/>
          </w:tcPr>
          <w:p w14:paraId="22000594" w14:textId="77777777" w:rsidR="00FD3415" w:rsidRPr="00AB1E0E" w:rsidRDefault="00FD3415" w:rsidP="004B6E62">
            <w:pPr>
              <w:jc w:val="center"/>
              <w:rPr>
                <w:rFonts w:cs="Calibri"/>
                <w:b/>
                <w:bCs/>
                <w:sz w:val="18"/>
                <w:szCs w:val="18"/>
                <w:lang w:eastAsia="fr-FR"/>
              </w:rPr>
            </w:pPr>
            <w:r w:rsidRPr="00AB1E0E">
              <w:rPr>
                <w:rFonts w:cs="Calibri"/>
                <w:b/>
                <w:bCs/>
                <w:sz w:val="18"/>
                <w:szCs w:val="18"/>
                <w:lang w:eastAsia="fr-FR"/>
              </w:rPr>
              <w:t>Phase d'exploitation</w:t>
            </w:r>
          </w:p>
        </w:tc>
      </w:tr>
      <w:tr w:rsidR="00FD3415" w:rsidRPr="00AB1E0E" w14:paraId="6D746157" w14:textId="77777777" w:rsidTr="00AE406E">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971B43" w14:textId="77777777" w:rsidR="00FD3415" w:rsidRPr="00AB1E0E" w:rsidRDefault="00FD3415" w:rsidP="004B6E62">
            <w:pPr>
              <w:rPr>
                <w:rFonts w:cs="Calibri"/>
                <w:sz w:val="18"/>
                <w:szCs w:val="18"/>
                <w:lang w:eastAsia="fr-FR"/>
              </w:rPr>
            </w:pPr>
            <w:r w:rsidRPr="00AB1E0E">
              <w:rPr>
                <w:rFonts w:cs="Calibri"/>
                <w:sz w:val="18"/>
                <w:szCs w:val="18"/>
                <w:lang w:eastAsia="fr-FR"/>
              </w:rPr>
              <w:t>Risque d'épuisement de la ressource en eau à cause des besoins pour le lavage des PV</w:t>
            </w:r>
          </w:p>
        </w:tc>
        <w:tc>
          <w:tcPr>
            <w:tcW w:w="0" w:type="auto"/>
            <w:tcBorders>
              <w:top w:val="nil"/>
              <w:left w:val="nil"/>
              <w:bottom w:val="single" w:sz="4" w:space="0" w:color="auto"/>
              <w:right w:val="single" w:sz="4" w:space="0" w:color="auto"/>
            </w:tcBorders>
            <w:shd w:val="clear" w:color="auto" w:fill="auto"/>
            <w:vAlign w:val="center"/>
            <w:hideMark/>
          </w:tcPr>
          <w:p w14:paraId="77FD9967" w14:textId="77777777" w:rsidR="00FD3415" w:rsidRPr="00AB1E0E" w:rsidRDefault="00FD3415" w:rsidP="004B6E62">
            <w:pPr>
              <w:rPr>
                <w:rFonts w:cs="Calibri"/>
                <w:sz w:val="18"/>
                <w:szCs w:val="18"/>
                <w:lang w:eastAsia="fr-FR"/>
              </w:rPr>
            </w:pPr>
            <w:r w:rsidRPr="00AB1E0E">
              <w:rPr>
                <w:rFonts w:cs="Calibri"/>
                <w:sz w:val="18"/>
                <w:szCs w:val="18"/>
                <w:lang w:eastAsia="fr-FR"/>
              </w:rPr>
              <w:t>Mise en place de système de récupération et de traitement des eaux usée pour réutilisation</w:t>
            </w:r>
          </w:p>
        </w:tc>
        <w:tc>
          <w:tcPr>
            <w:tcW w:w="0" w:type="auto"/>
            <w:tcBorders>
              <w:top w:val="nil"/>
              <w:left w:val="nil"/>
              <w:bottom w:val="single" w:sz="4" w:space="0" w:color="auto"/>
              <w:right w:val="single" w:sz="4" w:space="0" w:color="auto"/>
            </w:tcBorders>
            <w:shd w:val="clear" w:color="auto" w:fill="auto"/>
            <w:vAlign w:val="center"/>
            <w:hideMark/>
          </w:tcPr>
          <w:p w14:paraId="56F2E9DF" w14:textId="77777777" w:rsidR="00FD3415" w:rsidRPr="00AB1E0E" w:rsidRDefault="00FD3415" w:rsidP="004B6E62">
            <w:pPr>
              <w:rPr>
                <w:rFonts w:cs="Calibri"/>
                <w:sz w:val="18"/>
                <w:szCs w:val="18"/>
                <w:lang w:eastAsia="fr-FR"/>
              </w:rPr>
            </w:pPr>
            <w:r w:rsidRPr="00AB1E0E">
              <w:rPr>
                <w:rFonts w:cs="Calibri"/>
                <w:sz w:val="18"/>
                <w:szCs w:val="18"/>
                <w:lang w:eastAsia="fr-FR"/>
              </w:rPr>
              <w:t>Volumes d'eau récupéré</w:t>
            </w:r>
            <w:r>
              <w:rPr>
                <w:rFonts w:cs="Calibri"/>
                <w:sz w:val="18"/>
                <w:szCs w:val="18"/>
                <w:lang w:eastAsia="fr-FR"/>
              </w:rPr>
              <w:t>s</w:t>
            </w:r>
          </w:p>
        </w:tc>
        <w:tc>
          <w:tcPr>
            <w:tcW w:w="0" w:type="auto"/>
            <w:tcBorders>
              <w:top w:val="nil"/>
              <w:left w:val="nil"/>
              <w:bottom w:val="single" w:sz="4" w:space="0" w:color="auto"/>
              <w:right w:val="single" w:sz="4" w:space="0" w:color="auto"/>
            </w:tcBorders>
            <w:shd w:val="clear" w:color="auto" w:fill="auto"/>
            <w:vAlign w:val="center"/>
            <w:hideMark/>
          </w:tcPr>
          <w:p w14:paraId="4002E7C1" w14:textId="77777777" w:rsidR="00FD3415" w:rsidRPr="00AB1E0E" w:rsidRDefault="00FD3415" w:rsidP="004B6E62">
            <w:pPr>
              <w:rPr>
                <w:rFonts w:cs="Calibri"/>
                <w:sz w:val="18"/>
                <w:szCs w:val="18"/>
                <w:lang w:eastAsia="fr-FR"/>
              </w:rPr>
            </w:pPr>
            <w:r w:rsidRPr="00AB1E0E">
              <w:rPr>
                <w:rFonts w:cs="Calibri"/>
                <w:sz w:val="18"/>
                <w:szCs w:val="18"/>
                <w:lang w:eastAsia="fr-FR"/>
              </w:rPr>
              <w:t>Mesure</w:t>
            </w:r>
          </w:p>
        </w:tc>
        <w:tc>
          <w:tcPr>
            <w:tcW w:w="1897" w:type="dxa"/>
            <w:tcBorders>
              <w:top w:val="nil"/>
              <w:left w:val="nil"/>
              <w:bottom w:val="single" w:sz="4" w:space="0" w:color="auto"/>
              <w:right w:val="single" w:sz="4" w:space="0" w:color="auto"/>
            </w:tcBorders>
            <w:shd w:val="clear" w:color="auto" w:fill="auto"/>
            <w:vAlign w:val="center"/>
            <w:hideMark/>
          </w:tcPr>
          <w:p w14:paraId="4A81A57D" w14:textId="77777777" w:rsidR="00FD3415" w:rsidRPr="00AB1E0E" w:rsidRDefault="00FD3415" w:rsidP="004B6E62">
            <w:pPr>
              <w:rPr>
                <w:rFonts w:cs="Calibri"/>
                <w:sz w:val="18"/>
                <w:szCs w:val="18"/>
                <w:lang w:eastAsia="fr-FR"/>
              </w:rPr>
            </w:pPr>
            <w:r w:rsidRPr="00AB1E0E">
              <w:rPr>
                <w:rFonts w:cs="Calibri"/>
                <w:sz w:val="18"/>
                <w:szCs w:val="18"/>
                <w:lang w:eastAsia="fr-FR"/>
              </w:rPr>
              <w:t>Mensuel</w:t>
            </w:r>
          </w:p>
        </w:tc>
        <w:tc>
          <w:tcPr>
            <w:tcW w:w="2054" w:type="dxa"/>
            <w:tcBorders>
              <w:top w:val="nil"/>
              <w:left w:val="nil"/>
              <w:bottom w:val="single" w:sz="4" w:space="0" w:color="auto"/>
              <w:right w:val="single" w:sz="4" w:space="0" w:color="auto"/>
            </w:tcBorders>
            <w:shd w:val="clear" w:color="auto" w:fill="auto"/>
            <w:vAlign w:val="center"/>
            <w:hideMark/>
          </w:tcPr>
          <w:p w14:paraId="6AB68619" w14:textId="77777777" w:rsidR="00FD3415" w:rsidRPr="00AB1E0E" w:rsidRDefault="00FD3415" w:rsidP="004B6E62">
            <w:pPr>
              <w:rPr>
                <w:rFonts w:cs="Calibri"/>
                <w:sz w:val="18"/>
                <w:szCs w:val="18"/>
                <w:lang w:eastAsia="fr-FR"/>
              </w:rPr>
            </w:pPr>
            <w:r w:rsidRPr="00AB1E0E">
              <w:rPr>
                <w:rFonts w:cs="Calibri"/>
                <w:sz w:val="18"/>
                <w:szCs w:val="18"/>
                <w:lang w:eastAsia="fr-FR"/>
              </w:rPr>
              <w:t>Projet/ Exploitant</w:t>
            </w:r>
          </w:p>
        </w:tc>
        <w:tc>
          <w:tcPr>
            <w:tcW w:w="1123" w:type="dxa"/>
            <w:tcBorders>
              <w:top w:val="nil"/>
              <w:left w:val="nil"/>
              <w:bottom w:val="single" w:sz="4" w:space="0" w:color="auto"/>
              <w:right w:val="single" w:sz="4" w:space="0" w:color="auto"/>
            </w:tcBorders>
            <w:shd w:val="clear" w:color="auto" w:fill="auto"/>
            <w:vAlign w:val="center"/>
            <w:hideMark/>
          </w:tcPr>
          <w:p w14:paraId="7743572D" w14:textId="77777777" w:rsidR="00FD3415" w:rsidRPr="00AB1E0E" w:rsidRDefault="00FD3415" w:rsidP="004B6E62">
            <w:pPr>
              <w:rPr>
                <w:rFonts w:cs="Calibri"/>
                <w:sz w:val="18"/>
                <w:szCs w:val="18"/>
                <w:lang w:eastAsia="fr-FR"/>
              </w:rPr>
            </w:pPr>
            <w:r w:rsidRPr="00AB1E0E">
              <w:rPr>
                <w:rFonts w:cs="Calibri"/>
                <w:sz w:val="18"/>
                <w:szCs w:val="18"/>
                <w:lang w:eastAsia="fr-FR"/>
              </w:rPr>
              <w:t>MEH, BM</w:t>
            </w:r>
          </w:p>
        </w:tc>
      </w:tr>
      <w:tr w:rsidR="00FD3415" w:rsidRPr="00AB1E0E" w14:paraId="50ACD627" w14:textId="77777777" w:rsidTr="00AE406E">
        <w:trPr>
          <w:trHeight w:val="9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C73A86" w14:textId="77777777" w:rsidR="00FD3415" w:rsidRPr="00AB1E0E" w:rsidRDefault="00FD3415" w:rsidP="004B6E62">
            <w:pPr>
              <w:rPr>
                <w:rFonts w:cs="Calibri"/>
                <w:sz w:val="18"/>
                <w:szCs w:val="18"/>
                <w:lang w:eastAsia="fr-FR"/>
              </w:rPr>
            </w:pPr>
            <w:r w:rsidRPr="00AB1E0E">
              <w:rPr>
                <w:rFonts w:cs="Calibri"/>
                <w:sz w:val="18"/>
                <w:szCs w:val="18"/>
                <w:lang w:eastAsia="fr-FR"/>
              </w:rPr>
              <w:t>Modification du Paysage</w:t>
            </w:r>
          </w:p>
        </w:tc>
        <w:tc>
          <w:tcPr>
            <w:tcW w:w="0" w:type="auto"/>
            <w:tcBorders>
              <w:top w:val="nil"/>
              <w:left w:val="nil"/>
              <w:bottom w:val="single" w:sz="4" w:space="0" w:color="auto"/>
              <w:right w:val="single" w:sz="4" w:space="0" w:color="auto"/>
            </w:tcBorders>
            <w:shd w:val="clear" w:color="auto" w:fill="auto"/>
            <w:vAlign w:val="center"/>
            <w:hideMark/>
          </w:tcPr>
          <w:p w14:paraId="0A1CDA29" w14:textId="77777777" w:rsidR="00FD3415" w:rsidRPr="00AB1E0E" w:rsidRDefault="00FD3415" w:rsidP="004B6E62">
            <w:pPr>
              <w:rPr>
                <w:rFonts w:cs="Calibri"/>
                <w:sz w:val="18"/>
                <w:szCs w:val="18"/>
                <w:lang w:eastAsia="fr-FR"/>
              </w:rPr>
            </w:pPr>
            <w:r w:rsidRPr="00AB1E0E">
              <w:rPr>
                <w:rFonts w:cs="Calibri"/>
                <w:sz w:val="18"/>
                <w:szCs w:val="18"/>
                <w:lang w:eastAsia="fr-FR"/>
              </w:rPr>
              <w:t>Prendre en compte l'esthétique du paysage pendant la conception du plan des infrastructures à mettre en place</w:t>
            </w:r>
          </w:p>
        </w:tc>
        <w:tc>
          <w:tcPr>
            <w:tcW w:w="0" w:type="auto"/>
            <w:tcBorders>
              <w:top w:val="nil"/>
              <w:left w:val="nil"/>
              <w:bottom w:val="single" w:sz="4" w:space="0" w:color="auto"/>
              <w:right w:val="single" w:sz="4" w:space="0" w:color="auto"/>
            </w:tcBorders>
            <w:shd w:val="clear" w:color="auto" w:fill="auto"/>
            <w:vAlign w:val="center"/>
            <w:hideMark/>
          </w:tcPr>
          <w:p w14:paraId="0FEA0235" w14:textId="77777777" w:rsidR="00FD3415" w:rsidRPr="00AB1E0E" w:rsidRDefault="00FD3415" w:rsidP="004B6E62">
            <w:pPr>
              <w:rPr>
                <w:rFonts w:cs="Calibri"/>
                <w:sz w:val="18"/>
                <w:szCs w:val="18"/>
                <w:lang w:eastAsia="fr-FR"/>
              </w:rPr>
            </w:pPr>
            <w:r w:rsidRPr="00AB1E0E">
              <w:rPr>
                <w:rFonts w:cs="Calibri"/>
                <w:sz w:val="18"/>
                <w:szCs w:val="18"/>
                <w:lang w:eastAsia="fr-FR"/>
              </w:rPr>
              <w:t>Plainte de la population locale</w:t>
            </w:r>
          </w:p>
        </w:tc>
        <w:tc>
          <w:tcPr>
            <w:tcW w:w="0" w:type="auto"/>
            <w:tcBorders>
              <w:top w:val="nil"/>
              <w:left w:val="nil"/>
              <w:bottom w:val="single" w:sz="4" w:space="0" w:color="auto"/>
              <w:right w:val="single" w:sz="4" w:space="0" w:color="auto"/>
            </w:tcBorders>
            <w:shd w:val="clear" w:color="auto" w:fill="auto"/>
            <w:vAlign w:val="center"/>
            <w:hideMark/>
          </w:tcPr>
          <w:p w14:paraId="1F635E48" w14:textId="77777777" w:rsidR="00FD3415" w:rsidRPr="00AB1E0E" w:rsidRDefault="00FD3415" w:rsidP="004B6E62">
            <w:pPr>
              <w:rPr>
                <w:rFonts w:cs="Calibri"/>
                <w:sz w:val="18"/>
                <w:szCs w:val="18"/>
                <w:lang w:eastAsia="fr-FR"/>
              </w:rPr>
            </w:pPr>
            <w:r w:rsidRPr="00AB1E0E">
              <w:rPr>
                <w:rFonts w:cs="Calibri"/>
                <w:sz w:val="18"/>
                <w:szCs w:val="18"/>
                <w:lang w:eastAsia="fr-FR"/>
              </w:rPr>
              <w:t>Consultation avec la population locale</w:t>
            </w:r>
          </w:p>
        </w:tc>
        <w:tc>
          <w:tcPr>
            <w:tcW w:w="1897" w:type="dxa"/>
            <w:tcBorders>
              <w:top w:val="nil"/>
              <w:left w:val="nil"/>
              <w:bottom w:val="single" w:sz="4" w:space="0" w:color="auto"/>
              <w:right w:val="single" w:sz="4" w:space="0" w:color="auto"/>
            </w:tcBorders>
            <w:shd w:val="clear" w:color="auto" w:fill="auto"/>
            <w:vAlign w:val="center"/>
            <w:hideMark/>
          </w:tcPr>
          <w:p w14:paraId="4224BE62" w14:textId="77777777" w:rsidR="00FD3415" w:rsidRPr="00AB1E0E" w:rsidRDefault="00FD3415" w:rsidP="004B6E62">
            <w:pPr>
              <w:rPr>
                <w:rFonts w:cs="Calibri"/>
                <w:sz w:val="18"/>
                <w:szCs w:val="18"/>
                <w:lang w:eastAsia="fr-FR"/>
              </w:rPr>
            </w:pPr>
            <w:r w:rsidRPr="00AB1E0E">
              <w:rPr>
                <w:rFonts w:cs="Calibri"/>
                <w:sz w:val="18"/>
                <w:szCs w:val="18"/>
                <w:lang w:eastAsia="fr-FR"/>
              </w:rPr>
              <w:t>annuel</w:t>
            </w:r>
          </w:p>
        </w:tc>
        <w:tc>
          <w:tcPr>
            <w:tcW w:w="2054" w:type="dxa"/>
            <w:tcBorders>
              <w:top w:val="nil"/>
              <w:left w:val="nil"/>
              <w:bottom w:val="single" w:sz="4" w:space="0" w:color="auto"/>
              <w:right w:val="single" w:sz="4" w:space="0" w:color="auto"/>
            </w:tcBorders>
            <w:shd w:val="clear" w:color="auto" w:fill="auto"/>
            <w:vAlign w:val="center"/>
            <w:hideMark/>
          </w:tcPr>
          <w:p w14:paraId="16A8815B" w14:textId="77777777" w:rsidR="00FD3415" w:rsidRPr="00AB1E0E" w:rsidRDefault="00FD3415" w:rsidP="004B6E62">
            <w:pPr>
              <w:rPr>
                <w:rFonts w:cs="Calibri"/>
                <w:sz w:val="18"/>
                <w:szCs w:val="18"/>
                <w:lang w:eastAsia="fr-FR"/>
              </w:rPr>
            </w:pPr>
            <w:r w:rsidRPr="00AB1E0E">
              <w:rPr>
                <w:rFonts w:cs="Calibri"/>
                <w:sz w:val="18"/>
                <w:szCs w:val="18"/>
                <w:lang w:eastAsia="fr-FR"/>
              </w:rPr>
              <w:t>DREH</w:t>
            </w:r>
          </w:p>
        </w:tc>
        <w:tc>
          <w:tcPr>
            <w:tcW w:w="1123" w:type="dxa"/>
            <w:tcBorders>
              <w:top w:val="nil"/>
              <w:left w:val="nil"/>
              <w:bottom w:val="single" w:sz="4" w:space="0" w:color="auto"/>
              <w:right w:val="single" w:sz="4" w:space="0" w:color="auto"/>
            </w:tcBorders>
            <w:shd w:val="clear" w:color="auto" w:fill="auto"/>
            <w:vAlign w:val="center"/>
            <w:hideMark/>
          </w:tcPr>
          <w:p w14:paraId="59774C09" w14:textId="77777777" w:rsidR="00FD3415" w:rsidRPr="00AB1E0E" w:rsidRDefault="00FD3415" w:rsidP="004B6E62">
            <w:pPr>
              <w:rPr>
                <w:rFonts w:cs="Calibri"/>
                <w:sz w:val="18"/>
                <w:szCs w:val="18"/>
                <w:lang w:eastAsia="fr-FR"/>
              </w:rPr>
            </w:pPr>
            <w:r w:rsidRPr="00AB1E0E">
              <w:rPr>
                <w:rFonts w:cs="Calibri"/>
                <w:sz w:val="18"/>
                <w:szCs w:val="18"/>
                <w:lang w:eastAsia="fr-FR"/>
              </w:rPr>
              <w:t>MEH</w:t>
            </w:r>
          </w:p>
        </w:tc>
      </w:tr>
      <w:tr w:rsidR="00FD3415" w:rsidRPr="00AB1E0E" w14:paraId="5053E5E6" w14:textId="77777777" w:rsidTr="00AE406E">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A06AB1" w14:textId="77777777" w:rsidR="00FD3415" w:rsidRPr="00AB1E0E" w:rsidRDefault="00FD3415" w:rsidP="004B6E62">
            <w:pPr>
              <w:rPr>
                <w:rFonts w:cs="Calibri"/>
                <w:sz w:val="18"/>
                <w:szCs w:val="18"/>
                <w:lang w:eastAsia="fr-FR"/>
              </w:rPr>
            </w:pPr>
            <w:r w:rsidRPr="00AB1E0E">
              <w:rPr>
                <w:rFonts w:cs="Calibri"/>
                <w:sz w:val="18"/>
                <w:szCs w:val="18"/>
                <w:lang w:eastAsia="fr-FR"/>
              </w:rPr>
              <w:t>Création de champs électromagnétique (CEM) pouvant perturber la faune locale</w:t>
            </w:r>
          </w:p>
        </w:tc>
        <w:tc>
          <w:tcPr>
            <w:tcW w:w="0" w:type="auto"/>
            <w:tcBorders>
              <w:top w:val="nil"/>
              <w:left w:val="nil"/>
              <w:bottom w:val="single" w:sz="4" w:space="0" w:color="auto"/>
              <w:right w:val="single" w:sz="4" w:space="0" w:color="auto"/>
            </w:tcBorders>
            <w:shd w:val="clear" w:color="auto" w:fill="auto"/>
            <w:vAlign w:val="center"/>
            <w:hideMark/>
          </w:tcPr>
          <w:p w14:paraId="5229B794" w14:textId="77777777" w:rsidR="00FD3415" w:rsidRPr="00AB1E0E" w:rsidRDefault="00FD3415" w:rsidP="004B6E62">
            <w:pPr>
              <w:rPr>
                <w:rFonts w:cs="Calibri"/>
                <w:sz w:val="18"/>
                <w:szCs w:val="18"/>
                <w:lang w:eastAsia="fr-FR"/>
              </w:rPr>
            </w:pPr>
            <w:r w:rsidRPr="00AB1E0E">
              <w:rPr>
                <w:rFonts w:cs="Calibri"/>
                <w:sz w:val="18"/>
                <w:szCs w:val="18"/>
                <w:lang w:eastAsia="fr-FR"/>
              </w:rPr>
              <w:t>Mise en place des sites d'installation des parcs PV, Tours cellulaires, …. sur des sites éloignés des Aires Protégées et autres sites de haute potentialité en matière de biodiversité</w:t>
            </w:r>
          </w:p>
        </w:tc>
        <w:tc>
          <w:tcPr>
            <w:tcW w:w="0" w:type="auto"/>
            <w:tcBorders>
              <w:top w:val="nil"/>
              <w:left w:val="nil"/>
              <w:bottom w:val="single" w:sz="4" w:space="0" w:color="auto"/>
              <w:right w:val="single" w:sz="4" w:space="0" w:color="auto"/>
            </w:tcBorders>
            <w:shd w:val="clear" w:color="auto" w:fill="auto"/>
            <w:vAlign w:val="center"/>
            <w:hideMark/>
          </w:tcPr>
          <w:p w14:paraId="25749A36" w14:textId="77777777" w:rsidR="00FD3415" w:rsidRPr="00AB1E0E" w:rsidRDefault="00FD3415" w:rsidP="004B6E62">
            <w:pPr>
              <w:rPr>
                <w:rFonts w:cs="Calibri"/>
                <w:sz w:val="18"/>
                <w:szCs w:val="18"/>
                <w:lang w:eastAsia="fr-FR"/>
              </w:rPr>
            </w:pPr>
            <w:r w:rsidRPr="00AB1E0E">
              <w:rPr>
                <w:rFonts w:cs="Calibri"/>
                <w:sz w:val="18"/>
                <w:szCs w:val="18"/>
                <w:lang w:eastAsia="fr-FR"/>
              </w:rPr>
              <w:t>Nombre de plaintes enregistrées concernant les impacts potentiels sur la faune</w:t>
            </w:r>
          </w:p>
        </w:tc>
        <w:tc>
          <w:tcPr>
            <w:tcW w:w="0" w:type="auto"/>
            <w:tcBorders>
              <w:top w:val="nil"/>
              <w:left w:val="nil"/>
              <w:bottom w:val="single" w:sz="4" w:space="0" w:color="auto"/>
              <w:right w:val="single" w:sz="4" w:space="0" w:color="auto"/>
            </w:tcBorders>
            <w:shd w:val="clear" w:color="auto" w:fill="auto"/>
            <w:vAlign w:val="center"/>
            <w:hideMark/>
          </w:tcPr>
          <w:p w14:paraId="054CBD3F" w14:textId="77777777" w:rsidR="00FD3415" w:rsidRPr="00AB1E0E" w:rsidRDefault="00FD3415" w:rsidP="004B6E62">
            <w:pPr>
              <w:rPr>
                <w:rFonts w:cs="Calibri"/>
                <w:sz w:val="18"/>
                <w:szCs w:val="18"/>
                <w:lang w:eastAsia="fr-FR"/>
              </w:rPr>
            </w:pPr>
            <w:r w:rsidRPr="00AB1E0E">
              <w:rPr>
                <w:rFonts w:cs="Calibri"/>
                <w:sz w:val="18"/>
                <w:szCs w:val="18"/>
                <w:lang w:eastAsia="fr-FR"/>
              </w:rPr>
              <w:t>Comptage</w:t>
            </w:r>
          </w:p>
        </w:tc>
        <w:tc>
          <w:tcPr>
            <w:tcW w:w="1897" w:type="dxa"/>
            <w:tcBorders>
              <w:top w:val="nil"/>
              <w:left w:val="nil"/>
              <w:bottom w:val="single" w:sz="4" w:space="0" w:color="auto"/>
              <w:right w:val="single" w:sz="4" w:space="0" w:color="auto"/>
            </w:tcBorders>
            <w:shd w:val="clear" w:color="auto" w:fill="auto"/>
            <w:vAlign w:val="center"/>
            <w:hideMark/>
          </w:tcPr>
          <w:p w14:paraId="6C04D321" w14:textId="77777777" w:rsidR="00FD3415" w:rsidRPr="00AB1E0E" w:rsidRDefault="00FD3415" w:rsidP="004B6E62">
            <w:pPr>
              <w:rPr>
                <w:rFonts w:cs="Calibri"/>
                <w:sz w:val="18"/>
                <w:szCs w:val="18"/>
                <w:lang w:eastAsia="fr-FR"/>
              </w:rPr>
            </w:pPr>
            <w:r w:rsidRPr="00AB1E0E">
              <w:rPr>
                <w:rFonts w:cs="Calibri"/>
                <w:sz w:val="18"/>
                <w:szCs w:val="18"/>
                <w:lang w:eastAsia="fr-FR"/>
              </w:rPr>
              <w:t>Semestriel</w:t>
            </w:r>
          </w:p>
        </w:tc>
        <w:tc>
          <w:tcPr>
            <w:tcW w:w="2054" w:type="dxa"/>
            <w:tcBorders>
              <w:top w:val="nil"/>
              <w:left w:val="nil"/>
              <w:bottom w:val="single" w:sz="4" w:space="0" w:color="auto"/>
              <w:right w:val="single" w:sz="4" w:space="0" w:color="auto"/>
            </w:tcBorders>
            <w:shd w:val="clear" w:color="auto" w:fill="auto"/>
            <w:vAlign w:val="center"/>
            <w:hideMark/>
          </w:tcPr>
          <w:p w14:paraId="10249081" w14:textId="77777777" w:rsidR="00FD3415" w:rsidRPr="00AB1E0E" w:rsidRDefault="00FD3415" w:rsidP="004B6E62">
            <w:pPr>
              <w:rPr>
                <w:rFonts w:cs="Calibri"/>
                <w:sz w:val="18"/>
                <w:szCs w:val="18"/>
                <w:lang w:eastAsia="fr-FR"/>
              </w:rPr>
            </w:pPr>
            <w:r w:rsidRPr="00AB1E0E">
              <w:rPr>
                <w:rFonts w:cs="Calibri"/>
                <w:sz w:val="18"/>
                <w:szCs w:val="18"/>
                <w:lang w:eastAsia="fr-FR"/>
              </w:rPr>
              <w:t>Projet/ Exploitant</w:t>
            </w:r>
          </w:p>
        </w:tc>
        <w:tc>
          <w:tcPr>
            <w:tcW w:w="1123" w:type="dxa"/>
            <w:tcBorders>
              <w:top w:val="nil"/>
              <w:left w:val="nil"/>
              <w:bottom w:val="single" w:sz="4" w:space="0" w:color="auto"/>
              <w:right w:val="single" w:sz="4" w:space="0" w:color="auto"/>
            </w:tcBorders>
            <w:shd w:val="clear" w:color="auto" w:fill="auto"/>
            <w:vAlign w:val="center"/>
            <w:hideMark/>
          </w:tcPr>
          <w:p w14:paraId="65C84D8C" w14:textId="77777777" w:rsidR="00FD3415" w:rsidRPr="00AB1E0E" w:rsidRDefault="00FD3415" w:rsidP="004B6E62">
            <w:pPr>
              <w:rPr>
                <w:rFonts w:cs="Calibri"/>
                <w:sz w:val="18"/>
                <w:szCs w:val="18"/>
                <w:lang w:eastAsia="fr-FR"/>
              </w:rPr>
            </w:pPr>
            <w:r w:rsidRPr="00AB1E0E">
              <w:rPr>
                <w:rFonts w:cs="Calibri"/>
                <w:sz w:val="18"/>
                <w:szCs w:val="18"/>
                <w:lang w:eastAsia="fr-FR"/>
              </w:rPr>
              <w:t>MEH, MEED, BM</w:t>
            </w:r>
          </w:p>
        </w:tc>
      </w:tr>
      <w:tr w:rsidR="00FD3415" w:rsidRPr="00AB1E0E" w14:paraId="1C57BB1B" w14:textId="77777777" w:rsidTr="00AE406E">
        <w:trPr>
          <w:trHeight w:val="9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A793ED" w14:textId="77777777" w:rsidR="00FD3415" w:rsidRPr="00AB1E0E" w:rsidRDefault="00FD3415" w:rsidP="004B6E62">
            <w:pPr>
              <w:rPr>
                <w:rFonts w:cs="Calibri"/>
                <w:sz w:val="18"/>
                <w:szCs w:val="18"/>
                <w:lang w:eastAsia="fr-FR"/>
              </w:rPr>
            </w:pPr>
            <w:r w:rsidRPr="00AB1E0E">
              <w:rPr>
                <w:rFonts w:cs="Calibri"/>
                <w:sz w:val="18"/>
                <w:szCs w:val="18"/>
                <w:lang w:eastAsia="fr-FR"/>
              </w:rPr>
              <w:t>Accumulation des déchets solides incluant les déchets d’équipement électrique et électronique (DEEE)</w:t>
            </w:r>
          </w:p>
        </w:tc>
        <w:tc>
          <w:tcPr>
            <w:tcW w:w="0" w:type="auto"/>
            <w:tcBorders>
              <w:top w:val="nil"/>
              <w:left w:val="nil"/>
              <w:bottom w:val="single" w:sz="4" w:space="0" w:color="auto"/>
              <w:right w:val="single" w:sz="4" w:space="0" w:color="auto"/>
            </w:tcBorders>
            <w:shd w:val="clear" w:color="auto" w:fill="auto"/>
            <w:vAlign w:val="center"/>
            <w:hideMark/>
          </w:tcPr>
          <w:p w14:paraId="60E2D019" w14:textId="77777777" w:rsidR="00FD3415" w:rsidRPr="00AB1E0E" w:rsidRDefault="00FD3415" w:rsidP="004B6E62">
            <w:pPr>
              <w:rPr>
                <w:rFonts w:cs="Calibri"/>
                <w:sz w:val="18"/>
                <w:szCs w:val="18"/>
                <w:lang w:eastAsia="fr-FR"/>
              </w:rPr>
            </w:pPr>
            <w:r w:rsidRPr="00AB1E0E">
              <w:rPr>
                <w:rFonts w:cs="Calibri"/>
                <w:sz w:val="18"/>
                <w:szCs w:val="18"/>
                <w:lang w:eastAsia="fr-FR"/>
              </w:rPr>
              <w:t>Mise en place un Plan de Gestion des Déchets Solides (PGDS) avec des dispositifs spéciaux. Favoriser le recyclage des DEEE</w:t>
            </w:r>
          </w:p>
        </w:tc>
        <w:tc>
          <w:tcPr>
            <w:tcW w:w="0" w:type="auto"/>
            <w:tcBorders>
              <w:top w:val="nil"/>
              <w:left w:val="nil"/>
              <w:bottom w:val="single" w:sz="4" w:space="0" w:color="auto"/>
              <w:right w:val="single" w:sz="4" w:space="0" w:color="auto"/>
            </w:tcBorders>
            <w:shd w:val="clear" w:color="auto" w:fill="auto"/>
            <w:vAlign w:val="center"/>
            <w:hideMark/>
          </w:tcPr>
          <w:p w14:paraId="78564996" w14:textId="77777777" w:rsidR="00FD3415" w:rsidRPr="00AB1E0E" w:rsidRDefault="00FD3415" w:rsidP="004B6E62">
            <w:pPr>
              <w:rPr>
                <w:rFonts w:cs="Calibri"/>
                <w:sz w:val="18"/>
                <w:szCs w:val="18"/>
                <w:lang w:eastAsia="fr-FR"/>
              </w:rPr>
            </w:pPr>
            <w:r w:rsidRPr="00AB1E0E">
              <w:rPr>
                <w:rFonts w:cs="Calibri"/>
                <w:sz w:val="18"/>
                <w:szCs w:val="18"/>
                <w:lang w:eastAsia="fr-FR"/>
              </w:rPr>
              <w:t>Volume de déchets traités/ recyclés</w:t>
            </w:r>
          </w:p>
        </w:tc>
        <w:tc>
          <w:tcPr>
            <w:tcW w:w="0" w:type="auto"/>
            <w:tcBorders>
              <w:top w:val="nil"/>
              <w:left w:val="nil"/>
              <w:bottom w:val="single" w:sz="4" w:space="0" w:color="auto"/>
              <w:right w:val="single" w:sz="4" w:space="0" w:color="auto"/>
            </w:tcBorders>
            <w:shd w:val="clear" w:color="auto" w:fill="auto"/>
            <w:vAlign w:val="center"/>
            <w:hideMark/>
          </w:tcPr>
          <w:p w14:paraId="2151FF06" w14:textId="77777777" w:rsidR="00FD3415" w:rsidRPr="00AB1E0E" w:rsidRDefault="00FD3415" w:rsidP="004B6E62">
            <w:pPr>
              <w:rPr>
                <w:rFonts w:cs="Calibri"/>
                <w:sz w:val="18"/>
                <w:szCs w:val="18"/>
                <w:lang w:eastAsia="fr-FR"/>
              </w:rPr>
            </w:pPr>
            <w:r w:rsidRPr="00AB1E0E">
              <w:rPr>
                <w:rFonts w:cs="Calibri"/>
                <w:sz w:val="18"/>
                <w:szCs w:val="18"/>
                <w:lang w:eastAsia="fr-FR"/>
              </w:rPr>
              <w:t>Mesure</w:t>
            </w:r>
          </w:p>
        </w:tc>
        <w:tc>
          <w:tcPr>
            <w:tcW w:w="1897" w:type="dxa"/>
            <w:tcBorders>
              <w:top w:val="nil"/>
              <w:left w:val="nil"/>
              <w:bottom w:val="single" w:sz="4" w:space="0" w:color="auto"/>
              <w:right w:val="single" w:sz="4" w:space="0" w:color="auto"/>
            </w:tcBorders>
            <w:shd w:val="clear" w:color="auto" w:fill="auto"/>
            <w:vAlign w:val="center"/>
            <w:hideMark/>
          </w:tcPr>
          <w:p w14:paraId="61B142A6" w14:textId="77777777" w:rsidR="00FD3415" w:rsidRPr="00AB1E0E" w:rsidRDefault="00FD3415" w:rsidP="004B6E62">
            <w:pPr>
              <w:rPr>
                <w:rFonts w:cs="Calibri"/>
                <w:sz w:val="18"/>
                <w:szCs w:val="18"/>
                <w:lang w:eastAsia="fr-FR"/>
              </w:rPr>
            </w:pPr>
            <w:r w:rsidRPr="00AB1E0E">
              <w:rPr>
                <w:rFonts w:cs="Calibri"/>
                <w:sz w:val="18"/>
                <w:szCs w:val="18"/>
                <w:lang w:eastAsia="fr-FR"/>
              </w:rPr>
              <w:t>Semestriel</w:t>
            </w:r>
          </w:p>
        </w:tc>
        <w:tc>
          <w:tcPr>
            <w:tcW w:w="2054" w:type="dxa"/>
            <w:tcBorders>
              <w:top w:val="nil"/>
              <w:left w:val="nil"/>
              <w:bottom w:val="single" w:sz="4" w:space="0" w:color="auto"/>
              <w:right w:val="single" w:sz="4" w:space="0" w:color="auto"/>
            </w:tcBorders>
            <w:shd w:val="clear" w:color="auto" w:fill="auto"/>
            <w:vAlign w:val="center"/>
            <w:hideMark/>
          </w:tcPr>
          <w:p w14:paraId="6856C05B" w14:textId="77777777" w:rsidR="00FD3415" w:rsidRPr="00AB1E0E" w:rsidRDefault="00FD3415" w:rsidP="004B6E62">
            <w:pPr>
              <w:rPr>
                <w:rFonts w:cs="Calibri"/>
                <w:sz w:val="18"/>
                <w:szCs w:val="18"/>
                <w:lang w:eastAsia="fr-FR"/>
              </w:rPr>
            </w:pPr>
            <w:r w:rsidRPr="00AB1E0E">
              <w:rPr>
                <w:rFonts w:cs="Calibri"/>
                <w:sz w:val="18"/>
                <w:szCs w:val="18"/>
                <w:lang w:eastAsia="fr-FR"/>
              </w:rPr>
              <w:t>Projet/ Exploitant</w:t>
            </w:r>
          </w:p>
        </w:tc>
        <w:tc>
          <w:tcPr>
            <w:tcW w:w="1123" w:type="dxa"/>
            <w:tcBorders>
              <w:top w:val="nil"/>
              <w:left w:val="nil"/>
              <w:bottom w:val="single" w:sz="4" w:space="0" w:color="auto"/>
              <w:right w:val="single" w:sz="4" w:space="0" w:color="auto"/>
            </w:tcBorders>
            <w:shd w:val="clear" w:color="auto" w:fill="auto"/>
            <w:vAlign w:val="center"/>
            <w:hideMark/>
          </w:tcPr>
          <w:p w14:paraId="631E4C08" w14:textId="77777777" w:rsidR="00FD3415" w:rsidRPr="00AB1E0E" w:rsidRDefault="00FD3415" w:rsidP="004B6E62">
            <w:pPr>
              <w:rPr>
                <w:rFonts w:cs="Calibri"/>
                <w:sz w:val="18"/>
                <w:szCs w:val="18"/>
                <w:lang w:eastAsia="fr-FR"/>
              </w:rPr>
            </w:pPr>
            <w:r w:rsidRPr="00AB1E0E">
              <w:rPr>
                <w:rFonts w:cs="Calibri"/>
                <w:sz w:val="18"/>
                <w:szCs w:val="18"/>
                <w:lang w:eastAsia="fr-FR"/>
              </w:rPr>
              <w:t>MEH, BM</w:t>
            </w:r>
          </w:p>
        </w:tc>
      </w:tr>
      <w:tr w:rsidR="00FD3415" w:rsidRPr="00AB1E0E" w14:paraId="6B495631" w14:textId="77777777" w:rsidTr="00AE406E">
        <w:trPr>
          <w:trHeight w:val="9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B1B95F" w14:textId="77777777" w:rsidR="00FD3415" w:rsidRPr="00AB1E0E" w:rsidRDefault="00FD3415" w:rsidP="004B6E62">
            <w:pPr>
              <w:rPr>
                <w:rFonts w:cs="Calibri"/>
                <w:sz w:val="18"/>
                <w:szCs w:val="18"/>
                <w:lang w:eastAsia="fr-FR"/>
              </w:rPr>
            </w:pPr>
            <w:r w:rsidRPr="00AB1E0E">
              <w:rPr>
                <w:rFonts w:cs="Calibri"/>
                <w:sz w:val="18"/>
                <w:szCs w:val="18"/>
                <w:lang w:eastAsia="fr-FR"/>
              </w:rPr>
              <w:t>Risque de conflit lié à l'utilisation de l'eau</w:t>
            </w:r>
          </w:p>
        </w:tc>
        <w:tc>
          <w:tcPr>
            <w:tcW w:w="0" w:type="auto"/>
            <w:tcBorders>
              <w:top w:val="nil"/>
              <w:left w:val="nil"/>
              <w:bottom w:val="single" w:sz="4" w:space="0" w:color="auto"/>
              <w:right w:val="single" w:sz="4" w:space="0" w:color="auto"/>
            </w:tcBorders>
            <w:shd w:val="clear" w:color="auto" w:fill="auto"/>
            <w:vAlign w:val="center"/>
            <w:hideMark/>
          </w:tcPr>
          <w:p w14:paraId="7921650C" w14:textId="77777777" w:rsidR="00FD3415" w:rsidRPr="00AB1E0E" w:rsidRDefault="00FD3415" w:rsidP="004B6E62">
            <w:pPr>
              <w:rPr>
                <w:rFonts w:cs="Calibri"/>
                <w:sz w:val="18"/>
                <w:szCs w:val="18"/>
                <w:lang w:eastAsia="fr-FR"/>
              </w:rPr>
            </w:pPr>
            <w:r w:rsidRPr="00AB1E0E">
              <w:rPr>
                <w:rFonts w:cs="Calibri"/>
                <w:sz w:val="18"/>
                <w:szCs w:val="18"/>
                <w:lang w:eastAsia="fr-FR"/>
              </w:rPr>
              <w:t>Information sensibilisation sur la bonne gestion des ressources en eau</w:t>
            </w:r>
          </w:p>
        </w:tc>
        <w:tc>
          <w:tcPr>
            <w:tcW w:w="0" w:type="auto"/>
            <w:tcBorders>
              <w:top w:val="nil"/>
              <w:left w:val="nil"/>
              <w:bottom w:val="single" w:sz="4" w:space="0" w:color="auto"/>
              <w:right w:val="single" w:sz="4" w:space="0" w:color="auto"/>
            </w:tcBorders>
            <w:shd w:val="clear" w:color="auto" w:fill="auto"/>
            <w:vAlign w:val="center"/>
            <w:hideMark/>
          </w:tcPr>
          <w:p w14:paraId="112E8129" w14:textId="77777777" w:rsidR="00FD3415" w:rsidRPr="00AB1E0E" w:rsidRDefault="00FD3415" w:rsidP="004B6E62">
            <w:pPr>
              <w:rPr>
                <w:rFonts w:cs="Calibri"/>
                <w:sz w:val="18"/>
                <w:szCs w:val="18"/>
                <w:lang w:eastAsia="fr-FR"/>
              </w:rPr>
            </w:pPr>
            <w:r w:rsidRPr="00AB1E0E">
              <w:rPr>
                <w:rFonts w:cs="Calibri"/>
                <w:sz w:val="18"/>
                <w:szCs w:val="18"/>
                <w:lang w:eastAsia="fr-FR"/>
              </w:rPr>
              <w:t>Nombre de plaintes concernant l'utilisation des ressources en eau</w:t>
            </w:r>
          </w:p>
        </w:tc>
        <w:tc>
          <w:tcPr>
            <w:tcW w:w="0" w:type="auto"/>
            <w:tcBorders>
              <w:top w:val="nil"/>
              <w:left w:val="nil"/>
              <w:bottom w:val="single" w:sz="4" w:space="0" w:color="auto"/>
              <w:right w:val="single" w:sz="4" w:space="0" w:color="auto"/>
            </w:tcBorders>
            <w:shd w:val="clear" w:color="auto" w:fill="auto"/>
            <w:vAlign w:val="center"/>
            <w:hideMark/>
          </w:tcPr>
          <w:p w14:paraId="401DC8DA" w14:textId="77777777" w:rsidR="00FD3415" w:rsidRPr="00AB1E0E" w:rsidRDefault="00FD3415" w:rsidP="004B6E62">
            <w:pPr>
              <w:rPr>
                <w:rFonts w:cs="Calibri"/>
                <w:sz w:val="18"/>
                <w:szCs w:val="18"/>
                <w:lang w:eastAsia="fr-FR"/>
              </w:rPr>
            </w:pPr>
            <w:r w:rsidRPr="00AB1E0E">
              <w:rPr>
                <w:rFonts w:cs="Calibri"/>
                <w:sz w:val="18"/>
                <w:szCs w:val="18"/>
                <w:lang w:eastAsia="fr-FR"/>
              </w:rPr>
              <w:t>Comptage</w:t>
            </w:r>
          </w:p>
        </w:tc>
        <w:tc>
          <w:tcPr>
            <w:tcW w:w="1897" w:type="dxa"/>
            <w:tcBorders>
              <w:top w:val="nil"/>
              <w:left w:val="nil"/>
              <w:bottom w:val="single" w:sz="4" w:space="0" w:color="auto"/>
              <w:right w:val="single" w:sz="4" w:space="0" w:color="auto"/>
            </w:tcBorders>
            <w:shd w:val="clear" w:color="auto" w:fill="auto"/>
            <w:vAlign w:val="center"/>
            <w:hideMark/>
          </w:tcPr>
          <w:p w14:paraId="51AF2D8F" w14:textId="77777777" w:rsidR="00FD3415" w:rsidRPr="00AB1E0E" w:rsidRDefault="00FD3415" w:rsidP="004B6E62">
            <w:pPr>
              <w:rPr>
                <w:rFonts w:cs="Calibri"/>
                <w:sz w:val="18"/>
                <w:szCs w:val="18"/>
                <w:lang w:eastAsia="fr-FR"/>
              </w:rPr>
            </w:pPr>
            <w:r w:rsidRPr="00AB1E0E">
              <w:rPr>
                <w:rFonts w:cs="Calibri"/>
                <w:sz w:val="18"/>
                <w:szCs w:val="18"/>
                <w:lang w:eastAsia="fr-FR"/>
              </w:rPr>
              <w:t>Trimestriel</w:t>
            </w:r>
          </w:p>
        </w:tc>
        <w:tc>
          <w:tcPr>
            <w:tcW w:w="2054" w:type="dxa"/>
            <w:tcBorders>
              <w:top w:val="nil"/>
              <w:left w:val="nil"/>
              <w:bottom w:val="single" w:sz="4" w:space="0" w:color="auto"/>
              <w:right w:val="single" w:sz="4" w:space="0" w:color="auto"/>
            </w:tcBorders>
            <w:shd w:val="clear" w:color="auto" w:fill="auto"/>
            <w:vAlign w:val="center"/>
            <w:hideMark/>
          </w:tcPr>
          <w:p w14:paraId="4873A309" w14:textId="77777777" w:rsidR="00FD3415" w:rsidRPr="00AB1E0E" w:rsidRDefault="00FD3415" w:rsidP="004B6E62">
            <w:pPr>
              <w:rPr>
                <w:rFonts w:cs="Calibri"/>
                <w:sz w:val="18"/>
                <w:szCs w:val="18"/>
                <w:lang w:eastAsia="fr-FR"/>
              </w:rPr>
            </w:pPr>
            <w:r w:rsidRPr="00AB1E0E">
              <w:rPr>
                <w:rFonts w:cs="Calibri"/>
                <w:sz w:val="18"/>
                <w:szCs w:val="18"/>
                <w:lang w:eastAsia="fr-FR"/>
              </w:rPr>
              <w:t>Projet/ Exploitant</w:t>
            </w:r>
          </w:p>
        </w:tc>
        <w:tc>
          <w:tcPr>
            <w:tcW w:w="1123" w:type="dxa"/>
            <w:tcBorders>
              <w:top w:val="nil"/>
              <w:left w:val="nil"/>
              <w:bottom w:val="single" w:sz="4" w:space="0" w:color="auto"/>
              <w:right w:val="single" w:sz="4" w:space="0" w:color="auto"/>
            </w:tcBorders>
            <w:shd w:val="clear" w:color="auto" w:fill="auto"/>
            <w:vAlign w:val="center"/>
            <w:hideMark/>
          </w:tcPr>
          <w:p w14:paraId="1742732D" w14:textId="77777777" w:rsidR="00FD3415" w:rsidRPr="00AB1E0E" w:rsidRDefault="00FD3415" w:rsidP="004B6E62">
            <w:pPr>
              <w:rPr>
                <w:rFonts w:cs="Calibri"/>
                <w:sz w:val="18"/>
                <w:szCs w:val="18"/>
                <w:lang w:eastAsia="fr-FR"/>
              </w:rPr>
            </w:pPr>
            <w:r w:rsidRPr="00AB1E0E">
              <w:rPr>
                <w:rFonts w:cs="Calibri"/>
                <w:sz w:val="18"/>
                <w:szCs w:val="18"/>
                <w:lang w:eastAsia="fr-FR"/>
              </w:rPr>
              <w:t>MEAH, MEH</w:t>
            </w:r>
          </w:p>
        </w:tc>
      </w:tr>
      <w:tr w:rsidR="00FD3415" w:rsidRPr="00AB1E0E" w14:paraId="5F5FCFC3" w14:textId="77777777" w:rsidTr="00AE406E">
        <w:trPr>
          <w:trHeight w:val="19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7C95A0" w14:textId="77777777" w:rsidR="00FD3415" w:rsidRPr="00AB1E0E" w:rsidRDefault="00FD3415" w:rsidP="004B6E62">
            <w:pPr>
              <w:rPr>
                <w:rFonts w:cs="Calibri"/>
                <w:sz w:val="18"/>
                <w:szCs w:val="18"/>
                <w:lang w:eastAsia="fr-FR"/>
              </w:rPr>
            </w:pPr>
            <w:r w:rsidRPr="00AB1E0E">
              <w:rPr>
                <w:rFonts w:cs="Calibri"/>
                <w:sz w:val="18"/>
                <w:szCs w:val="18"/>
                <w:lang w:eastAsia="fr-FR"/>
              </w:rPr>
              <w:t>Risque de bouleversement des mœurs</w:t>
            </w:r>
          </w:p>
        </w:tc>
        <w:tc>
          <w:tcPr>
            <w:tcW w:w="0" w:type="auto"/>
            <w:tcBorders>
              <w:top w:val="nil"/>
              <w:left w:val="nil"/>
              <w:bottom w:val="single" w:sz="4" w:space="0" w:color="auto"/>
              <w:right w:val="single" w:sz="4" w:space="0" w:color="auto"/>
            </w:tcBorders>
            <w:shd w:val="clear" w:color="auto" w:fill="auto"/>
            <w:vAlign w:val="center"/>
            <w:hideMark/>
          </w:tcPr>
          <w:p w14:paraId="018516D6" w14:textId="77777777" w:rsidR="00FD3415" w:rsidRPr="00AB1E0E" w:rsidRDefault="00FD3415" w:rsidP="004B6E62">
            <w:pPr>
              <w:rPr>
                <w:rFonts w:cs="Calibri"/>
                <w:sz w:val="18"/>
                <w:szCs w:val="18"/>
                <w:lang w:eastAsia="fr-FR"/>
              </w:rPr>
            </w:pPr>
            <w:r w:rsidRPr="00AB1E0E">
              <w:rPr>
                <w:rFonts w:cs="Calibri"/>
                <w:sz w:val="18"/>
                <w:szCs w:val="18"/>
                <w:lang w:eastAsia="fr-FR"/>
              </w:rPr>
              <w:t>Information / sensibilisation sur l'utilisation des TIC et les risques qu’elles présentent. Formation des autorités en charge de la sécurité nationale sur l'utilisation des TIC. Formation et sensibilisation de la population sur l'importance du respect mutuel</w:t>
            </w:r>
          </w:p>
        </w:tc>
        <w:tc>
          <w:tcPr>
            <w:tcW w:w="0" w:type="auto"/>
            <w:tcBorders>
              <w:top w:val="nil"/>
              <w:left w:val="nil"/>
              <w:bottom w:val="single" w:sz="4" w:space="0" w:color="auto"/>
              <w:right w:val="single" w:sz="4" w:space="0" w:color="auto"/>
            </w:tcBorders>
            <w:shd w:val="clear" w:color="auto" w:fill="auto"/>
            <w:vAlign w:val="center"/>
            <w:hideMark/>
          </w:tcPr>
          <w:p w14:paraId="69C9BF05" w14:textId="77777777" w:rsidR="00FD3415" w:rsidRPr="00AB1E0E" w:rsidRDefault="00FD3415" w:rsidP="004B6E62">
            <w:pPr>
              <w:rPr>
                <w:rFonts w:cs="Calibri"/>
                <w:sz w:val="18"/>
                <w:szCs w:val="18"/>
                <w:lang w:eastAsia="fr-FR"/>
              </w:rPr>
            </w:pPr>
            <w:r w:rsidRPr="00AB1E0E">
              <w:rPr>
                <w:rFonts w:cs="Calibri"/>
                <w:sz w:val="18"/>
                <w:szCs w:val="18"/>
                <w:lang w:eastAsia="fr-FR"/>
              </w:rPr>
              <w:t>Changement des mœurs</w:t>
            </w:r>
          </w:p>
        </w:tc>
        <w:tc>
          <w:tcPr>
            <w:tcW w:w="0" w:type="auto"/>
            <w:tcBorders>
              <w:top w:val="nil"/>
              <w:left w:val="nil"/>
              <w:bottom w:val="single" w:sz="4" w:space="0" w:color="auto"/>
              <w:right w:val="single" w:sz="4" w:space="0" w:color="auto"/>
            </w:tcBorders>
            <w:shd w:val="clear" w:color="auto" w:fill="auto"/>
            <w:vAlign w:val="center"/>
            <w:hideMark/>
          </w:tcPr>
          <w:p w14:paraId="7BB21441" w14:textId="77777777" w:rsidR="00FD3415" w:rsidRPr="00AB1E0E" w:rsidRDefault="00FD3415" w:rsidP="004B6E62">
            <w:pPr>
              <w:rPr>
                <w:rFonts w:cs="Calibri"/>
                <w:sz w:val="18"/>
                <w:szCs w:val="18"/>
                <w:lang w:eastAsia="fr-FR"/>
              </w:rPr>
            </w:pPr>
            <w:r w:rsidRPr="00AB1E0E">
              <w:rPr>
                <w:rFonts w:cs="Calibri"/>
                <w:sz w:val="18"/>
                <w:szCs w:val="18"/>
                <w:lang w:eastAsia="fr-FR"/>
              </w:rPr>
              <w:t>Consultation des autorités locales</w:t>
            </w:r>
          </w:p>
        </w:tc>
        <w:tc>
          <w:tcPr>
            <w:tcW w:w="1897" w:type="dxa"/>
            <w:tcBorders>
              <w:top w:val="nil"/>
              <w:left w:val="nil"/>
              <w:bottom w:val="single" w:sz="4" w:space="0" w:color="auto"/>
              <w:right w:val="single" w:sz="4" w:space="0" w:color="auto"/>
            </w:tcBorders>
            <w:shd w:val="clear" w:color="auto" w:fill="auto"/>
            <w:vAlign w:val="center"/>
            <w:hideMark/>
          </w:tcPr>
          <w:p w14:paraId="79C00D6D" w14:textId="77777777" w:rsidR="00FD3415" w:rsidRPr="00AB1E0E" w:rsidRDefault="00FD3415" w:rsidP="004B6E62">
            <w:pPr>
              <w:rPr>
                <w:rFonts w:cs="Calibri"/>
                <w:sz w:val="18"/>
                <w:szCs w:val="18"/>
                <w:lang w:eastAsia="fr-FR"/>
              </w:rPr>
            </w:pPr>
            <w:r w:rsidRPr="00AB1E0E">
              <w:rPr>
                <w:rFonts w:cs="Calibri"/>
                <w:sz w:val="18"/>
                <w:szCs w:val="18"/>
                <w:lang w:eastAsia="fr-FR"/>
              </w:rPr>
              <w:t>Biannuel</w:t>
            </w:r>
          </w:p>
        </w:tc>
        <w:tc>
          <w:tcPr>
            <w:tcW w:w="2054" w:type="dxa"/>
            <w:tcBorders>
              <w:top w:val="nil"/>
              <w:left w:val="nil"/>
              <w:bottom w:val="single" w:sz="4" w:space="0" w:color="auto"/>
              <w:right w:val="single" w:sz="4" w:space="0" w:color="auto"/>
            </w:tcBorders>
            <w:shd w:val="clear" w:color="auto" w:fill="auto"/>
            <w:vAlign w:val="center"/>
            <w:hideMark/>
          </w:tcPr>
          <w:p w14:paraId="57D00CB3" w14:textId="77777777" w:rsidR="00FD3415" w:rsidRPr="00AB1E0E" w:rsidRDefault="00FD3415" w:rsidP="004B6E62">
            <w:pPr>
              <w:rPr>
                <w:rFonts w:cs="Calibri"/>
                <w:sz w:val="18"/>
                <w:szCs w:val="18"/>
                <w:lang w:eastAsia="fr-FR"/>
              </w:rPr>
            </w:pPr>
            <w:r w:rsidRPr="00AB1E0E">
              <w:rPr>
                <w:rFonts w:cs="Calibri"/>
                <w:sz w:val="18"/>
                <w:szCs w:val="18"/>
                <w:lang w:eastAsia="fr-FR"/>
              </w:rPr>
              <w:t>Projet/ Exploitant</w:t>
            </w:r>
          </w:p>
        </w:tc>
        <w:tc>
          <w:tcPr>
            <w:tcW w:w="1123" w:type="dxa"/>
            <w:tcBorders>
              <w:top w:val="nil"/>
              <w:left w:val="nil"/>
              <w:bottom w:val="single" w:sz="4" w:space="0" w:color="auto"/>
              <w:right w:val="single" w:sz="4" w:space="0" w:color="auto"/>
            </w:tcBorders>
            <w:shd w:val="clear" w:color="auto" w:fill="auto"/>
            <w:vAlign w:val="center"/>
            <w:hideMark/>
          </w:tcPr>
          <w:p w14:paraId="638423D7" w14:textId="77777777" w:rsidR="00FD3415" w:rsidRPr="00AB1E0E" w:rsidRDefault="00FD3415" w:rsidP="004B6E62">
            <w:pPr>
              <w:rPr>
                <w:rFonts w:cs="Calibri"/>
                <w:sz w:val="18"/>
                <w:szCs w:val="18"/>
                <w:lang w:eastAsia="fr-FR"/>
              </w:rPr>
            </w:pPr>
            <w:r w:rsidRPr="00AB1E0E">
              <w:rPr>
                <w:rFonts w:cs="Calibri"/>
                <w:sz w:val="18"/>
                <w:szCs w:val="18"/>
                <w:lang w:eastAsia="fr-FR"/>
              </w:rPr>
              <w:t>Ministère en charge de la population, Ministère en charge de la sécurité publique</w:t>
            </w:r>
          </w:p>
        </w:tc>
      </w:tr>
      <w:tr w:rsidR="00FD3415" w:rsidRPr="00AB1E0E" w14:paraId="0DFC043A" w14:textId="77777777" w:rsidTr="00AE406E">
        <w:trPr>
          <w:trHeight w:val="4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9B251D0" w14:textId="77777777" w:rsidR="00FD3415" w:rsidRPr="00AB1E0E" w:rsidRDefault="00FD3415" w:rsidP="004B6E62">
            <w:pPr>
              <w:rPr>
                <w:rFonts w:cs="Calibri"/>
                <w:sz w:val="18"/>
                <w:szCs w:val="18"/>
                <w:lang w:eastAsia="fr-FR"/>
              </w:rPr>
            </w:pPr>
            <w:r w:rsidRPr="00AB1E0E">
              <w:rPr>
                <w:rFonts w:cs="Calibri"/>
                <w:sz w:val="18"/>
                <w:szCs w:val="18"/>
                <w:lang w:eastAsia="fr-FR"/>
              </w:rPr>
              <w:t>Création de CEM</w:t>
            </w:r>
          </w:p>
        </w:tc>
        <w:tc>
          <w:tcPr>
            <w:tcW w:w="0" w:type="auto"/>
            <w:tcBorders>
              <w:top w:val="nil"/>
              <w:left w:val="nil"/>
              <w:bottom w:val="single" w:sz="4" w:space="0" w:color="auto"/>
              <w:right w:val="single" w:sz="4" w:space="0" w:color="auto"/>
            </w:tcBorders>
            <w:shd w:val="clear" w:color="auto" w:fill="auto"/>
            <w:vAlign w:val="center"/>
            <w:hideMark/>
          </w:tcPr>
          <w:p w14:paraId="48F9A0EF" w14:textId="77777777" w:rsidR="00FD3415" w:rsidRPr="00AB1E0E" w:rsidRDefault="00FD3415" w:rsidP="004B6E62">
            <w:pPr>
              <w:rPr>
                <w:rFonts w:cs="Calibri"/>
                <w:sz w:val="18"/>
                <w:szCs w:val="18"/>
                <w:lang w:eastAsia="fr-FR"/>
              </w:rPr>
            </w:pPr>
            <w:r w:rsidRPr="00AB1E0E">
              <w:rPr>
                <w:rFonts w:cs="Calibri"/>
                <w:sz w:val="18"/>
                <w:szCs w:val="18"/>
                <w:lang w:eastAsia="fr-FR"/>
              </w:rPr>
              <w:t>Mise en conformité de l’installation aux normes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B9FBAC8" w14:textId="77777777" w:rsidR="00FD3415" w:rsidRPr="00AB1E0E" w:rsidRDefault="00FD3415" w:rsidP="004B6E62">
            <w:pPr>
              <w:rPr>
                <w:rFonts w:cs="Calibri"/>
                <w:sz w:val="18"/>
                <w:szCs w:val="18"/>
                <w:lang w:eastAsia="fr-FR"/>
              </w:rPr>
            </w:pPr>
            <w:r w:rsidRPr="00AB1E0E">
              <w:rPr>
                <w:rFonts w:cs="Calibri"/>
                <w:sz w:val="18"/>
                <w:szCs w:val="18"/>
                <w:lang w:eastAsia="fr-FR"/>
              </w:rPr>
              <w:t>Nombre d'installation respectant les normes sectorielles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9CD48D9" w14:textId="77777777" w:rsidR="00FD3415" w:rsidRPr="00AB1E0E" w:rsidRDefault="00FD3415" w:rsidP="004B6E62">
            <w:pPr>
              <w:rPr>
                <w:rFonts w:cs="Calibri"/>
                <w:sz w:val="18"/>
                <w:szCs w:val="18"/>
                <w:lang w:eastAsia="fr-FR"/>
              </w:rPr>
            </w:pPr>
            <w:r w:rsidRPr="00AB1E0E">
              <w:rPr>
                <w:rFonts w:cs="Calibri"/>
                <w:sz w:val="18"/>
                <w:szCs w:val="18"/>
                <w:lang w:eastAsia="fr-FR"/>
              </w:rPr>
              <w:t>Comptage</w:t>
            </w:r>
          </w:p>
        </w:tc>
        <w:tc>
          <w:tcPr>
            <w:tcW w:w="1897" w:type="dxa"/>
            <w:vMerge w:val="restart"/>
            <w:tcBorders>
              <w:top w:val="nil"/>
              <w:left w:val="single" w:sz="4" w:space="0" w:color="auto"/>
              <w:bottom w:val="single" w:sz="4" w:space="0" w:color="auto"/>
              <w:right w:val="single" w:sz="4" w:space="0" w:color="auto"/>
            </w:tcBorders>
            <w:shd w:val="clear" w:color="auto" w:fill="auto"/>
            <w:vAlign w:val="center"/>
            <w:hideMark/>
          </w:tcPr>
          <w:p w14:paraId="43707D88" w14:textId="77777777" w:rsidR="00FD3415" w:rsidRPr="00AB1E0E" w:rsidRDefault="00FD3415" w:rsidP="004B6E62">
            <w:pPr>
              <w:rPr>
                <w:rFonts w:cs="Calibri"/>
                <w:sz w:val="18"/>
                <w:szCs w:val="18"/>
                <w:lang w:eastAsia="fr-FR"/>
              </w:rPr>
            </w:pPr>
            <w:r w:rsidRPr="00AB1E0E">
              <w:rPr>
                <w:rFonts w:cs="Calibri"/>
                <w:sz w:val="18"/>
                <w:szCs w:val="18"/>
                <w:lang w:eastAsia="fr-FR"/>
              </w:rPr>
              <w:t>Fin de chantier</w:t>
            </w:r>
          </w:p>
        </w:tc>
        <w:tc>
          <w:tcPr>
            <w:tcW w:w="2054" w:type="dxa"/>
            <w:vMerge w:val="restart"/>
            <w:tcBorders>
              <w:top w:val="nil"/>
              <w:left w:val="single" w:sz="4" w:space="0" w:color="auto"/>
              <w:bottom w:val="single" w:sz="4" w:space="0" w:color="auto"/>
              <w:right w:val="single" w:sz="4" w:space="0" w:color="auto"/>
            </w:tcBorders>
            <w:shd w:val="clear" w:color="auto" w:fill="auto"/>
            <w:vAlign w:val="center"/>
            <w:hideMark/>
          </w:tcPr>
          <w:p w14:paraId="4D8C95EF" w14:textId="77777777" w:rsidR="00FD3415" w:rsidRPr="00AB1E0E" w:rsidRDefault="00FD3415" w:rsidP="004B6E62">
            <w:pPr>
              <w:rPr>
                <w:rFonts w:cs="Calibri"/>
                <w:sz w:val="18"/>
                <w:szCs w:val="18"/>
                <w:lang w:eastAsia="fr-FR"/>
              </w:rPr>
            </w:pPr>
            <w:r w:rsidRPr="00AB1E0E">
              <w:rPr>
                <w:rFonts w:cs="Calibri"/>
                <w:sz w:val="18"/>
                <w:szCs w:val="18"/>
                <w:lang w:eastAsia="fr-FR"/>
              </w:rPr>
              <w:t>Projet</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hideMark/>
          </w:tcPr>
          <w:p w14:paraId="2560CF43" w14:textId="77777777" w:rsidR="00FD3415" w:rsidRPr="00AB1E0E" w:rsidRDefault="00FD3415" w:rsidP="004B6E62">
            <w:pPr>
              <w:rPr>
                <w:rFonts w:cs="Calibri"/>
                <w:sz w:val="18"/>
                <w:szCs w:val="18"/>
                <w:lang w:eastAsia="fr-FR"/>
              </w:rPr>
            </w:pPr>
            <w:r w:rsidRPr="00AB1E0E">
              <w:rPr>
                <w:rFonts w:cs="Calibri"/>
                <w:sz w:val="18"/>
                <w:szCs w:val="18"/>
                <w:lang w:eastAsia="fr-FR"/>
              </w:rPr>
              <w:t>MEH</w:t>
            </w:r>
          </w:p>
        </w:tc>
      </w:tr>
      <w:tr w:rsidR="00FD3415" w:rsidRPr="001C5508" w14:paraId="7A530D93" w14:textId="77777777" w:rsidTr="00AE406E">
        <w:trPr>
          <w:trHeight w:val="960"/>
        </w:trPr>
        <w:tc>
          <w:tcPr>
            <w:tcW w:w="0" w:type="auto"/>
            <w:vMerge/>
            <w:tcBorders>
              <w:top w:val="nil"/>
              <w:left w:val="single" w:sz="4" w:space="0" w:color="auto"/>
              <w:bottom w:val="single" w:sz="4" w:space="0" w:color="auto"/>
              <w:right w:val="single" w:sz="4" w:space="0" w:color="auto"/>
            </w:tcBorders>
            <w:vAlign w:val="center"/>
            <w:hideMark/>
          </w:tcPr>
          <w:p w14:paraId="183AD21B" w14:textId="77777777" w:rsidR="00FD3415" w:rsidRPr="00AB1E0E" w:rsidRDefault="00FD3415" w:rsidP="004B6E62">
            <w:pPr>
              <w:rPr>
                <w:rFonts w:cs="Calibri"/>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239B0FA8" w14:textId="77777777" w:rsidR="00FD3415" w:rsidRPr="00AB1E0E" w:rsidRDefault="00FD3415" w:rsidP="004B6E62">
            <w:pPr>
              <w:rPr>
                <w:rFonts w:cs="Calibri"/>
                <w:sz w:val="18"/>
                <w:szCs w:val="18"/>
                <w:lang w:eastAsia="fr-FR"/>
              </w:rPr>
            </w:pPr>
            <w:r w:rsidRPr="00AB1E0E">
              <w:rPr>
                <w:rFonts w:cs="Calibri"/>
                <w:sz w:val="18"/>
                <w:szCs w:val="18"/>
                <w:lang w:eastAsia="fr-FR"/>
              </w:rPr>
              <w:t>L’isolation électrique et électromagnétique des équipements dans des locaux faradisés/chambre de Faraday)</w:t>
            </w:r>
          </w:p>
        </w:tc>
        <w:tc>
          <w:tcPr>
            <w:tcW w:w="0" w:type="auto"/>
            <w:vMerge/>
            <w:tcBorders>
              <w:top w:val="nil"/>
              <w:left w:val="single" w:sz="4" w:space="0" w:color="auto"/>
              <w:bottom w:val="single" w:sz="4" w:space="0" w:color="auto"/>
              <w:right w:val="single" w:sz="4" w:space="0" w:color="auto"/>
            </w:tcBorders>
            <w:vAlign w:val="center"/>
            <w:hideMark/>
          </w:tcPr>
          <w:p w14:paraId="0EB45C34" w14:textId="77777777" w:rsidR="00FD3415" w:rsidRPr="00AB1E0E" w:rsidRDefault="00FD3415" w:rsidP="001C5508">
            <w:pPr>
              <w:rPr>
                <w:rFonts w:cs="Calibri"/>
                <w:sz w:val="18"/>
                <w:szCs w:val="18"/>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3841E4E6" w14:textId="77777777" w:rsidR="00FD3415" w:rsidRPr="00AB1E0E" w:rsidRDefault="00FD3415" w:rsidP="001C5508">
            <w:pPr>
              <w:rPr>
                <w:rFonts w:cs="Calibri"/>
                <w:sz w:val="18"/>
                <w:szCs w:val="18"/>
                <w:lang w:eastAsia="fr-FR"/>
              </w:rPr>
            </w:pPr>
          </w:p>
        </w:tc>
        <w:tc>
          <w:tcPr>
            <w:tcW w:w="1897" w:type="dxa"/>
            <w:vMerge/>
            <w:tcBorders>
              <w:top w:val="nil"/>
              <w:left w:val="single" w:sz="4" w:space="0" w:color="auto"/>
              <w:bottom w:val="single" w:sz="4" w:space="0" w:color="auto"/>
              <w:right w:val="single" w:sz="4" w:space="0" w:color="auto"/>
            </w:tcBorders>
            <w:vAlign w:val="center"/>
            <w:hideMark/>
          </w:tcPr>
          <w:p w14:paraId="52F71343" w14:textId="77777777" w:rsidR="00FD3415" w:rsidRPr="00AB1E0E" w:rsidRDefault="00FD3415" w:rsidP="001C5508">
            <w:pPr>
              <w:rPr>
                <w:rFonts w:cs="Calibri"/>
                <w:sz w:val="18"/>
                <w:szCs w:val="18"/>
                <w:lang w:eastAsia="fr-FR"/>
              </w:rPr>
            </w:pPr>
          </w:p>
        </w:tc>
        <w:tc>
          <w:tcPr>
            <w:tcW w:w="2054" w:type="dxa"/>
            <w:vMerge/>
            <w:tcBorders>
              <w:top w:val="nil"/>
              <w:left w:val="single" w:sz="4" w:space="0" w:color="auto"/>
              <w:bottom w:val="single" w:sz="4" w:space="0" w:color="auto"/>
              <w:right w:val="single" w:sz="4" w:space="0" w:color="auto"/>
            </w:tcBorders>
            <w:vAlign w:val="center"/>
            <w:hideMark/>
          </w:tcPr>
          <w:p w14:paraId="6BAAC4A8" w14:textId="77777777" w:rsidR="00FD3415" w:rsidRPr="00AB1E0E" w:rsidRDefault="00FD3415" w:rsidP="001C5508">
            <w:pPr>
              <w:rPr>
                <w:rFonts w:cs="Calibri"/>
                <w:sz w:val="18"/>
                <w:szCs w:val="18"/>
                <w:lang w:eastAsia="fr-FR"/>
              </w:rPr>
            </w:pPr>
          </w:p>
        </w:tc>
        <w:tc>
          <w:tcPr>
            <w:tcW w:w="1123" w:type="dxa"/>
            <w:vMerge/>
            <w:tcBorders>
              <w:top w:val="nil"/>
              <w:left w:val="single" w:sz="4" w:space="0" w:color="auto"/>
              <w:bottom w:val="single" w:sz="4" w:space="0" w:color="auto"/>
              <w:right w:val="single" w:sz="4" w:space="0" w:color="auto"/>
            </w:tcBorders>
            <w:vAlign w:val="center"/>
            <w:hideMark/>
          </w:tcPr>
          <w:p w14:paraId="114760A3" w14:textId="77777777" w:rsidR="00FD3415" w:rsidRPr="00AB1E0E" w:rsidRDefault="00FD3415" w:rsidP="001C5508">
            <w:pPr>
              <w:rPr>
                <w:rFonts w:cs="Calibri"/>
                <w:sz w:val="18"/>
                <w:szCs w:val="18"/>
                <w:lang w:eastAsia="fr-FR"/>
              </w:rPr>
            </w:pPr>
          </w:p>
        </w:tc>
      </w:tr>
      <w:tr w:rsidR="00FD3415" w:rsidRPr="00AB1E0E" w14:paraId="65F07146" w14:textId="77777777" w:rsidTr="00AE406E">
        <w:trPr>
          <w:trHeight w:val="480"/>
        </w:trPr>
        <w:tc>
          <w:tcPr>
            <w:tcW w:w="0" w:type="auto"/>
            <w:vMerge/>
            <w:tcBorders>
              <w:top w:val="nil"/>
              <w:left w:val="single" w:sz="4" w:space="0" w:color="auto"/>
              <w:bottom w:val="single" w:sz="4" w:space="0" w:color="auto"/>
              <w:right w:val="single" w:sz="4" w:space="0" w:color="auto"/>
            </w:tcBorders>
            <w:vAlign w:val="center"/>
            <w:hideMark/>
          </w:tcPr>
          <w:p w14:paraId="5F3CC1BA" w14:textId="77777777" w:rsidR="00FD3415" w:rsidRPr="00AB1E0E" w:rsidRDefault="00FD3415" w:rsidP="004B6E62">
            <w:pPr>
              <w:rPr>
                <w:rFonts w:cs="Calibri"/>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38E0EA31" w14:textId="77777777" w:rsidR="00FD3415" w:rsidRPr="00AB1E0E" w:rsidRDefault="00FD3415" w:rsidP="004B6E62">
            <w:pPr>
              <w:rPr>
                <w:rFonts w:cs="Calibri"/>
                <w:sz w:val="18"/>
                <w:szCs w:val="18"/>
                <w:lang w:eastAsia="fr-FR"/>
              </w:rPr>
            </w:pPr>
            <w:r w:rsidRPr="00AB1E0E">
              <w:rPr>
                <w:rFonts w:cs="Calibri"/>
                <w:sz w:val="18"/>
                <w:szCs w:val="18"/>
                <w:lang w:eastAsia="fr-FR"/>
              </w:rPr>
              <w:t>L’éloignement des bâtiments à 3,5m des câbles MT</w:t>
            </w:r>
          </w:p>
        </w:tc>
        <w:tc>
          <w:tcPr>
            <w:tcW w:w="0" w:type="auto"/>
            <w:vMerge/>
            <w:tcBorders>
              <w:top w:val="nil"/>
              <w:left w:val="single" w:sz="4" w:space="0" w:color="auto"/>
              <w:bottom w:val="single" w:sz="4" w:space="0" w:color="auto"/>
              <w:right w:val="single" w:sz="4" w:space="0" w:color="auto"/>
            </w:tcBorders>
            <w:vAlign w:val="center"/>
            <w:hideMark/>
          </w:tcPr>
          <w:p w14:paraId="278529AD" w14:textId="77777777" w:rsidR="00FD3415" w:rsidRPr="00AB1E0E" w:rsidRDefault="00FD3415" w:rsidP="004B6E62">
            <w:pPr>
              <w:rPr>
                <w:rFonts w:cs="Calibri"/>
                <w:sz w:val="18"/>
                <w:szCs w:val="18"/>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3A9C9D73" w14:textId="77777777" w:rsidR="00FD3415" w:rsidRPr="00AB1E0E" w:rsidRDefault="00FD3415" w:rsidP="004B6E62">
            <w:pPr>
              <w:rPr>
                <w:rFonts w:cs="Calibri"/>
                <w:sz w:val="18"/>
                <w:szCs w:val="18"/>
                <w:lang w:eastAsia="fr-FR"/>
              </w:rPr>
            </w:pPr>
          </w:p>
        </w:tc>
        <w:tc>
          <w:tcPr>
            <w:tcW w:w="1897" w:type="dxa"/>
            <w:vMerge/>
            <w:tcBorders>
              <w:top w:val="nil"/>
              <w:left w:val="single" w:sz="4" w:space="0" w:color="auto"/>
              <w:bottom w:val="single" w:sz="4" w:space="0" w:color="auto"/>
              <w:right w:val="single" w:sz="4" w:space="0" w:color="auto"/>
            </w:tcBorders>
            <w:vAlign w:val="center"/>
            <w:hideMark/>
          </w:tcPr>
          <w:p w14:paraId="2551292F" w14:textId="77777777" w:rsidR="00FD3415" w:rsidRPr="00AB1E0E" w:rsidRDefault="00FD3415" w:rsidP="004B6E62">
            <w:pPr>
              <w:rPr>
                <w:rFonts w:cs="Calibri"/>
                <w:sz w:val="18"/>
                <w:szCs w:val="18"/>
                <w:lang w:eastAsia="fr-FR"/>
              </w:rPr>
            </w:pPr>
          </w:p>
        </w:tc>
        <w:tc>
          <w:tcPr>
            <w:tcW w:w="2054" w:type="dxa"/>
            <w:vMerge/>
            <w:tcBorders>
              <w:top w:val="nil"/>
              <w:left w:val="single" w:sz="4" w:space="0" w:color="auto"/>
              <w:bottom w:val="single" w:sz="4" w:space="0" w:color="auto"/>
              <w:right w:val="single" w:sz="4" w:space="0" w:color="auto"/>
            </w:tcBorders>
            <w:vAlign w:val="center"/>
            <w:hideMark/>
          </w:tcPr>
          <w:p w14:paraId="35A5B2D6" w14:textId="77777777" w:rsidR="00FD3415" w:rsidRPr="00AB1E0E" w:rsidRDefault="00FD3415" w:rsidP="004B6E62">
            <w:pPr>
              <w:rPr>
                <w:rFonts w:cs="Calibri"/>
                <w:sz w:val="18"/>
                <w:szCs w:val="18"/>
                <w:lang w:eastAsia="fr-FR"/>
              </w:rPr>
            </w:pPr>
          </w:p>
        </w:tc>
        <w:tc>
          <w:tcPr>
            <w:tcW w:w="1123" w:type="dxa"/>
            <w:vMerge/>
            <w:tcBorders>
              <w:top w:val="nil"/>
              <w:left w:val="single" w:sz="4" w:space="0" w:color="auto"/>
              <w:bottom w:val="single" w:sz="4" w:space="0" w:color="auto"/>
              <w:right w:val="single" w:sz="4" w:space="0" w:color="auto"/>
            </w:tcBorders>
            <w:vAlign w:val="center"/>
            <w:hideMark/>
          </w:tcPr>
          <w:p w14:paraId="30CA8F83" w14:textId="77777777" w:rsidR="00FD3415" w:rsidRPr="00AB1E0E" w:rsidRDefault="00FD3415" w:rsidP="004B6E62">
            <w:pPr>
              <w:rPr>
                <w:rFonts w:cs="Calibri"/>
                <w:sz w:val="18"/>
                <w:szCs w:val="18"/>
                <w:lang w:eastAsia="fr-FR"/>
              </w:rPr>
            </w:pPr>
          </w:p>
        </w:tc>
      </w:tr>
      <w:tr w:rsidR="00FD3415" w:rsidRPr="00AB1E0E" w14:paraId="3B7523EC" w14:textId="77777777" w:rsidTr="00AE406E">
        <w:trPr>
          <w:trHeight w:val="480"/>
        </w:trPr>
        <w:tc>
          <w:tcPr>
            <w:tcW w:w="0" w:type="auto"/>
            <w:vMerge/>
            <w:tcBorders>
              <w:top w:val="nil"/>
              <w:left w:val="single" w:sz="4" w:space="0" w:color="auto"/>
              <w:bottom w:val="single" w:sz="4" w:space="0" w:color="auto"/>
              <w:right w:val="single" w:sz="4" w:space="0" w:color="auto"/>
            </w:tcBorders>
            <w:vAlign w:val="center"/>
            <w:hideMark/>
          </w:tcPr>
          <w:p w14:paraId="54367EB8" w14:textId="77777777" w:rsidR="00FD3415" w:rsidRPr="00AB1E0E" w:rsidRDefault="00FD3415" w:rsidP="004B6E62">
            <w:pPr>
              <w:rPr>
                <w:rFonts w:cs="Calibri"/>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49A82F16" w14:textId="77777777" w:rsidR="00FD3415" w:rsidRPr="00AB1E0E" w:rsidRDefault="00FD3415" w:rsidP="004B6E62">
            <w:pPr>
              <w:rPr>
                <w:rFonts w:cs="Calibri"/>
                <w:sz w:val="18"/>
                <w:szCs w:val="18"/>
                <w:lang w:eastAsia="fr-FR"/>
              </w:rPr>
            </w:pPr>
            <w:r w:rsidRPr="00AB1E0E">
              <w:rPr>
                <w:rFonts w:cs="Calibri"/>
                <w:sz w:val="18"/>
                <w:szCs w:val="18"/>
                <w:lang w:eastAsia="fr-FR"/>
              </w:rPr>
              <w:t>La distance limite (0,75m) d’approches aux câbles</w:t>
            </w:r>
          </w:p>
        </w:tc>
        <w:tc>
          <w:tcPr>
            <w:tcW w:w="0" w:type="auto"/>
            <w:vMerge/>
            <w:tcBorders>
              <w:top w:val="nil"/>
              <w:left w:val="single" w:sz="4" w:space="0" w:color="auto"/>
              <w:bottom w:val="single" w:sz="4" w:space="0" w:color="auto"/>
              <w:right w:val="single" w:sz="4" w:space="0" w:color="auto"/>
            </w:tcBorders>
            <w:vAlign w:val="center"/>
            <w:hideMark/>
          </w:tcPr>
          <w:p w14:paraId="54233B74" w14:textId="77777777" w:rsidR="00FD3415" w:rsidRPr="00AB1E0E" w:rsidRDefault="00FD3415" w:rsidP="004B6E62">
            <w:pPr>
              <w:rPr>
                <w:rFonts w:cs="Calibri"/>
                <w:sz w:val="18"/>
                <w:szCs w:val="18"/>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66ACB086" w14:textId="77777777" w:rsidR="00FD3415" w:rsidRPr="00AB1E0E" w:rsidRDefault="00FD3415" w:rsidP="004B6E62">
            <w:pPr>
              <w:rPr>
                <w:rFonts w:cs="Calibri"/>
                <w:sz w:val="18"/>
                <w:szCs w:val="18"/>
                <w:lang w:eastAsia="fr-FR"/>
              </w:rPr>
            </w:pPr>
          </w:p>
        </w:tc>
        <w:tc>
          <w:tcPr>
            <w:tcW w:w="1897" w:type="dxa"/>
            <w:vMerge/>
            <w:tcBorders>
              <w:top w:val="nil"/>
              <w:left w:val="single" w:sz="4" w:space="0" w:color="auto"/>
              <w:bottom w:val="single" w:sz="4" w:space="0" w:color="auto"/>
              <w:right w:val="single" w:sz="4" w:space="0" w:color="auto"/>
            </w:tcBorders>
            <w:vAlign w:val="center"/>
            <w:hideMark/>
          </w:tcPr>
          <w:p w14:paraId="09FCE74A" w14:textId="77777777" w:rsidR="00FD3415" w:rsidRPr="00AB1E0E" w:rsidRDefault="00FD3415" w:rsidP="004B6E62">
            <w:pPr>
              <w:rPr>
                <w:rFonts w:cs="Calibri"/>
                <w:sz w:val="18"/>
                <w:szCs w:val="18"/>
                <w:lang w:eastAsia="fr-FR"/>
              </w:rPr>
            </w:pPr>
          </w:p>
        </w:tc>
        <w:tc>
          <w:tcPr>
            <w:tcW w:w="2054" w:type="dxa"/>
            <w:vMerge/>
            <w:tcBorders>
              <w:top w:val="nil"/>
              <w:left w:val="single" w:sz="4" w:space="0" w:color="auto"/>
              <w:bottom w:val="single" w:sz="4" w:space="0" w:color="auto"/>
              <w:right w:val="single" w:sz="4" w:space="0" w:color="auto"/>
            </w:tcBorders>
            <w:vAlign w:val="center"/>
            <w:hideMark/>
          </w:tcPr>
          <w:p w14:paraId="4641B6DB" w14:textId="77777777" w:rsidR="00FD3415" w:rsidRPr="00AB1E0E" w:rsidRDefault="00FD3415" w:rsidP="004B6E62">
            <w:pPr>
              <w:rPr>
                <w:rFonts w:cs="Calibri"/>
                <w:sz w:val="18"/>
                <w:szCs w:val="18"/>
                <w:lang w:eastAsia="fr-FR"/>
              </w:rPr>
            </w:pPr>
          </w:p>
        </w:tc>
        <w:tc>
          <w:tcPr>
            <w:tcW w:w="1123" w:type="dxa"/>
            <w:vMerge/>
            <w:tcBorders>
              <w:top w:val="nil"/>
              <w:left w:val="single" w:sz="4" w:space="0" w:color="auto"/>
              <w:bottom w:val="single" w:sz="4" w:space="0" w:color="auto"/>
              <w:right w:val="single" w:sz="4" w:space="0" w:color="auto"/>
            </w:tcBorders>
            <w:vAlign w:val="center"/>
            <w:hideMark/>
          </w:tcPr>
          <w:p w14:paraId="6210D981" w14:textId="77777777" w:rsidR="00FD3415" w:rsidRPr="00AB1E0E" w:rsidRDefault="00FD3415" w:rsidP="004B6E62">
            <w:pPr>
              <w:rPr>
                <w:rFonts w:cs="Calibri"/>
                <w:sz w:val="18"/>
                <w:szCs w:val="18"/>
                <w:lang w:eastAsia="fr-FR"/>
              </w:rPr>
            </w:pPr>
          </w:p>
        </w:tc>
      </w:tr>
      <w:tr w:rsidR="00FD3415" w:rsidRPr="00AB1E0E" w14:paraId="12AC45E6" w14:textId="77777777" w:rsidTr="00AE406E">
        <w:trPr>
          <w:trHeight w:val="480"/>
        </w:trPr>
        <w:tc>
          <w:tcPr>
            <w:tcW w:w="0" w:type="auto"/>
            <w:vMerge/>
            <w:tcBorders>
              <w:top w:val="nil"/>
              <w:left w:val="single" w:sz="4" w:space="0" w:color="auto"/>
              <w:bottom w:val="single" w:sz="4" w:space="0" w:color="auto"/>
              <w:right w:val="single" w:sz="4" w:space="0" w:color="auto"/>
            </w:tcBorders>
            <w:vAlign w:val="center"/>
            <w:hideMark/>
          </w:tcPr>
          <w:p w14:paraId="17EFEA75" w14:textId="77777777" w:rsidR="00FD3415" w:rsidRPr="00AB1E0E" w:rsidRDefault="00FD3415" w:rsidP="004B6E62">
            <w:pPr>
              <w:rPr>
                <w:rFonts w:cs="Calibri"/>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6A02362F" w14:textId="77777777" w:rsidR="00FD3415" w:rsidRPr="00AB1E0E" w:rsidRDefault="00FD3415" w:rsidP="004B6E62">
            <w:pPr>
              <w:rPr>
                <w:rFonts w:cs="Calibri"/>
                <w:sz w:val="18"/>
                <w:szCs w:val="18"/>
                <w:lang w:eastAsia="fr-FR"/>
              </w:rPr>
            </w:pPr>
            <w:r w:rsidRPr="00AB1E0E">
              <w:rPr>
                <w:rFonts w:cs="Calibri"/>
                <w:sz w:val="18"/>
                <w:szCs w:val="18"/>
                <w:lang w:eastAsia="fr-FR"/>
              </w:rPr>
              <w:t>La distance de travail (2m) par rapport aux câbles</w:t>
            </w:r>
          </w:p>
        </w:tc>
        <w:tc>
          <w:tcPr>
            <w:tcW w:w="0" w:type="auto"/>
            <w:vMerge/>
            <w:tcBorders>
              <w:top w:val="nil"/>
              <w:left w:val="single" w:sz="4" w:space="0" w:color="auto"/>
              <w:bottom w:val="single" w:sz="4" w:space="0" w:color="auto"/>
              <w:right w:val="single" w:sz="4" w:space="0" w:color="auto"/>
            </w:tcBorders>
            <w:vAlign w:val="center"/>
            <w:hideMark/>
          </w:tcPr>
          <w:p w14:paraId="71E5A54D" w14:textId="77777777" w:rsidR="00FD3415" w:rsidRPr="00AB1E0E" w:rsidRDefault="00FD3415" w:rsidP="004B6E62">
            <w:pPr>
              <w:rPr>
                <w:rFonts w:cs="Calibri"/>
                <w:sz w:val="18"/>
                <w:szCs w:val="18"/>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12038152" w14:textId="77777777" w:rsidR="00FD3415" w:rsidRPr="00AB1E0E" w:rsidRDefault="00FD3415" w:rsidP="004B6E62">
            <w:pPr>
              <w:rPr>
                <w:rFonts w:cs="Calibri"/>
                <w:sz w:val="18"/>
                <w:szCs w:val="18"/>
                <w:lang w:eastAsia="fr-FR"/>
              </w:rPr>
            </w:pPr>
          </w:p>
        </w:tc>
        <w:tc>
          <w:tcPr>
            <w:tcW w:w="1897" w:type="dxa"/>
            <w:vMerge/>
            <w:tcBorders>
              <w:top w:val="nil"/>
              <w:left w:val="single" w:sz="4" w:space="0" w:color="auto"/>
              <w:bottom w:val="single" w:sz="4" w:space="0" w:color="auto"/>
              <w:right w:val="single" w:sz="4" w:space="0" w:color="auto"/>
            </w:tcBorders>
            <w:vAlign w:val="center"/>
            <w:hideMark/>
          </w:tcPr>
          <w:p w14:paraId="2B84F47E" w14:textId="77777777" w:rsidR="00FD3415" w:rsidRPr="00AB1E0E" w:rsidRDefault="00FD3415" w:rsidP="004B6E62">
            <w:pPr>
              <w:rPr>
                <w:rFonts w:cs="Calibri"/>
                <w:sz w:val="18"/>
                <w:szCs w:val="18"/>
                <w:lang w:eastAsia="fr-FR"/>
              </w:rPr>
            </w:pPr>
          </w:p>
        </w:tc>
        <w:tc>
          <w:tcPr>
            <w:tcW w:w="2054" w:type="dxa"/>
            <w:vMerge/>
            <w:tcBorders>
              <w:top w:val="nil"/>
              <w:left w:val="single" w:sz="4" w:space="0" w:color="auto"/>
              <w:bottom w:val="single" w:sz="4" w:space="0" w:color="auto"/>
              <w:right w:val="single" w:sz="4" w:space="0" w:color="auto"/>
            </w:tcBorders>
            <w:vAlign w:val="center"/>
            <w:hideMark/>
          </w:tcPr>
          <w:p w14:paraId="26A4471D" w14:textId="77777777" w:rsidR="00FD3415" w:rsidRPr="00AB1E0E" w:rsidRDefault="00FD3415" w:rsidP="004B6E62">
            <w:pPr>
              <w:rPr>
                <w:rFonts w:cs="Calibri"/>
                <w:sz w:val="18"/>
                <w:szCs w:val="18"/>
                <w:lang w:eastAsia="fr-FR"/>
              </w:rPr>
            </w:pPr>
          </w:p>
        </w:tc>
        <w:tc>
          <w:tcPr>
            <w:tcW w:w="1123" w:type="dxa"/>
            <w:vMerge/>
            <w:tcBorders>
              <w:top w:val="nil"/>
              <w:left w:val="single" w:sz="4" w:space="0" w:color="auto"/>
              <w:bottom w:val="single" w:sz="4" w:space="0" w:color="auto"/>
              <w:right w:val="single" w:sz="4" w:space="0" w:color="auto"/>
            </w:tcBorders>
            <w:vAlign w:val="center"/>
            <w:hideMark/>
          </w:tcPr>
          <w:p w14:paraId="0748E600" w14:textId="77777777" w:rsidR="00FD3415" w:rsidRPr="00AB1E0E" w:rsidRDefault="00FD3415" w:rsidP="004B6E62">
            <w:pPr>
              <w:rPr>
                <w:rFonts w:cs="Calibri"/>
                <w:sz w:val="18"/>
                <w:szCs w:val="18"/>
                <w:lang w:eastAsia="fr-FR"/>
              </w:rPr>
            </w:pPr>
          </w:p>
        </w:tc>
      </w:tr>
      <w:tr w:rsidR="00FD3415" w:rsidRPr="00AB1E0E" w14:paraId="2A71D839" w14:textId="77777777" w:rsidTr="00AE406E">
        <w:trPr>
          <w:trHeight w:val="7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024F5C" w14:textId="77777777" w:rsidR="00FD3415" w:rsidRPr="00AB1E0E" w:rsidRDefault="00FD3415" w:rsidP="004B6E62">
            <w:pPr>
              <w:rPr>
                <w:rFonts w:cs="Calibri"/>
                <w:sz w:val="18"/>
                <w:szCs w:val="18"/>
                <w:lang w:eastAsia="fr-FR"/>
              </w:rPr>
            </w:pPr>
            <w:r w:rsidRPr="00AB1E0E">
              <w:rPr>
                <w:rFonts w:cs="Calibri"/>
                <w:sz w:val="18"/>
                <w:szCs w:val="18"/>
                <w:lang w:eastAsia="fr-FR"/>
              </w:rPr>
              <w:t>Risque d'accident et d’incendie</w:t>
            </w:r>
          </w:p>
        </w:tc>
        <w:tc>
          <w:tcPr>
            <w:tcW w:w="0" w:type="auto"/>
            <w:tcBorders>
              <w:top w:val="nil"/>
              <w:left w:val="nil"/>
              <w:bottom w:val="single" w:sz="4" w:space="0" w:color="auto"/>
              <w:right w:val="single" w:sz="4" w:space="0" w:color="auto"/>
            </w:tcBorders>
            <w:shd w:val="clear" w:color="auto" w:fill="auto"/>
            <w:vAlign w:val="center"/>
            <w:hideMark/>
          </w:tcPr>
          <w:p w14:paraId="51AB6F36" w14:textId="77777777" w:rsidR="00FD3415" w:rsidRPr="00AB1E0E" w:rsidRDefault="00FD3415" w:rsidP="004B6E62">
            <w:pPr>
              <w:rPr>
                <w:rFonts w:cs="Calibri"/>
                <w:sz w:val="18"/>
                <w:szCs w:val="18"/>
                <w:lang w:eastAsia="fr-FR"/>
              </w:rPr>
            </w:pPr>
            <w:r w:rsidRPr="00AB1E0E">
              <w:rPr>
                <w:rFonts w:cs="Calibri"/>
                <w:sz w:val="18"/>
                <w:szCs w:val="18"/>
                <w:lang w:eastAsia="fr-FR"/>
              </w:rPr>
              <w:t>Mise en place d'un plan de prévention et d’intervention en cas d’incendie : extincteur adéquat (à CO</w:t>
            </w:r>
            <w:r w:rsidRPr="00AB1E0E">
              <w:rPr>
                <w:rFonts w:cs="Calibri"/>
                <w:sz w:val="18"/>
                <w:szCs w:val="18"/>
                <w:vertAlign w:val="subscript"/>
                <w:lang w:eastAsia="fr-FR"/>
              </w:rPr>
              <w:t>2</w:t>
            </w:r>
            <w:r w:rsidRPr="00AB1E0E">
              <w:rPr>
                <w:rFonts w:cs="Calibri"/>
                <w:sz w:val="18"/>
                <w:szCs w:val="18"/>
                <w:lang w:eastAsia="fr-FR"/>
              </w:rPr>
              <w:t>)</w:t>
            </w:r>
          </w:p>
        </w:tc>
        <w:tc>
          <w:tcPr>
            <w:tcW w:w="0" w:type="auto"/>
            <w:tcBorders>
              <w:top w:val="nil"/>
              <w:left w:val="nil"/>
              <w:bottom w:val="single" w:sz="4" w:space="0" w:color="auto"/>
              <w:right w:val="single" w:sz="4" w:space="0" w:color="auto"/>
            </w:tcBorders>
            <w:shd w:val="clear" w:color="auto" w:fill="auto"/>
            <w:vAlign w:val="center"/>
            <w:hideMark/>
          </w:tcPr>
          <w:p w14:paraId="38D64EF2" w14:textId="77777777" w:rsidR="00FD3415" w:rsidRPr="00AB1E0E" w:rsidRDefault="00FD3415" w:rsidP="004B6E62">
            <w:pPr>
              <w:rPr>
                <w:rFonts w:cs="Calibri"/>
                <w:sz w:val="18"/>
                <w:szCs w:val="18"/>
                <w:lang w:eastAsia="fr-FR"/>
              </w:rPr>
            </w:pPr>
            <w:r w:rsidRPr="00AB1E0E">
              <w:rPr>
                <w:rFonts w:cs="Calibri"/>
                <w:sz w:val="18"/>
                <w:szCs w:val="18"/>
                <w:lang w:eastAsia="fr-FR"/>
              </w:rPr>
              <w:t>Nombre d'accident/incendie déclenchés</w:t>
            </w:r>
          </w:p>
        </w:tc>
        <w:tc>
          <w:tcPr>
            <w:tcW w:w="0" w:type="auto"/>
            <w:tcBorders>
              <w:top w:val="nil"/>
              <w:left w:val="nil"/>
              <w:bottom w:val="single" w:sz="4" w:space="0" w:color="auto"/>
              <w:right w:val="single" w:sz="4" w:space="0" w:color="auto"/>
            </w:tcBorders>
            <w:shd w:val="clear" w:color="auto" w:fill="auto"/>
            <w:vAlign w:val="center"/>
            <w:hideMark/>
          </w:tcPr>
          <w:p w14:paraId="109F7C13" w14:textId="77777777" w:rsidR="00FD3415" w:rsidRPr="00AB1E0E" w:rsidRDefault="00FD3415" w:rsidP="004B6E62">
            <w:pPr>
              <w:rPr>
                <w:rFonts w:cs="Calibri"/>
                <w:sz w:val="18"/>
                <w:szCs w:val="18"/>
                <w:lang w:eastAsia="fr-FR"/>
              </w:rPr>
            </w:pPr>
            <w:r w:rsidRPr="00AB1E0E">
              <w:rPr>
                <w:rFonts w:cs="Calibri"/>
                <w:sz w:val="18"/>
                <w:szCs w:val="18"/>
                <w:lang w:eastAsia="fr-FR"/>
              </w:rPr>
              <w:t>Comptage</w:t>
            </w:r>
          </w:p>
        </w:tc>
        <w:tc>
          <w:tcPr>
            <w:tcW w:w="1897" w:type="dxa"/>
            <w:tcBorders>
              <w:top w:val="nil"/>
              <w:left w:val="nil"/>
              <w:bottom w:val="single" w:sz="4" w:space="0" w:color="auto"/>
              <w:right w:val="single" w:sz="4" w:space="0" w:color="auto"/>
            </w:tcBorders>
            <w:shd w:val="clear" w:color="auto" w:fill="auto"/>
            <w:vAlign w:val="center"/>
            <w:hideMark/>
          </w:tcPr>
          <w:p w14:paraId="5167966E" w14:textId="77777777" w:rsidR="00FD3415" w:rsidRPr="00AB1E0E" w:rsidRDefault="00FD3415" w:rsidP="004B6E62">
            <w:pPr>
              <w:rPr>
                <w:rFonts w:cs="Calibri"/>
                <w:sz w:val="18"/>
                <w:szCs w:val="18"/>
                <w:lang w:eastAsia="fr-FR"/>
              </w:rPr>
            </w:pPr>
            <w:r w:rsidRPr="00AB1E0E">
              <w:rPr>
                <w:rFonts w:cs="Calibri"/>
                <w:sz w:val="18"/>
                <w:szCs w:val="18"/>
                <w:lang w:eastAsia="fr-FR"/>
              </w:rPr>
              <w:t>Trimestriel</w:t>
            </w:r>
          </w:p>
        </w:tc>
        <w:tc>
          <w:tcPr>
            <w:tcW w:w="2054" w:type="dxa"/>
            <w:tcBorders>
              <w:top w:val="nil"/>
              <w:left w:val="nil"/>
              <w:bottom w:val="single" w:sz="4" w:space="0" w:color="auto"/>
              <w:right w:val="single" w:sz="4" w:space="0" w:color="auto"/>
            </w:tcBorders>
            <w:shd w:val="clear" w:color="auto" w:fill="auto"/>
            <w:vAlign w:val="center"/>
            <w:hideMark/>
          </w:tcPr>
          <w:p w14:paraId="0E02D647" w14:textId="77777777" w:rsidR="00FD3415" w:rsidRPr="00AB1E0E" w:rsidRDefault="00FD3415" w:rsidP="004B6E62">
            <w:pPr>
              <w:rPr>
                <w:rFonts w:cs="Calibri"/>
                <w:sz w:val="18"/>
                <w:szCs w:val="18"/>
                <w:lang w:eastAsia="fr-FR"/>
              </w:rPr>
            </w:pPr>
            <w:r w:rsidRPr="00AB1E0E">
              <w:rPr>
                <w:rFonts w:cs="Calibri"/>
                <w:sz w:val="18"/>
                <w:szCs w:val="18"/>
                <w:lang w:eastAsia="fr-FR"/>
              </w:rPr>
              <w:t>Projet/ Exploitant</w:t>
            </w:r>
          </w:p>
        </w:tc>
        <w:tc>
          <w:tcPr>
            <w:tcW w:w="1123" w:type="dxa"/>
            <w:tcBorders>
              <w:top w:val="nil"/>
              <w:left w:val="nil"/>
              <w:bottom w:val="single" w:sz="4" w:space="0" w:color="auto"/>
              <w:right w:val="single" w:sz="4" w:space="0" w:color="auto"/>
            </w:tcBorders>
            <w:shd w:val="clear" w:color="auto" w:fill="auto"/>
            <w:vAlign w:val="center"/>
            <w:hideMark/>
          </w:tcPr>
          <w:p w14:paraId="1DE30CE1" w14:textId="77777777" w:rsidR="00FD3415" w:rsidRPr="00AB1E0E" w:rsidRDefault="00FD3415" w:rsidP="004B6E62">
            <w:pPr>
              <w:rPr>
                <w:rFonts w:cs="Calibri"/>
                <w:sz w:val="18"/>
                <w:szCs w:val="18"/>
                <w:lang w:eastAsia="fr-FR"/>
              </w:rPr>
            </w:pPr>
            <w:r w:rsidRPr="00AB1E0E">
              <w:rPr>
                <w:rFonts w:cs="Calibri"/>
                <w:sz w:val="18"/>
                <w:szCs w:val="18"/>
                <w:lang w:eastAsia="fr-FR"/>
              </w:rPr>
              <w:t>MEH, BM</w:t>
            </w:r>
          </w:p>
        </w:tc>
      </w:tr>
      <w:tr w:rsidR="00FD3415" w:rsidRPr="00AB1E0E" w14:paraId="252E3A20" w14:textId="77777777" w:rsidTr="00AE406E">
        <w:trPr>
          <w:trHeight w:val="9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80DD4B" w14:textId="77777777" w:rsidR="00FD3415" w:rsidRPr="00AB1E0E" w:rsidRDefault="00FD3415" w:rsidP="004B6E62">
            <w:pPr>
              <w:rPr>
                <w:rFonts w:cs="Calibri"/>
                <w:sz w:val="18"/>
                <w:szCs w:val="18"/>
                <w:lang w:eastAsia="fr-FR"/>
              </w:rPr>
            </w:pPr>
            <w:r w:rsidRPr="00AB1E0E">
              <w:rPr>
                <w:rFonts w:cs="Calibri"/>
                <w:sz w:val="18"/>
                <w:szCs w:val="18"/>
                <w:lang w:eastAsia="fr-FR"/>
              </w:rPr>
              <w:t>Risques liés au vol et intrusions</w:t>
            </w:r>
          </w:p>
        </w:tc>
        <w:tc>
          <w:tcPr>
            <w:tcW w:w="0" w:type="auto"/>
            <w:tcBorders>
              <w:top w:val="nil"/>
              <w:left w:val="nil"/>
              <w:bottom w:val="single" w:sz="4" w:space="0" w:color="auto"/>
              <w:right w:val="single" w:sz="4" w:space="0" w:color="auto"/>
            </w:tcBorders>
            <w:shd w:val="clear" w:color="auto" w:fill="auto"/>
            <w:vAlign w:val="center"/>
            <w:hideMark/>
          </w:tcPr>
          <w:p w14:paraId="26B6773D" w14:textId="77777777" w:rsidR="00FD3415" w:rsidRPr="00AB1E0E" w:rsidRDefault="00FD3415" w:rsidP="004B6E62">
            <w:pPr>
              <w:rPr>
                <w:rFonts w:cs="Calibri"/>
                <w:sz w:val="18"/>
                <w:szCs w:val="18"/>
                <w:lang w:eastAsia="fr-FR"/>
              </w:rPr>
            </w:pPr>
            <w:r w:rsidRPr="00AB1E0E">
              <w:rPr>
                <w:rFonts w:cs="Calibri"/>
                <w:sz w:val="18"/>
                <w:szCs w:val="18"/>
                <w:lang w:eastAsia="fr-FR"/>
              </w:rPr>
              <w:t>Mise en place de système de sécurisation du site : clôture, caméra de surveillance, accès restreint et poste de contrôle à l'entrée</w:t>
            </w:r>
          </w:p>
        </w:tc>
        <w:tc>
          <w:tcPr>
            <w:tcW w:w="0" w:type="auto"/>
            <w:tcBorders>
              <w:top w:val="nil"/>
              <w:left w:val="nil"/>
              <w:bottom w:val="single" w:sz="4" w:space="0" w:color="auto"/>
              <w:right w:val="single" w:sz="4" w:space="0" w:color="auto"/>
            </w:tcBorders>
            <w:shd w:val="clear" w:color="auto" w:fill="auto"/>
            <w:vAlign w:val="center"/>
            <w:hideMark/>
          </w:tcPr>
          <w:p w14:paraId="410935B4" w14:textId="77777777" w:rsidR="00FD3415" w:rsidRPr="00AB1E0E" w:rsidRDefault="00FD3415" w:rsidP="004B6E62">
            <w:pPr>
              <w:rPr>
                <w:rFonts w:cs="Calibri"/>
                <w:sz w:val="18"/>
                <w:szCs w:val="18"/>
                <w:lang w:eastAsia="fr-FR"/>
              </w:rPr>
            </w:pPr>
            <w:r w:rsidRPr="00AB1E0E">
              <w:rPr>
                <w:rFonts w:cs="Calibri"/>
                <w:sz w:val="18"/>
                <w:szCs w:val="18"/>
                <w:lang w:eastAsia="fr-FR"/>
              </w:rPr>
              <w:t>Nombre d'intrusion</w:t>
            </w:r>
          </w:p>
        </w:tc>
        <w:tc>
          <w:tcPr>
            <w:tcW w:w="0" w:type="auto"/>
            <w:tcBorders>
              <w:top w:val="nil"/>
              <w:left w:val="nil"/>
              <w:bottom w:val="single" w:sz="4" w:space="0" w:color="auto"/>
              <w:right w:val="single" w:sz="4" w:space="0" w:color="auto"/>
            </w:tcBorders>
            <w:shd w:val="clear" w:color="auto" w:fill="auto"/>
            <w:vAlign w:val="center"/>
            <w:hideMark/>
          </w:tcPr>
          <w:p w14:paraId="195E0C5D" w14:textId="77777777" w:rsidR="00FD3415" w:rsidRPr="00AB1E0E" w:rsidRDefault="00FD3415" w:rsidP="004B6E62">
            <w:pPr>
              <w:rPr>
                <w:rFonts w:cs="Calibri"/>
                <w:sz w:val="18"/>
                <w:szCs w:val="18"/>
                <w:lang w:eastAsia="fr-FR"/>
              </w:rPr>
            </w:pPr>
            <w:r w:rsidRPr="00AB1E0E">
              <w:rPr>
                <w:rFonts w:cs="Calibri"/>
                <w:sz w:val="18"/>
                <w:szCs w:val="18"/>
                <w:lang w:eastAsia="fr-FR"/>
              </w:rPr>
              <w:t>Comptage</w:t>
            </w:r>
          </w:p>
        </w:tc>
        <w:tc>
          <w:tcPr>
            <w:tcW w:w="1897" w:type="dxa"/>
            <w:tcBorders>
              <w:top w:val="nil"/>
              <w:left w:val="nil"/>
              <w:bottom w:val="single" w:sz="4" w:space="0" w:color="auto"/>
              <w:right w:val="single" w:sz="4" w:space="0" w:color="auto"/>
            </w:tcBorders>
            <w:shd w:val="clear" w:color="auto" w:fill="auto"/>
            <w:vAlign w:val="center"/>
            <w:hideMark/>
          </w:tcPr>
          <w:p w14:paraId="480D1AAF" w14:textId="77777777" w:rsidR="00FD3415" w:rsidRPr="00AB1E0E" w:rsidRDefault="00FD3415" w:rsidP="004B6E62">
            <w:pPr>
              <w:rPr>
                <w:rFonts w:cs="Calibri"/>
                <w:sz w:val="18"/>
                <w:szCs w:val="18"/>
                <w:lang w:eastAsia="fr-FR"/>
              </w:rPr>
            </w:pPr>
            <w:r w:rsidRPr="00AB1E0E">
              <w:rPr>
                <w:rFonts w:cs="Calibri"/>
                <w:sz w:val="18"/>
                <w:szCs w:val="18"/>
                <w:lang w:eastAsia="fr-FR"/>
              </w:rPr>
              <w:t>Trimestriel</w:t>
            </w:r>
          </w:p>
        </w:tc>
        <w:tc>
          <w:tcPr>
            <w:tcW w:w="2054" w:type="dxa"/>
            <w:tcBorders>
              <w:top w:val="nil"/>
              <w:left w:val="nil"/>
              <w:bottom w:val="single" w:sz="4" w:space="0" w:color="auto"/>
              <w:right w:val="single" w:sz="4" w:space="0" w:color="auto"/>
            </w:tcBorders>
            <w:shd w:val="clear" w:color="auto" w:fill="auto"/>
            <w:vAlign w:val="center"/>
            <w:hideMark/>
          </w:tcPr>
          <w:p w14:paraId="39C58FAE" w14:textId="77777777" w:rsidR="00FD3415" w:rsidRPr="00AB1E0E" w:rsidRDefault="00FD3415" w:rsidP="004B6E62">
            <w:pPr>
              <w:rPr>
                <w:rFonts w:cs="Calibri"/>
                <w:sz w:val="18"/>
                <w:szCs w:val="18"/>
                <w:lang w:eastAsia="fr-FR"/>
              </w:rPr>
            </w:pPr>
            <w:r w:rsidRPr="00AB1E0E">
              <w:rPr>
                <w:rFonts w:cs="Calibri"/>
                <w:sz w:val="18"/>
                <w:szCs w:val="18"/>
                <w:lang w:eastAsia="fr-FR"/>
              </w:rPr>
              <w:t>Projet/ Exploitant</w:t>
            </w:r>
          </w:p>
        </w:tc>
        <w:tc>
          <w:tcPr>
            <w:tcW w:w="1123" w:type="dxa"/>
            <w:tcBorders>
              <w:top w:val="nil"/>
              <w:left w:val="nil"/>
              <w:bottom w:val="single" w:sz="4" w:space="0" w:color="auto"/>
              <w:right w:val="single" w:sz="4" w:space="0" w:color="auto"/>
            </w:tcBorders>
            <w:shd w:val="clear" w:color="auto" w:fill="auto"/>
            <w:vAlign w:val="center"/>
            <w:hideMark/>
          </w:tcPr>
          <w:p w14:paraId="6B25D376" w14:textId="77777777" w:rsidR="00FD3415" w:rsidRPr="00AB1E0E" w:rsidRDefault="00FD3415" w:rsidP="004B6E62">
            <w:pPr>
              <w:rPr>
                <w:rFonts w:cs="Calibri"/>
                <w:sz w:val="18"/>
                <w:szCs w:val="18"/>
                <w:lang w:eastAsia="fr-FR"/>
              </w:rPr>
            </w:pPr>
            <w:r w:rsidRPr="00AB1E0E">
              <w:rPr>
                <w:rFonts w:cs="Calibri"/>
                <w:sz w:val="18"/>
                <w:szCs w:val="18"/>
                <w:lang w:eastAsia="fr-FR"/>
              </w:rPr>
              <w:t>MEH, BM</w:t>
            </w:r>
          </w:p>
        </w:tc>
      </w:tr>
      <w:tr w:rsidR="00FD3415" w:rsidRPr="00AB1E0E" w14:paraId="18E78CB5" w14:textId="77777777" w:rsidTr="00AE406E">
        <w:trPr>
          <w:trHeight w:val="21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789299" w14:textId="77777777" w:rsidR="00FD3415" w:rsidRPr="00AB1E0E" w:rsidRDefault="00FD3415" w:rsidP="004B6E62">
            <w:pPr>
              <w:rPr>
                <w:rFonts w:cs="Calibri"/>
                <w:sz w:val="18"/>
                <w:szCs w:val="18"/>
                <w:lang w:eastAsia="fr-FR"/>
              </w:rPr>
            </w:pPr>
            <w:r w:rsidRPr="00AB1E0E">
              <w:rPr>
                <w:rFonts w:cs="Calibri"/>
                <w:sz w:val="18"/>
                <w:szCs w:val="18"/>
                <w:lang w:eastAsia="fr-FR"/>
              </w:rPr>
              <w:t>Risque d'augmentation des cas de VBG, EAS/HS dû à l'utilisation d'internet</w:t>
            </w:r>
          </w:p>
        </w:tc>
        <w:tc>
          <w:tcPr>
            <w:tcW w:w="0" w:type="auto"/>
            <w:tcBorders>
              <w:top w:val="nil"/>
              <w:left w:val="nil"/>
              <w:bottom w:val="single" w:sz="4" w:space="0" w:color="auto"/>
              <w:right w:val="single" w:sz="4" w:space="0" w:color="auto"/>
            </w:tcBorders>
            <w:shd w:val="clear" w:color="auto" w:fill="auto"/>
            <w:vAlign w:val="center"/>
            <w:hideMark/>
          </w:tcPr>
          <w:p w14:paraId="219CE188" w14:textId="77777777" w:rsidR="00FD3415" w:rsidRPr="00AB1E0E" w:rsidRDefault="00FD3415" w:rsidP="004B6E62">
            <w:pPr>
              <w:rPr>
                <w:rFonts w:cs="Calibri"/>
                <w:sz w:val="18"/>
                <w:szCs w:val="18"/>
                <w:lang w:eastAsia="fr-FR"/>
              </w:rPr>
            </w:pPr>
            <w:r w:rsidRPr="00AB1E0E">
              <w:rPr>
                <w:rFonts w:cs="Calibri"/>
                <w:sz w:val="18"/>
                <w:szCs w:val="18"/>
                <w:lang w:eastAsia="fr-FR"/>
              </w:rPr>
              <w:t>Formation sensibilisation des utilisateurs d'internet. Sensibilisation sur l’importance du contrôle parental pour l’accès à internet des enfants. Mise en place de structure de gestion des plaintes VBG et EAS/HS. Renforcement de capacité et formation des autorités concernées (police nationale, gendarmerie…).</w:t>
            </w:r>
          </w:p>
        </w:tc>
        <w:tc>
          <w:tcPr>
            <w:tcW w:w="0" w:type="auto"/>
            <w:tcBorders>
              <w:top w:val="nil"/>
              <w:left w:val="nil"/>
              <w:bottom w:val="single" w:sz="4" w:space="0" w:color="auto"/>
              <w:right w:val="single" w:sz="4" w:space="0" w:color="auto"/>
            </w:tcBorders>
            <w:shd w:val="clear" w:color="auto" w:fill="auto"/>
            <w:vAlign w:val="center"/>
            <w:hideMark/>
          </w:tcPr>
          <w:p w14:paraId="1A84F241" w14:textId="77777777" w:rsidR="00FD3415" w:rsidRPr="00AB1E0E" w:rsidRDefault="00FD3415" w:rsidP="004B6E62">
            <w:pPr>
              <w:rPr>
                <w:rFonts w:cs="Calibri"/>
                <w:sz w:val="18"/>
                <w:szCs w:val="18"/>
                <w:lang w:eastAsia="fr-FR"/>
              </w:rPr>
            </w:pPr>
            <w:r w:rsidRPr="00AB1E0E">
              <w:rPr>
                <w:rFonts w:cs="Calibri"/>
                <w:sz w:val="18"/>
                <w:szCs w:val="18"/>
                <w:lang w:eastAsia="fr-FR"/>
              </w:rPr>
              <w:t>Nombre de plaintes enregistrées liées aux VBG, EAS/HS et internet</w:t>
            </w:r>
          </w:p>
        </w:tc>
        <w:tc>
          <w:tcPr>
            <w:tcW w:w="0" w:type="auto"/>
            <w:tcBorders>
              <w:top w:val="nil"/>
              <w:left w:val="nil"/>
              <w:bottom w:val="single" w:sz="4" w:space="0" w:color="auto"/>
              <w:right w:val="single" w:sz="4" w:space="0" w:color="auto"/>
            </w:tcBorders>
            <w:shd w:val="clear" w:color="auto" w:fill="auto"/>
            <w:vAlign w:val="center"/>
            <w:hideMark/>
          </w:tcPr>
          <w:p w14:paraId="794E64E7" w14:textId="77777777" w:rsidR="00FD3415" w:rsidRPr="00AB1E0E" w:rsidRDefault="00FD3415" w:rsidP="004B6E62">
            <w:pPr>
              <w:rPr>
                <w:rFonts w:cs="Calibri"/>
                <w:sz w:val="18"/>
                <w:szCs w:val="18"/>
                <w:lang w:eastAsia="fr-FR"/>
              </w:rPr>
            </w:pPr>
            <w:r w:rsidRPr="00AB1E0E">
              <w:rPr>
                <w:rFonts w:cs="Calibri"/>
                <w:sz w:val="18"/>
                <w:szCs w:val="18"/>
                <w:lang w:eastAsia="fr-FR"/>
              </w:rPr>
              <w:t>Comptage</w:t>
            </w:r>
          </w:p>
        </w:tc>
        <w:tc>
          <w:tcPr>
            <w:tcW w:w="1897" w:type="dxa"/>
            <w:tcBorders>
              <w:top w:val="nil"/>
              <w:left w:val="nil"/>
              <w:bottom w:val="single" w:sz="4" w:space="0" w:color="auto"/>
              <w:right w:val="single" w:sz="4" w:space="0" w:color="auto"/>
            </w:tcBorders>
            <w:shd w:val="clear" w:color="auto" w:fill="auto"/>
            <w:vAlign w:val="center"/>
            <w:hideMark/>
          </w:tcPr>
          <w:p w14:paraId="4F81E216" w14:textId="77777777" w:rsidR="00FD3415" w:rsidRPr="00AB1E0E" w:rsidRDefault="00FD3415" w:rsidP="004B6E62">
            <w:pPr>
              <w:rPr>
                <w:rFonts w:cs="Calibri"/>
                <w:sz w:val="18"/>
                <w:szCs w:val="18"/>
                <w:lang w:eastAsia="fr-FR"/>
              </w:rPr>
            </w:pPr>
            <w:r w:rsidRPr="00AB1E0E">
              <w:rPr>
                <w:rFonts w:cs="Calibri"/>
                <w:sz w:val="18"/>
                <w:szCs w:val="18"/>
                <w:lang w:eastAsia="fr-FR"/>
              </w:rPr>
              <w:t>Trimestriel</w:t>
            </w:r>
          </w:p>
        </w:tc>
        <w:tc>
          <w:tcPr>
            <w:tcW w:w="2054" w:type="dxa"/>
            <w:tcBorders>
              <w:top w:val="nil"/>
              <w:left w:val="nil"/>
              <w:bottom w:val="single" w:sz="4" w:space="0" w:color="auto"/>
              <w:right w:val="single" w:sz="4" w:space="0" w:color="auto"/>
            </w:tcBorders>
            <w:shd w:val="clear" w:color="auto" w:fill="auto"/>
            <w:vAlign w:val="center"/>
            <w:hideMark/>
          </w:tcPr>
          <w:p w14:paraId="44CB3CAF" w14:textId="77777777" w:rsidR="00FD3415" w:rsidRPr="00AB1E0E" w:rsidRDefault="00FD3415" w:rsidP="004B6E62">
            <w:pPr>
              <w:rPr>
                <w:rFonts w:cs="Calibri"/>
                <w:sz w:val="18"/>
                <w:szCs w:val="18"/>
                <w:lang w:eastAsia="fr-FR"/>
              </w:rPr>
            </w:pPr>
            <w:r w:rsidRPr="00AB1E0E">
              <w:rPr>
                <w:rFonts w:cs="Calibri"/>
                <w:sz w:val="18"/>
                <w:szCs w:val="18"/>
                <w:lang w:eastAsia="fr-FR"/>
              </w:rPr>
              <w:t>Autorités locales</w:t>
            </w:r>
          </w:p>
        </w:tc>
        <w:tc>
          <w:tcPr>
            <w:tcW w:w="1123" w:type="dxa"/>
            <w:tcBorders>
              <w:top w:val="nil"/>
              <w:left w:val="nil"/>
              <w:bottom w:val="single" w:sz="4" w:space="0" w:color="auto"/>
              <w:right w:val="single" w:sz="4" w:space="0" w:color="auto"/>
            </w:tcBorders>
            <w:shd w:val="clear" w:color="auto" w:fill="auto"/>
            <w:vAlign w:val="center"/>
            <w:hideMark/>
          </w:tcPr>
          <w:p w14:paraId="43E3E57C" w14:textId="77777777" w:rsidR="00FD3415" w:rsidRPr="00AB1E0E" w:rsidRDefault="00FD3415" w:rsidP="004B6E62">
            <w:pPr>
              <w:rPr>
                <w:rFonts w:cs="Calibri"/>
                <w:sz w:val="18"/>
                <w:szCs w:val="18"/>
                <w:lang w:eastAsia="fr-FR"/>
              </w:rPr>
            </w:pPr>
            <w:r w:rsidRPr="00AB1E0E">
              <w:rPr>
                <w:rFonts w:cs="Calibri"/>
                <w:sz w:val="18"/>
                <w:szCs w:val="18"/>
                <w:lang w:eastAsia="fr-FR"/>
              </w:rPr>
              <w:t>Ministère concerné, BM</w:t>
            </w:r>
          </w:p>
        </w:tc>
      </w:tr>
      <w:tr w:rsidR="00FD3415" w:rsidRPr="00AB1E0E" w14:paraId="3CA5EDD0" w14:textId="77777777" w:rsidTr="00AE406E">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0DBA3F" w14:textId="77777777" w:rsidR="00FD3415" w:rsidRPr="00AB1E0E" w:rsidRDefault="00FD3415" w:rsidP="004B6E62">
            <w:pPr>
              <w:rPr>
                <w:rFonts w:cs="Calibri"/>
                <w:sz w:val="18"/>
                <w:szCs w:val="18"/>
                <w:lang w:eastAsia="fr-FR"/>
              </w:rPr>
            </w:pPr>
            <w:r w:rsidRPr="00AB1E0E">
              <w:rPr>
                <w:rFonts w:cs="Calibri"/>
                <w:sz w:val="18"/>
                <w:szCs w:val="18"/>
                <w:lang w:eastAsia="fr-FR"/>
              </w:rPr>
              <w:t>Risque d'augmentation de cas de cybercriminalité</w:t>
            </w:r>
          </w:p>
        </w:tc>
        <w:tc>
          <w:tcPr>
            <w:tcW w:w="0" w:type="auto"/>
            <w:tcBorders>
              <w:top w:val="nil"/>
              <w:left w:val="nil"/>
              <w:bottom w:val="single" w:sz="4" w:space="0" w:color="auto"/>
              <w:right w:val="single" w:sz="4" w:space="0" w:color="auto"/>
            </w:tcBorders>
            <w:shd w:val="clear" w:color="auto" w:fill="auto"/>
            <w:vAlign w:val="center"/>
            <w:hideMark/>
          </w:tcPr>
          <w:p w14:paraId="57AEC918" w14:textId="77777777" w:rsidR="00FD3415" w:rsidRPr="00AB1E0E" w:rsidRDefault="00FD3415" w:rsidP="004B6E62">
            <w:pPr>
              <w:rPr>
                <w:rFonts w:cs="Calibri"/>
                <w:sz w:val="18"/>
                <w:szCs w:val="18"/>
                <w:lang w:eastAsia="fr-FR"/>
              </w:rPr>
            </w:pPr>
            <w:r w:rsidRPr="00AB1E0E">
              <w:rPr>
                <w:rFonts w:cs="Calibri"/>
                <w:sz w:val="18"/>
                <w:szCs w:val="18"/>
                <w:lang w:eastAsia="fr-FR"/>
              </w:rPr>
              <w:t>Renforcement de capacité et formation des autorités concernées (police nationale, gendarmerie…). Dotation d'équipements de lutte contre la cybercriminalité</w:t>
            </w:r>
          </w:p>
        </w:tc>
        <w:tc>
          <w:tcPr>
            <w:tcW w:w="0" w:type="auto"/>
            <w:tcBorders>
              <w:top w:val="nil"/>
              <w:left w:val="nil"/>
              <w:bottom w:val="single" w:sz="4" w:space="0" w:color="auto"/>
              <w:right w:val="single" w:sz="4" w:space="0" w:color="auto"/>
            </w:tcBorders>
            <w:shd w:val="clear" w:color="auto" w:fill="auto"/>
            <w:vAlign w:val="center"/>
            <w:hideMark/>
          </w:tcPr>
          <w:p w14:paraId="67657F20" w14:textId="77777777" w:rsidR="00FD3415" w:rsidRPr="00AB1E0E" w:rsidRDefault="00FD3415" w:rsidP="004B6E62">
            <w:pPr>
              <w:rPr>
                <w:rFonts w:cs="Calibri"/>
                <w:sz w:val="18"/>
                <w:szCs w:val="18"/>
                <w:lang w:eastAsia="fr-FR"/>
              </w:rPr>
            </w:pPr>
            <w:r w:rsidRPr="00AB1E0E">
              <w:rPr>
                <w:rFonts w:cs="Calibri"/>
                <w:sz w:val="18"/>
                <w:szCs w:val="18"/>
                <w:lang w:eastAsia="fr-FR"/>
              </w:rPr>
              <w:t>Nombre de cas de cybercriminalité traités au niveau des autorités compétentes</w:t>
            </w:r>
          </w:p>
        </w:tc>
        <w:tc>
          <w:tcPr>
            <w:tcW w:w="0" w:type="auto"/>
            <w:tcBorders>
              <w:top w:val="nil"/>
              <w:left w:val="nil"/>
              <w:bottom w:val="single" w:sz="4" w:space="0" w:color="auto"/>
              <w:right w:val="single" w:sz="4" w:space="0" w:color="auto"/>
            </w:tcBorders>
            <w:shd w:val="clear" w:color="auto" w:fill="auto"/>
            <w:vAlign w:val="center"/>
            <w:hideMark/>
          </w:tcPr>
          <w:p w14:paraId="3BCACD8F" w14:textId="77777777" w:rsidR="00FD3415" w:rsidRPr="00AB1E0E" w:rsidRDefault="00FD3415" w:rsidP="004B6E62">
            <w:pPr>
              <w:rPr>
                <w:rFonts w:cs="Calibri"/>
                <w:sz w:val="18"/>
                <w:szCs w:val="18"/>
                <w:lang w:eastAsia="fr-FR"/>
              </w:rPr>
            </w:pPr>
            <w:r w:rsidRPr="00AB1E0E">
              <w:rPr>
                <w:rFonts w:cs="Calibri"/>
                <w:sz w:val="18"/>
                <w:szCs w:val="18"/>
                <w:lang w:eastAsia="fr-FR"/>
              </w:rPr>
              <w:t>Comptage</w:t>
            </w:r>
          </w:p>
        </w:tc>
        <w:tc>
          <w:tcPr>
            <w:tcW w:w="1897" w:type="dxa"/>
            <w:tcBorders>
              <w:top w:val="nil"/>
              <w:left w:val="nil"/>
              <w:bottom w:val="single" w:sz="4" w:space="0" w:color="auto"/>
              <w:right w:val="single" w:sz="4" w:space="0" w:color="auto"/>
            </w:tcBorders>
            <w:shd w:val="clear" w:color="auto" w:fill="auto"/>
            <w:vAlign w:val="center"/>
            <w:hideMark/>
          </w:tcPr>
          <w:p w14:paraId="6E3CC61B" w14:textId="77777777" w:rsidR="00FD3415" w:rsidRPr="00AB1E0E" w:rsidRDefault="00FD3415" w:rsidP="004B6E62">
            <w:pPr>
              <w:rPr>
                <w:rFonts w:cs="Calibri"/>
                <w:sz w:val="18"/>
                <w:szCs w:val="18"/>
                <w:lang w:eastAsia="fr-FR"/>
              </w:rPr>
            </w:pPr>
            <w:r w:rsidRPr="00AB1E0E">
              <w:rPr>
                <w:rFonts w:cs="Calibri"/>
                <w:sz w:val="18"/>
                <w:szCs w:val="18"/>
                <w:lang w:eastAsia="fr-FR"/>
              </w:rPr>
              <w:t>Fin des travaux de construction</w:t>
            </w:r>
          </w:p>
        </w:tc>
        <w:tc>
          <w:tcPr>
            <w:tcW w:w="2054" w:type="dxa"/>
            <w:tcBorders>
              <w:top w:val="nil"/>
              <w:left w:val="nil"/>
              <w:bottom w:val="single" w:sz="4" w:space="0" w:color="auto"/>
              <w:right w:val="single" w:sz="4" w:space="0" w:color="auto"/>
            </w:tcBorders>
            <w:shd w:val="clear" w:color="auto" w:fill="auto"/>
            <w:vAlign w:val="center"/>
            <w:hideMark/>
          </w:tcPr>
          <w:p w14:paraId="2C88EDE0" w14:textId="77777777" w:rsidR="00FD3415" w:rsidRPr="00AB1E0E" w:rsidRDefault="00FD3415" w:rsidP="004B6E62">
            <w:pPr>
              <w:rPr>
                <w:rFonts w:cs="Calibri"/>
                <w:sz w:val="18"/>
                <w:szCs w:val="18"/>
                <w:lang w:eastAsia="fr-FR"/>
              </w:rPr>
            </w:pPr>
            <w:r w:rsidRPr="00AB1E0E">
              <w:rPr>
                <w:rFonts w:cs="Calibri"/>
                <w:sz w:val="18"/>
                <w:szCs w:val="18"/>
                <w:lang w:eastAsia="fr-FR"/>
              </w:rPr>
              <w:t>Projet/ Exploitant</w:t>
            </w:r>
          </w:p>
        </w:tc>
        <w:tc>
          <w:tcPr>
            <w:tcW w:w="1123" w:type="dxa"/>
            <w:tcBorders>
              <w:top w:val="nil"/>
              <w:left w:val="nil"/>
              <w:bottom w:val="single" w:sz="4" w:space="0" w:color="auto"/>
              <w:right w:val="single" w:sz="4" w:space="0" w:color="auto"/>
            </w:tcBorders>
            <w:shd w:val="clear" w:color="auto" w:fill="auto"/>
            <w:vAlign w:val="center"/>
            <w:hideMark/>
          </w:tcPr>
          <w:p w14:paraId="1C1A6BCA" w14:textId="77777777" w:rsidR="00FD3415" w:rsidRPr="00AB1E0E" w:rsidRDefault="00FD3415" w:rsidP="004B6E62">
            <w:pPr>
              <w:rPr>
                <w:rFonts w:cs="Calibri"/>
                <w:sz w:val="18"/>
                <w:szCs w:val="18"/>
                <w:lang w:eastAsia="fr-FR"/>
              </w:rPr>
            </w:pPr>
            <w:r w:rsidRPr="00AB1E0E">
              <w:rPr>
                <w:rFonts w:cs="Calibri"/>
                <w:sz w:val="18"/>
                <w:szCs w:val="18"/>
                <w:lang w:eastAsia="fr-FR"/>
              </w:rPr>
              <w:t>BM</w:t>
            </w:r>
          </w:p>
        </w:tc>
      </w:tr>
      <w:tr w:rsidR="00FD3415" w:rsidRPr="00AB1E0E" w14:paraId="18E8FFEB" w14:textId="77777777" w:rsidTr="00AE406E">
        <w:trPr>
          <w:trHeight w:val="48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4A11EB4" w14:textId="77777777" w:rsidR="00FD3415" w:rsidRPr="00AB1E0E" w:rsidRDefault="00FD3415" w:rsidP="004B6E62">
            <w:pPr>
              <w:rPr>
                <w:rFonts w:cs="Calibri"/>
                <w:sz w:val="18"/>
                <w:szCs w:val="18"/>
                <w:lang w:eastAsia="fr-FR"/>
              </w:rPr>
            </w:pPr>
            <w:r w:rsidRPr="00AB1E0E">
              <w:rPr>
                <w:rFonts w:cs="Calibri"/>
                <w:sz w:val="18"/>
                <w:szCs w:val="18"/>
                <w:lang w:eastAsia="fr-FR"/>
              </w:rPr>
              <w:t>Atteinte à la sécurité de la population</w:t>
            </w:r>
          </w:p>
        </w:tc>
        <w:tc>
          <w:tcPr>
            <w:tcW w:w="0" w:type="auto"/>
            <w:tcBorders>
              <w:top w:val="nil"/>
              <w:left w:val="nil"/>
              <w:bottom w:val="single" w:sz="4" w:space="0" w:color="auto"/>
              <w:right w:val="single" w:sz="4" w:space="0" w:color="auto"/>
            </w:tcBorders>
            <w:shd w:val="clear" w:color="auto" w:fill="auto"/>
            <w:vAlign w:val="center"/>
            <w:hideMark/>
          </w:tcPr>
          <w:p w14:paraId="7423A692" w14:textId="77777777" w:rsidR="00FD3415" w:rsidRPr="00AB1E0E" w:rsidRDefault="00FD3415" w:rsidP="004B6E62">
            <w:pPr>
              <w:rPr>
                <w:rFonts w:cs="Calibri"/>
                <w:sz w:val="18"/>
                <w:szCs w:val="18"/>
                <w:lang w:eastAsia="fr-FR"/>
              </w:rPr>
            </w:pPr>
            <w:r w:rsidRPr="00AB1E0E">
              <w:rPr>
                <w:rFonts w:cs="Calibri"/>
                <w:sz w:val="18"/>
                <w:szCs w:val="18"/>
                <w:lang w:eastAsia="fr-FR"/>
              </w:rPr>
              <w:t>Elaboration et application d'un Manuel de sécurité des barrages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6BA1E4F" w14:textId="77777777" w:rsidR="00FD3415" w:rsidRPr="00AB1E0E" w:rsidRDefault="00FD3415" w:rsidP="004B6E62">
            <w:pPr>
              <w:rPr>
                <w:rFonts w:cs="Calibri"/>
                <w:sz w:val="18"/>
                <w:szCs w:val="18"/>
                <w:lang w:eastAsia="fr-FR"/>
              </w:rPr>
            </w:pPr>
            <w:r w:rsidRPr="00AB1E0E">
              <w:rPr>
                <w:rFonts w:cs="Calibri"/>
                <w:sz w:val="18"/>
                <w:szCs w:val="18"/>
                <w:lang w:eastAsia="fr-FR"/>
              </w:rPr>
              <w:t>Nb Barrage détruit/abimé</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D298C7F" w14:textId="77777777" w:rsidR="00FD3415" w:rsidRPr="00AB1E0E" w:rsidRDefault="00FD3415" w:rsidP="004B6E62">
            <w:pPr>
              <w:rPr>
                <w:rFonts w:cs="Calibri"/>
                <w:sz w:val="18"/>
                <w:szCs w:val="18"/>
                <w:lang w:eastAsia="fr-FR"/>
              </w:rPr>
            </w:pPr>
            <w:r w:rsidRPr="00AB1E0E">
              <w:rPr>
                <w:rFonts w:cs="Calibri"/>
                <w:sz w:val="18"/>
                <w:szCs w:val="18"/>
                <w:lang w:eastAsia="fr-FR"/>
              </w:rPr>
              <w:t>Comptage</w:t>
            </w:r>
          </w:p>
        </w:tc>
        <w:tc>
          <w:tcPr>
            <w:tcW w:w="1897" w:type="dxa"/>
            <w:vMerge w:val="restart"/>
            <w:tcBorders>
              <w:top w:val="nil"/>
              <w:left w:val="single" w:sz="4" w:space="0" w:color="auto"/>
              <w:bottom w:val="single" w:sz="4" w:space="0" w:color="000000"/>
              <w:right w:val="single" w:sz="4" w:space="0" w:color="auto"/>
            </w:tcBorders>
            <w:shd w:val="clear" w:color="auto" w:fill="auto"/>
            <w:vAlign w:val="center"/>
            <w:hideMark/>
          </w:tcPr>
          <w:p w14:paraId="3DFFCF23" w14:textId="77777777" w:rsidR="00FD3415" w:rsidRPr="00AB1E0E" w:rsidRDefault="00FD3415" w:rsidP="004B6E62">
            <w:pPr>
              <w:rPr>
                <w:rFonts w:cs="Calibri"/>
                <w:sz w:val="18"/>
                <w:szCs w:val="18"/>
                <w:lang w:eastAsia="fr-FR"/>
              </w:rPr>
            </w:pPr>
            <w:r w:rsidRPr="00AB1E0E">
              <w:rPr>
                <w:rFonts w:cs="Calibri"/>
                <w:sz w:val="18"/>
                <w:szCs w:val="18"/>
                <w:lang w:eastAsia="fr-FR"/>
              </w:rPr>
              <w:t>annuel</w:t>
            </w:r>
          </w:p>
        </w:tc>
        <w:tc>
          <w:tcPr>
            <w:tcW w:w="2054" w:type="dxa"/>
            <w:vMerge w:val="restart"/>
            <w:tcBorders>
              <w:top w:val="nil"/>
              <w:left w:val="single" w:sz="4" w:space="0" w:color="auto"/>
              <w:bottom w:val="single" w:sz="4" w:space="0" w:color="000000"/>
              <w:right w:val="single" w:sz="4" w:space="0" w:color="auto"/>
            </w:tcBorders>
            <w:shd w:val="clear" w:color="auto" w:fill="auto"/>
            <w:vAlign w:val="center"/>
            <w:hideMark/>
          </w:tcPr>
          <w:p w14:paraId="19BA33E1" w14:textId="77777777" w:rsidR="00FD3415" w:rsidRPr="00AB1E0E" w:rsidRDefault="00FD3415" w:rsidP="004B6E62">
            <w:pPr>
              <w:rPr>
                <w:rFonts w:cs="Calibri"/>
                <w:sz w:val="18"/>
                <w:szCs w:val="18"/>
                <w:lang w:eastAsia="fr-FR"/>
              </w:rPr>
            </w:pPr>
            <w:r w:rsidRPr="00AB1E0E">
              <w:rPr>
                <w:rFonts w:cs="Calibri"/>
                <w:sz w:val="18"/>
                <w:szCs w:val="18"/>
                <w:lang w:eastAsia="fr-FR"/>
              </w:rPr>
              <w:t>DREH</w:t>
            </w:r>
          </w:p>
        </w:tc>
        <w:tc>
          <w:tcPr>
            <w:tcW w:w="1123" w:type="dxa"/>
            <w:vMerge w:val="restart"/>
            <w:tcBorders>
              <w:top w:val="nil"/>
              <w:left w:val="single" w:sz="4" w:space="0" w:color="auto"/>
              <w:bottom w:val="single" w:sz="4" w:space="0" w:color="000000"/>
              <w:right w:val="single" w:sz="4" w:space="0" w:color="auto"/>
            </w:tcBorders>
            <w:shd w:val="clear" w:color="auto" w:fill="auto"/>
            <w:vAlign w:val="center"/>
            <w:hideMark/>
          </w:tcPr>
          <w:p w14:paraId="17650121" w14:textId="77777777" w:rsidR="00FD3415" w:rsidRPr="00AB1E0E" w:rsidRDefault="00FD3415" w:rsidP="004B6E62">
            <w:pPr>
              <w:rPr>
                <w:rFonts w:cs="Calibri"/>
                <w:sz w:val="18"/>
                <w:szCs w:val="18"/>
                <w:lang w:eastAsia="fr-FR"/>
              </w:rPr>
            </w:pPr>
            <w:r w:rsidRPr="00AB1E0E">
              <w:rPr>
                <w:rFonts w:cs="Calibri"/>
                <w:sz w:val="18"/>
                <w:szCs w:val="18"/>
                <w:lang w:eastAsia="fr-FR"/>
              </w:rPr>
              <w:t>MEH</w:t>
            </w:r>
          </w:p>
        </w:tc>
      </w:tr>
      <w:tr w:rsidR="00FD3415" w:rsidRPr="00AB1E0E" w14:paraId="47F3E2E0" w14:textId="77777777" w:rsidTr="00AE406E">
        <w:trPr>
          <w:trHeight w:val="480"/>
        </w:trPr>
        <w:tc>
          <w:tcPr>
            <w:tcW w:w="0" w:type="auto"/>
            <w:vMerge/>
            <w:tcBorders>
              <w:top w:val="nil"/>
              <w:left w:val="single" w:sz="4" w:space="0" w:color="auto"/>
              <w:bottom w:val="single" w:sz="4" w:space="0" w:color="000000"/>
              <w:right w:val="single" w:sz="4" w:space="0" w:color="auto"/>
            </w:tcBorders>
            <w:vAlign w:val="center"/>
            <w:hideMark/>
          </w:tcPr>
          <w:p w14:paraId="3DAEA54D" w14:textId="77777777" w:rsidR="00FD3415" w:rsidRPr="00AB1E0E" w:rsidRDefault="00FD3415" w:rsidP="004B6E62">
            <w:pPr>
              <w:rPr>
                <w:rFonts w:cs="Calibri"/>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70084706" w14:textId="77777777" w:rsidR="00FD3415" w:rsidRPr="00AB1E0E" w:rsidRDefault="00FD3415" w:rsidP="004B6E62">
            <w:pPr>
              <w:rPr>
                <w:rFonts w:cs="Calibri"/>
                <w:sz w:val="18"/>
                <w:szCs w:val="18"/>
                <w:lang w:eastAsia="fr-FR"/>
              </w:rPr>
            </w:pPr>
            <w:r w:rsidRPr="00AB1E0E">
              <w:rPr>
                <w:rFonts w:cs="Calibri"/>
                <w:sz w:val="18"/>
                <w:szCs w:val="18"/>
                <w:lang w:eastAsia="fr-FR"/>
              </w:rPr>
              <w:t>Inspection périodique et entretien des barrages</w:t>
            </w:r>
          </w:p>
        </w:tc>
        <w:tc>
          <w:tcPr>
            <w:tcW w:w="0" w:type="auto"/>
            <w:vMerge/>
            <w:tcBorders>
              <w:top w:val="nil"/>
              <w:left w:val="single" w:sz="4" w:space="0" w:color="auto"/>
              <w:bottom w:val="single" w:sz="4" w:space="0" w:color="000000"/>
              <w:right w:val="single" w:sz="4" w:space="0" w:color="auto"/>
            </w:tcBorders>
            <w:vAlign w:val="center"/>
            <w:hideMark/>
          </w:tcPr>
          <w:p w14:paraId="08999909" w14:textId="77777777" w:rsidR="00FD3415" w:rsidRPr="00AB1E0E" w:rsidRDefault="00FD3415" w:rsidP="004B6E62">
            <w:pPr>
              <w:rPr>
                <w:rFonts w:cs="Calibri"/>
                <w:sz w:val="18"/>
                <w:szCs w:val="18"/>
                <w:lang w:eastAsia="fr-FR"/>
              </w:rPr>
            </w:pPr>
          </w:p>
        </w:tc>
        <w:tc>
          <w:tcPr>
            <w:tcW w:w="0" w:type="auto"/>
            <w:vMerge/>
            <w:tcBorders>
              <w:top w:val="nil"/>
              <w:left w:val="single" w:sz="4" w:space="0" w:color="auto"/>
              <w:bottom w:val="single" w:sz="4" w:space="0" w:color="000000"/>
              <w:right w:val="single" w:sz="4" w:space="0" w:color="auto"/>
            </w:tcBorders>
            <w:vAlign w:val="center"/>
            <w:hideMark/>
          </w:tcPr>
          <w:p w14:paraId="07909875" w14:textId="77777777" w:rsidR="00FD3415" w:rsidRPr="00AB1E0E" w:rsidRDefault="00FD3415" w:rsidP="004B6E62">
            <w:pPr>
              <w:rPr>
                <w:rFonts w:cs="Calibri"/>
                <w:sz w:val="18"/>
                <w:szCs w:val="18"/>
                <w:lang w:eastAsia="fr-FR"/>
              </w:rPr>
            </w:pPr>
          </w:p>
        </w:tc>
        <w:tc>
          <w:tcPr>
            <w:tcW w:w="1897" w:type="dxa"/>
            <w:vMerge/>
            <w:tcBorders>
              <w:top w:val="nil"/>
              <w:left w:val="single" w:sz="4" w:space="0" w:color="auto"/>
              <w:bottom w:val="single" w:sz="4" w:space="0" w:color="000000"/>
              <w:right w:val="single" w:sz="4" w:space="0" w:color="auto"/>
            </w:tcBorders>
            <w:vAlign w:val="center"/>
            <w:hideMark/>
          </w:tcPr>
          <w:p w14:paraId="51357E18" w14:textId="77777777" w:rsidR="00FD3415" w:rsidRPr="00AB1E0E" w:rsidRDefault="00FD3415" w:rsidP="004B6E62">
            <w:pPr>
              <w:rPr>
                <w:rFonts w:cs="Calibri"/>
                <w:sz w:val="18"/>
                <w:szCs w:val="18"/>
                <w:lang w:eastAsia="fr-FR"/>
              </w:rPr>
            </w:pPr>
          </w:p>
        </w:tc>
        <w:tc>
          <w:tcPr>
            <w:tcW w:w="2054" w:type="dxa"/>
            <w:vMerge/>
            <w:tcBorders>
              <w:top w:val="nil"/>
              <w:left w:val="single" w:sz="4" w:space="0" w:color="auto"/>
              <w:bottom w:val="single" w:sz="4" w:space="0" w:color="000000"/>
              <w:right w:val="single" w:sz="4" w:space="0" w:color="auto"/>
            </w:tcBorders>
            <w:vAlign w:val="center"/>
            <w:hideMark/>
          </w:tcPr>
          <w:p w14:paraId="0C334466" w14:textId="77777777" w:rsidR="00FD3415" w:rsidRPr="00AB1E0E" w:rsidRDefault="00FD3415" w:rsidP="004B6E62">
            <w:pPr>
              <w:rPr>
                <w:rFonts w:cs="Calibri"/>
                <w:sz w:val="18"/>
                <w:szCs w:val="18"/>
                <w:lang w:eastAsia="fr-FR"/>
              </w:rPr>
            </w:pPr>
          </w:p>
        </w:tc>
        <w:tc>
          <w:tcPr>
            <w:tcW w:w="1123" w:type="dxa"/>
            <w:vMerge/>
            <w:tcBorders>
              <w:top w:val="nil"/>
              <w:left w:val="single" w:sz="4" w:space="0" w:color="auto"/>
              <w:bottom w:val="single" w:sz="4" w:space="0" w:color="000000"/>
              <w:right w:val="single" w:sz="4" w:space="0" w:color="auto"/>
            </w:tcBorders>
            <w:vAlign w:val="center"/>
            <w:hideMark/>
          </w:tcPr>
          <w:p w14:paraId="25D3C331" w14:textId="77777777" w:rsidR="00FD3415" w:rsidRPr="00AB1E0E" w:rsidRDefault="00FD3415" w:rsidP="004B6E62">
            <w:pPr>
              <w:rPr>
                <w:rFonts w:cs="Calibri"/>
                <w:sz w:val="18"/>
                <w:szCs w:val="18"/>
                <w:lang w:eastAsia="fr-FR"/>
              </w:rPr>
            </w:pPr>
          </w:p>
        </w:tc>
      </w:tr>
      <w:tr w:rsidR="00FD3415" w:rsidRPr="00AB1E0E" w14:paraId="44546C5E" w14:textId="77777777" w:rsidTr="00AE406E">
        <w:trPr>
          <w:trHeight w:val="480"/>
        </w:trPr>
        <w:tc>
          <w:tcPr>
            <w:tcW w:w="0" w:type="auto"/>
            <w:vMerge/>
            <w:tcBorders>
              <w:top w:val="nil"/>
              <w:left w:val="single" w:sz="4" w:space="0" w:color="auto"/>
              <w:bottom w:val="single" w:sz="4" w:space="0" w:color="000000"/>
              <w:right w:val="single" w:sz="4" w:space="0" w:color="auto"/>
            </w:tcBorders>
            <w:vAlign w:val="center"/>
            <w:hideMark/>
          </w:tcPr>
          <w:p w14:paraId="72538E6D" w14:textId="77777777" w:rsidR="00FD3415" w:rsidRPr="00AB1E0E" w:rsidRDefault="00FD3415" w:rsidP="004B6E62">
            <w:pPr>
              <w:rPr>
                <w:rFonts w:cs="Calibri"/>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0A8BF0C0" w14:textId="77777777" w:rsidR="00FD3415" w:rsidRPr="00AB1E0E" w:rsidRDefault="00FD3415" w:rsidP="004B6E62">
            <w:pPr>
              <w:rPr>
                <w:rFonts w:cs="Calibri"/>
                <w:sz w:val="18"/>
                <w:szCs w:val="18"/>
                <w:lang w:eastAsia="fr-FR"/>
              </w:rPr>
            </w:pPr>
            <w:r w:rsidRPr="00AB1E0E">
              <w:rPr>
                <w:rFonts w:cs="Calibri"/>
                <w:sz w:val="18"/>
                <w:szCs w:val="18"/>
                <w:lang w:eastAsia="fr-FR"/>
              </w:rPr>
              <w:t>Elaboration et application d'un Plan d'Intervention d'Urgence</w:t>
            </w:r>
          </w:p>
        </w:tc>
        <w:tc>
          <w:tcPr>
            <w:tcW w:w="0" w:type="auto"/>
            <w:vMerge/>
            <w:tcBorders>
              <w:top w:val="nil"/>
              <w:left w:val="single" w:sz="4" w:space="0" w:color="auto"/>
              <w:bottom w:val="single" w:sz="4" w:space="0" w:color="000000"/>
              <w:right w:val="single" w:sz="4" w:space="0" w:color="auto"/>
            </w:tcBorders>
            <w:vAlign w:val="center"/>
            <w:hideMark/>
          </w:tcPr>
          <w:p w14:paraId="359FA0AF" w14:textId="77777777" w:rsidR="00FD3415" w:rsidRPr="00AB1E0E" w:rsidRDefault="00FD3415" w:rsidP="004B6E62">
            <w:pPr>
              <w:rPr>
                <w:rFonts w:cs="Calibri"/>
                <w:sz w:val="18"/>
                <w:szCs w:val="18"/>
                <w:lang w:eastAsia="fr-FR"/>
              </w:rPr>
            </w:pPr>
          </w:p>
        </w:tc>
        <w:tc>
          <w:tcPr>
            <w:tcW w:w="0" w:type="auto"/>
            <w:vMerge/>
            <w:tcBorders>
              <w:top w:val="nil"/>
              <w:left w:val="single" w:sz="4" w:space="0" w:color="auto"/>
              <w:bottom w:val="single" w:sz="4" w:space="0" w:color="000000"/>
              <w:right w:val="single" w:sz="4" w:space="0" w:color="auto"/>
            </w:tcBorders>
            <w:vAlign w:val="center"/>
            <w:hideMark/>
          </w:tcPr>
          <w:p w14:paraId="47E4367C" w14:textId="77777777" w:rsidR="00FD3415" w:rsidRPr="00AB1E0E" w:rsidRDefault="00FD3415" w:rsidP="004B6E62">
            <w:pPr>
              <w:rPr>
                <w:rFonts w:cs="Calibri"/>
                <w:sz w:val="18"/>
                <w:szCs w:val="18"/>
                <w:lang w:eastAsia="fr-FR"/>
              </w:rPr>
            </w:pPr>
          </w:p>
        </w:tc>
        <w:tc>
          <w:tcPr>
            <w:tcW w:w="1897" w:type="dxa"/>
            <w:vMerge/>
            <w:tcBorders>
              <w:top w:val="nil"/>
              <w:left w:val="single" w:sz="4" w:space="0" w:color="auto"/>
              <w:bottom w:val="single" w:sz="4" w:space="0" w:color="000000"/>
              <w:right w:val="single" w:sz="4" w:space="0" w:color="auto"/>
            </w:tcBorders>
            <w:vAlign w:val="center"/>
            <w:hideMark/>
          </w:tcPr>
          <w:p w14:paraId="190B15E1" w14:textId="77777777" w:rsidR="00FD3415" w:rsidRPr="00AB1E0E" w:rsidRDefault="00FD3415" w:rsidP="004B6E62">
            <w:pPr>
              <w:rPr>
                <w:rFonts w:cs="Calibri"/>
                <w:sz w:val="18"/>
                <w:szCs w:val="18"/>
                <w:lang w:eastAsia="fr-FR"/>
              </w:rPr>
            </w:pPr>
          </w:p>
        </w:tc>
        <w:tc>
          <w:tcPr>
            <w:tcW w:w="2054" w:type="dxa"/>
            <w:vMerge/>
            <w:tcBorders>
              <w:top w:val="nil"/>
              <w:left w:val="single" w:sz="4" w:space="0" w:color="auto"/>
              <w:bottom w:val="single" w:sz="4" w:space="0" w:color="000000"/>
              <w:right w:val="single" w:sz="4" w:space="0" w:color="auto"/>
            </w:tcBorders>
            <w:vAlign w:val="center"/>
            <w:hideMark/>
          </w:tcPr>
          <w:p w14:paraId="5953229E" w14:textId="77777777" w:rsidR="00FD3415" w:rsidRPr="00AB1E0E" w:rsidRDefault="00FD3415" w:rsidP="004B6E62">
            <w:pPr>
              <w:rPr>
                <w:rFonts w:cs="Calibri"/>
                <w:sz w:val="18"/>
                <w:szCs w:val="18"/>
                <w:lang w:eastAsia="fr-FR"/>
              </w:rPr>
            </w:pPr>
          </w:p>
        </w:tc>
        <w:tc>
          <w:tcPr>
            <w:tcW w:w="1123" w:type="dxa"/>
            <w:vMerge/>
            <w:tcBorders>
              <w:top w:val="nil"/>
              <w:left w:val="single" w:sz="4" w:space="0" w:color="auto"/>
              <w:bottom w:val="single" w:sz="4" w:space="0" w:color="000000"/>
              <w:right w:val="single" w:sz="4" w:space="0" w:color="auto"/>
            </w:tcBorders>
            <w:vAlign w:val="center"/>
            <w:hideMark/>
          </w:tcPr>
          <w:p w14:paraId="6563E4FB" w14:textId="77777777" w:rsidR="00FD3415" w:rsidRPr="00AB1E0E" w:rsidRDefault="00FD3415" w:rsidP="004B6E62">
            <w:pPr>
              <w:rPr>
                <w:rFonts w:cs="Calibri"/>
                <w:sz w:val="18"/>
                <w:szCs w:val="18"/>
                <w:lang w:eastAsia="fr-FR"/>
              </w:rPr>
            </w:pPr>
          </w:p>
        </w:tc>
      </w:tr>
      <w:tr w:rsidR="00FD3415" w:rsidRPr="00AB1E0E" w14:paraId="7F46F3ED" w14:textId="77777777" w:rsidTr="00AE406E">
        <w:trPr>
          <w:trHeight w:val="300"/>
        </w:trPr>
        <w:tc>
          <w:tcPr>
            <w:tcW w:w="12899" w:type="dxa"/>
            <w:gridSpan w:val="7"/>
            <w:tcBorders>
              <w:top w:val="single" w:sz="4" w:space="0" w:color="auto"/>
              <w:left w:val="single" w:sz="4" w:space="0" w:color="auto"/>
              <w:bottom w:val="single" w:sz="4" w:space="0" w:color="auto"/>
              <w:right w:val="single" w:sz="4" w:space="0" w:color="auto"/>
            </w:tcBorders>
            <w:shd w:val="clear" w:color="000000" w:fill="00B0F0"/>
            <w:vAlign w:val="center"/>
            <w:hideMark/>
          </w:tcPr>
          <w:p w14:paraId="75CE1D4C" w14:textId="77777777" w:rsidR="00FD3415" w:rsidRPr="00AB1E0E" w:rsidRDefault="00FD3415" w:rsidP="004B6E62">
            <w:pPr>
              <w:jc w:val="center"/>
              <w:rPr>
                <w:rFonts w:cs="Calibri"/>
                <w:b/>
                <w:bCs/>
                <w:sz w:val="18"/>
                <w:szCs w:val="18"/>
                <w:lang w:eastAsia="fr-FR"/>
              </w:rPr>
            </w:pPr>
            <w:r w:rsidRPr="00AB1E0E">
              <w:rPr>
                <w:rFonts w:cs="Calibri"/>
                <w:b/>
                <w:bCs/>
                <w:sz w:val="18"/>
                <w:szCs w:val="18"/>
                <w:lang w:eastAsia="fr-FR"/>
              </w:rPr>
              <w:t>Phase de démantèlement</w:t>
            </w:r>
          </w:p>
        </w:tc>
      </w:tr>
      <w:tr w:rsidR="00FD3415" w:rsidRPr="00AB1E0E" w14:paraId="717573E6" w14:textId="77777777" w:rsidTr="00AE406E">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08CD19" w14:textId="77777777" w:rsidR="00FD3415" w:rsidRPr="00AB1E0E" w:rsidRDefault="00FD3415" w:rsidP="004B6E62">
            <w:pPr>
              <w:rPr>
                <w:rFonts w:cs="Calibri"/>
                <w:sz w:val="18"/>
                <w:szCs w:val="18"/>
                <w:lang w:eastAsia="fr-FR"/>
              </w:rPr>
            </w:pPr>
            <w:r w:rsidRPr="00AB1E0E">
              <w:rPr>
                <w:rFonts w:cs="Calibri"/>
                <w:sz w:val="18"/>
                <w:szCs w:val="18"/>
                <w:lang w:eastAsia="fr-FR"/>
              </w:rPr>
              <w:t>Pollution du sol et de l’eau par le déversement accidentel des substances polluantes et de substances dangereuses</w:t>
            </w:r>
          </w:p>
        </w:tc>
        <w:tc>
          <w:tcPr>
            <w:tcW w:w="0" w:type="auto"/>
            <w:tcBorders>
              <w:top w:val="nil"/>
              <w:left w:val="nil"/>
              <w:bottom w:val="single" w:sz="4" w:space="0" w:color="auto"/>
              <w:right w:val="single" w:sz="4" w:space="0" w:color="auto"/>
            </w:tcBorders>
            <w:shd w:val="clear" w:color="auto" w:fill="auto"/>
            <w:vAlign w:val="center"/>
            <w:hideMark/>
          </w:tcPr>
          <w:p w14:paraId="4CB1179D" w14:textId="77777777" w:rsidR="00FD3415" w:rsidRPr="00AB1E0E" w:rsidRDefault="00FD3415" w:rsidP="004B6E62">
            <w:pPr>
              <w:rPr>
                <w:rFonts w:cs="Calibri"/>
                <w:sz w:val="18"/>
                <w:szCs w:val="18"/>
                <w:lang w:eastAsia="fr-FR"/>
              </w:rPr>
            </w:pPr>
            <w:r w:rsidRPr="00AB1E0E">
              <w:rPr>
                <w:rFonts w:cs="Calibri"/>
                <w:sz w:val="18"/>
                <w:szCs w:val="18"/>
                <w:lang w:eastAsia="fr-FR"/>
              </w:rPr>
              <w:t>Utilisation de véhicules en bon état. Nettoyage méticuleux avant de quitter les lieux.</w:t>
            </w:r>
          </w:p>
        </w:tc>
        <w:tc>
          <w:tcPr>
            <w:tcW w:w="0" w:type="auto"/>
            <w:tcBorders>
              <w:top w:val="nil"/>
              <w:left w:val="nil"/>
              <w:bottom w:val="single" w:sz="4" w:space="0" w:color="auto"/>
              <w:right w:val="single" w:sz="4" w:space="0" w:color="auto"/>
            </w:tcBorders>
            <w:shd w:val="clear" w:color="auto" w:fill="auto"/>
            <w:vAlign w:val="center"/>
            <w:hideMark/>
          </w:tcPr>
          <w:p w14:paraId="40E3D294" w14:textId="77777777" w:rsidR="00FD3415" w:rsidRPr="00AB1E0E" w:rsidRDefault="00FD3415" w:rsidP="004B6E62">
            <w:pPr>
              <w:rPr>
                <w:rFonts w:cs="Calibri"/>
                <w:sz w:val="18"/>
                <w:szCs w:val="18"/>
                <w:lang w:eastAsia="fr-FR"/>
              </w:rPr>
            </w:pPr>
            <w:r w:rsidRPr="00AB1E0E">
              <w:rPr>
                <w:rFonts w:cs="Calibri"/>
                <w:sz w:val="18"/>
                <w:szCs w:val="18"/>
                <w:lang w:eastAsia="fr-FR"/>
              </w:rPr>
              <w:t>Nombre de déversement observé</w:t>
            </w:r>
          </w:p>
        </w:tc>
        <w:tc>
          <w:tcPr>
            <w:tcW w:w="0" w:type="auto"/>
            <w:tcBorders>
              <w:top w:val="nil"/>
              <w:left w:val="nil"/>
              <w:bottom w:val="single" w:sz="4" w:space="0" w:color="auto"/>
              <w:right w:val="single" w:sz="4" w:space="0" w:color="auto"/>
            </w:tcBorders>
            <w:shd w:val="clear" w:color="auto" w:fill="auto"/>
            <w:vAlign w:val="center"/>
            <w:hideMark/>
          </w:tcPr>
          <w:p w14:paraId="7F124ADC" w14:textId="77777777" w:rsidR="00FD3415" w:rsidRPr="00AB1E0E" w:rsidRDefault="00FD3415" w:rsidP="004B6E62">
            <w:pPr>
              <w:rPr>
                <w:rFonts w:cs="Calibri"/>
                <w:sz w:val="18"/>
                <w:szCs w:val="18"/>
                <w:lang w:eastAsia="fr-FR"/>
              </w:rPr>
            </w:pPr>
            <w:r w:rsidRPr="00AB1E0E">
              <w:rPr>
                <w:rFonts w:cs="Calibri"/>
                <w:sz w:val="18"/>
                <w:szCs w:val="18"/>
                <w:lang w:eastAsia="fr-FR"/>
              </w:rPr>
              <w:t>Comptage</w:t>
            </w:r>
          </w:p>
        </w:tc>
        <w:tc>
          <w:tcPr>
            <w:tcW w:w="1897" w:type="dxa"/>
            <w:tcBorders>
              <w:top w:val="nil"/>
              <w:left w:val="nil"/>
              <w:bottom w:val="single" w:sz="4" w:space="0" w:color="auto"/>
              <w:right w:val="single" w:sz="4" w:space="0" w:color="auto"/>
            </w:tcBorders>
            <w:shd w:val="clear" w:color="auto" w:fill="auto"/>
            <w:vAlign w:val="center"/>
            <w:hideMark/>
          </w:tcPr>
          <w:p w14:paraId="7BCEC49E" w14:textId="77777777" w:rsidR="00FD3415" w:rsidRPr="00AB1E0E" w:rsidRDefault="00FD3415" w:rsidP="004B6E62">
            <w:pPr>
              <w:rPr>
                <w:rFonts w:cs="Calibri"/>
                <w:sz w:val="18"/>
                <w:szCs w:val="18"/>
                <w:lang w:eastAsia="fr-FR"/>
              </w:rPr>
            </w:pPr>
            <w:r w:rsidRPr="00AB1E0E">
              <w:rPr>
                <w:rFonts w:cs="Calibri"/>
                <w:sz w:val="18"/>
                <w:szCs w:val="18"/>
                <w:lang w:eastAsia="fr-FR"/>
              </w:rPr>
              <w:t>Fin des travaux</w:t>
            </w:r>
          </w:p>
        </w:tc>
        <w:tc>
          <w:tcPr>
            <w:tcW w:w="2054" w:type="dxa"/>
            <w:tcBorders>
              <w:top w:val="nil"/>
              <w:left w:val="nil"/>
              <w:bottom w:val="single" w:sz="4" w:space="0" w:color="auto"/>
              <w:right w:val="single" w:sz="4" w:space="0" w:color="auto"/>
            </w:tcBorders>
            <w:shd w:val="clear" w:color="auto" w:fill="auto"/>
            <w:vAlign w:val="center"/>
            <w:hideMark/>
          </w:tcPr>
          <w:p w14:paraId="4659D46A" w14:textId="77777777" w:rsidR="00FD3415" w:rsidRPr="00AB1E0E" w:rsidRDefault="00FD3415" w:rsidP="004B6E62">
            <w:pPr>
              <w:rPr>
                <w:rFonts w:cs="Calibri"/>
                <w:sz w:val="18"/>
                <w:szCs w:val="18"/>
                <w:lang w:eastAsia="fr-FR"/>
              </w:rPr>
            </w:pPr>
            <w:r w:rsidRPr="00AB1E0E">
              <w:rPr>
                <w:rFonts w:cs="Calibri"/>
                <w:sz w:val="18"/>
                <w:szCs w:val="18"/>
                <w:lang w:eastAsia="fr-FR"/>
              </w:rPr>
              <w:t>Projet/ Exploitant</w:t>
            </w:r>
          </w:p>
        </w:tc>
        <w:tc>
          <w:tcPr>
            <w:tcW w:w="1123" w:type="dxa"/>
            <w:tcBorders>
              <w:top w:val="nil"/>
              <w:left w:val="nil"/>
              <w:bottom w:val="single" w:sz="4" w:space="0" w:color="auto"/>
              <w:right w:val="single" w:sz="4" w:space="0" w:color="auto"/>
            </w:tcBorders>
            <w:shd w:val="clear" w:color="auto" w:fill="auto"/>
            <w:vAlign w:val="center"/>
            <w:hideMark/>
          </w:tcPr>
          <w:p w14:paraId="7F36B973" w14:textId="77777777" w:rsidR="00FD3415" w:rsidRPr="00AB1E0E" w:rsidRDefault="00FD3415" w:rsidP="004B6E62">
            <w:pPr>
              <w:rPr>
                <w:rFonts w:cs="Calibri"/>
                <w:sz w:val="18"/>
                <w:szCs w:val="18"/>
                <w:lang w:eastAsia="fr-FR"/>
              </w:rPr>
            </w:pPr>
            <w:r w:rsidRPr="00AB1E0E">
              <w:rPr>
                <w:rFonts w:cs="Calibri"/>
                <w:sz w:val="18"/>
                <w:szCs w:val="18"/>
                <w:lang w:eastAsia="fr-FR"/>
              </w:rPr>
              <w:t>MEH, BM</w:t>
            </w:r>
          </w:p>
        </w:tc>
      </w:tr>
      <w:tr w:rsidR="00FD3415" w:rsidRPr="00AB1E0E" w14:paraId="53D8B665" w14:textId="77777777" w:rsidTr="00AE406E">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EC39F6" w14:textId="77777777" w:rsidR="00FD3415" w:rsidRPr="00AB1E0E" w:rsidRDefault="00FD3415" w:rsidP="004B6E62">
            <w:pPr>
              <w:rPr>
                <w:rFonts w:cs="Calibri"/>
                <w:sz w:val="18"/>
                <w:szCs w:val="18"/>
                <w:lang w:eastAsia="fr-FR"/>
              </w:rPr>
            </w:pPr>
            <w:r w:rsidRPr="00AB1E0E">
              <w:rPr>
                <w:rFonts w:cs="Calibri"/>
                <w:sz w:val="18"/>
                <w:szCs w:val="18"/>
                <w:lang w:eastAsia="fr-FR"/>
              </w:rPr>
              <w:t>Pollution du sol par l'abandon et l’accumulation des déchets solides incluant les déchets d’équipement électrique et électronique (DEEE)</w:t>
            </w:r>
          </w:p>
        </w:tc>
        <w:tc>
          <w:tcPr>
            <w:tcW w:w="0" w:type="auto"/>
            <w:tcBorders>
              <w:top w:val="nil"/>
              <w:left w:val="nil"/>
              <w:bottom w:val="single" w:sz="4" w:space="0" w:color="auto"/>
              <w:right w:val="single" w:sz="4" w:space="0" w:color="auto"/>
            </w:tcBorders>
            <w:shd w:val="clear" w:color="auto" w:fill="auto"/>
            <w:vAlign w:val="center"/>
            <w:hideMark/>
          </w:tcPr>
          <w:p w14:paraId="1E787281" w14:textId="77777777" w:rsidR="00FD3415" w:rsidRPr="00AB1E0E" w:rsidRDefault="00FD3415" w:rsidP="004B6E62">
            <w:pPr>
              <w:rPr>
                <w:rFonts w:cs="Calibri"/>
                <w:sz w:val="18"/>
                <w:szCs w:val="18"/>
                <w:lang w:eastAsia="fr-FR"/>
              </w:rPr>
            </w:pPr>
            <w:r w:rsidRPr="00AB1E0E">
              <w:rPr>
                <w:rFonts w:cs="Calibri"/>
                <w:sz w:val="18"/>
                <w:szCs w:val="18"/>
                <w:lang w:eastAsia="fr-FR"/>
              </w:rPr>
              <w:t>Collecte et envoi des déchets dans un centre spécialisé dans le traitement des déchets</w:t>
            </w:r>
          </w:p>
        </w:tc>
        <w:tc>
          <w:tcPr>
            <w:tcW w:w="0" w:type="auto"/>
            <w:tcBorders>
              <w:top w:val="nil"/>
              <w:left w:val="nil"/>
              <w:bottom w:val="single" w:sz="4" w:space="0" w:color="auto"/>
              <w:right w:val="single" w:sz="4" w:space="0" w:color="auto"/>
            </w:tcBorders>
            <w:shd w:val="clear" w:color="auto" w:fill="auto"/>
            <w:vAlign w:val="center"/>
            <w:hideMark/>
          </w:tcPr>
          <w:p w14:paraId="0DCD7411" w14:textId="77777777" w:rsidR="00FD3415" w:rsidRPr="00AB1E0E" w:rsidRDefault="00FD3415" w:rsidP="004B6E62">
            <w:pPr>
              <w:rPr>
                <w:rFonts w:cs="Calibri"/>
                <w:sz w:val="18"/>
                <w:szCs w:val="18"/>
                <w:lang w:eastAsia="fr-FR"/>
              </w:rPr>
            </w:pPr>
            <w:r w:rsidRPr="00AB1E0E">
              <w:rPr>
                <w:rFonts w:cs="Calibri"/>
                <w:sz w:val="18"/>
                <w:szCs w:val="18"/>
                <w:lang w:eastAsia="fr-FR"/>
              </w:rPr>
              <w:t>Volume de déchets collectés et envoyés</w:t>
            </w:r>
          </w:p>
        </w:tc>
        <w:tc>
          <w:tcPr>
            <w:tcW w:w="0" w:type="auto"/>
            <w:tcBorders>
              <w:top w:val="nil"/>
              <w:left w:val="nil"/>
              <w:bottom w:val="single" w:sz="4" w:space="0" w:color="auto"/>
              <w:right w:val="single" w:sz="4" w:space="0" w:color="auto"/>
            </w:tcBorders>
            <w:shd w:val="clear" w:color="auto" w:fill="auto"/>
            <w:vAlign w:val="center"/>
            <w:hideMark/>
          </w:tcPr>
          <w:p w14:paraId="1DEA624E" w14:textId="77777777" w:rsidR="00FD3415" w:rsidRPr="00AB1E0E" w:rsidRDefault="00FD3415" w:rsidP="004B6E62">
            <w:pPr>
              <w:rPr>
                <w:rFonts w:cs="Calibri"/>
                <w:sz w:val="18"/>
                <w:szCs w:val="18"/>
                <w:lang w:eastAsia="fr-FR"/>
              </w:rPr>
            </w:pPr>
            <w:r w:rsidRPr="00AB1E0E">
              <w:rPr>
                <w:rFonts w:cs="Calibri"/>
                <w:sz w:val="18"/>
                <w:szCs w:val="18"/>
                <w:lang w:eastAsia="fr-FR"/>
              </w:rPr>
              <w:t>Mesure</w:t>
            </w:r>
          </w:p>
        </w:tc>
        <w:tc>
          <w:tcPr>
            <w:tcW w:w="1897" w:type="dxa"/>
            <w:tcBorders>
              <w:top w:val="nil"/>
              <w:left w:val="nil"/>
              <w:bottom w:val="single" w:sz="4" w:space="0" w:color="auto"/>
              <w:right w:val="single" w:sz="4" w:space="0" w:color="auto"/>
            </w:tcBorders>
            <w:shd w:val="clear" w:color="auto" w:fill="auto"/>
            <w:vAlign w:val="center"/>
            <w:hideMark/>
          </w:tcPr>
          <w:p w14:paraId="43CA11AB" w14:textId="77777777" w:rsidR="00FD3415" w:rsidRPr="00AB1E0E" w:rsidRDefault="00FD3415" w:rsidP="004B6E62">
            <w:pPr>
              <w:rPr>
                <w:rFonts w:cs="Calibri"/>
                <w:sz w:val="18"/>
                <w:szCs w:val="18"/>
                <w:lang w:eastAsia="fr-FR"/>
              </w:rPr>
            </w:pPr>
            <w:r w:rsidRPr="00AB1E0E">
              <w:rPr>
                <w:rFonts w:cs="Calibri"/>
                <w:sz w:val="18"/>
                <w:szCs w:val="18"/>
                <w:lang w:eastAsia="fr-FR"/>
              </w:rPr>
              <w:t>Fin des travaux</w:t>
            </w:r>
          </w:p>
        </w:tc>
        <w:tc>
          <w:tcPr>
            <w:tcW w:w="2054" w:type="dxa"/>
            <w:tcBorders>
              <w:top w:val="nil"/>
              <w:left w:val="nil"/>
              <w:bottom w:val="single" w:sz="4" w:space="0" w:color="auto"/>
              <w:right w:val="single" w:sz="4" w:space="0" w:color="auto"/>
            </w:tcBorders>
            <w:shd w:val="clear" w:color="auto" w:fill="auto"/>
            <w:vAlign w:val="center"/>
            <w:hideMark/>
          </w:tcPr>
          <w:p w14:paraId="3A14A3F7" w14:textId="77777777" w:rsidR="00FD3415" w:rsidRPr="00AB1E0E" w:rsidRDefault="00FD3415" w:rsidP="004B6E62">
            <w:pPr>
              <w:rPr>
                <w:rFonts w:cs="Calibri"/>
                <w:sz w:val="18"/>
                <w:szCs w:val="18"/>
                <w:lang w:eastAsia="fr-FR"/>
              </w:rPr>
            </w:pPr>
            <w:r w:rsidRPr="00AB1E0E">
              <w:rPr>
                <w:rFonts w:cs="Calibri"/>
                <w:sz w:val="18"/>
                <w:szCs w:val="18"/>
                <w:lang w:eastAsia="fr-FR"/>
              </w:rPr>
              <w:t>Projet/ Exploitant</w:t>
            </w:r>
          </w:p>
        </w:tc>
        <w:tc>
          <w:tcPr>
            <w:tcW w:w="1123" w:type="dxa"/>
            <w:tcBorders>
              <w:top w:val="nil"/>
              <w:left w:val="nil"/>
              <w:bottom w:val="single" w:sz="4" w:space="0" w:color="auto"/>
              <w:right w:val="single" w:sz="4" w:space="0" w:color="auto"/>
            </w:tcBorders>
            <w:shd w:val="clear" w:color="auto" w:fill="auto"/>
            <w:vAlign w:val="center"/>
            <w:hideMark/>
          </w:tcPr>
          <w:p w14:paraId="44E30236" w14:textId="77777777" w:rsidR="00FD3415" w:rsidRPr="00AB1E0E" w:rsidRDefault="00FD3415" w:rsidP="004B6E62">
            <w:pPr>
              <w:rPr>
                <w:rFonts w:cs="Calibri"/>
                <w:sz w:val="18"/>
                <w:szCs w:val="18"/>
                <w:lang w:eastAsia="fr-FR"/>
              </w:rPr>
            </w:pPr>
            <w:r w:rsidRPr="00AB1E0E">
              <w:rPr>
                <w:rFonts w:cs="Calibri"/>
                <w:sz w:val="18"/>
                <w:szCs w:val="18"/>
                <w:lang w:eastAsia="fr-FR"/>
              </w:rPr>
              <w:t>MEH, BM</w:t>
            </w:r>
          </w:p>
        </w:tc>
      </w:tr>
      <w:tr w:rsidR="00FD3415" w:rsidRPr="00AB1E0E" w14:paraId="28EDAFB2" w14:textId="77777777" w:rsidTr="00AE406E">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DA264B" w14:textId="77777777" w:rsidR="00FD3415" w:rsidRPr="00AB1E0E" w:rsidRDefault="00FD3415" w:rsidP="004B6E62">
            <w:pPr>
              <w:rPr>
                <w:rFonts w:cs="Calibri"/>
                <w:sz w:val="18"/>
                <w:szCs w:val="18"/>
                <w:lang w:eastAsia="fr-FR"/>
              </w:rPr>
            </w:pPr>
            <w:r w:rsidRPr="00AB1E0E">
              <w:rPr>
                <w:rFonts w:cs="Calibri"/>
                <w:sz w:val="18"/>
                <w:szCs w:val="18"/>
                <w:lang w:eastAsia="fr-FR"/>
              </w:rPr>
              <w:t>Perte d'emploi</w:t>
            </w:r>
          </w:p>
        </w:tc>
        <w:tc>
          <w:tcPr>
            <w:tcW w:w="0" w:type="auto"/>
            <w:tcBorders>
              <w:top w:val="nil"/>
              <w:left w:val="nil"/>
              <w:bottom w:val="single" w:sz="4" w:space="0" w:color="auto"/>
              <w:right w:val="single" w:sz="4" w:space="0" w:color="auto"/>
            </w:tcBorders>
            <w:shd w:val="clear" w:color="auto" w:fill="auto"/>
            <w:vAlign w:val="center"/>
            <w:hideMark/>
          </w:tcPr>
          <w:p w14:paraId="3AFBF0C6" w14:textId="77777777" w:rsidR="00FD3415" w:rsidRPr="00AB1E0E" w:rsidRDefault="00FD3415" w:rsidP="004B6E62">
            <w:pPr>
              <w:rPr>
                <w:rFonts w:cs="Calibri"/>
                <w:sz w:val="18"/>
                <w:szCs w:val="18"/>
                <w:lang w:eastAsia="fr-FR"/>
              </w:rPr>
            </w:pPr>
            <w:r w:rsidRPr="00AB1E0E">
              <w:rPr>
                <w:rFonts w:cs="Calibri"/>
                <w:sz w:val="18"/>
                <w:szCs w:val="18"/>
                <w:lang w:eastAsia="fr-FR"/>
              </w:rPr>
              <w:t>Respect et application des textes sur l'emploi en vigueur dans le pays</w:t>
            </w:r>
          </w:p>
        </w:tc>
        <w:tc>
          <w:tcPr>
            <w:tcW w:w="0" w:type="auto"/>
            <w:tcBorders>
              <w:top w:val="nil"/>
              <w:left w:val="nil"/>
              <w:bottom w:val="single" w:sz="4" w:space="0" w:color="auto"/>
              <w:right w:val="single" w:sz="4" w:space="0" w:color="auto"/>
            </w:tcBorders>
            <w:shd w:val="clear" w:color="auto" w:fill="auto"/>
            <w:vAlign w:val="center"/>
            <w:hideMark/>
          </w:tcPr>
          <w:p w14:paraId="6E50BA7D" w14:textId="77777777" w:rsidR="00FD3415" w:rsidRPr="00AB1E0E" w:rsidRDefault="00FD3415" w:rsidP="004B6E62">
            <w:pPr>
              <w:rPr>
                <w:rFonts w:cs="Calibri"/>
                <w:sz w:val="18"/>
                <w:szCs w:val="18"/>
                <w:lang w:eastAsia="fr-FR"/>
              </w:rPr>
            </w:pPr>
            <w:r w:rsidRPr="00AB1E0E">
              <w:rPr>
                <w:rFonts w:cs="Calibri"/>
                <w:sz w:val="18"/>
                <w:szCs w:val="18"/>
                <w:lang w:eastAsia="fr-FR"/>
              </w:rPr>
              <w:t>Nombre d'employés en fin de contrat</w:t>
            </w:r>
          </w:p>
        </w:tc>
        <w:tc>
          <w:tcPr>
            <w:tcW w:w="0" w:type="auto"/>
            <w:tcBorders>
              <w:top w:val="nil"/>
              <w:left w:val="nil"/>
              <w:bottom w:val="single" w:sz="4" w:space="0" w:color="auto"/>
              <w:right w:val="single" w:sz="4" w:space="0" w:color="auto"/>
            </w:tcBorders>
            <w:shd w:val="clear" w:color="auto" w:fill="auto"/>
            <w:vAlign w:val="center"/>
            <w:hideMark/>
          </w:tcPr>
          <w:p w14:paraId="2A0F3018" w14:textId="77777777" w:rsidR="00FD3415" w:rsidRPr="00AB1E0E" w:rsidRDefault="00FD3415" w:rsidP="004B6E62">
            <w:pPr>
              <w:rPr>
                <w:rFonts w:cs="Calibri"/>
                <w:sz w:val="18"/>
                <w:szCs w:val="18"/>
                <w:lang w:eastAsia="fr-FR"/>
              </w:rPr>
            </w:pPr>
            <w:r w:rsidRPr="00AB1E0E">
              <w:rPr>
                <w:rFonts w:cs="Calibri"/>
                <w:sz w:val="18"/>
                <w:szCs w:val="18"/>
                <w:lang w:eastAsia="fr-FR"/>
              </w:rPr>
              <w:t>Comptage</w:t>
            </w:r>
          </w:p>
        </w:tc>
        <w:tc>
          <w:tcPr>
            <w:tcW w:w="1897" w:type="dxa"/>
            <w:tcBorders>
              <w:top w:val="nil"/>
              <w:left w:val="nil"/>
              <w:bottom w:val="single" w:sz="4" w:space="0" w:color="auto"/>
              <w:right w:val="single" w:sz="4" w:space="0" w:color="auto"/>
            </w:tcBorders>
            <w:shd w:val="clear" w:color="auto" w:fill="auto"/>
            <w:vAlign w:val="center"/>
            <w:hideMark/>
          </w:tcPr>
          <w:p w14:paraId="23B4C4BD" w14:textId="77777777" w:rsidR="00FD3415" w:rsidRPr="00AB1E0E" w:rsidRDefault="00FD3415" w:rsidP="004B6E62">
            <w:pPr>
              <w:rPr>
                <w:rFonts w:cs="Calibri"/>
                <w:sz w:val="18"/>
                <w:szCs w:val="18"/>
                <w:lang w:eastAsia="fr-FR"/>
              </w:rPr>
            </w:pPr>
            <w:r w:rsidRPr="00AB1E0E">
              <w:rPr>
                <w:rFonts w:cs="Calibri"/>
                <w:sz w:val="18"/>
                <w:szCs w:val="18"/>
                <w:lang w:eastAsia="fr-FR"/>
              </w:rPr>
              <w:t>Fin des travaux</w:t>
            </w:r>
          </w:p>
        </w:tc>
        <w:tc>
          <w:tcPr>
            <w:tcW w:w="2054" w:type="dxa"/>
            <w:tcBorders>
              <w:top w:val="nil"/>
              <w:left w:val="nil"/>
              <w:bottom w:val="single" w:sz="4" w:space="0" w:color="auto"/>
              <w:right w:val="single" w:sz="4" w:space="0" w:color="auto"/>
            </w:tcBorders>
            <w:shd w:val="clear" w:color="auto" w:fill="auto"/>
            <w:vAlign w:val="center"/>
            <w:hideMark/>
          </w:tcPr>
          <w:p w14:paraId="68EC4D17" w14:textId="77777777" w:rsidR="00FD3415" w:rsidRPr="00AB1E0E" w:rsidRDefault="00FD3415" w:rsidP="004B6E62">
            <w:pPr>
              <w:rPr>
                <w:rFonts w:cs="Calibri"/>
                <w:sz w:val="18"/>
                <w:szCs w:val="18"/>
                <w:lang w:eastAsia="fr-FR"/>
              </w:rPr>
            </w:pPr>
            <w:r w:rsidRPr="00AB1E0E">
              <w:rPr>
                <w:rFonts w:cs="Calibri"/>
                <w:sz w:val="18"/>
                <w:szCs w:val="18"/>
                <w:lang w:eastAsia="fr-FR"/>
              </w:rPr>
              <w:t>Projet/ Exploitant</w:t>
            </w:r>
          </w:p>
        </w:tc>
        <w:tc>
          <w:tcPr>
            <w:tcW w:w="1123" w:type="dxa"/>
            <w:tcBorders>
              <w:top w:val="nil"/>
              <w:left w:val="nil"/>
              <w:bottom w:val="single" w:sz="4" w:space="0" w:color="auto"/>
              <w:right w:val="single" w:sz="4" w:space="0" w:color="auto"/>
            </w:tcBorders>
            <w:shd w:val="clear" w:color="auto" w:fill="auto"/>
            <w:vAlign w:val="center"/>
            <w:hideMark/>
          </w:tcPr>
          <w:p w14:paraId="4C5661AB" w14:textId="77777777" w:rsidR="00FD3415" w:rsidRPr="00AB1E0E" w:rsidRDefault="00FD3415" w:rsidP="004B6E62">
            <w:pPr>
              <w:rPr>
                <w:rFonts w:cs="Calibri"/>
                <w:sz w:val="18"/>
                <w:szCs w:val="18"/>
                <w:lang w:eastAsia="fr-FR"/>
              </w:rPr>
            </w:pPr>
            <w:r w:rsidRPr="00AB1E0E">
              <w:rPr>
                <w:rFonts w:cs="Calibri"/>
                <w:sz w:val="18"/>
                <w:szCs w:val="18"/>
                <w:lang w:eastAsia="fr-FR"/>
              </w:rPr>
              <w:t>MEH, BM</w:t>
            </w:r>
          </w:p>
        </w:tc>
      </w:tr>
      <w:tr w:rsidR="00FD3415" w:rsidRPr="001C5508" w14:paraId="722A7A51" w14:textId="77777777" w:rsidTr="00AE406E">
        <w:trPr>
          <w:trHeight w:val="480"/>
        </w:trPr>
        <w:tc>
          <w:tcPr>
            <w:tcW w:w="0" w:type="auto"/>
            <w:tcBorders>
              <w:top w:val="nil"/>
              <w:left w:val="single" w:sz="4" w:space="0" w:color="auto"/>
              <w:bottom w:val="nil"/>
              <w:right w:val="single" w:sz="4" w:space="0" w:color="auto"/>
            </w:tcBorders>
            <w:shd w:val="clear" w:color="auto" w:fill="auto"/>
            <w:vAlign w:val="center"/>
            <w:hideMark/>
          </w:tcPr>
          <w:p w14:paraId="4179F995" w14:textId="77777777" w:rsidR="00FD3415" w:rsidRPr="00AB1E0E" w:rsidRDefault="00FD3415" w:rsidP="004B6E62">
            <w:pPr>
              <w:rPr>
                <w:rFonts w:cs="Calibri"/>
                <w:sz w:val="18"/>
                <w:szCs w:val="18"/>
                <w:lang w:eastAsia="fr-FR"/>
              </w:rPr>
            </w:pPr>
            <w:r w:rsidRPr="00AB1E0E">
              <w:rPr>
                <w:rFonts w:cs="Calibri"/>
                <w:sz w:val="18"/>
                <w:szCs w:val="18"/>
                <w:lang w:eastAsia="fr-FR"/>
              </w:rPr>
              <w:t>Perturbation de la circulation</w:t>
            </w:r>
          </w:p>
        </w:tc>
        <w:tc>
          <w:tcPr>
            <w:tcW w:w="0" w:type="auto"/>
            <w:tcBorders>
              <w:top w:val="nil"/>
              <w:left w:val="nil"/>
              <w:bottom w:val="nil"/>
              <w:right w:val="single" w:sz="4" w:space="0" w:color="auto"/>
            </w:tcBorders>
            <w:shd w:val="clear" w:color="auto" w:fill="auto"/>
            <w:vAlign w:val="center"/>
            <w:hideMark/>
          </w:tcPr>
          <w:p w14:paraId="7F68B2A0" w14:textId="77777777" w:rsidR="00FD3415" w:rsidRPr="00AB1E0E" w:rsidRDefault="00FD3415" w:rsidP="004B6E62">
            <w:pPr>
              <w:rPr>
                <w:rFonts w:cs="Calibri"/>
                <w:sz w:val="18"/>
                <w:szCs w:val="18"/>
                <w:lang w:eastAsia="fr-FR"/>
              </w:rPr>
            </w:pPr>
            <w:r w:rsidRPr="00AB1E0E">
              <w:rPr>
                <w:rFonts w:cs="Calibri"/>
                <w:sz w:val="18"/>
                <w:szCs w:val="18"/>
                <w:lang w:eastAsia="fr-FR"/>
              </w:rPr>
              <w:t>Respect du code de la route. </w:t>
            </w:r>
          </w:p>
        </w:tc>
        <w:tc>
          <w:tcPr>
            <w:tcW w:w="0" w:type="auto"/>
            <w:tcBorders>
              <w:top w:val="nil"/>
              <w:left w:val="nil"/>
              <w:bottom w:val="nil"/>
              <w:right w:val="single" w:sz="4" w:space="0" w:color="auto"/>
            </w:tcBorders>
            <w:shd w:val="clear" w:color="auto" w:fill="auto"/>
            <w:vAlign w:val="center"/>
            <w:hideMark/>
          </w:tcPr>
          <w:p w14:paraId="6E999ABC" w14:textId="77777777" w:rsidR="00FD3415" w:rsidRPr="00AB1E0E" w:rsidRDefault="00FD3415" w:rsidP="004B6E62">
            <w:pPr>
              <w:rPr>
                <w:rFonts w:cs="Calibri"/>
                <w:sz w:val="18"/>
                <w:szCs w:val="18"/>
                <w:lang w:eastAsia="fr-FR"/>
              </w:rPr>
            </w:pPr>
            <w:r w:rsidRPr="00AB1E0E">
              <w:rPr>
                <w:rFonts w:cs="Calibri"/>
                <w:sz w:val="18"/>
                <w:szCs w:val="18"/>
                <w:lang w:eastAsia="fr-FR"/>
              </w:rPr>
              <w:t>Nombre d'accident</w:t>
            </w:r>
          </w:p>
        </w:tc>
        <w:tc>
          <w:tcPr>
            <w:tcW w:w="0" w:type="auto"/>
            <w:tcBorders>
              <w:top w:val="nil"/>
              <w:left w:val="nil"/>
              <w:bottom w:val="nil"/>
              <w:right w:val="single" w:sz="4" w:space="0" w:color="auto"/>
            </w:tcBorders>
            <w:shd w:val="clear" w:color="auto" w:fill="auto"/>
            <w:vAlign w:val="center"/>
            <w:hideMark/>
          </w:tcPr>
          <w:p w14:paraId="15D20CD2" w14:textId="77777777" w:rsidR="00FD3415" w:rsidRPr="00AB1E0E" w:rsidRDefault="00FD3415" w:rsidP="004B6E62">
            <w:pPr>
              <w:rPr>
                <w:rFonts w:cs="Calibri"/>
                <w:sz w:val="18"/>
                <w:szCs w:val="18"/>
                <w:lang w:eastAsia="fr-FR"/>
              </w:rPr>
            </w:pPr>
            <w:r w:rsidRPr="00AB1E0E">
              <w:rPr>
                <w:rFonts w:cs="Calibri"/>
                <w:sz w:val="18"/>
                <w:szCs w:val="18"/>
                <w:lang w:eastAsia="fr-FR"/>
              </w:rPr>
              <w:t>Comptage</w:t>
            </w:r>
          </w:p>
        </w:tc>
        <w:tc>
          <w:tcPr>
            <w:tcW w:w="1897" w:type="dxa"/>
            <w:tcBorders>
              <w:top w:val="nil"/>
              <w:left w:val="nil"/>
              <w:bottom w:val="nil"/>
              <w:right w:val="single" w:sz="4" w:space="0" w:color="auto"/>
            </w:tcBorders>
            <w:shd w:val="clear" w:color="auto" w:fill="auto"/>
            <w:vAlign w:val="center"/>
            <w:hideMark/>
          </w:tcPr>
          <w:p w14:paraId="364284C5" w14:textId="77777777" w:rsidR="00FD3415" w:rsidRPr="00AB1E0E" w:rsidRDefault="00FD3415" w:rsidP="004B6E62">
            <w:pPr>
              <w:rPr>
                <w:rFonts w:cs="Calibri"/>
                <w:sz w:val="18"/>
                <w:szCs w:val="18"/>
                <w:lang w:eastAsia="fr-FR"/>
              </w:rPr>
            </w:pPr>
            <w:r w:rsidRPr="00AB1E0E">
              <w:rPr>
                <w:rFonts w:cs="Calibri"/>
                <w:sz w:val="18"/>
                <w:szCs w:val="18"/>
                <w:lang w:eastAsia="fr-FR"/>
              </w:rPr>
              <w:t>Fin des travaux</w:t>
            </w:r>
          </w:p>
        </w:tc>
        <w:tc>
          <w:tcPr>
            <w:tcW w:w="2054" w:type="dxa"/>
            <w:tcBorders>
              <w:top w:val="nil"/>
              <w:left w:val="nil"/>
              <w:bottom w:val="nil"/>
              <w:right w:val="single" w:sz="4" w:space="0" w:color="auto"/>
            </w:tcBorders>
            <w:shd w:val="clear" w:color="auto" w:fill="auto"/>
            <w:vAlign w:val="center"/>
            <w:hideMark/>
          </w:tcPr>
          <w:p w14:paraId="30EC410D" w14:textId="77777777" w:rsidR="00FD3415" w:rsidRPr="00AB1E0E" w:rsidRDefault="00FD3415" w:rsidP="004B6E62">
            <w:pPr>
              <w:rPr>
                <w:rFonts w:cs="Calibri"/>
                <w:sz w:val="18"/>
                <w:szCs w:val="18"/>
                <w:lang w:eastAsia="fr-FR"/>
              </w:rPr>
            </w:pPr>
            <w:r w:rsidRPr="00AB1E0E">
              <w:rPr>
                <w:rFonts w:cs="Calibri"/>
                <w:sz w:val="18"/>
                <w:szCs w:val="18"/>
                <w:lang w:eastAsia="fr-FR"/>
              </w:rPr>
              <w:t>Projet/ Exploitant</w:t>
            </w:r>
          </w:p>
        </w:tc>
        <w:tc>
          <w:tcPr>
            <w:tcW w:w="1123" w:type="dxa"/>
            <w:tcBorders>
              <w:top w:val="nil"/>
              <w:left w:val="nil"/>
              <w:bottom w:val="nil"/>
              <w:right w:val="single" w:sz="4" w:space="0" w:color="auto"/>
            </w:tcBorders>
            <w:shd w:val="clear" w:color="auto" w:fill="auto"/>
            <w:vAlign w:val="center"/>
            <w:hideMark/>
          </w:tcPr>
          <w:p w14:paraId="72884E23" w14:textId="77777777" w:rsidR="00FD3415" w:rsidRPr="00AB1E0E" w:rsidRDefault="00FD3415" w:rsidP="004B6E62">
            <w:pPr>
              <w:rPr>
                <w:rFonts w:cs="Calibri"/>
                <w:sz w:val="18"/>
                <w:szCs w:val="18"/>
                <w:lang w:eastAsia="fr-FR"/>
              </w:rPr>
            </w:pPr>
            <w:r w:rsidRPr="00AB1E0E">
              <w:rPr>
                <w:rFonts w:cs="Calibri"/>
                <w:sz w:val="18"/>
                <w:szCs w:val="18"/>
                <w:lang w:eastAsia="fr-FR"/>
              </w:rPr>
              <w:t>MEH, BM</w:t>
            </w:r>
          </w:p>
        </w:tc>
      </w:tr>
    </w:tbl>
    <w:p w14:paraId="62A35AF4" w14:textId="77777777" w:rsidR="00713368" w:rsidRDefault="00713368" w:rsidP="00CF326F">
      <w:pPr>
        <w:jc w:val="both"/>
        <w:rPr>
          <w:rFonts w:ascii="Arial" w:hAnsi="Arial" w:cs="Arial"/>
        </w:rPr>
        <w:sectPr w:rsidR="00713368" w:rsidSect="008C024E">
          <w:pgSz w:w="16838" w:h="11906" w:orient="landscape"/>
          <w:pgMar w:top="1418" w:right="1418" w:bottom="1418" w:left="1418" w:header="709" w:footer="0" w:gutter="0"/>
          <w:cols w:space="720"/>
          <w:formProt w:val="0"/>
          <w:docGrid w:linePitch="360" w:charSpace="4096"/>
        </w:sectPr>
      </w:pPr>
    </w:p>
    <w:p w14:paraId="2FE52147" w14:textId="77777777" w:rsidR="003E32E9" w:rsidRPr="007F78CE" w:rsidRDefault="00C261A6" w:rsidP="0044500E">
      <w:pPr>
        <w:pStyle w:val="TIT2"/>
        <w:numPr>
          <w:ilvl w:val="1"/>
          <w:numId w:val="177"/>
        </w:numPr>
      </w:pPr>
      <w:bookmarkStart w:id="1527" w:name="_Toc124314806"/>
      <w:bookmarkStart w:id="1528" w:name="_Toc124956343"/>
      <w:bookmarkStart w:id="1529" w:name="_Toc125384690"/>
      <w:bookmarkStart w:id="1530" w:name="_Toc125385079"/>
      <w:bookmarkStart w:id="1531" w:name="_Toc127957747"/>
      <w:r w:rsidRPr="007F78CE">
        <w:t>Entités en charge de la mise en œuvre d</w:t>
      </w:r>
      <w:r w:rsidR="00A5463A">
        <w:t>u</w:t>
      </w:r>
      <w:r w:rsidRPr="007F78CE">
        <w:t xml:space="preserve"> suivi environnemental et social</w:t>
      </w:r>
      <w:bookmarkEnd w:id="1527"/>
      <w:bookmarkEnd w:id="1528"/>
      <w:bookmarkEnd w:id="1529"/>
      <w:bookmarkEnd w:id="1530"/>
      <w:bookmarkEnd w:id="1531"/>
    </w:p>
    <w:p w14:paraId="043A6415" w14:textId="77777777" w:rsidR="00D73180" w:rsidRPr="002C6EE9" w:rsidRDefault="00D73180" w:rsidP="00D73180">
      <w:pPr>
        <w:jc w:val="both"/>
        <w:rPr>
          <w:rFonts w:ascii="Arial" w:hAnsi="Arial" w:cs="Arial"/>
        </w:rPr>
      </w:pPr>
      <w:r w:rsidRPr="002C6EE9">
        <w:rPr>
          <w:rFonts w:ascii="Arial" w:hAnsi="Arial" w:cs="Arial"/>
        </w:rPr>
        <w:t xml:space="preserve">Les activités de suivi et de surveillance environnementale et sociale sont des activités </w:t>
      </w:r>
      <w:r w:rsidR="008627F7">
        <w:rPr>
          <w:rFonts w:ascii="Arial" w:hAnsi="Arial" w:cs="Arial"/>
        </w:rPr>
        <w:t>opérationnelles</w:t>
      </w:r>
      <w:r w:rsidRPr="002C6EE9">
        <w:rPr>
          <w:rFonts w:ascii="Arial" w:hAnsi="Arial" w:cs="Arial"/>
        </w:rPr>
        <w:t xml:space="preserve"> devant être exécutées par les acteurs de mise en œuvre, dont il importe de bien préciser leurs rôles et responsabilités. D’où l’importance de cette clarification dans le cadre de la mise en œuvre du CGES</w:t>
      </w:r>
      <w:r w:rsidR="00C33C68">
        <w:rPr>
          <w:rFonts w:ascii="Arial" w:hAnsi="Arial" w:cs="Arial"/>
        </w:rPr>
        <w:t xml:space="preserve"> est à</w:t>
      </w:r>
      <w:r w:rsidR="00534F94">
        <w:rPr>
          <w:rFonts w:ascii="Arial" w:hAnsi="Arial" w:cs="Arial"/>
        </w:rPr>
        <w:t xml:space="preserve"> </w:t>
      </w:r>
      <w:r w:rsidR="00C33C68">
        <w:rPr>
          <w:rFonts w:ascii="Arial" w:hAnsi="Arial" w:cs="Arial"/>
        </w:rPr>
        <w:t>mettre en exergue</w:t>
      </w:r>
      <w:r w:rsidRPr="002C6EE9">
        <w:rPr>
          <w:rFonts w:ascii="Arial" w:hAnsi="Arial" w:cs="Arial"/>
        </w:rPr>
        <w:t>.</w:t>
      </w:r>
    </w:p>
    <w:p w14:paraId="4F1E3173" w14:textId="77777777" w:rsidR="00D73180" w:rsidRPr="002C6EE9" w:rsidRDefault="00D73180" w:rsidP="00D73180">
      <w:pPr>
        <w:jc w:val="both"/>
        <w:rPr>
          <w:rFonts w:ascii="Arial" w:hAnsi="Arial" w:cs="Arial"/>
        </w:rPr>
      </w:pPr>
      <w:r w:rsidRPr="002C6EE9">
        <w:rPr>
          <w:rFonts w:ascii="Arial" w:hAnsi="Arial" w:cs="Arial"/>
        </w:rPr>
        <w:t xml:space="preserve">La surveillance est une activité à entreprendre de manière permanente par l’Entreprise en charge des travaux, et qui sera bien évidemment à assurer contractuellement par le Bureau de contrôle des travaux. Le responsable de la gestion E&amp;S, respectif de l’Entreprise et du Bureau de contrôle assurent cette fonction durant toute la phase d’exécution du Projet. Les autorités locales, à savoir la Commune et le Fokontany </w:t>
      </w:r>
      <w:r w:rsidR="00A5463A">
        <w:rPr>
          <w:rFonts w:ascii="Arial" w:hAnsi="Arial" w:cs="Arial"/>
        </w:rPr>
        <w:t xml:space="preserve">concernés </w:t>
      </w:r>
      <w:r w:rsidRPr="002C6EE9">
        <w:rPr>
          <w:rFonts w:ascii="Arial" w:hAnsi="Arial" w:cs="Arial"/>
        </w:rPr>
        <w:t xml:space="preserve">ont également le droit de procéder à la surveillance des effets des interventions de l’Entreprise, notamment lorsqu’il s’agit des actions susceptibles de porter atteinte à la vie communautaire. </w:t>
      </w:r>
    </w:p>
    <w:p w14:paraId="545BEEFB" w14:textId="77777777" w:rsidR="00D73180" w:rsidRPr="002C6EE9" w:rsidRDefault="00D73180" w:rsidP="00D73180">
      <w:pPr>
        <w:jc w:val="both"/>
        <w:rPr>
          <w:rFonts w:ascii="Arial" w:hAnsi="Arial" w:cs="Arial"/>
        </w:rPr>
      </w:pPr>
      <w:r w:rsidRPr="002C6EE9">
        <w:rPr>
          <w:rFonts w:ascii="Arial" w:hAnsi="Arial" w:cs="Arial"/>
        </w:rPr>
        <w:t xml:space="preserve">Quant au suivi, plusieurs acteurs interviennent pour sa réalisation. D’abord, la mission de suivi environnemental revient au Ministère en charge de l’Environnement, représenté par la Direction régionale, au niveau de chaque région. Concernant les aspects sociaux, les Ministères des secteurs suivants doivent assurer le suivi de l’application des mesures : </w:t>
      </w:r>
    </w:p>
    <w:p w14:paraId="65EBE3BB" w14:textId="77777777" w:rsidR="00D73180" w:rsidRDefault="00D73180" w:rsidP="0044500E">
      <w:pPr>
        <w:pStyle w:val="Paragraphedeliste"/>
        <w:numPr>
          <w:ilvl w:val="0"/>
          <w:numId w:val="132"/>
        </w:numPr>
        <w:spacing w:after="0" w:line="240" w:lineRule="auto"/>
        <w:jc w:val="both"/>
        <w:rPr>
          <w:rFonts w:ascii="Arial" w:hAnsi="Arial" w:cs="Arial"/>
        </w:rPr>
      </w:pPr>
      <w:r w:rsidRPr="002C6EE9">
        <w:rPr>
          <w:rFonts w:ascii="Arial" w:hAnsi="Arial" w:cs="Arial"/>
        </w:rPr>
        <w:t>Travail et lois sociales : Direction régionale de Travail et Inspection de travail ;</w:t>
      </w:r>
    </w:p>
    <w:p w14:paraId="258C60E4" w14:textId="77777777" w:rsidR="00FD7760" w:rsidRPr="002C6EE9" w:rsidRDefault="00FD7760" w:rsidP="00FD7760">
      <w:pPr>
        <w:pStyle w:val="Paragraphedeliste"/>
        <w:spacing w:after="0" w:line="240" w:lineRule="auto"/>
        <w:jc w:val="both"/>
        <w:rPr>
          <w:rFonts w:ascii="Arial" w:hAnsi="Arial" w:cs="Arial"/>
        </w:rPr>
      </w:pPr>
    </w:p>
    <w:p w14:paraId="156DCA25" w14:textId="77777777" w:rsidR="00D73180" w:rsidRDefault="00D73180" w:rsidP="0044500E">
      <w:pPr>
        <w:pStyle w:val="Paragraphedeliste"/>
        <w:numPr>
          <w:ilvl w:val="0"/>
          <w:numId w:val="132"/>
        </w:numPr>
        <w:spacing w:after="0" w:line="240" w:lineRule="auto"/>
        <w:jc w:val="both"/>
        <w:rPr>
          <w:rFonts w:ascii="Arial" w:hAnsi="Arial" w:cs="Arial"/>
        </w:rPr>
      </w:pPr>
      <w:r w:rsidRPr="002C6EE9">
        <w:rPr>
          <w:rFonts w:ascii="Arial" w:hAnsi="Arial" w:cs="Arial"/>
        </w:rPr>
        <w:t>Santé publique et santé des travailleurs : Direction régionale de la santé ;</w:t>
      </w:r>
    </w:p>
    <w:p w14:paraId="2FF0B393" w14:textId="77777777" w:rsidR="00FD7760" w:rsidRDefault="00FD7760" w:rsidP="00FD7760">
      <w:pPr>
        <w:pStyle w:val="Paragraphedeliste"/>
        <w:rPr>
          <w:rFonts w:ascii="Arial" w:hAnsi="Arial" w:cs="Arial"/>
        </w:rPr>
      </w:pPr>
    </w:p>
    <w:p w14:paraId="4025E8D7" w14:textId="77777777" w:rsidR="00D73180" w:rsidRPr="002C6EE9" w:rsidRDefault="00D73180" w:rsidP="0044500E">
      <w:pPr>
        <w:pStyle w:val="Paragraphedeliste"/>
        <w:numPr>
          <w:ilvl w:val="0"/>
          <w:numId w:val="132"/>
        </w:numPr>
        <w:spacing w:after="0" w:line="240" w:lineRule="auto"/>
        <w:jc w:val="both"/>
        <w:rPr>
          <w:rFonts w:ascii="Arial" w:hAnsi="Arial" w:cs="Arial"/>
        </w:rPr>
      </w:pPr>
      <w:r w:rsidRPr="002C6EE9">
        <w:rPr>
          <w:rFonts w:ascii="Arial" w:hAnsi="Arial" w:cs="Arial"/>
        </w:rPr>
        <w:t>Violences : Direction régionale en charge de la protection sociale, Centre d’écoute et de Conseil Juridique, Réseau de Protection des enfants dans les Régions concernées.</w:t>
      </w:r>
      <w:bookmarkStart w:id="1532" w:name="_Toc95039097"/>
      <w:bookmarkStart w:id="1533" w:name="_Toc52091639"/>
    </w:p>
    <w:p w14:paraId="0962632A" w14:textId="77777777" w:rsidR="00D73180" w:rsidRPr="002C6EE9" w:rsidRDefault="00D73180" w:rsidP="00D73180">
      <w:pPr>
        <w:spacing w:before="120"/>
        <w:jc w:val="both"/>
        <w:rPr>
          <w:rFonts w:ascii="Arial" w:hAnsi="Arial" w:cs="Arial"/>
        </w:rPr>
      </w:pPr>
      <w:r w:rsidRPr="002C6EE9">
        <w:rPr>
          <w:rFonts w:ascii="Arial" w:hAnsi="Arial" w:cs="Arial"/>
        </w:rPr>
        <w:t xml:space="preserve">Concernant le suivi des mesures relatives aux installations des infrastructures proprement dites, le Projet </w:t>
      </w:r>
      <w:r w:rsidR="00CF326F" w:rsidRPr="002C6EE9">
        <w:rPr>
          <w:rFonts w:ascii="Arial" w:hAnsi="Arial" w:cs="Arial"/>
        </w:rPr>
        <w:t>DECIM</w:t>
      </w:r>
      <w:r w:rsidRPr="002C6EE9">
        <w:rPr>
          <w:rFonts w:ascii="Arial" w:hAnsi="Arial" w:cs="Arial"/>
        </w:rPr>
        <w:t>, à travers les points focaux environnementaux et sociaux, assure cette mission.</w:t>
      </w:r>
    </w:p>
    <w:p w14:paraId="1E82FAAE" w14:textId="77777777" w:rsidR="00D73180" w:rsidRPr="002C6EE9" w:rsidRDefault="00D73180" w:rsidP="00D73180">
      <w:pPr>
        <w:jc w:val="both"/>
        <w:rPr>
          <w:rFonts w:ascii="Arial" w:hAnsi="Arial" w:cs="Arial"/>
        </w:rPr>
      </w:pPr>
      <w:r w:rsidRPr="002C6EE9">
        <w:rPr>
          <w:rFonts w:ascii="Arial" w:hAnsi="Arial" w:cs="Arial"/>
        </w:rPr>
        <w:t xml:space="preserve">Le tableau suivant synthétise les responsabilités de chaque entité : </w:t>
      </w:r>
    </w:p>
    <w:p w14:paraId="21D7B66F" w14:textId="77777777" w:rsidR="00D73180" w:rsidRPr="002C6EE9" w:rsidRDefault="00D73180" w:rsidP="00CF326F">
      <w:pPr>
        <w:pStyle w:val="Lgende"/>
        <w:spacing w:before="120"/>
        <w:jc w:val="center"/>
        <w:rPr>
          <w:sz w:val="20"/>
        </w:rPr>
      </w:pPr>
      <w:bookmarkStart w:id="1534" w:name="_Toc121213472"/>
      <w:bookmarkStart w:id="1535" w:name="_Toc127957893"/>
      <w:bookmarkEnd w:id="1532"/>
      <w:bookmarkEnd w:id="1533"/>
      <w:r w:rsidRPr="002C6EE9">
        <w:rPr>
          <w:sz w:val="20"/>
        </w:rPr>
        <w:t xml:space="preserve">Tableau </w:t>
      </w:r>
      <w:r w:rsidRPr="002C6EE9">
        <w:rPr>
          <w:sz w:val="20"/>
        </w:rPr>
        <w:fldChar w:fldCharType="begin"/>
      </w:r>
      <w:r w:rsidRPr="002C6EE9">
        <w:rPr>
          <w:sz w:val="20"/>
        </w:rPr>
        <w:instrText xml:space="preserve"> SEQ Tableau \* ARABIC </w:instrText>
      </w:r>
      <w:r w:rsidRPr="002C6EE9">
        <w:rPr>
          <w:sz w:val="20"/>
        </w:rPr>
        <w:fldChar w:fldCharType="separate"/>
      </w:r>
      <w:r w:rsidR="005430A1">
        <w:rPr>
          <w:noProof/>
          <w:sz w:val="20"/>
        </w:rPr>
        <w:t>97</w:t>
      </w:r>
      <w:r w:rsidRPr="002C6EE9">
        <w:rPr>
          <w:sz w:val="20"/>
        </w:rPr>
        <w:fldChar w:fldCharType="end"/>
      </w:r>
      <w:r w:rsidRPr="002C6EE9">
        <w:rPr>
          <w:sz w:val="20"/>
        </w:rPr>
        <w:t> : Structures étatiques acteurs du suivi et composantes environnementales et sociales</w:t>
      </w:r>
      <w:bookmarkEnd w:id="1534"/>
      <w:bookmarkEnd w:id="1535"/>
    </w:p>
    <w:tbl>
      <w:tblPr>
        <w:tblW w:w="90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624"/>
        <w:gridCol w:w="6436"/>
      </w:tblGrid>
      <w:tr w:rsidR="0063584D" w:rsidRPr="007F78CE" w14:paraId="251517B0" w14:textId="77777777" w:rsidTr="005D6D41">
        <w:trPr>
          <w:tblHeader/>
        </w:trPr>
        <w:tc>
          <w:tcPr>
            <w:tcW w:w="2624" w:type="dxa"/>
            <w:tcBorders>
              <w:top w:val="single" w:sz="4" w:space="0" w:color="FFFFFF"/>
              <w:left w:val="single" w:sz="4" w:space="0" w:color="FFFFFF"/>
              <w:right w:val="nil"/>
            </w:tcBorders>
            <w:shd w:val="clear" w:color="auto" w:fill="4BACC6"/>
            <w:vAlign w:val="center"/>
          </w:tcPr>
          <w:p w14:paraId="6B7E9644" w14:textId="77777777" w:rsidR="00D73180" w:rsidRPr="007F78CE" w:rsidRDefault="00D73180" w:rsidP="007F78CE">
            <w:pPr>
              <w:pStyle w:val="Default"/>
              <w:suppressAutoHyphens/>
              <w:spacing w:before="120" w:after="120"/>
              <w:ind w:left="442"/>
              <w:jc w:val="both"/>
              <w:rPr>
                <w:color w:val="auto"/>
                <w:sz w:val="18"/>
                <w:szCs w:val="18"/>
              </w:rPr>
            </w:pPr>
            <w:r w:rsidRPr="007F78CE">
              <w:rPr>
                <w:b/>
                <w:color w:val="auto"/>
                <w:sz w:val="18"/>
                <w:szCs w:val="18"/>
              </w:rPr>
              <w:t>Institution</w:t>
            </w:r>
          </w:p>
        </w:tc>
        <w:tc>
          <w:tcPr>
            <w:tcW w:w="6436" w:type="dxa"/>
            <w:tcBorders>
              <w:top w:val="single" w:sz="4" w:space="0" w:color="FFFFFF"/>
              <w:left w:val="nil"/>
              <w:right w:val="single" w:sz="4" w:space="0" w:color="FFFFFF"/>
            </w:tcBorders>
            <w:shd w:val="clear" w:color="auto" w:fill="4BACC6"/>
            <w:vAlign w:val="center"/>
          </w:tcPr>
          <w:p w14:paraId="725795A7" w14:textId="77777777" w:rsidR="00D73180" w:rsidRPr="007F78CE" w:rsidRDefault="00D73180" w:rsidP="007F78CE">
            <w:pPr>
              <w:pStyle w:val="Default"/>
              <w:suppressAutoHyphens/>
              <w:spacing w:before="120" w:after="120"/>
              <w:ind w:left="442"/>
              <w:jc w:val="both"/>
              <w:rPr>
                <w:color w:val="auto"/>
                <w:sz w:val="18"/>
                <w:szCs w:val="18"/>
              </w:rPr>
            </w:pPr>
            <w:r w:rsidRPr="007F78CE">
              <w:rPr>
                <w:b/>
                <w:color w:val="auto"/>
                <w:sz w:val="18"/>
                <w:szCs w:val="18"/>
              </w:rPr>
              <w:t>Composantes environnementales et sociales à suivre</w:t>
            </w:r>
          </w:p>
        </w:tc>
      </w:tr>
      <w:tr w:rsidR="0063584D" w:rsidRPr="007F78CE" w14:paraId="64240608" w14:textId="77777777" w:rsidTr="005D6D41">
        <w:tc>
          <w:tcPr>
            <w:tcW w:w="2624" w:type="dxa"/>
            <w:tcBorders>
              <w:left w:val="single" w:sz="4" w:space="0" w:color="FFFFFF"/>
            </w:tcBorders>
            <w:shd w:val="clear" w:color="auto" w:fill="4BACC6"/>
          </w:tcPr>
          <w:p w14:paraId="353A83B2" w14:textId="77777777" w:rsidR="00D73180" w:rsidRPr="007F78CE" w:rsidRDefault="00D73180" w:rsidP="007F78CE">
            <w:pPr>
              <w:pStyle w:val="Default"/>
              <w:suppressAutoHyphens/>
              <w:spacing w:before="120" w:after="120"/>
              <w:jc w:val="both"/>
              <w:rPr>
                <w:bCs/>
                <w:color w:val="auto"/>
                <w:sz w:val="18"/>
                <w:szCs w:val="18"/>
              </w:rPr>
            </w:pPr>
            <w:r w:rsidRPr="007F78CE">
              <w:rPr>
                <w:b/>
                <w:bCs/>
                <w:color w:val="auto"/>
                <w:sz w:val="18"/>
                <w:szCs w:val="18"/>
              </w:rPr>
              <w:t xml:space="preserve">Ministère en charge de l’Environnement </w:t>
            </w:r>
          </w:p>
        </w:tc>
        <w:tc>
          <w:tcPr>
            <w:tcW w:w="6436" w:type="dxa"/>
            <w:shd w:val="clear" w:color="auto" w:fill="B6DDE8"/>
          </w:tcPr>
          <w:p w14:paraId="20DB0574" w14:textId="77777777" w:rsidR="00D73180" w:rsidRPr="007F78CE" w:rsidRDefault="00D73180" w:rsidP="00687DD2">
            <w:pPr>
              <w:pStyle w:val="Default"/>
              <w:numPr>
                <w:ilvl w:val="0"/>
                <w:numId w:val="107"/>
              </w:numPr>
              <w:suppressAutoHyphens/>
              <w:autoSpaceDE/>
              <w:autoSpaceDN/>
              <w:adjustRightInd/>
              <w:spacing w:before="120" w:after="120"/>
              <w:ind w:left="318" w:hanging="284"/>
              <w:jc w:val="both"/>
              <w:rPr>
                <w:b/>
                <w:color w:val="auto"/>
                <w:sz w:val="18"/>
                <w:szCs w:val="18"/>
              </w:rPr>
            </w:pPr>
            <w:r w:rsidRPr="007F78CE">
              <w:rPr>
                <w:color w:val="auto"/>
                <w:sz w:val="18"/>
                <w:szCs w:val="18"/>
              </w:rPr>
              <w:t xml:space="preserve">Pollutions diverses et cadre de vie </w:t>
            </w:r>
          </w:p>
          <w:p w14:paraId="0D6CF90D" w14:textId="77777777" w:rsidR="00D73180" w:rsidRPr="007F78CE" w:rsidRDefault="00D73180" w:rsidP="00687DD2">
            <w:pPr>
              <w:pStyle w:val="Default"/>
              <w:numPr>
                <w:ilvl w:val="0"/>
                <w:numId w:val="107"/>
              </w:numPr>
              <w:suppressAutoHyphens/>
              <w:autoSpaceDE/>
              <w:autoSpaceDN/>
              <w:adjustRightInd/>
              <w:spacing w:before="120" w:after="120"/>
              <w:ind w:left="318" w:hanging="284"/>
              <w:jc w:val="both"/>
              <w:rPr>
                <w:b/>
                <w:color w:val="auto"/>
                <w:sz w:val="18"/>
                <w:szCs w:val="18"/>
              </w:rPr>
            </w:pPr>
            <w:r w:rsidRPr="007F78CE">
              <w:rPr>
                <w:color w:val="auto"/>
                <w:sz w:val="18"/>
                <w:szCs w:val="18"/>
              </w:rPr>
              <w:t>Procédure d’EIES</w:t>
            </w:r>
            <w:r w:rsidR="4A1C1955" w:rsidRPr="4E4A4666">
              <w:rPr>
                <w:color w:val="auto"/>
                <w:sz w:val="18"/>
                <w:szCs w:val="18"/>
              </w:rPr>
              <w:t>/PREE</w:t>
            </w:r>
            <w:r w:rsidRPr="007F78CE">
              <w:rPr>
                <w:color w:val="auto"/>
                <w:sz w:val="18"/>
                <w:szCs w:val="18"/>
              </w:rPr>
              <w:t xml:space="preserve"> et mise en œuvre des PGES </w:t>
            </w:r>
          </w:p>
          <w:p w14:paraId="289B2D42" w14:textId="77777777" w:rsidR="00D73180" w:rsidRPr="007F78CE" w:rsidRDefault="00D73180" w:rsidP="00687DD2">
            <w:pPr>
              <w:pStyle w:val="Default"/>
              <w:numPr>
                <w:ilvl w:val="0"/>
                <w:numId w:val="107"/>
              </w:numPr>
              <w:suppressAutoHyphens/>
              <w:autoSpaceDE/>
              <w:autoSpaceDN/>
              <w:adjustRightInd/>
              <w:spacing w:before="120" w:after="120"/>
              <w:ind w:left="318" w:hanging="284"/>
              <w:jc w:val="both"/>
              <w:rPr>
                <w:b/>
                <w:color w:val="auto"/>
                <w:sz w:val="18"/>
                <w:szCs w:val="18"/>
              </w:rPr>
            </w:pPr>
            <w:r w:rsidRPr="007F78CE">
              <w:rPr>
                <w:color w:val="auto"/>
                <w:sz w:val="18"/>
                <w:szCs w:val="18"/>
              </w:rPr>
              <w:t>Conformité des activités sur l’utilisation des ressources naturelles</w:t>
            </w:r>
          </w:p>
        </w:tc>
      </w:tr>
      <w:tr w:rsidR="0063584D" w:rsidRPr="007F78CE" w14:paraId="3431C843" w14:textId="77777777" w:rsidTr="005D6D41">
        <w:tc>
          <w:tcPr>
            <w:tcW w:w="2624" w:type="dxa"/>
            <w:tcBorders>
              <w:left w:val="single" w:sz="4" w:space="0" w:color="FFFFFF"/>
            </w:tcBorders>
            <w:shd w:val="clear" w:color="auto" w:fill="4BACC6"/>
          </w:tcPr>
          <w:p w14:paraId="55083E91" w14:textId="77777777" w:rsidR="00D73180" w:rsidRPr="007F78CE" w:rsidRDefault="00D73180" w:rsidP="007F78CE">
            <w:pPr>
              <w:pStyle w:val="Default"/>
              <w:suppressAutoHyphens/>
              <w:spacing w:before="120" w:after="120"/>
              <w:jc w:val="both"/>
              <w:rPr>
                <w:bCs/>
                <w:color w:val="auto"/>
                <w:sz w:val="18"/>
                <w:szCs w:val="18"/>
              </w:rPr>
            </w:pPr>
            <w:r w:rsidRPr="007F78CE">
              <w:rPr>
                <w:b/>
                <w:bCs/>
                <w:color w:val="auto"/>
                <w:sz w:val="18"/>
                <w:szCs w:val="18"/>
              </w:rPr>
              <w:t xml:space="preserve">Direction en charge de </w:t>
            </w:r>
            <w:r w:rsidR="00CF326F" w:rsidRPr="007F78CE">
              <w:rPr>
                <w:b/>
                <w:bCs/>
                <w:color w:val="auto"/>
                <w:sz w:val="18"/>
                <w:szCs w:val="18"/>
              </w:rPr>
              <w:t>l’Energie</w:t>
            </w:r>
          </w:p>
        </w:tc>
        <w:tc>
          <w:tcPr>
            <w:tcW w:w="6436" w:type="dxa"/>
            <w:shd w:val="clear" w:color="auto" w:fill="DAEEF3"/>
          </w:tcPr>
          <w:p w14:paraId="38551C77" w14:textId="77777777" w:rsidR="00D73180" w:rsidRPr="007F78CE" w:rsidRDefault="00D73180" w:rsidP="00687DD2">
            <w:pPr>
              <w:pStyle w:val="Default"/>
              <w:numPr>
                <w:ilvl w:val="0"/>
                <w:numId w:val="107"/>
              </w:numPr>
              <w:suppressAutoHyphens/>
              <w:autoSpaceDE/>
              <w:autoSpaceDN/>
              <w:adjustRightInd/>
              <w:spacing w:before="120" w:after="120"/>
              <w:ind w:left="318" w:hanging="284"/>
              <w:jc w:val="both"/>
              <w:rPr>
                <w:b/>
                <w:color w:val="auto"/>
                <w:sz w:val="18"/>
                <w:szCs w:val="18"/>
              </w:rPr>
            </w:pPr>
            <w:r w:rsidRPr="007F78CE">
              <w:rPr>
                <w:color w:val="auto"/>
                <w:sz w:val="18"/>
                <w:szCs w:val="18"/>
              </w:rPr>
              <w:t xml:space="preserve">Normes sur la mise en place des équipements et des installations </w:t>
            </w:r>
          </w:p>
        </w:tc>
      </w:tr>
      <w:tr w:rsidR="0063584D" w:rsidRPr="007F78CE" w14:paraId="7A4FF034" w14:textId="77777777" w:rsidTr="005D6D41">
        <w:tc>
          <w:tcPr>
            <w:tcW w:w="2624" w:type="dxa"/>
            <w:tcBorders>
              <w:left w:val="single" w:sz="4" w:space="0" w:color="FFFFFF"/>
            </w:tcBorders>
            <w:shd w:val="clear" w:color="auto" w:fill="4BACC6"/>
          </w:tcPr>
          <w:p w14:paraId="74DC93AB" w14:textId="77777777" w:rsidR="00CF326F" w:rsidRPr="007F78CE" w:rsidRDefault="00CF326F" w:rsidP="007F78CE">
            <w:pPr>
              <w:pStyle w:val="Default"/>
              <w:suppressAutoHyphens/>
              <w:spacing w:before="120" w:after="120"/>
              <w:jc w:val="both"/>
              <w:rPr>
                <w:bCs/>
                <w:color w:val="auto"/>
                <w:sz w:val="18"/>
                <w:szCs w:val="18"/>
              </w:rPr>
            </w:pPr>
            <w:r w:rsidRPr="007F78CE">
              <w:rPr>
                <w:b/>
                <w:bCs/>
                <w:color w:val="auto"/>
                <w:sz w:val="18"/>
                <w:szCs w:val="18"/>
              </w:rPr>
              <w:t>Direction en charge de la Télécommunication</w:t>
            </w:r>
          </w:p>
        </w:tc>
        <w:tc>
          <w:tcPr>
            <w:tcW w:w="6436" w:type="dxa"/>
            <w:shd w:val="clear" w:color="auto" w:fill="B6DDE8"/>
          </w:tcPr>
          <w:p w14:paraId="4D1A0573" w14:textId="77777777" w:rsidR="00CF326F" w:rsidRPr="007F78CE" w:rsidRDefault="00CF326F" w:rsidP="00687DD2">
            <w:pPr>
              <w:pStyle w:val="Default"/>
              <w:numPr>
                <w:ilvl w:val="0"/>
                <w:numId w:val="107"/>
              </w:numPr>
              <w:suppressAutoHyphens/>
              <w:autoSpaceDE/>
              <w:autoSpaceDN/>
              <w:adjustRightInd/>
              <w:spacing w:before="120" w:after="120"/>
              <w:ind w:left="318" w:hanging="284"/>
              <w:jc w:val="both"/>
              <w:rPr>
                <w:b/>
                <w:color w:val="auto"/>
                <w:sz w:val="18"/>
                <w:szCs w:val="18"/>
              </w:rPr>
            </w:pPr>
            <w:r w:rsidRPr="007F78CE">
              <w:rPr>
                <w:color w:val="auto"/>
                <w:sz w:val="18"/>
                <w:szCs w:val="18"/>
              </w:rPr>
              <w:t xml:space="preserve">Normes sur la mise en place des équipements et des installations </w:t>
            </w:r>
          </w:p>
        </w:tc>
      </w:tr>
      <w:tr w:rsidR="0063584D" w:rsidRPr="007F78CE" w14:paraId="4111AAB4" w14:textId="77777777" w:rsidTr="005D6D41">
        <w:tc>
          <w:tcPr>
            <w:tcW w:w="2624" w:type="dxa"/>
            <w:tcBorders>
              <w:left w:val="single" w:sz="4" w:space="0" w:color="FFFFFF"/>
            </w:tcBorders>
            <w:shd w:val="clear" w:color="auto" w:fill="4BACC6"/>
          </w:tcPr>
          <w:p w14:paraId="67BEFC84" w14:textId="77777777" w:rsidR="00D73180" w:rsidRPr="007F78CE" w:rsidRDefault="00CF326F" w:rsidP="007F78CE">
            <w:pPr>
              <w:pStyle w:val="Default"/>
              <w:suppressAutoHyphens/>
              <w:spacing w:before="120" w:after="120"/>
              <w:jc w:val="both"/>
              <w:rPr>
                <w:bCs/>
                <w:color w:val="auto"/>
                <w:sz w:val="18"/>
                <w:szCs w:val="18"/>
              </w:rPr>
            </w:pPr>
            <w:r w:rsidRPr="007F78CE">
              <w:rPr>
                <w:b/>
                <w:bCs/>
                <w:color w:val="auto"/>
                <w:sz w:val="18"/>
                <w:szCs w:val="18"/>
              </w:rPr>
              <w:t>DECIM</w:t>
            </w:r>
          </w:p>
        </w:tc>
        <w:tc>
          <w:tcPr>
            <w:tcW w:w="6436" w:type="dxa"/>
            <w:shd w:val="clear" w:color="auto" w:fill="DAEEF3"/>
          </w:tcPr>
          <w:p w14:paraId="24EA3716" w14:textId="77777777" w:rsidR="00D73180" w:rsidRPr="007F78CE" w:rsidRDefault="00D73180" w:rsidP="00687DD2">
            <w:pPr>
              <w:pStyle w:val="Default"/>
              <w:numPr>
                <w:ilvl w:val="0"/>
                <w:numId w:val="107"/>
              </w:numPr>
              <w:suppressAutoHyphens/>
              <w:autoSpaceDE/>
              <w:autoSpaceDN/>
              <w:adjustRightInd/>
              <w:spacing w:before="120" w:after="120"/>
              <w:ind w:left="318" w:hanging="284"/>
              <w:jc w:val="both"/>
              <w:rPr>
                <w:b/>
                <w:color w:val="auto"/>
                <w:sz w:val="18"/>
                <w:szCs w:val="18"/>
              </w:rPr>
            </w:pPr>
            <w:r w:rsidRPr="007F78CE">
              <w:rPr>
                <w:color w:val="auto"/>
                <w:sz w:val="18"/>
                <w:szCs w:val="18"/>
              </w:rPr>
              <w:t xml:space="preserve">Application des mesures techniques liées aux infrastructures </w:t>
            </w:r>
          </w:p>
          <w:p w14:paraId="48500662" w14:textId="77777777" w:rsidR="00D73180" w:rsidRPr="007F78CE" w:rsidRDefault="008627F7" w:rsidP="00687DD2">
            <w:pPr>
              <w:pStyle w:val="Default"/>
              <w:numPr>
                <w:ilvl w:val="0"/>
                <w:numId w:val="107"/>
              </w:numPr>
              <w:suppressAutoHyphens/>
              <w:autoSpaceDE/>
              <w:autoSpaceDN/>
              <w:adjustRightInd/>
              <w:spacing w:before="120" w:after="120"/>
              <w:ind w:left="318" w:hanging="284"/>
              <w:jc w:val="both"/>
              <w:rPr>
                <w:b/>
                <w:color w:val="auto"/>
                <w:sz w:val="18"/>
                <w:szCs w:val="18"/>
              </w:rPr>
            </w:pPr>
            <w:r w:rsidRPr="00B434A6">
              <w:rPr>
                <w:color w:val="auto"/>
                <w:sz w:val="18"/>
                <w:szCs w:val="18"/>
              </w:rPr>
              <w:t>Performance environnementale et sociale dans la mise en œuvre des instruments de gestion des risques E&amp;S du projet</w:t>
            </w:r>
          </w:p>
        </w:tc>
      </w:tr>
      <w:tr w:rsidR="0063584D" w:rsidRPr="007F78CE" w14:paraId="404BD656" w14:textId="77777777" w:rsidTr="005D6D41">
        <w:tc>
          <w:tcPr>
            <w:tcW w:w="2624" w:type="dxa"/>
            <w:tcBorders>
              <w:left w:val="single" w:sz="4" w:space="0" w:color="FFFFFF"/>
            </w:tcBorders>
            <w:shd w:val="clear" w:color="auto" w:fill="4BACC6"/>
          </w:tcPr>
          <w:p w14:paraId="5DCE91B5" w14:textId="77777777" w:rsidR="00D73180" w:rsidRPr="007F78CE" w:rsidRDefault="00D73180" w:rsidP="007F78CE">
            <w:pPr>
              <w:pStyle w:val="Default"/>
              <w:suppressAutoHyphens/>
              <w:spacing w:before="120" w:after="120"/>
              <w:jc w:val="both"/>
              <w:rPr>
                <w:bCs/>
                <w:color w:val="auto"/>
                <w:sz w:val="18"/>
                <w:szCs w:val="18"/>
              </w:rPr>
            </w:pPr>
            <w:r w:rsidRPr="007F78CE">
              <w:rPr>
                <w:b/>
                <w:bCs/>
                <w:color w:val="auto"/>
                <w:sz w:val="18"/>
                <w:szCs w:val="18"/>
              </w:rPr>
              <w:t>Ministère en charge du Travail et des lois sociales</w:t>
            </w:r>
          </w:p>
        </w:tc>
        <w:tc>
          <w:tcPr>
            <w:tcW w:w="6436" w:type="dxa"/>
            <w:shd w:val="clear" w:color="auto" w:fill="B6DDE8"/>
          </w:tcPr>
          <w:p w14:paraId="58B8B02F" w14:textId="77777777" w:rsidR="00D73180" w:rsidRPr="007F78CE" w:rsidRDefault="00D73180" w:rsidP="00687DD2">
            <w:pPr>
              <w:pStyle w:val="Default"/>
              <w:numPr>
                <w:ilvl w:val="0"/>
                <w:numId w:val="107"/>
              </w:numPr>
              <w:suppressAutoHyphens/>
              <w:autoSpaceDE/>
              <w:autoSpaceDN/>
              <w:adjustRightInd/>
              <w:spacing w:before="120" w:after="120"/>
              <w:ind w:left="318" w:hanging="284"/>
              <w:jc w:val="both"/>
              <w:rPr>
                <w:b/>
                <w:color w:val="auto"/>
                <w:sz w:val="18"/>
                <w:szCs w:val="18"/>
              </w:rPr>
            </w:pPr>
            <w:r w:rsidRPr="007F78CE">
              <w:rPr>
                <w:color w:val="auto"/>
                <w:sz w:val="18"/>
                <w:szCs w:val="18"/>
              </w:rPr>
              <w:t>Suivi des conditions et sécurité de travail des employés</w:t>
            </w:r>
          </w:p>
        </w:tc>
      </w:tr>
      <w:tr w:rsidR="0063584D" w:rsidRPr="007F78CE" w14:paraId="09872807" w14:textId="77777777" w:rsidTr="005D6D41">
        <w:tc>
          <w:tcPr>
            <w:tcW w:w="2624" w:type="dxa"/>
            <w:tcBorders>
              <w:left w:val="single" w:sz="4" w:space="0" w:color="FFFFFF"/>
              <w:bottom w:val="single" w:sz="4" w:space="0" w:color="FFFFFF"/>
            </w:tcBorders>
            <w:shd w:val="clear" w:color="auto" w:fill="4BACC6"/>
          </w:tcPr>
          <w:p w14:paraId="386A8439" w14:textId="77777777" w:rsidR="00D73180" w:rsidRPr="007F78CE" w:rsidRDefault="00D73180" w:rsidP="007F78CE">
            <w:pPr>
              <w:pStyle w:val="Default"/>
              <w:suppressAutoHyphens/>
              <w:spacing w:before="120" w:after="120"/>
              <w:jc w:val="both"/>
              <w:rPr>
                <w:bCs/>
                <w:color w:val="auto"/>
                <w:sz w:val="18"/>
                <w:szCs w:val="18"/>
              </w:rPr>
            </w:pPr>
            <w:r w:rsidRPr="007F78CE">
              <w:rPr>
                <w:b/>
                <w:bCs/>
                <w:color w:val="auto"/>
                <w:sz w:val="18"/>
                <w:szCs w:val="18"/>
              </w:rPr>
              <w:t>Direction en charge de la promotion du genre</w:t>
            </w:r>
          </w:p>
        </w:tc>
        <w:tc>
          <w:tcPr>
            <w:tcW w:w="6436" w:type="dxa"/>
            <w:shd w:val="clear" w:color="auto" w:fill="DAEEF3"/>
          </w:tcPr>
          <w:p w14:paraId="695F5685" w14:textId="77777777" w:rsidR="00D73180" w:rsidRPr="007F78CE" w:rsidRDefault="00D73180" w:rsidP="00687DD2">
            <w:pPr>
              <w:pStyle w:val="Default"/>
              <w:numPr>
                <w:ilvl w:val="0"/>
                <w:numId w:val="107"/>
              </w:numPr>
              <w:suppressAutoHyphens/>
              <w:autoSpaceDE/>
              <w:autoSpaceDN/>
              <w:adjustRightInd/>
              <w:spacing w:before="120" w:after="120"/>
              <w:ind w:left="318" w:hanging="284"/>
              <w:jc w:val="both"/>
              <w:rPr>
                <w:b/>
                <w:color w:val="auto"/>
                <w:sz w:val="18"/>
                <w:szCs w:val="18"/>
              </w:rPr>
            </w:pPr>
            <w:r w:rsidRPr="007F78CE">
              <w:rPr>
                <w:color w:val="auto"/>
                <w:sz w:val="18"/>
                <w:szCs w:val="18"/>
              </w:rPr>
              <w:t>Suivi des mesures contre les VBG et AES/HS</w:t>
            </w:r>
          </w:p>
        </w:tc>
      </w:tr>
    </w:tbl>
    <w:p w14:paraId="211743C0" w14:textId="77777777" w:rsidR="0023459D" w:rsidRDefault="0023459D" w:rsidP="00D73180">
      <w:pPr>
        <w:jc w:val="both"/>
        <w:rPr>
          <w:rFonts w:ascii="Arial" w:hAnsi="Arial" w:cs="Arial"/>
        </w:rPr>
      </w:pPr>
    </w:p>
    <w:p w14:paraId="148EE0DD" w14:textId="77777777" w:rsidR="00FD7760" w:rsidRDefault="00D73180" w:rsidP="00D73180">
      <w:pPr>
        <w:spacing w:after="120" w:line="240" w:lineRule="auto"/>
        <w:jc w:val="both"/>
        <w:rPr>
          <w:rFonts w:ascii="Arial" w:hAnsi="Arial" w:cs="Arial"/>
        </w:rPr>
      </w:pPr>
      <w:r w:rsidRPr="002C6EE9">
        <w:rPr>
          <w:rFonts w:ascii="Arial" w:hAnsi="Arial" w:cs="Arial"/>
        </w:rPr>
        <w:t>En cas d’inobservation des dispositions environnementales et sociales par les prestataires, telles que les entreprises en charge des travaux, le Maître d’œuvre</w:t>
      </w:r>
      <w:r w:rsidR="00401845">
        <w:rPr>
          <w:rFonts w:ascii="Arial" w:hAnsi="Arial" w:cs="Arial"/>
        </w:rPr>
        <w:t xml:space="preserve"> (Mission de Contrôle)</w:t>
      </w:r>
      <w:r w:rsidRPr="002C6EE9">
        <w:rPr>
          <w:rFonts w:ascii="Arial" w:hAnsi="Arial" w:cs="Arial"/>
        </w:rPr>
        <w:t xml:space="preserve">, établit une lettre de mise en demeure, à l’endroit de l’Entreprise défaillante. Lorsque la lettre de mise en demeure reste sans effet, le Maître d’œuvre est en droit de prendre des frais au titre des préjudices. </w:t>
      </w:r>
      <w:r w:rsidRPr="00742D67">
        <w:rPr>
          <w:rFonts w:ascii="Arial" w:hAnsi="Arial" w:cs="Arial"/>
        </w:rPr>
        <w:t xml:space="preserve">Dans le cas où l’Entreprise n’a pas déféré la mise en demeure, la résiliation du contrat peut être décidée. </w:t>
      </w:r>
      <w:r w:rsidR="00A46AC1" w:rsidRPr="00742D67">
        <w:rPr>
          <w:rFonts w:ascii="Arial" w:hAnsi="Arial" w:cs="Arial"/>
        </w:rPr>
        <w:t>Pour être applicable</w:t>
      </w:r>
      <w:r w:rsidR="00AF64F8">
        <w:rPr>
          <w:rFonts w:ascii="Arial" w:hAnsi="Arial" w:cs="Arial"/>
        </w:rPr>
        <w:t>s</w:t>
      </w:r>
      <w:r w:rsidR="00A46AC1" w:rsidRPr="00742D67">
        <w:rPr>
          <w:rFonts w:ascii="Arial" w:hAnsi="Arial" w:cs="Arial"/>
        </w:rPr>
        <w:t xml:space="preserve">, ces deux (02) mesures (frais à titre de préjudice et résiliation de contrat) doivent être écrites dans le contrat de l’entreprise. </w:t>
      </w:r>
      <w:r w:rsidRPr="00742D67">
        <w:rPr>
          <w:rFonts w:ascii="Arial" w:hAnsi="Arial" w:cs="Arial"/>
        </w:rPr>
        <w:t>Les coûts liés aux</w:t>
      </w:r>
      <w:r w:rsidRPr="002C6EE9">
        <w:rPr>
          <w:rFonts w:ascii="Arial" w:hAnsi="Arial" w:cs="Arial"/>
        </w:rPr>
        <w:t xml:space="preserve"> éventuels préjudices causés par le non-respect des dispositions environnementales et sociales, sont en principe à la charge de l’Entreprise. On prévoit tout de même, des frais accessoires de gestion qui seront intégrés dans la ligne budgétaire des actions de suivi environnemental</w:t>
      </w:r>
      <w:r w:rsidR="00401845">
        <w:rPr>
          <w:rFonts w:ascii="Arial" w:hAnsi="Arial" w:cs="Arial"/>
        </w:rPr>
        <w:t xml:space="preserve"> et social</w:t>
      </w:r>
      <w:r w:rsidR="00401845" w:rsidRPr="002C6EE9">
        <w:rPr>
          <w:rFonts w:ascii="Arial" w:hAnsi="Arial" w:cs="Arial"/>
        </w:rPr>
        <w:t>.</w:t>
      </w:r>
    </w:p>
    <w:p w14:paraId="48553608" w14:textId="77777777" w:rsidR="00D73180" w:rsidRPr="00D73180" w:rsidRDefault="00D73180" w:rsidP="00D73180">
      <w:pPr>
        <w:spacing w:after="120" w:line="240" w:lineRule="auto"/>
        <w:jc w:val="both"/>
        <w:rPr>
          <w:rFonts w:ascii="Arial" w:hAnsi="Arial" w:cs="Arial"/>
        </w:rPr>
      </w:pPr>
    </w:p>
    <w:p w14:paraId="0806B025" w14:textId="77777777" w:rsidR="003E32E9" w:rsidRPr="007F78CE" w:rsidRDefault="00C261A6" w:rsidP="0044500E">
      <w:pPr>
        <w:pStyle w:val="TIT2"/>
        <w:numPr>
          <w:ilvl w:val="1"/>
          <w:numId w:val="177"/>
        </w:numPr>
      </w:pPr>
      <w:bookmarkStart w:id="1536" w:name="_Toc124314807"/>
      <w:bookmarkStart w:id="1537" w:name="_Toc124956344"/>
      <w:bookmarkStart w:id="1538" w:name="_Toc125384691"/>
      <w:bookmarkStart w:id="1539" w:name="_Toc125385080"/>
      <w:bookmarkStart w:id="1540" w:name="_Toc127957748"/>
      <w:r w:rsidRPr="007F78CE">
        <w:t>Budget préliminaire pour la mise en œuvre du CGES</w:t>
      </w:r>
      <w:bookmarkEnd w:id="1536"/>
      <w:bookmarkEnd w:id="1537"/>
      <w:bookmarkEnd w:id="1538"/>
      <w:bookmarkEnd w:id="1539"/>
      <w:bookmarkEnd w:id="1540"/>
    </w:p>
    <w:p w14:paraId="03A029C0" w14:textId="77777777" w:rsidR="00645695" w:rsidRPr="00645695" w:rsidRDefault="00645695" w:rsidP="00645695">
      <w:pPr>
        <w:spacing w:after="120" w:line="240" w:lineRule="auto"/>
        <w:jc w:val="both"/>
        <w:rPr>
          <w:rFonts w:ascii="Arial" w:hAnsi="Arial" w:cs="Arial"/>
        </w:rPr>
      </w:pPr>
      <w:r w:rsidRPr="00645695">
        <w:rPr>
          <w:rFonts w:ascii="Arial" w:hAnsi="Arial" w:cs="Arial"/>
        </w:rPr>
        <w:t>Le coût de la mise en œuvre du CGES comprend la réalisation des évaluations environnementales, la mise en œuvre du PGES, le suivi, surveillance et audit environnemental</w:t>
      </w:r>
      <w:r w:rsidR="00401845">
        <w:rPr>
          <w:rFonts w:ascii="Arial" w:hAnsi="Arial" w:cs="Arial"/>
        </w:rPr>
        <w:t xml:space="preserve"> et social</w:t>
      </w:r>
      <w:r w:rsidRPr="00645695">
        <w:rPr>
          <w:rFonts w:ascii="Arial" w:hAnsi="Arial" w:cs="Arial"/>
        </w:rPr>
        <w:t xml:space="preserve">, ainsi que le renforcement des capacités des institutions et les campagnes d’information et de sensibilisation des acteurs concernés (cf. tableau </w:t>
      </w:r>
      <w:r w:rsidR="00401845">
        <w:rPr>
          <w:rFonts w:ascii="Arial" w:hAnsi="Arial" w:cs="Arial"/>
        </w:rPr>
        <w:t>95</w:t>
      </w:r>
      <w:r w:rsidRPr="00645695">
        <w:rPr>
          <w:rFonts w:ascii="Arial" w:hAnsi="Arial" w:cs="Arial"/>
        </w:rPr>
        <w:t xml:space="preserve">). Notons que les coûts relatifs au CR sont donnés séparément dans le document correspondant. </w:t>
      </w:r>
    </w:p>
    <w:p w14:paraId="326E67F8" w14:textId="77777777" w:rsidR="00645695" w:rsidRPr="00645695" w:rsidRDefault="00645695" w:rsidP="00645695">
      <w:pPr>
        <w:spacing w:after="120" w:line="240" w:lineRule="auto"/>
        <w:jc w:val="both"/>
        <w:rPr>
          <w:rFonts w:ascii="Arial" w:hAnsi="Arial" w:cs="Arial"/>
        </w:rPr>
      </w:pPr>
      <w:r w:rsidRPr="00645695">
        <w:rPr>
          <w:rFonts w:ascii="Arial" w:hAnsi="Arial" w:cs="Arial"/>
        </w:rPr>
        <w:t xml:space="preserve">Ainsi, la mise en œuvre de ce CGES s’élève à </w:t>
      </w:r>
      <w:r w:rsidR="00237420" w:rsidRPr="00237420">
        <w:rPr>
          <w:rFonts w:ascii="Arial" w:hAnsi="Arial" w:cs="Arial"/>
          <w:b/>
        </w:rPr>
        <w:t>2</w:t>
      </w:r>
      <w:r w:rsidR="00237420">
        <w:rPr>
          <w:rFonts w:ascii="Arial" w:hAnsi="Arial" w:cs="Arial"/>
          <w:b/>
        </w:rPr>
        <w:t> </w:t>
      </w:r>
      <w:r w:rsidR="00237420" w:rsidRPr="00237420">
        <w:rPr>
          <w:rFonts w:ascii="Arial" w:hAnsi="Arial" w:cs="Arial"/>
          <w:b/>
        </w:rPr>
        <w:t>625</w:t>
      </w:r>
      <w:r w:rsidR="00237420">
        <w:rPr>
          <w:rFonts w:ascii="Arial" w:hAnsi="Arial" w:cs="Arial"/>
          <w:b/>
        </w:rPr>
        <w:t xml:space="preserve"> </w:t>
      </w:r>
      <w:r w:rsidR="00237420" w:rsidRPr="00237420">
        <w:rPr>
          <w:rFonts w:ascii="Arial" w:hAnsi="Arial" w:cs="Arial"/>
          <w:b/>
        </w:rPr>
        <w:t>363</w:t>
      </w:r>
      <w:r w:rsidRPr="00645695">
        <w:rPr>
          <w:rFonts w:ascii="Arial" w:hAnsi="Arial" w:cs="Arial"/>
        </w:rPr>
        <w:t xml:space="preserve">USD. La ventilation des coûts est détaillée dans le tableau ci-dessous. </w:t>
      </w:r>
    </w:p>
    <w:p w14:paraId="509757EE" w14:textId="77777777" w:rsidR="00645695" w:rsidRPr="00645695" w:rsidRDefault="00645695" w:rsidP="00645695">
      <w:pPr>
        <w:pStyle w:val="Lgende"/>
        <w:spacing w:before="120"/>
        <w:jc w:val="center"/>
        <w:rPr>
          <w:sz w:val="20"/>
        </w:rPr>
      </w:pPr>
      <w:bookmarkStart w:id="1541" w:name="_Toc121213473"/>
      <w:bookmarkStart w:id="1542" w:name="_Toc127957894"/>
      <w:r w:rsidRPr="00645695">
        <w:rPr>
          <w:sz w:val="20"/>
        </w:rPr>
        <w:t xml:space="preserve">Tableau </w:t>
      </w:r>
      <w:r w:rsidRPr="00645695">
        <w:rPr>
          <w:sz w:val="20"/>
        </w:rPr>
        <w:fldChar w:fldCharType="begin"/>
      </w:r>
      <w:r w:rsidRPr="00645695">
        <w:rPr>
          <w:sz w:val="20"/>
        </w:rPr>
        <w:instrText xml:space="preserve"> SEQ Tableau \* ARABIC </w:instrText>
      </w:r>
      <w:r w:rsidRPr="00645695">
        <w:rPr>
          <w:sz w:val="20"/>
        </w:rPr>
        <w:fldChar w:fldCharType="separate"/>
      </w:r>
      <w:r w:rsidR="005430A1">
        <w:rPr>
          <w:noProof/>
          <w:sz w:val="20"/>
        </w:rPr>
        <w:t>98</w:t>
      </w:r>
      <w:r w:rsidRPr="00645695">
        <w:rPr>
          <w:sz w:val="20"/>
        </w:rPr>
        <w:fldChar w:fldCharType="end"/>
      </w:r>
      <w:r w:rsidRPr="00645695">
        <w:rPr>
          <w:sz w:val="20"/>
        </w:rPr>
        <w:t>. Estimation du coût de mise en œuvre du CGES</w:t>
      </w:r>
      <w:bookmarkEnd w:id="1541"/>
      <w:bookmarkEnd w:id="1542"/>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890"/>
        <w:gridCol w:w="1389"/>
        <w:gridCol w:w="1309"/>
        <w:gridCol w:w="1472"/>
      </w:tblGrid>
      <w:tr w:rsidR="0063584D" w:rsidRPr="007F78CE" w14:paraId="11079E2C" w14:textId="77777777" w:rsidTr="005D6D41">
        <w:trPr>
          <w:trHeight w:val="509"/>
          <w:tblHeader/>
        </w:trPr>
        <w:tc>
          <w:tcPr>
            <w:tcW w:w="5242" w:type="dxa"/>
            <w:tcBorders>
              <w:top w:val="single" w:sz="4" w:space="0" w:color="FFFFFF"/>
              <w:left w:val="single" w:sz="4" w:space="0" w:color="FFFFFF"/>
              <w:right w:val="nil"/>
            </w:tcBorders>
            <w:shd w:val="clear" w:color="auto" w:fill="4BACC6"/>
          </w:tcPr>
          <w:p w14:paraId="59152033" w14:textId="77777777" w:rsidR="00645695" w:rsidRPr="007F78CE" w:rsidRDefault="00645695" w:rsidP="007F78CE">
            <w:pPr>
              <w:suppressAutoHyphens/>
              <w:spacing w:after="0" w:line="240" w:lineRule="auto"/>
              <w:ind w:left="442"/>
              <w:rPr>
                <w:rFonts w:ascii="Arial" w:hAnsi="Arial" w:cs="Arial"/>
                <w:b/>
                <w:bCs/>
                <w:sz w:val="18"/>
                <w:szCs w:val="18"/>
              </w:rPr>
            </w:pPr>
            <w:r w:rsidRPr="007F78CE">
              <w:rPr>
                <w:rFonts w:ascii="Arial" w:hAnsi="Arial" w:cs="Arial"/>
                <w:b/>
                <w:bCs/>
                <w:sz w:val="18"/>
                <w:szCs w:val="18"/>
              </w:rPr>
              <w:t>Activités</w:t>
            </w:r>
          </w:p>
        </w:tc>
        <w:tc>
          <w:tcPr>
            <w:tcW w:w="1034" w:type="dxa"/>
            <w:tcBorders>
              <w:top w:val="single" w:sz="4" w:space="0" w:color="FFFFFF"/>
              <w:left w:val="nil"/>
              <w:right w:val="nil"/>
            </w:tcBorders>
            <w:shd w:val="clear" w:color="auto" w:fill="4BACC6"/>
          </w:tcPr>
          <w:p w14:paraId="1A811D18" w14:textId="77777777" w:rsidR="00645695" w:rsidRPr="007F78CE" w:rsidRDefault="00645695" w:rsidP="007F78CE">
            <w:pPr>
              <w:suppressAutoHyphens/>
              <w:spacing w:after="0" w:line="240" w:lineRule="auto"/>
              <w:ind w:left="442"/>
              <w:jc w:val="center"/>
              <w:rPr>
                <w:rFonts w:ascii="Arial" w:hAnsi="Arial" w:cs="Arial"/>
                <w:b/>
                <w:bCs/>
                <w:sz w:val="18"/>
                <w:szCs w:val="18"/>
              </w:rPr>
            </w:pPr>
            <w:r w:rsidRPr="007F78CE">
              <w:rPr>
                <w:rFonts w:ascii="Arial" w:hAnsi="Arial" w:cs="Arial"/>
                <w:b/>
                <w:bCs/>
                <w:sz w:val="18"/>
                <w:szCs w:val="18"/>
              </w:rPr>
              <w:t>Quantité</w:t>
            </w:r>
          </w:p>
        </w:tc>
        <w:tc>
          <w:tcPr>
            <w:tcW w:w="1299" w:type="dxa"/>
            <w:tcBorders>
              <w:top w:val="single" w:sz="4" w:space="0" w:color="FFFFFF"/>
              <w:left w:val="nil"/>
              <w:right w:val="nil"/>
            </w:tcBorders>
            <w:shd w:val="clear" w:color="auto" w:fill="4BACC6"/>
          </w:tcPr>
          <w:p w14:paraId="6645F004" w14:textId="77777777" w:rsidR="00645695" w:rsidRPr="007F78CE" w:rsidRDefault="00645695" w:rsidP="007F78CE">
            <w:pPr>
              <w:suppressAutoHyphens/>
              <w:spacing w:after="0" w:line="240" w:lineRule="auto"/>
              <w:ind w:left="442"/>
              <w:jc w:val="center"/>
              <w:rPr>
                <w:rFonts w:ascii="Arial" w:hAnsi="Arial" w:cs="Arial"/>
                <w:b/>
                <w:bCs/>
                <w:sz w:val="18"/>
                <w:szCs w:val="18"/>
              </w:rPr>
            </w:pPr>
            <w:r w:rsidRPr="007F78CE">
              <w:rPr>
                <w:rFonts w:ascii="Arial" w:hAnsi="Arial" w:cs="Arial"/>
                <w:b/>
                <w:bCs/>
                <w:sz w:val="18"/>
                <w:szCs w:val="18"/>
              </w:rPr>
              <w:t>Coût unitaire</w:t>
            </w:r>
          </w:p>
          <w:p w14:paraId="2415C28A" w14:textId="77777777" w:rsidR="00645695" w:rsidRPr="007F78CE" w:rsidRDefault="00645695" w:rsidP="007F78CE">
            <w:pPr>
              <w:suppressAutoHyphens/>
              <w:spacing w:after="0" w:line="240" w:lineRule="auto"/>
              <w:ind w:left="442"/>
              <w:jc w:val="center"/>
              <w:rPr>
                <w:rFonts w:ascii="Arial" w:hAnsi="Arial" w:cs="Arial"/>
                <w:b/>
                <w:bCs/>
                <w:sz w:val="18"/>
                <w:szCs w:val="18"/>
              </w:rPr>
            </w:pPr>
            <w:r w:rsidRPr="007F78CE">
              <w:rPr>
                <w:rFonts w:ascii="Arial" w:hAnsi="Arial" w:cs="Arial"/>
                <w:b/>
                <w:bCs/>
                <w:sz w:val="18"/>
                <w:szCs w:val="18"/>
              </w:rPr>
              <w:t>(USD)</w:t>
            </w:r>
          </w:p>
        </w:tc>
        <w:tc>
          <w:tcPr>
            <w:tcW w:w="1494" w:type="dxa"/>
            <w:tcBorders>
              <w:top w:val="single" w:sz="4" w:space="0" w:color="FFFFFF"/>
              <w:left w:val="nil"/>
              <w:right w:val="single" w:sz="4" w:space="0" w:color="FFFFFF"/>
            </w:tcBorders>
            <w:shd w:val="clear" w:color="auto" w:fill="4BACC6"/>
          </w:tcPr>
          <w:p w14:paraId="71D4EFFD" w14:textId="77777777" w:rsidR="00645695" w:rsidRPr="007F78CE" w:rsidRDefault="00645695" w:rsidP="007F78CE">
            <w:pPr>
              <w:suppressAutoHyphens/>
              <w:spacing w:after="0" w:line="240" w:lineRule="auto"/>
              <w:ind w:left="442"/>
              <w:jc w:val="center"/>
              <w:rPr>
                <w:rFonts w:ascii="Arial" w:hAnsi="Arial" w:cs="Arial"/>
                <w:b/>
                <w:bCs/>
                <w:sz w:val="18"/>
                <w:szCs w:val="18"/>
              </w:rPr>
            </w:pPr>
            <w:r w:rsidRPr="007F78CE">
              <w:rPr>
                <w:rFonts w:ascii="Arial" w:hAnsi="Arial" w:cs="Arial"/>
                <w:b/>
                <w:bCs/>
                <w:sz w:val="18"/>
                <w:szCs w:val="18"/>
              </w:rPr>
              <w:t>Coût total (USD)</w:t>
            </w:r>
          </w:p>
        </w:tc>
      </w:tr>
      <w:tr w:rsidR="0063584D" w:rsidRPr="007F78CE" w14:paraId="53F1E729" w14:textId="77777777" w:rsidTr="00AE406E">
        <w:trPr>
          <w:trHeight w:val="525"/>
        </w:trPr>
        <w:tc>
          <w:tcPr>
            <w:tcW w:w="5242" w:type="dxa"/>
            <w:tcBorders>
              <w:left w:val="single" w:sz="4" w:space="0" w:color="FFFFFF"/>
            </w:tcBorders>
            <w:shd w:val="clear" w:color="auto" w:fill="4BACC6"/>
          </w:tcPr>
          <w:p w14:paraId="6C4BA8C4" w14:textId="77777777" w:rsidR="00645695" w:rsidRPr="007F78CE" w:rsidRDefault="00645695" w:rsidP="007F78CE">
            <w:pPr>
              <w:suppressAutoHyphens/>
              <w:spacing w:after="0" w:line="240" w:lineRule="auto"/>
              <w:rPr>
                <w:rFonts w:ascii="Arial" w:hAnsi="Arial" w:cs="Arial"/>
                <w:sz w:val="18"/>
                <w:szCs w:val="18"/>
              </w:rPr>
            </w:pPr>
            <w:r w:rsidRPr="007F78CE">
              <w:rPr>
                <w:rFonts w:ascii="Arial" w:hAnsi="Arial" w:cs="Arial"/>
                <w:sz w:val="18"/>
                <w:szCs w:val="18"/>
              </w:rPr>
              <w:t>Provision pour la réalisation et la mise en œuvre d’autres EIES</w:t>
            </w:r>
            <w:r w:rsidR="2F7A2530" w:rsidRPr="4E4A4666">
              <w:rPr>
                <w:rFonts w:ascii="Arial" w:hAnsi="Arial" w:cs="Arial"/>
                <w:sz w:val="18"/>
                <w:szCs w:val="18"/>
              </w:rPr>
              <w:t>/PGES</w:t>
            </w:r>
            <w:r w:rsidRPr="007F78CE">
              <w:rPr>
                <w:rFonts w:ascii="Arial" w:hAnsi="Arial" w:cs="Arial"/>
                <w:sz w:val="18"/>
                <w:szCs w:val="18"/>
              </w:rPr>
              <w:t xml:space="preserve"> liées aux activités du Projet</w:t>
            </w:r>
          </w:p>
        </w:tc>
        <w:tc>
          <w:tcPr>
            <w:tcW w:w="1034" w:type="dxa"/>
            <w:shd w:val="clear" w:color="auto" w:fill="B6DDE8"/>
            <w:vAlign w:val="center"/>
          </w:tcPr>
          <w:p w14:paraId="2D965C8B" w14:textId="77777777" w:rsidR="00645695" w:rsidRPr="007F78CE" w:rsidRDefault="00645695" w:rsidP="00AE406E">
            <w:pPr>
              <w:suppressAutoHyphens/>
              <w:spacing w:after="0" w:line="240" w:lineRule="auto"/>
              <w:ind w:left="442"/>
              <w:jc w:val="right"/>
              <w:rPr>
                <w:rFonts w:ascii="Arial" w:hAnsi="Arial" w:cs="Arial"/>
                <w:sz w:val="18"/>
                <w:szCs w:val="18"/>
              </w:rPr>
            </w:pPr>
            <w:r w:rsidRPr="007F78CE">
              <w:rPr>
                <w:rFonts w:ascii="Arial" w:hAnsi="Arial" w:cs="Arial"/>
                <w:sz w:val="18"/>
                <w:szCs w:val="18"/>
              </w:rPr>
              <w:t>10</w:t>
            </w:r>
          </w:p>
        </w:tc>
        <w:tc>
          <w:tcPr>
            <w:tcW w:w="1299" w:type="dxa"/>
            <w:shd w:val="clear" w:color="auto" w:fill="B6DDE8"/>
            <w:vAlign w:val="center"/>
          </w:tcPr>
          <w:p w14:paraId="7C69055A" w14:textId="77777777" w:rsidR="00645695" w:rsidRPr="007F78CE" w:rsidRDefault="00645695" w:rsidP="00AE406E">
            <w:pPr>
              <w:suppressAutoHyphens/>
              <w:spacing w:after="0" w:line="240" w:lineRule="auto"/>
              <w:ind w:left="442"/>
              <w:jc w:val="right"/>
              <w:rPr>
                <w:rFonts w:ascii="Arial" w:hAnsi="Arial" w:cs="Arial"/>
                <w:sz w:val="18"/>
                <w:szCs w:val="18"/>
              </w:rPr>
            </w:pPr>
            <w:r w:rsidRPr="007F78CE">
              <w:rPr>
                <w:rFonts w:ascii="Arial" w:hAnsi="Arial" w:cs="Arial"/>
                <w:sz w:val="18"/>
                <w:szCs w:val="18"/>
              </w:rPr>
              <w:t>50 000</w:t>
            </w:r>
          </w:p>
        </w:tc>
        <w:tc>
          <w:tcPr>
            <w:tcW w:w="1494" w:type="dxa"/>
            <w:shd w:val="clear" w:color="auto" w:fill="B6DDE8"/>
            <w:vAlign w:val="center"/>
          </w:tcPr>
          <w:p w14:paraId="63FF4B20" w14:textId="77777777" w:rsidR="00645695" w:rsidRPr="007F78CE" w:rsidRDefault="00645695" w:rsidP="00AE406E">
            <w:pPr>
              <w:suppressAutoHyphens/>
              <w:spacing w:after="0" w:line="240" w:lineRule="auto"/>
              <w:ind w:left="442"/>
              <w:jc w:val="right"/>
              <w:rPr>
                <w:rFonts w:ascii="Arial" w:hAnsi="Arial" w:cs="Arial"/>
                <w:sz w:val="18"/>
                <w:szCs w:val="18"/>
              </w:rPr>
            </w:pPr>
            <w:r w:rsidRPr="007F78CE">
              <w:rPr>
                <w:rFonts w:ascii="Arial" w:hAnsi="Arial" w:cs="Arial"/>
                <w:sz w:val="18"/>
                <w:szCs w:val="18"/>
              </w:rPr>
              <w:t>500 000</w:t>
            </w:r>
          </w:p>
        </w:tc>
      </w:tr>
      <w:tr w:rsidR="0063584D" w:rsidRPr="007F78CE" w14:paraId="69C9BC19" w14:textId="77777777" w:rsidTr="00AE406E">
        <w:trPr>
          <w:trHeight w:val="315"/>
        </w:trPr>
        <w:tc>
          <w:tcPr>
            <w:tcW w:w="5242" w:type="dxa"/>
            <w:tcBorders>
              <w:left w:val="single" w:sz="4" w:space="0" w:color="FFFFFF"/>
            </w:tcBorders>
            <w:shd w:val="clear" w:color="auto" w:fill="4BACC6"/>
          </w:tcPr>
          <w:p w14:paraId="023DF640" w14:textId="77777777" w:rsidR="00645695" w:rsidRPr="007F78CE" w:rsidRDefault="00645695" w:rsidP="007F78CE">
            <w:pPr>
              <w:suppressAutoHyphens/>
              <w:spacing w:after="0" w:line="240" w:lineRule="auto"/>
              <w:rPr>
                <w:rFonts w:ascii="Arial" w:hAnsi="Arial" w:cs="Arial"/>
                <w:sz w:val="18"/>
                <w:szCs w:val="18"/>
              </w:rPr>
            </w:pPr>
            <w:r w:rsidRPr="007F78CE">
              <w:rPr>
                <w:rFonts w:ascii="Arial" w:hAnsi="Arial" w:cs="Arial"/>
                <w:sz w:val="18"/>
                <w:szCs w:val="18"/>
              </w:rPr>
              <w:t>Suivi environnemental</w:t>
            </w:r>
          </w:p>
        </w:tc>
        <w:tc>
          <w:tcPr>
            <w:tcW w:w="1034" w:type="dxa"/>
            <w:shd w:val="clear" w:color="auto" w:fill="DAEEF3"/>
            <w:vAlign w:val="center"/>
          </w:tcPr>
          <w:p w14:paraId="1E1CAD60" w14:textId="77777777" w:rsidR="00645695" w:rsidRPr="007F78CE" w:rsidRDefault="00645695" w:rsidP="00AE406E">
            <w:pPr>
              <w:suppressAutoHyphens/>
              <w:spacing w:after="0" w:line="240" w:lineRule="auto"/>
              <w:ind w:left="442"/>
              <w:jc w:val="right"/>
              <w:rPr>
                <w:rFonts w:ascii="Arial" w:hAnsi="Arial" w:cs="Arial"/>
                <w:sz w:val="18"/>
                <w:szCs w:val="18"/>
              </w:rPr>
            </w:pPr>
            <w:r w:rsidRPr="007F78CE">
              <w:rPr>
                <w:rFonts w:ascii="Arial" w:hAnsi="Arial" w:cs="Arial"/>
                <w:sz w:val="18"/>
                <w:szCs w:val="18"/>
              </w:rPr>
              <w:t>5 ans</w:t>
            </w:r>
          </w:p>
        </w:tc>
        <w:tc>
          <w:tcPr>
            <w:tcW w:w="1299" w:type="dxa"/>
            <w:shd w:val="clear" w:color="auto" w:fill="DAEEF3"/>
            <w:vAlign w:val="center"/>
          </w:tcPr>
          <w:p w14:paraId="4D33F13A" w14:textId="77777777" w:rsidR="00645695" w:rsidRPr="007F78CE" w:rsidRDefault="00645695" w:rsidP="00AE406E">
            <w:pPr>
              <w:suppressAutoHyphens/>
              <w:spacing w:after="0" w:line="240" w:lineRule="auto"/>
              <w:ind w:left="442"/>
              <w:jc w:val="right"/>
              <w:rPr>
                <w:rFonts w:ascii="Arial" w:hAnsi="Arial" w:cs="Arial"/>
                <w:sz w:val="18"/>
                <w:szCs w:val="18"/>
              </w:rPr>
            </w:pPr>
            <w:r w:rsidRPr="007F78CE">
              <w:rPr>
                <w:rFonts w:ascii="Arial" w:hAnsi="Arial" w:cs="Arial"/>
                <w:sz w:val="18"/>
                <w:szCs w:val="18"/>
              </w:rPr>
              <w:t>50 000</w:t>
            </w:r>
          </w:p>
        </w:tc>
        <w:tc>
          <w:tcPr>
            <w:tcW w:w="1494" w:type="dxa"/>
            <w:shd w:val="clear" w:color="auto" w:fill="DAEEF3"/>
            <w:vAlign w:val="center"/>
          </w:tcPr>
          <w:p w14:paraId="5CBA1523" w14:textId="77777777" w:rsidR="00645695" w:rsidRPr="007F78CE" w:rsidRDefault="00645695" w:rsidP="00AE406E">
            <w:pPr>
              <w:suppressAutoHyphens/>
              <w:spacing w:after="0" w:line="240" w:lineRule="auto"/>
              <w:ind w:left="442"/>
              <w:jc w:val="right"/>
              <w:rPr>
                <w:rFonts w:ascii="Arial" w:hAnsi="Arial" w:cs="Arial"/>
                <w:sz w:val="18"/>
                <w:szCs w:val="18"/>
              </w:rPr>
            </w:pPr>
            <w:r w:rsidRPr="007F78CE">
              <w:rPr>
                <w:rFonts w:ascii="Arial" w:hAnsi="Arial" w:cs="Arial"/>
                <w:sz w:val="18"/>
                <w:szCs w:val="18"/>
              </w:rPr>
              <w:t>250 000</w:t>
            </w:r>
          </w:p>
        </w:tc>
      </w:tr>
      <w:tr w:rsidR="0063584D" w:rsidRPr="007F78CE" w14:paraId="29C0522D" w14:textId="77777777" w:rsidTr="00AE406E">
        <w:trPr>
          <w:trHeight w:val="315"/>
        </w:trPr>
        <w:tc>
          <w:tcPr>
            <w:tcW w:w="5242" w:type="dxa"/>
            <w:tcBorders>
              <w:left w:val="single" w:sz="4" w:space="0" w:color="FFFFFF"/>
            </w:tcBorders>
            <w:shd w:val="clear" w:color="auto" w:fill="4BACC6"/>
          </w:tcPr>
          <w:p w14:paraId="7B4209DB" w14:textId="77777777" w:rsidR="00645695" w:rsidRPr="007F78CE" w:rsidRDefault="00645695" w:rsidP="007F78CE">
            <w:pPr>
              <w:suppressAutoHyphens/>
              <w:spacing w:after="0" w:line="240" w:lineRule="auto"/>
              <w:rPr>
                <w:rFonts w:ascii="Arial" w:hAnsi="Arial" w:cs="Arial"/>
                <w:sz w:val="18"/>
                <w:szCs w:val="18"/>
              </w:rPr>
            </w:pPr>
            <w:r w:rsidRPr="007F78CE">
              <w:rPr>
                <w:rFonts w:ascii="Arial" w:hAnsi="Arial" w:cs="Arial"/>
                <w:sz w:val="18"/>
                <w:szCs w:val="18"/>
              </w:rPr>
              <w:t xml:space="preserve">Coût des audits environnementaux et sociaux (mi-parcours et final) </w:t>
            </w:r>
          </w:p>
        </w:tc>
        <w:tc>
          <w:tcPr>
            <w:tcW w:w="1034" w:type="dxa"/>
            <w:shd w:val="clear" w:color="auto" w:fill="B6DDE8"/>
            <w:vAlign w:val="center"/>
          </w:tcPr>
          <w:p w14:paraId="2F8123A6" w14:textId="77777777" w:rsidR="00645695" w:rsidRPr="007F78CE" w:rsidRDefault="00645695" w:rsidP="00AE406E">
            <w:pPr>
              <w:suppressAutoHyphens/>
              <w:spacing w:after="0" w:line="240" w:lineRule="auto"/>
              <w:ind w:left="442"/>
              <w:jc w:val="right"/>
              <w:rPr>
                <w:rFonts w:ascii="Arial" w:hAnsi="Arial" w:cs="Arial"/>
                <w:sz w:val="18"/>
                <w:szCs w:val="18"/>
              </w:rPr>
            </w:pPr>
            <w:r w:rsidRPr="007F78CE">
              <w:rPr>
                <w:rFonts w:ascii="Arial" w:hAnsi="Arial" w:cs="Arial"/>
                <w:sz w:val="18"/>
                <w:szCs w:val="18"/>
              </w:rPr>
              <w:t>23</w:t>
            </w:r>
          </w:p>
        </w:tc>
        <w:tc>
          <w:tcPr>
            <w:tcW w:w="1299" w:type="dxa"/>
            <w:shd w:val="clear" w:color="auto" w:fill="B6DDE8"/>
            <w:vAlign w:val="center"/>
          </w:tcPr>
          <w:p w14:paraId="08417259" w14:textId="77777777" w:rsidR="00645695" w:rsidRPr="007F78CE" w:rsidRDefault="00645695" w:rsidP="00AE406E">
            <w:pPr>
              <w:suppressAutoHyphens/>
              <w:spacing w:after="0" w:line="240" w:lineRule="auto"/>
              <w:ind w:left="442"/>
              <w:jc w:val="right"/>
              <w:rPr>
                <w:rFonts w:ascii="Arial" w:hAnsi="Arial" w:cs="Arial"/>
                <w:sz w:val="18"/>
                <w:szCs w:val="18"/>
              </w:rPr>
            </w:pPr>
            <w:r w:rsidRPr="007F78CE">
              <w:rPr>
                <w:rFonts w:ascii="Arial" w:hAnsi="Arial" w:cs="Arial"/>
                <w:sz w:val="18"/>
                <w:szCs w:val="18"/>
              </w:rPr>
              <w:t>50 000</w:t>
            </w:r>
          </w:p>
        </w:tc>
        <w:tc>
          <w:tcPr>
            <w:tcW w:w="1494" w:type="dxa"/>
            <w:shd w:val="clear" w:color="auto" w:fill="B6DDE8"/>
            <w:vAlign w:val="center"/>
          </w:tcPr>
          <w:p w14:paraId="51CC680B" w14:textId="77777777" w:rsidR="00645695" w:rsidRPr="007F78CE" w:rsidRDefault="00645695" w:rsidP="00F86002">
            <w:pPr>
              <w:suppressAutoHyphens/>
              <w:spacing w:after="0" w:line="240" w:lineRule="auto"/>
              <w:jc w:val="right"/>
              <w:rPr>
                <w:rFonts w:ascii="Arial" w:hAnsi="Arial" w:cs="Arial"/>
                <w:sz w:val="18"/>
                <w:szCs w:val="18"/>
              </w:rPr>
            </w:pPr>
            <w:r w:rsidRPr="007F78CE">
              <w:rPr>
                <w:rFonts w:ascii="Arial" w:hAnsi="Arial" w:cs="Arial"/>
                <w:sz w:val="18"/>
                <w:szCs w:val="18"/>
              </w:rPr>
              <w:t>1 150 000</w:t>
            </w:r>
          </w:p>
        </w:tc>
      </w:tr>
      <w:tr w:rsidR="0063584D" w:rsidRPr="007F78CE" w14:paraId="436EDE75" w14:textId="77777777" w:rsidTr="00AE406E">
        <w:trPr>
          <w:trHeight w:val="576"/>
        </w:trPr>
        <w:tc>
          <w:tcPr>
            <w:tcW w:w="0" w:type="dxa"/>
            <w:tcBorders>
              <w:left w:val="single" w:sz="4" w:space="0" w:color="FFFFFF"/>
            </w:tcBorders>
            <w:shd w:val="clear" w:color="auto" w:fill="4BACC6"/>
          </w:tcPr>
          <w:p w14:paraId="521D5C91" w14:textId="77777777" w:rsidR="00645695" w:rsidRPr="007F78CE" w:rsidRDefault="00645695" w:rsidP="007F78CE">
            <w:pPr>
              <w:suppressAutoHyphens/>
              <w:spacing w:after="0" w:line="240" w:lineRule="auto"/>
              <w:rPr>
                <w:rFonts w:ascii="Arial" w:hAnsi="Arial" w:cs="Arial"/>
                <w:sz w:val="18"/>
                <w:szCs w:val="18"/>
              </w:rPr>
            </w:pPr>
            <w:r w:rsidRPr="007F78CE">
              <w:rPr>
                <w:rFonts w:ascii="Arial" w:hAnsi="Arial" w:cs="Arial"/>
                <w:sz w:val="18"/>
                <w:szCs w:val="18"/>
              </w:rPr>
              <w:t>Formation en :</w:t>
            </w:r>
          </w:p>
          <w:p w14:paraId="4B7506CF" w14:textId="77777777" w:rsidR="00645695" w:rsidRPr="00687DD2" w:rsidRDefault="00645695" w:rsidP="00687DD2">
            <w:pPr>
              <w:pStyle w:val="Paragraphedeliste"/>
              <w:numPr>
                <w:ilvl w:val="0"/>
                <w:numId w:val="108"/>
              </w:numPr>
              <w:suppressAutoHyphens/>
              <w:spacing w:after="0" w:line="240" w:lineRule="auto"/>
              <w:ind w:left="610"/>
              <w:contextualSpacing w:val="0"/>
              <w:rPr>
                <w:rFonts w:ascii="Arial" w:hAnsi="Arial" w:cs="Arial"/>
                <w:sz w:val="18"/>
                <w:szCs w:val="18"/>
              </w:rPr>
            </w:pPr>
            <w:r w:rsidRPr="00687DD2">
              <w:rPr>
                <w:rFonts w:ascii="Arial" w:hAnsi="Arial" w:cs="Arial"/>
                <w:sz w:val="18"/>
                <w:szCs w:val="18"/>
              </w:rPr>
              <w:t>Gestion Environnementale et Sociale (sélection et classification des activités ; identification des impacts, choix mesures d’atténuation et indicateurs)</w:t>
            </w:r>
          </w:p>
          <w:p w14:paraId="63930EC2" w14:textId="77777777" w:rsidR="00645695" w:rsidRPr="00687DD2" w:rsidRDefault="00645695" w:rsidP="00687DD2">
            <w:pPr>
              <w:pStyle w:val="Paragraphedeliste"/>
              <w:numPr>
                <w:ilvl w:val="0"/>
                <w:numId w:val="108"/>
              </w:numPr>
              <w:suppressAutoHyphens/>
              <w:spacing w:after="0" w:line="240" w:lineRule="auto"/>
              <w:ind w:left="610"/>
              <w:contextualSpacing w:val="0"/>
              <w:rPr>
                <w:rFonts w:ascii="Arial" w:hAnsi="Arial" w:cs="Arial"/>
                <w:sz w:val="18"/>
                <w:szCs w:val="18"/>
              </w:rPr>
            </w:pPr>
            <w:r w:rsidRPr="00687DD2">
              <w:rPr>
                <w:rFonts w:ascii="Arial" w:hAnsi="Arial" w:cs="Arial"/>
                <w:sz w:val="18"/>
                <w:szCs w:val="18"/>
              </w:rPr>
              <w:t>Législation et procédures environnementales nationales</w:t>
            </w:r>
          </w:p>
          <w:p w14:paraId="1BAA2755" w14:textId="77777777" w:rsidR="00645695" w:rsidRPr="00687DD2" w:rsidRDefault="00645695" w:rsidP="00687DD2">
            <w:pPr>
              <w:pStyle w:val="Paragraphedeliste"/>
              <w:numPr>
                <w:ilvl w:val="0"/>
                <w:numId w:val="108"/>
              </w:numPr>
              <w:suppressAutoHyphens/>
              <w:spacing w:after="0" w:line="240" w:lineRule="auto"/>
              <w:ind w:left="610"/>
              <w:contextualSpacing w:val="0"/>
              <w:rPr>
                <w:rFonts w:ascii="Arial" w:hAnsi="Arial" w:cs="Arial"/>
                <w:sz w:val="18"/>
                <w:szCs w:val="18"/>
              </w:rPr>
            </w:pPr>
            <w:r w:rsidRPr="00687DD2">
              <w:rPr>
                <w:rFonts w:ascii="Arial" w:hAnsi="Arial" w:cs="Arial"/>
                <w:sz w:val="18"/>
                <w:szCs w:val="18"/>
              </w:rPr>
              <w:t>Suivi des mesures environnementales et sociales</w:t>
            </w:r>
          </w:p>
          <w:p w14:paraId="69B3AF35" w14:textId="77777777" w:rsidR="00645695" w:rsidRPr="00687DD2" w:rsidRDefault="00645695" w:rsidP="00687DD2">
            <w:pPr>
              <w:pStyle w:val="Paragraphedeliste"/>
              <w:numPr>
                <w:ilvl w:val="0"/>
                <w:numId w:val="108"/>
              </w:numPr>
              <w:suppressAutoHyphens/>
              <w:spacing w:after="0" w:line="240" w:lineRule="auto"/>
              <w:ind w:left="610"/>
              <w:contextualSpacing w:val="0"/>
              <w:rPr>
                <w:rFonts w:ascii="Arial" w:hAnsi="Arial" w:cs="Arial"/>
                <w:sz w:val="18"/>
                <w:szCs w:val="18"/>
              </w:rPr>
            </w:pPr>
            <w:r w:rsidRPr="00687DD2">
              <w:rPr>
                <w:rFonts w:ascii="Arial" w:hAnsi="Arial" w:cs="Arial"/>
                <w:sz w:val="18"/>
                <w:szCs w:val="18"/>
              </w:rPr>
              <w:t>Suivi normes hygiène et sécurité</w:t>
            </w:r>
          </w:p>
          <w:p w14:paraId="2D558176" w14:textId="77777777" w:rsidR="00645695" w:rsidRPr="00687DD2" w:rsidRDefault="00645695" w:rsidP="00687DD2">
            <w:pPr>
              <w:pStyle w:val="Paragraphedeliste"/>
              <w:numPr>
                <w:ilvl w:val="0"/>
                <w:numId w:val="108"/>
              </w:numPr>
              <w:suppressAutoHyphens/>
              <w:spacing w:after="0" w:line="240" w:lineRule="auto"/>
              <w:ind w:left="610"/>
              <w:contextualSpacing w:val="0"/>
              <w:rPr>
                <w:rFonts w:ascii="Arial" w:hAnsi="Arial" w:cs="Arial"/>
                <w:sz w:val="18"/>
                <w:szCs w:val="18"/>
              </w:rPr>
            </w:pPr>
            <w:r w:rsidRPr="00687DD2">
              <w:rPr>
                <w:rFonts w:ascii="Arial" w:hAnsi="Arial" w:cs="Arial"/>
                <w:sz w:val="18"/>
                <w:szCs w:val="18"/>
              </w:rPr>
              <w:t>Cadre environnemental et social de la Banque mondiale ...</w:t>
            </w:r>
          </w:p>
        </w:tc>
        <w:tc>
          <w:tcPr>
            <w:tcW w:w="0" w:type="dxa"/>
            <w:shd w:val="clear" w:color="auto" w:fill="DAEEF3"/>
            <w:vAlign w:val="center"/>
          </w:tcPr>
          <w:p w14:paraId="44545359" w14:textId="77777777" w:rsidR="00645695" w:rsidRPr="007F78CE" w:rsidRDefault="00645695" w:rsidP="00F86002">
            <w:pPr>
              <w:suppressAutoHyphens/>
              <w:spacing w:after="0" w:line="240" w:lineRule="auto"/>
              <w:jc w:val="right"/>
              <w:rPr>
                <w:rFonts w:ascii="Arial" w:hAnsi="Arial" w:cs="Arial"/>
                <w:sz w:val="18"/>
                <w:szCs w:val="18"/>
              </w:rPr>
            </w:pPr>
            <w:r w:rsidRPr="007F78CE">
              <w:rPr>
                <w:rFonts w:ascii="Arial" w:hAnsi="Arial" w:cs="Arial"/>
                <w:sz w:val="18"/>
                <w:szCs w:val="18"/>
              </w:rPr>
              <w:t xml:space="preserve">23 ateliers </w:t>
            </w:r>
          </w:p>
        </w:tc>
        <w:tc>
          <w:tcPr>
            <w:tcW w:w="0" w:type="dxa"/>
            <w:shd w:val="clear" w:color="auto" w:fill="DAEEF3"/>
            <w:vAlign w:val="center"/>
          </w:tcPr>
          <w:p w14:paraId="720E621C" w14:textId="77777777" w:rsidR="00645695" w:rsidRPr="007F78CE" w:rsidRDefault="00645695" w:rsidP="00AE406E">
            <w:pPr>
              <w:suppressAutoHyphens/>
              <w:spacing w:after="0" w:line="240" w:lineRule="auto"/>
              <w:ind w:left="442"/>
              <w:jc w:val="right"/>
              <w:rPr>
                <w:rFonts w:ascii="Arial" w:hAnsi="Arial" w:cs="Arial"/>
                <w:sz w:val="18"/>
                <w:szCs w:val="18"/>
              </w:rPr>
            </w:pPr>
            <w:r w:rsidRPr="007F78CE">
              <w:rPr>
                <w:rFonts w:ascii="Arial" w:hAnsi="Arial" w:cs="Arial"/>
                <w:sz w:val="18"/>
                <w:szCs w:val="18"/>
              </w:rPr>
              <w:t>5 000</w:t>
            </w:r>
          </w:p>
        </w:tc>
        <w:tc>
          <w:tcPr>
            <w:tcW w:w="0" w:type="dxa"/>
            <w:shd w:val="clear" w:color="auto" w:fill="DAEEF3"/>
            <w:vAlign w:val="center"/>
          </w:tcPr>
          <w:p w14:paraId="2CD6B1C7" w14:textId="77777777" w:rsidR="00645695" w:rsidRPr="007F78CE" w:rsidRDefault="00645695" w:rsidP="00AE406E">
            <w:pPr>
              <w:suppressAutoHyphens/>
              <w:spacing w:after="0" w:line="240" w:lineRule="auto"/>
              <w:ind w:left="442"/>
              <w:jc w:val="right"/>
              <w:rPr>
                <w:rFonts w:ascii="Arial" w:hAnsi="Arial" w:cs="Arial"/>
                <w:sz w:val="18"/>
                <w:szCs w:val="18"/>
              </w:rPr>
            </w:pPr>
            <w:r w:rsidRPr="007F78CE">
              <w:rPr>
                <w:rFonts w:ascii="Arial" w:hAnsi="Arial" w:cs="Arial"/>
                <w:sz w:val="18"/>
                <w:szCs w:val="18"/>
              </w:rPr>
              <w:t>115 000</w:t>
            </w:r>
          </w:p>
        </w:tc>
      </w:tr>
      <w:tr w:rsidR="0063584D" w:rsidRPr="007F78CE" w14:paraId="561F0B13" w14:textId="77777777" w:rsidTr="00AE406E">
        <w:trPr>
          <w:trHeight w:val="1573"/>
        </w:trPr>
        <w:tc>
          <w:tcPr>
            <w:tcW w:w="5242" w:type="dxa"/>
            <w:tcBorders>
              <w:left w:val="single" w:sz="4" w:space="0" w:color="FFFFFF"/>
            </w:tcBorders>
            <w:shd w:val="clear" w:color="auto" w:fill="4BACC6"/>
          </w:tcPr>
          <w:p w14:paraId="0F590D11" w14:textId="77777777" w:rsidR="00645695" w:rsidRPr="007F78CE" w:rsidRDefault="00645695" w:rsidP="007F78CE">
            <w:pPr>
              <w:suppressAutoHyphens/>
              <w:spacing w:after="0" w:line="240" w:lineRule="auto"/>
              <w:ind w:left="442"/>
              <w:rPr>
                <w:rFonts w:ascii="Arial" w:hAnsi="Arial" w:cs="Arial"/>
                <w:sz w:val="18"/>
                <w:szCs w:val="18"/>
              </w:rPr>
            </w:pPr>
            <w:r w:rsidRPr="007F78CE">
              <w:rPr>
                <w:rFonts w:ascii="Arial" w:hAnsi="Arial" w:cs="Arial"/>
                <w:sz w:val="18"/>
                <w:szCs w:val="18"/>
              </w:rPr>
              <w:t>Information et sensibilisation :</w:t>
            </w:r>
          </w:p>
          <w:p w14:paraId="6657017E" w14:textId="77777777" w:rsidR="00645695" w:rsidRPr="00687DD2" w:rsidRDefault="00645695" w:rsidP="00687DD2">
            <w:pPr>
              <w:pStyle w:val="Paragraphedeliste"/>
              <w:numPr>
                <w:ilvl w:val="0"/>
                <w:numId w:val="108"/>
              </w:numPr>
              <w:suppressAutoHyphens/>
              <w:spacing w:after="0" w:line="240" w:lineRule="auto"/>
              <w:ind w:left="610"/>
              <w:contextualSpacing w:val="0"/>
              <w:rPr>
                <w:rFonts w:ascii="Arial" w:hAnsi="Arial" w:cs="Arial"/>
                <w:sz w:val="18"/>
                <w:szCs w:val="18"/>
              </w:rPr>
            </w:pPr>
            <w:r w:rsidRPr="00687DD2">
              <w:rPr>
                <w:rFonts w:ascii="Arial" w:hAnsi="Arial" w:cs="Arial"/>
                <w:sz w:val="18"/>
                <w:szCs w:val="18"/>
              </w:rPr>
              <w:t>Campagnes d’information et de sensibilisation sur la nature des travaux, l’implication des acteurs locaux, les enjeux environnementaux et sociaux</w:t>
            </w:r>
          </w:p>
          <w:p w14:paraId="32E12115" w14:textId="77777777" w:rsidR="00645695" w:rsidRPr="00687DD2" w:rsidRDefault="00645695" w:rsidP="00687DD2">
            <w:pPr>
              <w:pStyle w:val="Paragraphedeliste"/>
              <w:numPr>
                <w:ilvl w:val="0"/>
                <w:numId w:val="108"/>
              </w:numPr>
              <w:suppressAutoHyphens/>
              <w:spacing w:after="0" w:line="240" w:lineRule="auto"/>
              <w:ind w:left="610"/>
              <w:contextualSpacing w:val="0"/>
              <w:rPr>
                <w:rFonts w:ascii="Arial" w:hAnsi="Arial" w:cs="Arial"/>
                <w:sz w:val="18"/>
                <w:szCs w:val="18"/>
              </w:rPr>
            </w:pPr>
            <w:r w:rsidRPr="00687DD2">
              <w:rPr>
                <w:rFonts w:ascii="Arial" w:hAnsi="Arial" w:cs="Arial"/>
                <w:sz w:val="18"/>
                <w:szCs w:val="18"/>
              </w:rPr>
              <w:t xml:space="preserve">Gestion durable des infrastructures </w:t>
            </w:r>
          </w:p>
          <w:p w14:paraId="01BEE219" w14:textId="77777777" w:rsidR="00645695" w:rsidRPr="00687DD2" w:rsidRDefault="00645695" w:rsidP="00687DD2">
            <w:pPr>
              <w:pStyle w:val="Paragraphedeliste"/>
              <w:numPr>
                <w:ilvl w:val="0"/>
                <w:numId w:val="108"/>
              </w:numPr>
              <w:suppressAutoHyphens/>
              <w:spacing w:after="0" w:line="240" w:lineRule="auto"/>
              <w:ind w:left="610"/>
              <w:contextualSpacing w:val="0"/>
              <w:rPr>
                <w:rFonts w:ascii="Arial" w:hAnsi="Arial" w:cs="Arial"/>
                <w:sz w:val="18"/>
                <w:szCs w:val="18"/>
              </w:rPr>
            </w:pPr>
            <w:r w:rsidRPr="00687DD2">
              <w:rPr>
                <w:rFonts w:ascii="Arial" w:hAnsi="Arial" w:cs="Arial"/>
                <w:sz w:val="18"/>
                <w:szCs w:val="18"/>
              </w:rPr>
              <w:t xml:space="preserve">Sensibilisation sur la sécurité et l’hygiène lors des travaux </w:t>
            </w:r>
          </w:p>
        </w:tc>
        <w:tc>
          <w:tcPr>
            <w:tcW w:w="1034" w:type="dxa"/>
            <w:shd w:val="clear" w:color="auto" w:fill="B6DDE8"/>
            <w:vAlign w:val="center"/>
          </w:tcPr>
          <w:p w14:paraId="12F486CB" w14:textId="77777777" w:rsidR="00645695" w:rsidRPr="007F78CE" w:rsidRDefault="00645695" w:rsidP="00AE406E">
            <w:pPr>
              <w:suppressAutoHyphens/>
              <w:spacing w:after="0" w:line="240" w:lineRule="auto"/>
              <w:jc w:val="right"/>
              <w:rPr>
                <w:rFonts w:ascii="Arial" w:hAnsi="Arial" w:cs="Arial"/>
                <w:sz w:val="18"/>
                <w:szCs w:val="18"/>
              </w:rPr>
            </w:pPr>
            <w:r w:rsidRPr="007F78CE">
              <w:rPr>
                <w:rFonts w:ascii="Arial" w:hAnsi="Arial" w:cs="Arial"/>
                <w:sz w:val="18"/>
                <w:szCs w:val="18"/>
              </w:rPr>
              <w:t>2 par région</w:t>
            </w:r>
          </w:p>
        </w:tc>
        <w:tc>
          <w:tcPr>
            <w:tcW w:w="1299" w:type="dxa"/>
            <w:shd w:val="clear" w:color="auto" w:fill="B6DDE8"/>
            <w:vAlign w:val="center"/>
          </w:tcPr>
          <w:p w14:paraId="49E3C595" w14:textId="77777777" w:rsidR="00645695" w:rsidRPr="007F78CE" w:rsidRDefault="00645695" w:rsidP="00AE406E">
            <w:pPr>
              <w:suppressAutoHyphens/>
              <w:spacing w:after="0" w:line="240" w:lineRule="auto"/>
              <w:ind w:left="442"/>
              <w:jc w:val="right"/>
              <w:rPr>
                <w:rFonts w:ascii="Arial" w:hAnsi="Arial" w:cs="Arial"/>
                <w:sz w:val="18"/>
                <w:szCs w:val="18"/>
              </w:rPr>
            </w:pPr>
            <w:r w:rsidRPr="007F78CE">
              <w:rPr>
                <w:rFonts w:ascii="Arial" w:hAnsi="Arial" w:cs="Arial"/>
                <w:sz w:val="18"/>
                <w:szCs w:val="18"/>
              </w:rPr>
              <w:t>5 000</w:t>
            </w:r>
          </w:p>
        </w:tc>
        <w:tc>
          <w:tcPr>
            <w:tcW w:w="1494" w:type="dxa"/>
            <w:shd w:val="clear" w:color="auto" w:fill="B6DDE8"/>
            <w:vAlign w:val="center"/>
          </w:tcPr>
          <w:p w14:paraId="421FB993" w14:textId="77777777" w:rsidR="00645695" w:rsidRPr="007F78CE" w:rsidRDefault="00645695" w:rsidP="00AE406E">
            <w:pPr>
              <w:suppressAutoHyphens/>
              <w:spacing w:after="0" w:line="240" w:lineRule="auto"/>
              <w:ind w:left="442"/>
              <w:jc w:val="right"/>
              <w:rPr>
                <w:rFonts w:ascii="Arial" w:hAnsi="Arial" w:cs="Arial"/>
                <w:sz w:val="18"/>
                <w:szCs w:val="18"/>
              </w:rPr>
            </w:pPr>
            <w:r w:rsidRPr="007F78CE">
              <w:rPr>
                <w:rFonts w:ascii="Arial" w:hAnsi="Arial" w:cs="Arial"/>
                <w:sz w:val="18"/>
                <w:szCs w:val="18"/>
              </w:rPr>
              <w:t>230 000</w:t>
            </w:r>
          </w:p>
        </w:tc>
      </w:tr>
      <w:tr w:rsidR="0063584D" w:rsidRPr="007F78CE" w14:paraId="25182358" w14:textId="77777777" w:rsidTr="00AE406E">
        <w:trPr>
          <w:trHeight w:val="288"/>
        </w:trPr>
        <w:tc>
          <w:tcPr>
            <w:tcW w:w="5242" w:type="dxa"/>
            <w:tcBorders>
              <w:left w:val="single" w:sz="4" w:space="0" w:color="FFFFFF"/>
            </w:tcBorders>
            <w:shd w:val="clear" w:color="auto" w:fill="4BACC6"/>
          </w:tcPr>
          <w:p w14:paraId="7FF8CD76" w14:textId="77777777" w:rsidR="00645695" w:rsidRPr="007F78CE" w:rsidRDefault="00645695" w:rsidP="007F78CE">
            <w:pPr>
              <w:suppressAutoHyphens/>
              <w:spacing w:after="0" w:line="240" w:lineRule="auto"/>
              <w:rPr>
                <w:rFonts w:ascii="Arial" w:hAnsi="Arial" w:cs="Arial"/>
                <w:sz w:val="18"/>
                <w:szCs w:val="18"/>
              </w:rPr>
            </w:pPr>
            <w:r w:rsidRPr="007F78CE">
              <w:rPr>
                <w:rFonts w:ascii="Arial" w:hAnsi="Arial" w:cs="Arial"/>
                <w:sz w:val="18"/>
                <w:szCs w:val="18"/>
              </w:rPr>
              <w:t>Budget de mise en œuvre du PMPP</w:t>
            </w:r>
          </w:p>
        </w:tc>
        <w:tc>
          <w:tcPr>
            <w:tcW w:w="1034" w:type="dxa"/>
            <w:shd w:val="clear" w:color="auto" w:fill="DAEEF3"/>
            <w:vAlign w:val="center"/>
          </w:tcPr>
          <w:p w14:paraId="06EF27D9" w14:textId="77777777" w:rsidR="00645695" w:rsidRPr="007F78CE" w:rsidRDefault="00645695" w:rsidP="00AE406E">
            <w:pPr>
              <w:suppressAutoHyphens/>
              <w:spacing w:after="0" w:line="240" w:lineRule="auto"/>
              <w:ind w:left="442"/>
              <w:jc w:val="right"/>
              <w:rPr>
                <w:rFonts w:ascii="Arial" w:hAnsi="Arial" w:cs="Arial"/>
                <w:sz w:val="18"/>
                <w:szCs w:val="18"/>
              </w:rPr>
            </w:pPr>
            <w:r w:rsidRPr="007F78CE">
              <w:rPr>
                <w:rFonts w:ascii="Arial" w:hAnsi="Arial" w:cs="Arial"/>
                <w:sz w:val="18"/>
                <w:szCs w:val="18"/>
              </w:rPr>
              <w:t>1 frf</w:t>
            </w:r>
          </w:p>
        </w:tc>
        <w:tc>
          <w:tcPr>
            <w:tcW w:w="1299" w:type="dxa"/>
            <w:shd w:val="clear" w:color="auto" w:fill="DAEEF3"/>
            <w:vAlign w:val="center"/>
          </w:tcPr>
          <w:p w14:paraId="1FD86C9A" w14:textId="77777777" w:rsidR="00645695" w:rsidRPr="007F78CE" w:rsidRDefault="00E46B77" w:rsidP="00AE406E">
            <w:pPr>
              <w:suppressAutoHyphens/>
              <w:spacing w:after="0" w:line="240" w:lineRule="auto"/>
              <w:ind w:left="442"/>
              <w:jc w:val="right"/>
              <w:rPr>
                <w:rFonts w:ascii="Arial" w:hAnsi="Arial" w:cs="Arial"/>
                <w:sz w:val="18"/>
                <w:szCs w:val="18"/>
              </w:rPr>
            </w:pPr>
            <w:r w:rsidRPr="007F78CE">
              <w:rPr>
                <w:rFonts w:ascii="Arial" w:hAnsi="Arial" w:cs="Arial"/>
                <w:sz w:val="18"/>
                <w:szCs w:val="18"/>
              </w:rPr>
              <w:t> pm</w:t>
            </w:r>
          </w:p>
        </w:tc>
        <w:tc>
          <w:tcPr>
            <w:tcW w:w="1494" w:type="dxa"/>
            <w:shd w:val="clear" w:color="auto" w:fill="DAEEF3"/>
            <w:vAlign w:val="center"/>
          </w:tcPr>
          <w:p w14:paraId="4CCB0F56" w14:textId="77777777" w:rsidR="00645695" w:rsidRPr="007F78CE" w:rsidRDefault="00E46B77" w:rsidP="00AE406E">
            <w:pPr>
              <w:suppressAutoHyphens/>
              <w:spacing w:after="0" w:line="240" w:lineRule="auto"/>
              <w:ind w:left="442"/>
              <w:jc w:val="right"/>
              <w:rPr>
                <w:rFonts w:ascii="Arial" w:hAnsi="Arial" w:cs="Arial"/>
                <w:sz w:val="18"/>
                <w:szCs w:val="18"/>
              </w:rPr>
            </w:pPr>
            <w:r w:rsidRPr="007F78CE">
              <w:rPr>
                <w:rFonts w:ascii="Arial" w:hAnsi="Arial" w:cs="Arial"/>
                <w:sz w:val="18"/>
                <w:szCs w:val="18"/>
              </w:rPr>
              <w:t> pm</w:t>
            </w:r>
          </w:p>
        </w:tc>
      </w:tr>
      <w:tr w:rsidR="0063584D" w:rsidRPr="007F78CE" w14:paraId="676D7659" w14:textId="77777777" w:rsidTr="00AE406E">
        <w:trPr>
          <w:trHeight w:val="87"/>
        </w:trPr>
        <w:tc>
          <w:tcPr>
            <w:tcW w:w="0" w:type="dxa"/>
            <w:tcBorders>
              <w:left w:val="single" w:sz="4" w:space="0" w:color="FFFFFF"/>
            </w:tcBorders>
            <w:shd w:val="clear" w:color="auto" w:fill="4BACC6"/>
          </w:tcPr>
          <w:p w14:paraId="2A10BD4A" w14:textId="77777777" w:rsidR="00645695" w:rsidRPr="007F78CE" w:rsidRDefault="00645695" w:rsidP="007F78CE">
            <w:pPr>
              <w:suppressAutoHyphens/>
              <w:spacing w:after="0" w:line="240" w:lineRule="auto"/>
              <w:rPr>
                <w:rFonts w:ascii="Arial" w:hAnsi="Arial" w:cs="Arial"/>
                <w:sz w:val="18"/>
                <w:szCs w:val="18"/>
              </w:rPr>
            </w:pPr>
            <w:r w:rsidRPr="007F78CE">
              <w:rPr>
                <w:rFonts w:ascii="Arial" w:hAnsi="Arial" w:cs="Arial"/>
                <w:sz w:val="18"/>
                <w:szCs w:val="18"/>
              </w:rPr>
              <w:t>Budget pour le volet « Violence basée sur le Genre » (**)</w:t>
            </w:r>
          </w:p>
        </w:tc>
        <w:tc>
          <w:tcPr>
            <w:tcW w:w="0" w:type="dxa"/>
            <w:shd w:val="clear" w:color="auto" w:fill="B6DDE8"/>
            <w:vAlign w:val="center"/>
          </w:tcPr>
          <w:p w14:paraId="5F3A7CF3" w14:textId="77777777" w:rsidR="00645695" w:rsidRPr="007F78CE" w:rsidRDefault="00645695" w:rsidP="00AE406E">
            <w:pPr>
              <w:suppressAutoHyphens/>
              <w:spacing w:after="0" w:line="240" w:lineRule="auto"/>
              <w:ind w:left="442"/>
              <w:jc w:val="right"/>
              <w:rPr>
                <w:rFonts w:ascii="Arial" w:hAnsi="Arial" w:cs="Arial"/>
                <w:sz w:val="18"/>
                <w:szCs w:val="18"/>
              </w:rPr>
            </w:pPr>
            <w:r w:rsidRPr="007F78CE">
              <w:rPr>
                <w:rFonts w:ascii="Arial" w:hAnsi="Arial" w:cs="Arial"/>
                <w:sz w:val="18"/>
                <w:szCs w:val="18"/>
              </w:rPr>
              <w:t>1frf</w:t>
            </w:r>
          </w:p>
        </w:tc>
        <w:tc>
          <w:tcPr>
            <w:tcW w:w="0" w:type="dxa"/>
            <w:shd w:val="clear" w:color="auto" w:fill="B6DDE8"/>
            <w:vAlign w:val="center"/>
          </w:tcPr>
          <w:p w14:paraId="61D8518A" w14:textId="77777777" w:rsidR="00645695" w:rsidRPr="007F78CE" w:rsidRDefault="00C21029" w:rsidP="00AE406E">
            <w:pPr>
              <w:suppressAutoHyphens/>
              <w:spacing w:after="0" w:line="240" w:lineRule="auto"/>
              <w:ind w:left="442"/>
              <w:jc w:val="right"/>
              <w:rPr>
                <w:rFonts w:ascii="Arial" w:hAnsi="Arial" w:cs="Arial"/>
                <w:sz w:val="18"/>
                <w:szCs w:val="18"/>
              </w:rPr>
            </w:pPr>
            <w:r w:rsidRPr="007F78CE">
              <w:rPr>
                <w:rFonts w:ascii="Arial" w:hAnsi="Arial" w:cs="Arial"/>
                <w:sz w:val="18"/>
                <w:szCs w:val="18"/>
              </w:rPr>
              <w:t>367</w:t>
            </w:r>
            <w:r w:rsidR="007F78CE" w:rsidRPr="007F78CE">
              <w:rPr>
                <w:rFonts w:ascii="Arial" w:hAnsi="Arial" w:cs="Arial"/>
                <w:sz w:val="18"/>
                <w:szCs w:val="18"/>
              </w:rPr>
              <w:t xml:space="preserve"> </w:t>
            </w:r>
            <w:r w:rsidRPr="007F78CE">
              <w:rPr>
                <w:rFonts w:ascii="Arial" w:hAnsi="Arial" w:cs="Arial"/>
                <w:sz w:val="18"/>
                <w:szCs w:val="18"/>
              </w:rPr>
              <w:t xml:space="preserve">250 </w:t>
            </w:r>
          </w:p>
        </w:tc>
        <w:tc>
          <w:tcPr>
            <w:tcW w:w="0" w:type="dxa"/>
            <w:shd w:val="clear" w:color="auto" w:fill="B6DDE8"/>
            <w:vAlign w:val="center"/>
          </w:tcPr>
          <w:p w14:paraId="42BCFE1D" w14:textId="77777777" w:rsidR="00645695" w:rsidRPr="007F78CE" w:rsidRDefault="00237420" w:rsidP="00AE406E">
            <w:pPr>
              <w:suppressAutoHyphens/>
              <w:spacing w:after="0" w:line="240" w:lineRule="auto"/>
              <w:ind w:left="442"/>
              <w:jc w:val="right"/>
              <w:rPr>
                <w:rFonts w:ascii="Arial" w:hAnsi="Arial" w:cs="Arial"/>
                <w:sz w:val="18"/>
                <w:szCs w:val="18"/>
              </w:rPr>
            </w:pPr>
            <w:r w:rsidRPr="00237420">
              <w:rPr>
                <w:rFonts w:ascii="Arial" w:hAnsi="Arial" w:cs="Arial"/>
                <w:sz w:val="18"/>
                <w:szCs w:val="18"/>
              </w:rPr>
              <w:t>380</w:t>
            </w:r>
            <w:r w:rsidR="005C5141">
              <w:rPr>
                <w:rFonts w:ascii="Arial" w:hAnsi="Arial" w:cs="Arial"/>
                <w:sz w:val="18"/>
                <w:szCs w:val="18"/>
              </w:rPr>
              <w:t xml:space="preserve"> </w:t>
            </w:r>
            <w:r w:rsidRPr="00237420">
              <w:rPr>
                <w:rFonts w:ascii="Arial" w:hAnsi="Arial" w:cs="Arial"/>
                <w:sz w:val="18"/>
                <w:szCs w:val="18"/>
              </w:rPr>
              <w:t>363</w:t>
            </w:r>
          </w:p>
        </w:tc>
      </w:tr>
      <w:tr w:rsidR="0063584D" w:rsidRPr="007F78CE" w14:paraId="3F6F2027" w14:textId="77777777" w:rsidTr="00AE406E">
        <w:trPr>
          <w:trHeight w:val="419"/>
        </w:trPr>
        <w:tc>
          <w:tcPr>
            <w:tcW w:w="7575" w:type="dxa"/>
            <w:gridSpan w:val="3"/>
            <w:tcBorders>
              <w:left w:val="single" w:sz="4" w:space="0" w:color="FFFFFF"/>
              <w:bottom w:val="single" w:sz="4" w:space="0" w:color="FFFFFF"/>
            </w:tcBorders>
            <w:shd w:val="clear" w:color="auto" w:fill="4BACC6"/>
            <w:vAlign w:val="center"/>
          </w:tcPr>
          <w:p w14:paraId="6D623009" w14:textId="77777777" w:rsidR="00645695" w:rsidRPr="007F78CE" w:rsidRDefault="00645695" w:rsidP="00AE406E">
            <w:pPr>
              <w:suppressAutoHyphens/>
              <w:spacing w:after="0" w:line="240" w:lineRule="auto"/>
              <w:ind w:left="442"/>
              <w:jc w:val="right"/>
              <w:rPr>
                <w:rFonts w:ascii="Arial" w:hAnsi="Arial" w:cs="Arial"/>
                <w:b/>
                <w:bCs/>
                <w:sz w:val="18"/>
                <w:szCs w:val="18"/>
              </w:rPr>
            </w:pPr>
            <w:r w:rsidRPr="007F78CE">
              <w:rPr>
                <w:rFonts w:ascii="Arial" w:hAnsi="Arial" w:cs="Arial"/>
                <w:b/>
                <w:bCs/>
                <w:sz w:val="18"/>
                <w:szCs w:val="18"/>
              </w:rPr>
              <w:t>TOTAL GENERAL</w:t>
            </w:r>
            <w:r w:rsidR="00E46B77" w:rsidRPr="007F78CE">
              <w:rPr>
                <w:rFonts w:ascii="Arial" w:hAnsi="Arial" w:cs="Arial"/>
                <w:b/>
                <w:bCs/>
                <w:sz w:val="18"/>
                <w:szCs w:val="18"/>
              </w:rPr>
              <w:t> </w:t>
            </w:r>
            <w:r w:rsidRPr="007F78CE">
              <w:rPr>
                <w:rFonts w:ascii="Arial" w:hAnsi="Arial" w:cs="Arial"/>
                <w:b/>
                <w:bCs/>
                <w:sz w:val="18"/>
                <w:szCs w:val="18"/>
              </w:rPr>
              <w:t>:</w:t>
            </w:r>
          </w:p>
        </w:tc>
        <w:tc>
          <w:tcPr>
            <w:tcW w:w="1494" w:type="dxa"/>
            <w:shd w:val="clear" w:color="auto" w:fill="DAEEF3"/>
            <w:vAlign w:val="center"/>
          </w:tcPr>
          <w:p w14:paraId="6AD9C533" w14:textId="77777777" w:rsidR="00645695" w:rsidRPr="00FD3415" w:rsidRDefault="00237420" w:rsidP="00AE406E">
            <w:pPr>
              <w:suppressAutoHyphens/>
              <w:spacing w:after="0" w:line="240" w:lineRule="auto"/>
              <w:ind w:left="442"/>
              <w:jc w:val="right"/>
              <w:rPr>
                <w:rFonts w:ascii="Arial" w:hAnsi="Arial" w:cs="Arial"/>
                <w:b/>
                <w:sz w:val="18"/>
                <w:szCs w:val="18"/>
              </w:rPr>
            </w:pPr>
            <w:r w:rsidRPr="00237420">
              <w:rPr>
                <w:rFonts w:ascii="Arial" w:hAnsi="Arial" w:cs="Arial"/>
                <w:b/>
                <w:sz w:val="18"/>
                <w:szCs w:val="18"/>
              </w:rPr>
              <w:t>2</w:t>
            </w:r>
            <w:r>
              <w:rPr>
                <w:rFonts w:ascii="Arial" w:hAnsi="Arial" w:cs="Arial"/>
                <w:b/>
                <w:sz w:val="18"/>
                <w:szCs w:val="18"/>
              </w:rPr>
              <w:t xml:space="preserve"> </w:t>
            </w:r>
            <w:r w:rsidRPr="00237420">
              <w:rPr>
                <w:rFonts w:ascii="Arial" w:hAnsi="Arial" w:cs="Arial"/>
                <w:b/>
                <w:sz w:val="18"/>
                <w:szCs w:val="18"/>
              </w:rPr>
              <w:t>625</w:t>
            </w:r>
            <w:r>
              <w:rPr>
                <w:rFonts w:ascii="Arial" w:hAnsi="Arial" w:cs="Arial"/>
                <w:b/>
                <w:sz w:val="18"/>
                <w:szCs w:val="18"/>
              </w:rPr>
              <w:t xml:space="preserve"> </w:t>
            </w:r>
            <w:r w:rsidRPr="00237420">
              <w:rPr>
                <w:rFonts w:ascii="Arial" w:hAnsi="Arial" w:cs="Arial"/>
                <w:b/>
                <w:sz w:val="18"/>
                <w:szCs w:val="18"/>
              </w:rPr>
              <w:t>363</w:t>
            </w:r>
          </w:p>
        </w:tc>
      </w:tr>
    </w:tbl>
    <w:p w14:paraId="25313DEE" w14:textId="77777777" w:rsidR="00645695" w:rsidRPr="00886A9E" w:rsidRDefault="00645695" w:rsidP="00AE406E">
      <w:pPr>
        <w:spacing w:after="0" w:line="240" w:lineRule="auto"/>
        <w:jc w:val="both"/>
        <w:rPr>
          <w:rFonts w:ascii="Arial" w:hAnsi="Arial" w:cs="Arial"/>
          <w:sz w:val="16"/>
          <w:szCs w:val="16"/>
        </w:rPr>
      </w:pPr>
      <w:r w:rsidRPr="00886A9E">
        <w:rPr>
          <w:rFonts w:ascii="Arial" w:hAnsi="Arial" w:cs="Arial"/>
          <w:sz w:val="16"/>
          <w:szCs w:val="16"/>
        </w:rPr>
        <w:t>(*) Le nombre unitaire correspond au nombre de sites concernés par le Projet. On estime que le coût unitaire de 50.000 USD englobe la réalisation d’une étude complète pour tous les sous-projets prévus par région.</w:t>
      </w:r>
    </w:p>
    <w:p w14:paraId="6D218B0E" w14:textId="77777777" w:rsidR="00645695" w:rsidRPr="00886A9E" w:rsidRDefault="00645695" w:rsidP="00AE406E">
      <w:pPr>
        <w:spacing w:after="0" w:line="240" w:lineRule="auto"/>
        <w:jc w:val="both"/>
        <w:rPr>
          <w:rFonts w:ascii="Arial" w:hAnsi="Arial" w:cs="Arial"/>
          <w:sz w:val="16"/>
          <w:szCs w:val="16"/>
        </w:rPr>
      </w:pPr>
      <w:r w:rsidRPr="00886A9E">
        <w:rPr>
          <w:rFonts w:ascii="Arial" w:hAnsi="Arial" w:cs="Arial"/>
          <w:sz w:val="16"/>
          <w:szCs w:val="16"/>
        </w:rPr>
        <w:t>(**) Ce budget n’inclut pas les frais liés à la prise en charge des victimes dont on ne peut pas encore estimer le nombre à ce stade.</w:t>
      </w:r>
    </w:p>
    <w:p w14:paraId="3AE08FBF" w14:textId="77777777" w:rsidR="003E32E9" w:rsidRDefault="003E32E9">
      <w:r>
        <w:br w:type="page"/>
      </w:r>
    </w:p>
    <w:p w14:paraId="53F76F5F" w14:textId="77777777" w:rsidR="003E32E9" w:rsidRPr="00B96EBA" w:rsidRDefault="003E32E9" w:rsidP="0044500E">
      <w:pPr>
        <w:pStyle w:val="Paragraphedeliste"/>
        <w:numPr>
          <w:ilvl w:val="0"/>
          <w:numId w:val="177"/>
        </w:numPr>
        <w:pBdr>
          <w:bottom w:val="single" w:sz="4" w:space="1" w:color="auto"/>
        </w:pBdr>
        <w:spacing w:line="240" w:lineRule="auto"/>
        <w:jc w:val="both"/>
        <w:outlineLvl w:val="0"/>
        <w:rPr>
          <w:b/>
          <w:bCs/>
          <w:caps/>
          <w:color w:val="44546A"/>
          <w:sz w:val="40"/>
          <w:szCs w:val="44"/>
        </w:rPr>
      </w:pPr>
      <w:bookmarkStart w:id="1543" w:name="_Toc124956345"/>
      <w:bookmarkStart w:id="1544" w:name="_Toc125384692"/>
      <w:bookmarkStart w:id="1545" w:name="_Toc125385081"/>
      <w:bookmarkStart w:id="1546" w:name="_Toc127957749"/>
      <w:r w:rsidRPr="00B96EBA">
        <w:rPr>
          <w:b/>
          <w:bCs/>
          <w:caps/>
          <w:color w:val="44546A"/>
          <w:sz w:val="40"/>
          <w:szCs w:val="44"/>
        </w:rPr>
        <w:t>PROCEDURES DE MOBILISATION DES PARTIES PRENANTES</w:t>
      </w:r>
      <w:bookmarkEnd w:id="1543"/>
      <w:bookmarkEnd w:id="1544"/>
      <w:bookmarkEnd w:id="1545"/>
      <w:bookmarkEnd w:id="1546"/>
    </w:p>
    <w:p w14:paraId="5678794F" w14:textId="77777777" w:rsidR="003E32E9" w:rsidRPr="007F78CE" w:rsidRDefault="00C261A6" w:rsidP="0044500E">
      <w:pPr>
        <w:pStyle w:val="TIT2"/>
        <w:numPr>
          <w:ilvl w:val="1"/>
          <w:numId w:val="177"/>
        </w:numPr>
      </w:pPr>
      <w:bookmarkStart w:id="1547" w:name="_Toc124314808"/>
      <w:bookmarkStart w:id="1548" w:name="_Toc124956346"/>
      <w:bookmarkStart w:id="1549" w:name="_Toc125384693"/>
      <w:bookmarkStart w:id="1550" w:name="_Toc125385082"/>
      <w:bookmarkStart w:id="1551" w:name="_Toc127957750"/>
      <w:r w:rsidRPr="007F78CE">
        <w:t>Principes généraux</w:t>
      </w:r>
      <w:bookmarkEnd w:id="1547"/>
      <w:bookmarkEnd w:id="1548"/>
      <w:bookmarkEnd w:id="1549"/>
      <w:bookmarkEnd w:id="1550"/>
      <w:bookmarkEnd w:id="1551"/>
    </w:p>
    <w:p w14:paraId="66D2B7D2" w14:textId="77777777" w:rsidR="00657F89" w:rsidRDefault="00657F89" w:rsidP="00657F89">
      <w:pPr>
        <w:jc w:val="both"/>
        <w:rPr>
          <w:rFonts w:ascii="Arial" w:hAnsi="Arial" w:cs="Arial"/>
          <w:szCs w:val="24"/>
        </w:rPr>
      </w:pPr>
      <w:r>
        <w:rPr>
          <w:rFonts w:ascii="Arial" w:hAnsi="Arial" w:cs="Arial"/>
          <w:szCs w:val="24"/>
        </w:rPr>
        <w:t xml:space="preserve">Les principes directeurs suivants seront considérés pendant la </w:t>
      </w:r>
      <w:r w:rsidRPr="00764D3E">
        <w:rPr>
          <w:rFonts w:ascii="Arial" w:hAnsi="Arial" w:cs="Arial"/>
          <w:szCs w:val="24"/>
        </w:rPr>
        <w:t>conception et le déroulement des activités d’information et de consultation des parties prenantes</w:t>
      </w:r>
      <w:r>
        <w:rPr>
          <w:rFonts w:ascii="Arial" w:hAnsi="Arial" w:cs="Arial"/>
          <w:szCs w:val="24"/>
        </w:rPr>
        <w:t xml:space="preserve"> toute au long de la mise en œuvre du Projet DECIM</w:t>
      </w:r>
      <w:r w:rsidR="00E46B77">
        <w:rPr>
          <w:rFonts w:ascii="Arial" w:hAnsi="Arial" w:cs="Arial"/>
          <w:szCs w:val="24"/>
        </w:rPr>
        <w:t>.</w:t>
      </w:r>
      <w:r>
        <w:rPr>
          <w:rFonts w:ascii="Arial" w:hAnsi="Arial" w:cs="Arial"/>
          <w:szCs w:val="24"/>
        </w:rPr>
        <w:t xml:space="preserve"> </w:t>
      </w:r>
    </w:p>
    <w:p w14:paraId="3CE2D140" w14:textId="77777777" w:rsidR="00657F89" w:rsidRPr="00657F89" w:rsidRDefault="00657F89" w:rsidP="00687DD2">
      <w:pPr>
        <w:numPr>
          <w:ilvl w:val="0"/>
          <w:numId w:val="29"/>
        </w:numPr>
        <w:spacing w:after="0" w:line="240" w:lineRule="auto"/>
        <w:jc w:val="both"/>
        <w:rPr>
          <w:rFonts w:ascii="Arial" w:hAnsi="Arial" w:cs="Arial"/>
          <w:szCs w:val="24"/>
        </w:rPr>
      </w:pPr>
      <w:r w:rsidRPr="00657F89">
        <w:rPr>
          <w:rFonts w:ascii="Arial" w:hAnsi="Arial" w:cs="Arial"/>
          <w:b/>
          <w:bCs/>
          <w:szCs w:val="24"/>
        </w:rPr>
        <w:t>La transparence</w:t>
      </w:r>
      <w:r w:rsidR="00E46B77">
        <w:rPr>
          <w:rFonts w:ascii="Arial" w:hAnsi="Arial" w:cs="Arial"/>
          <w:b/>
          <w:bCs/>
          <w:szCs w:val="24"/>
        </w:rPr>
        <w:t> </w:t>
      </w:r>
      <w:r w:rsidRPr="00657F89">
        <w:rPr>
          <w:rFonts w:ascii="Arial" w:hAnsi="Arial" w:cs="Arial"/>
          <w:b/>
          <w:bCs/>
          <w:szCs w:val="24"/>
        </w:rPr>
        <w:t xml:space="preserve">: </w:t>
      </w:r>
      <w:r w:rsidRPr="00657F89">
        <w:rPr>
          <w:rFonts w:ascii="Arial" w:hAnsi="Arial" w:cs="Arial"/>
          <w:szCs w:val="24"/>
        </w:rPr>
        <w:t>elle permet l’instauration d’un dialogue constructif et continu avec les parties prenantes, ainsi que l’activation des mécanismes de remontées d’informations. Les parties prenantes doivent donc être informées de manière la plus totale possible du processus, des enjeux et des incidences de la mise en œuvre de chaque sous-projet ;</w:t>
      </w:r>
    </w:p>
    <w:p w14:paraId="6482558C" w14:textId="77777777" w:rsidR="00657F89" w:rsidRPr="00657F89" w:rsidRDefault="00657F89" w:rsidP="00687DD2">
      <w:pPr>
        <w:numPr>
          <w:ilvl w:val="0"/>
          <w:numId w:val="29"/>
        </w:numPr>
        <w:spacing w:after="0" w:line="240" w:lineRule="auto"/>
        <w:jc w:val="both"/>
        <w:rPr>
          <w:rFonts w:ascii="Arial" w:hAnsi="Arial" w:cs="Arial"/>
          <w:szCs w:val="24"/>
        </w:rPr>
      </w:pPr>
      <w:r w:rsidRPr="00657F89">
        <w:rPr>
          <w:rFonts w:ascii="Arial" w:hAnsi="Arial" w:cs="Arial"/>
          <w:b/>
          <w:bCs/>
          <w:szCs w:val="24"/>
        </w:rPr>
        <w:t xml:space="preserve">Le partage des responsabilités : </w:t>
      </w:r>
      <w:r w:rsidRPr="00657F89">
        <w:rPr>
          <w:rFonts w:ascii="Arial" w:hAnsi="Arial" w:cs="Arial"/>
          <w:szCs w:val="24"/>
        </w:rPr>
        <w:t>les responsabilités doivent être partagées entre toutes les parties prenantes du projet ;</w:t>
      </w:r>
    </w:p>
    <w:p w14:paraId="7718B8C4" w14:textId="77777777" w:rsidR="00657F89" w:rsidRPr="00657F89" w:rsidRDefault="00657F89" w:rsidP="00687DD2">
      <w:pPr>
        <w:numPr>
          <w:ilvl w:val="0"/>
          <w:numId w:val="29"/>
        </w:numPr>
        <w:spacing w:after="0" w:line="240" w:lineRule="auto"/>
        <w:jc w:val="both"/>
        <w:rPr>
          <w:rFonts w:ascii="Arial" w:hAnsi="Arial" w:cs="Arial"/>
          <w:szCs w:val="24"/>
        </w:rPr>
      </w:pPr>
      <w:r w:rsidRPr="00657F89">
        <w:rPr>
          <w:rFonts w:ascii="Arial" w:hAnsi="Arial" w:cs="Arial"/>
          <w:b/>
          <w:bCs/>
          <w:szCs w:val="24"/>
        </w:rPr>
        <w:t xml:space="preserve">L’inclusion et la représentativité : </w:t>
      </w:r>
      <w:r w:rsidRPr="00657F89">
        <w:rPr>
          <w:rFonts w:ascii="Arial" w:hAnsi="Arial" w:cs="Arial"/>
          <w:szCs w:val="24"/>
        </w:rPr>
        <w:t xml:space="preserve">les acteurs locaux qu’ils soient actifs ou inactifs et tous les membres des communautés, se doivent d’être inclus et représentés. Le projet </w:t>
      </w:r>
      <w:r w:rsidR="00401845" w:rsidRPr="00657F89">
        <w:rPr>
          <w:rFonts w:ascii="Arial" w:hAnsi="Arial" w:cs="Arial"/>
          <w:szCs w:val="24"/>
        </w:rPr>
        <w:t>mettr</w:t>
      </w:r>
      <w:r w:rsidR="00401845">
        <w:rPr>
          <w:rFonts w:ascii="Arial" w:hAnsi="Arial" w:cs="Arial"/>
          <w:szCs w:val="24"/>
        </w:rPr>
        <w:t>a</w:t>
      </w:r>
      <w:r w:rsidR="00401845" w:rsidRPr="00657F89">
        <w:rPr>
          <w:rFonts w:ascii="Arial" w:hAnsi="Arial" w:cs="Arial"/>
          <w:szCs w:val="24"/>
        </w:rPr>
        <w:t xml:space="preserve"> </w:t>
      </w:r>
      <w:r w:rsidRPr="00657F89">
        <w:rPr>
          <w:rFonts w:ascii="Arial" w:hAnsi="Arial" w:cs="Arial"/>
          <w:szCs w:val="24"/>
        </w:rPr>
        <w:t>en œuvre tous les moyens possibles de recueillir les avis et les contributions de toutes les parties prenantes y compris les groupes susceptibles d’être marginalisés du fait du genre, de la pauvreté, du profil éducatif et d’autres paramètres de marginalité sociale en leur assurant un accès équitable à l’information et la possibilité de faire connaître leurs opinions et préoccupations. Les flux d’informations doivent être bidirectionnels, permettant ainsi à toute partie prenante e partager toutes informations pertinentes et importantes sur la mise en œuvre du Projet et de ses sous-projets ;</w:t>
      </w:r>
    </w:p>
    <w:p w14:paraId="0A754067" w14:textId="77777777" w:rsidR="00657F89" w:rsidRPr="00657F89" w:rsidRDefault="00657F89" w:rsidP="00687DD2">
      <w:pPr>
        <w:numPr>
          <w:ilvl w:val="0"/>
          <w:numId w:val="29"/>
        </w:numPr>
        <w:spacing w:after="0" w:line="240" w:lineRule="auto"/>
        <w:jc w:val="both"/>
        <w:rPr>
          <w:rFonts w:ascii="Arial" w:hAnsi="Arial" w:cs="Arial"/>
          <w:szCs w:val="24"/>
        </w:rPr>
      </w:pPr>
      <w:r w:rsidRPr="00657F89">
        <w:rPr>
          <w:rFonts w:ascii="Arial" w:hAnsi="Arial" w:cs="Arial"/>
          <w:b/>
          <w:bCs/>
          <w:szCs w:val="24"/>
        </w:rPr>
        <w:t>La redevabilité :</w:t>
      </w:r>
      <w:r w:rsidRPr="00657F89">
        <w:rPr>
          <w:rFonts w:ascii="Arial" w:hAnsi="Arial" w:cs="Arial"/>
          <w:szCs w:val="24"/>
        </w:rPr>
        <w:t xml:space="preserve"> le sens de la redevabilité va dans la reconnaissance de la responsabilité des actions en garantissant aux individus et aux communautés, avec lesquels le Projet réalise ses travaux (à travers les sous-projets/activités), l’accès à des mécanismes pertinents par lesquels ces derniers puissent demander des comptes au Projet vis-à-vis de ses actions (mise en place d’un MGP efficace, équilibré et rapide.</w:t>
      </w:r>
    </w:p>
    <w:p w14:paraId="4F345302" w14:textId="77777777" w:rsidR="003E32E9" w:rsidRPr="007F78CE" w:rsidRDefault="00C261A6" w:rsidP="0044500E">
      <w:pPr>
        <w:pStyle w:val="TIT2"/>
        <w:numPr>
          <w:ilvl w:val="1"/>
          <w:numId w:val="177"/>
        </w:numPr>
      </w:pPr>
      <w:bookmarkStart w:id="1552" w:name="_Toc124314809"/>
      <w:bookmarkStart w:id="1553" w:name="_Toc124956347"/>
      <w:bookmarkStart w:id="1554" w:name="_Toc125384694"/>
      <w:bookmarkStart w:id="1555" w:name="_Toc125385083"/>
      <w:bookmarkStart w:id="1556" w:name="_Toc127957751"/>
      <w:r w:rsidRPr="007F78CE">
        <w:t>Buts et objectifs de la mobilisation</w:t>
      </w:r>
      <w:bookmarkEnd w:id="1552"/>
      <w:bookmarkEnd w:id="1553"/>
      <w:bookmarkEnd w:id="1554"/>
      <w:bookmarkEnd w:id="1555"/>
      <w:bookmarkEnd w:id="1556"/>
    </w:p>
    <w:p w14:paraId="25615848" w14:textId="77777777" w:rsidR="00657F89" w:rsidRPr="00657F89" w:rsidRDefault="00657F89" w:rsidP="00657F89">
      <w:pPr>
        <w:jc w:val="both"/>
        <w:rPr>
          <w:rFonts w:ascii="Arial" w:hAnsi="Arial" w:cs="Arial"/>
          <w:szCs w:val="24"/>
        </w:rPr>
      </w:pPr>
      <w:r>
        <w:rPr>
          <w:rFonts w:ascii="Arial" w:hAnsi="Arial" w:cs="Arial"/>
          <w:szCs w:val="24"/>
        </w:rPr>
        <w:t xml:space="preserve">La mobilisation des Parties prenantes a pour finalité de </w:t>
      </w:r>
      <w:r w:rsidRPr="00657F89">
        <w:rPr>
          <w:rFonts w:ascii="Arial" w:hAnsi="Arial" w:cs="Arial"/>
          <w:szCs w:val="24"/>
        </w:rPr>
        <w:t>:</w:t>
      </w:r>
    </w:p>
    <w:p w14:paraId="228492DB" w14:textId="77777777" w:rsidR="00657F89" w:rsidRPr="00657F89" w:rsidRDefault="00FD7760" w:rsidP="00687DD2">
      <w:pPr>
        <w:numPr>
          <w:ilvl w:val="0"/>
          <w:numId w:val="30"/>
        </w:numPr>
        <w:spacing w:after="0" w:line="240" w:lineRule="auto"/>
        <w:jc w:val="both"/>
        <w:rPr>
          <w:rFonts w:ascii="Arial" w:hAnsi="Arial" w:cs="Arial"/>
          <w:szCs w:val="24"/>
        </w:rPr>
      </w:pPr>
      <w:r w:rsidRPr="00657F89">
        <w:rPr>
          <w:rFonts w:ascii="Arial" w:hAnsi="Arial" w:cs="Arial"/>
          <w:szCs w:val="24"/>
        </w:rPr>
        <w:t>Établir</w:t>
      </w:r>
      <w:r w:rsidR="00657F89" w:rsidRPr="00657F89">
        <w:rPr>
          <w:rFonts w:ascii="Arial" w:hAnsi="Arial" w:cs="Arial"/>
          <w:szCs w:val="24"/>
        </w:rPr>
        <w:t xml:space="preserve"> un dialogue constructif entre la structure de </w:t>
      </w:r>
      <w:r w:rsidR="00657F89">
        <w:rPr>
          <w:rFonts w:ascii="Arial" w:hAnsi="Arial" w:cs="Arial"/>
          <w:szCs w:val="24"/>
        </w:rPr>
        <w:t>gestion et de coordination (UCP</w:t>
      </w:r>
      <w:r w:rsidR="00657F89" w:rsidRPr="00657F89">
        <w:rPr>
          <w:rFonts w:ascii="Arial" w:hAnsi="Arial" w:cs="Arial"/>
          <w:szCs w:val="24"/>
        </w:rPr>
        <w:t>) chargée de la mise en œuvre et toutes les parties prenantes impliquées dans la mise</w:t>
      </w:r>
      <w:r w:rsidR="00657F89">
        <w:rPr>
          <w:rFonts w:ascii="Arial" w:hAnsi="Arial" w:cs="Arial"/>
          <w:szCs w:val="24"/>
        </w:rPr>
        <w:t xml:space="preserve"> en œuvre (MEH, MNDPT</w:t>
      </w:r>
      <w:r w:rsidR="00657F89" w:rsidRPr="00657F89">
        <w:rPr>
          <w:rFonts w:ascii="Arial" w:hAnsi="Arial" w:cs="Arial"/>
          <w:szCs w:val="24"/>
        </w:rPr>
        <w:t xml:space="preserve">, </w:t>
      </w:r>
      <w:r w:rsidR="00657F89">
        <w:rPr>
          <w:rFonts w:ascii="Arial" w:hAnsi="Arial" w:cs="Arial"/>
          <w:szCs w:val="24"/>
        </w:rPr>
        <w:t xml:space="preserve">MEN, </w:t>
      </w:r>
      <w:r w:rsidR="00657F89">
        <w:rPr>
          <w:rFonts w:ascii="Arial" w:hAnsi="Arial" w:cs="Arial"/>
          <w:color w:val="000000"/>
          <w:szCs w:val="24"/>
        </w:rPr>
        <w:t>MSANP</w:t>
      </w:r>
      <w:r w:rsidR="00657F89" w:rsidRPr="003360A5">
        <w:rPr>
          <w:rFonts w:ascii="Arial" w:hAnsi="Arial" w:cs="Arial"/>
          <w:color w:val="000000"/>
          <w:szCs w:val="24"/>
        </w:rPr>
        <w:t xml:space="preserve">, </w:t>
      </w:r>
      <w:r w:rsidR="00657F89">
        <w:rPr>
          <w:rFonts w:ascii="Arial" w:hAnsi="Arial" w:cs="Arial"/>
          <w:color w:val="000000"/>
          <w:szCs w:val="24"/>
        </w:rPr>
        <w:t>MEF</w:t>
      </w:r>
      <w:r w:rsidR="00657F89" w:rsidRPr="003360A5">
        <w:rPr>
          <w:rFonts w:ascii="Arial" w:hAnsi="Arial" w:cs="Arial"/>
          <w:color w:val="000000"/>
          <w:szCs w:val="24"/>
        </w:rPr>
        <w:t>, JIRAMA, ADER,</w:t>
      </w:r>
      <w:r w:rsidR="00657F89">
        <w:rPr>
          <w:rFonts w:ascii="Arial" w:hAnsi="Arial" w:cs="Arial"/>
          <w:szCs w:val="24"/>
        </w:rPr>
        <w:t xml:space="preserve"> AREL</w:t>
      </w:r>
      <w:r w:rsidR="00C33C68">
        <w:rPr>
          <w:rFonts w:ascii="Arial" w:hAnsi="Arial" w:cs="Arial"/>
          <w:szCs w:val="24"/>
        </w:rPr>
        <w:t>E</w:t>
      </w:r>
      <w:r w:rsidR="00657F89">
        <w:rPr>
          <w:rFonts w:ascii="Arial" w:hAnsi="Arial" w:cs="Arial"/>
          <w:szCs w:val="24"/>
        </w:rPr>
        <w:t>C, ARTEC</w:t>
      </w:r>
      <w:r w:rsidR="00657F89" w:rsidRPr="00657F89">
        <w:rPr>
          <w:rFonts w:ascii="Arial" w:hAnsi="Arial" w:cs="Arial"/>
          <w:szCs w:val="24"/>
        </w:rPr>
        <w:t xml:space="preserve">, STD, ONG, </w:t>
      </w:r>
      <w:r w:rsidR="00F20B6A">
        <w:rPr>
          <w:rFonts w:ascii="Arial" w:hAnsi="Arial" w:cs="Arial"/>
          <w:szCs w:val="24"/>
        </w:rPr>
        <w:t>les I</w:t>
      </w:r>
      <w:r w:rsidR="00C33C68">
        <w:rPr>
          <w:rFonts w:ascii="Arial" w:hAnsi="Arial" w:cs="Arial"/>
          <w:szCs w:val="24"/>
        </w:rPr>
        <w:t>F</w:t>
      </w:r>
      <w:r w:rsidR="00F20B6A">
        <w:rPr>
          <w:rFonts w:ascii="Arial" w:hAnsi="Arial" w:cs="Arial"/>
          <w:szCs w:val="24"/>
        </w:rPr>
        <w:t xml:space="preserve">, les </w:t>
      </w:r>
      <w:r w:rsidR="00657F89" w:rsidRPr="00657F89">
        <w:rPr>
          <w:rFonts w:ascii="Arial" w:hAnsi="Arial" w:cs="Arial"/>
          <w:szCs w:val="24"/>
        </w:rPr>
        <w:t>secteur</w:t>
      </w:r>
      <w:r w:rsidR="00F20B6A">
        <w:rPr>
          <w:rFonts w:ascii="Arial" w:hAnsi="Arial" w:cs="Arial"/>
          <w:szCs w:val="24"/>
        </w:rPr>
        <w:t>s</w:t>
      </w:r>
      <w:r w:rsidR="00657F89" w:rsidRPr="00657F89">
        <w:rPr>
          <w:rFonts w:ascii="Arial" w:hAnsi="Arial" w:cs="Arial"/>
          <w:szCs w:val="24"/>
        </w:rPr>
        <w:t xml:space="preserve"> privé</w:t>
      </w:r>
      <w:r w:rsidR="00F20B6A">
        <w:rPr>
          <w:rFonts w:ascii="Arial" w:hAnsi="Arial" w:cs="Arial"/>
          <w:szCs w:val="24"/>
        </w:rPr>
        <w:t>s</w:t>
      </w:r>
      <w:r w:rsidR="00657F89" w:rsidRPr="00657F89">
        <w:rPr>
          <w:rFonts w:ascii="Arial" w:hAnsi="Arial" w:cs="Arial"/>
          <w:szCs w:val="24"/>
        </w:rPr>
        <w:t xml:space="preserve">, les </w:t>
      </w:r>
      <w:r w:rsidR="00657F89">
        <w:rPr>
          <w:rFonts w:ascii="Arial" w:hAnsi="Arial" w:cs="Arial"/>
          <w:szCs w:val="24"/>
        </w:rPr>
        <w:t>populations</w:t>
      </w:r>
      <w:r w:rsidR="00657F89" w:rsidRPr="00657F89">
        <w:rPr>
          <w:rFonts w:ascii="Arial" w:hAnsi="Arial" w:cs="Arial"/>
          <w:szCs w:val="24"/>
        </w:rPr>
        <w:t xml:space="preserve"> loc</w:t>
      </w:r>
      <w:r w:rsidR="00657F89">
        <w:rPr>
          <w:rFonts w:ascii="Arial" w:hAnsi="Arial" w:cs="Arial"/>
          <w:szCs w:val="24"/>
        </w:rPr>
        <w:t>ales</w:t>
      </w:r>
      <w:r w:rsidR="00657F89" w:rsidRPr="00657F89">
        <w:rPr>
          <w:rFonts w:ascii="Arial" w:hAnsi="Arial" w:cs="Arial"/>
          <w:szCs w:val="24"/>
        </w:rPr>
        <w:t>) ;</w:t>
      </w:r>
    </w:p>
    <w:p w14:paraId="5302A716" w14:textId="77777777" w:rsidR="00657F89" w:rsidRPr="00657F89" w:rsidRDefault="00657F89" w:rsidP="00687DD2">
      <w:pPr>
        <w:numPr>
          <w:ilvl w:val="0"/>
          <w:numId w:val="30"/>
        </w:numPr>
        <w:spacing w:after="0" w:line="240" w:lineRule="auto"/>
        <w:jc w:val="both"/>
        <w:rPr>
          <w:rFonts w:ascii="Arial" w:hAnsi="Arial" w:cs="Arial"/>
          <w:szCs w:val="24"/>
        </w:rPr>
      </w:pPr>
      <w:r w:rsidRPr="00657F89">
        <w:rPr>
          <w:rFonts w:ascii="Arial" w:hAnsi="Arial" w:cs="Arial"/>
          <w:szCs w:val="24"/>
        </w:rPr>
        <w:t>Engager les parties prenantes dans le processus de la diffusion de l’information et de consultation d’une manière adéquate et efficace tout au long du cycle du Projet en conformité avec les principes de participation publique, de non-discrimination, d’inclusion et de transparence ;</w:t>
      </w:r>
    </w:p>
    <w:p w14:paraId="27D0D46E" w14:textId="77777777" w:rsidR="00657F89" w:rsidRPr="00657F89" w:rsidRDefault="00657F89" w:rsidP="00687DD2">
      <w:pPr>
        <w:numPr>
          <w:ilvl w:val="0"/>
          <w:numId w:val="30"/>
        </w:numPr>
        <w:spacing w:after="0" w:line="240" w:lineRule="auto"/>
        <w:jc w:val="both"/>
        <w:rPr>
          <w:rFonts w:ascii="Arial" w:hAnsi="Arial" w:cs="Arial"/>
          <w:szCs w:val="24"/>
        </w:rPr>
      </w:pPr>
      <w:r w:rsidRPr="00657F89">
        <w:rPr>
          <w:rFonts w:ascii="Arial" w:hAnsi="Arial" w:cs="Arial"/>
          <w:szCs w:val="24"/>
        </w:rPr>
        <w:t xml:space="preserve">Assurer que les parties prenantes concernées y compris les groupes marginalisés disposent d’un accès équitable à l’information et de la possibilité de recueillir leurs opinions et préoccupations. Ces dernières sont à considérer à toutes prises de décisions par le Projet. </w:t>
      </w:r>
    </w:p>
    <w:p w14:paraId="117246D9" w14:textId="77777777" w:rsidR="00657F89" w:rsidRPr="00657F89" w:rsidRDefault="00657F89" w:rsidP="00F01166">
      <w:pPr>
        <w:spacing w:before="120" w:after="120"/>
        <w:jc w:val="both"/>
        <w:rPr>
          <w:rFonts w:ascii="Arial" w:hAnsi="Arial" w:cs="Arial"/>
          <w:szCs w:val="24"/>
        </w:rPr>
      </w:pPr>
      <w:r w:rsidRPr="00657F89">
        <w:rPr>
          <w:rFonts w:ascii="Arial" w:hAnsi="Arial" w:cs="Arial"/>
          <w:szCs w:val="24"/>
        </w:rPr>
        <w:t xml:space="preserve">Les activités de consultation menées dans le cadre de la préparation du Projet ont apporté des éclaircissements que la mobilisation des parties prenantes diffère d’un acteur à un autre, et cela en fonction de nombreux paramètres et facteurs. Entre autres facteurs qu’il faut considérer concernent le niveau d’implication, l’éloignement géographique, les capacités techniques et technologiques, etc. La différence au niveau culturel peut également influencer l’engagement de certaines parties prenantes. </w:t>
      </w:r>
    </w:p>
    <w:p w14:paraId="68149FDD" w14:textId="77777777" w:rsidR="00657F89" w:rsidRPr="00657F89" w:rsidRDefault="00657F89" w:rsidP="00657F89">
      <w:pPr>
        <w:jc w:val="both"/>
        <w:rPr>
          <w:rFonts w:ascii="Arial" w:hAnsi="Arial" w:cs="Arial"/>
          <w:szCs w:val="24"/>
        </w:rPr>
      </w:pPr>
      <w:r w:rsidRPr="00657F89">
        <w:rPr>
          <w:rFonts w:ascii="Arial" w:hAnsi="Arial" w:cs="Arial"/>
          <w:szCs w:val="24"/>
        </w:rPr>
        <w:t xml:space="preserve">Plus précisément, les objectifs spécifiques des activités de mobilisation visent à : </w:t>
      </w:r>
    </w:p>
    <w:p w14:paraId="7A45C17D" w14:textId="77777777" w:rsidR="00657F89" w:rsidRPr="00657F89" w:rsidRDefault="00657F89" w:rsidP="00687DD2">
      <w:pPr>
        <w:numPr>
          <w:ilvl w:val="0"/>
          <w:numId w:val="30"/>
        </w:numPr>
        <w:spacing w:after="0" w:line="240" w:lineRule="auto"/>
        <w:jc w:val="both"/>
        <w:rPr>
          <w:rFonts w:ascii="Arial" w:hAnsi="Arial" w:cs="Arial"/>
          <w:szCs w:val="24"/>
        </w:rPr>
      </w:pPr>
      <w:r w:rsidRPr="00657F89">
        <w:rPr>
          <w:rFonts w:ascii="Arial" w:hAnsi="Arial" w:cs="Arial"/>
          <w:szCs w:val="24"/>
        </w:rPr>
        <w:t>L’appropriation du projet par toutes les parties prenantes, notamment les représentants des organismes étatiques et de ses services déconcentrés ;</w:t>
      </w:r>
    </w:p>
    <w:p w14:paraId="611CE14D" w14:textId="77777777" w:rsidR="00657F89" w:rsidRPr="00657F89" w:rsidRDefault="00657F89" w:rsidP="00687DD2">
      <w:pPr>
        <w:numPr>
          <w:ilvl w:val="0"/>
          <w:numId w:val="30"/>
        </w:numPr>
        <w:spacing w:after="0" w:line="240" w:lineRule="auto"/>
        <w:jc w:val="both"/>
        <w:rPr>
          <w:rFonts w:ascii="Arial" w:hAnsi="Arial" w:cs="Arial"/>
          <w:szCs w:val="24"/>
        </w:rPr>
      </w:pPr>
      <w:r w:rsidRPr="00657F89">
        <w:rPr>
          <w:rFonts w:ascii="Arial" w:hAnsi="Arial" w:cs="Arial"/>
          <w:szCs w:val="24"/>
        </w:rPr>
        <w:t xml:space="preserve">L’intégration du Projet dans d’autres interventions, notamment en matière de développement territorial (Région, District et Commune) ; </w:t>
      </w:r>
    </w:p>
    <w:p w14:paraId="2BFC41C8" w14:textId="77777777" w:rsidR="00657F89" w:rsidRPr="00657F89" w:rsidRDefault="00657F89" w:rsidP="00687DD2">
      <w:pPr>
        <w:numPr>
          <w:ilvl w:val="0"/>
          <w:numId w:val="30"/>
        </w:numPr>
        <w:spacing w:after="0" w:line="240" w:lineRule="auto"/>
        <w:jc w:val="both"/>
        <w:rPr>
          <w:rFonts w:ascii="Arial" w:hAnsi="Arial" w:cs="Arial"/>
          <w:szCs w:val="24"/>
        </w:rPr>
      </w:pPr>
      <w:r w:rsidRPr="00657F89">
        <w:rPr>
          <w:rFonts w:ascii="Arial" w:hAnsi="Arial" w:cs="Arial"/>
          <w:szCs w:val="24"/>
        </w:rPr>
        <w:t>Comprendre et lever la complexité des interactions des parties prenantes sur le terrain ;</w:t>
      </w:r>
    </w:p>
    <w:p w14:paraId="07746456" w14:textId="77777777" w:rsidR="00657F89" w:rsidRPr="00657F89" w:rsidRDefault="00657F89" w:rsidP="00687DD2">
      <w:pPr>
        <w:numPr>
          <w:ilvl w:val="0"/>
          <w:numId w:val="30"/>
        </w:numPr>
        <w:spacing w:after="0" w:line="240" w:lineRule="auto"/>
        <w:jc w:val="both"/>
        <w:rPr>
          <w:rFonts w:ascii="Arial" w:hAnsi="Arial" w:cs="Arial"/>
          <w:szCs w:val="24"/>
        </w:rPr>
      </w:pPr>
      <w:r w:rsidRPr="00657F89">
        <w:rPr>
          <w:rFonts w:ascii="Arial" w:hAnsi="Arial" w:cs="Arial"/>
          <w:szCs w:val="24"/>
        </w:rPr>
        <w:t>Appréhender les opportunités et les contraintes à la réussite du projet.</w:t>
      </w:r>
    </w:p>
    <w:p w14:paraId="1739E015" w14:textId="77777777" w:rsidR="00657F89" w:rsidRPr="00657F89" w:rsidRDefault="00657F89" w:rsidP="00687DD2">
      <w:pPr>
        <w:numPr>
          <w:ilvl w:val="0"/>
          <w:numId w:val="30"/>
        </w:numPr>
        <w:spacing w:after="0" w:line="240" w:lineRule="auto"/>
        <w:jc w:val="both"/>
        <w:rPr>
          <w:rFonts w:ascii="Arial" w:hAnsi="Arial" w:cs="Arial"/>
          <w:szCs w:val="24"/>
        </w:rPr>
      </w:pPr>
      <w:r w:rsidRPr="00657F89">
        <w:rPr>
          <w:rFonts w:ascii="Arial" w:hAnsi="Arial" w:cs="Arial"/>
          <w:szCs w:val="24"/>
        </w:rPr>
        <w:t>L’établissement de mécanismes d’interactions avec les parties prenantes en vue de partager, en temps voulu et de manière compréhensible, accessible et appropriée l’information pertinente sur le projet et ses activités.</w:t>
      </w:r>
    </w:p>
    <w:p w14:paraId="225638E2" w14:textId="77777777" w:rsidR="003E32E9" w:rsidRDefault="003E32E9" w:rsidP="00657F89">
      <w:pPr>
        <w:jc w:val="both"/>
        <w:rPr>
          <w:rFonts w:ascii="Arial" w:hAnsi="Arial" w:cs="Arial"/>
          <w:szCs w:val="24"/>
        </w:rPr>
      </w:pPr>
    </w:p>
    <w:p w14:paraId="60D0F2DE" w14:textId="77777777" w:rsidR="001C0602" w:rsidRPr="00345918" w:rsidRDefault="001C0602" w:rsidP="00345918">
      <w:pPr>
        <w:pStyle w:val="TIT2"/>
        <w:numPr>
          <w:ilvl w:val="1"/>
          <w:numId w:val="177"/>
        </w:numPr>
      </w:pPr>
      <w:bookmarkStart w:id="1557" w:name="_Toc127957752"/>
      <w:r w:rsidRPr="00345918">
        <w:t>Identification des groupes vulnérables</w:t>
      </w:r>
      <w:bookmarkEnd w:id="1557"/>
      <w:r w:rsidRPr="00345918">
        <w:t xml:space="preserve"> </w:t>
      </w:r>
    </w:p>
    <w:p w14:paraId="4B021467" w14:textId="77777777" w:rsidR="001C0602" w:rsidRDefault="001C0602" w:rsidP="00657F89">
      <w:pPr>
        <w:jc w:val="both"/>
        <w:rPr>
          <w:rFonts w:ascii="Arial" w:hAnsi="Arial" w:cs="Arial"/>
          <w:szCs w:val="24"/>
        </w:rPr>
      </w:pPr>
    </w:p>
    <w:p w14:paraId="29D58085" w14:textId="77777777" w:rsidR="001C0602" w:rsidRDefault="001C0602" w:rsidP="00657F89">
      <w:pPr>
        <w:jc w:val="both"/>
        <w:rPr>
          <w:rFonts w:ascii="Arial" w:hAnsi="Arial" w:cs="Arial"/>
          <w:szCs w:val="24"/>
        </w:rPr>
      </w:pPr>
      <w:r>
        <w:rPr>
          <w:rFonts w:ascii="Arial" w:hAnsi="Arial" w:cs="Arial"/>
          <w:szCs w:val="24"/>
        </w:rPr>
        <w:t xml:space="preserve">Les groupes vulnérables font parties des parties prenantes du Projet DECIM et leur identification nécessite une approche spécifique. </w:t>
      </w:r>
      <w:r w:rsidR="005F159D">
        <w:rPr>
          <w:rFonts w:ascii="Arial" w:hAnsi="Arial" w:cs="Arial"/>
          <w:szCs w:val="24"/>
        </w:rPr>
        <w:t xml:space="preserve">La méthodologie pour l’identification de ces groupes est basée sur : </w:t>
      </w:r>
    </w:p>
    <w:p w14:paraId="7EB044A1" w14:textId="77777777" w:rsidR="005F159D" w:rsidRDefault="005F159D" w:rsidP="00345918">
      <w:pPr>
        <w:pStyle w:val="Paragraphedeliste"/>
        <w:numPr>
          <w:ilvl w:val="0"/>
          <w:numId w:val="235"/>
        </w:numPr>
        <w:jc w:val="both"/>
        <w:rPr>
          <w:rFonts w:ascii="Arial" w:hAnsi="Arial" w:cs="Arial"/>
          <w:szCs w:val="24"/>
        </w:rPr>
      </w:pPr>
      <w:r w:rsidRPr="00345918">
        <w:rPr>
          <w:rFonts w:ascii="Arial" w:hAnsi="Arial" w:cs="Arial"/>
          <w:szCs w:val="24"/>
        </w:rPr>
        <w:t xml:space="preserve">Analyse des documents existants </w:t>
      </w:r>
    </w:p>
    <w:p w14:paraId="4B45DE48" w14:textId="77777777" w:rsidR="005F159D" w:rsidRDefault="005F159D" w:rsidP="00345918">
      <w:pPr>
        <w:pStyle w:val="Paragraphedeliste"/>
        <w:numPr>
          <w:ilvl w:val="0"/>
          <w:numId w:val="235"/>
        </w:numPr>
        <w:jc w:val="both"/>
        <w:rPr>
          <w:rFonts w:ascii="Arial" w:hAnsi="Arial" w:cs="Arial"/>
          <w:szCs w:val="24"/>
        </w:rPr>
      </w:pPr>
      <w:r>
        <w:rPr>
          <w:rFonts w:ascii="Arial" w:hAnsi="Arial" w:cs="Arial"/>
          <w:szCs w:val="24"/>
        </w:rPr>
        <w:t xml:space="preserve">Réunion avec les autres parties prenates telles que les autorités locales (administrative, traditionnelle, réligieuses, etc.), ONG et associations travaillant dans les sites d’intervention du Projet </w:t>
      </w:r>
    </w:p>
    <w:p w14:paraId="526D4B7E" w14:textId="77777777" w:rsidR="005F159D" w:rsidRDefault="005F159D" w:rsidP="00345918">
      <w:pPr>
        <w:pStyle w:val="Paragraphedeliste"/>
        <w:numPr>
          <w:ilvl w:val="0"/>
          <w:numId w:val="235"/>
        </w:numPr>
        <w:jc w:val="both"/>
        <w:rPr>
          <w:rFonts w:ascii="Arial" w:hAnsi="Arial" w:cs="Arial"/>
          <w:szCs w:val="24"/>
        </w:rPr>
      </w:pPr>
      <w:r>
        <w:rPr>
          <w:rFonts w:ascii="Arial" w:hAnsi="Arial" w:cs="Arial"/>
          <w:szCs w:val="24"/>
        </w:rPr>
        <w:t>Enquête d’opinion auprès des communautés locales</w:t>
      </w:r>
    </w:p>
    <w:p w14:paraId="45F60AB9" w14:textId="77777777" w:rsidR="001C0602" w:rsidRPr="00657F89" w:rsidRDefault="001C0602" w:rsidP="00657F89">
      <w:pPr>
        <w:jc w:val="both"/>
        <w:rPr>
          <w:rFonts w:ascii="Arial" w:hAnsi="Arial" w:cs="Arial"/>
          <w:szCs w:val="24"/>
        </w:rPr>
      </w:pPr>
    </w:p>
    <w:p w14:paraId="0B062EE8" w14:textId="77777777" w:rsidR="003E32E9" w:rsidRPr="007F78CE" w:rsidRDefault="00C261A6" w:rsidP="0044500E">
      <w:pPr>
        <w:pStyle w:val="TIT2"/>
        <w:numPr>
          <w:ilvl w:val="1"/>
          <w:numId w:val="177"/>
        </w:numPr>
      </w:pPr>
      <w:bookmarkStart w:id="1558" w:name="_Toc124314810"/>
      <w:bookmarkStart w:id="1559" w:name="_Toc124956348"/>
      <w:bookmarkStart w:id="1560" w:name="_Toc125384695"/>
      <w:bookmarkStart w:id="1561" w:name="_Toc125385084"/>
      <w:bookmarkStart w:id="1562" w:name="_Toc127957753"/>
      <w:r w:rsidRPr="007F78CE">
        <w:t>Méthodes de mobilisation des Parties Prenantes</w:t>
      </w:r>
      <w:bookmarkEnd w:id="1558"/>
      <w:bookmarkEnd w:id="1559"/>
      <w:bookmarkEnd w:id="1560"/>
      <w:bookmarkEnd w:id="1561"/>
      <w:bookmarkEnd w:id="1562"/>
    </w:p>
    <w:p w14:paraId="074229A4" w14:textId="77777777" w:rsidR="00657F89" w:rsidRPr="00657F89" w:rsidRDefault="00657F89" w:rsidP="00657F89">
      <w:pPr>
        <w:jc w:val="both"/>
        <w:rPr>
          <w:rFonts w:ascii="Arial" w:hAnsi="Arial" w:cs="Arial"/>
          <w:szCs w:val="24"/>
        </w:rPr>
      </w:pPr>
      <w:r w:rsidRPr="00657F89">
        <w:rPr>
          <w:rFonts w:ascii="Arial" w:hAnsi="Arial" w:cs="Arial"/>
          <w:szCs w:val="24"/>
        </w:rPr>
        <w:t xml:space="preserve">La mobilisation des parties prenantes constitue une étape indispensable et primordiale à </w:t>
      </w:r>
      <w:r>
        <w:rPr>
          <w:rFonts w:ascii="Arial" w:hAnsi="Arial" w:cs="Arial"/>
          <w:szCs w:val="24"/>
        </w:rPr>
        <w:t>la mise en œuvre efficiente du P</w:t>
      </w:r>
      <w:r w:rsidRPr="00657F89">
        <w:rPr>
          <w:rFonts w:ascii="Arial" w:hAnsi="Arial" w:cs="Arial"/>
          <w:szCs w:val="24"/>
        </w:rPr>
        <w:t>rojet</w:t>
      </w:r>
      <w:r w:rsidR="00AE21C9">
        <w:rPr>
          <w:rFonts w:ascii="Arial" w:hAnsi="Arial" w:cs="Arial"/>
          <w:szCs w:val="24"/>
        </w:rPr>
        <w:t xml:space="preserve">, </w:t>
      </w:r>
      <w:r w:rsidRPr="00657F89">
        <w:rPr>
          <w:rFonts w:ascii="Arial" w:hAnsi="Arial" w:cs="Arial"/>
          <w:szCs w:val="24"/>
        </w:rPr>
        <w:t xml:space="preserve">car elle permettra aux parties prenantes identifiées d’exprimer leurs opinions sur le Projet </w:t>
      </w:r>
      <w:r>
        <w:rPr>
          <w:rFonts w:ascii="Arial" w:hAnsi="Arial" w:cs="Arial"/>
          <w:szCs w:val="24"/>
        </w:rPr>
        <w:t>DECIM</w:t>
      </w:r>
      <w:r w:rsidRPr="00657F89">
        <w:rPr>
          <w:rFonts w:ascii="Arial" w:hAnsi="Arial" w:cs="Arial"/>
          <w:szCs w:val="24"/>
        </w:rPr>
        <w:t xml:space="preserve"> et d’étaler au grand jour leurs préoccupations et suggestions.</w:t>
      </w:r>
    </w:p>
    <w:p w14:paraId="10442444" w14:textId="77777777" w:rsidR="00657F89" w:rsidRDefault="00657F89" w:rsidP="00657F89">
      <w:pPr>
        <w:jc w:val="both"/>
        <w:rPr>
          <w:rFonts w:ascii="Arial" w:hAnsi="Arial" w:cs="Arial"/>
          <w:szCs w:val="24"/>
        </w:rPr>
      </w:pPr>
      <w:r>
        <w:rPr>
          <w:rFonts w:ascii="Arial" w:hAnsi="Arial" w:cs="Arial"/>
          <w:szCs w:val="24"/>
        </w:rPr>
        <w:t xml:space="preserve">Pour la communication et la mobilisation des parties prenantes, le Projet utilisera plusieurs moyens qui varieront suivant </w:t>
      </w:r>
      <w:r w:rsidR="00AE21C9">
        <w:rPr>
          <w:rFonts w:ascii="Arial" w:hAnsi="Arial" w:cs="Arial"/>
          <w:szCs w:val="24"/>
        </w:rPr>
        <w:t xml:space="preserve">la cible. </w:t>
      </w:r>
      <w:r w:rsidR="00AE21C9" w:rsidRPr="00657F89">
        <w:rPr>
          <w:rFonts w:ascii="Arial" w:hAnsi="Arial" w:cs="Arial"/>
          <w:szCs w:val="24"/>
        </w:rPr>
        <w:t>Celles-ci comprennent les sites web, les réseaux sociaux (Facebook, twitter, WhatsApp), la radio, la télévision, les communiqués de presse, les spots documentaires ainsi que tous les supports de communication et d’information (communiqué, porte-document, flyer, roll-</w:t>
      </w:r>
      <w:r w:rsidR="00AE21C9">
        <w:rPr>
          <w:rFonts w:ascii="Arial" w:hAnsi="Arial" w:cs="Arial"/>
          <w:szCs w:val="24"/>
        </w:rPr>
        <w:t>up</w:t>
      </w:r>
      <w:r w:rsidR="00AE21C9" w:rsidRPr="00657F89">
        <w:rPr>
          <w:rFonts w:ascii="Arial" w:hAnsi="Arial" w:cs="Arial"/>
          <w:szCs w:val="24"/>
        </w:rPr>
        <w:t>, brochures, dépliants, posters, documents et rapports de synthèse non techniques).</w:t>
      </w:r>
    </w:p>
    <w:p w14:paraId="212FF436" w14:textId="77777777" w:rsidR="00AE21C9" w:rsidRDefault="00657F89" w:rsidP="00657F89">
      <w:pPr>
        <w:jc w:val="both"/>
        <w:rPr>
          <w:rFonts w:ascii="Arial" w:hAnsi="Arial" w:cs="Arial"/>
          <w:szCs w:val="24"/>
        </w:rPr>
      </w:pPr>
      <w:r w:rsidRPr="00657F89">
        <w:rPr>
          <w:rFonts w:ascii="Arial" w:hAnsi="Arial" w:cs="Arial"/>
          <w:szCs w:val="24"/>
        </w:rPr>
        <w:t xml:space="preserve">En plus des supports de communication, </w:t>
      </w:r>
      <w:r w:rsidR="00AE21C9">
        <w:rPr>
          <w:rFonts w:ascii="Arial" w:hAnsi="Arial" w:cs="Arial"/>
          <w:szCs w:val="24"/>
        </w:rPr>
        <w:t>le Projet fera aussi des p</w:t>
      </w:r>
      <w:r w:rsidR="00994491">
        <w:rPr>
          <w:rFonts w:ascii="Arial" w:hAnsi="Arial" w:cs="Arial"/>
          <w:szCs w:val="24"/>
        </w:rPr>
        <w:t>or</w:t>
      </w:r>
      <w:r w:rsidR="00AE21C9">
        <w:rPr>
          <w:rFonts w:ascii="Arial" w:hAnsi="Arial" w:cs="Arial"/>
          <w:szCs w:val="24"/>
        </w:rPr>
        <w:t xml:space="preserve">tes à portes </w:t>
      </w:r>
      <w:r w:rsidR="00AE21C9" w:rsidRPr="00657F89">
        <w:rPr>
          <w:rFonts w:ascii="Arial" w:hAnsi="Arial" w:cs="Arial"/>
          <w:szCs w:val="24"/>
        </w:rPr>
        <w:t>des focus group</w:t>
      </w:r>
      <w:r w:rsidR="00AE21C9">
        <w:rPr>
          <w:rFonts w:ascii="Arial" w:hAnsi="Arial" w:cs="Arial"/>
          <w:szCs w:val="24"/>
        </w:rPr>
        <w:t>s,</w:t>
      </w:r>
      <w:r w:rsidR="00AE21C9" w:rsidRPr="00657F89">
        <w:rPr>
          <w:rFonts w:ascii="Arial" w:hAnsi="Arial" w:cs="Arial"/>
          <w:szCs w:val="24"/>
        </w:rPr>
        <w:t xml:space="preserve"> des ateliers de formation, de réflexion et de partage d’expériences, des évènements festifs</w:t>
      </w:r>
      <w:r w:rsidR="00AE21C9">
        <w:rPr>
          <w:rFonts w:ascii="Arial" w:hAnsi="Arial" w:cs="Arial"/>
          <w:szCs w:val="24"/>
        </w:rPr>
        <w:t xml:space="preserve"> tout au long de la mise en œuvre. </w:t>
      </w:r>
      <w:r w:rsidR="00AE21C9" w:rsidRPr="00657F89">
        <w:rPr>
          <w:rFonts w:ascii="Arial" w:hAnsi="Arial" w:cs="Arial"/>
          <w:szCs w:val="24"/>
        </w:rPr>
        <w:t>Leurs visibilités pourront être assurées par des packages de formation et des articles de presse qui paraîtront après les ateliers et évènements programmés dans le cadre du projet.</w:t>
      </w:r>
    </w:p>
    <w:p w14:paraId="47B8753D" w14:textId="77777777" w:rsidR="00994491" w:rsidRPr="007F78CE" w:rsidRDefault="00657F89" w:rsidP="00F01166">
      <w:pPr>
        <w:jc w:val="both"/>
        <w:rPr>
          <w:b/>
          <w:bCs/>
          <w:color w:val="4F81BD"/>
          <w:sz w:val="20"/>
          <w:szCs w:val="18"/>
        </w:rPr>
      </w:pPr>
      <w:r w:rsidRPr="4E4A4666">
        <w:rPr>
          <w:rFonts w:ascii="Arial" w:hAnsi="Arial" w:cs="Arial"/>
        </w:rPr>
        <w:t>Les méthodes listées ci-après ne sont pas exhaustives à ce stade du projet. Elles seront renforcées lorsque la stratégie de communication propre au Projet est élaborée ainsi que le Plan de Communication y afférent. Le tableau ci-après présente les méthodes à utiliser afin d’obtenir l’engagement et l’implication effective des parties prenantes.</w:t>
      </w:r>
      <w:bookmarkStart w:id="1563" w:name="_Toc121213474"/>
    </w:p>
    <w:p w14:paraId="0A7672CA" w14:textId="77777777" w:rsidR="00AE21C9" w:rsidRPr="00886A9E" w:rsidRDefault="00AE21C9" w:rsidP="00886A9E">
      <w:pPr>
        <w:pStyle w:val="Lgende"/>
        <w:spacing w:before="120"/>
        <w:jc w:val="center"/>
        <w:rPr>
          <w:sz w:val="20"/>
        </w:rPr>
      </w:pPr>
      <w:bookmarkStart w:id="1564" w:name="_Toc127957895"/>
      <w:r w:rsidRPr="00886A9E">
        <w:rPr>
          <w:sz w:val="20"/>
        </w:rPr>
        <w:t xml:space="preserve">Tableau </w:t>
      </w:r>
      <w:r w:rsidRPr="00886A9E">
        <w:rPr>
          <w:sz w:val="20"/>
        </w:rPr>
        <w:fldChar w:fldCharType="begin"/>
      </w:r>
      <w:r w:rsidRPr="00886A9E">
        <w:rPr>
          <w:sz w:val="20"/>
        </w:rPr>
        <w:instrText xml:space="preserve"> SEQ Tableau \* ARABIC </w:instrText>
      </w:r>
      <w:r w:rsidRPr="00886A9E">
        <w:rPr>
          <w:sz w:val="20"/>
        </w:rPr>
        <w:fldChar w:fldCharType="separate"/>
      </w:r>
      <w:r w:rsidR="005430A1">
        <w:rPr>
          <w:noProof/>
          <w:sz w:val="20"/>
        </w:rPr>
        <w:t>99</w:t>
      </w:r>
      <w:r w:rsidRPr="00886A9E">
        <w:rPr>
          <w:sz w:val="20"/>
        </w:rPr>
        <w:fldChar w:fldCharType="end"/>
      </w:r>
      <w:r w:rsidRPr="00886A9E">
        <w:rPr>
          <w:sz w:val="20"/>
        </w:rPr>
        <w:t>. Récapitulatif des méthodes de mobilisation appropriées pour chaque catégorie de parties prenantes</w:t>
      </w:r>
      <w:bookmarkEnd w:id="1563"/>
      <w:bookmarkEnd w:id="1564"/>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598"/>
        <w:gridCol w:w="1924"/>
        <w:gridCol w:w="2431"/>
        <w:gridCol w:w="3097"/>
      </w:tblGrid>
      <w:tr w:rsidR="0063584D" w:rsidRPr="007F78CE" w14:paraId="27C3C20A" w14:textId="77777777" w:rsidTr="007F78CE">
        <w:trPr>
          <w:tblHeader/>
        </w:trPr>
        <w:tc>
          <w:tcPr>
            <w:tcW w:w="882" w:type="pct"/>
            <w:shd w:val="clear" w:color="auto" w:fill="4F81BD"/>
            <w:vAlign w:val="center"/>
          </w:tcPr>
          <w:p w14:paraId="7D1E69C0" w14:textId="77777777" w:rsidR="00AE21C9" w:rsidRPr="007F78CE" w:rsidRDefault="00AE21C9" w:rsidP="007F78CE">
            <w:pPr>
              <w:spacing w:after="0" w:line="240" w:lineRule="auto"/>
              <w:jc w:val="center"/>
              <w:rPr>
                <w:rFonts w:ascii="Arial" w:hAnsi="Arial" w:cs="Arial"/>
                <w:b/>
                <w:color w:val="FFFFFF"/>
                <w:sz w:val="18"/>
                <w:szCs w:val="18"/>
              </w:rPr>
            </w:pPr>
            <w:r w:rsidRPr="007F78CE">
              <w:rPr>
                <w:rFonts w:ascii="Arial" w:hAnsi="Arial" w:cs="Arial"/>
                <w:b/>
                <w:color w:val="FFFFFF"/>
                <w:sz w:val="18"/>
                <w:szCs w:val="18"/>
              </w:rPr>
              <w:t>Objets de la mobilisation</w:t>
            </w:r>
          </w:p>
        </w:tc>
        <w:tc>
          <w:tcPr>
            <w:tcW w:w="1063" w:type="pct"/>
            <w:shd w:val="clear" w:color="auto" w:fill="4F81BD"/>
            <w:vAlign w:val="center"/>
          </w:tcPr>
          <w:p w14:paraId="12CBD7B3" w14:textId="77777777" w:rsidR="00AE21C9" w:rsidRPr="007F78CE" w:rsidRDefault="00AE21C9" w:rsidP="007F78CE">
            <w:pPr>
              <w:spacing w:after="0" w:line="240" w:lineRule="auto"/>
              <w:jc w:val="center"/>
              <w:rPr>
                <w:rFonts w:ascii="Arial" w:hAnsi="Arial" w:cs="Arial"/>
                <w:b/>
                <w:color w:val="FFFFFF"/>
                <w:sz w:val="18"/>
                <w:szCs w:val="18"/>
              </w:rPr>
            </w:pPr>
            <w:r w:rsidRPr="007F78CE">
              <w:rPr>
                <w:rFonts w:ascii="Arial" w:hAnsi="Arial" w:cs="Arial"/>
                <w:b/>
                <w:color w:val="FFFFFF"/>
                <w:sz w:val="18"/>
                <w:szCs w:val="18"/>
              </w:rPr>
              <w:t>Outils adoptés</w:t>
            </w:r>
          </w:p>
        </w:tc>
        <w:tc>
          <w:tcPr>
            <w:tcW w:w="1343" w:type="pct"/>
            <w:shd w:val="clear" w:color="auto" w:fill="4F81BD"/>
            <w:vAlign w:val="center"/>
          </w:tcPr>
          <w:p w14:paraId="311EA5B3" w14:textId="77777777" w:rsidR="00AE21C9" w:rsidRPr="007F78CE" w:rsidRDefault="00AE21C9" w:rsidP="007F78CE">
            <w:pPr>
              <w:pStyle w:val="Paragraphedeliste"/>
              <w:tabs>
                <w:tab w:val="left" w:pos="178"/>
              </w:tabs>
              <w:spacing w:after="0" w:line="240" w:lineRule="auto"/>
              <w:ind w:left="0"/>
              <w:jc w:val="center"/>
              <w:rPr>
                <w:rFonts w:ascii="Arial" w:hAnsi="Arial" w:cs="Arial"/>
                <w:b/>
                <w:color w:val="FFFFFF"/>
                <w:sz w:val="18"/>
                <w:szCs w:val="18"/>
              </w:rPr>
            </w:pPr>
            <w:r w:rsidRPr="007F78CE">
              <w:rPr>
                <w:rFonts w:ascii="Arial" w:hAnsi="Arial" w:cs="Arial"/>
                <w:b/>
                <w:color w:val="FFFFFF"/>
                <w:sz w:val="18"/>
                <w:szCs w:val="18"/>
              </w:rPr>
              <w:t>Objectifs de l’outil</w:t>
            </w:r>
          </w:p>
        </w:tc>
        <w:tc>
          <w:tcPr>
            <w:tcW w:w="1711" w:type="pct"/>
            <w:shd w:val="clear" w:color="auto" w:fill="4F81BD"/>
            <w:vAlign w:val="center"/>
          </w:tcPr>
          <w:p w14:paraId="7FC79C4A" w14:textId="77777777" w:rsidR="00AE21C9" w:rsidRPr="007F78CE" w:rsidRDefault="00AE21C9" w:rsidP="007F78CE">
            <w:pPr>
              <w:spacing w:after="0" w:line="240" w:lineRule="auto"/>
              <w:jc w:val="center"/>
              <w:rPr>
                <w:rFonts w:ascii="Arial" w:hAnsi="Arial" w:cs="Arial"/>
                <w:b/>
                <w:color w:val="FFFFFF"/>
                <w:sz w:val="18"/>
                <w:szCs w:val="18"/>
              </w:rPr>
            </w:pPr>
            <w:r w:rsidRPr="005D6D41">
              <w:rPr>
                <w:rFonts w:ascii="Arial" w:hAnsi="Arial" w:cs="Arial"/>
                <w:b/>
                <w:color w:val="FFFFFF"/>
                <w:sz w:val="18"/>
                <w:szCs w:val="18"/>
              </w:rPr>
              <w:t>Parties prenantes cibles</w:t>
            </w:r>
          </w:p>
        </w:tc>
      </w:tr>
      <w:tr w:rsidR="0063584D" w:rsidRPr="007F78CE" w14:paraId="776F234F" w14:textId="77777777" w:rsidTr="007F78CE">
        <w:tc>
          <w:tcPr>
            <w:tcW w:w="882" w:type="pct"/>
            <w:vMerge w:val="restart"/>
            <w:tcBorders>
              <w:top w:val="single" w:sz="8" w:space="0" w:color="4F81BD"/>
              <w:left w:val="single" w:sz="8" w:space="0" w:color="4F81BD"/>
              <w:bottom w:val="single" w:sz="8" w:space="0" w:color="4F81BD"/>
            </w:tcBorders>
            <w:shd w:val="clear" w:color="auto" w:fill="auto"/>
          </w:tcPr>
          <w:p w14:paraId="1BF7B68D" w14:textId="77777777" w:rsidR="00AE21C9" w:rsidRPr="007F78CE" w:rsidRDefault="00AE21C9" w:rsidP="007F78CE">
            <w:pPr>
              <w:spacing w:after="0" w:line="240" w:lineRule="auto"/>
              <w:rPr>
                <w:rFonts w:ascii="Arial" w:hAnsi="Arial" w:cs="Arial"/>
                <w:bCs/>
                <w:sz w:val="18"/>
                <w:szCs w:val="18"/>
              </w:rPr>
            </w:pPr>
            <w:r w:rsidRPr="007F78CE">
              <w:rPr>
                <w:rFonts w:ascii="Arial" w:hAnsi="Arial" w:cs="Arial"/>
                <w:b/>
                <w:bCs/>
                <w:sz w:val="18"/>
                <w:szCs w:val="18"/>
              </w:rPr>
              <w:t>Information, communication, sensibilisation</w:t>
            </w:r>
          </w:p>
        </w:tc>
        <w:tc>
          <w:tcPr>
            <w:tcW w:w="1063" w:type="pct"/>
            <w:tcBorders>
              <w:top w:val="single" w:sz="8" w:space="0" w:color="4F81BD"/>
              <w:bottom w:val="single" w:sz="8" w:space="0" w:color="4F81BD"/>
            </w:tcBorders>
            <w:shd w:val="clear" w:color="auto" w:fill="auto"/>
          </w:tcPr>
          <w:p w14:paraId="09230C8D" w14:textId="77777777" w:rsidR="00AE21C9" w:rsidRPr="007F78CE" w:rsidRDefault="00AE21C9" w:rsidP="007F78CE">
            <w:pPr>
              <w:spacing w:after="0" w:line="240" w:lineRule="auto"/>
              <w:rPr>
                <w:rFonts w:ascii="Arial" w:hAnsi="Arial" w:cs="Arial"/>
                <w:sz w:val="18"/>
                <w:szCs w:val="18"/>
              </w:rPr>
            </w:pPr>
            <w:r w:rsidRPr="007F78CE">
              <w:rPr>
                <w:rFonts w:ascii="Arial" w:hAnsi="Arial" w:cs="Arial"/>
                <w:sz w:val="18"/>
                <w:szCs w:val="18"/>
              </w:rPr>
              <w:t>Correspondance (téléphone, email, sms, circulaire, lettre)</w:t>
            </w:r>
          </w:p>
        </w:tc>
        <w:tc>
          <w:tcPr>
            <w:tcW w:w="1343" w:type="pct"/>
            <w:tcBorders>
              <w:top w:val="single" w:sz="8" w:space="0" w:color="4F81BD"/>
              <w:bottom w:val="single" w:sz="8" w:space="0" w:color="4F81BD"/>
            </w:tcBorders>
            <w:shd w:val="clear" w:color="auto" w:fill="auto"/>
          </w:tcPr>
          <w:p w14:paraId="20A54216" w14:textId="77777777" w:rsidR="00AE21C9" w:rsidRPr="00687DD2" w:rsidRDefault="00AE21C9" w:rsidP="00687DD2">
            <w:pPr>
              <w:pStyle w:val="Paragraphedeliste"/>
              <w:numPr>
                <w:ilvl w:val="0"/>
                <w:numId w:val="31"/>
              </w:numPr>
              <w:tabs>
                <w:tab w:val="left" w:pos="178"/>
              </w:tabs>
              <w:spacing w:before="100" w:beforeAutospacing="1" w:after="0" w:afterAutospacing="1" w:line="240" w:lineRule="auto"/>
              <w:ind w:left="0" w:firstLine="0"/>
              <w:jc w:val="both"/>
              <w:rPr>
                <w:rFonts w:ascii="Arial" w:hAnsi="Arial" w:cs="Arial"/>
                <w:sz w:val="18"/>
                <w:szCs w:val="18"/>
              </w:rPr>
            </w:pPr>
            <w:r w:rsidRPr="00687DD2">
              <w:rPr>
                <w:rFonts w:ascii="Arial" w:hAnsi="Arial" w:cs="Arial"/>
                <w:sz w:val="18"/>
                <w:szCs w:val="18"/>
              </w:rPr>
              <w:t>Diffuser des informations sur le Projet et ses activités aux cadres, bureautiques (départements ministériels, administrations locales, ONG, prestataires)</w:t>
            </w:r>
          </w:p>
          <w:p w14:paraId="7EE4F6B1" w14:textId="77777777" w:rsidR="00AE21C9" w:rsidRPr="00687DD2" w:rsidRDefault="00AE21C9" w:rsidP="00B434A6">
            <w:pPr>
              <w:pStyle w:val="Paragraphedeliste"/>
              <w:numPr>
                <w:ilvl w:val="0"/>
                <w:numId w:val="31"/>
              </w:numPr>
              <w:tabs>
                <w:tab w:val="left" w:pos="178"/>
              </w:tabs>
              <w:spacing w:before="100" w:beforeAutospacing="1" w:after="120" w:line="240" w:lineRule="auto"/>
              <w:ind w:left="0" w:firstLine="0"/>
              <w:jc w:val="both"/>
              <w:rPr>
                <w:rFonts w:ascii="Arial" w:eastAsia="Times New Roman" w:hAnsi="Arial" w:cs="Arial"/>
                <w:b/>
                <w:smallCaps/>
                <w:sz w:val="18"/>
                <w:szCs w:val="18"/>
              </w:rPr>
            </w:pPr>
            <w:r w:rsidRPr="00687DD2">
              <w:rPr>
                <w:rFonts w:ascii="Arial" w:hAnsi="Arial" w:cs="Arial"/>
                <w:sz w:val="18"/>
                <w:szCs w:val="18"/>
              </w:rPr>
              <w:t>Procéder à l’invitation des parties prenantes aux réunions, ateliers, événements</w:t>
            </w:r>
          </w:p>
        </w:tc>
        <w:tc>
          <w:tcPr>
            <w:tcW w:w="1711" w:type="pct"/>
            <w:tcBorders>
              <w:top w:val="single" w:sz="8" w:space="0" w:color="4F81BD"/>
              <w:bottom w:val="single" w:sz="8" w:space="0" w:color="4F81BD"/>
              <w:right w:val="single" w:sz="8" w:space="0" w:color="4F81BD"/>
            </w:tcBorders>
            <w:shd w:val="clear" w:color="auto" w:fill="auto"/>
          </w:tcPr>
          <w:p w14:paraId="30D8E70D" w14:textId="77777777" w:rsidR="00AE21C9" w:rsidRPr="00742D67" w:rsidRDefault="00AE21C9" w:rsidP="007F78CE">
            <w:pPr>
              <w:spacing w:after="0" w:line="240" w:lineRule="auto"/>
              <w:rPr>
                <w:rFonts w:ascii="Arial" w:hAnsi="Arial" w:cs="Arial"/>
                <w:sz w:val="18"/>
                <w:szCs w:val="18"/>
              </w:rPr>
            </w:pPr>
            <w:r w:rsidRPr="00742D67">
              <w:rPr>
                <w:rFonts w:ascii="Arial" w:hAnsi="Arial" w:cs="Arial"/>
                <w:sz w:val="18"/>
                <w:szCs w:val="18"/>
              </w:rPr>
              <w:t>Parties prenantes participant à la mise en œuvre (pilotage, coordination, appui technique, MEH, MNDPT JIRAMA</w:t>
            </w:r>
            <w:r w:rsidR="00B16FBC" w:rsidRPr="00742D67">
              <w:rPr>
                <w:rFonts w:ascii="Arial" w:hAnsi="Arial" w:cs="Arial"/>
                <w:sz w:val="18"/>
                <w:szCs w:val="18"/>
              </w:rPr>
              <w:t>,</w:t>
            </w:r>
            <w:r w:rsidRPr="00742D67">
              <w:rPr>
                <w:rFonts w:ascii="Arial" w:hAnsi="Arial" w:cs="Arial"/>
                <w:sz w:val="18"/>
                <w:szCs w:val="18"/>
              </w:rPr>
              <w:t xml:space="preserve"> ADER, ONG</w:t>
            </w:r>
            <w:r w:rsidR="007C14FA" w:rsidRPr="00742D67">
              <w:rPr>
                <w:rFonts w:ascii="Arial" w:hAnsi="Arial" w:cs="Arial"/>
                <w:sz w:val="18"/>
                <w:szCs w:val="18"/>
              </w:rPr>
              <w:t>, les concessionnaires des réseaux, les IF,</w:t>
            </w:r>
            <w:r w:rsidRPr="00742D67">
              <w:rPr>
                <w:rFonts w:ascii="Arial" w:hAnsi="Arial" w:cs="Arial"/>
                <w:sz w:val="18"/>
                <w:szCs w:val="18"/>
              </w:rPr>
              <w:t xml:space="preserve"> prestataires, entreprise)</w:t>
            </w:r>
          </w:p>
          <w:p w14:paraId="0C24B637" w14:textId="77777777" w:rsidR="00AE21C9" w:rsidRPr="00742D67" w:rsidRDefault="00AE21C9" w:rsidP="007F78CE">
            <w:pPr>
              <w:spacing w:after="0" w:line="240" w:lineRule="auto"/>
              <w:rPr>
                <w:rFonts w:ascii="Arial" w:hAnsi="Arial" w:cs="Arial"/>
                <w:sz w:val="18"/>
                <w:szCs w:val="18"/>
              </w:rPr>
            </w:pPr>
            <w:r w:rsidRPr="00742D67">
              <w:rPr>
                <w:rFonts w:ascii="Arial" w:hAnsi="Arial" w:cs="Arial"/>
                <w:sz w:val="18"/>
                <w:szCs w:val="18"/>
              </w:rPr>
              <w:t xml:space="preserve">Parties prenantes </w:t>
            </w:r>
            <w:r w:rsidR="00401845" w:rsidRPr="00742D67">
              <w:rPr>
                <w:rFonts w:ascii="Arial" w:hAnsi="Arial" w:cs="Arial"/>
                <w:sz w:val="18"/>
                <w:szCs w:val="18"/>
              </w:rPr>
              <w:t>exerçant</w:t>
            </w:r>
            <w:r w:rsidRPr="00742D67">
              <w:rPr>
                <w:rFonts w:ascii="Arial" w:hAnsi="Arial" w:cs="Arial"/>
                <w:sz w:val="18"/>
                <w:szCs w:val="18"/>
              </w:rPr>
              <w:t xml:space="preserve">une influence ou </w:t>
            </w:r>
            <w:r w:rsidR="00401845">
              <w:rPr>
                <w:rFonts w:ascii="Arial" w:hAnsi="Arial" w:cs="Arial"/>
                <w:sz w:val="18"/>
                <w:szCs w:val="18"/>
              </w:rPr>
              <w:t>ayant</w:t>
            </w:r>
            <w:r w:rsidR="00401845" w:rsidRPr="00742D67">
              <w:rPr>
                <w:rFonts w:ascii="Arial" w:hAnsi="Arial" w:cs="Arial"/>
                <w:sz w:val="18"/>
                <w:szCs w:val="18"/>
              </w:rPr>
              <w:t xml:space="preserve"> </w:t>
            </w:r>
            <w:r w:rsidRPr="00742D67">
              <w:rPr>
                <w:rFonts w:ascii="Arial" w:hAnsi="Arial" w:cs="Arial"/>
                <w:sz w:val="18"/>
                <w:szCs w:val="18"/>
              </w:rPr>
              <w:t>un intérêt sur la mise en œuvre du Projet (CTD, Autorité traditionnel, etc.)</w:t>
            </w:r>
          </w:p>
        </w:tc>
      </w:tr>
      <w:tr w:rsidR="0063584D" w:rsidRPr="007F78CE" w14:paraId="4640187E" w14:textId="77777777" w:rsidTr="4E4A4666">
        <w:tc>
          <w:tcPr>
            <w:tcW w:w="882" w:type="pct"/>
            <w:vMerge/>
          </w:tcPr>
          <w:p w14:paraId="7DAA8AE7" w14:textId="77777777" w:rsidR="00AE21C9" w:rsidRPr="007F78CE" w:rsidRDefault="00AE21C9" w:rsidP="007F78CE">
            <w:pPr>
              <w:spacing w:after="0" w:line="240" w:lineRule="auto"/>
              <w:rPr>
                <w:rFonts w:ascii="Arial" w:hAnsi="Arial" w:cs="Arial"/>
                <w:bCs/>
                <w:sz w:val="18"/>
                <w:szCs w:val="18"/>
              </w:rPr>
            </w:pPr>
          </w:p>
        </w:tc>
        <w:tc>
          <w:tcPr>
            <w:tcW w:w="1063" w:type="pct"/>
            <w:shd w:val="clear" w:color="auto" w:fill="auto"/>
          </w:tcPr>
          <w:p w14:paraId="129FADD7" w14:textId="77777777" w:rsidR="00AE21C9" w:rsidRPr="007F78CE" w:rsidRDefault="00AE21C9" w:rsidP="007F78CE">
            <w:pPr>
              <w:spacing w:after="0" w:line="240" w:lineRule="auto"/>
              <w:rPr>
                <w:rFonts w:ascii="Arial" w:hAnsi="Arial" w:cs="Arial"/>
                <w:sz w:val="18"/>
                <w:szCs w:val="18"/>
              </w:rPr>
            </w:pPr>
            <w:r w:rsidRPr="007F78CE">
              <w:rPr>
                <w:rFonts w:ascii="Arial" w:hAnsi="Arial" w:cs="Arial"/>
                <w:sz w:val="18"/>
                <w:szCs w:val="18"/>
              </w:rPr>
              <w:t>Réunion formelle</w:t>
            </w:r>
          </w:p>
        </w:tc>
        <w:tc>
          <w:tcPr>
            <w:tcW w:w="1343" w:type="pct"/>
            <w:shd w:val="clear" w:color="auto" w:fill="auto"/>
          </w:tcPr>
          <w:p w14:paraId="12DCD691" w14:textId="77777777" w:rsidR="00AE21C9" w:rsidRPr="00687DD2" w:rsidRDefault="00AE21C9" w:rsidP="00687DD2">
            <w:pPr>
              <w:pStyle w:val="Paragraphedeliste"/>
              <w:numPr>
                <w:ilvl w:val="0"/>
                <w:numId w:val="31"/>
              </w:numPr>
              <w:tabs>
                <w:tab w:val="left" w:pos="178"/>
              </w:tabs>
              <w:spacing w:before="100" w:beforeAutospacing="1" w:after="0" w:afterAutospacing="1" w:line="240" w:lineRule="auto"/>
              <w:ind w:left="0" w:firstLine="0"/>
              <w:jc w:val="both"/>
              <w:rPr>
                <w:rFonts w:ascii="Arial" w:hAnsi="Arial" w:cs="Arial"/>
                <w:sz w:val="18"/>
                <w:szCs w:val="18"/>
              </w:rPr>
            </w:pPr>
            <w:r w:rsidRPr="00687DD2">
              <w:rPr>
                <w:rFonts w:ascii="Arial" w:hAnsi="Arial" w:cs="Arial"/>
                <w:sz w:val="18"/>
                <w:szCs w:val="18"/>
              </w:rPr>
              <w:t>Présenter des informations du Projet à un groupe de parties prenantes</w:t>
            </w:r>
          </w:p>
          <w:p w14:paraId="3D203AC3" w14:textId="77777777" w:rsidR="00AE21C9" w:rsidRPr="00687DD2" w:rsidRDefault="00AE21C9" w:rsidP="00687DD2">
            <w:pPr>
              <w:pStyle w:val="Paragraphedeliste"/>
              <w:numPr>
                <w:ilvl w:val="0"/>
                <w:numId w:val="31"/>
              </w:numPr>
              <w:tabs>
                <w:tab w:val="left" w:pos="178"/>
              </w:tabs>
              <w:spacing w:before="100" w:beforeAutospacing="1" w:after="0" w:afterAutospacing="1" w:line="240" w:lineRule="auto"/>
              <w:ind w:left="0" w:firstLine="0"/>
              <w:jc w:val="both"/>
              <w:rPr>
                <w:rFonts w:ascii="Arial" w:hAnsi="Arial" w:cs="Arial"/>
                <w:sz w:val="18"/>
                <w:szCs w:val="18"/>
              </w:rPr>
            </w:pPr>
            <w:r w:rsidRPr="00687DD2">
              <w:rPr>
                <w:rFonts w:ascii="Arial" w:hAnsi="Arial" w:cs="Arial"/>
                <w:sz w:val="18"/>
                <w:szCs w:val="18"/>
              </w:rPr>
              <w:t xml:space="preserve">Discuter sur des questions d’ordre technique sur les sous-projets </w:t>
            </w:r>
          </w:p>
          <w:p w14:paraId="187B2CA0" w14:textId="77777777" w:rsidR="00AE21C9" w:rsidRPr="00687DD2" w:rsidRDefault="00AE21C9" w:rsidP="00B434A6">
            <w:pPr>
              <w:pStyle w:val="Paragraphedeliste"/>
              <w:numPr>
                <w:ilvl w:val="0"/>
                <w:numId w:val="31"/>
              </w:numPr>
              <w:tabs>
                <w:tab w:val="left" w:pos="178"/>
              </w:tabs>
              <w:spacing w:before="100" w:beforeAutospacing="1" w:after="120" w:line="240" w:lineRule="auto"/>
              <w:ind w:left="0" w:firstLine="0"/>
              <w:jc w:val="both"/>
              <w:rPr>
                <w:rFonts w:ascii="Arial" w:eastAsia="Times New Roman" w:hAnsi="Arial" w:cs="Arial"/>
                <w:b/>
                <w:smallCaps/>
                <w:sz w:val="18"/>
                <w:szCs w:val="18"/>
              </w:rPr>
            </w:pPr>
            <w:r w:rsidRPr="00687DD2">
              <w:rPr>
                <w:rFonts w:ascii="Arial" w:hAnsi="Arial" w:cs="Arial"/>
                <w:sz w:val="18"/>
                <w:szCs w:val="18"/>
              </w:rPr>
              <w:t>Tisser des relations professionnelles avec les parties prenantes de certain niveau</w:t>
            </w:r>
          </w:p>
        </w:tc>
        <w:tc>
          <w:tcPr>
            <w:tcW w:w="1711" w:type="pct"/>
            <w:shd w:val="clear" w:color="auto" w:fill="auto"/>
          </w:tcPr>
          <w:p w14:paraId="486BAB2D" w14:textId="77777777" w:rsidR="00AE21C9" w:rsidRPr="00742D67" w:rsidRDefault="00AE21C9" w:rsidP="007F78CE">
            <w:pPr>
              <w:spacing w:after="0" w:line="240" w:lineRule="auto"/>
              <w:rPr>
                <w:rFonts w:ascii="Arial" w:hAnsi="Arial" w:cs="Arial"/>
                <w:sz w:val="18"/>
                <w:szCs w:val="18"/>
              </w:rPr>
            </w:pPr>
            <w:r w:rsidRPr="00742D67">
              <w:rPr>
                <w:rFonts w:ascii="Arial" w:hAnsi="Arial" w:cs="Arial"/>
                <w:sz w:val="18"/>
                <w:szCs w:val="18"/>
              </w:rPr>
              <w:t>Parties prenantes participant à la mise en œuvre (pilotage, coordination, appui technique, MEH, MNDPT JIRAMA, ADER, ONG</w:t>
            </w:r>
            <w:r w:rsidR="007C14FA" w:rsidRPr="00742D67">
              <w:rPr>
                <w:rFonts w:ascii="Arial" w:hAnsi="Arial" w:cs="Arial"/>
                <w:sz w:val="18"/>
                <w:szCs w:val="18"/>
              </w:rPr>
              <w:t xml:space="preserve">, les concessionnaires des réseaux, les IF, </w:t>
            </w:r>
            <w:r w:rsidRPr="00742D67">
              <w:rPr>
                <w:rFonts w:ascii="Arial" w:hAnsi="Arial" w:cs="Arial"/>
                <w:sz w:val="18"/>
                <w:szCs w:val="18"/>
              </w:rPr>
              <w:t>prestataires, entreprise)</w:t>
            </w:r>
          </w:p>
          <w:p w14:paraId="6592A7E6" w14:textId="77777777" w:rsidR="00AE21C9" w:rsidRPr="00742D67" w:rsidRDefault="00AE21C9" w:rsidP="007F78CE">
            <w:pPr>
              <w:spacing w:after="0" w:line="240" w:lineRule="auto"/>
              <w:rPr>
                <w:rFonts w:ascii="Arial" w:hAnsi="Arial" w:cs="Arial"/>
                <w:sz w:val="18"/>
                <w:szCs w:val="18"/>
              </w:rPr>
            </w:pPr>
            <w:r w:rsidRPr="00742D67">
              <w:rPr>
                <w:rFonts w:ascii="Arial" w:hAnsi="Arial" w:cs="Arial"/>
                <w:sz w:val="18"/>
                <w:szCs w:val="18"/>
              </w:rPr>
              <w:t xml:space="preserve">Parties prenantes </w:t>
            </w:r>
            <w:r w:rsidR="00401845" w:rsidRPr="00742D67">
              <w:rPr>
                <w:rFonts w:ascii="Arial" w:hAnsi="Arial" w:cs="Arial"/>
                <w:sz w:val="18"/>
                <w:szCs w:val="18"/>
              </w:rPr>
              <w:t>exerçan</w:t>
            </w:r>
            <w:r w:rsidRPr="00742D67">
              <w:rPr>
                <w:rFonts w:ascii="Arial" w:hAnsi="Arial" w:cs="Arial"/>
                <w:sz w:val="18"/>
                <w:szCs w:val="18"/>
              </w:rPr>
              <w:t xml:space="preserve">une influence ou </w:t>
            </w:r>
            <w:r w:rsidR="00401845">
              <w:rPr>
                <w:rFonts w:ascii="Arial" w:hAnsi="Arial" w:cs="Arial"/>
                <w:sz w:val="18"/>
                <w:szCs w:val="18"/>
              </w:rPr>
              <w:t>ayant</w:t>
            </w:r>
            <w:r w:rsidR="00401845" w:rsidRPr="00742D67">
              <w:rPr>
                <w:rFonts w:ascii="Arial" w:hAnsi="Arial" w:cs="Arial"/>
                <w:sz w:val="18"/>
                <w:szCs w:val="18"/>
              </w:rPr>
              <w:t xml:space="preserve"> </w:t>
            </w:r>
            <w:r w:rsidRPr="00742D67">
              <w:rPr>
                <w:rFonts w:ascii="Arial" w:hAnsi="Arial" w:cs="Arial"/>
                <w:sz w:val="18"/>
                <w:szCs w:val="18"/>
              </w:rPr>
              <w:t>un intérêt sur la mise en œuvre du Projet (CTD, Autorité traditionnel, etc.)</w:t>
            </w:r>
          </w:p>
        </w:tc>
      </w:tr>
      <w:tr w:rsidR="0063584D" w:rsidRPr="007F78CE" w14:paraId="436F5634" w14:textId="77777777" w:rsidTr="00B434A6">
        <w:trPr>
          <w:trHeight w:val="2880"/>
        </w:trPr>
        <w:tc>
          <w:tcPr>
            <w:tcW w:w="882" w:type="pct"/>
            <w:vMerge/>
            <w:tcBorders>
              <w:top w:val="single" w:sz="8" w:space="0" w:color="4F81BD"/>
              <w:left w:val="single" w:sz="8" w:space="0" w:color="4F81BD"/>
              <w:bottom w:val="single" w:sz="8" w:space="0" w:color="4F81BD"/>
            </w:tcBorders>
            <w:shd w:val="clear" w:color="auto" w:fill="auto"/>
          </w:tcPr>
          <w:p w14:paraId="23F86FDE" w14:textId="77777777" w:rsidR="00AE21C9" w:rsidRPr="007F78CE" w:rsidRDefault="00AE21C9" w:rsidP="007F78CE">
            <w:pPr>
              <w:spacing w:after="0" w:line="240" w:lineRule="auto"/>
              <w:rPr>
                <w:rFonts w:ascii="Arial" w:hAnsi="Arial" w:cs="Arial"/>
                <w:sz w:val="18"/>
                <w:szCs w:val="18"/>
              </w:rPr>
            </w:pPr>
          </w:p>
        </w:tc>
        <w:tc>
          <w:tcPr>
            <w:tcW w:w="1063" w:type="pct"/>
            <w:tcBorders>
              <w:top w:val="single" w:sz="8" w:space="0" w:color="4F81BD"/>
              <w:bottom w:val="single" w:sz="8" w:space="0" w:color="4F81BD"/>
            </w:tcBorders>
            <w:shd w:val="clear" w:color="auto" w:fill="auto"/>
          </w:tcPr>
          <w:p w14:paraId="0CE8662D" w14:textId="77777777" w:rsidR="00AE21C9" w:rsidRPr="007F78CE" w:rsidRDefault="00AE21C9" w:rsidP="007F78CE">
            <w:pPr>
              <w:spacing w:after="0" w:line="240" w:lineRule="auto"/>
              <w:rPr>
                <w:rFonts w:ascii="Arial" w:hAnsi="Arial" w:cs="Arial"/>
                <w:sz w:val="18"/>
                <w:szCs w:val="18"/>
              </w:rPr>
            </w:pPr>
            <w:r w:rsidRPr="007F78CE">
              <w:rPr>
                <w:rFonts w:ascii="Arial" w:hAnsi="Arial" w:cs="Arial"/>
                <w:sz w:val="18"/>
                <w:szCs w:val="18"/>
              </w:rPr>
              <w:t>Réunion publique (faciliter la communication par des présentations simples, des affiches, des schémas, des dépliants, posters, flyers…)</w:t>
            </w:r>
          </w:p>
        </w:tc>
        <w:tc>
          <w:tcPr>
            <w:tcW w:w="1343" w:type="pct"/>
            <w:tcBorders>
              <w:top w:val="single" w:sz="8" w:space="0" w:color="4F81BD"/>
              <w:bottom w:val="single" w:sz="8" w:space="0" w:color="4F81BD"/>
            </w:tcBorders>
            <w:shd w:val="clear" w:color="auto" w:fill="auto"/>
          </w:tcPr>
          <w:p w14:paraId="4AA48D9C" w14:textId="77777777" w:rsidR="00AE21C9" w:rsidRPr="00687DD2" w:rsidRDefault="00AE21C9" w:rsidP="00687DD2">
            <w:pPr>
              <w:pStyle w:val="Paragraphedeliste"/>
              <w:numPr>
                <w:ilvl w:val="0"/>
                <w:numId w:val="31"/>
              </w:numPr>
              <w:tabs>
                <w:tab w:val="left" w:pos="178"/>
              </w:tabs>
              <w:spacing w:before="100" w:beforeAutospacing="1" w:after="0" w:afterAutospacing="1" w:line="240" w:lineRule="auto"/>
              <w:ind w:left="0" w:firstLine="0"/>
              <w:jc w:val="both"/>
              <w:rPr>
                <w:rFonts w:ascii="Arial" w:hAnsi="Arial" w:cs="Arial"/>
                <w:sz w:val="18"/>
                <w:szCs w:val="18"/>
              </w:rPr>
            </w:pPr>
            <w:r w:rsidRPr="00687DD2">
              <w:rPr>
                <w:rFonts w:ascii="Arial" w:hAnsi="Arial" w:cs="Arial"/>
                <w:sz w:val="18"/>
                <w:szCs w:val="18"/>
              </w:rPr>
              <w:t>Présenter des informations sur le Projet et l’état d’avancement de la mise en œuvre</w:t>
            </w:r>
          </w:p>
          <w:p w14:paraId="25D97B88" w14:textId="77777777" w:rsidR="00AE21C9" w:rsidRPr="00687DD2" w:rsidRDefault="00AE21C9" w:rsidP="00687DD2">
            <w:pPr>
              <w:pStyle w:val="Paragraphedeliste"/>
              <w:numPr>
                <w:ilvl w:val="0"/>
                <w:numId w:val="31"/>
              </w:numPr>
              <w:tabs>
                <w:tab w:val="left" w:pos="178"/>
              </w:tabs>
              <w:spacing w:before="100" w:beforeAutospacing="1" w:after="0" w:afterAutospacing="1" w:line="240" w:lineRule="auto"/>
              <w:ind w:left="0" w:firstLine="0"/>
              <w:jc w:val="both"/>
              <w:rPr>
                <w:rFonts w:ascii="Arial" w:hAnsi="Arial" w:cs="Arial"/>
                <w:sz w:val="18"/>
                <w:szCs w:val="18"/>
              </w:rPr>
            </w:pPr>
            <w:r w:rsidRPr="00687DD2">
              <w:rPr>
                <w:rFonts w:ascii="Arial" w:hAnsi="Arial" w:cs="Arial"/>
                <w:sz w:val="18"/>
                <w:szCs w:val="18"/>
              </w:rPr>
              <w:t>Partager des informations non techniques</w:t>
            </w:r>
          </w:p>
          <w:p w14:paraId="2364CC6D" w14:textId="77777777" w:rsidR="00AE21C9" w:rsidRPr="00687DD2" w:rsidRDefault="00AE21C9" w:rsidP="00687DD2">
            <w:pPr>
              <w:pStyle w:val="Paragraphedeliste"/>
              <w:numPr>
                <w:ilvl w:val="0"/>
                <w:numId w:val="31"/>
              </w:numPr>
              <w:tabs>
                <w:tab w:val="left" w:pos="178"/>
              </w:tabs>
              <w:spacing w:before="100" w:beforeAutospacing="1" w:after="0" w:afterAutospacing="1" w:line="240" w:lineRule="auto"/>
              <w:ind w:left="0" w:firstLine="0"/>
              <w:jc w:val="both"/>
              <w:rPr>
                <w:rFonts w:ascii="Arial" w:hAnsi="Arial" w:cs="Arial"/>
                <w:sz w:val="18"/>
                <w:szCs w:val="18"/>
              </w:rPr>
            </w:pPr>
            <w:r w:rsidRPr="00687DD2">
              <w:rPr>
                <w:rFonts w:ascii="Arial" w:hAnsi="Arial" w:cs="Arial"/>
                <w:sz w:val="18"/>
                <w:szCs w:val="18"/>
              </w:rPr>
              <w:t>Sensibiliser la communauté sur les mesures d’impact environnemental et social prises par le Projet</w:t>
            </w:r>
          </w:p>
          <w:p w14:paraId="6D033807" w14:textId="77777777" w:rsidR="00AE21C9" w:rsidRPr="00687DD2" w:rsidRDefault="00AE21C9" w:rsidP="00B434A6">
            <w:pPr>
              <w:pStyle w:val="Paragraphedeliste"/>
              <w:numPr>
                <w:ilvl w:val="0"/>
                <w:numId w:val="31"/>
              </w:numPr>
              <w:tabs>
                <w:tab w:val="left" w:pos="178"/>
              </w:tabs>
              <w:spacing w:before="100" w:beforeAutospacing="1" w:after="120" w:line="240" w:lineRule="auto"/>
              <w:ind w:left="0" w:firstLine="0"/>
              <w:jc w:val="both"/>
              <w:rPr>
                <w:rFonts w:ascii="Arial" w:eastAsia="Times New Roman" w:hAnsi="Arial" w:cs="Arial"/>
                <w:b/>
                <w:smallCaps/>
                <w:sz w:val="18"/>
                <w:szCs w:val="18"/>
              </w:rPr>
            </w:pPr>
            <w:r w:rsidRPr="00687DD2">
              <w:rPr>
                <w:rFonts w:ascii="Arial" w:hAnsi="Arial" w:cs="Arial"/>
                <w:sz w:val="18"/>
                <w:szCs w:val="18"/>
              </w:rPr>
              <w:t>Servir d’espace pour recueillir les feedbacks des bénéficiaires sur le projet</w:t>
            </w:r>
          </w:p>
        </w:tc>
        <w:tc>
          <w:tcPr>
            <w:tcW w:w="1711" w:type="pct"/>
            <w:tcBorders>
              <w:top w:val="single" w:sz="8" w:space="0" w:color="4F81BD"/>
              <w:bottom w:val="single" w:sz="8" w:space="0" w:color="4F81BD"/>
              <w:right w:val="single" w:sz="8" w:space="0" w:color="4F81BD"/>
            </w:tcBorders>
            <w:shd w:val="clear" w:color="auto" w:fill="auto"/>
          </w:tcPr>
          <w:p w14:paraId="2F895ADB" w14:textId="77777777" w:rsidR="00AE21C9" w:rsidRPr="007F78CE" w:rsidRDefault="00AE21C9" w:rsidP="007F78CE">
            <w:pPr>
              <w:spacing w:after="0" w:line="240" w:lineRule="auto"/>
              <w:rPr>
                <w:rFonts w:ascii="Arial" w:hAnsi="Arial" w:cs="Arial"/>
                <w:sz w:val="18"/>
                <w:szCs w:val="18"/>
              </w:rPr>
            </w:pPr>
            <w:r w:rsidRPr="007F78CE">
              <w:rPr>
                <w:rFonts w:ascii="Arial" w:hAnsi="Arial" w:cs="Arial"/>
                <w:sz w:val="18"/>
                <w:szCs w:val="18"/>
              </w:rPr>
              <w:t>Parties prenantes susceptibles d’être touchées par la mise en œuvre du Projet (communauté de base, les personnes potentiellement affectées par le projet ou PAP)</w:t>
            </w:r>
          </w:p>
        </w:tc>
      </w:tr>
      <w:tr w:rsidR="0063584D" w:rsidRPr="007F78CE" w14:paraId="230A37E6" w14:textId="77777777" w:rsidTr="00B434A6">
        <w:trPr>
          <w:trHeight w:val="1728"/>
        </w:trPr>
        <w:tc>
          <w:tcPr>
            <w:tcW w:w="882" w:type="pct"/>
            <w:vMerge/>
            <w:shd w:val="clear" w:color="auto" w:fill="auto"/>
          </w:tcPr>
          <w:p w14:paraId="214AF025" w14:textId="77777777" w:rsidR="00AE21C9" w:rsidRPr="007F78CE" w:rsidRDefault="00AE21C9" w:rsidP="007F78CE">
            <w:pPr>
              <w:spacing w:after="0" w:line="240" w:lineRule="auto"/>
              <w:rPr>
                <w:rFonts w:ascii="Arial" w:hAnsi="Arial" w:cs="Arial"/>
                <w:sz w:val="18"/>
                <w:szCs w:val="18"/>
              </w:rPr>
            </w:pPr>
          </w:p>
        </w:tc>
        <w:tc>
          <w:tcPr>
            <w:tcW w:w="1063" w:type="pct"/>
            <w:shd w:val="clear" w:color="auto" w:fill="auto"/>
          </w:tcPr>
          <w:p w14:paraId="52EB7A75" w14:textId="77777777" w:rsidR="00AE21C9" w:rsidRPr="007F78CE" w:rsidRDefault="00AE21C9" w:rsidP="007F78CE">
            <w:pPr>
              <w:spacing w:after="0" w:line="240" w:lineRule="auto"/>
              <w:rPr>
                <w:rFonts w:ascii="Arial" w:hAnsi="Arial" w:cs="Arial"/>
                <w:sz w:val="18"/>
                <w:szCs w:val="18"/>
              </w:rPr>
            </w:pPr>
            <w:r w:rsidRPr="007F78CE">
              <w:rPr>
                <w:rFonts w:ascii="Arial" w:hAnsi="Arial" w:cs="Arial"/>
                <w:sz w:val="18"/>
                <w:szCs w:val="18"/>
              </w:rPr>
              <w:t>Focus Group</w:t>
            </w:r>
          </w:p>
        </w:tc>
        <w:tc>
          <w:tcPr>
            <w:tcW w:w="1343" w:type="pct"/>
            <w:shd w:val="clear" w:color="auto" w:fill="auto"/>
          </w:tcPr>
          <w:p w14:paraId="2EC5AB21" w14:textId="77777777" w:rsidR="00AE21C9" w:rsidRPr="00687DD2" w:rsidRDefault="00AE21C9" w:rsidP="00687DD2">
            <w:pPr>
              <w:pStyle w:val="Paragraphedeliste"/>
              <w:numPr>
                <w:ilvl w:val="0"/>
                <w:numId w:val="31"/>
              </w:numPr>
              <w:tabs>
                <w:tab w:val="left" w:pos="178"/>
              </w:tabs>
              <w:spacing w:before="100" w:beforeAutospacing="1" w:after="0" w:afterAutospacing="1" w:line="240" w:lineRule="auto"/>
              <w:ind w:left="0" w:firstLine="0"/>
              <w:jc w:val="both"/>
              <w:rPr>
                <w:rFonts w:ascii="Arial" w:hAnsi="Arial" w:cs="Arial"/>
                <w:sz w:val="18"/>
                <w:szCs w:val="18"/>
              </w:rPr>
            </w:pPr>
            <w:r w:rsidRPr="00687DD2">
              <w:rPr>
                <w:rFonts w:ascii="Arial" w:hAnsi="Arial" w:cs="Arial"/>
                <w:sz w:val="18"/>
                <w:szCs w:val="18"/>
              </w:rPr>
              <w:t>Présenter des informations du Projet à un groupe de parties prenantes</w:t>
            </w:r>
          </w:p>
          <w:p w14:paraId="7042D58C" w14:textId="77777777" w:rsidR="00AE21C9" w:rsidRPr="00687DD2" w:rsidRDefault="00AE21C9" w:rsidP="00687DD2">
            <w:pPr>
              <w:pStyle w:val="Paragraphedeliste"/>
              <w:numPr>
                <w:ilvl w:val="0"/>
                <w:numId w:val="31"/>
              </w:numPr>
              <w:tabs>
                <w:tab w:val="left" w:pos="178"/>
              </w:tabs>
              <w:spacing w:before="100" w:beforeAutospacing="1" w:after="0" w:afterAutospacing="1" w:line="240" w:lineRule="auto"/>
              <w:ind w:left="0" w:firstLine="0"/>
              <w:jc w:val="both"/>
              <w:rPr>
                <w:rFonts w:ascii="Arial" w:hAnsi="Arial" w:cs="Arial"/>
                <w:sz w:val="18"/>
                <w:szCs w:val="18"/>
              </w:rPr>
            </w:pPr>
            <w:r w:rsidRPr="00687DD2">
              <w:rPr>
                <w:rFonts w:ascii="Arial" w:hAnsi="Arial" w:cs="Arial"/>
                <w:sz w:val="18"/>
                <w:szCs w:val="18"/>
              </w:rPr>
              <w:t xml:space="preserve">Diffuser et discuter des informations spécifiques </w:t>
            </w:r>
          </w:p>
          <w:p w14:paraId="4F073D6A" w14:textId="77777777" w:rsidR="00AE21C9" w:rsidRPr="00687DD2" w:rsidRDefault="00AE21C9" w:rsidP="00B434A6">
            <w:pPr>
              <w:pStyle w:val="Paragraphedeliste"/>
              <w:numPr>
                <w:ilvl w:val="0"/>
                <w:numId w:val="31"/>
              </w:numPr>
              <w:tabs>
                <w:tab w:val="left" w:pos="178"/>
              </w:tabs>
              <w:spacing w:before="100" w:beforeAutospacing="1" w:after="120" w:line="240" w:lineRule="auto"/>
              <w:ind w:left="0" w:firstLine="0"/>
              <w:jc w:val="both"/>
              <w:rPr>
                <w:rFonts w:ascii="Arial" w:eastAsia="Times New Roman" w:hAnsi="Arial" w:cs="Arial"/>
                <w:b/>
                <w:smallCaps/>
                <w:sz w:val="18"/>
                <w:szCs w:val="18"/>
              </w:rPr>
            </w:pPr>
            <w:r w:rsidRPr="00687DD2">
              <w:rPr>
                <w:rFonts w:ascii="Arial" w:hAnsi="Arial" w:cs="Arial"/>
                <w:sz w:val="18"/>
                <w:szCs w:val="18"/>
              </w:rPr>
              <w:t>Servir d’espace pour recueillir les feedbacks des bénéficiaires sur le projet</w:t>
            </w:r>
          </w:p>
        </w:tc>
        <w:tc>
          <w:tcPr>
            <w:tcW w:w="1711" w:type="pct"/>
            <w:shd w:val="clear" w:color="auto" w:fill="auto"/>
          </w:tcPr>
          <w:p w14:paraId="63CBF887" w14:textId="77777777" w:rsidR="00AE21C9" w:rsidRPr="007F78CE" w:rsidRDefault="00AE21C9" w:rsidP="007F78CE">
            <w:pPr>
              <w:spacing w:after="0" w:line="240" w:lineRule="auto"/>
              <w:rPr>
                <w:rFonts w:ascii="Arial" w:hAnsi="Arial" w:cs="Arial"/>
                <w:sz w:val="18"/>
                <w:szCs w:val="18"/>
              </w:rPr>
            </w:pPr>
            <w:r w:rsidRPr="007F78CE">
              <w:rPr>
                <w:rFonts w:ascii="Arial" w:hAnsi="Arial" w:cs="Arial"/>
                <w:sz w:val="18"/>
                <w:szCs w:val="18"/>
              </w:rPr>
              <w:t>Parties prenantes susceptibles d’être touchées par la mise en œuvre du Projet (Jeune</w:t>
            </w:r>
            <w:r w:rsidR="00401845">
              <w:rPr>
                <w:rFonts w:ascii="Arial" w:hAnsi="Arial" w:cs="Arial"/>
                <w:sz w:val="18"/>
                <w:szCs w:val="18"/>
              </w:rPr>
              <w:t>s</w:t>
            </w:r>
            <w:r w:rsidRPr="007F78CE">
              <w:rPr>
                <w:rFonts w:ascii="Arial" w:hAnsi="Arial" w:cs="Arial"/>
                <w:sz w:val="18"/>
                <w:szCs w:val="18"/>
              </w:rPr>
              <w:t>, Femme</w:t>
            </w:r>
            <w:r w:rsidR="00401845">
              <w:rPr>
                <w:rFonts w:ascii="Arial" w:hAnsi="Arial" w:cs="Arial"/>
                <w:sz w:val="18"/>
                <w:szCs w:val="18"/>
              </w:rPr>
              <w:t>s</w:t>
            </w:r>
            <w:r w:rsidRPr="007F78CE">
              <w:rPr>
                <w:rFonts w:ascii="Arial" w:hAnsi="Arial" w:cs="Arial"/>
                <w:sz w:val="18"/>
                <w:szCs w:val="18"/>
              </w:rPr>
              <w:t>, Personnes âgées, Personne</w:t>
            </w:r>
            <w:r w:rsidR="00401845">
              <w:rPr>
                <w:rFonts w:ascii="Arial" w:hAnsi="Arial" w:cs="Arial"/>
                <w:sz w:val="18"/>
                <w:szCs w:val="18"/>
              </w:rPr>
              <w:t>s</w:t>
            </w:r>
            <w:r w:rsidRPr="007F78CE">
              <w:rPr>
                <w:rFonts w:ascii="Arial" w:hAnsi="Arial" w:cs="Arial"/>
                <w:sz w:val="18"/>
                <w:szCs w:val="18"/>
              </w:rPr>
              <w:t xml:space="preserve"> handicapée</w:t>
            </w:r>
            <w:r w:rsidR="00401845">
              <w:rPr>
                <w:rFonts w:ascii="Arial" w:hAnsi="Arial" w:cs="Arial"/>
                <w:sz w:val="18"/>
                <w:szCs w:val="18"/>
              </w:rPr>
              <w:t>s</w:t>
            </w:r>
            <w:r w:rsidRPr="007F78CE">
              <w:rPr>
                <w:rFonts w:ascii="Arial" w:hAnsi="Arial" w:cs="Arial"/>
                <w:sz w:val="18"/>
                <w:szCs w:val="18"/>
              </w:rPr>
              <w:t xml:space="preserve"> et spécifiquement les personnes potentiellement affectées par le projet ou PAP)</w:t>
            </w:r>
          </w:p>
        </w:tc>
      </w:tr>
      <w:tr w:rsidR="0063584D" w:rsidRPr="007F78CE" w14:paraId="772CB96B" w14:textId="77777777" w:rsidTr="00B434A6">
        <w:trPr>
          <w:trHeight w:val="2016"/>
        </w:trPr>
        <w:tc>
          <w:tcPr>
            <w:tcW w:w="882" w:type="pct"/>
            <w:vMerge w:val="restart"/>
            <w:tcBorders>
              <w:top w:val="single" w:sz="8" w:space="0" w:color="4F81BD"/>
              <w:left w:val="single" w:sz="8" w:space="0" w:color="4F81BD"/>
              <w:bottom w:val="single" w:sz="8" w:space="0" w:color="4F81BD"/>
            </w:tcBorders>
            <w:shd w:val="clear" w:color="auto" w:fill="auto"/>
          </w:tcPr>
          <w:p w14:paraId="5A0F38C3" w14:textId="77777777" w:rsidR="00AE21C9" w:rsidRPr="007F78CE" w:rsidRDefault="00AE21C9" w:rsidP="007F78CE">
            <w:pPr>
              <w:spacing w:after="0" w:line="240" w:lineRule="auto"/>
              <w:rPr>
                <w:rFonts w:ascii="Arial" w:hAnsi="Arial" w:cs="Arial"/>
                <w:bCs/>
                <w:sz w:val="18"/>
                <w:szCs w:val="18"/>
              </w:rPr>
            </w:pPr>
            <w:r w:rsidRPr="007F78CE">
              <w:rPr>
                <w:rFonts w:ascii="Arial" w:hAnsi="Arial" w:cs="Arial"/>
                <w:b/>
                <w:bCs/>
                <w:sz w:val="18"/>
                <w:szCs w:val="18"/>
              </w:rPr>
              <w:t>Information, communication, sensibilisation</w:t>
            </w:r>
          </w:p>
        </w:tc>
        <w:tc>
          <w:tcPr>
            <w:tcW w:w="1063" w:type="pct"/>
            <w:tcBorders>
              <w:top w:val="single" w:sz="8" w:space="0" w:color="4F81BD"/>
              <w:bottom w:val="single" w:sz="8" w:space="0" w:color="4F81BD"/>
            </w:tcBorders>
            <w:shd w:val="clear" w:color="auto" w:fill="auto"/>
          </w:tcPr>
          <w:p w14:paraId="15017240" w14:textId="77777777" w:rsidR="00AE21C9" w:rsidRPr="007F78CE" w:rsidRDefault="00AE21C9" w:rsidP="007F78CE">
            <w:pPr>
              <w:spacing w:after="0" w:line="240" w:lineRule="auto"/>
              <w:rPr>
                <w:rFonts w:ascii="Arial" w:hAnsi="Arial" w:cs="Arial"/>
                <w:sz w:val="18"/>
                <w:szCs w:val="18"/>
              </w:rPr>
            </w:pPr>
            <w:r w:rsidRPr="007F78CE">
              <w:rPr>
                <w:rFonts w:ascii="Arial" w:hAnsi="Arial" w:cs="Arial"/>
                <w:sz w:val="18"/>
                <w:szCs w:val="18"/>
              </w:rPr>
              <w:t>Réunion de travail</w:t>
            </w:r>
          </w:p>
        </w:tc>
        <w:tc>
          <w:tcPr>
            <w:tcW w:w="1343" w:type="pct"/>
            <w:tcBorders>
              <w:top w:val="single" w:sz="8" w:space="0" w:color="4F81BD"/>
              <w:bottom w:val="single" w:sz="8" w:space="0" w:color="4F81BD"/>
            </w:tcBorders>
            <w:shd w:val="clear" w:color="auto" w:fill="auto"/>
          </w:tcPr>
          <w:p w14:paraId="7388B9D1" w14:textId="77777777" w:rsidR="00AE21C9" w:rsidRPr="00687DD2" w:rsidRDefault="00AE21C9" w:rsidP="00687DD2">
            <w:pPr>
              <w:pStyle w:val="Paragraphedeliste"/>
              <w:numPr>
                <w:ilvl w:val="0"/>
                <w:numId w:val="31"/>
              </w:numPr>
              <w:tabs>
                <w:tab w:val="left" w:pos="178"/>
              </w:tabs>
              <w:spacing w:before="100" w:beforeAutospacing="1" w:after="0" w:afterAutospacing="1" w:line="240" w:lineRule="auto"/>
              <w:ind w:left="0" w:firstLine="0"/>
              <w:rPr>
                <w:rFonts w:ascii="Arial" w:hAnsi="Arial" w:cs="Arial"/>
                <w:sz w:val="18"/>
                <w:szCs w:val="18"/>
              </w:rPr>
            </w:pPr>
            <w:r w:rsidRPr="00687DD2">
              <w:rPr>
                <w:rFonts w:ascii="Arial" w:hAnsi="Arial" w:cs="Arial"/>
                <w:sz w:val="18"/>
                <w:szCs w:val="18"/>
              </w:rPr>
              <w:t>Présenter les informations du Projet et l’état d’avancement de la réalisation</w:t>
            </w:r>
          </w:p>
          <w:p w14:paraId="5F4D8C72" w14:textId="77777777" w:rsidR="00AE21C9" w:rsidRPr="00687DD2" w:rsidRDefault="00AE21C9" w:rsidP="00401845">
            <w:pPr>
              <w:pStyle w:val="Paragraphedeliste"/>
              <w:numPr>
                <w:ilvl w:val="0"/>
                <w:numId w:val="31"/>
              </w:numPr>
              <w:tabs>
                <w:tab w:val="left" w:pos="178"/>
              </w:tabs>
              <w:spacing w:before="100" w:beforeAutospacing="1" w:after="120" w:line="240" w:lineRule="auto"/>
              <w:ind w:left="0" w:firstLine="0"/>
              <w:jc w:val="both"/>
              <w:rPr>
                <w:rFonts w:ascii="Arial" w:eastAsia="Times New Roman" w:hAnsi="Arial" w:cs="Arial"/>
                <w:b/>
                <w:smallCaps/>
                <w:sz w:val="18"/>
                <w:szCs w:val="18"/>
              </w:rPr>
            </w:pPr>
            <w:r w:rsidRPr="00687DD2">
              <w:rPr>
                <w:rFonts w:ascii="Arial" w:hAnsi="Arial" w:cs="Arial"/>
                <w:sz w:val="18"/>
                <w:szCs w:val="18"/>
              </w:rPr>
              <w:t>Diffuser des informations techniques, des mesures spécifiques (mesures sécuritaires, directives techniques)</w:t>
            </w:r>
          </w:p>
        </w:tc>
        <w:tc>
          <w:tcPr>
            <w:tcW w:w="1711" w:type="pct"/>
            <w:tcBorders>
              <w:top w:val="single" w:sz="8" w:space="0" w:color="4F81BD"/>
              <w:bottom w:val="single" w:sz="8" w:space="0" w:color="4F81BD"/>
              <w:right w:val="single" w:sz="8" w:space="0" w:color="4F81BD"/>
            </w:tcBorders>
            <w:shd w:val="clear" w:color="auto" w:fill="auto"/>
          </w:tcPr>
          <w:p w14:paraId="3D11E5A1" w14:textId="77777777" w:rsidR="00AE21C9" w:rsidRPr="00742D67" w:rsidRDefault="00AE21C9" w:rsidP="007F78CE">
            <w:pPr>
              <w:spacing w:after="0" w:line="240" w:lineRule="auto"/>
              <w:rPr>
                <w:rFonts w:ascii="Arial" w:hAnsi="Arial" w:cs="Arial"/>
                <w:sz w:val="18"/>
                <w:szCs w:val="18"/>
              </w:rPr>
            </w:pPr>
            <w:r w:rsidRPr="00742D67">
              <w:rPr>
                <w:rFonts w:ascii="Arial" w:hAnsi="Arial" w:cs="Arial"/>
                <w:sz w:val="18"/>
                <w:szCs w:val="18"/>
              </w:rPr>
              <w:t>Parties prenantes participant à la mise en œuvre (pilotage, coordination, appui technique, STD, ONG</w:t>
            </w:r>
            <w:r w:rsidR="007C14FA" w:rsidRPr="00742D67">
              <w:rPr>
                <w:rFonts w:ascii="Arial" w:hAnsi="Arial" w:cs="Arial"/>
                <w:sz w:val="18"/>
                <w:szCs w:val="18"/>
              </w:rPr>
              <w:t xml:space="preserve">, les concessionnaires des réseaux, les IF, </w:t>
            </w:r>
            <w:r w:rsidRPr="00742D67">
              <w:rPr>
                <w:rFonts w:ascii="Arial" w:hAnsi="Arial" w:cs="Arial"/>
                <w:sz w:val="18"/>
                <w:szCs w:val="18"/>
              </w:rPr>
              <w:t>prestataires, OSC, entreprise, travailleurs des chantiers)</w:t>
            </w:r>
          </w:p>
          <w:p w14:paraId="72A320C2" w14:textId="77777777" w:rsidR="00AE21C9" w:rsidRPr="00742D67" w:rsidRDefault="00AE21C9" w:rsidP="00401845">
            <w:pPr>
              <w:spacing w:after="0" w:line="240" w:lineRule="auto"/>
              <w:rPr>
                <w:rFonts w:ascii="Arial" w:hAnsi="Arial" w:cs="Arial"/>
                <w:sz w:val="18"/>
                <w:szCs w:val="18"/>
              </w:rPr>
            </w:pPr>
            <w:r w:rsidRPr="00742D67">
              <w:rPr>
                <w:rFonts w:ascii="Arial" w:hAnsi="Arial" w:cs="Arial"/>
                <w:sz w:val="18"/>
                <w:szCs w:val="18"/>
              </w:rPr>
              <w:t xml:space="preserve">Parties prenantes </w:t>
            </w:r>
            <w:r w:rsidR="00401845" w:rsidRPr="00742D67">
              <w:rPr>
                <w:rFonts w:ascii="Arial" w:hAnsi="Arial" w:cs="Arial"/>
                <w:sz w:val="18"/>
                <w:szCs w:val="18"/>
              </w:rPr>
              <w:t>exerçant</w:t>
            </w:r>
            <w:r w:rsidR="00401845">
              <w:rPr>
                <w:rFonts w:ascii="Arial" w:hAnsi="Arial" w:cs="Arial"/>
                <w:sz w:val="18"/>
                <w:szCs w:val="18"/>
              </w:rPr>
              <w:t xml:space="preserve"> </w:t>
            </w:r>
            <w:r w:rsidRPr="00742D67">
              <w:rPr>
                <w:rFonts w:ascii="Arial" w:hAnsi="Arial" w:cs="Arial"/>
                <w:sz w:val="18"/>
                <w:szCs w:val="18"/>
              </w:rPr>
              <w:t xml:space="preserve">une influence ou </w:t>
            </w:r>
            <w:r w:rsidR="00401845" w:rsidRPr="00742D67">
              <w:rPr>
                <w:rFonts w:ascii="Arial" w:hAnsi="Arial" w:cs="Arial"/>
                <w:sz w:val="18"/>
                <w:szCs w:val="18"/>
              </w:rPr>
              <w:t xml:space="preserve">ayant </w:t>
            </w:r>
            <w:r w:rsidRPr="00742D67">
              <w:rPr>
                <w:rFonts w:ascii="Arial" w:hAnsi="Arial" w:cs="Arial"/>
                <w:sz w:val="18"/>
                <w:szCs w:val="18"/>
              </w:rPr>
              <w:t>un intérêt sur la mise en œuvre du Projet (CTD, SLC)</w:t>
            </w:r>
          </w:p>
        </w:tc>
      </w:tr>
      <w:tr w:rsidR="0063584D" w:rsidRPr="007F78CE" w14:paraId="47BC55D2" w14:textId="77777777" w:rsidTr="00F01166">
        <w:trPr>
          <w:trHeight w:val="1872"/>
        </w:trPr>
        <w:tc>
          <w:tcPr>
            <w:tcW w:w="882" w:type="pct"/>
            <w:vMerge/>
          </w:tcPr>
          <w:p w14:paraId="09D24352" w14:textId="77777777" w:rsidR="00AE21C9" w:rsidRPr="007F78CE" w:rsidRDefault="00AE21C9" w:rsidP="007F78CE">
            <w:pPr>
              <w:spacing w:after="0" w:line="240" w:lineRule="auto"/>
              <w:rPr>
                <w:rFonts w:ascii="Arial" w:hAnsi="Arial" w:cs="Arial"/>
                <w:bCs/>
                <w:sz w:val="18"/>
                <w:szCs w:val="18"/>
              </w:rPr>
            </w:pPr>
          </w:p>
        </w:tc>
        <w:tc>
          <w:tcPr>
            <w:tcW w:w="1063" w:type="pct"/>
            <w:shd w:val="clear" w:color="auto" w:fill="auto"/>
          </w:tcPr>
          <w:p w14:paraId="626D6798" w14:textId="77777777" w:rsidR="00AE21C9" w:rsidRPr="007F78CE" w:rsidRDefault="00AE21C9" w:rsidP="007F78CE">
            <w:pPr>
              <w:spacing w:after="0" w:line="240" w:lineRule="auto"/>
              <w:rPr>
                <w:rFonts w:ascii="Arial" w:hAnsi="Arial" w:cs="Arial"/>
                <w:sz w:val="18"/>
                <w:szCs w:val="18"/>
              </w:rPr>
            </w:pPr>
            <w:r w:rsidRPr="007F78CE">
              <w:rPr>
                <w:rFonts w:ascii="Arial" w:hAnsi="Arial" w:cs="Arial"/>
                <w:sz w:val="18"/>
                <w:szCs w:val="18"/>
              </w:rPr>
              <w:t>Porte à porte</w:t>
            </w:r>
          </w:p>
        </w:tc>
        <w:tc>
          <w:tcPr>
            <w:tcW w:w="1343" w:type="pct"/>
            <w:shd w:val="clear" w:color="auto" w:fill="auto"/>
          </w:tcPr>
          <w:p w14:paraId="1A2C2503" w14:textId="77777777" w:rsidR="00AE21C9" w:rsidRPr="00687DD2" w:rsidRDefault="00AE21C9" w:rsidP="00687DD2">
            <w:pPr>
              <w:pStyle w:val="Paragraphedeliste"/>
              <w:numPr>
                <w:ilvl w:val="0"/>
                <w:numId w:val="31"/>
              </w:numPr>
              <w:tabs>
                <w:tab w:val="left" w:pos="178"/>
              </w:tabs>
              <w:spacing w:before="100" w:beforeAutospacing="1" w:after="0" w:afterAutospacing="1" w:line="240" w:lineRule="auto"/>
              <w:ind w:left="0" w:firstLine="0"/>
              <w:rPr>
                <w:rFonts w:ascii="Arial" w:hAnsi="Arial" w:cs="Arial"/>
                <w:sz w:val="18"/>
                <w:szCs w:val="18"/>
              </w:rPr>
            </w:pPr>
            <w:r w:rsidRPr="00687DD2">
              <w:rPr>
                <w:rFonts w:ascii="Arial" w:hAnsi="Arial" w:cs="Arial"/>
                <w:sz w:val="18"/>
                <w:szCs w:val="18"/>
              </w:rPr>
              <w:t>Diffuser des informations spécifiques</w:t>
            </w:r>
          </w:p>
          <w:p w14:paraId="2A94A20F" w14:textId="77777777" w:rsidR="00AE21C9" w:rsidRPr="00687DD2" w:rsidRDefault="00AE21C9" w:rsidP="00687DD2">
            <w:pPr>
              <w:pStyle w:val="Paragraphedeliste"/>
              <w:numPr>
                <w:ilvl w:val="0"/>
                <w:numId w:val="31"/>
              </w:numPr>
              <w:tabs>
                <w:tab w:val="left" w:pos="178"/>
              </w:tabs>
              <w:spacing w:before="100" w:beforeAutospacing="1" w:after="0" w:afterAutospacing="1" w:line="240" w:lineRule="auto"/>
              <w:ind w:left="0" w:firstLine="0"/>
              <w:rPr>
                <w:rFonts w:ascii="Arial" w:hAnsi="Arial" w:cs="Arial"/>
                <w:sz w:val="18"/>
                <w:szCs w:val="18"/>
              </w:rPr>
            </w:pPr>
            <w:r w:rsidRPr="00687DD2">
              <w:rPr>
                <w:rFonts w:ascii="Arial" w:hAnsi="Arial" w:cs="Arial"/>
                <w:sz w:val="18"/>
                <w:szCs w:val="18"/>
              </w:rPr>
              <w:t>Tisser des liens avec les parties prenantes</w:t>
            </w:r>
          </w:p>
          <w:p w14:paraId="2319D53E" w14:textId="77777777" w:rsidR="00AE21C9" w:rsidRPr="00687DD2" w:rsidRDefault="00AE21C9" w:rsidP="00F01166">
            <w:pPr>
              <w:pStyle w:val="Paragraphedeliste"/>
              <w:numPr>
                <w:ilvl w:val="0"/>
                <w:numId w:val="31"/>
              </w:numPr>
              <w:tabs>
                <w:tab w:val="left" w:pos="178"/>
              </w:tabs>
              <w:spacing w:before="100" w:beforeAutospacing="1" w:after="120" w:line="240" w:lineRule="auto"/>
              <w:ind w:left="0" w:firstLine="0"/>
              <w:jc w:val="both"/>
              <w:rPr>
                <w:rFonts w:ascii="Arial" w:hAnsi="Arial" w:cs="Arial"/>
                <w:sz w:val="18"/>
                <w:szCs w:val="18"/>
              </w:rPr>
            </w:pPr>
            <w:r w:rsidRPr="00687DD2">
              <w:rPr>
                <w:rFonts w:ascii="Arial" w:hAnsi="Arial" w:cs="Arial"/>
                <w:sz w:val="18"/>
                <w:szCs w:val="18"/>
              </w:rPr>
              <w:t>Permettre aux parties prenantes de parler et discuter des questions sensibles</w:t>
            </w:r>
          </w:p>
        </w:tc>
        <w:tc>
          <w:tcPr>
            <w:tcW w:w="1711" w:type="pct"/>
            <w:shd w:val="clear" w:color="auto" w:fill="auto"/>
          </w:tcPr>
          <w:p w14:paraId="3116836A" w14:textId="77777777" w:rsidR="00AE21C9" w:rsidRPr="007F78CE" w:rsidRDefault="00AE21C9" w:rsidP="007F78CE">
            <w:pPr>
              <w:spacing w:after="0" w:line="240" w:lineRule="auto"/>
              <w:rPr>
                <w:rFonts w:ascii="Arial" w:hAnsi="Arial" w:cs="Arial"/>
                <w:sz w:val="18"/>
                <w:szCs w:val="18"/>
              </w:rPr>
            </w:pPr>
            <w:r w:rsidRPr="007F78CE">
              <w:rPr>
                <w:rFonts w:ascii="Arial" w:hAnsi="Arial" w:cs="Arial"/>
                <w:sz w:val="18"/>
                <w:szCs w:val="18"/>
              </w:rPr>
              <w:t>Parties prenantes susceptibles d’être touchées par la mise en œuvre du Projet (communauté de bases et spécifiquement les personnes potentiellement affectées par le projet ou PAP), les groupes vulnérables ou défavorisés, les femmes, les jeunes)</w:t>
            </w:r>
          </w:p>
        </w:tc>
      </w:tr>
      <w:tr w:rsidR="0063584D" w:rsidRPr="007F78CE" w14:paraId="74A0C52B" w14:textId="77777777" w:rsidTr="4E4A4666">
        <w:tc>
          <w:tcPr>
            <w:tcW w:w="882" w:type="pct"/>
            <w:vMerge/>
          </w:tcPr>
          <w:p w14:paraId="1F352ABD" w14:textId="77777777" w:rsidR="00AE21C9" w:rsidRPr="007F78CE" w:rsidRDefault="00AE21C9" w:rsidP="007F78CE">
            <w:pPr>
              <w:spacing w:after="0" w:line="240" w:lineRule="auto"/>
              <w:rPr>
                <w:rFonts w:ascii="Arial" w:hAnsi="Arial" w:cs="Arial"/>
                <w:bCs/>
                <w:sz w:val="18"/>
                <w:szCs w:val="18"/>
              </w:rPr>
            </w:pPr>
          </w:p>
        </w:tc>
        <w:tc>
          <w:tcPr>
            <w:tcW w:w="1063" w:type="pct"/>
            <w:tcBorders>
              <w:top w:val="single" w:sz="8" w:space="0" w:color="4F81BD"/>
              <w:bottom w:val="single" w:sz="8" w:space="0" w:color="4F81BD"/>
            </w:tcBorders>
            <w:shd w:val="clear" w:color="auto" w:fill="auto"/>
          </w:tcPr>
          <w:p w14:paraId="55B55925" w14:textId="77777777" w:rsidR="00AE21C9" w:rsidRPr="007F78CE" w:rsidRDefault="00AE21C9" w:rsidP="007F78CE">
            <w:pPr>
              <w:spacing w:after="0" w:line="240" w:lineRule="auto"/>
              <w:rPr>
                <w:rFonts w:ascii="Arial" w:hAnsi="Arial" w:cs="Arial"/>
                <w:sz w:val="18"/>
                <w:szCs w:val="18"/>
              </w:rPr>
            </w:pPr>
            <w:r w:rsidRPr="007F78CE">
              <w:rPr>
                <w:rFonts w:ascii="Arial" w:hAnsi="Arial" w:cs="Arial"/>
                <w:sz w:val="18"/>
                <w:szCs w:val="18"/>
              </w:rPr>
              <w:t xml:space="preserve">Communiqué, spot, documentaire, reportage par le biais des </w:t>
            </w:r>
            <w:r w:rsidR="00534F94" w:rsidRPr="007F78CE">
              <w:rPr>
                <w:rFonts w:ascii="Arial" w:hAnsi="Arial" w:cs="Arial"/>
                <w:sz w:val="18"/>
                <w:szCs w:val="18"/>
              </w:rPr>
              <w:t>mas médias</w:t>
            </w:r>
            <w:r w:rsidRPr="007F78CE">
              <w:rPr>
                <w:rFonts w:ascii="Arial" w:hAnsi="Arial" w:cs="Arial"/>
                <w:sz w:val="18"/>
                <w:szCs w:val="18"/>
              </w:rPr>
              <w:t xml:space="preserve"> (radio nationale et radio local, TV nationale et TV locale, presse écrite), événements festifs</w:t>
            </w:r>
          </w:p>
        </w:tc>
        <w:tc>
          <w:tcPr>
            <w:tcW w:w="1343" w:type="pct"/>
            <w:tcBorders>
              <w:top w:val="single" w:sz="8" w:space="0" w:color="4F81BD"/>
              <w:bottom w:val="single" w:sz="8" w:space="0" w:color="4F81BD"/>
            </w:tcBorders>
            <w:shd w:val="clear" w:color="auto" w:fill="auto"/>
          </w:tcPr>
          <w:p w14:paraId="2929BB08" w14:textId="77777777" w:rsidR="00AE21C9" w:rsidRPr="00687DD2" w:rsidRDefault="00AE21C9" w:rsidP="00687DD2">
            <w:pPr>
              <w:pStyle w:val="Paragraphedeliste"/>
              <w:numPr>
                <w:ilvl w:val="0"/>
                <w:numId w:val="31"/>
              </w:numPr>
              <w:tabs>
                <w:tab w:val="left" w:pos="178"/>
              </w:tabs>
              <w:spacing w:before="100" w:beforeAutospacing="1" w:after="0" w:afterAutospacing="1" w:line="240" w:lineRule="auto"/>
              <w:ind w:left="0" w:firstLine="0"/>
              <w:rPr>
                <w:rFonts w:ascii="Arial" w:hAnsi="Arial" w:cs="Arial"/>
                <w:sz w:val="18"/>
                <w:szCs w:val="18"/>
              </w:rPr>
            </w:pPr>
            <w:r w:rsidRPr="00687DD2">
              <w:rPr>
                <w:rFonts w:ascii="Arial" w:hAnsi="Arial" w:cs="Arial"/>
                <w:sz w:val="18"/>
                <w:szCs w:val="18"/>
              </w:rPr>
              <w:t>Diffuser des informations précises pour une période bien déterminée</w:t>
            </w:r>
          </w:p>
          <w:p w14:paraId="40F8EC89" w14:textId="77777777" w:rsidR="00AE21C9" w:rsidRPr="00687DD2" w:rsidRDefault="00AE21C9" w:rsidP="00687DD2">
            <w:pPr>
              <w:pStyle w:val="Paragraphedeliste"/>
              <w:numPr>
                <w:ilvl w:val="0"/>
                <w:numId w:val="31"/>
              </w:numPr>
              <w:tabs>
                <w:tab w:val="left" w:pos="178"/>
              </w:tabs>
              <w:spacing w:before="100" w:beforeAutospacing="1" w:after="0" w:afterAutospacing="1" w:line="240" w:lineRule="auto"/>
              <w:ind w:left="0" w:firstLine="0"/>
              <w:rPr>
                <w:rFonts w:ascii="Arial" w:hAnsi="Arial" w:cs="Arial"/>
                <w:sz w:val="18"/>
                <w:szCs w:val="18"/>
              </w:rPr>
            </w:pPr>
            <w:r w:rsidRPr="00687DD2">
              <w:rPr>
                <w:rFonts w:ascii="Arial" w:hAnsi="Arial" w:cs="Arial"/>
                <w:sz w:val="18"/>
                <w:szCs w:val="18"/>
              </w:rPr>
              <w:t>Diffuser des informations spécifiques (exemple AMI, recrutement)</w:t>
            </w:r>
          </w:p>
        </w:tc>
        <w:tc>
          <w:tcPr>
            <w:tcW w:w="1711" w:type="pct"/>
            <w:tcBorders>
              <w:top w:val="single" w:sz="8" w:space="0" w:color="4F81BD"/>
              <w:bottom w:val="single" w:sz="8" w:space="0" w:color="4F81BD"/>
              <w:right w:val="single" w:sz="8" w:space="0" w:color="4F81BD"/>
            </w:tcBorders>
            <w:shd w:val="clear" w:color="auto" w:fill="auto"/>
          </w:tcPr>
          <w:p w14:paraId="28971A50" w14:textId="77777777" w:rsidR="00AE21C9" w:rsidRPr="007F78CE" w:rsidRDefault="00AE21C9" w:rsidP="007F78CE">
            <w:pPr>
              <w:spacing w:after="0" w:line="240" w:lineRule="auto"/>
              <w:rPr>
                <w:rFonts w:ascii="Arial" w:hAnsi="Arial" w:cs="Arial"/>
                <w:sz w:val="18"/>
                <w:szCs w:val="18"/>
              </w:rPr>
            </w:pPr>
            <w:r w:rsidRPr="007F78CE">
              <w:rPr>
                <w:rFonts w:ascii="Arial" w:hAnsi="Arial" w:cs="Arial"/>
                <w:sz w:val="18"/>
                <w:szCs w:val="18"/>
              </w:rPr>
              <w:t>Parties prenantes susceptibles d’être touchées par la mise en œuvre du Projet (communauté de bases toutes catégories confondues)</w:t>
            </w:r>
          </w:p>
          <w:p w14:paraId="47D94109" w14:textId="77777777" w:rsidR="00AE21C9" w:rsidRPr="007F78CE" w:rsidRDefault="00AE21C9" w:rsidP="00401845">
            <w:pPr>
              <w:spacing w:after="0" w:line="240" w:lineRule="auto"/>
              <w:rPr>
                <w:rFonts w:ascii="Arial" w:hAnsi="Arial" w:cs="Arial"/>
                <w:sz w:val="18"/>
                <w:szCs w:val="18"/>
              </w:rPr>
            </w:pPr>
            <w:r w:rsidRPr="007F78CE">
              <w:rPr>
                <w:rFonts w:ascii="Arial" w:hAnsi="Arial" w:cs="Arial"/>
                <w:sz w:val="18"/>
                <w:szCs w:val="18"/>
              </w:rPr>
              <w:t xml:space="preserve">Parties prenantes </w:t>
            </w:r>
            <w:r w:rsidR="00401845" w:rsidRPr="007F78CE">
              <w:rPr>
                <w:rFonts w:ascii="Arial" w:hAnsi="Arial" w:cs="Arial"/>
                <w:sz w:val="18"/>
                <w:szCs w:val="18"/>
              </w:rPr>
              <w:t>xerçant</w:t>
            </w:r>
            <w:r w:rsidR="00401845">
              <w:rPr>
                <w:rFonts w:ascii="Arial" w:hAnsi="Arial" w:cs="Arial"/>
                <w:sz w:val="18"/>
                <w:szCs w:val="18"/>
              </w:rPr>
              <w:t xml:space="preserve"> </w:t>
            </w:r>
            <w:r w:rsidRPr="007F78CE">
              <w:rPr>
                <w:rFonts w:ascii="Arial" w:hAnsi="Arial" w:cs="Arial"/>
                <w:sz w:val="18"/>
                <w:szCs w:val="18"/>
              </w:rPr>
              <w:t xml:space="preserve">une influence ou </w:t>
            </w:r>
            <w:r w:rsidR="00401845" w:rsidRPr="007F78CE">
              <w:rPr>
                <w:rFonts w:ascii="Arial" w:hAnsi="Arial" w:cs="Arial"/>
                <w:sz w:val="18"/>
                <w:szCs w:val="18"/>
              </w:rPr>
              <w:t xml:space="preserve">ayant </w:t>
            </w:r>
            <w:r w:rsidRPr="007F78CE">
              <w:rPr>
                <w:rFonts w:ascii="Arial" w:hAnsi="Arial" w:cs="Arial"/>
                <w:sz w:val="18"/>
                <w:szCs w:val="18"/>
              </w:rPr>
              <w:t xml:space="preserve">un intérêt sur la mise en œuvre du Projet </w:t>
            </w:r>
          </w:p>
        </w:tc>
      </w:tr>
      <w:tr w:rsidR="0063584D" w:rsidRPr="007F78CE" w14:paraId="4F8637B3" w14:textId="77777777" w:rsidTr="00F01166">
        <w:trPr>
          <w:trHeight w:val="576"/>
        </w:trPr>
        <w:tc>
          <w:tcPr>
            <w:tcW w:w="882" w:type="pct"/>
            <w:vMerge/>
          </w:tcPr>
          <w:p w14:paraId="56B8E6B9" w14:textId="77777777" w:rsidR="00AE21C9" w:rsidRPr="007F78CE" w:rsidRDefault="00AE21C9" w:rsidP="007F78CE">
            <w:pPr>
              <w:spacing w:after="0" w:line="240" w:lineRule="auto"/>
              <w:rPr>
                <w:rFonts w:ascii="Arial" w:hAnsi="Arial" w:cs="Arial"/>
                <w:bCs/>
                <w:sz w:val="18"/>
                <w:szCs w:val="18"/>
              </w:rPr>
            </w:pPr>
          </w:p>
        </w:tc>
        <w:tc>
          <w:tcPr>
            <w:tcW w:w="1063" w:type="pct"/>
            <w:tcBorders>
              <w:bottom w:val="single" w:sz="8" w:space="0" w:color="4F81BD"/>
            </w:tcBorders>
            <w:shd w:val="clear" w:color="auto" w:fill="auto"/>
          </w:tcPr>
          <w:p w14:paraId="0E783AD3" w14:textId="77777777" w:rsidR="00AE21C9" w:rsidRPr="007F78CE" w:rsidRDefault="00AE21C9" w:rsidP="007F78CE">
            <w:pPr>
              <w:spacing w:after="0" w:line="240" w:lineRule="auto"/>
              <w:rPr>
                <w:rFonts w:ascii="Arial" w:hAnsi="Arial" w:cs="Arial"/>
                <w:sz w:val="18"/>
                <w:szCs w:val="18"/>
              </w:rPr>
            </w:pPr>
            <w:r w:rsidRPr="007F78CE">
              <w:rPr>
                <w:rFonts w:ascii="Arial" w:hAnsi="Arial" w:cs="Arial"/>
                <w:sz w:val="18"/>
                <w:szCs w:val="18"/>
              </w:rPr>
              <w:t>Page Facebook, site Web du Projet</w:t>
            </w:r>
          </w:p>
        </w:tc>
        <w:tc>
          <w:tcPr>
            <w:tcW w:w="1343" w:type="pct"/>
            <w:shd w:val="clear" w:color="auto" w:fill="auto"/>
          </w:tcPr>
          <w:p w14:paraId="35756E8B" w14:textId="77777777" w:rsidR="00AE21C9" w:rsidRPr="00687DD2" w:rsidRDefault="00AE21C9" w:rsidP="00687DD2">
            <w:pPr>
              <w:pStyle w:val="Paragraphedeliste"/>
              <w:numPr>
                <w:ilvl w:val="0"/>
                <w:numId w:val="31"/>
              </w:numPr>
              <w:tabs>
                <w:tab w:val="left" w:pos="178"/>
              </w:tabs>
              <w:spacing w:before="100" w:beforeAutospacing="1" w:after="0" w:afterAutospacing="1" w:line="240" w:lineRule="auto"/>
              <w:ind w:left="0" w:firstLine="0"/>
              <w:rPr>
                <w:rFonts w:ascii="Arial" w:hAnsi="Arial" w:cs="Arial"/>
                <w:sz w:val="18"/>
                <w:szCs w:val="18"/>
              </w:rPr>
            </w:pPr>
            <w:r w:rsidRPr="00687DD2">
              <w:rPr>
                <w:rFonts w:ascii="Arial" w:hAnsi="Arial" w:cs="Arial"/>
                <w:sz w:val="18"/>
                <w:szCs w:val="18"/>
              </w:rPr>
              <w:t>Présenter les informations du Projet et l’état d’avancement de la réalisation</w:t>
            </w:r>
          </w:p>
          <w:p w14:paraId="751EA5AE" w14:textId="77777777" w:rsidR="00AE21C9" w:rsidRPr="00687DD2" w:rsidRDefault="00AE21C9" w:rsidP="00F01166">
            <w:pPr>
              <w:pStyle w:val="Paragraphedeliste"/>
              <w:numPr>
                <w:ilvl w:val="0"/>
                <w:numId w:val="31"/>
              </w:numPr>
              <w:tabs>
                <w:tab w:val="left" w:pos="178"/>
              </w:tabs>
              <w:spacing w:before="100" w:beforeAutospacing="1" w:after="120" w:line="240" w:lineRule="auto"/>
              <w:ind w:left="0" w:firstLine="0"/>
              <w:jc w:val="both"/>
              <w:rPr>
                <w:rFonts w:ascii="Arial" w:hAnsi="Arial" w:cs="Arial"/>
                <w:sz w:val="18"/>
                <w:szCs w:val="18"/>
              </w:rPr>
            </w:pPr>
            <w:r w:rsidRPr="00687DD2">
              <w:rPr>
                <w:rFonts w:ascii="Arial" w:hAnsi="Arial" w:cs="Arial"/>
                <w:sz w:val="18"/>
                <w:szCs w:val="18"/>
              </w:rPr>
              <w:t xml:space="preserve">Diffuser des documents de sauvegarde environnementale et </w:t>
            </w:r>
            <w:r w:rsidR="00534F94" w:rsidRPr="00687DD2">
              <w:rPr>
                <w:rFonts w:ascii="Arial" w:hAnsi="Arial" w:cs="Arial"/>
                <w:sz w:val="18"/>
                <w:szCs w:val="18"/>
              </w:rPr>
              <w:t>sociale</w:t>
            </w:r>
            <w:r w:rsidRPr="00687DD2">
              <w:rPr>
                <w:rFonts w:ascii="Arial" w:hAnsi="Arial" w:cs="Arial"/>
                <w:sz w:val="18"/>
                <w:szCs w:val="18"/>
              </w:rPr>
              <w:t>, des documents pertinents sur le Projet</w:t>
            </w:r>
          </w:p>
        </w:tc>
        <w:tc>
          <w:tcPr>
            <w:tcW w:w="1711" w:type="pct"/>
            <w:shd w:val="clear" w:color="auto" w:fill="auto"/>
          </w:tcPr>
          <w:p w14:paraId="33C70696" w14:textId="77777777" w:rsidR="00AE21C9" w:rsidRPr="007F78CE" w:rsidRDefault="00AE21C9" w:rsidP="007F78CE">
            <w:pPr>
              <w:spacing w:after="0" w:line="240" w:lineRule="auto"/>
              <w:rPr>
                <w:rFonts w:ascii="Arial" w:hAnsi="Arial" w:cs="Arial"/>
                <w:sz w:val="18"/>
                <w:szCs w:val="18"/>
              </w:rPr>
            </w:pPr>
            <w:r w:rsidRPr="007F78CE">
              <w:rPr>
                <w:rFonts w:ascii="Arial" w:hAnsi="Arial" w:cs="Arial"/>
                <w:sz w:val="18"/>
                <w:szCs w:val="18"/>
              </w:rPr>
              <w:t>Parties prenantes participant à la mise en œuvre</w:t>
            </w:r>
          </w:p>
          <w:p w14:paraId="7554846D" w14:textId="77777777" w:rsidR="00AE21C9" w:rsidRPr="007F78CE" w:rsidRDefault="00AE21C9" w:rsidP="007F78CE">
            <w:pPr>
              <w:spacing w:after="0" w:line="240" w:lineRule="auto"/>
              <w:rPr>
                <w:rFonts w:ascii="Arial" w:hAnsi="Arial" w:cs="Arial"/>
                <w:sz w:val="18"/>
                <w:szCs w:val="18"/>
              </w:rPr>
            </w:pPr>
            <w:r w:rsidRPr="007F78CE">
              <w:rPr>
                <w:rFonts w:ascii="Arial" w:hAnsi="Arial" w:cs="Arial"/>
                <w:sz w:val="18"/>
                <w:szCs w:val="18"/>
              </w:rPr>
              <w:t xml:space="preserve">Parties prenantes </w:t>
            </w:r>
            <w:r w:rsidR="00EF518C">
              <w:rPr>
                <w:rFonts w:ascii="Arial" w:hAnsi="Arial" w:cs="Arial"/>
                <w:sz w:val="18"/>
                <w:szCs w:val="18"/>
              </w:rPr>
              <w:t xml:space="preserve"> e</w:t>
            </w:r>
            <w:r w:rsidR="00EF518C" w:rsidRPr="007F78CE">
              <w:rPr>
                <w:rFonts w:ascii="Arial" w:hAnsi="Arial" w:cs="Arial"/>
                <w:sz w:val="18"/>
                <w:szCs w:val="18"/>
              </w:rPr>
              <w:t>xerçant</w:t>
            </w:r>
            <w:r w:rsidR="00EF518C">
              <w:rPr>
                <w:rFonts w:ascii="Arial" w:hAnsi="Arial" w:cs="Arial"/>
                <w:sz w:val="18"/>
                <w:szCs w:val="18"/>
              </w:rPr>
              <w:t xml:space="preserve"> </w:t>
            </w:r>
            <w:r w:rsidRPr="007F78CE">
              <w:rPr>
                <w:rFonts w:ascii="Arial" w:hAnsi="Arial" w:cs="Arial"/>
                <w:sz w:val="18"/>
                <w:szCs w:val="18"/>
              </w:rPr>
              <w:t xml:space="preserve">une influence ou </w:t>
            </w:r>
            <w:r w:rsidR="00EF518C" w:rsidRPr="007F78CE">
              <w:rPr>
                <w:rFonts w:ascii="Arial" w:hAnsi="Arial" w:cs="Arial"/>
                <w:sz w:val="18"/>
                <w:szCs w:val="18"/>
              </w:rPr>
              <w:t xml:space="preserve">ayant </w:t>
            </w:r>
            <w:r w:rsidRPr="007F78CE">
              <w:rPr>
                <w:rFonts w:ascii="Arial" w:hAnsi="Arial" w:cs="Arial"/>
                <w:sz w:val="18"/>
                <w:szCs w:val="18"/>
              </w:rPr>
              <w:t>un intérêt sur la mise en œuvre du Projet</w:t>
            </w:r>
          </w:p>
          <w:p w14:paraId="466944EE" w14:textId="77777777" w:rsidR="00AE21C9" w:rsidRPr="007F78CE" w:rsidRDefault="00AE21C9" w:rsidP="007F78CE">
            <w:pPr>
              <w:spacing w:after="0" w:line="240" w:lineRule="auto"/>
              <w:rPr>
                <w:rFonts w:ascii="Arial" w:hAnsi="Arial" w:cs="Arial"/>
                <w:sz w:val="18"/>
                <w:szCs w:val="18"/>
              </w:rPr>
            </w:pPr>
            <w:r w:rsidRPr="007F78CE">
              <w:rPr>
                <w:rFonts w:ascii="Arial" w:hAnsi="Arial" w:cs="Arial"/>
                <w:sz w:val="18"/>
                <w:szCs w:val="18"/>
              </w:rPr>
              <w:t>Parties prenantes susceptibles d’être touchées par la mise en œuvre du Projet (ayant accès à l’internet et au réseau de téléphonie mobile)</w:t>
            </w:r>
          </w:p>
        </w:tc>
      </w:tr>
      <w:tr w:rsidR="0063584D" w:rsidRPr="007F78CE" w14:paraId="78424EE8" w14:textId="77777777" w:rsidTr="00F01166">
        <w:trPr>
          <w:trHeight w:val="1728"/>
        </w:trPr>
        <w:tc>
          <w:tcPr>
            <w:tcW w:w="882" w:type="pct"/>
            <w:tcBorders>
              <w:top w:val="single" w:sz="8" w:space="0" w:color="4F81BD"/>
              <w:left w:val="single" w:sz="8" w:space="0" w:color="4F81BD"/>
              <w:bottom w:val="single" w:sz="8" w:space="0" w:color="4F81BD"/>
              <w:right w:val="single" w:sz="4" w:space="0" w:color="auto"/>
            </w:tcBorders>
            <w:shd w:val="clear" w:color="auto" w:fill="auto"/>
          </w:tcPr>
          <w:p w14:paraId="6B13B4AD" w14:textId="77777777" w:rsidR="00AE21C9" w:rsidRPr="007F78CE" w:rsidRDefault="00AE21C9" w:rsidP="007F78CE">
            <w:pPr>
              <w:spacing w:after="0" w:line="240" w:lineRule="auto"/>
              <w:rPr>
                <w:rFonts w:ascii="Arial" w:hAnsi="Arial" w:cs="Arial"/>
                <w:bCs/>
                <w:sz w:val="18"/>
                <w:szCs w:val="18"/>
              </w:rPr>
            </w:pPr>
            <w:r w:rsidRPr="007F78CE">
              <w:rPr>
                <w:rFonts w:ascii="Arial" w:hAnsi="Arial" w:cs="Arial"/>
                <w:b/>
                <w:bCs/>
                <w:sz w:val="18"/>
                <w:szCs w:val="18"/>
              </w:rPr>
              <w:t>Consultation</w:t>
            </w:r>
          </w:p>
        </w:tc>
        <w:tc>
          <w:tcPr>
            <w:tcW w:w="1063" w:type="pct"/>
            <w:tcBorders>
              <w:top w:val="single" w:sz="8" w:space="0" w:color="4F81BD"/>
              <w:left w:val="single" w:sz="4" w:space="0" w:color="auto"/>
              <w:bottom w:val="single" w:sz="8" w:space="0" w:color="4F81BD"/>
              <w:right w:val="single" w:sz="8" w:space="0" w:color="4F81BD"/>
            </w:tcBorders>
            <w:shd w:val="clear" w:color="auto" w:fill="auto"/>
          </w:tcPr>
          <w:p w14:paraId="6E074B34" w14:textId="77777777" w:rsidR="00AE21C9" w:rsidRPr="007F78CE" w:rsidRDefault="00AE21C9" w:rsidP="007F78CE">
            <w:pPr>
              <w:spacing w:after="0" w:line="240" w:lineRule="auto"/>
              <w:rPr>
                <w:rFonts w:ascii="Arial" w:hAnsi="Arial" w:cs="Arial"/>
                <w:sz w:val="18"/>
                <w:szCs w:val="18"/>
              </w:rPr>
            </w:pPr>
            <w:r w:rsidRPr="007F78CE">
              <w:rPr>
                <w:rFonts w:ascii="Arial" w:hAnsi="Arial" w:cs="Arial"/>
                <w:sz w:val="18"/>
                <w:szCs w:val="18"/>
              </w:rPr>
              <w:t>Réunion de concertation (réunion formelle)</w:t>
            </w:r>
          </w:p>
        </w:tc>
        <w:tc>
          <w:tcPr>
            <w:tcW w:w="1343" w:type="pct"/>
            <w:tcBorders>
              <w:top w:val="single" w:sz="8" w:space="0" w:color="4F81BD"/>
              <w:left w:val="single" w:sz="8" w:space="0" w:color="4F81BD"/>
              <w:bottom w:val="single" w:sz="8" w:space="0" w:color="4F81BD"/>
              <w:right w:val="single" w:sz="8" w:space="0" w:color="4F81BD"/>
            </w:tcBorders>
            <w:shd w:val="clear" w:color="auto" w:fill="auto"/>
          </w:tcPr>
          <w:p w14:paraId="28DCFB8F" w14:textId="77777777" w:rsidR="00AE21C9" w:rsidRPr="00687DD2" w:rsidRDefault="00AE21C9" w:rsidP="00687DD2">
            <w:pPr>
              <w:pStyle w:val="Paragraphedeliste"/>
              <w:numPr>
                <w:ilvl w:val="0"/>
                <w:numId w:val="31"/>
              </w:numPr>
              <w:tabs>
                <w:tab w:val="left" w:pos="178"/>
              </w:tabs>
              <w:spacing w:before="100" w:beforeAutospacing="1" w:after="0" w:afterAutospacing="1" w:line="240" w:lineRule="auto"/>
              <w:ind w:left="0" w:firstLine="0"/>
              <w:rPr>
                <w:rFonts w:ascii="Arial" w:hAnsi="Arial" w:cs="Arial"/>
                <w:sz w:val="18"/>
                <w:szCs w:val="18"/>
              </w:rPr>
            </w:pPr>
            <w:r w:rsidRPr="00687DD2">
              <w:rPr>
                <w:rFonts w:ascii="Arial" w:hAnsi="Arial" w:cs="Arial"/>
                <w:sz w:val="18"/>
                <w:szCs w:val="18"/>
              </w:rPr>
              <w:t>Discuter des informations précises</w:t>
            </w:r>
          </w:p>
          <w:p w14:paraId="40AB658E" w14:textId="77777777" w:rsidR="00AE21C9" w:rsidRPr="00687DD2" w:rsidRDefault="00AE21C9" w:rsidP="00687DD2">
            <w:pPr>
              <w:pStyle w:val="Paragraphedeliste"/>
              <w:numPr>
                <w:ilvl w:val="0"/>
                <w:numId w:val="31"/>
              </w:numPr>
              <w:tabs>
                <w:tab w:val="left" w:pos="178"/>
              </w:tabs>
              <w:spacing w:before="100" w:beforeAutospacing="1" w:after="0" w:afterAutospacing="1" w:line="240" w:lineRule="auto"/>
              <w:ind w:left="0" w:firstLine="0"/>
              <w:rPr>
                <w:rFonts w:ascii="Arial" w:hAnsi="Arial" w:cs="Arial"/>
                <w:sz w:val="18"/>
                <w:szCs w:val="18"/>
              </w:rPr>
            </w:pPr>
            <w:r w:rsidRPr="00687DD2">
              <w:rPr>
                <w:rFonts w:ascii="Arial" w:hAnsi="Arial" w:cs="Arial"/>
                <w:sz w:val="18"/>
                <w:szCs w:val="18"/>
              </w:rPr>
              <w:t>Demander des avis et directives, des conseils</w:t>
            </w:r>
          </w:p>
        </w:tc>
        <w:tc>
          <w:tcPr>
            <w:tcW w:w="1711" w:type="pct"/>
            <w:tcBorders>
              <w:top w:val="single" w:sz="8" w:space="0" w:color="4F81BD"/>
              <w:left w:val="single" w:sz="8" w:space="0" w:color="4F81BD"/>
              <w:bottom w:val="single" w:sz="8" w:space="0" w:color="4F81BD"/>
              <w:right w:val="single" w:sz="8" w:space="0" w:color="4F81BD"/>
            </w:tcBorders>
            <w:shd w:val="clear" w:color="auto" w:fill="auto"/>
          </w:tcPr>
          <w:p w14:paraId="0A63D2CE" w14:textId="77777777" w:rsidR="00AE21C9" w:rsidRPr="00742D67" w:rsidRDefault="00AE21C9" w:rsidP="007F78CE">
            <w:pPr>
              <w:spacing w:after="0" w:line="240" w:lineRule="auto"/>
              <w:rPr>
                <w:rFonts w:ascii="Arial" w:hAnsi="Arial" w:cs="Arial"/>
                <w:sz w:val="18"/>
                <w:szCs w:val="18"/>
              </w:rPr>
            </w:pPr>
            <w:r w:rsidRPr="00742D67">
              <w:rPr>
                <w:rFonts w:ascii="Arial" w:hAnsi="Arial" w:cs="Arial"/>
                <w:sz w:val="18"/>
                <w:szCs w:val="18"/>
              </w:rPr>
              <w:t>Parties prenantes participant à la mise en œuvre (pilotage, coordination, appui technique, STD, ONG</w:t>
            </w:r>
            <w:r w:rsidR="007C14FA" w:rsidRPr="00742D67">
              <w:rPr>
                <w:rFonts w:ascii="Arial" w:hAnsi="Arial" w:cs="Arial"/>
                <w:sz w:val="18"/>
                <w:szCs w:val="18"/>
              </w:rPr>
              <w:t xml:space="preserve">, les concessionnaires des réseaux, les IF, </w:t>
            </w:r>
            <w:r w:rsidRPr="00742D67">
              <w:rPr>
                <w:rFonts w:ascii="Arial" w:hAnsi="Arial" w:cs="Arial"/>
                <w:sz w:val="18"/>
                <w:szCs w:val="18"/>
              </w:rPr>
              <w:t>prestataires, entreprise)</w:t>
            </w:r>
          </w:p>
          <w:p w14:paraId="329AD0A0" w14:textId="77777777" w:rsidR="00AE21C9" w:rsidRPr="00742D67" w:rsidRDefault="00AE21C9" w:rsidP="00EF518C">
            <w:pPr>
              <w:spacing w:after="0" w:line="240" w:lineRule="auto"/>
              <w:rPr>
                <w:rFonts w:ascii="Arial" w:hAnsi="Arial" w:cs="Arial"/>
                <w:sz w:val="18"/>
                <w:szCs w:val="18"/>
              </w:rPr>
            </w:pPr>
            <w:r w:rsidRPr="00742D67">
              <w:rPr>
                <w:rFonts w:ascii="Arial" w:hAnsi="Arial" w:cs="Arial"/>
                <w:sz w:val="18"/>
                <w:szCs w:val="18"/>
              </w:rPr>
              <w:t xml:space="preserve">Parties prenantes </w:t>
            </w:r>
            <w:r w:rsidR="00EF518C">
              <w:rPr>
                <w:rFonts w:ascii="Arial" w:hAnsi="Arial" w:cs="Arial"/>
                <w:sz w:val="18"/>
                <w:szCs w:val="18"/>
              </w:rPr>
              <w:t>e</w:t>
            </w:r>
            <w:r w:rsidR="00EF518C" w:rsidRPr="007F78CE">
              <w:rPr>
                <w:rFonts w:ascii="Arial" w:hAnsi="Arial" w:cs="Arial"/>
                <w:sz w:val="18"/>
                <w:szCs w:val="18"/>
              </w:rPr>
              <w:t>xerçant</w:t>
            </w:r>
            <w:r w:rsidRPr="00742D67">
              <w:rPr>
                <w:rFonts w:ascii="Arial" w:hAnsi="Arial" w:cs="Arial"/>
                <w:sz w:val="18"/>
                <w:szCs w:val="18"/>
              </w:rPr>
              <w:t xml:space="preserve"> une influence ou </w:t>
            </w:r>
            <w:r w:rsidR="00EF518C" w:rsidRPr="00742D67">
              <w:rPr>
                <w:rFonts w:ascii="Arial" w:hAnsi="Arial" w:cs="Arial"/>
                <w:sz w:val="18"/>
                <w:szCs w:val="18"/>
              </w:rPr>
              <w:t>ayant</w:t>
            </w:r>
            <w:r w:rsidR="00EF518C">
              <w:rPr>
                <w:rFonts w:ascii="Arial" w:hAnsi="Arial" w:cs="Arial"/>
                <w:sz w:val="18"/>
                <w:szCs w:val="18"/>
              </w:rPr>
              <w:t xml:space="preserve"> </w:t>
            </w:r>
            <w:r w:rsidRPr="00742D67">
              <w:rPr>
                <w:rFonts w:ascii="Arial" w:hAnsi="Arial" w:cs="Arial"/>
                <w:sz w:val="18"/>
                <w:szCs w:val="18"/>
              </w:rPr>
              <w:t>un intérêt sur la mise en œuvre du Projet (Préfecture, CTD, SLC)</w:t>
            </w:r>
          </w:p>
        </w:tc>
      </w:tr>
      <w:tr w:rsidR="0063584D" w:rsidRPr="007F78CE" w14:paraId="048D079E" w14:textId="77777777" w:rsidTr="00B434A6">
        <w:trPr>
          <w:trHeight w:val="2160"/>
        </w:trPr>
        <w:tc>
          <w:tcPr>
            <w:tcW w:w="882" w:type="pct"/>
            <w:vMerge w:val="restart"/>
            <w:shd w:val="clear" w:color="auto" w:fill="auto"/>
          </w:tcPr>
          <w:p w14:paraId="22DA10BF" w14:textId="77777777" w:rsidR="00AE21C9" w:rsidRPr="007F78CE" w:rsidRDefault="00AE21C9" w:rsidP="007F78CE">
            <w:pPr>
              <w:spacing w:after="0" w:line="240" w:lineRule="auto"/>
              <w:rPr>
                <w:rFonts w:ascii="Arial" w:hAnsi="Arial" w:cs="Arial"/>
                <w:bCs/>
                <w:sz w:val="18"/>
                <w:szCs w:val="18"/>
              </w:rPr>
            </w:pPr>
            <w:r w:rsidRPr="007F78CE">
              <w:rPr>
                <w:rFonts w:ascii="Arial" w:hAnsi="Arial" w:cs="Arial"/>
                <w:b/>
                <w:bCs/>
                <w:sz w:val="18"/>
                <w:szCs w:val="18"/>
              </w:rPr>
              <w:t>Consultation</w:t>
            </w:r>
          </w:p>
        </w:tc>
        <w:tc>
          <w:tcPr>
            <w:tcW w:w="1063" w:type="pct"/>
            <w:shd w:val="clear" w:color="auto" w:fill="auto"/>
          </w:tcPr>
          <w:p w14:paraId="22C1299C" w14:textId="77777777" w:rsidR="00AE21C9" w:rsidRPr="007F78CE" w:rsidRDefault="00AE21C9" w:rsidP="007F78CE">
            <w:pPr>
              <w:spacing w:after="0" w:line="240" w:lineRule="auto"/>
              <w:rPr>
                <w:rFonts w:ascii="Arial" w:hAnsi="Arial" w:cs="Arial"/>
                <w:sz w:val="18"/>
                <w:szCs w:val="18"/>
              </w:rPr>
            </w:pPr>
            <w:r w:rsidRPr="007F78CE">
              <w:rPr>
                <w:rFonts w:ascii="Arial" w:hAnsi="Arial" w:cs="Arial"/>
                <w:sz w:val="18"/>
                <w:szCs w:val="18"/>
              </w:rPr>
              <w:t>Entretiens en groupes spécifiques (focus group, groupes de discussion, groupes thématiques)</w:t>
            </w:r>
          </w:p>
        </w:tc>
        <w:tc>
          <w:tcPr>
            <w:tcW w:w="1343" w:type="pct"/>
            <w:shd w:val="clear" w:color="auto" w:fill="auto"/>
          </w:tcPr>
          <w:p w14:paraId="6765FE51" w14:textId="77777777" w:rsidR="00AE21C9" w:rsidRPr="00687DD2" w:rsidRDefault="00AE21C9" w:rsidP="00687DD2">
            <w:pPr>
              <w:pStyle w:val="Paragraphedeliste"/>
              <w:numPr>
                <w:ilvl w:val="0"/>
                <w:numId w:val="31"/>
              </w:numPr>
              <w:tabs>
                <w:tab w:val="left" w:pos="178"/>
              </w:tabs>
              <w:spacing w:before="100" w:beforeAutospacing="1" w:after="0" w:afterAutospacing="1" w:line="240" w:lineRule="auto"/>
              <w:ind w:left="0" w:firstLine="0"/>
              <w:rPr>
                <w:rFonts w:ascii="Arial" w:hAnsi="Arial" w:cs="Arial"/>
                <w:sz w:val="18"/>
                <w:szCs w:val="18"/>
              </w:rPr>
            </w:pPr>
            <w:r w:rsidRPr="00687DD2">
              <w:rPr>
                <w:rFonts w:ascii="Arial" w:hAnsi="Arial" w:cs="Arial"/>
                <w:sz w:val="18"/>
                <w:szCs w:val="18"/>
              </w:rPr>
              <w:t xml:space="preserve">Récolter des informations </w:t>
            </w:r>
          </w:p>
          <w:p w14:paraId="4EDA4F8D" w14:textId="77777777" w:rsidR="00AE21C9" w:rsidRPr="00687DD2" w:rsidRDefault="00AE21C9" w:rsidP="00687DD2">
            <w:pPr>
              <w:pStyle w:val="Paragraphedeliste"/>
              <w:numPr>
                <w:ilvl w:val="0"/>
                <w:numId w:val="31"/>
              </w:numPr>
              <w:tabs>
                <w:tab w:val="left" w:pos="178"/>
              </w:tabs>
              <w:spacing w:before="100" w:beforeAutospacing="1" w:after="0" w:afterAutospacing="1" w:line="240" w:lineRule="auto"/>
              <w:ind w:left="0" w:firstLine="0"/>
              <w:rPr>
                <w:rFonts w:ascii="Arial" w:hAnsi="Arial" w:cs="Arial"/>
                <w:sz w:val="18"/>
                <w:szCs w:val="18"/>
              </w:rPr>
            </w:pPr>
            <w:r w:rsidRPr="00687DD2">
              <w:rPr>
                <w:rFonts w:ascii="Arial" w:hAnsi="Arial" w:cs="Arial"/>
                <w:sz w:val="18"/>
                <w:szCs w:val="18"/>
              </w:rPr>
              <w:t>Recueillir des avis spécifiques auprès de groupes spécifiques de parties prenantes</w:t>
            </w:r>
          </w:p>
          <w:p w14:paraId="282AC42B" w14:textId="77777777" w:rsidR="00AE21C9" w:rsidRPr="00687DD2" w:rsidRDefault="00AE21C9" w:rsidP="00687DD2">
            <w:pPr>
              <w:pStyle w:val="Paragraphedeliste"/>
              <w:numPr>
                <w:ilvl w:val="0"/>
                <w:numId w:val="31"/>
              </w:numPr>
              <w:tabs>
                <w:tab w:val="left" w:pos="178"/>
              </w:tabs>
              <w:spacing w:before="100" w:beforeAutospacing="1" w:after="0" w:afterAutospacing="1" w:line="240" w:lineRule="auto"/>
              <w:ind w:left="0" w:firstLine="0"/>
              <w:rPr>
                <w:rFonts w:ascii="Arial" w:hAnsi="Arial" w:cs="Arial"/>
                <w:sz w:val="18"/>
                <w:szCs w:val="18"/>
              </w:rPr>
            </w:pPr>
            <w:r w:rsidRPr="00687DD2">
              <w:rPr>
                <w:rFonts w:ascii="Arial" w:hAnsi="Arial" w:cs="Arial"/>
                <w:sz w:val="18"/>
                <w:szCs w:val="18"/>
              </w:rPr>
              <w:t xml:space="preserve">Servir d’espace de feedback pour des groupes de parties prenantes </w:t>
            </w:r>
          </w:p>
          <w:p w14:paraId="0BB46756" w14:textId="77777777" w:rsidR="00AE21C9" w:rsidRPr="00687DD2" w:rsidRDefault="00AE21C9" w:rsidP="00B434A6">
            <w:pPr>
              <w:pStyle w:val="Paragraphedeliste"/>
              <w:numPr>
                <w:ilvl w:val="0"/>
                <w:numId w:val="31"/>
              </w:numPr>
              <w:tabs>
                <w:tab w:val="left" w:pos="178"/>
              </w:tabs>
              <w:spacing w:before="100" w:beforeAutospacing="1" w:after="120" w:line="240" w:lineRule="auto"/>
              <w:ind w:left="0" w:firstLine="0"/>
              <w:jc w:val="both"/>
              <w:rPr>
                <w:rFonts w:ascii="Arial" w:eastAsia="Times New Roman" w:hAnsi="Arial" w:cs="Arial"/>
                <w:b/>
                <w:smallCaps/>
                <w:sz w:val="18"/>
                <w:szCs w:val="18"/>
              </w:rPr>
            </w:pPr>
            <w:r w:rsidRPr="00687DD2">
              <w:rPr>
                <w:rFonts w:ascii="Arial" w:hAnsi="Arial" w:cs="Arial"/>
                <w:sz w:val="18"/>
                <w:szCs w:val="18"/>
              </w:rPr>
              <w:t>Construire des relations avec la communauté et/ou les groupes de catégories de parties prenantes</w:t>
            </w:r>
          </w:p>
        </w:tc>
        <w:tc>
          <w:tcPr>
            <w:tcW w:w="1711" w:type="pct"/>
            <w:shd w:val="clear" w:color="auto" w:fill="auto"/>
          </w:tcPr>
          <w:p w14:paraId="22ED0D2F" w14:textId="77777777" w:rsidR="00AE21C9" w:rsidRPr="007F78CE" w:rsidRDefault="00AE21C9" w:rsidP="007F78CE">
            <w:pPr>
              <w:spacing w:after="0" w:line="240" w:lineRule="auto"/>
              <w:rPr>
                <w:rFonts w:ascii="Arial" w:hAnsi="Arial" w:cs="Arial"/>
                <w:sz w:val="18"/>
                <w:szCs w:val="18"/>
              </w:rPr>
            </w:pPr>
            <w:r w:rsidRPr="007F78CE">
              <w:rPr>
                <w:rFonts w:ascii="Arial" w:hAnsi="Arial" w:cs="Arial"/>
                <w:sz w:val="18"/>
                <w:szCs w:val="18"/>
              </w:rPr>
              <w:t xml:space="preserve">Parties prenantes </w:t>
            </w:r>
            <w:r w:rsidR="00EF518C">
              <w:rPr>
                <w:rFonts w:ascii="Arial" w:hAnsi="Arial" w:cs="Arial"/>
                <w:sz w:val="18"/>
                <w:szCs w:val="18"/>
              </w:rPr>
              <w:t xml:space="preserve"> e</w:t>
            </w:r>
            <w:r w:rsidR="00EF518C" w:rsidRPr="007F78CE">
              <w:rPr>
                <w:rFonts w:ascii="Arial" w:hAnsi="Arial" w:cs="Arial"/>
                <w:sz w:val="18"/>
                <w:szCs w:val="18"/>
              </w:rPr>
              <w:t>xerçant</w:t>
            </w:r>
            <w:r w:rsidR="00EF518C">
              <w:rPr>
                <w:rFonts w:ascii="Arial" w:hAnsi="Arial" w:cs="Arial"/>
                <w:sz w:val="18"/>
                <w:szCs w:val="18"/>
              </w:rPr>
              <w:t xml:space="preserve"> </w:t>
            </w:r>
            <w:r w:rsidRPr="007F78CE">
              <w:rPr>
                <w:rFonts w:ascii="Arial" w:hAnsi="Arial" w:cs="Arial"/>
                <w:sz w:val="18"/>
                <w:szCs w:val="18"/>
              </w:rPr>
              <w:t xml:space="preserve">une influence ou </w:t>
            </w:r>
            <w:r w:rsidR="00EF518C" w:rsidRPr="007F78CE">
              <w:rPr>
                <w:rFonts w:ascii="Arial" w:hAnsi="Arial" w:cs="Arial"/>
                <w:sz w:val="18"/>
                <w:szCs w:val="18"/>
              </w:rPr>
              <w:t xml:space="preserve">ayant </w:t>
            </w:r>
            <w:r w:rsidRPr="007F78CE">
              <w:rPr>
                <w:rFonts w:ascii="Arial" w:hAnsi="Arial" w:cs="Arial"/>
                <w:sz w:val="18"/>
                <w:szCs w:val="18"/>
              </w:rPr>
              <w:t>un intérêt sur la mise en œuvre du Projet</w:t>
            </w:r>
          </w:p>
          <w:p w14:paraId="7B1F8DBA" w14:textId="77777777" w:rsidR="00AE21C9" w:rsidRPr="007F78CE" w:rsidRDefault="00AE21C9" w:rsidP="007F78CE">
            <w:pPr>
              <w:spacing w:after="0" w:line="240" w:lineRule="auto"/>
              <w:rPr>
                <w:rFonts w:ascii="Arial" w:hAnsi="Arial" w:cs="Arial"/>
                <w:sz w:val="18"/>
                <w:szCs w:val="18"/>
              </w:rPr>
            </w:pPr>
            <w:r w:rsidRPr="007F78CE">
              <w:rPr>
                <w:rFonts w:ascii="Arial" w:hAnsi="Arial" w:cs="Arial"/>
                <w:sz w:val="18"/>
                <w:szCs w:val="18"/>
              </w:rPr>
              <w:t>Parties prenantes susceptibles d’être touchées par la mise en œuvre du Projet (communauté de bases et spécifiquement les personnes potentiellement affectées par le projet ou PAP), les groupes vulnérables ou défavorisés, les femmes, les jeunes)</w:t>
            </w:r>
          </w:p>
        </w:tc>
      </w:tr>
      <w:tr w:rsidR="0063584D" w:rsidRPr="007F78CE" w14:paraId="398A3318" w14:textId="77777777" w:rsidTr="4E4A4666">
        <w:trPr>
          <w:trHeight w:val="2392"/>
        </w:trPr>
        <w:tc>
          <w:tcPr>
            <w:tcW w:w="882" w:type="pct"/>
            <w:vMerge/>
          </w:tcPr>
          <w:p w14:paraId="3169F35E" w14:textId="77777777" w:rsidR="00AE21C9" w:rsidRPr="007F78CE" w:rsidRDefault="00AE21C9" w:rsidP="007F78CE">
            <w:pPr>
              <w:spacing w:after="0" w:line="240" w:lineRule="auto"/>
              <w:rPr>
                <w:rFonts w:ascii="Arial" w:hAnsi="Arial" w:cs="Arial"/>
                <w:bCs/>
                <w:sz w:val="18"/>
                <w:szCs w:val="18"/>
              </w:rPr>
            </w:pPr>
          </w:p>
        </w:tc>
        <w:tc>
          <w:tcPr>
            <w:tcW w:w="1063" w:type="pct"/>
            <w:tcBorders>
              <w:top w:val="single" w:sz="8" w:space="0" w:color="4F81BD"/>
              <w:bottom w:val="single" w:sz="8" w:space="0" w:color="4F81BD"/>
            </w:tcBorders>
            <w:shd w:val="clear" w:color="auto" w:fill="auto"/>
          </w:tcPr>
          <w:p w14:paraId="48AA351D" w14:textId="77777777" w:rsidR="00AE21C9" w:rsidRPr="007F78CE" w:rsidRDefault="00AE21C9" w:rsidP="007F78CE">
            <w:pPr>
              <w:spacing w:after="0" w:line="240" w:lineRule="auto"/>
              <w:rPr>
                <w:rFonts w:ascii="Arial" w:hAnsi="Arial" w:cs="Arial"/>
                <w:sz w:val="18"/>
                <w:szCs w:val="18"/>
              </w:rPr>
            </w:pPr>
            <w:r w:rsidRPr="007F78CE">
              <w:rPr>
                <w:rFonts w:ascii="Arial" w:hAnsi="Arial" w:cs="Arial"/>
                <w:sz w:val="18"/>
                <w:szCs w:val="18"/>
              </w:rPr>
              <w:t>Interview individuel, face à face, consultation individuelle</w:t>
            </w:r>
          </w:p>
        </w:tc>
        <w:tc>
          <w:tcPr>
            <w:tcW w:w="1343" w:type="pct"/>
            <w:tcBorders>
              <w:top w:val="single" w:sz="8" w:space="0" w:color="4F81BD"/>
              <w:bottom w:val="single" w:sz="8" w:space="0" w:color="4F81BD"/>
            </w:tcBorders>
            <w:shd w:val="clear" w:color="auto" w:fill="auto"/>
          </w:tcPr>
          <w:p w14:paraId="44C47CD1" w14:textId="77777777" w:rsidR="00AE21C9" w:rsidRPr="00687DD2" w:rsidRDefault="00AE21C9" w:rsidP="00687DD2">
            <w:pPr>
              <w:pStyle w:val="Paragraphedeliste"/>
              <w:numPr>
                <w:ilvl w:val="0"/>
                <w:numId w:val="31"/>
              </w:numPr>
              <w:tabs>
                <w:tab w:val="left" w:pos="178"/>
              </w:tabs>
              <w:spacing w:before="100" w:beforeAutospacing="1" w:after="0" w:afterAutospacing="1" w:line="240" w:lineRule="auto"/>
              <w:ind w:left="0" w:firstLine="0"/>
              <w:rPr>
                <w:rFonts w:ascii="Arial" w:hAnsi="Arial" w:cs="Arial"/>
                <w:sz w:val="18"/>
                <w:szCs w:val="18"/>
              </w:rPr>
            </w:pPr>
            <w:r w:rsidRPr="00687DD2">
              <w:rPr>
                <w:rFonts w:ascii="Arial" w:hAnsi="Arial" w:cs="Arial"/>
                <w:sz w:val="18"/>
                <w:szCs w:val="18"/>
              </w:rPr>
              <w:t>Récolter des informations spécifiques pour un groupe de partie</w:t>
            </w:r>
            <w:r w:rsidR="00EF518C">
              <w:rPr>
                <w:rFonts w:ascii="Arial" w:hAnsi="Arial" w:cs="Arial"/>
                <w:sz w:val="18"/>
                <w:szCs w:val="18"/>
              </w:rPr>
              <w:t>s</w:t>
            </w:r>
            <w:r w:rsidRPr="00687DD2">
              <w:rPr>
                <w:rFonts w:ascii="Arial" w:hAnsi="Arial" w:cs="Arial"/>
                <w:sz w:val="18"/>
                <w:szCs w:val="18"/>
              </w:rPr>
              <w:t xml:space="preserve"> prenante</w:t>
            </w:r>
            <w:r w:rsidR="00EF518C">
              <w:rPr>
                <w:rFonts w:ascii="Arial" w:hAnsi="Arial" w:cs="Arial"/>
                <w:sz w:val="18"/>
                <w:szCs w:val="18"/>
              </w:rPr>
              <w:t>s</w:t>
            </w:r>
            <w:r w:rsidRPr="00687DD2">
              <w:rPr>
                <w:rFonts w:ascii="Arial" w:hAnsi="Arial" w:cs="Arial"/>
                <w:sz w:val="18"/>
                <w:szCs w:val="18"/>
              </w:rPr>
              <w:t xml:space="preserve"> donné</w:t>
            </w:r>
            <w:r w:rsidR="00EF518C">
              <w:rPr>
                <w:rFonts w:ascii="Arial" w:hAnsi="Arial" w:cs="Arial"/>
                <w:sz w:val="18"/>
                <w:szCs w:val="18"/>
              </w:rPr>
              <w:t>es</w:t>
            </w:r>
          </w:p>
          <w:p w14:paraId="40F52B41" w14:textId="77777777" w:rsidR="00AE21C9" w:rsidRPr="00687DD2" w:rsidRDefault="00AE21C9" w:rsidP="00687DD2">
            <w:pPr>
              <w:pStyle w:val="Paragraphedeliste"/>
              <w:numPr>
                <w:ilvl w:val="0"/>
                <w:numId w:val="31"/>
              </w:numPr>
              <w:tabs>
                <w:tab w:val="left" w:pos="178"/>
              </w:tabs>
              <w:spacing w:before="100" w:beforeAutospacing="1" w:after="0" w:afterAutospacing="1" w:line="240" w:lineRule="auto"/>
              <w:ind w:left="0" w:firstLine="0"/>
              <w:rPr>
                <w:rFonts w:ascii="Arial" w:hAnsi="Arial" w:cs="Arial"/>
                <w:sz w:val="18"/>
                <w:szCs w:val="18"/>
              </w:rPr>
            </w:pPr>
            <w:r w:rsidRPr="00687DD2">
              <w:rPr>
                <w:rFonts w:ascii="Arial" w:hAnsi="Arial" w:cs="Arial"/>
                <w:sz w:val="18"/>
                <w:szCs w:val="18"/>
              </w:rPr>
              <w:t>Recueillir des avis spécifiques</w:t>
            </w:r>
          </w:p>
          <w:p w14:paraId="1889217A" w14:textId="77777777" w:rsidR="00AE21C9" w:rsidRPr="00687DD2" w:rsidRDefault="00AE21C9" w:rsidP="00687DD2">
            <w:pPr>
              <w:pStyle w:val="Paragraphedeliste"/>
              <w:numPr>
                <w:ilvl w:val="0"/>
                <w:numId w:val="31"/>
              </w:numPr>
              <w:tabs>
                <w:tab w:val="left" w:pos="178"/>
              </w:tabs>
              <w:spacing w:before="100" w:beforeAutospacing="1" w:after="0" w:afterAutospacing="1" w:line="240" w:lineRule="auto"/>
              <w:ind w:left="0" w:firstLine="0"/>
              <w:rPr>
                <w:rFonts w:ascii="Arial" w:hAnsi="Arial" w:cs="Arial"/>
                <w:sz w:val="18"/>
                <w:szCs w:val="18"/>
              </w:rPr>
            </w:pPr>
            <w:r w:rsidRPr="00687DD2">
              <w:rPr>
                <w:rFonts w:ascii="Arial" w:hAnsi="Arial" w:cs="Arial"/>
                <w:sz w:val="18"/>
                <w:szCs w:val="18"/>
              </w:rPr>
              <w:t>Visite de courtoisie</w:t>
            </w:r>
          </w:p>
        </w:tc>
        <w:tc>
          <w:tcPr>
            <w:tcW w:w="1711" w:type="pct"/>
            <w:tcBorders>
              <w:top w:val="single" w:sz="8" w:space="0" w:color="4F81BD"/>
              <w:bottom w:val="single" w:sz="8" w:space="0" w:color="4F81BD"/>
              <w:right w:val="single" w:sz="8" w:space="0" w:color="4F81BD"/>
            </w:tcBorders>
            <w:shd w:val="clear" w:color="auto" w:fill="auto"/>
          </w:tcPr>
          <w:p w14:paraId="5FD5F606" w14:textId="77777777" w:rsidR="00AE21C9" w:rsidRPr="007F78CE" w:rsidRDefault="00AE21C9" w:rsidP="007F78CE">
            <w:pPr>
              <w:spacing w:after="0" w:line="240" w:lineRule="auto"/>
              <w:rPr>
                <w:rFonts w:ascii="Arial" w:hAnsi="Arial" w:cs="Arial"/>
                <w:sz w:val="18"/>
                <w:szCs w:val="18"/>
              </w:rPr>
            </w:pPr>
            <w:r w:rsidRPr="007F78CE">
              <w:rPr>
                <w:rFonts w:ascii="Arial" w:hAnsi="Arial" w:cs="Arial"/>
                <w:sz w:val="18"/>
                <w:szCs w:val="18"/>
              </w:rPr>
              <w:t xml:space="preserve">Parties prenantes </w:t>
            </w:r>
            <w:r w:rsidR="00EF518C">
              <w:rPr>
                <w:rFonts w:ascii="Arial" w:hAnsi="Arial" w:cs="Arial"/>
                <w:sz w:val="18"/>
                <w:szCs w:val="18"/>
              </w:rPr>
              <w:t xml:space="preserve"> e</w:t>
            </w:r>
            <w:r w:rsidR="00EF518C" w:rsidRPr="007F78CE">
              <w:rPr>
                <w:rFonts w:ascii="Arial" w:hAnsi="Arial" w:cs="Arial"/>
                <w:sz w:val="18"/>
                <w:szCs w:val="18"/>
              </w:rPr>
              <w:t>xerçant</w:t>
            </w:r>
            <w:r w:rsidR="00EF518C">
              <w:rPr>
                <w:rFonts w:ascii="Arial" w:hAnsi="Arial" w:cs="Arial"/>
                <w:sz w:val="18"/>
                <w:szCs w:val="18"/>
              </w:rPr>
              <w:t xml:space="preserve"> </w:t>
            </w:r>
            <w:r w:rsidRPr="007F78CE">
              <w:rPr>
                <w:rFonts w:ascii="Arial" w:hAnsi="Arial" w:cs="Arial"/>
                <w:sz w:val="18"/>
                <w:szCs w:val="18"/>
              </w:rPr>
              <w:t xml:space="preserve">une influence ou </w:t>
            </w:r>
            <w:r w:rsidR="00EF518C" w:rsidRPr="007F78CE">
              <w:rPr>
                <w:rFonts w:ascii="Arial" w:hAnsi="Arial" w:cs="Arial"/>
                <w:sz w:val="18"/>
                <w:szCs w:val="18"/>
              </w:rPr>
              <w:t xml:space="preserve">ayant </w:t>
            </w:r>
            <w:r w:rsidR="00EF518C">
              <w:rPr>
                <w:rFonts w:ascii="Arial" w:hAnsi="Arial" w:cs="Arial"/>
                <w:sz w:val="18"/>
                <w:szCs w:val="18"/>
              </w:rPr>
              <w:t xml:space="preserve"> </w:t>
            </w:r>
            <w:r w:rsidRPr="007F78CE">
              <w:rPr>
                <w:rFonts w:ascii="Arial" w:hAnsi="Arial" w:cs="Arial"/>
                <w:sz w:val="18"/>
                <w:szCs w:val="18"/>
              </w:rPr>
              <w:t>un intérêt sur la mise en œuvre du Projet (ONG, OSC, Secteur privé, autorité administrative, autorité traditionnelle</w:t>
            </w:r>
            <w:r w:rsidR="007C14FA">
              <w:rPr>
                <w:rFonts w:ascii="Arial" w:hAnsi="Arial" w:cs="Arial"/>
                <w:sz w:val="18"/>
                <w:szCs w:val="18"/>
              </w:rPr>
              <w:t>, les concessionnaires des réseaux, les IF,</w:t>
            </w:r>
            <w:r w:rsidRPr="007F78CE">
              <w:rPr>
                <w:rFonts w:ascii="Arial" w:hAnsi="Arial" w:cs="Arial"/>
                <w:sz w:val="18"/>
                <w:szCs w:val="18"/>
              </w:rPr>
              <w:t>)</w:t>
            </w:r>
          </w:p>
          <w:p w14:paraId="2E4C2091" w14:textId="77777777" w:rsidR="00AE21C9" w:rsidRPr="007F78CE" w:rsidRDefault="00AE21C9" w:rsidP="007F78CE">
            <w:pPr>
              <w:spacing w:after="0" w:line="240" w:lineRule="auto"/>
              <w:rPr>
                <w:rFonts w:ascii="Arial" w:hAnsi="Arial" w:cs="Arial"/>
                <w:sz w:val="18"/>
                <w:szCs w:val="18"/>
              </w:rPr>
            </w:pPr>
            <w:r w:rsidRPr="007F78CE">
              <w:rPr>
                <w:rFonts w:ascii="Arial" w:hAnsi="Arial" w:cs="Arial"/>
                <w:sz w:val="18"/>
                <w:szCs w:val="18"/>
              </w:rPr>
              <w:t>Parties prenantes susceptibles d’être touchées par la mise en œuvre du Projet (spécifiquement les personnes potentiellement affectées par le projet ou PAP)</w:t>
            </w:r>
          </w:p>
        </w:tc>
      </w:tr>
      <w:tr w:rsidR="0063584D" w:rsidRPr="007F78CE" w14:paraId="0C5162D9" w14:textId="77777777" w:rsidTr="00B434A6">
        <w:trPr>
          <w:trHeight w:val="1872"/>
        </w:trPr>
        <w:tc>
          <w:tcPr>
            <w:tcW w:w="882" w:type="pct"/>
            <w:vMerge/>
            <w:shd w:val="clear" w:color="auto" w:fill="auto"/>
          </w:tcPr>
          <w:p w14:paraId="05D6E016" w14:textId="77777777" w:rsidR="00AE21C9" w:rsidRPr="007F78CE" w:rsidRDefault="00AE21C9" w:rsidP="007F78CE">
            <w:pPr>
              <w:spacing w:after="0" w:line="240" w:lineRule="auto"/>
              <w:rPr>
                <w:rFonts w:ascii="Arial" w:hAnsi="Arial" w:cs="Arial"/>
                <w:sz w:val="18"/>
                <w:szCs w:val="18"/>
              </w:rPr>
            </w:pPr>
          </w:p>
        </w:tc>
        <w:tc>
          <w:tcPr>
            <w:tcW w:w="1063" w:type="pct"/>
            <w:shd w:val="clear" w:color="auto" w:fill="auto"/>
          </w:tcPr>
          <w:p w14:paraId="1F5F6098" w14:textId="77777777" w:rsidR="00AE21C9" w:rsidRPr="007F78CE" w:rsidRDefault="00AE21C9" w:rsidP="007F78CE">
            <w:pPr>
              <w:spacing w:after="0" w:line="240" w:lineRule="auto"/>
              <w:rPr>
                <w:rFonts w:ascii="Arial" w:hAnsi="Arial" w:cs="Arial"/>
                <w:sz w:val="18"/>
                <w:szCs w:val="18"/>
              </w:rPr>
            </w:pPr>
            <w:r w:rsidRPr="007F78CE">
              <w:rPr>
                <w:rFonts w:ascii="Arial" w:hAnsi="Arial" w:cs="Arial"/>
                <w:sz w:val="18"/>
                <w:szCs w:val="18"/>
              </w:rPr>
              <w:t>Atelier</w:t>
            </w:r>
          </w:p>
        </w:tc>
        <w:tc>
          <w:tcPr>
            <w:tcW w:w="1343" w:type="pct"/>
            <w:shd w:val="clear" w:color="auto" w:fill="auto"/>
          </w:tcPr>
          <w:p w14:paraId="29096E54" w14:textId="77777777" w:rsidR="00AE21C9" w:rsidRPr="00687DD2" w:rsidRDefault="00AE21C9" w:rsidP="00687DD2">
            <w:pPr>
              <w:pStyle w:val="Paragraphedeliste"/>
              <w:numPr>
                <w:ilvl w:val="0"/>
                <w:numId w:val="31"/>
              </w:numPr>
              <w:tabs>
                <w:tab w:val="left" w:pos="178"/>
              </w:tabs>
              <w:spacing w:before="100" w:beforeAutospacing="1" w:after="0" w:afterAutospacing="1" w:line="240" w:lineRule="auto"/>
              <w:ind w:left="0" w:firstLine="0"/>
              <w:rPr>
                <w:rFonts w:ascii="Arial" w:hAnsi="Arial" w:cs="Arial"/>
                <w:sz w:val="18"/>
                <w:szCs w:val="18"/>
              </w:rPr>
            </w:pPr>
            <w:r w:rsidRPr="00687DD2">
              <w:rPr>
                <w:rFonts w:ascii="Arial" w:hAnsi="Arial" w:cs="Arial"/>
                <w:sz w:val="18"/>
                <w:szCs w:val="18"/>
              </w:rPr>
              <w:t>Récolter des informations précises sur un sujet donné</w:t>
            </w:r>
          </w:p>
          <w:p w14:paraId="69DA4E73" w14:textId="77777777" w:rsidR="00AE21C9" w:rsidRPr="00687DD2" w:rsidRDefault="00AE21C9" w:rsidP="00687DD2">
            <w:pPr>
              <w:pStyle w:val="Paragraphedeliste"/>
              <w:numPr>
                <w:ilvl w:val="0"/>
                <w:numId w:val="31"/>
              </w:numPr>
              <w:tabs>
                <w:tab w:val="left" w:pos="178"/>
              </w:tabs>
              <w:spacing w:before="100" w:beforeAutospacing="1" w:after="0" w:afterAutospacing="1" w:line="240" w:lineRule="auto"/>
              <w:ind w:left="0" w:firstLine="0"/>
              <w:rPr>
                <w:rFonts w:ascii="Arial" w:hAnsi="Arial" w:cs="Arial"/>
                <w:sz w:val="18"/>
                <w:szCs w:val="18"/>
              </w:rPr>
            </w:pPr>
            <w:r w:rsidRPr="00687DD2">
              <w:rPr>
                <w:rFonts w:ascii="Arial" w:hAnsi="Arial" w:cs="Arial"/>
                <w:sz w:val="18"/>
                <w:szCs w:val="18"/>
              </w:rPr>
              <w:t>Recueillir des avis, conseils, directives de groupes différentes suivant un thème précis</w:t>
            </w:r>
          </w:p>
        </w:tc>
        <w:tc>
          <w:tcPr>
            <w:tcW w:w="1711" w:type="pct"/>
            <w:shd w:val="clear" w:color="auto" w:fill="auto"/>
          </w:tcPr>
          <w:p w14:paraId="77008BFB" w14:textId="77777777" w:rsidR="00AE21C9" w:rsidRPr="00742D67" w:rsidRDefault="00AE21C9" w:rsidP="007F78CE">
            <w:pPr>
              <w:spacing w:after="0" w:line="240" w:lineRule="auto"/>
              <w:rPr>
                <w:rFonts w:ascii="Arial" w:hAnsi="Arial" w:cs="Arial"/>
                <w:sz w:val="18"/>
                <w:szCs w:val="18"/>
              </w:rPr>
            </w:pPr>
            <w:r w:rsidRPr="00742D67">
              <w:rPr>
                <w:rFonts w:ascii="Arial" w:hAnsi="Arial" w:cs="Arial"/>
                <w:sz w:val="18"/>
                <w:szCs w:val="18"/>
              </w:rPr>
              <w:t>Parties prenantes</w:t>
            </w:r>
            <w:r w:rsidR="00EF518C">
              <w:rPr>
                <w:rFonts w:ascii="Arial" w:hAnsi="Arial" w:cs="Arial"/>
                <w:sz w:val="18"/>
                <w:szCs w:val="18"/>
              </w:rPr>
              <w:t xml:space="preserve"> e</w:t>
            </w:r>
            <w:r w:rsidR="00EF518C" w:rsidRPr="007F78CE">
              <w:rPr>
                <w:rFonts w:ascii="Arial" w:hAnsi="Arial" w:cs="Arial"/>
                <w:sz w:val="18"/>
                <w:szCs w:val="18"/>
              </w:rPr>
              <w:t>xerçant</w:t>
            </w:r>
            <w:r w:rsidR="00EF518C">
              <w:rPr>
                <w:rFonts w:ascii="Arial" w:hAnsi="Arial" w:cs="Arial"/>
                <w:sz w:val="18"/>
                <w:szCs w:val="18"/>
              </w:rPr>
              <w:t xml:space="preserve"> </w:t>
            </w:r>
            <w:r w:rsidRPr="00742D67">
              <w:rPr>
                <w:rFonts w:ascii="Arial" w:hAnsi="Arial" w:cs="Arial"/>
                <w:sz w:val="18"/>
                <w:szCs w:val="18"/>
              </w:rPr>
              <w:t xml:space="preserve">une influence ou </w:t>
            </w:r>
            <w:r w:rsidR="00EF518C" w:rsidRPr="00742D67">
              <w:rPr>
                <w:rFonts w:ascii="Arial" w:hAnsi="Arial" w:cs="Arial"/>
                <w:sz w:val="18"/>
                <w:szCs w:val="18"/>
              </w:rPr>
              <w:t xml:space="preserve">ayant </w:t>
            </w:r>
            <w:r w:rsidRPr="00742D67">
              <w:rPr>
                <w:rFonts w:ascii="Arial" w:hAnsi="Arial" w:cs="Arial"/>
                <w:sz w:val="18"/>
                <w:szCs w:val="18"/>
              </w:rPr>
              <w:t>un intérêt sur la mise en œuvre du Projet (ONG, OSC, Secteur privé</w:t>
            </w:r>
            <w:r w:rsidR="007C14FA" w:rsidRPr="00742D67">
              <w:rPr>
                <w:rFonts w:ascii="Arial" w:hAnsi="Arial" w:cs="Arial"/>
                <w:sz w:val="18"/>
                <w:szCs w:val="18"/>
              </w:rPr>
              <w:t xml:space="preserve">, les concessionnaires des réseaux, les IF, </w:t>
            </w:r>
            <w:r w:rsidRPr="00742D67">
              <w:rPr>
                <w:rFonts w:ascii="Arial" w:hAnsi="Arial" w:cs="Arial"/>
                <w:sz w:val="18"/>
                <w:szCs w:val="18"/>
              </w:rPr>
              <w:t>autorité administrative, autorité traditionnelle)</w:t>
            </w:r>
          </w:p>
          <w:p w14:paraId="6B072633" w14:textId="77777777" w:rsidR="00AE21C9" w:rsidRPr="00742D67" w:rsidRDefault="00AE21C9" w:rsidP="007F78CE">
            <w:pPr>
              <w:spacing w:after="0" w:line="240" w:lineRule="auto"/>
              <w:rPr>
                <w:rFonts w:ascii="Arial" w:hAnsi="Arial" w:cs="Arial"/>
                <w:sz w:val="18"/>
                <w:szCs w:val="18"/>
              </w:rPr>
            </w:pPr>
            <w:r w:rsidRPr="00742D67">
              <w:rPr>
                <w:rFonts w:ascii="Arial" w:hAnsi="Arial" w:cs="Arial"/>
                <w:sz w:val="18"/>
                <w:szCs w:val="18"/>
              </w:rPr>
              <w:t>Parties prenantes susceptibles d’être touchées par la mise en œuvre du Projet</w:t>
            </w:r>
          </w:p>
        </w:tc>
      </w:tr>
    </w:tbl>
    <w:p w14:paraId="2949DD19" w14:textId="77777777" w:rsidR="00AE21C9" w:rsidRPr="007F78CE" w:rsidRDefault="00AE21C9" w:rsidP="00AE21C9">
      <w:pPr>
        <w:spacing w:line="240" w:lineRule="auto"/>
        <w:jc w:val="both"/>
        <w:rPr>
          <w:rFonts w:ascii="Cambria" w:hAnsi="Cambria" w:cs="Cambria"/>
          <w:sz w:val="24"/>
          <w:szCs w:val="24"/>
        </w:rPr>
      </w:pPr>
    </w:p>
    <w:p w14:paraId="11B3DFC0" w14:textId="77777777" w:rsidR="00AE21C9" w:rsidRPr="00657F89" w:rsidRDefault="00AE21C9" w:rsidP="00657F89">
      <w:pPr>
        <w:jc w:val="both"/>
        <w:rPr>
          <w:rFonts w:ascii="Arial" w:hAnsi="Arial" w:cs="Arial"/>
          <w:szCs w:val="24"/>
        </w:rPr>
      </w:pPr>
    </w:p>
    <w:p w14:paraId="3C9B9028" w14:textId="77777777" w:rsidR="00832CC9" w:rsidRPr="00B96EBA" w:rsidRDefault="00E95156" w:rsidP="0044500E">
      <w:pPr>
        <w:pStyle w:val="Paragraphedeliste"/>
        <w:numPr>
          <w:ilvl w:val="0"/>
          <w:numId w:val="177"/>
        </w:numPr>
        <w:pBdr>
          <w:bottom w:val="single" w:sz="4" w:space="1" w:color="auto"/>
        </w:pBdr>
        <w:spacing w:line="240" w:lineRule="auto"/>
        <w:jc w:val="both"/>
        <w:outlineLvl w:val="0"/>
        <w:rPr>
          <w:b/>
          <w:bCs/>
          <w:caps/>
          <w:color w:val="44546A"/>
          <w:sz w:val="40"/>
          <w:szCs w:val="44"/>
        </w:rPr>
      </w:pPr>
      <w:r>
        <w:br w:type="page"/>
      </w:r>
      <w:bookmarkStart w:id="1565" w:name="_Toc124956349"/>
      <w:bookmarkStart w:id="1566" w:name="_Toc125384696"/>
      <w:bookmarkStart w:id="1567" w:name="_Toc125385085"/>
      <w:bookmarkStart w:id="1568" w:name="_Toc127957754"/>
      <w:r w:rsidR="00832CC9" w:rsidRPr="00B96EBA">
        <w:rPr>
          <w:b/>
          <w:bCs/>
          <w:caps/>
          <w:color w:val="44546A"/>
          <w:sz w:val="40"/>
          <w:szCs w:val="44"/>
        </w:rPr>
        <w:t>Plan d’action contre le VBG</w:t>
      </w:r>
      <w:bookmarkEnd w:id="1565"/>
      <w:bookmarkEnd w:id="1566"/>
      <w:bookmarkEnd w:id="1567"/>
      <w:bookmarkEnd w:id="1568"/>
    </w:p>
    <w:p w14:paraId="36F62C58" w14:textId="77777777" w:rsidR="00657F89" w:rsidRPr="007F78CE" w:rsidRDefault="00F3517B" w:rsidP="0044500E">
      <w:pPr>
        <w:pStyle w:val="TIT2"/>
        <w:numPr>
          <w:ilvl w:val="1"/>
          <w:numId w:val="177"/>
        </w:numPr>
      </w:pPr>
      <w:bookmarkStart w:id="1569" w:name="_Toc124314811"/>
      <w:bookmarkStart w:id="1570" w:name="_Toc124956350"/>
      <w:bookmarkStart w:id="1571" w:name="_Toc125384697"/>
      <w:bookmarkStart w:id="1572" w:name="_Toc125385086"/>
      <w:bookmarkStart w:id="1573" w:name="_Toc127957755"/>
      <w:r w:rsidRPr="007F78CE">
        <w:t>Généralité sur le VBG</w:t>
      </w:r>
      <w:bookmarkEnd w:id="1569"/>
      <w:bookmarkEnd w:id="1570"/>
      <w:bookmarkEnd w:id="1571"/>
      <w:bookmarkEnd w:id="1572"/>
      <w:bookmarkEnd w:id="1573"/>
    </w:p>
    <w:p w14:paraId="1D0FEF55" w14:textId="77777777" w:rsidR="00610C00" w:rsidRPr="00610C00" w:rsidRDefault="00610C00" w:rsidP="00610C00">
      <w:pPr>
        <w:jc w:val="both"/>
        <w:rPr>
          <w:rFonts w:ascii="Arial" w:hAnsi="Arial" w:cs="Arial"/>
        </w:rPr>
      </w:pPr>
      <w:r w:rsidRPr="00610C00">
        <w:rPr>
          <w:rFonts w:ascii="Arial" w:hAnsi="Arial" w:cs="Arial"/>
        </w:rPr>
        <w:t xml:space="preserve">La « violence basée sur le genre » regroupe tous les actes infligés à une personne contre son gré et qui sont fondés sur les différences socialement attribuées aux hommes et aux femmes et causant ou pouvant causer un préjudice ou des souffrances physiques, sexuelles ou psychologiques que ce soit dans la vie publique ou dans la vie privée. Les VBG supposent un abus de pouvoir et l’usage de la force. </w:t>
      </w:r>
    </w:p>
    <w:p w14:paraId="075D4EAC" w14:textId="77777777" w:rsidR="00610C00" w:rsidRPr="00610C00" w:rsidRDefault="00610C00" w:rsidP="00610C00">
      <w:pPr>
        <w:jc w:val="both"/>
        <w:rPr>
          <w:rFonts w:ascii="Arial" w:hAnsi="Arial" w:cs="Arial"/>
        </w:rPr>
      </w:pPr>
      <w:r w:rsidRPr="00610C00">
        <w:rPr>
          <w:rFonts w:ascii="Arial" w:hAnsi="Arial" w:cs="Arial"/>
        </w:rPr>
        <w:t xml:space="preserve">La violence basée sur le genre peut s’opérer à différents niveaux : </w:t>
      </w:r>
    </w:p>
    <w:p w14:paraId="219FD834" w14:textId="77777777" w:rsidR="00610C00" w:rsidRPr="00610C00" w:rsidRDefault="00610C00" w:rsidP="00687DD2">
      <w:pPr>
        <w:pStyle w:val="Paragraphedeliste"/>
        <w:numPr>
          <w:ilvl w:val="0"/>
          <w:numId w:val="36"/>
        </w:numPr>
        <w:spacing w:before="100" w:beforeAutospacing="1" w:after="100" w:afterAutospacing="1" w:line="240" w:lineRule="auto"/>
        <w:jc w:val="both"/>
        <w:rPr>
          <w:rFonts w:ascii="Arial" w:hAnsi="Arial" w:cs="Arial"/>
        </w:rPr>
      </w:pPr>
      <w:r w:rsidRPr="00610C00">
        <w:rPr>
          <w:rFonts w:ascii="Arial" w:hAnsi="Arial" w:cs="Arial"/>
        </w:rPr>
        <w:t>La violence physique, sexuelle, psychologique et économique exercée au sein de la famille, y compris les coups, les sévices sexuels infligés aux enfants, les pratiques traditionnelles préjudiciables aux deux sexes, la violence au sein du couple, et la violence liée à l’exploitation ;</w:t>
      </w:r>
    </w:p>
    <w:p w14:paraId="0C3613D1" w14:textId="77777777" w:rsidR="00610C00" w:rsidRPr="00610C00" w:rsidRDefault="00610C00" w:rsidP="00687DD2">
      <w:pPr>
        <w:pStyle w:val="Paragraphedeliste"/>
        <w:numPr>
          <w:ilvl w:val="0"/>
          <w:numId w:val="36"/>
        </w:numPr>
        <w:spacing w:before="100" w:beforeAutospacing="1" w:after="100" w:afterAutospacing="1" w:line="240" w:lineRule="auto"/>
        <w:jc w:val="both"/>
        <w:rPr>
          <w:rFonts w:ascii="Arial" w:hAnsi="Arial" w:cs="Arial"/>
        </w:rPr>
      </w:pPr>
      <w:r w:rsidRPr="00610C00">
        <w:rPr>
          <w:rFonts w:ascii="Arial" w:hAnsi="Arial" w:cs="Arial"/>
        </w:rPr>
        <w:t xml:space="preserve">La violence physique, sexuelle, psychologique et économique exercée au sein de la société, y compris les sévices sexuels, le harcèlement sexuel, le proxénétisme et la prostitution forcée ; </w:t>
      </w:r>
    </w:p>
    <w:p w14:paraId="11A2F300" w14:textId="77777777" w:rsidR="00610C00" w:rsidRPr="00610C00" w:rsidRDefault="00610C00" w:rsidP="00687DD2">
      <w:pPr>
        <w:pStyle w:val="Paragraphedeliste"/>
        <w:numPr>
          <w:ilvl w:val="0"/>
          <w:numId w:val="36"/>
        </w:numPr>
        <w:spacing w:before="100" w:beforeAutospacing="1" w:after="100" w:afterAutospacing="1" w:line="240" w:lineRule="auto"/>
        <w:jc w:val="both"/>
        <w:rPr>
          <w:rFonts w:ascii="Arial" w:hAnsi="Arial" w:cs="Arial"/>
        </w:rPr>
      </w:pPr>
      <w:r w:rsidRPr="00610C00">
        <w:rPr>
          <w:rFonts w:ascii="Arial" w:hAnsi="Arial" w:cs="Arial"/>
        </w:rPr>
        <w:t>La violence physique, sexuelle, psychologique et économique perpétrée ou tolérée par l’Etat, où qu’elle s’exerce.</w:t>
      </w:r>
    </w:p>
    <w:p w14:paraId="3350F1B6" w14:textId="77777777" w:rsidR="00610C00" w:rsidRPr="00610C00" w:rsidRDefault="00610C00" w:rsidP="00610C00">
      <w:pPr>
        <w:jc w:val="both"/>
        <w:rPr>
          <w:rFonts w:ascii="Arial" w:hAnsi="Arial" w:cs="Arial"/>
        </w:rPr>
      </w:pPr>
      <w:r w:rsidRPr="00610C00">
        <w:rPr>
          <w:rFonts w:ascii="Arial" w:hAnsi="Arial" w:cs="Arial"/>
        </w:rPr>
        <w:t>Les projets de développement et les projets d’investissements peuvent exacerber les VBG contre les membres des communautés et les staffs du Projet.</w:t>
      </w:r>
      <w:r>
        <w:rPr>
          <w:rFonts w:ascii="Arial" w:hAnsi="Arial" w:cs="Arial"/>
        </w:rPr>
        <w:t xml:space="preserve"> </w:t>
      </w:r>
      <w:r w:rsidRPr="00610C00">
        <w:rPr>
          <w:rFonts w:ascii="Arial" w:hAnsi="Arial" w:cs="Arial"/>
        </w:rPr>
        <w:t xml:space="preserve">Il existe quatre grandes catégories de VBG contre lesquelles les projets doivent prendre les mesures de prévention et atténuation des risques : </w:t>
      </w:r>
    </w:p>
    <w:p w14:paraId="43559B20" w14:textId="77777777" w:rsidR="00610C00" w:rsidRPr="00610C00" w:rsidRDefault="00610C00" w:rsidP="00687DD2">
      <w:pPr>
        <w:pStyle w:val="Paragraphedeliste"/>
        <w:numPr>
          <w:ilvl w:val="0"/>
          <w:numId w:val="36"/>
        </w:numPr>
        <w:spacing w:before="100" w:beforeAutospacing="1" w:after="100" w:afterAutospacing="1" w:line="240" w:lineRule="auto"/>
        <w:jc w:val="both"/>
        <w:rPr>
          <w:rFonts w:ascii="Arial" w:hAnsi="Arial" w:cs="Arial"/>
        </w:rPr>
      </w:pPr>
      <w:r w:rsidRPr="00610C00">
        <w:rPr>
          <w:rFonts w:ascii="Arial" w:hAnsi="Arial" w:cs="Arial"/>
        </w:rPr>
        <w:t>Exploitation et abus sexuels (EAS) ;</w:t>
      </w:r>
    </w:p>
    <w:p w14:paraId="462CE375" w14:textId="77777777" w:rsidR="00610C00" w:rsidRPr="00610C00" w:rsidRDefault="00610C00" w:rsidP="00687DD2">
      <w:pPr>
        <w:pStyle w:val="Paragraphedeliste"/>
        <w:numPr>
          <w:ilvl w:val="0"/>
          <w:numId w:val="36"/>
        </w:numPr>
        <w:spacing w:before="100" w:beforeAutospacing="1" w:after="100" w:afterAutospacing="1" w:line="240" w:lineRule="auto"/>
        <w:jc w:val="both"/>
        <w:rPr>
          <w:rFonts w:ascii="Arial" w:hAnsi="Arial" w:cs="Arial"/>
        </w:rPr>
      </w:pPr>
      <w:r w:rsidRPr="00610C00">
        <w:rPr>
          <w:rFonts w:ascii="Arial" w:hAnsi="Arial" w:cs="Arial"/>
        </w:rPr>
        <w:t>Harcèlement sexuel sur le lieu du travail (HS) ;</w:t>
      </w:r>
    </w:p>
    <w:p w14:paraId="431EC842" w14:textId="77777777" w:rsidR="00610C00" w:rsidRPr="00610C00" w:rsidRDefault="00610C00" w:rsidP="00687DD2">
      <w:pPr>
        <w:pStyle w:val="Paragraphedeliste"/>
        <w:numPr>
          <w:ilvl w:val="0"/>
          <w:numId w:val="36"/>
        </w:numPr>
        <w:spacing w:before="100" w:beforeAutospacing="1" w:after="100" w:afterAutospacing="1" w:line="240" w:lineRule="auto"/>
        <w:jc w:val="both"/>
        <w:rPr>
          <w:rFonts w:ascii="Arial" w:hAnsi="Arial" w:cs="Arial"/>
        </w:rPr>
      </w:pPr>
      <w:r w:rsidRPr="00610C00">
        <w:rPr>
          <w:rFonts w:ascii="Arial" w:hAnsi="Arial" w:cs="Arial"/>
        </w:rPr>
        <w:t xml:space="preserve">Traite de personnes pouvant se manifester par l’esclavage sexuel, les rapports sexuels monnayés et/ou forcés, les mouvements transnationaux illégaux de personnes ; </w:t>
      </w:r>
    </w:p>
    <w:p w14:paraId="0EF57421" w14:textId="77777777" w:rsidR="00610C00" w:rsidRPr="00610C00" w:rsidRDefault="00610C00" w:rsidP="00687DD2">
      <w:pPr>
        <w:pStyle w:val="Paragraphedeliste"/>
        <w:numPr>
          <w:ilvl w:val="0"/>
          <w:numId w:val="36"/>
        </w:numPr>
        <w:spacing w:before="100" w:beforeAutospacing="1" w:after="100" w:afterAutospacing="1" w:line="240" w:lineRule="auto"/>
        <w:jc w:val="both"/>
        <w:rPr>
          <w:rFonts w:ascii="Arial" w:hAnsi="Arial" w:cs="Arial"/>
        </w:rPr>
      </w:pPr>
      <w:r w:rsidRPr="00610C00">
        <w:rPr>
          <w:rFonts w:ascii="Arial" w:hAnsi="Arial" w:cs="Arial"/>
        </w:rPr>
        <w:t xml:space="preserve">Autres types de VBG tels que : Agression physique ; Abus psychologique ou physique ; Privation de ressources, d’opportunités ou de services et Violence perpétrée par un partenaire intime. </w:t>
      </w:r>
    </w:p>
    <w:p w14:paraId="7974DBE5" w14:textId="77777777" w:rsidR="00610C00" w:rsidRPr="00610C00" w:rsidRDefault="00610C00" w:rsidP="00610C00">
      <w:pPr>
        <w:jc w:val="both"/>
        <w:rPr>
          <w:rFonts w:ascii="Arial" w:hAnsi="Arial" w:cs="Arial"/>
        </w:rPr>
      </w:pPr>
      <w:r w:rsidRPr="00610C00">
        <w:rPr>
          <w:rFonts w:ascii="Arial" w:hAnsi="Arial" w:cs="Arial"/>
        </w:rPr>
        <w:t>Toutefois, l’exploitation et les abus sexuels ainsi que le harcèlement sexuel sur le lieu de travail sont les types de VBG les</w:t>
      </w:r>
      <w:r w:rsidR="0014523B">
        <w:rPr>
          <w:rFonts w:ascii="Arial" w:hAnsi="Arial" w:cs="Arial"/>
        </w:rPr>
        <w:t xml:space="preserve"> </w:t>
      </w:r>
      <w:r w:rsidRPr="00610C00">
        <w:rPr>
          <w:rFonts w:ascii="Arial" w:hAnsi="Arial" w:cs="Arial"/>
        </w:rPr>
        <w:t>plus susceptibles de se produire dans le cadre d’un projet soutenu par la Banque mondiale, ou d'être exacerbées par celui-ci. Ainsi, la prévention et, le cas échéant, la lutte contre les VBG sont les principaux objectifs du présent plan d’action. L'identification, le traitement et l'atténuation des risques liés à ces formes de VBG font partie des actions à entreprendre.</w:t>
      </w:r>
    </w:p>
    <w:p w14:paraId="1324CC17" w14:textId="77777777" w:rsidR="00C535AE" w:rsidRPr="007F78CE" w:rsidRDefault="00C535AE" w:rsidP="0044500E">
      <w:pPr>
        <w:pStyle w:val="TIT2"/>
        <w:numPr>
          <w:ilvl w:val="1"/>
          <w:numId w:val="177"/>
        </w:numPr>
      </w:pPr>
      <w:bookmarkStart w:id="1574" w:name="_Toc86408964"/>
      <w:bookmarkStart w:id="1575" w:name="_Toc124314812"/>
      <w:bookmarkStart w:id="1576" w:name="_Toc124956351"/>
      <w:bookmarkStart w:id="1577" w:name="_Toc125384698"/>
      <w:bookmarkStart w:id="1578" w:name="_Toc125385087"/>
      <w:bookmarkStart w:id="1579" w:name="_Toc127957756"/>
      <w:r w:rsidRPr="007F78CE">
        <w:t xml:space="preserve">Analyse des risques de VGB susceptibles d’être induits par le </w:t>
      </w:r>
      <w:bookmarkEnd w:id="1574"/>
      <w:r w:rsidRPr="007F78CE">
        <w:t>Projet</w:t>
      </w:r>
      <w:bookmarkEnd w:id="1575"/>
      <w:bookmarkEnd w:id="1576"/>
      <w:bookmarkEnd w:id="1577"/>
      <w:bookmarkEnd w:id="1578"/>
      <w:bookmarkEnd w:id="1579"/>
    </w:p>
    <w:p w14:paraId="05B6576A" w14:textId="77777777" w:rsidR="00764D3E" w:rsidRPr="00797168" w:rsidRDefault="00797168" w:rsidP="00657F89">
      <w:pPr>
        <w:jc w:val="both"/>
        <w:rPr>
          <w:rFonts w:ascii="Arial" w:hAnsi="Arial" w:cs="Arial"/>
        </w:rPr>
      </w:pPr>
      <w:r>
        <w:rPr>
          <w:rFonts w:ascii="Arial" w:hAnsi="Arial" w:cs="Arial"/>
        </w:rPr>
        <w:t>Suivant l’analyse des impacts dans le chapitre 7</w:t>
      </w:r>
      <w:r w:rsidR="00B16FBC">
        <w:rPr>
          <w:rFonts w:ascii="Arial" w:hAnsi="Arial" w:cs="Arial"/>
        </w:rPr>
        <w:t>, il est</w:t>
      </w:r>
      <w:r>
        <w:rPr>
          <w:rFonts w:ascii="Arial" w:hAnsi="Arial" w:cs="Arial"/>
        </w:rPr>
        <w:t xml:space="preserve"> montr</w:t>
      </w:r>
      <w:r w:rsidR="00B16FBC">
        <w:rPr>
          <w:rFonts w:ascii="Arial" w:hAnsi="Arial" w:cs="Arial"/>
        </w:rPr>
        <w:t>é</w:t>
      </w:r>
      <w:r>
        <w:rPr>
          <w:rFonts w:ascii="Arial" w:hAnsi="Arial" w:cs="Arial"/>
        </w:rPr>
        <w:t xml:space="preserve"> que le projet peut </w:t>
      </w:r>
      <w:r w:rsidRPr="00797168">
        <w:rPr>
          <w:rFonts w:ascii="Arial" w:hAnsi="Arial" w:cs="Arial"/>
        </w:rPr>
        <w:t>contribuer ou aggraver la VBG, en particulier l'EAS/HS dans ses zones d'intervention</w:t>
      </w:r>
      <w:r>
        <w:rPr>
          <w:rFonts w:ascii="Arial" w:hAnsi="Arial" w:cs="Arial"/>
        </w:rPr>
        <w:t xml:space="preserve"> par : </w:t>
      </w:r>
    </w:p>
    <w:p w14:paraId="3F4434CE" w14:textId="77777777" w:rsidR="00C535AE" w:rsidRPr="00797168" w:rsidRDefault="00C535AE" w:rsidP="00687DD2">
      <w:pPr>
        <w:pStyle w:val="Paragraphedeliste"/>
        <w:numPr>
          <w:ilvl w:val="0"/>
          <w:numId w:val="58"/>
        </w:numPr>
        <w:jc w:val="both"/>
        <w:rPr>
          <w:rFonts w:ascii="Arial" w:hAnsi="Arial" w:cs="Arial"/>
        </w:rPr>
      </w:pPr>
      <w:r w:rsidRPr="00797168">
        <w:rPr>
          <w:rFonts w:ascii="Arial" w:hAnsi="Arial" w:cs="Arial"/>
        </w:rPr>
        <w:t xml:space="preserve">L’afflux des travailleurs masculins en charge des travaux de construction des ouvrages et des installations </w:t>
      </w:r>
      <w:r w:rsidR="00994491">
        <w:rPr>
          <w:rFonts w:ascii="Arial" w:hAnsi="Arial" w:cs="Arial"/>
        </w:rPr>
        <w:t xml:space="preserve">qui </w:t>
      </w:r>
      <w:r w:rsidRPr="00797168">
        <w:rPr>
          <w:rFonts w:ascii="Arial" w:hAnsi="Arial" w:cs="Arial"/>
        </w:rPr>
        <w:t>peu</w:t>
      </w:r>
      <w:r w:rsidR="00994491">
        <w:rPr>
          <w:rFonts w:ascii="Arial" w:hAnsi="Arial" w:cs="Arial"/>
        </w:rPr>
        <w:t>ven</w:t>
      </w:r>
      <w:r w:rsidRPr="00797168">
        <w:rPr>
          <w:rFonts w:ascii="Arial" w:hAnsi="Arial" w:cs="Arial"/>
        </w:rPr>
        <w:t>t entraîner une exacerbation et une aggravation de violence basée sur le genre. Les cas de figure</w:t>
      </w:r>
      <w:r w:rsidR="00994491">
        <w:rPr>
          <w:rFonts w:ascii="Arial" w:hAnsi="Arial" w:cs="Arial"/>
        </w:rPr>
        <w:t>s</w:t>
      </w:r>
      <w:r w:rsidRPr="00797168">
        <w:rPr>
          <w:rFonts w:ascii="Arial" w:hAnsi="Arial" w:cs="Arial"/>
        </w:rPr>
        <w:t xml:space="preserve"> suivants peuvent se présenter dans les localités concernées par le Projet :</w:t>
      </w:r>
    </w:p>
    <w:p w14:paraId="36AA9EA0" w14:textId="77777777" w:rsidR="00C535AE" w:rsidRPr="00C535AE" w:rsidRDefault="00C535AE" w:rsidP="00687DD2">
      <w:pPr>
        <w:pStyle w:val="Paragraphedeliste"/>
        <w:numPr>
          <w:ilvl w:val="1"/>
          <w:numId w:val="58"/>
        </w:numPr>
        <w:spacing w:before="100" w:beforeAutospacing="1" w:after="100" w:afterAutospacing="1" w:line="240" w:lineRule="auto"/>
        <w:jc w:val="both"/>
        <w:rPr>
          <w:rFonts w:ascii="Arial" w:hAnsi="Arial" w:cs="Arial"/>
        </w:rPr>
      </w:pPr>
      <w:r w:rsidRPr="00C535AE">
        <w:rPr>
          <w:rFonts w:ascii="Arial" w:hAnsi="Arial" w:cs="Arial"/>
        </w:rPr>
        <w:t>Le travailleur dans les projets pourrait voir ses revenus augmenter grâce à la création de nouveaux emplois. En revanche, le contexte local conduit à une relative vulnérabilité des membres de la communauté. En conséquence, cette disparité financière peut augmenter les risques de relations sexuelles d'exploitation entre les travailleurs masculins et les membres féminins de la communauté ;</w:t>
      </w:r>
    </w:p>
    <w:p w14:paraId="4A942728" w14:textId="77777777" w:rsidR="00C535AE" w:rsidRPr="00C535AE" w:rsidRDefault="00C535AE" w:rsidP="00687DD2">
      <w:pPr>
        <w:pStyle w:val="Paragraphedeliste"/>
        <w:numPr>
          <w:ilvl w:val="1"/>
          <w:numId w:val="58"/>
        </w:numPr>
        <w:spacing w:before="100" w:beforeAutospacing="1" w:after="100" w:afterAutospacing="1" w:line="240" w:lineRule="auto"/>
        <w:jc w:val="both"/>
        <w:rPr>
          <w:rFonts w:ascii="Arial" w:hAnsi="Arial" w:cs="Arial"/>
        </w:rPr>
      </w:pPr>
      <w:r w:rsidRPr="00C535AE">
        <w:rPr>
          <w:rFonts w:ascii="Arial" w:hAnsi="Arial" w:cs="Arial"/>
        </w:rPr>
        <w:t>En outre, les travailleurs externes et non locaux peuvent être moins adhérents aux normes sociales de la communauté, ce qui augmente encore les risques d’EAS/HS ;</w:t>
      </w:r>
    </w:p>
    <w:p w14:paraId="30AF0ADD" w14:textId="77777777" w:rsidR="00C535AE" w:rsidRPr="00C535AE" w:rsidRDefault="00C535AE" w:rsidP="00687DD2">
      <w:pPr>
        <w:pStyle w:val="Paragraphedeliste"/>
        <w:numPr>
          <w:ilvl w:val="1"/>
          <w:numId w:val="58"/>
        </w:numPr>
        <w:spacing w:before="100" w:beforeAutospacing="1" w:after="100" w:afterAutospacing="1" w:line="240" w:lineRule="auto"/>
        <w:jc w:val="both"/>
        <w:rPr>
          <w:rFonts w:ascii="Arial" w:hAnsi="Arial" w:cs="Arial"/>
        </w:rPr>
      </w:pPr>
      <w:r w:rsidRPr="00C535AE">
        <w:rPr>
          <w:rFonts w:ascii="Arial" w:hAnsi="Arial" w:cs="Arial"/>
        </w:rPr>
        <w:t>Des comportements déplacés et abusifs pourraient survenir entre les personnels et la population riveraine des sites d’implantation d</w:t>
      </w:r>
      <w:r>
        <w:rPr>
          <w:rFonts w:ascii="Arial" w:hAnsi="Arial" w:cs="Arial"/>
        </w:rPr>
        <w:t>u P</w:t>
      </w:r>
      <w:r w:rsidRPr="00C535AE">
        <w:rPr>
          <w:rFonts w:ascii="Arial" w:hAnsi="Arial" w:cs="Arial"/>
        </w:rPr>
        <w:t>rojet ou bien encore entre les travailleurs des projets</w:t>
      </w:r>
      <w:r w:rsidR="00994491">
        <w:rPr>
          <w:rFonts w:ascii="Arial" w:hAnsi="Arial" w:cs="Arial"/>
        </w:rPr>
        <w:t xml:space="preserve"> </w:t>
      </w:r>
      <w:r w:rsidRPr="00C535AE">
        <w:rPr>
          <w:rFonts w:ascii="Arial" w:hAnsi="Arial" w:cs="Arial"/>
        </w:rPr>
        <w:t xml:space="preserve">; </w:t>
      </w:r>
    </w:p>
    <w:p w14:paraId="46409840" w14:textId="77777777" w:rsidR="00C535AE" w:rsidRPr="00C535AE" w:rsidRDefault="00C535AE" w:rsidP="00687DD2">
      <w:pPr>
        <w:pStyle w:val="Paragraphedeliste"/>
        <w:numPr>
          <w:ilvl w:val="1"/>
          <w:numId w:val="58"/>
        </w:numPr>
        <w:spacing w:before="100" w:beforeAutospacing="1" w:after="100" w:afterAutospacing="1" w:line="240" w:lineRule="auto"/>
        <w:jc w:val="both"/>
        <w:rPr>
          <w:rFonts w:ascii="Arial" w:hAnsi="Arial" w:cs="Arial"/>
        </w:rPr>
      </w:pPr>
      <w:r w:rsidRPr="00C535AE">
        <w:rPr>
          <w:rFonts w:ascii="Arial" w:hAnsi="Arial" w:cs="Arial"/>
        </w:rPr>
        <w:t xml:space="preserve">De plus, les entreprises sous-traitantes au Projet peuvent recruter du personnel féminin, mais ce dernier peut être en infériorité numérique par rapport à la main d’œuvre masculine. Ainsi, l’isolement géographique et la sex-ratio inégale pourraient favoriser les risques d’EAS/HS aux femmes en milieu de travail. En effet, les femmes peuvent </w:t>
      </w:r>
      <w:r w:rsidR="008B5FB9">
        <w:rPr>
          <w:rFonts w:ascii="Arial" w:hAnsi="Arial" w:cs="Arial"/>
        </w:rPr>
        <w:t>rencontrer</w:t>
      </w:r>
      <w:r w:rsidR="008B5FB9" w:rsidRPr="00C535AE">
        <w:rPr>
          <w:rFonts w:ascii="Arial" w:hAnsi="Arial" w:cs="Arial"/>
        </w:rPr>
        <w:t xml:space="preserve"> </w:t>
      </w:r>
      <w:r w:rsidRPr="00C535AE">
        <w:rPr>
          <w:rFonts w:ascii="Arial" w:hAnsi="Arial" w:cs="Arial"/>
        </w:rPr>
        <w:t xml:space="preserve">des difficultés à signaler les incidents </w:t>
      </w:r>
      <w:r w:rsidR="00286ACE">
        <w:rPr>
          <w:rFonts w:ascii="Arial" w:hAnsi="Arial" w:cs="Arial"/>
        </w:rPr>
        <w:t xml:space="preserve">(cf annexe 7) </w:t>
      </w:r>
      <w:r w:rsidRPr="00C535AE">
        <w:rPr>
          <w:rFonts w:ascii="Arial" w:hAnsi="Arial" w:cs="Arial"/>
        </w:rPr>
        <w:t>ou des cas d’EAS/HS.</w:t>
      </w:r>
    </w:p>
    <w:p w14:paraId="371DB288" w14:textId="77777777" w:rsidR="00C535AE" w:rsidRPr="00797168" w:rsidRDefault="00797168" w:rsidP="00687DD2">
      <w:pPr>
        <w:pStyle w:val="Paragraphedeliste"/>
        <w:numPr>
          <w:ilvl w:val="0"/>
          <w:numId w:val="58"/>
        </w:numPr>
        <w:jc w:val="both"/>
        <w:rPr>
          <w:rFonts w:ascii="Arial" w:hAnsi="Arial" w:cs="Arial"/>
        </w:rPr>
      </w:pPr>
      <w:r>
        <w:rPr>
          <w:rFonts w:ascii="Arial" w:hAnsi="Arial" w:cs="Arial"/>
        </w:rPr>
        <w:t>L’utilisation</w:t>
      </w:r>
      <w:r w:rsidR="00C535AE" w:rsidRPr="00797168">
        <w:rPr>
          <w:rFonts w:ascii="Arial" w:hAnsi="Arial" w:cs="Arial"/>
        </w:rPr>
        <w:t xml:space="preserve"> non contrôl</w:t>
      </w:r>
      <w:r w:rsidR="00994491">
        <w:rPr>
          <w:rFonts w:ascii="Arial" w:hAnsi="Arial" w:cs="Arial"/>
        </w:rPr>
        <w:t>é</w:t>
      </w:r>
      <w:r w:rsidR="00C535AE" w:rsidRPr="00797168">
        <w:rPr>
          <w:rFonts w:ascii="Arial" w:hAnsi="Arial" w:cs="Arial"/>
        </w:rPr>
        <w:t>e des informations</w:t>
      </w:r>
      <w:r w:rsidR="00994491">
        <w:rPr>
          <w:rFonts w:ascii="Arial" w:hAnsi="Arial" w:cs="Arial"/>
        </w:rPr>
        <w:t xml:space="preserve"> et</w:t>
      </w:r>
      <w:r w:rsidR="00C535AE" w:rsidRPr="00797168">
        <w:rPr>
          <w:rFonts w:ascii="Arial" w:hAnsi="Arial" w:cs="Arial"/>
        </w:rPr>
        <w:t xml:space="preserve"> vidéo</w:t>
      </w:r>
      <w:r w:rsidR="00994491">
        <w:rPr>
          <w:rFonts w:ascii="Arial" w:hAnsi="Arial" w:cs="Arial"/>
        </w:rPr>
        <w:t>s</w:t>
      </w:r>
      <w:r w:rsidR="00C535AE" w:rsidRPr="00797168">
        <w:rPr>
          <w:rFonts w:ascii="Arial" w:hAnsi="Arial" w:cs="Arial"/>
        </w:rPr>
        <w:t xml:space="preserve"> issus de l’internet augmenterait le risque d’harcèlement sexuel. Effectivement, les films pornographiques dans différents sites internet pourraient influencer les jeunes gens à violer ou harceler les gentes féminines. </w:t>
      </w:r>
    </w:p>
    <w:p w14:paraId="0956D8BC" w14:textId="77777777" w:rsidR="00C535AE" w:rsidRPr="00C535AE" w:rsidRDefault="008B5FB9" w:rsidP="00C535AE">
      <w:pPr>
        <w:jc w:val="both"/>
        <w:rPr>
          <w:rFonts w:ascii="Arial" w:hAnsi="Arial" w:cs="Arial"/>
        </w:rPr>
      </w:pPr>
      <w:r w:rsidRPr="485754D1">
        <w:rPr>
          <w:rFonts w:ascii="Arial" w:hAnsi="Arial" w:cs="Arial"/>
        </w:rPr>
        <w:t xml:space="preserve">À la suite de </w:t>
      </w:r>
      <w:r>
        <w:rPr>
          <w:rFonts w:ascii="Arial" w:hAnsi="Arial" w:cs="Arial"/>
        </w:rPr>
        <w:t xml:space="preserve">ces </w:t>
      </w:r>
      <w:r w:rsidR="00C535AE" w:rsidRPr="485754D1">
        <w:rPr>
          <w:rFonts w:ascii="Arial" w:hAnsi="Arial" w:cs="Arial"/>
        </w:rPr>
        <w:t>constats, il est important que l’UCP recrute un responsable EAS/HS, qui sera en charge de l’application du présent plan de gestion de VBG/EAS/HS.</w:t>
      </w:r>
    </w:p>
    <w:p w14:paraId="63C56927" w14:textId="77777777" w:rsidR="00797168" w:rsidRPr="007F78CE" w:rsidRDefault="00797168" w:rsidP="0044500E">
      <w:pPr>
        <w:pStyle w:val="TIT2"/>
        <w:numPr>
          <w:ilvl w:val="1"/>
          <w:numId w:val="177"/>
        </w:numPr>
      </w:pPr>
      <w:bookmarkStart w:id="1580" w:name="_Toc124314813"/>
      <w:bookmarkStart w:id="1581" w:name="_Toc124956352"/>
      <w:bookmarkStart w:id="1582" w:name="_Toc125384699"/>
      <w:bookmarkStart w:id="1583" w:name="_Toc125385088"/>
      <w:bookmarkStart w:id="1584" w:name="_Toc127957757"/>
      <w:r w:rsidRPr="007F78CE">
        <w:t xml:space="preserve">Plan d’action contre </w:t>
      </w:r>
      <w:r w:rsidR="008B5FB9" w:rsidRPr="007F78CE">
        <w:t>l</w:t>
      </w:r>
      <w:r w:rsidR="008B5FB9">
        <w:t>a</w:t>
      </w:r>
      <w:r w:rsidR="008B5FB9" w:rsidRPr="007F78CE">
        <w:t xml:space="preserve"> </w:t>
      </w:r>
      <w:r w:rsidRPr="007F78CE">
        <w:t>VBG</w:t>
      </w:r>
      <w:bookmarkEnd w:id="1580"/>
      <w:bookmarkEnd w:id="1581"/>
      <w:bookmarkEnd w:id="1582"/>
      <w:bookmarkEnd w:id="1583"/>
      <w:bookmarkEnd w:id="1584"/>
    </w:p>
    <w:p w14:paraId="275FFA9A" w14:textId="77777777" w:rsidR="00797168" w:rsidRDefault="00797168" w:rsidP="00657F89">
      <w:pPr>
        <w:jc w:val="both"/>
        <w:rPr>
          <w:rFonts w:ascii="Arial" w:hAnsi="Arial" w:cs="Arial"/>
          <w:szCs w:val="24"/>
        </w:rPr>
      </w:pPr>
      <w:r>
        <w:rPr>
          <w:rFonts w:ascii="Arial" w:hAnsi="Arial" w:cs="Arial"/>
          <w:szCs w:val="24"/>
        </w:rPr>
        <w:t>Afin d’éviter tout risque de VBG/EAS/HS dans le cadre de la mise en œuvre du Projet DECIM, un plan d’action contre l</w:t>
      </w:r>
      <w:r w:rsidR="00B16FBC">
        <w:rPr>
          <w:rFonts w:ascii="Arial" w:hAnsi="Arial" w:cs="Arial"/>
          <w:szCs w:val="24"/>
        </w:rPr>
        <w:t>a</w:t>
      </w:r>
      <w:r>
        <w:rPr>
          <w:rFonts w:ascii="Arial" w:hAnsi="Arial" w:cs="Arial"/>
          <w:szCs w:val="24"/>
        </w:rPr>
        <w:t xml:space="preserve"> VBG doit être </w:t>
      </w:r>
      <w:r w:rsidR="00533E68">
        <w:rPr>
          <w:rFonts w:ascii="Arial" w:hAnsi="Arial" w:cs="Arial"/>
          <w:szCs w:val="24"/>
        </w:rPr>
        <w:t>élaboré et mis en œuvre  (Cf annexe 17)</w:t>
      </w:r>
      <w:r>
        <w:rPr>
          <w:rFonts w:ascii="Arial" w:hAnsi="Arial" w:cs="Arial"/>
          <w:szCs w:val="24"/>
        </w:rPr>
        <w:t xml:space="preserve">. </w:t>
      </w:r>
    </w:p>
    <w:p w14:paraId="281D9BF8" w14:textId="77777777" w:rsidR="00797168" w:rsidRPr="00797168" w:rsidRDefault="00797168" w:rsidP="00797168">
      <w:pPr>
        <w:jc w:val="both"/>
        <w:rPr>
          <w:rFonts w:ascii="Arial" w:hAnsi="Arial" w:cs="Arial"/>
          <w:szCs w:val="24"/>
        </w:rPr>
      </w:pPr>
      <w:r>
        <w:rPr>
          <w:rFonts w:ascii="Arial" w:hAnsi="Arial" w:cs="Arial"/>
          <w:szCs w:val="24"/>
        </w:rPr>
        <w:t>Ce</w:t>
      </w:r>
      <w:r w:rsidRPr="00797168">
        <w:rPr>
          <w:rFonts w:ascii="Arial" w:hAnsi="Arial" w:cs="Arial"/>
          <w:szCs w:val="24"/>
        </w:rPr>
        <w:t xml:space="preserve"> Plan d’action de prévention et réponse aux EAS/HS</w:t>
      </w:r>
      <w:r>
        <w:rPr>
          <w:rFonts w:ascii="Arial" w:hAnsi="Arial" w:cs="Arial"/>
          <w:szCs w:val="24"/>
        </w:rPr>
        <w:t xml:space="preserve"> </w:t>
      </w:r>
      <w:r w:rsidRPr="00797168">
        <w:rPr>
          <w:rFonts w:ascii="Arial" w:hAnsi="Arial" w:cs="Arial"/>
          <w:szCs w:val="24"/>
        </w:rPr>
        <w:t xml:space="preserve">(Plan d’action EAS/HS) </w:t>
      </w:r>
      <w:r>
        <w:rPr>
          <w:rFonts w:ascii="Arial" w:hAnsi="Arial" w:cs="Arial"/>
          <w:szCs w:val="24"/>
        </w:rPr>
        <w:t xml:space="preserve">a pour objectif principal </w:t>
      </w:r>
      <w:r w:rsidRPr="00797168">
        <w:rPr>
          <w:rFonts w:ascii="Arial" w:hAnsi="Arial" w:cs="Arial"/>
          <w:szCs w:val="24"/>
        </w:rPr>
        <w:t>d'aider à atténuer, répondre, et prévenir les risques d’EAS/HS liés au Projet sur le lieu de travail et dans les communautés riveraines des zones concernées par le Projet</w:t>
      </w:r>
      <w:r>
        <w:rPr>
          <w:rFonts w:ascii="Arial" w:hAnsi="Arial" w:cs="Arial"/>
          <w:szCs w:val="24"/>
        </w:rPr>
        <w:t xml:space="preserve"> </w:t>
      </w:r>
      <w:r w:rsidRPr="00797168">
        <w:rPr>
          <w:rFonts w:ascii="Arial" w:hAnsi="Arial" w:cs="Arial"/>
          <w:szCs w:val="24"/>
        </w:rPr>
        <w:t xml:space="preserve">mais également de créer une conscience commune autour des risques liés aux EAS/HS et un système clair de redevabilité et de réponse aux incidents liés aux EAS/HS. </w:t>
      </w:r>
    </w:p>
    <w:p w14:paraId="12F55183" w14:textId="77777777" w:rsidR="00797168" w:rsidRPr="00797168" w:rsidRDefault="00797168" w:rsidP="00797168">
      <w:pPr>
        <w:jc w:val="both"/>
        <w:rPr>
          <w:rFonts w:ascii="Arial" w:hAnsi="Arial" w:cs="Arial"/>
          <w:szCs w:val="24"/>
        </w:rPr>
      </w:pPr>
      <w:r w:rsidRPr="00797168">
        <w:rPr>
          <w:rFonts w:ascii="Arial" w:hAnsi="Arial" w:cs="Arial"/>
          <w:szCs w:val="24"/>
        </w:rPr>
        <w:t xml:space="preserve">Les actions de gestion suivantes relèvent du niveau organisationnel du Projet : </w:t>
      </w:r>
    </w:p>
    <w:p w14:paraId="6844CEF3" w14:textId="77777777" w:rsidR="00797168" w:rsidRPr="00797168" w:rsidRDefault="00797168" w:rsidP="00687DD2">
      <w:pPr>
        <w:pStyle w:val="Paragraphedeliste"/>
        <w:numPr>
          <w:ilvl w:val="0"/>
          <w:numId w:val="59"/>
        </w:numPr>
        <w:spacing w:before="100" w:beforeAutospacing="1" w:after="100" w:afterAutospacing="1" w:line="240" w:lineRule="auto"/>
        <w:jc w:val="both"/>
        <w:rPr>
          <w:rFonts w:ascii="Arial" w:hAnsi="Arial" w:cs="Arial"/>
        </w:rPr>
      </w:pPr>
      <w:r w:rsidRPr="00797168">
        <w:rPr>
          <w:rFonts w:ascii="Arial" w:hAnsi="Arial" w:cs="Arial"/>
        </w:rPr>
        <w:t xml:space="preserve">Intégrer la gestion des risques EAS-HS dans les instruments de </w:t>
      </w:r>
      <w:r w:rsidR="00990511">
        <w:rPr>
          <w:rFonts w:ascii="Arial" w:hAnsi="Arial" w:cs="Arial"/>
        </w:rPr>
        <w:t>gestion des risques E&amp;S</w:t>
      </w:r>
      <w:r w:rsidR="00990511" w:rsidRPr="00797168">
        <w:rPr>
          <w:rFonts w:ascii="Arial" w:hAnsi="Arial" w:cs="Arial"/>
        </w:rPr>
        <w:t xml:space="preserve"> </w:t>
      </w:r>
      <w:r w:rsidRPr="00797168">
        <w:rPr>
          <w:rFonts w:ascii="Arial" w:hAnsi="Arial" w:cs="Arial"/>
        </w:rPr>
        <w:t xml:space="preserve">et dans le processus de passation de </w:t>
      </w:r>
      <w:r w:rsidR="00535F99" w:rsidRPr="00797168">
        <w:rPr>
          <w:rFonts w:ascii="Arial" w:hAnsi="Arial" w:cs="Arial"/>
        </w:rPr>
        <w:t>marché ;</w:t>
      </w:r>
    </w:p>
    <w:p w14:paraId="32C4419B" w14:textId="77777777" w:rsidR="00797168" w:rsidRPr="00797168" w:rsidRDefault="00797168" w:rsidP="00687DD2">
      <w:pPr>
        <w:pStyle w:val="Paragraphedeliste"/>
        <w:numPr>
          <w:ilvl w:val="0"/>
          <w:numId w:val="59"/>
        </w:numPr>
        <w:spacing w:before="100" w:beforeAutospacing="1" w:after="100" w:afterAutospacing="1" w:line="240" w:lineRule="auto"/>
        <w:jc w:val="both"/>
        <w:rPr>
          <w:rFonts w:ascii="Arial" w:hAnsi="Arial" w:cs="Arial"/>
        </w:rPr>
      </w:pPr>
      <w:r w:rsidRPr="00797168">
        <w:rPr>
          <w:rFonts w:ascii="Arial" w:hAnsi="Arial" w:cs="Arial"/>
        </w:rPr>
        <w:t>Actualiser la cartographie des acteurs en matière de VBG et d’exploitation sexuelle dans les zones d’intervention, et évaluer leurs capacités de prise en charge ;</w:t>
      </w:r>
    </w:p>
    <w:p w14:paraId="2E159E6B" w14:textId="77777777" w:rsidR="00797168" w:rsidRPr="00797168" w:rsidRDefault="00797168" w:rsidP="00687DD2">
      <w:pPr>
        <w:pStyle w:val="Paragraphedeliste"/>
        <w:numPr>
          <w:ilvl w:val="0"/>
          <w:numId w:val="59"/>
        </w:numPr>
        <w:spacing w:before="100" w:beforeAutospacing="1" w:after="100" w:afterAutospacing="1" w:line="240" w:lineRule="auto"/>
        <w:jc w:val="both"/>
        <w:rPr>
          <w:rFonts w:ascii="Arial" w:hAnsi="Arial" w:cs="Arial"/>
        </w:rPr>
      </w:pPr>
      <w:r w:rsidRPr="00797168">
        <w:rPr>
          <w:rFonts w:ascii="Arial" w:hAnsi="Arial" w:cs="Arial"/>
        </w:rPr>
        <w:t xml:space="preserve">S’assurer de la signature de Code de Conduite </w:t>
      </w:r>
      <w:r w:rsidR="00E57EA0">
        <w:rPr>
          <w:rFonts w:ascii="Arial" w:hAnsi="Arial" w:cs="Arial"/>
        </w:rPr>
        <w:t xml:space="preserve">(cf annexe 6) </w:t>
      </w:r>
      <w:r w:rsidRPr="00797168">
        <w:rPr>
          <w:rFonts w:ascii="Arial" w:hAnsi="Arial" w:cs="Arial"/>
        </w:rPr>
        <w:t>interdisant toutes formes de VBG par tous les personnels impliqués dans le cadre du projet (Unité de mise en œuvre, contractants, partenaires…)</w:t>
      </w:r>
      <w:r w:rsidR="00B16FBC">
        <w:rPr>
          <w:rFonts w:ascii="Arial" w:hAnsi="Arial" w:cs="Arial"/>
        </w:rPr>
        <w:t xml:space="preserve"> </w:t>
      </w:r>
      <w:r w:rsidRPr="00797168">
        <w:rPr>
          <w:rFonts w:ascii="Arial" w:hAnsi="Arial" w:cs="Arial"/>
        </w:rPr>
        <w:t>;</w:t>
      </w:r>
    </w:p>
    <w:p w14:paraId="0E6B30D0" w14:textId="77777777" w:rsidR="00797168" w:rsidRPr="00797168" w:rsidRDefault="00797168" w:rsidP="00687DD2">
      <w:pPr>
        <w:pStyle w:val="Paragraphedeliste"/>
        <w:numPr>
          <w:ilvl w:val="0"/>
          <w:numId w:val="59"/>
        </w:numPr>
        <w:spacing w:before="100" w:beforeAutospacing="1" w:after="100" w:afterAutospacing="1" w:line="240" w:lineRule="auto"/>
        <w:jc w:val="both"/>
        <w:rPr>
          <w:rFonts w:ascii="Arial" w:hAnsi="Arial" w:cs="Arial"/>
        </w:rPr>
      </w:pPr>
      <w:r w:rsidRPr="00797168">
        <w:rPr>
          <w:rFonts w:ascii="Arial" w:hAnsi="Arial" w:cs="Arial"/>
        </w:rPr>
        <w:t xml:space="preserve">Recruter un spécialiste en </w:t>
      </w:r>
      <w:r w:rsidR="00535F99" w:rsidRPr="00797168">
        <w:rPr>
          <w:rFonts w:ascii="Arial" w:hAnsi="Arial" w:cs="Arial"/>
        </w:rPr>
        <w:t>VBG ;</w:t>
      </w:r>
    </w:p>
    <w:p w14:paraId="413C490B" w14:textId="77777777" w:rsidR="00797168" w:rsidRPr="00797168" w:rsidRDefault="00FD7760" w:rsidP="00687DD2">
      <w:pPr>
        <w:pStyle w:val="Paragraphedeliste"/>
        <w:numPr>
          <w:ilvl w:val="0"/>
          <w:numId w:val="59"/>
        </w:numPr>
        <w:spacing w:before="100" w:beforeAutospacing="1" w:after="100" w:afterAutospacing="1" w:line="240" w:lineRule="auto"/>
        <w:jc w:val="both"/>
        <w:rPr>
          <w:rFonts w:ascii="Arial" w:hAnsi="Arial" w:cs="Arial"/>
        </w:rPr>
      </w:pPr>
      <w:r w:rsidRPr="00797168">
        <w:rPr>
          <w:rFonts w:ascii="Arial" w:hAnsi="Arial" w:cs="Arial"/>
        </w:rPr>
        <w:t>Établir</w:t>
      </w:r>
      <w:r w:rsidR="00797168" w:rsidRPr="00797168">
        <w:rPr>
          <w:rFonts w:ascii="Arial" w:hAnsi="Arial" w:cs="Arial"/>
        </w:rPr>
        <w:t xml:space="preserve"> un </w:t>
      </w:r>
      <w:r w:rsidR="00F411CB" w:rsidRPr="00797168">
        <w:rPr>
          <w:rFonts w:ascii="Arial" w:hAnsi="Arial" w:cs="Arial"/>
        </w:rPr>
        <w:t>M</w:t>
      </w:r>
      <w:r w:rsidR="00F411CB">
        <w:rPr>
          <w:rFonts w:ascii="Arial" w:hAnsi="Arial" w:cs="Arial"/>
        </w:rPr>
        <w:t xml:space="preserve">ecanisme de </w:t>
      </w:r>
      <w:r w:rsidR="00F411CB" w:rsidRPr="00797168">
        <w:rPr>
          <w:rFonts w:ascii="Arial" w:hAnsi="Arial" w:cs="Arial"/>
        </w:rPr>
        <w:t>G</w:t>
      </w:r>
      <w:r w:rsidR="00F411CB">
        <w:rPr>
          <w:rFonts w:ascii="Arial" w:hAnsi="Arial" w:cs="Arial"/>
        </w:rPr>
        <w:t xml:space="preserve">estion des </w:t>
      </w:r>
      <w:r w:rsidR="00F411CB" w:rsidRPr="00797168">
        <w:rPr>
          <w:rFonts w:ascii="Arial" w:hAnsi="Arial" w:cs="Arial"/>
        </w:rPr>
        <w:t>P</w:t>
      </w:r>
      <w:r w:rsidR="00F411CB">
        <w:rPr>
          <w:rFonts w:ascii="Arial" w:hAnsi="Arial" w:cs="Arial"/>
        </w:rPr>
        <w:t>laintes (</w:t>
      </w:r>
      <w:r w:rsidR="00797168" w:rsidRPr="00797168">
        <w:rPr>
          <w:rFonts w:ascii="Arial" w:hAnsi="Arial" w:cs="Arial"/>
        </w:rPr>
        <w:t>MGP</w:t>
      </w:r>
      <w:r w:rsidR="00F411CB">
        <w:rPr>
          <w:rFonts w:ascii="Arial" w:hAnsi="Arial" w:cs="Arial"/>
        </w:rPr>
        <w:t>)</w:t>
      </w:r>
      <w:r w:rsidR="00797168" w:rsidRPr="00797168">
        <w:rPr>
          <w:rFonts w:ascii="Arial" w:hAnsi="Arial" w:cs="Arial"/>
        </w:rPr>
        <w:t xml:space="preserve"> avec des canaux sensibles à la VBG pour permettre aux survivant(e)s</w:t>
      </w:r>
      <w:r w:rsidR="00994491">
        <w:rPr>
          <w:rFonts w:ascii="Arial" w:hAnsi="Arial" w:cs="Arial"/>
        </w:rPr>
        <w:t xml:space="preserve"> </w:t>
      </w:r>
      <w:r w:rsidR="00797168" w:rsidRPr="00797168">
        <w:rPr>
          <w:rFonts w:ascii="Arial" w:hAnsi="Arial" w:cs="Arial"/>
        </w:rPr>
        <w:t>de signaler leurs préoccupations d'une manière sûre, efficace, confidentielle et culturellement appropriée</w:t>
      </w:r>
      <w:r w:rsidR="00D23B6A">
        <w:rPr>
          <w:rFonts w:ascii="Arial" w:hAnsi="Arial" w:cs="Arial"/>
        </w:rPr>
        <w:t> ;</w:t>
      </w:r>
    </w:p>
    <w:p w14:paraId="40CB0EA7" w14:textId="77777777" w:rsidR="00797168" w:rsidRPr="00797168" w:rsidRDefault="00797168" w:rsidP="00687DD2">
      <w:pPr>
        <w:pStyle w:val="Paragraphedeliste"/>
        <w:numPr>
          <w:ilvl w:val="0"/>
          <w:numId w:val="59"/>
        </w:numPr>
        <w:spacing w:before="100" w:beforeAutospacing="1" w:after="100" w:afterAutospacing="1" w:line="240" w:lineRule="auto"/>
        <w:jc w:val="both"/>
        <w:rPr>
          <w:rFonts w:ascii="Arial" w:hAnsi="Arial" w:cs="Arial"/>
        </w:rPr>
      </w:pPr>
      <w:r w:rsidRPr="00797168">
        <w:rPr>
          <w:rFonts w:ascii="Arial" w:hAnsi="Arial" w:cs="Arial"/>
        </w:rPr>
        <w:t>Assurer le suivi et évaluation de ce même plan d’action VBG.</w:t>
      </w:r>
    </w:p>
    <w:p w14:paraId="48FDE679" w14:textId="77777777" w:rsidR="00797168" w:rsidRPr="00797168" w:rsidRDefault="00797168" w:rsidP="00797168">
      <w:pPr>
        <w:jc w:val="both"/>
        <w:rPr>
          <w:rFonts w:ascii="Arial" w:hAnsi="Arial" w:cs="Arial"/>
          <w:szCs w:val="24"/>
        </w:rPr>
      </w:pPr>
      <w:r w:rsidRPr="00797168">
        <w:rPr>
          <w:rFonts w:ascii="Arial" w:hAnsi="Arial" w:cs="Arial"/>
          <w:szCs w:val="24"/>
        </w:rPr>
        <w:t xml:space="preserve">Le Plan d’action EAS/HS sera mis en œuvre par un prestataire de service VBG ayant les capacités nécessaires et habilité à apporter un soutien aux survivant(e)s d’EAS/HS. </w:t>
      </w:r>
    </w:p>
    <w:p w14:paraId="4F7F8693" w14:textId="77777777" w:rsidR="00797168" w:rsidRDefault="00797168" w:rsidP="00797168">
      <w:pPr>
        <w:jc w:val="both"/>
        <w:rPr>
          <w:rFonts w:ascii="Arial" w:hAnsi="Arial" w:cs="Arial"/>
          <w:szCs w:val="24"/>
        </w:rPr>
      </w:pPr>
      <w:r>
        <w:rPr>
          <w:rFonts w:ascii="Arial" w:hAnsi="Arial" w:cs="Arial"/>
          <w:szCs w:val="24"/>
        </w:rPr>
        <w:t xml:space="preserve">Précisons que </w:t>
      </w:r>
      <w:r w:rsidR="00FD7760">
        <w:rPr>
          <w:rFonts w:ascii="Arial" w:hAnsi="Arial" w:cs="Arial"/>
          <w:szCs w:val="24"/>
        </w:rPr>
        <w:t>l</w:t>
      </w:r>
      <w:r>
        <w:rPr>
          <w:rFonts w:ascii="Arial" w:hAnsi="Arial" w:cs="Arial"/>
          <w:szCs w:val="24"/>
        </w:rPr>
        <w:t xml:space="preserve">es détails du Plan d’action contre le VBG </w:t>
      </w:r>
      <w:r w:rsidR="00B16FBC">
        <w:rPr>
          <w:rFonts w:ascii="Arial" w:hAnsi="Arial" w:cs="Arial"/>
          <w:szCs w:val="24"/>
        </w:rPr>
        <w:t xml:space="preserve">sont présentés </w:t>
      </w:r>
      <w:r>
        <w:rPr>
          <w:rFonts w:ascii="Arial" w:hAnsi="Arial" w:cs="Arial"/>
          <w:szCs w:val="24"/>
        </w:rPr>
        <w:t>en annexe de ce document.</w:t>
      </w:r>
    </w:p>
    <w:p w14:paraId="6A5A8E57" w14:textId="77777777" w:rsidR="00F3517B" w:rsidRPr="007F78CE" w:rsidRDefault="00F3517B" w:rsidP="0044500E">
      <w:pPr>
        <w:pStyle w:val="TIT2"/>
        <w:numPr>
          <w:ilvl w:val="1"/>
          <w:numId w:val="177"/>
        </w:numPr>
      </w:pPr>
      <w:bookmarkStart w:id="1585" w:name="_Toc124314814"/>
      <w:bookmarkStart w:id="1586" w:name="_Toc124956353"/>
      <w:bookmarkStart w:id="1587" w:name="_Toc125384700"/>
      <w:bookmarkStart w:id="1588" w:name="_Toc125385089"/>
      <w:bookmarkStart w:id="1589" w:name="_Toc127957758"/>
      <w:r w:rsidRPr="007F78CE">
        <w:t>Mécanisme de gestion de cas de VBG</w:t>
      </w:r>
      <w:bookmarkEnd w:id="1585"/>
      <w:bookmarkEnd w:id="1586"/>
      <w:bookmarkEnd w:id="1587"/>
      <w:bookmarkEnd w:id="1588"/>
      <w:bookmarkEnd w:id="1589"/>
    </w:p>
    <w:p w14:paraId="2F1390C0" w14:textId="77777777" w:rsidR="00B468D6" w:rsidRDefault="00B468D6" w:rsidP="00B468D6">
      <w:pPr>
        <w:jc w:val="both"/>
        <w:rPr>
          <w:rFonts w:ascii="Arial" w:hAnsi="Arial" w:cs="Arial"/>
          <w:szCs w:val="24"/>
        </w:rPr>
      </w:pPr>
      <w:r>
        <w:rPr>
          <w:rFonts w:ascii="Arial" w:hAnsi="Arial" w:cs="Arial"/>
          <w:szCs w:val="24"/>
        </w:rPr>
        <w:t xml:space="preserve">Le Projet mettra en place un mécanisme </w:t>
      </w:r>
      <w:r w:rsidRPr="00B468D6">
        <w:rPr>
          <w:rFonts w:ascii="Arial" w:hAnsi="Arial" w:cs="Arial"/>
          <w:szCs w:val="24"/>
        </w:rPr>
        <w:t>et des procédures spécifiques</w:t>
      </w:r>
      <w:r>
        <w:rPr>
          <w:rFonts w:ascii="Arial" w:hAnsi="Arial" w:cs="Arial"/>
          <w:szCs w:val="24"/>
        </w:rPr>
        <w:t xml:space="preserve"> pour la gestion et la résolution des éventuelles plaintes liées à des cas de VBG. Il importe de noter que tous les cas, avérés ou non de VBG liés au Projet doivent être gérer suivant le mécanisme proposé. Le mécanisme de gestion de cas de VBG suit les </w:t>
      </w:r>
      <w:r w:rsidRPr="00B468D6">
        <w:rPr>
          <w:rFonts w:ascii="Arial" w:hAnsi="Arial" w:cs="Arial"/>
          <w:szCs w:val="24"/>
        </w:rPr>
        <w:t>exigences et les recommandations</w:t>
      </w:r>
      <w:r>
        <w:rPr>
          <w:rFonts w:ascii="Arial" w:hAnsi="Arial" w:cs="Arial"/>
          <w:szCs w:val="24"/>
        </w:rPr>
        <w:t xml:space="preserve"> de la NES2 et NES10 de la Banque </w:t>
      </w:r>
      <w:r w:rsidR="00B16FBC">
        <w:rPr>
          <w:rFonts w:ascii="Arial" w:hAnsi="Arial" w:cs="Arial"/>
          <w:szCs w:val="24"/>
        </w:rPr>
        <w:t>m</w:t>
      </w:r>
      <w:r>
        <w:rPr>
          <w:rFonts w:ascii="Arial" w:hAnsi="Arial" w:cs="Arial"/>
          <w:szCs w:val="24"/>
        </w:rPr>
        <w:t>ondiale.</w:t>
      </w:r>
    </w:p>
    <w:p w14:paraId="1CA4D3DE" w14:textId="77777777" w:rsidR="00B468D6" w:rsidRPr="00B468D6" w:rsidRDefault="00B468D6" w:rsidP="00B468D6">
      <w:pPr>
        <w:jc w:val="both"/>
        <w:rPr>
          <w:rFonts w:ascii="Arial" w:hAnsi="Arial" w:cs="Arial"/>
          <w:szCs w:val="24"/>
        </w:rPr>
      </w:pPr>
      <w:r w:rsidRPr="00B468D6">
        <w:rPr>
          <w:rFonts w:ascii="Arial" w:hAnsi="Arial" w:cs="Arial"/>
          <w:szCs w:val="24"/>
        </w:rPr>
        <w:t xml:space="preserve">La mise en place et la mise en œuvre des procédures de gestion de plaintes relatives au cas </w:t>
      </w:r>
      <w:r>
        <w:rPr>
          <w:rFonts w:ascii="Arial" w:hAnsi="Arial" w:cs="Arial"/>
          <w:szCs w:val="24"/>
        </w:rPr>
        <w:t>de VBG</w:t>
      </w:r>
      <w:r w:rsidRPr="00B468D6">
        <w:rPr>
          <w:rFonts w:ascii="Arial" w:hAnsi="Arial" w:cs="Arial"/>
          <w:szCs w:val="24"/>
        </w:rPr>
        <w:t xml:space="preserve"> seront entièrement sous la supervision du prestataire de services en la matière, de l’U</w:t>
      </w:r>
      <w:r>
        <w:rPr>
          <w:rFonts w:ascii="Arial" w:hAnsi="Arial" w:cs="Arial"/>
          <w:szCs w:val="24"/>
        </w:rPr>
        <w:t>C</w:t>
      </w:r>
      <w:r w:rsidRPr="00B468D6">
        <w:rPr>
          <w:rFonts w:ascii="Arial" w:hAnsi="Arial" w:cs="Arial"/>
          <w:szCs w:val="24"/>
        </w:rPr>
        <w:t>P pour l’ensemble des sous-projets inclus dans le Projet. La prestation inclura la proposition d’un dispositif appliquant « une approche centrée sur les survivants ».</w:t>
      </w:r>
    </w:p>
    <w:p w14:paraId="7A60B560" w14:textId="77777777" w:rsidR="00B468D6" w:rsidRPr="00B468D6" w:rsidRDefault="00B468D6" w:rsidP="00B468D6">
      <w:pPr>
        <w:jc w:val="both"/>
        <w:rPr>
          <w:rFonts w:ascii="Arial" w:hAnsi="Arial" w:cs="Arial"/>
          <w:szCs w:val="24"/>
        </w:rPr>
      </w:pPr>
      <w:r w:rsidRPr="00B468D6">
        <w:rPr>
          <w:rFonts w:ascii="Arial" w:hAnsi="Arial" w:cs="Arial"/>
          <w:szCs w:val="24"/>
        </w:rPr>
        <w:t xml:space="preserve">Le mécanisme se structure comme suit : </w:t>
      </w:r>
    </w:p>
    <w:p w14:paraId="6B1B19E2" w14:textId="77777777" w:rsidR="00B468D6" w:rsidRPr="00B468D6" w:rsidRDefault="00B468D6" w:rsidP="00687DD2">
      <w:pPr>
        <w:pStyle w:val="Paragraphedeliste"/>
        <w:numPr>
          <w:ilvl w:val="0"/>
          <w:numId w:val="33"/>
        </w:numPr>
        <w:spacing w:before="100" w:beforeAutospacing="1" w:after="100" w:afterAutospacing="1" w:line="240" w:lineRule="auto"/>
        <w:jc w:val="both"/>
        <w:rPr>
          <w:rFonts w:ascii="Arial" w:hAnsi="Arial" w:cs="Arial"/>
        </w:rPr>
      </w:pPr>
      <w:r w:rsidRPr="00B468D6">
        <w:rPr>
          <w:rFonts w:ascii="Arial" w:hAnsi="Arial" w:cs="Arial"/>
        </w:rPr>
        <w:t>Signalement</w:t>
      </w:r>
      <w:r w:rsidR="00C33C68">
        <w:rPr>
          <w:rFonts w:ascii="Arial" w:hAnsi="Arial" w:cs="Arial"/>
        </w:rPr>
        <w:t> ;</w:t>
      </w:r>
    </w:p>
    <w:p w14:paraId="09BCF69B" w14:textId="77777777" w:rsidR="00B468D6" w:rsidRPr="00B468D6" w:rsidRDefault="00B468D6" w:rsidP="00687DD2">
      <w:pPr>
        <w:pStyle w:val="Paragraphedeliste"/>
        <w:numPr>
          <w:ilvl w:val="0"/>
          <w:numId w:val="33"/>
        </w:numPr>
        <w:spacing w:before="100" w:beforeAutospacing="1" w:after="100" w:afterAutospacing="1" w:line="240" w:lineRule="auto"/>
        <w:jc w:val="both"/>
        <w:rPr>
          <w:rFonts w:ascii="Arial" w:hAnsi="Arial" w:cs="Arial"/>
        </w:rPr>
      </w:pPr>
      <w:r w:rsidRPr="00B468D6">
        <w:rPr>
          <w:rFonts w:ascii="Arial" w:hAnsi="Arial" w:cs="Arial"/>
        </w:rPr>
        <w:t>Enregistrement des plaintes ;</w:t>
      </w:r>
    </w:p>
    <w:p w14:paraId="314D4365" w14:textId="77777777" w:rsidR="00B468D6" w:rsidRPr="00B468D6" w:rsidRDefault="00B468D6" w:rsidP="00687DD2">
      <w:pPr>
        <w:pStyle w:val="Paragraphedeliste"/>
        <w:numPr>
          <w:ilvl w:val="0"/>
          <w:numId w:val="33"/>
        </w:numPr>
        <w:spacing w:before="100" w:beforeAutospacing="1" w:after="100" w:afterAutospacing="1" w:line="240" w:lineRule="auto"/>
        <w:jc w:val="both"/>
        <w:rPr>
          <w:rFonts w:ascii="Arial" w:hAnsi="Arial" w:cs="Arial"/>
        </w:rPr>
      </w:pPr>
      <w:r w:rsidRPr="00B468D6">
        <w:rPr>
          <w:rFonts w:ascii="Arial" w:hAnsi="Arial" w:cs="Arial"/>
        </w:rPr>
        <w:t>Traitement des plaintes et, selon le cas, prise en charge de la personne survivante et de l’enfant victime de violence</w:t>
      </w:r>
      <w:r w:rsidR="00C33C68">
        <w:rPr>
          <w:rFonts w:ascii="Arial" w:hAnsi="Arial" w:cs="Arial"/>
        </w:rPr>
        <w:t> ;</w:t>
      </w:r>
    </w:p>
    <w:p w14:paraId="7C1F3E2C" w14:textId="77777777" w:rsidR="00B468D6" w:rsidRPr="00B468D6" w:rsidRDefault="00B468D6" w:rsidP="00687DD2">
      <w:pPr>
        <w:pStyle w:val="Paragraphedeliste"/>
        <w:numPr>
          <w:ilvl w:val="0"/>
          <w:numId w:val="33"/>
        </w:numPr>
        <w:spacing w:before="100" w:beforeAutospacing="1" w:after="100" w:afterAutospacing="1" w:line="240" w:lineRule="auto"/>
        <w:jc w:val="both"/>
        <w:rPr>
          <w:rFonts w:ascii="Arial" w:hAnsi="Arial" w:cs="Arial"/>
        </w:rPr>
      </w:pPr>
      <w:r w:rsidRPr="00B468D6">
        <w:rPr>
          <w:rFonts w:ascii="Arial" w:hAnsi="Arial" w:cs="Arial"/>
        </w:rPr>
        <w:t>Suivi du traitement des plaintes.</w:t>
      </w:r>
    </w:p>
    <w:p w14:paraId="55A11EEF" w14:textId="77777777" w:rsidR="00B468D6" w:rsidRDefault="00B468D6" w:rsidP="00B468D6">
      <w:pPr>
        <w:pStyle w:val="Paragraphedeliste"/>
      </w:pPr>
    </w:p>
    <w:p w14:paraId="212CA7E5" w14:textId="77777777" w:rsidR="00B468D6" w:rsidRPr="00B468D6" w:rsidRDefault="00B468D6" w:rsidP="00687DD2">
      <w:pPr>
        <w:pStyle w:val="Paragraphedeliste"/>
        <w:numPr>
          <w:ilvl w:val="0"/>
          <w:numId w:val="35"/>
        </w:numPr>
        <w:spacing w:before="240" w:after="100" w:afterAutospacing="1" w:line="240" w:lineRule="auto"/>
        <w:ind w:left="567" w:hanging="431"/>
        <w:contextualSpacing w:val="0"/>
        <w:jc w:val="both"/>
        <w:rPr>
          <w:rFonts w:ascii="Arial" w:hAnsi="Arial" w:cs="Arial"/>
          <w:b/>
          <w:bCs/>
        </w:rPr>
      </w:pPr>
      <w:r w:rsidRPr="00B468D6">
        <w:rPr>
          <w:rFonts w:ascii="Arial" w:hAnsi="Arial" w:cs="Arial"/>
          <w:b/>
          <w:bCs/>
        </w:rPr>
        <w:t xml:space="preserve">Etape 1 : Signalement </w:t>
      </w:r>
    </w:p>
    <w:p w14:paraId="4931B357" w14:textId="77777777" w:rsidR="00B468D6" w:rsidRPr="00B468D6" w:rsidRDefault="00B468D6" w:rsidP="00B468D6">
      <w:pPr>
        <w:jc w:val="both"/>
        <w:rPr>
          <w:rFonts w:ascii="Arial" w:hAnsi="Arial" w:cs="Arial"/>
          <w:szCs w:val="24"/>
        </w:rPr>
      </w:pPr>
      <w:r w:rsidRPr="00B468D6">
        <w:rPr>
          <w:rFonts w:ascii="Arial" w:hAnsi="Arial" w:cs="Arial"/>
          <w:szCs w:val="24"/>
        </w:rPr>
        <w:t>On aura recours à des canaux simples et les plus adaptés au contexte communautaire local pour recueillir le signalement. La première porte d’entrée à privilégier est constituée par des parties prenantes et des acteurs locaux (autorités locales dont Fokontany et Communes). Ils sont constitués principalement par les acteurs qui travaillent à proximité au niveau local, principalement les associations et groupes de femmes auxquels les membres de la communauté aspirent une confiance et une certaine aisance pour les survivant</w:t>
      </w:r>
      <w:r w:rsidR="00C33C68">
        <w:rPr>
          <w:rFonts w:ascii="Arial" w:hAnsi="Arial" w:cs="Arial"/>
          <w:szCs w:val="24"/>
        </w:rPr>
        <w:t>s</w:t>
      </w:r>
      <w:r w:rsidRPr="00B468D6">
        <w:rPr>
          <w:rFonts w:ascii="Arial" w:hAnsi="Arial" w:cs="Arial"/>
          <w:szCs w:val="24"/>
        </w:rPr>
        <w:t>(e</w:t>
      </w:r>
      <w:r w:rsidR="00C33C68">
        <w:rPr>
          <w:rFonts w:ascii="Arial" w:hAnsi="Arial" w:cs="Arial"/>
          <w:szCs w:val="24"/>
        </w:rPr>
        <w:t>s</w:t>
      </w:r>
      <w:r w:rsidRPr="00B468D6">
        <w:rPr>
          <w:rFonts w:ascii="Arial" w:hAnsi="Arial" w:cs="Arial"/>
          <w:szCs w:val="24"/>
        </w:rPr>
        <w:t xml:space="preserve">) des actes de violence. </w:t>
      </w:r>
    </w:p>
    <w:p w14:paraId="12B9DE76" w14:textId="77777777" w:rsidR="00B468D6" w:rsidRPr="00B468D6" w:rsidRDefault="00B468D6" w:rsidP="00B468D6">
      <w:pPr>
        <w:jc w:val="both"/>
        <w:rPr>
          <w:rFonts w:ascii="Arial" w:hAnsi="Arial" w:cs="Arial"/>
          <w:szCs w:val="24"/>
        </w:rPr>
      </w:pPr>
      <w:r w:rsidRPr="00B468D6">
        <w:rPr>
          <w:rFonts w:ascii="Arial" w:hAnsi="Arial" w:cs="Arial"/>
          <w:szCs w:val="24"/>
        </w:rPr>
        <w:t>En outre, on mettra à disposition des travailleurs et des contractants et des communautés les deux</w:t>
      </w:r>
      <w:r>
        <w:rPr>
          <w:rFonts w:ascii="Arial" w:hAnsi="Arial" w:cs="Arial"/>
          <w:szCs w:val="24"/>
        </w:rPr>
        <w:t xml:space="preserve"> </w:t>
      </w:r>
      <w:r w:rsidRPr="00B468D6">
        <w:rPr>
          <w:rFonts w:ascii="Arial" w:hAnsi="Arial" w:cs="Arial"/>
          <w:szCs w:val="24"/>
        </w:rPr>
        <w:t>numéros verts et une</w:t>
      </w:r>
      <w:r>
        <w:rPr>
          <w:rFonts w:ascii="Arial" w:hAnsi="Arial" w:cs="Arial"/>
          <w:szCs w:val="24"/>
        </w:rPr>
        <w:t xml:space="preserve"> </w:t>
      </w:r>
      <w:r w:rsidRPr="00B468D6">
        <w:rPr>
          <w:rFonts w:ascii="Arial" w:hAnsi="Arial" w:cs="Arial"/>
          <w:szCs w:val="24"/>
        </w:rPr>
        <w:t>bo</w:t>
      </w:r>
      <w:r w:rsidR="00F411CB">
        <w:rPr>
          <w:rFonts w:ascii="Arial" w:hAnsi="Arial" w:cs="Arial"/>
          <w:szCs w:val="24"/>
        </w:rPr>
        <w:t>î</w:t>
      </w:r>
      <w:r w:rsidRPr="00B468D6">
        <w:rPr>
          <w:rFonts w:ascii="Arial" w:hAnsi="Arial" w:cs="Arial"/>
          <w:szCs w:val="24"/>
        </w:rPr>
        <w:t>te à doléances.</w:t>
      </w:r>
    </w:p>
    <w:p w14:paraId="7F97FDC6" w14:textId="77777777" w:rsidR="00B468D6" w:rsidRPr="00B468D6" w:rsidRDefault="00B468D6" w:rsidP="00B468D6">
      <w:pPr>
        <w:jc w:val="both"/>
        <w:rPr>
          <w:rFonts w:ascii="Arial" w:hAnsi="Arial" w:cs="Arial"/>
          <w:szCs w:val="24"/>
        </w:rPr>
      </w:pPr>
      <w:r w:rsidRPr="00B468D6">
        <w:rPr>
          <w:rFonts w:ascii="Arial" w:hAnsi="Arial" w:cs="Arial"/>
          <w:szCs w:val="24"/>
        </w:rPr>
        <w:t xml:space="preserve">Les signalements peuvent être </w:t>
      </w:r>
      <w:r w:rsidR="00994491">
        <w:rPr>
          <w:rFonts w:ascii="Arial" w:hAnsi="Arial" w:cs="Arial"/>
          <w:szCs w:val="24"/>
        </w:rPr>
        <w:t xml:space="preserve">faits </w:t>
      </w:r>
      <w:r w:rsidRPr="00B468D6">
        <w:rPr>
          <w:rFonts w:ascii="Arial" w:hAnsi="Arial" w:cs="Arial"/>
          <w:szCs w:val="24"/>
        </w:rPr>
        <w:t xml:space="preserve">par écrit, par téléphone, par courrier électronique, ou verbalement. </w:t>
      </w:r>
    </w:p>
    <w:p w14:paraId="04EF9BE1" w14:textId="77777777" w:rsidR="00B468D6" w:rsidRPr="00B468D6" w:rsidRDefault="00B468D6" w:rsidP="00B468D6">
      <w:pPr>
        <w:jc w:val="both"/>
        <w:rPr>
          <w:rFonts w:ascii="Arial" w:hAnsi="Arial" w:cs="Arial"/>
          <w:szCs w:val="24"/>
        </w:rPr>
      </w:pPr>
      <w:r w:rsidRPr="00B468D6">
        <w:rPr>
          <w:rFonts w:ascii="Arial" w:hAnsi="Arial" w:cs="Arial"/>
          <w:szCs w:val="24"/>
        </w:rPr>
        <w:t>L'accessibilité et la sécurité de ces canaux doivent être validées via des consultations avec les femmes et les filles de la communauté.</w:t>
      </w:r>
    </w:p>
    <w:p w14:paraId="773BBF75" w14:textId="77777777" w:rsidR="00B468D6" w:rsidRPr="00B468D6" w:rsidRDefault="00B468D6" w:rsidP="00687DD2">
      <w:pPr>
        <w:pStyle w:val="Paragraphedeliste"/>
        <w:numPr>
          <w:ilvl w:val="0"/>
          <w:numId w:val="35"/>
        </w:numPr>
        <w:spacing w:before="240" w:after="100" w:afterAutospacing="1" w:line="240" w:lineRule="auto"/>
        <w:ind w:left="567" w:hanging="431"/>
        <w:contextualSpacing w:val="0"/>
        <w:jc w:val="both"/>
        <w:rPr>
          <w:rFonts w:ascii="Arial" w:hAnsi="Arial" w:cs="Arial"/>
          <w:b/>
          <w:bCs/>
        </w:rPr>
      </w:pPr>
      <w:r w:rsidRPr="00B468D6">
        <w:rPr>
          <w:rFonts w:ascii="Arial" w:hAnsi="Arial" w:cs="Arial"/>
          <w:b/>
          <w:bCs/>
        </w:rPr>
        <w:t>Etape 2 : Enregistrement de plaintes</w:t>
      </w:r>
    </w:p>
    <w:p w14:paraId="4A2CD899" w14:textId="77777777" w:rsidR="00B468D6" w:rsidRPr="00B468D6" w:rsidRDefault="00B468D6" w:rsidP="00B468D6">
      <w:pPr>
        <w:jc w:val="both"/>
        <w:rPr>
          <w:rFonts w:ascii="Arial" w:hAnsi="Arial" w:cs="Arial"/>
          <w:szCs w:val="24"/>
        </w:rPr>
      </w:pPr>
      <w:r w:rsidRPr="00B468D6">
        <w:rPr>
          <w:rFonts w:ascii="Arial" w:hAnsi="Arial" w:cs="Arial"/>
          <w:szCs w:val="24"/>
        </w:rPr>
        <w:t>La deuxième étape consiste à l’enregistrement des plaintes, tout en respectant le principe de confidentialité. Il est recommandé un enregistrement séparé des plaintes liées au VBG. Par ailleurs, on doit s’assurer que toute plainte capturée par le mécanisme soit suivie jusqu’à sa résolution afin de pouvoir la clôturer.</w:t>
      </w:r>
    </w:p>
    <w:p w14:paraId="357E5168" w14:textId="77777777" w:rsidR="00B468D6" w:rsidRPr="00B468D6" w:rsidRDefault="00B468D6" w:rsidP="00B468D6">
      <w:pPr>
        <w:jc w:val="both"/>
        <w:rPr>
          <w:rFonts w:ascii="Arial" w:hAnsi="Arial" w:cs="Arial"/>
          <w:szCs w:val="24"/>
        </w:rPr>
      </w:pPr>
      <w:r w:rsidRPr="00B468D6">
        <w:rPr>
          <w:rFonts w:ascii="Arial" w:hAnsi="Arial" w:cs="Arial"/>
          <w:szCs w:val="24"/>
        </w:rPr>
        <w:t>Le processus d'enregistrement des plaintes doit permettre aux survivant(e)s de prendre une décision éclairée sur la progression de leur plainte en :</w:t>
      </w:r>
    </w:p>
    <w:p w14:paraId="4A05C4DE" w14:textId="77777777" w:rsidR="00B468D6" w:rsidRPr="00B468D6" w:rsidRDefault="00994491" w:rsidP="00687DD2">
      <w:pPr>
        <w:pStyle w:val="Paragraphedeliste"/>
        <w:numPr>
          <w:ilvl w:val="0"/>
          <w:numId w:val="32"/>
        </w:numPr>
        <w:spacing w:before="100" w:beforeAutospacing="1" w:after="100" w:afterAutospacing="1" w:line="240" w:lineRule="auto"/>
        <w:jc w:val="both"/>
        <w:rPr>
          <w:rFonts w:ascii="Arial" w:hAnsi="Arial" w:cs="Arial"/>
        </w:rPr>
      </w:pPr>
      <w:r>
        <w:rPr>
          <w:rFonts w:ascii="Arial" w:hAnsi="Arial" w:cs="Arial"/>
        </w:rPr>
        <w:t>S</w:t>
      </w:r>
      <w:r w:rsidR="00B468D6" w:rsidRPr="00B468D6">
        <w:rPr>
          <w:rFonts w:ascii="Arial" w:hAnsi="Arial" w:cs="Arial"/>
        </w:rPr>
        <w:t xml:space="preserve">'assurant que </w:t>
      </w:r>
      <w:r w:rsidR="00F411CB">
        <w:rPr>
          <w:rFonts w:ascii="Arial" w:hAnsi="Arial" w:cs="Arial"/>
        </w:rPr>
        <w:t>le/</w:t>
      </w:r>
      <w:r w:rsidR="00B468D6" w:rsidRPr="00B468D6">
        <w:rPr>
          <w:rFonts w:ascii="Arial" w:hAnsi="Arial" w:cs="Arial"/>
        </w:rPr>
        <w:t>l</w:t>
      </w:r>
      <w:r w:rsidR="00F411CB">
        <w:rPr>
          <w:rFonts w:ascii="Arial" w:hAnsi="Arial" w:cs="Arial"/>
        </w:rPr>
        <w:t>a</w:t>
      </w:r>
      <w:r w:rsidR="00B468D6" w:rsidRPr="00B468D6">
        <w:rPr>
          <w:rFonts w:ascii="Arial" w:hAnsi="Arial" w:cs="Arial"/>
        </w:rPr>
        <w:t xml:space="preserve"> survivant</w:t>
      </w:r>
      <w:r w:rsidR="00F411CB">
        <w:rPr>
          <w:rFonts w:ascii="Arial" w:hAnsi="Arial" w:cs="Arial"/>
        </w:rPr>
        <w:t>(e)</w:t>
      </w:r>
      <w:r w:rsidR="00B468D6" w:rsidRPr="00B468D6">
        <w:rPr>
          <w:rFonts w:ascii="Arial" w:hAnsi="Arial" w:cs="Arial"/>
        </w:rPr>
        <w:t>/plaignant</w:t>
      </w:r>
      <w:r w:rsidR="00F411CB">
        <w:rPr>
          <w:rFonts w:ascii="Arial" w:hAnsi="Arial" w:cs="Arial"/>
        </w:rPr>
        <w:t>(e)</w:t>
      </w:r>
      <w:r w:rsidR="00B468D6" w:rsidRPr="00B468D6">
        <w:rPr>
          <w:rFonts w:ascii="Arial" w:hAnsi="Arial" w:cs="Arial"/>
        </w:rPr>
        <w:t xml:space="preserve"> comprend toutes les procédures de traitement de la plainte ;</w:t>
      </w:r>
    </w:p>
    <w:p w14:paraId="5A5E5A6E" w14:textId="77777777" w:rsidR="00B468D6" w:rsidRPr="00B468D6" w:rsidRDefault="00994491" w:rsidP="00687DD2">
      <w:pPr>
        <w:pStyle w:val="Paragraphedeliste"/>
        <w:numPr>
          <w:ilvl w:val="0"/>
          <w:numId w:val="32"/>
        </w:numPr>
        <w:spacing w:before="100" w:beforeAutospacing="1" w:after="100" w:afterAutospacing="1" w:line="240" w:lineRule="auto"/>
        <w:jc w:val="both"/>
        <w:rPr>
          <w:rFonts w:ascii="Arial" w:hAnsi="Arial" w:cs="Arial"/>
        </w:rPr>
      </w:pPr>
      <w:r>
        <w:rPr>
          <w:rFonts w:ascii="Arial" w:hAnsi="Arial" w:cs="Arial"/>
        </w:rPr>
        <w:t>V</w:t>
      </w:r>
      <w:r w:rsidR="00B468D6" w:rsidRPr="00B468D6">
        <w:rPr>
          <w:rFonts w:ascii="Arial" w:hAnsi="Arial" w:cs="Arial"/>
        </w:rPr>
        <w:t xml:space="preserve">érifiant et respectant l'opinion </w:t>
      </w:r>
      <w:r w:rsidR="00F411CB">
        <w:rPr>
          <w:rFonts w:ascii="Arial" w:hAnsi="Arial" w:cs="Arial"/>
        </w:rPr>
        <w:t>du/</w:t>
      </w:r>
      <w:r w:rsidR="00B468D6" w:rsidRPr="00B468D6">
        <w:rPr>
          <w:rFonts w:ascii="Arial" w:hAnsi="Arial" w:cs="Arial"/>
        </w:rPr>
        <w:t>de la survivant</w:t>
      </w:r>
      <w:r w:rsidR="00F411CB">
        <w:rPr>
          <w:rFonts w:ascii="Arial" w:hAnsi="Arial" w:cs="Arial"/>
        </w:rPr>
        <w:t>(</w:t>
      </w:r>
      <w:r w:rsidR="00B468D6" w:rsidRPr="00B468D6">
        <w:rPr>
          <w:rFonts w:ascii="Arial" w:hAnsi="Arial" w:cs="Arial"/>
        </w:rPr>
        <w:t>e</w:t>
      </w:r>
      <w:r w:rsidR="00F411CB">
        <w:rPr>
          <w:rFonts w:ascii="Arial" w:hAnsi="Arial" w:cs="Arial"/>
        </w:rPr>
        <w:t>)</w:t>
      </w:r>
      <w:r w:rsidR="00B468D6" w:rsidRPr="00B468D6">
        <w:rPr>
          <w:rFonts w:ascii="Arial" w:hAnsi="Arial" w:cs="Arial"/>
        </w:rPr>
        <w:t xml:space="preserve"> sur la manière dont </w:t>
      </w:r>
      <w:r w:rsidR="00F411CB">
        <w:rPr>
          <w:rFonts w:ascii="Arial" w:hAnsi="Arial" w:cs="Arial"/>
        </w:rPr>
        <w:t>il/</w:t>
      </w:r>
      <w:r w:rsidR="00B468D6" w:rsidRPr="00B468D6">
        <w:rPr>
          <w:rFonts w:ascii="Arial" w:hAnsi="Arial" w:cs="Arial"/>
        </w:rPr>
        <w:t>elle souhaite que la plainte soit traitée et sur le résultat qu'</w:t>
      </w:r>
      <w:r w:rsidR="00F411CB">
        <w:rPr>
          <w:rFonts w:ascii="Arial" w:hAnsi="Arial" w:cs="Arial"/>
        </w:rPr>
        <w:t>il/</w:t>
      </w:r>
      <w:r w:rsidR="00B468D6" w:rsidRPr="00B468D6">
        <w:rPr>
          <w:rFonts w:ascii="Arial" w:hAnsi="Arial" w:cs="Arial"/>
        </w:rPr>
        <w:t>elle recherche ;</w:t>
      </w:r>
    </w:p>
    <w:p w14:paraId="70C0095F" w14:textId="77777777" w:rsidR="00B468D6" w:rsidRPr="00B468D6" w:rsidRDefault="00994491" w:rsidP="00687DD2">
      <w:pPr>
        <w:pStyle w:val="Paragraphedeliste"/>
        <w:numPr>
          <w:ilvl w:val="0"/>
          <w:numId w:val="32"/>
        </w:numPr>
        <w:spacing w:before="100" w:beforeAutospacing="1" w:after="100" w:afterAutospacing="1" w:line="240" w:lineRule="auto"/>
        <w:jc w:val="both"/>
        <w:rPr>
          <w:rFonts w:ascii="Arial" w:hAnsi="Arial" w:cs="Arial"/>
        </w:rPr>
      </w:pPr>
      <w:r>
        <w:rPr>
          <w:rFonts w:ascii="Arial" w:hAnsi="Arial" w:cs="Arial"/>
        </w:rPr>
        <w:t>N</w:t>
      </w:r>
      <w:r w:rsidR="00B468D6" w:rsidRPr="00B468D6">
        <w:rPr>
          <w:rFonts w:ascii="Arial" w:hAnsi="Arial" w:cs="Arial"/>
        </w:rPr>
        <w:t>e rendant</w:t>
      </w:r>
      <w:r w:rsidR="00B468D6">
        <w:rPr>
          <w:rFonts w:ascii="Arial" w:hAnsi="Arial" w:cs="Arial"/>
        </w:rPr>
        <w:t xml:space="preserve"> </w:t>
      </w:r>
      <w:r w:rsidR="00B468D6" w:rsidRPr="00B468D6">
        <w:rPr>
          <w:rFonts w:ascii="Arial" w:hAnsi="Arial" w:cs="Arial"/>
        </w:rPr>
        <w:t>pas obligatoire le signalement aux autorités locales (police, cellule d’écoute) sans le consentement éclairé de la victime, sauf si requis par les lois locales (par exemple, agression sexuelle d'un mineur).</w:t>
      </w:r>
    </w:p>
    <w:p w14:paraId="1234726F" w14:textId="77777777" w:rsidR="00B468D6" w:rsidRPr="00B468D6" w:rsidRDefault="00B468D6" w:rsidP="00B468D6">
      <w:pPr>
        <w:jc w:val="both"/>
        <w:rPr>
          <w:rFonts w:ascii="Arial" w:hAnsi="Arial" w:cs="Arial"/>
          <w:szCs w:val="24"/>
        </w:rPr>
      </w:pPr>
      <w:r w:rsidRPr="00B468D6">
        <w:rPr>
          <w:rFonts w:ascii="Arial" w:hAnsi="Arial" w:cs="Arial"/>
          <w:szCs w:val="24"/>
        </w:rPr>
        <w:t xml:space="preserve">Les signalements, impliquant des personnes liées à la mise en œuvre du Projet, doivent être transmis auprès des responsables de </w:t>
      </w:r>
      <w:r w:rsidR="00DA2EC5">
        <w:rPr>
          <w:rFonts w:ascii="Arial" w:hAnsi="Arial" w:cs="Arial"/>
          <w:szCs w:val="24"/>
        </w:rPr>
        <w:t xml:space="preserve">la </w:t>
      </w:r>
      <w:r w:rsidRPr="00B468D6">
        <w:rPr>
          <w:rFonts w:ascii="Arial" w:hAnsi="Arial" w:cs="Arial"/>
          <w:szCs w:val="24"/>
        </w:rPr>
        <w:t>VBG dans les 24 heures, tout en préservant la confidentialité du</w:t>
      </w:r>
      <w:r w:rsidR="00DA2EC5">
        <w:rPr>
          <w:rFonts w:ascii="Arial" w:hAnsi="Arial" w:cs="Arial"/>
          <w:szCs w:val="24"/>
        </w:rPr>
        <w:t>/de la</w:t>
      </w:r>
      <w:r w:rsidRPr="00B468D6">
        <w:rPr>
          <w:rFonts w:ascii="Arial" w:hAnsi="Arial" w:cs="Arial"/>
          <w:szCs w:val="24"/>
        </w:rPr>
        <w:t xml:space="preserve"> plaignant</w:t>
      </w:r>
      <w:r w:rsidR="00DA2EC5">
        <w:rPr>
          <w:rFonts w:ascii="Arial" w:hAnsi="Arial" w:cs="Arial"/>
          <w:szCs w:val="24"/>
        </w:rPr>
        <w:t>(e)</w:t>
      </w:r>
      <w:r w:rsidRPr="00B468D6">
        <w:rPr>
          <w:rFonts w:ascii="Arial" w:hAnsi="Arial" w:cs="Arial"/>
          <w:szCs w:val="24"/>
        </w:rPr>
        <w:t xml:space="preserve"> et de tous les contenus de la plainte. </w:t>
      </w:r>
    </w:p>
    <w:p w14:paraId="0116B59D" w14:textId="77777777" w:rsidR="00B468D6" w:rsidRPr="00B468D6" w:rsidRDefault="00B468D6" w:rsidP="00B468D6">
      <w:pPr>
        <w:jc w:val="both"/>
        <w:rPr>
          <w:rFonts w:ascii="Arial" w:hAnsi="Arial" w:cs="Arial"/>
          <w:szCs w:val="24"/>
        </w:rPr>
      </w:pPr>
      <w:r w:rsidRPr="00B468D6">
        <w:rPr>
          <w:rFonts w:ascii="Arial" w:hAnsi="Arial" w:cs="Arial"/>
          <w:szCs w:val="24"/>
        </w:rPr>
        <w:t>Le dossier sera transmis au service spécialisé, qui va traiter l’affaire en associant les services déconcentrés de la police conformément aux Lois en vigueur.</w:t>
      </w:r>
    </w:p>
    <w:p w14:paraId="5F41FEBB" w14:textId="77777777" w:rsidR="00B468D6" w:rsidRPr="00B468D6" w:rsidRDefault="00B468D6" w:rsidP="00687DD2">
      <w:pPr>
        <w:pStyle w:val="Paragraphedeliste"/>
        <w:numPr>
          <w:ilvl w:val="0"/>
          <w:numId w:val="35"/>
        </w:numPr>
        <w:spacing w:before="240" w:after="100" w:afterAutospacing="1" w:line="240" w:lineRule="auto"/>
        <w:ind w:left="567" w:hanging="431"/>
        <w:contextualSpacing w:val="0"/>
        <w:jc w:val="both"/>
        <w:rPr>
          <w:rFonts w:ascii="Arial" w:hAnsi="Arial" w:cs="Arial"/>
          <w:b/>
          <w:bCs/>
        </w:rPr>
      </w:pPr>
      <w:r w:rsidRPr="00B468D6">
        <w:rPr>
          <w:rFonts w:ascii="Arial" w:hAnsi="Arial" w:cs="Arial"/>
          <w:b/>
          <w:bCs/>
        </w:rPr>
        <w:t xml:space="preserve">Etape 3 : Prise en charge des survivant(e)s </w:t>
      </w:r>
    </w:p>
    <w:p w14:paraId="01D63CB5" w14:textId="77777777" w:rsidR="00B468D6" w:rsidRPr="00B468D6" w:rsidRDefault="00B468D6" w:rsidP="00B468D6">
      <w:pPr>
        <w:jc w:val="both"/>
        <w:rPr>
          <w:rFonts w:ascii="Arial" w:hAnsi="Arial" w:cs="Arial"/>
          <w:szCs w:val="24"/>
        </w:rPr>
      </w:pPr>
      <w:r w:rsidRPr="00B468D6">
        <w:rPr>
          <w:rFonts w:ascii="Arial" w:hAnsi="Arial" w:cs="Arial"/>
          <w:szCs w:val="24"/>
        </w:rPr>
        <w:t>Toutes</w:t>
      </w:r>
      <w:r w:rsidR="00DA2EC5">
        <w:rPr>
          <w:rFonts w:ascii="Arial" w:hAnsi="Arial" w:cs="Arial"/>
          <w:szCs w:val="24"/>
        </w:rPr>
        <w:t>/tous</w:t>
      </w:r>
      <w:r w:rsidRPr="00B468D6">
        <w:rPr>
          <w:rFonts w:ascii="Arial" w:hAnsi="Arial" w:cs="Arial"/>
          <w:szCs w:val="24"/>
        </w:rPr>
        <w:t xml:space="preserve"> les survivant(e)s doivent être informé(e)s des services liés aux </w:t>
      </w:r>
      <w:r w:rsidR="00610C00">
        <w:rPr>
          <w:rFonts w:ascii="Arial" w:hAnsi="Arial" w:cs="Arial"/>
          <w:szCs w:val="24"/>
        </w:rPr>
        <w:t xml:space="preserve">VBG </w:t>
      </w:r>
      <w:r w:rsidRPr="00B468D6">
        <w:rPr>
          <w:rFonts w:ascii="Arial" w:hAnsi="Arial" w:cs="Arial"/>
          <w:szCs w:val="24"/>
        </w:rPr>
        <w:t xml:space="preserve">disponibles à ce stade et orientées vers les services en fonction de leurs besoins et souhaits. Ce renvoi doit avoir lieu </w:t>
      </w:r>
      <w:r w:rsidR="00610C00">
        <w:rPr>
          <w:rFonts w:ascii="Arial" w:hAnsi="Arial" w:cs="Arial"/>
          <w:szCs w:val="24"/>
        </w:rPr>
        <w:t>dès qu'un incident de VBG</w:t>
      </w:r>
      <w:r w:rsidRPr="00B468D6">
        <w:rPr>
          <w:rFonts w:ascii="Arial" w:hAnsi="Arial" w:cs="Arial"/>
          <w:szCs w:val="24"/>
        </w:rPr>
        <w:t xml:space="preserve"> est signalé, qu'une plainte formelle soit ou non enregistrée dans le MGP et avant que toute enquête ne soit menée.</w:t>
      </w:r>
    </w:p>
    <w:p w14:paraId="12E3927F" w14:textId="77777777" w:rsidR="00B468D6" w:rsidRPr="00B468D6" w:rsidRDefault="00B468D6" w:rsidP="00B468D6">
      <w:pPr>
        <w:jc w:val="both"/>
        <w:rPr>
          <w:rFonts w:ascii="Arial" w:hAnsi="Arial" w:cs="Arial"/>
          <w:szCs w:val="24"/>
        </w:rPr>
      </w:pPr>
      <w:r w:rsidRPr="00B468D6">
        <w:rPr>
          <w:rFonts w:ascii="Arial" w:hAnsi="Arial" w:cs="Arial"/>
          <w:szCs w:val="24"/>
        </w:rPr>
        <w:t>Il sera établi un protocole d’accord entre un ou de organismes spécialisés et l’U</w:t>
      </w:r>
      <w:r w:rsidR="00994491">
        <w:rPr>
          <w:rFonts w:ascii="Arial" w:hAnsi="Arial" w:cs="Arial"/>
          <w:szCs w:val="24"/>
        </w:rPr>
        <w:t>C</w:t>
      </w:r>
      <w:r w:rsidRPr="00B468D6">
        <w:rPr>
          <w:rFonts w:ascii="Arial" w:hAnsi="Arial" w:cs="Arial"/>
          <w:szCs w:val="24"/>
        </w:rPr>
        <w:t>P, pour la prise en charge des cas de VBG, depuis le signalement, la prise en charge sanitaire, la prise en charge psychologique et l’accueil proprement dit.</w:t>
      </w:r>
    </w:p>
    <w:p w14:paraId="3F77C218" w14:textId="77777777" w:rsidR="00B468D6" w:rsidRPr="00B468D6" w:rsidRDefault="00B468D6" w:rsidP="00B468D6">
      <w:pPr>
        <w:jc w:val="both"/>
        <w:rPr>
          <w:rFonts w:ascii="Arial" w:hAnsi="Arial" w:cs="Arial"/>
          <w:szCs w:val="24"/>
        </w:rPr>
      </w:pPr>
      <w:r w:rsidRPr="00B468D6">
        <w:rPr>
          <w:rFonts w:ascii="Arial" w:hAnsi="Arial" w:cs="Arial"/>
          <w:szCs w:val="24"/>
        </w:rPr>
        <w:t xml:space="preserve">Les signalements peuvent être également recueillis auprès des responsables de ces organismes spécialisés. </w:t>
      </w:r>
    </w:p>
    <w:p w14:paraId="705DE6C9" w14:textId="77777777" w:rsidR="00B468D6" w:rsidRPr="00B468D6" w:rsidRDefault="00B468D6" w:rsidP="00687DD2">
      <w:pPr>
        <w:pStyle w:val="Paragraphedeliste"/>
        <w:numPr>
          <w:ilvl w:val="0"/>
          <w:numId w:val="35"/>
        </w:numPr>
        <w:spacing w:before="240" w:after="100" w:afterAutospacing="1" w:line="240" w:lineRule="auto"/>
        <w:ind w:left="567" w:hanging="431"/>
        <w:contextualSpacing w:val="0"/>
        <w:jc w:val="both"/>
        <w:rPr>
          <w:rFonts w:ascii="Arial" w:hAnsi="Arial" w:cs="Arial"/>
          <w:b/>
          <w:bCs/>
        </w:rPr>
      </w:pPr>
      <w:r w:rsidRPr="00B468D6">
        <w:rPr>
          <w:rFonts w:ascii="Arial" w:hAnsi="Arial" w:cs="Arial"/>
          <w:b/>
          <w:bCs/>
        </w:rPr>
        <w:t>Etape 4 : Suivi de traitement de plaintes</w:t>
      </w:r>
    </w:p>
    <w:p w14:paraId="5D6BA594" w14:textId="77777777" w:rsidR="00B468D6" w:rsidRPr="00B468D6" w:rsidRDefault="00B468D6" w:rsidP="00B468D6">
      <w:pPr>
        <w:jc w:val="both"/>
        <w:rPr>
          <w:rFonts w:ascii="Arial" w:hAnsi="Arial" w:cs="Arial"/>
          <w:szCs w:val="24"/>
        </w:rPr>
      </w:pPr>
      <w:r w:rsidRPr="00B468D6">
        <w:rPr>
          <w:rFonts w:ascii="Arial" w:hAnsi="Arial" w:cs="Arial"/>
          <w:szCs w:val="24"/>
        </w:rPr>
        <w:t>Le/la Spécialiste VBG assure le suivi de traitement et de la gestion de toutes les plaintes. Systématiquement, il/elle établit le rapport de l’action engagée.</w:t>
      </w:r>
    </w:p>
    <w:p w14:paraId="05BC02A6" w14:textId="77777777" w:rsidR="00B468D6" w:rsidRPr="00B468D6" w:rsidRDefault="00B468D6" w:rsidP="00B468D6">
      <w:pPr>
        <w:jc w:val="both"/>
        <w:rPr>
          <w:rFonts w:ascii="Arial" w:hAnsi="Arial" w:cs="Arial"/>
          <w:szCs w:val="24"/>
        </w:rPr>
      </w:pPr>
      <w:r w:rsidRPr="00B468D6">
        <w:rPr>
          <w:rFonts w:ascii="Arial" w:hAnsi="Arial" w:cs="Arial"/>
          <w:szCs w:val="24"/>
        </w:rPr>
        <w:t xml:space="preserve">En vue de l’application des manquements aux codes de conduite, le Plan d’action </w:t>
      </w:r>
      <w:r w:rsidR="00610C00">
        <w:rPr>
          <w:rFonts w:ascii="Arial" w:hAnsi="Arial" w:cs="Arial"/>
          <w:szCs w:val="24"/>
        </w:rPr>
        <w:t>VBG</w:t>
      </w:r>
      <w:r w:rsidRPr="00B468D6">
        <w:rPr>
          <w:rFonts w:ascii="Arial" w:hAnsi="Arial" w:cs="Arial"/>
          <w:szCs w:val="24"/>
        </w:rPr>
        <w:t xml:space="preserve"> sera assorti d’un cadre de redevabilité et de réponse. Ce cadre détaille la manière dont les allégations d</w:t>
      </w:r>
      <w:r w:rsidR="00610C00">
        <w:rPr>
          <w:rFonts w:ascii="Arial" w:hAnsi="Arial" w:cs="Arial"/>
          <w:szCs w:val="24"/>
        </w:rPr>
        <w:t xml:space="preserve">e VBG </w:t>
      </w:r>
      <w:r w:rsidRPr="00B468D6">
        <w:rPr>
          <w:rFonts w:ascii="Arial" w:hAnsi="Arial" w:cs="Arial"/>
          <w:szCs w:val="24"/>
        </w:rPr>
        <w:t>seront traitées (procédures d'enquête) et les mesures disciplinaires en cas de violation du code de conduite par les travailleurs. Entre autres, le cadre :</w:t>
      </w:r>
    </w:p>
    <w:p w14:paraId="18BE52A7" w14:textId="77777777" w:rsidR="00B468D6" w:rsidRPr="00610C00" w:rsidRDefault="00994491" w:rsidP="00687DD2">
      <w:pPr>
        <w:pStyle w:val="Paragraphedeliste"/>
        <w:numPr>
          <w:ilvl w:val="0"/>
          <w:numId w:val="34"/>
        </w:numPr>
        <w:spacing w:before="100" w:beforeAutospacing="1" w:after="100" w:afterAutospacing="1" w:line="240" w:lineRule="auto"/>
        <w:jc w:val="both"/>
        <w:rPr>
          <w:rFonts w:ascii="Arial" w:hAnsi="Arial" w:cs="Arial"/>
        </w:rPr>
      </w:pPr>
      <w:r>
        <w:rPr>
          <w:rFonts w:ascii="Arial" w:hAnsi="Arial" w:cs="Arial"/>
        </w:rPr>
        <w:t>C</w:t>
      </w:r>
      <w:r w:rsidR="00B468D6" w:rsidRPr="00610C00">
        <w:rPr>
          <w:rFonts w:ascii="Arial" w:hAnsi="Arial" w:cs="Arial"/>
        </w:rPr>
        <w:t>omprend un protocole sur l'éventail des mesures disciplinaires possibles en cas de violation du Code de conduite par les travailleurs ;</w:t>
      </w:r>
    </w:p>
    <w:p w14:paraId="58759AEC" w14:textId="77777777" w:rsidR="00B468D6" w:rsidRPr="00610C00" w:rsidRDefault="00994491" w:rsidP="00687DD2">
      <w:pPr>
        <w:pStyle w:val="Paragraphedeliste"/>
        <w:numPr>
          <w:ilvl w:val="0"/>
          <w:numId w:val="34"/>
        </w:numPr>
        <w:spacing w:before="100" w:beforeAutospacing="1" w:after="100" w:afterAutospacing="1" w:line="240" w:lineRule="auto"/>
        <w:jc w:val="both"/>
        <w:rPr>
          <w:rFonts w:ascii="Arial" w:hAnsi="Arial" w:cs="Arial"/>
        </w:rPr>
      </w:pPr>
      <w:r>
        <w:rPr>
          <w:rFonts w:ascii="Arial" w:hAnsi="Arial" w:cs="Arial"/>
        </w:rPr>
        <w:t>A</w:t>
      </w:r>
      <w:r w:rsidR="00B468D6" w:rsidRPr="00610C00">
        <w:rPr>
          <w:rFonts w:ascii="Arial" w:hAnsi="Arial" w:cs="Arial"/>
        </w:rPr>
        <w:t>ssure la sécurité des survivant</w:t>
      </w:r>
      <w:r>
        <w:rPr>
          <w:rFonts w:ascii="Arial" w:hAnsi="Arial" w:cs="Arial"/>
        </w:rPr>
        <w:t>(e)</w:t>
      </w:r>
      <w:r w:rsidR="00B468D6" w:rsidRPr="00610C00">
        <w:rPr>
          <w:rFonts w:ascii="Arial" w:hAnsi="Arial" w:cs="Arial"/>
        </w:rPr>
        <w:t>s, de leurs familles et de leurs communautés contre la violence ou les menaces ;</w:t>
      </w:r>
    </w:p>
    <w:p w14:paraId="32C529CD" w14:textId="77777777" w:rsidR="00B468D6" w:rsidRPr="00610C00" w:rsidRDefault="00994491" w:rsidP="00687DD2">
      <w:pPr>
        <w:pStyle w:val="Paragraphedeliste"/>
        <w:numPr>
          <w:ilvl w:val="0"/>
          <w:numId w:val="34"/>
        </w:numPr>
        <w:spacing w:before="100" w:beforeAutospacing="1" w:after="100" w:afterAutospacing="1" w:line="240" w:lineRule="auto"/>
        <w:jc w:val="both"/>
        <w:rPr>
          <w:rFonts w:ascii="Arial" w:hAnsi="Arial" w:cs="Arial"/>
        </w:rPr>
      </w:pPr>
      <w:r>
        <w:rPr>
          <w:rFonts w:ascii="Arial" w:hAnsi="Arial" w:cs="Arial"/>
        </w:rPr>
        <w:t>M</w:t>
      </w:r>
      <w:r w:rsidR="00B468D6" w:rsidRPr="00610C00">
        <w:rPr>
          <w:rFonts w:ascii="Arial" w:hAnsi="Arial" w:cs="Arial"/>
        </w:rPr>
        <w:t xml:space="preserve">et à disposition des mesures de précaution urgentes lorsqu'un rapport </w:t>
      </w:r>
      <w:r w:rsidR="00610C00">
        <w:rPr>
          <w:rFonts w:ascii="Arial" w:hAnsi="Arial" w:cs="Arial"/>
        </w:rPr>
        <w:t>de VBG</w:t>
      </w:r>
      <w:r w:rsidR="00B468D6" w:rsidRPr="00610C00">
        <w:rPr>
          <w:rFonts w:ascii="Arial" w:hAnsi="Arial" w:cs="Arial"/>
        </w:rPr>
        <w:t xml:space="preserve"> est reçu dans l'attente d'une enquête ;</w:t>
      </w:r>
    </w:p>
    <w:p w14:paraId="50E15DAF" w14:textId="77777777" w:rsidR="00B468D6" w:rsidRPr="00610C00" w:rsidRDefault="00994491" w:rsidP="00687DD2">
      <w:pPr>
        <w:pStyle w:val="Paragraphedeliste"/>
        <w:numPr>
          <w:ilvl w:val="0"/>
          <w:numId w:val="34"/>
        </w:numPr>
        <w:spacing w:before="100" w:beforeAutospacing="1" w:after="100" w:afterAutospacing="1" w:line="240" w:lineRule="auto"/>
        <w:jc w:val="both"/>
        <w:rPr>
          <w:rFonts w:ascii="Arial" w:hAnsi="Arial" w:cs="Arial"/>
        </w:rPr>
      </w:pPr>
      <w:r>
        <w:rPr>
          <w:rFonts w:ascii="Arial" w:hAnsi="Arial" w:cs="Arial"/>
        </w:rPr>
        <w:t>P</w:t>
      </w:r>
      <w:r w:rsidR="00B468D6" w:rsidRPr="00610C00">
        <w:rPr>
          <w:rFonts w:ascii="Arial" w:hAnsi="Arial" w:cs="Arial"/>
        </w:rPr>
        <w:t>révoit une tolérance zéro pour les mesures de rétorsion par les auteurs présumés, sa famille, ses amis, ses collègues ou ses agents. Personne ne devrait être victime d'avoir déposé une plainte (par exemple, licenciement, suspension, rétrogradation, réaffectation) ;</w:t>
      </w:r>
    </w:p>
    <w:p w14:paraId="70D3F5F6" w14:textId="77777777" w:rsidR="00B468D6" w:rsidRPr="00610C00" w:rsidRDefault="00994491" w:rsidP="00687DD2">
      <w:pPr>
        <w:pStyle w:val="Paragraphedeliste"/>
        <w:numPr>
          <w:ilvl w:val="0"/>
          <w:numId w:val="34"/>
        </w:numPr>
        <w:spacing w:before="100" w:beforeAutospacing="1" w:after="100" w:afterAutospacing="1" w:line="240" w:lineRule="auto"/>
        <w:jc w:val="both"/>
        <w:rPr>
          <w:rFonts w:ascii="Arial" w:hAnsi="Arial" w:cs="Arial"/>
        </w:rPr>
      </w:pPr>
      <w:r>
        <w:rPr>
          <w:rFonts w:ascii="Arial" w:hAnsi="Arial" w:cs="Arial"/>
        </w:rPr>
        <w:t>P</w:t>
      </w:r>
      <w:r w:rsidR="00B468D6" w:rsidRPr="00610C00">
        <w:rPr>
          <w:rFonts w:ascii="Arial" w:hAnsi="Arial" w:cs="Arial"/>
        </w:rPr>
        <w:t xml:space="preserve">révoit des rapports confidentiels avec une documentation sûre et éthique des cas </w:t>
      </w:r>
      <w:r w:rsidR="00610C00">
        <w:rPr>
          <w:rFonts w:ascii="Arial" w:hAnsi="Arial" w:cs="Arial"/>
        </w:rPr>
        <w:t>de VBG</w:t>
      </w:r>
      <w:r w:rsidR="00B468D6" w:rsidRPr="00610C00">
        <w:rPr>
          <w:rFonts w:ascii="Arial" w:hAnsi="Arial" w:cs="Arial"/>
        </w:rPr>
        <w:t>, en particulier avec des codes</w:t>
      </w:r>
      <w:r w:rsidR="00610C00">
        <w:rPr>
          <w:rFonts w:ascii="Arial" w:hAnsi="Arial" w:cs="Arial"/>
        </w:rPr>
        <w:t xml:space="preserve"> </w:t>
      </w:r>
      <w:r w:rsidR="00B468D6" w:rsidRPr="00610C00">
        <w:rPr>
          <w:rFonts w:ascii="Arial" w:hAnsi="Arial" w:cs="Arial"/>
        </w:rPr>
        <w:t>permettant d'identifier le/la survivant(e) ;</w:t>
      </w:r>
    </w:p>
    <w:p w14:paraId="0E8FD415" w14:textId="77777777" w:rsidR="00B468D6" w:rsidRPr="00610C00" w:rsidRDefault="00994491" w:rsidP="00687DD2">
      <w:pPr>
        <w:pStyle w:val="Paragraphedeliste"/>
        <w:numPr>
          <w:ilvl w:val="0"/>
          <w:numId w:val="34"/>
        </w:numPr>
        <w:spacing w:before="100" w:beforeAutospacing="1" w:after="100" w:afterAutospacing="1" w:line="240" w:lineRule="auto"/>
        <w:jc w:val="both"/>
        <w:rPr>
          <w:rFonts w:ascii="Arial" w:hAnsi="Arial" w:cs="Arial"/>
        </w:rPr>
      </w:pPr>
      <w:r>
        <w:rPr>
          <w:rFonts w:ascii="Arial" w:hAnsi="Arial" w:cs="Arial"/>
        </w:rPr>
        <w:t>P</w:t>
      </w:r>
      <w:r w:rsidR="00B468D6" w:rsidRPr="00610C00">
        <w:rPr>
          <w:rFonts w:ascii="Arial" w:hAnsi="Arial" w:cs="Arial"/>
        </w:rPr>
        <w:t>ermet aux survivantes de se présenter au personnel féminin, si elles le souhaitent ;</w:t>
      </w:r>
    </w:p>
    <w:p w14:paraId="3EC7EAE4" w14:textId="77777777" w:rsidR="00B468D6" w:rsidRPr="00610C00" w:rsidRDefault="00994491" w:rsidP="00687DD2">
      <w:pPr>
        <w:pStyle w:val="Paragraphedeliste"/>
        <w:numPr>
          <w:ilvl w:val="0"/>
          <w:numId w:val="34"/>
        </w:numPr>
        <w:spacing w:before="100" w:beforeAutospacing="1" w:after="100" w:afterAutospacing="1" w:line="240" w:lineRule="auto"/>
        <w:jc w:val="both"/>
        <w:rPr>
          <w:rFonts w:ascii="Arial" w:hAnsi="Arial" w:cs="Arial"/>
        </w:rPr>
      </w:pPr>
      <w:r>
        <w:rPr>
          <w:rFonts w:ascii="Arial" w:hAnsi="Arial" w:cs="Arial"/>
        </w:rPr>
        <w:t>A</w:t>
      </w:r>
      <w:r w:rsidR="00B468D6" w:rsidRPr="00610C00">
        <w:rPr>
          <w:rFonts w:ascii="Arial" w:hAnsi="Arial" w:cs="Arial"/>
        </w:rPr>
        <w:t>utorise uniquement le personnel qui en a besoin pour effectuer des actions et des responsabilités en vertu de la politique d'accéder aux dossiers ;</w:t>
      </w:r>
    </w:p>
    <w:p w14:paraId="168B0EB0" w14:textId="77777777" w:rsidR="00B468D6" w:rsidRPr="00610C00" w:rsidRDefault="00994491" w:rsidP="00687DD2">
      <w:pPr>
        <w:pStyle w:val="Paragraphedeliste"/>
        <w:numPr>
          <w:ilvl w:val="0"/>
          <w:numId w:val="34"/>
        </w:numPr>
        <w:spacing w:before="100" w:beforeAutospacing="1" w:after="100" w:afterAutospacing="1" w:line="240" w:lineRule="auto"/>
        <w:jc w:val="both"/>
        <w:rPr>
          <w:rFonts w:ascii="Arial" w:hAnsi="Arial" w:cs="Arial"/>
        </w:rPr>
      </w:pPr>
      <w:r>
        <w:rPr>
          <w:rFonts w:ascii="Arial" w:hAnsi="Arial" w:cs="Arial"/>
        </w:rPr>
        <w:t>S</w:t>
      </w:r>
      <w:r w:rsidR="00B468D6" w:rsidRPr="00610C00">
        <w:rPr>
          <w:rFonts w:ascii="Arial" w:hAnsi="Arial" w:cs="Arial"/>
        </w:rPr>
        <w:t>elon la gravité de la plainte, restreint l'accès de l'auteur présumé au chantier, ou place l'auteur présumé en congé administratif ou suspend temporairement l'auteur présumé de postes ou d'activités spécifiés.</w:t>
      </w:r>
    </w:p>
    <w:p w14:paraId="6FBF31F4" w14:textId="77777777" w:rsidR="00F3517B" w:rsidRPr="00657F89" w:rsidRDefault="00F3517B" w:rsidP="00657F89">
      <w:pPr>
        <w:jc w:val="both"/>
        <w:rPr>
          <w:rFonts w:ascii="Arial" w:hAnsi="Arial" w:cs="Arial"/>
          <w:szCs w:val="24"/>
        </w:rPr>
      </w:pPr>
    </w:p>
    <w:p w14:paraId="14EC4A71" w14:textId="77777777" w:rsidR="00832CC9" w:rsidRPr="00B96EBA" w:rsidRDefault="00E95156" w:rsidP="0044500E">
      <w:pPr>
        <w:pStyle w:val="Paragraphedeliste"/>
        <w:numPr>
          <w:ilvl w:val="0"/>
          <w:numId w:val="177"/>
        </w:numPr>
        <w:pBdr>
          <w:bottom w:val="single" w:sz="4" w:space="1" w:color="auto"/>
        </w:pBdr>
        <w:spacing w:line="240" w:lineRule="auto"/>
        <w:jc w:val="both"/>
        <w:outlineLvl w:val="0"/>
        <w:rPr>
          <w:b/>
          <w:bCs/>
          <w:caps/>
          <w:color w:val="44546A"/>
          <w:sz w:val="40"/>
          <w:szCs w:val="44"/>
        </w:rPr>
      </w:pPr>
      <w:r>
        <w:br w:type="page"/>
      </w:r>
      <w:bookmarkStart w:id="1590" w:name="_Toc124956354"/>
      <w:bookmarkStart w:id="1591" w:name="_Toc125384701"/>
      <w:bookmarkStart w:id="1592" w:name="_Toc125385090"/>
      <w:bookmarkStart w:id="1593" w:name="_Toc127957759"/>
      <w:r w:rsidR="00832CC9" w:rsidRPr="00B96EBA">
        <w:rPr>
          <w:b/>
          <w:bCs/>
          <w:caps/>
          <w:color w:val="44546A"/>
          <w:sz w:val="40"/>
          <w:szCs w:val="44"/>
        </w:rPr>
        <w:t>Mécanisme de Gestion des Plainte</w:t>
      </w:r>
      <w:r w:rsidR="0098339B">
        <w:rPr>
          <w:b/>
          <w:bCs/>
          <w:caps/>
          <w:color w:val="44546A"/>
          <w:sz w:val="40"/>
          <w:szCs w:val="44"/>
        </w:rPr>
        <w:t>s</w:t>
      </w:r>
      <w:bookmarkEnd w:id="1590"/>
      <w:bookmarkEnd w:id="1591"/>
      <w:bookmarkEnd w:id="1592"/>
      <w:bookmarkEnd w:id="1593"/>
    </w:p>
    <w:p w14:paraId="47F07AA3" w14:textId="77777777" w:rsidR="00E141F6" w:rsidRPr="00E141F6" w:rsidRDefault="00E141F6" w:rsidP="00E141F6">
      <w:pPr>
        <w:jc w:val="both"/>
        <w:rPr>
          <w:rFonts w:ascii="Arial" w:hAnsi="Arial" w:cs="Arial"/>
          <w:szCs w:val="24"/>
        </w:rPr>
      </w:pPr>
      <w:r w:rsidRPr="00E141F6">
        <w:rPr>
          <w:rFonts w:ascii="Arial" w:hAnsi="Arial" w:cs="Arial"/>
          <w:szCs w:val="24"/>
        </w:rPr>
        <w:t>La mise en œuvre des diverses activités du Projet peut provoquer des situations contentieuses au sein des populations locales, c’est pourquoi un mécanisme de gestion de ces situations doit être établi. Le Projet s’engage alors à avoir un mécanisme de gestion des plaintes et des doléances (MGP) mis à la disposition des parties prenantes et de la communauté tout au long du cycle de vie du projet.</w:t>
      </w:r>
    </w:p>
    <w:p w14:paraId="6F9D91C9" w14:textId="77777777" w:rsidR="00E141F6" w:rsidRPr="007F78CE" w:rsidRDefault="00E141F6" w:rsidP="0044500E">
      <w:pPr>
        <w:pStyle w:val="TIT2"/>
        <w:numPr>
          <w:ilvl w:val="1"/>
          <w:numId w:val="177"/>
        </w:numPr>
      </w:pPr>
      <w:bookmarkStart w:id="1594" w:name="_Toc46903559"/>
      <w:bookmarkStart w:id="1595" w:name="_Toc88305589"/>
      <w:bookmarkStart w:id="1596" w:name="_Toc92308162"/>
      <w:bookmarkStart w:id="1597" w:name="_Toc119312980"/>
      <w:bookmarkStart w:id="1598" w:name="_Toc124314815"/>
      <w:bookmarkStart w:id="1599" w:name="_Toc124956355"/>
      <w:bookmarkStart w:id="1600" w:name="_Toc125384702"/>
      <w:bookmarkStart w:id="1601" w:name="_Toc125385091"/>
      <w:bookmarkStart w:id="1602" w:name="_Toc127957760"/>
      <w:r w:rsidRPr="007F78CE">
        <w:t>Objectifs du mécanisme de gestion des plaintes</w:t>
      </w:r>
      <w:bookmarkEnd w:id="1594"/>
      <w:bookmarkEnd w:id="1595"/>
      <w:bookmarkEnd w:id="1596"/>
      <w:bookmarkEnd w:id="1597"/>
      <w:bookmarkEnd w:id="1598"/>
      <w:bookmarkEnd w:id="1599"/>
      <w:bookmarkEnd w:id="1600"/>
      <w:bookmarkEnd w:id="1601"/>
      <w:bookmarkEnd w:id="1602"/>
    </w:p>
    <w:p w14:paraId="0AEEAC4E" w14:textId="77777777" w:rsidR="00E141F6" w:rsidRPr="00E141F6" w:rsidRDefault="00E141F6" w:rsidP="00E141F6">
      <w:pPr>
        <w:jc w:val="both"/>
        <w:rPr>
          <w:rFonts w:ascii="Arial" w:hAnsi="Arial" w:cs="Arial"/>
          <w:szCs w:val="24"/>
        </w:rPr>
      </w:pPr>
      <w:r w:rsidRPr="00E141F6">
        <w:rPr>
          <w:rFonts w:ascii="Arial" w:hAnsi="Arial" w:cs="Arial"/>
          <w:szCs w:val="24"/>
        </w:rPr>
        <w:t xml:space="preserve">L’objectif général du MGP consiste à éviter le recours au système judiciaire pour le règlement des différends et de privilégier la recherche de solutions via des mécanismes à l’amiable de traitement des litiges basés sur l’explication et la médiation par un tiers. </w:t>
      </w:r>
    </w:p>
    <w:p w14:paraId="0154EF8D" w14:textId="77777777" w:rsidR="00E141F6" w:rsidRPr="00E141F6" w:rsidRDefault="00E141F6" w:rsidP="00E141F6">
      <w:pPr>
        <w:jc w:val="both"/>
        <w:rPr>
          <w:rFonts w:ascii="Arial" w:hAnsi="Arial" w:cs="Arial"/>
          <w:szCs w:val="24"/>
        </w:rPr>
      </w:pPr>
      <w:r w:rsidRPr="00E141F6">
        <w:rPr>
          <w:rFonts w:ascii="Arial" w:hAnsi="Arial" w:cs="Arial"/>
          <w:szCs w:val="24"/>
        </w:rPr>
        <w:t xml:space="preserve">Spécifiquement, l’objectif du MGP est de fournir un système d’enregistrement et de gestion des plaintes transparent, accessible à tous (plus particulièrement à toutes les parties prenantes), inclusif (y compris les personnes vulnérables), permanent (tout au long de la mise en œuvre du Projet), opérationnel, efficace et participatif.  </w:t>
      </w:r>
    </w:p>
    <w:p w14:paraId="3276A514" w14:textId="77777777" w:rsidR="00E141F6" w:rsidRPr="007F78CE" w:rsidRDefault="00E141F6" w:rsidP="0044500E">
      <w:pPr>
        <w:pStyle w:val="TIT2"/>
        <w:numPr>
          <w:ilvl w:val="1"/>
          <w:numId w:val="177"/>
        </w:numPr>
      </w:pPr>
      <w:bookmarkStart w:id="1603" w:name="_Toc46903560"/>
      <w:bookmarkStart w:id="1604" w:name="_Toc92308163"/>
      <w:bookmarkStart w:id="1605" w:name="_Toc119312981"/>
      <w:bookmarkStart w:id="1606" w:name="_Toc124314816"/>
      <w:bookmarkStart w:id="1607" w:name="_Toc124956356"/>
      <w:bookmarkStart w:id="1608" w:name="_Toc125384703"/>
      <w:bookmarkStart w:id="1609" w:name="_Toc125385092"/>
      <w:bookmarkStart w:id="1610" w:name="_Toc127957761"/>
      <w:r w:rsidRPr="007F78CE">
        <w:t>Principes de traitement des plaintes et des doléances</w:t>
      </w:r>
      <w:bookmarkEnd w:id="1603"/>
      <w:bookmarkEnd w:id="1604"/>
      <w:bookmarkEnd w:id="1605"/>
      <w:bookmarkEnd w:id="1606"/>
      <w:bookmarkEnd w:id="1607"/>
      <w:bookmarkEnd w:id="1608"/>
      <w:bookmarkEnd w:id="1609"/>
      <w:bookmarkEnd w:id="1610"/>
    </w:p>
    <w:p w14:paraId="0CA7B43B" w14:textId="77777777" w:rsidR="00E141F6" w:rsidRPr="00E141F6" w:rsidRDefault="00E141F6" w:rsidP="00E141F6">
      <w:pPr>
        <w:jc w:val="both"/>
        <w:rPr>
          <w:rFonts w:ascii="Arial" w:hAnsi="Arial" w:cs="Arial"/>
          <w:szCs w:val="24"/>
        </w:rPr>
      </w:pPr>
      <w:r w:rsidRPr="00E141F6">
        <w:rPr>
          <w:rFonts w:ascii="Arial" w:hAnsi="Arial" w:cs="Arial"/>
          <w:szCs w:val="24"/>
        </w:rPr>
        <w:t>Le présent mécanisme de gestion de plainte et doléances repose sur les principes suivants :</w:t>
      </w:r>
    </w:p>
    <w:p w14:paraId="18B9F0BF" w14:textId="77777777" w:rsidR="00E141F6" w:rsidRPr="00E141F6" w:rsidRDefault="00E141F6" w:rsidP="00687DD2">
      <w:pPr>
        <w:pStyle w:val="Paragraphedeliste"/>
        <w:numPr>
          <w:ilvl w:val="0"/>
          <w:numId w:val="52"/>
        </w:numPr>
        <w:spacing w:before="120" w:after="120" w:line="240" w:lineRule="auto"/>
        <w:contextualSpacing w:val="0"/>
        <w:jc w:val="both"/>
        <w:rPr>
          <w:rFonts w:ascii="Arial" w:hAnsi="Arial" w:cs="Arial"/>
          <w:szCs w:val="20"/>
        </w:rPr>
      </w:pPr>
      <w:r w:rsidRPr="00E141F6">
        <w:rPr>
          <w:rFonts w:ascii="Arial" w:hAnsi="Arial" w:cs="Arial"/>
          <w:b/>
          <w:szCs w:val="20"/>
        </w:rPr>
        <w:t>Non-discrimination de plaintes quels que soient leurs types et moyens de transmission</w:t>
      </w:r>
      <w:r w:rsidRPr="00E141F6">
        <w:rPr>
          <w:rFonts w:ascii="Arial" w:hAnsi="Arial" w:cs="Arial"/>
          <w:szCs w:val="20"/>
        </w:rPr>
        <w:t xml:space="preserve"> : toutes les plaintes déposées par la population sont recevables qu</w:t>
      </w:r>
      <w:r w:rsidR="00DA2EC5">
        <w:rPr>
          <w:rFonts w:ascii="Arial" w:hAnsi="Arial" w:cs="Arial"/>
          <w:szCs w:val="20"/>
        </w:rPr>
        <w:t xml:space="preserve">’elles </w:t>
      </w:r>
      <w:r w:rsidRPr="00E141F6">
        <w:rPr>
          <w:rFonts w:ascii="Arial" w:hAnsi="Arial" w:cs="Arial"/>
          <w:szCs w:val="20"/>
        </w:rPr>
        <w:t>soient transmises verbalement, par écrit, par SMS</w:t>
      </w:r>
      <w:r w:rsidR="00DA2EC5">
        <w:rPr>
          <w:rFonts w:ascii="Arial" w:hAnsi="Arial" w:cs="Arial"/>
          <w:szCs w:val="20"/>
        </w:rPr>
        <w:t>,</w:t>
      </w:r>
      <w:r w:rsidRPr="00E141F6">
        <w:rPr>
          <w:rFonts w:ascii="Arial" w:hAnsi="Arial" w:cs="Arial"/>
          <w:szCs w:val="20"/>
        </w:rPr>
        <w:t xml:space="preserve"> par téléphone. </w:t>
      </w:r>
      <w:r w:rsidR="00DA2EC5">
        <w:rPr>
          <w:rFonts w:ascii="Arial" w:hAnsi="Arial" w:cs="Arial"/>
          <w:szCs w:val="20"/>
        </w:rPr>
        <w:t>ou même de façon anonyme</w:t>
      </w:r>
      <w:r w:rsidR="00DA2EC5" w:rsidRPr="00E141F6">
        <w:rPr>
          <w:rFonts w:ascii="Arial" w:hAnsi="Arial" w:cs="Arial"/>
          <w:szCs w:val="20"/>
        </w:rPr>
        <w:t>.</w:t>
      </w:r>
    </w:p>
    <w:p w14:paraId="30559F26" w14:textId="77777777" w:rsidR="00E141F6" w:rsidRPr="00E141F6" w:rsidRDefault="00E141F6" w:rsidP="00687DD2">
      <w:pPr>
        <w:pStyle w:val="Paragraphedeliste"/>
        <w:numPr>
          <w:ilvl w:val="0"/>
          <w:numId w:val="52"/>
        </w:numPr>
        <w:spacing w:before="120" w:after="120" w:line="240" w:lineRule="auto"/>
        <w:contextualSpacing w:val="0"/>
        <w:jc w:val="both"/>
        <w:rPr>
          <w:rFonts w:ascii="Arial" w:hAnsi="Arial" w:cs="Arial"/>
          <w:szCs w:val="20"/>
        </w:rPr>
      </w:pPr>
      <w:r w:rsidRPr="00E141F6">
        <w:rPr>
          <w:rFonts w:ascii="Arial" w:hAnsi="Arial" w:cs="Arial"/>
          <w:b/>
          <w:szCs w:val="20"/>
        </w:rPr>
        <w:t>Participation de toutes les parties prenantes</w:t>
      </w:r>
      <w:r w:rsidRPr="00E141F6">
        <w:rPr>
          <w:rFonts w:ascii="Arial" w:hAnsi="Arial" w:cs="Arial"/>
          <w:szCs w:val="20"/>
        </w:rPr>
        <w:t xml:space="preserve"> : Le succès et l’efficacité du système ne seront assurés que s’il est développé avec une forte participation des représentants de tous les groupes de parties prenantes et que s'il est pleinement intégré aux activités des Projets. </w:t>
      </w:r>
    </w:p>
    <w:p w14:paraId="5FC74923" w14:textId="77777777" w:rsidR="00E141F6" w:rsidRPr="00E141F6" w:rsidRDefault="00E141F6" w:rsidP="00687DD2">
      <w:pPr>
        <w:pStyle w:val="Paragraphedeliste"/>
        <w:numPr>
          <w:ilvl w:val="0"/>
          <w:numId w:val="52"/>
        </w:numPr>
        <w:spacing w:before="120" w:after="120" w:line="240" w:lineRule="auto"/>
        <w:contextualSpacing w:val="0"/>
        <w:jc w:val="both"/>
        <w:rPr>
          <w:rFonts w:ascii="Arial" w:hAnsi="Arial" w:cs="Arial"/>
          <w:szCs w:val="20"/>
        </w:rPr>
      </w:pPr>
      <w:r w:rsidRPr="00E141F6">
        <w:rPr>
          <w:rFonts w:ascii="Arial" w:hAnsi="Arial" w:cs="Arial"/>
          <w:b/>
          <w:szCs w:val="20"/>
        </w:rPr>
        <w:t>Confidentialité</w:t>
      </w:r>
      <w:r w:rsidRPr="00E141F6">
        <w:rPr>
          <w:rFonts w:ascii="Arial" w:hAnsi="Arial" w:cs="Arial"/>
          <w:szCs w:val="20"/>
        </w:rPr>
        <w:t xml:space="preserve"> : elle permet d’assurer la sécurité et la protection de ceux qui déposent une plainte et des personnes concernées par celle-ci. Il faut, pour ce faire, limiter le nombre de personnes ayant accès aux informations sensibles. Toutes les procédures du traitement des requêtes et des plaintes seront conduites dans le plus grand respect de tous, et ce, par toutes les parties et, le cas échéant, dans la plus stricte confidentialité. </w:t>
      </w:r>
    </w:p>
    <w:p w14:paraId="7B4D9B1E" w14:textId="77777777" w:rsidR="00E141F6" w:rsidRPr="00E141F6" w:rsidRDefault="00E141F6" w:rsidP="00687DD2">
      <w:pPr>
        <w:pStyle w:val="Paragraphedeliste"/>
        <w:numPr>
          <w:ilvl w:val="0"/>
          <w:numId w:val="52"/>
        </w:numPr>
        <w:spacing w:before="120" w:after="120" w:line="240" w:lineRule="auto"/>
        <w:contextualSpacing w:val="0"/>
        <w:jc w:val="both"/>
        <w:rPr>
          <w:rFonts w:ascii="Arial" w:hAnsi="Arial" w:cs="Arial"/>
          <w:szCs w:val="20"/>
        </w:rPr>
      </w:pPr>
      <w:r w:rsidRPr="00E141F6">
        <w:rPr>
          <w:rFonts w:ascii="Arial" w:hAnsi="Arial" w:cs="Arial"/>
          <w:b/>
          <w:szCs w:val="20"/>
        </w:rPr>
        <w:t>Subsidiarité </w:t>
      </w:r>
      <w:r w:rsidRPr="00E141F6">
        <w:rPr>
          <w:rFonts w:ascii="Arial" w:hAnsi="Arial" w:cs="Arial"/>
          <w:szCs w:val="20"/>
        </w:rPr>
        <w:t>: les plaintes seront traitées, autant que possible, au plus près du lieu où elles sont émises (c’est-à-dire au niveau du village ou du fokontany). Le niveau supérieur ne sera saisi que si la plainte n’a pas été résolue à l’échelon inférieur.</w:t>
      </w:r>
    </w:p>
    <w:p w14:paraId="6B44B67F" w14:textId="77777777" w:rsidR="00E141F6" w:rsidRPr="00E141F6" w:rsidRDefault="00E141F6" w:rsidP="00687DD2">
      <w:pPr>
        <w:pStyle w:val="Paragraphedeliste"/>
        <w:numPr>
          <w:ilvl w:val="0"/>
          <w:numId w:val="52"/>
        </w:numPr>
        <w:spacing w:before="120" w:after="120" w:line="240" w:lineRule="auto"/>
        <w:contextualSpacing w:val="0"/>
        <w:jc w:val="both"/>
        <w:rPr>
          <w:rFonts w:ascii="Arial" w:hAnsi="Arial" w:cs="Arial"/>
          <w:szCs w:val="20"/>
        </w:rPr>
      </w:pPr>
      <w:r w:rsidRPr="00E141F6">
        <w:rPr>
          <w:rFonts w:ascii="Arial" w:hAnsi="Arial" w:cs="Arial"/>
          <w:b/>
          <w:szCs w:val="20"/>
        </w:rPr>
        <w:t>Redevabilité </w:t>
      </w:r>
      <w:r w:rsidRPr="00E141F6">
        <w:rPr>
          <w:rFonts w:ascii="Arial" w:hAnsi="Arial" w:cs="Arial"/>
          <w:szCs w:val="20"/>
        </w:rPr>
        <w:t>: Le Projet devra se montrer être responsable d’aider les plaignants à traiter et à résoudre leurs doléances et plaintes en rapport avec la mise en œuvre du Projet.</w:t>
      </w:r>
    </w:p>
    <w:p w14:paraId="461A15DB" w14:textId="77777777" w:rsidR="00E141F6" w:rsidRPr="00E141F6" w:rsidRDefault="00E141F6" w:rsidP="00687DD2">
      <w:pPr>
        <w:pStyle w:val="Paragraphedeliste"/>
        <w:numPr>
          <w:ilvl w:val="0"/>
          <w:numId w:val="52"/>
        </w:numPr>
        <w:spacing w:before="120" w:after="120" w:line="240" w:lineRule="auto"/>
        <w:contextualSpacing w:val="0"/>
        <w:jc w:val="both"/>
        <w:rPr>
          <w:rFonts w:ascii="Arial" w:hAnsi="Arial" w:cs="Arial"/>
          <w:szCs w:val="20"/>
        </w:rPr>
      </w:pPr>
      <w:r w:rsidRPr="00E141F6">
        <w:rPr>
          <w:rFonts w:ascii="Arial" w:hAnsi="Arial" w:cs="Arial"/>
          <w:b/>
          <w:szCs w:val="20"/>
        </w:rPr>
        <w:t>Justice et équité </w:t>
      </w:r>
      <w:r w:rsidRPr="00E141F6">
        <w:rPr>
          <w:rFonts w:ascii="Arial" w:hAnsi="Arial" w:cs="Arial"/>
          <w:szCs w:val="20"/>
        </w:rPr>
        <w:t>: Le projet s’efforcera de garantir que les plaignants aient un accès raisonnable aux sources d’information, aux conseils et aux compétences nécessaires dans le traitement des plaintes de façon équitable.</w:t>
      </w:r>
    </w:p>
    <w:p w14:paraId="71C545CD" w14:textId="77777777" w:rsidR="00E141F6" w:rsidRPr="00E141F6" w:rsidRDefault="00E141F6" w:rsidP="00687DD2">
      <w:pPr>
        <w:pStyle w:val="Paragraphedeliste"/>
        <w:numPr>
          <w:ilvl w:val="0"/>
          <w:numId w:val="52"/>
        </w:numPr>
        <w:spacing w:before="120" w:after="120" w:line="240" w:lineRule="auto"/>
        <w:contextualSpacing w:val="0"/>
        <w:jc w:val="both"/>
        <w:rPr>
          <w:rFonts w:ascii="Arial" w:hAnsi="Arial" w:cs="Arial"/>
          <w:szCs w:val="20"/>
        </w:rPr>
      </w:pPr>
      <w:r w:rsidRPr="00E141F6">
        <w:rPr>
          <w:rFonts w:ascii="Arial" w:hAnsi="Arial" w:cs="Arial"/>
          <w:b/>
          <w:szCs w:val="20"/>
        </w:rPr>
        <w:t>Transparence </w:t>
      </w:r>
      <w:r w:rsidRPr="00E141F6">
        <w:rPr>
          <w:rFonts w:ascii="Arial" w:hAnsi="Arial" w:cs="Arial"/>
          <w:szCs w:val="20"/>
        </w:rPr>
        <w:t>: Le Projet s’efforcera d’informer les parties concernées et les plaignants des procédures de traitement, de l’évolution et des résultats du traitement des plaintes.</w:t>
      </w:r>
    </w:p>
    <w:p w14:paraId="3813C21C" w14:textId="77777777" w:rsidR="00E141F6" w:rsidRPr="00E141F6" w:rsidRDefault="00E141F6" w:rsidP="00687DD2">
      <w:pPr>
        <w:pStyle w:val="Paragraphedeliste"/>
        <w:numPr>
          <w:ilvl w:val="0"/>
          <w:numId w:val="52"/>
        </w:numPr>
        <w:spacing w:before="120" w:after="120" w:line="240" w:lineRule="auto"/>
        <w:contextualSpacing w:val="0"/>
        <w:jc w:val="both"/>
        <w:rPr>
          <w:rFonts w:ascii="Arial" w:hAnsi="Arial" w:cs="Arial"/>
          <w:szCs w:val="20"/>
        </w:rPr>
      </w:pPr>
      <w:r w:rsidRPr="00E141F6">
        <w:rPr>
          <w:rFonts w:ascii="Arial" w:hAnsi="Arial" w:cs="Arial"/>
          <w:b/>
          <w:szCs w:val="20"/>
        </w:rPr>
        <w:t>Lutte contre la corruption : l</w:t>
      </w:r>
      <w:r w:rsidRPr="00E141F6">
        <w:rPr>
          <w:rFonts w:ascii="Arial" w:hAnsi="Arial" w:cs="Arial"/>
          <w:szCs w:val="20"/>
        </w:rPr>
        <w:t>e Projet devra afficher son engagement contre la fraude et la corruption et sensibilisera son personnel et toutes les parties prenantes au refus de tout acte à caractère frauduleux.</w:t>
      </w:r>
    </w:p>
    <w:p w14:paraId="690A70BB" w14:textId="77777777" w:rsidR="00E141F6" w:rsidRPr="007F78CE" w:rsidRDefault="00D3414B" w:rsidP="0044500E">
      <w:pPr>
        <w:pStyle w:val="TIT2"/>
        <w:numPr>
          <w:ilvl w:val="1"/>
          <w:numId w:val="177"/>
        </w:numPr>
      </w:pPr>
      <w:bookmarkStart w:id="1611" w:name="_Toc92308164"/>
      <w:bookmarkStart w:id="1612" w:name="_Toc119312982"/>
      <w:bookmarkStart w:id="1613" w:name="_Toc124314817"/>
      <w:bookmarkStart w:id="1614" w:name="_Toc124956357"/>
      <w:bookmarkStart w:id="1615" w:name="_Toc125384704"/>
      <w:bookmarkStart w:id="1616" w:name="_Toc125385093"/>
      <w:bookmarkStart w:id="1617" w:name="_Toc127957762"/>
      <w:r w:rsidRPr="007F78CE">
        <w:t>Informations et sensibilisation sur l’existence du MGP</w:t>
      </w:r>
      <w:bookmarkEnd w:id="1611"/>
      <w:bookmarkEnd w:id="1612"/>
      <w:bookmarkEnd w:id="1613"/>
      <w:bookmarkEnd w:id="1614"/>
      <w:bookmarkEnd w:id="1615"/>
      <w:bookmarkEnd w:id="1616"/>
      <w:bookmarkEnd w:id="1617"/>
    </w:p>
    <w:p w14:paraId="5093977D" w14:textId="77777777" w:rsidR="00E141F6" w:rsidRPr="00E141F6" w:rsidRDefault="00E141F6" w:rsidP="00E141F6">
      <w:pPr>
        <w:jc w:val="both"/>
        <w:rPr>
          <w:rFonts w:ascii="Arial" w:hAnsi="Arial" w:cs="Arial"/>
          <w:szCs w:val="24"/>
        </w:rPr>
      </w:pPr>
      <w:r w:rsidRPr="00E141F6">
        <w:rPr>
          <w:rFonts w:ascii="Arial" w:hAnsi="Arial" w:cs="Arial"/>
          <w:szCs w:val="24"/>
        </w:rPr>
        <w:t xml:space="preserve">L’équipe du Projet, renforcé par le MEH/DIREH, MNDPT/DIRNDPT et la région procéderont à l’information des partenaires de mise en œuvre, des communes et des villages, des bénéficiaires, de la communauté au niveau de ses zones d’intervention ainsi que tous les acteurs travaillant avec le Projet sur l’existence du présent MGP. Cette activité d’information sera entamée dès la phase préparatoire même du sous-projet concerné et continuera tout au long de la mise en œuvre jusqu’à la clôture des sous-projets. Elle mobilisera dans ce cas tous les moyens et canaux disponibles d’information et de communication (affiches, média écrit, audio-visuel, internet, site web, réseaux sociaux, réunions publiques, …) pour faire connaître l’existence du MGP. </w:t>
      </w:r>
    </w:p>
    <w:p w14:paraId="49278348" w14:textId="77777777" w:rsidR="00E141F6" w:rsidRPr="00E141F6" w:rsidRDefault="00E141F6" w:rsidP="00E141F6">
      <w:pPr>
        <w:jc w:val="both"/>
        <w:rPr>
          <w:rFonts w:ascii="Arial" w:hAnsi="Arial" w:cs="Arial"/>
          <w:szCs w:val="24"/>
        </w:rPr>
      </w:pPr>
      <w:r w:rsidRPr="00E141F6">
        <w:rPr>
          <w:rFonts w:ascii="Arial" w:hAnsi="Arial" w:cs="Arial"/>
          <w:szCs w:val="24"/>
        </w:rPr>
        <w:t>L’information du public est axée notamment sur l’existence d’une procédure permanente de recueil des plaintes ainsi que la manière à suivre pour déposer une plainte.</w:t>
      </w:r>
    </w:p>
    <w:p w14:paraId="0BE43814" w14:textId="77777777" w:rsidR="00E141F6" w:rsidRPr="00E141F6" w:rsidRDefault="00E141F6" w:rsidP="00E141F6">
      <w:pPr>
        <w:jc w:val="both"/>
        <w:rPr>
          <w:rFonts w:ascii="Arial" w:hAnsi="Arial" w:cs="Arial"/>
        </w:rPr>
      </w:pPr>
      <w:r w:rsidRPr="4E4A4666">
        <w:rPr>
          <w:rFonts w:ascii="Arial" w:hAnsi="Arial" w:cs="Arial"/>
        </w:rPr>
        <w:t xml:space="preserve">Un manuel opérationnel sur la gestion des plaintes sera élaboré par le Projet dès la prise </w:t>
      </w:r>
      <w:r w:rsidR="3276565A" w:rsidRPr="4E4A4666">
        <w:rPr>
          <w:rFonts w:ascii="Arial" w:hAnsi="Arial" w:cs="Arial"/>
        </w:rPr>
        <w:t>de</w:t>
      </w:r>
      <w:r w:rsidRPr="4E4A4666">
        <w:rPr>
          <w:rFonts w:ascii="Arial" w:hAnsi="Arial" w:cs="Arial"/>
        </w:rPr>
        <w:t xml:space="preserve"> fonction du responsable de gestion des risques sociaux de l’UCP. En cas de besoin, un guide pratique sur le MGP renforcera ce manuel. Ces documents feront l’objet d’une large diffusion auprès des différentes parties prenantes du projet DECIM.</w:t>
      </w:r>
    </w:p>
    <w:p w14:paraId="4D47FF5A" w14:textId="77777777" w:rsidR="00E141F6" w:rsidRPr="00E141F6" w:rsidRDefault="00E141F6" w:rsidP="00E141F6">
      <w:pPr>
        <w:jc w:val="both"/>
        <w:rPr>
          <w:rFonts w:ascii="Arial" w:hAnsi="Arial" w:cs="Arial"/>
          <w:szCs w:val="24"/>
        </w:rPr>
      </w:pPr>
      <w:r w:rsidRPr="00E141F6">
        <w:rPr>
          <w:rFonts w:ascii="Arial" w:hAnsi="Arial" w:cs="Arial"/>
          <w:szCs w:val="24"/>
        </w:rPr>
        <w:t>En accord avec la NES2, un mécanisme de gestion des plaintes propre aux travailleurs sera également disponible. De même, les plaintes sensibles comme les plaintes liées à la VBG/EAS/HS seront gérées et traitées par des procédures spécifiques.</w:t>
      </w:r>
    </w:p>
    <w:p w14:paraId="5E1C005A" w14:textId="77777777" w:rsidR="00D3414B" w:rsidRPr="007F78CE" w:rsidRDefault="00D3414B" w:rsidP="0044500E">
      <w:pPr>
        <w:pStyle w:val="TIT2"/>
        <w:numPr>
          <w:ilvl w:val="1"/>
          <w:numId w:val="177"/>
        </w:numPr>
      </w:pPr>
      <w:bookmarkStart w:id="1618" w:name="_Toc92308165"/>
      <w:bookmarkStart w:id="1619" w:name="_Toc119312983"/>
      <w:bookmarkStart w:id="1620" w:name="_Toc124314818"/>
      <w:bookmarkStart w:id="1621" w:name="_Toc124956358"/>
      <w:bookmarkStart w:id="1622" w:name="_Toc125384705"/>
      <w:bookmarkStart w:id="1623" w:name="_Toc125385094"/>
      <w:bookmarkStart w:id="1624" w:name="_Toc127957763"/>
      <w:r w:rsidRPr="007F78CE">
        <w:t>Caractéristiques des plaintes et des doléances</w:t>
      </w:r>
      <w:bookmarkEnd w:id="1618"/>
      <w:bookmarkEnd w:id="1619"/>
      <w:bookmarkEnd w:id="1620"/>
      <w:bookmarkEnd w:id="1621"/>
      <w:bookmarkEnd w:id="1622"/>
      <w:bookmarkEnd w:id="1623"/>
      <w:bookmarkEnd w:id="1624"/>
    </w:p>
    <w:p w14:paraId="734662AB" w14:textId="77777777" w:rsidR="00D3414B" w:rsidRPr="00D3414B" w:rsidRDefault="00D3414B" w:rsidP="0044500E">
      <w:pPr>
        <w:pStyle w:val="TIT3"/>
        <w:numPr>
          <w:ilvl w:val="2"/>
          <w:numId w:val="177"/>
        </w:numPr>
      </w:pPr>
      <w:bookmarkStart w:id="1625" w:name="_Toc119312984"/>
      <w:bookmarkStart w:id="1626" w:name="_Toc124314819"/>
      <w:bookmarkStart w:id="1627" w:name="_Toc124956359"/>
      <w:bookmarkStart w:id="1628" w:name="_Toc125384706"/>
      <w:bookmarkStart w:id="1629" w:name="_Toc125385095"/>
      <w:bookmarkStart w:id="1630" w:name="_Toc127957764"/>
      <w:r w:rsidRPr="00D3414B">
        <w:t>Porte d’entrée des plaintes</w:t>
      </w:r>
      <w:bookmarkEnd w:id="1625"/>
      <w:bookmarkEnd w:id="1626"/>
      <w:bookmarkEnd w:id="1627"/>
      <w:bookmarkEnd w:id="1628"/>
      <w:bookmarkEnd w:id="1629"/>
      <w:bookmarkEnd w:id="1630"/>
      <w:r w:rsidRPr="00D3414B">
        <w:t xml:space="preserve"> </w:t>
      </w:r>
    </w:p>
    <w:p w14:paraId="6E44427D" w14:textId="77777777" w:rsidR="00D3414B" w:rsidRPr="00D3414B" w:rsidRDefault="00D3414B" w:rsidP="00D3414B">
      <w:pPr>
        <w:jc w:val="both"/>
        <w:rPr>
          <w:rFonts w:ascii="Arial" w:hAnsi="Arial" w:cs="Arial"/>
          <w:szCs w:val="24"/>
        </w:rPr>
      </w:pPr>
      <w:r w:rsidRPr="00D3414B">
        <w:rPr>
          <w:rFonts w:ascii="Arial" w:hAnsi="Arial" w:cs="Arial"/>
          <w:szCs w:val="24"/>
        </w:rPr>
        <w:t>Au niveau des sites d’intervention du projet DECIM, il sera mis à la disposition permanente du public un cahier de registre de plaintes. Ce dernier sera déposé au niveau du fokontany (bureau du fokontany), de la commune (bureau de la mairie et du conseil municipal), du district (bureau district).</w:t>
      </w:r>
    </w:p>
    <w:p w14:paraId="4BB7A5BA" w14:textId="77777777" w:rsidR="00D3414B" w:rsidRPr="00D3414B" w:rsidRDefault="00D3414B" w:rsidP="00D3414B">
      <w:pPr>
        <w:jc w:val="both"/>
        <w:rPr>
          <w:rFonts w:ascii="Arial" w:hAnsi="Arial" w:cs="Arial"/>
          <w:szCs w:val="24"/>
        </w:rPr>
      </w:pPr>
      <w:r w:rsidRPr="00D3414B">
        <w:rPr>
          <w:rFonts w:ascii="Arial" w:hAnsi="Arial" w:cs="Arial"/>
          <w:szCs w:val="24"/>
        </w:rPr>
        <w:t xml:space="preserve">Les plaintes peuvent être reçues directement au niveau de l’Unité de Coordination du projet via les appels téléphoniques, le SMS </w:t>
      </w:r>
      <w:r w:rsidR="001125D9" w:rsidRPr="00D3414B">
        <w:rPr>
          <w:rFonts w:ascii="Arial" w:hAnsi="Arial" w:cs="Arial"/>
          <w:szCs w:val="24"/>
        </w:rPr>
        <w:t xml:space="preserve">courriel </w:t>
      </w:r>
      <w:r w:rsidR="001125D9">
        <w:rPr>
          <w:rFonts w:ascii="Arial" w:hAnsi="Arial" w:cs="Arial"/>
          <w:szCs w:val="24"/>
        </w:rPr>
        <w:t>ou anonyme</w:t>
      </w:r>
      <w:r w:rsidRPr="00D3414B">
        <w:rPr>
          <w:rFonts w:ascii="Arial" w:hAnsi="Arial" w:cs="Arial"/>
          <w:szCs w:val="24"/>
        </w:rPr>
        <w:t xml:space="preserve"> où l’équipe technique du projet et plus particulièrement le spécialiste en gestion des risques sociaux procèdera au traitement des plaintes.</w:t>
      </w:r>
    </w:p>
    <w:p w14:paraId="5F5DB533" w14:textId="77777777" w:rsidR="00D3414B" w:rsidRDefault="00D3414B" w:rsidP="00D3414B">
      <w:pPr>
        <w:jc w:val="both"/>
        <w:rPr>
          <w:rFonts w:ascii="Arial" w:hAnsi="Arial" w:cs="Arial"/>
          <w:szCs w:val="24"/>
        </w:rPr>
      </w:pPr>
      <w:r w:rsidRPr="00D3414B">
        <w:rPr>
          <w:rFonts w:ascii="Arial" w:hAnsi="Arial" w:cs="Arial"/>
          <w:szCs w:val="24"/>
        </w:rPr>
        <w:t>Au niveau des partenaires du projet comme la DIREH, DIRNDPT, DREN, DRSP et la Région, des bo</w:t>
      </w:r>
      <w:r w:rsidR="001125D9">
        <w:rPr>
          <w:rFonts w:ascii="Arial" w:hAnsi="Arial" w:cs="Arial"/>
          <w:szCs w:val="24"/>
        </w:rPr>
        <w:t>î</w:t>
      </w:r>
      <w:r w:rsidRPr="00D3414B">
        <w:rPr>
          <w:rFonts w:ascii="Arial" w:hAnsi="Arial" w:cs="Arial"/>
          <w:szCs w:val="24"/>
        </w:rPr>
        <w:t>tes de doléances sont mises à la disposition des plaignants où un agent de ces entités régionales s’occupera de la réception et de l’enregistrement des plaintes et de la transmission au responsable en charge du traitement.</w:t>
      </w:r>
    </w:p>
    <w:p w14:paraId="28FD3D32" w14:textId="77777777" w:rsidR="00E71009" w:rsidRPr="00D3414B" w:rsidRDefault="00E71009" w:rsidP="00D3414B">
      <w:pPr>
        <w:jc w:val="both"/>
        <w:rPr>
          <w:rFonts w:ascii="Arial" w:hAnsi="Arial" w:cs="Arial"/>
          <w:szCs w:val="24"/>
        </w:rPr>
      </w:pPr>
    </w:p>
    <w:p w14:paraId="16216E93" w14:textId="77777777" w:rsidR="00D3414B" w:rsidRPr="00D3414B" w:rsidRDefault="00D3414B" w:rsidP="0044500E">
      <w:pPr>
        <w:pStyle w:val="TIT3"/>
        <w:numPr>
          <w:ilvl w:val="2"/>
          <w:numId w:val="177"/>
        </w:numPr>
      </w:pPr>
      <w:bookmarkStart w:id="1631" w:name="_Toc119312985"/>
      <w:bookmarkStart w:id="1632" w:name="_Toc124314820"/>
      <w:bookmarkStart w:id="1633" w:name="_Toc124956360"/>
      <w:bookmarkStart w:id="1634" w:name="_Toc125384707"/>
      <w:bookmarkStart w:id="1635" w:name="_Toc125385096"/>
      <w:bookmarkStart w:id="1636" w:name="_Toc127957765"/>
      <w:r w:rsidRPr="00D3414B">
        <w:t>Catégories de plaintes et de doléances</w:t>
      </w:r>
      <w:bookmarkEnd w:id="1631"/>
      <w:bookmarkEnd w:id="1632"/>
      <w:bookmarkEnd w:id="1633"/>
      <w:bookmarkEnd w:id="1634"/>
      <w:bookmarkEnd w:id="1635"/>
      <w:bookmarkEnd w:id="1636"/>
    </w:p>
    <w:p w14:paraId="1B9BB4DA" w14:textId="77777777" w:rsidR="00D3414B" w:rsidRPr="00D3414B" w:rsidRDefault="00D3414B" w:rsidP="00D3414B">
      <w:pPr>
        <w:jc w:val="both"/>
        <w:rPr>
          <w:rFonts w:ascii="Arial" w:hAnsi="Arial" w:cs="Arial"/>
          <w:szCs w:val="24"/>
        </w:rPr>
      </w:pPr>
      <w:r w:rsidRPr="00D3414B">
        <w:rPr>
          <w:rFonts w:ascii="Arial" w:hAnsi="Arial" w:cs="Arial"/>
          <w:szCs w:val="24"/>
        </w:rPr>
        <w:t xml:space="preserve">Selon sa nature, les plaintes peuvent être divisées en deux grandes catégories : </w:t>
      </w:r>
    </w:p>
    <w:p w14:paraId="3F75D28E" w14:textId="77777777" w:rsidR="00D3414B" w:rsidRPr="00D3414B" w:rsidRDefault="00D3414B" w:rsidP="00687DD2">
      <w:pPr>
        <w:pStyle w:val="Paragraphedeliste"/>
        <w:numPr>
          <w:ilvl w:val="0"/>
          <w:numId w:val="53"/>
        </w:numPr>
        <w:spacing w:before="120" w:after="120" w:line="240" w:lineRule="auto"/>
        <w:ind w:left="1068"/>
        <w:contextualSpacing w:val="0"/>
        <w:jc w:val="both"/>
        <w:rPr>
          <w:rFonts w:ascii="Arial" w:hAnsi="Arial" w:cs="Arial"/>
        </w:rPr>
      </w:pPr>
      <w:r w:rsidRPr="00D3414B">
        <w:rPr>
          <w:rFonts w:ascii="Arial" w:hAnsi="Arial" w:cs="Arial"/>
        </w:rPr>
        <w:t>Les plaintes non sensibles qui touchent les activités du Projet proprement dites, les prises de décision ou les prises de position assumées par le Projet ou qui concernent les différents acteurs du projet et des sous-projets (personnels de l’UCP, les personnes affectées au projet, les contractuels ou prestataires ou partenaires de mise en œuvre exécutant les activités générées par le projet et les sous-projets) ;</w:t>
      </w:r>
    </w:p>
    <w:p w14:paraId="261B76BE" w14:textId="77777777" w:rsidR="00D3414B" w:rsidRPr="00D3414B" w:rsidRDefault="00D3414B" w:rsidP="00687DD2">
      <w:pPr>
        <w:pStyle w:val="Paragraphedeliste"/>
        <w:numPr>
          <w:ilvl w:val="0"/>
          <w:numId w:val="53"/>
        </w:numPr>
        <w:spacing w:before="120" w:after="120" w:line="240" w:lineRule="auto"/>
        <w:ind w:left="1068"/>
        <w:contextualSpacing w:val="0"/>
        <w:jc w:val="both"/>
        <w:rPr>
          <w:rFonts w:ascii="Arial" w:hAnsi="Arial" w:cs="Arial"/>
        </w:rPr>
      </w:pPr>
      <w:r w:rsidRPr="00D3414B">
        <w:rPr>
          <w:rFonts w:ascii="Arial" w:hAnsi="Arial" w:cs="Arial"/>
        </w:rPr>
        <w:t>Les plaintes graves ou plaintes dites sensibles qui concernent les cas de présomption de corruption, de violence basée sur le genre ou d’abus sexuel sur les enfants qui nécessitent des procédures de traitement spécifiques basées sur des investigations confidentielles.</w:t>
      </w:r>
    </w:p>
    <w:p w14:paraId="06A712BF" w14:textId="77777777" w:rsidR="00D3414B" w:rsidRPr="00D3414B" w:rsidRDefault="00D3414B" w:rsidP="00D3414B">
      <w:pPr>
        <w:jc w:val="both"/>
        <w:rPr>
          <w:rFonts w:ascii="Arial" w:hAnsi="Arial" w:cs="Arial"/>
          <w:szCs w:val="24"/>
        </w:rPr>
      </w:pPr>
      <w:r w:rsidRPr="00D3414B">
        <w:rPr>
          <w:rFonts w:ascii="Arial" w:hAnsi="Arial" w:cs="Arial"/>
          <w:szCs w:val="24"/>
        </w:rPr>
        <w:t>Les plaintes peuvent prendre la forme de doléances (insatisfaction par rapport au non-respect de ce qui a été convenu), de réclamations (demande pour obtenir ce à quoi on pense avoir le droit), de dénonciation (signalement de la culpabilité d’autrui) ou de suggestions (proposition d’idée pour améliorer l’intervention du projet).</w:t>
      </w:r>
    </w:p>
    <w:p w14:paraId="5286D3F2" w14:textId="77777777" w:rsidR="00D3414B" w:rsidRPr="00D3414B" w:rsidRDefault="00D3414B" w:rsidP="00D3414B">
      <w:pPr>
        <w:jc w:val="both"/>
        <w:rPr>
          <w:rFonts w:ascii="Arial" w:hAnsi="Arial" w:cs="Arial"/>
          <w:szCs w:val="24"/>
        </w:rPr>
      </w:pPr>
      <w:r w:rsidRPr="00D3414B">
        <w:rPr>
          <w:rFonts w:ascii="Arial" w:hAnsi="Arial" w:cs="Arial"/>
          <w:szCs w:val="24"/>
        </w:rPr>
        <w:t>Les plaintes anonymes (orales ou écrites) sont aussi recevables et subiront le même procédé de traitement que les plaintes avec les coordonnées du plaignant.</w:t>
      </w:r>
    </w:p>
    <w:p w14:paraId="197DCB59" w14:textId="77777777" w:rsidR="00F934BA" w:rsidRPr="007F78CE" w:rsidRDefault="00F934BA" w:rsidP="0044500E">
      <w:pPr>
        <w:pStyle w:val="TIT2"/>
        <w:numPr>
          <w:ilvl w:val="1"/>
          <w:numId w:val="177"/>
        </w:numPr>
      </w:pPr>
      <w:bookmarkStart w:id="1637" w:name="_Toc45820631"/>
      <w:bookmarkStart w:id="1638" w:name="_Toc46903561"/>
      <w:bookmarkStart w:id="1639" w:name="_Toc92308166"/>
      <w:bookmarkStart w:id="1640" w:name="_Toc119312986"/>
      <w:bookmarkStart w:id="1641" w:name="_Toc124314821"/>
      <w:bookmarkStart w:id="1642" w:name="_Toc124956361"/>
      <w:bookmarkStart w:id="1643" w:name="_Toc125384708"/>
      <w:bookmarkStart w:id="1644" w:name="_Toc125385097"/>
      <w:bookmarkStart w:id="1645" w:name="_Toc127957766"/>
      <w:r w:rsidRPr="007F78CE">
        <w:t>S</w:t>
      </w:r>
      <w:r w:rsidR="00990511">
        <w:t>tructuration</w:t>
      </w:r>
      <w:r w:rsidRPr="007F78CE">
        <w:t xml:space="preserve"> </w:t>
      </w:r>
      <w:r w:rsidR="00990511">
        <w:t>et description</w:t>
      </w:r>
      <w:r w:rsidRPr="007F78CE">
        <w:t xml:space="preserve"> du mécanisme proposé</w:t>
      </w:r>
      <w:bookmarkEnd w:id="1637"/>
      <w:bookmarkEnd w:id="1638"/>
      <w:bookmarkEnd w:id="1639"/>
      <w:bookmarkEnd w:id="1640"/>
      <w:bookmarkEnd w:id="1641"/>
      <w:bookmarkEnd w:id="1642"/>
      <w:bookmarkEnd w:id="1643"/>
      <w:bookmarkEnd w:id="1644"/>
      <w:bookmarkEnd w:id="1645"/>
    </w:p>
    <w:p w14:paraId="09EEE668" w14:textId="77777777" w:rsidR="00F934BA" w:rsidRPr="00F934BA" w:rsidRDefault="00F934BA" w:rsidP="00F934BA">
      <w:pPr>
        <w:jc w:val="both"/>
        <w:rPr>
          <w:rFonts w:ascii="Arial" w:hAnsi="Arial" w:cs="Arial"/>
          <w:szCs w:val="24"/>
        </w:rPr>
      </w:pPr>
      <w:r w:rsidRPr="00F934BA">
        <w:rPr>
          <w:rFonts w:ascii="Arial" w:hAnsi="Arial" w:cs="Arial"/>
          <w:szCs w:val="24"/>
        </w:rPr>
        <w:t>Le MGP à mettre en place dans le cadre du projet DECIM évolue dans un milieu favorable à un règlement endogène et efficient. Par rapport au type de plaintes, trois procédures de traitement se dégagent dans ce MGP. Il s’agit :</w:t>
      </w:r>
    </w:p>
    <w:p w14:paraId="2D09EBCA" w14:textId="77777777" w:rsidR="00F934BA" w:rsidRPr="00F934BA" w:rsidRDefault="00F934BA" w:rsidP="00687DD2">
      <w:pPr>
        <w:pStyle w:val="Paragraphedeliste"/>
        <w:numPr>
          <w:ilvl w:val="0"/>
          <w:numId w:val="53"/>
        </w:numPr>
        <w:spacing w:before="120" w:after="120" w:line="240" w:lineRule="auto"/>
        <w:ind w:left="1068"/>
        <w:contextualSpacing w:val="0"/>
        <w:jc w:val="both"/>
        <w:rPr>
          <w:rFonts w:ascii="Arial" w:hAnsi="Arial" w:cs="Arial"/>
          <w:szCs w:val="20"/>
        </w:rPr>
      </w:pPr>
      <w:r w:rsidRPr="00F934BA">
        <w:rPr>
          <w:rFonts w:ascii="Arial" w:hAnsi="Arial" w:cs="Arial"/>
          <w:szCs w:val="20"/>
        </w:rPr>
        <w:t>Des procédures dites standards concernant le traitement des plaintes non sensibles (plaintes liées directement ou indirectement aux activités générées par les composantes et les sous-projets du Projet) ;</w:t>
      </w:r>
    </w:p>
    <w:p w14:paraId="70A76D36" w14:textId="77777777" w:rsidR="00F934BA" w:rsidRPr="00F934BA" w:rsidRDefault="00F934BA" w:rsidP="00687DD2">
      <w:pPr>
        <w:pStyle w:val="Paragraphedeliste"/>
        <w:numPr>
          <w:ilvl w:val="0"/>
          <w:numId w:val="53"/>
        </w:numPr>
        <w:spacing w:before="120" w:after="120" w:line="240" w:lineRule="auto"/>
        <w:ind w:left="1068"/>
        <w:contextualSpacing w:val="0"/>
        <w:jc w:val="both"/>
        <w:rPr>
          <w:sz w:val="24"/>
        </w:rPr>
      </w:pPr>
      <w:r w:rsidRPr="00F934BA">
        <w:rPr>
          <w:rFonts w:ascii="Arial" w:hAnsi="Arial" w:cs="Arial"/>
          <w:szCs w:val="20"/>
        </w:rPr>
        <w:t>Des procédures particulières pour le traitement des plaintes liées aux cadres et personnels du projet que ce soit au niveau du comité de pilotage, de l’Unité de Coordination ;</w:t>
      </w:r>
    </w:p>
    <w:p w14:paraId="62159FBC" w14:textId="77777777" w:rsidR="00F934BA" w:rsidRPr="00F934BA" w:rsidRDefault="00F934BA" w:rsidP="00687DD2">
      <w:pPr>
        <w:pStyle w:val="Paragraphedeliste"/>
        <w:numPr>
          <w:ilvl w:val="0"/>
          <w:numId w:val="53"/>
        </w:numPr>
        <w:spacing w:before="120" w:after="120" w:line="240" w:lineRule="auto"/>
        <w:ind w:left="1068"/>
        <w:contextualSpacing w:val="0"/>
        <w:jc w:val="both"/>
        <w:rPr>
          <w:rFonts w:ascii="Arial" w:hAnsi="Arial" w:cs="Arial"/>
          <w:szCs w:val="20"/>
        </w:rPr>
      </w:pPr>
      <w:r w:rsidRPr="00F934BA">
        <w:rPr>
          <w:rFonts w:ascii="Arial" w:hAnsi="Arial" w:cs="Arial"/>
          <w:szCs w:val="20"/>
        </w:rPr>
        <w:t>Des procédures spécifiques pour le traitement des plaintes dites sensibles</w:t>
      </w:r>
      <w:r w:rsidR="00D23B6A">
        <w:rPr>
          <w:rFonts w:ascii="Arial" w:hAnsi="Arial" w:cs="Arial"/>
          <w:szCs w:val="20"/>
        </w:rPr>
        <w:t>.</w:t>
      </w:r>
    </w:p>
    <w:p w14:paraId="729DD785" w14:textId="77777777" w:rsidR="00F934BA" w:rsidRPr="00F934BA" w:rsidRDefault="00F934BA" w:rsidP="0044500E">
      <w:pPr>
        <w:pStyle w:val="TIT3"/>
        <w:numPr>
          <w:ilvl w:val="2"/>
          <w:numId w:val="177"/>
        </w:numPr>
      </w:pPr>
      <w:bookmarkStart w:id="1646" w:name="_Toc124956362"/>
      <w:bookmarkStart w:id="1647" w:name="_Toc46903562"/>
      <w:bookmarkStart w:id="1648" w:name="_Toc92308167"/>
      <w:bookmarkStart w:id="1649" w:name="_Toc119312987"/>
      <w:bookmarkStart w:id="1650" w:name="_Toc124314822"/>
      <w:bookmarkStart w:id="1651" w:name="_Toc125384709"/>
      <w:bookmarkStart w:id="1652" w:name="_Toc125385098"/>
      <w:bookmarkStart w:id="1653" w:name="_Toc127957767"/>
      <w:r w:rsidRPr="00F934BA">
        <w:t>P</w:t>
      </w:r>
      <w:r w:rsidR="00990511">
        <w:t>rocédures</w:t>
      </w:r>
      <w:r w:rsidRPr="00F934BA">
        <w:t xml:space="preserve"> </w:t>
      </w:r>
      <w:r w:rsidR="00990511">
        <w:t>standards</w:t>
      </w:r>
      <w:r w:rsidRPr="00F934BA">
        <w:t xml:space="preserve"> </w:t>
      </w:r>
      <w:r w:rsidR="00990511">
        <w:t>de</w:t>
      </w:r>
      <w:r w:rsidRPr="00F934BA">
        <w:t xml:space="preserve"> </w:t>
      </w:r>
      <w:r w:rsidR="00990511">
        <w:t>traitement</w:t>
      </w:r>
      <w:r w:rsidRPr="00F934BA">
        <w:t xml:space="preserve"> </w:t>
      </w:r>
      <w:r w:rsidR="00990511">
        <w:t>des</w:t>
      </w:r>
      <w:r w:rsidRPr="00F934BA">
        <w:t xml:space="preserve"> </w:t>
      </w:r>
      <w:r w:rsidR="00990511">
        <w:t>plaintes</w:t>
      </w:r>
      <w:bookmarkEnd w:id="1646"/>
      <w:bookmarkEnd w:id="1647"/>
      <w:bookmarkEnd w:id="1648"/>
      <w:bookmarkEnd w:id="1649"/>
      <w:bookmarkEnd w:id="1650"/>
      <w:bookmarkEnd w:id="1651"/>
      <w:bookmarkEnd w:id="1652"/>
      <w:bookmarkEnd w:id="1653"/>
    </w:p>
    <w:p w14:paraId="2C61FC8F" w14:textId="77777777" w:rsidR="00F934BA" w:rsidRPr="00F934BA" w:rsidRDefault="00F934BA" w:rsidP="00F934BA">
      <w:pPr>
        <w:jc w:val="both"/>
        <w:rPr>
          <w:rFonts w:ascii="Arial" w:hAnsi="Arial" w:cs="Arial"/>
          <w:szCs w:val="24"/>
        </w:rPr>
      </w:pPr>
      <w:r w:rsidRPr="00F934BA">
        <w:rPr>
          <w:rFonts w:ascii="Arial" w:hAnsi="Arial" w:cs="Arial"/>
          <w:szCs w:val="24"/>
        </w:rPr>
        <w:t>Le MGP privilégie la résolution des plaintes au niveau local, à l’amiable issu des modes de règlement de litiges utilisés par la société voire par la tradition. La mobilisation du mécanisme judiciaire est considérée comme un dernier recours lorsque toutes les médiations à différents niveaux ont échoué. Mais cela n’enlève pas le droit pour toute personne de porter plainte directement au tribunal.</w:t>
      </w:r>
    </w:p>
    <w:p w14:paraId="4622BB83" w14:textId="77777777" w:rsidR="00F934BA" w:rsidRPr="00F934BA" w:rsidRDefault="00F934BA" w:rsidP="00F934BA">
      <w:pPr>
        <w:jc w:val="both"/>
        <w:rPr>
          <w:rFonts w:ascii="Arial" w:hAnsi="Arial" w:cs="Arial"/>
          <w:szCs w:val="24"/>
        </w:rPr>
      </w:pPr>
      <w:r w:rsidRPr="00F934BA">
        <w:rPr>
          <w:rFonts w:ascii="Arial" w:hAnsi="Arial" w:cs="Arial"/>
          <w:szCs w:val="24"/>
        </w:rPr>
        <w:t>Toutes les plaintes doivent être écrites et enregistrées. Ainsi, un registre des doléances doit être mis à la disposition de la population au niveau de chaque Fokontany et des communes bénéficiaires. De ce fait, toute doléance écrite ou verbale reçue par le Projet de la part des personnes physiques et/ou morales sur les sites des sous-projets ou dans le cadre de la conduite de ses activités doit être enregistrée dans ce registre. Toutefois, une doléance écrite sur main libre est également recevable mais elle devra être transcrite dans le registre.</w:t>
      </w:r>
      <w:r w:rsidR="00C7540B">
        <w:rPr>
          <w:rFonts w:ascii="Arial" w:hAnsi="Arial" w:cs="Arial"/>
          <w:szCs w:val="24"/>
        </w:rPr>
        <w:t xml:space="preserve"> Un modèle de fiche de doléance est inséré en annexe 5 du présent document.</w:t>
      </w:r>
    </w:p>
    <w:p w14:paraId="3D8067F5" w14:textId="77777777" w:rsidR="00F934BA" w:rsidRPr="00F934BA" w:rsidRDefault="00F934BA" w:rsidP="00F934BA">
      <w:pPr>
        <w:jc w:val="both"/>
        <w:rPr>
          <w:rFonts w:ascii="Arial" w:hAnsi="Arial" w:cs="Arial"/>
          <w:szCs w:val="24"/>
        </w:rPr>
      </w:pPr>
      <w:r w:rsidRPr="00F934BA">
        <w:rPr>
          <w:rFonts w:ascii="Arial" w:hAnsi="Arial" w:cs="Arial"/>
          <w:szCs w:val="24"/>
        </w:rPr>
        <w:t xml:space="preserve">D’autre part, le </w:t>
      </w:r>
      <w:r w:rsidR="00596080">
        <w:rPr>
          <w:rFonts w:ascii="Arial" w:hAnsi="Arial" w:cs="Arial"/>
          <w:szCs w:val="24"/>
        </w:rPr>
        <w:t>P</w:t>
      </w:r>
      <w:r w:rsidRPr="00F934BA">
        <w:rPr>
          <w:rFonts w:ascii="Arial" w:hAnsi="Arial" w:cs="Arial"/>
          <w:szCs w:val="24"/>
        </w:rPr>
        <w:t>rojet mettra en place d’autres alternatives pour l’enregistrement de</w:t>
      </w:r>
      <w:r w:rsidR="001125D9">
        <w:rPr>
          <w:rFonts w:ascii="Arial" w:hAnsi="Arial" w:cs="Arial"/>
          <w:szCs w:val="24"/>
        </w:rPr>
        <w:t>s</w:t>
      </w:r>
      <w:r w:rsidRPr="00F934BA">
        <w:rPr>
          <w:rFonts w:ascii="Arial" w:hAnsi="Arial" w:cs="Arial"/>
          <w:szCs w:val="24"/>
        </w:rPr>
        <w:t xml:space="preserve"> plainte</w:t>
      </w:r>
      <w:r w:rsidR="001125D9">
        <w:rPr>
          <w:rFonts w:ascii="Arial" w:hAnsi="Arial" w:cs="Arial"/>
          <w:szCs w:val="24"/>
        </w:rPr>
        <w:t>s</w:t>
      </w:r>
      <w:r w:rsidRPr="00F934BA">
        <w:rPr>
          <w:rFonts w:ascii="Arial" w:hAnsi="Arial" w:cs="Arial"/>
          <w:szCs w:val="24"/>
        </w:rPr>
        <w:t xml:space="preserve"> dans le but d’une prise en charge plus large des divers types de réclamation</w:t>
      </w:r>
      <w:r w:rsidR="001125D9">
        <w:rPr>
          <w:rFonts w:ascii="Arial" w:hAnsi="Arial" w:cs="Arial"/>
          <w:szCs w:val="24"/>
        </w:rPr>
        <w:t>s</w:t>
      </w:r>
      <w:r w:rsidRPr="00F934BA">
        <w:rPr>
          <w:rFonts w:ascii="Arial" w:hAnsi="Arial" w:cs="Arial"/>
          <w:szCs w:val="24"/>
        </w:rPr>
        <w:t>. Il s’agit de l’ouverture d’un numéro vert, car il y aurait des aspects de plaintes telles les dénonciations par exemple qui seraient difficilement capturables par le registre.</w:t>
      </w:r>
    </w:p>
    <w:p w14:paraId="0220F3E8" w14:textId="77777777" w:rsidR="00F934BA" w:rsidRPr="00F934BA" w:rsidRDefault="00F934BA" w:rsidP="00F934BA">
      <w:pPr>
        <w:jc w:val="both"/>
        <w:rPr>
          <w:rFonts w:ascii="Arial" w:hAnsi="Arial" w:cs="Arial"/>
          <w:szCs w:val="24"/>
        </w:rPr>
      </w:pPr>
      <w:r w:rsidRPr="00F934BA">
        <w:rPr>
          <w:rFonts w:ascii="Arial" w:hAnsi="Arial" w:cs="Arial"/>
          <w:szCs w:val="24"/>
        </w:rPr>
        <w:t>L’existence du registre des doléances, du numéro vert et les conditions d’accès (où sont localisés les registres, qui s’en charge de la réception et de l’enregistrement des plaintes, etc.) sont largement diffusées aux populations locales (plus particulièrement les populations affectées par le Projet) et aux parties prenantes dans le cadre des activités de consultation et d’information. Des modèles de réception (fiche de plainte) et d’enregistrement (registre d’enregistrement) sont proposés en annexe de ce document.</w:t>
      </w:r>
    </w:p>
    <w:p w14:paraId="4539ACD9" w14:textId="77777777" w:rsidR="00F934BA" w:rsidRPr="0062408C" w:rsidRDefault="00F934BA" w:rsidP="0062408C">
      <w:pPr>
        <w:jc w:val="both"/>
        <w:rPr>
          <w:rFonts w:ascii="Arial" w:hAnsi="Arial" w:cs="Arial"/>
          <w:szCs w:val="24"/>
        </w:rPr>
      </w:pPr>
      <w:r w:rsidRPr="0062408C">
        <w:rPr>
          <w:rFonts w:ascii="Arial" w:hAnsi="Arial" w:cs="Arial"/>
          <w:szCs w:val="24"/>
        </w:rPr>
        <w:t xml:space="preserve">En résumé, les plaintes et doléances collectées et enregistrées au niveau local seront traitées suivant le processus </w:t>
      </w:r>
      <w:r w:rsidR="0062408C" w:rsidRPr="0062408C">
        <w:rPr>
          <w:rFonts w:ascii="Arial" w:hAnsi="Arial" w:cs="Arial"/>
          <w:szCs w:val="24"/>
        </w:rPr>
        <w:t xml:space="preserve">résumé dans le tableau </w:t>
      </w:r>
      <w:r w:rsidRPr="0062408C">
        <w:rPr>
          <w:rFonts w:ascii="Arial" w:hAnsi="Arial" w:cs="Arial"/>
          <w:szCs w:val="24"/>
        </w:rPr>
        <w:t>ci-après.</w:t>
      </w:r>
    </w:p>
    <w:p w14:paraId="50A8E90F" w14:textId="77777777" w:rsidR="0062408C" w:rsidRPr="00886A9E" w:rsidRDefault="0062408C" w:rsidP="00886A9E">
      <w:pPr>
        <w:pStyle w:val="Lgende"/>
        <w:spacing w:before="120"/>
        <w:jc w:val="center"/>
        <w:rPr>
          <w:sz w:val="20"/>
        </w:rPr>
      </w:pPr>
      <w:bookmarkStart w:id="1654" w:name="_Toc127957896"/>
      <w:r w:rsidRPr="00886A9E">
        <w:rPr>
          <w:sz w:val="20"/>
        </w:rPr>
        <w:t xml:space="preserve">Tableau </w:t>
      </w:r>
      <w:r w:rsidR="001D232E" w:rsidRPr="00886A9E">
        <w:rPr>
          <w:sz w:val="20"/>
        </w:rPr>
        <w:fldChar w:fldCharType="begin"/>
      </w:r>
      <w:r w:rsidR="001D232E" w:rsidRPr="00886A9E">
        <w:rPr>
          <w:sz w:val="20"/>
        </w:rPr>
        <w:instrText xml:space="preserve"> SEQ Tableau \* ARABIC </w:instrText>
      </w:r>
      <w:r w:rsidR="001D232E" w:rsidRPr="00886A9E">
        <w:rPr>
          <w:sz w:val="20"/>
        </w:rPr>
        <w:fldChar w:fldCharType="separate"/>
      </w:r>
      <w:r w:rsidR="005430A1">
        <w:rPr>
          <w:noProof/>
          <w:sz w:val="20"/>
        </w:rPr>
        <w:t>100</w:t>
      </w:r>
      <w:r w:rsidR="001D232E" w:rsidRPr="00886A9E">
        <w:rPr>
          <w:sz w:val="20"/>
        </w:rPr>
        <w:fldChar w:fldCharType="end"/>
      </w:r>
      <w:r w:rsidR="00990511">
        <w:rPr>
          <w:sz w:val="20"/>
        </w:rPr>
        <w:t>.</w:t>
      </w:r>
      <w:r w:rsidRPr="00886A9E">
        <w:rPr>
          <w:sz w:val="20"/>
        </w:rPr>
        <w:t xml:space="preserve"> Niveaux et processus de traitement de plaintes</w:t>
      </w:r>
      <w:bookmarkEnd w:id="1654"/>
    </w:p>
    <w:tbl>
      <w:tblPr>
        <w:tblW w:w="932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101"/>
        <w:gridCol w:w="1701"/>
        <w:gridCol w:w="2409"/>
        <w:gridCol w:w="2835"/>
        <w:gridCol w:w="1276"/>
      </w:tblGrid>
      <w:tr w:rsidR="0063584D" w:rsidRPr="007F78CE" w14:paraId="0B8A7CFB" w14:textId="77777777" w:rsidTr="007F78CE">
        <w:tc>
          <w:tcPr>
            <w:tcW w:w="1101" w:type="dxa"/>
            <w:tcBorders>
              <w:top w:val="single" w:sz="8" w:space="0" w:color="4F81BD"/>
              <w:left w:val="single" w:sz="8" w:space="0" w:color="4F81BD"/>
              <w:bottom w:val="single" w:sz="18" w:space="0" w:color="4F81BD"/>
              <w:right w:val="single" w:sz="8" w:space="0" w:color="4F81BD"/>
            </w:tcBorders>
            <w:shd w:val="clear" w:color="auto" w:fill="auto"/>
            <w:vAlign w:val="center"/>
          </w:tcPr>
          <w:p w14:paraId="7B01C853" w14:textId="77777777" w:rsidR="0062408C" w:rsidRPr="007F78CE" w:rsidRDefault="0062408C" w:rsidP="007F78CE">
            <w:pPr>
              <w:pStyle w:val="Default"/>
              <w:jc w:val="center"/>
              <w:rPr>
                <w:rFonts w:eastAsia="Times New Roman"/>
                <w:b/>
                <w:bCs/>
                <w:color w:val="auto"/>
                <w:sz w:val="18"/>
                <w:szCs w:val="18"/>
                <w:lang w:val="fr-ML"/>
              </w:rPr>
            </w:pPr>
            <w:r w:rsidRPr="007F78CE">
              <w:rPr>
                <w:rFonts w:eastAsia="Times New Roman"/>
                <w:b/>
                <w:bCs/>
                <w:color w:val="auto"/>
                <w:sz w:val="18"/>
                <w:szCs w:val="18"/>
                <w:lang w:val="fr-ML"/>
              </w:rPr>
              <w:t>Niveau</w:t>
            </w:r>
          </w:p>
        </w:tc>
        <w:tc>
          <w:tcPr>
            <w:tcW w:w="1701" w:type="dxa"/>
            <w:tcBorders>
              <w:top w:val="single" w:sz="8" w:space="0" w:color="4F81BD"/>
              <w:left w:val="single" w:sz="8" w:space="0" w:color="4F81BD"/>
              <w:bottom w:val="single" w:sz="18" w:space="0" w:color="4F81BD"/>
              <w:right w:val="single" w:sz="8" w:space="0" w:color="4F81BD"/>
            </w:tcBorders>
            <w:shd w:val="clear" w:color="auto" w:fill="auto"/>
            <w:vAlign w:val="center"/>
          </w:tcPr>
          <w:p w14:paraId="0E6F1D3A" w14:textId="77777777" w:rsidR="0062408C" w:rsidRPr="007F78CE" w:rsidRDefault="0062408C" w:rsidP="007F78CE">
            <w:pPr>
              <w:pStyle w:val="Default"/>
              <w:jc w:val="center"/>
              <w:rPr>
                <w:rFonts w:eastAsia="Times New Roman"/>
                <w:b/>
                <w:bCs/>
                <w:color w:val="auto"/>
                <w:sz w:val="18"/>
                <w:szCs w:val="18"/>
                <w:lang w:val="fr-ML"/>
              </w:rPr>
            </w:pPr>
            <w:r w:rsidRPr="007F78CE">
              <w:rPr>
                <w:rFonts w:eastAsia="Times New Roman"/>
                <w:b/>
                <w:bCs/>
                <w:color w:val="auto"/>
                <w:sz w:val="18"/>
                <w:szCs w:val="18"/>
                <w:lang w:val="fr-ML"/>
              </w:rPr>
              <w:t>Activités</w:t>
            </w:r>
          </w:p>
        </w:tc>
        <w:tc>
          <w:tcPr>
            <w:tcW w:w="2409" w:type="dxa"/>
            <w:tcBorders>
              <w:top w:val="single" w:sz="8" w:space="0" w:color="4F81BD"/>
              <w:left w:val="single" w:sz="8" w:space="0" w:color="4F81BD"/>
              <w:bottom w:val="single" w:sz="18" w:space="0" w:color="4F81BD"/>
              <w:right w:val="single" w:sz="8" w:space="0" w:color="4F81BD"/>
            </w:tcBorders>
            <w:shd w:val="clear" w:color="auto" w:fill="auto"/>
            <w:vAlign w:val="center"/>
          </w:tcPr>
          <w:p w14:paraId="57C10453" w14:textId="77777777" w:rsidR="0062408C" w:rsidRPr="007F78CE" w:rsidRDefault="0062408C" w:rsidP="007F78CE">
            <w:pPr>
              <w:pStyle w:val="Default"/>
              <w:jc w:val="center"/>
              <w:rPr>
                <w:rFonts w:eastAsia="Times New Roman"/>
                <w:b/>
                <w:bCs/>
                <w:color w:val="auto"/>
                <w:sz w:val="18"/>
                <w:szCs w:val="18"/>
                <w:lang w:val="fr-ML"/>
              </w:rPr>
            </w:pPr>
            <w:r w:rsidRPr="007F78CE">
              <w:rPr>
                <w:rFonts w:eastAsia="Times New Roman"/>
                <w:b/>
                <w:bCs/>
                <w:color w:val="auto"/>
                <w:sz w:val="18"/>
                <w:szCs w:val="18"/>
                <w:lang w:val="fr-ML"/>
              </w:rPr>
              <w:t>Personnes responsables</w:t>
            </w:r>
          </w:p>
        </w:tc>
        <w:tc>
          <w:tcPr>
            <w:tcW w:w="2835" w:type="dxa"/>
            <w:tcBorders>
              <w:top w:val="single" w:sz="8" w:space="0" w:color="4F81BD"/>
              <w:left w:val="single" w:sz="8" w:space="0" w:color="4F81BD"/>
              <w:bottom w:val="single" w:sz="18" w:space="0" w:color="4F81BD"/>
              <w:right w:val="single" w:sz="8" w:space="0" w:color="4F81BD"/>
            </w:tcBorders>
            <w:shd w:val="clear" w:color="auto" w:fill="auto"/>
            <w:vAlign w:val="center"/>
          </w:tcPr>
          <w:p w14:paraId="22CFBE38" w14:textId="77777777" w:rsidR="0062408C" w:rsidRPr="007F78CE" w:rsidRDefault="0062408C" w:rsidP="007F78CE">
            <w:pPr>
              <w:pStyle w:val="Default"/>
              <w:jc w:val="center"/>
              <w:rPr>
                <w:rFonts w:eastAsia="Times New Roman"/>
                <w:b/>
                <w:bCs/>
                <w:color w:val="auto"/>
                <w:sz w:val="18"/>
                <w:szCs w:val="18"/>
                <w:lang w:val="fr-ML"/>
              </w:rPr>
            </w:pPr>
            <w:r w:rsidRPr="007F78CE">
              <w:rPr>
                <w:rFonts w:eastAsia="Times New Roman"/>
                <w:b/>
                <w:bCs/>
                <w:color w:val="auto"/>
                <w:sz w:val="18"/>
                <w:szCs w:val="18"/>
                <w:lang w:val="fr-ML"/>
              </w:rPr>
              <w:t>Pièces justificatives</w:t>
            </w:r>
          </w:p>
        </w:tc>
        <w:tc>
          <w:tcPr>
            <w:tcW w:w="1276" w:type="dxa"/>
            <w:tcBorders>
              <w:top w:val="single" w:sz="8" w:space="0" w:color="4F81BD"/>
              <w:left w:val="single" w:sz="8" w:space="0" w:color="4F81BD"/>
              <w:bottom w:val="single" w:sz="18" w:space="0" w:color="4F81BD"/>
              <w:right w:val="single" w:sz="8" w:space="0" w:color="4F81BD"/>
            </w:tcBorders>
            <w:shd w:val="clear" w:color="auto" w:fill="auto"/>
            <w:vAlign w:val="center"/>
          </w:tcPr>
          <w:p w14:paraId="16C12A8F" w14:textId="77777777" w:rsidR="0062408C" w:rsidRPr="007F78CE" w:rsidRDefault="0062408C" w:rsidP="007F78CE">
            <w:pPr>
              <w:pStyle w:val="Default"/>
              <w:jc w:val="center"/>
              <w:rPr>
                <w:rFonts w:eastAsia="Times New Roman"/>
                <w:b/>
                <w:bCs/>
                <w:color w:val="auto"/>
                <w:sz w:val="18"/>
                <w:szCs w:val="18"/>
                <w:lang w:val="fr-ML"/>
              </w:rPr>
            </w:pPr>
            <w:r w:rsidRPr="007F78CE">
              <w:rPr>
                <w:rFonts w:eastAsia="Times New Roman"/>
                <w:b/>
                <w:bCs/>
                <w:color w:val="auto"/>
                <w:sz w:val="18"/>
                <w:szCs w:val="18"/>
                <w:lang w:val="fr-ML"/>
              </w:rPr>
              <w:t>Durée de traitement</w:t>
            </w:r>
          </w:p>
        </w:tc>
      </w:tr>
      <w:tr w:rsidR="0063584D" w:rsidRPr="007F78CE" w14:paraId="33644290" w14:textId="77777777" w:rsidTr="007F78CE">
        <w:tc>
          <w:tcPr>
            <w:tcW w:w="1101" w:type="dxa"/>
            <w:tcBorders>
              <w:top w:val="single" w:sz="8" w:space="0" w:color="4F81BD"/>
              <w:left w:val="single" w:sz="8" w:space="0" w:color="4F81BD"/>
              <w:bottom w:val="single" w:sz="8" w:space="0" w:color="4F81BD"/>
              <w:right w:val="single" w:sz="8" w:space="0" w:color="4F81BD"/>
            </w:tcBorders>
            <w:shd w:val="clear" w:color="auto" w:fill="D3DFEE"/>
          </w:tcPr>
          <w:p w14:paraId="5AE9522B" w14:textId="77777777" w:rsidR="0062408C" w:rsidRPr="007F78CE" w:rsidRDefault="0062408C" w:rsidP="00D34BFF">
            <w:pPr>
              <w:pStyle w:val="Default"/>
              <w:rPr>
                <w:rFonts w:eastAsia="Times New Roman"/>
                <w:b/>
                <w:bCs/>
                <w:color w:val="auto"/>
                <w:sz w:val="18"/>
                <w:szCs w:val="18"/>
                <w:lang w:val="fr-ML"/>
              </w:rPr>
            </w:pPr>
            <w:r w:rsidRPr="007F78CE">
              <w:rPr>
                <w:rFonts w:eastAsia="Times New Roman"/>
                <w:b/>
                <w:bCs/>
                <w:color w:val="auto"/>
                <w:sz w:val="18"/>
                <w:szCs w:val="18"/>
                <w:lang w:val="fr-ML"/>
              </w:rPr>
              <w:t>Niveau 0</w:t>
            </w: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14:paraId="4402232C" w14:textId="77777777" w:rsidR="0062408C" w:rsidRPr="007F78CE" w:rsidRDefault="0062408C" w:rsidP="00D34BFF">
            <w:pPr>
              <w:pStyle w:val="Default"/>
              <w:rPr>
                <w:b/>
                <w:sz w:val="18"/>
                <w:szCs w:val="18"/>
                <w:lang w:val="fr-ML"/>
              </w:rPr>
            </w:pPr>
            <w:r w:rsidRPr="007F78CE">
              <w:rPr>
                <w:sz w:val="18"/>
                <w:szCs w:val="18"/>
                <w:lang w:val="fr-ML"/>
              </w:rPr>
              <w:t>Réception plainte au niveau de la mairie ou président fokontany</w:t>
            </w:r>
          </w:p>
        </w:tc>
        <w:tc>
          <w:tcPr>
            <w:tcW w:w="2409" w:type="dxa"/>
            <w:tcBorders>
              <w:top w:val="single" w:sz="8" w:space="0" w:color="4F81BD"/>
              <w:left w:val="single" w:sz="8" w:space="0" w:color="4F81BD"/>
              <w:bottom w:val="single" w:sz="8" w:space="0" w:color="4F81BD"/>
              <w:right w:val="single" w:sz="8" w:space="0" w:color="4F81BD"/>
            </w:tcBorders>
            <w:shd w:val="clear" w:color="auto" w:fill="D3DFEE"/>
          </w:tcPr>
          <w:p w14:paraId="210C29E0" w14:textId="77777777" w:rsidR="0062408C" w:rsidRPr="007F78CE" w:rsidRDefault="0062408C" w:rsidP="00D34BFF">
            <w:pPr>
              <w:pStyle w:val="Default"/>
              <w:rPr>
                <w:b/>
                <w:sz w:val="18"/>
                <w:szCs w:val="18"/>
                <w:lang w:val="fr-ML"/>
              </w:rPr>
            </w:pPr>
            <w:r w:rsidRPr="007F78CE">
              <w:rPr>
                <w:sz w:val="18"/>
                <w:szCs w:val="18"/>
                <w:lang w:val="fr-ML"/>
              </w:rPr>
              <w:t xml:space="preserve">Président Fokontany, Responsable de la Commune </w:t>
            </w:r>
          </w:p>
        </w:tc>
        <w:tc>
          <w:tcPr>
            <w:tcW w:w="2835" w:type="dxa"/>
            <w:tcBorders>
              <w:top w:val="single" w:sz="8" w:space="0" w:color="4F81BD"/>
              <w:left w:val="single" w:sz="8" w:space="0" w:color="4F81BD"/>
              <w:bottom w:val="single" w:sz="8" w:space="0" w:color="4F81BD"/>
              <w:right w:val="single" w:sz="8" w:space="0" w:color="4F81BD"/>
            </w:tcBorders>
            <w:shd w:val="clear" w:color="auto" w:fill="D3DFEE"/>
          </w:tcPr>
          <w:p w14:paraId="6AAF3683" w14:textId="77777777" w:rsidR="0062408C" w:rsidRPr="007F78CE" w:rsidRDefault="0062408C" w:rsidP="00D34BFF">
            <w:pPr>
              <w:pStyle w:val="Default"/>
              <w:rPr>
                <w:b/>
                <w:sz w:val="18"/>
                <w:szCs w:val="18"/>
                <w:lang w:val="fr-ML"/>
              </w:rPr>
            </w:pPr>
            <w:r w:rsidRPr="007F78CE">
              <w:rPr>
                <w:sz w:val="18"/>
                <w:szCs w:val="18"/>
                <w:lang w:val="fr-ML"/>
              </w:rPr>
              <w:t>Consignation des éléments de la plainte dans le registre déposé à cet effet.</w:t>
            </w:r>
          </w:p>
        </w:tc>
        <w:tc>
          <w:tcPr>
            <w:tcW w:w="1276" w:type="dxa"/>
            <w:tcBorders>
              <w:top w:val="single" w:sz="8" w:space="0" w:color="4F81BD"/>
              <w:left w:val="single" w:sz="8" w:space="0" w:color="4F81BD"/>
              <w:bottom w:val="single" w:sz="8" w:space="0" w:color="4F81BD"/>
              <w:right w:val="single" w:sz="8" w:space="0" w:color="4F81BD"/>
            </w:tcBorders>
            <w:shd w:val="clear" w:color="auto" w:fill="D3DFEE"/>
          </w:tcPr>
          <w:p w14:paraId="5ECB2C02" w14:textId="77777777" w:rsidR="0062408C" w:rsidRPr="007F78CE" w:rsidRDefault="0062408C" w:rsidP="007F78CE">
            <w:pPr>
              <w:autoSpaceDE w:val="0"/>
              <w:autoSpaceDN w:val="0"/>
              <w:adjustRightInd w:val="0"/>
              <w:spacing w:after="0" w:line="240" w:lineRule="auto"/>
              <w:rPr>
                <w:rFonts w:ascii="Arial" w:hAnsi="Arial" w:cs="Arial"/>
                <w:b/>
                <w:color w:val="000000"/>
                <w:sz w:val="18"/>
                <w:szCs w:val="18"/>
                <w:lang w:val="fr-ML"/>
              </w:rPr>
            </w:pPr>
            <w:r w:rsidRPr="007F78CE">
              <w:rPr>
                <w:rFonts w:ascii="Arial" w:hAnsi="Arial" w:cs="Arial"/>
                <w:color w:val="000000"/>
                <w:sz w:val="18"/>
                <w:szCs w:val="18"/>
                <w:lang w:val="fr-ML"/>
              </w:rPr>
              <w:t>1 jour</w:t>
            </w:r>
          </w:p>
        </w:tc>
      </w:tr>
      <w:tr w:rsidR="0063584D" w:rsidRPr="007F78CE" w14:paraId="2C773078" w14:textId="77777777" w:rsidTr="007F78CE">
        <w:tc>
          <w:tcPr>
            <w:tcW w:w="1101" w:type="dxa"/>
            <w:tcBorders>
              <w:top w:val="single" w:sz="8" w:space="0" w:color="4F81BD"/>
              <w:left w:val="single" w:sz="8" w:space="0" w:color="4F81BD"/>
              <w:bottom w:val="single" w:sz="8" w:space="0" w:color="4F81BD"/>
              <w:right w:val="single" w:sz="8" w:space="0" w:color="4F81BD"/>
            </w:tcBorders>
            <w:shd w:val="clear" w:color="auto" w:fill="auto"/>
          </w:tcPr>
          <w:p w14:paraId="285A4F21" w14:textId="77777777" w:rsidR="0062408C" w:rsidRPr="007F78CE" w:rsidRDefault="0062408C" w:rsidP="00D34BFF">
            <w:pPr>
              <w:pStyle w:val="Default"/>
              <w:rPr>
                <w:rFonts w:eastAsia="Times New Roman"/>
                <w:b/>
                <w:bCs/>
                <w:color w:val="auto"/>
                <w:sz w:val="18"/>
                <w:szCs w:val="18"/>
                <w:lang w:val="fr-ML"/>
              </w:rPr>
            </w:pPr>
            <w:r w:rsidRPr="007F78CE">
              <w:rPr>
                <w:rFonts w:eastAsia="Times New Roman"/>
                <w:b/>
                <w:bCs/>
                <w:color w:val="auto"/>
                <w:sz w:val="18"/>
                <w:szCs w:val="18"/>
                <w:lang w:val="fr-ML"/>
              </w:rPr>
              <w:t>Niveau 1</w:t>
            </w:r>
          </w:p>
        </w:tc>
        <w:tc>
          <w:tcPr>
            <w:tcW w:w="1701" w:type="dxa"/>
            <w:tcBorders>
              <w:top w:val="single" w:sz="8" w:space="0" w:color="4F81BD"/>
              <w:left w:val="single" w:sz="8" w:space="0" w:color="4F81BD"/>
              <w:bottom w:val="single" w:sz="8" w:space="0" w:color="4F81BD"/>
              <w:right w:val="single" w:sz="8" w:space="0" w:color="4F81BD"/>
            </w:tcBorders>
            <w:shd w:val="clear" w:color="auto" w:fill="auto"/>
          </w:tcPr>
          <w:p w14:paraId="2B9A5D09" w14:textId="77777777" w:rsidR="0062408C" w:rsidRPr="007F78CE" w:rsidRDefault="0062408C" w:rsidP="00D34BFF">
            <w:pPr>
              <w:pStyle w:val="Default"/>
              <w:rPr>
                <w:b/>
                <w:sz w:val="18"/>
                <w:szCs w:val="18"/>
                <w:lang w:val="fr-ML"/>
              </w:rPr>
            </w:pPr>
            <w:r w:rsidRPr="007F78CE">
              <w:rPr>
                <w:sz w:val="18"/>
                <w:szCs w:val="18"/>
                <w:lang w:val="fr-ML"/>
              </w:rPr>
              <w:t xml:space="preserve">Médiation au niveau Fokontany </w:t>
            </w:r>
          </w:p>
        </w:tc>
        <w:tc>
          <w:tcPr>
            <w:tcW w:w="2409" w:type="dxa"/>
            <w:tcBorders>
              <w:top w:val="single" w:sz="8" w:space="0" w:color="4F81BD"/>
              <w:left w:val="single" w:sz="8" w:space="0" w:color="4F81BD"/>
              <w:bottom w:val="single" w:sz="8" w:space="0" w:color="4F81BD"/>
              <w:right w:val="single" w:sz="8" w:space="0" w:color="4F81BD"/>
            </w:tcBorders>
            <w:shd w:val="clear" w:color="auto" w:fill="auto"/>
          </w:tcPr>
          <w:p w14:paraId="5BEFF703" w14:textId="77777777" w:rsidR="0062408C" w:rsidRPr="007F78CE" w:rsidRDefault="0062408C" w:rsidP="00D34BFF">
            <w:pPr>
              <w:pStyle w:val="Default"/>
              <w:rPr>
                <w:b/>
                <w:sz w:val="18"/>
                <w:szCs w:val="18"/>
                <w:lang w:val="fr-ML"/>
              </w:rPr>
            </w:pPr>
            <w:r w:rsidRPr="007F78CE">
              <w:rPr>
                <w:sz w:val="18"/>
                <w:szCs w:val="18"/>
                <w:lang w:val="fr-ML"/>
              </w:rPr>
              <w:t>Chef Fokontany ou son adjoint</w:t>
            </w:r>
          </w:p>
          <w:p w14:paraId="1FE418A4" w14:textId="77777777" w:rsidR="0062408C" w:rsidRPr="007F78CE" w:rsidRDefault="0062408C" w:rsidP="00D34BFF">
            <w:pPr>
              <w:pStyle w:val="Default"/>
              <w:rPr>
                <w:b/>
                <w:sz w:val="18"/>
                <w:szCs w:val="18"/>
                <w:lang w:val="fr-ML"/>
              </w:rPr>
            </w:pPr>
            <w:r w:rsidRPr="007F78CE">
              <w:rPr>
                <w:sz w:val="18"/>
                <w:szCs w:val="18"/>
                <w:lang w:val="fr-ML"/>
              </w:rPr>
              <w:t>Chef Quartier, le(s) Plaignant (s)</w:t>
            </w:r>
          </w:p>
        </w:tc>
        <w:tc>
          <w:tcPr>
            <w:tcW w:w="2835" w:type="dxa"/>
            <w:tcBorders>
              <w:top w:val="single" w:sz="8" w:space="0" w:color="4F81BD"/>
              <w:left w:val="single" w:sz="8" w:space="0" w:color="4F81BD"/>
              <w:bottom w:val="single" w:sz="8" w:space="0" w:color="4F81BD"/>
              <w:right w:val="single" w:sz="8" w:space="0" w:color="4F81BD"/>
            </w:tcBorders>
            <w:shd w:val="clear" w:color="auto" w:fill="auto"/>
          </w:tcPr>
          <w:p w14:paraId="0C920A4C" w14:textId="77777777" w:rsidR="0062408C" w:rsidRPr="007F78CE" w:rsidRDefault="0062408C" w:rsidP="00D34BFF">
            <w:pPr>
              <w:pStyle w:val="Default"/>
              <w:rPr>
                <w:b/>
                <w:sz w:val="18"/>
                <w:szCs w:val="18"/>
                <w:lang w:val="fr-ML"/>
              </w:rPr>
            </w:pPr>
            <w:r w:rsidRPr="007F78CE">
              <w:rPr>
                <w:sz w:val="18"/>
                <w:szCs w:val="18"/>
                <w:lang w:val="fr-ML"/>
              </w:rPr>
              <w:t>PV de médiation à établir chef fokontany</w:t>
            </w:r>
          </w:p>
        </w:tc>
        <w:tc>
          <w:tcPr>
            <w:tcW w:w="1276" w:type="dxa"/>
            <w:tcBorders>
              <w:top w:val="single" w:sz="8" w:space="0" w:color="4F81BD"/>
              <w:left w:val="single" w:sz="8" w:space="0" w:color="4F81BD"/>
              <w:bottom w:val="single" w:sz="8" w:space="0" w:color="4F81BD"/>
              <w:right w:val="single" w:sz="8" w:space="0" w:color="4F81BD"/>
            </w:tcBorders>
            <w:shd w:val="clear" w:color="auto" w:fill="auto"/>
          </w:tcPr>
          <w:p w14:paraId="59A1BA5C" w14:textId="77777777" w:rsidR="0062408C" w:rsidRPr="007F78CE" w:rsidRDefault="0062408C" w:rsidP="007F78CE">
            <w:pPr>
              <w:autoSpaceDE w:val="0"/>
              <w:autoSpaceDN w:val="0"/>
              <w:adjustRightInd w:val="0"/>
              <w:spacing w:after="0" w:line="240" w:lineRule="auto"/>
              <w:rPr>
                <w:rFonts w:ascii="Arial" w:hAnsi="Arial" w:cs="Arial"/>
                <w:b/>
                <w:color w:val="000000"/>
                <w:sz w:val="18"/>
                <w:szCs w:val="18"/>
                <w:lang w:val="fr-ML"/>
              </w:rPr>
            </w:pPr>
            <w:r w:rsidRPr="007F78CE">
              <w:rPr>
                <w:rFonts w:ascii="Arial" w:hAnsi="Arial" w:cs="Arial"/>
                <w:color w:val="000000"/>
                <w:sz w:val="18"/>
                <w:szCs w:val="18"/>
                <w:lang w:val="fr-ML"/>
              </w:rPr>
              <w:t xml:space="preserve">1 Jour à 1 semaine </w:t>
            </w:r>
          </w:p>
        </w:tc>
      </w:tr>
      <w:tr w:rsidR="0063584D" w:rsidRPr="007F78CE" w14:paraId="2CA8F21C" w14:textId="77777777" w:rsidTr="007F78CE">
        <w:tc>
          <w:tcPr>
            <w:tcW w:w="1101" w:type="dxa"/>
            <w:tcBorders>
              <w:top w:val="single" w:sz="8" w:space="0" w:color="4F81BD"/>
              <w:left w:val="single" w:sz="8" w:space="0" w:color="4F81BD"/>
              <w:bottom w:val="single" w:sz="8" w:space="0" w:color="4F81BD"/>
              <w:right w:val="single" w:sz="8" w:space="0" w:color="4F81BD"/>
            </w:tcBorders>
            <w:shd w:val="clear" w:color="auto" w:fill="D3DFEE"/>
          </w:tcPr>
          <w:p w14:paraId="738B2549" w14:textId="77777777" w:rsidR="0062408C" w:rsidRPr="007F78CE" w:rsidRDefault="0062408C" w:rsidP="00D34BFF">
            <w:pPr>
              <w:pStyle w:val="Default"/>
              <w:rPr>
                <w:rFonts w:eastAsia="Times New Roman"/>
                <w:b/>
                <w:bCs/>
                <w:color w:val="auto"/>
                <w:sz w:val="18"/>
                <w:szCs w:val="18"/>
                <w:lang w:val="fr-ML"/>
              </w:rPr>
            </w:pPr>
            <w:r w:rsidRPr="007F78CE">
              <w:rPr>
                <w:rFonts w:eastAsia="Times New Roman"/>
                <w:b/>
                <w:bCs/>
                <w:color w:val="auto"/>
                <w:sz w:val="18"/>
                <w:szCs w:val="18"/>
                <w:lang w:val="fr-ML"/>
              </w:rPr>
              <w:t>Niveau 2</w:t>
            </w: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14:paraId="3C225C7A" w14:textId="77777777" w:rsidR="0062408C" w:rsidRPr="007F78CE" w:rsidRDefault="0062408C" w:rsidP="00D34BFF">
            <w:pPr>
              <w:pStyle w:val="Default"/>
              <w:rPr>
                <w:b/>
                <w:sz w:val="18"/>
                <w:szCs w:val="18"/>
                <w:lang w:val="fr-ML"/>
              </w:rPr>
            </w:pPr>
            <w:r w:rsidRPr="007F78CE">
              <w:rPr>
                <w:sz w:val="18"/>
                <w:szCs w:val="18"/>
                <w:lang w:val="fr-ML"/>
              </w:rPr>
              <w:t>Médiation au niveau de la Commune (CCRL)</w:t>
            </w:r>
          </w:p>
        </w:tc>
        <w:tc>
          <w:tcPr>
            <w:tcW w:w="2409" w:type="dxa"/>
            <w:tcBorders>
              <w:top w:val="single" w:sz="8" w:space="0" w:color="4F81BD"/>
              <w:left w:val="single" w:sz="8" w:space="0" w:color="4F81BD"/>
              <w:bottom w:val="single" w:sz="8" w:space="0" w:color="4F81BD"/>
              <w:right w:val="single" w:sz="8" w:space="0" w:color="4F81BD"/>
            </w:tcBorders>
            <w:shd w:val="clear" w:color="auto" w:fill="D3DFEE"/>
          </w:tcPr>
          <w:p w14:paraId="0D429103" w14:textId="77777777" w:rsidR="0062408C" w:rsidRPr="007F78CE" w:rsidRDefault="0062408C" w:rsidP="00D34BFF">
            <w:pPr>
              <w:pStyle w:val="Default"/>
              <w:rPr>
                <w:b/>
                <w:sz w:val="18"/>
                <w:szCs w:val="18"/>
                <w:lang w:val="fr-ML"/>
              </w:rPr>
            </w:pPr>
            <w:r w:rsidRPr="007F78CE">
              <w:rPr>
                <w:sz w:val="18"/>
                <w:szCs w:val="18"/>
                <w:lang w:val="fr-ML"/>
              </w:rPr>
              <w:t>Le Maire ou son représentant, Le(s) plaignant(s)</w:t>
            </w:r>
          </w:p>
        </w:tc>
        <w:tc>
          <w:tcPr>
            <w:tcW w:w="2835" w:type="dxa"/>
            <w:tcBorders>
              <w:top w:val="single" w:sz="8" w:space="0" w:color="4F81BD"/>
              <w:left w:val="single" w:sz="8" w:space="0" w:color="4F81BD"/>
              <w:bottom w:val="single" w:sz="8" w:space="0" w:color="4F81BD"/>
              <w:right w:val="single" w:sz="8" w:space="0" w:color="4F81BD"/>
            </w:tcBorders>
            <w:shd w:val="clear" w:color="auto" w:fill="D3DFEE"/>
          </w:tcPr>
          <w:p w14:paraId="4DC1C7A7" w14:textId="77777777" w:rsidR="0062408C" w:rsidRPr="007F78CE" w:rsidRDefault="0062408C" w:rsidP="00D34BFF">
            <w:pPr>
              <w:pStyle w:val="Default"/>
              <w:rPr>
                <w:b/>
                <w:sz w:val="18"/>
                <w:szCs w:val="18"/>
                <w:lang w:val="fr-ML"/>
              </w:rPr>
            </w:pPr>
            <w:r w:rsidRPr="007F78CE">
              <w:rPr>
                <w:sz w:val="18"/>
                <w:szCs w:val="18"/>
                <w:lang w:val="fr-ML"/>
              </w:rPr>
              <w:t>PV de médiation à établir par la Commune</w:t>
            </w:r>
          </w:p>
        </w:tc>
        <w:tc>
          <w:tcPr>
            <w:tcW w:w="1276" w:type="dxa"/>
            <w:tcBorders>
              <w:top w:val="single" w:sz="8" w:space="0" w:color="4F81BD"/>
              <w:left w:val="single" w:sz="8" w:space="0" w:color="4F81BD"/>
              <w:bottom w:val="single" w:sz="8" w:space="0" w:color="4F81BD"/>
              <w:right w:val="single" w:sz="8" w:space="0" w:color="4F81BD"/>
            </w:tcBorders>
            <w:shd w:val="clear" w:color="auto" w:fill="D3DFEE"/>
          </w:tcPr>
          <w:p w14:paraId="1E1527EA" w14:textId="77777777" w:rsidR="0062408C" w:rsidRPr="007F78CE" w:rsidRDefault="0062408C" w:rsidP="007F78CE">
            <w:pPr>
              <w:autoSpaceDE w:val="0"/>
              <w:autoSpaceDN w:val="0"/>
              <w:adjustRightInd w:val="0"/>
              <w:spacing w:after="0" w:line="240" w:lineRule="auto"/>
              <w:rPr>
                <w:rFonts w:ascii="Arial" w:hAnsi="Arial" w:cs="Arial"/>
                <w:b/>
                <w:color w:val="000000"/>
                <w:sz w:val="18"/>
                <w:szCs w:val="18"/>
                <w:lang w:val="fr-ML"/>
              </w:rPr>
            </w:pPr>
            <w:r w:rsidRPr="007F78CE">
              <w:rPr>
                <w:rFonts w:ascii="Arial" w:hAnsi="Arial" w:cs="Arial"/>
                <w:color w:val="000000"/>
                <w:sz w:val="18"/>
                <w:szCs w:val="18"/>
                <w:lang w:val="fr-ML"/>
              </w:rPr>
              <w:t>2 jours à 2 semaines</w:t>
            </w:r>
          </w:p>
        </w:tc>
      </w:tr>
      <w:tr w:rsidR="0063584D" w:rsidRPr="007F78CE" w14:paraId="5A2970C2" w14:textId="77777777" w:rsidTr="007F78CE">
        <w:tc>
          <w:tcPr>
            <w:tcW w:w="1101" w:type="dxa"/>
            <w:tcBorders>
              <w:top w:val="single" w:sz="8" w:space="0" w:color="4F81BD"/>
              <w:left w:val="single" w:sz="8" w:space="0" w:color="4F81BD"/>
              <w:bottom w:val="single" w:sz="8" w:space="0" w:color="4F81BD"/>
              <w:right w:val="single" w:sz="8" w:space="0" w:color="4F81BD"/>
            </w:tcBorders>
            <w:shd w:val="clear" w:color="auto" w:fill="auto"/>
          </w:tcPr>
          <w:p w14:paraId="685CD531" w14:textId="77777777" w:rsidR="0062408C" w:rsidRPr="007F78CE" w:rsidRDefault="0062408C" w:rsidP="00D34BFF">
            <w:pPr>
              <w:pStyle w:val="Default"/>
              <w:rPr>
                <w:rFonts w:eastAsia="Times New Roman"/>
                <w:b/>
                <w:bCs/>
                <w:color w:val="auto"/>
                <w:sz w:val="18"/>
                <w:szCs w:val="18"/>
                <w:lang w:val="fr-ML"/>
              </w:rPr>
            </w:pPr>
            <w:r w:rsidRPr="007F78CE">
              <w:rPr>
                <w:rFonts w:eastAsia="Times New Roman"/>
                <w:b/>
                <w:bCs/>
                <w:color w:val="auto"/>
                <w:sz w:val="18"/>
                <w:szCs w:val="18"/>
                <w:lang w:val="fr-ML"/>
              </w:rPr>
              <w:t>Niveau 3</w:t>
            </w:r>
          </w:p>
        </w:tc>
        <w:tc>
          <w:tcPr>
            <w:tcW w:w="1701" w:type="dxa"/>
            <w:tcBorders>
              <w:top w:val="single" w:sz="8" w:space="0" w:color="4F81BD"/>
              <w:left w:val="single" w:sz="8" w:space="0" w:color="4F81BD"/>
              <w:bottom w:val="single" w:sz="8" w:space="0" w:color="4F81BD"/>
              <w:right w:val="single" w:sz="8" w:space="0" w:color="4F81BD"/>
            </w:tcBorders>
            <w:shd w:val="clear" w:color="auto" w:fill="auto"/>
          </w:tcPr>
          <w:p w14:paraId="4C6B9B68" w14:textId="77777777" w:rsidR="0062408C" w:rsidRPr="007F78CE" w:rsidRDefault="0062408C" w:rsidP="00D34BFF">
            <w:pPr>
              <w:pStyle w:val="Default"/>
              <w:rPr>
                <w:b/>
                <w:sz w:val="18"/>
                <w:szCs w:val="18"/>
                <w:lang w:val="fr-ML"/>
              </w:rPr>
            </w:pPr>
            <w:r w:rsidRPr="007F78CE">
              <w:rPr>
                <w:sz w:val="18"/>
                <w:szCs w:val="18"/>
                <w:lang w:val="fr-ML"/>
              </w:rPr>
              <w:t>Arbitrage par le CRRL au niveau de la région</w:t>
            </w:r>
          </w:p>
        </w:tc>
        <w:tc>
          <w:tcPr>
            <w:tcW w:w="2409" w:type="dxa"/>
            <w:tcBorders>
              <w:top w:val="single" w:sz="8" w:space="0" w:color="4F81BD"/>
              <w:left w:val="single" w:sz="8" w:space="0" w:color="4F81BD"/>
              <w:bottom w:val="single" w:sz="8" w:space="0" w:color="4F81BD"/>
              <w:right w:val="single" w:sz="8" w:space="0" w:color="4F81BD"/>
            </w:tcBorders>
            <w:shd w:val="clear" w:color="auto" w:fill="auto"/>
          </w:tcPr>
          <w:p w14:paraId="5735C01E" w14:textId="77777777" w:rsidR="0062408C" w:rsidRPr="007F78CE" w:rsidRDefault="0062408C" w:rsidP="00D34BFF">
            <w:pPr>
              <w:pStyle w:val="Default"/>
              <w:rPr>
                <w:b/>
                <w:sz w:val="18"/>
                <w:szCs w:val="18"/>
                <w:lang w:val="fr-ML"/>
              </w:rPr>
            </w:pPr>
            <w:r w:rsidRPr="007F78CE">
              <w:rPr>
                <w:sz w:val="18"/>
                <w:szCs w:val="18"/>
                <w:lang w:val="fr-ML"/>
              </w:rPr>
              <w:t>Le CRRL qui peut s’adjoindre toute personne qu’elle juge compétente pour l’aider à la résolution du litige, le plaignant(s), un représentant du projet</w:t>
            </w:r>
          </w:p>
        </w:tc>
        <w:tc>
          <w:tcPr>
            <w:tcW w:w="2835" w:type="dxa"/>
            <w:tcBorders>
              <w:top w:val="single" w:sz="8" w:space="0" w:color="4F81BD"/>
              <w:left w:val="single" w:sz="8" w:space="0" w:color="4F81BD"/>
              <w:bottom w:val="single" w:sz="8" w:space="0" w:color="4F81BD"/>
              <w:right w:val="single" w:sz="8" w:space="0" w:color="4F81BD"/>
            </w:tcBorders>
            <w:shd w:val="clear" w:color="auto" w:fill="auto"/>
          </w:tcPr>
          <w:p w14:paraId="441828D9" w14:textId="77777777" w:rsidR="0062408C" w:rsidRPr="007F78CE" w:rsidRDefault="0062408C" w:rsidP="00D34BFF">
            <w:pPr>
              <w:pStyle w:val="Default"/>
              <w:rPr>
                <w:b/>
                <w:sz w:val="18"/>
                <w:szCs w:val="18"/>
                <w:lang w:val="fr-ML"/>
              </w:rPr>
            </w:pPr>
            <w:r w:rsidRPr="007F78CE">
              <w:rPr>
                <w:sz w:val="18"/>
                <w:szCs w:val="18"/>
                <w:lang w:val="fr-ML"/>
              </w:rPr>
              <w:t>PV d’arbitrage à établir par le CRRL assisté par le Projet</w:t>
            </w:r>
          </w:p>
        </w:tc>
        <w:tc>
          <w:tcPr>
            <w:tcW w:w="1276" w:type="dxa"/>
            <w:tcBorders>
              <w:top w:val="single" w:sz="8" w:space="0" w:color="4F81BD"/>
              <w:left w:val="single" w:sz="8" w:space="0" w:color="4F81BD"/>
              <w:bottom w:val="single" w:sz="8" w:space="0" w:color="4F81BD"/>
              <w:right w:val="single" w:sz="8" w:space="0" w:color="4F81BD"/>
            </w:tcBorders>
            <w:shd w:val="clear" w:color="auto" w:fill="auto"/>
          </w:tcPr>
          <w:p w14:paraId="6DE3E086" w14:textId="77777777" w:rsidR="0062408C" w:rsidRPr="007F78CE" w:rsidRDefault="0062408C" w:rsidP="007F78CE">
            <w:pPr>
              <w:autoSpaceDE w:val="0"/>
              <w:autoSpaceDN w:val="0"/>
              <w:adjustRightInd w:val="0"/>
              <w:spacing w:after="0" w:line="240" w:lineRule="auto"/>
              <w:rPr>
                <w:rFonts w:ascii="Arial" w:hAnsi="Arial" w:cs="Arial"/>
                <w:b/>
                <w:color w:val="000000"/>
                <w:sz w:val="18"/>
                <w:szCs w:val="18"/>
                <w:lang w:val="fr-ML"/>
              </w:rPr>
            </w:pPr>
            <w:r w:rsidRPr="007F78CE">
              <w:rPr>
                <w:rFonts w:ascii="Arial" w:hAnsi="Arial" w:cs="Arial"/>
                <w:color w:val="000000"/>
                <w:sz w:val="18"/>
                <w:szCs w:val="18"/>
                <w:lang w:val="fr-ML"/>
              </w:rPr>
              <w:t>3 jours à 3 semaines</w:t>
            </w:r>
          </w:p>
        </w:tc>
      </w:tr>
      <w:tr w:rsidR="0063584D" w:rsidRPr="007F78CE" w14:paraId="543ADDF5" w14:textId="77777777" w:rsidTr="007F78CE">
        <w:tc>
          <w:tcPr>
            <w:tcW w:w="1101" w:type="dxa"/>
            <w:tcBorders>
              <w:top w:val="single" w:sz="8" w:space="0" w:color="4F81BD"/>
              <w:left w:val="single" w:sz="8" w:space="0" w:color="4F81BD"/>
              <w:bottom w:val="single" w:sz="8" w:space="0" w:color="4F81BD"/>
              <w:right w:val="single" w:sz="8" w:space="0" w:color="4F81BD"/>
            </w:tcBorders>
            <w:shd w:val="clear" w:color="auto" w:fill="D3DFEE"/>
          </w:tcPr>
          <w:p w14:paraId="02D7BAE4" w14:textId="77777777" w:rsidR="0062408C" w:rsidRPr="007F78CE" w:rsidRDefault="0062408C" w:rsidP="00D34BFF">
            <w:pPr>
              <w:pStyle w:val="Default"/>
              <w:rPr>
                <w:rFonts w:eastAsia="Times New Roman"/>
                <w:b/>
                <w:bCs/>
                <w:color w:val="auto"/>
                <w:sz w:val="18"/>
                <w:szCs w:val="18"/>
                <w:lang w:val="fr-ML"/>
              </w:rPr>
            </w:pPr>
            <w:r w:rsidRPr="007F78CE">
              <w:rPr>
                <w:rFonts w:eastAsia="Times New Roman"/>
                <w:b/>
                <w:bCs/>
                <w:color w:val="auto"/>
                <w:sz w:val="18"/>
                <w:szCs w:val="18"/>
                <w:lang w:val="fr-ML"/>
              </w:rPr>
              <w:t>Niveau 4</w:t>
            </w: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14:paraId="29296C56" w14:textId="77777777" w:rsidR="0062408C" w:rsidRPr="007F78CE" w:rsidRDefault="0062408C" w:rsidP="00D34BFF">
            <w:pPr>
              <w:pStyle w:val="Default"/>
              <w:rPr>
                <w:b/>
                <w:sz w:val="18"/>
                <w:szCs w:val="18"/>
                <w:lang w:val="fr-ML"/>
              </w:rPr>
            </w:pPr>
            <w:r w:rsidRPr="007F78CE">
              <w:rPr>
                <w:sz w:val="18"/>
                <w:szCs w:val="18"/>
                <w:lang w:val="fr-ML"/>
              </w:rPr>
              <w:t>Recours au niveau du tribunal de première instance</w:t>
            </w:r>
          </w:p>
        </w:tc>
        <w:tc>
          <w:tcPr>
            <w:tcW w:w="2409" w:type="dxa"/>
            <w:tcBorders>
              <w:top w:val="single" w:sz="8" w:space="0" w:color="4F81BD"/>
              <w:left w:val="single" w:sz="8" w:space="0" w:color="4F81BD"/>
              <w:bottom w:val="single" w:sz="8" w:space="0" w:color="4F81BD"/>
              <w:right w:val="single" w:sz="8" w:space="0" w:color="4F81BD"/>
            </w:tcBorders>
            <w:shd w:val="clear" w:color="auto" w:fill="D3DFEE"/>
          </w:tcPr>
          <w:p w14:paraId="352DD8DE" w14:textId="77777777" w:rsidR="0062408C" w:rsidRPr="007F78CE" w:rsidRDefault="0062408C" w:rsidP="00D34BFF">
            <w:pPr>
              <w:pStyle w:val="Default"/>
              <w:rPr>
                <w:b/>
                <w:sz w:val="18"/>
                <w:szCs w:val="18"/>
                <w:lang w:val="fr-ML"/>
              </w:rPr>
            </w:pPr>
            <w:r w:rsidRPr="007F78CE">
              <w:rPr>
                <w:sz w:val="18"/>
                <w:szCs w:val="18"/>
                <w:lang w:val="fr-ML"/>
              </w:rPr>
              <w:t>Le juge, le plaignant et le représentant du projet</w:t>
            </w:r>
          </w:p>
        </w:tc>
        <w:tc>
          <w:tcPr>
            <w:tcW w:w="2835" w:type="dxa"/>
            <w:tcBorders>
              <w:top w:val="single" w:sz="8" w:space="0" w:color="4F81BD"/>
              <w:left w:val="single" w:sz="8" w:space="0" w:color="4F81BD"/>
              <w:bottom w:val="single" w:sz="8" w:space="0" w:color="4F81BD"/>
              <w:right w:val="single" w:sz="8" w:space="0" w:color="4F81BD"/>
            </w:tcBorders>
            <w:shd w:val="clear" w:color="auto" w:fill="D3DFEE"/>
          </w:tcPr>
          <w:p w14:paraId="3AE57AEA" w14:textId="77777777" w:rsidR="0062408C" w:rsidRPr="007F78CE" w:rsidRDefault="0062408C" w:rsidP="00D34BFF">
            <w:pPr>
              <w:pStyle w:val="Default"/>
              <w:rPr>
                <w:b/>
                <w:sz w:val="18"/>
                <w:szCs w:val="18"/>
                <w:lang w:val="fr-ML"/>
              </w:rPr>
            </w:pPr>
            <w:r w:rsidRPr="007F78CE">
              <w:rPr>
                <w:sz w:val="18"/>
                <w:szCs w:val="18"/>
                <w:lang w:val="fr-ML"/>
              </w:rPr>
              <w:t>PV à établir par le greffier du tribunal.</w:t>
            </w:r>
          </w:p>
          <w:p w14:paraId="10A93AAD" w14:textId="77777777" w:rsidR="0062408C" w:rsidRPr="007F78CE" w:rsidRDefault="0062408C" w:rsidP="00D34BFF">
            <w:pPr>
              <w:pStyle w:val="Default"/>
              <w:rPr>
                <w:b/>
                <w:sz w:val="18"/>
                <w:szCs w:val="18"/>
                <w:lang w:val="fr-ML"/>
              </w:rPr>
            </w:pPr>
            <w:r w:rsidRPr="007F78CE">
              <w:rPr>
                <w:sz w:val="18"/>
                <w:szCs w:val="18"/>
                <w:lang w:val="fr-ML"/>
              </w:rPr>
              <w:t>Une provision financière est toujours disponible sur Fonds RPI (Etat) pour, éventuellement, appuyer la plainte d’une personne incapable de se prendre en charge</w:t>
            </w:r>
          </w:p>
          <w:p w14:paraId="473CC641" w14:textId="77777777" w:rsidR="0062408C" w:rsidRPr="007F78CE" w:rsidRDefault="0062408C" w:rsidP="00D34BFF">
            <w:pPr>
              <w:pStyle w:val="Default"/>
              <w:rPr>
                <w:b/>
                <w:sz w:val="18"/>
                <w:szCs w:val="18"/>
                <w:lang w:val="fr-ML"/>
              </w:rPr>
            </w:pPr>
            <w:r w:rsidRPr="007F78CE">
              <w:rPr>
                <w:sz w:val="18"/>
                <w:szCs w:val="18"/>
                <w:lang w:val="fr-ML"/>
              </w:rPr>
              <w:t>Les plaignants sont libres de saisir le tribunal</w:t>
            </w:r>
          </w:p>
        </w:tc>
        <w:tc>
          <w:tcPr>
            <w:tcW w:w="1276" w:type="dxa"/>
            <w:tcBorders>
              <w:top w:val="single" w:sz="8" w:space="0" w:color="4F81BD"/>
              <w:left w:val="single" w:sz="8" w:space="0" w:color="4F81BD"/>
              <w:bottom w:val="single" w:sz="8" w:space="0" w:color="4F81BD"/>
              <w:right w:val="single" w:sz="8" w:space="0" w:color="4F81BD"/>
            </w:tcBorders>
            <w:shd w:val="clear" w:color="auto" w:fill="D3DFEE"/>
          </w:tcPr>
          <w:p w14:paraId="018E896D" w14:textId="77777777" w:rsidR="0062408C" w:rsidRPr="007F78CE" w:rsidRDefault="0062408C" w:rsidP="00D34BFF">
            <w:pPr>
              <w:pStyle w:val="Default"/>
              <w:rPr>
                <w:b/>
                <w:sz w:val="18"/>
                <w:szCs w:val="18"/>
                <w:lang w:val="fr-ML"/>
              </w:rPr>
            </w:pPr>
            <w:r w:rsidRPr="007F78CE">
              <w:rPr>
                <w:sz w:val="18"/>
                <w:szCs w:val="18"/>
                <w:lang w:val="fr-ML"/>
              </w:rPr>
              <w:t>Au prorata</w:t>
            </w:r>
          </w:p>
        </w:tc>
      </w:tr>
    </w:tbl>
    <w:p w14:paraId="7161E528" w14:textId="77777777" w:rsidR="0062408C" w:rsidRDefault="0062408C" w:rsidP="0062408C"/>
    <w:p w14:paraId="53A11D13" w14:textId="77777777" w:rsidR="0062408C" w:rsidRPr="0062408C" w:rsidRDefault="0062408C" w:rsidP="0062408C">
      <w:pPr>
        <w:jc w:val="both"/>
        <w:rPr>
          <w:rFonts w:ascii="Arial" w:hAnsi="Arial" w:cs="Arial"/>
          <w:szCs w:val="24"/>
        </w:rPr>
      </w:pPr>
      <w:r w:rsidRPr="0062408C">
        <w:rPr>
          <w:rFonts w:ascii="Arial" w:hAnsi="Arial" w:cs="Arial"/>
          <w:szCs w:val="24"/>
        </w:rPr>
        <w:t>Selon ce tableau, le traitement de plainte qui commence au niveau fokontany ne devrait pas excéder 30 jours calendaires.</w:t>
      </w:r>
    </w:p>
    <w:p w14:paraId="66E55152" w14:textId="77777777" w:rsidR="00F63AF5" w:rsidRPr="00742D67" w:rsidRDefault="00F63AF5" w:rsidP="0062408C">
      <w:pPr>
        <w:jc w:val="both"/>
        <w:rPr>
          <w:rFonts w:ascii="Arial" w:hAnsi="Arial" w:cs="Arial"/>
          <w:szCs w:val="24"/>
        </w:rPr>
      </w:pPr>
      <w:bookmarkStart w:id="1655" w:name="_Hlk123733496"/>
      <w:r w:rsidRPr="00742D67">
        <w:rPr>
          <w:rFonts w:ascii="Arial" w:hAnsi="Arial" w:cs="Arial"/>
          <w:szCs w:val="24"/>
        </w:rPr>
        <w:t xml:space="preserve">Les plaintes non résolues au niveau régional seront portées au niveau du </w:t>
      </w:r>
      <w:r w:rsidR="001125D9">
        <w:rPr>
          <w:rFonts w:ascii="Arial" w:hAnsi="Arial" w:cs="Arial"/>
          <w:szCs w:val="24"/>
        </w:rPr>
        <w:t>Tribunal de Première Instance (</w:t>
      </w:r>
      <w:r w:rsidRPr="00742D67">
        <w:rPr>
          <w:rFonts w:ascii="Arial" w:hAnsi="Arial" w:cs="Arial"/>
          <w:szCs w:val="24"/>
        </w:rPr>
        <w:t>TPI</w:t>
      </w:r>
      <w:r w:rsidR="001125D9">
        <w:rPr>
          <w:rFonts w:ascii="Arial" w:hAnsi="Arial" w:cs="Arial"/>
          <w:szCs w:val="24"/>
        </w:rPr>
        <w:t>)</w:t>
      </w:r>
      <w:r w:rsidRPr="00742D67">
        <w:rPr>
          <w:rFonts w:ascii="Arial" w:hAnsi="Arial" w:cs="Arial"/>
          <w:szCs w:val="24"/>
        </w:rPr>
        <w:t xml:space="preserve"> à moins qu’elles concernent des acteurs au niveau national do</w:t>
      </w:r>
      <w:r w:rsidR="001125D9">
        <w:rPr>
          <w:rFonts w:ascii="Arial" w:hAnsi="Arial" w:cs="Arial"/>
          <w:szCs w:val="24"/>
        </w:rPr>
        <w:t>n</w:t>
      </w:r>
      <w:r w:rsidRPr="00742D67">
        <w:rPr>
          <w:rFonts w:ascii="Arial" w:hAnsi="Arial" w:cs="Arial"/>
          <w:szCs w:val="24"/>
        </w:rPr>
        <w:t xml:space="preserve">t le traitement revient au comité de plaintes crées au sein de l’UCP. </w:t>
      </w:r>
    </w:p>
    <w:p w14:paraId="066D9474" w14:textId="77777777" w:rsidR="0062408C" w:rsidRPr="0062408C" w:rsidRDefault="00E71009" w:rsidP="0062408C">
      <w:pPr>
        <w:jc w:val="both"/>
        <w:rPr>
          <w:rFonts w:ascii="Arial" w:hAnsi="Arial" w:cs="Arial"/>
          <w:szCs w:val="24"/>
        </w:rPr>
      </w:pPr>
      <w:r>
        <w:rPr>
          <w:rFonts w:ascii="Arial" w:hAnsi="Arial" w:cs="Arial"/>
          <w:szCs w:val="24"/>
        </w:rPr>
        <w:t>Il importe de noter que l</w:t>
      </w:r>
      <w:r w:rsidR="0062408C" w:rsidRPr="0062408C">
        <w:rPr>
          <w:rFonts w:ascii="Arial" w:hAnsi="Arial" w:cs="Arial"/>
          <w:szCs w:val="24"/>
        </w:rPr>
        <w:t>es plaintes et doléances collectées et enregistrées directement par d’autres acteurs du Projet (Ministères, STD, CTD, PTF, Communes, OSC, agences d’exécution, secteur privé, …) qui les concernent sont directement traitées par ces acteurs à leur niveau suivant les principes ci-dessus.</w:t>
      </w:r>
    </w:p>
    <w:p w14:paraId="34E4DB91" w14:textId="77777777" w:rsidR="0062408C" w:rsidRPr="0062408C" w:rsidRDefault="0062408C" w:rsidP="0062408C">
      <w:pPr>
        <w:jc w:val="both"/>
        <w:rPr>
          <w:rFonts w:ascii="Arial" w:hAnsi="Arial" w:cs="Arial"/>
          <w:szCs w:val="24"/>
        </w:rPr>
      </w:pPr>
      <w:r w:rsidRPr="0062408C">
        <w:rPr>
          <w:rFonts w:ascii="Arial" w:hAnsi="Arial" w:cs="Arial"/>
          <w:szCs w:val="24"/>
        </w:rPr>
        <w:t>Les plaintes et doléances collectées et enregistrées directement par d’autres acteurs du projet (Ministères, STD, CTD, PTF, Communes, OSC, agences d’exécution, secteur privé, …) mais qui ne les concernent pas seront référées par ces récepteurs aux responsables du traitement de l’institution concernée via l’UCP. Tous les transferts de documents ou d’information devraient être enregistrés dans un registre spécial de traitement de plaintes développé par le Projet.</w:t>
      </w:r>
    </w:p>
    <w:p w14:paraId="4AC810B5" w14:textId="77777777" w:rsidR="0062408C" w:rsidRPr="0062408C" w:rsidRDefault="0062408C" w:rsidP="0044500E">
      <w:pPr>
        <w:pStyle w:val="TIT3"/>
        <w:numPr>
          <w:ilvl w:val="2"/>
          <w:numId w:val="177"/>
        </w:numPr>
      </w:pPr>
      <w:bookmarkStart w:id="1656" w:name="_Toc119312988"/>
      <w:bookmarkStart w:id="1657" w:name="_Toc124314823"/>
      <w:bookmarkStart w:id="1658" w:name="_Toc124956363"/>
      <w:bookmarkStart w:id="1659" w:name="_Toc125384710"/>
      <w:bookmarkStart w:id="1660" w:name="_Toc125385099"/>
      <w:bookmarkStart w:id="1661" w:name="_Toc127957768"/>
      <w:bookmarkEnd w:id="1655"/>
      <w:r w:rsidRPr="0062408C">
        <w:t>Procédures particulières de traitement des plaintes touchant les cadres du projet et les travailleurs des entreprises et/ou prestataires du Projet</w:t>
      </w:r>
      <w:bookmarkEnd w:id="1656"/>
      <w:bookmarkEnd w:id="1657"/>
      <w:bookmarkEnd w:id="1658"/>
      <w:bookmarkEnd w:id="1659"/>
      <w:bookmarkEnd w:id="1660"/>
      <w:bookmarkEnd w:id="1661"/>
    </w:p>
    <w:p w14:paraId="7835D115" w14:textId="77777777" w:rsidR="0062408C" w:rsidRPr="0062408C" w:rsidRDefault="0062408C" w:rsidP="0062408C">
      <w:pPr>
        <w:jc w:val="both"/>
        <w:rPr>
          <w:rFonts w:ascii="Arial" w:hAnsi="Arial" w:cs="Arial"/>
          <w:szCs w:val="24"/>
        </w:rPr>
      </w:pPr>
      <w:r w:rsidRPr="0062408C">
        <w:rPr>
          <w:rFonts w:ascii="Arial" w:hAnsi="Arial" w:cs="Arial"/>
          <w:szCs w:val="24"/>
        </w:rPr>
        <w:t>Les plaintes collectées et enregistrées à l’encontre des cadres du projet (Comité national de Pilotage, UCP, CT) seront traitées par voie d’arbitrage par un Comité Spécial de Traitement des plaintes mis en place pour l’occasion par le comité de pilotage.</w:t>
      </w:r>
    </w:p>
    <w:p w14:paraId="43A310F5" w14:textId="77777777" w:rsidR="0062408C" w:rsidRPr="0062408C" w:rsidRDefault="0062408C" w:rsidP="0062408C">
      <w:pPr>
        <w:jc w:val="both"/>
        <w:rPr>
          <w:rFonts w:ascii="Arial" w:hAnsi="Arial" w:cs="Arial"/>
          <w:szCs w:val="24"/>
        </w:rPr>
      </w:pPr>
      <w:r w:rsidRPr="0062408C">
        <w:rPr>
          <w:rFonts w:ascii="Arial" w:hAnsi="Arial" w:cs="Arial"/>
          <w:szCs w:val="24"/>
        </w:rPr>
        <w:t xml:space="preserve">Les plaintes relevant du non-respect du contrat, des différends entre travailleurs et employeur seront traités selon les procédures décrites dans le MGP spécifique aux travailleurs (entreprises, prestataires) du projet. Ce MGP spécifique est développé dans le PGMO du projet. </w:t>
      </w:r>
    </w:p>
    <w:p w14:paraId="61CE6A6F" w14:textId="77777777" w:rsidR="0062408C" w:rsidRPr="0062408C" w:rsidRDefault="0062408C" w:rsidP="0044500E">
      <w:pPr>
        <w:pStyle w:val="TIT3"/>
        <w:numPr>
          <w:ilvl w:val="2"/>
          <w:numId w:val="177"/>
        </w:numPr>
      </w:pPr>
      <w:bookmarkStart w:id="1662" w:name="_Toc124956364"/>
      <w:bookmarkStart w:id="1663" w:name="_Toc124956365"/>
      <w:bookmarkStart w:id="1664" w:name="_Toc119312989"/>
      <w:bookmarkStart w:id="1665" w:name="_Toc124314824"/>
      <w:bookmarkStart w:id="1666" w:name="_Toc124956366"/>
      <w:bookmarkStart w:id="1667" w:name="_Toc125384711"/>
      <w:bookmarkStart w:id="1668" w:name="_Toc125385100"/>
      <w:bookmarkStart w:id="1669" w:name="_Toc127957769"/>
      <w:bookmarkEnd w:id="1662"/>
      <w:bookmarkEnd w:id="1663"/>
      <w:r w:rsidRPr="0062408C">
        <w:t>Procédures de traitement des plaintes sensibles</w:t>
      </w:r>
      <w:bookmarkEnd w:id="1664"/>
      <w:bookmarkEnd w:id="1665"/>
      <w:bookmarkEnd w:id="1666"/>
      <w:bookmarkEnd w:id="1667"/>
      <w:bookmarkEnd w:id="1668"/>
      <w:bookmarkEnd w:id="1669"/>
      <w:r w:rsidRPr="0062408C">
        <w:t xml:space="preserve"> </w:t>
      </w:r>
    </w:p>
    <w:p w14:paraId="46D5FF96" w14:textId="77777777" w:rsidR="0062408C" w:rsidRPr="0062408C" w:rsidRDefault="0062408C" w:rsidP="0062408C">
      <w:pPr>
        <w:jc w:val="both"/>
        <w:rPr>
          <w:rFonts w:ascii="Arial" w:hAnsi="Arial" w:cs="Arial"/>
          <w:szCs w:val="24"/>
        </w:rPr>
      </w:pPr>
      <w:r w:rsidRPr="0062408C">
        <w:rPr>
          <w:rFonts w:ascii="Arial" w:hAnsi="Arial" w:cs="Arial"/>
          <w:szCs w:val="24"/>
        </w:rPr>
        <w:t>En complément du MGP instauré au niveau du Projet, des protocoles spécifiques de traitement des plaintes sensibles seront à établir avec des organismes spécialisés. Les plaintes sensibles auxquelles le MGP peut être confronté, englobent les violences basées sur le genre, la corruption, les délits au niveau de la passation des marchés, du contrat avec les partenaires et les travailleurs des entreprises réalisant les travaux souscrits dans les activités/sous-projet</w:t>
      </w:r>
      <w:r w:rsidR="001125D9">
        <w:rPr>
          <w:rFonts w:ascii="Arial" w:hAnsi="Arial" w:cs="Arial"/>
          <w:szCs w:val="24"/>
        </w:rPr>
        <w:t>s</w:t>
      </w:r>
      <w:r w:rsidRPr="0062408C">
        <w:rPr>
          <w:rFonts w:ascii="Arial" w:hAnsi="Arial" w:cs="Arial"/>
          <w:szCs w:val="24"/>
        </w:rPr>
        <w:t>.</w:t>
      </w:r>
    </w:p>
    <w:p w14:paraId="1ABB007A" w14:textId="77777777" w:rsidR="00FD7760" w:rsidRPr="0062408C" w:rsidRDefault="0062408C" w:rsidP="0062408C">
      <w:pPr>
        <w:jc w:val="both"/>
        <w:rPr>
          <w:rFonts w:ascii="Arial" w:hAnsi="Arial" w:cs="Arial"/>
          <w:szCs w:val="24"/>
        </w:rPr>
      </w:pPr>
      <w:r w:rsidRPr="0062408C">
        <w:rPr>
          <w:rFonts w:ascii="Arial" w:hAnsi="Arial" w:cs="Arial"/>
          <w:szCs w:val="24"/>
        </w:rPr>
        <w:t>Les directives ci-après sont à considérer :</w:t>
      </w:r>
    </w:p>
    <w:p w14:paraId="130DF9C7" w14:textId="77777777" w:rsidR="0062408C" w:rsidRPr="009212D7" w:rsidRDefault="0062408C" w:rsidP="00687DD2">
      <w:pPr>
        <w:pStyle w:val="Paragraphedeliste"/>
        <w:numPr>
          <w:ilvl w:val="0"/>
          <w:numId w:val="55"/>
        </w:numPr>
        <w:spacing w:before="100" w:after="100" w:line="240" w:lineRule="auto"/>
        <w:jc w:val="both"/>
        <w:rPr>
          <w:rFonts w:ascii="Arial" w:hAnsi="Arial" w:cs="Arial"/>
        </w:rPr>
      </w:pPr>
      <w:r w:rsidRPr="009212D7">
        <w:rPr>
          <w:rFonts w:ascii="Arial" w:hAnsi="Arial" w:cs="Arial"/>
          <w:b/>
        </w:rPr>
        <w:t>Cas de la violence basée sur le genre (VBG), harcèlement sexuel</w:t>
      </w:r>
    </w:p>
    <w:p w14:paraId="1A33F647" w14:textId="77777777" w:rsidR="0062408C" w:rsidRPr="0062408C" w:rsidRDefault="0062408C" w:rsidP="00B434A6">
      <w:pPr>
        <w:spacing w:before="120"/>
        <w:jc w:val="both"/>
        <w:rPr>
          <w:rFonts w:ascii="Arial" w:hAnsi="Arial" w:cs="Arial"/>
          <w:szCs w:val="24"/>
        </w:rPr>
      </w:pPr>
      <w:r w:rsidRPr="0062408C">
        <w:rPr>
          <w:rFonts w:ascii="Arial" w:hAnsi="Arial" w:cs="Arial"/>
          <w:szCs w:val="24"/>
        </w:rPr>
        <w:t xml:space="preserve">Le MGP lié à la VBG prévoit le dépôt et le traitement des plaintes par des organismes spécialisés. Le Projet travaillera donc, en étroite collaboration avec les organismes spécialisés dans le traitement de VBG comme les Cellules d’écoute et les conseils juridiques auprès du Ministère de la Protection Sociale, et de la Promotion de la Femme, les associations/ONG (exemple Trano Aro Zo), les forces de l’ordre (Police, Brigade Féminine de proximité, gendarmerie nationale), le CECJ (Centre d’Ecoute et de Conseil Juridique), le </w:t>
      </w:r>
      <w:r w:rsidRPr="00742D67">
        <w:rPr>
          <w:rFonts w:ascii="Arial" w:hAnsi="Arial" w:cs="Arial"/>
          <w:szCs w:val="24"/>
        </w:rPr>
        <w:t xml:space="preserve">centre Vonjy. </w:t>
      </w:r>
      <w:r w:rsidR="007C14FA" w:rsidRPr="00742D67">
        <w:rPr>
          <w:rFonts w:ascii="Arial" w:hAnsi="Arial" w:cs="Arial"/>
          <w:szCs w:val="24"/>
        </w:rPr>
        <w:t>Le cas échant, u</w:t>
      </w:r>
      <w:r w:rsidRPr="00742D67">
        <w:rPr>
          <w:rFonts w:ascii="Arial" w:hAnsi="Arial" w:cs="Arial"/>
          <w:szCs w:val="24"/>
        </w:rPr>
        <w:t>n protocole spécifique de prise en charge de ces cas sera</w:t>
      </w:r>
      <w:r w:rsidRPr="0062408C">
        <w:rPr>
          <w:rFonts w:ascii="Arial" w:hAnsi="Arial" w:cs="Arial"/>
          <w:szCs w:val="24"/>
        </w:rPr>
        <w:t xml:space="preserve"> établi entre le Projet et ces entités spécialisées. Le dépôt des plaintes de ce type sera orienté vers ces entités spécialisées.</w:t>
      </w:r>
    </w:p>
    <w:p w14:paraId="567BB0FF" w14:textId="77777777" w:rsidR="0062408C" w:rsidRPr="009212D7" w:rsidRDefault="0062408C" w:rsidP="00687DD2">
      <w:pPr>
        <w:pStyle w:val="Paragraphedeliste"/>
        <w:numPr>
          <w:ilvl w:val="0"/>
          <w:numId w:val="55"/>
        </w:numPr>
        <w:spacing w:before="100" w:after="100" w:line="240" w:lineRule="auto"/>
        <w:jc w:val="both"/>
        <w:rPr>
          <w:rFonts w:ascii="Arial" w:hAnsi="Arial" w:cs="Arial"/>
          <w:b/>
        </w:rPr>
      </w:pPr>
      <w:r w:rsidRPr="009212D7">
        <w:rPr>
          <w:rFonts w:ascii="Arial" w:hAnsi="Arial" w:cs="Arial"/>
          <w:b/>
        </w:rPr>
        <w:t>Corruption</w:t>
      </w:r>
    </w:p>
    <w:p w14:paraId="6242111C" w14:textId="77777777" w:rsidR="0062408C" w:rsidRPr="009212D7" w:rsidRDefault="0062408C" w:rsidP="009212D7">
      <w:pPr>
        <w:jc w:val="both"/>
        <w:rPr>
          <w:rFonts w:ascii="Arial" w:hAnsi="Arial" w:cs="Arial"/>
          <w:szCs w:val="24"/>
        </w:rPr>
      </w:pPr>
      <w:r w:rsidRPr="009212D7">
        <w:rPr>
          <w:rFonts w:ascii="Arial" w:hAnsi="Arial" w:cs="Arial"/>
          <w:szCs w:val="24"/>
        </w:rPr>
        <w:t>Le cas de présomption de corruption collecté dans le cadre du Projet sera directement transféré au niveau des organismes compétents (BIANCO, PAC).</w:t>
      </w:r>
    </w:p>
    <w:p w14:paraId="1B973D49" w14:textId="77777777" w:rsidR="0062408C" w:rsidRPr="009212D7" w:rsidRDefault="0062408C" w:rsidP="00687DD2">
      <w:pPr>
        <w:pStyle w:val="Paragraphedeliste"/>
        <w:numPr>
          <w:ilvl w:val="0"/>
          <w:numId w:val="55"/>
        </w:numPr>
        <w:spacing w:before="100" w:after="100" w:line="240" w:lineRule="auto"/>
        <w:jc w:val="both"/>
        <w:rPr>
          <w:rFonts w:ascii="Arial" w:hAnsi="Arial" w:cs="Arial"/>
          <w:b/>
        </w:rPr>
      </w:pPr>
      <w:r w:rsidRPr="009212D7">
        <w:rPr>
          <w:rFonts w:ascii="Arial" w:hAnsi="Arial" w:cs="Arial"/>
          <w:b/>
        </w:rPr>
        <w:t>Passation des marchés et gestion du contrat avec les partenaires</w:t>
      </w:r>
    </w:p>
    <w:p w14:paraId="1416D265" w14:textId="77777777" w:rsidR="0062408C" w:rsidRPr="009212D7" w:rsidRDefault="0062408C" w:rsidP="009212D7">
      <w:pPr>
        <w:jc w:val="both"/>
        <w:rPr>
          <w:rFonts w:ascii="Arial" w:hAnsi="Arial" w:cs="Arial"/>
          <w:szCs w:val="24"/>
        </w:rPr>
      </w:pPr>
      <w:r w:rsidRPr="009212D7">
        <w:rPr>
          <w:rFonts w:ascii="Arial" w:hAnsi="Arial" w:cs="Arial"/>
          <w:szCs w:val="24"/>
        </w:rPr>
        <w:t>Dans le cas où des plaintes concernent la passation de marché ou la gestion du contrat avec les partenaires du Projet, elles seront acheminées vers des organes compétents pour le traitement de ces cas comme l’ARMP et l’OCFP.</w:t>
      </w:r>
    </w:p>
    <w:p w14:paraId="4A921AFF" w14:textId="77777777" w:rsidR="0062408C" w:rsidRPr="009212D7" w:rsidRDefault="0062408C" w:rsidP="009212D7">
      <w:pPr>
        <w:jc w:val="both"/>
        <w:rPr>
          <w:rFonts w:ascii="Arial" w:hAnsi="Arial" w:cs="Arial"/>
          <w:szCs w:val="24"/>
        </w:rPr>
      </w:pPr>
      <w:r w:rsidRPr="009212D7">
        <w:rPr>
          <w:rFonts w:ascii="Arial" w:hAnsi="Arial" w:cs="Arial"/>
          <w:szCs w:val="24"/>
        </w:rPr>
        <w:t>Les plaintes sensibles seront acheminées et traitées directement par des organismes spécialisés tout en avisant l’UCP de l’existence de ces cas dans moins de 48 heures.</w:t>
      </w:r>
    </w:p>
    <w:p w14:paraId="62228C37" w14:textId="77777777" w:rsidR="00B9291B" w:rsidRPr="007F78CE" w:rsidRDefault="00B9291B" w:rsidP="0044500E">
      <w:pPr>
        <w:pStyle w:val="TIT2"/>
        <w:numPr>
          <w:ilvl w:val="1"/>
          <w:numId w:val="177"/>
        </w:numPr>
      </w:pPr>
      <w:bookmarkStart w:id="1670" w:name="_Toc45820633"/>
      <w:bookmarkStart w:id="1671" w:name="_Toc46903564"/>
      <w:bookmarkStart w:id="1672" w:name="_Toc92308170"/>
      <w:bookmarkStart w:id="1673" w:name="_Toc119312990"/>
      <w:bookmarkStart w:id="1674" w:name="_Toc124314825"/>
      <w:bookmarkStart w:id="1675" w:name="_Toc124956367"/>
      <w:bookmarkStart w:id="1676" w:name="_Toc125384712"/>
      <w:bookmarkStart w:id="1677" w:name="_Toc125385101"/>
      <w:bookmarkStart w:id="1678" w:name="_Toc127957770"/>
      <w:r w:rsidRPr="007F78CE">
        <w:t>Procédures de gestion des plaintes et doléances</w:t>
      </w:r>
      <w:bookmarkEnd w:id="1670"/>
      <w:bookmarkEnd w:id="1671"/>
      <w:bookmarkEnd w:id="1672"/>
      <w:bookmarkEnd w:id="1673"/>
      <w:bookmarkEnd w:id="1674"/>
      <w:bookmarkEnd w:id="1675"/>
      <w:bookmarkEnd w:id="1676"/>
      <w:bookmarkEnd w:id="1677"/>
      <w:bookmarkEnd w:id="1678"/>
    </w:p>
    <w:p w14:paraId="626A032E" w14:textId="77777777" w:rsidR="00B9291B" w:rsidRPr="009212D7" w:rsidRDefault="00B9291B" w:rsidP="009212D7">
      <w:pPr>
        <w:jc w:val="both"/>
        <w:rPr>
          <w:rFonts w:ascii="Arial" w:hAnsi="Arial" w:cs="Arial"/>
          <w:szCs w:val="24"/>
        </w:rPr>
      </w:pPr>
      <w:r w:rsidRPr="009212D7">
        <w:rPr>
          <w:rFonts w:ascii="Arial" w:hAnsi="Arial" w:cs="Arial"/>
          <w:szCs w:val="24"/>
        </w:rPr>
        <w:t>La procédure recommandée comprend les 4 phases séquentielles suivantes :</w:t>
      </w:r>
    </w:p>
    <w:p w14:paraId="1808D674" w14:textId="77777777" w:rsidR="00B9291B" w:rsidRPr="00E71009" w:rsidRDefault="00B9291B" w:rsidP="00687DD2">
      <w:pPr>
        <w:pStyle w:val="Corpsdetexte"/>
        <w:numPr>
          <w:ilvl w:val="0"/>
          <w:numId w:val="56"/>
        </w:numPr>
        <w:ind w:right="108"/>
        <w:jc w:val="both"/>
        <w:rPr>
          <w:rFonts w:ascii="Arial" w:eastAsia="Calibri" w:hAnsi="Arial" w:cs="Arial"/>
          <w:sz w:val="22"/>
        </w:rPr>
      </w:pPr>
      <w:r w:rsidRPr="00E71009">
        <w:rPr>
          <w:rFonts w:ascii="Arial" w:eastAsia="Calibri" w:hAnsi="Arial" w:cs="Arial"/>
          <w:sz w:val="22"/>
        </w:rPr>
        <w:t>Etape 1 : Dépôt et transcription des plaintes/doléances ;</w:t>
      </w:r>
    </w:p>
    <w:p w14:paraId="2617D258" w14:textId="77777777" w:rsidR="00B9291B" w:rsidRPr="00E71009" w:rsidRDefault="00B9291B" w:rsidP="00687DD2">
      <w:pPr>
        <w:pStyle w:val="Corpsdetexte"/>
        <w:numPr>
          <w:ilvl w:val="0"/>
          <w:numId w:val="56"/>
        </w:numPr>
        <w:ind w:right="108"/>
        <w:jc w:val="both"/>
        <w:rPr>
          <w:rFonts w:ascii="Arial" w:eastAsia="Calibri" w:hAnsi="Arial" w:cs="Arial"/>
          <w:sz w:val="22"/>
        </w:rPr>
      </w:pPr>
      <w:r w:rsidRPr="00E71009">
        <w:rPr>
          <w:rFonts w:ascii="Arial" w:eastAsia="Calibri" w:hAnsi="Arial" w:cs="Arial"/>
          <w:sz w:val="22"/>
        </w:rPr>
        <w:t>Etape 2 : Triage et traitement des plaintes/doléances ;</w:t>
      </w:r>
    </w:p>
    <w:p w14:paraId="7AED4844" w14:textId="77777777" w:rsidR="00B9291B" w:rsidRPr="00E71009" w:rsidRDefault="00B9291B" w:rsidP="00687DD2">
      <w:pPr>
        <w:pStyle w:val="Corpsdetexte"/>
        <w:numPr>
          <w:ilvl w:val="0"/>
          <w:numId w:val="56"/>
        </w:numPr>
        <w:ind w:right="108"/>
        <w:jc w:val="both"/>
        <w:rPr>
          <w:rFonts w:ascii="Arial" w:eastAsia="Calibri" w:hAnsi="Arial" w:cs="Arial"/>
          <w:sz w:val="22"/>
        </w:rPr>
      </w:pPr>
      <w:r w:rsidRPr="00E71009">
        <w:rPr>
          <w:rFonts w:ascii="Arial" w:eastAsia="Calibri" w:hAnsi="Arial" w:cs="Arial"/>
          <w:sz w:val="22"/>
        </w:rPr>
        <w:t>Etape 3 : Résolution ;</w:t>
      </w:r>
    </w:p>
    <w:p w14:paraId="7BFA51C9" w14:textId="77777777" w:rsidR="00B9291B" w:rsidRPr="00E71009" w:rsidRDefault="00B9291B" w:rsidP="00687DD2">
      <w:pPr>
        <w:pStyle w:val="Corpsdetexte"/>
        <w:numPr>
          <w:ilvl w:val="0"/>
          <w:numId w:val="56"/>
        </w:numPr>
        <w:ind w:right="108"/>
        <w:jc w:val="both"/>
        <w:rPr>
          <w:rFonts w:ascii="Arial" w:hAnsi="Arial" w:cs="Arial"/>
          <w:sz w:val="22"/>
        </w:rPr>
      </w:pPr>
      <w:r w:rsidRPr="00E71009">
        <w:rPr>
          <w:rFonts w:ascii="Arial" w:eastAsia="Calibri" w:hAnsi="Arial" w:cs="Arial"/>
          <w:sz w:val="22"/>
        </w:rPr>
        <w:t>Etape 4 : Surveillance, suivi et consolidation des données sur les plaintes et les litiges ;</w:t>
      </w:r>
    </w:p>
    <w:p w14:paraId="4D207A3D" w14:textId="77777777" w:rsidR="00B9291B" w:rsidRPr="009212D7" w:rsidRDefault="00B9291B" w:rsidP="00B9291B">
      <w:pPr>
        <w:spacing w:before="100" w:beforeAutospacing="1" w:after="100" w:afterAutospacing="1"/>
        <w:rPr>
          <w:rFonts w:ascii="Arial" w:hAnsi="Arial" w:cs="Arial"/>
          <w:b/>
          <w:bCs/>
        </w:rPr>
      </w:pPr>
      <w:r w:rsidRPr="009212D7">
        <w:rPr>
          <w:rFonts w:ascii="Arial" w:hAnsi="Arial" w:cs="Arial"/>
          <w:b/>
          <w:bCs/>
        </w:rPr>
        <w:t>Etape 1 : Dépôt et transcription des plaintes et doléances (durée 1 à 2 jours ouvrables)</w:t>
      </w:r>
    </w:p>
    <w:p w14:paraId="71FE577D" w14:textId="77777777" w:rsidR="00B9291B" w:rsidRPr="009212D7" w:rsidRDefault="00B9291B" w:rsidP="009212D7">
      <w:pPr>
        <w:jc w:val="both"/>
        <w:rPr>
          <w:rFonts w:ascii="Arial" w:hAnsi="Arial" w:cs="Arial"/>
          <w:szCs w:val="24"/>
        </w:rPr>
      </w:pPr>
      <w:r w:rsidRPr="009212D7">
        <w:rPr>
          <w:rFonts w:ascii="Arial" w:hAnsi="Arial" w:cs="Arial"/>
          <w:szCs w:val="24"/>
        </w:rPr>
        <w:t>Un registre des plaintes et des doléances sera mis à la disposition de la population au niveau de chaque fokontany, Commune d’insertion du Projet. Toutes plaintes/doléances qu</w:t>
      </w:r>
      <w:r w:rsidR="001125D9">
        <w:rPr>
          <w:rFonts w:ascii="Arial" w:hAnsi="Arial" w:cs="Arial"/>
          <w:szCs w:val="24"/>
        </w:rPr>
        <w:t>’</w:t>
      </w:r>
      <w:r w:rsidRPr="009212D7">
        <w:rPr>
          <w:rFonts w:ascii="Arial" w:hAnsi="Arial" w:cs="Arial"/>
          <w:szCs w:val="24"/>
        </w:rPr>
        <w:t>e</w:t>
      </w:r>
      <w:r w:rsidR="001125D9">
        <w:rPr>
          <w:rFonts w:ascii="Arial" w:hAnsi="Arial" w:cs="Arial"/>
          <w:szCs w:val="24"/>
        </w:rPr>
        <w:t>lles</w:t>
      </w:r>
      <w:r w:rsidRPr="009212D7">
        <w:rPr>
          <w:rFonts w:ascii="Arial" w:hAnsi="Arial" w:cs="Arial"/>
          <w:szCs w:val="24"/>
        </w:rPr>
        <w:t xml:space="preserve"> soient écrites ou verbales de la part des plaignants doivent être enregistrées dans ce registre.</w:t>
      </w:r>
    </w:p>
    <w:p w14:paraId="456F54BD" w14:textId="77777777" w:rsidR="00B9291B" w:rsidRPr="009212D7" w:rsidRDefault="00B9291B" w:rsidP="009212D7">
      <w:pPr>
        <w:jc w:val="both"/>
        <w:rPr>
          <w:rFonts w:ascii="Arial" w:hAnsi="Arial" w:cs="Arial"/>
          <w:szCs w:val="24"/>
        </w:rPr>
      </w:pPr>
      <w:r w:rsidRPr="009212D7">
        <w:rPr>
          <w:rFonts w:ascii="Arial" w:hAnsi="Arial" w:cs="Arial"/>
          <w:szCs w:val="24"/>
        </w:rPr>
        <w:t>Les plaintes anonymes sont enregistrées et traitées de la même façon que les plaintes avec mention du plaignant et suivent le même processus de traitement ci-après.</w:t>
      </w:r>
    </w:p>
    <w:p w14:paraId="5B12BA17" w14:textId="77777777" w:rsidR="00B9291B" w:rsidRPr="009212D7" w:rsidRDefault="00B9291B" w:rsidP="009212D7">
      <w:pPr>
        <w:jc w:val="both"/>
        <w:rPr>
          <w:rFonts w:ascii="Arial" w:hAnsi="Arial" w:cs="Arial"/>
          <w:szCs w:val="24"/>
        </w:rPr>
      </w:pPr>
      <w:r w:rsidRPr="009212D7">
        <w:rPr>
          <w:rFonts w:ascii="Arial" w:hAnsi="Arial" w:cs="Arial"/>
          <w:szCs w:val="24"/>
        </w:rPr>
        <w:t>Pour le cas des illettrés ou analphabètes, la personne responsable de la réception des plaintes fait la transcription écrite selon la déclaration du plaignant sur la fiche de réception. Il devra lire les écrits au plaignant avant que ce dernier pose sa signature ou son empreinte digitale.</w:t>
      </w:r>
    </w:p>
    <w:p w14:paraId="7879DF9D" w14:textId="77777777" w:rsidR="00B9291B" w:rsidRPr="009212D7" w:rsidRDefault="00B9291B" w:rsidP="00B9291B">
      <w:pPr>
        <w:spacing w:before="100" w:beforeAutospacing="1" w:after="100" w:afterAutospacing="1"/>
        <w:rPr>
          <w:rFonts w:ascii="Arial" w:hAnsi="Arial" w:cs="Arial"/>
          <w:b/>
          <w:bCs/>
        </w:rPr>
      </w:pPr>
      <w:r w:rsidRPr="009212D7">
        <w:rPr>
          <w:rFonts w:ascii="Arial" w:hAnsi="Arial" w:cs="Arial"/>
          <w:b/>
          <w:bCs/>
        </w:rPr>
        <w:t>Etape 2 : Triage et traitement des plaintes/doléances (durée 1 à 7 jours ouvrables)</w:t>
      </w:r>
    </w:p>
    <w:p w14:paraId="76849360" w14:textId="77777777" w:rsidR="00B9291B" w:rsidRPr="009212D7" w:rsidRDefault="00B9291B" w:rsidP="009212D7">
      <w:pPr>
        <w:jc w:val="both"/>
        <w:rPr>
          <w:rFonts w:ascii="Arial" w:hAnsi="Arial" w:cs="Arial"/>
          <w:szCs w:val="24"/>
        </w:rPr>
      </w:pPr>
      <w:r w:rsidRPr="009212D7">
        <w:rPr>
          <w:rFonts w:ascii="Arial" w:hAnsi="Arial" w:cs="Arial"/>
          <w:szCs w:val="24"/>
        </w:rPr>
        <w:t>Les plaintes et doléances enregistrées sont traitées par un agent de l’enregistrement afin de déterminer la responsabilité de leur traitement.</w:t>
      </w:r>
    </w:p>
    <w:p w14:paraId="5716C821" w14:textId="77777777" w:rsidR="00B9291B" w:rsidRDefault="00B9291B" w:rsidP="009212D7">
      <w:pPr>
        <w:jc w:val="both"/>
        <w:rPr>
          <w:rFonts w:ascii="Arial" w:hAnsi="Arial" w:cs="Arial"/>
          <w:szCs w:val="24"/>
        </w:rPr>
      </w:pPr>
      <w:r w:rsidRPr="009212D7">
        <w:rPr>
          <w:rFonts w:ascii="Arial" w:hAnsi="Arial" w:cs="Arial"/>
          <w:szCs w:val="24"/>
        </w:rPr>
        <w:t>Les plaintes et doléances qui peuvent être traitées au niveau local seront traitées par ce niveau. Selon le niveau de gravité de la plainte, le traitement sera pris en main au niveau du fokontany, de la Commune (CCRL) ou de la Région (CRRL).</w:t>
      </w:r>
    </w:p>
    <w:p w14:paraId="20087661" w14:textId="77777777" w:rsidR="00B82179" w:rsidRPr="00742D67" w:rsidRDefault="00B82179" w:rsidP="009212D7">
      <w:pPr>
        <w:jc w:val="both"/>
        <w:rPr>
          <w:rFonts w:ascii="Arial" w:hAnsi="Arial" w:cs="Arial"/>
          <w:szCs w:val="24"/>
        </w:rPr>
      </w:pPr>
      <w:r w:rsidRPr="00742D67">
        <w:rPr>
          <w:rFonts w:ascii="Arial" w:hAnsi="Arial" w:cs="Arial"/>
          <w:szCs w:val="24"/>
        </w:rPr>
        <w:t>Les plaintes à caractère national sont traitées par le comité de plaintes institué au niveau de l’UCP (cf.  13.7 Structure et Opérationnalisation du MGP).</w:t>
      </w:r>
    </w:p>
    <w:p w14:paraId="7FB21949" w14:textId="77777777" w:rsidR="00B9291B" w:rsidRPr="009212D7" w:rsidRDefault="00B9291B" w:rsidP="009212D7">
      <w:pPr>
        <w:jc w:val="both"/>
        <w:rPr>
          <w:rFonts w:ascii="Arial" w:hAnsi="Arial" w:cs="Arial"/>
          <w:szCs w:val="24"/>
        </w:rPr>
      </w:pPr>
      <w:r w:rsidRPr="009212D7">
        <w:rPr>
          <w:rFonts w:ascii="Arial" w:hAnsi="Arial" w:cs="Arial"/>
          <w:szCs w:val="24"/>
        </w:rPr>
        <w:t xml:space="preserve">Les plaintes qui sont du ressort d’autres entités ou acteurs du Projet seront directement transmises à l’UCP qui se chargera de les transmettre au(x) responsable (s) de traitement concerné (s). </w:t>
      </w:r>
    </w:p>
    <w:p w14:paraId="6E81129B" w14:textId="77777777" w:rsidR="00B9291B" w:rsidRPr="009212D7" w:rsidRDefault="00B9291B" w:rsidP="00B9291B">
      <w:pPr>
        <w:spacing w:before="100" w:beforeAutospacing="1" w:after="100" w:afterAutospacing="1"/>
        <w:rPr>
          <w:rFonts w:ascii="Arial" w:hAnsi="Arial" w:cs="Arial"/>
          <w:b/>
          <w:bCs/>
        </w:rPr>
      </w:pPr>
      <w:r w:rsidRPr="009212D7">
        <w:rPr>
          <w:rFonts w:ascii="Arial" w:hAnsi="Arial" w:cs="Arial"/>
          <w:b/>
          <w:bCs/>
        </w:rPr>
        <w:t>Etape 3 : Résolution</w:t>
      </w:r>
    </w:p>
    <w:p w14:paraId="68B3C5B5" w14:textId="77777777" w:rsidR="00B9291B" w:rsidRPr="009212D7" w:rsidRDefault="00B9291B" w:rsidP="009212D7">
      <w:pPr>
        <w:jc w:val="both"/>
        <w:rPr>
          <w:rFonts w:ascii="Arial" w:hAnsi="Arial" w:cs="Arial"/>
          <w:szCs w:val="24"/>
        </w:rPr>
      </w:pPr>
      <w:r w:rsidRPr="009212D7">
        <w:rPr>
          <w:rFonts w:ascii="Arial" w:hAnsi="Arial" w:cs="Arial"/>
          <w:szCs w:val="24"/>
        </w:rPr>
        <w:t>A chaque niveau de traitement, les parties sont obligées à résoudre les plaintes de toutes natures conformément à la disposition décrite dans le présent document. Elles assurent le retour des informations vers les plaignants.</w:t>
      </w:r>
    </w:p>
    <w:p w14:paraId="53B4A544" w14:textId="77777777" w:rsidR="00B9291B" w:rsidRPr="009212D7" w:rsidRDefault="00B9291B" w:rsidP="009212D7">
      <w:pPr>
        <w:jc w:val="both"/>
        <w:rPr>
          <w:rFonts w:ascii="Arial" w:hAnsi="Arial" w:cs="Arial"/>
          <w:szCs w:val="24"/>
        </w:rPr>
      </w:pPr>
      <w:r w:rsidRPr="009212D7">
        <w:rPr>
          <w:rFonts w:ascii="Arial" w:hAnsi="Arial" w:cs="Arial"/>
          <w:szCs w:val="24"/>
        </w:rPr>
        <w:t>La résolution à l’amiable, par voie de négociation ou de médiation est de rigueur. La saisine du tribunal est effectuée lorsqu’aucune entente n’est obtenue ou aucune solution satisfaisante aux deux parties concernées est trouvée ou l’un des concernés recourt à la voie judiciaire.</w:t>
      </w:r>
    </w:p>
    <w:p w14:paraId="54350CDA" w14:textId="77777777" w:rsidR="00B9291B" w:rsidRPr="009212D7" w:rsidRDefault="00B9291B" w:rsidP="009212D7">
      <w:pPr>
        <w:jc w:val="both"/>
        <w:rPr>
          <w:rFonts w:ascii="Arial" w:hAnsi="Arial" w:cs="Arial"/>
          <w:szCs w:val="24"/>
        </w:rPr>
      </w:pPr>
      <w:r w:rsidRPr="009212D7">
        <w:rPr>
          <w:rFonts w:ascii="Arial" w:hAnsi="Arial" w:cs="Arial"/>
          <w:szCs w:val="24"/>
        </w:rPr>
        <w:t>Un dossier est déclaré clos lorsque les démarches suivantes ont été entamées :</w:t>
      </w:r>
    </w:p>
    <w:p w14:paraId="123AD74C" w14:textId="77777777" w:rsidR="00B9291B" w:rsidRPr="009212D7" w:rsidRDefault="00B9291B" w:rsidP="00687DD2">
      <w:pPr>
        <w:pStyle w:val="Corpsdetexte"/>
        <w:numPr>
          <w:ilvl w:val="0"/>
          <w:numId w:val="56"/>
        </w:numPr>
        <w:ind w:right="108"/>
        <w:jc w:val="both"/>
        <w:rPr>
          <w:rFonts w:ascii="Arial" w:eastAsia="Calibri" w:hAnsi="Arial" w:cs="Arial"/>
          <w:sz w:val="22"/>
        </w:rPr>
      </w:pPr>
      <w:r w:rsidRPr="009212D7">
        <w:rPr>
          <w:rFonts w:ascii="Arial" w:eastAsia="Calibri" w:hAnsi="Arial" w:cs="Arial"/>
          <w:sz w:val="22"/>
        </w:rPr>
        <w:t xml:space="preserve">Une décision ‘’finale’’ a été prise par l’Entité </w:t>
      </w:r>
      <w:r w:rsidR="001125D9">
        <w:rPr>
          <w:rFonts w:ascii="Arial" w:eastAsia="Calibri" w:hAnsi="Arial" w:cs="Arial"/>
          <w:sz w:val="22"/>
        </w:rPr>
        <w:t>en</w:t>
      </w:r>
      <w:r w:rsidR="001125D9" w:rsidRPr="009212D7">
        <w:rPr>
          <w:rFonts w:ascii="Arial" w:eastAsia="Calibri" w:hAnsi="Arial" w:cs="Arial"/>
          <w:sz w:val="22"/>
        </w:rPr>
        <w:t xml:space="preserve"> </w:t>
      </w:r>
      <w:r w:rsidRPr="009212D7">
        <w:rPr>
          <w:rFonts w:ascii="Arial" w:eastAsia="Calibri" w:hAnsi="Arial" w:cs="Arial"/>
          <w:sz w:val="22"/>
        </w:rPr>
        <w:t>charge du traitement de la plainte, ou l’U</w:t>
      </w:r>
      <w:r w:rsidR="00596080">
        <w:rPr>
          <w:rFonts w:ascii="Arial" w:eastAsia="Calibri" w:hAnsi="Arial" w:cs="Arial"/>
          <w:sz w:val="22"/>
        </w:rPr>
        <w:t>C</w:t>
      </w:r>
      <w:r w:rsidRPr="009212D7">
        <w:rPr>
          <w:rFonts w:ascii="Arial" w:eastAsia="Calibri" w:hAnsi="Arial" w:cs="Arial"/>
          <w:sz w:val="22"/>
        </w:rPr>
        <w:t xml:space="preserve">P sans besoin de mesures correctives et une réponse officielle (lettre) est transmise au plaignant ; </w:t>
      </w:r>
    </w:p>
    <w:p w14:paraId="766238C0" w14:textId="77777777" w:rsidR="00B9291B" w:rsidRPr="009212D7" w:rsidRDefault="00B9291B" w:rsidP="00687DD2">
      <w:pPr>
        <w:pStyle w:val="Corpsdetexte"/>
        <w:numPr>
          <w:ilvl w:val="0"/>
          <w:numId w:val="56"/>
        </w:numPr>
        <w:ind w:right="108"/>
        <w:jc w:val="both"/>
        <w:rPr>
          <w:rFonts w:ascii="Arial" w:eastAsia="Calibri" w:hAnsi="Arial" w:cs="Arial"/>
          <w:sz w:val="22"/>
        </w:rPr>
      </w:pPr>
      <w:r w:rsidRPr="009212D7">
        <w:rPr>
          <w:rFonts w:ascii="Arial" w:eastAsia="Calibri" w:hAnsi="Arial" w:cs="Arial"/>
          <w:sz w:val="22"/>
        </w:rPr>
        <w:t xml:space="preserve">Une décision ‘’finale’’ a été prise par l’Entité </w:t>
      </w:r>
      <w:r w:rsidR="001125D9">
        <w:rPr>
          <w:rFonts w:ascii="Arial" w:eastAsia="Calibri" w:hAnsi="Arial" w:cs="Arial"/>
          <w:sz w:val="22"/>
        </w:rPr>
        <w:t>en</w:t>
      </w:r>
      <w:r w:rsidR="001125D9" w:rsidRPr="009212D7">
        <w:rPr>
          <w:rFonts w:ascii="Arial" w:eastAsia="Calibri" w:hAnsi="Arial" w:cs="Arial"/>
          <w:sz w:val="22"/>
        </w:rPr>
        <w:t xml:space="preserve"> </w:t>
      </w:r>
      <w:r w:rsidRPr="009212D7">
        <w:rPr>
          <w:rFonts w:ascii="Arial" w:eastAsia="Calibri" w:hAnsi="Arial" w:cs="Arial"/>
          <w:sz w:val="22"/>
        </w:rPr>
        <w:t>charge du traitement de la plainte, ou l’U</w:t>
      </w:r>
      <w:r w:rsidR="00596080">
        <w:rPr>
          <w:rFonts w:ascii="Arial" w:eastAsia="Calibri" w:hAnsi="Arial" w:cs="Arial"/>
          <w:sz w:val="22"/>
        </w:rPr>
        <w:t>C</w:t>
      </w:r>
      <w:r w:rsidRPr="009212D7">
        <w:rPr>
          <w:rFonts w:ascii="Arial" w:eastAsia="Calibri" w:hAnsi="Arial" w:cs="Arial"/>
          <w:sz w:val="22"/>
        </w:rPr>
        <w:t>P et les ‘’mesures décrites’’ dans la décision ont été effectuées par ‘’le responsable dédié ;</w:t>
      </w:r>
    </w:p>
    <w:p w14:paraId="31281C28" w14:textId="77777777" w:rsidR="00B9291B" w:rsidRPr="009212D7" w:rsidRDefault="00B9291B" w:rsidP="00687DD2">
      <w:pPr>
        <w:pStyle w:val="Corpsdetexte"/>
        <w:numPr>
          <w:ilvl w:val="0"/>
          <w:numId w:val="56"/>
        </w:numPr>
        <w:ind w:right="108"/>
        <w:jc w:val="both"/>
        <w:rPr>
          <w:rFonts w:ascii="Arial" w:eastAsia="Calibri" w:hAnsi="Arial" w:cs="Arial"/>
          <w:sz w:val="22"/>
        </w:rPr>
      </w:pPr>
      <w:r w:rsidRPr="009212D7">
        <w:rPr>
          <w:rFonts w:ascii="Arial" w:eastAsia="Calibri" w:hAnsi="Arial" w:cs="Arial"/>
          <w:sz w:val="22"/>
        </w:rPr>
        <w:t>Pour les plaintes anonymes, un rapport global de traitement de cas servira de réponse officielle.</w:t>
      </w:r>
    </w:p>
    <w:p w14:paraId="6ACCEE7D" w14:textId="77777777" w:rsidR="00B9291B" w:rsidRPr="009212D7" w:rsidRDefault="00B9291B" w:rsidP="00B9291B">
      <w:pPr>
        <w:spacing w:before="100" w:beforeAutospacing="1" w:after="100" w:afterAutospacing="1"/>
        <w:rPr>
          <w:rFonts w:ascii="Arial" w:hAnsi="Arial" w:cs="Arial"/>
          <w:b/>
          <w:bCs/>
        </w:rPr>
      </w:pPr>
      <w:r w:rsidRPr="009212D7">
        <w:rPr>
          <w:rFonts w:ascii="Arial" w:hAnsi="Arial" w:cs="Arial"/>
          <w:b/>
          <w:bCs/>
        </w:rPr>
        <w:t>Etape 4 : Surveillance, suivi et consolidation des données relatives aux plaintes</w:t>
      </w:r>
    </w:p>
    <w:p w14:paraId="52E627F2" w14:textId="77777777" w:rsidR="00B9291B" w:rsidRPr="009212D7" w:rsidRDefault="00B9291B" w:rsidP="009212D7">
      <w:pPr>
        <w:jc w:val="both"/>
        <w:rPr>
          <w:rFonts w:ascii="Arial" w:hAnsi="Arial" w:cs="Arial"/>
          <w:szCs w:val="24"/>
        </w:rPr>
      </w:pPr>
      <w:r w:rsidRPr="009212D7">
        <w:rPr>
          <w:rFonts w:ascii="Arial" w:hAnsi="Arial" w:cs="Arial"/>
          <w:szCs w:val="24"/>
        </w:rPr>
        <w:t xml:space="preserve">Une base de données sur les plaintes sera établie. Elle a pour objectif de voir la traçabilité des plaintes reçue et de capitaliser le mode </w:t>
      </w:r>
      <w:r w:rsidR="001125D9">
        <w:rPr>
          <w:rFonts w:ascii="Arial" w:hAnsi="Arial" w:cs="Arial"/>
          <w:szCs w:val="24"/>
        </w:rPr>
        <w:t xml:space="preserve">de </w:t>
      </w:r>
      <w:r w:rsidRPr="009212D7">
        <w:rPr>
          <w:rFonts w:ascii="Arial" w:hAnsi="Arial" w:cs="Arial"/>
          <w:szCs w:val="24"/>
        </w:rPr>
        <w:t xml:space="preserve">résolution de conflit effectué. La gestion de la base de données sera sous la responsabilité de l’Unité de Gestion </w:t>
      </w:r>
      <w:r w:rsidR="008C18A4">
        <w:rPr>
          <w:rFonts w:ascii="Arial" w:hAnsi="Arial" w:cs="Arial"/>
          <w:szCs w:val="24"/>
        </w:rPr>
        <w:t xml:space="preserve">du Projet </w:t>
      </w:r>
      <w:r w:rsidRPr="009212D7">
        <w:rPr>
          <w:rFonts w:ascii="Arial" w:hAnsi="Arial" w:cs="Arial"/>
          <w:szCs w:val="24"/>
        </w:rPr>
        <w:t xml:space="preserve">(UCP). Au niveau de chaque entité </w:t>
      </w:r>
      <w:r w:rsidR="001125D9">
        <w:rPr>
          <w:rFonts w:ascii="Arial" w:hAnsi="Arial" w:cs="Arial"/>
          <w:szCs w:val="24"/>
        </w:rPr>
        <w:t>en</w:t>
      </w:r>
      <w:r w:rsidR="001125D9" w:rsidRPr="009212D7">
        <w:rPr>
          <w:rFonts w:ascii="Arial" w:hAnsi="Arial" w:cs="Arial"/>
          <w:szCs w:val="24"/>
        </w:rPr>
        <w:t xml:space="preserve"> </w:t>
      </w:r>
      <w:r w:rsidRPr="009212D7">
        <w:rPr>
          <w:rFonts w:ascii="Arial" w:hAnsi="Arial" w:cs="Arial"/>
          <w:szCs w:val="24"/>
        </w:rPr>
        <w:t>charge du traitement des plaintes, l’entité désignera un responsable attitré pour la capitalisation des données à leur niveau suivant les grandes lignes définies en commun par le Projet. Ces informations seront communiquées périodiquement à l’UCP qui procèdera à la consolidation de l’ensemble des données relatives au</w:t>
      </w:r>
      <w:r w:rsidR="009212D7">
        <w:rPr>
          <w:rFonts w:ascii="Arial" w:hAnsi="Arial" w:cs="Arial"/>
          <w:szCs w:val="24"/>
        </w:rPr>
        <w:t>x</w:t>
      </w:r>
      <w:r w:rsidRPr="009212D7">
        <w:rPr>
          <w:rFonts w:ascii="Arial" w:hAnsi="Arial" w:cs="Arial"/>
          <w:szCs w:val="24"/>
        </w:rPr>
        <w:t xml:space="preserve"> plaintes et qui font l’objet d’un rapport périodique. </w:t>
      </w:r>
    </w:p>
    <w:p w14:paraId="6297568A" w14:textId="77777777" w:rsidR="00B9291B" w:rsidRPr="009212D7" w:rsidRDefault="00B9291B" w:rsidP="009212D7">
      <w:pPr>
        <w:jc w:val="both"/>
        <w:rPr>
          <w:rFonts w:ascii="Arial" w:hAnsi="Arial" w:cs="Arial"/>
          <w:szCs w:val="24"/>
        </w:rPr>
      </w:pPr>
      <w:r w:rsidRPr="009212D7">
        <w:rPr>
          <w:rFonts w:ascii="Arial" w:hAnsi="Arial" w:cs="Arial"/>
          <w:szCs w:val="24"/>
        </w:rPr>
        <w:t>Le mécanisme de gestion des plaintes (MGP) peut être schématisé de la manière suivante </w:t>
      </w:r>
      <w:r w:rsidR="001125D9">
        <w:rPr>
          <w:rFonts w:ascii="Arial" w:hAnsi="Arial" w:cs="Arial"/>
          <w:szCs w:val="24"/>
        </w:rPr>
        <w:t>(cf figure ci-dessous)</w:t>
      </w:r>
      <w:r w:rsidRPr="009212D7">
        <w:rPr>
          <w:rFonts w:ascii="Arial" w:hAnsi="Arial" w:cs="Arial"/>
          <w:szCs w:val="24"/>
        </w:rPr>
        <w:t>:</w:t>
      </w:r>
    </w:p>
    <w:p w14:paraId="62DFCDFD" w14:textId="77777777" w:rsidR="008A05A5" w:rsidRDefault="00B9291B" w:rsidP="00B9291B">
      <w:pPr>
        <w:rPr>
          <w:noProof/>
        </w:rPr>
      </w:pPr>
      <w:r>
        <w:rPr>
          <w:noProof/>
        </w:rPr>
        <w:br w:type="page"/>
      </w:r>
    </w:p>
    <w:p w14:paraId="3EEE454B" w14:textId="5B2C0E1E" w:rsidR="008A05A5" w:rsidRDefault="00E97ECD" w:rsidP="00B9291B">
      <w:r w:rsidRPr="00977215">
        <w:rPr>
          <w:noProof/>
          <w:lang w:eastAsia="fr-FR"/>
        </w:rPr>
        <w:drawing>
          <wp:inline distT="0" distB="0" distL="0" distR="0" wp14:anchorId="529542D0" wp14:editId="681A7CA1">
            <wp:extent cx="5819775" cy="5857875"/>
            <wp:effectExtent l="0" t="0" r="0" b="0"/>
            <wp:docPr id="45" name="Imag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19775" cy="5857875"/>
                    </a:xfrm>
                    <a:prstGeom prst="rect">
                      <a:avLst/>
                    </a:prstGeom>
                    <a:noFill/>
                    <a:ln>
                      <a:noFill/>
                    </a:ln>
                  </pic:spPr>
                </pic:pic>
              </a:graphicData>
            </a:graphic>
          </wp:inline>
        </w:drawing>
      </w:r>
    </w:p>
    <w:p w14:paraId="55E514AD" w14:textId="77777777" w:rsidR="00B9291B" w:rsidRDefault="00B9291B" w:rsidP="00B9291B"/>
    <w:p w14:paraId="50572729" w14:textId="77777777" w:rsidR="008A05A5" w:rsidRDefault="00B9291B" w:rsidP="00B434A6">
      <w:pPr>
        <w:pStyle w:val="Lgende"/>
        <w:spacing w:before="100" w:after="240"/>
        <w:jc w:val="center"/>
      </w:pPr>
      <w:bookmarkStart w:id="1679" w:name="_Toc119313343"/>
      <w:bookmarkStart w:id="1680" w:name="_Toc119313433"/>
      <w:bookmarkStart w:id="1681" w:name="_Toc125402463"/>
      <w:r>
        <w:t xml:space="preserve">Figure </w:t>
      </w:r>
      <w:r w:rsidR="00252AC3">
        <w:fldChar w:fldCharType="begin"/>
      </w:r>
      <w:r w:rsidR="00252AC3">
        <w:instrText xml:space="preserve"> SEQ Figure \* ARABIC </w:instrText>
      </w:r>
      <w:r w:rsidR="00252AC3">
        <w:fldChar w:fldCharType="separate"/>
      </w:r>
      <w:r w:rsidR="000D22D0">
        <w:rPr>
          <w:noProof/>
        </w:rPr>
        <w:t>21</w:t>
      </w:r>
      <w:r w:rsidR="00252AC3">
        <w:rPr>
          <w:noProof/>
        </w:rPr>
        <w:fldChar w:fldCharType="end"/>
      </w:r>
      <w:r>
        <w:t xml:space="preserve">: Mécanisme de gestion des plaintes du projet </w:t>
      </w:r>
      <w:bookmarkEnd w:id="1679"/>
      <w:bookmarkEnd w:id="1680"/>
      <w:r>
        <w:t>DECIM</w:t>
      </w:r>
      <w:bookmarkEnd w:id="1681"/>
    </w:p>
    <w:p w14:paraId="3A862277" w14:textId="77777777" w:rsidR="00B9291B" w:rsidRDefault="00B9291B" w:rsidP="00AE406E"/>
    <w:p w14:paraId="46E50F83" w14:textId="77777777" w:rsidR="00B9291B" w:rsidRPr="007F78CE" w:rsidRDefault="008627F7" w:rsidP="0044500E">
      <w:pPr>
        <w:pStyle w:val="TIT2"/>
        <w:numPr>
          <w:ilvl w:val="1"/>
          <w:numId w:val="177"/>
        </w:numPr>
      </w:pPr>
      <w:bookmarkStart w:id="1682" w:name="_Toc92308172"/>
      <w:bookmarkStart w:id="1683" w:name="_Toc119312991"/>
      <w:bookmarkStart w:id="1684" w:name="_Toc124314826"/>
      <w:bookmarkStart w:id="1685" w:name="_Toc124956368"/>
      <w:bookmarkStart w:id="1686" w:name="_Toc125384713"/>
      <w:bookmarkStart w:id="1687" w:name="_Toc125385102"/>
      <w:bookmarkStart w:id="1688" w:name="_Toc127957771"/>
      <w:r>
        <w:t>s</w:t>
      </w:r>
      <w:r w:rsidRPr="007F78CE">
        <w:t xml:space="preserve">tructure et operationnalisation du </w:t>
      </w:r>
      <w:r w:rsidR="00B9291B" w:rsidRPr="007F78CE">
        <w:t>MGP</w:t>
      </w:r>
      <w:bookmarkEnd w:id="1682"/>
      <w:bookmarkEnd w:id="1683"/>
      <w:bookmarkEnd w:id="1684"/>
      <w:bookmarkEnd w:id="1685"/>
      <w:bookmarkEnd w:id="1686"/>
      <w:bookmarkEnd w:id="1687"/>
      <w:bookmarkEnd w:id="1688"/>
    </w:p>
    <w:p w14:paraId="5C90FE16" w14:textId="77777777" w:rsidR="00B9291B" w:rsidRDefault="00B9291B" w:rsidP="009212D7">
      <w:pPr>
        <w:jc w:val="both"/>
        <w:rPr>
          <w:rFonts w:ascii="Arial" w:hAnsi="Arial" w:cs="Arial"/>
          <w:szCs w:val="24"/>
        </w:rPr>
      </w:pPr>
      <w:r w:rsidRPr="009212D7">
        <w:rPr>
          <w:rFonts w:ascii="Arial" w:hAnsi="Arial" w:cs="Arial"/>
          <w:szCs w:val="24"/>
        </w:rPr>
        <w:t>La structure institutionnelle et organisationnelle définitive du MGP sera mise en place avant le démarrage des interventions du Projet et le MGP devra être opérationnel à cette période afin de faciliter la fonctionnalité du</w:t>
      </w:r>
      <w:r w:rsidR="008C18A4">
        <w:rPr>
          <w:rFonts w:ascii="Arial" w:hAnsi="Arial" w:cs="Arial"/>
          <w:szCs w:val="24"/>
        </w:rPr>
        <w:t>dit</w:t>
      </w:r>
      <w:r w:rsidRPr="009212D7">
        <w:rPr>
          <w:rFonts w:ascii="Arial" w:hAnsi="Arial" w:cs="Arial"/>
          <w:szCs w:val="24"/>
        </w:rPr>
        <w:t xml:space="preserve"> Mécanisme. La mise en place de la structure est placée sous la responsabilité du spécialiste en Gestion de risques sociaux et du spécialiste en VBG/SEA-HS de l’U</w:t>
      </w:r>
      <w:r w:rsidR="00596080">
        <w:rPr>
          <w:rFonts w:ascii="Arial" w:hAnsi="Arial" w:cs="Arial"/>
          <w:szCs w:val="24"/>
        </w:rPr>
        <w:t>C</w:t>
      </w:r>
      <w:r w:rsidRPr="009212D7">
        <w:rPr>
          <w:rFonts w:ascii="Arial" w:hAnsi="Arial" w:cs="Arial"/>
          <w:szCs w:val="24"/>
        </w:rPr>
        <w:t xml:space="preserve">P. Cette structure comprend les organes de traitement du MGP (comités </w:t>
      </w:r>
      <w:r w:rsidR="001125D9">
        <w:rPr>
          <w:rFonts w:ascii="Arial" w:hAnsi="Arial" w:cs="Arial"/>
          <w:szCs w:val="24"/>
        </w:rPr>
        <w:t xml:space="preserve">de </w:t>
      </w:r>
      <w:r w:rsidRPr="009212D7">
        <w:rPr>
          <w:rFonts w:ascii="Arial" w:hAnsi="Arial" w:cs="Arial"/>
          <w:szCs w:val="24"/>
        </w:rPr>
        <w:t>gestion des plaintes de différents niveaux cités précédemment) qui seront mis en place également au niveau de chaque zone d’intervention du Projet. Les personnes responsables intervenant dans les niveaux de traitement de plainte</w:t>
      </w:r>
      <w:r w:rsidR="008C18A4">
        <w:rPr>
          <w:rFonts w:ascii="Arial" w:hAnsi="Arial" w:cs="Arial"/>
          <w:szCs w:val="24"/>
        </w:rPr>
        <w:t>s</w:t>
      </w:r>
      <w:r w:rsidRPr="009212D7">
        <w:rPr>
          <w:rFonts w:ascii="Arial" w:hAnsi="Arial" w:cs="Arial"/>
          <w:szCs w:val="24"/>
        </w:rPr>
        <w:t xml:space="preserve"> doivent être identifiées et bénéficier des formations adéquates pour accomplir leurs missions.</w:t>
      </w:r>
    </w:p>
    <w:p w14:paraId="4170889B" w14:textId="77777777" w:rsidR="00094662" w:rsidRPr="009212D7" w:rsidRDefault="00094662" w:rsidP="009212D7">
      <w:pPr>
        <w:jc w:val="both"/>
        <w:rPr>
          <w:rFonts w:ascii="Arial" w:hAnsi="Arial" w:cs="Arial"/>
          <w:szCs w:val="24"/>
        </w:rPr>
      </w:pPr>
    </w:p>
    <w:p w14:paraId="15356A64" w14:textId="77777777" w:rsidR="00B9291B" w:rsidRPr="00742D67" w:rsidRDefault="00B9291B" w:rsidP="009212D7">
      <w:pPr>
        <w:jc w:val="both"/>
        <w:rPr>
          <w:rFonts w:ascii="Arial" w:hAnsi="Arial" w:cs="Arial"/>
          <w:szCs w:val="24"/>
        </w:rPr>
      </w:pPr>
      <w:r w:rsidRPr="009212D7">
        <w:rPr>
          <w:rFonts w:ascii="Arial" w:hAnsi="Arial" w:cs="Arial"/>
          <w:szCs w:val="24"/>
        </w:rPr>
        <w:t xml:space="preserve">Au niveau national, un Comité au sein de l’UCP sera à constituer. Ce comité assurera </w:t>
      </w:r>
      <w:r w:rsidRPr="00742D67">
        <w:rPr>
          <w:rFonts w:ascii="Arial" w:hAnsi="Arial" w:cs="Arial"/>
          <w:szCs w:val="24"/>
        </w:rPr>
        <w:t>l’animation du MGP</w:t>
      </w:r>
      <w:r w:rsidR="00F63AF5" w:rsidRPr="00742D67">
        <w:rPr>
          <w:rFonts w:ascii="Arial" w:hAnsi="Arial" w:cs="Arial"/>
          <w:szCs w:val="24"/>
        </w:rPr>
        <w:t xml:space="preserve">, </w:t>
      </w:r>
      <w:r w:rsidRPr="00742D67">
        <w:rPr>
          <w:rFonts w:ascii="Arial" w:hAnsi="Arial" w:cs="Arial"/>
          <w:szCs w:val="24"/>
        </w:rPr>
        <w:t>et</w:t>
      </w:r>
      <w:r w:rsidR="00AF64F8">
        <w:rPr>
          <w:rFonts w:ascii="Arial" w:hAnsi="Arial" w:cs="Arial"/>
          <w:szCs w:val="24"/>
        </w:rPr>
        <w:t xml:space="preserve"> </w:t>
      </w:r>
      <w:r w:rsidR="00B82179" w:rsidRPr="00742D67">
        <w:rPr>
          <w:rFonts w:ascii="Arial" w:hAnsi="Arial" w:cs="Arial"/>
          <w:szCs w:val="24"/>
        </w:rPr>
        <w:t>appuiera le CRRL dans le traitement des plaintes</w:t>
      </w:r>
      <w:r w:rsidR="00F63AF5" w:rsidRPr="00742D67">
        <w:rPr>
          <w:rFonts w:ascii="Arial" w:hAnsi="Arial" w:cs="Arial"/>
          <w:szCs w:val="24"/>
        </w:rPr>
        <w:t xml:space="preserve"> et notamment les plaintes non </w:t>
      </w:r>
      <w:r w:rsidR="00094662" w:rsidRPr="00742D67">
        <w:rPr>
          <w:rFonts w:ascii="Arial" w:hAnsi="Arial" w:cs="Arial"/>
          <w:szCs w:val="24"/>
        </w:rPr>
        <w:t>réso</w:t>
      </w:r>
      <w:r w:rsidR="00094662">
        <w:rPr>
          <w:rFonts w:ascii="Arial" w:hAnsi="Arial" w:cs="Arial"/>
          <w:szCs w:val="24"/>
        </w:rPr>
        <w:t>l</w:t>
      </w:r>
      <w:r w:rsidR="00094662" w:rsidRPr="00742D67">
        <w:rPr>
          <w:rFonts w:ascii="Arial" w:hAnsi="Arial" w:cs="Arial"/>
          <w:szCs w:val="24"/>
        </w:rPr>
        <w:t xml:space="preserve">ues </w:t>
      </w:r>
      <w:r w:rsidR="00F63AF5" w:rsidRPr="00742D67">
        <w:rPr>
          <w:rFonts w:ascii="Arial" w:hAnsi="Arial" w:cs="Arial"/>
          <w:szCs w:val="24"/>
        </w:rPr>
        <w:t>au niveau régional</w:t>
      </w:r>
      <w:r w:rsidR="00B82179" w:rsidRPr="00742D67">
        <w:rPr>
          <w:rFonts w:ascii="Arial" w:hAnsi="Arial" w:cs="Arial"/>
          <w:szCs w:val="24"/>
        </w:rPr>
        <w:t xml:space="preserve"> si besoin est. I</w:t>
      </w:r>
      <w:r w:rsidRPr="00742D67">
        <w:rPr>
          <w:rFonts w:ascii="Arial" w:hAnsi="Arial" w:cs="Arial"/>
          <w:szCs w:val="24"/>
        </w:rPr>
        <w:t xml:space="preserve">l est composé </w:t>
      </w:r>
      <w:r w:rsidR="009212D7" w:rsidRPr="00742D67">
        <w:rPr>
          <w:rFonts w:ascii="Arial" w:hAnsi="Arial" w:cs="Arial"/>
          <w:szCs w:val="24"/>
        </w:rPr>
        <w:t>de</w:t>
      </w:r>
      <w:r w:rsidRPr="00742D67">
        <w:rPr>
          <w:rFonts w:ascii="Arial" w:hAnsi="Arial" w:cs="Arial"/>
          <w:szCs w:val="24"/>
        </w:rPr>
        <w:t xml:space="preserve"> </w:t>
      </w:r>
      <w:r w:rsidR="009212D7" w:rsidRPr="00742D67">
        <w:rPr>
          <w:rFonts w:ascii="Arial" w:hAnsi="Arial" w:cs="Arial"/>
          <w:szCs w:val="24"/>
        </w:rPr>
        <w:t>six (06)</w:t>
      </w:r>
      <w:r w:rsidRPr="00742D67">
        <w:rPr>
          <w:rFonts w:ascii="Arial" w:hAnsi="Arial" w:cs="Arial"/>
          <w:szCs w:val="24"/>
        </w:rPr>
        <w:t xml:space="preserve"> membres :</w:t>
      </w:r>
    </w:p>
    <w:p w14:paraId="3D3F4E21" w14:textId="77777777" w:rsidR="00B9291B" w:rsidRPr="009212D7" w:rsidRDefault="00B9291B" w:rsidP="00687DD2">
      <w:pPr>
        <w:numPr>
          <w:ilvl w:val="0"/>
          <w:numId w:val="57"/>
        </w:numPr>
        <w:spacing w:before="120" w:after="120" w:line="240" w:lineRule="auto"/>
        <w:jc w:val="both"/>
        <w:rPr>
          <w:rFonts w:ascii="Arial" w:hAnsi="Arial" w:cs="Arial"/>
        </w:rPr>
      </w:pPr>
      <w:r w:rsidRPr="009212D7">
        <w:rPr>
          <w:rFonts w:ascii="Arial" w:hAnsi="Arial" w:cs="Arial"/>
        </w:rPr>
        <w:t>0</w:t>
      </w:r>
      <w:r w:rsidR="009212D7">
        <w:rPr>
          <w:rFonts w:ascii="Arial" w:hAnsi="Arial" w:cs="Arial"/>
        </w:rPr>
        <w:t>2</w:t>
      </w:r>
      <w:r w:rsidRPr="009212D7">
        <w:rPr>
          <w:rFonts w:ascii="Arial" w:hAnsi="Arial" w:cs="Arial"/>
        </w:rPr>
        <w:t xml:space="preserve"> </w:t>
      </w:r>
      <w:r w:rsidR="009212D7" w:rsidRPr="009212D7">
        <w:rPr>
          <w:rFonts w:ascii="Arial" w:hAnsi="Arial" w:cs="Arial"/>
        </w:rPr>
        <w:t>membres</w:t>
      </w:r>
      <w:r w:rsidRPr="009212D7">
        <w:rPr>
          <w:rFonts w:ascii="Arial" w:hAnsi="Arial" w:cs="Arial"/>
        </w:rPr>
        <w:t xml:space="preserve"> de l’UCP (spécialiste en gestion des risques sociaux</w:t>
      </w:r>
      <w:r w:rsidR="009212D7">
        <w:rPr>
          <w:rFonts w:ascii="Arial" w:hAnsi="Arial" w:cs="Arial"/>
        </w:rPr>
        <w:t>, Spécialiste en VBG</w:t>
      </w:r>
      <w:r w:rsidRPr="009212D7">
        <w:rPr>
          <w:rFonts w:ascii="Arial" w:hAnsi="Arial" w:cs="Arial"/>
        </w:rPr>
        <w:t>) ;</w:t>
      </w:r>
    </w:p>
    <w:p w14:paraId="40A50C9F" w14:textId="77777777" w:rsidR="00B9291B" w:rsidRPr="009212D7" w:rsidRDefault="00B9291B" w:rsidP="00687DD2">
      <w:pPr>
        <w:numPr>
          <w:ilvl w:val="0"/>
          <w:numId w:val="57"/>
        </w:numPr>
        <w:spacing w:before="120" w:after="120" w:line="240" w:lineRule="auto"/>
        <w:jc w:val="both"/>
        <w:rPr>
          <w:rFonts w:ascii="Arial" w:hAnsi="Arial" w:cs="Arial"/>
        </w:rPr>
      </w:pPr>
      <w:r w:rsidRPr="009212D7">
        <w:rPr>
          <w:rFonts w:ascii="Arial" w:hAnsi="Arial" w:cs="Arial"/>
        </w:rPr>
        <w:t>01 membre de la Direction Générale des Opérations et de la Vulgarisation des TICs (assure la coprésidence du comité) ;</w:t>
      </w:r>
    </w:p>
    <w:p w14:paraId="16E2184A" w14:textId="77777777" w:rsidR="00B9291B" w:rsidRPr="009212D7" w:rsidRDefault="00B9291B" w:rsidP="00687DD2">
      <w:pPr>
        <w:numPr>
          <w:ilvl w:val="0"/>
          <w:numId w:val="57"/>
        </w:numPr>
        <w:spacing w:before="120" w:after="120" w:line="240" w:lineRule="auto"/>
        <w:jc w:val="both"/>
        <w:rPr>
          <w:rFonts w:ascii="Arial" w:hAnsi="Arial" w:cs="Arial"/>
        </w:rPr>
      </w:pPr>
      <w:r w:rsidRPr="009212D7">
        <w:rPr>
          <w:rFonts w:ascii="Arial" w:hAnsi="Arial" w:cs="Arial"/>
        </w:rPr>
        <w:t>01 membre de la Direction Générale de l’Energie (assure la coprésidence du comité);</w:t>
      </w:r>
    </w:p>
    <w:p w14:paraId="7ACA9144" w14:textId="77777777" w:rsidR="00B9291B" w:rsidRPr="009212D7" w:rsidRDefault="00B9291B" w:rsidP="00687DD2">
      <w:pPr>
        <w:numPr>
          <w:ilvl w:val="0"/>
          <w:numId w:val="57"/>
        </w:numPr>
        <w:spacing w:before="120" w:after="120" w:line="240" w:lineRule="auto"/>
        <w:jc w:val="both"/>
        <w:rPr>
          <w:rFonts w:ascii="Arial" w:hAnsi="Arial" w:cs="Arial"/>
        </w:rPr>
      </w:pPr>
      <w:r w:rsidRPr="009212D7">
        <w:rPr>
          <w:rFonts w:ascii="Arial" w:hAnsi="Arial" w:cs="Arial"/>
        </w:rPr>
        <w:t>01 membre de la Direction Nationale de la Promotion du Genre ;</w:t>
      </w:r>
    </w:p>
    <w:p w14:paraId="4833DB5C" w14:textId="77777777" w:rsidR="00B9291B" w:rsidRPr="009212D7" w:rsidRDefault="00B9291B" w:rsidP="00687DD2">
      <w:pPr>
        <w:numPr>
          <w:ilvl w:val="0"/>
          <w:numId w:val="57"/>
        </w:numPr>
        <w:spacing w:before="120" w:after="120" w:line="240" w:lineRule="auto"/>
        <w:jc w:val="both"/>
        <w:rPr>
          <w:rFonts w:ascii="Arial" w:hAnsi="Arial" w:cs="Arial"/>
        </w:rPr>
      </w:pPr>
      <w:r w:rsidRPr="009212D7">
        <w:rPr>
          <w:rFonts w:ascii="Arial" w:hAnsi="Arial" w:cs="Arial"/>
        </w:rPr>
        <w:t>01 membre de la Direction Générale de l’Environnement ;</w:t>
      </w:r>
    </w:p>
    <w:p w14:paraId="0873236E" w14:textId="77777777" w:rsidR="00B9291B" w:rsidRPr="009212D7" w:rsidRDefault="00B9291B" w:rsidP="009212D7">
      <w:pPr>
        <w:jc w:val="both"/>
        <w:rPr>
          <w:rFonts w:ascii="Arial" w:hAnsi="Arial" w:cs="Arial"/>
          <w:szCs w:val="24"/>
        </w:rPr>
      </w:pPr>
      <w:r w:rsidRPr="009212D7">
        <w:rPr>
          <w:rFonts w:ascii="Arial" w:hAnsi="Arial" w:cs="Arial"/>
          <w:szCs w:val="24"/>
        </w:rPr>
        <w:t xml:space="preserve">Le spécialiste en gestion des risques sociaux </w:t>
      </w:r>
      <w:r w:rsidR="00E71009">
        <w:rPr>
          <w:rFonts w:ascii="Arial" w:hAnsi="Arial" w:cs="Arial"/>
          <w:szCs w:val="24"/>
        </w:rPr>
        <w:t xml:space="preserve">et le spécialiste en VBG </w:t>
      </w:r>
      <w:r w:rsidRPr="009212D7">
        <w:rPr>
          <w:rFonts w:ascii="Arial" w:hAnsi="Arial" w:cs="Arial"/>
          <w:szCs w:val="24"/>
        </w:rPr>
        <w:t>de l’UCP assure</w:t>
      </w:r>
      <w:r w:rsidR="00094662">
        <w:rPr>
          <w:rFonts w:ascii="Arial" w:hAnsi="Arial" w:cs="Arial"/>
          <w:szCs w:val="24"/>
        </w:rPr>
        <w:t>nt</w:t>
      </w:r>
      <w:r w:rsidRPr="009212D7">
        <w:rPr>
          <w:rFonts w:ascii="Arial" w:hAnsi="Arial" w:cs="Arial"/>
          <w:szCs w:val="24"/>
        </w:rPr>
        <w:t xml:space="preserve"> la capitalisation des données sur les plaintes pour le compte du Projet. Il</w:t>
      </w:r>
      <w:r w:rsidR="00094662">
        <w:rPr>
          <w:rFonts w:ascii="Arial" w:hAnsi="Arial" w:cs="Arial"/>
          <w:szCs w:val="24"/>
        </w:rPr>
        <w:t>s sont</w:t>
      </w:r>
      <w:r w:rsidRPr="009212D7">
        <w:rPr>
          <w:rFonts w:ascii="Arial" w:hAnsi="Arial" w:cs="Arial"/>
          <w:szCs w:val="24"/>
        </w:rPr>
        <w:t xml:space="preserve"> responsable</w:t>
      </w:r>
      <w:r w:rsidR="00094662">
        <w:rPr>
          <w:rFonts w:ascii="Arial" w:hAnsi="Arial" w:cs="Arial"/>
          <w:szCs w:val="24"/>
        </w:rPr>
        <w:t>s</w:t>
      </w:r>
      <w:r w:rsidRPr="009212D7">
        <w:rPr>
          <w:rFonts w:ascii="Arial" w:hAnsi="Arial" w:cs="Arial"/>
          <w:szCs w:val="24"/>
        </w:rPr>
        <w:t xml:space="preserve"> de l’archivage des documents. Il</w:t>
      </w:r>
      <w:r w:rsidR="00094662">
        <w:rPr>
          <w:rFonts w:ascii="Arial" w:hAnsi="Arial" w:cs="Arial"/>
          <w:szCs w:val="24"/>
        </w:rPr>
        <w:t>s</w:t>
      </w:r>
      <w:r w:rsidRPr="009212D7">
        <w:rPr>
          <w:rFonts w:ascii="Arial" w:hAnsi="Arial" w:cs="Arial"/>
          <w:szCs w:val="24"/>
        </w:rPr>
        <w:t xml:space="preserve"> assure</w:t>
      </w:r>
      <w:r w:rsidR="00094662">
        <w:rPr>
          <w:rFonts w:ascii="Arial" w:hAnsi="Arial" w:cs="Arial"/>
          <w:szCs w:val="24"/>
        </w:rPr>
        <w:t>nt</w:t>
      </w:r>
      <w:r w:rsidRPr="009212D7">
        <w:rPr>
          <w:rFonts w:ascii="Arial" w:hAnsi="Arial" w:cs="Arial"/>
          <w:szCs w:val="24"/>
        </w:rPr>
        <w:t xml:space="preserve"> également avec l’appui </w:t>
      </w:r>
      <w:r w:rsidR="00B82179" w:rsidDel="00B82179">
        <w:rPr>
          <w:rFonts w:ascii="Arial" w:hAnsi="Arial" w:cs="Arial"/>
          <w:szCs w:val="24"/>
        </w:rPr>
        <w:t xml:space="preserve"> </w:t>
      </w:r>
      <w:r w:rsidR="00B82179">
        <w:rPr>
          <w:rFonts w:ascii="Arial" w:hAnsi="Arial" w:cs="Arial"/>
          <w:szCs w:val="24"/>
        </w:rPr>
        <w:t xml:space="preserve">d’un cabinet ou d’un organisme spécialisé </w:t>
      </w:r>
      <w:r w:rsidRPr="009212D7">
        <w:rPr>
          <w:rFonts w:ascii="Arial" w:hAnsi="Arial" w:cs="Arial"/>
          <w:szCs w:val="24"/>
        </w:rPr>
        <w:t>la formation des membres des comités de résolution des plaintes sur le MGP mis en place au niveau de chaque zone d’intervention.</w:t>
      </w:r>
    </w:p>
    <w:p w14:paraId="4422DF9E" w14:textId="77777777" w:rsidR="00B9291B" w:rsidRPr="009212D7" w:rsidRDefault="00B9291B" w:rsidP="009212D7">
      <w:pPr>
        <w:jc w:val="both"/>
        <w:rPr>
          <w:rFonts w:ascii="Arial" w:hAnsi="Arial" w:cs="Arial"/>
          <w:szCs w:val="24"/>
        </w:rPr>
      </w:pPr>
      <w:r w:rsidRPr="009212D7">
        <w:rPr>
          <w:rFonts w:ascii="Arial" w:hAnsi="Arial" w:cs="Arial"/>
          <w:szCs w:val="24"/>
        </w:rPr>
        <w:t xml:space="preserve">Le spécialiste en gestion des risques sociaux de l’UCP va élaborer un manuel du MGP du projet où sont </w:t>
      </w:r>
      <w:r w:rsidR="009212D7" w:rsidRPr="009212D7">
        <w:rPr>
          <w:rFonts w:ascii="Arial" w:hAnsi="Arial" w:cs="Arial"/>
          <w:szCs w:val="24"/>
        </w:rPr>
        <w:t>expliqués</w:t>
      </w:r>
      <w:r w:rsidRPr="009212D7">
        <w:rPr>
          <w:rFonts w:ascii="Arial" w:hAnsi="Arial" w:cs="Arial"/>
          <w:szCs w:val="24"/>
        </w:rPr>
        <w:t xml:space="preserve"> en détails les différentes procédures et mécanismes de résolution, le fonctionnement des comités (nomination, règlement interne, budget de fonctionnement, etc.). Une version abrégée en langue malagasy du manuel est à produire et qui sera partagée et diffusée aux membres des comités de résolution.</w:t>
      </w:r>
    </w:p>
    <w:p w14:paraId="08E99422" w14:textId="77777777" w:rsidR="00B9291B" w:rsidRPr="009212D7" w:rsidRDefault="00B9291B" w:rsidP="009212D7">
      <w:pPr>
        <w:jc w:val="both"/>
        <w:rPr>
          <w:rFonts w:ascii="Arial" w:hAnsi="Arial" w:cs="Arial"/>
          <w:szCs w:val="24"/>
        </w:rPr>
      </w:pPr>
      <w:r w:rsidRPr="009212D7">
        <w:rPr>
          <w:rFonts w:ascii="Arial" w:hAnsi="Arial" w:cs="Arial"/>
          <w:szCs w:val="24"/>
        </w:rPr>
        <w:t xml:space="preserve">Au niveau des régions d’intervention, le responsable de la gestion des risques sociaux supervise et appuie </w:t>
      </w:r>
      <w:r w:rsidR="00137107" w:rsidRPr="009212D7">
        <w:rPr>
          <w:rFonts w:ascii="Arial" w:hAnsi="Arial" w:cs="Arial"/>
          <w:szCs w:val="24"/>
        </w:rPr>
        <w:t>l</w:t>
      </w:r>
      <w:r w:rsidR="00137107">
        <w:rPr>
          <w:rFonts w:ascii="Arial" w:hAnsi="Arial" w:cs="Arial"/>
          <w:szCs w:val="24"/>
        </w:rPr>
        <w:t>e prestataire en charge de la mise en œuvre du PR</w:t>
      </w:r>
      <w:r w:rsidR="00137107" w:rsidRPr="009212D7">
        <w:rPr>
          <w:rFonts w:ascii="Arial" w:hAnsi="Arial" w:cs="Arial"/>
          <w:szCs w:val="24"/>
        </w:rPr>
        <w:t xml:space="preserve"> </w:t>
      </w:r>
      <w:r w:rsidR="00094662" w:rsidRPr="009212D7">
        <w:rPr>
          <w:rFonts w:ascii="Arial" w:hAnsi="Arial" w:cs="Arial"/>
          <w:szCs w:val="24"/>
        </w:rPr>
        <w:t xml:space="preserve"> </w:t>
      </w:r>
      <w:r w:rsidRPr="009212D7">
        <w:rPr>
          <w:rFonts w:ascii="Arial" w:hAnsi="Arial" w:cs="Arial"/>
          <w:szCs w:val="24"/>
        </w:rPr>
        <w:t xml:space="preserve"> qui assure l’animation, le suivi des comités de résolution à tous niveaux, l’information des parties prenantes et de la population de l’existence du MGP régional, des membres des différents comités, du mode de fonctionnement et des canaux de recours pour le dépôt de plaintes. </w:t>
      </w:r>
    </w:p>
    <w:p w14:paraId="03E486C4" w14:textId="77777777" w:rsidR="00B9291B" w:rsidRPr="009212D7" w:rsidRDefault="00B9291B" w:rsidP="009212D7">
      <w:pPr>
        <w:jc w:val="both"/>
        <w:rPr>
          <w:rFonts w:ascii="Arial" w:hAnsi="Arial" w:cs="Arial"/>
          <w:szCs w:val="24"/>
        </w:rPr>
      </w:pPr>
      <w:r w:rsidRPr="009212D7">
        <w:rPr>
          <w:rFonts w:ascii="Arial" w:hAnsi="Arial" w:cs="Arial"/>
          <w:szCs w:val="24"/>
        </w:rPr>
        <w:t xml:space="preserve">L’opérationnalisation du MGP sera effective grâce aux ressources humaines et matérielles que l’UCP mettra en œuvre. Dès que le projet entrera en vigueur, l’UCP veillera à mettre à la disposition des Comités de gestion et de résolution des plaintes i) le registre des plaintes, des matériels et fournitures de bureau, ii) les frais de fonctionnement du comité. </w:t>
      </w:r>
    </w:p>
    <w:p w14:paraId="7112B955" w14:textId="77777777" w:rsidR="00832CC9" w:rsidRDefault="00832CC9"/>
    <w:p w14:paraId="765CF18E" w14:textId="77777777" w:rsidR="00832CC9" w:rsidRPr="00B96EBA" w:rsidRDefault="00E95156" w:rsidP="0044500E">
      <w:pPr>
        <w:pStyle w:val="Paragraphedeliste"/>
        <w:numPr>
          <w:ilvl w:val="0"/>
          <w:numId w:val="177"/>
        </w:numPr>
        <w:pBdr>
          <w:bottom w:val="single" w:sz="4" w:space="1" w:color="auto"/>
        </w:pBdr>
        <w:spacing w:line="240" w:lineRule="auto"/>
        <w:jc w:val="both"/>
        <w:outlineLvl w:val="0"/>
        <w:rPr>
          <w:b/>
          <w:bCs/>
          <w:caps/>
          <w:color w:val="44546A"/>
          <w:sz w:val="40"/>
          <w:szCs w:val="44"/>
        </w:rPr>
      </w:pPr>
      <w:r>
        <w:br w:type="page"/>
      </w:r>
      <w:bookmarkStart w:id="1689" w:name="_Toc124956369"/>
      <w:bookmarkStart w:id="1690" w:name="_Toc125384714"/>
      <w:bookmarkStart w:id="1691" w:name="_Toc125385103"/>
      <w:bookmarkStart w:id="1692" w:name="_Toc127957772"/>
      <w:r w:rsidR="00832CC9" w:rsidRPr="00B96EBA">
        <w:rPr>
          <w:b/>
          <w:bCs/>
          <w:caps/>
          <w:color w:val="44546A"/>
          <w:sz w:val="40"/>
          <w:szCs w:val="44"/>
        </w:rPr>
        <w:t>Conclusion</w:t>
      </w:r>
      <w:bookmarkEnd w:id="1689"/>
      <w:bookmarkEnd w:id="1690"/>
      <w:bookmarkEnd w:id="1691"/>
      <w:bookmarkEnd w:id="1692"/>
      <w:r w:rsidR="00832CC9" w:rsidRPr="00B96EBA">
        <w:rPr>
          <w:b/>
          <w:bCs/>
          <w:caps/>
          <w:color w:val="44546A"/>
          <w:sz w:val="40"/>
          <w:szCs w:val="44"/>
        </w:rPr>
        <w:t xml:space="preserve"> </w:t>
      </w:r>
    </w:p>
    <w:p w14:paraId="66ABC234" w14:textId="77777777" w:rsidR="00B85CFC" w:rsidRPr="00471113" w:rsidRDefault="00B85CFC" w:rsidP="00B85CFC">
      <w:pPr>
        <w:jc w:val="both"/>
        <w:rPr>
          <w:rFonts w:ascii="Arial" w:hAnsi="Arial" w:cs="Arial"/>
        </w:rPr>
      </w:pPr>
      <w:r w:rsidRPr="00471113">
        <w:rPr>
          <w:rFonts w:ascii="Arial" w:hAnsi="Arial" w:cs="Arial"/>
        </w:rPr>
        <w:t>Pour stimuler et soutenir la croissance économique et réduire la pauvreté, Madagascar doit s’engager dans des réformes structurelles profondes basées sur des investissements dans le capital humain et physique, le recours à la transformation structurelle, le développement d’un secteur productif résilient au changement climatique. La stimulation, voire le développement du secteur des nouvelles technologies et du numérique d’une part, un meilleur accès aux infrastructures, notamment à l’énergie pour les communautés dans les zones mal desservies, plus particulièrement dans les zones rurales, d’autre part</w:t>
      </w:r>
      <w:r w:rsidR="00B82179">
        <w:rPr>
          <w:rFonts w:ascii="Arial" w:hAnsi="Arial" w:cs="Arial"/>
        </w:rPr>
        <w:t>,</w:t>
      </w:r>
      <w:r w:rsidRPr="00471113">
        <w:rPr>
          <w:rFonts w:ascii="Arial" w:hAnsi="Arial" w:cs="Arial"/>
        </w:rPr>
        <w:t xml:space="preserve"> constitue</w:t>
      </w:r>
      <w:r w:rsidR="008C18A4">
        <w:rPr>
          <w:rFonts w:ascii="Arial" w:hAnsi="Arial" w:cs="Arial"/>
        </w:rPr>
        <w:t>nt</w:t>
      </w:r>
      <w:r w:rsidRPr="00471113">
        <w:rPr>
          <w:rFonts w:ascii="Arial" w:hAnsi="Arial" w:cs="Arial"/>
        </w:rPr>
        <w:t xml:space="preserve"> des vecteurs de développement et d’accélération de la transformation structurelle. Cela se traduit par l’amélioration de la prestation et l’accès aux services de base (éducation, santé), l’extension de la connectivité, la création de nouveaux emplois et la promotion de l’utilisation des énergies vertes. En effet, l’exploitation combinée de ces deux secteurs permet d’obtenir des résultats de développement plus probants.</w:t>
      </w:r>
    </w:p>
    <w:p w14:paraId="66463B33" w14:textId="77777777" w:rsidR="00956CFD" w:rsidRPr="00956CFD" w:rsidRDefault="00956CFD" w:rsidP="00F91FA3">
      <w:pPr>
        <w:jc w:val="both"/>
        <w:rPr>
          <w:rFonts w:ascii="Arial" w:hAnsi="Arial" w:cs="Arial"/>
        </w:rPr>
      </w:pPr>
      <w:r w:rsidRPr="00956CFD">
        <w:rPr>
          <w:rFonts w:ascii="Arial" w:hAnsi="Arial" w:cs="Arial"/>
        </w:rPr>
        <w:t xml:space="preserve">A travers la préparation de ce Cadre de Gestion Environnementale et Sociale, le Projet s’engage à se conformer aux dispositions légales nationales, aux normes environnementales et sociales ainsi qu’aux directives de la Banque </w:t>
      </w:r>
      <w:r w:rsidR="00596080">
        <w:rPr>
          <w:rFonts w:ascii="Arial" w:hAnsi="Arial" w:cs="Arial"/>
        </w:rPr>
        <w:t>m</w:t>
      </w:r>
      <w:r w:rsidRPr="00956CFD">
        <w:rPr>
          <w:rFonts w:ascii="Arial" w:hAnsi="Arial" w:cs="Arial"/>
        </w:rPr>
        <w:t>ondiale, dans sa planification et sa mise en œuvre. Le CGES comprend diverses mesures d’atténuation des impacts environnementaux et sociaux, identifiés en fonction des contextes et des milieux d’insertion de sous-projets éligibles du Projet.</w:t>
      </w:r>
    </w:p>
    <w:p w14:paraId="2F5A0C77" w14:textId="77777777" w:rsidR="00471113" w:rsidRPr="00471113" w:rsidRDefault="00471113" w:rsidP="00F91FA3">
      <w:pPr>
        <w:jc w:val="both"/>
        <w:rPr>
          <w:rFonts w:ascii="Arial" w:hAnsi="Arial" w:cs="Arial"/>
        </w:rPr>
      </w:pPr>
      <w:r w:rsidRPr="00471113">
        <w:rPr>
          <w:rFonts w:ascii="Arial" w:hAnsi="Arial" w:cs="Arial"/>
        </w:rPr>
        <w:t>Le CGES est le document principal cadre pour le Projet, lequel est complété par d’autres instruments cadres, à savoir le Plan d’</w:t>
      </w:r>
      <w:r w:rsidR="00D23B6A">
        <w:rPr>
          <w:rFonts w:ascii="Arial" w:hAnsi="Arial" w:cs="Arial"/>
        </w:rPr>
        <w:t>E</w:t>
      </w:r>
      <w:r w:rsidRPr="00471113">
        <w:rPr>
          <w:rFonts w:ascii="Arial" w:hAnsi="Arial" w:cs="Arial"/>
        </w:rPr>
        <w:t xml:space="preserve">ngagement </w:t>
      </w:r>
      <w:r w:rsidR="00D23B6A">
        <w:rPr>
          <w:rFonts w:ascii="Arial" w:hAnsi="Arial" w:cs="Arial"/>
        </w:rPr>
        <w:t>E</w:t>
      </w:r>
      <w:r w:rsidRPr="00471113">
        <w:rPr>
          <w:rFonts w:ascii="Arial" w:hAnsi="Arial" w:cs="Arial"/>
        </w:rPr>
        <w:t xml:space="preserve">nvironnemental et </w:t>
      </w:r>
      <w:r w:rsidR="00D23B6A">
        <w:rPr>
          <w:rFonts w:ascii="Arial" w:hAnsi="Arial" w:cs="Arial"/>
        </w:rPr>
        <w:t>S</w:t>
      </w:r>
      <w:r w:rsidRPr="00471113">
        <w:rPr>
          <w:rFonts w:ascii="Arial" w:hAnsi="Arial" w:cs="Arial"/>
        </w:rPr>
        <w:t xml:space="preserve">ocial (PEES), le Cadre de </w:t>
      </w:r>
      <w:r w:rsidR="00D23B6A">
        <w:rPr>
          <w:rFonts w:ascii="Arial" w:hAnsi="Arial" w:cs="Arial"/>
        </w:rPr>
        <w:t>R</w:t>
      </w:r>
      <w:r w:rsidRPr="00471113">
        <w:rPr>
          <w:rFonts w:ascii="Arial" w:hAnsi="Arial" w:cs="Arial"/>
        </w:rPr>
        <w:t xml:space="preserve">éinstallation (CR), le Procédures de </w:t>
      </w:r>
      <w:r w:rsidR="00D23B6A">
        <w:rPr>
          <w:rFonts w:ascii="Arial" w:hAnsi="Arial" w:cs="Arial"/>
        </w:rPr>
        <w:t>G</w:t>
      </w:r>
      <w:r w:rsidRPr="00471113">
        <w:rPr>
          <w:rFonts w:ascii="Arial" w:hAnsi="Arial" w:cs="Arial"/>
        </w:rPr>
        <w:t xml:space="preserve">estion de la </w:t>
      </w:r>
      <w:r w:rsidR="00D23B6A">
        <w:rPr>
          <w:rFonts w:ascii="Arial" w:hAnsi="Arial" w:cs="Arial"/>
        </w:rPr>
        <w:t>M</w:t>
      </w:r>
      <w:r w:rsidRPr="00471113">
        <w:rPr>
          <w:rFonts w:ascii="Arial" w:hAnsi="Arial" w:cs="Arial"/>
        </w:rPr>
        <w:t>ain</w:t>
      </w:r>
      <w:r w:rsidR="00D23B6A">
        <w:rPr>
          <w:rFonts w:ascii="Arial" w:hAnsi="Arial" w:cs="Arial"/>
        </w:rPr>
        <w:t>-</w:t>
      </w:r>
      <w:r w:rsidRPr="00471113">
        <w:rPr>
          <w:rFonts w:ascii="Arial" w:hAnsi="Arial" w:cs="Arial"/>
        </w:rPr>
        <w:t xml:space="preserve">d’œuvre (PGMO) et le Plan de </w:t>
      </w:r>
      <w:r w:rsidR="00D23B6A">
        <w:rPr>
          <w:rFonts w:ascii="Arial" w:hAnsi="Arial" w:cs="Arial"/>
        </w:rPr>
        <w:t>M</w:t>
      </w:r>
      <w:r w:rsidRPr="00471113">
        <w:rPr>
          <w:rFonts w:ascii="Arial" w:hAnsi="Arial" w:cs="Arial"/>
        </w:rPr>
        <w:t xml:space="preserve">obilisation des </w:t>
      </w:r>
      <w:r w:rsidR="00D23B6A">
        <w:rPr>
          <w:rFonts w:ascii="Arial" w:hAnsi="Arial" w:cs="Arial"/>
        </w:rPr>
        <w:t>P</w:t>
      </w:r>
      <w:r w:rsidRPr="00471113">
        <w:rPr>
          <w:rFonts w:ascii="Arial" w:hAnsi="Arial" w:cs="Arial"/>
        </w:rPr>
        <w:t xml:space="preserve">arties </w:t>
      </w:r>
      <w:r w:rsidR="00D23B6A">
        <w:rPr>
          <w:rFonts w:ascii="Arial" w:hAnsi="Arial" w:cs="Arial"/>
        </w:rPr>
        <w:t>P</w:t>
      </w:r>
      <w:r w:rsidRPr="00471113">
        <w:rPr>
          <w:rFonts w:ascii="Arial" w:hAnsi="Arial" w:cs="Arial"/>
        </w:rPr>
        <w:t xml:space="preserve">renantes (PMPP). </w:t>
      </w:r>
    </w:p>
    <w:p w14:paraId="2C9CEB27" w14:textId="77777777" w:rsidR="00471113" w:rsidRPr="00471113" w:rsidRDefault="00D23B6A" w:rsidP="00F91FA3">
      <w:pPr>
        <w:jc w:val="both"/>
        <w:rPr>
          <w:rFonts w:ascii="Arial" w:hAnsi="Arial" w:cs="Arial"/>
        </w:rPr>
      </w:pPr>
      <w:r>
        <w:rPr>
          <w:rFonts w:ascii="Arial" w:hAnsi="Arial" w:cs="Arial"/>
        </w:rPr>
        <w:t>L</w:t>
      </w:r>
      <w:r w:rsidR="00471113" w:rsidRPr="00471113">
        <w:rPr>
          <w:rFonts w:ascii="Arial" w:hAnsi="Arial" w:cs="Arial"/>
        </w:rPr>
        <w:t>e Projet</w:t>
      </w:r>
      <w:r>
        <w:rPr>
          <w:rFonts w:ascii="Arial" w:hAnsi="Arial" w:cs="Arial"/>
        </w:rPr>
        <w:t xml:space="preserve"> DECIM</w:t>
      </w:r>
      <w:r w:rsidR="00471113" w:rsidRPr="00471113">
        <w:rPr>
          <w:rFonts w:ascii="Arial" w:hAnsi="Arial" w:cs="Arial"/>
        </w:rPr>
        <w:t xml:space="preserve"> constitue un levier pour le développement soci</w:t>
      </w:r>
      <w:r w:rsidR="00471113">
        <w:rPr>
          <w:rFonts w:ascii="Arial" w:hAnsi="Arial" w:cs="Arial"/>
        </w:rPr>
        <w:t>oéconomique local, régional et national.</w:t>
      </w:r>
      <w:r w:rsidR="00471113" w:rsidRPr="00471113">
        <w:rPr>
          <w:rFonts w:ascii="Arial" w:hAnsi="Arial" w:cs="Arial"/>
        </w:rPr>
        <w:t xml:space="preserve"> S’il est mis en œuvre efficacement et de manière durable, il permettra d’atteindre la vision </w:t>
      </w:r>
      <w:r w:rsidR="00956CFD">
        <w:rPr>
          <w:rFonts w:ascii="Arial" w:hAnsi="Arial" w:cs="Arial"/>
        </w:rPr>
        <w:t xml:space="preserve">telle que citée dans le Plan </w:t>
      </w:r>
      <w:r w:rsidR="00FD7760">
        <w:rPr>
          <w:rFonts w:ascii="Arial" w:hAnsi="Arial" w:cs="Arial"/>
        </w:rPr>
        <w:t>Émergence</w:t>
      </w:r>
      <w:r w:rsidR="00956CFD">
        <w:rPr>
          <w:rFonts w:ascii="Arial" w:hAnsi="Arial" w:cs="Arial"/>
        </w:rPr>
        <w:t xml:space="preserve"> de </w:t>
      </w:r>
      <w:r w:rsidR="00471113" w:rsidRPr="00471113">
        <w:rPr>
          <w:rFonts w:ascii="Arial" w:hAnsi="Arial" w:cs="Arial"/>
        </w:rPr>
        <w:t xml:space="preserve">Madagascar. </w:t>
      </w:r>
      <w:r w:rsidR="00956CFD">
        <w:rPr>
          <w:rFonts w:ascii="Arial" w:hAnsi="Arial" w:cs="Arial"/>
        </w:rPr>
        <w:t xml:space="preserve">En effet, la mise en œuvre du projet DECIM permettra aux localités desservies ainsi que les régions de faciliter le développement économique et social local via la production d’énergie propre et durable. Mais également à travers la densification des réseaux de télécommunications. </w:t>
      </w:r>
      <w:r w:rsidR="00471113" w:rsidRPr="00471113">
        <w:rPr>
          <w:rFonts w:ascii="Arial" w:hAnsi="Arial" w:cs="Arial"/>
        </w:rPr>
        <w:t xml:space="preserve">Pour ce faire, il est très important que le Projet remplisse les obligations environnementales </w:t>
      </w:r>
      <w:r w:rsidR="00094662">
        <w:rPr>
          <w:rFonts w:ascii="Arial" w:hAnsi="Arial" w:cs="Arial"/>
        </w:rPr>
        <w:t xml:space="preserve">et sociales </w:t>
      </w:r>
      <w:r w:rsidR="00471113" w:rsidRPr="00471113">
        <w:rPr>
          <w:rFonts w:ascii="Arial" w:hAnsi="Arial" w:cs="Arial"/>
        </w:rPr>
        <w:t xml:space="preserve">attendues telles que c’est bien énoncé dans le </w:t>
      </w:r>
      <w:r w:rsidR="00094662">
        <w:rPr>
          <w:rFonts w:ascii="Arial" w:hAnsi="Arial" w:cs="Arial"/>
        </w:rPr>
        <w:t xml:space="preserve">présent </w:t>
      </w:r>
      <w:r w:rsidR="00471113" w:rsidRPr="00471113">
        <w:rPr>
          <w:rFonts w:ascii="Arial" w:hAnsi="Arial" w:cs="Arial"/>
        </w:rPr>
        <w:t>CGES et les autres documents assortis.</w:t>
      </w:r>
    </w:p>
    <w:p w14:paraId="1AF5FA4E" w14:textId="77777777" w:rsidR="00B85CFC" w:rsidRPr="00535F99" w:rsidRDefault="00B85CFC" w:rsidP="00535F99">
      <w:pPr>
        <w:jc w:val="both"/>
        <w:rPr>
          <w:rFonts w:ascii="Arial" w:hAnsi="Arial" w:cs="Arial"/>
        </w:rPr>
      </w:pPr>
    </w:p>
    <w:p w14:paraId="69905295" w14:textId="77777777" w:rsidR="008A05A5" w:rsidRDefault="008A05A5">
      <w:pPr>
        <w:spacing w:after="0" w:line="240" w:lineRule="auto"/>
      </w:pPr>
      <w:r>
        <w:br w:type="page"/>
      </w:r>
    </w:p>
    <w:p w14:paraId="60BD0C92" w14:textId="77777777" w:rsidR="008A05A5" w:rsidRDefault="008A05A5"/>
    <w:p w14:paraId="4F983333" w14:textId="77777777" w:rsidR="008A05A5" w:rsidRPr="00AE406E" w:rsidRDefault="008A05A5" w:rsidP="00AE406E">
      <w:pPr>
        <w:pStyle w:val="Paragraphedeliste"/>
        <w:pBdr>
          <w:bottom w:val="single" w:sz="4" w:space="1" w:color="auto"/>
        </w:pBdr>
        <w:spacing w:line="240" w:lineRule="auto"/>
        <w:ind w:left="360"/>
        <w:jc w:val="both"/>
        <w:outlineLvl w:val="0"/>
        <w:rPr>
          <w:b/>
          <w:bCs/>
          <w:caps/>
          <w:color w:val="44546A"/>
          <w:sz w:val="40"/>
          <w:szCs w:val="44"/>
        </w:rPr>
      </w:pPr>
      <w:bookmarkStart w:id="1693" w:name="_Toc127957773"/>
      <w:r w:rsidRPr="00AE406E">
        <w:rPr>
          <w:b/>
          <w:bCs/>
          <w:caps/>
          <w:color w:val="44546A"/>
          <w:sz w:val="40"/>
          <w:szCs w:val="44"/>
        </w:rPr>
        <w:t>REFERENCES BIBLIOGRAPHIQUES</w:t>
      </w:r>
      <w:bookmarkEnd w:id="1693"/>
    </w:p>
    <w:tbl>
      <w:tblPr>
        <w:tblW w:w="0" w:type="auto"/>
        <w:tblLook w:val="04A0" w:firstRow="1" w:lastRow="0" w:firstColumn="1" w:lastColumn="0" w:noHBand="0" w:noVBand="1"/>
      </w:tblPr>
      <w:tblGrid>
        <w:gridCol w:w="9070"/>
      </w:tblGrid>
      <w:tr w:rsidR="008A05A5" w:rsidRPr="008A05A5" w14:paraId="67F9FB34" w14:textId="77777777" w:rsidTr="00AE406E">
        <w:trPr>
          <w:trHeight w:val="300"/>
        </w:trPr>
        <w:tc>
          <w:tcPr>
            <w:tcW w:w="0" w:type="auto"/>
            <w:shd w:val="clear" w:color="auto" w:fill="auto"/>
            <w:noWrap/>
            <w:vAlign w:val="bottom"/>
            <w:hideMark/>
          </w:tcPr>
          <w:p w14:paraId="1CF11687" w14:textId="77777777" w:rsidR="008A05A5" w:rsidRPr="00AE406E" w:rsidRDefault="008A05A5" w:rsidP="006E13C8">
            <w:pPr>
              <w:spacing w:after="0" w:line="240" w:lineRule="auto"/>
              <w:rPr>
                <w:rFonts w:ascii="Arial" w:eastAsia="Times New Roman" w:hAnsi="Arial" w:cs="Arial"/>
                <w:color w:val="000000"/>
              </w:rPr>
            </w:pPr>
            <w:r w:rsidRPr="00AE406E">
              <w:rPr>
                <w:rFonts w:ascii="Arial" w:eastAsia="Times New Roman" w:hAnsi="Arial" w:cs="Arial"/>
                <w:color w:val="000000"/>
              </w:rPr>
              <w:t>Asity Madagascar. 2021 - Etat des populations d'oiseaux de Madagascar. Birdlife International &amp; Aage V. Jensen Charity foundation. 20p.</w:t>
            </w:r>
          </w:p>
        </w:tc>
      </w:tr>
      <w:tr w:rsidR="008A05A5" w:rsidRPr="008A05A5" w14:paraId="7AD184DE" w14:textId="77777777" w:rsidTr="00AE406E">
        <w:trPr>
          <w:trHeight w:val="300"/>
        </w:trPr>
        <w:tc>
          <w:tcPr>
            <w:tcW w:w="0" w:type="auto"/>
            <w:shd w:val="clear" w:color="auto" w:fill="auto"/>
            <w:noWrap/>
            <w:vAlign w:val="bottom"/>
            <w:hideMark/>
          </w:tcPr>
          <w:p w14:paraId="7C26E2A3" w14:textId="77777777" w:rsidR="008A05A5" w:rsidRPr="00AE406E" w:rsidRDefault="008A05A5" w:rsidP="006E13C8">
            <w:pPr>
              <w:spacing w:after="0" w:line="240" w:lineRule="auto"/>
              <w:rPr>
                <w:rFonts w:ascii="Arial" w:eastAsia="Times New Roman" w:hAnsi="Arial" w:cs="Arial"/>
                <w:color w:val="000000"/>
              </w:rPr>
            </w:pPr>
            <w:r w:rsidRPr="00AE406E">
              <w:rPr>
                <w:rFonts w:ascii="Arial" w:eastAsia="Times New Roman" w:hAnsi="Arial" w:cs="Arial"/>
                <w:color w:val="000000"/>
              </w:rPr>
              <w:t xml:space="preserve">Banque mondiale. 2022 (juin)- Project Information Document  (PID). </w:t>
            </w:r>
            <w:r w:rsidRPr="00AE406E">
              <w:rPr>
                <w:rFonts w:ascii="Arial" w:eastAsia="Times New Roman" w:hAnsi="Arial" w:cs="Arial"/>
                <w:color w:val="000000"/>
                <w:lang w:val="en-US"/>
              </w:rPr>
              <w:t xml:space="preserve">Digital and Energy Connectivity for Inclusion in Madagascar (DECIM) (P178701). </w:t>
            </w:r>
            <w:r w:rsidRPr="00AE406E">
              <w:rPr>
                <w:rFonts w:ascii="Arial" w:eastAsia="Times New Roman" w:hAnsi="Arial" w:cs="Arial"/>
                <w:color w:val="000000"/>
              </w:rPr>
              <w:t>31p.</w:t>
            </w:r>
          </w:p>
        </w:tc>
      </w:tr>
      <w:tr w:rsidR="00DB0EB7" w:rsidRPr="008A05A5" w14:paraId="6FCFAE8C" w14:textId="77777777" w:rsidTr="008A05A5">
        <w:trPr>
          <w:trHeight w:val="300"/>
        </w:trPr>
        <w:tc>
          <w:tcPr>
            <w:tcW w:w="0" w:type="auto"/>
            <w:shd w:val="clear" w:color="auto" w:fill="auto"/>
            <w:noWrap/>
            <w:vAlign w:val="bottom"/>
          </w:tcPr>
          <w:p w14:paraId="52E32A04" w14:textId="77777777" w:rsidR="00DB0EB7" w:rsidRPr="00DB0EB7" w:rsidRDefault="00DB0EB7" w:rsidP="006E13C8">
            <w:pPr>
              <w:spacing w:after="0" w:line="240" w:lineRule="auto"/>
              <w:rPr>
                <w:rFonts w:ascii="Arial" w:eastAsia="Times New Roman" w:hAnsi="Arial" w:cs="Arial"/>
                <w:color w:val="000000"/>
              </w:rPr>
            </w:pPr>
            <w:r w:rsidRPr="00AE406E">
              <w:rPr>
                <w:rFonts w:ascii="Arial" w:eastAsia="Times New Roman" w:hAnsi="Arial" w:cs="Arial"/>
                <w:color w:val="000000"/>
              </w:rPr>
              <w:t>Commission de l’Océan Indien. 2014. "Etude de diagnostic pour une gestion optimisée des déchets dans l’Océan Indien". COI/AO/2013/007 Version finale</w:t>
            </w:r>
          </w:p>
        </w:tc>
      </w:tr>
      <w:tr w:rsidR="008A05A5" w:rsidRPr="008A05A5" w14:paraId="6DF60999" w14:textId="77777777" w:rsidTr="00AE406E">
        <w:trPr>
          <w:trHeight w:val="300"/>
        </w:trPr>
        <w:tc>
          <w:tcPr>
            <w:tcW w:w="0" w:type="auto"/>
            <w:shd w:val="clear" w:color="auto" w:fill="auto"/>
            <w:noWrap/>
            <w:vAlign w:val="bottom"/>
            <w:hideMark/>
          </w:tcPr>
          <w:p w14:paraId="0D681B90" w14:textId="77777777" w:rsidR="008A05A5" w:rsidRPr="00AE406E" w:rsidRDefault="008A05A5" w:rsidP="006E13C8">
            <w:pPr>
              <w:spacing w:after="0" w:line="240" w:lineRule="auto"/>
              <w:rPr>
                <w:rFonts w:ascii="Arial" w:eastAsia="Times New Roman" w:hAnsi="Arial" w:cs="Arial"/>
                <w:color w:val="000000"/>
              </w:rPr>
            </w:pPr>
            <w:r w:rsidRPr="00AE406E">
              <w:rPr>
                <w:rFonts w:ascii="Arial" w:eastAsia="Times New Roman" w:hAnsi="Arial" w:cs="Arial"/>
                <w:color w:val="000000"/>
              </w:rPr>
              <w:t>DGM.  2019 - Les tendances climatiques et les futurs changements climatiques à Madagascar. MTTM, CPGU, Banque mondiale, RIMES.22p.</w:t>
            </w:r>
          </w:p>
        </w:tc>
      </w:tr>
      <w:tr w:rsidR="008A05A5" w:rsidRPr="008A05A5" w14:paraId="7D2CC6DD" w14:textId="77777777" w:rsidTr="00AE406E">
        <w:trPr>
          <w:trHeight w:val="300"/>
        </w:trPr>
        <w:tc>
          <w:tcPr>
            <w:tcW w:w="0" w:type="auto"/>
            <w:shd w:val="clear" w:color="auto" w:fill="auto"/>
            <w:noWrap/>
            <w:vAlign w:val="bottom"/>
            <w:hideMark/>
          </w:tcPr>
          <w:p w14:paraId="12DB2BD2" w14:textId="77777777" w:rsidR="008A05A5" w:rsidRPr="00AE406E" w:rsidRDefault="008A05A5" w:rsidP="006E13C8">
            <w:pPr>
              <w:spacing w:after="0" w:line="240" w:lineRule="auto"/>
              <w:rPr>
                <w:rFonts w:ascii="Arial" w:eastAsia="Times New Roman" w:hAnsi="Arial" w:cs="Arial"/>
                <w:color w:val="000000"/>
              </w:rPr>
            </w:pPr>
            <w:r w:rsidRPr="00AE406E">
              <w:rPr>
                <w:rFonts w:ascii="Arial" w:eastAsia="Times New Roman" w:hAnsi="Arial" w:cs="Arial"/>
                <w:color w:val="000000"/>
              </w:rPr>
              <w:t xml:space="preserve">Dolorès Pourette, Chiarelle Mattern, Christine Bellas Cabane et Bodo Ravololomanga. 2018 - Femmes, enfants et santé à Madagascar. Approches anthropologiquescomparées. Ed. L'Harmattan. Paris. </w:t>
            </w:r>
          </w:p>
        </w:tc>
      </w:tr>
      <w:tr w:rsidR="008A05A5" w:rsidRPr="008A05A5" w14:paraId="65A0F299" w14:textId="77777777" w:rsidTr="00AE406E">
        <w:trPr>
          <w:trHeight w:val="300"/>
        </w:trPr>
        <w:tc>
          <w:tcPr>
            <w:tcW w:w="0" w:type="auto"/>
            <w:shd w:val="clear" w:color="auto" w:fill="auto"/>
            <w:noWrap/>
            <w:vAlign w:val="bottom"/>
            <w:hideMark/>
          </w:tcPr>
          <w:p w14:paraId="39D6199A" w14:textId="77777777" w:rsidR="008A05A5" w:rsidRPr="00AE406E" w:rsidRDefault="008A05A5" w:rsidP="006E13C8">
            <w:pPr>
              <w:spacing w:after="0" w:line="240" w:lineRule="auto"/>
              <w:rPr>
                <w:rFonts w:ascii="Arial" w:eastAsia="Times New Roman" w:hAnsi="Arial" w:cs="Arial"/>
                <w:color w:val="000000"/>
              </w:rPr>
            </w:pPr>
            <w:r w:rsidRPr="00AE406E">
              <w:rPr>
                <w:rFonts w:ascii="Arial" w:eastAsia="Times New Roman" w:hAnsi="Arial" w:cs="Arial"/>
                <w:color w:val="000000"/>
                <w:lang w:val="en-US"/>
              </w:rPr>
              <w:t xml:space="preserve">IFC. 2013 (august) - Cumulative Impact Assesment and Management: Guidance for the Private Sector in Emergency Markets. </w:t>
            </w:r>
            <w:r w:rsidRPr="00AE406E">
              <w:rPr>
                <w:rFonts w:ascii="Arial" w:eastAsia="Times New Roman" w:hAnsi="Arial" w:cs="Arial"/>
                <w:color w:val="000000"/>
              </w:rPr>
              <w:t>Good Practice Handbook. Washington DC. 82p.</w:t>
            </w:r>
          </w:p>
        </w:tc>
      </w:tr>
      <w:tr w:rsidR="008A05A5" w:rsidRPr="008A05A5" w14:paraId="75DBC94E" w14:textId="77777777" w:rsidTr="00AE406E">
        <w:trPr>
          <w:trHeight w:val="300"/>
        </w:trPr>
        <w:tc>
          <w:tcPr>
            <w:tcW w:w="0" w:type="auto"/>
            <w:shd w:val="clear" w:color="auto" w:fill="auto"/>
            <w:noWrap/>
            <w:vAlign w:val="bottom"/>
            <w:hideMark/>
          </w:tcPr>
          <w:p w14:paraId="6A87C6A0" w14:textId="77777777" w:rsidR="008A05A5" w:rsidRPr="00AE406E" w:rsidRDefault="008A05A5" w:rsidP="006E13C8">
            <w:pPr>
              <w:spacing w:after="0" w:line="240" w:lineRule="auto"/>
              <w:rPr>
                <w:rFonts w:ascii="Arial" w:eastAsia="Times New Roman" w:hAnsi="Arial" w:cs="Arial"/>
                <w:color w:val="000000"/>
              </w:rPr>
            </w:pPr>
            <w:r w:rsidRPr="00AE406E">
              <w:rPr>
                <w:rFonts w:ascii="Arial" w:eastAsia="Times New Roman" w:hAnsi="Arial" w:cs="Arial"/>
                <w:color w:val="000000"/>
              </w:rPr>
              <w:t>INSTAT. 2019 - Enquête par Grappe à Indicateurs Multiples, 2018. Résumé statistique. UNICEF, JICA, Banque mondiale. 74p.</w:t>
            </w:r>
          </w:p>
        </w:tc>
      </w:tr>
      <w:tr w:rsidR="008A05A5" w:rsidRPr="008A05A5" w14:paraId="5ED0BC17" w14:textId="77777777" w:rsidTr="00AE406E">
        <w:trPr>
          <w:trHeight w:val="300"/>
        </w:trPr>
        <w:tc>
          <w:tcPr>
            <w:tcW w:w="0" w:type="auto"/>
            <w:shd w:val="clear" w:color="auto" w:fill="auto"/>
            <w:noWrap/>
            <w:vAlign w:val="bottom"/>
            <w:hideMark/>
          </w:tcPr>
          <w:p w14:paraId="0BC6A5BB" w14:textId="77777777" w:rsidR="008A05A5" w:rsidRPr="00AE406E" w:rsidRDefault="008A05A5" w:rsidP="006E13C8">
            <w:pPr>
              <w:spacing w:after="0" w:line="240" w:lineRule="auto"/>
              <w:rPr>
                <w:rFonts w:ascii="Arial" w:eastAsia="Times New Roman" w:hAnsi="Arial" w:cs="Arial"/>
                <w:color w:val="000000"/>
              </w:rPr>
            </w:pPr>
            <w:r w:rsidRPr="00AE406E">
              <w:rPr>
                <w:rFonts w:ascii="Arial" w:eastAsia="Times New Roman" w:hAnsi="Arial" w:cs="Arial"/>
                <w:color w:val="000000"/>
              </w:rPr>
              <w:t>INSTAT. 2020 (décembre). Troisième recensement général de la population et de l’habitation (RGPH-3). Tome 2. Résultats globaux du récensement général de la population et de l’habitation de 2018 de Madagascar. Tableaux statistiques. 225p.</w:t>
            </w:r>
          </w:p>
        </w:tc>
      </w:tr>
      <w:tr w:rsidR="008A05A5" w:rsidRPr="008A05A5" w14:paraId="2FBA7C83" w14:textId="77777777" w:rsidTr="00AE406E">
        <w:trPr>
          <w:trHeight w:val="300"/>
        </w:trPr>
        <w:tc>
          <w:tcPr>
            <w:tcW w:w="0" w:type="auto"/>
            <w:shd w:val="clear" w:color="auto" w:fill="auto"/>
            <w:noWrap/>
            <w:vAlign w:val="bottom"/>
            <w:hideMark/>
          </w:tcPr>
          <w:p w14:paraId="08CCB14D" w14:textId="77777777" w:rsidR="008A05A5" w:rsidRPr="00AE406E" w:rsidRDefault="008A05A5" w:rsidP="006E13C8">
            <w:pPr>
              <w:spacing w:after="0" w:line="240" w:lineRule="auto"/>
              <w:rPr>
                <w:rFonts w:ascii="Arial" w:eastAsia="Times New Roman" w:hAnsi="Arial" w:cs="Arial"/>
                <w:color w:val="000000"/>
              </w:rPr>
            </w:pPr>
            <w:r w:rsidRPr="00AE406E">
              <w:rPr>
                <w:rFonts w:ascii="Arial" w:eastAsia="Times New Roman" w:hAnsi="Arial" w:cs="Arial"/>
                <w:color w:val="000000"/>
              </w:rPr>
              <w:t>INSTAT. 2021 - Enquête démographique et de santé à Madagascar (EDSMD - V). The DHS Program, ICF, Rockville, Maryland, USA. 659p.</w:t>
            </w:r>
          </w:p>
        </w:tc>
      </w:tr>
      <w:tr w:rsidR="008A05A5" w:rsidRPr="008A05A5" w14:paraId="73263880" w14:textId="77777777" w:rsidTr="00AE406E">
        <w:trPr>
          <w:trHeight w:val="300"/>
        </w:trPr>
        <w:tc>
          <w:tcPr>
            <w:tcW w:w="0" w:type="auto"/>
            <w:shd w:val="clear" w:color="auto" w:fill="auto"/>
            <w:noWrap/>
            <w:vAlign w:val="bottom"/>
            <w:hideMark/>
          </w:tcPr>
          <w:p w14:paraId="20478782" w14:textId="77777777" w:rsidR="008A05A5" w:rsidRPr="00AE406E" w:rsidRDefault="008A05A5" w:rsidP="006E13C8">
            <w:pPr>
              <w:spacing w:after="0" w:line="240" w:lineRule="auto"/>
              <w:rPr>
                <w:rFonts w:ascii="Arial" w:eastAsia="Times New Roman" w:hAnsi="Arial" w:cs="Arial"/>
                <w:color w:val="000000"/>
              </w:rPr>
            </w:pPr>
            <w:r w:rsidRPr="00AE406E">
              <w:rPr>
                <w:rFonts w:ascii="Arial" w:eastAsia="Times New Roman" w:hAnsi="Arial" w:cs="Arial"/>
                <w:color w:val="000000"/>
              </w:rPr>
              <w:t>INSTAT. 2021 - Rapport thématique sur les résultats du RGPH-3. Thèmes 03: Caractéristique économique de la population. USAID, Union Européenne, Banque Mondiale, PNUD, FNUAP. 151p.</w:t>
            </w:r>
          </w:p>
        </w:tc>
      </w:tr>
      <w:tr w:rsidR="008A05A5" w:rsidRPr="008A05A5" w14:paraId="2457211A" w14:textId="77777777" w:rsidTr="00AE406E">
        <w:trPr>
          <w:trHeight w:val="300"/>
        </w:trPr>
        <w:tc>
          <w:tcPr>
            <w:tcW w:w="0" w:type="auto"/>
            <w:shd w:val="clear" w:color="auto" w:fill="auto"/>
            <w:noWrap/>
            <w:vAlign w:val="bottom"/>
            <w:hideMark/>
          </w:tcPr>
          <w:p w14:paraId="1C528222" w14:textId="77777777" w:rsidR="008A05A5" w:rsidRPr="00AE406E" w:rsidRDefault="008A05A5" w:rsidP="006E13C8">
            <w:pPr>
              <w:spacing w:after="0" w:line="240" w:lineRule="auto"/>
              <w:rPr>
                <w:rFonts w:ascii="Arial" w:eastAsia="Times New Roman" w:hAnsi="Arial" w:cs="Arial"/>
                <w:color w:val="000000"/>
              </w:rPr>
            </w:pPr>
            <w:r w:rsidRPr="00AE406E">
              <w:rPr>
                <w:rFonts w:ascii="Arial" w:eastAsia="Times New Roman" w:hAnsi="Arial" w:cs="Arial"/>
                <w:color w:val="000000"/>
              </w:rPr>
              <w:t>INSTAT. 2021 - Rapport thématique sur les résultats du RGPH-3. Thèmes 05: Habitation et cadre de vie de la population. USAID, Union Européenne, Banque Mondiale, PNUD, FNUAP. 94p.</w:t>
            </w:r>
          </w:p>
        </w:tc>
      </w:tr>
      <w:tr w:rsidR="008A05A5" w:rsidRPr="008A05A5" w14:paraId="66C03487" w14:textId="77777777" w:rsidTr="00AE406E">
        <w:trPr>
          <w:trHeight w:val="300"/>
        </w:trPr>
        <w:tc>
          <w:tcPr>
            <w:tcW w:w="0" w:type="auto"/>
            <w:shd w:val="clear" w:color="auto" w:fill="auto"/>
            <w:noWrap/>
            <w:vAlign w:val="bottom"/>
            <w:hideMark/>
          </w:tcPr>
          <w:p w14:paraId="3D9DB89D" w14:textId="77777777" w:rsidR="008A05A5" w:rsidRPr="00AE406E" w:rsidRDefault="008A05A5" w:rsidP="006E13C8">
            <w:pPr>
              <w:spacing w:after="0" w:line="240" w:lineRule="auto"/>
              <w:rPr>
                <w:rFonts w:ascii="Arial" w:eastAsia="Times New Roman" w:hAnsi="Arial" w:cs="Arial"/>
                <w:color w:val="000000"/>
              </w:rPr>
            </w:pPr>
            <w:r w:rsidRPr="00AE406E">
              <w:rPr>
                <w:rFonts w:ascii="Arial" w:eastAsia="Times New Roman" w:hAnsi="Arial" w:cs="Arial"/>
                <w:color w:val="000000"/>
              </w:rPr>
              <w:t>INSTAT. 2021 - Rapport thématique sur les résultats du RGPH-3. Thèmes 09: Migration à Madagascar. USAID, Union Européenne, Banque Mondiale, PNUD, FNUAP. 164p.</w:t>
            </w:r>
          </w:p>
        </w:tc>
      </w:tr>
      <w:tr w:rsidR="008A05A5" w:rsidRPr="008A05A5" w14:paraId="3FEA9717" w14:textId="77777777" w:rsidTr="00AE406E">
        <w:trPr>
          <w:trHeight w:val="300"/>
        </w:trPr>
        <w:tc>
          <w:tcPr>
            <w:tcW w:w="0" w:type="auto"/>
            <w:shd w:val="clear" w:color="auto" w:fill="auto"/>
            <w:noWrap/>
            <w:vAlign w:val="bottom"/>
            <w:hideMark/>
          </w:tcPr>
          <w:p w14:paraId="76AC028B" w14:textId="77777777" w:rsidR="008A05A5" w:rsidRPr="00AE406E" w:rsidRDefault="008A05A5" w:rsidP="006E13C8">
            <w:pPr>
              <w:spacing w:after="0" w:line="240" w:lineRule="auto"/>
              <w:rPr>
                <w:rFonts w:ascii="Arial" w:eastAsia="Times New Roman" w:hAnsi="Arial" w:cs="Arial"/>
                <w:color w:val="000000"/>
              </w:rPr>
            </w:pPr>
            <w:r w:rsidRPr="00AE406E">
              <w:rPr>
                <w:rFonts w:ascii="Arial" w:eastAsia="Times New Roman" w:hAnsi="Arial" w:cs="Arial"/>
                <w:color w:val="000000"/>
              </w:rPr>
              <w:t>INSTAT. 2021 - Rapport thématique sur les résultats du RGPH-3. Thèmes 11: Situation socio-économique et démographique des enfants et des jeunes. USAID, Union Européenne, Banque Mondiale, PNUD, FNUAP. 167p.</w:t>
            </w:r>
          </w:p>
        </w:tc>
      </w:tr>
      <w:tr w:rsidR="008A05A5" w:rsidRPr="008A05A5" w14:paraId="65B6F20A" w14:textId="77777777" w:rsidTr="00AE406E">
        <w:trPr>
          <w:trHeight w:val="300"/>
        </w:trPr>
        <w:tc>
          <w:tcPr>
            <w:tcW w:w="0" w:type="auto"/>
            <w:shd w:val="clear" w:color="auto" w:fill="auto"/>
            <w:noWrap/>
            <w:vAlign w:val="bottom"/>
            <w:hideMark/>
          </w:tcPr>
          <w:p w14:paraId="25B32C4B" w14:textId="77777777" w:rsidR="008A05A5" w:rsidRPr="00AE406E" w:rsidRDefault="008A05A5" w:rsidP="006E13C8">
            <w:pPr>
              <w:spacing w:after="0" w:line="240" w:lineRule="auto"/>
              <w:rPr>
                <w:rFonts w:ascii="Arial" w:eastAsia="Times New Roman" w:hAnsi="Arial" w:cs="Arial"/>
                <w:color w:val="000000"/>
              </w:rPr>
            </w:pPr>
            <w:r w:rsidRPr="00AE406E">
              <w:rPr>
                <w:rFonts w:ascii="Arial" w:eastAsia="Times New Roman" w:hAnsi="Arial" w:cs="Arial"/>
                <w:color w:val="000000"/>
              </w:rPr>
              <w:t>INSTAT. 2021 - Rapport thématique sur les résultats du RGPH-3. Thèmes 8: Niveaux, tendance et caractéristique de la mortalité à Madagascar. USAID, Union Européenne, Banque Mondiale, PNUD, FNUAP. 82p.</w:t>
            </w:r>
          </w:p>
        </w:tc>
      </w:tr>
      <w:tr w:rsidR="008A05A5" w:rsidRPr="008A05A5" w14:paraId="0FC75D5E" w14:textId="77777777" w:rsidTr="00AE406E">
        <w:trPr>
          <w:trHeight w:val="300"/>
        </w:trPr>
        <w:tc>
          <w:tcPr>
            <w:tcW w:w="0" w:type="auto"/>
            <w:shd w:val="clear" w:color="auto" w:fill="auto"/>
            <w:noWrap/>
            <w:vAlign w:val="bottom"/>
            <w:hideMark/>
          </w:tcPr>
          <w:p w14:paraId="36705DB3" w14:textId="77777777" w:rsidR="008A05A5" w:rsidRPr="00AE406E" w:rsidRDefault="008A05A5" w:rsidP="006E13C8">
            <w:pPr>
              <w:spacing w:after="0" w:line="240" w:lineRule="auto"/>
              <w:rPr>
                <w:rFonts w:ascii="Arial" w:eastAsia="Times New Roman" w:hAnsi="Arial" w:cs="Arial"/>
                <w:color w:val="000000"/>
              </w:rPr>
            </w:pPr>
            <w:r w:rsidRPr="00AE406E">
              <w:rPr>
                <w:rFonts w:ascii="Arial" w:eastAsia="Times New Roman" w:hAnsi="Arial" w:cs="Arial"/>
                <w:color w:val="000000"/>
              </w:rPr>
              <w:t>KACENELENBOGEN, F. et al. 2020 - Madagascar: Ecosystème numérique: Cartographie et propositions de mesures d'atténuation des effets du COVID-19 et d'appui au secteur. TPDSE Facility. ECCD. 171p.</w:t>
            </w:r>
          </w:p>
        </w:tc>
      </w:tr>
      <w:tr w:rsidR="008A05A5" w:rsidRPr="008A05A5" w14:paraId="6625BBEE" w14:textId="77777777" w:rsidTr="00AE406E">
        <w:trPr>
          <w:trHeight w:val="300"/>
        </w:trPr>
        <w:tc>
          <w:tcPr>
            <w:tcW w:w="0" w:type="auto"/>
            <w:shd w:val="clear" w:color="auto" w:fill="auto"/>
            <w:noWrap/>
            <w:vAlign w:val="bottom"/>
            <w:hideMark/>
          </w:tcPr>
          <w:p w14:paraId="6E55A19B" w14:textId="77777777" w:rsidR="008A05A5" w:rsidRPr="00AE406E" w:rsidRDefault="008A05A5" w:rsidP="006E13C8">
            <w:pPr>
              <w:spacing w:after="0" w:line="240" w:lineRule="auto"/>
              <w:rPr>
                <w:rFonts w:ascii="Arial" w:eastAsia="Times New Roman" w:hAnsi="Arial" w:cs="Arial"/>
                <w:color w:val="000000"/>
              </w:rPr>
            </w:pPr>
            <w:r w:rsidRPr="00AE406E">
              <w:rPr>
                <w:rFonts w:ascii="Arial" w:eastAsia="Times New Roman" w:hAnsi="Arial" w:cs="Arial"/>
                <w:color w:val="000000"/>
              </w:rPr>
              <w:t>MAEP. 2019 (décembre) - Rapport spécial. Evaluation de la production agricole et de la sécurité alimentaire à Madagascar. FAO, WFP. 77p.</w:t>
            </w:r>
          </w:p>
        </w:tc>
      </w:tr>
      <w:tr w:rsidR="008A05A5" w:rsidRPr="008A05A5" w14:paraId="45EA8105" w14:textId="77777777" w:rsidTr="00AE406E">
        <w:trPr>
          <w:trHeight w:val="300"/>
        </w:trPr>
        <w:tc>
          <w:tcPr>
            <w:tcW w:w="0" w:type="auto"/>
            <w:shd w:val="clear" w:color="auto" w:fill="auto"/>
            <w:noWrap/>
            <w:vAlign w:val="bottom"/>
            <w:hideMark/>
          </w:tcPr>
          <w:p w14:paraId="50A786C8" w14:textId="77777777" w:rsidR="008A05A5" w:rsidRPr="00AE406E" w:rsidRDefault="008A05A5" w:rsidP="006E13C8">
            <w:pPr>
              <w:spacing w:after="0" w:line="240" w:lineRule="auto"/>
              <w:rPr>
                <w:rFonts w:ascii="Arial" w:eastAsia="Times New Roman" w:hAnsi="Arial" w:cs="Arial"/>
                <w:color w:val="000000"/>
              </w:rPr>
            </w:pPr>
            <w:r w:rsidRPr="00AE406E">
              <w:rPr>
                <w:rFonts w:ascii="Arial" w:eastAsia="Times New Roman" w:hAnsi="Arial" w:cs="Arial"/>
                <w:color w:val="000000"/>
              </w:rPr>
              <w:t>MEEF. 2018 - Stratégie Nationale REDD+ Madagascar. 76p.</w:t>
            </w:r>
          </w:p>
        </w:tc>
      </w:tr>
      <w:tr w:rsidR="008A05A5" w:rsidRPr="008A05A5" w14:paraId="397F18D3" w14:textId="77777777" w:rsidTr="00AE406E">
        <w:trPr>
          <w:trHeight w:val="300"/>
        </w:trPr>
        <w:tc>
          <w:tcPr>
            <w:tcW w:w="0" w:type="auto"/>
            <w:shd w:val="clear" w:color="auto" w:fill="auto"/>
            <w:noWrap/>
            <w:vAlign w:val="bottom"/>
            <w:hideMark/>
          </w:tcPr>
          <w:p w14:paraId="506478E7" w14:textId="77777777" w:rsidR="008A05A5" w:rsidRPr="00AE406E" w:rsidRDefault="008A05A5" w:rsidP="006E13C8">
            <w:pPr>
              <w:spacing w:after="0" w:line="240" w:lineRule="auto"/>
              <w:rPr>
                <w:rFonts w:ascii="Arial" w:eastAsia="Times New Roman" w:hAnsi="Arial" w:cs="Arial"/>
                <w:color w:val="000000"/>
              </w:rPr>
            </w:pPr>
            <w:r w:rsidRPr="00AE406E">
              <w:rPr>
                <w:rFonts w:ascii="Arial" w:eastAsia="Times New Roman" w:hAnsi="Arial" w:cs="Arial"/>
                <w:color w:val="000000"/>
              </w:rPr>
              <w:t>MEF. 2014 (mars) - Cinquième rapport national de la Convention sur la diversité biologique Madagascar. UNEP. 204p.</w:t>
            </w:r>
          </w:p>
        </w:tc>
      </w:tr>
      <w:tr w:rsidR="008A05A5" w:rsidRPr="008A05A5" w14:paraId="744032F6" w14:textId="77777777" w:rsidTr="00AE406E">
        <w:trPr>
          <w:trHeight w:val="300"/>
        </w:trPr>
        <w:tc>
          <w:tcPr>
            <w:tcW w:w="0" w:type="auto"/>
            <w:shd w:val="clear" w:color="auto" w:fill="auto"/>
            <w:noWrap/>
            <w:vAlign w:val="bottom"/>
            <w:hideMark/>
          </w:tcPr>
          <w:p w14:paraId="5BE82780" w14:textId="77777777" w:rsidR="008A05A5" w:rsidRPr="00AE406E" w:rsidRDefault="008A05A5" w:rsidP="006E13C8">
            <w:pPr>
              <w:spacing w:after="0" w:line="240" w:lineRule="auto"/>
              <w:rPr>
                <w:rFonts w:ascii="Arial" w:eastAsia="Times New Roman" w:hAnsi="Arial" w:cs="Arial"/>
                <w:color w:val="000000"/>
              </w:rPr>
            </w:pPr>
            <w:r w:rsidRPr="00AE406E">
              <w:rPr>
                <w:rFonts w:ascii="Arial" w:eastAsia="Times New Roman" w:hAnsi="Arial" w:cs="Arial"/>
                <w:color w:val="000000"/>
              </w:rPr>
              <w:t>Météo Malagasy. 2014 - Atlas Climatologique de Madagascar. 92p.</w:t>
            </w:r>
          </w:p>
        </w:tc>
      </w:tr>
      <w:tr w:rsidR="008A05A5" w:rsidRPr="008A05A5" w14:paraId="5BAD05CD" w14:textId="77777777" w:rsidTr="00AE406E">
        <w:trPr>
          <w:trHeight w:val="300"/>
        </w:trPr>
        <w:tc>
          <w:tcPr>
            <w:tcW w:w="0" w:type="auto"/>
            <w:shd w:val="clear" w:color="auto" w:fill="auto"/>
            <w:noWrap/>
            <w:vAlign w:val="bottom"/>
            <w:hideMark/>
          </w:tcPr>
          <w:p w14:paraId="5DF002EC" w14:textId="77777777" w:rsidR="008A05A5" w:rsidRPr="00AE406E" w:rsidRDefault="008A05A5" w:rsidP="006E13C8">
            <w:pPr>
              <w:spacing w:after="0" w:line="240" w:lineRule="auto"/>
              <w:rPr>
                <w:rFonts w:ascii="Arial" w:eastAsia="Times New Roman" w:hAnsi="Arial" w:cs="Arial"/>
                <w:color w:val="000000"/>
              </w:rPr>
            </w:pPr>
            <w:r w:rsidRPr="00AE406E">
              <w:rPr>
                <w:rFonts w:ascii="Arial" w:eastAsia="Times New Roman" w:hAnsi="Arial" w:cs="Arial"/>
                <w:color w:val="000000"/>
              </w:rPr>
              <w:t>Moat J., &amp; Smith P. 2007 - Atlas de la végétation de Madagascar. Royal Botanic Gardens, Kew. 126p.</w:t>
            </w:r>
          </w:p>
        </w:tc>
      </w:tr>
      <w:tr w:rsidR="008A05A5" w:rsidRPr="008A05A5" w14:paraId="68E86EC5" w14:textId="77777777" w:rsidTr="00AE406E">
        <w:trPr>
          <w:trHeight w:val="300"/>
        </w:trPr>
        <w:tc>
          <w:tcPr>
            <w:tcW w:w="0" w:type="auto"/>
            <w:shd w:val="clear" w:color="auto" w:fill="auto"/>
            <w:noWrap/>
            <w:vAlign w:val="bottom"/>
            <w:hideMark/>
          </w:tcPr>
          <w:p w14:paraId="17C48329" w14:textId="77777777" w:rsidR="008A05A5" w:rsidRPr="00AE406E" w:rsidRDefault="008A05A5" w:rsidP="006E13C8">
            <w:pPr>
              <w:spacing w:after="0" w:line="240" w:lineRule="auto"/>
              <w:rPr>
                <w:rFonts w:ascii="Arial" w:eastAsia="Times New Roman" w:hAnsi="Arial" w:cs="Arial"/>
                <w:color w:val="000000"/>
              </w:rPr>
            </w:pPr>
            <w:r w:rsidRPr="00AE406E">
              <w:rPr>
                <w:rFonts w:ascii="Arial" w:eastAsia="Times New Roman" w:hAnsi="Arial" w:cs="Arial"/>
                <w:color w:val="000000"/>
                <w:lang w:val="en-US"/>
              </w:rPr>
              <w:t xml:space="preserve">PAGOSE. 2022- Technical Assistance of the Feasibility Study of the Rural Electrification Development Project by Renewable Energy Plants and Mini-Grids of the SREP programme. </w:t>
            </w:r>
            <w:r w:rsidRPr="00AE406E">
              <w:rPr>
                <w:rFonts w:ascii="Arial" w:eastAsia="Times New Roman" w:hAnsi="Arial" w:cs="Arial"/>
                <w:color w:val="000000"/>
              </w:rPr>
              <w:t>Summary report JIRAMA, ADER, IDA. 27p.</w:t>
            </w:r>
          </w:p>
        </w:tc>
      </w:tr>
      <w:tr w:rsidR="008A05A5" w:rsidRPr="008A05A5" w14:paraId="4F3AD256" w14:textId="77777777" w:rsidTr="00AE406E">
        <w:trPr>
          <w:trHeight w:val="300"/>
        </w:trPr>
        <w:tc>
          <w:tcPr>
            <w:tcW w:w="0" w:type="auto"/>
            <w:shd w:val="clear" w:color="auto" w:fill="auto"/>
            <w:noWrap/>
            <w:vAlign w:val="bottom"/>
            <w:hideMark/>
          </w:tcPr>
          <w:p w14:paraId="37EE6238" w14:textId="77777777" w:rsidR="008A05A5" w:rsidRPr="00AE406E" w:rsidRDefault="008A05A5" w:rsidP="006E13C8">
            <w:pPr>
              <w:spacing w:after="0" w:line="240" w:lineRule="auto"/>
              <w:rPr>
                <w:rFonts w:ascii="Arial" w:eastAsia="Times New Roman" w:hAnsi="Arial" w:cs="Arial"/>
                <w:color w:val="000000"/>
              </w:rPr>
            </w:pPr>
            <w:r w:rsidRPr="00AE406E">
              <w:rPr>
                <w:rFonts w:ascii="Arial" w:eastAsia="Times New Roman" w:hAnsi="Arial" w:cs="Arial"/>
                <w:color w:val="000000"/>
              </w:rPr>
              <w:t>RAKOMAVOHARINAIVONAMBININA, L. 2012 - La Migration et Développement Urbain. Mém. Mâitrise Fac. DEGS. Univ. Tana. 107p.</w:t>
            </w:r>
          </w:p>
        </w:tc>
      </w:tr>
      <w:tr w:rsidR="008A05A5" w:rsidRPr="008A05A5" w14:paraId="193FB94F" w14:textId="77777777" w:rsidTr="00AE406E">
        <w:trPr>
          <w:trHeight w:val="300"/>
        </w:trPr>
        <w:tc>
          <w:tcPr>
            <w:tcW w:w="0" w:type="auto"/>
            <w:shd w:val="clear" w:color="auto" w:fill="auto"/>
            <w:noWrap/>
            <w:vAlign w:val="bottom"/>
            <w:hideMark/>
          </w:tcPr>
          <w:p w14:paraId="1EA41ED6" w14:textId="77777777" w:rsidR="008A05A5" w:rsidRPr="00AE406E" w:rsidRDefault="008A05A5" w:rsidP="006E13C8">
            <w:pPr>
              <w:spacing w:after="0" w:line="240" w:lineRule="auto"/>
              <w:rPr>
                <w:rFonts w:ascii="Arial" w:eastAsia="Times New Roman" w:hAnsi="Arial" w:cs="Arial"/>
                <w:color w:val="000000"/>
              </w:rPr>
            </w:pPr>
            <w:r w:rsidRPr="00AE406E">
              <w:rPr>
                <w:rFonts w:ascii="Arial" w:eastAsia="Times New Roman" w:hAnsi="Arial" w:cs="Arial"/>
                <w:color w:val="000000"/>
              </w:rPr>
              <w:t>Ramanantenasoa F. J. E. 2021- Contribution à l'évaluation des Risques cycloniques à Madagascar. Mém. Master ESPA. Univ. Antananarivo. 136p.</w:t>
            </w:r>
          </w:p>
        </w:tc>
      </w:tr>
      <w:tr w:rsidR="008A05A5" w:rsidRPr="008A05A5" w14:paraId="7CB81749" w14:textId="77777777" w:rsidTr="00AE406E">
        <w:trPr>
          <w:trHeight w:val="300"/>
        </w:trPr>
        <w:tc>
          <w:tcPr>
            <w:tcW w:w="0" w:type="auto"/>
            <w:shd w:val="clear" w:color="auto" w:fill="auto"/>
            <w:noWrap/>
            <w:vAlign w:val="bottom"/>
            <w:hideMark/>
          </w:tcPr>
          <w:p w14:paraId="3CB4BCB4" w14:textId="77777777" w:rsidR="008A05A5" w:rsidRPr="00AE406E" w:rsidRDefault="008A05A5" w:rsidP="006E13C8">
            <w:pPr>
              <w:spacing w:after="0" w:line="240" w:lineRule="auto"/>
              <w:rPr>
                <w:rFonts w:ascii="Arial" w:eastAsia="Times New Roman" w:hAnsi="Arial" w:cs="Arial"/>
                <w:color w:val="000000"/>
              </w:rPr>
            </w:pPr>
            <w:r w:rsidRPr="00AE406E">
              <w:rPr>
                <w:rFonts w:ascii="Arial" w:eastAsia="Times New Roman" w:hAnsi="Arial" w:cs="Arial"/>
                <w:color w:val="000000"/>
                <w:lang w:val="en-US"/>
              </w:rPr>
              <w:t xml:space="preserve">Ramsar. 2013- Ramsar Sites in ordre of their addition to the Ramscar List of Wetlands of International Importance. </w:t>
            </w:r>
            <w:r w:rsidRPr="00AE406E">
              <w:rPr>
                <w:rFonts w:ascii="Arial" w:eastAsia="Times New Roman" w:hAnsi="Arial" w:cs="Arial"/>
                <w:color w:val="000000"/>
              </w:rPr>
              <w:t>39p.</w:t>
            </w:r>
          </w:p>
        </w:tc>
      </w:tr>
      <w:tr w:rsidR="008A05A5" w:rsidRPr="008A05A5" w14:paraId="7C50C8C9" w14:textId="77777777" w:rsidTr="00AE406E">
        <w:trPr>
          <w:trHeight w:val="300"/>
        </w:trPr>
        <w:tc>
          <w:tcPr>
            <w:tcW w:w="0" w:type="auto"/>
            <w:shd w:val="clear" w:color="auto" w:fill="auto"/>
            <w:noWrap/>
            <w:vAlign w:val="bottom"/>
            <w:hideMark/>
          </w:tcPr>
          <w:p w14:paraId="3D6239D1" w14:textId="77777777" w:rsidR="008A05A5" w:rsidRPr="00AE406E" w:rsidRDefault="008A05A5" w:rsidP="006E13C8">
            <w:pPr>
              <w:spacing w:after="0" w:line="240" w:lineRule="auto"/>
              <w:rPr>
                <w:rFonts w:ascii="Arial" w:eastAsia="Times New Roman" w:hAnsi="Arial" w:cs="Arial"/>
                <w:color w:val="000000"/>
              </w:rPr>
            </w:pPr>
            <w:r w:rsidRPr="00AE406E">
              <w:rPr>
                <w:rFonts w:ascii="Arial" w:eastAsia="Times New Roman" w:hAnsi="Arial" w:cs="Arial"/>
                <w:color w:val="000000"/>
              </w:rPr>
              <w:t>Riquier J., MOURREAUX C. 1957 - Les sols malgaches: pédologie et types principaux in Comptes rendus du 3è congrès de la PIOSA. sl Vième Congrès Sc. du sol., Tome III, pp. 399-405</w:t>
            </w:r>
          </w:p>
        </w:tc>
      </w:tr>
      <w:tr w:rsidR="008A05A5" w:rsidRPr="008A05A5" w14:paraId="557D5DE7" w14:textId="77777777" w:rsidTr="00AE406E">
        <w:trPr>
          <w:trHeight w:val="300"/>
        </w:trPr>
        <w:tc>
          <w:tcPr>
            <w:tcW w:w="0" w:type="auto"/>
            <w:shd w:val="clear" w:color="auto" w:fill="auto"/>
            <w:noWrap/>
            <w:vAlign w:val="bottom"/>
            <w:hideMark/>
          </w:tcPr>
          <w:p w14:paraId="4233BA42" w14:textId="77777777" w:rsidR="008A05A5" w:rsidRPr="00AE406E" w:rsidRDefault="008A05A5" w:rsidP="006E13C8">
            <w:pPr>
              <w:spacing w:after="0" w:line="240" w:lineRule="auto"/>
              <w:rPr>
                <w:rFonts w:ascii="Arial" w:eastAsia="Times New Roman" w:hAnsi="Arial" w:cs="Arial"/>
                <w:color w:val="000000"/>
              </w:rPr>
            </w:pPr>
            <w:r w:rsidRPr="00AE406E">
              <w:rPr>
                <w:rFonts w:ascii="Arial" w:eastAsia="Times New Roman" w:hAnsi="Arial" w:cs="Arial"/>
                <w:color w:val="000000"/>
              </w:rPr>
              <w:t>Salama(Dr. J.C). 2017- Chapitre 10 Déchets in Rapport sur l'avenir de l'environnement de Madagascar. MEEF. RAEM 2017. pp369-399</w:t>
            </w:r>
          </w:p>
        </w:tc>
      </w:tr>
      <w:tr w:rsidR="008A05A5" w:rsidRPr="00EC6880" w14:paraId="16CA486B" w14:textId="77777777" w:rsidTr="00AE406E">
        <w:trPr>
          <w:trHeight w:val="300"/>
        </w:trPr>
        <w:tc>
          <w:tcPr>
            <w:tcW w:w="0" w:type="auto"/>
            <w:shd w:val="clear" w:color="auto" w:fill="auto"/>
            <w:noWrap/>
            <w:vAlign w:val="bottom"/>
            <w:hideMark/>
          </w:tcPr>
          <w:p w14:paraId="45883E49" w14:textId="77777777" w:rsidR="008A05A5" w:rsidRPr="00EC6880" w:rsidRDefault="008A05A5" w:rsidP="00FD3415">
            <w:pPr>
              <w:spacing w:after="0" w:line="240" w:lineRule="auto"/>
              <w:rPr>
                <w:rFonts w:ascii="Times New Roman" w:eastAsia="Times New Roman" w:hAnsi="Times New Roman"/>
                <w:sz w:val="20"/>
                <w:szCs w:val="20"/>
              </w:rPr>
            </w:pPr>
          </w:p>
        </w:tc>
      </w:tr>
      <w:tr w:rsidR="008A05A5" w:rsidRPr="00EC6880" w14:paraId="2F7DB8B3" w14:textId="77777777" w:rsidTr="00AE406E">
        <w:trPr>
          <w:trHeight w:val="300"/>
        </w:trPr>
        <w:tc>
          <w:tcPr>
            <w:tcW w:w="0" w:type="auto"/>
            <w:shd w:val="clear" w:color="auto" w:fill="auto"/>
            <w:noWrap/>
            <w:vAlign w:val="bottom"/>
            <w:hideMark/>
          </w:tcPr>
          <w:p w14:paraId="6948F8CD" w14:textId="77777777" w:rsidR="008A05A5" w:rsidRPr="00EC6880" w:rsidRDefault="008A05A5" w:rsidP="00FD3415">
            <w:pPr>
              <w:spacing w:after="0" w:line="240" w:lineRule="auto"/>
              <w:rPr>
                <w:rFonts w:eastAsia="Times New Roman" w:cs="Calibri"/>
                <w:b/>
                <w:bCs/>
                <w:color w:val="000000"/>
              </w:rPr>
            </w:pPr>
            <w:r w:rsidRPr="00EC6880">
              <w:rPr>
                <w:rFonts w:eastAsia="Times New Roman" w:cs="Calibri"/>
                <w:b/>
                <w:bCs/>
                <w:color w:val="000000"/>
              </w:rPr>
              <w:t>Webographie</w:t>
            </w:r>
          </w:p>
        </w:tc>
      </w:tr>
      <w:tr w:rsidR="00FD3415" w:rsidRPr="008A05A5" w14:paraId="3CBBC0B2" w14:textId="77777777" w:rsidTr="00AE406E">
        <w:trPr>
          <w:trHeight w:val="300"/>
        </w:trPr>
        <w:tc>
          <w:tcPr>
            <w:tcW w:w="0" w:type="auto"/>
            <w:shd w:val="clear" w:color="auto" w:fill="auto"/>
            <w:noWrap/>
            <w:vAlign w:val="bottom"/>
            <w:hideMark/>
          </w:tcPr>
          <w:p w14:paraId="052377E8" w14:textId="77777777" w:rsidR="00FD3415" w:rsidRPr="00AE406E" w:rsidRDefault="00FD3415" w:rsidP="00FD3415">
            <w:pPr>
              <w:spacing w:after="0" w:line="240" w:lineRule="auto"/>
              <w:rPr>
                <w:rFonts w:ascii="Arial" w:eastAsia="Times New Roman" w:hAnsi="Arial" w:cs="Arial"/>
                <w:i/>
                <w:iCs/>
                <w:color w:val="000000"/>
              </w:rPr>
            </w:pPr>
            <w:r w:rsidRPr="00AE406E">
              <w:rPr>
                <w:rFonts w:ascii="Arial" w:eastAsia="Times New Roman" w:hAnsi="Arial" w:cs="Arial"/>
                <w:i/>
                <w:iCs/>
                <w:color w:val="000000"/>
              </w:rPr>
              <w:t>http://www.artec.mg/dses/index.php?id=2</w:t>
            </w:r>
          </w:p>
        </w:tc>
      </w:tr>
      <w:tr w:rsidR="00FD3415" w:rsidRPr="00160FB0" w14:paraId="601410DB" w14:textId="77777777" w:rsidTr="00AE406E">
        <w:trPr>
          <w:trHeight w:val="300"/>
        </w:trPr>
        <w:tc>
          <w:tcPr>
            <w:tcW w:w="0" w:type="auto"/>
            <w:shd w:val="clear" w:color="auto" w:fill="auto"/>
            <w:noWrap/>
            <w:vAlign w:val="bottom"/>
            <w:hideMark/>
          </w:tcPr>
          <w:p w14:paraId="09DC3619" w14:textId="77777777" w:rsidR="00FD3415" w:rsidRPr="00AE406E" w:rsidRDefault="00160FB0" w:rsidP="00FD3415">
            <w:pPr>
              <w:spacing w:after="0" w:line="240" w:lineRule="auto"/>
              <w:rPr>
                <w:rFonts w:ascii="Arial" w:eastAsia="Times New Roman" w:hAnsi="Arial" w:cs="Arial"/>
                <w:i/>
                <w:iCs/>
                <w:color w:val="000000"/>
                <w:lang w:val="en-US"/>
              </w:rPr>
            </w:pPr>
            <w:hyperlink r:id="rId67" w:history="1">
              <w:r w:rsidR="00FD3415" w:rsidRPr="00AE406E">
                <w:rPr>
                  <w:rFonts w:ascii="Arial" w:eastAsia="Times New Roman" w:hAnsi="Arial" w:cs="Arial"/>
                  <w:i/>
                  <w:iCs/>
                  <w:color w:val="000000"/>
                  <w:lang w:val="en-US"/>
                </w:rPr>
                <w:t>https://docs.google.com/document/d/1ZkVOQe2Xv-dF2J2A_YfVS726JgbpWhUej7z1W-2jKjg/edit (TBE ONE 2021.)</w:t>
              </w:r>
            </w:hyperlink>
          </w:p>
        </w:tc>
      </w:tr>
      <w:tr w:rsidR="00FD3415" w:rsidRPr="00160FB0" w14:paraId="7499C7B6" w14:textId="77777777" w:rsidTr="00AE406E">
        <w:trPr>
          <w:trHeight w:val="300"/>
        </w:trPr>
        <w:tc>
          <w:tcPr>
            <w:tcW w:w="0" w:type="auto"/>
            <w:shd w:val="clear" w:color="auto" w:fill="auto"/>
            <w:noWrap/>
            <w:vAlign w:val="bottom"/>
            <w:hideMark/>
          </w:tcPr>
          <w:p w14:paraId="7CD78F1A" w14:textId="77777777" w:rsidR="00FD3415" w:rsidRPr="00AE406E" w:rsidRDefault="00FD3415" w:rsidP="00FD3415">
            <w:pPr>
              <w:spacing w:after="0" w:line="240" w:lineRule="auto"/>
              <w:rPr>
                <w:rFonts w:ascii="Arial" w:eastAsia="Times New Roman" w:hAnsi="Arial" w:cs="Arial"/>
                <w:i/>
                <w:iCs/>
                <w:color w:val="000000"/>
                <w:lang w:val="en-US"/>
              </w:rPr>
            </w:pPr>
            <w:r w:rsidRPr="00AE406E">
              <w:rPr>
                <w:rFonts w:ascii="Arial" w:eastAsia="Times New Roman" w:hAnsi="Arial" w:cs="Arial"/>
                <w:i/>
                <w:iCs/>
                <w:color w:val="000000"/>
                <w:lang w:val="en-US"/>
              </w:rPr>
              <w:t>https://donnees.banquemondiale.org/indicator/IT.CEL.SETS.P2?locations=MG</w:t>
            </w:r>
          </w:p>
        </w:tc>
      </w:tr>
      <w:tr w:rsidR="00FD3415" w:rsidRPr="00160FB0" w14:paraId="7F4599DD" w14:textId="77777777" w:rsidTr="008A05A5">
        <w:trPr>
          <w:trHeight w:val="300"/>
        </w:trPr>
        <w:tc>
          <w:tcPr>
            <w:tcW w:w="0" w:type="auto"/>
            <w:shd w:val="clear" w:color="auto" w:fill="auto"/>
            <w:noWrap/>
            <w:vAlign w:val="bottom"/>
          </w:tcPr>
          <w:p w14:paraId="4A8F8747" w14:textId="77777777" w:rsidR="00FD3415" w:rsidRPr="00FD3415" w:rsidRDefault="00FD3415" w:rsidP="00FD3415">
            <w:pPr>
              <w:spacing w:after="0" w:line="240" w:lineRule="auto"/>
              <w:rPr>
                <w:rFonts w:ascii="Arial" w:eastAsia="Times New Roman" w:hAnsi="Arial" w:cs="Arial"/>
                <w:color w:val="000000"/>
                <w:lang w:val="en-US"/>
              </w:rPr>
            </w:pPr>
            <w:r w:rsidRPr="00AE406E">
              <w:rPr>
                <w:rFonts w:ascii="Arial" w:eastAsia="Times New Roman" w:hAnsi="Arial" w:cs="Arial"/>
                <w:color w:val="000000"/>
                <w:lang w:val="en-US"/>
              </w:rPr>
              <w:t>https://edbm.mg/informations-economiques_presentation-de-madagascar/</w:t>
            </w:r>
          </w:p>
        </w:tc>
      </w:tr>
      <w:tr w:rsidR="00FD3415" w:rsidRPr="00160FB0" w14:paraId="476D90EC" w14:textId="77777777" w:rsidTr="00AE406E">
        <w:trPr>
          <w:trHeight w:val="300"/>
        </w:trPr>
        <w:tc>
          <w:tcPr>
            <w:tcW w:w="0" w:type="auto"/>
            <w:shd w:val="clear" w:color="auto" w:fill="auto"/>
            <w:noWrap/>
            <w:vAlign w:val="bottom"/>
            <w:hideMark/>
          </w:tcPr>
          <w:p w14:paraId="2C2CA2C8" w14:textId="77777777" w:rsidR="00FD3415" w:rsidRPr="00AE406E" w:rsidRDefault="00160FB0" w:rsidP="00FD3415">
            <w:pPr>
              <w:spacing w:after="0" w:line="240" w:lineRule="auto"/>
              <w:rPr>
                <w:rFonts w:ascii="Arial" w:eastAsia="Times New Roman" w:hAnsi="Arial" w:cs="Arial"/>
                <w:i/>
                <w:iCs/>
                <w:color w:val="000000"/>
                <w:lang w:val="en-US"/>
              </w:rPr>
            </w:pPr>
            <w:hyperlink r:id="rId68" w:history="1">
              <w:r w:rsidR="00FD3415" w:rsidRPr="00AE406E">
                <w:rPr>
                  <w:rFonts w:ascii="Arial" w:eastAsia="Times New Roman" w:hAnsi="Arial" w:cs="Arial"/>
                  <w:i/>
                  <w:iCs/>
                  <w:color w:val="000000"/>
                  <w:lang w:val="en-US"/>
                </w:rPr>
                <w:t>https://fr.countryeconomy.com/energie-et-environnement/electricite-production/madagascar</w:t>
              </w:r>
            </w:hyperlink>
          </w:p>
        </w:tc>
      </w:tr>
      <w:tr w:rsidR="00FD3415" w:rsidRPr="00160FB0" w14:paraId="0BD387D4" w14:textId="77777777" w:rsidTr="00AE406E">
        <w:trPr>
          <w:trHeight w:val="300"/>
        </w:trPr>
        <w:tc>
          <w:tcPr>
            <w:tcW w:w="0" w:type="auto"/>
            <w:shd w:val="clear" w:color="auto" w:fill="auto"/>
            <w:noWrap/>
            <w:vAlign w:val="center"/>
            <w:hideMark/>
          </w:tcPr>
          <w:p w14:paraId="515D8566" w14:textId="77777777" w:rsidR="00FD3415" w:rsidRPr="00AE406E" w:rsidRDefault="00FD3415" w:rsidP="00FD3415">
            <w:pPr>
              <w:spacing w:after="0" w:line="240" w:lineRule="auto"/>
              <w:rPr>
                <w:rFonts w:ascii="Arial" w:eastAsia="Times New Roman" w:hAnsi="Arial" w:cs="Arial"/>
                <w:i/>
                <w:iCs/>
                <w:color w:val="000000"/>
                <w:lang w:val="en-US"/>
              </w:rPr>
            </w:pPr>
            <w:r w:rsidRPr="00AE406E">
              <w:rPr>
                <w:rFonts w:ascii="Arial" w:eastAsia="Times New Roman" w:hAnsi="Arial" w:cs="Arial"/>
                <w:i/>
                <w:iCs/>
                <w:color w:val="000000"/>
                <w:lang w:val="en-US"/>
              </w:rPr>
              <w:t>https://img2.chezfred.info/photo_oiseaux.php?fic=COR/IMG_1466</w:t>
            </w:r>
          </w:p>
        </w:tc>
      </w:tr>
      <w:tr w:rsidR="00FD3415" w:rsidRPr="00160FB0" w14:paraId="416FA397" w14:textId="77777777" w:rsidTr="00AE406E">
        <w:trPr>
          <w:trHeight w:val="300"/>
        </w:trPr>
        <w:tc>
          <w:tcPr>
            <w:tcW w:w="0" w:type="auto"/>
            <w:shd w:val="clear" w:color="auto" w:fill="auto"/>
            <w:noWrap/>
            <w:vAlign w:val="bottom"/>
            <w:hideMark/>
          </w:tcPr>
          <w:p w14:paraId="4D0E8776" w14:textId="77777777" w:rsidR="00FD3415" w:rsidRPr="00AE406E" w:rsidRDefault="00FD3415" w:rsidP="00FD3415">
            <w:pPr>
              <w:spacing w:after="0" w:line="240" w:lineRule="auto"/>
              <w:rPr>
                <w:rFonts w:ascii="Arial" w:eastAsia="Times New Roman" w:hAnsi="Arial" w:cs="Arial"/>
                <w:i/>
                <w:iCs/>
                <w:color w:val="000000"/>
                <w:lang w:val="en-US"/>
              </w:rPr>
            </w:pPr>
            <w:r w:rsidRPr="00AE406E">
              <w:rPr>
                <w:rFonts w:ascii="Arial" w:eastAsia="Times New Roman" w:hAnsi="Arial" w:cs="Arial"/>
                <w:i/>
                <w:iCs/>
                <w:color w:val="000000"/>
                <w:lang w:val="en-US"/>
              </w:rPr>
              <w:t>https://lexpress.mg/12/08/2019/energie-lelectrification-rurale-reste-un-luxe/</w:t>
            </w:r>
          </w:p>
        </w:tc>
      </w:tr>
      <w:tr w:rsidR="00FD3415" w:rsidRPr="00160FB0" w14:paraId="25D6D7CF" w14:textId="77777777" w:rsidTr="00AE406E">
        <w:trPr>
          <w:trHeight w:val="300"/>
        </w:trPr>
        <w:tc>
          <w:tcPr>
            <w:tcW w:w="0" w:type="auto"/>
            <w:shd w:val="clear" w:color="auto" w:fill="auto"/>
            <w:noWrap/>
            <w:vAlign w:val="bottom"/>
            <w:hideMark/>
          </w:tcPr>
          <w:p w14:paraId="72E3BD02" w14:textId="77777777" w:rsidR="00FD3415" w:rsidRPr="00AE406E" w:rsidRDefault="00FD3415" w:rsidP="00FD3415">
            <w:pPr>
              <w:spacing w:after="0" w:line="240" w:lineRule="auto"/>
              <w:rPr>
                <w:rFonts w:ascii="Arial" w:eastAsia="Times New Roman" w:hAnsi="Arial" w:cs="Arial"/>
                <w:i/>
                <w:iCs/>
                <w:color w:val="000000"/>
                <w:lang w:val="en-US"/>
              </w:rPr>
            </w:pPr>
            <w:r w:rsidRPr="00AE406E">
              <w:rPr>
                <w:rFonts w:ascii="Arial" w:eastAsia="Times New Roman" w:hAnsi="Arial" w:cs="Arial"/>
                <w:i/>
                <w:iCs/>
                <w:color w:val="000000"/>
                <w:lang w:val="en-US"/>
              </w:rPr>
              <w:t xml:space="preserve">https://thedocs.worldbank.org/en/doc/497851495202591233-0290022017/original/ManagingRiskofAdverseimpactfromprojectlaborinflux.pdf </w:t>
            </w:r>
          </w:p>
        </w:tc>
      </w:tr>
      <w:tr w:rsidR="00FD3415" w:rsidRPr="00160FB0" w14:paraId="372EF291" w14:textId="77777777" w:rsidTr="00AE406E">
        <w:trPr>
          <w:trHeight w:val="300"/>
        </w:trPr>
        <w:tc>
          <w:tcPr>
            <w:tcW w:w="0" w:type="auto"/>
            <w:shd w:val="clear" w:color="auto" w:fill="auto"/>
            <w:noWrap/>
            <w:vAlign w:val="bottom"/>
            <w:hideMark/>
          </w:tcPr>
          <w:p w14:paraId="3E21F132" w14:textId="77777777" w:rsidR="00FD3415" w:rsidRPr="00AE406E" w:rsidRDefault="00FD3415" w:rsidP="00FD3415">
            <w:pPr>
              <w:spacing w:after="0" w:line="240" w:lineRule="auto"/>
              <w:rPr>
                <w:rFonts w:ascii="Arial" w:eastAsia="Times New Roman" w:hAnsi="Arial" w:cs="Arial"/>
                <w:i/>
                <w:iCs/>
                <w:color w:val="000000"/>
                <w:lang w:val="en-US"/>
              </w:rPr>
            </w:pPr>
            <w:r w:rsidRPr="00AE406E">
              <w:rPr>
                <w:rFonts w:ascii="Arial" w:eastAsia="Times New Roman" w:hAnsi="Arial" w:cs="Arial"/>
                <w:i/>
                <w:iCs/>
                <w:color w:val="000000"/>
                <w:lang w:val="en-US"/>
              </w:rPr>
              <w:t>https://www.banquemondiale.org/fr/news/feature/2018/10/10/the-force-of-the-sun-madagascar-embarks-on-renewable-energy-production#:~:text=%C3%80%20Madagascar%2C%20seuls%2015%20%25%20de,%25)%20et%20hydro%C3%A9lectrique%20(40%25</w:t>
            </w:r>
          </w:p>
        </w:tc>
      </w:tr>
      <w:tr w:rsidR="00FD3415" w:rsidRPr="00160FB0" w14:paraId="213FF5DF" w14:textId="77777777" w:rsidTr="00AE406E">
        <w:trPr>
          <w:trHeight w:val="300"/>
        </w:trPr>
        <w:tc>
          <w:tcPr>
            <w:tcW w:w="0" w:type="auto"/>
            <w:shd w:val="clear" w:color="auto" w:fill="auto"/>
            <w:noWrap/>
            <w:vAlign w:val="bottom"/>
            <w:hideMark/>
          </w:tcPr>
          <w:p w14:paraId="1F1C71A1" w14:textId="77777777" w:rsidR="00FD3415" w:rsidRPr="00AE406E" w:rsidRDefault="00FD3415" w:rsidP="00FD3415">
            <w:pPr>
              <w:spacing w:after="0" w:line="240" w:lineRule="auto"/>
              <w:rPr>
                <w:rFonts w:ascii="Arial" w:eastAsia="Times New Roman" w:hAnsi="Arial" w:cs="Arial"/>
                <w:i/>
                <w:iCs/>
                <w:color w:val="000000"/>
                <w:lang w:val="en-US"/>
              </w:rPr>
            </w:pPr>
            <w:r w:rsidRPr="00AE406E">
              <w:rPr>
                <w:rFonts w:ascii="Arial" w:eastAsia="Times New Roman" w:hAnsi="Arial" w:cs="Arial"/>
                <w:i/>
                <w:iCs/>
                <w:color w:val="000000"/>
                <w:lang w:val="en-US"/>
              </w:rPr>
              <w:t>https://www.banquemondiale.org/fr/news/feature/2018/10/10/the-force-of-the-sun-madagascar-embarks-on-renewable-energy-production#:~:text=Le%20pays%20a%20pourtant%20un,ensoleillement%20annuel%20dont%20il%20b%C3%A9n%C3%A9ficie</w:t>
            </w:r>
          </w:p>
        </w:tc>
      </w:tr>
      <w:tr w:rsidR="00FD3415" w:rsidRPr="00160FB0" w14:paraId="7418F14D" w14:textId="77777777" w:rsidTr="00AE406E">
        <w:trPr>
          <w:trHeight w:val="300"/>
        </w:trPr>
        <w:tc>
          <w:tcPr>
            <w:tcW w:w="0" w:type="auto"/>
            <w:shd w:val="clear" w:color="auto" w:fill="auto"/>
            <w:noWrap/>
            <w:vAlign w:val="bottom"/>
            <w:hideMark/>
          </w:tcPr>
          <w:p w14:paraId="2DC83152" w14:textId="77777777" w:rsidR="00FD3415" w:rsidRPr="00AE406E" w:rsidRDefault="00160FB0" w:rsidP="00FD3415">
            <w:pPr>
              <w:spacing w:after="0" w:line="240" w:lineRule="auto"/>
              <w:rPr>
                <w:rFonts w:ascii="Arial" w:eastAsia="Times New Roman" w:hAnsi="Arial" w:cs="Arial"/>
                <w:i/>
                <w:iCs/>
                <w:color w:val="000000"/>
                <w:lang w:val="en-US"/>
              </w:rPr>
            </w:pPr>
            <w:hyperlink r:id="rId69" w:history="1">
              <w:r w:rsidR="00FD3415" w:rsidRPr="00AE406E">
                <w:rPr>
                  <w:rFonts w:ascii="Arial" w:eastAsia="Times New Roman" w:hAnsi="Arial" w:cs="Arial"/>
                  <w:i/>
                  <w:iCs/>
                  <w:color w:val="000000"/>
                  <w:lang w:val="en-US"/>
                </w:rPr>
                <w:t>https://www.donneesmondiales.com/afrique/madagascar/climat.php</w:t>
              </w:r>
            </w:hyperlink>
          </w:p>
        </w:tc>
      </w:tr>
      <w:tr w:rsidR="00FD3415" w:rsidRPr="00160FB0" w14:paraId="74A9115F" w14:textId="77777777" w:rsidTr="00AE406E">
        <w:trPr>
          <w:trHeight w:val="300"/>
        </w:trPr>
        <w:tc>
          <w:tcPr>
            <w:tcW w:w="0" w:type="auto"/>
            <w:shd w:val="clear" w:color="auto" w:fill="auto"/>
            <w:noWrap/>
            <w:vAlign w:val="bottom"/>
            <w:hideMark/>
          </w:tcPr>
          <w:p w14:paraId="7BEE00FE" w14:textId="77777777" w:rsidR="00FD3415" w:rsidRPr="00AE406E" w:rsidRDefault="00FD3415" w:rsidP="00FD3415">
            <w:pPr>
              <w:spacing w:after="0" w:line="240" w:lineRule="auto"/>
              <w:rPr>
                <w:rFonts w:ascii="Arial" w:eastAsia="Times New Roman" w:hAnsi="Arial" w:cs="Arial"/>
                <w:i/>
                <w:iCs/>
                <w:color w:val="000000"/>
                <w:lang w:val="en-US"/>
              </w:rPr>
            </w:pPr>
            <w:r w:rsidRPr="00AE406E">
              <w:rPr>
                <w:rFonts w:ascii="Arial" w:eastAsia="Times New Roman" w:hAnsi="Arial" w:cs="Arial"/>
                <w:i/>
                <w:iCs/>
                <w:color w:val="000000"/>
                <w:lang w:val="en-US"/>
              </w:rPr>
              <w:t>https://www.fellah-trade.com/fr/export/carte-atlas/madagascar/economie</w:t>
            </w:r>
          </w:p>
        </w:tc>
      </w:tr>
      <w:tr w:rsidR="00FD3415" w:rsidRPr="00160FB0" w14:paraId="1812654D" w14:textId="77777777" w:rsidTr="00AE406E">
        <w:trPr>
          <w:trHeight w:val="300"/>
        </w:trPr>
        <w:tc>
          <w:tcPr>
            <w:tcW w:w="0" w:type="auto"/>
            <w:shd w:val="clear" w:color="auto" w:fill="auto"/>
            <w:noWrap/>
            <w:vAlign w:val="bottom"/>
            <w:hideMark/>
          </w:tcPr>
          <w:p w14:paraId="150C6885" w14:textId="77777777" w:rsidR="00FD3415" w:rsidRPr="00AE406E" w:rsidRDefault="00160FB0" w:rsidP="00FD3415">
            <w:pPr>
              <w:spacing w:after="0" w:line="240" w:lineRule="auto"/>
              <w:rPr>
                <w:rFonts w:ascii="Arial" w:eastAsia="Times New Roman" w:hAnsi="Arial" w:cs="Arial"/>
                <w:i/>
                <w:iCs/>
                <w:color w:val="000000"/>
                <w:lang w:val="en-US"/>
              </w:rPr>
            </w:pPr>
            <w:hyperlink r:id="rId70" w:history="1">
              <w:r w:rsidR="00FD3415" w:rsidRPr="00AE406E">
                <w:rPr>
                  <w:rFonts w:ascii="Arial" w:eastAsia="Times New Roman" w:hAnsi="Arial" w:cs="Arial"/>
                  <w:i/>
                  <w:iCs/>
                  <w:color w:val="000000"/>
                  <w:lang w:val="en-US"/>
                </w:rPr>
                <w:t>https://www.ifc.org/wps/wcm/connect/1d19c1ab-3ef8-42d4-bd6b-cb79648af3fe/2%2BOccupational%2BHealth%2Band%2BSafety.pdf?MOD=AJPERES&amp;CVID=nPtgxyx</w:t>
              </w:r>
            </w:hyperlink>
          </w:p>
        </w:tc>
      </w:tr>
      <w:tr w:rsidR="00FD3415" w:rsidRPr="00160FB0" w14:paraId="6158AAD2" w14:textId="77777777" w:rsidTr="00AE406E">
        <w:trPr>
          <w:trHeight w:val="300"/>
        </w:trPr>
        <w:tc>
          <w:tcPr>
            <w:tcW w:w="0" w:type="auto"/>
            <w:shd w:val="clear" w:color="auto" w:fill="auto"/>
            <w:noWrap/>
            <w:vAlign w:val="bottom"/>
            <w:hideMark/>
          </w:tcPr>
          <w:p w14:paraId="14C4EA2E" w14:textId="77777777" w:rsidR="00FD3415" w:rsidRPr="00AE406E" w:rsidRDefault="00160FB0" w:rsidP="00FD3415">
            <w:pPr>
              <w:spacing w:after="0" w:line="240" w:lineRule="auto"/>
              <w:rPr>
                <w:rFonts w:ascii="Arial" w:eastAsia="Times New Roman" w:hAnsi="Arial" w:cs="Arial"/>
                <w:i/>
                <w:iCs/>
                <w:color w:val="000000"/>
                <w:lang w:val="en-US"/>
              </w:rPr>
            </w:pPr>
            <w:hyperlink r:id="rId71" w:history="1">
              <w:r w:rsidR="00FD3415" w:rsidRPr="00AE406E">
                <w:rPr>
                  <w:rFonts w:ascii="Arial" w:eastAsia="Times New Roman" w:hAnsi="Arial" w:cs="Arial"/>
                  <w:i/>
                  <w:iCs/>
                  <w:color w:val="000000"/>
                  <w:lang w:val="en-US"/>
                </w:rPr>
                <w:t xml:space="preserve">https://www.ifc.org/wps/wcm/connect/4a51e9af-9c4b-4106-a8be-567a2a451d09/046_Telecommunications.pdf?MOD=AJPERES&amp;CVID=nPtjDHV&amp;ContentCache=NONE&amp;CACHE=NONE </w:t>
              </w:r>
            </w:hyperlink>
          </w:p>
        </w:tc>
      </w:tr>
      <w:tr w:rsidR="00FD3415" w:rsidRPr="00160FB0" w14:paraId="491AE04A" w14:textId="77777777" w:rsidTr="00AE406E">
        <w:trPr>
          <w:trHeight w:val="300"/>
        </w:trPr>
        <w:tc>
          <w:tcPr>
            <w:tcW w:w="0" w:type="auto"/>
            <w:shd w:val="clear" w:color="auto" w:fill="auto"/>
            <w:noWrap/>
            <w:vAlign w:val="bottom"/>
            <w:hideMark/>
          </w:tcPr>
          <w:p w14:paraId="219E1867" w14:textId="77777777" w:rsidR="00FD3415" w:rsidRPr="00AE406E" w:rsidRDefault="00160FB0" w:rsidP="00FD3415">
            <w:pPr>
              <w:spacing w:after="0" w:line="240" w:lineRule="auto"/>
              <w:rPr>
                <w:rFonts w:ascii="Arial" w:eastAsia="Times New Roman" w:hAnsi="Arial" w:cs="Arial"/>
                <w:i/>
                <w:iCs/>
                <w:color w:val="000000"/>
                <w:lang w:val="en-US"/>
              </w:rPr>
            </w:pPr>
            <w:hyperlink r:id="rId72" w:history="1">
              <w:r w:rsidR="00FD3415" w:rsidRPr="00AE406E">
                <w:rPr>
                  <w:rFonts w:ascii="Arial" w:eastAsia="Times New Roman" w:hAnsi="Arial" w:cs="Arial"/>
                  <w:i/>
                  <w:iCs/>
                  <w:color w:val="000000"/>
                  <w:lang w:val="en-US"/>
                </w:rPr>
                <w:t xml:space="preserve">https://www.ifc.org/wps/wcm/connect/7d708218-2a9e-4fcc-879d-9d5051746e7d/4%2BConstruction%2Band%2BDecommissioning.pdf?MOD=AJPERES&amp;CVID=nPtgy6x </w:t>
              </w:r>
            </w:hyperlink>
          </w:p>
        </w:tc>
      </w:tr>
      <w:tr w:rsidR="00FD3415" w:rsidRPr="00160FB0" w14:paraId="5D2E43CD" w14:textId="77777777" w:rsidTr="00AE406E">
        <w:trPr>
          <w:trHeight w:val="300"/>
        </w:trPr>
        <w:tc>
          <w:tcPr>
            <w:tcW w:w="0" w:type="auto"/>
            <w:shd w:val="clear" w:color="auto" w:fill="auto"/>
            <w:noWrap/>
            <w:vAlign w:val="bottom"/>
            <w:hideMark/>
          </w:tcPr>
          <w:p w14:paraId="271B4B8E" w14:textId="77777777" w:rsidR="00FD3415" w:rsidRPr="00AE406E" w:rsidRDefault="00160FB0" w:rsidP="00FD3415">
            <w:pPr>
              <w:spacing w:after="0" w:line="240" w:lineRule="auto"/>
              <w:rPr>
                <w:rFonts w:ascii="Arial" w:eastAsia="Times New Roman" w:hAnsi="Arial" w:cs="Arial"/>
                <w:i/>
                <w:iCs/>
                <w:color w:val="000000"/>
                <w:lang w:val="en-US"/>
              </w:rPr>
            </w:pPr>
            <w:hyperlink r:id="rId73" w:history="1">
              <w:r w:rsidR="00FD3415" w:rsidRPr="00AE406E">
                <w:rPr>
                  <w:rFonts w:ascii="Arial" w:eastAsia="Times New Roman" w:hAnsi="Arial" w:cs="Arial"/>
                  <w:i/>
                  <w:iCs/>
                  <w:color w:val="000000"/>
                  <w:lang w:val="en-US"/>
                </w:rPr>
                <w:t xml:space="preserve">https://www.ifc.org/wps/wcm/connect/d4260b19-30f2-466d-9c7e-86ac0ece7e89/010_General%2BGuidelines.pdf?MOD=AJPERES&amp;CVID=nPtgz5p&amp;ContentCache=NONE&amp;CACHE=NONE </w:t>
              </w:r>
            </w:hyperlink>
          </w:p>
        </w:tc>
      </w:tr>
      <w:tr w:rsidR="00FD3415" w:rsidRPr="00160FB0" w14:paraId="41AFB939" w14:textId="77777777" w:rsidTr="00AE406E">
        <w:trPr>
          <w:trHeight w:val="300"/>
        </w:trPr>
        <w:tc>
          <w:tcPr>
            <w:tcW w:w="0" w:type="auto"/>
            <w:shd w:val="clear" w:color="auto" w:fill="auto"/>
            <w:noWrap/>
            <w:vAlign w:val="bottom"/>
            <w:hideMark/>
          </w:tcPr>
          <w:p w14:paraId="52EBF8AC" w14:textId="77777777" w:rsidR="00FD3415" w:rsidRPr="00AE406E" w:rsidRDefault="00160FB0" w:rsidP="00FD3415">
            <w:pPr>
              <w:spacing w:after="0" w:line="240" w:lineRule="auto"/>
              <w:rPr>
                <w:rFonts w:ascii="Arial" w:eastAsia="Times New Roman" w:hAnsi="Arial" w:cs="Arial"/>
                <w:i/>
                <w:iCs/>
                <w:color w:val="000000"/>
                <w:lang w:val="en-US"/>
              </w:rPr>
            </w:pPr>
            <w:hyperlink r:id="rId74" w:history="1">
              <w:r w:rsidR="00FD3415" w:rsidRPr="00AE406E">
                <w:rPr>
                  <w:rFonts w:ascii="Arial" w:eastAsia="Times New Roman" w:hAnsi="Arial" w:cs="Arial"/>
                  <w:i/>
                  <w:iCs/>
                  <w:color w:val="000000"/>
                  <w:lang w:val="en-US"/>
                </w:rPr>
                <w:t>https://www.ifc.org/wps/wcm/connect/e1c73d0a-6af5-47c8-b4a6-762e250085b9e9/001_Construction%2BMaterials%2BExtraction.pdf?MOD=AJPERES&amp;CVID=jqevBT</w:t>
              </w:r>
            </w:hyperlink>
          </w:p>
        </w:tc>
      </w:tr>
      <w:tr w:rsidR="00FD3415" w:rsidRPr="00160FB0" w14:paraId="741B83BA" w14:textId="77777777" w:rsidTr="00AE406E">
        <w:trPr>
          <w:trHeight w:val="300"/>
        </w:trPr>
        <w:tc>
          <w:tcPr>
            <w:tcW w:w="0" w:type="auto"/>
            <w:shd w:val="clear" w:color="auto" w:fill="auto"/>
            <w:noWrap/>
            <w:vAlign w:val="bottom"/>
            <w:hideMark/>
          </w:tcPr>
          <w:p w14:paraId="0D619847" w14:textId="77777777" w:rsidR="00FD3415" w:rsidRPr="00AE406E" w:rsidRDefault="00160FB0" w:rsidP="00FD3415">
            <w:pPr>
              <w:spacing w:after="0" w:line="240" w:lineRule="auto"/>
              <w:rPr>
                <w:rFonts w:ascii="Arial" w:eastAsia="Times New Roman" w:hAnsi="Arial" w:cs="Arial"/>
                <w:i/>
                <w:iCs/>
                <w:color w:val="000000"/>
                <w:lang w:val="en-US"/>
              </w:rPr>
            </w:pPr>
            <w:hyperlink r:id="rId75" w:history="1">
              <w:r w:rsidR="00FD3415" w:rsidRPr="00AE406E">
                <w:rPr>
                  <w:rFonts w:ascii="Arial" w:eastAsia="Times New Roman" w:hAnsi="Arial" w:cs="Arial"/>
                  <w:i/>
                  <w:iCs/>
                  <w:color w:val="000000"/>
                  <w:lang w:val="en-US"/>
                </w:rPr>
                <w:t xml:space="preserve">https://www.ifc.org/wps/wcm/connect/eeb82b4a-e9a8-4ad1-9472-f1c766eb67c8/3%2BCommunity%2BHealth%2Band%2BSafety.pdf?MOD=AJPERES&amp;CVID=nPtgxTd </w:t>
              </w:r>
            </w:hyperlink>
          </w:p>
        </w:tc>
      </w:tr>
      <w:tr w:rsidR="00FD3415" w:rsidRPr="00160FB0" w14:paraId="3F5D47E3" w14:textId="77777777" w:rsidTr="00AE406E">
        <w:trPr>
          <w:trHeight w:val="300"/>
        </w:trPr>
        <w:tc>
          <w:tcPr>
            <w:tcW w:w="0" w:type="auto"/>
            <w:shd w:val="clear" w:color="auto" w:fill="auto"/>
            <w:noWrap/>
            <w:vAlign w:val="bottom"/>
            <w:hideMark/>
          </w:tcPr>
          <w:p w14:paraId="5E996FA7" w14:textId="77777777" w:rsidR="00FD3415" w:rsidRPr="00AE406E" w:rsidRDefault="00160FB0" w:rsidP="00FD3415">
            <w:pPr>
              <w:spacing w:after="0" w:line="240" w:lineRule="auto"/>
              <w:rPr>
                <w:rFonts w:ascii="Arial" w:eastAsia="Times New Roman" w:hAnsi="Arial" w:cs="Arial"/>
                <w:i/>
                <w:iCs/>
                <w:color w:val="000000"/>
                <w:lang w:val="en-US"/>
              </w:rPr>
            </w:pPr>
            <w:hyperlink r:id="rId76" w:history="1">
              <w:r w:rsidR="00FD3415" w:rsidRPr="00AE406E">
                <w:rPr>
                  <w:rFonts w:ascii="Arial" w:eastAsia="Times New Roman" w:hAnsi="Arial" w:cs="Arial"/>
                  <w:i/>
                  <w:iCs/>
                  <w:color w:val="000000"/>
                  <w:lang w:val="en-US"/>
                </w:rPr>
                <w:t>https://www.ifc.org/wps/wcm/connect/fe8c5e93-d8c0-4944-938c-64046fd79435/004_Electric%2BPower%2BTransmission%2Band%2BDistribution.pdf?MOD=AJPERES&amp;CVID=nPtfpU0&amp;ContentCache=NONE&amp;CACHE=NONE</w:t>
              </w:r>
            </w:hyperlink>
          </w:p>
        </w:tc>
      </w:tr>
      <w:tr w:rsidR="00FD3415" w:rsidRPr="00160FB0" w14:paraId="07D77A35" w14:textId="77777777" w:rsidTr="00AE406E">
        <w:trPr>
          <w:trHeight w:val="300"/>
        </w:trPr>
        <w:tc>
          <w:tcPr>
            <w:tcW w:w="0" w:type="auto"/>
            <w:shd w:val="clear" w:color="auto" w:fill="auto"/>
            <w:noWrap/>
            <w:vAlign w:val="bottom"/>
            <w:hideMark/>
          </w:tcPr>
          <w:p w14:paraId="789BB0B8" w14:textId="77777777" w:rsidR="00FD3415" w:rsidRPr="00AE406E" w:rsidRDefault="00FD3415" w:rsidP="00FD3415">
            <w:pPr>
              <w:spacing w:after="0" w:line="240" w:lineRule="auto"/>
              <w:rPr>
                <w:rFonts w:ascii="Arial" w:eastAsia="Times New Roman" w:hAnsi="Arial" w:cs="Arial"/>
                <w:i/>
                <w:iCs/>
                <w:color w:val="000000"/>
                <w:lang w:val="en-US"/>
              </w:rPr>
            </w:pPr>
            <w:r w:rsidRPr="00AE406E">
              <w:rPr>
                <w:rFonts w:ascii="Arial" w:eastAsia="Times New Roman" w:hAnsi="Arial" w:cs="Arial"/>
                <w:i/>
                <w:iCs/>
                <w:color w:val="000000"/>
                <w:lang w:val="en-US"/>
              </w:rPr>
              <w:t>https://www.primature.gov.mg/cpgu/wp-content/uploads/2015/02/Brochure-GPRCIM.pdf</w:t>
            </w:r>
          </w:p>
        </w:tc>
      </w:tr>
      <w:tr w:rsidR="00FD3415" w:rsidRPr="00160FB0" w14:paraId="474C5E11" w14:textId="77777777" w:rsidTr="00AE406E">
        <w:trPr>
          <w:trHeight w:val="300"/>
        </w:trPr>
        <w:tc>
          <w:tcPr>
            <w:tcW w:w="0" w:type="auto"/>
            <w:shd w:val="clear" w:color="auto" w:fill="auto"/>
            <w:noWrap/>
            <w:vAlign w:val="bottom"/>
            <w:hideMark/>
          </w:tcPr>
          <w:p w14:paraId="7078045D" w14:textId="77777777" w:rsidR="00FD3415" w:rsidRPr="00AE406E" w:rsidRDefault="00FD3415" w:rsidP="00FD3415">
            <w:pPr>
              <w:spacing w:after="0" w:line="240" w:lineRule="auto"/>
              <w:rPr>
                <w:rFonts w:ascii="Arial" w:eastAsia="Times New Roman" w:hAnsi="Arial" w:cs="Arial"/>
                <w:i/>
                <w:iCs/>
                <w:color w:val="000000"/>
                <w:lang w:val="en-US"/>
              </w:rPr>
            </w:pPr>
            <w:r w:rsidRPr="00AE406E">
              <w:rPr>
                <w:rFonts w:ascii="Arial" w:eastAsia="Times New Roman" w:hAnsi="Arial" w:cs="Arial"/>
                <w:i/>
                <w:iCs/>
                <w:color w:val="000000"/>
                <w:lang w:val="en-US"/>
              </w:rPr>
              <w:t>https://www.unicef.org/madagascar/communiqu%C3%A9s-de-presse/lutte-contre-le-changement-climatique-le-d%C3%A9fi-dacc%C3%A9l%C3%A9rer-la-mise-en-%C5%93uvre-de</w:t>
            </w:r>
          </w:p>
        </w:tc>
      </w:tr>
      <w:tr w:rsidR="00FD3415" w:rsidRPr="00160FB0" w14:paraId="39A92A28" w14:textId="77777777" w:rsidTr="00AE406E">
        <w:trPr>
          <w:trHeight w:val="300"/>
        </w:trPr>
        <w:tc>
          <w:tcPr>
            <w:tcW w:w="0" w:type="auto"/>
            <w:shd w:val="clear" w:color="auto" w:fill="auto"/>
            <w:noWrap/>
            <w:vAlign w:val="bottom"/>
            <w:hideMark/>
          </w:tcPr>
          <w:p w14:paraId="57C19CCC" w14:textId="77777777" w:rsidR="00FD3415" w:rsidRPr="00AE406E" w:rsidRDefault="00FD3415" w:rsidP="00FD3415">
            <w:pPr>
              <w:spacing w:after="0" w:line="240" w:lineRule="auto"/>
              <w:rPr>
                <w:rFonts w:ascii="Arial" w:eastAsia="Times New Roman" w:hAnsi="Arial" w:cs="Arial"/>
                <w:color w:val="000000"/>
                <w:lang w:val="en-US"/>
              </w:rPr>
            </w:pPr>
            <w:r w:rsidRPr="00AE406E">
              <w:rPr>
                <w:rFonts w:ascii="Arial" w:eastAsia="Times New Roman" w:hAnsi="Arial" w:cs="Arial"/>
                <w:color w:val="000000"/>
                <w:lang w:val="en-US"/>
              </w:rPr>
              <w:t>https://www.wwf.mg/?7032841/Les-mangroves-de-Madagascar</w:t>
            </w:r>
          </w:p>
        </w:tc>
      </w:tr>
    </w:tbl>
    <w:p w14:paraId="29C31786" w14:textId="77777777" w:rsidR="008A05A5" w:rsidRPr="00AE406E" w:rsidRDefault="008A05A5" w:rsidP="008A05A5">
      <w:pPr>
        <w:rPr>
          <w:b/>
          <w:bCs/>
          <w:lang w:val="en-US"/>
        </w:rPr>
      </w:pPr>
    </w:p>
    <w:p w14:paraId="3C6A4519" w14:textId="77777777" w:rsidR="008A05A5" w:rsidRPr="00AE406E" w:rsidRDefault="008A05A5">
      <w:pPr>
        <w:rPr>
          <w:lang w:val="en-US"/>
        </w:rPr>
      </w:pPr>
    </w:p>
    <w:p w14:paraId="53E9AC9E" w14:textId="77777777" w:rsidR="008A05A5" w:rsidRPr="00AE406E" w:rsidRDefault="008A05A5">
      <w:pPr>
        <w:rPr>
          <w:lang w:val="en-US"/>
        </w:rPr>
      </w:pPr>
    </w:p>
    <w:p w14:paraId="46900FC0" w14:textId="77777777" w:rsidR="008A05A5" w:rsidRPr="00AE406E" w:rsidRDefault="008A05A5">
      <w:pPr>
        <w:rPr>
          <w:lang w:val="en-US"/>
        </w:rPr>
      </w:pPr>
    </w:p>
    <w:p w14:paraId="1FB9173D" w14:textId="77777777" w:rsidR="008A05A5" w:rsidRDefault="008A05A5">
      <w:pPr>
        <w:rPr>
          <w:lang w:val="en-US"/>
        </w:rPr>
        <w:sectPr w:rsidR="008A05A5" w:rsidSect="004B6E62">
          <w:pgSz w:w="11906" w:h="16838"/>
          <w:pgMar w:top="1418" w:right="1418" w:bottom="1418" w:left="1418" w:header="709" w:footer="0" w:gutter="0"/>
          <w:cols w:space="720"/>
          <w:formProt w:val="0"/>
          <w:docGrid w:linePitch="360" w:charSpace="4096"/>
        </w:sectPr>
      </w:pPr>
    </w:p>
    <w:p w14:paraId="1ABD3483" w14:textId="77777777" w:rsidR="00FD7760" w:rsidRPr="00AE406E" w:rsidRDefault="00FD7760" w:rsidP="00B434A6">
      <w:pPr>
        <w:jc w:val="both"/>
        <w:rPr>
          <w:rFonts w:ascii="Arial" w:hAnsi="Arial" w:cs="Arial"/>
          <w:lang w:val="en-US"/>
        </w:rPr>
      </w:pPr>
      <w:bookmarkStart w:id="1694" w:name="_Toc124314827"/>
    </w:p>
    <w:p w14:paraId="679445A7" w14:textId="77777777" w:rsidR="00FD7760" w:rsidRPr="00AE406E" w:rsidRDefault="00FD7760" w:rsidP="00B434A6">
      <w:pPr>
        <w:jc w:val="both"/>
        <w:rPr>
          <w:rFonts w:ascii="Arial" w:hAnsi="Arial" w:cs="Arial"/>
          <w:lang w:val="en-US"/>
        </w:rPr>
      </w:pPr>
    </w:p>
    <w:p w14:paraId="3E40FD1F" w14:textId="77777777" w:rsidR="00FD7760" w:rsidRPr="00AE406E" w:rsidRDefault="00FD7760" w:rsidP="00B434A6">
      <w:pPr>
        <w:jc w:val="both"/>
        <w:rPr>
          <w:rFonts w:ascii="Arial" w:hAnsi="Arial" w:cs="Arial"/>
          <w:lang w:val="en-US"/>
        </w:rPr>
      </w:pPr>
    </w:p>
    <w:p w14:paraId="5E3B65DA" w14:textId="77777777" w:rsidR="00FD7760" w:rsidRPr="00AE406E" w:rsidRDefault="00FD7760" w:rsidP="00B434A6">
      <w:pPr>
        <w:jc w:val="both"/>
        <w:rPr>
          <w:rFonts w:ascii="Arial" w:hAnsi="Arial" w:cs="Arial"/>
          <w:lang w:val="en-US"/>
        </w:rPr>
      </w:pPr>
    </w:p>
    <w:p w14:paraId="27BF4300" w14:textId="77777777" w:rsidR="00FD7760" w:rsidRPr="00AE406E" w:rsidRDefault="00FD7760" w:rsidP="00B434A6">
      <w:pPr>
        <w:jc w:val="both"/>
        <w:rPr>
          <w:rFonts w:ascii="Arial" w:hAnsi="Arial" w:cs="Arial"/>
          <w:lang w:val="en-US"/>
        </w:rPr>
      </w:pPr>
    </w:p>
    <w:p w14:paraId="6F7A1291" w14:textId="77777777" w:rsidR="00FD7760" w:rsidRPr="00AE406E" w:rsidRDefault="00FD7760" w:rsidP="00B434A6">
      <w:pPr>
        <w:jc w:val="both"/>
        <w:rPr>
          <w:rFonts w:ascii="Arial" w:hAnsi="Arial" w:cs="Arial"/>
          <w:lang w:val="en-US"/>
        </w:rPr>
      </w:pPr>
    </w:p>
    <w:p w14:paraId="39272E07" w14:textId="77777777" w:rsidR="00FD7760" w:rsidRPr="00AE406E" w:rsidRDefault="00FD7760" w:rsidP="00B434A6">
      <w:pPr>
        <w:jc w:val="both"/>
        <w:rPr>
          <w:rFonts w:ascii="Arial" w:hAnsi="Arial" w:cs="Arial"/>
          <w:lang w:val="en-US"/>
        </w:rPr>
      </w:pPr>
    </w:p>
    <w:p w14:paraId="2F1D8501" w14:textId="77777777" w:rsidR="00FD7760" w:rsidRPr="00AE406E" w:rsidRDefault="00FD7760" w:rsidP="00B434A6">
      <w:pPr>
        <w:jc w:val="both"/>
        <w:rPr>
          <w:rFonts w:ascii="Arial" w:hAnsi="Arial" w:cs="Arial"/>
          <w:lang w:val="en-US"/>
        </w:rPr>
      </w:pPr>
    </w:p>
    <w:p w14:paraId="1A8455A0" w14:textId="77777777" w:rsidR="00FD7760" w:rsidRPr="00AE406E" w:rsidRDefault="00FD7760" w:rsidP="00B434A6">
      <w:pPr>
        <w:jc w:val="both"/>
        <w:rPr>
          <w:rFonts w:ascii="Arial" w:hAnsi="Arial" w:cs="Arial"/>
          <w:lang w:val="en-US"/>
        </w:rPr>
      </w:pPr>
    </w:p>
    <w:p w14:paraId="61D5A1EE" w14:textId="77777777" w:rsidR="00832CC9" w:rsidRPr="00345918" w:rsidRDefault="002A588A" w:rsidP="00345918">
      <w:pPr>
        <w:pStyle w:val="Paragraphedeliste"/>
        <w:pBdr>
          <w:bottom w:val="single" w:sz="4" w:space="1" w:color="auto"/>
        </w:pBdr>
        <w:spacing w:line="240" w:lineRule="auto"/>
        <w:ind w:left="360"/>
        <w:jc w:val="both"/>
        <w:outlineLvl w:val="0"/>
        <w:rPr>
          <w:b/>
          <w:bCs/>
          <w:caps/>
          <w:color w:val="44546A"/>
          <w:sz w:val="40"/>
          <w:szCs w:val="44"/>
        </w:rPr>
      </w:pPr>
      <w:bookmarkStart w:id="1695" w:name="_Toc124956370"/>
      <w:bookmarkStart w:id="1696" w:name="_Toc125384715"/>
      <w:bookmarkStart w:id="1697" w:name="_Toc125385104"/>
      <w:bookmarkStart w:id="1698" w:name="_Toc127957774"/>
      <w:r w:rsidRPr="00345918">
        <w:rPr>
          <w:b/>
          <w:bCs/>
          <w:caps/>
          <w:color w:val="44546A"/>
          <w:sz w:val="40"/>
          <w:szCs w:val="44"/>
        </w:rPr>
        <w:t>Annexes</w:t>
      </w:r>
      <w:bookmarkEnd w:id="1694"/>
      <w:bookmarkEnd w:id="1695"/>
      <w:bookmarkEnd w:id="1696"/>
      <w:bookmarkEnd w:id="1697"/>
      <w:bookmarkEnd w:id="1698"/>
    </w:p>
    <w:p w14:paraId="5BB21A40" w14:textId="77777777" w:rsidR="001571D1" w:rsidRDefault="001571D1"/>
    <w:p w14:paraId="5AA5ED94" w14:textId="77777777" w:rsidR="001571D1" w:rsidRDefault="001571D1"/>
    <w:p w14:paraId="2A9828EC" w14:textId="77777777" w:rsidR="001571D1" w:rsidRDefault="001571D1"/>
    <w:p w14:paraId="2A66BDA0" w14:textId="77777777" w:rsidR="006B2C01" w:rsidRDefault="006B2C01" w:rsidP="00D334A6">
      <w:pPr>
        <w:rPr>
          <w:rFonts w:ascii="Arial" w:hAnsi="Arial" w:cs="Arial"/>
          <w:b/>
          <w:bCs/>
        </w:rPr>
        <w:sectPr w:rsidR="006B2C01" w:rsidSect="00AE406E">
          <w:pgSz w:w="11906" w:h="16838"/>
          <w:pgMar w:top="1418" w:right="1418" w:bottom="1418" w:left="1418" w:header="709" w:footer="0" w:gutter="0"/>
          <w:pgNumType w:fmt="lowerRoman" w:start="1"/>
          <w:cols w:space="720"/>
          <w:formProt w:val="0"/>
          <w:docGrid w:linePitch="360" w:charSpace="4096"/>
        </w:sectPr>
      </w:pPr>
      <w:bookmarkStart w:id="1699" w:name="_Toc124173256"/>
      <w:bookmarkStart w:id="1700" w:name="_Hlk124173496"/>
    </w:p>
    <w:p w14:paraId="42857F70" w14:textId="77777777" w:rsidR="006B2C01" w:rsidRDefault="009A0954" w:rsidP="006B2C01">
      <w:bookmarkStart w:id="1701" w:name="_Toc125402464"/>
      <w:r w:rsidRPr="00D334A6">
        <w:rPr>
          <w:rFonts w:ascii="Arial" w:hAnsi="Arial" w:cs="Arial"/>
          <w:b/>
          <w:bCs/>
        </w:rPr>
        <w:t>Annexe</w:t>
      </w:r>
      <w:r w:rsidR="00101231">
        <w:rPr>
          <w:rFonts w:ascii="Arial" w:hAnsi="Arial" w:cs="Arial"/>
          <w:b/>
          <w:bCs/>
        </w:rPr>
        <w:t xml:space="preserve"> </w:t>
      </w:r>
      <w:r w:rsidRPr="00D334A6">
        <w:rPr>
          <w:rFonts w:ascii="Arial" w:hAnsi="Arial" w:cs="Arial"/>
          <w:b/>
          <w:bCs/>
        </w:rPr>
        <w:fldChar w:fldCharType="begin"/>
      </w:r>
      <w:r w:rsidRPr="00D334A6">
        <w:rPr>
          <w:rFonts w:ascii="Arial" w:hAnsi="Arial" w:cs="Arial"/>
          <w:b/>
          <w:bCs/>
        </w:rPr>
        <w:instrText>SEQ Annexe \* ARABIC</w:instrText>
      </w:r>
      <w:r w:rsidRPr="00D334A6">
        <w:rPr>
          <w:rFonts w:ascii="Arial" w:hAnsi="Arial" w:cs="Arial"/>
          <w:b/>
          <w:bCs/>
        </w:rPr>
        <w:fldChar w:fldCharType="separate"/>
      </w:r>
      <w:r w:rsidR="009947B9">
        <w:rPr>
          <w:rFonts w:ascii="Arial" w:hAnsi="Arial" w:cs="Arial"/>
          <w:b/>
          <w:bCs/>
          <w:noProof/>
        </w:rPr>
        <w:t>1</w:t>
      </w:r>
      <w:r w:rsidRPr="00D334A6">
        <w:rPr>
          <w:rFonts w:ascii="Arial" w:hAnsi="Arial" w:cs="Arial"/>
          <w:b/>
          <w:bCs/>
        </w:rPr>
        <w:fldChar w:fldCharType="end"/>
      </w:r>
      <w:r w:rsidRPr="00D334A6">
        <w:rPr>
          <w:rFonts w:ascii="Arial" w:hAnsi="Arial" w:cs="Arial"/>
          <w:b/>
          <w:bCs/>
        </w:rPr>
        <w:t xml:space="preserve">. </w:t>
      </w:r>
      <w:r w:rsidR="00930317">
        <w:rPr>
          <w:rFonts w:ascii="Arial" w:hAnsi="Arial" w:cs="Arial"/>
          <w:b/>
          <w:bCs/>
        </w:rPr>
        <w:t>Analyse comparative des NES de la Banque mondiale et le cadre règlementaire national malagasy</w:t>
      </w:r>
      <w:bookmarkEnd w:id="1699"/>
      <w:bookmarkEnd w:id="1701"/>
    </w:p>
    <w:tbl>
      <w:tblPr>
        <w:tblW w:w="14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5"/>
        <w:gridCol w:w="5850"/>
        <w:gridCol w:w="3594"/>
      </w:tblGrid>
      <w:tr w:rsidR="006B2C01" w:rsidRPr="007F78CE" w14:paraId="76C6A995" w14:textId="77777777" w:rsidTr="00B434A6">
        <w:trPr>
          <w:tblHeader/>
          <w:jc w:val="center"/>
        </w:trPr>
        <w:tc>
          <w:tcPr>
            <w:tcW w:w="5215" w:type="dxa"/>
            <w:shd w:val="clear" w:color="auto" w:fill="365F91"/>
            <w:vAlign w:val="center"/>
          </w:tcPr>
          <w:p w14:paraId="1676BD23" w14:textId="77777777" w:rsidR="006B2C01" w:rsidRPr="007F78CE" w:rsidRDefault="006B2C01" w:rsidP="00D12C6F">
            <w:pPr>
              <w:jc w:val="center"/>
              <w:rPr>
                <w:rFonts w:eastAsia="MS Mincho" w:cs="Arial"/>
                <w:b/>
                <w:bCs/>
                <w:i/>
                <w:iCs/>
                <w:color w:val="FFFFFF"/>
              </w:rPr>
            </w:pPr>
            <w:r w:rsidRPr="007F78CE">
              <w:rPr>
                <w:rFonts w:eastAsia="MS Mincho" w:cs="Arial"/>
                <w:b/>
                <w:bCs/>
                <w:i/>
                <w:iCs/>
                <w:color w:val="FFFFFF"/>
              </w:rPr>
              <w:t>Exigences des NES</w:t>
            </w:r>
          </w:p>
        </w:tc>
        <w:tc>
          <w:tcPr>
            <w:tcW w:w="5850" w:type="dxa"/>
            <w:shd w:val="clear" w:color="auto" w:fill="365F91"/>
            <w:vAlign w:val="center"/>
          </w:tcPr>
          <w:p w14:paraId="6442AC33" w14:textId="77777777" w:rsidR="006B2C01" w:rsidRPr="007F78CE" w:rsidRDefault="006B2C01" w:rsidP="00D12C6F">
            <w:pPr>
              <w:jc w:val="center"/>
              <w:rPr>
                <w:rFonts w:eastAsia="MS Mincho" w:cs="Arial"/>
                <w:b/>
                <w:bCs/>
                <w:i/>
                <w:iCs/>
                <w:color w:val="FFFFFF"/>
              </w:rPr>
            </w:pPr>
            <w:r w:rsidRPr="007F78CE">
              <w:rPr>
                <w:rFonts w:eastAsia="MS Mincho" w:cs="Arial"/>
                <w:b/>
                <w:bCs/>
                <w:i/>
                <w:iCs/>
                <w:color w:val="FFFFFF"/>
              </w:rPr>
              <w:t>Dispositions nationales pertinentes</w:t>
            </w:r>
          </w:p>
        </w:tc>
        <w:tc>
          <w:tcPr>
            <w:tcW w:w="3594" w:type="dxa"/>
            <w:shd w:val="clear" w:color="auto" w:fill="365F91"/>
            <w:vAlign w:val="center"/>
          </w:tcPr>
          <w:p w14:paraId="6CD4FB1D" w14:textId="77777777" w:rsidR="006B2C01" w:rsidRPr="007F78CE" w:rsidRDefault="006B2C01" w:rsidP="00D12C6F">
            <w:pPr>
              <w:jc w:val="center"/>
              <w:rPr>
                <w:rFonts w:eastAsia="MS Mincho" w:cs="Arial"/>
                <w:b/>
                <w:bCs/>
                <w:i/>
                <w:iCs/>
                <w:color w:val="FFFFFF"/>
              </w:rPr>
            </w:pPr>
            <w:r w:rsidRPr="007F78CE">
              <w:rPr>
                <w:rFonts w:eastAsia="MS Mincho" w:cs="Arial"/>
                <w:b/>
                <w:bCs/>
                <w:i/>
                <w:iCs/>
                <w:color w:val="FFFFFF"/>
              </w:rPr>
              <w:t>Observations/</w:t>
            </w:r>
          </w:p>
          <w:p w14:paraId="41B27887" w14:textId="77777777" w:rsidR="006B2C01" w:rsidRPr="007F78CE" w:rsidRDefault="006B2C01" w:rsidP="00D12C6F">
            <w:pPr>
              <w:jc w:val="center"/>
              <w:rPr>
                <w:rFonts w:eastAsia="MS Mincho" w:cs="Arial"/>
                <w:b/>
                <w:bCs/>
                <w:i/>
                <w:iCs/>
                <w:color w:val="FFFFFF"/>
              </w:rPr>
            </w:pPr>
            <w:r w:rsidRPr="007F78CE">
              <w:rPr>
                <w:rFonts w:eastAsia="MS Mincho" w:cs="Arial"/>
                <w:b/>
                <w:bCs/>
                <w:i/>
                <w:iCs/>
                <w:color w:val="FFFFFF"/>
              </w:rPr>
              <w:t>Recommandations</w:t>
            </w:r>
          </w:p>
        </w:tc>
      </w:tr>
      <w:tr w:rsidR="006B2C01" w:rsidRPr="007F78CE" w14:paraId="37F8F148" w14:textId="77777777" w:rsidTr="00D12C6F">
        <w:trPr>
          <w:cantSplit/>
          <w:jc w:val="center"/>
        </w:trPr>
        <w:tc>
          <w:tcPr>
            <w:tcW w:w="14659" w:type="dxa"/>
            <w:gridSpan w:val="3"/>
            <w:shd w:val="clear" w:color="auto" w:fill="FBD4B4"/>
          </w:tcPr>
          <w:p w14:paraId="3E64B177" w14:textId="77777777" w:rsidR="006B2C01" w:rsidRPr="00BC30C6" w:rsidRDefault="006B2C01" w:rsidP="00D12C6F">
            <w:pPr>
              <w:spacing w:before="60" w:after="60"/>
              <w:jc w:val="center"/>
              <w:rPr>
                <w:rFonts w:eastAsia="MS Mincho" w:cs="Arial"/>
                <w:b/>
                <w:bCs/>
              </w:rPr>
            </w:pPr>
            <w:r w:rsidRPr="00BC30C6">
              <w:rPr>
                <w:rFonts w:eastAsia="MS Mincho" w:cs="Arial"/>
                <w:b/>
                <w:bCs/>
              </w:rPr>
              <w:t>NES 1.</w:t>
            </w:r>
            <w:r w:rsidR="00C21029">
              <w:rPr>
                <w:rFonts w:eastAsia="MS Mincho" w:cs="Arial"/>
                <w:b/>
                <w:bCs/>
              </w:rPr>
              <w:t xml:space="preserve"> </w:t>
            </w:r>
            <w:r w:rsidRPr="00BC30C6">
              <w:rPr>
                <w:rFonts w:eastAsia="MS Mincho" w:cs="Arial"/>
                <w:b/>
                <w:bCs/>
              </w:rPr>
              <w:t>Évaluation et gestion des risques et effets environnementaux et sociaux</w:t>
            </w:r>
          </w:p>
        </w:tc>
      </w:tr>
      <w:tr w:rsidR="006B2C01" w:rsidRPr="007F78CE" w14:paraId="34B0E724" w14:textId="77777777" w:rsidTr="00B434A6">
        <w:trPr>
          <w:cantSplit/>
          <w:jc w:val="center"/>
        </w:trPr>
        <w:tc>
          <w:tcPr>
            <w:tcW w:w="5215" w:type="dxa"/>
          </w:tcPr>
          <w:p w14:paraId="644D22D5"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Répondre aux exigences NES de manière et dans des délais acceptables (y compris pour les installations existantes), gérer les entités associées à la mise en œuvre, déployer des personnes qualifiées, ainsi qu’à des spécialistes indépendants pour les projets à haut risque</w:t>
            </w:r>
          </w:p>
          <w:p w14:paraId="7E3E30BF" w14:textId="77777777" w:rsidR="006B2C01" w:rsidRPr="00BC30C6" w:rsidRDefault="006B2C01" w:rsidP="00D12C6F">
            <w:pPr>
              <w:rPr>
                <w:rFonts w:eastAsia="MS Mincho" w:cs="Arial"/>
                <w:i/>
                <w:iCs/>
                <w:u w:val="single"/>
              </w:rPr>
            </w:pPr>
            <w:r w:rsidRPr="00BC30C6">
              <w:rPr>
                <w:rFonts w:eastAsia="MS Mincho" w:cs="Arial"/>
                <w:i/>
                <w:iCs/>
              </w:rPr>
              <w:t>Paragraphes 7, 10, 11, 16, 25 et 33</w:t>
            </w:r>
          </w:p>
        </w:tc>
        <w:tc>
          <w:tcPr>
            <w:tcW w:w="5850" w:type="dxa"/>
            <w:shd w:val="clear" w:color="auto" w:fill="auto"/>
            <w:vAlign w:val="center"/>
          </w:tcPr>
          <w:p w14:paraId="32E11AC1" w14:textId="77777777" w:rsidR="006B2C01" w:rsidRPr="00BC30C6" w:rsidRDefault="006B2C01" w:rsidP="00D12C6F">
            <w:pPr>
              <w:rPr>
                <w:rFonts w:eastAsia="MS Mincho" w:cs="Arial"/>
              </w:rPr>
            </w:pPr>
          </w:p>
        </w:tc>
        <w:tc>
          <w:tcPr>
            <w:tcW w:w="3594" w:type="dxa"/>
            <w:shd w:val="clear" w:color="auto" w:fill="auto"/>
            <w:vAlign w:val="center"/>
          </w:tcPr>
          <w:p w14:paraId="00CC3243"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spécifiques des NES</w:t>
            </w:r>
          </w:p>
        </w:tc>
      </w:tr>
      <w:tr w:rsidR="006B2C01" w:rsidRPr="007F78CE" w14:paraId="60D1069B" w14:textId="77777777" w:rsidTr="00B434A6">
        <w:trPr>
          <w:cantSplit/>
          <w:jc w:val="center"/>
        </w:trPr>
        <w:tc>
          <w:tcPr>
            <w:tcW w:w="5215" w:type="dxa"/>
          </w:tcPr>
          <w:p w14:paraId="01A02FC4"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Convenir d'une "approche commune" pour le financement conjoint avec d'autres IFI (mesures incluses dans le PEES, divulgation d'un seul jeu de documents de projet)</w:t>
            </w:r>
          </w:p>
          <w:p w14:paraId="79552F74" w14:textId="77777777" w:rsidR="006B2C01" w:rsidRPr="00BC30C6" w:rsidRDefault="006B2C01" w:rsidP="00D12C6F">
            <w:pPr>
              <w:rPr>
                <w:rFonts w:eastAsia="MS Mincho" w:cs="Arial"/>
                <w:i/>
                <w:iCs/>
                <w:u w:val="single"/>
              </w:rPr>
            </w:pPr>
            <w:r w:rsidRPr="00BC30C6">
              <w:rPr>
                <w:rFonts w:eastAsia="MS Mincho" w:cs="Arial"/>
                <w:i/>
                <w:iCs/>
              </w:rPr>
              <w:t>Paragraphes 9, 12, 13</w:t>
            </w:r>
          </w:p>
        </w:tc>
        <w:tc>
          <w:tcPr>
            <w:tcW w:w="5850" w:type="dxa"/>
            <w:shd w:val="clear" w:color="auto" w:fill="auto"/>
            <w:vAlign w:val="center"/>
          </w:tcPr>
          <w:p w14:paraId="540A7502" w14:textId="77777777" w:rsidR="006B2C01" w:rsidRPr="00BC30C6" w:rsidRDefault="006B2C01" w:rsidP="00D12C6F">
            <w:pPr>
              <w:pStyle w:val="Tabletext"/>
              <w:rPr>
                <w:rFonts w:ascii="Calibri" w:eastAsia="MS Mincho" w:hAnsi="Calibri" w:cs="Arial"/>
              </w:rPr>
            </w:pPr>
          </w:p>
        </w:tc>
        <w:tc>
          <w:tcPr>
            <w:tcW w:w="3594" w:type="dxa"/>
            <w:shd w:val="clear" w:color="auto" w:fill="auto"/>
            <w:vAlign w:val="center"/>
          </w:tcPr>
          <w:p w14:paraId="30379EBA"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spécifiques des NES</w:t>
            </w:r>
          </w:p>
        </w:tc>
      </w:tr>
      <w:tr w:rsidR="006B2C01" w:rsidRPr="007F78CE" w14:paraId="782CA32D" w14:textId="77777777" w:rsidTr="00B434A6">
        <w:trPr>
          <w:cantSplit/>
          <w:jc w:val="center"/>
        </w:trPr>
        <w:tc>
          <w:tcPr>
            <w:tcW w:w="5215" w:type="dxa"/>
          </w:tcPr>
          <w:p w14:paraId="4DF75B9F"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Évaluer et gérer les installations associées et les risques de la chaîne d'approvisionnement, ou démontrer l'incapacité juridique et institutionnelle de les contrôler ou influencer.</w:t>
            </w:r>
          </w:p>
          <w:p w14:paraId="2582D182" w14:textId="77777777" w:rsidR="006B2C01" w:rsidRPr="00BC30C6" w:rsidRDefault="006B2C01" w:rsidP="00D12C6F">
            <w:pPr>
              <w:rPr>
                <w:rFonts w:eastAsia="MS Mincho" w:cs="Arial"/>
                <w:i/>
                <w:iCs/>
                <w:u w:val="single"/>
              </w:rPr>
            </w:pPr>
            <w:r w:rsidRPr="00BC30C6">
              <w:rPr>
                <w:rFonts w:eastAsia="MS Mincho" w:cs="Arial"/>
                <w:i/>
                <w:iCs/>
              </w:rPr>
              <w:t>Paragraphes 10, 11, 30, 32, 36</w:t>
            </w:r>
          </w:p>
        </w:tc>
        <w:tc>
          <w:tcPr>
            <w:tcW w:w="5850" w:type="dxa"/>
            <w:shd w:val="clear" w:color="auto" w:fill="auto"/>
            <w:vAlign w:val="center"/>
          </w:tcPr>
          <w:p w14:paraId="26AC2D89" w14:textId="77777777" w:rsidR="006B2C01" w:rsidRPr="00BC30C6" w:rsidRDefault="006B2C01" w:rsidP="00D12C6F">
            <w:pPr>
              <w:rPr>
                <w:rFonts w:eastAsia="MS Mincho" w:cs="Arial"/>
              </w:rPr>
            </w:pPr>
            <w:r w:rsidRPr="00241679">
              <w:rPr>
                <w:rFonts w:eastAsia="MS Mincho" w:cs="Arial"/>
                <w:w w:val="104"/>
                <w:sz w:val="20"/>
                <w:szCs w:val="10"/>
              </w:rPr>
              <w:t>Le cadre législatif national ne prévoit pas de</w:t>
            </w:r>
            <w:r>
              <w:rPr>
                <w:rFonts w:eastAsia="MS Mincho" w:cs="Arial"/>
                <w:w w:val="104"/>
                <w:sz w:val="20"/>
                <w:szCs w:val="10"/>
              </w:rPr>
              <w:t xml:space="preserve"> dispositions relatives aux</w:t>
            </w:r>
            <w:r w:rsidRPr="00241679">
              <w:rPr>
                <w:rFonts w:eastAsia="MS Mincho" w:cs="Arial"/>
                <w:w w:val="104"/>
                <w:sz w:val="20"/>
                <w:szCs w:val="10"/>
              </w:rPr>
              <w:t xml:space="preserve"> risques de chaine d’approvisionnement.</w:t>
            </w:r>
          </w:p>
        </w:tc>
        <w:tc>
          <w:tcPr>
            <w:tcW w:w="3594" w:type="dxa"/>
            <w:shd w:val="clear" w:color="auto" w:fill="auto"/>
            <w:vAlign w:val="center"/>
          </w:tcPr>
          <w:p w14:paraId="365BBB49"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spécifiques des NES</w:t>
            </w:r>
          </w:p>
        </w:tc>
      </w:tr>
      <w:tr w:rsidR="006B2C01" w:rsidRPr="007F78CE" w14:paraId="1FC66347" w14:textId="77777777" w:rsidTr="00B434A6">
        <w:trPr>
          <w:cantSplit/>
          <w:jc w:val="center"/>
        </w:trPr>
        <w:tc>
          <w:tcPr>
            <w:tcW w:w="5215" w:type="dxa"/>
          </w:tcPr>
          <w:p w14:paraId="637CF65F"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Utiliser le cadre de l'emprunteur lorsqu'il est substantiellement cohérent avec les NES, et comprendre, le cas échéant, des mesures de renforcement des capacités de l’emprunteur</w:t>
            </w:r>
          </w:p>
          <w:p w14:paraId="4C04929F" w14:textId="77777777" w:rsidR="006B2C01" w:rsidRPr="00BC30C6" w:rsidRDefault="006B2C01" w:rsidP="00D12C6F">
            <w:pPr>
              <w:rPr>
                <w:rFonts w:eastAsia="MS Mincho" w:cs="Arial"/>
                <w:i/>
                <w:iCs/>
                <w:u w:val="single"/>
              </w:rPr>
            </w:pPr>
            <w:r w:rsidRPr="00BC30C6">
              <w:rPr>
                <w:rFonts w:eastAsia="MS Mincho" w:cs="Arial"/>
                <w:i/>
                <w:iCs/>
              </w:rPr>
              <w:t>Paragraphe 5, 19, 20 et 21</w:t>
            </w:r>
          </w:p>
        </w:tc>
        <w:tc>
          <w:tcPr>
            <w:tcW w:w="5850" w:type="dxa"/>
            <w:shd w:val="clear" w:color="auto" w:fill="auto"/>
            <w:vAlign w:val="center"/>
          </w:tcPr>
          <w:p w14:paraId="6679BE1E" w14:textId="77777777" w:rsidR="006B2C01" w:rsidRPr="00BC30C6" w:rsidRDefault="006B2C01" w:rsidP="00D12C6F">
            <w:pPr>
              <w:rPr>
                <w:rFonts w:eastAsia="MS Mincho" w:cs="Arial"/>
              </w:rPr>
            </w:pPr>
          </w:p>
        </w:tc>
        <w:tc>
          <w:tcPr>
            <w:tcW w:w="3594" w:type="dxa"/>
            <w:shd w:val="clear" w:color="auto" w:fill="auto"/>
            <w:vAlign w:val="center"/>
          </w:tcPr>
          <w:p w14:paraId="677F755D"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spécifiques des NES</w:t>
            </w:r>
          </w:p>
        </w:tc>
      </w:tr>
      <w:tr w:rsidR="006B2C01" w:rsidRPr="007F78CE" w14:paraId="0D60FF3D" w14:textId="77777777" w:rsidTr="00B434A6">
        <w:trPr>
          <w:cantSplit/>
          <w:jc w:val="center"/>
        </w:trPr>
        <w:tc>
          <w:tcPr>
            <w:tcW w:w="5215" w:type="dxa"/>
          </w:tcPr>
          <w:p w14:paraId="18DB6340"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Effectuer une évaluation environnementale et sociale (EES) intégrée des impacts directs, indirects, cumulatifs, et transfrontaliers, et tenir compte du principe d’hiérarchie d'atténuation</w:t>
            </w:r>
          </w:p>
          <w:p w14:paraId="337B5A87" w14:textId="77777777" w:rsidR="006B2C01" w:rsidRPr="00BC30C6" w:rsidRDefault="006B2C01" w:rsidP="00D12C6F">
            <w:pPr>
              <w:rPr>
                <w:rFonts w:eastAsia="MS Mincho" w:cs="Arial"/>
                <w:i/>
                <w:iCs/>
                <w:u w:val="single"/>
              </w:rPr>
            </w:pPr>
            <w:r w:rsidRPr="00BC30C6">
              <w:rPr>
                <w:rFonts w:eastAsia="MS Mincho" w:cs="Arial"/>
                <w:i/>
                <w:iCs/>
              </w:rPr>
              <w:t>Paragraphes 23 à 29, 35</w:t>
            </w:r>
          </w:p>
        </w:tc>
        <w:tc>
          <w:tcPr>
            <w:tcW w:w="5850" w:type="dxa"/>
            <w:shd w:val="clear" w:color="auto" w:fill="auto"/>
            <w:vAlign w:val="center"/>
          </w:tcPr>
          <w:p w14:paraId="1E4CC370" w14:textId="77777777" w:rsidR="006B2C01" w:rsidRPr="00BC30C6" w:rsidRDefault="006B2C01" w:rsidP="00B434A6">
            <w:pPr>
              <w:spacing w:after="120"/>
              <w:rPr>
                <w:rFonts w:ascii="arial gras" w:eastAsia="MS Mincho" w:hAnsi="arial gras" w:cs="Arial" w:hint="eastAsia"/>
                <w:b/>
                <w:smallCaps/>
                <w:color w:val="000000"/>
                <w:w w:val="104"/>
                <w:sz w:val="20"/>
                <w:szCs w:val="10"/>
              </w:rPr>
            </w:pPr>
            <w:r w:rsidRPr="00BC30C6">
              <w:rPr>
                <w:rFonts w:eastAsia="MS Mincho" w:cs="Arial"/>
                <w:w w:val="104"/>
                <w:sz w:val="20"/>
                <w:szCs w:val="10"/>
              </w:rPr>
              <w:t>Les projets d’investissements publics ou privés, qu'ils soient soumis ou non à autorisation ou à approbation d’une autorité administrative, ou qu'ils soient susceptibles de porter atteinte à l’environnement doivent faire l’objet d’une étude d’impact. Ces études d'impact prennent la forme soit d'une étude d'impact environnemental (EIE), soit d’un Programme d’Engagement Environnemental (PREE), selon les types de projets.</w:t>
            </w:r>
          </w:p>
          <w:p w14:paraId="01F263BA" w14:textId="77777777" w:rsidR="006B2C01" w:rsidRPr="00BC30C6" w:rsidRDefault="006B2C01" w:rsidP="00D12C6F">
            <w:pPr>
              <w:rPr>
                <w:rFonts w:eastAsia="MS Mincho" w:cs="Arial"/>
              </w:rPr>
            </w:pPr>
            <w:r w:rsidRPr="00BC30C6">
              <w:rPr>
                <w:rFonts w:eastAsia="MS Mincho" w:cs="Arial"/>
                <w:i/>
                <w:iCs/>
                <w:sz w:val="20"/>
              </w:rPr>
              <w:t>Décret n° 99-954 du 15 décembre 1999 modifié par le décret n° 2004-167 du 03 février 2004 relatif à la mise en compatibilité des investissements avec l'environnement</w:t>
            </w:r>
            <w:r w:rsidRPr="00BC30C6">
              <w:rPr>
                <w:rFonts w:eastAsia="MS Mincho" w:cs="Arial"/>
                <w:sz w:val="20"/>
              </w:rPr>
              <w:t xml:space="preserve"> (</w:t>
            </w:r>
            <w:r w:rsidRPr="00BC30C6">
              <w:rPr>
                <w:rFonts w:eastAsia="MS Mincho" w:cs="Arial"/>
                <w:i/>
                <w:iCs/>
                <w:sz w:val="20"/>
              </w:rPr>
              <w:t>MECIE</w:t>
            </w:r>
            <w:r w:rsidRPr="00BC30C6">
              <w:rPr>
                <w:rFonts w:eastAsia="MS Mincho" w:cs="Arial"/>
                <w:sz w:val="20"/>
              </w:rPr>
              <w:t>) [Article 3]</w:t>
            </w:r>
          </w:p>
        </w:tc>
        <w:tc>
          <w:tcPr>
            <w:tcW w:w="3594" w:type="dxa"/>
            <w:shd w:val="clear" w:color="auto" w:fill="auto"/>
            <w:vAlign w:val="center"/>
          </w:tcPr>
          <w:p w14:paraId="4AE88759" w14:textId="77777777" w:rsidR="006B2C01" w:rsidRPr="007F78CE" w:rsidRDefault="006B2C01" w:rsidP="00D12C6F">
            <w:pPr>
              <w:rPr>
                <w:rFonts w:eastAsia="MS Mincho"/>
                <w:sz w:val="20"/>
              </w:rPr>
            </w:pPr>
            <w:r w:rsidRPr="007F78CE">
              <w:rPr>
                <w:rFonts w:eastAsia="MS Mincho"/>
                <w:sz w:val="20"/>
              </w:rPr>
              <w:t xml:space="preserve">Complémentarité et concordance entre les deux cadres réglementaires. </w:t>
            </w:r>
          </w:p>
          <w:p w14:paraId="559D44B0"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spécifiques des NES et des dispositions de du décret MECIE</w:t>
            </w:r>
          </w:p>
        </w:tc>
      </w:tr>
      <w:tr w:rsidR="006B2C01" w:rsidRPr="007F78CE" w14:paraId="1F07858C" w14:textId="77777777" w:rsidTr="00B434A6">
        <w:trPr>
          <w:cantSplit/>
          <w:jc w:val="center"/>
        </w:trPr>
        <w:tc>
          <w:tcPr>
            <w:tcW w:w="5215" w:type="dxa"/>
          </w:tcPr>
          <w:p w14:paraId="5D2C7ED5"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Prendre en compte tous les risques et effets environnementaux et sociaux pertinents du projet, et se conformer aux dispositions pertinentes des Directives environnementales, sanitaires et sécuritaires ESS et les autres bonnes pratiques internationales en vigueur dans les secteurs d’activité (concernés BPISA)</w:t>
            </w:r>
          </w:p>
          <w:p w14:paraId="0F0A89A6" w14:textId="77777777" w:rsidR="006B2C01" w:rsidRPr="00BC30C6" w:rsidRDefault="006B2C01" w:rsidP="00D12C6F">
            <w:pPr>
              <w:rPr>
                <w:rFonts w:eastAsia="MS Mincho" w:cs="Arial"/>
                <w:i/>
                <w:iCs/>
                <w:u w:val="single"/>
              </w:rPr>
            </w:pPr>
            <w:r w:rsidRPr="00BC30C6">
              <w:rPr>
                <w:rFonts w:eastAsia="MS Mincho" w:cs="Arial"/>
                <w:i/>
                <w:iCs/>
              </w:rPr>
              <w:t>Paragraphe 18, 26, 28</w:t>
            </w:r>
          </w:p>
        </w:tc>
        <w:tc>
          <w:tcPr>
            <w:tcW w:w="5850" w:type="dxa"/>
            <w:shd w:val="clear" w:color="auto" w:fill="auto"/>
            <w:vAlign w:val="center"/>
          </w:tcPr>
          <w:p w14:paraId="224F57BC" w14:textId="77777777" w:rsidR="006B2C01" w:rsidRPr="00BC30C6" w:rsidRDefault="006B2C01" w:rsidP="00B434A6">
            <w:pPr>
              <w:spacing w:after="120"/>
              <w:rPr>
                <w:rFonts w:ascii="arial gras" w:eastAsia="MS Mincho" w:hAnsi="arial gras" w:cs="Arial" w:hint="eastAsia"/>
                <w:b/>
                <w:smallCaps/>
                <w:color w:val="000000"/>
                <w:sz w:val="20"/>
              </w:rPr>
            </w:pPr>
            <w:r w:rsidRPr="00BC30C6">
              <w:rPr>
                <w:rFonts w:eastAsia="MS Mincho" w:cs="Arial"/>
                <w:sz w:val="20"/>
              </w:rPr>
              <w:t xml:space="preserve">L’évaluation environnementale consiste à vérifier si dans son étude, le promoteur a fait une exacte application des dispositions prévues, et si les mesures proposées pour prévenir et/ou corriger les effets néfastes prévisibles de l’investissement sur l’environnement sont suffisantes et appropriées. </w:t>
            </w:r>
          </w:p>
          <w:p w14:paraId="58E58423" w14:textId="77777777" w:rsidR="006B2C01" w:rsidRPr="00BC30C6" w:rsidRDefault="006B2C01" w:rsidP="00B434A6">
            <w:pPr>
              <w:spacing w:after="120"/>
              <w:rPr>
                <w:rFonts w:ascii="arial gras" w:eastAsia="MS Mincho" w:hAnsi="arial gras" w:cs="Arial" w:hint="eastAsia"/>
                <w:b/>
                <w:smallCaps/>
                <w:color w:val="000000"/>
                <w:sz w:val="20"/>
              </w:rPr>
            </w:pPr>
            <w:r w:rsidRPr="00BC30C6">
              <w:rPr>
                <w:rFonts w:eastAsia="MS Mincho" w:cs="Arial"/>
                <w:sz w:val="20"/>
              </w:rPr>
              <w:t xml:space="preserve">L’évaluation environnementale doit également prendre en compte toutes les autres dimensions de l’environnement telles qu’elles ressortent de la consultation sur place des documents, de l’enquête ou de l’audience publique. </w:t>
            </w:r>
          </w:p>
          <w:p w14:paraId="780B1F6F" w14:textId="77777777" w:rsidR="006B2C01" w:rsidRPr="00BC30C6" w:rsidRDefault="006B2C01" w:rsidP="00D12C6F">
            <w:pPr>
              <w:rPr>
                <w:rFonts w:eastAsia="MS Mincho" w:cs="Arial"/>
                <w:sz w:val="20"/>
              </w:rPr>
            </w:pPr>
            <w:r w:rsidRPr="00BC30C6">
              <w:rPr>
                <w:rFonts w:eastAsia="MS Mincho" w:cs="Arial"/>
                <w:sz w:val="20"/>
              </w:rPr>
              <w:t>L’évaluation environnementale mettra en relief que le projet soumis est celui du moindre impact, les impacts anticipés pourraient être atténués et les impacts résiduels acceptables.</w:t>
            </w:r>
          </w:p>
          <w:p w14:paraId="5DC1D4AB" w14:textId="77777777" w:rsidR="006B2C01" w:rsidRPr="00BC30C6" w:rsidRDefault="006B2C01" w:rsidP="00D12C6F">
            <w:pPr>
              <w:rPr>
                <w:rFonts w:eastAsia="MS Mincho" w:cs="Arial"/>
              </w:rPr>
            </w:pPr>
            <w:r w:rsidRPr="00BC30C6">
              <w:rPr>
                <w:rFonts w:eastAsia="MS Mincho" w:cs="Arial"/>
                <w:i/>
                <w:iCs/>
                <w:sz w:val="20"/>
              </w:rPr>
              <w:t>Décret n° 99-954 du 15 décembre 1999 modifié par le décret n° 2004-167 du 03 février 2004 relatif à la mise en compatibilité des investissements avec l'environnement</w:t>
            </w:r>
            <w:r w:rsidRPr="00BC30C6">
              <w:rPr>
                <w:rFonts w:eastAsia="MS Mincho" w:cs="Arial"/>
                <w:sz w:val="20"/>
              </w:rPr>
              <w:t xml:space="preserve"> (</w:t>
            </w:r>
            <w:r w:rsidRPr="00BC30C6">
              <w:rPr>
                <w:rFonts w:eastAsia="MS Mincho" w:cs="Arial"/>
                <w:i/>
                <w:iCs/>
                <w:sz w:val="20"/>
              </w:rPr>
              <w:t>MECIE</w:t>
            </w:r>
            <w:r w:rsidRPr="00BC30C6">
              <w:rPr>
                <w:rFonts w:eastAsia="MS Mincho" w:cs="Arial"/>
                <w:sz w:val="20"/>
              </w:rPr>
              <w:t>) [Article 22]</w:t>
            </w:r>
          </w:p>
        </w:tc>
        <w:tc>
          <w:tcPr>
            <w:tcW w:w="3594" w:type="dxa"/>
            <w:shd w:val="clear" w:color="auto" w:fill="auto"/>
            <w:vAlign w:val="center"/>
          </w:tcPr>
          <w:p w14:paraId="70087AF6" w14:textId="77777777" w:rsidR="006B2C01" w:rsidRPr="007F78CE" w:rsidRDefault="006B2C01" w:rsidP="00D12C6F">
            <w:pPr>
              <w:rPr>
                <w:rFonts w:eastAsia="MS Mincho"/>
                <w:sz w:val="20"/>
              </w:rPr>
            </w:pPr>
            <w:r w:rsidRPr="007F78CE">
              <w:rPr>
                <w:rFonts w:eastAsia="MS Mincho"/>
                <w:sz w:val="20"/>
              </w:rPr>
              <w:t xml:space="preserve">Complémentarité et concordance entre les deux cadres réglementaires. </w:t>
            </w:r>
          </w:p>
          <w:p w14:paraId="10621D37"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spécifiques des NES et des dispositions de du décret MECIE</w:t>
            </w:r>
          </w:p>
        </w:tc>
      </w:tr>
      <w:tr w:rsidR="006B2C01" w:rsidRPr="007F78CE" w14:paraId="4F21575D" w14:textId="77777777" w:rsidTr="00B434A6">
        <w:trPr>
          <w:cantSplit/>
          <w:jc w:val="center"/>
        </w:trPr>
        <w:tc>
          <w:tcPr>
            <w:tcW w:w="5215" w:type="dxa"/>
          </w:tcPr>
          <w:p w14:paraId="7E9B1908"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Mettre en œuvre des mesures différenciées de sorte que les impacts négatifs du projet n’affectent de manière disproportionnée les groupes défavorisés et vulnérables</w:t>
            </w:r>
          </w:p>
          <w:p w14:paraId="1F1C4B8F" w14:textId="77777777" w:rsidR="006B2C01" w:rsidRPr="00BC30C6" w:rsidRDefault="006B2C01" w:rsidP="00D12C6F">
            <w:pPr>
              <w:rPr>
                <w:rFonts w:eastAsia="MS Mincho" w:cs="Arial"/>
                <w:i/>
                <w:iCs/>
                <w:u w:val="single"/>
              </w:rPr>
            </w:pPr>
            <w:r w:rsidRPr="00BC30C6">
              <w:rPr>
                <w:rFonts w:eastAsia="MS Mincho" w:cs="Arial"/>
                <w:i/>
                <w:iCs/>
              </w:rPr>
              <w:t>Paragraphe 28,29</w:t>
            </w:r>
          </w:p>
        </w:tc>
        <w:tc>
          <w:tcPr>
            <w:tcW w:w="5850" w:type="dxa"/>
            <w:shd w:val="clear" w:color="auto" w:fill="auto"/>
            <w:vAlign w:val="center"/>
          </w:tcPr>
          <w:p w14:paraId="1B8B65F9" w14:textId="77777777" w:rsidR="006B2C01" w:rsidRPr="00BC30C6" w:rsidRDefault="006B2C01" w:rsidP="00D12C6F">
            <w:pPr>
              <w:rPr>
                <w:rFonts w:eastAsia="MS Mincho" w:cs="Arial"/>
                <w:sz w:val="20"/>
              </w:rPr>
            </w:pPr>
            <w:r>
              <w:rPr>
                <w:rFonts w:eastAsia="MS Mincho" w:cs="Arial"/>
                <w:sz w:val="20"/>
              </w:rPr>
              <w:t>Le cadre législatif national ne prévoit pas une considération spécifique pour les groupes vulnérables au cours de l’évaluation environnementale.</w:t>
            </w:r>
          </w:p>
        </w:tc>
        <w:tc>
          <w:tcPr>
            <w:tcW w:w="3594" w:type="dxa"/>
            <w:shd w:val="clear" w:color="auto" w:fill="auto"/>
            <w:vAlign w:val="center"/>
          </w:tcPr>
          <w:p w14:paraId="4DD3BDB3" w14:textId="77777777" w:rsidR="006B2C01" w:rsidRPr="00BC30C6" w:rsidRDefault="006B2C01" w:rsidP="00D12C6F">
            <w:pPr>
              <w:rPr>
                <w:rFonts w:eastAsia="MS Mincho" w:cs="Arial"/>
                <w:sz w:val="20"/>
              </w:rPr>
            </w:pPr>
            <w:r w:rsidRPr="007F78CE">
              <w:rPr>
                <w:rFonts w:eastAsia="MS Mincho"/>
                <w:sz w:val="20"/>
                <w:u w:val="single"/>
              </w:rPr>
              <w:t>Conclusion</w:t>
            </w:r>
            <w:r w:rsidRPr="007F78CE">
              <w:rPr>
                <w:rFonts w:eastAsia="MS Mincho"/>
                <w:sz w:val="20"/>
              </w:rPr>
              <w:t> : Application des dispositions spécifiques des NES</w:t>
            </w:r>
          </w:p>
        </w:tc>
      </w:tr>
      <w:tr w:rsidR="006B2C01" w:rsidRPr="007F78CE" w14:paraId="5CDD7579" w14:textId="77777777" w:rsidTr="00B434A6">
        <w:trPr>
          <w:cantSplit/>
          <w:jc w:val="center"/>
        </w:trPr>
        <w:tc>
          <w:tcPr>
            <w:tcW w:w="5215" w:type="dxa"/>
          </w:tcPr>
          <w:p w14:paraId="4D2174BC"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Élaborer, divulguer et mettre en œuvre un plan d'engagement environnemental et social (PEES)</w:t>
            </w:r>
          </w:p>
          <w:p w14:paraId="178823FF" w14:textId="77777777" w:rsidR="006B2C01" w:rsidRPr="00BC30C6" w:rsidRDefault="006B2C01" w:rsidP="00D12C6F">
            <w:pPr>
              <w:rPr>
                <w:rFonts w:eastAsia="MS Mincho" w:cs="Arial"/>
                <w:i/>
                <w:iCs/>
                <w:u w:val="single"/>
              </w:rPr>
            </w:pPr>
            <w:r w:rsidRPr="00BC30C6">
              <w:rPr>
                <w:rFonts w:eastAsia="MS Mincho" w:cs="Arial"/>
                <w:i/>
                <w:iCs/>
              </w:rPr>
              <w:t>Paragraphes 36 à 44</w:t>
            </w:r>
          </w:p>
        </w:tc>
        <w:tc>
          <w:tcPr>
            <w:tcW w:w="5850" w:type="dxa"/>
            <w:shd w:val="clear" w:color="auto" w:fill="auto"/>
            <w:vAlign w:val="center"/>
          </w:tcPr>
          <w:p w14:paraId="5CD99CFD" w14:textId="77777777" w:rsidR="006B2C01" w:rsidRPr="00BC30C6" w:rsidRDefault="006B2C01" w:rsidP="00B434A6">
            <w:pPr>
              <w:spacing w:after="120"/>
              <w:rPr>
                <w:rFonts w:ascii="arial gras" w:eastAsia="MS Mincho" w:hAnsi="arial gras" w:cs="Arial" w:hint="eastAsia"/>
                <w:b/>
                <w:smallCaps/>
                <w:color w:val="000000"/>
                <w:sz w:val="20"/>
              </w:rPr>
            </w:pPr>
            <w:r w:rsidRPr="00BC30C6">
              <w:rPr>
                <w:rFonts w:eastAsia="MS Mincho" w:cs="Arial"/>
                <w:sz w:val="20"/>
              </w:rPr>
              <w:t>Programme d’engagement environnemental (PREE)</w:t>
            </w:r>
          </w:p>
          <w:p w14:paraId="23688E52" w14:textId="77777777" w:rsidR="006B2C01" w:rsidRPr="00BC30C6" w:rsidRDefault="006B2C01" w:rsidP="00B434A6">
            <w:pPr>
              <w:spacing w:after="120"/>
              <w:rPr>
                <w:rFonts w:ascii="arial gras" w:eastAsia="MS Mincho" w:hAnsi="arial gras" w:cs="Arial" w:hint="eastAsia"/>
                <w:b/>
                <w:smallCaps/>
                <w:color w:val="000000"/>
                <w:sz w:val="20"/>
              </w:rPr>
            </w:pPr>
            <w:r w:rsidRPr="00BC30C6">
              <w:rPr>
                <w:rFonts w:eastAsia="MS Mincho" w:cs="Arial"/>
                <w:sz w:val="20"/>
              </w:rPr>
              <w:t xml:space="preserve">Diffuser toutes informations et toutes données utiles pour gérer l’environnement en vue d’un développement humain, , par les Ministères sectoriels directement intéressés, sous l’impulsion du Ministère chargé de l’Environnement et avec l’appui technique de l’ONE. </w:t>
            </w:r>
          </w:p>
          <w:p w14:paraId="7D28B5A7" w14:textId="77777777" w:rsidR="006B2C01" w:rsidRPr="00BC30C6" w:rsidRDefault="006B2C01" w:rsidP="00B434A6">
            <w:pPr>
              <w:spacing w:after="120"/>
              <w:rPr>
                <w:rFonts w:ascii="arial gras" w:eastAsia="MS Mincho" w:hAnsi="arial gras" w:cs="Arial" w:hint="eastAsia"/>
                <w:b/>
                <w:smallCaps/>
                <w:color w:val="000000"/>
                <w:sz w:val="20"/>
              </w:rPr>
            </w:pPr>
            <w:r w:rsidRPr="00BC30C6">
              <w:rPr>
                <w:rFonts w:eastAsia="MS Mincho" w:cs="Arial"/>
                <w:sz w:val="20"/>
              </w:rPr>
              <w:t>Associer les collectivités territoriales, et notamment les communes, à cette diffusion.</w:t>
            </w:r>
          </w:p>
          <w:p w14:paraId="1DCDCE04" w14:textId="77777777" w:rsidR="006B2C01" w:rsidRPr="00BC30C6" w:rsidRDefault="006B2C01" w:rsidP="00D12C6F">
            <w:pPr>
              <w:rPr>
                <w:rFonts w:eastAsia="MS Mincho" w:cs="Arial"/>
                <w:sz w:val="20"/>
              </w:rPr>
            </w:pPr>
            <w:r w:rsidRPr="00BC30C6">
              <w:rPr>
                <w:rFonts w:eastAsia="MS Mincho" w:cs="Arial"/>
                <w:i/>
                <w:iCs/>
                <w:sz w:val="20"/>
              </w:rPr>
              <w:t>Décret n° 99-954 du 15 décembre 1999 modifié par le décret n° 2004-167 du 03 février 2004 relatif à la mise en compatibilité des investissements avec l'environnement</w:t>
            </w:r>
            <w:r w:rsidRPr="00BC30C6">
              <w:rPr>
                <w:rFonts w:eastAsia="MS Mincho" w:cs="Arial"/>
                <w:sz w:val="20"/>
              </w:rPr>
              <w:t xml:space="preserve"> (</w:t>
            </w:r>
            <w:r w:rsidRPr="00BC30C6">
              <w:rPr>
                <w:rFonts w:eastAsia="MS Mincho" w:cs="Arial"/>
                <w:i/>
                <w:iCs/>
                <w:sz w:val="20"/>
              </w:rPr>
              <w:t>MECIE</w:t>
            </w:r>
            <w:r w:rsidRPr="00BC30C6">
              <w:rPr>
                <w:rFonts w:eastAsia="MS Mincho" w:cs="Arial"/>
                <w:sz w:val="20"/>
              </w:rPr>
              <w:t>) [Article 10]</w:t>
            </w:r>
          </w:p>
        </w:tc>
        <w:tc>
          <w:tcPr>
            <w:tcW w:w="3594" w:type="dxa"/>
            <w:shd w:val="clear" w:color="auto" w:fill="auto"/>
            <w:vAlign w:val="center"/>
          </w:tcPr>
          <w:p w14:paraId="7B653D27" w14:textId="77777777" w:rsidR="006B2C01" w:rsidRPr="007F78CE" w:rsidRDefault="006B2C01" w:rsidP="00D12C6F">
            <w:pPr>
              <w:rPr>
                <w:rFonts w:eastAsia="MS Mincho"/>
                <w:sz w:val="20"/>
              </w:rPr>
            </w:pPr>
            <w:r w:rsidRPr="007F78CE">
              <w:rPr>
                <w:rFonts w:eastAsia="MS Mincho"/>
                <w:sz w:val="20"/>
              </w:rPr>
              <w:t xml:space="preserve">Complémentarité et concordance entre les deux cadres réglementaires. </w:t>
            </w:r>
          </w:p>
          <w:p w14:paraId="75E7E8DE" w14:textId="77777777" w:rsidR="006B2C01" w:rsidRPr="00BC30C6" w:rsidRDefault="006B2C01" w:rsidP="00D12C6F">
            <w:pPr>
              <w:rPr>
                <w:rFonts w:eastAsia="MS Mincho" w:cs="Arial"/>
                <w:sz w:val="20"/>
              </w:rPr>
            </w:pPr>
            <w:r w:rsidRPr="007F78CE">
              <w:rPr>
                <w:rFonts w:eastAsia="MS Mincho"/>
                <w:sz w:val="20"/>
                <w:u w:val="single"/>
              </w:rPr>
              <w:t>Conclusion</w:t>
            </w:r>
            <w:r w:rsidRPr="007F78CE">
              <w:rPr>
                <w:rFonts w:eastAsia="MS Mincho"/>
                <w:sz w:val="20"/>
              </w:rPr>
              <w:t> : Application des dispositions spécifiques des NES et des dispositions de du décret MECIE</w:t>
            </w:r>
          </w:p>
        </w:tc>
      </w:tr>
      <w:tr w:rsidR="006B2C01" w:rsidRPr="007F78CE" w14:paraId="2A204F92" w14:textId="77777777" w:rsidTr="00B434A6">
        <w:trPr>
          <w:cantSplit/>
          <w:jc w:val="center"/>
        </w:trPr>
        <w:tc>
          <w:tcPr>
            <w:tcW w:w="5215" w:type="dxa"/>
          </w:tcPr>
          <w:p w14:paraId="36F0814B"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Assurer le suivi, y compris par des tiers, mettre en œuvre des mesures préventives et correctives, notifier la Banque tout incident ou accident en lien avec le projet susceptible d’avoir des conséquences graves</w:t>
            </w:r>
          </w:p>
          <w:p w14:paraId="439CE806" w14:textId="77777777" w:rsidR="006B2C01" w:rsidRPr="00BC30C6" w:rsidRDefault="006B2C01" w:rsidP="00D12C6F">
            <w:pPr>
              <w:rPr>
                <w:rFonts w:eastAsia="MS Mincho" w:cs="Arial"/>
                <w:i/>
                <w:iCs/>
                <w:u w:val="single"/>
              </w:rPr>
            </w:pPr>
            <w:r w:rsidRPr="00BC30C6">
              <w:rPr>
                <w:rFonts w:eastAsia="MS Mincho" w:cs="Arial"/>
                <w:i/>
                <w:iCs/>
              </w:rPr>
              <w:t>Paragraphe 45-50</w:t>
            </w:r>
          </w:p>
        </w:tc>
        <w:tc>
          <w:tcPr>
            <w:tcW w:w="5850" w:type="dxa"/>
            <w:shd w:val="clear" w:color="auto" w:fill="auto"/>
            <w:vAlign w:val="center"/>
          </w:tcPr>
          <w:p w14:paraId="757DF67C" w14:textId="77777777" w:rsidR="006B2C01" w:rsidRPr="00BC30C6" w:rsidRDefault="006B2C01" w:rsidP="00B434A6">
            <w:pPr>
              <w:spacing w:after="120"/>
              <w:rPr>
                <w:rFonts w:ascii="arial gras" w:eastAsia="MS Mincho" w:hAnsi="arial gras" w:cs="Arial" w:hint="eastAsia"/>
                <w:b/>
                <w:smallCaps/>
                <w:color w:val="000000"/>
                <w:sz w:val="20"/>
              </w:rPr>
            </w:pPr>
            <w:r w:rsidRPr="00BC30C6">
              <w:rPr>
                <w:rFonts w:eastAsia="MS Mincho" w:cs="Arial"/>
                <w:sz w:val="20"/>
              </w:rPr>
              <w:t xml:space="preserve">Il appartient à l’Etat de procéder ou de faire procéder à u suivi et à une évaluation des actions menées dans le domaine de l’environnement </w:t>
            </w:r>
          </w:p>
          <w:p w14:paraId="7C65D7BF" w14:textId="77777777" w:rsidR="006B2C01" w:rsidRPr="00BC30C6" w:rsidRDefault="006B2C01" w:rsidP="00B434A6">
            <w:pPr>
              <w:spacing w:after="120"/>
              <w:rPr>
                <w:rFonts w:ascii="arial gras" w:eastAsia="MS Mincho" w:hAnsi="arial gras" w:cs="Arial" w:hint="eastAsia"/>
                <w:b/>
                <w:smallCaps/>
                <w:color w:val="000000"/>
                <w:sz w:val="20"/>
              </w:rPr>
            </w:pPr>
            <w:r w:rsidRPr="00BC30C6">
              <w:rPr>
                <w:rFonts w:eastAsia="MS Mincho" w:cs="Arial"/>
                <w:sz w:val="20"/>
              </w:rPr>
              <w:t>L’ONE a vocation de s’occuper de la prévention des risques environnementaux dans les investissements publics et privés et de la lutte contre les pollutions. L’ONE assure donc le suivi de PGES issus des études fournis par les promoteurs, la préparation de tableaux de bord environnementaux nationaux et régionaux.</w:t>
            </w:r>
          </w:p>
          <w:p w14:paraId="6A12BF62" w14:textId="77777777" w:rsidR="006B2C01" w:rsidRPr="00BC30C6" w:rsidRDefault="006B2C01" w:rsidP="00D12C6F">
            <w:pPr>
              <w:rPr>
                <w:rFonts w:eastAsia="MS Mincho" w:cs="Arial"/>
                <w:sz w:val="20"/>
              </w:rPr>
            </w:pPr>
            <w:r w:rsidRPr="00BC30C6">
              <w:rPr>
                <w:rFonts w:eastAsia="MS Mincho" w:cs="Arial"/>
                <w:i/>
                <w:iCs/>
                <w:sz w:val="20"/>
              </w:rPr>
              <w:t>Loi n° 90-033 du 21 décembre 1990 modifiée par les lois n° 97-012 du 06 juin 1997 et n° 2004- 015 du 19 août 2004) portant la Charte de l’Environnement et ses modificatifs</w:t>
            </w:r>
          </w:p>
        </w:tc>
        <w:tc>
          <w:tcPr>
            <w:tcW w:w="3594" w:type="dxa"/>
            <w:shd w:val="clear" w:color="auto" w:fill="auto"/>
            <w:vAlign w:val="center"/>
          </w:tcPr>
          <w:p w14:paraId="6C44FC53" w14:textId="77777777" w:rsidR="006B2C01" w:rsidRPr="007F78CE" w:rsidRDefault="006B2C01" w:rsidP="00D12C6F">
            <w:pPr>
              <w:rPr>
                <w:rFonts w:eastAsia="MS Mincho"/>
                <w:sz w:val="20"/>
              </w:rPr>
            </w:pPr>
            <w:r w:rsidRPr="007F78CE">
              <w:rPr>
                <w:rFonts w:eastAsia="MS Mincho"/>
                <w:sz w:val="20"/>
              </w:rPr>
              <w:t xml:space="preserve">Complémentarité et concordance entre les deux cadres réglementaires. </w:t>
            </w:r>
          </w:p>
          <w:p w14:paraId="2D90E14F" w14:textId="77777777" w:rsidR="006B2C01" w:rsidRPr="00BC30C6" w:rsidRDefault="006B2C01" w:rsidP="00D12C6F">
            <w:pPr>
              <w:rPr>
                <w:rFonts w:eastAsia="MS Mincho" w:cs="Arial"/>
                <w:sz w:val="20"/>
              </w:rPr>
            </w:pPr>
            <w:r w:rsidRPr="007F78CE">
              <w:rPr>
                <w:rFonts w:eastAsia="MS Mincho"/>
                <w:sz w:val="20"/>
                <w:u w:val="single"/>
              </w:rPr>
              <w:t>Conclusion</w:t>
            </w:r>
            <w:r w:rsidRPr="007F78CE">
              <w:rPr>
                <w:rFonts w:eastAsia="MS Mincho"/>
                <w:sz w:val="20"/>
              </w:rPr>
              <w:t> : Application des dispositions spécifiques des NES et des dispositions de du décret MECIE</w:t>
            </w:r>
          </w:p>
        </w:tc>
      </w:tr>
      <w:tr w:rsidR="006B2C01" w:rsidRPr="007F78CE" w14:paraId="5B9F23FB" w14:textId="77777777" w:rsidTr="00B434A6">
        <w:trPr>
          <w:cantSplit/>
          <w:jc w:val="center"/>
        </w:trPr>
        <w:tc>
          <w:tcPr>
            <w:tcW w:w="5215" w:type="dxa"/>
          </w:tcPr>
          <w:p w14:paraId="34994C89"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Mobiliser les parties prenantes et rendre public des informations sur les risques, et effets environnementaux et sociaux du projet, avant l’évaluation du projet</w:t>
            </w:r>
          </w:p>
          <w:p w14:paraId="7819FBF5" w14:textId="77777777" w:rsidR="006B2C01" w:rsidRPr="00BC30C6" w:rsidRDefault="006B2C01" w:rsidP="00D12C6F">
            <w:pPr>
              <w:rPr>
                <w:rFonts w:eastAsia="MS Mincho" w:cs="Arial"/>
                <w:i/>
                <w:iCs/>
                <w:u w:val="single"/>
              </w:rPr>
            </w:pPr>
            <w:r w:rsidRPr="00BC30C6">
              <w:rPr>
                <w:rFonts w:eastAsia="MS Mincho" w:cs="Arial"/>
                <w:i/>
                <w:iCs/>
              </w:rPr>
              <w:t>Paragraphes 51-53</w:t>
            </w:r>
          </w:p>
        </w:tc>
        <w:tc>
          <w:tcPr>
            <w:tcW w:w="5850" w:type="dxa"/>
            <w:shd w:val="clear" w:color="auto" w:fill="auto"/>
            <w:vAlign w:val="center"/>
          </w:tcPr>
          <w:p w14:paraId="17E3DE31" w14:textId="77777777" w:rsidR="006B2C01" w:rsidRPr="00BC30C6" w:rsidRDefault="006B2C01" w:rsidP="00B434A6">
            <w:pPr>
              <w:spacing w:after="120"/>
              <w:rPr>
                <w:rFonts w:ascii="arial gras" w:eastAsia="MS Mincho" w:hAnsi="arial gras" w:cs="Arial" w:hint="eastAsia"/>
                <w:b/>
                <w:smallCaps/>
                <w:color w:val="000000"/>
                <w:sz w:val="20"/>
              </w:rPr>
            </w:pPr>
            <w:r w:rsidRPr="00BC30C6">
              <w:rPr>
                <w:rFonts w:eastAsia="MS Mincho" w:cs="Arial"/>
                <w:sz w:val="20"/>
              </w:rPr>
              <w:t>Par application du principe de participation du public, chaque citoyen doit avoir accès aux informations relatives à l’environnement, y compris celles relatives aux substances et activités dangereuses. Le public doit être impliqué dans les décisions dans le cadre de mesures législatives efficaces. Il a également la faculté de participer à des décisions.</w:t>
            </w:r>
          </w:p>
          <w:p w14:paraId="1BCFBEC4" w14:textId="77777777" w:rsidR="006B2C01" w:rsidRPr="00BC30C6" w:rsidRDefault="006B2C01" w:rsidP="00D12C6F">
            <w:pPr>
              <w:rPr>
                <w:rFonts w:eastAsia="MS Mincho" w:cs="Arial"/>
                <w:sz w:val="20"/>
              </w:rPr>
            </w:pPr>
            <w:r w:rsidRPr="00BC30C6">
              <w:rPr>
                <w:rFonts w:eastAsia="MS Mincho" w:cs="Arial"/>
                <w:i/>
                <w:iCs/>
                <w:sz w:val="20"/>
              </w:rPr>
              <w:t>Loi n°2015-003 portant Charte de l’Environnement Malagasy actualisée</w:t>
            </w:r>
            <w:r w:rsidRPr="00BC30C6">
              <w:rPr>
                <w:rFonts w:eastAsia="MS Mincho" w:cs="Arial"/>
                <w:sz w:val="20"/>
              </w:rPr>
              <w:t xml:space="preserve"> [Article 15]</w:t>
            </w:r>
          </w:p>
          <w:p w14:paraId="0BD62B31" w14:textId="77777777" w:rsidR="006B2C01" w:rsidRPr="00BC30C6" w:rsidRDefault="006B2C01" w:rsidP="00B434A6">
            <w:pPr>
              <w:spacing w:after="120"/>
              <w:rPr>
                <w:rFonts w:eastAsia="MS Mincho" w:cs="Arial"/>
                <w:sz w:val="20"/>
              </w:rPr>
            </w:pPr>
            <w:r w:rsidRPr="00BC30C6">
              <w:rPr>
                <w:rFonts w:eastAsia="MS Mincho" w:cs="Arial"/>
                <w:sz w:val="20"/>
              </w:rPr>
              <w:t xml:space="preserve">Participation du public à l’évaluation environnementale </w:t>
            </w:r>
          </w:p>
          <w:p w14:paraId="32439CF1" w14:textId="77777777" w:rsidR="006B2C01" w:rsidRPr="00BC30C6" w:rsidRDefault="006B2C01" w:rsidP="00B434A6">
            <w:pPr>
              <w:spacing w:after="120"/>
              <w:rPr>
                <w:rFonts w:eastAsia="MS Mincho" w:cs="Arial"/>
                <w:sz w:val="20"/>
              </w:rPr>
            </w:pPr>
            <w:r w:rsidRPr="00BC30C6">
              <w:rPr>
                <w:rFonts w:eastAsia="MS Mincho" w:cs="Arial"/>
                <w:sz w:val="20"/>
              </w:rPr>
              <w:t xml:space="preserve">La participation du public à l’évaluation se fait soit par consultation sur place des documents, soit par enquête publique, soit par audience publique. Les résultats de la participation du public à l’évaluation constituent une partie intégrante de l’évaluation de l’EIE. </w:t>
            </w:r>
          </w:p>
          <w:p w14:paraId="66E88E7C" w14:textId="77777777" w:rsidR="006B2C01" w:rsidRPr="00BC30C6" w:rsidRDefault="006B2C01" w:rsidP="00D12C6F">
            <w:pPr>
              <w:rPr>
                <w:rFonts w:eastAsia="MS Mincho" w:cs="Arial"/>
                <w:sz w:val="20"/>
              </w:rPr>
            </w:pPr>
            <w:r w:rsidRPr="00BC30C6">
              <w:rPr>
                <w:rFonts w:eastAsia="MS Mincho" w:cs="Arial"/>
                <w:i/>
                <w:iCs/>
                <w:sz w:val="20"/>
              </w:rPr>
              <w:t>Décret n° 99-954 du 15 décembre 1999 modifié par le décret n° 2004-167 du 03 février 2004 relatif à la mise en compatibilité des investissements avec l'environnement</w:t>
            </w:r>
            <w:r w:rsidRPr="00BC30C6">
              <w:rPr>
                <w:rFonts w:eastAsia="MS Mincho" w:cs="Arial"/>
                <w:sz w:val="20"/>
              </w:rPr>
              <w:t xml:space="preserve"> (</w:t>
            </w:r>
            <w:r w:rsidRPr="00BC30C6">
              <w:rPr>
                <w:rFonts w:eastAsia="MS Mincho" w:cs="Arial"/>
                <w:i/>
                <w:iCs/>
                <w:sz w:val="20"/>
              </w:rPr>
              <w:t>MECIE</w:t>
            </w:r>
            <w:r w:rsidRPr="00BC30C6">
              <w:rPr>
                <w:rFonts w:eastAsia="MS Mincho" w:cs="Arial"/>
                <w:sz w:val="20"/>
              </w:rPr>
              <w:t>) [Article 15]</w:t>
            </w:r>
          </w:p>
        </w:tc>
        <w:tc>
          <w:tcPr>
            <w:tcW w:w="3594" w:type="dxa"/>
            <w:shd w:val="clear" w:color="auto" w:fill="auto"/>
            <w:vAlign w:val="center"/>
          </w:tcPr>
          <w:p w14:paraId="02AF0916" w14:textId="77777777" w:rsidR="006B2C01" w:rsidRPr="007F78CE" w:rsidRDefault="006B2C01" w:rsidP="00D12C6F">
            <w:pPr>
              <w:rPr>
                <w:rFonts w:eastAsia="MS Mincho"/>
                <w:sz w:val="20"/>
              </w:rPr>
            </w:pPr>
            <w:r w:rsidRPr="007F78CE">
              <w:rPr>
                <w:rFonts w:eastAsia="MS Mincho"/>
                <w:sz w:val="20"/>
              </w:rPr>
              <w:t xml:space="preserve">Complémentarité et concordance entre les deux cadres réglementaires. </w:t>
            </w:r>
          </w:p>
          <w:p w14:paraId="0FFC42E6" w14:textId="77777777" w:rsidR="006B2C01" w:rsidRPr="00BC30C6" w:rsidRDefault="006B2C01" w:rsidP="00D12C6F">
            <w:pPr>
              <w:rPr>
                <w:rFonts w:eastAsia="MS Mincho" w:cs="Arial"/>
                <w:sz w:val="20"/>
              </w:rPr>
            </w:pPr>
            <w:r w:rsidRPr="007F78CE">
              <w:rPr>
                <w:rFonts w:eastAsia="MS Mincho"/>
                <w:sz w:val="20"/>
                <w:u w:val="single"/>
              </w:rPr>
              <w:t>Conclusion</w:t>
            </w:r>
            <w:r w:rsidRPr="007F78CE">
              <w:rPr>
                <w:rFonts w:eastAsia="MS Mincho"/>
                <w:sz w:val="20"/>
              </w:rPr>
              <w:t> : Application des dispositions spécifiques des NES et des dispositions de du décret MECIE</w:t>
            </w:r>
          </w:p>
        </w:tc>
      </w:tr>
      <w:tr w:rsidR="006B2C01" w:rsidRPr="007F78CE" w14:paraId="08B035FD" w14:textId="77777777" w:rsidTr="00D12C6F">
        <w:trPr>
          <w:jc w:val="center"/>
        </w:trPr>
        <w:tc>
          <w:tcPr>
            <w:tcW w:w="14659" w:type="dxa"/>
            <w:gridSpan w:val="3"/>
            <w:shd w:val="clear" w:color="auto" w:fill="FBD4B4"/>
            <w:vAlign w:val="center"/>
          </w:tcPr>
          <w:p w14:paraId="03344E65" w14:textId="77777777" w:rsidR="006B2C01" w:rsidRPr="00BC30C6" w:rsidRDefault="006B2C01" w:rsidP="00D12C6F">
            <w:pPr>
              <w:spacing w:before="60" w:after="60"/>
              <w:jc w:val="center"/>
              <w:rPr>
                <w:rFonts w:eastAsia="MS Mincho" w:cs="Arial"/>
                <w:b/>
                <w:bCs/>
              </w:rPr>
            </w:pPr>
            <w:r w:rsidRPr="00BC30C6">
              <w:rPr>
                <w:rFonts w:eastAsia="MS Mincho" w:cs="Arial"/>
                <w:b/>
                <w:bCs/>
              </w:rPr>
              <w:t>NES 2.</w:t>
            </w:r>
            <w:r w:rsidR="00C21029">
              <w:rPr>
                <w:rFonts w:eastAsia="MS Mincho" w:cs="Arial"/>
                <w:b/>
                <w:bCs/>
              </w:rPr>
              <w:t xml:space="preserve"> </w:t>
            </w:r>
            <w:r w:rsidRPr="00BC30C6">
              <w:rPr>
                <w:rFonts w:eastAsia="MS Mincho" w:cs="Arial"/>
                <w:b/>
                <w:bCs/>
              </w:rPr>
              <w:t>Emploi et conditions de travail</w:t>
            </w:r>
          </w:p>
        </w:tc>
      </w:tr>
      <w:tr w:rsidR="006B2C01" w:rsidRPr="007F78CE" w14:paraId="6090D995" w14:textId="77777777" w:rsidTr="00B434A6">
        <w:trPr>
          <w:cantSplit/>
          <w:jc w:val="center"/>
        </w:trPr>
        <w:tc>
          <w:tcPr>
            <w:tcW w:w="5215" w:type="dxa"/>
          </w:tcPr>
          <w:p w14:paraId="6B13CE5A"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Identifier les travailleurs du projet à temps plein, à temps partiel, temporaires, saisonniers et migrants (directs, contractuels, employés des principaux fournisseurs, travailleurs communautaires)</w:t>
            </w:r>
          </w:p>
          <w:p w14:paraId="71E0404E" w14:textId="77777777" w:rsidR="006B2C01" w:rsidRPr="00BC30C6" w:rsidRDefault="006B2C01" w:rsidP="00D12C6F">
            <w:pPr>
              <w:autoSpaceDE w:val="0"/>
              <w:autoSpaceDN w:val="0"/>
              <w:adjustRightInd w:val="0"/>
              <w:rPr>
                <w:rFonts w:eastAsia="MS Mincho" w:cs="Arial"/>
                <w:lang w:eastAsia="fr-FR"/>
              </w:rPr>
            </w:pPr>
            <w:r w:rsidRPr="00BC30C6">
              <w:rPr>
                <w:rFonts w:eastAsia="MS Mincho" w:cs="Arial"/>
                <w:i/>
                <w:iCs/>
              </w:rPr>
              <w:t>Paragraphes 3 à 8</w:t>
            </w:r>
          </w:p>
        </w:tc>
        <w:tc>
          <w:tcPr>
            <w:tcW w:w="5850" w:type="dxa"/>
            <w:shd w:val="clear" w:color="auto" w:fill="auto"/>
            <w:vAlign w:val="center"/>
          </w:tcPr>
          <w:p w14:paraId="430FD75D" w14:textId="77777777" w:rsidR="006B2C01" w:rsidRPr="00BC30C6" w:rsidRDefault="006B2C01" w:rsidP="00B434A6">
            <w:pPr>
              <w:spacing w:after="120"/>
              <w:rPr>
                <w:rFonts w:ascii="arial gras" w:eastAsia="MS Mincho" w:hAnsi="arial gras" w:cs="Arial" w:hint="eastAsia"/>
                <w:b/>
                <w:smallCaps/>
                <w:color w:val="000000"/>
                <w:w w:val="104"/>
                <w:sz w:val="20"/>
                <w:szCs w:val="10"/>
              </w:rPr>
            </w:pPr>
            <w:r w:rsidRPr="00BC30C6">
              <w:rPr>
                <w:rFonts w:eastAsia="MS Mincho" w:cs="Arial"/>
                <w:w w:val="104"/>
                <w:sz w:val="20"/>
                <w:szCs w:val="10"/>
              </w:rPr>
              <w:t>La loi Malagasy [Code de travail]</w:t>
            </w:r>
            <w:r>
              <w:rPr>
                <w:rFonts w:eastAsia="MS Mincho" w:cs="Arial"/>
                <w:w w:val="104"/>
                <w:sz w:val="20"/>
                <w:szCs w:val="10"/>
              </w:rPr>
              <w:t xml:space="preserve"> </w:t>
            </w:r>
            <w:r w:rsidRPr="00BC30C6">
              <w:rPr>
                <w:rFonts w:eastAsia="MS Mincho" w:cs="Arial"/>
                <w:w w:val="104"/>
                <w:sz w:val="20"/>
                <w:szCs w:val="10"/>
              </w:rPr>
              <w:t xml:space="preserve">reconnait les catégories de travailleurs suivants : Travailleur déplacé [Article 41 à 43] ; </w:t>
            </w:r>
            <w:r w:rsidRPr="00B434A6">
              <w:rPr>
                <w:rFonts w:eastAsia="MS Mincho" w:cs="Arial"/>
                <w:sz w:val="20"/>
              </w:rPr>
              <w:t>Travailleur</w:t>
            </w:r>
            <w:r w:rsidRPr="00BC30C6">
              <w:rPr>
                <w:rFonts w:eastAsia="MS Mincho" w:cs="Arial"/>
                <w:w w:val="104"/>
                <w:sz w:val="20"/>
                <w:szCs w:val="10"/>
              </w:rPr>
              <w:t xml:space="preserve"> partiel [Article 45], Travailleur journalier [Article 46]</w:t>
            </w:r>
          </w:p>
          <w:p w14:paraId="51C5DB55" w14:textId="77777777" w:rsidR="006B2C01" w:rsidRPr="00BC30C6" w:rsidRDefault="006B2C01" w:rsidP="00B434A6">
            <w:pPr>
              <w:spacing w:after="120"/>
              <w:rPr>
                <w:rFonts w:eastAsia="MS Mincho" w:cs="Arial"/>
              </w:rPr>
            </w:pPr>
            <w:r w:rsidRPr="00B434A6">
              <w:rPr>
                <w:rFonts w:eastAsia="MS Mincho" w:cs="Arial"/>
                <w:sz w:val="20"/>
              </w:rPr>
              <w:t>Travailleurs</w:t>
            </w:r>
            <w:r w:rsidRPr="00BC30C6">
              <w:rPr>
                <w:rFonts w:eastAsia="MS Mincho" w:cs="Arial"/>
                <w:w w:val="104"/>
                <w:sz w:val="20"/>
                <w:szCs w:val="10"/>
              </w:rPr>
              <w:t xml:space="preserve"> saisonniers [Article 253], Travailleurs intérimaires [Article 253], etc.</w:t>
            </w:r>
          </w:p>
        </w:tc>
        <w:tc>
          <w:tcPr>
            <w:tcW w:w="3594" w:type="dxa"/>
            <w:shd w:val="clear" w:color="auto" w:fill="auto"/>
            <w:vAlign w:val="center"/>
          </w:tcPr>
          <w:p w14:paraId="2E7C2FD6" w14:textId="77777777" w:rsidR="006B2C01" w:rsidRDefault="006B2C01" w:rsidP="00D12C6F">
            <w:pPr>
              <w:rPr>
                <w:rFonts w:eastAsia="MS Mincho" w:cs="Arial"/>
              </w:rPr>
            </w:pPr>
            <w:r w:rsidRPr="007F78CE">
              <w:rPr>
                <w:rFonts w:eastAsia="MS Mincho"/>
                <w:sz w:val="20"/>
              </w:rPr>
              <w:t>Correspondance et complémentarité entre les deux cadres</w:t>
            </w:r>
          </w:p>
          <w:p w14:paraId="6D43E40E"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de la NES et ceux du cadre réglementaire national</w:t>
            </w:r>
          </w:p>
        </w:tc>
      </w:tr>
      <w:tr w:rsidR="006B2C01" w:rsidRPr="007F78CE" w14:paraId="60F2D3B3" w14:textId="77777777" w:rsidTr="00B434A6">
        <w:trPr>
          <w:cantSplit/>
          <w:jc w:val="center"/>
        </w:trPr>
        <w:tc>
          <w:tcPr>
            <w:tcW w:w="5215" w:type="dxa"/>
          </w:tcPr>
          <w:p w14:paraId="2FF80392"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Établir des procédures écrites de gestion de la main d’œuvre qui s’appliquent au projet, y compris les conditions de travail et d’emploi</w:t>
            </w:r>
          </w:p>
          <w:p w14:paraId="58ADB4BB" w14:textId="77777777" w:rsidR="006B2C01" w:rsidRPr="00BC30C6" w:rsidRDefault="006B2C01" w:rsidP="00D12C6F">
            <w:pPr>
              <w:autoSpaceDE w:val="0"/>
              <w:autoSpaceDN w:val="0"/>
              <w:adjustRightInd w:val="0"/>
              <w:rPr>
                <w:rFonts w:eastAsia="MS Mincho" w:cs="Arial"/>
                <w:lang w:eastAsia="fr-FR"/>
              </w:rPr>
            </w:pPr>
            <w:r w:rsidRPr="00BC30C6">
              <w:rPr>
                <w:rFonts w:eastAsia="MS Mincho" w:cs="Arial"/>
                <w:i/>
                <w:iCs/>
              </w:rPr>
              <w:t>Paragraphes 9 à 12</w:t>
            </w:r>
          </w:p>
        </w:tc>
        <w:tc>
          <w:tcPr>
            <w:tcW w:w="5850" w:type="dxa"/>
            <w:shd w:val="clear" w:color="auto" w:fill="auto"/>
            <w:vAlign w:val="center"/>
          </w:tcPr>
          <w:p w14:paraId="1AFB48B8" w14:textId="77777777" w:rsidR="006B2C01" w:rsidRPr="00BC30C6" w:rsidRDefault="006B2C01" w:rsidP="00B434A6">
            <w:pPr>
              <w:spacing w:after="120"/>
              <w:rPr>
                <w:rFonts w:ascii="arial gras" w:eastAsia="MS Mincho" w:hAnsi="arial gras" w:cs="Arial" w:hint="eastAsia"/>
                <w:b/>
                <w:smallCaps/>
                <w:color w:val="000000"/>
                <w:w w:val="104"/>
                <w:sz w:val="20"/>
                <w:szCs w:val="10"/>
              </w:rPr>
            </w:pPr>
            <w:r w:rsidRPr="00BC30C6">
              <w:rPr>
                <w:rFonts w:eastAsia="MS Mincho" w:cs="Arial"/>
                <w:w w:val="104"/>
                <w:sz w:val="20"/>
                <w:szCs w:val="10"/>
              </w:rPr>
              <w:t xml:space="preserve">Il est reconnu le règlement intérieur dont l’élaboration est du pouvoir de l’employeur, et il est obligatoire pour toute entreprise de plus de 11 travailleurs. Le règlement intérieur est un document écrit par lequel, l’employeur fixe les règles générales et permanentes relatives à son organisation technique de </w:t>
            </w:r>
            <w:r w:rsidRPr="00B434A6">
              <w:rPr>
                <w:rFonts w:eastAsia="MS Mincho" w:cs="Arial"/>
                <w:sz w:val="20"/>
              </w:rPr>
              <w:t>l'établissement</w:t>
            </w:r>
            <w:r w:rsidRPr="00BC30C6">
              <w:rPr>
                <w:rFonts w:eastAsia="MS Mincho" w:cs="Arial"/>
                <w:w w:val="104"/>
                <w:sz w:val="20"/>
                <w:szCs w:val="10"/>
              </w:rPr>
              <w:t xml:space="preserve"> et à la discipline générale, en déterminant la nature et le degré de sanctions susceptibles d’être prononcées ainsi que les dispositions de procédure garantissant les droits à la défense, les règles d'hygiène et de sécurité nécessaires à sa bonne marche. </w:t>
            </w:r>
          </w:p>
          <w:p w14:paraId="35218C11" w14:textId="77777777" w:rsidR="006B2C01" w:rsidRPr="00BC30C6" w:rsidRDefault="006B2C01" w:rsidP="00D12C6F">
            <w:pPr>
              <w:autoSpaceDE w:val="0"/>
              <w:autoSpaceDN w:val="0"/>
              <w:adjustRightInd w:val="0"/>
              <w:rPr>
                <w:rFonts w:eastAsia="MS Mincho" w:cs="Arial"/>
              </w:rPr>
            </w:pPr>
            <w:r w:rsidRPr="00BC30C6">
              <w:rPr>
                <w:rFonts w:eastAsia="MS Mincho" w:cs="Arial"/>
                <w:i/>
                <w:iCs/>
                <w:w w:val="104"/>
                <w:sz w:val="20"/>
                <w:szCs w:val="10"/>
              </w:rPr>
              <w:t xml:space="preserve">LOI N° 2003 -044 Portant Code du Travail [Article 158] </w:t>
            </w:r>
          </w:p>
        </w:tc>
        <w:tc>
          <w:tcPr>
            <w:tcW w:w="3594" w:type="dxa"/>
            <w:shd w:val="clear" w:color="auto" w:fill="auto"/>
            <w:vAlign w:val="center"/>
          </w:tcPr>
          <w:p w14:paraId="63073E1E" w14:textId="77777777" w:rsidR="006B2C01" w:rsidRDefault="006B2C01" w:rsidP="00D12C6F">
            <w:pPr>
              <w:rPr>
                <w:rFonts w:eastAsia="MS Mincho" w:cs="Arial"/>
              </w:rPr>
            </w:pPr>
            <w:r w:rsidRPr="007F78CE">
              <w:rPr>
                <w:rFonts w:eastAsia="MS Mincho"/>
                <w:sz w:val="20"/>
              </w:rPr>
              <w:t>Correspondance et complémentarité entre les deux cadres</w:t>
            </w:r>
          </w:p>
          <w:p w14:paraId="27E6EBDA"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xml:space="preserve"> : Application des dispositions de la NES et ceux du cadre réglementaire national : La NES recommande l’élaboration de PGMO ou procédures de gestion de la main d’œuvre </w:t>
            </w:r>
          </w:p>
        </w:tc>
      </w:tr>
      <w:tr w:rsidR="006B2C01" w:rsidRPr="007F78CE" w14:paraId="0713E56F" w14:textId="77777777" w:rsidTr="00B434A6">
        <w:trPr>
          <w:cantSplit/>
          <w:jc w:val="center"/>
        </w:trPr>
        <w:tc>
          <w:tcPr>
            <w:tcW w:w="5215" w:type="dxa"/>
          </w:tcPr>
          <w:p w14:paraId="5EB05B22"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Assurer la non-discrimination et l'égalité des chances, prévenir la discrimination, et prendre des mesures pour protéger les personnes vulnérables</w:t>
            </w:r>
          </w:p>
          <w:p w14:paraId="2EA510C7" w14:textId="77777777" w:rsidR="006B2C01" w:rsidRPr="00BC30C6" w:rsidRDefault="006B2C01" w:rsidP="00D12C6F">
            <w:pPr>
              <w:autoSpaceDE w:val="0"/>
              <w:autoSpaceDN w:val="0"/>
              <w:adjustRightInd w:val="0"/>
              <w:rPr>
                <w:rFonts w:eastAsia="MS Mincho" w:cs="Arial"/>
                <w:lang w:eastAsia="fr-FR"/>
              </w:rPr>
            </w:pPr>
            <w:r w:rsidRPr="00BC30C6">
              <w:rPr>
                <w:rFonts w:eastAsia="MS Mincho" w:cs="Arial"/>
                <w:i/>
                <w:iCs/>
              </w:rPr>
              <w:t>Paragraphes 13-15</w:t>
            </w:r>
          </w:p>
        </w:tc>
        <w:tc>
          <w:tcPr>
            <w:tcW w:w="5850" w:type="dxa"/>
            <w:shd w:val="clear" w:color="auto" w:fill="auto"/>
            <w:vAlign w:val="center"/>
          </w:tcPr>
          <w:p w14:paraId="0D816B94" w14:textId="77777777" w:rsidR="006B2C01" w:rsidRPr="00BC30C6" w:rsidRDefault="006B2C01" w:rsidP="00B434A6">
            <w:pPr>
              <w:spacing w:after="120"/>
              <w:rPr>
                <w:rFonts w:ascii="arial gras" w:eastAsia="MS Mincho" w:hAnsi="arial gras" w:cs="Arial" w:hint="eastAsia"/>
                <w:b/>
                <w:smallCaps/>
                <w:color w:val="000000"/>
                <w:w w:val="104"/>
                <w:sz w:val="20"/>
                <w:szCs w:val="10"/>
              </w:rPr>
            </w:pPr>
            <w:r w:rsidRPr="00BC30C6">
              <w:rPr>
                <w:rFonts w:eastAsia="MS Mincho" w:cs="Arial"/>
                <w:w w:val="104"/>
                <w:sz w:val="20"/>
                <w:szCs w:val="10"/>
              </w:rPr>
              <w:t xml:space="preserve">Aucune discrimination ne peut être faite en matière de travail ou d'emploi à égalité de capacité et d'aptitude entre les personnes valides et les personnes handicapées du fait de leur handicap. Les personnes handicapées ont droit au travail et à l'emploi, à l'égalité de </w:t>
            </w:r>
            <w:r w:rsidRPr="00B434A6">
              <w:rPr>
                <w:rFonts w:eastAsia="MS Mincho" w:cs="Arial"/>
                <w:sz w:val="20"/>
              </w:rPr>
              <w:t>chance</w:t>
            </w:r>
            <w:r w:rsidRPr="00BC30C6">
              <w:rPr>
                <w:rFonts w:eastAsia="MS Mincho" w:cs="Arial"/>
                <w:w w:val="104"/>
                <w:sz w:val="20"/>
                <w:szCs w:val="10"/>
              </w:rPr>
              <w:t xml:space="preserve"> et de traite ment en matière d'apprentissage, de formation professionnelle et d'emploi.</w:t>
            </w:r>
          </w:p>
          <w:p w14:paraId="3908B29B" w14:textId="77777777" w:rsidR="006B2C01" w:rsidRPr="00BC30C6" w:rsidRDefault="006B2C01" w:rsidP="00D12C6F">
            <w:pPr>
              <w:autoSpaceDE w:val="0"/>
              <w:autoSpaceDN w:val="0"/>
              <w:adjustRightInd w:val="0"/>
              <w:rPr>
                <w:rFonts w:eastAsia="MS Mincho" w:cs="Arial"/>
                <w:i/>
                <w:iCs/>
                <w:w w:val="104"/>
                <w:sz w:val="20"/>
                <w:szCs w:val="10"/>
              </w:rPr>
            </w:pPr>
            <w:r w:rsidRPr="00BC30C6">
              <w:rPr>
                <w:rFonts w:eastAsia="MS Mincho" w:cs="Arial"/>
                <w:i/>
                <w:iCs/>
                <w:w w:val="104"/>
                <w:sz w:val="20"/>
                <w:szCs w:val="10"/>
              </w:rPr>
              <w:t xml:space="preserve">LOI N° 2003 -044 Portant Code du Travail [Article 105] </w:t>
            </w:r>
          </w:p>
          <w:p w14:paraId="1DB8B3BC" w14:textId="77777777" w:rsidR="006B2C01" w:rsidRPr="00BC30C6" w:rsidRDefault="006B2C01" w:rsidP="00B434A6">
            <w:pPr>
              <w:spacing w:after="120"/>
              <w:rPr>
                <w:rFonts w:eastAsia="MS Mincho" w:cs="Arial"/>
                <w:w w:val="104"/>
                <w:sz w:val="20"/>
                <w:szCs w:val="10"/>
              </w:rPr>
            </w:pPr>
            <w:r w:rsidRPr="00BC30C6">
              <w:rPr>
                <w:rFonts w:eastAsia="MS Mincho" w:cs="Arial"/>
                <w:w w:val="104"/>
                <w:sz w:val="20"/>
                <w:szCs w:val="10"/>
              </w:rPr>
              <w:t>Est passible de sanctions et de peines tout traitement discriminatoire fondé sur la race, la religion, l’origine, le sexe, l’appartenance syndicale, l’appartenance et les opinions politiques du travailleur en ce qui concerne l’accès à l’emploi et à la formation professionnelle, les conditions de travail et d’avancement, les conditions de rémunération, le licenciement.</w:t>
            </w:r>
          </w:p>
          <w:p w14:paraId="51D3FB74" w14:textId="77777777" w:rsidR="006B2C01" w:rsidRPr="00BC30C6" w:rsidRDefault="006B2C01" w:rsidP="00D12C6F">
            <w:pPr>
              <w:autoSpaceDE w:val="0"/>
              <w:autoSpaceDN w:val="0"/>
              <w:adjustRightInd w:val="0"/>
              <w:rPr>
                <w:rFonts w:eastAsia="MS Mincho" w:cs="Arial"/>
              </w:rPr>
            </w:pPr>
            <w:r w:rsidRPr="00BC30C6">
              <w:rPr>
                <w:rFonts w:eastAsia="MS Mincho" w:cs="Arial"/>
                <w:i/>
                <w:iCs/>
                <w:w w:val="104"/>
                <w:sz w:val="20"/>
                <w:szCs w:val="10"/>
              </w:rPr>
              <w:t xml:space="preserve">LOI N° 2003 -044 Portant Code du Travail [Article 261] </w:t>
            </w:r>
          </w:p>
        </w:tc>
        <w:tc>
          <w:tcPr>
            <w:tcW w:w="3594" w:type="dxa"/>
            <w:shd w:val="clear" w:color="auto" w:fill="auto"/>
            <w:vAlign w:val="center"/>
          </w:tcPr>
          <w:p w14:paraId="4C6267E8" w14:textId="77777777" w:rsidR="006B2C01" w:rsidRDefault="006B2C01" w:rsidP="00D12C6F">
            <w:pPr>
              <w:rPr>
                <w:rFonts w:eastAsia="MS Mincho" w:cs="Arial"/>
              </w:rPr>
            </w:pPr>
            <w:r w:rsidRPr="007F78CE">
              <w:rPr>
                <w:rFonts w:eastAsia="MS Mincho"/>
                <w:sz w:val="20"/>
              </w:rPr>
              <w:t>Correspondance et complémentarité entre les deux cadres</w:t>
            </w:r>
          </w:p>
          <w:p w14:paraId="76391628"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de la NES et ceux du cadre réglementaire national</w:t>
            </w:r>
          </w:p>
        </w:tc>
      </w:tr>
      <w:tr w:rsidR="006B2C01" w:rsidRPr="007F78CE" w14:paraId="7E653786" w14:textId="77777777" w:rsidTr="00B434A6">
        <w:trPr>
          <w:cantSplit/>
          <w:jc w:val="center"/>
        </w:trPr>
        <w:tc>
          <w:tcPr>
            <w:tcW w:w="5215" w:type="dxa"/>
          </w:tcPr>
          <w:p w14:paraId="21559231"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Respecter le rôle des organisations de travailleurs dans les pays où le droit national reconnaît le droit des travailleurs à se constituer en association</w:t>
            </w:r>
          </w:p>
          <w:p w14:paraId="6AD6247C" w14:textId="77777777" w:rsidR="006B2C01" w:rsidRPr="00BC30C6" w:rsidRDefault="006B2C01" w:rsidP="00D12C6F">
            <w:pPr>
              <w:autoSpaceDE w:val="0"/>
              <w:autoSpaceDN w:val="0"/>
              <w:adjustRightInd w:val="0"/>
              <w:rPr>
                <w:rFonts w:eastAsia="MS Mincho" w:cs="Arial"/>
                <w:lang w:eastAsia="fr-FR"/>
              </w:rPr>
            </w:pPr>
            <w:r w:rsidRPr="00BC30C6">
              <w:rPr>
                <w:rFonts w:eastAsia="MS Mincho" w:cs="Arial"/>
                <w:i/>
                <w:iCs/>
              </w:rPr>
              <w:t>Paragraphe 16</w:t>
            </w:r>
          </w:p>
        </w:tc>
        <w:tc>
          <w:tcPr>
            <w:tcW w:w="5850" w:type="dxa"/>
            <w:shd w:val="clear" w:color="auto" w:fill="auto"/>
            <w:vAlign w:val="center"/>
          </w:tcPr>
          <w:p w14:paraId="34429C36" w14:textId="77777777" w:rsidR="006B2C01" w:rsidRPr="00BC30C6" w:rsidRDefault="006B2C01" w:rsidP="00B434A6">
            <w:pPr>
              <w:spacing w:after="120"/>
              <w:rPr>
                <w:rFonts w:ascii="arial gras" w:eastAsia="MS Mincho" w:hAnsi="arial gras" w:cs="Arial" w:hint="eastAsia"/>
                <w:b/>
                <w:smallCaps/>
                <w:color w:val="000000"/>
                <w:w w:val="104"/>
                <w:sz w:val="20"/>
                <w:szCs w:val="10"/>
              </w:rPr>
            </w:pPr>
            <w:r w:rsidRPr="00BC30C6">
              <w:rPr>
                <w:rFonts w:eastAsia="MS Mincho" w:cs="Arial"/>
                <w:w w:val="104"/>
                <w:sz w:val="20"/>
                <w:szCs w:val="10"/>
              </w:rPr>
              <w:t xml:space="preserve">Les travailleurs et les employeurs, sans distinction d'aucune sorte, ont le droit sans autorisation préalable, de constituer des organisations de leur choix, ainsi que celui de s'affilier à ces organisations. </w:t>
            </w:r>
          </w:p>
          <w:p w14:paraId="7A6FA47F" w14:textId="77777777" w:rsidR="006B2C01" w:rsidRPr="00BC30C6" w:rsidRDefault="006B2C01" w:rsidP="00D12C6F">
            <w:pPr>
              <w:autoSpaceDE w:val="0"/>
              <w:autoSpaceDN w:val="0"/>
              <w:adjustRightInd w:val="0"/>
              <w:rPr>
                <w:rFonts w:eastAsia="MS Mincho" w:cs="Arial"/>
                <w:i/>
                <w:iCs/>
                <w:w w:val="104"/>
                <w:sz w:val="20"/>
                <w:szCs w:val="10"/>
              </w:rPr>
            </w:pPr>
            <w:r w:rsidRPr="00BC30C6">
              <w:rPr>
                <w:rFonts w:eastAsia="MS Mincho" w:cs="Arial"/>
                <w:i/>
                <w:iCs/>
                <w:w w:val="104"/>
                <w:sz w:val="20"/>
                <w:szCs w:val="10"/>
              </w:rPr>
              <w:t xml:space="preserve">LOI N° 2003 -044 Portant Code du Travail [Article 137] </w:t>
            </w:r>
          </w:p>
          <w:p w14:paraId="28069705" w14:textId="77777777" w:rsidR="006B2C01" w:rsidRPr="00BC30C6" w:rsidRDefault="006B2C01" w:rsidP="00B434A6">
            <w:pPr>
              <w:spacing w:after="120"/>
              <w:rPr>
                <w:rFonts w:ascii="arial gras" w:eastAsia="MS Mincho" w:hAnsi="arial gras" w:cs="Arial" w:hint="eastAsia"/>
                <w:b/>
                <w:smallCaps/>
                <w:color w:val="000000"/>
                <w:w w:val="104"/>
                <w:sz w:val="20"/>
                <w:szCs w:val="10"/>
              </w:rPr>
            </w:pPr>
            <w:r w:rsidRPr="00BC30C6">
              <w:rPr>
                <w:rFonts w:eastAsia="MS Mincho" w:cs="Arial"/>
                <w:w w:val="104"/>
                <w:sz w:val="20"/>
                <w:szCs w:val="10"/>
              </w:rPr>
              <w:t>L'adhésion à un syndicat des travailleurs et à une organisation professionnelle des employeurs est libre. Toute forme de discrimination fondée sur l'âge, le sexe, la religion, l’origine ou la nationalité est exclue.</w:t>
            </w:r>
          </w:p>
          <w:p w14:paraId="1FDC7076" w14:textId="77777777" w:rsidR="006B2C01" w:rsidRPr="00BC30C6" w:rsidRDefault="006B2C01" w:rsidP="00D12C6F">
            <w:pPr>
              <w:autoSpaceDE w:val="0"/>
              <w:autoSpaceDN w:val="0"/>
              <w:adjustRightInd w:val="0"/>
              <w:rPr>
                <w:rFonts w:eastAsia="MS Mincho" w:cs="Arial"/>
              </w:rPr>
            </w:pPr>
            <w:r w:rsidRPr="00BC30C6">
              <w:rPr>
                <w:rFonts w:eastAsia="MS Mincho" w:cs="Arial"/>
                <w:i/>
                <w:iCs/>
                <w:w w:val="104"/>
                <w:sz w:val="20"/>
                <w:szCs w:val="10"/>
              </w:rPr>
              <w:t xml:space="preserve">LOI N° 2003 -044 Portant Code du Travail [Article 144] </w:t>
            </w:r>
          </w:p>
        </w:tc>
        <w:tc>
          <w:tcPr>
            <w:tcW w:w="3594" w:type="dxa"/>
            <w:shd w:val="clear" w:color="auto" w:fill="auto"/>
            <w:vAlign w:val="center"/>
          </w:tcPr>
          <w:p w14:paraId="66D329F1" w14:textId="77777777" w:rsidR="006B2C01" w:rsidRDefault="006B2C01" w:rsidP="00D12C6F">
            <w:pPr>
              <w:rPr>
                <w:rFonts w:eastAsia="MS Mincho" w:cs="Arial"/>
              </w:rPr>
            </w:pPr>
            <w:r w:rsidRPr="007F78CE">
              <w:rPr>
                <w:rFonts w:eastAsia="MS Mincho"/>
                <w:sz w:val="20"/>
              </w:rPr>
              <w:t>Correspondance et complémentarité entre les deux cadres</w:t>
            </w:r>
          </w:p>
          <w:p w14:paraId="4DFD02E7"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de la NES et ceux du cadre réglementaire national</w:t>
            </w:r>
          </w:p>
        </w:tc>
      </w:tr>
      <w:tr w:rsidR="006B2C01" w:rsidRPr="007F78CE" w14:paraId="66298C73" w14:textId="77777777" w:rsidTr="00B434A6">
        <w:trPr>
          <w:cantSplit/>
          <w:jc w:val="center"/>
        </w:trPr>
        <w:tc>
          <w:tcPr>
            <w:tcW w:w="5215" w:type="dxa"/>
          </w:tcPr>
          <w:p w14:paraId="0C100732"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Ne pas employer les enfants n’ayant pas atteint l’âge minimum et ne pas avoir recours au travail forcé.</w:t>
            </w:r>
          </w:p>
          <w:p w14:paraId="5DF0B1D9" w14:textId="77777777" w:rsidR="006B2C01" w:rsidRPr="00BC30C6" w:rsidRDefault="006B2C01" w:rsidP="00D12C6F">
            <w:pPr>
              <w:autoSpaceDE w:val="0"/>
              <w:autoSpaceDN w:val="0"/>
              <w:adjustRightInd w:val="0"/>
              <w:rPr>
                <w:rFonts w:eastAsia="MS Mincho" w:cs="Arial"/>
                <w:lang w:eastAsia="fr-FR"/>
              </w:rPr>
            </w:pPr>
            <w:r w:rsidRPr="00BC30C6">
              <w:rPr>
                <w:rFonts w:eastAsia="MS Mincho" w:cs="Arial"/>
                <w:i/>
                <w:iCs/>
              </w:rPr>
              <w:t>Paragraphe 17-20</w:t>
            </w:r>
          </w:p>
        </w:tc>
        <w:tc>
          <w:tcPr>
            <w:tcW w:w="5850" w:type="dxa"/>
            <w:shd w:val="clear" w:color="auto" w:fill="auto"/>
            <w:vAlign w:val="center"/>
          </w:tcPr>
          <w:p w14:paraId="75E3C3DF" w14:textId="77777777" w:rsidR="006B2C01" w:rsidRPr="00BC30C6" w:rsidRDefault="006B2C01" w:rsidP="00D12C6F">
            <w:pPr>
              <w:autoSpaceDE w:val="0"/>
              <w:autoSpaceDN w:val="0"/>
              <w:adjustRightInd w:val="0"/>
              <w:rPr>
                <w:rFonts w:eastAsia="MS Mincho" w:cs="Arial"/>
                <w:w w:val="104"/>
                <w:sz w:val="20"/>
                <w:szCs w:val="10"/>
                <w:u w:val="single"/>
              </w:rPr>
            </w:pPr>
            <w:r w:rsidRPr="00BC30C6">
              <w:rPr>
                <w:rFonts w:eastAsia="MS Mincho" w:cs="Arial"/>
                <w:w w:val="104"/>
                <w:sz w:val="20"/>
                <w:szCs w:val="10"/>
                <w:u w:val="single"/>
              </w:rPr>
              <w:t xml:space="preserve">Travail des enfants : </w:t>
            </w:r>
          </w:p>
          <w:p w14:paraId="3DDE2D62" w14:textId="77777777" w:rsidR="006B2C01" w:rsidRPr="00BC30C6" w:rsidRDefault="006B2C01" w:rsidP="00B434A6">
            <w:pPr>
              <w:spacing w:after="120"/>
              <w:rPr>
                <w:rFonts w:ascii="arial gras" w:eastAsia="MS Mincho" w:hAnsi="arial gras" w:cs="Arial" w:hint="eastAsia"/>
                <w:b/>
                <w:smallCaps/>
                <w:color w:val="000000"/>
                <w:w w:val="104"/>
                <w:sz w:val="20"/>
                <w:szCs w:val="10"/>
              </w:rPr>
            </w:pPr>
            <w:r w:rsidRPr="00BC30C6">
              <w:rPr>
                <w:rFonts w:eastAsia="MS Mincho" w:cs="Arial"/>
                <w:w w:val="104"/>
                <w:sz w:val="20"/>
                <w:szCs w:val="10"/>
              </w:rPr>
              <w:t>L’âge minimum légal d’accès à l’emploi est de quinze (15) ans sur toute l’étendue du territoire de Madagascar. Cet âge minimum ne doit pas être inférieur à l’âge auquel cesse la scolarité obligatoire.</w:t>
            </w:r>
          </w:p>
          <w:p w14:paraId="0F7FEDAF" w14:textId="77777777" w:rsidR="006B2C01" w:rsidRPr="00BC30C6" w:rsidRDefault="006B2C01" w:rsidP="00D12C6F">
            <w:pPr>
              <w:autoSpaceDE w:val="0"/>
              <w:autoSpaceDN w:val="0"/>
              <w:adjustRightInd w:val="0"/>
              <w:rPr>
                <w:rFonts w:eastAsia="MS Mincho" w:cs="Arial"/>
                <w:i/>
                <w:iCs/>
                <w:w w:val="104"/>
                <w:sz w:val="20"/>
                <w:szCs w:val="10"/>
              </w:rPr>
            </w:pPr>
            <w:r w:rsidRPr="00BC30C6">
              <w:rPr>
                <w:rFonts w:eastAsia="MS Mincho" w:cs="Arial"/>
                <w:i/>
                <w:iCs/>
                <w:w w:val="104"/>
                <w:sz w:val="20"/>
                <w:szCs w:val="10"/>
              </w:rPr>
              <w:t xml:space="preserve">LOI N° 2003 -044 Portant Code du Travail [Article 100] </w:t>
            </w:r>
          </w:p>
          <w:p w14:paraId="39CE0753" w14:textId="77777777" w:rsidR="006B2C01" w:rsidRPr="00BC30C6" w:rsidRDefault="006B2C01" w:rsidP="00B434A6">
            <w:pPr>
              <w:autoSpaceDE w:val="0"/>
              <w:autoSpaceDN w:val="0"/>
              <w:adjustRightInd w:val="0"/>
              <w:spacing w:after="120"/>
              <w:rPr>
                <w:rFonts w:ascii="arial gras" w:eastAsia="MS Mincho" w:hAnsi="arial gras" w:cs="Arial" w:hint="eastAsia"/>
                <w:b/>
                <w:smallCaps/>
                <w:color w:val="000000"/>
                <w:w w:val="104"/>
                <w:sz w:val="20"/>
                <w:szCs w:val="10"/>
                <w:u w:val="single"/>
              </w:rPr>
            </w:pPr>
            <w:r w:rsidRPr="00BC30C6">
              <w:rPr>
                <w:rFonts w:eastAsia="MS Mincho" w:cs="Arial"/>
                <w:w w:val="104"/>
                <w:sz w:val="20"/>
                <w:szCs w:val="10"/>
                <w:u w:val="single"/>
              </w:rPr>
              <w:t>Travail forcé</w:t>
            </w:r>
          </w:p>
          <w:p w14:paraId="2FFBD032" w14:textId="77777777" w:rsidR="006B2C01" w:rsidRPr="00BC30C6" w:rsidRDefault="006B2C01" w:rsidP="00B434A6">
            <w:pPr>
              <w:spacing w:after="120"/>
              <w:rPr>
                <w:rFonts w:ascii="arial gras" w:eastAsia="MS Mincho" w:hAnsi="arial gras" w:cs="Arial" w:hint="eastAsia"/>
                <w:b/>
                <w:smallCaps/>
                <w:color w:val="000000"/>
                <w:w w:val="104"/>
                <w:sz w:val="20"/>
                <w:szCs w:val="10"/>
              </w:rPr>
            </w:pPr>
            <w:r w:rsidRPr="00BC30C6">
              <w:rPr>
                <w:rFonts w:eastAsia="MS Mincho" w:cs="Arial"/>
                <w:w w:val="104"/>
                <w:sz w:val="20"/>
                <w:szCs w:val="10"/>
              </w:rPr>
              <w:t>Le travail forcé ou obligatoire est interdit. Le terme "travail forcé ou obligatoire" désigne tout travail ou service exigé d'un individu sous la menace d'une peine quelconque pour lequel ledit individu ne s'est pas offert de plein gré.</w:t>
            </w:r>
          </w:p>
          <w:p w14:paraId="6A6EEE38" w14:textId="77777777" w:rsidR="006B2C01" w:rsidRPr="00BC30C6" w:rsidRDefault="006B2C01" w:rsidP="00D12C6F">
            <w:pPr>
              <w:autoSpaceDE w:val="0"/>
              <w:autoSpaceDN w:val="0"/>
              <w:adjustRightInd w:val="0"/>
              <w:rPr>
                <w:rFonts w:eastAsia="MS Mincho" w:cs="Arial"/>
              </w:rPr>
            </w:pPr>
            <w:r w:rsidRPr="00BC30C6">
              <w:rPr>
                <w:rFonts w:eastAsia="MS Mincho" w:cs="Arial"/>
                <w:i/>
                <w:iCs/>
                <w:w w:val="104"/>
                <w:sz w:val="20"/>
                <w:szCs w:val="10"/>
              </w:rPr>
              <w:t xml:space="preserve">LOI N° 2003 -044 Portant Code du Travail [Article 4] </w:t>
            </w:r>
          </w:p>
        </w:tc>
        <w:tc>
          <w:tcPr>
            <w:tcW w:w="3594" w:type="dxa"/>
            <w:shd w:val="clear" w:color="auto" w:fill="auto"/>
            <w:vAlign w:val="center"/>
          </w:tcPr>
          <w:p w14:paraId="3CB5D54D" w14:textId="77777777" w:rsidR="006B2C01" w:rsidRDefault="006B2C01" w:rsidP="00D12C6F">
            <w:pPr>
              <w:rPr>
                <w:rFonts w:eastAsia="MS Mincho" w:cs="Arial"/>
              </w:rPr>
            </w:pPr>
            <w:r w:rsidRPr="007F78CE">
              <w:rPr>
                <w:rFonts w:eastAsia="MS Mincho"/>
                <w:sz w:val="20"/>
              </w:rPr>
              <w:t>Correspondance et complémentarité entre les deux cadres</w:t>
            </w:r>
          </w:p>
          <w:p w14:paraId="26C4C796"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de la NES et ceux du cadre réglementaire national</w:t>
            </w:r>
          </w:p>
        </w:tc>
      </w:tr>
      <w:tr w:rsidR="006B2C01" w:rsidRPr="007F78CE" w14:paraId="00C27BD5" w14:textId="77777777" w:rsidTr="00B434A6">
        <w:trPr>
          <w:cantSplit/>
          <w:jc w:val="center"/>
        </w:trPr>
        <w:tc>
          <w:tcPr>
            <w:tcW w:w="5215" w:type="dxa"/>
          </w:tcPr>
          <w:p w14:paraId="62FDF224"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Mettre à disposition de tous les travailleurs un mécanisme de gestion des plaintes.</w:t>
            </w:r>
            <w:r>
              <w:rPr>
                <w:rFonts w:ascii="Calibri" w:eastAsia="MS Mincho" w:hAnsi="Calibri" w:cs="Arial"/>
              </w:rPr>
              <w:t xml:space="preserve"> </w:t>
            </w:r>
            <w:r w:rsidRPr="00BC30C6">
              <w:rPr>
                <w:rFonts w:ascii="Calibri" w:eastAsia="MS Mincho" w:hAnsi="Calibri" w:cs="Arial"/>
              </w:rPr>
              <w:t>Ce mécanisme est distinct de celui requis par la NES10 et n’est pas applicable aux travailleurs communautaires)</w:t>
            </w:r>
          </w:p>
          <w:p w14:paraId="433F2B2A" w14:textId="77777777" w:rsidR="006B2C01" w:rsidRPr="00BC30C6" w:rsidRDefault="006B2C01" w:rsidP="00D12C6F">
            <w:pPr>
              <w:autoSpaceDE w:val="0"/>
              <w:autoSpaceDN w:val="0"/>
              <w:adjustRightInd w:val="0"/>
              <w:rPr>
                <w:rFonts w:eastAsia="MS Mincho" w:cs="Arial"/>
                <w:lang w:eastAsia="fr-FR"/>
              </w:rPr>
            </w:pPr>
            <w:r w:rsidRPr="00BC30C6">
              <w:rPr>
                <w:rFonts w:eastAsia="MS Mincho" w:cs="Arial"/>
                <w:i/>
                <w:iCs/>
              </w:rPr>
              <w:t>Paragraphes 21-23, 33, 36</w:t>
            </w:r>
          </w:p>
        </w:tc>
        <w:tc>
          <w:tcPr>
            <w:tcW w:w="5850" w:type="dxa"/>
            <w:shd w:val="clear" w:color="auto" w:fill="auto"/>
            <w:vAlign w:val="center"/>
          </w:tcPr>
          <w:p w14:paraId="6967CD29" w14:textId="77777777" w:rsidR="006B2C01" w:rsidRPr="00BC30C6" w:rsidRDefault="006B2C01" w:rsidP="00B434A6">
            <w:pPr>
              <w:autoSpaceDE w:val="0"/>
              <w:autoSpaceDN w:val="0"/>
              <w:adjustRightInd w:val="0"/>
              <w:spacing w:after="120"/>
              <w:rPr>
                <w:rFonts w:ascii="arial gras" w:eastAsia="MS Mincho" w:hAnsi="arial gras" w:cs="Arial" w:hint="eastAsia"/>
                <w:b/>
                <w:smallCaps/>
                <w:color w:val="000000"/>
                <w:w w:val="104"/>
                <w:sz w:val="20"/>
                <w:szCs w:val="10"/>
              </w:rPr>
            </w:pPr>
            <w:r w:rsidRPr="00BC30C6">
              <w:rPr>
                <w:rFonts w:eastAsia="MS Mincho" w:cs="Arial"/>
                <w:w w:val="104"/>
                <w:sz w:val="20"/>
                <w:szCs w:val="10"/>
              </w:rPr>
              <w:t>Le différend de travail est régi la loi. Il existe deux catégories de différend lié à l’emploi : différend collectif et différend individuel.</w:t>
            </w:r>
          </w:p>
          <w:p w14:paraId="4E36951B" w14:textId="77777777" w:rsidR="006B2C01" w:rsidRPr="00BC30C6" w:rsidRDefault="006B2C01" w:rsidP="00B434A6">
            <w:pPr>
              <w:autoSpaceDE w:val="0"/>
              <w:autoSpaceDN w:val="0"/>
              <w:adjustRightInd w:val="0"/>
              <w:spacing w:after="120"/>
              <w:rPr>
                <w:rFonts w:ascii="arial gras" w:eastAsia="MS Mincho" w:hAnsi="arial gras" w:cs="Arial" w:hint="eastAsia"/>
                <w:b/>
                <w:smallCaps/>
                <w:color w:val="000000"/>
                <w:w w:val="104"/>
                <w:sz w:val="20"/>
                <w:szCs w:val="10"/>
              </w:rPr>
            </w:pPr>
            <w:r w:rsidRPr="00BC30C6">
              <w:rPr>
                <w:rFonts w:eastAsia="MS Mincho" w:cs="Arial"/>
                <w:w w:val="104"/>
                <w:sz w:val="20"/>
                <w:szCs w:val="10"/>
              </w:rPr>
              <w:t xml:space="preserve">Le code de travail énumère les dispositions et les procédures à prendre pour chacune des catégories de différend. </w:t>
            </w:r>
          </w:p>
          <w:p w14:paraId="1F030646" w14:textId="77777777" w:rsidR="006B2C01" w:rsidRPr="00BC30C6" w:rsidRDefault="006B2C01" w:rsidP="00D12C6F">
            <w:pPr>
              <w:autoSpaceDE w:val="0"/>
              <w:autoSpaceDN w:val="0"/>
              <w:adjustRightInd w:val="0"/>
              <w:rPr>
                <w:rFonts w:eastAsia="MS Mincho" w:cs="Arial"/>
              </w:rPr>
            </w:pPr>
            <w:r w:rsidRPr="00BC30C6">
              <w:rPr>
                <w:rFonts w:eastAsia="MS Mincho" w:cs="Arial"/>
                <w:i/>
                <w:iCs/>
                <w:w w:val="104"/>
                <w:sz w:val="20"/>
                <w:szCs w:val="10"/>
              </w:rPr>
              <w:t xml:space="preserve">LOI N° 2003 -044 Portant Code du Travail [Articles 199 à 233] </w:t>
            </w:r>
          </w:p>
        </w:tc>
        <w:tc>
          <w:tcPr>
            <w:tcW w:w="3594" w:type="dxa"/>
            <w:shd w:val="clear" w:color="auto" w:fill="auto"/>
            <w:vAlign w:val="center"/>
          </w:tcPr>
          <w:p w14:paraId="5214809F" w14:textId="77777777" w:rsidR="006B2C01" w:rsidRDefault="006B2C01" w:rsidP="00D12C6F">
            <w:pPr>
              <w:rPr>
                <w:rFonts w:eastAsia="MS Mincho" w:cs="Arial"/>
              </w:rPr>
            </w:pPr>
            <w:r w:rsidRPr="007F78CE">
              <w:rPr>
                <w:rFonts w:eastAsia="MS Mincho"/>
                <w:sz w:val="20"/>
              </w:rPr>
              <w:t>Correspondance et complémentarité entre les deux cadres</w:t>
            </w:r>
          </w:p>
          <w:p w14:paraId="779741C1" w14:textId="77777777" w:rsidR="006B2C01" w:rsidRPr="00BC30C6" w:rsidRDefault="006B2C01" w:rsidP="00B434A6">
            <w:pPr>
              <w:autoSpaceDE w:val="0"/>
              <w:autoSpaceDN w:val="0"/>
              <w:adjustRightInd w:val="0"/>
              <w:spacing w:after="120"/>
              <w:rPr>
                <w:rFonts w:ascii="arial gras" w:eastAsia="MS Mincho" w:hAnsi="arial gras" w:cs="Arial" w:hint="eastAsia"/>
                <w:b/>
                <w:smallCaps/>
                <w:color w:val="000000"/>
              </w:rPr>
            </w:pPr>
            <w:r w:rsidRPr="007F78CE">
              <w:rPr>
                <w:rFonts w:eastAsia="MS Mincho"/>
                <w:sz w:val="20"/>
                <w:u w:val="single"/>
              </w:rPr>
              <w:t>Conclusion</w:t>
            </w:r>
            <w:r w:rsidRPr="007F78CE">
              <w:rPr>
                <w:rFonts w:eastAsia="MS Mincho"/>
                <w:sz w:val="20"/>
              </w:rPr>
              <w:t> : Application des dispositions de la NES et ceux du cadre réglementaire national</w:t>
            </w:r>
          </w:p>
        </w:tc>
      </w:tr>
      <w:tr w:rsidR="006B2C01" w:rsidRPr="007F78CE" w14:paraId="2C3BBB65" w14:textId="77777777" w:rsidTr="00B434A6">
        <w:trPr>
          <w:cantSplit/>
          <w:jc w:val="center"/>
        </w:trPr>
        <w:tc>
          <w:tcPr>
            <w:tcW w:w="5215" w:type="dxa"/>
          </w:tcPr>
          <w:p w14:paraId="40155174"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Appliquer les mesures relatives à la santé et la sécurité au travail en tenant compte des DESS</w:t>
            </w:r>
          </w:p>
          <w:p w14:paraId="0CE29607" w14:textId="77777777" w:rsidR="006B2C01" w:rsidRPr="00BC30C6" w:rsidRDefault="006B2C01" w:rsidP="00D12C6F">
            <w:pPr>
              <w:autoSpaceDE w:val="0"/>
              <w:autoSpaceDN w:val="0"/>
              <w:adjustRightInd w:val="0"/>
              <w:rPr>
                <w:rFonts w:eastAsia="MS Mincho" w:cs="Arial"/>
                <w:lang w:eastAsia="fr-FR"/>
              </w:rPr>
            </w:pPr>
            <w:r w:rsidRPr="00BC30C6">
              <w:rPr>
                <w:rFonts w:eastAsia="MS Mincho" w:cs="Arial"/>
                <w:i/>
                <w:iCs/>
              </w:rPr>
              <w:t>Paragraphes 24-30</w:t>
            </w:r>
          </w:p>
        </w:tc>
        <w:tc>
          <w:tcPr>
            <w:tcW w:w="5850" w:type="dxa"/>
            <w:shd w:val="clear" w:color="auto" w:fill="auto"/>
            <w:vAlign w:val="center"/>
          </w:tcPr>
          <w:p w14:paraId="6BA24309" w14:textId="77777777" w:rsidR="006B2C01" w:rsidRPr="00BC30C6" w:rsidRDefault="006B2C01" w:rsidP="00B434A6">
            <w:pPr>
              <w:autoSpaceDE w:val="0"/>
              <w:autoSpaceDN w:val="0"/>
              <w:adjustRightInd w:val="0"/>
              <w:spacing w:after="120"/>
              <w:rPr>
                <w:rFonts w:ascii="arial gras" w:eastAsia="MS Mincho" w:hAnsi="arial gras" w:cs="Arial" w:hint="eastAsia"/>
                <w:b/>
                <w:smallCaps/>
                <w:color w:val="000000"/>
                <w:w w:val="104"/>
                <w:sz w:val="20"/>
                <w:szCs w:val="10"/>
              </w:rPr>
            </w:pPr>
            <w:r w:rsidRPr="00BC30C6">
              <w:rPr>
                <w:rFonts w:eastAsia="MS Mincho" w:cs="Arial"/>
                <w:w w:val="104"/>
                <w:sz w:val="20"/>
                <w:szCs w:val="10"/>
              </w:rPr>
              <w:t xml:space="preserve">Le Code de travail </w:t>
            </w:r>
            <w:r>
              <w:rPr>
                <w:rFonts w:eastAsia="MS Mincho" w:cs="Arial"/>
                <w:w w:val="104"/>
                <w:sz w:val="20"/>
                <w:szCs w:val="10"/>
              </w:rPr>
              <w:t>précis</w:t>
            </w:r>
            <w:r w:rsidRPr="00BC30C6">
              <w:rPr>
                <w:rFonts w:eastAsia="MS Mincho" w:cs="Arial"/>
                <w:w w:val="104"/>
                <w:sz w:val="20"/>
                <w:szCs w:val="10"/>
              </w:rPr>
              <w:t>e les dispositions générales et spécifiques relatives aux conditions d’hygiène, de sécurité, et d’environnement de travail</w:t>
            </w:r>
          </w:p>
          <w:p w14:paraId="4AF2AED3" w14:textId="77777777" w:rsidR="006B2C01" w:rsidRPr="00BC30C6" w:rsidRDefault="006B2C01" w:rsidP="00D12C6F">
            <w:pPr>
              <w:autoSpaceDE w:val="0"/>
              <w:autoSpaceDN w:val="0"/>
              <w:adjustRightInd w:val="0"/>
              <w:rPr>
                <w:rFonts w:eastAsia="MS Mincho" w:cs="Arial"/>
              </w:rPr>
            </w:pPr>
            <w:r w:rsidRPr="00BC30C6">
              <w:rPr>
                <w:rFonts w:eastAsia="MS Mincho" w:cs="Arial"/>
                <w:i/>
                <w:iCs/>
                <w:w w:val="104"/>
                <w:sz w:val="20"/>
                <w:szCs w:val="10"/>
              </w:rPr>
              <w:t xml:space="preserve">LOI N°2003 -044 Portant Code du Travail [Articles 110 à 135] </w:t>
            </w:r>
          </w:p>
        </w:tc>
        <w:tc>
          <w:tcPr>
            <w:tcW w:w="3594" w:type="dxa"/>
            <w:shd w:val="clear" w:color="auto" w:fill="auto"/>
            <w:vAlign w:val="center"/>
          </w:tcPr>
          <w:p w14:paraId="5B29A68C" w14:textId="77777777" w:rsidR="006B2C01" w:rsidRDefault="006B2C01" w:rsidP="00B434A6">
            <w:pPr>
              <w:autoSpaceDE w:val="0"/>
              <w:autoSpaceDN w:val="0"/>
              <w:adjustRightInd w:val="0"/>
              <w:spacing w:after="120"/>
              <w:rPr>
                <w:rFonts w:ascii="arial gras" w:eastAsia="MS Mincho" w:hAnsi="arial gras" w:cs="Arial" w:hint="eastAsia"/>
                <w:b/>
                <w:smallCaps/>
                <w:color w:val="000000"/>
              </w:rPr>
            </w:pPr>
            <w:r w:rsidRPr="007F78CE">
              <w:rPr>
                <w:rFonts w:eastAsia="MS Mincho"/>
                <w:sz w:val="20"/>
              </w:rPr>
              <w:t>Correspondance et complémentarité entre les deux cadres</w:t>
            </w:r>
          </w:p>
          <w:p w14:paraId="67E73727" w14:textId="77777777" w:rsidR="006B2C01" w:rsidRPr="00BC30C6" w:rsidRDefault="006B2C01" w:rsidP="00B434A6">
            <w:pPr>
              <w:autoSpaceDE w:val="0"/>
              <w:autoSpaceDN w:val="0"/>
              <w:adjustRightInd w:val="0"/>
              <w:spacing w:after="120"/>
              <w:rPr>
                <w:rFonts w:ascii="arial gras" w:eastAsia="MS Mincho" w:hAnsi="arial gras" w:cs="Arial" w:hint="eastAsia"/>
                <w:b/>
                <w:smallCaps/>
                <w:color w:val="000000"/>
              </w:rPr>
            </w:pPr>
            <w:r w:rsidRPr="007F78CE">
              <w:rPr>
                <w:rFonts w:eastAsia="MS Mincho"/>
                <w:sz w:val="20"/>
                <w:u w:val="single"/>
              </w:rPr>
              <w:t>Conclusion</w:t>
            </w:r>
            <w:r w:rsidRPr="007F78CE">
              <w:rPr>
                <w:rFonts w:eastAsia="MS Mincho"/>
                <w:sz w:val="20"/>
              </w:rPr>
              <w:t> : Application des dispositions de la NES et ceux du cadre réglementaire national</w:t>
            </w:r>
          </w:p>
        </w:tc>
      </w:tr>
      <w:tr w:rsidR="006B2C01" w:rsidRPr="007F78CE" w14:paraId="440B314D" w14:textId="77777777" w:rsidTr="00B434A6">
        <w:trPr>
          <w:cantSplit/>
          <w:jc w:val="center"/>
        </w:trPr>
        <w:tc>
          <w:tcPr>
            <w:tcW w:w="5215" w:type="dxa"/>
          </w:tcPr>
          <w:p w14:paraId="0A90DE92"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Gérer les travailleurs contractuels des tiers et vérifier la fiabilité des entités contractantes</w:t>
            </w:r>
          </w:p>
          <w:p w14:paraId="72B74873" w14:textId="77777777" w:rsidR="006B2C01" w:rsidRPr="00BC30C6" w:rsidRDefault="006B2C01" w:rsidP="00D12C6F">
            <w:pPr>
              <w:autoSpaceDE w:val="0"/>
              <w:autoSpaceDN w:val="0"/>
              <w:adjustRightInd w:val="0"/>
              <w:rPr>
                <w:rFonts w:eastAsia="MS Mincho" w:cs="Arial"/>
                <w:lang w:eastAsia="fr-FR"/>
              </w:rPr>
            </w:pPr>
            <w:r w:rsidRPr="00BC30C6">
              <w:rPr>
                <w:rFonts w:eastAsia="MS Mincho" w:cs="Arial"/>
                <w:i/>
                <w:iCs/>
              </w:rPr>
              <w:t>Paragraphes 31-32</w:t>
            </w:r>
          </w:p>
        </w:tc>
        <w:tc>
          <w:tcPr>
            <w:tcW w:w="5850" w:type="dxa"/>
            <w:shd w:val="clear" w:color="auto" w:fill="auto"/>
            <w:vAlign w:val="center"/>
          </w:tcPr>
          <w:p w14:paraId="7C635391" w14:textId="77777777" w:rsidR="006B2C01" w:rsidRPr="00BC30C6" w:rsidRDefault="006B2C01" w:rsidP="00B434A6">
            <w:pPr>
              <w:autoSpaceDE w:val="0"/>
              <w:autoSpaceDN w:val="0"/>
              <w:adjustRightInd w:val="0"/>
              <w:spacing w:after="120"/>
              <w:rPr>
                <w:rFonts w:ascii="arial gras" w:eastAsia="MS Mincho" w:hAnsi="arial gras" w:cs="Arial" w:hint="eastAsia"/>
                <w:b/>
                <w:smallCaps/>
                <w:color w:val="000000"/>
                <w:w w:val="104"/>
                <w:sz w:val="20"/>
                <w:szCs w:val="10"/>
              </w:rPr>
            </w:pPr>
            <w:r w:rsidRPr="00BC30C6">
              <w:rPr>
                <w:rFonts w:eastAsia="MS Mincho" w:cs="Arial"/>
                <w:w w:val="104"/>
                <w:sz w:val="20"/>
                <w:szCs w:val="10"/>
              </w:rPr>
              <w:t>Le</w:t>
            </w:r>
            <w:r>
              <w:rPr>
                <w:rFonts w:eastAsia="MS Mincho" w:cs="Arial"/>
                <w:w w:val="104"/>
                <w:sz w:val="20"/>
                <w:szCs w:val="10"/>
              </w:rPr>
              <w:t xml:space="preserve"> </w:t>
            </w:r>
            <w:r w:rsidRPr="00BC30C6">
              <w:rPr>
                <w:rFonts w:eastAsia="MS Mincho" w:cs="Arial"/>
                <w:w w:val="104"/>
                <w:sz w:val="20"/>
                <w:szCs w:val="10"/>
              </w:rPr>
              <w:t xml:space="preserve">Code de travail reconnaît la sous-traitance, comme étant un autre type de travail. </w:t>
            </w:r>
          </w:p>
          <w:p w14:paraId="0989E22E" w14:textId="77777777" w:rsidR="006B2C01" w:rsidRPr="00BC30C6" w:rsidRDefault="006B2C01" w:rsidP="00B434A6">
            <w:pPr>
              <w:autoSpaceDE w:val="0"/>
              <w:autoSpaceDN w:val="0"/>
              <w:adjustRightInd w:val="0"/>
              <w:spacing w:after="120"/>
              <w:rPr>
                <w:rFonts w:ascii="arial gras" w:eastAsia="MS Mincho" w:hAnsi="arial gras" w:cs="Arial" w:hint="eastAsia"/>
                <w:b/>
                <w:smallCaps/>
                <w:color w:val="000000"/>
                <w:w w:val="104"/>
                <w:sz w:val="20"/>
                <w:szCs w:val="10"/>
              </w:rPr>
            </w:pPr>
            <w:r w:rsidRPr="00BC30C6">
              <w:rPr>
                <w:rFonts w:eastAsia="MS Mincho" w:cs="Arial"/>
                <w:w w:val="104"/>
                <w:sz w:val="20"/>
                <w:szCs w:val="10"/>
              </w:rPr>
              <w:t>Le sous-traitant est une personne physique ou morale qui passe avec une entreprise, un contrat écrit pour l’exécution d’un certain travail ou la fourniture de certains services moyennant un prix forfaitaire. Il recrute lui-même la main-d’œuvre nécessaire à l’exécution du travail</w:t>
            </w:r>
          </w:p>
          <w:p w14:paraId="09B6C5F9" w14:textId="77777777" w:rsidR="006B2C01" w:rsidRPr="00BC30C6" w:rsidRDefault="006B2C01" w:rsidP="00D12C6F">
            <w:pPr>
              <w:autoSpaceDE w:val="0"/>
              <w:autoSpaceDN w:val="0"/>
              <w:adjustRightInd w:val="0"/>
              <w:rPr>
                <w:rFonts w:eastAsia="MS Mincho" w:cs="Arial"/>
              </w:rPr>
            </w:pPr>
            <w:r w:rsidRPr="00BC30C6">
              <w:rPr>
                <w:rFonts w:eastAsia="MS Mincho" w:cs="Arial"/>
                <w:i/>
                <w:iCs/>
                <w:w w:val="104"/>
                <w:sz w:val="20"/>
                <w:szCs w:val="10"/>
              </w:rPr>
              <w:t xml:space="preserve">LOI N°2003 -044 Portant Code du Travail [Articles 50 à 51] </w:t>
            </w:r>
          </w:p>
        </w:tc>
        <w:tc>
          <w:tcPr>
            <w:tcW w:w="3594" w:type="dxa"/>
            <w:shd w:val="clear" w:color="auto" w:fill="auto"/>
            <w:vAlign w:val="center"/>
          </w:tcPr>
          <w:p w14:paraId="43D58AF8" w14:textId="77777777" w:rsidR="006B2C01" w:rsidRPr="007F78CE" w:rsidRDefault="006B2C01" w:rsidP="00B434A6">
            <w:pPr>
              <w:autoSpaceDE w:val="0"/>
              <w:autoSpaceDN w:val="0"/>
              <w:adjustRightInd w:val="0"/>
              <w:spacing w:after="120"/>
              <w:rPr>
                <w:rFonts w:ascii="arial gras" w:eastAsia="MS Mincho" w:hAnsi="arial gras" w:hint="eastAsia"/>
                <w:b/>
                <w:smallCaps/>
                <w:color w:val="000000"/>
                <w:sz w:val="20"/>
              </w:rPr>
            </w:pPr>
            <w:r w:rsidRPr="007F78CE">
              <w:rPr>
                <w:rFonts w:eastAsia="MS Mincho"/>
                <w:sz w:val="20"/>
              </w:rPr>
              <w:t>Les deux cadres ne se concordant pas vraiment. Les travailleurs contractuels tels que c’est défini par les NES n’ont pas de correspondance dans le cadre national. Le code de travail énonce seulement les responsabilités de l’employeur vis-à-vis d’un tiers sous-traitant par rapport aux obligations de ce dernier par rapport à ces propres travailleurs, et non sur les autres procédures liées à l’emploi et au travail.</w:t>
            </w:r>
          </w:p>
          <w:p w14:paraId="724117B2" w14:textId="77777777" w:rsidR="006B2C01" w:rsidRPr="007F78CE" w:rsidRDefault="006B2C01" w:rsidP="00B434A6">
            <w:pPr>
              <w:autoSpaceDE w:val="0"/>
              <w:autoSpaceDN w:val="0"/>
              <w:adjustRightInd w:val="0"/>
              <w:spacing w:after="120"/>
              <w:rPr>
                <w:rFonts w:ascii="arial gras" w:eastAsia="MS Mincho" w:hAnsi="arial gras" w:hint="eastAsia"/>
                <w:b/>
                <w:smallCaps/>
                <w:color w:val="000000"/>
                <w:sz w:val="20"/>
              </w:rPr>
            </w:pPr>
            <w:r w:rsidRPr="007F78CE">
              <w:rPr>
                <w:rFonts w:eastAsia="MS Mincho"/>
                <w:sz w:val="20"/>
              </w:rPr>
              <w:t>Le cadre national rejette la responsabilité en cas d’insolvabilité à l’entrepreneur qui a contracté avec le sous-traitant.</w:t>
            </w:r>
          </w:p>
          <w:p w14:paraId="4636EC11" w14:textId="77777777" w:rsidR="006B2C01" w:rsidRPr="007F78CE" w:rsidRDefault="006B2C01" w:rsidP="00D12C6F">
            <w:pPr>
              <w:rPr>
                <w:rFonts w:eastAsia="MS Mincho"/>
                <w:sz w:val="20"/>
              </w:rPr>
            </w:pPr>
            <w:r w:rsidRPr="007F78CE">
              <w:rPr>
                <w:rFonts w:eastAsia="MS Mincho"/>
                <w:sz w:val="20"/>
                <w:u w:val="single"/>
              </w:rPr>
              <w:t>Conclusion</w:t>
            </w:r>
            <w:r w:rsidRPr="007F78CE">
              <w:rPr>
                <w:rFonts w:eastAsia="MS Mincho"/>
                <w:sz w:val="20"/>
              </w:rPr>
              <w:t xml:space="preserve"> : Application des dispositions de la NES </w:t>
            </w:r>
          </w:p>
        </w:tc>
      </w:tr>
      <w:tr w:rsidR="006B2C01" w:rsidRPr="007F78CE" w14:paraId="50760A59" w14:textId="77777777" w:rsidTr="00B434A6">
        <w:trPr>
          <w:cantSplit/>
          <w:jc w:val="center"/>
        </w:trPr>
        <w:tc>
          <w:tcPr>
            <w:tcW w:w="5215" w:type="dxa"/>
          </w:tcPr>
          <w:p w14:paraId="7C6F2ABD"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Appliquera les dispositions pertinentes de la présente NES d’une manière proportionnée aux activités spécifiques auxquelles contribuent les travailleurs communautaires, et la nature des risques et effets potentiels</w:t>
            </w:r>
          </w:p>
          <w:p w14:paraId="4FC797B6" w14:textId="77777777" w:rsidR="006B2C01" w:rsidRPr="00BC30C6" w:rsidRDefault="006B2C01" w:rsidP="00D12C6F">
            <w:pPr>
              <w:autoSpaceDE w:val="0"/>
              <w:autoSpaceDN w:val="0"/>
              <w:adjustRightInd w:val="0"/>
              <w:rPr>
                <w:rFonts w:eastAsia="MS Mincho" w:cs="Arial"/>
                <w:lang w:eastAsia="fr-FR"/>
              </w:rPr>
            </w:pPr>
            <w:r w:rsidRPr="00BC30C6">
              <w:rPr>
                <w:rFonts w:eastAsia="MS Mincho" w:cs="Arial"/>
                <w:i/>
                <w:iCs/>
              </w:rPr>
              <w:t>Paragraphes 34 à 38</w:t>
            </w:r>
          </w:p>
        </w:tc>
        <w:tc>
          <w:tcPr>
            <w:tcW w:w="5850" w:type="dxa"/>
            <w:shd w:val="clear" w:color="auto" w:fill="auto"/>
            <w:vAlign w:val="center"/>
          </w:tcPr>
          <w:p w14:paraId="3713EF1E" w14:textId="77777777" w:rsidR="006B2C01" w:rsidRPr="00BC30C6" w:rsidRDefault="006B2C01" w:rsidP="00D12C6F">
            <w:pPr>
              <w:autoSpaceDE w:val="0"/>
              <w:autoSpaceDN w:val="0"/>
              <w:adjustRightInd w:val="0"/>
              <w:rPr>
                <w:rFonts w:eastAsia="MS Mincho" w:cs="Arial"/>
              </w:rPr>
            </w:pPr>
            <w:r>
              <w:rPr>
                <w:rFonts w:eastAsia="MS Mincho" w:cs="Arial"/>
                <w:w w:val="104"/>
                <w:sz w:val="20"/>
                <w:szCs w:val="10"/>
              </w:rPr>
              <w:t>Le cadre réglementaire national ne fait pas mention des</w:t>
            </w:r>
            <w:r w:rsidRPr="003F6F31">
              <w:rPr>
                <w:rFonts w:eastAsia="MS Mincho" w:cs="Arial"/>
                <w:w w:val="104"/>
                <w:sz w:val="20"/>
                <w:szCs w:val="10"/>
              </w:rPr>
              <w:t xml:space="preserve"> travailleurs communautaires</w:t>
            </w:r>
          </w:p>
        </w:tc>
        <w:tc>
          <w:tcPr>
            <w:tcW w:w="3594" w:type="dxa"/>
            <w:shd w:val="clear" w:color="auto" w:fill="auto"/>
            <w:vAlign w:val="center"/>
          </w:tcPr>
          <w:p w14:paraId="12C92F1D" w14:textId="77777777" w:rsidR="006B2C01" w:rsidRPr="007F78CE" w:rsidRDefault="006B2C01" w:rsidP="00B434A6">
            <w:pPr>
              <w:autoSpaceDE w:val="0"/>
              <w:autoSpaceDN w:val="0"/>
              <w:adjustRightInd w:val="0"/>
              <w:spacing w:after="120"/>
              <w:rPr>
                <w:rFonts w:ascii="arial gras" w:eastAsia="MS Mincho" w:hAnsi="arial gras" w:hint="eastAsia"/>
                <w:b/>
                <w:smallCaps/>
                <w:color w:val="000000"/>
                <w:sz w:val="20"/>
              </w:rPr>
            </w:pPr>
            <w:r w:rsidRPr="007F78CE">
              <w:rPr>
                <w:rFonts w:eastAsia="MS Mincho"/>
                <w:sz w:val="20"/>
              </w:rPr>
              <w:t xml:space="preserve">En l’absence de cadre national régissant les travailleurs communautaires, le Projet se conformera aux dispositions des NES. </w:t>
            </w:r>
          </w:p>
          <w:p w14:paraId="4B211D83" w14:textId="77777777" w:rsidR="006B2C01" w:rsidRPr="007F78CE" w:rsidRDefault="006B2C01" w:rsidP="00B434A6">
            <w:pPr>
              <w:autoSpaceDE w:val="0"/>
              <w:autoSpaceDN w:val="0"/>
              <w:adjustRightInd w:val="0"/>
              <w:spacing w:after="120"/>
              <w:rPr>
                <w:rFonts w:ascii="arial gras" w:eastAsia="MS Mincho" w:hAnsi="arial gras" w:hint="eastAsia"/>
                <w:b/>
                <w:smallCaps/>
                <w:color w:val="000000"/>
                <w:sz w:val="20"/>
              </w:rPr>
            </w:pPr>
            <w:r w:rsidRPr="007F78CE">
              <w:rPr>
                <w:rFonts w:eastAsia="MS Mincho"/>
                <w:sz w:val="20"/>
                <w:u w:val="single"/>
              </w:rPr>
              <w:t>Conclusion</w:t>
            </w:r>
            <w:r w:rsidRPr="007F78CE">
              <w:rPr>
                <w:rFonts w:eastAsia="MS Mincho"/>
                <w:sz w:val="20"/>
              </w:rPr>
              <w:t> : Application des dispositions de la NES</w:t>
            </w:r>
          </w:p>
        </w:tc>
      </w:tr>
      <w:tr w:rsidR="006B2C01" w:rsidRPr="007F78CE" w14:paraId="5B85E301" w14:textId="77777777" w:rsidTr="00B434A6">
        <w:trPr>
          <w:cantSplit/>
          <w:jc w:val="center"/>
        </w:trPr>
        <w:tc>
          <w:tcPr>
            <w:tcW w:w="5215" w:type="dxa"/>
          </w:tcPr>
          <w:p w14:paraId="5B77D76A" w14:textId="77777777" w:rsidR="006B2C01" w:rsidRPr="00BC30C6" w:rsidRDefault="006B2C01" w:rsidP="00D12C6F">
            <w:pPr>
              <w:pStyle w:val="Tabletext"/>
              <w:rPr>
                <w:rFonts w:ascii="Calibri" w:eastAsia="MS Mincho" w:hAnsi="Calibri" w:cs="Arial"/>
              </w:rPr>
            </w:pPr>
            <w:bookmarkStart w:id="1702" w:name="_Hlk60065349"/>
            <w:r w:rsidRPr="00BC30C6">
              <w:rPr>
                <w:rFonts w:ascii="Calibri" w:eastAsia="MS Mincho" w:hAnsi="Calibri" w:cs="Arial"/>
              </w:rPr>
              <w:t>Gérer les risques associés aux fournisseurs principaux</w:t>
            </w:r>
          </w:p>
          <w:p w14:paraId="1F8FEA9B" w14:textId="77777777" w:rsidR="006B2C01" w:rsidRPr="00BC30C6" w:rsidRDefault="006B2C01" w:rsidP="00D12C6F">
            <w:pPr>
              <w:autoSpaceDE w:val="0"/>
              <w:autoSpaceDN w:val="0"/>
              <w:adjustRightInd w:val="0"/>
              <w:rPr>
                <w:rFonts w:eastAsia="MS Mincho" w:cs="Arial"/>
                <w:lang w:eastAsia="fr-FR"/>
              </w:rPr>
            </w:pPr>
            <w:r w:rsidRPr="00BC30C6">
              <w:rPr>
                <w:rFonts w:eastAsia="MS Mincho" w:cs="Arial"/>
                <w:i/>
                <w:iCs/>
              </w:rPr>
              <w:t>Paragraphe 39</w:t>
            </w:r>
          </w:p>
        </w:tc>
        <w:tc>
          <w:tcPr>
            <w:tcW w:w="5850" w:type="dxa"/>
            <w:shd w:val="clear" w:color="auto" w:fill="auto"/>
            <w:vAlign w:val="center"/>
          </w:tcPr>
          <w:p w14:paraId="6F2801C4" w14:textId="77777777" w:rsidR="006B2C01" w:rsidRPr="00BC30C6" w:rsidRDefault="006B2C01" w:rsidP="00D12C6F">
            <w:pPr>
              <w:autoSpaceDE w:val="0"/>
              <w:autoSpaceDN w:val="0"/>
              <w:adjustRightInd w:val="0"/>
              <w:rPr>
                <w:rFonts w:eastAsia="MS Mincho" w:cs="Arial"/>
              </w:rPr>
            </w:pPr>
            <w:r>
              <w:rPr>
                <w:rFonts w:eastAsia="MS Mincho" w:cs="Arial"/>
                <w:w w:val="104"/>
                <w:sz w:val="20"/>
                <w:szCs w:val="10"/>
              </w:rPr>
              <w:t xml:space="preserve">Le Code de travail ne fait pas mention des fournisseurs principaux tels que c’est défini par les NES. </w:t>
            </w:r>
          </w:p>
        </w:tc>
        <w:tc>
          <w:tcPr>
            <w:tcW w:w="3594" w:type="dxa"/>
            <w:shd w:val="clear" w:color="auto" w:fill="auto"/>
            <w:vAlign w:val="center"/>
          </w:tcPr>
          <w:p w14:paraId="6CD8A4A7" w14:textId="77777777" w:rsidR="006B2C01" w:rsidRPr="007F78CE" w:rsidRDefault="006B2C01" w:rsidP="00B434A6">
            <w:pPr>
              <w:autoSpaceDE w:val="0"/>
              <w:autoSpaceDN w:val="0"/>
              <w:adjustRightInd w:val="0"/>
              <w:spacing w:after="120"/>
              <w:rPr>
                <w:rFonts w:ascii="arial gras" w:eastAsia="MS Mincho" w:hAnsi="arial gras" w:hint="eastAsia"/>
                <w:b/>
                <w:smallCaps/>
                <w:color w:val="000000"/>
                <w:sz w:val="20"/>
              </w:rPr>
            </w:pPr>
            <w:r w:rsidRPr="007F78CE">
              <w:rPr>
                <w:rFonts w:eastAsia="MS Mincho"/>
                <w:sz w:val="20"/>
              </w:rPr>
              <w:t xml:space="preserve">En l’absence de cadre national régissant les fournisseurs principaux, le Projet se conformera aux dispositions des NES. </w:t>
            </w:r>
          </w:p>
          <w:p w14:paraId="4E317C99" w14:textId="77777777" w:rsidR="006B2C01" w:rsidRPr="00BC30C6" w:rsidRDefault="006B2C01" w:rsidP="00B434A6">
            <w:pPr>
              <w:autoSpaceDE w:val="0"/>
              <w:autoSpaceDN w:val="0"/>
              <w:adjustRightInd w:val="0"/>
              <w:spacing w:after="120"/>
              <w:rPr>
                <w:rFonts w:ascii="arial gras" w:eastAsia="MS Mincho" w:hAnsi="arial gras" w:cs="Arial" w:hint="eastAsia"/>
                <w:b/>
                <w:smallCaps/>
                <w:color w:val="000000"/>
              </w:rPr>
            </w:pPr>
            <w:r w:rsidRPr="007F78CE">
              <w:rPr>
                <w:rFonts w:eastAsia="MS Mincho"/>
                <w:sz w:val="20"/>
                <w:u w:val="single"/>
              </w:rPr>
              <w:t>Conclusion</w:t>
            </w:r>
            <w:r w:rsidRPr="007F78CE">
              <w:rPr>
                <w:rFonts w:eastAsia="MS Mincho"/>
                <w:sz w:val="20"/>
              </w:rPr>
              <w:t> : Application des dispositions de la NES</w:t>
            </w:r>
          </w:p>
        </w:tc>
      </w:tr>
      <w:bookmarkEnd w:id="1702"/>
      <w:tr w:rsidR="006B2C01" w:rsidRPr="007F78CE" w14:paraId="71C851ED" w14:textId="77777777" w:rsidTr="00D12C6F">
        <w:trPr>
          <w:jc w:val="center"/>
        </w:trPr>
        <w:tc>
          <w:tcPr>
            <w:tcW w:w="14659" w:type="dxa"/>
            <w:gridSpan w:val="3"/>
            <w:shd w:val="clear" w:color="auto" w:fill="FBD4B4"/>
            <w:vAlign w:val="center"/>
          </w:tcPr>
          <w:p w14:paraId="3A628D02" w14:textId="77777777" w:rsidR="006B2C01" w:rsidRPr="00BC30C6" w:rsidRDefault="006B2C01" w:rsidP="00D12C6F">
            <w:pPr>
              <w:keepNext/>
              <w:keepLines/>
              <w:spacing w:before="60" w:after="60"/>
              <w:jc w:val="center"/>
              <w:rPr>
                <w:rFonts w:eastAsia="MS Mincho" w:cs="Arial"/>
                <w:b/>
                <w:bCs/>
              </w:rPr>
            </w:pPr>
            <w:r w:rsidRPr="00BC30C6">
              <w:rPr>
                <w:rFonts w:eastAsia="MS Mincho" w:cs="Arial"/>
                <w:b/>
                <w:bCs/>
              </w:rPr>
              <w:t>NES 3. Utilisation rationnelle des ressources et prévention et gestion de la pollution</w:t>
            </w:r>
          </w:p>
        </w:tc>
      </w:tr>
      <w:tr w:rsidR="006B2C01" w:rsidRPr="007F78CE" w14:paraId="479E914B" w14:textId="77777777" w:rsidTr="00B434A6">
        <w:trPr>
          <w:cantSplit/>
          <w:jc w:val="center"/>
        </w:trPr>
        <w:tc>
          <w:tcPr>
            <w:tcW w:w="5215" w:type="dxa"/>
          </w:tcPr>
          <w:p w14:paraId="2CFBE6E3"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Adopter les mesures indiquées dans les Directives ESS pour optimiser l’utilisation de l’énergie lorsque cela est techniquement et financièrement possible</w:t>
            </w:r>
          </w:p>
          <w:p w14:paraId="56D55A9F" w14:textId="77777777" w:rsidR="006B2C01" w:rsidRPr="00BC30C6" w:rsidRDefault="006B2C01" w:rsidP="00D12C6F">
            <w:pPr>
              <w:autoSpaceDE w:val="0"/>
              <w:autoSpaceDN w:val="0"/>
              <w:adjustRightInd w:val="0"/>
              <w:rPr>
                <w:rFonts w:eastAsia="MS Mincho" w:cs="Arial"/>
                <w:lang w:eastAsia="fr-FR"/>
              </w:rPr>
            </w:pPr>
            <w:r w:rsidRPr="00BC30C6">
              <w:rPr>
                <w:rFonts w:eastAsia="MS Mincho" w:cs="Arial"/>
                <w:i/>
                <w:iCs/>
              </w:rPr>
              <w:t>Paragraphe 6</w:t>
            </w:r>
          </w:p>
        </w:tc>
        <w:tc>
          <w:tcPr>
            <w:tcW w:w="5850" w:type="dxa"/>
            <w:shd w:val="clear" w:color="auto" w:fill="auto"/>
            <w:vAlign w:val="center"/>
          </w:tcPr>
          <w:p w14:paraId="52025C87" w14:textId="77777777" w:rsidR="006B2C01" w:rsidRPr="00BC30C6" w:rsidRDefault="006B2C01" w:rsidP="00D12C6F">
            <w:pPr>
              <w:autoSpaceDE w:val="0"/>
              <w:autoSpaceDN w:val="0"/>
              <w:adjustRightInd w:val="0"/>
              <w:rPr>
                <w:rFonts w:eastAsia="MS Mincho" w:cs="Arial"/>
              </w:rPr>
            </w:pPr>
            <w:r w:rsidRPr="002D3C2C">
              <w:rPr>
                <w:rFonts w:eastAsia="MS Mincho" w:cs="Arial"/>
                <w:w w:val="104"/>
                <w:sz w:val="20"/>
                <w:szCs w:val="10"/>
              </w:rPr>
              <w:t xml:space="preserve">Le cadre réglementaire national </w:t>
            </w:r>
            <w:r>
              <w:rPr>
                <w:rFonts w:eastAsia="MS Mincho" w:cs="Arial"/>
                <w:w w:val="104"/>
                <w:sz w:val="20"/>
                <w:szCs w:val="10"/>
              </w:rPr>
              <w:t>n’établit pas</w:t>
            </w:r>
            <w:r w:rsidRPr="002D3C2C">
              <w:rPr>
                <w:rFonts w:eastAsia="MS Mincho" w:cs="Arial"/>
                <w:w w:val="104"/>
                <w:sz w:val="20"/>
                <w:szCs w:val="10"/>
              </w:rPr>
              <w:t xml:space="preserve"> d’obligation de l’optimisation de l’énergie.</w:t>
            </w:r>
          </w:p>
        </w:tc>
        <w:tc>
          <w:tcPr>
            <w:tcW w:w="3594" w:type="dxa"/>
            <w:shd w:val="clear" w:color="auto" w:fill="auto"/>
            <w:vAlign w:val="center"/>
          </w:tcPr>
          <w:p w14:paraId="3FA48DEB" w14:textId="77777777" w:rsidR="006B2C01" w:rsidRPr="007F78CE" w:rsidRDefault="006B2C01" w:rsidP="00B434A6">
            <w:pPr>
              <w:autoSpaceDE w:val="0"/>
              <w:autoSpaceDN w:val="0"/>
              <w:adjustRightInd w:val="0"/>
              <w:spacing w:after="120"/>
              <w:rPr>
                <w:rFonts w:ascii="arial gras" w:eastAsia="MS Mincho" w:hAnsi="arial gras" w:hint="eastAsia"/>
                <w:b/>
                <w:smallCaps/>
                <w:color w:val="000000"/>
                <w:sz w:val="20"/>
              </w:rPr>
            </w:pPr>
            <w:r w:rsidRPr="007F78CE">
              <w:rPr>
                <w:rFonts w:eastAsia="MS Mincho"/>
                <w:sz w:val="20"/>
              </w:rPr>
              <w:t xml:space="preserve">En l’absence de cadre national régissant l’optimisation de l’énergie, le Projet se conformera aux dispositions des NES, lorsque cela est applicable pour les sous-projets. </w:t>
            </w:r>
          </w:p>
          <w:p w14:paraId="26E55946" w14:textId="77777777" w:rsidR="006B2C01" w:rsidRPr="00BC30C6" w:rsidRDefault="006B2C01" w:rsidP="00B434A6">
            <w:pPr>
              <w:autoSpaceDE w:val="0"/>
              <w:autoSpaceDN w:val="0"/>
              <w:adjustRightInd w:val="0"/>
              <w:spacing w:after="120"/>
              <w:rPr>
                <w:rFonts w:ascii="arial gras" w:eastAsia="MS Mincho" w:hAnsi="arial gras" w:cs="Arial" w:hint="eastAsia"/>
                <w:b/>
                <w:smallCaps/>
                <w:color w:val="000000"/>
              </w:rPr>
            </w:pPr>
            <w:r w:rsidRPr="007F78CE">
              <w:rPr>
                <w:rFonts w:eastAsia="MS Mincho"/>
                <w:sz w:val="20"/>
                <w:u w:val="single"/>
              </w:rPr>
              <w:t>Conclusion</w:t>
            </w:r>
            <w:r w:rsidRPr="007F78CE">
              <w:rPr>
                <w:rFonts w:eastAsia="MS Mincho"/>
                <w:sz w:val="20"/>
              </w:rPr>
              <w:t> : Application des dispositions de la NES et les Directives ESS</w:t>
            </w:r>
          </w:p>
        </w:tc>
      </w:tr>
      <w:tr w:rsidR="006B2C01" w:rsidRPr="007F78CE" w14:paraId="52926DD3" w14:textId="77777777" w:rsidTr="00B434A6">
        <w:trPr>
          <w:cantSplit/>
          <w:jc w:val="center"/>
        </w:trPr>
        <w:tc>
          <w:tcPr>
            <w:tcW w:w="5215" w:type="dxa"/>
          </w:tcPr>
          <w:p w14:paraId="2938D34C"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Adopter des mesures pour éviter ou réduire la surconsommation d’eau, lorsque cela est techniquement et financièrement possible.</w:t>
            </w:r>
          </w:p>
          <w:p w14:paraId="040ED76A" w14:textId="77777777" w:rsidR="006B2C01" w:rsidRPr="00BC30C6" w:rsidRDefault="006B2C01" w:rsidP="00D12C6F">
            <w:pPr>
              <w:autoSpaceDE w:val="0"/>
              <w:autoSpaceDN w:val="0"/>
              <w:adjustRightInd w:val="0"/>
              <w:rPr>
                <w:rFonts w:eastAsia="MS Mincho" w:cs="Arial"/>
                <w:lang w:eastAsia="fr-FR"/>
              </w:rPr>
            </w:pPr>
            <w:r w:rsidRPr="00BC30C6">
              <w:rPr>
                <w:rFonts w:eastAsia="MS Mincho" w:cs="Arial"/>
                <w:i/>
                <w:iCs/>
              </w:rPr>
              <w:t>Paragraphe 7 à 9</w:t>
            </w:r>
          </w:p>
        </w:tc>
        <w:tc>
          <w:tcPr>
            <w:tcW w:w="5850" w:type="dxa"/>
            <w:shd w:val="clear" w:color="auto" w:fill="auto"/>
            <w:vAlign w:val="center"/>
          </w:tcPr>
          <w:p w14:paraId="486AB7F4" w14:textId="77777777" w:rsidR="006B2C01" w:rsidRPr="00EA3498" w:rsidRDefault="006B2C01" w:rsidP="00D12C6F">
            <w:pPr>
              <w:autoSpaceDE w:val="0"/>
              <w:autoSpaceDN w:val="0"/>
              <w:adjustRightInd w:val="0"/>
              <w:rPr>
                <w:rFonts w:eastAsia="MS Mincho" w:cs="Arial"/>
                <w:w w:val="104"/>
                <w:sz w:val="20"/>
                <w:szCs w:val="10"/>
              </w:rPr>
            </w:pPr>
            <w:r w:rsidRPr="00EA3498">
              <w:rPr>
                <w:rFonts w:eastAsia="MS Mincho" w:cs="Arial"/>
                <w:w w:val="104"/>
                <w:sz w:val="20"/>
                <w:szCs w:val="10"/>
              </w:rPr>
              <w:t xml:space="preserve">Le Code de l’eau </w:t>
            </w:r>
            <w:r>
              <w:rPr>
                <w:rFonts w:eastAsia="MS Mincho" w:cs="Arial"/>
                <w:w w:val="104"/>
                <w:sz w:val="20"/>
                <w:szCs w:val="10"/>
              </w:rPr>
              <w:t>précis</w:t>
            </w:r>
            <w:r w:rsidRPr="00EA3498">
              <w:rPr>
                <w:rFonts w:eastAsia="MS Mincho" w:cs="Arial"/>
                <w:w w:val="104"/>
                <w:sz w:val="20"/>
                <w:szCs w:val="10"/>
              </w:rPr>
              <w:t xml:space="preserve">e en matière d’activités industrielles l’obligation pour l’exploitant d’une installation classée de prendre toutes dispositions nécessaires, au moment de la conception et au cours de l’exploitation de l’installation pour limiter la consommation en eau. </w:t>
            </w:r>
          </w:p>
          <w:p w14:paraId="411FD931" w14:textId="77777777" w:rsidR="006B2C01" w:rsidRPr="00BC30C6" w:rsidRDefault="006B2C01" w:rsidP="00D12C6F">
            <w:pPr>
              <w:autoSpaceDE w:val="0"/>
              <w:autoSpaceDN w:val="0"/>
              <w:adjustRightInd w:val="0"/>
              <w:rPr>
                <w:rFonts w:eastAsia="MS Mincho" w:cs="Arial"/>
              </w:rPr>
            </w:pPr>
            <w:r w:rsidRPr="00BC30C6">
              <w:rPr>
                <w:rFonts w:eastAsia="MS Mincho" w:cs="Arial"/>
                <w:i/>
                <w:iCs/>
                <w:w w:val="104"/>
                <w:sz w:val="20"/>
                <w:szCs w:val="10"/>
              </w:rPr>
              <w:t>LOI N°2003 -044 Portant Code du Travail [Article</w:t>
            </w:r>
            <w:r>
              <w:rPr>
                <w:rFonts w:eastAsia="MS Mincho" w:cs="Arial"/>
                <w:i/>
                <w:iCs/>
                <w:w w:val="104"/>
                <w:sz w:val="20"/>
                <w:szCs w:val="10"/>
              </w:rPr>
              <w:t xml:space="preserve"> 33</w:t>
            </w:r>
            <w:r w:rsidRPr="00BC30C6">
              <w:rPr>
                <w:rFonts w:eastAsia="MS Mincho" w:cs="Arial"/>
                <w:i/>
                <w:iCs/>
                <w:w w:val="104"/>
                <w:sz w:val="20"/>
                <w:szCs w:val="10"/>
              </w:rPr>
              <w:t xml:space="preserve">] </w:t>
            </w:r>
          </w:p>
        </w:tc>
        <w:tc>
          <w:tcPr>
            <w:tcW w:w="3594" w:type="dxa"/>
            <w:shd w:val="clear" w:color="auto" w:fill="auto"/>
            <w:vAlign w:val="center"/>
          </w:tcPr>
          <w:p w14:paraId="7DDC0690" w14:textId="77777777" w:rsidR="006B2C01" w:rsidRPr="007F78CE" w:rsidRDefault="006B2C01" w:rsidP="00B434A6">
            <w:pPr>
              <w:autoSpaceDE w:val="0"/>
              <w:autoSpaceDN w:val="0"/>
              <w:adjustRightInd w:val="0"/>
              <w:spacing w:after="120"/>
              <w:rPr>
                <w:rFonts w:ascii="arial gras" w:eastAsia="MS Mincho" w:hAnsi="arial gras" w:hint="eastAsia"/>
                <w:b/>
                <w:smallCaps/>
                <w:color w:val="000000"/>
                <w:sz w:val="20"/>
              </w:rPr>
            </w:pPr>
            <w:r w:rsidRPr="007F78CE">
              <w:rPr>
                <w:rFonts w:eastAsia="MS Mincho"/>
                <w:sz w:val="20"/>
              </w:rPr>
              <w:t xml:space="preserve">Le cadre réglementaire national énonce les directives qui s’adressent seulement aux activités industrielles, et on aux chantiers de construction des ouvrages tels que les pistes et les ouvrages d’irrigation dans les périmètres. </w:t>
            </w:r>
          </w:p>
          <w:p w14:paraId="7CF4B360" w14:textId="77777777" w:rsidR="006B2C01" w:rsidRPr="00BC30C6" w:rsidRDefault="006B2C01" w:rsidP="00B434A6">
            <w:pPr>
              <w:autoSpaceDE w:val="0"/>
              <w:autoSpaceDN w:val="0"/>
              <w:adjustRightInd w:val="0"/>
              <w:spacing w:after="120"/>
              <w:rPr>
                <w:rFonts w:ascii="arial gras" w:eastAsia="MS Mincho" w:hAnsi="arial gras" w:cs="Arial" w:hint="eastAsia"/>
                <w:b/>
                <w:smallCaps/>
                <w:color w:val="000000"/>
              </w:rPr>
            </w:pPr>
            <w:r w:rsidRPr="007F78CE">
              <w:rPr>
                <w:rFonts w:eastAsia="MS Mincho"/>
                <w:sz w:val="20"/>
                <w:u w:val="single"/>
              </w:rPr>
              <w:t>Conclusion</w:t>
            </w:r>
            <w:r w:rsidRPr="007F78CE">
              <w:rPr>
                <w:rFonts w:eastAsia="MS Mincho"/>
                <w:sz w:val="20"/>
              </w:rPr>
              <w:t> : Application des dispositions de la NES.</w:t>
            </w:r>
          </w:p>
        </w:tc>
      </w:tr>
      <w:tr w:rsidR="006B2C01" w:rsidRPr="007F78CE" w14:paraId="11276EE8" w14:textId="77777777" w:rsidTr="00B434A6">
        <w:trPr>
          <w:cantSplit/>
          <w:jc w:val="center"/>
        </w:trPr>
        <w:tc>
          <w:tcPr>
            <w:tcW w:w="5215" w:type="dxa"/>
          </w:tcPr>
          <w:p w14:paraId="568C0C8C"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Adopter les mesures indiquées dans les Directives ESS et dans d’autres BPISA pour encourager l’utilisation rationnelle des matières premières lorsque cela est techniquement et financièrement possible.</w:t>
            </w:r>
          </w:p>
          <w:p w14:paraId="55CA28FB" w14:textId="77777777" w:rsidR="006B2C01" w:rsidRPr="00BC30C6" w:rsidRDefault="006B2C01" w:rsidP="00D12C6F">
            <w:pPr>
              <w:autoSpaceDE w:val="0"/>
              <w:autoSpaceDN w:val="0"/>
              <w:adjustRightInd w:val="0"/>
              <w:rPr>
                <w:rFonts w:eastAsia="MS Mincho" w:cs="Arial"/>
                <w:lang w:eastAsia="fr-FR"/>
              </w:rPr>
            </w:pPr>
            <w:r w:rsidRPr="00BC30C6">
              <w:rPr>
                <w:rFonts w:eastAsia="MS Mincho" w:cs="Arial"/>
                <w:i/>
                <w:iCs/>
              </w:rPr>
              <w:t>Paragraphe 10</w:t>
            </w:r>
          </w:p>
        </w:tc>
        <w:tc>
          <w:tcPr>
            <w:tcW w:w="5850" w:type="dxa"/>
            <w:shd w:val="clear" w:color="auto" w:fill="auto"/>
            <w:vAlign w:val="center"/>
          </w:tcPr>
          <w:p w14:paraId="47930205" w14:textId="77777777" w:rsidR="006B2C01" w:rsidRPr="00BC30C6" w:rsidRDefault="006B2C01" w:rsidP="00D12C6F">
            <w:pPr>
              <w:autoSpaceDE w:val="0"/>
              <w:autoSpaceDN w:val="0"/>
              <w:adjustRightInd w:val="0"/>
              <w:rPr>
                <w:rFonts w:eastAsia="MS Mincho" w:cs="Arial"/>
              </w:rPr>
            </w:pPr>
            <w:r w:rsidRPr="002D3C2C">
              <w:rPr>
                <w:rFonts w:eastAsia="MS Mincho" w:cs="Arial"/>
                <w:w w:val="104"/>
                <w:sz w:val="20"/>
                <w:szCs w:val="10"/>
              </w:rPr>
              <w:t xml:space="preserve">Le cadre réglementaire national </w:t>
            </w:r>
            <w:r>
              <w:rPr>
                <w:rFonts w:eastAsia="MS Mincho" w:cs="Arial"/>
                <w:w w:val="104"/>
                <w:sz w:val="20"/>
                <w:szCs w:val="10"/>
              </w:rPr>
              <w:t>n’établit pas</w:t>
            </w:r>
            <w:r w:rsidRPr="002D3C2C">
              <w:rPr>
                <w:rFonts w:eastAsia="MS Mincho" w:cs="Arial"/>
                <w:w w:val="104"/>
                <w:sz w:val="20"/>
                <w:szCs w:val="10"/>
              </w:rPr>
              <w:t xml:space="preserve"> d’obligation de l’</w:t>
            </w:r>
            <w:r>
              <w:rPr>
                <w:rFonts w:eastAsia="MS Mincho" w:cs="Arial"/>
                <w:w w:val="104"/>
                <w:sz w:val="20"/>
                <w:szCs w:val="10"/>
              </w:rPr>
              <w:t>utilisation rationnelle des matières premières</w:t>
            </w:r>
            <w:r w:rsidRPr="002D3C2C">
              <w:rPr>
                <w:rFonts w:eastAsia="MS Mincho" w:cs="Arial"/>
                <w:w w:val="104"/>
                <w:sz w:val="20"/>
                <w:szCs w:val="10"/>
              </w:rPr>
              <w:t>.</w:t>
            </w:r>
          </w:p>
        </w:tc>
        <w:tc>
          <w:tcPr>
            <w:tcW w:w="3594" w:type="dxa"/>
            <w:shd w:val="clear" w:color="auto" w:fill="auto"/>
            <w:vAlign w:val="center"/>
          </w:tcPr>
          <w:p w14:paraId="6DC155AD" w14:textId="77777777" w:rsidR="006B2C01" w:rsidRPr="007F78CE" w:rsidRDefault="006B2C01" w:rsidP="00B434A6">
            <w:pPr>
              <w:autoSpaceDE w:val="0"/>
              <w:autoSpaceDN w:val="0"/>
              <w:adjustRightInd w:val="0"/>
              <w:spacing w:after="120"/>
              <w:rPr>
                <w:rFonts w:ascii="arial gras" w:eastAsia="MS Mincho" w:hAnsi="arial gras" w:hint="eastAsia"/>
                <w:b/>
                <w:smallCaps/>
                <w:color w:val="000000"/>
                <w:sz w:val="20"/>
              </w:rPr>
            </w:pPr>
            <w:r w:rsidRPr="007F78CE">
              <w:rPr>
                <w:rFonts w:eastAsia="MS Mincho"/>
                <w:sz w:val="20"/>
              </w:rPr>
              <w:t xml:space="preserve">En l’absence de cadre national régissant l’utilisation rationnelle des matières premières, le Projet se conformera aux dispositions des NES, lorsque cela est applicable pour les sous-projets. </w:t>
            </w:r>
          </w:p>
          <w:p w14:paraId="2D00C236" w14:textId="77777777" w:rsidR="006B2C01" w:rsidRPr="00BC30C6" w:rsidRDefault="006B2C01" w:rsidP="00B434A6">
            <w:pPr>
              <w:autoSpaceDE w:val="0"/>
              <w:autoSpaceDN w:val="0"/>
              <w:adjustRightInd w:val="0"/>
              <w:spacing w:after="120"/>
              <w:rPr>
                <w:rFonts w:ascii="arial gras" w:eastAsia="MS Mincho" w:hAnsi="arial gras" w:cs="Arial" w:hint="eastAsia"/>
                <w:b/>
                <w:smallCaps/>
                <w:color w:val="000000"/>
              </w:rPr>
            </w:pPr>
            <w:r w:rsidRPr="007F78CE">
              <w:rPr>
                <w:rFonts w:eastAsia="MS Mincho"/>
                <w:sz w:val="20"/>
                <w:u w:val="single"/>
              </w:rPr>
              <w:t>Conclusion</w:t>
            </w:r>
            <w:r w:rsidRPr="007F78CE">
              <w:rPr>
                <w:rFonts w:eastAsia="MS Mincho"/>
                <w:sz w:val="20"/>
              </w:rPr>
              <w:t> : Application des dispositions de la NES et les Directives ESS</w:t>
            </w:r>
          </w:p>
        </w:tc>
      </w:tr>
      <w:tr w:rsidR="006B2C01" w:rsidRPr="007F78CE" w14:paraId="60A62B8A" w14:textId="77777777" w:rsidTr="00B434A6">
        <w:trPr>
          <w:cantSplit/>
          <w:jc w:val="center"/>
        </w:trPr>
        <w:tc>
          <w:tcPr>
            <w:tcW w:w="5215" w:type="dxa"/>
          </w:tcPr>
          <w:p w14:paraId="30D6733A"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Éviter de rejeter des polluants dans l’air, l’eau et les sols de façon régulière, sinon éviter, limiter et contrôlera la concentration ou le débit massique de ces rejets sur la base des normes nationales ou des Directives ESS</w:t>
            </w:r>
          </w:p>
          <w:p w14:paraId="2E0F53B6" w14:textId="77777777" w:rsidR="006B2C01" w:rsidRPr="00BC30C6" w:rsidRDefault="006B2C01" w:rsidP="00D12C6F">
            <w:pPr>
              <w:autoSpaceDE w:val="0"/>
              <w:autoSpaceDN w:val="0"/>
              <w:adjustRightInd w:val="0"/>
              <w:rPr>
                <w:rFonts w:eastAsia="MS Mincho" w:cs="Arial"/>
                <w:lang w:eastAsia="fr-FR"/>
              </w:rPr>
            </w:pPr>
            <w:r w:rsidRPr="00BC30C6">
              <w:rPr>
                <w:rFonts w:eastAsia="MS Mincho" w:cs="Arial"/>
                <w:i/>
                <w:iCs/>
              </w:rPr>
              <w:t>Paragraphe 11</w:t>
            </w:r>
          </w:p>
        </w:tc>
        <w:tc>
          <w:tcPr>
            <w:tcW w:w="5850" w:type="dxa"/>
            <w:shd w:val="clear" w:color="auto" w:fill="auto"/>
            <w:vAlign w:val="center"/>
          </w:tcPr>
          <w:p w14:paraId="1D0B2637" w14:textId="77777777" w:rsidR="006B2C01" w:rsidRPr="005D4294" w:rsidRDefault="006B2C01" w:rsidP="00B434A6">
            <w:pPr>
              <w:autoSpaceDE w:val="0"/>
              <w:autoSpaceDN w:val="0"/>
              <w:adjustRightInd w:val="0"/>
              <w:spacing w:after="120"/>
              <w:rPr>
                <w:rFonts w:eastAsia="MS Mincho" w:cs="Arial"/>
                <w:b/>
                <w:smallCaps/>
                <w:color w:val="000000"/>
              </w:rPr>
            </w:pPr>
            <w:r w:rsidRPr="00B434A6">
              <w:rPr>
                <w:rFonts w:eastAsia="MS Mincho" w:cs="Arial"/>
                <w:sz w:val="20"/>
                <w:szCs w:val="20"/>
              </w:rPr>
              <w:t xml:space="preserve">Le cadre national du secteur industriel fixe comme </w:t>
            </w:r>
            <w:r w:rsidRPr="005D4294">
              <w:rPr>
                <w:rFonts w:eastAsia="MS Mincho" w:cs="Arial"/>
              </w:rPr>
              <w:t>objectifs prioritaires de protection, la gestion des déchets solides, la gestion des effluents liquides et gazeux, les troubles de voisinage et nuisances sonores.</w:t>
            </w:r>
          </w:p>
          <w:p w14:paraId="4FC5CF31" w14:textId="77777777" w:rsidR="006B2C01" w:rsidRPr="00BC30C6" w:rsidRDefault="006B2C01" w:rsidP="00D12C6F">
            <w:pPr>
              <w:pStyle w:val="Tabletext"/>
              <w:rPr>
                <w:rFonts w:ascii="Calibri" w:eastAsia="MS Mincho" w:hAnsi="Calibri" w:cs="Arial"/>
              </w:rPr>
            </w:pPr>
            <w:r w:rsidRPr="005D4294">
              <w:rPr>
                <w:rFonts w:ascii="Calibri" w:eastAsia="MS Mincho" w:hAnsi="Calibri" w:cs="Arial"/>
                <w:i/>
                <w:iCs/>
              </w:rPr>
              <w:t>LOI N° 99-021 DU 19 AOUT 1999 sur la politique de gestion et de contrôle des pollutions industrielles</w:t>
            </w:r>
            <w:r w:rsidRPr="00BC30C6">
              <w:rPr>
                <w:rFonts w:ascii="Calibri" w:eastAsia="MS Mincho" w:hAnsi="Calibri" w:cs="Arial"/>
                <w:i/>
                <w:iCs/>
              </w:rPr>
              <w:t>[Article</w:t>
            </w:r>
            <w:r>
              <w:rPr>
                <w:rFonts w:ascii="Calibri" w:eastAsia="MS Mincho" w:hAnsi="Calibri" w:cs="Arial"/>
                <w:i/>
                <w:iCs/>
              </w:rPr>
              <w:t xml:space="preserve"> 23</w:t>
            </w:r>
            <w:r w:rsidRPr="00BC30C6">
              <w:rPr>
                <w:rFonts w:ascii="Calibri" w:eastAsia="MS Mincho" w:hAnsi="Calibri" w:cs="Arial"/>
                <w:i/>
                <w:iCs/>
              </w:rPr>
              <w:t>]</w:t>
            </w:r>
          </w:p>
        </w:tc>
        <w:tc>
          <w:tcPr>
            <w:tcW w:w="3594" w:type="dxa"/>
            <w:shd w:val="clear" w:color="auto" w:fill="auto"/>
            <w:vAlign w:val="center"/>
          </w:tcPr>
          <w:p w14:paraId="72AA6204" w14:textId="77777777" w:rsidR="006B2C01" w:rsidRPr="007F78CE" w:rsidRDefault="006B2C01" w:rsidP="00B434A6">
            <w:pPr>
              <w:autoSpaceDE w:val="0"/>
              <w:autoSpaceDN w:val="0"/>
              <w:adjustRightInd w:val="0"/>
              <w:spacing w:after="120"/>
              <w:rPr>
                <w:rFonts w:ascii="arial gras" w:eastAsia="MS Mincho" w:hAnsi="arial gras" w:hint="eastAsia"/>
                <w:b/>
                <w:smallCaps/>
                <w:color w:val="000000"/>
                <w:sz w:val="20"/>
              </w:rPr>
            </w:pPr>
            <w:r w:rsidRPr="007F78CE">
              <w:rPr>
                <w:rFonts w:eastAsia="MS Mincho"/>
                <w:sz w:val="20"/>
              </w:rPr>
              <w:t>Le cadre réglementaire national énonce les directives qui s’adressent seulement aux activités industrielles, et on aux chantiers de construction des ouvrages tels que les pistes et les ouvrages d’irrigation dans les périmètres.</w:t>
            </w:r>
          </w:p>
          <w:p w14:paraId="0D7F1DC8" w14:textId="77777777" w:rsidR="006B2C01" w:rsidRPr="00BC30C6" w:rsidRDefault="006B2C01" w:rsidP="00B434A6">
            <w:pPr>
              <w:autoSpaceDE w:val="0"/>
              <w:autoSpaceDN w:val="0"/>
              <w:adjustRightInd w:val="0"/>
              <w:spacing w:after="120"/>
              <w:rPr>
                <w:rFonts w:ascii="arial gras" w:eastAsia="MS Mincho" w:hAnsi="arial gras" w:cs="Arial" w:hint="eastAsia"/>
                <w:b/>
                <w:smallCaps/>
                <w:color w:val="000000"/>
              </w:rPr>
            </w:pPr>
            <w:r w:rsidRPr="007F78CE">
              <w:rPr>
                <w:rFonts w:eastAsia="MS Mincho"/>
                <w:sz w:val="20"/>
                <w:u w:val="single"/>
              </w:rPr>
              <w:t>Conclusion</w:t>
            </w:r>
            <w:r w:rsidRPr="007F78CE">
              <w:rPr>
                <w:rFonts w:eastAsia="MS Mincho"/>
                <w:sz w:val="20"/>
              </w:rPr>
              <w:t> : Application des dispositions de la NES et les Directives ESS</w:t>
            </w:r>
          </w:p>
        </w:tc>
      </w:tr>
      <w:tr w:rsidR="006B2C01" w:rsidRPr="007F78CE" w14:paraId="4F83C4F2" w14:textId="77777777" w:rsidTr="00B434A6">
        <w:trPr>
          <w:cantSplit/>
          <w:jc w:val="center"/>
        </w:trPr>
        <w:tc>
          <w:tcPr>
            <w:tcW w:w="5215" w:type="dxa"/>
          </w:tcPr>
          <w:p w14:paraId="61E13B93"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Si la pollution historique peut poser un risque important pour les communautés, les travailleurs et l’environnement, identifier les parties responsables et entreprendra une évaluation des risques</w:t>
            </w:r>
          </w:p>
          <w:p w14:paraId="18B76C91" w14:textId="77777777" w:rsidR="006B2C01" w:rsidRPr="00BC30C6" w:rsidRDefault="006B2C01" w:rsidP="00D12C6F">
            <w:pPr>
              <w:autoSpaceDE w:val="0"/>
              <w:autoSpaceDN w:val="0"/>
              <w:adjustRightInd w:val="0"/>
              <w:rPr>
                <w:rFonts w:eastAsia="MS Mincho" w:cs="Arial"/>
                <w:lang w:eastAsia="fr-FR"/>
              </w:rPr>
            </w:pPr>
            <w:r w:rsidRPr="00BC30C6">
              <w:rPr>
                <w:rFonts w:eastAsia="MS Mincho" w:cs="Arial"/>
                <w:i/>
                <w:iCs/>
              </w:rPr>
              <w:t>Paragraphe 12</w:t>
            </w:r>
          </w:p>
        </w:tc>
        <w:tc>
          <w:tcPr>
            <w:tcW w:w="5850" w:type="dxa"/>
            <w:shd w:val="clear" w:color="auto" w:fill="auto"/>
            <w:vAlign w:val="center"/>
          </w:tcPr>
          <w:p w14:paraId="4FCCBB4F" w14:textId="77777777" w:rsidR="006B2C01" w:rsidRPr="00BC30C6" w:rsidRDefault="006B2C01" w:rsidP="00D12C6F">
            <w:pPr>
              <w:autoSpaceDE w:val="0"/>
              <w:autoSpaceDN w:val="0"/>
              <w:adjustRightInd w:val="0"/>
              <w:rPr>
                <w:rFonts w:eastAsia="MS Mincho" w:cs="Arial"/>
              </w:rPr>
            </w:pPr>
            <w:r w:rsidRPr="00D223E6">
              <w:rPr>
                <w:rFonts w:eastAsia="MS Mincho" w:cs="Arial"/>
                <w:w w:val="104"/>
                <w:sz w:val="20"/>
                <w:szCs w:val="10"/>
              </w:rPr>
              <w:t xml:space="preserve">La </w:t>
            </w:r>
            <w:r>
              <w:rPr>
                <w:rFonts w:eastAsia="MS Mincho" w:cs="Arial"/>
                <w:w w:val="104"/>
                <w:sz w:val="20"/>
                <w:szCs w:val="10"/>
              </w:rPr>
              <w:t xml:space="preserve">notion de </w:t>
            </w:r>
            <w:r w:rsidRPr="00D223E6">
              <w:rPr>
                <w:rFonts w:eastAsia="MS Mincho" w:cs="Arial"/>
                <w:w w:val="104"/>
                <w:sz w:val="20"/>
                <w:szCs w:val="10"/>
              </w:rPr>
              <w:t>pollution histo</w:t>
            </w:r>
            <w:r>
              <w:rPr>
                <w:rFonts w:eastAsia="MS Mincho" w:cs="Arial"/>
                <w:w w:val="104"/>
                <w:sz w:val="20"/>
                <w:szCs w:val="10"/>
              </w:rPr>
              <w:t>r</w:t>
            </w:r>
            <w:r w:rsidRPr="00D223E6">
              <w:rPr>
                <w:rFonts w:eastAsia="MS Mincho" w:cs="Arial"/>
                <w:w w:val="104"/>
                <w:sz w:val="20"/>
                <w:szCs w:val="10"/>
              </w:rPr>
              <w:t>ique n’est pas prise en considération dans le cadre réglementaire national.</w:t>
            </w:r>
          </w:p>
        </w:tc>
        <w:tc>
          <w:tcPr>
            <w:tcW w:w="3594" w:type="dxa"/>
            <w:shd w:val="clear" w:color="auto" w:fill="auto"/>
            <w:vAlign w:val="center"/>
          </w:tcPr>
          <w:p w14:paraId="7C3AAE39" w14:textId="77777777" w:rsidR="006B2C01" w:rsidRPr="007F78CE" w:rsidRDefault="006B2C01" w:rsidP="00B434A6">
            <w:pPr>
              <w:autoSpaceDE w:val="0"/>
              <w:autoSpaceDN w:val="0"/>
              <w:adjustRightInd w:val="0"/>
              <w:spacing w:after="120"/>
              <w:rPr>
                <w:rFonts w:ascii="arial gras" w:eastAsia="MS Mincho" w:hAnsi="arial gras" w:hint="eastAsia"/>
                <w:b/>
                <w:smallCaps/>
                <w:color w:val="000000"/>
                <w:sz w:val="20"/>
              </w:rPr>
            </w:pPr>
            <w:r w:rsidRPr="007F78CE">
              <w:rPr>
                <w:rFonts w:eastAsia="MS Mincho"/>
                <w:sz w:val="20"/>
              </w:rPr>
              <w:t>Le cadre national fait défaut en matière de notion de pollution historique</w:t>
            </w:r>
          </w:p>
          <w:p w14:paraId="723AA974" w14:textId="77777777" w:rsidR="006B2C01" w:rsidRPr="00BC30C6" w:rsidRDefault="006B2C01" w:rsidP="00B434A6">
            <w:pPr>
              <w:autoSpaceDE w:val="0"/>
              <w:autoSpaceDN w:val="0"/>
              <w:adjustRightInd w:val="0"/>
              <w:spacing w:after="120"/>
              <w:rPr>
                <w:rFonts w:ascii="arial gras" w:eastAsia="MS Mincho" w:hAnsi="arial gras" w:cs="Arial" w:hint="eastAsia"/>
                <w:b/>
                <w:smallCaps/>
                <w:color w:val="000000"/>
              </w:rPr>
            </w:pPr>
            <w:r w:rsidRPr="007F78CE">
              <w:rPr>
                <w:rFonts w:eastAsia="MS Mincho"/>
                <w:sz w:val="20"/>
                <w:u w:val="single"/>
              </w:rPr>
              <w:t>Conclusion</w:t>
            </w:r>
            <w:r w:rsidRPr="007F78CE">
              <w:rPr>
                <w:rFonts w:eastAsia="MS Mincho"/>
                <w:sz w:val="20"/>
              </w:rPr>
              <w:t> : Application des dispositions de la NES</w:t>
            </w:r>
          </w:p>
        </w:tc>
      </w:tr>
      <w:tr w:rsidR="006B2C01" w:rsidRPr="007F78CE" w14:paraId="7D93ED6F" w14:textId="77777777" w:rsidTr="00B434A6">
        <w:trPr>
          <w:cantSplit/>
          <w:jc w:val="center"/>
        </w:trPr>
        <w:tc>
          <w:tcPr>
            <w:tcW w:w="5215" w:type="dxa"/>
          </w:tcPr>
          <w:p w14:paraId="0D2750DB"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Tenir compte les facteurs pertinents de facteurs tels que : les conditions ambiantes, la capacité d’assimilation, l’utilisation des terres, la proximité de zones de biodiversité, impacts cumulatifs et l’impact du changement climatique</w:t>
            </w:r>
          </w:p>
          <w:p w14:paraId="3855AC56" w14:textId="77777777" w:rsidR="006B2C01" w:rsidRPr="00BC30C6" w:rsidRDefault="006B2C01" w:rsidP="00D12C6F">
            <w:pPr>
              <w:autoSpaceDE w:val="0"/>
              <w:autoSpaceDN w:val="0"/>
              <w:adjustRightInd w:val="0"/>
              <w:rPr>
                <w:rFonts w:eastAsia="MS Mincho" w:cs="Arial"/>
                <w:lang w:eastAsia="fr-FR"/>
              </w:rPr>
            </w:pPr>
            <w:r w:rsidRPr="00BC30C6">
              <w:rPr>
                <w:rFonts w:eastAsia="MS Mincho" w:cs="Arial"/>
                <w:i/>
                <w:iCs/>
              </w:rPr>
              <w:t>Paragraphe 13</w:t>
            </w:r>
          </w:p>
        </w:tc>
        <w:tc>
          <w:tcPr>
            <w:tcW w:w="5850" w:type="dxa"/>
            <w:shd w:val="clear" w:color="auto" w:fill="auto"/>
            <w:vAlign w:val="center"/>
          </w:tcPr>
          <w:p w14:paraId="49C143B9" w14:textId="77777777" w:rsidR="006B2C01" w:rsidRDefault="006B2C01" w:rsidP="00B434A6">
            <w:pPr>
              <w:autoSpaceDE w:val="0"/>
              <w:autoSpaceDN w:val="0"/>
              <w:adjustRightInd w:val="0"/>
              <w:spacing w:after="120"/>
              <w:rPr>
                <w:rFonts w:ascii="arial gras" w:eastAsia="MS Mincho" w:hAnsi="arial gras" w:cs="Arial" w:hint="eastAsia"/>
                <w:b/>
                <w:smallCaps/>
                <w:color w:val="000000"/>
                <w:w w:val="104"/>
                <w:sz w:val="20"/>
                <w:szCs w:val="10"/>
              </w:rPr>
            </w:pPr>
            <w:r w:rsidRPr="00CF5E5A">
              <w:rPr>
                <w:rFonts w:eastAsia="MS Mincho" w:cs="Arial"/>
                <w:w w:val="104"/>
                <w:sz w:val="20"/>
                <w:szCs w:val="10"/>
                <w:u w:val="single"/>
              </w:rPr>
              <w:t>Conditions ambiantes</w:t>
            </w:r>
            <w:r>
              <w:rPr>
                <w:rFonts w:eastAsia="MS Mincho" w:cs="Arial"/>
                <w:w w:val="104"/>
                <w:sz w:val="20"/>
                <w:szCs w:val="10"/>
              </w:rPr>
              <w:t xml:space="preserve"> : Le Code de travail énonce les dispositions permettant d’instaurer un bon environnement de travail, pour donner une bonne ambiance motivante, et pour prendre en considération le confort physique, mental, social des travailleurs. </w:t>
            </w:r>
          </w:p>
          <w:p w14:paraId="164FD9F0" w14:textId="77777777" w:rsidR="006B2C01" w:rsidRPr="002442AC" w:rsidRDefault="006B2C01" w:rsidP="00D12C6F">
            <w:pPr>
              <w:autoSpaceDE w:val="0"/>
              <w:autoSpaceDN w:val="0"/>
              <w:adjustRightInd w:val="0"/>
              <w:rPr>
                <w:rFonts w:eastAsia="MS Mincho" w:cs="Arial"/>
                <w:i/>
                <w:iCs/>
                <w:w w:val="104"/>
                <w:sz w:val="20"/>
                <w:szCs w:val="10"/>
              </w:rPr>
            </w:pPr>
            <w:r w:rsidRPr="00BC30C6">
              <w:rPr>
                <w:rFonts w:eastAsia="MS Mincho" w:cs="Arial"/>
                <w:i/>
                <w:iCs/>
                <w:w w:val="104"/>
                <w:sz w:val="20"/>
                <w:szCs w:val="10"/>
              </w:rPr>
              <w:t>LOI N°2003 -044 Portant Code du Travail [Article</w:t>
            </w:r>
            <w:r>
              <w:rPr>
                <w:rFonts w:eastAsia="MS Mincho" w:cs="Arial"/>
                <w:i/>
                <w:iCs/>
                <w:w w:val="104"/>
                <w:sz w:val="20"/>
                <w:szCs w:val="10"/>
              </w:rPr>
              <w:t>s 114, 127</w:t>
            </w:r>
            <w:r w:rsidRPr="00BC30C6">
              <w:rPr>
                <w:rFonts w:eastAsia="MS Mincho" w:cs="Arial"/>
                <w:i/>
                <w:iCs/>
                <w:w w:val="104"/>
                <w:sz w:val="20"/>
                <w:szCs w:val="10"/>
              </w:rPr>
              <w:t xml:space="preserve">] </w:t>
            </w:r>
          </w:p>
          <w:p w14:paraId="10689BD7" w14:textId="77777777" w:rsidR="006B2C01" w:rsidRDefault="006B2C01" w:rsidP="00B434A6">
            <w:pPr>
              <w:autoSpaceDE w:val="0"/>
              <w:autoSpaceDN w:val="0"/>
              <w:adjustRightInd w:val="0"/>
              <w:spacing w:after="120"/>
              <w:rPr>
                <w:rFonts w:ascii="arial gras" w:eastAsia="MS Mincho" w:hAnsi="arial gras" w:cs="Arial" w:hint="eastAsia"/>
                <w:b/>
                <w:smallCaps/>
                <w:color w:val="000000"/>
                <w:w w:val="104"/>
                <w:sz w:val="20"/>
                <w:szCs w:val="10"/>
              </w:rPr>
            </w:pPr>
            <w:r w:rsidRPr="002442AC">
              <w:rPr>
                <w:rFonts w:eastAsia="MS Mincho" w:cs="Arial"/>
                <w:w w:val="104"/>
                <w:sz w:val="20"/>
                <w:szCs w:val="10"/>
                <w:u w:val="single"/>
              </w:rPr>
              <w:t>Utilisation des terres</w:t>
            </w:r>
            <w:r>
              <w:rPr>
                <w:rFonts w:eastAsia="MS Mincho" w:cs="Arial"/>
                <w:w w:val="104"/>
                <w:sz w:val="20"/>
                <w:szCs w:val="10"/>
                <w:u w:val="single"/>
              </w:rPr>
              <w:t xml:space="preserve"> et proximité des zones de biodiversité</w:t>
            </w:r>
            <w:r>
              <w:rPr>
                <w:rFonts w:eastAsia="MS Mincho" w:cs="Arial"/>
                <w:w w:val="104"/>
                <w:sz w:val="20"/>
                <w:szCs w:val="10"/>
              </w:rPr>
              <w:t xml:space="preserve"> : Les textes régissant les pollutions industrielles précisent que toute installation industrielle doit veiller à tenir compte de la protection des lieux habités et des zones particulièrement sensibles </w:t>
            </w:r>
          </w:p>
          <w:p w14:paraId="182F3DCE" w14:textId="77777777" w:rsidR="006B2C01" w:rsidRPr="00771AA2" w:rsidRDefault="006B2C01" w:rsidP="00D12C6F">
            <w:pPr>
              <w:pStyle w:val="Tabletext"/>
            </w:pPr>
            <w:r w:rsidRPr="005D4294">
              <w:rPr>
                <w:rFonts w:ascii="Calibri" w:eastAsia="MS Mincho" w:hAnsi="Calibri" w:cs="Arial"/>
                <w:i/>
                <w:iCs/>
              </w:rPr>
              <w:t>LOI N° 99-021 DU 19 AOUT 1999 sur la politique de gestion et de contrôle des pollutions industrielles</w:t>
            </w:r>
            <w:r w:rsidRPr="00BC30C6">
              <w:rPr>
                <w:rFonts w:ascii="Calibri" w:eastAsia="MS Mincho" w:hAnsi="Calibri" w:cs="Arial"/>
                <w:i/>
                <w:iCs/>
              </w:rPr>
              <w:t>[Article</w:t>
            </w:r>
            <w:r>
              <w:rPr>
                <w:rFonts w:ascii="Calibri" w:eastAsia="MS Mincho" w:hAnsi="Calibri" w:cs="Arial"/>
                <w:i/>
                <w:iCs/>
              </w:rPr>
              <w:t xml:space="preserve"> 19</w:t>
            </w:r>
            <w:r w:rsidRPr="00BC30C6">
              <w:rPr>
                <w:rFonts w:ascii="Calibri" w:eastAsia="MS Mincho" w:hAnsi="Calibri" w:cs="Arial"/>
                <w:i/>
                <w:iCs/>
              </w:rPr>
              <w:t>]</w:t>
            </w:r>
          </w:p>
          <w:p w14:paraId="6762D23D" w14:textId="77777777" w:rsidR="006B2C01" w:rsidRDefault="006B2C01" w:rsidP="00B434A6">
            <w:pPr>
              <w:autoSpaceDE w:val="0"/>
              <w:autoSpaceDN w:val="0"/>
              <w:adjustRightInd w:val="0"/>
              <w:spacing w:before="120"/>
              <w:rPr>
                <w:rFonts w:ascii="arial gras" w:eastAsia="MS Mincho" w:hAnsi="arial gras" w:cs="Arial" w:hint="eastAsia"/>
                <w:b/>
                <w:smallCaps/>
                <w:color w:val="000000"/>
                <w:w w:val="104"/>
                <w:sz w:val="20"/>
                <w:szCs w:val="10"/>
              </w:rPr>
            </w:pPr>
            <w:r w:rsidRPr="002442AC">
              <w:rPr>
                <w:rFonts w:eastAsia="MS Mincho" w:cs="Arial"/>
                <w:w w:val="104"/>
                <w:sz w:val="20"/>
                <w:szCs w:val="10"/>
                <w:u w:val="single"/>
              </w:rPr>
              <w:t>Impacts cumulatifs</w:t>
            </w:r>
            <w:r>
              <w:rPr>
                <w:rFonts w:eastAsia="MS Mincho" w:cs="Arial"/>
                <w:w w:val="104"/>
                <w:sz w:val="20"/>
                <w:szCs w:val="10"/>
              </w:rPr>
              <w:t xml:space="preserve"> : </w:t>
            </w:r>
          </w:p>
          <w:p w14:paraId="55285629" w14:textId="77777777" w:rsidR="006B2C01" w:rsidRPr="005B11C7" w:rsidRDefault="006B2C01" w:rsidP="00B434A6">
            <w:pPr>
              <w:autoSpaceDE w:val="0"/>
              <w:autoSpaceDN w:val="0"/>
              <w:adjustRightInd w:val="0"/>
              <w:spacing w:after="120"/>
              <w:rPr>
                <w:rFonts w:ascii="arial gras" w:eastAsia="MS Mincho" w:hAnsi="arial gras" w:cs="Arial" w:hint="eastAsia"/>
                <w:b/>
                <w:smallCaps/>
                <w:color w:val="000000"/>
                <w:w w:val="104"/>
                <w:sz w:val="20"/>
                <w:szCs w:val="10"/>
              </w:rPr>
            </w:pPr>
            <w:r>
              <w:rPr>
                <w:rFonts w:eastAsia="MS Mincho" w:cs="Arial"/>
                <w:w w:val="104"/>
                <w:sz w:val="20"/>
                <w:szCs w:val="10"/>
              </w:rPr>
              <w:t>Aucune disposition relative à la prise en compte des impacts cumulatifs.</w:t>
            </w:r>
          </w:p>
          <w:p w14:paraId="077E413C" w14:textId="77777777" w:rsidR="006B2C01" w:rsidRDefault="006B2C01" w:rsidP="00D12C6F">
            <w:pPr>
              <w:autoSpaceDE w:val="0"/>
              <w:autoSpaceDN w:val="0"/>
              <w:adjustRightInd w:val="0"/>
              <w:rPr>
                <w:rFonts w:eastAsia="MS Mincho" w:cs="Arial"/>
                <w:w w:val="104"/>
                <w:sz w:val="20"/>
                <w:szCs w:val="10"/>
              </w:rPr>
            </w:pPr>
            <w:r w:rsidRPr="00117013">
              <w:rPr>
                <w:rFonts w:eastAsia="MS Mincho" w:cs="Arial"/>
                <w:w w:val="104"/>
                <w:sz w:val="20"/>
                <w:szCs w:val="10"/>
                <w:u w:val="single"/>
              </w:rPr>
              <w:t>Changement climatique</w:t>
            </w:r>
            <w:r>
              <w:rPr>
                <w:rFonts w:eastAsia="MS Mincho" w:cs="Arial"/>
                <w:w w:val="104"/>
                <w:sz w:val="20"/>
                <w:szCs w:val="10"/>
              </w:rPr>
              <w:t xml:space="preserve"> : </w:t>
            </w:r>
          </w:p>
          <w:p w14:paraId="11994236" w14:textId="77777777" w:rsidR="006B2C01" w:rsidRPr="00BC30C6" w:rsidRDefault="006B2C01" w:rsidP="00B434A6">
            <w:pPr>
              <w:autoSpaceDE w:val="0"/>
              <w:autoSpaceDN w:val="0"/>
              <w:adjustRightInd w:val="0"/>
              <w:spacing w:after="120"/>
              <w:rPr>
                <w:rFonts w:ascii="arial gras" w:eastAsia="MS Mincho" w:hAnsi="arial gras" w:cs="Arial" w:hint="eastAsia"/>
                <w:b/>
                <w:smallCaps/>
                <w:color w:val="000000"/>
              </w:rPr>
            </w:pPr>
            <w:r>
              <w:rPr>
                <w:rFonts w:eastAsia="MS Mincho" w:cs="Arial"/>
                <w:w w:val="104"/>
                <w:sz w:val="20"/>
                <w:szCs w:val="10"/>
              </w:rPr>
              <w:t>Aucune disposition relative à la prise en compte du changement climatique dans la gestion des pollutions</w:t>
            </w:r>
          </w:p>
        </w:tc>
        <w:tc>
          <w:tcPr>
            <w:tcW w:w="3594" w:type="dxa"/>
            <w:shd w:val="clear" w:color="auto" w:fill="auto"/>
            <w:vAlign w:val="center"/>
          </w:tcPr>
          <w:p w14:paraId="3F8DD9EC" w14:textId="77777777" w:rsidR="006B2C01" w:rsidRPr="007F78CE" w:rsidRDefault="006B2C01" w:rsidP="00D12C6F">
            <w:pPr>
              <w:rPr>
                <w:rFonts w:eastAsia="MS Mincho"/>
                <w:sz w:val="20"/>
              </w:rPr>
            </w:pPr>
            <w:r w:rsidRPr="007F78CE">
              <w:rPr>
                <w:rFonts w:eastAsia="MS Mincho"/>
                <w:sz w:val="20"/>
              </w:rPr>
              <w:t xml:space="preserve">Le cadre législatif national et les NES sont complémentaires. </w:t>
            </w:r>
          </w:p>
          <w:p w14:paraId="3FEE1770" w14:textId="77777777" w:rsidR="006B2C01" w:rsidRPr="007F78CE" w:rsidRDefault="006B2C01" w:rsidP="00D12C6F">
            <w:pPr>
              <w:rPr>
                <w:rFonts w:eastAsia="MS Mincho"/>
                <w:sz w:val="20"/>
              </w:rPr>
            </w:pPr>
            <w:r w:rsidRPr="007F78CE">
              <w:rPr>
                <w:rFonts w:eastAsia="MS Mincho"/>
                <w:sz w:val="20"/>
              </w:rPr>
              <w:t>Les NES offrent des dispositions mieux fournies, tandis que le cadre réglementaire est plus explicite concernant les activités industrielles.</w:t>
            </w:r>
          </w:p>
          <w:p w14:paraId="2C060253" w14:textId="77777777" w:rsidR="006B2C01" w:rsidRPr="007F78CE" w:rsidRDefault="006B2C01" w:rsidP="00D12C6F">
            <w:pPr>
              <w:rPr>
                <w:rFonts w:eastAsia="MS Mincho"/>
                <w:sz w:val="20"/>
              </w:rPr>
            </w:pPr>
            <w:r w:rsidRPr="007F78CE">
              <w:rPr>
                <w:rFonts w:eastAsia="MS Mincho"/>
                <w:sz w:val="20"/>
                <w:u w:val="single"/>
              </w:rPr>
              <w:t>Conclusion</w:t>
            </w:r>
            <w:r w:rsidRPr="007F78CE">
              <w:rPr>
                <w:rFonts w:eastAsia="MS Mincho"/>
                <w:sz w:val="20"/>
              </w:rPr>
              <w:t> : Application des dispositions de la NES</w:t>
            </w:r>
          </w:p>
        </w:tc>
      </w:tr>
      <w:tr w:rsidR="006B2C01" w:rsidRPr="007F78CE" w14:paraId="4FDF510A" w14:textId="77777777" w:rsidTr="00B434A6">
        <w:trPr>
          <w:cantSplit/>
          <w:jc w:val="center"/>
        </w:trPr>
        <w:tc>
          <w:tcPr>
            <w:tcW w:w="5215" w:type="dxa"/>
          </w:tcPr>
          <w:p w14:paraId="2F08BFE0"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Éviter ou réduire les émissions atmosphériques pendant la conception, la construction et l’exploitation du projet</w:t>
            </w:r>
          </w:p>
          <w:p w14:paraId="7DB5B449" w14:textId="77777777" w:rsidR="006B2C01" w:rsidRPr="00BC30C6" w:rsidRDefault="006B2C01" w:rsidP="00D12C6F">
            <w:pPr>
              <w:autoSpaceDE w:val="0"/>
              <w:autoSpaceDN w:val="0"/>
              <w:adjustRightInd w:val="0"/>
              <w:rPr>
                <w:rFonts w:eastAsia="MS Mincho" w:cs="Arial"/>
                <w:lang w:eastAsia="fr-FR"/>
              </w:rPr>
            </w:pPr>
            <w:r w:rsidRPr="00BC30C6">
              <w:rPr>
                <w:rFonts w:eastAsia="MS Mincho" w:cs="Arial"/>
                <w:i/>
                <w:iCs/>
              </w:rPr>
              <w:t>Paragraphe 15</w:t>
            </w:r>
          </w:p>
        </w:tc>
        <w:tc>
          <w:tcPr>
            <w:tcW w:w="5850" w:type="dxa"/>
            <w:shd w:val="clear" w:color="auto" w:fill="auto"/>
            <w:vAlign w:val="center"/>
          </w:tcPr>
          <w:p w14:paraId="3ED25266" w14:textId="77777777" w:rsidR="006B2C01" w:rsidRPr="005007C1" w:rsidRDefault="006B2C01" w:rsidP="00B434A6">
            <w:pPr>
              <w:autoSpaceDE w:val="0"/>
              <w:autoSpaceDN w:val="0"/>
              <w:adjustRightInd w:val="0"/>
              <w:spacing w:after="120"/>
              <w:rPr>
                <w:rFonts w:ascii="arial gras" w:eastAsia="MS Mincho" w:hAnsi="arial gras" w:cs="Arial" w:hint="eastAsia"/>
                <w:b/>
                <w:smallCaps/>
                <w:color w:val="000000"/>
                <w:w w:val="104"/>
                <w:sz w:val="20"/>
                <w:szCs w:val="10"/>
              </w:rPr>
            </w:pPr>
            <w:r w:rsidRPr="005007C1">
              <w:rPr>
                <w:rFonts w:eastAsia="MS Mincho" w:cs="Arial"/>
                <w:w w:val="104"/>
                <w:sz w:val="20"/>
                <w:szCs w:val="10"/>
              </w:rPr>
              <w:t xml:space="preserve">Les pollutions atmosphériques </w:t>
            </w:r>
            <w:r>
              <w:rPr>
                <w:rFonts w:eastAsia="MS Mincho" w:cs="Arial"/>
                <w:w w:val="104"/>
                <w:sz w:val="20"/>
                <w:szCs w:val="10"/>
              </w:rPr>
              <w:t>f</w:t>
            </w:r>
            <w:r w:rsidRPr="005007C1">
              <w:rPr>
                <w:rFonts w:eastAsia="MS Mincho" w:cs="Arial"/>
                <w:w w:val="104"/>
                <w:sz w:val="20"/>
                <w:szCs w:val="10"/>
              </w:rPr>
              <w:t xml:space="preserve">ont </w:t>
            </w:r>
            <w:r>
              <w:rPr>
                <w:rFonts w:eastAsia="MS Mincho" w:cs="Arial"/>
                <w:w w:val="104"/>
                <w:sz w:val="20"/>
                <w:szCs w:val="10"/>
              </w:rPr>
              <w:t>l’objet de dispositions particulières par le cadre réglementaire régissant les activités industrielles.</w:t>
            </w:r>
          </w:p>
          <w:p w14:paraId="25AFF2E4" w14:textId="77777777" w:rsidR="006B2C01" w:rsidRPr="005D4294" w:rsidRDefault="006B2C01" w:rsidP="00D12C6F">
            <w:pPr>
              <w:pStyle w:val="Tabletext"/>
              <w:rPr>
                <w:rFonts w:ascii="Calibri" w:eastAsia="MS Mincho" w:hAnsi="Calibri" w:cs="Arial"/>
                <w:i/>
                <w:iCs/>
              </w:rPr>
            </w:pPr>
            <w:r w:rsidRPr="005D4294">
              <w:rPr>
                <w:rFonts w:ascii="Calibri" w:eastAsia="MS Mincho" w:hAnsi="Calibri" w:cs="Arial"/>
                <w:i/>
                <w:iCs/>
              </w:rPr>
              <w:t>LOI N° 99-021 DU 19 AOUT 1999 sur la politique de gestion et de contrôle des pollutions industrielles</w:t>
            </w:r>
            <w:r w:rsidRPr="00BC30C6">
              <w:rPr>
                <w:rFonts w:ascii="Calibri" w:eastAsia="MS Mincho" w:hAnsi="Calibri" w:cs="Arial"/>
                <w:i/>
                <w:iCs/>
              </w:rPr>
              <w:t xml:space="preserve"> [Article</w:t>
            </w:r>
            <w:r>
              <w:rPr>
                <w:rFonts w:ascii="Calibri" w:eastAsia="MS Mincho" w:hAnsi="Calibri" w:cs="Arial"/>
                <w:i/>
                <w:iCs/>
              </w:rPr>
              <w:t xml:space="preserve"> 2 -Articles 34 à 36</w:t>
            </w:r>
            <w:r w:rsidRPr="00BC30C6">
              <w:rPr>
                <w:rFonts w:ascii="Calibri" w:eastAsia="MS Mincho" w:hAnsi="Calibri" w:cs="Arial"/>
                <w:i/>
                <w:iCs/>
              </w:rPr>
              <w:t>]</w:t>
            </w:r>
            <w:r>
              <w:rPr>
                <w:rFonts w:ascii="Calibri" w:eastAsia="MS Mincho" w:hAnsi="Calibri" w:cs="Arial"/>
                <w:i/>
                <w:iCs/>
              </w:rPr>
              <w:t>.</w:t>
            </w:r>
          </w:p>
          <w:p w14:paraId="6A05D484" w14:textId="77777777" w:rsidR="006B2C01" w:rsidRDefault="006B2C01" w:rsidP="00B434A6">
            <w:pPr>
              <w:autoSpaceDE w:val="0"/>
              <w:autoSpaceDN w:val="0"/>
              <w:adjustRightInd w:val="0"/>
              <w:spacing w:after="120"/>
              <w:rPr>
                <w:rFonts w:ascii="arial gras" w:eastAsia="MS Mincho" w:hAnsi="arial gras" w:cs="Arial" w:hint="eastAsia"/>
                <w:b/>
                <w:smallCaps/>
                <w:color w:val="000000"/>
                <w:w w:val="104"/>
                <w:sz w:val="20"/>
                <w:szCs w:val="10"/>
              </w:rPr>
            </w:pPr>
            <w:r>
              <w:rPr>
                <w:rFonts w:eastAsia="MS Mincho" w:cs="Arial"/>
                <w:w w:val="104"/>
                <w:sz w:val="20"/>
                <w:szCs w:val="10"/>
              </w:rPr>
              <w:t>Il y a lieu de mettre en place un système de</w:t>
            </w:r>
            <w:r w:rsidRPr="00C875A9">
              <w:rPr>
                <w:rFonts w:eastAsia="MS Mincho" w:cs="Arial"/>
                <w:w w:val="104"/>
                <w:sz w:val="20"/>
                <w:szCs w:val="10"/>
              </w:rPr>
              <w:t xml:space="preserve"> contrôle</w:t>
            </w:r>
            <w:r>
              <w:rPr>
                <w:rFonts w:eastAsia="MS Mincho" w:cs="Arial"/>
                <w:w w:val="104"/>
                <w:sz w:val="20"/>
                <w:szCs w:val="10"/>
              </w:rPr>
              <w:t xml:space="preserve"> qui</w:t>
            </w:r>
            <w:r w:rsidRPr="00C875A9">
              <w:rPr>
                <w:rFonts w:eastAsia="MS Mincho" w:cs="Arial"/>
                <w:w w:val="104"/>
                <w:sz w:val="20"/>
                <w:szCs w:val="10"/>
              </w:rPr>
              <w:t xml:space="preserve"> prend en compte les paramètres physico-chimiques, toxicologiques et écotoxicologiques dont l’énumération doit faire l’objet d’une liste fixée par arrêté interministériel des Ministères chargé de l’Industrie et chargé de l’Environnement et comportant des valeurs limites.</w:t>
            </w:r>
          </w:p>
          <w:p w14:paraId="7CB6B4ED" w14:textId="77777777" w:rsidR="006B2C01" w:rsidRPr="005D4294" w:rsidRDefault="006B2C01" w:rsidP="00D12C6F">
            <w:pPr>
              <w:pStyle w:val="Tabletext"/>
              <w:rPr>
                <w:rFonts w:ascii="Calibri" w:eastAsia="MS Mincho" w:hAnsi="Calibri" w:cs="Arial"/>
                <w:i/>
                <w:iCs/>
              </w:rPr>
            </w:pPr>
            <w:r w:rsidRPr="005D4294">
              <w:rPr>
                <w:rFonts w:ascii="Calibri" w:eastAsia="MS Mincho" w:hAnsi="Calibri" w:cs="Arial"/>
                <w:i/>
                <w:iCs/>
              </w:rPr>
              <w:t>LOI N° 99-021 DU 19 AOUT 1999 sur la politique de gestion et de contrôle des pollutions industrielles</w:t>
            </w:r>
            <w:r w:rsidRPr="00BC30C6">
              <w:rPr>
                <w:rFonts w:ascii="Calibri" w:eastAsia="MS Mincho" w:hAnsi="Calibri" w:cs="Arial"/>
                <w:i/>
                <w:iCs/>
              </w:rPr>
              <w:t xml:space="preserve"> [Article</w:t>
            </w:r>
            <w:r>
              <w:rPr>
                <w:rFonts w:ascii="Calibri" w:eastAsia="MS Mincho" w:hAnsi="Calibri" w:cs="Arial"/>
                <w:i/>
                <w:iCs/>
              </w:rPr>
              <w:t xml:space="preserve"> 2 -Articles 35</w:t>
            </w:r>
            <w:r w:rsidRPr="00BC30C6">
              <w:rPr>
                <w:rFonts w:ascii="Calibri" w:eastAsia="MS Mincho" w:hAnsi="Calibri" w:cs="Arial"/>
                <w:i/>
                <w:iCs/>
              </w:rPr>
              <w:t>]</w:t>
            </w:r>
            <w:r>
              <w:rPr>
                <w:rFonts w:ascii="Calibri" w:eastAsia="MS Mincho" w:hAnsi="Calibri" w:cs="Arial"/>
                <w:i/>
                <w:iCs/>
              </w:rPr>
              <w:t>.</w:t>
            </w:r>
          </w:p>
          <w:p w14:paraId="0847D44C" w14:textId="77777777" w:rsidR="006B2C01" w:rsidRPr="007F78CE" w:rsidRDefault="006B2C01" w:rsidP="00B434A6">
            <w:pPr>
              <w:autoSpaceDE w:val="0"/>
              <w:autoSpaceDN w:val="0"/>
              <w:adjustRightInd w:val="0"/>
              <w:spacing w:after="120"/>
              <w:rPr>
                <w:rFonts w:ascii="arial gras" w:eastAsia="Times New Roman" w:hAnsi="arial gras"/>
                <w:b/>
                <w:smallCaps/>
                <w:color w:val="000000"/>
              </w:rPr>
            </w:pPr>
            <w:r w:rsidRPr="00C875A9">
              <w:rPr>
                <w:rFonts w:eastAsia="MS Mincho" w:cs="Arial"/>
                <w:w w:val="104"/>
                <w:sz w:val="20"/>
                <w:szCs w:val="10"/>
              </w:rPr>
              <w:t>L’atmosphère des lieux de travail doit être protégée contre les émanations dangereuses et gênantes, les vapeurs, les gaz, les poussières, les fumées, sans que cette énumération soit limitative</w:t>
            </w:r>
            <w:r w:rsidRPr="007F78CE">
              <w:t>.</w:t>
            </w:r>
          </w:p>
          <w:p w14:paraId="46A8262D" w14:textId="77777777" w:rsidR="006B2C01" w:rsidRPr="00BC30C6" w:rsidRDefault="006B2C01" w:rsidP="00D12C6F">
            <w:pPr>
              <w:autoSpaceDE w:val="0"/>
              <w:autoSpaceDN w:val="0"/>
              <w:adjustRightInd w:val="0"/>
              <w:rPr>
                <w:rFonts w:eastAsia="MS Mincho" w:cs="Arial"/>
              </w:rPr>
            </w:pPr>
            <w:r w:rsidRPr="00BC30C6">
              <w:rPr>
                <w:rFonts w:eastAsia="MS Mincho" w:cs="Arial"/>
                <w:i/>
                <w:iCs/>
                <w:w w:val="104"/>
                <w:sz w:val="20"/>
                <w:szCs w:val="10"/>
              </w:rPr>
              <w:t>LOI N°2003 -044 Portant Code du Travail [Article</w:t>
            </w:r>
            <w:r>
              <w:rPr>
                <w:rFonts w:eastAsia="MS Mincho" w:cs="Arial"/>
                <w:i/>
                <w:iCs/>
                <w:w w:val="104"/>
                <w:sz w:val="20"/>
                <w:szCs w:val="10"/>
              </w:rPr>
              <w:t>s 113</w:t>
            </w:r>
            <w:r w:rsidRPr="00BC30C6">
              <w:rPr>
                <w:rFonts w:eastAsia="MS Mincho" w:cs="Arial"/>
                <w:i/>
                <w:iCs/>
                <w:w w:val="104"/>
                <w:sz w:val="20"/>
                <w:szCs w:val="10"/>
              </w:rPr>
              <w:t xml:space="preserve">] </w:t>
            </w:r>
          </w:p>
        </w:tc>
        <w:tc>
          <w:tcPr>
            <w:tcW w:w="3594" w:type="dxa"/>
            <w:shd w:val="clear" w:color="auto" w:fill="auto"/>
            <w:vAlign w:val="center"/>
          </w:tcPr>
          <w:p w14:paraId="3BCD5986" w14:textId="77777777" w:rsidR="006B2C01" w:rsidRPr="007F78CE" w:rsidRDefault="006B2C01" w:rsidP="00D12C6F">
            <w:pPr>
              <w:rPr>
                <w:rFonts w:eastAsia="MS Mincho"/>
                <w:sz w:val="20"/>
              </w:rPr>
            </w:pPr>
            <w:r w:rsidRPr="007F78CE">
              <w:rPr>
                <w:rFonts w:eastAsia="MS Mincho"/>
                <w:sz w:val="20"/>
              </w:rPr>
              <w:t>Complémentarité entre les dispositions du cadre réglementaire national et celles des NES.</w:t>
            </w:r>
          </w:p>
          <w:p w14:paraId="4FF046F7"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des deux cadres, en fonction du contexte de mise en œuvre des sous-projets.</w:t>
            </w:r>
          </w:p>
        </w:tc>
      </w:tr>
      <w:tr w:rsidR="006B2C01" w:rsidRPr="007F78CE" w14:paraId="5EF93756" w14:textId="77777777" w:rsidTr="00B434A6">
        <w:trPr>
          <w:cantSplit/>
          <w:jc w:val="center"/>
        </w:trPr>
        <w:tc>
          <w:tcPr>
            <w:tcW w:w="5215" w:type="dxa"/>
          </w:tcPr>
          <w:p w14:paraId="4534C845"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Identifier et estimer les émissions brutes de gaz à effet de serre (GES) résultant du projet, lorsque cette estimation est techniquement et financièrement réalisable.</w:t>
            </w:r>
            <w:r>
              <w:rPr>
                <w:rFonts w:ascii="Calibri" w:eastAsia="MS Mincho" w:hAnsi="Calibri" w:cs="Arial"/>
              </w:rPr>
              <w:t xml:space="preserve"> </w:t>
            </w:r>
            <w:r w:rsidRPr="00BC30C6">
              <w:rPr>
                <w:rFonts w:ascii="Calibri" w:eastAsia="MS Mincho" w:hAnsi="Calibri" w:cs="Arial"/>
              </w:rPr>
              <w:t>Au besoin la Banque mondiale peur fournir une assistance</w:t>
            </w:r>
          </w:p>
          <w:p w14:paraId="14F3DE87" w14:textId="77777777" w:rsidR="006B2C01" w:rsidRPr="00BC30C6" w:rsidRDefault="006B2C01" w:rsidP="00D12C6F">
            <w:pPr>
              <w:autoSpaceDE w:val="0"/>
              <w:autoSpaceDN w:val="0"/>
              <w:adjustRightInd w:val="0"/>
              <w:rPr>
                <w:rFonts w:eastAsia="MS Mincho" w:cs="Arial"/>
                <w:lang w:eastAsia="fr-FR"/>
              </w:rPr>
            </w:pPr>
            <w:r w:rsidRPr="00BC30C6">
              <w:rPr>
                <w:rFonts w:eastAsia="MS Mincho" w:cs="Arial"/>
                <w:i/>
                <w:iCs/>
              </w:rPr>
              <w:t>Paragraphe 16</w:t>
            </w:r>
          </w:p>
        </w:tc>
        <w:tc>
          <w:tcPr>
            <w:tcW w:w="5850" w:type="dxa"/>
            <w:shd w:val="clear" w:color="auto" w:fill="auto"/>
            <w:vAlign w:val="center"/>
          </w:tcPr>
          <w:p w14:paraId="6AACA440" w14:textId="77777777" w:rsidR="006B2C01" w:rsidRPr="00BC30C6" w:rsidRDefault="006B2C01" w:rsidP="00D12C6F">
            <w:pPr>
              <w:autoSpaceDE w:val="0"/>
              <w:autoSpaceDN w:val="0"/>
              <w:adjustRightInd w:val="0"/>
              <w:rPr>
                <w:rFonts w:eastAsia="MS Mincho" w:cs="Arial"/>
              </w:rPr>
            </w:pPr>
            <w:r>
              <w:rPr>
                <w:rFonts w:eastAsia="MS Mincho" w:cs="Arial"/>
                <w:w w:val="104"/>
                <w:sz w:val="20"/>
                <w:szCs w:val="10"/>
              </w:rPr>
              <w:t>Absence de</w:t>
            </w:r>
            <w:r w:rsidRPr="00DE17A7">
              <w:rPr>
                <w:rFonts w:eastAsia="MS Mincho" w:cs="Arial"/>
                <w:w w:val="104"/>
                <w:sz w:val="20"/>
                <w:szCs w:val="10"/>
              </w:rPr>
              <w:t xml:space="preserve"> disposition dans le cadre réglementaire r</w:t>
            </w:r>
            <w:r>
              <w:rPr>
                <w:rFonts w:eastAsia="MS Mincho" w:cs="Arial"/>
                <w:w w:val="104"/>
                <w:sz w:val="20"/>
                <w:szCs w:val="10"/>
              </w:rPr>
              <w:t>é</w:t>
            </w:r>
            <w:r w:rsidRPr="00DE17A7">
              <w:rPr>
                <w:rFonts w:eastAsia="MS Mincho" w:cs="Arial"/>
                <w:w w:val="104"/>
                <w:sz w:val="20"/>
                <w:szCs w:val="10"/>
              </w:rPr>
              <w:t>gissant l'estimation des émissions brutes de GES résultant d’un projet</w:t>
            </w:r>
          </w:p>
        </w:tc>
        <w:tc>
          <w:tcPr>
            <w:tcW w:w="3594" w:type="dxa"/>
            <w:shd w:val="clear" w:color="auto" w:fill="auto"/>
            <w:vAlign w:val="center"/>
          </w:tcPr>
          <w:p w14:paraId="7C2628D4"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Cette disposition ne s’applique pas ay projet DECIM</w:t>
            </w:r>
          </w:p>
        </w:tc>
      </w:tr>
      <w:tr w:rsidR="006B2C01" w:rsidRPr="007F78CE" w14:paraId="046E2D7C" w14:textId="77777777" w:rsidTr="00B434A6">
        <w:trPr>
          <w:cantSplit/>
          <w:jc w:val="center"/>
        </w:trPr>
        <w:tc>
          <w:tcPr>
            <w:tcW w:w="5215" w:type="dxa"/>
          </w:tcPr>
          <w:p w14:paraId="19CCD4DB"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Éviter ou minimiser la production de déchets dangereux et non dangereux, réutiliser, recycler et récupérer ces déchets, se conformer aux dispositions en vigueur en matière de stockage, de transport et d’élimination</w:t>
            </w:r>
          </w:p>
          <w:p w14:paraId="620E9DA3" w14:textId="77777777" w:rsidR="006B2C01" w:rsidRPr="00BC30C6" w:rsidRDefault="006B2C01" w:rsidP="00D12C6F">
            <w:pPr>
              <w:autoSpaceDE w:val="0"/>
              <w:autoSpaceDN w:val="0"/>
              <w:adjustRightInd w:val="0"/>
              <w:rPr>
                <w:rFonts w:eastAsia="MS Mincho" w:cs="Arial"/>
                <w:lang w:eastAsia="fr-FR"/>
              </w:rPr>
            </w:pPr>
            <w:r w:rsidRPr="00BC30C6">
              <w:rPr>
                <w:rFonts w:eastAsia="MS Mincho" w:cs="Arial"/>
                <w:i/>
                <w:iCs/>
              </w:rPr>
              <w:t>Paragraphes 17 à 20</w:t>
            </w:r>
          </w:p>
        </w:tc>
        <w:tc>
          <w:tcPr>
            <w:tcW w:w="5850" w:type="dxa"/>
            <w:shd w:val="clear" w:color="auto" w:fill="auto"/>
            <w:vAlign w:val="center"/>
          </w:tcPr>
          <w:p w14:paraId="65C26C60" w14:textId="77777777" w:rsidR="006B2C01" w:rsidRDefault="006B2C01" w:rsidP="00B434A6">
            <w:pPr>
              <w:autoSpaceDE w:val="0"/>
              <w:autoSpaceDN w:val="0"/>
              <w:adjustRightInd w:val="0"/>
              <w:spacing w:after="120"/>
              <w:rPr>
                <w:rFonts w:ascii="arial gras" w:eastAsia="MS Mincho" w:hAnsi="arial gras" w:cs="Arial" w:hint="eastAsia"/>
                <w:b/>
                <w:smallCaps/>
                <w:color w:val="000000"/>
                <w:w w:val="104"/>
                <w:sz w:val="20"/>
                <w:szCs w:val="10"/>
              </w:rPr>
            </w:pPr>
            <w:r w:rsidRPr="009527E9">
              <w:rPr>
                <w:rFonts w:eastAsia="MS Mincho" w:cs="Arial"/>
                <w:w w:val="104"/>
                <w:sz w:val="20"/>
                <w:szCs w:val="10"/>
              </w:rPr>
              <w:t>La gestion des déchets solides</w:t>
            </w:r>
            <w:r>
              <w:rPr>
                <w:rFonts w:eastAsia="MS Mincho" w:cs="Arial"/>
                <w:w w:val="104"/>
                <w:sz w:val="20"/>
                <w:szCs w:val="10"/>
              </w:rPr>
              <w:t xml:space="preserve"> dangereux et non dangereux font l’objet de mesures spécifiques dans le cadre des activités industrielles. A ce titre, il importe de </w:t>
            </w:r>
            <w:r w:rsidRPr="007F78CE">
              <w:t>: (</w:t>
            </w:r>
            <w:r w:rsidRPr="009527E9">
              <w:rPr>
                <w:rFonts w:eastAsia="MS Mincho" w:cs="Arial"/>
                <w:w w:val="104"/>
                <w:sz w:val="20"/>
                <w:szCs w:val="10"/>
              </w:rPr>
              <w:t>i) de limiter et de réduire à la source la quantité et la toxicité des dits déchets</w:t>
            </w:r>
            <w:r>
              <w:rPr>
                <w:rFonts w:eastAsia="MS Mincho" w:cs="Arial"/>
                <w:w w:val="104"/>
                <w:sz w:val="20"/>
                <w:szCs w:val="10"/>
              </w:rPr>
              <w:t xml:space="preserve">, (ii) de </w:t>
            </w:r>
            <w:r w:rsidRPr="00FF2934">
              <w:rPr>
                <w:rFonts w:eastAsia="MS Mincho" w:cs="Arial"/>
                <w:w w:val="104"/>
                <w:sz w:val="20"/>
                <w:szCs w:val="10"/>
              </w:rPr>
              <w:t>de recycler ou de valoriser les sous-produits de fabrication, et (iii) - d'effectuer selon les règles d'une bonne gestion le stockage en décharge ou l’élimination des déchets solides</w:t>
            </w:r>
            <w:r>
              <w:rPr>
                <w:rFonts w:eastAsia="MS Mincho" w:cs="Arial"/>
                <w:w w:val="104"/>
                <w:sz w:val="20"/>
                <w:szCs w:val="10"/>
              </w:rPr>
              <w:t xml:space="preserve">. </w:t>
            </w:r>
          </w:p>
          <w:p w14:paraId="6EC489DF" w14:textId="77777777" w:rsidR="006B2C01" w:rsidRPr="00DC451A" w:rsidRDefault="006B2C01" w:rsidP="00D12C6F">
            <w:pPr>
              <w:pStyle w:val="Tabletext"/>
              <w:rPr>
                <w:rFonts w:ascii="Calibri" w:eastAsia="MS Mincho" w:hAnsi="Calibri" w:cs="Arial"/>
                <w:i/>
                <w:iCs/>
              </w:rPr>
            </w:pPr>
            <w:r w:rsidRPr="005D4294">
              <w:rPr>
                <w:rFonts w:ascii="Calibri" w:eastAsia="MS Mincho" w:hAnsi="Calibri" w:cs="Arial"/>
                <w:i/>
                <w:iCs/>
              </w:rPr>
              <w:t>LOI N° 99-021 DU 19 AOUT 1999 sur la politique de gestion et de contrôle des pollutions industrielles</w:t>
            </w:r>
            <w:r w:rsidRPr="00BC30C6">
              <w:rPr>
                <w:rFonts w:ascii="Calibri" w:eastAsia="MS Mincho" w:hAnsi="Calibri" w:cs="Arial"/>
                <w:i/>
                <w:iCs/>
              </w:rPr>
              <w:t>[Article</w:t>
            </w:r>
            <w:r>
              <w:rPr>
                <w:rFonts w:ascii="Calibri" w:eastAsia="MS Mincho" w:hAnsi="Calibri" w:cs="Arial"/>
                <w:i/>
                <w:iCs/>
              </w:rPr>
              <w:t xml:space="preserve"> 2 -Articles 35</w:t>
            </w:r>
            <w:r w:rsidRPr="00BC30C6">
              <w:rPr>
                <w:rFonts w:ascii="Calibri" w:eastAsia="MS Mincho" w:hAnsi="Calibri" w:cs="Arial"/>
                <w:i/>
                <w:iCs/>
              </w:rPr>
              <w:t>]</w:t>
            </w:r>
            <w:r>
              <w:rPr>
                <w:rFonts w:ascii="Calibri" w:eastAsia="MS Mincho" w:hAnsi="Calibri" w:cs="Arial"/>
                <w:i/>
                <w:iCs/>
              </w:rPr>
              <w:t>.</w:t>
            </w:r>
          </w:p>
        </w:tc>
        <w:tc>
          <w:tcPr>
            <w:tcW w:w="3594" w:type="dxa"/>
            <w:shd w:val="clear" w:color="auto" w:fill="auto"/>
            <w:vAlign w:val="center"/>
          </w:tcPr>
          <w:p w14:paraId="04EA188A" w14:textId="77777777" w:rsidR="006B2C01" w:rsidRPr="007F78CE" w:rsidRDefault="006B2C01" w:rsidP="00B434A6">
            <w:pPr>
              <w:autoSpaceDE w:val="0"/>
              <w:autoSpaceDN w:val="0"/>
              <w:adjustRightInd w:val="0"/>
              <w:spacing w:after="120"/>
              <w:rPr>
                <w:rFonts w:ascii="arial gras" w:eastAsia="MS Mincho" w:hAnsi="arial gras" w:hint="eastAsia"/>
                <w:b/>
                <w:smallCaps/>
                <w:color w:val="000000"/>
                <w:sz w:val="20"/>
              </w:rPr>
            </w:pPr>
            <w:r w:rsidRPr="007F78CE">
              <w:rPr>
                <w:rFonts w:eastAsia="MS Mincho"/>
                <w:sz w:val="20"/>
              </w:rPr>
              <w:t xml:space="preserve">Correspondance entre les dispositions du cadre </w:t>
            </w:r>
            <w:r w:rsidRPr="00B434A6">
              <w:rPr>
                <w:rFonts w:eastAsia="MS Mincho" w:cs="Arial"/>
                <w:w w:val="104"/>
                <w:sz w:val="20"/>
                <w:szCs w:val="10"/>
              </w:rPr>
              <w:t>réglementaire</w:t>
            </w:r>
            <w:r w:rsidRPr="007F78CE">
              <w:rPr>
                <w:rFonts w:eastAsia="MS Mincho"/>
                <w:sz w:val="20"/>
              </w:rPr>
              <w:t xml:space="preserve"> national et celles des NES.</w:t>
            </w:r>
          </w:p>
          <w:p w14:paraId="23BC2899" w14:textId="77777777" w:rsidR="006B2C01" w:rsidRPr="00BC30C6" w:rsidRDefault="006B2C01" w:rsidP="00B434A6">
            <w:pPr>
              <w:autoSpaceDE w:val="0"/>
              <w:autoSpaceDN w:val="0"/>
              <w:adjustRightInd w:val="0"/>
              <w:spacing w:after="120"/>
              <w:rPr>
                <w:rFonts w:eastAsia="MS Mincho" w:cs="Arial"/>
              </w:rPr>
            </w:pPr>
            <w:r w:rsidRPr="007F78CE">
              <w:rPr>
                <w:rFonts w:eastAsia="MS Mincho"/>
                <w:sz w:val="20"/>
                <w:u w:val="single"/>
              </w:rPr>
              <w:t>Conclusion</w:t>
            </w:r>
            <w:r w:rsidRPr="007F78CE">
              <w:rPr>
                <w:rFonts w:eastAsia="MS Mincho"/>
                <w:sz w:val="20"/>
              </w:rPr>
              <w:t> : Application des dispositions des deux cadres, en fonction du contexte de mise en œuvre des sous-projets.</w:t>
            </w:r>
          </w:p>
        </w:tc>
      </w:tr>
      <w:tr w:rsidR="006B2C01" w:rsidRPr="007F78CE" w14:paraId="38F4C522" w14:textId="77777777" w:rsidTr="00B434A6">
        <w:trPr>
          <w:cantSplit/>
          <w:jc w:val="center"/>
        </w:trPr>
        <w:tc>
          <w:tcPr>
            <w:tcW w:w="5215" w:type="dxa"/>
          </w:tcPr>
          <w:p w14:paraId="11D38E7E"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Pour tout projet présentant des enjeux importants en matière de lutte antiparasitaire ou de gestion des pesticides, préparer un plan de lutte contre les nuisible</w:t>
            </w:r>
            <w:r>
              <w:rPr>
                <w:rFonts w:ascii="Calibri" w:eastAsia="MS Mincho" w:hAnsi="Calibri" w:cs="Arial"/>
              </w:rPr>
              <w:t>s</w:t>
            </w:r>
            <w:r w:rsidRPr="00BC30C6">
              <w:rPr>
                <w:rFonts w:ascii="Calibri" w:eastAsia="MS Mincho" w:hAnsi="Calibri" w:cs="Arial"/>
              </w:rPr>
              <w:t xml:space="preserve">, en utilisant des stratégies combinées de gestion intégrée </w:t>
            </w:r>
            <w:r>
              <w:rPr>
                <w:rFonts w:ascii="Calibri" w:eastAsia="MS Mincho" w:hAnsi="Calibri" w:cs="Arial"/>
              </w:rPr>
              <w:t>d</w:t>
            </w:r>
            <w:r w:rsidRPr="00BC30C6">
              <w:rPr>
                <w:rFonts w:ascii="Calibri" w:eastAsia="MS Mincho" w:hAnsi="Calibri" w:cs="Arial"/>
              </w:rPr>
              <w:t>es nuisibles et des vecteurs</w:t>
            </w:r>
          </w:p>
          <w:p w14:paraId="7C0E4432" w14:textId="77777777" w:rsidR="006B2C01" w:rsidRPr="00BC30C6" w:rsidRDefault="006B2C01" w:rsidP="00D12C6F">
            <w:pPr>
              <w:pStyle w:val="Tabletext"/>
              <w:rPr>
                <w:rFonts w:ascii="Calibri" w:eastAsia="MS Mincho" w:hAnsi="Calibri" w:cs="Arial"/>
                <w:i/>
                <w:iCs/>
              </w:rPr>
            </w:pPr>
            <w:r w:rsidRPr="00BC30C6">
              <w:rPr>
                <w:rFonts w:ascii="Calibri" w:eastAsia="MS Mincho" w:hAnsi="Calibri" w:cs="Arial"/>
                <w:i/>
                <w:iCs/>
              </w:rPr>
              <w:t>Paragraphes 22 à 25</w:t>
            </w:r>
          </w:p>
        </w:tc>
        <w:tc>
          <w:tcPr>
            <w:tcW w:w="5850" w:type="dxa"/>
            <w:shd w:val="clear" w:color="auto" w:fill="auto"/>
            <w:vAlign w:val="center"/>
          </w:tcPr>
          <w:p w14:paraId="4A5B3CDB" w14:textId="77777777" w:rsidR="006B2C01" w:rsidRPr="00225574" w:rsidRDefault="006B2C01" w:rsidP="00B434A6">
            <w:pPr>
              <w:autoSpaceDE w:val="0"/>
              <w:autoSpaceDN w:val="0"/>
              <w:adjustRightInd w:val="0"/>
              <w:spacing w:after="120"/>
              <w:rPr>
                <w:rFonts w:ascii="arial gras" w:eastAsia="MS Mincho" w:hAnsi="arial gras" w:cs="Arial" w:hint="eastAsia"/>
                <w:b/>
                <w:smallCaps/>
                <w:color w:val="000000"/>
                <w:w w:val="104"/>
                <w:sz w:val="20"/>
                <w:szCs w:val="10"/>
              </w:rPr>
            </w:pPr>
            <w:r w:rsidRPr="00225574">
              <w:rPr>
                <w:rFonts w:eastAsia="MS Mincho" w:cs="Arial"/>
                <w:w w:val="104"/>
                <w:sz w:val="20"/>
                <w:szCs w:val="10"/>
              </w:rPr>
              <w:t xml:space="preserve">Concernant la protection phytosanitaire, il est prévu d’établir des arrêtés ministériels pour déterminer les conditions dans lesquelles peuvent circuler les végétaux, les produits végétaux, les terres, les fumiers, composts, les supports de culture, ainsi que des emballages, sacs et autres conditionnements susceptibles de servir de support aux organismes nuisibles. </w:t>
            </w:r>
            <w:r>
              <w:rPr>
                <w:rFonts w:eastAsia="MS Mincho" w:cs="Arial"/>
                <w:w w:val="104"/>
                <w:sz w:val="20"/>
                <w:szCs w:val="10"/>
              </w:rPr>
              <w:t xml:space="preserve">Ordonnance N°86-013 </w:t>
            </w:r>
            <w:r>
              <w:rPr>
                <w:rFonts w:eastAsia="MS Mincho" w:cs="Arial"/>
                <w:i/>
                <w:iCs/>
                <w:w w:val="104"/>
                <w:sz w:val="20"/>
                <w:szCs w:val="10"/>
              </w:rPr>
              <w:t xml:space="preserve">relative à la législation phytosanitaire </w:t>
            </w:r>
            <w:r w:rsidRPr="00BC30C6">
              <w:rPr>
                <w:rFonts w:eastAsia="MS Mincho" w:cs="Arial"/>
                <w:i/>
                <w:iCs/>
                <w:w w:val="104"/>
                <w:sz w:val="20"/>
                <w:szCs w:val="10"/>
              </w:rPr>
              <w:t>[Article</w:t>
            </w:r>
            <w:r>
              <w:rPr>
                <w:rFonts w:eastAsia="MS Mincho" w:cs="Arial"/>
                <w:i/>
                <w:iCs/>
                <w:w w:val="104"/>
                <w:sz w:val="20"/>
                <w:szCs w:val="10"/>
              </w:rPr>
              <w:t>s 6</w:t>
            </w:r>
            <w:r w:rsidRPr="00BC30C6">
              <w:rPr>
                <w:rFonts w:eastAsia="MS Mincho" w:cs="Arial"/>
                <w:i/>
                <w:iCs/>
                <w:w w:val="104"/>
                <w:sz w:val="20"/>
                <w:szCs w:val="10"/>
              </w:rPr>
              <w:t>]</w:t>
            </w:r>
          </w:p>
          <w:p w14:paraId="293A7FCB" w14:textId="77777777" w:rsidR="006B2C01" w:rsidRDefault="006B2C01" w:rsidP="00B434A6">
            <w:pPr>
              <w:autoSpaceDE w:val="0"/>
              <w:autoSpaceDN w:val="0"/>
              <w:adjustRightInd w:val="0"/>
              <w:spacing w:after="120"/>
              <w:rPr>
                <w:rFonts w:ascii="arial gras" w:eastAsia="MS Mincho" w:hAnsi="arial gras" w:cs="Arial" w:hint="eastAsia"/>
                <w:b/>
                <w:smallCaps/>
                <w:color w:val="000000"/>
              </w:rPr>
            </w:pPr>
            <w:r w:rsidRPr="00030C28">
              <w:rPr>
                <w:rFonts w:eastAsia="MS Mincho" w:cs="Arial"/>
                <w:w w:val="104"/>
                <w:sz w:val="20"/>
                <w:szCs w:val="10"/>
              </w:rPr>
              <w:t>Le Ministère en charge de l’Agriculture prescrit par Arrêté les traitements et les mesures nécessaires pour lutter contre la propagation des organismes nuisibles dangereux</w:t>
            </w:r>
            <w:r>
              <w:rPr>
                <w:rFonts w:eastAsia="MS Mincho" w:cs="Arial"/>
              </w:rPr>
              <w:t xml:space="preserve">. </w:t>
            </w:r>
            <w:r>
              <w:rPr>
                <w:rFonts w:eastAsia="MS Mincho" w:cs="Arial"/>
                <w:w w:val="104"/>
                <w:sz w:val="20"/>
                <w:szCs w:val="10"/>
              </w:rPr>
              <w:t xml:space="preserve">Ordonnance N°86-013 </w:t>
            </w:r>
            <w:r>
              <w:rPr>
                <w:rFonts w:eastAsia="MS Mincho" w:cs="Arial"/>
                <w:i/>
                <w:iCs/>
                <w:w w:val="104"/>
                <w:sz w:val="20"/>
                <w:szCs w:val="10"/>
              </w:rPr>
              <w:t xml:space="preserve">relative à la législation phytosanitaire </w:t>
            </w:r>
            <w:r w:rsidRPr="00BC30C6">
              <w:rPr>
                <w:rFonts w:eastAsia="MS Mincho" w:cs="Arial"/>
                <w:i/>
                <w:iCs/>
                <w:w w:val="104"/>
                <w:sz w:val="20"/>
                <w:szCs w:val="10"/>
              </w:rPr>
              <w:t>[Article</w:t>
            </w:r>
            <w:r>
              <w:rPr>
                <w:rFonts w:eastAsia="MS Mincho" w:cs="Arial"/>
                <w:i/>
                <w:iCs/>
                <w:w w:val="104"/>
                <w:sz w:val="20"/>
                <w:szCs w:val="10"/>
              </w:rPr>
              <w:t>s 10</w:t>
            </w:r>
            <w:r w:rsidRPr="00BC30C6">
              <w:rPr>
                <w:rFonts w:eastAsia="MS Mincho" w:cs="Arial"/>
                <w:i/>
                <w:iCs/>
                <w:w w:val="104"/>
                <w:sz w:val="20"/>
                <w:szCs w:val="10"/>
              </w:rPr>
              <w:t>]</w:t>
            </w:r>
          </w:p>
          <w:p w14:paraId="4445473E" w14:textId="77777777" w:rsidR="006B2C01" w:rsidRPr="00030C28" w:rsidRDefault="006B2C01" w:rsidP="00B434A6">
            <w:pPr>
              <w:autoSpaceDE w:val="0"/>
              <w:autoSpaceDN w:val="0"/>
              <w:adjustRightInd w:val="0"/>
              <w:spacing w:after="120"/>
              <w:rPr>
                <w:rFonts w:ascii="arial gras" w:eastAsia="MS Mincho" w:hAnsi="arial gras" w:cs="Arial" w:hint="eastAsia"/>
                <w:b/>
                <w:smallCaps/>
                <w:color w:val="000000"/>
                <w:w w:val="104"/>
                <w:sz w:val="20"/>
                <w:szCs w:val="10"/>
              </w:rPr>
            </w:pPr>
            <w:r w:rsidRPr="00030C28">
              <w:rPr>
                <w:rFonts w:eastAsia="MS Mincho" w:cs="Arial"/>
                <w:w w:val="104"/>
                <w:sz w:val="20"/>
                <w:szCs w:val="10"/>
              </w:rPr>
              <w:t xml:space="preserve">Concernant la lutte contre les organismes nuisibles, </w:t>
            </w:r>
            <w:r>
              <w:rPr>
                <w:rFonts w:eastAsia="MS Mincho" w:cs="Arial"/>
                <w:w w:val="104"/>
                <w:sz w:val="20"/>
                <w:szCs w:val="10"/>
              </w:rPr>
              <w:t xml:space="preserve">le service de protection des végétaux avec les collectivités territoriales décentralisées met en place un plan de lutte, après avoir pris connaissance de l’existence d’organismes réputés dangereux. </w:t>
            </w:r>
          </w:p>
          <w:p w14:paraId="30CAEDB7" w14:textId="77777777" w:rsidR="006B2C01" w:rsidRDefault="006B2C01" w:rsidP="00D12C6F">
            <w:pPr>
              <w:autoSpaceDE w:val="0"/>
              <w:autoSpaceDN w:val="0"/>
              <w:adjustRightInd w:val="0"/>
              <w:rPr>
                <w:rFonts w:eastAsia="MS Mincho" w:cs="Arial"/>
                <w:i/>
                <w:iCs/>
                <w:w w:val="104"/>
                <w:sz w:val="20"/>
                <w:szCs w:val="10"/>
              </w:rPr>
            </w:pPr>
            <w:r>
              <w:rPr>
                <w:rFonts w:eastAsia="MS Mincho" w:cs="Arial"/>
                <w:i/>
                <w:iCs/>
                <w:w w:val="104"/>
                <w:sz w:val="20"/>
                <w:szCs w:val="10"/>
              </w:rPr>
              <w:t xml:space="preserve">Décret N° 86-130 relative à la législation phytosanitaire </w:t>
            </w:r>
            <w:r w:rsidRPr="00BC30C6">
              <w:rPr>
                <w:rFonts w:eastAsia="MS Mincho" w:cs="Arial"/>
                <w:i/>
                <w:iCs/>
                <w:w w:val="104"/>
                <w:sz w:val="20"/>
                <w:szCs w:val="10"/>
              </w:rPr>
              <w:t>[Article</w:t>
            </w:r>
            <w:r>
              <w:rPr>
                <w:rFonts w:eastAsia="MS Mincho" w:cs="Arial"/>
                <w:i/>
                <w:iCs/>
                <w:w w:val="104"/>
                <w:sz w:val="20"/>
                <w:szCs w:val="10"/>
              </w:rPr>
              <w:t>s 6</w:t>
            </w:r>
            <w:r w:rsidRPr="00BC30C6">
              <w:rPr>
                <w:rFonts w:eastAsia="MS Mincho" w:cs="Arial"/>
                <w:i/>
                <w:iCs/>
                <w:w w:val="104"/>
                <w:sz w:val="20"/>
                <w:szCs w:val="10"/>
              </w:rPr>
              <w:t>]</w:t>
            </w:r>
          </w:p>
          <w:p w14:paraId="740E574D" w14:textId="77777777" w:rsidR="006B2C01" w:rsidRPr="00C400C1" w:rsidRDefault="006B2C01" w:rsidP="00B434A6">
            <w:pPr>
              <w:autoSpaceDE w:val="0"/>
              <w:autoSpaceDN w:val="0"/>
              <w:adjustRightInd w:val="0"/>
              <w:spacing w:after="120"/>
              <w:rPr>
                <w:rFonts w:ascii="arial gras" w:eastAsia="MS Mincho" w:hAnsi="arial gras" w:cs="Arial" w:hint="eastAsia"/>
                <w:b/>
                <w:smallCaps/>
                <w:color w:val="000000"/>
                <w:w w:val="104"/>
                <w:sz w:val="20"/>
                <w:szCs w:val="10"/>
              </w:rPr>
            </w:pPr>
            <w:r w:rsidRPr="00C400C1">
              <w:rPr>
                <w:rFonts w:eastAsia="MS Mincho" w:cs="Arial"/>
                <w:w w:val="104"/>
                <w:sz w:val="20"/>
                <w:szCs w:val="10"/>
              </w:rPr>
              <w:t>Sont soumis à une étude d’impact environnemental et social tout projet d’épandage de produits chimiques susceptibles de par son envergure de porter atteinte à l’environnement et à la santé humaine</w:t>
            </w:r>
          </w:p>
          <w:p w14:paraId="65380C4C" w14:textId="77777777" w:rsidR="006B2C01" w:rsidRPr="001026D9" w:rsidRDefault="006B2C01" w:rsidP="00D12C6F">
            <w:pPr>
              <w:autoSpaceDE w:val="0"/>
              <w:autoSpaceDN w:val="0"/>
              <w:adjustRightInd w:val="0"/>
              <w:rPr>
                <w:rFonts w:eastAsia="MS Mincho" w:cs="Arial"/>
                <w:i/>
                <w:iCs/>
                <w:w w:val="104"/>
                <w:sz w:val="20"/>
                <w:szCs w:val="10"/>
              </w:rPr>
            </w:pPr>
            <w:r>
              <w:rPr>
                <w:rFonts w:eastAsia="MS Mincho" w:cs="Arial"/>
                <w:i/>
                <w:iCs/>
                <w:w w:val="104"/>
                <w:sz w:val="20"/>
                <w:szCs w:val="10"/>
              </w:rPr>
              <w:t>D</w:t>
            </w:r>
            <w:r w:rsidRPr="001026D9">
              <w:rPr>
                <w:rFonts w:eastAsia="MS Mincho" w:cs="Arial"/>
                <w:i/>
                <w:iCs/>
                <w:w w:val="104"/>
                <w:sz w:val="20"/>
                <w:szCs w:val="10"/>
              </w:rPr>
              <w:t>écret n° 99 954 du 15 Décembre 1999 fixant les nouvelles dispositions relatives à la mise en compatibilité des investissements avec l’environnemen</w:t>
            </w:r>
            <w:r>
              <w:rPr>
                <w:rFonts w:eastAsia="MS Mincho" w:cs="Arial"/>
                <w:i/>
                <w:iCs/>
                <w:w w:val="104"/>
                <w:sz w:val="20"/>
                <w:szCs w:val="10"/>
              </w:rPr>
              <w:t xml:space="preserve">t </w:t>
            </w:r>
            <w:r w:rsidRPr="00BC30C6">
              <w:rPr>
                <w:rFonts w:eastAsia="MS Mincho" w:cs="Arial"/>
                <w:i/>
                <w:iCs/>
                <w:w w:val="104"/>
                <w:sz w:val="20"/>
                <w:szCs w:val="10"/>
              </w:rPr>
              <w:t>[A</w:t>
            </w:r>
            <w:r>
              <w:rPr>
                <w:rFonts w:eastAsia="MS Mincho" w:cs="Arial"/>
                <w:i/>
                <w:iCs/>
                <w:w w:val="104"/>
                <w:sz w:val="20"/>
                <w:szCs w:val="10"/>
              </w:rPr>
              <w:t>nnexe 1</w:t>
            </w:r>
            <w:r w:rsidRPr="00BC30C6">
              <w:rPr>
                <w:rFonts w:eastAsia="MS Mincho" w:cs="Arial"/>
                <w:i/>
                <w:iCs/>
                <w:w w:val="104"/>
                <w:sz w:val="20"/>
                <w:szCs w:val="10"/>
              </w:rPr>
              <w:t>]</w:t>
            </w:r>
          </w:p>
        </w:tc>
        <w:tc>
          <w:tcPr>
            <w:tcW w:w="3594" w:type="dxa"/>
            <w:shd w:val="clear" w:color="auto" w:fill="auto"/>
            <w:vAlign w:val="center"/>
          </w:tcPr>
          <w:p w14:paraId="323CAC08" w14:textId="77777777" w:rsidR="006B2C01" w:rsidRPr="007F78CE" w:rsidRDefault="006B2C01" w:rsidP="00D12C6F">
            <w:pPr>
              <w:rPr>
                <w:rFonts w:eastAsia="MS Mincho"/>
                <w:sz w:val="20"/>
              </w:rPr>
            </w:pPr>
            <w:r w:rsidRPr="007F78CE">
              <w:rPr>
                <w:rFonts w:eastAsia="MS Mincho"/>
                <w:sz w:val="20"/>
              </w:rPr>
              <w:t>Complémentarité entre les dispositions du cadre national et celles des NES.</w:t>
            </w:r>
          </w:p>
          <w:p w14:paraId="5CA08260" w14:textId="77777777" w:rsidR="006B2C01" w:rsidRPr="007F78CE" w:rsidRDefault="006B2C01" w:rsidP="00D12C6F">
            <w:pPr>
              <w:rPr>
                <w:rFonts w:eastAsia="MS Mincho"/>
                <w:sz w:val="20"/>
              </w:rPr>
            </w:pPr>
            <w:r w:rsidRPr="007F78CE">
              <w:rPr>
                <w:rFonts w:eastAsia="MS Mincho"/>
                <w:sz w:val="20"/>
              </w:rPr>
              <w:t>Les dispositions des NES sont plus explicites et mieux fournies. Il est évoqué la nécessité d’élaborer un plan de gestion intégrée des pesticides.</w:t>
            </w:r>
          </w:p>
          <w:p w14:paraId="14B6840E"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des deux cadres, en fonction du contexte de mise en œuvre des sous-projets</w:t>
            </w:r>
          </w:p>
        </w:tc>
      </w:tr>
      <w:tr w:rsidR="006B2C01" w:rsidRPr="007F78CE" w14:paraId="02614945" w14:textId="77777777" w:rsidTr="00D12C6F">
        <w:trPr>
          <w:jc w:val="center"/>
        </w:trPr>
        <w:tc>
          <w:tcPr>
            <w:tcW w:w="14659" w:type="dxa"/>
            <w:gridSpan w:val="3"/>
            <w:shd w:val="clear" w:color="auto" w:fill="FBD4B4"/>
            <w:vAlign w:val="center"/>
          </w:tcPr>
          <w:p w14:paraId="213B7E19" w14:textId="77777777" w:rsidR="006B2C01" w:rsidRPr="00BC30C6" w:rsidRDefault="006B2C01" w:rsidP="00D12C6F">
            <w:pPr>
              <w:keepNext/>
              <w:keepLines/>
              <w:spacing w:before="60" w:after="60"/>
              <w:jc w:val="center"/>
              <w:rPr>
                <w:rFonts w:eastAsia="MS Mincho" w:cs="Arial"/>
                <w:b/>
                <w:bCs/>
              </w:rPr>
            </w:pPr>
            <w:r w:rsidRPr="00BC30C6">
              <w:rPr>
                <w:rFonts w:eastAsia="MS Mincho" w:cs="Arial"/>
                <w:b/>
                <w:bCs/>
              </w:rPr>
              <w:t>NES4. Santé et sécurité des populations</w:t>
            </w:r>
          </w:p>
        </w:tc>
      </w:tr>
      <w:tr w:rsidR="006B2C01" w:rsidRPr="007F78CE" w14:paraId="17EA67F0" w14:textId="77777777" w:rsidTr="00B434A6">
        <w:trPr>
          <w:jc w:val="center"/>
        </w:trPr>
        <w:tc>
          <w:tcPr>
            <w:tcW w:w="5215" w:type="dxa"/>
          </w:tcPr>
          <w:p w14:paraId="69449AC7"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Évaluer les risques et effets sur la santé et la sécurité des populations touchées par le projet tout au long de celui-ci, y compris les personnes qui peuvent être considérées comme vulnérables en raison de leur situation particulière.</w:t>
            </w:r>
          </w:p>
          <w:p w14:paraId="07F2C5C6" w14:textId="77777777" w:rsidR="006B2C01" w:rsidRPr="00BC30C6" w:rsidRDefault="006B2C01" w:rsidP="00D12C6F">
            <w:pPr>
              <w:autoSpaceDE w:val="0"/>
              <w:autoSpaceDN w:val="0"/>
              <w:adjustRightInd w:val="0"/>
              <w:rPr>
                <w:rFonts w:eastAsia="MS Mincho" w:cs="Arial"/>
                <w:lang w:eastAsia="fr-FR"/>
              </w:rPr>
            </w:pPr>
            <w:r w:rsidRPr="00BC30C6">
              <w:rPr>
                <w:rFonts w:eastAsia="MS Mincho" w:cs="Arial"/>
                <w:i/>
                <w:iCs/>
              </w:rPr>
              <w:t>Paragraphe 5</w:t>
            </w:r>
          </w:p>
        </w:tc>
        <w:tc>
          <w:tcPr>
            <w:tcW w:w="5850" w:type="dxa"/>
            <w:shd w:val="clear" w:color="auto" w:fill="auto"/>
            <w:vAlign w:val="center"/>
          </w:tcPr>
          <w:p w14:paraId="079A029E" w14:textId="77777777" w:rsidR="006B2C01" w:rsidRPr="002501A5" w:rsidRDefault="006B2C01" w:rsidP="00B434A6">
            <w:pPr>
              <w:autoSpaceDE w:val="0"/>
              <w:autoSpaceDN w:val="0"/>
              <w:adjustRightInd w:val="0"/>
              <w:spacing w:after="120"/>
              <w:rPr>
                <w:rFonts w:ascii="arial gras" w:eastAsia="MS Mincho" w:hAnsi="arial gras" w:cs="Arial" w:hint="eastAsia"/>
                <w:b/>
                <w:smallCaps/>
                <w:color w:val="000000"/>
                <w:w w:val="104"/>
                <w:sz w:val="20"/>
                <w:szCs w:val="10"/>
              </w:rPr>
            </w:pPr>
            <w:r w:rsidRPr="006518C6">
              <w:rPr>
                <w:rFonts w:eastAsia="MS Mincho" w:cs="Arial"/>
                <w:w w:val="104"/>
                <w:sz w:val="20"/>
                <w:szCs w:val="10"/>
              </w:rPr>
              <w:t xml:space="preserve">Le </w:t>
            </w:r>
            <w:r>
              <w:rPr>
                <w:rFonts w:eastAsia="MS Mincho" w:cs="Arial"/>
                <w:w w:val="104"/>
                <w:sz w:val="20"/>
                <w:szCs w:val="10"/>
              </w:rPr>
              <w:t>C</w:t>
            </w:r>
            <w:r w:rsidRPr="006518C6">
              <w:rPr>
                <w:rFonts w:eastAsia="MS Mincho" w:cs="Arial"/>
                <w:w w:val="104"/>
                <w:sz w:val="20"/>
                <w:szCs w:val="10"/>
              </w:rPr>
              <w:t>ode de la santé définit les mesures d’hygiène qui se complètent avec</w:t>
            </w:r>
            <w:r>
              <w:rPr>
                <w:rFonts w:eastAsia="MS Mincho" w:cs="Arial"/>
                <w:w w:val="104"/>
                <w:sz w:val="20"/>
                <w:szCs w:val="10"/>
              </w:rPr>
              <w:t xml:space="preserve"> </w:t>
            </w:r>
            <w:r w:rsidRPr="002501A5">
              <w:rPr>
                <w:rFonts w:eastAsia="MS Mincho" w:cs="Arial"/>
                <w:w w:val="104"/>
                <w:sz w:val="20"/>
                <w:szCs w:val="10"/>
              </w:rPr>
              <w:t xml:space="preserve">les règlements sanitaires, et concernent la gestion et le contrôle des eaux, l’élimination des déchets de toutes sortes, la protection des denrées alimentaires, la salubrité des lieux d’habitation et la sauvegarde de l’environnement. </w:t>
            </w:r>
          </w:p>
          <w:p w14:paraId="3A631807" w14:textId="77777777" w:rsidR="006B2C01" w:rsidRPr="002501A5" w:rsidRDefault="006B2C01" w:rsidP="00D12C6F">
            <w:pPr>
              <w:autoSpaceDE w:val="0"/>
              <w:autoSpaceDN w:val="0"/>
              <w:adjustRightInd w:val="0"/>
              <w:rPr>
                <w:rFonts w:eastAsia="MS Mincho" w:cs="Arial"/>
                <w:i/>
                <w:iCs/>
                <w:w w:val="104"/>
                <w:sz w:val="20"/>
                <w:szCs w:val="10"/>
              </w:rPr>
            </w:pPr>
            <w:r w:rsidRPr="002501A5">
              <w:rPr>
                <w:rFonts w:eastAsia="MS Mincho" w:cs="Arial"/>
                <w:i/>
                <w:iCs/>
                <w:w w:val="104"/>
                <w:sz w:val="20"/>
                <w:szCs w:val="10"/>
              </w:rPr>
              <w:t>LOI n°2011-002 portant Code de la Santé</w:t>
            </w:r>
            <w:r w:rsidRPr="00BC30C6">
              <w:rPr>
                <w:rFonts w:eastAsia="MS Mincho" w:cs="Arial"/>
                <w:i/>
                <w:iCs/>
                <w:w w:val="104"/>
                <w:sz w:val="20"/>
                <w:szCs w:val="10"/>
              </w:rPr>
              <w:t xml:space="preserve"> [Article</w:t>
            </w:r>
            <w:r>
              <w:rPr>
                <w:rFonts w:eastAsia="MS Mincho" w:cs="Arial"/>
                <w:i/>
                <w:iCs/>
                <w:w w:val="104"/>
                <w:sz w:val="20"/>
                <w:szCs w:val="10"/>
              </w:rPr>
              <w:t xml:space="preserve"> 26</w:t>
            </w:r>
            <w:r w:rsidRPr="00BC30C6">
              <w:rPr>
                <w:rFonts w:eastAsia="MS Mincho" w:cs="Arial"/>
                <w:i/>
                <w:iCs/>
                <w:w w:val="104"/>
                <w:sz w:val="20"/>
                <w:szCs w:val="10"/>
              </w:rPr>
              <w:t>]</w:t>
            </w:r>
          </w:p>
          <w:p w14:paraId="069D99F7" w14:textId="77777777" w:rsidR="006B2C01" w:rsidRPr="00FD5AFF" w:rsidRDefault="006B2C01" w:rsidP="00B434A6">
            <w:pPr>
              <w:autoSpaceDE w:val="0"/>
              <w:autoSpaceDN w:val="0"/>
              <w:adjustRightInd w:val="0"/>
              <w:spacing w:after="120"/>
              <w:rPr>
                <w:rFonts w:ascii="arial gras" w:eastAsia="MS Mincho" w:hAnsi="arial gras" w:cs="Arial" w:hint="eastAsia"/>
                <w:b/>
                <w:smallCaps/>
                <w:color w:val="000000"/>
                <w:w w:val="104"/>
                <w:sz w:val="20"/>
                <w:szCs w:val="10"/>
              </w:rPr>
            </w:pPr>
            <w:r w:rsidRPr="00FD5AFF">
              <w:rPr>
                <w:rFonts w:eastAsia="MS Mincho" w:cs="Arial"/>
                <w:w w:val="104"/>
                <w:sz w:val="20"/>
                <w:szCs w:val="10"/>
              </w:rPr>
              <w:t>Les déchets qui sont de nature à polluer les eaux et, d’une manière générale, à menacer ou à porter atteinte à la santé de l’homme, doivent être éliminés afin de réduire la pollution de l’air, de l’eau ainsi que la dégradation de l’environnement</w:t>
            </w:r>
          </w:p>
          <w:p w14:paraId="67284EE7" w14:textId="77777777" w:rsidR="006B2C01" w:rsidRPr="00BC30C6" w:rsidRDefault="006B2C01" w:rsidP="00D12C6F">
            <w:pPr>
              <w:autoSpaceDE w:val="0"/>
              <w:autoSpaceDN w:val="0"/>
              <w:adjustRightInd w:val="0"/>
              <w:rPr>
                <w:rFonts w:eastAsia="MS Mincho" w:cs="Arial"/>
              </w:rPr>
            </w:pPr>
            <w:r w:rsidRPr="002501A5">
              <w:rPr>
                <w:rFonts w:eastAsia="MS Mincho" w:cs="Arial"/>
                <w:i/>
                <w:iCs/>
                <w:w w:val="104"/>
                <w:sz w:val="20"/>
                <w:szCs w:val="10"/>
              </w:rPr>
              <w:t>LOI n°2011-002 portant Code de la Santé</w:t>
            </w:r>
            <w:r w:rsidRPr="00BC30C6">
              <w:rPr>
                <w:rFonts w:eastAsia="MS Mincho" w:cs="Arial"/>
                <w:i/>
                <w:iCs/>
                <w:w w:val="104"/>
                <w:sz w:val="20"/>
                <w:szCs w:val="10"/>
              </w:rPr>
              <w:t xml:space="preserve"> [Article</w:t>
            </w:r>
            <w:r>
              <w:rPr>
                <w:rFonts w:eastAsia="MS Mincho" w:cs="Arial"/>
                <w:i/>
                <w:iCs/>
                <w:w w:val="104"/>
                <w:sz w:val="20"/>
                <w:szCs w:val="10"/>
              </w:rPr>
              <w:t xml:space="preserve"> 34</w:t>
            </w:r>
            <w:r w:rsidRPr="00BC30C6">
              <w:rPr>
                <w:rFonts w:eastAsia="MS Mincho" w:cs="Arial"/>
                <w:i/>
                <w:iCs/>
                <w:w w:val="104"/>
                <w:sz w:val="20"/>
                <w:szCs w:val="10"/>
              </w:rPr>
              <w:t>]</w:t>
            </w:r>
          </w:p>
        </w:tc>
        <w:tc>
          <w:tcPr>
            <w:tcW w:w="3594" w:type="dxa"/>
            <w:shd w:val="clear" w:color="auto" w:fill="auto"/>
            <w:vAlign w:val="center"/>
          </w:tcPr>
          <w:p w14:paraId="1067DA46" w14:textId="77777777" w:rsidR="006B2C01" w:rsidRPr="007F78CE" w:rsidRDefault="006B2C01" w:rsidP="00D12C6F">
            <w:pPr>
              <w:rPr>
                <w:rFonts w:eastAsia="MS Mincho"/>
                <w:sz w:val="20"/>
              </w:rPr>
            </w:pPr>
            <w:r w:rsidRPr="007F78CE">
              <w:rPr>
                <w:rFonts w:eastAsia="MS Mincho"/>
                <w:sz w:val="20"/>
              </w:rPr>
              <w:t>L’évaluation des risques sanitaires liés à la mise en œuvre d’un sous-projet n’est pas prise en considération par le cadre législatif national. Toutefois, ce dernier établit la nécessité d’appliquer des mesures générales. Les NES offrent des dispositions plus fournies</w:t>
            </w:r>
          </w:p>
          <w:p w14:paraId="7B2D678C" w14:textId="77777777" w:rsidR="006B2C01" w:rsidRPr="007F78CE" w:rsidRDefault="006B2C01" w:rsidP="00D12C6F">
            <w:pPr>
              <w:spacing w:before="100" w:beforeAutospacing="1" w:after="100" w:afterAutospacing="1"/>
              <w:rPr>
                <w:rFonts w:eastAsia="MS Mincho"/>
                <w:sz w:val="20"/>
              </w:rPr>
            </w:pPr>
            <w:r w:rsidRPr="007F78CE">
              <w:rPr>
                <w:rFonts w:eastAsia="MS Mincho"/>
                <w:sz w:val="20"/>
                <w:u w:val="single"/>
              </w:rPr>
              <w:t>Conclusion</w:t>
            </w:r>
            <w:r w:rsidRPr="007F78CE">
              <w:rPr>
                <w:rFonts w:eastAsia="MS Mincho"/>
                <w:sz w:val="20"/>
              </w:rPr>
              <w:t> : Application des dispositions spécifiques des NES, tout en se conformant aux dispositions générales du Code de la santé</w:t>
            </w:r>
          </w:p>
        </w:tc>
      </w:tr>
      <w:tr w:rsidR="006B2C01" w:rsidRPr="007F78CE" w14:paraId="252CBA7B" w14:textId="77777777" w:rsidTr="00B434A6">
        <w:trPr>
          <w:jc w:val="center"/>
        </w:trPr>
        <w:tc>
          <w:tcPr>
            <w:tcW w:w="5215" w:type="dxa"/>
          </w:tcPr>
          <w:p w14:paraId="16A22241"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Assurer la conception, la construction, l’exploitation et le démantèlement des structures du projet, conformément aux dispositions nationales, aux Directives ESS et aux autres BPISA, par des professionnels compétents et certifiés, et tenir compte du changement climatique</w:t>
            </w:r>
          </w:p>
          <w:p w14:paraId="6508D6B3" w14:textId="77777777" w:rsidR="006B2C01" w:rsidRPr="00BC30C6" w:rsidRDefault="006B2C01" w:rsidP="00D12C6F">
            <w:pPr>
              <w:autoSpaceDE w:val="0"/>
              <w:autoSpaceDN w:val="0"/>
              <w:adjustRightInd w:val="0"/>
              <w:rPr>
                <w:rFonts w:eastAsia="MS Mincho" w:cs="Arial"/>
                <w:lang w:eastAsia="fr-FR"/>
              </w:rPr>
            </w:pPr>
            <w:r w:rsidRPr="00BC30C6">
              <w:rPr>
                <w:rFonts w:eastAsia="MS Mincho" w:cs="Arial"/>
                <w:i/>
                <w:iCs/>
              </w:rPr>
              <w:t>Paragraphes 6 à 8</w:t>
            </w:r>
          </w:p>
        </w:tc>
        <w:tc>
          <w:tcPr>
            <w:tcW w:w="5850" w:type="dxa"/>
            <w:shd w:val="clear" w:color="auto" w:fill="auto"/>
            <w:vAlign w:val="center"/>
          </w:tcPr>
          <w:p w14:paraId="1F218EFC" w14:textId="77777777" w:rsidR="006B2C01" w:rsidRPr="00BC30C6" w:rsidRDefault="006B2C01" w:rsidP="00D12C6F">
            <w:pPr>
              <w:autoSpaceDE w:val="0"/>
              <w:autoSpaceDN w:val="0"/>
              <w:adjustRightInd w:val="0"/>
              <w:rPr>
                <w:rFonts w:eastAsia="MS Mincho" w:cs="Arial"/>
              </w:rPr>
            </w:pPr>
            <w:r w:rsidRPr="00200079">
              <w:rPr>
                <w:rFonts w:eastAsia="MS Mincho" w:cs="Arial"/>
                <w:w w:val="104"/>
                <w:sz w:val="20"/>
                <w:szCs w:val="10"/>
              </w:rPr>
              <w:t>Aucune di</w:t>
            </w:r>
            <w:r>
              <w:rPr>
                <w:rFonts w:eastAsia="MS Mincho" w:cs="Arial"/>
                <w:w w:val="104"/>
                <w:sz w:val="20"/>
                <w:szCs w:val="10"/>
              </w:rPr>
              <w:t>s</w:t>
            </w:r>
            <w:r w:rsidRPr="00200079">
              <w:rPr>
                <w:rFonts w:eastAsia="MS Mincho" w:cs="Arial"/>
                <w:w w:val="104"/>
                <w:sz w:val="20"/>
                <w:szCs w:val="10"/>
              </w:rPr>
              <w:t xml:space="preserve">position réglementaire qui tient en compte du changement climatique dans les directives de santé et de sécurité des populations dans le cadre des travaux de construction et de réhabilitation des ouvrages </w:t>
            </w:r>
          </w:p>
        </w:tc>
        <w:tc>
          <w:tcPr>
            <w:tcW w:w="3594" w:type="dxa"/>
            <w:shd w:val="clear" w:color="auto" w:fill="auto"/>
            <w:vAlign w:val="center"/>
          </w:tcPr>
          <w:p w14:paraId="657719FC" w14:textId="77777777" w:rsidR="006B2C01" w:rsidRPr="00BC30C6" w:rsidRDefault="006B2C01" w:rsidP="00D12C6F">
            <w:pPr>
              <w:spacing w:before="100" w:beforeAutospacing="1" w:after="100" w:afterAutospacing="1"/>
              <w:rPr>
                <w:rFonts w:eastAsia="MS Mincho" w:cs="Arial"/>
                <w:color w:val="000000"/>
                <w:lang w:eastAsia="fr-FR"/>
              </w:rPr>
            </w:pPr>
            <w:r w:rsidRPr="007F78CE">
              <w:rPr>
                <w:rFonts w:eastAsia="MS Mincho"/>
                <w:sz w:val="20"/>
                <w:u w:val="single"/>
              </w:rPr>
              <w:t>Conclusion</w:t>
            </w:r>
            <w:r w:rsidRPr="007F78CE">
              <w:rPr>
                <w:rFonts w:eastAsia="MS Mincho"/>
                <w:sz w:val="20"/>
              </w:rPr>
              <w:t> : Application des dispositions spécifiques des NES.</w:t>
            </w:r>
          </w:p>
        </w:tc>
      </w:tr>
      <w:tr w:rsidR="006B2C01" w:rsidRPr="007F78CE" w14:paraId="082C088E" w14:textId="77777777" w:rsidTr="00B434A6">
        <w:trPr>
          <w:jc w:val="center"/>
        </w:trPr>
        <w:tc>
          <w:tcPr>
            <w:tcW w:w="5215" w:type="dxa"/>
          </w:tcPr>
          <w:p w14:paraId="3FFAC3AB"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Anticiper et minimiser les risques et effets que les services offerts aux communautés par le projet peuvent avoir sur leur santé et leur sécurité, et appliquer le principe d'accès universel lorsque cela est possible.</w:t>
            </w:r>
          </w:p>
          <w:p w14:paraId="12315FCD" w14:textId="77777777" w:rsidR="006B2C01" w:rsidRPr="00BC30C6" w:rsidRDefault="006B2C01" w:rsidP="00D12C6F">
            <w:pPr>
              <w:autoSpaceDE w:val="0"/>
              <w:autoSpaceDN w:val="0"/>
              <w:adjustRightInd w:val="0"/>
              <w:rPr>
                <w:rFonts w:eastAsia="MS Mincho" w:cs="Arial"/>
                <w:lang w:eastAsia="fr-FR"/>
              </w:rPr>
            </w:pPr>
            <w:r w:rsidRPr="00BC30C6">
              <w:rPr>
                <w:rFonts w:eastAsia="MS Mincho" w:cs="Arial"/>
                <w:i/>
                <w:iCs/>
              </w:rPr>
              <w:t>Paragraphe 9</w:t>
            </w:r>
          </w:p>
        </w:tc>
        <w:tc>
          <w:tcPr>
            <w:tcW w:w="5850" w:type="dxa"/>
            <w:shd w:val="clear" w:color="auto" w:fill="auto"/>
            <w:vAlign w:val="center"/>
          </w:tcPr>
          <w:p w14:paraId="0B34E570" w14:textId="77777777" w:rsidR="006B2C01" w:rsidRPr="00BC30C6" w:rsidRDefault="006B2C01" w:rsidP="00D12C6F">
            <w:pPr>
              <w:autoSpaceDE w:val="0"/>
              <w:autoSpaceDN w:val="0"/>
              <w:adjustRightInd w:val="0"/>
              <w:rPr>
                <w:rFonts w:eastAsia="MS Mincho" w:cs="Arial"/>
              </w:rPr>
            </w:pPr>
            <w:r w:rsidRPr="00200079">
              <w:rPr>
                <w:rFonts w:eastAsia="MS Mincho" w:cs="Arial"/>
                <w:w w:val="104"/>
                <w:sz w:val="20"/>
                <w:szCs w:val="10"/>
              </w:rPr>
              <w:t>Aucune di</w:t>
            </w:r>
            <w:r>
              <w:rPr>
                <w:rFonts w:eastAsia="MS Mincho" w:cs="Arial"/>
                <w:w w:val="104"/>
                <w:sz w:val="20"/>
                <w:szCs w:val="10"/>
              </w:rPr>
              <w:t>s</w:t>
            </w:r>
            <w:r w:rsidRPr="00200079">
              <w:rPr>
                <w:rFonts w:eastAsia="MS Mincho" w:cs="Arial"/>
                <w:w w:val="104"/>
                <w:sz w:val="20"/>
                <w:szCs w:val="10"/>
              </w:rPr>
              <w:t xml:space="preserve">position réglementaire qui tient en compte du changement climatique dans les directives de santé et de sécurité des populations dans le cadre des travaux de construction et de réhabilitation des ouvrages </w:t>
            </w:r>
          </w:p>
        </w:tc>
        <w:tc>
          <w:tcPr>
            <w:tcW w:w="3594" w:type="dxa"/>
            <w:shd w:val="clear" w:color="auto" w:fill="auto"/>
            <w:vAlign w:val="center"/>
          </w:tcPr>
          <w:p w14:paraId="0752A261" w14:textId="77777777" w:rsidR="006B2C01" w:rsidRPr="00BC30C6" w:rsidRDefault="006B2C01" w:rsidP="00D12C6F">
            <w:pPr>
              <w:spacing w:before="100" w:beforeAutospacing="1" w:after="100" w:afterAutospacing="1"/>
              <w:rPr>
                <w:rFonts w:eastAsia="MS Mincho" w:cs="Arial"/>
                <w:color w:val="000000"/>
                <w:lang w:eastAsia="fr-FR"/>
              </w:rPr>
            </w:pPr>
            <w:r w:rsidRPr="007F78CE">
              <w:rPr>
                <w:rFonts w:eastAsia="MS Mincho"/>
                <w:sz w:val="20"/>
                <w:u w:val="single"/>
              </w:rPr>
              <w:t>Conclusion</w:t>
            </w:r>
            <w:r w:rsidRPr="007F78CE">
              <w:rPr>
                <w:rFonts w:eastAsia="MS Mincho"/>
                <w:sz w:val="20"/>
              </w:rPr>
              <w:t> : Application des dispositions spécifiques des NES.</w:t>
            </w:r>
          </w:p>
        </w:tc>
      </w:tr>
      <w:tr w:rsidR="006B2C01" w:rsidRPr="007F78CE" w14:paraId="6080B8D2" w14:textId="77777777" w:rsidTr="00B434A6">
        <w:trPr>
          <w:jc w:val="center"/>
        </w:trPr>
        <w:tc>
          <w:tcPr>
            <w:tcW w:w="5215" w:type="dxa"/>
          </w:tcPr>
          <w:p w14:paraId="1C50F499"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Identifier, évaluer et surveiller les risques du projet liés à la circulation et à la sécurité routière, améliorer la sécurité des conducteurs et des véhicules du projet, et éviter que des personnes étrangères au projet soient victimes d’accidents</w:t>
            </w:r>
          </w:p>
          <w:p w14:paraId="68C45038" w14:textId="77777777" w:rsidR="006B2C01" w:rsidRPr="00BC30C6" w:rsidRDefault="006B2C01" w:rsidP="00D12C6F">
            <w:pPr>
              <w:autoSpaceDE w:val="0"/>
              <w:autoSpaceDN w:val="0"/>
              <w:adjustRightInd w:val="0"/>
              <w:rPr>
                <w:rFonts w:eastAsia="MS Mincho" w:cs="Arial"/>
                <w:lang w:eastAsia="fr-FR"/>
              </w:rPr>
            </w:pPr>
            <w:r w:rsidRPr="00BC30C6">
              <w:rPr>
                <w:rFonts w:eastAsia="MS Mincho" w:cs="Arial"/>
                <w:i/>
                <w:iCs/>
              </w:rPr>
              <w:t>Paragraphes 10 à 12</w:t>
            </w:r>
          </w:p>
        </w:tc>
        <w:tc>
          <w:tcPr>
            <w:tcW w:w="5850" w:type="dxa"/>
            <w:shd w:val="clear" w:color="auto" w:fill="auto"/>
            <w:vAlign w:val="center"/>
          </w:tcPr>
          <w:p w14:paraId="4E466EDA" w14:textId="77777777" w:rsidR="006B2C01" w:rsidRPr="00EC0424" w:rsidRDefault="006B2C01" w:rsidP="00B434A6">
            <w:pPr>
              <w:autoSpaceDE w:val="0"/>
              <w:autoSpaceDN w:val="0"/>
              <w:adjustRightInd w:val="0"/>
              <w:spacing w:after="120"/>
              <w:rPr>
                <w:rFonts w:ascii="arial gras" w:eastAsia="MS Mincho" w:hAnsi="arial gras" w:cs="Arial" w:hint="eastAsia"/>
                <w:b/>
                <w:smallCaps/>
                <w:color w:val="000000"/>
                <w:w w:val="104"/>
                <w:sz w:val="20"/>
                <w:szCs w:val="10"/>
              </w:rPr>
            </w:pPr>
            <w:r w:rsidRPr="00EC0424">
              <w:rPr>
                <w:rFonts w:eastAsia="MS Mincho" w:cs="Arial"/>
                <w:w w:val="104"/>
                <w:sz w:val="20"/>
                <w:szCs w:val="10"/>
              </w:rPr>
              <w:t xml:space="preserve">Le Code de la route </w:t>
            </w:r>
            <w:r>
              <w:rPr>
                <w:rFonts w:eastAsia="MS Mincho" w:cs="Arial"/>
                <w:w w:val="104"/>
                <w:sz w:val="20"/>
                <w:szCs w:val="10"/>
              </w:rPr>
              <w:t>énonce des d</w:t>
            </w:r>
            <w:r w:rsidRPr="00EC0424">
              <w:rPr>
                <w:rFonts w:eastAsia="MS Mincho" w:cs="Arial"/>
                <w:w w:val="104"/>
                <w:sz w:val="20"/>
                <w:szCs w:val="10"/>
              </w:rPr>
              <w:t>ispositions techniques</w:t>
            </w:r>
            <w:r>
              <w:rPr>
                <w:rFonts w:eastAsia="MS Mincho" w:cs="Arial"/>
                <w:w w:val="104"/>
                <w:sz w:val="20"/>
                <w:szCs w:val="10"/>
              </w:rPr>
              <w:t xml:space="preserve"> </w:t>
            </w:r>
            <w:r w:rsidRPr="00EC0424">
              <w:rPr>
                <w:rFonts w:eastAsia="MS Mincho" w:cs="Arial"/>
                <w:w w:val="104"/>
                <w:sz w:val="20"/>
                <w:szCs w:val="10"/>
              </w:rPr>
              <w:t>applicables à tous les véhicules</w:t>
            </w:r>
            <w:r>
              <w:rPr>
                <w:rFonts w:eastAsia="MS Mincho" w:cs="Arial"/>
                <w:w w:val="104"/>
                <w:sz w:val="20"/>
                <w:szCs w:val="10"/>
              </w:rPr>
              <w:t xml:space="preserve">. A ce titre, il est précisé que tout véhicule mis en circulation doit répondre aux obligations d’assurer la sécurité de tous les usagers de la route, </w:t>
            </w:r>
          </w:p>
          <w:p w14:paraId="7F177A5B" w14:textId="77777777" w:rsidR="006B2C01" w:rsidRPr="00BC30C6" w:rsidRDefault="006B2C01" w:rsidP="00D12C6F">
            <w:pPr>
              <w:autoSpaceDE w:val="0"/>
              <w:autoSpaceDN w:val="0"/>
              <w:adjustRightInd w:val="0"/>
              <w:rPr>
                <w:rFonts w:eastAsia="MS Mincho" w:cs="Arial"/>
              </w:rPr>
            </w:pPr>
            <w:r>
              <w:rPr>
                <w:rFonts w:eastAsia="MS Mincho" w:cs="Arial"/>
                <w:i/>
                <w:iCs/>
                <w:w w:val="104"/>
                <w:sz w:val="20"/>
                <w:szCs w:val="10"/>
              </w:rPr>
              <w:t xml:space="preserve">Loi 2017 -002 portant sur le </w:t>
            </w:r>
            <w:r w:rsidRPr="00920A1E">
              <w:rPr>
                <w:rFonts w:eastAsia="MS Mincho" w:cs="Arial"/>
                <w:i/>
                <w:iCs/>
                <w:w w:val="104"/>
                <w:sz w:val="20"/>
                <w:szCs w:val="10"/>
              </w:rPr>
              <w:t>Code de la route</w:t>
            </w:r>
            <w:r>
              <w:rPr>
                <w:rFonts w:eastAsia="MS Mincho" w:cs="Arial"/>
              </w:rPr>
              <w:t xml:space="preserve">, </w:t>
            </w:r>
            <w:r w:rsidRPr="00BC30C6">
              <w:rPr>
                <w:rFonts w:eastAsia="MS Mincho" w:cs="Arial"/>
                <w:i/>
                <w:iCs/>
                <w:w w:val="104"/>
                <w:sz w:val="20"/>
                <w:szCs w:val="10"/>
              </w:rPr>
              <w:t>[Article</w:t>
            </w:r>
            <w:r>
              <w:rPr>
                <w:rFonts w:eastAsia="MS Mincho" w:cs="Arial"/>
                <w:i/>
                <w:iCs/>
                <w:w w:val="104"/>
                <w:sz w:val="20"/>
                <w:szCs w:val="10"/>
              </w:rPr>
              <w:t xml:space="preserve"> LA 4– 1 -2</w:t>
            </w:r>
            <w:r w:rsidRPr="00BC30C6">
              <w:rPr>
                <w:rFonts w:eastAsia="MS Mincho" w:cs="Arial"/>
                <w:i/>
                <w:iCs/>
                <w:w w:val="104"/>
                <w:sz w:val="20"/>
                <w:szCs w:val="10"/>
              </w:rPr>
              <w:t>]</w:t>
            </w:r>
          </w:p>
        </w:tc>
        <w:tc>
          <w:tcPr>
            <w:tcW w:w="3594" w:type="dxa"/>
            <w:shd w:val="clear" w:color="auto" w:fill="auto"/>
            <w:vAlign w:val="center"/>
          </w:tcPr>
          <w:p w14:paraId="42BDFB1B" w14:textId="77777777" w:rsidR="006B2C01" w:rsidRPr="007F78CE" w:rsidRDefault="006B2C01" w:rsidP="00B434A6">
            <w:pPr>
              <w:autoSpaceDE w:val="0"/>
              <w:autoSpaceDN w:val="0"/>
              <w:adjustRightInd w:val="0"/>
              <w:spacing w:after="120"/>
              <w:rPr>
                <w:rFonts w:ascii="arial gras" w:eastAsia="MS Mincho" w:hAnsi="arial gras" w:hint="eastAsia"/>
                <w:b/>
                <w:smallCaps/>
                <w:color w:val="000000"/>
                <w:sz w:val="20"/>
              </w:rPr>
            </w:pPr>
            <w:r w:rsidRPr="007F78CE">
              <w:rPr>
                <w:rFonts w:eastAsia="MS Mincho"/>
                <w:sz w:val="20"/>
              </w:rPr>
              <w:t>Complémentarité entre les NES et le cadre législatif national</w:t>
            </w:r>
          </w:p>
          <w:p w14:paraId="0D571301" w14:textId="77777777" w:rsidR="006B2C01" w:rsidRPr="00BC30C6" w:rsidRDefault="006B2C01" w:rsidP="00D12C6F">
            <w:pPr>
              <w:spacing w:before="100" w:beforeAutospacing="1" w:after="100" w:afterAutospacing="1"/>
              <w:rPr>
                <w:rFonts w:eastAsia="MS Mincho" w:cs="Arial"/>
                <w:color w:val="000000"/>
                <w:lang w:eastAsia="fr-FR"/>
              </w:rPr>
            </w:pPr>
            <w:r w:rsidRPr="007F78CE">
              <w:rPr>
                <w:rFonts w:eastAsia="MS Mincho"/>
                <w:sz w:val="20"/>
                <w:u w:val="single"/>
              </w:rPr>
              <w:t>Conclusion</w:t>
            </w:r>
            <w:r w:rsidRPr="007F78CE">
              <w:rPr>
                <w:rFonts w:eastAsia="MS Mincho"/>
                <w:sz w:val="20"/>
              </w:rPr>
              <w:t> : Application des dispositions spécifiques des NES qui requiert la nécessité de faire une évaluation des risques liés à la circulation et la sécurité routière.</w:t>
            </w:r>
          </w:p>
        </w:tc>
      </w:tr>
      <w:tr w:rsidR="006B2C01" w:rsidRPr="007F78CE" w14:paraId="76B0445C" w14:textId="77777777" w:rsidTr="00B434A6">
        <w:trPr>
          <w:jc w:val="center"/>
        </w:trPr>
        <w:tc>
          <w:tcPr>
            <w:tcW w:w="5215" w:type="dxa"/>
          </w:tcPr>
          <w:p w14:paraId="453F379D"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Identifier les risques et effets potentiels du projet sur les services écosystémiques qui pourraient être exacerbés par le changement climatique, et compromettre sur la santé et la sécurité des populations touchées</w:t>
            </w:r>
          </w:p>
          <w:p w14:paraId="25456E62" w14:textId="77777777" w:rsidR="006B2C01" w:rsidRPr="00BC30C6" w:rsidRDefault="006B2C01" w:rsidP="00D12C6F">
            <w:pPr>
              <w:autoSpaceDE w:val="0"/>
              <w:autoSpaceDN w:val="0"/>
              <w:adjustRightInd w:val="0"/>
              <w:rPr>
                <w:rFonts w:eastAsia="MS Mincho" w:cs="Arial"/>
                <w:lang w:eastAsia="fr-FR"/>
              </w:rPr>
            </w:pPr>
            <w:r w:rsidRPr="00BC30C6">
              <w:rPr>
                <w:rFonts w:eastAsia="MS Mincho" w:cs="Arial"/>
                <w:i/>
                <w:iCs/>
              </w:rPr>
              <w:t>Paragraphe 14</w:t>
            </w:r>
          </w:p>
        </w:tc>
        <w:tc>
          <w:tcPr>
            <w:tcW w:w="5850" w:type="dxa"/>
            <w:shd w:val="clear" w:color="auto" w:fill="auto"/>
            <w:vAlign w:val="center"/>
          </w:tcPr>
          <w:p w14:paraId="73A8721A" w14:textId="77777777" w:rsidR="006B2C01" w:rsidRDefault="006B2C01" w:rsidP="00B434A6">
            <w:pPr>
              <w:autoSpaceDE w:val="0"/>
              <w:autoSpaceDN w:val="0"/>
              <w:adjustRightInd w:val="0"/>
              <w:spacing w:after="120"/>
              <w:rPr>
                <w:rFonts w:ascii="arial gras" w:eastAsia="MS Mincho" w:hAnsi="arial gras" w:cs="Arial" w:hint="eastAsia"/>
                <w:b/>
                <w:smallCaps/>
                <w:color w:val="000000"/>
              </w:rPr>
            </w:pPr>
            <w:r w:rsidRPr="00691BBE">
              <w:rPr>
                <w:rFonts w:eastAsia="MS Mincho" w:cs="Arial"/>
                <w:w w:val="104"/>
                <w:sz w:val="20"/>
                <w:szCs w:val="10"/>
              </w:rPr>
              <w:t>Il est défini par la charte de l’environnement actualisée que l’environnement comprend</w:t>
            </w:r>
            <w:r>
              <w:rPr>
                <w:rFonts w:eastAsia="MS Mincho" w:cs="Arial"/>
                <w:w w:val="104"/>
                <w:sz w:val="20"/>
                <w:szCs w:val="10"/>
              </w:rPr>
              <w:t xml:space="preserve"> l’ensemble des éléments qui conditionnent et qui déterminent </w:t>
            </w:r>
            <w:r w:rsidRPr="00757EB1">
              <w:rPr>
                <w:rFonts w:eastAsia="MS Mincho" w:cs="Arial"/>
                <w:w w:val="104"/>
                <w:sz w:val="20"/>
                <w:szCs w:val="10"/>
              </w:rPr>
              <w:t>l’activité humaine et notamment (entre autres) l’entourage biologique dont l’homme, la faune, et la flore.</w:t>
            </w:r>
          </w:p>
          <w:p w14:paraId="202E3ABF" w14:textId="77777777" w:rsidR="006B2C01" w:rsidRDefault="006B2C01" w:rsidP="00B434A6">
            <w:pPr>
              <w:autoSpaceDE w:val="0"/>
              <w:autoSpaceDN w:val="0"/>
              <w:adjustRightInd w:val="0"/>
              <w:spacing w:after="120"/>
              <w:rPr>
                <w:rFonts w:ascii="arial gras" w:eastAsia="MS Mincho" w:hAnsi="arial gras" w:cs="Arial" w:hint="eastAsia"/>
                <w:b/>
                <w:i/>
                <w:iCs/>
                <w:smallCaps/>
                <w:color w:val="000000"/>
                <w:w w:val="104"/>
                <w:sz w:val="20"/>
                <w:szCs w:val="10"/>
              </w:rPr>
            </w:pPr>
            <w:r w:rsidRPr="00757EB1">
              <w:rPr>
                <w:rFonts w:eastAsia="MS Mincho" w:cs="Arial"/>
                <w:i/>
                <w:iCs/>
                <w:w w:val="104"/>
                <w:sz w:val="20"/>
                <w:szCs w:val="10"/>
              </w:rPr>
              <w:t>Loi n° 90-033 du 21 décembre 1990 modifiée par les lois n° 97-012 du 06 juin 1997 et n° 2004-015 du 19 août 2004 relative à la Charte de l’Environnement malagasy</w:t>
            </w:r>
          </w:p>
          <w:p w14:paraId="2890690F" w14:textId="77777777" w:rsidR="006B2C01" w:rsidRPr="00C400C1" w:rsidRDefault="006B2C01" w:rsidP="00B434A6">
            <w:pPr>
              <w:autoSpaceDE w:val="0"/>
              <w:autoSpaceDN w:val="0"/>
              <w:adjustRightInd w:val="0"/>
              <w:spacing w:after="120"/>
              <w:rPr>
                <w:rFonts w:ascii="arial gras" w:eastAsia="MS Mincho" w:hAnsi="arial gras" w:cs="Arial" w:hint="eastAsia"/>
                <w:b/>
                <w:smallCaps/>
                <w:color w:val="000000"/>
                <w:w w:val="104"/>
                <w:sz w:val="20"/>
                <w:szCs w:val="10"/>
              </w:rPr>
            </w:pPr>
            <w:r w:rsidRPr="00C400C1">
              <w:rPr>
                <w:rFonts w:eastAsia="MS Mincho" w:cs="Arial"/>
                <w:w w:val="104"/>
                <w:sz w:val="20"/>
                <w:szCs w:val="10"/>
              </w:rPr>
              <w:t xml:space="preserve">Sont soumis à une étude d’impact environnemental et social tout </w:t>
            </w:r>
            <w:r>
              <w:rPr>
                <w:rFonts w:eastAsia="MS Mincho" w:cs="Arial"/>
                <w:w w:val="104"/>
                <w:sz w:val="20"/>
                <w:szCs w:val="10"/>
              </w:rPr>
              <w:t>projet d’aménagement, ouvrages et travaux pouvant affecter les zones sensibles.</w:t>
            </w:r>
          </w:p>
          <w:p w14:paraId="471B3CB7" w14:textId="77777777" w:rsidR="006B2C01" w:rsidRPr="00BC30C6" w:rsidRDefault="006B2C01" w:rsidP="00B434A6">
            <w:pPr>
              <w:autoSpaceDE w:val="0"/>
              <w:autoSpaceDN w:val="0"/>
              <w:adjustRightInd w:val="0"/>
              <w:spacing w:after="120"/>
              <w:rPr>
                <w:rFonts w:ascii="arial gras" w:eastAsia="MS Mincho" w:hAnsi="arial gras" w:cs="Arial" w:hint="eastAsia"/>
                <w:b/>
                <w:smallCaps/>
                <w:color w:val="000000"/>
              </w:rPr>
            </w:pPr>
            <w:r>
              <w:rPr>
                <w:rFonts w:eastAsia="MS Mincho" w:cs="Arial"/>
                <w:i/>
                <w:iCs/>
                <w:w w:val="104"/>
                <w:sz w:val="20"/>
                <w:szCs w:val="10"/>
              </w:rPr>
              <w:t>D</w:t>
            </w:r>
            <w:r w:rsidRPr="001026D9">
              <w:rPr>
                <w:rFonts w:eastAsia="MS Mincho" w:cs="Arial"/>
                <w:i/>
                <w:iCs/>
                <w:w w:val="104"/>
                <w:sz w:val="20"/>
                <w:szCs w:val="10"/>
              </w:rPr>
              <w:t>écret n° 99 954 du 15 Décembre 1999 fixant les nouvelles dispositions relatives à la mise en compatibilité des investissements avec l’environnemen</w:t>
            </w:r>
            <w:r>
              <w:rPr>
                <w:rFonts w:eastAsia="MS Mincho" w:cs="Arial"/>
                <w:i/>
                <w:iCs/>
                <w:w w:val="104"/>
                <w:sz w:val="20"/>
                <w:szCs w:val="10"/>
              </w:rPr>
              <w:t xml:space="preserve">t </w:t>
            </w:r>
            <w:r w:rsidRPr="00BC30C6">
              <w:rPr>
                <w:rFonts w:eastAsia="MS Mincho" w:cs="Arial"/>
                <w:i/>
                <w:iCs/>
                <w:w w:val="104"/>
                <w:sz w:val="20"/>
                <w:szCs w:val="10"/>
              </w:rPr>
              <w:t>[A</w:t>
            </w:r>
            <w:r>
              <w:rPr>
                <w:rFonts w:eastAsia="MS Mincho" w:cs="Arial"/>
                <w:i/>
                <w:iCs/>
                <w:w w:val="104"/>
                <w:sz w:val="20"/>
                <w:szCs w:val="10"/>
              </w:rPr>
              <w:t>nnexe 1</w:t>
            </w:r>
            <w:r w:rsidRPr="00BC30C6">
              <w:rPr>
                <w:rFonts w:eastAsia="MS Mincho" w:cs="Arial"/>
                <w:i/>
                <w:iCs/>
                <w:w w:val="104"/>
                <w:sz w:val="20"/>
                <w:szCs w:val="10"/>
              </w:rPr>
              <w:t>]</w:t>
            </w:r>
          </w:p>
        </w:tc>
        <w:tc>
          <w:tcPr>
            <w:tcW w:w="3594" w:type="dxa"/>
            <w:shd w:val="clear" w:color="auto" w:fill="auto"/>
            <w:vAlign w:val="center"/>
          </w:tcPr>
          <w:p w14:paraId="7AF51144" w14:textId="77777777" w:rsidR="006B2C01" w:rsidRPr="007F78CE" w:rsidRDefault="006B2C01" w:rsidP="00D12C6F">
            <w:pPr>
              <w:spacing w:before="100" w:beforeAutospacing="1" w:after="100" w:afterAutospacing="1"/>
              <w:rPr>
                <w:rFonts w:eastAsia="MS Mincho"/>
                <w:sz w:val="20"/>
              </w:rPr>
            </w:pPr>
            <w:r w:rsidRPr="007F78CE">
              <w:rPr>
                <w:rFonts w:eastAsia="MS Mincho"/>
                <w:sz w:val="20"/>
              </w:rPr>
              <w:t>Complémentarité entre les NES et le cadre législatif national</w:t>
            </w:r>
          </w:p>
          <w:p w14:paraId="26A46746" w14:textId="77777777" w:rsidR="006B2C01" w:rsidRPr="007F78CE" w:rsidRDefault="006B2C01" w:rsidP="00D12C6F">
            <w:pPr>
              <w:spacing w:before="120" w:after="120"/>
              <w:rPr>
                <w:rFonts w:eastAsia="MS Mincho"/>
                <w:sz w:val="20"/>
              </w:rPr>
            </w:pPr>
            <w:r w:rsidRPr="007F78CE">
              <w:rPr>
                <w:rFonts w:eastAsia="MS Mincho"/>
                <w:sz w:val="20"/>
              </w:rPr>
              <w:t>Les NES proposent des dispositions plus explicites et plus détaillées, dont l’évaluation des risques négatifs sur les écosystèmes.</w:t>
            </w:r>
          </w:p>
          <w:p w14:paraId="0C1AAECA" w14:textId="77777777" w:rsidR="006B2C01" w:rsidRPr="00BC30C6" w:rsidRDefault="006B2C01" w:rsidP="00D12C6F">
            <w:pPr>
              <w:spacing w:before="100" w:beforeAutospacing="1" w:after="100" w:afterAutospacing="1"/>
              <w:rPr>
                <w:rFonts w:eastAsia="MS Mincho" w:cs="Arial"/>
                <w:color w:val="000000"/>
                <w:lang w:eastAsia="fr-FR"/>
              </w:rPr>
            </w:pPr>
            <w:r w:rsidRPr="007F78CE">
              <w:rPr>
                <w:rFonts w:eastAsia="MS Mincho"/>
                <w:sz w:val="20"/>
                <w:u w:val="single"/>
              </w:rPr>
              <w:t>Conclusion</w:t>
            </w:r>
            <w:r w:rsidRPr="007F78CE">
              <w:rPr>
                <w:rFonts w:eastAsia="MS Mincho"/>
                <w:sz w:val="20"/>
              </w:rPr>
              <w:t> : Application des dispositions spécifiques des NES</w:t>
            </w:r>
          </w:p>
        </w:tc>
      </w:tr>
      <w:tr w:rsidR="006B2C01" w:rsidRPr="007F78CE" w14:paraId="3155489D" w14:textId="77777777" w:rsidTr="00B434A6">
        <w:trPr>
          <w:jc w:val="center"/>
        </w:trPr>
        <w:tc>
          <w:tcPr>
            <w:tcW w:w="5215" w:type="dxa"/>
          </w:tcPr>
          <w:p w14:paraId="633B7A7A"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Éviter ou minimiser la propagation de maladies transmissibles qui peuvent être associées à l’afflux de main-d’œuvre temporaire ou permanente sur le projet.</w:t>
            </w:r>
          </w:p>
          <w:p w14:paraId="7BD67A4D" w14:textId="77777777" w:rsidR="006B2C01" w:rsidRPr="00BC30C6" w:rsidRDefault="006B2C01" w:rsidP="00D12C6F">
            <w:pPr>
              <w:autoSpaceDE w:val="0"/>
              <w:autoSpaceDN w:val="0"/>
              <w:adjustRightInd w:val="0"/>
              <w:rPr>
                <w:rFonts w:eastAsia="MS Mincho" w:cs="Arial"/>
                <w:lang w:eastAsia="fr-FR"/>
              </w:rPr>
            </w:pPr>
            <w:r w:rsidRPr="00BC30C6">
              <w:rPr>
                <w:rFonts w:eastAsia="MS Mincho" w:cs="Arial"/>
                <w:i/>
                <w:iCs/>
              </w:rPr>
              <w:t>Paragraphe 15 et 16</w:t>
            </w:r>
          </w:p>
        </w:tc>
        <w:tc>
          <w:tcPr>
            <w:tcW w:w="5850" w:type="dxa"/>
            <w:shd w:val="clear" w:color="auto" w:fill="auto"/>
            <w:vAlign w:val="center"/>
          </w:tcPr>
          <w:p w14:paraId="6E1ECFF6" w14:textId="77777777" w:rsidR="006B2C01" w:rsidRPr="00091A72" w:rsidRDefault="006B2C01" w:rsidP="00D12C6F">
            <w:pPr>
              <w:autoSpaceDE w:val="0"/>
              <w:autoSpaceDN w:val="0"/>
              <w:adjustRightInd w:val="0"/>
              <w:rPr>
                <w:rFonts w:eastAsia="MS Mincho" w:cs="Arial"/>
                <w:w w:val="104"/>
                <w:sz w:val="20"/>
                <w:szCs w:val="10"/>
              </w:rPr>
            </w:pPr>
            <w:r w:rsidRPr="00091A72">
              <w:rPr>
                <w:rFonts w:eastAsia="MS Mincho" w:cs="Arial"/>
                <w:w w:val="104"/>
                <w:sz w:val="20"/>
                <w:szCs w:val="10"/>
              </w:rPr>
              <w:t xml:space="preserve">Le Code de travail </w:t>
            </w:r>
            <w:r>
              <w:rPr>
                <w:rFonts w:eastAsia="MS Mincho" w:cs="Arial"/>
                <w:w w:val="104"/>
                <w:sz w:val="20"/>
                <w:szCs w:val="10"/>
              </w:rPr>
              <w:t>et l’Arrêté</w:t>
            </w:r>
            <w:r w:rsidRPr="007F78CE">
              <w:t xml:space="preserve"> N° 889 </w:t>
            </w:r>
            <w:r w:rsidRPr="00091A72">
              <w:rPr>
                <w:rFonts w:eastAsia="MS Mincho" w:cs="Arial"/>
                <w:w w:val="104"/>
                <w:sz w:val="20"/>
                <w:szCs w:val="10"/>
              </w:rPr>
              <w:t>fixant les mesures générales d’hygiène et de sécurité du travail</w:t>
            </w:r>
            <w:r>
              <w:rPr>
                <w:rFonts w:eastAsia="MS Mincho" w:cs="Arial"/>
                <w:w w:val="104"/>
                <w:sz w:val="20"/>
                <w:szCs w:val="10"/>
              </w:rPr>
              <w:t>,</w:t>
            </w:r>
            <w:r w:rsidRPr="00091A72">
              <w:rPr>
                <w:rFonts w:eastAsia="MS Mincho" w:cs="Arial"/>
                <w:w w:val="104"/>
                <w:sz w:val="20"/>
                <w:szCs w:val="10"/>
              </w:rPr>
              <w:t xml:space="preserve"> ne f</w:t>
            </w:r>
            <w:r>
              <w:rPr>
                <w:rFonts w:eastAsia="MS Mincho" w:cs="Arial"/>
                <w:w w:val="104"/>
                <w:sz w:val="20"/>
                <w:szCs w:val="10"/>
              </w:rPr>
              <w:t>on</w:t>
            </w:r>
            <w:r w:rsidRPr="00091A72">
              <w:rPr>
                <w:rFonts w:eastAsia="MS Mincho" w:cs="Arial"/>
                <w:w w:val="104"/>
                <w:sz w:val="20"/>
                <w:szCs w:val="10"/>
              </w:rPr>
              <w:t>t pas mention des risques des maladies transmissibles en mil</w:t>
            </w:r>
            <w:r>
              <w:rPr>
                <w:rFonts w:eastAsia="MS Mincho" w:cs="Arial"/>
                <w:w w:val="104"/>
                <w:sz w:val="20"/>
                <w:szCs w:val="10"/>
              </w:rPr>
              <w:t>i</w:t>
            </w:r>
            <w:r w:rsidRPr="00091A72">
              <w:rPr>
                <w:rFonts w:eastAsia="MS Mincho" w:cs="Arial"/>
                <w:w w:val="104"/>
                <w:sz w:val="20"/>
                <w:szCs w:val="10"/>
              </w:rPr>
              <w:t xml:space="preserve">eu de travail </w:t>
            </w:r>
          </w:p>
          <w:p w14:paraId="2F1CF11A" w14:textId="77777777" w:rsidR="006B2C01" w:rsidRDefault="006B2C01" w:rsidP="00B434A6">
            <w:pPr>
              <w:autoSpaceDE w:val="0"/>
              <w:autoSpaceDN w:val="0"/>
              <w:adjustRightInd w:val="0"/>
              <w:spacing w:after="120"/>
              <w:rPr>
                <w:rFonts w:ascii="arial gras" w:eastAsia="MS Mincho" w:hAnsi="arial gras" w:cs="Arial" w:hint="eastAsia"/>
                <w:b/>
                <w:smallCaps/>
                <w:color w:val="000000"/>
                <w:w w:val="104"/>
                <w:sz w:val="20"/>
                <w:szCs w:val="10"/>
              </w:rPr>
            </w:pPr>
            <w:r>
              <w:rPr>
                <w:rFonts w:eastAsia="MS Mincho" w:cs="Arial"/>
                <w:w w:val="104"/>
                <w:sz w:val="20"/>
                <w:szCs w:val="10"/>
              </w:rPr>
              <w:t xml:space="preserve">Le Code de la santé fait mention des maladies transmissibles attrapées en milieu professionnel, mais souligne seulement les infections sexuellement transmissibles. </w:t>
            </w:r>
          </w:p>
          <w:p w14:paraId="045A391B" w14:textId="77777777" w:rsidR="006B2C01" w:rsidRPr="002501A5" w:rsidRDefault="006B2C01" w:rsidP="00B434A6">
            <w:pPr>
              <w:autoSpaceDE w:val="0"/>
              <w:autoSpaceDN w:val="0"/>
              <w:adjustRightInd w:val="0"/>
              <w:spacing w:after="120"/>
              <w:rPr>
                <w:rFonts w:ascii="arial gras" w:eastAsia="MS Mincho" w:hAnsi="arial gras" w:cs="Arial" w:hint="eastAsia"/>
                <w:b/>
                <w:i/>
                <w:iCs/>
                <w:smallCaps/>
                <w:color w:val="000000"/>
                <w:w w:val="104"/>
                <w:sz w:val="20"/>
                <w:szCs w:val="10"/>
              </w:rPr>
            </w:pPr>
            <w:r w:rsidRPr="002501A5">
              <w:rPr>
                <w:rFonts w:eastAsia="MS Mincho" w:cs="Arial"/>
                <w:i/>
                <w:iCs/>
                <w:w w:val="104"/>
                <w:sz w:val="20"/>
                <w:szCs w:val="10"/>
              </w:rPr>
              <w:t>LOI n°2011-002 portant Code de la Santé</w:t>
            </w:r>
            <w:r w:rsidRPr="00BC30C6">
              <w:rPr>
                <w:rFonts w:eastAsia="MS Mincho" w:cs="Arial"/>
                <w:i/>
                <w:iCs/>
                <w:w w:val="104"/>
                <w:sz w:val="20"/>
                <w:szCs w:val="10"/>
              </w:rPr>
              <w:t xml:space="preserve"> [Article</w:t>
            </w:r>
            <w:r>
              <w:rPr>
                <w:rFonts w:eastAsia="MS Mincho" w:cs="Arial"/>
                <w:i/>
                <w:iCs/>
                <w:w w:val="104"/>
                <w:sz w:val="20"/>
                <w:szCs w:val="10"/>
              </w:rPr>
              <w:t>s 240 à 246</w:t>
            </w:r>
            <w:r w:rsidRPr="00BC30C6">
              <w:rPr>
                <w:rFonts w:eastAsia="MS Mincho" w:cs="Arial"/>
                <w:i/>
                <w:iCs/>
                <w:w w:val="104"/>
                <w:sz w:val="20"/>
                <w:szCs w:val="10"/>
              </w:rPr>
              <w:t>]</w:t>
            </w:r>
          </w:p>
          <w:p w14:paraId="144D7F4D" w14:textId="77777777" w:rsidR="006B2C01" w:rsidRDefault="006B2C01" w:rsidP="00B434A6">
            <w:pPr>
              <w:autoSpaceDE w:val="0"/>
              <w:autoSpaceDN w:val="0"/>
              <w:adjustRightInd w:val="0"/>
              <w:spacing w:after="120"/>
              <w:rPr>
                <w:rFonts w:ascii="arial gras" w:eastAsia="MS Mincho" w:hAnsi="arial gras" w:cs="Arial" w:hint="eastAsia"/>
                <w:b/>
                <w:smallCaps/>
                <w:color w:val="000000"/>
                <w:w w:val="104"/>
                <w:sz w:val="20"/>
                <w:szCs w:val="10"/>
              </w:rPr>
            </w:pPr>
            <w:r>
              <w:rPr>
                <w:rFonts w:eastAsia="MS Mincho" w:cs="Arial"/>
                <w:w w:val="104"/>
                <w:sz w:val="20"/>
                <w:szCs w:val="10"/>
              </w:rPr>
              <w:t xml:space="preserve">En outre, il est surtout précisé la nécessité des mesures de prévention des maladies non transmissibles dans les lieux de travail. </w:t>
            </w:r>
          </w:p>
          <w:p w14:paraId="7C19732D" w14:textId="77777777" w:rsidR="006B2C01" w:rsidRPr="00091A72" w:rsidRDefault="006B2C01" w:rsidP="00B434A6">
            <w:pPr>
              <w:autoSpaceDE w:val="0"/>
              <w:autoSpaceDN w:val="0"/>
              <w:adjustRightInd w:val="0"/>
              <w:spacing w:after="120"/>
              <w:rPr>
                <w:rFonts w:ascii="arial gras" w:eastAsia="MS Mincho" w:hAnsi="arial gras" w:cs="Arial" w:hint="eastAsia"/>
                <w:b/>
                <w:smallCaps/>
                <w:color w:val="000000"/>
                <w:w w:val="104"/>
                <w:sz w:val="20"/>
                <w:szCs w:val="10"/>
              </w:rPr>
            </w:pPr>
            <w:r w:rsidRPr="002501A5">
              <w:rPr>
                <w:rFonts w:eastAsia="MS Mincho" w:cs="Arial"/>
                <w:i/>
                <w:iCs/>
                <w:w w:val="104"/>
                <w:sz w:val="20"/>
                <w:szCs w:val="10"/>
              </w:rPr>
              <w:t>LOI n°2011-002 portant Code de la Santé</w:t>
            </w:r>
            <w:r w:rsidRPr="00BC30C6">
              <w:rPr>
                <w:rFonts w:eastAsia="MS Mincho" w:cs="Arial"/>
                <w:i/>
                <w:iCs/>
                <w:w w:val="104"/>
                <w:sz w:val="20"/>
                <w:szCs w:val="10"/>
              </w:rPr>
              <w:t xml:space="preserve"> [Article</w:t>
            </w:r>
            <w:r>
              <w:rPr>
                <w:rFonts w:eastAsia="MS Mincho" w:cs="Arial"/>
                <w:i/>
                <w:iCs/>
                <w:w w:val="104"/>
                <w:sz w:val="20"/>
                <w:szCs w:val="10"/>
              </w:rPr>
              <w:t xml:space="preserve"> 260</w:t>
            </w:r>
            <w:r w:rsidRPr="00BC30C6">
              <w:rPr>
                <w:rFonts w:eastAsia="MS Mincho" w:cs="Arial"/>
                <w:i/>
                <w:iCs/>
                <w:w w:val="104"/>
                <w:sz w:val="20"/>
                <w:szCs w:val="10"/>
              </w:rPr>
              <w:t>]</w:t>
            </w:r>
          </w:p>
        </w:tc>
        <w:tc>
          <w:tcPr>
            <w:tcW w:w="3594" w:type="dxa"/>
            <w:shd w:val="clear" w:color="auto" w:fill="auto"/>
            <w:vAlign w:val="center"/>
          </w:tcPr>
          <w:p w14:paraId="77648D1D" w14:textId="77777777" w:rsidR="006B2C01" w:rsidRPr="007F78CE" w:rsidRDefault="006B2C01" w:rsidP="00D12C6F">
            <w:pPr>
              <w:spacing w:before="120" w:after="120"/>
              <w:rPr>
                <w:rFonts w:eastAsia="MS Mincho"/>
                <w:sz w:val="20"/>
              </w:rPr>
            </w:pPr>
            <w:r w:rsidRPr="007F78CE">
              <w:rPr>
                <w:rFonts w:eastAsia="MS Mincho"/>
                <w:sz w:val="20"/>
              </w:rPr>
              <w:t>Les mesures de prévention des maladies transmissibles en milieu de travail ne sont pas suffisamment par le cadre législatif national, par rapport aux dispositions des NES.</w:t>
            </w:r>
          </w:p>
          <w:p w14:paraId="678696D5" w14:textId="77777777" w:rsidR="006B2C01" w:rsidRPr="00BC30C6" w:rsidRDefault="006B2C01" w:rsidP="00D12C6F">
            <w:pPr>
              <w:spacing w:before="100" w:beforeAutospacing="1" w:after="100" w:afterAutospacing="1"/>
              <w:rPr>
                <w:rFonts w:eastAsia="MS Mincho" w:cs="Arial"/>
                <w:color w:val="000000"/>
                <w:lang w:eastAsia="fr-FR"/>
              </w:rPr>
            </w:pPr>
            <w:r w:rsidRPr="007F78CE">
              <w:rPr>
                <w:rFonts w:eastAsia="MS Mincho"/>
                <w:sz w:val="20"/>
                <w:u w:val="single"/>
              </w:rPr>
              <w:t>Conclusion</w:t>
            </w:r>
            <w:r w:rsidRPr="007F78CE">
              <w:rPr>
                <w:rFonts w:eastAsia="MS Mincho"/>
                <w:sz w:val="20"/>
              </w:rPr>
              <w:t> : Application des dispositions spécifiques des NES</w:t>
            </w:r>
          </w:p>
        </w:tc>
      </w:tr>
      <w:tr w:rsidR="006B2C01" w:rsidRPr="007F78CE" w14:paraId="70ADC757" w14:textId="77777777" w:rsidTr="00B434A6">
        <w:trPr>
          <w:jc w:val="center"/>
        </w:trPr>
        <w:tc>
          <w:tcPr>
            <w:tcW w:w="5215" w:type="dxa"/>
          </w:tcPr>
          <w:p w14:paraId="2FCF83B5" w14:textId="77777777" w:rsidR="006B2C01" w:rsidRDefault="006B2C01" w:rsidP="00D12C6F">
            <w:pPr>
              <w:pStyle w:val="Tabletext"/>
              <w:rPr>
                <w:rFonts w:ascii="Calibri" w:eastAsia="MS Mincho" w:hAnsi="Calibri" w:cs="Arial"/>
              </w:rPr>
            </w:pPr>
          </w:p>
          <w:p w14:paraId="46FC73F8"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Éviter que les populations soient exposées aux matières et substances dangereuses qui peuvent être émises par le projet ou minimisera leur exposition à ces matières et substances</w:t>
            </w:r>
          </w:p>
          <w:p w14:paraId="5DF9DA4B" w14:textId="77777777" w:rsidR="006B2C01" w:rsidRPr="00BC30C6" w:rsidRDefault="006B2C01" w:rsidP="00D12C6F">
            <w:pPr>
              <w:autoSpaceDE w:val="0"/>
              <w:autoSpaceDN w:val="0"/>
              <w:adjustRightInd w:val="0"/>
              <w:rPr>
                <w:rFonts w:eastAsia="MS Mincho" w:cs="Arial"/>
                <w:lang w:eastAsia="fr-FR"/>
              </w:rPr>
            </w:pPr>
            <w:r w:rsidRPr="00BC30C6">
              <w:rPr>
                <w:rFonts w:eastAsia="MS Mincho" w:cs="Arial"/>
                <w:i/>
                <w:iCs/>
              </w:rPr>
              <w:t>Paragraphe 17 et 178</w:t>
            </w:r>
          </w:p>
        </w:tc>
        <w:tc>
          <w:tcPr>
            <w:tcW w:w="5850" w:type="dxa"/>
            <w:shd w:val="clear" w:color="auto" w:fill="auto"/>
            <w:vAlign w:val="center"/>
          </w:tcPr>
          <w:p w14:paraId="553849FC" w14:textId="77777777" w:rsidR="006B2C01" w:rsidRPr="007F78CE" w:rsidRDefault="006B2C01" w:rsidP="00B434A6">
            <w:pPr>
              <w:autoSpaceDE w:val="0"/>
              <w:autoSpaceDN w:val="0"/>
              <w:adjustRightInd w:val="0"/>
              <w:spacing w:after="120"/>
              <w:rPr>
                <w:rFonts w:ascii="arial gras" w:eastAsia="Times New Roman" w:hAnsi="arial gras"/>
                <w:b/>
                <w:smallCaps/>
                <w:color w:val="000000"/>
              </w:rPr>
            </w:pPr>
            <w:r w:rsidRPr="00506D70">
              <w:rPr>
                <w:rFonts w:eastAsia="MS Mincho" w:cs="Arial"/>
                <w:w w:val="104"/>
                <w:sz w:val="20"/>
                <w:szCs w:val="10"/>
              </w:rPr>
              <w:t xml:space="preserve">Le cadre national </w:t>
            </w:r>
            <w:r>
              <w:rPr>
                <w:rFonts w:eastAsia="MS Mincho" w:cs="Arial"/>
                <w:w w:val="104"/>
                <w:sz w:val="20"/>
                <w:szCs w:val="10"/>
              </w:rPr>
              <w:t>précis</w:t>
            </w:r>
            <w:r w:rsidRPr="00506D70">
              <w:rPr>
                <w:rFonts w:eastAsia="MS Mincho" w:cs="Arial"/>
                <w:w w:val="104"/>
                <w:sz w:val="20"/>
                <w:szCs w:val="10"/>
              </w:rPr>
              <w:t xml:space="preserve">e que </w:t>
            </w:r>
            <w:r>
              <w:rPr>
                <w:rFonts w:eastAsia="MS Mincho" w:cs="Arial"/>
                <w:w w:val="104"/>
                <w:sz w:val="20"/>
                <w:szCs w:val="10"/>
              </w:rPr>
              <w:t>l</w:t>
            </w:r>
            <w:r w:rsidRPr="00506D70">
              <w:rPr>
                <w:rFonts w:eastAsia="MS Mincho" w:cs="Arial"/>
                <w:w w:val="104"/>
                <w:sz w:val="20"/>
                <w:szCs w:val="10"/>
              </w:rPr>
              <w:t>es déchets solides industriels spéciaux doivent être distingués à raison de leurs propriétés dangereuses et de leur degré de toxicité. Ils ne peuvent être déposés ou abandonnés dans des endroits ou installations de stockage recevant d'autres catégories de déchets</w:t>
            </w:r>
          </w:p>
          <w:p w14:paraId="6B7B211C" w14:textId="77777777" w:rsidR="006B2C01" w:rsidRDefault="006B2C01" w:rsidP="00B434A6">
            <w:pPr>
              <w:autoSpaceDE w:val="0"/>
              <w:autoSpaceDN w:val="0"/>
              <w:adjustRightInd w:val="0"/>
              <w:spacing w:after="120"/>
              <w:rPr>
                <w:rFonts w:ascii="arial gras" w:eastAsia="MS Mincho" w:hAnsi="arial gras" w:cs="Arial" w:hint="eastAsia"/>
                <w:b/>
                <w:i/>
                <w:iCs/>
                <w:smallCaps/>
                <w:color w:val="000000"/>
                <w:w w:val="104"/>
                <w:sz w:val="20"/>
                <w:szCs w:val="10"/>
              </w:rPr>
            </w:pPr>
            <w:r w:rsidRPr="00506D70">
              <w:rPr>
                <w:rFonts w:eastAsia="MS Mincho" w:cs="Arial"/>
                <w:i/>
                <w:iCs/>
                <w:w w:val="104"/>
                <w:sz w:val="20"/>
                <w:szCs w:val="10"/>
              </w:rPr>
              <w:t xml:space="preserve">LOI N° 99-021 DU 19 AOUT 1999 sur la politique de gestion et de contrôle des pollutions industrielles </w:t>
            </w:r>
            <w:r>
              <w:rPr>
                <w:rFonts w:eastAsia="MS Mincho" w:cs="Arial"/>
                <w:i/>
                <w:iCs/>
                <w:w w:val="104"/>
                <w:sz w:val="20"/>
                <w:szCs w:val="10"/>
              </w:rPr>
              <w:t>[</w:t>
            </w:r>
            <w:r w:rsidRPr="00506D70">
              <w:rPr>
                <w:rFonts w:eastAsia="MS Mincho" w:cs="Arial"/>
                <w:i/>
                <w:iCs/>
                <w:w w:val="104"/>
                <w:sz w:val="20"/>
                <w:szCs w:val="10"/>
              </w:rPr>
              <w:t>Article 31</w:t>
            </w:r>
            <w:r>
              <w:rPr>
                <w:rFonts w:eastAsia="MS Mincho" w:cs="Arial"/>
                <w:i/>
                <w:iCs/>
                <w:w w:val="104"/>
                <w:sz w:val="20"/>
                <w:szCs w:val="10"/>
              </w:rPr>
              <w:t>]</w:t>
            </w:r>
          </w:p>
          <w:p w14:paraId="6DB223D5" w14:textId="77777777" w:rsidR="006B2C01" w:rsidRPr="00506D70" w:rsidRDefault="006B2C01" w:rsidP="00B434A6">
            <w:pPr>
              <w:autoSpaceDE w:val="0"/>
              <w:autoSpaceDN w:val="0"/>
              <w:adjustRightInd w:val="0"/>
              <w:spacing w:after="120"/>
              <w:rPr>
                <w:rFonts w:ascii="arial gras" w:eastAsia="MS Mincho" w:hAnsi="arial gras" w:cs="Arial" w:hint="eastAsia"/>
                <w:b/>
                <w:smallCaps/>
                <w:color w:val="000000"/>
                <w:w w:val="104"/>
                <w:sz w:val="20"/>
                <w:szCs w:val="10"/>
              </w:rPr>
            </w:pPr>
            <w:r w:rsidRPr="00506D70">
              <w:rPr>
                <w:rFonts w:eastAsia="MS Mincho" w:cs="Arial"/>
                <w:w w:val="104"/>
                <w:sz w:val="20"/>
                <w:szCs w:val="10"/>
              </w:rPr>
              <w:t xml:space="preserve">En raison des dangers qu'ils peuvent comporter, des mesures d'ensemble concernant les déchets industriels spéciaux devront être prises par voie réglementaire afin : </w:t>
            </w:r>
            <w:r>
              <w:rPr>
                <w:rFonts w:eastAsia="MS Mincho" w:cs="Arial"/>
                <w:w w:val="104"/>
                <w:sz w:val="20"/>
                <w:szCs w:val="10"/>
              </w:rPr>
              <w:t>(</w:t>
            </w:r>
            <w:r w:rsidRPr="00506D70">
              <w:rPr>
                <w:rFonts w:eastAsia="MS Mincho" w:cs="Arial"/>
                <w:w w:val="104"/>
                <w:sz w:val="20"/>
                <w:szCs w:val="10"/>
              </w:rPr>
              <w:t>1</w:t>
            </w:r>
            <w:r>
              <w:rPr>
                <w:rFonts w:eastAsia="MS Mincho" w:cs="Arial"/>
                <w:w w:val="104"/>
                <w:sz w:val="20"/>
                <w:szCs w:val="10"/>
              </w:rPr>
              <w:t>)</w:t>
            </w:r>
            <w:r w:rsidRPr="00506D70">
              <w:rPr>
                <w:rFonts w:eastAsia="MS Mincho" w:cs="Arial"/>
                <w:w w:val="104"/>
                <w:sz w:val="20"/>
                <w:szCs w:val="10"/>
              </w:rPr>
              <w:t xml:space="preserve"> d'exclure la pratique d'usage tels que la récupération ou le recyclage ou l'incinération à l'air libre des déchets solides industriels spéciaux ; </w:t>
            </w:r>
            <w:r>
              <w:rPr>
                <w:rFonts w:eastAsia="MS Mincho" w:cs="Arial"/>
                <w:w w:val="104"/>
                <w:sz w:val="20"/>
                <w:szCs w:val="10"/>
              </w:rPr>
              <w:t>(</w:t>
            </w:r>
            <w:r w:rsidRPr="00506D70">
              <w:rPr>
                <w:rFonts w:eastAsia="MS Mincho" w:cs="Arial"/>
                <w:w w:val="104"/>
                <w:sz w:val="20"/>
                <w:szCs w:val="10"/>
              </w:rPr>
              <w:t>2</w:t>
            </w:r>
            <w:r>
              <w:rPr>
                <w:rFonts w:eastAsia="MS Mincho" w:cs="Arial"/>
                <w:w w:val="104"/>
                <w:sz w:val="20"/>
                <w:szCs w:val="10"/>
              </w:rPr>
              <w:t>)</w:t>
            </w:r>
            <w:r w:rsidRPr="00506D70">
              <w:rPr>
                <w:rFonts w:eastAsia="MS Mincho" w:cs="Arial"/>
                <w:w w:val="104"/>
                <w:sz w:val="20"/>
                <w:szCs w:val="10"/>
              </w:rPr>
              <w:t xml:space="preserve">° d'aménager des modes d'élimination dans des installations réglementées à cet effet et conçues selon des modes de bonne gestion pour assurer la protection de l'environnement ; </w:t>
            </w:r>
            <w:r>
              <w:rPr>
                <w:rFonts w:eastAsia="MS Mincho" w:cs="Arial"/>
                <w:w w:val="104"/>
                <w:sz w:val="20"/>
                <w:szCs w:val="10"/>
              </w:rPr>
              <w:t>(</w:t>
            </w:r>
            <w:r w:rsidRPr="00506D70">
              <w:rPr>
                <w:rFonts w:eastAsia="MS Mincho" w:cs="Arial"/>
                <w:w w:val="104"/>
                <w:sz w:val="20"/>
                <w:szCs w:val="10"/>
              </w:rPr>
              <w:t>3</w:t>
            </w:r>
            <w:r>
              <w:rPr>
                <w:rFonts w:eastAsia="MS Mincho" w:cs="Arial"/>
                <w:w w:val="104"/>
                <w:sz w:val="20"/>
                <w:szCs w:val="10"/>
              </w:rPr>
              <w:t>)</w:t>
            </w:r>
            <w:r w:rsidRPr="00506D70">
              <w:rPr>
                <w:rFonts w:eastAsia="MS Mincho" w:cs="Arial"/>
                <w:w w:val="104"/>
                <w:sz w:val="20"/>
                <w:szCs w:val="10"/>
              </w:rPr>
              <w:t xml:space="preserve">° de concevoir à termes des plans nationaux et régionaux d'élimination des déchets solides industriels spéciaux ; </w:t>
            </w:r>
            <w:r>
              <w:rPr>
                <w:rFonts w:eastAsia="MS Mincho" w:cs="Arial"/>
                <w:w w:val="104"/>
                <w:sz w:val="20"/>
                <w:szCs w:val="10"/>
              </w:rPr>
              <w:t>(</w:t>
            </w:r>
            <w:r w:rsidRPr="00506D70">
              <w:rPr>
                <w:rFonts w:eastAsia="MS Mincho" w:cs="Arial"/>
                <w:w w:val="104"/>
                <w:sz w:val="20"/>
                <w:szCs w:val="10"/>
              </w:rPr>
              <w:t>4</w:t>
            </w:r>
            <w:r>
              <w:rPr>
                <w:rFonts w:eastAsia="MS Mincho" w:cs="Arial"/>
                <w:w w:val="104"/>
                <w:sz w:val="20"/>
                <w:szCs w:val="10"/>
              </w:rPr>
              <w:t>)</w:t>
            </w:r>
            <w:r w:rsidRPr="00506D70">
              <w:rPr>
                <w:rFonts w:eastAsia="MS Mincho" w:cs="Arial"/>
                <w:w w:val="104"/>
                <w:sz w:val="20"/>
                <w:szCs w:val="10"/>
              </w:rPr>
              <w:t xml:space="preserve">° de prévoir la mise en </w:t>
            </w:r>
            <w:r>
              <w:rPr>
                <w:rFonts w:eastAsia="MS Mincho" w:cs="Arial"/>
                <w:w w:val="104"/>
                <w:sz w:val="20"/>
                <w:szCs w:val="10"/>
              </w:rPr>
              <w:t xml:space="preserve">œuvre </w:t>
            </w:r>
            <w:r w:rsidRPr="00506D70">
              <w:rPr>
                <w:rFonts w:eastAsia="MS Mincho" w:cs="Arial"/>
                <w:w w:val="104"/>
                <w:sz w:val="20"/>
                <w:szCs w:val="10"/>
              </w:rPr>
              <w:t>des mesures d'urgence pour les cas où les déchets particulièrement dangereux pour leur toxicité présenteraient un risque immédiat pour l'environnement naturel ou humain</w:t>
            </w:r>
            <w:r>
              <w:rPr>
                <w:rFonts w:eastAsia="MS Mincho" w:cs="Arial"/>
                <w:w w:val="104"/>
                <w:sz w:val="20"/>
                <w:szCs w:val="10"/>
              </w:rPr>
              <w:t xml:space="preserve">. </w:t>
            </w:r>
          </w:p>
          <w:p w14:paraId="66159B89" w14:textId="77777777" w:rsidR="006B2C01" w:rsidRPr="00506D70" w:rsidRDefault="006B2C01" w:rsidP="00B434A6">
            <w:pPr>
              <w:autoSpaceDE w:val="0"/>
              <w:autoSpaceDN w:val="0"/>
              <w:adjustRightInd w:val="0"/>
              <w:spacing w:after="120"/>
              <w:rPr>
                <w:rFonts w:ascii="arial gras" w:eastAsia="MS Mincho" w:hAnsi="arial gras" w:cs="Arial" w:hint="eastAsia"/>
                <w:b/>
                <w:smallCaps/>
                <w:color w:val="000000"/>
                <w:w w:val="104"/>
                <w:sz w:val="20"/>
                <w:szCs w:val="10"/>
              </w:rPr>
            </w:pPr>
            <w:r w:rsidRPr="00506D70">
              <w:rPr>
                <w:rFonts w:eastAsia="MS Mincho" w:cs="Arial"/>
                <w:i/>
                <w:iCs/>
                <w:w w:val="104"/>
                <w:sz w:val="20"/>
                <w:szCs w:val="10"/>
              </w:rPr>
              <w:t xml:space="preserve">LOI N° 99-021 DU 19 AOUT 1999 sur la politique de gestion et de contrôle des pollutions industrielles </w:t>
            </w:r>
            <w:r>
              <w:rPr>
                <w:rFonts w:eastAsia="MS Mincho" w:cs="Arial"/>
                <w:i/>
                <w:iCs/>
                <w:w w:val="104"/>
                <w:sz w:val="20"/>
                <w:szCs w:val="10"/>
              </w:rPr>
              <w:t>[</w:t>
            </w:r>
            <w:r w:rsidRPr="00506D70">
              <w:rPr>
                <w:rFonts w:eastAsia="MS Mincho" w:cs="Arial"/>
                <w:i/>
                <w:iCs/>
                <w:w w:val="104"/>
                <w:sz w:val="20"/>
                <w:szCs w:val="10"/>
              </w:rPr>
              <w:t>Article 3</w:t>
            </w:r>
            <w:r>
              <w:rPr>
                <w:rFonts w:eastAsia="MS Mincho" w:cs="Arial"/>
                <w:i/>
                <w:iCs/>
                <w:w w:val="104"/>
                <w:sz w:val="20"/>
                <w:szCs w:val="10"/>
              </w:rPr>
              <w:t>2]</w:t>
            </w:r>
          </w:p>
        </w:tc>
        <w:tc>
          <w:tcPr>
            <w:tcW w:w="3594" w:type="dxa"/>
            <w:shd w:val="clear" w:color="auto" w:fill="auto"/>
            <w:vAlign w:val="center"/>
          </w:tcPr>
          <w:p w14:paraId="65FCCC08" w14:textId="77777777" w:rsidR="006B2C01" w:rsidRPr="007F78CE" w:rsidRDefault="006B2C01" w:rsidP="00D12C6F">
            <w:pPr>
              <w:spacing w:before="120" w:after="120"/>
              <w:rPr>
                <w:rFonts w:eastAsia="MS Mincho"/>
                <w:sz w:val="20"/>
              </w:rPr>
            </w:pPr>
            <w:r w:rsidRPr="007F78CE">
              <w:rPr>
                <w:rFonts w:eastAsia="MS Mincho"/>
                <w:sz w:val="20"/>
              </w:rPr>
              <w:t>Complémentarité entre les dispositions des NES et celles du cadre législatif national/</w:t>
            </w:r>
          </w:p>
          <w:p w14:paraId="2E2C3303" w14:textId="77777777" w:rsidR="006B2C01" w:rsidRPr="00BC30C6" w:rsidRDefault="006B2C01" w:rsidP="00D12C6F">
            <w:pPr>
              <w:spacing w:before="100" w:beforeAutospacing="1" w:after="100" w:afterAutospacing="1"/>
              <w:rPr>
                <w:rFonts w:eastAsia="MS Mincho" w:cs="Arial"/>
                <w:color w:val="000000"/>
                <w:lang w:eastAsia="fr-FR"/>
              </w:rPr>
            </w:pPr>
            <w:r w:rsidRPr="007F78CE">
              <w:rPr>
                <w:rFonts w:eastAsia="MS Mincho"/>
                <w:sz w:val="20"/>
                <w:u w:val="single"/>
              </w:rPr>
              <w:t>Conclusion</w:t>
            </w:r>
            <w:r w:rsidRPr="007F78CE">
              <w:rPr>
                <w:rFonts w:eastAsia="MS Mincho"/>
                <w:sz w:val="20"/>
              </w:rPr>
              <w:t> : Application des dispositions spécifiques des NES et du cadre national</w:t>
            </w:r>
          </w:p>
        </w:tc>
      </w:tr>
      <w:tr w:rsidR="006B2C01" w:rsidRPr="007F78CE" w14:paraId="532CA877" w14:textId="77777777" w:rsidTr="00B434A6">
        <w:trPr>
          <w:jc w:val="center"/>
        </w:trPr>
        <w:tc>
          <w:tcPr>
            <w:tcW w:w="5215" w:type="dxa"/>
          </w:tcPr>
          <w:p w14:paraId="55C538DC"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Formuler et mettre en œuvre des mesures permettant de gérer les situations d’urgence, y compris l’évaluation des risques et dangers (ERD) et la préparation d’un Plan d’intervention d’urgence (PIU) en coordination avec les autorités locales compétentes et la communauté touchée</w:t>
            </w:r>
          </w:p>
          <w:p w14:paraId="0A232B43" w14:textId="77777777" w:rsidR="006B2C01" w:rsidRPr="00BC30C6" w:rsidRDefault="006B2C01" w:rsidP="00B434A6">
            <w:pPr>
              <w:autoSpaceDE w:val="0"/>
              <w:autoSpaceDN w:val="0"/>
              <w:adjustRightInd w:val="0"/>
              <w:spacing w:after="120"/>
              <w:rPr>
                <w:rFonts w:eastAsia="MS Mincho" w:cs="Arial"/>
                <w:lang w:eastAsia="fr-FR"/>
              </w:rPr>
            </w:pPr>
            <w:r w:rsidRPr="00BC30C6">
              <w:rPr>
                <w:rFonts w:eastAsia="MS Mincho" w:cs="Arial"/>
                <w:i/>
                <w:iCs/>
              </w:rPr>
              <w:t>Paragraphe 19 à 23</w:t>
            </w:r>
          </w:p>
        </w:tc>
        <w:tc>
          <w:tcPr>
            <w:tcW w:w="5850" w:type="dxa"/>
            <w:shd w:val="clear" w:color="auto" w:fill="auto"/>
            <w:vAlign w:val="center"/>
          </w:tcPr>
          <w:p w14:paraId="023F6CEE" w14:textId="77777777" w:rsidR="006B2C01" w:rsidRPr="00BC30C6" w:rsidRDefault="006B2C01" w:rsidP="00D12C6F">
            <w:pPr>
              <w:autoSpaceDE w:val="0"/>
              <w:autoSpaceDN w:val="0"/>
              <w:adjustRightInd w:val="0"/>
              <w:rPr>
                <w:rFonts w:eastAsia="MS Mincho" w:cs="Arial"/>
              </w:rPr>
            </w:pPr>
            <w:r w:rsidRPr="00200079">
              <w:rPr>
                <w:rFonts w:eastAsia="MS Mincho" w:cs="Arial"/>
                <w:w w:val="104"/>
                <w:sz w:val="20"/>
                <w:szCs w:val="10"/>
              </w:rPr>
              <w:t>Aucune di</w:t>
            </w:r>
            <w:r>
              <w:rPr>
                <w:rFonts w:eastAsia="MS Mincho" w:cs="Arial"/>
                <w:w w:val="104"/>
                <w:sz w:val="20"/>
                <w:szCs w:val="10"/>
              </w:rPr>
              <w:t>s</w:t>
            </w:r>
            <w:r w:rsidRPr="00200079">
              <w:rPr>
                <w:rFonts w:eastAsia="MS Mincho" w:cs="Arial"/>
                <w:w w:val="104"/>
                <w:sz w:val="20"/>
                <w:szCs w:val="10"/>
              </w:rPr>
              <w:t xml:space="preserve">position réglementaire qui tient en compte </w:t>
            </w:r>
            <w:r>
              <w:rPr>
                <w:rFonts w:eastAsia="MS Mincho" w:cs="Arial"/>
                <w:w w:val="104"/>
                <w:sz w:val="20"/>
                <w:szCs w:val="10"/>
              </w:rPr>
              <w:t>des situations d'urgence, y compris l’évaluation des risques et dangers.</w:t>
            </w:r>
          </w:p>
        </w:tc>
        <w:tc>
          <w:tcPr>
            <w:tcW w:w="3594" w:type="dxa"/>
            <w:shd w:val="clear" w:color="auto" w:fill="auto"/>
            <w:vAlign w:val="center"/>
          </w:tcPr>
          <w:p w14:paraId="564293CB" w14:textId="77777777" w:rsidR="006B2C01" w:rsidRPr="00BC30C6" w:rsidRDefault="006B2C01" w:rsidP="00D12C6F">
            <w:pPr>
              <w:spacing w:before="100" w:beforeAutospacing="1" w:after="100" w:afterAutospacing="1"/>
              <w:rPr>
                <w:rFonts w:eastAsia="MS Mincho" w:cs="Arial"/>
                <w:color w:val="000000"/>
                <w:lang w:eastAsia="fr-FR"/>
              </w:rPr>
            </w:pPr>
            <w:r w:rsidRPr="007F78CE">
              <w:rPr>
                <w:rFonts w:eastAsia="MS Mincho"/>
                <w:sz w:val="20"/>
                <w:u w:val="single"/>
              </w:rPr>
              <w:t>Conclusion</w:t>
            </w:r>
            <w:r w:rsidRPr="007F78CE">
              <w:rPr>
                <w:rFonts w:eastAsia="MS Mincho"/>
                <w:sz w:val="20"/>
              </w:rPr>
              <w:t> : Application des dispositions spécifiques des NES</w:t>
            </w:r>
          </w:p>
        </w:tc>
      </w:tr>
      <w:tr w:rsidR="006B2C01" w:rsidRPr="007F78CE" w14:paraId="639A3430" w14:textId="77777777" w:rsidTr="00B434A6">
        <w:trPr>
          <w:jc w:val="center"/>
        </w:trPr>
        <w:tc>
          <w:tcPr>
            <w:tcW w:w="5215" w:type="dxa"/>
          </w:tcPr>
          <w:p w14:paraId="7347C647"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Évaluer les risques posés par les dispositifs de sécurité, tant à l’intérieur qu’à l’extérieur du site du projet, encouragera les autorités compétentes à publier les dispositifs de sécurité applicables</w:t>
            </w:r>
          </w:p>
          <w:p w14:paraId="238E84F6" w14:textId="77777777" w:rsidR="006B2C01" w:rsidRPr="00BC30C6" w:rsidRDefault="006B2C01" w:rsidP="00B434A6">
            <w:pPr>
              <w:autoSpaceDE w:val="0"/>
              <w:autoSpaceDN w:val="0"/>
              <w:adjustRightInd w:val="0"/>
              <w:spacing w:after="120"/>
              <w:rPr>
                <w:rFonts w:eastAsia="MS Mincho" w:cs="Arial"/>
                <w:lang w:eastAsia="fr-FR"/>
              </w:rPr>
            </w:pPr>
            <w:r w:rsidRPr="00BC30C6">
              <w:rPr>
                <w:rFonts w:eastAsia="MS Mincho" w:cs="Arial"/>
                <w:i/>
                <w:iCs/>
              </w:rPr>
              <w:t>Paragraphe 24-27</w:t>
            </w:r>
          </w:p>
        </w:tc>
        <w:tc>
          <w:tcPr>
            <w:tcW w:w="5850" w:type="dxa"/>
            <w:shd w:val="clear" w:color="auto" w:fill="auto"/>
            <w:vAlign w:val="center"/>
          </w:tcPr>
          <w:p w14:paraId="2D8F8BE3" w14:textId="77777777" w:rsidR="006B2C01" w:rsidRPr="00BC30C6" w:rsidRDefault="006B2C01" w:rsidP="00D12C6F">
            <w:pPr>
              <w:autoSpaceDE w:val="0"/>
              <w:autoSpaceDN w:val="0"/>
              <w:adjustRightInd w:val="0"/>
              <w:rPr>
                <w:rFonts w:eastAsia="MS Mincho" w:cs="Arial"/>
              </w:rPr>
            </w:pPr>
            <w:r w:rsidRPr="00200079">
              <w:rPr>
                <w:rFonts w:eastAsia="MS Mincho" w:cs="Arial"/>
                <w:w w:val="104"/>
                <w:sz w:val="20"/>
                <w:szCs w:val="10"/>
              </w:rPr>
              <w:t>Aucune di</w:t>
            </w:r>
            <w:r>
              <w:rPr>
                <w:rFonts w:eastAsia="MS Mincho" w:cs="Arial"/>
                <w:w w:val="104"/>
                <w:sz w:val="20"/>
                <w:szCs w:val="10"/>
              </w:rPr>
              <w:t>s</w:t>
            </w:r>
            <w:r w:rsidRPr="00200079">
              <w:rPr>
                <w:rFonts w:eastAsia="MS Mincho" w:cs="Arial"/>
                <w:w w:val="104"/>
                <w:sz w:val="20"/>
                <w:szCs w:val="10"/>
              </w:rPr>
              <w:t xml:space="preserve">position réglementaire qui tient en compte </w:t>
            </w:r>
            <w:r>
              <w:rPr>
                <w:rFonts w:eastAsia="MS Mincho" w:cs="Arial"/>
                <w:w w:val="104"/>
                <w:sz w:val="20"/>
                <w:szCs w:val="10"/>
              </w:rPr>
              <w:t>des situations d'urgence, y compris l’évaluation des risques et dangers.</w:t>
            </w:r>
          </w:p>
        </w:tc>
        <w:tc>
          <w:tcPr>
            <w:tcW w:w="3594" w:type="dxa"/>
            <w:shd w:val="clear" w:color="auto" w:fill="auto"/>
            <w:vAlign w:val="center"/>
          </w:tcPr>
          <w:p w14:paraId="76F657FB" w14:textId="77777777" w:rsidR="006B2C01" w:rsidRPr="00BC30C6" w:rsidRDefault="006B2C01" w:rsidP="00D12C6F">
            <w:pPr>
              <w:spacing w:before="100" w:beforeAutospacing="1" w:after="100" w:afterAutospacing="1"/>
              <w:rPr>
                <w:rFonts w:eastAsia="MS Mincho" w:cs="Arial"/>
                <w:color w:val="000000"/>
                <w:lang w:eastAsia="fr-FR"/>
              </w:rPr>
            </w:pPr>
            <w:r w:rsidRPr="007F78CE">
              <w:rPr>
                <w:rFonts w:eastAsia="MS Mincho"/>
                <w:sz w:val="20"/>
                <w:u w:val="single"/>
              </w:rPr>
              <w:t>Conclusion</w:t>
            </w:r>
            <w:r w:rsidRPr="007F78CE">
              <w:rPr>
                <w:rFonts w:eastAsia="MS Mincho"/>
                <w:sz w:val="20"/>
              </w:rPr>
              <w:t> : Application des dispositions spécifiques des NES</w:t>
            </w:r>
          </w:p>
        </w:tc>
      </w:tr>
      <w:tr w:rsidR="006B2C01" w:rsidRPr="007F78CE" w14:paraId="3EFE342C" w14:textId="77777777" w:rsidTr="00B434A6">
        <w:trPr>
          <w:jc w:val="center"/>
        </w:trPr>
        <w:tc>
          <w:tcPr>
            <w:tcW w:w="5215" w:type="dxa"/>
          </w:tcPr>
          <w:p w14:paraId="2DD106F5"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Recrutera des professionnels expérimentés et compétents pour superviser la conception et la construction de nouveaux barrages, et adopter et mettre en œuvre les mesures de sécurité des barrages.</w:t>
            </w:r>
          </w:p>
          <w:p w14:paraId="47049F99" w14:textId="77777777" w:rsidR="006B2C01" w:rsidRPr="00BC30C6" w:rsidRDefault="006B2C01" w:rsidP="00B434A6">
            <w:pPr>
              <w:autoSpaceDE w:val="0"/>
              <w:autoSpaceDN w:val="0"/>
              <w:adjustRightInd w:val="0"/>
              <w:spacing w:after="120"/>
              <w:rPr>
                <w:rFonts w:eastAsia="MS Mincho" w:cs="Arial"/>
                <w:lang w:eastAsia="fr-FR"/>
              </w:rPr>
            </w:pPr>
            <w:r w:rsidRPr="00BC30C6">
              <w:rPr>
                <w:rFonts w:eastAsia="MS Mincho" w:cs="Arial"/>
                <w:i/>
                <w:iCs/>
              </w:rPr>
              <w:t>Annexe 1</w:t>
            </w:r>
          </w:p>
        </w:tc>
        <w:tc>
          <w:tcPr>
            <w:tcW w:w="5850" w:type="dxa"/>
            <w:shd w:val="clear" w:color="auto" w:fill="auto"/>
            <w:vAlign w:val="center"/>
          </w:tcPr>
          <w:p w14:paraId="176B8C13" w14:textId="77777777" w:rsidR="006B2C01" w:rsidRDefault="006B2C01" w:rsidP="00D12C6F">
            <w:pPr>
              <w:autoSpaceDE w:val="0"/>
              <w:autoSpaceDN w:val="0"/>
              <w:adjustRightInd w:val="0"/>
              <w:rPr>
                <w:rFonts w:eastAsia="MS Mincho" w:cs="Arial"/>
                <w:w w:val="104"/>
                <w:sz w:val="20"/>
                <w:szCs w:val="10"/>
              </w:rPr>
            </w:pPr>
            <w:r w:rsidRPr="00200079">
              <w:rPr>
                <w:rFonts w:eastAsia="MS Mincho" w:cs="Arial"/>
                <w:w w:val="104"/>
                <w:sz w:val="20"/>
                <w:szCs w:val="10"/>
              </w:rPr>
              <w:t>Aucune di</w:t>
            </w:r>
            <w:r>
              <w:rPr>
                <w:rFonts w:eastAsia="MS Mincho" w:cs="Arial"/>
                <w:w w:val="104"/>
                <w:sz w:val="20"/>
                <w:szCs w:val="10"/>
              </w:rPr>
              <w:t>s</w:t>
            </w:r>
            <w:r w:rsidRPr="00200079">
              <w:rPr>
                <w:rFonts w:eastAsia="MS Mincho" w:cs="Arial"/>
                <w:w w:val="104"/>
                <w:sz w:val="20"/>
                <w:szCs w:val="10"/>
              </w:rPr>
              <w:t xml:space="preserve">position réglementaire qui tient en compte </w:t>
            </w:r>
            <w:r>
              <w:rPr>
                <w:rFonts w:eastAsia="MS Mincho" w:cs="Arial"/>
                <w:w w:val="104"/>
                <w:sz w:val="20"/>
                <w:szCs w:val="10"/>
              </w:rPr>
              <w:t xml:space="preserve">de la sécurité des barrages </w:t>
            </w:r>
          </w:p>
          <w:p w14:paraId="13E96010" w14:textId="77777777" w:rsidR="006B2C01" w:rsidRPr="00BC30C6" w:rsidRDefault="006B2C01" w:rsidP="00D12C6F">
            <w:pPr>
              <w:autoSpaceDE w:val="0"/>
              <w:autoSpaceDN w:val="0"/>
              <w:adjustRightInd w:val="0"/>
              <w:rPr>
                <w:rFonts w:eastAsia="MS Mincho" w:cs="Arial"/>
              </w:rPr>
            </w:pPr>
          </w:p>
        </w:tc>
        <w:tc>
          <w:tcPr>
            <w:tcW w:w="3594" w:type="dxa"/>
            <w:shd w:val="clear" w:color="auto" w:fill="auto"/>
            <w:vAlign w:val="center"/>
          </w:tcPr>
          <w:p w14:paraId="7B171143" w14:textId="77777777" w:rsidR="006B2C01" w:rsidRPr="00BC30C6" w:rsidRDefault="006B2C01" w:rsidP="00D12C6F">
            <w:pPr>
              <w:spacing w:before="100" w:beforeAutospacing="1" w:after="100" w:afterAutospacing="1"/>
              <w:rPr>
                <w:rFonts w:eastAsia="MS Mincho" w:cs="Arial"/>
                <w:color w:val="000000"/>
                <w:lang w:eastAsia="fr-FR"/>
              </w:rPr>
            </w:pPr>
            <w:r w:rsidRPr="007F78CE">
              <w:rPr>
                <w:rFonts w:eastAsia="MS Mincho"/>
                <w:sz w:val="20"/>
                <w:u w:val="single"/>
              </w:rPr>
              <w:t>Conclusion</w:t>
            </w:r>
            <w:r w:rsidRPr="007F78CE">
              <w:rPr>
                <w:rFonts w:eastAsia="MS Mincho"/>
                <w:sz w:val="20"/>
              </w:rPr>
              <w:t> : Application des dispositions spécifiques des NES</w:t>
            </w:r>
          </w:p>
        </w:tc>
      </w:tr>
      <w:tr w:rsidR="006B2C01" w:rsidRPr="007F78CE" w14:paraId="3FC9EAAC" w14:textId="77777777" w:rsidTr="00D12C6F">
        <w:trPr>
          <w:jc w:val="center"/>
        </w:trPr>
        <w:tc>
          <w:tcPr>
            <w:tcW w:w="14659" w:type="dxa"/>
            <w:gridSpan w:val="3"/>
            <w:shd w:val="clear" w:color="auto" w:fill="FBD4B4"/>
            <w:vAlign w:val="center"/>
          </w:tcPr>
          <w:p w14:paraId="39244723" w14:textId="77777777" w:rsidR="006B2C01" w:rsidRDefault="006B2C01" w:rsidP="00D12C6F">
            <w:pPr>
              <w:spacing w:before="60" w:after="60"/>
              <w:jc w:val="center"/>
              <w:rPr>
                <w:rFonts w:eastAsia="MS Mincho" w:cs="Arial"/>
                <w:b/>
                <w:bCs/>
              </w:rPr>
            </w:pPr>
            <w:r>
              <w:rPr>
                <w:rFonts w:eastAsia="MS Mincho" w:cs="Arial"/>
                <w:b/>
                <w:bCs/>
              </w:rPr>
              <w:t>NES 5. Acquisition de terres, restrictions à l’utilisation de terres et réinstallation involontaire ;</w:t>
            </w:r>
          </w:p>
        </w:tc>
      </w:tr>
      <w:tr w:rsidR="006B2C01" w:rsidRPr="007F78CE" w14:paraId="2007A2D3" w14:textId="77777777" w:rsidTr="00B434A6">
        <w:trPr>
          <w:jc w:val="center"/>
        </w:trPr>
        <w:tc>
          <w:tcPr>
            <w:tcW w:w="5215" w:type="dxa"/>
          </w:tcPr>
          <w:p w14:paraId="403CA3F9" w14:textId="77777777" w:rsidR="006B2C01" w:rsidRDefault="006B2C01" w:rsidP="00D12C6F">
            <w:pPr>
              <w:pStyle w:val="Tabletext"/>
              <w:rPr>
                <w:rFonts w:ascii="Calibri" w:eastAsia="MS Mincho" w:hAnsi="Calibri" w:cs="Arial"/>
              </w:rPr>
            </w:pPr>
            <w:r>
              <w:rPr>
                <w:rFonts w:ascii="Calibri" w:eastAsia="MS Mincho" w:hAnsi="Calibri" w:cs="Arial"/>
              </w:rPr>
              <w:t>Éviter la réinstallation involontaire ou, lorsqu’elle est inévitable, la minimiser en envisageant des solutions de rechange lors de la conception du projet, et éviter l’expulsion forcée</w:t>
            </w:r>
          </w:p>
          <w:p w14:paraId="716B58FA" w14:textId="77777777" w:rsidR="006B2C01" w:rsidRDefault="006B2C01" w:rsidP="00D12C6F">
            <w:pPr>
              <w:rPr>
                <w:rFonts w:eastAsia="MS Mincho" w:cs="Arial"/>
                <w:i/>
                <w:iCs/>
                <w:u w:val="single"/>
              </w:rPr>
            </w:pPr>
            <w:r>
              <w:rPr>
                <w:rFonts w:eastAsia="MS Mincho" w:cs="Arial"/>
                <w:i/>
                <w:iCs/>
              </w:rPr>
              <w:t>Paragraphe 2</w:t>
            </w:r>
          </w:p>
        </w:tc>
        <w:tc>
          <w:tcPr>
            <w:tcW w:w="5850" w:type="dxa"/>
            <w:shd w:val="clear" w:color="auto" w:fill="auto"/>
          </w:tcPr>
          <w:p w14:paraId="3E4160A3" w14:textId="77777777" w:rsidR="006B2C01" w:rsidRPr="005C566E" w:rsidRDefault="006B2C01" w:rsidP="005C566E">
            <w:pPr>
              <w:pStyle w:val="Tabletext"/>
              <w:rPr>
                <w:rFonts w:ascii="Calibri" w:eastAsia="MS Mincho" w:hAnsi="Calibri" w:cs="Arial"/>
              </w:rPr>
            </w:pPr>
            <w:bookmarkStart w:id="1703" w:name="_Toc124956371"/>
            <w:bookmarkStart w:id="1704" w:name="_Toc125384716"/>
            <w:bookmarkStart w:id="1705" w:name="_Toc125385105"/>
            <w:r w:rsidRPr="005C566E">
              <w:rPr>
                <w:rFonts w:ascii="Calibri" w:eastAsia="MS Mincho" w:hAnsi="Calibri" w:cs="Arial"/>
              </w:rPr>
              <w:t>L’acquisition involontaire des terres et les restrictions sur l’utilisation des terres sont limitées aux travaux et opérations déclarés par décret d’utilité publique tels qu’indiqués respectivement à l’article3 ou à l’article 84 de l’Ordonnance n°62- 023.</w:t>
            </w:r>
            <w:bookmarkEnd w:id="1703"/>
            <w:bookmarkEnd w:id="1704"/>
            <w:bookmarkEnd w:id="1705"/>
          </w:p>
          <w:p w14:paraId="6D2523C1" w14:textId="77777777" w:rsidR="006B2C01" w:rsidRPr="005C566E" w:rsidRDefault="006B2C01" w:rsidP="005C566E">
            <w:pPr>
              <w:pStyle w:val="Tabletext"/>
              <w:rPr>
                <w:rFonts w:ascii="Calibri" w:eastAsia="MS Mincho" w:hAnsi="Calibri" w:cs="Arial"/>
              </w:rPr>
            </w:pPr>
          </w:p>
        </w:tc>
        <w:tc>
          <w:tcPr>
            <w:tcW w:w="3594" w:type="dxa"/>
            <w:shd w:val="clear" w:color="auto" w:fill="auto"/>
          </w:tcPr>
          <w:p w14:paraId="44D99B73" w14:textId="77777777" w:rsidR="006B2C01" w:rsidRPr="00B434A6" w:rsidRDefault="006B2C01" w:rsidP="00B434A6">
            <w:pPr>
              <w:spacing w:after="120"/>
              <w:rPr>
                <w:rFonts w:cs="Calibri"/>
                <w:sz w:val="20"/>
              </w:rPr>
            </w:pPr>
            <w:r w:rsidRPr="00B434A6">
              <w:rPr>
                <w:rFonts w:cs="Calibri"/>
                <w:sz w:val="20"/>
              </w:rPr>
              <w:t>En ce qui concerne la limitation de l’acquisition involontaire, il y a correspondance entre le cadre national et la NES.</w:t>
            </w:r>
          </w:p>
          <w:p w14:paraId="6B2D59D3" w14:textId="77777777" w:rsidR="006B2C01" w:rsidRPr="00B434A6" w:rsidRDefault="006B2C01" w:rsidP="00B434A6">
            <w:pPr>
              <w:spacing w:after="120"/>
              <w:rPr>
                <w:rFonts w:cs="Calibri"/>
                <w:sz w:val="20"/>
              </w:rPr>
            </w:pPr>
            <w:r w:rsidRPr="00B434A6">
              <w:rPr>
                <w:rFonts w:cs="Calibri"/>
                <w:sz w:val="20"/>
              </w:rPr>
              <w:t xml:space="preserve">Les exigences de la NES5 insistent aussi sur la comparaison des avantages avec une attention particulière sur les questions de genre et de vulnérabilité lors de l’étude des conceptions alternatives possibles du projet et ont des dispositions plus favorables. </w:t>
            </w:r>
          </w:p>
          <w:p w14:paraId="45DBE5B1" w14:textId="77777777" w:rsidR="006B2C01" w:rsidRPr="00DF7822" w:rsidRDefault="006B2C01" w:rsidP="00B434A6">
            <w:pPr>
              <w:spacing w:after="120"/>
              <w:rPr>
                <w:rFonts w:eastAsia="MS Mincho" w:cs="Calibri"/>
              </w:rPr>
            </w:pPr>
            <w:r w:rsidRPr="00B434A6">
              <w:rPr>
                <w:rFonts w:cs="Calibri"/>
                <w:sz w:val="20"/>
              </w:rPr>
              <w:t>Les dispositions de la NES5 et de la législation nationale seront appliquées.</w:t>
            </w:r>
          </w:p>
        </w:tc>
      </w:tr>
      <w:tr w:rsidR="006B2C01" w:rsidRPr="007F78CE" w14:paraId="2D406F2C" w14:textId="77777777" w:rsidTr="00B434A6">
        <w:trPr>
          <w:jc w:val="center"/>
        </w:trPr>
        <w:tc>
          <w:tcPr>
            <w:tcW w:w="5215" w:type="dxa"/>
          </w:tcPr>
          <w:p w14:paraId="5FFE453A" w14:textId="77777777" w:rsidR="006B2C01" w:rsidRDefault="006B2C01" w:rsidP="00D12C6F">
            <w:pPr>
              <w:pStyle w:val="Tabletext"/>
              <w:rPr>
                <w:rFonts w:ascii="Calibri" w:eastAsia="MS Mincho" w:hAnsi="Calibri" w:cs="Arial"/>
              </w:rPr>
            </w:pPr>
            <w:r>
              <w:rPr>
                <w:rFonts w:ascii="Calibri" w:eastAsia="MS Mincho" w:hAnsi="Calibri" w:cs="Arial"/>
              </w:rPr>
              <w:t xml:space="preserve">Atténuer les effets sociaux et économiques néfastes de l’acquisition de terres ou des restrictions à leur utilisation, en assurant </w:t>
            </w:r>
            <w:r w:rsidRPr="004A7D81">
              <w:rPr>
                <w:rFonts w:ascii="Calibri" w:eastAsia="MS Mincho" w:hAnsi="Calibri" w:cs="Arial"/>
              </w:rPr>
              <w:t>une indemnisation rapide au coût de remplacement des personnes spoliées de leurs biens, et aider les personnes déplacées à rétablir ou améliorer leurs moyens de subsistance et leur niveau de vie d’avant le projet</w:t>
            </w:r>
          </w:p>
          <w:p w14:paraId="38B2B456" w14:textId="77777777" w:rsidR="006B2C01" w:rsidRDefault="006B2C01" w:rsidP="00D12C6F">
            <w:pPr>
              <w:rPr>
                <w:rFonts w:eastAsia="MS Mincho" w:cs="Arial"/>
                <w:i/>
                <w:iCs/>
                <w:u w:val="single"/>
              </w:rPr>
            </w:pPr>
            <w:r>
              <w:rPr>
                <w:rFonts w:eastAsia="MS Mincho" w:cs="Arial"/>
                <w:i/>
                <w:iCs/>
              </w:rPr>
              <w:t>Paragraphes 2</w:t>
            </w:r>
          </w:p>
        </w:tc>
        <w:tc>
          <w:tcPr>
            <w:tcW w:w="5850" w:type="dxa"/>
            <w:shd w:val="clear" w:color="auto" w:fill="auto"/>
          </w:tcPr>
          <w:p w14:paraId="3ABD2128" w14:textId="77777777" w:rsidR="006B2C01" w:rsidRPr="007F78CE" w:rsidRDefault="006B2C01" w:rsidP="00B434A6">
            <w:pPr>
              <w:spacing w:after="120"/>
              <w:rPr>
                <w:rFonts w:ascii="arial gras" w:eastAsia="Times New Roman" w:hAnsi="arial gras"/>
                <w:b/>
                <w:smallCaps/>
                <w:color w:val="000000"/>
                <w:sz w:val="20"/>
              </w:rPr>
            </w:pPr>
            <w:r w:rsidRPr="007F78CE">
              <w:rPr>
                <w:sz w:val="20"/>
              </w:rPr>
              <w:t>La législation prévoit le principe de juste et préalable indemnité.</w:t>
            </w:r>
          </w:p>
          <w:p w14:paraId="04ADD42D" w14:textId="77777777" w:rsidR="006B2C01" w:rsidRPr="007F78CE" w:rsidRDefault="006B2C01" w:rsidP="00B434A6">
            <w:pPr>
              <w:spacing w:after="120"/>
              <w:rPr>
                <w:rFonts w:ascii="arial gras" w:eastAsia="Times New Roman" w:hAnsi="arial gras"/>
                <w:b/>
                <w:smallCaps/>
                <w:color w:val="000000"/>
                <w:sz w:val="20"/>
              </w:rPr>
            </w:pPr>
            <w:r w:rsidRPr="007F78CE">
              <w:rPr>
                <w:sz w:val="20"/>
              </w:rPr>
              <w:t>L’indemnité d’expropriation est fixée sur la base de la valeur actuelle à la date du décret déclaratif d’expropriation de la propriété et à sa valorisation directe (constructions, plantations, etc.), (par commission d’évaluation ou par voie judiciaire.)</w:t>
            </w:r>
          </w:p>
          <w:p w14:paraId="1BB17141" w14:textId="77777777" w:rsidR="006B2C01" w:rsidRPr="007F78CE" w:rsidRDefault="006B2C01" w:rsidP="00B434A6">
            <w:pPr>
              <w:spacing w:after="120"/>
              <w:rPr>
                <w:rFonts w:ascii="arial gras" w:eastAsia="Times New Roman" w:hAnsi="arial gras"/>
                <w:b/>
                <w:smallCaps/>
                <w:color w:val="000000"/>
                <w:sz w:val="20"/>
              </w:rPr>
            </w:pPr>
            <w:r w:rsidRPr="007F78CE">
              <w:rPr>
                <w:sz w:val="20"/>
              </w:rPr>
              <w:t>L’indemnisation est effectuée en espèces ou autres formes de compensations conventionnelles (non déterminées par les textes).</w:t>
            </w:r>
          </w:p>
          <w:p w14:paraId="01529938" w14:textId="77777777" w:rsidR="006B2C01" w:rsidRPr="00664EB6" w:rsidRDefault="006B2C01" w:rsidP="00B434A6">
            <w:pPr>
              <w:spacing w:after="120"/>
              <w:rPr>
                <w:rFonts w:ascii="arial gras" w:eastAsia="MS Mincho" w:hAnsi="arial gras" w:cs="Arial" w:hint="eastAsia"/>
                <w:b/>
                <w:smallCaps/>
                <w:color w:val="000000"/>
              </w:rPr>
            </w:pPr>
            <w:r w:rsidRPr="007F78CE">
              <w:rPr>
                <w:sz w:val="20"/>
              </w:rPr>
              <w:t>L’étude EIS prescrit le coût de remplacement intégral et les aides visant au moins au rétablissement des moyens d’existence et du niveau de vie des personnes déplacées.</w:t>
            </w:r>
          </w:p>
        </w:tc>
        <w:tc>
          <w:tcPr>
            <w:tcW w:w="3594" w:type="dxa"/>
            <w:shd w:val="clear" w:color="auto" w:fill="auto"/>
          </w:tcPr>
          <w:p w14:paraId="58CC9B36" w14:textId="77777777" w:rsidR="006B2C01" w:rsidRPr="007F78CE" w:rsidRDefault="006B2C01" w:rsidP="00D12C6F">
            <w:pPr>
              <w:rPr>
                <w:rFonts w:ascii="Cambria" w:hAnsi="Cambria"/>
                <w:sz w:val="20"/>
              </w:rPr>
            </w:pPr>
            <w:r w:rsidRPr="007F78CE">
              <w:rPr>
                <w:rFonts w:ascii="Cambria" w:hAnsi="Cambria"/>
                <w:sz w:val="20"/>
              </w:rPr>
              <w:t xml:space="preserve">Les exigences de la NES sont des dispositions plus favorables et complémentaires à la législation nationale. </w:t>
            </w:r>
          </w:p>
          <w:p w14:paraId="3C6B445B" w14:textId="77777777" w:rsidR="006B2C01" w:rsidRPr="007F78CE" w:rsidRDefault="006B2C01" w:rsidP="00D12C6F">
            <w:pPr>
              <w:rPr>
                <w:rFonts w:ascii="Cambria" w:hAnsi="Cambria"/>
                <w:sz w:val="20"/>
              </w:rPr>
            </w:pPr>
          </w:p>
          <w:p w14:paraId="7A2A1EE9" w14:textId="77777777" w:rsidR="006B2C01" w:rsidRPr="007F78CE" w:rsidRDefault="006B2C01" w:rsidP="00D12C6F">
            <w:pPr>
              <w:rPr>
                <w:rFonts w:ascii="Cambria" w:hAnsi="Cambria"/>
                <w:sz w:val="20"/>
              </w:rPr>
            </w:pPr>
            <w:r w:rsidRPr="007F78CE">
              <w:rPr>
                <w:sz w:val="20"/>
              </w:rPr>
              <w:t>Les dispositions de la législation nationale et la NES5 seront appliqué</w:t>
            </w:r>
            <w:r w:rsidR="00631F1E">
              <w:rPr>
                <w:sz w:val="20"/>
              </w:rPr>
              <w:t>e</w:t>
            </w:r>
            <w:r w:rsidRPr="007F78CE">
              <w:rPr>
                <w:sz w:val="20"/>
              </w:rPr>
              <w:t>s.</w:t>
            </w:r>
          </w:p>
          <w:p w14:paraId="3CF0D844" w14:textId="77777777" w:rsidR="006B2C01" w:rsidRDefault="006B2C01" w:rsidP="00D12C6F">
            <w:pPr>
              <w:rPr>
                <w:rFonts w:eastAsia="MS Mincho" w:cs="Arial"/>
              </w:rPr>
            </w:pPr>
          </w:p>
          <w:p w14:paraId="7EA579D9" w14:textId="77777777" w:rsidR="006B2C01" w:rsidRPr="00664EB6" w:rsidRDefault="006B2C01" w:rsidP="00D12C6F">
            <w:pPr>
              <w:rPr>
                <w:rFonts w:eastAsia="MS Mincho" w:cs="Arial"/>
              </w:rPr>
            </w:pPr>
          </w:p>
        </w:tc>
      </w:tr>
      <w:tr w:rsidR="006B2C01" w:rsidRPr="007F78CE" w14:paraId="621F54A4" w14:textId="77777777" w:rsidTr="00B434A6">
        <w:trPr>
          <w:cantSplit/>
          <w:jc w:val="center"/>
        </w:trPr>
        <w:tc>
          <w:tcPr>
            <w:tcW w:w="5215" w:type="dxa"/>
          </w:tcPr>
          <w:p w14:paraId="1BF5AFD9" w14:textId="77777777" w:rsidR="006B2C01" w:rsidRDefault="006B2C01" w:rsidP="00D12C6F">
            <w:pPr>
              <w:pStyle w:val="Tabletext"/>
              <w:rPr>
                <w:rFonts w:ascii="Calibri" w:eastAsia="MS Mincho" w:hAnsi="Calibri" w:cs="Arial"/>
              </w:rPr>
            </w:pPr>
            <w:r>
              <w:rPr>
                <w:rFonts w:ascii="Calibri" w:eastAsia="MS Mincho" w:hAnsi="Calibri" w:cs="Arial"/>
              </w:rPr>
              <w:t>Ne pas appliquer le NES5 aux effets qui ne sont pas directement imputables à l’acquisition de terres ou aux restrictions à leur utilisation imposée par le projet, mais plutôt gérer ces effets conformément à la NES1</w:t>
            </w:r>
          </w:p>
          <w:p w14:paraId="3B67C889" w14:textId="77777777" w:rsidR="006B2C01" w:rsidRDefault="006B2C01" w:rsidP="00D12C6F">
            <w:pPr>
              <w:rPr>
                <w:rFonts w:eastAsia="MS Mincho" w:cs="Arial"/>
                <w:i/>
                <w:iCs/>
                <w:u w:val="single"/>
              </w:rPr>
            </w:pPr>
            <w:r>
              <w:rPr>
                <w:rFonts w:eastAsia="MS Mincho" w:cs="Arial"/>
                <w:i/>
                <w:iCs/>
              </w:rPr>
              <w:t>Paragraphes 5 à 9</w:t>
            </w:r>
          </w:p>
        </w:tc>
        <w:tc>
          <w:tcPr>
            <w:tcW w:w="5850" w:type="dxa"/>
            <w:shd w:val="clear" w:color="auto" w:fill="auto"/>
          </w:tcPr>
          <w:p w14:paraId="17850C29" w14:textId="77777777" w:rsidR="006B2C01" w:rsidRDefault="006B2C01" w:rsidP="00D12C6F">
            <w:pPr>
              <w:rPr>
                <w:rFonts w:eastAsia="MS Mincho" w:cs="Arial"/>
              </w:rPr>
            </w:pPr>
            <w:r>
              <w:rPr>
                <w:rFonts w:eastAsia="MS Mincho" w:cs="Arial"/>
              </w:rPr>
              <w:t>Néant</w:t>
            </w:r>
          </w:p>
        </w:tc>
        <w:tc>
          <w:tcPr>
            <w:tcW w:w="3594" w:type="dxa"/>
            <w:shd w:val="clear" w:color="auto" w:fill="auto"/>
          </w:tcPr>
          <w:p w14:paraId="663032F2" w14:textId="77777777" w:rsidR="006B2C01" w:rsidRDefault="006B2C01" w:rsidP="00D12C6F">
            <w:pPr>
              <w:rPr>
                <w:rFonts w:eastAsia="MS Mincho" w:cs="Arial"/>
              </w:rPr>
            </w:pPr>
          </w:p>
        </w:tc>
      </w:tr>
      <w:tr w:rsidR="006B2C01" w:rsidRPr="007F78CE" w14:paraId="28E1C688" w14:textId="77777777" w:rsidTr="00B434A6">
        <w:trPr>
          <w:cantSplit/>
          <w:jc w:val="center"/>
        </w:trPr>
        <w:tc>
          <w:tcPr>
            <w:tcW w:w="5215" w:type="dxa"/>
          </w:tcPr>
          <w:p w14:paraId="66FEF28A" w14:textId="77777777" w:rsidR="006B2C01" w:rsidRPr="006F2FBF" w:rsidRDefault="006B2C01" w:rsidP="00D12C6F">
            <w:pPr>
              <w:pStyle w:val="Tabletext"/>
              <w:rPr>
                <w:rFonts w:ascii="Calibri" w:eastAsia="MS Mincho" w:hAnsi="Calibri" w:cs="Arial"/>
              </w:rPr>
            </w:pPr>
            <w:r>
              <w:rPr>
                <w:rFonts w:ascii="Calibri" w:eastAsia="MS Mincho" w:hAnsi="Calibri" w:cs="Arial"/>
              </w:rPr>
              <w:t xml:space="preserve">Démontrera que l’acquisition forcée de terres ou les restrictions à leur utilisation se limitent aux besoins directs du projet, et étudier des variantes de conception du projet afin d’éviter ou de minimiser l’acquisition de terres ou les restrictions à leur </w:t>
            </w:r>
            <w:r w:rsidRPr="006F2FBF">
              <w:rPr>
                <w:rFonts w:ascii="Calibri" w:eastAsia="MS Mincho" w:hAnsi="Calibri" w:cs="Arial"/>
              </w:rPr>
              <w:t>utilisation</w:t>
            </w:r>
          </w:p>
          <w:p w14:paraId="5DAB859A" w14:textId="77777777" w:rsidR="006B2C01" w:rsidRDefault="006B2C01" w:rsidP="00D12C6F">
            <w:pPr>
              <w:rPr>
                <w:rFonts w:eastAsia="MS Mincho" w:cs="Arial"/>
                <w:i/>
                <w:iCs/>
                <w:u w:val="single"/>
              </w:rPr>
            </w:pPr>
            <w:r w:rsidRPr="006F2FBF">
              <w:rPr>
                <w:rFonts w:eastAsia="MS Mincho" w:cs="Arial"/>
                <w:i/>
                <w:iCs/>
              </w:rPr>
              <w:t>Paragraphes 11</w:t>
            </w:r>
          </w:p>
        </w:tc>
        <w:tc>
          <w:tcPr>
            <w:tcW w:w="5850" w:type="dxa"/>
            <w:shd w:val="clear" w:color="auto" w:fill="auto"/>
          </w:tcPr>
          <w:p w14:paraId="18314D40" w14:textId="77777777" w:rsidR="006B2C01" w:rsidRPr="00B434A6" w:rsidRDefault="006B2C01" w:rsidP="00B434A6">
            <w:pPr>
              <w:spacing w:after="120"/>
              <w:rPr>
                <w:rFonts w:cs="Calibri"/>
                <w:sz w:val="20"/>
                <w:vertAlign w:val="superscript"/>
              </w:rPr>
            </w:pPr>
            <w:r w:rsidRPr="00B434A6">
              <w:rPr>
                <w:rFonts w:cs="Calibri"/>
                <w:sz w:val="20"/>
              </w:rPr>
              <w:t>a) L’acquisition involontaire des terres et les restrictions sur l’utilisation des terres sont limitées aux travaux et opérations déclarés par décret d’utilité publique tels qu’indiqués respectivement à</w:t>
            </w:r>
            <w:r w:rsidRPr="00B434A6">
              <w:rPr>
                <w:rFonts w:cs="Calibri"/>
                <w:sz w:val="20"/>
                <w:vertAlign w:val="superscript"/>
              </w:rPr>
              <w:t xml:space="preserve"> </w:t>
            </w:r>
            <w:r w:rsidRPr="00B434A6">
              <w:rPr>
                <w:rFonts w:cs="Calibri"/>
                <w:sz w:val="20"/>
              </w:rPr>
              <w:t>l’article3 ou à l’article84 de l’Ordonnancen°62- 023.</w:t>
            </w:r>
          </w:p>
          <w:p w14:paraId="366D3DBB" w14:textId="77777777" w:rsidR="006B2C01" w:rsidRPr="00B434A6" w:rsidRDefault="006B2C01" w:rsidP="00B434A6">
            <w:pPr>
              <w:pStyle w:val="TableParagraph"/>
              <w:spacing w:before="0" w:beforeAutospacing="0" w:after="120" w:afterAutospacing="0"/>
              <w:ind w:left="72"/>
              <w:rPr>
                <w:rFonts w:ascii="Calibri" w:hAnsi="Calibri" w:cs="Calibri"/>
                <w:sz w:val="20"/>
                <w:szCs w:val="20"/>
              </w:rPr>
            </w:pPr>
            <w:r w:rsidRPr="00B434A6">
              <w:rPr>
                <w:rFonts w:ascii="Calibri" w:hAnsi="Calibri" w:cs="Calibri"/>
                <w:sz w:val="20"/>
                <w:szCs w:val="20"/>
              </w:rPr>
              <w:t>Dans le premier cas, il s’agit d’une expropriation.</w:t>
            </w:r>
          </w:p>
          <w:p w14:paraId="17E61297" w14:textId="77777777" w:rsidR="006B2C01" w:rsidRPr="00B434A6" w:rsidRDefault="006B2C01" w:rsidP="00B434A6">
            <w:pPr>
              <w:pStyle w:val="TableParagraph"/>
              <w:spacing w:before="0" w:beforeAutospacing="0" w:after="120" w:afterAutospacing="0"/>
              <w:ind w:left="72"/>
              <w:rPr>
                <w:rFonts w:ascii="Calibri" w:hAnsi="Calibri" w:cs="Calibri"/>
                <w:sz w:val="20"/>
                <w:szCs w:val="20"/>
              </w:rPr>
            </w:pPr>
            <w:r w:rsidRPr="00B434A6">
              <w:rPr>
                <w:rFonts w:ascii="Calibri" w:hAnsi="Calibri" w:cs="Calibri"/>
                <w:sz w:val="20"/>
                <w:szCs w:val="20"/>
              </w:rPr>
              <w:t>Dans le second cas, il s’agit des travaux ne nécessitant pas l’acquisition de terrains. Dans ce cas, il y a restriction et destination particulière d’utilisation dont les travaux peuvent apporter une plus-value sur l’immeuble. Le propriétaire est appelé par la suite au remboursement ou paiement de redevances pour cette plus-value. Toutefois, en cas de refus du propriétaire, il sera procédé à expropriation.</w:t>
            </w:r>
          </w:p>
          <w:p w14:paraId="7063F4A8" w14:textId="77777777" w:rsidR="006B2C01" w:rsidRPr="00B434A6" w:rsidRDefault="006B2C01" w:rsidP="00B434A6">
            <w:pPr>
              <w:pStyle w:val="TableParagraph"/>
              <w:spacing w:before="0" w:beforeAutospacing="0" w:after="120" w:afterAutospacing="0"/>
              <w:ind w:left="72"/>
              <w:rPr>
                <w:rFonts w:ascii="Calibri" w:hAnsi="Calibri" w:cs="Calibri"/>
                <w:sz w:val="20"/>
                <w:szCs w:val="20"/>
              </w:rPr>
            </w:pPr>
            <w:r w:rsidRPr="00B434A6">
              <w:rPr>
                <w:rFonts w:ascii="Calibri" w:hAnsi="Calibri" w:cs="Calibri"/>
                <w:sz w:val="20"/>
                <w:szCs w:val="20"/>
              </w:rPr>
              <w:t>Le retour (avec conditions) de l’immeuble aux anciens propriétaires peut être prononcé si la destination d’utilité publique n’est pas respectée. (art.52)</w:t>
            </w:r>
          </w:p>
          <w:p w14:paraId="45ADCE03" w14:textId="77777777" w:rsidR="006B2C01" w:rsidRPr="00B434A6" w:rsidRDefault="006B2C01" w:rsidP="00B434A6">
            <w:pPr>
              <w:pStyle w:val="TableParagraph"/>
              <w:spacing w:before="0" w:beforeAutospacing="0" w:after="120" w:afterAutospacing="0"/>
              <w:ind w:left="72"/>
              <w:rPr>
                <w:rFonts w:ascii="Calibri" w:hAnsi="Calibri" w:cs="Calibri"/>
                <w:sz w:val="20"/>
                <w:szCs w:val="20"/>
              </w:rPr>
            </w:pPr>
            <w:r w:rsidRPr="00B434A6">
              <w:rPr>
                <w:rFonts w:ascii="Calibri" w:hAnsi="Calibri" w:cs="Calibri"/>
                <w:sz w:val="20"/>
                <w:szCs w:val="20"/>
              </w:rPr>
              <w:t>(b) L’étude de conceptions alternatives n’est pas prévue par les textes législatifs et réglementaires.</w:t>
            </w:r>
          </w:p>
          <w:p w14:paraId="37C52208" w14:textId="77777777" w:rsidR="006B2C01" w:rsidRPr="00DF7822" w:rsidRDefault="006B2C01" w:rsidP="00B434A6">
            <w:pPr>
              <w:spacing w:after="120"/>
              <w:rPr>
                <w:rFonts w:cs="Calibri"/>
                <w:spacing w:val="-4"/>
                <w:sz w:val="20"/>
              </w:rPr>
            </w:pPr>
            <w:r w:rsidRPr="00DF7822">
              <w:rPr>
                <w:rFonts w:cs="Calibri"/>
                <w:sz w:val="20"/>
              </w:rPr>
              <w:t>Cependant, de telles études sont préconisées et exigées lors de l’EIE. L’étude et le développement des alternatives réalisables en matière de déplacement</w:t>
            </w:r>
            <w:r w:rsidRPr="007F78CE">
              <w:rPr>
                <w:sz w:val="20"/>
              </w:rPr>
              <w:t xml:space="preserve"> de la population permettent des impacts moins dommageables à l’environnement et « d’éviter autant que faire se </w:t>
            </w:r>
            <w:r w:rsidRPr="00DF7822">
              <w:rPr>
                <w:rFonts w:cs="Calibri"/>
                <w:sz w:val="20"/>
              </w:rPr>
              <w:t>peut le déplacement involontaire de la population</w:t>
            </w:r>
            <w:r w:rsidRPr="00DF7822">
              <w:rPr>
                <w:rFonts w:cs="Calibri"/>
                <w:spacing w:val="-4"/>
                <w:sz w:val="20"/>
              </w:rPr>
              <w:t>».</w:t>
            </w:r>
          </w:p>
          <w:p w14:paraId="20B757B0" w14:textId="77777777" w:rsidR="006B2C01" w:rsidRPr="00B434A6" w:rsidRDefault="006B2C01" w:rsidP="00B434A6">
            <w:pPr>
              <w:pStyle w:val="TableParagraph"/>
              <w:spacing w:before="0" w:beforeAutospacing="0" w:after="120" w:afterAutospacing="0"/>
              <w:ind w:left="72"/>
              <w:rPr>
                <w:rFonts w:ascii="Calibri" w:hAnsi="Calibri" w:cs="Calibri"/>
                <w:sz w:val="20"/>
                <w:szCs w:val="20"/>
              </w:rPr>
            </w:pPr>
            <w:r w:rsidRPr="00B434A6">
              <w:rPr>
                <w:rFonts w:ascii="Calibri" w:hAnsi="Calibri" w:cs="Calibri"/>
                <w:sz w:val="20"/>
                <w:szCs w:val="20"/>
              </w:rPr>
              <w:t>a) Art.2, 3, 52, 84,85 Ordonnance n°62-023.</w:t>
            </w:r>
          </w:p>
          <w:p w14:paraId="34ABB90E" w14:textId="77777777" w:rsidR="006B2C01" w:rsidRPr="00B434A6" w:rsidRDefault="006B2C01" w:rsidP="00D12C6F">
            <w:pPr>
              <w:pStyle w:val="TableParagraph"/>
              <w:ind w:left="71"/>
              <w:rPr>
                <w:rFonts w:ascii="Calibri" w:hAnsi="Calibri" w:cs="Calibri"/>
                <w:sz w:val="20"/>
                <w:szCs w:val="20"/>
              </w:rPr>
            </w:pPr>
            <w:r w:rsidRPr="00B434A6">
              <w:rPr>
                <w:rFonts w:ascii="Calibri" w:hAnsi="Calibri" w:cs="Calibri"/>
                <w:sz w:val="20"/>
                <w:szCs w:val="20"/>
              </w:rPr>
              <w:t>b) §1.1 Directives EIE. 10.0 à10.3,</w:t>
            </w:r>
          </w:p>
          <w:p w14:paraId="3AE717D1" w14:textId="77777777" w:rsidR="006B2C01" w:rsidRPr="004A7D81" w:rsidRDefault="006B2C01" w:rsidP="00D12C6F">
            <w:pPr>
              <w:rPr>
                <w:rFonts w:eastAsia="MS Mincho" w:cs="Arial"/>
              </w:rPr>
            </w:pPr>
            <w:r w:rsidRPr="00B434A6">
              <w:rPr>
                <w:rFonts w:cs="Calibri"/>
                <w:sz w:val="20"/>
              </w:rPr>
              <w:t>Annexe 7 Guide EIS.</w:t>
            </w:r>
          </w:p>
        </w:tc>
        <w:tc>
          <w:tcPr>
            <w:tcW w:w="3594" w:type="dxa"/>
            <w:shd w:val="clear" w:color="auto" w:fill="auto"/>
          </w:tcPr>
          <w:p w14:paraId="4E897C93" w14:textId="77777777" w:rsidR="006B2C01" w:rsidRPr="007F78CE" w:rsidRDefault="006B2C01" w:rsidP="00D12C6F">
            <w:pPr>
              <w:rPr>
                <w:rFonts w:ascii="Cambria" w:hAnsi="Cambria"/>
                <w:sz w:val="20"/>
              </w:rPr>
            </w:pPr>
            <w:r w:rsidRPr="007F78CE">
              <w:rPr>
                <w:rFonts w:ascii="Cambria" w:hAnsi="Cambria"/>
                <w:sz w:val="20"/>
              </w:rPr>
              <w:t>En ce qui concerne la limitation de l’acquisition involontaire, il y a correspondance entre le cadre national et la NES.</w:t>
            </w:r>
          </w:p>
          <w:p w14:paraId="0B7CF078" w14:textId="77777777" w:rsidR="006B2C01" w:rsidRPr="007F78CE" w:rsidRDefault="006B2C01" w:rsidP="00D12C6F">
            <w:pPr>
              <w:rPr>
                <w:rFonts w:ascii="Cambria" w:hAnsi="Cambria"/>
                <w:sz w:val="20"/>
              </w:rPr>
            </w:pPr>
            <w:r w:rsidRPr="007F78CE">
              <w:rPr>
                <w:rFonts w:ascii="Cambria" w:hAnsi="Cambria"/>
                <w:sz w:val="20"/>
              </w:rPr>
              <w:t xml:space="preserve">Les exigences de la NES5 insistent aussi sur la comparaison des avantages avec une attention particulière sur les questions de genre et de vulnérabilité lors de l’étude des conceptions alternatives possibles du projet et ont des dispositions plus favorables. </w:t>
            </w:r>
          </w:p>
          <w:p w14:paraId="5321CFA2" w14:textId="77777777" w:rsidR="006B2C01" w:rsidRPr="007F78CE" w:rsidRDefault="006B2C01" w:rsidP="00D12C6F">
            <w:pPr>
              <w:rPr>
                <w:rFonts w:ascii="Cambria" w:hAnsi="Cambria"/>
                <w:sz w:val="20"/>
              </w:rPr>
            </w:pPr>
          </w:p>
          <w:p w14:paraId="532761DA" w14:textId="77777777" w:rsidR="006B2C01" w:rsidRPr="004A7D81" w:rsidRDefault="006B2C01" w:rsidP="00D12C6F">
            <w:pPr>
              <w:rPr>
                <w:rFonts w:eastAsia="MS Mincho" w:cs="Arial"/>
              </w:rPr>
            </w:pPr>
            <w:r w:rsidRPr="007F78CE">
              <w:rPr>
                <w:rFonts w:ascii="Cambria" w:hAnsi="Cambria"/>
                <w:sz w:val="20"/>
              </w:rPr>
              <w:t>Les dispositions de la NES5 et de la législation nationale seront appliquées.</w:t>
            </w:r>
          </w:p>
        </w:tc>
      </w:tr>
      <w:tr w:rsidR="006B2C01" w:rsidRPr="007F78CE" w14:paraId="621EDA49" w14:textId="77777777" w:rsidTr="00B434A6">
        <w:trPr>
          <w:cantSplit/>
          <w:jc w:val="center"/>
        </w:trPr>
        <w:tc>
          <w:tcPr>
            <w:tcW w:w="5215" w:type="dxa"/>
          </w:tcPr>
          <w:p w14:paraId="788A1D2E" w14:textId="77777777" w:rsidR="006B2C01" w:rsidRDefault="006B2C01" w:rsidP="00D12C6F">
            <w:pPr>
              <w:pStyle w:val="Tabletext"/>
              <w:rPr>
                <w:rFonts w:ascii="Calibri" w:eastAsia="MS Mincho" w:hAnsi="Calibri" w:cs="Arial"/>
              </w:rPr>
            </w:pPr>
            <w:r>
              <w:rPr>
                <w:rFonts w:ascii="Calibri" w:eastAsia="MS Mincho" w:hAnsi="Calibri" w:cs="Arial"/>
              </w:rPr>
              <w:t>Ne prendre possession des terres et des actifs connexes que lorsque les indemnisations auront été versées conformément aux dispositions de la présente NES et, le cas échéant, lorsque les personnes déplacées auront été réinstallées et les indemnités de déplacement leur auront été versées en sus des indemnisations</w:t>
            </w:r>
          </w:p>
          <w:p w14:paraId="658E5C61" w14:textId="77777777" w:rsidR="006B2C01" w:rsidRDefault="006B2C01" w:rsidP="00D12C6F">
            <w:pPr>
              <w:rPr>
                <w:rFonts w:eastAsia="MS Mincho" w:cs="Arial"/>
                <w:i/>
                <w:iCs/>
                <w:u w:val="single"/>
              </w:rPr>
            </w:pPr>
            <w:r>
              <w:rPr>
                <w:rFonts w:eastAsia="MS Mincho" w:cs="Arial"/>
                <w:i/>
                <w:iCs/>
              </w:rPr>
              <w:t>Paragraphes 15 et 16</w:t>
            </w:r>
          </w:p>
        </w:tc>
        <w:tc>
          <w:tcPr>
            <w:tcW w:w="5850" w:type="dxa"/>
            <w:shd w:val="clear" w:color="auto" w:fill="auto"/>
          </w:tcPr>
          <w:p w14:paraId="217ADA05" w14:textId="77777777" w:rsidR="006B2C01" w:rsidRPr="00B434A6" w:rsidRDefault="006B2C01" w:rsidP="00B434A6">
            <w:pPr>
              <w:pStyle w:val="TableParagraph"/>
              <w:spacing w:before="0" w:beforeAutospacing="0" w:after="120" w:afterAutospacing="0"/>
              <w:ind w:left="72" w:right="58"/>
              <w:rPr>
                <w:rFonts w:ascii="Calibri" w:hAnsi="Calibri" w:cs="Calibri"/>
                <w:sz w:val="20"/>
                <w:szCs w:val="20"/>
              </w:rPr>
            </w:pPr>
            <w:r w:rsidRPr="00B434A6">
              <w:rPr>
                <w:rFonts w:ascii="Calibri" w:hAnsi="Calibri" w:cs="Calibri"/>
                <w:sz w:val="20"/>
                <w:szCs w:val="20"/>
              </w:rPr>
              <w:t>Indemnité juste et préalable. (Préalable en cas d’acceptation à l’amiable)</w:t>
            </w:r>
          </w:p>
          <w:p w14:paraId="010AB10F" w14:textId="77777777" w:rsidR="006B2C01" w:rsidRPr="00B434A6" w:rsidRDefault="006B2C01" w:rsidP="00B434A6">
            <w:pPr>
              <w:pStyle w:val="TableParagraph"/>
              <w:spacing w:before="0" w:beforeAutospacing="0" w:after="120" w:afterAutospacing="0"/>
              <w:ind w:left="72" w:right="58"/>
              <w:rPr>
                <w:rFonts w:ascii="Calibri" w:hAnsi="Calibri" w:cs="Calibri"/>
                <w:sz w:val="20"/>
                <w:szCs w:val="20"/>
              </w:rPr>
            </w:pPr>
            <w:r w:rsidRPr="00B434A6">
              <w:rPr>
                <w:rFonts w:ascii="Calibri" w:hAnsi="Calibri" w:cs="Calibri"/>
                <w:sz w:val="20"/>
                <w:szCs w:val="20"/>
              </w:rPr>
              <w:t>Le montant de l’indemnité est consigné au Trésor dès l’approbation de l’évaluation par le Ministre chargé des finances.</w:t>
            </w:r>
          </w:p>
          <w:p w14:paraId="12374B9E" w14:textId="77777777" w:rsidR="006B2C01" w:rsidRPr="00B434A6" w:rsidRDefault="006B2C01" w:rsidP="00B434A6">
            <w:pPr>
              <w:pStyle w:val="TableParagraph"/>
              <w:spacing w:before="0" w:beforeAutospacing="0" w:after="120" w:afterAutospacing="0"/>
              <w:ind w:left="72" w:right="58"/>
              <w:rPr>
                <w:rFonts w:ascii="Calibri" w:hAnsi="Calibri" w:cs="Calibri"/>
                <w:sz w:val="20"/>
                <w:szCs w:val="20"/>
              </w:rPr>
            </w:pPr>
            <w:r w:rsidRPr="00B434A6">
              <w:rPr>
                <w:rFonts w:ascii="Calibri" w:hAnsi="Calibri" w:cs="Calibri"/>
                <w:sz w:val="20"/>
                <w:szCs w:val="20"/>
              </w:rPr>
              <w:t xml:space="preserve">L’ordonnance d’expropriation est assortie de l’envoi en possession immédiate des propriétés au profit de l’expropriant </w:t>
            </w:r>
            <w:r w:rsidRPr="00B434A6">
              <w:rPr>
                <w:rFonts w:ascii="Calibri" w:hAnsi="Calibri" w:cs="Calibri"/>
                <w:i/>
                <w:sz w:val="20"/>
                <w:szCs w:val="20"/>
              </w:rPr>
              <w:t>[après constatation de la régularité de la procédure i.e. du processus d’enquête administrative, du décret de déclaration, de l’arrêté de cessibilité, de la procédure d’évaluation, de l’approbation par le Ministre chargé des finances]</w:t>
            </w:r>
            <w:r w:rsidRPr="00B434A6">
              <w:rPr>
                <w:rFonts w:ascii="Calibri" w:hAnsi="Calibri" w:cs="Calibri"/>
                <w:sz w:val="20"/>
                <w:szCs w:val="20"/>
              </w:rPr>
              <w:t>.</w:t>
            </w:r>
          </w:p>
          <w:p w14:paraId="6E5CA498" w14:textId="77777777" w:rsidR="006B2C01" w:rsidRPr="00B434A6" w:rsidRDefault="006B2C01" w:rsidP="00B434A6">
            <w:pPr>
              <w:pStyle w:val="TableParagraph"/>
              <w:spacing w:before="0" w:beforeAutospacing="0" w:after="120" w:afterAutospacing="0"/>
              <w:ind w:left="72" w:right="58"/>
              <w:rPr>
                <w:rFonts w:ascii="Calibri" w:hAnsi="Calibri" w:cs="Calibri"/>
                <w:sz w:val="20"/>
                <w:szCs w:val="20"/>
              </w:rPr>
            </w:pPr>
            <w:r w:rsidRPr="00B434A6">
              <w:rPr>
                <w:rFonts w:ascii="Calibri" w:hAnsi="Calibri" w:cs="Calibri"/>
                <w:sz w:val="20"/>
                <w:szCs w:val="20"/>
              </w:rPr>
              <w:t xml:space="preserve">Le mandatement de l’indemnité se fait après l’acte amiable ou l’acceptation du jugement. (Art.44 al.2). </w:t>
            </w:r>
          </w:p>
          <w:p w14:paraId="73234966" w14:textId="77777777" w:rsidR="006B2C01" w:rsidRPr="00DF7822" w:rsidRDefault="006B2C01" w:rsidP="00B434A6">
            <w:pPr>
              <w:spacing w:after="120"/>
              <w:rPr>
                <w:rFonts w:cs="Calibri"/>
                <w:sz w:val="20"/>
                <w:lang w:val="en-US"/>
              </w:rPr>
            </w:pPr>
            <w:r w:rsidRPr="00DF7822">
              <w:rPr>
                <w:rFonts w:cs="Calibri"/>
                <w:sz w:val="20"/>
              </w:rPr>
              <w:t xml:space="preserve">[L’inscription au livre foncier (art.18, 19) transforme le droit de propriété de l’exproprié en une créance d’indemnité. Elle purge d’office l’immeuble de tous les droits réels inscrits. </w:t>
            </w:r>
            <w:r w:rsidRPr="00DF7822">
              <w:rPr>
                <w:rFonts w:cs="Calibri"/>
                <w:sz w:val="20"/>
                <w:lang w:val="en-US"/>
              </w:rPr>
              <w:t>(Art.49)]</w:t>
            </w:r>
          </w:p>
          <w:p w14:paraId="2BC3BF1F" w14:textId="77777777" w:rsidR="006B2C01" w:rsidRPr="00B434A6" w:rsidRDefault="006B2C01" w:rsidP="00B434A6">
            <w:pPr>
              <w:pStyle w:val="TableParagraph"/>
              <w:spacing w:before="0" w:beforeAutospacing="0" w:after="120" w:afterAutospacing="0"/>
              <w:ind w:left="72" w:right="115"/>
              <w:rPr>
                <w:rFonts w:ascii="Calibri" w:hAnsi="Calibri" w:cs="Calibri"/>
                <w:sz w:val="20"/>
                <w:szCs w:val="20"/>
                <w:lang w:val="en-US"/>
              </w:rPr>
            </w:pPr>
            <w:r w:rsidRPr="00B434A6">
              <w:rPr>
                <w:rFonts w:ascii="Calibri" w:hAnsi="Calibri" w:cs="Calibri"/>
                <w:sz w:val="20"/>
                <w:szCs w:val="20"/>
                <w:lang w:val="en-US"/>
              </w:rPr>
              <w:t>Art. 14 Constitution Art.11, 14al.3,</w:t>
            </w:r>
          </w:p>
          <w:p w14:paraId="0F87E5DA" w14:textId="77777777" w:rsidR="006B2C01" w:rsidRPr="00B434A6" w:rsidRDefault="006B2C01" w:rsidP="00B434A6">
            <w:pPr>
              <w:pStyle w:val="TableParagraph"/>
              <w:spacing w:before="0" w:beforeAutospacing="0" w:after="120" w:afterAutospacing="0"/>
              <w:ind w:left="72" w:right="115"/>
              <w:rPr>
                <w:rFonts w:ascii="Calibri" w:hAnsi="Calibri" w:cs="Calibri"/>
                <w:sz w:val="20"/>
                <w:szCs w:val="20"/>
                <w:lang w:val="en-US"/>
              </w:rPr>
            </w:pPr>
            <w:r w:rsidRPr="00B434A6">
              <w:rPr>
                <w:rFonts w:ascii="Calibri" w:hAnsi="Calibri" w:cs="Calibri"/>
                <w:sz w:val="20"/>
                <w:szCs w:val="20"/>
                <w:lang w:val="en-US"/>
              </w:rPr>
              <w:t>15, 18, 19 Ord. n°62-023.</w:t>
            </w:r>
          </w:p>
          <w:p w14:paraId="6B898AA6" w14:textId="77777777" w:rsidR="006B2C01" w:rsidRPr="00754366" w:rsidRDefault="006B2C01" w:rsidP="00B434A6">
            <w:pPr>
              <w:pStyle w:val="TableParagraph"/>
              <w:spacing w:before="0" w:beforeAutospacing="0" w:after="120" w:afterAutospacing="0"/>
              <w:ind w:left="72" w:right="115"/>
              <w:rPr>
                <w:rFonts w:eastAsia="MS Mincho" w:cs="Arial"/>
                <w:lang w:val="en-US"/>
              </w:rPr>
            </w:pPr>
            <w:r w:rsidRPr="00B434A6">
              <w:rPr>
                <w:rFonts w:ascii="Calibri" w:hAnsi="Calibri" w:cs="Calibri"/>
                <w:sz w:val="20"/>
                <w:lang w:val="en-US"/>
              </w:rPr>
              <w:t>Art.44 al.2, 49 al .1 Ord. n°62- 023</w:t>
            </w:r>
          </w:p>
        </w:tc>
        <w:tc>
          <w:tcPr>
            <w:tcW w:w="3594" w:type="dxa"/>
            <w:shd w:val="clear" w:color="auto" w:fill="auto"/>
          </w:tcPr>
          <w:p w14:paraId="1698F3D3" w14:textId="77777777" w:rsidR="006B2C01" w:rsidRPr="007F78CE" w:rsidRDefault="006B2C01" w:rsidP="00D12C6F">
            <w:pPr>
              <w:rPr>
                <w:rFonts w:ascii="Cambria" w:hAnsi="Cambria"/>
                <w:sz w:val="20"/>
              </w:rPr>
            </w:pPr>
            <w:r w:rsidRPr="007F78CE">
              <w:rPr>
                <w:rFonts w:ascii="Cambria" w:hAnsi="Cambria"/>
                <w:sz w:val="20"/>
              </w:rPr>
              <w:t>La prise de possession est possible dès la publication de l’ordonnance d’expropriation alors que l’exproprié n’a pas encore encaissé l’indemnité. Les exigences de la NES5 sont des dispositions plus précises et plus en conformité avec le principe de la préalable indemnité reconnue par la Constitution. Elles sont ap</w:t>
            </w:r>
            <w:r w:rsidR="00541D39">
              <w:rPr>
                <w:rFonts w:ascii="Cambria" w:hAnsi="Cambria"/>
                <w:sz w:val="20"/>
              </w:rPr>
              <w:t>²</w:t>
            </w:r>
            <w:r w:rsidRPr="007F78CE">
              <w:rPr>
                <w:rFonts w:ascii="Cambria" w:hAnsi="Cambria"/>
                <w:sz w:val="20"/>
              </w:rPr>
              <w:t xml:space="preserve">plicables et non contraires aux textes malagasy. </w:t>
            </w:r>
          </w:p>
          <w:p w14:paraId="04CEA053" w14:textId="77777777" w:rsidR="006B2C01" w:rsidRPr="007F78CE" w:rsidRDefault="006B2C01" w:rsidP="00D12C6F">
            <w:pPr>
              <w:rPr>
                <w:sz w:val="20"/>
              </w:rPr>
            </w:pPr>
            <w:r w:rsidRPr="007F78CE">
              <w:rPr>
                <w:rFonts w:ascii="Cambria" w:hAnsi="Cambria"/>
                <w:sz w:val="20"/>
              </w:rPr>
              <w:t>Dans ce cas, la prise de possession peut être    considérée comme retardée volontairement ou conventionnellement par l’expropriant.</w:t>
            </w:r>
          </w:p>
          <w:p w14:paraId="05E94C40" w14:textId="77777777" w:rsidR="006B2C01" w:rsidRPr="009C16A0" w:rsidRDefault="006B2C01" w:rsidP="00D12C6F">
            <w:pPr>
              <w:rPr>
                <w:rFonts w:eastAsia="MS Mincho" w:cs="Arial"/>
              </w:rPr>
            </w:pPr>
            <w:r w:rsidRPr="007F78CE">
              <w:rPr>
                <w:sz w:val="20"/>
              </w:rPr>
              <w:t>Les dispositions de la législation nationale et la NES5 seront appliqué</w:t>
            </w:r>
            <w:r w:rsidR="00F63AF5">
              <w:rPr>
                <w:sz w:val="20"/>
              </w:rPr>
              <w:t>e</w:t>
            </w:r>
            <w:r w:rsidRPr="007F78CE">
              <w:rPr>
                <w:sz w:val="20"/>
              </w:rPr>
              <w:t>s</w:t>
            </w:r>
          </w:p>
        </w:tc>
      </w:tr>
      <w:tr w:rsidR="006B2C01" w:rsidRPr="007F78CE" w14:paraId="3747F400" w14:textId="77777777" w:rsidTr="00B434A6">
        <w:trPr>
          <w:cantSplit/>
          <w:jc w:val="center"/>
        </w:trPr>
        <w:tc>
          <w:tcPr>
            <w:tcW w:w="5215" w:type="dxa"/>
          </w:tcPr>
          <w:p w14:paraId="54A914B6" w14:textId="77777777" w:rsidR="006B2C01" w:rsidRDefault="006B2C01" w:rsidP="00D12C6F">
            <w:pPr>
              <w:pStyle w:val="Tabletext"/>
              <w:rPr>
                <w:rFonts w:ascii="Calibri" w:eastAsia="MS Mincho" w:hAnsi="Calibri" w:cs="Arial"/>
              </w:rPr>
            </w:pPr>
          </w:p>
        </w:tc>
        <w:tc>
          <w:tcPr>
            <w:tcW w:w="5850" w:type="dxa"/>
            <w:shd w:val="clear" w:color="auto" w:fill="auto"/>
          </w:tcPr>
          <w:p w14:paraId="758C5D0F" w14:textId="77777777" w:rsidR="006B2C01" w:rsidRPr="00B434A6" w:rsidRDefault="006B2C01" w:rsidP="00B434A6">
            <w:pPr>
              <w:pStyle w:val="TableParagraph"/>
              <w:spacing w:before="0" w:beforeAutospacing="0" w:after="120" w:afterAutospacing="0"/>
              <w:ind w:left="72" w:right="58"/>
              <w:rPr>
                <w:rFonts w:ascii="Calibri" w:hAnsi="Calibri" w:cs="Calibri"/>
                <w:sz w:val="20"/>
                <w:szCs w:val="20"/>
              </w:rPr>
            </w:pPr>
            <w:r w:rsidRPr="00B434A6">
              <w:rPr>
                <w:rFonts w:ascii="Calibri" w:hAnsi="Calibri" w:cs="Calibri"/>
                <w:sz w:val="20"/>
                <w:szCs w:val="20"/>
              </w:rPr>
              <w:t>Les indemnités d’expropriation sont consignées au Trésor dès l’approbation de l’évaluation proposée par la commission.</w:t>
            </w:r>
          </w:p>
          <w:p w14:paraId="24DB0B93" w14:textId="77777777" w:rsidR="006B2C01" w:rsidRPr="00B434A6" w:rsidRDefault="006B2C01" w:rsidP="00B434A6">
            <w:pPr>
              <w:pStyle w:val="TableParagraph"/>
              <w:spacing w:before="0" w:beforeAutospacing="0" w:after="120" w:afterAutospacing="0"/>
              <w:ind w:left="72" w:right="58"/>
              <w:rPr>
                <w:rFonts w:ascii="Calibri" w:hAnsi="Calibri" w:cs="Calibri"/>
                <w:sz w:val="20"/>
                <w:szCs w:val="20"/>
              </w:rPr>
            </w:pPr>
            <w:r w:rsidRPr="00B434A6">
              <w:rPr>
                <w:rFonts w:ascii="Calibri" w:hAnsi="Calibri" w:cs="Calibri"/>
                <w:sz w:val="20"/>
                <w:szCs w:val="20"/>
              </w:rPr>
              <w:t>Il faut noter que «</w:t>
            </w:r>
            <w:r w:rsidR="00224D29">
              <w:rPr>
                <w:rFonts w:ascii="Calibri" w:hAnsi="Calibri" w:cs="Calibri"/>
                <w:sz w:val="20"/>
                <w:szCs w:val="20"/>
              </w:rPr>
              <w:t xml:space="preserve"> </w:t>
            </w:r>
            <w:r w:rsidRPr="00B434A6">
              <w:rPr>
                <w:rFonts w:ascii="Calibri" w:hAnsi="Calibri" w:cs="Calibri"/>
                <w:sz w:val="20"/>
                <w:szCs w:val="20"/>
              </w:rPr>
              <w:t>l’ordonnance d’expropriation est frappée de déchéance totale et considérée comme nulle et non avenue à l’égard des deux parties en cause» au cas où ni les parties expropriées connues mais n’ayant pas manifesté leur acceptation de l’indemnité proposée ou inconnues ni l’expropriant n’ont pas engagé une action régulière (auprès du tribunal) de fixation de l’indemnité dans un délai de deux (2) ans à compter de l’insertion au Journal officiel de l’ordonnance d’expropriation.</w:t>
            </w:r>
          </w:p>
          <w:p w14:paraId="0257DB73" w14:textId="77777777" w:rsidR="006B2C01" w:rsidRPr="00CD704F" w:rsidRDefault="006B2C01" w:rsidP="00B434A6">
            <w:pPr>
              <w:pStyle w:val="TableParagraph"/>
              <w:spacing w:before="0" w:beforeAutospacing="0" w:after="120" w:afterAutospacing="0"/>
              <w:ind w:left="72"/>
              <w:rPr>
                <w:sz w:val="20"/>
                <w:szCs w:val="20"/>
              </w:rPr>
            </w:pPr>
            <w:r w:rsidRPr="00B434A6">
              <w:rPr>
                <w:rFonts w:ascii="Calibri" w:hAnsi="Calibri" w:cs="Calibri"/>
                <w:sz w:val="20"/>
                <w:szCs w:val="20"/>
              </w:rPr>
              <w:t>Art.11, 39 Ord.</w:t>
            </w:r>
            <w:r w:rsidR="00EC25D8" w:rsidRPr="005D6D41">
              <w:rPr>
                <w:rFonts w:ascii="Calibri" w:hAnsi="Calibri" w:cs="Calibri"/>
                <w:sz w:val="20"/>
                <w:szCs w:val="20"/>
              </w:rPr>
              <w:t xml:space="preserve"> </w:t>
            </w:r>
            <w:r w:rsidRPr="00B434A6">
              <w:rPr>
                <w:rFonts w:ascii="Calibri" w:hAnsi="Calibri" w:cs="Calibri"/>
                <w:sz w:val="20"/>
                <w:szCs w:val="20"/>
              </w:rPr>
              <w:t>62-023</w:t>
            </w:r>
          </w:p>
        </w:tc>
        <w:tc>
          <w:tcPr>
            <w:tcW w:w="3594" w:type="dxa"/>
            <w:shd w:val="clear" w:color="auto" w:fill="auto"/>
          </w:tcPr>
          <w:p w14:paraId="7F8A8478" w14:textId="77777777" w:rsidR="006B2C01" w:rsidRPr="007F78CE" w:rsidRDefault="006B2C01" w:rsidP="00B434A6">
            <w:pPr>
              <w:spacing w:after="120"/>
              <w:rPr>
                <w:rFonts w:ascii="Cambria" w:eastAsia="Times New Roman" w:hAnsi="Cambria"/>
                <w:b/>
                <w:smallCaps/>
                <w:color w:val="000000"/>
                <w:sz w:val="20"/>
              </w:rPr>
            </w:pPr>
            <w:r w:rsidRPr="007F78CE">
              <w:rPr>
                <w:rFonts w:ascii="Cambria" w:hAnsi="Cambria"/>
                <w:sz w:val="20"/>
              </w:rPr>
              <w:t>La consignation au Trésor est obligatoire pour les indemnités approuvées au début du processus d’expropriation.</w:t>
            </w:r>
          </w:p>
          <w:p w14:paraId="0008EA8F" w14:textId="77777777" w:rsidR="006B2C01" w:rsidRPr="007F78CE" w:rsidRDefault="006B2C01" w:rsidP="00B434A6">
            <w:pPr>
              <w:spacing w:after="120"/>
              <w:rPr>
                <w:rFonts w:ascii="Cambria" w:eastAsia="Times New Roman" w:hAnsi="Cambria"/>
                <w:b/>
                <w:smallCaps/>
                <w:color w:val="000000"/>
                <w:sz w:val="20"/>
              </w:rPr>
            </w:pPr>
            <w:r w:rsidRPr="007F78CE">
              <w:rPr>
                <w:rFonts w:ascii="Cambria" w:hAnsi="Cambria"/>
                <w:sz w:val="20"/>
              </w:rPr>
              <w:t>Les exigences de la NES5 peuvent compléter les prescriptions des textes malagasy s’il y a de suppléments d’indemnisation convenus ou admis par le projet. Elles sont applicables et non contraires aux textes malagasy.</w:t>
            </w:r>
          </w:p>
          <w:p w14:paraId="711B16D6" w14:textId="77777777" w:rsidR="006B2C01" w:rsidRPr="007F78CE" w:rsidRDefault="006B2C01" w:rsidP="00B434A6">
            <w:pPr>
              <w:spacing w:after="120"/>
              <w:rPr>
                <w:rFonts w:ascii="Cambria" w:eastAsia="Times New Roman" w:hAnsi="Cambria"/>
                <w:b/>
                <w:smallCaps/>
                <w:color w:val="000000"/>
                <w:sz w:val="20"/>
              </w:rPr>
            </w:pPr>
            <w:r w:rsidRPr="007F78CE">
              <w:rPr>
                <w:rFonts w:ascii="Cambria" w:hAnsi="Cambria"/>
                <w:sz w:val="20"/>
              </w:rPr>
              <w:t>Les dispositions du cadre national et de la NES5 seront appliquées</w:t>
            </w:r>
          </w:p>
        </w:tc>
      </w:tr>
      <w:tr w:rsidR="006B2C01" w:rsidRPr="007F78CE" w14:paraId="1D2BB7B9" w14:textId="77777777" w:rsidTr="00B434A6">
        <w:trPr>
          <w:cantSplit/>
          <w:jc w:val="center"/>
        </w:trPr>
        <w:tc>
          <w:tcPr>
            <w:tcW w:w="5215" w:type="dxa"/>
          </w:tcPr>
          <w:p w14:paraId="5E68669C" w14:textId="77777777" w:rsidR="006B2C01" w:rsidRDefault="006B2C01" w:rsidP="00D12C6F">
            <w:pPr>
              <w:pStyle w:val="Tabletext"/>
              <w:rPr>
                <w:rFonts w:ascii="Calibri" w:eastAsia="MS Mincho" w:hAnsi="Calibri" w:cs="Arial"/>
              </w:rPr>
            </w:pPr>
            <w:r>
              <w:rPr>
                <w:rFonts w:ascii="Calibri" w:eastAsia="MS Mincho" w:hAnsi="Calibri" w:cs="Arial"/>
              </w:rPr>
              <w:t>Veiller à ce qu’un mécanisme de gestion des plaintes soit en place le plus tôt possible pendant la phase de préparation du projet, conformément aux dispositions de la NES10, afin de gérer les préoccupations soulevées par les personnes déplacées</w:t>
            </w:r>
          </w:p>
          <w:p w14:paraId="66355ADE" w14:textId="77777777" w:rsidR="006B2C01" w:rsidRDefault="006B2C01" w:rsidP="00D12C6F">
            <w:pPr>
              <w:rPr>
                <w:rFonts w:eastAsia="MS Mincho" w:cs="Arial"/>
                <w:i/>
                <w:iCs/>
                <w:u w:val="single"/>
              </w:rPr>
            </w:pPr>
            <w:r>
              <w:rPr>
                <w:rFonts w:eastAsia="MS Mincho" w:cs="Arial"/>
                <w:i/>
                <w:iCs/>
              </w:rPr>
              <w:t>Paragraphe 19</w:t>
            </w:r>
          </w:p>
        </w:tc>
        <w:tc>
          <w:tcPr>
            <w:tcW w:w="5850" w:type="dxa"/>
            <w:shd w:val="clear" w:color="auto" w:fill="auto"/>
          </w:tcPr>
          <w:p w14:paraId="27EBDB94" w14:textId="77777777" w:rsidR="006B2C01" w:rsidRPr="00CD704F" w:rsidRDefault="006B2C01" w:rsidP="00EC25D8">
            <w:pPr>
              <w:pStyle w:val="Tabletext"/>
              <w:rPr>
                <w:szCs w:val="20"/>
              </w:rPr>
            </w:pPr>
            <w:r w:rsidRPr="00B434A6">
              <w:rPr>
                <w:rFonts w:ascii="Calibri" w:hAnsi="Calibri"/>
                <w:szCs w:val="20"/>
              </w:rPr>
              <w:t xml:space="preserve">Aucune gestion des plaintes n’est prévue par le cadre national en dehors de la commission d’évaluation puis du </w:t>
            </w:r>
            <w:r w:rsidRPr="00CD704F">
              <w:rPr>
                <w:szCs w:val="20"/>
              </w:rPr>
              <w:t>tribunal.</w:t>
            </w:r>
          </w:p>
          <w:p w14:paraId="1E5389F2" w14:textId="77777777" w:rsidR="00EC25D8" w:rsidRPr="00B434A6" w:rsidRDefault="00EC25D8" w:rsidP="00B434A6">
            <w:pPr>
              <w:pStyle w:val="Tabletext"/>
              <w:rPr>
                <w:rFonts w:ascii="Calibri" w:hAnsi="Calibri"/>
                <w:szCs w:val="20"/>
              </w:rPr>
            </w:pPr>
          </w:p>
          <w:p w14:paraId="05DFBFD7" w14:textId="77777777" w:rsidR="006B2C01" w:rsidRPr="00B434A6" w:rsidRDefault="006B2C01" w:rsidP="00D12C6F">
            <w:pPr>
              <w:pStyle w:val="Tabletext"/>
              <w:rPr>
                <w:rFonts w:ascii="Calibri" w:hAnsi="Calibri"/>
                <w:szCs w:val="20"/>
              </w:rPr>
            </w:pPr>
            <w:r w:rsidRPr="00B434A6">
              <w:rPr>
                <w:rFonts w:ascii="Calibri" w:hAnsi="Calibri"/>
                <w:szCs w:val="20"/>
              </w:rPr>
              <w:t>Lors de l’EIS, des modalités de prise en considération des plaintes doivent être mises en place dans le cadre du suivi du PGSP.</w:t>
            </w:r>
          </w:p>
          <w:p w14:paraId="73CF540C" w14:textId="77777777" w:rsidR="006B2C01" w:rsidRPr="00B434A6" w:rsidRDefault="006B2C01" w:rsidP="00D12C6F">
            <w:pPr>
              <w:pStyle w:val="Tabletext"/>
              <w:rPr>
                <w:rFonts w:ascii="Calibri" w:hAnsi="Calibri"/>
                <w:szCs w:val="20"/>
              </w:rPr>
            </w:pPr>
          </w:p>
          <w:p w14:paraId="73D8525B" w14:textId="77777777" w:rsidR="006B2C01" w:rsidRPr="00B434A6" w:rsidRDefault="006B2C01" w:rsidP="00D12C6F">
            <w:pPr>
              <w:pStyle w:val="TableParagraph"/>
              <w:ind w:left="71" w:right="-108"/>
              <w:rPr>
                <w:rFonts w:ascii="Calibri" w:hAnsi="Calibri" w:cs="Calibri"/>
                <w:sz w:val="20"/>
                <w:szCs w:val="20"/>
              </w:rPr>
            </w:pPr>
            <w:r w:rsidRPr="00B434A6">
              <w:rPr>
                <w:rFonts w:ascii="Calibri" w:hAnsi="Calibri" w:cs="Calibri"/>
                <w:sz w:val="20"/>
                <w:szCs w:val="20"/>
              </w:rPr>
              <w:t>Art.10, 23 Ord.62-023</w:t>
            </w:r>
          </w:p>
          <w:p w14:paraId="4CDC72F4" w14:textId="77777777" w:rsidR="006B2C01" w:rsidRDefault="006B2C01" w:rsidP="00D12C6F">
            <w:pPr>
              <w:pStyle w:val="Tabletext"/>
              <w:rPr>
                <w:rFonts w:ascii="Calibri" w:eastAsia="MS Mincho" w:hAnsi="Calibri" w:cs="Arial"/>
              </w:rPr>
            </w:pPr>
            <w:r w:rsidRPr="00B434A6">
              <w:rPr>
                <w:rFonts w:ascii="Calibri" w:hAnsi="Calibri"/>
                <w:szCs w:val="20"/>
              </w:rPr>
              <w:t>18.2, annexes 2 et 3 Guide EIS</w:t>
            </w:r>
          </w:p>
        </w:tc>
        <w:tc>
          <w:tcPr>
            <w:tcW w:w="3594" w:type="dxa"/>
            <w:shd w:val="clear" w:color="auto" w:fill="auto"/>
          </w:tcPr>
          <w:p w14:paraId="4032EB42" w14:textId="77777777" w:rsidR="006B2C01" w:rsidRPr="00385A77" w:rsidRDefault="006B2C01" w:rsidP="00B434A6">
            <w:pPr>
              <w:pStyle w:val="TableParagraph"/>
              <w:spacing w:before="0" w:beforeAutospacing="0" w:after="120" w:afterAutospacing="0"/>
              <w:ind w:left="72" w:right="58"/>
              <w:rPr>
                <w:b/>
                <w:smallCaps/>
                <w:color w:val="000000"/>
                <w:sz w:val="20"/>
              </w:rPr>
            </w:pPr>
            <w:r w:rsidRPr="00771AA2">
              <w:rPr>
                <w:sz w:val="20"/>
              </w:rPr>
              <w:t>La mise en place d’un recours au MARL (Modes alternatifs de règlement des litiges) est toujours une possibilité offerte par le cadre national.</w:t>
            </w:r>
            <w:r>
              <w:rPr>
                <w:sz w:val="20"/>
              </w:rPr>
              <w:t xml:space="preserve"> </w:t>
            </w:r>
            <w:r w:rsidRPr="00771AA2">
              <w:rPr>
                <w:sz w:val="20"/>
              </w:rPr>
              <w:t xml:space="preserve">Les exigences </w:t>
            </w:r>
            <w:r w:rsidRPr="00771AA2">
              <w:rPr>
                <w:sz w:val="20"/>
                <w:szCs w:val="20"/>
              </w:rPr>
              <w:t>de</w:t>
            </w:r>
            <w:r>
              <w:rPr>
                <w:sz w:val="20"/>
                <w:szCs w:val="20"/>
              </w:rPr>
              <w:t xml:space="preserve"> </w:t>
            </w:r>
            <w:r w:rsidRPr="00771AA2">
              <w:rPr>
                <w:sz w:val="20"/>
                <w:szCs w:val="20"/>
              </w:rPr>
              <w:t>la</w:t>
            </w:r>
            <w:r w:rsidRPr="00771AA2">
              <w:rPr>
                <w:sz w:val="20"/>
              </w:rPr>
              <w:t xml:space="preserve"> NES5 sont </w:t>
            </w:r>
            <w:r w:rsidRPr="00771AA2">
              <w:rPr>
                <w:sz w:val="20"/>
                <w:szCs w:val="20"/>
              </w:rPr>
              <w:t>des</w:t>
            </w:r>
            <w:r>
              <w:rPr>
                <w:sz w:val="20"/>
                <w:szCs w:val="20"/>
              </w:rPr>
              <w:t xml:space="preserve"> </w:t>
            </w:r>
            <w:r w:rsidRPr="00771AA2">
              <w:rPr>
                <w:sz w:val="20"/>
                <w:szCs w:val="20"/>
              </w:rPr>
              <w:t>dispositions complémentaires</w:t>
            </w:r>
            <w:r>
              <w:rPr>
                <w:sz w:val="20"/>
                <w:szCs w:val="20"/>
              </w:rPr>
              <w:t xml:space="preserve"> </w:t>
            </w:r>
            <w:r w:rsidRPr="00771AA2">
              <w:rPr>
                <w:sz w:val="20"/>
                <w:szCs w:val="20"/>
              </w:rPr>
              <w:t>plus</w:t>
            </w:r>
            <w:r w:rsidRPr="00771AA2">
              <w:rPr>
                <w:sz w:val="20"/>
              </w:rPr>
              <w:t xml:space="preserve"> détaillées et précises quant à la conception des objectifs du mécanisme de gestion des plaintes.</w:t>
            </w:r>
          </w:p>
          <w:p w14:paraId="7C781D09" w14:textId="77777777" w:rsidR="006B2C01" w:rsidRPr="00771AA2" w:rsidRDefault="006B2C01" w:rsidP="00B434A6">
            <w:pPr>
              <w:pStyle w:val="TableParagraph"/>
              <w:spacing w:before="0" w:beforeAutospacing="0" w:after="120" w:afterAutospacing="0"/>
              <w:ind w:left="72" w:right="58"/>
              <w:rPr>
                <w:b/>
                <w:smallCaps/>
                <w:color w:val="000000"/>
                <w:sz w:val="20"/>
              </w:rPr>
            </w:pPr>
            <w:r w:rsidRPr="00771AA2">
              <w:rPr>
                <w:sz w:val="20"/>
              </w:rPr>
              <w:t>Elles sont applicables et non contraires aux textes malagasy.</w:t>
            </w:r>
          </w:p>
          <w:p w14:paraId="26FEEF36" w14:textId="77777777" w:rsidR="006B2C01" w:rsidRPr="009C16A0" w:rsidRDefault="006B2C01" w:rsidP="00B434A6">
            <w:pPr>
              <w:pStyle w:val="TableParagraph"/>
              <w:spacing w:before="0" w:beforeAutospacing="0" w:after="120" w:afterAutospacing="0"/>
              <w:ind w:left="72" w:right="58"/>
              <w:rPr>
                <w:rFonts w:ascii="Calibri" w:eastAsia="MS Mincho" w:hAnsi="Calibri" w:cs="Arial"/>
              </w:rPr>
            </w:pPr>
            <w:r w:rsidRPr="00771AA2">
              <w:rPr>
                <w:sz w:val="20"/>
              </w:rPr>
              <w:t>Les dispositions de la NES5 et de la législation nationale seront appliquées</w:t>
            </w:r>
          </w:p>
        </w:tc>
      </w:tr>
      <w:tr w:rsidR="006B2C01" w:rsidRPr="007F78CE" w14:paraId="7CB58E99" w14:textId="77777777" w:rsidTr="00B434A6">
        <w:trPr>
          <w:cantSplit/>
          <w:jc w:val="center"/>
        </w:trPr>
        <w:tc>
          <w:tcPr>
            <w:tcW w:w="5215" w:type="dxa"/>
            <w:vMerge w:val="restart"/>
          </w:tcPr>
          <w:p w14:paraId="3133E42A" w14:textId="77777777" w:rsidR="006B2C01" w:rsidRDefault="006B2C01" w:rsidP="00D12C6F">
            <w:pPr>
              <w:pStyle w:val="Tabletext"/>
              <w:rPr>
                <w:rFonts w:ascii="Calibri" w:eastAsia="MS Mincho" w:hAnsi="Calibri" w:cs="Arial"/>
              </w:rPr>
            </w:pPr>
            <w:r>
              <w:rPr>
                <w:rFonts w:ascii="Calibri" w:eastAsia="MS Mincho" w:hAnsi="Calibri" w:cs="Arial"/>
              </w:rPr>
              <w:t>Dans le cadre de l’évaluation environnementale et sociale, recenser les personnes touchées par le projet, faire l’inventaire des terres et des biens concernés, identifier les personnes éligibles à être indemnisées ou aidées, et dissuader celles qui ne rempliront pas les conditions requises à cette fin, et préparer un plan de réinstallation proportionné aux risques et effets associés</w:t>
            </w:r>
          </w:p>
          <w:p w14:paraId="2EC4DC53" w14:textId="77777777" w:rsidR="006B2C01" w:rsidRDefault="006B2C01" w:rsidP="00D12C6F">
            <w:pPr>
              <w:rPr>
                <w:rFonts w:eastAsia="MS Mincho" w:cs="Arial"/>
                <w:i/>
                <w:iCs/>
                <w:u w:val="single"/>
              </w:rPr>
            </w:pPr>
            <w:r>
              <w:rPr>
                <w:rFonts w:eastAsia="MS Mincho" w:cs="Arial"/>
                <w:i/>
                <w:iCs/>
              </w:rPr>
              <w:t>Paragraphes 20 à 25</w:t>
            </w:r>
          </w:p>
        </w:tc>
        <w:tc>
          <w:tcPr>
            <w:tcW w:w="5850" w:type="dxa"/>
            <w:shd w:val="clear" w:color="auto" w:fill="auto"/>
          </w:tcPr>
          <w:p w14:paraId="5145376A" w14:textId="77777777" w:rsidR="006B2C01" w:rsidRPr="00B434A6" w:rsidRDefault="006B2C01" w:rsidP="00B434A6">
            <w:pPr>
              <w:pStyle w:val="TableParagraph"/>
              <w:spacing w:before="0" w:beforeAutospacing="0" w:after="120" w:afterAutospacing="0"/>
              <w:ind w:left="72" w:right="58"/>
              <w:rPr>
                <w:rFonts w:ascii="Calibri" w:hAnsi="Calibri" w:cs="Calibri"/>
                <w:sz w:val="20"/>
                <w:szCs w:val="20"/>
              </w:rPr>
            </w:pPr>
            <w:r w:rsidRPr="00B434A6">
              <w:rPr>
                <w:rFonts w:ascii="Calibri" w:hAnsi="Calibri" w:cs="Calibri"/>
                <w:sz w:val="20"/>
                <w:szCs w:val="20"/>
              </w:rPr>
              <w:t xml:space="preserve">Le recensement est effectué lors de l’enquête administrative, publique, parcellaire de </w:t>
            </w:r>
            <w:r w:rsidRPr="00B434A6">
              <w:rPr>
                <w:rFonts w:ascii="Calibri" w:hAnsi="Calibri" w:cs="Calibri"/>
                <w:i/>
                <w:sz w:val="20"/>
                <w:szCs w:val="20"/>
              </w:rPr>
              <w:t xml:space="preserve">commodo </w:t>
            </w:r>
            <w:r w:rsidRPr="00B434A6">
              <w:rPr>
                <w:rFonts w:ascii="Calibri" w:hAnsi="Calibri" w:cs="Calibri"/>
                <w:sz w:val="20"/>
                <w:szCs w:val="20"/>
              </w:rPr>
              <w:t xml:space="preserve">et </w:t>
            </w:r>
            <w:r w:rsidRPr="00B434A6">
              <w:rPr>
                <w:rFonts w:ascii="Calibri" w:hAnsi="Calibri" w:cs="Calibri"/>
                <w:i/>
                <w:sz w:val="20"/>
                <w:szCs w:val="20"/>
              </w:rPr>
              <w:t xml:space="preserve">incommodo </w:t>
            </w:r>
            <w:r w:rsidRPr="00B434A6">
              <w:rPr>
                <w:rFonts w:ascii="Calibri" w:hAnsi="Calibri" w:cs="Calibri"/>
                <w:sz w:val="20"/>
                <w:szCs w:val="20"/>
              </w:rPr>
              <w:t>ordonnée par arrêté.</w:t>
            </w:r>
          </w:p>
          <w:p w14:paraId="676BC07C" w14:textId="77777777" w:rsidR="006B2C01" w:rsidRPr="00B434A6" w:rsidRDefault="006B2C01" w:rsidP="00B434A6">
            <w:pPr>
              <w:pStyle w:val="TableParagraph"/>
              <w:spacing w:before="0" w:beforeAutospacing="0" w:after="120" w:afterAutospacing="0"/>
              <w:ind w:left="72" w:right="58"/>
              <w:rPr>
                <w:rFonts w:ascii="Calibri" w:hAnsi="Calibri" w:cs="Calibri"/>
                <w:sz w:val="20"/>
                <w:szCs w:val="20"/>
              </w:rPr>
            </w:pPr>
            <w:r w:rsidRPr="00B434A6">
              <w:rPr>
                <w:rFonts w:ascii="Calibri" w:hAnsi="Calibri" w:cs="Calibri"/>
                <w:sz w:val="20"/>
                <w:szCs w:val="20"/>
              </w:rPr>
              <w:t>L’objet de cette enquête est de déterminer les parcelles intéressées par les futurs travaux, leurs propriétaires et toutes personnes susceptibles de prétendre à indemnisation à des titres divers et de susciter toutes observations que les intéressés jugent utiles de formuler.</w:t>
            </w:r>
          </w:p>
          <w:p w14:paraId="2BC4533A" w14:textId="77777777" w:rsidR="006B2C01" w:rsidRPr="00B434A6" w:rsidRDefault="006B2C01" w:rsidP="00B434A6">
            <w:pPr>
              <w:pStyle w:val="TableParagraph"/>
              <w:spacing w:before="0" w:beforeAutospacing="0" w:after="120" w:afterAutospacing="0"/>
              <w:ind w:left="72" w:right="58"/>
              <w:rPr>
                <w:rFonts w:ascii="Calibri" w:hAnsi="Calibri" w:cs="Calibri"/>
                <w:sz w:val="20"/>
                <w:szCs w:val="20"/>
              </w:rPr>
            </w:pPr>
            <w:r w:rsidRPr="00B434A6">
              <w:rPr>
                <w:rFonts w:ascii="Calibri" w:hAnsi="Calibri" w:cs="Calibri"/>
                <w:sz w:val="20"/>
                <w:szCs w:val="20"/>
              </w:rPr>
              <w:t>Il est aussi prescrit au promoteur d’identifier les personnes concernées par les impacts du projet dans le cadre de l’EIS.</w:t>
            </w:r>
          </w:p>
          <w:p w14:paraId="25B9AD6A" w14:textId="77777777" w:rsidR="006B2C01" w:rsidRPr="00B434A6" w:rsidRDefault="006B2C01" w:rsidP="00B434A6">
            <w:pPr>
              <w:pStyle w:val="TableParagraph"/>
              <w:spacing w:before="0" w:beforeAutospacing="0" w:after="120" w:afterAutospacing="0"/>
              <w:ind w:left="72" w:right="58"/>
              <w:rPr>
                <w:rFonts w:ascii="Calibri" w:hAnsi="Calibri" w:cs="Calibri"/>
                <w:sz w:val="20"/>
                <w:szCs w:val="20"/>
                <w:lang w:val="en-US"/>
              </w:rPr>
            </w:pPr>
            <w:r w:rsidRPr="00B434A6">
              <w:rPr>
                <w:rFonts w:ascii="Calibri" w:hAnsi="Calibri" w:cs="Calibri"/>
                <w:sz w:val="20"/>
                <w:szCs w:val="20"/>
                <w:lang w:val="en-US"/>
              </w:rPr>
              <w:t>Art. 4 Ord.62-023.</w:t>
            </w:r>
          </w:p>
          <w:p w14:paraId="5F3E9113" w14:textId="77777777" w:rsidR="006B2C01" w:rsidRPr="00B434A6" w:rsidRDefault="006B2C01" w:rsidP="00B434A6">
            <w:pPr>
              <w:pStyle w:val="TableParagraph"/>
              <w:spacing w:before="0" w:beforeAutospacing="0" w:after="120" w:afterAutospacing="0"/>
              <w:ind w:left="72" w:right="58"/>
              <w:rPr>
                <w:rFonts w:ascii="Calibri" w:hAnsi="Calibri" w:cs="Calibri"/>
                <w:sz w:val="20"/>
                <w:szCs w:val="20"/>
                <w:lang w:val="en-US"/>
              </w:rPr>
            </w:pPr>
            <w:r w:rsidRPr="00B434A6">
              <w:rPr>
                <w:rFonts w:ascii="Calibri" w:hAnsi="Calibri" w:cs="Calibri"/>
                <w:sz w:val="20"/>
                <w:szCs w:val="20"/>
                <w:lang w:val="en-US"/>
              </w:rPr>
              <w:t>Art.3 Décret n°63-030.</w:t>
            </w:r>
          </w:p>
          <w:p w14:paraId="7E50705F" w14:textId="77777777" w:rsidR="006B2C01" w:rsidRPr="00CD704F" w:rsidRDefault="006B2C01" w:rsidP="00B434A6">
            <w:pPr>
              <w:pStyle w:val="TableParagraph"/>
              <w:spacing w:before="0" w:beforeAutospacing="0" w:after="120" w:afterAutospacing="0"/>
              <w:ind w:left="72" w:right="58"/>
              <w:rPr>
                <w:sz w:val="20"/>
                <w:szCs w:val="20"/>
              </w:rPr>
            </w:pPr>
            <w:r w:rsidRPr="00B434A6">
              <w:rPr>
                <w:rFonts w:ascii="Calibri" w:hAnsi="Calibri" w:cs="Calibri"/>
                <w:sz w:val="20"/>
                <w:szCs w:val="20"/>
              </w:rPr>
              <w:t>15.2 Guide EIS.</w:t>
            </w:r>
          </w:p>
        </w:tc>
        <w:tc>
          <w:tcPr>
            <w:tcW w:w="3594" w:type="dxa"/>
            <w:shd w:val="clear" w:color="auto" w:fill="auto"/>
          </w:tcPr>
          <w:p w14:paraId="6EF3F0FB" w14:textId="77777777" w:rsidR="006B2C01" w:rsidRPr="007F78CE" w:rsidRDefault="006B2C01" w:rsidP="00B434A6">
            <w:pPr>
              <w:spacing w:after="120"/>
              <w:rPr>
                <w:rFonts w:ascii="Cambria" w:eastAsia="Times New Roman" w:hAnsi="Cambria"/>
                <w:b/>
                <w:smallCaps/>
                <w:color w:val="000000"/>
                <w:sz w:val="20"/>
              </w:rPr>
            </w:pPr>
            <w:r w:rsidRPr="007F78CE">
              <w:rPr>
                <w:rFonts w:ascii="Cambria" w:hAnsi="Cambria"/>
                <w:sz w:val="20"/>
              </w:rPr>
              <w:t xml:space="preserve">Les exigences de la NES5 sont des dispositions plus précises et complémentaires aux prescriptions du cadre national. Elles sont applicables et non contraires aux textes malagasy. </w:t>
            </w:r>
          </w:p>
          <w:p w14:paraId="1F70D2C8" w14:textId="77777777" w:rsidR="006B2C01" w:rsidRPr="007F78CE" w:rsidRDefault="006B2C01" w:rsidP="00B434A6">
            <w:pPr>
              <w:spacing w:after="120"/>
              <w:rPr>
                <w:rFonts w:ascii="Cambria" w:eastAsia="Times New Roman" w:hAnsi="Cambria"/>
                <w:b/>
                <w:smallCaps/>
                <w:color w:val="000000"/>
                <w:sz w:val="20"/>
              </w:rPr>
            </w:pPr>
            <w:r w:rsidRPr="007F78CE">
              <w:rPr>
                <w:rFonts w:ascii="Cambria" w:hAnsi="Cambria"/>
                <w:sz w:val="20"/>
              </w:rPr>
              <w:t>Complémentaires plus détaillées et précises quant à la conception des objectifs du mécanisme de gestion des plaintes. Elles sont applicables et non contraires aux textes malagasy.</w:t>
            </w:r>
          </w:p>
          <w:p w14:paraId="46531766" w14:textId="77777777" w:rsidR="006B2C01" w:rsidRPr="007F78CE" w:rsidRDefault="006B2C01" w:rsidP="00D12C6F">
            <w:pPr>
              <w:rPr>
                <w:sz w:val="20"/>
              </w:rPr>
            </w:pPr>
            <w:r w:rsidRPr="007F78CE">
              <w:rPr>
                <w:rFonts w:ascii="Cambria" w:hAnsi="Cambria"/>
                <w:sz w:val="20"/>
              </w:rPr>
              <w:t>Les dispositions de la NES5 et de la législation nationale seront appliquées</w:t>
            </w:r>
          </w:p>
        </w:tc>
      </w:tr>
      <w:tr w:rsidR="006B2C01" w:rsidRPr="007F78CE" w14:paraId="315067BA" w14:textId="77777777" w:rsidTr="00B434A6">
        <w:trPr>
          <w:cantSplit/>
          <w:jc w:val="center"/>
        </w:trPr>
        <w:tc>
          <w:tcPr>
            <w:tcW w:w="5215" w:type="dxa"/>
            <w:vMerge/>
          </w:tcPr>
          <w:p w14:paraId="5C2C8F06" w14:textId="77777777" w:rsidR="006B2C01" w:rsidRDefault="006B2C01" w:rsidP="00D12C6F">
            <w:pPr>
              <w:pStyle w:val="Tabletext"/>
              <w:rPr>
                <w:rFonts w:ascii="Calibri" w:eastAsia="MS Mincho" w:hAnsi="Calibri" w:cs="Arial"/>
              </w:rPr>
            </w:pPr>
          </w:p>
        </w:tc>
        <w:tc>
          <w:tcPr>
            <w:tcW w:w="5850" w:type="dxa"/>
            <w:shd w:val="clear" w:color="auto" w:fill="auto"/>
          </w:tcPr>
          <w:p w14:paraId="3477B45E" w14:textId="77777777" w:rsidR="006B2C01" w:rsidRPr="005C566E" w:rsidRDefault="006B2C01" w:rsidP="005C566E">
            <w:pPr>
              <w:pStyle w:val="TableParagraph"/>
              <w:spacing w:before="0" w:beforeAutospacing="0" w:after="120" w:afterAutospacing="0"/>
              <w:ind w:left="72" w:right="58"/>
              <w:rPr>
                <w:rFonts w:ascii="Calibri" w:hAnsi="Calibri" w:cs="Calibri"/>
                <w:sz w:val="20"/>
                <w:szCs w:val="20"/>
              </w:rPr>
            </w:pPr>
            <w:bookmarkStart w:id="1706" w:name="_Toc124956372"/>
            <w:bookmarkStart w:id="1707" w:name="_Toc125384717"/>
            <w:bookmarkStart w:id="1708" w:name="_Toc125385106"/>
            <w:r w:rsidRPr="005C566E">
              <w:rPr>
                <w:rFonts w:ascii="Calibri" w:hAnsi="Calibri" w:cs="Calibri"/>
                <w:sz w:val="20"/>
                <w:szCs w:val="20"/>
              </w:rPr>
              <w:t>Selon l’Ordonnance 62-023, la date limite d’éligibilité à l’indemnisation est d’un (1) mois après la publication de l’ordonnance d’expropriation (délivré par le Président du Tribunal) dans le Journal officiel. Au-delà de cette date, toutes personnes voulant se faire indemniser sont déchues de ce droit.</w:t>
            </w:r>
            <w:bookmarkEnd w:id="1706"/>
            <w:bookmarkEnd w:id="1707"/>
            <w:bookmarkEnd w:id="1708"/>
          </w:p>
          <w:p w14:paraId="6F4F5628" w14:textId="77777777" w:rsidR="006B2C01" w:rsidRPr="005C566E" w:rsidRDefault="006B2C01" w:rsidP="005C566E">
            <w:pPr>
              <w:pStyle w:val="TableParagraph"/>
              <w:spacing w:before="0" w:beforeAutospacing="0" w:after="120" w:afterAutospacing="0"/>
              <w:ind w:left="72" w:right="58"/>
              <w:rPr>
                <w:rFonts w:ascii="Calibri" w:hAnsi="Calibri" w:cs="Calibri"/>
                <w:sz w:val="20"/>
                <w:szCs w:val="20"/>
              </w:rPr>
            </w:pPr>
            <w:r w:rsidRPr="005C566E">
              <w:rPr>
                <w:rFonts w:ascii="Calibri" w:hAnsi="Calibri" w:cs="Calibri"/>
                <w:sz w:val="20"/>
                <w:szCs w:val="20"/>
              </w:rPr>
              <w:t>Par contre, le cadre national ne prévoit aucune disposition concernant les informations relatives à la date limite.</w:t>
            </w:r>
          </w:p>
          <w:p w14:paraId="51A93ED5" w14:textId="77777777" w:rsidR="006B2C01" w:rsidRPr="005C566E" w:rsidRDefault="006B2C01" w:rsidP="005C566E">
            <w:pPr>
              <w:pStyle w:val="TableParagraph"/>
              <w:spacing w:before="0" w:beforeAutospacing="0" w:after="120" w:afterAutospacing="0"/>
              <w:ind w:left="72" w:right="58"/>
              <w:rPr>
                <w:rFonts w:ascii="Calibri" w:hAnsi="Calibri" w:cs="Calibri"/>
                <w:sz w:val="20"/>
                <w:szCs w:val="20"/>
              </w:rPr>
            </w:pPr>
          </w:p>
          <w:p w14:paraId="64DC466C" w14:textId="77777777" w:rsidR="006B2C01" w:rsidRPr="005C566E" w:rsidRDefault="006B2C01" w:rsidP="005C566E">
            <w:pPr>
              <w:pStyle w:val="TableParagraph"/>
              <w:spacing w:before="0" w:beforeAutospacing="0" w:after="120" w:afterAutospacing="0"/>
              <w:ind w:left="72" w:right="58"/>
              <w:rPr>
                <w:rFonts w:ascii="Calibri" w:hAnsi="Calibri" w:cs="Calibri"/>
                <w:sz w:val="20"/>
                <w:szCs w:val="20"/>
                <w:lang w:val="en-GB"/>
              </w:rPr>
            </w:pPr>
            <w:r w:rsidRPr="005C566E">
              <w:rPr>
                <w:rFonts w:ascii="Calibri" w:hAnsi="Calibri" w:cs="Calibri"/>
                <w:sz w:val="20"/>
                <w:szCs w:val="20"/>
                <w:lang w:val="en-GB"/>
              </w:rPr>
              <w:t>Art. 20 in fine Ord. n°62-023.</w:t>
            </w:r>
          </w:p>
        </w:tc>
        <w:tc>
          <w:tcPr>
            <w:tcW w:w="3594" w:type="dxa"/>
            <w:shd w:val="clear" w:color="auto" w:fill="auto"/>
          </w:tcPr>
          <w:p w14:paraId="71867D4A" w14:textId="77777777" w:rsidR="006B2C01" w:rsidRPr="007F78CE" w:rsidRDefault="006B2C01" w:rsidP="00B434A6">
            <w:pPr>
              <w:spacing w:after="120"/>
              <w:rPr>
                <w:rFonts w:ascii="Cambria" w:eastAsia="Times New Roman" w:hAnsi="Cambria"/>
                <w:b/>
                <w:smallCaps/>
                <w:color w:val="000000"/>
                <w:sz w:val="20"/>
              </w:rPr>
            </w:pPr>
            <w:r w:rsidRPr="007F78CE">
              <w:rPr>
                <w:rFonts w:ascii="Cambria" w:hAnsi="Cambria"/>
                <w:sz w:val="20"/>
              </w:rPr>
              <w:t>Les exigences de la NES5 sont des dispositions plus précises. Toutefois, le délai fixé par la loi reste obligatoire en cas d’expropriation.</w:t>
            </w:r>
            <w:r w:rsidR="00EC25D8">
              <w:rPr>
                <w:rFonts w:ascii="Cambria" w:hAnsi="Cambria"/>
                <w:sz w:val="20"/>
              </w:rPr>
              <w:t xml:space="preserve"> </w:t>
            </w:r>
            <w:r w:rsidRPr="007F78CE">
              <w:rPr>
                <w:rFonts w:ascii="Cambria" w:hAnsi="Cambria"/>
                <w:sz w:val="20"/>
              </w:rPr>
              <w:t>Son application peut impliquer une limitation importante à la possibilité offerte par la NES5.</w:t>
            </w:r>
          </w:p>
          <w:p w14:paraId="4F817AD7" w14:textId="77777777" w:rsidR="006B2C01" w:rsidRPr="007F78CE" w:rsidRDefault="006B2C01" w:rsidP="00B434A6">
            <w:pPr>
              <w:spacing w:after="120"/>
              <w:rPr>
                <w:rFonts w:ascii="Cambria" w:eastAsia="Times New Roman" w:hAnsi="Cambria"/>
                <w:b/>
                <w:smallCaps/>
                <w:color w:val="000000"/>
                <w:sz w:val="20"/>
              </w:rPr>
            </w:pPr>
            <w:r w:rsidRPr="007F78CE">
              <w:rPr>
                <w:rFonts w:ascii="Cambria" w:hAnsi="Cambria"/>
                <w:sz w:val="20"/>
              </w:rPr>
              <w:t>Il faut noter ici que l’Accord de crédit a une valeur supra légale en cas de contrariété avec le cadre national existant.</w:t>
            </w:r>
          </w:p>
          <w:p w14:paraId="355266CB" w14:textId="77777777" w:rsidR="006B2C01" w:rsidRPr="007F78CE" w:rsidRDefault="006B2C01" w:rsidP="00B434A6">
            <w:pPr>
              <w:spacing w:after="120"/>
              <w:rPr>
                <w:rFonts w:ascii="Cambria" w:eastAsia="Times New Roman" w:hAnsi="Cambria"/>
                <w:b/>
                <w:smallCaps/>
                <w:color w:val="000000"/>
                <w:sz w:val="20"/>
              </w:rPr>
            </w:pPr>
            <w:r w:rsidRPr="007F78CE">
              <w:rPr>
                <w:rFonts w:ascii="Cambria" w:hAnsi="Cambria"/>
                <w:sz w:val="20"/>
              </w:rPr>
              <w:t>La date limite à adopter en cas de déclenchement de DUP sera celle dictée par le cadre national et avec approbation de la Banque</w:t>
            </w:r>
          </w:p>
          <w:p w14:paraId="353E47AC" w14:textId="77777777" w:rsidR="006B2C01" w:rsidRPr="007F78CE" w:rsidRDefault="006B2C01" w:rsidP="00B434A6">
            <w:pPr>
              <w:spacing w:after="120"/>
              <w:rPr>
                <w:rFonts w:ascii="arial gras" w:eastAsia="Times New Roman" w:hAnsi="arial gras"/>
                <w:b/>
                <w:smallCaps/>
                <w:color w:val="000000"/>
                <w:sz w:val="20"/>
              </w:rPr>
            </w:pPr>
            <w:r w:rsidRPr="007F78CE">
              <w:rPr>
                <w:rFonts w:ascii="Cambria" w:hAnsi="Cambria"/>
                <w:sz w:val="20"/>
              </w:rPr>
              <w:t xml:space="preserve">Les dispositions de la NES5 et de la législation nationale seront appliquées. </w:t>
            </w:r>
          </w:p>
        </w:tc>
      </w:tr>
      <w:tr w:rsidR="006B2C01" w:rsidRPr="007F78CE" w14:paraId="10781A57" w14:textId="77777777" w:rsidTr="00B434A6">
        <w:trPr>
          <w:cantSplit/>
          <w:jc w:val="center"/>
        </w:trPr>
        <w:tc>
          <w:tcPr>
            <w:tcW w:w="5215" w:type="dxa"/>
            <w:vMerge/>
          </w:tcPr>
          <w:p w14:paraId="74A82707" w14:textId="77777777" w:rsidR="006B2C01" w:rsidRDefault="006B2C01" w:rsidP="00D12C6F">
            <w:pPr>
              <w:pStyle w:val="Tabletext"/>
              <w:rPr>
                <w:rFonts w:ascii="Calibri" w:eastAsia="MS Mincho" w:hAnsi="Calibri" w:cs="Arial"/>
              </w:rPr>
            </w:pPr>
          </w:p>
        </w:tc>
        <w:tc>
          <w:tcPr>
            <w:tcW w:w="5850" w:type="dxa"/>
            <w:shd w:val="clear" w:color="auto" w:fill="auto"/>
          </w:tcPr>
          <w:p w14:paraId="71EE3D4A" w14:textId="77777777" w:rsidR="006B2C01" w:rsidRPr="00CD704F" w:rsidRDefault="006B2C01" w:rsidP="00B434A6">
            <w:pPr>
              <w:pStyle w:val="TableParagraph"/>
              <w:spacing w:before="0" w:beforeAutospacing="0" w:after="120" w:afterAutospacing="0"/>
              <w:ind w:left="72" w:right="62"/>
              <w:rPr>
                <w:b/>
                <w:smallCaps/>
                <w:color w:val="000000"/>
                <w:sz w:val="20"/>
                <w:szCs w:val="20"/>
              </w:rPr>
            </w:pPr>
            <w:r w:rsidRPr="00CD704F">
              <w:rPr>
                <w:sz w:val="20"/>
                <w:szCs w:val="20"/>
              </w:rPr>
              <w:t>L’annexe7</w:t>
            </w:r>
            <w:r>
              <w:rPr>
                <w:sz w:val="20"/>
                <w:szCs w:val="20"/>
              </w:rPr>
              <w:t xml:space="preserve"> </w:t>
            </w:r>
            <w:r w:rsidRPr="00CD704F">
              <w:rPr>
                <w:sz w:val="20"/>
                <w:szCs w:val="20"/>
              </w:rPr>
              <w:t>du</w:t>
            </w:r>
            <w:r>
              <w:rPr>
                <w:sz w:val="20"/>
                <w:szCs w:val="20"/>
              </w:rPr>
              <w:t xml:space="preserve"> </w:t>
            </w:r>
            <w:r w:rsidRPr="00CD704F">
              <w:rPr>
                <w:sz w:val="20"/>
                <w:szCs w:val="20"/>
              </w:rPr>
              <w:t>Guide</w:t>
            </w:r>
            <w:r>
              <w:rPr>
                <w:sz w:val="20"/>
                <w:szCs w:val="20"/>
              </w:rPr>
              <w:t xml:space="preserve"> </w:t>
            </w:r>
            <w:r w:rsidRPr="00CD704F">
              <w:rPr>
                <w:sz w:val="20"/>
                <w:szCs w:val="20"/>
              </w:rPr>
              <w:t>EIS</w:t>
            </w:r>
            <w:r>
              <w:rPr>
                <w:sz w:val="20"/>
                <w:szCs w:val="20"/>
              </w:rPr>
              <w:t xml:space="preserve"> </w:t>
            </w:r>
            <w:r w:rsidRPr="00CD704F">
              <w:rPr>
                <w:sz w:val="20"/>
                <w:szCs w:val="20"/>
              </w:rPr>
              <w:t>exige</w:t>
            </w:r>
            <w:r>
              <w:rPr>
                <w:sz w:val="20"/>
                <w:szCs w:val="20"/>
              </w:rPr>
              <w:t xml:space="preserve"> </w:t>
            </w:r>
            <w:r w:rsidRPr="00CD704F">
              <w:rPr>
                <w:sz w:val="20"/>
                <w:szCs w:val="20"/>
              </w:rPr>
              <w:t>la</w:t>
            </w:r>
            <w:r>
              <w:rPr>
                <w:sz w:val="20"/>
                <w:szCs w:val="20"/>
              </w:rPr>
              <w:t xml:space="preserve"> </w:t>
            </w:r>
            <w:r w:rsidRPr="00CD704F">
              <w:rPr>
                <w:sz w:val="20"/>
                <w:szCs w:val="20"/>
              </w:rPr>
              <w:t>préparation</w:t>
            </w:r>
            <w:r>
              <w:rPr>
                <w:sz w:val="20"/>
                <w:szCs w:val="20"/>
              </w:rPr>
              <w:t xml:space="preserve"> </w:t>
            </w:r>
            <w:r w:rsidRPr="00CD704F">
              <w:rPr>
                <w:sz w:val="20"/>
                <w:szCs w:val="20"/>
              </w:rPr>
              <w:t>d’un Plan de</w:t>
            </w:r>
            <w:r>
              <w:rPr>
                <w:sz w:val="20"/>
                <w:szCs w:val="20"/>
              </w:rPr>
              <w:t xml:space="preserve"> </w:t>
            </w:r>
            <w:r w:rsidRPr="00CD704F">
              <w:rPr>
                <w:sz w:val="20"/>
                <w:szCs w:val="20"/>
              </w:rPr>
              <w:t>réinstallation.</w:t>
            </w:r>
          </w:p>
          <w:p w14:paraId="5BB22290" w14:textId="77777777" w:rsidR="006B2C01" w:rsidRPr="00CD704F" w:rsidRDefault="006B2C01" w:rsidP="00B434A6">
            <w:pPr>
              <w:pStyle w:val="TableParagraph"/>
              <w:spacing w:before="0" w:beforeAutospacing="0" w:after="120" w:afterAutospacing="0"/>
              <w:ind w:left="72" w:right="64"/>
              <w:rPr>
                <w:sz w:val="20"/>
                <w:szCs w:val="20"/>
              </w:rPr>
            </w:pPr>
            <w:r w:rsidRPr="00CD704F">
              <w:rPr>
                <w:sz w:val="20"/>
                <w:szCs w:val="20"/>
              </w:rPr>
              <w:t>Le plan de réinstallation inclut les mesures garantissant aux personnes déplacées :</w:t>
            </w:r>
          </w:p>
          <w:p w14:paraId="5BE4D0B1" w14:textId="77777777" w:rsidR="006B2C01" w:rsidRPr="00CD704F" w:rsidRDefault="00F63AF5" w:rsidP="0044500E">
            <w:pPr>
              <w:pStyle w:val="TableParagraph"/>
              <w:numPr>
                <w:ilvl w:val="0"/>
                <w:numId w:val="146"/>
              </w:numPr>
              <w:tabs>
                <w:tab w:val="left" w:pos="172"/>
              </w:tabs>
              <w:spacing w:before="0" w:beforeAutospacing="0" w:after="120" w:afterAutospacing="0" w:line="240" w:lineRule="auto"/>
              <w:ind w:left="72" w:right="60" w:firstLine="0"/>
              <w:rPr>
                <w:sz w:val="20"/>
                <w:szCs w:val="20"/>
              </w:rPr>
            </w:pPr>
            <w:r>
              <w:rPr>
                <w:sz w:val="20"/>
                <w:szCs w:val="20"/>
              </w:rPr>
              <w:t>L</w:t>
            </w:r>
            <w:r w:rsidR="006B2C01" w:rsidRPr="00CD704F">
              <w:rPr>
                <w:sz w:val="20"/>
                <w:szCs w:val="20"/>
              </w:rPr>
              <w:t>’information</w:t>
            </w:r>
            <w:r w:rsidR="006B2C01">
              <w:rPr>
                <w:sz w:val="20"/>
                <w:szCs w:val="20"/>
              </w:rPr>
              <w:t xml:space="preserve"> </w:t>
            </w:r>
            <w:r w:rsidR="006B2C01" w:rsidRPr="00CD704F">
              <w:rPr>
                <w:sz w:val="20"/>
                <w:szCs w:val="20"/>
              </w:rPr>
              <w:t>sur</w:t>
            </w:r>
            <w:r w:rsidR="006B2C01">
              <w:rPr>
                <w:sz w:val="20"/>
                <w:szCs w:val="20"/>
              </w:rPr>
              <w:t xml:space="preserve"> </w:t>
            </w:r>
            <w:r w:rsidR="006B2C01" w:rsidRPr="00CD704F">
              <w:rPr>
                <w:sz w:val="20"/>
                <w:szCs w:val="20"/>
              </w:rPr>
              <w:t>les</w:t>
            </w:r>
            <w:r w:rsidR="006B2C01">
              <w:rPr>
                <w:sz w:val="20"/>
                <w:szCs w:val="20"/>
              </w:rPr>
              <w:t xml:space="preserve"> </w:t>
            </w:r>
            <w:r w:rsidR="006B2C01" w:rsidRPr="00CD704F">
              <w:rPr>
                <w:sz w:val="20"/>
                <w:szCs w:val="20"/>
              </w:rPr>
              <w:t>options</w:t>
            </w:r>
            <w:r w:rsidR="006B2C01">
              <w:rPr>
                <w:sz w:val="20"/>
                <w:szCs w:val="20"/>
              </w:rPr>
              <w:t xml:space="preserve"> </w:t>
            </w:r>
            <w:r w:rsidR="006B2C01" w:rsidRPr="00CD704F">
              <w:rPr>
                <w:sz w:val="20"/>
                <w:szCs w:val="20"/>
              </w:rPr>
              <w:t>qui</w:t>
            </w:r>
            <w:r w:rsidR="006B2C01">
              <w:rPr>
                <w:sz w:val="20"/>
                <w:szCs w:val="20"/>
              </w:rPr>
              <w:t xml:space="preserve"> </w:t>
            </w:r>
            <w:r w:rsidR="006B2C01" w:rsidRPr="00CD704F">
              <w:rPr>
                <w:sz w:val="20"/>
                <w:szCs w:val="20"/>
              </w:rPr>
              <w:t>leur</w:t>
            </w:r>
            <w:r w:rsidR="006B2C01">
              <w:rPr>
                <w:sz w:val="20"/>
                <w:szCs w:val="20"/>
              </w:rPr>
              <w:t xml:space="preserve"> </w:t>
            </w:r>
            <w:r w:rsidR="006B2C01" w:rsidRPr="00CD704F">
              <w:rPr>
                <w:sz w:val="20"/>
                <w:szCs w:val="20"/>
              </w:rPr>
              <w:t>sont</w:t>
            </w:r>
            <w:r w:rsidR="006B2C01">
              <w:rPr>
                <w:sz w:val="20"/>
                <w:szCs w:val="20"/>
              </w:rPr>
              <w:t xml:space="preserve"> </w:t>
            </w:r>
            <w:r w:rsidR="006B2C01" w:rsidRPr="00CD704F">
              <w:rPr>
                <w:sz w:val="20"/>
                <w:szCs w:val="20"/>
              </w:rPr>
              <w:t>ouvertes et les droits se rattachant à la réinstallation, les consultations soumises à plusieurs choix et informations sur les alternatives réalisables aux plans</w:t>
            </w:r>
            <w:r w:rsidR="006B2C01">
              <w:rPr>
                <w:sz w:val="20"/>
                <w:szCs w:val="20"/>
              </w:rPr>
              <w:t xml:space="preserve"> </w:t>
            </w:r>
            <w:r w:rsidR="006B2C01" w:rsidRPr="00CD704F">
              <w:rPr>
                <w:sz w:val="20"/>
                <w:szCs w:val="20"/>
              </w:rPr>
              <w:t>technique</w:t>
            </w:r>
            <w:r w:rsidR="006B2C01">
              <w:rPr>
                <w:sz w:val="20"/>
                <w:szCs w:val="20"/>
              </w:rPr>
              <w:t xml:space="preserve"> </w:t>
            </w:r>
            <w:r w:rsidR="006B2C01" w:rsidRPr="00CD704F">
              <w:rPr>
                <w:sz w:val="20"/>
                <w:szCs w:val="20"/>
              </w:rPr>
              <w:t>et</w:t>
            </w:r>
            <w:r w:rsidR="006B2C01">
              <w:rPr>
                <w:sz w:val="20"/>
                <w:szCs w:val="20"/>
              </w:rPr>
              <w:t xml:space="preserve"> </w:t>
            </w:r>
            <w:r w:rsidR="006B2C01" w:rsidRPr="00CD704F">
              <w:rPr>
                <w:sz w:val="20"/>
                <w:szCs w:val="20"/>
              </w:rPr>
              <w:t>économique</w:t>
            </w:r>
            <w:r>
              <w:rPr>
                <w:sz w:val="20"/>
                <w:szCs w:val="20"/>
              </w:rPr>
              <w:t xml:space="preserve"> </w:t>
            </w:r>
            <w:r w:rsidR="006B2C01" w:rsidRPr="00CD704F">
              <w:rPr>
                <w:sz w:val="20"/>
                <w:szCs w:val="20"/>
              </w:rPr>
              <w:t>;</w:t>
            </w:r>
            <w:r w:rsidR="006B2C01">
              <w:rPr>
                <w:sz w:val="20"/>
                <w:szCs w:val="20"/>
              </w:rPr>
              <w:t xml:space="preserve"> </w:t>
            </w:r>
            <w:r w:rsidR="006B2C01" w:rsidRPr="00CD704F">
              <w:rPr>
                <w:sz w:val="20"/>
                <w:szCs w:val="20"/>
              </w:rPr>
              <w:t>et</w:t>
            </w:r>
            <w:r w:rsidR="006B2C01">
              <w:rPr>
                <w:sz w:val="20"/>
                <w:szCs w:val="20"/>
              </w:rPr>
              <w:t xml:space="preserve"> </w:t>
            </w:r>
            <w:r w:rsidR="006B2C01" w:rsidRPr="00CD704F">
              <w:rPr>
                <w:sz w:val="20"/>
                <w:szCs w:val="20"/>
              </w:rPr>
              <w:t>la</w:t>
            </w:r>
            <w:r w:rsidR="006B2C01">
              <w:rPr>
                <w:sz w:val="20"/>
                <w:szCs w:val="20"/>
              </w:rPr>
              <w:t xml:space="preserve"> </w:t>
            </w:r>
            <w:r w:rsidR="006B2C01" w:rsidRPr="00CD704F">
              <w:rPr>
                <w:sz w:val="20"/>
                <w:szCs w:val="20"/>
              </w:rPr>
              <w:t>compensation effective</w:t>
            </w:r>
            <w:r w:rsidR="006B2C01">
              <w:rPr>
                <w:sz w:val="20"/>
                <w:szCs w:val="20"/>
              </w:rPr>
              <w:t xml:space="preserve"> </w:t>
            </w:r>
            <w:r w:rsidR="006B2C01" w:rsidRPr="00CD704F">
              <w:rPr>
                <w:sz w:val="20"/>
                <w:szCs w:val="20"/>
              </w:rPr>
              <w:t>au</w:t>
            </w:r>
            <w:r w:rsidR="006B2C01">
              <w:rPr>
                <w:sz w:val="20"/>
                <w:szCs w:val="20"/>
              </w:rPr>
              <w:t xml:space="preserve"> </w:t>
            </w:r>
            <w:r w:rsidR="006B2C01" w:rsidRPr="00CD704F">
              <w:rPr>
                <w:sz w:val="20"/>
                <w:szCs w:val="20"/>
              </w:rPr>
              <w:t>coût</w:t>
            </w:r>
            <w:r w:rsidR="006B2C01">
              <w:rPr>
                <w:sz w:val="20"/>
                <w:szCs w:val="20"/>
              </w:rPr>
              <w:t xml:space="preserve"> </w:t>
            </w:r>
            <w:r w:rsidR="006B2C01" w:rsidRPr="00CD704F">
              <w:rPr>
                <w:sz w:val="20"/>
                <w:szCs w:val="20"/>
              </w:rPr>
              <w:t>intégral</w:t>
            </w:r>
            <w:r w:rsidR="006B2C01">
              <w:rPr>
                <w:sz w:val="20"/>
                <w:szCs w:val="20"/>
              </w:rPr>
              <w:t xml:space="preserve"> </w:t>
            </w:r>
            <w:r w:rsidR="006B2C01" w:rsidRPr="00CD704F">
              <w:rPr>
                <w:sz w:val="20"/>
                <w:szCs w:val="20"/>
              </w:rPr>
              <w:t>de</w:t>
            </w:r>
            <w:r w:rsidR="006B2C01">
              <w:rPr>
                <w:sz w:val="20"/>
                <w:szCs w:val="20"/>
              </w:rPr>
              <w:t xml:space="preserve"> </w:t>
            </w:r>
            <w:r w:rsidR="006B2C01" w:rsidRPr="00CD704F">
              <w:rPr>
                <w:sz w:val="20"/>
                <w:szCs w:val="20"/>
              </w:rPr>
              <w:t>remplacement</w:t>
            </w:r>
            <w:r w:rsidR="006B2C01">
              <w:rPr>
                <w:sz w:val="20"/>
                <w:szCs w:val="20"/>
              </w:rPr>
              <w:t xml:space="preserve"> </w:t>
            </w:r>
            <w:r w:rsidR="006B2C01" w:rsidRPr="00CD704F">
              <w:rPr>
                <w:sz w:val="20"/>
                <w:szCs w:val="20"/>
              </w:rPr>
              <w:t>pour</w:t>
            </w:r>
            <w:r w:rsidR="006B2C01">
              <w:rPr>
                <w:sz w:val="20"/>
                <w:szCs w:val="20"/>
              </w:rPr>
              <w:t xml:space="preserve"> </w:t>
            </w:r>
            <w:r w:rsidR="006B2C01" w:rsidRPr="00CD704F">
              <w:rPr>
                <w:sz w:val="20"/>
                <w:szCs w:val="20"/>
              </w:rPr>
              <w:t>les pertes de biens directement attribuables au projet;</w:t>
            </w:r>
          </w:p>
          <w:p w14:paraId="74270318" w14:textId="77777777" w:rsidR="006B2C01" w:rsidRDefault="00F63AF5" w:rsidP="0044500E">
            <w:pPr>
              <w:pStyle w:val="TableParagraph"/>
              <w:numPr>
                <w:ilvl w:val="0"/>
                <w:numId w:val="146"/>
              </w:numPr>
              <w:tabs>
                <w:tab w:val="left" w:pos="184"/>
              </w:tabs>
              <w:spacing w:before="0" w:beforeAutospacing="0" w:after="120" w:afterAutospacing="0" w:line="240" w:lineRule="auto"/>
              <w:ind w:left="72" w:right="58" w:firstLine="0"/>
              <w:rPr>
                <w:sz w:val="20"/>
                <w:szCs w:val="20"/>
              </w:rPr>
            </w:pPr>
            <w:r>
              <w:rPr>
                <w:sz w:val="20"/>
                <w:szCs w:val="20"/>
              </w:rPr>
              <w:t>E</w:t>
            </w:r>
            <w:r w:rsidR="006B2C01" w:rsidRPr="00CD704F">
              <w:rPr>
                <w:sz w:val="20"/>
                <w:szCs w:val="20"/>
              </w:rPr>
              <w:t>n cas de relocalisation physique l’aide (telles les indemnités de déplacement) pendant la réinstallation,</w:t>
            </w:r>
            <w:r w:rsidR="006B2C01">
              <w:rPr>
                <w:sz w:val="20"/>
                <w:szCs w:val="20"/>
              </w:rPr>
              <w:t xml:space="preserve"> </w:t>
            </w:r>
            <w:r w:rsidR="006B2C01" w:rsidRPr="00CD704F">
              <w:rPr>
                <w:sz w:val="20"/>
                <w:szCs w:val="20"/>
              </w:rPr>
              <w:t>un</w:t>
            </w:r>
            <w:r w:rsidR="006B2C01">
              <w:rPr>
                <w:sz w:val="20"/>
                <w:szCs w:val="20"/>
              </w:rPr>
              <w:t xml:space="preserve"> </w:t>
            </w:r>
            <w:r w:rsidR="006B2C01" w:rsidRPr="00CD704F">
              <w:rPr>
                <w:sz w:val="20"/>
                <w:szCs w:val="20"/>
              </w:rPr>
              <w:t>logement</w:t>
            </w:r>
            <w:r w:rsidR="006B2C01">
              <w:rPr>
                <w:sz w:val="20"/>
                <w:szCs w:val="20"/>
              </w:rPr>
              <w:t xml:space="preserve"> </w:t>
            </w:r>
            <w:r w:rsidR="006B2C01" w:rsidRPr="00CD704F">
              <w:rPr>
                <w:sz w:val="20"/>
                <w:szCs w:val="20"/>
              </w:rPr>
              <w:t>ou</w:t>
            </w:r>
            <w:r w:rsidR="006B2C01">
              <w:rPr>
                <w:sz w:val="20"/>
                <w:szCs w:val="20"/>
              </w:rPr>
              <w:t xml:space="preserve"> </w:t>
            </w:r>
            <w:r w:rsidR="006B2C01" w:rsidRPr="00CD704F">
              <w:rPr>
                <w:sz w:val="20"/>
                <w:szCs w:val="20"/>
              </w:rPr>
              <w:t>un</w:t>
            </w:r>
            <w:r w:rsidR="006B2C01">
              <w:rPr>
                <w:sz w:val="20"/>
                <w:szCs w:val="20"/>
              </w:rPr>
              <w:t xml:space="preserve"> </w:t>
            </w:r>
            <w:r w:rsidR="006B2C01" w:rsidRPr="00CD704F">
              <w:rPr>
                <w:sz w:val="20"/>
                <w:szCs w:val="20"/>
              </w:rPr>
              <w:t>terrain</w:t>
            </w:r>
            <w:r w:rsidR="006B2C01">
              <w:rPr>
                <w:sz w:val="20"/>
                <w:szCs w:val="20"/>
              </w:rPr>
              <w:t xml:space="preserve"> </w:t>
            </w:r>
            <w:r w:rsidR="006B2C01" w:rsidRPr="00CD704F">
              <w:rPr>
                <w:sz w:val="20"/>
                <w:szCs w:val="20"/>
              </w:rPr>
              <w:t>à</w:t>
            </w:r>
            <w:r w:rsidR="006B2C01">
              <w:rPr>
                <w:sz w:val="20"/>
                <w:szCs w:val="20"/>
              </w:rPr>
              <w:t xml:space="preserve"> </w:t>
            </w:r>
            <w:r w:rsidR="006B2C01" w:rsidRPr="00CD704F">
              <w:rPr>
                <w:sz w:val="20"/>
                <w:szCs w:val="20"/>
              </w:rPr>
              <w:t>bâtir,</w:t>
            </w:r>
            <w:r w:rsidR="006B2C01">
              <w:rPr>
                <w:sz w:val="20"/>
                <w:szCs w:val="20"/>
              </w:rPr>
              <w:t xml:space="preserve"> </w:t>
            </w:r>
            <w:r w:rsidR="006B2C01" w:rsidRPr="00CD704F">
              <w:rPr>
                <w:sz w:val="20"/>
                <w:szCs w:val="20"/>
              </w:rPr>
              <w:t>ou, selon</w:t>
            </w:r>
            <w:r w:rsidR="006B2C01">
              <w:rPr>
                <w:sz w:val="20"/>
                <w:szCs w:val="20"/>
              </w:rPr>
              <w:t xml:space="preserve"> </w:t>
            </w:r>
            <w:r w:rsidR="006B2C01" w:rsidRPr="00CD704F">
              <w:rPr>
                <w:sz w:val="20"/>
                <w:szCs w:val="20"/>
              </w:rPr>
              <w:t>les</w:t>
            </w:r>
            <w:r w:rsidR="006B2C01">
              <w:rPr>
                <w:sz w:val="20"/>
                <w:szCs w:val="20"/>
              </w:rPr>
              <w:t xml:space="preserve"> </w:t>
            </w:r>
            <w:r w:rsidR="006B2C01" w:rsidRPr="00CD704F">
              <w:rPr>
                <w:sz w:val="20"/>
                <w:szCs w:val="20"/>
              </w:rPr>
              <w:t>exigences</w:t>
            </w:r>
            <w:r w:rsidR="006B2C01">
              <w:rPr>
                <w:sz w:val="20"/>
                <w:szCs w:val="20"/>
              </w:rPr>
              <w:t xml:space="preserve"> </w:t>
            </w:r>
            <w:r w:rsidR="006B2C01" w:rsidRPr="00CD704F">
              <w:rPr>
                <w:sz w:val="20"/>
                <w:szCs w:val="20"/>
              </w:rPr>
              <w:t>posées,</w:t>
            </w:r>
            <w:r w:rsidR="006B2C01">
              <w:rPr>
                <w:sz w:val="20"/>
                <w:szCs w:val="20"/>
              </w:rPr>
              <w:t xml:space="preserve"> </w:t>
            </w:r>
            <w:r w:rsidR="006B2C01" w:rsidRPr="00CD704F">
              <w:rPr>
                <w:sz w:val="20"/>
                <w:szCs w:val="20"/>
              </w:rPr>
              <w:t>des</w:t>
            </w:r>
            <w:r w:rsidR="006B2C01">
              <w:rPr>
                <w:sz w:val="20"/>
                <w:szCs w:val="20"/>
              </w:rPr>
              <w:t xml:space="preserve"> </w:t>
            </w:r>
            <w:r w:rsidR="006B2C01" w:rsidRPr="00CD704F">
              <w:rPr>
                <w:sz w:val="20"/>
                <w:szCs w:val="20"/>
              </w:rPr>
              <w:t>terrains</w:t>
            </w:r>
            <w:r w:rsidR="006B2C01">
              <w:rPr>
                <w:sz w:val="20"/>
                <w:szCs w:val="20"/>
              </w:rPr>
              <w:t xml:space="preserve"> </w:t>
            </w:r>
            <w:r w:rsidR="006B2C01" w:rsidRPr="00CD704F">
              <w:rPr>
                <w:sz w:val="20"/>
                <w:szCs w:val="20"/>
              </w:rPr>
              <w:t>agricoles</w:t>
            </w:r>
            <w:r w:rsidR="006B2C01">
              <w:rPr>
                <w:sz w:val="20"/>
                <w:szCs w:val="20"/>
              </w:rPr>
              <w:t xml:space="preserve"> </w:t>
            </w:r>
            <w:r w:rsidR="006B2C01" w:rsidRPr="00CD704F">
              <w:rPr>
                <w:sz w:val="20"/>
                <w:szCs w:val="20"/>
              </w:rPr>
              <w:t>au moins équivalent</w:t>
            </w:r>
            <w:r w:rsidR="006B2C01">
              <w:rPr>
                <w:sz w:val="20"/>
                <w:szCs w:val="20"/>
              </w:rPr>
              <w:t>s</w:t>
            </w:r>
            <w:r w:rsidR="006B2C01" w:rsidRPr="00CD704F">
              <w:rPr>
                <w:sz w:val="20"/>
                <w:szCs w:val="20"/>
              </w:rPr>
              <w:t xml:space="preserve"> aux avantages du site antérieur; l’aide après le déplacement et l’aide au développement.</w:t>
            </w:r>
          </w:p>
          <w:p w14:paraId="17AEA609" w14:textId="77777777" w:rsidR="006B2C01" w:rsidRPr="00CD704F" w:rsidRDefault="006B2C01" w:rsidP="00B434A6">
            <w:pPr>
              <w:pStyle w:val="TableParagraph"/>
              <w:tabs>
                <w:tab w:val="left" w:pos="184"/>
              </w:tabs>
              <w:spacing w:before="0" w:beforeAutospacing="0" w:after="120" w:afterAutospacing="0"/>
              <w:ind w:left="72" w:right="58"/>
              <w:rPr>
                <w:sz w:val="20"/>
                <w:szCs w:val="20"/>
              </w:rPr>
            </w:pPr>
            <w:r w:rsidRPr="00CD704F">
              <w:rPr>
                <w:sz w:val="20"/>
                <w:szCs w:val="20"/>
              </w:rPr>
              <w:t>Annexe 7 Guide EIS</w:t>
            </w:r>
          </w:p>
        </w:tc>
        <w:tc>
          <w:tcPr>
            <w:tcW w:w="3594" w:type="dxa"/>
            <w:shd w:val="clear" w:color="auto" w:fill="auto"/>
          </w:tcPr>
          <w:p w14:paraId="2224538E" w14:textId="77777777" w:rsidR="006B2C01" w:rsidRPr="007F78CE" w:rsidRDefault="006B2C01" w:rsidP="00D12C6F">
            <w:pPr>
              <w:rPr>
                <w:rFonts w:ascii="Cambria" w:hAnsi="Cambria"/>
                <w:sz w:val="20"/>
              </w:rPr>
            </w:pPr>
            <w:r w:rsidRPr="007F78CE">
              <w:rPr>
                <w:rFonts w:ascii="Cambria" w:hAnsi="Cambria"/>
                <w:sz w:val="20"/>
              </w:rPr>
              <w:t>Les exigences de la NES5 sont des dispositions plus précises que le cadre national. Elles sont applicables et non contraires aux textes malagasy.</w:t>
            </w:r>
          </w:p>
          <w:p w14:paraId="66A62F79" w14:textId="77777777" w:rsidR="006B2C01" w:rsidRPr="007F78CE" w:rsidRDefault="006B2C01" w:rsidP="00D12C6F">
            <w:pPr>
              <w:rPr>
                <w:sz w:val="20"/>
              </w:rPr>
            </w:pPr>
            <w:r w:rsidRPr="007F78CE">
              <w:rPr>
                <w:rFonts w:ascii="Cambria" w:hAnsi="Cambria"/>
                <w:sz w:val="20"/>
              </w:rPr>
              <w:t>Les dispositions de la NES5 seront appliquées.</w:t>
            </w:r>
          </w:p>
        </w:tc>
      </w:tr>
      <w:tr w:rsidR="006B2C01" w:rsidRPr="007F78CE" w14:paraId="79C85E4B" w14:textId="77777777" w:rsidTr="00B434A6">
        <w:trPr>
          <w:cantSplit/>
          <w:jc w:val="center"/>
        </w:trPr>
        <w:tc>
          <w:tcPr>
            <w:tcW w:w="5215" w:type="dxa"/>
            <w:vMerge/>
          </w:tcPr>
          <w:p w14:paraId="6A9725DD" w14:textId="77777777" w:rsidR="006B2C01" w:rsidRDefault="006B2C01" w:rsidP="00D12C6F">
            <w:pPr>
              <w:pStyle w:val="Tabletext"/>
              <w:rPr>
                <w:rFonts w:ascii="Calibri" w:eastAsia="MS Mincho" w:hAnsi="Calibri" w:cs="Arial"/>
              </w:rPr>
            </w:pPr>
          </w:p>
        </w:tc>
        <w:tc>
          <w:tcPr>
            <w:tcW w:w="5850" w:type="dxa"/>
            <w:shd w:val="clear" w:color="auto" w:fill="auto"/>
          </w:tcPr>
          <w:p w14:paraId="43947A35" w14:textId="77777777" w:rsidR="006B2C01" w:rsidRPr="00CD704F" w:rsidRDefault="006B2C01" w:rsidP="00D12C6F">
            <w:pPr>
              <w:pStyle w:val="TableParagraph"/>
              <w:ind w:left="68"/>
              <w:rPr>
                <w:sz w:val="20"/>
                <w:szCs w:val="20"/>
              </w:rPr>
            </w:pPr>
            <w:r w:rsidRPr="00CD704F">
              <w:rPr>
                <w:sz w:val="20"/>
                <w:szCs w:val="20"/>
              </w:rPr>
              <w:t xml:space="preserve">Le cadre national ne prévoit pas </w:t>
            </w:r>
            <w:r>
              <w:rPr>
                <w:sz w:val="20"/>
                <w:szCs w:val="20"/>
              </w:rPr>
              <w:t xml:space="preserve">les coûts de réinstallation dans le cadre d’un projet. </w:t>
            </w:r>
            <w:r w:rsidRPr="00CD704F">
              <w:rPr>
                <w:sz w:val="20"/>
                <w:szCs w:val="20"/>
              </w:rPr>
              <w:t>.</w:t>
            </w:r>
          </w:p>
          <w:p w14:paraId="322124D0" w14:textId="77777777" w:rsidR="006B2C01" w:rsidRDefault="006B2C01" w:rsidP="00D12C6F">
            <w:pPr>
              <w:pStyle w:val="Tabletext"/>
              <w:rPr>
                <w:rFonts w:ascii="Calibri" w:eastAsia="MS Mincho" w:hAnsi="Calibri" w:cs="Arial"/>
              </w:rPr>
            </w:pPr>
          </w:p>
        </w:tc>
        <w:tc>
          <w:tcPr>
            <w:tcW w:w="3594" w:type="dxa"/>
            <w:shd w:val="clear" w:color="auto" w:fill="auto"/>
          </w:tcPr>
          <w:p w14:paraId="3C8E0612" w14:textId="77777777" w:rsidR="006B2C01" w:rsidRPr="007F78CE" w:rsidRDefault="006B2C01" w:rsidP="00B434A6">
            <w:pPr>
              <w:spacing w:after="120"/>
              <w:rPr>
                <w:rFonts w:ascii="arial gras" w:eastAsia="Times New Roman" w:hAnsi="arial gras"/>
                <w:b/>
                <w:smallCaps/>
                <w:color w:val="000000"/>
                <w:sz w:val="20"/>
              </w:rPr>
            </w:pPr>
            <w:r w:rsidRPr="007F78CE">
              <w:rPr>
                <w:rFonts w:ascii="Cambria" w:hAnsi="Cambria"/>
                <w:sz w:val="20"/>
              </w:rPr>
              <w:t>Les exigences de la NE 5 sont des dispositions plus précises.</w:t>
            </w:r>
          </w:p>
          <w:p w14:paraId="2F8BB775" w14:textId="77777777" w:rsidR="006B2C01" w:rsidRPr="007F78CE" w:rsidRDefault="006B2C01" w:rsidP="00B434A6">
            <w:pPr>
              <w:spacing w:after="120"/>
              <w:rPr>
                <w:rFonts w:ascii="Cambria" w:eastAsia="Times New Roman" w:hAnsi="Cambria"/>
                <w:b/>
                <w:smallCaps/>
                <w:color w:val="000000"/>
                <w:sz w:val="20"/>
              </w:rPr>
            </w:pPr>
            <w:r w:rsidRPr="007F78CE">
              <w:rPr>
                <w:rFonts w:ascii="Cambria" w:hAnsi="Cambria"/>
                <w:sz w:val="20"/>
              </w:rPr>
              <w:t>Elles sont applicables et non contraires aux textes malagasy.</w:t>
            </w:r>
          </w:p>
          <w:p w14:paraId="1E09D1F5" w14:textId="77777777" w:rsidR="006B2C01" w:rsidRPr="00E63907" w:rsidRDefault="006B2C01" w:rsidP="00B434A6">
            <w:pPr>
              <w:spacing w:after="120"/>
              <w:rPr>
                <w:rFonts w:ascii="arial gras" w:eastAsia="MS Mincho" w:hAnsi="arial gras" w:cs="Arial" w:hint="eastAsia"/>
                <w:b/>
                <w:smallCaps/>
                <w:color w:val="000000"/>
              </w:rPr>
            </w:pPr>
            <w:r w:rsidRPr="007F78CE">
              <w:rPr>
                <w:rFonts w:ascii="Cambria" w:hAnsi="Cambria"/>
                <w:sz w:val="20"/>
              </w:rPr>
              <w:t>Les dispositions de la NES seront appliquées</w:t>
            </w:r>
          </w:p>
        </w:tc>
      </w:tr>
      <w:tr w:rsidR="006B2C01" w:rsidRPr="007F78CE" w14:paraId="01B7008A" w14:textId="77777777" w:rsidTr="00B434A6">
        <w:trPr>
          <w:cantSplit/>
          <w:jc w:val="center"/>
        </w:trPr>
        <w:tc>
          <w:tcPr>
            <w:tcW w:w="5215" w:type="dxa"/>
            <w:vMerge/>
          </w:tcPr>
          <w:p w14:paraId="16D66F97" w14:textId="77777777" w:rsidR="006B2C01" w:rsidRDefault="006B2C01" w:rsidP="00D12C6F">
            <w:pPr>
              <w:pStyle w:val="Tabletext"/>
              <w:rPr>
                <w:rFonts w:ascii="Calibri" w:eastAsia="MS Mincho" w:hAnsi="Calibri" w:cs="Arial"/>
              </w:rPr>
            </w:pPr>
          </w:p>
        </w:tc>
        <w:tc>
          <w:tcPr>
            <w:tcW w:w="5850" w:type="dxa"/>
            <w:shd w:val="clear" w:color="auto" w:fill="auto"/>
          </w:tcPr>
          <w:p w14:paraId="3B83AF93" w14:textId="77777777" w:rsidR="006B2C01" w:rsidRPr="005C566E" w:rsidRDefault="006B2C01" w:rsidP="005C566E">
            <w:pPr>
              <w:pStyle w:val="TableParagraph"/>
              <w:ind w:left="68"/>
              <w:rPr>
                <w:sz w:val="20"/>
                <w:szCs w:val="20"/>
              </w:rPr>
            </w:pPr>
            <w:bookmarkStart w:id="1709" w:name="_Toc124956373"/>
            <w:bookmarkStart w:id="1710" w:name="_Toc125384718"/>
            <w:bookmarkStart w:id="1711" w:name="_Toc125385107"/>
            <w:r w:rsidRPr="005C566E">
              <w:rPr>
                <w:sz w:val="20"/>
                <w:szCs w:val="20"/>
              </w:rPr>
              <w:t>L’EIS doit prévoir un plan de surveillance et un plan de suivi lors de la préparation du PGSP sans plus de précision pour le plan de réinstallation.</w:t>
            </w:r>
            <w:bookmarkEnd w:id="1709"/>
            <w:bookmarkEnd w:id="1710"/>
            <w:bookmarkEnd w:id="1711"/>
          </w:p>
          <w:p w14:paraId="45F36B53" w14:textId="77777777" w:rsidR="006B2C01" w:rsidRPr="005C566E" w:rsidRDefault="006B2C01" w:rsidP="005C566E">
            <w:pPr>
              <w:pStyle w:val="TableParagraph"/>
              <w:ind w:left="68"/>
              <w:rPr>
                <w:sz w:val="20"/>
                <w:szCs w:val="20"/>
              </w:rPr>
            </w:pPr>
          </w:p>
          <w:p w14:paraId="26692F96" w14:textId="77777777" w:rsidR="006B2C01" w:rsidRPr="005C566E" w:rsidRDefault="006B2C01" w:rsidP="005C566E">
            <w:pPr>
              <w:pStyle w:val="TableParagraph"/>
              <w:ind w:left="68"/>
              <w:rPr>
                <w:sz w:val="20"/>
                <w:szCs w:val="20"/>
              </w:rPr>
            </w:pPr>
            <w:r w:rsidRPr="005C566E">
              <w:rPr>
                <w:sz w:val="20"/>
                <w:szCs w:val="20"/>
              </w:rPr>
              <w:t>18.0 à 18.2 Guide EIS</w:t>
            </w:r>
          </w:p>
        </w:tc>
        <w:tc>
          <w:tcPr>
            <w:tcW w:w="3594" w:type="dxa"/>
            <w:shd w:val="clear" w:color="auto" w:fill="auto"/>
          </w:tcPr>
          <w:p w14:paraId="2C535E91" w14:textId="77777777" w:rsidR="006B2C01" w:rsidRPr="00B434A6" w:rsidRDefault="006B2C01" w:rsidP="00B434A6">
            <w:pPr>
              <w:spacing w:after="120"/>
              <w:rPr>
                <w:rFonts w:ascii="Cambria" w:hAnsi="Cambria"/>
                <w:sz w:val="20"/>
              </w:rPr>
            </w:pPr>
            <w:r w:rsidRPr="007F78CE">
              <w:rPr>
                <w:rFonts w:ascii="Cambria" w:hAnsi="Cambria"/>
                <w:sz w:val="20"/>
              </w:rPr>
              <w:t>Les exigences de la NES5 sont des dispositions plus précises.</w:t>
            </w:r>
          </w:p>
          <w:p w14:paraId="155FA8AF" w14:textId="77777777" w:rsidR="006B2C01" w:rsidRPr="007F78CE" w:rsidRDefault="006B2C01" w:rsidP="00B434A6">
            <w:pPr>
              <w:spacing w:after="120"/>
              <w:rPr>
                <w:rFonts w:ascii="Cambria" w:eastAsia="Times New Roman" w:hAnsi="Cambria"/>
                <w:b/>
                <w:smallCaps/>
                <w:color w:val="000000"/>
                <w:sz w:val="20"/>
              </w:rPr>
            </w:pPr>
            <w:r w:rsidRPr="007F78CE">
              <w:rPr>
                <w:rFonts w:ascii="Cambria" w:hAnsi="Cambria"/>
                <w:sz w:val="20"/>
              </w:rPr>
              <w:t>Elles sont applicables et non contraires aux textes malagasy.</w:t>
            </w:r>
          </w:p>
          <w:p w14:paraId="11D70A68" w14:textId="77777777" w:rsidR="006B2C01" w:rsidRPr="00B434A6" w:rsidRDefault="006B2C01" w:rsidP="00B434A6">
            <w:pPr>
              <w:spacing w:after="120"/>
              <w:rPr>
                <w:rFonts w:ascii="Cambria" w:hAnsi="Cambria"/>
                <w:sz w:val="20"/>
              </w:rPr>
            </w:pPr>
            <w:r w:rsidRPr="007F78CE">
              <w:rPr>
                <w:rFonts w:ascii="Cambria" w:hAnsi="Cambria"/>
                <w:sz w:val="20"/>
              </w:rPr>
              <w:t>Les dispositions de la NES 5 et de la législation nationale seront appliquées</w:t>
            </w:r>
          </w:p>
        </w:tc>
      </w:tr>
      <w:tr w:rsidR="006B2C01" w:rsidRPr="007F78CE" w14:paraId="00D03FAB" w14:textId="77777777" w:rsidTr="00B434A6">
        <w:trPr>
          <w:cantSplit/>
          <w:jc w:val="center"/>
        </w:trPr>
        <w:tc>
          <w:tcPr>
            <w:tcW w:w="5215" w:type="dxa"/>
            <w:vMerge/>
          </w:tcPr>
          <w:p w14:paraId="649C6FEB" w14:textId="77777777" w:rsidR="006B2C01" w:rsidRDefault="006B2C01" w:rsidP="00D12C6F">
            <w:pPr>
              <w:pStyle w:val="Tabletext"/>
              <w:rPr>
                <w:rFonts w:ascii="Calibri" w:eastAsia="MS Mincho" w:hAnsi="Calibri" w:cs="Arial"/>
              </w:rPr>
            </w:pPr>
          </w:p>
        </w:tc>
        <w:tc>
          <w:tcPr>
            <w:tcW w:w="5850" w:type="dxa"/>
            <w:shd w:val="clear" w:color="auto" w:fill="auto"/>
          </w:tcPr>
          <w:p w14:paraId="607E76A5" w14:textId="77777777" w:rsidR="006B2C01" w:rsidRPr="005C566E" w:rsidRDefault="006B2C01" w:rsidP="005C566E">
            <w:pPr>
              <w:pStyle w:val="TableParagraph"/>
              <w:ind w:left="68"/>
              <w:rPr>
                <w:sz w:val="20"/>
                <w:szCs w:val="20"/>
              </w:rPr>
            </w:pPr>
            <w:bookmarkStart w:id="1712" w:name="_Toc124956374"/>
            <w:bookmarkStart w:id="1713" w:name="_Toc125384719"/>
            <w:bookmarkStart w:id="1714" w:name="_Toc125385108"/>
            <w:r w:rsidRPr="005C566E">
              <w:rPr>
                <w:sz w:val="20"/>
                <w:szCs w:val="20"/>
              </w:rPr>
              <w:t>L’EIS doit prévoir un plan de surveillance et un plan de suivi lors de la préparation du PGSP sans plus de précision pour le plan de réinstallation.</w:t>
            </w:r>
            <w:bookmarkEnd w:id="1712"/>
            <w:bookmarkEnd w:id="1713"/>
            <w:bookmarkEnd w:id="1714"/>
          </w:p>
          <w:p w14:paraId="6E9A747A" w14:textId="77777777" w:rsidR="006B2C01" w:rsidRPr="005C566E" w:rsidRDefault="006B2C01" w:rsidP="005C566E">
            <w:pPr>
              <w:pStyle w:val="TableParagraph"/>
              <w:ind w:left="68"/>
              <w:rPr>
                <w:sz w:val="20"/>
                <w:szCs w:val="20"/>
              </w:rPr>
            </w:pPr>
          </w:p>
          <w:p w14:paraId="367352AC" w14:textId="77777777" w:rsidR="006B2C01" w:rsidRPr="005C566E" w:rsidRDefault="006B2C01" w:rsidP="005C566E">
            <w:pPr>
              <w:pStyle w:val="TableParagraph"/>
              <w:ind w:left="68"/>
              <w:rPr>
                <w:sz w:val="20"/>
                <w:szCs w:val="20"/>
              </w:rPr>
            </w:pPr>
            <w:r w:rsidRPr="005C566E">
              <w:rPr>
                <w:sz w:val="20"/>
                <w:szCs w:val="20"/>
              </w:rPr>
              <w:t>18.0 à 18.2 Guide EIS</w:t>
            </w:r>
          </w:p>
        </w:tc>
        <w:tc>
          <w:tcPr>
            <w:tcW w:w="3594" w:type="dxa"/>
            <w:shd w:val="clear" w:color="auto" w:fill="auto"/>
          </w:tcPr>
          <w:p w14:paraId="01376F1F" w14:textId="77777777" w:rsidR="006B2C01" w:rsidRPr="00B434A6" w:rsidRDefault="006B2C01" w:rsidP="00B434A6">
            <w:pPr>
              <w:spacing w:after="120"/>
              <w:rPr>
                <w:rFonts w:ascii="Cambria" w:hAnsi="Cambria"/>
                <w:sz w:val="20"/>
              </w:rPr>
            </w:pPr>
            <w:r w:rsidRPr="007F78CE">
              <w:rPr>
                <w:rFonts w:ascii="Cambria" w:hAnsi="Cambria"/>
                <w:sz w:val="20"/>
              </w:rPr>
              <w:t>Les exigences de la NES5 sont des dispositions plus précises.</w:t>
            </w:r>
          </w:p>
          <w:p w14:paraId="46AEBB8C" w14:textId="77777777" w:rsidR="006B2C01" w:rsidRPr="007F78CE" w:rsidRDefault="006B2C01" w:rsidP="00B434A6">
            <w:pPr>
              <w:spacing w:after="120"/>
              <w:rPr>
                <w:rFonts w:ascii="Cambria" w:eastAsia="Times New Roman" w:hAnsi="Cambria"/>
                <w:b/>
                <w:smallCaps/>
                <w:color w:val="000000"/>
                <w:sz w:val="20"/>
              </w:rPr>
            </w:pPr>
            <w:r w:rsidRPr="007F78CE">
              <w:rPr>
                <w:rFonts w:ascii="Cambria" w:hAnsi="Cambria"/>
                <w:sz w:val="20"/>
              </w:rPr>
              <w:t>Elles sont applicables et non contraires aux textes malagasy.</w:t>
            </w:r>
          </w:p>
          <w:p w14:paraId="385DC80C" w14:textId="77777777" w:rsidR="006B2C01" w:rsidRPr="00B434A6" w:rsidRDefault="006B2C01" w:rsidP="00B434A6">
            <w:pPr>
              <w:spacing w:after="120"/>
              <w:rPr>
                <w:rFonts w:ascii="Cambria" w:hAnsi="Cambria"/>
                <w:sz w:val="20"/>
              </w:rPr>
            </w:pPr>
            <w:r w:rsidRPr="007F78CE">
              <w:rPr>
                <w:rFonts w:ascii="Cambria" w:hAnsi="Cambria"/>
                <w:sz w:val="20"/>
              </w:rPr>
              <w:t>Les dispositions de la NES 5 et de la législation nationale seront appliquées</w:t>
            </w:r>
          </w:p>
        </w:tc>
      </w:tr>
      <w:tr w:rsidR="006B2C01" w:rsidRPr="007F78CE" w14:paraId="6874D4BE" w14:textId="77777777" w:rsidTr="00B434A6">
        <w:trPr>
          <w:cantSplit/>
          <w:jc w:val="center"/>
        </w:trPr>
        <w:tc>
          <w:tcPr>
            <w:tcW w:w="5215" w:type="dxa"/>
            <w:vMerge/>
          </w:tcPr>
          <w:p w14:paraId="5027254A" w14:textId="77777777" w:rsidR="006B2C01" w:rsidRDefault="006B2C01" w:rsidP="00D12C6F">
            <w:pPr>
              <w:pStyle w:val="Tabletext"/>
              <w:rPr>
                <w:rFonts w:ascii="Calibri" w:eastAsia="MS Mincho" w:hAnsi="Calibri" w:cs="Arial"/>
              </w:rPr>
            </w:pPr>
          </w:p>
        </w:tc>
        <w:tc>
          <w:tcPr>
            <w:tcW w:w="5850" w:type="dxa"/>
            <w:shd w:val="clear" w:color="auto" w:fill="auto"/>
          </w:tcPr>
          <w:p w14:paraId="08CE5B22" w14:textId="77777777" w:rsidR="006B2C01" w:rsidRPr="005C566E" w:rsidRDefault="006B2C01" w:rsidP="005C566E">
            <w:pPr>
              <w:pStyle w:val="TableParagraph"/>
              <w:ind w:left="68"/>
              <w:rPr>
                <w:sz w:val="20"/>
                <w:szCs w:val="20"/>
              </w:rPr>
            </w:pPr>
            <w:bookmarkStart w:id="1715" w:name="_Toc124956375"/>
            <w:bookmarkStart w:id="1716" w:name="_Toc125384720"/>
            <w:bookmarkStart w:id="1717" w:name="_Toc125385109"/>
            <w:r w:rsidRPr="005C566E">
              <w:rPr>
                <w:sz w:val="20"/>
                <w:szCs w:val="20"/>
              </w:rPr>
              <w:t>Les textes ne prévoient pas la consultation des personnes concernées lors du processus de suivi.</w:t>
            </w:r>
            <w:bookmarkEnd w:id="1715"/>
            <w:bookmarkEnd w:id="1716"/>
            <w:bookmarkEnd w:id="1717"/>
          </w:p>
          <w:p w14:paraId="6F8ADEB9" w14:textId="77777777" w:rsidR="006B2C01" w:rsidRPr="005C566E" w:rsidRDefault="006B2C01" w:rsidP="00CC01C2">
            <w:pPr>
              <w:pStyle w:val="TableParagraph"/>
              <w:ind w:left="68"/>
              <w:rPr>
                <w:sz w:val="20"/>
                <w:szCs w:val="20"/>
              </w:rPr>
            </w:pPr>
          </w:p>
        </w:tc>
        <w:tc>
          <w:tcPr>
            <w:tcW w:w="3594" w:type="dxa"/>
            <w:shd w:val="clear" w:color="auto" w:fill="auto"/>
          </w:tcPr>
          <w:p w14:paraId="3D8F41F7" w14:textId="77777777" w:rsidR="006B2C01" w:rsidRPr="00B434A6" w:rsidRDefault="006B2C01" w:rsidP="00B434A6">
            <w:pPr>
              <w:spacing w:after="120"/>
              <w:rPr>
                <w:rFonts w:ascii="Cambria" w:hAnsi="Cambria"/>
                <w:sz w:val="20"/>
              </w:rPr>
            </w:pPr>
            <w:r w:rsidRPr="007F78CE">
              <w:rPr>
                <w:rFonts w:ascii="Cambria" w:hAnsi="Cambria"/>
                <w:sz w:val="20"/>
              </w:rPr>
              <w:t>Les exigences de la NES5 sont des dispositions plus précises.</w:t>
            </w:r>
          </w:p>
          <w:p w14:paraId="3BE263CB" w14:textId="77777777" w:rsidR="006B2C01" w:rsidRPr="007F78CE" w:rsidRDefault="006B2C01" w:rsidP="00B434A6">
            <w:pPr>
              <w:spacing w:after="120"/>
              <w:rPr>
                <w:rFonts w:ascii="Cambria" w:eastAsia="Times New Roman" w:hAnsi="Cambria"/>
                <w:b/>
                <w:smallCaps/>
                <w:color w:val="000000"/>
                <w:sz w:val="20"/>
              </w:rPr>
            </w:pPr>
            <w:r w:rsidRPr="007F78CE">
              <w:rPr>
                <w:rFonts w:ascii="Cambria" w:hAnsi="Cambria"/>
                <w:sz w:val="20"/>
              </w:rPr>
              <w:t>Elles sont applicables et non contraires aux textes malagasy.</w:t>
            </w:r>
          </w:p>
          <w:p w14:paraId="771B2C06" w14:textId="77777777" w:rsidR="006B2C01" w:rsidRPr="00B434A6" w:rsidRDefault="006B2C01" w:rsidP="00B434A6">
            <w:pPr>
              <w:spacing w:after="120"/>
              <w:rPr>
                <w:rFonts w:ascii="Cambria" w:hAnsi="Cambria"/>
                <w:sz w:val="20"/>
              </w:rPr>
            </w:pPr>
            <w:r w:rsidRPr="007F78CE">
              <w:rPr>
                <w:rFonts w:ascii="Cambria" w:hAnsi="Cambria"/>
                <w:sz w:val="20"/>
              </w:rPr>
              <w:t>Les dispositions de la NES 5 seront appliquées</w:t>
            </w:r>
          </w:p>
        </w:tc>
      </w:tr>
      <w:tr w:rsidR="006B2C01" w:rsidRPr="007F78CE" w14:paraId="53C22A5A" w14:textId="77777777" w:rsidTr="00B434A6">
        <w:trPr>
          <w:cantSplit/>
          <w:jc w:val="center"/>
        </w:trPr>
        <w:tc>
          <w:tcPr>
            <w:tcW w:w="5215" w:type="dxa"/>
            <w:vMerge/>
          </w:tcPr>
          <w:p w14:paraId="651272E2" w14:textId="77777777" w:rsidR="006B2C01" w:rsidRDefault="006B2C01" w:rsidP="00D12C6F">
            <w:pPr>
              <w:pStyle w:val="Tabletext"/>
              <w:rPr>
                <w:rFonts w:ascii="Calibri" w:eastAsia="MS Mincho" w:hAnsi="Calibri" w:cs="Arial"/>
              </w:rPr>
            </w:pPr>
          </w:p>
        </w:tc>
        <w:tc>
          <w:tcPr>
            <w:tcW w:w="5850" w:type="dxa"/>
            <w:shd w:val="clear" w:color="auto" w:fill="auto"/>
          </w:tcPr>
          <w:p w14:paraId="0FCE3D98" w14:textId="77777777" w:rsidR="006B2C01" w:rsidRDefault="006B2C01" w:rsidP="00D12C6F">
            <w:pPr>
              <w:pStyle w:val="Tabletext"/>
              <w:rPr>
                <w:rFonts w:ascii="Calibri" w:eastAsia="MS Mincho" w:hAnsi="Calibri" w:cs="Arial"/>
              </w:rPr>
            </w:pPr>
            <w:r>
              <w:rPr>
                <w:rFonts w:ascii="Calibri" w:eastAsia="MS Mincho" w:hAnsi="Calibri" w:cs="Arial"/>
              </w:rPr>
              <w:t xml:space="preserve">Les textes ne prévoient pas la réalisation </w:t>
            </w:r>
            <w:r>
              <w:rPr>
                <w:szCs w:val="20"/>
              </w:rPr>
              <w:t>d’</w:t>
            </w:r>
            <w:r w:rsidRPr="00CD704F">
              <w:rPr>
                <w:szCs w:val="20"/>
              </w:rPr>
              <w:t>un audit d’achèvement externe du plan lorsque toutes les mesures d’atténuation auront été achevées.</w:t>
            </w:r>
          </w:p>
        </w:tc>
        <w:tc>
          <w:tcPr>
            <w:tcW w:w="3594" w:type="dxa"/>
            <w:shd w:val="clear" w:color="auto" w:fill="auto"/>
          </w:tcPr>
          <w:p w14:paraId="761D9C80" w14:textId="77777777" w:rsidR="006B2C01" w:rsidRPr="00B434A6" w:rsidRDefault="006B2C01" w:rsidP="00B434A6">
            <w:pPr>
              <w:spacing w:after="120"/>
              <w:rPr>
                <w:rFonts w:ascii="Cambria" w:hAnsi="Cambria"/>
                <w:sz w:val="20"/>
              </w:rPr>
            </w:pPr>
            <w:r w:rsidRPr="007F78CE">
              <w:rPr>
                <w:rFonts w:ascii="Cambria" w:hAnsi="Cambria"/>
                <w:sz w:val="20"/>
              </w:rPr>
              <w:t>Les exigences de la NES 5 sont des dispositions plus précises.</w:t>
            </w:r>
          </w:p>
          <w:p w14:paraId="6909C1C0" w14:textId="77777777" w:rsidR="006B2C01" w:rsidRPr="007F78CE" w:rsidRDefault="006B2C01" w:rsidP="00B434A6">
            <w:pPr>
              <w:spacing w:after="120"/>
              <w:rPr>
                <w:rFonts w:ascii="Cambria" w:eastAsia="Times New Roman" w:hAnsi="Cambria"/>
                <w:b/>
                <w:smallCaps/>
                <w:color w:val="000000"/>
                <w:sz w:val="20"/>
              </w:rPr>
            </w:pPr>
            <w:r w:rsidRPr="007F78CE">
              <w:rPr>
                <w:rFonts w:ascii="Cambria" w:hAnsi="Cambria"/>
                <w:sz w:val="20"/>
              </w:rPr>
              <w:t>Elles sont applicables et non contraires aux textes malagasy.</w:t>
            </w:r>
          </w:p>
          <w:p w14:paraId="365AC847" w14:textId="77777777" w:rsidR="006B2C01" w:rsidRPr="00B434A6" w:rsidRDefault="006B2C01" w:rsidP="00B434A6">
            <w:pPr>
              <w:spacing w:after="120"/>
              <w:rPr>
                <w:rFonts w:ascii="Cambria" w:hAnsi="Cambria"/>
                <w:sz w:val="20"/>
              </w:rPr>
            </w:pPr>
            <w:r w:rsidRPr="007F78CE">
              <w:rPr>
                <w:rFonts w:ascii="Cambria" w:hAnsi="Cambria"/>
                <w:sz w:val="20"/>
              </w:rPr>
              <w:t>Les dispositions de la NES 5 seront appliquées</w:t>
            </w:r>
          </w:p>
        </w:tc>
      </w:tr>
      <w:tr w:rsidR="006B2C01" w:rsidRPr="007F78CE" w14:paraId="07A19EE0" w14:textId="77777777" w:rsidTr="00B434A6">
        <w:trPr>
          <w:cantSplit/>
          <w:jc w:val="center"/>
        </w:trPr>
        <w:tc>
          <w:tcPr>
            <w:tcW w:w="5215" w:type="dxa"/>
            <w:vMerge/>
          </w:tcPr>
          <w:p w14:paraId="5ADFA160" w14:textId="77777777" w:rsidR="006B2C01" w:rsidRDefault="006B2C01" w:rsidP="00D12C6F">
            <w:pPr>
              <w:pStyle w:val="Tabletext"/>
              <w:rPr>
                <w:rFonts w:ascii="Calibri" w:eastAsia="MS Mincho" w:hAnsi="Calibri" w:cs="Arial"/>
              </w:rPr>
            </w:pPr>
          </w:p>
        </w:tc>
        <w:tc>
          <w:tcPr>
            <w:tcW w:w="5850" w:type="dxa"/>
            <w:shd w:val="clear" w:color="auto" w:fill="auto"/>
          </w:tcPr>
          <w:p w14:paraId="503EC22E" w14:textId="77777777" w:rsidR="006B2C01" w:rsidRDefault="006B2C01" w:rsidP="00D12C6F">
            <w:pPr>
              <w:pStyle w:val="Tabletext"/>
              <w:rPr>
                <w:rFonts w:ascii="Calibri" w:eastAsia="MS Mincho" w:hAnsi="Calibri" w:cs="Arial"/>
              </w:rPr>
            </w:pPr>
            <w:r>
              <w:rPr>
                <w:rFonts w:ascii="Calibri" w:eastAsia="MS Mincho" w:hAnsi="Calibri" w:cs="Arial"/>
              </w:rPr>
              <w:t xml:space="preserve">Les textes ne prévoient pas l’élaboration d’un Cadre de réinstallation lorsque les </w:t>
            </w:r>
            <w:r w:rsidRPr="00CD704F">
              <w:rPr>
                <w:szCs w:val="20"/>
              </w:rPr>
              <w:t>la nature ou l’ampleur probable des acquisitions de terres ou des restrictions de l’utilisation</w:t>
            </w:r>
            <w:r w:rsidR="00B739B6">
              <w:rPr>
                <w:szCs w:val="20"/>
              </w:rPr>
              <w:t xml:space="preserve"> </w:t>
            </w:r>
            <w:r w:rsidRPr="00CD704F">
              <w:rPr>
                <w:szCs w:val="20"/>
              </w:rPr>
              <w:t>des</w:t>
            </w:r>
            <w:r w:rsidR="00B739B6">
              <w:rPr>
                <w:szCs w:val="20"/>
              </w:rPr>
              <w:t xml:space="preserve"> </w:t>
            </w:r>
            <w:r w:rsidRPr="00CD704F">
              <w:rPr>
                <w:szCs w:val="20"/>
              </w:rPr>
              <w:t>terres</w:t>
            </w:r>
            <w:r w:rsidR="00B739B6">
              <w:rPr>
                <w:szCs w:val="20"/>
              </w:rPr>
              <w:t xml:space="preserve"> </w:t>
            </w:r>
            <w:r w:rsidRPr="00CD704F">
              <w:rPr>
                <w:szCs w:val="20"/>
              </w:rPr>
              <w:t>liées</w:t>
            </w:r>
            <w:r w:rsidR="00B739B6">
              <w:rPr>
                <w:szCs w:val="20"/>
              </w:rPr>
              <w:t xml:space="preserve"> </w:t>
            </w:r>
            <w:r w:rsidRPr="00CD704F">
              <w:rPr>
                <w:szCs w:val="20"/>
              </w:rPr>
              <w:t>au</w:t>
            </w:r>
            <w:r w:rsidR="00B739B6">
              <w:rPr>
                <w:szCs w:val="20"/>
              </w:rPr>
              <w:t xml:space="preserve"> </w:t>
            </w:r>
            <w:r w:rsidRPr="00CD704F">
              <w:rPr>
                <w:szCs w:val="20"/>
              </w:rPr>
              <w:t>projet</w:t>
            </w:r>
            <w:r w:rsidR="00B739B6">
              <w:rPr>
                <w:szCs w:val="20"/>
              </w:rPr>
              <w:t xml:space="preserve"> </w:t>
            </w:r>
            <w:r w:rsidRPr="00CD704F">
              <w:rPr>
                <w:szCs w:val="20"/>
              </w:rPr>
              <w:t>susceptibles d’entraîner des déplacements physiques et/ou économiques</w:t>
            </w:r>
            <w:r w:rsidR="00B739B6">
              <w:rPr>
                <w:szCs w:val="20"/>
              </w:rPr>
              <w:t xml:space="preserve"> </w:t>
            </w:r>
            <w:r w:rsidRPr="00CD704F">
              <w:rPr>
                <w:szCs w:val="20"/>
              </w:rPr>
              <w:t>sont</w:t>
            </w:r>
            <w:r w:rsidR="00B739B6">
              <w:rPr>
                <w:szCs w:val="20"/>
              </w:rPr>
              <w:t xml:space="preserve"> </w:t>
            </w:r>
            <w:r w:rsidRPr="00CD704F">
              <w:rPr>
                <w:szCs w:val="20"/>
              </w:rPr>
              <w:t>inconnues</w:t>
            </w:r>
            <w:r w:rsidR="00B739B6">
              <w:rPr>
                <w:szCs w:val="20"/>
              </w:rPr>
              <w:t xml:space="preserve"> </w:t>
            </w:r>
            <w:r w:rsidRPr="00CD704F">
              <w:rPr>
                <w:szCs w:val="20"/>
              </w:rPr>
              <w:t>pendant</w:t>
            </w:r>
            <w:r w:rsidR="00B739B6">
              <w:rPr>
                <w:szCs w:val="20"/>
              </w:rPr>
              <w:t xml:space="preserve"> </w:t>
            </w:r>
            <w:r w:rsidRPr="00CD704F">
              <w:rPr>
                <w:szCs w:val="20"/>
              </w:rPr>
              <w:t>la</w:t>
            </w:r>
            <w:r w:rsidR="00B739B6">
              <w:rPr>
                <w:szCs w:val="20"/>
              </w:rPr>
              <w:t xml:space="preserve"> </w:t>
            </w:r>
            <w:r w:rsidRPr="00CD704F">
              <w:rPr>
                <w:szCs w:val="20"/>
              </w:rPr>
              <w:t>phase</w:t>
            </w:r>
            <w:r w:rsidR="00B739B6">
              <w:rPr>
                <w:szCs w:val="20"/>
              </w:rPr>
              <w:t xml:space="preserve"> </w:t>
            </w:r>
            <w:r w:rsidRPr="00CD704F">
              <w:rPr>
                <w:szCs w:val="20"/>
              </w:rPr>
              <w:t>de préparation</w:t>
            </w:r>
            <w:r w:rsidR="00B739B6">
              <w:rPr>
                <w:szCs w:val="20"/>
              </w:rPr>
              <w:t xml:space="preserve"> </w:t>
            </w:r>
            <w:r w:rsidRPr="00CD704F">
              <w:rPr>
                <w:szCs w:val="20"/>
              </w:rPr>
              <w:t>du</w:t>
            </w:r>
            <w:r w:rsidR="00B739B6">
              <w:rPr>
                <w:szCs w:val="20"/>
              </w:rPr>
              <w:t xml:space="preserve"> </w:t>
            </w:r>
            <w:r w:rsidRPr="00CD704F">
              <w:rPr>
                <w:szCs w:val="20"/>
              </w:rPr>
              <w:t>projet</w:t>
            </w:r>
          </w:p>
        </w:tc>
        <w:tc>
          <w:tcPr>
            <w:tcW w:w="3594" w:type="dxa"/>
            <w:shd w:val="clear" w:color="auto" w:fill="auto"/>
          </w:tcPr>
          <w:p w14:paraId="12AC448B" w14:textId="77777777" w:rsidR="006B2C01" w:rsidRPr="00B434A6" w:rsidRDefault="006B2C01" w:rsidP="00B434A6">
            <w:pPr>
              <w:spacing w:after="120"/>
              <w:rPr>
                <w:rFonts w:ascii="Cambria" w:hAnsi="Cambria"/>
                <w:sz w:val="20"/>
              </w:rPr>
            </w:pPr>
            <w:r w:rsidRPr="007F78CE">
              <w:rPr>
                <w:rFonts w:ascii="Cambria" w:hAnsi="Cambria"/>
                <w:sz w:val="20"/>
              </w:rPr>
              <w:t>Les exigences de la NES5 sont des dispositions plus précises.</w:t>
            </w:r>
          </w:p>
          <w:p w14:paraId="75CE3633" w14:textId="77777777" w:rsidR="006B2C01" w:rsidRPr="007F78CE" w:rsidRDefault="006B2C01" w:rsidP="00B434A6">
            <w:pPr>
              <w:spacing w:after="120"/>
              <w:rPr>
                <w:rFonts w:ascii="Cambria" w:eastAsia="Times New Roman" w:hAnsi="Cambria"/>
                <w:b/>
                <w:smallCaps/>
                <w:color w:val="000000"/>
                <w:sz w:val="20"/>
              </w:rPr>
            </w:pPr>
            <w:r w:rsidRPr="007F78CE">
              <w:rPr>
                <w:rFonts w:ascii="Cambria" w:hAnsi="Cambria"/>
                <w:sz w:val="20"/>
              </w:rPr>
              <w:t>Elles sont applicables et non contraires aux textes malagasy. Toutefois, la fermeture de l’éligibilité légale doit être prise en considération comme il est commenté ci- dessus (rubrique 20 b).</w:t>
            </w:r>
          </w:p>
          <w:p w14:paraId="03023B17" w14:textId="77777777" w:rsidR="006B2C01" w:rsidRPr="00B434A6" w:rsidRDefault="006B2C01" w:rsidP="00B434A6">
            <w:pPr>
              <w:spacing w:after="120"/>
              <w:rPr>
                <w:rFonts w:ascii="Cambria" w:hAnsi="Cambria"/>
                <w:sz w:val="20"/>
              </w:rPr>
            </w:pPr>
            <w:r w:rsidRPr="007F78CE">
              <w:rPr>
                <w:rFonts w:ascii="Cambria" w:hAnsi="Cambria"/>
                <w:sz w:val="20"/>
              </w:rPr>
              <w:t>Les dispositions de la NES5 seront appliquées</w:t>
            </w:r>
          </w:p>
        </w:tc>
      </w:tr>
      <w:tr w:rsidR="006B2C01" w:rsidRPr="007F78CE" w14:paraId="2943DD9A" w14:textId="77777777" w:rsidTr="00B434A6">
        <w:trPr>
          <w:cantSplit/>
          <w:trHeight w:val="2160"/>
          <w:jc w:val="center"/>
        </w:trPr>
        <w:tc>
          <w:tcPr>
            <w:tcW w:w="5215" w:type="dxa"/>
            <w:vMerge/>
          </w:tcPr>
          <w:p w14:paraId="5E58AFB9" w14:textId="77777777" w:rsidR="006B2C01" w:rsidRDefault="006B2C01" w:rsidP="00D12C6F">
            <w:pPr>
              <w:pStyle w:val="Tabletext"/>
              <w:rPr>
                <w:rFonts w:ascii="Calibri" w:eastAsia="MS Mincho" w:hAnsi="Calibri" w:cs="Arial"/>
              </w:rPr>
            </w:pPr>
          </w:p>
        </w:tc>
        <w:tc>
          <w:tcPr>
            <w:tcW w:w="5850" w:type="dxa"/>
            <w:shd w:val="clear" w:color="auto" w:fill="auto"/>
          </w:tcPr>
          <w:p w14:paraId="0B5A2D75" w14:textId="77777777" w:rsidR="006B2C01" w:rsidRPr="007F78CE" w:rsidRDefault="006B2C01" w:rsidP="00D12C6F">
            <w:pPr>
              <w:rPr>
                <w:rFonts w:ascii="Cambria" w:hAnsi="Cambria"/>
                <w:sz w:val="20"/>
              </w:rPr>
            </w:pPr>
            <w:r w:rsidRPr="007F78CE">
              <w:rPr>
                <w:rFonts w:ascii="Cambria" w:hAnsi="Cambria"/>
                <w:sz w:val="20"/>
              </w:rPr>
              <w:t>La législation malagasy n’a pas prévu de dispositions spéciales concernant les groupes vulnérables. Toutefois, le guide EIS précise que les promoteurs doivent prêter une attention particulière aux couches les plus vulnérables.</w:t>
            </w:r>
          </w:p>
          <w:p w14:paraId="1D8EA338" w14:textId="77777777" w:rsidR="006B2C01" w:rsidRPr="007F78CE" w:rsidRDefault="006B2C01" w:rsidP="00D12C6F">
            <w:pPr>
              <w:rPr>
                <w:rFonts w:ascii="Cambria" w:hAnsi="Cambria"/>
                <w:sz w:val="20"/>
              </w:rPr>
            </w:pPr>
          </w:p>
          <w:p w14:paraId="04185A4A" w14:textId="77777777" w:rsidR="006B2C01" w:rsidRPr="007F78CE" w:rsidRDefault="006B2C01" w:rsidP="00D12C6F">
            <w:pPr>
              <w:rPr>
                <w:rFonts w:ascii="Cambria" w:hAnsi="Cambria"/>
                <w:sz w:val="20"/>
              </w:rPr>
            </w:pPr>
            <w:r w:rsidRPr="007F78CE">
              <w:rPr>
                <w:sz w:val="20"/>
              </w:rPr>
              <w:t>Annexe 7 Guide EIS</w:t>
            </w:r>
          </w:p>
        </w:tc>
        <w:tc>
          <w:tcPr>
            <w:tcW w:w="3594" w:type="dxa"/>
            <w:shd w:val="clear" w:color="auto" w:fill="auto"/>
          </w:tcPr>
          <w:p w14:paraId="354C6C2D" w14:textId="77777777" w:rsidR="006B2C01" w:rsidRPr="00CD704F" w:rsidRDefault="006B2C01" w:rsidP="00B434A6">
            <w:pPr>
              <w:pStyle w:val="Tabletext"/>
              <w:rPr>
                <w:b/>
                <w:smallCaps/>
                <w:color w:val="000000"/>
                <w:szCs w:val="20"/>
              </w:rPr>
            </w:pPr>
            <w:r w:rsidRPr="00CD704F">
              <w:rPr>
                <w:szCs w:val="20"/>
              </w:rPr>
              <w:t xml:space="preserve">Les exigences de laNES5 de la Banque sont des dispositions précises et seront appliquées car elle favorise une considération spécifique en faveur des groupes vulnérables. </w:t>
            </w:r>
          </w:p>
          <w:p w14:paraId="4FDEC307" w14:textId="77777777" w:rsidR="006B2C01" w:rsidRPr="007F78CE" w:rsidRDefault="006B2C01" w:rsidP="00B434A6">
            <w:pPr>
              <w:pStyle w:val="Tabletext"/>
              <w:rPr>
                <w:rFonts w:ascii="Cambria" w:eastAsia="Times New Roman" w:hAnsi="Cambria"/>
                <w:b/>
                <w:smallCaps/>
                <w:color w:val="000000"/>
              </w:rPr>
            </w:pPr>
            <w:r w:rsidRPr="00B434A6">
              <w:rPr>
                <w:szCs w:val="20"/>
              </w:rPr>
              <w:t>Elles sont complémentaires au guide EIS.</w:t>
            </w:r>
          </w:p>
          <w:p w14:paraId="2FECC4BA" w14:textId="77777777" w:rsidR="006B2C01" w:rsidRPr="007F78CE" w:rsidRDefault="006B2C01" w:rsidP="00B434A6">
            <w:pPr>
              <w:pStyle w:val="Tabletext"/>
              <w:rPr>
                <w:rFonts w:ascii="Cambria" w:hAnsi="Cambria"/>
              </w:rPr>
            </w:pPr>
            <w:r w:rsidRPr="00B434A6">
              <w:rPr>
                <w:szCs w:val="20"/>
              </w:rPr>
              <w:t>Les dispositions de la NES 5 seront appliquées</w:t>
            </w:r>
          </w:p>
        </w:tc>
      </w:tr>
      <w:tr w:rsidR="006B2C01" w:rsidRPr="007F78CE" w14:paraId="2DC64535" w14:textId="77777777" w:rsidTr="00B434A6">
        <w:trPr>
          <w:cantSplit/>
          <w:jc w:val="center"/>
        </w:trPr>
        <w:tc>
          <w:tcPr>
            <w:tcW w:w="5215" w:type="dxa"/>
            <w:vMerge w:val="restart"/>
          </w:tcPr>
          <w:p w14:paraId="2B99221B" w14:textId="77777777" w:rsidR="006B2C01" w:rsidRDefault="006B2C01" w:rsidP="00D12C6F">
            <w:pPr>
              <w:pStyle w:val="Tabletext"/>
              <w:rPr>
                <w:rFonts w:ascii="Calibri" w:eastAsia="MS Mincho" w:hAnsi="Calibri" w:cs="Arial"/>
              </w:rPr>
            </w:pPr>
            <w:r w:rsidRPr="006F2FBF">
              <w:rPr>
                <w:rFonts w:ascii="Calibri" w:eastAsia="MS Mincho" w:hAnsi="Calibri" w:cs="Arial"/>
              </w:rPr>
              <w:t>Offrir aux personnes concernées par un déplacement physique le choix entre un bien de remplacement d’une valeur égale ou supérieure, avec sécurité de jouissance, ou une indemnisation financière au coût de remplacement, ainsi qu’un appui temporaire afin de rétablir leur capacité à gagner leur vie, leur niveau de production et de vie.</w:t>
            </w:r>
          </w:p>
          <w:p w14:paraId="2CBE3263" w14:textId="77777777" w:rsidR="006B2C01" w:rsidRDefault="006B2C01" w:rsidP="00D12C6F">
            <w:pPr>
              <w:rPr>
                <w:rFonts w:eastAsia="MS Mincho" w:cs="Arial"/>
                <w:i/>
                <w:iCs/>
                <w:u w:val="single"/>
              </w:rPr>
            </w:pPr>
            <w:r>
              <w:rPr>
                <w:rFonts w:eastAsia="MS Mincho" w:cs="Arial"/>
                <w:i/>
                <w:iCs/>
              </w:rPr>
              <w:t>Paragraphes 26 à 32</w:t>
            </w:r>
          </w:p>
        </w:tc>
        <w:tc>
          <w:tcPr>
            <w:tcW w:w="5850" w:type="dxa"/>
            <w:shd w:val="clear" w:color="auto" w:fill="auto"/>
          </w:tcPr>
          <w:p w14:paraId="179FCBDF" w14:textId="77777777" w:rsidR="006B2C01" w:rsidRPr="00CD704F" w:rsidRDefault="006B2C01" w:rsidP="00D12C6F">
            <w:pPr>
              <w:pStyle w:val="TableParagraph"/>
              <w:spacing w:before="1"/>
              <w:ind w:left="68" w:right="61"/>
              <w:rPr>
                <w:sz w:val="20"/>
                <w:szCs w:val="20"/>
              </w:rPr>
            </w:pPr>
            <w:r w:rsidRPr="00CD704F">
              <w:rPr>
                <w:sz w:val="20"/>
                <w:szCs w:val="20"/>
              </w:rPr>
              <w:t>Le Guide EIS donne une autre typologie de déplacement involontaire pour une durée déterminée ou temporaire, et définitive.</w:t>
            </w:r>
          </w:p>
          <w:p w14:paraId="685CDD8F" w14:textId="77777777" w:rsidR="006B2C01" w:rsidRPr="00CD704F" w:rsidRDefault="006B2C01" w:rsidP="00D12C6F">
            <w:pPr>
              <w:pStyle w:val="TableParagraph"/>
              <w:ind w:left="68" w:right="64"/>
              <w:rPr>
                <w:sz w:val="20"/>
                <w:szCs w:val="20"/>
              </w:rPr>
            </w:pPr>
            <w:r w:rsidRPr="00CD704F">
              <w:rPr>
                <w:sz w:val="20"/>
                <w:szCs w:val="20"/>
              </w:rPr>
              <w:t>Le Guide EIS reprend les textes de la PO 4.12 en ce qui concerne les objectifs, le champ d’application et les mesures requises.</w:t>
            </w:r>
          </w:p>
          <w:p w14:paraId="4DACB5F4" w14:textId="77777777" w:rsidR="006B2C01" w:rsidRPr="00CD704F" w:rsidRDefault="006B2C01" w:rsidP="00D12C6F">
            <w:pPr>
              <w:pStyle w:val="TableParagraph"/>
              <w:ind w:left="68" w:right="61"/>
              <w:rPr>
                <w:sz w:val="20"/>
                <w:szCs w:val="20"/>
              </w:rPr>
            </w:pPr>
            <w:r w:rsidRPr="00CD704F">
              <w:rPr>
                <w:sz w:val="20"/>
                <w:szCs w:val="20"/>
              </w:rPr>
              <w:t>Les promoteurs doivent préparer un plan de réinstallation.</w:t>
            </w:r>
          </w:p>
          <w:p w14:paraId="75CD26E8" w14:textId="77777777" w:rsidR="006B2C01" w:rsidRDefault="006B2C01" w:rsidP="00D12C6F">
            <w:pPr>
              <w:pStyle w:val="TableParagraph"/>
              <w:ind w:left="68" w:right="63"/>
              <w:rPr>
                <w:sz w:val="20"/>
                <w:szCs w:val="20"/>
              </w:rPr>
            </w:pPr>
            <w:r w:rsidRPr="00CD704F">
              <w:rPr>
                <w:sz w:val="20"/>
                <w:szCs w:val="20"/>
              </w:rPr>
              <w:t>Pour cela, les promoteurs doivent prêter une attention particulière aux couches les plus vulnérables.</w:t>
            </w:r>
          </w:p>
          <w:p w14:paraId="5A5A873E" w14:textId="77777777" w:rsidR="006B2C01" w:rsidRPr="00CD704F" w:rsidRDefault="006B2C01" w:rsidP="00D12C6F">
            <w:pPr>
              <w:pStyle w:val="TableParagraph"/>
              <w:ind w:left="68" w:right="63"/>
              <w:rPr>
                <w:sz w:val="20"/>
                <w:szCs w:val="20"/>
              </w:rPr>
            </w:pPr>
            <w:r w:rsidRPr="00CD704F">
              <w:rPr>
                <w:sz w:val="20"/>
                <w:szCs w:val="20"/>
              </w:rPr>
              <w:t>Annexe 7 Guide EIS</w:t>
            </w:r>
          </w:p>
        </w:tc>
        <w:tc>
          <w:tcPr>
            <w:tcW w:w="3594" w:type="dxa"/>
            <w:shd w:val="clear" w:color="auto" w:fill="auto"/>
          </w:tcPr>
          <w:p w14:paraId="5E034431" w14:textId="77777777" w:rsidR="006B2C01" w:rsidRPr="007F78CE" w:rsidRDefault="006B2C01" w:rsidP="00D12C6F">
            <w:pPr>
              <w:rPr>
                <w:sz w:val="20"/>
              </w:rPr>
            </w:pPr>
            <w:r w:rsidRPr="007F78CE">
              <w:rPr>
                <w:rFonts w:ascii="Cambria" w:hAnsi="Cambria"/>
                <w:sz w:val="20"/>
              </w:rPr>
              <w:t xml:space="preserve">Les prescriptions du Guide EIS confondent les prescriptions concernant respectivement le déplacement physique et le déplacement économique. </w:t>
            </w:r>
          </w:p>
          <w:p w14:paraId="3E5BF081" w14:textId="77777777" w:rsidR="006B2C01" w:rsidRPr="007F78CE" w:rsidRDefault="006B2C01" w:rsidP="00D12C6F">
            <w:pPr>
              <w:rPr>
                <w:sz w:val="20"/>
              </w:rPr>
            </w:pPr>
            <w:r w:rsidRPr="007F78CE">
              <w:rPr>
                <w:rFonts w:ascii="Cambria" w:hAnsi="Cambria"/>
                <w:sz w:val="20"/>
              </w:rPr>
              <w:t>Les exigences de la NES5 sont des dispositions plus précises.</w:t>
            </w:r>
          </w:p>
          <w:p w14:paraId="6826637F" w14:textId="77777777" w:rsidR="006B2C01" w:rsidRPr="007F78CE" w:rsidRDefault="006B2C01" w:rsidP="00D12C6F">
            <w:pPr>
              <w:rPr>
                <w:rFonts w:ascii="Cambria" w:hAnsi="Cambria"/>
                <w:sz w:val="20"/>
              </w:rPr>
            </w:pPr>
            <w:r w:rsidRPr="007F78CE">
              <w:rPr>
                <w:rFonts w:ascii="Cambria" w:hAnsi="Cambria"/>
                <w:sz w:val="20"/>
              </w:rPr>
              <w:t>Elles sont applicables et non contraires aux textes malagasy.</w:t>
            </w:r>
          </w:p>
          <w:p w14:paraId="23C3E8CA" w14:textId="77777777" w:rsidR="006B2C01" w:rsidRPr="007F78CE" w:rsidRDefault="006B2C01" w:rsidP="00D12C6F">
            <w:pPr>
              <w:rPr>
                <w:sz w:val="20"/>
              </w:rPr>
            </w:pPr>
            <w:r w:rsidRPr="007F78CE">
              <w:rPr>
                <w:rFonts w:ascii="Cambria" w:hAnsi="Cambria"/>
                <w:sz w:val="20"/>
              </w:rPr>
              <w:t>Les dispositions de la NES 5 seront appliquées</w:t>
            </w:r>
          </w:p>
        </w:tc>
      </w:tr>
      <w:tr w:rsidR="006B2C01" w:rsidRPr="007F78CE" w14:paraId="7AC9C34B" w14:textId="77777777" w:rsidTr="00B434A6">
        <w:trPr>
          <w:cantSplit/>
          <w:jc w:val="center"/>
        </w:trPr>
        <w:tc>
          <w:tcPr>
            <w:tcW w:w="5215" w:type="dxa"/>
            <w:vMerge/>
          </w:tcPr>
          <w:p w14:paraId="2A59C218" w14:textId="77777777" w:rsidR="006B2C01" w:rsidRDefault="006B2C01" w:rsidP="00D12C6F">
            <w:pPr>
              <w:pStyle w:val="Tabletext"/>
              <w:rPr>
                <w:rFonts w:ascii="Calibri" w:eastAsia="MS Mincho" w:hAnsi="Calibri" w:cs="Arial"/>
              </w:rPr>
            </w:pPr>
          </w:p>
        </w:tc>
        <w:tc>
          <w:tcPr>
            <w:tcW w:w="5850" w:type="dxa"/>
            <w:shd w:val="clear" w:color="auto" w:fill="auto"/>
          </w:tcPr>
          <w:p w14:paraId="5077E344" w14:textId="77777777" w:rsidR="006B2C01" w:rsidRPr="00CD704F" w:rsidRDefault="006B2C01" w:rsidP="00D12C6F">
            <w:pPr>
              <w:pStyle w:val="TableParagraph"/>
              <w:ind w:left="68"/>
              <w:rPr>
                <w:sz w:val="20"/>
                <w:szCs w:val="20"/>
              </w:rPr>
            </w:pPr>
            <w:r w:rsidRPr="00CD704F">
              <w:rPr>
                <w:sz w:val="20"/>
                <w:szCs w:val="20"/>
              </w:rPr>
              <w:t>Le plan de réinstallation inclut les mesures garantissant que les personnes déplacées sont :</w:t>
            </w:r>
          </w:p>
          <w:p w14:paraId="22568BA9" w14:textId="77777777" w:rsidR="006B2C01" w:rsidRPr="00CD704F" w:rsidRDefault="006B2C01" w:rsidP="00D12C6F">
            <w:pPr>
              <w:pStyle w:val="TableParagraph"/>
              <w:ind w:left="68" w:right="64"/>
              <w:rPr>
                <w:sz w:val="20"/>
                <w:szCs w:val="20"/>
              </w:rPr>
            </w:pPr>
            <w:r w:rsidRPr="00CD704F">
              <w:rPr>
                <w:sz w:val="20"/>
                <w:szCs w:val="20"/>
              </w:rPr>
              <w:t>1. informées des options qui leur sont ouvertes et des droits se rattachant à la réinstallation. L’option de rapatriement volontaire est généralement favorisée si les victimes le souhaitent.</w:t>
            </w:r>
          </w:p>
          <w:p w14:paraId="6D3891B5" w14:textId="77777777" w:rsidR="006B2C01" w:rsidRPr="00CD704F" w:rsidRDefault="006B2C01" w:rsidP="00D12C6F">
            <w:pPr>
              <w:pStyle w:val="TableParagraph"/>
              <w:spacing w:before="121"/>
              <w:ind w:left="68" w:right="60"/>
              <w:rPr>
                <w:sz w:val="20"/>
                <w:szCs w:val="20"/>
              </w:rPr>
            </w:pPr>
            <w:r w:rsidRPr="00CD704F">
              <w:rPr>
                <w:sz w:val="20"/>
                <w:szCs w:val="20"/>
              </w:rPr>
              <w:t>2. consultées, soumises à plusieurs choix et informées des alternatives réalisables aux plans technique et économique ; et</w:t>
            </w:r>
          </w:p>
          <w:p w14:paraId="2E3AB940" w14:textId="77777777" w:rsidR="006B2C01" w:rsidRPr="00CD704F" w:rsidRDefault="006B2C01" w:rsidP="00D12C6F">
            <w:pPr>
              <w:pStyle w:val="TableParagraph"/>
              <w:spacing w:before="1"/>
              <w:ind w:left="68" w:right="61"/>
              <w:rPr>
                <w:sz w:val="20"/>
                <w:szCs w:val="20"/>
              </w:rPr>
            </w:pPr>
            <w:r w:rsidRPr="00CD704F">
              <w:rPr>
                <w:sz w:val="20"/>
                <w:szCs w:val="20"/>
              </w:rPr>
              <w:t>En outre, en cas de relocalisation physique figurant au nombre des impacts, le plan de réinstallation inclut les mesures garantissant que les personnes déplacées sont pourvues d’une aide (telles les indemnités de déplacement) pendant la réinstallation.</w:t>
            </w:r>
          </w:p>
        </w:tc>
        <w:tc>
          <w:tcPr>
            <w:tcW w:w="3594" w:type="dxa"/>
            <w:shd w:val="clear" w:color="auto" w:fill="auto"/>
          </w:tcPr>
          <w:p w14:paraId="1DE1A6B1" w14:textId="77777777" w:rsidR="006B2C01" w:rsidRPr="00B434A6" w:rsidRDefault="006B2C01" w:rsidP="00B434A6">
            <w:pPr>
              <w:pStyle w:val="TableParagraph"/>
              <w:spacing w:before="0" w:beforeAutospacing="0" w:after="120" w:afterAutospacing="0"/>
              <w:ind w:left="68"/>
              <w:rPr>
                <w:rFonts w:ascii="Calibri" w:hAnsi="Calibri" w:cs="Calibri"/>
                <w:sz w:val="20"/>
                <w:szCs w:val="20"/>
              </w:rPr>
            </w:pPr>
            <w:r w:rsidRPr="00B434A6">
              <w:rPr>
                <w:rFonts w:ascii="Calibri" w:hAnsi="Calibri" w:cs="Calibri"/>
                <w:sz w:val="20"/>
                <w:szCs w:val="20"/>
              </w:rPr>
              <w:t>Le plan de réinstallation inclut les mesures garantissant que les personnes déplacées sont :</w:t>
            </w:r>
          </w:p>
          <w:p w14:paraId="74C490FD" w14:textId="77777777" w:rsidR="006B2C01" w:rsidRPr="00B434A6" w:rsidRDefault="006B2C01" w:rsidP="00B434A6">
            <w:pPr>
              <w:pStyle w:val="TableParagraph"/>
              <w:spacing w:before="0" w:beforeAutospacing="0" w:after="120" w:afterAutospacing="0"/>
              <w:ind w:left="68" w:right="64"/>
              <w:rPr>
                <w:rFonts w:ascii="Calibri" w:hAnsi="Calibri" w:cs="Calibri"/>
                <w:sz w:val="20"/>
                <w:szCs w:val="20"/>
              </w:rPr>
            </w:pPr>
            <w:r w:rsidRPr="00B434A6">
              <w:rPr>
                <w:rFonts w:ascii="Calibri" w:hAnsi="Calibri" w:cs="Calibri"/>
                <w:sz w:val="20"/>
                <w:szCs w:val="20"/>
              </w:rPr>
              <w:t>1. informées des options qui leur sont ouvertes et des droits se rattachant à la réinstallation. L’option de rapatriement volontaire est généralement favorisée si les victimes le souhaitent.</w:t>
            </w:r>
          </w:p>
          <w:p w14:paraId="33FB3F0F" w14:textId="77777777" w:rsidR="006B2C01" w:rsidRPr="00B434A6" w:rsidRDefault="006B2C01" w:rsidP="00B434A6">
            <w:pPr>
              <w:pStyle w:val="TableParagraph"/>
              <w:spacing w:before="0" w:beforeAutospacing="0" w:after="120" w:afterAutospacing="0"/>
              <w:ind w:left="72" w:right="58"/>
              <w:rPr>
                <w:rFonts w:ascii="Calibri" w:hAnsi="Calibri" w:cs="Calibri"/>
                <w:sz w:val="20"/>
                <w:szCs w:val="20"/>
              </w:rPr>
            </w:pPr>
            <w:r w:rsidRPr="00B434A6">
              <w:rPr>
                <w:rFonts w:ascii="Calibri" w:hAnsi="Calibri" w:cs="Calibri"/>
                <w:sz w:val="20"/>
                <w:szCs w:val="20"/>
              </w:rPr>
              <w:t>2. consultées, soumises à plusieurs choix et informées des alternatives réalisables aux plans technique et économique ; et</w:t>
            </w:r>
          </w:p>
          <w:p w14:paraId="48AEF3BF" w14:textId="77777777" w:rsidR="006B2C01" w:rsidRPr="007F78CE" w:rsidRDefault="006B2C01" w:rsidP="00B434A6">
            <w:pPr>
              <w:spacing w:after="120" w:line="240" w:lineRule="exact"/>
              <w:rPr>
                <w:rFonts w:ascii="Cambria" w:hAnsi="Cambria"/>
                <w:sz w:val="20"/>
              </w:rPr>
            </w:pPr>
            <w:r w:rsidRPr="007F78CE">
              <w:rPr>
                <w:sz w:val="20"/>
              </w:rPr>
              <w:t>En outre, en cas de relocalisation physique figurant au nombre des impacts, le plan de réinstallation inclut les mesures garantissant que les personnes déplacées sont pourvues d’une aide (telles les indemnités de déplacement) pendant la réinstallation.</w:t>
            </w:r>
          </w:p>
        </w:tc>
      </w:tr>
      <w:tr w:rsidR="006B2C01" w:rsidRPr="007F78CE" w14:paraId="30668A11" w14:textId="77777777" w:rsidTr="00B434A6">
        <w:trPr>
          <w:cantSplit/>
          <w:jc w:val="center"/>
        </w:trPr>
        <w:tc>
          <w:tcPr>
            <w:tcW w:w="5215" w:type="dxa"/>
            <w:vMerge/>
          </w:tcPr>
          <w:p w14:paraId="29561D71" w14:textId="77777777" w:rsidR="006B2C01" w:rsidRDefault="006B2C01" w:rsidP="00D12C6F">
            <w:pPr>
              <w:pStyle w:val="Tabletext"/>
              <w:rPr>
                <w:rFonts w:ascii="Calibri" w:eastAsia="MS Mincho" w:hAnsi="Calibri" w:cs="Arial"/>
              </w:rPr>
            </w:pPr>
          </w:p>
        </w:tc>
        <w:tc>
          <w:tcPr>
            <w:tcW w:w="5850" w:type="dxa"/>
            <w:shd w:val="clear" w:color="auto" w:fill="auto"/>
          </w:tcPr>
          <w:p w14:paraId="67B44201" w14:textId="77777777" w:rsidR="006B2C01" w:rsidRPr="00CD704F" w:rsidRDefault="006B2C01" w:rsidP="00D12C6F">
            <w:pPr>
              <w:pStyle w:val="TableParagraph"/>
              <w:spacing w:before="121"/>
              <w:ind w:left="68" w:right="60"/>
              <w:rPr>
                <w:sz w:val="20"/>
                <w:szCs w:val="20"/>
              </w:rPr>
            </w:pPr>
            <w:r w:rsidRPr="00CD704F">
              <w:rPr>
                <w:sz w:val="20"/>
                <w:szCs w:val="20"/>
              </w:rPr>
              <w:t>En cas de relocalisation physique, le plan de réinstallation inclut les mesures garantissant que les personnes déplacées sont pourvues de logements ou de terrains à bâtir, ou, selon les exigences posées, de terrains agricoles présentant une combinaison de potentiel productif, d’avantages géographiques et autres facteurs au moins équivalente aux avantages du site</w:t>
            </w:r>
            <w:r>
              <w:rPr>
                <w:sz w:val="20"/>
                <w:szCs w:val="20"/>
              </w:rPr>
              <w:t xml:space="preserve"> </w:t>
            </w:r>
            <w:r w:rsidRPr="00CD704F">
              <w:rPr>
                <w:sz w:val="20"/>
                <w:szCs w:val="20"/>
              </w:rPr>
              <w:t>antérieur.</w:t>
            </w:r>
          </w:p>
        </w:tc>
        <w:tc>
          <w:tcPr>
            <w:tcW w:w="3594" w:type="dxa"/>
            <w:shd w:val="clear" w:color="auto" w:fill="auto"/>
          </w:tcPr>
          <w:p w14:paraId="095504EC" w14:textId="77777777" w:rsidR="006B2C01" w:rsidRPr="00B434A6" w:rsidRDefault="006B2C01" w:rsidP="00B434A6">
            <w:pPr>
              <w:pStyle w:val="TableParagraph"/>
              <w:spacing w:before="0" w:beforeAutospacing="0" w:after="120" w:afterAutospacing="0"/>
              <w:ind w:left="68"/>
              <w:rPr>
                <w:rFonts w:ascii="Calibri" w:hAnsi="Calibri" w:cs="Calibri"/>
                <w:sz w:val="20"/>
                <w:szCs w:val="20"/>
              </w:rPr>
            </w:pPr>
            <w:r w:rsidRPr="007F78CE">
              <w:rPr>
                <w:rFonts w:ascii="Cambria" w:hAnsi="Cambria"/>
                <w:sz w:val="20"/>
              </w:rPr>
              <w:t xml:space="preserve">Les exigences de la NES5 sont des dispositions plus précises. Elles sont </w:t>
            </w:r>
            <w:r w:rsidRPr="00B434A6">
              <w:rPr>
                <w:rFonts w:ascii="Calibri" w:hAnsi="Calibri" w:cs="Calibri"/>
                <w:sz w:val="20"/>
                <w:szCs w:val="20"/>
              </w:rPr>
              <w:t>applicables et non contraires aux textes malagasy.</w:t>
            </w:r>
          </w:p>
          <w:p w14:paraId="1DAA7C12" w14:textId="77777777" w:rsidR="006B2C01" w:rsidRPr="007F78CE" w:rsidRDefault="006B2C01" w:rsidP="00B434A6">
            <w:pPr>
              <w:pStyle w:val="TableParagraph"/>
              <w:spacing w:before="0" w:beforeAutospacing="0" w:after="120" w:afterAutospacing="0"/>
              <w:ind w:left="68"/>
              <w:rPr>
                <w:sz w:val="20"/>
              </w:rPr>
            </w:pPr>
            <w:r w:rsidRPr="00B434A6">
              <w:rPr>
                <w:rFonts w:ascii="Calibri" w:hAnsi="Calibri" w:cs="Calibri"/>
                <w:sz w:val="20"/>
                <w:szCs w:val="20"/>
              </w:rPr>
              <w:t>Les</w:t>
            </w:r>
            <w:r w:rsidRPr="007F78CE">
              <w:rPr>
                <w:rFonts w:ascii="Cambria" w:hAnsi="Cambria"/>
                <w:sz w:val="20"/>
              </w:rPr>
              <w:t xml:space="preserve"> dispositions de la NES 5 seront appliquées</w:t>
            </w:r>
          </w:p>
        </w:tc>
      </w:tr>
      <w:tr w:rsidR="006B2C01" w:rsidRPr="007F78CE" w14:paraId="32E057AD" w14:textId="77777777" w:rsidTr="00B434A6">
        <w:trPr>
          <w:cantSplit/>
          <w:jc w:val="center"/>
        </w:trPr>
        <w:tc>
          <w:tcPr>
            <w:tcW w:w="5215" w:type="dxa"/>
            <w:vMerge/>
          </w:tcPr>
          <w:p w14:paraId="68CB8B9C" w14:textId="77777777" w:rsidR="006B2C01" w:rsidRDefault="006B2C01" w:rsidP="00D12C6F">
            <w:pPr>
              <w:pStyle w:val="Tabletext"/>
              <w:rPr>
                <w:rFonts w:ascii="Calibri" w:eastAsia="MS Mincho" w:hAnsi="Calibri" w:cs="Arial"/>
              </w:rPr>
            </w:pPr>
          </w:p>
        </w:tc>
        <w:tc>
          <w:tcPr>
            <w:tcW w:w="5850" w:type="dxa"/>
            <w:shd w:val="clear" w:color="auto" w:fill="auto"/>
          </w:tcPr>
          <w:p w14:paraId="63B7CCEA" w14:textId="77777777" w:rsidR="006B2C01" w:rsidRPr="00CD704F" w:rsidRDefault="006B2C01" w:rsidP="00D12C6F">
            <w:pPr>
              <w:pStyle w:val="TableParagraph"/>
              <w:spacing w:before="1"/>
              <w:ind w:left="68" w:right="61"/>
              <w:rPr>
                <w:sz w:val="20"/>
                <w:szCs w:val="20"/>
              </w:rPr>
            </w:pPr>
            <w:r>
              <w:rPr>
                <w:sz w:val="20"/>
                <w:szCs w:val="20"/>
              </w:rPr>
              <w:t>L</w:t>
            </w:r>
            <w:r w:rsidRPr="00CD704F">
              <w:rPr>
                <w:sz w:val="20"/>
                <w:szCs w:val="20"/>
              </w:rPr>
              <w:t>es personnes se présentant après la date d’éligibilité (art.20 in fine Loi n°62-023) sont déchues de tout droit à indemnité.</w:t>
            </w:r>
          </w:p>
        </w:tc>
        <w:tc>
          <w:tcPr>
            <w:tcW w:w="3594" w:type="dxa"/>
            <w:shd w:val="clear" w:color="auto" w:fill="auto"/>
          </w:tcPr>
          <w:p w14:paraId="1D3D26C5" w14:textId="77777777" w:rsidR="006B2C01" w:rsidRPr="007F78CE" w:rsidRDefault="006B2C01" w:rsidP="00B434A6">
            <w:pPr>
              <w:pStyle w:val="TableParagraph"/>
              <w:spacing w:before="0" w:beforeAutospacing="0" w:after="120" w:afterAutospacing="0"/>
              <w:ind w:left="68"/>
              <w:rPr>
                <w:rFonts w:ascii="Cambria" w:hAnsi="Cambria"/>
                <w:b/>
                <w:smallCaps/>
                <w:color w:val="000000"/>
                <w:sz w:val="20"/>
              </w:rPr>
            </w:pPr>
            <w:r w:rsidRPr="007F78CE">
              <w:rPr>
                <w:rFonts w:ascii="Cambria" w:hAnsi="Cambria"/>
                <w:sz w:val="20"/>
              </w:rPr>
              <w:t>Les exigences de la NES5 sont des dispositions plus précises. Elles sont applicables et non contraires aux textes malagasy.</w:t>
            </w:r>
          </w:p>
          <w:p w14:paraId="4E050D69" w14:textId="77777777" w:rsidR="006B2C01" w:rsidRPr="007F78CE" w:rsidRDefault="006B2C01" w:rsidP="00B434A6">
            <w:pPr>
              <w:pStyle w:val="TableParagraph"/>
              <w:spacing w:before="0" w:beforeAutospacing="0" w:after="120" w:afterAutospacing="0"/>
              <w:ind w:left="68"/>
              <w:rPr>
                <w:rFonts w:ascii="Cambria" w:hAnsi="Cambria"/>
                <w:b/>
                <w:smallCaps/>
                <w:color w:val="000000"/>
                <w:sz w:val="20"/>
              </w:rPr>
            </w:pPr>
            <w:r w:rsidRPr="007F78CE">
              <w:rPr>
                <w:rFonts w:ascii="Cambria" w:hAnsi="Cambria"/>
                <w:sz w:val="20"/>
              </w:rPr>
              <w:t>Les dispositions de la NES 5 seront appliquées</w:t>
            </w:r>
          </w:p>
        </w:tc>
      </w:tr>
      <w:tr w:rsidR="006B2C01" w:rsidRPr="007F78CE" w14:paraId="36C181AA" w14:textId="77777777" w:rsidTr="00B434A6">
        <w:trPr>
          <w:cantSplit/>
          <w:jc w:val="center"/>
        </w:trPr>
        <w:tc>
          <w:tcPr>
            <w:tcW w:w="5215" w:type="dxa"/>
            <w:vMerge/>
          </w:tcPr>
          <w:p w14:paraId="63905C37" w14:textId="77777777" w:rsidR="006B2C01" w:rsidRDefault="006B2C01" w:rsidP="00D12C6F">
            <w:pPr>
              <w:pStyle w:val="Tabletext"/>
              <w:rPr>
                <w:rFonts w:ascii="Calibri" w:eastAsia="MS Mincho" w:hAnsi="Calibri" w:cs="Arial"/>
              </w:rPr>
            </w:pPr>
          </w:p>
        </w:tc>
        <w:tc>
          <w:tcPr>
            <w:tcW w:w="5850" w:type="dxa"/>
            <w:shd w:val="clear" w:color="auto" w:fill="auto"/>
          </w:tcPr>
          <w:p w14:paraId="342E980D" w14:textId="77777777" w:rsidR="006B2C01" w:rsidRPr="00CD704F" w:rsidRDefault="006B2C01" w:rsidP="00D12C6F">
            <w:pPr>
              <w:pStyle w:val="TableParagraph"/>
              <w:ind w:left="68" w:right="61"/>
              <w:rPr>
                <w:sz w:val="20"/>
                <w:szCs w:val="20"/>
              </w:rPr>
            </w:pPr>
            <w:r w:rsidRPr="00CD704F">
              <w:rPr>
                <w:sz w:val="20"/>
                <w:szCs w:val="20"/>
              </w:rPr>
              <w:t xml:space="preserve">Les textes ne prévoient pas </w:t>
            </w:r>
            <w:r>
              <w:rPr>
                <w:sz w:val="20"/>
                <w:szCs w:val="20"/>
              </w:rPr>
              <w:t xml:space="preserve">une négociation </w:t>
            </w:r>
            <w:r w:rsidRPr="00CD704F">
              <w:rPr>
                <w:i/>
                <w:sz w:val="20"/>
                <w:szCs w:val="20"/>
              </w:rPr>
              <w:t xml:space="preserve">in- situ </w:t>
            </w:r>
            <w:r w:rsidRPr="00CD704F">
              <w:rPr>
                <w:sz w:val="20"/>
                <w:szCs w:val="20"/>
              </w:rPr>
              <w:t>des dispositions d’aménagement du territoire par lesquelles les personnes affectées peuvent choisir d’accepter</w:t>
            </w:r>
          </w:p>
          <w:p w14:paraId="7A8BFE0A" w14:textId="77777777" w:rsidR="006B2C01" w:rsidRPr="0039277C" w:rsidRDefault="00101231" w:rsidP="00D12C6F">
            <w:pPr>
              <w:pStyle w:val="TableParagraph"/>
              <w:tabs>
                <w:tab w:val="left" w:pos="218"/>
              </w:tabs>
              <w:ind w:left="68" w:right="61"/>
              <w:rPr>
                <w:sz w:val="20"/>
                <w:szCs w:val="20"/>
              </w:rPr>
            </w:pPr>
            <w:r>
              <w:rPr>
                <w:sz w:val="20"/>
                <w:szCs w:val="20"/>
              </w:rPr>
              <w:t>U</w:t>
            </w:r>
            <w:r w:rsidR="006B2C01" w:rsidRPr="0039277C">
              <w:rPr>
                <w:sz w:val="20"/>
                <w:szCs w:val="20"/>
              </w:rPr>
              <w:t>ne perte partielle de terres ou la relocalisation en échange d’améliorations qui permettront d’accroître la valeur de leur propriété après le développement.</w:t>
            </w:r>
          </w:p>
          <w:p w14:paraId="679DC53C" w14:textId="77777777" w:rsidR="006B2C01" w:rsidRPr="00CD704F" w:rsidRDefault="006B2C01" w:rsidP="00D12C6F">
            <w:pPr>
              <w:pStyle w:val="TableParagraph"/>
              <w:spacing w:before="1"/>
              <w:ind w:left="68" w:right="61"/>
              <w:rPr>
                <w:sz w:val="20"/>
                <w:szCs w:val="20"/>
              </w:rPr>
            </w:pPr>
            <w:r w:rsidRPr="00CD704F">
              <w:rPr>
                <w:sz w:val="20"/>
                <w:szCs w:val="20"/>
              </w:rPr>
              <w:t>Toutefois, il faut noter qu’en cas de plus-value de plus de 30% apportée à la valeur de la propriété, la loi exige le paiement d’une redevance évaluée au montant de l’amélioration</w:t>
            </w:r>
          </w:p>
        </w:tc>
        <w:tc>
          <w:tcPr>
            <w:tcW w:w="3594" w:type="dxa"/>
            <w:shd w:val="clear" w:color="auto" w:fill="auto"/>
          </w:tcPr>
          <w:p w14:paraId="2AA47586" w14:textId="77777777" w:rsidR="006B2C01" w:rsidRPr="00B434A6" w:rsidRDefault="006B2C01" w:rsidP="00B434A6">
            <w:pPr>
              <w:pStyle w:val="TableParagraph"/>
              <w:spacing w:before="0" w:beforeAutospacing="0" w:after="120" w:afterAutospacing="0"/>
              <w:ind w:left="68"/>
              <w:rPr>
                <w:rFonts w:ascii="Cambria" w:hAnsi="Cambria"/>
                <w:sz w:val="20"/>
              </w:rPr>
            </w:pPr>
            <w:r w:rsidRPr="007F78CE">
              <w:rPr>
                <w:rFonts w:ascii="Cambria" w:hAnsi="Cambria"/>
                <w:sz w:val="20"/>
              </w:rPr>
              <w:t>Les exigences de la NES5 sont des dispositions plus précises.</w:t>
            </w:r>
          </w:p>
          <w:p w14:paraId="023D70A6" w14:textId="77777777" w:rsidR="006B2C01" w:rsidRPr="007F78CE" w:rsidRDefault="006B2C01" w:rsidP="00B434A6">
            <w:pPr>
              <w:pStyle w:val="TableParagraph"/>
              <w:spacing w:before="0" w:beforeAutospacing="0" w:after="120" w:afterAutospacing="0"/>
              <w:ind w:left="68"/>
              <w:rPr>
                <w:rFonts w:ascii="Cambria" w:hAnsi="Cambria"/>
                <w:b/>
                <w:smallCaps/>
                <w:color w:val="000000"/>
                <w:sz w:val="20"/>
              </w:rPr>
            </w:pPr>
            <w:r w:rsidRPr="007F78CE">
              <w:rPr>
                <w:rFonts w:ascii="Cambria" w:hAnsi="Cambria"/>
                <w:sz w:val="20"/>
              </w:rPr>
              <w:t>La relocalisation peut être une réponse au développement de la valeur de la propriété. Elles sont applicables et non contraires aux textes malagasy.</w:t>
            </w:r>
          </w:p>
          <w:p w14:paraId="0A17310D" w14:textId="77777777" w:rsidR="006B2C01" w:rsidRPr="007F78CE" w:rsidRDefault="006B2C01" w:rsidP="00B434A6">
            <w:pPr>
              <w:pStyle w:val="TableParagraph"/>
              <w:spacing w:before="0" w:beforeAutospacing="0" w:after="120" w:afterAutospacing="0"/>
              <w:ind w:left="68"/>
              <w:rPr>
                <w:rFonts w:ascii="Cambria" w:hAnsi="Cambria"/>
                <w:b/>
                <w:smallCaps/>
                <w:color w:val="000000"/>
                <w:sz w:val="20"/>
              </w:rPr>
            </w:pPr>
            <w:r w:rsidRPr="007F78CE">
              <w:rPr>
                <w:rFonts w:ascii="Cambria" w:hAnsi="Cambria"/>
                <w:sz w:val="20"/>
              </w:rPr>
              <w:t>Les dispositions de la NES 5 seront appliquées</w:t>
            </w:r>
          </w:p>
        </w:tc>
      </w:tr>
      <w:tr w:rsidR="006B2C01" w:rsidRPr="007F78CE" w14:paraId="14A10D73" w14:textId="77777777" w:rsidTr="00B434A6">
        <w:trPr>
          <w:cantSplit/>
          <w:jc w:val="center"/>
        </w:trPr>
        <w:tc>
          <w:tcPr>
            <w:tcW w:w="5215" w:type="dxa"/>
            <w:vMerge/>
          </w:tcPr>
          <w:p w14:paraId="38981B3C" w14:textId="77777777" w:rsidR="006B2C01" w:rsidRDefault="006B2C01" w:rsidP="00D12C6F">
            <w:pPr>
              <w:pStyle w:val="Tabletext"/>
              <w:rPr>
                <w:rFonts w:ascii="Calibri" w:eastAsia="MS Mincho" w:hAnsi="Calibri" w:cs="Arial"/>
              </w:rPr>
            </w:pPr>
          </w:p>
        </w:tc>
        <w:tc>
          <w:tcPr>
            <w:tcW w:w="5850" w:type="dxa"/>
            <w:shd w:val="clear" w:color="auto" w:fill="auto"/>
          </w:tcPr>
          <w:p w14:paraId="3E59981A" w14:textId="77777777" w:rsidR="006B2C01" w:rsidRPr="00CD704F" w:rsidRDefault="006B2C01" w:rsidP="00D12C6F">
            <w:pPr>
              <w:pStyle w:val="TableParagraph"/>
              <w:spacing w:before="1"/>
              <w:ind w:left="68" w:right="61"/>
              <w:rPr>
                <w:sz w:val="20"/>
                <w:szCs w:val="20"/>
              </w:rPr>
            </w:pPr>
            <w:r>
              <w:rPr>
                <w:sz w:val="20"/>
                <w:szCs w:val="20"/>
              </w:rPr>
              <w:t>Les textes ne prévoient pas la disposition de la NES 5 relative au fait que t</w:t>
            </w:r>
            <w:r w:rsidRPr="00CD704F">
              <w:rPr>
                <w:sz w:val="20"/>
                <w:szCs w:val="20"/>
              </w:rPr>
              <w:t>oute personne, ne souhaitant pas participer</w:t>
            </w:r>
            <w:r>
              <w:rPr>
                <w:sz w:val="20"/>
                <w:szCs w:val="20"/>
              </w:rPr>
              <w:t xml:space="preserve"> à la négociation d’alternative au déplacement sera autorisée à opter pour </w:t>
            </w:r>
            <w:r w:rsidRPr="00CD704F">
              <w:rPr>
                <w:sz w:val="20"/>
                <w:szCs w:val="20"/>
              </w:rPr>
              <w:t>une indemnisation intégrale et</w:t>
            </w:r>
            <w:r>
              <w:rPr>
                <w:sz w:val="20"/>
                <w:szCs w:val="20"/>
              </w:rPr>
              <w:t xml:space="preserve"> </w:t>
            </w:r>
            <w:r w:rsidRPr="00CD704F">
              <w:rPr>
                <w:sz w:val="20"/>
                <w:szCs w:val="20"/>
              </w:rPr>
              <w:t>toute autre assistance conforme à la présente norme.</w:t>
            </w:r>
          </w:p>
        </w:tc>
        <w:tc>
          <w:tcPr>
            <w:tcW w:w="3594" w:type="dxa"/>
            <w:shd w:val="clear" w:color="auto" w:fill="auto"/>
          </w:tcPr>
          <w:p w14:paraId="0E2CE5FB" w14:textId="77777777" w:rsidR="006B2C01" w:rsidRPr="007F78CE" w:rsidRDefault="006B2C01" w:rsidP="00B434A6">
            <w:pPr>
              <w:pStyle w:val="TableParagraph"/>
              <w:spacing w:before="0" w:beforeAutospacing="0" w:after="120" w:afterAutospacing="0"/>
              <w:ind w:left="68"/>
              <w:rPr>
                <w:rFonts w:ascii="Cambria" w:hAnsi="Cambria"/>
                <w:b/>
                <w:smallCaps/>
                <w:color w:val="000000"/>
                <w:sz w:val="20"/>
              </w:rPr>
            </w:pPr>
            <w:r w:rsidRPr="007F78CE">
              <w:rPr>
                <w:rFonts w:ascii="Cambria" w:hAnsi="Cambria"/>
                <w:sz w:val="20"/>
              </w:rPr>
              <w:t>Les exigences de la NES5 sont des dispositions plus précises. Elles sont applicables et non contraires aux textes malagasy.</w:t>
            </w:r>
          </w:p>
          <w:p w14:paraId="6B7F7B10" w14:textId="77777777" w:rsidR="006B2C01" w:rsidRPr="007F78CE" w:rsidRDefault="006B2C01" w:rsidP="00B434A6">
            <w:pPr>
              <w:pStyle w:val="TableParagraph"/>
              <w:spacing w:before="0" w:beforeAutospacing="0" w:after="120" w:afterAutospacing="0"/>
              <w:ind w:left="68"/>
              <w:rPr>
                <w:rFonts w:ascii="Cambria" w:hAnsi="Cambria"/>
                <w:b/>
                <w:smallCaps/>
                <w:color w:val="000000"/>
                <w:sz w:val="20"/>
              </w:rPr>
            </w:pPr>
            <w:r w:rsidRPr="007F78CE">
              <w:rPr>
                <w:rFonts w:ascii="Cambria" w:hAnsi="Cambria"/>
                <w:sz w:val="20"/>
              </w:rPr>
              <w:t>Les dispositions de la NES 5 seront appliquées</w:t>
            </w:r>
          </w:p>
        </w:tc>
      </w:tr>
      <w:tr w:rsidR="006B2C01" w:rsidRPr="007F78CE" w14:paraId="79DF80EE" w14:textId="77777777" w:rsidTr="00B434A6">
        <w:trPr>
          <w:cantSplit/>
          <w:jc w:val="center"/>
        </w:trPr>
        <w:tc>
          <w:tcPr>
            <w:tcW w:w="5215" w:type="dxa"/>
            <w:vMerge w:val="restart"/>
          </w:tcPr>
          <w:p w14:paraId="018DB957" w14:textId="77777777" w:rsidR="006B2C01" w:rsidRDefault="006B2C01" w:rsidP="00D12C6F">
            <w:pPr>
              <w:pStyle w:val="Tabletext"/>
              <w:rPr>
                <w:rFonts w:ascii="Calibri" w:eastAsia="MS Mincho" w:hAnsi="Calibri" w:cs="Arial"/>
              </w:rPr>
            </w:pPr>
            <w:r>
              <w:rPr>
                <w:rFonts w:ascii="Calibri" w:eastAsia="MS Mincho" w:hAnsi="Calibri" w:cs="Arial"/>
              </w:rPr>
              <w:t>Au besoin, mettre en œuvre un plan contenant des mesures pour aider les personnes touchées à améliorer, ou tout au moins rétablir, leurs revenus ou moyens de subsistance, et faire en sorte ces prestations soient accordées d’une manière transparente, cohérente et équitable.</w:t>
            </w:r>
          </w:p>
          <w:p w14:paraId="350BF9CD" w14:textId="77777777" w:rsidR="006B2C01" w:rsidRDefault="006B2C01" w:rsidP="00D12C6F">
            <w:pPr>
              <w:rPr>
                <w:rFonts w:eastAsia="MS Mincho" w:cs="Arial"/>
                <w:i/>
                <w:iCs/>
                <w:u w:val="single"/>
              </w:rPr>
            </w:pPr>
            <w:r>
              <w:rPr>
                <w:rFonts w:eastAsia="MS Mincho" w:cs="Arial"/>
                <w:i/>
                <w:iCs/>
              </w:rPr>
              <w:t>Paragraphes 33 à 36</w:t>
            </w:r>
          </w:p>
        </w:tc>
        <w:tc>
          <w:tcPr>
            <w:tcW w:w="5850" w:type="dxa"/>
            <w:shd w:val="clear" w:color="auto" w:fill="auto"/>
          </w:tcPr>
          <w:p w14:paraId="277AF3FC" w14:textId="77777777" w:rsidR="006B2C01" w:rsidRDefault="006B2C01" w:rsidP="00D12C6F">
            <w:pPr>
              <w:pStyle w:val="TableParagraph"/>
              <w:ind w:left="68" w:right="59"/>
              <w:rPr>
                <w:sz w:val="20"/>
                <w:szCs w:val="20"/>
              </w:rPr>
            </w:pPr>
            <w:r w:rsidRPr="00CD704F">
              <w:rPr>
                <w:sz w:val="20"/>
                <w:szCs w:val="20"/>
              </w:rPr>
              <w:t>Les promoteurs doivent prêter une attention particulière aux couches les plus vulnérables c'est- à-dire celles qui vivent en-deçà du seuil de pauvreté, les travailleurs sans terre, les femmes et les enfants, les populations autochtones, les minorités ethniques et toutes autres personnes déplacées risquant de ne pas être protégées par la législation nationale relative à la compensation foncière.</w:t>
            </w:r>
          </w:p>
          <w:p w14:paraId="32EEC69A" w14:textId="77777777" w:rsidR="006B2C01" w:rsidRPr="00CD704F" w:rsidRDefault="006B2C01" w:rsidP="00D12C6F">
            <w:pPr>
              <w:pStyle w:val="TableParagraph"/>
              <w:ind w:left="68" w:right="59"/>
              <w:rPr>
                <w:sz w:val="20"/>
                <w:szCs w:val="20"/>
              </w:rPr>
            </w:pPr>
            <w:r w:rsidRPr="00CD704F">
              <w:rPr>
                <w:sz w:val="20"/>
                <w:szCs w:val="20"/>
              </w:rPr>
              <w:t>Annexe 7 Guide EIS</w:t>
            </w:r>
          </w:p>
        </w:tc>
        <w:tc>
          <w:tcPr>
            <w:tcW w:w="3594" w:type="dxa"/>
            <w:shd w:val="clear" w:color="auto" w:fill="auto"/>
          </w:tcPr>
          <w:p w14:paraId="0D45DF0C" w14:textId="77777777" w:rsidR="006B2C01" w:rsidRPr="007F78CE" w:rsidRDefault="006B2C01" w:rsidP="00B434A6">
            <w:pPr>
              <w:spacing w:after="120"/>
              <w:rPr>
                <w:rFonts w:ascii="Cambria" w:eastAsia="Times New Roman" w:hAnsi="Cambria"/>
                <w:b/>
                <w:smallCaps/>
                <w:color w:val="000000"/>
                <w:sz w:val="20"/>
              </w:rPr>
            </w:pPr>
            <w:r w:rsidRPr="007F78CE">
              <w:rPr>
                <w:rFonts w:ascii="Cambria" w:hAnsi="Cambria"/>
                <w:sz w:val="20"/>
              </w:rPr>
              <w:t>Les exigences de la NES5 sont des dispositions plus précises. Elles sont applicables et non contraires aux textes malagasy.</w:t>
            </w:r>
          </w:p>
          <w:p w14:paraId="4C8A8A11" w14:textId="77777777" w:rsidR="006B2C01" w:rsidRPr="007F78CE" w:rsidRDefault="006B2C01" w:rsidP="00B434A6">
            <w:pPr>
              <w:spacing w:after="120"/>
              <w:rPr>
                <w:rFonts w:ascii="arial gras" w:eastAsia="Times New Roman" w:hAnsi="arial gras"/>
                <w:b/>
                <w:smallCaps/>
                <w:color w:val="000000"/>
                <w:sz w:val="20"/>
              </w:rPr>
            </w:pPr>
            <w:r w:rsidRPr="007F78CE">
              <w:rPr>
                <w:rFonts w:ascii="Cambria" w:hAnsi="Cambria"/>
                <w:sz w:val="20"/>
              </w:rPr>
              <w:t>Les dispositions de la NES 5 seront appliquées</w:t>
            </w:r>
          </w:p>
        </w:tc>
      </w:tr>
      <w:tr w:rsidR="006B2C01" w:rsidRPr="007F78CE" w14:paraId="534D2264" w14:textId="77777777" w:rsidTr="00B434A6">
        <w:trPr>
          <w:cantSplit/>
          <w:jc w:val="center"/>
        </w:trPr>
        <w:tc>
          <w:tcPr>
            <w:tcW w:w="5215" w:type="dxa"/>
            <w:vMerge/>
          </w:tcPr>
          <w:p w14:paraId="0E622F63" w14:textId="77777777" w:rsidR="006B2C01" w:rsidRDefault="006B2C01" w:rsidP="00D12C6F">
            <w:pPr>
              <w:pStyle w:val="Tabletext"/>
              <w:rPr>
                <w:rFonts w:ascii="Calibri" w:eastAsia="MS Mincho" w:hAnsi="Calibri" w:cs="Arial"/>
              </w:rPr>
            </w:pPr>
          </w:p>
        </w:tc>
        <w:tc>
          <w:tcPr>
            <w:tcW w:w="5850" w:type="dxa"/>
            <w:shd w:val="clear" w:color="auto" w:fill="auto"/>
          </w:tcPr>
          <w:p w14:paraId="67C0A56E" w14:textId="77777777" w:rsidR="006B2C01" w:rsidRDefault="006B2C01" w:rsidP="00D12C6F">
            <w:pPr>
              <w:pStyle w:val="TableParagraph"/>
              <w:ind w:left="68" w:right="63"/>
              <w:rPr>
                <w:sz w:val="20"/>
                <w:szCs w:val="20"/>
              </w:rPr>
            </w:pPr>
            <w:r w:rsidRPr="00CD704F">
              <w:rPr>
                <w:sz w:val="20"/>
                <w:szCs w:val="20"/>
              </w:rPr>
              <w:t>Le plan de réinstallation inclut les mesures garantissant que les personnes déplacées sont pourvues rapidement d’une compensation effective au coût intégral de remplacement pour les pertes de biens directement attribuables au projet.</w:t>
            </w:r>
          </w:p>
          <w:p w14:paraId="64975D34" w14:textId="77777777" w:rsidR="006B2C01" w:rsidRDefault="006B2C01" w:rsidP="00D12C6F">
            <w:pPr>
              <w:pStyle w:val="TableParagraph"/>
              <w:ind w:left="68" w:right="63"/>
              <w:rPr>
                <w:sz w:val="20"/>
                <w:szCs w:val="20"/>
              </w:rPr>
            </w:pPr>
          </w:p>
          <w:p w14:paraId="1DDF717A" w14:textId="77777777" w:rsidR="006B2C01" w:rsidRPr="00CD704F" w:rsidRDefault="006B2C01" w:rsidP="00D12C6F">
            <w:pPr>
              <w:pStyle w:val="TableParagraph"/>
              <w:ind w:left="68" w:right="63"/>
              <w:rPr>
                <w:sz w:val="20"/>
                <w:szCs w:val="20"/>
              </w:rPr>
            </w:pPr>
            <w:r w:rsidRPr="00CD704F">
              <w:rPr>
                <w:sz w:val="20"/>
                <w:szCs w:val="20"/>
              </w:rPr>
              <w:t>Annexe 7 Guide EIS</w:t>
            </w:r>
          </w:p>
        </w:tc>
        <w:tc>
          <w:tcPr>
            <w:tcW w:w="3594" w:type="dxa"/>
            <w:shd w:val="clear" w:color="auto" w:fill="auto"/>
          </w:tcPr>
          <w:p w14:paraId="20112A24" w14:textId="77777777" w:rsidR="006B2C01" w:rsidRPr="007F78CE" w:rsidRDefault="006B2C01" w:rsidP="00B434A6">
            <w:pPr>
              <w:spacing w:after="120"/>
              <w:rPr>
                <w:rFonts w:ascii="Cambria" w:eastAsia="Times New Roman" w:hAnsi="Cambria"/>
                <w:b/>
                <w:smallCaps/>
                <w:color w:val="000000"/>
                <w:sz w:val="20"/>
              </w:rPr>
            </w:pPr>
            <w:r w:rsidRPr="007F78CE">
              <w:rPr>
                <w:rFonts w:ascii="Cambria" w:hAnsi="Cambria"/>
                <w:sz w:val="20"/>
              </w:rPr>
              <w:t>Les exigences de la NES5 sont des dispositions plus précises. Elles sont applicables et non contraires aux textes malagasy.</w:t>
            </w:r>
          </w:p>
          <w:p w14:paraId="4D8A723B" w14:textId="77777777" w:rsidR="006B2C01" w:rsidRPr="007F78CE" w:rsidRDefault="006B2C01" w:rsidP="00B434A6">
            <w:pPr>
              <w:spacing w:after="120"/>
              <w:rPr>
                <w:rFonts w:ascii="arial gras" w:eastAsia="Times New Roman" w:hAnsi="arial gras"/>
                <w:b/>
                <w:smallCaps/>
                <w:color w:val="000000"/>
                <w:sz w:val="20"/>
              </w:rPr>
            </w:pPr>
            <w:r w:rsidRPr="007F78CE">
              <w:rPr>
                <w:rFonts w:ascii="Cambria" w:hAnsi="Cambria"/>
                <w:sz w:val="20"/>
              </w:rPr>
              <w:t>Les dispositions de la NES 5 seront appliquées</w:t>
            </w:r>
          </w:p>
        </w:tc>
      </w:tr>
      <w:tr w:rsidR="006B2C01" w:rsidRPr="007F78CE" w14:paraId="2E7F2FD8" w14:textId="77777777" w:rsidTr="00B434A6">
        <w:trPr>
          <w:cantSplit/>
          <w:jc w:val="center"/>
        </w:trPr>
        <w:tc>
          <w:tcPr>
            <w:tcW w:w="5215" w:type="dxa"/>
            <w:vMerge/>
          </w:tcPr>
          <w:p w14:paraId="512D31D1" w14:textId="77777777" w:rsidR="006B2C01" w:rsidRDefault="006B2C01" w:rsidP="00D12C6F">
            <w:pPr>
              <w:pStyle w:val="Tabletext"/>
              <w:rPr>
                <w:rFonts w:ascii="Calibri" w:eastAsia="MS Mincho" w:hAnsi="Calibri" w:cs="Arial"/>
              </w:rPr>
            </w:pPr>
          </w:p>
        </w:tc>
        <w:tc>
          <w:tcPr>
            <w:tcW w:w="5850" w:type="dxa"/>
            <w:shd w:val="clear" w:color="auto" w:fill="auto"/>
          </w:tcPr>
          <w:p w14:paraId="4DDCF072" w14:textId="77777777" w:rsidR="006B2C01" w:rsidRDefault="006B2C01" w:rsidP="00D12C6F">
            <w:pPr>
              <w:pStyle w:val="TableParagraph"/>
              <w:ind w:left="68"/>
              <w:rPr>
                <w:sz w:val="20"/>
                <w:szCs w:val="20"/>
              </w:rPr>
            </w:pPr>
            <w:r>
              <w:rPr>
                <w:sz w:val="20"/>
                <w:szCs w:val="20"/>
              </w:rPr>
              <w:t>En cas de déplacement économique, les textes prévoient une p</w:t>
            </w:r>
            <w:r w:rsidRPr="00CD704F">
              <w:rPr>
                <w:sz w:val="20"/>
                <w:szCs w:val="20"/>
              </w:rPr>
              <w:t>ossibilité d’autres types de compensation qu’en espèces.</w:t>
            </w:r>
          </w:p>
          <w:p w14:paraId="3001373B" w14:textId="77777777" w:rsidR="006B2C01" w:rsidRDefault="006B2C01" w:rsidP="00D12C6F">
            <w:pPr>
              <w:pStyle w:val="TableParagraph"/>
              <w:ind w:left="68"/>
              <w:rPr>
                <w:sz w:val="20"/>
                <w:szCs w:val="20"/>
              </w:rPr>
            </w:pPr>
          </w:p>
          <w:p w14:paraId="39B0A8E7" w14:textId="77777777" w:rsidR="006B2C01" w:rsidRPr="00CD704F" w:rsidRDefault="006B2C01" w:rsidP="00D12C6F">
            <w:pPr>
              <w:pStyle w:val="TableParagraph"/>
              <w:ind w:left="68"/>
              <w:rPr>
                <w:sz w:val="20"/>
                <w:szCs w:val="20"/>
              </w:rPr>
            </w:pPr>
            <w:r w:rsidRPr="00CD704F">
              <w:rPr>
                <w:sz w:val="20"/>
                <w:szCs w:val="20"/>
              </w:rPr>
              <w:t>Art.44 Ord.62-023</w:t>
            </w:r>
          </w:p>
        </w:tc>
        <w:tc>
          <w:tcPr>
            <w:tcW w:w="3594" w:type="dxa"/>
            <w:shd w:val="clear" w:color="auto" w:fill="auto"/>
          </w:tcPr>
          <w:p w14:paraId="494C70EC" w14:textId="77777777" w:rsidR="006B2C01" w:rsidRPr="007F78CE" w:rsidRDefault="006B2C01" w:rsidP="00B434A6">
            <w:pPr>
              <w:spacing w:after="120"/>
              <w:rPr>
                <w:rFonts w:ascii="Cambria" w:eastAsia="Times New Roman" w:hAnsi="Cambria"/>
                <w:b/>
                <w:smallCaps/>
                <w:color w:val="000000"/>
                <w:sz w:val="20"/>
              </w:rPr>
            </w:pPr>
            <w:r w:rsidRPr="007F78CE">
              <w:rPr>
                <w:rFonts w:ascii="Cambria" w:hAnsi="Cambria"/>
                <w:sz w:val="20"/>
              </w:rPr>
              <w:t>Les exigences de la NES5 sont des dispositions plus précises. Elles sont applicables et non contraires aux textes malagasy.</w:t>
            </w:r>
          </w:p>
          <w:p w14:paraId="1494E0C2" w14:textId="77777777" w:rsidR="006B2C01" w:rsidRPr="007F78CE" w:rsidRDefault="006B2C01" w:rsidP="00B434A6">
            <w:pPr>
              <w:spacing w:after="120"/>
              <w:rPr>
                <w:rFonts w:ascii="arial gras" w:eastAsia="Times New Roman" w:hAnsi="arial gras"/>
                <w:b/>
                <w:smallCaps/>
                <w:color w:val="000000"/>
                <w:sz w:val="20"/>
              </w:rPr>
            </w:pPr>
            <w:r w:rsidRPr="007F78CE">
              <w:rPr>
                <w:rFonts w:ascii="Cambria" w:hAnsi="Cambria"/>
                <w:sz w:val="20"/>
              </w:rPr>
              <w:t>Les dispositions de la NES 5 seront appliquées</w:t>
            </w:r>
          </w:p>
        </w:tc>
      </w:tr>
      <w:tr w:rsidR="006B2C01" w:rsidRPr="007F78CE" w14:paraId="512F02F0" w14:textId="77777777" w:rsidTr="00B434A6">
        <w:trPr>
          <w:cantSplit/>
          <w:jc w:val="center"/>
        </w:trPr>
        <w:tc>
          <w:tcPr>
            <w:tcW w:w="5215" w:type="dxa"/>
            <w:vMerge/>
          </w:tcPr>
          <w:p w14:paraId="605B423D" w14:textId="77777777" w:rsidR="006B2C01" w:rsidRDefault="006B2C01" w:rsidP="00D12C6F">
            <w:pPr>
              <w:pStyle w:val="Tabletext"/>
              <w:rPr>
                <w:rFonts w:ascii="Calibri" w:eastAsia="MS Mincho" w:hAnsi="Calibri" w:cs="Arial"/>
              </w:rPr>
            </w:pPr>
          </w:p>
        </w:tc>
        <w:tc>
          <w:tcPr>
            <w:tcW w:w="5850" w:type="dxa"/>
            <w:shd w:val="clear" w:color="auto" w:fill="auto"/>
          </w:tcPr>
          <w:p w14:paraId="28091705" w14:textId="77777777" w:rsidR="006B2C01" w:rsidRPr="00CD704F" w:rsidRDefault="006B2C01" w:rsidP="00D12C6F">
            <w:pPr>
              <w:pStyle w:val="TableParagraph"/>
              <w:ind w:left="68"/>
              <w:rPr>
                <w:sz w:val="20"/>
                <w:szCs w:val="20"/>
              </w:rPr>
            </w:pPr>
            <w:r w:rsidRPr="00CD704F">
              <w:rPr>
                <w:sz w:val="20"/>
                <w:szCs w:val="20"/>
              </w:rPr>
              <w:t>Le paiement en espèces d’une compensation pour perte de biens est acceptable dans le cas où :</w:t>
            </w:r>
          </w:p>
          <w:p w14:paraId="7FC4F421" w14:textId="77777777" w:rsidR="006B2C01" w:rsidRPr="00CD704F" w:rsidRDefault="00224D29" w:rsidP="0044500E">
            <w:pPr>
              <w:pStyle w:val="TableParagraph"/>
              <w:numPr>
                <w:ilvl w:val="0"/>
                <w:numId w:val="147"/>
              </w:numPr>
              <w:tabs>
                <w:tab w:val="left" w:pos="268"/>
              </w:tabs>
              <w:spacing w:before="121" w:beforeAutospacing="0" w:after="0" w:afterAutospacing="0" w:line="240" w:lineRule="auto"/>
              <w:ind w:right="57" w:firstLine="0"/>
              <w:rPr>
                <w:sz w:val="20"/>
                <w:szCs w:val="20"/>
              </w:rPr>
            </w:pPr>
            <w:r>
              <w:rPr>
                <w:sz w:val="20"/>
                <w:szCs w:val="20"/>
              </w:rPr>
              <w:t>L</w:t>
            </w:r>
            <w:r w:rsidR="006B2C01" w:rsidRPr="00CD704F">
              <w:rPr>
                <w:sz w:val="20"/>
                <w:szCs w:val="20"/>
              </w:rPr>
              <w:t xml:space="preserve">es moyens d’existence étant tirés des ressources foncières, les terres prises par le projet ne représentent qu’une faible fraction de l’actif affecté et le reste de l’actif est économiquement </w:t>
            </w:r>
            <w:r w:rsidRPr="00CD704F">
              <w:rPr>
                <w:sz w:val="20"/>
                <w:szCs w:val="20"/>
              </w:rPr>
              <w:t>viable ;</w:t>
            </w:r>
          </w:p>
          <w:p w14:paraId="41D6839C" w14:textId="77777777" w:rsidR="006B2C01" w:rsidRPr="00CD704F" w:rsidRDefault="00224D29" w:rsidP="0044500E">
            <w:pPr>
              <w:pStyle w:val="TableParagraph"/>
              <w:numPr>
                <w:ilvl w:val="0"/>
                <w:numId w:val="147"/>
              </w:numPr>
              <w:tabs>
                <w:tab w:val="left" w:pos="299"/>
              </w:tabs>
              <w:spacing w:before="119" w:beforeAutospacing="0" w:after="0" w:afterAutospacing="0" w:line="240" w:lineRule="auto"/>
              <w:ind w:right="60" w:firstLine="0"/>
              <w:rPr>
                <w:sz w:val="20"/>
                <w:szCs w:val="20"/>
              </w:rPr>
            </w:pPr>
            <w:r>
              <w:rPr>
                <w:sz w:val="20"/>
                <w:szCs w:val="20"/>
              </w:rPr>
              <w:t>D</w:t>
            </w:r>
            <w:r w:rsidR="006B2C01" w:rsidRPr="00CD704F">
              <w:rPr>
                <w:sz w:val="20"/>
                <w:szCs w:val="20"/>
              </w:rPr>
              <w:t xml:space="preserve">es marchés actifs existent pour les terres, les logements et le travail, les personnes déplacées utilisent de tels marchés et il y a une offre disponible suffisante des terres et </w:t>
            </w:r>
            <w:r w:rsidRPr="00CD704F">
              <w:rPr>
                <w:sz w:val="20"/>
                <w:szCs w:val="20"/>
              </w:rPr>
              <w:t>d’habitations ;</w:t>
            </w:r>
            <w:r w:rsidR="006B2C01" w:rsidRPr="00CD704F">
              <w:rPr>
                <w:sz w:val="20"/>
                <w:szCs w:val="20"/>
              </w:rPr>
              <w:t xml:space="preserve"> ou enfin,</w:t>
            </w:r>
          </w:p>
          <w:p w14:paraId="5D83C79E" w14:textId="77777777" w:rsidR="006B2C01" w:rsidRDefault="00224D29" w:rsidP="00D12C6F">
            <w:pPr>
              <w:pStyle w:val="TableParagraph"/>
              <w:ind w:left="68"/>
              <w:rPr>
                <w:sz w:val="20"/>
                <w:szCs w:val="20"/>
              </w:rPr>
            </w:pPr>
            <w:r>
              <w:rPr>
                <w:sz w:val="20"/>
                <w:szCs w:val="20"/>
              </w:rPr>
              <w:t>L</w:t>
            </w:r>
            <w:r w:rsidR="006B2C01" w:rsidRPr="00CD704F">
              <w:rPr>
                <w:sz w:val="20"/>
                <w:szCs w:val="20"/>
              </w:rPr>
              <w:t>es moyens d’existence sont fondés sur les ressources foncières. Les niveaux de compensation en espèces devront être suffisants pour financer le remplacement des terrains perdus et autres actifs au coût intégral de remplacement sur les marchés locaux.</w:t>
            </w:r>
          </w:p>
          <w:p w14:paraId="238DF156" w14:textId="77777777" w:rsidR="006B2C01" w:rsidRDefault="006B2C01" w:rsidP="006B2C01">
            <w:pPr>
              <w:pStyle w:val="TableParagraph"/>
              <w:ind w:left="68"/>
              <w:rPr>
                <w:sz w:val="20"/>
                <w:szCs w:val="20"/>
              </w:rPr>
            </w:pPr>
            <w:r w:rsidRPr="00CD704F">
              <w:rPr>
                <w:sz w:val="20"/>
                <w:szCs w:val="20"/>
              </w:rPr>
              <w:t>Annexe 7 Guide EIS</w:t>
            </w:r>
          </w:p>
        </w:tc>
        <w:tc>
          <w:tcPr>
            <w:tcW w:w="3594" w:type="dxa"/>
            <w:shd w:val="clear" w:color="auto" w:fill="auto"/>
          </w:tcPr>
          <w:p w14:paraId="17702A2A" w14:textId="77777777" w:rsidR="006B2C01" w:rsidRPr="007F78CE" w:rsidRDefault="006B2C01" w:rsidP="00D12C6F">
            <w:pPr>
              <w:rPr>
                <w:rFonts w:ascii="Cambria" w:hAnsi="Cambria"/>
                <w:sz w:val="20"/>
              </w:rPr>
            </w:pPr>
            <w:r w:rsidRPr="007F78CE">
              <w:rPr>
                <w:rFonts w:ascii="Cambria" w:hAnsi="Cambria"/>
                <w:sz w:val="20"/>
              </w:rPr>
              <w:t>Les dispositions des deux cadres sont concordantes d.</w:t>
            </w:r>
          </w:p>
          <w:p w14:paraId="450E5065" w14:textId="77777777" w:rsidR="006B2C01" w:rsidRPr="007F78CE" w:rsidRDefault="006B2C01" w:rsidP="00D12C6F">
            <w:pPr>
              <w:rPr>
                <w:rFonts w:ascii="Cambria" w:hAnsi="Cambria"/>
                <w:sz w:val="20"/>
              </w:rPr>
            </w:pPr>
            <w:r w:rsidRPr="007F78CE">
              <w:rPr>
                <w:rFonts w:ascii="Cambria" w:hAnsi="Cambria"/>
                <w:sz w:val="20"/>
              </w:rPr>
              <w:t>Les dispositions à mettre en œuvre combineront ainsi les dispositions de NES5 et de la législation nationale.</w:t>
            </w:r>
          </w:p>
        </w:tc>
      </w:tr>
      <w:tr w:rsidR="006B2C01" w:rsidRPr="007F78CE" w14:paraId="79C0601E" w14:textId="77777777" w:rsidTr="00B434A6">
        <w:trPr>
          <w:cantSplit/>
          <w:jc w:val="center"/>
        </w:trPr>
        <w:tc>
          <w:tcPr>
            <w:tcW w:w="5215" w:type="dxa"/>
            <w:vMerge/>
          </w:tcPr>
          <w:p w14:paraId="13909FA3" w14:textId="77777777" w:rsidR="006B2C01" w:rsidRDefault="006B2C01" w:rsidP="00D12C6F">
            <w:pPr>
              <w:pStyle w:val="Tabletext"/>
              <w:rPr>
                <w:rFonts w:ascii="Calibri" w:eastAsia="MS Mincho" w:hAnsi="Calibri" w:cs="Arial"/>
              </w:rPr>
            </w:pPr>
          </w:p>
        </w:tc>
        <w:tc>
          <w:tcPr>
            <w:tcW w:w="5850" w:type="dxa"/>
            <w:shd w:val="clear" w:color="auto" w:fill="auto"/>
          </w:tcPr>
          <w:p w14:paraId="2E48D9A7" w14:textId="77777777" w:rsidR="006B2C01" w:rsidRPr="00CD704F" w:rsidRDefault="006B2C01" w:rsidP="00D12C6F">
            <w:pPr>
              <w:pStyle w:val="TableParagraph"/>
              <w:spacing w:after="120"/>
              <w:ind w:left="72" w:right="58"/>
              <w:rPr>
                <w:sz w:val="20"/>
                <w:szCs w:val="20"/>
              </w:rPr>
            </w:pPr>
            <w:r w:rsidRPr="00CD704F">
              <w:rPr>
                <w:sz w:val="20"/>
                <w:szCs w:val="20"/>
              </w:rPr>
              <w:t>Le plan inclut également des mesures garantissant que les personnes déplacées sont :</w:t>
            </w:r>
          </w:p>
          <w:p w14:paraId="3BD2A04E" w14:textId="77777777" w:rsidR="006B2C01" w:rsidRPr="00CD704F" w:rsidRDefault="006B2C01" w:rsidP="00D12C6F">
            <w:pPr>
              <w:pStyle w:val="TableParagraph"/>
              <w:spacing w:after="120"/>
              <w:ind w:left="72" w:right="58"/>
              <w:rPr>
                <w:sz w:val="20"/>
                <w:szCs w:val="20"/>
              </w:rPr>
            </w:pPr>
            <w:r w:rsidRPr="00CD704F">
              <w:rPr>
                <w:sz w:val="20"/>
                <w:szCs w:val="20"/>
              </w:rPr>
              <w:t>1. récipiendaires d’une aide après le déplacement, pour une période transitoire d’une durée fondée sur une estimation raisonnable du temps probable nécessaire au rétablissement de leurs moyens d’existence et de leur revenu</w:t>
            </w:r>
          </w:p>
          <w:p w14:paraId="1A5C9280" w14:textId="77777777" w:rsidR="006B2C01" w:rsidRDefault="006B2C01" w:rsidP="00D12C6F">
            <w:pPr>
              <w:pStyle w:val="TableParagraph"/>
              <w:spacing w:line="209" w:lineRule="exact"/>
              <w:ind w:left="68"/>
              <w:rPr>
                <w:sz w:val="20"/>
                <w:szCs w:val="20"/>
              </w:rPr>
            </w:pPr>
            <w:r w:rsidRPr="00CD704F">
              <w:rPr>
                <w:sz w:val="20"/>
                <w:szCs w:val="20"/>
              </w:rPr>
              <w:t>2. pourvues d’une aide au développement qui s’ajouterait aux mesures de compensation telles que la viabilisation des terrains, des mécanismes de crédit, la formation ou des créations d’emploi</w:t>
            </w:r>
          </w:p>
          <w:p w14:paraId="6C6CFAE2" w14:textId="77777777" w:rsidR="006B2C01" w:rsidRPr="00CD704F" w:rsidRDefault="006B2C01" w:rsidP="00D12C6F">
            <w:pPr>
              <w:pStyle w:val="TableParagraph"/>
              <w:spacing w:line="209" w:lineRule="exact"/>
              <w:ind w:left="68"/>
              <w:rPr>
                <w:sz w:val="20"/>
                <w:szCs w:val="20"/>
              </w:rPr>
            </w:pPr>
            <w:r w:rsidRPr="00CD704F">
              <w:rPr>
                <w:sz w:val="20"/>
                <w:szCs w:val="20"/>
              </w:rPr>
              <w:t>Annexe 7 Guide EIS</w:t>
            </w:r>
          </w:p>
        </w:tc>
        <w:tc>
          <w:tcPr>
            <w:tcW w:w="3594" w:type="dxa"/>
            <w:shd w:val="clear" w:color="auto" w:fill="auto"/>
          </w:tcPr>
          <w:p w14:paraId="2BE1ADC2" w14:textId="77777777" w:rsidR="006B2C01" w:rsidRPr="007F78CE" w:rsidRDefault="006B2C01" w:rsidP="00D12C6F">
            <w:pPr>
              <w:rPr>
                <w:rFonts w:ascii="Cambria" w:hAnsi="Cambria"/>
                <w:sz w:val="20"/>
              </w:rPr>
            </w:pPr>
            <w:r w:rsidRPr="007F78CE">
              <w:rPr>
                <w:rFonts w:ascii="Cambria" w:hAnsi="Cambria"/>
                <w:sz w:val="20"/>
              </w:rPr>
              <w:t>Les exigences de la NES5 sont des dispositions plus précises. Elles sont applicables et non contraires aux textes malagasy.</w:t>
            </w:r>
          </w:p>
          <w:p w14:paraId="0BD3B67C" w14:textId="77777777" w:rsidR="006B2C01" w:rsidRPr="007F78CE" w:rsidRDefault="006B2C01" w:rsidP="00D12C6F">
            <w:pPr>
              <w:rPr>
                <w:rFonts w:ascii="Cambria" w:hAnsi="Cambria"/>
                <w:sz w:val="20"/>
              </w:rPr>
            </w:pPr>
            <w:r w:rsidRPr="007F78CE">
              <w:rPr>
                <w:rFonts w:ascii="Cambria" w:hAnsi="Cambria"/>
                <w:sz w:val="20"/>
              </w:rPr>
              <w:t>Les dispositions de la NES 5 et de la législation nationale seront appliquées</w:t>
            </w:r>
          </w:p>
          <w:p w14:paraId="540C5FB4" w14:textId="77777777" w:rsidR="006B2C01" w:rsidRPr="007F78CE" w:rsidRDefault="006B2C01" w:rsidP="00D12C6F">
            <w:pPr>
              <w:rPr>
                <w:sz w:val="20"/>
              </w:rPr>
            </w:pPr>
          </w:p>
        </w:tc>
      </w:tr>
      <w:tr w:rsidR="006B2C01" w:rsidRPr="007F78CE" w14:paraId="2A472723" w14:textId="77777777" w:rsidTr="00B434A6">
        <w:trPr>
          <w:cantSplit/>
          <w:jc w:val="center"/>
        </w:trPr>
        <w:tc>
          <w:tcPr>
            <w:tcW w:w="5215" w:type="dxa"/>
            <w:vMerge w:val="restart"/>
          </w:tcPr>
          <w:p w14:paraId="64345608" w14:textId="77777777" w:rsidR="006B2C01" w:rsidRDefault="006B2C01" w:rsidP="00D12C6F">
            <w:pPr>
              <w:pStyle w:val="Tabletext"/>
              <w:rPr>
                <w:rFonts w:ascii="Calibri" w:eastAsia="MS Mincho" w:hAnsi="Calibri" w:cs="Arial"/>
              </w:rPr>
            </w:pPr>
            <w:r>
              <w:rPr>
                <w:rFonts w:ascii="Calibri" w:eastAsia="MS Mincho" w:hAnsi="Calibri" w:cs="Arial"/>
              </w:rPr>
              <w:t>Assurer la collaboration entre l’entité chargée de la mise en œuvre du projet et toute autre agence publique ou autorité ou entité locale chargée de l’acquisition de terres, de la planification de la réinstallation, ou de la mise à disposition de l’aide nécessaire, et au besoin demander l’assistance technique ou l’aide financière de la Banque mondiale</w:t>
            </w:r>
          </w:p>
          <w:p w14:paraId="46D569EA" w14:textId="77777777" w:rsidR="006B2C01" w:rsidRDefault="006B2C01" w:rsidP="00D12C6F">
            <w:pPr>
              <w:rPr>
                <w:rFonts w:eastAsia="MS Mincho" w:cs="Arial"/>
                <w:i/>
                <w:iCs/>
                <w:u w:val="single"/>
              </w:rPr>
            </w:pPr>
            <w:r>
              <w:rPr>
                <w:rFonts w:eastAsia="MS Mincho" w:cs="Arial"/>
                <w:i/>
                <w:iCs/>
              </w:rPr>
              <w:t>Paragraphes 37 à 39</w:t>
            </w:r>
          </w:p>
        </w:tc>
        <w:tc>
          <w:tcPr>
            <w:tcW w:w="5850" w:type="dxa"/>
            <w:shd w:val="clear" w:color="auto" w:fill="auto"/>
          </w:tcPr>
          <w:p w14:paraId="044D1D43" w14:textId="77777777" w:rsidR="006B2C01" w:rsidRPr="00F00E55" w:rsidRDefault="006B2C01" w:rsidP="00D12C6F">
            <w:pPr>
              <w:rPr>
                <w:rFonts w:eastAsia="MS Mincho" w:cs="Arial"/>
              </w:rPr>
            </w:pPr>
            <w:r w:rsidRPr="007F78CE">
              <w:rPr>
                <w:sz w:val="20"/>
              </w:rPr>
              <w:t>Les textes ne prévoient pas l’établissement des moyens de collaboration entre l’agence du projet et les autorités publiques chargées de tous les aspects d’acquisition des terres, de planification de la réinstallation ou de fourniture d’assistance</w:t>
            </w:r>
          </w:p>
        </w:tc>
        <w:tc>
          <w:tcPr>
            <w:tcW w:w="3594" w:type="dxa"/>
            <w:shd w:val="clear" w:color="auto" w:fill="auto"/>
          </w:tcPr>
          <w:p w14:paraId="1D68525B" w14:textId="77777777" w:rsidR="006B2C01" w:rsidRPr="007F78CE" w:rsidRDefault="006B2C01" w:rsidP="00B434A6">
            <w:pPr>
              <w:spacing w:after="120"/>
              <w:rPr>
                <w:rFonts w:ascii="Cambria" w:eastAsia="Times New Roman" w:hAnsi="Cambria"/>
                <w:b/>
                <w:smallCaps/>
                <w:color w:val="000000"/>
                <w:sz w:val="20"/>
              </w:rPr>
            </w:pPr>
            <w:r w:rsidRPr="007F78CE">
              <w:rPr>
                <w:rFonts w:ascii="Cambria" w:hAnsi="Cambria"/>
                <w:sz w:val="20"/>
              </w:rPr>
              <w:t>Ces exigences de la NES5 sont propres aux projets financés par la Banque Mondiale. Elles ne sont pas contraires aux textes malagasy.</w:t>
            </w:r>
          </w:p>
          <w:p w14:paraId="462C3DAE" w14:textId="77777777" w:rsidR="006B2C01" w:rsidRPr="00F00E55" w:rsidRDefault="006B2C01" w:rsidP="00B434A6">
            <w:pPr>
              <w:spacing w:after="120"/>
              <w:rPr>
                <w:rFonts w:ascii="arial gras" w:eastAsia="MS Mincho" w:hAnsi="arial gras" w:cs="Arial" w:hint="eastAsia"/>
                <w:b/>
                <w:smallCaps/>
                <w:color w:val="000000"/>
              </w:rPr>
            </w:pPr>
            <w:r w:rsidRPr="007F78CE">
              <w:rPr>
                <w:rFonts w:ascii="Cambria" w:hAnsi="Cambria"/>
                <w:sz w:val="20"/>
              </w:rPr>
              <w:t>Les dispositions de la NES 5 seront appliquées</w:t>
            </w:r>
          </w:p>
        </w:tc>
      </w:tr>
      <w:tr w:rsidR="006B2C01" w:rsidRPr="007F78CE" w14:paraId="7A4681C8" w14:textId="77777777" w:rsidTr="00B434A6">
        <w:trPr>
          <w:cantSplit/>
          <w:jc w:val="center"/>
        </w:trPr>
        <w:tc>
          <w:tcPr>
            <w:tcW w:w="5215" w:type="dxa"/>
            <w:vMerge/>
          </w:tcPr>
          <w:p w14:paraId="06B524E9" w14:textId="77777777" w:rsidR="006B2C01" w:rsidRDefault="006B2C01" w:rsidP="00D12C6F">
            <w:pPr>
              <w:pStyle w:val="Tabletext"/>
              <w:rPr>
                <w:rFonts w:ascii="Calibri" w:eastAsia="MS Mincho" w:hAnsi="Calibri" w:cs="Arial"/>
              </w:rPr>
            </w:pPr>
          </w:p>
        </w:tc>
        <w:tc>
          <w:tcPr>
            <w:tcW w:w="5850" w:type="dxa"/>
            <w:shd w:val="clear" w:color="auto" w:fill="auto"/>
          </w:tcPr>
          <w:p w14:paraId="6E55C526" w14:textId="77777777" w:rsidR="006B2C01" w:rsidRPr="007F78CE" w:rsidRDefault="006B2C01" w:rsidP="00D12C6F">
            <w:pPr>
              <w:rPr>
                <w:sz w:val="20"/>
              </w:rPr>
            </w:pPr>
            <w:r w:rsidRPr="007F78CE">
              <w:rPr>
                <w:sz w:val="20"/>
              </w:rPr>
              <w:t>Les textes ne prévoient pas la possibilité de demander appui aux Bailleurs pour le renforcement des capacités de l’emprunteur ou les capacités des autres agences responsables de la planification, de la mise en œuvre et du suivi de la réinstallation</w:t>
            </w:r>
          </w:p>
        </w:tc>
        <w:tc>
          <w:tcPr>
            <w:tcW w:w="3594" w:type="dxa"/>
            <w:shd w:val="clear" w:color="auto" w:fill="auto"/>
          </w:tcPr>
          <w:p w14:paraId="6B794015" w14:textId="77777777" w:rsidR="006B2C01" w:rsidRPr="007F78CE" w:rsidRDefault="006B2C01" w:rsidP="00B434A6">
            <w:pPr>
              <w:spacing w:after="120"/>
              <w:rPr>
                <w:rFonts w:ascii="Cambria" w:eastAsia="Times New Roman" w:hAnsi="Cambria"/>
                <w:b/>
                <w:smallCaps/>
                <w:color w:val="000000"/>
                <w:sz w:val="20"/>
              </w:rPr>
            </w:pPr>
            <w:r w:rsidRPr="007F78CE">
              <w:rPr>
                <w:rFonts w:ascii="Cambria" w:hAnsi="Cambria"/>
                <w:sz w:val="20"/>
              </w:rPr>
              <w:t>Ces exigences de la NES5 sont propres aux projets financés par la Banque Mondiale. Elles ne sont pas contraires aux textes malagasy.</w:t>
            </w:r>
          </w:p>
          <w:p w14:paraId="259C5A72" w14:textId="77777777" w:rsidR="006B2C01" w:rsidRPr="007F78CE" w:rsidRDefault="006B2C01" w:rsidP="00B434A6">
            <w:pPr>
              <w:spacing w:after="120"/>
              <w:rPr>
                <w:rFonts w:ascii="Cambria" w:eastAsia="Times New Roman" w:hAnsi="Cambria"/>
                <w:b/>
                <w:smallCaps/>
                <w:color w:val="000000"/>
                <w:sz w:val="20"/>
              </w:rPr>
            </w:pPr>
            <w:r w:rsidRPr="007F78CE">
              <w:rPr>
                <w:rFonts w:ascii="Cambria" w:hAnsi="Cambria"/>
                <w:sz w:val="20"/>
              </w:rPr>
              <w:t>Les dispositions de la NES 5 seront appliquées</w:t>
            </w:r>
          </w:p>
        </w:tc>
      </w:tr>
      <w:tr w:rsidR="006B2C01" w:rsidRPr="007F78CE" w14:paraId="254F6BFB" w14:textId="77777777" w:rsidTr="00D12C6F">
        <w:trPr>
          <w:cantSplit/>
          <w:jc w:val="center"/>
        </w:trPr>
        <w:tc>
          <w:tcPr>
            <w:tcW w:w="14659" w:type="dxa"/>
            <w:gridSpan w:val="3"/>
            <w:shd w:val="clear" w:color="auto" w:fill="FBD4B4"/>
            <w:vAlign w:val="center"/>
          </w:tcPr>
          <w:p w14:paraId="7DEDC299" w14:textId="77777777" w:rsidR="006B2C01" w:rsidRPr="00BC30C6" w:rsidRDefault="006B2C01" w:rsidP="00D12C6F">
            <w:pPr>
              <w:spacing w:before="60" w:after="60"/>
              <w:jc w:val="center"/>
              <w:rPr>
                <w:rFonts w:eastAsia="MS Mincho" w:cs="Arial"/>
                <w:b/>
                <w:bCs/>
              </w:rPr>
            </w:pPr>
            <w:r w:rsidRPr="00BC30C6">
              <w:rPr>
                <w:rFonts w:eastAsia="MS Mincho" w:cs="Arial"/>
                <w:b/>
                <w:bCs/>
              </w:rPr>
              <w:t>NES 6. Préservation de la biodiversité et gestion durable des ressources naturelles biologiques</w:t>
            </w:r>
          </w:p>
        </w:tc>
      </w:tr>
      <w:tr w:rsidR="006B2C01" w:rsidRPr="007F78CE" w14:paraId="009C1941" w14:textId="77777777" w:rsidTr="00B434A6">
        <w:trPr>
          <w:cantSplit/>
          <w:jc w:val="center"/>
        </w:trPr>
        <w:tc>
          <w:tcPr>
            <w:tcW w:w="5215" w:type="dxa"/>
          </w:tcPr>
          <w:p w14:paraId="72EE5485"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Déterminera les risques et effets potentiels du projet sur les habitats et la biodiversité qu’ils abritent, évaluer ces risques et effets du projet, et les gérer selon le principe de la hiérarchie d’atténuation et les BPISA.</w:t>
            </w:r>
          </w:p>
          <w:p w14:paraId="3C2D7870"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i/>
                <w:iCs/>
              </w:rPr>
              <w:t>Paragraphe 10 à 12</w:t>
            </w:r>
          </w:p>
        </w:tc>
        <w:tc>
          <w:tcPr>
            <w:tcW w:w="5850" w:type="dxa"/>
            <w:shd w:val="clear" w:color="auto" w:fill="auto"/>
            <w:vAlign w:val="center"/>
          </w:tcPr>
          <w:p w14:paraId="37723FEC" w14:textId="77777777" w:rsidR="006B2C01" w:rsidRPr="00C400C1" w:rsidRDefault="006B2C01" w:rsidP="00D12C6F">
            <w:pPr>
              <w:autoSpaceDE w:val="0"/>
              <w:autoSpaceDN w:val="0"/>
              <w:adjustRightInd w:val="0"/>
              <w:rPr>
                <w:rFonts w:eastAsia="MS Mincho" w:cs="Arial"/>
                <w:w w:val="104"/>
                <w:sz w:val="20"/>
                <w:szCs w:val="10"/>
              </w:rPr>
            </w:pPr>
            <w:r w:rsidRPr="00C400C1">
              <w:rPr>
                <w:rFonts w:eastAsia="MS Mincho" w:cs="Arial"/>
                <w:w w:val="104"/>
                <w:sz w:val="20"/>
                <w:szCs w:val="10"/>
              </w:rPr>
              <w:t xml:space="preserve">Sont soumis à une étude d’impact environnemental et social tout </w:t>
            </w:r>
            <w:r>
              <w:rPr>
                <w:rFonts w:eastAsia="MS Mincho" w:cs="Arial"/>
                <w:w w:val="104"/>
                <w:sz w:val="20"/>
                <w:szCs w:val="10"/>
              </w:rPr>
              <w:t>projet d’aménagement, ouvrages et travaux pouvant affecter les zones sensibles.</w:t>
            </w:r>
          </w:p>
          <w:p w14:paraId="350B1568" w14:textId="77777777" w:rsidR="006B2C01" w:rsidRDefault="006B2C01" w:rsidP="00D12C6F">
            <w:pPr>
              <w:autoSpaceDE w:val="0"/>
              <w:autoSpaceDN w:val="0"/>
              <w:adjustRightInd w:val="0"/>
              <w:rPr>
                <w:rFonts w:eastAsia="MS Mincho" w:cs="Arial"/>
                <w:i/>
                <w:iCs/>
                <w:w w:val="104"/>
                <w:sz w:val="20"/>
                <w:szCs w:val="10"/>
              </w:rPr>
            </w:pPr>
            <w:r>
              <w:rPr>
                <w:rFonts w:eastAsia="MS Mincho" w:cs="Arial"/>
                <w:i/>
                <w:iCs/>
                <w:w w:val="104"/>
                <w:sz w:val="20"/>
                <w:szCs w:val="10"/>
              </w:rPr>
              <w:t>D</w:t>
            </w:r>
            <w:r w:rsidRPr="001026D9">
              <w:rPr>
                <w:rFonts w:eastAsia="MS Mincho" w:cs="Arial"/>
                <w:i/>
                <w:iCs/>
                <w:w w:val="104"/>
                <w:sz w:val="20"/>
                <w:szCs w:val="10"/>
              </w:rPr>
              <w:t>écret n° 99 954 du 15 Décembre 1999 fixant les nouvelles dispositions relatives à la mise en compatibilité des investissements avec l’environnemen</w:t>
            </w:r>
            <w:r>
              <w:rPr>
                <w:rFonts w:eastAsia="MS Mincho" w:cs="Arial"/>
                <w:i/>
                <w:iCs/>
                <w:w w:val="104"/>
                <w:sz w:val="20"/>
                <w:szCs w:val="10"/>
              </w:rPr>
              <w:t xml:space="preserve">t </w:t>
            </w:r>
            <w:r w:rsidRPr="00BC30C6">
              <w:rPr>
                <w:rFonts w:eastAsia="MS Mincho" w:cs="Arial"/>
                <w:i/>
                <w:iCs/>
                <w:w w:val="104"/>
                <w:sz w:val="20"/>
                <w:szCs w:val="10"/>
              </w:rPr>
              <w:t>[A</w:t>
            </w:r>
            <w:r>
              <w:rPr>
                <w:rFonts w:eastAsia="MS Mincho" w:cs="Arial"/>
                <w:i/>
                <w:iCs/>
                <w:w w:val="104"/>
                <w:sz w:val="20"/>
                <w:szCs w:val="10"/>
              </w:rPr>
              <w:t>nnexe 1</w:t>
            </w:r>
            <w:r w:rsidRPr="00BC30C6">
              <w:rPr>
                <w:rFonts w:eastAsia="MS Mincho" w:cs="Arial"/>
                <w:i/>
                <w:iCs/>
                <w:w w:val="104"/>
                <w:sz w:val="20"/>
                <w:szCs w:val="10"/>
              </w:rPr>
              <w:t>]</w:t>
            </w:r>
          </w:p>
          <w:p w14:paraId="0540F400" w14:textId="77777777" w:rsidR="006B2C01" w:rsidRPr="00BC30C6" w:rsidRDefault="006B2C01" w:rsidP="00D12C6F">
            <w:pPr>
              <w:pStyle w:val="Tabletext"/>
              <w:rPr>
                <w:rFonts w:ascii="Calibri" w:eastAsia="MS Mincho" w:hAnsi="Calibri" w:cs="Arial"/>
                <w:lang w:eastAsia="fr-FR"/>
              </w:rPr>
            </w:pPr>
            <w:r>
              <w:rPr>
                <w:rFonts w:ascii="Calibri" w:eastAsia="MS Mincho" w:hAnsi="Calibri" w:cs="Arial"/>
                <w:lang w:eastAsia="fr-FR"/>
              </w:rPr>
              <w:t xml:space="preserve">Le cadre législatif national ne fait pas mention du principe de la hiérarchie d’atténuation. </w:t>
            </w:r>
          </w:p>
        </w:tc>
        <w:tc>
          <w:tcPr>
            <w:tcW w:w="3594" w:type="dxa"/>
            <w:shd w:val="clear" w:color="auto" w:fill="auto"/>
            <w:vAlign w:val="center"/>
          </w:tcPr>
          <w:p w14:paraId="27DD66D6" w14:textId="77777777" w:rsidR="006B2C01" w:rsidRPr="007F78CE" w:rsidRDefault="006B2C01" w:rsidP="00D12C6F">
            <w:pPr>
              <w:rPr>
                <w:rFonts w:eastAsia="MS Mincho"/>
                <w:sz w:val="20"/>
              </w:rPr>
            </w:pPr>
            <w:r w:rsidRPr="007F78CE">
              <w:rPr>
                <w:rFonts w:eastAsia="MS Mincho"/>
                <w:sz w:val="20"/>
              </w:rPr>
              <w:t>Le cadre CES est plus étoffé que le cadre réglementaire national lorsqu’il s’agit de mesurer les impacts négatifs sur les habitats et la biodiversité</w:t>
            </w:r>
          </w:p>
          <w:p w14:paraId="73BEFA7A"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spécifiques des NES</w:t>
            </w:r>
          </w:p>
        </w:tc>
      </w:tr>
      <w:tr w:rsidR="006B2C01" w:rsidRPr="007F78CE" w14:paraId="1B96F578" w14:textId="77777777" w:rsidTr="00B434A6">
        <w:trPr>
          <w:cantSplit/>
          <w:jc w:val="center"/>
        </w:trPr>
        <w:tc>
          <w:tcPr>
            <w:tcW w:w="5215" w:type="dxa"/>
          </w:tcPr>
          <w:p w14:paraId="7F817AB2"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Lorsque la stratégie d’atténuation comprend un système de compensation, faire intervenir les parties concernées et des experts qualifiés, et démontrer que ce système entrainera de préférence un gain net de biodiversité, et qu’il sera techniquement et financièrement viable à long terme</w:t>
            </w:r>
          </w:p>
          <w:p w14:paraId="254D05B0"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i/>
                <w:iCs/>
              </w:rPr>
              <w:t>Paragraphes 13 à 16</w:t>
            </w:r>
          </w:p>
        </w:tc>
        <w:tc>
          <w:tcPr>
            <w:tcW w:w="5850" w:type="dxa"/>
            <w:shd w:val="clear" w:color="auto" w:fill="auto"/>
            <w:vAlign w:val="center"/>
          </w:tcPr>
          <w:p w14:paraId="16DFFC18" w14:textId="77777777" w:rsidR="006B2C01" w:rsidRDefault="006B2C01" w:rsidP="00D12C6F">
            <w:pPr>
              <w:pStyle w:val="Tabletext"/>
              <w:rPr>
                <w:rFonts w:ascii="Calibri" w:eastAsia="MS Mincho" w:hAnsi="Calibri" w:cs="Arial"/>
                <w:lang w:eastAsia="fr-FR"/>
              </w:rPr>
            </w:pPr>
            <w:r>
              <w:rPr>
                <w:rFonts w:ascii="Calibri" w:eastAsia="MS Mincho" w:hAnsi="Calibri" w:cs="Arial"/>
                <w:lang w:eastAsia="fr-FR"/>
              </w:rPr>
              <w:t xml:space="preserve">La charte de l’environnement reconnaît les obligations compensatrices. Les opérateurs exerçant des activités générant des effets néfastes sur l’environnement, sont soumis à des obligations compensatrices. </w:t>
            </w:r>
          </w:p>
          <w:p w14:paraId="29D6DF50" w14:textId="77777777" w:rsidR="006B2C01" w:rsidRDefault="006B2C01" w:rsidP="00D12C6F">
            <w:pPr>
              <w:autoSpaceDE w:val="0"/>
              <w:autoSpaceDN w:val="0"/>
              <w:adjustRightInd w:val="0"/>
              <w:rPr>
                <w:rFonts w:eastAsia="MS Mincho" w:cs="Arial"/>
                <w:i/>
                <w:iCs/>
                <w:w w:val="104"/>
                <w:sz w:val="20"/>
                <w:szCs w:val="10"/>
              </w:rPr>
            </w:pPr>
            <w:r w:rsidRPr="00757EB1">
              <w:rPr>
                <w:rFonts w:eastAsia="MS Mincho" w:cs="Arial"/>
                <w:i/>
                <w:iCs/>
                <w:w w:val="104"/>
                <w:sz w:val="20"/>
                <w:szCs w:val="10"/>
              </w:rPr>
              <w:t>Loi n° 90-033 du 21 décembre 1990 modifiée par les lois n° 97-012 du 06 juin 1997 et n° 2004-015 du 19 août 2004 relative à la Charte de l’Environnement malagasy</w:t>
            </w:r>
            <w:r w:rsidRPr="00BC30C6">
              <w:rPr>
                <w:rFonts w:eastAsia="MS Mincho" w:cs="Arial"/>
                <w:i/>
                <w:iCs/>
                <w:w w:val="104"/>
                <w:sz w:val="20"/>
                <w:szCs w:val="10"/>
              </w:rPr>
              <w:t>[A</w:t>
            </w:r>
            <w:r>
              <w:rPr>
                <w:rFonts w:eastAsia="MS Mincho" w:cs="Arial"/>
                <w:i/>
                <w:iCs/>
                <w:w w:val="104"/>
                <w:sz w:val="20"/>
                <w:szCs w:val="10"/>
              </w:rPr>
              <w:t>rticle 6</w:t>
            </w:r>
            <w:r w:rsidRPr="00BC30C6">
              <w:rPr>
                <w:rFonts w:eastAsia="MS Mincho" w:cs="Arial"/>
                <w:i/>
                <w:iCs/>
                <w:w w:val="104"/>
                <w:sz w:val="20"/>
                <w:szCs w:val="10"/>
              </w:rPr>
              <w:t>]</w:t>
            </w:r>
          </w:p>
          <w:p w14:paraId="3341DB8D" w14:textId="77777777" w:rsidR="006B2C01" w:rsidRDefault="006B2C01" w:rsidP="00D12C6F">
            <w:pPr>
              <w:pStyle w:val="Tabletext"/>
              <w:rPr>
                <w:rFonts w:ascii="Calibri" w:eastAsia="MS Mincho" w:hAnsi="Calibri" w:cs="Arial"/>
                <w:lang w:eastAsia="fr-FR"/>
              </w:rPr>
            </w:pPr>
            <w:r w:rsidRPr="00CF3FA8">
              <w:rPr>
                <w:rFonts w:ascii="Calibri" w:eastAsia="MS Mincho" w:hAnsi="Calibri" w:cs="Arial"/>
                <w:lang w:eastAsia="fr-FR"/>
              </w:rPr>
              <w:t xml:space="preserve">Constituent des manquements susceptibles de faire encourir des sanctions à l’auteur </w:t>
            </w:r>
            <w:r>
              <w:rPr>
                <w:rFonts w:ascii="Calibri" w:eastAsia="MS Mincho" w:hAnsi="Calibri" w:cs="Arial"/>
                <w:lang w:eastAsia="fr-FR"/>
              </w:rPr>
              <w:t>l</w:t>
            </w:r>
            <w:r w:rsidRPr="00CF3FA8">
              <w:rPr>
                <w:rFonts w:ascii="Calibri" w:eastAsia="MS Mincho" w:hAnsi="Calibri" w:cs="Arial"/>
                <w:lang w:eastAsia="fr-FR"/>
              </w:rPr>
              <w:t xml:space="preserve">e fait par tout investisseur de s’être abstenu de prendre les mesures de correction et/ou de compensation prescrites en cas de manquement dûment constaté. </w:t>
            </w:r>
          </w:p>
          <w:p w14:paraId="009081C0" w14:textId="77777777" w:rsidR="006B2C01" w:rsidRDefault="006B2C01" w:rsidP="00D12C6F">
            <w:pPr>
              <w:autoSpaceDE w:val="0"/>
              <w:autoSpaceDN w:val="0"/>
              <w:adjustRightInd w:val="0"/>
              <w:rPr>
                <w:rFonts w:eastAsia="MS Mincho" w:cs="Arial"/>
                <w:i/>
                <w:iCs/>
                <w:w w:val="104"/>
                <w:sz w:val="20"/>
                <w:szCs w:val="10"/>
              </w:rPr>
            </w:pPr>
            <w:r>
              <w:rPr>
                <w:rFonts w:eastAsia="MS Mincho" w:cs="Arial"/>
                <w:i/>
                <w:iCs/>
                <w:w w:val="104"/>
                <w:sz w:val="20"/>
                <w:szCs w:val="10"/>
              </w:rPr>
              <w:t>D</w:t>
            </w:r>
            <w:r w:rsidRPr="001026D9">
              <w:rPr>
                <w:rFonts w:eastAsia="MS Mincho" w:cs="Arial"/>
                <w:i/>
                <w:iCs/>
                <w:w w:val="104"/>
                <w:sz w:val="20"/>
                <w:szCs w:val="10"/>
              </w:rPr>
              <w:t>écret n° 99 954 du 15 Décembre 1999 fixant les nouvelles dispositions relatives à la mise en compatibilité des investissements avec l’environnemen</w:t>
            </w:r>
            <w:r>
              <w:rPr>
                <w:rFonts w:eastAsia="MS Mincho" w:cs="Arial"/>
                <w:i/>
                <w:iCs/>
                <w:w w:val="104"/>
                <w:sz w:val="20"/>
                <w:szCs w:val="10"/>
              </w:rPr>
              <w:t xml:space="preserve">t </w:t>
            </w:r>
            <w:r w:rsidRPr="00BC30C6">
              <w:rPr>
                <w:rFonts w:eastAsia="MS Mincho" w:cs="Arial"/>
                <w:i/>
                <w:iCs/>
                <w:w w:val="104"/>
                <w:sz w:val="20"/>
                <w:szCs w:val="10"/>
              </w:rPr>
              <w:t>[A</w:t>
            </w:r>
            <w:r>
              <w:rPr>
                <w:rFonts w:eastAsia="MS Mincho" w:cs="Arial"/>
                <w:i/>
                <w:iCs/>
                <w:w w:val="104"/>
                <w:sz w:val="20"/>
                <w:szCs w:val="10"/>
              </w:rPr>
              <w:t>rticle 34</w:t>
            </w:r>
            <w:r w:rsidRPr="00BC30C6">
              <w:rPr>
                <w:rFonts w:eastAsia="MS Mincho" w:cs="Arial"/>
                <w:i/>
                <w:iCs/>
                <w:w w:val="104"/>
                <w:sz w:val="20"/>
                <w:szCs w:val="10"/>
              </w:rPr>
              <w:t>]</w:t>
            </w:r>
          </w:p>
          <w:p w14:paraId="42CE47D7" w14:textId="77777777" w:rsidR="006B2C01" w:rsidRPr="00CF3FA8" w:rsidRDefault="006B2C01" w:rsidP="00D12C6F">
            <w:pPr>
              <w:pStyle w:val="Tabletext"/>
              <w:rPr>
                <w:rFonts w:ascii="Calibri" w:eastAsia="MS Mincho" w:hAnsi="Calibri" w:cs="Arial"/>
                <w:lang w:eastAsia="fr-FR"/>
              </w:rPr>
            </w:pPr>
            <w:r w:rsidRPr="00132D41">
              <w:rPr>
                <w:rFonts w:ascii="Calibri" w:eastAsia="MS Mincho" w:hAnsi="Calibri" w:cs="Arial"/>
                <w:lang w:eastAsia="fr-FR"/>
              </w:rPr>
              <w:t>L’ONE, en concertation avec le ministère sectoriel compétent et la Commune concernée, peut prononcer l’injonction de procéder dans un délai préfixé à la mise en œuvre de mesures de correction et de compensation sous peine d’astreintes</w:t>
            </w:r>
          </w:p>
          <w:p w14:paraId="7EA6D992" w14:textId="77777777" w:rsidR="006B2C01" w:rsidRPr="00BC30C6" w:rsidRDefault="006B2C01" w:rsidP="00D12C6F">
            <w:pPr>
              <w:autoSpaceDE w:val="0"/>
              <w:autoSpaceDN w:val="0"/>
              <w:adjustRightInd w:val="0"/>
              <w:rPr>
                <w:rFonts w:eastAsia="MS Mincho" w:cs="Arial"/>
                <w:lang w:eastAsia="fr-FR"/>
              </w:rPr>
            </w:pPr>
            <w:r>
              <w:rPr>
                <w:rFonts w:eastAsia="MS Mincho" w:cs="Arial"/>
                <w:i/>
                <w:iCs/>
                <w:w w:val="104"/>
                <w:sz w:val="20"/>
                <w:szCs w:val="10"/>
              </w:rPr>
              <w:t>D</w:t>
            </w:r>
            <w:r w:rsidRPr="001026D9">
              <w:rPr>
                <w:rFonts w:eastAsia="MS Mincho" w:cs="Arial"/>
                <w:i/>
                <w:iCs/>
                <w:w w:val="104"/>
                <w:sz w:val="20"/>
                <w:szCs w:val="10"/>
              </w:rPr>
              <w:t>écret n° 99 954 du 15 Décembre 1999 fixant les nouvelles dispositions relatives à la mise en compatibilité des investissements avec l’environnemen</w:t>
            </w:r>
            <w:r>
              <w:rPr>
                <w:rFonts w:eastAsia="MS Mincho" w:cs="Arial"/>
                <w:i/>
                <w:iCs/>
                <w:w w:val="104"/>
                <w:sz w:val="20"/>
                <w:szCs w:val="10"/>
              </w:rPr>
              <w:t xml:space="preserve">t </w:t>
            </w:r>
            <w:r w:rsidRPr="00BC30C6">
              <w:rPr>
                <w:rFonts w:eastAsia="MS Mincho" w:cs="Arial"/>
                <w:i/>
                <w:iCs/>
                <w:w w:val="104"/>
                <w:sz w:val="20"/>
                <w:szCs w:val="10"/>
              </w:rPr>
              <w:t>[A</w:t>
            </w:r>
            <w:r>
              <w:rPr>
                <w:rFonts w:eastAsia="MS Mincho" w:cs="Arial"/>
                <w:i/>
                <w:iCs/>
                <w:w w:val="104"/>
                <w:sz w:val="20"/>
                <w:szCs w:val="10"/>
              </w:rPr>
              <w:t>rticle 36</w:t>
            </w:r>
            <w:r w:rsidRPr="00BC30C6">
              <w:rPr>
                <w:rFonts w:eastAsia="MS Mincho" w:cs="Arial"/>
                <w:i/>
                <w:iCs/>
                <w:w w:val="104"/>
                <w:sz w:val="20"/>
                <w:szCs w:val="10"/>
              </w:rPr>
              <w:t>]</w:t>
            </w:r>
          </w:p>
        </w:tc>
        <w:tc>
          <w:tcPr>
            <w:tcW w:w="3594" w:type="dxa"/>
            <w:shd w:val="clear" w:color="auto" w:fill="auto"/>
            <w:vAlign w:val="center"/>
          </w:tcPr>
          <w:p w14:paraId="61F5B2DE" w14:textId="77777777" w:rsidR="006B2C01" w:rsidRPr="007F78CE" w:rsidRDefault="006B2C01" w:rsidP="00D12C6F">
            <w:pPr>
              <w:rPr>
                <w:rFonts w:eastAsia="MS Mincho"/>
                <w:sz w:val="20"/>
              </w:rPr>
            </w:pPr>
            <w:r w:rsidRPr="007F78CE">
              <w:rPr>
                <w:rFonts w:eastAsia="MS Mincho"/>
                <w:sz w:val="20"/>
              </w:rPr>
              <w:t xml:space="preserve">Complémentarité et concordance entre les deux cadres réglementaires. </w:t>
            </w:r>
          </w:p>
          <w:p w14:paraId="29DBE02B" w14:textId="77777777" w:rsidR="006B2C01" w:rsidRPr="007F78CE" w:rsidRDefault="006B2C01" w:rsidP="00D12C6F">
            <w:pPr>
              <w:rPr>
                <w:rFonts w:eastAsia="MS Mincho"/>
                <w:sz w:val="20"/>
              </w:rPr>
            </w:pPr>
          </w:p>
          <w:p w14:paraId="73338C36"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spécifiques des NES et deux du Décret MECIE concernant le système de compensation</w:t>
            </w:r>
          </w:p>
        </w:tc>
      </w:tr>
      <w:tr w:rsidR="006B2C01" w:rsidRPr="007F78CE" w14:paraId="0D535D9A" w14:textId="77777777" w:rsidTr="00B434A6">
        <w:trPr>
          <w:cantSplit/>
          <w:jc w:val="center"/>
        </w:trPr>
        <w:tc>
          <w:tcPr>
            <w:tcW w:w="5215" w:type="dxa"/>
          </w:tcPr>
          <w:p w14:paraId="0953CE32"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Éviter ou minimiser les impacts sur la biodiversité des habitats modifiés et mettre en œuvre des mesures d’atténuation selon le cas.</w:t>
            </w:r>
          </w:p>
          <w:p w14:paraId="6F1A0038"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i/>
                <w:iCs/>
              </w:rPr>
              <w:t>Paragraphes 19 et 20</w:t>
            </w:r>
          </w:p>
        </w:tc>
        <w:tc>
          <w:tcPr>
            <w:tcW w:w="5850" w:type="dxa"/>
            <w:shd w:val="clear" w:color="auto" w:fill="auto"/>
            <w:vAlign w:val="center"/>
          </w:tcPr>
          <w:p w14:paraId="53875D0D" w14:textId="77777777" w:rsidR="006B2C01" w:rsidRPr="00BC30C6" w:rsidRDefault="006B2C01" w:rsidP="00D12C6F">
            <w:pPr>
              <w:pStyle w:val="Tabletext"/>
              <w:rPr>
                <w:rFonts w:ascii="Calibri" w:eastAsia="MS Mincho" w:hAnsi="Calibri" w:cs="Arial"/>
                <w:lang w:eastAsia="fr-FR"/>
              </w:rPr>
            </w:pPr>
            <w:r>
              <w:rPr>
                <w:rFonts w:ascii="Calibri" w:eastAsia="MS Mincho" w:hAnsi="Calibri" w:cs="Arial"/>
                <w:lang w:eastAsia="fr-FR"/>
              </w:rPr>
              <w:t xml:space="preserve">Absence de notion sur les « habitats modifiés », dans le cadre réglementaire national </w:t>
            </w:r>
          </w:p>
        </w:tc>
        <w:tc>
          <w:tcPr>
            <w:tcW w:w="3594" w:type="dxa"/>
            <w:shd w:val="clear" w:color="auto" w:fill="auto"/>
            <w:vAlign w:val="center"/>
          </w:tcPr>
          <w:p w14:paraId="0B09AD8B"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spécifiques des NES</w:t>
            </w:r>
          </w:p>
        </w:tc>
      </w:tr>
      <w:tr w:rsidR="006B2C01" w:rsidRPr="007F78CE" w14:paraId="3A3894DD" w14:textId="77777777" w:rsidTr="00B434A6">
        <w:trPr>
          <w:cantSplit/>
          <w:jc w:val="center"/>
        </w:trPr>
        <w:tc>
          <w:tcPr>
            <w:tcW w:w="5215" w:type="dxa"/>
          </w:tcPr>
          <w:p w14:paraId="523AA7F3"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Éviter les impacts négatifs sur les habitats naturels, sauf s’il n’existe aucune autre solution technique, et alors mettre en place des mesures d’atténuation appropriées selon principe de la hiérarchie d’atténuation, et au besoin compenser la selon le principe « d’équivalence ou d’amélioration écologique ».</w:t>
            </w:r>
          </w:p>
          <w:p w14:paraId="2F49E84D"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i/>
                <w:iCs/>
              </w:rPr>
              <w:t>Paragraphes 19-à 22</w:t>
            </w:r>
          </w:p>
        </w:tc>
        <w:tc>
          <w:tcPr>
            <w:tcW w:w="5850" w:type="dxa"/>
            <w:vMerge w:val="restart"/>
            <w:shd w:val="clear" w:color="auto" w:fill="auto"/>
            <w:vAlign w:val="center"/>
          </w:tcPr>
          <w:p w14:paraId="41618F57" w14:textId="77777777" w:rsidR="006B2C01" w:rsidRDefault="006B2C01" w:rsidP="00D12C6F">
            <w:pPr>
              <w:pStyle w:val="Tabletext"/>
              <w:rPr>
                <w:rFonts w:ascii="Calibri" w:eastAsia="MS Mincho" w:hAnsi="Calibri" w:cs="Arial"/>
                <w:lang w:eastAsia="fr-FR"/>
              </w:rPr>
            </w:pPr>
            <w:r>
              <w:rPr>
                <w:rFonts w:ascii="Calibri" w:eastAsia="MS Mincho" w:hAnsi="Calibri" w:cs="Arial"/>
                <w:lang w:eastAsia="fr-FR"/>
              </w:rPr>
              <w:t xml:space="preserve">Le cadre législatif national ne fait pas mention de la distinction entre les habitats naturels, et des habitats critiques. Leur équivalence peut être les zones sensibles et les aires protégées </w:t>
            </w:r>
          </w:p>
          <w:p w14:paraId="56C4CD61" w14:textId="77777777" w:rsidR="006B2C01" w:rsidRPr="00C400C1" w:rsidRDefault="006B2C01" w:rsidP="00D12C6F">
            <w:pPr>
              <w:autoSpaceDE w:val="0"/>
              <w:autoSpaceDN w:val="0"/>
              <w:adjustRightInd w:val="0"/>
              <w:rPr>
                <w:rFonts w:eastAsia="MS Mincho" w:cs="Arial"/>
                <w:w w:val="104"/>
                <w:sz w:val="20"/>
                <w:szCs w:val="10"/>
              </w:rPr>
            </w:pPr>
            <w:r w:rsidRPr="00C400C1">
              <w:rPr>
                <w:rFonts w:eastAsia="MS Mincho" w:cs="Arial"/>
                <w:w w:val="104"/>
                <w:sz w:val="20"/>
                <w:szCs w:val="10"/>
              </w:rPr>
              <w:t xml:space="preserve">Sont soumis à une étude d’impact environnemental et social tout </w:t>
            </w:r>
            <w:r>
              <w:rPr>
                <w:rFonts w:eastAsia="MS Mincho" w:cs="Arial"/>
                <w:w w:val="104"/>
                <w:sz w:val="20"/>
                <w:szCs w:val="10"/>
              </w:rPr>
              <w:t>projet d’aménagement, ouvrages et travaux pouvant affecter les zones sensibles.</w:t>
            </w:r>
          </w:p>
          <w:p w14:paraId="5707D4BC" w14:textId="77777777" w:rsidR="006B2C01" w:rsidRDefault="006B2C01" w:rsidP="00D12C6F">
            <w:pPr>
              <w:autoSpaceDE w:val="0"/>
              <w:autoSpaceDN w:val="0"/>
              <w:adjustRightInd w:val="0"/>
              <w:rPr>
                <w:rFonts w:eastAsia="MS Mincho" w:cs="Arial"/>
                <w:i/>
                <w:iCs/>
                <w:w w:val="104"/>
                <w:sz w:val="20"/>
                <w:szCs w:val="10"/>
              </w:rPr>
            </w:pPr>
            <w:r>
              <w:rPr>
                <w:rFonts w:eastAsia="MS Mincho" w:cs="Arial"/>
                <w:i/>
                <w:iCs/>
                <w:w w:val="104"/>
                <w:sz w:val="20"/>
                <w:szCs w:val="10"/>
              </w:rPr>
              <w:t>D</w:t>
            </w:r>
            <w:r w:rsidRPr="001026D9">
              <w:rPr>
                <w:rFonts w:eastAsia="MS Mincho" w:cs="Arial"/>
                <w:i/>
                <w:iCs/>
                <w:w w:val="104"/>
                <w:sz w:val="20"/>
                <w:szCs w:val="10"/>
              </w:rPr>
              <w:t>écret n° 99 954 du 15 Décembre 1999 fixant les nouvelles dispositions relatives à la mise en compatibilité des investissements avec l’environnemen</w:t>
            </w:r>
            <w:r>
              <w:rPr>
                <w:rFonts w:eastAsia="MS Mincho" w:cs="Arial"/>
                <w:i/>
                <w:iCs/>
                <w:w w:val="104"/>
                <w:sz w:val="20"/>
                <w:szCs w:val="10"/>
              </w:rPr>
              <w:t xml:space="preserve">t </w:t>
            </w:r>
            <w:r w:rsidRPr="00BC30C6">
              <w:rPr>
                <w:rFonts w:eastAsia="MS Mincho" w:cs="Arial"/>
                <w:i/>
                <w:iCs/>
                <w:w w:val="104"/>
                <w:sz w:val="20"/>
                <w:szCs w:val="10"/>
              </w:rPr>
              <w:t>[A</w:t>
            </w:r>
            <w:r>
              <w:rPr>
                <w:rFonts w:eastAsia="MS Mincho" w:cs="Arial"/>
                <w:i/>
                <w:iCs/>
                <w:w w:val="104"/>
                <w:sz w:val="20"/>
                <w:szCs w:val="10"/>
              </w:rPr>
              <w:t>nnexe 1</w:t>
            </w:r>
            <w:r w:rsidRPr="00BC30C6">
              <w:rPr>
                <w:rFonts w:eastAsia="MS Mincho" w:cs="Arial"/>
                <w:i/>
                <w:iCs/>
                <w:w w:val="104"/>
                <w:sz w:val="20"/>
                <w:szCs w:val="10"/>
              </w:rPr>
              <w:t>]</w:t>
            </w:r>
          </w:p>
          <w:p w14:paraId="6279099C" w14:textId="77777777" w:rsidR="006B2C01" w:rsidRPr="00BC30C6" w:rsidRDefault="006B2C01" w:rsidP="00D12C6F">
            <w:pPr>
              <w:pStyle w:val="Tabletext"/>
              <w:rPr>
                <w:rFonts w:ascii="Calibri" w:eastAsia="MS Mincho" w:hAnsi="Calibri" w:cs="Arial"/>
                <w:lang w:eastAsia="fr-FR"/>
              </w:rPr>
            </w:pPr>
            <w:r>
              <w:rPr>
                <w:rFonts w:ascii="Calibri" w:eastAsia="MS Mincho" w:hAnsi="Calibri" w:cs="Arial"/>
                <w:lang w:eastAsia="fr-FR"/>
              </w:rPr>
              <w:t>Le cadre législatif national ne fait pas mention du principe de la hiérarchie d’atténuation</w:t>
            </w:r>
          </w:p>
        </w:tc>
        <w:tc>
          <w:tcPr>
            <w:tcW w:w="3594" w:type="dxa"/>
            <w:vMerge w:val="restart"/>
            <w:shd w:val="clear" w:color="auto" w:fill="auto"/>
            <w:vAlign w:val="center"/>
          </w:tcPr>
          <w:p w14:paraId="5872934A" w14:textId="77777777" w:rsidR="006B2C01" w:rsidRPr="007F78CE" w:rsidRDefault="006B2C01" w:rsidP="00D12C6F">
            <w:pPr>
              <w:rPr>
                <w:rFonts w:eastAsia="MS Mincho"/>
                <w:sz w:val="20"/>
              </w:rPr>
            </w:pPr>
            <w:r w:rsidRPr="007F78CE">
              <w:rPr>
                <w:rFonts w:eastAsia="MS Mincho"/>
                <w:sz w:val="20"/>
              </w:rPr>
              <w:t>Le cadre CES est plus étoffé que le cadre réglementaire national lorsqu’il s’agit de mesurer les impacts négatifs sur les habitats naturels et les habitats critiques.</w:t>
            </w:r>
          </w:p>
          <w:p w14:paraId="3E89741F"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spécifiques des NES</w:t>
            </w:r>
          </w:p>
        </w:tc>
      </w:tr>
      <w:tr w:rsidR="006B2C01" w:rsidRPr="007F78CE" w14:paraId="155863EE" w14:textId="77777777" w:rsidTr="00B434A6">
        <w:trPr>
          <w:cantSplit/>
          <w:jc w:val="center"/>
        </w:trPr>
        <w:tc>
          <w:tcPr>
            <w:tcW w:w="5215" w:type="dxa"/>
          </w:tcPr>
          <w:p w14:paraId="27B3C6B1"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Mettre en œuvre aucune activité du susceptible d’avoir une incidence négative sur une zone d’habitat critique, à moins de démontrer que toutes les conditions décrites dans la NES6 ont été remplies</w:t>
            </w:r>
          </w:p>
          <w:p w14:paraId="36DA3710"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i/>
                <w:iCs/>
              </w:rPr>
              <w:t>Paragraphes 23 et 24</w:t>
            </w:r>
          </w:p>
        </w:tc>
        <w:tc>
          <w:tcPr>
            <w:tcW w:w="5850" w:type="dxa"/>
            <w:vMerge/>
            <w:shd w:val="clear" w:color="auto" w:fill="auto"/>
            <w:vAlign w:val="center"/>
          </w:tcPr>
          <w:p w14:paraId="6C7F3494" w14:textId="77777777" w:rsidR="006B2C01" w:rsidRPr="00BC30C6" w:rsidRDefault="006B2C01" w:rsidP="00D12C6F">
            <w:pPr>
              <w:pStyle w:val="Tabletext"/>
              <w:rPr>
                <w:rFonts w:ascii="Calibri" w:eastAsia="MS Mincho" w:hAnsi="Calibri" w:cs="Arial"/>
                <w:lang w:eastAsia="fr-FR"/>
              </w:rPr>
            </w:pPr>
          </w:p>
        </w:tc>
        <w:tc>
          <w:tcPr>
            <w:tcW w:w="3594" w:type="dxa"/>
            <w:vMerge/>
            <w:shd w:val="clear" w:color="auto" w:fill="auto"/>
            <w:vAlign w:val="center"/>
          </w:tcPr>
          <w:p w14:paraId="671114D0" w14:textId="77777777" w:rsidR="006B2C01" w:rsidRPr="00BC30C6" w:rsidRDefault="006B2C01" w:rsidP="00D12C6F">
            <w:pPr>
              <w:rPr>
                <w:rFonts w:eastAsia="MS Mincho" w:cs="Arial"/>
              </w:rPr>
            </w:pPr>
          </w:p>
        </w:tc>
      </w:tr>
      <w:tr w:rsidR="006B2C01" w:rsidRPr="007F78CE" w14:paraId="66EA41CA" w14:textId="77777777" w:rsidTr="00B434A6">
        <w:trPr>
          <w:cantSplit/>
          <w:jc w:val="center"/>
        </w:trPr>
        <w:tc>
          <w:tcPr>
            <w:tcW w:w="5215" w:type="dxa"/>
          </w:tcPr>
          <w:p w14:paraId="7AFE584E"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Veiller à ce que les activités du projet soient compatibles avec le statut juridique des zones protégées affectées et leurs objectifs d’aménagement, et appliquer le principe de hiérarchie d’atténuation afin d’atténuer les effets qui pourraient compromettre à leur intégrité, nuire aux objectifs de conservation, ou réduire l’importance de la biodiversité</w:t>
            </w:r>
          </w:p>
          <w:p w14:paraId="0A8EA70B"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i/>
                <w:iCs/>
              </w:rPr>
              <w:t>Paragraphes 26 et 27</w:t>
            </w:r>
          </w:p>
        </w:tc>
        <w:tc>
          <w:tcPr>
            <w:tcW w:w="5850" w:type="dxa"/>
            <w:shd w:val="clear" w:color="auto" w:fill="auto"/>
            <w:vAlign w:val="center"/>
          </w:tcPr>
          <w:p w14:paraId="1DAB0A78" w14:textId="77777777" w:rsidR="006B2C01" w:rsidRDefault="006B2C01" w:rsidP="00D12C6F">
            <w:pPr>
              <w:pStyle w:val="Tabletext"/>
              <w:rPr>
                <w:rFonts w:ascii="Calibri" w:eastAsia="MS Mincho" w:hAnsi="Calibri" w:cs="Arial"/>
                <w:lang w:eastAsia="fr-FR"/>
              </w:rPr>
            </w:pPr>
            <w:r>
              <w:rPr>
                <w:rFonts w:ascii="Calibri" w:eastAsia="MS Mincho" w:hAnsi="Calibri" w:cs="Arial"/>
                <w:lang w:eastAsia="fr-FR"/>
              </w:rPr>
              <w:t xml:space="preserve">Le Code des aires protégées fixe les règles d’utilisation minimale des ressources naturelles dans les différentes catégories des aires protégées. </w:t>
            </w:r>
          </w:p>
          <w:p w14:paraId="45BD5D48" w14:textId="77777777" w:rsidR="006B2C01" w:rsidRDefault="006B2C01" w:rsidP="00D12C6F">
            <w:pPr>
              <w:pStyle w:val="Tabletext"/>
              <w:rPr>
                <w:rFonts w:ascii="Calibri" w:eastAsia="MS Mincho" w:hAnsi="Calibri" w:cs="Arial"/>
                <w:lang w:eastAsia="fr-FR"/>
              </w:rPr>
            </w:pPr>
            <w:r w:rsidRPr="00C30252">
              <w:rPr>
                <w:rFonts w:ascii="Calibri" w:eastAsia="MS Mincho" w:hAnsi="Calibri" w:cs="Arial"/>
                <w:i/>
                <w:iCs/>
                <w:lang w:eastAsia="fr-FR"/>
              </w:rPr>
              <w:t>Loi 2015 – portant sur le Code des aires protégées</w:t>
            </w:r>
            <w:r w:rsidR="00224D29">
              <w:rPr>
                <w:rFonts w:ascii="Calibri" w:eastAsia="MS Mincho" w:hAnsi="Calibri" w:cs="Arial"/>
                <w:i/>
                <w:iCs/>
                <w:lang w:eastAsia="fr-FR"/>
              </w:rPr>
              <w:t xml:space="preserve"> </w:t>
            </w:r>
            <w:r w:rsidRPr="00BC30C6">
              <w:rPr>
                <w:rFonts w:ascii="Calibri" w:eastAsia="MS Mincho" w:hAnsi="Calibri" w:cs="Arial"/>
                <w:i/>
                <w:iCs/>
              </w:rPr>
              <w:t>[A</w:t>
            </w:r>
            <w:r>
              <w:rPr>
                <w:rFonts w:ascii="Calibri" w:eastAsia="MS Mincho" w:hAnsi="Calibri" w:cs="Arial"/>
                <w:i/>
                <w:iCs/>
              </w:rPr>
              <w:t>rticle 41</w:t>
            </w:r>
            <w:r w:rsidRPr="00BC30C6">
              <w:rPr>
                <w:rFonts w:ascii="Calibri" w:eastAsia="MS Mincho" w:hAnsi="Calibri" w:cs="Arial"/>
                <w:i/>
                <w:iCs/>
              </w:rPr>
              <w:t>]</w:t>
            </w:r>
          </w:p>
          <w:p w14:paraId="0CB07C22" w14:textId="77777777" w:rsidR="006B2C01" w:rsidRDefault="006B2C01" w:rsidP="00D12C6F">
            <w:pPr>
              <w:pStyle w:val="Tabletext"/>
              <w:rPr>
                <w:rFonts w:ascii="Calibri" w:eastAsia="MS Mincho" w:hAnsi="Calibri" w:cs="Arial"/>
                <w:lang w:eastAsia="fr-FR"/>
              </w:rPr>
            </w:pPr>
            <w:r>
              <w:rPr>
                <w:rFonts w:ascii="Calibri" w:eastAsia="MS Mincho" w:hAnsi="Calibri" w:cs="Arial"/>
                <w:lang w:eastAsia="fr-FR"/>
              </w:rPr>
              <w:t>Les activités économiques compatibles avec les objectifs de gestion d’une aire protégée sont encouragées et promues dans sa zone périphérique.</w:t>
            </w:r>
          </w:p>
          <w:p w14:paraId="6996EA2F" w14:textId="77777777" w:rsidR="006B2C01" w:rsidRDefault="006B2C01" w:rsidP="00D12C6F">
            <w:pPr>
              <w:pStyle w:val="Tabletext"/>
              <w:rPr>
                <w:rFonts w:ascii="Calibri" w:eastAsia="MS Mincho" w:hAnsi="Calibri" w:cs="Arial"/>
                <w:lang w:eastAsia="fr-FR"/>
              </w:rPr>
            </w:pPr>
            <w:r w:rsidRPr="00C30252">
              <w:rPr>
                <w:rFonts w:ascii="Calibri" w:eastAsia="MS Mincho" w:hAnsi="Calibri" w:cs="Arial"/>
                <w:i/>
                <w:iCs/>
                <w:lang w:eastAsia="fr-FR"/>
              </w:rPr>
              <w:t>Loi 2015 – portant sur le Code des aires protégées</w:t>
            </w:r>
            <w:r w:rsidR="00224D29">
              <w:rPr>
                <w:rFonts w:ascii="Calibri" w:eastAsia="MS Mincho" w:hAnsi="Calibri" w:cs="Arial"/>
                <w:i/>
                <w:iCs/>
                <w:lang w:eastAsia="fr-FR"/>
              </w:rPr>
              <w:t xml:space="preserve"> </w:t>
            </w:r>
            <w:r w:rsidRPr="00BC30C6">
              <w:rPr>
                <w:rFonts w:ascii="Calibri" w:eastAsia="MS Mincho" w:hAnsi="Calibri" w:cs="Arial"/>
                <w:i/>
                <w:iCs/>
              </w:rPr>
              <w:t>[A</w:t>
            </w:r>
            <w:r>
              <w:rPr>
                <w:rFonts w:ascii="Calibri" w:eastAsia="MS Mincho" w:hAnsi="Calibri" w:cs="Arial"/>
                <w:i/>
                <w:iCs/>
              </w:rPr>
              <w:t>rticle 41</w:t>
            </w:r>
            <w:r w:rsidRPr="00BC30C6">
              <w:rPr>
                <w:rFonts w:ascii="Calibri" w:eastAsia="MS Mincho" w:hAnsi="Calibri" w:cs="Arial"/>
                <w:i/>
                <w:iCs/>
              </w:rPr>
              <w:t>]</w:t>
            </w:r>
          </w:p>
          <w:p w14:paraId="5DA2F200" w14:textId="77777777" w:rsidR="006B2C01" w:rsidRDefault="006B2C01" w:rsidP="00D12C6F">
            <w:pPr>
              <w:pStyle w:val="Tabletext"/>
              <w:rPr>
                <w:rFonts w:ascii="Calibri" w:eastAsia="MS Mincho" w:hAnsi="Calibri" w:cs="Arial"/>
                <w:lang w:eastAsia="fr-FR"/>
              </w:rPr>
            </w:pPr>
            <w:r>
              <w:rPr>
                <w:rFonts w:ascii="Calibri" w:eastAsia="MS Mincho" w:hAnsi="Calibri" w:cs="Arial"/>
                <w:lang w:eastAsia="fr-FR"/>
              </w:rPr>
              <w:t xml:space="preserve">Le plan d’aménagement et de gestion des aires protégées fixe les mesures spécifiques et les restrictions propres à assurer la conservation de l’aire protégée. </w:t>
            </w:r>
            <w:r w:rsidRPr="00BC30C6">
              <w:rPr>
                <w:rFonts w:ascii="Calibri" w:eastAsia="MS Mincho" w:hAnsi="Calibri" w:cs="Arial"/>
                <w:i/>
                <w:iCs/>
              </w:rPr>
              <w:t>[A</w:t>
            </w:r>
            <w:r>
              <w:rPr>
                <w:rFonts w:ascii="Calibri" w:eastAsia="MS Mincho" w:hAnsi="Calibri" w:cs="Arial"/>
                <w:i/>
                <w:iCs/>
              </w:rPr>
              <w:t>rticle 46</w:t>
            </w:r>
            <w:r w:rsidRPr="00BC30C6">
              <w:rPr>
                <w:rFonts w:ascii="Calibri" w:eastAsia="MS Mincho" w:hAnsi="Calibri" w:cs="Arial"/>
                <w:i/>
                <w:iCs/>
              </w:rPr>
              <w:t>]</w:t>
            </w:r>
          </w:p>
          <w:p w14:paraId="4F2ADD8A" w14:textId="77777777" w:rsidR="006B2C01" w:rsidRPr="00BC30C6" w:rsidRDefault="006B2C01" w:rsidP="00D12C6F">
            <w:pPr>
              <w:pStyle w:val="Tabletext"/>
              <w:rPr>
                <w:rFonts w:ascii="Calibri" w:eastAsia="MS Mincho" w:hAnsi="Calibri" w:cs="Arial"/>
                <w:lang w:eastAsia="fr-FR"/>
              </w:rPr>
            </w:pPr>
            <w:r>
              <w:rPr>
                <w:rFonts w:ascii="Calibri" w:eastAsia="MS Mincho" w:hAnsi="Calibri" w:cs="Arial"/>
                <w:lang w:eastAsia="fr-FR"/>
              </w:rPr>
              <w:t>Le cadre législatif national ne fait pas mention du principe de la hiérarchie d’atténuation.</w:t>
            </w:r>
          </w:p>
        </w:tc>
        <w:tc>
          <w:tcPr>
            <w:tcW w:w="3594" w:type="dxa"/>
            <w:shd w:val="clear" w:color="auto" w:fill="auto"/>
            <w:vAlign w:val="center"/>
          </w:tcPr>
          <w:p w14:paraId="3A81D46B" w14:textId="77777777" w:rsidR="006B2C01" w:rsidRPr="007F78CE" w:rsidRDefault="006B2C01" w:rsidP="00D12C6F">
            <w:pPr>
              <w:rPr>
                <w:rFonts w:eastAsia="MS Mincho"/>
                <w:sz w:val="20"/>
              </w:rPr>
            </w:pPr>
            <w:r w:rsidRPr="007F78CE">
              <w:rPr>
                <w:rFonts w:eastAsia="MS Mincho"/>
                <w:sz w:val="20"/>
              </w:rPr>
              <w:t xml:space="preserve">Complémentarité et concordance entre les deux cadres réglementaires. </w:t>
            </w:r>
          </w:p>
          <w:p w14:paraId="21BEEC2F" w14:textId="77777777" w:rsidR="006B2C01" w:rsidRPr="007F78CE" w:rsidRDefault="006B2C01" w:rsidP="00D12C6F">
            <w:pPr>
              <w:rPr>
                <w:rFonts w:eastAsia="MS Mincho"/>
                <w:sz w:val="20"/>
              </w:rPr>
            </w:pPr>
          </w:p>
          <w:p w14:paraId="34777C59"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spécifiques des NES et des dispositions du COAP</w:t>
            </w:r>
          </w:p>
        </w:tc>
      </w:tr>
      <w:tr w:rsidR="006B2C01" w:rsidRPr="007F78CE" w14:paraId="704393DF" w14:textId="77777777" w:rsidTr="00B434A6">
        <w:trPr>
          <w:cantSplit/>
          <w:jc w:val="center"/>
        </w:trPr>
        <w:tc>
          <w:tcPr>
            <w:tcW w:w="5215" w:type="dxa"/>
          </w:tcPr>
          <w:p w14:paraId="43EACBF5"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Ne pas introduire intentionnellement de nouvelles espèces exotiques, à moins quelles soient ces espèces soient introduites conformément au cadre réglementaire en vigueur, et prévenir que le projet propage les espèces exotiques déjà présentes vers de nouvelles zones</w:t>
            </w:r>
          </w:p>
          <w:p w14:paraId="219F4D39"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i/>
                <w:iCs/>
              </w:rPr>
              <w:t>Paragraphes 28 à 30</w:t>
            </w:r>
          </w:p>
        </w:tc>
        <w:tc>
          <w:tcPr>
            <w:tcW w:w="5850" w:type="dxa"/>
            <w:shd w:val="clear" w:color="auto" w:fill="auto"/>
            <w:vAlign w:val="center"/>
          </w:tcPr>
          <w:p w14:paraId="776247AA" w14:textId="77777777" w:rsidR="006B2C01" w:rsidRPr="00BC30C6" w:rsidRDefault="006B2C01" w:rsidP="00D12C6F">
            <w:pPr>
              <w:pStyle w:val="Tabletext"/>
              <w:rPr>
                <w:rFonts w:ascii="Calibri" w:eastAsia="MS Mincho" w:hAnsi="Calibri" w:cs="Arial"/>
                <w:lang w:eastAsia="fr-FR"/>
              </w:rPr>
            </w:pPr>
          </w:p>
        </w:tc>
        <w:tc>
          <w:tcPr>
            <w:tcW w:w="3594" w:type="dxa"/>
            <w:shd w:val="clear" w:color="auto" w:fill="auto"/>
            <w:vAlign w:val="center"/>
          </w:tcPr>
          <w:p w14:paraId="10643B4C"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Cette disposition ne s’applique pas ay projet DECIM.</w:t>
            </w:r>
          </w:p>
        </w:tc>
      </w:tr>
      <w:tr w:rsidR="006B2C01" w:rsidRPr="007F78CE" w14:paraId="19AA6075" w14:textId="77777777" w:rsidTr="00B434A6">
        <w:trPr>
          <w:cantSplit/>
          <w:jc w:val="center"/>
        </w:trPr>
        <w:tc>
          <w:tcPr>
            <w:tcW w:w="5215" w:type="dxa"/>
          </w:tcPr>
          <w:p w14:paraId="6B8CB3DE"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Évaluer si les projets incluant la production primaire et l’exploitation de ressources naturelles sont globalement durables, ainsi que leurs effets potentiels sur les habitats locaux, avoisinants ou écologiquement associés, sur la biodiversité et sur les communautés locales, y compris les peuples autochtones.</w:t>
            </w:r>
          </w:p>
          <w:p w14:paraId="0FDD2E2F"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i/>
                <w:iCs/>
              </w:rPr>
              <w:t>Paragraphes 31 à 34</w:t>
            </w:r>
          </w:p>
        </w:tc>
        <w:tc>
          <w:tcPr>
            <w:tcW w:w="5850" w:type="dxa"/>
            <w:shd w:val="clear" w:color="auto" w:fill="auto"/>
            <w:vAlign w:val="center"/>
          </w:tcPr>
          <w:p w14:paraId="33416F28" w14:textId="77777777" w:rsidR="006B2C01" w:rsidRPr="00BC30C6" w:rsidRDefault="006B2C01" w:rsidP="00D12C6F">
            <w:pPr>
              <w:pStyle w:val="Tabletext"/>
              <w:rPr>
                <w:rFonts w:ascii="Calibri" w:eastAsia="MS Mincho" w:hAnsi="Calibri" w:cs="Arial"/>
                <w:lang w:eastAsia="fr-FR"/>
              </w:rPr>
            </w:pPr>
            <w:r>
              <w:rPr>
                <w:rFonts w:ascii="Calibri" w:eastAsia="MS Mincho" w:hAnsi="Calibri" w:cs="Arial"/>
                <w:lang w:eastAsia="fr-FR"/>
              </w:rPr>
              <w:t xml:space="preserve">Il n’existe pas de cadre réglementaire précisant l’évaluation de la durabilité des projets </w:t>
            </w:r>
          </w:p>
        </w:tc>
        <w:tc>
          <w:tcPr>
            <w:tcW w:w="3594" w:type="dxa"/>
            <w:shd w:val="clear" w:color="auto" w:fill="auto"/>
            <w:vAlign w:val="center"/>
          </w:tcPr>
          <w:p w14:paraId="70522034"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spécifiques des NES</w:t>
            </w:r>
          </w:p>
        </w:tc>
      </w:tr>
      <w:tr w:rsidR="006B2C01" w:rsidRPr="007F78CE" w14:paraId="06FE806C" w14:textId="77777777" w:rsidTr="00B434A6">
        <w:trPr>
          <w:cantSplit/>
          <w:jc w:val="center"/>
        </w:trPr>
        <w:tc>
          <w:tcPr>
            <w:tcW w:w="5215" w:type="dxa"/>
          </w:tcPr>
          <w:p w14:paraId="38431BD5"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Exiger que l’exploitation des ressources naturelles biologiques soit gérée d’une manière durable, y compris d’être soumise à un système indépendant de certification forestière pour les projets industriels, et d’accords de gestion forestière conjointe lorsque le projet n’est associé directement à une exploitation industrielle</w:t>
            </w:r>
          </w:p>
          <w:p w14:paraId="018F7E1E"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i/>
                <w:iCs/>
              </w:rPr>
              <w:t>Paragraphes 35-36</w:t>
            </w:r>
          </w:p>
        </w:tc>
        <w:tc>
          <w:tcPr>
            <w:tcW w:w="5850" w:type="dxa"/>
            <w:shd w:val="clear" w:color="auto" w:fill="auto"/>
            <w:vAlign w:val="center"/>
          </w:tcPr>
          <w:p w14:paraId="78E6002A" w14:textId="77777777" w:rsidR="006B2C01" w:rsidRPr="00BC30C6" w:rsidRDefault="006B2C01" w:rsidP="00D12C6F">
            <w:pPr>
              <w:pStyle w:val="Tabletext"/>
              <w:rPr>
                <w:rFonts w:ascii="Calibri" w:eastAsia="MS Mincho" w:hAnsi="Calibri" w:cs="Arial"/>
                <w:lang w:eastAsia="fr-FR"/>
              </w:rPr>
            </w:pPr>
          </w:p>
        </w:tc>
        <w:tc>
          <w:tcPr>
            <w:tcW w:w="3594" w:type="dxa"/>
            <w:shd w:val="clear" w:color="auto" w:fill="auto"/>
            <w:vAlign w:val="center"/>
          </w:tcPr>
          <w:p w14:paraId="2AA13F1A"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Cette disposition ne s’applique pas ay projet DECIM.</w:t>
            </w:r>
          </w:p>
        </w:tc>
      </w:tr>
      <w:tr w:rsidR="006B2C01" w:rsidRPr="007F78CE" w14:paraId="469C16C4" w14:textId="77777777" w:rsidTr="00B434A6">
        <w:trPr>
          <w:cantSplit/>
          <w:jc w:val="center"/>
        </w:trPr>
        <w:tc>
          <w:tcPr>
            <w:tcW w:w="5215" w:type="dxa"/>
          </w:tcPr>
          <w:p w14:paraId="6C9156A5"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Pour les fournisseurs principaux de ressources naturelles, contrôler les lieux de provenance, confirmer qu’ils ne contribuent pas d’une manière substantielle à la conversion ou la dégradation d’habitats naturels ou critiques, et sinon les remplacer</w:t>
            </w:r>
          </w:p>
          <w:p w14:paraId="1EB5E69D"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i/>
                <w:iCs/>
              </w:rPr>
              <w:t>Paragraphes 38 à 40</w:t>
            </w:r>
          </w:p>
        </w:tc>
        <w:tc>
          <w:tcPr>
            <w:tcW w:w="5850" w:type="dxa"/>
            <w:shd w:val="clear" w:color="auto" w:fill="auto"/>
            <w:vAlign w:val="center"/>
          </w:tcPr>
          <w:p w14:paraId="435CD373" w14:textId="77777777" w:rsidR="006B2C01" w:rsidRPr="00BC30C6" w:rsidRDefault="006B2C01" w:rsidP="00D12C6F">
            <w:pPr>
              <w:pStyle w:val="Tabletext"/>
              <w:rPr>
                <w:rFonts w:ascii="Calibri" w:eastAsia="MS Mincho" w:hAnsi="Calibri" w:cs="Arial"/>
                <w:lang w:eastAsia="fr-FR"/>
              </w:rPr>
            </w:pPr>
          </w:p>
        </w:tc>
        <w:tc>
          <w:tcPr>
            <w:tcW w:w="3594" w:type="dxa"/>
            <w:shd w:val="clear" w:color="auto" w:fill="auto"/>
            <w:vAlign w:val="center"/>
          </w:tcPr>
          <w:p w14:paraId="5B28C861"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Cette disposition ne s’applique pas ay projet DECIM.</w:t>
            </w:r>
          </w:p>
        </w:tc>
      </w:tr>
      <w:tr w:rsidR="006B2C01" w:rsidRPr="007F78CE" w14:paraId="555B8A85" w14:textId="77777777" w:rsidTr="00D12C6F">
        <w:trPr>
          <w:cantSplit/>
          <w:jc w:val="center"/>
        </w:trPr>
        <w:tc>
          <w:tcPr>
            <w:tcW w:w="14659" w:type="dxa"/>
            <w:gridSpan w:val="3"/>
            <w:shd w:val="clear" w:color="auto" w:fill="FBD4B4"/>
          </w:tcPr>
          <w:p w14:paraId="6D223BC3" w14:textId="77777777" w:rsidR="006B2C01" w:rsidRPr="00BC30C6" w:rsidRDefault="006B2C01" w:rsidP="00D12C6F">
            <w:pPr>
              <w:spacing w:before="60" w:after="60"/>
              <w:jc w:val="center"/>
              <w:rPr>
                <w:rFonts w:eastAsia="MS Mincho" w:cs="Arial"/>
                <w:b/>
                <w:bCs/>
              </w:rPr>
            </w:pPr>
            <w:r w:rsidRPr="00BC30C6">
              <w:rPr>
                <w:rFonts w:eastAsia="MS Mincho" w:cs="Arial"/>
                <w:b/>
                <w:bCs/>
              </w:rPr>
              <w:t>NES 8. Patrimoine culturel</w:t>
            </w:r>
          </w:p>
        </w:tc>
      </w:tr>
      <w:tr w:rsidR="006B2C01" w:rsidRPr="007F78CE" w14:paraId="4E567992" w14:textId="77777777" w:rsidTr="00B434A6">
        <w:trPr>
          <w:cantSplit/>
          <w:jc w:val="center"/>
        </w:trPr>
        <w:tc>
          <w:tcPr>
            <w:tcW w:w="5215" w:type="dxa"/>
          </w:tcPr>
          <w:p w14:paraId="33DDF2B3"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Inclure le patrimoine culturel dans l’évaluation environnementale et sociale, éviter les impacts négatifs sur le patrimoine culturel, sinon prévoir la mise en œuvre de mesures pour gérer ces impacts, et au besoin, élaborer un Plan de gestion du patrimoine culturel</w:t>
            </w:r>
          </w:p>
          <w:p w14:paraId="64B48375" w14:textId="77777777" w:rsidR="006B2C01" w:rsidRPr="00BC30C6" w:rsidRDefault="006B2C01" w:rsidP="00D12C6F">
            <w:pPr>
              <w:rPr>
                <w:rFonts w:eastAsia="MS Mincho" w:cs="Arial"/>
              </w:rPr>
            </w:pPr>
            <w:r w:rsidRPr="00BC30C6">
              <w:rPr>
                <w:rFonts w:eastAsia="MS Mincho" w:cs="Arial"/>
                <w:i/>
                <w:iCs/>
              </w:rPr>
              <w:t>Paragraphes 8</w:t>
            </w:r>
            <w:r w:rsidR="00EC25D8">
              <w:rPr>
                <w:rFonts w:eastAsia="MS Mincho" w:cs="Arial"/>
                <w:i/>
                <w:iCs/>
              </w:rPr>
              <w:t xml:space="preserve"> </w:t>
            </w:r>
            <w:r w:rsidRPr="00BC30C6">
              <w:rPr>
                <w:rFonts w:eastAsia="MS Mincho" w:cs="Arial"/>
                <w:i/>
                <w:iCs/>
              </w:rPr>
              <w:t>et 9</w:t>
            </w:r>
          </w:p>
        </w:tc>
        <w:tc>
          <w:tcPr>
            <w:tcW w:w="5850" w:type="dxa"/>
            <w:shd w:val="clear" w:color="auto" w:fill="auto"/>
            <w:vAlign w:val="center"/>
          </w:tcPr>
          <w:p w14:paraId="7C2415D0" w14:textId="77777777" w:rsidR="006B2C01" w:rsidRPr="00BC30C6" w:rsidRDefault="006B2C01" w:rsidP="00D12C6F">
            <w:pPr>
              <w:pStyle w:val="Tabletext"/>
              <w:rPr>
                <w:rFonts w:ascii="Calibri" w:eastAsia="MS Mincho" w:hAnsi="Calibri" w:cs="Arial"/>
              </w:rPr>
            </w:pPr>
            <w:r>
              <w:rPr>
                <w:rFonts w:ascii="Calibri" w:eastAsia="MS Mincho" w:hAnsi="Calibri" w:cs="Arial"/>
              </w:rPr>
              <w:t xml:space="preserve">Le cadre légal ne fait pas obligation d’élaborer un plan de gestion de patrimoine culturel </w:t>
            </w:r>
          </w:p>
        </w:tc>
        <w:tc>
          <w:tcPr>
            <w:tcW w:w="3594" w:type="dxa"/>
            <w:shd w:val="clear" w:color="auto" w:fill="auto"/>
            <w:vAlign w:val="center"/>
          </w:tcPr>
          <w:p w14:paraId="0F65C580"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spécifiques des NES</w:t>
            </w:r>
          </w:p>
        </w:tc>
      </w:tr>
      <w:tr w:rsidR="006B2C01" w:rsidRPr="007F78CE" w14:paraId="1ED1D5A5" w14:textId="77777777" w:rsidTr="00B434A6">
        <w:trPr>
          <w:cantSplit/>
          <w:jc w:val="center"/>
        </w:trPr>
        <w:tc>
          <w:tcPr>
            <w:tcW w:w="5215" w:type="dxa"/>
          </w:tcPr>
          <w:p w14:paraId="6682A71C"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Inclure une procédure de découverte fortuite dans tous les marchés et contrats de construction du projet comprenant des fouilles, des démolitions, des terrassements, des inondations et d’autres modifications physiques de l’environnement, en cas de découverte, durant les activités du projet, d’un patrimoine culturel inconnu auparavant.</w:t>
            </w:r>
          </w:p>
          <w:p w14:paraId="3D51CB8B" w14:textId="77777777" w:rsidR="006B2C01" w:rsidRPr="00BC30C6" w:rsidRDefault="006B2C01" w:rsidP="00D12C6F">
            <w:pPr>
              <w:rPr>
                <w:rFonts w:eastAsia="MS Mincho" w:cs="Arial"/>
              </w:rPr>
            </w:pPr>
            <w:r w:rsidRPr="00BC30C6">
              <w:rPr>
                <w:rFonts w:eastAsia="MS Mincho" w:cs="Arial"/>
                <w:i/>
                <w:iCs/>
              </w:rPr>
              <w:t>Paragraphe 11</w:t>
            </w:r>
          </w:p>
        </w:tc>
        <w:tc>
          <w:tcPr>
            <w:tcW w:w="5850" w:type="dxa"/>
            <w:shd w:val="clear" w:color="auto" w:fill="auto"/>
            <w:vAlign w:val="center"/>
          </w:tcPr>
          <w:p w14:paraId="05FA5C55" w14:textId="77777777" w:rsidR="006B2C01" w:rsidRPr="0044246D" w:rsidRDefault="006B2C01" w:rsidP="00D12C6F">
            <w:pPr>
              <w:rPr>
                <w:rFonts w:eastAsia="MS Mincho" w:cs="Arial"/>
                <w:w w:val="104"/>
                <w:sz w:val="20"/>
                <w:szCs w:val="10"/>
              </w:rPr>
            </w:pPr>
            <w:r w:rsidRPr="0044246D">
              <w:rPr>
                <w:rFonts w:eastAsia="MS Mincho" w:cs="Arial"/>
                <w:w w:val="104"/>
                <w:sz w:val="20"/>
                <w:szCs w:val="10"/>
              </w:rPr>
              <w:t>Existence de procédure à suivre, en cas de découverte des biens de patrimoine culturel et de patrimoine nature au cours d’une fouille.</w:t>
            </w:r>
          </w:p>
          <w:p w14:paraId="70B4CB45" w14:textId="77777777" w:rsidR="006B2C01" w:rsidRPr="0044246D" w:rsidRDefault="006B2C01" w:rsidP="00D12C6F">
            <w:pPr>
              <w:rPr>
                <w:rFonts w:eastAsia="MS Mincho" w:cs="Arial"/>
                <w:i/>
                <w:iCs/>
                <w:w w:val="104"/>
                <w:sz w:val="20"/>
                <w:szCs w:val="10"/>
              </w:rPr>
            </w:pPr>
            <w:r w:rsidRPr="0044246D">
              <w:rPr>
                <w:rFonts w:eastAsia="MS Mincho" w:cs="Arial"/>
                <w:i/>
                <w:iCs/>
                <w:w w:val="104"/>
                <w:sz w:val="20"/>
                <w:szCs w:val="10"/>
              </w:rPr>
              <w:t>Ordonnance N°82-O29 relative à la sauvegarde, la protection et la conservation du patrimoine national [Articles 7 à 13]</w:t>
            </w:r>
          </w:p>
          <w:p w14:paraId="62E6FE37" w14:textId="77777777" w:rsidR="006B2C01" w:rsidRPr="00BC30C6" w:rsidRDefault="006B2C01" w:rsidP="00D12C6F">
            <w:pPr>
              <w:rPr>
                <w:rFonts w:eastAsia="MS Mincho" w:cs="Arial"/>
              </w:rPr>
            </w:pPr>
          </w:p>
        </w:tc>
        <w:tc>
          <w:tcPr>
            <w:tcW w:w="3594" w:type="dxa"/>
            <w:shd w:val="clear" w:color="auto" w:fill="auto"/>
            <w:vAlign w:val="center"/>
          </w:tcPr>
          <w:p w14:paraId="52B37067" w14:textId="77777777" w:rsidR="006B2C01" w:rsidRPr="007F78CE" w:rsidRDefault="006B2C01" w:rsidP="00D12C6F">
            <w:pPr>
              <w:rPr>
                <w:rFonts w:eastAsia="MS Mincho"/>
                <w:sz w:val="20"/>
              </w:rPr>
            </w:pPr>
            <w:r w:rsidRPr="007F78CE">
              <w:rPr>
                <w:rFonts w:eastAsia="MS Mincho"/>
                <w:sz w:val="20"/>
              </w:rPr>
              <w:t xml:space="preserve">Complémentarité et concordance entre les deux cadres réglementaires. </w:t>
            </w:r>
          </w:p>
          <w:p w14:paraId="48EBF2E3"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xml:space="preserve"> : Application des dispositions spécifiques des NES et des dispositions de l’Ordonnance et de son décret d’application </w:t>
            </w:r>
          </w:p>
        </w:tc>
      </w:tr>
      <w:tr w:rsidR="006B2C01" w:rsidRPr="007F78CE" w14:paraId="5F605AFD" w14:textId="77777777" w:rsidTr="00B434A6">
        <w:trPr>
          <w:cantSplit/>
          <w:jc w:val="center"/>
        </w:trPr>
        <w:tc>
          <w:tcPr>
            <w:tcW w:w="5215" w:type="dxa"/>
          </w:tcPr>
          <w:p w14:paraId="72FDD2FC"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Identifier, conformément à la NES 10, toutes les parties concernées par le patrimoine culturel connu ou susceptible d’être découvert durant le projet, et tenir des consultations approfondies avec les parties prenantes, conformément à la NES 10.</w:t>
            </w:r>
          </w:p>
          <w:p w14:paraId="0E9408A8" w14:textId="77777777" w:rsidR="006B2C01" w:rsidRPr="00BC30C6" w:rsidRDefault="006B2C01" w:rsidP="00D12C6F">
            <w:pPr>
              <w:rPr>
                <w:rFonts w:eastAsia="MS Mincho" w:cs="Arial"/>
              </w:rPr>
            </w:pPr>
            <w:r w:rsidRPr="00BC30C6">
              <w:rPr>
                <w:rFonts w:eastAsia="MS Mincho" w:cs="Arial"/>
                <w:i/>
                <w:iCs/>
              </w:rPr>
              <w:t>Paragraphe 13 et 14</w:t>
            </w:r>
          </w:p>
        </w:tc>
        <w:tc>
          <w:tcPr>
            <w:tcW w:w="5850" w:type="dxa"/>
            <w:shd w:val="clear" w:color="auto" w:fill="auto"/>
            <w:vAlign w:val="center"/>
          </w:tcPr>
          <w:p w14:paraId="601CD94A" w14:textId="77777777" w:rsidR="006B2C01" w:rsidRDefault="006B2C01" w:rsidP="00B434A6">
            <w:pPr>
              <w:spacing w:after="120"/>
              <w:rPr>
                <w:rFonts w:ascii="arial gras" w:eastAsia="MS Mincho" w:hAnsi="arial gras" w:cs="Arial" w:hint="eastAsia"/>
                <w:b/>
                <w:smallCaps/>
                <w:color w:val="000000"/>
                <w:w w:val="104"/>
                <w:sz w:val="20"/>
                <w:szCs w:val="10"/>
              </w:rPr>
            </w:pPr>
            <w:r w:rsidRPr="003A2DA0">
              <w:rPr>
                <w:rFonts w:eastAsia="MS Mincho" w:cs="Arial"/>
                <w:w w:val="104"/>
                <w:sz w:val="20"/>
                <w:szCs w:val="10"/>
              </w:rPr>
              <w:t xml:space="preserve">La consultation des parties prenantes ne constitue pas une obligation </w:t>
            </w:r>
            <w:r>
              <w:rPr>
                <w:rFonts w:eastAsia="MS Mincho" w:cs="Arial"/>
                <w:w w:val="104"/>
                <w:sz w:val="20"/>
                <w:szCs w:val="10"/>
              </w:rPr>
              <w:t xml:space="preserve">selon le cadre légal national. Les parties prenantes concernées se limitent aux départements ministériels en charge de la Culture (commission de recherche et des fouilles) et les collectivités territoriales décentralisées. </w:t>
            </w:r>
          </w:p>
          <w:p w14:paraId="4DC8D7EE" w14:textId="77777777" w:rsidR="006B2C01" w:rsidRPr="007F78CE" w:rsidRDefault="006B2C01" w:rsidP="00B434A6">
            <w:pPr>
              <w:spacing w:after="120"/>
              <w:rPr>
                <w:rFonts w:ascii="arial gras" w:eastAsia="Times New Roman" w:hAnsi="arial gras"/>
                <w:b/>
                <w:smallCaps/>
                <w:color w:val="000000"/>
              </w:rPr>
            </w:pPr>
            <w:r w:rsidRPr="009B7AC5">
              <w:rPr>
                <w:rFonts w:eastAsia="MS Mincho" w:cs="Arial"/>
                <w:w w:val="104"/>
                <w:sz w:val="20"/>
                <w:szCs w:val="10"/>
              </w:rPr>
              <w:t>En cas de découverte fortuite, le chercheur doit aviser le président du Fokontany</w:t>
            </w:r>
            <w:r>
              <w:rPr>
                <w:rFonts w:eastAsia="MS Mincho" w:cs="Arial"/>
                <w:w w:val="104"/>
                <w:sz w:val="20"/>
                <w:szCs w:val="10"/>
              </w:rPr>
              <w:t>.</w:t>
            </w:r>
          </w:p>
          <w:p w14:paraId="2D109C74" w14:textId="77777777" w:rsidR="006B2C01" w:rsidRDefault="006B2C01" w:rsidP="00B434A6">
            <w:pPr>
              <w:spacing w:after="120"/>
              <w:rPr>
                <w:rFonts w:ascii="arial gras" w:eastAsia="MS Mincho" w:hAnsi="arial gras" w:cs="Arial" w:hint="eastAsia"/>
                <w:b/>
                <w:i/>
                <w:iCs/>
                <w:smallCaps/>
                <w:color w:val="000000"/>
                <w:w w:val="104"/>
                <w:sz w:val="20"/>
                <w:szCs w:val="10"/>
              </w:rPr>
            </w:pPr>
            <w:r w:rsidRPr="003A2DA0">
              <w:rPr>
                <w:rFonts w:eastAsia="MS Mincho" w:cs="Arial"/>
                <w:i/>
                <w:iCs/>
                <w:w w:val="104"/>
                <w:sz w:val="20"/>
                <w:szCs w:val="10"/>
              </w:rPr>
              <w:t xml:space="preserve">DECRET N° 83-116 </w:t>
            </w:r>
            <w:r>
              <w:rPr>
                <w:rFonts w:eastAsia="MS Mincho" w:cs="Arial"/>
                <w:i/>
                <w:iCs/>
                <w:w w:val="104"/>
                <w:sz w:val="20"/>
                <w:szCs w:val="10"/>
              </w:rPr>
              <w:t>f</w:t>
            </w:r>
            <w:r w:rsidRPr="003A2DA0">
              <w:rPr>
                <w:rFonts w:eastAsia="MS Mincho" w:cs="Arial"/>
                <w:i/>
                <w:iCs/>
                <w:w w:val="104"/>
                <w:sz w:val="20"/>
                <w:szCs w:val="10"/>
              </w:rPr>
              <w:t>ixant les modalités d'application de l'ordonnance n° 82-029 du 6 novembre 1982 sur la sauvegarde, la protection et la conservation du patrimoine national</w:t>
            </w:r>
            <w:r w:rsidRPr="0044246D">
              <w:rPr>
                <w:rFonts w:eastAsia="MS Mincho" w:cs="Arial"/>
                <w:i/>
                <w:iCs/>
                <w:w w:val="104"/>
                <w:sz w:val="20"/>
                <w:szCs w:val="10"/>
              </w:rPr>
              <w:t xml:space="preserve"> [Article</w:t>
            </w:r>
            <w:r>
              <w:rPr>
                <w:rFonts w:eastAsia="MS Mincho" w:cs="Arial"/>
                <w:i/>
                <w:iCs/>
                <w:w w:val="104"/>
                <w:sz w:val="20"/>
                <w:szCs w:val="10"/>
              </w:rPr>
              <w:t xml:space="preserve"> 21</w:t>
            </w:r>
            <w:r w:rsidRPr="0044246D">
              <w:rPr>
                <w:rFonts w:eastAsia="MS Mincho" w:cs="Arial"/>
                <w:i/>
                <w:iCs/>
                <w:w w:val="104"/>
                <w:sz w:val="20"/>
                <w:szCs w:val="10"/>
              </w:rPr>
              <w:t>]</w:t>
            </w:r>
          </w:p>
          <w:p w14:paraId="714EE38E" w14:textId="77777777" w:rsidR="006B2C01" w:rsidRPr="009B7AC5" w:rsidRDefault="006B2C01" w:rsidP="00B434A6">
            <w:pPr>
              <w:spacing w:after="120"/>
              <w:rPr>
                <w:rFonts w:ascii="arial gras" w:eastAsia="MS Mincho" w:hAnsi="arial gras" w:cs="Arial" w:hint="eastAsia"/>
                <w:b/>
                <w:i/>
                <w:iCs/>
                <w:smallCaps/>
                <w:color w:val="000000"/>
                <w:w w:val="104"/>
                <w:sz w:val="20"/>
                <w:szCs w:val="10"/>
              </w:rPr>
            </w:pPr>
            <w:r w:rsidRPr="009B7AC5">
              <w:rPr>
                <w:rFonts w:eastAsia="MS Mincho" w:cs="Arial"/>
                <w:w w:val="104"/>
                <w:sz w:val="20"/>
                <w:szCs w:val="10"/>
              </w:rPr>
              <w:t xml:space="preserve">En cas de découverte fortuite, le président du comité exécutif du Fokontany doit immédiatement informer le service provincial du </w:t>
            </w:r>
            <w:r>
              <w:rPr>
                <w:rFonts w:eastAsia="MS Mincho" w:cs="Arial"/>
                <w:w w:val="104"/>
                <w:sz w:val="20"/>
                <w:szCs w:val="10"/>
              </w:rPr>
              <w:t>m</w:t>
            </w:r>
            <w:r w:rsidRPr="009B7AC5">
              <w:rPr>
                <w:rFonts w:eastAsia="MS Mincho" w:cs="Arial"/>
                <w:w w:val="104"/>
                <w:sz w:val="20"/>
                <w:szCs w:val="10"/>
              </w:rPr>
              <w:t xml:space="preserve">inistère chargé de la protection du patrimoine national avec ampliation au président du Firaisana, du Fivondronana, Faritany et à la commission de recherche et de fouilles </w:t>
            </w:r>
          </w:p>
          <w:p w14:paraId="7A7CC17C" w14:textId="77777777" w:rsidR="006B2C01" w:rsidRPr="00BC30C6" w:rsidRDefault="006B2C01" w:rsidP="00B434A6">
            <w:pPr>
              <w:spacing w:after="120"/>
              <w:rPr>
                <w:rFonts w:eastAsia="MS Mincho" w:cs="Arial"/>
              </w:rPr>
            </w:pPr>
            <w:r w:rsidRPr="003A2DA0">
              <w:rPr>
                <w:rFonts w:eastAsia="MS Mincho" w:cs="Arial"/>
                <w:i/>
                <w:iCs/>
                <w:w w:val="104"/>
                <w:sz w:val="20"/>
                <w:szCs w:val="10"/>
              </w:rPr>
              <w:t xml:space="preserve">DECRET N° 83-116 </w:t>
            </w:r>
            <w:r>
              <w:rPr>
                <w:rFonts w:eastAsia="MS Mincho" w:cs="Arial"/>
                <w:i/>
                <w:iCs/>
                <w:w w:val="104"/>
                <w:sz w:val="20"/>
                <w:szCs w:val="10"/>
              </w:rPr>
              <w:t>f</w:t>
            </w:r>
            <w:r w:rsidRPr="003A2DA0">
              <w:rPr>
                <w:rFonts w:eastAsia="MS Mincho" w:cs="Arial"/>
                <w:i/>
                <w:iCs/>
                <w:w w:val="104"/>
                <w:sz w:val="20"/>
                <w:szCs w:val="10"/>
              </w:rPr>
              <w:t>ixant les modalités d'application de l'ordonnance n° 82-029 du 6 novembre 1982 sur la sauvegarde, la protection et la conservation du patrimoine national</w:t>
            </w:r>
            <w:r w:rsidRPr="0044246D">
              <w:rPr>
                <w:rFonts w:eastAsia="MS Mincho" w:cs="Arial"/>
                <w:i/>
                <w:iCs/>
                <w:w w:val="104"/>
                <w:sz w:val="20"/>
                <w:szCs w:val="10"/>
              </w:rPr>
              <w:t xml:space="preserve"> [Article</w:t>
            </w:r>
            <w:r>
              <w:rPr>
                <w:rFonts w:eastAsia="MS Mincho" w:cs="Arial"/>
                <w:i/>
                <w:iCs/>
                <w:w w:val="104"/>
                <w:sz w:val="20"/>
                <w:szCs w:val="10"/>
              </w:rPr>
              <w:t xml:space="preserve"> 24</w:t>
            </w:r>
            <w:r w:rsidRPr="0044246D">
              <w:rPr>
                <w:rFonts w:eastAsia="MS Mincho" w:cs="Arial"/>
                <w:i/>
                <w:iCs/>
                <w:w w:val="104"/>
                <w:sz w:val="20"/>
                <w:szCs w:val="10"/>
              </w:rPr>
              <w:t>]</w:t>
            </w:r>
          </w:p>
        </w:tc>
        <w:tc>
          <w:tcPr>
            <w:tcW w:w="3594" w:type="dxa"/>
            <w:shd w:val="clear" w:color="auto" w:fill="auto"/>
            <w:vAlign w:val="center"/>
          </w:tcPr>
          <w:p w14:paraId="1F17987A" w14:textId="77777777" w:rsidR="006B2C01" w:rsidRPr="007F78CE" w:rsidRDefault="006B2C01" w:rsidP="00D12C6F">
            <w:pPr>
              <w:rPr>
                <w:rFonts w:eastAsia="MS Mincho"/>
                <w:sz w:val="20"/>
              </w:rPr>
            </w:pPr>
            <w:r w:rsidRPr="007F78CE">
              <w:rPr>
                <w:rFonts w:eastAsia="MS Mincho"/>
                <w:sz w:val="20"/>
              </w:rPr>
              <w:t xml:space="preserve">Complémentarité et concordance entre les deux cadres réglementaires. </w:t>
            </w:r>
          </w:p>
          <w:p w14:paraId="67413F7C" w14:textId="77777777" w:rsidR="006B2C01" w:rsidRPr="007F78CE" w:rsidRDefault="006B2C01" w:rsidP="00D12C6F">
            <w:pPr>
              <w:rPr>
                <w:rFonts w:eastAsia="MS Mincho"/>
                <w:sz w:val="20"/>
              </w:rPr>
            </w:pPr>
            <w:r w:rsidRPr="007F78CE">
              <w:rPr>
                <w:rFonts w:eastAsia="MS Mincho"/>
                <w:sz w:val="20"/>
              </w:rPr>
              <w:t>Les dispositions du cadre national sont dans une certaine mesure en désuétude.</w:t>
            </w:r>
          </w:p>
          <w:p w14:paraId="4D2D569B"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spécifiques des NES et des dispositions de l’Ordonnance et de son décret d’application</w:t>
            </w:r>
          </w:p>
        </w:tc>
      </w:tr>
      <w:tr w:rsidR="006B2C01" w:rsidRPr="007F78CE" w14:paraId="40D2C138" w14:textId="77777777" w:rsidTr="00B434A6">
        <w:trPr>
          <w:cantSplit/>
          <w:jc w:val="center"/>
        </w:trPr>
        <w:tc>
          <w:tcPr>
            <w:tcW w:w="5215" w:type="dxa"/>
          </w:tcPr>
          <w:p w14:paraId="0E8F7E38"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Lorsque le site du projet abrite un patrimoine culturel ou bloque l’accès à des sites du patrimoine culturel accessibles auparavant, autoriser l’accès continu aux sites culturels, ou ouvrir une autre voie d’accès.</w:t>
            </w:r>
          </w:p>
          <w:p w14:paraId="31E9E9CF" w14:textId="77777777" w:rsidR="006B2C01" w:rsidRPr="00BC30C6" w:rsidRDefault="006B2C01" w:rsidP="00D12C6F">
            <w:pPr>
              <w:rPr>
                <w:rFonts w:eastAsia="MS Mincho" w:cs="Arial"/>
              </w:rPr>
            </w:pPr>
            <w:r w:rsidRPr="00BC30C6">
              <w:rPr>
                <w:rFonts w:eastAsia="MS Mincho" w:cs="Arial"/>
                <w:i/>
                <w:iCs/>
              </w:rPr>
              <w:t>Paragraphes 16</w:t>
            </w:r>
          </w:p>
        </w:tc>
        <w:tc>
          <w:tcPr>
            <w:tcW w:w="5850" w:type="dxa"/>
            <w:shd w:val="clear" w:color="auto" w:fill="auto"/>
            <w:vAlign w:val="center"/>
          </w:tcPr>
          <w:p w14:paraId="75BB7E44" w14:textId="77777777" w:rsidR="006B2C01" w:rsidRPr="00BC30C6" w:rsidRDefault="006B2C01" w:rsidP="00D12C6F">
            <w:pPr>
              <w:rPr>
                <w:rFonts w:eastAsia="MS Mincho" w:cs="Arial"/>
              </w:rPr>
            </w:pPr>
            <w:r w:rsidRPr="00617A60">
              <w:rPr>
                <w:rFonts w:eastAsia="MS Mincho" w:cs="Arial"/>
                <w:w w:val="104"/>
                <w:sz w:val="20"/>
                <w:szCs w:val="10"/>
              </w:rPr>
              <w:t xml:space="preserve">La question d’accès </w:t>
            </w:r>
            <w:r>
              <w:rPr>
                <w:rFonts w:eastAsia="MS Mincho" w:cs="Arial"/>
                <w:w w:val="104"/>
                <w:sz w:val="20"/>
                <w:szCs w:val="10"/>
              </w:rPr>
              <w:t xml:space="preserve">vers les sites culturels identifiés </w:t>
            </w:r>
            <w:r w:rsidRPr="00617A60">
              <w:rPr>
                <w:rFonts w:eastAsia="MS Mincho" w:cs="Arial"/>
                <w:w w:val="104"/>
                <w:sz w:val="20"/>
                <w:szCs w:val="10"/>
              </w:rPr>
              <w:t>n’est pas pris</w:t>
            </w:r>
            <w:r>
              <w:rPr>
                <w:rFonts w:eastAsia="MS Mincho" w:cs="Arial"/>
                <w:w w:val="104"/>
                <w:sz w:val="20"/>
                <w:szCs w:val="10"/>
              </w:rPr>
              <w:t>e</w:t>
            </w:r>
            <w:r w:rsidRPr="00617A60">
              <w:rPr>
                <w:rFonts w:eastAsia="MS Mincho" w:cs="Arial"/>
                <w:w w:val="104"/>
                <w:sz w:val="20"/>
                <w:szCs w:val="10"/>
              </w:rPr>
              <w:t xml:space="preserve"> en compte dans le cadre législatif national.</w:t>
            </w:r>
          </w:p>
        </w:tc>
        <w:tc>
          <w:tcPr>
            <w:tcW w:w="3594" w:type="dxa"/>
            <w:shd w:val="clear" w:color="auto" w:fill="auto"/>
            <w:vAlign w:val="center"/>
          </w:tcPr>
          <w:p w14:paraId="34E7EF44"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spécifiques des NES</w:t>
            </w:r>
          </w:p>
        </w:tc>
      </w:tr>
      <w:tr w:rsidR="006B2C01" w:rsidRPr="007F78CE" w14:paraId="2206C1F2" w14:textId="77777777" w:rsidTr="00B434A6">
        <w:trPr>
          <w:cantSplit/>
          <w:jc w:val="center"/>
        </w:trPr>
        <w:tc>
          <w:tcPr>
            <w:tcW w:w="5215" w:type="dxa"/>
          </w:tcPr>
          <w:p w14:paraId="704B600D"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Dresser l’inventaire de toutes les aires protégées touchées par le projet qui abritent un patrimoine culturel classé</w:t>
            </w:r>
          </w:p>
          <w:p w14:paraId="16B0C358" w14:textId="77777777" w:rsidR="006B2C01" w:rsidRPr="00BC30C6" w:rsidRDefault="006B2C01" w:rsidP="00D12C6F">
            <w:pPr>
              <w:rPr>
                <w:rFonts w:eastAsia="MS Mincho" w:cs="Arial"/>
              </w:rPr>
            </w:pPr>
            <w:r w:rsidRPr="00BC30C6">
              <w:rPr>
                <w:rFonts w:eastAsia="MS Mincho" w:cs="Arial"/>
                <w:i/>
                <w:iCs/>
              </w:rPr>
              <w:t>Paragraphes 17</w:t>
            </w:r>
          </w:p>
        </w:tc>
        <w:tc>
          <w:tcPr>
            <w:tcW w:w="5850" w:type="dxa"/>
            <w:shd w:val="clear" w:color="auto" w:fill="auto"/>
            <w:vAlign w:val="center"/>
          </w:tcPr>
          <w:p w14:paraId="1642BABF" w14:textId="77777777" w:rsidR="006B2C01" w:rsidRPr="00BC30C6" w:rsidRDefault="006B2C01" w:rsidP="00D12C6F">
            <w:pPr>
              <w:rPr>
                <w:rFonts w:eastAsia="MS Mincho" w:cs="Arial"/>
              </w:rPr>
            </w:pPr>
          </w:p>
        </w:tc>
        <w:tc>
          <w:tcPr>
            <w:tcW w:w="3594" w:type="dxa"/>
            <w:shd w:val="clear" w:color="auto" w:fill="auto"/>
            <w:vAlign w:val="center"/>
          </w:tcPr>
          <w:p w14:paraId="1902F892" w14:textId="77777777" w:rsidR="006B2C01" w:rsidRPr="00BC30C6" w:rsidRDefault="006B2C01" w:rsidP="00B434A6">
            <w:pPr>
              <w:spacing w:after="120"/>
              <w:rPr>
                <w:rFonts w:eastAsia="MS Mincho" w:cs="Arial"/>
              </w:rPr>
            </w:pPr>
            <w:r w:rsidRPr="007F78CE">
              <w:rPr>
                <w:rFonts w:eastAsia="MS Mincho"/>
                <w:sz w:val="20"/>
                <w:u w:val="single"/>
              </w:rPr>
              <w:t>Conclusion</w:t>
            </w:r>
            <w:r w:rsidRPr="007F78CE">
              <w:rPr>
                <w:rFonts w:eastAsia="MS Mincho"/>
                <w:sz w:val="20"/>
              </w:rPr>
              <w:t> : Cette disposition ne s’applique pas au projet DECIM dans la mesure où le projet n’intervient pas dans les aires protégées.</w:t>
            </w:r>
          </w:p>
        </w:tc>
      </w:tr>
      <w:tr w:rsidR="006B2C01" w:rsidRPr="007F78CE" w14:paraId="5A7AA436" w14:textId="77777777" w:rsidTr="00B434A6">
        <w:trPr>
          <w:cantSplit/>
          <w:jc w:val="center"/>
        </w:trPr>
        <w:tc>
          <w:tcPr>
            <w:tcW w:w="5215" w:type="dxa"/>
          </w:tcPr>
          <w:p w14:paraId="784B30A2"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Lorsqu’il existe une forte probabilité d’activité humaine passée dans la zone du projet, procéder à une recherche documentaire et des enquêtes de terrain pour enregistrer, cartographier et étudier les vestiges archéologiques, garder trace écrite de l’emplacement de sites découverts, et transmettre les informations aux institutions nationales ou locales concernées.</w:t>
            </w:r>
          </w:p>
          <w:p w14:paraId="7795C13E" w14:textId="77777777" w:rsidR="006B2C01" w:rsidRPr="00BC30C6" w:rsidRDefault="006B2C01" w:rsidP="00D12C6F">
            <w:pPr>
              <w:rPr>
                <w:rFonts w:eastAsia="MS Mincho" w:cs="Arial"/>
              </w:rPr>
            </w:pPr>
            <w:r w:rsidRPr="00BC30C6">
              <w:rPr>
                <w:rFonts w:eastAsia="MS Mincho" w:cs="Arial"/>
                <w:i/>
                <w:iCs/>
              </w:rPr>
              <w:t>Paragraphes 18 à 20</w:t>
            </w:r>
          </w:p>
        </w:tc>
        <w:tc>
          <w:tcPr>
            <w:tcW w:w="5850" w:type="dxa"/>
            <w:shd w:val="clear" w:color="auto" w:fill="auto"/>
            <w:vAlign w:val="center"/>
          </w:tcPr>
          <w:p w14:paraId="4723543F" w14:textId="77777777" w:rsidR="006B2C01" w:rsidRPr="00BC30C6" w:rsidRDefault="006B2C01" w:rsidP="00D12C6F">
            <w:pPr>
              <w:rPr>
                <w:rFonts w:eastAsia="MS Mincho" w:cs="Arial"/>
              </w:rPr>
            </w:pPr>
            <w:r w:rsidRPr="00AA59AD">
              <w:rPr>
                <w:rFonts w:eastAsia="MS Mincho" w:cs="Arial"/>
                <w:w w:val="104"/>
                <w:sz w:val="20"/>
                <w:szCs w:val="10"/>
              </w:rPr>
              <w:t xml:space="preserve">Le cadre législatif national ne </w:t>
            </w:r>
            <w:r>
              <w:rPr>
                <w:rFonts w:eastAsia="MS Mincho" w:cs="Arial"/>
                <w:w w:val="104"/>
                <w:sz w:val="20"/>
                <w:szCs w:val="10"/>
              </w:rPr>
              <w:t>prévoit pas</w:t>
            </w:r>
            <w:r w:rsidRPr="00AA59AD">
              <w:rPr>
                <w:rFonts w:eastAsia="MS Mincho" w:cs="Arial"/>
                <w:w w:val="104"/>
                <w:sz w:val="20"/>
                <w:szCs w:val="10"/>
              </w:rPr>
              <w:t xml:space="preserve"> des indications sur la nécessité de faire des enquêtes préalables auprès de</w:t>
            </w:r>
            <w:r>
              <w:rPr>
                <w:rFonts w:eastAsia="MS Mincho" w:cs="Arial"/>
                <w:w w:val="104"/>
                <w:sz w:val="20"/>
                <w:szCs w:val="10"/>
              </w:rPr>
              <w:t>s autorités locales pour approfondir l’investigation</w:t>
            </w:r>
          </w:p>
        </w:tc>
        <w:tc>
          <w:tcPr>
            <w:tcW w:w="3594" w:type="dxa"/>
            <w:shd w:val="clear" w:color="auto" w:fill="auto"/>
            <w:vAlign w:val="center"/>
          </w:tcPr>
          <w:p w14:paraId="3163BDF1"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spécifiques des NES</w:t>
            </w:r>
          </w:p>
        </w:tc>
      </w:tr>
      <w:tr w:rsidR="006B2C01" w:rsidRPr="007F78CE" w14:paraId="030615C3" w14:textId="77777777" w:rsidTr="00B434A6">
        <w:trPr>
          <w:cantSplit/>
          <w:jc w:val="center"/>
        </w:trPr>
        <w:tc>
          <w:tcPr>
            <w:tcW w:w="5215" w:type="dxa"/>
          </w:tcPr>
          <w:p w14:paraId="2DFA8768"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Définir des mesures d’atténuation appropriées pour remédier aux impacts négatifs sur le patrimoine bâti, préserver l’authenticité des formes, des matériaux et des techniques de construction, ainsi que l’environnement physique et visuel des structures historiques.</w:t>
            </w:r>
          </w:p>
          <w:p w14:paraId="7F2967CF" w14:textId="77777777" w:rsidR="006B2C01" w:rsidRPr="00BC30C6" w:rsidRDefault="006B2C01" w:rsidP="00D12C6F">
            <w:pPr>
              <w:rPr>
                <w:rFonts w:eastAsia="MS Mincho" w:cs="Arial"/>
              </w:rPr>
            </w:pPr>
            <w:r w:rsidRPr="00BC30C6">
              <w:rPr>
                <w:rFonts w:eastAsia="MS Mincho" w:cs="Arial"/>
                <w:i/>
                <w:iCs/>
              </w:rPr>
              <w:t>Paragraphes 21 à 23</w:t>
            </w:r>
          </w:p>
        </w:tc>
        <w:tc>
          <w:tcPr>
            <w:tcW w:w="5850" w:type="dxa"/>
            <w:shd w:val="clear" w:color="auto" w:fill="auto"/>
            <w:vAlign w:val="center"/>
          </w:tcPr>
          <w:p w14:paraId="728077E4" w14:textId="77777777" w:rsidR="006B2C01" w:rsidRPr="00BC30C6" w:rsidRDefault="006B2C01" w:rsidP="00D12C6F">
            <w:pPr>
              <w:rPr>
                <w:rFonts w:eastAsia="MS Mincho" w:cs="Arial"/>
              </w:rPr>
            </w:pPr>
          </w:p>
        </w:tc>
        <w:tc>
          <w:tcPr>
            <w:tcW w:w="3594" w:type="dxa"/>
            <w:shd w:val="clear" w:color="auto" w:fill="auto"/>
            <w:vAlign w:val="center"/>
          </w:tcPr>
          <w:p w14:paraId="4584643B" w14:textId="77777777" w:rsidR="006B2C01" w:rsidRPr="00BC30C6" w:rsidRDefault="006B2C01" w:rsidP="00B434A6">
            <w:pPr>
              <w:spacing w:after="120"/>
              <w:rPr>
                <w:rFonts w:eastAsia="MS Mincho" w:cs="Arial"/>
              </w:rPr>
            </w:pPr>
            <w:r w:rsidRPr="007F78CE">
              <w:rPr>
                <w:rFonts w:eastAsia="MS Mincho"/>
                <w:sz w:val="20"/>
                <w:u w:val="single"/>
              </w:rPr>
              <w:t>Conclusion</w:t>
            </w:r>
            <w:r w:rsidRPr="007F78CE">
              <w:rPr>
                <w:rFonts w:eastAsia="MS Mincho"/>
                <w:sz w:val="20"/>
              </w:rPr>
              <w:t> : Cette disposition ne s’applique pas au projet DECIM dans la mesure où le projet n’intervient pas dans les zones urbaines où il est question de préservation de patrimoine bâti.</w:t>
            </w:r>
          </w:p>
        </w:tc>
      </w:tr>
      <w:tr w:rsidR="006B2C01" w:rsidRPr="007F78CE" w14:paraId="67B4BAA8" w14:textId="77777777" w:rsidTr="00B434A6">
        <w:trPr>
          <w:cantSplit/>
          <w:jc w:val="center"/>
        </w:trPr>
        <w:tc>
          <w:tcPr>
            <w:tcW w:w="5215" w:type="dxa"/>
          </w:tcPr>
          <w:p w14:paraId="1B7D83A7"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Identifier, à travers la recherche et des consultations avec les parties concernées, les éléments naturels d’importance pour le patrimoine culturel qui pourraient être touchés par le projet, les populations qui valorisent ces éléments et les individus ou groupes qui sont habilités à représenter ces populations.</w:t>
            </w:r>
          </w:p>
          <w:p w14:paraId="39305EC9" w14:textId="77777777" w:rsidR="006B2C01" w:rsidRPr="00BC30C6" w:rsidRDefault="006B2C01" w:rsidP="00D12C6F">
            <w:pPr>
              <w:rPr>
                <w:rFonts w:eastAsia="MS Mincho" w:cs="Arial"/>
              </w:rPr>
            </w:pPr>
            <w:r w:rsidRPr="00BC30C6">
              <w:rPr>
                <w:rFonts w:eastAsia="MS Mincho" w:cs="Arial"/>
                <w:i/>
                <w:iCs/>
              </w:rPr>
              <w:t>Paragraphes 24 à 26</w:t>
            </w:r>
          </w:p>
        </w:tc>
        <w:tc>
          <w:tcPr>
            <w:tcW w:w="5850" w:type="dxa"/>
            <w:shd w:val="clear" w:color="auto" w:fill="auto"/>
            <w:vAlign w:val="center"/>
          </w:tcPr>
          <w:p w14:paraId="0FB10995" w14:textId="77777777" w:rsidR="006B2C01" w:rsidRPr="00BC30C6" w:rsidRDefault="006B2C01" w:rsidP="00D12C6F">
            <w:pPr>
              <w:rPr>
                <w:rFonts w:eastAsia="MS Mincho" w:cs="Arial"/>
              </w:rPr>
            </w:pPr>
            <w:r w:rsidRPr="00AA59AD">
              <w:rPr>
                <w:rFonts w:eastAsia="MS Mincho" w:cs="Arial"/>
                <w:w w:val="104"/>
                <w:sz w:val="20"/>
                <w:szCs w:val="10"/>
              </w:rPr>
              <w:t xml:space="preserve">Le cadre législatif national ne </w:t>
            </w:r>
            <w:r>
              <w:rPr>
                <w:rFonts w:eastAsia="MS Mincho" w:cs="Arial"/>
                <w:w w:val="104"/>
                <w:sz w:val="20"/>
                <w:szCs w:val="10"/>
              </w:rPr>
              <w:t>prévoit pas</w:t>
            </w:r>
            <w:r w:rsidRPr="00AA59AD">
              <w:rPr>
                <w:rFonts w:eastAsia="MS Mincho" w:cs="Arial"/>
                <w:w w:val="104"/>
                <w:sz w:val="20"/>
                <w:szCs w:val="10"/>
              </w:rPr>
              <w:t xml:space="preserve"> des indications sur la nécessité de faire des enquêtes préalables auprès de</w:t>
            </w:r>
            <w:r>
              <w:rPr>
                <w:rFonts w:eastAsia="MS Mincho" w:cs="Arial"/>
                <w:w w:val="104"/>
                <w:sz w:val="20"/>
                <w:szCs w:val="10"/>
              </w:rPr>
              <w:t>s autorités locales pour approfondir l’investigation</w:t>
            </w:r>
          </w:p>
        </w:tc>
        <w:tc>
          <w:tcPr>
            <w:tcW w:w="3594" w:type="dxa"/>
            <w:shd w:val="clear" w:color="auto" w:fill="auto"/>
            <w:vAlign w:val="center"/>
          </w:tcPr>
          <w:p w14:paraId="15C95453"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spécifiques des NES</w:t>
            </w:r>
          </w:p>
        </w:tc>
      </w:tr>
      <w:tr w:rsidR="006B2C01" w:rsidRPr="007F78CE" w14:paraId="1CD098F9" w14:textId="77777777" w:rsidTr="00B434A6">
        <w:trPr>
          <w:cantSplit/>
          <w:jc w:val="center"/>
        </w:trPr>
        <w:tc>
          <w:tcPr>
            <w:tcW w:w="5215" w:type="dxa"/>
          </w:tcPr>
          <w:p w14:paraId="1B69BC50"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Prendre des mesures pour se prémunir contre le vol et le trafic illicite d’objets du patrimoine culturel mobilier touché par le projet, et informera les autorités compétentes de toute activité de cette nature.</w:t>
            </w:r>
          </w:p>
          <w:p w14:paraId="426A1783" w14:textId="77777777" w:rsidR="006B2C01" w:rsidRPr="00BC30C6" w:rsidRDefault="006B2C01" w:rsidP="00D12C6F">
            <w:pPr>
              <w:rPr>
                <w:rFonts w:eastAsia="MS Mincho" w:cs="Arial"/>
              </w:rPr>
            </w:pPr>
            <w:r w:rsidRPr="00BC30C6">
              <w:rPr>
                <w:rFonts w:eastAsia="MS Mincho" w:cs="Arial"/>
                <w:i/>
                <w:iCs/>
              </w:rPr>
              <w:t>Paragraphes 27 et 28</w:t>
            </w:r>
          </w:p>
        </w:tc>
        <w:tc>
          <w:tcPr>
            <w:tcW w:w="5850" w:type="dxa"/>
            <w:shd w:val="clear" w:color="auto" w:fill="auto"/>
            <w:vAlign w:val="center"/>
          </w:tcPr>
          <w:p w14:paraId="7B14DD3E" w14:textId="77777777" w:rsidR="006B2C01" w:rsidRPr="00294F12" w:rsidRDefault="006B2C01" w:rsidP="00D12C6F">
            <w:pPr>
              <w:rPr>
                <w:rFonts w:eastAsia="MS Mincho" w:cs="Arial"/>
                <w:w w:val="104"/>
                <w:sz w:val="20"/>
                <w:szCs w:val="10"/>
              </w:rPr>
            </w:pPr>
            <w:r w:rsidRPr="00294F12">
              <w:rPr>
                <w:rFonts w:eastAsia="MS Mincho" w:cs="Arial"/>
                <w:w w:val="104"/>
                <w:sz w:val="20"/>
                <w:szCs w:val="10"/>
              </w:rPr>
              <w:t xml:space="preserve">Le cadre législatif national ne prévoit l’obligation de mettre en place des mesures pour prévenir et éviter les risques de vol et de trafic des objets de patrimoine culturel. Il s’agit plutôt de procédés à suivre en cas de vol, de perte ou de destruction. </w:t>
            </w:r>
          </w:p>
          <w:p w14:paraId="6A789FDD" w14:textId="77777777" w:rsidR="006B2C01" w:rsidRPr="00294F12" w:rsidRDefault="006B2C01" w:rsidP="00D12C6F">
            <w:pPr>
              <w:rPr>
                <w:rFonts w:eastAsia="MS Mincho" w:cs="Arial"/>
                <w:w w:val="104"/>
                <w:sz w:val="20"/>
                <w:szCs w:val="10"/>
              </w:rPr>
            </w:pPr>
            <w:r w:rsidRPr="00294F12">
              <w:rPr>
                <w:rFonts w:eastAsia="MS Mincho" w:cs="Arial"/>
                <w:w w:val="104"/>
                <w:sz w:val="20"/>
                <w:szCs w:val="10"/>
              </w:rPr>
              <w:t xml:space="preserve">En cas de destruction fortuite, de perte ou de vol d'un bien inscrit, le propriétaire ou le détenteur doit en aviser immédiatement le ministère chargé de la Protection du Patrimoine national. </w:t>
            </w:r>
          </w:p>
          <w:p w14:paraId="3099C35E" w14:textId="77777777" w:rsidR="006B2C01" w:rsidRPr="00294F12" w:rsidRDefault="006B2C01" w:rsidP="00D12C6F">
            <w:pPr>
              <w:rPr>
                <w:rFonts w:eastAsia="MS Mincho" w:cs="Arial"/>
                <w:w w:val="104"/>
                <w:sz w:val="20"/>
                <w:szCs w:val="10"/>
              </w:rPr>
            </w:pPr>
            <w:r w:rsidRPr="00294F12">
              <w:rPr>
                <w:rFonts w:eastAsia="MS Mincho" w:cs="Arial"/>
                <w:i/>
                <w:iCs/>
                <w:w w:val="104"/>
                <w:sz w:val="20"/>
                <w:szCs w:val="10"/>
              </w:rPr>
              <w:t>Ordonnance N°82-O29 relative à la sauvegarde, la protection et la conservation du patrimoine national [Article 8</w:t>
            </w:r>
            <w:r w:rsidRPr="00294F12">
              <w:rPr>
                <w:rFonts w:eastAsia="MS Mincho" w:cs="Arial"/>
                <w:w w:val="104"/>
                <w:sz w:val="20"/>
                <w:szCs w:val="10"/>
              </w:rPr>
              <w:t>]</w:t>
            </w:r>
          </w:p>
        </w:tc>
        <w:tc>
          <w:tcPr>
            <w:tcW w:w="3594" w:type="dxa"/>
            <w:shd w:val="clear" w:color="auto" w:fill="auto"/>
            <w:vAlign w:val="center"/>
          </w:tcPr>
          <w:p w14:paraId="15E8BE13"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spécifiques des NES</w:t>
            </w:r>
          </w:p>
        </w:tc>
      </w:tr>
      <w:tr w:rsidR="006B2C01" w:rsidRPr="007F78CE" w14:paraId="3807B493" w14:textId="77777777" w:rsidTr="00B434A6">
        <w:trPr>
          <w:cantSplit/>
          <w:jc w:val="center"/>
        </w:trPr>
        <w:tc>
          <w:tcPr>
            <w:tcW w:w="5215" w:type="dxa"/>
          </w:tcPr>
          <w:p w14:paraId="09895988"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 xml:space="preserve">Ne procéder à une </w:t>
            </w:r>
            <w:r>
              <w:rPr>
                <w:rFonts w:ascii="Calibri" w:eastAsia="MS Mincho" w:hAnsi="Calibri" w:cs="Arial"/>
              </w:rPr>
              <w:t>m</w:t>
            </w:r>
            <w:r w:rsidRPr="00BC30C6">
              <w:rPr>
                <w:rFonts w:ascii="Calibri" w:eastAsia="MS Mincho" w:hAnsi="Calibri" w:cs="Arial"/>
              </w:rPr>
              <w:t>ise en valeur de patrimoine culturel à des fins commerciales qu'après des consultations approfondies, un partage juste et équitable des avantages issus de la mise en valeur, et la définition de mesures d’atténuation</w:t>
            </w:r>
          </w:p>
          <w:p w14:paraId="753C7E69"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i/>
                <w:iCs/>
              </w:rPr>
              <w:t>Paragraphe 29</w:t>
            </w:r>
          </w:p>
        </w:tc>
        <w:tc>
          <w:tcPr>
            <w:tcW w:w="5850" w:type="dxa"/>
            <w:shd w:val="clear" w:color="auto" w:fill="auto"/>
            <w:vAlign w:val="center"/>
          </w:tcPr>
          <w:p w14:paraId="2CCA7157" w14:textId="77777777" w:rsidR="006B2C01" w:rsidRPr="00BC30C6" w:rsidRDefault="006B2C01" w:rsidP="00D12C6F">
            <w:pPr>
              <w:rPr>
                <w:rFonts w:eastAsia="MS Mincho" w:cs="Arial"/>
              </w:rPr>
            </w:pPr>
          </w:p>
        </w:tc>
        <w:tc>
          <w:tcPr>
            <w:tcW w:w="3594" w:type="dxa"/>
            <w:shd w:val="clear" w:color="auto" w:fill="auto"/>
            <w:vAlign w:val="center"/>
          </w:tcPr>
          <w:p w14:paraId="6D6ADF5C" w14:textId="77777777" w:rsidR="006B2C01" w:rsidRPr="007F78CE" w:rsidRDefault="006B2C01" w:rsidP="00D12C6F">
            <w:pPr>
              <w:rPr>
                <w:rFonts w:eastAsia="MS Mincho"/>
                <w:sz w:val="20"/>
              </w:rPr>
            </w:pPr>
            <w:r w:rsidRPr="007F78CE">
              <w:rPr>
                <w:rFonts w:eastAsia="MS Mincho"/>
                <w:sz w:val="20"/>
                <w:u w:val="single"/>
              </w:rPr>
              <w:t>Conclusion</w:t>
            </w:r>
            <w:r w:rsidRPr="007F78CE">
              <w:rPr>
                <w:rFonts w:eastAsia="MS Mincho"/>
                <w:sz w:val="20"/>
              </w:rPr>
              <w:t xml:space="preserve"> : Cette disposition ne s’applique pas au projet DECIM dans la mesure où le Projet n’intervient pas dans la mise en valeur du patrimoine culturel. </w:t>
            </w:r>
          </w:p>
        </w:tc>
      </w:tr>
      <w:tr w:rsidR="00081366" w:rsidRPr="00081366" w14:paraId="1B214F57" w14:textId="77777777" w:rsidTr="00B434A6">
        <w:trPr>
          <w:cantSplit/>
          <w:jc w:val="center"/>
        </w:trPr>
        <w:tc>
          <w:tcPr>
            <w:tcW w:w="14659" w:type="dxa"/>
            <w:gridSpan w:val="3"/>
            <w:shd w:val="clear" w:color="auto" w:fill="FBE4D5"/>
          </w:tcPr>
          <w:p w14:paraId="1AA73177" w14:textId="77777777" w:rsidR="00081366" w:rsidRPr="00B434A6" w:rsidRDefault="00081366" w:rsidP="00B434A6">
            <w:pPr>
              <w:spacing w:before="60" w:after="60"/>
              <w:jc w:val="center"/>
              <w:rPr>
                <w:rFonts w:eastAsia="MS Mincho" w:cs="Arial"/>
                <w:b/>
                <w:bCs/>
              </w:rPr>
            </w:pPr>
            <w:r w:rsidRPr="00B434A6">
              <w:rPr>
                <w:rFonts w:eastAsia="MS Mincho" w:cs="Arial"/>
                <w:b/>
                <w:bCs/>
              </w:rPr>
              <w:t>NES 9. Intermédiaires Financiers</w:t>
            </w:r>
          </w:p>
        </w:tc>
      </w:tr>
      <w:tr w:rsidR="00081366" w:rsidRPr="007F78CE" w14:paraId="223B02AD" w14:textId="77777777" w:rsidTr="008C18A4">
        <w:trPr>
          <w:cantSplit/>
          <w:jc w:val="center"/>
        </w:trPr>
        <w:tc>
          <w:tcPr>
            <w:tcW w:w="5215" w:type="dxa"/>
          </w:tcPr>
          <w:p w14:paraId="67ED7D6B" w14:textId="77777777" w:rsidR="00081366" w:rsidRDefault="00081366" w:rsidP="00081366">
            <w:pPr>
              <w:pStyle w:val="Tabletext"/>
              <w:rPr>
                <w:rFonts w:ascii="Calibri" w:eastAsia="MS Mincho" w:hAnsi="Calibri" w:cs="Arial"/>
              </w:rPr>
            </w:pPr>
            <w:r>
              <w:rPr>
                <w:rFonts w:ascii="Calibri" w:eastAsia="MS Mincho" w:hAnsi="Calibri" w:cs="Arial"/>
              </w:rPr>
              <w:t xml:space="preserve">Mettre </w:t>
            </w:r>
            <w:r w:rsidRPr="00B434A6">
              <w:rPr>
                <w:rFonts w:ascii="Calibri" w:eastAsia="MS Mincho" w:hAnsi="Calibri" w:cs="Arial"/>
              </w:rPr>
              <w:t>en place et maintien un SGES afin d’identifier, d’évaluer, de gérer et de suivre en permanenceles risques et effets environnementaux et sociaux de leurs sous-projets</w:t>
            </w:r>
          </w:p>
          <w:p w14:paraId="1CF15049" w14:textId="77777777" w:rsidR="00081366" w:rsidRPr="00BC30C6" w:rsidRDefault="00081366" w:rsidP="00081366">
            <w:pPr>
              <w:pStyle w:val="Tabletext"/>
              <w:rPr>
                <w:rFonts w:ascii="Calibri" w:eastAsia="MS Mincho" w:hAnsi="Calibri" w:cs="Arial"/>
              </w:rPr>
            </w:pPr>
            <w:r>
              <w:rPr>
                <w:rFonts w:ascii="Calibri" w:eastAsia="MS Mincho" w:hAnsi="Calibri" w:cs="Arial"/>
                <w:i/>
                <w:iCs/>
              </w:rPr>
              <w:t>Paragraphe 7 à 10</w:t>
            </w:r>
          </w:p>
        </w:tc>
        <w:tc>
          <w:tcPr>
            <w:tcW w:w="5850" w:type="dxa"/>
            <w:shd w:val="clear" w:color="auto" w:fill="auto"/>
            <w:vAlign w:val="center"/>
          </w:tcPr>
          <w:p w14:paraId="70A1AEE6" w14:textId="77777777" w:rsidR="00081366" w:rsidRPr="00BC30C6" w:rsidRDefault="00081366" w:rsidP="00D12C6F">
            <w:pPr>
              <w:rPr>
                <w:rFonts w:eastAsia="MS Mincho" w:cs="Arial"/>
              </w:rPr>
            </w:pPr>
            <w:r>
              <w:rPr>
                <w:rFonts w:eastAsia="MS Mincho" w:cs="Arial"/>
              </w:rPr>
              <w:t xml:space="preserve">Néant </w:t>
            </w:r>
          </w:p>
        </w:tc>
        <w:tc>
          <w:tcPr>
            <w:tcW w:w="3594" w:type="dxa"/>
            <w:shd w:val="clear" w:color="auto" w:fill="auto"/>
            <w:vAlign w:val="center"/>
          </w:tcPr>
          <w:p w14:paraId="05BF981B" w14:textId="77777777" w:rsidR="00081366" w:rsidRPr="007F78CE" w:rsidRDefault="00081366" w:rsidP="00D12C6F">
            <w:pPr>
              <w:rPr>
                <w:rFonts w:eastAsia="MS Mincho"/>
                <w:sz w:val="20"/>
                <w:u w:val="single"/>
              </w:rPr>
            </w:pPr>
            <w:r w:rsidRPr="007F78CE">
              <w:rPr>
                <w:rFonts w:eastAsia="MS Mincho"/>
                <w:sz w:val="20"/>
                <w:u w:val="single"/>
              </w:rPr>
              <w:t>Conclusion</w:t>
            </w:r>
            <w:r w:rsidRPr="007F78CE">
              <w:rPr>
                <w:rFonts w:eastAsia="MS Mincho"/>
                <w:sz w:val="20"/>
              </w:rPr>
              <w:t> : Application des dispositions spécifiques des NES</w:t>
            </w:r>
          </w:p>
        </w:tc>
      </w:tr>
      <w:tr w:rsidR="00081366" w:rsidRPr="007F78CE" w14:paraId="74E2395D" w14:textId="77777777" w:rsidTr="008C18A4">
        <w:trPr>
          <w:cantSplit/>
          <w:jc w:val="center"/>
        </w:trPr>
        <w:tc>
          <w:tcPr>
            <w:tcW w:w="5215" w:type="dxa"/>
          </w:tcPr>
          <w:p w14:paraId="4CE26989" w14:textId="77777777" w:rsidR="00081366" w:rsidRPr="00CC01C2" w:rsidRDefault="00081366" w:rsidP="00CC01C2">
            <w:pPr>
              <w:pStyle w:val="Tabletext"/>
              <w:rPr>
                <w:rFonts w:ascii="Calibri" w:eastAsia="MS Mincho" w:hAnsi="Calibri" w:cs="Arial"/>
              </w:rPr>
            </w:pPr>
            <w:bookmarkStart w:id="1718" w:name="_Toc125384721"/>
            <w:bookmarkStart w:id="1719" w:name="_Toc125385110"/>
            <w:r w:rsidRPr="00CC01C2">
              <w:rPr>
                <w:rFonts w:ascii="Calibri" w:eastAsia="MS Mincho" w:hAnsi="Calibri" w:cs="Arial"/>
              </w:rPr>
              <w:t>Mettre en place et maintien des procédures appropriées de gestion de la main-d’œuvre</w:t>
            </w:r>
            <w:bookmarkEnd w:id="1718"/>
            <w:bookmarkEnd w:id="1719"/>
          </w:p>
          <w:p w14:paraId="24F77993" w14:textId="77777777" w:rsidR="00081366" w:rsidRPr="00CC01C2" w:rsidRDefault="00081366" w:rsidP="00CC01C2">
            <w:pPr>
              <w:pStyle w:val="Tabletext"/>
              <w:rPr>
                <w:rFonts w:ascii="Calibri" w:eastAsia="MS Mincho" w:hAnsi="Calibri" w:cs="Arial"/>
              </w:rPr>
            </w:pPr>
            <w:r w:rsidRPr="00CC01C2">
              <w:rPr>
                <w:rFonts w:ascii="Calibri" w:eastAsia="MS Mincho" w:hAnsi="Calibri" w:cs="Arial"/>
              </w:rPr>
              <w:t>Paragraphe 13</w:t>
            </w:r>
          </w:p>
        </w:tc>
        <w:tc>
          <w:tcPr>
            <w:tcW w:w="5850" w:type="dxa"/>
            <w:shd w:val="clear" w:color="auto" w:fill="auto"/>
            <w:vAlign w:val="center"/>
          </w:tcPr>
          <w:p w14:paraId="44FFB6D9" w14:textId="77777777" w:rsidR="00081366" w:rsidRPr="00BC30C6" w:rsidRDefault="00081366" w:rsidP="00D12C6F">
            <w:pPr>
              <w:rPr>
                <w:rFonts w:eastAsia="MS Mincho" w:cs="Arial"/>
              </w:rPr>
            </w:pPr>
            <w:r>
              <w:rPr>
                <w:rFonts w:eastAsia="MS Mincho" w:cs="Arial"/>
              </w:rPr>
              <w:t>Néant</w:t>
            </w:r>
          </w:p>
        </w:tc>
        <w:tc>
          <w:tcPr>
            <w:tcW w:w="3594" w:type="dxa"/>
            <w:shd w:val="clear" w:color="auto" w:fill="auto"/>
            <w:vAlign w:val="center"/>
          </w:tcPr>
          <w:p w14:paraId="21167063" w14:textId="77777777" w:rsidR="00081366" w:rsidRPr="007F78CE" w:rsidRDefault="00081366" w:rsidP="00D12C6F">
            <w:pPr>
              <w:rPr>
                <w:rFonts w:eastAsia="MS Mincho"/>
                <w:sz w:val="20"/>
                <w:u w:val="single"/>
              </w:rPr>
            </w:pPr>
            <w:r w:rsidRPr="007F78CE">
              <w:rPr>
                <w:rFonts w:eastAsia="MS Mincho"/>
                <w:sz w:val="20"/>
                <w:u w:val="single"/>
              </w:rPr>
              <w:t>Conclusion</w:t>
            </w:r>
            <w:r w:rsidRPr="007F78CE">
              <w:rPr>
                <w:rFonts w:eastAsia="MS Mincho"/>
                <w:sz w:val="20"/>
              </w:rPr>
              <w:t> : Application des dispositions spécifiques des NES</w:t>
            </w:r>
          </w:p>
        </w:tc>
      </w:tr>
      <w:tr w:rsidR="00081366" w:rsidRPr="007F78CE" w14:paraId="2BAE2BFE" w14:textId="77777777" w:rsidTr="008C18A4">
        <w:trPr>
          <w:cantSplit/>
          <w:jc w:val="center"/>
        </w:trPr>
        <w:tc>
          <w:tcPr>
            <w:tcW w:w="5215" w:type="dxa"/>
          </w:tcPr>
          <w:p w14:paraId="25BF95DB" w14:textId="77777777" w:rsidR="00081366" w:rsidRDefault="00B11244" w:rsidP="00081366">
            <w:pPr>
              <w:pStyle w:val="Tabletext"/>
              <w:rPr>
                <w:rFonts w:ascii="FiraSans-Light" w:hAnsi="FiraSans-Light" w:cs="FiraSans-Light"/>
                <w:sz w:val="10"/>
              </w:rPr>
            </w:pPr>
            <w:r>
              <w:rPr>
                <w:rFonts w:ascii="Calibri" w:eastAsia="MS Mincho" w:hAnsi="Calibri" w:cs="Arial"/>
              </w:rPr>
              <w:t>M</w:t>
            </w:r>
            <w:r w:rsidR="00081366" w:rsidRPr="00B434A6">
              <w:rPr>
                <w:rFonts w:ascii="Calibri" w:eastAsia="MS Mincho" w:hAnsi="Calibri" w:cs="Arial"/>
              </w:rPr>
              <w:t>ettre en place et maintien des procédures environnementales et sociales clairement définies qui</w:t>
            </w:r>
            <w:r w:rsidR="00081366">
              <w:rPr>
                <w:rFonts w:ascii="Calibri" w:eastAsia="MS Mincho" w:hAnsi="Calibri" w:cs="Arial"/>
              </w:rPr>
              <w:t xml:space="preserve"> </w:t>
            </w:r>
            <w:r w:rsidR="00081366" w:rsidRPr="00B434A6">
              <w:rPr>
                <w:rFonts w:ascii="Calibri" w:eastAsia="MS Mincho" w:hAnsi="Calibri" w:cs="Arial"/>
              </w:rPr>
              <w:t>se conforment à sa politique environnementale et sociale. Ces procédures seront proportionnées à la nature de</w:t>
            </w:r>
            <w:r w:rsidR="00081366">
              <w:rPr>
                <w:rFonts w:ascii="Calibri" w:eastAsia="MS Mincho" w:hAnsi="Calibri" w:cs="Arial"/>
              </w:rPr>
              <w:t xml:space="preserve"> </w:t>
            </w:r>
            <w:r w:rsidR="00081366" w:rsidRPr="00B434A6">
              <w:rPr>
                <w:rFonts w:ascii="Calibri" w:eastAsia="MS Mincho" w:hAnsi="Calibri" w:cs="Arial"/>
              </w:rPr>
              <w:t>l’IF et au niveau des risques et effets environnementaux et sociaux potentiellement associés aux sous-projets</w:t>
            </w:r>
            <w:r w:rsidR="00081366">
              <w:rPr>
                <w:rFonts w:ascii="FiraSans-Light" w:hAnsi="FiraSans-Light" w:cs="FiraSans-Light"/>
                <w:sz w:val="18"/>
                <w:szCs w:val="18"/>
              </w:rPr>
              <w:t>de celui-ci</w:t>
            </w:r>
            <w:r w:rsidR="00081366">
              <w:rPr>
                <w:rFonts w:ascii="FiraSans-Light" w:hAnsi="FiraSans-Light" w:cs="FiraSans-Light"/>
                <w:sz w:val="10"/>
              </w:rPr>
              <w:t>1</w:t>
            </w:r>
          </w:p>
          <w:p w14:paraId="41E4A9C8" w14:textId="77777777" w:rsidR="00081366" w:rsidRPr="00BC30C6" w:rsidRDefault="00081366" w:rsidP="00081366">
            <w:pPr>
              <w:pStyle w:val="Tabletext"/>
              <w:rPr>
                <w:rFonts w:ascii="Calibri" w:eastAsia="MS Mincho" w:hAnsi="Calibri" w:cs="Arial"/>
              </w:rPr>
            </w:pPr>
            <w:r>
              <w:rPr>
                <w:rFonts w:ascii="Calibri" w:eastAsia="MS Mincho" w:hAnsi="Calibri" w:cs="Arial"/>
                <w:i/>
                <w:iCs/>
              </w:rPr>
              <w:t>Paragraphe 15</w:t>
            </w:r>
          </w:p>
        </w:tc>
        <w:tc>
          <w:tcPr>
            <w:tcW w:w="5850" w:type="dxa"/>
            <w:shd w:val="clear" w:color="auto" w:fill="auto"/>
            <w:vAlign w:val="center"/>
          </w:tcPr>
          <w:p w14:paraId="7C523279" w14:textId="77777777" w:rsidR="00081366" w:rsidRPr="00BC30C6" w:rsidRDefault="00B11244" w:rsidP="00D12C6F">
            <w:pPr>
              <w:rPr>
                <w:rFonts w:eastAsia="MS Mincho" w:cs="Arial"/>
              </w:rPr>
            </w:pPr>
            <w:r>
              <w:rPr>
                <w:rFonts w:eastAsia="MS Mincho" w:cs="Arial"/>
              </w:rPr>
              <w:t>Néant</w:t>
            </w:r>
          </w:p>
        </w:tc>
        <w:tc>
          <w:tcPr>
            <w:tcW w:w="3594" w:type="dxa"/>
            <w:shd w:val="clear" w:color="auto" w:fill="auto"/>
            <w:vAlign w:val="center"/>
          </w:tcPr>
          <w:p w14:paraId="78673D78" w14:textId="77777777" w:rsidR="00081366" w:rsidRPr="007F78CE" w:rsidRDefault="00B11244" w:rsidP="00D12C6F">
            <w:pPr>
              <w:rPr>
                <w:rFonts w:eastAsia="MS Mincho"/>
                <w:sz w:val="20"/>
                <w:u w:val="single"/>
              </w:rPr>
            </w:pPr>
            <w:r w:rsidRPr="007F78CE">
              <w:rPr>
                <w:rFonts w:eastAsia="MS Mincho"/>
                <w:sz w:val="20"/>
                <w:u w:val="single"/>
              </w:rPr>
              <w:t>Conclusion</w:t>
            </w:r>
            <w:r w:rsidRPr="007F78CE">
              <w:rPr>
                <w:rFonts w:eastAsia="MS Mincho"/>
                <w:sz w:val="20"/>
              </w:rPr>
              <w:t> : Application des dispositions spécifiques des NES</w:t>
            </w:r>
          </w:p>
        </w:tc>
      </w:tr>
      <w:tr w:rsidR="00081366" w:rsidRPr="007F78CE" w14:paraId="2C3EA420" w14:textId="77777777" w:rsidTr="008C18A4">
        <w:trPr>
          <w:cantSplit/>
          <w:jc w:val="center"/>
        </w:trPr>
        <w:tc>
          <w:tcPr>
            <w:tcW w:w="5215" w:type="dxa"/>
          </w:tcPr>
          <w:p w14:paraId="53DA6B71" w14:textId="77777777" w:rsidR="00081366" w:rsidRDefault="00B11244" w:rsidP="00FF2E18">
            <w:pPr>
              <w:pStyle w:val="Tabletext"/>
              <w:rPr>
                <w:rFonts w:ascii="Calibri" w:eastAsia="MS Mincho" w:hAnsi="Calibri" w:cs="Arial"/>
              </w:rPr>
            </w:pPr>
            <w:r>
              <w:rPr>
                <w:rFonts w:ascii="Calibri" w:eastAsia="MS Mincho" w:hAnsi="Calibri" w:cs="Arial"/>
              </w:rPr>
              <w:t>E</w:t>
            </w:r>
            <w:r w:rsidR="00081366" w:rsidRPr="00FF2E18">
              <w:rPr>
                <w:rFonts w:ascii="Calibri" w:eastAsia="MS Mincho" w:hAnsi="Calibri" w:cs="Arial"/>
              </w:rPr>
              <w:t>labore</w:t>
            </w:r>
            <w:r w:rsidR="00081366" w:rsidRPr="00B434A6">
              <w:rPr>
                <w:rFonts w:ascii="Calibri" w:eastAsia="MS Mincho" w:hAnsi="Calibri" w:cs="Arial"/>
              </w:rPr>
              <w:t xml:space="preserve"> et adopte un système de classification</w:t>
            </w:r>
            <w:r w:rsidR="00081366">
              <w:rPr>
                <w:rFonts w:ascii="Calibri" w:eastAsia="MS Mincho" w:hAnsi="Calibri" w:cs="Arial"/>
              </w:rPr>
              <w:t xml:space="preserve"> </w:t>
            </w:r>
            <w:r w:rsidR="00081366" w:rsidRPr="00B434A6">
              <w:rPr>
                <w:rFonts w:ascii="Calibri" w:eastAsia="MS Mincho" w:hAnsi="Calibri" w:cs="Arial"/>
              </w:rPr>
              <w:t>des sous-projets dans des catégories de risques clairement définies. Ce système de classification tiendra</w:t>
            </w:r>
            <w:r w:rsidR="00081366">
              <w:rPr>
                <w:rFonts w:ascii="Calibri" w:eastAsia="MS Mincho" w:hAnsi="Calibri" w:cs="Arial"/>
              </w:rPr>
              <w:t xml:space="preserve"> </w:t>
            </w:r>
            <w:r w:rsidR="00081366" w:rsidRPr="00B434A6">
              <w:rPr>
                <w:rFonts w:ascii="Calibri" w:eastAsia="MS Mincho" w:hAnsi="Calibri" w:cs="Arial"/>
              </w:rPr>
              <w:t>compte : i) de la nature et de l’importance des risques et effets environnementaux et sociaux des sous-projets ;</w:t>
            </w:r>
            <w:r w:rsidR="00081366">
              <w:rPr>
                <w:rFonts w:ascii="Calibri" w:eastAsia="MS Mincho" w:hAnsi="Calibri" w:cs="Arial"/>
              </w:rPr>
              <w:t xml:space="preserve"> </w:t>
            </w:r>
            <w:r w:rsidR="00081366" w:rsidRPr="00B434A6">
              <w:rPr>
                <w:rFonts w:ascii="Calibri" w:eastAsia="MS Mincho" w:hAnsi="Calibri" w:cs="Arial"/>
              </w:rPr>
              <w:t>ii) du secteur d’activité et de l’espace géographique concernés ; et iii) du type de financement. La classification des</w:t>
            </w:r>
            <w:r w:rsidR="00081366">
              <w:rPr>
                <w:rFonts w:ascii="Calibri" w:eastAsia="MS Mincho" w:hAnsi="Calibri" w:cs="Arial"/>
              </w:rPr>
              <w:t xml:space="preserve"> </w:t>
            </w:r>
            <w:r w:rsidR="00081366" w:rsidRPr="00B434A6">
              <w:rPr>
                <w:rFonts w:ascii="Calibri" w:eastAsia="MS Mincho" w:hAnsi="Calibri" w:cs="Arial"/>
              </w:rPr>
              <w:t>risques servira à déterminer la portée et la nature des vérifications préalables en matière environnementale et</w:t>
            </w:r>
            <w:r w:rsidR="00081366">
              <w:rPr>
                <w:rFonts w:ascii="Calibri" w:eastAsia="MS Mincho" w:hAnsi="Calibri" w:cs="Arial"/>
              </w:rPr>
              <w:t xml:space="preserve"> </w:t>
            </w:r>
            <w:r w:rsidR="00081366" w:rsidRPr="00B434A6">
              <w:rPr>
                <w:rFonts w:ascii="Calibri" w:eastAsia="MS Mincho" w:hAnsi="Calibri" w:cs="Arial"/>
              </w:rPr>
              <w:t>sociale que devra réaliser l’IF, ainsi que le mode de gestion des risques associés à ses sous-projets. Elle permettra</w:t>
            </w:r>
            <w:r w:rsidR="00081366">
              <w:rPr>
                <w:rFonts w:ascii="Calibri" w:eastAsia="MS Mincho" w:hAnsi="Calibri" w:cs="Arial"/>
              </w:rPr>
              <w:t xml:space="preserve"> </w:t>
            </w:r>
            <w:r w:rsidR="00081366" w:rsidRPr="00B434A6">
              <w:rPr>
                <w:rFonts w:ascii="Calibri" w:eastAsia="MS Mincho" w:hAnsi="Calibri" w:cs="Arial"/>
              </w:rPr>
              <w:t>en outre de consolider et d’analyser systématiquement les risques au niveau du portefeuille.</w:t>
            </w:r>
          </w:p>
          <w:p w14:paraId="7D58A26B" w14:textId="77777777" w:rsidR="00081366" w:rsidRPr="00BC30C6" w:rsidRDefault="00081366">
            <w:pPr>
              <w:pStyle w:val="Tabletext"/>
              <w:rPr>
                <w:rFonts w:ascii="Calibri" w:eastAsia="MS Mincho" w:hAnsi="Calibri" w:cs="Arial"/>
              </w:rPr>
            </w:pPr>
            <w:r>
              <w:rPr>
                <w:rFonts w:ascii="Calibri" w:eastAsia="MS Mincho" w:hAnsi="Calibri" w:cs="Arial"/>
                <w:i/>
                <w:iCs/>
              </w:rPr>
              <w:t>Paragraphe 17</w:t>
            </w:r>
          </w:p>
        </w:tc>
        <w:tc>
          <w:tcPr>
            <w:tcW w:w="5850" w:type="dxa"/>
            <w:shd w:val="clear" w:color="auto" w:fill="auto"/>
            <w:vAlign w:val="center"/>
          </w:tcPr>
          <w:p w14:paraId="4C5BD0F1" w14:textId="77777777" w:rsidR="00081366" w:rsidRPr="00BC30C6" w:rsidRDefault="00B11244" w:rsidP="00D12C6F">
            <w:pPr>
              <w:rPr>
                <w:rFonts w:eastAsia="MS Mincho" w:cs="Arial"/>
              </w:rPr>
            </w:pPr>
            <w:r>
              <w:rPr>
                <w:rFonts w:eastAsia="MS Mincho" w:cs="Arial"/>
              </w:rPr>
              <w:t>Néant</w:t>
            </w:r>
          </w:p>
        </w:tc>
        <w:tc>
          <w:tcPr>
            <w:tcW w:w="3594" w:type="dxa"/>
            <w:shd w:val="clear" w:color="auto" w:fill="auto"/>
            <w:vAlign w:val="center"/>
          </w:tcPr>
          <w:p w14:paraId="796B80F1" w14:textId="77777777" w:rsidR="00081366" w:rsidRPr="007F78CE" w:rsidRDefault="00B11244" w:rsidP="00D12C6F">
            <w:pPr>
              <w:rPr>
                <w:rFonts w:eastAsia="MS Mincho"/>
                <w:sz w:val="20"/>
                <w:u w:val="single"/>
              </w:rPr>
            </w:pPr>
            <w:r w:rsidRPr="007F78CE">
              <w:rPr>
                <w:rFonts w:eastAsia="MS Mincho"/>
                <w:sz w:val="20"/>
                <w:u w:val="single"/>
              </w:rPr>
              <w:t>Conclusion</w:t>
            </w:r>
            <w:r w:rsidRPr="007F78CE">
              <w:rPr>
                <w:rFonts w:eastAsia="MS Mincho"/>
                <w:sz w:val="20"/>
              </w:rPr>
              <w:t> : Application des dispositions spécifiques des NES</w:t>
            </w:r>
          </w:p>
        </w:tc>
      </w:tr>
      <w:tr w:rsidR="00081366" w:rsidRPr="007F78CE" w14:paraId="6FDCC782" w14:textId="77777777" w:rsidTr="008C18A4">
        <w:trPr>
          <w:cantSplit/>
          <w:jc w:val="center"/>
        </w:trPr>
        <w:tc>
          <w:tcPr>
            <w:tcW w:w="5215" w:type="dxa"/>
          </w:tcPr>
          <w:p w14:paraId="7A2B1BCA" w14:textId="77777777" w:rsidR="00B11244" w:rsidRPr="00B434A6" w:rsidRDefault="00081366" w:rsidP="00B434A6">
            <w:pPr>
              <w:pStyle w:val="Tabletext"/>
              <w:jc w:val="both"/>
              <w:rPr>
                <w:rFonts w:ascii="Calibri" w:eastAsia="MS Mincho" w:hAnsi="Calibri" w:cs="Arial"/>
              </w:rPr>
            </w:pPr>
            <w:r w:rsidRPr="00B434A6">
              <w:rPr>
                <w:rFonts w:ascii="Calibri" w:eastAsia="MS Mincho" w:hAnsi="Calibri" w:cs="Arial"/>
              </w:rPr>
              <w:t>développe et maintien des capacités et compétences institutionnelles et définira clairement les rôleset responsabilités pour la mise en œuvre</w:t>
            </w:r>
            <w:r w:rsidR="00B11244" w:rsidRPr="00B434A6">
              <w:rPr>
                <w:rFonts w:ascii="Calibri" w:eastAsia="MS Mincho" w:hAnsi="Calibri" w:cs="Arial"/>
              </w:rPr>
              <w:t xml:space="preserve"> du SGES par la nomination d’un  haut représentant pour être responsable de la performance environnementale et sociale de ses sous-projets, y compris la mise en œuvre des dispositions de la présente NES et de la NES no 2, ainsi que la mise à disposition des ressources nécessaires.</w:t>
            </w:r>
          </w:p>
          <w:p w14:paraId="62D60F1D" w14:textId="77777777" w:rsidR="00B11244" w:rsidRPr="00BC30C6" w:rsidRDefault="00B11244" w:rsidP="00FF2E18">
            <w:pPr>
              <w:pStyle w:val="Tabletext"/>
              <w:rPr>
                <w:rFonts w:ascii="Calibri" w:eastAsia="MS Mincho" w:hAnsi="Calibri" w:cs="Arial"/>
              </w:rPr>
            </w:pPr>
            <w:r>
              <w:rPr>
                <w:rFonts w:ascii="Calibri" w:eastAsia="MS Mincho" w:hAnsi="Calibri" w:cs="Arial"/>
                <w:i/>
                <w:iCs/>
              </w:rPr>
              <w:t>Paragraphe 19</w:t>
            </w:r>
          </w:p>
        </w:tc>
        <w:tc>
          <w:tcPr>
            <w:tcW w:w="5850" w:type="dxa"/>
            <w:shd w:val="clear" w:color="auto" w:fill="auto"/>
            <w:vAlign w:val="center"/>
          </w:tcPr>
          <w:p w14:paraId="490EB9C1" w14:textId="77777777" w:rsidR="00081366" w:rsidRPr="00BC30C6" w:rsidRDefault="00B11244" w:rsidP="00D12C6F">
            <w:pPr>
              <w:rPr>
                <w:rFonts w:eastAsia="MS Mincho" w:cs="Arial"/>
              </w:rPr>
            </w:pPr>
            <w:r>
              <w:rPr>
                <w:rFonts w:eastAsia="MS Mincho" w:cs="Arial"/>
              </w:rPr>
              <w:t>Néant</w:t>
            </w:r>
          </w:p>
        </w:tc>
        <w:tc>
          <w:tcPr>
            <w:tcW w:w="3594" w:type="dxa"/>
            <w:shd w:val="clear" w:color="auto" w:fill="auto"/>
            <w:vAlign w:val="center"/>
          </w:tcPr>
          <w:p w14:paraId="54F9025F" w14:textId="77777777" w:rsidR="00081366" w:rsidRPr="007F78CE" w:rsidRDefault="00B11244" w:rsidP="00D12C6F">
            <w:pPr>
              <w:rPr>
                <w:rFonts w:eastAsia="MS Mincho"/>
                <w:sz w:val="20"/>
                <w:u w:val="single"/>
              </w:rPr>
            </w:pPr>
            <w:r w:rsidRPr="007F78CE">
              <w:rPr>
                <w:rFonts w:eastAsia="MS Mincho"/>
                <w:sz w:val="20"/>
                <w:u w:val="single"/>
              </w:rPr>
              <w:t>Conclusion</w:t>
            </w:r>
            <w:r w:rsidRPr="007F78CE">
              <w:rPr>
                <w:rFonts w:eastAsia="MS Mincho"/>
                <w:sz w:val="20"/>
              </w:rPr>
              <w:t> : Application des dispositions spécifiques des NES</w:t>
            </w:r>
          </w:p>
        </w:tc>
      </w:tr>
      <w:tr w:rsidR="00081366" w:rsidRPr="007F78CE" w14:paraId="2DD41971" w14:textId="77777777" w:rsidTr="008C18A4">
        <w:trPr>
          <w:cantSplit/>
          <w:jc w:val="center"/>
        </w:trPr>
        <w:tc>
          <w:tcPr>
            <w:tcW w:w="5215" w:type="dxa"/>
          </w:tcPr>
          <w:p w14:paraId="03DEADA2" w14:textId="77777777" w:rsidR="00081366" w:rsidRDefault="00A97165" w:rsidP="00B434A6">
            <w:pPr>
              <w:pStyle w:val="Tabletext"/>
              <w:jc w:val="both"/>
              <w:rPr>
                <w:rFonts w:ascii="Calibri" w:eastAsia="MS Mincho" w:hAnsi="Calibri" w:cs="Arial"/>
                <w:b/>
                <w:smallCaps/>
                <w:color w:val="000000"/>
              </w:rPr>
            </w:pPr>
            <w:r>
              <w:rPr>
                <w:rFonts w:ascii="Calibri" w:eastAsia="MS Mincho" w:hAnsi="Calibri" w:cs="Arial"/>
              </w:rPr>
              <w:t>A</w:t>
            </w:r>
            <w:r w:rsidR="00B11244" w:rsidRPr="00B434A6">
              <w:rPr>
                <w:rFonts w:ascii="Calibri" w:eastAsia="MS Mincho" w:hAnsi="Calibri" w:cs="Arial"/>
              </w:rPr>
              <w:t>ssure le suivi des performances de ses sous-projets en matière environnementale et sociale, d’une manière proportionnée aux risques et aux effets potentiels de ces sous-projets, et transmettra des rapports d’activité</w:t>
            </w:r>
            <w:r w:rsidR="006B52ED">
              <w:rPr>
                <w:rFonts w:ascii="Calibri" w:eastAsia="MS Mincho" w:hAnsi="Calibri" w:cs="Arial"/>
              </w:rPr>
              <w:t xml:space="preserve"> </w:t>
            </w:r>
            <w:r w:rsidR="00B11244" w:rsidRPr="00B434A6">
              <w:rPr>
                <w:rFonts w:ascii="Calibri" w:eastAsia="MS Mincho" w:hAnsi="Calibri" w:cs="Arial"/>
              </w:rPr>
              <w:t>réguliers à sa haute direction. Ce suivi consistera en outre en l’examen périodique de l’efficacité du SGES de l’IF.</w:t>
            </w:r>
          </w:p>
          <w:p w14:paraId="10B7C671" w14:textId="77777777" w:rsidR="006B52ED" w:rsidRPr="00BC30C6" w:rsidRDefault="006B52ED" w:rsidP="00B434A6">
            <w:pPr>
              <w:pStyle w:val="Tabletext"/>
              <w:jc w:val="both"/>
              <w:rPr>
                <w:rFonts w:ascii="Calibri" w:eastAsia="MS Mincho" w:hAnsi="Calibri" w:cs="Arial"/>
              </w:rPr>
            </w:pPr>
            <w:r>
              <w:rPr>
                <w:rFonts w:ascii="Calibri" w:eastAsia="MS Mincho" w:hAnsi="Calibri" w:cs="Arial"/>
                <w:i/>
                <w:iCs/>
              </w:rPr>
              <w:t>Paragraphe 21</w:t>
            </w:r>
          </w:p>
        </w:tc>
        <w:tc>
          <w:tcPr>
            <w:tcW w:w="5850" w:type="dxa"/>
            <w:shd w:val="clear" w:color="auto" w:fill="auto"/>
            <w:vAlign w:val="center"/>
          </w:tcPr>
          <w:p w14:paraId="7544A56E" w14:textId="77777777" w:rsidR="00081366" w:rsidRPr="00BC30C6" w:rsidRDefault="0084126F" w:rsidP="00D12C6F">
            <w:pPr>
              <w:rPr>
                <w:rFonts w:eastAsia="MS Mincho" w:cs="Arial"/>
              </w:rPr>
            </w:pPr>
            <w:r>
              <w:rPr>
                <w:rFonts w:eastAsia="MS Mincho" w:cs="Arial"/>
              </w:rPr>
              <w:t>Néant</w:t>
            </w:r>
          </w:p>
        </w:tc>
        <w:tc>
          <w:tcPr>
            <w:tcW w:w="3594" w:type="dxa"/>
            <w:shd w:val="clear" w:color="auto" w:fill="auto"/>
            <w:vAlign w:val="center"/>
          </w:tcPr>
          <w:p w14:paraId="658B58A2" w14:textId="77777777" w:rsidR="00081366" w:rsidRPr="007F78CE" w:rsidRDefault="0084126F" w:rsidP="00D12C6F">
            <w:pPr>
              <w:rPr>
                <w:rFonts w:eastAsia="MS Mincho"/>
                <w:sz w:val="20"/>
                <w:u w:val="single"/>
              </w:rPr>
            </w:pPr>
            <w:r w:rsidRPr="007F78CE">
              <w:rPr>
                <w:rFonts w:eastAsia="MS Mincho"/>
                <w:sz w:val="20"/>
                <w:u w:val="single"/>
              </w:rPr>
              <w:t>Conclusion</w:t>
            </w:r>
            <w:r w:rsidRPr="007F78CE">
              <w:rPr>
                <w:rFonts w:eastAsia="MS Mincho"/>
                <w:sz w:val="20"/>
              </w:rPr>
              <w:t> : Application des dispositions spécifiques des NES</w:t>
            </w:r>
          </w:p>
        </w:tc>
      </w:tr>
      <w:tr w:rsidR="00081366" w:rsidRPr="007F78CE" w14:paraId="1A2569EF" w14:textId="77777777" w:rsidTr="008C18A4">
        <w:trPr>
          <w:cantSplit/>
          <w:jc w:val="center"/>
        </w:trPr>
        <w:tc>
          <w:tcPr>
            <w:tcW w:w="5215" w:type="dxa"/>
          </w:tcPr>
          <w:p w14:paraId="3CE0CEAE" w14:textId="77777777" w:rsidR="00081366" w:rsidRDefault="006B52ED" w:rsidP="00B434A6">
            <w:pPr>
              <w:pStyle w:val="Tabletext"/>
              <w:jc w:val="both"/>
              <w:rPr>
                <w:rFonts w:ascii="Calibri" w:eastAsia="MS Mincho" w:hAnsi="Calibri" w:cs="Arial"/>
                <w:b/>
                <w:smallCaps/>
                <w:color w:val="000000"/>
              </w:rPr>
            </w:pPr>
            <w:r w:rsidRPr="00B434A6">
              <w:rPr>
                <w:rFonts w:ascii="Calibri" w:eastAsia="MS Mincho" w:hAnsi="Calibri" w:cs="Arial"/>
              </w:rPr>
              <w:t>Procède à la mobilisation des parties prenantes d’une manière proportionnée</w:t>
            </w:r>
            <w:r>
              <w:rPr>
                <w:rFonts w:ascii="Calibri" w:eastAsia="MS Mincho" w:hAnsi="Calibri" w:cs="Arial"/>
              </w:rPr>
              <w:t xml:space="preserve"> </w:t>
            </w:r>
            <w:r w:rsidRPr="00B434A6">
              <w:rPr>
                <w:rFonts w:ascii="Calibri" w:eastAsia="MS Mincho" w:hAnsi="Calibri" w:cs="Arial"/>
              </w:rPr>
              <w:t>aux risques et aux effets néfastes que celui-là présente, et qui tient compte de la nature du sous-projet</w:t>
            </w:r>
            <w:r>
              <w:rPr>
                <w:rFonts w:ascii="Calibri" w:eastAsia="MS Mincho" w:hAnsi="Calibri" w:cs="Arial"/>
              </w:rPr>
              <w:t xml:space="preserve"> </w:t>
            </w:r>
            <w:r w:rsidRPr="00B434A6">
              <w:rPr>
                <w:rFonts w:ascii="Calibri" w:eastAsia="MS Mincho" w:hAnsi="Calibri" w:cs="Arial"/>
              </w:rPr>
              <w:t>que l’IF financera</w:t>
            </w:r>
          </w:p>
          <w:p w14:paraId="1765BFC2" w14:textId="77777777" w:rsidR="006B52ED" w:rsidRPr="00BC30C6" w:rsidRDefault="006B52ED" w:rsidP="00B434A6">
            <w:pPr>
              <w:pStyle w:val="Tabletext"/>
              <w:jc w:val="both"/>
              <w:rPr>
                <w:rFonts w:ascii="Calibri" w:eastAsia="MS Mincho" w:hAnsi="Calibri" w:cs="Arial"/>
              </w:rPr>
            </w:pPr>
            <w:r>
              <w:rPr>
                <w:rFonts w:ascii="Calibri" w:eastAsia="MS Mincho" w:hAnsi="Calibri" w:cs="Arial"/>
                <w:i/>
                <w:iCs/>
              </w:rPr>
              <w:t>Paragraphe 24</w:t>
            </w:r>
          </w:p>
        </w:tc>
        <w:tc>
          <w:tcPr>
            <w:tcW w:w="5850" w:type="dxa"/>
            <w:shd w:val="clear" w:color="auto" w:fill="auto"/>
            <w:vAlign w:val="center"/>
          </w:tcPr>
          <w:p w14:paraId="357A2116" w14:textId="77777777" w:rsidR="00081366" w:rsidRPr="00BC30C6" w:rsidRDefault="0084126F" w:rsidP="00D12C6F">
            <w:pPr>
              <w:rPr>
                <w:rFonts w:eastAsia="MS Mincho" w:cs="Arial"/>
              </w:rPr>
            </w:pPr>
            <w:r>
              <w:rPr>
                <w:rFonts w:eastAsia="MS Mincho" w:cs="Arial"/>
              </w:rPr>
              <w:t>Néant</w:t>
            </w:r>
          </w:p>
        </w:tc>
        <w:tc>
          <w:tcPr>
            <w:tcW w:w="3594" w:type="dxa"/>
            <w:shd w:val="clear" w:color="auto" w:fill="auto"/>
            <w:vAlign w:val="center"/>
          </w:tcPr>
          <w:p w14:paraId="295417E5" w14:textId="77777777" w:rsidR="00081366" w:rsidRPr="007F78CE" w:rsidRDefault="0084126F" w:rsidP="00D12C6F">
            <w:pPr>
              <w:rPr>
                <w:rFonts w:eastAsia="MS Mincho"/>
                <w:sz w:val="20"/>
                <w:u w:val="single"/>
              </w:rPr>
            </w:pPr>
            <w:r w:rsidRPr="007F78CE">
              <w:rPr>
                <w:rFonts w:eastAsia="MS Mincho"/>
                <w:sz w:val="20"/>
                <w:u w:val="single"/>
              </w:rPr>
              <w:t>Conclusion</w:t>
            </w:r>
            <w:r w:rsidRPr="007F78CE">
              <w:rPr>
                <w:rFonts w:eastAsia="MS Mincho"/>
                <w:sz w:val="20"/>
              </w:rPr>
              <w:t> : Application des dispositions spécifiques des NES</w:t>
            </w:r>
          </w:p>
        </w:tc>
      </w:tr>
      <w:tr w:rsidR="00081366" w:rsidRPr="007F78CE" w14:paraId="342AE87F" w14:textId="77777777" w:rsidTr="008C18A4">
        <w:trPr>
          <w:cantSplit/>
          <w:jc w:val="center"/>
        </w:trPr>
        <w:tc>
          <w:tcPr>
            <w:tcW w:w="5215" w:type="dxa"/>
          </w:tcPr>
          <w:p w14:paraId="285DC314" w14:textId="77777777" w:rsidR="00081366" w:rsidRDefault="00A97165" w:rsidP="00B434A6">
            <w:pPr>
              <w:pStyle w:val="Tabletext"/>
              <w:jc w:val="both"/>
              <w:rPr>
                <w:rFonts w:ascii="Calibri" w:eastAsia="MS Mincho" w:hAnsi="Calibri" w:cs="Arial"/>
                <w:b/>
                <w:smallCaps/>
                <w:color w:val="000000"/>
              </w:rPr>
            </w:pPr>
            <w:r>
              <w:rPr>
                <w:rFonts w:ascii="Calibri" w:eastAsia="MS Mincho" w:hAnsi="Calibri" w:cs="Arial"/>
              </w:rPr>
              <w:t>M</w:t>
            </w:r>
            <w:r w:rsidR="006B52ED" w:rsidRPr="00B434A6">
              <w:rPr>
                <w:rFonts w:ascii="Calibri" w:eastAsia="MS Mincho" w:hAnsi="Calibri" w:cs="Arial"/>
              </w:rPr>
              <w:t>ettre en place des procédures pour les communications externes sur les questions environnementales</w:t>
            </w:r>
            <w:r w:rsidR="006B52ED">
              <w:rPr>
                <w:rFonts w:ascii="Calibri" w:eastAsia="MS Mincho" w:hAnsi="Calibri" w:cs="Arial"/>
              </w:rPr>
              <w:t xml:space="preserve"> </w:t>
            </w:r>
            <w:r w:rsidR="006B52ED" w:rsidRPr="00B434A6">
              <w:rPr>
                <w:rFonts w:ascii="Calibri" w:eastAsia="MS Mincho" w:hAnsi="Calibri" w:cs="Arial"/>
              </w:rPr>
              <w:t>et sociales</w:t>
            </w:r>
            <w:r w:rsidR="006B52ED">
              <w:rPr>
                <w:rFonts w:ascii="Calibri" w:eastAsia="MS Mincho" w:hAnsi="Calibri" w:cs="Arial"/>
              </w:rPr>
              <w:t xml:space="preserve">. </w:t>
            </w:r>
            <w:r w:rsidR="0084126F">
              <w:rPr>
                <w:rFonts w:ascii="Calibri" w:eastAsia="MS Mincho" w:hAnsi="Calibri" w:cs="Arial"/>
              </w:rPr>
              <w:t xml:space="preserve">Publication du SGES et des </w:t>
            </w:r>
            <w:r w:rsidR="0084126F" w:rsidRPr="00B434A6">
              <w:rPr>
                <w:rFonts w:ascii="Calibri" w:eastAsia="MS Mincho" w:hAnsi="Calibri" w:cs="Arial"/>
              </w:rPr>
              <w:t>tous les documents</w:t>
            </w:r>
            <w:r w:rsidR="0084126F">
              <w:rPr>
                <w:rFonts w:ascii="Calibri" w:eastAsia="MS Mincho" w:hAnsi="Calibri" w:cs="Arial"/>
              </w:rPr>
              <w:t xml:space="preserve"> </w:t>
            </w:r>
            <w:r w:rsidR="0084126F" w:rsidRPr="00B434A6">
              <w:rPr>
                <w:rFonts w:ascii="Calibri" w:eastAsia="MS Mincho" w:hAnsi="Calibri" w:cs="Arial"/>
              </w:rPr>
              <w:t>relatifs aux sous-projets</w:t>
            </w:r>
            <w:r w:rsidR="0084126F">
              <w:rPr>
                <w:rFonts w:ascii="Calibri" w:eastAsia="MS Mincho" w:hAnsi="Calibri" w:cs="Arial"/>
              </w:rPr>
              <w:t xml:space="preserve"> d’IF</w:t>
            </w:r>
          </w:p>
          <w:p w14:paraId="30119428" w14:textId="77777777" w:rsidR="006B52ED" w:rsidRPr="00BC30C6" w:rsidRDefault="006B52ED" w:rsidP="00B434A6">
            <w:pPr>
              <w:pStyle w:val="Tabletext"/>
              <w:jc w:val="both"/>
              <w:rPr>
                <w:rFonts w:ascii="Calibri" w:eastAsia="MS Mincho" w:hAnsi="Calibri" w:cs="Arial"/>
              </w:rPr>
            </w:pPr>
            <w:r>
              <w:rPr>
                <w:rFonts w:ascii="Calibri" w:eastAsia="MS Mincho" w:hAnsi="Calibri" w:cs="Arial"/>
                <w:i/>
                <w:iCs/>
              </w:rPr>
              <w:t>Paragraphe 25 à 27</w:t>
            </w:r>
          </w:p>
        </w:tc>
        <w:tc>
          <w:tcPr>
            <w:tcW w:w="5850" w:type="dxa"/>
            <w:shd w:val="clear" w:color="auto" w:fill="auto"/>
            <w:vAlign w:val="center"/>
          </w:tcPr>
          <w:p w14:paraId="2D6D9DB8" w14:textId="77777777" w:rsidR="00081366" w:rsidRPr="00BC30C6" w:rsidRDefault="0084126F" w:rsidP="00D12C6F">
            <w:pPr>
              <w:rPr>
                <w:rFonts w:eastAsia="MS Mincho" w:cs="Arial"/>
              </w:rPr>
            </w:pPr>
            <w:r>
              <w:rPr>
                <w:rFonts w:eastAsia="MS Mincho" w:cs="Arial"/>
              </w:rPr>
              <w:t>Néant</w:t>
            </w:r>
          </w:p>
        </w:tc>
        <w:tc>
          <w:tcPr>
            <w:tcW w:w="3594" w:type="dxa"/>
            <w:shd w:val="clear" w:color="auto" w:fill="auto"/>
            <w:vAlign w:val="center"/>
          </w:tcPr>
          <w:p w14:paraId="614877DB" w14:textId="77777777" w:rsidR="00081366" w:rsidRPr="007F78CE" w:rsidRDefault="0084126F" w:rsidP="00D12C6F">
            <w:pPr>
              <w:rPr>
                <w:rFonts w:eastAsia="MS Mincho"/>
                <w:sz w:val="20"/>
                <w:u w:val="single"/>
              </w:rPr>
            </w:pPr>
            <w:r w:rsidRPr="007F78CE">
              <w:rPr>
                <w:rFonts w:eastAsia="MS Mincho"/>
                <w:sz w:val="20"/>
                <w:u w:val="single"/>
              </w:rPr>
              <w:t>Conclusion</w:t>
            </w:r>
            <w:r w:rsidRPr="007F78CE">
              <w:rPr>
                <w:rFonts w:eastAsia="MS Mincho"/>
                <w:sz w:val="20"/>
              </w:rPr>
              <w:t> : Application des dispositions spécifiques des NES</w:t>
            </w:r>
          </w:p>
        </w:tc>
      </w:tr>
      <w:tr w:rsidR="006B2C01" w:rsidRPr="007F78CE" w14:paraId="6B6A55E5" w14:textId="77777777" w:rsidTr="00D12C6F">
        <w:trPr>
          <w:cantSplit/>
          <w:jc w:val="center"/>
        </w:trPr>
        <w:tc>
          <w:tcPr>
            <w:tcW w:w="14659" w:type="dxa"/>
            <w:gridSpan w:val="3"/>
            <w:shd w:val="clear" w:color="auto" w:fill="FBD4B4"/>
          </w:tcPr>
          <w:p w14:paraId="6D26251A" w14:textId="77777777" w:rsidR="006B2C01" w:rsidRPr="00BC30C6" w:rsidRDefault="006B2C01" w:rsidP="00D12C6F">
            <w:pPr>
              <w:spacing w:before="60" w:after="60"/>
              <w:jc w:val="center"/>
              <w:rPr>
                <w:rFonts w:eastAsia="MS Mincho" w:cs="Arial"/>
                <w:b/>
                <w:bCs/>
              </w:rPr>
            </w:pPr>
            <w:r w:rsidRPr="00BC30C6">
              <w:rPr>
                <w:rFonts w:eastAsia="MS Mincho" w:cs="Arial"/>
                <w:b/>
                <w:bCs/>
              </w:rPr>
              <w:t xml:space="preserve">NES 10. Mobilisation des parties </w:t>
            </w:r>
            <w:r w:rsidR="12F1BBFC" w:rsidRPr="4E4A4666">
              <w:rPr>
                <w:rFonts w:eastAsia="MS Mincho" w:cs="Arial"/>
                <w:b/>
                <w:bCs/>
              </w:rPr>
              <w:t>prenantes</w:t>
            </w:r>
            <w:r w:rsidRPr="00BC30C6">
              <w:rPr>
                <w:rFonts w:eastAsia="MS Mincho" w:cs="Arial"/>
                <w:b/>
                <w:bCs/>
              </w:rPr>
              <w:t xml:space="preserve"> et information</w:t>
            </w:r>
          </w:p>
        </w:tc>
      </w:tr>
      <w:tr w:rsidR="006B2C01" w:rsidRPr="007F78CE" w14:paraId="6497FF14" w14:textId="77777777" w:rsidTr="00B434A6">
        <w:trPr>
          <w:cantSplit/>
          <w:jc w:val="center"/>
        </w:trPr>
        <w:tc>
          <w:tcPr>
            <w:tcW w:w="5215" w:type="dxa"/>
          </w:tcPr>
          <w:p w14:paraId="696E3158"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Mettre en place un processus de mobilisation des parties prenantes qui sera intégré à l’évaluation environnementale et sociale et à la conception et la mise en œuvre du projet, tel que préconisé dans la NES 1.</w:t>
            </w:r>
          </w:p>
          <w:p w14:paraId="4367E040" w14:textId="77777777" w:rsidR="006B2C01" w:rsidRPr="00BC30C6" w:rsidRDefault="006B2C01" w:rsidP="00D12C6F">
            <w:pPr>
              <w:tabs>
                <w:tab w:val="center" w:pos="4320"/>
                <w:tab w:val="right" w:pos="8640"/>
              </w:tabs>
              <w:autoSpaceDE w:val="0"/>
              <w:autoSpaceDN w:val="0"/>
              <w:adjustRightInd w:val="0"/>
              <w:rPr>
                <w:rFonts w:eastAsia="MS Mincho" w:cs="Arial"/>
                <w:i/>
                <w:iCs/>
                <w:u w:val="single"/>
              </w:rPr>
            </w:pPr>
            <w:r w:rsidRPr="00BC30C6">
              <w:rPr>
                <w:rFonts w:eastAsia="MS Mincho" w:cs="Arial"/>
                <w:i/>
                <w:iCs/>
              </w:rPr>
              <w:t>Paragraphe 4</w:t>
            </w:r>
          </w:p>
        </w:tc>
        <w:tc>
          <w:tcPr>
            <w:tcW w:w="5850" w:type="dxa"/>
            <w:shd w:val="clear" w:color="auto" w:fill="auto"/>
            <w:vAlign w:val="center"/>
          </w:tcPr>
          <w:p w14:paraId="0312C494" w14:textId="77777777" w:rsidR="006B2C01" w:rsidRDefault="006B2C01" w:rsidP="00D12C6F">
            <w:pPr>
              <w:pStyle w:val="Tabletext"/>
              <w:rPr>
                <w:rFonts w:ascii="Calibri" w:eastAsia="MS Mincho" w:hAnsi="Calibri" w:cs="Arial"/>
              </w:rPr>
            </w:pPr>
            <w:r>
              <w:rPr>
                <w:rFonts w:ascii="Calibri" w:eastAsia="MS Mincho" w:hAnsi="Calibri" w:cs="Arial"/>
              </w:rPr>
              <w:t xml:space="preserve">Le cadre législatif national prévoit la participation du public à l’évaluation environnementale. </w:t>
            </w:r>
          </w:p>
          <w:p w14:paraId="020C26A1" w14:textId="77777777" w:rsidR="00EC25D8" w:rsidRDefault="00EC25D8" w:rsidP="00D12C6F">
            <w:pPr>
              <w:pStyle w:val="Tabletext"/>
              <w:rPr>
                <w:rFonts w:ascii="Calibri" w:eastAsia="MS Mincho" w:hAnsi="Calibri" w:cs="Arial"/>
              </w:rPr>
            </w:pPr>
          </w:p>
          <w:p w14:paraId="27329F32" w14:textId="77777777" w:rsidR="006B2C01" w:rsidRDefault="006B2C01" w:rsidP="00D12C6F">
            <w:pPr>
              <w:pStyle w:val="Tabletext"/>
              <w:rPr>
                <w:rFonts w:ascii="Calibri" w:eastAsia="MS Mincho" w:hAnsi="Calibri" w:cs="Arial"/>
                <w:i/>
                <w:iCs/>
              </w:rPr>
            </w:pPr>
            <w:r>
              <w:rPr>
                <w:rFonts w:ascii="Calibri" w:eastAsia="MS Mincho" w:hAnsi="Calibri" w:cs="Arial"/>
                <w:i/>
                <w:iCs/>
              </w:rPr>
              <w:t>D</w:t>
            </w:r>
            <w:r w:rsidRPr="001026D9">
              <w:rPr>
                <w:rFonts w:ascii="Calibri" w:eastAsia="MS Mincho" w:hAnsi="Calibri" w:cs="Arial"/>
                <w:i/>
                <w:iCs/>
              </w:rPr>
              <w:t>écret n° 99 954 du 15 Décembre 1999 fixant les nouvelles dispositions relatives à la mise en compatibilité des investissements avec l’environnemen</w:t>
            </w:r>
            <w:r>
              <w:rPr>
                <w:rFonts w:ascii="Calibri" w:eastAsia="MS Mincho" w:hAnsi="Calibri" w:cs="Arial"/>
                <w:i/>
                <w:iCs/>
              </w:rPr>
              <w:t xml:space="preserve">t </w:t>
            </w:r>
            <w:r w:rsidRPr="00BC30C6">
              <w:rPr>
                <w:rFonts w:ascii="Calibri" w:eastAsia="MS Mincho" w:hAnsi="Calibri" w:cs="Arial"/>
                <w:i/>
                <w:iCs/>
              </w:rPr>
              <w:t>[A</w:t>
            </w:r>
            <w:r>
              <w:rPr>
                <w:rFonts w:ascii="Calibri" w:eastAsia="MS Mincho" w:hAnsi="Calibri" w:cs="Arial"/>
                <w:i/>
                <w:iCs/>
              </w:rPr>
              <w:t>rticle 15]</w:t>
            </w:r>
          </w:p>
          <w:p w14:paraId="5C120E2F" w14:textId="77777777" w:rsidR="006B2C01" w:rsidRPr="00BC30C6" w:rsidRDefault="006B2C01" w:rsidP="00D12C6F">
            <w:pPr>
              <w:pStyle w:val="Tabletext"/>
              <w:rPr>
                <w:rFonts w:ascii="Calibri" w:eastAsia="MS Mincho" w:hAnsi="Calibri" w:cs="Arial"/>
              </w:rPr>
            </w:pPr>
          </w:p>
        </w:tc>
        <w:tc>
          <w:tcPr>
            <w:tcW w:w="3594" w:type="dxa"/>
            <w:shd w:val="clear" w:color="auto" w:fill="auto"/>
            <w:vAlign w:val="center"/>
          </w:tcPr>
          <w:p w14:paraId="3BB70F25" w14:textId="77777777" w:rsidR="006B2C01" w:rsidRPr="007F78CE" w:rsidRDefault="006B2C01" w:rsidP="00D12C6F">
            <w:pPr>
              <w:rPr>
                <w:rFonts w:eastAsia="MS Mincho"/>
                <w:sz w:val="20"/>
              </w:rPr>
            </w:pPr>
            <w:r w:rsidRPr="007F78CE">
              <w:rPr>
                <w:rFonts w:eastAsia="MS Mincho"/>
                <w:sz w:val="20"/>
              </w:rPr>
              <w:t xml:space="preserve">Complémentarité et concordance entre les deux cadres réglementaires. </w:t>
            </w:r>
          </w:p>
          <w:p w14:paraId="78CCD1C2"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spécifiques des NES et des dispositions de du décret MECIE</w:t>
            </w:r>
          </w:p>
        </w:tc>
      </w:tr>
      <w:tr w:rsidR="006B2C01" w:rsidRPr="007F78CE" w14:paraId="578A3135" w14:textId="77777777" w:rsidTr="00B434A6">
        <w:trPr>
          <w:cantSplit/>
          <w:jc w:val="center"/>
        </w:trPr>
        <w:tc>
          <w:tcPr>
            <w:tcW w:w="5215" w:type="dxa"/>
          </w:tcPr>
          <w:p w14:paraId="362188FE"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Mobiliser les parties prenantes pendant toute la durée de vie du projet, le plus tôt possible pendant l’élaboration du projet, et selon un calendrier qui permette des consultations approfondies avec les parties prenantes sur la conception du projet, et proportionner la nature, la portée et la fréquence de cette mobilisation à l’envergure et aux risques du projet.</w:t>
            </w:r>
          </w:p>
          <w:p w14:paraId="3F91533D" w14:textId="77777777" w:rsidR="006B2C01" w:rsidRPr="00BC30C6" w:rsidRDefault="006B2C01" w:rsidP="00D12C6F">
            <w:pPr>
              <w:tabs>
                <w:tab w:val="center" w:pos="4320"/>
                <w:tab w:val="right" w:pos="8640"/>
              </w:tabs>
              <w:autoSpaceDE w:val="0"/>
              <w:autoSpaceDN w:val="0"/>
              <w:adjustRightInd w:val="0"/>
              <w:rPr>
                <w:rFonts w:eastAsia="MS Mincho" w:cs="Arial"/>
                <w:i/>
                <w:iCs/>
                <w:u w:val="single"/>
              </w:rPr>
            </w:pPr>
            <w:r w:rsidRPr="00BC30C6">
              <w:rPr>
                <w:rFonts w:eastAsia="MS Mincho" w:cs="Arial"/>
                <w:i/>
                <w:iCs/>
              </w:rPr>
              <w:t>Paragraphe 6</w:t>
            </w:r>
          </w:p>
        </w:tc>
        <w:tc>
          <w:tcPr>
            <w:tcW w:w="5850" w:type="dxa"/>
            <w:shd w:val="clear" w:color="auto" w:fill="auto"/>
            <w:vAlign w:val="center"/>
          </w:tcPr>
          <w:p w14:paraId="45331244" w14:textId="77777777" w:rsidR="006B2C01" w:rsidRPr="00BC30C6" w:rsidRDefault="006B2C01" w:rsidP="00D12C6F">
            <w:pPr>
              <w:tabs>
                <w:tab w:val="center" w:pos="4320"/>
                <w:tab w:val="right" w:pos="8640"/>
              </w:tabs>
              <w:autoSpaceDE w:val="0"/>
              <w:autoSpaceDN w:val="0"/>
              <w:adjustRightInd w:val="0"/>
              <w:rPr>
                <w:rFonts w:eastAsia="MS Mincho" w:cs="Arial"/>
              </w:rPr>
            </w:pPr>
            <w:r w:rsidRPr="00CA36B9">
              <w:rPr>
                <w:rFonts w:eastAsia="MS Mincho" w:cs="Arial"/>
                <w:w w:val="104"/>
                <w:sz w:val="20"/>
                <w:szCs w:val="10"/>
              </w:rPr>
              <w:t>Le cadre législatif national ne prévoit pas d’obligation relative à la mobilisation des parties prenantes pendant toute la durée du projet.</w:t>
            </w:r>
          </w:p>
        </w:tc>
        <w:tc>
          <w:tcPr>
            <w:tcW w:w="3594" w:type="dxa"/>
            <w:shd w:val="clear" w:color="auto" w:fill="auto"/>
            <w:vAlign w:val="center"/>
          </w:tcPr>
          <w:p w14:paraId="5350A301"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spécifiques des NES</w:t>
            </w:r>
          </w:p>
        </w:tc>
      </w:tr>
      <w:tr w:rsidR="006B2C01" w:rsidRPr="007F78CE" w14:paraId="7084C185" w14:textId="77777777" w:rsidTr="00B434A6">
        <w:trPr>
          <w:cantSplit/>
          <w:jc w:val="center"/>
        </w:trPr>
        <w:tc>
          <w:tcPr>
            <w:tcW w:w="5215" w:type="dxa"/>
          </w:tcPr>
          <w:p w14:paraId="6B8EA1E8"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Mener des consultations approfondies avec l’ensemble des parties prenantes, leur communiquer des informations à jour, pertinentes, compréhensibles et accessibles, et les consulter d’une manière adaptée à leur culture et libre de toute manipulation, interférence, coercition, discrimination et intimidation.</w:t>
            </w:r>
          </w:p>
          <w:p w14:paraId="59E63173" w14:textId="77777777" w:rsidR="006B2C01" w:rsidRPr="00BC30C6" w:rsidRDefault="006B2C01" w:rsidP="00D12C6F">
            <w:pPr>
              <w:tabs>
                <w:tab w:val="center" w:pos="4320"/>
                <w:tab w:val="right" w:pos="8640"/>
              </w:tabs>
              <w:autoSpaceDE w:val="0"/>
              <w:autoSpaceDN w:val="0"/>
              <w:adjustRightInd w:val="0"/>
              <w:rPr>
                <w:rFonts w:eastAsia="MS Mincho" w:cs="Arial"/>
                <w:i/>
                <w:iCs/>
                <w:u w:val="single"/>
              </w:rPr>
            </w:pPr>
            <w:r w:rsidRPr="00BC30C6">
              <w:rPr>
                <w:rFonts w:eastAsia="MS Mincho" w:cs="Arial"/>
                <w:i/>
                <w:iCs/>
              </w:rPr>
              <w:t>Paragraphes 7</w:t>
            </w:r>
          </w:p>
        </w:tc>
        <w:tc>
          <w:tcPr>
            <w:tcW w:w="5850" w:type="dxa"/>
            <w:shd w:val="clear" w:color="auto" w:fill="auto"/>
            <w:vAlign w:val="center"/>
          </w:tcPr>
          <w:p w14:paraId="6F03DF78" w14:textId="77777777" w:rsidR="006B2C01" w:rsidRPr="00BC30C6" w:rsidRDefault="006B2C01" w:rsidP="00D12C6F">
            <w:pPr>
              <w:tabs>
                <w:tab w:val="center" w:pos="4320"/>
                <w:tab w:val="right" w:pos="8640"/>
              </w:tabs>
              <w:autoSpaceDE w:val="0"/>
              <w:autoSpaceDN w:val="0"/>
              <w:adjustRightInd w:val="0"/>
              <w:rPr>
                <w:rFonts w:eastAsia="MS Mincho" w:cs="Arial"/>
              </w:rPr>
            </w:pPr>
            <w:r w:rsidRPr="00CA36B9">
              <w:rPr>
                <w:rFonts w:eastAsia="MS Mincho" w:cs="Arial"/>
                <w:w w:val="104"/>
                <w:sz w:val="20"/>
                <w:szCs w:val="10"/>
              </w:rPr>
              <w:t xml:space="preserve">Le cadre législatif national ne prévoit pas d’obligation relative à la </w:t>
            </w:r>
            <w:r>
              <w:rPr>
                <w:rFonts w:eastAsia="MS Mincho" w:cs="Arial"/>
                <w:w w:val="104"/>
                <w:sz w:val="20"/>
                <w:szCs w:val="10"/>
              </w:rPr>
              <w:t xml:space="preserve">consultation approfondie des parties prenantes </w:t>
            </w:r>
          </w:p>
        </w:tc>
        <w:tc>
          <w:tcPr>
            <w:tcW w:w="3594" w:type="dxa"/>
            <w:shd w:val="clear" w:color="auto" w:fill="auto"/>
            <w:vAlign w:val="center"/>
          </w:tcPr>
          <w:p w14:paraId="02A0DE82"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spécifiques des NES</w:t>
            </w:r>
          </w:p>
        </w:tc>
      </w:tr>
      <w:tr w:rsidR="006B2C01" w:rsidRPr="007F78CE" w14:paraId="1D59ECF1" w14:textId="77777777" w:rsidTr="00B434A6">
        <w:trPr>
          <w:cantSplit/>
          <w:jc w:val="center"/>
        </w:trPr>
        <w:tc>
          <w:tcPr>
            <w:tcW w:w="5215" w:type="dxa"/>
          </w:tcPr>
          <w:p w14:paraId="3000F02C"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Maintenir et publier dans le cadre de l’évaluation environnementale et sociale, un recueil de documents rendant compte de la mobilisation des parties prenantes, y compris une présentation des parties prenantes consultées, un résumé des réactions obtenues, et une brève explication de la manière dont ces réactions ont été prises en compte ou non.</w:t>
            </w:r>
          </w:p>
          <w:p w14:paraId="2F0AA545" w14:textId="77777777" w:rsidR="006B2C01" w:rsidRPr="00BC30C6" w:rsidRDefault="006B2C01" w:rsidP="00D12C6F">
            <w:pPr>
              <w:tabs>
                <w:tab w:val="center" w:pos="4320"/>
                <w:tab w:val="right" w:pos="8640"/>
              </w:tabs>
              <w:autoSpaceDE w:val="0"/>
              <w:autoSpaceDN w:val="0"/>
              <w:adjustRightInd w:val="0"/>
              <w:rPr>
                <w:rFonts w:eastAsia="MS Mincho" w:cs="Arial"/>
                <w:i/>
                <w:iCs/>
                <w:u w:val="single"/>
              </w:rPr>
            </w:pPr>
            <w:r w:rsidRPr="00BC30C6">
              <w:rPr>
                <w:rFonts w:eastAsia="MS Mincho" w:cs="Arial"/>
                <w:i/>
                <w:iCs/>
              </w:rPr>
              <w:t>Paragraphe 9</w:t>
            </w:r>
          </w:p>
        </w:tc>
        <w:tc>
          <w:tcPr>
            <w:tcW w:w="5850" w:type="dxa"/>
            <w:shd w:val="clear" w:color="auto" w:fill="auto"/>
            <w:vAlign w:val="center"/>
          </w:tcPr>
          <w:p w14:paraId="46732760" w14:textId="77777777" w:rsidR="006B2C01" w:rsidRDefault="006B2C01" w:rsidP="00B434A6">
            <w:pPr>
              <w:tabs>
                <w:tab w:val="center" w:pos="4320"/>
                <w:tab w:val="right" w:pos="8640"/>
              </w:tabs>
              <w:autoSpaceDE w:val="0"/>
              <w:autoSpaceDN w:val="0"/>
              <w:adjustRightInd w:val="0"/>
              <w:spacing w:after="120"/>
              <w:rPr>
                <w:rFonts w:ascii="arial gras" w:eastAsia="MS Mincho" w:hAnsi="arial gras" w:cs="Arial" w:hint="eastAsia"/>
                <w:b/>
                <w:smallCaps/>
                <w:color w:val="000000"/>
                <w:w w:val="104"/>
                <w:sz w:val="20"/>
                <w:szCs w:val="10"/>
              </w:rPr>
            </w:pPr>
            <w:r w:rsidRPr="00CA36B9">
              <w:rPr>
                <w:rFonts w:eastAsia="MS Mincho" w:cs="Arial"/>
                <w:w w:val="104"/>
                <w:sz w:val="20"/>
                <w:szCs w:val="10"/>
              </w:rPr>
              <w:t>Sous l’impulsion du Ministère chargé de l’Environnement et avec l’appui technique de l’ONE, toutes informations et toutes données utiles pour gérer l’environnement en vue d’un développement humain durable sont diffusées, chacun en ce qui le concerne, par les Ministères sectoriels directement intéressés. Les collectivités territoriales, et notamment les communes, peuvent être associées à cette diffusion</w:t>
            </w:r>
            <w:r>
              <w:rPr>
                <w:rFonts w:eastAsia="MS Mincho" w:cs="Arial"/>
                <w:w w:val="104"/>
                <w:sz w:val="20"/>
                <w:szCs w:val="10"/>
              </w:rPr>
              <w:t xml:space="preserve">. </w:t>
            </w:r>
          </w:p>
          <w:p w14:paraId="4ABA6983" w14:textId="77777777" w:rsidR="006B2C01" w:rsidRDefault="006B2C01" w:rsidP="00B434A6">
            <w:pPr>
              <w:pStyle w:val="Tabletext"/>
              <w:spacing w:after="120"/>
              <w:rPr>
                <w:rFonts w:ascii="Calibri" w:eastAsia="MS Mincho" w:hAnsi="Calibri" w:cs="Arial"/>
                <w:b/>
                <w:i/>
                <w:iCs/>
                <w:smallCaps/>
                <w:color w:val="000000"/>
              </w:rPr>
            </w:pPr>
            <w:r>
              <w:rPr>
                <w:rFonts w:ascii="Calibri" w:eastAsia="MS Mincho" w:hAnsi="Calibri" w:cs="Arial"/>
                <w:i/>
                <w:iCs/>
              </w:rPr>
              <w:t>D</w:t>
            </w:r>
            <w:r w:rsidRPr="001026D9">
              <w:rPr>
                <w:rFonts w:ascii="Calibri" w:eastAsia="MS Mincho" w:hAnsi="Calibri" w:cs="Arial"/>
                <w:i/>
                <w:iCs/>
              </w:rPr>
              <w:t>écret n° 99 954 du 15 Décembre 1999 fixant les nouvelles dispositions relatives à la mise en compatibilité des investissements avec l’environnemen</w:t>
            </w:r>
            <w:r>
              <w:rPr>
                <w:rFonts w:ascii="Calibri" w:eastAsia="MS Mincho" w:hAnsi="Calibri" w:cs="Arial"/>
                <w:i/>
                <w:iCs/>
              </w:rPr>
              <w:t xml:space="preserve">t </w:t>
            </w:r>
            <w:r w:rsidRPr="00BC30C6">
              <w:rPr>
                <w:rFonts w:ascii="Calibri" w:eastAsia="MS Mincho" w:hAnsi="Calibri" w:cs="Arial"/>
                <w:i/>
                <w:iCs/>
              </w:rPr>
              <w:t>[A</w:t>
            </w:r>
            <w:r>
              <w:rPr>
                <w:rFonts w:ascii="Calibri" w:eastAsia="MS Mincho" w:hAnsi="Calibri" w:cs="Arial"/>
                <w:i/>
                <w:iCs/>
              </w:rPr>
              <w:t>rticle 10]</w:t>
            </w:r>
          </w:p>
          <w:p w14:paraId="6C6EA60C" w14:textId="77777777" w:rsidR="006B2C01" w:rsidRPr="00CA36B9" w:rsidRDefault="006B2C01" w:rsidP="00B434A6">
            <w:pPr>
              <w:tabs>
                <w:tab w:val="center" w:pos="4320"/>
                <w:tab w:val="right" w:pos="8640"/>
              </w:tabs>
              <w:autoSpaceDE w:val="0"/>
              <w:autoSpaceDN w:val="0"/>
              <w:adjustRightInd w:val="0"/>
              <w:spacing w:after="120"/>
              <w:rPr>
                <w:rFonts w:eastAsia="MS Mincho" w:cs="Arial"/>
                <w:w w:val="104"/>
                <w:sz w:val="20"/>
                <w:szCs w:val="10"/>
              </w:rPr>
            </w:pPr>
            <w:r>
              <w:rPr>
                <w:rFonts w:eastAsia="MS Mincho" w:cs="Arial"/>
                <w:w w:val="104"/>
                <w:sz w:val="20"/>
                <w:szCs w:val="10"/>
              </w:rPr>
              <w:t xml:space="preserve">L’EIE doit comprendre un résumé non technique. </w:t>
            </w:r>
            <w:r w:rsidRPr="006A45E9">
              <w:rPr>
                <w:rFonts w:eastAsia="MS Mincho" w:cs="Arial"/>
                <w:w w:val="104"/>
                <w:sz w:val="20"/>
                <w:szCs w:val="10"/>
              </w:rPr>
              <w:t xml:space="preserve">Un résumé non technique rédigé en malagasy et en français, afin de faciliter la prise de connaissance par le public des informations contenues dans l’étude ; ce résumé joint à l’étude et qui en fait partie intégrante, indiquera en substance en des termes accessibles au public, l’état initial du site et de son environnement, les modifications apportées par le projet et les mesures envisagées pour pallier </w:t>
            </w:r>
            <w:r>
              <w:rPr>
                <w:rFonts w:eastAsia="MS Mincho" w:cs="Arial"/>
                <w:w w:val="104"/>
                <w:sz w:val="20"/>
                <w:szCs w:val="10"/>
              </w:rPr>
              <w:t>les</w:t>
            </w:r>
            <w:r w:rsidRPr="006A45E9">
              <w:rPr>
                <w:rFonts w:eastAsia="MS Mincho" w:cs="Arial"/>
                <w:w w:val="104"/>
                <w:sz w:val="20"/>
                <w:szCs w:val="10"/>
              </w:rPr>
              <w:t xml:space="preserve"> conséquences dommageables de</w:t>
            </w:r>
            <w:r>
              <w:rPr>
                <w:rFonts w:eastAsia="MS Mincho" w:cs="Arial"/>
                <w:w w:val="104"/>
                <w:sz w:val="20"/>
                <w:szCs w:val="10"/>
              </w:rPr>
              <w:t xml:space="preserve"> </w:t>
            </w:r>
            <w:r w:rsidRPr="006A45E9">
              <w:rPr>
                <w:rFonts w:eastAsia="MS Mincho" w:cs="Arial"/>
                <w:w w:val="104"/>
                <w:sz w:val="20"/>
                <w:szCs w:val="10"/>
              </w:rPr>
              <w:t>l’investissement à l’environnement</w:t>
            </w:r>
          </w:p>
          <w:p w14:paraId="6BE503EE" w14:textId="77777777" w:rsidR="006B2C01" w:rsidRPr="00BC30C6" w:rsidRDefault="006B2C01" w:rsidP="00B434A6">
            <w:pPr>
              <w:pStyle w:val="Tabletext"/>
              <w:spacing w:after="120"/>
              <w:rPr>
                <w:rFonts w:eastAsia="MS Mincho" w:cs="Arial"/>
              </w:rPr>
            </w:pPr>
            <w:r>
              <w:rPr>
                <w:rFonts w:ascii="Calibri" w:eastAsia="MS Mincho" w:hAnsi="Calibri" w:cs="Arial"/>
                <w:i/>
                <w:iCs/>
              </w:rPr>
              <w:t>D</w:t>
            </w:r>
            <w:r w:rsidRPr="001026D9">
              <w:rPr>
                <w:rFonts w:ascii="Calibri" w:eastAsia="MS Mincho" w:hAnsi="Calibri" w:cs="Arial"/>
                <w:i/>
                <w:iCs/>
              </w:rPr>
              <w:t>écret n° 99 954 du 15 Décembre 1999 fixant les nouvelles dispositions relatives à la mise en compatibilité des investissements avec l’environnemen</w:t>
            </w:r>
            <w:r>
              <w:rPr>
                <w:rFonts w:ascii="Calibri" w:eastAsia="MS Mincho" w:hAnsi="Calibri" w:cs="Arial"/>
                <w:i/>
                <w:iCs/>
              </w:rPr>
              <w:t xml:space="preserve">t </w:t>
            </w:r>
            <w:r w:rsidRPr="00BC30C6">
              <w:rPr>
                <w:rFonts w:ascii="Calibri" w:eastAsia="MS Mincho" w:hAnsi="Calibri" w:cs="Arial"/>
                <w:i/>
                <w:iCs/>
              </w:rPr>
              <w:t>[A</w:t>
            </w:r>
            <w:r>
              <w:rPr>
                <w:rFonts w:ascii="Calibri" w:eastAsia="MS Mincho" w:hAnsi="Calibri" w:cs="Arial"/>
                <w:i/>
                <w:iCs/>
              </w:rPr>
              <w:t>rticle 11]</w:t>
            </w:r>
          </w:p>
        </w:tc>
        <w:tc>
          <w:tcPr>
            <w:tcW w:w="3594" w:type="dxa"/>
            <w:shd w:val="clear" w:color="auto" w:fill="auto"/>
            <w:vAlign w:val="center"/>
          </w:tcPr>
          <w:p w14:paraId="4BD4BF1E" w14:textId="77777777" w:rsidR="006B2C01" w:rsidRPr="007F78CE" w:rsidRDefault="006B2C01" w:rsidP="00D12C6F">
            <w:pPr>
              <w:rPr>
                <w:rFonts w:eastAsia="MS Mincho"/>
                <w:sz w:val="20"/>
              </w:rPr>
            </w:pPr>
            <w:r w:rsidRPr="007F78CE">
              <w:rPr>
                <w:rFonts w:eastAsia="MS Mincho"/>
                <w:sz w:val="20"/>
              </w:rPr>
              <w:t xml:space="preserve">Complémentarité et concordance entre les deux cadres réglementaires. </w:t>
            </w:r>
          </w:p>
          <w:p w14:paraId="3BB4ACE7"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spécifiques des NES et des dispositions de du décret MECIE</w:t>
            </w:r>
          </w:p>
        </w:tc>
      </w:tr>
      <w:tr w:rsidR="006B2C01" w:rsidRPr="007F78CE" w14:paraId="59DDEF6C" w14:textId="77777777" w:rsidTr="00B434A6">
        <w:trPr>
          <w:cantSplit/>
          <w:jc w:val="center"/>
        </w:trPr>
        <w:tc>
          <w:tcPr>
            <w:tcW w:w="5215" w:type="dxa"/>
          </w:tcPr>
          <w:p w14:paraId="1DE396EB"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Identifier les différentes parties prenantes, aussi bien les parties touchées par le projet que les autres parties concernées, notamment les individus ou les groupes qui, en raison de leur situation particulière, peuvent être défavorisés ou vulnérables</w:t>
            </w:r>
          </w:p>
          <w:p w14:paraId="3F218625" w14:textId="77777777" w:rsidR="006B2C01" w:rsidRPr="00BC30C6" w:rsidRDefault="006B2C01" w:rsidP="00D12C6F">
            <w:pPr>
              <w:tabs>
                <w:tab w:val="center" w:pos="4320"/>
                <w:tab w:val="right" w:pos="8640"/>
              </w:tabs>
              <w:autoSpaceDE w:val="0"/>
              <w:autoSpaceDN w:val="0"/>
              <w:adjustRightInd w:val="0"/>
              <w:rPr>
                <w:rFonts w:eastAsia="MS Mincho" w:cs="Arial"/>
                <w:i/>
                <w:iCs/>
                <w:u w:val="single"/>
              </w:rPr>
            </w:pPr>
            <w:r w:rsidRPr="00BC30C6">
              <w:rPr>
                <w:rFonts w:eastAsia="MS Mincho" w:cs="Arial"/>
                <w:i/>
                <w:iCs/>
              </w:rPr>
              <w:t>Paragraphes 10 à 12</w:t>
            </w:r>
          </w:p>
        </w:tc>
        <w:tc>
          <w:tcPr>
            <w:tcW w:w="5850" w:type="dxa"/>
            <w:shd w:val="clear" w:color="auto" w:fill="auto"/>
            <w:vAlign w:val="center"/>
          </w:tcPr>
          <w:p w14:paraId="04240BF1" w14:textId="77777777" w:rsidR="006B2C01" w:rsidRPr="00DF0BFF" w:rsidRDefault="006B2C01" w:rsidP="00B434A6">
            <w:pPr>
              <w:tabs>
                <w:tab w:val="center" w:pos="4320"/>
                <w:tab w:val="right" w:pos="8640"/>
              </w:tabs>
              <w:autoSpaceDE w:val="0"/>
              <w:autoSpaceDN w:val="0"/>
              <w:adjustRightInd w:val="0"/>
              <w:spacing w:after="120"/>
              <w:rPr>
                <w:rFonts w:ascii="arial gras" w:eastAsia="MS Mincho" w:hAnsi="arial gras" w:cs="Arial" w:hint="eastAsia"/>
                <w:b/>
                <w:smallCaps/>
                <w:color w:val="000000"/>
                <w:w w:val="104"/>
                <w:sz w:val="20"/>
                <w:szCs w:val="10"/>
              </w:rPr>
            </w:pPr>
            <w:r w:rsidRPr="00DF0BFF">
              <w:rPr>
                <w:rFonts w:eastAsia="MS Mincho" w:cs="Arial"/>
                <w:w w:val="104"/>
                <w:sz w:val="20"/>
                <w:szCs w:val="10"/>
              </w:rPr>
              <w:t xml:space="preserve">Le cadre législatif national fait référence aux parties intéressées. </w:t>
            </w:r>
          </w:p>
          <w:p w14:paraId="75EACF80" w14:textId="77777777" w:rsidR="006B2C01" w:rsidRDefault="006B2C01" w:rsidP="00B434A6">
            <w:pPr>
              <w:tabs>
                <w:tab w:val="center" w:pos="4320"/>
                <w:tab w:val="right" w:pos="8640"/>
              </w:tabs>
              <w:autoSpaceDE w:val="0"/>
              <w:autoSpaceDN w:val="0"/>
              <w:adjustRightInd w:val="0"/>
              <w:spacing w:after="120"/>
              <w:rPr>
                <w:rFonts w:ascii="arial gras" w:eastAsia="MS Mincho" w:hAnsi="arial gras" w:cs="Arial" w:hint="eastAsia"/>
                <w:b/>
                <w:smallCaps/>
                <w:color w:val="000000"/>
                <w:w w:val="104"/>
                <w:sz w:val="20"/>
                <w:szCs w:val="10"/>
              </w:rPr>
            </w:pPr>
            <w:r w:rsidRPr="00DF0BFF">
              <w:rPr>
                <w:rFonts w:eastAsia="MS Mincho" w:cs="Arial"/>
                <w:w w:val="104"/>
                <w:sz w:val="20"/>
                <w:szCs w:val="10"/>
              </w:rPr>
              <w:t>Sur saisine du Ministère chargé de l’Environnement, de l’ONE, du Ministère sectoriel concerné ou du promoteur, toute personne physique ou morale intéressée, publique ou privée, peut contribuer à fixer le cadre du contenu et de l’étendue d’une EIE pour les activités</w:t>
            </w:r>
            <w:r>
              <w:rPr>
                <w:rFonts w:eastAsia="MS Mincho" w:cs="Arial"/>
                <w:w w:val="104"/>
                <w:sz w:val="20"/>
                <w:szCs w:val="10"/>
              </w:rPr>
              <w:t xml:space="preserve">. </w:t>
            </w:r>
          </w:p>
          <w:p w14:paraId="4C274F1F" w14:textId="77777777" w:rsidR="006B2C01" w:rsidRDefault="006B2C01" w:rsidP="00B434A6">
            <w:pPr>
              <w:pStyle w:val="Tabletext"/>
              <w:spacing w:after="120"/>
              <w:rPr>
                <w:rFonts w:ascii="Calibri" w:eastAsia="MS Mincho" w:hAnsi="Calibri" w:cs="Arial"/>
                <w:b/>
                <w:i/>
                <w:iCs/>
                <w:smallCaps/>
                <w:color w:val="000000"/>
              </w:rPr>
            </w:pPr>
            <w:r>
              <w:rPr>
                <w:rFonts w:ascii="Calibri" w:eastAsia="MS Mincho" w:hAnsi="Calibri" w:cs="Arial"/>
                <w:i/>
                <w:iCs/>
              </w:rPr>
              <w:t>D</w:t>
            </w:r>
            <w:r w:rsidRPr="001026D9">
              <w:rPr>
                <w:rFonts w:ascii="Calibri" w:eastAsia="MS Mincho" w:hAnsi="Calibri" w:cs="Arial"/>
                <w:i/>
                <w:iCs/>
              </w:rPr>
              <w:t>écret n° 99 954 du 15 Décembre 1999 fixant les nouvelles dispositions relatives à la mise en compatibilité des investissements avec l’environnemen</w:t>
            </w:r>
            <w:r>
              <w:rPr>
                <w:rFonts w:ascii="Calibri" w:eastAsia="MS Mincho" w:hAnsi="Calibri" w:cs="Arial"/>
                <w:i/>
                <w:iCs/>
              </w:rPr>
              <w:t xml:space="preserve">t </w:t>
            </w:r>
            <w:r w:rsidRPr="00BC30C6">
              <w:rPr>
                <w:rFonts w:ascii="Calibri" w:eastAsia="MS Mincho" w:hAnsi="Calibri" w:cs="Arial"/>
                <w:i/>
                <w:iCs/>
              </w:rPr>
              <w:t>[A</w:t>
            </w:r>
            <w:r>
              <w:rPr>
                <w:rFonts w:ascii="Calibri" w:eastAsia="MS Mincho" w:hAnsi="Calibri" w:cs="Arial"/>
                <w:i/>
                <w:iCs/>
              </w:rPr>
              <w:t>rticle 12]</w:t>
            </w:r>
          </w:p>
          <w:p w14:paraId="1B132836" w14:textId="77777777" w:rsidR="006B2C01" w:rsidRDefault="006B2C01" w:rsidP="00B434A6">
            <w:pPr>
              <w:tabs>
                <w:tab w:val="center" w:pos="4320"/>
                <w:tab w:val="right" w:pos="8640"/>
              </w:tabs>
              <w:autoSpaceDE w:val="0"/>
              <w:autoSpaceDN w:val="0"/>
              <w:adjustRightInd w:val="0"/>
              <w:spacing w:after="120"/>
              <w:rPr>
                <w:rFonts w:eastAsia="MS Mincho" w:cs="Arial"/>
                <w:w w:val="104"/>
                <w:sz w:val="20"/>
                <w:szCs w:val="10"/>
              </w:rPr>
            </w:pPr>
          </w:p>
          <w:p w14:paraId="48FA7230" w14:textId="77777777" w:rsidR="006B2C01" w:rsidRDefault="006B2C01" w:rsidP="00B434A6">
            <w:pPr>
              <w:tabs>
                <w:tab w:val="center" w:pos="4320"/>
                <w:tab w:val="right" w:pos="8640"/>
              </w:tabs>
              <w:autoSpaceDE w:val="0"/>
              <w:autoSpaceDN w:val="0"/>
              <w:adjustRightInd w:val="0"/>
              <w:spacing w:after="120"/>
              <w:rPr>
                <w:rFonts w:eastAsia="MS Mincho" w:cs="Arial"/>
                <w:w w:val="104"/>
                <w:sz w:val="20"/>
                <w:szCs w:val="10"/>
              </w:rPr>
            </w:pPr>
            <w:r w:rsidRPr="00DF0BFF">
              <w:rPr>
                <w:rFonts w:eastAsia="MS Mincho" w:cs="Arial"/>
                <w:w w:val="104"/>
                <w:sz w:val="20"/>
                <w:szCs w:val="10"/>
              </w:rPr>
              <w:t>L’audience publique consiste en une consultation simultanée des parties intéressées</w:t>
            </w:r>
            <w:r>
              <w:rPr>
                <w:rFonts w:eastAsia="MS Mincho" w:cs="Arial"/>
                <w:w w:val="104"/>
                <w:sz w:val="20"/>
                <w:szCs w:val="10"/>
              </w:rPr>
              <w:t xml:space="preserve">. </w:t>
            </w:r>
          </w:p>
          <w:p w14:paraId="4AFB7BB8" w14:textId="77777777" w:rsidR="006B2C01" w:rsidRPr="00DF0BFF" w:rsidRDefault="006B2C01" w:rsidP="00B434A6">
            <w:pPr>
              <w:pStyle w:val="Tabletext"/>
              <w:spacing w:after="120"/>
            </w:pPr>
            <w:r>
              <w:rPr>
                <w:rFonts w:ascii="Calibri" w:eastAsia="MS Mincho" w:hAnsi="Calibri" w:cs="Arial"/>
                <w:i/>
                <w:iCs/>
              </w:rPr>
              <w:t>D</w:t>
            </w:r>
            <w:r w:rsidRPr="001026D9">
              <w:rPr>
                <w:rFonts w:ascii="Calibri" w:eastAsia="MS Mincho" w:hAnsi="Calibri" w:cs="Arial"/>
                <w:i/>
                <w:iCs/>
              </w:rPr>
              <w:t>écret n° 99 954 du 15 Décembre 1999 fixant les nouvelles dispositions relatives à la mise en compatibilité des investissements avec l’environnemen</w:t>
            </w:r>
            <w:r>
              <w:rPr>
                <w:rFonts w:ascii="Calibri" w:eastAsia="MS Mincho" w:hAnsi="Calibri" w:cs="Arial"/>
                <w:i/>
                <w:iCs/>
              </w:rPr>
              <w:t xml:space="preserve">t </w:t>
            </w:r>
            <w:r w:rsidRPr="00BC30C6">
              <w:rPr>
                <w:rFonts w:ascii="Calibri" w:eastAsia="MS Mincho" w:hAnsi="Calibri" w:cs="Arial"/>
                <w:i/>
                <w:iCs/>
              </w:rPr>
              <w:t>[A</w:t>
            </w:r>
            <w:r>
              <w:rPr>
                <w:rFonts w:ascii="Calibri" w:eastAsia="MS Mincho" w:hAnsi="Calibri" w:cs="Arial"/>
                <w:i/>
                <w:iCs/>
              </w:rPr>
              <w:t>rticle 20]</w:t>
            </w:r>
          </w:p>
        </w:tc>
        <w:tc>
          <w:tcPr>
            <w:tcW w:w="3594" w:type="dxa"/>
            <w:shd w:val="clear" w:color="auto" w:fill="auto"/>
            <w:vAlign w:val="center"/>
          </w:tcPr>
          <w:p w14:paraId="2CC62B58" w14:textId="77777777" w:rsidR="006B2C01" w:rsidRPr="007F78CE" w:rsidRDefault="006B2C01" w:rsidP="00D12C6F">
            <w:pPr>
              <w:rPr>
                <w:rFonts w:eastAsia="MS Mincho"/>
                <w:sz w:val="20"/>
              </w:rPr>
            </w:pPr>
            <w:r w:rsidRPr="007F78CE">
              <w:rPr>
                <w:rFonts w:eastAsia="MS Mincho"/>
                <w:sz w:val="20"/>
              </w:rPr>
              <w:t xml:space="preserve">Complémentarité et concordance entre les deux cadres réglementaires. </w:t>
            </w:r>
          </w:p>
          <w:p w14:paraId="49799F37"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spécifiques des NES et des dispositions de du décret MECIE</w:t>
            </w:r>
          </w:p>
        </w:tc>
      </w:tr>
      <w:tr w:rsidR="006B2C01" w:rsidRPr="007F78CE" w14:paraId="4F07B7B1" w14:textId="77777777" w:rsidTr="00B434A6">
        <w:trPr>
          <w:cantSplit/>
          <w:jc w:val="center"/>
        </w:trPr>
        <w:tc>
          <w:tcPr>
            <w:tcW w:w="5215" w:type="dxa"/>
          </w:tcPr>
          <w:p w14:paraId="3236F866"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Élaborer, mettre en œuvre et rendre public un Plan de mobilisation des parties prenantes (PMPP) proportionné à la nature et l’envergure du projet, qui décrive les mesures prises pour lever les obstacles à la participation, et les modalités pour la prise en compte des points de vue de groupes touchés différemment.</w:t>
            </w:r>
          </w:p>
          <w:p w14:paraId="01E425B1" w14:textId="77777777" w:rsidR="006B2C01" w:rsidRPr="00BC30C6" w:rsidRDefault="006B2C01" w:rsidP="00D12C6F">
            <w:pPr>
              <w:tabs>
                <w:tab w:val="center" w:pos="4320"/>
                <w:tab w:val="right" w:pos="8640"/>
              </w:tabs>
              <w:autoSpaceDE w:val="0"/>
              <w:autoSpaceDN w:val="0"/>
              <w:adjustRightInd w:val="0"/>
              <w:rPr>
                <w:rFonts w:eastAsia="MS Mincho" w:cs="Arial"/>
                <w:i/>
                <w:iCs/>
                <w:u w:val="single"/>
              </w:rPr>
            </w:pPr>
            <w:r w:rsidRPr="00BC30C6">
              <w:rPr>
                <w:rFonts w:eastAsia="MS Mincho" w:cs="Arial"/>
                <w:i/>
                <w:iCs/>
              </w:rPr>
              <w:t>Paragraphes 13 à 18</w:t>
            </w:r>
          </w:p>
        </w:tc>
        <w:tc>
          <w:tcPr>
            <w:tcW w:w="5850" w:type="dxa"/>
            <w:shd w:val="clear" w:color="auto" w:fill="auto"/>
            <w:vAlign w:val="center"/>
          </w:tcPr>
          <w:p w14:paraId="2886B977" w14:textId="77777777" w:rsidR="006B2C01" w:rsidRPr="00BC30C6" w:rsidRDefault="006B2C01" w:rsidP="00D12C6F">
            <w:pPr>
              <w:tabs>
                <w:tab w:val="center" w:pos="4320"/>
                <w:tab w:val="right" w:pos="8640"/>
              </w:tabs>
              <w:autoSpaceDE w:val="0"/>
              <w:autoSpaceDN w:val="0"/>
              <w:adjustRightInd w:val="0"/>
              <w:rPr>
                <w:rFonts w:eastAsia="MS Mincho" w:cs="Arial"/>
              </w:rPr>
            </w:pPr>
            <w:r w:rsidRPr="00CA36B9">
              <w:rPr>
                <w:rFonts w:eastAsia="MS Mincho" w:cs="Arial"/>
                <w:w w:val="104"/>
                <w:sz w:val="20"/>
                <w:szCs w:val="10"/>
              </w:rPr>
              <w:t xml:space="preserve">Le cadre législatif national ne prévoit pas </w:t>
            </w:r>
            <w:r>
              <w:rPr>
                <w:rFonts w:eastAsia="MS Mincho" w:cs="Arial"/>
                <w:w w:val="104"/>
                <w:sz w:val="20"/>
                <w:szCs w:val="10"/>
              </w:rPr>
              <w:t xml:space="preserve">de préparer un plan de mobilisation des parties prenantes. </w:t>
            </w:r>
          </w:p>
        </w:tc>
        <w:tc>
          <w:tcPr>
            <w:tcW w:w="3594" w:type="dxa"/>
            <w:shd w:val="clear" w:color="auto" w:fill="auto"/>
            <w:vAlign w:val="center"/>
          </w:tcPr>
          <w:p w14:paraId="5385CC9E"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spécifiques des NES</w:t>
            </w:r>
          </w:p>
        </w:tc>
      </w:tr>
      <w:tr w:rsidR="006B2C01" w:rsidRPr="007F78CE" w14:paraId="07B2CF90" w14:textId="77777777" w:rsidTr="00B434A6">
        <w:trPr>
          <w:cantSplit/>
          <w:jc w:val="center"/>
        </w:trPr>
        <w:tc>
          <w:tcPr>
            <w:tcW w:w="5215" w:type="dxa"/>
          </w:tcPr>
          <w:p w14:paraId="761EE986"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Rendre publiques les informations sur le projet pour permettre aux parties prenantes de comprendre les risques et ses effets potentiels, ainsi que les possibilités qu’il pourrait offrir.</w:t>
            </w:r>
          </w:p>
          <w:p w14:paraId="1AF1ACEC" w14:textId="77777777" w:rsidR="006B2C01" w:rsidRPr="00BC30C6" w:rsidRDefault="006B2C01" w:rsidP="00D12C6F">
            <w:pPr>
              <w:tabs>
                <w:tab w:val="center" w:pos="4320"/>
                <w:tab w:val="right" w:pos="8640"/>
              </w:tabs>
              <w:autoSpaceDE w:val="0"/>
              <w:autoSpaceDN w:val="0"/>
              <w:adjustRightInd w:val="0"/>
              <w:rPr>
                <w:rFonts w:eastAsia="MS Mincho" w:cs="Arial"/>
                <w:i/>
                <w:iCs/>
                <w:u w:val="single"/>
              </w:rPr>
            </w:pPr>
            <w:r w:rsidRPr="00BC30C6">
              <w:rPr>
                <w:rFonts w:eastAsia="MS Mincho" w:cs="Arial"/>
                <w:i/>
                <w:iCs/>
              </w:rPr>
              <w:t>Paragraphe 19 et 20</w:t>
            </w:r>
          </w:p>
        </w:tc>
        <w:tc>
          <w:tcPr>
            <w:tcW w:w="5850" w:type="dxa"/>
            <w:shd w:val="clear" w:color="auto" w:fill="auto"/>
            <w:vAlign w:val="center"/>
          </w:tcPr>
          <w:p w14:paraId="44839B4C" w14:textId="77777777" w:rsidR="006B2C01" w:rsidRDefault="006B2C01" w:rsidP="00B434A6">
            <w:pPr>
              <w:tabs>
                <w:tab w:val="center" w:pos="4320"/>
                <w:tab w:val="right" w:pos="8640"/>
              </w:tabs>
              <w:autoSpaceDE w:val="0"/>
              <w:autoSpaceDN w:val="0"/>
              <w:adjustRightInd w:val="0"/>
              <w:spacing w:after="120"/>
              <w:rPr>
                <w:rFonts w:ascii="arial gras" w:eastAsia="MS Mincho" w:hAnsi="arial gras" w:cs="Arial" w:hint="eastAsia"/>
                <w:b/>
                <w:smallCaps/>
                <w:color w:val="000000"/>
                <w:w w:val="104"/>
                <w:sz w:val="20"/>
                <w:szCs w:val="10"/>
              </w:rPr>
            </w:pPr>
            <w:r w:rsidRPr="00CA36B9">
              <w:rPr>
                <w:rFonts w:eastAsia="MS Mincho" w:cs="Arial"/>
                <w:w w:val="104"/>
                <w:sz w:val="20"/>
                <w:szCs w:val="10"/>
              </w:rPr>
              <w:t>Sous l’impulsion du Ministère chargé de l’Environnement et avec l’appui technique de l’ONE, toutes informations et toutes données utiles pour gérer l’environnement en vue d’un développement humain durable sont diffusées, chacun en ce qui le concerne, par les Ministères sectoriels directement intéressés. Les collectivités territoriales, et notamment les communes, peuvent être associées à cette diffusion</w:t>
            </w:r>
            <w:r>
              <w:rPr>
                <w:rFonts w:eastAsia="MS Mincho" w:cs="Arial"/>
                <w:w w:val="104"/>
                <w:sz w:val="20"/>
                <w:szCs w:val="10"/>
              </w:rPr>
              <w:t xml:space="preserve">. </w:t>
            </w:r>
          </w:p>
          <w:p w14:paraId="07E989FB" w14:textId="77777777" w:rsidR="006B2C01" w:rsidRDefault="006B2C01" w:rsidP="00B434A6">
            <w:pPr>
              <w:pStyle w:val="Tabletext"/>
              <w:spacing w:after="120"/>
              <w:rPr>
                <w:rFonts w:ascii="Calibri" w:eastAsia="MS Mincho" w:hAnsi="Calibri" w:cs="Arial"/>
                <w:b/>
                <w:i/>
                <w:iCs/>
                <w:smallCaps/>
                <w:color w:val="000000"/>
              </w:rPr>
            </w:pPr>
            <w:r>
              <w:rPr>
                <w:rFonts w:ascii="Calibri" w:eastAsia="MS Mincho" w:hAnsi="Calibri" w:cs="Arial"/>
                <w:i/>
                <w:iCs/>
              </w:rPr>
              <w:t>D</w:t>
            </w:r>
            <w:r w:rsidRPr="001026D9">
              <w:rPr>
                <w:rFonts w:ascii="Calibri" w:eastAsia="MS Mincho" w:hAnsi="Calibri" w:cs="Arial"/>
                <w:i/>
                <w:iCs/>
              </w:rPr>
              <w:t>écret n° 99 954 du 15 Décembre 1999 fixant les nouvelles dispositions relatives à la mise en compatibilité des investissements avec l’environnemen</w:t>
            </w:r>
            <w:r>
              <w:rPr>
                <w:rFonts w:ascii="Calibri" w:eastAsia="MS Mincho" w:hAnsi="Calibri" w:cs="Arial"/>
                <w:i/>
                <w:iCs/>
              </w:rPr>
              <w:t xml:space="preserve">t </w:t>
            </w:r>
            <w:r w:rsidRPr="00BC30C6">
              <w:rPr>
                <w:rFonts w:ascii="Calibri" w:eastAsia="MS Mincho" w:hAnsi="Calibri" w:cs="Arial"/>
                <w:i/>
                <w:iCs/>
              </w:rPr>
              <w:t>[A</w:t>
            </w:r>
            <w:r>
              <w:rPr>
                <w:rFonts w:ascii="Calibri" w:eastAsia="MS Mincho" w:hAnsi="Calibri" w:cs="Arial"/>
                <w:i/>
                <w:iCs/>
              </w:rPr>
              <w:t>rticle 10]</w:t>
            </w:r>
          </w:p>
          <w:p w14:paraId="255F0DB8" w14:textId="77777777" w:rsidR="006B2C01" w:rsidRPr="00CA36B9" w:rsidRDefault="006B2C01" w:rsidP="00B434A6">
            <w:pPr>
              <w:tabs>
                <w:tab w:val="center" w:pos="4320"/>
                <w:tab w:val="right" w:pos="8640"/>
              </w:tabs>
              <w:autoSpaceDE w:val="0"/>
              <w:autoSpaceDN w:val="0"/>
              <w:adjustRightInd w:val="0"/>
              <w:spacing w:after="120"/>
              <w:rPr>
                <w:rFonts w:eastAsia="MS Mincho" w:cs="Arial"/>
                <w:w w:val="104"/>
                <w:sz w:val="20"/>
                <w:szCs w:val="10"/>
              </w:rPr>
            </w:pPr>
            <w:r>
              <w:rPr>
                <w:rFonts w:eastAsia="MS Mincho" w:cs="Arial"/>
                <w:w w:val="104"/>
                <w:sz w:val="20"/>
                <w:szCs w:val="10"/>
              </w:rPr>
              <w:t xml:space="preserve">L’EIE doit comprendre un résumé non technique. </w:t>
            </w:r>
            <w:r w:rsidRPr="006A45E9">
              <w:rPr>
                <w:rFonts w:eastAsia="MS Mincho" w:cs="Arial"/>
                <w:w w:val="104"/>
                <w:sz w:val="20"/>
                <w:szCs w:val="10"/>
              </w:rPr>
              <w:t xml:space="preserve">Un résumé non technique rédigé en malagasy et en français, afin de faciliter la prise de connaissance par le public des informations contenues dans l’étude ; ce résumé joint à l’étude et qui en fait partie intégrante, indiquera en substance en des termes accessibles au public, l’état initial du site et de son environnement, les modifications apportées par le projet et les mesures envisagées pour pallier </w:t>
            </w:r>
            <w:r>
              <w:rPr>
                <w:rFonts w:eastAsia="MS Mincho" w:cs="Arial"/>
                <w:w w:val="104"/>
                <w:sz w:val="20"/>
                <w:szCs w:val="10"/>
              </w:rPr>
              <w:t>les</w:t>
            </w:r>
            <w:r w:rsidRPr="006A45E9">
              <w:rPr>
                <w:rFonts w:eastAsia="MS Mincho" w:cs="Arial"/>
                <w:w w:val="104"/>
                <w:sz w:val="20"/>
                <w:szCs w:val="10"/>
              </w:rPr>
              <w:t xml:space="preserve"> conséquences dommageables de</w:t>
            </w:r>
            <w:r>
              <w:rPr>
                <w:rFonts w:eastAsia="MS Mincho" w:cs="Arial"/>
                <w:w w:val="104"/>
                <w:sz w:val="20"/>
                <w:szCs w:val="10"/>
              </w:rPr>
              <w:t xml:space="preserve"> </w:t>
            </w:r>
            <w:r w:rsidRPr="006A45E9">
              <w:rPr>
                <w:rFonts w:eastAsia="MS Mincho" w:cs="Arial"/>
                <w:w w:val="104"/>
                <w:sz w:val="20"/>
                <w:szCs w:val="10"/>
              </w:rPr>
              <w:t>l’investissement à l’environnement</w:t>
            </w:r>
          </w:p>
          <w:p w14:paraId="4A9E13C6" w14:textId="77777777" w:rsidR="006B2C01" w:rsidRPr="00BC30C6" w:rsidRDefault="006B2C01" w:rsidP="00B434A6">
            <w:pPr>
              <w:pStyle w:val="Tabletext"/>
              <w:spacing w:after="120"/>
              <w:rPr>
                <w:rFonts w:ascii="Calibri" w:eastAsia="MS Mincho" w:hAnsi="Calibri" w:cs="Arial"/>
              </w:rPr>
            </w:pPr>
            <w:r>
              <w:rPr>
                <w:rFonts w:ascii="Calibri" w:eastAsia="MS Mincho" w:hAnsi="Calibri" w:cs="Arial"/>
                <w:i/>
                <w:iCs/>
              </w:rPr>
              <w:t>D</w:t>
            </w:r>
            <w:r w:rsidRPr="001026D9">
              <w:rPr>
                <w:rFonts w:ascii="Calibri" w:eastAsia="MS Mincho" w:hAnsi="Calibri" w:cs="Arial"/>
                <w:i/>
                <w:iCs/>
              </w:rPr>
              <w:t>écret n° 99 954 du 15 Décembre 1999 fixant les nouvelles dispositions relatives à la mise en compatibilité des investissements avec l’environnemen</w:t>
            </w:r>
            <w:r>
              <w:rPr>
                <w:rFonts w:ascii="Calibri" w:eastAsia="MS Mincho" w:hAnsi="Calibri" w:cs="Arial"/>
                <w:i/>
                <w:iCs/>
              </w:rPr>
              <w:t xml:space="preserve">t </w:t>
            </w:r>
            <w:r w:rsidRPr="00BC30C6">
              <w:rPr>
                <w:rFonts w:ascii="Calibri" w:eastAsia="MS Mincho" w:hAnsi="Calibri" w:cs="Arial"/>
                <w:i/>
                <w:iCs/>
              </w:rPr>
              <w:t>[A</w:t>
            </w:r>
            <w:r>
              <w:rPr>
                <w:rFonts w:ascii="Calibri" w:eastAsia="MS Mincho" w:hAnsi="Calibri" w:cs="Arial"/>
                <w:i/>
                <w:iCs/>
              </w:rPr>
              <w:t>rticle 11]</w:t>
            </w:r>
          </w:p>
        </w:tc>
        <w:tc>
          <w:tcPr>
            <w:tcW w:w="3594" w:type="dxa"/>
            <w:shd w:val="clear" w:color="auto" w:fill="auto"/>
            <w:vAlign w:val="center"/>
          </w:tcPr>
          <w:p w14:paraId="2D697B28" w14:textId="77777777" w:rsidR="006B2C01" w:rsidRPr="007F78CE" w:rsidRDefault="006B2C01" w:rsidP="00D12C6F">
            <w:pPr>
              <w:rPr>
                <w:rFonts w:eastAsia="MS Mincho"/>
                <w:sz w:val="20"/>
              </w:rPr>
            </w:pPr>
            <w:r w:rsidRPr="007F78CE">
              <w:rPr>
                <w:rFonts w:eastAsia="MS Mincho"/>
                <w:sz w:val="20"/>
              </w:rPr>
              <w:t xml:space="preserve">Complémentarité et concordance entre les deux cadres réglementaires. </w:t>
            </w:r>
          </w:p>
          <w:p w14:paraId="42A67A68"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spécifiques des NES et des dispositions de du décret MECIE</w:t>
            </w:r>
          </w:p>
        </w:tc>
      </w:tr>
      <w:tr w:rsidR="006B2C01" w:rsidRPr="007F78CE" w14:paraId="7BDE9B83" w14:textId="77777777" w:rsidTr="00B434A6">
        <w:trPr>
          <w:cantSplit/>
          <w:jc w:val="center"/>
        </w:trPr>
        <w:tc>
          <w:tcPr>
            <w:tcW w:w="5215" w:type="dxa"/>
          </w:tcPr>
          <w:p w14:paraId="71D16A60"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Entreprendre des consultations approfondies qui offrent la possibilité aux parties prenantes de donner leur avis sur les risques, les effets et les mesures d’atténuation du projet, de façon continue, au fur et à mesure de l’évolution des enjeux, des impacts et des possibilités.</w:t>
            </w:r>
          </w:p>
          <w:p w14:paraId="09EAE561" w14:textId="77777777" w:rsidR="006B2C01" w:rsidRPr="00BC30C6" w:rsidRDefault="006B2C01" w:rsidP="00D12C6F">
            <w:pPr>
              <w:tabs>
                <w:tab w:val="center" w:pos="4320"/>
                <w:tab w:val="right" w:pos="8640"/>
              </w:tabs>
              <w:autoSpaceDE w:val="0"/>
              <w:autoSpaceDN w:val="0"/>
              <w:adjustRightInd w:val="0"/>
              <w:rPr>
                <w:rFonts w:eastAsia="MS Mincho" w:cs="Arial"/>
                <w:i/>
                <w:iCs/>
                <w:u w:val="single"/>
              </w:rPr>
            </w:pPr>
            <w:r w:rsidRPr="00BC30C6">
              <w:rPr>
                <w:rFonts w:eastAsia="MS Mincho" w:cs="Arial"/>
                <w:i/>
                <w:iCs/>
              </w:rPr>
              <w:t>Paragraphes 21 et 22</w:t>
            </w:r>
          </w:p>
        </w:tc>
        <w:tc>
          <w:tcPr>
            <w:tcW w:w="5850" w:type="dxa"/>
            <w:shd w:val="clear" w:color="auto" w:fill="auto"/>
            <w:vAlign w:val="center"/>
          </w:tcPr>
          <w:p w14:paraId="136E8180" w14:textId="77777777" w:rsidR="006B2C01" w:rsidRDefault="006B2C01" w:rsidP="00B434A6">
            <w:pPr>
              <w:pStyle w:val="Tabletext"/>
              <w:spacing w:after="120"/>
              <w:rPr>
                <w:rFonts w:ascii="Calibri" w:eastAsia="MS Mincho" w:hAnsi="Calibri" w:cs="Arial"/>
                <w:b/>
                <w:smallCaps/>
                <w:color w:val="000000"/>
              </w:rPr>
            </w:pPr>
            <w:r>
              <w:rPr>
                <w:rFonts w:ascii="Calibri" w:eastAsia="MS Mincho" w:hAnsi="Calibri" w:cs="Arial"/>
              </w:rPr>
              <w:t>Le cadre législatif national prévoit la consultation dans le cadre de la participation du public à l’évaluation environnementale. Les résultats de la participation du public à l’évaluation constituent une partie intégrante de l’évaluation de l’EIE.</w:t>
            </w:r>
          </w:p>
          <w:p w14:paraId="116AB503" w14:textId="77777777" w:rsidR="006B2C01" w:rsidRPr="00BC30C6" w:rsidRDefault="006B2C01" w:rsidP="00B434A6">
            <w:pPr>
              <w:pStyle w:val="Tabletext"/>
              <w:spacing w:after="120"/>
              <w:rPr>
                <w:rFonts w:eastAsia="MS Mincho" w:cs="Arial"/>
              </w:rPr>
            </w:pPr>
            <w:r>
              <w:rPr>
                <w:rFonts w:ascii="Calibri" w:eastAsia="MS Mincho" w:hAnsi="Calibri" w:cs="Arial"/>
                <w:i/>
                <w:iCs/>
              </w:rPr>
              <w:t>D</w:t>
            </w:r>
            <w:r w:rsidRPr="001026D9">
              <w:rPr>
                <w:rFonts w:ascii="Calibri" w:eastAsia="MS Mincho" w:hAnsi="Calibri" w:cs="Arial"/>
                <w:i/>
                <w:iCs/>
              </w:rPr>
              <w:t>écret n° 99 954 du 15 Décembre 1999 fixant les nouvelles dispositions relatives à la mise en compatibilité des investissements avec l’environnemen</w:t>
            </w:r>
            <w:r>
              <w:rPr>
                <w:rFonts w:ascii="Calibri" w:eastAsia="MS Mincho" w:hAnsi="Calibri" w:cs="Arial"/>
                <w:i/>
                <w:iCs/>
              </w:rPr>
              <w:t xml:space="preserve">t </w:t>
            </w:r>
            <w:r w:rsidRPr="00BC30C6">
              <w:rPr>
                <w:rFonts w:ascii="Calibri" w:eastAsia="MS Mincho" w:hAnsi="Calibri" w:cs="Arial"/>
                <w:i/>
                <w:iCs/>
              </w:rPr>
              <w:t>[A</w:t>
            </w:r>
            <w:r>
              <w:rPr>
                <w:rFonts w:ascii="Calibri" w:eastAsia="MS Mincho" w:hAnsi="Calibri" w:cs="Arial"/>
                <w:i/>
                <w:iCs/>
              </w:rPr>
              <w:t>rticle 15]</w:t>
            </w:r>
          </w:p>
        </w:tc>
        <w:tc>
          <w:tcPr>
            <w:tcW w:w="3594" w:type="dxa"/>
            <w:shd w:val="clear" w:color="auto" w:fill="auto"/>
            <w:vAlign w:val="center"/>
          </w:tcPr>
          <w:p w14:paraId="45AEFFB1" w14:textId="77777777" w:rsidR="006B2C01" w:rsidRPr="007F78CE" w:rsidRDefault="006B2C01" w:rsidP="00D12C6F">
            <w:pPr>
              <w:rPr>
                <w:rFonts w:eastAsia="MS Mincho"/>
                <w:sz w:val="20"/>
              </w:rPr>
            </w:pPr>
            <w:r w:rsidRPr="007F78CE">
              <w:rPr>
                <w:rFonts w:eastAsia="MS Mincho"/>
                <w:sz w:val="20"/>
              </w:rPr>
              <w:t xml:space="preserve">Complémentarité et concordance entre les deux cadres réglementaires. </w:t>
            </w:r>
          </w:p>
          <w:p w14:paraId="65940DB4"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spécifiques des NES et des dispositions de du décret MECIE</w:t>
            </w:r>
          </w:p>
        </w:tc>
      </w:tr>
      <w:tr w:rsidR="006B2C01" w:rsidRPr="007F78CE" w14:paraId="3A618A35" w14:textId="77777777" w:rsidTr="00B434A6">
        <w:trPr>
          <w:cantSplit/>
          <w:jc w:val="center"/>
        </w:trPr>
        <w:tc>
          <w:tcPr>
            <w:tcW w:w="5215" w:type="dxa"/>
          </w:tcPr>
          <w:p w14:paraId="2600EABA"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Continuer de mobiliser les parties prenantes conformément au PMPP pendant toute la durée du projet, solliciter les réactions des parties prenantes sur la mise en œuvre des mesures d’atténuation énoncées dans le PEES, et publier un PEES révisé indiquant toute mesure d’atténuation supplémentaire</w:t>
            </w:r>
          </w:p>
          <w:p w14:paraId="0C39980C" w14:textId="77777777" w:rsidR="006B2C01" w:rsidRPr="00BC30C6" w:rsidRDefault="006B2C01" w:rsidP="00D12C6F">
            <w:pPr>
              <w:tabs>
                <w:tab w:val="center" w:pos="4320"/>
                <w:tab w:val="right" w:pos="8640"/>
              </w:tabs>
              <w:autoSpaceDE w:val="0"/>
              <w:autoSpaceDN w:val="0"/>
              <w:adjustRightInd w:val="0"/>
              <w:rPr>
                <w:rFonts w:eastAsia="MS Mincho" w:cs="Arial"/>
                <w:i/>
                <w:iCs/>
                <w:u w:val="single"/>
              </w:rPr>
            </w:pPr>
            <w:r w:rsidRPr="00BC30C6">
              <w:rPr>
                <w:rFonts w:eastAsia="MS Mincho" w:cs="Arial"/>
                <w:i/>
                <w:iCs/>
              </w:rPr>
              <w:t>Paragraphe 23 à 25</w:t>
            </w:r>
          </w:p>
        </w:tc>
        <w:tc>
          <w:tcPr>
            <w:tcW w:w="5850" w:type="dxa"/>
            <w:shd w:val="clear" w:color="auto" w:fill="auto"/>
            <w:vAlign w:val="center"/>
          </w:tcPr>
          <w:p w14:paraId="188AB9DC" w14:textId="77777777" w:rsidR="006B2C01" w:rsidRDefault="006B2C01" w:rsidP="00B434A6">
            <w:pPr>
              <w:tabs>
                <w:tab w:val="center" w:pos="4320"/>
                <w:tab w:val="right" w:pos="8640"/>
              </w:tabs>
              <w:autoSpaceDE w:val="0"/>
              <w:autoSpaceDN w:val="0"/>
              <w:adjustRightInd w:val="0"/>
              <w:spacing w:after="120"/>
              <w:rPr>
                <w:rFonts w:ascii="arial gras" w:eastAsia="MS Mincho" w:hAnsi="arial gras" w:cs="Arial" w:hint="eastAsia"/>
                <w:b/>
                <w:smallCaps/>
                <w:color w:val="000000"/>
                <w:w w:val="104"/>
                <w:sz w:val="20"/>
                <w:szCs w:val="10"/>
              </w:rPr>
            </w:pPr>
            <w:r w:rsidRPr="00CA36B9">
              <w:rPr>
                <w:rFonts w:eastAsia="MS Mincho" w:cs="Arial"/>
                <w:w w:val="104"/>
                <w:sz w:val="20"/>
                <w:szCs w:val="10"/>
              </w:rPr>
              <w:t xml:space="preserve">Le cadre législatif national ne prévoit pas </w:t>
            </w:r>
            <w:r>
              <w:rPr>
                <w:rFonts w:eastAsia="MS Mincho" w:cs="Arial"/>
                <w:w w:val="104"/>
                <w:sz w:val="20"/>
                <w:szCs w:val="10"/>
              </w:rPr>
              <w:t xml:space="preserve">de préparer un Plan PEES. </w:t>
            </w:r>
          </w:p>
          <w:p w14:paraId="1D08FAED" w14:textId="77777777" w:rsidR="006B2C01" w:rsidRPr="00BC30C6" w:rsidRDefault="006B2C01" w:rsidP="00B434A6">
            <w:pPr>
              <w:spacing w:after="120"/>
              <w:rPr>
                <w:rFonts w:eastAsia="MS Mincho" w:cs="Arial"/>
                <w:sz w:val="20"/>
              </w:rPr>
            </w:pPr>
            <w:r w:rsidRPr="00BC30C6">
              <w:rPr>
                <w:rFonts w:eastAsia="MS Mincho" w:cs="Arial"/>
                <w:sz w:val="20"/>
              </w:rPr>
              <w:t>Programme d’engagement environnemental (PREE)</w:t>
            </w:r>
          </w:p>
          <w:p w14:paraId="7C8F0CF1" w14:textId="77777777" w:rsidR="006B2C01" w:rsidRPr="00BC30C6" w:rsidRDefault="006B2C01" w:rsidP="00B434A6">
            <w:pPr>
              <w:spacing w:after="120"/>
              <w:rPr>
                <w:rFonts w:eastAsia="MS Mincho" w:cs="Arial"/>
                <w:sz w:val="20"/>
              </w:rPr>
            </w:pPr>
            <w:r w:rsidRPr="00BC30C6">
              <w:rPr>
                <w:rFonts w:eastAsia="MS Mincho" w:cs="Arial"/>
                <w:sz w:val="20"/>
              </w:rPr>
              <w:t xml:space="preserve">Diffuser toutes informations et toutes données utiles pour gérer l’environnement en vue d’un développement humain, , par les Ministères sectoriels directement intéressés, sous l’impulsion du Ministère chargé de l’Environnement et avec l’appui technique de l’ONE. </w:t>
            </w:r>
          </w:p>
          <w:p w14:paraId="16F07842" w14:textId="77777777" w:rsidR="006B2C01" w:rsidRPr="00BC30C6" w:rsidRDefault="006B2C01" w:rsidP="00B434A6">
            <w:pPr>
              <w:spacing w:after="120"/>
              <w:rPr>
                <w:rFonts w:eastAsia="MS Mincho" w:cs="Arial"/>
                <w:sz w:val="20"/>
              </w:rPr>
            </w:pPr>
            <w:r w:rsidRPr="00BC30C6">
              <w:rPr>
                <w:rFonts w:eastAsia="MS Mincho" w:cs="Arial"/>
                <w:sz w:val="20"/>
              </w:rPr>
              <w:t>Associer les collectivités territoriales, et notamment les communes, à cette diffusion.</w:t>
            </w:r>
          </w:p>
          <w:p w14:paraId="22423573" w14:textId="77777777" w:rsidR="006B2C01" w:rsidRPr="00BC30C6" w:rsidRDefault="006B2C01" w:rsidP="00B434A6">
            <w:pPr>
              <w:tabs>
                <w:tab w:val="center" w:pos="4320"/>
                <w:tab w:val="right" w:pos="8640"/>
              </w:tabs>
              <w:autoSpaceDE w:val="0"/>
              <w:autoSpaceDN w:val="0"/>
              <w:adjustRightInd w:val="0"/>
              <w:spacing w:after="120"/>
              <w:rPr>
                <w:rFonts w:eastAsia="MS Mincho" w:cs="Arial"/>
              </w:rPr>
            </w:pPr>
            <w:r w:rsidRPr="00BC30C6">
              <w:rPr>
                <w:rFonts w:eastAsia="MS Mincho" w:cs="Arial"/>
                <w:i/>
                <w:iCs/>
                <w:sz w:val="20"/>
              </w:rPr>
              <w:t>Décret n° 99-954 du 15 décembre 1999 modifié par le décret n° 2004-167 du 03 février 2004 relatif à la mise en compatibilité des investissements avec l'environnement</w:t>
            </w:r>
            <w:r w:rsidRPr="00BC30C6">
              <w:rPr>
                <w:rFonts w:eastAsia="MS Mincho" w:cs="Arial"/>
                <w:sz w:val="20"/>
              </w:rPr>
              <w:t xml:space="preserve"> (</w:t>
            </w:r>
            <w:r w:rsidRPr="00BC30C6">
              <w:rPr>
                <w:rFonts w:eastAsia="MS Mincho" w:cs="Arial"/>
                <w:i/>
                <w:iCs/>
                <w:sz w:val="20"/>
              </w:rPr>
              <w:t>MECIE</w:t>
            </w:r>
            <w:r w:rsidRPr="00BC30C6">
              <w:rPr>
                <w:rFonts w:eastAsia="MS Mincho" w:cs="Arial"/>
                <w:sz w:val="20"/>
              </w:rPr>
              <w:t>) [Article 10]</w:t>
            </w:r>
          </w:p>
        </w:tc>
        <w:tc>
          <w:tcPr>
            <w:tcW w:w="3594" w:type="dxa"/>
            <w:shd w:val="clear" w:color="auto" w:fill="auto"/>
            <w:vAlign w:val="center"/>
          </w:tcPr>
          <w:p w14:paraId="61093C77" w14:textId="77777777" w:rsidR="006B2C01" w:rsidRPr="00BC30C6" w:rsidRDefault="006B2C01" w:rsidP="00D12C6F">
            <w:pPr>
              <w:rPr>
                <w:rFonts w:eastAsia="MS Mincho" w:cs="Arial"/>
              </w:rPr>
            </w:pPr>
            <w:r w:rsidRPr="007F78CE">
              <w:rPr>
                <w:rFonts w:eastAsia="MS Mincho"/>
                <w:sz w:val="20"/>
                <w:u w:val="single"/>
              </w:rPr>
              <w:t>Conclusion</w:t>
            </w:r>
            <w:r w:rsidRPr="007F78CE">
              <w:rPr>
                <w:rFonts w:eastAsia="MS Mincho"/>
                <w:sz w:val="20"/>
              </w:rPr>
              <w:t> : Application des dispositions spécifiques des NES</w:t>
            </w:r>
          </w:p>
        </w:tc>
      </w:tr>
      <w:tr w:rsidR="006B2C01" w:rsidRPr="007F78CE" w14:paraId="5E484659" w14:textId="77777777" w:rsidTr="00B434A6">
        <w:trPr>
          <w:cantSplit/>
          <w:jc w:val="center"/>
        </w:trPr>
        <w:tc>
          <w:tcPr>
            <w:tcW w:w="5215" w:type="dxa"/>
          </w:tcPr>
          <w:p w14:paraId="4AFFD916" w14:textId="77777777" w:rsidR="006B2C01" w:rsidRPr="00BC30C6" w:rsidRDefault="006B2C01" w:rsidP="00D12C6F">
            <w:pPr>
              <w:pStyle w:val="Tabletext"/>
              <w:rPr>
                <w:rFonts w:ascii="Calibri" w:eastAsia="MS Mincho" w:hAnsi="Calibri" w:cs="Arial"/>
              </w:rPr>
            </w:pPr>
            <w:r w:rsidRPr="00BC30C6">
              <w:rPr>
                <w:rFonts w:ascii="Calibri" w:eastAsia="MS Mincho" w:hAnsi="Calibri" w:cs="Arial"/>
              </w:rPr>
              <w:t>Mettre en œuvre un mécanisme de gestion des plaintes proportionné aux risques et aux effets néfastes potentiels du projet, accessible et ouvert à tous, rapide, efficace, transparent, respectueux de la culture locale, sans frais ni rétribution.</w:t>
            </w:r>
          </w:p>
          <w:p w14:paraId="543805EB" w14:textId="77777777" w:rsidR="006B2C01" w:rsidRPr="00BC30C6" w:rsidRDefault="006B2C01" w:rsidP="00D12C6F">
            <w:pPr>
              <w:tabs>
                <w:tab w:val="center" w:pos="4320"/>
                <w:tab w:val="right" w:pos="8640"/>
              </w:tabs>
              <w:autoSpaceDE w:val="0"/>
              <w:autoSpaceDN w:val="0"/>
              <w:adjustRightInd w:val="0"/>
              <w:rPr>
                <w:rFonts w:eastAsia="MS Mincho" w:cs="Arial"/>
                <w:i/>
                <w:iCs/>
                <w:u w:val="single"/>
              </w:rPr>
            </w:pPr>
            <w:r w:rsidRPr="00BC30C6">
              <w:rPr>
                <w:rFonts w:eastAsia="MS Mincho" w:cs="Arial"/>
                <w:i/>
                <w:iCs/>
              </w:rPr>
              <w:t>Paragraphes 26 et 27</w:t>
            </w:r>
          </w:p>
        </w:tc>
        <w:tc>
          <w:tcPr>
            <w:tcW w:w="5850" w:type="dxa"/>
            <w:shd w:val="clear" w:color="auto" w:fill="auto"/>
            <w:vAlign w:val="center"/>
          </w:tcPr>
          <w:p w14:paraId="0447FBEA" w14:textId="77777777" w:rsidR="006B2C01" w:rsidRDefault="006B2C01" w:rsidP="00B434A6">
            <w:pPr>
              <w:tabs>
                <w:tab w:val="center" w:pos="4320"/>
                <w:tab w:val="right" w:pos="8640"/>
              </w:tabs>
              <w:autoSpaceDE w:val="0"/>
              <w:autoSpaceDN w:val="0"/>
              <w:adjustRightInd w:val="0"/>
              <w:spacing w:after="120"/>
              <w:rPr>
                <w:rFonts w:ascii="arial gras" w:eastAsia="MS Mincho" w:hAnsi="arial gras" w:cs="Arial" w:hint="eastAsia"/>
                <w:b/>
                <w:smallCaps/>
                <w:color w:val="000000"/>
                <w:sz w:val="20"/>
              </w:rPr>
            </w:pPr>
            <w:r>
              <w:rPr>
                <w:rFonts w:eastAsia="MS Mincho" w:cs="Arial"/>
                <w:sz w:val="20"/>
              </w:rPr>
              <w:t xml:space="preserve">Le cadre législatif national prévoit des procédures de recours selon des circonstances spécifiques. </w:t>
            </w:r>
          </w:p>
          <w:p w14:paraId="5897F6EE" w14:textId="77777777" w:rsidR="006B2C01" w:rsidRPr="00BC30C6" w:rsidRDefault="006B2C01" w:rsidP="00B434A6">
            <w:pPr>
              <w:tabs>
                <w:tab w:val="center" w:pos="4320"/>
                <w:tab w:val="right" w:pos="8640"/>
              </w:tabs>
              <w:autoSpaceDE w:val="0"/>
              <w:autoSpaceDN w:val="0"/>
              <w:adjustRightInd w:val="0"/>
              <w:spacing w:after="120"/>
              <w:rPr>
                <w:rFonts w:ascii="arial gras" w:eastAsia="MS Mincho" w:hAnsi="arial gras" w:cs="Arial" w:hint="eastAsia"/>
                <w:b/>
                <w:smallCaps/>
                <w:color w:val="000000"/>
              </w:rPr>
            </w:pPr>
            <w:r w:rsidRPr="00BC30C6">
              <w:rPr>
                <w:rFonts w:eastAsia="MS Mincho" w:cs="Arial"/>
                <w:i/>
                <w:iCs/>
                <w:sz w:val="20"/>
              </w:rPr>
              <w:t>Décret n° 99-954 du 15 décembre 1999 modifié par le décret n° 2004-167 du 03 février 2004 relatif à la mise en compatibilité des investissements avec l'environnement</w:t>
            </w:r>
            <w:r w:rsidRPr="00BC30C6">
              <w:rPr>
                <w:rFonts w:eastAsia="MS Mincho" w:cs="Arial"/>
                <w:sz w:val="20"/>
              </w:rPr>
              <w:t xml:space="preserve"> (</w:t>
            </w:r>
            <w:r w:rsidRPr="00BC30C6">
              <w:rPr>
                <w:rFonts w:eastAsia="MS Mincho" w:cs="Arial"/>
                <w:i/>
                <w:iCs/>
                <w:sz w:val="20"/>
              </w:rPr>
              <w:t>MECIE</w:t>
            </w:r>
            <w:r w:rsidRPr="00BC30C6">
              <w:rPr>
                <w:rFonts w:eastAsia="MS Mincho" w:cs="Arial"/>
                <w:sz w:val="20"/>
              </w:rPr>
              <w:t xml:space="preserve">) [Article </w:t>
            </w:r>
            <w:r>
              <w:rPr>
                <w:rFonts w:eastAsia="MS Mincho" w:cs="Arial"/>
                <w:sz w:val="20"/>
              </w:rPr>
              <w:t>28</w:t>
            </w:r>
            <w:r w:rsidRPr="00BC30C6">
              <w:rPr>
                <w:rFonts w:eastAsia="MS Mincho" w:cs="Arial"/>
                <w:sz w:val="20"/>
              </w:rPr>
              <w:t>]</w:t>
            </w:r>
          </w:p>
        </w:tc>
        <w:tc>
          <w:tcPr>
            <w:tcW w:w="3594" w:type="dxa"/>
            <w:shd w:val="clear" w:color="auto" w:fill="auto"/>
            <w:vAlign w:val="center"/>
          </w:tcPr>
          <w:p w14:paraId="58E8E7C5" w14:textId="77777777" w:rsidR="006B2C01" w:rsidRPr="007F78CE" w:rsidRDefault="006B2C01" w:rsidP="00B434A6">
            <w:pPr>
              <w:spacing w:after="120"/>
              <w:rPr>
                <w:rFonts w:ascii="arial gras" w:eastAsia="MS Mincho" w:hAnsi="arial gras" w:hint="eastAsia"/>
                <w:b/>
                <w:smallCaps/>
                <w:color w:val="000000"/>
                <w:sz w:val="20"/>
              </w:rPr>
            </w:pPr>
            <w:r w:rsidRPr="007F78CE">
              <w:rPr>
                <w:rFonts w:eastAsia="MS Mincho"/>
                <w:sz w:val="20"/>
              </w:rPr>
              <w:t>Le cadre législatif national n’est pas très riche en dispositions réglementaires en cas de plaintes au cours de l’évaluation environnementale.</w:t>
            </w:r>
          </w:p>
          <w:p w14:paraId="7A104C33" w14:textId="77777777" w:rsidR="006B2C01" w:rsidRPr="00BC30C6" w:rsidRDefault="006B2C01" w:rsidP="00B434A6">
            <w:pPr>
              <w:spacing w:after="120"/>
              <w:rPr>
                <w:rFonts w:ascii="arial gras" w:eastAsia="MS Mincho" w:hAnsi="arial gras" w:cs="Arial" w:hint="eastAsia"/>
                <w:b/>
                <w:smallCaps/>
                <w:color w:val="000000"/>
              </w:rPr>
            </w:pPr>
            <w:r w:rsidRPr="007F78CE">
              <w:rPr>
                <w:rFonts w:eastAsia="MS Mincho"/>
                <w:sz w:val="20"/>
                <w:u w:val="single"/>
              </w:rPr>
              <w:t>Conclusion</w:t>
            </w:r>
            <w:r w:rsidRPr="007F78CE">
              <w:rPr>
                <w:rFonts w:eastAsia="MS Mincho"/>
                <w:sz w:val="20"/>
              </w:rPr>
              <w:t> : Application des dispositions spécifiques des NES</w:t>
            </w:r>
          </w:p>
        </w:tc>
      </w:tr>
    </w:tbl>
    <w:p w14:paraId="15BFAE0F" w14:textId="77777777" w:rsidR="006B2C01" w:rsidRDefault="006B2C01" w:rsidP="006B2C01"/>
    <w:p w14:paraId="7585343C" w14:textId="77777777" w:rsidR="006B2C01" w:rsidRDefault="006B2C01" w:rsidP="006B2C01"/>
    <w:p w14:paraId="1231EA3F" w14:textId="77777777" w:rsidR="00930317" w:rsidRDefault="00930317">
      <w:pPr>
        <w:rPr>
          <w:rFonts w:ascii="Arial" w:eastAsia="Cambria" w:hAnsi="Arial" w:cs="Arial"/>
          <w:sz w:val="16"/>
          <w:szCs w:val="16"/>
          <w:u w:color="000000"/>
          <w:lang w:eastAsia="fr-FR"/>
        </w:rPr>
      </w:pPr>
    </w:p>
    <w:p w14:paraId="1FF41D86" w14:textId="77777777" w:rsidR="006B2C01" w:rsidRDefault="006B2C01" w:rsidP="00930317">
      <w:pPr>
        <w:rPr>
          <w:rFonts w:ascii="Arial" w:hAnsi="Arial" w:cs="Arial"/>
          <w:b/>
          <w:bCs/>
        </w:rPr>
        <w:sectPr w:rsidR="006B2C01" w:rsidSect="00AE406E">
          <w:pgSz w:w="16838" w:h="11906" w:orient="landscape"/>
          <w:pgMar w:top="1418" w:right="1418" w:bottom="1418" w:left="1418" w:header="709" w:footer="680" w:gutter="0"/>
          <w:pgNumType w:fmt="lowerRoman"/>
          <w:cols w:space="720"/>
          <w:formProt w:val="0"/>
          <w:docGrid w:linePitch="360" w:charSpace="4096"/>
        </w:sectPr>
      </w:pPr>
    </w:p>
    <w:p w14:paraId="731D5EB7" w14:textId="77777777" w:rsidR="00930317" w:rsidRDefault="00930317" w:rsidP="00930317">
      <w:pPr>
        <w:rPr>
          <w:rFonts w:ascii="Arial" w:hAnsi="Arial" w:cs="Arial"/>
          <w:b/>
          <w:bCs/>
        </w:rPr>
      </w:pPr>
      <w:bookmarkStart w:id="1720" w:name="_Toc125402465"/>
      <w:r w:rsidRPr="00D334A6">
        <w:rPr>
          <w:rFonts w:ascii="Arial" w:hAnsi="Arial" w:cs="Arial"/>
          <w:b/>
          <w:bCs/>
        </w:rPr>
        <w:t>Annexe</w:t>
      </w:r>
      <w:r w:rsidR="00A97165">
        <w:rPr>
          <w:rFonts w:ascii="Arial" w:hAnsi="Arial" w:cs="Arial"/>
          <w:b/>
          <w:bCs/>
        </w:rPr>
        <w:t xml:space="preserve"> </w:t>
      </w:r>
      <w:r w:rsidRPr="00D334A6">
        <w:rPr>
          <w:rFonts w:ascii="Arial" w:hAnsi="Arial" w:cs="Arial"/>
          <w:b/>
          <w:bCs/>
        </w:rPr>
        <w:fldChar w:fldCharType="begin"/>
      </w:r>
      <w:r w:rsidRPr="00D334A6">
        <w:rPr>
          <w:rFonts w:ascii="Arial" w:hAnsi="Arial" w:cs="Arial"/>
          <w:b/>
          <w:bCs/>
        </w:rPr>
        <w:instrText>SEQ Annexe \* ARABIC</w:instrText>
      </w:r>
      <w:r w:rsidRPr="00D334A6">
        <w:rPr>
          <w:rFonts w:ascii="Arial" w:hAnsi="Arial" w:cs="Arial"/>
          <w:b/>
          <w:bCs/>
        </w:rPr>
        <w:fldChar w:fldCharType="separate"/>
      </w:r>
      <w:r w:rsidR="009947B9">
        <w:rPr>
          <w:rFonts w:ascii="Arial" w:hAnsi="Arial" w:cs="Arial"/>
          <w:b/>
          <w:bCs/>
          <w:noProof/>
        </w:rPr>
        <w:t>2</w:t>
      </w:r>
      <w:r w:rsidRPr="00D334A6">
        <w:rPr>
          <w:rFonts w:ascii="Arial" w:hAnsi="Arial" w:cs="Arial"/>
          <w:b/>
          <w:bCs/>
        </w:rPr>
        <w:fldChar w:fldCharType="end"/>
      </w:r>
      <w:r w:rsidRPr="00D334A6">
        <w:rPr>
          <w:rFonts w:ascii="Arial" w:hAnsi="Arial" w:cs="Arial"/>
          <w:b/>
          <w:bCs/>
        </w:rPr>
        <w:t xml:space="preserve">. </w:t>
      </w:r>
      <w:r w:rsidR="00A97165">
        <w:rPr>
          <w:rFonts w:ascii="Arial" w:hAnsi="Arial" w:cs="Arial"/>
          <w:b/>
          <w:bCs/>
        </w:rPr>
        <w:t>Découverte fortuite</w:t>
      </w:r>
      <w:bookmarkEnd w:id="1720"/>
    </w:p>
    <w:p w14:paraId="48C785CB" w14:textId="77777777" w:rsidR="00A97165" w:rsidRPr="00B55CC0" w:rsidRDefault="00A97165" w:rsidP="00A97165">
      <w:pPr>
        <w:spacing w:line="240" w:lineRule="auto"/>
        <w:jc w:val="center"/>
        <w:rPr>
          <w:rFonts w:ascii="Arial" w:hAnsi="Arial" w:cs="Arial"/>
          <w:b/>
          <w:sz w:val="36"/>
        </w:rPr>
      </w:pPr>
      <w:r w:rsidRPr="00B55CC0">
        <w:rPr>
          <w:rFonts w:ascii="Arial" w:hAnsi="Arial" w:cs="Arial"/>
          <w:b/>
          <w:sz w:val="36"/>
        </w:rPr>
        <w:t>Découverte fortuite de sites culturels, historiques ou archéologiques</w:t>
      </w:r>
    </w:p>
    <w:p w14:paraId="2964AB91" w14:textId="77777777" w:rsidR="00A97165" w:rsidRPr="00B434A6" w:rsidRDefault="00A97165" w:rsidP="00A97165">
      <w:pPr>
        <w:jc w:val="both"/>
        <w:rPr>
          <w:rFonts w:ascii="Arial" w:hAnsi="Arial" w:cs="Arial"/>
          <w:color w:val="000000"/>
          <w:sz w:val="20"/>
          <w:szCs w:val="20"/>
          <w:lang w:val="fr-ML"/>
        </w:rPr>
      </w:pPr>
      <w:r w:rsidRPr="00B434A6">
        <w:rPr>
          <w:rFonts w:ascii="Arial" w:hAnsi="Arial" w:cs="Arial"/>
          <w:color w:val="000000"/>
          <w:sz w:val="20"/>
          <w:szCs w:val="20"/>
          <w:lang w:val="fr-ML"/>
        </w:rPr>
        <w:t>Si au cours de la mise en œuvre des activités du Projet DECIM, on découvre accidentellement des sites archéologiques, des sites historiques, des restes, et des objets, y compris des cimetières et / ou des tombes individuelles, l’Entreprise/ l’Agence d’exécution doit :</w:t>
      </w:r>
    </w:p>
    <w:p w14:paraId="1616A5F5" w14:textId="77777777" w:rsidR="00A97165" w:rsidRPr="00B434A6" w:rsidRDefault="00A97165" w:rsidP="0044500E">
      <w:pPr>
        <w:pStyle w:val="Paragraphedeliste"/>
        <w:numPr>
          <w:ilvl w:val="0"/>
          <w:numId w:val="192"/>
        </w:numPr>
        <w:jc w:val="both"/>
        <w:rPr>
          <w:rFonts w:ascii="Arial" w:hAnsi="Arial" w:cs="Arial"/>
          <w:sz w:val="20"/>
          <w:szCs w:val="20"/>
          <w:lang w:val="fr-ML"/>
        </w:rPr>
      </w:pPr>
      <w:r w:rsidRPr="00B434A6">
        <w:rPr>
          <w:rFonts w:ascii="Arial" w:hAnsi="Arial" w:cs="Arial"/>
          <w:sz w:val="20"/>
          <w:szCs w:val="20"/>
          <w:lang w:val="fr-ML"/>
        </w:rPr>
        <w:t>Arrêter les activités de construction dans la zone de découverte fortuite</w:t>
      </w:r>
      <w:r w:rsidR="00F63AF5">
        <w:rPr>
          <w:rFonts w:ascii="Arial" w:hAnsi="Arial" w:cs="Arial"/>
          <w:sz w:val="20"/>
          <w:szCs w:val="20"/>
          <w:lang w:val="fr-ML"/>
        </w:rPr>
        <w:t xml:space="preserve"> </w:t>
      </w:r>
      <w:r w:rsidRPr="00B434A6">
        <w:rPr>
          <w:rFonts w:ascii="Arial" w:hAnsi="Arial" w:cs="Arial"/>
          <w:sz w:val="20"/>
          <w:szCs w:val="20"/>
          <w:lang w:val="fr-ML"/>
        </w:rPr>
        <w:t>;</w:t>
      </w:r>
    </w:p>
    <w:p w14:paraId="7DE95808" w14:textId="77777777" w:rsidR="00A97165" w:rsidRPr="00B434A6" w:rsidRDefault="00A97165" w:rsidP="0044500E">
      <w:pPr>
        <w:pStyle w:val="Paragraphedeliste"/>
        <w:numPr>
          <w:ilvl w:val="0"/>
          <w:numId w:val="192"/>
        </w:numPr>
        <w:jc w:val="both"/>
        <w:rPr>
          <w:rFonts w:ascii="Arial" w:hAnsi="Arial" w:cs="Arial"/>
          <w:sz w:val="20"/>
          <w:szCs w:val="20"/>
          <w:lang w:val="fr-ML"/>
        </w:rPr>
      </w:pPr>
      <w:r w:rsidRPr="00B434A6">
        <w:rPr>
          <w:rFonts w:ascii="Arial" w:hAnsi="Arial" w:cs="Arial"/>
          <w:sz w:val="20"/>
          <w:szCs w:val="20"/>
          <w:lang w:val="fr-ML"/>
        </w:rPr>
        <w:t>Délimiter le site de découverte ou la région</w:t>
      </w:r>
      <w:r w:rsidR="00F63AF5">
        <w:rPr>
          <w:rFonts w:ascii="Arial" w:hAnsi="Arial" w:cs="Arial"/>
          <w:sz w:val="20"/>
          <w:szCs w:val="20"/>
          <w:lang w:val="fr-ML"/>
        </w:rPr>
        <w:t xml:space="preserve"> </w:t>
      </w:r>
      <w:r w:rsidRPr="00B434A6">
        <w:rPr>
          <w:rFonts w:ascii="Arial" w:hAnsi="Arial" w:cs="Arial"/>
          <w:sz w:val="20"/>
          <w:szCs w:val="20"/>
          <w:lang w:val="fr-ML"/>
        </w:rPr>
        <w:t>;</w:t>
      </w:r>
    </w:p>
    <w:p w14:paraId="7BE3154D" w14:textId="77777777" w:rsidR="00A97165" w:rsidRPr="00B434A6" w:rsidRDefault="00A97165" w:rsidP="0044500E">
      <w:pPr>
        <w:pStyle w:val="Paragraphedeliste"/>
        <w:numPr>
          <w:ilvl w:val="0"/>
          <w:numId w:val="192"/>
        </w:numPr>
        <w:jc w:val="both"/>
        <w:rPr>
          <w:rFonts w:ascii="Arial" w:hAnsi="Arial" w:cs="Arial"/>
          <w:sz w:val="20"/>
          <w:szCs w:val="20"/>
          <w:lang w:val="fr-ML"/>
        </w:rPr>
      </w:pPr>
      <w:r w:rsidRPr="00B434A6">
        <w:rPr>
          <w:rFonts w:ascii="Arial" w:hAnsi="Arial" w:cs="Arial"/>
          <w:sz w:val="20"/>
          <w:szCs w:val="20"/>
          <w:lang w:val="fr-ML"/>
        </w:rPr>
        <w:t>Sécuriser le site pour éviter tout dommage ou perte d'objets amovibles. En cas d'antiquités amovibles ou des restes sensibles, un gardien de nuit doit être présent jusqu'à ce que les autorités locales responsables et le Ministère en charge de la Culture ou son représentant prennent le relais;</w:t>
      </w:r>
    </w:p>
    <w:p w14:paraId="51B5287A" w14:textId="77777777" w:rsidR="00A97165" w:rsidRPr="00B434A6" w:rsidRDefault="00A97165" w:rsidP="0044500E">
      <w:pPr>
        <w:pStyle w:val="Paragraphedeliste"/>
        <w:numPr>
          <w:ilvl w:val="0"/>
          <w:numId w:val="192"/>
        </w:numPr>
        <w:jc w:val="both"/>
        <w:rPr>
          <w:rFonts w:ascii="Arial" w:hAnsi="Arial" w:cs="Arial"/>
          <w:sz w:val="20"/>
          <w:szCs w:val="20"/>
          <w:lang w:val="fr-ML"/>
        </w:rPr>
      </w:pPr>
      <w:r w:rsidRPr="00B434A6">
        <w:rPr>
          <w:rFonts w:ascii="Arial" w:hAnsi="Arial" w:cs="Arial"/>
          <w:sz w:val="20"/>
          <w:szCs w:val="20"/>
          <w:lang w:val="fr-ML"/>
        </w:rPr>
        <w:t>Aviser le superviseur ou l’autorité chargé de contrôle des travaux, qui à son tour informera les autorités locales responsables et le Ministère en charge de la Culture ou son représentant immédiatement (moins de 24 heures).</w:t>
      </w:r>
    </w:p>
    <w:p w14:paraId="2DDEB3C0" w14:textId="77777777" w:rsidR="00A97165" w:rsidRPr="00B434A6" w:rsidRDefault="00A97165" w:rsidP="0044500E">
      <w:pPr>
        <w:pStyle w:val="Paragraphedeliste"/>
        <w:numPr>
          <w:ilvl w:val="0"/>
          <w:numId w:val="192"/>
        </w:numPr>
        <w:jc w:val="both"/>
        <w:rPr>
          <w:rFonts w:ascii="Arial" w:hAnsi="Arial" w:cs="Arial"/>
          <w:sz w:val="20"/>
          <w:szCs w:val="20"/>
          <w:lang w:val="fr-ML"/>
        </w:rPr>
      </w:pPr>
      <w:r w:rsidRPr="00B434A6">
        <w:rPr>
          <w:rFonts w:ascii="Arial" w:hAnsi="Arial" w:cs="Arial"/>
          <w:sz w:val="20"/>
          <w:szCs w:val="20"/>
          <w:lang w:val="fr-ML"/>
        </w:rPr>
        <w:t xml:space="preserve">Contacter les autorités locales et/ou le Ministère de l'Information, de la Culture et de la communication, qui seraient chargés de la protection et la préservation du site avant de décider sur les procédures appropriées à suivre. Cela nécessiterait une évaluation préliminaire des découvertes à réaliser par les archéologues du ministère compétent en charge de la Culture ou son représentant (dans les 72 heures). </w:t>
      </w:r>
    </w:p>
    <w:p w14:paraId="53A2A803" w14:textId="77777777" w:rsidR="00A97165" w:rsidRPr="00B434A6" w:rsidRDefault="00A97165" w:rsidP="00A97165">
      <w:pPr>
        <w:jc w:val="both"/>
        <w:rPr>
          <w:rFonts w:ascii="Arial" w:hAnsi="Arial" w:cs="Arial"/>
          <w:color w:val="000000"/>
          <w:sz w:val="20"/>
          <w:szCs w:val="20"/>
          <w:lang w:val="fr-ML"/>
        </w:rPr>
      </w:pPr>
      <w:r w:rsidRPr="00B434A6">
        <w:rPr>
          <w:rFonts w:ascii="Arial" w:hAnsi="Arial" w:cs="Arial"/>
          <w:color w:val="000000"/>
          <w:sz w:val="20"/>
          <w:szCs w:val="20"/>
          <w:lang w:val="fr-ML"/>
        </w:rPr>
        <w:t>La signification et l'importance des résultats doivent être évaluées en fonction des divers critères pertinents pour le patrimoine culturel, dont les valeurs esthétiques, historiques, scientifiques ou de recherches, sociales et économiques.</w:t>
      </w:r>
    </w:p>
    <w:p w14:paraId="22145E13" w14:textId="77777777" w:rsidR="00A97165" w:rsidRPr="00B434A6" w:rsidRDefault="00A97165" w:rsidP="00A97165">
      <w:pPr>
        <w:jc w:val="both"/>
        <w:rPr>
          <w:rFonts w:ascii="Arial" w:hAnsi="Arial" w:cs="Arial"/>
          <w:color w:val="000000"/>
          <w:sz w:val="20"/>
          <w:szCs w:val="20"/>
          <w:lang w:val="fr-ML"/>
        </w:rPr>
      </w:pPr>
      <w:r w:rsidRPr="00B434A6">
        <w:rPr>
          <w:rFonts w:ascii="Arial" w:hAnsi="Arial" w:cs="Arial"/>
          <w:color w:val="000000"/>
          <w:sz w:val="20"/>
          <w:szCs w:val="20"/>
          <w:lang w:val="fr-ML"/>
        </w:rPr>
        <w:t>Veiller à ce que les décisions sur la façon de gérer la découverte soit prises par les autorités responsables et/ou le Ministère en charge de la Culture ou son représentant. Cela pourrait inclure des changements dans le plan (comme quand la découverte est un reste inamovible d'une importance culturelle ou archéologique) de conservation, de préservation, de restauration et de récupération.</w:t>
      </w:r>
    </w:p>
    <w:p w14:paraId="0269B05C" w14:textId="77777777" w:rsidR="00A97165" w:rsidRPr="00B434A6" w:rsidRDefault="00A97165" w:rsidP="00A97165">
      <w:pPr>
        <w:jc w:val="both"/>
        <w:rPr>
          <w:rFonts w:ascii="Arial" w:hAnsi="Arial" w:cs="Arial"/>
          <w:color w:val="000000"/>
          <w:sz w:val="20"/>
          <w:szCs w:val="20"/>
          <w:lang w:val="fr-ML"/>
        </w:rPr>
      </w:pPr>
      <w:r w:rsidRPr="00B434A6">
        <w:rPr>
          <w:rFonts w:ascii="Arial" w:hAnsi="Arial" w:cs="Arial"/>
          <w:color w:val="000000"/>
          <w:sz w:val="20"/>
          <w:szCs w:val="20"/>
          <w:lang w:val="fr-ML"/>
        </w:rPr>
        <w:t>Les travaux ne reprendront qu'après une autorisation donnée par les autorités locales compétentes et/ou le ministère en charge de la Culture ou son représentant selon le cas.</w:t>
      </w:r>
    </w:p>
    <w:p w14:paraId="2B9F6867" w14:textId="77777777" w:rsidR="00A97165" w:rsidRPr="00B434A6" w:rsidRDefault="00A97165" w:rsidP="00A97165">
      <w:pPr>
        <w:jc w:val="both"/>
        <w:rPr>
          <w:rFonts w:ascii="Arial" w:hAnsi="Arial" w:cs="Arial"/>
          <w:b/>
          <w:color w:val="000000"/>
          <w:sz w:val="20"/>
          <w:szCs w:val="20"/>
          <w:lang w:val="fr-ML"/>
        </w:rPr>
      </w:pPr>
      <w:r w:rsidRPr="00B434A6">
        <w:rPr>
          <w:rFonts w:ascii="Arial" w:hAnsi="Arial" w:cs="Arial"/>
          <w:b/>
          <w:color w:val="000000"/>
          <w:sz w:val="20"/>
          <w:szCs w:val="20"/>
          <w:lang w:val="fr-ML"/>
        </w:rPr>
        <w:t>En cas de déplacement d’une tombe, les étapes suivantes sont suivies :</w:t>
      </w:r>
    </w:p>
    <w:p w14:paraId="1D750CFE" w14:textId="77777777" w:rsidR="00A97165" w:rsidRPr="00B434A6" w:rsidRDefault="00A97165" w:rsidP="0044500E">
      <w:pPr>
        <w:pStyle w:val="Paragraphedeliste"/>
        <w:numPr>
          <w:ilvl w:val="0"/>
          <w:numId w:val="191"/>
        </w:numPr>
        <w:jc w:val="both"/>
        <w:rPr>
          <w:rFonts w:ascii="Arial" w:hAnsi="Arial" w:cs="Arial"/>
          <w:sz w:val="20"/>
          <w:szCs w:val="20"/>
          <w:lang w:val="fr-ML"/>
        </w:rPr>
      </w:pPr>
      <w:r w:rsidRPr="00B434A6">
        <w:rPr>
          <w:rFonts w:ascii="Arial" w:hAnsi="Arial" w:cs="Arial"/>
          <w:sz w:val="20"/>
          <w:szCs w:val="20"/>
          <w:lang w:val="fr-ML"/>
        </w:rPr>
        <w:t>Les responsables du projet avertissent la famille héritière.</w:t>
      </w:r>
    </w:p>
    <w:p w14:paraId="2E802106" w14:textId="77777777" w:rsidR="00A97165" w:rsidRPr="00B434A6" w:rsidRDefault="00A97165" w:rsidP="0044500E">
      <w:pPr>
        <w:pStyle w:val="Paragraphedeliste"/>
        <w:numPr>
          <w:ilvl w:val="0"/>
          <w:numId w:val="191"/>
        </w:numPr>
        <w:jc w:val="both"/>
        <w:rPr>
          <w:rFonts w:ascii="Arial" w:hAnsi="Arial" w:cs="Arial"/>
          <w:sz w:val="20"/>
          <w:szCs w:val="20"/>
          <w:lang w:val="fr-ML"/>
        </w:rPr>
      </w:pPr>
      <w:r w:rsidRPr="00B434A6">
        <w:rPr>
          <w:rFonts w:ascii="Arial" w:hAnsi="Arial" w:cs="Arial"/>
          <w:sz w:val="20"/>
          <w:szCs w:val="20"/>
          <w:lang w:val="fr-ML"/>
        </w:rPr>
        <w:t>La famille demande ensuite la bénédiction et la permission des défunts ;</w:t>
      </w:r>
    </w:p>
    <w:p w14:paraId="047FB83A" w14:textId="77777777" w:rsidR="00A97165" w:rsidRPr="00B434A6" w:rsidRDefault="00A97165" w:rsidP="0044500E">
      <w:pPr>
        <w:pStyle w:val="Paragraphedeliste"/>
        <w:numPr>
          <w:ilvl w:val="0"/>
          <w:numId w:val="191"/>
        </w:numPr>
        <w:jc w:val="both"/>
        <w:rPr>
          <w:rFonts w:ascii="Arial" w:hAnsi="Arial" w:cs="Arial"/>
          <w:sz w:val="20"/>
          <w:szCs w:val="20"/>
          <w:lang w:val="fr-ML"/>
        </w:rPr>
      </w:pPr>
      <w:r w:rsidRPr="00B434A6">
        <w:rPr>
          <w:rFonts w:ascii="Arial" w:hAnsi="Arial" w:cs="Arial"/>
          <w:sz w:val="20"/>
          <w:szCs w:val="20"/>
          <w:lang w:val="fr-ML"/>
        </w:rPr>
        <w:t xml:space="preserve">On procède aux rituels identiques au </w:t>
      </w:r>
      <w:r w:rsidRPr="00B434A6">
        <w:rPr>
          <w:rFonts w:ascii="Arial" w:hAnsi="Arial" w:cs="Arial"/>
          <w:i/>
          <w:iCs/>
          <w:sz w:val="20"/>
          <w:szCs w:val="20"/>
          <w:lang w:val="fr-ML"/>
        </w:rPr>
        <w:t>famadihana</w:t>
      </w:r>
      <w:r w:rsidRPr="00B434A6">
        <w:rPr>
          <w:rFonts w:ascii="Arial" w:hAnsi="Arial" w:cs="Arial"/>
          <w:sz w:val="20"/>
          <w:szCs w:val="20"/>
          <w:lang w:val="fr-ML"/>
        </w:rPr>
        <w:t xml:space="preserve"> (retournement de mort) au cours duquel le corps est exhumé ;</w:t>
      </w:r>
    </w:p>
    <w:p w14:paraId="32CB42C4" w14:textId="77777777" w:rsidR="00A97165" w:rsidRPr="00B434A6" w:rsidRDefault="00A97165" w:rsidP="0044500E">
      <w:pPr>
        <w:pStyle w:val="Paragraphedeliste"/>
        <w:numPr>
          <w:ilvl w:val="0"/>
          <w:numId w:val="191"/>
        </w:numPr>
        <w:jc w:val="both"/>
        <w:rPr>
          <w:rFonts w:ascii="Arial" w:hAnsi="Arial" w:cs="Arial"/>
          <w:sz w:val="20"/>
          <w:szCs w:val="20"/>
          <w:lang w:val="fr-ML"/>
        </w:rPr>
      </w:pPr>
      <w:r w:rsidRPr="00B434A6">
        <w:rPr>
          <w:rFonts w:ascii="Arial" w:hAnsi="Arial" w:cs="Arial"/>
          <w:sz w:val="20"/>
          <w:szCs w:val="20"/>
          <w:lang w:val="fr-ML"/>
        </w:rPr>
        <w:t>Le corps est transféré vers la nouvelle tombe construite.</w:t>
      </w:r>
    </w:p>
    <w:p w14:paraId="3ACD2DCC" w14:textId="77777777" w:rsidR="00A97165" w:rsidRPr="00B434A6" w:rsidRDefault="00A97165" w:rsidP="0044500E">
      <w:pPr>
        <w:pStyle w:val="Paragraphedeliste"/>
        <w:numPr>
          <w:ilvl w:val="0"/>
          <w:numId w:val="191"/>
        </w:numPr>
        <w:jc w:val="both"/>
        <w:rPr>
          <w:rFonts w:ascii="Arial" w:hAnsi="Arial" w:cs="Arial"/>
          <w:sz w:val="20"/>
          <w:szCs w:val="20"/>
          <w:lang w:val="fr-ML"/>
        </w:rPr>
      </w:pPr>
      <w:r w:rsidRPr="00B434A6">
        <w:rPr>
          <w:rFonts w:ascii="Arial" w:hAnsi="Arial" w:cs="Arial"/>
          <w:sz w:val="20"/>
          <w:szCs w:val="20"/>
          <w:lang w:val="fr-ML"/>
        </w:rPr>
        <w:t xml:space="preserve">Les dépenses occasionnées par le rituel de demande de bénédiction, la construction de nouvelle tombe, le rituel de </w:t>
      </w:r>
      <w:r w:rsidRPr="00B434A6">
        <w:rPr>
          <w:rFonts w:ascii="Arial" w:hAnsi="Arial" w:cs="Arial"/>
          <w:i/>
          <w:iCs/>
          <w:sz w:val="20"/>
          <w:szCs w:val="20"/>
          <w:lang w:val="fr-ML"/>
        </w:rPr>
        <w:t>famadihana ou alafaditra</w:t>
      </w:r>
      <w:r w:rsidRPr="00B434A6">
        <w:rPr>
          <w:rFonts w:ascii="Arial" w:hAnsi="Arial" w:cs="Arial"/>
          <w:sz w:val="20"/>
          <w:szCs w:val="20"/>
          <w:lang w:val="fr-ML"/>
        </w:rPr>
        <w:t xml:space="preserve"> sont à la charge du projet.</w:t>
      </w:r>
    </w:p>
    <w:p w14:paraId="6C62C7B8" w14:textId="77777777" w:rsidR="00A97165" w:rsidRPr="00B434A6" w:rsidRDefault="00A97165" w:rsidP="0044500E">
      <w:pPr>
        <w:pStyle w:val="Paragraphedeliste"/>
        <w:numPr>
          <w:ilvl w:val="0"/>
          <w:numId w:val="191"/>
        </w:numPr>
        <w:jc w:val="both"/>
        <w:rPr>
          <w:rFonts w:ascii="Arial" w:hAnsi="Arial" w:cs="Arial"/>
          <w:sz w:val="20"/>
          <w:szCs w:val="20"/>
          <w:lang w:val="fr-ML"/>
        </w:rPr>
      </w:pPr>
      <w:r w:rsidRPr="00B434A6">
        <w:rPr>
          <w:rFonts w:ascii="Arial" w:hAnsi="Arial" w:cs="Arial"/>
          <w:sz w:val="20"/>
          <w:szCs w:val="20"/>
          <w:lang w:val="fr-ML"/>
        </w:rPr>
        <w:t>Il est de coutume que le projet fait un sacrifice de zébu pour honorer les défunts et sa famille.</w:t>
      </w:r>
    </w:p>
    <w:p w14:paraId="2494CB2B" w14:textId="77777777" w:rsidR="00A97165" w:rsidRPr="00B434A6" w:rsidRDefault="00A97165" w:rsidP="00F01166">
      <w:pPr>
        <w:jc w:val="both"/>
        <w:rPr>
          <w:rFonts w:ascii="Arial" w:hAnsi="Arial" w:cs="Arial"/>
          <w:b/>
          <w:bCs/>
          <w:sz w:val="20"/>
          <w:szCs w:val="20"/>
        </w:rPr>
      </w:pPr>
      <w:r w:rsidRPr="00B434A6">
        <w:rPr>
          <w:rFonts w:ascii="Arial" w:hAnsi="Arial" w:cs="Arial"/>
          <w:color w:val="000000"/>
          <w:sz w:val="20"/>
          <w:szCs w:val="20"/>
          <w:lang w:val="fr-ML"/>
        </w:rPr>
        <w:t xml:space="preserve">Dans le cas de site sacré, c’est le même rite sauf qu’il y a transfert des objets sacrés au lieu de </w:t>
      </w:r>
      <w:r w:rsidRPr="00B434A6">
        <w:rPr>
          <w:rFonts w:ascii="Arial" w:hAnsi="Arial" w:cs="Arial"/>
          <w:i/>
          <w:color w:val="000000"/>
          <w:sz w:val="20"/>
          <w:szCs w:val="20"/>
          <w:lang w:val="fr-ML"/>
        </w:rPr>
        <w:t xml:space="preserve">famadihana ou </w:t>
      </w:r>
      <w:r w:rsidRPr="00B434A6">
        <w:rPr>
          <w:rFonts w:ascii="Arial" w:hAnsi="Arial" w:cs="Arial"/>
          <w:i/>
          <w:iCs/>
          <w:color w:val="000000"/>
          <w:sz w:val="20"/>
          <w:szCs w:val="20"/>
          <w:lang w:val="fr-ML"/>
        </w:rPr>
        <w:t>alafaditra</w:t>
      </w:r>
      <w:r w:rsidR="00AF64F8">
        <w:rPr>
          <w:rFonts w:ascii="Arial" w:hAnsi="Arial" w:cs="Arial"/>
          <w:i/>
          <w:iCs/>
          <w:color w:val="000000"/>
          <w:sz w:val="20"/>
          <w:szCs w:val="20"/>
          <w:lang w:val="fr-ML"/>
        </w:rPr>
        <w:t>.</w:t>
      </w:r>
    </w:p>
    <w:p w14:paraId="7B42E4B1" w14:textId="77777777" w:rsidR="00A97165" w:rsidRPr="00D334A6" w:rsidRDefault="00A97165" w:rsidP="00A97165">
      <w:pPr>
        <w:rPr>
          <w:rFonts w:ascii="Arial" w:hAnsi="Arial" w:cs="Arial"/>
          <w:b/>
          <w:bCs/>
        </w:rPr>
      </w:pPr>
      <w:r>
        <w:rPr>
          <w:rFonts w:ascii="Arial" w:eastAsia="Cambria" w:hAnsi="Arial" w:cs="Arial"/>
          <w:sz w:val="16"/>
          <w:szCs w:val="16"/>
          <w:u w:color="000000"/>
          <w:lang w:eastAsia="fr-FR"/>
        </w:rPr>
        <w:br w:type="page"/>
      </w:r>
      <w:bookmarkStart w:id="1721" w:name="_Toc125402466"/>
      <w:r w:rsidRPr="00D334A6">
        <w:rPr>
          <w:rFonts w:ascii="Arial" w:hAnsi="Arial" w:cs="Arial"/>
          <w:b/>
          <w:bCs/>
        </w:rPr>
        <w:t>Annexe</w:t>
      </w:r>
      <w:r>
        <w:rPr>
          <w:rFonts w:ascii="Arial" w:hAnsi="Arial" w:cs="Arial"/>
          <w:b/>
          <w:bCs/>
        </w:rPr>
        <w:t xml:space="preserve"> </w:t>
      </w:r>
      <w:r w:rsidRPr="00D334A6">
        <w:rPr>
          <w:rFonts w:ascii="Arial" w:hAnsi="Arial" w:cs="Arial"/>
          <w:b/>
          <w:bCs/>
        </w:rPr>
        <w:fldChar w:fldCharType="begin"/>
      </w:r>
      <w:r w:rsidRPr="00D334A6">
        <w:rPr>
          <w:rFonts w:ascii="Arial" w:hAnsi="Arial" w:cs="Arial"/>
          <w:b/>
          <w:bCs/>
        </w:rPr>
        <w:instrText>SEQ Annexe \* ARABIC</w:instrText>
      </w:r>
      <w:r w:rsidRPr="00D334A6">
        <w:rPr>
          <w:rFonts w:ascii="Arial" w:hAnsi="Arial" w:cs="Arial"/>
          <w:b/>
          <w:bCs/>
        </w:rPr>
        <w:fldChar w:fldCharType="separate"/>
      </w:r>
      <w:r w:rsidR="009947B9">
        <w:rPr>
          <w:rFonts w:ascii="Arial" w:hAnsi="Arial" w:cs="Arial"/>
          <w:b/>
          <w:bCs/>
          <w:noProof/>
        </w:rPr>
        <w:t>3</w:t>
      </w:r>
      <w:r w:rsidRPr="00D334A6">
        <w:rPr>
          <w:rFonts w:ascii="Arial" w:hAnsi="Arial" w:cs="Arial"/>
          <w:b/>
          <w:bCs/>
        </w:rPr>
        <w:fldChar w:fldCharType="end"/>
      </w:r>
      <w:r w:rsidRPr="00D334A6">
        <w:rPr>
          <w:rFonts w:ascii="Arial" w:hAnsi="Arial" w:cs="Arial"/>
          <w:b/>
          <w:bCs/>
        </w:rPr>
        <w:t>. Formulaire de sélection environnementale et sociale</w:t>
      </w:r>
      <w:bookmarkEnd w:id="1721"/>
    </w:p>
    <w:p w14:paraId="504C63B8" w14:textId="77777777" w:rsidR="009A0954" w:rsidRDefault="009A0954" w:rsidP="009A0954">
      <w:pPr>
        <w:spacing w:after="240"/>
        <w:rPr>
          <w:rFonts w:eastAsia="Cambria" w:cs="Calibri"/>
          <w:i/>
          <w:iCs/>
          <w:sz w:val="18"/>
          <w:szCs w:val="18"/>
          <w:u w:color="000000"/>
          <w:lang w:eastAsia="fr-FR"/>
        </w:rPr>
      </w:pPr>
      <w:r w:rsidRPr="007F78CE">
        <w:rPr>
          <w:rFonts w:eastAsia="Cambria" w:cs="Calibri"/>
          <w:i/>
          <w:iCs/>
          <w:sz w:val="18"/>
          <w:szCs w:val="18"/>
          <w:u w:color="000000"/>
          <w:lang w:eastAsia="fr-FR"/>
        </w:rPr>
        <w:t>Le présent formulaire de sélection a été conçu pour aider dans la sélection initiale des projets devant être exécutés sur le terrain.</w:t>
      </w:r>
    </w:p>
    <w:p w14:paraId="1D9A68C8" w14:textId="77777777" w:rsidR="00FC0453" w:rsidRDefault="00FC0453" w:rsidP="00FC0453"/>
    <w:tbl>
      <w:tblPr>
        <w:tblW w:w="10530" w:type="dxa"/>
        <w:jc w:val="center"/>
        <w:tblCellMar>
          <w:left w:w="10" w:type="dxa"/>
          <w:right w:w="10" w:type="dxa"/>
        </w:tblCellMar>
        <w:tblLook w:val="0000" w:firstRow="0" w:lastRow="0" w:firstColumn="0" w:lastColumn="0" w:noHBand="0" w:noVBand="0"/>
      </w:tblPr>
      <w:tblGrid>
        <w:gridCol w:w="2645"/>
        <w:gridCol w:w="2669"/>
        <w:gridCol w:w="1548"/>
        <w:gridCol w:w="3668"/>
      </w:tblGrid>
      <w:tr w:rsidR="00FC0453" w:rsidRPr="007F78CE" w14:paraId="24EA24D8" w14:textId="77777777" w:rsidTr="00FC0453">
        <w:trPr>
          <w:trHeight w:val="425"/>
          <w:jc w:val="center"/>
        </w:trPr>
        <w:tc>
          <w:tcPr>
            <w:tcW w:w="10530" w:type="dxa"/>
            <w:gridSpan w:val="4"/>
            <w:tcBorders>
              <w:top w:val="single" w:sz="8" w:space="0" w:color="000000"/>
              <w:left w:val="single" w:sz="8" w:space="0" w:color="000000"/>
              <w:bottom w:val="single" w:sz="4" w:space="0" w:color="000000"/>
              <w:right w:val="single" w:sz="8" w:space="0" w:color="000000"/>
            </w:tcBorders>
            <w:shd w:val="clear" w:color="auto" w:fill="AEAAAA"/>
            <w:vAlign w:val="bottom"/>
          </w:tcPr>
          <w:p w14:paraId="47B27974" w14:textId="77777777" w:rsidR="00FC0453" w:rsidRPr="00806168" w:rsidRDefault="00FC0453" w:rsidP="0044500E">
            <w:pPr>
              <w:pStyle w:val="Paragraphedeliste"/>
              <w:numPr>
                <w:ilvl w:val="0"/>
                <w:numId w:val="193"/>
              </w:numPr>
              <w:rPr>
                <w:rFonts w:eastAsia="Arial" w:cs="Calibri"/>
                <w:b/>
                <w:i/>
                <w:sz w:val="20"/>
                <w:szCs w:val="20"/>
              </w:rPr>
            </w:pPr>
            <w:r w:rsidRPr="00806168">
              <w:rPr>
                <w:rFonts w:eastAsia="Arial" w:cs="Calibri"/>
                <w:b/>
                <w:i/>
                <w:sz w:val="20"/>
                <w:szCs w:val="20"/>
              </w:rPr>
              <w:t>IDENTIFICATION DU SITE</w:t>
            </w:r>
          </w:p>
        </w:tc>
      </w:tr>
      <w:tr w:rsidR="00FC0453" w:rsidRPr="007F78CE" w14:paraId="3B074A88" w14:textId="77777777" w:rsidTr="00FC0453">
        <w:trPr>
          <w:trHeight w:val="500"/>
          <w:jc w:val="center"/>
        </w:trPr>
        <w:tc>
          <w:tcPr>
            <w:tcW w:w="2645" w:type="dxa"/>
            <w:tcBorders>
              <w:top w:val="single" w:sz="4" w:space="0" w:color="000000"/>
              <w:left w:val="single" w:sz="4" w:space="0" w:color="000000"/>
              <w:bottom w:val="single" w:sz="4" w:space="0" w:color="000000"/>
              <w:right w:val="single" w:sz="8" w:space="0" w:color="000000"/>
            </w:tcBorders>
            <w:shd w:val="clear" w:color="auto" w:fill="auto"/>
            <w:vAlign w:val="bottom"/>
          </w:tcPr>
          <w:p w14:paraId="459433CE" w14:textId="77777777" w:rsidR="00FC0453" w:rsidRPr="007F78CE" w:rsidRDefault="00FC0453" w:rsidP="00FC0453">
            <w:pPr>
              <w:ind w:left="120" w:right="131"/>
              <w:rPr>
                <w:rFonts w:eastAsia="Arial" w:cs="Calibri"/>
                <w:b/>
                <w:bCs/>
                <w:i/>
                <w:sz w:val="16"/>
                <w:szCs w:val="16"/>
              </w:rPr>
            </w:pPr>
            <w:r>
              <w:rPr>
                <w:rFonts w:eastAsia="Arial" w:cs="Calibri"/>
                <w:b/>
                <w:bCs/>
                <w:i/>
                <w:sz w:val="16"/>
                <w:szCs w:val="16"/>
              </w:rPr>
              <w:t xml:space="preserve">Région </w:t>
            </w:r>
          </w:p>
        </w:tc>
        <w:tc>
          <w:tcPr>
            <w:tcW w:w="2669" w:type="dxa"/>
            <w:tcBorders>
              <w:top w:val="single" w:sz="4" w:space="0" w:color="000000"/>
              <w:bottom w:val="single" w:sz="4" w:space="0" w:color="000000"/>
              <w:right w:val="single" w:sz="8" w:space="0" w:color="000000"/>
            </w:tcBorders>
            <w:shd w:val="clear" w:color="auto" w:fill="auto"/>
            <w:vAlign w:val="bottom"/>
          </w:tcPr>
          <w:p w14:paraId="61944EA9" w14:textId="77777777" w:rsidR="00FC0453" w:rsidRPr="007F78CE" w:rsidRDefault="00FC0453" w:rsidP="00FC0453">
            <w:pPr>
              <w:jc w:val="center"/>
              <w:rPr>
                <w:rFonts w:cs="Calibri"/>
                <w:b/>
                <w:bCs/>
                <w:sz w:val="16"/>
                <w:szCs w:val="16"/>
              </w:rPr>
            </w:pPr>
          </w:p>
        </w:tc>
        <w:tc>
          <w:tcPr>
            <w:tcW w:w="1548" w:type="dxa"/>
            <w:tcBorders>
              <w:top w:val="single" w:sz="4" w:space="0" w:color="000000"/>
              <w:bottom w:val="single" w:sz="4" w:space="0" w:color="000000"/>
              <w:right w:val="single" w:sz="8" w:space="0" w:color="000000"/>
            </w:tcBorders>
            <w:shd w:val="clear" w:color="auto" w:fill="auto"/>
            <w:vAlign w:val="bottom"/>
          </w:tcPr>
          <w:p w14:paraId="119A87A8" w14:textId="77777777" w:rsidR="00FC0453" w:rsidRPr="007F78CE" w:rsidRDefault="00FC0453" w:rsidP="00FC0453">
            <w:pPr>
              <w:ind w:left="80"/>
              <w:rPr>
                <w:rFonts w:eastAsia="Arial" w:cs="Calibri"/>
                <w:i/>
                <w:sz w:val="16"/>
                <w:szCs w:val="16"/>
              </w:rPr>
            </w:pPr>
            <w:r>
              <w:rPr>
                <w:rFonts w:eastAsia="Arial" w:cs="Calibri"/>
                <w:b/>
                <w:bCs/>
                <w:i/>
                <w:sz w:val="16"/>
                <w:szCs w:val="16"/>
              </w:rPr>
              <w:t xml:space="preserve">District </w:t>
            </w:r>
          </w:p>
        </w:tc>
        <w:tc>
          <w:tcPr>
            <w:tcW w:w="3668" w:type="dxa"/>
            <w:tcBorders>
              <w:top w:val="single" w:sz="4" w:space="0" w:color="000000"/>
              <w:bottom w:val="single" w:sz="4" w:space="0" w:color="000000"/>
              <w:right w:val="single" w:sz="4" w:space="0" w:color="000000"/>
            </w:tcBorders>
            <w:shd w:val="clear" w:color="auto" w:fill="auto"/>
            <w:vAlign w:val="bottom"/>
          </w:tcPr>
          <w:p w14:paraId="7052FED6" w14:textId="77777777" w:rsidR="00FC0453" w:rsidRPr="007F78CE" w:rsidRDefault="00FC0453" w:rsidP="00FC0453">
            <w:pPr>
              <w:jc w:val="center"/>
              <w:rPr>
                <w:rFonts w:cs="Calibri"/>
                <w:b/>
                <w:bCs/>
                <w:iCs/>
                <w:sz w:val="16"/>
                <w:szCs w:val="16"/>
              </w:rPr>
            </w:pPr>
          </w:p>
        </w:tc>
      </w:tr>
      <w:tr w:rsidR="00FC0453" w:rsidRPr="007F78CE" w14:paraId="00B94FCC" w14:textId="77777777" w:rsidTr="00FC0453">
        <w:trPr>
          <w:trHeight w:val="500"/>
          <w:jc w:val="center"/>
        </w:trPr>
        <w:tc>
          <w:tcPr>
            <w:tcW w:w="2645" w:type="dxa"/>
            <w:tcBorders>
              <w:left w:val="single" w:sz="8" w:space="0" w:color="000000"/>
              <w:bottom w:val="single" w:sz="4" w:space="0" w:color="000000"/>
              <w:right w:val="single" w:sz="8" w:space="0" w:color="000000"/>
            </w:tcBorders>
            <w:shd w:val="clear" w:color="auto" w:fill="auto"/>
            <w:vAlign w:val="bottom"/>
          </w:tcPr>
          <w:p w14:paraId="21C327BD" w14:textId="77777777" w:rsidR="00FC0453" w:rsidRPr="007F78CE" w:rsidRDefault="00FC0453" w:rsidP="00FC0453">
            <w:pPr>
              <w:ind w:left="120" w:right="131"/>
              <w:rPr>
                <w:rFonts w:eastAsia="Arial" w:cs="Calibri"/>
                <w:b/>
                <w:bCs/>
                <w:i/>
                <w:sz w:val="16"/>
                <w:szCs w:val="16"/>
              </w:rPr>
            </w:pPr>
            <w:r>
              <w:rPr>
                <w:rFonts w:eastAsia="Arial" w:cs="Calibri"/>
                <w:b/>
                <w:bCs/>
                <w:i/>
                <w:sz w:val="16"/>
                <w:szCs w:val="16"/>
              </w:rPr>
              <w:t xml:space="preserve">Commune </w:t>
            </w:r>
          </w:p>
        </w:tc>
        <w:tc>
          <w:tcPr>
            <w:tcW w:w="2669" w:type="dxa"/>
            <w:tcBorders>
              <w:bottom w:val="single" w:sz="4" w:space="0" w:color="000000"/>
              <w:right w:val="single" w:sz="8" w:space="0" w:color="000000"/>
            </w:tcBorders>
            <w:shd w:val="clear" w:color="auto" w:fill="auto"/>
            <w:vAlign w:val="bottom"/>
          </w:tcPr>
          <w:p w14:paraId="56D83974" w14:textId="77777777" w:rsidR="00FC0453" w:rsidRPr="007F78CE" w:rsidRDefault="00FC0453" w:rsidP="00FC0453">
            <w:pPr>
              <w:jc w:val="center"/>
              <w:rPr>
                <w:rFonts w:cs="Calibri"/>
                <w:sz w:val="16"/>
                <w:szCs w:val="16"/>
              </w:rPr>
            </w:pPr>
          </w:p>
        </w:tc>
        <w:tc>
          <w:tcPr>
            <w:tcW w:w="1548" w:type="dxa"/>
            <w:tcBorders>
              <w:bottom w:val="single" w:sz="4" w:space="0" w:color="000000"/>
              <w:right w:val="single" w:sz="8" w:space="0" w:color="000000"/>
            </w:tcBorders>
            <w:shd w:val="clear" w:color="auto" w:fill="auto"/>
            <w:vAlign w:val="bottom"/>
          </w:tcPr>
          <w:p w14:paraId="4020EF08" w14:textId="77777777" w:rsidR="00FC0453" w:rsidRPr="007F78CE" w:rsidRDefault="00FC0453" w:rsidP="00FC0453">
            <w:pPr>
              <w:ind w:left="80"/>
              <w:rPr>
                <w:rFonts w:eastAsia="Arial" w:cs="Calibri"/>
                <w:b/>
                <w:bCs/>
                <w:i/>
                <w:sz w:val="16"/>
                <w:szCs w:val="16"/>
              </w:rPr>
            </w:pPr>
            <w:r>
              <w:rPr>
                <w:rFonts w:eastAsia="Arial" w:cs="Calibri"/>
                <w:b/>
                <w:bCs/>
                <w:i/>
                <w:sz w:val="16"/>
                <w:szCs w:val="16"/>
              </w:rPr>
              <w:t>Fokontany</w:t>
            </w:r>
          </w:p>
        </w:tc>
        <w:tc>
          <w:tcPr>
            <w:tcW w:w="3668" w:type="dxa"/>
            <w:tcBorders>
              <w:bottom w:val="single" w:sz="4" w:space="0" w:color="000000"/>
              <w:right w:val="single" w:sz="8" w:space="0" w:color="000000"/>
            </w:tcBorders>
            <w:shd w:val="clear" w:color="auto" w:fill="auto"/>
            <w:vAlign w:val="bottom"/>
          </w:tcPr>
          <w:p w14:paraId="4A7EE238" w14:textId="77777777" w:rsidR="00FC0453" w:rsidRPr="007F78CE" w:rsidRDefault="00FC0453" w:rsidP="00FC0453">
            <w:pPr>
              <w:jc w:val="center"/>
              <w:rPr>
                <w:rFonts w:cs="Calibri"/>
                <w:b/>
                <w:bCs/>
                <w:sz w:val="16"/>
                <w:szCs w:val="16"/>
              </w:rPr>
            </w:pPr>
          </w:p>
        </w:tc>
      </w:tr>
      <w:tr w:rsidR="00FC0453" w:rsidRPr="007F78CE" w14:paraId="6AD9C8F4" w14:textId="77777777" w:rsidTr="00FC0453">
        <w:trPr>
          <w:trHeight w:val="417"/>
          <w:jc w:val="center"/>
        </w:trPr>
        <w:tc>
          <w:tcPr>
            <w:tcW w:w="2645" w:type="dxa"/>
            <w:tcBorders>
              <w:top w:val="single" w:sz="4" w:space="0" w:color="000000"/>
              <w:left w:val="single" w:sz="8" w:space="0" w:color="000000"/>
              <w:bottom w:val="single" w:sz="4" w:space="0" w:color="000000"/>
              <w:right w:val="single" w:sz="8" w:space="0" w:color="000000"/>
            </w:tcBorders>
            <w:shd w:val="clear" w:color="auto" w:fill="auto"/>
            <w:vAlign w:val="bottom"/>
          </w:tcPr>
          <w:p w14:paraId="6036E33B" w14:textId="77777777" w:rsidR="00FC0453" w:rsidRPr="007F78CE" w:rsidRDefault="00FC0453" w:rsidP="00FC0453">
            <w:pPr>
              <w:ind w:left="120" w:right="131"/>
              <w:rPr>
                <w:rFonts w:cs="Calibri"/>
                <w:sz w:val="16"/>
                <w:szCs w:val="16"/>
              </w:rPr>
            </w:pPr>
            <w:r w:rsidRPr="007F78CE">
              <w:rPr>
                <w:rFonts w:eastAsia="Arial" w:cs="Calibri"/>
                <w:b/>
                <w:bCs/>
                <w:i/>
                <w:sz w:val="16"/>
                <w:szCs w:val="16"/>
              </w:rPr>
              <w:t>Coordonnées Géographiques</w:t>
            </w:r>
          </w:p>
        </w:tc>
        <w:tc>
          <w:tcPr>
            <w:tcW w:w="4217" w:type="dxa"/>
            <w:gridSpan w:val="2"/>
            <w:tcBorders>
              <w:top w:val="single" w:sz="4" w:space="0" w:color="000000"/>
              <w:bottom w:val="single" w:sz="4" w:space="0" w:color="000000"/>
              <w:right w:val="single" w:sz="8" w:space="0" w:color="000000"/>
            </w:tcBorders>
            <w:shd w:val="clear" w:color="auto" w:fill="auto"/>
            <w:vAlign w:val="bottom"/>
          </w:tcPr>
          <w:p w14:paraId="34B82906" w14:textId="77777777" w:rsidR="00FC0453" w:rsidRPr="007F78CE" w:rsidRDefault="00FC0453" w:rsidP="00FC0453">
            <w:pPr>
              <w:rPr>
                <w:rFonts w:cs="Calibri"/>
                <w:sz w:val="16"/>
                <w:szCs w:val="16"/>
              </w:rPr>
            </w:pPr>
            <w:r w:rsidRPr="007F78CE">
              <w:rPr>
                <w:rFonts w:cs="Calibri"/>
                <w:b/>
                <w:bCs/>
                <w:sz w:val="16"/>
                <w:szCs w:val="16"/>
              </w:rPr>
              <w:t>X :</w:t>
            </w:r>
          </w:p>
        </w:tc>
        <w:tc>
          <w:tcPr>
            <w:tcW w:w="3668" w:type="dxa"/>
            <w:tcBorders>
              <w:top w:val="single" w:sz="4" w:space="0" w:color="000000"/>
              <w:bottom w:val="single" w:sz="4" w:space="0" w:color="000000"/>
              <w:right w:val="single" w:sz="8" w:space="0" w:color="000000"/>
            </w:tcBorders>
            <w:shd w:val="clear" w:color="auto" w:fill="auto"/>
            <w:vAlign w:val="bottom"/>
          </w:tcPr>
          <w:p w14:paraId="180AA146" w14:textId="77777777" w:rsidR="00FC0453" w:rsidRPr="007F78CE" w:rsidRDefault="00FC0453" w:rsidP="00FC0453">
            <w:pPr>
              <w:rPr>
                <w:rFonts w:eastAsia="Arial" w:cs="Calibri"/>
                <w:i/>
                <w:sz w:val="16"/>
                <w:szCs w:val="16"/>
              </w:rPr>
            </w:pPr>
            <w:r w:rsidRPr="007F78CE">
              <w:rPr>
                <w:rFonts w:eastAsia="Arial" w:cs="Calibri"/>
                <w:b/>
                <w:bCs/>
                <w:i/>
                <w:sz w:val="16"/>
                <w:szCs w:val="16"/>
              </w:rPr>
              <w:t>Y :</w:t>
            </w:r>
          </w:p>
        </w:tc>
      </w:tr>
      <w:tr w:rsidR="00FC0453" w:rsidRPr="007F78CE" w14:paraId="5922DA33" w14:textId="77777777" w:rsidTr="00FC0453">
        <w:trPr>
          <w:trHeight w:val="248"/>
          <w:jc w:val="center"/>
        </w:trPr>
        <w:tc>
          <w:tcPr>
            <w:tcW w:w="2645" w:type="dxa"/>
            <w:tcBorders>
              <w:top w:val="single" w:sz="4" w:space="0" w:color="000000"/>
              <w:left w:val="single" w:sz="8" w:space="0" w:color="000000"/>
              <w:bottom w:val="single" w:sz="4" w:space="0" w:color="000000"/>
              <w:right w:val="single" w:sz="8" w:space="0" w:color="000000"/>
            </w:tcBorders>
            <w:shd w:val="clear" w:color="auto" w:fill="auto"/>
            <w:vAlign w:val="bottom"/>
          </w:tcPr>
          <w:p w14:paraId="3FFF2044" w14:textId="77777777" w:rsidR="00FC0453" w:rsidRPr="007F78CE" w:rsidRDefault="00FC0453" w:rsidP="00FC0453">
            <w:pPr>
              <w:ind w:left="120" w:right="131"/>
              <w:rPr>
                <w:rFonts w:eastAsia="Arial" w:cs="Calibri"/>
                <w:b/>
                <w:bCs/>
                <w:i/>
                <w:sz w:val="16"/>
                <w:szCs w:val="16"/>
              </w:rPr>
            </w:pPr>
            <w:r w:rsidRPr="007F78CE">
              <w:rPr>
                <w:rFonts w:eastAsia="Arial" w:cs="Calibri"/>
                <w:b/>
                <w:bCs/>
                <w:i/>
                <w:sz w:val="16"/>
                <w:szCs w:val="16"/>
              </w:rPr>
              <w:t>Responsable du projet/maitre d’ouvrage</w:t>
            </w:r>
          </w:p>
        </w:tc>
        <w:tc>
          <w:tcPr>
            <w:tcW w:w="7885" w:type="dxa"/>
            <w:gridSpan w:val="3"/>
            <w:tcBorders>
              <w:top w:val="single" w:sz="4" w:space="0" w:color="000000"/>
              <w:bottom w:val="single" w:sz="4" w:space="0" w:color="000000"/>
              <w:right w:val="single" w:sz="8" w:space="0" w:color="000000"/>
            </w:tcBorders>
            <w:shd w:val="clear" w:color="auto" w:fill="auto"/>
            <w:vAlign w:val="bottom"/>
          </w:tcPr>
          <w:p w14:paraId="3985B2A3" w14:textId="77777777" w:rsidR="00FC0453" w:rsidRPr="007F78CE" w:rsidRDefault="00FC0453" w:rsidP="00FC0453">
            <w:pPr>
              <w:rPr>
                <w:rFonts w:eastAsia="Arial" w:cs="Calibri"/>
                <w:b/>
                <w:bCs/>
                <w:i/>
                <w:sz w:val="16"/>
                <w:szCs w:val="16"/>
              </w:rPr>
            </w:pPr>
          </w:p>
        </w:tc>
      </w:tr>
      <w:tr w:rsidR="00FC0453" w:rsidRPr="007F78CE" w14:paraId="48CD5308" w14:textId="77777777" w:rsidTr="00FC0453">
        <w:trPr>
          <w:trHeight w:val="248"/>
          <w:jc w:val="center"/>
        </w:trPr>
        <w:tc>
          <w:tcPr>
            <w:tcW w:w="2645" w:type="dxa"/>
            <w:tcBorders>
              <w:top w:val="single" w:sz="4" w:space="0" w:color="000000"/>
              <w:left w:val="single" w:sz="8" w:space="0" w:color="000000"/>
              <w:bottom w:val="single" w:sz="4" w:space="0" w:color="000000"/>
              <w:right w:val="single" w:sz="8" w:space="0" w:color="000000"/>
            </w:tcBorders>
            <w:shd w:val="clear" w:color="auto" w:fill="auto"/>
            <w:vAlign w:val="bottom"/>
          </w:tcPr>
          <w:p w14:paraId="2919BF34" w14:textId="77777777" w:rsidR="00FC0453" w:rsidRPr="007F78CE" w:rsidRDefault="00FC0453" w:rsidP="00FC0453">
            <w:pPr>
              <w:ind w:left="120" w:right="131"/>
              <w:rPr>
                <w:rFonts w:eastAsia="Arial" w:cs="Calibri"/>
                <w:b/>
                <w:bCs/>
                <w:i/>
                <w:sz w:val="16"/>
                <w:szCs w:val="16"/>
              </w:rPr>
            </w:pPr>
            <w:r w:rsidRPr="007F78CE">
              <w:rPr>
                <w:rFonts w:eastAsia="Arial" w:cs="Calibri"/>
                <w:b/>
                <w:bCs/>
                <w:iCs/>
                <w:sz w:val="16"/>
                <w:szCs w:val="16"/>
              </w:rPr>
              <w:t>Nom, fonction, et informations sur la personne chargée de remplir le présent formulaire</w:t>
            </w:r>
          </w:p>
        </w:tc>
        <w:tc>
          <w:tcPr>
            <w:tcW w:w="7885" w:type="dxa"/>
            <w:gridSpan w:val="3"/>
            <w:tcBorders>
              <w:top w:val="single" w:sz="4" w:space="0" w:color="000000"/>
              <w:bottom w:val="single" w:sz="4" w:space="0" w:color="000000"/>
              <w:right w:val="single" w:sz="8" w:space="0" w:color="000000"/>
            </w:tcBorders>
            <w:shd w:val="clear" w:color="auto" w:fill="auto"/>
            <w:vAlign w:val="bottom"/>
          </w:tcPr>
          <w:p w14:paraId="5BC8FE36" w14:textId="77777777" w:rsidR="00FC0453" w:rsidRPr="007F78CE" w:rsidRDefault="00FC0453" w:rsidP="00FC0453">
            <w:pPr>
              <w:rPr>
                <w:rFonts w:eastAsia="Arial" w:cs="Calibri"/>
                <w:b/>
                <w:bCs/>
                <w:i/>
                <w:sz w:val="16"/>
                <w:szCs w:val="16"/>
              </w:rPr>
            </w:pPr>
          </w:p>
        </w:tc>
      </w:tr>
    </w:tbl>
    <w:p w14:paraId="07F72596" w14:textId="77777777" w:rsidR="00FC0453" w:rsidRDefault="00FC0453" w:rsidP="00FC0453"/>
    <w:p w14:paraId="2F69B081" w14:textId="77777777" w:rsidR="00FC0453" w:rsidRPr="00806168" w:rsidRDefault="00FC0453" w:rsidP="0044500E">
      <w:pPr>
        <w:pStyle w:val="Paragraphedeliste"/>
        <w:numPr>
          <w:ilvl w:val="0"/>
          <w:numId w:val="193"/>
        </w:numPr>
        <w:spacing w:after="0" w:line="240" w:lineRule="auto"/>
        <w:jc w:val="both"/>
        <w:rPr>
          <w:rFonts w:eastAsia="Cambria" w:cs="Calibri"/>
          <w:szCs w:val="18"/>
          <w:u w:val="single" w:color="000000"/>
        </w:rPr>
      </w:pPr>
      <w:r w:rsidRPr="00806168">
        <w:rPr>
          <w:rFonts w:eastAsia="Cambria" w:cs="Calibri"/>
          <w:b/>
          <w:szCs w:val="18"/>
        </w:rPr>
        <w:t xml:space="preserve">Brève description du </w:t>
      </w:r>
      <w:r w:rsidRPr="00806168">
        <w:rPr>
          <w:rFonts w:eastAsia="Cambria" w:cs="Calibri"/>
          <w:b/>
          <w:bCs/>
          <w:szCs w:val="18"/>
        </w:rPr>
        <w:t>sous-</w:t>
      </w:r>
      <w:r w:rsidRPr="00806168">
        <w:rPr>
          <w:rFonts w:eastAsia="Cambria" w:cs="Calibri"/>
          <w:b/>
          <w:szCs w:val="18"/>
        </w:rPr>
        <w:t>projet</w:t>
      </w:r>
    </w:p>
    <w:p w14:paraId="04A50382" w14:textId="77777777" w:rsidR="00FC0453" w:rsidRPr="00806168" w:rsidRDefault="00FC0453" w:rsidP="00FC0453">
      <w:pPr>
        <w:rPr>
          <w:rFonts w:eastAsia="Cambria" w:cs="Calibri"/>
          <w:b/>
          <w:bCs/>
          <w:sz w:val="20"/>
          <w:szCs w:val="16"/>
          <w:u w:color="000000"/>
          <w:lang w:eastAsia="fr-FR"/>
        </w:rPr>
      </w:pPr>
      <w:r w:rsidRPr="00806168">
        <w:rPr>
          <w:rFonts w:eastAsia="Cambria" w:cs="Calibri"/>
          <w:bCs/>
          <w:sz w:val="20"/>
          <w:szCs w:val="16"/>
          <w:u w:color="000000"/>
          <w:lang w:eastAsia="fr-FR"/>
        </w:rPr>
        <w:t>………………………………………………………………………………………………………………………………………………………………………………………………………………………………………………………………………………………………………………………………………………………………………………………………………………………………………………………………………………………………………………………………………………………………………………………………………………………………………………………………………………………………………………………………………………………………………………………………………………………………………………………………………</w:t>
      </w:r>
    </w:p>
    <w:p w14:paraId="49844002" w14:textId="77777777" w:rsidR="00FC0453" w:rsidRPr="00806168" w:rsidRDefault="00FC0453" w:rsidP="0044500E">
      <w:pPr>
        <w:pStyle w:val="Paragraphedeliste"/>
        <w:numPr>
          <w:ilvl w:val="0"/>
          <w:numId w:val="193"/>
        </w:numPr>
        <w:rPr>
          <w:sz w:val="28"/>
        </w:rPr>
      </w:pPr>
      <w:r w:rsidRPr="00806168">
        <w:rPr>
          <w:rFonts w:eastAsia="Cambria" w:cs="Calibri"/>
          <w:b/>
          <w:bCs/>
          <w:szCs w:val="18"/>
          <w:u w:color="000000"/>
        </w:rPr>
        <w:t>Identification des risques et impacts environnementaux et sociaux</w:t>
      </w:r>
    </w:p>
    <w:tbl>
      <w:tblPr>
        <w:tblW w:w="10206" w:type="dxa"/>
        <w:jc w:val="center"/>
        <w:tblLook w:val="04A0" w:firstRow="1" w:lastRow="0" w:firstColumn="1" w:lastColumn="0" w:noHBand="0" w:noVBand="1"/>
      </w:tblPr>
      <w:tblGrid>
        <w:gridCol w:w="7992"/>
        <w:gridCol w:w="472"/>
        <w:gridCol w:w="535"/>
        <w:gridCol w:w="1207"/>
      </w:tblGrid>
      <w:tr w:rsidR="00FC0453" w:rsidRPr="007F78CE" w14:paraId="14461985" w14:textId="77777777" w:rsidTr="00FC0453">
        <w:trPr>
          <w:trHeight w:val="288"/>
          <w:tblHeader/>
          <w:jc w:val="center"/>
        </w:trPr>
        <w:tc>
          <w:tcPr>
            <w:tcW w:w="0" w:type="auto"/>
            <w:vMerge w:val="restart"/>
            <w:tcBorders>
              <w:top w:val="single" w:sz="8" w:space="0" w:color="auto"/>
              <w:left w:val="single" w:sz="8" w:space="0" w:color="auto"/>
              <w:right w:val="single" w:sz="8" w:space="0" w:color="auto"/>
            </w:tcBorders>
            <w:shd w:val="clear" w:color="auto" w:fill="auto"/>
            <w:vAlign w:val="center"/>
            <w:hideMark/>
          </w:tcPr>
          <w:p w14:paraId="719865E3" w14:textId="77777777" w:rsidR="00FC0453" w:rsidRPr="007F78CE" w:rsidRDefault="00FC0453" w:rsidP="00FC0453">
            <w:pPr>
              <w:jc w:val="center"/>
              <w:rPr>
                <w:rFonts w:eastAsia="Times New Roman" w:cs="Calibri"/>
                <w:b/>
                <w:bCs/>
                <w:color w:val="000000"/>
                <w:sz w:val="18"/>
                <w:szCs w:val="18"/>
              </w:rPr>
            </w:pPr>
            <w:r w:rsidRPr="007F78CE">
              <w:rPr>
                <w:rFonts w:eastAsia="Times New Roman" w:cs="Calibri"/>
                <w:b/>
                <w:bCs/>
                <w:color w:val="000000"/>
                <w:sz w:val="18"/>
                <w:szCs w:val="18"/>
              </w:rPr>
              <w:t>Éléments de la liste de vérification</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7E89BB82" w14:textId="77777777" w:rsidR="00FC0453" w:rsidRPr="00F91FA3" w:rsidRDefault="00FC0453" w:rsidP="00FC0453">
            <w:pPr>
              <w:jc w:val="center"/>
              <w:rPr>
                <w:rFonts w:eastAsia="Times New Roman" w:cs="Calibri"/>
                <w:b/>
                <w:bCs/>
                <w:color w:val="000000"/>
                <w:sz w:val="18"/>
                <w:szCs w:val="18"/>
              </w:rPr>
            </w:pPr>
            <w:r w:rsidRPr="007F78CE">
              <w:rPr>
                <w:rFonts w:eastAsia="Times New Roman" w:cs="Calibri"/>
                <w:b/>
                <w:bCs/>
                <w:color w:val="000000"/>
                <w:sz w:val="18"/>
                <w:szCs w:val="18"/>
              </w:rPr>
              <w:t>Réponses</w:t>
            </w:r>
          </w:p>
        </w:tc>
        <w:tc>
          <w:tcPr>
            <w:tcW w:w="0" w:type="auto"/>
            <w:vMerge w:val="restart"/>
            <w:tcBorders>
              <w:top w:val="single" w:sz="8" w:space="0" w:color="auto"/>
              <w:left w:val="nil"/>
              <w:right w:val="single" w:sz="8" w:space="0" w:color="auto"/>
            </w:tcBorders>
            <w:shd w:val="clear" w:color="auto" w:fill="auto"/>
            <w:vAlign w:val="center"/>
            <w:hideMark/>
          </w:tcPr>
          <w:p w14:paraId="04EB68C9" w14:textId="77777777" w:rsidR="00FC0453" w:rsidRPr="00F91FA3" w:rsidRDefault="00FC0453" w:rsidP="00FC0453">
            <w:pPr>
              <w:jc w:val="center"/>
              <w:rPr>
                <w:rFonts w:eastAsia="Times New Roman" w:cs="Calibri"/>
                <w:b/>
                <w:bCs/>
                <w:color w:val="000000"/>
                <w:sz w:val="18"/>
                <w:szCs w:val="18"/>
              </w:rPr>
            </w:pPr>
            <w:r w:rsidRPr="007F78CE">
              <w:rPr>
                <w:rFonts w:eastAsia="Times New Roman" w:cs="Calibri"/>
                <w:b/>
                <w:bCs/>
                <w:color w:val="000000"/>
                <w:sz w:val="18"/>
                <w:szCs w:val="18"/>
              </w:rPr>
              <w:t>Observations</w:t>
            </w:r>
          </w:p>
          <w:p w14:paraId="561F928D" w14:textId="77777777" w:rsidR="00FC0453" w:rsidRPr="00F91FA3" w:rsidRDefault="00FC0453" w:rsidP="00FC0453">
            <w:pPr>
              <w:jc w:val="center"/>
              <w:rPr>
                <w:rFonts w:eastAsia="Times New Roman" w:cs="Calibri"/>
                <w:b/>
                <w:bCs/>
                <w:color w:val="000000"/>
                <w:sz w:val="18"/>
                <w:szCs w:val="18"/>
              </w:rPr>
            </w:pPr>
          </w:p>
        </w:tc>
      </w:tr>
      <w:tr w:rsidR="00FC0453" w:rsidRPr="007F78CE" w14:paraId="43D3BE47" w14:textId="77777777" w:rsidTr="00FC0453">
        <w:trPr>
          <w:cantSplit/>
          <w:trHeight w:val="320"/>
          <w:tblHeader/>
          <w:jc w:val="center"/>
        </w:trPr>
        <w:tc>
          <w:tcPr>
            <w:tcW w:w="0" w:type="auto"/>
            <w:vMerge/>
            <w:tcBorders>
              <w:left w:val="single" w:sz="8" w:space="0" w:color="auto"/>
              <w:bottom w:val="single" w:sz="8" w:space="0" w:color="auto"/>
              <w:right w:val="single" w:sz="8" w:space="0" w:color="auto"/>
            </w:tcBorders>
            <w:shd w:val="clear" w:color="000000" w:fill="D9D9D9"/>
            <w:vAlign w:val="center"/>
            <w:hideMark/>
          </w:tcPr>
          <w:p w14:paraId="604DC52D" w14:textId="77777777" w:rsidR="00FC0453" w:rsidRPr="00F91FA3" w:rsidRDefault="00FC0453" w:rsidP="00FC0453">
            <w:pPr>
              <w:rPr>
                <w:rFonts w:eastAsia="Times New Roman" w:cs="Calibri"/>
                <w:color w:val="000000"/>
                <w:sz w:val="16"/>
                <w:szCs w:val="16"/>
              </w:rPr>
            </w:pPr>
          </w:p>
        </w:tc>
        <w:tc>
          <w:tcPr>
            <w:tcW w:w="0" w:type="auto"/>
            <w:tcBorders>
              <w:top w:val="nil"/>
              <w:left w:val="nil"/>
              <w:bottom w:val="single" w:sz="8" w:space="0" w:color="auto"/>
              <w:right w:val="single" w:sz="8" w:space="0" w:color="auto"/>
            </w:tcBorders>
            <w:shd w:val="clear" w:color="000000" w:fill="D9D9D9"/>
            <w:vAlign w:val="center"/>
            <w:hideMark/>
          </w:tcPr>
          <w:p w14:paraId="22924297" w14:textId="77777777" w:rsidR="00FC0453" w:rsidRPr="00F91FA3" w:rsidRDefault="00FC0453" w:rsidP="00FC0453">
            <w:pPr>
              <w:jc w:val="center"/>
              <w:rPr>
                <w:rFonts w:eastAsia="Times New Roman" w:cs="Calibri"/>
                <w:b/>
                <w:bCs/>
                <w:color w:val="000000"/>
                <w:sz w:val="16"/>
                <w:szCs w:val="16"/>
              </w:rPr>
            </w:pPr>
            <w:r w:rsidRPr="007F78CE">
              <w:rPr>
                <w:rFonts w:eastAsia="Times New Roman" w:cs="Calibri"/>
                <w:b/>
                <w:bCs/>
                <w:color w:val="000000"/>
                <w:sz w:val="16"/>
                <w:szCs w:val="16"/>
              </w:rPr>
              <w:t>OUI</w:t>
            </w:r>
          </w:p>
        </w:tc>
        <w:tc>
          <w:tcPr>
            <w:tcW w:w="0" w:type="auto"/>
            <w:tcBorders>
              <w:top w:val="single" w:sz="8" w:space="0" w:color="auto"/>
              <w:left w:val="nil"/>
              <w:bottom w:val="single" w:sz="8" w:space="0" w:color="auto"/>
              <w:right w:val="single" w:sz="8" w:space="0" w:color="000000"/>
            </w:tcBorders>
            <w:shd w:val="clear" w:color="000000" w:fill="D9D9D9"/>
            <w:vAlign w:val="center"/>
            <w:hideMark/>
          </w:tcPr>
          <w:p w14:paraId="60115C44" w14:textId="77777777" w:rsidR="00FC0453" w:rsidRPr="00F91FA3" w:rsidRDefault="00FC0453" w:rsidP="00FC0453">
            <w:pPr>
              <w:jc w:val="center"/>
              <w:rPr>
                <w:rFonts w:eastAsia="Times New Roman" w:cs="Calibri"/>
                <w:b/>
                <w:bCs/>
                <w:color w:val="000000"/>
                <w:sz w:val="16"/>
                <w:szCs w:val="16"/>
              </w:rPr>
            </w:pPr>
            <w:r w:rsidRPr="007F78CE">
              <w:rPr>
                <w:rFonts w:eastAsia="Times New Roman" w:cs="Calibri"/>
                <w:b/>
                <w:bCs/>
                <w:color w:val="000000"/>
                <w:sz w:val="16"/>
                <w:szCs w:val="16"/>
              </w:rPr>
              <w:t>NON</w:t>
            </w:r>
          </w:p>
        </w:tc>
        <w:tc>
          <w:tcPr>
            <w:tcW w:w="0" w:type="auto"/>
            <w:vMerge/>
            <w:tcBorders>
              <w:left w:val="nil"/>
              <w:bottom w:val="single" w:sz="8" w:space="0" w:color="auto"/>
              <w:right w:val="single" w:sz="8" w:space="0" w:color="auto"/>
            </w:tcBorders>
            <w:shd w:val="clear" w:color="000000" w:fill="D9D9D9"/>
            <w:textDirection w:val="tbRl"/>
            <w:vAlign w:val="center"/>
            <w:hideMark/>
          </w:tcPr>
          <w:p w14:paraId="150D8C80" w14:textId="77777777" w:rsidR="00FC0453" w:rsidRPr="00F91FA3" w:rsidRDefault="00FC0453" w:rsidP="00FC0453">
            <w:pPr>
              <w:jc w:val="center"/>
              <w:rPr>
                <w:rFonts w:eastAsia="Times New Roman" w:cs="Calibri"/>
                <w:b/>
                <w:bCs/>
                <w:color w:val="000000"/>
                <w:sz w:val="16"/>
                <w:szCs w:val="16"/>
              </w:rPr>
            </w:pPr>
          </w:p>
        </w:tc>
      </w:tr>
      <w:tr w:rsidR="00FC0453" w:rsidRPr="007F78CE" w14:paraId="42F5EFBA" w14:textId="77777777" w:rsidTr="00FC0453">
        <w:trPr>
          <w:trHeight w:val="288"/>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14:paraId="2D3770FA" w14:textId="77777777" w:rsidR="00FC0453" w:rsidRPr="007F78CE" w:rsidRDefault="00FC0453" w:rsidP="00FC0453">
            <w:pPr>
              <w:spacing w:before="60" w:after="60"/>
              <w:rPr>
                <w:rFonts w:eastAsia="Times New Roman" w:cs="Calibri"/>
                <w:color w:val="000000"/>
                <w:sz w:val="20"/>
                <w:szCs w:val="20"/>
              </w:rPr>
            </w:pPr>
            <w:r w:rsidRPr="007F78CE">
              <w:rPr>
                <w:rFonts w:eastAsia="Times New Roman" w:cs="Calibri"/>
                <w:color w:val="000000"/>
                <w:sz w:val="20"/>
                <w:szCs w:val="20"/>
              </w:rPr>
              <w:t xml:space="preserve">1.     </w:t>
            </w:r>
            <w:r w:rsidRPr="007F78CE">
              <w:rPr>
                <w:rFonts w:eastAsia="Times New Roman" w:cs="Calibri"/>
                <w:b/>
                <w:bCs/>
                <w:color w:val="000000"/>
                <w:sz w:val="20"/>
                <w:szCs w:val="20"/>
              </w:rPr>
              <w:t>Le choix du site proposé est établi sur des bases légales et sociales claires et partagées</w:t>
            </w:r>
          </w:p>
        </w:tc>
      </w:tr>
      <w:tr w:rsidR="00FC0453" w:rsidRPr="00806168" w14:paraId="6376E65E"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FFA824B" w14:textId="77777777" w:rsidR="00FC0453" w:rsidRPr="00806168" w:rsidRDefault="00FC0453" w:rsidP="0044500E">
            <w:pPr>
              <w:pStyle w:val="Paragraphedeliste"/>
              <w:numPr>
                <w:ilvl w:val="0"/>
                <w:numId w:val="133"/>
              </w:numPr>
              <w:spacing w:after="0" w:line="240" w:lineRule="auto"/>
              <w:ind w:left="589"/>
              <w:jc w:val="both"/>
              <w:rPr>
                <w:rFonts w:eastAsia="Times New Roman" w:cs="Calibri"/>
                <w:sz w:val="20"/>
                <w:szCs w:val="16"/>
              </w:rPr>
            </w:pPr>
            <w:r w:rsidRPr="00806168">
              <w:rPr>
                <w:rFonts w:eastAsia="Times New Roman" w:cs="Calibri"/>
                <w:sz w:val="20"/>
                <w:szCs w:val="16"/>
              </w:rPr>
              <w:t>Le site fait-il partie d’un zonage ou d’une aire protégée ?</w:t>
            </w:r>
          </w:p>
        </w:tc>
        <w:tc>
          <w:tcPr>
            <w:tcW w:w="0" w:type="auto"/>
            <w:tcBorders>
              <w:top w:val="nil"/>
              <w:left w:val="nil"/>
              <w:bottom w:val="single" w:sz="8" w:space="0" w:color="auto"/>
              <w:right w:val="single" w:sz="8" w:space="0" w:color="auto"/>
            </w:tcBorders>
            <w:shd w:val="clear" w:color="auto" w:fill="auto"/>
            <w:vAlign w:val="center"/>
            <w:hideMark/>
          </w:tcPr>
          <w:p w14:paraId="78655B46"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636B7926"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D139639"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3454B4B7"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3707FEF" w14:textId="77777777" w:rsidR="00FC0453" w:rsidRPr="00806168" w:rsidRDefault="00FC0453" w:rsidP="0044500E">
            <w:pPr>
              <w:pStyle w:val="Paragraphedeliste"/>
              <w:numPr>
                <w:ilvl w:val="0"/>
                <w:numId w:val="133"/>
              </w:numPr>
              <w:spacing w:after="0" w:line="240" w:lineRule="auto"/>
              <w:ind w:left="589"/>
              <w:jc w:val="both"/>
              <w:rPr>
                <w:rFonts w:eastAsia="Times New Roman" w:cs="Calibri"/>
                <w:sz w:val="20"/>
                <w:szCs w:val="16"/>
              </w:rPr>
            </w:pPr>
            <w:r w:rsidRPr="00806168">
              <w:rPr>
                <w:rFonts w:eastAsia="Times New Roman" w:cs="Calibri"/>
                <w:sz w:val="20"/>
                <w:szCs w:val="16"/>
              </w:rPr>
              <w:t>Les cours d’eau et les points d’abreuvement sont-ils bien identifiés ?</w:t>
            </w:r>
          </w:p>
        </w:tc>
        <w:tc>
          <w:tcPr>
            <w:tcW w:w="0" w:type="auto"/>
            <w:tcBorders>
              <w:top w:val="nil"/>
              <w:left w:val="nil"/>
              <w:bottom w:val="single" w:sz="8" w:space="0" w:color="auto"/>
              <w:right w:val="single" w:sz="8" w:space="0" w:color="auto"/>
            </w:tcBorders>
            <w:shd w:val="clear" w:color="auto" w:fill="auto"/>
            <w:vAlign w:val="center"/>
            <w:hideMark/>
          </w:tcPr>
          <w:p w14:paraId="6DE8E138"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1A1502AE"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33147EE4"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62E095B9"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0A599B0" w14:textId="77777777" w:rsidR="00FC0453" w:rsidRPr="00806168" w:rsidRDefault="00FC0453" w:rsidP="0044500E">
            <w:pPr>
              <w:pStyle w:val="Paragraphedeliste"/>
              <w:numPr>
                <w:ilvl w:val="0"/>
                <w:numId w:val="133"/>
              </w:numPr>
              <w:spacing w:after="0" w:line="240" w:lineRule="auto"/>
              <w:ind w:left="589"/>
              <w:jc w:val="both"/>
              <w:rPr>
                <w:rFonts w:eastAsia="Times New Roman" w:cs="Calibri"/>
                <w:sz w:val="20"/>
                <w:szCs w:val="16"/>
              </w:rPr>
            </w:pPr>
            <w:r w:rsidRPr="00806168">
              <w:rPr>
                <w:rFonts w:eastAsia="Times New Roman" w:cs="Calibri"/>
                <w:sz w:val="20"/>
                <w:szCs w:val="16"/>
              </w:rPr>
              <w:t>Les puits, mares et forages pastoraux sont-ils bien identifiés ?</w:t>
            </w:r>
          </w:p>
        </w:tc>
        <w:tc>
          <w:tcPr>
            <w:tcW w:w="0" w:type="auto"/>
            <w:tcBorders>
              <w:top w:val="nil"/>
              <w:left w:val="nil"/>
              <w:bottom w:val="single" w:sz="8" w:space="0" w:color="auto"/>
              <w:right w:val="single" w:sz="8" w:space="0" w:color="auto"/>
            </w:tcBorders>
            <w:shd w:val="clear" w:color="auto" w:fill="auto"/>
            <w:vAlign w:val="center"/>
            <w:hideMark/>
          </w:tcPr>
          <w:p w14:paraId="5C05BA2B"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62C3FD87"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13E21231"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048DDD2D"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CDCD5B0" w14:textId="77777777" w:rsidR="00FC0453" w:rsidRPr="00806168" w:rsidRDefault="00FC0453" w:rsidP="0044500E">
            <w:pPr>
              <w:pStyle w:val="Paragraphedeliste"/>
              <w:numPr>
                <w:ilvl w:val="0"/>
                <w:numId w:val="133"/>
              </w:numPr>
              <w:spacing w:after="0" w:line="240" w:lineRule="auto"/>
              <w:ind w:left="589"/>
              <w:jc w:val="both"/>
              <w:rPr>
                <w:rFonts w:eastAsia="Times New Roman" w:cs="Calibri"/>
                <w:sz w:val="20"/>
                <w:szCs w:val="16"/>
              </w:rPr>
            </w:pPr>
            <w:r w:rsidRPr="00806168">
              <w:rPr>
                <w:rFonts w:eastAsia="Times New Roman" w:cs="Calibri"/>
                <w:sz w:val="20"/>
                <w:szCs w:val="16"/>
              </w:rPr>
              <w:t>Le projet peut-il entraîner des utilisations incompatibles avec le milieu ?</w:t>
            </w:r>
          </w:p>
        </w:tc>
        <w:tc>
          <w:tcPr>
            <w:tcW w:w="0" w:type="auto"/>
            <w:tcBorders>
              <w:top w:val="nil"/>
              <w:left w:val="nil"/>
              <w:bottom w:val="single" w:sz="8" w:space="0" w:color="auto"/>
              <w:right w:val="single" w:sz="8" w:space="0" w:color="auto"/>
            </w:tcBorders>
            <w:shd w:val="clear" w:color="auto" w:fill="auto"/>
            <w:vAlign w:val="center"/>
            <w:hideMark/>
          </w:tcPr>
          <w:p w14:paraId="1EFEA7F7"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2A7E7F35"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51E2CAE0"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66CEFFFE"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6ACD1B" w14:textId="77777777" w:rsidR="00FC0453" w:rsidRPr="00806168" w:rsidRDefault="00FC0453" w:rsidP="0044500E">
            <w:pPr>
              <w:pStyle w:val="Paragraphedeliste"/>
              <w:numPr>
                <w:ilvl w:val="0"/>
                <w:numId w:val="133"/>
              </w:numPr>
              <w:spacing w:after="0" w:line="240" w:lineRule="auto"/>
              <w:ind w:left="589"/>
              <w:jc w:val="both"/>
              <w:rPr>
                <w:rFonts w:eastAsia="Times New Roman" w:cs="Calibri"/>
                <w:sz w:val="20"/>
                <w:szCs w:val="16"/>
              </w:rPr>
            </w:pPr>
            <w:r w:rsidRPr="00806168">
              <w:rPr>
                <w:rFonts w:eastAsia="Times New Roman" w:cs="Calibri"/>
                <w:sz w:val="20"/>
                <w:szCs w:val="16"/>
              </w:rPr>
              <w:t>Le site se situe-t-elle dans une zone de biodiversité ?</w:t>
            </w:r>
          </w:p>
        </w:tc>
        <w:tc>
          <w:tcPr>
            <w:tcW w:w="0" w:type="auto"/>
            <w:tcBorders>
              <w:top w:val="nil"/>
              <w:left w:val="nil"/>
              <w:bottom w:val="single" w:sz="8" w:space="0" w:color="auto"/>
              <w:right w:val="single" w:sz="8" w:space="0" w:color="auto"/>
            </w:tcBorders>
            <w:shd w:val="clear" w:color="auto" w:fill="auto"/>
            <w:vAlign w:val="center"/>
            <w:hideMark/>
          </w:tcPr>
          <w:p w14:paraId="094B62C6"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2C18F0DD"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53DD2B32"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1BF8B9B5"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E3FA384" w14:textId="77777777" w:rsidR="00FC0453" w:rsidRPr="00806168" w:rsidRDefault="00FC0453" w:rsidP="0044500E">
            <w:pPr>
              <w:pStyle w:val="Paragraphedeliste"/>
              <w:numPr>
                <w:ilvl w:val="0"/>
                <w:numId w:val="133"/>
              </w:numPr>
              <w:spacing w:after="0" w:line="240" w:lineRule="auto"/>
              <w:ind w:left="589"/>
              <w:jc w:val="both"/>
              <w:rPr>
                <w:rFonts w:eastAsia="Times New Roman" w:cs="Calibri"/>
                <w:sz w:val="20"/>
                <w:szCs w:val="16"/>
              </w:rPr>
            </w:pPr>
            <w:r w:rsidRPr="00806168">
              <w:rPr>
                <w:rFonts w:eastAsia="Times New Roman" w:cs="Calibri"/>
                <w:sz w:val="20"/>
                <w:szCs w:val="16"/>
              </w:rPr>
              <w:t>Les aires classées et les habitats naturels sont-elles bien délimitées ?</w:t>
            </w:r>
          </w:p>
        </w:tc>
        <w:tc>
          <w:tcPr>
            <w:tcW w:w="0" w:type="auto"/>
            <w:tcBorders>
              <w:top w:val="nil"/>
              <w:left w:val="nil"/>
              <w:bottom w:val="single" w:sz="8" w:space="0" w:color="auto"/>
              <w:right w:val="single" w:sz="8" w:space="0" w:color="auto"/>
            </w:tcBorders>
            <w:shd w:val="clear" w:color="auto" w:fill="auto"/>
            <w:vAlign w:val="center"/>
            <w:hideMark/>
          </w:tcPr>
          <w:p w14:paraId="5A70DC8A"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36C96EF4"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68B251CB"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3BA925DB"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FF909E1" w14:textId="77777777" w:rsidR="00FC0453" w:rsidRPr="00806168" w:rsidRDefault="00FC0453" w:rsidP="0044500E">
            <w:pPr>
              <w:pStyle w:val="Paragraphedeliste"/>
              <w:numPr>
                <w:ilvl w:val="0"/>
                <w:numId w:val="133"/>
              </w:numPr>
              <w:spacing w:after="0" w:line="240" w:lineRule="auto"/>
              <w:ind w:left="589"/>
              <w:jc w:val="both"/>
              <w:rPr>
                <w:rFonts w:eastAsia="Times New Roman" w:cs="Calibri"/>
                <w:sz w:val="20"/>
                <w:szCs w:val="16"/>
              </w:rPr>
            </w:pPr>
            <w:r w:rsidRPr="00806168">
              <w:rPr>
                <w:rFonts w:eastAsia="Times New Roman" w:cs="Calibri"/>
                <w:sz w:val="20"/>
                <w:szCs w:val="16"/>
              </w:rPr>
              <w:t>Les zones amodiées et les zones d’intérêt cynégétiques ont-elles bien délimitées ?</w:t>
            </w:r>
          </w:p>
        </w:tc>
        <w:tc>
          <w:tcPr>
            <w:tcW w:w="0" w:type="auto"/>
            <w:tcBorders>
              <w:top w:val="nil"/>
              <w:left w:val="nil"/>
              <w:bottom w:val="single" w:sz="8" w:space="0" w:color="auto"/>
              <w:right w:val="single" w:sz="8" w:space="0" w:color="auto"/>
            </w:tcBorders>
            <w:shd w:val="clear" w:color="auto" w:fill="auto"/>
            <w:vAlign w:val="center"/>
            <w:hideMark/>
          </w:tcPr>
          <w:p w14:paraId="7FFCCE42"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2081ABCB"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9A8614A"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315BB419"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31E1175" w14:textId="77777777" w:rsidR="00FC0453" w:rsidRPr="00806168" w:rsidRDefault="00FC0453" w:rsidP="0044500E">
            <w:pPr>
              <w:pStyle w:val="Paragraphedeliste"/>
              <w:numPr>
                <w:ilvl w:val="0"/>
                <w:numId w:val="133"/>
              </w:numPr>
              <w:spacing w:after="0" w:line="240" w:lineRule="auto"/>
              <w:ind w:left="589"/>
              <w:jc w:val="both"/>
              <w:rPr>
                <w:rFonts w:eastAsia="Times New Roman" w:cs="Calibri"/>
                <w:sz w:val="20"/>
                <w:szCs w:val="16"/>
              </w:rPr>
            </w:pPr>
            <w:r w:rsidRPr="00806168">
              <w:rPr>
                <w:rFonts w:eastAsia="Times New Roman" w:cs="Calibri"/>
                <w:sz w:val="20"/>
                <w:szCs w:val="16"/>
              </w:rPr>
              <w:t>Le choix a-t-il été effectué par une planification publique (Etat, collectivité locale, projet, etc.) </w:t>
            </w:r>
          </w:p>
        </w:tc>
        <w:tc>
          <w:tcPr>
            <w:tcW w:w="0" w:type="auto"/>
            <w:tcBorders>
              <w:top w:val="nil"/>
              <w:left w:val="nil"/>
              <w:bottom w:val="single" w:sz="8" w:space="0" w:color="auto"/>
              <w:right w:val="single" w:sz="8" w:space="0" w:color="auto"/>
            </w:tcBorders>
            <w:shd w:val="clear" w:color="auto" w:fill="auto"/>
            <w:vAlign w:val="center"/>
            <w:hideMark/>
          </w:tcPr>
          <w:p w14:paraId="1390999C"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2D61C2ED"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1A7FBBFE"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3C362513"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18FF19" w14:textId="77777777" w:rsidR="00FC0453" w:rsidRPr="00806168" w:rsidRDefault="00FC0453" w:rsidP="0044500E">
            <w:pPr>
              <w:pStyle w:val="Paragraphedeliste"/>
              <w:numPr>
                <w:ilvl w:val="0"/>
                <w:numId w:val="133"/>
              </w:numPr>
              <w:spacing w:after="0" w:line="240" w:lineRule="auto"/>
              <w:ind w:left="589"/>
              <w:jc w:val="both"/>
              <w:rPr>
                <w:rFonts w:eastAsia="Times New Roman" w:cs="Calibri"/>
                <w:sz w:val="20"/>
                <w:szCs w:val="16"/>
              </w:rPr>
            </w:pPr>
            <w:r w:rsidRPr="00806168">
              <w:rPr>
                <w:rFonts w:eastAsia="Times New Roman" w:cs="Calibri"/>
                <w:sz w:val="20"/>
                <w:szCs w:val="16"/>
              </w:rPr>
              <w:t>Le choix du site a-t-il été effectué à partir d’une demande associative ou privée ?</w:t>
            </w:r>
          </w:p>
        </w:tc>
        <w:tc>
          <w:tcPr>
            <w:tcW w:w="0" w:type="auto"/>
            <w:tcBorders>
              <w:top w:val="nil"/>
              <w:left w:val="nil"/>
              <w:bottom w:val="single" w:sz="8" w:space="0" w:color="auto"/>
              <w:right w:val="single" w:sz="8" w:space="0" w:color="auto"/>
            </w:tcBorders>
            <w:shd w:val="clear" w:color="auto" w:fill="auto"/>
            <w:vAlign w:val="center"/>
            <w:hideMark/>
          </w:tcPr>
          <w:p w14:paraId="27FF17A8"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003B5D01"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006BA218"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02F8CE47"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4390E27" w14:textId="77777777" w:rsidR="00FC0453" w:rsidRPr="00806168" w:rsidRDefault="00FC0453" w:rsidP="0044500E">
            <w:pPr>
              <w:pStyle w:val="Paragraphedeliste"/>
              <w:numPr>
                <w:ilvl w:val="0"/>
                <w:numId w:val="133"/>
              </w:numPr>
              <w:spacing w:after="0" w:line="240" w:lineRule="auto"/>
              <w:ind w:left="589"/>
              <w:jc w:val="both"/>
              <w:rPr>
                <w:rFonts w:eastAsia="Times New Roman" w:cs="Calibri"/>
                <w:sz w:val="20"/>
                <w:szCs w:val="16"/>
              </w:rPr>
            </w:pPr>
            <w:r w:rsidRPr="00806168">
              <w:rPr>
                <w:rFonts w:eastAsia="Times New Roman" w:cs="Calibri"/>
                <w:sz w:val="20"/>
                <w:szCs w:val="16"/>
              </w:rPr>
              <w:t>Le site a-t-il été validé techniquement par les autorités compétentes ?</w:t>
            </w:r>
          </w:p>
        </w:tc>
        <w:tc>
          <w:tcPr>
            <w:tcW w:w="0" w:type="auto"/>
            <w:tcBorders>
              <w:top w:val="nil"/>
              <w:left w:val="nil"/>
              <w:bottom w:val="single" w:sz="8" w:space="0" w:color="auto"/>
              <w:right w:val="single" w:sz="8" w:space="0" w:color="auto"/>
            </w:tcBorders>
            <w:shd w:val="clear" w:color="auto" w:fill="auto"/>
            <w:vAlign w:val="center"/>
            <w:hideMark/>
          </w:tcPr>
          <w:p w14:paraId="1BE0A877"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14AB9CD9"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16ACEC7A"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1387513C"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E0E37FC" w14:textId="77777777" w:rsidR="00FC0453" w:rsidRPr="00806168" w:rsidRDefault="00FC0453" w:rsidP="0044500E">
            <w:pPr>
              <w:pStyle w:val="Paragraphedeliste"/>
              <w:numPr>
                <w:ilvl w:val="0"/>
                <w:numId w:val="133"/>
              </w:numPr>
              <w:spacing w:after="0" w:line="240" w:lineRule="auto"/>
              <w:ind w:left="589"/>
              <w:jc w:val="both"/>
              <w:rPr>
                <w:rFonts w:eastAsia="Times New Roman" w:cs="Calibri"/>
                <w:sz w:val="20"/>
                <w:szCs w:val="16"/>
              </w:rPr>
            </w:pPr>
            <w:r w:rsidRPr="00806168">
              <w:rPr>
                <w:rFonts w:eastAsia="Times New Roman" w:cs="Calibri"/>
                <w:sz w:val="20"/>
                <w:szCs w:val="16"/>
              </w:rPr>
              <w:t>Est-il l’objet d’un consensus bénéficiaires/non bénéficiaires ?</w:t>
            </w:r>
          </w:p>
        </w:tc>
        <w:tc>
          <w:tcPr>
            <w:tcW w:w="0" w:type="auto"/>
            <w:tcBorders>
              <w:top w:val="nil"/>
              <w:left w:val="nil"/>
              <w:bottom w:val="single" w:sz="8" w:space="0" w:color="auto"/>
              <w:right w:val="single" w:sz="8" w:space="0" w:color="auto"/>
            </w:tcBorders>
            <w:shd w:val="clear" w:color="auto" w:fill="auto"/>
            <w:vAlign w:val="center"/>
            <w:hideMark/>
          </w:tcPr>
          <w:p w14:paraId="22868F40"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1F32466B"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66C44B3D"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1435FEBF"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94417C1" w14:textId="77777777" w:rsidR="00FC0453" w:rsidRPr="00806168" w:rsidRDefault="00FC0453" w:rsidP="0044500E">
            <w:pPr>
              <w:pStyle w:val="Paragraphedeliste"/>
              <w:numPr>
                <w:ilvl w:val="0"/>
                <w:numId w:val="133"/>
              </w:numPr>
              <w:spacing w:after="0" w:line="240" w:lineRule="auto"/>
              <w:ind w:left="589"/>
              <w:jc w:val="both"/>
              <w:rPr>
                <w:rFonts w:eastAsia="Times New Roman" w:cs="Calibri"/>
                <w:sz w:val="20"/>
                <w:szCs w:val="16"/>
              </w:rPr>
            </w:pPr>
            <w:r w:rsidRPr="00806168">
              <w:rPr>
                <w:rFonts w:eastAsia="Times New Roman" w:cs="Calibri"/>
                <w:sz w:val="20"/>
                <w:szCs w:val="16"/>
              </w:rPr>
              <w:t>La validation ou consensus prennent-ils en compte les aspects genre/couches vulnérables ?</w:t>
            </w:r>
          </w:p>
        </w:tc>
        <w:tc>
          <w:tcPr>
            <w:tcW w:w="0" w:type="auto"/>
            <w:tcBorders>
              <w:top w:val="nil"/>
              <w:left w:val="nil"/>
              <w:bottom w:val="single" w:sz="8" w:space="0" w:color="auto"/>
              <w:right w:val="single" w:sz="8" w:space="0" w:color="auto"/>
            </w:tcBorders>
            <w:shd w:val="clear" w:color="auto" w:fill="auto"/>
            <w:vAlign w:val="center"/>
            <w:hideMark/>
          </w:tcPr>
          <w:p w14:paraId="5450205A"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20F60359"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18EB4154"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2AB70347"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7AA6F2" w14:textId="77777777" w:rsidR="00FC0453" w:rsidRPr="00806168" w:rsidRDefault="00FC0453" w:rsidP="0044500E">
            <w:pPr>
              <w:pStyle w:val="Paragraphedeliste"/>
              <w:numPr>
                <w:ilvl w:val="0"/>
                <w:numId w:val="133"/>
              </w:numPr>
              <w:spacing w:after="0" w:line="240" w:lineRule="auto"/>
              <w:ind w:left="589"/>
              <w:jc w:val="both"/>
              <w:rPr>
                <w:rFonts w:eastAsia="Times New Roman" w:cs="Calibri"/>
                <w:sz w:val="20"/>
                <w:szCs w:val="16"/>
              </w:rPr>
            </w:pPr>
            <w:r w:rsidRPr="00806168">
              <w:rPr>
                <w:rFonts w:eastAsia="Times New Roman" w:cs="Calibri"/>
                <w:sz w:val="20"/>
                <w:szCs w:val="16"/>
              </w:rPr>
              <w:t>Le contexte du projet est-il considéré comme conflictuel ?</w:t>
            </w:r>
          </w:p>
        </w:tc>
        <w:tc>
          <w:tcPr>
            <w:tcW w:w="0" w:type="auto"/>
            <w:tcBorders>
              <w:top w:val="nil"/>
              <w:left w:val="nil"/>
              <w:bottom w:val="single" w:sz="8" w:space="0" w:color="auto"/>
              <w:right w:val="single" w:sz="8" w:space="0" w:color="auto"/>
            </w:tcBorders>
            <w:shd w:val="clear" w:color="auto" w:fill="auto"/>
            <w:vAlign w:val="center"/>
            <w:hideMark/>
          </w:tcPr>
          <w:p w14:paraId="5A638FA4"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388A7EFD"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343685C7"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2A86B3E3"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A05886B" w14:textId="77777777" w:rsidR="00FC0453" w:rsidRPr="00806168" w:rsidRDefault="00FC0453" w:rsidP="0044500E">
            <w:pPr>
              <w:pStyle w:val="Paragraphedeliste"/>
              <w:numPr>
                <w:ilvl w:val="0"/>
                <w:numId w:val="133"/>
              </w:numPr>
              <w:spacing w:after="0" w:line="240" w:lineRule="auto"/>
              <w:ind w:left="589"/>
              <w:jc w:val="both"/>
              <w:rPr>
                <w:rFonts w:eastAsia="Times New Roman" w:cs="Calibri"/>
                <w:sz w:val="20"/>
                <w:szCs w:val="16"/>
              </w:rPr>
            </w:pPr>
            <w:r w:rsidRPr="00806168">
              <w:rPr>
                <w:rFonts w:eastAsia="Times New Roman" w:cs="Calibri"/>
                <w:sz w:val="20"/>
                <w:szCs w:val="16"/>
              </w:rPr>
              <w:t>Le projet peut-il contribuer à détériorer encore plus ce contexte ?</w:t>
            </w:r>
          </w:p>
        </w:tc>
        <w:tc>
          <w:tcPr>
            <w:tcW w:w="0" w:type="auto"/>
            <w:tcBorders>
              <w:top w:val="nil"/>
              <w:left w:val="nil"/>
              <w:bottom w:val="single" w:sz="8" w:space="0" w:color="auto"/>
              <w:right w:val="single" w:sz="8" w:space="0" w:color="auto"/>
            </w:tcBorders>
            <w:shd w:val="clear" w:color="auto" w:fill="auto"/>
            <w:vAlign w:val="center"/>
            <w:hideMark/>
          </w:tcPr>
          <w:p w14:paraId="514F519A"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6AFA6DE4"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456A1B7"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05012932"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CAFCD1B" w14:textId="77777777" w:rsidR="00FC0453" w:rsidRPr="00806168" w:rsidRDefault="00FC0453" w:rsidP="0044500E">
            <w:pPr>
              <w:pStyle w:val="Paragraphedeliste"/>
              <w:numPr>
                <w:ilvl w:val="0"/>
                <w:numId w:val="133"/>
              </w:numPr>
              <w:spacing w:after="0" w:line="240" w:lineRule="auto"/>
              <w:ind w:left="589"/>
              <w:jc w:val="both"/>
              <w:rPr>
                <w:rFonts w:eastAsia="Times New Roman" w:cs="Calibri"/>
                <w:sz w:val="20"/>
                <w:szCs w:val="16"/>
              </w:rPr>
            </w:pPr>
            <w:r w:rsidRPr="00806168">
              <w:rPr>
                <w:rFonts w:eastAsia="Times New Roman" w:cs="Calibri"/>
                <w:sz w:val="20"/>
                <w:szCs w:val="16"/>
              </w:rPr>
              <w:t>Le projet peut-il contribuer à apaiser au moins en partie ce contexte ?</w:t>
            </w:r>
          </w:p>
        </w:tc>
        <w:tc>
          <w:tcPr>
            <w:tcW w:w="0" w:type="auto"/>
            <w:tcBorders>
              <w:top w:val="nil"/>
              <w:left w:val="nil"/>
              <w:bottom w:val="single" w:sz="8" w:space="0" w:color="auto"/>
              <w:right w:val="single" w:sz="8" w:space="0" w:color="auto"/>
            </w:tcBorders>
            <w:shd w:val="clear" w:color="auto" w:fill="auto"/>
            <w:vAlign w:val="center"/>
            <w:hideMark/>
          </w:tcPr>
          <w:p w14:paraId="4F5C3CC8"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2094926F"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7EC274A0"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44AE9E34"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8961B70" w14:textId="77777777" w:rsidR="00FC0453" w:rsidRPr="00806168" w:rsidRDefault="00FC0453" w:rsidP="0044500E">
            <w:pPr>
              <w:pStyle w:val="Paragraphedeliste"/>
              <w:numPr>
                <w:ilvl w:val="0"/>
                <w:numId w:val="133"/>
              </w:numPr>
              <w:spacing w:after="0" w:line="240" w:lineRule="auto"/>
              <w:ind w:left="589"/>
              <w:jc w:val="both"/>
              <w:rPr>
                <w:rFonts w:eastAsia="Times New Roman" w:cs="Calibri"/>
                <w:sz w:val="20"/>
                <w:szCs w:val="16"/>
              </w:rPr>
            </w:pPr>
            <w:r w:rsidRPr="00806168">
              <w:rPr>
                <w:rFonts w:eastAsia="Times New Roman" w:cs="Calibri"/>
                <w:sz w:val="20"/>
                <w:szCs w:val="16"/>
              </w:rPr>
              <w:t>La résolution du conflit est-elle un préalable à la mise en œuvre du projet ?</w:t>
            </w:r>
          </w:p>
        </w:tc>
        <w:tc>
          <w:tcPr>
            <w:tcW w:w="0" w:type="auto"/>
            <w:tcBorders>
              <w:top w:val="nil"/>
              <w:left w:val="nil"/>
              <w:bottom w:val="single" w:sz="8" w:space="0" w:color="auto"/>
              <w:right w:val="single" w:sz="8" w:space="0" w:color="auto"/>
            </w:tcBorders>
            <w:shd w:val="clear" w:color="auto" w:fill="auto"/>
            <w:vAlign w:val="center"/>
            <w:hideMark/>
          </w:tcPr>
          <w:p w14:paraId="51A75AF9"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1C59E0A5"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3F0BD9C8"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2A1E4B13"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9F814D7" w14:textId="77777777" w:rsidR="00FC0453" w:rsidRPr="00806168" w:rsidRDefault="00FC0453" w:rsidP="0044500E">
            <w:pPr>
              <w:pStyle w:val="Paragraphedeliste"/>
              <w:numPr>
                <w:ilvl w:val="0"/>
                <w:numId w:val="133"/>
              </w:numPr>
              <w:spacing w:after="0" w:line="240" w:lineRule="auto"/>
              <w:ind w:left="589"/>
              <w:jc w:val="both"/>
              <w:rPr>
                <w:rFonts w:eastAsia="Times New Roman" w:cs="Calibri"/>
                <w:sz w:val="20"/>
                <w:szCs w:val="16"/>
              </w:rPr>
            </w:pPr>
            <w:r w:rsidRPr="00806168">
              <w:rPr>
                <w:rFonts w:eastAsia="Times New Roman" w:cs="Calibri"/>
                <w:sz w:val="20"/>
                <w:szCs w:val="16"/>
              </w:rPr>
              <w:t>Le contexte de sécurité publique est-il clairement analysé ?</w:t>
            </w:r>
          </w:p>
        </w:tc>
        <w:tc>
          <w:tcPr>
            <w:tcW w:w="0" w:type="auto"/>
            <w:tcBorders>
              <w:top w:val="nil"/>
              <w:left w:val="nil"/>
              <w:bottom w:val="single" w:sz="8" w:space="0" w:color="auto"/>
              <w:right w:val="single" w:sz="8" w:space="0" w:color="auto"/>
            </w:tcBorders>
            <w:shd w:val="clear" w:color="auto" w:fill="auto"/>
            <w:vAlign w:val="center"/>
            <w:hideMark/>
          </w:tcPr>
          <w:p w14:paraId="3D448826"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0927E004"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59C9B47F"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5BDC1B16"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732D0B2" w14:textId="77777777" w:rsidR="00FC0453" w:rsidRPr="00806168" w:rsidRDefault="00FC0453" w:rsidP="0044500E">
            <w:pPr>
              <w:pStyle w:val="Paragraphedeliste"/>
              <w:numPr>
                <w:ilvl w:val="0"/>
                <w:numId w:val="133"/>
              </w:numPr>
              <w:spacing w:after="0" w:line="240" w:lineRule="auto"/>
              <w:ind w:left="589"/>
              <w:jc w:val="both"/>
              <w:rPr>
                <w:rFonts w:eastAsia="Times New Roman" w:cs="Calibri"/>
                <w:sz w:val="20"/>
                <w:szCs w:val="16"/>
              </w:rPr>
            </w:pPr>
            <w:r w:rsidRPr="00806168">
              <w:rPr>
                <w:rFonts w:eastAsia="Times New Roman" w:cs="Calibri"/>
                <w:sz w:val="20"/>
                <w:szCs w:val="16"/>
              </w:rPr>
              <w:t>L’amélioration de la situation sécuritaire est-elle un préalable au projet ?</w:t>
            </w:r>
          </w:p>
        </w:tc>
        <w:tc>
          <w:tcPr>
            <w:tcW w:w="0" w:type="auto"/>
            <w:tcBorders>
              <w:top w:val="nil"/>
              <w:left w:val="nil"/>
              <w:bottom w:val="single" w:sz="8" w:space="0" w:color="auto"/>
              <w:right w:val="single" w:sz="8" w:space="0" w:color="auto"/>
            </w:tcBorders>
            <w:shd w:val="clear" w:color="auto" w:fill="auto"/>
            <w:vAlign w:val="center"/>
            <w:hideMark/>
          </w:tcPr>
          <w:p w14:paraId="237D30BB"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14C33746"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02C3AE5"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0B8DF0CC"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08082A" w14:textId="77777777" w:rsidR="00FC0453" w:rsidRPr="00806168" w:rsidRDefault="00FC0453" w:rsidP="0044500E">
            <w:pPr>
              <w:pStyle w:val="Paragraphedeliste"/>
              <w:numPr>
                <w:ilvl w:val="0"/>
                <w:numId w:val="133"/>
              </w:numPr>
              <w:spacing w:after="0" w:line="240" w:lineRule="auto"/>
              <w:ind w:left="589"/>
              <w:jc w:val="both"/>
              <w:rPr>
                <w:rFonts w:eastAsia="Times New Roman" w:cs="Calibri"/>
                <w:sz w:val="20"/>
                <w:szCs w:val="16"/>
              </w:rPr>
            </w:pPr>
            <w:r w:rsidRPr="00806168">
              <w:rPr>
                <w:rFonts w:eastAsia="Times New Roman" w:cs="Calibri"/>
                <w:sz w:val="20"/>
                <w:szCs w:val="16"/>
              </w:rPr>
              <w:t>Le projet pourrait-il accroître l’insécurité sur sa zone d’implantation ou d’influence ?</w:t>
            </w:r>
          </w:p>
        </w:tc>
        <w:tc>
          <w:tcPr>
            <w:tcW w:w="0" w:type="auto"/>
            <w:tcBorders>
              <w:top w:val="nil"/>
              <w:left w:val="nil"/>
              <w:bottom w:val="single" w:sz="8" w:space="0" w:color="auto"/>
              <w:right w:val="single" w:sz="8" w:space="0" w:color="auto"/>
            </w:tcBorders>
            <w:shd w:val="clear" w:color="auto" w:fill="auto"/>
            <w:vAlign w:val="center"/>
            <w:hideMark/>
          </w:tcPr>
          <w:p w14:paraId="1D2DFFB0"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08B6C0E8"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66134012"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2ECA6B56"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F5B780E" w14:textId="77777777" w:rsidR="00FC0453" w:rsidRPr="00806168" w:rsidRDefault="00FC0453" w:rsidP="0044500E">
            <w:pPr>
              <w:pStyle w:val="Paragraphedeliste"/>
              <w:numPr>
                <w:ilvl w:val="0"/>
                <w:numId w:val="133"/>
              </w:numPr>
              <w:spacing w:after="0" w:line="240" w:lineRule="auto"/>
              <w:ind w:left="589"/>
              <w:jc w:val="both"/>
              <w:rPr>
                <w:rFonts w:eastAsia="Times New Roman" w:cs="Calibri"/>
                <w:sz w:val="20"/>
                <w:szCs w:val="16"/>
              </w:rPr>
            </w:pPr>
            <w:r w:rsidRPr="00806168">
              <w:rPr>
                <w:rFonts w:eastAsia="Times New Roman" w:cs="Calibri"/>
                <w:sz w:val="20"/>
                <w:szCs w:val="16"/>
              </w:rPr>
              <w:t>Des mesures ont-elles été prises pour limiter les risques ou améliorer la sécurité ?</w:t>
            </w:r>
          </w:p>
        </w:tc>
        <w:tc>
          <w:tcPr>
            <w:tcW w:w="0" w:type="auto"/>
            <w:tcBorders>
              <w:top w:val="nil"/>
              <w:left w:val="nil"/>
              <w:bottom w:val="single" w:sz="8" w:space="0" w:color="auto"/>
              <w:right w:val="single" w:sz="8" w:space="0" w:color="auto"/>
            </w:tcBorders>
            <w:shd w:val="clear" w:color="auto" w:fill="auto"/>
            <w:vAlign w:val="center"/>
            <w:hideMark/>
          </w:tcPr>
          <w:p w14:paraId="5319A8E5"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1A71440B"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064C0E3A"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4EDF2A9B"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8498C9" w14:textId="77777777" w:rsidR="00FC0453" w:rsidRPr="00806168" w:rsidRDefault="00FC0453" w:rsidP="0044500E">
            <w:pPr>
              <w:pStyle w:val="Paragraphedeliste"/>
              <w:numPr>
                <w:ilvl w:val="0"/>
                <w:numId w:val="133"/>
              </w:numPr>
              <w:spacing w:after="0" w:line="240" w:lineRule="auto"/>
              <w:ind w:left="589"/>
              <w:jc w:val="both"/>
              <w:rPr>
                <w:rFonts w:eastAsia="Times New Roman" w:cs="Calibri"/>
                <w:sz w:val="20"/>
                <w:szCs w:val="16"/>
              </w:rPr>
            </w:pPr>
            <w:r w:rsidRPr="00806168">
              <w:rPr>
                <w:rFonts w:eastAsia="Times New Roman" w:cs="Calibri"/>
                <w:sz w:val="20"/>
                <w:szCs w:val="16"/>
              </w:rPr>
              <w:t>La présence d’autres projets similaires a-t-elle été correctement identifiée ?</w:t>
            </w:r>
          </w:p>
        </w:tc>
        <w:tc>
          <w:tcPr>
            <w:tcW w:w="0" w:type="auto"/>
            <w:tcBorders>
              <w:top w:val="nil"/>
              <w:left w:val="nil"/>
              <w:bottom w:val="single" w:sz="8" w:space="0" w:color="auto"/>
              <w:right w:val="single" w:sz="8" w:space="0" w:color="auto"/>
            </w:tcBorders>
            <w:shd w:val="clear" w:color="auto" w:fill="auto"/>
            <w:vAlign w:val="center"/>
            <w:hideMark/>
          </w:tcPr>
          <w:p w14:paraId="47E628FE"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63BF672C"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40E5E717"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016ADE17"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2726090" w14:textId="77777777" w:rsidR="00FC0453" w:rsidRPr="00806168" w:rsidRDefault="00FC0453" w:rsidP="0044500E">
            <w:pPr>
              <w:pStyle w:val="Paragraphedeliste"/>
              <w:numPr>
                <w:ilvl w:val="0"/>
                <w:numId w:val="133"/>
              </w:numPr>
              <w:spacing w:after="0" w:line="240" w:lineRule="auto"/>
              <w:ind w:left="589"/>
              <w:jc w:val="both"/>
              <w:rPr>
                <w:rFonts w:eastAsia="Times New Roman" w:cs="Calibri"/>
                <w:sz w:val="20"/>
                <w:szCs w:val="16"/>
              </w:rPr>
            </w:pPr>
            <w:r w:rsidRPr="00806168">
              <w:rPr>
                <w:rFonts w:eastAsia="Times New Roman" w:cs="Calibri"/>
                <w:sz w:val="20"/>
                <w:szCs w:val="16"/>
              </w:rPr>
              <w:t>Un projet similaire a-t-il été abandonné, non-pérennisé ou a-t-il échoué dans la région ?</w:t>
            </w:r>
          </w:p>
        </w:tc>
        <w:tc>
          <w:tcPr>
            <w:tcW w:w="0" w:type="auto"/>
            <w:tcBorders>
              <w:top w:val="nil"/>
              <w:left w:val="nil"/>
              <w:bottom w:val="single" w:sz="8" w:space="0" w:color="auto"/>
              <w:right w:val="single" w:sz="8" w:space="0" w:color="auto"/>
            </w:tcBorders>
            <w:shd w:val="clear" w:color="auto" w:fill="auto"/>
            <w:vAlign w:val="center"/>
            <w:hideMark/>
          </w:tcPr>
          <w:p w14:paraId="58EF4F80"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6FC9BD82"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9782687"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6E9E3B24"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BD6D20C" w14:textId="77777777" w:rsidR="00FC0453" w:rsidRPr="00806168" w:rsidRDefault="00FC0453" w:rsidP="0044500E">
            <w:pPr>
              <w:pStyle w:val="Paragraphedeliste"/>
              <w:numPr>
                <w:ilvl w:val="0"/>
                <w:numId w:val="133"/>
              </w:numPr>
              <w:spacing w:after="0" w:line="240" w:lineRule="auto"/>
              <w:ind w:left="589"/>
              <w:jc w:val="both"/>
              <w:rPr>
                <w:rFonts w:eastAsia="Times New Roman" w:cs="Calibri"/>
                <w:sz w:val="20"/>
                <w:szCs w:val="16"/>
              </w:rPr>
            </w:pPr>
            <w:r w:rsidRPr="00806168">
              <w:rPr>
                <w:rFonts w:eastAsia="Times New Roman" w:cs="Calibri"/>
                <w:sz w:val="20"/>
                <w:szCs w:val="16"/>
              </w:rPr>
              <w:t>Les causes d’abandon ou d’échec sont-elles connues ?</w:t>
            </w:r>
          </w:p>
        </w:tc>
        <w:tc>
          <w:tcPr>
            <w:tcW w:w="0" w:type="auto"/>
            <w:tcBorders>
              <w:top w:val="nil"/>
              <w:left w:val="nil"/>
              <w:bottom w:val="single" w:sz="8" w:space="0" w:color="auto"/>
              <w:right w:val="single" w:sz="8" w:space="0" w:color="auto"/>
            </w:tcBorders>
            <w:shd w:val="clear" w:color="auto" w:fill="auto"/>
            <w:vAlign w:val="center"/>
            <w:hideMark/>
          </w:tcPr>
          <w:p w14:paraId="7B451151"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23B638A7"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0A82B9F"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4F0F6294"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74FBFC0" w14:textId="77777777" w:rsidR="00FC0453" w:rsidRPr="00806168" w:rsidRDefault="00FC0453" w:rsidP="0044500E">
            <w:pPr>
              <w:pStyle w:val="Paragraphedeliste"/>
              <w:numPr>
                <w:ilvl w:val="0"/>
                <w:numId w:val="133"/>
              </w:numPr>
              <w:spacing w:after="0" w:line="240" w:lineRule="auto"/>
              <w:ind w:left="589"/>
              <w:jc w:val="both"/>
              <w:rPr>
                <w:rFonts w:eastAsia="Times New Roman" w:cs="Calibri"/>
                <w:sz w:val="20"/>
                <w:szCs w:val="16"/>
              </w:rPr>
            </w:pPr>
            <w:r w:rsidRPr="00806168">
              <w:rPr>
                <w:rFonts w:eastAsia="Times New Roman" w:cs="Calibri"/>
                <w:sz w:val="20"/>
                <w:szCs w:val="16"/>
              </w:rPr>
              <w:t>Ces mêmes causes ont-elles été levées pour le nouveau projet ?</w:t>
            </w:r>
          </w:p>
        </w:tc>
        <w:tc>
          <w:tcPr>
            <w:tcW w:w="0" w:type="auto"/>
            <w:tcBorders>
              <w:top w:val="nil"/>
              <w:left w:val="nil"/>
              <w:bottom w:val="single" w:sz="8" w:space="0" w:color="auto"/>
              <w:right w:val="single" w:sz="8" w:space="0" w:color="auto"/>
            </w:tcBorders>
            <w:shd w:val="clear" w:color="auto" w:fill="auto"/>
            <w:vAlign w:val="center"/>
            <w:hideMark/>
          </w:tcPr>
          <w:p w14:paraId="597C0356"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0598EB3D"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56853357"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7A57C75D"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C4596AB" w14:textId="77777777" w:rsidR="00FC0453" w:rsidRPr="00806168" w:rsidRDefault="00FC0453" w:rsidP="0044500E">
            <w:pPr>
              <w:pStyle w:val="Paragraphedeliste"/>
              <w:numPr>
                <w:ilvl w:val="0"/>
                <w:numId w:val="133"/>
              </w:numPr>
              <w:spacing w:after="0" w:line="240" w:lineRule="auto"/>
              <w:ind w:left="589"/>
              <w:jc w:val="both"/>
              <w:rPr>
                <w:rFonts w:eastAsia="Times New Roman" w:cs="Calibri"/>
                <w:sz w:val="20"/>
                <w:szCs w:val="16"/>
              </w:rPr>
            </w:pPr>
            <w:r w:rsidRPr="00806168">
              <w:rPr>
                <w:rFonts w:eastAsia="Times New Roman" w:cs="Calibri"/>
                <w:sz w:val="20"/>
                <w:szCs w:val="16"/>
              </w:rPr>
              <w:t>Un projet similaire a-t-il provoqué des conflits ou de l’insécurité dans la région ?</w:t>
            </w:r>
          </w:p>
        </w:tc>
        <w:tc>
          <w:tcPr>
            <w:tcW w:w="0" w:type="auto"/>
            <w:tcBorders>
              <w:top w:val="nil"/>
              <w:left w:val="nil"/>
              <w:bottom w:val="single" w:sz="8" w:space="0" w:color="auto"/>
              <w:right w:val="single" w:sz="8" w:space="0" w:color="auto"/>
            </w:tcBorders>
            <w:shd w:val="clear" w:color="auto" w:fill="auto"/>
            <w:vAlign w:val="center"/>
            <w:hideMark/>
          </w:tcPr>
          <w:p w14:paraId="34B1DBDD"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264C7A8A"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5F05BE06"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09A0A807"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4883D2A" w14:textId="77777777" w:rsidR="00FC0453" w:rsidRPr="00806168" w:rsidRDefault="00FC0453" w:rsidP="0044500E">
            <w:pPr>
              <w:pStyle w:val="Paragraphedeliste"/>
              <w:numPr>
                <w:ilvl w:val="0"/>
                <w:numId w:val="133"/>
              </w:numPr>
              <w:spacing w:after="0" w:line="240" w:lineRule="auto"/>
              <w:ind w:left="589"/>
              <w:jc w:val="both"/>
              <w:rPr>
                <w:rFonts w:eastAsia="Times New Roman" w:cs="Calibri"/>
                <w:sz w:val="20"/>
                <w:szCs w:val="16"/>
              </w:rPr>
            </w:pPr>
            <w:r w:rsidRPr="00806168">
              <w:rPr>
                <w:rFonts w:eastAsia="Times New Roman" w:cs="Calibri"/>
                <w:sz w:val="20"/>
                <w:szCs w:val="16"/>
              </w:rPr>
              <w:t>Les causes des conflits ou de l’insécurités ont-elles connues ?</w:t>
            </w:r>
          </w:p>
        </w:tc>
        <w:tc>
          <w:tcPr>
            <w:tcW w:w="0" w:type="auto"/>
            <w:tcBorders>
              <w:top w:val="nil"/>
              <w:left w:val="nil"/>
              <w:bottom w:val="single" w:sz="8" w:space="0" w:color="auto"/>
              <w:right w:val="single" w:sz="8" w:space="0" w:color="auto"/>
            </w:tcBorders>
            <w:shd w:val="clear" w:color="auto" w:fill="auto"/>
            <w:vAlign w:val="center"/>
            <w:hideMark/>
          </w:tcPr>
          <w:p w14:paraId="499F29D5"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7A14A558"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0518206D"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79DE10AA"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35AD162" w14:textId="77777777" w:rsidR="00FC0453" w:rsidRPr="00806168" w:rsidRDefault="00FC0453" w:rsidP="0044500E">
            <w:pPr>
              <w:pStyle w:val="Paragraphedeliste"/>
              <w:numPr>
                <w:ilvl w:val="0"/>
                <w:numId w:val="133"/>
              </w:numPr>
              <w:spacing w:after="0" w:line="240" w:lineRule="auto"/>
              <w:ind w:left="589"/>
              <w:jc w:val="both"/>
              <w:rPr>
                <w:rFonts w:eastAsia="Times New Roman" w:cs="Calibri"/>
                <w:sz w:val="20"/>
                <w:szCs w:val="16"/>
              </w:rPr>
            </w:pPr>
            <w:r w:rsidRPr="00806168">
              <w:rPr>
                <w:rFonts w:eastAsia="Times New Roman" w:cs="Calibri"/>
                <w:sz w:val="20"/>
                <w:szCs w:val="16"/>
              </w:rPr>
              <w:t>Ces mêmes causes ont-elles été levées pour le nouveau projet ?</w:t>
            </w:r>
          </w:p>
        </w:tc>
        <w:tc>
          <w:tcPr>
            <w:tcW w:w="0" w:type="auto"/>
            <w:tcBorders>
              <w:top w:val="nil"/>
              <w:left w:val="nil"/>
              <w:bottom w:val="single" w:sz="8" w:space="0" w:color="auto"/>
              <w:right w:val="single" w:sz="8" w:space="0" w:color="auto"/>
            </w:tcBorders>
            <w:shd w:val="clear" w:color="auto" w:fill="auto"/>
            <w:vAlign w:val="center"/>
            <w:hideMark/>
          </w:tcPr>
          <w:p w14:paraId="7E1F8952"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1AE3FE36"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379C14FD"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6CEF8BD2"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7323308" w14:textId="77777777" w:rsidR="00FC0453" w:rsidRPr="00806168" w:rsidRDefault="00FC0453" w:rsidP="0044500E">
            <w:pPr>
              <w:pStyle w:val="Paragraphedeliste"/>
              <w:numPr>
                <w:ilvl w:val="0"/>
                <w:numId w:val="133"/>
              </w:numPr>
              <w:spacing w:after="0" w:line="240" w:lineRule="auto"/>
              <w:ind w:left="589"/>
              <w:jc w:val="both"/>
              <w:rPr>
                <w:rFonts w:eastAsia="Times New Roman" w:cs="Calibri"/>
                <w:sz w:val="20"/>
                <w:szCs w:val="16"/>
              </w:rPr>
            </w:pPr>
            <w:r w:rsidRPr="00806168">
              <w:rPr>
                <w:rFonts w:eastAsia="Times New Roman" w:cs="Calibri"/>
                <w:sz w:val="20"/>
                <w:szCs w:val="16"/>
              </w:rPr>
              <w:t>Le nouveau projet entre-t-il en concurrence avec ceux existants ?</w:t>
            </w:r>
          </w:p>
        </w:tc>
        <w:tc>
          <w:tcPr>
            <w:tcW w:w="0" w:type="auto"/>
            <w:tcBorders>
              <w:top w:val="nil"/>
              <w:left w:val="nil"/>
              <w:bottom w:val="single" w:sz="8" w:space="0" w:color="auto"/>
              <w:right w:val="single" w:sz="8" w:space="0" w:color="auto"/>
            </w:tcBorders>
            <w:shd w:val="clear" w:color="auto" w:fill="auto"/>
            <w:vAlign w:val="center"/>
            <w:hideMark/>
          </w:tcPr>
          <w:p w14:paraId="3BDC9BB0"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194D8A5A"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4EC16940"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48974E51"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CD3F3BF" w14:textId="77777777" w:rsidR="00FC0453" w:rsidRPr="00806168" w:rsidRDefault="00FC0453" w:rsidP="0044500E">
            <w:pPr>
              <w:pStyle w:val="Paragraphedeliste"/>
              <w:numPr>
                <w:ilvl w:val="0"/>
                <w:numId w:val="133"/>
              </w:numPr>
              <w:spacing w:after="0" w:line="240" w:lineRule="auto"/>
              <w:ind w:left="589"/>
              <w:jc w:val="both"/>
              <w:rPr>
                <w:rFonts w:eastAsia="Times New Roman" w:cs="Calibri"/>
                <w:sz w:val="20"/>
                <w:szCs w:val="16"/>
              </w:rPr>
            </w:pPr>
            <w:r w:rsidRPr="00806168">
              <w:rPr>
                <w:rFonts w:eastAsia="Times New Roman" w:cs="Calibri"/>
                <w:sz w:val="20"/>
                <w:szCs w:val="16"/>
              </w:rPr>
              <w:t>Au vu de ce qui précède, le projet est-il susceptible de créer/attiser des conflits dans sa zone d’influence ?</w:t>
            </w:r>
          </w:p>
        </w:tc>
        <w:tc>
          <w:tcPr>
            <w:tcW w:w="0" w:type="auto"/>
            <w:tcBorders>
              <w:top w:val="nil"/>
              <w:left w:val="nil"/>
              <w:bottom w:val="single" w:sz="8" w:space="0" w:color="auto"/>
              <w:right w:val="single" w:sz="8" w:space="0" w:color="auto"/>
            </w:tcBorders>
            <w:shd w:val="clear" w:color="auto" w:fill="auto"/>
            <w:vAlign w:val="center"/>
            <w:hideMark/>
          </w:tcPr>
          <w:p w14:paraId="2A3AB4FD"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293E1625"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4DE440D0"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22E9F361"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FA462B3" w14:textId="77777777" w:rsidR="00FC0453" w:rsidRPr="00806168" w:rsidRDefault="00FC0453" w:rsidP="0044500E">
            <w:pPr>
              <w:pStyle w:val="Paragraphedeliste"/>
              <w:numPr>
                <w:ilvl w:val="0"/>
                <w:numId w:val="133"/>
              </w:numPr>
              <w:spacing w:after="0" w:line="240" w:lineRule="auto"/>
              <w:ind w:left="589"/>
              <w:jc w:val="both"/>
              <w:rPr>
                <w:rFonts w:eastAsia="Times New Roman" w:cs="Calibri"/>
                <w:sz w:val="20"/>
                <w:szCs w:val="16"/>
              </w:rPr>
            </w:pPr>
            <w:r w:rsidRPr="00806168">
              <w:rPr>
                <w:rFonts w:eastAsia="Times New Roman" w:cs="Calibri"/>
                <w:sz w:val="20"/>
                <w:szCs w:val="16"/>
              </w:rPr>
              <w:t>Au vu de ce qui précède, le projet est-il susceptible de renforcer les cohésions dans sa zone d’influence ?</w:t>
            </w:r>
          </w:p>
        </w:tc>
        <w:tc>
          <w:tcPr>
            <w:tcW w:w="0" w:type="auto"/>
            <w:tcBorders>
              <w:top w:val="nil"/>
              <w:left w:val="nil"/>
              <w:bottom w:val="single" w:sz="8" w:space="0" w:color="auto"/>
              <w:right w:val="single" w:sz="8" w:space="0" w:color="auto"/>
            </w:tcBorders>
            <w:shd w:val="clear" w:color="auto" w:fill="auto"/>
            <w:vAlign w:val="center"/>
            <w:hideMark/>
          </w:tcPr>
          <w:p w14:paraId="106B4EBD"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7FB856BD"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5DE485B2"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7F78CE" w14:paraId="59626CA0"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42A916E" w14:textId="77777777" w:rsidR="00FC0453" w:rsidRPr="007F78CE" w:rsidRDefault="00FC0453" w:rsidP="00FC0453">
            <w:pPr>
              <w:rPr>
                <w:rFonts w:eastAsia="Times New Roman" w:cs="Calibri"/>
                <w:color w:val="000000"/>
                <w:sz w:val="16"/>
                <w:szCs w:val="16"/>
              </w:rPr>
            </w:pPr>
            <w:r w:rsidRPr="007F78CE">
              <w:rPr>
                <w:rFonts w:eastAsia="Times New Roman" w:cs="Calibri"/>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7019DD7C" w14:textId="77777777" w:rsidR="00FC0453" w:rsidRPr="007F78CE" w:rsidRDefault="00FC0453" w:rsidP="00FC0453">
            <w:pPr>
              <w:jc w:val="center"/>
              <w:rPr>
                <w:rFonts w:eastAsia="Times New Roman" w:cs="Calibri"/>
                <w:color w:val="000000"/>
                <w:sz w:val="16"/>
                <w:szCs w:val="16"/>
              </w:rPr>
            </w:pPr>
            <w:r w:rsidRPr="007F78CE">
              <w:rPr>
                <w:rFonts w:eastAsia="Times New Roman" w:cs="Calibri"/>
                <w:color w:val="000000"/>
                <w:sz w:val="16"/>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2B52C48D" w14:textId="77777777" w:rsidR="00FC0453" w:rsidRPr="007F78CE" w:rsidRDefault="00FC0453" w:rsidP="00FC0453">
            <w:pPr>
              <w:jc w:val="center"/>
              <w:rPr>
                <w:rFonts w:eastAsia="Times New Roman" w:cs="Calibri"/>
                <w:color w:val="000000"/>
                <w:sz w:val="16"/>
                <w:szCs w:val="16"/>
              </w:rPr>
            </w:pPr>
            <w:r w:rsidRPr="007F78CE">
              <w:rPr>
                <w:rFonts w:eastAsia="Times New Roman" w:cs="Calibri"/>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14B1B48" w14:textId="77777777" w:rsidR="00FC0453" w:rsidRPr="007F78CE" w:rsidRDefault="00FC0453" w:rsidP="00FC0453">
            <w:pPr>
              <w:jc w:val="center"/>
              <w:rPr>
                <w:rFonts w:eastAsia="Times New Roman" w:cs="Calibri"/>
                <w:color w:val="000000"/>
                <w:sz w:val="16"/>
                <w:szCs w:val="16"/>
              </w:rPr>
            </w:pPr>
            <w:r w:rsidRPr="007F78CE">
              <w:rPr>
                <w:rFonts w:eastAsia="Times New Roman" w:cs="Calibri"/>
                <w:color w:val="000000"/>
                <w:sz w:val="16"/>
                <w:szCs w:val="16"/>
              </w:rPr>
              <w:t> </w:t>
            </w:r>
          </w:p>
        </w:tc>
      </w:tr>
      <w:tr w:rsidR="00FC0453" w:rsidRPr="007F78CE" w14:paraId="5CE6F162" w14:textId="77777777" w:rsidTr="00FC0453">
        <w:trPr>
          <w:trHeight w:val="288"/>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14:paraId="2FEE1D4D" w14:textId="77777777" w:rsidR="00FC0453" w:rsidRPr="007F78CE" w:rsidRDefault="00FC0453" w:rsidP="00FC0453">
            <w:pPr>
              <w:spacing w:before="60" w:after="60"/>
              <w:rPr>
                <w:rFonts w:eastAsia="Times New Roman" w:cs="Calibri"/>
                <w:b/>
                <w:bCs/>
                <w:color w:val="000000"/>
                <w:sz w:val="20"/>
                <w:szCs w:val="20"/>
              </w:rPr>
            </w:pPr>
            <w:r w:rsidRPr="007F78CE">
              <w:rPr>
                <w:rFonts w:eastAsia="Times New Roman" w:cs="Calibri"/>
                <w:b/>
                <w:bCs/>
                <w:color w:val="000000"/>
                <w:sz w:val="20"/>
                <w:szCs w:val="20"/>
              </w:rPr>
              <w:t>2.     Préoccupations environnementale</w:t>
            </w:r>
            <w:r>
              <w:rPr>
                <w:rFonts w:eastAsia="Times New Roman" w:cs="Calibri"/>
                <w:b/>
                <w:bCs/>
                <w:color w:val="000000"/>
                <w:sz w:val="20"/>
                <w:szCs w:val="20"/>
              </w:rPr>
              <w:t>s</w:t>
            </w:r>
            <w:r w:rsidRPr="007F78CE">
              <w:rPr>
                <w:rFonts w:eastAsia="Times New Roman" w:cs="Calibri"/>
                <w:b/>
                <w:bCs/>
                <w:color w:val="000000"/>
                <w:sz w:val="20"/>
                <w:szCs w:val="20"/>
              </w:rPr>
              <w:t xml:space="preserve"> et sociale</w:t>
            </w:r>
            <w:r>
              <w:rPr>
                <w:rFonts w:eastAsia="Times New Roman" w:cs="Calibri"/>
                <w:b/>
                <w:bCs/>
                <w:color w:val="000000"/>
                <w:sz w:val="20"/>
                <w:szCs w:val="20"/>
              </w:rPr>
              <w:t>s</w:t>
            </w:r>
          </w:p>
        </w:tc>
      </w:tr>
      <w:tr w:rsidR="00FC0453" w:rsidRPr="00806168" w14:paraId="49F14784" w14:textId="77777777" w:rsidTr="00FC0453">
        <w:trPr>
          <w:trHeight w:val="288"/>
          <w:jc w:val="center"/>
        </w:trPr>
        <w:tc>
          <w:tcPr>
            <w:tcW w:w="0" w:type="auto"/>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2C71159" w14:textId="77777777" w:rsidR="00FC0453" w:rsidRPr="00806168" w:rsidRDefault="00FC0453" w:rsidP="00FC0453">
            <w:pPr>
              <w:rPr>
                <w:rFonts w:eastAsia="Times New Roman" w:cs="Calibri"/>
                <w:b/>
                <w:bCs/>
                <w:i/>
                <w:iCs/>
                <w:color w:val="000000"/>
                <w:sz w:val="20"/>
                <w:szCs w:val="16"/>
              </w:rPr>
            </w:pPr>
            <w:r w:rsidRPr="00806168">
              <w:rPr>
                <w:rFonts w:eastAsia="Times New Roman" w:cs="Calibri"/>
                <w:b/>
                <w:bCs/>
                <w:i/>
                <w:iCs/>
                <w:color w:val="000000"/>
                <w:sz w:val="20"/>
                <w:szCs w:val="16"/>
              </w:rPr>
              <w:t>2.1 Ressources naturelles de la zone</w:t>
            </w:r>
          </w:p>
        </w:tc>
      </w:tr>
      <w:tr w:rsidR="00FC0453" w:rsidRPr="00806168" w14:paraId="56B4DEB9"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8517808" w14:textId="77777777" w:rsidR="00FC0453" w:rsidRPr="00806168" w:rsidRDefault="00FC0453" w:rsidP="0044500E">
            <w:pPr>
              <w:pStyle w:val="Paragraphedeliste"/>
              <w:numPr>
                <w:ilvl w:val="0"/>
                <w:numId w:val="134"/>
              </w:numPr>
              <w:spacing w:after="0" w:line="240" w:lineRule="auto"/>
              <w:ind w:left="589"/>
              <w:jc w:val="both"/>
              <w:rPr>
                <w:rFonts w:eastAsia="Times New Roman" w:cs="Calibri"/>
                <w:sz w:val="20"/>
                <w:szCs w:val="16"/>
              </w:rPr>
            </w:pPr>
            <w:r w:rsidRPr="00806168">
              <w:rPr>
                <w:rFonts w:eastAsia="Times New Roman" w:cs="Calibri"/>
                <w:sz w:val="20"/>
                <w:szCs w:val="16"/>
              </w:rPr>
              <w:t>Le projet nécessite-il un important prélèvement de ressources naturelles locales pour sa mise en œuvre ?</w:t>
            </w:r>
          </w:p>
        </w:tc>
        <w:tc>
          <w:tcPr>
            <w:tcW w:w="0" w:type="auto"/>
            <w:tcBorders>
              <w:top w:val="nil"/>
              <w:left w:val="nil"/>
              <w:bottom w:val="single" w:sz="8" w:space="0" w:color="auto"/>
              <w:right w:val="single" w:sz="8" w:space="0" w:color="auto"/>
            </w:tcBorders>
            <w:shd w:val="clear" w:color="auto" w:fill="auto"/>
            <w:vAlign w:val="center"/>
            <w:hideMark/>
          </w:tcPr>
          <w:p w14:paraId="7876A604"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7ACBE2DB"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7ACAF20D"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77E47951"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3D13EBD" w14:textId="77777777" w:rsidR="00FC0453" w:rsidRPr="00806168" w:rsidRDefault="00FC0453" w:rsidP="0044500E">
            <w:pPr>
              <w:pStyle w:val="Paragraphedeliste"/>
              <w:numPr>
                <w:ilvl w:val="0"/>
                <w:numId w:val="134"/>
              </w:numPr>
              <w:spacing w:after="0" w:line="240" w:lineRule="auto"/>
              <w:ind w:left="589"/>
              <w:jc w:val="both"/>
              <w:rPr>
                <w:rFonts w:eastAsia="Times New Roman" w:cs="Calibri"/>
                <w:sz w:val="20"/>
                <w:szCs w:val="16"/>
              </w:rPr>
            </w:pPr>
            <w:r w:rsidRPr="00806168">
              <w:rPr>
                <w:rFonts w:eastAsia="Times New Roman" w:cs="Calibri"/>
                <w:sz w:val="20"/>
                <w:szCs w:val="16"/>
              </w:rPr>
              <w:t>Le chantier nécessitera-t-il un défrichement important ?</w:t>
            </w:r>
          </w:p>
        </w:tc>
        <w:tc>
          <w:tcPr>
            <w:tcW w:w="0" w:type="auto"/>
            <w:tcBorders>
              <w:top w:val="nil"/>
              <w:left w:val="nil"/>
              <w:bottom w:val="single" w:sz="8" w:space="0" w:color="auto"/>
              <w:right w:val="single" w:sz="8" w:space="0" w:color="auto"/>
            </w:tcBorders>
            <w:shd w:val="clear" w:color="auto" w:fill="auto"/>
            <w:vAlign w:val="center"/>
            <w:hideMark/>
          </w:tcPr>
          <w:p w14:paraId="3D60C934" w14:textId="77777777" w:rsidR="00FC0453" w:rsidRPr="00806168" w:rsidRDefault="00FC0453" w:rsidP="00FC0453">
            <w:pPr>
              <w:jc w:val="center"/>
              <w:rPr>
                <w:rFonts w:eastAsia="Times New Roman" w:cs="Calibri"/>
                <w:i/>
                <w:iCs/>
                <w:color w:val="000000"/>
                <w:sz w:val="20"/>
                <w:szCs w:val="16"/>
              </w:rPr>
            </w:pPr>
            <w:r w:rsidRPr="00806168">
              <w:rPr>
                <w:rFonts w:eastAsia="Times New Roman" w:cs="Calibri"/>
                <w:i/>
                <w:iCs/>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4513A323" w14:textId="77777777" w:rsidR="00FC0453" w:rsidRPr="00806168" w:rsidRDefault="00FC0453" w:rsidP="00FC0453">
            <w:pPr>
              <w:jc w:val="center"/>
              <w:rPr>
                <w:rFonts w:eastAsia="Times New Roman" w:cs="Calibri"/>
                <w:i/>
                <w:iCs/>
                <w:color w:val="000000"/>
                <w:sz w:val="20"/>
                <w:szCs w:val="16"/>
              </w:rPr>
            </w:pPr>
            <w:r w:rsidRPr="00806168">
              <w:rPr>
                <w:rFonts w:eastAsia="Times New Roman" w:cs="Calibri"/>
                <w:i/>
                <w:iCs/>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1D6647FD" w14:textId="77777777" w:rsidR="00FC0453" w:rsidRPr="00806168" w:rsidRDefault="00FC0453" w:rsidP="00FC0453">
            <w:pPr>
              <w:jc w:val="center"/>
              <w:rPr>
                <w:rFonts w:eastAsia="Times New Roman" w:cs="Calibri"/>
                <w:i/>
                <w:iCs/>
                <w:color w:val="000000"/>
                <w:sz w:val="20"/>
                <w:szCs w:val="16"/>
              </w:rPr>
            </w:pPr>
            <w:r w:rsidRPr="00806168">
              <w:rPr>
                <w:rFonts w:eastAsia="Times New Roman" w:cs="Calibri"/>
                <w:i/>
                <w:iCs/>
                <w:color w:val="000000"/>
                <w:sz w:val="20"/>
                <w:szCs w:val="16"/>
              </w:rPr>
              <w:t> </w:t>
            </w:r>
          </w:p>
        </w:tc>
      </w:tr>
      <w:tr w:rsidR="00FC0453" w:rsidRPr="00806168" w14:paraId="190A5D84"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30F1269" w14:textId="77777777" w:rsidR="00FC0453" w:rsidRPr="00806168" w:rsidRDefault="00FC0453" w:rsidP="0044500E">
            <w:pPr>
              <w:pStyle w:val="Paragraphedeliste"/>
              <w:numPr>
                <w:ilvl w:val="0"/>
                <w:numId w:val="134"/>
              </w:numPr>
              <w:spacing w:after="0" w:line="240" w:lineRule="auto"/>
              <w:ind w:left="589"/>
              <w:jc w:val="both"/>
              <w:rPr>
                <w:rFonts w:eastAsia="Times New Roman" w:cs="Calibri"/>
                <w:sz w:val="20"/>
                <w:szCs w:val="16"/>
              </w:rPr>
            </w:pPr>
            <w:r w:rsidRPr="00806168">
              <w:rPr>
                <w:rFonts w:eastAsia="Times New Roman" w:cs="Calibri"/>
                <w:sz w:val="20"/>
                <w:szCs w:val="16"/>
              </w:rPr>
              <w:t>Des groupes spécifiques (genre, couche vulnérable, social…) sont-ils affectés par ce défrichement ?</w:t>
            </w:r>
          </w:p>
        </w:tc>
        <w:tc>
          <w:tcPr>
            <w:tcW w:w="0" w:type="auto"/>
            <w:tcBorders>
              <w:top w:val="nil"/>
              <w:left w:val="nil"/>
              <w:bottom w:val="single" w:sz="8" w:space="0" w:color="auto"/>
              <w:right w:val="single" w:sz="8" w:space="0" w:color="auto"/>
            </w:tcBorders>
            <w:shd w:val="clear" w:color="auto" w:fill="auto"/>
            <w:vAlign w:val="center"/>
            <w:hideMark/>
          </w:tcPr>
          <w:p w14:paraId="444214E5"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36286B5C"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47AB7DEA"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338787B4"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DB24CD2" w14:textId="77777777" w:rsidR="00FC0453" w:rsidRPr="00806168" w:rsidRDefault="00FC0453" w:rsidP="0044500E">
            <w:pPr>
              <w:pStyle w:val="Paragraphedeliste"/>
              <w:numPr>
                <w:ilvl w:val="0"/>
                <w:numId w:val="134"/>
              </w:numPr>
              <w:spacing w:after="0" w:line="240" w:lineRule="auto"/>
              <w:ind w:left="589"/>
              <w:jc w:val="both"/>
              <w:rPr>
                <w:rFonts w:eastAsia="Times New Roman" w:cs="Calibri"/>
                <w:sz w:val="20"/>
                <w:szCs w:val="16"/>
              </w:rPr>
            </w:pPr>
            <w:r w:rsidRPr="00806168">
              <w:rPr>
                <w:rFonts w:eastAsia="Times New Roman" w:cs="Calibri"/>
                <w:sz w:val="20"/>
                <w:szCs w:val="16"/>
              </w:rPr>
              <w:t>Des mesures de compensation sont-elles prévues ?</w:t>
            </w:r>
          </w:p>
        </w:tc>
        <w:tc>
          <w:tcPr>
            <w:tcW w:w="0" w:type="auto"/>
            <w:tcBorders>
              <w:top w:val="nil"/>
              <w:left w:val="nil"/>
              <w:bottom w:val="single" w:sz="8" w:space="0" w:color="auto"/>
              <w:right w:val="single" w:sz="8" w:space="0" w:color="auto"/>
            </w:tcBorders>
            <w:shd w:val="clear" w:color="auto" w:fill="auto"/>
            <w:vAlign w:val="center"/>
            <w:hideMark/>
          </w:tcPr>
          <w:p w14:paraId="7C39F325"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5631D0FF"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502B9888"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1B5B787E" w14:textId="77777777" w:rsidTr="00FC0453">
        <w:trPr>
          <w:trHeight w:val="288"/>
          <w:jc w:val="center"/>
        </w:trPr>
        <w:tc>
          <w:tcPr>
            <w:tcW w:w="0" w:type="auto"/>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16DC640" w14:textId="77777777" w:rsidR="00FC0453" w:rsidRPr="00806168" w:rsidRDefault="00FC0453" w:rsidP="00FC0453">
            <w:pPr>
              <w:rPr>
                <w:rFonts w:eastAsia="Times New Roman" w:cs="Calibri"/>
                <w:b/>
                <w:bCs/>
                <w:i/>
                <w:iCs/>
                <w:color w:val="000000"/>
                <w:sz w:val="20"/>
                <w:szCs w:val="16"/>
              </w:rPr>
            </w:pPr>
            <w:r w:rsidRPr="00806168">
              <w:rPr>
                <w:rFonts w:eastAsia="Times New Roman" w:cs="Calibri"/>
                <w:b/>
                <w:bCs/>
                <w:i/>
                <w:iCs/>
                <w:color w:val="000000"/>
                <w:sz w:val="20"/>
                <w:szCs w:val="16"/>
              </w:rPr>
              <w:t>2.2 Diversité biologique</w:t>
            </w:r>
          </w:p>
        </w:tc>
      </w:tr>
      <w:tr w:rsidR="00FC0453" w:rsidRPr="00806168" w14:paraId="30162952"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F2A3B57" w14:textId="77777777" w:rsidR="00FC0453" w:rsidRPr="00806168" w:rsidRDefault="00FC0453" w:rsidP="0044500E">
            <w:pPr>
              <w:pStyle w:val="Paragraphedeliste"/>
              <w:numPr>
                <w:ilvl w:val="0"/>
                <w:numId w:val="135"/>
              </w:numPr>
              <w:spacing w:after="0" w:line="240" w:lineRule="auto"/>
              <w:ind w:left="589"/>
              <w:jc w:val="both"/>
              <w:rPr>
                <w:rFonts w:eastAsia="Times New Roman" w:cs="Calibri"/>
                <w:sz w:val="20"/>
                <w:szCs w:val="16"/>
              </w:rPr>
            </w:pPr>
            <w:r w:rsidRPr="00806168">
              <w:rPr>
                <w:rFonts w:eastAsia="Times New Roman" w:cs="Calibri"/>
                <w:sz w:val="20"/>
                <w:szCs w:val="16"/>
              </w:rPr>
              <w:t>Le projet risque-t-il de causer des effets négatifs sur les espèces rares, vulnérables et/ou importants du point de vue économique, écologique, culturel, les récifs coraliens et la mangrove ?</w:t>
            </w:r>
          </w:p>
        </w:tc>
        <w:tc>
          <w:tcPr>
            <w:tcW w:w="0" w:type="auto"/>
            <w:tcBorders>
              <w:top w:val="nil"/>
              <w:left w:val="nil"/>
              <w:bottom w:val="single" w:sz="8" w:space="0" w:color="auto"/>
              <w:right w:val="single" w:sz="8" w:space="0" w:color="auto"/>
            </w:tcBorders>
            <w:shd w:val="clear" w:color="auto" w:fill="auto"/>
            <w:vAlign w:val="center"/>
            <w:hideMark/>
          </w:tcPr>
          <w:p w14:paraId="3233299C"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6FD01791"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1D2503F9"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67BE9660"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D3BFBAA" w14:textId="77777777" w:rsidR="00FC0453" w:rsidRPr="00806168" w:rsidRDefault="00FC0453" w:rsidP="0044500E">
            <w:pPr>
              <w:pStyle w:val="Paragraphedeliste"/>
              <w:numPr>
                <w:ilvl w:val="0"/>
                <w:numId w:val="135"/>
              </w:numPr>
              <w:spacing w:after="0" w:line="240" w:lineRule="auto"/>
              <w:ind w:left="589"/>
              <w:jc w:val="both"/>
              <w:rPr>
                <w:rFonts w:eastAsia="Times New Roman" w:cs="Calibri"/>
                <w:sz w:val="20"/>
                <w:szCs w:val="16"/>
              </w:rPr>
            </w:pPr>
            <w:r w:rsidRPr="00806168">
              <w:rPr>
                <w:rFonts w:eastAsia="Times New Roman" w:cs="Calibri"/>
                <w:sz w:val="20"/>
                <w:szCs w:val="16"/>
              </w:rPr>
              <w:t>Y a-t-il des zones de sensibilité environnementale qui pourraient être affectées négativement par le projet (forêts, zones humides, lacs, rivières, zones inondables) ?</w:t>
            </w:r>
          </w:p>
        </w:tc>
        <w:tc>
          <w:tcPr>
            <w:tcW w:w="0" w:type="auto"/>
            <w:tcBorders>
              <w:top w:val="nil"/>
              <w:left w:val="nil"/>
              <w:bottom w:val="single" w:sz="8" w:space="0" w:color="auto"/>
              <w:right w:val="single" w:sz="8" w:space="0" w:color="auto"/>
            </w:tcBorders>
            <w:shd w:val="clear" w:color="auto" w:fill="auto"/>
            <w:vAlign w:val="center"/>
            <w:hideMark/>
          </w:tcPr>
          <w:p w14:paraId="61329088"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6BDFA132"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7D37FBAA"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169B1F03" w14:textId="77777777" w:rsidTr="00FC0453">
        <w:trPr>
          <w:trHeight w:val="288"/>
          <w:jc w:val="center"/>
        </w:trPr>
        <w:tc>
          <w:tcPr>
            <w:tcW w:w="0" w:type="auto"/>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59BD731" w14:textId="77777777" w:rsidR="00FC0453" w:rsidRPr="00806168" w:rsidRDefault="00FC0453" w:rsidP="00FC0453">
            <w:pPr>
              <w:rPr>
                <w:rFonts w:eastAsia="Times New Roman" w:cs="Calibri"/>
                <w:b/>
                <w:bCs/>
                <w:i/>
                <w:iCs/>
                <w:color w:val="000000"/>
                <w:sz w:val="20"/>
                <w:szCs w:val="16"/>
              </w:rPr>
            </w:pPr>
            <w:r w:rsidRPr="00806168">
              <w:rPr>
                <w:rFonts w:eastAsia="Times New Roman" w:cs="Calibri"/>
                <w:b/>
                <w:bCs/>
                <w:i/>
                <w:iCs/>
                <w:color w:val="000000"/>
                <w:sz w:val="20"/>
                <w:szCs w:val="16"/>
              </w:rPr>
              <w:t>2.3 Zones protégées</w:t>
            </w:r>
          </w:p>
        </w:tc>
      </w:tr>
      <w:tr w:rsidR="00FC0453" w:rsidRPr="00806168" w14:paraId="579D2ECF"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017002" w14:textId="77777777" w:rsidR="00FC0453" w:rsidRPr="00806168" w:rsidRDefault="00FC0453" w:rsidP="0044500E">
            <w:pPr>
              <w:pStyle w:val="Paragraphedeliste"/>
              <w:numPr>
                <w:ilvl w:val="0"/>
                <w:numId w:val="136"/>
              </w:numPr>
              <w:spacing w:after="0" w:line="240" w:lineRule="auto"/>
              <w:jc w:val="both"/>
              <w:rPr>
                <w:rFonts w:eastAsia="Times New Roman" w:cs="Calibri"/>
                <w:sz w:val="20"/>
                <w:szCs w:val="16"/>
              </w:rPr>
            </w:pPr>
            <w:r w:rsidRPr="00806168">
              <w:rPr>
                <w:rFonts w:eastAsia="Times New Roman" w:cs="Calibri"/>
                <w:sz w:val="20"/>
                <w:szCs w:val="16"/>
              </w:rPr>
              <w:t>La zone du projet (ou de ses composantes) comprend-t-elle des aires protégées ?</w:t>
            </w:r>
          </w:p>
        </w:tc>
        <w:tc>
          <w:tcPr>
            <w:tcW w:w="0" w:type="auto"/>
            <w:tcBorders>
              <w:top w:val="nil"/>
              <w:left w:val="nil"/>
              <w:bottom w:val="single" w:sz="8" w:space="0" w:color="auto"/>
              <w:right w:val="single" w:sz="8" w:space="0" w:color="auto"/>
            </w:tcBorders>
            <w:shd w:val="clear" w:color="auto" w:fill="auto"/>
            <w:vAlign w:val="center"/>
            <w:hideMark/>
          </w:tcPr>
          <w:p w14:paraId="4A32E63A"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1DB70F52"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12D384E0"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084EA95E"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419A632" w14:textId="77777777" w:rsidR="00FC0453" w:rsidRPr="00806168" w:rsidRDefault="00FC0453" w:rsidP="0044500E">
            <w:pPr>
              <w:pStyle w:val="Paragraphedeliste"/>
              <w:numPr>
                <w:ilvl w:val="0"/>
                <w:numId w:val="136"/>
              </w:numPr>
              <w:spacing w:after="0" w:line="240" w:lineRule="auto"/>
              <w:jc w:val="both"/>
              <w:rPr>
                <w:rFonts w:eastAsia="Times New Roman" w:cs="Calibri"/>
                <w:sz w:val="20"/>
                <w:szCs w:val="16"/>
              </w:rPr>
            </w:pPr>
            <w:r w:rsidRPr="00806168">
              <w:rPr>
                <w:rFonts w:eastAsia="Times New Roman" w:cs="Calibri"/>
                <w:sz w:val="20"/>
                <w:szCs w:val="16"/>
              </w:rPr>
              <w:t xml:space="preserve">Si le projet est en dehors, mais à faible distance des zones protégées, pourrait-il affecter négativement l’écologie de la zone d’influence du projet (ex : vols d’oiseaux, migrations, etc.) ? </w:t>
            </w:r>
          </w:p>
        </w:tc>
        <w:tc>
          <w:tcPr>
            <w:tcW w:w="0" w:type="auto"/>
            <w:tcBorders>
              <w:top w:val="nil"/>
              <w:left w:val="nil"/>
              <w:bottom w:val="single" w:sz="8" w:space="0" w:color="auto"/>
              <w:right w:val="single" w:sz="8" w:space="0" w:color="auto"/>
            </w:tcBorders>
            <w:shd w:val="clear" w:color="auto" w:fill="auto"/>
            <w:vAlign w:val="center"/>
            <w:hideMark/>
          </w:tcPr>
          <w:p w14:paraId="2709B4B1"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3A65ACB0"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699EB33A"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1B2C9998" w14:textId="77777777" w:rsidTr="00FC0453">
        <w:trPr>
          <w:trHeight w:val="288"/>
          <w:jc w:val="center"/>
        </w:trPr>
        <w:tc>
          <w:tcPr>
            <w:tcW w:w="0" w:type="auto"/>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CC420D6" w14:textId="77777777" w:rsidR="00FC0453" w:rsidRPr="00806168" w:rsidRDefault="00FC0453" w:rsidP="00FC0453">
            <w:pPr>
              <w:spacing w:before="120" w:after="120"/>
              <w:rPr>
                <w:rFonts w:eastAsia="Times New Roman" w:cs="Calibri"/>
                <w:color w:val="000000"/>
                <w:sz w:val="20"/>
                <w:szCs w:val="18"/>
              </w:rPr>
            </w:pPr>
            <w:r w:rsidRPr="00806168">
              <w:rPr>
                <w:rFonts w:eastAsia="Times New Roman" w:cs="Calibri"/>
                <w:color w:val="000000"/>
                <w:sz w:val="20"/>
                <w:szCs w:val="18"/>
              </w:rPr>
              <w:t xml:space="preserve">2.4 Géologie et sols </w:t>
            </w:r>
          </w:p>
        </w:tc>
      </w:tr>
      <w:tr w:rsidR="00FC0453" w:rsidRPr="00806168" w14:paraId="53137973"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90D2C9F" w14:textId="77777777" w:rsidR="00FC0453" w:rsidRPr="00806168" w:rsidRDefault="00FC0453" w:rsidP="0044500E">
            <w:pPr>
              <w:pStyle w:val="Paragraphedeliste"/>
              <w:numPr>
                <w:ilvl w:val="0"/>
                <w:numId w:val="137"/>
              </w:numPr>
              <w:spacing w:after="0" w:line="240" w:lineRule="auto"/>
              <w:jc w:val="both"/>
              <w:rPr>
                <w:rFonts w:eastAsia="Times New Roman" w:cs="Calibri"/>
                <w:sz w:val="20"/>
                <w:szCs w:val="16"/>
              </w:rPr>
            </w:pPr>
            <w:r w:rsidRPr="00806168">
              <w:rPr>
                <w:rFonts w:eastAsia="Times New Roman" w:cs="Calibri"/>
                <w:sz w:val="20"/>
                <w:szCs w:val="16"/>
              </w:rPr>
              <w:t>Y a-t-il des zones instables d’un point de vue géologique ou des sols (érosion, glissement de terrain, effondrement) ?</w:t>
            </w:r>
          </w:p>
        </w:tc>
        <w:tc>
          <w:tcPr>
            <w:tcW w:w="0" w:type="auto"/>
            <w:tcBorders>
              <w:top w:val="nil"/>
              <w:left w:val="nil"/>
              <w:bottom w:val="single" w:sz="8" w:space="0" w:color="auto"/>
              <w:right w:val="single" w:sz="8" w:space="0" w:color="auto"/>
            </w:tcBorders>
            <w:shd w:val="clear" w:color="auto" w:fill="auto"/>
            <w:vAlign w:val="center"/>
            <w:hideMark/>
          </w:tcPr>
          <w:p w14:paraId="29757F6B"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1BA5F36E"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48788858"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5060FE2C"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D2716AE" w14:textId="77777777" w:rsidR="00FC0453" w:rsidRPr="00806168" w:rsidRDefault="00FC0453" w:rsidP="0044500E">
            <w:pPr>
              <w:pStyle w:val="Paragraphedeliste"/>
              <w:numPr>
                <w:ilvl w:val="0"/>
                <w:numId w:val="137"/>
              </w:numPr>
              <w:spacing w:after="0" w:line="240" w:lineRule="auto"/>
              <w:jc w:val="both"/>
              <w:rPr>
                <w:rFonts w:eastAsia="Times New Roman" w:cs="Calibri"/>
                <w:sz w:val="20"/>
                <w:szCs w:val="16"/>
              </w:rPr>
            </w:pPr>
            <w:r w:rsidRPr="00806168">
              <w:rPr>
                <w:rFonts w:eastAsia="Times New Roman" w:cs="Calibri"/>
                <w:sz w:val="20"/>
                <w:szCs w:val="16"/>
              </w:rPr>
              <w:t>Y a-t-il des risques de salinisation ?</w:t>
            </w:r>
          </w:p>
        </w:tc>
        <w:tc>
          <w:tcPr>
            <w:tcW w:w="0" w:type="auto"/>
            <w:tcBorders>
              <w:top w:val="nil"/>
              <w:left w:val="nil"/>
              <w:bottom w:val="single" w:sz="8" w:space="0" w:color="auto"/>
              <w:right w:val="single" w:sz="8" w:space="0" w:color="auto"/>
            </w:tcBorders>
            <w:shd w:val="clear" w:color="auto" w:fill="auto"/>
            <w:vAlign w:val="center"/>
            <w:hideMark/>
          </w:tcPr>
          <w:p w14:paraId="4F9DEC40"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787D2152"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73745154"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5E0906A4"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403C529" w14:textId="77777777" w:rsidR="00FC0453" w:rsidRPr="00806168" w:rsidRDefault="00FC0453" w:rsidP="0044500E">
            <w:pPr>
              <w:pStyle w:val="Paragraphedeliste"/>
              <w:numPr>
                <w:ilvl w:val="0"/>
                <w:numId w:val="137"/>
              </w:numPr>
              <w:spacing w:after="0" w:line="240" w:lineRule="auto"/>
              <w:jc w:val="both"/>
              <w:rPr>
                <w:rFonts w:eastAsia="Times New Roman" w:cs="Calibri"/>
                <w:sz w:val="20"/>
                <w:szCs w:val="16"/>
              </w:rPr>
            </w:pPr>
            <w:r w:rsidRPr="00806168">
              <w:rPr>
                <w:rFonts w:eastAsia="Times New Roman" w:cs="Calibri"/>
                <w:sz w:val="20"/>
                <w:szCs w:val="16"/>
              </w:rPr>
              <w:t>Y a-t-il des ressources minières ou carrières dont l’exploitation serait affectée par le projet ?</w:t>
            </w:r>
          </w:p>
        </w:tc>
        <w:tc>
          <w:tcPr>
            <w:tcW w:w="0" w:type="auto"/>
            <w:tcBorders>
              <w:top w:val="nil"/>
              <w:left w:val="nil"/>
              <w:bottom w:val="single" w:sz="8" w:space="0" w:color="auto"/>
              <w:right w:val="single" w:sz="8" w:space="0" w:color="auto"/>
            </w:tcBorders>
            <w:shd w:val="clear" w:color="auto" w:fill="auto"/>
            <w:vAlign w:val="center"/>
            <w:hideMark/>
          </w:tcPr>
          <w:p w14:paraId="0FAF944F"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5DD94914"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73D56ED0"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7E9AE736" w14:textId="77777777" w:rsidTr="00FC0453">
        <w:trPr>
          <w:trHeight w:val="288"/>
          <w:jc w:val="center"/>
        </w:trPr>
        <w:tc>
          <w:tcPr>
            <w:tcW w:w="0" w:type="auto"/>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B509CC5" w14:textId="77777777" w:rsidR="00FC0453" w:rsidRPr="00806168" w:rsidRDefault="00FC0453" w:rsidP="00FC0453">
            <w:pPr>
              <w:rPr>
                <w:rFonts w:eastAsia="Times New Roman" w:cs="Calibri"/>
                <w:b/>
                <w:bCs/>
                <w:i/>
                <w:iCs/>
                <w:color w:val="000000"/>
                <w:sz w:val="20"/>
                <w:szCs w:val="16"/>
              </w:rPr>
            </w:pPr>
            <w:r w:rsidRPr="00806168">
              <w:rPr>
                <w:rFonts w:eastAsia="Times New Roman" w:cs="Calibri"/>
                <w:b/>
                <w:bCs/>
                <w:i/>
                <w:iCs/>
                <w:color w:val="000000"/>
                <w:sz w:val="20"/>
                <w:szCs w:val="16"/>
              </w:rPr>
              <w:t>2.5 Paysage / Esthétique</w:t>
            </w:r>
          </w:p>
        </w:tc>
      </w:tr>
      <w:tr w:rsidR="00FC0453" w:rsidRPr="00806168" w14:paraId="0251F8C2"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7A504EC" w14:textId="77777777" w:rsidR="00FC0453" w:rsidRPr="00806168" w:rsidRDefault="00FC0453" w:rsidP="00FC0453">
            <w:pPr>
              <w:rPr>
                <w:rFonts w:eastAsia="Times New Roman" w:cs="Calibri"/>
                <w:color w:val="000000"/>
                <w:sz w:val="20"/>
                <w:szCs w:val="16"/>
              </w:rPr>
            </w:pPr>
            <w:r w:rsidRPr="00806168">
              <w:rPr>
                <w:rFonts w:eastAsia="Times New Roman" w:cs="Calibri"/>
                <w:color w:val="000000"/>
                <w:sz w:val="20"/>
                <w:szCs w:val="16"/>
              </w:rPr>
              <w:t>Le projet aurait-il un effet adverse sur la valeur esthétique du paysage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30BA806A" w14:textId="77777777" w:rsidR="00FC0453" w:rsidRPr="00806168" w:rsidRDefault="00FC0453" w:rsidP="00FC0453">
            <w:pPr>
              <w:jc w:val="center"/>
              <w:rPr>
                <w:rFonts w:eastAsia="Times New Roman" w:cs="Calibri"/>
                <w:i/>
                <w:iCs/>
                <w:color w:val="000000"/>
                <w:sz w:val="20"/>
                <w:szCs w:val="16"/>
              </w:rPr>
            </w:pPr>
            <w:r w:rsidRPr="00806168">
              <w:rPr>
                <w:rFonts w:eastAsia="Times New Roman" w:cs="Calibri"/>
                <w:i/>
                <w:iCs/>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7DDD4290" w14:textId="77777777" w:rsidR="00FC0453" w:rsidRPr="00806168" w:rsidRDefault="00FC0453" w:rsidP="00FC0453">
            <w:pPr>
              <w:jc w:val="center"/>
              <w:rPr>
                <w:rFonts w:eastAsia="Times New Roman" w:cs="Calibri"/>
                <w:i/>
                <w:iCs/>
                <w:color w:val="000000"/>
                <w:sz w:val="20"/>
                <w:szCs w:val="16"/>
              </w:rPr>
            </w:pPr>
            <w:r w:rsidRPr="00806168">
              <w:rPr>
                <w:rFonts w:eastAsia="Times New Roman" w:cs="Calibri"/>
                <w:i/>
                <w:iCs/>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C4F8945" w14:textId="77777777" w:rsidR="00FC0453" w:rsidRPr="00806168" w:rsidRDefault="00FC0453" w:rsidP="00FC0453">
            <w:pPr>
              <w:jc w:val="center"/>
              <w:rPr>
                <w:rFonts w:eastAsia="Times New Roman" w:cs="Calibri"/>
                <w:i/>
                <w:iCs/>
                <w:color w:val="000000"/>
                <w:sz w:val="20"/>
                <w:szCs w:val="16"/>
              </w:rPr>
            </w:pPr>
            <w:r w:rsidRPr="00806168">
              <w:rPr>
                <w:rFonts w:eastAsia="Times New Roman" w:cs="Calibri"/>
                <w:i/>
                <w:iCs/>
                <w:color w:val="000000"/>
                <w:sz w:val="20"/>
                <w:szCs w:val="16"/>
              </w:rPr>
              <w:t> </w:t>
            </w:r>
          </w:p>
        </w:tc>
      </w:tr>
      <w:tr w:rsidR="00FC0453" w:rsidRPr="00806168" w14:paraId="09469FE2" w14:textId="77777777" w:rsidTr="00FC0453">
        <w:trPr>
          <w:trHeight w:val="288"/>
          <w:jc w:val="center"/>
        </w:trPr>
        <w:tc>
          <w:tcPr>
            <w:tcW w:w="0" w:type="auto"/>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DC0D20B" w14:textId="77777777" w:rsidR="00FC0453" w:rsidRPr="00806168" w:rsidRDefault="00FC0453" w:rsidP="00FC0453">
            <w:pPr>
              <w:rPr>
                <w:rFonts w:eastAsia="Times New Roman" w:cs="Calibri"/>
                <w:b/>
                <w:bCs/>
                <w:i/>
                <w:iCs/>
                <w:color w:val="000000"/>
                <w:sz w:val="20"/>
                <w:szCs w:val="16"/>
              </w:rPr>
            </w:pPr>
            <w:r w:rsidRPr="00806168">
              <w:rPr>
                <w:rFonts w:eastAsia="Times New Roman" w:cs="Calibri"/>
                <w:b/>
                <w:bCs/>
                <w:i/>
                <w:iCs/>
                <w:color w:val="000000"/>
                <w:sz w:val="20"/>
                <w:szCs w:val="16"/>
              </w:rPr>
              <w:t>2.6 Sites historiques, archéologiques, culturels ou religieux</w:t>
            </w:r>
          </w:p>
        </w:tc>
      </w:tr>
      <w:tr w:rsidR="00FC0453" w:rsidRPr="00806168" w14:paraId="08C4C2AC"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57047D6" w14:textId="77777777" w:rsidR="00FC0453" w:rsidRPr="00806168" w:rsidRDefault="00FC0453" w:rsidP="0044500E">
            <w:pPr>
              <w:pStyle w:val="Paragraphedeliste"/>
              <w:numPr>
                <w:ilvl w:val="0"/>
                <w:numId w:val="138"/>
              </w:numPr>
              <w:spacing w:after="0" w:line="240" w:lineRule="auto"/>
              <w:jc w:val="both"/>
              <w:rPr>
                <w:rFonts w:eastAsia="Times New Roman" w:cs="Calibri"/>
                <w:sz w:val="20"/>
                <w:szCs w:val="16"/>
              </w:rPr>
            </w:pPr>
            <w:r w:rsidRPr="00806168">
              <w:rPr>
                <w:rFonts w:eastAsia="Times New Roman" w:cs="Calibri"/>
                <w:sz w:val="20"/>
                <w:szCs w:val="16"/>
              </w:rPr>
              <w:t>Le projet pourrait-il changer des sites historiques, archéologiques, culturel ou nécessiter des excavations ?</w:t>
            </w:r>
          </w:p>
        </w:tc>
        <w:tc>
          <w:tcPr>
            <w:tcW w:w="0" w:type="auto"/>
            <w:tcBorders>
              <w:top w:val="nil"/>
              <w:left w:val="nil"/>
              <w:bottom w:val="single" w:sz="8" w:space="0" w:color="auto"/>
              <w:right w:val="single" w:sz="8" w:space="0" w:color="auto"/>
            </w:tcBorders>
            <w:shd w:val="clear" w:color="auto" w:fill="auto"/>
            <w:vAlign w:val="center"/>
            <w:hideMark/>
          </w:tcPr>
          <w:p w14:paraId="6F80D96C"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3D21E7AA"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58C14018"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68AA7846"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F6CEDD0" w14:textId="77777777" w:rsidR="00FC0453" w:rsidRPr="00806168" w:rsidRDefault="00FC0453" w:rsidP="0044500E">
            <w:pPr>
              <w:pStyle w:val="Paragraphedeliste"/>
              <w:numPr>
                <w:ilvl w:val="0"/>
                <w:numId w:val="138"/>
              </w:numPr>
              <w:spacing w:after="0" w:line="240" w:lineRule="auto"/>
              <w:jc w:val="both"/>
              <w:rPr>
                <w:rFonts w:eastAsia="Times New Roman" w:cs="Calibri"/>
                <w:sz w:val="20"/>
                <w:szCs w:val="16"/>
              </w:rPr>
            </w:pPr>
            <w:r w:rsidRPr="00806168">
              <w:rPr>
                <w:rFonts w:eastAsia="Times New Roman" w:cs="Calibri"/>
                <w:sz w:val="20"/>
                <w:szCs w:val="16"/>
              </w:rPr>
              <w:t>L’identification a-t-il tenu compte des sites traditionnels, coutumiers ou religieux ?</w:t>
            </w:r>
          </w:p>
        </w:tc>
        <w:tc>
          <w:tcPr>
            <w:tcW w:w="0" w:type="auto"/>
            <w:tcBorders>
              <w:top w:val="nil"/>
              <w:left w:val="nil"/>
              <w:bottom w:val="single" w:sz="8" w:space="0" w:color="auto"/>
              <w:right w:val="single" w:sz="8" w:space="0" w:color="auto"/>
            </w:tcBorders>
            <w:shd w:val="clear" w:color="auto" w:fill="auto"/>
            <w:vAlign w:val="center"/>
            <w:hideMark/>
          </w:tcPr>
          <w:p w14:paraId="10EC40A6"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5278CBFD"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7F367EC6"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5B79BC0C"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ED5097E" w14:textId="77777777" w:rsidR="00FC0453" w:rsidRPr="00806168" w:rsidRDefault="00FC0453" w:rsidP="0044500E">
            <w:pPr>
              <w:pStyle w:val="Paragraphedeliste"/>
              <w:numPr>
                <w:ilvl w:val="0"/>
                <w:numId w:val="138"/>
              </w:numPr>
              <w:spacing w:after="0" w:line="240" w:lineRule="auto"/>
              <w:jc w:val="both"/>
              <w:rPr>
                <w:rFonts w:eastAsia="Times New Roman" w:cs="Calibri"/>
                <w:sz w:val="20"/>
                <w:szCs w:val="16"/>
              </w:rPr>
            </w:pPr>
            <w:r w:rsidRPr="00806168">
              <w:rPr>
                <w:rFonts w:eastAsia="Times New Roman" w:cs="Calibri"/>
                <w:sz w:val="20"/>
                <w:szCs w:val="16"/>
              </w:rPr>
              <w:t>Le maître d’œuvre chargé de la construction ou le comité de suivi sont-ils informés des règlementations en cas de découverte archéologique durant les travaux ?</w:t>
            </w:r>
          </w:p>
        </w:tc>
        <w:tc>
          <w:tcPr>
            <w:tcW w:w="0" w:type="auto"/>
            <w:tcBorders>
              <w:top w:val="nil"/>
              <w:left w:val="nil"/>
              <w:bottom w:val="single" w:sz="8" w:space="0" w:color="auto"/>
              <w:right w:val="single" w:sz="8" w:space="0" w:color="auto"/>
            </w:tcBorders>
            <w:shd w:val="clear" w:color="auto" w:fill="auto"/>
            <w:vAlign w:val="center"/>
            <w:hideMark/>
          </w:tcPr>
          <w:p w14:paraId="7DDA0E79"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316A20C8"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4F7876FE"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158A7C40" w14:textId="77777777" w:rsidTr="00FC0453">
        <w:trPr>
          <w:trHeight w:val="288"/>
          <w:jc w:val="center"/>
        </w:trPr>
        <w:tc>
          <w:tcPr>
            <w:tcW w:w="0" w:type="auto"/>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8300707" w14:textId="77777777" w:rsidR="00FC0453" w:rsidRPr="00806168" w:rsidRDefault="00FC0453" w:rsidP="00FC0453">
            <w:pPr>
              <w:rPr>
                <w:rFonts w:eastAsia="Times New Roman" w:cs="Calibri"/>
                <w:b/>
                <w:bCs/>
                <w:i/>
                <w:iCs/>
                <w:color w:val="000000"/>
                <w:sz w:val="20"/>
                <w:szCs w:val="16"/>
              </w:rPr>
            </w:pPr>
            <w:r w:rsidRPr="00806168">
              <w:rPr>
                <w:rFonts w:eastAsia="Times New Roman" w:cs="Calibri"/>
                <w:b/>
                <w:bCs/>
                <w:i/>
                <w:iCs/>
                <w:color w:val="000000"/>
                <w:sz w:val="20"/>
                <w:szCs w:val="16"/>
              </w:rPr>
              <w:t>2.7 Pertes d’actifs et autres</w:t>
            </w:r>
          </w:p>
        </w:tc>
      </w:tr>
      <w:tr w:rsidR="00FC0453" w:rsidRPr="00806168" w14:paraId="4AE27DD1"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CCD5B85" w14:textId="77777777" w:rsidR="00FC0453" w:rsidRPr="00806168" w:rsidRDefault="00FC0453" w:rsidP="00FC0453">
            <w:pPr>
              <w:rPr>
                <w:rFonts w:eastAsia="Times New Roman" w:cs="Calibri"/>
                <w:color w:val="000000"/>
                <w:sz w:val="20"/>
                <w:szCs w:val="16"/>
              </w:rPr>
            </w:pPr>
            <w:r w:rsidRPr="00806168">
              <w:rPr>
                <w:rFonts w:eastAsia="Times New Roman" w:cs="Calibri"/>
                <w:color w:val="000000"/>
                <w:sz w:val="20"/>
                <w:szCs w:val="16"/>
              </w:rPr>
              <w:t>Est-ce que le projet déclenchera la perte temporaire ou permanente d’habitat, de culture, de terres agricoles, de pâturage (ou de cultures fourragères), d’arbres fruitiers et d’infrastructures domestiques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6D3CE6F6"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54757010"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38590A07"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2ECE75AE"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E019B82" w14:textId="77777777" w:rsidR="00FC0453" w:rsidRPr="00806168" w:rsidRDefault="00FC0453" w:rsidP="00FC0453">
            <w:pPr>
              <w:rPr>
                <w:rFonts w:eastAsia="Times New Roman" w:cs="Calibri"/>
                <w:b/>
                <w:bCs/>
                <w:i/>
                <w:iCs/>
                <w:color w:val="000000"/>
                <w:sz w:val="20"/>
                <w:szCs w:val="16"/>
              </w:rPr>
            </w:pPr>
            <w:r w:rsidRPr="00806168">
              <w:rPr>
                <w:rFonts w:eastAsia="Times New Roman" w:cs="Calibri"/>
                <w:b/>
                <w:bCs/>
                <w:i/>
                <w:iCs/>
                <w:color w:val="000000"/>
                <w:sz w:val="20"/>
                <w:szCs w:val="16"/>
              </w:rPr>
              <w:t>2.8 Pollution</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4EB7A93C"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76E448EC"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049D2C3D"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1855613" w14:textId="77777777" w:rsidR="00FC0453" w:rsidRPr="00806168" w:rsidRDefault="00FC0453" w:rsidP="0044500E">
            <w:pPr>
              <w:pStyle w:val="Paragraphedeliste"/>
              <w:numPr>
                <w:ilvl w:val="0"/>
                <w:numId w:val="139"/>
              </w:numPr>
              <w:spacing w:after="0" w:line="240" w:lineRule="auto"/>
              <w:jc w:val="both"/>
              <w:rPr>
                <w:rFonts w:eastAsia="Times New Roman" w:cs="Calibri"/>
                <w:sz w:val="20"/>
                <w:szCs w:val="16"/>
              </w:rPr>
            </w:pPr>
            <w:r w:rsidRPr="00806168">
              <w:rPr>
                <w:rFonts w:eastAsia="Times New Roman" w:cs="Calibri"/>
                <w:sz w:val="20"/>
                <w:szCs w:val="16"/>
              </w:rPr>
              <w:t>Le projet pourrait-il occasionner un niveau élevé de bruit (pendant construction et/ou exploitation) ?</w:t>
            </w:r>
          </w:p>
        </w:tc>
        <w:tc>
          <w:tcPr>
            <w:tcW w:w="0" w:type="auto"/>
            <w:tcBorders>
              <w:top w:val="nil"/>
              <w:left w:val="nil"/>
              <w:bottom w:val="single" w:sz="8" w:space="0" w:color="auto"/>
              <w:right w:val="single" w:sz="8" w:space="0" w:color="auto"/>
            </w:tcBorders>
            <w:shd w:val="clear" w:color="auto" w:fill="auto"/>
            <w:vAlign w:val="center"/>
            <w:hideMark/>
          </w:tcPr>
          <w:p w14:paraId="3343E3C8"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4E863111"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0D1548F9"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3C2C30E5"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CB6C0FB" w14:textId="77777777" w:rsidR="00FC0453" w:rsidRPr="00806168" w:rsidRDefault="00FC0453" w:rsidP="0044500E">
            <w:pPr>
              <w:pStyle w:val="Paragraphedeliste"/>
              <w:numPr>
                <w:ilvl w:val="0"/>
                <w:numId w:val="139"/>
              </w:numPr>
              <w:spacing w:after="0" w:line="240" w:lineRule="auto"/>
              <w:jc w:val="both"/>
              <w:rPr>
                <w:rFonts w:eastAsia="Times New Roman" w:cs="Calibri"/>
                <w:sz w:val="20"/>
                <w:szCs w:val="16"/>
              </w:rPr>
            </w:pPr>
            <w:r w:rsidRPr="00806168">
              <w:rPr>
                <w:rFonts w:eastAsia="Times New Roman" w:cs="Calibri"/>
                <w:sz w:val="20"/>
                <w:szCs w:val="16"/>
              </w:rPr>
              <w:t>Le site d’implantation est-il suffisamment éloigné des lieux d’habitations ?</w:t>
            </w:r>
          </w:p>
        </w:tc>
        <w:tc>
          <w:tcPr>
            <w:tcW w:w="0" w:type="auto"/>
            <w:tcBorders>
              <w:top w:val="nil"/>
              <w:left w:val="nil"/>
              <w:bottom w:val="single" w:sz="8" w:space="0" w:color="auto"/>
              <w:right w:val="single" w:sz="8" w:space="0" w:color="auto"/>
            </w:tcBorders>
            <w:shd w:val="clear" w:color="auto" w:fill="auto"/>
            <w:vAlign w:val="center"/>
            <w:hideMark/>
          </w:tcPr>
          <w:p w14:paraId="2A162617"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2EC01015"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1935B34C"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7D8390E3"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65C8335" w14:textId="77777777" w:rsidR="00FC0453" w:rsidRPr="00806168" w:rsidRDefault="00FC0453" w:rsidP="0044500E">
            <w:pPr>
              <w:pStyle w:val="Paragraphedeliste"/>
              <w:numPr>
                <w:ilvl w:val="0"/>
                <w:numId w:val="139"/>
              </w:numPr>
              <w:spacing w:after="0" w:line="240" w:lineRule="auto"/>
              <w:jc w:val="both"/>
              <w:rPr>
                <w:rFonts w:eastAsia="Times New Roman" w:cs="Calibri"/>
                <w:sz w:val="20"/>
                <w:szCs w:val="16"/>
              </w:rPr>
            </w:pPr>
            <w:r w:rsidRPr="00806168">
              <w:rPr>
                <w:rFonts w:eastAsia="Times New Roman" w:cs="Calibri"/>
                <w:sz w:val="20"/>
                <w:szCs w:val="16"/>
              </w:rPr>
              <w:t>Le projet risque-t-il de générer des déchets solides et liquides (pendant construction et/ou exploitation) ?</w:t>
            </w:r>
          </w:p>
        </w:tc>
        <w:tc>
          <w:tcPr>
            <w:tcW w:w="0" w:type="auto"/>
            <w:tcBorders>
              <w:top w:val="nil"/>
              <w:left w:val="nil"/>
              <w:bottom w:val="single" w:sz="8" w:space="0" w:color="auto"/>
              <w:right w:val="single" w:sz="8" w:space="0" w:color="auto"/>
            </w:tcBorders>
            <w:shd w:val="clear" w:color="auto" w:fill="auto"/>
            <w:vAlign w:val="center"/>
            <w:hideMark/>
          </w:tcPr>
          <w:p w14:paraId="26223CB5"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0A7FA4EE"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5DE6E246"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71B2C867"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B5A3F2A" w14:textId="77777777" w:rsidR="00FC0453" w:rsidRPr="00806168" w:rsidRDefault="00FC0453" w:rsidP="0044500E">
            <w:pPr>
              <w:pStyle w:val="Paragraphedeliste"/>
              <w:numPr>
                <w:ilvl w:val="0"/>
                <w:numId w:val="139"/>
              </w:numPr>
              <w:spacing w:after="0" w:line="240" w:lineRule="auto"/>
              <w:jc w:val="both"/>
              <w:rPr>
                <w:rFonts w:eastAsia="Times New Roman" w:cs="Calibri"/>
                <w:sz w:val="20"/>
                <w:szCs w:val="16"/>
              </w:rPr>
            </w:pPr>
            <w:r w:rsidRPr="00806168">
              <w:rPr>
                <w:rFonts w:eastAsia="Times New Roman" w:cs="Calibri"/>
                <w:sz w:val="20"/>
                <w:szCs w:val="16"/>
              </w:rPr>
              <w:t>L’élimination des déchets est-elle prévue vers des sites pertinents ?</w:t>
            </w:r>
          </w:p>
        </w:tc>
        <w:tc>
          <w:tcPr>
            <w:tcW w:w="0" w:type="auto"/>
            <w:tcBorders>
              <w:top w:val="nil"/>
              <w:left w:val="nil"/>
              <w:bottom w:val="single" w:sz="8" w:space="0" w:color="auto"/>
              <w:right w:val="single" w:sz="8" w:space="0" w:color="auto"/>
            </w:tcBorders>
            <w:shd w:val="clear" w:color="auto" w:fill="auto"/>
            <w:vAlign w:val="center"/>
            <w:hideMark/>
          </w:tcPr>
          <w:p w14:paraId="1035FAEA"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01E78F85"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B7990BF"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366F484F"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2BF002A" w14:textId="77777777" w:rsidR="00FC0453" w:rsidRPr="00806168" w:rsidRDefault="00FC0453" w:rsidP="0044500E">
            <w:pPr>
              <w:pStyle w:val="Paragraphedeliste"/>
              <w:numPr>
                <w:ilvl w:val="0"/>
                <w:numId w:val="139"/>
              </w:numPr>
              <w:spacing w:after="0" w:line="240" w:lineRule="auto"/>
              <w:jc w:val="both"/>
              <w:rPr>
                <w:rFonts w:eastAsia="Times New Roman" w:cs="Calibri"/>
                <w:sz w:val="20"/>
                <w:szCs w:val="16"/>
              </w:rPr>
            </w:pPr>
            <w:r w:rsidRPr="00806168">
              <w:rPr>
                <w:rFonts w:eastAsia="Times New Roman" w:cs="Calibri"/>
                <w:sz w:val="20"/>
                <w:szCs w:val="16"/>
              </w:rPr>
              <w:t>L’infrastructure dispose-t-elle d’un plan formalisé pour leur gestion (collecte, tri, élimination) ?</w:t>
            </w:r>
          </w:p>
        </w:tc>
        <w:tc>
          <w:tcPr>
            <w:tcW w:w="0" w:type="auto"/>
            <w:tcBorders>
              <w:top w:val="nil"/>
              <w:left w:val="nil"/>
              <w:bottom w:val="single" w:sz="8" w:space="0" w:color="auto"/>
              <w:right w:val="single" w:sz="8" w:space="0" w:color="auto"/>
            </w:tcBorders>
            <w:shd w:val="clear" w:color="auto" w:fill="auto"/>
            <w:vAlign w:val="center"/>
            <w:hideMark/>
          </w:tcPr>
          <w:p w14:paraId="24764910"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68DDC3C0"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1EAB8DE5"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7194BD1A"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635C86D" w14:textId="77777777" w:rsidR="00FC0453" w:rsidRPr="00806168" w:rsidRDefault="00FC0453" w:rsidP="0044500E">
            <w:pPr>
              <w:pStyle w:val="Paragraphedeliste"/>
              <w:numPr>
                <w:ilvl w:val="0"/>
                <w:numId w:val="139"/>
              </w:numPr>
              <w:spacing w:after="0" w:line="240" w:lineRule="auto"/>
              <w:jc w:val="both"/>
              <w:rPr>
                <w:rFonts w:eastAsia="Times New Roman" w:cs="Calibri"/>
                <w:sz w:val="20"/>
                <w:szCs w:val="16"/>
              </w:rPr>
            </w:pPr>
            <w:r w:rsidRPr="00806168">
              <w:rPr>
                <w:rFonts w:eastAsia="Times New Roman" w:cs="Calibri"/>
                <w:sz w:val="20"/>
                <w:szCs w:val="16"/>
              </w:rPr>
              <w:t>Y-a-t-il des équipements, infrastructures, personnels pour cette gestion des dits déchets ?</w:t>
            </w:r>
          </w:p>
        </w:tc>
        <w:tc>
          <w:tcPr>
            <w:tcW w:w="0" w:type="auto"/>
            <w:tcBorders>
              <w:top w:val="nil"/>
              <w:left w:val="nil"/>
              <w:bottom w:val="single" w:sz="8" w:space="0" w:color="auto"/>
              <w:right w:val="single" w:sz="8" w:space="0" w:color="auto"/>
            </w:tcBorders>
            <w:shd w:val="clear" w:color="auto" w:fill="auto"/>
            <w:vAlign w:val="center"/>
            <w:hideMark/>
          </w:tcPr>
          <w:p w14:paraId="3856F39C"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7ACC84BB"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130CEAB4"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177FD284"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22773BF" w14:textId="77777777" w:rsidR="00FC0453" w:rsidRPr="00806168" w:rsidRDefault="00FC0453" w:rsidP="0044500E">
            <w:pPr>
              <w:pStyle w:val="Paragraphedeliste"/>
              <w:numPr>
                <w:ilvl w:val="0"/>
                <w:numId w:val="139"/>
              </w:numPr>
              <w:spacing w:after="0" w:line="240" w:lineRule="auto"/>
              <w:jc w:val="both"/>
              <w:rPr>
                <w:rFonts w:eastAsia="Times New Roman" w:cs="Calibri"/>
                <w:sz w:val="20"/>
                <w:szCs w:val="16"/>
              </w:rPr>
            </w:pPr>
            <w:r w:rsidRPr="00806168">
              <w:rPr>
                <w:rFonts w:eastAsia="Times New Roman" w:cs="Calibri"/>
                <w:sz w:val="20"/>
                <w:szCs w:val="16"/>
              </w:rPr>
              <w:t>Le projet peut-il affecter la qualité des eaux de surface, souterraine, sources d’eau potable ?</w:t>
            </w:r>
          </w:p>
        </w:tc>
        <w:tc>
          <w:tcPr>
            <w:tcW w:w="0" w:type="auto"/>
            <w:tcBorders>
              <w:top w:val="nil"/>
              <w:left w:val="nil"/>
              <w:bottom w:val="single" w:sz="8" w:space="0" w:color="auto"/>
              <w:right w:val="single" w:sz="8" w:space="0" w:color="auto"/>
            </w:tcBorders>
            <w:shd w:val="clear" w:color="auto" w:fill="auto"/>
            <w:vAlign w:val="center"/>
            <w:hideMark/>
          </w:tcPr>
          <w:p w14:paraId="6E905667"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324F9C8A"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33351BFF"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78AC3A22"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DBBD35E" w14:textId="77777777" w:rsidR="00FC0453" w:rsidRPr="00806168" w:rsidRDefault="00FC0453" w:rsidP="0044500E">
            <w:pPr>
              <w:pStyle w:val="Paragraphedeliste"/>
              <w:numPr>
                <w:ilvl w:val="0"/>
                <w:numId w:val="139"/>
              </w:numPr>
              <w:spacing w:after="0" w:line="240" w:lineRule="auto"/>
              <w:jc w:val="both"/>
              <w:rPr>
                <w:rFonts w:eastAsia="Times New Roman" w:cs="Calibri"/>
                <w:sz w:val="20"/>
                <w:szCs w:val="16"/>
              </w:rPr>
            </w:pPr>
            <w:r w:rsidRPr="00806168">
              <w:rPr>
                <w:rFonts w:eastAsia="Times New Roman" w:cs="Calibri"/>
                <w:sz w:val="20"/>
                <w:szCs w:val="16"/>
              </w:rPr>
              <w:t>Le projet risque-t-il d’affecter l’atmosphère (poussière, gaz divers, odeur) ?</w:t>
            </w:r>
          </w:p>
        </w:tc>
        <w:tc>
          <w:tcPr>
            <w:tcW w:w="0" w:type="auto"/>
            <w:tcBorders>
              <w:top w:val="nil"/>
              <w:left w:val="nil"/>
              <w:bottom w:val="single" w:sz="8" w:space="0" w:color="auto"/>
              <w:right w:val="single" w:sz="8" w:space="0" w:color="auto"/>
            </w:tcBorders>
            <w:shd w:val="clear" w:color="auto" w:fill="auto"/>
            <w:vAlign w:val="center"/>
            <w:hideMark/>
          </w:tcPr>
          <w:p w14:paraId="49A88694"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613FB5E7"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64324C76"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4ACC4CB7" w14:textId="77777777" w:rsidTr="00FC0453">
        <w:trPr>
          <w:trHeight w:val="288"/>
          <w:jc w:val="center"/>
        </w:trPr>
        <w:tc>
          <w:tcPr>
            <w:tcW w:w="0" w:type="auto"/>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23F2071" w14:textId="77777777" w:rsidR="00FC0453" w:rsidRPr="00806168" w:rsidRDefault="00FC0453" w:rsidP="00FC0453">
            <w:pPr>
              <w:rPr>
                <w:rFonts w:eastAsia="Times New Roman" w:cs="Calibri"/>
                <w:b/>
                <w:bCs/>
                <w:i/>
                <w:iCs/>
                <w:color w:val="000000"/>
                <w:sz w:val="20"/>
                <w:szCs w:val="16"/>
              </w:rPr>
            </w:pPr>
            <w:r w:rsidRPr="00806168">
              <w:rPr>
                <w:rFonts w:eastAsia="Times New Roman" w:cs="Calibri"/>
                <w:b/>
                <w:bCs/>
                <w:i/>
                <w:iCs/>
                <w:color w:val="000000"/>
                <w:sz w:val="20"/>
                <w:szCs w:val="16"/>
              </w:rPr>
              <w:t>2.9 Mode de vie</w:t>
            </w:r>
          </w:p>
        </w:tc>
      </w:tr>
      <w:tr w:rsidR="00FC0453" w:rsidRPr="00806168" w14:paraId="06EA6984"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AA7F522" w14:textId="77777777" w:rsidR="00FC0453" w:rsidRPr="00806168" w:rsidRDefault="00FC0453" w:rsidP="0044500E">
            <w:pPr>
              <w:pStyle w:val="Paragraphedeliste"/>
              <w:numPr>
                <w:ilvl w:val="0"/>
                <w:numId w:val="140"/>
              </w:numPr>
              <w:spacing w:after="0" w:line="240" w:lineRule="auto"/>
              <w:jc w:val="both"/>
              <w:rPr>
                <w:rFonts w:eastAsia="Times New Roman" w:cs="Calibri"/>
                <w:sz w:val="20"/>
                <w:szCs w:val="16"/>
              </w:rPr>
            </w:pPr>
            <w:r w:rsidRPr="00806168">
              <w:rPr>
                <w:rFonts w:eastAsia="Times New Roman" w:cs="Calibri"/>
                <w:sz w:val="20"/>
                <w:szCs w:val="16"/>
              </w:rPr>
              <w:t>Le projet amène-t-il des changements de mode de vie ou de comportement ?</w:t>
            </w:r>
          </w:p>
        </w:tc>
        <w:tc>
          <w:tcPr>
            <w:tcW w:w="0" w:type="auto"/>
            <w:tcBorders>
              <w:top w:val="nil"/>
              <w:left w:val="nil"/>
              <w:bottom w:val="single" w:sz="8" w:space="0" w:color="auto"/>
              <w:right w:val="single" w:sz="8" w:space="0" w:color="auto"/>
            </w:tcBorders>
            <w:shd w:val="clear" w:color="auto" w:fill="auto"/>
            <w:vAlign w:val="center"/>
            <w:hideMark/>
          </w:tcPr>
          <w:p w14:paraId="3873CC01"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4D66141C"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601E5687"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796795F9"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9DE92B7" w14:textId="77777777" w:rsidR="00FC0453" w:rsidRPr="00806168" w:rsidRDefault="00FC0453" w:rsidP="0044500E">
            <w:pPr>
              <w:pStyle w:val="Paragraphedeliste"/>
              <w:numPr>
                <w:ilvl w:val="0"/>
                <w:numId w:val="140"/>
              </w:numPr>
              <w:spacing w:after="0" w:line="240" w:lineRule="auto"/>
              <w:jc w:val="both"/>
              <w:rPr>
                <w:rFonts w:eastAsia="Times New Roman" w:cs="Calibri"/>
                <w:sz w:val="20"/>
                <w:szCs w:val="16"/>
              </w:rPr>
            </w:pPr>
            <w:r w:rsidRPr="00806168">
              <w:rPr>
                <w:rFonts w:eastAsia="Times New Roman" w:cs="Calibri"/>
                <w:sz w:val="20"/>
                <w:szCs w:val="16"/>
              </w:rPr>
              <w:t>Existe-t-il des groupes spécifiques qui seront plus touchés par ces changements de mode vie ou de comportements (par genre, âge et catégorie socio professionnelle ou culturelle) ?</w:t>
            </w:r>
          </w:p>
        </w:tc>
        <w:tc>
          <w:tcPr>
            <w:tcW w:w="0" w:type="auto"/>
            <w:tcBorders>
              <w:top w:val="nil"/>
              <w:left w:val="nil"/>
              <w:bottom w:val="single" w:sz="8" w:space="0" w:color="auto"/>
              <w:right w:val="single" w:sz="8" w:space="0" w:color="auto"/>
            </w:tcBorders>
            <w:shd w:val="clear" w:color="auto" w:fill="auto"/>
            <w:vAlign w:val="center"/>
            <w:hideMark/>
          </w:tcPr>
          <w:p w14:paraId="1AAF654D"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55CE0740"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5BF8F8A4"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257B1F97"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5F16EF7" w14:textId="77777777" w:rsidR="00FC0453" w:rsidRPr="00806168" w:rsidRDefault="00FC0453" w:rsidP="0044500E">
            <w:pPr>
              <w:pStyle w:val="Paragraphedeliste"/>
              <w:numPr>
                <w:ilvl w:val="0"/>
                <w:numId w:val="140"/>
              </w:numPr>
              <w:spacing w:after="0" w:line="240" w:lineRule="auto"/>
              <w:jc w:val="both"/>
              <w:rPr>
                <w:rFonts w:eastAsia="Times New Roman" w:cs="Calibri"/>
                <w:sz w:val="20"/>
                <w:szCs w:val="16"/>
              </w:rPr>
            </w:pPr>
            <w:r w:rsidRPr="00806168">
              <w:rPr>
                <w:rFonts w:eastAsia="Times New Roman" w:cs="Calibri"/>
                <w:sz w:val="20"/>
                <w:szCs w:val="16"/>
              </w:rPr>
              <w:t>Ces changements concernent ils des usages, pratiques et traditions culturels locaux ?</w:t>
            </w:r>
          </w:p>
        </w:tc>
        <w:tc>
          <w:tcPr>
            <w:tcW w:w="0" w:type="auto"/>
            <w:tcBorders>
              <w:top w:val="nil"/>
              <w:left w:val="nil"/>
              <w:bottom w:val="single" w:sz="8" w:space="0" w:color="auto"/>
              <w:right w:val="single" w:sz="8" w:space="0" w:color="auto"/>
            </w:tcBorders>
            <w:shd w:val="clear" w:color="auto" w:fill="auto"/>
            <w:vAlign w:val="center"/>
            <w:hideMark/>
          </w:tcPr>
          <w:p w14:paraId="6A3AB6CB"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69838B5F"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76869E7D"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6C8324CF"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F77B932" w14:textId="77777777" w:rsidR="00FC0453" w:rsidRPr="00806168" w:rsidRDefault="00FC0453" w:rsidP="0044500E">
            <w:pPr>
              <w:pStyle w:val="Paragraphedeliste"/>
              <w:numPr>
                <w:ilvl w:val="0"/>
                <w:numId w:val="140"/>
              </w:numPr>
              <w:spacing w:after="0" w:line="240" w:lineRule="auto"/>
              <w:jc w:val="both"/>
              <w:rPr>
                <w:rFonts w:eastAsia="Times New Roman" w:cs="Calibri"/>
                <w:sz w:val="20"/>
                <w:szCs w:val="16"/>
              </w:rPr>
            </w:pPr>
            <w:r w:rsidRPr="00806168">
              <w:rPr>
                <w:rFonts w:eastAsia="Times New Roman" w:cs="Calibri"/>
                <w:sz w:val="20"/>
                <w:szCs w:val="16"/>
              </w:rPr>
              <w:t>Les bénéficiaires directs ou indirects doivent ils changer de comportement et sont-ils d’accord ?</w:t>
            </w:r>
          </w:p>
        </w:tc>
        <w:tc>
          <w:tcPr>
            <w:tcW w:w="0" w:type="auto"/>
            <w:tcBorders>
              <w:top w:val="nil"/>
              <w:left w:val="nil"/>
              <w:bottom w:val="single" w:sz="8" w:space="0" w:color="auto"/>
              <w:right w:val="single" w:sz="8" w:space="0" w:color="auto"/>
            </w:tcBorders>
            <w:shd w:val="clear" w:color="auto" w:fill="auto"/>
            <w:vAlign w:val="center"/>
            <w:hideMark/>
          </w:tcPr>
          <w:p w14:paraId="2F08AF19"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7B321657"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4B8FF3A7"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46A4A205"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E27FC8D" w14:textId="77777777" w:rsidR="00FC0453" w:rsidRPr="00806168" w:rsidRDefault="00FC0453" w:rsidP="0044500E">
            <w:pPr>
              <w:pStyle w:val="Paragraphedeliste"/>
              <w:numPr>
                <w:ilvl w:val="0"/>
                <w:numId w:val="140"/>
              </w:numPr>
              <w:spacing w:after="0" w:line="240" w:lineRule="auto"/>
              <w:jc w:val="both"/>
              <w:rPr>
                <w:rFonts w:eastAsia="Times New Roman" w:cs="Calibri"/>
                <w:sz w:val="20"/>
                <w:szCs w:val="16"/>
              </w:rPr>
            </w:pPr>
            <w:r w:rsidRPr="00806168">
              <w:rPr>
                <w:rFonts w:eastAsia="Times New Roman" w:cs="Calibri"/>
                <w:sz w:val="20"/>
                <w:szCs w:val="16"/>
              </w:rPr>
              <w:t>Le projet peut-il entraîner des altérations du mode de vie des populations concernées ?</w:t>
            </w:r>
          </w:p>
        </w:tc>
        <w:tc>
          <w:tcPr>
            <w:tcW w:w="0" w:type="auto"/>
            <w:tcBorders>
              <w:top w:val="nil"/>
              <w:left w:val="nil"/>
              <w:bottom w:val="single" w:sz="8" w:space="0" w:color="auto"/>
              <w:right w:val="single" w:sz="8" w:space="0" w:color="auto"/>
            </w:tcBorders>
            <w:shd w:val="clear" w:color="auto" w:fill="auto"/>
            <w:vAlign w:val="center"/>
            <w:hideMark/>
          </w:tcPr>
          <w:p w14:paraId="5F10A807"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1D0B09A9"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4B7E4833"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38AFD975"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4E87D52" w14:textId="77777777" w:rsidR="00FC0453" w:rsidRPr="00806168" w:rsidRDefault="00FC0453" w:rsidP="0044500E">
            <w:pPr>
              <w:pStyle w:val="Paragraphedeliste"/>
              <w:numPr>
                <w:ilvl w:val="0"/>
                <w:numId w:val="140"/>
              </w:numPr>
              <w:spacing w:after="0" w:line="240" w:lineRule="auto"/>
              <w:jc w:val="both"/>
              <w:rPr>
                <w:rFonts w:eastAsia="Times New Roman" w:cs="Calibri"/>
                <w:sz w:val="20"/>
                <w:szCs w:val="16"/>
              </w:rPr>
            </w:pPr>
            <w:r w:rsidRPr="00806168">
              <w:rPr>
                <w:rFonts w:eastAsia="Times New Roman" w:cs="Calibri"/>
                <w:sz w:val="20"/>
                <w:szCs w:val="16"/>
              </w:rPr>
              <w:t>Le projet peut-il entraîner une accentuation des inégalités sociales ?</w:t>
            </w:r>
          </w:p>
        </w:tc>
        <w:tc>
          <w:tcPr>
            <w:tcW w:w="0" w:type="auto"/>
            <w:tcBorders>
              <w:top w:val="nil"/>
              <w:left w:val="nil"/>
              <w:bottom w:val="single" w:sz="8" w:space="0" w:color="auto"/>
              <w:right w:val="single" w:sz="8" w:space="0" w:color="auto"/>
            </w:tcBorders>
            <w:shd w:val="clear" w:color="auto" w:fill="auto"/>
            <w:vAlign w:val="center"/>
            <w:hideMark/>
          </w:tcPr>
          <w:p w14:paraId="561C9505"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218DBFAE"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55FF280A"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38449709"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D361E77" w14:textId="77777777" w:rsidR="00FC0453" w:rsidRPr="00806168" w:rsidRDefault="00FC0453" w:rsidP="0044500E">
            <w:pPr>
              <w:pStyle w:val="Paragraphedeliste"/>
              <w:numPr>
                <w:ilvl w:val="0"/>
                <w:numId w:val="140"/>
              </w:numPr>
              <w:spacing w:after="0" w:line="240" w:lineRule="auto"/>
              <w:jc w:val="both"/>
              <w:rPr>
                <w:rFonts w:eastAsia="Times New Roman" w:cs="Calibri"/>
                <w:sz w:val="20"/>
                <w:szCs w:val="16"/>
              </w:rPr>
            </w:pPr>
            <w:r w:rsidRPr="00806168">
              <w:rPr>
                <w:rFonts w:eastAsia="Times New Roman" w:cs="Calibri"/>
                <w:sz w:val="20"/>
                <w:szCs w:val="16"/>
              </w:rPr>
              <w:t>Les modalités d’usage (distance, horaires, etc.) excluront-ils des acteurs potentiels ?</w:t>
            </w:r>
          </w:p>
        </w:tc>
        <w:tc>
          <w:tcPr>
            <w:tcW w:w="0" w:type="auto"/>
            <w:tcBorders>
              <w:top w:val="nil"/>
              <w:left w:val="nil"/>
              <w:bottom w:val="single" w:sz="8" w:space="0" w:color="auto"/>
              <w:right w:val="single" w:sz="8" w:space="0" w:color="auto"/>
            </w:tcBorders>
            <w:shd w:val="clear" w:color="auto" w:fill="auto"/>
            <w:vAlign w:val="center"/>
            <w:hideMark/>
          </w:tcPr>
          <w:p w14:paraId="303BA794"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7B98A544"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A090D01"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0C2E6CD0"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A630C89" w14:textId="77777777" w:rsidR="00FC0453" w:rsidRPr="00806168" w:rsidRDefault="00FC0453" w:rsidP="0044500E">
            <w:pPr>
              <w:pStyle w:val="Paragraphedeliste"/>
              <w:numPr>
                <w:ilvl w:val="0"/>
                <w:numId w:val="140"/>
              </w:numPr>
              <w:spacing w:after="0" w:line="240" w:lineRule="auto"/>
              <w:jc w:val="both"/>
              <w:rPr>
                <w:rFonts w:eastAsia="Times New Roman" w:cs="Calibri"/>
                <w:sz w:val="20"/>
                <w:szCs w:val="16"/>
              </w:rPr>
            </w:pPr>
            <w:r w:rsidRPr="00806168">
              <w:rPr>
                <w:rFonts w:eastAsia="Times New Roman" w:cs="Calibri"/>
                <w:sz w:val="20"/>
                <w:szCs w:val="16"/>
              </w:rPr>
              <w:t>Est-il possible que certains acteurs s’approprient l’ouvrage et/ou son usage à leur profit ?</w:t>
            </w:r>
          </w:p>
        </w:tc>
        <w:tc>
          <w:tcPr>
            <w:tcW w:w="0" w:type="auto"/>
            <w:tcBorders>
              <w:top w:val="nil"/>
              <w:left w:val="nil"/>
              <w:bottom w:val="single" w:sz="8" w:space="0" w:color="auto"/>
              <w:right w:val="single" w:sz="8" w:space="0" w:color="auto"/>
            </w:tcBorders>
            <w:shd w:val="clear" w:color="auto" w:fill="auto"/>
            <w:vAlign w:val="center"/>
            <w:hideMark/>
          </w:tcPr>
          <w:p w14:paraId="04E4BC90"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56229D27"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08F3CDE5"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7C09125C"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C1117E4" w14:textId="77777777" w:rsidR="00FC0453" w:rsidRPr="00806168" w:rsidRDefault="00FC0453" w:rsidP="0044500E">
            <w:pPr>
              <w:pStyle w:val="Paragraphedeliste"/>
              <w:numPr>
                <w:ilvl w:val="0"/>
                <w:numId w:val="140"/>
              </w:numPr>
              <w:spacing w:after="0" w:line="240" w:lineRule="auto"/>
              <w:jc w:val="both"/>
              <w:rPr>
                <w:rFonts w:eastAsia="Times New Roman" w:cs="Calibri"/>
                <w:sz w:val="20"/>
                <w:szCs w:val="16"/>
              </w:rPr>
            </w:pPr>
            <w:r w:rsidRPr="00806168">
              <w:rPr>
                <w:rFonts w:eastAsia="Times New Roman" w:cs="Calibri"/>
                <w:sz w:val="20"/>
                <w:szCs w:val="16"/>
              </w:rPr>
              <w:t>Le projet peut-il entraîner des utilisations incompatibles ou conflits sociaux entre les différents usagers ?</w:t>
            </w:r>
          </w:p>
        </w:tc>
        <w:tc>
          <w:tcPr>
            <w:tcW w:w="0" w:type="auto"/>
            <w:tcBorders>
              <w:top w:val="nil"/>
              <w:left w:val="nil"/>
              <w:bottom w:val="single" w:sz="8" w:space="0" w:color="auto"/>
              <w:right w:val="single" w:sz="8" w:space="0" w:color="auto"/>
            </w:tcBorders>
            <w:shd w:val="clear" w:color="auto" w:fill="auto"/>
            <w:vAlign w:val="center"/>
            <w:hideMark/>
          </w:tcPr>
          <w:p w14:paraId="66CE65BC"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1721CA52"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065B6A48"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724145BB" w14:textId="77777777" w:rsidTr="00FC0453">
        <w:trPr>
          <w:trHeight w:val="288"/>
          <w:jc w:val="center"/>
        </w:trPr>
        <w:tc>
          <w:tcPr>
            <w:tcW w:w="0" w:type="auto"/>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3125B32" w14:textId="77777777" w:rsidR="00FC0453" w:rsidRPr="00806168" w:rsidRDefault="00FC0453" w:rsidP="00FC0453">
            <w:pPr>
              <w:rPr>
                <w:rFonts w:eastAsia="Times New Roman" w:cs="Calibri"/>
                <w:b/>
                <w:bCs/>
                <w:i/>
                <w:iCs/>
                <w:color w:val="000000"/>
                <w:sz w:val="20"/>
                <w:szCs w:val="16"/>
              </w:rPr>
            </w:pPr>
            <w:r w:rsidRPr="00806168">
              <w:rPr>
                <w:rFonts w:eastAsia="Times New Roman" w:cs="Calibri"/>
                <w:b/>
                <w:bCs/>
                <w:i/>
                <w:iCs/>
                <w:color w:val="000000"/>
                <w:sz w:val="20"/>
                <w:szCs w:val="16"/>
              </w:rPr>
              <w:t>2.10 Santé / Protection des travailleurs et population</w:t>
            </w:r>
          </w:p>
        </w:tc>
      </w:tr>
      <w:tr w:rsidR="00FC0453" w:rsidRPr="00806168" w14:paraId="55AF80EC"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D1D1C75" w14:textId="77777777" w:rsidR="00FC0453" w:rsidRPr="00806168" w:rsidRDefault="00FC0453" w:rsidP="0044500E">
            <w:pPr>
              <w:pStyle w:val="Paragraphedeliste"/>
              <w:numPr>
                <w:ilvl w:val="0"/>
                <w:numId w:val="141"/>
              </w:numPr>
              <w:spacing w:after="0" w:line="240" w:lineRule="auto"/>
              <w:jc w:val="both"/>
              <w:rPr>
                <w:rFonts w:eastAsia="Times New Roman" w:cs="Calibri"/>
                <w:sz w:val="20"/>
                <w:szCs w:val="16"/>
              </w:rPr>
            </w:pPr>
            <w:r w:rsidRPr="00806168">
              <w:rPr>
                <w:rFonts w:eastAsia="Times New Roman" w:cs="Calibri"/>
                <w:sz w:val="20"/>
                <w:szCs w:val="16"/>
              </w:rPr>
              <w:t>Le projet peut-il induire des risques d’accidents pour les travailleurs et les populations ?</w:t>
            </w:r>
          </w:p>
        </w:tc>
        <w:tc>
          <w:tcPr>
            <w:tcW w:w="0" w:type="auto"/>
            <w:tcBorders>
              <w:top w:val="nil"/>
              <w:left w:val="nil"/>
              <w:bottom w:val="single" w:sz="8" w:space="0" w:color="auto"/>
              <w:right w:val="single" w:sz="8" w:space="0" w:color="auto"/>
            </w:tcBorders>
            <w:shd w:val="clear" w:color="auto" w:fill="auto"/>
            <w:vAlign w:val="center"/>
            <w:hideMark/>
          </w:tcPr>
          <w:p w14:paraId="70D99948"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66DA44C2"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5E8CAC01"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008D7820"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8F1C06A" w14:textId="77777777" w:rsidR="00FC0453" w:rsidRPr="00806168" w:rsidRDefault="00FC0453" w:rsidP="0044500E">
            <w:pPr>
              <w:pStyle w:val="Paragraphedeliste"/>
              <w:numPr>
                <w:ilvl w:val="0"/>
                <w:numId w:val="141"/>
              </w:numPr>
              <w:spacing w:after="0" w:line="240" w:lineRule="auto"/>
              <w:jc w:val="both"/>
              <w:rPr>
                <w:rFonts w:eastAsia="Times New Roman" w:cs="Calibri"/>
                <w:sz w:val="20"/>
                <w:szCs w:val="16"/>
              </w:rPr>
            </w:pPr>
            <w:r w:rsidRPr="00806168">
              <w:rPr>
                <w:rFonts w:eastAsia="Times New Roman" w:cs="Calibri"/>
                <w:sz w:val="20"/>
                <w:szCs w:val="16"/>
              </w:rPr>
              <w:t>Existe-t-il des catégories (socio-professionnelle, genre, âge,) qui seront plus touchées ?</w:t>
            </w:r>
          </w:p>
        </w:tc>
        <w:tc>
          <w:tcPr>
            <w:tcW w:w="0" w:type="auto"/>
            <w:tcBorders>
              <w:top w:val="nil"/>
              <w:left w:val="nil"/>
              <w:bottom w:val="single" w:sz="8" w:space="0" w:color="auto"/>
              <w:right w:val="single" w:sz="8" w:space="0" w:color="auto"/>
            </w:tcBorders>
            <w:shd w:val="clear" w:color="auto" w:fill="auto"/>
            <w:vAlign w:val="center"/>
            <w:hideMark/>
          </w:tcPr>
          <w:p w14:paraId="7D6F84CF"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3A470564"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51A6A179"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082F88FB"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E461CF2" w14:textId="77777777" w:rsidR="00FC0453" w:rsidRPr="00806168" w:rsidRDefault="00FC0453" w:rsidP="0044500E">
            <w:pPr>
              <w:pStyle w:val="Paragraphedeliste"/>
              <w:numPr>
                <w:ilvl w:val="0"/>
                <w:numId w:val="141"/>
              </w:numPr>
              <w:spacing w:after="0" w:line="240" w:lineRule="auto"/>
              <w:jc w:val="both"/>
              <w:rPr>
                <w:rFonts w:eastAsia="Times New Roman" w:cs="Calibri"/>
                <w:sz w:val="20"/>
                <w:szCs w:val="16"/>
              </w:rPr>
            </w:pPr>
            <w:r w:rsidRPr="00806168">
              <w:rPr>
                <w:rFonts w:eastAsia="Times New Roman" w:cs="Calibri"/>
                <w:sz w:val="20"/>
                <w:szCs w:val="16"/>
              </w:rPr>
              <w:t>Durant les travaux le site est-il bien protégé, équipé, et signalé contre les accidents ?</w:t>
            </w:r>
          </w:p>
        </w:tc>
        <w:tc>
          <w:tcPr>
            <w:tcW w:w="0" w:type="auto"/>
            <w:tcBorders>
              <w:top w:val="nil"/>
              <w:left w:val="nil"/>
              <w:bottom w:val="single" w:sz="8" w:space="0" w:color="auto"/>
              <w:right w:val="single" w:sz="8" w:space="0" w:color="auto"/>
            </w:tcBorders>
            <w:shd w:val="clear" w:color="auto" w:fill="auto"/>
            <w:vAlign w:val="center"/>
            <w:hideMark/>
          </w:tcPr>
          <w:p w14:paraId="72D14807"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61C53139"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64FE3B23"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6906928E"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2A6C1CD" w14:textId="77777777" w:rsidR="00FC0453" w:rsidRPr="00806168" w:rsidRDefault="00FC0453" w:rsidP="0044500E">
            <w:pPr>
              <w:pStyle w:val="Paragraphedeliste"/>
              <w:numPr>
                <w:ilvl w:val="0"/>
                <w:numId w:val="141"/>
              </w:numPr>
              <w:spacing w:after="0" w:line="240" w:lineRule="auto"/>
              <w:jc w:val="both"/>
              <w:rPr>
                <w:rFonts w:eastAsia="Times New Roman" w:cs="Calibri"/>
                <w:sz w:val="20"/>
                <w:szCs w:val="16"/>
              </w:rPr>
            </w:pPr>
            <w:r w:rsidRPr="00806168">
              <w:rPr>
                <w:rFonts w:eastAsia="Times New Roman" w:cs="Calibri"/>
                <w:sz w:val="20"/>
                <w:szCs w:val="16"/>
              </w:rPr>
              <w:t>Le projet peut-il causer des risques pour la santé des travailleurs et de la population ?</w:t>
            </w:r>
          </w:p>
        </w:tc>
        <w:tc>
          <w:tcPr>
            <w:tcW w:w="0" w:type="auto"/>
            <w:tcBorders>
              <w:top w:val="nil"/>
              <w:left w:val="nil"/>
              <w:bottom w:val="single" w:sz="8" w:space="0" w:color="auto"/>
              <w:right w:val="single" w:sz="8" w:space="0" w:color="auto"/>
            </w:tcBorders>
            <w:shd w:val="clear" w:color="auto" w:fill="auto"/>
            <w:vAlign w:val="center"/>
            <w:hideMark/>
          </w:tcPr>
          <w:p w14:paraId="7265AD49"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41B5C53A"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755C17B6"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4543B816"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C315217" w14:textId="77777777" w:rsidR="00FC0453" w:rsidRPr="00806168" w:rsidRDefault="00FC0453" w:rsidP="0044500E">
            <w:pPr>
              <w:pStyle w:val="Paragraphedeliste"/>
              <w:numPr>
                <w:ilvl w:val="0"/>
                <w:numId w:val="141"/>
              </w:numPr>
              <w:spacing w:after="0" w:line="240" w:lineRule="auto"/>
              <w:jc w:val="both"/>
              <w:rPr>
                <w:rFonts w:eastAsia="Times New Roman" w:cs="Calibri"/>
                <w:sz w:val="20"/>
                <w:szCs w:val="16"/>
              </w:rPr>
            </w:pPr>
            <w:r w:rsidRPr="00806168">
              <w:rPr>
                <w:rFonts w:eastAsia="Times New Roman" w:cs="Calibri"/>
                <w:sz w:val="20"/>
                <w:szCs w:val="16"/>
              </w:rPr>
              <w:t>Le personnel et la population vont-ils être sensibilisés aux MST / VIH / SIDA ?</w:t>
            </w:r>
          </w:p>
        </w:tc>
        <w:tc>
          <w:tcPr>
            <w:tcW w:w="0" w:type="auto"/>
            <w:tcBorders>
              <w:top w:val="nil"/>
              <w:left w:val="nil"/>
              <w:bottom w:val="single" w:sz="8" w:space="0" w:color="auto"/>
              <w:right w:val="single" w:sz="8" w:space="0" w:color="auto"/>
            </w:tcBorders>
            <w:shd w:val="clear" w:color="auto" w:fill="auto"/>
            <w:vAlign w:val="center"/>
            <w:hideMark/>
          </w:tcPr>
          <w:p w14:paraId="4B270389"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32BF8E0A"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79B8E55A"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4601490B"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FA10B6" w14:textId="77777777" w:rsidR="00FC0453" w:rsidRPr="00806168" w:rsidRDefault="00FC0453" w:rsidP="0044500E">
            <w:pPr>
              <w:pStyle w:val="Paragraphedeliste"/>
              <w:numPr>
                <w:ilvl w:val="0"/>
                <w:numId w:val="141"/>
              </w:numPr>
              <w:spacing w:after="0" w:line="240" w:lineRule="auto"/>
              <w:jc w:val="both"/>
              <w:rPr>
                <w:rFonts w:eastAsia="Times New Roman" w:cs="Calibri"/>
                <w:sz w:val="20"/>
                <w:szCs w:val="16"/>
              </w:rPr>
            </w:pPr>
            <w:r w:rsidRPr="00806168">
              <w:rPr>
                <w:rFonts w:eastAsia="Times New Roman" w:cs="Calibri"/>
                <w:sz w:val="20"/>
                <w:szCs w:val="16"/>
              </w:rPr>
              <w:t>Le projet peut-il entrainer une augmentation des vecteurs de maladie ?</w:t>
            </w:r>
          </w:p>
        </w:tc>
        <w:tc>
          <w:tcPr>
            <w:tcW w:w="0" w:type="auto"/>
            <w:tcBorders>
              <w:top w:val="nil"/>
              <w:left w:val="nil"/>
              <w:bottom w:val="single" w:sz="8" w:space="0" w:color="auto"/>
              <w:right w:val="single" w:sz="8" w:space="0" w:color="auto"/>
            </w:tcBorders>
            <w:shd w:val="clear" w:color="auto" w:fill="auto"/>
            <w:vAlign w:val="center"/>
            <w:hideMark/>
          </w:tcPr>
          <w:p w14:paraId="01600577"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5BBE568F"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300B8BDC"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6A4AE209"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A5C07D5" w14:textId="77777777" w:rsidR="00FC0453" w:rsidRPr="00806168" w:rsidRDefault="00FC0453" w:rsidP="0044500E">
            <w:pPr>
              <w:pStyle w:val="Paragraphedeliste"/>
              <w:numPr>
                <w:ilvl w:val="0"/>
                <w:numId w:val="141"/>
              </w:numPr>
              <w:spacing w:after="0" w:line="240" w:lineRule="auto"/>
              <w:jc w:val="both"/>
              <w:rPr>
                <w:rFonts w:eastAsia="Times New Roman" w:cs="Calibri"/>
                <w:sz w:val="20"/>
                <w:szCs w:val="16"/>
              </w:rPr>
            </w:pPr>
            <w:r w:rsidRPr="00806168">
              <w:rPr>
                <w:rFonts w:eastAsia="Times New Roman" w:cs="Calibri"/>
                <w:sz w:val="20"/>
                <w:szCs w:val="16"/>
              </w:rPr>
              <w:t>Le projet peut-il causer des risques pour la santé animale ?</w:t>
            </w:r>
          </w:p>
        </w:tc>
        <w:tc>
          <w:tcPr>
            <w:tcW w:w="0" w:type="auto"/>
            <w:tcBorders>
              <w:top w:val="nil"/>
              <w:left w:val="nil"/>
              <w:bottom w:val="single" w:sz="8" w:space="0" w:color="auto"/>
              <w:right w:val="single" w:sz="8" w:space="0" w:color="auto"/>
            </w:tcBorders>
            <w:shd w:val="clear" w:color="auto" w:fill="auto"/>
            <w:vAlign w:val="center"/>
            <w:hideMark/>
          </w:tcPr>
          <w:p w14:paraId="77A5523D"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1C50E287"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660F0BF7"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6C75B786" w14:textId="77777777" w:rsidTr="00FC0453">
        <w:trPr>
          <w:trHeight w:val="288"/>
          <w:jc w:val="center"/>
        </w:trPr>
        <w:tc>
          <w:tcPr>
            <w:tcW w:w="0" w:type="auto"/>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5CE7545" w14:textId="77777777" w:rsidR="00FC0453" w:rsidRPr="00806168" w:rsidRDefault="00FC0453" w:rsidP="00FC0453">
            <w:pPr>
              <w:rPr>
                <w:rFonts w:eastAsia="Times New Roman" w:cs="Calibri"/>
                <w:b/>
                <w:bCs/>
                <w:i/>
                <w:iCs/>
                <w:color w:val="000000"/>
                <w:sz w:val="20"/>
                <w:szCs w:val="16"/>
              </w:rPr>
            </w:pPr>
            <w:r w:rsidRPr="00806168">
              <w:rPr>
                <w:rFonts w:eastAsia="Times New Roman" w:cs="Calibri"/>
                <w:b/>
                <w:bCs/>
                <w:i/>
                <w:iCs/>
                <w:color w:val="000000"/>
                <w:sz w:val="20"/>
                <w:szCs w:val="16"/>
              </w:rPr>
              <w:t xml:space="preserve"> 2.11 Revenus locaux </w:t>
            </w:r>
          </w:p>
        </w:tc>
      </w:tr>
      <w:tr w:rsidR="00FC0453" w:rsidRPr="00806168" w14:paraId="30333CBC"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B0E7940" w14:textId="77777777" w:rsidR="00FC0453" w:rsidRPr="00806168" w:rsidRDefault="00FC0453" w:rsidP="0044500E">
            <w:pPr>
              <w:pStyle w:val="Paragraphedeliste"/>
              <w:numPr>
                <w:ilvl w:val="0"/>
                <w:numId w:val="142"/>
              </w:numPr>
              <w:spacing w:after="0" w:line="240" w:lineRule="auto"/>
              <w:jc w:val="both"/>
              <w:rPr>
                <w:rFonts w:eastAsia="Times New Roman" w:cs="Calibri"/>
                <w:sz w:val="20"/>
                <w:szCs w:val="16"/>
              </w:rPr>
            </w:pPr>
            <w:r w:rsidRPr="00806168">
              <w:rPr>
                <w:rFonts w:eastAsia="Times New Roman" w:cs="Calibri"/>
                <w:sz w:val="20"/>
                <w:szCs w:val="16"/>
              </w:rPr>
              <w:t>Le projet permet-il la création d’emploi ?</w:t>
            </w:r>
          </w:p>
        </w:tc>
        <w:tc>
          <w:tcPr>
            <w:tcW w:w="0" w:type="auto"/>
            <w:tcBorders>
              <w:top w:val="nil"/>
              <w:left w:val="nil"/>
              <w:bottom w:val="single" w:sz="8" w:space="0" w:color="auto"/>
              <w:right w:val="single" w:sz="8" w:space="0" w:color="auto"/>
            </w:tcBorders>
            <w:shd w:val="clear" w:color="auto" w:fill="auto"/>
            <w:vAlign w:val="center"/>
            <w:hideMark/>
          </w:tcPr>
          <w:p w14:paraId="754E89E7"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610D5448"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5767479D"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6517C133"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8ADC4F3" w14:textId="77777777" w:rsidR="00FC0453" w:rsidRPr="00806168" w:rsidRDefault="00FC0453" w:rsidP="0044500E">
            <w:pPr>
              <w:pStyle w:val="Paragraphedeliste"/>
              <w:numPr>
                <w:ilvl w:val="0"/>
                <w:numId w:val="142"/>
              </w:numPr>
              <w:spacing w:after="0" w:line="240" w:lineRule="auto"/>
              <w:jc w:val="both"/>
              <w:rPr>
                <w:rFonts w:eastAsia="Times New Roman" w:cs="Calibri"/>
                <w:sz w:val="20"/>
                <w:szCs w:val="16"/>
              </w:rPr>
            </w:pPr>
            <w:r w:rsidRPr="00806168">
              <w:rPr>
                <w:rFonts w:eastAsia="Times New Roman" w:cs="Calibri"/>
                <w:sz w:val="20"/>
                <w:szCs w:val="16"/>
              </w:rPr>
              <w:t>Le recrutement privilégie-t-il la non-discrimination par genre à critères professionnels égaux ?</w:t>
            </w:r>
          </w:p>
        </w:tc>
        <w:tc>
          <w:tcPr>
            <w:tcW w:w="0" w:type="auto"/>
            <w:tcBorders>
              <w:top w:val="nil"/>
              <w:left w:val="nil"/>
              <w:bottom w:val="single" w:sz="8" w:space="0" w:color="auto"/>
              <w:right w:val="single" w:sz="8" w:space="0" w:color="auto"/>
            </w:tcBorders>
            <w:shd w:val="clear" w:color="auto" w:fill="auto"/>
            <w:vAlign w:val="center"/>
            <w:hideMark/>
          </w:tcPr>
          <w:p w14:paraId="7D697125"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51269499"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501F8AAC"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507BE43F"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B5B9DC3" w14:textId="77777777" w:rsidR="00FC0453" w:rsidRPr="00806168" w:rsidRDefault="00FC0453" w:rsidP="0044500E">
            <w:pPr>
              <w:pStyle w:val="Paragraphedeliste"/>
              <w:numPr>
                <w:ilvl w:val="0"/>
                <w:numId w:val="142"/>
              </w:numPr>
              <w:spacing w:after="0" w:line="240" w:lineRule="auto"/>
              <w:jc w:val="both"/>
              <w:rPr>
                <w:rFonts w:eastAsia="Times New Roman" w:cs="Calibri"/>
                <w:sz w:val="20"/>
                <w:szCs w:val="16"/>
              </w:rPr>
            </w:pPr>
            <w:r w:rsidRPr="00806168">
              <w:rPr>
                <w:rFonts w:eastAsia="Times New Roman" w:cs="Calibri"/>
                <w:sz w:val="20"/>
                <w:szCs w:val="16"/>
              </w:rPr>
              <w:t>Le projet induit-il des achats (matériaux, équipements, fournitures, etc.) ?</w:t>
            </w:r>
          </w:p>
        </w:tc>
        <w:tc>
          <w:tcPr>
            <w:tcW w:w="0" w:type="auto"/>
            <w:tcBorders>
              <w:top w:val="nil"/>
              <w:left w:val="nil"/>
              <w:bottom w:val="single" w:sz="8" w:space="0" w:color="auto"/>
              <w:right w:val="single" w:sz="8" w:space="0" w:color="auto"/>
            </w:tcBorders>
            <w:shd w:val="clear" w:color="auto" w:fill="auto"/>
            <w:vAlign w:val="center"/>
            <w:hideMark/>
          </w:tcPr>
          <w:p w14:paraId="64C032AE"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3C652C2E"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105CBAEE"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4B1C90C9"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BF03009" w14:textId="77777777" w:rsidR="00FC0453" w:rsidRPr="00806168" w:rsidRDefault="00FC0453" w:rsidP="0044500E">
            <w:pPr>
              <w:pStyle w:val="Paragraphedeliste"/>
              <w:numPr>
                <w:ilvl w:val="0"/>
                <w:numId w:val="142"/>
              </w:numPr>
              <w:spacing w:after="0" w:line="240" w:lineRule="auto"/>
              <w:jc w:val="both"/>
              <w:rPr>
                <w:rFonts w:eastAsia="Times New Roman" w:cs="Calibri"/>
                <w:sz w:val="20"/>
                <w:szCs w:val="16"/>
              </w:rPr>
            </w:pPr>
            <w:r w:rsidRPr="00806168">
              <w:rPr>
                <w:rFonts w:eastAsia="Times New Roman" w:cs="Calibri"/>
                <w:sz w:val="20"/>
                <w:szCs w:val="16"/>
              </w:rPr>
              <w:t>Le projet favorise-t-il les achats locaux à critères égaux ?</w:t>
            </w:r>
          </w:p>
        </w:tc>
        <w:tc>
          <w:tcPr>
            <w:tcW w:w="0" w:type="auto"/>
            <w:tcBorders>
              <w:top w:val="nil"/>
              <w:left w:val="nil"/>
              <w:bottom w:val="single" w:sz="8" w:space="0" w:color="auto"/>
              <w:right w:val="single" w:sz="8" w:space="0" w:color="auto"/>
            </w:tcBorders>
            <w:shd w:val="clear" w:color="auto" w:fill="auto"/>
            <w:vAlign w:val="center"/>
            <w:hideMark/>
          </w:tcPr>
          <w:p w14:paraId="086F995F"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3C5B8BA8"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1F098413"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276F4751"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1EB5E97" w14:textId="77777777" w:rsidR="00FC0453" w:rsidRPr="00806168" w:rsidRDefault="00FC0453" w:rsidP="0044500E">
            <w:pPr>
              <w:pStyle w:val="Paragraphedeliste"/>
              <w:numPr>
                <w:ilvl w:val="0"/>
                <w:numId w:val="142"/>
              </w:numPr>
              <w:spacing w:after="0" w:line="240" w:lineRule="auto"/>
              <w:jc w:val="both"/>
              <w:rPr>
                <w:rFonts w:eastAsia="Times New Roman" w:cs="Calibri"/>
                <w:sz w:val="20"/>
                <w:szCs w:val="16"/>
              </w:rPr>
            </w:pPr>
            <w:r w:rsidRPr="00806168">
              <w:rPr>
                <w:rFonts w:eastAsia="Times New Roman" w:cs="Calibri"/>
                <w:sz w:val="20"/>
                <w:szCs w:val="16"/>
              </w:rPr>
              <w:t>Le projet permet-t-il de générer des revenus d’usage (taxes, redevances, paiements, etc.) ?</w:t>
            </w:r>
          </w:p>
        </w:tc>
        <w:tc>
          <w:tcPr>
            <w:tcW w:w="0" w:type="auto"/>
            <w:tcBorders>
              <w:top w:val="nil"/>
              <w:left w:val="nil"/>
              <w:bottom w:val="single" w:sz="8" w:space="0" w:color="auto"/>
              <w:right w:val="single" w:sz="8" w:space="0" w:color="auto"/>
            </w:tcBorders>
            <w:shd w:val="clear" w:color="auto" w:fill="auto"/>
            <w:vAlign w:val="center"/>
            <w:hideMark/>
          </w:tcPr>
          <w:p w14:paraId="5D988C16"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404321E7"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6A7862B2"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40FB9402"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30FC38B" w14:textId="77777777" w:rsidR="00FC0453" w:rsidRPr="00806168" w:rsidRDefault="00FC0453" w:rsidP="0044500E">
            <w:pPr>
              <w:pStyle w:val="Paragraphedeliste"/>
              <w:numPr>
                <w:ilvl w:val="0"/>
                <w:numId w:val="142"/>
              </w:numPr>
              <w:spacing w:after="0" w:line="240" w:lineRule="auto"/>
              <w:jc w:val="both"/>
              <w:rPr>
                <w:rFonts w:eastAsia="Times New Roman" w:cs="Calibri"/>
                <w:sz w:val="20"/>
                <w:szCs w:val="16"/>
              </w:rPr>
            </w:pPr>
            <w:r w:rsidRPr="00806168">
              <w:rPr>
                <w:rFonts w:eastAsia="Times New Roman" w:cs="Calibri"/>
                <w:sz w:val="20"/>
                <w:szCs w:val="16"/>
              </w:rPr>
              <w:t>Le projet favorise-t-il l’augmentation des productions agricoles ou autres ?</w:t>
            </w:r>
          </w:p>
        </w:tc>
        <w:tc>
          <w:tcPr>
            <w:tcW w:w="0" w:type="auto"/>
            <w:tcBorders>
              <w:top w:val="nil"/>
              <w:left w:val="nil"/>
              <w:bottom w:val="single" w:sz="8" w:space="0" w:color="auto"/>
              <w:right w:val="single" w:sz="8" w:space="0" w:color="auto"/>
            </w:tcBorders>
            <w:shd w:val="clear" w:color="auto" w:fill="auto"/>
            <w:vAlign w:val="center"/>
            <w:hideMark/>
          </w:tcPr>
          <w:p w14:paraId="3ECD9286"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6F7AEF3A"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5A386806" w14:textId="77777777" w:rsidR="00FC0453" w:rsidRPr="00806168" w:rsidRDefault="00FC0453" w:rsidP="00FC0453">
            <w:pPr>
              <w:jc w:val="cente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366C5EAA"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E69E4CD" w14:textId="77777777" w:rsidR="00FC0453" w:rsidRPr="00806168" w:rsidRDefault="00FC0453" w:rsidP="0044500E">
            <w:pPr>
              <w:pStyle w:val="Paragraphedeliste"/>
              <w:numPr>
                <w:ilvl w:val="0"/>
                <w:numId w:val="142"/>
              </w:numPr>
              <w:spacing w:after="0" w:line="240" w:lineRule="auto"/>
              <w:jc w:val="both"/>
              <w:rPr>
                <w:rFonts w:eastAsia="Times New Roman" w:cs="Calibri"/>
                <w:sz w:val="20"/>
                <w:szCs w:val="16"/>
              </w:rPr>
            </w:pPr>
            <w:r w:rsidRPr="00806168">
              <w:rPr>
                <w:rFonts w:eastAsia="Times New Roman" w:cs="Calibri"/>
                <w:sz w:val="20"/>
                <w:szCs w:val="16"/>
              </w:rPr>
              <w:t>Le projet peut-il être utilisé pour des intérêts économiques divergents et créer des conflits ?</w:t>
            </w:r>
          </w:p>
        </w:tc>
        <w:tc>
          <w:tcPr>
            <w:tcW w:w="0" w:type="auto"/>
            <w:tcBorders>
              <w:top w:val="nil"/>
              <w:left w:val="nil"/>
              <w:bottom w:val="single" w:sz="8" w:space="0" w:color="auto"/>
              <w:right w:val="single" w:sz="8" w:space="0" w:color="auto"/>
            </w:tcBorders>
            <w:shd w:val="clear" w:color="auto" w:fill="auto"/>
            <w:vAlign w:val="center"/>
            <w:hideMark/>
          </w:tcPr>
          <w:p w14:paraId="0F7B384F" w14:textId="77777777" w:rsidR="00FC0453" w:rsidRPr="00806168" w:rsidRDefault="00FC0453" w:rsidP="00FC0453">
            <w:pP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052BEC25" w14:textId="77777777" w:rsidR="00FC0453" w:rsidRPr="00806168" w:rsidRDefault="00FC0453" w:rsidP="00FC0453">
            <w:pP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010EF8D3" w14:textId="77777777" w:rsidR="00FC0453" w:rsidRPr="00806168" w:rsidRDefault="00FC0453" w:rsidP="00FC0453">
            <w:pP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02DCCDCA"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787972" w14:textId="77777777" w:rsidR="00FC0453" w:rsidRPr="00806168" w:rsidRDefault="00FC0453" w:rsidP="0044500E">
            <w:pPr>
              <w:pStyle w:val="Paragraphedeliste"/>
              <w:numPr>
                <w:ilvl w:val="0"/>
                <w:numId w:val="142"/>
              </w:numPr>
              <w:spacing w:after="0" w:line="240" w:lineRule="auto"/>
              <w:jc w:val="both"/>
              <w:rPr>
                <w:rFonts w:eastAsia="Times New Roman" w:cs="Calibri"/>
                <w:sz w:val="20"/>
                <w:szCs w:val="16"/>
              </w:rPr>
            </w:pPr>
            <w:r w:rsidRPr="00806168">
              <w:rPr>
                <w:rFonts w:eastAsia="Times New Roman" w:cs="Calibri"/>
                <w:sz w:val="20"/>
                <w:szCs w:val="16"/>
              </w:rPr>
              <w:t>Les ressources externes (équipements, transferts financiers, consommables, etc.) amenées directement pendant la phase de mise en œuvre du projet ont-elles susceptibles de modifier les rapports sociaux ?</w:t>
            </w:r>
          </w:p>
        </w:tc>
        <w:tc>
          <w:tcPr>
            <w:tcW w:w="0" w:type="auto"/>
            <w:tcBorders>
              <w:top w:val="nil"/>
              <w:left w:val="nil"/>
              <w:bottom w:val="single" w:sz="8" w:space="0" w:color="auto"/>
              <w:right w:val="single" w:sz="8" w:space="0" w:color="auto"/>
            </w:tcBorders>
            <w:shd w:val="clear" w:color="auto" w:fill="auto"/>
            <w:vAlign w:val="center"/>
            <w:hideMark/>
          </w:tcPr>
          <w:p w14:paraId="06D7FFFB" w14:textId="77777777" w:rsidR="00FC0453" w:rsidRPr="00806168" w:rsidRDefault="00FC0453" w:rsidP="00FC0453">
            <w:pP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2783F383" w14:textId="77777777" w:rsidR="00FC0453" w:rsidRPr="00806168" w:rsidRDefault="00FC0453" w:rsidP="00FC0453">
            <w:pP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0C21AC54" w14:textId="77777777" w:rsidR="00FC0453" w:rsidRPr="00806168" w:rsidRDefault="00FC0453" w:rsidP="00FC0453">
            <w:pP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0E758BF0" w14:textId="77777777" w:rsidTr="00FC0453">
        <w:trPr>
          <w:trHeight w:val="288"/>
          <w:jc w:val="center"/>
        </w:trPr>
        <w:tc>
          <w:tcPr>
            <w:tcW w:w="0" w:type="auto"/>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BCF657E" w14:textId="77777777" w:rsidR="00FC0453" w:rsidRPr="00806168" w:rsidRDefault="00FC0453" w:rsidP="00FC0453">
            <w:pPr>
              <w:rPr>
                <w:rFonts w:eastAsia="Times New Roman" w:cs="Calibri"/>
                <w:b/>
                <w:bCs/>
                <w:i/>
                <w:iCs/>
                <w:color w:val="000000"/>
                <w:sz w:val="20"/>
                <w:szCs w:val="16"/>
              </w:rPr>
            </w:pPr>
            <w:r w:rsidRPr="00806168">
              <w:rPr>
                <w:rFonts w:eastAsia="Times New Roman" w:cs="Calibri"/>
                <w:b/>
                <w:bCs/>
                <w:i/>
                <w:iCs/>
                <w:color w:val="000000"/>
                <w:sz w:val="20"/>
                <w:szCs w:val="16"/>
              </w:rPr>
              <w:t>2.12 Préoccupations spécifiques liées au genre et couches vulnérables</w:t>
            </w:r>
          </w:p>
        </w:tc>
      </w:tr>
      <w:tr w:rsidR="00FC0453" w:rsidRPr="00806168" w14:paraId="55665386"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E8635A7" w14:textId="77777777" w:rsidR="00FC0453" w:rsidRPr="00806168" w:rsidRDefault="00FC0453" w:rsidP="0044500E">
            <w:pPr>
              <w:pStyle w:val="Paragraphedeliste"/>
              <w:numPr>
                <w:ilvl w:val="0"/>
                <w:numId w:val="143"/>
              </w:numPr>
              <w:spacing w:after="0" w:line="240" w:lineRule="auto"/>
              <w:jc w:val="both"/>
              <w:rPr>
                <w:rFonts w:eastAsia="Times New Roman" w:cs="Calibri"/>
                <w:sz w:val="20"/>
                <w:szCs w:val="16"/>
              </w:rPr>
            </w:pPr>
            <w:r w:rsidRPr="00806168">
              <w:rPr>
                <w:rFonts w:eastAsia="Times New Roman" w:cs="Calibri"/>
                <w:sz w:val="20"/>
                <w:szCs w:val="16"/>
              </w:rPr>
              <w:t>Le projet favorise-t-il une prise en compte de la différenciation liée au genre à travers l’accès à l’information sur le projet, les recrutements ou les impacts ?</w:t>
            </w:r>
          </w:p>
        </w:tc>
        <w:tc>
          <w:tcPr>
            <w:tcW w:w="0" w:type="auto"/>
            <w:tcBorders>
              <w:top w:val="nil"/>
              <w:left w:val="nil"/>
              <w:bottom w:val="single" w:sz="8" w:space="0" w:color="auto"/>
              <w:right w:val="single" w:sz="8" w:space="0" w:color="auto"/>
            </w:tcBorders>
            <w:shd w:val="clear" w:color="auto" w:fill="auto"/>
            <w:vAlign w:val="center"/>
            <w:hideMark/>
          </w:tcPr>
          <w:p w14:paraId="0DC51BBE" w14:textId="77777777" w:rsidR="00FC0453" w:rsidRPr="00806168" w:rsidRDefault="00FC0453" w:rsidP="00FC0453">
            <w:pP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5DC5F3DB" w14:textId="77777777" w:rsidR="00FC0453" w:rsidRPr="00806168" w:rsidRDefault="00FC0453" w:rsidP="00FC0453">
            <w:pP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0E28FC5E" w14:textId="77777777" w:rsidR="00FC0453" w:rsidRPr="00806168" w:rsidRDefault="00FC0453" w:rsidP="00FC0453">
            <w:pP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7B8B68BF"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9F306B" w14:textId="77777777" w:rsidR="00FC0453" w:rsidRPr="00806168" w:rsidRDefault="00FC0453" w:rsidP="0044500E">
            <w:pPr>
              <w:pStyle w:val="Paragraphedeliste"/>
              <w:numPr>
                <w:ilvl w:val="0"/>
                <w:numId w:val="143"/>
              </w:numPr>
              <w:spacing w:after="0" w:line="240" w:lineRule="auto"/>
              <w:jc w:val="both"/>
              <w:rPr>
                <w:rFonts w:eastAsia="Times New Roman" w:cs="Calibri"/>
                <w:sz w:val="20"/>
                <w:szCs w:val="16"/>
              </w:rPr>
            </w:pPr>
            <w:r w:rsidRPr="00806168">
              <w:rPr>
                <w:rFonts w:eastAsia="Times New Roman" w:cs="Calibri"/>
                <w:sz w:val="20"/>
                <w:szCs w:val="16"/>
              </w:rPr>
              <w:t>Le projet peut-il avoir des effets négatifs sur certains bénéficiaires notamment à travers l’aspect genre (activité existante, concurrence, sécurité, ressources,) ?</w:t>
            </w:r>
          </w:p>
        </w:tc>
        <w:tc>
          <w:tcPr>
            <w:tcW w:w="0" w:type="auto"/>
            <w:tcBorders>
              <w:top w:val="nil"/>
              <w:left w:val="nil"/>
              <w:bottom w:val="single" w:sz="8" w:space="0" w:color="auto"/>
              <w:right w:val="single" w:sz="8" w:space="0" w:color="auto"/>
            </w:tcBorders>
            <w:shd w:val="clear" w:color="auto" w:fill="auto"/>
            <w:vAlign w:val="center"/>
            <w:hideMark/>
          </w:tcPr>
          <w:p w14:paraId="6311528F" w14:textId="77777777" w:rsidR="00FC0453" w:rsidRPr="00806168" w:rsidRDefault="00FC0453" w:rsidP="00FC0453">
            <w:pP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2A99220D" w14:textId="77777777" w:rsidR="00FC0453" w:rsidRPr="00806168" w:rsidRDefault="00FC0453" w:rsidP="00FC0453">
            <w:pPr>
              <w:rPr>
                <w:rFonts w:eastAsia="Times New Roman" w:cs="Calibri"/>
                <w:color w:val="000000"/>
                <w:sz w:val="20"/>
                <w:szCs w:val="16"/>
              </w:rPr>
            </w:pPr>
            <w:r w:rsidRPr="00806168">
              <w:rPr>
                <w:rFonts w:eastAsia="Times New Roman" w:cs="Calibri"/>
                <w:color w:val="000000"/>
                <w:sz w:val="20"/>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4FBC07FE" w14:textId="77777777" w:rsidR="00FC0453" w:rsidRPr="00806168" w:rsidRDefault="00FC0453" w:rsidP="00FC0453">
            <w:pPr>
              <w:rPr>
                <w:rFonts w:eastAsia="Times New Roman" w:cs="Calibri"/>
                <w:color w:val="000000"/>
                <w:sz w:val="20"/>
                <w:szCs w:val="16"/>
              </w:rPr>
            </w:pPr>
            <w:r w:rsidRPr="00806168">
              <w:rPr>
                <w:rFonts w:eastAsia="Times New Roman" w:cs="Calibri"/>
                <w:color w:val="000000"/>
                <w:sz w:val="20"/>
                <w:szCs w:val="16"/>
              </w:rPr>
              <w:t> </w:t>
            </w:r>
          </w:p>
        </w:tc>
      </w:tr>
      <w:tr w:rsidR="00FC0453" w:rsidRPr="00806168" w14:paraId="2A0AA9C3" w14:textId="77777777" w:rsidTr="00FC0453">
        <w:trPr>
          <w:trHeight w:val="288"/>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E6E6E6"/>
            <w:vAlign w:val="center"/>
            <w:hideMark/>
          </w:tcPr>
          <w:p w14:paraId="2E3E608C" w14:textId="77777777" w:rsidR="00FC0453" w:rsidRPr="00B434A6" w:rsidRDefault="00FC0453" w:rsidP="00FC0453">
            <w:pPr>
              <w:spacing w:before="60" w:after="60"/>
              <w:rPr>
                <w:rFonts w:eastAsia="Times New Roman" w:cs="Calibri"/>
                <w:b/>
                <w:bCs/>
                <w:color w:val="000000"/>
                <w:sz w:val="20"/>
                <w:szCs w:val="20"/>
              </w:rPr>
            </w:pPr>
            <w:r w:rsidRPr="00B434A6">
              <w:rPr>
                <w:rFonts w:eastAsia="Times New Roman" w:cs="Calibri"/>
                <w:b/>
                <w:bCs/>
                <w:color w:val="000000"/>
                <w:sz w:val="20"/>
                <w:szCs w:val="20"/>
              </w:rPr>
              <w:t>3.     L’analyse SPC/SES sera menée avec les compétences suffisantes pour toutes les étapes et zones du projet.</w:t>
            </w:r>
          </w:p>
        </w:tc>
      </w:tr>
      <w:tr w:rsidR="00FC0453" w:rsidRPr="00806168" w14:paraId="0E96F46C"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1F5B94" w14:textId="77777777" w:rsidR="00FC0453" w:rsidRPr="00B434A6" w:rsidRDefault="00FC0453" w:rsidP="0044500E">
            <w:pPr>
              <w:pStyle w:val="Paragraphedeliste"/>
              <w:numPr>
                <w:ilvl w:val="0"/>
                <w:numId w:val="144"/>
              </w:numPr>
              <w:spacing w:after="0" w:line="240" w:lineRule="auto"/>
              <w:jc w:val="both"/>
              <w:rPr>
                <w:rFonts w:eastAsia="Times New Roman" w:cs="Calibri"/>
                <w:sz w:val="20"/>
                <w:szCs w:val="20"/>
              </w:rPr>
            </w:pPr>
            <w:r w:rsidRPr="00B434A6">
              <w:rPr>
                <w:rFonts w:eastAsia="Times New Roman" w:cs="Calibri"/>
                <w:sz w:val="20"/>
                <w:szCs w:val="20"/>
              </w:rPr>
              <w:t>Le personnel en charge du projet va-t-il être formé sur les approches en SPC / SES / NPN (***)</w:t>
            </w:r>
            <w:r w:rsidRPr="00B434A6">
              <w:rPr>
                <w:rStyle w:val="Appelnotedebasdep"/>
                <w:rFonts w:eastAsia="Times New Roman" w:cs="Calibri"/>
                <w:sz w:val="20"/>
                <w:szCs w:val="20"/>
              </w:rPr>
              <w:footnoteReference w:id="86"/>
            </w:r>
            <w:r w:rsidRPr="00B434A6">
              <w:rPr>
                <w:rFonts w:eastAsia="Times New Roman" w:cs="Calibri"/>
                <w:sz w:val="20"/>
                <w:szCs w:val="20"/>
              </w:rPr>
              <w:t xml:space="preserve"> ?</w:t>
            </w:r>
          </w:p>
        </w:tc>
        <w:tc>
          <w:tcPr>
            <w:tcW w:w="0" w:type="auto"/>
            <w:tcBorders>
              <w:top w:val="nil"/>
              <w:left w:val="nil"/>
              <w:bottom w:val="single" w:sz="8" w:space="0" w:color="auto"/>
              <w:right w:val="single" w:sz="8" w:space="0" w:color="auto"/>
            </w:tcBorders>
            <w:shd w:val="clear" w:color="auto" w:fill="auto"/>
            <w:vAlign w:val="center"/>
            <w:hideMark/>
          </w:tcPr>
          <w:p w14:paraId="2C093062" w14:textId="77777777" w:rsidR="00FC0453" w:rsidRPr="00B434A6" w:rsidRDefault="00FC0453" w:rsidP="00FC0453">
            <w:pPr>
              <w:rPr>
                <w:rFonts w:eastAsia="Times New Roman" w:cs="Calibri"/>
                <w:color w:val="000000"/>
                <w:sz w:val="20"/>
                <w:szCs w:val="20"/>
              </w:rPr>
            </w:pPr>
            <w:r w:rsidRPr="00B434A6">
              <w:rPr>
                <w:rFonts w:eastAsia="Times New Roman" w:cs="Calibri"/>
                <w:color w:val="000000"/>
                <w:sz w:val="20"/>
                <w:szCs w:val="20"/>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7791DD90" w14:textId="77777777" w:rsidR="00FC0453" w:rsidRPr="00B434A6" w:rsidRDefault="00FC0453" w:rsidP="00FC0453">
            <w:pPr>
              <w:rPr>
                <w:rFonts w:eastAsia="Times New Roman" w:cs="Calibri"/>
                <w:color w:val="000000"/>
                <w:sz w:val="20"/>
                <w:szCs w:val="20"/>
              </w:rPr>
            </w:pPr>
            <w:r w:rsidRPr="00B434A6">
              <w:rPr>
                <w:rFonts w:eastAsia="Times New Roman" w:cs="Calibri"/>
                <w:color w:val="000000"/>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31EDE5D5" w14:textId="77777777" w:rsidR="00FC0453" w:rsidRPr="00B434A6" w:rsidRDefault="00FC0453" w:rsidP="00FC0453">
            <w:pPr>
              <w:rPr>
                <w:rFonts w:eastAsia="Times New Roman" w:cs="Calibri"/>
                <w:color w:val="000000"/>
                <w:sz w:val="20"/>
                <w:szCs w:val="20"/>
              </w:rPr>
            </w:pPr>
            <w:r w:rsidRPr="00B434A6">
              <w:rPr>
                <w:rFonts w:eastAsia="Times New Roman" w:cs="Calibri"/>
                <w:color w:val="000000"/>
                <w:sz w:val="20"/>
                <w:szCs w:val="20"/>
              </w:rPr>
              <w:t> </w:t>
            </w:r>
          </w:p>
        </w:tc>
      </w:tr>
      <w:tr w:rsidR="00FC0453" w:rsidRPr="00806168" w14:paraId="0468C119"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02B971E" w14:textId="77777777" w:rsidR="00FC0453" w:rsidRPr="00B434A6" w:rsidRDefault="00FC0453" w:rsidP="0044500E">
            <w:pPr>
              <w:pStyle w:val="Paragraphedeliste"/>
              <w:numPr>
                <w:ilvl w:val="0"/>
                <w:numId w:val="144"/>
              </w:numPr>
              <w:spacing w:after="0" w:line="240" w:lineRule="auto"/>
              <w:jc w:val="both"/>
              <w:rPr>
                <w:rFonts w:eastAsia="Times New Roman" w:cs="Calibri"/>
                <w:sz w:val="20"/>
                <w:szCs w:val="20"/>
              </w:rPr>
            </w:pPr>
            <w:r w:rsidRPr="00B434A6">
              <w:rPr>
                <w:rFonts w:eastAsia="Times New Roman" w:cs="Calibri"/>
                <w:sz w:val="20"/>
                <w:szCs w:val="20"/>
              </w:rPr>
              <w:t>Le projet prend il en compte les approches de communication participative ?</w:t>
            </w:r>
          </w:p>
        </w:tc>
        <w:tc>
          <w:tcPr>
            <w:tcW w:w="0" w:type="auto"/>
            <w:tcBorders>
              <w:top w:val="nil"/>
              <w:left w:val="nil"/>
              <w:bottom w:val="single" w:sz="8" w:space="0" w:color="auto"/>
              <w:right w:val="single" w:sz="8" w:space="0" w:color="auto"/>
            </w:tcBorders>
            <w:shd w:val="clear" w:color="auto" w:fill="auto"/>
            <w:vAlign w:val="center"/>
            <w:hideMark/>
          </w:tcPr>
          <w:p w14:paraId="33514978" w14:textId="77777777" w:rsidR="00FC0453" w:rsidRPr="00B434A6" w:rsidRDefault="00FC0453" w:rsidP="00FC0453">
            <w:pPr>
              <w:jc w:val="center"/>
              <w:rPr>
                <w:rFonts w:eastAsia="Times New Roman" w:cs="Calibri"/>
                <w:color w:val="000000"/>
                <w:sz w:val="20"/>
                <w:szCs w:val="20"/>
              </w:rPr>
            </w:pPr>
            <w:r w:rsidRPr="00B434A6">
              <w:rPr>
                <w:rFonts w:eastAsia="Times New Roman" w:cs="Calibri"/>
                <w:color w:val="000000"/>
                <w:sz w:val="20"/>
                <w:szCs w:val="20"/>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507C45D4" w14:textId="77777777" w:rsidR="00FC0453" w:rsidRPr="00B434A6" w:rsidRDefault="00FC0453" w:rsidP="00FC0453">
            <w:pPr>
              <w:jc w:val="center"/>
              <w:rPr>
                <w:rFonts w:eastAsia="Times New Roman" w:cs="Calibri"/>
                <w:color w:val="000000"/>
                <w:sz w:val="20"/>
                <w:szCs w:val="20"/>
              </w:rPr>
            </w:pPr>
            <w:r w:rsidRPr="00B434A6">
              <w:rPr>
                <w:rFonts w:eastAsia="Times New Roman" w:cs="Calibri"/>
                <w:color w:val="000000"/>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4A8FA98F" w14:textId="77777777" w:rsidR="00FC0453" w:rsidRPr="00B434A6" w:rsidRDefault="00FC0453" w:rsidP="00FC0453">
            <w:pPr>
              <w:jc w:val="center"/>
              <w:rPr>
                <w:rFonts w:eastAsia="Times New Roman" w:cs="Calibri"/>
                <w:color w:val="000000"/>
                <w:sz w:val="20"/>
                <w:szCs w:val="20"/>
              </w:rPr>
            </w:pPr>
            <w:r w:rsidRPr="00B434A6">
              <w:rPr>
                <w:rFonts w:eastAsia="Times New Roman" w:cs="Calibri"/>
                <w:color w:val="000000"/>
                <w:sz w:val="20"/>
                <w:szCs w:val="20"/>
              </w:rPr>
              <w:t> </w:t>
            </w:r>
          </w:p>
        </w:tc>
      </w:tr>
      <w:tr w:rsidR="00FC0453" w:rsidRPr="00806168" w14:paraId="2CD571D9" w14:textId="77777777" w:rsidTr="00FC0453">
        <w:trPr>
          <w:trHeight w:val="288"/>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E6E6E6"/>
            <w:vAlign w:val="center"/>
            <w:hideMark/>
          </w:tcPr>
          <w:p w14:paraId="41C49002" w14:textId="77777777" w:rsidR="00FC0453" w:rsidRPr="00B434A6" w:rsidRDefault="00FC0453" w:rsidP="00FC0453">
            <w:pPr>
              <w:spacing w:before="60" w:after="60"/>
              <w:rPr>
                <w:rFonts w:eastAsia="Times New Roman" w:cs="Calibri"/>
                <w:b/>
                <w:bCs/>
                <w:color w:val="000000"/>
                <w:sz w:val="20"/>
                <w:szCs w:val="20"/>
              </w:rPr>
            </w:pPr>
            <w:r w:rsidRPr="00B434A6">
              <w:rPr>
                <w:rFonts w:eastAsia="Times New Roman" w:cs="Calibri"/>
                <w:b/>
                <w:bCs/>
                <w:color w:val="000000"/>
                <w:sz w:val="20"/>
                <w:szCs w:val="20"/>
              </w:rPr>
              <w:t>4.     Conclusion de l’analyse de terrain par l’agent en charge :</w:t>
            </w:r>
          </w:p>
        </w:tc>
      </w:tr>
      <w:tr w:rsidR="00FC0453" w:rsidRPr="00806168" w14:paraId="3870BE23"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37D5280" w14:textId="77777777" w:rsidR="00FC0453" w:rsidRPr="00B434A6" w:rsidRDefault="00FC0453" w:rsidP="0044500E">
            <w:pPr>
              <w:pStyle w:val="Paragraphedeliste"/>
              <w:numPr>
                <w:ilvl w:val="0"/>
                <w:numId w:val="145"/>
              </w:numPr>
              <w:spacing w:after="0" w:line="240" w:lineRule="auto"/>
              <w:jc w:val="both"/>
              <w:rPr>
                <w:rFonts w:eastAsia="Times New Roman" w:cs="Calibri"/>
                <w:sz w:val="20"/>
                <w:szCs w:val="20"/>
              </w:rPr>
            </w:pPr>
            <w:r w:rsidRPr="00B434A6">
              <w:rPr>
                <w:rFonts w:eastAsia="Times New Roman" w:cs="Calibri"/>
                <w:sz w:val="20"/>
                <w:szCs w:val="20"/>
              </w:rPr>
              <w:t>Le projet doit être abandonné à cette étape du cycle de projet</w:t>
            </w:r>
          </w:p>
        </w:tc>
        <w:tc>
          <w:tcPr>
            <w:tcW w:w="0" w:type="auto"/>
            <w:tcBorders>
              <w:top w:val="nil"/>
              <w:left w:val="nil"/>
              <w:bottom w:val="single" w:sz="8" w:space="0" w:color="auto"/>
              <w:right w:val="single" w:sz="8" w:space="0" w:color="auto"/>
            </w:tcBorders>
            <w:shd w:val="clear" w:color="auto" w:fill="auto"/>
            <w:vAlign w:val="center"/>
            <w:hideMark/>
          </w:tcPr>
          <w:p w14:paraId="49D2A29C" w14:textId="77777777" w:rsidR="00FC0453" w:rsidRPr="00B434A6" w:rsidRDefault="00FC0453" w:rsidP="00FC0453">
            <w:pPr>
              <w:jc w:val="center"/>
              <w:rPr>
                <w:rFonts w:eastAsia="Times New Roman" w:cs="Calibri"/>
                <w:color w:val="000000"/>
                <w:sz w:val="20"/>
                <w:szCs w:val="20"/>
              </w:rPr>
            </w:pPr>
            <w:r w:rsidRPr="00B434A6">
              <w:rPr>
                <w:rFonts w:eastAsia="Times New Roman" w:cs="Calibri"/>
                <w:color w:val="000000"/>
                <w:sz w:val="20"/>
                <w:szCs w:val="20"/>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30B517A9" w14:textId="77777777" w:rsidR="00FC0453" w:rsidRPr="00B434A6" w:rsidRDefault="00FC0453" w:rsidP="00FC0453">
            <w:pPr>
              <w:jc w:val="center"/>
              <w:rPr>
                <w:rFonts w:eastAsia="Times New Roman" w:cs="Calibri"/>
                <w:color w:val="000000"/>
                <w:sz w:val="20"/>
                <w:szCs w:val="20"/>
              </w:rPr>
            </w:pPr>
            <w:r w:rsidRPr="00B434A6">
              <w:rPr>
                <w:rFonts w:eastAsia="Times New Roman" w:cs="Calibri"/>
                <w:color w:val="000000"/>
                <w:sz w:val="20"/>
                <w:szCs w:val="20"/>
              </w:rPr>
              <w:t> </w:t>
            </w:r>
          </w:p>
        </w:tc>
        <w:tc>
          <w:tcPr>
            <w:tcW w:w="0" w:type="auto"/>
            <w:tcBorders>
              <w:top w:val="nil"/>
              <w:left w:val="nil"/>
              <w:bottom w:val="single" w:sz="8" w:space="0" w:color="auto"/>
              <w:right w:val="single" w:sz="8" w:space="0" w:color="auto"/>
            </w:tcBorders>
            <w:shd w:val="clear" w:color="auto" w:fill="auto"/>
            <w:hideMark/>
          </w:tcPr>
          <w:p w14:paraId="2E5971D5" w14:textId="77777777" w:rsidR="00FC0453" w:rsidRPr="00B434A6" w:rsidRDefault="00FC0453" w:rsidP="00FC0453">
            <w:pPr>
              <w:rPr>
                <w:rFonts w:eastAsia="Times New Roman" w:cs="Calibri"/>
                <w:color w:val="000000"/>
                <w:sz w:val="20"/>
                <w:szCs w:val="20"/>
              </w:rPr>
            </w:pPr>
            <w:r w:rsidRPr="00B434A6">
              <w:rPr>
                <w:rFonts w:eastAsia="Times New Roman" w:cs="Calibri"/>
                <w:color w:val="000000"/>
                <w:sz w:val="20"/>
                <w:szCs w:val="20"/>
              </w:rPr>
              <w:t> </w:t>
            </w:r>
          </w:p>
        </w:tc>
      </w:tr>
      <w:tr w:rsidR="00FC0453" w:rsidRPr="00806168" w14:paraId="4731A7EC"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3B22AC" w14:textId="77777777" w:rsidR="00FC0453" w:rsidRPr="00B434A6" w:rsidRDefault="00FC0453" w:rsidP="0044500E">
            <w:pPr>
              <w:pStyle w:val="Paragraphedeliste"/>
              <w:numPr>
                <w:ilvl w:val="0"/>
                <w:numId w:val="145"/>
              </w:numPr>
              <w:spacing w:after="0" w:line="240" w:lineRule="auto"/>
              <w:jc w:val="both"/>
              <w:rPr>
                <w:rFonts w:eastAsia="Times New Roman" w:cs="Calibri"/>
                <w:sz w:val="20"/>
                <w:szCs w:val="20"/>
              </w:rPr>
            </w:pPr>
            <w:r w:rsidRPr="00B434A6">
              <w:rPr>
                <w:rFonts w:eastAsia="Times New Roman" w:cs="Calibri"/>
                <w:sz w:val="20"/>
                <w:szCs w:val="20"/>
              </w:rPr>
              <w:t>L’analyse doit se poursuivre pour répondre à certaines questions avant de passer à l’étape suivante (Etude)</w:t>
            </w:r>
          </w:p>
        </w:tc>
        <w:tc>
          <w:tcPr>
            <w:tcW w:w="0" w:type="auto"/>
            <w:tcBorders>
              <w:top w:val="nil"/>
              <w:left w:val="nil"/>
              <w:bottom w:val="single" w:sz="8" w:space="0" w:color="auto"/>
              <w:right w:val="single" w:sz="8" w:space="0" w:color="auto"/>
            </w:tcBorders>
            <w:shd w:val="clear" w:color="auto" w:fill="auto"/>
            <w:vAlign w:val="center"/>
            <w:hideMark/>
          </w:tcPr>
          <w:p w14:paraId="6FAE1824" w14:textId="77777777" w:rsidR="00FC0453" w:rsidRPr="00B434A6" w:rsidRDefault="00FC0453" w:rsidP="00FC0453">
            <w:pPr>
              <w:jc w:val="center"/>
              <w:rPr>
                <w:rFonts w:eastAsia="Times New Roman" w:cs="Calibri"/>
                <w:color w:val="000000"/>
                <w:sz w:val="20"/>
                <w:szCs w:val="20"/>
              </w:rPr>
            </w:pPr>
            <w:r w:rsidRPr="00B434A6">
              <w:rPr>
                <w:rFonts w:eastAsia="Times New Roman" w:cs="Calibri"/>
                <w:color w:val="000000"/>
                <w:sz w:val="20"/>
                <w:szCs w:val="20"/>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04E1205B" w14:textId="77777777" w:rsidR="00FC0453" w:rsidRPr="00B434A6" w:rsidRDefault="00FC0453" w:rsidP="00FC0453">
            <w:pPr>
              <w:jc w:val="center"/>
              <w:rPr>
                <w:rFonts w:eastAsia="Times New Roman" w:cs="Calibri"/>
                <w:color w:val="000000"/>
                <w:sz w:val="20"/>
                <w:szCs w:val="20"/>
              </w:rPr>
            </w:pPr>
            <w:r w:rsidRPr="00B434A6">
              <w:rPr>
                <w:rFonts w:eastAsia="Times New Roman" w:cs="Calibri"/>
                <w:color w:val="000000"/>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4BA2FF86" w14:textId="77777777" w:rsidR="00FC0453" w:rsidRPr="00B434A6" w:rsidRDefault="00FC0453" w:rsidP="00FC0453">
            <w:pPr>
              <w:jc w:val="center"/>
              <w:rPr>
                <w:rFonts w:eastAsia="Times New Roman" w:cs="Calibri"/>
                <w:color w:val="000000"/>
                <w:sz w:val="20"/>
                <w:szCs w:val="20"/>
              </w:rPr>
            </w:pPr>
            <w:r w:rsidRPr="00B434A6">
              <w:rPr>
                <w:rFonts w:eastAsia="Times New Roman" w:cs="Calibri"/>
                <w:color w:val="000000"/>
                <w:sz w:val="20"/>
                <w:szCs w:val="20"/>
              </w:rPr>
              <w:t> </w:t>
            </w:r>
          </w:p>
        </w:tc>
      </w:tr>
      <w:tr w:rsidR="00FC0453" w:rsidRPr="00806168" w14:paraId="69F37E4F"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703E652" w14:textId="77777777" w:rsidR="00FC0453" w:rsidRPr="00B434A6" w:rsidRDefault="00FC0453" w:rsidP="0044500E">
            <w:pPr>
              <w:pStyle w:val="Paragraphedeliste"/>
              <w:numPr>
                <w:ilvl w:val="0"/>
                <w:numId w:val="145"/>
              </w:numPr>
              <w:spacing w:after="0" w:line="240" w:lineRule="auto"/>
              <w:jc w:val="both"/>
              <w:rPr>
                <w:rFonts w:eastAsia="Times New Roman" w:cs="Calibri"/>
                <w:sz w:val="20"/>
                <w:szCs w:val="20"/>
              </w:rPr>
            </w:pPr>
            <w:r w:rsidRPr="00B434A6">
              <w:rPr>
                <w:rFonts w:eastAsia="Times New Roman" w:cs="Calibri"/>
                <w:sz w:val="20"/>
                <w:szCs w:val="20"/>
              </w:rPr>
              <w:t>Le cycle du projet peut se poursuivre sur la base des réponses et références recueillies</w:t>
            </w:r>
          </w:p>
        </w:tc>
        <w:tc>
          <w:tcPr>
            <w:tcW w:w="0" w:type="auto"/>
            <w:tcBorders>
              <w:top w:val="nil"/>
              <w:left w:val="nil"/>
              <w:bottom w:val="single" w:sz="8" w:space="0" w:color="auto"/>
              <w:right w:val="single" w:sz="8" w:space="0" w:color="auto"/>
            </w:tcBorders>
            <w:shd w:val="clear" w:color="auto" w:fill="auto"/>
            <w:vAlign w:val="center"/>
            <w:hideMark/>
          </w:tcPr>
          <w:p w14:paraId="4BA7AC9C" w14:textId="77777777" w:rsidR="00FC0453" w:rsidRPr="00B434A6" w:rsidRDefault="00FC0453" w:rsidP="00FC0453">
            <w:pPr>
              <w:jc w:val="center"/>
              <w:rPr>
                <w:rFonts w:eastAsia="Times New Roman" w:cs="Calibri"/>
                <w:color w:val="000000"/>
                <w:sz w:val="20"/>
                <w:szCs w:val="20"/>
              </w:rPr>
            </w:pPr>
            <w:r w:rsidRPr="00B434A6">
              <w:rPr>
                <w:rFonts w:eastAsia="Times New Roman" w:cs="Calibri"/>
                <w:color w:val="000000"/>
                <w:sz w:val="20"/>
                <w:szCs w:val="20"/>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7A95A7D2" w14:textId="77777777" w:rsidR="00FC0453" w:rsidRPr="00B434A6" w:rsidRDefault="00FC0453" w:rsidP="00FC0453">
            <w:pPr>
              <w:jc w:val="center"/>
              <w:rPr>
                <w:rFonts w:eastAsia="Times New Roman" w:cs="Calibri"/>
                <w:color w:val="000000"/>
                <w:sz w:val="20"/>
                <w:szCs w:val="20"/>
              </w:rPr>
            </w:pPr>
            <w:r w:rsidRPr="00B434A6">
              <w:rPr>
                <w:rFonts w:eastAsia="Times New Roman" w:cs="Calibri"/>
                <w:color w:val="000000"/>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5A542A9C" w14:textId="77777777" w:rsidR="00FC0453" w:rsidRPr="00B434A6" w:rsidRDefault="00FC0453" w:rsidP="00FC0453">
            <w:pPr>
              <w:jc w:val="center"/>
              <w:rPr>
                <w:rFonts w:eastAsia="Times New Roman" w:cs="Calibri"/>
                <w:color w:val="000000"/>
                <w:sz w:val="20"/>
                <w:szCs w:val="20"/>
              </w:rPr>
            </w:pPr>
            <w:r w:rsidRPr="00B434A6">
              <w:rPr>
                <w:rFonts w:eastAsia="Times New Roman" w:cs="Calibri"/>
                <w:color w:val="000000"/>
                <w:sz w:val="20"/>
                <w:szCs w:val="20"/>
              </w:rPr>
              <w:t> </w:t>
            </w:r>
          </w:p>
        </w:tc>
      </w:tr>
      <w:tr w:rsidR="00FC0453" w:rsidRPr="00806168" w14:paraId="70D6B409" w14:textId="77777777" w:rsidTr="00FC0453">
        <w:trPr>
          <w:trHeight w:val="28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D417C29" w14:textId="77777777" w:rsidR="00FC0453" w:rsidRPr="00B434A6" w:rsidRDefault="00FC0453" w:rsidP="0044500E">
            <w:pPr>
              <w:pStyle w:val="Paragraphedeliste"/>
              <w:numPr>
                <w:ilvl w:val="0"/>
                <w:numId w:val="145"/>
              </w:numPr>
              <w:spacing w:after="0" w:line="240" w:lineRule="auto"/>
              <w:jc w:val="both"/>
              <w:rPr>
                <w:rFonts w:eastAsia="Times New Roman" w:cs="Calibri"/>
                <w:sz w:val="20"/>
                <w:szCs w:val="20"/>
              </w:rPr>
            </w:pPr>
            <w:r w:rsidRPr="00B434A6">
              <w:rPr>
                <w:rFonts w:eastAsia="Times New Roman" w:cs="Calibri"/>
                <w:sz w:val="20"/>
                <w:szCs w:val="20"/>
              </w:rPr>
              <w:t>Le projet est à même de renforcer la cohésion sociale et la stabilité</w:t>
            </w:r>
          </w:p>
        </w:tc>
        <w:tc>
          <w:tcPr>
            <w:tcW w:w="0" w:type="auto"/>
            <w:tcBorders>
              <w:top w:val="nil"/>
              <w:left w:val="nil"/>
              <w:bottom w:val="single" w:sz="8" w:space="0" w:color="auto"/>
              <w:right w:val="single" w:sz="8" w:space="0" w:color="auto"/>
            </w:tcBorders>
            <w:shd w:val="clear" w:color="auto" w:fill="auto"/>
            <w:vAlign w:val="center"/>
            <w:hideMark/>
          </w:tcPr>
          <w:p w14:paraId="1444F41C" w14:textId="77777777" w:rsidR="00FC0453" w:rsidRPr="00B434A6" w:rsidRDefault="00FC0453" w:rsidP="00FC0453">
            <w:pPr>
              <w:jc w:val="center"/>
              <w:rPr>
                <w:rFonts w:eastAsia="Times New Roman" w:cs="Calibri"/>
                <w:color w:val="000000"/>
                <w:sz w:val="20"/>
                <w:szCs w:val="20"/>
              </w:rPr>
            </w:pPr>
            <w:r w:rsidRPr="00B434A6">
              <w:rPr>
                <w:rFonts w:eastAsia="Times New Roman" w:cs="Calibri"/>
                <w:color w:val="000000"/>
                <w:sz w:val="20"/>
                <w:szCs w:val="20"/>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34558707" w14:textId="77777777" w:rsidR="00FC0453" w:rsidRPr="00B434A6" w:rsidRDefault="00FC0453" w:rsidP="00FC0453">
            <w:pPr>
              <w:jc w:val="center"/>
              <w:rPr>
                <w:rFonts w:eastAsia="Times New Roman" w:cs="Calibri"/>
                <w:color w:val="000000"/>
                <w:sz w:val="20"/>
                <w:szCs w:val="20"/>
              </w:rPr>
            </w:pPr>
            <w:r w:rsidRPr="00B434A6">
              <w:rPr>
                <w:rFonts w:eastAsia="Times New Roman" w:cs="Calibri"/>
                <w:color w:val="000000"/>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5029DB81" w14:textId="77777777" w:rsidR="00FC0453" w:rsidRPr="00B434A6" w:rsidRDefault="00FC0453" w:rsidP="00FC0453">
            <w:pPr>
              <w:jc w:val="center"/>
              <w:rPr>
                <w:rFonts w:eastAsia="Times New Roman" w:cs="Calibri"/>
                <w:color w:val="000000"/>
                <w:sz w:val="20"/>
                <w:szCs w:val="20"/>
              </w:rPr>
            </w:pPr>
            <w:r w:rsidRPr="00B434A6">
              <w:rPr>
                <w:rFonts w:eastAsia="Times New Roman" w:cs="Calibri"/>
                <w:color w:val="000000"/>
                <w:sz w:val="20"/>
                <w:szCs w:val="20"/>
              </w:rPr>
              <w:t> </w:t>
            </w:r>
          </w:p>
        </w:tc>
      </w:tr>
    </w:tbl>
    <w:p w14:paraId="77C5A4BE" w14:textId="77777777" w:rsidR="00FC0453" w:rsidRDefault="00FC0453" w:rsidP="00FC0453"/>
    <w:p w14:paraId="744E0761" w14:textId="77777777" w:rsidR="00FC0453" w:rsidRDefault="00FC0453" w:rsidP="00FC0453"/>
    <w:p w14:paraId="707E05E7" w14:textId="77777777" w:rsidR="00FC0453" w:rsidRPr="00806168" w:rsidRDefault="00FC0453" w:rsidP="0044500E">
      <w:pPr>
        <w:pStyle w:val="Paragraphedeliste"/>
        <w:numPr>
          <w:ilvl w:val="0"/>
          <w:numId w:val="193"/>
        </w:numPr>
        <w:spacing w:before="101"/>
        <w:rPr>
          <w:rFonts w:ascii="Arial" w:hAnsi="Arial" w:cs="Arial"/>
          <w:b/>
          <w:sz w:val="20"/>
          <w:szCs w:val="20"/>
        </w:rPr>
      </w:pPr>
      <w:r>
        <w:rPr>
          <w:rFonts w:ascii="Arial" w:hAnsi="Arial" w:cs="Arial"/>
          <w:b/>
          <w:sz w:val="20"/>
          <w:szCs w:val="20"/>
        </w:rPr>
        <w:br w:type="page"/>
      </w:r>
      <w:r w:rsidRPr="00806168">
        <w:rPr>
          <w:rFonts w:ascii="Arial" w:hAnsi="Arial" w:cs="Arial"/>
          <w:b/>
          <w:sz w:val="20"/>
          <w:szCs w:val="20"/>
        </w:rPr>
        <w:t>CONSULTATION DU</w:t>
      </w:r>
      <w:r w:rsidRPr="00806168">
        <w:rPr>
          <w:rFonts w:ascii="Arial" w:hAnsi="Arial" w:cs="Arial"/>
          <w:b/>
          <w:spacing w:val="-3"/>
          <w:sz w:val="20"/>
          <w:szCs w:val="20"/>
        </w:rPr>
        <w:t xml:space="preserve"> </w:t>
      </w:r>
      <w:r w:rsidRPr="00806168">
        <w:rPr>
          <w:rFonts w:ascii="Arial" w:hAnsi="Arial" w:cs="Arial"/>
          <w:b/>
          <w:sz w:val="20"/>
          <w:szCs w:val="20"/>
        </w:rPr>
        <w:t>PUBLIC</w:t>
      </w:r>
    </w:p>
    <w:p w14:paraId="2DB55DE3" w14:textId="77777777" w:rsidR="00FC0453" w:rsidRPr="000376FA" w:rsidRDefault="00FC0453" w:rsidP="00FC0453">
      <w:pPr>
        <w:pStyle w:val="Corpsdetexte"/>
        <w:spacing w:before="11"/>
        <w:rPr>
          <w:rFonts w:ascii="Arial" w:hAnsi="Arial" w:cs="Arial"/>
          <w:b/>
        </w:rPr>
      </w:pPr>
    </w:p>
    <w:p w14:paraId="21DFA7C1" w14:textId="77777777" w:rsidR="00FC0453" w:rsidRPr="000376FA" w:rsidRDefault="00FC0453" w:rsidP="00FC0453">
      <w:pPr>
        <w:pStyle w:val="Corpsdetexte"/>
        <w:tabs>
          <w:tab w:val="left" w:pos="2906"/>
        </w:tabs>
        <w:spacing w:line="480" w:lineRule="auto"/>
        <w:ind w:right="3288"/>
        <w:rPr>
          <w:rFonts w:ascii="Arial" w:hAnsi="Arial" w:cs="Arial"/>
        </w:rPr>
      </w:pPr>
      <w:r w:rsidRPr="000376FA">
        <w:rPr>
          <w:rFonts w:ascii="Arial" w:hAnsi="Arial" w:cs="Arial"/>
        </w:rPr>
        <w:t>La consultation et la participation du public ont-elles été recherchées ? OUI</w:t>
      </w:r>
      <w:r w:rsidRPr="000376FA">
        <w:rPr>
          <w:rFonts w:ascii="Arial" w:hAnsi="Arial" w:cs="Arial"/>
          <w:spacing w:val="-3"/>
        </w:rPr>
        <w:t xml:space="preserve"> </w:t>
      </w:r>
      <w:r w:rsidRPr="000376FA">
        <w:rPr>
          <w:rFonts w:ascii="Arial" w:hAnsi="Arial" w:cs="Arial"/>
        </w:rPr>
        <w:t>:</w:t>
      </w:r>
      <w:r w:rsidRPr="000376FA">
        <w:rPr>
          <w:rFonts w:ascii="Arial" w:hAnsi="Arial" w:cs="Arial"/>
          <w:spacing w:val="-3"/>
        </w:rPr>
        <w:t xml:space="preserve"> </w:t>
      </w:r>
      <w:r w:rsidRPr="000376FA">
        <w:rPr>
          <w:rFonts w:ascii="Arial" w:hAnsi="Arial" w:cs="Arial"/>
        </w:rPr>
        <w:t>toujours</w:t>
      </w:r>
      <w:r w:rsidRPr="000376FA">
        <w:rPr>
          <w:rFonts w:ascii="Arial" w:hAnsi="Arial" w:cs="Arial"/>
        </w:rPr>
        <w:tab/>
        <w:t>NON</w:t>
      </w:r>
    </w:p>
    <w:p w14:paraId="1C336C3C" w14:textId="77777777" w:rsidR="00FC0453" w:rsidRPr="000376FA" w:rsidRDefault="00FC0453" w:rsidP="00FC0453">
      <w:pPr>
        <w:pStyle w:val="Corpsdetexte"/>
        <w:spacing w:before="6"/>
        <w:rPr>
          <w:rFonts w:ascii="Arial" w:hAnsi="Arial" w:cs="Arial"/>
        </w:rPr>
      </w:pPr>
      <w:r w:rsidRPr="000376FA">
        <w:rPr>
          <w:rFonts w:ascii="Arial" w:hAnsi="Arial" w:cs="Arial"/>
        </w:rPr>
        <w:t>Si “Oui”, décrire brièvement les mesures qui seront prises à cet effet.</w:t>
      </w:r>
    </w:p>
    <w:p w14:paraId="7BCBFA75" w14:textId="77777777" w:rsidR="00FC0453" w:rsidRPr="000376FA" w:rsidRDefault="00FC0453" w:rsidP="00FC0453">
      <w:pPr>
        <w:pStyle w:val="Corpsdetexte"/>
        <w:spacing w:before="8"/>
        <w:rPr>
          <w:rFonts w:ascii="Arial" w:hAnsi="Arial" w:cs="Arial"/>
        </w:rPr>
      </w:pPr>
    </w:p>
    <w:p w14:paraId="5B545157" w14:textId="77777777" w:rsidR="00FC0453" w:rsidRPr="00806168" w:rsidRDefault="00FC0453" w:rsidP="00FC0453">
      <w:pPr>
        <w:rPr>
          <w:rFonts w:ascii="Arial" w:hAnsi="Arial" w:cs="Arial"/>
          <w:b/>
        </w:rPr>
      </w:pPr>
      <w:r w:rsidRPr="00806168">
        <w:rPr>
          <w:rFonts w:ascii="Arial" w:hAnsi="Arial" w:cs="Arial"/>
          <w:b/>
        </w:rPr>
        <w:t>NORMES ENVIRONNEMENTALES ET SOCIALES DECLENCHEES PAR LE SOUS-PROJET</w:t>
      </w:r>
    </w:p>
    <w:p w14:paraId="4CC153BE" w14:textId="77777777" w:rsidR="00FC0453" w:rsidRPr="000376FA" w:rsidRDefault="00FC0453" w:rsidP="00FC0453">
      <w:pPr>
        <w:pStyle w:val="Corpsdetexte"/>
        <w:spacing w:before="8"/>
        <w:rPr>
          <w:rFonts w:ascii="Arial" w:hAnsi="Arial" w:cs="Arial"/>
          <w:b/>
        </w:rPr>
      </w:pPr>
    </w:p>
    <w:p w14:paraId="2FB67166" w14:textId="77777777" w:rsidR="00FC0453" w:rsidRPr="000376FA" w:rsidRDefault="00FC0453" w:rsidP="00FC0453">
      <w:pPr>
        <w:pStyle w:val="Corpsdetexte"/>
        <w:spacing w:line="242" w:lineRule="auto"/>
        <w:ind w:right="832"/>
        <w:jc w:val="both"/>
        <w:rPr>
          <w:rFonts w:ascii="Arial" w:hAnsi="Arial" w:cs="Arial"/>
        </w:rPr>
      </w:pPr>
      <w:r w:rsidRPr="000376FA">
        <w:rPr>
          <w:rFonts w:ascii="Arial" w:hAnsi="Arial" w:cs="Arial"/>
        </w:rPr>
        <w:t xml:space="preserve">Selon les enjeux environnementaux et sociaux du sous-projet, sélectionner les </w:t>
      </w:r>
      <w:r w:rsidRPr="000376FA">
        <w:rPr>
          <w:rFonts w:ascii="Arial" w:hAnsi="Arial" w:cs="Arial"/>
          <w:color w:val="000000"/>
          <w:lang w:eastAsia="fr-FR"/>
        </w:rPr>
        <w:t>Norme environnementale et sociale (</w:t>
      </w:r>
      <w:r w:rsidRPr="000376FA">
        <w:rPr>
          <w:rFonts w:ascii="Arial" w:hAnsi="Arial" w:cs="Arial"/>
        </w:rPr>
        <w:t>NES) de la Banque Mondiale qui sont déclenchées par le sous-projet :</w:t>
      </w:r>
    </w:p>
    <w:p w14:paraId="05291393" w14:textId="77777777" w:rsidR="00FC0453" w:rsidRPr="000376FA" w:rsidRDefault="00FC0453" w:rsidP="00FC0453">
      <w:pPr>
        <w:pStyle w:val="Corpsdetexte"/>
        <w:spacing w:before="6"/>
        <w:rPr>
          <w:rFonts w:ascii="Arial" w:hAnsi="Arial" w:cs="Arial"/>
        </w:rPr>
      </w:pPr>
    </w:p>
    <w:tbl>
      <w:tblPr>
        <w:tblW w:w="92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79"/>
        <w:gridCol w:w="1134"/>
      </w:tblGrid>
      <w:tr w:rsidR="00FC0453" w:rsidRPr="000376FA" w14:paraId="7476A66D" w14:textId="77777777" w:rsidTr="00FC0453">
        <w:trPr>
          <w:trHeight w:val="300"/>
        </w:trPr>
        <w:tc>
          <w:tcPr>
            <w:tcW w:w="8079" w:type="dxa"/>
            <w:shd w:val="clear" w:color="auto" w:fill="auto"/>
          </w:tcPr>
          <w:p w14:paraId="13E0A6C0" w14:textId="77777777" w:rsidR="00FC0453" w:rsidRPr="000376FA" w:rsidRDefault="00FC0453" w:rsidP="00FC0453">
            <w:pPr>
              <w:pStyle w:val="TableParagraph"/>
              <w:spacing w:before="30"/>
              <w:ind w:left="110"/>
              <w:rPr>
                <w:rFonts w:ascii="Arial" w:hAnsi="Arial" w:cs="Arial"/>
                <w:sz w:val="20"/>
                <w:szCs w:val="20"/>
              </w:rPr>
            </w:pPr>
            <w:r w:rsidRPr="000376FA">
              <w:rPr>
                <w:rFonts w:ascii="Arial" w:hAnsi="Arial" w:cs="Arial"/>
                <w:color w:val="000000"/>
                <w:sz w:val="20"/>
                <w:szCs w:val="20"/>
                <w:lang w:eastAsia="fr-FR"/>
              </w:rPr>
              <w:t>NES N°1 : Évaluation et gestion des risques et impacts environnementaux et sociaux</w:t>
            </w:r>
          </w:p>
        </w:tc>
        <w:tc>
          <w:tcPr>
            <w:tcW w:w="1134" w:type="dxa"/>
            <w:shd w:val="clear" w:color="auto" w:fill="auto"/>
          </w:tcPr>
          <w:p w14:paraId="2C69DE01" w14:textId="77777777" w:rsidR="00FC0453" w:rsidRPr="000376FA" w:rsidRDefault="00FC0453" w:rsidP="00FC0453">
            <w:pPr>
              <w:pStyle w:val="TableParagraph"/>
              <w:rPr>
                <w:rFonts w:ascii="Arial" w:hAnsi="Arial" w:cs="Arial"/>
                <w:sz w:val="20"/>
                <w:szCs w:val="20"/>
              </w:rPr>
            </w:pPr>
          </w:p>
        </w:tc>
      </w:tr>
      <w:tr w:rsidR="00FC0453" w:rsidRPr="000376FA" w14:paraId="451AEB18" w14:textId="77777777" w:rsidTr="00FC0453">
        <w:trPr>
          <w:trHeight w:val="300"/>
        </w:trPr>
        <w:tc>
          <w:tcPr>
            <w:tcW w:w="8079" w:type="dxa"/>
            <w:shd w:val="clear" w:color="auto" w:fill="auto"/>
          </w:tcPr>
          <w:p w14:paraId="06DB8A2E" w14:textId="77777777" w:rsidR="00FC0453" w:rsidRPr="000376FA" w:rsidRDefault="00FC0453" w:rsidP="00FC0453">
            <w:pPr>
              <w:pStyle w:val="TableParagraph"/>
              <w:spacing w:before="35"/>
              <w:ind w:left="110"/>
              <w:rPr>
                <w:rFonts w:ascii="Arial" w:hAnsi="Arial" w:cs="Arial"/>
                <w:sz w:val="20"/>
                <w:szCs w:val="20"/>
              </w:rPr>
            </w:pPr>
            <w:r w:rsidRPr="000376FA">
              <w:rPr>
                <w:rFonts w:ascii="Arial" w:hAnsi="Arial" w:cs="Arial"/>
                <w:color w:val="000000"/>
                <w:sz w:val="20"/>
                <w:szCs w:val="20"/>
                <w:lang w:eastAsia="fr-FR"/>
              </w:rPr>
              <w:t>NES N° 2 : Emploi et conditions de travail</w:t>
            </w:r>
          </w:p>
        </w:tc>
        <w:tc>
          <w:tcPr>
            <w:tcW w:w="1134" w:type="dxa"/>
            <w:shd w:val="clear" w:color="auto" w:fill="auto"/>
          </w:tcPr>
          <w:p w14:paraId="2F50AD73" w14:textId="77777777" w:rsidR="00FC0453" w:rsidRPr="000376FA" w:rsidRDefault="00FC0453" w:rsidP="00FC0453">
            <w:pPr>
              <w:pStyle w:val="TableParagraph"/>
              <w:rPr>
                <w:rFonts w:ascii="Arial" w:hAnsi="Arial" w:cs="Arial"/>
                <w:sz w:val="20"/>
                <w:szCs w:val="20"/>
              </w:rPr>
            </w:pPr>
          </w:p>
        </w:tc>
      </w:tr>
      <w:tr w:rsidR="00FC0453" w:rsidRPr="000376FA" w14:paraId="33569B28" w14:textId="77777777" w:rsidTr="00FC0453">
        <w:trPr>
          <w:trHeight w:val="305"/>
        </w:trPr>
        <w:tc>
          <w:tcPr>
            <w:tcW w:w="8079" w:type="dxa"/>
            <w:shd w:val="clear" w:color="auto" w:fill="auto"/>
          </w:tcPr>
          <w:p w14:paraId="34B9DB26" w14:textId="77777777" w:rsidR="00FC0453" w:rsidRPr="000376FA" w:rsidRDefault="00FC0453" w:rsidP="00FC0453">
            <w:pPr>
              <w:pStyle w:val="TableParagraph"/>
              <w:spacing w:before="35"/>
              <w:ind w:left="110"/>
              <w:rPr>
                <w:rFonts w:ascii="Arial" w:hAnsi="Arial" w:cs="Arial"/>
                <w:sz w:val="20"/>
                <w:szCs w:val="20"/>
              </w:rPr>
            </w:pPr>
            <w:r w:rsidRPr="000376FA">
              <w:rPr>
                <w:rFonts w:ascii="Arial" w:hAnsi="Arial" w:cs="Arial"/>
                <w:color w:val="000000"/>
                <w:sz w:val="20"/>
                <w:szCs w:val="20"/>
                <w:lang w:eastAsia="fr-FR"/>
              </w:rPr>
              <w:t>NES N° 3 : Utilisation rationnelle des ressources et prévention et gestion de la pollution</w:t>
            </w:r>
          </w:p>
        </w:tc>
        <w:tc>
          <w:tcPr>
            <w:tcW w:w="1134" w:type="dxa"/>
            <w:shd w:val="clear" w:color="auto" w:fill="auto"/>
          </w:tcPr>
          <w:p w14:paraId="59191C11" w14:textId="77777777" w:rsidR="00FC0453" w:rsidRPr="000376FA" w:rsidRDefault="00FC0453" w:rsidP="00FC0453">
            <w:pPr>
              <w:pStyle w:val="TableParagraph"/>
              <w:rPr>
                <w:rFonts w:ascii="Arial" w:hAnsi="Arial" w:cs="Arial"/>
                <w:sz w:val="20"/>
                <w:szCs w:val="20"/>
              </w:rPr>
            </w:pPr>
          </w:p>
        </w:tc>
      </w:tr>
      <w:tr w:rsidR="00FC0453" w:rsidRPr="000376FA" w14:paraId="149B6E6B" w14:textId="77777777" w:rsidTr="00FC0453">
        <w:trPr>
          <w:trHeight w:val="300"/>
        </w:trPr>
        <w:tc>
          <w:tcPr>
            <w:tcW w:w="8079" w:type="dxa"/>
            <w:shd w:val="clear" w:color="auto" w:fill="auto"/>
          </w:tcPr>
          <w:p w14:paraId="1C8B255A" w14:textId="77777777" w:rsidR="00FC0453" w:rsidRPr="000376FA" w:rsidRDefault="00FC0453" w:rsidP="00FC0453">
            <w:pPr>
              <w:pStyle w:val="TableParagraph"/>
              <w:spacing w:before="30"/>
              <w:ind w:left="110"/>
              <w:rPr>
                <w:rFonts w:ascii="Arial" w:hAnsi="Arial" w:cs="Arial"/>
                <w:sz w:val="20"/>
                <w:szCs w:val="20"/>
              </w:rPr>
            </w:pPr>
            <w:r w:rsidRPr="000376FA">
              <w:rPr>
                <w:rFonts w:ascii="Arial" w:hAnsi="Arial" w:cs="Arial"/>
                <w:color w:val="000000"/>
                <w:sz w:val="20"/>
                <w:szCs w:val="20"/>
                <w:lang w:eastAsia="fr-FR"/>
              </w:rPr>
              <w:t>NES N° 4 : Santé et sécurité des populations</w:t>
            </w:r>
          </w:p>
        </w:tc>
        <w:tc>
          <w:tcPr>
            <w:tcW w:w="1134" w:type="dxa"/>
            <w:shd w:val="clear" w:color="auto" w:fill="auto"/>
          </w:tcPr>
          <w:p w14:paraId="21249CAD" w14:textId="77777777" w:rsidR="00FC0453" w:rsidRPr="000376FA" w:rsidRDefault="00FC0453" w:rsidP="00FC0453">
            <w:pPr>
              <w:pStyle w:val="TableParagraph"/>
              <w:rPr>
                <w:rFonts w:ascii="Arial" w:hAnsi="Arial" w:cs="Arial"/>
                <w:sz w:val="20"/>
                <w:szCs w:val="20"/>
              </w:rPr>
            </w:pPr>
          </w:p>
        </w:tc>
      </w:tr>
      <w:tr w:rsidR="00FC0453" w:rsidRPr="000376FA" w14:paraId="39E21D7B" w14:textId="77777777" w:rsidTr="00FC0453">
        <w:trPr>
          <w:trHeight w:val="305"/>
        </w:trPr>
        <w:tc>
          <w:tcPr>
            <w:tcW w:w="8079" w:type="dxa"/>
            <w:shd w:val="clear" w:color="auto" w:fill="auto"/>
          </w:tcPr>
          <w:p w14:paraId="29E7C2FC" w14:textId="77777777" w:rsidR="00FC0453" w:rsidRPr="000376FA" w:rsidRDefault="00FC0453" w:rsidP="00FC0453">
            <w:pPr>
              <w:pStyle w:val="TableParagraph"/>
              <w:spacing w:before="35"/>
              <w:ind w:left="110"/>
              <w:rPr>
                <w:rFonts w:ascii="Arial" w:hAnsi="Arial" w:cs="Arial"/>
                <w:sz w:val="20"/>
                <w:szCs w:val="20"/>
              </w:rPr>
            </w:pPr>
            <w:r w:rsidRPr="000376FA">
              <w:rPr>
                <w:rFonts w:ascii="Arial" w:hAnsi="Arial" w:cs="Arial"/>
                <w:color w:val="000000"/>
                <w:sz w:val="20"/>
                <w:szCs w:val="20"/>
                <w:lang w:eastAsia="fr-FR"/>
              </w:rPr>
              <w:t>NES N° 5 : Acquisition de terres, restrictions à l’utilisation de terres et réinstallation involontaire</w:t>
            </w:r>
          </w:p>
        </w:tc>
        <w:tc>
          <w:tcPr>
            <w:tcW w:w="1134" w:type="dxa"/>
            <w:shd w:val="clear" w:color="auto" w:fill="auto"/>
          </w:tcPr>
          <w:p w14:paraId="3B2FF54B" w14:textId="77777777" w:rsidR="00FC0453" w:rsidRPr="000376FA" w:rsidRDefault="00FC0453" w:rsidP="00FC0453">
            <w:pPr>
              <w:pStyle w:val="TableParagraph"/>
              <w:rPr>
                <w:rFonts w:ascii="Arial" w:hAnsi="Arial" w:cs="Arial"/>
                <w:sz w:val="20"/>
                <w:szCs w:val="20"/>
              </w:rPr>
            </w:pPr>
          </w:p>
        </w:tc>
      </w:tr>
      <w:tr w:rsidR="00FC0453" w:rsidRPr="000376FA" w14:paraId="6A0172A0" w14:textId="77777777" w:rsidTr="00FC0453">
        <w:trPr>
          <w:trHeight w:val="305"/>
        </w:trPr>
        <w:tc>
          <w:tcPr>
            <w:tcW w:w="8079" w:type="dxa"/>
            <w:shd w:val="clear" w:color="auto" w:fill="auto"/>
          </w:tcPr>
          <w:p w14:paraId="3291CC5B" w14:textId="77777777" w:rsidR="00FC0453" w:rsidRPr="000376FA" w:rsidRDefault="00FC0453" w:rsidP="00FC0453">
            <w:pPr>
              <w:pStyle w:val="TableParagraph"/>
              <w:spacing w:before="35"/>
              <w:ind w:left="110"/>
              <w:rPr>
                <w:rFonts w:ascii="Arial" w:hAnsi="Arial" w:cs="Arial"/>
                <w:color w:val="000000"/>
                <w:sz w:val="20"/>
                <w:szCs w:val="20"/>
                <w:lang w:eastAsia="fr-FR"/>
              </w:rPr>
            </w:pPr>
            <w:r w:rsidRPr="000376FA">
              <w:rPr>
                <w:rFonts w:ascii="Arial" w:hAnsi="Arial" w:cs="Arial"/>
                <w:color w:val="000000"/>
                <w:sz w:val="20"/>
                <w:szCs w:val="20"/>
                <w:lang w:eastAsia="fr-FR"/>
              </w:rPr>
              <w:t>NES N° 6 : Préservation de la biodiversité et gestion durable des ressources naturelles biologiques</w:t>
            </w:r>
          </w:p>
        </w:tc>
        <w:tc>
          <w:tcPr>
            <w:tcW w:w="1134" w:type="dxa"/>
            <w:shd w:val="clear" w:color="auto" w:fill="auto"/>
          </w:tcPr>
          <w:p w14:paraId="1E597C47" w14:textId="77777777" w:rsidR="00FC0453" w:rsidRPr="000376FA" w:rsidRDefault="00FC0453" w:rsidP="00FC0453">
            <w:pPr>
              <w:pStyle w:val="TableParagraph"/>
              <w:rPr>
                <w:rFonts w:ascii="Arial" w:hAnsi="Arial" w:cs="Arial"/>
                <w:sz w:val="20"/>
                <w:szCs w:val="20"/>
              </w:rPr>
            </w:pPr>
          </w:p>
        </w:tc>
      </w:tr>
      <w:tr w:rsidR="00FC0453" w:rsidRPr="000376FA" w14:paraId="2FBD4D84" w14:textId="77777777" w:rsidTr="00FC0453">
        <w:trPr>
          <w:trHeight w:val="305"/>
        </w:trPr>
        <w:tc>
          <w:tcPr>
            <w:tcW w:w="8079" w:type="dxa"/>
            <w:shd w:val="clear" w:color="auto" w:fill="auto"/>
          </w:tcPr>
          <w:p w14:paraId="5497653A" w14:textId="77777777" w:rsidR="00FC0453" w:rsidRPr="000376FA" w:rsidRDefault="00FC0453" w:rsidP="00FC0453">
            <w:pPr>
              <w:pStyle w:val="TableParagraph"/>
              <w:spacing w:before="35"/>
              <w:ind w:left="110"/>
              <w:rPr>
                <w:rFonts w:ascii="Arial" w:hAnsi="Arial" w:cs="Arial"/>
                <w:color w:val="000000"/>
                <w:sz w:val="20"/>
                <w:szCs w:val="20"/>
                <w:lang w:eastAsia="fr-FR"/>
              </w:rPr>
            </w:pPr>
            <w:r w:rsidRPr="000376FA">
              <w:rPr>
                <w:rFonts w:ascii="Arial" w:hAnsi="Arial" w:cs="Arial"/>
                <w:color w:val="000000"/>
                <w:sz w:val="20"/>
                <w:szCs w:val="20"/>
                <w:lang w:eastAsia="fr-FR"/>
              </w:rPr>
              <w:t>NES N° 7 : Peuples autochtones / Communautés locales traditionnelles d’Afrique subsaharienne historiquement défavorisées</w:t>
            </w:r>
          </w:p>
        </w:tc>
        <w:tc>
          <w:tcPr>
            <w:tcW w:w="1134" w:type="dxa"/>
            <w:shd w:val="clear" w:color="auto" w:fill="auto"/>
          </w:tcPr>
          <w:p w14:paraId="4F133AA3" w14:textId="77777777" w:rsidR="00FC0453" w:rsidRPr="000376FA" w:rsidRDefault="00FC0453" w:rsidP="00FC0453">
            <w:pPr>
              <w:pStyle w:val="TableParagraph"/>
              <w:rPr>
                <w:rFonts w:ascii="Arial" w:hAnsi="Arial" w:cs="Arial"/>
                <w:sz w:val="20"/>
                <w:szCs w:val="20"/>
              </w:rPr>
            </w:pPr>
          </w:p>
        </w:tc>
      </w:tr>
      <w:tr w:rsidR="00FC0453" w:rsidRPr="000376FA" w14:paraId="4514A9A6" w14:textId="77777777" w:rsidTr="00FC0453">
        <w:trPr>
          <w:trHeight w:val="305"/>
        </w:trPr>
        <w:tc>
          <w:tcPr>
            <w:tcW w:w="8079" w:type="dxa"/>
            <w:shd w:val="clear" w:color="auto" w:fill="auto"/>
          </w:tcPr>
          <w:p w14:paraId="0C5393AD" w14:textId="77777777" w:rsidR="00FC0453" w:rsidRPr="000376FA" w:rsidRDefault="00FC0453" w:rsidP="00FC0453">
            <w:pPr>
              <w:pStyle w:val="TableParagraph"/>
              <w:spacing w:before="35"/>
              <w:ind w:left="110"/>
              <w:rPr>
                <w:rFonts w:ascii="Arial" w:hAnsi="Arial" w:cs="Arial"/>
                <w:color w:val="000000"/>
                <w:sz w:val="20"/>
                <w:szCs w:val="20"/>
                <w:lang w:eastAsia="fr-FR"/>
              </w:rPr>
            </w:pPr>
            <w:r w:rsidRPr="000376FA">
              <w:rPr>
                <w:rFonts w:ascii="Arial" w:hAnsi="Arial" w:cs="Arial"/>
                <w:color w:val="000000"/>
                <w:sz w:val="20"/>
                <w:szCs w:val="20"/>
                <w:lang w:eastAsia="fr-FR"/>
              </w:rPr>
              <w:t>NES N° 8 : Patrimoine culturel</w:t>
            </w:r>
          </w:p>
        </w:tc>
        <w:tc>
          <w:tcPr>
            <w:tcW w:w="1134" w:type="dxa"/>
            <w:shd w:val="clear" w:color="auto" w:fill="auto"/>
          </w:tcPr>
          <w:p w14:paraId="7D551BB3" w14:textId="77777777" w:rsidR="00FC0453" w:rsidRPr="000376FA" w:rsidRDefault="00FC0453" w:rsidP="00FC0453">
            <w:pPr>
              <w:pStyle w:val="TableParagraph"/>
              <w:rPr>
                <w:rFonts w:ascii="Arial" w:hAnsi="Arial" w:cs="Arial"/>
                <w:sz w:val="20"/>
                <w:szCs w:val="20"/>
              </w:rPr>
            </w:pPr>
          </w:p>
        </w:tc>
      </w:tr>
      <w:tr w:rsidR="00FC0453" w:rsidRPr="000376FA" w14:paraId="6C03569B" w14:textId="77777777" w:rsidTr="00FC0453">
        <w:trPr>
          <w:trHeight w:val="305"/>
        </w:trPr>
        <w:tc>
          <w:tcPr>
            <w:tcW w:w="8079" w:type="dxa"/>
            <w:shd w:val="clear" w:color="auto" w:fill="auto"/>
          </w:tcPr>
          <w:p w14:paraId="44BD1674" w14:textId="77777777" w:rsidR="00FC0453" w:rsidRPr="000376FA" w:rsidRDefault="00FC0453" w:rsidP="00FC0453">
            <w:pPr>
              <w:pStyle w:val="TableParagraph"/>
              <w:spacing w:before="35"/>
              <w:ind w:left="110"/>
              <w:rPr>
                <w:rFonts w:ascii="Arial" w:hAnsi="Arial" w:cs="Arial"/>
                <w:color w:val="000000"/>
                <w:sz w:val="20"/>
                <w:szCs w:val="20"/>
                <w:lang w:eastAsia="fr-FR"/>
              </w:rPr>
            </w:pPr>
            <w:r w:rsidRPr="000376FA">
              <w:rPr>
                <w:rFonts w:ascii="Arial" w:hAnsi="Arial" w:cs="Arial"/>
                <w:color w:val="000000"/>
                <w:sz w:val="20"/>
                <w:szCs w:val="20"/>
                <w:lang w:eastAsia="fr-FR"/>
              </w:rPr>
              <w:t>NES N° 9 : Intermédiaires financiers</w:t>
            </w:r>
          </w:p>
        </w:tc>
        <w:tc>
          <w:tcPr>
            <w:tcW w:w="1134" w:type="dxa"/>
            <w:shd w:val="clear" w:color="auto" w:fill="auto"/>
          </w:tcPr>
          <w:p w14:paraId="25132F1E" w14:textId="77777777" w:rsidR="00FC0453" w:rsidRPr="000376FA" w:rsidRDefault="00FC0453" w:rsidP="00FC0453">
            <w:pPr>
              <w:pStyle w:val="TableParagraph"/>
              <w:rPr>
                <w:rFonts w:ascii="Arial" w:hAnsi="Arial" w:cs="Arial"/>
                <w:sz w:val="20"/>
                <w:szCs w:val="20"/>
              </w:rPr>
            </w:pPr>
          </w:p>
        </w:tc>
      </w:tr>
      <w:tr w:rsidR="00FC0453" w:rsidRPr="000376FA" w14:paraId="2520A51D" w14:textId="77777777" w:rsidTr="00FC0453">
        <w:trPr>
          <w:trHeight w:val="305"/>
        </w:trPr>
        <w:tc>
          <w:tcPr>
            <w:tcW w:w="8079" w:type="dxa"/>
            <w:shd w:val="clear" w:color="auto" w:fill="auto"/>
          </w:tcPr>
          <w:p w14:paraId="571E67CD" w14:textId="77777777" w:rsidR="00FC0453" w:rsidRPr="000376FA" w:rsidRDefault="00FC0453" w:rsidP="00FC0453">
            <w:pPr>
              <w:pStyle w:val="TableParagraph"/>
              <w:spacing w:before="35"/>
              <w:ind w:left="110"/>
              <w:rPr>
                <w:rFonts w:ascii="Arial" w:hAnsi="Arial" w:cs="Arial"/>
                <w:color w:val="000000"/>
                <w:sz w:val="20"/>
                <w:szCs w:val="20"/>
                <w:lang w:eastAsia="fr-FR"/>
              </w:rPr>
            </w:pPr>
            <w:r w:rsidRPr="000376FA">
              <w:rPr>
                <w:rFonts w:ascii="Arial" w:hAnsi="Arial" w:cs="Arial"/>
                <w:color w:val="000000"/>
                <w:sz w:val="20"/>
                <w:szCs w:val="20"/>
                <w:lang w:eastAsia="fr-FR"/>
              </w:rPr>
              <w:t>NES N° 10 : Mobilisation des parties prenantes et information</w:t>
            </w:r>
          </w:p>
        </w:tc>
        <w:tc>
          <w:tcPr>
            <w:tcW w:w="1134" w:type="dxa"/>
            <w:shd w:val="clear" w:color="auto" w:fill="auto"/>
          </w:tcPr>
          <w:p w14:paraId="4481081A" w14:textId="77777777" w:rsidR="00FC0453" w:rsidRPr="000376FA" w:rsidRDefault="00FC0453" w:rsidP="00FC0453">
            <w:pPr>
              <w:pStyle w:val="TableParagraph"/>
              <w:rPr>
                <w:rFonts w:ascii="Arial" w:hAnsi="Arial" w:cs="Arial"/>
                <w:sz w:val="20"/>
                <w:szCs w:val="20"/>
              </w:rPr>
            </w:pPr>
          </w:p>
        </w:tc>
      </w:tr>
    </w:tbl>
    <w:p w14:paraId="706B10F0" w14:textId="77777777" w:rsidR="00FC0453" w:rsidRPr="000376FA" w:rsidRDefault="00FC0453" w:rsidP="00FC0453">
      <w:pPr>
        <w:pStyle w:val="Corpsdetexte"/>
        <w:rPr>
          <w:rFonts w:ascii="Arial" w:hAnsi="Arial" w:cs="Arial"/>
        </w:rPr>
      </w:pPr>
    </w:p>
    <w:p w14:paraId="5675CB5C" w14:textId="77777777" w:rsidR="00FC0453" w:rsidRPr="00806168" w:rsidRDefault="00FC0453" w:rsidP="00FC0453">
      <w:pPr>
        <w:rPr>
          <w:rFonts w:ascii="Arial" w:hAnsi="Arial" w:cs="Arial"/>
          <w:b/>
        </w:rPr>
      </w:pPr>
      <w:r w:rsidRPr="00806168">
        <w:rPr>
          <w:rFonts w:ascii="Arial" w:hAnsi="Arial" w:cs="Arial"/>
          <w:b/>
        </w:rPr>
        <w:t>MESURES D’ATTENUATION</w:t>
      </w:r>
    </w:p>
    <w:p w14:paraId="00077226" w14:textId="77777777" w:rsidR="00FC0453" w:rsidRPr="000376FA" w:rsidRDefault="00FC0453" w:rsidP="00FC0453">
      <w:pPr>
        <w:pStyle w:val="Corpsdetexte"/>
        <w:spacing w:before="3"/>
        <w:rPr>
          <w:rFonts w:ascii="Arial" w:hAnsi="Arial" w:cs="Arial"/>
          <w:b/>
        </w:rPr>
      </w:pPr>
    </w:p>
    <w:p w14:paraId="38B2DA98" w14:textId="77777777" w:rsidR="00FC0453" w:rsidRPr="000376FA" w:rsidRDefault="00FC0453" w:rsidP="00FC0453">
      <w:pPr>
        <w:pStyle w:val="Corpsdetexte"/>
        <w:spacing w:line="237" w:lineRule="auto"/>
        <w:ind w:right="832"/>
        <w:jc w:val="both"/>
        <w:rPr>
          <w:rFonts w:ascii="Arial" w:hAnsi="Arial" w:cs="Arial"/>
        </w:rPr>
      </w:pPr>
      <w:r w:rsidRPr="000376FA">
        <w:rPr>
          <w:rFonts w:ascii="Arial" w:hAnsi="Arial" w:cs="Arial"/>
        </w:rPr>
        <w:t>Pour toutes les réponses “Oui” dans la Section 3, décrire brièvement les mesures prévues y afférentes.</w:t>
      </w:r>
    </w:p>
    <w:p w14:paraId="4078DB4D" w14:textId="77777777" w:rsidR="00FC0453" w:rsidRPr="000376FA" w:rsidRDefault="00FC0453" w:rsidP="00FC0453">
      <w:pPr>
        <w:pStyle w:val="Corpsdetexte"/>
        <w:spacing w:before="2"/>
        <w:rPr>
          <w:rFonts w:ascii="Arial" w:hAnsi="Arial" w:cs="Arial"/>
        </w:rPr>
      </w:pPr>
    </w:p>
    <w:p w14:paraId="7781F787" w14:textId="77777777" w:rsidR="00FC0453" w:rsidRPr="000376FA" w:rsidRDefault="00FC0453" w:rsidP="0044500E">
      <w:pPr>
        <w:pStyle w:val="Listecouleur-Accent13"/>
        <w:widowControl w:val="0"/>
        <w:numPr>
          <w:ilvl w:val="1"/>
          <w:numId w:val="194"/>
        </w:numPr>
        <w:tabs>
          <w:tab w:val="left" w:pos="1540"/>
          <w:tab w:val="left" w:pos="1541"/>
        </w:tabs>
        <w:autoSpaceDE w:val="0"/>
        <w:autoSpaceDN w:val="0"/>
        <w:spacing w:after="0" w:line="240" w:lineRule="auto"/>
        <w:contextualSpacing w:val="0"/>
        <w:jc w:val="left"/>
        <w:rPr>
          <w:rFonts w:ascii="Arial" w:hAnsi="Arial" w:cs="Arial"/>
          <w:sz w:val="20"/>
          <w:szCs w:val="20"/>
        </w:rPr>
      </w:pPr>
      <w:r w:rsidRPr="000376FA">
        <w:rPr>
          <w:rFonts w:ascii="Arial" w:hAnsi="Arial" w:cs="Arial"/>
          <w:sz w:val="20"/>
          <w:szCs w:val="20"/>
        </w:rPr>
        <w:t>Conception</w:t>
      </w:r>
      <w:r w:rsidRPr="000376FA">
        <w:rPr>
          <w:rFonts w:ascii="Arial" w:hAnsi="Arial" w:cs="Arial"/>
          <w:spacing w:val="-6"/>
          <w:sz w:val="20"/>
          <w:szCs w:val="20"/>
        </w:rPr>
        <w:t xml:space="preserve"> </w:t>
      </w:r>
      <w:r w:rsidRPr="000376FA">
        <w:rPr>
          <w:rFonts w:ascii="Arial" w:hAnsi="Arial" w:cs="Arial"/>
          <w:sz w:val="20"/>
          <w:szCs w:val="20"/>
        </w:rPr>
        <w:t>et</w:t>
      </w:r>
      <w:r w:rsidRPr="000376FA">
        <w:rPr>
          <w:rFonts w:ascii="Arial" w:hAnsi="Arial" w:cs="Arial"/>
          <w:spacing w:val="-7"/>
          <w:sz w:val="20"/>
          <w:szCs w:val="20"/>
        </w:rPr>
        <w:t xml:space="preserve"> </w:t>
      </w:r>
      <w:r w:rsidRPr="000376FA">
        <w:rPr>
          <w:rFonts w:ascii="Arial" w:hAnsi="Arial" w:cs="Arial"/>
          <w:sz w:val="20"/>
          <w:szCs w:val="20"/>
        </w:rPr>
        <w:t>mise</w:t>
      </w:r>
      <w:r w:rsidRPr="000376FA">
        <w:rPr>
          <w:rFonts w:ascii="Arial" w:hAnsi="Arial" w:cs="Arial"/>
          <w:spacing w:val="-9"/>
          <w:sz w:val="20"/>
          <w:szCs w:val="20"/>
        </w:rPr>
        <w:t xml:space="preserve"> </w:t>
      </w:r>
      <w:r w:rsidRPr="000376FA">
        <w:rPr>
          <w:rFonts w:ascii="Arial" w:hAnsi="Arial" w:cs="Arial"/>
          <w:sz w:val="20"/>
          <w:szCs w:val="20"/>
        </w:rPr>
        <w:t>en</w:t>
      </w:r>
      <w:r w:rsidRPr="000376FA">
        <w:rPr>
          <w:rFonts w:ascii="Arial" w:hAnsi="Arial" w:cs="Arial"/>
          <w:spacing w:val="-6"/>
          <w:sz w:val="20"/>
          <w:szCs w:val="20"/>
        </w:rPr>
        <w:t xml:space="preserve"> </w:t>
      </w:r>
      <w:r w:rsidRPr="000376FA">
        <w:rPr>
          <w:rFonts w:ascii="Arial" w:hAnsi="Arial" w:cs="Arial"/>
          <w:sz w:val="20"/>
          <w:szCs w:val="20"/>
        </w:rPr>
        <w:t>œuvre</w:t>
      </w:r>
      <w:r w:rsidRPr="000376FA">
        <w:rPr>
          <w:rFonts w:ascii="Arial" w:hAnsi="Arial" w:cs="Arial"/>
          <w:spacing w:val="-4"/>
          <w:sz w:val="20"/>
          <w:szCs w:val="20"/>
        </w:rPr>
        <w:t xml:space="preserve"> </w:t>
      </w:r>
      <w:r w:rsidRPr="000376FA">
        <w:rPr>
          <w:rFonts w:ascii="Arial" w:hAnsi="Arial" w:cs="Arial"/>
          <w:sz w:val="20"/>
          <w:szCs w:val="20"/>
        </w:rPr>
        <w:t>d’un</w:t>
      </w:r>
      <w:r w:rsidRPr="000376FA">
        <w:rPr>
          <w:rFonts w:ascii="Arial" w:hAnsi="Arial" w:cs="Arial"/>
          <w:spacing w:val="-6"/>
          <w:sz w:val="20"/>
          <w:szCs w:val="20"/>
        </w:rPr>
        <w:t xml:space="preserve"> </w:t>
      </w:r>
      <w:r w:rsidRPr="000376FA">
        <w:rPr>
          <w:rFonts w:ascii="Arial" w:hAnsi="Arial" w:cs="Arial"/>
          <w:sz w:val="20"/>
          <w:szCs w:val="20"/>
        </w:rPr>
        <w:t>Plan</w:t>
      </w:r>
      <w:r w:rsidRPr="000376FA">
        <w:rPr>
          <w:rFonts w:ascii="Arial" w:hAnsi="Arial" w:cs="Arial"/>
          <w:spacing w:val="-6"/>
          <w:sz w:val="20"/>
          <w:szCs w:val="20"/>
        </w:rPr>
        <w:t xml:space="preserve"> </w:t>
      </w:r>
      <w:r w:rsidRPr="000376FA">
        <w:rPr>
          <w:rFonts w:ascii="Arial" w:hAnsi="Arial" w:cs="Arial"/>
          <w:sz w:val="20"/>
          <w:szCs w:val="20"/>
        </w:rPr>
        <w:t>de</w:t>
      </w:r>
      <w:r w:rsidRPr="000376FA">
        <w:rPr>
          <w:rFonts w:ascii="Arial" w:hAnsi="Arial" w:cs="Arial"/>
          <w:spacing w:val="-9"/>
          <w:sz w:val="20"/>
          <w:szCs w:val="20"/>
        </w:rPr>
        <w:t xml:space="preserve"> </w:t>
      </w:r>
      <w:r w:rsidRPr="000376FA">
        <w:rPr>
          <w:rFonts w:ascii="Arial" w:hAnsi="Arial" w:cs="Arial"/>
          <w:sz w:val="20"/>
          <w:szCs w:val="20"/>
        </w:rPr>
        <w:t>gestion</w:t>
      </w:r>
      <w:r w:rsidRPr="000376FA">
        <w:rPr>
          <w:rFonts w:ascii="Arial" w:hAnsi="Arial" w:cs="Arial"/>
          <w:spacing w:val="-5"/>
          <w:sz w:val="20"/>
          <w:szCs w:val="20"/>
        </w:rPr>
        <w:t xml:space="preserve"> </w:t>
      </w:r>
      <w:r w:rsidRPr="000376FA">
        <w:rPr>
          <w:rFonts w:ascii="Arial" w:hAnsi="Arial" w:cs="Arial"/>
          <w:sz w:val="20"/>
          <w:szCs w:val="20"/>
        </w:rPr>
        <w:t>environnementale</w:t>
      </w:r>
    </w:p>
    <w:p w14:paraId="5001FF16" w14:textId="77777777" w:rsidR="00FC0453" w:rsidRPr="000376FA" w:rsidRDefault="00FC0453" w:rsidP="0044500E">
      <w:pPr>
        <w:pStyle w:val="Listecouleur-Accent13"/>
        <w:widowControl w:val="0"/>
        <w:numPr>
          <w:ilvl w:val="1"/>
          <w:numId w:val="194"/>
        </w:numPr>
        <w:tabs>
          <w:tab w:val="left" w:pos="1540"/>
          <w:tab w:val="left" w:pos="1541"/>
        </w:tabs>
        <w:autoSpaceDE w:val="0"/>
        <w:autoSpaceDN w:val="0"/>
        <w:spacing w:after="0" w:line="240" w:lineRule="auto"/>
        <w:contextualSpacing w:val="0"/>
        <w:jc w:val="left"/>
        <w:rPr>
          <w:rFonts w:ascii="Arial" w:hAnsi="Arial" w:cs="Arial"/>
          <w:sz w:val="20"/>
          <w:szCs w:val="20"/>
        </w:rPr>
      </w:pPr>
      <w:r w:rsidRPr="000376FA">
        <w:rPr>
          <w:rFonts w:ascii="Arial" w:hAnsi="Arial" w:cs="Arial"/>
          <w:sz w:val="20"/>
          <w:szCs w:val="20"/>
        </w:rPr>
        <w:t>Préparation</w:t>
      </w:r>
      <w:r w:rsidRPr="000376FA">
        <w:rPr>
          <w:rFonts w:ascii="Arial" w:hAnsi="Arial" w:cs="Arial"/>
          <w:spacing w:val="-6"/>
          <w:sz w:val="20"/>
          <w:szCs w:val="20"/>
        </w:rPr>
        <w:t xml:space="preserve"> </w:t>
      </w:r>
      <w:r w:rsidRPr="000376FA">
        <w:rPr>
          <w:rFonts w:ascii="Arial" w:hAnsi="Arial" w:cs="Arial"/>
          <w:sz w:val="20"/>
          <w:szCs w:val="20"/>
        </w:rPr>
        <w:t>et</w:t>
      </w:r>
      <w:r w:rsidRPr="000376FA">
        <w:rPr>
          <w:rFonts w:ascii="Arial" w:hAnsi="Arial" w:cs="Arial"/>
          <w:spacing w:val="-6"/>
          <w:sz w:val="20"/>
          <w:szCs w:val="20"/>
        </w:rPr>
        <w:t xml:space="preserve"> </w:t>
      </w:r>
      <w:r w:rsidRPr="000376FA">
        <w:rPr>
          <w:rFonts w:ascii="Arial" w:hAnsi="Arial" w:cs="Arial"/>
          <w:sz w:val="20"/>
          <w:szCs w:val="20"/>
        </w:rPr>
        <w:t>mise</w:t>
      </w:r>
      <w:r w:rsidRPr="000376FA">
        <w:rPr>
          <w:rFonts w:ascii="Arial" w:hAnsi="Arial" w:cs="Arial"/>
          <w:spacing w:val="-9"/>
          <w:sz w:val="20"/>
          <w:szCs w:val="20"/>
        </w:rPr>
        <w:t xml:space="preserve"> </w:t>
      </w:r>
      <w:r w:rsidRPr="000376FA">
        <w:rPr>
          <w:rFonts w:ascii="Arial" w:hAnsi="Arial" w:cs="Arial"/>
          <w:sz w:val="20"/>
          <w:szCs w:val="20"/>
        </w:rPr>
        <w:t>en</w:t>
      </w:r>
      <w:r w:rsidRPr="000376FA">
        <w:rPr>
          <w:rFonts w:ascii="Arial" w:hAnsi="Arial" w:cs="Arial"/>
          <w:spacing w:val="-5"/>
          <w:sz w:val="20"/>
          <w:szCs w:val="20"/>
        </w:rPr>
        <w:t xml:space="preserve"> </w:t>
      </w:r>
      <w:r w:rsidRPr="000376FA">
        <w:rPr>
          <w:rFonts w:ascii="Arial" w:hAnsi="Arial" w:cs="Arial"/>
          <w:sz w:val="20"/>
          <w:szCs w:val="20"/>
        </w:rPr>
        <w:t>œuvre</w:t>
      </w:r>
      <w:r w:rsidRPr="000376FA">
        <w:rPr>
          <w:rFonts w:ascii="Arial" w:hAnsi="Arial" w:cs="Arial"/>
          <w:spacing w:val="-9"/>
          <w:sz w:val="20"/>
          <w:szCs w:val="20"/>
        </w:rPr>
        <w:t xml:space="preserve"> </w:t>
      </w:r>
      <w:r w:rsidRPr="000376FA">
        <w:rPr>
          <w:rFonts w:ascii="Arial" w:hAnsi="Arial" w:cs="Arial"/>
          <w:sz w:val="20"/>
          <w:szCs w:val="20"/>
        </w:rPr>
        <w:t>d’un</w:t>
      </w:r>
      <w:r w:rsidRPr="000376FA">
        <w:rPr>
          <w:rFonts w:ascii="Arial" w:hAnsi="Arial" w:cs="Arial"/>
          <w:spacing w:val="-5"/>
          <w:sz w:val="20"/>
          <w:szCs w:val="20"/>
        </w:rPr>
        <w:t xml:space="preserve"> </w:t>
      </w:r>
      <w:r w:rsidRPr="000376FA">
        <w:rPr>
          <w:rFonts w:ascii="Arial" w:hAnsi="Arial" w:cs="Arial"/>
          <w:sz w:val="20"/>
          <w:szCs w:val="20"/>
        </w:rPr>
        <w:t>Plan</w:t>
      </w:r>
      <w:r w:rsidRPr="000376FA">
        <w:rPr>
          <w:rFonts w:ascii="Arial" w:hAnsi="Arial" w:cs="Arial"/>
          <w:spacing w:val="-6"/>
          <w:sz w:val="20"/>
          <w:szCs w:val="20"/>
        </w:rPr>
        <w:t xml:space="preserve"> </w:t>
      </w:r>
      <w:r w:rsidRPr="000376FA">
        <w:rPr>
          <w:rFonts w:ascii="Arial" w:hAnsi="Arial" w:cs="Arial"/>
          <w:sz w:val="20"/>
          <w:szCs w:val="20"/>
        </w:rPr>
        <w:t>d’action</w:t>
      </w:r>
      <w:r w:rsidRPr="000376FA">
        <w:rPr>
          <w:rFonts w:ascii="Arial" w:hAnsi="Arial" w:cs="Arial"/>
          <w:spacing w:val="-5"/>
          <w:sz w:val="20"/>
          <w:szCs w:val="20"/>
        </w:rPr>
        <w:t xml:space="preserve"> </w:t>
      </w:r>
      <w:r w:rsidRPr="000376FA">
        <w:rPr>
          <w:rFonts w:ascii="Arial" w:hAnsi="Arial" w:cs="Arial"/>
          <w:sz w:val="20"/>
          <w:szCs w:val="20"/>
        </w:rPr>
        <w:t>de</w:t>
      </w:r>
      <w:r w:rsidRPr="000376FA">
        <w:rPr>
          <w:rFonts w:ascii="Arial" w:hAnsi="Arial" w:cs="Arial"/>
          <w:spacing w:val="-9"/>
          <w:sz w:val="20"/>
          <w:szCs w:val="20"/>
        </w:rPr>
        <w:t xml:space="preserve"> </w:t>
      </w:r>
      <w:r w:rsidRPr="000376FA">
        <w:rPr>
          <w:rFonts w:ascii="Arial" w:hAnsi="Arial" w:cs="Arial"/>
          <w:sz w:val="20"/>
          <w:szCs w:val="20"/>
        </w:rPr>
        <w:t>réinstallation.</w:t>
      </w:r>
    </w:p>
    <w:p w14:paraId="77A3D15F" w14:textId="77777777" w:rsidR="00FC0453" w:rsidRPr="000376FA" w:rsidRDefault="00FC0453" w:rsidP="00FC0453">
      <w:pPr>
        <w:pStyle w:val="Corpsdetexte"/>
        <w:rPr>
          <w:rFonts w:ascii="Arial" w:hAnsi="Arial" w:cs="Arial"/>
        </w:rPr>
      </w:pPr>
    </w:p>
    <w:p w14:paraId="62A4164E" w14:textId="77777777" w:rsidR="00FC0453" w:rsidRPr="00806168" w:rsidRDefault="00FC0453" w:rsidP="00FC0453">
      <w:pPr>
        <w:rPr>
          <w:rFonts w:ascii="Arial" w:hAnsi="Arial" w:cs="Arial"/>
          <w:b/>
        </w:rPr>
      </w:pPr>
      <w:r w:rsidRPr="00806168">
        <w:rPr>
          <w:rFonts w:ascii="Arial" w:hAnsi="Arial" w:cs="Arial"/>
          <w:b/>
        </w:rPr>
        <w:t>CATEGORISATION DU PROJET ET TRAVAIL ENVIRONNEMENTAL</w:t>
      </w:r>
    </w:p>
    <w:p w14:paraId="4BF8A4A6" w14:textId="77777777" w:rsidR="00FC0453" w:rsidRPr="000376FA" w:rsidRDefault="00FC0453" w:rsidP="00FC0453">
      <w:pPr>
        <w:pStyle w:val="Corpsdetexte"/>
        <w:spacing w:before="9" w:after="1"/>
        <w:rPr>
          <w:rFonts w:ascii="Arial" w:hAnsi="Arial" w:cs="Arial"/>
          <w:b/>
        </w:rPr>
      </w:pPr>
    </w:p>
    <w:tbl>
      <w:tblPr>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5247"/>
        <w:gridCol w:w="1274"/>
      </w:tblGrid>
      <w:tr w:rsidR="00FC0453" w:rsidRPr="000376FA" w14:paraId="4FE546A7" w14:textId="77777777" w:rsidTr="00FC0453">
        <w:trPr>
          <w:trHeight w:val="335"/>
        </w:trPr>
        <w:tc>
          <w:tcPr>
            <w:tcW w:w="1984" w:type="dxa"/>
            <w:shd w:val="clear" w:color="auto" w:fill="auto"/>
          </w:tcPr>
          <w:p w14:paraId="1CD146E1" w14:textId="77777777" w:rsidR="00FC0453" w:rsidRPr="000376FA" w:rsidRDefault="00FC0453" w:rsidP="00FC0453">
            <w:pPr>
              <w:pStyle w:val="TableParagraph"/>
              <w:spacing w:before="50"/>
              <w:ind w:left="110"/>
              <w:rPr>
                <w:rFonts w:ascii="Arial" w:hAnsi="Arial" w:cs="Arial"/>
                <w:b/>
                <w:sz w:val="20"/>
                <w:szCs w:val="20"/>
              </w:rPr>
            </w:pPr>
            <w:r w:rsidRPr="000376FA">
              <w:rPr>
                <w:rFonts w:ascii="Arial" w:hAnsi="Arial" w:cs="Arial"/>
                <w:b/>
                <w:sz w:val="20"/>
                <w:szCs w:val="20"/>
              </w:rPr>
              <w:t>Catégorie</w:t>
            </w:r>
          </w:p>
        </w:tc>
        <w:tc>
          <w:tcPr>
            <w:tcW w:w="5247" w:type="dxa"/>
            <w:shd w:val="clear" w:color="auto" w:fill="auto"/>
          </w:tcPr>
          <w:p w14:paraId="2398DFA9" w14:textId="77777777" w:rsidR="00FC0453" w:rsidRPr="000376FA" w:rsidRDefault="00FC0453" w:rsidP="00FC0453">
            <w:pPr>
              <w:pStyle w:val="TableParagraph"/>
              <w:spacing w:before="56"/>
              <w:ind w:left="105"/>
              <w:rPr>
                <w:rFonts w:ascii="Arial" w:hAnsi="Arial" w:cs="Arial"/>
                <w:b/>
                <w:sz w:val="20"/>
                <w:szCs w:val="20"/>
              </w:rPr>
            </w:pPr>
            <w:r w:rsidRPr="000376FA">
              <w:rPr>
                <w:rFonts w:ascii="Arial" w:hAnsi="Arial" w:cs="Arial"/>
                <w:b/>
                <w:sz w:val="20"/>
                <w:szCs w:val="20"/>
              </w:rPr>
              <w:t>Type d’étude</w:t>
            </w:r>
          </w:p>
        </w:tc>
        <w:tc>
          <w:tcPr>
            <w:tcW w:w="1274" w:type="dxa"/>
            <w:shd w:val="clear" w:color="auto" w:fill="auto"/>
          </w:tcPr>
          <w:p w14:paraId="3AC91988" w14:textId="77777777" w:rsidR="00FC0453" w:rsidRPr="000376FA" w:rsidRDefault="00FC0453" w:rsidP="00FC0453">
            <w:pPr>
              <w:pStyle w:val="TableParagraph"/>
              <w:spacing w:before="50"/>
              <w:ind w:left="104"/>
              <w:rPr>
                <w:rFonts w:ascii="Arial" w:hAnsi="Arial" w:cs="Arial"/>
                <w:b/>
                <w:sz w:val="20"/>
                <w:szCs w:val="20"/>
              </w:rPr>
            </w:pPr>
            <w:r w:rsidRPr="000376FA">
              <w:rPr>
                <w:rFonts w:ascii="Arial" w:hAnsi="Arial" w:cs="Arial"/>
                <w:b/>
                <w:sz w:val="20"/>
                <w:szCs w:val="20"/>
              </w:rPr>
              <w:t>Eligibilité</w:t>
            </w:r>
          </w:p>
        </w:tc>
      </w:tr>
      <w:tr w:rsidR="00FC0453" w:rsidRPr="000376FA" w14:paraId="5CC87BE6" w14:textId="77777777" w:rsidTr="00FC0453">
        <w:trPr>
          <w:trHeight w:val="330"/>
        </w:trPr>
        <w:tc>
          <w:tcPr>
            <w:tcW w:w="1984" w:type="dxa"/>
            <w:shd w:val="clear" w:color="auto" w:fill="auto"/>
          </w:tcPr>
          <w:p w14:paraId="29D4631D" w14:textId="77777777" w:rsidR="00FC0453" w:rsidRPr="000376FA" w:rsidRDefault="00FC0453" w:rsidP="00FC0453">
            <w:pPr>
              <w:pStyle w:val="TableParagraph"/>
              <w:spacing w:before="45"/>
              <w:ind w:left="110"/>
              <w:rPr>
                <w:rFonts w:ascii="Arial" w:hAnsi="Arial" w:cs="Arial"/>
                <w:sz w:val="20"/>
                <w:szCs w:val="20"/>
              </w:rPr>
            </w:pPr>
            <w:r w:rsidRPr="000376FA">
              <w:rPr>
                <w:rFonts w:ascii="Arial" w:hAnsi="Arial" w:cs="Arial"/>
                <w:sz w:val="20"/>
                <w:szCs w:val="20"/>
              </w:rPr>
              <w:t>Risque élevé</w:t>
            </w:r>
          </w:p>
        </w:tc>
        <w:tc>
          <w:tcPr>
            <w:tcW w:w="5247" w:type="dxa"/>
            <w:shd w:val="clear" w:color="auto" w:fill="auto"/>
          </w:tcPr>
          <w:p w14:paraId="53EB1F55" w14:textId="77777777" w:rsidR="00FC0453" w:rsidRPr="000376FA" w:rsidRDefault="00FC0453" w:rsidP="00FC0453">
            <w:pPr>
              <w:pStyle w:val="TableParagraph"/>
              <w:spacing w:before="52"/>
              <w:ind w:left="105"/>
              <w:rPr>
                <w:rFonts w:ascii="Arial" w:hAnsi="Arial" w:cs="Arial"/>
                <w:sz w:val="20"/>
                <w:szCs w:val="20"/>
              </w:rPr>
            </w:pPr>
            <w:r w:rsidRPr="000376FA">
              <w:rPr>
                <w:rFonts w:ascii="Arial" w:hAnsi="Arial" w:cs="Arial"/>
                <w:sz w:val="20"/>
                <w:szCs w:val="20"/>
              </w:rPr>
              <w:t>Etude d’impact environnementale &amp; social complète</w:t>
            </w:r>
          </w:p>
        </w:tc>
        <w:tc>
          <w:tcPr>
            <w:tcW w:w="1274" w:type="dxa"/>
            <w:shd w:val="clear" w:color="auto" w:fill="auto"/>
          </w:tcPr>
          <w:p w14:paraId="7E1DEADF" w14:textId="77777777" w:rsidR="00FC0453" w:rsidRPr="000376FA" w:rsidRDefault="00FC0453" w:rsidP="00FC0453">
            <w:pPr>
              <w:pStyle w:val="TableParagraph"/>
              <w:spacing w:before="45"/>
              <w:ind w:left="104"/>
              <w:rPr>
                <w:rFonts w:ascii="Arial" w:hAnsi="Arial" w:cs="Arial"/>
                <w:sz w:val="20"/>
                <w:szCs w:val="20"/>
              </w:rPr>
            </w:pPr>
            <w:r w:rsidRPr="000376FA">
              <w:rPr>
                <w:rFonts w:ascii="Arial" w:hAnsi="Arial" w:cs="Arial"/>
                <w:sz w:val="20"/>
                <w:szCs w:val="20"/>
              </w:rPr>
              <w:t>Non</w:t>
            </w:r>
          </w:p>
        </w:tc>
      </w:tr>
      <w:tr w:rsidR="00FC0453" w:rsidRPr="000376FA" w14:paraId="1A6B85F5" w14:textId="77777777" w:rsidTr="00FC0453">
        <w:trPr>
          <w:trHeight w:val="329"/>
        </w:trPr>
        <w:tc>
          <w:tcPr>
            <w:tcW w:w="1984" w:type="dxa"/>
            <w:shd w:val="clear" w:color="auto" w:fill="auto"/>
          </w:tcPr>
          <w:p w14:paraId="12460F62" w14:textId="77777777" w:rsidR="00FC0453" w:rsidRPr="000376FA" w:rsidRDefault="00FC0453" w:rsidP="00FC0453">
            <w:pPr>
              <w:pStyle w:val="TableParagraph"/>
              <w:spacing w:before="50"/>
              <w:ind w:left="110"/>
              <w:rPr>
                <w:rFonts w:ascii="Arial" w:hAnsi="Arial" w:cs="Arial"/>
                <w:sz w:val="20"/>
                <w:szCs w:val="20"/>
              </w:rPr>
            </w:pPr>
            <w:r w:rsidRPr="000376FA">
              <w:rPr>
                <w:rFonts w:ascii="Arial" w:hAnsi="Arial" w:cs="Arial"/>
                <w:sz w:val="20"/>
                <w:szCs w:val="20"/>
              </w:rPr>
              <w:t>Risque substantiel</w:t>
            </w:r>
          </w:p>
        </w:tc>
        <w:tc>
          <w:tcPr>
            <w:tcW w:w="5247" w:type="dxa"/>
            <w:shd w:val="clear" w:color="auto" w:fill="auto"/>
          </w:tcPr>
          <w:p w14:paraId="24C8DA80" w14:textId="77777777" w:rsidR="00FC0453" w:rsidRDefault="00FC0453" w:rsidP="00FC0453">
            <w:pPr>
              <w:pStyle w:val="TableParagraph"/>
              <w:spacing w:before="50"/>
              <w:ind w:left="105"/>
              <w:rPr>
                <w:rFonts w:ascii="Arial" w:hAnsi="Arial" w:cs="Arial"/>
                <w:sz w:val="20"/>
                <w:szCs w:val="20"/>
              </w:rPr>
            </w:pPr>
            <w:r w:rsidRPr="000376FA">
              <w:rPr>
                <w:rFonts w:ascii="Arial" w:hAnsi="Arial" w:cs="Arial"/>
                <w:sz w:val="20"/>
                <w:szCs w:val="20"/>
              </w:rPr>
              <w:t>Etude d’impact environnementale &amp; social</w:t>
            </w:r>
          </w:p>
          <w:p w14:paraId="4873274F" w14:textId="77777777" w:rsidR="00FC0453" w:rsidRPr="000376FA" w:rsidRDefault="00FC0453" w:rsidP="00FC0453">
            <w:pPr>
              <w:pStyle w:val="TableParagraph"/>
              <w:spacing w:before="50"/>
              <w:ind w:left="105"/>
              <w:rPr>
                <w:rFonts w:ascii="Arial" w:hAnsi="Arial" w:cs="Arial"/>
                <w:sz w:val="20"/>
                <w:szCs w:val="20"/>
              </w:rPr>
            </w:pPr>
            <w:r w:rsidRPr="000376FA">
              <w:rPr>
                <w:rFonts w:ascii="Arial" w:hAnsi="Arial" w:cs="Arial"/>
                <w:sz w:val="20"/>
                <w:szCs w:val="20"/>
              </w:rPr>
              <w:t>Plan de Gestion Environnementale et Sociale</w:t>
            </w:r>
          </w:p>
        </w:tc>
        <w:tc>
          <w:tcPr>
            <w:tcW w:w="1274" w:type="dxa"/>
            <w:shd w:val="clear" w:color="auto" w:fill="auto"/>
          </w:tcPr>
          <w:p w14:paraId="04B7CE21" w14:textId="77777777" w:rsidR="00FC0453" w:rsidRPr="000376FA" w:rsidRDefault="00FC0453" w:rsidP="00FC0453">
            <w:pPr>
              <w:pStyle w:val="TableParagraph"/>
              <w:spacing w:before="50"/>
              <w:ind w:left="104"/>
              <w:rPr>
                <w:rFonts w:ascii="Arial" w:hAnsi="Arial" w:cs="Arial"/>
                <w:sz w:val="20"/>
                <w:szCs w:val="20"/>
              </w:rPr>
            </w:pPr>
            <w:r w:rsidRPr="000376FA">
              <w:rPr>
                <w:rFonts w:ascii="Arial" w:hAnsi="Arial" w:cs="Arial"/>
                <w:sz w:val="20"/>
                <w:szCs w:val="20"/>
              </w:rPr>
              <w:t>Oui</w:t>
            </w:r>
          </w:p>
        </w:tc>
      </w:tr>
      <w:tr w:rsidR="00FC0453" w:rsidRPr="000376FA" w14:paraId="7B573D25" w14:textId="77777777" w:rsidTr="00FC0453">
        <w:trPr>
          <w:trHeight w:val="335"/>
        </w:trPr>
        <w:tc>
          <w:tcPr>
            <w:tcW w:w="1984" w:type="dxa"/>
            <w:tcBorders>
              <w:bottom w:val="nil"/>
            </w:tcBorders>
            <w:shd w:val="clear" w:color="auto" w:fill="auto"/>
          </w:tcPr>
          <w:p w14:paraId="29FEC3CC" w14:textId="77777777" w:rsidR="00FC0453" w:rsidRPr="000376FA" w:rsidRDefault="00FC0453" w:rsidP="00FC0453">
            <w:pPr>
              <w:pStyle w:val="TableParagraph"/>
              <w:spacing w:before="50"/>
              <w:ind w:left="110"/>
              <w:rPr>
                <w:rFonts w:ascii="Arial" w:hAnsi="Arial" w:cs="Arial"/>
                <w:sz w:val="20"/>
                <w:szCs w:val="20"/>
              </w:rPr>
            </w:pPr>
            <w:r w:rsidRPr="000376FA">
              <w:rPr>
                <w:rFonts w:ascii="Arial" w:hAnsi="Arial" w:cs="Arial"/>
                <w:sz w:val="20"/>
                <w:szCs w:val="20"/>
              </w:rPr>
              <w:t>Risque modéré</w:t>
            </w:r>
          </w:p>
        </w:tc>
        <w:tc>
          <w:tcPr>
            <w:tcW w:w="5247" w:type="dxa"/>
            <w:shd w:val="clear" w:color="auto" w:fill="auto"/>
          </w:tcPr>
          <w:p w14:paraId="2DAA4100" w14:textId="77777777" w:rsidR="00FC0453" w:rsidRDefault="00FC0453" w:rsidP="00FC0453">
            <w:pPr>
              <w:pStyle w:val="TableParagraph"/>
              <w:spacing w:before="50"/>
              <w:ind w:left="105"/>
              <w:rPr>
                <w:rFonts w:ascii="Arial" w:hAnsi="Arial" w:cs="Arial"/>
                <w:sz w:val="20"/>
                <w:szCs w:val="20"/>
              </w:rPr>
            </w:pPr>
            <w:r w:rsidRPr="000376FA">
              <w:rPr>
                <w:rFonts w:ascii="Arial" w:hAnsi="Arial" w:cs="Arial"/>
                <w:sz w:val="20"/>
                <w:szCs w:val="20"/>
              </w:rPr>
              <w:t>Plan de Gestion Environnementale et Sociale</w:t>
            </w:r>
          </w:p>
          <w:p w14:paraId="778C794F" w14:textId="77777777" w:rsidR="00FC0453" w:rsidRPr="000376FA" w:rsidRDefault="00FC0453" w:rsidP="00FC0453">
            <w:pPr>
              <w:pStyle w:val="TableParagraph"/>
              <w:spacing w:before="50"/>
              <w:ind w:left="105"/>
              <w:rPr>
                <w:rFonts w:ascii="Arial" w:hAnsi="Arial" w:cs="Arial"/>
                <w:sz w:val="20"/>
                <w:szCs w:val="20"/>
              </w:rPr>
            </w:pPr>
            <w:r w:rsidRPr="000376FA">
              <w:rPr>
                <w:rFonts w:ascii="Arial" w:hAnsi="Arial" w:cs="Arial"/>
                <w:sz w:val="20"/>
                <w:szCs w:val="20"/>
              </w:rPr>
              <w:t>Simples prescriptions environnementales</w:t>
            </w:r>
          </w:p>
        </w:tc>
        <w:tc>
          <w:tcPr>
            <w:tcW w:w="1274" w:type="dxa"/>
            <w:shd w:val="clear" w:color="auto" w:fill="auto"/>
          </w:tcPr>
          <w:p w14:paraId="6316C382" w14:textId="77777777" w:rsidR="00FC0453" w:rsidRPr="000376FA" w:rsidRDefault="00FC0453" w:rsidP="00FC0453">
            <w:pPr>
              <w:pStyle w:val="TableParagraph"/>
              <w:spacing w:before="50"/>
              <w:ind w:left="104"/>
              <w:rPr>
                <w:rFonts w:ascii="Arial" w:hAnsi="Arial" w:cs="Arial"/>
                <w:sz w:val="20"/>
                <w:szCs w:val="20"/>
              </w:rPr>
            </w:pPr>
            <w:r w:rsidRPr="000376FA">
              <w:rPr>
                <w:rFonts w:ascii="Arial" w:hAnsi="Arial" w:cs="Arial"/>
                <w:sz w:val="20"/>
                <w:szCs w:val="20"/>
              </w:rPr>
              <w:t>Oui</w:t>
            </w:r>
          </w:p>
        </w:tc>
      </w:tr>
      <w:tr w:rsidR="00FC0453" w:rsidRPr="000376FA" w14:paraId="57AC338F" w14:textId="77777777" w:rsidTr="00FC0453">
        <w:trPr>
          <w:trHeight w:val="330"/>
        </w:trPr>
        <w:tc>
          <w:tcPr>
            <w:tcW w:w="1984" w:type="dxa"/>
            <w:tcBorders>
              <w:top w:val="single" w:sz="4" w:space="0" w:color="auto"/>
              <w:left w:val="single" w:sz="4" w:space="0" w:color="auto"/>
              <w:bottom w:val="single" w:sz="4" w:space="0" w:color="auto"/>
              <w:right w:val="single" w:sz="4" w:space="0" w:color="auto"/>
            </w:tcBorders>
            <w:shd w:val="clear" w:color="auto" w:fill="auto"/>
          </w:tcPr>
          <w:p w14:paraId="5CD1BC5C" w14:textId="77777777" w:rsidR="00FC0453" w:rsidRPr="000376FA" w:rsidRDefault="00FC0453" w:rsidP="00FC0453">
            <w:pPr>
              <w:pStyle w:val="TableParagraph"/>
              <w:ind w:firstLine="141"/>
              <w:rPr>
                <w:rFonts w:ascii="Arial" w:hAnsi="Arial" w:cs="Arial"/>
                <w:sz w:val="20"/>
                <w:szCs w:val="20"/>
              </w:rPr>
            </w:pPr>
            <w:r w:rsidRPr="000376FA">
              <w:rPr>
                <w:rFonts w:ascii="Arial" w:hAnsi="Arial" w:cs="Arial"/>
                <w:sz w:val="20"/>
                <w:szCs w:val="20"/>
              </w:rPr>
              <w:t>Risque faible</w:t>
            </w:r>
          </w:p>
        </w:tc>
        <w:tc>
          <w:tcPr>
            <w:tcW w:w="5247" w:type="dxa"/>
            <w:tcBorders>
              <w:left w:val="single" w:sz="4" w:space="0" w:color="auto"/>
            </w:tcBorders>
            <w:shd w:val="clear" w:color="auto" w:fill="auto"/>
          </w:tcPr>
          <w:p w14:paraId="75340271" w14:textId="77777777" w:rsidR="00FC0453" w:rsidRDefault="00FC0453" w:rsidP="00FC0453">
            <w:pPr>
              <w:pStyle w:val="TableParagraph"/>
              <w:spacing w:before="45"/>
              <w:ind w:left="105"/>
              <w:rPr>
                <w:rFonts w:ascii="Arial" w:hAnsi="Arial" w:cs="Arial"/>
                <w:sz w:val="20"/>
                <w:szCs w:val="20"/>
              </w:rPr>
            </w:pPr>
            <w:r w:rsidRPr="000376FA">
              <w:rPr>
                <w:rFonts w:ascii="Arial" w:hAnsi="Arial" w:cs="Arial"/>
                <w:sz w:val="20"/>
                <w:szCs w:val="20"/>
              </w:rPr>
              <w:t>Simples prescriptions environnementales</w:t>
            </w:r>
          </w:p>
          <w:p w14:paraId="674E8DE7" w14:textId="77777777" w:rsidR="00FC0453" w:rsidRPr="000376FA" w:rsidRDefault="00FC0453" w:rsidP="00FC0453">
            <w:pPr>
              <w:pStyle w:val="TableParagraph"/>
              <w:spacing w:before="45"/>
              <w:ind w:left="105"/>
              <w:rPr>
                <w:rFonts w:ascii="Arial" w:hAnsi="Arial" w:cs="Arial"/>
                <w:sz w:val="20"/>
                <w:szCs w:val="20"/>
              </w:rPr>
            </w:pPr>
            <w:r w:rsidRPr="000376FA">
              <w:rPr>
                <w:rFonts w:ascii="Arial" w:hAnsi="Arial" w:cs="Arial"/>
                <w:sz w:val="20"/>
                <w:szCs w:val="20"/>
              </w:rPr>
              <w:t>Pas de travail environnemental</w:t>
            </w:r>
          </w:p>
        </w:tc>
        <w:tc>
          <w:tcPr>
            <w:tcW w:w="1274" w:type="dxa"/>
            <w:shd w:val="clear" w:color="auto" w:fill="auto"/>
          </w:tcPr>
          <w:p w14:paraId="4BA6C3A3" w14:textId="77777777" w:rsidR="00FC0453" w:rsidRPr="000376FA" w:rsidRDefault="00FC0453" w:rsidP="00FC0453">
            <w:pPr>
              <w:pStyle w:val="TableParagraph"/>
              <w:spacing w:before="45"/>
              <w:ind w:left="104"/>
              <w:rPr>
                <w:rFonts w:ascii="Arial" w:hAnsi="Arial" w:cs="Arial"/>
                <w:sz w:val="20"/>
                <w:szCs w:val="20"/>
              </w:rPr>
            </w:pPr>
            <w:r w:rsidRPr="000376FA">
              <w:rPr>
                <w:rFonts w:ascii="Arial" w:hAnsi="Arial" w:cs="Arial"/>
                <w:sz w:val="20"/>
                <w:szCs w:val="20"/>
              </w:rPr>
              <w:t>Oui</w:t>
            </w:r>
          </w:p>
        </w:tc>
      </w:tr>
    </w:tbl>
    <w:p w14:paraId="0442CBA5" w14:textId="77777777" w:rsidR="00FC0453" w:rsidRPr="000376FA" w:rsidRDefault="00FC0453" w:rsidP="00FC0453">
      <w:pPr>
        <w:rPr>
          <w:rFonts w:ascii="Arial" w:hAnsi="Arial" w:cs="Arial"/>
          <w:b/>
        </w:rPr>
      </w:pPr>
      <w:r w:rsidRPr="000376FA">
        <w:rPr>
          <w:rFonts w:ascii="Arial" w:hAnsi="Arial" w:cs="Arial"/>
          <w:b/>
        </w:rPr>
        <w:t>DOCUMENTS REQUIS POUR LE SOUS-PROJET</w:t>
      </w:r>
    </w:p>
    <w:p w14:paraId="118B327D" w14:textId="77777777" w:rsidR="00FC0453" w:rsidRPr="000376FA" w:rsidRDefault="00FC0453" w:rsidP="00FC0453">
      <w:pPr>
        <w:pStyle w:val="Corpsdetexte"/>
        <w:spacing w:before="232" w:line="242" w:lineRule="auto"/>
        <w:ind w:right="842"/>
        <w:rPr>
          <w:rFonts w:ascii="Arial" w:hAnsi="Arial" w:cs="Arial"/>
        </w:rPr>
      </w:pPr>
      <w:r w:rsidRPr="000376FA">
        <w:rPr>
          <w:rFonts w:ascii="Arial" w:hAnsi="Arial" w:cs="Arial"/>
        </w:rPr>
        <w:t>Selon la catégorie du sous-projet et des NES déclenchées, déterminer les documents requis relatifs au sous-projet :</w:t>
      </w:r>
    </w:p>
    <w:p w14:paraId="241CAC12" w14:textId="77777777" w:rsidR="00FC0453" w:rsidRPr="000376FA" w:rsidRDefault="00FC0453" w:rsidP="00FC0453">
      <w:pPr>
        <w:pStyle w:val="Corpsdetexte"/>
        <w:spacing w:before="6" w:after="1"/>
        <w:rPr>
          <w:rFonts w:ascii="Arial" w:hAnsi="Arial" w:cs="Arial"/>
        </w:rPr>
      </w:pPr>
    </w:p>
    <w:tbl>
      <w:tblPr>
        <w:tblW w:w="76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8"/>
        <w:gridCol w:w="877"/>
      </w:tblGrid>
      <w:tr w:rsidR="00FC0453" w:rsidRPr="000376FA" w14:paraId="5596C404" w14:textId="77777777" w:rsidTr="00FC0453">
        <w:trPr>
          <w:trHeight w:val="385"/>
        </w:trPr>
        <w:tc>
          <w:tcPr>
            <w:tcW w:w="6778" w:type="dxa"/>
            <w:shd w:val="clear" w:color="auto" w:fill="auto"/>
          </w:tcPr>
          <w:p w14:paraId="7B01ED07" w14:textId="77777777" w:rsidR="00FC0453" w:rsidRPr="000376FA" w:rsidRDefault="00FC0453" w:rsidP="00FC0453">
            <w:pPr>
              <w:pStyle w:val="TableParagraph"/>
              <w:spacing w:before="75"/>
              <w:ind w:left="110"/>
              <w:rPr>
                <w:rFonts w:ascii="Arial" w:hAnsi="Arial" w:cs="Arial"/>
                <w:sz w:val="20"/>
                <w:szCs w:val="20"/>
              </w:rPr>
            </w:pPr>
            <w:r>
              <w:rPr>
                <w:rFonts w:ascii="Arial" w:hAnsi="Arial" w:cs="Arial"/>
                <w:sz w:val="20"/>
                <w:szCs w:val="20"/>
              </w:rPr>
              <w:t>Etudes d’impact Environnemental et social</w:t>
            </w:r>
          </w:p>
        </w:tc>
        <w:tc>
          <w:tcPr>
            <w:tcW w:w="877" w:type="dxa"/>
            <w:shd w:val="clear" w:color="auto" w:fill="auto"/>
          </w:tcPr>
          <w:p w14:paraId="13EF121E" w14:textId="77777777" w:rsidR="00FC0453" w:rsidRPr="000376FA" w:rsidRDefault="00FC0453" w:rsidP="00FC0453">
            <w:pPr>
              <w:pStyle w:val="TableParagraph"/>
              <w:rPr>
                <w:rFonts w:ascii="Arial" w:hAnsi="Arial" w:cs="Arial"/>
                <w:sz w:val="20"/>
                <w:szCs w:val="20"/>
              </w:rPr>
            </w:pPr>
          </w:p>
        </w:tc>
      </w:tr>
      <w:tr w:rsidR="00FC0453" w:rsidRPr="000376FA" w14:paraId="58D1DE28" w14:textId="77777777" w:rsidTr="00FC0453">
        <w:trPr>
          <w:trHeight w:val="390"/>
        </w:trPr>
        <w:tc>
          <w:tcPr>
            <w:tcW w:w="6778" w:type="dxa"/>
            <w:shd w:val="clear" w:color="auto" w:fill="auto"/>
          </w:tcPr>
          <w:p w14:paraId="13EAB35C" w14:textId="77777777" w:rsidR="00FC0453" w:rsidRPr="000376FA" w:rsidRDefault="00FC0453" w:rsidP="00FC0453">
            <w:pPr>
              <w:pStyle w:val="TableParagraph"/>
              <w:spacing w:before="80"/>
              <w:ind w:left="110"/>
              <w:rPr>
                <w:rFonts w:ascii="Arial" w:hAnsi="Arial" w:cs="Arial"/>
                <w:sz w:val="20"/>
                <w:szCs w:val="20"/>
              </w:rPr>
            </w:pPr>
            <w:r>
              <w:rPr>
                <w:rFonts w:ascii="Arial" w:hAnsi="Arial" w:cs="Arial"/>
                <w:sz w:val="20"/>
                <w:szCs w:val="20"/>
              </w:rPr>
              <w:t xml:space="preserve">Programme d’Engagement Environnementale et sociale </w:t>
            </w:r>
          </w:p>
        </w:tc>
        <w:tc>
          <w:tcPr>
            <w:tcW w:w="877" w:type="dxa"/>
            <w:shd w:val="clear" w:color="auto" w:fill="auto"/>
          </w:tcPr>
          <w:p w14:paraId="2DEF8519" w14:textId="77777777" w:rsidR="00FC0453" w:rsidRPr="000376FA" w:rsidRDefault="00FC0453" w:rsidP="00FC0453">
            <w:pPr>
              <w:pStyle w:val="TableParagraph"/>
              <w:rPr>
                <w:rFonts w:ascii="Arial" w:hAnsi="Arial" w:cs="Arial"/>
                <w:sz w:val="20"/>
                <w:szCs w:val="20"/>
              </w:rPr>
            </w:pPr>
          </w:p>
        </w:tc>
      </w:tr>
      <w:tr w:rsidR="00FC0453" w:rsidRPr="000376FA" w14:paraId="68BDFD5F" w14:textId="77777777" w:rsidTr="00FC0453">
        <w:trPr>
          <w:trHeight w:val="390"/>
        </w:trPr>
        <w:tc>
          <w:tcPr>
            <w:tcW w:w="6778" w:type="dxa"/>
            <w:shd w:val="clear" w:color="auto" w:fill="auto"/>
          </w:tcPr>
          <w:p w14:paraId="064488B7" w14:textId="77777777" w:rsidR="00FC0453" w:rsidRDefault="00FC0453" w:rsidP="00FC0453">
            <w:pPr>
              <w:pStyle w:val="TableParagraph"/>
              <w:spacing w:before="80"/>
              <w:ind w:left="110"/>
              <w:rPr>
                <w:rFonts w:ascii="Arial" w:hAnsi="Arial" w:cs="Arial"/>
                <w:sz w:val="20"/>
                <w:szCs w:val="20"/>
              </w:rPr>
            </w:pPr>
            <w:r w:rsidRPr="000376FA">
              <w:rPr>
                <w:rFonts w:ascii="Arial" w:hAnsi="Arial" w:cs="Arial"/>
                <w:sz w:val="20"/>
                <w:szCs w:val="20"/>
              </w:rPr>
              <w:t>Plan de Gestion Environnementale et Sociale</w:t>
            </w:r>
          </w:p>
        </w:tc>
        <w:tc>
          <w:tcPr>
            <w:tcW w:w="877" w:type="dxa"/>
            <w:shd w:val="clear" w:color="auto" w:fill="auto"/>
          </w:tcPr>
          <w:p w14:paraId="0E3D8257" w14:textId="77777777" w:rsidR="00FC0453" w:rsidRPr="000376FA" w:rsidRDefault="00FC0453" w:rsidP="00FC0453">
            <w:pPr>
              <w:pStyle w:val="TableParagraph"/>
              <w:rPr>
                <w:rFonts w:ascii="Arial" w:hAnsi="Arial" w:cs="Arial"/>
                <w:sz w:val="20"/>
                <w:szCs w:val="20"/>
              </w:rPr>
            </w:pPr>
          </w:p>
        </w:tc>
      </w:tr>
      <w:tr w:rsidR="00FC0453" w:rsidRPr="000376FA" w14:paraId="0244C80C" w14:textId="77777777" w:rsidTr="00FC0453">
        <w:trPr>
          <w:trHeight w:val="390"/>
        </w:trPr>
        <w:tc>
          <w:tcPr>
            <w:tcW w:w="6778" w:type="dxa"/>
            <w:shd w:val="clear" w:color="auto" w:fill="auto"/>
          </w:tcPr>
          <w:p w14:paraId="5BAE2770" w14:textId="77777777" w:rsidR="00FC0453" w:rsidRPr="000376FA" w:rsidRDefault="00FC0453" w:rsidP="00FC0453">
            <w:pPr>
              <w:pStyle w:val="TableParagraph"/>
              <w:spacing w:before="80"/>
              <w:ind w:left="110"/>
              <w:rPr>
                <w:rFonts w:ascii="Arial" w:hAnsi="Arial" w:cs="Arial"/>
                <w:sz w:val="20"/>
                <w:szCs w:val="20"/>
              </w:rPr>
            </w:pPr>
            <w:r w:rsidRPr="000376FA">
              <w:rPr>
                <w:rFonts w:ascii="Arial" w:hAnsi="Arial" w:cs="Arial"/>
                <w:sz w:val="20"/>
                <w:szCs w:val="20"/>
              </w:rPr>
              <w:t>Simples prescriptions environnementales</w:t>
            </w:r>
          </w:p>
        </w:tc>
        <w:tc>
          <w:tcPr>
            <w:tcW w:w="877" w:type="dxa"/>
            <w:shd w:val="clear" w:color="auto" w:fill="auto"/>
          </w:tcPr>
          <w:p w14:paraId="432BCC2E" w14:textId="77777777" w:rsidR="00FC0453" w:rsidRPr="000376FA" w:rsidRDefault="00FC0453" w:rsidP="00FC0453">
            <w:pPr>
              <w:pStyle w:val="TableParagraph"/>
              <w:rPr>
                <w:rFonts w:ascii="Arial" w:hAnsi="Arial" w:cs="Arial"/>
                <w:sz w:val="20"/>
                <w:szCs w:val="20"/>
              </w:rPr>
            </w:pPr>
          </w:p>
        </w:tc>
      </w:tr>
      <w:tr w:rsidR="00FC0453" w:rsidRPr="000376FA" w14:paraId="3BD95D46" w14:textId="77777777" w:rsidTr="00FC0453">
        <w:trPr>
          <w:trHeight w:val="390"/>
        </w:trPr>
        <w:tc>
          <w:tcPr>
            <w:tcW w:w="6778" w:type="dxa"/>
            <w:shd w:val="clear" w:color="auto" w:fill="auto"/>
          </w:tcPr>
          <w:p w14:paraId="23BB24D7" w14:textId="77777777" w:rsidR="00FC0453" w:rsidRPr="000376FA" w:rsidRDefault="00FC0453" w:rsidP="00FC0453">
            <w:pPr>
              <w:pStyle w:val="TableParagraph"/>
              <w:spacing w:before="80"/>
              <w:ind w:left="110"/>
              <w:rPr>
                <w:rFonts w:ascii="Arial" w:hAnsi="Arial" w:cs="Arial"/>
                <w:sz w:val="20"/>
                <w:szCs w:val="20"/>
              </w:rPr>
            </w:pPr>
            <w:r w:rsidRPr="000376FA">
              <w:rPr>
                <w:rFonts w:ascii="Arial" w:hAnsi="Arial" w:cs="Arial"/>
                <w:sz w:val="20"/>
                <w:szCs w:val="20"/>
              </w:rPr>
              <w:t>Pas de travail environnemental</w:t>
            </w:r>
            <w:r w:rsidR="00077477">
              <w:rPr>
                <w:rFonts w:ascii="Arial" w:hAnsi="Arial" w:cs="Arial"/>
                <w:sz w:val="20"/>
                <w:szCs w:val="20"/>
              </w:rPr>
              <w:t xml:space="preserve"> et social</w:t>
            </w:r>
          </w:p>
        </w:tc>
        <w:tc>
          <w:tcPr>
            <w:tcW w:w="877" w:type="dxa"/>
            <w:shd w:val="clear" w:color="auto" w:fill="auto"/>
          </w:tcPr>
          <w:p w14:paraId="5D811397" w14:textId="77777777" w:rsidR="00FC0453" w:rsidRPr="000376FA" w:rsidRDefault="00FC0453" w:rsidP="00FC0453">
            <w:pPr>
              <w:pStyle w:val="TableParagraph"/>
              <w:rPr>
                <w:rFonts w:ascii="Arial" w:hAnsi="Arial" w:cs="Arial"/>
                <w:sz w:val="20"/>
                <w:szCs w:val="20"/>
              </w:rPr>
            </w:pPr>
          </w:p>
        </w:tc>
      </w:tr>
      <w:tr w:rsidR="00FC0453" w:rsidRPr="000376FA" w14:paraId="70DEB81C" w14:textId="77777777" w:rsidTr="00FC0453">
        <w:trPr>
          <w:trHeight w:val="385"/>
        </w:trPr>
        <w:tc>
          <w:tcPr>
            <w:tcW w:w="6778" w:type="dxa"/>
            <w:shd w:val="clear" w:color="auto" w:fill="auto"/>
          </w:tcPr>
          <w:p w14:paraId="1CDC22F8" w14:textId="77777777" w:rsidR="00FC0453" w:rsidRPr="000376FA" w:rsidRDefault="00FC0453" w:rsidP="00FC0453">
            <w:pPr>
              <w:pStyle w:val="TableParagraph"/>
              <w:spacing w:before="81"/>
              <w:ind w:left="110"/>
              <w:rPr>
                <w:rFonts w:ascii="Arial" w:hAnsi="Arial" w:cs="Arial"/>
                <w:sz w:val="20"/>
                <w:szCs w:val="20"/>
              </w:rPr>
            </w:pPr>
            <w:r>
              <w:rPr>
                <w:rFonts w:ascii="Arial" w:hAnsi="Arial" w:cs="Arial"/>
                <w:sz w:val="20"/>
                <w:szCs w:val="20"/>
              </w:rPr>
              <w:t>Plan de Réinstallation (P</w:t>
            </w:r>
            <w:r w:rsidRPr="000376FA">
              <w:rPr>
                <w:rFonts w:ascii="Arial" w:hAnsi="Arial" w:cs="Arial"/>
                <w:sz w:val="20"/>
                <w:szCs w:val="20"/>
              </w:rPr>
              <w:t>R)</w:t>
            </w:r>
          </w:p>
        </w:tc>
        <w:tc>
          <w:tcPr>
            <w:tcW w:w="877" w:type="dxa"/>
            <w:shd w:val="clear" w:color="auto" w:fill="auto"/>
          </w:tcPr>
          <w:p w14:paraId="44364415" w14:textId="77777777" w:rsidR="00FC0453" w:rsidRPr="000376FA" w:rsidRDefault="00FC0453" w:rsidP="00FC0453">
            <w:pPr>
              <w:pStyle w:val="TableParagraph"/>
              <w:rPr>
                <w:rFonts w:ascii="Arial" w:hAnsi="Arial" w:cs="Arial"/>
                <w:sz w:val="20"/>
                <w:szCs w:val="20"/>
              </w:rPr>
            </w:pPr>
          </w:p>
        </w:tc>
      </w:tr>
      <w:tr w:rsidR="00FC0453" w:rsidRPr="000376FA" w14:paraId="5F1FE984" w14:textId="77777777" w:rsidTr="00FC0453">
        <w:trPr>
          <w:trHeight w:val="385"/>
        </w:trPr>
        <w:tc>
          <w:tcPr>
            <w:tcW w:w="6778" w:type="dxa"/>
            <w:shd w:val="clear" w:color="auto" w:fill="auto"/>
          </w:tcPr>
          <w:p w14:paraId="2B4A0C40" w14:textId="77777777" w:rsidR="00FC0453" w:rsidRPr="000376FA" w:rsidRDefault="00FC0453" w:rsidP="00FC0453">
            <w:pPr>
              <w:pStyle w:val="TableParagraph"/>
              <w:spacing w:before="75"/>
              <w:ind w:left="110"/>
              <w:rPr>
                <w:rFonts w:ascii="Arial" w:hAnsi="Arial" w:cs="Arial"/>
                <w:sz w:val="20"/>
                <w:szCs w:val="20"/>
              </w:rPr>
            </w:pPr>
            <w:r w:rsidRPr="000376FA">
              <w:rPr>
                <w:rFonts w:ascii="Arial" w:hAnsi="Arial" w:cs="Arial"/>
                <w:sz w:val="20"/>
                <w:szCs w:val="20"/>
              </w:rPr>
              <w:t>Autres documents pertinents (Plan de gestion des déchets spéciaux, etc)</w:t>
            </w:r>
          </w:p>
        </w:tc>
        <w:tc>
          <w:tcPr>
            <w:tcW w:w="877" w:type="dxa"/>
            <w:shd w:val="clear" w:color="auto" w:fill="auto"/>
          </w:tcPr>
          <w:p w14:paraId="52C4B350" w14:textId="77777777" w:rsidR="00FC0453" w:rsidRPr="000376FA" w:rsidRDefault="00FC0453" w:rsidP="00FC0453">
            <w:pPr>
              <w:pStyle w:val="TableParagraph"/>
              <w:rPr>
                <w:rFonts w:ascii="Arial" w:hAnsi="Arial" w:cs="Arial"/>
                <w:sz w:val="20"/>
                <w:szCs w:val="20"/>
              </w:rPr>
            </w:pPr>
          </w:p>
        </w:tc>
      </w:tr>
    </w:tbl>
    <w:p w14:paraId="664E448B" w14:textId="77777777" w:rsidR="00FC0453" w:rsidRPr="000376FA" w:rsidRDefault="00FC0453" w:rsidP="00FC0453">
      <w:pPr>
        <w:pStyle w:val="Corpsdetexte"/>
        <w:rPr>
          <w:rFonts w:ascii="Arial" w:hAnsi="Arial" w:cs="Arial"/>
        </w:rPr>
      </w:pPr>
    </w:p>
    <w:p w14:paraId="63A86F4C" w14:textId="77777777" w:rsidR="00FC0453" w:rsidRPr="000376FA" w:rsidRDefault="00FC0453" w:rsidP="00FC0453">
      <w:pPr>
        <w:pStyle w:val="Corpsdetexte"/>
        <w:spacing w:before="6"/>
        <w:rPr>
          <w:rFonts w:ascii="Arial" w:hAnsi="Arial" w:cs="Arial"/>
        </w:rPr>
      </w:pPr>
    </w:p>
    <w:p w14:paraId="4FC2988A" w14:textId="77777777" w:rsidR="00FC0453" w:rsidRPr="007F78CE" w:rsidRDefault="00FC0453" w:rsidP="00FC0453">
      <w:pPr>
        <w:rPr>
          <w:rFonts w:cs="Calibri"/>
          <w:sz w:val="16"/>
          <w:szCs w:val="16"/>
        </w:rPr>
      </w:pPr>
      <w:r w:rsidRPr="007F78CE">
        <w:rPr>
          <w:rFonts w:cs="Calibri"/>
          <w:b/>
          <w:bCs/>
          <w:sz w:val="16"/>
          <w:szCs w:val="16"/>
        </w:rPr>
        <w:t>Annexe</w:t>
      </w:r>
      <w:r w:rsidRPr="007F78CE">
        <w:rPr>
          <w:rFonts w:cs="Calibri"/>
          <w:sz w:val="16"/>
          <w:szCs w:val="16"/>
        </w:rPr>
        <w:t> : Liste des personnes ayant participées à l’administration de la fiche.</w:t>
      </w:r>
    </w:p>
    <w:tbl>
      <w:tblPr>
        <w:tblW w:w="11203" w:type="dxa"/>
        <w:jc w:val="center"/>
        <w:tblLook w:val="04A0" w:firstRow="1" w:lastRow="0" w:firstColumn="1" w:lastColumn="0" w:noHBand="0" w:noVBand="1"/>
      </w:tblPr>
      <w:tblGrid>
        <w:gridCol w:w="3550"/>
        <w:gridCol w:w="1983"/>
        <w:gridCol w:w="2548"/>
        <w:gridCol w:w="3122"/>
      </w:tblGrid>
      <w:tr w:rsidR="00FC0453" w:rsidRPr="007F78CE" w14:paraId="7124C741" w14:textId="77777777" w:rsidTr="00FC0453">
        <w:trPr>
          <w:jc w:val="center"/>
        </w:trPr>
        <w:tc>
          <w:tcPr>
            <w:tcW w:w="3550" w:type="dxa"/>
          </w:tcPr>
          <w:p w14:paraId="7762CF7B" w14:textId="77777777" w:rsidR="00FC0453" w:rsidRPr="007F78CE" w:rsidRDefault="00FC0453" w:rsidP="00FC0453">
            <w:pPr>
              <w:jc w:val="center"/>
              <w:rPr>
                <w:rFonts w:cs="Calibri"/>
                <w:b/>
                <w:bCs/>
                <w:sz w:val="18"/>
                <w:szCs w:val="18"/>
              </w:rPr>
            </w:pPr>
            <w:r w:rsidRPr="007F78CE">
              <w:rPr>
                <w:rFonts w:cs="Calibri"/>
                <w:b/>
                <w:bCs/>
                <w:sz w:val="18"/>
                <w:szCs w:val="18"/>
              </w:rPr>
              <w:t>Prénoms</w:t>
            </w:r>
          </w:p>
        </w:tc>
        <w:tc>
          <w:tcPr>
            <w:tcW w:w="1983" w:type="dxa"/>
          </w:tcPr>
          <w:p w14:paraId="24BE8A5C" w14:textId="77777777" w:rsidR="00FC0453" w:rsidRPr="007F78CE" w:rsidRDefault="00FC0453" w:rsidP="00FC0453">
            <w:pPr>
              <w:jc w:val="center"/>
              <w:rPr>
                <w:rFonts w:cs="Calibri"/>
                <w:b/>
                <w:bCs/>
                <w:sz w:val="18"/>
                <w:szCs w:val="18"/>
              </w:rPr>
            </w:pPr>
            <w:r w:rsidRPr="007F78CE">
              <w:rPr>
                <w:rFonts w:cs="Calibri"/>
                <w:b/>
                <w:bCs/>
                <w:sz w:val="18"/>
                <w:szCs w:val="18"/>
              </w:rPr>
              <w:t>Nom</w:t>
            </w:r>
          </w:p>
        </w:tc>
        <w:tc>
          <w:tcPr>
            <w:tcW w:w="2548" w:type="dxa"/>
          </w:tcPr>
          <w:p w14:paraId="3CCEBBD2" w14:textId="77777777" w:rsidR="00FC0453" w:rsidRPr="007F78CE" w:rsidRDefault="00FC0453" w:rsidP="00FC0453">
            <w:pPr>
              <w:jc w:val="center"/>
              <w:rPr>
                <w:rFonts w:cs="Calibri"/>
                <w:b/>
                <w:bCs/>
                <w:sz w:val="18"/>
                <w:szCs w:val="18"/>
              </w:rPr>
            </w:pPr>
            <w:r w:rsidRPr="007F78CE">
              <w:rPr>
                <w:rFonts w:cs="Calibri"/>
                <w:b/>
                <w:bCs/>
                <w:sz w:val="18"/>
                <w:szCs w:val="18"/>
              </w:rPr>
              <w:t>Fonction/structure</w:t>
            </w:r>
          </w:p>
        </w:tc>
        <w:tc>
          <w:tcPr>
            <w:tcW w:w="3122" w:type="dxa"/>
          </w:tcPr>
          <w:p w14:paraId="62083D4E" w14:textId="77777777" w:rsidR="00FC0453" w:rsidRPr="007F78CE" w:rsidRDefault="00FC0453" w:rsidP="00FC0453">
            <w:pPr>
              <w:jc w:val="center"/>
              <w:rPr>
                <w:rFonts w:cs="Calibri"/>
                <w:b/>
                <w:bCs/>
                <w:sz w:val="18"/>
                <w:szCs w:val="18"/>
              </w:rPr>
            </w:pPr>
            <w:r w:rsidRPr="007F78CE">
              <w:rPr>
                <w:rFonts w:cs="Calibri"/>
                <w:b/>
                <w:bCs/>
                <w:sz w:val="18"/>
                <w:szCs w:val="18"/>
              </w:rPr>
              <w:t>Contact</w:t>
            </w:r>
          </w:p>
        </w:tc>
      </w:tr>
      <w:tr w:rsidR="00FC0453" w:rsidRPr="007F78CE" w14:paraId="17278D13" w14:textId="77777777" w:rsidTr="00FC0453">
        <w:trPr>
          <w:jc w:val="center"/>
        </w:trPr>
        <w:tc>
          <w:tcPr>
            <w:tcW w:w="3550" w:type="dxa"/>
          </w:tcPr>
          <w:p w14:paraId="2AFCF45D" w14:textId="77777777" w:rsidR="00FC0453" w:rsidRPr="007F78CE" w:rsidRDefault="00FC0453" w:rsidP="00FC0453">
            <w:pPr>
              <w:rPr>
                <w:rFonts w:cs="Calibri"/>
                <w:sz w:val="18"/>
                <w:szCs w:val="18"/>
              </w:rPr>
            </w:pPr>
          </w:p>
        </w:tc>
        <w:tc>
          <w:tcPr>
            <w:tcW w:w="1983" w:type="dxa"/>
          </w:tcPr>
          <w:p w14:paraId="45374F0E" w14:textId="77777777" w:rsidR="00FC0453" w:rsidRPr="007F78CE" w:rsidRDefault="00FC0453" w:rsidP="00FC0453">
            <w:pPr>
              <w:rPr>
                <w:rFonts w:cs="Calibri"/>
                <w:sz w:val="18"/>
                <w:szCs w:val="18"/>
              </w:rPr>
            </w:pPr>
          </w:p>
        </w:tc>
        <w:tc>
          <w:tcPr>
            <w:tcW w:w="2548" w:type="dxa"/>
          </w:tcPr>
          <w:p w14:paraId="75E0998F" w14:textId="77777777" w:rsidR="00FC0453" w:rsidRPr="007F78CE" w:rsidRDefault="00FC0453" w:rsidP="00FC0453">
            <w:pPr>
              <w:rPr>
                <w:rFonts w:cs="Calibri"/>
                <w:sz w:val="18"/>
                <w:szCs w:val="18"/>
              </w:rPr>
            </w:pPr>
          </w:p>
        </w:tc>
        <w:tc>
          <w:tcPr>
            <w:tcW w:w="3122" w:type="dxa"/>
          </w:tcPr>
          <w:p w14:paraId="446FFC1C" w14:textId="77777777" w:rsidR="00FC0453" w:rsidRPr="007F78CE" w:rsidRDefault="00FC0453" w:rsidP="00FC0453">
            <w:pPr>
              <w:rPr>
                <w:rFonts w:cs="Calibri"/>
                <w:sz w:val="18"/>
                <w:szCs w:val="18"/>
              </w:rPr>
            </w:pPr>
          </w:p>
        </w:tc>
      </w:tr>
      <w:tr w:rsidR="00FC0453" w:rsidRPr="007F78CE" w14:paraId="2B5DBB71" w14:textId="77777777" w:rsidTr="00FC0453">
        <w:trPr>
          <w:jc w:val="center"/>
        </w:trPr>
        <w:tc>
          <w:tcPr>
            <w:tcW w:w="3550" w:type="dxa"/>
          </w:tcPr>
          <w:p w14:paraId="635BCFA4" w14:textId="77777777" w:rsidR="00FC0453" w:rsidRPr="007F78CE" w:rsidRDefault="00FC0453" w:rsidP="00FC0453">
            <w:pPr>
              <w:rPr>
                <w:rFonts w:cs="Calibri"/>
                <w:sz w:val="18"/>
                <w:szCs w:val="18"/>
              </w:rPr>
            </w:pPr>
          </w:p>
        </w:tc>
        <w:tc>
          <w:tcPr>
            <w:tcW w:w="1983" w:type="dxa"/>
          </w:tcPr>
          <w:p w14:paraId="5439BA31" w14:textId="77777777" w:rsidR="00FC0453" w:rsidRPr="007F78CE" w:rsidRDefault="00FC0453" w:rsidP="00FC0453">
            <w:pPr>
              <w:rPr>
                <w:rFonts w:cs="Calibri"/>
                <w:sz w:val="18"/>
                <w:szCs w:val="18"/>
              </w:rPr>
            </w:pPr>
          </w:p>
        </w:tc>
        <w:tc>
          <w:tcPr>
            <w:tcW w:w="2548" w:type="dxa"/>
          </w:tcPr>
          <w:p w14:paraId="45A8CE0E" w14:textId="77777777" w:rsidR="00FC0453" w:rsidRPr="007F78CE" w:rsidRDefault="00FC0453" w:rsidP="00FC0453">
            <w:pPr>
              <w:rPr>
                <w:rFonts w:cs="Calibri"/>
                <w:sz w:val="18"/>
                <w:szCs w:val="18"/>
              </w:rPr>
            </w:pPr>
          </w:p>
        </w:tc>
        <w:tc>
          <w:tcPr>
            <w:tcW w:w="3122" w:type="dxa"/>
          </w:tcPr>
          <w:p w14:paraId="77F5CA45" w14:textId="77777777" w:rsidR="00FC0453" w:rsidRPr="007F78CE" w:rsidRDefault="00FC0453" w:rsidP="00FC0453">
            <w:pPr>
              <w:rPr>
                <w:rFonts w:cs="Calibri"/>
                <w:sz w:val="18"/>
                <w:szCs w:val="18"/>
              </w:rPr>
            </w:pPr>
          </w:p>
        </w:tc>
      </w:tr>
      <w:tr w:rsidR="00FC0453" w:rsidRPr="007F78CE" w14:paraId="7CAABA2B" w14:textId="77777777" w:rsidTr="00FC0453">
        <w:trPr>
          <w:jc w:val="center"/>
        </w:trPr>
        <w:tc>
          <w:tcPr>
            <w:tcW w:w="3550" w:type="dxa"/>
          </w:tcPr>
          <w:p w14:paraId="45ECB9FD" w14:textId="77777777" w:rsidR="00FC0453" w:rsidRPr="007F78CE" w:rsidRDefault="00FC0453" w:rsidP="00FC0453">
            <w:pPr>
              <w:rPr>
                <w:rFonts w:cs="Calibri"/>
                <w:sz w:val="18"/>
                <w:szCs w:val="18"/>
              </w:rPr>
            </w:pPr>
          </w:p>
        </w:tc>
        <w:tc>
          <w:tcPr>
            <w:tcW w:w="1983" w:type="dxa"/>
          </w:tcPr>
          <w:p w14:paraId="25A7F3E1" w14:textId="77777777" w:rsidR="00FC0453" w:rsidRPr="007F78CE" w:rsidRDefault="00FC0453" w:rsidP="00FC0453">
            <w:pPr>
              <w:rPr>
                <w:rFonts w:cs="Calibri"/>
                <w:sz w:val="18"/>
                <w:szCs w:val="18"/>
              </w:rPr>
            </w:pPr>
          </w:p>
        </w:tc>
        <w:tc>
          <w:tcPr>
            <w:tcW w:w="2548" w:type="dxa"/>
          </w:tcPr>
          <w:p w14:paraId="3743D7D4" w14:textId="77777777" w:rsidR="00FC0453" w:rsidRPr="007F78CE" w:rsidRDefault="00FC0453" w:rsidP="00FC0453">
            <w:pPr>
              <w:rPr>
                <w:rFonts w:cs="Calibri"/>
                <w:sz w:val="18"/>
                <w:szCs w:val="18"/>
              </w:rPr>
            </w:pPr>
          </w:p>
        </w:tc>
        <w:tc>
          <w:tcPr>
            <w:tcW w:w="3122" w:type="dxa"/>
          </w:tcPr>
          <w:p w14:paraId="40BBB8BB" w14:textId="77777777" w:rsidR="00FC0453" w:rsidRPr="007F78CE" w:rsidRDefault="00FC0453" w:rsidP="00FC0453">
            <w:pPr>
              <w:rPr>
                <w:rFonts w:cs="Calibri"/>
                <w:sz w:val="18"/>
                <w:szCs w:val="18"/>
              </w:rPr>
            </w:pPr>
          </w:p>
        </w:tc>
      </w:tr>
      <w:tr w:rsidR="00FC0453" w:rsidRPr="007F78CE" w14:paraId="68527CB8" w14:textId="77777777" w:rsidTr="00FC0453">
        <w:trPr>
          <w:jc w:val="center"/>
        </w:trPr>
        <w:tc>
          <w:tcPr>
            <w:tcW w:w="3550" w:type="dxa"/>
          </w:tcPr>
          <w:p w14:paraId="3CB4F477" w14:textId="77777777" w:rsidR="00FC0453" w:rsidRPr="007F78CE" w:rsidRDefault="00FC0453" w:rsidP="00FC0453">
            <w:pPr>
              <w:rPr>
                <w:rFonts w:cs="Calibri"/>
                <w:sz w:val="18"/>
                <w:szCs w:val="18"/>
              </w:rPr>
            </w:pPr>
          </w:p>
        </w:tc>
        <w:tc>
          <w:tcPr>
            <w:tcW w:w="1983" w:type="dxa"/>
          </w:tcPr>
          <w:p w14:paraId="051341FD" w14:textId="77777777" w:rsidR="00FC0453" w:rsidRPr="007F78CE" w:rsidRDefault="00FC0453" w:rsidP="00FC0453">
            <w:pPr>
              <w:rPr>
                <w:rFonts w:cs="Calibri"/>
                <w:sz w:val="18"/>
                <w:szCs w:val="18"/>
              </w:rPr>
            </w:pPr>
          </w:p>
        </w:tc>
        <w:tc>
          <w:tcPr>
            <w:tcW w:w="2548" w:type="dxa"/>
          </w:tcPr>
          <w:p w14:paraId="4ED748B2" w14:textId="77777777" w:rsidR="00FC0453" w:rsidRPr="007F78CE" w:rsidRDefault="00FC0453" w:rsidP="00FC0453">
            <w:pPr>
              <w:rPr>
                <w:rFonts w:cs="Calibri"/>
                <w:sz w:val="18"/>
                <w:szCs w:val="18"/>
              </w:rPr>
            </w:pPr>
          </w:p>
        </w:tc>
        <w:tc>
          <w:tcPr>
            <w:tcW w:w="3122" w:type="dxa"/>
          </w:tcPr>
          <w:p w14:paraId="340CC0F0" w14:textId="77777777" w:rsidR="00FC0453" w:rsidRPr="007F78CE" w:rsidRDefault="00FC0453" w:rsidP="00FC0453">
            <w:pPr>
              <w:rPr>
                <w:rFonts w:cs="Calibri"/>
                <w:sz w:val="18"/>
                <w:szCs w:val="18"/>
              </w:rPr>
            </w:pPr>
          </w:p>
        </w:tc>
      </w:tr>
      <w:tr w:rsidR="00FC0453" w:rsidRPr="007F78CE" w14:paraId="49CE88D7" w14:textId="77777777" w:rsidTr="00FC0453">
        <w:trPr>
          <w:jc w:val="center"/>
        </w:trPr>
        <w:tc>
          <w:tcPr>
            <w:tcW w:w="3550" w:type="dxa"/>
          </w:tcPr>
          <w:p w14:paraId="3F878E43" w14:textId="77777777" w:rsidR="00FC0453" w:rsidRPr="007F78CE" w:rsidRDefault="00FC0453" w:rsidP="00FC0453">
            <w:pPr>
              <w:rPr>
                <w:rFonts w:cs="Calibri"/>
                <w:sz w:val="18"/>
                <w:szCs w:val="18"/>
              </w:rPr>
            </w:pPr>
          </w:p>
        </w:tc>
        <w:tc>
          <w:tcPr>
            <w:tcW w:w="1983" w:type="dxa"/>
          </w:tcPr>
          <w:p w14:paraId="4E697E00" w14:textId="77777777" w:rsidR="00FC0453" w:rsidRPr="007F78CE" w:rsidRDefault="00FC0453" w:rsidP="00FC0453">
            <w:pPr>
              <w:rPr>
                <w:rFonts w:cs="Calibri"/>
                <w:sz w:val="18"/>
                <w:szCs w:val="18"/>
              </w:rPr>
            </w:pPr>
          </w:p>
        </w:tc>
        <w:tc>
          <w:tcPr>
            <w:tcW w:w="2548" w:type="dxa"/>
          </w:tcPr>
          <w:p w14:paraId="4013A1CA" w14:textId="77777777" w:rsidR="00FC0453" w:rsidRPr="007F78CE" w:rsidRDefault="00FC0453" w:rsidP="00FC0453">
            <w:pPr>
              <w:rPr>
                <w:rFonts w:cs="Calibri"/>
                <w:sz w:val="18"/>
                <w:szCs w:val="18"/>
              </w:rPr>
            </w:pPr>
          </w:p>
        </w:tc>
        <w:tc>
          <w:tcPr>
            <w:tcW w:w="3122" w:type="dxa"/>
          </w:tcPr>
          <w:p w14:paraId="4C32896A" w14:textId="77777777" w:rsidR="00FC0453" w:rsidRPr="007F78CE" w:rsidRDefault="00FC0453" w:rsidP="00FC0453">
            <w:pPr>
              <w:rPr>
                <w:rFonts w:cs="Calibri"/>
                <w:sz w:val="18"/>
                <w:szCs w:val="18"/>
              </w:rPr>
            </w:pPr>
          </w:p>
        </w:tc>
      </w:tr>
    </w:tbl>
    <w:p w14:paraId="13647813" w14:textId="77777777" w:rsidR="00FC0453" w:rsidRPr="007F78CE" w:rsidRDefault="00FC0453" w:rsidP="009A0954">
      <w:pPr>
        <w:spacing w:after="240"/>
        <w:rPr>
          <w:rFonts w:eastAsia="Cambria" w:cs="Calibri"/>
          <w:i/>
          <w:iCs/>
          <w:sz w:val="18"/>
          <w:szCs w:val="18"/>
          <w:u w:color="000000"/>
          <w:lang w:eastAsia="fr-FR"/>
        </w:rPr>
      </w:pPr>
    </w:p>
    <w:p w14:paraId="105F2DD3" w14:textId="77777777" w:rsidR="009A0954" w:rsidRPr="007F78CE" w:rsidRDefault="009A0954" w:rsidP="009A0954">
      <w:pPr>
        <w:rPr>
          <w:rFonts w:cs="Calibri"/>
        </w:rPr>
      </w:pPr>
      <w:r w:rsidRPr="007F78CE">
        <w:rPr>
          <w:rFonts w:cs="Calibri"/>
        </w:rPr>
        <w:br w:type="page"/>
      </w:r>
    </w:p>
    <w:p w14:paraId="2E6D9E9E" w14:textId="77777777" w:rsidR="009A0954" w:rsidRDefault="009A0954" w:rsidP="009A0954">
      <w:pPr>
        <w:rPr>
          <w:rFonts w:ascii="Times New Roman" w:hAnsi="Times New Roman"/>
          <w:sz w:val="24"/>
          <w:szCs w:val="24"/>
        </w:rPr>
      </w:pPr>
      <w:bookmarkStart w:id="1722" w:name="_Toc98044876"/>
      <w:bookmarkStart w:id="1723" w:name="_Toc92037667"/>
      <w:bookmarkStart w:id="1724" w:name="_Toc124173257"/>
      <w:bookmarkStart w:id="1725" w:name="_Toc125402467"/>
      <w:r>
        <w:rPr>
          <w:rFonts w:ascii="Arial" w:hAnsi="Arial" w:cs="Arial"/>
          <w:b/>
          <w:bCs/>
        </w:rPr>
        <w:t xml:space="preserve">Annexe </w:t>
      </w:r>
      <w:r>
        <w:rPr>
          <w:rFonts w:ascii="Arial" w:hAnsi="Arial" w:cs="Arial"/>
          <w:b/>
          <w:bCs/>
        </w:rPr>
        <w:fldChar w:fldCharType="begin"/>
      </w:r>
      <w:r>
        <w:rPr>
          <w:rFonts w:ascii="Arial" w:hAnsi="Arial" w:cs="Arial"/>
          <w:b/>
          <w:bCs/>
        </w:rPr>
        <w:instrText>SEQ Annexe \* ARABIC</w:instrText>
      </w:r>
      <w:r>
        <w:rPr>
          <w:rFonts w:ascii="Arial" w:hAnsi="Arial" w:cs="Arial"/>
          <w:b/>
          <w:bCs/>
        </w:rPr>
        <w:fldChar w:fldCharType="separate"/>
      </w:r>
      <w:r w:rsidR="009947B9">
        <w:rPr>
          <w:rFonts w:ascii="Arial" w:hAnsi="Arial" w:cs="Arial"/>
          <w:b/>
          <w:bCs/>
          <w:noProof/>
        </w:rPr>
        <w:t>4</w:t>
      </w:r>
      <w:r>
        <w:rPr>
          <w:rFonts w:ascii="Arial" w:hAnsi="Arial" w:cs="Arial"/>
          <w:b/>
          <w:bCs/>
        </w:rPr>
        <w:fldChar w:fldCharType="end"/>
      </w:r>
      <w:r>
        <w:rPr>
          <w:rFonts w:ascii="Arial" w:hAnsi="Arial" w:cs="Arial"/>
          <w:b/>
          <w:bCs/>
        </w:rPr>
        <w:t>. Clauses environnementales et sociales à insérer dans le DAO</w:t>
      </w:r>
      <w:bookmarkStart w:id="1726" w:name="_Toc84293573"/>
      <w:bookmarkEnd w:id="1722"/>
      <w:bookmarkEnd w:id="1723"/>
      <w:bookmarkEnd w:id="1724"/>
      <w:bookmarkEnd w:id="1725"/>
      <w:bookmarkEnd w:id="1726"/>
    </w:p>
    <w:p w14:paraId="3E6AD842" w14:textId="77777777" w:rsidR="009A0954" w:rsidRPr="007F78CE" w:rsidRDefault="009A0954" w:rsidP="00F91FA3">
      <w:pPr>
        <w:tabs>
          <w:tab w:val="left" w:pos="709"/>
        </w:tabs>
        <w:jc w:val="both"/>
        <w:rPr>
          <w:rFonts w:cs="Calibri"/>
          <w:color w:val="000000"/>
        </w:rPr>
      </w:pPr>
      <w:r w:rsidRPr="005D6D41">
        <w:rPr>
          <w:rFonts w:cs="Calibri"/>
          <w:color w:val="000000"/>
        </w:rPr>
        <w:t xml:space="preserve">Pour toutes les phases des travaux, chaque entreprise dans son domaine d’entreprise et d’intervention doit respecter toutes les spécifications des documents de </w:t>
      </w:r>
      <w:r w:rsidR="518A30D6" w:rsidRPr="005D6D41">
        <w:rPr>
          <w:rFonts w:cs="Calibri"/>
          <w:color w:val="000000"/>
        </w:rPr>
        <w:t>gestion des risque</w:t>
      </w:r>
      <w:r w:rsidR="00B81F63" w:rsidRPr="005D6D41">
        <w:rPr>
          <w:rFonts w:cs="Calibri"/>
          <w:color w:val="000000"/>
        </w:rPr>
        <w:t>s</w:t>
      </w:r>
      <w:r w:rsidR="518A30D6" w:rsidRPr="005D6D41">
        <w:rPr>
          <w:rFonts w:cs="Calibri"/>
          <w:color w:val="000000"/>
        </w:rPr>
        <w:t xml:space="preserve"> environnmentaux et sociaux préparés couvrant son activité dans la réalisation du sous-projet</w:t>
      </w:r>
      <w:r w:rsidR="3E4FA08B" w:rsidRPr="005D6D41">
        <w:rPr>
          <w:rFonts w:cs="Calibri"/>
          <w:color w:val="000000"/>
        </w:rPr>
        <w:t>.</w:t>
      </w:r>
    </w:p>
    <w:p w14:paraId="23F7330C" w14:textId="77777777" w:rsidR="009A0954" w:rsidRPr="007F78CE" w:rsidRDefault="009A0954" w:rsidP="00F91FA3">
      <w:pPr>
        <w:tabs>
          <w:tab w:val="left" w:pos="709"/>
        </w:tabs>
        <w:jc w:val="both"/>
        <w:rPr>
          <w:rFonts w:cs="Calibri"/>
          <w:color w:val="000000"/>
        </w:rPr>
      </w:pPr>
      <w:r w:rsidRPr="007F78CE">
        <w:rPr>
          <w:rFonts w:cs="Calibri"/>
          <w:color w:val="000000"/>
        </w:rPr>
        <w:t xml:space="preserve">Les clauses ci-dessous ont pour objectif de s’assurer que l’entreprise s’engage dans différentes mesures de protection environnementales et sociales. Toutefois, en cas de contradiction ou d’apparence de contradiction avec les documents de sauvegarde, ce sont ces derniers qui priment et que de toutes façons, c’est la clause la plus contraignante qui doit être considérée. </w:t>
      </w:r>
    </w:p>
    <w:p w14:paraId="5D6E0962" w14:textId="77777777" w:rsidR="009A0954" w:rsidRPr="007F78CE" w:rsidRDefault="009A0954" w:rsidP="00F91FA3">
      <w:pPr>
        <w:tabs>
          <w:tab w:val="left" w:pos="709"/>
        </w:tabs>
        <w:jc w:val="both"/>
        <w:rPr>
          <w:rFonts w:cs="Calibri"/>
          <w:color w:val="000000"/>
        </w:rPr>
      </w:pPr>
      <w:r w:rsidRPr="007F78CE">
        <w:rPr>
          <w:rFonts w:cs="Calibri"/>
          <w:color w:val="000000"/>
        </w:rPr>
        <w:t>A noter que les normes ainsi que les directives en matière environnementale (tels que les critères d’émissions pour l’eau, l’air, le bruit) sont celles préconisées en la matière par les organismes internationaux affiliés aux Nations Unies peuvent servir de standard de référence, dans les cas où les normes nationales sont inexistantes ou font défaut (cf. Article 9 du décret MECIE sur la Mise en Compatibilité des Investissements avec l’Environnement). Celles-ci sont précisées dans les EIES, les PGES ou les PREE des différentes activités ou composantes du projet. Sinon, l’entreprise a la charge de préciser les normes qu’il va suivre, en les soumettant au préalable à l’UCP.</w:t>
      </w:r>
    </w:p>
    <w:p w14:paraId="616ACD04" w14:textId="77777777" w:rsidR="009A0954" w:rsidRPr="007F78CE" w:rsidRDefault="009A0954" w:rsidP="00F91FA3">
      <w:pPr>
        <w:contextualSpacing/>
        <w:jc w:val="both"/>
        <w:rPr>
          <w:rFonts w:cs="Calibri"/>
          <w:color w:val="000000"/>
          <w:lang w:val="fr-ML"/>
        </w:rPr>
      </w:pPr>
      <w:r w:rsidRPr="007F78CE">
        <w:rPr>
          <w:rFonts w:cs="Calibri"/>
          <w:color w:val="000000"/>
          <w:lang w:val="fr-ML"/>
        </w:rPr>
        <w:t>Pour s’assurer de la prise en compte effective des mesures environnementales et sociales qui s’appliquent aux normes environnementales et sociales applicables par les activités du projet, les sous projets comporteront chacun une partie qui précisera et décrira de manière exhaustive l’application de ces normes.</w:t>
      </w:r>
    </w:p>
    <w:p w14:paraId="5947F92E" w14:textId="77777777" w:rsidR="009A0954" w:rsidRPr="007F78CE" w:rsidRDefault="009A0954" w:rsidP="0044500E">
      <w:pPr>
        <w:numPr>
          <w:ilvl w:val="1"/>
          <w:numId w:val="109"/>
        </w:numPr>
        <w:spacing w:after="0" w:line="240" w:lineRule="auto"/>
        <w:ind w:left="993" w:hanging="426"/>
        <w:contextualSpacing/>
        <w:jc w:val="both"/>
        <w:rPr>
          <w:rFonts w:cs="Calibri"/>
          <w:color w:val="000000"/>
          <w:lang w:val="fr-ML"/>
        </w:rPr>
      </w:pPr>
      <w:r w:rsidRPr="007F78CE">
        <w:rPr>
          <w:rFonts w:cs="Calibri"/>
          <w:color w:val="000000"/>
          <w:u w:val="single"/>
          <w:lang w:val="fr-ML"/>
        </w:rPr>
        <w:t>Phase préparation</w:t>
      </w:r>
      <w:r w:rsidRPr="007F78CE">
        <w:rPr>
          <w:rFonts w:cs="Calibri"/>
          <w:color w:val="000000"/>
          <w:lang w:val="fr-ML"/>
        </w:rPr>
        <w:t> : Mémoire de Préparation de Projet (Fiche de filtration et enquête environnementale et sociale)</w:t>
      </w:r>
    </w:p>
    <w:p w14:paraId="392F34AD" w14:textId="77777777" w:rsidR="009A0954" w:rsidRPr="007F78CE" w:rsidRDefault="009A0954" w:rsidP="0044500E">
      <w:pPr>
        <w:numPr>
          <w:ilvl w:val="1"/>
          <w:numId w:val="109"/>
        </w:numPr>
        <w:spacing w:after="0" w:line="240" w:lineRule="auto"/>
        <w:ind w:left="993" w:hanging="426"/>
        <w:contextualSpacing/>
        <w:jc w:val="both"/>
        <w:rPr>
          <w:rFonts w:cs="Calibri"/>
          <w:color w:val="000000"/>
          <w:lang w:val="fr-ML"/>
        </w:rPr>
      </w:pPr>
      <w:r w:rsidRPr="007F78CE">
        <w:rPr>
          <w:rFonts w:cs="Calibri"/>
          <w:color w:val="000000"/>
          <w:u w:val="single"/>
          <w:lang w:val="fr-ML"/>
        </w:rPr>
        <w:t>Phase Etudes</w:t>
      </w:r>
      <w:r w:rsidRPr="007F78CE">
        <w:rPr>
          <w:rFonts w:cs="Calibri"/>
          <w:color w:val="000000"/>
          <w:lang w:val="fr-ML"/>
        </w:rPr>
        <w:t xml:space="preserve"> : Avant-Projet Sommaire (APS) et Avant-Projet Détaillé (APD) </w:t>
      </w:r>
      <w:r w:rsidRPr="007F78CE">
        <w:rPr>
          <w:rFonts w:eastAsia="Wingdings" w:cs="Calibri"/>
          <w:color w:val="000000"/>
          <w:lang w:val="fr-ML"/>
        </w:rPr>
        <w:t></w:t>
      </w:r>
      <w:r w:rsidRPr="007F78CE">
        <w:rPr>
          <w:rFonts w:cs="Calibri"/>
          <w:color w:val="000000"/>
          <w:lang w:val="fr-ML"/>
        </w:rPr>
        <w:t xml:space="preserve"> Etablissement d’un Plan de Gestion Environnementale et Sociale (PGES) y compris les Bordereaux des Coûts nécessaires aux mesures d’atténuation d’impacts environnementaux et sociaux.</w:t>
      </w:r>
    </w:p>
    <w:p w14:paraId="630497F4" w14:textId="77777777" w:rsidR="009A0954" w:rsidRPr="007F78CE" w:rsidRDefault="009A0954" w:rsidP="0044500E">
      <w:pPr>
        <w:numPr>
          <w:ilvl w:val="1"/>
          <w:numId w:val="109"/>
        </w:numPr>
        <w:spacing w:after="0" w:line="240" w:lineRule="auto"/>
        <w:ind w:left="993" w:hanging="426"/>
        <w:contextualSpacing/>
        <w:jc w:val="both"/>
        <w:rPr>
          <w:rFonts w:cs="Calibri"/>
          <w:color w:val="000000"/>
          <w:lang w:val="fr-ML"/>
        </w:rPr>
      </w:pPr>
      <w:r w:rsidRPr="007F78CE">
        <w:rPr>
          <w:rFonts w:cs="Calibri"/>
          <w:color w:val="000000"/>
          <w:u w:val="single"/>
          <w:lang w:val="fr-ML"/>
        </w:rPr>
        <w:t>Dossier d’Appel d’Offres (DAO)</w:t>
      </w:r>
      <w:r w:rsidRPr="007F78CE">
        <w:rPr>
          <w:rFonts w:cs="Calibri"/>
          <w:color w:val="000000"/>
          <w:lang w:val="fr-ML"/>
        </w:rPr>
        <w:t> : Imputation dans les séries de prix spécifiés dans les APD et BDQE des actions et coûts nécessaires aux mesures d’atténuation environnementales et sociales.</w:t>
      </w:r>
    </w:p>
    <w:p w14:paraId="424653F1" w14:textId="77777777" w:rsidR="009A0954" w:rsidRDefault="009A0954" w:rsidP="00F91FA3">
      <w:pPr>
        <w:ind w:left="993"/>
        <w:contextualSpacing/>
        <w:jc w:val="both"/>
        <w:rPr>
          <w:rFonts w:ascii="Arial" w:hAnsi="Arial" w:cs="Arial"/>
          <w:color w:val="000000"/>
          <w:lang w:val="fr-ML"/>
        </w:rPr>
      </w:pPr>
    </w:p>
    <w:p w14:paraId="1F0F1866" w14:textId="77777777" w:rsidR="009A0954" w:rsidRDefault="009A0954" w:rsidP="00F91FA3">
      <w:pPr>
        <w:jc w:val="both"/>
        <w:rPr>
          <w:rFonts w:ascii="Arial" w:hAnsi="Arial" w:cs="Arial"/>
          <w:b/>
          <w:bCs/>
          <w:color w:val="000000"/>
          <w:lang w:val="fr-ML" w:eastAsia="sw-KE"/>
        </w:rPr>
      </w:pPr>
      <w:r>
        <w:rPr>
          <w:rFonts w:ascii="Arial" w:hAnsi="Arial" w:cs="Arial"/>
          <w:b/>
          <w:color w:val="000000"/>
          <w:lang w:val="fr-ML" w:eastAsia="sw-KE"/>
        </w:rPr>
        <w:t>Clause 1. Responsabilités de l'</w:t>
      </w:r>
      <w:r>
        <w:rPr>
          <w:rFonts w:ascii="Arial" w:hAnsi="Arial" w:cs="Arial"/>
          <w:b/>
          <w:bCs/>
          <w:color w:val="000000"/>
          <w:lang w:val="fr-ML" w:eastAsia="sw-KE"/>
        </w:rPr>
        <w:t>entreprise</w:t>
      </w:r>
      <w:r>
        <w:rPr>
          <w:rFonts w:ascii="Arial" w:hAnsi="Arial" w:cs="Arial"/>
          <w:b/>
          <w:color w:val="000000"/>
          <w:lang w:val="fr-ML" w:eastAsia="sw-KE"/>
        </w:rPr>
        <w:t xml:space="preserve"> :</w:t>
      </w:r>
    </w:p>
    <w:p w14:paraId="2127BE59"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 xml:space="preserve">L’entreprise doit avoir et maintenir en vigueur pendant la durée d'exécution des travaux, tous les permis et licences nécessaires à l'exécution des travaux. </w:t>
      </w:r>
    </w:p>
    <w:p w14:paraId="0CBE2624"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 xml:space="preserve">Elle doit s'assurer que ses employés et ceux de ses sous-traitants respectent les lois et les règlements en vigueur ainsi que les exigences environnementales et sociales contractuelles. </w:t>
      </w:r>
    </w:p>
    <w:p w14:paraId="75C9E354"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 xml:space="preserve">A cet effet, elle doit organiser, au début des travaux, une réunion avec tout le personnel affecté au projet et l'informer des exigences contractuelles en matière d'environnement relatives au projet. </w:t>
      </w:r>
    </w:p>
    <w:p w14:paraId="5D230CD1"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L'entreprise est aussi tenue d'informer tout nouvel employé qui se joindra à son personnel au fur et à mesure de l'avancement de ses travaux.</w:t>
      </w:r>
    </w:p>
    <w:p w14:paraId="24AF9F25"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L'Entreprise est tenue de mettre à la disposition du chantier un responsable qui assure la mise en œuvre de contrôle environnemental et social interne de chantier et chargé de la gestion des aspects qualité et environnement (s’il y a lieu).</w:t>
      </w:r>
    </w:p>
    <w:p w14:paraId="00791388"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Il doit être autonome en termes de moyens lui permettant d'assurer efficacement l'exécution du présent Projet (moyen de déplacement, équipement informatique, bureau, appareil photo numérique, petit équipement de terrain) et de responsabilité (rattachement hiérarchique direct à la direction de travaux, aptitude à stopper l'exécution de travaux non-conformes...).</w:t>
      </w:r>
    </w:p>
    <w:p w14:paraId="3FEEE7A7" w14:textId="77777777" w:rsidR="009A0954" w:rsidRPr="007F78CE" w:rsidRDefault="009A0954" w:rsidP="00F91FA3">
      <w:pPr>
        <w:jc w:val="both"/>
        <w:rPr>
          <w:rFonts w:cs="Calibri"/>
          <w:color w:val="000000"/>
          <w:lang w:val="fr-ML" w:eastAsia="sw-KE"/>
        </w:rPr>
      </w:pPr>
      <w:r w:rsidRPr="005D6D41">
        <w:rPr>
          <w:rFonts w:cs="Calibri"/>
          <w:color w:val="000000"/>
          <w:lang w:val="fr-ML" w:eastAsia="sw-KE"/>
        </w:rPr>
        <w:t>Ce Responsable devra compter sur la collaboration du Socio-Environnementaliste de la Mission de Contrôle, et ceci pour pouvoir interpréter les données, et résoudre les différents problèmes.</w:t>
      </w:r>
    </w:p>
    <w:p w14:paraId="4B39C1B1"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Il a à sa disposition une copie de l'ensemble des documents produits dans le cadre de l'Etude d'impact environnemental et social du projet sur lesquels il travaille.</w:t>
      </w:r>
    </w:p>
    <w:p w14:paraId="01C8884F"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II est responsable de l’adaptation du règlement interne de l'Entreprise, ainsi que de la conception, de la mise en œuvre et du suivi des procédures internes de mise en application de la politique environnementale de l'Entreprise.</w:t>
      </w:r>
    </w:p>
    <w:p w14:paraId="0521EC7C"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 xml:space="preserve">II appuie la préparation du projet d'exécution de l'Entreprise, en veillant au respect des présentes clauses environnementales et sociales, de la règlementation applicable et des directives de la Banque Mondiale en la matière. </w:t>
      </w:r>
    </w:p>
    <w:p w14:paraId="017A03DB"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Il effectue les évaluations initiales de sites, suit leur exploitation ou utilisation, et préconise les modes de libération de ces sites ; les rapports correspondants sont transmis au maître d'ouvrage pour approbation.</w:t>
      </w:r>
    </w:p>
    <w:p w14:paraId="40F29282"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II préconise de manière générale toute disposition ou mesure environnementale et sociale nécessaire pour le respect des présentes clauses environnementales et sociales, de la réglementation applicable et des directives de la Banque Mondiale en la matière.</w:t>
      </w:r>
    </w:p>
    <w:p w14:paraId="34EB6B62"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Il tient à jour les aspects environnementaux et sociaux du cahier de chantier.</w:t>
      </w:r>
    </w:p>
    <w:p w14:paraId="46836B10"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 xml:space="preserve">Il indiquera tous les relevés des incidents environnementaux et socio-économiques significatifs ayant eu lieu ainsi que les mesures correctives qui ont été mises en œuvre. </w:t>
      </w:r>
    </w:p>
    <w:p w14:paraId="3AAF2432"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Le cahier de chantier doit être disponible systématiquement et pourrait être consulté à tout moment par le Maître d'ouvrage ou son représentant mandaté. Le cahier de chantier servira de base de données pour les contrôles qui pourront être effectués.</w:t>
      </w:r>
    </w:p>
    <w:p w14:paraId="6C0C74C4"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 xml:space="preserve">Il est tenu de produire mensuellement le bilan de conformité environnementale et sociale de l'Entreprise. Il a également à charge, en lien avec la direction des travaux, la mise en œuvre des actions de redressement de la situation en cas de non-conformité(s) constatée(s). </w:t>
      </w:r>
    </w:p>
    <w:p w14:paraId="34E884E8"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L'Entreprise reste responsable de l'efficacité environnementale et sociale du chantier.</w:t>
      </w:r>
    </w:p>
    <w:p w14:paraId="573F7BF1"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Il est chargé des contacts avec les riverains, les propriétaires et/ou exploitants de sites ainsi que les autorités. Il recueille et traite les doléances. Il assure de manière générale le suivi de l'ensemble des travaux.</w:t>
      </w:r>
    </w:p>
    <w:p w14:paraId="3982A737" w14:textId="77777777" w:rsidR="009A0954" w:rsidRDefault="009A0954" w:rsidP="00F91FA3">
      <w:pPr>
        <w:jc w:val="both"/>
        <w:rPr>
          <w:rFonts w:ascii="Arial" w:hAnsi="Arial" w:cs="Arial"/>
          <w:b/>
          <w:bCs/>
          <w:color w:val="000000"/>
          <w:lang w:val="fr-ML" w:eastAsia="sw-KE"/>
        </w:rPr>
      </w:pPr>
      <w:r>
        <w:rPr>
          <w:rFonts w:ascii="Arial" w:hAnsi="Arial" w:cs="Arial"/>
          <w:b/>
          <w:bCs/>
          <w:color w:val="000000"/>
          <w:lang w:val="fr-ML" w:eastAsia="sw-KE"/>
        </w:rPr>
        <w:t>Clause 2 : Embauche du personnel</w:t>
      </w:r>
    </w:p>
    <w:p w14:paraId="6455BA93" w14:textId="77777777" w:rsidR="009A0954" w:rsidRPr="007F78CE" w:rsidRDefault="009A0954" w:rsidP="00F91FA3">
      <w:pPr>
        <w:jc w:val="both"/>
        <w:rPr>
          <w:rFonts w:cs="Calibri"/>
          <w:color w:val="000000"/>
          <w:lang w:val="fr-ML" w:eastAsia="sw-KE"/>
        </w:rPr>
      </w:pPr>
      <w:r w:rsidRPr="005D6D41">
        <w:rPr>
          <w:rFonts w:cs="Calibri"/>
          <w:color w:val="000000"/>
          <w:lang w:val="fr-ML" w:eastAsia="sw-KE"/>
        </w:rPr>
        <w:t xml:space="preserve">L'Entreprise est tenue d'engager (en dehors de son personnel </w:t>
      </w:r>
      <w:r w:rsidR="639F659F" w:rsidRPr="005D6D41">
        <w:rPr>
          <w:rFonts w:cs="Calibri"/>
          <w:color w:val="000000"/>
          <w:lang w:val="fr-ML" w:eastAsia="sw-KE"/>
        </w:rPr>
        <w:t>permanent</w:t>
      </w:r>
      <w:r w:rsidRPr="005D6D41">
        <w:rPr>
          <w:rFonts w:cs="Calibri"/>
          <w:color w:val="000000"/>
          <w:lang w:val="fr-ML" w:eastAsia="sw-KE"/>
        </w:rPr>
        <w:t>) le plus possible la main d'œuvre de la zone où les travaux sont réalisés, afin de favoriser les retombées socio-économiques locales. A défaut de trouver le personnel qualifié sur place, il est autorisé à engager la main d'œuvre provenant de l'extérieur de la zone de travail.</w:t>
      </w:r>
    </w:p>
    <w:p w14:paraId="47E39230" w14:textId="77777777" w:rsidR="009A0954" w:rsidRDefault="009A0954" w:rsidP="00F91FA3">
      <w:pPr>
        <w:jc w:val="both"/>
        <w:rPr>
          <w:rFonts w:ascii="Arial" w:hAnsi="Arial" w:cs="Arial"/>
          <w:color w:val="000000"/>
          <w:lang w:val="fr-ML" w:eastAsia="sw-KE"/>
        </w:rPr>
      </w:pPr>
      <w:r w:rsidRPr="007F78CE">
        <w:rPr>
          <w:rFonts w:cs="Calibri"/>
          <w:color w:val="000000"/>
          <w:lang w:val="fr-ML" w:eastAsia="sw-KE"/>
        </w:rPr>
        <w:t>L’Entreprise est tenue de fournir deux déclarations : une déclaration sur les performances relatives aux travaux forcés (qui couvre les performances passées), et une déclaration sur le travail forcé (qui couvre les engagements futurs pour prévenir, surveiller et rendre compte de tout travail forcé, en répercutant les exigences sur leurs propres sous-traitants et fournisseurs).  En outre, l'Entreprise inclura un langage renforcé sur le travail forcé dans les contrats d'approvisionnement.</w:t>
      </w:r>
    </w:p>
    <w:p w14:paraId="006C0DCA" w14:textId="77777777" w:rsidR="009A0954" w:rsidRDefault="009A0954" w:rsidP="00F91FA3">
      <w:pPr>
        <w:jc w:val="both"/>
        <w:rPr>
          <w:rFonts w:ascii="Arial" w:hAnsi="Arial" w:cs="Arial"/>
          <w:b/>
          <w:bCs/>
          <w:color w:val="000000"/>
          <w:lang w:val="fr-ML" w:eastAsia="sw-KE"/>
        </w:rPr>
      </w:pPr>
      <w:r>
        <w:rPr>
          <w:rFonts w:ascii="Arial" w:hAnsi="Arial" w:cs="Arial"/>
          <w:b/>
          <w:bCs/>
          <w:color w:val="000000"/>
          <w:lang w:val="fr-ML" w:eastAsia="sw-KE"/>
        </w:rPr>
        <w:t>Clause 3 : Plan d'Hygiène, Santé et Sécurité des installations et du chantier</w:t>
      </w:r>
    </w:p>
    <w:p w14:paraId="4C59A366"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L’entreprise devra obligatoirement préparer et soumettre à la mission de contrôle un plan global de gestion de l'environnement comportant spécifiquement un plan de Sécurité, d'Hygiène et de Santé avant le démarrage des travaux. Ce plan devra être validé par la mission de contrôle et son application fera l’objet d'un contrôle permanent et devra être conformes aux lois nationales et normes internationale applicables.</w:t>
      </w:r>
    </w:p>
    <w:p w14:paraId="25DE4F8F" w14:textId="77777777" w:rsidR="009A0954" w:rsidRPr="007F78CE" w:rsidRDefault="009A0954" w:rsidP="00F91FA3">
      <w:pPr>
        <w:jc w:val="both"/>
        <w:rPr>
          <w:rFonts w:cs="Calibri"/>
          <w:bCs/>
          <w:color w:val="000000"/>
          <w:lang w:val="fr-ML" w:eastAsia="sw-KE"/>
        </w:rPr>
      </w:pPr>
      <w:r w:rsidRPr="007F78CE">
        <w:rPr>
          <w:rFonts w:cs="Calibri"/>
          <w:color w:val="000000"/>
          <w:lang w:val="fr-ML" w:eastAsia="sw-KE"/>
        </w:rPr>
        <w:t>Elle doit respecter, dans ses travaux et ses services, les réglementations nationales existantes, entre autres celles relatives à la santé, à la sécurité et à l'environnement. Cela inclut les méthodes de travail selon un savoir-faire reconnu et le respect des exigences techniques contractuelles. Sur le plan contractuel, ceci oblige donc que les contractants, leurs agents et personnels, les sous-contractants ou autres à se conformer aux règles et exigences de ce plan.</w:t>
      </w:r>
    </w:p>
    <w:p w14:paraId="5C9ED52C" w14:textId="77777777" w:rsidR="009A0954" w:rsidRPr="007F78CE" w:rsidRDefault="009A0954" w:rsidP="00F91FA3">
      <w:pPr>
        <w:jc w:val="both"/>
        <w:rPr>
          <w:rFonts w:cs="Calibri"/>
          <w:b/>
          <w:bCs/>
          <w:i/>
          <w:color w:val="000000"/>
          <w:lang w:val="fr-ML" w:eastAsia="sw-KE"/>
        </w:rPr>
      </w:pPr>
      <w:r w:rsidRPr="007F78CE">
        <w:rPr>
          <w:rFonts w:cs="Calibri"/>
          <w:b/>
          <w:bCs/>
          <w:i/>
          <w:color w:val="000000"/>
          <w:lang w:val="fr-ML" w:eastAsia="sw-KE"/>
        </w:rPr>
        <w:t>Hygiène :</w:t>
      </w:r>
    </w:p>
    <w:p w14:paraId="5464E9FA"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 xml:space="preserve">Les aires de bureaux doivent être pourvues d'installations sanitaires avec séparation pour les hommes et les femmes et dont la taille est fonction du nombre des employés. </w:t>
      </w:r>
    </w:p>
    <w:p w14:paraId="3E70F25D"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Les aires éventuelles de cuisine et de réfectoires devront être désinfectées et nettoyées quotidiennement.</w:t>
      </w:r>
    </w:p>
    <w:p w14:paraId="0E0EABC3"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Les déchets solides de chantier doivent être collectés et acheminés vers des zones de dépôts adéquats (décharges publiques formalisées) ou une fosse provisoire située dans un lieu agréé par l’autorité chargée de contrôle.</w:t>
      </w:r>
    </w:p>
    <w:p w14:paraId="63E00060"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Aucun déchet ne doit être brûlé sur place. L'Entreprise peut toutefois être autorisé à brûler certains déchets combustibles à condition de respecter toutes les conditions de sécurité et d'éviter le dégagement de fumées toxiques.</w:t>
      </w:r>
    </w:p>
    <w:p w14:paraId="237B46FB"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Seuls les papiers et emballages en carton non pollués, ainsi que les feuilles mortes et branchages secs, peuvent être brûlés, et les opérations de brûlage devront être effectuées en période de vent favorable (pas d'habitation sous le vent, dispersion rapide des fumées).</w:t>
      </w:r>
    </w:p>
    <w:p w14:paraId="4B5ED86F"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 xml:space="preserve">Les eaux usées provenant des cuisines, des aires de lavage des engins - après séparation des graisses, hydrocarbures et sables, des locaux de bureaux..., excepté les eaux des </w:t>
      </w:r>
      <w:r w:rsidR="006B2C01" w:rsidRPr="007F78CE">
        <w:rPr>
          <w:rFonts w:cs="Calibri"/>
          <w:color w:val="000000"/>
          <w:lang w:val="fr-ML" w:eastAsia="sw-KE"/>
        </w:rPr>
        <w:t>toilettes</w:t>
      </w:r>
      <w:r w:rsidRPr="007F78CE">
        <w:rPr>
          <w:rFonts w:cs="Calibri"/>
          <w:color w:val="000000"/>
          <w:lang w:val="fr-ML" w:eastAsia="sw-KE"/>
        </w:rPr>
        <w:t>, sont évacuées dans le réseau public existant de collecte des eaux usées s'il existe. A défaut, elles sont dirigées vers un puisard provisoire.</w:t>
      </w:r>
    </w:p>
    <w:p w14:paraId="10A1FE95"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L'entreprise devra présenter les mesures retenues pour la collecte et le traitement des déchets solides et des effluents dans un plan de gestion de déchets du chantier avant le démarrage des travaux. Ce plan devra être validé par la mission de contrôle et son application fera l’objet d'un contrôle permanent.</w:t>
      </w:r>
    </w:p>
    <w:p w14:paraId="31B04EF4" w14:textId="77777777" w:rsidR="009A0954" w:rsidRPr="007F78CE" w:rsidRDefault="009A0954" w:rsidP="00F91FA3">
      <w:pPr>
        <w:jc w:val="both"/>
        <w:rPr>
          <w:rFonts w:cs="Calibri"/>
          <w:b/>
          <w:bCs/>
          <w:i/>
          <w:color w:val="000000"/>
          <w:lang w:val="fr-ML" w:eastAsia="sw-KE"/>
        </w:rPr>
      </w:pPr>
      <w:r w:rsidRPr="007F78CE">
        <w:rPr>
          <w:rFonts w:cs="Calibri"/>
          <w:b/>
          <w:bCs/>
          <w:i/>
          <w:color w:val="000000"/>
          <w:lang w:val="fr-ML" w:eastAsia="sw-KE"/>
        </w:rPr>
        <w:t>Sécurité :</w:t>
      </w:r>
    </w:p>
    <w:p w14:paraId="53D1C2A7"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Le chantier sera interdit au public et protégé par des balises et des panneaux de signalisation. Les différents accès seront clairement signalés, leurs abords seront maintenus propres pour assurer le confort et la sécurité.</w:t>
      </w:r>
    </w:p>
    <w:p w14:paraId="31255C9B"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A cet effet, l'Entreprise doit prendre toutes les mesures de sécurité propres à éviter des accidents, tant à l'égard du personnel qu'à l'égard des tiers. Elle est tenu</w:t>
      </w:r>
      <w:r w:rsidR="00B81F63">
        <w:rPr>
          <w:rFonts w:cs="Calibri"/>
          <w:color w:val="000000"/>
          <w:lang w:val="fr-ML" w:eastAsia="sw-KE"/>
        </w:rPr>
        <w:t>e</w:t>
      </w:r>
      <w:r w:rsidRPr="007F78CE">
        <w:rPr>
          <w:rFonts w:cs="Calibri"/>
          <w:color w:val="000000"/>
          <w:lang w:val="fr-ML" w:eastAsia="sw-KE"/>
        </w:rPr>
        <w:t xml:space="preserve"> d'observer tous les règlements et consignes de l'autorité compétente.</w:t>
      </w:r>
    </w:p>
    <w:p w14:paraId="015E7B48"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 xml:space="preserve">II doit prendre toutes les précautions nécessaires pour éviter que les travaux ne causent un danger aux tiers, notamment face aux risques et dangers liés au fonctionnement d'une ligne de haute tension et à la proximité des populations, et face à la circulation publique si celle-ci n'a pas été déviée. </w:t>
      </w:r>
    </w:p>
    <w:p w14:paraId="20AC2BE3"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Les points de passage dangereux, le long et à la traversée des voies de communication, doivent être protégés par des garde-corps provisoires ou par tout autre dispositif approprié.</w:t>
      </w:r>
    </w:p>
    <w:p w14:paraId="081C55D2"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Lorsque les travaux intéressent la circulation publique, la signalisation à l'usage du public doit être conforme aux instructions réglementaires en la matière : elle est réalisée sous le contrôle des services compétents par l'Entreprise, ce dernier ayant à sa charge la fourniture et la mise en place des panneaux et des dispositifs de signalisation.</w:t>
      </w:r>
    </w:p>
    <w:p w14:paraId="42151AAA"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 xml:space="preserve">L'Entreprise doit informer par écrit les services compétents, au moins cinq (5) jours ouvrables à l'avance, de la date de commencement des travaux en mentionnant, s'il y a lieu, le caractère </w:t>
      </w:r>
      <w:r w:rsidR="00C05C47" w:rsidRPr="007F78CE">
        <w:rPr>
          <w:rFonts w:cs="Calibri"/>
          <w:color w:val="000000"/>
          <w:lang w:val="fr-ML" w:eastAsia="sw-KE"/>
        </w:rPr>
        <w:t>mobile</w:t>
      </w:r>
      <w:r w:rsidRPr="007F78CE">
        <w:rPr>
          <w:rFonts w:cs="Calibri"/>
          <w:color w:val="000000"/>
          <w:lang w:val="fr-ML" w:eastAsia="sw-KE"/>
        </w:rPr>
        <w:t xml:space="preserve"> du chantier.</w:t>
      </w:r>
    </w:p>
    <w:p w14:paraId="3EACC4E3"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L'Entreprise doit, dans les mêmes formes et délai, informer les services compétents du repliement ou du déplacement du chantier.</w:t>
      </w:r>
    </w:p>
    <w:p w14:paraId="050A0173"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Si les travaux prévoient une déviation de la circulation, l'Entreprise a la charge de la signalisation aux extrémités des sections où la circulation est interrompue et de la signalisation des itinéraires déviés.</w:t>
      </w:r>
    </w:p>
    <w:p w14:paraId="6BE6491B"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 xml:space="preserve">La police de la circulation aux abords des chantiers ou aux extrémités des sections où la circulation est interrompue et le long des itinéraires déviés, sera à la charge de l’Entreprise. </w:t>
      </w:r>
    </w:p>
    <w:p w14:paraId="7C8F70B7"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L'Entreprise est tenue de maintenir dans des conditions convenables la circulation des personnes et l'écoulement des eaux.</w:t>
      </w:r>
    </w:p>
    <w:p w14:paraId="25E40981"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Durant les travaux, l'Entreprise est tenue d'assurer la circulation dans des conditions de sécurité suffisante et prendre en compte les mesures de lutte contre les nuisances (poussières, bruits, etc.)</w:t>
      </w:r>
    </w:p>
    <w:p w14:paraId="384D586E"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L’Entreprise est en outre tenu d’adapter ses programmations de tâches aux horaires d'utilisation et contraintes des équipements les plus sensibles, infrastructures sanitaires et éducatives, dispositifs d'approvisionnement en eau des populations (bornes-fontaines), ...</w:t>
      </w:r>
    </w:p>
    <w:p w14:paraId="0A464124"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 xml:space="preserve">L'Entreprise imposera, pour les postes exposés, le port d'équipement de sécurité et de confort tel que casque de protection, casque antibruit, gants, chaussures de sécurité, vêtements fluorescents, etc. Les engins et véhicules devront également être équipés des dispositifs de sécurité adéquats. </w:t>
      </w:r>
    </w:p>
    <w:p w14:paraId="443DB900"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Pour les manœuvres particulièrement dangereuses, les dispositifs et mesures de sécurité spécifiquement appliqués devront être présentés et approuvés par le maître d'œuvre.</w:t>
      </w:r>
    </w:p>
    <w:p w14:paraId="0EEF1450" w14:textId="77777777" w:rsidR="009A0954" w:rsidRPr="007F78CE" w:rsidRDefault="009A0954" w:rsidP="00F91FA3">
      <w:pPr>
        <w:jc w:val="both"/>
        <w:rPr>
          <w:rFonts w:cs="Calibri"/>
          <w:b/>
          <w:bCs/>
          <w:i/>
          <w:color w:val="000000"/>
          <w:lang w:val="fr-ML" w:eastAsia="sw-KE"/>
        </w:rPr>
      </w:pPr>
      <w:r w:rsidRPr="007F78CE">
        <w:rPr>
          <w:rFonts w:cs="Calibri"/>
          <w:b/>
          <w:bCs/>
          <w:i/>
          <w:color w:val="000000"/>
          <w:lang w:val="fr-ML" w:eastAsia="sw-KE"/>
        </w:rPr>
        <w:t>Secourisme et Santé :</w:t>
      </w:r>
    </w:p>
    <w:p w14:paraId="04EAF657"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Les équipes de chantier comportent au minimum un personnel secouriste qualifié.</w:t>
      </w:r>
    </w:p>
    <w:p w14:paraId="44F920B3"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L'Entreprise assure le transport des employés ou personnes extérieures à ses effectifs, et accidentés de son fait, vers le centre de santé adapté le plus proche.</w:t>
      </w:r>
    </w:p>
    <w:p w14:paraId="24685C9A"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 xml:space="preserve">Elle assure également le transport de ses employés malades dans les mêmes conditions. </w:t>
      </w:r>
    </w:p>
    <w:p w14:paraId="52B55729" w14:textId="77777777" w:rsidR="009A0954" w:rsidRPr="007F78CE" w:rsidRDefault="009A0954" w:rsidP="00F91FA3">
      <w:pPr>
        <w:jc w:val="both"/>
        <w:rPr>
          <w:rFonts w:cs="Calibri"/>
          <w:lang w:val="fr-ML" w:eastAsia="sw-KE"/>
        </w:rPr>
      </w:pPr>
      <w:r w:rsidRPr="007F78CE">
        <w:rPr>
          <w:rFonts w:cs="Calibri"/>
          <w:color w:val="000000"/>
          <w:lang w:val="fr-ML" w:eastAsia="sw-KE"/>
        </w:rPr>
        <w:t>Elle accorde l'avance des frais de santé pour permettre la prise en charge immédiate des personnes par les structures sanitaires.</w:t>
      </w:r>
    </w:p>
    <w:p w14:paraId="11DDAA39" w14:textId="77777777" w:rsidR="009A0954" w:rsidRPr="007F78CE" w:rsidRDefault="009A0954" w:rsidP="00F91FA3">
      <w:pPr>
        <w:jc w:val="both"/>
        <w:rPr>
          <w:rFonts w:cs="Calibri"/>
          <w:color w:val="000000"/>
          <w:lang w:val="fr-ML" w:eastAsia="sw-KE"/>
        </w:rPr>
      </w:pPr>
      <w:r w:rsidRPr="007F78CE">
        <w:rPr>
          <w:rFonts w:cs="Calibri"/>
          <w:lang w:val="fr-ML" w:eastAsia="sw-KE"/>
        </w:rPr>
        <w:t>Afin de limiter la progression de la COVID-19, du VIH/SIDA, et de lutter contre le VBG</w:t>
      </w:r>
      <w:r w:rsidR="00B81F63">
        <w:rPr>
          <w:rFonts w:cs="Calibri"/>
          <w:lang w:val="fr-ML" w:eastAsia="sw-KE"/>
        </w:rPr>
        <w:t xml:space="preserve"> </w:t>
      </w:r>
      <w:r w:rsidRPr="007F78CE">
        <w:rPr>
          <w:rFonts w:cs="Calibri"/>
          <w:color w:val="000000"/>
          <w:lang w:val="fr-ML" w:eastAsia="sw-KE"/>
        </w:rPr>
        <w:t>, l'Entreprise est tenue de prendre toutes dispositions ut</w:t>
      </w:r>
      <w:r w:rsidR="00B81F63">
        <w:rPr>
          <w:rFonts w:cs="Calibri"/>
          <w:color w:val="000000"/>
          <w:lang w:val="fr-ML" w:eastAsia="sw-KE"/>
        </w:rPr>
        <w:t>i</w:t>
      </w:r>
      <w:r w:rsidRPr="007F78CE">
        <w:rPr>
          <w:rFonts w:cs="Calibri"/>
          <w:color w:val="000000"/>
          <w:lang w:val="fr-ML" w:eastAsia="sw-KE"/>
        </w:rPr>
        <w:t>les pour réduire les risques pour ses employés et la population. Elle doit à cet effet :</w:t>
      </w:r>
    </w:p>
    <w:p w14:paraId="7FD7F683" w14:textId="77777777" w:rsidR="009A0954" w:rsidRPr="007F78CE" w:rsidRDefault="00F63AF5"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Pr>
          <w:rFonts w:cs="Calibri"/>
          <w:color w:val="000000"/>
          <w:lang w:val="fr-ML" w:eastAsia="sw-KE"/>
        </w:rPr>
        <w:t>I</w:t>
      </w:r>
      <w:r w:rsidR="009A0954" w:rsidRPr="005D6D41">
        <w:rPr>
          <w:rFonts w:cs="Calibri"/>
          <w:color w:val="000000"/>
          <w:lang w:val="fr-ML" w:eastAsia="sw-KE"/>
        </w:rPr>
        <w:t>nformer son personnel, et les nouvelles embauches, intérimaires ou journaliers à l'arrivée sur site, du contenu du règlement et des procédures internes relatifs au COVID -19, aux IST et VIH/SIDA et au VBG ;</w:t>
      </w:r>
    </w:p>
    <w:p w14:paraId="1B190D6F" w14:textId="77777777" w:rsidR="009A0954" w:rsidRPr="007F78CE" w:rsidRDefault="00F63AF5"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Pr>
          <w:rFonts w:cs="Calibri"/>
          <w:color w:val="000000"/>
          <w:lang w:val="fr-ML" w:eastAsia="sw-KE"/>
        </w:rPr>
        <w:t>E</w:t>
      </w:r>
      <w:r w:rsidR="009A0954" w:rsidRPr="007F78CE">
        <w:rPr>
          <w:rFonts w:cs="Calibri"/>
          <w:color w:val="000000"/>
          <w:lang w:val="fr-ML" w:eastAsia="sw-KE"/>
        </w:rPr>
        <w:t>ngager son personnel à respecter les procédures internes établies pour ce faire ; procéder à des évaluations mensuelles du degré de connaissance et de compréhension de ces règlements et procédures ;</w:t>
      </w:r>
    </w:p>
    <w:p w14:paraId="2B2508F5" w14:textId="77777777" w:rsidR="009A0954" w:rsidRPr="007F78CE" w:rsidRDefault="00F63AF5"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Pr>
          <w:rFonts w:cs="Calibri"/>
          <w:color w:val="000000"/>
          <w:lang w:val="fr-ML" w:eastAsia="sw-KE"/>
        </w:rPr>
        <w:t>F</w:t>
      </w:r>
      <w:r w:rsidR="009A0954" w:rsidRPr="007F78CE">
        <w:rPr>
          <w:rFonts w:cs="Calibri"/>
          <w:color w:val="000000"/>
          <w:lang w:val="fr-ML" w:eastAsia="sw-KE"/>
        </w:rPr>
        <w:t>aire intervenir une fois aux fins de présentation de films, d'explications et de distribution de produits publicitaires un Spécialiste dans le domaine de la Lutte contre le SIDA et de VBG selon le cas</w:t>
      </w:r>
      <w:r>
        <w:rPr>
          <w:rFonts w:cs="Calibri"/>
          <w:color w:val="000000"/>
          <w:lang w:val="fr-ML" w:eastAsia="sw-KE"/>
        </w:rPr>
        <w:t xml:space="preserve"> </w:t>
      </w:r>
      <w:r w:rsidR="009A0954" w:rsidRPr="007F78CE">
        <w:rPr>
          <w:rFonts w:cs="Calibri"/>
          <w:color w:val="000000"/>
          <w:lang w:val="fr-ML" w:eastAsia="sw-KE"/>
        </w:rPr>
        <w:t xml:space="preserve">; </w:t>
      </w:r>
    </w:p>
    <w:p w14:paraId="46D56A3B" w14:textId="77777777" w:rsidR="009A0954" w:rsidRPr="007F78CE" w:rsidRDefault="00F63AF5"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Pr>
          <w:rFonts w:cs="Calibri"/>
          <w:color w:val="000000"/>
          <w:lang w:val="fr-ML" w:eastAsia="sw-KE"/>
        </w:rPr>
        <w:t>A</w:t>
      </w:r>
      <w:r w:rsidR="009A0954" w:rsidRPr="007F78CE">
        <w:rPr>
          <w:rFonts w:cs="Calibri"/>
          <w:color w:val="000000"/>
          <w:lang w:val="fr-ML" w:eastAsia="sw-KE"/>
        </w:rPr>
        <w:t>ppliquer une politique interne de recrutement et de relations entre membres de l'Entreprise excluant toute discrimination envers les personnes porteuses du VIH/SIDA, en expliquant les modes de transmission et les risques encourus ;</w:t>
      </w:r>
    </w:p>
    <w:p w14:paraId="0459415D" w14:textId="77777777" w:rsidR="009A0954" w:rsidRPr="007F78CE" w:rsidRDefault="00F63AF5"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Pr>
          <w:rFonts w:cs="Calibri"/>
          <w:color w:val="000000"/>
          <w:lang w:val="fr-ML" w:eastAsia="sw-KE"/>
        </w:rPr>
        <w:t>I</w:t>
      </w:r>
      <w:r w:rsidR="009A0954" w:rsidRPr="007F78CE">
        <w:rPr>
          <w:rFonts w:cs="Calibri"/>
          <w:color w:val="000000"/>
          <w:lang w:val="fr-ML" w:eastAsia="sw-KE"/>
        </w:rPr>
        <w:t xml:space="preserve">nterdire strictement l'entrée dans ses installations aux personnes extérieures en visite </w:t>
      </w:r>
      <w:r w:rsidRPr="007F78CE">
        <w:rPr>
          <w:rFonts w:cs="Calibri"/>
          <w:color w:val="000000"/>
          <w:lang w:val="fr-ML" w:eastAsia="sw-KE"/>
        </w:rPr>
        <w:t>extraprofessionnelle ;</w:t>
      </w:r>
    </w:p>
    <w:p w14:paraId="6F2D3DC9" w14:textId="77777777" w:rsidR="009A0954" w:rsidRPr="007F78CE" w:rsidRDefault="00F63AF5"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Pr>
          <w:rFonts w:cs="Calibri"/>
          <w:color w:val="000000"/>
          <w:lang w:val="fr-ML" w:eastAsia="sw-KE"/>
        </w:rPr>
        <w:t>I</w:t>
      </w:r>
      <w:r w:rsidR="009A0954" w:rsidRPr="007F78CE">
        <w:rPr>
          <w:rFonts w:cs="Calibri"/>
          <w:color w:val="000000"/>
          <w:lang w:val="fr-ML" w:eastAsia="sw-KE"/>
        </w:rPr>
        <w:t>nterdire le transport de personnes non membres du personnel dans les véhicules et engins de l'Entreprise ;</w:t>
      </w:r>
    </w:p>
    <w:p w14:paraId="35A84048" w14:textId="77777777" w:rsidR="009A0954" w:rsidRPr="007F78CE" w:rsidRDefault="00F63AF5"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Pr>
          <w:rFonts w:cs="Calibri"/>
          <w:color w:val="000000"/>
          <w:lang w:val="fr-ML" w:eastAsia="sw-KE"/>
        </w:rPr>
        <w:t>F</w:t>
      </w:r>
      <w:r w:rsidR="009A0954" w:rsidRPr="007F78CE">
        <w:rPr>
          <w:rFonts w:cs="Calibri"/>
          <w:color w:val="000000"/>
          <w:lang w:val="fr-ML" w:eastAsia="sw-KE"/>
        </w:rPr>
        <w:t>avoriser le rapprochement entre les employés et leurs familles ; au mieux, embaucher des personnels originaires des villes et villages traversés ;</w:t>
      </w:r>
    </w:p>
    <w:p w14:paraId="12B6D22A" w14:textId="77777777" w:rsidR="009A0954" w:rsidRPr="007F78CE" w:rsidRDefault="00F63AF5"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Pr>
          <w:rFonts w:cs="Calibri"/>
          <w:color w:val="000000"/>
          <w:lang w:val="fr-ML" w:eastAsia="sw-KE"/>
        </w:rPr>
        <w:t>F</w:t>
      </w:r>
      <w:r w:rsidR="009A0954" w:rsidRPr="007F78CE">
        <w:rPr>
          <w:rFonts w:cs="Calibri"/>
          <w:color w:val="000000"/>
          <w:lang w:val="fr-ML" w:eastAsia="sw-KE"/>
        </w:rPr>
        <w:t>aciliter la mise en œuvre des actions de sensibilisation prévues au projet,</w:t>
      </w:r>
    </w:p>
    <w:p w14:paraId="0AA95E17" w14:textId="77777777" w:rsidR="009A0954" w:rsidRPr="007F78CE" w:rsidRDefault="00F63AF5" w:rsidP="0044500E">
      <w:pPr>
        <w:numPr>
          <w:ilvl w:val="1"/>
          <w:numId w:val="109"/>
        </w:numPr>
        <w:tabs>
          <w:tab w:val="left" w:pos="851"/>
        </w:tabs>
        <w:spacing w:after="0" w:line="240" w:lineRule="auto"/>
        <w:ind w:left="851" w:hanging="284"/>
        <w:contextualSpacing/>
        <w:jc w:val="both"/>
        <w:rPr>
          <w:rFonts w:cs="Calibri"/>
          <w:lang w:val="fr-ML" w:eastAsia="sw-KE"/>
        </w:rPr>
      </w:pPr>
      <w:r>
        <w:rPr>
          <w:rFonts w:cs="Calibri"/>
          <w:lang w:val="fr-ML" w:eastAsia="sw-KE"/>
        </w:rPr>
        <w:t>F</w:t>
      </w:r>
      <w:r w:rsidR="009A0954" w:rsidRPr="007F78CE">
        <w:rPr>
          <w:rFonts w:cs="Calibri"/>
          <w:lang w:val="fr-ML" w:eastAsia="sw-KE"/>
        </w:rPr>
        <w:t>ournir les informations spécifiques à la lutte contre les IST et VIH/SlDA et au VBG (mise en œuvre des dispositions prises, des résultats, des difficultés et le bilan, des non-conformités traitées) à l’autorité chargée de contrôle pour que ce dernier formulera un chapitre dans ses rapports périodiques,</w:t>
      </w:r>
    </w:p>
    <w:p w14:paraId="1E8B611D" w14:textId="77777777" w:rsidR="009A0954" w:rsidRPr="007F78CE" w:rsidRDefault="00F63AF5" w:rsidP="0044500E">
      <w:pPr>
        <w:numPr>
          <w:ilvl w:val="1"/>
          <w:numId w:val="109"/>
        </w:numPr>
        <w:tabs>
          <w:tab w:val="left" w:pos="851"/>
        </w:tabs>
        <w:spacing w:after="0" w:line="240" w:lineRule="auto"/>
        <w:ind w:left="851" w:hanging="284"/>
        <w:contextualSpacing/>
        <w:jc w:val="both"/>
        <w:rPr>
          <w:rFonts w:cs="Calibri"/>
          <w:lang w:val="fr-ML" w:eastAsia="sw-KE"/>
        </w:rPr>
      </w:pPr>
      <w:r>
        <w:rPr>
          <w:rFonts w:cs="Calibri"/>
          <w:lang w:val="fr-ML" w:eastAsia="sw-KE"/>
        </w:rPr>
        <w:t>I</w:t>
      </w:r>
      <w:r w:rsidR="009A0954" w:rsidRPr="007F78CE">
        <w:rPr>
          <w:rFonts w:cs="Calibri"/>
          <w:lang w:val="fr-ML" w:eastAsia="sw-KE"/>
        </w:rPr>
        <w:t>nformer et former les travailleurs sur les différents cas de VBG, les sanctions encourues et les différents recours possibles en cas de EAS/HS</w:t>
      </w:r>
    </w:p>
    <w:p w14:paraId="64195752" w14:textId="77777777" w:rsidR="009A0954" w:rsidRPr="007F78CE" w:rsidRDefault="00F63AF5" w:rsidP="0044500E">
      <w:pPr>
        <w:numPr>
          <w:ilvl w:val="1"/>
          <w:numId w:val="109"/>
        </w:numPr>
        <w:tabs>
          <w:tab w:val="left" w:pos="851"/>
        </w:tabs>
        <w:spacing w:after="0" w:line="240" w:lineRule="auto"/>
        <w:ind w:left="851" w:hanging="284"/>
        <w:contextualSpacing/>
        <w:jc w:val="both"/>
        <w:rPr>
          <w:rFonts w:cs="Calibri"/>
          <w:lang w:val="fr-ML" w:eastAsia="sw-KE"/>
        </w:rPr>
      </w:pPr>
      <w:r>
        <w:rPr>
          <w:rFonts w:cs="Calibri"/>
          <w:lang w:val="fr-ML" w:eastAsia="sw-KE"/>
        </w:rPr>
        <w:t>F</w:t>
      </w:r>
      <w:r w:rsidR="009A0954" w:rsidRPr="007F78CE">
        <w:rPr>
          <w:rFonts w:cs="Calibri"/>
          <w:lang w:val="fr-ML" w:eastAsia="sw-KE"/>
        </w:rPr>
        <w:t>aire des consultations périodiques avec les employés féminins et les femmes avoisinantes</w:t>
      </w:r>
    </w:p>
    <w:p w14:paraId="3B37D110" w14:textId="77777777" w:rsidR="009A0954" w:rsidRPr="007F78CE" w:rsidRDefault="009A0954" w:rsidP="0044500E">
      <w:pPr>
        <w:numPr>
          <w:ilvl w:val="1"/>
          <w:numId w:val="109"/>
        </w:numPr>
        <w:tabs>
          <w:tab w:val="left" w:pos="851"/>
        </w:tabs>
        <w:spacing w:after="0" w:line="240" w:lineRule="auto"/>
        <w:ind w:left="851" w:hanging="284"/>
        <w:contextualSpacing/>
        <w:jc w:val="both"/>
        <w:rPr>
          <w:rFonts w:cs="Calibri"/>
          <w:lang w:val="fr-ML" w:eastAsia="sw-KE"/>
        </w:rPr>
      </w:pPr>
      <w:r w:rsidRPr="007F78CE">
        <w:rPr>
          <w:rFonts w:cs="Calibri"/>
          <w:lang w:val="fr-ML" w:eastAsia="sw-KE"/>
        </w:rPr>
        <w:t xml:space="preserve">Séparer les </w:t>
      </w:r>
      <w:r w:rsidR="006B2C01" w:rsidRPr="007F78CE">
        <w:rPr>
          <w:rFonts w:cs="Calibri"/>
          <w:lang w:val="fr-ML" w:eastAsia="sw-KE"/>
        </w:rPr>
        <w:t>toilettes</w:t>
      </w:r>
      <w:r w:rsidRPr="007F78CE">
        <w:rPr>
          <w:rFonts w:cs="Calibri"/>
          <w:lang w:val="fr-ML" w:eastAsia="sw-KE"/>
        </w:rPr>
        <w:t xml:space="preserve"> et latrines des femmes et des hommes </w:t>
      </w:r>
    </w:p>
    <w:p w14:paraId="675C1858" w14:textId="77777777" w:rsidR="009A0954" w:rsidRDefault="009A0954" w:rsidP="00F91FA3">
      <w:pPr>
        <w:tabs>
          <w:tab w:val="left" w:pos="851"/>
        </w:tabs>
        <w:ind w:left="851"/>
        <w:contextualSpacing/>
        <w:jc w:val="both"/>
        <w:rPr>
          <w:rFonts w:ascii="Arial" w:hAnsi="Arial" w:cs="Arial"/>
          <w:lang w:val="fr-ML" w:eastAsia="sw-KE"/>
        </w:rPr>
      </w:pPr>
    </w:p>
    <w:p w14:paraId="531ED763" w14:textId="77777777" w:rsidR="009A0954" w:rsidRDefault="009A0954" w:rsidP="00F91FA3">
      <w:pPr>
        <w:ind w:right="-1100"/>
        <w:jc w:val="both"/>
        <w:rPr>
          <w:rFonts w:ascii="Arial" w:hAnsi="Arial" w:cs="Arial"/>
          <w:b/>
          <w:bCs/>
          <w:color w:val="000000"/>
          <w:lang w:val="fr-ML" w:eastAsia="sw-KE"/>
        </w:rPr>
      </w:pPr>
      <w:r>
        <w:rPr>
          <w:rFonts w:ascii="Arial" w:hAnsi="Arial" w:cs="Arial"/>
          <w:b/>
          <w:bCs/>
          <w:color w:val="000000"/>
          <w:lang w:val="fr-ML" w:eastAsia="sw-KE"/>
        </w:rPr>
        <w:t xml:space="preserve">Clause 4 : Règlement et procédures internes </w:t>
      </w:r>
    </w:p>
    <w:p w14:paraId="6139CEA0" w14:textId="77777777" w:rsidR="009A0954" w:rsidRPr="007F78CE" w:rsidRDefault="009A0954" w:rsidP="00F91FA3">
      <w:pPr>
        <w:ind w:right="-1098"/>
        <w:jc w:val="both"/>
        <w:rPr>
          <w:rFonts w:cs="Calibri"/>
          <w:b/>
          <w:bCs/>
          <w:i/>
          <w:color w:val="000000"/>
          <w:lang w:val="fr-ML" w:eastAsia="sw-KE"/>
        </w:rPr>
      </w:pPr>
      <w:r w:rsidRPr="007F78CE">
        <w:rPr>
          <w:rFonts w:cs="Calibri"/>
          <w:b/>
          <w:bCs/>
          <w:i/>
          <w:color w:val="000000"/>
          <w:lang w:val="fr-ML" w:eastAsia="sw-KE"/>
        </w:rPr>
        <w:t>Règlement interne</w:t>
      </w:r>
    </w:p>
    <w:p w14:paraId="01B8ABEB"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Un règlement interne de l'Entreprise, portant dispositions spécifiques à son ou ses installations de chantier, doit mentionner de manière non ambiguë pour l'ensemble du personnel :</w:t>
      </w:r>
    </w:p>
    <w:p w14:paraId="24A7F70B" w14:textId="77777777" w:rsidR="009A0954" w:rsidRPr="007F78CE" w:rsidRDefault="009A0954"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sidRPr="007F78CE">
        <w:rPr>
          <w:rFonts w:cs="Calibri"/>
          <w:color w:val="000000"/>
          <w:lang w:val="fr-ML" w:eastAsia="sw-KE"/>
        </w:rPr>
        <w:t>Les règles de sécurité ;</w:t>
      </w:r>
    </w:p>
    <w:p w14:paraId="5ABD1BF7" w14:textId="77777777" w:rsidR="009A0954" w:rsidRPr="007F78CE" w:rsidRDefault="009A0954"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sidRPr="007F78CE">
        <w:rPr>
          <w:rFonts w:cs="Calibri"/>
          <w:color w:val="000000"/>
          <w:lang w:val="fr-ML" w:eastAsia="sw-KE"/>
        </w:rPr>
        <w:t>L'interdiction de la consommation d'alcool pendant les heures de travail ;</w:t>
      </w:r>
    </w:p>
    <w:p w14:paraId="23E6C1B4" w14:textId="77777777" w:rsidR="009A0954" w:rsidRPr="007F78CE" w:rsidRDefault="009A0954"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sidRPr="007F78CE">
        <w:rPr>
          <w:rFonts w:cs="Calibri"/>
          <w:color w:val="000000"/>
          <w:lang w:val="fr-ML" w:eastAsia="sw-KE"/>
        </w:rPr>
        <w:t>La sensibilisation et la formation obligatoire du personnel sur les mesures de protection de l’environnement notamment celles prévues au marché ;</w:t>
      </w:r>
    </w:p>
    <w:p w14:paraId="66A1CA3D" w14:textId="77777777" w:rsidR="009A0954" w:rsidRPr="007F78CE" w:rsidRDefault="009A0954"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sidRPr="007F78CE">
        <w:rPr>
          <w:rFonts w:cs="Calibri"/>
          <w:color w:val="000000"/>
          <w:lang w:val="fr-ML" w:eastAsia="sw-KE"/>
        </w:rPr>
        <w:t>Et le respect des us et coutumes des populations et des relations humaines d'une manière générale.</w:t>
      </w:r>
    </w:p>
    <w:p w14:paraId="67D87AAC"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Le règlement formulé en langue locale sera affiché aux endroits stratégiques du chantier et citera une liste de fautes graves donnant lieu, après récidive de la part du fautif et malgré la connaissance du règlement interne, au licenciement immédiat de la part de son employeur, et ce, sans préjudice des éventuelles poursuites judiciaires par l'autorité publique pour non-respect de la réglementation en vigueur.</w:t>
      </w:r>
    </w:p>
    <w:p w14:paraId="76E703A1"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Ex : L'employeur établira une fiche de non-conformité pour chaque faute grave, dont copie sera remise à l'intéressé, portant mention des dispositions prises pour mettre fin aux actes fautifs de sa part. Il attirera l'attention des autres membres du personnel sur le type de dérive constaté. Cette fiche sera transmise au maître d'œuvre en pièce jointe des rapports mensuels.</w:t>
      </w:r>
    </w:p>
    <w:p w14:paraId="17832DF4" w14:textId="77777777" w:rsidR="009A0954" w:rsidRPr="007F78CE" w:rsidRDefault="009A0954" w:rsidP="00F91FA3">
      <w:pPr>
        <w:jc w:val="both"/>
        <w:rPr>
          <w:rFonts w:cs="Calibri"/>
          <w:b/>
          <w:bCs/>
          <w:i/>
          <w:color w:val="000000"/>
          <w:lang w:val="fr-ML" w:eastAsia="sw-KE"/>
        </w:rPr>
      </w:pPr>
      <w:r w:rsidRPr="007F78CE">
        <w:rPr>
          <w:rFonts w:cs="Calibri"/>
          <w:b/>
          <w:bCs/>
          <w:i/>
          <w:color w:val="000000"/>
          <w:lang w:val="fr-ML" w:eastAsia="sw-KE"/>
        </w:rPr>
        <w:t xml:space="preserve">Procédures internes : </w:t>
      </w:r>
    </w:p>
    <w:p w14:paraId="1E86A3DD"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Selon le type d’infrastructures à réaliser ou le type de matériel et équipement affectés sur site, l’Entreprise est tenue de présenter et d'appliquer les procédures internes suivantes :</w:t>
      </w:r>
    </w:p>
    <w:p w14:paraId="2E490DEF" w14:textId="77777777" w:rsidR="009A0954" w:rsidRPr="007F78CE" w:rsidRDefault="009A0954"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sidRPr="007F78CE">
        <w:rPr>
          <w:rFonts w:cs="Calibri"/>
          <w:color w:val="000000"/>
          <w:lang w:val="fr-ML" w:eastAsia="sw-KE"/>
        </w:rPr>
        <w:t>Gestion des déchets,</w:t>
      </w:r>
    </w:p>
    <w:p w14:paraId="43A84997" w14:textId="77777777" w:rsidR="009A0954" w:rsidRPr="007F78CE" w:rsidRDefault="009A0954"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sidRPr="007F78CE">
        <w:rPr>
          <w:rFonts w:cs="Calibri"/>
          <w:color w:val="000000"/>
          <w:lang w:val="fr-ML" w:eastAsia="sw-KE"/>
        </w:rPr>
        <w:t>Gestion des produits dangereux,</w:t>
      </w:r>
    </w:p>
    <w:p w14:paraId="2A1BEF70" w14:textId="77777777" w:rsidR="009A0954" w:rsidRPr="007F78CE" w:rsidRDefault="009A0954"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sidRPr="007F78CE">
        <w:rPr>
          <w:rFonts w:cs="Calibri"/>
          <w:color w:val="000000"/>
          <w:lang w:val="fr-ML" w:eastAsia="sw-KE"/>
        </w:rPr>
        <w:t>Stockage et approvisionnements en carburant,</w:t>
      </w:r>
    </w:p>
    <w:p w14:paraId="0CBD5D67" w14:textId="77777777" w:rsidR="009A0954" w:rsidRPr="007F78CE" w:rsidRDefault="009A0954"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sidRPr="007F78CE">
        <w:rPr>
          <w:rFonts w:cs="Calibri"/>
          <w:color w:val="000000"/>
          <w:lang w:val="fr-ML" w:eastAsia="sw-KE"/>
        </w:rPr>
        <w:t>Réduction des nuisances et des gênes aux riverains et aux activités économiques, incluant les traces de déviations provisoires de chantier,</w:t>
      </w:r>
    </w:p>
    <w:p w14:paraId="57B4F75B" w14:textId="77777777" w:rsidR="009A0954" w:rsidRPr="007F78CE" w:rsidRDefault="009A0954"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sidRPr="007F78CE">
        <w:rPr>
          <w:rFonts w:cs="Calibri"/>
          <w:color w:val="000000"/>
          <w:lang w:val="fr-ML" w:eastAsia="sw-KE"/>
        </w:rPr>
        <w:t>Comportement du personnel et des conducteurs,</w:t>
      </w:r>
    </w:p>
    <w:p w14:paraId="54824E13" w14:textId="77777777" w:rsidR="009A0954" w:rsidRPr="007F78CE" w:rsidRDefault="009A0954"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sidRPr="007F78CE">
        <w:rPr>
          <w:rFonts w:cs="Calibri"/>
          <w:color w:val="000000"/>
          <w:lang w:val="fr-ML" w:eastAsia="sw-KE"/>
        </w:rPr>
        <w:t>Conservation de la nature (faune, flore, sols, eaux, air),</w:t>
      </w:r>
    </w:p>
    <w:p w14:paraId="25FA1DF3" w14:textId="77777777" w:rsidR="009A0954" w:rsidRPr="007F78CE" w:rsidRDefault="009A0954"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sidRPr="007F78CE">
        <w:rPr>
          <w:rFonts w:cs="Calibri"/>
          <w:color w:val="000000"/>
          <w:lang w:val="fr-ML" w:eastAsia="sw-KE"/>
        </w:rPr>
        <w:t>Conservation des patrimoines (archéologie et paysages),</w:t>
      </w:r>
    </w:p>
    <w:p w14:paraId="075BAE1A" w14:textId="77777777" w:rsidR="009A0954" w:rsidRPr="007F78CE" w:rsidRDefault="009A0954"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sidRPr="007F78CE">
        <w:rPr>
          <w:rFonts w:cs="Calibri"/>
          <w:color w:val="000000"/>
          <w:lang w:val="fr-ML" w:eastAsia="sw-KE"/>
        </w:rPr>
        <w:t xml:space="preserve">Etat </w:t>
      </w:r>
      <w:r w:rsidR="006B2C01" w:rsidRPr="007F78CE">
        <w:rPr>
          <w:rFonts w:cs="Calibri"/>
          <w:color w:val="000000"/>
          <w:lang w:val="fr-ML" w:eastAsia="sw-KE"/>
        </w:rPr>
        <w:t>des lieux initiaux</w:t>
      </w:r>
      <w:r w:rsidRPr="007F78CE">
        <w:rPr>
          <w:rFonts w:cs="Calibri"/>
          <w:color w:val="000000"/>
          <w:lang w:val="fr-ML" w:eastAsia="sw-KE"/>
        </w:rPr>
        <w:t xml:space="preserve"> et de libération des sites (tous sites, emprunts, carrières et dépôts compris).</w:t>
      </w:r>
    </w:p>
    <w:p w14:paraId="6332BF1C" w14:textId="77777777" w:rsidR="009A0954" w:rsidRPr="007F78CE" w:rsidRDefault="009A0954" w:rsidP="00B434A6">
      <w:pPr>
        <w:spacing w:before="120" w:after="120"/>
        <w:jc w:val="both"/>
        <w:rPr>
          <w:rFonts w:cs="Calibri"/>
          <w:b/>
          <w:bCs/>
          <w:i/>
          <w:color w:val="000000"/>
          <w:lang w:val="fr-ML" w:eastAsia="sw-KE"/>
        </w:rPr>
      </w:pPr>
      <w:r w:rsidRPr="007F78CE">
        <w:rPr>
          <w:rFonts w:cs="Calibri"/>
          <w:b/>
          <w:bCs/>
          <w:i/>
          <w:color w:val="000000"/>
          <w:lang w:val="fr-ML" w:eastAsia="sw-KE"/>
        </w:rPr>
        <w:t>Identification et accès :</w:t>
      </w:r>
    </w:p>
    <w:p w14:paraId="2CDA80B2"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Chaque membre du personnel de l’Entreprise doit se voir attribuer un badge, qu’il porte visiblement sur lui en toutes circonstances durant les heures de travail. Ce badge porte la mention du nom et le logo de I ’Entreprise, les noms, prénoms et fonction de l'employé, sa photo, le nom officiel du projet et le lot de travaux, la durée de validité du badge à compter de la date d'établissement, également écrite.</w:t>
      </w:r>
    </w:p>
    <w:p w14:paraId="5587F93D"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Les personnels embauchés à titre intérimaire disposent du même badge, portant mention de leur date de fin de contrat.</w:t>
      </w:r>
    </w:p>
    <w:p w14:paraId="5C718B6D"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Le responsable qui assure le volet environnemental et social de l’Entreprise, ainsi que son homologue du maître d'œuvre, disposent d'un accès à toutes les installations et sites de l’Entreprise, à toute heure.</w:t>
      </w:r>
    </w:p>
    <w:p w14:paraId="0AFEAE84" w14:textId="77777777" w:rsidR="009A0954" w:rsidRDefault="009A0954" w:rsidP="00F91FA3">
      <w:pPr>
        <w:jc w:val="both"/>
        <w:rPr>
          <w:rFonts w:ascii="Arial" w:hAnsi="Arial" w:cs="Arial"/>
          <w:b/>
          <w:bCs/>
          <w:i/>
          <w:color w:val="000000"/>
          <w:lang w:val="fr-ML" w:eastAsia="sw-KE"/>
        </w:rPr>
      </w:pPr>
      <w:r>
        <w:rPr>
          <w:rFonts w:ascii="Arial" w:hAnsi="Arial" w:cs="Arial"/>
          <w:b/>
          <w:bCs/>
          <w:i/>
          <w:color w:val="000000"/>
          <w:lang w:val="fr-ML" w:eastAsia="sw-KE"/>
        </w:rPr>
        <w:t xml:space="preserve">Clause 5 : Installation de la base vie du chantier </w:t>
      </w:r>
    </w:p>
    <w:p w14:paraId="6779B03A"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L'Entreprise proposera au maître d'œuvre le lieu de ses installations de chantier (bases vie), lui présentera (i) un contrat dûment signé avec les propriétaires des sites et (ii) un plan d'installation de chantier et sollicitera l'autorisation d'installation de chantier auprès du maître d'œuvre.</w:t>
      </w:r>
    </w:p>
    <w:p w14:paraId="426A9CB4"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L'importance des installations est déterminée par le volume et la nature des travaux à réaliser, le nombre d'ouvriers, le nombre et le type d'engins. Le plan d'installation principale de chantier devra tenir compte des aménagements et mesures de protection suivantes :</w:t>
      </w:r>
    </w:p>
    <w:p w14:paraId="0F0A73FE" w14:textId="77777777" w:rsidR="009A0954" w:rsidRPr="007F78CE" w:rsidRDefault="009A0954"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sidRPr="007F78CE">
        <w:rPr>
          <w:rFonts w:cs="Calibri"/>
          <w:color w:val="000000"/>
          <w:lang w:val="fr-ML" w:eastAsia="sw-KE"/>
        </w:rPr>
        <w:t>Les limites des sites choisis doivent être à une distance d'au moins 300 m de tout cours d'eau de surface ; à 250 m d'équipements sensibles (infrastructures sanitaires, éducatives) et de quartiers d'habitations.</w:t>
      </w:r>
    </w:p>
    <w:p w14:paraId="1F109F82" w14:textId="77777777" w:rsidR="009A0954" w:rsidRPr="007F78CE" w:rsidRDefault="009A0954"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sidRPr="007F78CE">
        <w:rPr>
          <w:rFonts w:cs="Calibri"/>
          <w:color w:val="000000"/>
          <w:lang w:val="fr-ML" w:eastAsia="sw-KE"/>
        </w:rPr>
        <w:t>Le choix des sites d'implantation ne pourra être fait en zone paysagère sensible ni en Zone-tampon d'une aire protégée quel que soit son statut.</w:t>
      </w:r>
    </w:p>
    <w:p w14:paraId="5BC3F599" w14:textId="77777777" w:rsidR="009A0954" w:rsidRPr="007F78CE" w:rsidRDefault="009A0954"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sidRPr="007F78CE">
        <w:rPr>
          <w:rFonts w:cs="Calibri"/>
          <w:color w:val="000000"/>
          <w:lang w:val="fr-ML" w:eastAsia="sw-KE"/>
        </w:rPr>
        <w:t>Les sites devront être délimités par une clôture ou un mur d'enceinte infranchissable, l'accès devra en être rigoureusement contrôlé.</w:t>
      </w:r>
    </w:p>
    <w:p w14:paraId="07B1D157" w14:textId="77777777" w:rsidR="009A0954" w:rsidRPr="007F78CE" w:rsidRDefault="009A0954"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sidRPr="007F78CE">
        <w:rPr>
          <w:rFonts w:cs="Calibri"/>
          <w:color w:val="000000"/>
          <w:lang w:val="fr-ML" w:eastAsia="sw-KE"/>
        </w:rPr>
        <w:t>Les sorties de véhicules et d'engins devront être localisées et aménagées de manière à ne présenter aucun risque pour la sécurité des piétons et automobilistes, notamment du point de vue de la visibilité de la signalisation et du règlement de la circulation. Les entrées et sorties de véhicules devront être possibles sans perturbations des circulations locales.</w:t>
      </w:r>
    </w:p>
    <w:p w14:paraId="4BB8B984" w14:textId="77777777" w:rsidR="009A0954" w:rsidRPr="007F78CE" w:rsidRDefault="009A0954"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sidRPr="007F78CE">
        <w:rPr>
          <w:rFonts w:cs="Calibri"/>
          <w:color w:val="000000"/>
          <w:lang w:val="fr-ML" w:eastAsia="sw-KE"/>
        </w:rPr>
        <w:t>Les sites seront de préférence choisis sur des emplacements déjà dégradés par d'anciens travaux, par érosion, etc. Ils devront être choisis afin de limiter le débroussaillement, l'arrachage d'arbustes, l'abattage des arbres. Les arbres ut</w:t>
      </w:r>
      <w:r w:rsidR="00B81F63">
        <w:rPr>
          <w:rFonts w:cs="Calibri"/>
          <w:color w:val="000000"/>
          <w:lang w:val="fr-ML" w:eastAsia="sw-KE"/>
        </w:rPr>
        <w:t>i</w:t>
      </w:r>
      <w:r w:rsidRPr="007F78CE">
        <w:rPr>
          <w:rFonts w:cs="Calibri"/>
          <w:color w:val="000000"/>
          <w:lang w:val="fr-ML" w:eastAsia="sw-KE"/>
        </w:rPr>
        <w:t>les ou de grande taille (diamètre supérieure à 20 cm) seront à préserver sur les sites et à protéger.</w:t>
      </w:r>
    </w:p>
    <w:p w14:paraId="08B1DEAA" w14:textId="77777777" w:rsidR="009A0954" w:rsidRPr="007F78CE" w:rsidRDefault="009A0954"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sidRPr="007F78CE">
        <w:rPr>
          <w:rFonts w:cs="Calibri"/>
          <w:color w:val="000000"/>
          <w:lang w:val="fr-ML" w:eastAsia="sw-KE"/>
        </w:rPr>
        <w:t>Le drainage adéquat des eaux sur l'ensemble de la superficie doit éviter les points de stagnation.</w:t>
      </w:r>
    </w:p>
    <w:p w14:paraId="2AB7CDD7" w14:textId="77777777" w:rsidR="009A0954" w:rsidRPr="007F78CE" w:rsidRDefault="009A0954"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sidRPr="007F78CE">
        <w:rPr>
          <w:rFonts w:cs="Calibri"/>
          <w:color w:val="000000"/>
          <w:lang w:val="fr-ML" w:eastAsia="sw-KE"/>
        </w:rPr>
        <w:t>Les réseaux seront secs et matérialisés sur le Plan d'Installation du Chantier, avec alimentation en eau des sanitaires sur conduite existante ou citerne, et système de rejet d'eaux sanitaires dans un exutoire à définir après traitement. Aucun rejet d'effluent n'est autorisé dans le milieu naturel.</w:t>
      </w:r>
    </w:p>
    <w:p w14:paraId="68607FC7" w14:textId="77777777" w:rsidR="009A0954" w:rsidRPr="007F78CE" w:rsidRDefault="009A0954"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sidRPr="007F78CE">
        <w:rPr>
          <w:rFonts w:cs="Calibri"/>
          <w:color w:val="000000"/>
          <w:lang w:val="fr-ML" w:eastAsia="sw-KE"/>
        </w:rPr>
        <w:t>Tous les engins et machines à moteur à explosion seront stationnés en dehors des périodes de travail sur une aire spécialement aménagée. En cas de fuite de carburants ou d'hu</w:t>
      </w:r>
      <w:r w:rsidR="00B81F63">
        <w:rPr>
          <w:rFonts w:cs="Calibri"/>
          <w:color w:val="000000"/>
          <w:lang w:val="fr-ML" w:eastAsia="sw-KE"/>
        </w:rPr>
        <w:t>i</w:t>
      </w:r>
      <w:r w:rsidRPr="007F78CE">
        <w:rPr>
          <w:rFonts w:cs="Calibri"/>
          <w:color w:val="000000"/>
          <w:lang w:val="fr-ML" w:eastAsia="sw-KE"/>
        </w:rPr>
        <w:t>le, les terrains souillés seront récupérés et évacués en décharge agréée.</w:t>
      </w:r>
    </w:p>
    <w:p w14:paraId="5912EADB" w14:textId="77777777" w:rsidR="009A0954" w:rsidRPr="007F78CE" w:rsidRDefault="009A0954"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sidRPr="007F78CE">
        <w:rPr>
          <w:rFonts w:cs="Calibri"/>
          <w:color w:val="000000"/>
          <w:lang w:val="fr-ML" w:eastAsia="sw-KE"/>
        </w:rPr>
        <w:t>La zone réservée au stationnement de tous les véhicules et engins sera matérialisée et signalée.</w:t>
      </w:r>
    </w:p>
    <w:p w14:paraId="45C8AD2C" w14:textId="77777777" w:rsidR="009A0954" w:rsidRPr="007F78CE" w:rsidRDefault="009A0954" w:rsidP="00F91FA3">
      <w:pPr>
        <w:contextualSpacing/>
        <w:jc w:val="both"/>
        <w:rPr>
          <w:rFonts w:cs="Calibri"/>
          <w:color w:val="000000"/>
          <w:lang w:val="fr-ML" w:eastAsia="sw-KE"/>
        </w:rPr>
      </w:pPr>
      <w:r w:rsidRPr="007F78CE">
        <w:rPr>
          <w:rFonts w:cs="Calibri"/>
          <w:color w:val="000000"/>
          <w:lang w:val="fr-ML" w:eastAsia="sw-KE"/>
        </w:rPr>
        <w:t>L'Entreprise est tenue de présenter pour approbation au maître d'œuvre un dossier de demande d'occupation de sites - portant constat de l'existant - qu'elle compte utiliser durant la période des travaux, incluant les aspects environnementaux et sociaux suivants :</w:t>
      </w:r>
    </w:p>
    <w:p w14:paraId="3EA8541D" w14:textId="77777777" w:rsidR="009A0954" w:rsidRPr="007F78CE" w:rsidRDefault="009A0954"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sidRPr="007F78CE">
        <w:rPr>
          <w:rFonts w:cs="Calibri"/>
          <w:color w:val="000000"/>
          <w:lang w:val="fr-ML" w:eastAsia="sw-KE"/>
        </w:rPr>
        <w:t>Descriptif du site et de ses accès,</w:t>
      </w:r>
    </w:p>
    <w:p w14:paraId="5AAFC249" w14:textId="77777777" w:rsidR="009A0954" w:rsidRPr="007F78CE" w:rsidRDefault="009A0954"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sidRPr="007F78CE">
        <w:rPr>
          <w:rFonts w:cs="Calibri"/>
          <w:color w:val="000000"/>
          <w:lang w:val="fr-ML" w:eastAsia="sw-KE"/>
        </w:rPr>
        <w:t>Descriptif de l'environnement proche du site,</w:t>
      </w:r>
    </w:p>
    <w:p w14:paraId="23BD5DFC" w14:textId="77777777" w:rsidR="009A0954" w:rsidRPr="007F78CE" w:rsidRDefault="009A0954"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sidRPr="007F78CE">
        <w:rPr>
          <w:rFonts w:cs="Calibri"/>
          <w:color w:val="000000"/>
          <w:lang w:val="fr-ML" w:eastAsia="sw-KE"/>
        </w:rPr>
        <w:t>Contrat d'occupation provisoire avec le ou les propriétaires terriens,</w:t>
      </w:r>
    </w:p>
    <w:p w14:paraId="32CB62DE" w14:textId="77777777" w:rsidR="009A0954" w:rsidRPr="007F78CE" w:rsidRDefault="009A0954"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sidRPr="007F78CE">
        <w:rPr>
          <w:rFonts w:cs="Calibri"/>
          <w:color w:val="000000"/>
          <w:lang w:val="fr-ML" w:eastAsia="sw-KE"/>
        </w:rPr>
        <w:t>Descriptif des dispositions prises pour réduire les conséquences de la mise en exploitation des sites : sécurité des personnes et des usagers des voies d'accès sur les sites, préparation des sites en prévision des modalités de sa libération, nuisances et gênes éventuelles, etc.,</w:t>
      </w:r>
    </w:p>
    <w:p w14:paraId="3F9C9BB7" w14:textId="77777777" w:rsidR="009A0954" w:rsidRPr="007F78CE" w:rsidRDefault="009A0954"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sidRPr="007F78CE">
        <w:rPr>
          <w:rFonts w:cs="Calibri"/>
          <w:color w:val="000000"/>
          <w:lang w:val="fr-ML" w:eastAsia="sw-KE"/>
        </w:rPr>
        <w:t>Descriptif des dispositions de libération des sites telles que convenues avec les propriétaires et/ou utilisateurs, intégrant toutes les dispositions environnementales et sociales propres à réduire les conséquences secondaires de leur occupation, qu'il s'agisse de simple réhabilitation et/ou de réaménagement.</w:t>
      </w:r>
    </w:p>
    <w:p w14:paraId="760E96BD" w14:textId="77777777" w:rsidR="00F63AF5" w:rsidRDefault="00F63AF5" w:rsidP="00F91FA3">
      <w:pPr>
        <w:jc w:val="both"/>
        <w:rPr>
          <w:rFonts w:ascii="Arial" w:hAnsi="Arial" w:cs="Arial"/>
          <w:b/>
          <w:bCs/>
          <w:color w:val="000000"/>
          <w:lang w:val="fr-ML" w:eastAsia="sw-KE"/>
        </w:rPr>
      </w:pPr>
    </w:p>
    <w:p w14:paraId="28B9DA01" w14:textId="77777777" w:rsidR="009A0954" w:rsidRDefault="009A0954" w:rsidP="00F91FA3">
      <w:pPr>
        <w:jc w:val="both"/>
        <w:rPr>
          <w:rFonts w:ascii="Arial" w:hAnsi="Arial" w:cs="Arial"/>
          <w:b/>
          <w:bCs/>
          <w:color w:val="000000"/>
          <w:lang w:val="fr-ML" w:eastAsia="sw-KE"/>
        </w:rPr>
      </w:pPr>
      <w:r>
        <w:rPr>
          <w:rFonts w:ascii="Arial" w:hAnsi="Arial" w:cs="Arial"/>
          <w:b/>
          <w:bCs/>
          <w:color w:val="000000"/>
          <w:lang w:val="fr-ML" w:eastAsia="sw-KE"/>
        </w:rPr>
        <w:t>Clause 6 : Protection des sols</w:t>
      </w:r>
    </w:p>
    <w:p w14:paraId="7CED3040"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Afin de limiter au maximum, la perte de sols (végétaux), il est conseillé lors des travaux de terrassement de décaper séparément les matériaux superficiels ayant un intérêt au niveau de leur richesse pédologique, puis de procéder à une revégétalisation avec les graminées propices de la surface. Cette revégétalisation devra se faire le plus rapidement possible afin de réduire les effets de l’érosion sur les sols.</w:t>
      </w:r>
    </w:p>
    <w:p w14:paraId="326109ED"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Par ailleurs, au cours du chantier, en l'absence de précautions particulières, diverses substances liquides (</w:t>
      </w:r>
      <w:r w:rsidR="006B2C01" w:rsidRPr="007F78CE">
        <w:rPr>
          <w:rFonts w:cs="Calibri"/>
          <w:color w:val="000000"/>
          <w:lang w:val="fr-ML" w:eastAsia="sw-KE"/>
        </w:rPr>
        <w:t>huiles</w:t>
      </w:r>
      <w:r w:rsidRPr="007F78CE">
        <w:rPr>
          <w:rFonts w:cs="Calibri"/>
          <w:color w:val="000000"/>
          <w:lang w:val="fr-ML" w:eastAsia="sw-KE"/>
        </w:rPr>
        <w:t xml:space="preserve"> usagées, laitance de ciment, etc.) peuvent être déversées sur le sol et le polluer. Des systèmes de gestion de ces polluants doivent être définis clairement pour empêcher tout déversement sur les sols notamment lorsqu'il s'agit de terres agricoles.</w:t>
      </w:r>
    </w:p>
    <w:p w14:paraId="4FC69A8B" w14:textId="77777777" w:rsidR="009A0954" w:rsidRDefault="009A0954" w:rsidP="00F91FA3">
      <w:pPr>
        <w:jc w:val="both"/>
        <w:rPr>
          <w:rFonts w:ascii="Arial" w:hAnsi="Arial" w:cs="Arial"/>
          <w:b/>
          <w:bCs/>
          <w:color w:val="000000"/>
          <w:lang w:val="fr-ML" w:eastAsia="sw-KE"/>
        </w:rPr>
      </w:pPr>
      <w:r>
        <w:rPr>
          <w:rFonts w:ascii="Arial" w:hAnsi="Arial" w:cs="Arial"/>
          <w:b/>
          <w:bCs/>
          <w:color w:val="000000"/>
          <w:lang w:val="fr-ML" w:eastAsia="sw-KE"/>
        </w:rPr>
        <w:t xml:space="preserve">Clause 7: Gestion des zones de dépôt </w:t>
      </w:r>
    </w:p>
    <w:p w14:paraId="1123B159"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Pour chaque zone de dépôt, l'entreprise se proposera les méthodes pour la gérer et pour la remettre en état à la fin des travaux. Ces mesures tiendront compte d'une part du choix du site de dépôt et de son accès et d'autre part des travaux de terrassement. De façon générale, il convient de se conformer aux prescriptions suivantes :</w:t>
      </w:r>
    </w:p>
    <w:p w14:paraId="2157578F" w14:textId="77777777" w:rsidR="009A0954" w:rsidRPr="007F78CE" w:rsidRDefault="009A0954" w:rsidP="00F91FA3">
      <w:pPr>
        <w:jc w:val="both"/>
        <w:rPr>
          <w:rFonts w:cs="Calibri"/>
          <w:b/>
          <w:bCs/>
          <w:i/>
          <w:color w:val="000000"/>
          <w:lang w:val="fr-ML" w:eastAsia="sw-KE"/>
        </w:rPr>
      </w:pPr>
      <w:r w:rsidRPr="007F78CE">
        <w:rPr>
          <w:rFonts w:cs="Calibri"/>
          <w:b/>
          <w:bCs/>
          <w:i/>
          <w:color w:val="000000"/>
          <w:lang w:val="fr-ML" w:eastAsia="sw-KE"/>
        </w:rPr>
        <w:t>Travaux de terrassement</w:t>
      </w:r>
    </w:p>
    <w:p w14:paraId="2EC6D394"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Le décapage des sols et la remise en état se feront sur des sols ressuyés, afin d'éviter tout compactage, mais en aucun cas sur le sol mouillé ou en période pluvieuse ; avec un engin à chenilles ou ayant une pression minimale au sol et une capacité de transport élevée. L'entreprise est tenue de préciser les épaisseurs de décapage avant les travaux.</w:t>
      </w:r>
    </w:p>
    <w:p w14:paraId="1CAFAB4F" w14:textId="77777777" w:rsidR="009A0954" w:rsidRPr="007F78CE" w:rsidRDefault="009A0954" w:rsidP="00F91FA3">
      <w:pPr>
        <w:jc w:val="both"/>
        <w:rPr>
          <w:rFonts w:cs="Calibri"/>
          <w:b/>
          <w:bCs/>
          <w:i/>
          <w:color w:val="000000"/>
          <w:lang w:val="fr-ML" w:eastAsia="sw-KE"/>
        </w:rPr>
      </w:pPr>
      <w:r w:rsidRPr="007F78CE">
        <w:rPr>
          <w:rFonts w:cs="Calibri"/>
          <w:b/>
          <w:bCs/>
          <w:i/>
          <w:color w:val="000000"/>
          <w:lang w:val="fr-ML" w:eastAsia="sw-KE"/>
        </w:rPr>
        <w:t xml:space="preserve">Choix de la zone de dépôt </w:t>
      </w:r>
    </w:p>
    <w:p w14:paraId="1A4BC7AC"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Le choix du site de dépôt et son accès, doit se faire de manière à éviter les problèmes de stagnation. Le site sera déterminé conjointement par l’Entreprise, l’autorité chargé de contrôle et l’autorité compétente. Un procès-verbal sera formulé et signé par toutes les parties pour matérialiser le choix de l’endroit.</w:t>
      </w:r>
    </w:p>
    <w:p w14:paraId="6837E062"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Les terrains les plus favorables sont les terrains perméables et en pente légère.</w:t>
      </w:r>
    </w:p>
    <w:p w14:paraId="42A7F3B5" w14:textId="77777777" w:rsidR="009A0954" w:rsidRPr="007F78CE" w:rsidRDefault="00F63AF5" w:rsidP="00F91FA3">
      <w:pPr>
        <w:jc w:val="both"/>
        <w:rPr>
          <w:rFonts w:cs="Calibri"/>
          <w:b/>
          <w:bCs/>
          <w:i/>
          <w:color w:val="000000"/>
          <w:lang w:val="fr-ML" w:eastAsia="sw-KE"/>
        </w:rPr>
      </w:pPr>
      <w:r>
        <w:rPr>
          <w:rFonts w:cs="Calibri"/>
          <w:b/>
          <w:bCs/>
          <w:i/>
          <w:color w:val="000000"/>
          <w:lang w:val="fr-ML" w:eastAsia="sw-KE"/>
        </w:rPr>
        <w:br w:type="page"/>
      </w:r>
      <w:r w:rsidR="009A0954" w:rsidRPr="007F78CE">
        <w:rPr>
          <w:rFonts w:cs="Calibri"/>
          <w:b/>
          <w:bCs/>
          <w:i/>
          <w:color w:val="000000"/>
          <w:lang w:val="fr-ML" w:eastAsia="sw-KE"/>
        </w:rPr>
        <w:t>Travaux de remise en état des sites de dépôt :</w:t>
      </w:r>
    </w:p>
    <w:p w14:paraId="403D3401"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Les travaux de remise en état des sites de dépôt comprendront entre autres le remodelage du terrain, la mise en place d'ouvrages de drainage appropries, le remplacement de la terre végétale et la végétalisation des pentes. Dans tous les cas, la mise en place doit éviter les déplacements ultérieurs, le rajout de matériaux après le compactage, les passages répétés aux mêmes endroits.</w:t>
      </w:r>
    </w:p>
    <w:p w14:paraId="0700EE9F"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 xml:space="preserve">Le dépôt de sols ne doit pas servir comme zone de dépôt de matériaux, ou de passage de personnes ou de véhicules, ou zone </w:t>
      </w:r>
      <w:r w:rsidR="00C05C47" w:rsidRPr="007F78CE">
        <w:rPr>
          <w:rFonts w:cs="Calibri"/>
          <w:color w:val="000000"/>
          <w:lang w:val="fr-ML" w:eastAsia="sw-KE"/>
        </w:rPr>
        <w:t>utile</w:t>
      </w:r>
      <w:r w:rsidRPr="007F78CE">
        <w:rPr>
          <w:rFonts w:cs="Calibri"/>
          <w:color w:val="000000"/>
          <w:lang w:val="fr-ML" w:eastAsia="sw-KE"/>
        </w:rPr>
        <w:t xml:space="preserve"> pour d’autre activité.</w:t>
      </w:r>
    </w:p>
    <w:p w14:paraId="49CEFE96" w14:textId="77777777" w:rsidR="009A0954" w:rsidRDefault="009A0954" w:rsidP="00F91FA3">
      <w:pPr>
        <w:jc w:val="both"/>
        <w:rPr>
          <w:rFonts w:ascii="Arial" w:hAnsi="Arial" w:cs="Arial"/>
          <w:b/>
          <w:bCs/>
          <w:color w:val="000000"/>
          <w:lang w:val="fr-ML" w:eastAsia="sw-KE"/>
        </w:rPr>
      </w:pPr>
      <w:r>
        <w:rPr>
          <w:rFonts w:ascii="Arial" w:hAnsi="Arial" w:cs="Arial"/>
          <w:b/>
          <w:bCs/>
          <w:color w:val="000000"/>
          <w:lang w:val="fr-ML" w:eastAsia="sw-KE"/>
        </w:rPr>
        <w:t xml:space="preserve">Clause 8 : Gestion de la pollution de l’air </w:t>
      </w:r>
    </w:p>
    <w:p w14:paraId="25099C82"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Les nuisances atmosphériques concernent à la fois les riverains, les occupants et le personnel de chantier. Elles peuvent nuire au confort et à la santé ainsi que perturber les activités du voisinage et peuvent même faire l'objet de plaintes des populations auprès de l'administration.</w:t>
      </w:r>
    </w:p>
    <w:p w14:paraId="7CC5DCCC"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Sur un chantier, il y a deux types d'émissions à prendre en considération : les émissions gazeuses et les émissions de particules (poussière). Pour réduire les nuisances dues aux produits gazeux, il y a lieu de favoriser l’utilisation préférentielle de machines, d'engins et de véhicules peu polluants et répondant aux normes techniques exigées (ex. visites techniques à jour), d'éviter les feux de déchets de tout genre sur les chantiers. Pour la réduction des émissions de poussières, il convient de prendre les mesures suivantes :</w:t>
      </w:r>
    </w:p>
    <w:p w14:paraId="4DB47971" w14:textId="77777777" w:rsidR="009A0954" w:rsidRPr="007F78CE" w:rsidRDefault="009A0954"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sidRPr="007F78CE">
        <w:rPr>
          <w:rFonts w:cs="Calibri"/>
          <w:color w:val="000000"/>
          <w:lang w:val="fr-ML" w:eastAsia="sw-KE"/>
        </w:rPr>
        <w:t>pose de palissades aux abords des pistes et des installations de chantiers situés proches des habitations ;</w:t>
      </w:r>
    </w:p>
    <w:p w14:paraId="1FA3BD4B" w14:textId="77777777" w:rsidR="009A0954" w:rsidRPr="007F78CE" w:rsidRDefault="009A0954" w:rsidP="0044500E">
      <w:pPr>
        <w:numPr>
          <w:ilvl w:val="1"/>
          <w:numId w:val="109"/>
        </w:numPr>
        <w:tabs>
          <w:tab w:val="left" w:pos="851"/>
        </w:tabs>
        <w:spacing w:after="0" w:line="240" w:lineRule="auto"/>
        <w:ind w:left="851" w:hanging="284"/>
        <w:contextualSpacing/>
        <w:jc w:val="both"/>
        <w:rPr>
          <w:rFonts w:cs="Calibri"/>
          <w:color w:val="000000"/>
          <w:lang w:val="fr-ML" w:eastAsia="sw-KE"/>
        </w:rPr>
      </w:pPr>
      <w:r w:rsidRPr="007F78CE">
        <w:rPr>
          <w:rFonts w:cs="Calibri"/>
          <w:color w:val="000000"/>
          <w:lang w:val="fr-ML" w:eastAsia="sw-KE"/>
        </w:rPr>
        <w:t>humidification des matériaux pulvérulents pour les chemins d'accès afin d’éviter que les particules fines se retrouvent dans l'air et nuisent à la population et au milieu naturel environnant.</w:t>
      </w:r>
    </w:p>
    <w:p w14:paraId="67A1A688"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Pour le personnel travaillant sur le chantier, l'entreprise est tenue de mettre à sa disposition les équipements de sécurité contre la pollution atmosphérique.</w:t>
      </w:r>
    </w:p>
    <w:p w14:paraId="3F7EA9C4" w14:textId="77777777" w:rsidR="009A0954" w:rsidRDefault="009A0954" w:rsidP="00F91FA3">
      <w:pPr>
        <w:jc w:val="both"/>
        <w:rPr>
          <w:rFonts w:ascii="Arial" w:hAnsi="Arial" w:cs="Arial"/>
          <w:b/>
          <w:bCs/>
          <w:color w:val="000000"/>
          <w:lang w:val="fr-ML" w:eastAsia="sw-KE"/>
        </w:rPr>
      </w:pPr>
      <w:r>
        <w:rPr>
          <w:rFonts w:ascii="Arial" w:hAnsi="Arial" w:cs="Arial"/>
          <w:b/>
          <w:bCs/>
          <w:color w:val="000000"/>
          <w:lang w:val="fr-ML" w:eastAsia="sw-KE"/>
        </w:rPr>
        <w:t>Clause 9 : Protection des eaux :</w:t>
      </w:r>
    </w:p>
    <w:p w14:paraId="79438F6E"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L'Entreprise ne devra en aucun cas contraindre ou interdire la circulation des eaux de telle manière que cette opération nuise à la circulation, aux populations, aux biens et à l'environnement en général. La préservation de la qualité des eaux est essentielle pour les sites sensibles définis dans les Etudes d'Impact Environnemental et Social des sous-projets.</w:t>
      </w:r>
    </w:p>
    <w:p w14:paraId="2FE256E3"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Elle devra présenter à la mission de contrôle un plan de ses sites d'installation incluant les aménagements pour l'écoulement temporaire des eaux de chantier, le drainage et les mesures antiérosives le cas échéant.</w:t>
      </w:r>
    </w:p>
    <w:p w14:paraId="192C19E9"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 xml:space="preserve">Elle prendra toutes dispositions </w:t>
      </w:r>
      <w:r w:rsidR="00C05C47" w:rsidRPr="007F78CE">
        <w:rPr>
          <w:rFonts w:cs="Calibri"/>
          <w:color w:val="000000"/>
          <w:lang w:val="fr-ML" w:eastAsia="sw-KE"/>
        </w:rPr>
        <w:t>utiles</w:t>
      </w:r>
      <w:r w:rsidRPr="007F78CE">
        <w:rPr>
          <w:rFonts w:cs="Calibri"/>
          <w:color w:val="000000"/>
          <w:lang w:val="fr-ML" w:eastAsia="sw-KE"/>
        </w:rPr>
        <w:t xml:space="preserve"> pour assurer un écoulement satisfaisant des eaux sur les sites de travaux, ainsi que la rétention des particules terrigènes polluantes en amont des sites sensibles. Les fosses, mares, ruisseaux pérennes ou temporaires doivent être maintenus propres et dégagés, afin de respecter l'écoulement des eaux et la biodiversité.</w:t>
      </w:r>
    </w:p>
    <w:p w14:paraId="4BEAB225" w14:textId="77777777" w:rsidR="009A0954" w:rsidRDefault="00F63AF5" w:rsidP="00F91FA3">
      <w:pPr>
        <w:jc w:val="both"/>
        <w:rPr>
          <w:rFonts w:ascii="Arial" w:hAnsi="Arial" w:cs="Arial"/>
          <w:b/>
          <w:bCs/>
          <w:color w:val="000000"/>
          <w:lang w:val="fr-ML" w:eastAsia="sw-KE"/>
        </w:rPr>
      </w:pPr>
      <w:r>
        <w:rPr>
          <w:rFonts w:ascii="Arial" w:hAnsi="Arial" w:cs="Arial"/>
          <w:b/>
          <w:bCs/>
          <w:color w:val="000000"/>
          <w:lang w:val="fr-ML" w:eastAsia="sw-KE"/>
        </w:rPr>
        <w:br w:type="page"/>
      </w:r>
      <w:r w:rsidR="009A0954">
        <w:rPr>
          <w:rFonts w:ascii="Arial" w:hAnsi="Arial" w:cs="Arial"/>
          <w:b/>
          <w:bCs/>
          <w:color w:val="000000"/>
          <w:lang w:val="fr-ML" w:eastAsia="sw-KE"/>
        </w:rPr>
        <w:t xml:space="preserve">Clause 10 : Végétation </w:t>
      </w:r>
    </w:p>
    <w:p w14:paraId="05C11F9E"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II est fortement recommandé de limiter les zones de défrichement de la végétation au strict nécessaire.</w:t>
      </w:r>
    </w:p>
    <w:p w14:paraId="5CE6B2A2"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Lors des travaux d'élagage, d'abattage et de débroussaillement, les rémanents seront démantelés sommairement, rangés sur place et plaqués au sol pour permettre leur pourrissement rapide et l'émergence d'une nouvelle végétation. Pour permettre un bon contact avec le sol, il est souvent conseillé de rouler dessus avec les engins. Aucun rémanent n'est laissé sur place dans les tranchées forestières. Quand le broyage est impossible, il est détruit par brûlage en tenant compte des risques d'incendie.</w:t>
      </w:r>
    </w:p>
    <w:p w14:paraId="195FE093" w14:textId="77777777" w:rsidR="009A0954" w:rsidRDefault="009A0954" w:rsidP="00F91FA3">
      <w:pPr>
        <w:jc w:val="both"/>
        <w:rPr>
          <w:rFonts w:ascii="Arial" w:hAnsi="Arial" w:cs="Arial"/>
          <w:b/>
          <w:bCs/>
          <w:color w:val="000000"/>
          <w:lang w:val="fr-ML" w:eastAsia="sw-KE"/>
        </w:rPr>
      </w:pPr>
      <w:r>
        <w:rPr>
          <w:rFonts w:ascii="Arial" w:hAnsi="Arial" w:cs="Arial"/>
          <w:b/>
          <w:bCs/>
          <w:color w:val="000000"/>
          <w:lang w:val="fr-ML" w:eastAsia="sw-KE"/>
        </w:rPr>
        <w:t>Clause 11 : Protection contre les nuisances sonores</w:t>
      </w:r>
    </w:p>
    <w:p w14:paraId="0E371436"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Les nuisances sonores ou acoustiques concernent à la fois les riverains, les occupants et le personnel de chantier.</w:t>
      </w:r>
    </w:p>
    <w:p w14:paraId="720F26EB"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Elles peuvent nuire au confort et à la santé (altération irréversible des capacités auditives) ainsi que troubler les activités du voisinage et peuvent même faire l'objet de plaintes des populations auprès de l'administration.</w:t>
      </w:r>
    </w:p>
    <w:p w14:paraId="4A54F444"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Chaque chantier est spécifique en matière d'émissions acoustiques selon les techniques de construction choisies et l'environnement du chantier. Dans tous les cas, les nuisances sont générées par les engins, les matériels, les travaux bruyants, ou sont dues à un mauvais positionnement de la source (vibrations, absence d'écran protecteur, etc.).</w:t>
      </w:r>
    </w:p>
    <w:p w14:paraId="382BA7F3"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Aussi, il convient de limiter autant que possible et à titre préventif les émissions sonores dans la mesure où cela est réalisable sur le plan technique et qu'il est économiquement supportable (ex. Murs antibruit). Dans tous les cas, l'entreprise doit s'atteler à identifier les zones d'émergence des nuisances sonores et prendre toutes dispositions et mesures pour réduire lesdites nuisances aussi bien au niveau de l'organisation de son chantier qu'au niveau des équipements utilisés.</w:t>
      </w:r>
    </w:p>
    <w:p w14:paraId="7DD6E78C"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L'entreprise doit entretenir régulièrement tout matériel bruyant constituant des sources de nuisances importantes.</w:t>
      </w:r>
    </w:p>
    <w:p w14:paraId="387DD0A2"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 xml:space="preserve">Il doit également veiller à ce que les </w:t>
      </w:r>
      <w:r w:rsidR="00C05C47" w:rsidRPr="007F78CE">
        <w:rPr>
          <w:rFonts w:cs="Calibri"/>
          <w:color w:val="000000"/>
          <w:lang w:val="fr-ML" w:eastAsia="sw-KE"/>
        </w:rPr>
        <w:t>silencieux</w:t>
      </w:r>
      <w:r w:rsidRPr="007F78CE">
        <w:rPr>
          <w:rFonts w:cs="Calibri"/>
          <w:color w:val="000000"/>
          <w:lang w:val="fr-ML" w:eastAsia="sw-KE"/>
        </w:rPr>
        <w:t xml:space="preserve"> de sa machinerie soient toujours en bon état. Dans la mesure du possible, utiliser des équipements électriques moins bruyants plutôt que des équipements pneumatiques ou hydrauliques. Certains outils à percussion peuvent également être munis de dispositifs antibruit.</w:t>
      </w:r>
    </w:p>
    <w:p w14:paraId="4DB9AA8C"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 xml:space="preserve">Les moteurs à combustion de gros engins de terrassement (buteurs, niveleuses, excavatrices, générateurs, compresseurs à air, grues, etc.) doivent être munis de </w:t>
      </w:r>
      <w:r w:rsidR="00C05C47" w:rsidRPr="007F78CE">
        <w:rPr>
          <w:rFonts w:cs="Calibri"/>
          <w:color w:val="000000"/>
          <w:lang w:val="fr-ML" w:eastAsia="sw-KE"/>
        </w:rPr>
        <w:t>silencieux</w:t>
      </w:r>
      <w:r w:rsidRPr="007F78CE">
        <w:rPr>
          <w:rFonts w:cs="Calibri"/>
          <w:color w:val="000000"/>
          <w:lang w:val="fr-ML" w:eastAsia="sw-KE"/>
        </w:rPr>
        <w:t>. Dans le cas où ces mesures n'apportent pas la réduction sonore requise, utiliser des écrans et des enceintes acoustiques.</w:t>
      </w:r>
    </w:p>
    <w:p w14:paraId="66D09293" w14:textId="77777777" w:rsidR="009A0954" w:rsidRDefault="00F63AF5" w:rsidP="00F91FA3">
      <w:pPr>
        <w:jc w:val="both"/>
        <w:rPr>
          <w:rFonts w:ascii="Arial" w:hAnsi="Arial" w:cs="Arial"/>
          <w:b/>
          <w:bCs/>
          <w:color w:val="000000"/>
          <w:lang w:val="fr-ML" w:eastAsia="sw-KE"/>
        </w:rPr>
      </w:pPr>
      <w:r>
        <w:rPr>
          <w:rFonts w:ascii="Arial" w:hAnsi="Arial" w:cs="Arial"/>
          <w:b/>
          <w:bCs/>
          <w:color w:val="000000"/>
          <w:lang w:val="fr-ML" w:eastAsia="sw-KE"/>
        </w:rPr>
        <w:br w:type="page"/>
      </w:r>
      <w:r w:rsidR="009A0954">
        <w:rPr>
          <w:rFonts w:ascii="Arial" w:hAnsi="Arial" w:cs="Arial"/>
          <w:b/>
          <w:bCs/>
          <w:color w:val="000000"/>
          <w:lang w:val="fr-ML" w:eastAsia="sw-KE"/>
        </w:rPr>
        <w:t>Clause 12 : Gestion des matières dangereuses résiduelles (hydrocarbures, des hu</w:t>
      </w:r>
      <w:r w:rsidR="00B81F63">
        <w:rPr>
          <w:rFonts w:ascii="Arial" w:hAnsi="Arial" w:cs="Arial"/>
          <w:b/>
          <w:bCs/>
          <w:color w:val="000000"/>
          <w:lang w:val="fr-ML" w:eastAsia="sw-KE"/>
        </w:rPr>
        <w:t>i</w:t>
      </w:r>
      <w:r w:rsidR="009A0954">
        <w:rPr>
          <w:rFonts w:ascii="Arial" w:hAnsi="Arial" w:cs="Arial"/>
          <w:b/>
          <w:bCs/>
          <w:color w:val="000000"/>
          <w:lang w:val="fr-ML" w:eastAsia="sw-KE"/>
        </w:rPr>
        <w:t>les usées et autres produits dangereux)</w:t>
      </w:r>
    </w:p>
    <w:p w14:paraId="6A9409CF" w14:textId="77777777" w:rsidR="009A0954" w:rsidRPr="007F78CE" w:rsidRDefault="009A0954" w:rsidP="00F91FA3">
      <w:pPr>
        <w:jc w:val="both"/>
        <w:rPr>
          <w:rFonts w:cs="Calibri"/>
          <w:color w:val="000000"/>
          <w:lang w:val="fr-ML" w:eastAsia="sw-KE"/>
        </w:rPr>
      </w:pPr>
      <w:r w:rsidRPr="005D6D41">
        <w:rPr>
          <w:rFonts w:cs="Calibri"/>
          <w:color w:val="000000"/>
          <w:lang w:val="fr-ML" w:eastAsia="sw-KE"/>
        </w:rPr>
        <w:t xml:space="preserve">L'entreprise ne doit pas émettre, déposer, dégager ou rejeter une matière dangereuse dans l'environnement. Avant le début des travaux, l'entreprise doit présenter et faire approuver un Plan </w:t>
      </w:r>
      <w:r w:rsidR="6000E9F2" w:rsidRPr="005D6D41">
        <w:rPr>
          <w:rFonts w:cs="Calibri"/>
          <w:color w:val="000000"/>
          <w:lang w:val="fr-ML" w:eastAsia="sw-KE"/>
        </w:rPr>
        <w:t xml:space="preserve">de gestion des déchets et un </w:t>
      </w:r>
      <w:r w:rsidRPr="005D6D41">
        <w:rPr>
          <w:rFonts w:cs="Calibri"/>
          <w:color w:val="000000"/>
          <w:lang w:val="fr-ML" w:eastAsia="sw-KE"/>
        </w:rPr>
        <w:t>Plan d'urgence en cas de déversement accidentel de contaminants</w:t>
      </w:r>
      <w:r w:rsidR="018F36F5" w:rsidRPr="005D6D41">
        <w:rPr>
          <w:rFonts w:cs="Calibri"/>
          <w:color w:val="000000"/>
          <w:lang w:val="fr-ML" w:eastAsia="sw-KE"/>
        </w:rPr>
        <w:t>, comme partie intégrante de son PGES-E</w:t>
      </w:r>
      <w:r w:rsidRPr="005D6D41">
        <w:rPr>
          <w:rFonts w:cs="Calibri"/>
          <w:color w:val="000000"/>
          <w:lang w:val="fr-ML" w:eastAsia="sw-KE"/>
        </w:rPr>
        <w:t>.</w:t>
      </w:r>
    </w:p>
    <w:p w14:paraId="4C49466E"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Tout lieu d'entreposage de matières dangereuses doit être éloigné de la circulation des véhicules et situé à une distance raisonnable des cours d'eau ou des puits ainsi que de tout autre élément sensible.</w:t>
      </w:r>
    </w:p>
    <w:p w14:paraId="321FC9F2"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L'entreprise doit aussi avoir sur place du matériel d'intervention en cas de déversement de contaminants.</w:t>
      </w:r>
    </w:p>
    <w:p w14:paraId="0893168B"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La zone de récupération aménagée par l'Entreprise doit comprendre un abri. Les contenants vides contaminés peuvent être entreposés à l'extérieur. Le cas échéant, ils doivent être protégés contre les fuites, les déversements et les impacts ou collision avec des véhicules.</w:t>
      </w:r>
    </w:p>
    <w:p w14:paraId="0DD48CDE" w14:textId="77777777" w:rsidR="009A0954" w:rsidRDefault="009A0954" w:rsidP="00F91FA3">
      <w:pPr>
        <w:jc w:val="both"/>
        <w:rPr>
          <w:rFonts w:ascii="Arial" w:hAnsi="Arial" w:cs="Arial"/>
          <w:color w:val="000000"/>
          <w:lang w:val="fr-ML" w:eastAsia="sw-KE"/>
        </w:rPr>
      </w:pPr>
      <w:r w:rsidRPr="007F78CE">
        <w:rPr>
          <w:rFonts w:cs="Calibri"/>
          <w:color w:val="000000"/>
          <w:lang w:val="fr-ML" w:eastAsia="sw-KE"/>
        </w:rPr>
        <w:t>Les opérations de vidange de moteurs doivent être exclusivement réalisées au niveau d'installations fixes équipées pour ces besoins (étanchéité du revêtement au sol, collecte des hu</w:t>
      </w:r>
      <w:r w:rsidR="00B81F63">
        <w:rPr>
          <w:rFonts w:cs="Calibri"/>
          <w:color w:val="000000"/>
          <w:lang w:val="fr-ML" w:eastAsia="sw-KE"/>
        </w:rPr>
        <w:t>i</w:t>
      </w:r>
      <w:r w:rsidRPr="007F78CE">
        <w:rPr>
          <w:rFonts w:cs="Calibri"/>
          <w:color w:val="000000"/>
          <w:lang w:val="fr-ML" w:eastAsia="sw-KE"/>
        </w:rPr>
        <w:t>les)</w:t>
      </w:r>
      <w:r>
        <w:rPr>
          <w:rFonts w:ascii="Arial" w:hAnsi="Arial" w:cs="Arial"/>
          <w:color w:val="000000"/>
          <w:lang w:val="fr-ML" w:eastAsia="sw-KE"/>
        </w:rPr>
        <w:t>.</w:t>
      </w:r>
    </w:p>
    <w:p w14:paraId="2E2CE73B" w14:textId="77777777" w:rsidR="009A0954" w:rsidRDefault="009A0954" w:rsidP="00F91FA3">
      <w:pPr>
        <w:jc w:val="both"/>
        <w:rPr>
          <w:rFonts w:ascii="Arial" w:hAnsi="Arial" w:cs="Arial"/>
          <w:bCs/>
          <w:color w:val="000000"/>
          <w:lang w:val="fr-ML" w:eastAsia="sw-KE"/>
        </w:rPr>
      </w:pPr>
      <w:r>
        <w:rPr>
          <w:rFonts w:ascii="Arial" w:hAnsi="Arial" w:cs="Arial"/>
          <w:b/>
          <w:bCs/>
          <w:color w:val="000000"/>
          <w:lang w:val="fr-ML" w:eastAsia="sw-KE"/>
        </w:rPr>
        <w:t>Clause 13 : Protection des lieux habités, fréquentés ou protégés, à proximité des sites des Travaux</w:t>
      </w:r>
    </w:p>
    <w:p w14:paraId="0BAFA052" w14:textId="77777777" w:rsidR="009A0954" w:rsidRPr="007F78CE" w:rsidRDefault="009A0954" w:rsidP="00F91FA3">
      <w:pPr>
        <w:jc w:val="both"/>
        <w:rPr>
          <w:rFonts w:cs="Calibri"/>
          <w:color w:val="000000"/>
          <w:lang w:val="fr-ML" w:eastAsia="sw-KE"/>
        </w:rPr>
      </w:pPr>
      <w:r w:rsidRPr="007F78CE">
        <w:rPr>
          <w:rFonts w:cs="Calibri"/>
          <w:color w:val="000000"/>
          <w:lang w:val="fr-ML" w:eastAsia="sw-KE"/>
        </w:rPr>
        <w:t>Sans préjudice de l'application des dispositions législatives et réglementaires en vigueur, lorsque les travaux sont exécutés à proximité de lieux habités ou fréquentés, ou méritant une protection au titre de la sauvegarde de l'environnement, l'Entreprise doit prendre à ses frais et risques les dispositions nécessaires pour réduire, dans toute la mesure du possible, les gênes imposées aux usagers et aux voisins, notamment celles qui peuvent être causées par les difficultés d'accès, le bruit des engins, les vibrations, les fumées, les poussières.</w:t>
      </w:r>
    </w:p>
    <w:p w14:paraId="6BA6341E" w14:textId="77777777" w:rsidR="009A0954" w:rsidRDefault="009A0954" w:rsidP="00F91FA3">
      <w:pPr>
        <w:jc w:val="both"/>
        <w:rPr>
          <w:rFonts w:ascii="Arial" w:hAnsi="Arial" w:cs="Arial"/>
          <w:color w:val="000000"/>
          <w:lang w:val="fr-ML" w:eastAsia="sw-KE"/>
        </w:rPr>
      </w:pPr>
      <w:r w:rsidRPr="007F78CE">
        <w:rPr>
          <w:rFonts w:cs="Calibri"/>
          <w:color w:val="000000"/>
          <w:lang w:val="fr-ML" w:eastAsia="sw-KE"/>
        </w:rPr>
        <w:t>L'Entreprise ne peut en aucun cas démolir les constructions situées dans les emprises des chantiers qu'après avoir obtenu l’approbation du Maître d'ouvrage ou son représentant mandaté. En cas de démolition, l'Entreprise est tenue de prendre toutes dispositions particulières en ce qui concerne le dépôt ou le tri pour un éventuel réemploi des matériaux et les autres produits provenant de démolition ou de démontage. Le lieu de dépôt des produits de démolition doit avoir l’accord préalable du Maître d’ouvrage.</w:t>
      </w:r>
    </w:p>
    <w:p w14:paraId="622A43EE" w14:textId="77777777" w:rsidR="009A0954" w:rsidRDefault="009A0954" w:rsidP="00F91FA3">
      <w:pPr>
        <w:spacing w:before="240"/>
        <w:jc w:val="both"/>
        <w:rPr>
          <w:rFonts w:ascii="Arial" w:hAnsi="Arial" w:cs="Arial"/>
          <w:b/>
          <w:bCs/>
          <w:lang w:val="fr-ML" w:eastAsia="sw-KE"/>
        </w:rPr>
      </w:pPr>
      <w:r>
        <w:rPr>
          <w:rFonts w:ascii="Arial" w:hAnsi="Arial" w:cs="Arial"/>
          <w:b/>
          <w:bCs/>
          <w:lang w:val="fr-ML" w:eastAsia="sw-KE"/>
        </w:rPr>
        <w:t>Clause 14 : Dispositif de riposte contre la COVID - 19</w:t>
      </w:r>
    </w:p>
    <w:p w14:paraId="0A7CE3FF" w14:textId="77777777" w:rsidR="009A0954" w:rsidRPr="007F78CE" w:rsidRDefault="009A0954" w:rsidP="00F91FA3">
      <w:pPr>
        <w:spacing w:before="240"/>
        <w:jc w:val="both"/>
        <w:rPr>
          <w:rFonts w:cs="Calibri"/>
          <w:bCs/>
          <w:lang w:val="fr-ML" w:eastAsia="sw-KE"/>
        </w:rPr>
      </w:pPr>
      <w:r w:rsidRPr="007F78CE">
        <w:rPr>
          <w:rFonts w:cs="Calibri"/>
          <w:bCs/>
          <w:lang w:val="fr-ML" w:eastAsia="sw-KE"/>
        </w:rPr>
        <w:t>Face à l’état d’urgence de santé publique de portée internationale décrétée par l’Organisation Mondiale de la Santé (OMS) à cause de la pandémie de COVID19, l’</w:t>
      </w:r>
      <w:r w:rsidRPr="007F78CE">
        <w:rPr>
          <w:rFonts w:cs="Calibri"/>
          <w:lang w:val="fr-ML" w:eastAsia="sw-KE"/>
        </w:rPr>
        <w:t>Entreprise</w:t>
      </w:r>
      <w:r w:rsidRPr="007F78CE">
        <w:rPr>
          <w:rFonts w:cs="Calibri"/>
          <w:bCs/>
          <w:lang w:val="fr-ML" w:eastAsia="sw-KE"/>
        </w:rPr>
        <w:t xml:space="preserve"> doit mettre en place un dispositif de riposte organisé et fonctionnel. </w:t>
      </w:r>
    </w:p>
    <w:p w14:paraId="74435BA4" w14:textId="77777777" w:rsidR="009A0954" w:rsidRPr="007F78CE" w:rsidRDefault="009A0954" w:rsidP="00F91FA3">
      <w:pPr>
        <w:spacing w:before="240"/>
        <w:jc w:val="both"/>
        <w:rPr>
          <w:rFonts w:cs="Calibri"/>
          <w:bCs/>
          <w:lang w:val="fr-ML" w:eastAsia="sw-KE"/>
        </w:rPr>
      </w:pPr>
      <w:r w:rsidRPr="007F78CE">
        <w:rPr>
          <w:rFonts w:cs="Calibri"/>
          <w:bCs/>
          <w:lang w:val="fr-ML" w:eastAsia="sw-KE"/>
        </w:rPr>
        <w:t>Ce dispositif à établir par l’</w:t>
      </w:r>
      <w:r w:rsidRPr="007F78CE">
        <w:rPr>
          <w:rFonts w:cs="Calibri"/>
          <w:lang w:val="fr-ML" w:eastAsia="sw-KE"/>
        </w:rPr>
        <w:t>Entreprise</w:t>
      </w:r>
      <w:r w:rsidRPr="007F78CE">
        <w:rPr>
          <w:rFonts w:cs="Calibri"/>
          <w:bCs/>
          <w:lang w:val="fr-ML" w:eastAsia="sw-KE"/>
        </w:rPr>
        <w:t xml:space="preserve"> montra les procédures en considérant les rôles et les responsabilités des acteurs intervenants dans la lutte contre le COVID19 en cas d’identification, l’organisation de la prise en charge des cas suspects, et investigation de cas confirmé. Pour tout contact avec des cas suspects ou cas confirmés COVID19, il est indispensable de considérer l’habillage et déshabillage </w:t>
      </w:r>
      <w:r w:rsidRPr="639F2DD4">
        <w:rPr>
          <w:rFonts w:cs="Calibri"/>
          <w:lang w:val="fr-ML" w:eastAsia="sw-KE"/>
        </w:rPr>
        <w:t>de</w:t>
      </w:r>
      <w:r w:rsidR="54F53C60" w:rsidRPr="639F2DD4">
        <w:rPr>
          <w:rFonts w:cs="Calibri"/>
          <w:lang w:val="fr-ML" w:eastAsia="sw-KE"/>
        </w:rPr>
        <w:t>s</w:t>
      </w:r>
      <w:r w:rsidRPr="007F78CE">
        <w:rPr>
          <w:rFonts w:cs="Calibri"/>
          <w:bCs/>
          <w:lang w:val="fr-ML" w:eastAsia="sw-KE"/>
        </w:rPr>
        <w:t xml:space="preserve"> EPI. </w:t>
      </w:r>
    </w:p>
    <w:p w14:paraId="571F90A6" w14:textId="77777777" w:rsidR="009A0954" w:rsidRPr="007F78CE" w:rsidRDefault="009A0954" w:rsidP="00F91FA3">
      <w:pPr>
        <w:spacing w:before="240"/>
        <w:jc w:val="both"/>
        <w:rPr>
          <w:rFonts w:cs="Calibri"/>
          <w:bCs/>
          <w:lang w:val="fr-ML" w:eastAsia="sw-KE"/>
        </w:rPr>
      </w:pPr>
      <w:r w:rsidRPr="007F78CE">
        <w:rPr>
          <w:rFonts w:cs="Calibri"/>
          <w:bCs/>
          <w:lang w:val="fr-ML" w:eastAsia="sw-KE"/>
        </w:rPr>
        <w:t>L’</w:t>
      </w:r>
      <w:r w:rsidRPr="007F78CE">
        <w:rPr>
          <w:rFonts w:cs="Calibri"/>
          <w:lang w:val="fr-ML" w:eastAsia="sw-KE"/>
        </w:rPr>
        <w:t>Entreprise</w:t>
      </w:r>
      <w:r w:rsidRPr="007F78CE">
        <w:rPr>
          <w:rFonts w:cs="Calibri"/>
          <w:bCs/>
          <w:lang w:val="fr-ML" w:eastAsia="sw-KE"/>
        </w:rPr>
        <w:t xml:space="preserve"> doit inclure dans ce dispositif les procédures pour la prévention de la transmission par la considération de cabinet dentaire, la décontamination des structures de santé, des domic</w:t>
      </w:r>
      <w:r w:rsidR="00B81F63">
        <w:rPr>
          <w:rFonts w:cs="Calibri"/>
          <w:bCs/>
          <w:lang w:val="fr-ML" w:eastAsia="sw-KE"/>
        </w:rPr>
        <w:t>i</w:t>
      </w:r>
      <w:r w:rsidRPr="007F78CE">
        <w:rPr>
          <w:rFonts w:cs="Calibri"/>
          <w:bCs/>
          <w:lang w:val="fr-ML" w:eastAsia="sw-KE"/>
        </w:rPr>
        <w:t xml:space="preserve">les, des véhicules, ayant de cas suspect ou décès probablement lié au COVID19. </w:t>
      </w:r>
    </w:p>
    <w:p w14:paraId="70FD03B2" w14:textId="77777777" w:rsidR="009A0954" w:rsidRPr="007F78CE" w:rsidRDefault="009A0954" w:rsidP="00F91FA3">
      <w:pPr>
        <w:spacing w:before="240"/>
        <w:jc w:val="both"/>
        <w:rPr>
          <w:rFonts w:cs="Calibri"/>
          <w:bCs/>
          <w:lang w:val="fr-ML" w:eastAsia="sw-KE"/>
        </w:rPr>
      </w:pPr>
      <w:r w:rsidRPr="007F78CE">
        <w:rPr>
          <w:rFonts w:cs="Calibri"/>
          <w:bCs/>
          <w:lang w:val="fr-ML" w:eastAsia="sw-KE"/>
        </w:rPr>
        <w:t xml:space="preserve">Les contacts de COVID19 doivent être mis en </w:t>
      </w:r>
      <w:r w:rsidRPr="2B7143F0">
        <w:rPr>
          <w:rFonts w:cs="Calibri"/>
          <w:lang w:val="fr-ML" w:eastAsia="sw-KE"/>
        </w:rPr>
        <w:t>qua</w:t>
      </w:r>
      <w:r w:rsidR="71425A58" w:rsidRPr="2B7143F0">
        <w:rPr>
          <w:rFonts w:cs="Calibri"/>
          <w:lang w:val="fr-ML" w:eastAsia="sw-KE"/>
        </w:rPr>
        <w:t>rant</w:t>
      </w:r>
      <w:r w:rsidRPr="2B7143F0">
        <w:rPr>
          <w:rFonts w:cs="Calibri"/>
          <w:lang w:val="fr-ML" w:eastAsia="sw-KE"/>
        </w:rPr>
        <w:t>aine</w:t>
      </w:r>
      <w:r w:rsidRPr="007F78CE">
        <w:rPr>
          <w:rFonts w:cs="Calibri"/>
          <w:bCs/>
          <w:lang w:val="fr-ML" w:eastAsia="sw-KE"/>
        </w:rPr>
        <w:t xml:space="preserve"> et suivi par les visites à domic</w:t>
      </w:r>
      <w:r w:rsidR="00B81F63">
        <w:rPr>
          <w:rFonts w:cs="Calibri"/>
          <w:bCs/>
          <w:lang w:val="fr-ML" w:eastAsia="sw-KE"/>
        </w:rPr>
        <w:t>i</w:t>
      </w:r>
      <w:r w:rsidRPr="007F78CE">
        <w:rPr>
          <w:rFonts w:cs="Calibri"/>
          <w:bCs/>
          <w:lang w:val="fr-ML" w:eastAsia="sw-KE"/>
        </w:rPr>
        <w:t>le ou par téléphone pour vérifier les symptômes et test. Des protocoles devront être suivis pour le prélèvement et le transport des échantillons</w:t>
      </w:r>
    </w:p>
    <w:p w14:paraId="3583CA3C" w14:textId="77777777" w:rsidR="009A0954" w:rsidRPr="007F78CE" w:rsidRDefault="009A0954" w:rsidP="00F91FA3">
      <w:pPr>
        <w:spacing w:before="240"/>
        <w:jc w:val="both"/>
        <w:rPr>
          <w:rFonts w:cs="Calibri"/>
          <w:bCs/>
          <w:lang w:val="fr-ML" w:eastAsia="sw-KE"/>
        </w:rPr>
      </w:pPr>
      <w:r w:rsidRPr="007F78CE">
        <w:rPr>
          <w:rFonts w:cs="Calibri"/>
        </w:rPr>
        <w:t>Les décès dans les centres de transit, de traitement ou de santé doivent être gérés avec le plus grand soin,</w:t>
      </w:r>
      <w:r w:rsidRPr="007F78CE">
        <w:rPr>
          <w:rFonts w:cs="Calibri"/>
          <w:bCs/>
          <w:lang w:val="fr-ML" w:eastAsia="sw-KE"/>
        </w:rPr>
        <w:t xml:space="preserve"> compte tenu du risque de contamination pour les équipes. L’</w:t>
      </w:r>
      <w:r w:rsidRPr="007F78CE">
        <w:rPr>
          <w:rFonts w:cs="Calibri"/>
          <w:lang w:val="fr-ML" w:eastAsia="sw-KE"/>
        </w:rPr>
        <w:t>Entreprise</w:t>
      </w:r>
      <w:r w:rsidRPr="007F78CE">
        <w:rPr>
          <w:rFonts w:cs="Calibri"/>
          <w:bCs/>
          <w:lang w:val="fr-ML" w:eastAsia="sw-KE"/>
        </w:rPr>
        <w:t xml:space="preserve"> élabore une procédure pour des funérailles sécurisées. </w:t>
      </w:r>
    </w:p>
    <w:p w14:paraId="1BF24255" w14:textId="77777777" w:rsidR="009A0954" w:rsidRPr="007F78CE" w:rsidRDefault="009A0954" w:rsidP="00F91FA3">
      <w:pPr>
        <w:spacing w:before="240"/>
        <w:jc w:val="both"/>
        <w:rPr>
          <w:rFonts w:cs="Calibri"/>
          <w:bCs/>
          <w:lang w:val="fr-ML" w:eastAsia="sw-KE"/>
        </w:rPr>
      </w:pPr>
      <w:r w:rsidRPr="007F78CE">
        <w:rPr>
          <w:rFonts w:cs="Calibri"/>
          <w:bCs/>
          <w:lang w:val="fr-ML" w:eastAsia="sw-KE"/>
        </w:rPr>
        <w:t>Les rassemblements de masse peuvent amplifier la propagation des maladies infectieuses. Tout rassemblement doit suivre les mesures de prévention contre la COVID19 prises au niveau national ou régional et suivant la méthodologie (liaison avec les autorités de santé publique, évaluation des risques, etc.) établit par l’</w:t>
      </w:r>
      <w:r w:rsidRPr="007F78CE">
        <w:rPr>
          <w:rFonts w:cs="Calibri"/>
          <w:lang w:val="fr-ML" w:eastAsia="sw-KE"/>
        </w:rPr>
        <w:t xml:space="preserve">Entreprise. </w:t>
      </w:r>
    </w:p>
    <w:p w14:paraId="37E764E3" w14:textId="77777777" w:rsidR="009A0954" w:rsidRPr="007F78CE" w:rsidRDefault="009A0954" w:rsidP="00F91FA3">
      <w:pPr>
        <w:jc w:val="both"/>
        <w:rPr>
          <w:rFonts w:cs="Calibri"/>
          <w:b/>
        </w:rPr>
      </w:pPr>
      <w:r w:rsidRPr="007F78CE">
        <w:rPr>
          <w:rFonts w:cs="Calibri"/>
          <w:b/>
        </w:rPr>
        <w:t>Note Intermédiaire ESF / Sauvegardes : Considérations COVID19 dans les Projets de Construction / Travaux de Génie Civil</w:t>
      </w:r>
    </w:p>
    <w:p w14:paraId="4316202C" w14:textId="77777777" w:rsidR="009A0954" w:rsidRPr="007F78CE" w:rsidRDefault="009A0954" w:rsidP="00F91FA3">
      <w:pPr>
        <w:spacing w:before="240"/>
        <w:jc w:val="both"/>
        <w:rPr>
          <w:rFonts w:cs="Calibri"/>
        </w:rPr>
      </w:pPr>
      <w:r w:rsidRPr="007F78CE">
        <w:rPr>
          <w:rFonts w:cs="Calibri"/>
        </w:rPr>
        <w:t xml:space="preserve">En sus des clauses environnementales et sociales déjà mentionnées, l’insertion du Cahier de Charges Environnementales est recommandée. </w:t>
      </w:r>
    </w:p>
    <w:p w14:paraId="42DD0B4E" w14:textId="77777777" w:rsidR="009A0954" w:rsidRDefault="009A0954" w:rsidP="00F91FA3">
      <w:pPr>
        <w:jc w:val="both"/>
        <w:rPr>
          <w:highlight w:val="yellow"/>
        </w:rPr>
      </w:pPr>
      <w:r>
        <w:br w:type="page"/>
      </w:r>
    </w:p>
    <w:p w14:paraId="35078894" w14:textId="77777777" w:rsidR="009A0954" w:rsidRPr="00F63AF5" w:rsidRDefault="009A0954" w:rsidP="00F63AF5">
      <w:pPr>
        <w:rPr>
          <w:rFonts w:ascii="Arial" w:hAnsi="Arial" w:cs="Arial"/>
          <w:b/>
          <w:bCs/>
        </w:rPr>
      </w:pPr>
      <w:bookmarkStart w:id="1727" w:name="_Toc98044877"/>
      <w:bookmarkStart w:id="1728" w:name="_Toc92037673"/>
      <w:bookmarkStart w:id="1729" w:name="_Toc68773996"/>
      <w:bookmarkStart w:id="1730" w:name="_Toc67346653"/>
      <w:bookmarkStart w:id="1731" w:name="_Toc84293580"/>
      <w:bookmarkStart w:id="1732" w:name="_Toc124173258"/>
      <w:bookmarkStart w:id="1733" w:name="_Toc125402468"/>
      <w:r w:rsidRPr="00F63AF5">
        <w:rPr>
          <w:rFonts w:ascii="Arial" w:hAnsi="Arial" w:cs="Arial"/>
          <w:b/>
          <w:bCs/>
        </w:rPr>
        <w:t xml:space="preserve">Annexe </w:t>
      </w:r>
      <w:r w:rsidRPr="00F63AF5">
        <w:rPr>
          <w:rFonts w:ascii="Arial" w:hAnsi="Arial" w:cs="Arial"/>
          <w:b/>
          <w:bCs/>
        </w:rPr>
        <w:fldChar w:fldCharType="begin"/>
      </w:r>
      <w:r w:rsidRPr="00F63AF5">
        <w:rPr>
          <w:rFonts w:ascii="Arial" w:hAnsi="Arial" w:cs="Arial"/>
          <w:b/>
          <w:bCs/>
        </w:rPr>
        <w:instrText>SEQ Annexe \* ARABIC</w:instrText>
      </w:r>
      <w:r w:rsidRPr="00F63AF5">
        <w:rPr>
          <w:rFonts w:ascii="Arial" w:hAnsi="Arial" w:cs="Arial"/>
          <w:b/>
          <w:bCs/>
        </w:rPr>
        <w:fldChar w:fldCharType="separate"/>
      </w:r>
      <w:r w:rsidR="009947B9">
        <w:rPr>
          <w:rFonts w:ascii="Arial" w:hAnsi="Arial" w:cs="Arial"/>
          <w:b/>
          <w:bCs/>
          <w:noProof/>
        </w:rPr>
        <w:t>5</w:t>
      </w:r>
      <w:r w:rsidRPr="00F63AF5">
        <w:rPr>
          <w:rFonts w:ascii="Arial" w:hAnsi="Arial" w:cs="Arial"/>
          <w:b/>
          <w:bCs/>
        </w:rPr>
        <w:fldChar w:fldCharType="end"/>
      </w:r>
      <w:r w:rsidRPr="00F63AF5">
        <w:rPr>
          <w:rFonts w:ascii="Arial" w:hAnsi="Arial" w:cs="Arial"/>
          <w:b/>
          <w:bCs/>
        </w:rPr>
        <w:t> : Modèles de fiche de doléance</w:t>
      </w:r>
      <w:bookmarkEnd w:id="1727"/>
      <w:bookmarkEnd w:id="1728"/>
      <w:bookmarkEnd w:id="1729"/>
      <w:bookmarkEnd w:id="1730"/>
      <w:bookmarkEnd w:id="1731"/>
      <w:bookmarkEnd w:id="1732"/>
      <w:bookmarkEnd w:id="1733"/>
    </w:p>
    <w:p w14:paraId="7D0F560D" w14:textId="77777777" w:rsidR="00576E91" w:rsidRPr="007218A8" w:rsidRDefault="00576E91" w:rsidP="00576E91">
      <w:pPr>
        <w:autoSpaceDE w:val="0"/>
        <w:autoSpaceDN w:val="0"/>
        <w:adjustRightInd w:val="0"/>
        <w:spacing w:line="200" w:lineRule="exact"/>
        <w:rPr>
          <w:rFonts w:ascii="Cambria" w:hAnsi="Cambria" w:cs="Times-Roman"/>
          <w:szCs w:val="20"/>
        </w:rPr>
      </w:pPr>
      <w:r w:rsidRPr="007218A8">
        <w:rPr>
          <w:rFonts w:ascii="Cambria" w:hAnsi="Cambria" w:cs="Times-Roman"/>
          <w:szCs w:val="20"/>
        </w:rPr>
        <w:t xml:space="preserve">PROJET </w:t>
      </w:r>
      <w:r>
        <w:rPr>
          <w:rFonts w:ascii="Cambria" w:hAnsi="Cambria" w:cs="Times-Roman"/>
          <w:szCs w:val="20"/>
        </w:rPr>
        <w:t>DECIM</w:t>
      </w:r>
      <w:r>
        <w:rPr>
          <w:rFonts w:ascii="Cambria" w:hAnsi="Cambria" w:cs="Times-Roman"/>
          <w:szCs w:val="20"/>
        </w:rPr>
        <w:tab/>
      </w:r>
      <w:r>
        <w:rPr>
          <w:rFonts w:ascii="Cambria" w:hAnsi="Cambria" w:cs="Times-Roman"/>
          <w:szCs w:val="20"/>
        </w:rPr>
        <w:tab/>
      </w:r>
      <w:r>
        <w:rPr>
          <w:rFonts w:ascii="Cambria" w:hAnsi="Cambria" w:cs="Times-Roman"/>
          <w:szCs w:val="20"/>
        </w:rPr>
        <w:tab/>
      </w:r>
      <w:r>
        <w:rPr>
          <w:rFonts w:ascii="Cambria" w:hAnsi="Cambria" w:cs="Times-Roman"/>
          <w:szCs w:val="20"/>
        </w:rPr>
        <w:tab/>
      </w:r>
      <w:r>
        <w:rPr>
          <w:rFonts w:ascii="Cambria" w:hAnsi="Cambria" w:cs="Times-Roman"/>
          <w:szCs w:val="20"/>
        </w:rPr>
        <w:tab/>
      </w:r>
      <w:r w:rsidRPr="007218A8">
        <w:rPr>
          <w:rFonts w:ascii="Cambria" w:hAnsi="Cambria" w:cs="Times-Roman"/>
          <w:szCs w:val="20"/>
        </w:rPr>
        <w:t>FICHE N°01</w:t>
      </w:r>
    </w:p>
    <w:p w14:paraId="50652B14" w14:textId="77777777" w:rsidR="00576E91" w:rsidRDefault="00576E91" w:rsidP="00576E91">
      <w:pPr>
        <w:autoSpaceDE w:val="0"/>
        <w:autoSpaceDN w:val="0"/>
        <w:adjustRightInd w:val="0"/>
        <w:spacing w:line="200" w:lineRule="exact"/>
        <w:rPr>
          <w:rFonts w:ascii="Cambria" w:hAnsi="Cambria" w:cs="Times-Roman"/>
          <w:szCs w:val="20"/>
        </w:rPr>
      </w:pPr>
      <w:r>
        <w:rPr>
          <w:rFonts w:ascii="Cambria" w:hAnsi="Cambria" w:cs="Times-Roman"/>
          <w:szCs w:val="20"/>
        </w:rPr>
        <w:t>Date :____________</w:t>
      </w:r>
    </w:p>
    <w:p w14:paraId="54328FEE" w14:textId="77777777" w:rsidR="00576E91" w:rsidRDefault="00576E91" w:rsidP="00576E91">
      <w:pPr>
        <w:autoSpaceDE w:val="0"/>
        <w:autoSpaceDN w:val="0"/>
        <w:adjustRightInd w:val="0"/>
        <w:spacing w:line="200" w:lineRule="exact"/>
        <w:rPr>
          <w:rFonts w:ascii="Cambria" w:hAnsi="Cambria" w:cs="Times-Roman"/>
          <w:szCs w:val="20"/>
        </w:rPr>
      </w:pPr>
      <w:r>
        <w:rPr>
          <w:rFonts w:ascii="Cambria" w:hAnsi="Cambria" w:cs="Times-Roman"/>
          <w:szCs w:val="20"/>
        </w:rPr>
        <w:t xml:space="preserve">Village de : …………………. Fokontany de :……………… …………… Commune de : ………………… </w:t>
      </w:r>
    </w:p>
    <w:p w14:paraId="32C88C5B" w14:textId="77777777" w:rsidR="00576E91" w:rsidRDefault="00576E91" w:rsidP="00576E91">
      <w:pPr>
        <w:autoSpaceDE w:val="0"/>
        <w:autoSpaceDN w:val="0"/>
        <w:adjustRightInd w:val="0"/>
        <w:spacing w:line="200" w:lineRule="exact"/>
        <w:rPr>
          <w:rFonts w:ascii="Cambria" w:hAnsi="Cambria" w:cs="Times-Roman"/>
          <w:szCs w:val="20"/>
        </w:rPr>
      </w:pPr>
      <w:r>
        <w:rPr>
          <w:rFonts w:ascii="Cambria" w:hAnsi="Cambria" w:cs="Times-Roman"/>
          <w:szCs w:val="20"/>
        </w:rPr>
        <w:t>Dossier N°…………..</w:t>
      </w:r>
    </w:p>
    <w:p w14:paraId="52BD524E" w14:textId="77777777" w:rsidR="00576E91" w:rsidRDefault="00576E91" w:rsidP="00576E91">
      <w:pPr>
        <w:autoSpaceDE w:val="0"/>
        <w:autoSpaceDN w:val="0"/>
        <w:adjustRightInd w:val="0"/>
        <w:spacing w:line="200" w:lineRule="exact"/>
        <w:rPr>
          <w:rFonts w:ascii="Cambria" w:hAnsi="Cambria" w:cs="Times-Bold"/>
          <w:b/>
          <w:bCs/>
          <w:szCs w:val="20"/>
          <w:u w:val="single"/>
        </w:rPr>
      </w:pPr>
      <w:r>
        <w:rPr>
          <w:rFonts w:ascii="Cambria" w:hAnsi="Cambria" w:cs="Times-Bold"/>
          <w:b/>
          <w:bCs/>
          <w:szCs w:val="20"/>
          <w:u w:val="single"/>
        </w:rPr>
        <w:t>PLAINTE</w:t>
      </w:r>
      <w:r>
        <w:rPr>
          <w:rStyle w:val="Appelnotedebasdep"/>
          <w:rFonts w:ascii="Cambria" w:hAnsi="Cambria" w:cs="Times-Bold"/>
          <w:b/>
          <w:bCs/>
          <w:szCs w:val="20"/>
          <w:u w:val="single"/>
        </w:rPr>
        <w:footnoteReference w:id="87"/>
      </w:r>
    </w:p>
    <w:p w14:paraId="440B4C9B" w14:textId="77777777" w:rsidR="00576E91" w:rsidRDefault="00576E91" w:rsidP="00576E91">
      <w:pPr>
        <w:autoSpaceDE w:val="0"/>
        <w:autoSpaceDN w:val="0"/>
        <w:adjustRightInd w:val="0"/>
        <w:spacing w:line="200" w:lineRule="exact"/>
        <w:rPr>
          <w:rFonts w:ascii="Cambria" w:hAnsi="Cambria" w:cs="Times-Roman"/>
          <w:szCs w:val="20"/>
        </w:rPr>
      </w:pPr>
      <w:r w:rsidRPr="007F78CE">
        <w:rPr>
          <w:rFonts w:eastAsia="Times New Roman" w:cs="Calibri"/>
          <w:color w:val="000000"/>
        </w:rPr>
        <w:t>Nom du plaignant</w:t>
      </w:r>
      <w:r>
        <w:rPr>
          <w:rFonts w:ascii="Cambria" w:hAnsi="Cambria" w:cs="Times-Roman"/>
          <w:szCs w:val="20"/>
        </w:rPr>
        <w:t xml:space="preserve"> : ________________________________</w:t>
      </w:r>
    </w:p>
    <w:p w14:paraId="0086C116" w14:textId="77777777" w:rsidR="00576E91" w:rsidRDefault="00576E91" w:rsidP="00576E91">
      <w:pPr>
        <w:autoSpaceDE w:val="0"/>
        <w:autoSpaceDN w:val="0"/>
        <w:adjustRightInd w:val="0"/>
        <w:spacing w:line="200" w:lineRule="exact"/>
        <w:rPr>
          <w:rFonts w:ascii="Cambria" w:hAnsi="Cambria" w:cs="Times-Roman"/>
          <w:szCs w:val="20"/>
        </w:rPr>
      </w:pPr>
      <w:r>
        <w:rPr>
          <w:rFonts w:ascii="Cambria" w:hAnsi="Cambria" w:cs="Times-Roman"/>
          <w:szCs w:val="20"/>
        </w:rPr>
        <w:t>Adresse : ___________________________________</w:t>
      </w:r>
    </w:p>
    <w:p w14:paraId="4CAA1640" w14:textId="77777777" w:rsidR="00576E91" w:rsidRDefault="00576E91" w:rsidP="00576E91">
      <w:pPr>
        <w:autoSpaceDE w:val="0"/>
        <w:autoSpaceDN w:val="0"/>
        <w:adjustRightInd w:val="0"/>
        <w:spacing w:line="200" w:lineRule="exact"/>
        <w:rPr>
          <w:rFonts w:ascii="Cambria" w:hAnsi="Cambria" w:cs="Times-Roman"/>
          <w:szCs w:val="20"/>
        </w:rPr>
      </w:pPr>
      <w:r>
        <w:rPr>
          <w:rFonts w:ascii="Cambria" w:hAnsi="Cambria" w:cs="Times-Roman"/>
          <w:szCs w:val="20"/>
        </w:rPr>
        <w:t>Village : ___________________________________</w:t>
      </w:r>
    </w:p>
    <w:p w14:paraId="34246400" w14:textId="77777777" w:rsidR="00576E91" w:rsidRDefault="00576E91" w:rsidP="00576E91">
      <w:pPr>
        <w:autoSpaceDE w:val="0"/>
        <w:autoSpaceDN w:val="0"/>
        <w:adjustRightInd w:val="0"/>
        <w:spacing w:line="200" w:lineRule="exact"/>
        <w:rPr>
          <w:rFonts w:ascii="Cambria" w:hAnsi="Cambria" w:cs="Times-Roman"/>
          <w:szCs w:val="20"/>
        </w:rPr>
      </w:pPr>
      <w:r>
        <w:rPr>
          <w:rFonts w:ascii="Cambria" w:hAnsi="Cambria" w:cs="Times-Roman"/>
          <w:szCs w:val="20"/>
        </w:rPr>
        <w:t xml:space="preserve">Contact (téléphone, email) </w:t>
      </w:r>
      <w:r>
        <w:rPr>
          <w:rFonts w:ascii="Cambria" w:hAnsi="Cambria" w:cs="Times-Bold"/>
          <w:b/>
          <w:bCs/>
          <w:szCs w:val="20"/>
        </w:rPr>
        <w:t xml:space="preserve">: </w:t>
      </w:r>
      <w:r>
        <w:rPr>
          <w:rFonts w:ascii="Cambria" w:hAnsi="Cambria" w:cs="Times-Roman"/>
          <w:szCs w:val="20"/>
        </w:rPr>
        <w:t>________________________________</w:t>
      </w:r>
    </w:p>
    <w:p w14:paraId="731D35A1" w14:textId="77777777" w:rsidR="00576E91" w:rsidRDefault="00576E91" w:rsidP="00576E91">
      <w:pPr>
        <w:autoSpaceDE w:val="0"/>
        <w:autoSpaceDN w:val="0"/>
        <w:adjustRightInd w:val="0"/>
        <w:spacing w:line="200" w:lineRule="exact"/>
        <w:rPr>
          <w:rFonts w:ascii="Cambria" w:hAnsi="Cambria" w:cs="Times-Roman"/>
          <w:szCs w:val="20"/>
        </w:rPr>
      </w:pPr>
      <w:r>
        <w:rPr>
          <w:rFonts w:ascii="Cambria" w:hAnsi="Cambria" w:cs="Times-Bold"/>
          <w:b/>
          <w:bCs/>
          <w:szCs w:val="20"/>
          <w:u w:val="single"/>
        </w:rPr>
        <w:t>DESCRIPTION DE LA PLAINTE</w:t>
      </w:r>
    </w:p>
    <w:p w14:paraId="429F5554" w14:textId="77777777" w:rsidR="00576E91" w:rsidRDefault="00576E91" w:rsidP="00576E91">
      <w:pPr>
        <w:autoSpaceDE w:val="0"/>
        <w:autoSpaceDN w:val="0"/>
        <w:adjustRightInd w:val="0"/>
        <w:spacing w:line="200" w:lineRule="exact"/>
        <w:rPr>
          <w:rFonts w:ascii="Cambria" w:hAnsi="Cambria" w:cs="Times-Roman"/>
          <w:szCs w:val="20"/>
        </w:rPr>
      </w:pPr>
      <w:r>
        <w:rPr>
          <w:rFonts w:ascii="Cambria" w:hAnsi="Cambria" w:cs="Times-Roman"/>
          <w:szCs w:val="20"/>
        </w:rPr>
        <w:t>……………………………………………………………………………………………………………………………………………</w:t>
      </w:r>
    </w:p>
    <w:p w14:paraId="75994A75" w14:textId="77777777" w:rsidR="00576E91" w:rsidRDefault="00576E91" w:rsidP="00576E91">
      <w:pPr>
        <w:autoSpaceDE w:val="0"/>
        <w:autoSpaceDN w:val="0"/>
        <w:adjustRightInd w:val="0"/>
        <w:spacing w:line="200" w:lineRule="exact"/>
        <w:rPr>
          <w:rFonts w:ascii="Cambria" w:hAnsi="Cambria" w:cs="Times-Roman"/>
          <w:szCs w:val="20"/>
        </w:rPr>
      </w:pPr>
      <w:r>
        <w:rPr>
          <w:rFonts w:ascii="Cambria" w:hAnsi="Cambria" w:cs="Times-Roman"/>
          <w:szCs w:val="20"/>
        </w:rPr>
        <w:t>…………………………………………………………………………………………………………………………………………..</w:t>
      </w:r>
    </w:p>
    <w:p w14:paraId="14CA6DA2" w14:textId="77777777" w:rsidR="00576E91" w:rsidRDefault="00576E91" w:rsidP="00576E91">
      <w:pPr>
        <w:autoSpaceDE w:val="0"/>
        <w:autoSpaceDN w:val="0"/>
        <w:adjustRightInd w:val="0"/>
        <w:spacing w:line="200" w:lineRule="exact"/>
        <w:rPr>
          <w:rFonts w:ascii="Cambria" w:hAnsi="Cambria" w:cs="Times-Roman"/>
          <w:szCs w:val="20"/>
        </w:rPr>
      </w:pPr>
      <w:r>
        <w:rPr>
          <w:rFonts w:ascii="Cambria" w:hAnsi="Cambria" w:cs="Times-Roman"/>
          <w:szCs w:val="20"/>
        </w:rPr>
        <w:t>…………………………………………………………………………………………………………………………………………….</w:t>
      </w:r>
    </w:p>
    <w:p w14:paraId="34DC8E88" w14:textId="77777777" w:rsidR="00576E91" w:rsidRDefault="00576E91" w:rsidP="00576E91">
      <w:pPr>
        <w:autoSpaceDE w:val="0"/>
        <w:autoSpaceDN w:val="0"/>
        <w:adjustRightInd w:val="0"/>
        <w:spacing w:line="200" w:lineRule="exact"/>
        <w:rPr>
          <w:rFonts w:ascii="Cambria" w:hAnsi="Cambria" w:cs="Cambria"/>
          <w:color w:val="000000"/>
          <w:szCs w:val="20"/>
        </w:rPr>
      </w:pPr>
      <w:r>
        <w:rPr>
          <w:rFonts w:ascii="Cambria" w:hAnsi="Cambria" w:cs="Cambria"/>
          <w:color w:val="000000"/>
          <w:szCs w:val="20"/>
        </w:rPr>
        <w:t xml:space="preserve">[Date et lieu]   </w:t>
      </w:r>
      <w:r>
        <w:rPr>
          <w:rFonts w:ascii="Cambria" w:hAnsi="Cambria" w:cs="Cambria"/>
          <w:color w:val="000000"/>
          <w:szCs w:val="20"/>
        </w:rPr>
        <w:tab/>
      </w:r>
      <w:r>
        <w:rPr>
          <w:rFonts w:ascii="Cambria" w:hAnsi="Cambria" w:cs="Cambria"/>
          <w:color w:val="000000"/>
          <w:szCs w:val="20"/>
        </w:rPr>
        <w:tab/>
      </w:r>
      <w:r>
        <w:rPr>
          <w:rFonts w:ascii="Cambria" w:hAnsi="Cambria" w:cs="Cambria"/>
          <w:color w:val="000000"/>
          <w:szCs w:val="20"/>
        </w:rPr>
        <w:tab/>
      </w:r>
      <w:r>
        <w:rPr>
          <w:rFonts w:ascii="Cambria" w:hAnsi="Cambria" w:cs="Cambria"/>
          <w:color w:val="000000"/>
          <w:szCs w:val="20"/>
        </w:rPr>
        <w:tab/>
      </w:r>
      <w:r>
        <w:rPr>
          <w:rFonts w:ascii="Cambria" w:hAnsi="Cambria" w:cs="Cambria"/>
          <w:color w:val="000000"/>
          <w:szCs w:val="20"/>
        </w:rPr>
        <w:tab/>
      </w:r>
      <w:r>
        <w:rPr>
          <w:rFonts w:ascii="Cambria" w:hAnsi="Cambria" w:cs="Cambria"/>
          <w:color w:val="000000"/>
          <w:szCs w:val="20"/>
        </w:rPr>
        <w:tab/>
      </w:r>
      <w:r>
        <w:rPr>
          <w:rFonts w:ascii="Cambria" w:hAnsi="Cambria" w:cs="Cambria"/>
          <w:color w:val="000000"/>
          <w:szCs w:val="20"/>
        </w:rPr>
        <w:tab/>
        <w:t xml:space="preserve">[Date et lieu]                                                </w:t>
      </w:r>
    </w:p>
    <w:p w14:paraId="0C54D778" w14:textId="77777777" w:rsidR="00576E91" w:rsidRDefault="00576E91" w:rsidP="00576E91">
      <w:pPr>
        <w:autoSpaceDE w:val="0"/>
        <w:autoSpaceDN w:val="0"/>
        <w:adjustRightInd w:val="0"/>
        <w:spacing w:line="200" w:lineRule="exact"/>
        <w:rPr>
          <w:rFonts w:ascii="Cambria" w:hAnsi="Cambria" w:cs="Cambria"/>
          <w:color w:val="000000"/>
          <w:szCs w:val="20"/>
        </w:rPr>
      </w:pPr>
      <w:r>
        <w:rPr>
          <w:rFonts w:ascii="Cambria" w:hAnsi="Cambria" w:cs="Cambria"/>
          <w:color w:val="000000"/>
          <w:szCs w:val="20"/>
        </w:rPr>
        <w:t xml:space="preserve">[Signature du plaignant              </w:t>
      </w:r>
      <w:r>
        <w:rPr>
          <w:rFonts w:ascii="Cambria" w:hAnsi="Cambria" w:cs="Cambria"/>
          <w:color w:val="000000"/>
          <w:szCs w:val="20"/>
        </w:rPr>
        <w:tab/>
      </w:r>
      <w:r>
        <w:rPr>
          <w:rFonts w:ascii="Cambria" w:hAnsi="Cambria" w:cs="Cambria"/>
          <w:color w:val="000000"/>
          <w:szCs w:val="20"/>
        </w:rPr>
        <w:tab/>
        <w:t>[Signature du responsable de réception de la plainte]</w:t>
      </w:r>
    </w:p>
    <w:p w14:paraId="2DDAC4D3" w14:textId="77777777" w:rsidR="00576E91" w:rsidRDefault="00576E91" w:rsidP="00576E91">
      <w:pPr>
        <w:autoSpaceDE w:val="0"/>
        <w:autoSpaceDN w:val="0"/>
        <w:adjustRightInd w:val="0"/>
        <w:spacing w:line="200" w:lineRule="exact"/>
        <w:rPr>
          <w:rFonts w:ascii="Cambria" w:hAnsi="Cambria" w:cs="Times-Bold"/>
          <w:b/>
          <w:bCs/>
          <w:szCs w:val="20"/>
        </w:rPr>
      </w:pPr>
      <w:r>
        <w:rPr>
          <w:rFonts w:ascii="Cambria" w:hAnsi="Cambria" w:cs="Times-Bold"/>
          <w:b/>
          <w:bCs/>
          <w:szCs w:val="20"/>
          <w:u w:val="single"/>
        </w:rPr>
        <w:t>OBSERVATIONS SUR LA PLAINTE</w:t>
      </w:r>
    </w:p>
    <w:p w14:paraId="3CBDAF44" w14:textId="77777777" w:rsidR="00576E91" w:rsidRDefault="00576E91" w:rsidP="00576E91">
      <w:pPr>
        <w:autoSpaceDE w:val="0"/>
        <w:autoSpaceDN w:val="0"/>
        <w:adjustRightInd w:val="0"/>
        <w:spacing w:line="200" w:lineRule="exact"/>
        <w:rPr>
          <w:rFonts w:ascii="Cambria" w:hAnsi="Cambria" w:cs="Times-Roman"/>
          <w:szCs w:val="20"/>
        </w:rPr>
      </w:pPr>
      <w:r>
        <w:rPr>
          <w:rFonts w:ascii="Cambria" w:hAnsi="Cambria" w:cs="Times-Roman"/>
          <w:szCs w:val="20"/>
        </w:rPr>
        <w:t>…………………………………………….…………………………………………………………………………………………………</w:t>
      </w:r>
    </w:p>
    <w:p w14:paraId="53F98AA9" w14:textId="77777777" w:rsidR="00576E91" w:rsidRDefault="00576E91" w:rsidP="00576E91">
      <w:pPr>
        <w:autoSpaceDE w:val="0"/>
        <w:autoSpaceDN w:val="0"/>
        <w:adjustRightInd w:val="0"/>
        <w:spacing w:line="200" w:lineRule="exact"/>
        <w:rPr>
          <w:rFonts w:ascii="Cambria" w:hAnsi="Cambria" w:cs="Times-Roman"/>
          <w:szCs w:val="20"/>
        </w:rPr>
      </w:pPr>
      <w:r>
        <w:rPr>
          <w:rFonts w:ascii="Cambria" w:hAnsi="Cambria" w:cs="Times-Roman"/>
          <w:szCs w:val="20"/>
        </w:rPr>
        <w:t>………………………………………………………………………………………………………………………………………………</w:t>
      </w:r>
    </w:p>
    <w:p w14:paraId="27494FC3" w14:textId="77777777" w:rsidR="00576E91" w:rsidRDefault="00576E91" w:rsidP="00576E91">
      <w:pPr>
        <w:autoSpaceDE w:val="0"/>
        <w:autoSpaceDN w:val="0"/>
        <w:adjustRightInd w:val="0"/>
        <w:spacing w:line="200" w:lineRule="exact"/>
        <w:rPr>
          <w:rFonts w:ascii="Cambria" w:hAnsi="Cambria" w:cs="Times-Roman"/>
          <w:szCs w:val="20"/>
        </w:rPr>
      </w:pPr>
      <w:r>
        <w:rPr>
          <w:rFonts w:ascii="Cambria" w:hAnsi="Cambria" w:cs="Cambria"/>
          <w:color w:val="000000"/>
          <w:szCs w:val="20"/>
        </w:rPr>
        <w:t>[Date et lieu]</w:t>
      </w:r>
    </w:p>
    <w:p w14:paraId="4285A190" w14:textId="77777777" w:rsidR="00576E91" w:rsidRDefault="00576E91" w:rsidP="00576E91">
      <w:pPr>
        <w:autoSpaceDE w:val="0"/>
        <w:autoSpaceDN w:val="0"/>
        <w:adjustRightInd w:val="0"/>
        <w:spacing w:line="200" w:lineRule="exact"/>
        <w:rPr>
          <w:rFonts w:ascii="Cambria" w:hAnsi="Cambria" w:cs="Times-Roman"/>
          <w:szCs w:val="20"/>
        </w:rPr>
      </w:pPr>
      <w:r>
        <w:rPr>
          <w:rFonts w:ascii="Cambria" w:hAnsi="Cambria" w:cs="Times-Roman"/>
          <w:szCs w:val="20"/>
        </w:rPr>
        <w:t>(Signature du Responsable du traitement (Chef de Village ou du Fokontany))</w:t>
      </w:r>
    </w:p>
    <w:p w14:paraId="1B93F438" w14:textId="77777777" w:rsidR="00576E91" w:rsidRDefault="00576E91" w:rsidP="00576E91">
      <w:pPr>
        <w:autoSpaceDE w:val="0"/>
        <w:autoSpaceDN w:val="0"/>
        <w:adjustRightInd w:val="0"/>
        <w:spacing w:line="200" w:lineRule="exact"/>
        <w:rPr>
          <w:rFonts w:ascii="Cambria" w:hAnsi="Cambria" w:cs="Times-Bold"/>
          <w:b/>
          <w:bCs/>
          <w:szCs w:val="20"/>
          <w:u w:val="single"/>
        </w:rPr>
      </w:pPr>
      <w:r>
        <w:rPr>
          <w:rFonts w:ascii="Cambria" w:hAnsi="Cambria" w:cs="Times-Bold"/>
          <w:b/>
          <w:bCs/>
          <w:szCs w:val="20"/>
          <w:u w:val="single"/>
        </w:rPr>
        <w:t>RESOLUTION</w:t>
      </w:r>
    </w:p>
    <w:p w14:paraId="160CD932" w14:textId="77777777" w:rsidR="00576E91" w:rsidRDefault="00576E91" w:rsidP="00576E91">
      <w:pPr>
        <w:autoSpaceDE w:val="0"/>
        <w:autoSpaceDN w:val="0"/>
        <w:adjustRightInd w:val="0"/>
        <w:spacing w:line="200" w:lineRule="exact"/>
        <w:rPr>
          <w:rFonts w:ascii="Cambria" w:hAnsi="Cambria" w:cs="Times-Roman"/>
          <w:szCs w:val="20"/>
        </w:rPr>
      </w:pPr>
      <w:r>
        <w:rPr>
          <w:rFonts w:ascii="Cambria" w:hAnsi="Cambria" w:cs="Times-Roman"/>
          <w:szCs w:val="20"/>
        </w:rPr>
        <w:t>…………………………………………………………………………………………………</w:t>
      </w:r>
    </w:p>
    <w:p w14:paraId="05F50645" w14:textId="77777777" w:rsidR="00576E91" w:rsidRDefault="00576E91" w:rsidP="00576E91">
      <w:pPr>
        <w:autoSpaceDE w:val="0"/>
        <w:autoSpaceDN w:val="0"/>
        <w:adjustRightInd w:val="0"/>
        <w:spacing w:line="200" w:lineRule="exact"/>
        <w:rPr>
          <w:rFonts w:ascii="Cambria" w:hAnsi="Cambria" w:cs="Times-Roman"/>
          <w:szCs w:val="20"/>
        </w:rPr>
      </w:pPr>
      <w:r>
        <w:rPr>
          <w:rFonts w:ascii="Cambria" w:hAnsi="Cambria" w:cs="Times-Roman"/>
          <w:szCs w:val="20"/>
        </w:rPr>
        <w:t>…………………………………………………………………………………………………</w:t>
      </w:r>
    </w:p>
    <w:p w14:paraId="23FE33E6" w14:textId="77777777" w:rsidR="00576E91" w:rsidRDefault="00576E91" w:rsidP="00576E91">
      <w:pPr>
        <w:autoSpaceDE w:val="0"/>
        <w:autoSpaceDN w:val="0"/>
        <w:adjustRightInd w:val="0"/>
        <w:spacing w:line="200" w:lineRule="exact"/>
        <w:rPr>
          <w:rFonts w:ascii="Cambria" w:hAnsi="Cambria" w:cs="Cambria"/>
          <w:color w:val="000000"/>
          <w:szCs w:val="20"/>
        </w:rPr>
      </w:pPr>
      <w:r>
        <w:rPr>
          <w:rFonts w:ascii="Cambria" w:hAnsi="Cambria" w:cs="Cambria"/>
          <w:b/>
          <w:bCs/>
          <w:color w:val="000000"/>
          <w:szCs w:val="20"/>
        </w:rPr>
        <w:t xml:space="preserve">Date de la restitution du résultat au plaignant </w:t>
      </w:r>
    </w:p>
    <w:p w14:paraId="6A19C62F" w14:textId="77777777" w:rsidR="00576E91" w:rsidRDefault="00576E91" w:rsidP="00576E91">
      <w:pPr>
        <w:autoSpaceDE w:val="0"/>
        <w:autoSpaceDN w:val="0"/>
        <w:adjustRightInd w:val="0"/>
        <w:spacing w:line="200" w:lineRule="exact"/>
        <w:jc w:val="center"/>
        <w:rPr>
          <w:rFonts w:ascii="Cambria" w:hAnsi="Cambria" w:cs="Cambria"/>
          <w:color w:val="000000"/>
          <w:szCs w:val="20"/>
        </w:rPr>
      </w:pPr>
      <w:r>
        <w:rPr>
          <w:rFonts w:ascii="Cambria" w:hAnsi="Cambria" w:cs="Cambria"/>
          <w:color w:val="000000"/>
          <w:szCs w:val="20"/>
        </w:rPr>
        <w:t xml:space="preserve">                                                        [Date et lieu]</w:t>
      </w:r>
    </w:p>
    <w:p w14:paraId="79D4EBC9" w14:textId="77777777" w:rsidR="00576E91" w:rsidRPr="00C3003E" w:rsidRDefault="00576E91" w:rsidP="0044500E">
      <w:pPr>
        <w:pStyle w:val="Paragraphedeliste"/>
        <w:numPr>
          <w:ilvl w:val="0"/>
          <w:numId w:val="213"/>
        </w:numPr>
        <w:rPr>
          <w:rFonts w:ascii="Arial" w:hAnsi="Arial" w:cs="Arial"/>
          <w:sz w:val="20"/>
          <w:szCs w:val="20"/>
        </w:rPr>
      </w:pPr>
      <w:r>
        <w:rPr>
          <w:rFonts w:ascii="Cambria" w:hAnsi="Cambria" w:cs="Cambria"/>
          <w:i/>
          <w:iCs/>
          <w:szCs w:val="20"/>
        </w:rPr>
        <w:t xml:space="preserve">                                                                    [Signature du Responsable du traitement </w:t>
      </w:r>
    </w:p>
    <w:p w14:paraId="786681BE" w14:textId="77777777" w:rsidR="00576E91" w:rsidRPr="0083156A" w:rsidRDefault="00576E91" w:rsidP="00576E91">
      <w:pPr>
        <w:pStyle w:val="Paragraphedeliste"/>
        <w:ind w:left="3600"/>
        <w:rPr>
          <w:rFonts w:ascii="Arial" w:hAnsi="Arial" w:cs="Arial"/>
          <w:sz w:val="20"/>
          <w:szCs w:val="20"/>
        </w:rPr>
      </w:pPr>
      <w:r>
        <w:rPr>
          <w:rFonts w:ascii="Cambria" w:hAnsi="Cambria" w:cs="Cambria"/>
          <w:i/>
          <w:iCs/>
          <w:szCs w:val="20"/>
        </w:rPr>
        <w:t>(chef de village ou du Fokontany)]</w:t>
      </w:r>
    </w:p>
    <w:p w14:paraId="0F8C3C74" w14:textId="77777777" w:rsidR="00576E91" w:rsidRDefault="00576E91" w:rsidP="009A0954">
      <w:pPr>
        <w:spacing w:before="120" w:after="120"/>
        <w:rPr>
          <w:rFonts w:ascii="Arial" w:hAnsi="Arial" w:cs="Arial"/>
          <w:b/>
          <w:sz w:val="24"/>
          <w:szCs w:val="20"/>
        </w:rPr>
      </w:pPr>
    </w:p>
    <w:tbl>
      <w:tblPr>
        <w:tblW w:w="9380" w:type="dxa"/>
        <w:tblInd w:w="70" w:type="dxa"/>
        <w:tblCellMar>
          <w:left w:w="70" w:type="dxa"/>
          <w:right w:w="70" w:type="dxa"/>
        </w:tblCellMar>
        <w:tblLook w:val="04A0" w:firstRow="1" w:lastRow="0" w:firstColumn="1" w:lastColumn="0" w:noHBand="0" w:noVBand="1"/>
      </w:tblPr>
      <w:tblGrid>
        <w:gridCol w:w="1378"/>
        <w:gridCol w:w="1154"/>
        <w:gridCol w:w="6040"/>
        <w:gridCol w:w="808"/>
      </w:tblGrid>
      <w:tr w:rsidR="009A0954" w:rsidRPr="007F78CE" w14:paraId="6440301F" w14:textId="77777777" w:rsidTr="009A0954">
        <w:trPr>
          <w:trHeight w:val="300"/>
        </w:trPr>
        <w:tc>
          <w:tcPr>
            <w:tcW w:w="1378" w:type="dxa"/>
            <w:shd w:val="clear" w:color="auto" w:fill="F2F2F2"/>
            <w:vAlign w:val="bottom"/>
          </w:tcPr>
          <w:p w14:paraId="11F7ED4F" w14:textId="77777777" w:rsidR="009A0954" w:rsidRPr="007F78CE" w:rsidRDefault="009A0954" w:rsidP="009A0954">
            <w:pPr>
              <w:rPr>
                <w:rFonts w:eastAsia="Times New Roman" w:cs="Calibri"/>
                <w:sz w:val="20"/>
                <w:szCs w:val="20"/>
              </w:rPr>
            </w:pPr>
          </w:p>
        </w:tc>
        <w:tc>
          <w:tcPr>
            <w:tcW w:w="1154" w:type="dxa"/>
            <w:shd w:val="clear" w:color="auto" w:fill="F2F2F2"/>
            <w:vAlign w:val="bottom"/>
          </w:tcPr>
          <w:p w14:paraId="6F57A7E5" w14:textId="77777777" w:rsidR="009A0954" w:rsidRPr="007F78CE" w:rsidRDefault="009A0954" w:rsidP="009A0954">
            <w:pPr>
              <w:rPr>
                <w:rFonts w:eastAsia="Times New Roman" w:cs="Calibri"/>
                <w:sz w:val="20"/>
                <w:szCs w:val="20"/>
              </w:rPr>
            </w:pPr>
          </w:p>
        </w:tc>
        <w:tc>
          <w:tcPr>
            <w:tcW w:w="6040" w:type="dxa"/>
            <w:shd w:val="clear" w:color="auto" w:fill="F2F2F2"/>
            <w:vAlign w:val="bottom"/>
          </w:tcPr>
          <w:p w14:paraId="10D0DEE0" w14:textId="77777777" w:rsidR="009A0954" w:rsidRPr="007F78CE" w:rsidRDefault="009A0954" w:rsidP="009A0954">
            <w:pPr>
              <w:rPr>
                <w:rFonts w:eastAsia="Times New Roman" w:cs="Calibri"/>
                <w:b/>
                <w:bCs/>
                <w:color w:val="000000"/>
              </w:rPr>
            </w:pPr>
          </w:p>
        </w:tc>
        <w:tc>
          <w:tcPr>
            <w:tcW w:w="808" w:type="dxa"/>
            <w:shd w:val="clear" w:color="auto" w:fill="F2F2F2"/>
            <w:vAlign w:val="bottom"/>
          </w:tcPr>
          <w:p w14:paraId="3802F365" w14:textId="77777777" w:rsidR="009A0954" w:rsidRPr="007F78CE" w:rsidRDefault="009A0954" w:rsidP="009A0954">
            <w:pPr>
              <w:rPr>
                <w:rFonts w:eastAsia="Times New Roman" w:cs="Calibri"/>
                <w:b/>
                <w:bCs/>
                <w:color w:val="000000"/>
              </w:rPr>
            </w:pPr>
          </w:p>
        </w:tc>
      </w:tr>
    </w:tbl>
    <w:p w14:paraId="0D830B94" w14:textId="77777777" w:rsidR="009A0954" w:rsidRDefault="009A0954" w:rsidP="009A0954">
      <w:pPr>
        <w:pStyle w:val="Corpsdetexte"/>
        <w:pBdr>
          <w:bottom w:val="single" w:sz="12" w:space="1" w:color="000000"/>
        </w:pBdr>
        <w:spacing w:before="232" w:after="280"/>
        <w:ind w:right="842"/>
      </w:pPr>
    </w:p>
    <w:tbl>
      <w:tblPr>
        <w:tblW w:w="7363" w:type="dxa"/>
        <w:tblInd w:w="70" w:type="dxa"/>
        <w:tblCellMar>
          <w:left w:w="70" w:type="dxa"/>
          <w:right w:w="70" w:type="dxa"/>
        </w:tblCellMar>
        <w:tblLook w:val="04A0" w:firstRow="1" w:lastRow="0" w:firstColumn="1" w:lastColumn="0" w:noHBand="0" w:noVBand="1"/>
      </w:tblPr>
      <w:tblGrid>
        <w:gridCol w:w="1686"/>
        <w:gridCol w:w="1404"/>
        <w:gridCol w:w="2013"/>
        <w:gridCol w:w="2100"/>
        <w:gridCol w:w="160"/>
      </w:tblGrid>
      <w:tr w:rsidR="009A0954" w:rsidRPr="007F78CE" w14:paraId="0D6F8904" w14:textId="77777777" w:rsidTr="009A0954">
        <w:trPr>
          <w:trHeight w:val="300"/>
        </w:trPr>
        <w:tc>
          <w:tcPr>
            <w:tcW w:w="5103" w:type="dxa"/>
            <w:gridSpan w:val="3"/>
            <w:shd w:val="clear" w:color="auto" w:fill="auto"/>
            <w:vAlign w:val="bottom"/>
          </w:tcPr>
          <w:p w14:paraId="775FD8F8" w14:textId="77777777" w:rsidR="009A0954" w:rsidRPr="007F78CE" w:rsidRDefault="009A0954" w:rsidP="009A0954">
            <w:pPr>
              <w:rPr>
                <w:rFonts w:eastAsia="Times New Roman" w:cs="Calibri"/>
                <w:color w:val="000000"/>
                <w:u w:val="single"/>
              </w:rPr>
            </w:pPr>
            <w:r w:rsidRPr="007F78CE">
              <w:rPr>
                <w:rFonts w:eastAsia="Times New Roman" w:cs="Calibri"/>
                <w:color w:val="000000"/>
                <w:u w:val="single"/>
              </w:rPr>
              <w:t>Référence pour la base de données :</w:t>
            </w:r>
          </w:p>
        </w:tc>
        <w:tc>
          <w:tcPr>
            <w:tcW w:w="2100" w:type="dxa"/>
            <w:shd w:val="clear" w:color="auto" w:fill="auto"/>
            <w:vAlign w:val="bottom"/>
          </w:tcPr>
          <w:p w14:paraId="3313A8BE" w14:textId="77777777" w:rsidR="009A0954" w:rsidRPr="007F78CE" w:rsidRDefault="009A0954" w:rsidP="009A0954">
            <w:pPr>
              <w:rPr>
                <w:rFonts w:eastAsia="Times New Roman" w:cs="Calibri"/>
                <w:color w:val="000000"/>
                <w:u w:val="single"/>
              </w:rPr>
            </w:pPr>
          </w:p>
        </w:tc>
        <w:tc>
          <w:tcPr>
            <w:tcW w:w="160" w:type="dxa"/>
            <w:shd w:val="clear" w:color="auto" w:fill="auto"/>
            <w:vAlign w:val="bottom"/>
          </w:tcPr>
          <w:p w14:paraId="143D443D" w14:textId="77777777" w:rsidR="009A0954" w:rsidRPr="007F78CE" w:rsidRDefault="009A0954" w:rsidP="009A0954">
            <w:pPr>
              <w:rPr>
                <w:rFonts w:eastAsia="Times New Roman" w:cs="Calibri"/>
                <w:sz w:val="20"/>
                <w:szCs w:val="20"/>
              </w:rPr>
            </w:pPr>
          </w:p>
        </w:tc>
      </w:tr>
      <w:tr w:rsidR="009A0954" w:rsidRPr="007F78CE" w14:paraId="065C56B1" w14:textId="77777777" w:rsidTr="009A0954">
        <w:trPr>
          <w:trHeight w:val="300"/>
        </w:trPr>
        <w:tc>
          <w:tcPr>
            <w:tcW w:w="1686" w:type="dxa"/>
            <w:shd w:val="clear" w:color="auto" w:fill="auto"/>
            <w:vAlign w:val="bottom"/>
          </w:tcPr>
          <w:p w14:paraId="0AE8226B" w14:textId="77777777" w:rsidR="009A0954" w:rsidRPr="007F78CE" w:rsidRDefault="009A0954" w:rsidP="009A0954">
            <w:pPr>
              <w:rPr>
                <w:rFonts w:eastAsia="Times New Roman" w:cs="Calibri"/>
                <w:sz w:val="20"/>
                <w:szCs w:val="20"/>
              </w:rPr>
            </w:pPr>
          </w:p>
        </w:tc>
        <w:tc>
          <w:tcPr>
            <w:tcW w:w="5677" w:type="dxa"/>
            <w:gridSpan w:val="4"/>
            <w:shd w:val="clear" w:color="auto" w:fill="auto"/>
            <w:vAlign w:val="bottom"/>
          </w:tcPr>
          <w:p w14:paraId="067D0CAF" w14:textId="77777777" w:rsidR="009A0954" w:rsidRPr="007F78CE" w:rsidRDefault="009A0954" w:rsidP="009A0954">
            <w:pPr>
              <w:rPr>
                <w:rFonts w:eastAsia="Times New Roman" w:cs="Calibri"/>
                <w:b/>
                <w:bCs/>
                <w:color w:val="000000"/>
                <w:u w:val="single"/>
              </w:rPr>
            </w:pPr>
            <w:r w:rsidRPr="007F78CE">
              <w:rPr>
                <w:rFonts w:eastAsia="Times New Roman" w:cs="Calibri"/>
                <w:b/>
                <w:bCs/>
                <w:color w:val="000000"/>
                <w:u w:val="single"/>
              </w:rPr>
              <w:t>EXAMEN PRELIMINAIRE DE LA PLAINTE</w:t>
            </w:r>
          </w:p>
        </w:tc>
      </w:tr>
      <w:tr w:rsidR="009A0954" w:rsidRPr="007F78CE" w14:paraId="16B256A1" w14:textId="77777777" w:rsidTr="009A0954">
        <w:trPr>
          <w:trHeight w:val="300"/>
        </w:trPr>
        <w:tc>
          <w:tcPr>
            <w:tcW w:w="16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7671DC" w14:textId="77777777" w:rsidR="009A0954" w:rsidRPr="007F78CE" w:rsidRDefault="009A0954" w:rsidP="009A0954">
            <w:pPr>
              <w:rPr>
                <w:rFonts w:eastAsia="Times New Roman" w:cs="Calibri"/>
                <w:b/>
                <w:bCs/>
                <w:color w:val="000000"/>
              </w:rPr>
            </w:pPr>
            <w:r w:rsidRPr="007F78CE">
              <w:rPr>
                <w:rFonts w:eastAsia="Times New Roman" w:cs="Calibri"/>
                <w:b/>
                <w:bCs/>
                <w:color w:val="000000"/>
              </w:rPr>
              <w:t>Tri effectué par</w:t>
            </w:r>
          </w:p>
        </w:tc>
        <w:tc>
          <w:tcPr>
            <w:tcW w:w="1404" w:type="dxa"/>
            <w:tcBorders>
              <w:top w:val="single" w:sz="4" w:space="0" w:color="000000"/>
              <w:bottom w:val="single" w:sz="4" w:space="0" w:color="000000"/>
              <w:right w:val="single" w:sz="4" w:space="0" w:color="000000"/>
            </w:tcBorders>
            <w:shd w:val="clear" w:color="auto" w:fill="auto"/>
            <w:vAlign w:val="bottom"/>
          </w:tcPr>
          <w:p w14:paraId="1DFAC92F" w14:textId="77777777" w:rsidR="009A0954" w:rsidRPr="007F78CE" w:rsidRDefault="009A0954" w:rsidP="009A0954">
            <w:pPr>
              <w:rPr>
                <w:rFonts w:eastAsia="Times New Roman" w:cs="Calibri"/>
                <w:b/>
                <w:bCs/>
                <w:color w:val="000000"/>
              </w:rPr>
            </w:pPr>
            <w:r w:rsidRPr="007F78CE">
              <w:rPr>
                <w:rFonts w:eastAsia="Times New Roman" w:cs="Calibri"/>
                <w:b/>
                <w:bCs/>
                <w:color w:val="000000"/>
              </w:rPr>
              <w:t>Date du Tri</w:t>
            </w:r>
          </w:p>
        </w:tc>
        <w:tc>
          <w:tcPr>
            <w:tcW w:w="2013" w:type="dxa"/>
            <w:tcBorders>
              <w:top w:val="single" w:sz="4" w:space="0" w:color="000000"/>
              <w:bottom w:val="single" w:sz="4" w:space="0" w:color="000000"/>
              <w:right w:val="single" w:sz="4" w:space="0" w:color="000000"/>
            </w:tcBorders>
            <w:shd w:val="clear" w:color="auto" w:fill="auto"/>
            <w:vAlign w:val="bottom"/>
          </w:tcPr>
          <w:p w14:paraId="3904D5C2" w14:textId="77777777" w:rsidR="009A0954" w:rsidRPr="007F78CE" w:rsidRDefault="009A0954" w:rsidP="009A0954">
            <w:pPr>
              <w:rPr>
                <w:rFonts w:eastAsia="Times New Roman" w:cs="Calibri"/>
                <w:b/>
                <w:bCs/>
                <w:color w:val="000000"/>
              </w:rPr>
            </w:pPr>
            <w:r w:rsidRPr="007F78CE">
              <w:rPr>
                <w:rFonts w:eastAsia="Times New Roman" w:cs="Calibri"/>
                <w:b/>
                <w:bCs/>
                <w:color w:val="000000"/>
              </w:rPr>
              <w:t>Envoi à</w:t>
            </w:r>
          </w:p>
        </w:tc>
        <w:tc>
          <w:tcPr>
            <w:tcW w:w="2100" w:type="dxa"/>
            <w:tcBorders>
              <w:top w:val="single" w:sz="4" w:space="0" w:color="000000"/>
              <w:bottom w:val="single" w:sz="4" w:space="0" w:color="000000"/>
              <w:right w:val="single" w:sz="4" w:space="0" w:color="000000"/>
            </w:tcBorders>
            <w:shd w:val="clear" w:color="auto" w:fill="auto"/>
            <w:vAlign w:val="bottom"/>
          </w:tcPr>
          <w:p w14:paraId="09894A79" w14:textId="77777777" w:rsidR="009A0954" w:rsidRPr="007F78CE" w:rsidRDefault="009A0954" w:rsidP="009A0954">
            <w:pPr>
              <w:rPr>
                <w:rFonts w:eastAsia="Times New Roman" w:cs="Calibri"/>
                <w:b/>
                <w:bCs/>
                <w:color w:val="000000"/>
              </w:rPr>
            </w:pPr>
            <w:r w:rsidRPr="007F78CE">
              <w:rPr>
                <w:rFonts w:eastAsia="Times New Roman" w:cs="Calibri"/>
                <w:b/>
                <w:bCs/>
                <w:color w:val="000000"/>
              </w:rPr>
              <w:t>Action demandée</w:t>
            </w:r>
          </w:p>
        </w:tc>
        <w:tc>
          <w:tcPr>
            <w:tcW w:w="160" w:type="dxa"/>
            <w:shd w:val="clear" w:color="auto" w:fill="auto"/>
            <w:vAlign w:val="bottom"/>
          </w:tcPr>
          <w:p w14:paraId="72FAB302" w14:textId="77777777" w:rsidR="009A0954" w:rsidRPr="007F78CE" w:rsidRDefault="009A0954" w:rsidP="009A0954">
            <w:pPr>
              <w:rPr>
                <w:rFonts w:eastAsia="Times New Roman" w:cs="Calibri"/>
                <w:b/>
                <w:bCs/>
                <w:color w:val="000000"/>
              </w:rPr>
            </w:pPr>
          </w:p>
        </w:tc>
      </w:tr>
      <w:tr w:rsidR="009A0954" w:rsidRPr="007F78CE" w14:paraId="5CC09350" w14:textId="77777777" w:rsidTr="009A0954">
        <w:trPr>
          <w:trHeight w:val="300"/>
        </w:trPr>
        <w:tc>
          <w:tcPr>
            <w:tcW w:w="1686" w:type="dxa"/>
            <w:tcBorders>
              <w:left w:val="single" w:sz="4" w:space="0" w:color="000000"/>
              <w:bottom w:val="single" w:sz="4" w:space="0" w:color="000000"/>
              <w:right w:val="single" w:sz="4" w:space="0" w:color="000000"/>
            </w:tcBorders>
            <w:shd w:val="clear" w:color="auto" w:fill="auto"/>
            <w:vAlign w:val="bottom"/>
          </w:tcPr>
          <w:p w14:paraId="52B21E8D" w14:textId="77777777" w:rsidR="009A0954" w:rsidRPr="007F78CE" w:rsidRDefault="009A0954" w:rsidP="009A0954">
            <w:pPr>
              <w:rPr>
                <w:rFonts w:eastAsia="Times New Roman" w:cs="Calibri"/>
                <w:color w:val="000000"/>
              </w:rPr>
            </w:pPr>
            <w:r w:rsidRPr="007F78CE">
              <w:rPr>
                <w:rFonts w:eastAsia="Times New Roman" w:cs="Calibri"/>
                <w:color w:val="000000"/>
              </w:rPr>
              <w:t> </w:t>
            </w:r>
          </w:p>
        </w:tc>
        <w:tc>
          <w:tcPr>
            <w:tcW w:w="1404" w:type="dxa"/>
            <w:tcBorders>
              <w:bottom w:val="single" w:sz="4" w:space="0" w:color="000000"/>
              <w:right w:val="single" w:sz="4" w:space="0" w:color="000000"/>
            </w:tcBorders>
            <w:shd w:val="clear" w:color="auto" w:fill="auto"/>
            <w:vAlign w:val="bottom"/>
          </w:tcPr>
          <w:p w14:paraId="164AECAE" w14:textId="77777777" w:rsidR="009A0954" w:rsidRPr="007F78CE" w:rsidRDefault="009A0954" w:rsidP="009A0954">
            <w:pPr>
              <w:rPr>
                <w:rFonts w:eastAsia="Times New Roman" w:cs="Calibri"/>
                <w:color w:val="000000"/>
              </w:rPr>
            </w:pPr>
            <w:r w:rsidRPr="007F78CE">
              <w:rPr>
                <w:rFonts w:eastAsia="Times New Roman" w:cs="Calibri"/>
                <w:color w:val="000000"/>
              </w:rPr>
              <w:t> </w:t>
            </w:r>
          </w:p>
        </w:tc>
        <w:tc>
          <w:tcPr>
            <w:tcW w:w="2013" w:type="dxa"/>
            <w:tcBorders>
              <w:bottom w:val="single" w:sz="4" w:space="0" w:color="000000"/>
              <w:right w:val="single" w:sz="4" w:space="0" w:color="000000"/>
            </w:tcBorders>
            <w:shd w:val="clear" w:color="auto" w:fill="auto"/>
            <w:vAlign w:val="bottom"/>
          </w:tcPr>
          <w:p w14:paraId="53668070" w14:textId="77777777" w:rsidR="009A0954" w:rsidRPr="007F78CE" w:rsidRDefault="009A0954" w:rsidP="009A0954">
            <w:pPr>
              <w:rPr>
                <w:rFonts w:eastAsia="Times New Roman" w:cs="Calibri"/>
                <w:color w:val="000000"/>
              </w:rPr>
            </w:pPr>
            <w:r w:rsidRPr="007F78CE">
              <w:rPr>
                <w:rFonts w:eastAsia="Times New Roman" w:cs="Calibri"/>
                <w:color w:val="000000"/>
              </w:rPr>
              <w:t>Village</w:t>
            </w:r>
          </w:p>
          <w:p w14:paraId="1E5A2F7E" w14:textId="77777777" w:rsidR="009A0954" w:rsidRPr="007F78CE" w:rsidRDefault="009A0954" w:rsidP="009A0954">
            <w:pPr>
              <w:rPr>
                <w:rFonts w:eastAsia="Times New Roman" w:cs="Calibri"/>
                <w:color w:val="000000"/>
              </w:rPr>
            </w:pPr>
            <w:r w:rsidRPr="007F78CE">
              <w:rPr>
                <w:rFonts w:eastAsia="Times New Roman" w:cs="Calibri"/>
                <w:color w:val="000000"/>
              </w:rPr>
              <w:t>(amiable)</w:t>
            </w:r>
          </w:p>
        </w:tc>
        <w:tc>
          <w:tcPr>
            <w:tcW w:w="2100" w:type="dxa"/>
            <w:tcBorders>
              <w:bottom w:val="single" w:sz="4" w:space="0" w:color="000000"/>
              <w:right w:val="single" w:sz="4" w:space="0" w:color="000000"/>
            </w:tcBorders>
            <w:shd w:val="clear" w:color="auto" w:fill="auto"/>
            <w:vAlign w:val="bottom"/>
          </w:tcPr>
          <w:p w14:paraId="04DCB058" w14:textId="77777777" w:rsidR="009A0954" w:rsidRPr="007F78CE" w:rsidRDefault="009A0954" w:rsidP="009A0954">
            <w:pPr>
              <w:rPr>
                <w:rFonts w:eastAsia="Times New Roman" w:cs="Calibri"/>
                <w:color w:val="000000"/>
              </w:rPr>
            </w:pPr>
            <w:r w:rsidRPr="007F78CE">
              <w:rPr>
                <w:rFonts w:eastAsia="Times New Roman" w:cs="Calibri"/>
                <w:color w:val="000000"/>
              </w:rPr>
              <w:t>Pour suite à donner</w:t>
            </w:r>
          </w:p>
        </w:tc>
        <w:tc>
          <w:tcPr>
            <w:tcW w:w="160" w:type="dxa"/>
            <w:shd w:val="clear" w:color="auto" w:fill="auto"/>
            <w:vAlign w:val="bottom"/>
          </w:tcPr>
          <w:p w14:paraId="2165E2F5" w14:textId="77777777" w:rsidR="009A0954" w:rsidRPr="007F78CE" w:rsidRDefault="009A0954" w:rsidP="009A0954">
            <w:pPr>
              <w:rPr>
                <w:rFonts w:eastAsia="Times New Roman" w:cs="Calibri"/>
                <w:color w:val="000000"/>
              </w:rPr>
            </w:pPr>
          </w:p>
        </w:tc>
      </w:tr>
      <w:tr w:rsidR="009A0954" w:rsidRPr="007F78CE" w14:paraId="303786D7" w14:textId="77777777" w:rsidTr="009A0954">
        <w:trPr>
          <w:trHeight w:val="300"/>
        </w:trPr>
        <w:tc>
          <w:tcPr>
            <w:tcW w:w="1686" w:type="dxa"/>
            <w:tcBorders>
              <w:left w:val="single" w:sz="4" w:space="0" w:color="000000"/>
              <w:bottom w:val="single" w:sz="4" w:space="0" w:color="000000"/>
              <w:right w:val="single" w:sz="4" w:space="0" w:color="000000"/>
            </w:tcBorders>
            <w:shd w:val="clear" w:color="auto" w:fill="auto"/>
            <w:vAlign w:val="bottom"/>
          </w:tcPr>
          <w:p w14:paraId="62E05ABF" w14:textId="77777777" w:rsidR="009A0954" w:rsidRPr="007F78CE" w:rsidRDefault="009A0954" w:rsidP="009A0954">
            <w:pPr>
              <w:rPr>
                <w:rFonts w:eastAsia="Times New Roman" w:cs="Calibri"/>
                <w:color w:val="000000"/>
              </w:rPr>
            </w:pPr>
            <w:r w:rsidRPr="007F78CE">
              <w:rPr>
                <w:rFonts w:eastAsia="Times New Roman" w:cs="Calibri"/>
                <w:color w:val="000000"/>
              </w:rPr>
              <w:t> </w:t>
            </w:r>
          </w:p>
        </w:tc>
        <w:tc>
          <w:tcPr>
            <w:tcW w:w="1404" w:type="dxa"/>
            <w:tcBorders>
              <w:bottom w:val="single" w:sz="4" w:space="0" w:color="000000"/>
              <w:right w:val="single" w:sz="4" w:space="0" w:color="000000"/>
            </w:tcBorders>
            <w:shd w:val="clear" w:color="auto" w:fill="auto"/>
            <w:vAlign w:val="bottom"/>
          </w:tcPr>
          <w:p w14:paraId="540646CC" w14:textId="77777777" w:rsidR="009A0954" w:rsidRPr="007F78CE" w:rsidRDefault="009A0954" w:rsidP="009A0954">
            <w:pPr>
              <w:rPr>
                <w:rFonts w:eastAsia="Times New Roman" w:cs="Calibri"/>
                <w:color w:val="000000"/>
              </w:rPr>
            </w:pPr>
            <w:r w:rsidRPr="007F78CE">
              <w:rPr>
                <w:rFonts w:eastAsia="Times New Roman" w:cs="Calibri"/>
                <w:color w:val="000000"/>
              </w:rPr>
              <w:t> </w:t>
            </w:r>
          </w:p>
        </w:tc>
        <w:tc>
          <w:tcPr>
            <w:tcW w:w="2013" w:type="dxa"/>
            <w:tcBorders>
              <w:bottom w:val="single" w:sz="4" w:space="0" w:color="000000"/>
              <w:right w:val="single" w:sz="4" w:space="0" w:color="000000"/>
            </w:tcBorders>
            <w:shd w:val="clear" w:color="auto" w:fill="auto"/>
            <w:vAlign w:val="bottom"/>
          </w:tcPr>
          <w:p w14:paraId="0FD6F227" w14:textId="77777777" w:rsidR="009A0954" w:rsidRPr="007F78CE" w:rsidRDefault="009A0954" w:rsidP="009A0954">
            <w:pPr>
              <w:rPr>
                <w:rFonts w:eastAsia="Times New Roman" w:cs="Calibri"/>
                <w:color w:val="000000"/>
              </w:rPr>
            </w:pPr>
            <w:r w:rsidRPr="007F78CE">
              <w:rPr>
                <w:rFonts w:eastAsia="Times New Roman" w:cs="Calibri"/>
                <w:color w:val="000000"/>
              </w:rPr>
              <w:t>CRL</w:t>
            </w:r>
          </w:p>
        </w:tc>
        <w:tc>
          <w:tcPr>
            <w:tcW w:w="2100" w:type="dxa"/>
            <w:tcBorders>
              <w:bottom w:val="single" w:sz="4" w:space="0" w:color="000000"/>
              <w:right w:val="single" w:sz="4" w:space="0" w:color="000000"/>
            </w:tcBorders>
            <w:shd w:val="clear" w:color="auto" w:fill="auto"/>
            <w:vAlign w:val="bottom"/>
          </w:tcPr>
          <w:p w14:paraId="4414872D" w14:textId="77777777" w:rsidR="009A0954" w:rsidRPr="007F78CE" w:rsidRDefault="009A0954" w:rsidP="009A0954">
            <w:pPr>
              <w:rPr>
                <w:rFonts w:eastAsia="Times New Roman" w:cs="Calibri"/>
                <w:color w:val="000000"/>
              </w:rPr>
            </w:pPr>
            <w:r w:rsidRPr="007F78CE">
              <w:rPr>
                <w:rFonts w:eastAsia="Times New Roman" w:cs="Calibri"/>
                <w:color w:val="000000"/>
              </w:rPr>
              <w:t>Pour suite à donner</w:t>
            </w:r>
          </w:p>
        </w:tc>
        <w:tc>
          <w:tcPr>
            <w:tcW w:w="160" w:type="dxa"/>
            <w:shd w:val="clear" w:color="auto" w:fill="auto"/>
            <w:vAlign w:val="bottom"/>
          </w:tcPr>
          <w:p w14:paraId="6292AE59" w14:textId="77777777" w:rsidR="009A0954" w:rsidRPr="007F78CE" w:rsidRDefault="009A0954" w:rsidP="009A0954">
            <w:pPr>
              <w:rPr>
                <w:rFonts w:eastAsia="Times New Roman" w:cs="Calibri"/>
                <w:color w:val="000000"/>
              </w:rPr>
            </w:pPr>
          </w:p>
        </w:tc>
      </w:tr>
      <w:tr w:rsidR="009A0954" w:rsidRPr="007F78CE" w14:paraId="2875E5C2" w14:textId="77777777" w:rsidTr="009A0954">
        <w:trPr>
          <w:trHeight w:val="300"/>
        </w:trPr>
        <w:tc>
          <w:tcPr>
            <w:tcW w:w="1686" w:type="dxa"/>
            <w:tcBorders>
              <w:left w:val="single" w:sz="4" w:space="0" w:color="000000"/>
              <w:bottom w:val="single" w:sz="4" w:space="0" w:color="000000"/>
              <w:right w:val="single" w:sz="4" w:space="0" w:color="000000"/>
            </w:tcBorders>
            <w:shd w:val="clear" w:color="auto" w:fill="auto"/>
            <w:vAlign w:val="bottom"/>
          </w:tcPr>
          <w:p w14:paraId="5D3CBF45" w14:textId="77777777" w:rsidR="009A0954" w:rsidRPr="007F78CE" w:rsidRDefault="009A0954" w:rsidP="009A0954">
            <w:pPr>
              <w:rPr>
                <w:rFonts w:eastAsia="Times New Roman" w:cs="Calibri"/>
                <w:color w:val="000000"/>
              </w:rPr>
            </w:pPr>
            <w:r w:rsidRPr="007F78CE">
              <w:rPr>
                <w:rFonts w:eastAsia="Times New Roman" w:cs="Calibri"/>
                <w:color w:val="000000"/>
              </w:rPr>
              <w:t> </w:t>
            </w:r>
          </w:p>
        </w:tc>
        <w:tc>
          <w:tcPr>
            <w:tcW w:w="1404" w:type="dxa"/>
            <w:tcBorders>
              <w:bottom w:val="single" w:sz="4" w:space="0" w:color="000000"/>
              <w:right w:val="single" w:sz="4" w:space="0" w:color="000000"/>
            </w:tcBorders>
            <w:shd w:val="clear" w:color="auto" w:fill="auto"/>
            <w:vAlign w:val="bottom"/>
          </w:tcPr>
          <w:p w14:paraId="7E8299BF" w14:textId="77777777" w:rsidR="009A0954" w:rsidRPr="007F78CE" w:rsidRDefault="009A0954" w:rsidP="009A0954">
            <w:pPr>
              <w:rPr>
                <w:rFonts w:eastAsia="Times New Roman" w:cs="Calibri"/>
                <w:color w:val="000000"/>
              </w:rPr>
            </w:pPr>
            <w:r w:rsidRPr="007F78CE">
              <w:rPr>
                <w:rFonts w:eastAsia="Times New Roman" w:cs="Calibri"/>
                <w:color w:val="000000"/>
              </w:rPr>
              <w:t> </w:t>
            </w:r>
          </w:p>
        </w:tc>
        <w:tc>
          <w:tcPr>
            <w:tcW w:w="2013" w:type="dxa"/>
            <w:tcBorders>
              <w:bottom w:val="single" w:sz="4" w:space="0" w:color="000000"/>
              <w:right w:val="single" w:sz="4" w:space="0" w:color="000000"/>
            </w:tcBorders>
            <w:shd w:val="clear" w:color="auto" w:fill="auto"/>
            <w:vAlign w:val="bottom"/>
          </w:tcPr>
          <w:p w14:paraId="735132DD" w14:textId="77777777" w:rsidR="009A0954" w:rsidRPr="007F78CE" w:rsidRDefault="009A0954" w:rsidP="009A0954">
            <w:pPr>
              <w:rPr>
                <w:rFonts w:eastAsia="Times New Roman" w:cs="Calibri"/>
                <w:color w:val="000000"/>
              </w:rPr>
            </w:pPr>
            <w:r w:rsidRPr="007F78CE">
              <w:rPr>
                <w:rFonts w:eastAsia="Times New Roman" w:cs="Calibri"/>
                <w:color w:val="000000"/>
              </w:rPr>
              <w:t>Autres: préciser</w:t>
            </w:r>
          </w:p>
        </w:tc>
        <w:tc>
          <w:tcPr>
            <w:tcW w:w="2100" w:type="dxa"/>
            <w:tcBorders>
              <w:bottom w:val="single" w:sz="4" w:space="0" w:color="000000"/>
              <w:right w:val="single" w:sz="4" w:space="0" w:color="000000"/>
            </w:tcBorders>
            <w:shd w:val="clear" w:color="auto" w:fill="auto"/>
            <w:vAlign w:val="bottom"/>
          </w:tcPr>
          <w:p w14:paraId="0D193981" w14:textId="77777777" w:rsidR="009A0954" w:rsidRPr="007F78CE" w:rsidRDefault="009A0954" w:rsidP="009A0954">
            <w:pPr>
              <w:rPr>
                <w:rFonts w:eastAsia="Times New Roman" w:cs="Calibri"/>
                <w:color w:val="000000"/>
              </w:rPr>
            </w:pPr>
            <w:r w:rsidRPr="007F78CE">
              <w:rPr>
                <w:rFonts w:eastAsia="Times New Roman" w:cs="Calibri"/>
                <w:color w:val="000000"/>
              </w:rPr>
              <w:t> </w:t>
            </w:r>
          </w:p>
        </w:tc>
        <w:tc>
          <w:tcPr>
            <w:tcW w:w="160" w:type="dxa"/>
            <w:shd w:val="clear" w:color="auto" w:fill="auto"/>
            <w:vAlign w:val="bottom"/>
          </w:tcPr>
          <w:p w14:paraId="1BBFCF06" w14:textId="77777777" w:rsidR="009A0954" w:rsidRPr="007F78CE" w:rsidRDefault="009A0954" w:rsidP="009A0954">
            <w:pPr>
              <w:rPr>
                <w:rFonts w:eastAsia="Times New Roman" w:cs="Calibri"/>
                <w:color w:val="000000"/>
              </w:rPr>
            </w:pPr>
          </w:p>
        </w:tc>
      </w:tr>
      <w:tr w:rsidR="009A0954" w:rsidRPr="007F78CE" w14:paraId="190BF866" w14:textId="77777777" w:rsidTr="009A0954">
        <w:trPr>
          <w:trHeight w:val="300"/>
        </w:trPr>
        <w:tc>
          <w:tcPr>
            <w:tcW w:w="1686" w:type="dxa"/>
            <w:tcBorders>
              <w:left w:val="single" w:sz="4" w:space="0" w:color="000000"/>
              <w:bottom w:val="single" w:sz="4" w:space="0" w:color="000000"/>
              <w:right w:val="single" w:sz="4" w:space="0" w:color="000000"/>
            </w:tcBorders>
            <w:shd w:val="clear" w:color="auto" w:fill="auto"/>
            <w:vAlign w:val="bottom"/>
          </w:tcPr>
          <w:p w14:paraId="4DFC0F61" w14:textId="77777777" w:rsidR="009A0954" w:rsidRPr="007F78CE" w:rsidRDefault="009A0954" w:rsidP="009A0954">
            <w:pPr>
              <w:rPr>
                <w:rFonts w:eastAsia="Times New Roman" w:cs="Calibri"/>
                <w:color w:val="000000"/>
              </w:rPr>
            </w:pPr>
            <w:r w:rsidRPr="007F78CE">
              <w:rPr>
                <w:rFonts w:eastAsia="Times New Roman" w:cs="Calibri"/>
                <w:color w:val="000000"/>
              </w:rPr>
              <w:t> </w:t>
            </w:r>
          </w:p>
        </w:tc>
        <w:tc>
          <w:tcPr>
            <w:tcW w:w="1404" w:type="dxa"/>
            <w:tcBorders>
              <w:bottom w:val="single" w:sz="4" w:space="0" w:color="000000"/>
              <w:right w:val="single" w:sz="4" w:space="0" w:color="000000"/>
            </w:tcBorders>
            <w:shd w:val="clear" w:color="auto" w:fill="auto"/>
            <w:vAlign w:val="bottom"/>
          </w:tcPr>
          <w:p w14:paraId="59E6D627" w14:textId="77777777" w:rsidR="009A0954" w:rsidRPr="007F78CE" w:rsidRDefault="009A0954" w:rsidP="009A0954">
            <w:pPr>
              <w:rPr>
                <w:rFonts w:eastAsia="Times New Roman" w:cs="Calibri"/>
                <w:color w:val="000000"/>
              </w:rPr>
            </w:pPr>
            <w:r w:rsidRPr="007F78CE">
              <w:rPr>
                <w:rFonts w:eastAsia="Times New Roman" w:cs="Calibri"/>
                <w:color w:val="000000"/>
              </w:rPr>
              <w:t> </w:t>
            </w:r>
          </w:p>
        </w:tc>
        <w:tc>
          <w:tcPr>
            <w:tcW w:w="2013" w:type="dxa"/>
            <w:tcBorders>
              <w:bottom w:val="single" w:sz="4" w:space="0" w:color="000000"/>
              <w:right w:val="single" w:sz="4" w:space="0" w:color="000000"/>
            </w:tcBorders>
            <w:shd w:val="clear" w:color="auto" w:fill="auto"/>
            <w:vAlign w:val="bottom"/>
          </w:tcPr>
          <w:p w14:paraId="07B26ED0" w14:textId="77777777" w:rsidR="009A0954" w:rsidRPr="007F78CE" w:rsidRDefault="009A0954" w:rsidP="009A0954">
            <w:pPr>
              <w:rPr>
                <w:rFonts w:eastAsia="Times New Roman" w:cs="Calibri"/>
                <w:color w:val="000000"/>
              </w:rPr>
            </w:pPr>
            <w:r w:rsidRPr="007F78CE">
              <w:rPr>
                <w:rFonts w:eastAsia="Times New Roman" w:cs="Calibri"/>
                <w:color w:val="000000"/>
              </w:rPr>
              <w:t>Archives</w:t>
            </w:r>
          </w:p>
        </w:tc>
        <w:tc>
          <w:tcPr>
            <w:tcW w:w="2100" w:type="dxa"/>
            <w:tcBorders>
              <w:bottom w:val="single" w:sz="4" w:space="0" w:color="000000"/>
              <w:right w:val="single" w:sz="4" w:space="0" w:color="000000"/>
            </w:tcBorders>
            <w:shd w:val="clear" w:color="auto" w:fill="auto"/>
            <w:vAlign w:val="bottom"/>
          </w:tcPr>
          <w:p w14:paraId="6351D077" w14:textId="77777777" w:rsidR="009A0954" w:rsidRPr="007F78CE" w:rsidRDefault="009A0954" w:rsidP="009A0954">
            <w:pPr>
              <w:rPr>
                <w:rFonts w:eastAsia="Times New Roman" w:cs="Calibri"/>
                <w:color w:val="000000"/>
              </w:rPr>
            </w:pPr>
            <w:r w:rsidRPr="007F78CE">
              <w:rPr>
                <w:rFonts w:eastAsia="Times New Roman" w:cs="Calibri"/>
                <w:color w:val="000000"/>
              </w:rPr>
              <w:t>Pour classement</w:t>
            </w:r>
          </w:p>
        </w:tc>
        <w:tc>
          <w:tcPr>
            <w:tcW w:w="160" w:type="dxa"/>
            <w:shd w:val="clear" w:color="auto" w:fill="auto"/>
            <w:vAlign w:val="bottom"/>
          </w:tcPr>
          <w:p w14:paraId="54B75A31" w14:textId="77777777" w:rsidR="009A0954" w:rsidRPr="007F78CE" w:rsidRDefault="009A0954" w:rsidP="009A0954">
            <w:pPr>
              <w:rPr>
                <w:rFonts w:eastAsia="Times New Roman" w:cs="Calibri"/>
                <w:color w:val="000000"/>
              </w:rPr>
            </w:pPr>
          </w:p>
        </w:tc>
      </w:tr>
    </w:tbl>
    <w:p w14:paraId="7B45186C" w14:textId="77777777" w:rsidR="009A0954" w:rsidRPr="007F78CE" w:rsidRDefault="009A0954" w:rsidP="009A0954">
      <w:pPr>
        <w:pStyle w:val="Corpsdetexte"/>
        <w:spacing w:before="232" w:after="280"/>
        <w:ind w:right="842"/>
        <w:rPr>
          <w:rFonts w:ascii="Calibri" w:hAnsi="Calibri" w:cs="Calibri"/>
        </w:rPr>
      </w:pPr>
      <w:r w:rsidRPr="007F78CE">
        <w:rPr>
          <w:rFonts w:ascii="Calibri" w:hAnsi="Calibri" w:cs="Calibri"/>
        </w:rPr>
        <w:t>Motif :</w:t>
      </w:r>
    </w:p>
    <w:p w14:paraId="24C6F05B" w14:textId="77777777" w:rsidR="009A0954" w:rsidRPr="007F78CE" w:rsidRDefault="009A0954" w:rsidP="009A0954">
      <w:pPr>
        <w:pStyle w:val="Corpsdetexte"/>
        <w:spacing w:before="280" w:after="280"/>
        <w:ind w:right="839"/>
        <w:rPr>
          <w:rFonts w:ascii="Calibri" w:hAnsi="Calibri" w:cs="Calibri"/>
        </w:rPr>
      </w:pPr>
      <w:r w:rsidRPr="007F78CE">
        <w:rPr>
          <w:rFonts w:ascii="Calibri" w:hAnsi="Calibri" w:cs="Calibri"/>
        </w:rPr>
        <w:tab/>
      </w:r>
      <w:r w:rsidRPr="007F78CE">
        <w:rPr>
          <w:rFonts w:ascii="Calibri" w:hAnsi="Calibri" w:cs="Calibri"/>
        </w:rPr>
        <w:tab/>
      </w:r>
      <w:r w:rsidRPr="007F78CE">
        <w:rPr>
          <w:rFonts w:ascii="Calibri" w:hAnsi="Calibri" w:cs="Calibri"/>
        </w:rPr>
        <w:tab/>
      </w:r>
      <w:r w:rsidRPr="007F78CE">
        <w:rPr>
          <w:rFonts w:ascii="Calibri" w:hAnsi="Calibri" w:cs="Calibri"/>
        </w:rPr>
        <w:tab/>
      </w:r>
      <w:r w:rsidRPr="007F78CE">
        <w:rPr>
          <w:rFonts w:ascii="Calibri" w:hAnsi="Calibri" w:cs="Calibri"/>
        </w:rPr>
        <w:tab/>
      </w:r>
      <w:r w:rsidRPr="007F78CE">
        <w:rPr>
          <w:rFonts w:ascii="Calibri" w:hAnsi="Calibri" w:cs="Calibri"/>
        </w:rPr>
        <w:tab/>
        <w:t xml:space="preserve">Le représentant du Projet </w:t>
      </w:r>
      <w:r w:rsidR="00D334A6" w:rsidRPr="007F78CE">
        <w:rPr>
          <w:rFonts w:ascii="Calibri" w:hAnsi="Calibri" w:cs="Calibri"/>
        </w:rPr>
        <w:t>DECIM</w:t>
      </w:r>
    </w:p>
    <w:p w14:paraId="7EFF961E" w14:textId="77777777" w:rsidR="009A0954" w:rsidRPr="007F78CE" w:rsidRDefault="009A0954" w:rsidP="009A0954">
      <w:pPr>
        <w:pStyle w:val="Corpsdetexte"/>
        <w:spacing w:before="280" w:after="280"/>
        <w:ind w:left="3530" w:right="839" w:firstLine="706"/>
        <w:rPr>
          <w:rFonts w:ascii="Calibri" w:hAnsi="Calibri" w:cs="Calibri"/>
        </w:rPr>
      </w:pPr>
      <w:r w:rsidRPr="007F78CE">
        <w:rPr>
          <w:rFonts w:ascii="Calibri" w:hAnsi="Calibri" w:cs="Calibri"/>
        </w:rPr>
        <w:t>Nom et signature</w:t>
      </w:r>
    </w:p>
    <w:p w14:paraId="2E2EEC8B" w14:textId="77777777" w:rsidR="009A0954" w:rsidRPr="007F78CE" w:rsidRDefault="009A0954" w:rsidP="009A0954">
      <w:pPr>
        <w:pStyle w:val="Corpsdetexte"/>
        <w:spacing w:before="280" w:after="280"/>
        <w:ind w:right="839"/>
        <w:rPr>
          <w:rFonts w:ascii="Calibri" w:hAnsi="Calibri" w:cs="Calibri"/>
        </w:rPr>
      </w:pPr>
      <w:r w:rsidRPr="007F78CE">
        <w:rPr>
          <w:rFonts w:ascii="Calibri" w:hAnsi="Calibri" w:cs="Calibri"/>
          <w:u w:val="single"/>
        </w:rPr>
        <w:t>Date d’envoi</w:t>
      </w:r>
      <w:r w:rsidRPr="007F78CE">
        <w:rPr>
          <w:rFonts w:ascii="Calibri" w:hAnsi="Calibri" w:cs="Calibri"/>
        </w:rPr>
        <w:t> :</w:t>
      </w:r>
    </w:p>
    <w:p w14:paraId="59355CD9" w14:textId="77777777" w:rsidR="00B81F63" w:rsidRDefault="009A0954" w:rsidP="009A0954">
      <w:pPr>
        <w:spacing w:before="120" w:after="120"/>
        <w:ind w:left="1418" w:hanging="1418"/>
        <w:rPr>
          <w:rFonts w:cs="Calibri"/>
        </w:rPr>
      </w:pPr>
      <w:r w:rsidRPr="007F78CE">
        <w:rPr>
          <w:rFonts w:cs="Calibri"/>
          <w:u w:val="single"/>
        </w:rPr>
        <w:t>Copie</w:t>
      </w:r>
      <w:r w:rsidRPr="007F78CE">
        <w:rPr>
          <w:rFonts w:cs="Calibri"/>
        </w:rPr>
        <w:t> :</w:t>
      </w:r>
      <w:bookmarkStart w:id="1734" w:name="_Toc98044878"/>
      <w:bookmarkStart w:id="1735" w:name="_Toc92037674"/>
      <w:bookmarkStart w:id="1736" w:name="_Toc68773997"/>
      <w:bookmarkStart w:id="1737" w:name="_Toc84293581"/>
      <w:bookmarkStart w:id="1738" w:name="_Toc124173259"/>
    </w:p>
    <w:p w14:paraId="6F37CE31" w14:textId="77777777" w:rsidR="009A0954" w:rsidRPr="00940A32" w:rsidRDefault="00576E91" w:rsidP="00940A32">
      <w:pPr>
        <w:rPr>
          <w:rFonts w:ascii="Arial" w:hAnsi="Arial" w:cs="Arial"/>
          <w:b/>
          <w:bCs/>
        </w:rPr>
      </w:pPr>
      <w:r>
        <w:rPr>
          <w:rFonts w:ascii="Arial" w:hAnsi="Arial" w:cs="Arial"/>
          <w:b/>
          <w:sz w:val="24"/>
          <w:szCs w:val="20"/>
        </w:rPr>
        <w:br w:type="page"/>
      </w:r>
      <w:bookmarkStart w:id="1739" w:name="_Toc125402469"/>
      <w:r w:rsidR="009A0954" w:rsidRPr="00940A32">
        <w:rPr>
          <w:rFonts w:ascii="Arial" w:hAnsi="Arial" w:cs="Arial"/>
          <w:b/>
          <w:bCs/>
        </w:rPr>
        <w:t xml:space="preserve">Annexe </w:t>
      </w:r>
      <w:r w:rsidR="009A0954" w:rsidRPr="00940A32">
        <w:rPr>
          <w:rFonts w:ascii="Arial" w:hAnsi="Arial" w:cs="Arial"/>
          <w:b/>
          <w:bCs/>
        </w:rPr>
        <w:fldChar w:fldCharType="begin"/>
      </w:r>
      <w:r w:rsidR="009A0954" w:rsidRPr="00940A32">
        <w:rPr>
          <w:rFonts w:ascii="Arial" w:hAnsi="Arial" w:cs="Arial"/>
          <w:b/>
          <w:bCs/>
        </w:rPr>
        <w:instrText>SEQ Annexe \* ARABIC</w:instrText>
      </w:r>
      <w:r w:rsidR="009A0954" w:rsidRPr="00940A32">
        <w:rPr>
          <w:rFonts w:ascii="Arial" w:hAnsi="Arial" w:cs="Arial"/>
          <w:b/>
          <w:bCs/>
        </w:rPr>
        <w:fldChar w:fldCharType="separate"/>
      </w:r>
      <w:r w:rsidR="009947B9">
        <w:rPr>
          <w:rFonts w:ascii="Arial" w:hAnsi="Arial" w:cs="Arial"/>
          <w:b/>
          <w:bCs/>
          <w:noProof/>
        </w:rPr>
        <w:t>6</w:t>
      </w:r>
      <w:r w:rsidR="009A0954" w:rsidRPr="00940A32">
        <w:rPr>
          <w:rFonts w:ascii="Arial" w:hAnsi="Arial" w:cs="Arial"/>
          <w:b/>
          <w:bCs/>
        </w:rPr>
        <w:fldChar w:fldCharType="end"/>
      </w:r>
      <w:r w:rsidR="009A0954" w:rsidRPr="00940A32">
        <w:rPr>
          <w:rFonts w:ascii="Arial" w:hAnsi="Arial" w:cs="Arial"/>
          <w:b/>
          <w:bCs/>
        </w:rPr>
        <w:t> : Code de conduite à utiliser par les entreprises contractantes avec le Projet</w:t>
      </w:r>
      <w:bookmarkEnd w:id="1734"/>
      <w:bookmarkEnd w:id="1735"/>
      <w:bookmarkEnd w:id="1736"/>
      <w:bookmarkEnd w:id="1737"/>
      <w:bookmarkEnd w:id="1738"/>
      <w:bookmarkEnd w:id="1739"/>
    </w:p>
    <w:p w14:paraId="4AEE1414" w14:textId="77777777" w:rsidR="009A0954" w:rsidRDefault="009A0954" w:rsidP="009A0954">
      <w:pPr>
        <w:pBdr>
          <w:top w:val="single" w:sz="4" w:space="1" w:color="000000"/>
          <w:left w:val="single" w:sz="4" w:space="4" w:color="000000"/>
          <w:bottom w:val="single" w:sz="4" w:space="1" w:color="000000"/>
          <w:right w:val="single" w:sz="4" w:space="4" w:color="000000"/>
        </w:pBdr>
        <w:spacing w:before="120" w:after="120"/>
        <w:ind w:left="1418" w:hanging="1418"/>
        <w:rPr>
          <w:rFonts w:ascii="Arial" w:hAnsi="Arial" w:cs="Arial"/>
          <w:b/>
          <w:sz w:val="24"/>
          <w:szCs w:val="20"/>
        </w:rPr>
      </w:pPr>
      <w:r>
        <w:rPr>
          <w:rFonts w:ascii="Arial" w:hAnsi="Arial" w:cs="Arial"/>
          <w:b/>
          <w:sz w:val="24"/>
          <w:szCs w:val="20"/>
        </w:rPr>
        <w:t>Code de conduite de l’entreprise pour la mise en œuvre des normes HSSE et SST – Prévenir les Violences Basées sur le Genre</w:t>
      </w:r>
    </w:p>
    <w:p w14:paraId="2A851ADC" w14:textId="77777777" w:rsidR="009A0954" w:rsidRDefault="009A0954" w:rsidP="0044500E">
      <w:pPr>
        <w:pStyle w:val="Sansinterligne1"/>
        <w:numPr>
          <w:ilvl w:val="0"/>
          <w:numId w:val="115"/>
        </w:numPr>
        <w:spacing w:before="120" w:after="120" w:line="360" w:lineRule="auto"/>
        <w:ind w:left="567" w:hanging="357"/>
        <w:jc w:val="both"/>
        <w:rPr>
          <w:rFonts w:ascii="Arial" w:hAnsi="Arial" w:cs="Arial"/>
          <w:b/>
        </w:rPr>
      </w:pPr>
      <w:r>
        <w:rPr>
          <w:rFonts w:ascii="Arial" w:hAnsi="Arial" w:cs="Arial"/>
          <w:b/>
        </w:rPr>
        <w:t>ENGAGEMENT GENERAL</w:t>
      </w:r>
    </w:p>
    <w:p w14:paraId="4F642A5C" w14:textId="77777777" w:rsidR="009A0954" w:rsidRPr="007F78CE" w:rsidRDefault="009A0954" w:rsidP="0044500E">
      <w:pPr>
        <w:pStyle w:val="Listecouleur-Accent13"/>
        <w:numPr>
          <w:ilvl w:val="0"/>
          <w:numId w:val="121"/>
        </w:numPr>
        <w:spacing w:after="120" w:line="240" w:lineRule="auto"/>
        <w:rPr>
          <w:rFonts w:cs="Calibri"/>
        </w:rPr>
      </w:pPr>
      <w:r w:rsidRPr="007F78CE">
        <w:rPr>
          <w:rFonts w:cs="Calibri"/>
        </w:rPr>
        <w:t>L'entreprise s'engage à veiller à ce que le projet soit mis en œuvre de manière à minimiser les impacts négatifs sur l'environnement local, les communautés et les travailleurs. Cela se fera en respectant les normes environnementales, sociales, de santé et de sécurité (HSSE) et en veillant à ce que les normes appropriées en matière de santé et de sécurité au travail (SST) soient respectées. L'entreprise s'engage également à créer et maintenir un environnement dans lequel la violence basée sur le genre (VBG) et la violence contre les enfants n'ont pas leur place et où elles ne seront tolérées par aucun employé, sous-traitant, fournisseur, associé ou représentant de l'entreprise.</w:t>
      </w:r>
    </w:p>
    <w:p w14:paraId="50B9ED5A" w14:textId="77777777" w:rsidR="009A0954" w:rsidRPr="007F78CE" w:rsidRDefault="009A0954" w:rsidP="0044500E">
      <w:pPr>
        <w:pStyle w:val="Listecouleur-Accent13"/>
        <w:numPr>
          <w:ilvl w:val="0"/>
          <w:numId w:val="122"/>
        </w:numPr>
        <w:spacing w:after="120" w:line="240" w:lineRule="auto"/>
        <w:rPr>
          <w:rFonts w:cs="Calibri"/>
        </w:rPr>
      </w:pPr>
      <w:r w:rsidRPr="007F78CE">
        <w:rPr>
          <w:rFonts w:cs="Calibri"/>
        </w:rPr>
        <w:t xml:space="preserve">Par conséquent, pour s'assurer que tous les participants au projet sont conscients de cet engagement, l'entreprise s'engage à respecter les principes fondamentaux et les normes de comportement suivants qui s'appliquent à tous les employés, associés et représentants de l'entreprise, y compris les sous-traitants et les fournisseurs sans exception. </w:t>
      </w:r>
    </w:p>
    <w:p w14:paraId="07D37F0C" w14:textId="77777777" w:rsidR="009A0954" w:rsidRDefault="009A0954" w:rsidP="0044500E">
      <w:pPr>
        <w:pStyle w:val="Sansinterligne1"/>
        <w:numPr>
          <w:ilvl w:val="0"/>
          <w:numId w:val="115"/>
        </w:numPr>
        <w:spacing w:before="120" w:after="120" w:line="360" w:lineRule="auto"/>
        <w:ind w:left="567" w:hanging="357"/>
        <w:jc w:val="both"/>
        <w:rPr>
          <w:rFonts w:ascii="Arial" w:hAnsi="Arial" w:cs="Arial"/>
          <w:bCs w:val="0"/>
        </w:rPr>
      </w:pPr>
      <w:bookmarkStart w:id="1740" w:name="_Toc528761638"/>
      <w:r>
        <w:rPr>
          <w:rFonts w:ascii="Arial" w:hAnsi="Arial" w:cs="Arial"/>
          <w:b/>
        </w:rPr>
        <w:t>PRINCIPES GENERAUX ET SUR L’ENGAGEMENT DE L’ENTREPRISE</w:t>
      </w:r>
      <w:bookmarkEnd w:id="1740"/>
    </w:p>
    <w:p w14:paraId="57BDB1AB" w14:textId="77777777" w:rsidR="009A0954" w:rsidRPr="007F78CE" w:rsidRDefault="009A0954" w:rsidP="0044500E">
      <w:pPr>
        <w:pStyle w:val="Listecouleur-Accent13"/>
        <w:numPr>
          <w:ilvl w:val="0"/>
          <w:numId w:val="122"/>
        </w:numPr>
        <w:spacing w:after="120" w:line="240" w:lineRule="auto"/>
        <w:rPr>
          <w:rFonts w:cs="Calibri"/>
        </w:rPr>
      </w:pPr>
      <w:r w:rsidRPr="007F78CE">
        <w:rPr>
          <w:rFonts w:cs="Calibri"/>
        </w:rPr>
        <w:t>L'entreprise - et donc tous les employés, associés, représentants, sous-traitants et fournisseurs - s'engage à se conformer à toutes les lois, règles et réglementations nationales pertinentes.</w:t>
      </w:r>
    </w:p>
    <w:p w14:paraId="2355E3CF" w14:textId="77777777" w:rsidR="009A0954" w:rsidRPr="007F78CE" w:rsidRDefault="009A0954" w:rsidP="0044500E">
      <w:pPr>
        <w:pStyle w:val="Listecouleur-Accent13"/>
        <w:numPr>
          <w:ilvl w:val="0"/>
          <w:numId w:val="122"/>
        </w:numPr>
        <w:spacing w:after="120" w:line="240" w:lineRule="auto"/>
        <w:rPr>
          <w:rFonts w:cs="Calibri"/>
        </w:rPr>
      </w:pPr>
      <w:r w:rsidRPr="007F78CE">
        <w:rPr>
          <w:rFonts w:cs="Calibri"/>
        </w:rPr>
        <w:t>L'entreprise s'engage à mettre en œuvre intégralement son « Plan de gestion environnementale et sociale de l’entreprise » (PGES-C).</w:t>
      </w:r>
    </w:p>
    <w:p w14:paraId="31114B40" w14:textId="77777777" w:rsidR="009A0954" w:rsidRPr="007F78CE" w:rsidRDefault="009A0954" w:rsidP="0044500E">
      <w:pPr>
        <w:pStyle w:val="Listecouleur-Accent13"/>
        <w:numPr>
          <w:ilvl w:val="0"/>
          <w:numId w:val="122"/>
        </w:numPr>
        <w:spacing w:after="120" w:line="240" w:lineRule="auto"/>
        <w:rPr>
          <w:rFonts w:cs="Calibri"/>
        </w:rPr>
      </w:pPr>
      <w:r w:rsidRPr="007F78CE">
        <w:rPr>
          <w:rFonts w:cs="Calibri"/>
        </w:rPr>
        <w:t>L'entreprise s'engage à traiter les femmes, les enfants (personnes de moins de 18 ans) et les hommes avec respect quelle que soit leur race, couleur, langue, religion, opinion politique ou autre, origine nationale, ethnique ou sociale, propriété, handicap, naissance ou un autre statut. Les actes de VBG sont en violation de cet engagement.</w:t>
      </w:r>
    </w:p>
    <w:p w14:paraId="7F80A1ED" w14:textId="77777777" w:rsidR="009A0954" w:rsidRPr="007F78CE" w:rsidRDefault="009A0954" w:rsidP="0044500E">
      <w:pPr>
        <w:pStyle w:val="Listecouleur-Accent13"/>
        <w:numPr>
          <w:ilvl w:val="0"/>
          <w:numId w:val="122"/>
        </w:numPr>
        <w:spacing w:after="120" w:line="240" w:lineRule="auto"/>
        <w:rPr>
          <w:rFonts w:cs="Calibri"/>
        </w:rPr>
      </w:pPr>
      <w:r w:rsidRPr="007F78CE">
        <w:rPr>
          <w:rFonts w:cs="Calibri"/>
        </w:rPr>
        <w:t>L'entreprise s’engage à assurer que les interactions avec les membres de la communauté locale sont faites avec respect et sans discrimination.</w:t>
      </w:r>
    </w:p>
    <w:p w14:paraId="04D0EC79" w14:textId="77777777" w:rsidR="009A0954" w:rsidRPr="007F78CE" w:rsidRDefault="009A0954" w:rsidP="0044500E">
      <w:pPr>
        <w:pStyle w:val="Listecouleur-Accent13"/>
        <w:numPr>
          <w:ilvl w:val="0"/>
          <w:numId w:val="122"/>
        </w:numPr>
        <w:spacing w:after="120" w:line="240" w:lineRule="auto"/>
        <w:rPr>
          <w:rFonts w:cs="Calibri"/>
        </w:rPr>
      </w:pPr>
      <w:r w:rsidRPr="007F78CE">
        <w:rPr>
          <w:rFonts w:cs="Calibri"/>
        </w:rPr>
        <w:t>Le langage et le comportement avilissants, menaçants, harcelants, abusifs, culturellement inappropriés ou sexuellement provocateurs sont interdits chez tous les employés, associés et représentants de l'entreprise, y compris les sous-traitants et les fournisseurs.</w:t>
      </w:r>
    </w:p>
    <w:p w14:paraId="5E0C9CAC" w14:textId="77777777" w:rsidR="009A0954" w:rsidRPr="007F78CE" w:rsidRDefault="009A0954" w:rsidP="0044500E">
      <w:pPr>
        <w:pStyle w:val="Listecouleur-Accent13"/>
        <w:numPr>
          <w:ilvl w:val="0"/>
          <w:numId w:val="122"/>
        </w:numPr>
        <w:spacing w:after="120" w:line="240" w:lineRule="auto"/>
        <w:rPr>
          <w:rFonts w:cs="Calibri"/>
        </w:rPr>
      </w:pPr>
      <w:r w:rsidRPr="007F78CE">
        <w:rPr>
          <w:rFonts w:cs="Calibri"/>
        </w:rPr>
        <w:t>L'entreprise suivra toutes les instructions de travail raisonnables (y compris en ce qui concerne les normes environnementales et sociales).</w:t>
      </w:r>
    </w:p>
    <w:p w14:paraId="24E34D99" w14:textId="77777777" w:rsidR="009A0954" w:rsidRPr="007F78CE" w:rsidRDefault="009A0954" w:rsidP="0044500E">
      <w:pPr>
        <w:pStyle w:val="Listecouleur-Accent13"/>
        <w:numPr>
          <w:ilvl w:val="0"/>
          <w:numId w:val="122"/>
        </w:numPr>
        <w:spacing w:after="120" w:line="240" w:lineRule="auto"/>
        <w:rPr>
          <w:rFonts w:cs="Calibri"/>
        </w:rPr>
      </w:pPr>
      <w:r w:rsidRPr="007F78CE">
        <w:rPr>
          <w:rFonts w:cs="Calibri"/>
        </w:rPr>
        <w:t>L'entreprise protégera et assurera l'utilisation appropriée des biens (par exemple, pour interdire le vol, la négligence ou le gaspillage).</w:t>
      </w:r>
    </w:p>
    <w:p w14:paraId="3F24BBA0" w14:textId="77777777" w:rsidR="009A0954" w:rsidRDefault="009A0954" w:rsidP="0044500E">
      <w:pPr>
        <w:pStyle w:val="Sansinterligne1"/>
        <w:numPr>
          <w:ilvl w:val="0"/>
          <w:numId w:val="115"/>
        </w:numPr>
        <w:spacing w:before="120" w:after="120" w:line="360" w:lineRule="auto"/>
        <w:ind w:left="567" w:hanging="357"/>
        <w:jc w:val="both"/>
        <w:rPr>
          <w:rFonts w:ascii="Arial" w:hAnsi="Arial" w:cs="Arial"/>
          <w:b/>
        </w:rPr>
      </w:pPr>
      <w:bookmarkStart w:id="1741" w:name="_Toc528761639"/>
      <w:r>
        <w:rPr>
          <w:rFonts w:ascii="Arial" w:hAnsi="Arial" w:cs="Arial"/>
          <w:b/>
        </w:rPr>
        <w:t>SANTÉ ET SÉCURITÉ</w:t>
      </w:r>
      <w:bookmarkEnd w:id="1741"/>
    </w:p>
    <w:p w14:paraId="7F3EC92E" w14:textId="77777777" w:rsidR="009A0954" w:rsidRPr="007F78CE" w:rsidRDefault="009A0954" w:rsidP="0044500E">
      <w:pPr>
        <w:pStyle w:val="Listecouleur-Accent13"/>
        <w:numPr>
          <w:ilvl w:val="0"/>
          <w:numId w:val="122"/>
        </w:numPr>
        <w:spacing w:after="120" w:line="240" w:lineRule="auto"/>
        <w:rPr>
          <w:rFonts w:cs="Calibri"/>
        </w:rPr>
      </w:pPr>
      <w:r w:rsidRPr="007F78CE">
        <w:rPr>
          <w:rFonts w:cs="Calibri"/>
        </w:rPr>
        <w:t>L'entreprise veillera à ce que le plan de gestion HSSE du projet soit mis en œuvre efficacement par le personnel de l'entreprise, ainsi que par les sous-traitants et les fournisseurs.</w:t>
      </w:r>
    </w:p>
    <w:p w14:paraId="26B8E4AC" w14:textId="77777777" w:rsidR="009A0954" w:rsidRPr="007F78CE" w:rsidRDefault="009A0954" w:rsidP="0044500E">
      <w:pPr>
        <w:pStyle w:val="Listecouleur-Accent13"/>
        <w:numPr>
          <w:ilvl w:val="0"/>
          <w:numId w:val="122"/>
        </w:numPr>
        <w:spacing w:after="120" w:line="240" w:lineRule="auto"/>
        <w:rPr>
          <w:rFonts w:cs="Calibri"/>
        </w:rPr>
      </w:pPr>
      <w:r w:rsidRPr="007F78CE">
        <w:rPr>
          <w:rFonts w:cs="Calibri"/>
        </w:rPr>
        <w:t>L'entreprise veillera à ce que toutes les personnes sur le site portent un équipement de protection individuelle approprié et prescrit, empêchant les accidents évitables et les conditions ou pratiques de déclaration qui présentent un danger pour la sécurité ou qui menacent l'environnement.</w:t>
      </w:r>
    </w:p>
    <w:p w14:paraId="1E2950CF" w14:textId="77777777" w:rsidR="009A0954" w:rsidRPr="007F78CE" w:rsidRDefault="009A0954" w:rsidP="0044500E">
      <w:pPr>
        <w:pStyle w:val="Listecouleur-Accent13"/>
        <w:numPr>
          <w:ilvl w:val="0"/>
          <w:numId w:val="122"/>
        </w:numPr>
        <w:spacing w:after="120" w:line="240" w:lineRule="auto"/>
        <w:rPr>
          <w:rFonts w:cs="Calibri"/>
        </w:rPr>
      </w:pPr>
      <w:r w:rsidRPr="007F78CE">
        <w:rPr>
          <w:rFonts w:cs="Calibri"/>
        </w:rPr>
        <w:t>L'entreprise veillera à:</w:t>
      </w:r>
    </w:p>
    <w:p w14:paraId="320DE320" w14:textId="77777777" w:rsidR="009A0954" w:rsidRPr="007F78CE" w:rsidRDefault="009A0954" w:rsidP="0044500E">
      <w:pPr>
        <w:pStyle w:val="Listecouleur-Accent13"/>
        <w:numPr>
          <w:ilvl w:val="0"/>
          <w:numId w:val="116"/>
        </w:numPr>
        <w:spacing w:before="60" w:after="0" w:line="240" w:lineRule="auto"/>
        <w:rPr>
          <w:rFonts w:cs="Calibri"/>
        </w:rPr>
      </w:pPr>
      <w:r w:rsidRPr="007F78CE">
        <w:rPr>
          <w:rFonts w:cs="Calibri"/>
        </w:rPr>
        <w:t>Interdire l'usage de l'alcool pendant les activités de travail.</w:t>
      </w:r>
    </w:p>
    <w:p w14:paraId="59CF18DE" w14:textId="77777777" w:rsidR="009A0954" w:rsidRPr="007F78CE" w:rsidRDefault="009A0954" w:rsidP="0044500E">
      <w:pPr>
        <w:pStyle w:val="Listecouleur-Accent13"/>
        <w:numPr>
          <w:ilvl w:val="0"/>
          <w:numId w:val="116"/>
        </w:numPr>
        <w:spacing w:before="60" w:after="120" w:line="240" w:lineRule="auto"/>
        <w:ind w:left="1066" w:hanging="357"/>
        <w:rPr>
          <w:rFonts w:cs="Calibri"/>
        </w:rPr>
      </w:pPr>
      <w:r w:rsidRPr="007F78CE">
        <w:rPr>
          <w:rFonts w:cs="Calibri"/>
        </w:rPr>
        <w:t>Interdire l'usage de stupéfiants ou d'autres substances qui peuvent altérer les facultés en tout temps.</w:t>
      </w:r>
    </w:p>
    <w:p w14:paraId="78F9D91B" w14:textId="77777777" w:rsidR="009A0954" w:rsidRPr="007F78CE" w:rsidRDefault="009A0954" w:rsidP="009A0954">
      <w:pPr>
        <w:pStyle w:val="Listecouleur-Accent13"/>
        <w:spacing w:before="60" w:after="120" w:line="240" w:lineRule="auto"/>
        <w:ind w:left="0"/>
        <w:rPr>
          <w:rFonts w:cs="Calibri"/>
        </w:rPr>
      </w:pPr>
      <w:r w:rsidRPr="007F78CE">
        <w:rPr>
          <w:rFonts w:cs="Calibri"/>
        </w:rPr>
        <w:t>Pour ce faire des contrôles seront effectués à l’entrée. D’autre part, des contrôles inopinés des locaux seront réalisés.</w:t>
      </w:r>
    </w:p>
    <w:p w14:paraId="240AE68F" w14:textId="77777777" w:rsidR="009A0954" w:rsidRPr="007F78CE" w:rsidRDefault="009A0954" w:rsidP="009A0954">
      <w:pPr>
        <w:pStyle w:val="Listecouleur-Accent13"/>
        <w:spacing w:before="60" w:after="120" w:line="240" w:lineRule="auto"/>
        <w:ind w:left="0"/>
        <w:rPr>
          <w:rFonts w:cs="Calibri"/>
        </w:rPr>
      </w:pPr>
    </w:p>
    <w:p w14:paraId="513BB844" w14:textId="77777777" w:rsidR="009A0954" w:rsidRPr="007F78CE" w:rsidRDefault="009A0954" w:rsidP="0044500E">
      <w:pPr>
        <w:pStyle w:val="Listecouleur-Accent13"/>
        <w:numPr>
          <w:ilvl w:val="0"/>
          <w:numId w:val="122"/>
        </w:numPr>
        <w:spacing w:after="120" w:line="240" w:lineRule="auto"/>
        <w:rPr>
          <w:rFonts w:cs="Calibri"/>
        </w:rPr>
      </w:pPr>
      <w:r w:rsidRPr="007F78CE">
        <w:rPr>
          <w:rFonts w:cs="Calibri"/>
        </w:rPr>
        <w:t>L'entreprise veillera à ce que des installations d'assainissement adéquates soient disponibles sur le site et dans les locaux fournis aux personnes travaillant sur le projet.</w:t>
      </w:r>
    </w:p>
    <w:p w14:paraId="7B18EB01" w14:textId="77777777" w:rsidR="009A0954" w:rsidRDefault="009A0954" w:rsidP="0044500E">
      <w:pPr>
        <w:pStyle w:val="Sansinterligne1"/>
        <w:numPr>
          <w:ilvl w:val="0"/>
          <w:numId w:val="115"/>
        </w:numPr>
        <w:spacing w:before="120" w:after="120" w:line="360" w:lineRule="auto"/>
        <w:ind w:left="567" w:hanging="357"/>
        <w:jc w:val="both"/>
        <w:rPr>
          <w:rFonts w:ascii="Arial" w:hAnsi="Arial" w:cs="Arial"/>
          <w:b/>
        </w:rPr>
      </w:pPr>
      <w:bookmarkStart w:id="1742" w:name="_Toc528761640"/>
      <w:r>
        <w:rPr>
          <w:rFonts w:ascii="Arial" w:hAnsi="Arial" w:cs="Arial"/>
          <w:b/>
        </w:rPr>
        <w:t>VIOLENCE</w:t>
      </w:r>
      <w:r w:rsidR="00077477">
        <w:rPr>
          <w:rFonts w:ascii="Arial" w:hAnsi="Arial" w:cs="Arial"/>
          <w:b/>
        </w:rPr>
        <w:t>S</w:t>
      </w:r>
      <w:r>
        <w:rPr>
          <w:rFonts w:ascii="Arial" w:hAnsi="Arial" w:cs="Arial"/>
          <w:b/>
        </w:rPr>
        <w:t xml:space="preserve"> BASEE</w:t>
      </w:r>
      <w:r w:rsidR="00077477">
        <w:rPr>
          <w:rFonts w:ascii="Arial" w:hAnsi="Arial" w:cs="Arial"/>
          <w:b/>
        </w:rPr>
        <w:t>S</w:t>
      </w:r>
      <w:r>
        <w:rPr>
          <w:rFonts w:ascii="Arial" w:hAnsi="Arial" w:cs="Arial"/>
          <w:b/>
        </w:rPr>
        <w:t xml:space="preserve"> SUR LE GENRE ET VIOLENCE CONTRE LES ENFANTS</w:t>
      </w:r>
      <w:bookmarkEnd w:id="1742"/>
    </w:p>
    <w:p w14:paraId="05FC918F" w14:textId="77777777" w:rsidR="009A0954" w:rsidRPr="007F78CE" w:rsidRDefault="009A0954" w:rsidP="0044500E">
      <w:pPr>
        <w:pStyle w:val="Listecouleur-Accent13"/>
        <w:numPr>
          <w:ilvl w:val="0"/>
          <w:numId w:val="122"/>
        </w:numPr>
        <w:spacing w:after="120" w:line="240" w:lineRule="auto"/>
        <w:rPr>
          <w:rFonts w:cs="Calibri"/>
        </w:rPr>
      </w:pPr>
      <w:r w:rsidRPr="007F78CE">
        <w:rPr>
          <w:rFonts w:cs="Calibri"/>
        </w:rPr>
        <w:t>Les actes de VBG constituent une faute grave et sont donc des motifs de sanctions, qui peuvent inclure des sanctions et/ou la cessation d'emploi, et si nécessaire le renvoi à la police pour d'autres mesures.</w:t>
      </w:r>
    </w:p>
    <w:p w14:paraId="4568C8BB" w14:textId="77777777" w:rsidR="009A0954" w:rsidRPr="007F78CE" w:rsidRDefault="009A0954" w:rsidP="0044500E">
      <w:pPr>
        <w:pStyle w:val="Listecouleur-Accent13"/>
        <w:numPr>
          <w:ilvl w:val="0"/>
          <w:numId w:val="122"/>
        </w:numPr>
        <w:spacing w:after="120" w:line="240" w:lineRule="auto"/>
        <w:rPr>
          <w:rFonts w:cs="Calibri"/>
        </w:rPr>
      </w:pPr>
      <w:r w:rsidRPr="007F78CE">
        <w:rPr>
          <w:rFonts w:cs="Calibri"/>
        </w:rPr>
        <w:t>Toutes les formes de VBG sont inacceptables, qu'elles aient lieu sur le lieu de travail, sur le lieu de travail, dans les camps de travailleurs ou dans la communauté locale.</w:t>
      </w:r>
    </w:p>
    <w:p w14:paraId="5FE98719" w14:textId="77777777" w:rsidR="009A0954" w:rsidRPr="007F78CE" w:rsidRDefault="009A0954" w:rsidP="0044500E">
      <w:pPr>
        <w:pStyle w:val="Listecouleur-Accent13"/>
        <w:numPr>
          <w:ilvl w:val="0"/>
          <w:numId w:val="117"/>
        </w:numPr>
        <w:spacing w:after="120" w:line="240" w:lineRule="auto"/>
        <w:rPr>
          <w:rFonts w:cs="Calibri"/>
        </w:rPr>
      </w:pPr>
      <w:r w:rsidRPr="007F78CE">
        <w:rPr>
          <w:rFonts w:cs="Calibri"/>
        </w:rPr>
        <w:t>Le harcèlement sexuel - par exemple, faire des avances sexuelles inopportunes, des demandes de faveurs sexuelles et d'autres comportements verbaux ou physiques, de nature sexuelle, y compris des actes subtils d'un tel comportement, est interdit.</w:t>
      </w:r>
    </w:p>
    <w:p w14:paraId="1CF0A9C5" w14:textId="77777777" w:rsidR="009A0954" w:rsidRPr="007F78CE" w:rsidRDefault="009A0954" w:rsidP="0044500E">
      <w:pPr>
        <w:pStyle w:val="Listecouleur-Accent13"/>
        <w:numPr>
          <w:ilvl w:val="0"/>
          <w:numId w:val="117"/>
        </w:numPr>
        <w:spacing w:after="120" w:line="240" w:lineRule="auto"/>
        <w:ind w:left="714" w:hanging="357"/>
        <w:rPr>
          <w:rFonts w:cs="Calibri"/>
        </w:rPr>
      </w:pPr>
      <w:r w:rsidRPr="007F78CE">
        <w:rPr>
          <w:rFonts w:cs="Calibri"/>
        </w:rPr>
        <w:t>Les faveurs sexuelles - par exemple, faire des promesses ou un traitement favorable dépendant d'actes sexuels - ou d'autres formes de comportement humiliant, dégradant ou d'exploitation sont interdites.</w:t>
      </w:r>
    </w:p>
    <w:p w14:paraId="57AD9C51" w14:textId="77777777" w:rsidR="009A0954" w:rsidRPr="007F78CE" w:rsidRDefault="009A0954" w:rsidP="0044500E">
      <w:pPr>
        <w:pStyle w:val="Listecouleur-Accent13"/>
        <w:numPr>
          <w:ilvl w:val="0"/>
          <w:numId w:val="122"/>
        </w:numPr>
        <w:spacing w:after="120" w:line="240" w:lineRule="auto"/>
        <w:rPr>
          <w:rFonts w:cs="Calibri"/>
        </w:rPr>
      </w:pPr>
      <w:r w:rsidRPr="007F78CE">
        <w:rPr>
          <w:rFonts w:cs="Calibri"/>
        </w:rPr>
        <w:t>Le contact ou l'activité sexuelle avec des enfants de moins de 18 ans - y compris par le biais des médias numériques - est interdit. Une croyance erronée concernant l'âge d'un enfant n'est pas une défense. Le consentement de l'enfant n'est pas non plus une défense ou une excuse.</w:t>
      </w:r>
    </w:p>
    <w:p w14:paraId="3A52C0A5" w14:textId="77777777" w:rsidR="009A0954" w:rsidRPr="007F78CE" w:rsidRDefault="009A0954" w:rsidP="0044500E">
      <w:pPr>
        <w:pStyle w:val="Listecouleur-Accent13"/>
        <w:numPr>
          <w:ilvl w:val="0"/>
          <w:numId w:val="122"/>
        </w:numPr>
        <w:spacing w:after="120" w:line="240" w:lineRule="auto"/>
        <w:rPr>
          <w:rFonts w:cs="Calibri"/>
        </w:rPr>
      </w:pPr>
      <w:r w:rsidRPr="007F78CE">
        <w:rPr>
          <w:rFonts w:cs="Calibri"/>
        </w:rPr>
        <w:t>À moins d'un consentement total de toutes les parties impliquées dans l'acte sexuel, les interactions sexuelles entre les employés de l'entreprise (à tous les niveaux) et les membres des communautés entourant le lieu de travail sont interdites. Cela inclut les relations impliquant la retenue / la promesse d'une prestation réelle (monétaire ou non monétaire) aux membres de la communauté en échange de rapports sexuels - une telle activité sexuelle est considérée comme «non consensuelle» dans le champ d'application de ce Code.</w:t>
      </w:r>
    </w:p>
    <w:p w14:paraId="13B53F07" w14:textId="77777777" w:rsidR="009A0954" w:rsidRPr="007F78CE" w:rsidRDefault="009A0954" w:rsidP="0044500E">
      <w:pPr>
        <w:pStyle w:val="Listecouleur-Accent13"/>
        <w:numPr>
          <w:ilvl w:val="0"/>
          <w:numId w:val="122"/>
        </w:numPr>
        <w:spacing w:after="120" w:line="240" w:lineRule="auto"/>
        <w:rPr>
          <w:rFonts w:cs="Calibri"/>
        </w:rPr>
      </w:pPr>
      <w:r w:rsidRPr="007F78CE">
        <w:rPr>
          <w:rFonts w:cs="Calibri"/>
        </w:rPr>
        <w:t>Outre les sanctions imposées aux entreprises, les poursuites judiciaires contre ceux qui commettent des actes de VBG seront poursuivies le cas échéant.</w:t>
      </w:r>
    </w:p>
    <w:p w14:paraId="2B3FB527" w14:textId="77777777" w:rsidR="009A0954" w:rsidRPr="007F78CE" w:rsidRDefault="009A0954" w:rsidP="0044500E">
      <w:pPr>
        <w:pStyle w:val="Listecouleur-Accent13"/>
        <w:numPr>
          <w:ilvl w:val="0"/>
          <w:numId w:val="122"/>
        </w:numPr>
        <w:spacing w:after="120" w:line="240" w:lineRule="auto"/>
        <w:rPr>
          <w:rFonts w:cs="Calibri"/>
        </w:rPr>
      </w:pPr>
      <w:r w:rsidRPr="007F78CE">
        <w:rPr>
          <w:rFonts w:cs="Calibri"/>
        </w:rPr>
        <w:t>Tous les employés, y compris les bénévoles et les sous-traitants, sont fortement encouragés à signaler les actes présumés ou réels de VBG par un collègue, que ce soit dans la même entreprise ou non. Les rapports doivent être faits conformément aux procédures de déclaration VBG du projet.</w:t>
      </w:r>
    </w:p>
    <w:p w14:paraId="46156931" w14:textId="77777777" w:rsidR="009A0954" w:rsidRPr="007F78CE" w:rsidRDefault="009A0954" w:rsidP="0044500E">
      <w:pPr>
        <w:pStyle w:val="Listecouleur-Accent13"/>
        <w:numPr>
          <w:ilvl w:val="0"/>
          <w:numId w:val="122"/>
        </w:numPr>
        <w:spacing w:after="120" w:line="240" w:lineRule="auto"/>
        <w:rPr>
          <w:rFonts w:cs="Calibri"/>
        </w:rPr>
      </w:pPr>
      <w:r w:rsidRPr="007F78CE">
        <w:rPr>
          <w:rFonts w:cs="Calibri"/>
        </w:rPr>
        <w:t>Les gestionnaires sont tenus de signaler et d'agir pour contrer les actes présumés ou réels de VBG, car ils ont la responsabilité de respecter les engagements de l'entreprise et de tenir leurs subordonnés directs responsables.</w:t>
      </w:r>
    </w:p>
    <w:p w14:paraId="3E715657" w14:textId="77777777" w:rsidR="009A0954" w:rsidRDefault="009A0954" w:rsidP="0044500E">
      <w:pPr>
        <w:pStyle w:val="Sansinterligne1"/>
        <w:numPr>
          <w:ilvl w:val="0"/>
          <w:numId w:val="115"/>
        </w:numPr>
        <w:spacing w:before="120" w:after="120" w:line="360" w:lineRule="auto"/>
        <w:ind w:left="567" w:hanging="357"/>
        <w:jc w:val="both"/>
        <w:rPr>
          <w:rFonts w:ascii="Arial" w:hAnsi="Arial" w:cs="Arial"/>
          <w:b/>
        </w:rPr>
      </w:pPr>
      <w:bookmarkStart w:id="1743" w:name="_Toc528761641"/>
      <w:r>
        <w:rPr>
          <w:rFonts w:ascii="Arial" w:hAnsi="Arial" w:cs="Arial"/>
          <w:b/>
        </w:rPr>
        <w:t>MISE EN ŒUVRE</w:t>
      </w:r>
      <w:bookmarkEnd w:id="1743"/>
    </w:p>
    <w:p w14:paraId="1D0A23C5" w14:textId="77777777" w:rsidR="009A0954" w:rsidRPr="007F78CE" w:rsidRDefault="009A0954" w:rsidP="0044500E">
      <w:pPr>
        <w:pStyle w:val="Listecouleur-Accent13"/>
        <w:numPr>
          <w:ilvl w:val="0"/>
          <w:numId w:val="122"/>
        </w:numPr>
        <w:spacing w:after="120" w:line="240" w:lineRule="auto"/>
        <w:rPr>
          <w:rFonts w:cs="Calibri"/>
        </w:rPr>
      </w:pPr>
      <w:r w:rsidRPr="007F78CE">
        <w:rPr>
          <w:rFonts w:cs="Calibri"/>
        </w:rPr>
        <w:t>L'entreprise s'engage à assurer que tous les gestionnaires signent le « Code de conduite du gestionnaire » du projet, détaillant leurs responsabilités pour la mise en œuvre des engagements de l'entreprise et l'application des responsabilités dans le « Code de conduite individuel ».</w:t>
      </w:r>
    </w:p>
    <w:p w14:paraId="290B0014" w14:textId="77777777" w:rsidR="009A0954" w:rsidRPr="007F78CE" w:rsidRDefault="009A0954" w:rsidP="0044500E">
      <w:pPr>
        <w:pStyle w:val="Listecouleur-Accent13"/>
        <w:numPr>
          <w:ilvl w:val="0"/>
          <w:numId w:val="122"/>
        </w:numPr>
        <w:spacing w:after="120" w:line="240" w:lineRule="auto"/>
        <w:rPr>
          <w:rFonts w:cs="Calibri"/>
        </w:rPr>
      </w:pPr>
      <w:r w:rsidRPr="007F78CE">
        <w:rPr>
          <w:rFonts w:cs="Calibri"/>
        </w:rPr>
        <w:t>L'entreprise s'engage à assurer à ce que tous les employés signent le « Code de conduite individuel » du projet, confirmant leur accord pour se conformer aux normes HSSE et SST, et ne s'engagent pas dans des activités ayant pour résultat la VBG.</w:t>
      </w:r>
    </w:p>
    <w:p w14:paraId="260ECBFE" w14:textId="77777777" w:rsidR="009A0954" w:rsidRPr="007F78CE" w:rsidRDefault="009A0954" w:rsidP="0044500E">
      <w:pPr>
        <w:pStyle w:val="Listecouleur-Accent13"/>
        <w:numPr>
          <w:ilvl w:val="0"/>
          <w:numId w:val="122"/>
        </w:numPr>
        <w:spacing w:after="120" w:line="240" w:lineRule="auto"/>
        <w:rPr>
          <w:rFonts w:cs="Calibri"/>
        </w:rPr>
      </w:pPr>
      <w:r w:rsidRPr="007F78CE">
        <w:rPr>
          <w:rFonts w:cs="Calibri"/>
        </w:rPr>
        <w:t>L'entreprise s'engage à afficher les Codes de conduite de l'entreprise et de chacun dans les camps de travailleurs, les bureaux et dans les espaces publics de l'espace de travail. Des exemples de zones comprennent les zones d'attente, de repos, des zones de cantine et des cliniques de santé.</w:t>
      </w:r>
    </w:p>
    <w:p w14:paraId="20B4A91D" w14:textId="77777777" w:rsidR="009A0954" w:rsidRPr="007F78CE" w:rsidRDefault="009A0954" w:rsidP="0044500E">
      <w:pPr>
        <w:pStyle w:val="Listecouleur-Accent13"/>
        <w:numPr>
          <w:ilvl w:val="0"/>
          <w:numId w:val="122"/>
        </w:numPr>
        <w:spacing w:after="120" w:line="240" w:lineRule="auto"/>
        <w:rPr>
          <w:rFonts w:cs="Calibri"/>
        </w:rPr>
      </w:pPr>
      <w:r w:rsidRPr="007F78CE">
        <w:rPr>
          <w:rFonts w:cs="Calibri"/>
        </w:rPr>
        <w:t>L'entreprise veille à ce que les copies postées et distribuées des Codes de conduite individuels soient traduites dans la langue d'utilisation appropriée dans les zones de travail ainsi que pour tout le personnel international dans leur langue maternelle.</w:t>
      </w:r>
    </w:p>
    <w:p w14:paraId="4DC88F35" w14:textId="77777777" w:rsidR="009A0954" w:rsidRPr="007F78CE" w:rsidRDefault="009A0954" w:rsidP="0044500E">
      <w:pPr>
        <w:pStyle w:val="Listecouleur-Accent13"/>
        <w:numPr>
          <w:ilvl w:val="0"/>
          <w:numId w:val="122"/>
        </w:numPr>
        <w:spacing w:after="120" w:line="240" w:lineRule="auto"/>
        <w:rPr>
          <w:rFonts w:cs="Calibri"/>
        </w:rPr>
      </w:pPr>
      <w:r w:rsidRPr="007F78CE">
        <w:rPr>
          <w:rFonts w:cs="Calibri"/>
        </w:rPr>
        <w:t xml:space="preserve">L'entreprise s'assure à ce qu’une personne appropriée est désignée comme « point focal » de l'entreprise pour traiter les questions de VBG, y compris représenter l'entreprise au sein de l'équipe dédiée pour traiter les questions de VBG </w:t>
      </w:r>
    </w:p>
    <w:p w14:paraId="222ABDA5" w14:textId="77777777" w:rsidR="009A0954" w:rsidRPr="007F78CE" w:rsidRDefault="009A0954" w:rsidP="0044500E">
      <w:pPr>
        <w:pStyle w:val="Listecouleur-Accent13"/>
        <w:numPr>
          <w:ilvl w:val="0"/>
          <w:numId w:val="122"/>
        </w:numPr>
        <w:spacing w:after="120" w:line="240" w:lineRule="auto"/>
        <w:rPr>
          <w:rFonts w:cs="Calibri"/>
        </w:rPr>
      </w:pPr>
      <w:r w:rsidRPr="007F78CE">
        <w:rPr>
          <w:rFonts w:cs="Calibri"/>
        </w:rPr>
        <w:t>L'entreprise veille à ce qu'un plan d'action efficace en matière de VBG soit élaboré en consultation avec le Spécialiste VBG de l’entreprise (S-VBG-E), ce qui comprend au minimum :</w:t>
      </w:r>
    </w:p>
    <w:p w14:paraId="5CBA312A" w14:textId="77777777" w:rsidR="009A0954" w:rsidRPr="007F78CE" w:rsidRDefault="009A0954" w:rsidP="0044500E">
      <w:pPr>
        <w:pStyle w:val="Listecouleur-Accent13"/>
        <w:numPr>
          <w:ilvl w:val="1"/>
          <w:numId w:val="123"/>
        </w:numPr>
        <w:spacing w:before="60" w:after="0" w:line="240" w:lineRule="auto"/>
        <w:ind w:left="1418" w:hanging="338"/>
        <w:rPr>
          <w:rFonts w:cs="Calibri"/>
        </w:rPr>
      </w:pPr>
      <w:r w:rsidRPr="007F78CE">
        <w:rPr>
          <w:rFonts w:cs="Calibri"/>
        </w:rPr>
        <w:t>Procédure de déclaration de VBG pour signaler les problèmes de VBG par le biais du mécanisme de règlement des litiges du projet ;</w:t>
      </w:r>
    </w:p>
    <w:p w14:paraId="6DFD0A5F" w14:textId="77777777" w:rsidR="009A0954" w:rsidRPr="007F78CE" w:rsidRDefault="009A0954" w:rsidP="0044500E">
      <w:pPr>
        <w:pStyle w:val="Listecouleur-Accent13"/>
        <w:numPr>
          <w:ilvl w:val="1"/>
          <w:numId w:val="123"/>
        </w:numPr>
        <w:spacing w:before="60" w:after="0" w:line="240" w:lineRule="auto"/>
        <w:ind w:left="1418" w:hanging="338"/>
        <w:rPr>
          <w:rFonts w:cs="Calibri"/>
        </w:rPr>
      </w:pPr>
      <w:r w:rsidRPr="007F78CE">
        <w:rPr>
          <w:rFonts w:cs="Calibri"/>
        </w:rPr>
        <w:t>Mesures de responsabilisation pour protéger la confidentialité de toutes les parties concernées et,</w:t>
      </w:r>
    </w:p>
    <w:p w14:paraId="1F83D0DB" w14:textId="77777777" w:rsidR="009A0954" w:rsidRPr="007F78CE" w:rsidRDefault="009A0954" w:rsidP="0044500E">
      <w:pPr>
        <w:pStyle w:val="Listecouleur-Accent13"/>
        <w:numPr>
          <w:ilvl w:val="1"/>
          <w:numId w:val="123"/>
        </w:numPr>
        <w:spacing w:before="60" w:after="120" w:line="240" w:lineRule="auto"/>
        <w:ind w:left="1417" w:hanging="340"/>
        <w:rPr>
          <w:rFonts w:cs="Calibri"/>
        </w:rPr>
      </w:pPr>
      <w:r w:rsidRPr="007F78CE">
        <w:rPr>
          <w:rFonts w:cs="Calibri"/>
        </w:rPr>
        <w:t xml:space="preserve">Protocole de réponse applicable aux Victimes et auteurs de VBG </w:t>
      </w:r>
    </w:p>
    <w:p w14:paraId="1EF01C3B" w14:textId="77777777" w:rsidR="009A0954" w:rsidRPr="007F78CE" w:rsidRDefault="009A0954" w:rsidP="0044500E">
      <w:pPr>
        <w:pStyle w:val="Listecouleur-Accent13"/>
        <w:numPr>
          <w:ilvl w:val="0"/>
          <w:numId w:val="122"/>
        </w:numPr>
        <w:spacing w:after="120" w:line="240" w:lineRule="auto"/>
        <w:rPr>
          <w:rFonts w:cs="Calibri"/>
        </w:rPr>
      </w:pPr>
      <w:r w:rsidRPr="007F78CE">
        <w:rPr>
          <w:rFonts w:cs="Calibri"/>
        </w:rPr>
        <w:t>L'entreprise s’assure à mettre en œuvre efficacement le plan d'action final sur la VBG convenu, en fournissant des commentaires au Spécialiste VBG de l’entreprise (S-VBG-E) pour des améliorations et des mises à jour, le cas échéant.</w:t>
      </w:r>
    </w:p>
    <w:p w14:paraId="7C77BF86" w14:textId="77777777" w:rsidR="009A0954" w:rsidRPr="007F78CE" w:rsidRDefault="009A0954" w:rsidP="0044500E">
      <w:pPr>
        <w:pStyle w:val="Listecouleur-Accent13"/>
        <w:numPr>
          <w:ilvl w:val="0"/>
          <w:numId w:val="122"/>
        </w:numPr>
        <w:spacing w:after="120" w:line="240" w:lineRule="auto"/>
        <w:rPr>
          <w:rFonts w:cs="Calibri"/>
        </w:rPr>
      </w:pPr>
      <w:r w:rsidRPr="007F78CE">
        <w:rPr>
          <w:rFonts w:cs="Calibri"/>
        </w:rPr>
        <w:t>L'entreprise s’assure à ce que tous les employés suivent un cours de formation initiale avant de commencer à travailler sur le site pour s'assurer qu'ils connaissent bien les engagements de l'entreprise envers les normes HSSE et SST, ainsi que les Codes de conduite VBG du projet.</w:t>
      </w:r>
    </w:p>
    <w:p w14:paraId="18FB6B72" w14:textId="77777777" w:rsidR="009A0954" w:rsidRPr="007F78CE" w:rsidRDefault="009A0954" w:rsidP="0044500E">
      <w:pPr>
        <w:pStyle w:val="Listecouleur-Accent13"/>
        <w:numPr>
          <w:ilvl w:val="0"/>
          <w:numId w:val="122"/>
        </w:numPr>
        <w:spacing w:after="120" w:line="240" w:lineRule="auto"/>
        <w:rPr>
          <w:rFonts w:cs="Calibri"/>
        </w:rPr>
      </w:pPr>
      <w:r w:rsidRPr="007F78CE">
        <w:rPr>
          <w:rFonts w:cs="Calibri"/>
        </w:rPr>
        <w:t>L'entreprise s’assure à ce que tous les employés suivent un cours de formation obligatoire une fois par mois pour la durée du contrat à compter de la première formation initiale avant le début des travaux pour renforcer la compréhension des normes HSSE et SST du projet et du Code de conduite VBG.</w:t>
      </w:r>
    </w:p>
    <w:p w14:paraId="0055C052" w14:textId="77777777" w:rsidR="009A0954" w:rsidRPr="007F78CE" w:rsidRDefault="009A0954" w:rsidP="009A0954">
      <w:pPr>
        <w:spacing w:before="120"/>
        <w:rPr>
          <w:rFonts w:cs="Calibri"/>
        </w:rPr>
      </w:pPr>
      <w:r w:rsidRPr="007F78CE">
        <w:rPr>
          <w:rFonts w:cs="Calibri"/>
        </w:rPr>
        <w:t>Je reconnais par la présente avoir lu le Code de Conduite de l’Entreprise susmentionnée et, au nom de l’entreprise, j'accepte de me conformer aux normes qui y sont contenues. Je comprends mon rôle et mes responsabilités pour soutenir les normes SST et HSSE du projet, et pour prévenir et répondre à la VBG. Je comprends que toute action incompatible avec le présent Code de conduite de l’entreprise ou l'omission d'agir conformément au présent Code de conduite de l’entreprise peut entraîner des mesures disciplinaires.</w:t>
      </w:r>
    </w:p>
    <w:p w14:paraId="74BFBD56" w14:textId="77777777" w:rsidR="009A0954" w:rsidRPr="007F78CE" w:rsidRDefault="009A0954" w:rsidP="009A0954">
      <w:pPr>
        <w:rPr>
          <w:rFonts w:cs="Calibri"/>
        </w:rPr>
      </w:pPr>
      <w:r w:rsidRPr="007F78CE">
        <w:rPr>
          <w:rFonts w:cs="Calibri"/>
        </w:rPr>
        <w:t>Nom de l’entreprise : _________________________</w:t>
      </w:r>
    </w:p>
    <w:p w14:paraId="7ACF8B3E" w14:textId="77777777" w:rsidR="009A0954" w:rsidRPr="007F78CE" w:rsidRDefault="009A0954" w:rsidP="009A0954">
      <w:pPr>
        <w:rPr>
          <w:rFonts w:cs="Calibri"/>
        </w:rPr>
      </w:pPr>
      <w:r w:rsidRPr="007F78CE">
        <w:rPr>
          <w:rFonts w:cs="Calibri"/>
        </w:rPr>
        <w:t>Signature :</w:t>
      </w:r>
      <w:r w:rsidRPr="007F78CE">
        <w:rPr>
          <w:rFonts w:cs="Calibri"/>
        </w:rPr>
        <w:tab/>
        <w:t>_________________________</w:t>
      </w:r>
    </w:p>
    <w:p w14:paraId="071DD39F" w14:textId="77777777" w:rsidR="009A0954" w:rsidRPr="007F78CE" w:rsidRDefault="009A0954" w:rsidP="009A0954">
      <w:pPr>
        <w:rPr>
          <w:rFonts w:cs="Calibri"/>
        </w:rPr>
      </w:pPr>
      <w:r w:rsidRPr="007F78CE">
        <w:rPr>
          <w:rFonts w:cs="Calibri"/>
        </w:rPr>
        <w:t>Nom en majuscules : _________________________</w:t>
      </w:r>
    </w:p>
    <w:p w14:paraId="1E4C2540" w14:textId="77777777" w:rsidR="009A0954" w:rsidRPr="007F78CE" w:rsidRDefault="009A0954" w:rsidP="009A0954">
      <w:pPr>
        <w:rPr>
          <w:rFonts w:cs="Calibri"/>
        </w:rPr>
      </w:pPr>
      <w:r w:rsidRPr="007F78CE">
        <w:rPr>
          <w:rFonts w:cs="Calibri"/>
        </w:rPr>
        <w:t>Titre</w:t>
      </w:r>
      <w:r w:rsidRPr="007F78CE">
        <w:rPr>
          <w:rStyle w:val="Ancredenotedebasdepage"/>
          <w:rFonts w:cs="Calibri"/>
        </w:rPr>
        <w:footnoteReference w:id="88"/>
      </w:r>
      <w:r w:rsidRPr="007F78CE">
        <w:rPr>
          <w:rFonts w:cs="Calibri"/>
        </w:rPr>
        <w:t xml:space="preserve"> : _________________________</w:t>
      </w:r>
    </w:p>
    <w:p w14:paraId="6A3DBB59" w14:textId="77777777" w:rsidR="009A0954" w:rsidRPr="007F78CE" w:rsidRDefault="009A0954" w:rsidP="009A0954">
      <w:pPr>
        <w:rPr>
          <w:rFonts w:cs="Calibri"/>
        </w:rPr>
      </w:pPr>
      <w:r w:rsidRPr="007F78CE">
        <w:rPr>
          <w:rFonts w:cs="Calibri"/>
        </w:rPr>
        <w:t>Date : _________________________</w:t>
      </w:r>
    </w:p>
    <w:p w14:paraId="5D4940E3" w14:textId="77777777" w:rsidR="009A0954" w:rsidRDefault="009A0954" w:rsidP="009A0954">
      <w:pPr>
        <w:rPr>
          <w:rFonts w:ascii="Arial" w:hAnsi="Arial" w:cs="Arial"/>
          <w:sz w:val="20"/>
          <w:szCs w:val="20"/>
        </w:rPr>
      </w:pPr>
      <w:r>
        <w:br w:type="page"/>
      </w:r>
    </w:p>
    <w:p w14:paraId="5E4B3275" w14:textId="77777777" w:rsidR="009A0954" w:rsidRDefault="009A0954" w:rsidP="009A0954">
      <w:pPr>
        <w:pBdr>
          <w:top w:val="single" w:sz="4" w:space="1" w:color="000000"/>
          <w:left w:val="single" w:sz="4" w:space="4" w:color="000000"/>
          <w:bottom w:val="single" w:sz="4" w:space="1" w:color="000000"/>
          <w:right w:val="single" w:sz="4" w:space="4" w:color="000000"/>
        </w:pBdr>
        <w:spacing w:before="120" w:after="120"/>
        <w:ind w:left="1418" w:hanging="1418"/>
        <w:jc w:val="center"/>
        <w:rPr>
          <w:rFonts w:ascii="Arial" w:hAnsi="Arial" w:cs="Arial"/>
          <w:b/>
          <w:sz w:val="24"/>
          <w:szCs w:val="20"/>
        </w:rPr>
      </w:pPr>
      <w:r>
        <w:rPr>
          <w:rFonts w:ascii="Arial" w:hAnsi="Arial" w:cs="Arial"/>
          <w:b/>
          <w:sz w:val="24"/>
          <w:szCs w:val="20"/>
        </w:rPr>
        <w:t>Code de conduite pour la direction de l’entreprise pour la mise en œuvre des normes HSSE et SST - Prévenir les Violences Basées sur le Genre</w:t>
      </w:r>
    </w:p>
    <w:p w14:paraId="05DBA539" w14:textId="77777777" w:rsidR="009A0954" w:rsidRDefault="009A0954" w:rsidP="0044500E">
      <w:pPr>
        <w:pStyle w:val="Sansinterligne1"/>
        <w:numPr>
          <w:ilvl w:val="0"/>
          <w:numId w:val="114"/>
        </w:numPr>
        <w:spacing w:before="120" w:after="120" w:line="360" w:lineRule="auto"/>
        <w:jc w:val="both"/>
        <w:rPr>
          <w:rFonts w:ascii="Arial" w:hAnsi="Arial" w:cs="Arial"/>
          <w:b/>
        </w:rPr>
      </w:pPr>
      <w:r>
        <w:rPr>
          <w:rFonts w:ascii="Arial" w:hAnsi="Arial" w:cs="Arial"/>
          <w:b/>
        </w:rPr>
        <w:t>ENGAGEMENT GLOBAL</w:t>
      </w:r>
    </w:p>
    <w:p w14:paraId="565E32B4" w14:textId="77777777" w:rsidR="009A0954" w:rsidRPr="007F78CE" w:rsidRDefault="009A0954" w:rsidP="0044500E">
      <w:pPr>
        <w:pStyle w:val="Listecouleur-Accent13"/>
        <w:numPr>
          <w:ilvl w:val="0"/>
          <w:numId w:val="113"/>
        </w:numPr>
        <w:spacing w:before="120" w:after="120" w:line="240" w:lineRule="auto"/>
        <w:rPr>
          <w:rFonts w:cs="Calibri"/>
        </w:rPr>
      </w:pPr>
      <w:r w:rsidRPr="007F78CE">
        <w:rPr>
          <w:rFonts w:cs="Calibri"/>
        </w:rPr>
        <w:t>Nous les gestionnaires à tous les niveaux de l’Entreprise ont la responsabilité de respecter l'engagement de l'entreprise à mettre en œuvre les normes HSSE et SST, et de prévenir et combattre la VBG. Cela signifie que nous avons la responsabilité de créer et de maintenir un environnement qui respecte ces normes et empêche la VBG. Nous devrions soutenir et promouvoir la mise en œuvre du Code de conduite de l’entreprise. À cette fin, tous les gestionnaires (i) doivent respecter le Code de conduite de gestionnaire et signer le Code de conduite individuel, (ii) s’engagent à soutenir et à développer des systèmes qui facilitent la mise en œuvre du Plan d'action sur la VBG ; (iii) doivent maintenir un environnement de travail sûr, ainsi qu'un environnement exempt de VBG sur le lieu de travail et dans la communauté locale. Ces responsabilités incluent mais ne sont pas limitées à ce qui est définit ci-après dans ce code de conduite de l’entreprise</w:t>
      </w:r>
      <w:r w:rsidR="00B81F63">
        <w:rPr>
          <w:rFonts w:cs="Calibri"/>
        </w:rPr>
        <w:t>.</w:t>
      </w:r>
    </w:p>
    <w:p w14:paraId="76CC09AA" w14:textId="77777777" w:rsidR="009A0954" w:rsidRDefault="009A0954" w:rsidP="0044500E">
      <w:pPr>
        <w:pStyle w:val="Sansinterligne1"/>
        <w:numPr>
          <w:ilvl w:val="0"/>
          <w:numId w:val="114"/>
        </w:numPr>
        <w:spacing w:before="120" w:after="120" w:line="360" w:lineRule="auto"/>
        <w:jc w:val="both"/>
        <w:rPr>
          <w:rFonts w:ascii="Arial" w:hAnsi="Arial" w:cs="Arial"/>
          <w:b/>
          <w:i/>
        </w:rPr>
      </w:pPr>
      <w:r>
        <w:rPr>
          <w:rFonts w:ascii="Arial" w:hAnsi="Arial" w:cs="Arial"/>
          <w:b/>
        </w:rPr>
        <w:t>MISE EN ŒUVRE</w:t>
      </w:r>
    </w:p>
    <w:p w14:paraId="0C9BBCA4" w14:textId="77777777" w:rsidR="009A0954" w:rsidRPr="007F78CE" w:rsidRDefault="009A0954" w:rsidP="0044500E">
      <w:pPr>
        <w:pStyle w:val="Listecouleur-Accent13"/>
        <w:numPr>
          <w:ilvl w:val="0"/>
          <w:numId w:val="113"/>
        </w:numPr>
        <w:spacing w:before="120" w:after="120" w:line="240" w:lineRule="auto"/>
        <w:rPr>
          <w:rFonts w:cs="Calibri"/>
        </w:rPr>
      </w:pPr>
      <w:r w:rsidRPr="007F78CE">
        <w:rPr>
          <w:rFonts w:cs="Calibri"/>
        </w:rPr>
        <w:t>Pour assurer une efficacité maximale des Codes de conduite individuels en tant que gestionnaire de l’entreprise je prends la responsabilité de :</w:t>
      </w:r>
    </w:p>
    <w:p w14:paraId="4DA0990C" w14:textId="77777777" w:rsidR="009A0954" w:rsidRPr="007F78CE" w:rsidRDefault="009A0954" w:rsidP="0044500E">
      <w:pPr>
        <w:pStyle w:val="Listecouleur-Accent13"/>
        <w:numPr>
          <w:ilvl w:val="2"/>
          <w:numId w:val="124"/>
        </w:numPr>
        <w:spacing w:before="120" w:after="120" w:line="240" w:lineRule="auto"/>
        <w:ind w:left="1276" w:hanging="425"/>
        <w:rPr>
          <w:rFonts w:cs="Calibri"/>
        </w:rPr>
      </w:pPr>
      <w:r w:rsidRPr="007F78CE">
        <w:rPr>
          <w:rFonts w:cs="Calibri"/>
        </w:rPr>
        <w:t>Afficher clairement les Codes de conduite individuels dans les camps de travailleurs, les bureaux et dans les espaces publics de l'espace de travail. Des exemples de zones comprennent les zones d'attente, de repos, des zones de cantine et des cliniques de santé…</w:t>
      </w:r>
    </w:p>
    <w:p w14:paraId="251C476A" w14:textId="77777777" w:rsidR="009A0954" w:rsidRPr="007F78CE" w:rsidRDefault="009A0954" w:rsidP="0044500E">
      <w:pPr>
        <w:pStyle w:val="Listecouleur-Accent13"/>
        <w:numPr>
          <w:ilvl w:val="2"/>
          <w:numId w:val="124"/>
        </w:numPr>
        <w:spacing w:before="120" w:after="120" w:line="240" w:lineRule="auto"/>
        <w:ind w:left="1276" w:hanging="425"/>
        <w:rPr>
          <w:rFonts w:cs="Calibri"/>
        </w:rPr>
      </w:pPr>
      <w:r w:rsidRPr="007F78CE">
        <w:rPr>
          <w:rFonts w:cs="Calibri"/>
        </w:rPr>
        <w:t>S'assurer que toutes les copies postées et distribuées des Codes de conduite individuels sont traduites dans la langue d'utilisation appropriée dans les zones de travail ainsi que pour tout le personnel international dans leur langue maternelle ;</w:t>
      </w:r>
    </w:p>
    <w:p w14:paraId="48EC701E" w14:textId="77777777" w:rsidR="009A0954" w:rsidRPr="007F78CE" w:rsidRDefault="009A0954" w:rsidP="0044500E">
      <w:pPr>
        <w:pStyle w:val="Listecouleur-Accent13"/>
        <w:numPr>
          <w:ilvl w:val="2"/>
          <w:numId w:val="124"/>
        </w:numPr>
        <w:spacing w:before="120" w:after="120" w:line="240" w:lineRule="auto"/>
        <w:ind w:left="1276" w:hanging="425"/>
        <w:rPr>
          <w:rFonts w:cs="Calibri"/>
        </w:rPr>
      </w:pPr>
      <w:r w:rsidRPr="007F78CE">
        <w:rPr>
          <w:rFonts w:cs="Calibri"/>
        </w:rPr>
        <w:t>Expliquer verbalement et par écrit les Codes de conduite individuels et de l’entreprise.</w:t>
      </w:r>
    </w:p>
    <w:p w14:paraId="31961B19" w14:textId="77777777" w:rsidR="009A0954" w:rsidRPr="007F78CE" w:rsidRDefault="009A0954" w:rsidP="0044500E">
      <w:pPr>
        <w:pStyle w:val="Listecouleur-Accent13"/>
        <w:numPr>
          <w:ilvl w:val="2"/>
          <w:numId w:val="124"/>
        </w:numPr>
        <w:spacing w:before="120" w:after="120" w:line="240" w:lineRule="auto"/>
        <w:ind w:left="1276" w:hanging="425"/>
        <w:rPr>
          <w:rFonts w:cs="Calibri"/>
        </w:rPr>
      </w:pPr>
      <w:r w:rsidRPr="007F78CE">
        <w:rPr>
          <w:rFonts w:cs="Calibri"/>
        </w:rPr>
        <w:t>Assurer que tous les personnels directs signent le « Code de conduite individuel », y compris la reconnaissance qu'ils ont lu et accepté le Code de conduite. ;</w:t>
      </w:r>
    </w:p>
    <w:p w14:paraId="669A4CA5" w14:textId="77777777" w:rsidR="009A0954" w:rsidRPr="007F78CE" w:rsidRDefault="009A0954" w:rsidP="0044500E">
      <w:pPr>
        <w:pStyle w:val="Listecouleur-Accent13"/>
        <w:numPr>
          <w:ilvl w:val="2"/>
          <w:numId w:val="124"/>
        </w:numPr>
        <w:spacing w:before="120" w:after="120" w:line="240" w:lineRule="auto"/>
        <w:ind w:left="1276" w:hanging="425"/>
        <w:rPr>
          <w:rFonts w:cs="Calibri"/>
        </w:rPr>
      </w:pPr>
      <w:r w:rsidRPr="007F78CE">
        <w:rPr>
          <w:rFonts w:cs="Calibri"/>
        </w:rPr>
        <w:t>Fournir au gestionnaire de SST, au</w:t>
      </w:r>
      <w:r w:rsidRPr="007F78CE">
        <w:rPr>
          <w:rFonts w:cs="Calibri"/>
          <w:b/>
        </w:rPr>
        <w:t xml:space="preserve"> </w:t>
      </w:r>
      <w:r w:rsidRPr="00B434A6">
        <w:rPr>
          <w:rFonts w:cs="Calibri"/>
        </w:rPr>
        <w:t>spécialiste VBG de l’entreprise (S-VBG-E)</w:t>
      </w:r>
      <w:r w:rsidRPr="007F78CE">
        <w:rPr>
          <w:rFonts w:cs="Calibri"/>
        </w:rPr>
        <w:t xml:space="preserve"> et au client les listes du personnel et des copies ayant signées le Code de conduite individuel ;</w:t>
      </w:r>
    </w:p>
    <w:p w14:paraId="487B497B" w14:textId="77777777" w:rsidR="009A0954" w:rsidRPr="007F78CE" w:rsidRDefault="009A0954" w:rsidP="0044500E">
      <w:pPr>
        <w:pStyle w:val="Listecouleur-Accent13"/>
        <w:numPr>
          <w:ilvl w:val="2"/>
          <w:numId w:val="124"/>
        </w:numPr>
        <w:spacing w:before="120" w:after="120" w:line="240" w:lineRule="auto"/>
        <w:ind w:left="1276" w:hanging="425"/>
        <w:rPr>
          <w:rFonts w:cs="Calibri"/>
        </w:rPr>
      </w:pPr>
      <w:r w:rsidRPr="007F78CE">
        <w:rPr>
          <w:rFonts w:cs="Calibri"/>
        </w:rPr>
        <w:t>Participer à la formation et s'assurer que le personnel participe également comme indiqué ci-dessous.</w:t>
      </w:r>
    </w:p>
    <w:p w14:paraId="3CBED0F8" w14:textId="77777777" w:rsidR="009A0954" w:rsidRPr="007F78CE" w:rsidRDefault="009A0954" w:rsidP="0044500E">
      <w:pPr>
        <w:pStyle w:val="Listecouleur-Accent13"/>
        <w:numPr>
          <w:ilvl w:val="2"/>
          <w:numId w:val="124"/>
        </w:numPr>
        <w:spacing w:before="120" w:after="120" w:line="240" w:lineRule="auto"/>
        <w:ind w:left="1276" w:hanging="425"/>
        <w:rPr>
          <w:rFonts w:cs="Calibri"/>
        </w:rPr>
      </w:pPr>
      <w:r w:rsidRPr="007F78CE">
        <w:rPr>
          <w:rFonts w:cs="Calibri"/>
        </w:rPr>
        <w:t>Mettre en place un mécanisme permettant au personnel de (a) signaler les préoccupations relatives à l'HSSE ou à la conformité à la SST; et, (b) signaler confidentiellement les incidents de VBG par l'entremise du mécanisme de gestion des plaintes (MGP)</w:t>
      </w:r>
    </w:p>
    <w:p w14:paraId="7F639966" w14:textId="77777777" w:rsidR="009A0954" w:rsidRPr="007F78CE" w:rsidRDefault="009A0954" w:rsidP="0044500E">
      <w:pPr>
        <w:pStyle w:val="Listecouleur-Accent13"/>
        <w:numPr>
          <w:ilvl w:val="2"/>
          <w:numId w:val="124"/>
        </w:numPr>
        <w:spacing w:before="120" w:after="120" w:line="240" w:lineRule="auto"/>
        <w:ind w:left="1276" w:hanging="425"/>
        <w:rPr>
          <w:rFonts w:cs="Calibri"/>
        </w:rPr>
      </w:pPr>
      <w:r w:rsidRPr="007F78CE">
        <w:rPr>
          <w:rFonts w:cs="Calibri"/>
        </w:rPr>
        <w:t>Encourager le personnel à signaler les problèmes HSSE, VBG… suspectés ou réels, en soulignant la responsabilité du personnel envers l’entreprise et le pays, et en insistant sur le respect de la confidentialité.</w:t>
      </w:r>
    </w:p>
    <w:p w14:paraId="2B00E00F" w14:textId="77777777" w:rsidR="009A0954" w:rsidRPr="007F78CE" w:rsidRDefault="009A0954" w:rsidP="0044500E">
      <w:pPr>
        <w:pStyle w:val="Listecouleur-Accent13"/>
        <w:numPr>
          <w:ilvl w:val="0"/>
          <w:numId w:val="113"/>
        </w:numPr>
        <w:spacing w:before="120" w:after="120" w:line="240" w:lineRule="auto"/>
        <w:rPr>
          <w:rFonts w:cs="Calibri"/>
        </w:rPr>
      </w:pPr>
      <w:r w:rsidRPr="007F78CE">
        <w:rPr>
          <w:rFonts w:cs="Calibri"/>
        </w:rPr>
        <w:t>En conformité avec les lois applicables et au mieux de vos capacités, l’entreprise va empêcher les auteurs d'exploitation et d'abus sexuels d'être embauchés, réembauchés ou déployés. L’entreprise va utiliser les vérifications d'antécédents et de références criminelles pour tous les employés.</w:t>
      </w:r>
    </w:p>
    <w:p w14:paraId="5BA0589E" w14:textId="77777777" w:rsidR="009A0954" w:rsidRPr="007F78CE" w:rsidRDefault="009A0954" w:rsidP="0044500E">
      <w:pPr>
        <w:pStyle w:val="Listecouleur-Accent13"/>
        <w:numPr>
          <w:ilvl w:val="0"/>
          <w:numId w:val="113"/>
        </w:numPr>
        <w:spacing w:before="120" w:after="120" w:line="240" w:lineRule="auto"/>
        <w:rPr>
          <w:rFonts w:cs="Calibri"/>
        </w:rPr>
      </w:pPr>
      <w:r w:rsidRPr="007F78CE">
        <w:rPr>
          <w:rFonts w:cs="Calibri"/>
        </w:rPr>
        <w:t>Je m’engage à m'assurer que lorsque l’entreprise s'engage dans des partenariats, des sous-traitants, des fournisseurs ou des accords similaires, ces accords veillent à:</w:t>
      </w:r>
    </w:p>
    <w:p w14:paraId="317495F1" w14:textId="77777777" w:rsidR="009A0954" w:rsidRPr="007F78CE" w:rsidRDefault="009A0954" w:rsidP="0044500E">
      <w:pPr>
        <w:pStyle w:val="Listecouleur-Accent13"/>
        <w:numPr>
          <w:ilvl w:val="0"/>
          <w:numId w:val="125"/>
        </w:numPr>
        <w:spacing w:before="120" w:after="120" w:line="240" w:lineRule="auto"/>
        <w:ind w:left="1276" w:hanging="425"/>
        <w:rPr>
          <w:rFonts w:cs="Calibri"/>
        </w:rPr>
      </w:pPr>
      <w:r w:rsidRPr="007F78CE">
        <w:rPr>
          <w:rFonts w:cs="Calibri"/>
        </w:rPr>
        <w:t>Incorporer les Codes de conduite HSSE, SST, VBG en pièce jointe.</w:t>
      </w:r>
    </w:p>
    <w:p w14:paraId="60A911A5" w14:textId="77777777" w:rsidR="009A0954" w:rsidRPr="007F78CE" w:rsidRDefault="009A0954" w:rsidP="0044500E">
      <w:pPr>
        <w:pStyle w:val="Listecouleur-Accent13"/>
        <w:numPr>
          <w:ilvl w:val="0"/>
          <w:numId w:val="126"/>
        </w:numPr>
        <w:spacing w:before="120" w:after="120" w:line="240" w:lineRule="auto"/>
        <w:ind w:left="1276" w:hanging="425"/>
        <w:rPr>
          <w:rFonts w:cs="Calibri"/>
        </w:rPr>
      </w:pPr>
      <w:r w:rsidRPr="007F78CE">
        <w:rPr>
          <w:rFonts w:cs="Calibri"/>
        </w:rPr>
        <w:t>Inclure le langage approprié exigeant que ces entités adjudicatrices et individus, ainsi que leurs employés et bénévoles, se conforment aux Codes de conduite individuels.</w:t>
      </w:r>
    </w:p>
    <w:p w14:paraId="5116D1A3" w14:textId="77777777" w:rsidR="009A0954" w:rsidRPr="007F78CE" w:rsidRDefault="009A0954" w:rsidP="0044500E">
      <w:pPr>
        <w:pStyle w:val="Listecouleur-Accent13"/>
        <w:numPr>
          <w:ilvl w:val="0"/>
          <w:numId w:val="126"/>
        </w:numPr>
        <w:spacing w:before="120" w:after="120" w:line="240" w:lineRule="auto"/>
        <w:ind w:left="1282" w:hanging="432"/>
        <w:contextualSpacing w:val="0"/>
        <w:rPr>
          <w:rFonts w:cs="Calibri"/>
          <w:highlight w:val="yellow"/>
        </w:rPr>
      </w:pPr>
      <w:r w:rsidRPr="00CC01C2">
        <w:rPr>
          <w:rFonts w:cs="Calibri"/>
        </w:rPr>
        <w:t>D</w:t>
      </w:r>
      <w:r w:rsidRPr="005D11CF">
        <w:rPr>
          <w:rFonts w:cs="Calibri"/>
        </w:rPr>
        <w:t>éclarer expressément que l'incapacité de ces entités ou individus, selon le cas, à</w:t>
      </w:r>
      <w:r w:rsidRPr="007F78CE">
        <w:rPr>
          <w:rFonts w:cs="Calibri"/>
        </w:rPr>
        <w:t xml:space="preserve"> assurer la conformité aux normes HSSE et SST, prendre des mesures préventives contre la VBG, enquêter sur les allégations, ou prendre des mesures correctives lorsque la VBG a eu lieu, non seulement constituent des motifs de sanctions et de sanctions conformément aux Codes de conduite individuels, mais aussi la résiliation des accords pour travailler sur ou fournir le projet.</w:t>
      </w:r>
    </w:p>
    <w:p w14:paraId="73754D3A" w14:textId="77777777" w:rsidR="009A0954" w:rsidRPr="007F78CE" w:rsidRDefault="009A0954" w:rsidP="0044500E">
      <w:pPr>
        <w:pStyle w:val="Listecouleur-Accent13"/>
        <w:numPr>
          <w:ilvl w:val="0"/>
          <w:numId w:val="113"/>
        </w:numPr>
        <w:spacing w:before="120" w:after="120" w:line="240" w:lineRule="auto"/>
        <w:rPr>
          <w:rFonts w:cs="Calibri"/>
        </w:rPr>
      </w:pPr>
      <w:r w:rsidRPr="007F78CE">
        <w:rPr>
          <w:rFonts w:cs="Calibri"/>
        </w:rPr>
        <w:t>Je m’engage à m'assurer à fournir un soutien et des ressources au spécialiste VBG de l’entreprise (S-VBG-E) pour créer et diffuser des initiatives de sensibilisation interne grâce à la stratégie de sensibilisation dans le cadre du Plan d'action sur la VBG.</w:t>
      </w:r>
    </w:p>
    <w:p w14:paraId="7620A34D" w14:textId="77777777" w:rsidR="009A0954" w:rsidRPr="007F78CE" w:rsidRDefault="009A0954" w:rsidP="0044500E">
      <w:pPr>
        <w:pStyle w:val="Listecouleur-Accent13"/>
        <w:numPr>
          <w:ilvl w:val="0"/>
          <w:numId w:val="113"/>
        </w:numPr>
        <w:spacing w:before="120" w:after="120" w:line="240" w:lineRule="auto"/>
        <w:rPr>
          <w:rFonts w:cs="Calibri"/>
        </w:rPr>
      </w:pPr>
      <w:r w:rsidRPr="007F78CE">
        <w:rPr>
          <w:rFonts w:cs="Calibri"/>
        </w:rPr>
        <w:t>Je m’engage à m'assurer à veiller à ce que tout problème de VBG justifiant une action de la police soit immédiatement signalé à la police, au client et à la Banque mondiale.</w:t>
      </w:r>
    </w:p>
    <w:p w14:paraId="5D25BD47" w14:textId="77777777" w:rsidR="009A0954" w:rsidRPr="007F78CE" w:rsidRDefault="009A0954" w:rsidP="0044500E">
      <w:pPr>
        <w:pStyle w:val="Listecouleur-Accent13"/>
        <w:numPr>
          <w:ilvl w:val="0"/>
          <w:numId w:val="113"/>
        </w:numPr>
        <w:spacing w:before="120" w:after="120" w:line="240" w:lineRule="auto"/>
        <w:rPr>
          <w:rFonts w:cs="Calibri"/>
        </w:rPr>
      </w:pPr>
      <w:r w:rsidRPr="007F78CE">
        <w:rPr>
          <w:rFonts w:cs="Calibri"/>
        </w:rPr>
        <w:t>Je m’engage à m'assurer à signaler et agir conformément au protocole de réponse tout acte suspecté ou réel de VBG en tant que gestionnaires ont la responsabilité de respecter les engagements de l'entreprise et de tenir leurs subordonnés directs responsables.</w:t>
      </w:r>
    </w:p>
    <w:p w14:paraId="0BDB33D3" w14:textId="77777777" w:rsidR="009A0954" w:rsidRPr="007F78CE" w:rsidRDefault="009A0954" w:rsidP="0044500E">
      <w:pPr>
        <w:pStyle w:val="Listecouleur-Accent13"/>
        <w:numPr>
          <w:ilvl w:val="0"/>
          <w:numId w:val="113"/>
        </w:numPr>
        <w:spacing w:before="120" w:after="120" w:line="240" w:lineRule="auto"/>
        <w:rPr>
          <w:rFonts w:cs="Calibri"/>
        </w:rPr>
      </w:pPr>
      <w:r w:rsidRPr="007F78CE">
        <w:rPr>
          <w:rFonts w:cs="Calibri"/>
        </w:rPr>
        <w:t>Je m’engage à m'assurer que tout incident HSSE ou SST majeur est signalé au client et à l'ingénieur de supervision immédiatement.</w:t>
      </w:r>
    </w:p>
    <w:p w14:paraId="735FCFC2" w14:textId="77777777" w:rsidR="009A0954" w:rsidRDefault="009A0954" w:rsidP="0044500E">
      <w:pPr>
        <w:pStyle w:val="Sansinterligne1"/>
        <w:numPr>
          <w:ilvl w:val="0"/>
          <w:numId w:val="114"/>
        </w:numPr>
        <w:spacing w:before="120" w:after="120"/>
        <w:jc w:val="both"/>
        <w:rPr>
          <w:rFonts w:ascii="Arial" w:hAnsi="Arial" w:cs="Arial"/>
          <w:b/>
          <w:i/>
        </w:rPr>
      </w:pPr>
      <w:r>
        <w:rPr>
          <w:rFonts w:ascii="Arial" w:hAnsi="Arial" w:cs="Arial"/>
          <w:b/>
        </w:rPr>
        <w:t>FORMATION</w:t>
      </w:r>
    </w:p>
    <w:p w14:paraId="3DB248D4" w14:textId="77777777" w:rsidR="009A0954" w:rsidRPr="007F78CE" w:rsidRDefault="009A0954" w:rsidP="0044500E">
      <w:pPr>
        <w:pStyle w:val="Listecouleur-Accent13"/>
        <w:numPr>
          <w:ilvl w:val="0"/>
          <w:numId w:val="113"/>
        </w:numPr>
        <w:spacing w:before="120" w:after="120" w:line="240" w:lineRule="auto"/>
        <w:rPr>
          <w:rFonts w:cs="Calibri"/>
        </w:rPr>
      </w:pPr>
      <w:r w:rsidRPr="007F78CE">
        <w:rPr>
          <w:rFonts w:cs="Calibri"/>
        </w:rPr>
        <w:t>En tant que gestionnaires de l’entreprise nous sommes responsables de:</w:t>
      </w:r>
    </w:p>
    <w:p w14:paraId="7BA0B086" w14:textId="77777777" w:rsidR="009A0954" w:rsidRPr="007F78CE" w:rsidRDefault="009A0954" w:rsidP="0044500E">
      <w:pPr>
        <w:pStyle w:val="Listecouleur-Accent13"/>
        <w:numPr>
          <w:ilvl w:val="0"/>
          <w:numId w:val="127"/>
        </w:numPr>
        <w:spacing w:before="120" w:after="120" w:line="240" w:lineRule="auto"/>
        <w:ind w:left="1560" w:hanging="426"/>
        <w:rPr>
          <w:rFonts w:cs="Calibri"/>
        </w:rPr>
      </w:pPr>
      <w:r w:rsidRPr="007F78CE">
        <w:rPr>
          <w:rFonts w:cs="Calibri"/>
        </w:rPr>
        <w:t>S'assurer que le plan de gestion de VBG est mis en œuvre, avec une formation appropriée requise pour tout le personnel, y compris les sous-traitants et les fournisseurs ; et,</w:t>
      </w:r>
    </w:p>
    <w:p w14:paraId="5EA0F7C5" w14:textId="77777777" w:rsidR="009A0954" w:rsidRPr="007F78CE" w:rsidRDefault="009A0954" w:rsidP="0044500E">
      <w:pPr>
        <w:pStyle w:val="Listecouleur-Accent13"/>
        <w:numPr>
          <w:ilvl w:val="0"/>
          <w:numId w:val="128"/>
        </w:numPr>
        <w:spacing w:before="120" w:after="120" w:line="240" w:lineRule="auto"/>
        <w:ind w:left="1560" w:hanging="426"/>
        <w:rPr>
          <w:rFonts w:cs="Calibri"/>
        </w:rPr>
      </w:pPr>
      <w:r w:rsidRPr="007F78CE">
        <w:rPr>
          <w:rFonts w:cs="Calibri"/>
        </w:rPr>
        <w:t>S'assurer que le personnel a une bonne compréhension de la VBG et qu'il est formé de manière appropriée pour mettre en œuvre les exigences du plan HSSE.</w:t>
      </w:r>
    </w:p>
    <w:p w14:paraId="604E1A67" w14:textId="77777777" w:rsidR="009A0954" w:rsidRPr="007F78CE" w:rsidRDefault="009A0954" w:rsidP="0044500E">
      <w:pPr>
        <w:pStyle w:val="Listecouleur-Accent13"/>
        <w:numPr>
          <w:ilvl w:val="0"/>
          <w:numId w:val="113"/>
        </w:numPr>
        <w:spacing w:before="120" w:after="120" w:line="240" w:lineRule="auto"/>
        <w:rPr>
          <w:rFonts w:cs="Calibri"/>
        </w:rPr>
      </w:pPr>
      <w:r w:rsidRPr="007F78CE">
        <w:rPr>
          <w:rFonts w:cs="Calibri"/>
        </w:rPr>
        <w:t>En tant que gestionnaires de l’entreprise nous devrions assister à un cours de formation de gestionnaire d'initiation avant de commencer à travailler sur le site pour s'assurer qu'ils sont familiers avec leurs rôles et responsabilités dans le maintien des éléments VBG de ces Codes de conduite. Cette formation sera distincte du cours de formation initiale exigé de tous les employés et fournira aux gestionnaires la compréhension et le soutien technique nécessaires pour commencer à élaborer le plan d'action sur la VBG pour aborder les questions de VBG.</w:t>
      </w:r>
    </w:p>
    <w:p w14:paraId="2F57D974" w14:textId="77777777" w:rsidR="009A0954" w:rsidRPr="007F78CE" w:rsidRDefault="009A0954" w:rsidP="0044500E">
      <w:pPr>
        <w:pStyle w:val="Listecouleur-Accent13"/>
        <w:numPr>
          <w:ilvl w:val="0"/>
          <w:numId w:val="113"/>
        </w:numPr>
        <w:spacing w:before="120" w:after="120" w:line="240" w:lineRule="auto"/>
        <w:rPr>
          <w:rFonts w:cs="Calibri"/>
        </w:rPr>
      </w:pPr>
      <w:r w:rsidRPr="007F78CE">
        <w:rPr>
          <w:rFonts w:cs="Calibri"/>
        </w:rPr>
        <w:t>En tant que gestionnaires de l’entreprise nous sommes tenus d'assister et d'assister aux cours de formation mensuels facilités par le projet pour tous les employés, et de contribuer aux auto-évaluations, y compris la collecte de sondages de satisfaction pour évaluer les expériences de formation et fournir des conseils sur l'amélioration de l'efficacité de la formation.</w:t>
      </w:r>
    </w:p>
    <w:p w14:paraId="583E1087" w14:textId="77777777" w:rsidR="009A0954" w:rsidRPr="007F78CE" w:rsidRDefault="009A0954" w:rsidP="0044500E">
      <w:pPr>
        <w:pStyle w:val="Listecouleur-Accent13"/>
        <w:numPr>
          <w:ilvl w:val="0"/>
          <w:numId w:val="113"/>
        </w:numPr>
        <w:spacing w:before="120" w:after="120" w:line="240" w:lineRule="auto"/>
        <w:rPr>
          <w:rFonts w:cs="Calibri"/>
        </w:rPr>
      </w:pPr>
      <w:r w:rsidRPr="007F78CE">
        <w:rPr>
          <w:rFonts w:cs="Calibri"/>
        </w:rPr>
        <w:t xml:space="preserve">En tant que gestionnaires de l’entreprise nous allons nous assurer que le personnel puisse bénéficier de la formation d'initiation obligatoire, avant de commencer les travaux sur le chantier ; </w:t>
      </w:r>
    </w:p>
    <w:p w14:paraId="600CFFA1" w14:textId="77777777" w:rsidR="009A0954" w:rsidRPr="007F78CE" w:rsidRDefault="009A0954" w:rsidP="0044500E">
      <w:pPr>
        <w:pStyle w:val="Listecouleur-Accent13"/>
        <w:numPr>
          <w:ilvl w:val="0"/>
          <w:numId w:val="113"/>
        </w:numPr>
        <w:spacing w:before="120" w:after="120" w:line="240" w:lineRule="auto"/>
        <w:rPr>
          <w:rFonts w:cs="Calibri"/>
        </w:rPr>
      </w:pPr>
      <w:r w:rsidRPr="007F78CE">
        <w:rPr>
          <w:rFonts w:cs="Calibri"/>
        </w:rPr>
        <w:t>Pendant les travaux de génie civil, les gestionnaires vont s'assurer que le personnel suit une formation en HSSE et en VBG, ainsi qu'un cours de recyclage mensuel obligatoire pour tous les employés afin de combattre le risque accru de VBG.</w:t>
      </w:r>
    </w:p>
    <w:p w14:paraId="6DB7B59A" w14:textId="77777777" w:rsidR="009A0954" w:rsidRDefault="009A0954" w:rsidP="0044500E">
      <w:pPr>
        <w:pStyle w:val="Sansinterligne1"/>
        <w:numPr>
          <w:ilvl w:val="0"/>
          <w:numId w:val="114"/>
        </w:numPr>
        <w:spacing w:before="120" w:after="120"/>
        <w:jc w:val="both"/>
        <w:rPr>
          <w:rFonts w:ascii="Arial" w:hAnsi="Arial" w:cs="Arial"/>
          <w:b/>
          <w:i/>
        </w:rPr>
      </w:pPr>
      <w:r>
        <w:rPr>
          <w:rFonts w:ascii="Arial" w:hAnsi="Arial" w:cs="Arial"/>
          <w:b/>
        </w:rPr>
        <w:t>PRISE EN CHARGE DE CAS</w:t>
      </w:r>
    </w:p>
    <w:p w14:paraId="3BBEC749" w14:textId="77777777" w:rsidR="009A0954" w:rsidRPr="007F78CE" w:rsidRDefault="009A0954" w:rsidP="0044500E">
      <w:pPr>
        <w:pStyle w:val="Listecouleur-Accent13"/>
        <w:numPr>
          <w:ilvl w:val="0"/>
          <w:numId w:val="113"/>
        </w:numPr>
        <w:spacing w:before="120" w:after="120" w:line="240" w:lineRule="auto"/>
        <w:rPr>
          <w:rFonts w:cs="Calibri"/>
        </w:rPr>
      </w:pPr>
      <w:r w:rsidRPr="007F78CE">
        <w:rPr>
          <w:rFonts w:cs="Calibri"/>
        </w:rPr>
        <w:t>Nous les gestionnaires seront tenus de prendre les mesures appropriées pour traiter les incidents liés à l'HSSE ou à la SST.</w:t>
      </w:r>
    </w:p>
    <w:p w14:paraId="20F01C8E" w14:textId="77777777" w:rsidR="009A0954" w:rsidRPr="007F78CE" w:rsidRDefault="009A0954" w:rsidP="0044500E">
      <w:pPr>
        <w:pStyle w:val="Listecouleur-Accent13"/>
        <w:numPr>
          <w:ilvl w:val="0"/>
          <w:numId w:val="113"/>
        </w:numPr>
        <w:spacing w:before="120" w:after="120" w:line="240" w:lineRule="auto"/>
        <w:rPr>
          <w:rFonts w:cs="Calibri"/>
        </w:rPr>
      </w:pPr>
      <w:r w:rsidRPr="007F78CE">
        <w:rPr>
          <w:rFonts w:cs="Calibri"/>
        </w:rPr>
        <w:t>En ce qui concerne la VBG, nous devrions assurer les actions ci-après:</w:t>
      </w:r>
    </w:p>
    <w:p w14:paraId="36842FAE" w14:textId="77777777" w:rsidR="009A0954" w:rsidRPr="007F78CE" w:rsidRDefault="009A0954" w:rsidP="0044500E">
      <w:pPr>
        <w:pStyle w:val="Listecouleur-Accent13"/>
        <w:numPr>
          <w:ilvl w:val="0"/>
          <w:numId w:val="129"/>
        </w:numPr>
        <w:spacing w:before="120" w:after="120" w:line="240" w:lineRule="auto"/>
        <w:ind w:left="1134" w:hanging="426"/>
        <w:rPr>
          <w:rFonts w:cs="Calibri"/>
        </w:rPr>
      </w:pPr>
      <w:r w:rsidRPr="007F78CE">
        <w:rPr>
          <w:rFonts w:cs="Calibri"/>
        </w:rPr>
        <w:t xml:space="preserve">Fournir des commentaires sur les procédures de déclaration VBG et le protocole d'intervention élaborés par le </w:t>
      </w:r>
      <w:r w:rsidRPr="00B434A6">
        <w:rPr>
          <w:rFonts w:cs="Calibri"/>
        </w:rPr>
        <w:t>Spécialiste VBG de l’entreprise (S-VBG-E)</w:t>
      </w:r>
      <w:r w:rsidRPr="007F78CE">
        <w:rPr>
          <w:rFonts w:cs="Calibri"/>
        </w:rPr>
        <w:t xml:space="preserve"> dans le cadre du plan d'action final sur la VBG.</w:t>
      </w:r>
    </w:p>
    <w:p w14:paraId="0825F39E" w14:textId="77777777" w:rsidR="009A0954" w:rsidRPr="007F78CE" w:rsidRDefault="009A0954" w:rsidP="0044500E">
      <w:pPr>
        <w:pStyle w:val="Listecouleur-Accent13"/>
        <w:numPr>
          <w:ilvl w:val="0"/>
          <w:numId w:val="130"/>
        </w:numPr>
        <w:spacing w:before="120" w:after="120" w:line="240" w:lineRule="auto"/>
        <w:ind w:left="1134" w:hanging="426"/>
        <w:rPr>
          <w:rFonts w:cs="Calibri"/>
        </w:rPr>
      </w:pPr>
      <w:r w:rsidRPr="007F78CE">
        <w:rPr>
          <w:rFonts w:cs="Calibri"/>
        </w:rPr>
        <w:t>Une fois adoptés par l’entreprise, nous respecterons les mesures de responsabilisation prévues dans le plan d'action VBG pour maintenir la confidentialité de tous les employés qui signalent ou (prétendument) commettent des cas de VBG (à moins d'une violation de confidentialité est nécessaire pour protéger les personnes ou les biens d'un préjudice grave ou lorsque la loi l'exige).</w:t>
      </w:r>
    </w:p>
    <w:p w14:paraId="32FF99DD" w14:textId="77777777" w:rsidR="009A0954" w:rsidRPr="007F78CE" w:rsidRDefault="009A0954" w:rsidP="0044500E">
      <w:pPr>
        <w:pStyle w:val="Listecouleur-Accent13"/>
        <w:numPr>
          <w:ilvl w:val="0"/>
          <w:numId w:val="130"/>
        </w:numPr>
        <w:spacing w:before="120" w:after="120" w:line="240" w:lineRule="auto"/>
        <w:ind w:left="1134" w:hanging="426"/>
        <w:rPr>
          <w:rFonts w:cs="Calibri"/>
        </w:rPr>
      </w:pPr>
      <w:r w:rsidRPr="007F78CE">
        <w:rPr>
          <w:rFonts w:cs="Calibri"/>
        </w:rPr>
        <w:t>Si un responsable développe des inquiétudes ou des soupçons concernant une forme de VBG par l'un de ses subordonnés directs, ou par un employé travaillant pour un autre contractant sur le même site de travail, il est tenu de signaler le cas au MGP.</w:t>
      </w:r>
    </w:p>
    <w:p w14:paraId="12BE863C" w14:textId="77777777" w:rsidR="009A0954" w:rsidRPr="007F78CE" w:rsidRDefault="009A0954" w:rsidP="0044500E">
      <w:pPr>
        <w:pStyle w:val="Listecouleur-Accent13"/>
        <w:numPr>
          <w:ilvl w:val="0"/>
          <w:numId w:val="130"/>
        </w:numPr>
        <w:spacing w:before="120" w:after="120" w:line="240" w:lineRule="auto"/>
        <w:ind w:left="1134" w:hanging="426"/>
        <w:rPr>
          <w:rFonts w:cs="Calibri"/>
        </w:rPr>
      </w:pPr>
      <w:r w:rsidRPr="007F78CE">
        <w:rPr>
          <w:rFonts w:cs="Calibri"/>
        </w:rPr>
        <w:t>Une fois qu'une sanction a été décidée, le(s) gestionnaire(s) concerné(s) est (sont) personnellement responsable(s) de l'exécution effective de la mesure, dans un délai maximum de 14 jours à compter de la date de la sanction.</w:t>
      </w:r>
    </w:p>
    <w:p w14:paraId="32306232" w14:textId="77777777" w:rsidR="009A0954" w:rsidRPr="007F78CE" w:rsidRDefault="009A0954" w:rsidP="0044500E">
      <w:pPr>
        <w:pStyle w:val="Listecouleur-Accent13"/>
        <w:numPr>
          <w:ilvl w:val="0"/>
          <w:numId w:val="130"/>
        </w:numPr>
        <w:spacing w:before="120" w:after="120" w:line="240" w:lineRule="auto"/>
        <w:ind w:left="1134" w:hanging="426"/>
        <w:rPr>
          <w:rFonts w:cs="Calibri"/>
        </w:rPr>
      </w:pPr>
      <w:r w:rsidRPr="007F78CE">
        <w:rPr>
          <w:rFonts w:cs="Calibri"/>
        </w:rPr>
        <w:t>Si un gestionnaire a un conflit d'intérêts en raison de ses relations personnelles ou familiales avec le Victime et/ou l'auteur de l'infraction, il doit aviser l’entreprise concernée et le</w:t>
      </w:r>
      <w:r w:rsidR="002335CE" w:rsidRPr="007F78CE">
        <w:rPr>
          <w:rFonts w:cs="Calibri"/>
        </w:rPr>
        <w:t xml:space="preserve"> </w:t>
      </w:r>
      <w:r w:rsidRPr="007F78CE">
        <w:rPr>
          <w:rFonts w:cs="Calibri"/>
        </w:rPr>
        <w:t>spécialiste VBG de l’entreprise (S-VBG-E). L’entreprise sera tenue de nommer un autre gestionnaire sans conflit d'intérêts pour répondre aux plaintes.</w:t>
      </w:r>
    </w:p>
    <w:p w14:paraId="0533ED10" w14:textId="77777777" w:rsidR="009A0954" w:rsidRPr="007F78CE" w:rsidRDefault="009A0954" w:rsidP="0044500E">
      <w:pPr>
        <w:pStyle w:val="Listecouleur-Accent13"/>
        <w:numPr>
          <w:ilvl w:val="0"/>
          <w:numId w:val="130"/>
        </w:numPr>
        <w:spacing w:before="120" w:after="120" w:line="240" w:lineRule="auto"/>
        <w:ind w:left="1138" w:hanging="432"/>
        <w:contextualSpacing w:val="0"/>
        <w:rPr>
          <w:rFonts w:cs="Calibri"/>
        </w:rPr>
      </w:pPr>
      <w:r w:rsidRPr="007F78CE">
        <w:rPr>
          <w:rFonts w:cs="Calibri"/>
        </w:rPr>
        <w:t>Veiller à ce que tout problème de VBG justifiant une action de la police soit immédiatement signalé à la police, au client et à la Banque mondiale.</w:t>
      </w:r>
    </w:p>
    <w:p w14:paraId="341A2A92" w14:textId="77777777" w:rsidR="009A0954" w:rsidRPr="007F78CE" w:rsidRDefault="009A0954" w:rsidP="0044500E">
      <w:pPr>
        <w:pStyle w:val="Listecouleur-Accent13"/>
        <w:numPr>
          <w:ilvl w:val="0"/>
          <w:numId w:val="113"/>
        </w:numPr>
        <w:spacing w:before="120" w:after="120" w:line="240" w:lineRule="auto"/>
        <w:contextualSpacing w:val="0"/>
        <w:rPr>
          <w:rFonts w:cs="Calibri"/>
        </w:rPr>
      </w:pPr>
      <w:r w:rsidRPr="007F78CE">
        <w:rPr>
          <w:rFonts w:cs="Calibri"/>
        </w:rPr>
        <w:t>Nous sommes conscients que les cadres qui échouent à traiter les incidents SSE ou SST ou qui ne respectent pas les dispositions relatives à la VBG peuvent faire l'objet de mesures disciplinaires, à déterminer et à prendre par le PDG, le directeur général ou un supérieur hiérarchique équivalent. Ces mesures peuvent inclure :</w:t>
      </w:r>
    </w:p>
    <w:p w14:paraId="6ADFFFDF" w14:textId="77777777" w:rsidR="009A0954" w:rsidRPr="007F78CE" w:rsidRDefault="009A0954" w:rsidP="0044500E">
      <w:pPr>
        <w:pStyle w:val="Listecouleur-Accent13"/>
        <w:numPr>
          <w:ilvl w:val="1"/>
          <w:numId w:val="131"/>
        </w:numPr>
        <w:spacing w:after="0" w:line="240" w:lineRule="auto"/>
        <w:ind w:left="1134" w:hanging="425"/>
        <w:rPr>
          <w:rFonts w:cs="Calibri"/>
        </w:rPr>
      </w:pPr>
      <w:r w:rsidRPr="007F78CE">
        <w:rPr>
          <w:rFonts w:cs="Calibri"/>
        </w:rPr>
        <w:t xml:space="preserve">Rappel à l’ordre par écrit </w:t>
      </w:r>
    </w:p>
    <w:p w14:paraId="2E68103D" w14:textId="77777777" w:rsidR="009A0954" w:rsidRPr="007F78CE" w:rsidRDefault="009A0954" w:rsidP="0044500E">
      <w:pPr>
        <w:pStyle w:val="Listecouleur-Accent13"/>
        <w:numPr>
          <w:ilvl w:val="1"/>
          <w:numId w:val="131"/>
        </w:numPr>
        <w:spacing w:after="0" w:line="240" w:lineRule="auto"/>
        <w:ind w:left="1134" w:hanging="425"/>
        <w:rPr>
          <w:rFonts w:cs="Calibri"/>
        </w:rPr>
      </w:pPr>
      <w:r w:rsidRPr="007F78CE">
        <w:rPr>
          <w:rFonts w:cs="Calibri"/>
        </w:rPr>
        <w:t>Avertissement par écrit</w:t>
      </w:r>
    </w:p>
    <w:p w14:paraId="6943C24F" w14:textId="77777777" w:rsidR="009A0954" w:rsidRPr="007F78CE" w:rsidRDefault="009A0954" w:rsidP="0044500E">
      <w:pPr>
        <w:pStyle w:val="Listecouleur-Accent13"/>
        <w:numPr>
          <w:ilvl w:val="1"/>
          <w:numId w:val="131"/>
        </w:numPr>
        <w:spacing w:after="0" w:line="240" w:lineRule="auto"/>
        <w:ind w:left="1134" w:hanging="425"/>
        <w:rPr>
          <w:rFonts w:cs="Calibri"/>
        </w:rPr>
      </w:pPr>
      <w:r w:rsidRPr="007F78CE">
        <w:rPr>
          <w:rFonts w:cs="Calibri"/>
        </w:rPr>
        <w:t>Blâme par écrit</w:t>
      </w:r>
    </w:p>
    <w:p w14:paraId="67823BD8" w14:textId="77777777" w:rsidR="009A0954" w:rsidRPr="007F78CE" w:rsidRDefault="009A0954" w:rsidP="0044500E">
      <w:pPr>
        <w:pStyle w:val="Listecouleur-Accent13"/>
        <w:numPr>
          <w:ilvl w:val="1"/>
          <w:numId w:val="131"/>
        </w:numPr>
        <w:spacing w:after="0" w:line="240" w:lineRule="auto"/>
        <w:ind w:left="1134" w:hanging="425"/>
        <w:rPr>
          <w:rFonts w:cs="Calibri"/>
        </w:rPr>
      </w:pPr>
      <w:r w:rsidRPr="007F78CE">
        <w:rPr>
          <w:rFonts w:cs="Calibri"/>
        </w:rPr>
        <w:t>Mise à pied de 3 à 8 jours sans rémunération (en fonction de la gravité de la faute)</w:t>
      </w:r>
    </w:p>
    <w:p w14:paraId="0A3EC3EF" w14:textId="77777777" w:rsidR="009A0954" w:rsidRPr="007F78CE" w:rsidRDefault="009A0954" w:rsidP="0044500E">
      <w:pPr>
        <w:pStyle w:val="Listecouleur-Accent13"/>
        <w:numPr>
          <w:ilvl w:val="1"/>
          <w:numId w:val="131"/>
        </w:numPr>
        <w:spacing w:after="0" w:line="240" w:lineRule="auto"/>
        <w:ind w:left="1134" w:hanging="425"/>
        <w:rPr>
          <w:rFonts w:cs="Calibri"/>
        </w:rPr>
      </w:pPr>
      <w:r w:rsidRPr="007F78CE">
        <w:rPr>
          <w:rFonts w:cs="Calibri"/>
        </w:rPr>
        <w:t>Mutation disciplinaire</w:t>
      </w:r>
    </w:p>
    <w:p w14:paraId="24EF61F8" w14:textId="77777777" w:rsidR="009A0954" w:rsidRPr="007F78CE" w:rsidRDefault="009A0954" w:rsidP="0044500E">
      <w:pPr>
        <w:pStyle w:val="Listecouleur-Accent13"/>
        <w:numPr>
          <w:ilvl w:val="1"/>
          <w:numId w:val="131"/>
        </w:numPr>
        <w:spacing w:after="0" w:line="240" w:lineRule="auto"/>
        <w:ind w:left="1134" w:hanging="425"/>
        <w:rPr>
          <w:rFonts w:cs="Calibri"/>
        </w:rPr>
      </w:pPr>
      <w:r w:rsidRPr="007F78CE">
        <w:rPr>
          <w:rFonts w:cs="Calibri"/>
        </w:rPr>
        <w:t>Licenciement pour faute simple</w:t>
      </w:r>
    </w:p>
    <w:p w14:paraId="0E8E3F23" w14:textId="77777777" w:rsidR="009A0954" w:rsidRPr="007F78CE" w:rsidRDefault="009A0954" w:rsidP="0044500E">
      <w:pPr>
        <w:pStyle w:val="Listecouleur-Accent13"/>
        <w:numPr>
          <w:ilvl w:val="1"/>
          <w:numId w:val="131"/>
        </w:numPr>
        <w:spacing w:after="0" w:line="240" w:lineRule="auto"/>
        <w:ind w:left="1134" w:hanging="425"/>
        <w:rPr>
          <w:rFonts w:cs="Calibri"/>
        </w:rPr>
      </w:pPr>
      <w:r w:rsidRPr="007F78CE">
        <w:rPr>
          <w:rFonts w:cs="Calibri"/>
        </w:rPr>
        <w:t xml:space="preserve">Licenciement pour faute grave sans préavis, ni indemnité de licenciement </w:t>
      </w:r>
    </w:p>
    <w:p w14:paraId="0218E59B" w14:textId="77777777" w:rsidR="009A0954" w:rsidRPr="007F78CE" w:rsidRDefault="009A0954" w:rsidP="0044500E">
      <w:pPr>
        <w:pStyle w:val="Listecouleur-Accent13"/>
        <w:numPr>
          <w:ilvl w:val="1"/>
          <w:numId w:val="131"/>
        </w:numPr>
        <w:spacing w:after="0" w:line="240" w:lineRule="auto"/>
        <w:ind w:left="1134" w:hanging="425"/>
        <w:rPr>
          <w:rFonts w:cs="Calibri"/>
        </w:rPr>
      </w:pPr>
      <w:r w:rsidRPr="007F78CE">
        <w:rPr>
          <w:rFonts w:cs="Calibri"/>
        </w:rPr>
        <w:t>Licenciement pour faute lourde, sans préavis, ni indemnité de licenciement, ni indemnités compensatrices de congés payés.</w:t>
      </w:r>
    </w:p>
    <w:p w14:paraId="102D0E27" w14:textId="77777777" w:rsidR="009A0954" w:rsidRPr="007F78CE" w:rsidRDefault="009A0954" w:rsidP="0044500E">
      <w:pPr>
        <w:pStyle w:val="Listecouleur-Accent13"/>
        <w:numPr>
          <w:ilvl w:val="0"/>
          <w:numId w:val="113"/>
        </w:numPr>
        <w:spacing w:before="120" w:after="120" w:line="240" w:lineRule="auto"/>
        <w:rPr>
          <w:rFonts w:cs="Calibri"/>
        </w:rPr>
      </w:pPr>
      <w:r w:rsidRPr="007F78CE">
        <w:rPr>
          <w:rFonts w:cs="Calibri"/>
        </w:rPr>
        <w:t>Nous sommes conscients que le fait de ne pas répondre efficacement aux cas d'HSSE sur le lieu de travail par les directeurs ou le PDG de l'entreprise peut donner lieu à des poursuites judiciaires par les autorités.</w:t>
      </w:r>
    </w:p>
    <w:p w14:paraId="2B84B368" w14:textId="77777777" w:rsidR="009A0954" w:rsidRPr="007F78CE" w:rsidRDefault="009A0954" w:rsidP="0044500E">
      <w:pPr>
        <w:pStyle w:val="Listecouleur-Accent13"/>
        <w:numPr>
          <w:ilvl w:val="0"/>
          <w:numId w:val="113"/>
        </w:numPr>
        <w:spacing w:before="120" w:after="120" w:line="240" w:lineRule="auto"/>
        <w:rPr>
          <w:rFonts w:cs="Calibri"/>
          <w:i/>
        </w:rPr>
      </w:pPr>
      <w:r w:rsidRPr="007F78CE">
        <w:rPr>
          <w:rFonts w:cs="Calibri"/>
          <w:i/>
        </w:rPr>
        <w:t>En tant que parmi les gestionnaires de l’entreprise, je reconnais par la présente avoir lu le Code de conduite du gestionnaire, accepter de me conformer aux normes qui y sont énoncées et comprendre mes rôles et responsabilités pour prévenir et répondre aux exigences HSSE, SST, VBG. Je comprends que toute action incompatible avec le Code de conduite de ce gestionnaire ou l'omission d'agir conformément au Code de conduite du gestionnaire peut entraîner des mesures disciplinaires.</w:t>
      </w:r>
    </w:p>
    <w:p w14:paraId="1CE360F8" w14:textId="77777777" w:rsidR="009A0954" w:rsidRPr="007F78CE" w:rsidRDefault="009A0954" w:rsidP="009A0954">
      <w:pPr>
        <w:spacing w:before="120"/>
        <w:rPr>
          <w:rFonts w:cs="Calibri"/>
        </w:rPr>
      </w:pPr>
      <w:r w:rsidRPr="007F78CE">
        <w:rPr>
          <w:rFonts w:cs="Calibri"/>
        </w:rPr>
        <w:t>Signature : _________________________</w:t>
      </w:r>
    </w:p>
    <w:p w14:paraId="5A0BC8CF" w14:textId="77777777" w:rsidR="009A0954" w:rsidRPr="007F78CE" w:rsidRDefault="009A0954" w:rsidP="009A0954">
      <w:pPr>
        <w:spacing w:before="120"/>
        <w:rPr>
          <w:rFonts w:cs="Calibri"/>
        </w:rPr>
      </w:pPr>
      <w:r w:rsidRPr="007F78CE">
        <w:rPr>
          <w:rFonts w:cs="Calibri"/>
        </w:rPr>
        <w:t>Nom en majuscule : _________________________</w:t>
      </w:r>
    </w:p>
    <w:p w14:paraId="11238851" w14:textId="77777777" w:rsidR="009A0954" w:rsidRPr="007F78CE" w:rsidRDefault="009A0954" w:rsidP="009A0954">
      <w:pPr>
        <w:spacing w:before="120"/>
        <w:rPr>
          <w:rFonts w:cs="Calibri"/>
        </w:rPr>
      </w:pPr>
      <w:r w:rsidRPr="007F78CE">
        <w:rPr>
          <w:rFonts w:cs="Calibri"/>
        </w:rPr>
        <w:t>Titre : _________________________</w:t>
      </w:r>
    </w:p>
    <w:p w14:paraId="1B313A1C" w14:textId="77777777" w:rsidR="009A0954" w:rsidRPr="007F78CE" w:rsidRDefault="009A0954" w:rsidP="009A0954">
      <w:pPr>
        <w:spacing w:before="120"/>
        <w:rPr>
          <w:rFonts w:cs="Calibri"/>
        </w:rPr>
      </w:pPr>
      <w:r w:rsidRPr="007F78CE">
        <w:rPr>
          <w:rFonts w:cs="Calibri"/>
        </w:rPr>
        <w:t>Date : _________________________</w:t>
      </w:r>
    </w:p>
    <w:p w14:paraId="4A8EFDDE" w14:textId="77777777" w:rsidR="009A0954" w:rsidRDefault="009A0954" w:rsidP="009A0954">
      <w:pPr>
        <w:rPr>
          <w:rFonts w:ascii="Arial" w:hAnsi="Arial" w:cs="Arial"/>
          <w:sz w:val="20"/>
          <w:szCs w:val="20"/>
        </w:rPr>
      </w:pPr>
      <w:r>
        <w:br w:type="page"/>
      </w:r>
    </w:p>
    <w:p w14:paraId="6AAE023D" w14:textId="77777777" w:rsidR="009A0954" w:rsidRDefault="009A0954" w:rsidP="009A0954">
      <w:pPr>
        <w:pBdr>
          <w:top w:val="single" w:sz="4" w:space="1" w:color="000000"/>
          <w:left w:val="single" w:sz="4" w:space="4" w:color="000000"/>
          <w:bottom w:val="single" w:sz="4" w:space="1" w:color="000000"/>
          <w:right w:val="single" w:sz="4" w:space="4" w:color="000000"/>
        </w:pBdr>
        <w:spacing w:before="120" w:after="120"/>
        <w:ind w:left="1418" w:hanging="1418"/>
        <w:jc w:val="center"/>
        <w:rPr>
          <w:rFonts w:ascii="Arial" w:hAnsi="Arial" w:cs="Arial"/>
          <w:b/>
          <w:sz w:val="24"/>
          <w:szCs w:val="20"/>
        </w:rPr>
      </w:pPr>
      <w:bookmarkStart w:id="1744" w:name="_Toc67346654"/>
      <w:r>
        <w:rPr>
          <w:rFonts w:ascii="Arial" w:hAnsi="Arial" w:cs="Arial"/>
          <w:b/>
          <w:sz w:val="24"/>
          <w:szCs w:val="20"/>
        </w:rPr>
        <w:t>Code de conduite individuel pour la mise en œuvre des normes HSSE et SS-Prévenir les Violences Basées sur le genre</w:t>
      </w:r>
      <w:bookmarkEnd w:id="1744"/>
    </w:p>
    <w:p w14:paraId="3098E123" w14:textId="77777777" w:rsidR="009A0954" w:rsidRDefault="009A0954" w:rsidP="0044500E">
      <w:pPr>
        <w:pStyle w:val="Listecouleur-Accent13"/>
        <w:numPr>
          <w:ilvl w:val="0"/>
          <w:numId w:val="111"/>
        </w:numPr>
        <w:spacing w:before="120" w:after="120" w:line="240" w:lineRule="auto"/>
        <w:ind w:left="425" w:hanging="357"/>
        <w:rPr>
          <w:rFonts w:ascii="Arial" w:hAnsi="Arial" w:cs="Arial"/>
          <w:b/>
          <w:sz w:val="20"/>
          <w:szCs w:val="20"/>
        </w:rPr>
      </w:pPr>
      <w:r>
        <w:rPr>
          <w:rFonts w:ascii="Arial" w:hAnsi="Arial" w:cs="Arial"/>
          <w:b/>
          <w:sz w:val="20"/>
          <w:szCs w:val="20"/>
        </w:rPr>
        <w:t>ENGAGEMENT GLOBAL</w:t>
      </w:r>
    </w:p>
    <w:p w14:paraId="7401C2AB" w14:textId="77777777" w:rsidR="009A0954" w:rsidRPr="007F78CE" w:rsidRDefault="009A0954" w:rsidP="0044500E">
      <w:pPr>
        <w:pStyle w:val="Listecouleur-Accent13"/>
        <w:numPr>
          <w:ilvl w:val="1"/>
          <w:numId w:val="130"/>
        </w:numPr>
        <w:spacing w:before="120" w:after="120" w:line="240" w:lineRule="auto"/>
        <w:ind w:left="357" w:hanging="357"/>
        <w:rPr>
          <w:rFonts w:cs="Calibri"/>
        </w:rPr>
      </w:pPr>
      <w:r w:rsidRPr="007F78CE">
        <w:rPr>
          <w:rFonts w:cs="Calibri"/>
        </w:rPr>
        <w:t>Je, ______________________________, reconnais qu'il est important de respecter les normes environnementales, sociales et de santé (HSSE), de respecter les exigences de santé et de sécurité au travail du projet et de prévenir la Violence basée sur le genre et la violence contre les enfants.</w:t>
      </w:r>
    </w:p>
    <w:p w14:paraId="02961ADA" w14:textId="77777777" w:rsidR="009A0954" w:rsidRPr="007F78CE" w:rsidRDefault="009A0954" w:rsidP="0044500E">
      <w:pPr>
        <w:pStyle w:val="Listecouleur-Accent13"/>
        <w:numPr>
          <w:ilvl w:val="1"/>
          <w:numId w:val="130"/>
        </w:numPr>
        <w:spacing w:before="120" w:after="120" w:line="240" w:lineRule="auto"/>
        <w:ind w:left="357" w:hanging="357"/>
        <w:rPr>
          <w:rFonts w:cs="Calibri"/>
        </w:rPr>
      </w:pPr>
      <w:r w:rsidRPr="007F78CE">
        <w:rPr>
          <w:rFonts w:cs="Calibri"/>
        </w:rPr>
        <w:t>Je reconnais que l’entreprise considère que le non-respect des normes HSSE et SST ou la participation à des activités VBG, que ce soit sur le lieu de travail, sur le lieu de travail, dans les camps de travailleurs ou dans les communautés avoisinantes, constitue une faute grave, donc des motifs pour des sanctions, des pénalités ou une éventuelle cessation d'emploi. Les poursuites engagées par la police contre les auteurs de VBG peuvent être poursuivies si nécessaire.</w:t>
      </w:r>
    </w:p>
    <w:p w14:paraId="5390D311" w14:textId="77777777" w:rsidR="009A0954" w:rsidRDefault="009A0954" w:rsidP="0044500E">
      <w:pPr>
        <w:pStyle w:val="Listecouleur-Accent13"/>
        <w:numPr>
          <w:ilvl w:val="1"/>
          <w:numId w:val="130"/>
        </w:numPr>
        <w:spacing w:before="120" w:after="120" w:line="240" w:lineRule="auto"/>
        <w:ind w:left="360"/>
        <w:contextualSpacing w:val="0"/>
        <w:rPr>
          <w:rFonts w:cs="Calibri"/>
        </w:rPr>
      </w:pPr>
      <w:r w:rsidRPr="007F78CE">
        <w:rPr>
          <w:rFonts w:cs="Calibri"/>
        </w:rPr>
        <w:t>J’accepte qu’en travaillant sur le projet et dans le cadre du projet, je dois assumer tous les engagements décrits dans ce code de conduite</w:t>
      </w:r>
      <w:r w:rsidR="009C2354">
        <w:rPr>
          <w:rFonts w:cs="Calibri"/>
        </w:rPr>
        <w:t>.</w:t>
      </w:r>
    </w:p>
    <w:p w14:paraId="75FE2404" w14:textId="77777777" w:rsidR="009C2354" w:rsidRPr="007F78CE" w:rsidRDefault="009C2354" w:rsidP="00AB1E0E">
      <w:pPr>
        <w:pStyle w:val="Listecouleur-Accent13"/>
        <w:spacing w:before="120" w:after="120" w:line="240" w:lineRule="auto"/>
        <w:ind w:left="0"/>
        <w:contextualSpacing w:val="0"/>
        <w:rPr>
          <w:rFonts w:cs="Calibri"/>
        </w:rPr>
      </w:pPr>
    </w:p>
    <w:p w14:paraId="31B8B36D" w14:textId="77777777" w:rsidR="009A0954" w:rsidRDefault="009A0954" w:rsidP="0044500E">
      <w:pPr>
        <w:pStyle w:val="Listecouleur-Accent13"/>
        <w:numPr>
          <w:ilvl w:val="0"/>
          <w:numId w:val="111"/>
        </w:numPr>
        <w:spacing w:before="120" w:after="120" w:line="240" w:lineRule="auto"/>
        <w:ind w:left="432"/>
        <w:contextualSpacing w:val="0"/>
        <w:rPr>
          <w:rFonts w:ascii="Arial" w:hAnsi="Arial" w:cs="Arial"/>
          <w:b/>
          <w:sz w:val="20"/>
          <w:szCs w:val="20"/>
        </w:rPr>
      </w:pPr>
      <w:r>
        <w:rPr>
          <w:rFonts w:ascii="Arial" w:hAnsi="Arial" w:cs="Arial"/>
          <w:b/>
          <w:sz w:val="20"/>
          <w:szCs w:val="20"/>
        </w:rPr>
        <w:t>ENGAGEMENT SPECIFIQUE</w:t>
      </w:r>
    </w:p>
    <w:p w14:paraId="15C82DBF" w14:textId="77777777" w:rsidR="009A0954" w:rsidRPr="007F78CE" w:rsidRDefault="009A0954" w:rsidP="0044500E">
      <w:pPr>
        <w:pStyle w:val="Listecouleur-Accent13"/>
        <w:numPr>
          <w:ilvl w:val="1"/>
          <w:numId w:val="130"/>
        </w:numPr>
        <w:spacing w:before="120" w:after="120" w:line="240" w:lineRule="auto"/>
        <w:ind w:left="357" w:hanging="357"/>
        <w:rPr>
          <w:rFonts w:cs="Calibri"/>
        </w:rPr>
      </w:pPr>
      <w:r w:rsidRPr="007F78CE">
        <w:rPr>
          <w:rFonts w:cs="Calibri"/>
        </w:rPr>
        <w:t>Je dois assister et participer activement à des cours de formation liés à HSSE, VIH / SIDA, COVID-19, VBG comme programmé par mon employeur ;</w:t>
      </w:r>
    </w:p>
    <w:p w14:paraId="3B8FC75D" w14:textId="77777777" w:rsidR="009A0954" w:rsidRPr="007F78CE" w:rsidRDefault="009A0954" w:rsidP="0044500E">
      <w:pPr>
        <w:pStyle w:val="Listecouleur-Accent13"/>
        <w:numPr>
          <w:ilvl w:val="1"/>
          <w:numId w:val="130"/>
        </w:numPr>
        <w:spacing w:before="120" w:after="120" w:line="240" w:lineRule="auto"/>
        <w:ind w:left="357" w:hanging="357"/>
        <w:rPr>
          <w:rFonts w:cs="Calibri"/>
        </w:rPr>
      </w:pPr>
      <w:r w:rsidRPr="007F78CE">
        <w:rPr>
          <w:rFonts w:cs="Calibri"/>
        </w:rPr>
        <w:t>Je porterai mon équipement de protection individuelle (EPI) en tout temps sur le lieu de travail ou dans le cadre d'activités liées au projet ;</w:t>
      </w:r>
    </w:p>
    <w:p w14:paraId="15DFFF7F" w14:textId="77777777" w:rsidR="009A0954" w:rsidRPr="007F78CE" w:rsidRDefault="009A0954" w:rsidP="0044500E">
      <w:pPr>
        <w:pStyle w:val="Listecouleur-Accent13"/>
        <w:numPr>
          <w:ilvl w:val="1"/>
          <w:numId w:val="130"/>
        </w:numPr>
        <w:spacing w:before="120" w:after="120" w:line="240" w:lineRule="auto"/>
        <w:ind w:left="357" w:hanging="357"/>
        <w:rPr>
          <w:rFonts w:cs="Calibri"/>
        </w:rPr>
      </w:pPr>
      <w:r w:rsidRPr="007F78CE">
        <w:rPr>
          <w:rFonts w:cs="Calibri"/>
        </w:rPr>
        <w:t>J’accepte de prendre toutes les mesures pratiques pour mettre en œuvre le plan de gestion environnementale et sociale du chantier (PGES-C) ;</w:t>
      </w:r>
    </w:p>
    <w:p w14:paraId="4D597444" w14:textId="77777777" w:rsidR="009A0954" w:rsidRPr="007F78CE" w:rsidRDefault="009A0954" w:rsidP="0044500E">
      <w:pPr>
        <w:pStyle w:val="Listecouleur-Accent13"/>
        <w:numPr>
          <w:ilvl w:val="1"/>
          <w:numId w:val="130"/>
        </w:numPr>
        <w:spacing w:before="120" w:after="120" w:line="240" w:lineRule="auto"/>
        <w:ind w:left="357" w:hanging="357"/>
        <w:rPr>
          <w:rFonts w:cs="Calibri"/>
        </w:rPr>
      </w:pPr>
      <w:r w:rsidRPr="007F78CE">
        <w:rPr>
          <w:rFonts w:cs="Calibri"/>
        </w:rPr>
        <w:t>J’accepte de mettre en œuvre le plan de gestion HSSE ;</w:t>
      </w:r>
    </w:p>
    <w:p w14:paraId="7BCE3954" w14:textId="77777777" w:rsidR="009A0954" w:rsidRPr="007F78CE" w:rsidRDefault="009A0954" w:rsidP="0044500E">
      <w:pPr>
        <w:pStyle w:val="Listecouleur-Accent13"/>
        <w:numPr>
          <w:ilvl w:val="1"/>
          <w:numId w:val="130"/>
        </w:numPr>
        <w:spacing w:before="120" w:after="120" w:line="240" w:lineRule="auto"/>
        <w:ind w:left="357" w:hanging="357"/>
        <w:rPr>
          <w:rFonts w:cs="Calibri"/>
        </w:rPr>
      </w:pPr>
      <w:r w:rsidRPr="007F78CE">
        <w:rPr>
          <w:rFonts w:cs="Calibri"/>
        </w:rPr>
        <w:t>J’accepte d’adhérer à une politique sans alcool pendant les activités de travail et s'abstenir d'utiliser des stupéfiants ou d'autres substances qui peuvent altérer les facultés en tout temps ;</w:t>
      </w:r>
    </w:p>
    <w:p w14:paraId="317A498C" w14:textId="77777777" w:rsidR="009A0954" w:rsidRPr="007F78CE" w:rsidRDefault="009A0954" w:rsidP="0044500E">
      <w:pPr>
        <w:pStyle w:val="Listecouleur-Accent13"/>
        <w:numPr>
          <w:ilvl w:val="1"/>
          <w:numId w:val="130"/>
        </w:numPr>
        <w:spacing w:before="120" w:after="120" w:line="240" w:lineRule="auto"/>
        <w:ind w:left="357" w:hanging="357"/>
        <w:rPr>
          <w:rFonts w:cs="Calibri"/>
        </w:rPr>
      </w:pPr>
      <w:r w:rsidRPr="007F78CE">
        <w:rPr>
          <w:rFonts w:cs="Calibri"/>
        </w:rPr>
        <w:t>J’accepte de consentir à la vérification des antécédents de la police ;</w:t>
      </w:r>
    </w:p>
    <w:p w14:paraId="3B64476B" w14:textId="77777777" w:rsidR="009A0954" w:rsidRPr="007F78CE" w:rsidRDefault="009A0954" w:rsidP="0044500E">
      <w:pPr>
        <w:pStyle w:val="Listecouleur-Accent13"/>
        <w:numPr>
          <w:ilvl w:val="1"/>
          <w:numId w:val="130"/>
        </w:numPr>
        <w:spacing w:before="120" w:after="120" w:line="240" w:lineRule="auto"/>
        <w:ind w:left="357" w:hanging="357"/>
        <w:rPr>
          <w:rFonts w:cs="Calibri"/>
        </w:rPr>
      </w:pPr>
      <w:r w:rsidRPr="007F78CE">
        <w:rPr>
          <w:rFonts w:cs="Calibri"/>
        </w:rPr>
        <w:t>J’accepte de traiter les femmes, les enfants (personnes de moins de 18 ans) et les hommes avec respect sans distinction de race, couleur, langue, religion, opinion politique ou autre, origine nationale, ethnique ou sociale, propriété, handicap, naissance ou autre statut ;</w:t>
      </w:r>
    </w:p>
    <w:p w14:paraId="11149942" w14:textId="77777777" w:rsidR="009A0954" w:rsidRPr="007F78CE" w:rsidRDefault="009A0954" w:rsidP="0044500E">
      <w:pPr>
        <w:pStyle w:val="Listecouleur-Accent13"/>
        <w:numPr>
          <w:ilvl w:val="1"/>
          <w:numId w:val="130"/>
        </w:numPr>
        <w:spacing w:before="120" w:after="120" w:line="240" w:lineRule="auto"/>
        <w:ind w:left="357" w:hanging="357"/>
        <w:rPr>
          <w:rFonts w:cs="Calibri"/>
        </w:rPr>
      </w:pPr>
      <w:r w:rsidRPr="007F78CE">
        <w:rPr>
          <w:rFonts w:cs="Calibri"/>
        </w:rPr>
        <w:t>J’accepte de ne pas utiliser de langage ou de comportement envers les femmes, les enfants ou les hommes qui soit inapproprié, harcelant, abusif, sexuellement provocant, avilissant ou culturellement inapproprié ;</w:t>
      </w:r>
    </w:p>
    <w:p w14:paraId="5E483418" w14:textId="77777777" w:rsidR="009A0954" w:rsidRPr="007F78CE" w:rsidRDefault="009A0954" w:rsidP="0044500E">
      <w:pPr>
        <w:pStyle w:val="Listecouleur-Accent13"/>
        <w:numPr>
          <w:ilvl w:val="1"/>
          <w:numId w:val="130"/>
        </w:numPr>
        <w:spacing w:before="120" w:after="120" w:line="240" w:lineRule="auto"/>
        <w:ind w:left="357" w:hanging="357"/>
        <w:rPr>
          <w:rFonts w:cs="Calibri"/>
        </w:rPr>
      </w:pPr>
      <w:r w:rsidRPr="007F78CE">
        <w:rPr>
          <w:rFonts w:cs="Calibri"/>
        </w:rPr>
        <w:t>J’accepte de ne pas se livrer au harcèlement sexuel - par exemple, faire des avances sexuelles importunes, des demandes de faveurs sexuelles et d'autres comportements verbaux ou physiques, de nature sexuelle, y compris des actes subtils d'un tel comportement à des fins sexuels (par exemple, regarder quelqu'un de haut en bas, s'embrasser, hurler ou claquer des sons, traîner quelqu'un, siffler et faire des appels, donner des cadeaux personnels, faire des commentaires sur la vie sexuelle de quelqu'un, etc.) ;</w:t>
      </w:r>
    </w:p>
    <w:p w14:paraId="130362A0" w14:textId="77777777" w:rsidR="009A0954" w:rsidRPr="007F78CE" w:rsidRDefault="009A0954" w:rsidP="0044500E">
      <w:pPr>
        <w:pStyle w:val="Listecouleur-Accent13"/>
        <w:numPr>
          <w:ilvl w:val="1"/>
          <w:numId w:val="130"/>
        </w:numPr>
        <w:spacing w:before="120" w:after="120" w:line="240" w:lineRule="auto"/>
        <w:ind w:left="357" w:hanging="357"/>
        <w:rPr>
          <w:rFonts w:cs="Calibri"/>
        </w:rPr>
      </w:pPr>
      <w:r w:rsidRPr="007F78CE">
        <w:rPr>
          <w:rFonts w:cs="Calibri"/>
        </w:rPr>
        <w:t>J’accepte de ne pas m'engager dans des faveurs sexuelles - par exemple, faire des promesses ou un traitement favorable dépendants d'actes sexuels - ou d'autres formes de comportement humiliant, dégradant ou d'exploitation ;</w:t>
      </w:r>
    </w:p>
    <w:p w14:paraId="03EB48CE" w14:textId="77777777" w:rsidR="009A0954" w:rsidRPr="007F78CE" w:rsidRDefault="009A0954" w:rsidP="0044500E">
      <w:pPr>
        <w:pStyle w:val="Listecouleur-Accent13"/>
        <w:numPr>
          <w:ilvl w:val="1"/>
          <w:numId w:val="130"/>
        </w:numPr>
        <w:spacing w:before="120" w:after="120" w:line="240" w:lineRule="auto"/>
        <w:ind w:left="357" w:hanging="357"/>
        <w:rPr>
          <w:rFonts w:cs="Calibri"/>
        </w:rPr>
      </w:pPr>
      <w:r w:rsidRPr="007F78CE">
        <w:rPr>
          <w:rFonts w:cs="Calibri"/>
        </w:rPr>
        <w:t>J’accepte de ne pas participer à un contact ou à une activité sexuelle avec des enfants. Une croyance erronée concernant l'âge d'un enfant n'est pas une défense. Le consentement de l'enfant n'est pas non plus une défense ou une excuse.</w:t>
      </w:r>
    </w:p>
    <w:p w14:paraId="7454AE8C" w14:textId="77777777" w:rsidR="009A0954" w:rsidRPr="007F78CE" w:rsidRDefault="009A0954" w:rsidP="0044500E">
      <w:pPr>
        <w:pStyle w:val="Listecouleur-Accent13"/>
        <w:numPr>
          <w:ilvl w:val="1"/>
          <w:numId w:val="130"/>
        </w:numPr>
        <w:spacing w:before="120" w:after="120" w:line="240" w:lineRule="auto"/>
        <w:ind w:left="357" w:hanging="357"/>
        <w:rPr>
          <w:rFonts w:cs="Calibri"/>
        </w:rPr>
      </w:pPr>
      <w:r w:rsidRPr="007F78CE">
        <w:rPr>
          <w:rFonts w:cs="Calibri"/>
        </w:rPr>
        <w:t>À moins d'avoir le plein consentement de toutes les parties concernées, je n'aurai pas d'interactions sexuelles avec les membres des communautés environnantes. Cela inclut les relations impliquant la retenue ou la promesse de prestation réelle de bénéfices (monétaires ou non) aux membres de la communauté en échange de rapports sexuels</w:t>
      </w:r>
      <w:r w:rsidRPr="007F78CE">
        <w:rPr>
          <w:rStyle w:val="Ancredenotedebasdepage"/>
          <w:rFonts w:cs="Calibri"/>
        </w:rPr>
        <w:footnoteReference w:id="89"/>
      </w:r>
      <w:r w:rsidRPr="007F78CE">
        <w:rPr>
          <w:rFonts w:cs="Calibri"/>
        </w:rPr>
        <w:t>.</w:t>
      </w:r>
    </w:p>
    <w:p w14:paraId="6FB91509" w14:textId="77777777" w:rsidR="009A0954" w:rsidRPr="007F78CE" w:rsidRDefault="009A0954" w:rsidP="0044500E">
      <w:pPr>
        <w:pStyle w:val="Listecouleur-Accent13"/>
        <w:numPr>
          <w:ilvl w:val="1"/>
          <w:numId w:val="130"/>
        </w:numPr>
        <w:spacing w:before="120" w:after="120" w:line="240" w:lineRule="auto"/>
        <w:ind w:left="357" w:hanging="357"/>
        <w:rPr>
          <w:rFonts w:cs="Calibri"/>
        </w:rPr>
      </w:pPr>
      <w:r w:rsidRPr="007F78CE">
        <w:rPr>
          <w:rFonts w:cs="Calibri"/>
        </w:rPr>
        <w:t>Envisager de signaler par l'intermédiaire du Mécanisme de gestion de plaintes ou à mon supérieur hiérarchique toute VBG suspectée ou réelle par un collègue, qu'elle soit ou non employée par mon entreprise, ou tout manquement au présent Code de conduite.</w:t>
      </w:r>
    </w:p>
    <w:p w14:paraId="2A68F4EE" w14:textId="77777777" w:rsidR="009A0954" w:rsidRDefault="009A0954" w:rsidP="0044500E">
      <w:pPr>
        <w:pStyle w:val="Sansinterligne1"/>
        <w:numPr>
          <w:ilvl w:val="0"/>
          <w:numId w:val="110"/>
        </w:numPr>
        <w:spacing w:after="120"/>
        <w:jc w:val="both"/>
        <w:rPr>
          <w:rFonts w:ascii="Arial" w:hAnsi="Arial" w:cs="Arial"/>
          <w:b/>
        </w:rPr>
      </w:pPr>
      <w:r>
        <w:rPr>
          <w:rFonts w:ascii="Arial" w:hAnsi="Arial" w:cs="Arial"/>
          <w:b/>
        </w:rPr>
        <w:t>En ce qui concerne les enfants de moins de 18 ans :</w:t>
      </w:r>
    </w:p>
    <w:p w14:paraId="17890F47" w14:textId="77777777" w:rsidR="009A0954" w:rsidRPr="007F78CE" w:rsidRDefault="009A0954" w:rsidP="0044500E">
      <w:pPr>
        <w:pStyle w:val="Listecouleur-Accent13"/>
        <w:numPr>
          <w:ilvl w:val="1"/>
          <w:numId w:val="130"/>
        </w:numPr>
        <w:spacing w:before="120" w:after="120" w:line="240" w:lineRule="auto"/>
        <w:ind w:left="357" w:hanging="357"/>
        <w:rPr>
          <w:rFonts w:cs="Calibri"/>
        </w:rPr>
      </w:pPr>
      <w:r w:rsidRPr="007F78CE">
        <w:rPr>
          <w:rFonts w:cs="Calibri"/>
        </w:rPr>
        <w:t>Dans la mesure du possible, je m’assure qu'un autre adulte soit présent lorsque je travaille à proximité d'enfants.</w:t>
      </w:r>
    </w:p>
    <w:p w14:paraId="001BCED8" w14:textId="77777777" w:rsidR="009A0954" w:rsidRPr="007F78CE" w:rsidRDefault="009A0954" w:rsidP="0044500E">
      <w:pPr>
        <w:pStyle w:val="Listecouleur-Accent13"/>
        <w:numPr>
          <w:ilvl w:val="1"/>
          <w:numId w:val="130"/>
        </w:numPr>
        <w:spacing w:before="120" w:after="120" w:line="240" w:lineRule="auto"/>
        <w:ind w:left="357" w:hanging="357"/>
        <w:rPr>
          <w:rFonts w:cs="Calibri"/>
        </w:rPr>
      </w:pPr>
      <w:r w:rsidRPr="007F78CE">
        <w:rPr>
          <w:rFonts w:cs="Calibri"/>
        </w:rPr>
        <w:t>J’accepte de ne pas inviter chez moi des enfants non accompagnés sans lien avec ma famille, à moins qu'ils ne courent un risque immédiat de blessure ou de danger physique.</w:t>
      </w:r>
    </w:p>
    <w:p w14:paraId="45DAE2D9" w14:textId="77777777" w:rsidR="009A0954" w:rsidRPr="007F78CE" w:rsidRDefault="009A0954" w:rsidP="0044500E">
      <w:pPr>
        <w:pStyle w:val="Listecouleur-Accent13"/>
        <w:numPr>
          <w:ilvl w:val="1"/>
          <w:numId w:val="130"/>
        </w:numPr>
        <w:spacing w:before="120" w:after="120" w:line="240" w:lineRule="auto"/>
        <w:ind w:left="357" w:hanging="357"/>
        <w:rPr>
          <w:rFonts w:cs="Calibri"/>
        </w:rPr>
      </w:pPr>
      <w:r w:rsidRPr="007F78CE">
        <w:rPr>
          <w:rFonts w:cs="Calibri"/>
        </w:rPr>
        <w:t>J’accepte de ne pas utiliser d'ordinateurs, de téléphones mob</w:t>
      </w:r>
      <w:r w:rsidR="00B81F63">
        <w:rPr>
          <w:rFonts w:cs="Calibri"/>
        </w:rPr>
        <w:t>i</w:t>
      </w:r>
      <w:r w:rsidRPr="007F78CE">
        <w:rPr>
          <w:rFonts w:cs="Calibri"/>
        </w:rPr>
        <w:t>les, de caméras vidéo et numériques ou tout autre support pour exploiter ou harceler des enfants ou accéder à de la pornographie enfantine ainsi que tout autres formes et manifestation de maltraitance d’enfant.</w:t>
      </w:r>
    </w:p>
    <w:p w14:paraId="793D8961" w14:textId="77777777" w:rsidR="009A0954" w:rsidRPr="007F78CE" w:rsidRDefault="009A0954" w:rsidP="0044500E">
      <w:pPr>
        <w:pStyle w:val="Listecouleur-Accent13"/>
        <w:numPr>
          <w:ilvl w:val="1"/>
          <w:numId w:val="130"/>
        </w:numPr>
        <w:spacing w:before="120" w:after="120" w:line="240" w:lineRule="auto"/>
        <w:ind w:left="357" w:hanging="357"/>
        <w:rPr>
          <w:rFonts w:cs="Calibri"/>
        </w:rPr>
      </w:pPr>
      <w:r w:rsidRPr="007F78CE">
        <w:rPr>
          <w:rFonts w:cs="Calibri"/>
        </w:rPr>
        <w:t>J’accepte de m'abstenir de punir physiquement les enfants dans le cadre de mes fonctions.</w:t>
      </w:r>
    </w:p>
    <w:p w14:paraId="48CC41B4" w14:textId="77777777" w:rsidR="009A0954" w:rsidRPr="007F78CE" w:rsidRDefault="009A0954" w:rsidP="0044500E">
      <w:pPr>
        <w:pStyle w:val="Listecouleur-Accent13"/>
        <w:numPr>
          <w:ilvl w:val="1"/>
          <w:numId w:val="130"/>
        </w:numPr>
        <w:spacing w:before="120" w:after="120" w:line="240" w:lineRule="auto"/>
        <w:ind w:left="357" w:hanging="357"/>
        <w:rPr>
          <w:rFonts w:cs="Calibri"/>
        </w:rPr>
      </w:pPr>
      <w:r w:rsidRPr="007F78CE">
        <w:rPr>
          <w:rFonts w:cs="Calibri"/>
        </w:rPr>
        <w:t>J’accepte de m'abstenir d'embaucher des enfants pour des travaux domestiques ou autres, en dessous de l'âge minimum de 18 ans, à moins que la législation nationale ne spécifie un âge plus élevé, ou qui les expose à un risque important de blessure.</w:t>
      </w:r>
    </w:p>
    <w:p w14:paraId="5F016CC8" w14:textId="77777777" w:rsidR="009A0954" w:rsidRPr="007F78CE" w:rsidRDefault="009A0954" w:rsidP="0044500E">
      <w:pPr>
        <w:pStyle w:val="Listecouleur-Accent13"/>
        <w:numPr>
          <w:ilvl w:val="1"/>
          <w:numId w:val="130"/>
        </w:numPr>
        <w:spacing w:before="120" w:after="120" w:line="240" w:lineRule="auto"/>
        <w:ind w:left="357" w:hanging="357"/>
        <w:rPr>
          <w:rFonts w:cs="Calibri"/>
        </w:rPr>
      </w:pPr>
      <w:r w:rsidRPr="007F78CE">
        <w:rPr>
          <w:rFonts w:cs="Calibri"/>
        </w:rPr>
        <w:t>J’accepte de respecter toutes les lois locales pertinentes, y compris les lois du travail relatives au travail des enfants et les politiques de sauvegarde de la Banque mondiale sur le travail des enfants et l'âge minimum.</w:t>
      </w:r>
    </w:p>
    <w:p w14:paraId="54B71F0E" w14:textId="77777777" w:rsidR="009A0954" w:rsidRDefault="009A0954" w:rsidP="0044500E">
      <w:pPr>
        <w:pStyle w:val="Sansinterligne1"/>
        <w:numPr>
          <w:ilvl w:val="0"/>
          <w:numId w:val="110"/>
        </w:numPr>
        <w:spacing w:after="120"/>
        <w:jc w:val="both"/>
        <w:rPr>
          <w:rFonts w:ascii="Arial" w:hAnsi="Arial" w:cs="Arial"/>
          <w:b/>
        </w:rPr>
      </w:pPr>
      <w:r>
        <w:rPr>
          <w:rFonts w:ascii="Arial" w:hAnsi="Arial" w:cs="Arial"/>
          <w:b/>
        </w:rPr>
        <w:t>Utilisation d'images d'enfants à des fins professionnelles</w:t>
      </w:r>
    </w:p>
    <w:p w14:paraId="102F333B" w14:textId="77777777" w:rsidR="009A0954" w:rsidRPr="007F78CE" w:rsidRDefault="009A0954" w:rsidP="0044500E">
      <w:pPr>
        <w:pStyle w:val="Listecouleur-Accent13"/>
        <w:numPr>
          <w:ilvl w:val="1"/>
          <w:numId w:val="130"/>
        </w:numPr>
        <w:spacing w:before="120" w:after="120" w:line="240" w:lineRule="auto"/>
        <w:ind w:left="357" w:hanging="357"/>
        <w:rPr>
          <w:rFonts w:cs="Calibri"/>
        </w:rPr>
      </w:pPr>
      <w:r w:rsidRPr="007F78CE">
        <w:rPr>
          <w:rFonts w:cs="Calibri"/>
        </w:rPr>
        <w:t>Lorsqu’on photographie ou filme un enfant à des fins professionnelles, je dois :</w:t>
      </w:r>
    </w:p>
    <w:p w14:paraId="7DCD1B6C" w14:textId="77777777" w:rsidR="009A0954" w:rsidRPr="007F78CE" w:rsidRDefault="009A0954" w:rsidP="0044500E">
      <w:pPr>
        <w:pStyle w:val="Listecouleur-Accent13"/>
        <w:numPr>
          <w:ilvl w:val="1"/>
          <w:numId w:val="130"/>
        </w:numPr>
        <w:spacing w:before="120" w:after="120" w:line="240" w:lineRule="auto"/>
        <w:ind w:left="357" w:hanging="357"/>
        <w:rPr>
          <w:rFonts w:cs="Calibri"/>
        </w:rPr>
      </w:pPr>
      <w:r w:rsidRPr="007F78CE">
        <w:rPr>
          <w:rFonts w:cs="Calibri"/>
        </w:rPr>
        <w:t>Avant de photographier ou de filmer un enfant, je dois évaluer et essayer de respecter les traditions locales ou les restrictions relatives à la reproduction d'images personnelles.</w:t>
      </w:r>
    </w:p>
    <w:p w14:paraId="40A1F8E4" w14:textId="77777777" w:rsidR="009A0954" w:rsidRPr="007F78CE" w:rsidRDefault="009A0954" w:rsidP="0044500E">
      <w:pPr>
        <w:pStyle w:val="Listecouleur-Accent13"/>
        <w:numPr>
          <w:ilvl w:val="1"/>
          <w:numId w:val="130"/>
        </w:numPr>
        <w:spacing w:before="120" w:after="120" w:line="240" w:lineRule="auto"/>
        <w:ind w:left="357" w:hanging="357"/>
        <w:rPr>
          <w:rFonts w:cs="Calibri"/>
        </w:rPr>
      </w:pPr>
      <w:r w:rsidRPr="007F78CE">
        <w:rPr>
          <w:rFonts w:cs="Calibri"/>
        </w:rPr>
        <w:t>Avant de photographier ou de filmer un enfant, je dois obtenir le consentement éclairé de l'enfant et d'un parent ou tuteur de l'enfant. Dans le cadre de cela, je dois expliquer comment la photo ou le film sera utilisé.</w:t>
      </w:r>
    </w:p>
    <w:p w14:paraId="20D62A02" w14:textId="77777777" w:rsidR="009A0954" w:rsidRPr="007F78CE" w:rsidRDefault="009A0954" w:rsidP="0044500E">
      <w:pPr>
        <w:pStyle w:val="Listecouleur-Accent13"/>
        <w:numPr>
          <w:ilvl w:val="1"/>
          <w:numId w:val="130"/>
        </w:numPr>
        <w:spacing w:before="120" w:after="120" w:line="240" w:lineRule="auto"/>
        <w:ind w:left="357" w:hanging="357"/>
        <w:rPr>
          <w:rFonts w:cs="Calibri"/>
        </w:rPr>
      </w:pPr>
      <w:r w:rsidRPr="007F78CE">
        <w:rPr>
          <w:rFonts w:cs="Calibri"/>
        </w:rPr>
        <w:t>Je dois veiller à ce que les photographies, les films, les vidéos et les DVD présentent les enfants d'une manière digne et respectueuse et non d'une manière vulnérable ou soumise. Les enfants doivent être vêtus de manière adéquate et ne pas avoir de poses pouvant être perçues comme sexuellement suggestives.</w:t>
      </w:r>
    </w:p>
    <w:p w14:paraId="531646C6" w14:textId="77777777" w:rsidR="009A0954" w:rsidRPr="007F78CE" w:rsidRDefault="009A0954" w:rsidP="0044500E">
      <w:pPr>
        <w:pStyle w:val="Listecouleur-Accent13"/>
        <w:numPr>
          <w:ilvl w:val="1"/>
          <w:numId w:val="130"/>
        </w:numPr>
        <w:spacing w:before="120" w:after="120" w:line="240" w:lineRule="auto"/>
        <w:ind w:left="357" w:hanging="357"/>
        <w:rPr>
          <w:rFonts w:cs="Calibri"/>
        </w:rPr>
      </w:pPr>
      <w:r w:rsidRPr="007F78CE">
        <w:rPr>
          <w:rFonts w:cs="Calibri"/>
        </w:rPr>
        <w:t>Je dois assurer que les images sont des représentations honnêtes du contexte et des faits.</w:t>
      </w:r>
    </w:p>
    <w:p w14:paraId="18A5EEAD" w14:textId="77777777" w:rsidR="009A0954" w:rsidRPr="007F78CE" w:rsidRDefault="009A0954" w:rsidP="0044500E">
      <w:pPr>
        <w:pStyle w:val="Listecouleur-Accent13"/>
        <w:numPr>
          <w:ilvl w:val="1"/>
          <w:numId w:val="130"/>
        </w:numPr>
        <w:spacing w:before="120" w:after="120" w:line="240" w:lineRule="auto"/>
        <w:ind w:left="357" w:hanging="357"/>
        <w:rPr>
          <w:rFonts w:cs="Calibri"/>
        </w:rPr>
      </w:pPr>
      <w:r w:rsidRPr="007F78CE">
        <w:rPr>
          <w:rFonts w:cs="Calibri"/>
        </w:rPr>
        <w:t>Je dois assurer- que les étiquettes de fichiers ne révèlent pas d'informations d'identification sur un enfant lors de l'envoi d'images par voie électronique.</w:t>
      </w:r>
    </w:p>
    <w:p w14:paraId="30C22709" w14:textId="77777777" w:rsidR="009A0954" w:rsidRDefault="009A0954" w:rsidP="0044500E">
      <w:pPr>
        <w:pStyle w:val="Sansinterligne1"/>
        <w:numPr>
          <w:ilvl w:val="0"/>
          <w:numId w:val="110"/>
        </w:numPr>
        <w:spacing w:after="120"/>
        <w:jc w:val="both"/>
        <w:rPr>
          <w:rFonts w:ascii="Arial" w:hAnsi="Arial" w:cs="Arial"/>
          <w:b/>
        </w:rPr>
      </w:pPr>
      <w:r>
        <w:rPr>
          <w:rFonts w:ascii="Arial" w:hAnsi="Arial" w:cs="Arial"/>
          <w:b/>
        </w:rPr>
        <w:t>Sanctions</w:t>
      </w:r>
    </w:p>
    <w:p w14:paraId="236042FD" w14:textId="77777777" w:rsidR="009A0954" w:rsidRPr="007F78CE" w:rsidRDefault="009A0954" w:rsidP="0044500E">
      <w:pPr>
        <w:pStyle w:val="Listecouleur-Accent13"/>
        <w:numPr>
          <w:ilvl w:val="1"/>
          <w:numId w:val="130"/>
        </w:numPr>
        <w:spacing w:before="120" w:after="120" w:line="240" w:lineRule="auto"/>
        <w:ind w:left="357" w:hanging="357"/>
        <w:rPr>
          <w:rFonts w:cs="Calibri"/>
        </w:rPr>
      </w:pPr>
      <w:r w:rsidRPr="007F78CE">
        <w:rPr>
          <w:rFonts w:cs="Calibri"/>
        </w:rPr>
        <w:t>Je comprends que si je ne respecte pas ce Code de conduite individuel, mon employeur prendra des mesures disciplinaires qui pourraient inclure :</w:t>
      </w:r>
    </w:p>
    <w:p w14:paraId="3EF698A9" w14:textId="77777777" w:rsidR="009A0954" w:rsidRPr="007F78CE" w:rsidRDefault="009A0954" w:rsidP="0044500E">
      <w:pPr>
        <w:pStyle w:val="Listecouleur-Accent13"/>
        <w:numPr>
          <w:ilvl w:val="0"/>
          <w:numId w:val="112"/>
        </w:numPr>
        <w:spacing w:before="120" w:after="120" w:line="240" w:lineRule="auto"/>
        <w:rPr>
          <w:rFonts w:cs="Calibri"/>
        </w:rPr>
      </w:pPr>
      <w:r w:rsidRPr="007F78CE">
        <w:rPr>
          <w:rFonts w:cs="Calibri"/>
        </w:rPr>
        <w:t xml:space="preserve">Rappel à l’ordre par écrit </w:t>
      </w:r>
    </w:p>
    <w:p w14:paraId="154B6071" w14:textId="77777777" w:rsidR="009A0954" w:rsidRPr="007F78CE" w:rsidRDefault="009A0954" w:rsidP="0044500E">
      <w:pPr>
        <w:pStyle w:val="Listecouleur-Accent13"/>
        <w:numPr>
          <w:ilvl w:val="0"/>
          <w:numId w:val="112"/>
        </w:numPr>
        <w:spacing w:before="120" w:after="120" w:line="240" w:lineRule="auto"/>
        <w:rPr>
          <w:rFonts w:cs="Calibri"/>
        </w:rPr>
      </w:pPr>
      <w:r w:rsidRPr="007F78CE">
        <w:rPr>
          <w:rFonts w:cs="Calibri"/>
        </w:rPr>
        <w:t>Avertissement par écrit</w:t>
      </w:r>
    </w:p>
    <w:p w14:paraId="07BF88C0" w14:textId="77777777" w:rsidR="009A0954" w:rsidRPr="007F78CE" w:rsidRDefault="009A0954" w:rsidP="0044500E">
      <w:pPr>
        <w:pStyle w:val="Listecouleur-Accent13"/>
        <w:numPr>
          <w:ilvl w:val="0"/>
          <w:numId w:val="112"/>
        </w:numPr>
        <w:spacing w:before="120" w:after="120" w:line="240" w:lineRule="auto"/>
        <w:rPr>
          <w:rFonts w:cs="Calibri"/>
        </w:rPr>
      </w:pPr>
      <w:r w:rsidRPr="007F78CE">
        <w:rPr>
          <w:rFonts w:cs="Calibri"/>
        </w:rPr>
        <w:t>Blâme par écrit</w:t>
      </w:r>
    </w:p>
    <w:p w14:paraId="59EDDBFB" w14:textId="77777777" w:rsidR="009A0954" w:rsidRPr="007F78CE" w:rsidRDefault="009A0954" w:rsidP="0044500E">
      <w:pPr>
        <w:pStyle w:val="Listecouleur-Accent13"/>
        <w:numPr>
          <w:ilvl w:val="0"/>
          <w:numId w:val="112"/>
        </w:numPr>
        <w:spacing w:before="120" w:after="120" w:line="240" w:lineRule="auto"/>
        <w:rPr>
          <w:rFonts w:cs="Calibri"/>
        </w:rPr>
      </w:pPr>
      <w:r w:rsidRPr="007F78CE">
        <w:rPr>
          <w:rFonts w:cs="Calibri"/>
        </w:rPr>
        <w:t>Mise à pied de 3 à 8 jours sans rémunération (en fonction de la gravité de la faute)</w:t>
      </w:r>
    </w:p>
    <w:p w14:paraId="151D08CC" w14:textId="77777777" w:rsidR="009A0954" w:rsidRPr="007F78CE" w:rsidRDefault="009A0954" w:rsidP="0044500E">
      <w:pPr>
        <w:pStyle w:val="Listecouleur-Accent13"/>
        <w:numPr>
          <w:ilvl w:val="0"/>
          <w:numId w:val="112"/>
        </w:numPr>
        <w:spacing w:before="120" w:after="120" w:line="240" w:lineRule="auto"/>
        <w:rPr>
          <w:rFonts w:cs="Calibri"/>
        </w:rPr>
      </w:pPr>
      <w:r w:rsidRPr="007F78CE">
        <w:rPr>
          <w:rFonts w:cs="Calibri"/>
        </w:rPr>
        <w:t>Mutation disciplinaire</w:t>
      </w:r>
    </w:p>
    <w:p w14:paraId="15E74112" w14:textId="77777777" w:rsidR="009A0954" w:rsidRPr="007F78CE" w:rsidRDefault="009A0954" w:rsidP="0044500E">
      <w:pPr>
        <w:pStyle w:val="Listecouleur-Accent13"/>
        <w:numPr>
          <w:ilvl w:val="0"/>
          <w:numId w:val="112"/>
        </w:numPr>
        <w:spacing w:before="120" w:after="120" w:line="240" w:lineRule="auto"/>
        <w:rPr>
          <w:rFonts w:cs="Calibri"/>
        </w:rPr>
      </w:pPr>
      <w:r w:rsidRPr="007F78CE">
        <w:rPr>
          <w:rFonts w:cs="Calibri"/>
        </w:rPr>
        <w:t>Licenciement pour faute simple</w:t>
      </w:r>
    </w:p>
    <w:p w14:paraId="63B8038A" w14:textId="77777777" w:rsidR="009A0954" w:rsidRPr="007F78CE" w:rsidRDefault="009A0954" w:rsidP="0044500E">
      <w:pPr>
        <w:pStyle w:val="Listecouleur-Accent13"/>
        <w:numPr>
          <w:ilvl w:val="0"/>
          <w:numId w:val="112"/>
        </w:numPr>
        <w:spacing w:before="120" w:after="120" w:line="240" w:lineRule="auto"/>
        <w:rPr>
          <w:rFonts w:cs="Calibri"/>
        </w:rPr>
      </w:pPr>
      <w:r w:rsidRPr="007F78CE">
        <w:rPr>
          <w:rFonts w:cs="Calibri"/>
        </w:rPr>
        <w:t xml:space="preserve">Licenciement pour faute grave sans préavis, ni indemnité de licenciement </w:t>
      </w:r>
    </w:p>
    <w:p w14:paraId="256CA139" w14:textId="77777777" w:rsidR="00224D29" w:rsidRPr="005C566E" w:rsidRDefault="009A0954" w:rsidP="0044500E">
      <w:pPr>
        <w:pStyle w:val="Listecouleur-Accent13"/>
        <w:numPr>
          <w:ilvl w:val="0"/>
          <w:numId w:val="112"/>
        </w:numPr>
        <w:spacing w:before="280" w:after="280" w:line="240" w:lineRule="auto"/>
        <w:rPr>
          <w:rFonts w:ascii="Arial" w:hAnsi="Arial" w:cs="Arial"/>
          <w:sz w:val="20"/>
          <w:szCs w:val="20"/>
          <w:lang w:eastAsia="en-GB"/>
        </w:rPr>
      </w:pPr>
      <w:r w:rsidRPr="007F78CE">
        <w:rPr>
          <w:rFonts w:cs="Calibri"/>
        </w:rPr>
        <w:t>Licenciement pour faute lourde, sans préavis, ni indemnité de licenciement, ni indemnités compensatrices de congés payés.</w:t>
      </w:r>
    </w:p>
    <w:p w14:paraId="5371C440" w14:textId="77777777" w:rsidR="009A0954" w:rsidRPr="00A3115C" w:rsidRDefault="009A0954" w:rsidP="00F01166">
      <w:pPr>
        <w:pStyle w:val="Listecouleur-Accent13"/>
        <w:spacing w:after="0" w:line="240" w:lineRule="auto"/>
        <w:ind w:left="0"/>
        <w:rPr>
          <w:rFonts w:ascii="Arial" w:hAnsi="Arial" w:cs="Arial"/>
          <w:sz w:val="20"/>
          <w:szCs w:val="20"/>
          <w:lang w:eastAsia="en-GB"/>
        </w:rPr>
      </w:pPr>
      <w:r>
        <w:br w:type="page"/>
      </w:r>
    </w:p>
    <w:p w14:paraId="4E829C19" w14:textId="77777777" w:rsidR="009A0954" w:rsidRPr="00940A32" w:rsidRDefault="009A0954" w:rsidP="009A0954">
      <w:pPr>
        <w:rPr>
          <w:rFonts w:ascii="Arial" w:hAnsi="Arial" w:cs="Arial"/>
          <w:b/>
          <w:bCs/>
        </w:rPr>
      </w:pPr>
      <w:bookmarkStart w:id="1745" w:name="_Toc67346656"/>
      <w:bookmarkStart w:id="1746" w:name="_Toc98044879"/>
      <w:bookmarkStart w:id="1747" w:name="_Toc92037675"/>
      <w:bookmarkStart w:id="1748" w:name="_Toc68773999"/>
      <w:bookmarkStart w:id="1749" w:name="_Toc84293582"/>
      <w:bookmarkStart w:id="1750" w:name="_Toc124173260"/>
      <w:bookmarkStart w:id="1751" w:name="_Toc125402470"/>
      <w:r w:rsidRPr="00940A32">
        <w:rPr>
          <w:rFonts w:ascii="Arial" w:hAnsi="Arial" w:cs="Arial"/>
          <w:b/>
          <w:bCs/>
        </w:rPr>
        <w:t xml:space="preserve">Annexe </w:t>
      </w:r>
      <w:r w:rsidRPr="00940A32">
        <w:rPr>
          <w:rFonts w:ascii="Arial" w:hAnsi="Arial" w:cs="Arial"/>
          <w:b/>
          <w:bCs/>
        </w:rPr>
        <w:fldChar w:fldCharType="begin"/>
      </w:r>
      <w:r w:rsidRPr="00940A32">
        <w:rPr>
          <w:rFonts w:ascii="Arial" w:hAnsi="Arial" w:cs="Arial"/>
          <w:b/>
          <w:bCs/>
        </w:rPr>
        <w:instrText>SEQ Annexe \* ARABIC</w:instrText>
      </w:r>
      <w:r w:rsidRPr="00940A32">
        <w:rPr>
          <w:rFonts w:ascii="Arial" w:hAnsi="Arial" w:cs="Arial"/>
          <w:b/>
          <w:bCs/>
        </w:rPr>
        <w:fldChar w:fldCharType="separate"/>
      </w:r>
      <w:r w:rsidR="009947B9">
        <w:rPr>
          <w:rFonts w:ascii="Arial" w:hAnsi="Arial" w:cs="Arial"/>
          <w:b/>
          <w:bCs/>
          <w:noProof/>
        </w:rPr>
        <w:t>7</w:t>
      </w:r>
      <w:r w:rsidRPr="00940A32">
        <w:rPr>
          <w:rFonts w:ascii="Arial" w:hAnsi="Arial" w:cs="Arial"/>
          <w:b/>
          <w:bCs/>
        </w:rPr>
        <w:fldChar w:fldCharType="end"/>
      </w:r>
      <w:r w:rsidRPr="00940A32">
        <w:rPr>
          <w:rFonts w:ascii="Arial" w:hAnsi="Arial" w:cs="Arial"/>
          <w:b/>
          <w:bCs/>
        </w:rPr>
        <w:t xml:space="preserve"> : </w:t>
      </w:r>
      <w:bookmarkEnd w:id="1745"/>
      <w:r w:rsidRPr="00940A32">
        <w:rPr>
          <w:rFonts w:ascii="Arial" w:hAnsi="Arial" w:cs="Arial"/>
          <w:b/>
          <w:bCs/>
        </w:rPr>
        <w:t>Notification des incidents et des accidents</w:t>
      </w:r>
      <w:bookmarkEnd w:id="1746"/>
      <w:bookmarkEnd w:id="1747"/>
      <w:bookmarkEnd w:id="1748"/>
      <w:bookmarkEnd w:id="1749"/>
      <w:bookmarkEnd w:id="1750"/>
      <w:bookmarkEnd w:id="1751"/>
    </w:p>
    <w:p w14:paraId="03AB448D" w14:textId="77777777" w:rsidR="009A0954" w:rsidRPr="007F78CE" w:rsidRDefault="009A0954" w:rsidP="00B434A6">
      <w:pPr>
        <w:spacing w:before="120" w:after="120"/>
        <w:contextualSpacing/>
        <w:jc w:val="both"/>
        <w:rPr>
          <w:rFonts w:cs="Calibri"/>
        </w:rPr>
      </w:pPr>
      <w:r w:rsidRPr="007F78CE">
        <w:rPr>
          <w:rFonts w:cs="Calibri"/>
        </w:rPr>
        <w:t>La banque mondiale possède une boite à outils nommée « ESIRT » qui aide les différents acteurs à réagir aux évènements négatifs de sauvegarde et cela d’une manière proportionnée à la cause et à la gravité des évènements</w:t>
      </w:r>
    </w:p>
    <w:p w14:paraId="5C71840D" w14:textId="77777777" w:rsidR="009A0954" w:rsidRPr="007F78CE" w:rsidRDefault="009A0954" w:rsidP="00B434A6">
      <w:pPr>
        <w:contextualSpacing/>
        <w:jc w:val="both"/>
        <w:rPr>
          <w:rFonts w:cs="Calibri"/>
        </w:rPr>
      </w:pPr>
      <w:r w:rsidRPr="007F78CE">
        <w:rPr>
          <w:rFonts w:cs="Calibri"/>
        </w:rPr>
        <w:t xml:space="preserve">La boîte à outils doit être mis à des endroits de manière à ce que tous les acteurs puissent y avoir accès </w:t>
      </w:r>
      <w:r w:rsidR="006B2C01" w:rsidRPr="007F78CE">
        <w:rPr>
          <w:rFonts w:cs="Calibri"/>
        </w:rPr>
        <w:t>facilement</w:t>
      </w:r>
      <w:r w:rsidRPr="007F78CE">
        <w:rPr>
          <w:rFonts w:cs="Calibri"/>
        </w:rPr>
        <w:t>.</w:t>
      </w:r>
    </w:p>
    <w:p w14:paraId="09E3D4B9" w14:textId="77777777" w:rsidR="009A0954" w:rsidRPr="007F78CE" w:rsidRDefault="009A0954" w:rsidP="00B434A6">
      <w:pPr>
        <w:contextualSpacing/>
        <w:jc w:val="both"/>
        <w:rPr>
          <w:rFonts w:cs="Calibri"/>
        </w:rPr>
      </w:pPr>
    </w:p>
    <w:p w14:paraId="04646333" w14:textId="77777777" w:rsidR="009A0954" w:rsidRPr="007F78CE" w:rsidRDefault="009A0954" w:rsidP="00B434A6">
      <w:pPr>
        <w:contextualSpacing/>
        <w:jc w:val="both"/>
        <w:rPr>
          <w:rFonts w:cs="Calibri"/>
        </w:rPr>
      </w:pPr>
      <w:r w:rsidRPr="007F78CE">
        <w:rPr>
          <w:rFonts w:cs="Calibri"/>
        </w:rPr>
        <w:t>Cette boîte à outils aide également les équipes à identifier et à analyser la non-conformité des activités du Projet avec les Normes Environnementales et Sociales (NES) de la Banque ainsi qu'avec les directives sur l'environnement, la santé et la sécurité (ESS) et la santé et la sécurité au travail (SST), et à anticiper et éviter des résultats négatifs.</w:t>
      </w:r>
    </w:p>
    <w:p w14:paraId="1A3E5287" w14:textId="77777777" w:rsidR="009A0954" w:rsidRPr="007F78CE" w:rsidRDefault="009A0954" w:rsidP="00B434A6">
      <w:pPr>
        <w:contextualSpacing/>
        <w:jc w:val="both"/>
        <w:rPr>
          <w:rFonts w:cs="Calibri"/>
        </w:rPr>
      </w:pPr>
    </w:p>
    <w:p w14:paraId="63F0C4F4" w14:textId="77777777" w:rsidR="009A0954" w:rsidRPr="007F78CE" w:rsidRDefault="009A0954" w:rsidP="00B434A6">
      <w:pPr>
        <w:contextualSpacing/>
        <w:jc w:val="both"/>
        <w:rPr>
          <w:rFonts w:cs="Calibri"/>
        </w:rPr>
      </w:pPr>
      <w:r w:rsidRPr="007F78CE">
        <w:rPr>
          <w:rFonts w:cs="Calibri"/>
        </w:rPr>
        <w:t>L'un des principaux objectifs de la boîte à outils est de soutenir la culture de reconnaissance, de révélation et de signalement des problèmes le plus tôt possible – « en cas de doute, partagez l’information » - tant par le personnel de la Banque que par ceux du Projet. En outre, reconnaissant que les événements inattendus représentent une source importante d'informations et d'amélioration potentielle pour la performance des sauvegardes, la boîte à outils facilite l'identification et le catalogage des enseignements tirés.</w:t>
      </w:r>
    </w:p>
    <w:p w14:paraId="26C0C286" w14:textId="77777777" w:rsidR="009A0954" w:rsidRPr="007F78CE" w:rsidRDefault="009A0954" w:rsidP="009A0954">
      <w:pPr>
        <w:contextualSpacing/>
        <w:rPr>
          <w:rFonts w:cs="Calibri"/>
        </w:rPr>
      </w:pPr>
    </w:p>
    <w:p w14:paraId="4BF34826" w14:textId="77777777" w:rsidR="009A0954" w:rsidRPr="007F78CE" w:rsidRDefault="009A0954" w:rsidP="009A0954">
      <w:pPr>
        <w:contextualSpacing/>
        <w:rPr>
          <w:rFonts w:cs="Calibri"/>
        </w:rPr>
      </w:pPr>
      <w:r w:rsidRPr="007F78CE">
        <w:rPr>
          <w:rFonts w:cs="Calibri"/>
        </w:rPr>
        <w:t>Pour ce faire, en cas d’incident ou d’accident, la démarche de notification à suivre sera la suivante :</w:t>
      </w:r>
    </w:p>
    <w:p w14:paraId="4F23BFDB" w14:textId="77777777" w:rsidR="009A0954" w:rsidRPr="007F78CE" w:rsidRDefault="009A0954" w:rsidP="009A0954">
      <w:pPr>
        <w:contextualSpacing/>
        <w:rPr>
          <w:rFonts w:cs="Calibri"/>
        </w:rPr>
      </w:pPr>
    </w:p>
    <w:p w14:paraId="29841D89" w14:textId="77777777" w:rsidR="009A0954" w:rsidRPr="00067E03" w:rsidRDefault="009A0954" w:rsidP="0044500E">
      <w:pPr>
        <w:pStyle w:val="Paragraphedeliste"/>
        <w:numPr>
          <w:ilvl w:val="0"/>
          <w:numId w:val="118"/>
        </w:numPr>
        <w:spacing w:after="0" w:line="240" w:lineRule="auto"/>
        <w:rPr>
          <w:rFonts w:cs="Arial"/>
          <w:b/>
          <w:sz w:val="21"/>
          <w:szCs w:val="21"/>
        </w:rPr>
      </w:pPr>
      <w:r w:rsidRPr="00067E03">
        <w:rPr>
          <w:rFonts w:cs="Arial"/>
          <w:b/>
          <w:sz w:val="21"/>
          <w:szCs w:val="21"/>
        </w:rPr>
        <w:t>Consulter les Outils de base du Protocole ESIRT comme</w:t>
      </w:r>
      <w:r w:rsidR="006B2C01">
        <w:rPr>
          <w:rFonts w:cs="Arial"/>
          <w:b/>
          <w:sz w:val="21"/>
          <w:szCs w:val="21"/>
        </w:rPr>
        <w:t xml:space="preserve"> </w:t>
      </w:r>
      <w:r w:rsidRPr="00067E03">
        <w:rPr>
          <w:rFonts w:cs="Arial"/>
          <w:b/>
          <w:sz w:val="21"/>
          <w:szCs w:val="21"/>
        </w:rPr>
        <w:t>indiqué dans le tableau en bas afin de pouvoir</w:t>
      </w:r>
      <w:r w:rsidR="006B2C01">
        <w:rPr>
          <w:rFonts w:cs="Arial"/>
          <w:b/>
          <w:sz w:val="21"/>
          <w:szCs w:val="21"/>
        </w:rPr>
        <w:t xml:space="preserve"> </w:t>
      </w:r>
      <w:r w:rsidRPr="00067E03">
        <w:rPr>
          <w:rFonts w:cs="Arial"/>
          <w:b/>
          <w:sz w:val="21"/>
          <w:szCs w:val="21"/>
        </w:rPr>
        <w:t>catégoriser</w:t>
      </w:r>
      <w:r w:rsidR="006B2C01">
        <w:rPr>
          <w:rFonts w:cs="Arial"/>
          <w:b/>
          <w:sz w:val="21"/>
          <w:szCs w:val="21"/>
        </w:rPr>
        <w:t xml:space="preserve"> </w:t>
      </w:r>
      <w:r w:rsidRPr="00067E03">
        <w:rPr>
          <w:rFonts w:cs="Arial"/>
          <w:b/>
          <w:sz w:val="21"/>
          <w:szCs w:val="21"/>
        </w:rPr>
        <w:t>l’événement</w:t>
      </w:r>
      <w:r w:rsidR="006B2C01">
        <w:rPr>
          <w:rFonts w:cs="Arial"/>
          <w:b/>
          <w:sz w:val="21"/>
          <w:szCs w:val="21"/>
        </w:rPr>
        <w:t xml:space="preserve"> </w:t>
      </w:r>
      <w:r w:rsidRPr="00067E03">
        <w:rPr>
          <w:rFonts w:cs="Arial"/>
          <w:b/>
          <w:sz w:val="21"/>
          <w:szCs w:val="21"/>
        </w:rPr>
        <w:t xml:space="preserve">ou la condition. </w:t>
      </w:r>
    </w:p>
    <w:p w14:paraId="4C6DD69A" w14:textId="77777777" w:rsidR="009A0954" w:rsidRPr="007F78CE" w:rsidRDefault="009A0954" w:rsidP="009A0954">
      <w:pPr>
        <w:spacing w:before="240"/>
        <w:contextualSpacing/>
        <w:rPr>
          <w:rFonts w:cs="Calibri"/>
        </w:rPr>
      </w:pPr>
      <w:r w:rsidRPr="007F78CE">
        <w:rPr>
          <w:rFonts w:cs="Calibri"/>
        </w:rPr>
        <w:t>Ces Box donnent des exemples d’évènement selon leur catégorie et des codes de couleur</w:t>
      </w:r>
    </w:p>
    <w:p w14:paraId="2CCEB6E0" w14:textId="77777777" w:rsidR="009A0954" w:rsidRPr="007F78CE" w:rsidRDefault="009A0954" w:rsidP="0044500E">
      <w:pPr>
        <w:pStyle w:val="Default"/>
        <w:numPr>
          <w:ilvl w:val="0"/>
          <w:numId w:val="119"/>
        </w:numPr>
        <w:suppressAutoHyphens/>
        <w:autoSpaceDE/>
        <w:autoSpaceDN/>
        <w:adjustRightInd/>
        <w:rPr>
          <w:rFonts w:ascii="Calibri" w:hAnsi="Calibri" w:cs="Calibri"/>
          <w:sz w:val="22"/>
          <w:szCs w:val="22"/>
        </w:rPr>
      </w:pPr>
      <w:r w:rsidRPr="007F78CE">
        <w:rPr>
          <w:rFonts w:ascii="Calibri" w:hAnsi="Calibri" w:cs="Calibri"/>
          <w:sz w:val="22"/>
          <w:szCs w:val="22"/>
        </w:rPr>
        <w:t xml:space="preserve">En bleu : événements mineurs. </w:t>
      </w:r>
    </w:p>
    <w:p w14:paraId="114A7C8E" w14:textId="77777777" w:rsidR="009A0954" w:rsidRPr="007F78CE" w:rsidRDefault="009A0954" w:rsidP="009A0954">
      <w:pPr>
        <w:contextualSpacing/>
        <w:rPr>
          <w:rFonts w:cs="Calibri"/>
        </w:rPr>
      </w:pPr>
      <w:r w:rsidRPr="007F78CE">
        <w:rPr>
          <w:rFonts w:cs="Calibri"/>
        </w:rPr>
        <w:t xml:space="preserve">Il s'agit d'événements ou de non-conformités relativement </w:t>
      </w:r>
      <w:r w:rsidRPr="639F2DD4">
        <w:rPr>
          <w:rFonts w:cs="Calibri"/>
        </w:rPr>
        <w:t>mineur</w:t>
      </w:r>
      <w:r w:rsidR="532CF00B" w:rsidRPr="639F2DD4">
        <w:rPr>
          <w:rFonts w:cs="Calibri"/>
        </w:rPr>
        <w:t>e</w:t>
      </w:r>
      <w:r w:rsidRPr="639F2DD4">
        <w:rPr>
          <w:rFonts w:cs="Calibri"/>
        </w:rPr>
        <w:t>s</w:t>
      </w:r>
      <w:r w:rsidRPr="007F78CE">
        <w:rPr>
          <w:rFonts w:cs="Calibri"/>
        </w:rPr>
        <w:t xml:space="preserve"> et de petite envergure, limités dans leurs effets immédiats, mais qui peuvent être révélateurs de problèmes à plus grande échelle dans un projet et qui pourraient entraîner des incidents ou des conditions graves ou critiques. Cela dépasse une non-conformité de routine en ce qu'ils peuvent faire partie d'un modèle plus large de non-conformité qui pourraient conduire à des événements plus graves. </w:t>
      </w:r>
    </w:p>
    <w:p w14:paraId="71990A81" w14:textId="77777777" w:rsidR="009A0954" w:rsidRPr="007F78CE" w:rsidRDefault="009A0954" w:rsidP="009A0954">
      <w:pPr>
        <w:contextualSpacing/>
        <w:rPr>
          <w:rFonts w:cs="Calibri"/>
        </w:rPr>
      </w:pPr>
    </w:p>
    <w:p w14:paraId="1734FC8A" w14:textId="77777777" w:rsidR="009A0954" w:rsidRPr="007F78CE" w:rsidRDefault="009A0954" w:rsidP="009A0954">
      <w:pPr>
        <w:contextualSpacing/>
        <w:rPr>
          <w:rFonts w:cs="Calibri"/>
        </w:rPr>
      </w:pPr>
      <w:r w:rsidRPr="007F78CE">
        <w:rPr>
          <w:rFonts w:cs="Calibri"/>
        </w:rPr>
        <w:t>En somme, un événement mineur peut être la source d’autres événements d’envergure plus élevée s’il n’est pas solutionné d’une manière adéquate.</w:t>
      </w:r>
    </w:p>
    <w:p w14:paraId="66C8EF68" w14:textId="77777777" w:rsidR="009A0954" w:rsidRPr="007F78CE" w:rsidRDefault="009A0954" w:rsidP="0044500E">
      <w:pPr>
        <w:pStyle w:val="Default"/>
        <w:numPr>
          <w:ilvl w:val="0"/>
          <w:numId w:val="119"/>
        </w:numPr>
        <w:suppressAutoHyphens/>
        <w:autoSpaceDE/>
        <w:autoSpaceDN/>
        <w:adjustRightInd/>
        <w:rPr>
          <w:rFonts w:ascii="Calibri" w:hAnsi="Calibri" w:cs="Calibri"/>
          <w:b/>
          <w:sz w:val="22"/>
          <w:szCs w:val="22"/>
        </w:rPr>
      </w:pPr>
      <w:r w:rsidRPr="007F78CE">
        <w:rPr>
          <w:rFonts w:ascii="Calibri" w:hAnsi="Calibri" w:cs="Calibri"/>
          <w:sz w:val="22"/>
          <w:szCs w:val="22"/>
        </w:rPr>
        <w:t xml:space="preserve">En jaune : événements majeurs. </w:t>
      </w:r>
    </w:p>
    <w:p w14:paraId="4595483D" w14:textId="77777777" w:rsidR="009A0954" w:rsidRPr="007F78CE" w:rsidRDefault="009A0954" w:rsidP="009A0954">
      <w:pPr>
        <w:contextualSpacing/>
        <w:rPr>
          <w:rFonts w:cs="Calibri"/>
        </w:rPr>
      </w:pPr>
      <w:r w:rsidRPr="007F78CE">
        <w:rPr>
          <w:rFonts w:cs="Calibri"/>
        </w:rPr>
        <w:t>Un tel événement peut causer des dommages importants à l'environnement, aux personnes affectées, aux travailleurs ou aux membres de la communauté, du fait du type ou de l'étendue de l'impact qui peut nécessiter une réponse urgente et pourrait aussi poser un risque réputationnel important pour la Banque.</w:t>
      </w:r>
    </w:p>
    <w:p w14:paraId="0B0135BD" w14:textId="77777777" w:rsidR="009A0954" w:rsidRPr="007F78CE" w:rsidRDefault="009A0954" w:rsidP="0044500E">
      <w:pPr>
        <w:pStyle w:val="Default"/>
        <w:numPr>
          <w:ilvl w:val="0"/>
          <w:numId w:val="119"/>
        </w:numPr>
        <w:suppressAutoHyphens/>
        <w:autoSpaceDE/>
        <w:autoSpaceDN/>
        <w:adjustRightInd/>
        <w:rPr>
          <w:rFonts w:ascii="Calibri" w:hAnsi="Calibri" w:cs="Calibri"/>
          <w:b/>
          <w:sz w:val="22"/>
          <w:szCs w:val="22"/>
        </w:rPr>
      </w:pPr>
      <w:r w:rsidRPr="007F78CE">
        <w:rPr>
          <w:rFonts w:ascii="Calibri" w:hAnsi="Calibri" w:cs="Calibri"/>
          <w:sz w:val="22"/>
          <w:szCs w:val="22"/>
        </w:rPr>
        <w:t xml:space="preserve">En rouge : événements critiques. </w:t>
      </w:r>
    </w:p>
    <w:p w14:paraId="48774483" w14:textId="77777777" w:rsidR="009A0954" w:rsidRPr="007F78CE" w:rsidRDefault="009A0954" w:rsidP="009A0954">
      <w:pPr>
        <w:contextualSpacing/>
        <w:rPr>
          <w:rFonts w:cs="Calibri"/>
        </w:rPr>
      </w:pPr>
      <w:r w:rsidRPr="007F78CE">
        <w:rPr>
          <w:rFonts w:cs="Calibri"/>
        </w:rPr>
        <w:t>Un événement ou d'une condition critique peut potentiellement être d'une gravité suffisante et d'un préjudice très important qui peut également, en plus du préjudice causé, constituer un risque réputationnel pour la Banque. Un tel événement peut dépasser les ressources de l'équipe locale / régionale. Par conséquent, la résolution d’un tel événement ou d’une telle condition nécessitera également la notification et l’engagement de la haute Direction de la Banque et un suivi au niveau de l’entreprise</w:t>
      </w:r>
    </w:p>
    <w:p w14:paraId="228C3FEA" w14:textId="77777777" w:rsidR="009A0954" w:rsidRPr="007F78CE" w:rsidRDefault="009A0954" w:rsidP="0044500E">
      <w:pPr>
        <w:pStyle w:val="Paragraphedeliste"/>
        <w:numPr>
          <w:ilvl w:val="0"/>
          <w:numId w:val="118"/>
        </w:numPr>
        <w:spacing w:after="0" w:line="240" w:lineRule="auto"/>
        <w:rPr>
          <w:rFonts w:cs="Calibri"/>
          <w:b/>
        </w:rPr>
      </w:pPr>
      <w:r w:rsidRPr="007F78CE">
        <w:rPr>
          <w:rFonts w:cs="Calibri"/>
          <w:b/>
        </w:rPr>
        <w:t>Rédiger</w:t>
      </w:r>
      <w:r w:rsidR="006B2C01" w:rsidRPr="007F78CE">
        <w:rPr>
          <w:rFonts w:cs="Calibri"/>
          <w:b/>
        </w:rPr>
        <w:t xml:space="preserve"> </w:t>
      </w:r>
      <w:r w:rsidRPr="007F78CE">
        <w:rPr>
          <w:rFonts w:cs="Calibri"/>
          <w:b/>
        </w:rPr>
        <w:t>une Note à adresser au Coordonnateur National du Projet au niveau de la Représentation</w:t>
      </w:r>
      <w:r w:rsidR="006B2C01" w:rsidRPr="007F78CE">
        <w:rPr>
          <w:rFonts w:cs="Calibri"/>
          <w:b/>
        </w:rPr>
        <w:t xml:space="preserve"> </w:t>
      </w:r>
      <w:r w:rsidRPr="007F78CE">
        <w:rPr>
          <w:rFonts w:cs="Calibri"/>
          <w:b/>
        </w:rPr>
        <w:t>nationale, en</w:t>
      </w:r>
      <w:r w:rsidR="006B2C01" w:rsidRPr="007F78CE">
        <w:rPr>
          <w:rFonts w:cs="Calibri"/>
          <w:b/>
        </w:rPr>
        <w:t xml:space="preserve"> </w:t>
      </w:r>
      <w:r w:rsidRPr="007F78CE">
        <w:rPr>
          <w:rFonts w:cs="Calibri"/>
          <w:b/>
        </w:rPr>
        <w:t xml:space="preserve">répondant aux questions de base posées. </w:t>
      </w:r>
    </w:p>
    <w:p w14:paraId="797CC42E" w14:textId="77777777" w:rsidR="009A0954" w:rsidRPr="007F78CE" w:rsidRDefault="009A0954" w:rsidP="0044500E">
      <w:pPr>
        <w:pStyle w:val="Paragraphedeliste"/>
        <w:numPr>
          <w:ilvl w:val="0"/>
          <w:numId w:val="118"/>
        </w:numPr>
        <w:spacing w:after="0" w:line="240" w:lineRule="auto"/>
        <w:rPr>
          <w:rFonts w:cs="Calibri"/>
          <w:b/>
        </w:rPr>
      </w:pPr>
      <w:r w:rsidRPr="007F78CE">
        <w:rPr>
          <w:rFonts w:cs="Calibri"/>
          <w:b/>
        </w:rPr>
        <w:t>Si l’incident, l’accident</w:t>
      </w:r>
      <w:r w:rsidR="006B2C01" w:rsidRPr="007F78CE">
        <w:rPr>
          <w:rFonts w:cs="Calibri"/>
          <w:b/>
        </w:rPr>
        <w:t xml:space="preserve"> </w:t>
      </w:r>
      <w:r w:rsidRPr="007F78CE">
        <w:rPr>
          <w:rFonts w:cs="Calibri"/>
          <w:b/>
        </w:rPr>
        <w:t>ou la non-conformité</w:t>
      </w:r>
      <w:r w:rsidR="00B81F63">
        <w:rPr>
          <w:rFonts w:cs="Calibri"/>
          <w:b/>
        </w:rPr>
        <w:t xml:space="preserve"> </w:t>
      </w:r>
      <w:r w:rsidRPr="007F78CE">
        <w:rPr>
          <w:rFonts w:cs="Calibri"/>
          <w:b/>
        </w:rPr>
        <w:t>n’a pas pu</w:t>
      </w:r>
      <w:r w:rsidR="006B2C01" w:rsidRPr="007F78CE">
        <w:rPr>
          <w:rFonts w:cs="Calibri"/>
          <w:b/>
        </w:rPr>
        <w:t xml:space="preserve"> </w:t>
      </w:r>
      <w:r w:rsidRPr="007F78CE">
        <w:rPr>
          <w:rFonts w:cs="Calibri"/>
          <w:b/>
        </w:rPr>
        <w:t>être</w:t>
      </w:r>
      <w:r w:rsidR="006B2C01" w:rsidRPr="007F78CE">
        <w:rPr>
          <w:rFonts w:cs="Calibri"/>
          <w:b/>
        </w:rPr>
        <w:t xml:space="preserve"> </w:t>
      </w:r>
      <w:r w:rsidRPr="007F78CE">
        <w:rPr>
          <w:rFonts w:cs="Calibri"/>
          <w:b/>
        </w:rPr>
        <w:t>résolu(e) de manière satisfaisante</w:t>
      </w:r>
      <w:r w:rsidR="006B2C01" w:rsidRPr="007F78CE">
        <w:rPr>
          <w:rFonts w:cs="Calibri"/>
          <w:b/>
        </w:rPr>
        <w:t xml:space="preserve"> </w:t>
      </w:r>
      <w:r w:rsidRPr="007F78CE">
        <w:rPr>
          <w:rFonts w:cs="Calibri"/>
          <w:b/>
        </w:rPr>
        <w:t>en</w:t>
      </w:r>
      <w:r w:rsidR="006B2C01" w:rsidRPr="007F78CE">
        <w:rPr>
          <w:rFonts w:cs="Calibri"/>
          <w:b/>
        </w:rPr>
        <w:t xml:space="preserve"> </w:t>
      </w:r>
      <w:r w:rsidRPr="007F78CE">
        <w:rPr>
          <w:rFonts w:cs="Calibri"/>
          <w:b/>
        </w:rPr>
        <w:t>respectant les standards des NES de la Banque mondiale, suivre les recommandations</w:t>
      </w:r>
      <w:r w:rsidR="006B2C01" w:rsidRPr="007F78CE">
        <w:rPr>
          <w:rFonts w:cs="Calibri"/>
          <w:b/>
        </w:rPr>
        <w:t xml:space="preserve"> </w:t>
      </w:r>
      <w:r w:rsidRPr="007F78CE">
        <w:rPr>
          <w:rFonts w:cs="Calibri"/>
          <w:b/>
        </w:rPr>
        <w:t xml:space="preserve">données par la Banque. </w:t>
      </w:r>
    </w:p>
    <w:p w14:paraId="427F0030" w14:textId="4BF34C7C" w:rsidR="009A0954" w:rsidRPr="007F78CE" w:rsidRDefault="00E97ECD" w:rsidP="009A0954">
      <w:pPr>
        <w:rPr>
          <w:rFonts w:cs="Calibri"/>
        </w:rPr>
      </w:pPr>
      <w:r>
        <w:rPr>
          <w:noProof/>
        </w:rPr>
        <mc:AlternateContent>
          <mc:Choice Requires="wps">
            <w:drawing>
              <wp:anchor distT="0" distB="0" distL="0" distR="0" simplePos="0" relativeHeight="251651072" behindDoc="0" locked="0" layoutInCell="1" allowOverlap="1" wp14:anchorId="68B2CD6D" wp14:editId="45F465D4">
                <wp:simplePos x="0" y="0"/>
                <wp:positionH relativeFrom="margin">
                  <wp:posOffset>109855</wp:posOffset>
                </wp:positionH>
                <wp:positionV relativeFrom="paragraph">
                  <wp:posOffset>1597660</wp:posOffset>
                </wp:positionV>
                <wp:extent cx="1028700" cy="1011555"/>
                <wp:effectExtent l="0" t="0" r="0" b="0"/>
                <wp:wrapNone/>
                <wp:docPr id="5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28700" cy="1011555"/>
                        </a:xfrm>
                        <a:prstGeom prst="rect">
                          <a:avLst/>
                        </a:prstGeom>
                        <a:solidFill>
                          <a:srgbClr val="A9D18E"/>
                        </a:solidFill>
                        <a:ln w="6480">
                          <a:noFill/>
                        </a:ln>
                        <a:effectLst/>
                      </wps:spPr>
                      <wps:txbx>
                        <w:txbxContent>
                          <w:p w14:paraId="557C3B01" w14:textId="77777777" w:rsidR="006C5F2A" w:rsidRDefault="006C5F2A" w:rsidP="009A0954">
                            <w:pPr>
                              <w:pStyle w:val="Default"/>
                              <w:rPr>
                                <w:b/>
                                <w:sz w:val="18"/>
                                <w:szCs w:val="18"/>
                              </w:rPr>
                            </w:pPr>
                            <w:r>
                              <w:rPr>
                                <w:sz w:val="18"/>
                                <w:szCs w:val="18"/>
                              </w:rPr>
                              <w:t xml:space="preserve">Non-conformité potentielle aux directives de sécurité, incidente, ou plainte </w:t>
                            </w:r>
                          </w:p>
                        </w:txbxContent>
                      </wps:txbx>
                      <wps:bodyPr>
                        <a:noAutofit/>
                      </wps:bodyPr>
                    </wps:wsp>
                  </a:graphicData>
                </a:graphic>
                <wp14:sizeRelH relativeFrom="page">
                  <wp14:pctWidth>0</wp14:pctWidth>
                </wp14:sizeRelH>
                <wp14:sizeRelV relativeFrom="page">
                  <wp14:pctHeight>0</wp14:pctHeight>
                </wp14:sizeRelV>
              </wp:anchor>
            </w:drawing>
          </mc:Choice>
          <mc:Fallback>
            <w:pict>
              <v:rect w14:anchorId="68B2CD6D" id="Rectangle 56" o:spid="_x0000_s1026" style="position:absolute;margin-left:8.65pt;margin-top:125.8pt;width:81pt;height:79.65pt;z-index:2516510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" fillcolor="#a9d18e" stroked="f" strokeweight=".18mm">
                <v:textbox>
                  <w:txbxContent>
                    <w:p w14:paraId="557C3B01" w14:textId="77777777" w:rsidR="006C5F2A" w:rsidRDefault="006C5F2A" w:rsidP="009A0954">
                      <w:pPr>
                        <w:pStyle w:val="Default"/>
                        <w:rPr>
                          <w:b/>
                          <w:sz w:val="18"/>
                          <w:szCs w:val="18"/>
                        </w:rPr>
                      </w:pPr>
                      <w:r>
                        <w:rPr>
                          <w:sz w:val="18"/>
                          <w:szCs w:val="18"/>
                        </w:rPr>
                        <w:t xml:space="preserve">Non-conformité potentielle aux directives de sécurité, incidente, ou plainte </w:t>
                      </w:r>
                    </w:p>
                  </w:txbxContent>
                </v:textbox>
                <w10:wrap anchorx="margin"/>
              </v:rect>
            </w:pict>
          </mc:Fallback>
        </mc:AlternateContent>
      </w:r>
      <w:r>
        <w:rPr>
          <w:noProof/>
        </w:rPr>
        <mc:AlternateContent>
          <mc:Choice Requires="wps">
            <w:drawing>
              <wp:anchor distT="0" distB="0" distL="0" distR="0" simplePos="0" relativeHeight="251652096" behindDoc="0" locked="0" layoutInCell="1" allowOverlap="1" wp14:anchorId="2E7FC12A" wp14:editId="2F66D901">
                <wp:simplePos x="0" y="0"/>
                <wp:positionH relativeFrom="column">
                  <wp:posOffset>586105</wp:posOffset>
                </wp:positionH>
                <wp:positionV relativeFrom="paragraph">
                  <wp:posOffset>3094355</wp:posOffset>
                </wp:positionV>
                <wp:extent cx="1573530" cy="859155"/>
                <wp:effectExtent l="0" t="0" r="0" b="0"/>
                <wp:wrapNone/>
                <wp:docPr id="5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73530" cy="859155"/>
                        </a:xfrm>
                        <a:prstGeom prst="rect">
                          <a:avLst/>
                        </a:prstGeom>
                        <a:noFill/>
                        <a:ln w="6480">
                          <a:noFill/>
                        </a:ln>
                        <a:effectLst/>
                      </wps:spPr>
                      <wps:txbx>
                        <w:txbxContent>
                          <w:p w14:paraId="3A457446" w14:textId="77777777" w:rsidR="006C5F2A" w:rsidRDefault="006C5F2A" w:rsidP="009A0954">
                            <w:pPr>
                              <w:pStyle w:val="Contenudecadre"/>
                              <w:rPr>
                                <w:b/>
                                <w:sz w:val="20"/>
                              </w:rPr>
                            </w:pPr>
                            <w:r>
                              <w:rPr>
                                <w:b/>
                                <w:sz w:val="20"/>
                              </w:rPr>
                              <w:t xml:space="preserve">Outils de catégorisation </w:t>
                            </w:r>
                          </w:p>
                          <w:p w14:paraId="158A87A3" w14:textId="77777777" w:rsidR="006C5F2A" w:rsidRDefault="006C5F2A" w:rsidP="009A0954">
                            <w:pPr>
                              <w:pStyle w:val="Contenudecadre"/>
                              <w:spacing w:line="240" w:lineRule="auto"/>
                              <w:rPr>
                                <w:rFonts w:ascii="Arial" w:hAnsi="Arial" w:cs="Arial"/>
                                <w:color w:val="000000"/>
                                <w:sz w:val="16"/>
                                <w:szCs w:val="16"/>
                              </w:rPr>
                            </w:pPr>
                            <w:r>
                              <w:rPr>
                                <w:rFonts w:ascii="Arial" w:hAnsi="Arial" w:cs="Arial"/>
                                <w:color w:val="000000"/>
                                <w:sz w:val="16"/>
                                <w:szCs w:val="16"/>
                              </w:rPr>
                              <w:t xml:space="preserve">1) Répondre aux questions de constat des faits </w:t>
                            </w:r>
                          </w:p>
                          <w:p w14:paraId="7E822265" w14:textId="77777777" w:rsidR="006C5F2A" w:rsidRDefault="006C5F2A" w:rsidP="009A0954">
                            <w:pPr>
                              <w:pStyle w:val="Contenudecadre"/>
                              <w:spacing w:line="240" w:lineRule="auto"/>
                            </w:pPr>
                            <w:r>
                              <w:rPr>
                                <w:rFonts w:ascii="Arial" w:hAnsi="Arial" w:cs="Arial"/>
                                <w:color w:val="000000"/>
                                <w:sz w:val="16"/>
                                <w:szCs w:val="16"/>
                              </w:rPr>
                              <w:t xml:space="preserve">2) Répondre aux questions contextuelles </w:t>
                            </w:r>
                          </w:p>
                        </w:txbxContent>
                      </wps:txbx>
                      <wps:bodyPr>
                        <a:noAutofit/>
                      </wps:bodyPr>
                    </wps:wsp>
                  </a:graphicData>
                </a:graphic>
                <wp14:sizeRelH relativeFrom="page">
                  <wp14:pctWidth>0</wp14:pctWidth>
                </wp14:sizeRelH>
                <wp14:sizeRelV relativeFrom="page">
                  <wp14:pctHeight>0</wp14:pctHeight>
                </wp14:sizeRelV>
              </wp:anchor>
            </w:drawing>
          </mc:Choice>
          <mc:Fallback>
            <w:pict>
              <v:rect w14:anchorId="2E7FC12A" id="Rectangle 55" o:spid="_x0000_s1027" style="position:absolute;margin-left:46.15pt;margin-top:243.65pt;width:123.9pt;height:67.65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" filled="f" stroked="f" strokeweight=".18mm">
                <v:textbox>
                  <w:txbxContent>
                    <w:p w14:paraId="3A457446" w14:textId="77777777" w:rsidR="006C5F2A" w:rsidRDefault="006C5F2A" w:rsidP="009A0954">
                      <w:pPr>
                        <w:pStyle w:val="Contenudecadre"/>
                        <w:rPr>
                          <w:b/>
                          <w:sz w:val="20"/>
                        </w:rPr>
                      </w:pPr>
                      <w:r>
                        <w:rPr>
                          <w:b/>
                          <w:sz w:val="20"/>
                        </w:rPr>
                        <w:t xml:space="preserve">Outils de catégorisation </w:t>
                      </w:r>
                    </w:p>
                    <w:p w14:paraId="158A87A3" w14:textId="77777777" w:rsidR="006C5F2A" w:rsidRDefault="006C5F2A" w:rsidP="009A0954">
                      <w:pPr>
                        <w:pStyle w:val="Contenudecadre"/>
                        <w:spacing w:line="240" w:lineRule="auto"/>
                        <w:rPr>
                          <w:rFonts w:ascii="Arial" w:hAnsi="Arial" w:cs="Arial"/>
                          <w:color w:val="000000"/>
                          <w:sz w:val="16"/>
                          <w:szCs w:val="16"/>
                        </w:rPr>
                      </w:pPr>
                      <w:r>
                        <w:rPr>
                          <w:rFonts w:ascii="Arial" w:hAnsi="Arial" w:cs="Arial"/>
                          <w:color w:val="000000"/>
                          <w:sz w:val="16"/>
                          <w:szCs w:val="16"/>
                        </w:rPr>
                        <w:t xml:space="preserve">1) Répondre aux questions de constat des faits </w:t>
                      </w:r>
                    </w:p>
                    <w:p w14:paraId="7E822265" w14:textId="77777777" w:rsidR="006C5F2A" w:rsidRDefault="006C5F2A" w:rsidP="009A0954">
                      <w:pPr>
                        <w:pStyle w:val="Contenudecadre"/>
                        <w:spacing w:line="240" w:lineRule="auto"/>
                      </w:pPr>
                      <w:r>
                        <w:rPr>
                          <w:rFonts w:ascii="Arial" w:hAnsi="Arial" w:cs="Arial"/>
                          <w:color w:val="000000"/>
                          <w:sz w:val="16"/>
                          <w:szCs w:val="16"/>
                        </w:rPr>
                        <w:t xml:space="preserve">2) Répondre aux questions contextuelles </w:t>
                      </w:r>
                    </w:p>
                  </w:txbxContent>
                </v:textbox>
              </v:rect>
            </w:pict>
          </mc:Fallback>
        </mc:AlternateContent>
      </w:r>
      <w:r>
        <w:rPr>
          <w:noProof/>
        </w:rPr>
        <mc:AlternateContent>
          <mc:Choice Requires="wps">
            <w:drawing>
              <wp:anchor distT="0" distB="0" distL="0" distR="0" simplePos="0" relativeHeight="251653120" behindDoc="0" locked="0" layoutInCell="1" allowOverlap="1" wp14:anchorId="762237AE" wp14:editId="1A4C1688">
                <wp:simplePos x="0" y="0"/>
                <wp:positionH relativeFrom="column">
                  <wp:posOffset>1265555</wp:posOffset>
                </wp:positionH>
                <wp:positionV relativeFrom="paragraph">
                  <wp:posOffset>1205865</wp:posOffset>
                </wp:positionV>
                <wp:extent cx="686435" cy="267335"/>
                <wp:effectExtent l="0" t="57150" r="0" b="94615"/>
                <wp:wrapNone/>
                <wp:docPr id="56" name="Freeform: 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680000">
                          <a:off x="0" y="0"/>
                          <a:ext cx="686435" cy="267335"/>
                        </a:xfrm>
                        <a:custGeom>
                          <a:avLst/>
                          <a:gdLst/>
                          <a:ahLst/>
                          <a:cxnLst/>
                          <a:rect l="l" t="t" r="r" b="b"/>
                          <a:pathLst>
                            <a:path w="21600" h="21600">
                              <a:moveTo>
                                <a:pt x="0" y="5400"/>
                              </a:moveTo>
                              <a:lnTo>
                                <a:pt x="10800" y="5400"/>
                              </a:lnTo>
                              <a:lnTo>
                                <a:pt x="10800" y="0"/>
                              </a:lnTo>
                              <a:lnTo>
                                <a:pt x="21600" y="10800"/>
                              </a:lnTo>
                              <a:lnTo>
                                <a:pt x="10800" y="21600"/>
                              </a:lnTo>
                              <a:lnTo>
                                <a:pt x="10800" y="16200"/>
                              </a:lnTo>
                              <a:lnTo>
                                <a:pt x="0" y="16200"/>
                              </a:lnTo>
                              <a:lnTo>
                                <a:pt x="0" y="5400"/>
                              </a:lnTo>
                              <a:close/>
                            </a:path>
                          </a:pathLst>
                        </a:custGeom>
                        <a:solidFill>
                          <a:srgbClr val="00FFFF"/>
                        </a:solidFill>
                        <a:ln>
                          <a:noFill/>
                        </a:ln>
                        <a:effectLst/>
                      </wps:spPr>
                      <wps:bodyPr/>
                    </wps:wsp>
                  </a:graphicData>
                </a:graphic>
                <wp14:sizeRelH relativeFrom="page">
                  <wp14:pctWidth>0</wp14:pctWidth>
                </wp14:sizeRelH>
                <wp14:sizeRelV relativeFrom="page">
                  <wp14:pctHeight>0</wp14:pctHeight>
                </wp14:sizeRelV>
              </wp:anchor>
            </w:drawing>
          </mc:Choice>
          <mc:Fallback>
            <w:pict>
              <v:shape w14:anchorId="4567D82A" id="Freeform: Shape 54" o:spid="_x0000_s1026" style="position:absolute;margin-left:99.65pt;margin-top:94.95pt;width:54.05pt;height:21.05pt;rotation:-32;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" path="m,5400r10800,l10800,,21600,10800,10800,21600r,-5400l,16200,,5400xe" fillcolor="aqua" stroked="f">
                <v:path arrowok="t"/>
              </v:shape>
            </w:pict>
          </mc:Fallback>
        </mc:AlternateContent>
      </w:r>
      <w:r>
        <w:rPr>
          <w:noProof/>
        </w:rPr>
        <mc:AlternateContent>
          <mc:Choice Requires="wps">
            <w:drawing>
              <wp:anchor distT="0" distB="0" distL="0" distR="0" simplePos="0" relativeHeight="251654144" behindDoc="0" locked="0" layoutInCell="1" allowOverlap="1" wp14:anchorId="19BEFCBC" wp14:editId="0F20158F">
                <wp:simplePos x="0" y="0"/>
                <wp:positionH relativeFrom="column">
                  <wp:posOffset>1233805</wp:posOffset>
                </wp:positionH>
                <wp:positionV relativeFrom="paragraph">
                  <wp:posOffset>1957705</wp:posOffset>
                </wp:positionV>
                <wp:extent cx="791210" cy="324485"/>
                <wp:effectExtent l="0" t="0" r="0" b="0"/>
                <wp:wrapNone/>
                <wp:docPr id="55" name="Freeform: 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1210" cy="324485"/>
                        </a:xfrm>
                        <a:custGeom>
                          <a:avLst/>
                          <a:gdLst/>
                          <a:ahLst/>
                          <a:cxnLst/>
                          <a:rect l="l" t="t" r="r" b="b"/>
                          <a:pathLst>
                            <a:path w="21600" h="21600">
                              <a:moveTo>
                                <a:pt x="0" y="5400"/>
                              </a:moveTo>
                              <a:lnTo>
                                <a:pt x="10800" y="5400"/>
                              </a:lnTo>
                              <a:lnTo>
                                <a:pt x="10800" y="0"/>
                              </a:lnTo>
                              <a:lnTo>
                                <a:pt x="21600" y="10800"/>
                              </a:lnTo>
                              <a:lnTo>
                                <a:pt x="10800" y="21600"/>
                              </a:lnTo>
                              <a:lnTo>
                                <a:pt x="10800" y="16200"/>
                              </a:lnTo>
                              <a:lnTo>
                                <a:pt x="0" y="16200"/>
                              </a:lnTo>
                              <a:lnTo>
                                <a:pt x="0" y="5400"/>
                              </a:lnTo>
                              <a:close/>
                            </a:path>
                          </a:pathLst>
                        </a:custGeom>
                        <a:solidFill>
                          <a:srgbClr val="FFFF00"/>
                        </a:solidFill>
                        <a:ln>
                          <a:noFill/>
                        </a:ln>
                        <a:effectLst/>
                      </wps:spPr>
                      <wps:bodyPr/>
                    </wps:wsp>
                  </a:graphicData>
                </a:graphic>
                <wp14:sizeRelH relativeFrom="page">
                  <wp14:pctWidth>0</wp14:pctWidth>
                </wp14:sizeRelH>
                <wp14:sizeRelV relativeFrom="page">
                  <wp14:pctHeight>0</wp14:pctHeight>
                </wp14:sizeRelV>
              </wp:anchor>
            </w:drawing>
          </mc:Choice>
          <mc:Fallback>
            <w:pict>
              <v:shape w14:anchorId="20EF6D5C" id="Freeform: Shape 53" o:spid="_x0000_s1026" style="position:absolute;margin-left:97.15pt;margin-top:154.15pt;width:62.3pt;height:25.55pt;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" path="m,5400r10800,l10800,,21600,10800,10800,21600r,-5400l,16200,,5400xe" fillcolor="yellow" stroked="f">
                <v:path arrowok="t"/>
              </v:shape>
            </w:pict>
          </mc:Fallback>
        </mc:AlternateContent>
      </w:r>
      <w:r>
        <w:rPr>
          <w:noProof/>
        </w:rPr>
        <mc:AlternateContent>
          <mc:Choice Requires="wps">
            <w:drawing>
              <wp:anchor distT="0" distB="0" distL="0" distR="0" simplePos="0" relativeHeight="251656192" behindDoc="0" locked="0" layoutInCell="1" allowOverlap="1" wp14:anchorId="4EF268C6" wp14:editId="44EAE5F1">
                <wp:simplePos x="0" y="0"/>
                <wp:positionH relativeFrom="column">
                  <wp:posOffset>1223645</wp:posOffset>
                </wp:positionH>
                <wp:positionV relativeFrom="paragraph">
                  <wp:posOffset>2602230</wp:posOffset>
                </wp:positionV>
                <wp:extent cx="743585" cy="276860"/>
                <wp:effectExtent l="0" t="114300" r="0" b="27940"/>
                <wp:wrapNone/>
                <wp:docPr id="54" name="Freeform: 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80000">
                          <a:off x="0" y="0"/>
                          <a:ext cx="743585" cy="276860"/>
                        </a:xfrm>
                        <a:custGeom>
                          <a:avLst/>
                          <a:gdLst/>
                          <a:ahLst/>
                          <a:cxnLst/>
                          <a:rect l="l" t="t" r="r" b="b"/>
                          <a:pathLst>
                            <a:path w="21600" h="21600">
                              <a:moveTo>
                                <a:pt x="0" y="5400"/>
                              </a:moveTo>
                              <a:lnTo>
                                <a:pt x="10800" y="5400"/>
                              </a:lnTo>
                              <a:lnTo>
                                <a:pt x="10800" y="0"/>
                              </a:lnTo>
                              <a:lnTo>
                                <a:pt x="21600" y="10800"/>
                              </a:lnTo>
                              <a:lnTo>
                                <a:pt x="10800" y="21600"/>
                              </a:lnTo>
                              <a:lnTo>
                                <a:pt x="10800" y="16200"/>
                              </a:lnTo>
                              <a:lnTo>
                                <a:pt x="0" y="16200"/>
                              </a:lnTo>
                              <a:lnTo>
                                <a:pt x="0" y="5400"/>
                              </a:lnTo>
                              <a:close/>
                            </a:path>
                          </a:pathLst>
                        </a:custGeom>
                        <a:solidFill>
                          <a:srgbClr val="FF0000"/>
                        </a:solidFill>
                        <a:ln>
                          <a:noFill/>
                        </a:ln>
                        <a:effectLst/>
                      </wps:spPr>
                      <wps:bodyPr/>
                    </wps:wsp>
                  </a:graphicData>
                </a:graphic>
                <wp14:sizeRelH relativeFrom="page">
                  <wp14:pctWidth>0</wp14:pctWidth>
                </wp14:sizeRelH>
                <wp14:sizeRelV relativeFrom="page">
                  <wp14:pctHeight>0</wp14:pctHeight>
                </wp14:sizeRelV>
              </wp:anchor>
            </w:drawing>
          </mc:Choice>
          <mc:Fallback>
            <w:pict>
              <v:shape w14:anchorId="7E9086FD" id="Freeform: Shape 52" o:spid="_x0000_s1026" style="position:absolute;margin-left:96.35pt;margin-top:204.9pt;width:58.55pt;height:21.8pt;rotation:28;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" path="m,5400r10800,l10800,,21600,10800,10800,21600r,-5400l,16200,,5400xe" fillcolor="red" stroked="f">
                <v:path arrowok="t"/>
              </v:shape>
            </w:pict>
          </mc:Fallback>
        </mc:AlternateContent>
      </w:r>
    </w:p>
    <w:tbl>
      <w:tblPr>
        <w:tblW w:w="6094" w:type="dxa"/>
        <w:tblInd w:w="3498" w:type="dxa"/>
        <w:tblLook w:val="04A0" w:firstRow="1" w:lastRow="0" w:firstColumn="1" w:lastColumn="0" w:noHBand="0" w:noVBand="1"/>
      </w:tblPr>
      <w:tblGrid>
        <w:gridCol w:w="2691"/>
        <w:gridCol w:w="567"/>
        <w:gridCol w:w="2836"/>
      </w:tblGrid>
      <w:tr w:rsidR="009A0954" w:rsidRPr="007F78CE" w14:paraId="07547C2D" w14:textId="77777777" w:rsidTr="009A0954">
        <w:tc>
          <w:tcPr>
            <w:tcW w:w="2691" w:type="dxa"/>
            <w:tcBorders>
              <w:top w:val="single" w:sz="4" w:space="0" w:color="000000"/>
              <w:left w:val="single" w:sz="4" w:space="0" w:color="000000"/>
              <w:bottom w:val="single" w:sz="4" w:space="0" w:color="000000"/>
              <w:right w:val="single" w:sz="4" w:space="0" w:color="000000"/>
            </w:tcBorders>
            <w:shd w:val="clear" w:color="auto" w:fill="auto"/>
          </w:tcPr>
          <w:p w14:paraId="1D37056F" w14:textId="77777777" w:rsidR="009A0954" w:rsidRPr="007F78CE" w:rsidRDefault="009A0954" w:rsidP="009A0954">
            <w:pPr>
              <w:contextualSpacing/>
              <w:jc w:val="center"/>
              <w:rPr>
                <w:rFonts w:ascii="Arial" w:hAnsi="Arial" w:cs="Arial"/>
                <w:sz w:val="20"/>
                <w:szCs w:val="20"/>
              </w:rPr>
            </w:pPr>
            <w:r w:rsidRPr="007F78CE">
              <w:rPr>
                <w:rFonts w:ascii="Arial" w:hAnsi="Arial" w:cs="Arial"/>
                <w:sz w:val="20"/>
                <w:szCs w:val="20"/>
              </w:rPr>
              <w:t>Catégorisation</w:t>
            </w:r>
          </w:p>
        </w:tc>
        <w:tc>
          <w:tcPr>
            <w:tcW w:w="567" w:type="dxa"/>
            <w:tcBorders>
              <w:left w:val="single" w:sz="4" w:space="0" w:color="000000"/>
              <w:right w:val="single" w:sz="4" w:space="0" w:color="000000"/>
            </w:tcBorders>
            <w:shd w:val="clear" w:color="auto" w:fill="auto"/>
          </w:tcPr>
          <w:p w14:paraId="62D83E8D" w14:textId="77777777" w:rsidR="009A0954" w:rsidRPr="007F78CE" w:rsidRDefault="009A0954" w:rsidP="009A0954">
            <w:pPr>
              <w:contextualSpacing/>
              <w:jc w:val="center"/>
              <w:rPr>
                <w:rFonts w:ascii="Arial" w:hAnsi="Arial" w:cs="Arial"/>
                <w:sz w:val="20"/>
                <w:szCs w:val="20"/>
              </w:rPr>
            </w:pP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1CE48F27" w14:textId="77777777" w:rsidR="009A0954" w:rsidRPr="007F78CE" w:rsidRDefault="009A0954" w:rsidP="009A0954">
            <w:pPr>
              <w:contextualSpacing/>
              <w:jc w:val="center"/>
              <w:rPr>
                <w:rFonts w:ascii="Arial" w:hAnsi="Arial" w:cs="Arial"/>
                <w:sz w:val="20"/>
                <w:szCs w:val="20"/>
              </w:rPr>
            </w:pPr>
            <w:r w:rsidRPr="007F78CE">
              <w:rPr>
                <w:rFonts w:ascii="Arial" w:hAnsi="Arial" w:cs="Arial"/>
                <w:sz w:val="20"/>
                <w:szCs w:val="20"/>
              </w:rPr>
              <w:t>Délais</w:t>
            </w:r>
          </w:p>
        </w:tc>
      </w:tr>
      <w:tr w:rsidR="009A0954" w:rsidRPr="007F78CE" w14:paraId="5FA8534D" w14:textId="77777777" w:rsidTr="009A0954">
        <w:tc>
          <w:tcPr>
            <w:tcW w:w="2691" w:type="dxa"/>
            <w:tcBorders>
              <w:top w:val="single" w:sz="4" w:space="0" w:color="000000"/>
              <w:left w:val="single" w:sz="4" w:space="0" w:color="000000"/>
              <w:bottom w:val="single" w:sz="4" w:space="0" w:color="000000"/>
              <w:right w:val="single" w:sz="4" w:space="0" w:color="000000"/>
            </w:tcBorders>
            <w:shd w:val="clear" w:color="auto" w:fill="auto"/>
          </w:tcPr>
          <w:p w14:paraId="4F2C75E1" w14:textId="77777777" w:rsidR="009A0954" w:rsidRPr="007F78CE" w:rsidRDefault="009A0954" w:rsidP="009A0954">
            <w:pPr>
              <w:contextualSpacing/>
              <w:rPr>
                <w:rFonts w:ascii="Arial" w:hAnsi="Arial" w:cs="Arial"/>
                <w:sz w:val="20"/>
                <w:szCs w:val="20"/>
              </w:rPr>
            </w:pPr>
            <w:r w:rsidRPr="007F78CE">
              <w:rPr>
                <w:rFonts w:ascii="Arial" w:hAnsi="Arial" w:cs="Arial"/>
                <w:sz w:val="20"/>
                <w:szCs w:val="20"/>
              </w:rPr>
              <w:t xml:space="preserve">Evènement mineur </w:t>
            </w:r>
          </w:p>
        </w:tc>
        <w:tc>
          <w:tcPr>
            <w:tcW w:w="567" w:type="dxa"/>
            <w:tcBorders>
              <w:left w:val="single" w:sz="4" w:space="0" w:color="000000"/>
              <w:right w:val="single" w:sz="4" w:space="0" w:color="000000"/>
            </w:tcBorders>
            <w:shd w:val="clear" w:color="auto" w:fill="auto"/>
          </w:tcPr>
          <w:p w14:paraId="77B32708" w14:textId="108B2897" w:rsidR="009A0954" w:rsidRPr="007F78CE" w:rsidRDefault="00E97ECD" w:rsidP="009A0954">
            <w:pPr>
              <w:contextualSpacing/>
              <w:rPr>
                <w:rFonts w:ascii="Arial" w:hAnsi="Arial" w:cs="Arial"/>
                <w:sz w:val="20"/>
                <w:szCs w:val="20"/>
              </w:rPr>
            </w:pPr>
            <w:r>
              <w:rPr>
                <w:noProof/>
              </w:rPr>
              <mc:AlternateContent>
                <mc:Choice Requires="wps">
                  <w:drawing>
                    <wp:anchor distT="0" distB="0" distL="0" distR="0" simplePos="0" relativeHeight="251657216" behindDoc="0" locked="0" layoutInCell="1" allowOverlap="1" wp14:anchorId="44AA61C6" wp14:editId="1A4CD4C4">
                      <wp:simplePos x="0" y="0"/>
                      <wp:positionH relativeFrom="column">
                        <wp:posOffset>-34925</wp:posOffset>
                      </wp:positionH>
                      <wp:positionV relativeFrom="paragraph">
                        <wp:posOffset>-6350</wp:posOffset>
                      </wp:positionV>
                      <wp:extent cx="305435" cy="200660"/>
                      <wp:effectExtent l="0" t="19050" r="18415" b="27940"/>
                      <wp:wrapNone/>
                      <wp:docPr id="53" name="Freeform: 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435" cy="200660"/>
                              </a:xfrm>
                              <a:custGeom>
                                <a:avLst/>
                                <a:gdLst/>
                                <a:ahLst/>
                                <a:cxnLst/>
                                <a:rect l="l" t="t" r="r" b="b"/>
                                <a:pathLst>
                                  <a:path w="21600" h="21600">
                                    <a:moveTo>
                                      <a:pt x="0" y="5400"/>
                                    </a:moveTo>
                                    <a:lnTo>
                                      <a:pt x="10800" y="5400"/>
                                    </a:lnTo>
                                    <a:lnTo>
                                      <a:pt x="10800" y="0"/>
                                    </a:lnTo>
                                    <a:lnTo>
                                      <a:pt x="21600" y="10800"/>
                                    </a:lnTo>
                                    <a:lnTo>
                                      <a:pt x="10800" y="21600"/>
                                    </a:lnTo>
                                    <a:lnTo>
                                      <a:pt x="10800" y="16200"/>
                                    </a:lnTo>
                                    <a:lnTo>
                                      <a:pt x="0" y="16200"/>
                                    </a:lnTo>
                                    <a:lnTo>
                                      <a:pt x="0" y="5400"/>
                                    </a:lnTo>
                                    <a:close/>
                                  </a:path>
                                </a:pathLst>
                              </a:custGeom>
                              <a:solidFill>
                                <a:srgbClr val="00FFFF"/>
                              </a:solidFill>
                              <a:ln w="12600">
                                <a:solidFill>
                                  <a:srgbClr val="FFFFFF"/>
                                </a:solidFill>
                                <a:miter/>
                              </a:ln>
                              <a:effectLst/>
                            </wps:spPr>
                            <wps:bodyPr/>
                          </wps:wsp>
                        </a:graphicData>
                      </a:graphic>
                      <wp14:sizeRelH relativeFrom="page">
                        <wp14:pctWidth>0</wp14:pctWidth>
                      </wp14:sizeRelH>
                      <wp14:sizeRelV relativeFrom="page">
                        <wp14:pctHeight>0</wp14:pctHeight>
                      </wp14:sizeRelV>
                    </wp:anchor>
                  </w:drawing>
                </mc:Choice>
                <mc:Fallback>
                  <w:pict>
                    <v:shape w14:anchorId="0F9CC065" id="Freeform: Shape 51" o:spid="_x0000_s1026" style="position:absolute;margin-left:-2.75pt;margin-top:-.5pt;width:24.05pt;height:15.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" path="m,5400r10800,l10800,,21600,10800,10800,21600r,-5400l,16200,,5400xe" fillcolor="aqua" strokecolor="white" strokeweight=".35mm">
                      <v:stroke joinstyle="miter"/>
                      <v:path arrowok="t"/>
                    </v:shape>
                  </w:pict>
                </mc:Fallback>
              </mc:AlternateConten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2EED4622" w14:textId="77777777" w:rsidR="009A0954" w:rsidRPr="007F78CE" w:rsidRDefault="009A0954" w:rsidP="009A0954">
            <w:pPr>
              <w:contextualSpacing/>
              <w:rPr>
                <w:rFonts w:ascii="Arial" w:hAnsi="Arial" w:cs="Arial"/>
                <w:sz w:val="20"/>
                <w:szCs w:val="20"/>
              </w:rPr>
            </w:pPr>
            <w:r w:rsidRPr="007F78CE">
              <w:rPr>
                <w:rFonts w:ascii="Arial" w:hAnsi="Arial" w:cs="Arial"/>
                <w:sz w:val="20"/>
                <w:szCs w:val="20"/>
              </w:rPr>
              <w:t xml:space="preserve">Dans la journée </w:t>
            </w:r>
          </w:p>
        </w:tc>
      </w:tr>
      <w:tr w:rsidR="009A0954" w:rsidRPr="007F78CE" w14:paraId="24F02277" w14:textId="77777777" w:rsidTr="009A0954">
        <w:tc>
          <w:tcPr>
            <w:tcW w:w="2691" w:type="dxa"/>
            <w:tcBorders>
              <w:top w:val="single" w:sz="4" w:space="0" w:color="000000"/>
              <w:left w:val="single" w:sz="4" w:space="0" w:color="000000"/>
              <w:bottom w:val="single" w:sz="4" w:space="0" w:color="000000"/>
              <w:right w:val="single" w:sz="4" w:space="0" w:color="000000"/>
            </w:tcBorders>
            <w:shd w:val="clear" w:color="auto" w:fill="auto"/>
          </w:tcPr>
          <w:p w14:paraId="57909FB7" w14:textId="77777777" w:rsidR="009A0954" w:rsidRPr="007F78CE" w:rsidRDefault="009A0954" w:rsidP="009A0954">
            <w:pPr>
              <w:pStyle w:val="Default"/>
              <w:rPr>
                <w:b/>
                <w:bCs/>
                <w:sz w:val="20"/>
                <w:szCs w:val="20"/>
              </w:rPr>
            </w:pPr>
            <w:r w:rsidRPr="007F78CE">
              <w:rPr>
                <w:bCs/>
                <w:sz w:val="20"/>
                <w:szCs w:val="20"/>
              </w:rPr>
              <w:t xml:space="preserve">Se référer à la liste des évènements mineurs </w:t>
            </w:r>
          </w:p>
          <w:p w14:paraId="624C1B27" w14:textId="77777777" w:rsidR="009A0954" w:rsidRPr="007F78CE" w:rsidRDefault="009A0954" w:rsidP="009A0954">
            <w:pPr>
              <w:pStyle w:val="Default"/>
              <w:rPr>
                <w:b/>
                <w:sz w:val="20"/>
                <w:szCs w:val="20"/>
              </w:rPr>
            </w:pPr>
            <w:r w:rsidRPr="007F78CE">
              <w:rPr>
                <w:sz w:val="20"/>
                <w:szCs w:val="20"/>
              </w:rPr>
              <w:t xml:space="preserve">Ex : Compensation inadéquate des moyens de subsistance, perte locale contaminations mineures répétées … d'habitat écologique, mauvaise exécution des directives de sécurité, </w:t>
            </w:r>
          </w:p>
        </w:tc>
        <w:tc>
          <w:tcPr>
            <w:tcW w:w="567" w:type="dxa"/>
            <w:tcBorders>
              <w:left w:val="single" w:sz="4" w:space="0" w:color="000000"/>
              <w:right w:val="single" w:sz="4" w:space="0" w:color="000000"/>
            </w:tcBorders>
            <w:shd w:val="clear" w:color="auto" w:fill="auto"/>
          </w:tcPr>
          <w:p w14:paraId="1CBA81AF" w14:textId="77777777" w:rsidR="009A0954" w:rsidRPr="007F78CE" w:rsidRDefault="009A0954" w:rsidP="009A0954">
            <w:pPr>
              <w:contextualSpacing/>
              <w:rPr>
                <w:rFonts w:ascii="Arial" w:hAnsi="Arial" w:cs="Arial"/>
                <w:sz w:val="20"/>
                <w:szCs w:val="20"/>
              </w:rPr>
            </w:pP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3A0DDA3C" w14:textId="77777777" w:rsidR="009A0954" w:rsidRPr="007F78CE" w:rsidRDefault="009A0954" w:rsidP="009A0954">
            <w:pPr>
              <w:pStyle w:val="Default"/>
              <w:rPr>
                <w:b/>
                <w:sz w:val="20"/>
                <w:szCs w:val="20"/>
              </w:rPr>
            </w:pPr>
            <w:r w:rsidRPr="007F78CE">
              <w:rPr>
                <w:sz w:val="20"/>
                <w:szCs w:val="20"/>
              </w:rPr>
              <w:t xml:space="preserve">• L’information peut provenir de l’entreprise, </w:t>
            </w:r>
            <w:r w:rsidRPr="007F78CE">
              <w:rPr>
                <w:color w:val="auto"/>
                <w:sz w:val="20"/>
                <w:szCs w:val="20"/>
              </w:rPr>
              <w:t xml:space="preserve">de la Mission de Contrôle </w:t>
            </w:r>
            <w:r w:rsidRPr="007F78CE">
              <w:rPr>
                <w:sz w:val="20"/>
                <w:szCs w:val="20"/>
              </w:rPr>
              <w:t xml:space="preserve">ou d’une tierce entité. </w:t>
            </w:r>
          </w:p>
          <w:p w14:paraId="407A0A76" w14:textId="77777777" w:rsidR="009A0954" w:rsidRPr="007F78CE" w:rsidRDefault="009A0954" w:rsidP="009A0954">
            <w:pPr>
              <w:pStyle w:val="Default"/>
              <w:rPr>
                <w:b/>
                <w:sz w:val="20"/>
                <w:szCs w:val="20"/>
              </w:rPr>
            </w:pPr>
            <w:r w:rsidRPr="007F78CE">
              <w:rPr>
                <w:sz w:val="20"/>
                <w:szCs w:val="20"/>
              </w:rPr>
              <w:t xml:space="preserve">• Dès qu’un Responsable du Projet est au courant de l’événement, il/elle en informe immédiatement le Coordonnateur qui rapporte à la Banque de suite </w:t>
            </w:r>
          </w:p>
        </w:tc>
      </w:tr>
      <w:tr w:rsidR="009A0954" w:rsidRPr="007F78CE" w14:paraId="399974E1" w14:textId="77777777" w:rsidTr="009A0954">
        <w:tc>
          <w:tcPr>
            <w:tcW w:w="2691" w:type="dxa"/>
            <w:tcBorders>
              <w:top w:val="single" w:sz="4" w:space="0" w:color="000000"/>
              <w:left w:val="single" w:sz="4" w:space="0" w:color="000000"/>
              <w:bottom w:val="single" w:sz="4" w:space="0" w:color="000000"/>
              <w:right w:val="single" w:sz="4" w:space="0" w:color="000000"/>
            </w:tcBorders>
            <w:shd w:val="clear" w:color="auto" w:fill="auto"/>
          </w:tcPr>
          <w:p w14:paraId="2B6701A7" w14:textId="77777777" w:rsidR="009A0954" w:rsidRPr="007F78CE" w:rsidRDefault="009A0954" w:rsidP="009A0954">
            <w:pPr>
              <w:contextualSpacing/>
              <w:rPr>
                <w:rFonts w:ascii="Arial" w:hAnsi="Arial" w:cs="Arial"/>
                <w:sz w:val="20"/>
                <w:szCs w:val="20"/>
              </w:rPr>
            </w:pPr>
            <w:r w:rsidRPr="007F78CE">
              <w:rPr>
                <w:rFonts w:ascii="Arial" w:hAnsi="Arial" w:cs="Arial"/>
                <w:sz w:val="20"/>
                <w:szCs w:val="20"/>
              </w:rPr>
              <w:t xml:space="preserve">Evènement majeur </w:t>
            </w:r>
          </w:p>
        </w:tc>
        <w:tc>
          <w:tcPr>
            <w:tcW w:w="567" w:type="dxa"/>
            <w:tcBorders>
              <w:left w:val="single" w:sz="4" w:space="0" w:color="000000"/>
              <w:right w:val="single" w:sz="4" w:space="0" w:color="000000"/>
            </w:tcBorders>
            <w:shd w:val="clear" w:color="auto" w:fill="auto"/>
          </w:tcPr>
          <w:p w14:paraId="29B73604" w14:textId="5203784C" w:rsidR="009A0954" w:rsidRPr="007F78CE" w:rsidRDefault="00E97ECD" w:rsidP="009A0954">
            <w:pPr>
              <w:contextualSpacing/>
              <w:rPr>
                <w:rFonts w:ascii="Arial" w:hAnsi="Arial" w:cs="Arial"/>
                <w:sz w:val="20"/>
                <w:szCs w:val="20"/>
              </w:rPr>
            </w:pPr>
            <w:r>
              <w:rPr>
                <w:noProof/>
              </w:rPr>
              <mc:AlternateContent>
                <mc:Choice Requires="wps">
                  <w:drawing>
                    <wp:anchor distT="0" distB="0" distL="0" distR="0" simplePos="0" relativeHeight="251660288" behindDoc="0" locked="0" layoutInCell="1" allowOverlap="1" wp14:anchorId="5775CDB5" wp14:editId="5D243B4A">
                      <wp:simplePos x="0" y="0"/>
                      <wp:positionH relativeFrom="column">
                        <wp:posOffset>-39370</wp:posOffset>
                      </wp:positionH>
                      <wp:positionV relativeFrom="paragraph">
                        <wp:posOffset>-9525</wp:posOffset>
                      </wp:positionV>
                      <wp:extent cx="306070" cy="201930"/>
                      <wp:effectExtent l="0" t="0" r="0" b="0"/>
                      <wp:wrapNone/>
                      <wp:docPr id="52" name="Freeform: 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70" cy="201930"/>
                              </a:xfrm>
                              <a:custGeom>
                                <a:avLst/>
                                <a:gdLst/>
                                <a:ahLst/>
                                <a:cxnLst/>
                                <a:rect l="l" t="t" r="r" b="b"/>
                                <a:pathLst>
                                  <a:path w="21600" h="21600">
                                    <a:moveTo>
                                      <a:pt x="0" y="5400"/>
                                    </a:moveTo>
                                    <a:lnTo>
                                      <a:pt x="10800" y="5400"/>
                                    </a:lnTo>
                                    <a:lnTo>
                                      <a:pt x="10800" y="0"/>
                                    </a:lnTo>
                                    <a:lnTo>
                                      <a:pt x="21600" y="10800"/>
                                    </a:lnTo>
                                    <a:lnTo>
                                      <a:pt x="10800" y="21600"/>
                                    </a:lnTo>
                                    <a:lnTo>
                                      <a:pt x="10800" y="16200"/>
                                    </a:lnTo>
                                    <a:lnTo>
                                      <a:pt x="0" y="16200"/>
                                    </a:lnTo>
                                    <a:lnTo>
                                      <a:pt x="0" y="5400"/>
                                    </a:lnTo>
                                    <a:close/>
                                  </a:path>
                                </a:pathLst>
                              </a:custGeom>
                              <a:solidFill>
                                <a:srgbClr val="FFFF00"/>
                              </a:solidFill>
                              <a:ln>
                                <a:noFill/>
                              </a:ln>
                              <a:effectLst/>
                            </wps:spPr>
                            <wps:bodyPr/>
                          </wps:wsp>
                        </a:graphicData>
                      </a:graphic>
                      <wp14:sizeRelH relativeFrom="page">
                        <wp14:pctWidth>0</wp14:pctWidth>
                      </wp14:sizeRelH>
                      <wp14:sizeRelV relativeFrom="page">
                        <wp14:pctHeight>0</wp14:pctHeight>
                      </wp14:sizeRelV>
                    </wp:anchor>
                  </w:drawing>
                </mc:Choice>
                <mc:Fallback>
                  <w:pict>
                    <v:shape w14:anchorId="66BB9617" id="Freeform: Shape 50" o:spid="_x0000_s1026" style="position:absolute;margin-left:-3.1pt;margin-top:-.75pt;width:24.1pt;height:15.9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" path="m,5400r10800,l10800,,21600,10800,10800,21600r,-5400l,16200,,5400xe" fillcolor="yellow" stroked="f">
                      <v:path arrowok="t"/>
                    </v:shape>
                  </w:pict>
                </mc:Fallback>
              </mc:AlternateConten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74A002D4" w14:textId="77777777" w:rsidR="009A0954" w:rsidRPr="007F78CE" w:rsidRDefault="009A0954" w:rsidP="009A0954">
            <w:pPr>
              <w:contextualSpacing/>
              <w:rPr>
                <w:rFonts w:ascii="Arial" w:hAnsi="Arial" w:cs="Arial"/>
                <w:sz w:val="20"/>
                <w:szCs w:val="20"/>
              </w:rPr>
            </w:pPr>
            <w:r w:rsidRPr="007F78CE">
              <w:rPr>
                <w:rFonts w:ascii="Arial" w:hAnsi="Arial" w:cs="Arial"/>
                <w:sz w:val="20"/>
                <w:szCs w:val="20"/>
              </w:rPr>
              <w:t>Dans la journée</w:t>
            </w:r>
          </w:p>
        </w:tc>
      </w:tr>
      <w:tr w:rsidR="009A0954" w:rsidRPr="007F78CE" w14:paraId="19778200" w14:textId="77777777" w:rsidTr="009A0954">
        <w:tc>
          <w:tcPr>
            <w:tcW w:w="2691" w:type="dxa"/>
            <w:tcBorders>
              <w:top w:val="single" w:sz="4" w:space="0" w:color="000000"/>
              <w:left w:val="single" w:sz="4" w:space="0" w:color="000000"/>
              <w:bottom w:val="single" w:sz="4" w:space="0" w:color="000000"/>
              <w:right w:val="single" w:sz="4" w:space="0" w:color="000000"/>
            </w:tcBorders>
            <w:shd w:val="clear" w:color="auto" w:fill="auto"/>
          </w:tcPr>
          <w:p w14:paraId="4F25AAF0" w14:textId="77777777" w:rsidR="009A0954" w:rsidRPr="007F78CE" w:rsidRDefault="009A0954" w:rsidP="009A0954">
            <w:pPr>
              <w:pStyle w:val="Default"/>
              <w:rPr>
                <w:b/>
                <w:sz w:val="20"/>
                <w:szCs w:val="20"/>
              </w:rPr>
            </w:pPr>
            <w:r w:rsidRPr="007F78CE">
              <w:rPr>
                <w:bCs/>
                <w:sz w:val="20"/>
                <w:szCs w:val="20"/>
              </w:rPr>
              <w:t xml:space="preserve">Voir la liste y afférente </w:t>
            </w:r>
          </w:p>
          <w:p w14:paraId="731B92CD" w14:textId="77777777" w:rsidR="009A0954" w:rsidRPr="007F78CE" w:rsidRDefault="009A0954" w:rsidP="009A0954">
            <w:pPr>
              <w:pStyle w:val="Default"/>
              <w:rPr>
                <w:b/>
                <w:sz w:val="20"/>
                <w:szCs w:val="20"/>
              </w:rPr>
            </w:pPr>
            <w:r w:rsidRPr="007F78CE">
              <w:rPr>
                <w:sz w:val="20"/>
                <w:szCs w:val="20"/>
              </w:rPr>
              <w:t xml:space="preserve">Ex : déplacement forcé, déversement important de produits chimiques, blessures chroniques au travail, impact sur un site du patrimoine mondial, perte d'habitat critique </w:t>
            </w:r>
          </w:p>
        </w:tc>
        <w:tc>
          <w:tcPr>
            <w:tcW w:w="567" w:type="dxa"/>
            <w:tcBorders>
              <w:left w:val="single" w:sz="4" w:space="0" w:color="000000"/>
              <w:right w:val="single" w:sz="4" w:space="0" w:color="000000"/>
            </w:tcBorders>
            <w:shd w:val="clear" w:color="auto" w:fill="auto"/>
          </w:tcPr>
          <w:p w14:paraId="03DBA59B" w14:textId="77777777" w:rsidR="009A0954" w:rsidRPr="007F78CE" w:rsidRDefault="009A0954" w:rsidP="009A0954">
            <w:pPr>
              <w:contextualSpacing/>
              <w:rPr>
                <w:rFonts w:ascii="Arial" w:hAnsi="Arial" w:cs="Arial"/>
                <w:sz w:val="20"/>
                <w:szCs w:val="20"/>
              </w:rPr>
            </w:pP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1C6CEAC6" w14:textId="77777777" w:rsidR="009A0954" w:rsidRPr="007F78CE" w:rsidRDefault="009A0954" w:rsidP="009A0954">
            <w:pPr>
              <w:contextualSpacing/>
              <w:rPr>
                <w:rFonts w:ascii="Arial" w:hAnsi="Arial" w:cs="Arial"/>
                <w:sz w:val="20"/>
                <w:szCs w:val="20"/>
              </w:rPr>
            </w:pPr>
            <w:r w:rsidRPr="007F78CE">
              <w:rPr>
                <w:rFonts w:ascii="Arial" w:hAnsi="Arial" w:cs="Arial"/>
                <w:sz w:val="20"/>
                <w:szCs w:val="20"/>
              </w:rPr>
              <w:t xml:space="preserve">Idem </w:t>
            </w:r>
          </w:p>
        </w:tc>
      </w:tr>
      <w:tr w:rsidR="009A0954" w:rsidRPr="007F78CE" w14:paraId="5749A21E" w14:textId="77777777" w:rsidTr="009A0954">
        <w:tc>
          <w:tcPr>
            <w:tcW w:w="2691" w:type="dxa"/>
            <w:tcBorders>
              <w:top w:val="single" w:sz="4" w:space="0" w:color="000000"/>
              <w:left w:val="single" w:sz="4" w:space="0" w:color="000000"/>
              <w:bottom w:val="single" w:sz="4" w:space="0" w:color="000000"/>
              <w:right w:val="single" w:sz="4" w:space="0" w:color="000000"/>
            </w:tcBorders>
            <w:shd w:val="clear" w:color="auto" w:fill="auto"/>
          </w:tcPr>
          <w:p w14:paraId="18C30C33" w14:textId="77777777" w:rsidR="009A0954" w:rsidRPr="007F78CE" w:rsidRDefault="009A0954" w:rsidP="009A0954">
            <w:pPr>
              <w:pStyle w:val="Default"/>
              <w:rPr>
                <w:b/>
                <w:sz w:val="20"/>
                <w:szCs w:val="20"/>
              </w:rPr>
            </w:pPr>
            <w:r w:rsidRPr="007F78CE">
              <w:rPr>
                <w:bCs/>
                <w:sz w:val="20"/>
                <w:szCs w:val="20"/>
              </w:rPr>
              <w:t xml:space="preserve">Evénement critique </w:t>
            </w:r>
          </w:p>
        </w:tc>
        <w:tc>
          <w:tcPr>
            <w:tcW w:w="567" w:type="dxa"/>
            <w:tcBorders>
              <w:left w:val="single" w:sz="4" w:space="0" w:color="000000"/>
              <w:right w:val="single" w:sz="4" w:space="0" w:color="000000"/>
            </w:tcBorders>
            <w:shd w:val="clear" w:color="auto" w:fill="auto"/>
          </w:tcPr>
          <w:p w14:paraId="0DB7BDF9" w14:textId="37F0E2C1" w:rsidR="009A0954" w:rsidRPr="007F78CE" w:rsidRDefault="00E97ECD" w:rsidP="009A0954">
            <w:pPr>
              <w:contextualSpacing/>
              <w:rPr>
                <w:rFonts w:ascii="Arial" w:hAnsi="Arial" w:cs="Arial"/>
                <w:sz w:val="20"/>
                <w:szCs w:val="20"/>
              </w:rPr>
            </w:pPr>
            <w:r>
              <w:rPr>
                <w:noProof/>
              </w:rPr>
              <mc:AlternateContent>
                <mc:Choice Requires="wps">
                  <w:drawing>
                    <wp:anchor distT="0" distB="0" distL="0" distR="0" simplePos="0" relativeHeight="251661312" behindDoc="0" locked="0" layoutInCell="1" allowOverlap="1" wp14:anchorId="5D617E5B" wp14:editId="46AEB8B5">
                      <wp:simplePos x="0" y="0"/>
                      <wp:positionH relativeFrom="column">
                        <wp:posOffset>-29845</wp:posOffset>
                      </wp:positionH>
                      <wp:positionV relativeFrom="paragraph">
                        <wp:posOffset>-2540</wp:posOffset>
                      </wp:positionV>
                      <wp:extent cx="306705" cy="201930"/>
                      <wp:effectExtent l="0" t="0" r="0" b="0"/>
                      <wp:wrapNone/>
                      <wp:docPr id="51" name="Freeform: 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201930"/>
                              </a:xfrm>
                              <a:custGeom>
                                <a:avLst/>
                                <a:gdLst/>
                                <a:ahLst/>
                                <a:cxnLst/>
                                <a:rect l="l" t="t" r="r" b="b"/>
                                <a:pathLst>
                                  <a:path w="21600" h="21600">
                                    <a:moveTo>
                                      <a:pt x="0" y="5400"/>
                                    </a:moveTo>
                                    <a:lnTo>
                                      <a:pt x="10800" y="5400"/>
                                    </a:lnTo>
                                    <a:lnTo>
                                      <a:pt x="10800" y="0"/>
                                    </a:lnTo>
                                    <a:lnTo>
                                      <a:pt x="21600" y="10800"/>
                                    </a:lnTo>
                                    <a:lnTo>
                                      <a:pt x="10800" y="21600"/>
                                    </a:lnTo>
                                    <a:lnTo>
                                      <a:pt x="10800" y="16200"/>
                                    </a:lnTo>
                                    <a:lnTo>
                                      <a:pt x="0" y="16200"/>
                                    </a:lnTo>
                                    <a:lnTo>
                                      <a:pt x="0" y="5400"/>
                                    </a:lnTo>
                                    <a:close/>
                                  </a:path>
                                </a:pathLst>
                              </a:custGeom>
                              <a:solidFill>
                                <a:srgbClr val="FF0000"/>
                              </a:solidFill>
                              <a:ln>
                                <a:noFill/>
                              </a:ln>
                              <a:effectLst/>
                            </wps:spPr>
                            <wps:bodyPr/>
                          </wps:wsp>
                        </a:graphicData>
                      </a:graphic>
                      <wp14:sizeRelH relativeFrom="page">
                        <wp14:pctWidth>0</wp14:pctWidth>
                      </wp14:sizeRelH>
                      <wp14:sizeRelV relativeFrom="page">
                        <wp14:pctHeight>0</wp14:pctHeight>
                      </wp14:sizeRelV>
                    </wp:anchor>
                  </w:drawing>
                </mc:Choice>
                <mc:Fallback>
                  <w:pict>
                    <v:shape w14:anchorId="5445AA42" id="Freeform: Shape 49" o:spid="_x0000_s1026" style="position:absolute;margin-left:-2.35pt;margin-top:-.2pt;width:24.15pt;height:15.9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" path="m,5400r10800,l10800,,21600,10800,10800,21600r,-5400l,16200,,5400xe" fillcolor="red" stroked="f">
                      <v:path arrowok="t"/>
                    </v:shape>
                  </w:pict>
                </mc:Fallback>
              </mc:AlternateConten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5CFFAAD5" w14:textId="77777777" w:rsidR="009A0954" w:rsidRPr="007F78CE" w:rsidRDefault="009A0954" w:rsidP="009A0954">
            <w:pPr>
              <w:contextualSpacing/>
              <w:rPr>
                <w:rFonts w:ascii="Arial" w:hAnsi="Arial" w:cs="Arial"/>
                <w:sz w:val="20"/>
                <w:szCs w:val="20"/>
              </w:rPr>
            </w:pPr>
            <w:r w:rsidRPr="007F78CE">
              <w:rPr>
                <w:rFonts w:ascii="Arial" w:hAnsi="Arial" w:cs="Arial"/>
                <w:sz w:val="20"/>
                <w:szCs w:val="20"/>
              </w:rPr>
              <w:t>Dans la journée</w:t>
            </w:r>
          </w:p>
        </w:tc>
      </w:tr>
      <w:tr w:rsidR="009A0954" w:rsidRPr="007F78CE" w14:paraId="53331742" w14:textId="77777777" w:rsidTr="009A0954">
        <w:tc>
          <w:tcPr>
            <w:tcW w:w="2691" w:type="dxa"/>
            <w:tcBorders>
              <w:top w:val="single" w:sz="4" w:space="0" w:color="000000"/>
              <w:left w:val="single" w:sz="4" w:space="0" w:color="000000"/>
              <w:bottom w:val="single" w:sz="4" w:space="0" w:color="000000"/>
              <w:right w:val="single" w:sz="4" w:space="0" w:color="000000"/>
            </w:tcBorders>
            <w:shd w:val="clear" w:color="auto" w:fill="auto"/>
          </w:tcPr>
          <w:p w14:paraId="3EDD3297" w14:textId="77777777" w:rsidR="009A0954" w:rsidRPr="007F78CE" w:rsidRDefault="009A0954" w:rsidP="009A0954">
            <w:pPr>
              <w:pStyle w:val="Default"/>
              <w:rPr>
                <w:b/>
                <w:sz w:val="20"/>
                <w:szCs w:val="20"/>
              </w:rPr>
            </w:pPr>
            <w:r w:rsidRPr="007F78CE">
              <w:rPr>
                <w:bCs/>
                <w:sz w:val="20"/>
                <w:szCs w:val="20"/>
              </w:rPr>
              <w:t xml:space="preserve">Consulter la liste y afférente </w:t>
            </w:r>
          </w:p>
          <w:p w14:paraId="46EA8E97" w14:textId="77777777" w:rsidR="009A0954" w:rsidRPr="007F78CE" w:rsidRDefault="009A0954" w:rsidP="009A0954">
            <w:pPr>
              <w:pStyle w:val="Default"/>
              <w:rPr>
                <w:b/>
                <w:bCs/>
                <w:sz w:val="20"/>
                <w:szCs w:val="20"/>
              </w:rPr>
            </w:pPr>
            <w:r w:rsidRPr="007F78CE">
              <w:rPr>
                <w:sz w:val="20"/>
                <w:szCs w:val="20"/>
              </w:rPr>
              <w:t xml:space="preserve">Ex : Violence basée sur le genre chronique, dommages environnementaux irréversibles à grande échelle, décès au travail… </w:t>
            </w:r>
          </w:p>
        </w:tc>
        <w:tc>
          <w:tcPr>
            <w:tcW w:w="567" w:type="dxa"/>
            <w:tcBorders>
              <w:left w:val="single" w:sz="4" w:space="0" w:color="000000"/>
              <w:right w:val="single" w:sz="4" w:space="0" w:color="000000"/>
            </w:tcBorders>
            <w:shd w:val="clear" w:color="auto" w:fill="auto"/>
          </w:tcPr>
          <w:p w14:paraId="2F6D187D" w14:textId="77777777" w:rsidR="009A0954" w:rsidRPr="007F78CE" w:rsidRDefault="009A0954" w:rsidP="009A0954">
            <w:pPr>
              <w:contextualSpacing/>
              <w:rPr>
                <w:rFonts w:ascii="Arial" w:hAnsi="Arial" w:cs="Arial"/>
                <w:sz w:val="20"/>
                <w:szCs w:val="20"/>
              </w:rPr>
            </w:pP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075140E4" w14:textId="77777777" w:rsidR="009A0954" w:rsidRPr="007F78CE" w:rsidRDefault="009A0954" w:rsidP="009A0954">
            <w:pPr>
              <w:contextualSpacing/>
              <w:rPr>
                <w:rFonts w:ascii="Arial" w:hAnsi="Arial" w:cs="Arial"/>
                <w:sz w:val="20"/>
                <w:szCs w:val="20"/>
              </w:rPr>
            </w:pPr>
            <w:r w:rsidRPr="007F78CE">
              <w:rPr>
                <w:rFonts w:ascii="Arial" w:hAnsi="Arial" w:cs="Arial"/>
                <w:sz w:val="20"/>
                <w:szCs w:val="20"/>
              </w:rPr>
              <w:t xml:space="preserve">Idem </w:t>
            </w:r>
          </w:p>
        </w:tc>
      </w:tr>
    </w:tbl>
    <w:p w14:paraId="6A10342A" w14:textId="77777777" w:rsidR="009A0954" w:rsidRDefault="009A0954" w:rsidP="009A0954">
      <w:pPr>
        <w:jc w:val="center"/>
        <w:rPr>
          <w:rFonts w:ascii="Arial" w:hAnsi="Arial" w:cs="Arial"/>
          <w:b/>
        </w:rPr>
      </w:pPr>
      <w:r>
        <w:rPr>
          <w:rFonts w:ascii="Arial" w:hAnsi="Arial" w:cs="Arial"/>
          <w:b/>
          <w:sz w:val="20"/>
        </w:rPr>
        <w:t>Protocole ESIRT</w:t>
      </w:r>
      <w:r>
        <w:br w:type="page"/>
      </w:r>
      <w:r>
        <w:rPr>
          <w:rFonts w:ascii="Arial" w:hAnsi="Arial" w:cs="Arial"/>
          <w:b/>
        </w:rPr>
        <w:t>Outils de base de Protocole ESIRT</w:t>
      </w:r>
    </w:p>
    <w:tbl>
      <w:tblPr>
        <w:tblW w:w="9367" w:type="dxa"/>
        <w:tblLook w:val="04A0" w:firstRow="1" w:lastRow="0" w:firstColumn="1" w:lastColumn="0" w:noHBand="0" w:noVBand="1"/>
      </w:tblPr>
      <w:tblGrid>
        <w:gridCol w:w="2997"/>
        <w:gridCol w:w="23"/>
        <w:gridCol w:w="3325"/>
        <w:gridCol w:w="2998"/>
        <w:gridCol w:w="24"/>
      </w:tblGrid>
      <w:tr w:rsidR="009A0954" w:rsidRPr="007F78CE" w14:paraId="521E5010" w14:textId="77777777" w:rsidTr="00F91FA3">
        <w:tc>
          <w:tcPr>
            <w:tcW w:w="9367" w:type="dxa"/>
            <w:gridSpan w:val="5"/>
            <w:tcBorders>
              <w:top w:val="single" w:sz="4" w:space="0" w:color="000000"/>
              <w:left w:val="single" w:sz="4" w:space="0" w:color="000000"/>
              <w:bottom w:val="single" w:sz="4" w:space="0" w:color="000000"/>
              <w:right w:val="single" w:sz="4" w:space="0" w:color="000000"/>
            </w:tcBorders>
            <w:shd w:val="clear" w:color="auto" w:fill="00B0F0"/>
          </w:tcPr>
          <w:p w14:paraId="0AAE0C66" w14:textId="77777777" w:rsidR="009A0954" w:rsidRPr="007F78CE" w:rsidRDefault="009A0954" w:rsidP="009A0954">
            <w:pPr>
              <w:pStyle w:val="Default"/>
              <w:rPr>
                <w:rFonts w:ascii="Calibri" w:hAnsi="Calibri" w:cs="Calibri"/>
                <w:b/>
                <w:sz w:val="20"/>
                <w:szCs w:val="20"/>
              </w:rPr>
            </w:pPr>
            <w:r w:rsidRPr="007F78CE">
              <w:rPr>
                <w:rFonts w:ascii="Calibri" w:hAnsi="Calibri" w:cs="Calibri"/>
                <w:bCs/>
                <w:sz w:val="20"/>
                <w:szCs w:val="20"/>
              </w:rPr>
              <w:t xml:space="preserve">Box 1 - Exemples d’événements mineurs (ceux-ci ne sont pas nécessairement interdépendants) </w:t>
            </w:r>
          </w:p>
        </w:tc>
      </w:tr>
      <w:tr w:rsidR="009A0954" w:rsidRPr="007F78CE" w14:paraId="08BA3D09" w14:textId="77777777" w:rsidTr="00F91FA3">
        <w:trPr>
          <w:gridAfter w:val="1"/>
          <w:wAfter w:w="24" w:type="dxa"/>
        </w:trPr>
        <w:tc>
          <w:tcPr>
            <w:tcW w:w="2997" w:type="dxa"/>
            <w:tcBorders>
              <w:top w:val="single" w:sz="4" w:space="0" w:color="000000"/>
              <w:left w:val="single" w:sz="4" w:space="0" w:color="000000"/>
              <w:bottom w:val="single" w:sz="4" w:space="0" w:color="000000"/>
              <w:right w:val="single" w:sz="4" w:space="0" w:color="000000"/>
            </w:tcBorders>
            <w:shd w:val="clear" w:color="auto" w:fill="auto"/>
          </w:tcPr>
          <w:p w14:paraId="6FF259B0" w14:textId="77777777" w:rsidR="009A0954" w:rsidRPr="007F78CE" w:rsidRDefault="009A0954" w:rsidP="009A0954">
            <w:pPr>
              <w:contextualSpacing/>
              <w:jc w:val="center"/>
              <w:rPr>
                <w:rFonts w:cs="Calibri"/>
                <w:sz w:val="20"/>
                <w:szCs w:val="20"/>
              </w:rPr>
            </w:pPr>
            <w:r w:rsidRPr="007F78CE">
              <w:rPr>
                <w:rFonts w:cs="Calibri"/>
                <w:sz w:val="20"/>
                <w:szCs w:val="20"/>
              </w:rPr>
              <w:t>Environnement</w:t>
            </w:r>
          </w:p>
        </w:tc>
        <w:tc>
          <w:tcPr>
            <w:tcW w:w="3348" w:type="dxa"/>
            <w:gridSpan w:val="2"/>
            <w:tcBorders>
              <w:top w:val="single" w:sz="4" w:space="0" w:color="000000"/>
              <w:left w:val="single" w:sz="4" w:space="0" w:color="000000"/>
              <w:bottom w:val="single" w:sz="4" w:space="0" w:color="000000"/>
              <w:right w:val="single" w:sz="4" w:space="0" w:color="000000"/>
            </w:tcBorders>
            <w:shd w:val="clear" w:color="auto" w:fill="auto"/>
          </w:tcPr>
          <w:p w14:paraId="3F67BA03" w14:textId="77777777" w:rsidR="009A0954" w:rsidRPr="007F78CE" w:rsidRDefault="009A0954" w:rsidP="009A0954">
            <w:pPr>
              <w:contextualSpacing/>
              <w:jc w:val="center"/>
              <w:rPr>
                <w:rFonts w:cs="Calibri"/>
                <w:sz w:val="20"/>
                <w:szCs w:val="20"/>
              </w:rPr>
            </w:pPr>
            <w:r w:rsidRPr="007F78CE">
              <w:rPr>
                <w:rFonts w:cs="Calibri"/>
                <w:sz w:val="20"/>
                <w:szCs w:val="20"/>
              </w:rPr>
              <w:t>Social</w:t>
            </w:r>
          </w:p>
        </w:tc>
        <w:tc>
          <w:tcPr>
            <w:tcW w:w="2998" w:type="dxa"/>
            <w:tcBorders>
              <w:top w:val="single" w:sz="4" w:space="0" w:color="000000"/>
              <w:left w:val="single" w:sz="4" w:space="0" w:color="000000"/>
              <w:bottom w:val="single" w:sz="4" w:space="0" w:color="000000"/>
              <w:right w:val="single" w:sz="4" w:space="0" w:color="000000"/>
            </w:tcBorders>
            <w:shd w:val="clear" w:color="auto" w:fill="auto"/>
          </w:tcPr>
          <w:p w14:paraId="0957CF59" w14:textId="77777777" w:rsidR="009A0954" w:rsidRPr="007F78CE" w:rsidRDefault="009A0954" w:rsidP="009A0954">
            <w:pPr>
              <w:pStyle w:val="Default"/>
              <w:jc w:val="center"/>
              <w:rPr>
                <w:rFonts w:ascii="Calibri" w:hAnsi="Calibri" w:cs="Calibri"/>
                <w:b/>
                <w:sz w:val="20"/>
                <w:szCs w:val="20"/>
              </w:rPr>
            </w:pPr>
            <w:r w:rsidRPr="007F78CE">
              <w:rPr>
                <w:rFonts w:ascii="Calibri" w:hAnsi="Calibri" w:cs="Calibri"/>
                <w:bCs/>
                <w:sz w:val="20"/>
                <w:szCs w:val="20"/>
              </w:rPr>
              <w:t>Santé et sécurité au travail</w:t>
            </w:r>
          </w:p>
        </w:tc>
      </w:tr>
      <w:tr w:rsidR="009A0954" w:rsidRPr="007F78CE" w14:paraId="2C19C2CD" w14:textId="77777777" w:rsidTr="00F91FA3">
        <w:trPr>
          <w:gridAfter w:val="1"/>
          <w:wAfter w:w="24" w:type="dxa"/>
        </w:trPr>
        <w:tc>
          <w:tcPr>
            <w:tcW w:w="2997" w:type="dxa"/>
            <w:tcBorders>
              <w:top w:val="single" w:sz="4" w:space="0" w:color="000000"/>
              <w:left w:val="single" w:sz="4" w:space="0" w:color="000000"/>
              <w:bottom w:val="single" w:sz="4" w:space="0" w:color="000000"/>
              <w:right w:val="single" w:sz="4" w:space="0" w:color="000000"/>
            </w:tcBorders>
            <w:shd w:val="clear" w:color="auto" w:fill="auto"/>
          </w:tcPr>
          <w:p w14:paraId="6BC4427B"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Déversements d’hydrocarbures ou de produits chimiques à petite échelle </w:t>
            </w:r>
          </w:p>
        </w:tc>
        <w:tc>
          <w:tcPr>
            <w:tcW w:w="3348" w:type="dxa"/>
            <w:gridSpan w:val="2"/>
            <w:tcBorders>
              <w:top w:val="single" w:sz="4" w:space="0" w:color="000000"/>
              <w:left w:val="single" w:sz="4" w:space="0" w:color="000000"/>
              <w:bottom w:val="single" w:sz="4" w:space="0" w:color="000000"/>
              <w:right w:val="single" w:sz="4" w:space="0" w:color="000000"/>
            </w:tcBorders>
            <w:shd w:val="clear" w:color="auto" w:fill="auto"/>
          </w:tcPr>
          <w:p w14:paraId="63375C12"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Dommages aux cultures à petite échelle ou décès du bétail </w:t>
            </w:r>
          </w:p>
        </w:tc>
        <w:tc>
          <w:tcPr>
            <w:tcW w:w="2998" w:type="dxa"/>
            <w:tcBorders>
              <w:top w:val="single" w:sz="4" w:space="0" w:color="000000"/>
              <w:left w:val="single" w:sz="4" w:space="0" w:color="000000"/>
              <w:bottom w:val="single" w:sz="4" w:space="0" w:color="000000"/>
              <w:right w:val="single" w:sz="4" w:space="0" w:color="000000"/>
            </w:tcBorders>
            <w:shd w:val="clear" w:color="auto" w:fill="auto"/>
          </w:tcPr>
          <w:p w14:paraId="5DD41440"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Sous-utilisation chronique d’équipements de protection individuelle (EPI) par l’entreprise de travaux</w:t>
            </w:r>
          </w:p>
        </w:tc>
      </w:tr>
      <w:tr w:rsidR="009A0954" w:rsidRPr="007F78CE" w14:paraId="0C875C01" w14:textId="77777777" w:rsidTr="00F91FA3">
        <w:trPr>
          <w:gridAfter w:val="1"/>
          <w:wAfter w:w="24" w:type="dxa"/>
        </w:trPr>
        <w:tc>
          <w:tcPr>
            <w:tcW w:w="2997" w:type="dxa"/>
            <w:tcBorders>
              <w:top w:val="single" w:sz="4" w:space="0" w:color="000000"/>
              <w:left w:val="single" w:sz="4" w:space="0" w:color="000000"/>
              <w:bottom w:val="single" w:sz="4" w:space="0" w:color="000000"/>
              <w:right w:val="single" w:sz="4" w:space="0" w:color="000000"/>
            </w:tcBorders>
            <w:shd w:val="clear" w:color="auto" w:fill="auto"/>
          </w:tcPr>
          <w:p w14:paraId="73530D5C"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Poussière localisée, lumière ou pollution sonore </w:t>
            </w:r>
          </w:p>
        </w:tc>
        <w:tc>
          <w:tcPr>
            <w:tcW w:w="3348" w:type="dxa"/>
            <w:gridSpan w:val="2"/>
            <w:tcBorders>
              <w:top w:val="single" w:sz="4" w:space="0" w:color="000000"/>
              <w:left w:val="single" w:sz="4" w:space="0" w:color="000000"/>
              <w:bottom w:val="single" w:sz="4" w:space="0" w:color="000000"/>
              <w:right w:val="single" w:sz="4" w:space="0" w:color="000000"/>
            </w:tcBorders>
            <w:shd w:val="clear" w:color="auto" w:fill="auto"/>
          </w:tcPr>
          <w:p w14:paraId="543468EC"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Interférence du projet avec des événements et des sites d’importance locale </w:t>
            </w:r>
          </w:p>
        </w:tc>
        <w:tc>
          <w:tcPr>
            <w:tcW w:w="2998" w:type="dxa"/>
            <w:tcBorders>
              <w:top w:val="single" w:sz="4" w:space="0" w:color="000000"/>
              <w:left w:val="single" w:sz="4" w:space="0" w:color="000000"/>
              <w:bottom w:val="single" w:sz="4" w:space="0" w:color="000000"/>
              <w:right w:val="single" w:sz="4" w:space="0" w:color="000000"/>
            </w:tcBorders>
            <w:shd w:val="clear" w:color="auto" w:fill="auto"/>
          </w:tcPr>
          <w:p w14:paraId="79AA1227"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Augmentation locale de l’occurrence des maladies transmissibles</w:t>
            </w:r>
          </w:p>
        </w:tc>
      </w:tr>
      <w:tr w:rsidR="009A0954" w:rsidRPr="007F78CE" w14:paraId="0A00F54D" w14:textId="77777777" w:rsidTr="00F91FA3">
        <w:trPr>
          <w:gridAfter w:val="1"/>
          <w:wAfter w:w="24" w:type="dxa"/>
        </w:trPr>
        <w:tc>
          <w:tcPr>
            <w:tcW w:w="2997" w:type="dxa"/>
            <w:tcBorders>
              <w:top w:val="single" w:sz="4" w:space="0" w:color="000000"/>
              <w:left w:val="single" w:sz="4" w:space="0" w:color="000000"/>
              <w:bottom w:val="single" w:sz="4" w:space="0" w:color="000000"/>
              <w:right w:val="single" w:sz="4" w:space="0" w:color="000000"/>
            </w:tcBorders>
            <w:shd w:val="clear" w:color="auto" w:fill="auto"/>
          </w:tcPr>
          <w:p w14:paraId="3FE15354"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Chasse illégale de la faune sauvage non menacée </w:t>
            </w:r>
          </w:p>
        </w:tc>
        <w:tc>
          <w:tcPr>
            <w:tcW w:w="3348" w:type="dxa"/>
            <w:gridSpan w:val="2"/>
            <w:tcBorders>
              <w:top w:val="single" w:sz="4" w:space="0" w:color="000000"/>
              <w:left w:val="single" w:sz="4" w:space="0" w:color="000000"/>
              <w:bottom w:val="single" w:sz="4" w:space="0" w:color="000000"/>
              <w:right w:val="single" w:sz="4" w:space="0" w:color="000000"/>
            </w:tcBorders>
            <w:shd w:val="clear" w:color="auto" w:fill="auto"/>
          </w:tcPr>
          <w:p w14:paraId="42468380"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Dommages sur des routes publiques ou privées causés par les véhicules de l’entreprise de travaux</w:t>
            </w:r>
          </w:p>
        </w:tc>
        <w:tc>
          <w:tcPr>
            <w:tcW w:w="2998" w:type="dxa"/>
            <w:tcBorders>
              <w:top w:val="single" w:sz="4" w:space="0" w:color="000000"/>
              <w:left w:val="single" w:sz="4" w:space="0" w:color="000000"/>
              <w:bottom w:val="single" w:sz="4" w:space="0" w:color="000000"/>
              <w:right w:val="single" w:sz="4" w:space="0" w:color="000000"/>
            </w:tcBorders>
            <w:shd w:val="clear" w:color="auto" w:fill="auto"/>
          </w:tcPr>
          <w:p w14:paraId="262F9201"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Nombreuses blessures mineures, mais récurrentes sur le chantier </w:t>
            </w:r>
          </w:p>
        </w:tc>
      </w:tr>
      <w:tr w:rsidR="009A0954" w:rsidRPr="007F78CE" w14:paraId="3D7DD734" w14:textId="77777777" w:rsidTr="00F91FA3">
        <w:trPr>
          <w:gridAfter w:val="1"/>
          <w:wAfter w:w="24" w:type="dxa"/>
        </w:trPr>
        <w:tc>
          <w:tcPr>
            <w:tcW w:w="2997" w:type="dxa"/>
            <w:tcBorders>
              <w:top w:val="single" w:sz="4" w:space="0" w:color="000000"/>
              <w:left w:val="single" w:sz="4" w:space="0" w:color="000000"/>
              <w:bottom w:val="single" w:sz="4" w:space="0" w:color="000000"/>
              <w:right w:val="single" w:sz="4" w:space="0" w:color="000000"/>
            </w:tcBorders>
            <w:shd w:val="clear" w:color="auto" w:fill="auto"/>
          </w:tcPr>
          <w:p w14:paraId="61CF42A5"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Petits volumes de sédiments, pesticides ou engrais dans les cours d’eau locaux </w:t>
            </w:r>
          </w:p>
        </w:tc>
        <w:tc>
          <w:tcPr>
            <w:tcW w:w="3348" w:type="dxa"/>
            <w:gridSpan w:val="2"/>
            <w:tcBorders>
              <w:top w:val="single" w:sz="4" w:space="0" w:color="000000"/>
              <w:left w:val="single" w:sz="4" w:space="0" w:color="000000"/>
              <w:bottom w:val="single" w:sz="4" w:space="0" w:color="000000"/>
              <w:right w:val="single" w:sz="4" w:space="0" w:color="000000"/>
            </w:tcBorders>
            <w:shd w:val="clear" w:color="auto" w:fill="auto"/>
          </w:tcPr>
          <w:p w14:paraId="673C8C34"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Différends entre les employés et la communauté</w:t>
            </w:r>
          </w:p>
        </w:tc>
        <w:tc>
          <w:tcPr>
            <w:tcW w:w="2998" w:type="dxa"/>
            <w:tcBorders>
              <w:top w:val="single" w:sz="4" w:space="0" w:color="000000"/>
              <w:left w:val="single" w:sz="4" w:space="0" w:color="000000"/>
              <w:bottom w:val="single" w:sz="4" w:space="0" w:color="000000"/>
              <w:right w:val="single" w:sz="4" w:space="0" w:color="000000"/>
            </w:tcBorders>
            <w:shd w:val="clear" w:color="auto" w:fill="auto"/>
          </w:tcPr>
          <w:p w14:paraId="18DBA60C"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Mauvais « entretien ménager » sur place, p. ex., litière et élimination aléatoire des déchets solides </w:t>
            </w:r>
          </w:p>
        </w:tc>
      </w:tr>
      <w:tr w:rsidR="009A0954" w:rsidRPr="007F78CE" w14:paraId="64239D88" w14:textId="77777777" w:rsidTr="00F91FA3">
        <w:trPr>
          <w:gridAfter w:val="1"/>
          <w:wAfter w:w="24" w:type="dxa"/>
        </w:trPr>
        <w:tc>
          <w:tcPr>
            <w:tcW w:w="2997" w:type="dxa"/>
            <w:tcBorders>
              <w:top w:val="single" w:sz="4" w:space="0" w:color="000000"/>
              <w:left w:val="single" w:sz="4" w:space="0" w:color="000000"/>
              <w:bottom w:val="single" w:sz="4" w:space="0" w:color="000000"/>
              <w:right w:val="single" w:sz="4" w:space="0" w:color="000000"/>
            </w:tcBorders>
            <w:shd w:val="clear" w:color="auto" w:fill="auto"/>
          </w:tcPr>
          <w:p w14:paraId="1FB5AC40"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Élimination de déchets solides de faibles volumes hors du site du projet </w:t>
            </w:r>
          </w:p>
        </w:tc>
        <w:tc>
          <w:tcPr>
            <w:tcW w:w="3348" w:type="dxa"/>
            <w:gridSpan w:val="2"/>
            <w:tcBorders>
              <w:top w:val="single" w:sz="4" w:space="0" w:color="000000"/>
              <w:left w:val="single" w:sz="4" w:space="0" w:color="000000"/>
              <w:bottom w:val="single" w:sz="4" w:space="0" w:color="000000"/>
              <w:right w:val="single" w:sz="4" w:space="0" w:color="000000"/>
            </w:tcBorders>
            <w:shd w:val="clear" w:color="auto" w:fill="auto"/>
          </w:tcPr>
          <w:p w14:paraId="179DDC3C"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Cas mineurs de comportement inapproprié des membres du personnel de l’entreprise </w:t>
            </w:r>
          </w:p>
        </w:tc>
        <w:tc>
          <w:tcPr>
            <w:tcW w:w="2998" w:type="dxa"/>
            <w:tcBorders>
              <w:top w:val="single" w:sz="4" w:space="0" w:color="000000"/>
              <w:left w:val="single" w:sz="4" w:space="0" w:color="000000"/>
              <w:bottom w:val="single" w:sz="4" w:space="0" w:color="000000"/>
              <w:right w:val="single" w:sz="4" w:space="0" w:color="000000"/>
            </w:tcBorders>
            <w:shd w:val="clear" w:color="auto" w:fill="auto"/>
          </w:tcPr>
          <w:p w14:paraId="1E169A21"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Absence d’avertissement compréhensible ou de signalisation de contrôle de la circulation </w:t>
            </w:r>
          </w:p>
        </w:tc>
      </w:tr>
      <w:tr w:rsidR="009A0954" w:rsidRPr="007F78CE" w14:paraId="4E9164B6" w14:textId="77777777" w:rsidTr="00F91FA3">
        <w:trPr>
          <w:gridAfter w:val="1"/>
          <w:wAfter w:w="24" w:type="dxa"/>
        </w:trPr>
        <w:tc>
          <w:tcPr>
            <w:tcW w:w="2997" w:type="dxa"/>
            <w:tcBorders>
              <w:top w:val="single" w:sz="4" w:space="0" w:color="000000"/>
              <w:left w:val="single" w:sz="4" w:space="0" w:color="000000"/>
              <w:bottom w:val="single" w:sz="4" w:space="0" w:color="000000"/>
              <w:right w:val="single" w:sz="4" w:space="0" w:color="000000"/>
            </w:tcBorders>
            <w:shd w:val="clear" w:color="auto" w:fill="auto"/>
          </w:tcPr>
          <w:p w14:paraId="455F576D"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Mauvaise qualité ou retard dans la restauration et de la revégétalisation du site </w:t>
            </w:r>
          </w:p>
        </w:tc>
        <w:tc>
          <w:tcPr>
            <w:tcW w:w="3348" w:type="dxa"/>
            <w:gridSpan w:val="2"/>
            <w:tcBorders>
              <w:top w:val="single" w:sz="4" w:space="0" w:color="000000"/>
              <w:left w:val="single" w:sz="4" w:space="0" w:color="000000"/>
              <w:bottom w:val="single" w:sz="4" w:space="0" w:color="000000"/>
              <w:right w:val="single" w:sz="4" w:space="0" w:color="000000"/>
            </w:tcBorders>
            <w:shd w:val="clear" w:color="auto" w:fill="auto"/>
          </w:tcPr>
          <w:tbl>
            <w:tblPr>
              <w:tblW w:w="2805" w:type="dxa"/>
              <w:tblLook w:val="0000" w:firstRow="0" w:lastRow="0" w:firstColumn="0" w:lastColumn="0" w:noHBand="0" w:noVBand="0"/>
            </w:tblPr>
            <w:tblGrid>
              <w:gridCol w:w="2805"/>
            </w:tblGrid>
            <w:tr w:rsidR="009A0954" w:rsidRPr="007F78CE" w14:paraId="0F6E895A" w14:textId="77777777" w:rsidTr="009A0954">
              <w:trPr>
                <w:trHeight w:val="490"/>
              </w:trPr>
              <w:tc>
                <w:tcPr>
                  <w:tcW w:w="2805" w:type="dxa"/>
                </w:tcPr>
                <w:p w14:paraId="75A9D573"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Impacts mineurs sur la restauration des moyens de subsistance et/ou l’accès aux ressources naturelles communautaires </w:t>
                  </w:r>
                </w:p>
              </w:tc>
            </w:tr>
            <w:tr w:rsidR="009A0954" w:rsidRPr="007F78CE" w14:paraId="47CA9D77" w14:textId="77777777" w:rsidTr="009A0954">
              <w:trPr>
                <w:trHeight w:val="225"/>
              </w:trPr>
              <w:tc>
                <w:tcPr>
                  <w:tcW w:w="2805" w:type="dxa"/>
                </w:tcPr>
                <w:p w14:paraId="1E97FCD1"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Impacts mineurs sur les sites / zones culturelles </w:t>
                  </w:r>
                </w:p>
              </w:tc>
            </w:tr>
            <w:tr w:rsidR="009A0954" w:rsidRPr="007F78CE" w14:paraId="1A5B5A25" w14:textId="77777777" w:rsidTr="009A0954">
              <w:trPr>
                <w:trHeight w:val="225"/>
              </w:trPr>
              <w:tc>
                <w:tcPr>
                  <w:tcW w:w="2805" w:type="dxa"/>
                </w:tcPr>
                <w:p w14:paraId="4307B945"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Conflit social mineur lié au projet </w:t>
                  </w:r>
                </w:p>
              </w:tc>
            </w:tr>
            <w:tr w:rsidR="009A0954" w:rsidRPr="007F78CE" w14:paraId="70BCE731" w14:textId="77777777" w:rsidTr="009A0954">
              <w:trPr>
                <w:trHeight w:val="357"/>
              </w:trPr>
              <w:tc>
                <w:tcPr>
                  <w:tcW w:w="2805" w:type="dxa"/>
                </w:tcPr>
                <w:p w14:paraId="3D9DFB42"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Quelques problèmes de consultation/sensibilisation au sujet du projet </w:t>
                  </w:r>
                </w:p>
              </w:tc>
            </w:tr>
            <w:tr w:rsidR="009A0954" w:rsidRPr="007F78CE" w14:paraId="4B4EC43F" w14:textId="77777777" w:rsidTr="009A0954">
              <w:trPr>
                <w:trHeight w:val="357"/>
              </w:trPr>
              <w:tc>
                <w:tcPr>
                  <w:tcW w:w="2805" w:type="dxa"/>
                </w:tcPr>
                <w:p w14:paraId="19FE494D"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Retards dans le traitement ou la résolution de griefs mineurs </w:t>
                  </w:r>
                </w:p>
              </w:tc>
            </w:tr>
          </w:tbl>
          <w:p w14:paraId="27CB8459" w14:textId="77777777" w:rsidR="009A0954" w:rsidRPr="007F78CE" w:rsidRDefault="009A0954" w:rsidP="009A0954">
            <w:pPr>
              <w:pStyle w:val="Default"/>
              <w:rPr>
                <w:rFonts w:ascii="Calibri" w:hAnsi="Calibri" w:cs="Calibri"/>
                <w:b/>
                <w:sz w:val="20"/>
                <w:szCs w:val="20"/>
              </w:rPr>
            </w:pPr>
          </w:p>
        </w:tc>
        <w:tc>
          <w:tcPr>
            <w:tcW w:w="2998" w:type="dxa"/>
            <w:tcBorders>
              <w:top w:val="single" w:sz="4" w:space="0" w:color="000000"/>
              <w:left w:val="single" w:sz="4" w:space="0" w:color="000000"/>
              <w:bottom w:val="single" w:sz="4" w:space="0" w:color="000000"/>
              <w:right w:val="single" w:sz="4" w:space="0" w:color="000000"/>
            </w:tcBorders>
            <w:shd w:val="clear" w:color="auto" w:fill="auto"/>
          </w:tcPr>
          <w:p w14:paraId="45A10D8B"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Trousse de premiers soins presque vide sur le chantier </w:t>
            </w:r>
          </w:p>
        </w:tc>
      </w:tr>
      <w:tr w:rsidR="009A0954" w:rsidRPr="007F78CE" w14:paraId="035FD3FF" w14:textId="77777777" w:rsidTr="00F91FA3">
        <w:trPr>
          <w:gridAfter w:val="1"/>
          <w:wAfter w:w="24" w:type="dxa"/>
        </w:trPr>
        <w:tc>
          <w:tcPr>
            <w:tcW w:w="2997" w:type="dxa"/>
            <w:tcBorders>
              <w:top w:val="single" w:sz="4" w:space="0" w:color="000000"/>
              <w:left w:val="single" w:sz="4" w:space="0" w:color="000000"/>
              <w:bottom w:val="single" w:sz="4" w:space="0" w:color="000000"/>
              <w:right w:val="single" w:sz="4" w:space="0" w:color="000000"/>
            </w:tcBorders>
            <w:shd w:val="clear" w:color="auto" w:fill="auto"/>
          </w:tcPr>
          <w:p w14:paraId="3AD18471" w14:textId="77777777" w:rsidR="009A0954" w:rsidRPr="007F78CE" w:rsidRDefault="009A0954" w:rsidP="009A0954">
            <w:pPr>
              <w:contextualSpacing/>
              <w:rPr>
                <w:rFonts w:cs="Calibri"/>
                <w:sz w:val="20"/>
                <w:szCs w:val="20"/>
              </w:rPr>
            </w:pPr>
          </w:p>
        </w:tc>
        <w:tc>
          <w:tcPr>
            <w:tcW w:w="3348" w:type="dxa"/>
            <w:gridSpan w:val="2"/>
            <w:tcBorders>
              <w:top w:val="single" w:sz="4" w:space="0" w:color="000000"/>
              <w:left w:val="single" w:sz="4" w:space="0" w:color="000000"/>
              <w:bottom w:val="single" w:sz="4" w:space="0" w:color="000000"/>
              <w:right w:val="single" w:sz="4" w:space="0" w:color="000000"/>
            </w:tcBorders>
            <w:shd w:val="clear" w:color="auto" w:fill="auto"/>
          </w:tcPr>
          <w:p w14:paraId="12D2B33A" w14:textId="77777777" w:rsidR="009A0954" w:rsidRPr="007F78CE" w:rsidRDefault="009A0954" w:rsidP="009A0954">
            <w:pPr>
              <w:contextualSpacing/>
              <w:rPr>
                <w:rFonts w:cs="Calibri"/>
                <w:sz w:val="20"/>
                <w:szCs w:val="20"/>
              </w:rPr>
            </w:pPr>
          </w:p>
        </w:tc>
        <w:tc>
          <w:tcPr>
            <w:tcW w:w="2998" w:type="dxa"/>
            <w:tcBorders>
              <w:top w:val="single" w:sz="4" w:space="0" w:color="000000"/>
              <w:left w:val="single" w:sz="4" w:space="0" w:color="000000"/>
              <w:bottom w:val="single" w:sz="4" w:space="0" w:color="000000"/>
              <w:right w:val="single" w:sz="4" w:space="0" w:color="000000"/>
            </w:tcBorders>
            <w:shd w:val="clear" w:color="auto" w:fill="auto"/>
          </w:tcPr>
          <w:p w14:paraId="3832792F"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Induction et formation mal organisées ou sporadiques en matière de santé et de sécurité </w:t>
            </w:r>
          </w:p>
        </w:tc>
      </w:tr>
      <w:tr w:rsidR="009A0954" w:rsidRPr="007F78CE" w14:paraId="5FD3BA3D" w14:textId="77777777" w:rsidTr="00F91FA3">
        <w:tc>
          <w:tcPr>
            <w:tcW w:w="9367" w:type="dxa"/>
            <w:gridSpan w:val="5"/>
            <w:tcBorders>
              <w:top w:val="single" w:sz="4" w:space="0" w:color="000000"/>
              <w:left w:val="single" w:sz="4" w:space="0" w:color="000000"/>
              <w:bottom w:val="single" w:sz="4" w:space="0" w:color="000000"/>
              <w:right w:val="single" w:sz="4" w:space="0" w:color="000000"/>
            </w:tcBorders>
            <w:shd w:val="clear" w:color="auto" w:fill="FFFF00"/>
          </w:tcPr>
          <w:p w14:paraId="0E54A1E6" w14:textId="77777777" w:rsidR="009A0954" w:rsidRPr="007F78CE" w:rsidRDefault="009A0954" w:rsidP="009A0954">
            <w:pPr>
              <w:pStyle w:val="Default"/>
              <w:jc w:val="center"/>
              <w:rPr>
                <w:rFonts w:ascii="Calibri" w:hAnsi="Calibri" w:cs="Calibri"/>
                <w:b/>
                <w:sz w:val="20"/>
                <w:szCs w:val="20"/>
              </w:rPr>
            </w:pPr>
            <w:r w:rsidRPr="007F78CE">
              <w:rPr>
                <w:rFonts w:ascii="Calibri" w:hAnsi="Calibri" w:cs="Calibri"/>
                <w:bCs/>
                <w:sz w:val="20"/>
                <w:szCs w:val="20"/>
              </w:rPr>
              <w:t>Box 2 - Exemples d’événements ou de conditions majeurs (ceux-ci ne sont pas nécessairement interdépendants)</w:t>
            </w:r>
          </w:p>
        </w:tc>
      </w:tr>
      <w:tr w:rsidR="009A0954" w:rsidRPr="007F78CE" w14:paraId="146823E6" w14:textId="77777777" w:rsidTr="00F91FA3">
        <w:tc>
          <w:tcPr>
            <w:tcW w:w="3020" w:type="dxa"/>
            <w:gridSpan w:val="2"/>
            <w:tcBorders>
              <w:top w:val="single" w:sz="4" w:space="0" w:color="000000"/>
              <w:left w:val="single" w:sz="4" w:space="0" w:color="000000"/>
              <w:bottom w:val="single" w:sz="4" w:space="0" w:color="000000"/>
              <w:right w:val="single" w:sz="4" w:space="0" w:color="000000"/>
            </w:tcBorders>
            <w:shd w:val="clear" w:color="auto" w:fill="auto"/>
          </w:tcPr>
          <w:p w14:paraId="589C8D27" w14:textId="77777777" w:rsidR="009A0954" w:rsidRPr="007F78CE" w:rsidRDefault="009A0954" w:rsidP="009A0954">
            <w:pPr>
              <w:contextualSpacing/>
              <w:jc w:val="center"/>
              <w:rPr>
                <w:rFonts w:cs="Calibri"/>
                <w:sz w:val="20"/>
                <w:szCs w:val="20"/>
              </w:rPr>
            </w:pPr>
            <w:r w:rsidRPr="007F78CE">
              <w:rPr>
                <w:rFonts w:cs="Calibri"/>
                <w:sz w:val="20"/>
                <w:szCs w:val="20"/>
              </w:rPr>
              <w:t>Environnement</w:t>
            </w:r>
          </w:p>
        </w:tc>
        <w:tc>
          <w:tcPr>
            <w:tcW w:w="3325" w:type="dxa"/>
            <w:tcBorders>
              <w:top w:val="single" w:sz="4" w:space="0" w:color="000000"/>
              <w:left w:val="single" w:sz="4" w:space="0" w:color="000000"/>
              <w:bottom w:val="single" w:sz="4" w:space="0" w:color="000000"/>
              <w:right w:val="single" w:sz="4" w:space="0" w:color="000000"/>
            </w:tcBorders>
            <w:shd w:val="clear" w:color="auto" w:fill="auto"/>
          </w:tcPr>
          <w:p w14:paraId="08DFE697" w14:textId="77777777" w:rsidR="009A0954" w:rsidRPr="007F78CE" w:rsidRDefault="009A0954" w:rsidP="009A0954">
            <w:pPr>
              <w:contextualSpacing/>
              <w:jc w:val="center"/>
              <w:rPr>
                <w:rFonts w:cs="Calibri"/>
                <w:sz w:val="20"/>
                <w:szCs w:val="20"/>
              </w:rPr>
            </w:pPr>
            <w:r w:rsidRPr="007F78CE">
              <w:rPr>
                <w:rFonts w:cs="Calibri"/>
                <w:sz w:val="20"/>
                <w:szCs w:val="20"/>
              </w:rPr>
              <w:t>Social</w:t>
            </w:r>
          </w:p>
        </w:tc>
        <w:tc>
          <w:tcPr>
            <w:tcW w:w="3021" w:type="dxa"/>
            <w:gridSpan w:val="2"/>
            <w:tcBorders>
              <w:top w:val="single" w:sz="4" w:space="0" w:color="000000"/>
              <w:left w:val="single" w:sz="4" w:space="0" w:color="000000"/>
              <w:bottom w:val="single" w:sz="4" w:space="0" w:color="000000"/>
              <w:right w:val="single" w:sz="4" w:space="0" w:color="000000"/>
            </w:tcBorders>
            <w:shd w:val="clear" w:color="auto" w:fill="auto"/>
          </w:tcPr>
          <w:p w14:paraId="109DE508" w14:textId="77777777" w:rsidR="009A0954" w:rsidRPr="007F78CE" w:rsidRDefault="009A0954" w:rsidP="009A0954">
            <w:pPr>
              <w:pStyle w:val="Default"/>
              <w:jc w:val="center"/>
              <w:rPr>
                <w:rFonts w:ascii="Calibri" w:hAnsi="Calibri" w:cs="Calibri"/>
                <w:b/>
                <w:sz w:val="20"/>
                <w:szCs w:val="20"/>
              </w:rPr>
            </w:pPr>
            <w:r w:rsidRPr="007F78CE">
              <w:rPr>
                <w:rFonts w:ascii="Calibri" w:hAnsi="Calibri" w:cs="Calibri"/>
                <w:bCs/>
                <w:sz w:val="20"/>
                <w:szCs w:val="20"/>
              </w:rPr>
              <w:t>Santé et sécurité au travail</w:t>
            </w:r>
          </w:p>
        </w:tc>
      </w:tr>
      <w:tr w:rsidR="009A0954" w:rsidRPr="007F78CE" w14:paraId="4AE45254" w14:textId="77777777" w:rsidTr="00F91FA3">
        <w:tc>
          <w:tcPr>
            <w:tcW w:w="3020" w:type="dxa"/>
            <w:gridSpan w:val="2"/>
            <w:tcBorders>
              <w:top w:val="single" w:sz="4" w:space="0" w:color="000000"/>
              <w:left w:val="single" w:sz="4" w:space="0" w:color="000000"/>
              <w:bottom w:val="single" w:sz="4" w:space="0" w:color="000000"/>
              <w:right w:val="single" w:sz="4" w:space="0" w:color="000000"/>
            </w:tcBorders>
            <w:shd w:val="clear" w:color="auto" w:fill="auto"/>
          </w:tcPr>
          <w:p w14:paraId="7A35E6AC"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Déversements d’un grand volume d’hydrocarbures ou de produits chimiques </w:t>
            </w:r>
          </w:p>
        </w:tc>
        <w:tc>
          <w:tcPr>
            <w:tcW w:w="3325" w:type="dxa"/>
            <w:tcBorders>
              <w:top w:val="single" w:sz="4" w:space="0" w:color="000000"/>
              <w:left w:val="single" w:sz="4" w:space="0" w:color="000000"/>
              <w:bottom w:val="single" w:sz="4" w:space="0" w:color="000000"/>
              <w:right w:val="single" w:sz="4" w:space="0" w:color="000000"/>
            </w:tcBorders>
            <w:shd w:val="clear" w:color="auto" w:fill="auto"/>
          </w:tcPr>
          <w:p w14:paraId="00DF5690"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Dommages aux cultures généralisées ou décès du bétail </w:t>
            </w:r>
          </w:p>
        </w:tc>
        <w:tc>
          <w:tcPr>
            <w:tcW w:w="3021" w:type="dxa"/>
            <w:gridSpan w:val="2"/>
            <w:tcBorders>
              <w:top w:val="single" w:sz="4" w:space="0" w:color="000000"/>
              <w:left w:val="single" w:sz="4" w:space="0" w:color="000000"/>
              <w:bottom w:val="single" w:sz="4" w:space="0" w:color="000000"/>
              <w:right w:val="single" w:sz="4" w:space="0" w:color="000000"/>
            </w:tcBorders>
            <w:shd w:val="clear" w:color="auto" w:fill="auto"/>
          </w:tcPr>
          <w:p w14:paraId="13089261"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Nombreuses blessures nécessitant des soins médicaux hors site </w:t>
            </w:r>
          </w:p>
        </w:tc>
      </w:tr>
      <w:tr w:rsidR="009A0954" w:rsidRPr="007F78CE" w14:paraId="6C4D5D5D" w14:textId="77777777" w:rsidTr="00F91FA3">
        <w:tc>
          <w:tcPr>
            <w:tcW w:w="3020" w:type="dxa"/>
            <w:gridSpan w:val="2"/>
            <w:tcBorders>
              <w:top w:val="single" w:sz="4" w:space="0" w:color="000000"/>
              <w:left w:val="single" w:sz="4" w:space="0" w:color="000000"/>
              <w:bottom w:val="single" w:sz="4" w:space="0" w:color="000000"/>
              <w:right w:val="single" w:sz="4" w:space="0" w:color="000000"/>
            </w:tcBorders>
            <w:shd w:val="clear" w:color="auto" w:fill="auto"/>
          </w:tcPr>
          <w:p w14:paraId="3437439C"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Braconnage d’espèces menacées ou en voie de disparition, ou surexploitation systématique des ressources locales </w:t>
            </w:r>
          </w:p>
        </w:tc>
        <w:tc>
          <w:tcPr>
            <w:tcW w:w="3325" w:type="dxa"/>
            <w:tcBorders>
              <w:top w:val="single" w:sz="4" w:space="0" w:color="000000"/>
              <w:left w:val="single" w:sz="4" w:space="0" w:color="000000"/>
              <w:bottom w:val="single" w:sz="4" w:space="0" w:color="000000"/>
              <w:right w:val="single" w:sz="4" w:space="0" w:color="000000"/>
            </w:tcBorders>
            <w:shd w:val="clear" w:color="auto" w:fill="auto"/>
          </w:tcPr>
          <w:p w14:paraId="472986CC"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Cas aléatoires de mauvais traitements infligés aux communautés par des agents du Projet. </w:t>
            </w:r>
          </w:p>
        </w:tc>
        <w:tc>
          <w:tcPr>
            <w:tcW w:w="3021" w:type="dxa"/>
            <w:gridSpan w:val="2"/>
            <w:tcBorders>
              <w:top w:val="single" w:sz="4" w:space="0" w:color="000000"/>
              <w:left w:val="single" w:sz="4" w:space="0" w:color="000000"/>
              <w:bottom w:val="single" w:sz="4" w:space="0" w:color="000000"/>
              <w:right w:val="single" w:sz="4" w:space="0" w:color="000000"/>
            </w:tcBorders>
            <w:shd w:val="clear" w:color="auto" w:fill="auto"/>
          </w:tcPr>
          <w:p w14:paraId="1F2512C2"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Cas de maladies transmissibles graves chez la main-d’œuvre</w:t>
            </w:r>
          </w:p>
        </w:tc>
      </w:tr>
      <w:tr w:rsidR="009A0954" w:rsidRPr="007F78CE" w14:paraId="0FDDA1CA" w14:textId="77777777" w:rsidTr="00F91FA3">
        <w:tc>
          <w:tcPr>
            <w:tcW w:w="3020" w:type="dxa"/>
            <w:gridSpan w:val="2"/>
            <w:tcBorders>
              <w:top w:val="single" w:sz="4" w:space="0" w:color="000000"/>
              <w:left w:val="single" w:sz="4" w:space="0" w:color="000000"/>
              <w:bottom w:val="single" w:sz="4" w:space="0" w:color="000000"/>
              <w:right w:val="single" w:sz="4" w:space="0" w:color="000000"/>
            </w:tcBorders>
            <w:shd w:val="clear" w:color="auto" w:fill="auto"/>
          </w:tcPr>
          <w:p w14:paraId="6F039E29"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Le ruissellement des sédiments, des pesticides ou des herbicides à gros volume ou à long terme dans les cours d’eau </w:t>
            </w:r>
          </w:p>
        </w:tc>
        <w:tc>
          <w:tcPr>
            <w:tcW w:w="3325" w:type="dxa"/>
            <w:tcBorders>
              <w:top w:val="single" w:sz="4" w:space="0" w:color="000000"/>
              <w:left w:val="single" w:sz="4" w:space="0" w:color="000000"/>
              <w:bottom w:val="single" w:sz="4" w:space="0" w:color="000000"/>
              <w:right w:val="single" w:sz="4" w:space="0" w:color="000000"/>
            </w:tcBorders>
            <w:shd w:val="clear" w:color="auto" w:fill="auto"/>
          </w:tcPr>
          <w:p w14:paraId="78D781F4"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Impacts importants sur les ressources culturelles physiques protégées </w:t>
            </w:r>
          </w:p>
        </w:tc>
        <w:tc>
          <w:tcPr>
            <w:tcW w:w="3021" w:type="dxa"/>
            <w:gridSpan w:val="2"/>
            <w:tcBorders>
              <w:top w:val="single" w:sz="4" w:space="0" w:color="000000"/>
              <w:left w:val="single" w:sz="4" w:space="0" w:color="000000"/>
              <w:bottom w:val="single" w:sz="4" w:space="0" w:color="000000"/>
              <w:right w:val="single" w:sz="4" w:space="0" w:color="000000"/>
            </w:tcBorders>
            <w:shd w:val="clear" w:color="auto" w:fill="auto"/>
          </w:tcPr>
          <w:p w14:paraId="7EA15F9A"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Plusieurs dangers de « dérapages et de chutes » dans tout le site </w:t>
            </w:r>
          </w:p>
        </w:tc>
      </w:tr>
      <w:tr w:rsidR="009A0954" w:rsidRPr="007F78CE" w14:paraId="7450C552" w14:textId="77777777" w:rsidTr="00F91FA3">
        <w:tc>
          <w:tcPr>
            <w:tcW w:w="3020" w:type="dxa"/>
            <w:gridSpan w:val="2"/>
            <w:tcBorders>
              <w:top w:val="single" w:sz="4" w:space="0" w:color="000000"/>
              <w:left w:val="single" w:sz="4" w:space="0" w:color="000000"/>
              <w:bottom w:val="single" w:sz="4" w:space="0" w:color="000000"/>
              <w:right w:val="single" w:sz="4" w:space="0" w:color="000000"/>
            </w:tcBorders>
            <w:shd w:val="clear" w:color="auto" w:fill="auto"/>
          </w:tcPr>
          <w:p w14:paraId="44948C30"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Déforestation moyenne à grande échelle </w:t>
            </w:r>
          </w:p>
        </w:tc>
        <w:tc>
          <w:tcPr>
            <w:tcW w:w="3325" w:type="dxa"/>
            <w:tcBorders>
              <w:top w:val="single" w:sz="4" w:space="0" w:color="000000"/>
              <w:left w:val="single" w:sz="4" w:space="0" w:color="000000"/>
              <w:bottom w:val="single" w:sz="4" w:space="0" w:color="000000"/>
              <w:right w:val="single" w:sz="4" w:space="0" w:color="000000"/>
            </w:tcBorders>
            <w:shd w:val="clear" w:color="auto" w:fill="auto"/>
          </w:tcPr>
          <w:p w14:paraId="11D2E40F"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Incidence importante d’une indemnisation inadéquate de la réinstallation ; les travaux ont commencé sans compensation et la réinstallation en cours d’achèvement ; et parfois des expulsions d’occupants informels sans aide </w:t>
            </w:r>
          </w:p>
        </w:tc>
        <w:tc>
          <w:tcPr>
            <w:tcW w:w="3021" w:type="dxa"/>
            <w:gridSpan w:val="2"/>
            <w:tcBorders>
              <w:top w:val="single" w:sz="4" w:space="0" w:color="000000"/>
              <w:left w:val="single" w:sz="4" w:space="0" w:color="000000"/>
              <w:bottom w:val="single" w:sz="4" w:space="0" w:color="000000"/>
              <w:right w:val="single" w:sz="4" w:space="0" w:color="000000"/>
            </w:tcBorders>
            <w:shd w:val="clear" w:color="auto" w:fill="auto"/>
          </w:tcPr>
          <w:p w14:paraId="6283C606"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Manque constant de plans de santé et de sécurité et de formation sur le lieu de travail </w:t>
            </w:r>
          </w:p>
        </w:tc>
      </w:tr>
      <w:tr w:rsidR="009A0954" w:rsidRPr="007F78CE" w14:paraId="4302716E" w14:textId="77777777" w:rsidTr="00F91FA3">
        <w:tc>
          <w:tcPr>
            <w:tcW w:w="3020" w:type="dxa"/>
            <w:gridSpan w:val="2"/>
            <w:tcBorders>
              <w:top w:val="single" w:sz="4" w:space="0" w:color="000000"/>
              <w:left w:val="single" w:sz="4" w:space="0" w:color="000000"/>
              <w:bottom w:val="single" w:sz="4" w:space="0" w:color="000000"/>
              <w:right w:val="single" w:sz="4" w:space="0" w:color="000000"/>
            </w:tcBorders>
            <w:shd w:val="clear" w:color="auto" w:fill="auto"/>
          </w:tcPr>
          <w:p w14:paraId="59AEBF44"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Absence de mise en œuvre du programme de restauration de l’environnement convenu </w:t>
            </w:r>
          </w:p>
        </w:tc>
        <w:tc>
          <w:tcPr>
            <w:tcW w:w="3325" w:type="dxa"/>
            <w:tcBorders>
              <w:top w:val="single" w:sz="4" w:space="0" w:color="000000"/>
              <w:left w:val="single" w:sz="4" w:space="0" w:color="000000"/>
              <w:bottom w:val="single" w:sz="4" w:space="0" w:color="000000"/>
              <w:right w:val="single" w:sz="4" w:space="0" w:color="000000"/>
            </w:tcBorders>
            <w:shd w:val="clear" w:color="auto" w:fill="auto"/>
          </w:tcPr>
          <w:p w14:paraId="1FEC83E0"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Impacts communautaires importants et répétés des véhicules de projet et des activités de construction</w:t>
            </w:r>
          </w:p>
        </w:tc>
        <w:tc>
          <w:tcPr>
            <w:tcW w:w="3021" w:type="dxa"/>
            <w:gridSpan w:val="2"/>
            <w:tcBorders>
              <w:top w:val="single" w:sz="4" w:space="0" w:color="000000"/>
              <w:left w:val="single" w:sz="4" w:space="0" w:color="000000"/>
              <w:bottom w:val="single" w:sz="4" w:space="0" w:color="000000"/>
              <w:right w:val="single" w:sz="4" w:space="0" w:color="000000"/>
            </w:tcBorders>
            <w:shd w:val="clear" w:color="auto" w:fill="auto"/>
          </w:tcPr>
          <w:p w14:paraId="4F8BD8A1" w14:textId="77777777" w:rsidR="009A0954" w:rsidRPr="007F78CE" w:rsidRDefault="009A0954" w:rsidP="009A0954">
            <w:pPr>
              <w:pStyle w:val="Default"/>
              <w:rPr>
                <w:rFonts w:ascii="Calibri" w:hAnsi="Calibri" w:cs="Calibri"/>
                <w:b/>
                <w:sz w:val="20"/>
                <w:szCs w:val="20"/>
              </w:rPr>
            </w:pPr>
          </w:p>
        </w:tc>
      </w:tr>
      <w:tr w:rsidR="009A0954" w:rsidRPr="007F78CE" w14:paraId="564958D9" w14:textId="77777777" w:rsidTr="00F91FA3">
        <w:tc>
          <w:tcPr>
            <w:tcW w:w="3020" w:type="dxa"/>
            <w:gridSpan w:val="2"/>
            <w:tcBorders>
              <w:top w:val="single" w:sz="4" w:space="0" w:color="000000"/>
              <w:left w:val="single" w:sz="4" w:space="0" w:color="000000"/>
              <w:bottom w:val="single" w:sz="4" w:space="0" w:color="000000"/>
              <w:right w:val="single" w:sz="4" w:space="0" w:color="000000"/>
            </w:tcBorders>
            <w:shd w:val="clear" w:color="auto" w:fill="auto"/>
          </w:tcPr>
          <w:p w14:paraId="4FC653BD" w14:textId="77777777" w:rsidR="009A0954" w:rsidRPr="007F78CE" w:rsidRDefault="009A0954" w:rsidP="009A0954">
            <w:pPr>
              <w:contextualSpacing/>
              <w:rPr>
                <w:rFonts w:cs="Calibri"/>
                <w:sz w:val="20"/>
                <w:szCs w:val="20"/>
              </w:rPr>
            </w:pPr>
          </w:p>
        </w:tc>
        <w:tc>
          <w:tcPr>
            <w:tcW w:w="3325" w:type="dxa"/>
            <w:tcBorders>
              <w:top w:val="single" w:sz="4" w:space="0" w:color="000000"/>
              <w:left w:val="single" w:sz="4" w:space="0" w:color="000000"/>
              <w:bottom w:val="single" w:sz="4" w:space="0" w:color="000000"/>
              <w:right w:val="single" w:sz="4" w:space="0" w:color="000000"/>
            </w:tcBorders>
            <w:shd w:val="clear" w:color="auto" w:fill="auto"/>
          </w:tcPr>
          <w:p w14:paraId="06875E25"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Consultation et engagement inadéquats des intervenants dans le projet menant à des conflits et/ou retards importants</w:t>
            </w:r>
          </w:p>
        </w:tc>
        <w:tc>
          <w:tcPr>
            <w:tcW w:w="3021" w:type="dxa"/>
            <w:gridSpan w:val="2"/>
            <w:tcBorders>
              <w:top w:val="single" w:sz="4" w:space="0" w:color="000000"/>
              <w:left w:val="single" w:sz="4" w:space="0" w:color="000000"/>
              <w:bottom w:val="single" w:sz="4" w:space="0" w:color="000000"/>
              <w:right w:val="single" w:sz="4" w:space="0" w:color="000000"/>
            </w:tcBorders>
            <w:shd w:val="clear" w:color="auto" w:fill="auto"/>
          </w:tcPr>
          <w:p w14:paraId="123354D0" w14:textId="77777777" w:rsidR="009A0954" w:rsidRPr="007F78CE" w:rsidRDefault="009A0954" w:rsidP="009A0954">
            <w:pPr>
              <w:contextualSpacing/>
              <w:rPr>
                <w:rFonts w:cs="Calibri"/>
                <w:sz w:val="20"/>
                <w:szCs w:val="20"/>
              </w:rPr>
            </w:pPr>
          </w:p>
        </w:tc>
      </w:tr>
      <w:tr w:rsidR="009A0954" w:rsidRPr="007F78CE" w14:paraId="69E4C5AD" w14:textId="77777777" w:rsidTr="00F91FA3">
        <w:tc>
          <w:tcPr>
            <w:tcW w:w="3020" w:type="dxa"/>
            <w:gridSpan w:val="2"/>
            <w:tcBorders>
              <w:top w:val="single" w:sz="4" w:space="0" w:color="000000"/>
              <w:left w:val="single" w:sz="4" w:space="0" w:color="000000"/>
              <w:bottom w:val="single" w:sz="4" w:space="0" w:color="000000"/>
              <w:right w:val="single" w:sz="4" w:space="0" w:color="000000"/>
            </w:tcBorders>
            <w:shd w:val="clear" w:color="auto" w:fill="auto"/>
          </w:tcPr>
          <w:p w14:paraId="56E259E4" w14:textId="77777777" w:rsidR="009A0954" w:rsidRPr="007F78CE" w:rsidRDefault="009A0954" w:rsidP="009A0954">
            <w:pPr>
              <w:contextualSpacing/>
              <w:rPr>
                <w:rFonts w:cs="Calibri"/>
                <w:sz w:val="20"/>
                <w:szCs w:val="20"/>
              </w:rPr>
            </w:pPr>
          </w:p>
        </w:tc>
        <w:tc>
          <w:tcPr>
            <w:tcW w:w="3325" w:type="dxa"/>
            <w:tcBorders>
              <w:top w:val="single" w:sz="4" w:space="0" w:color="000000"/>
              <w:left w:val="single" w:sz="4" w:space="0" w:color="000000"/>
              <w:bottom w:val="single" w:sz="4" w:space="0" w:color="000000"/>
              <w:right w:val="single" w:sz="4" w:space="0" w:color="000000"/>
            </w:tcBorders>
            <w:shd w:val="clear" w:color="auto" w:fill="auto"/>
          </w:tcPr>
          <w:p w14:paraId="449F7098"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Traitement inadéquat des groupes vulnérables (p. ex. les femmes, les enfants, les jeunes, les personnes âgées, les handicapés/malades, les LGBT) </w:t>
            </w:r>
          </w:p>
        </w:tc>
        <w:tc>
          <w:tcPr>
            <w:tcW w:w="3021" w:type="dxa"/>
            <w:gridSpan w:val="2"/>
            <w:tcBorders>
              <w:top w:val="single" w:sz="4" w:space="0" w:color="000000"/>
              <w:left w:val="single" w:sz="4" w:space="0" w:color="000000"/>
              <w:bottom w:val="single" w:sz="4" w:space="0" w:color="000000"/>
              <w:right w:val="single" w:sz="4" w:space="0" w:color="000000"/>
            </w:tcBorders>
            <w:shd w:val="clear" w:color="auto" w:fill="auto"/>
          </w:tcPr>
          <w:p w14:paraId="33AF5F38" w14:textId="77777777" w:rsidR="009A0954" w:rsidRPr="007F78CE" w:rsidRDefault="009A0954" w:rsidP="009A0954">
            <w:pPr>
              <w:contextualSpacing/>
              <w:rPr>
                <w:rFonts w:cs="Calibri"/>
                <w:sz w:val="20"/>
                <w:szCs w:val="20"/>
              </w:rPr>
            </w:pPr>
          </w:p>
        </w:tc>
      </w:tr>
      <w:tr w:rsidR="009A0954" w:rsidRPr="007F78CE" w14:paraId="42A1BF37" w14:textId="77777777" w:rsidTr="00F91FA3">
        <w:tc>
          <w:tcPr>
            <w:tcW w:w="9367" w:type="dxa"/>
            <w:gridSpan w:val="5"/>
            <w:tcBorders>
              <w:top w:val="single" w:sz="4" w:space="0" w:color="000000"/>
              <w:left w:val="single" w:sz="4" w:space="0" w:color="000000"/>
              <w:bottom w:val="single" w:sz="4" w:space="0" w:color="000000"/>
              <w:right w:val="single" w:sz="4" w:space="0" w:color="000000"/>
            </w:tcBorders>
            <w:shd w:val="clear" w:color="auto" w:fill="FF0000"/>
          </w:tcPr>
          <w:p w14:paraId="088071FD" w14:textId="77777777" w:rsidR="009A0954" w:rsidRPr="007F78CE" w:rsidRDefault="009A0954" w:rsidP="009A0954">
            <w:pPr>
              <w:pStyle w:val="Default"/>
              <w:jc w:val="center"/>
              <w:rPr>
                <w:rFonts w:ascii="Calibri" w:hAnsi="Calibri" w:cs="Calibri"/>
                <w:b/>
                <w:sz w:val="20"/>
                <w:szCs w:val="20"/>
              </w:rPr>
            </w:pPr>
            <w:r w:rsidRPr="007F78CE">
              <w:rPr>
                <w:rFonts w:ascii="Calibri" w:hAnsi="Calibri" w:cs="Calibri"/>
                <w:bCs/>
                <w:sz w:val="20"/>
                <w:szCs w:val="20"/>
              </w:rPr>
              <w:t xml:space="preserve">Box 3 - Exemples d’événements ou de conditions critiques (ceux-ci ne sont pas nécessairement interdépendants) </w:t>
            </w:r>
          </w:p>
        </w:tc>
      </w:tr>
      <w:tr w:rsidR="009A0954" w:rsidRPr="007F78CE" w14:paraId="0A681F1B" w14:textId="77777777" w:rsidTr="00F91FA3">
        <w:tc>
          <w:tcPr>
            <w:tcW w:w="3020" w:type="dxa"/>
            <w:gridSpan w:val="2"/>
            <w:tcBorders>
              <w:top w:val="single" w:sz="4" w:space="0" w:color="000000"/>
              <w:left w:val="single" w:sz="4" w:space="0" w:color="000000"/>
              <w:bottom w:val="single" w:sz="4" w:space="0" w:color="000000"/>
              <w:right w:val="single" w:sz="4" w:space="0" w:color="000000"/>
            </w:tcBorders>
            <w:shd w:val="clear" w:color="auto" w:fill="auto"/>
          </w:tcPr>
          <w:p w14:paraId="523185AF" w14:textId="77777777" w:rsidR="009A0954" w:rsidRPr="007F78CE" w:rsidRDefault="009A0954" w:rsidP="009A0954">
            <w:pPr>
              <w:contextualSpacing/>
              <w:jc w:val="center"/>
              <w:rPr>
                <w:rFonts w:cs="Calibri"/>
                <w:sz w:val="20"/>
                <w:szCs w:val="20"/>
              </w:rPr>
            </w:pPr>
            <w:r w:rsidRPr="007F78CE">
              <w:rPr>
                <w:rFonts w:cs="Calibri"/>
                <w:sz w:val="20"/>
                <w:szCs w:val="20"/>
              </w:rPr>
              <w:t>Environnement</w:t>
            </w:r>
          </w:p>
        </w:tc>
        <w:tc>
          <w:tcPr>
            <w:tcW w:w="3325" w:type="dxa"/>
            <w:tcBorders>
              <w:top w:val="single" w:sz="4" w:space="0" w:color="000000"/>
              <w:left w:val="single" w:sz="4" w:space="0" w:color="000000"/>
              <w:bottom w:val="single" w:sz="4" w:space="0" w:color="000000"/>
              <w:right w:val="single" w:sz="4" w:space="0" w:color="000000"/>
            </w:tcBorders>
            <w:shd w:val="clear" w:color="auto" w:fill="auto"/>
          </w:tcPr>
          <w:p w14:paraId="50E26935" w14:textId="77777777" w:rsidR="009A0954" w:rsidRPr="007F78CE" w:rsidRDefault="009A0954" w:rsidP="009A0954">
            <w:pPr>
              <w:contextualSpacing/>
              <w:jc w:val="center"/>
              <w:rPr>
                <w:rFonts w:cs="Calibri"/>
                <w:sz w:val="20"/>
                <w:szCs w:val="20"/>
              </w:rPr>
            </w:pPr>
            <w:r w:rsidRPr="007F78CE">
              <w:rPr>
                <w:rFonts w:cs="Calibri"/>
                <w:sz w:val="20"/>
                <w:szCs w:val="20"/>
              </w:rPr>
              <w:t>Social</w:t>
            </w:r>
          </w:p>
        </w:tc>
        <w:tc>
          <w:tcPr>
            <w:tcW w:w="3021" w:type="dxa"/>
            <w:gridSpan w:val="2"/>
            <w:tcBorders>
              <w:top w:val="single" w:sz="4" w:space="0" w:color="000000"/>
              <w:left w:val="single" w:sz="4" w:space="0" w:color="000000"/>
              <w:bottom w:val="single" w:sz="4" w:space="0" w:color="000000"/>
              <w:right w:val="single" w:sz="4" w:space="0" w:color="000000"/>
            </w:tcBorders>
            <w:shd w:val="clear" w:color="auto" w:fill="auto"/>
          </w:tcPr>
          <w:p w14:paraId="18EAFFE8" w14:textId="77777777" w:rsidR="009A0954" w:rsidRPr="007F78CE" w:rsidRDefault="009A0954" w:rsidP="009A0954">
            <w:pPr>
              <w:pStyle w:val="Default"/>
              <w:jc w:val="center"/>
              <w:rPr>
                <w:rFonts w:ascii="Calibri" w:hAnsi="Calibri" w:cs="Calibri"/>
                <w:b/>
                <w:sz w:val="20"/>
                <w:szCs w:val="20"/>
              </w:rPr>
            </w:pPr>
            <w:r w:rsidRPr="007F78CE">
              <w:rPr>
                <w:rFonts w:ascii="Calibri" w:hAnsi="Calibri" w:cs="Calibri"/>
                <w:bCs/>
                <w:sz w:val="20"/>
                <w:szCs w:val="20"/>
              </w:rPr>
              <w:t>Santé et sécurité au travail</w:t>
            </w:r>
          </w:p>
        </w:tc>
      </w:tr>
      <w:tr w:rsidR="009A0954" w:rsidRPr="007F78CE" w14:paraId="6BC7007B" w14:textId="77777777" w:rsidTr="00F91FA3">
        <w:tc>
          <w:tcPr>
            <w:tcW w:w="3020" w:type="dxa"/>
            <w:gridSpan w:val="2"/>
            <w:tcBorders>
              <w:top w:val="single" w:sz="4" w:space="0" w:color="000000"/>
              <w:left w:val="single" w:sz="4" w:space="0" w:color="000000"/>
              <w:bottom w:val="single" w:sz="4" w:space="0" w:color="000000"/>
              <w:right w:val="single" w:sz="4" w:space="0" w:color="000000"/>
            </w:tcBorders>
            <w:shd w:val="clear" w:color="auto" w:fill="auto"/>
          </w:tcPr>
          <w:p w14:paraId="577E0EA5"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Déversements d’hydrocarbures ou de produits chimiques nécessitant des mesures correctives à grande échelle </w:t>
            </w:r>
          </w:p>
        </w:tc>
        <w:tc>
          <w:tcPr>
            <w:tcW w:w="3325" w:type="dxa"/>
            <w:tcBorders>
              <w:top w:val="single" w:sz="4" w:space="0" w:color="000000"/>
              <w:left w:val="single" w:sz="4" w:space="0" w:color="000000"/>
              <w:bottom w:val="single" w:sz="4" w:space="0" w:color="000000"/>
              <w:right w:val="single" w:sz="4" w:space="0" w:color="000000"/>
            </w:tcBorders>
            <w:shd w:val="clear" w:color="auto" w:fill="auto"/>
          </w:tcPr>
          <w:p w14:paraId="1A04C6DB"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Expulsions forcées ou réinstallation de communautés sans procédure ni indemnisation </w:t>
            </w:r>
          </w:p>
        </w:tc>
        <w:tc>
          <w:tcPr>
            <w:tcW w:w="3021" w:type="dxa"/>
            <w:gridSpan w:val="2"/>
            <w:tcBorders>
              <w:top w:val="single" w:sz="4" w:space="0" w:color="000000"/>
              <w:left w:val="single" w:sz="4" w:space="0" w:color="000000"/>
              <w:bottom w:val="single" w:sz="4" w:space="0" w:color="000000"/>
              <w:right w:val="single" w:sz="4" w:space="0" w:color="000000"/>
            </w:tcBorders>
            <w:shd w:val="clear" w:color="auto" w:fill="auto"/>
          </w:tcPr>
          <w:p w14:paraId="444D7D26" w14:textId="77777777" w:rsidR="009A0954" w:rsidRPr="007F78CE" w:rsidRDefault="009A0954" w:rsidP="009A0954">
            <w:pPr>
              <w:pStyle w:val="Default"/>
              <w:rPr>
                <w:rFonts w:ascii="Calibri" w:hAnsi="Calibri" w:cs="Calibri"/>
                <w:b/>
                <w:bCs/>
                <w:sz w:val="20"/>
                <w:szCs w:val="20"/>
              </w:rPr>
            </w:pPr>
            <w:r w:rsidRPr="007F78CE">
              <w:rPr>
                <w:rFonts w:ascii="Calibri" w:hAnsi="Calibri" w:cs="Calibri"/>
                <w:sz w:val="20"/>
                <w:szCs w:val="20"/>
              </w:rPr>
              <w:t xml:space="preserve">Toute perte de vie humaine </w:t>
            </w:r>
          </w:p>
        </w:tc>
      </w:tr>
      <w:tr w:rsidR="009A0954" w:rsidRPr="007F78CE" w14:paraId="209558B5" w14:textId="77777777" w:rsidTr="00F91FA3">
        <w:tc>
          <w:tcPr>
            <w:tcW w:w="3020" w:type="dxa"/>
            <w:gridSpan w:val="2"/>
            <w:tcBorders>
              <w:top w:val="single" w:sz="4" w:space="0" w:color="000000"/>
              <w:left w:val="single" w:sz="4" w:space="0" w:color="000000"/>
              <w:bottom w:val="single" w:sz="4" w:space="0" w:color="000000"/>
              <w:right w:val="single" w:sz="4" w:space="0" w:color="000000"/>
            </w:tcBorders>
            <w:shd w:val="clear" w:color="auto" w:fill="auto"/>
          </w:tcPr>
          <w:p w14:paraId="4C6A5B2E"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Braconnage ou chasse et trafic d’espèces menacées ou en voie de disparition</w:t>
            </w:r>
          </w:p>
        </w:tc>
        <w:tc>
          <w:tcPr>
            <w:tcW w:w="3325" w:type="dxa"/>
            <w:tcBorders>
              <w:top w:val="single" w:sz="4" w:space="0" w:color="000000"/>
              <w:left w:val="single" w:sz="4" w:space="0" w:color="000000"/>
              <w:bottom w:val="single" w:sz="4" w:space="0" w:color="000000"/>
              <w:right w:val="single" w:sz="4" w:space="0" w:color="000000"/>
            </w:tcBorders>
            <w:shd w:val="clear" w:color="auto" w:fill="auto"/>
          </w:tcPr>
          <w:p w14:paraId="2738CE27"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Mauvais traitements infligés aux membres de la communauté, y compris les incidents de violence sexiste</w:t>
            </w:r>
          </w:p>
        </w:tc>
        <w:tc>
          <w:tcPr>
            <w:tcW w:w="3021" w:type="dxa"/>
            <w:gridSpan w:val="2"/>
            <w:tcBorders>
              <w:top w:val="single" w:sz="4" w:space="0" w:color="000000"/>
              <w:left w:val="single" w:sz="4" w:space="0" w:color="000000"/>
              <w:bottom w:val="single" w:sz="4" w:space="0" w:color="000000"/>
              <w:right w:val="single" w:sz="4" w:space="0" w:color="000000"/>
            </w:tcBorders>
            <w:shd w:val="clear" w:color="auto" w:fill="auto"/>
          </w:tcPr>
          <w:p w14:paraId="49496ADC" w14:textId="77777777" w:rsidR="009A0954" w:rsidRPr="007F78CE" w:rsidRDefault="009A0954" w:rsidP="009A0954">
            <w:pPr>
              <w:pStyle w:val="Default"/>
              <w:rPr>
                <w:rFonts w:ascii="Calibri" w:hAnsi="Calibri" w:cs="Calibri"/>
                <w:b/>
                <w:bCs/>
                <w:sz w:val="20"/>
                <w:szCs w:val="20"/>
              </w:rPr>
            </w:pPr>
            <w:r w:rsidRPr="007F78CE">
              <w:rPr>
                <w:rFonts w:ascii="Calibri" w:hAnsi="Calibri" w:cs="Calibri"/>
                <w:sz w:val="20"/>
                <w:szCs w:val="20"/>
              </w:rPr>
              <w:t xml:space="preserve">Éclosion d’une maladie transmissible potentiellement mortelle </w:t>
            </w:r>
          </w:p>
        </w:tc>
      </w:tr>
      <w:tr w:rsidR="009A0954" w:rsidRPr="007F78CE" w14:paraId="2648AC41" w14:textId="77777777" w:rsidTr="00F91FA3">
        <w:tc>
          <w:tcPr>
            <w:tcW w:w="3020" w:type="dxa"/>
            <w:gridSpan w:val="2"/>
            <w:tcBorders>
              <w:top w:val="single" w:sz="4" w:space="0" w:color="000000"/>
              <w:left w:val="single" w:sz="4" w:space="0" w:color="000000"/>
              <w:bottom w:val="single" w:sz="4" w:space="0" w:color="000000"/>
              <w:right w:val="single" w:sz="4" w:space="0" w:color="000000"/>
            </w:tcBorders>
            <w:shd w:val="clear" w:color="auto" w:fill="auto"/>
          </w:tcPr>
          <w:p w14:paraId="1C78E8FB"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Le ruissellement des sédiments, des pesticides ou des herbicides causant des dommages permanents aux cours d’eau </w:t>
            </w:r>
          </w:p>
        </w:tc>
        <w:tc>
          <w:tcPr>
            <w:tcW w:w="3325" w:type="dxa"/>
            <w:tcBorders>
              <w:top w:val="single" w:sz="4" w:space="0" w:color="000000"/>
              <w:left w:val="single" w:sz="4" w:space="0" w:color="000000"/>
              <w:bottom w:val="single" w:sz="4" w:space="0" w:color="000000"/>
              <w:right w:val="single" w:sz="4" w:space="0" w:color="000000"/>
            </w:tcBorders>
            <w:shd w:val="clear" w:color="auto" w:fill="auto"/>
          </w:tcPr>
          <w:p w14:paraId="658E94C3"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Dommages importants aux zones environnementales protégées à l’échelle nationale ou aux sites du patrimoine mondial de l’UNESCO </w:t>
            </w:r>
          </w:p>
        </w:tc>
        <w:tc>
          <w:tcPr>
            <w:tcW w:w="3021" w:type="dxa"/>
            <w:gridSpan w:val="2"/>
            <w:tcBorders>
              <w:top w:val="single" w:sz="4" w:space="0" w:color="000000"/>
              <w:left w:val="single" w:sz="4" w:space="0" w:color="000000"/>
              <w:bottom w:val="single" w:sz="4" w:space="0" w:color="000000"/>
              <w:right w:val="single" w:sz="4" w:space="0" w:color="000000"/>
            </w:tcBorders>
            <w:shd w:val="clear" w:color="auto" w:fill="auto"/>
          </w:tcPr>
          <w:p w14:paraId="29EDE3CB" w14:textId="77777777" w:rsidR="009A0954" w:rsidRPr="007F78CE" w:rsidRDefault="009A0954" w:rsidP="009A0954">
            <w:pPr>
              <w:pStyle w:val="Default"/>
              <w:rPr>
                <w:rFonts w:ascii="Calibri" w:hAnsi="Calibri" w:cs="Calibri"/>
                <w:b/>
                <w:bCs/>
                <w:sz w:val="20"/>
                <w:szCs w:val="20"/>
              </w:rPr>
            </w:pPr>
            <w:r w:rsidRPr="007F78CE">
              <w:rPr>
                <w:rFonts w:ascii="Calibri" w:hAnsi="Calibri" w:cs="Calibri"/>
                <w:sz w:val="20"/>
                <w:szCs w:val="20"/>
              </w:rPr>
              <w:t xml:space="preserve">Attaques criminelles et politiques sur le chantier </w:t>
            </w:r>
          </w:p>
        </w:tc>
      </w:tr>
      <w:tr w:rsidR="009A0954" w:rsidRPr="007F78CE" w14:paraId="6E5F38B7" w14:textId="77777777" w:rsidTr="00F91FA3">
        <w:tc>
          <w:tcPr>
            <w:tcW w:w="3020" w:type="dxa"/>
            <w:gridSpan w:val="2"/>
            <w:tcBorders>
              <w:top w:val="single" w:sz="4" w:space="0" w:color="000000"/>
              <w:left w:val="single" w:sz="4" w:space="0" w:color="000000"/>
              <w:bottom w:val="single" w:sz="4" w:space="0" w:color="000000"/>
              <w:right w:val="single" w:sz="4" w:space="0" w:color="000000"/>
            </w:tcBorders>
            <w:shd w:val="clear" w:color="auto" w:fill="auto"/>
          </w:tcPr>
          <w:p w14:paraId="4D04F45B"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Déforestation à grande échelle ou destruction d’habitats essentiels internationalement reconnus</w:t>
            </w:r>
          </w:p>
        </w:tc>
        <w:tc>
          <w:tcPr>
            <w:tcW w:w="3325" w:type="dxa"/>
            <w:tcBorders>
              <w:top w:val="single" w:sz="4" w:space="0" w:color="000000"/>
              <w:left w:val="single" w:sz="4" w:space="0" w:color="000000"/>
              <w:bottom w:val="single" w:sz="4" w:space="0" w:color="000000"/>
              <w:right w:val="single" w:sz="4" w:space="0" w:color="000000"/>
            </w:tcBorders>
            <w:shd w:val="clear" w:color="auto" w:fill="auto"/>
          </w:tcPr>
          <w:p w14:paraId="521F307B"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Traite des êtres humains et travail des enfants </w:t>
            </w:r>
          </w:p>
        </w:tc>
        <w:tc>
          <w:tcPr>
            <w:tcW w:w="3021" w:type="dxa"/>
            <w:gridSpan w:val="2"/>
            <w:tcBorders>
              <w:top w:val="single" w:sz="4" w:space="0" w:color="000000"/>
              <w:left w:val="single" w:sz="4" w:space="0" w:color="000000"/>
              <w:bottom w:val="single" w:sz="4" w:space="0" w:color="000000"/>
              <w:right w:val="single" w:sz="4" w:space="0" w:color="000000"/>
            </w:tcBorders>
            <w:shd w:val="clear" w:color="auto" w:fill="auto"/>
          </w:tcPr>
          <w:p w14:paraId="1193CE54" w14:textId="77777777" w:rsidR="009A0954" w:rsidRPr="007F78CE" w:rsidRDefault="009A0954" w:rsidP="009A0954">
            <w:pPr>
              <w:pStyle w:val="Default"/>
              <w:rPr>
                <w:rFonts w:ascii="Calibri" w:hAnsi="Calibri" w:cs="Calibri"/>
                <w:b/>
                <w:bCs/>
                <w:sz w:val="20"/>
                <w:szCs w:val="20"/>
              </w:rPr>
            </w:pPr>
            <w:r w:rsidRPr="007F78CE">
              <w:rPr>
                <w:rFonts w:ascii="Calibri" w:hAnsi="Calibri" w:cs="Calibri"/>
                <w:sz w:val="20"/>
                <w:szCs w:val="20"/>
              </w:rPr>
              <w:t xml:space="preserve">Travail forcé par l’entreprise en travaux du projet </w:t>
            </w:r>
          </w:p>
        </w:tc>
      </w:tr>
      <w:tr w:rsidR="009A0954" w:rsidRPr="007F78CE" w14:paraId="77615A47" w14:textId="77777777" w:rsidTr="00F91FA3">
        <w:tc>
          <w:tcPr>
            <w:tcW w:w="3020" w:type="dxa"/>
            <w:gridSpan w:val="2"/>
            <w:tcBorders>
              <w:top w:val="single" w:sz="4" w:space="0" w:color="000000"/>
              <w:left w:val="single" w:sz="4" w:space="0" w:color="000000"/>
              <w:bottom w:val="single" w:sz="4" w:space="0" w:color="000000"/>
              <w:right w:val="single" w:sz="4" w:space="0" w:color="000000"/>
            </w:tcBorders>
            <w:shd w:val="clear" w:color="auto" w:fill="auto"/>
          </w:tcPr>
          <w:p w14:paraId="560FBA44"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Contamination majeure des rivières causant la décimation de la population de poissons ou d’autres ressources aquatiques </w:t>
            </w:r>
          </w:p>
        </w:tc>
        <w:tc>
          <w:tcPr>
            <w:tcW w:w="3325" w:type="dxa"/>
            <w:tcBorders>
              <w:top w:val="single" w:sz="4" w:space="0" w:color="000000"/>
              <w:left w:val="single" w:sz="4" w:space="0" w:color="000000"/>
              <w:bottom w:val="single" w:sz="4" w:space="0" w:color="000000"/>
              <w:right w:val="single" w:sz="4" w:space="0" w:color="000000"/>
            </w:tcBorders>
            <w:shd w:val="clear" w:color="auto" w:fill="auto"/>
          </w:tcPr>
          <w:p w14:paraId="3469B139"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Violations des droits de l’homme commises par les forces de sécurité des sites ou d’autres membres du personnel </w:t>
            </w:r>
          </w:p>
        </w:tc>
        <w:tc>
          <w:tcPr>
            <w:tcW w:w="3021" w:type="dxa"/>
            <w:gridSpan w:val="2"/>
            <w:tcBorders>
              <w:top w:val="single" w:sz="4" w:space="0" w:color="000000"/>
              <w:left w:val="single" w:sz="4" w:space="0" w:color="000000"/>
              <w:bottom w:val="single" w:sz="4" w:space="0" w:color="000000"/>
              <w:right w:val="single" w:sz="4" w:space="0" w:color="000000"/>
            </w:tcBorders>
            <w:shd w:val="clear" w:color="auto" w:fill="auto"/>
          </w:tcPr>
          <w:p w14:paraId="55C0AE79"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Travaux Entreprise ne répond pas aux risques continus de blessures corporelles sur les chantiers</w:t>
            </w:r>
          </w:p>
          <w:p w14:paraId="5BF23ED5" w14:textId="77777777" w:rsidR="009A0954" w:rsidRPr="007F78CE" w:rsidRDefault="009A0954" w:rsidP="009A0954">
            <w:pPr>
              <w:pStyle w:val="Default"/>
              <w:rPr>
                <w:rFonts w:ascii="Calibri" w:hAnsi="Calibri" w:cs="Calibri"/>
                <w:b/>
                <w:bCs/>
                <w:sz w:val="20"/>
                <w:szCs w:val="20"/>
              </w:rPr>
            </w:pPr>
          </w:p>
        </w:tc>
      </w:tr>
      <w:tr w:rsidR="009A0954" w:rsidRPr="007F78CE" w14:paraId="2198A259" w14:textId="77777777" w:rsidTr="00F91FA3">
        <w:tc>
          <w:tcPr>
            <w:tcW w:w="3020" w:type="dxa"/>
            <w:gridSpan w:val="2"/>
            <w:tcBorders>
              <w:top w:val="single" w:sz="4" w:space="0" w:color="000000"/>
              <w:left w:val="single" w:sz="4" w:space="0" w:color="000000"/>
              <w:bottom w:val="single" w:sz="4" w:space="0" w:color="000000"/>
              <w:right w:val="single" w:sz="4" w:space="0" w:color="000000"/>
            </w:tcBorders>
            <w:shd w:val="clear" w:color="auto" w:fill="auto"/>
          </w:tcPr>
          <w:p w14:paraId="6CD13B05" w14:textId="77777777" w:rsidR="009A0954" w:rsidRPr="007F78CE" w:rsidRDefault="009A0954" w:rsidP="009A0954">
            <w:pPr>
              <w:contextualSpacing/>
              <w:rPr>
                <w:rFonts w:cs="Calibri"/>
                <w:sz w:val="20"/>
                <w:szCs w:val="20"/>
              </w:rPr>
            </w:pPr>
          </w:p>
        </w:tc>
        <w:tc>
          <w:tcPr>
            <w:tcW w:w="3325" w:type="dxa"/>
            <w:tcBorders>
              <w:top w:val="single" w:sz="4" w:space="0" w:color="000000"/>
              <w:left w:val="single" w:sz="4" w:space="0" w:color="000000"/>
              <w:bottom w:val="single" w:sz="4" w:space="0" w:color="000000"/>
              <w:right w:val="single" w:sz="4" w:space="0" w:color="000000"/>
            </w:tcBorders>
            <w:shd w:val="clear" w:color="auto" w:fill="auto"/>
          </w:tcPr>
          <w:p w14:paraId="31D217F1"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Impacts importants sur les ressources et/ou la culture des terres et des autochtones et/ou sur la culture et il n’y a aucune preuve de consultation, de soutien communautaire général, d’atténuation des préjudices et/ou de partage des avantages culturellement approprié. </w:t>
            </w:r>
          </w:p>
        </w:tc>
        <w:tc>
          <w:tcPr>
            <w:tcW w:w="3021" w:type="dxa"/>
            <w:gridSpan w:val="2"/>
            <w:tcBorders>
              <w:top w:val="single" w:sz="4" w:space="0" w:color="000000"/>
              <w:left w:val="single" w:sz="4" w:space="0" w:color="000000"/>
              <w:bottom w:val="single" w:sz="4" w:space="0" w:color="000000"/>
              <w:right w:val="single" w:sz="4" w:space="0" w:color="000000"/>
            </w:tcBorders>
            <w:shd w:val="clear" w:color="auto" w:fill="auto"/>
          </w:tcPr>
          <w:p w14:paraId="63ED4C65" w14:textId="77777777" w:rsidR="009A0954" w:rsidRPr="007F78CE" w:rsidRDefault="009A0954" w:rsidP="009A0954">
            <w:pPr>
              <w:pStyle w:val="Default"/>
              <w:rPr>
                <w:rFonts w:ascii="Calibri" w:hAnsi="Calibri" w:cs="Calibri"/>
                <w:b/>
                <w:bCs/>
                <w:sz w:val="20"/>
                <w:szCs w:val="20"/>
              </w:rPr>
            </w:pPr>
          </w:p>
        </w:tc>
      </w:tr>
      <w:tr w:rsidR="009A0954" w:rsidRPr="007F78CE" w14:paraId="6C95C311" w14:textId="77777777" w:rsidTr="00F91FA3">
        <w:tc>
          <w:tcPr>
            <w:tcW w:w="3020" w:type="dxa"/>
            <w:gridSpan w:val="2"/>
            <w:tcBorders>
              <w:top w:val="single" w:sz="4" w:space="0" w:color="000000"/>
              <w:left w:val="single" w:sz="4" w:space="0" w:color="000000"/>
              <w:bottom w:val="single" w:sz="4" w:space="0" w:color="000000"/>
              <w:right w:val="single" w:sz="4" w:space="0" w:color="000000"/>
            </w:tcBorders>
            <w:shd w:val="clear" w:color="auto" w:fill="auto"/>
          </w:tcPr>
          <w:p w14:paraId="7798FA22" w14:textId="77777777" w:rsidR="009A0954" w:rsidRPr="007F78CE" w:rsidRDefault="009A0954" w:rsidP="009A0954">
            <w:pPr>
              <w:contextualSpacing/>
              <w:rPr>
                <w:rFonts w:cs="Calibri"/>
                <w:sz w:val="20"/>
                <w:szCs w:val="20"/>
              </w:rPr>
            </w:pPr>
          </w:p>
        </w:tc>
        <w:tc>
          <w:tcPr>
            <w:tcW w:w="3325" w:type="dxa"/>
            <w:tcBorders>
              <w:top w:val="single" w:sz="4" w:space="0" w:color="000000"/>
              <w:left w:val="single" w:sz="4" w:space="0" w:color="000000"/>
              <w:bottom w:val="single" w:sz="4" w:space="0" w:color="000000"/>
              <w:right w:val="single" w:sz="4" w:space="0" w:color="000000"/>
            </w:tcBorders>
            <w:shd w:val="clear" w:color="auto" w:fill="auto"/>
          </w:tcPr>
          <w:p w14:paraId="42C0E755" w14:textId="77777777" w:rsidR="009A0954" w:rsidRPr="007F78CE" w:rsidRDefault="009A0954" w:rsidP="009A0954">
            <w:pPr>
              <w:pStyle w:val="Default"/>
              <w:rPr>
                <w:rFonts w:ascii="Calibri" w:hAnsi="Calibri" w:cs="Calibri"/>
                <w:b/>
                <w:sz w:val="20"/>
                <w:szCs w:val="20"/>
              </w:rPr>
            </w:pPr>
            <w:r w:rsidRPr="007F78CE">
              <w:rPr>
                <w:rFonts w:ascii="Calibri" w:hAnsi="Calibri" w:cs="Calibri"/>
                <w:sz w:val="20"/>
                <w:szCs w:val="20"/>
              </w:rPr>
              <w:t xml:space="preserve">Violations des droits de l’homme des groupes vulnérables (p. ex. femmes, enfants, jeunes, personnes âgées, handicapés/malades, LGBT) </w:t>
            </w:r>
          </w:p>
        </w:tc>
        <w:tc>
          <w:tcPr>
            <w:tcW w:w="3021" w:type="dxa"/>
            <w:gridSpan w:val="2"/>
            <w:tcBorders>
              <w:top w:val="single" w:sz="4" w:space="0" w:color="000000"/>
              <w:left w:val="single" w:sz="4" w:space="0" w:color="000000"/>
              <w:bottom w:val="single" w:sz="4" w:space="0" w:color="000000"/>
              <w:right w:val="single" w:sz="4" w:space="0" w:color="000000"/>
            </w:tcBorders>
            <w:shd w:val="clear" w:color="auto" w:fill="auto"/>
          </w:tcPr>
          <w:p w14:paraId="7D7780D1" w14:textId="77777777" w:rsidR="009A0954" w:rsidRPr="007F78CE" w:rsidRDefault="009A0954" w:rsidP="009A0954">
            <w:pPr>
              <w:pStyle w:val="Default"/>
              <w:rPr>
                <w:rFonts w:ascii="Calibri" w:hAnsi="Calibri" w:cs="Calibri"/>
                <w:b/>
                <w:bCs/>
                <w:sz w:val="20"/>
                <w:szCs w:val="20"/>
              </w:rPr>
            </w:pPr>
          </w:p>
        </w:tc>
      </w:tr>
    </w:tbl>
    <w:p w14:paraId="486947CE" w14:textId="77777777" w:rsidR="009A0954" w:rsidRDefault="009A0954" w:rsidP="009A0954">
      <w:pPr>
        <w:rPr>
          <w:rFonts w:ascii="Arial" w:hAnsi="Arial" w:cs="Arial"/>
        </w:rPr>
      </w:pPr>
    </w:p>
    <w:p w14:paraId="09F48195" w14:textId="77777777" w:rsidR="009A0954" w:rsidRPr="00940A32" w:rsidRDefault="00EA09D5" w:rsidP="00940A32">
      <w:pPr>
        <w:rPr>
          <w:rFonts w:ascii="Arial" w:hAnsi="Arial" w:cs="Arial"/>
          <w:b/>
          <w:bCs/>
        </w:rPr>
      </w:pPr>
      <w:bookmarkStart w:id="1752" w:name="_Toc98044880"/>
      <w:bookmarkStart w:id="1753" w:name="_Toc92037676"/>
      <w:bookmarkStart w:id="1754" w:name="_Toc68774001"/>
      <w:bookmarkStart w:id="1755" w:name="_Toc84293583"/>
      <w:bookmarkStart w:id="1756" w:name="_Toc124173261"/>
      <w:bookmarkStart w:id="1757" w:name="_Toc125402471"/>
      <w:r>
        <w:rPr>
          <w:rFonts w:ascii="Arial" w:hAnsi="Arial" w:cs="Arial"/>
          <w:b/>
          <w:bCs/>
        </w:rPr>
        <w:br w:type="page"/>
      </w:r>
      <w:r w:rsidR="009A0954" w:rsidRPr="00940A32">
        <w:rPr>
          <w:rFonts w:ascii="Arial" w:hAnsi="Arial" w:cs="Arial"/>
          <w:b/>
          <w:bCs/>
        </w:rPr>
        <w:t>Annexe</w:t>
      </w:r>
      <w:r w:rsidR="006B2C01" w:rsidRPr="00940A32">
        <w:rPr>
          <w:rFonts w:ascii="Arial" w:hAnsi="Arial" w:cs="Arial"/>
          <w:b/>
          <w:bCs/>
        </w:rPr>
        <w:t xml:space="preserve"> </w:t>
      </w:r>
      <w:r w:rsidR="009A0954" w:rsidRPr="00940A32">
        <w:rPr>
          <w:rFonts w:ascii="Arial" w:hAnsi="Arial" w:cs="Arial"/>
          <w:b/>
          <w:bCs/>
        </w:rPr>
        <w:fldChar w:fldCharType="begin"/>
      </w:r>
      <w:r w:rsidR="009A0954" w:rsidRPr="00940A32">
        <w:rPr>
          <w:rFonts w:ascii="Arial" w:hAnsi="Arial" w:cs="Arial"/>
          <w:b/>
          <w:bCs/>
        </w:rPr>
        <w:instrText>SEQ Annexe \* ARABIC</w:instrText>
      </w:r>
      <w:r w:rsidR="009A0954" w:rsidRPr="00940A32">
        <w:rPr>
          <w:rFonts w:ascii="Arial" w:hAnsi="Arial" w:cs="Arial"/>
          <w:b/>
          <w:bCs/>
        </w:rPr>
        <w:fldChar w:fldCharType="separate"/>
      </w:r>
      <w:r w:rsidR="009947B9">
        <w:rPr>
          <w:rFonts w:ascii="Arial" w:hAnsi="Arial" w:cs="Arial"/>
          <w:b/>
          <w:bCs/>
          <w:noProof/>
        </w:rPr>
        <w:t>8</w:t>
      </w:r>
      <w:r w:rsidR="009A0954" w:rsidRPr="00940A32">
        <w:rPr>
          <w:rFonts w:ascii="Arial" w:hAnsi="Arial" w:cs="Arial"/>
          <w:b/>
          <w:bCs/>
        </w:rPr>
        <w:fldChar w:fldCharType="end"/>
      </w:r>
      <w:r w:rsidR="009A0954" w:rsidRPr="00940A32">
        <w:rPr>
          <w:rFonts w:ascii="Arial" w:hAnsi="Arial" w:cs="Arial"/>
          <w:b/>
          <w:bCs/>
        </w:rPr>
        <w:t> : Modèle de fiche de non-conformité</w:t>
      </w:r>
      <w:r w:rsidR="00D334A6" w:rsidRPr="00940A32">
        <w:rPr>
          <w:rFonts w:ascii="Arial" w:hAnsi="Arial" w:cs="Arial"/>
          <w:b/>
          <w:bCs/>
        </w:rPr>
        <w:t xml:space="preserve"> </w:t>
      </w:r>
      <w:r w:rsidR="009A0954" w:rsidRPr="00940A32">
        <w:rPr>
          <w:rFonts w:ascii="Arial" w:hAnsi="Arial" w:cs="Arial"/>
          <w:b/>
          <w:bCs/>
        </w:rPr>
        <w:t>environnementale</w:t>
      </w:r>
      <w:bookmarkEnd w:id="1752"/>
      <w:bookmarkEnd w:id="1753"/>
      <w:bookmarkEnd w:id="1754"/>
      <w:bookmarkEnd w:id="1755"/>
      <w:bookmarkEnd w:id="1756"/>
      <w:bookmarkEnd w:id="1757"/>
    </w:p>
    <w:tbl>
      <w:tblPr>
        <w:tblW w:w="9062" w:type="dxa"/>
        <w:tblLook w:val="04A0" w:firstRow="1" w:lastRow="0" w:firstColumn="1" w:lastColumn="0" w:noHBand="0" w:noVBand="1"/>
      </w:tblPr>
      <w:tblGrid>
        <w:gridCol w:w="3017"/>
        <w:gridCol w:w="3040"/>
        <w:gridCol w:w="3005"/>
      </w:tblGrid>
      <w:tr w:rsidR="009A0954" w:rsidRPr="007F78CE" w14:paraId="6C76DB9A" w14:textId="77777777" w:rsidTr="009A0954">
        <w:tc>
          <w:tcPr>
            <w:tcW w:w="3017" w:type="dxa"/>
            <w:tcBorders>
              <w:top w:val="single" w:sz="4" w:space="0" w:color="000000"/>
              <w:left w:val="single" w:sz="4" w:space="0" w:color="000000"/>
              <w:bottom w:val="single" w:sz="4" w:space="0" w:color="000000"/>
              <w:right w:val="single" w:sz="4" w:space="0" w:color="000000"/>
            </w:tcBorders>
            <w:shd w:val="clear" w:color="auto" w:fill="auto"/>
          </w:tcPr>
          <w:p w14:paraId="041BD925" w14:textId="77777777" w:rsidR="009A0954" w:rsidRPr="007F78CE" w:rsidRDefault="009A0954" w:rsidP="009A0954">
            <w:pPr>
              <w:spacing w:before="120" w:after="120"/>
              <w:contextualSpacing/>
              <w:rPr>
                <w:rFonts w:cs="Calibri"/>
                <w:b/>
                <w:sz w:val="20"/>
                <w:szCs w:val="20"/>
              </w:rPr>
            </w:pPr>
            <w:r w:rsidRPr="007F78CE">
              <w:rPr>
                <w:rFonts w:cs="Calibri"/>
                <w:b/>
                <w:sz w:val="20"/>
                <w:szCs w:val="20"/>
              </w:rPr>
              <w:t>Fiche n°___/2021</w:t>
            </w:r>
          </w:p>
        </w:tc>
        <w:tc>
          <w:tcPr>
            <w:tcW w:w="3040" w:type="dxa"/>
            <w:tcBorders>
              <w:top w:val="single" w:sz="4" w:space="0" w:color="000000"/>
              <w:left w:val="single" w:sz="4" w:space="0" w:color="000000"/>
              <w:bottom w:val="single" w:sz="4" w:space="0" w:color="000000"/>
              <w:right w:val="single" w:sz="4" w:space="0" w:color="000000"/>
            </w:tcBorders>
            <w:shd w:val="clear" w:color="auto" w:fill="auto"/>
          </w:tcPr>
          <w:p w14:paraId="3B6613C5" w14:textId="77777777" w:rsidR="009A0954" w:rsidRPr="007F78CE" w:rsidRDefault="009A0954" w:rsidP="009A0954">
            <w:pPr>
              <w:spacing w:before="120" w:after="120"/>
              <w:contextualSpacing/>
              <w:rPr>
                <w:rFonts w:cs="Calibri"/>
                <w:b/>
                <w:sz w:val="20"/>
                <w:szCs w:val="20"/>
              </w:rPr>
            </w:pPr>
            <w:r w:rsidRPr="007F78CE">
              <w:rPr>
                <w:rFonts w:cs="Calibri"/>
                <w:b/>
                <w:sz w:val="20"/>
                <w:szCs w:val="20"/>
              </w:rPr>
              <w:t>Nom du chantier</w:t>
            </w:r>
          </w:p>
        </w:tc>
        <w:tc>
          <w:tcPr>
            <w:tcW w:w="3005" w:type="dxa"/>
            <w:tcBorders>
              <w:top w:val="single" w:sz="4" w:space="0" w:color="000000"/>
              <w:left w:val="single" w:sz="4" w:space="0" w:color="000000"/>
              <w:bottom w:val="single" w:sz="4" w:space="0" w:color="000000"/>
              <w:right w:val="single" w:sz="4" w:space="0" w:color="000000"/>
            </w:tcBorders>
            <w:shd w:val="clear" w:color="auto" w:fill="auto"/>
          </w:tcPr>
          <w:p w14:paraId="5611304D" w14:textId="77777777" w:rsidR="009A0954" w:rsidRPr="007F78CE" w:rsidRDefault="009A0954" w:rsidP="009A0954">
            <w:pPr>
              <w:spacing w:before="120" w:after="120"/>
              <w:contextualSpacing/>
              <w:rPr>
                <w:rFonts w:cs="Calibri"/>
                <w:b/>
                <w:sz w:val="20"/>
                <w:szCs w:val="20"/>
              </w:rPr>
            </w:pPr>
            <w:r w:rsidRPr="007F78CE">
              <w:rPr>
                <w:rFonts w:cs="Calibri"/>
                <w:b/>
                <w:sz w:val="20"/>
                <w:szCs w:val="20"/>
              </w:rPr>
              <w:t xml:space="preserve">Date : </w:t>
            </w:r>
          </w:p>
        </w:tc>
      </w:tr>
      <w:tr w:rsidR="009A0954" w:rsidRPr="007F78CE" w14:paraId="7570337D" w14:textId="77777777" w:rsidTr="009A0954">
        <w:tc>
          <w:tcPr>
            <w:tcW w:w="3017" w:type="dxa"/>
            <w:tcBorders>
              <w:top w:val="single" w:sz="4" w:space="0" w:color="000000"/>
              <w:left w:val="single" w:sz="4" w:space="0" w:color="000000"/>
              <w:bottom w:val="single" w:sz="4" w:space="0" w:color="000000"/>
              <w:right w:val="single" w:sz="4" w:space="0" w:color="000000"/>
            </w:tcBorders>
            <w:shd w:val="clear" w:color="auto" w:fill="auto"/>
          </w:tcPr>
          <w:p w14:paraId="26D396C9" w14:textId="77777777" w:rsidR="009A0954" w:rsidRPr="007F78CE" w:rsidRDefault="009A0954" w:rsidP="009A0954">
            <w:pPr>
              <w:spacing w:before="120" w:after="120"/>
              <w:contextualSpacing/>
              <w:rPr>
                <w:rFonts w:cs="Calibri"/>
                <w:sz w:val="20"/>
                <w:szCs w:val="20"/>
              </w:rPr>
            </w:pPr>
            <w:r w:rsidRPr="007F78CE">
              <w:rPr>
                <w:rFonts w:cs="Calibri"/>
                <w:sz w:val="20"/>
                <w:szCs w:val="20"/>
              </w:rPr>
              <w:t>Localisation :</w:t>
            </w:r>
          </w:p>
        </w:tc>
        <w:tc>
          <w:tcPr>
            <w:tcW w:w="6045" w:type="dxa"/>
            <w:gridSpan w:val="2"/>
            <w:tcBorders>
              <w:top w:val="single" w:sz="4" w:space="0" w:color="000000"/>
              <w:left w:val="single" w:sz="4" w:space="0" w:color="000000"/>
              <w:bottom w:val="single" w:sz="4" w:space="0" w:color="000000"/>
              <w:right w:val="single" w:sz="4" w:space="0" w:color="000000"/>
            </w:tcBorders>
            <w:shd w:val="clear" w:color="auto" w:fill="auto"/>
          </w:tcPr>
          <w:p w14:paraId="1E4C6FF8" w14:textId="77777777" w:rsidR="009A0954" w:rsidRPr="007F78CE" w:rsidRDefault="009A0954" w:rsidP="009A0954">
            <w:pPr>
              <w:spacing w:before="120" w:after="120"/>
              <w:contextualSpacing/>
              <w:rPr>
                <w:rFonts w:cs="Calibri"/>
                <w:sz w:val="20"/>
                <w:szCs w:val="20"/>
              </w:rPr>
            </w:pPr>
          </w:p>
        </w:tc>
      </w:tr>
      <w:tr w:rsidR="009A0954" w:rsidRPr="007F78CE" w14:paraId="2849564F" w14:textId="77777777" w:rsidTr="009A0954">
        <w:trPr>
          <w:trHeight w:val="1837"/>
        </w:trPr>
        <w:tc>
          <w:tcPr>
            <w:tcW w:w="3017" w:type="dxa"/>
            <w:tcBorders>
              <w:top w:val="single" w:sz="4" w:space="0" w:color="000000"/>
              <w:left w:val="single" w:sz="4" w:space="0" w:color="000000"/>
              <w:bottom w:val="single" w:sz="4" w:space="0" w:color="000000"/>
              <w:right w:val="single" w:sz="4" w:space="0" w:color="000000"/>
            </w:tcBorders>
            <w:shd w:val="clear" w:color="auto" w:fill="auto"/>
          </w:tcPr>
          <w:p w14:paraId="6C743DAA" w14:textId="77777777" w:rsidR="009A0954" w:rsidRPr="007F78CE" w:rsidRDefault="009A0954" w:rsidP="009A0954">
            <w:pPr>
              <w:spacing w:before="120" w:after="120"/>
              <w:contextualSpacing/>
              <w:rPr>
                <w:rFonts w:cs="Calibri"/>
                <w:sz w:val="20"/>
                <w:szCs w:val="20"/>
              </w:rPr>
            </w:pPr>
            <w:r w:rsidRPr="007F78CE">
              <w:rPr>
                <w:rFonts w:cs="Calibri"/>
                <w:sz w:val="20"/>
                <w:szCs w:val="20"/>
              </w:rPr>
              <w:t xml:space="preserve">Description de la non-conformité : </w:t>
            </w:r>
          </w:p>
        </w:tc>
        <w:tc>
          <w:tcPr>
            <w:tcW w:w="6045" w:type="dxa"/>
            <w:gridSpan w:val="2"/>
            <w:tcBorders>
              <w:top w:val="single" w:sz="4" w:space="0" w:color="000000"/>
              <w:left w:val="single" w:sz="4" w:space="0" w:color="000000"/>
              <w:bottom w:val="single" w:sz="4" w:space="0" w:color="000000"/>
              <w:right w:val="single" w:sz="4" w:space="0" w:color="000000"/>
            </w:tcBorders>
            <w:shd w:val="clear" w:color="auto" w:fill="auto"/>
          </w:tcPr>
          <w:p w14:paraId="426E9B51" w14:textId="77777777" w:rsidR="009A0954" w:rsidRPr="007F78CE" w:rsidRDefault="009A0954" w:rsidP="009A0954">
            <w:pPr>
              <w:spacing w:before="120" w:after="120"/>
              <w:contextualSpacing/>
              <w:rPr>
                <w:rFonts w:cs="Calibri"/>
                <w:sz w:val="20"/>
                <w:szCs w:val="20"/>
              </w:rPr>
            </w:pPr>
          </w:p>
        </w:tc>
      </w:tr>
      <w:tr w:rsidR="009A0954" w:rsidRPr="007F78CE" w14:paraId="048BA9AA" w14:textId="77777777" w:rsidTr="009A0954">
        <w:trPr>
          <w:trHeight w:val="1552"/>
        </w:trPr>
        <w:tc>
          <w:tcPr>
            <w:tcW w:w="3017" w:type="dxa"/>
            <w:tcBorders>
              <w:top w:val="single" w:sz="4" w:space="0" w:color="000000"/>
              <w:left w:val="single" w:sz="4" w:space="0" w:color="000000"/>
              <w:bottom w:val="single" w:sz="4" w:space="0" w:color="000000"/>
              <w:right w:val="single" w:sz="4" w:space="0" w:color="000000"/>
            </w:tcBorders>
            <w:shd w:val="clear" w:color="auto" w:fill="auto"/>
          </w:tcPr>
          <w:p w14:paraId="2080CD0C" w14:textId="77777777" w:rsidR="009A0954" w:rsidRPr="007F78CE" w:rsidRDefault="009A0954" w:rsidP="009A0954">
            <w:pPr>
              <w:spacing w:before="120" w:after="120"/>
              <w:contextualSpacing/>
              <w:rPr>
                <w:rFonts w:cs="Calibri"/>
                <w:sz w:val="20"/>
                <w:szCs w:val="20"/>
              </w:rPr>
            </w:pPr>
            <w:r w:rsidRPr="007F78CE">
              <w:rPr>
                <w:rFonts w:cs="Calibri"/>
                <w:sz w:val="20"/>
                <w:szCs w:val="20"/>
              </w:rPr>
              <w:t xml:space="preserve">Mesure(s) corrective(s) : </w:t>
            </w:r>
          </w:p>
        </w:tc>
        <w:tc>
          <w:tcPr>
            <w:tcW w:w="3040" w:type="dxa"/>
            <w:tcBorders>
              <w:top w:val="single" w:sz="4" w:space="0" w:color="000000"/>
              <w:left w:val="single" w:sz="4" w:space="0" w:color="000000"/>
              <w:bottom w:val="single" w:sz="4" w:space="0" w:color="000000"/>
              <w:right w:val="single" w:sz="4" w:space="0" w:color="000000"/>
            </w:tcBorders>
            <w:shd w:val="clear" w:color="auto" w:fill="auto"/>
          </w:tcPr>
          <w:p w14:paraId="08470F9E" w14:textId="77777777" w:rsidR="009A0954" w:rsidRPr="007F78CE" w:rsidRDefault="009A0954" w:rsidP="009A0954">
            <w:pPr>
              <w:spacing w:before="120" w:after="120"/>
              <w:contextualSpacing/>
              <w:rPr>
                <w:rFonts w:cs="Calibri"/>
                <w:sz w:val="20"/>
                <w:szCs w:val="20"/>
              </w:rPr>
            </w:pPr>
          </w:p>
        </w:tc>
        <w:tc>
          <w:tcPr>
            <w:tcW w:w="3005" w:type="dxa"/>
            <w:tcBorders>
              <w:top w:val="single" w:sz="4" w:space="0" w:color="000000"/>
              <w:left w:val="single" w:sz="4" w:space="0" w:color="000000"/>
              <w:bottom w:val="single" w:sz="4" w:space="0" w:color="000000"/>
              <w:right w:val="single" w:sz="4" w:space="0" w:color="000000"/>
            </w:tcBorders>
            <w:shd w:val="clear" w:color="auto" w:fill="auto"/>
          </w:tcPr>
          <w:p w14:paraId="292ED41A" w14:textId="77777777" w:rsidR="009A0954" w:rsidRPr="007F78CE" w:rsidRDefault="009A0954" w:rsidP="009A0954">
            <w:pPr>
              <w:spacing w:before="120" w:after="120"/>
              <w:contextualSpacing/>
              <w:rPr>
                <w:rFonts w:cs="Calibri"/>
                <w:sz w:val="20"/>
                <w:szCs w:val="20"/>
              </w:rPr>
            </w:pPr>
          </w:p>
        </w:tc>
      </w:tr>
      <w:tr w:rsidR="009A0954" w:rsidRPr="007F78CE" w14:paraId="1CC443F9" w14:textId="77777777" w:rsidTr="009A0954">
        <w:trPr>
          <w:trHeight w:val="1815"/>
        </w:trPr>
        <w:tc>
          <w:tcPr>
            <w:tcW w:w="3017" w:type="dxa"/>
            <w:tcBorders>
              <w:top w:val="single" w:sz="4" w:space="0" w:color="000000"/>
              <w:left w:val="single" w:sz="4" w:space="0" w:color="000000"/>
              <w:bottom w:val="single" w:sz="4" w:space="0" w:color="000000"/>
              <w:right w:val="single" w:sz="4" w:space="0" w:color="000000"/>
            </w:tcBorders>
            <w:shd w:val="clear" w:color="auto" w:fill="auto"/>
          </w:tcPr>
          <w:p w14:paraId="7CF8856B" w14:textId="77777777" w:rsidR="009A0954" w:rsidRPr="007F78CE" w:rsidRDefault="009A0954" w:rsidP="009A0954">
            <w:pPr>
              <w:spacing w:before="120" w:after="120"/>
              <w:contextualSpacing/>
              <w:rPr>
                <w:rFonts w:cs="Calibri"/>
                <w:sz w:val="20"/>
                <w:szCs w:val="20"/>
              </w:rPr>
            </w:pPr>
            <w:r w:rsidRPr="007F78CE">
              <w:rPr>
                <w:rFonts w:cs="Calibri"/>
                <w:sz w:val="20"/>
                <w:szCs w:val="20"/>
              </w:rPr>
              <w:t xml:space="preserve">Suivi de la mise en œuvre des mesures : </w:t>
            </w:r>
          </w:p>
        </w:tc>
        <w:tc>
          <w:tcPr>
            <w:tcW w:w="3040" w:type="dxa"/>
            <w:tcBorders>
              <w:top w:val="single" w:sz="4" w:space="0" w:color="000000"/>
              <w:left w:val="single" w:sz="4" w:space="0" w:color="000000"/>
              <w:bottom w:val="single" w:sz="4" w:space="0" w:color="000000"/>
              <w:right w:val="single" w:sz="4" w:space="0" w:color="000000"/>
            </w:tcBorders>
            <w:shd w:val="clear" w:color="auto" w:fill="auto"/>
          </w:tcPr>
          <w:p w14:paraId="65234F95" w14:textId="77777777" w:rsidR="009A0954" w:rsidRPr="007F78CE" w:rsidRDefault="009A0954" w:rsidP="009A0954">
            <w:pPr>
              <w:spacing w:before="120" w:after="120"/>
              <w:contextualSpacing/>
              <w:rPr>
                <w:rFonts w:cs="Calibri"/>
                <w:sz w:val="20"/>
                <w:szCs w:val="20"/>
              </w:rPr>
            </w:pPr>
          </w:p>
        </w:tc>
        <w:tc>
          <w:tcPr>
            <w:tcW w:w="3005" w:type="dxa"/>
            <w:tcBorders>
              <w:top w:val="single" w:sz="4" w:space="0" w:color="000000"/>
              <w:left w:val="single" w:sz="4" w:space="0" w:color="000000"/>
              <w:bottom w:val="single" w:sz="4" w:space="0" w:color="000000"/>
              <w:right w:val="single" w:sz="4" w:space="0" w:color="000000"/>
            </w:tcBorders>
            <w:shd w:val="clear" w:color="auto" w:fill="auto"/>
          </w:tcPr>
          <w:p w14:paraId="16B0EEC2" w14:textId="77777777" w:rsidR="009A0954" w:rsidRPr="007F78CE" w:rsidRDefault="009A0954" w:rsidP="009A0954">
            <w:pPr>
              <w:spacing w:before="120" w:after="120"/>
              <w:contextualSpacing/>
              <w:rPr>
                <w:rFonts w:cs="Calibri"/>
                <w:sz w:val="20"/>
                <w:szCs w:val="20"/>
              </w:rPr>
            </w:pPr>
          </w:p>
        </w:tc>
      </w:tr>
      <w:tr w:rsidR="009A0954" w:rsidRPr="007F78CE" w14:paraId="2E627163" w14:textId="77777777" w:rsidTr="009A0954">
        <w:trPr>
          <w:trHeight w:val="1815"/>
        </w:trPr>
        <w:tc>
          <w:tcPr>
            <w:tcW w:w="3017" w:type="dxa"/>
            <w:tcBorders>
              <w:top w:val="single" w:sz="4" w:space="0" w:color="000000"/>
            </w:tcBorders>
            <w:shd w:val="clear" w:color="auto" w:fill="auto"/>
          </w:tcPr>
          <w:p w14:paraId="3070637A" w14:textId="77777777" w:rsidR="009A0954" w:rsidRPr="007F78CE" w:rsidRDefault="009A0954" w:rsidP="009A0954">
            <w:pPr>
              <w:spacing w:before="120" w:after="120"/>
              <w:contextualSpacing/>
              <w:rPr>
                <w:rFonts w:cs="Calibri"/>
                <w:b/>
                <w:sz w:val="20"/>
                <w:szCs w:val="20"/>
              </w:rPr>
            </w:pPr>
            <w:r w:rsidRPr="007F78CE">
              <w:rPr>
                <w:rFonts w:cs="Calibri"/>
                <w:b/>
                <w:sz w:val="20"/>
                <w:szCs w:val="20"/>
              </w:rPr>
              <w:t xml:space="preserve">Fiche remplie par : </w:t>
            </w:r>
          </w:p>
        </w:tc>
        <w:tc>
          <w:tcPr>
            <w:tcW w:w="3040" w:type="dxa"/>
            <w:tcBorders>
              <w:top w:val="single" w:sz="4" w:space="0" w:color="000000"/>
            </w:tcBorders>
            <w:shd w:val="clear" w:color="auto" w:fill="auto"/>
          </w:tcPr>
          <w:p w14:paraId="62A505C0" w14:textId="77777777" w:rsidR="009A0954" w:rsidRPr="007F78CE" w:rsidRDefault="009A0954" w:rsidP="009A0954">
            <w:pPr>
              <w:spacing w:before="120" w:after="120"/>
              <w:contextualSpacing/>
              <w:rPr>
                <w:rFonts w:cs="Calibri"/>
                <w:b/>
                <w:sz w:val="20"/>
                <w:szCs w:val="20"/>
              </w:rPr>
            </w:pPr>
            <w:r w:rsidRPr="007F78CE">
              <w:rPr>
                <w:rFonts w:cs="Calibri"/>
                <w:b/>
                <w:sz w:val="20"/>
                <w:szCs w:val="20"/>
              </w:rPr>
              <w:t>Visa du responsable environnemental</w:t>
            </w:r>
          </w:p>
        </w:tc>
        <w:tc>
          <w:tcPr>
            <w:tcW w:w="3005" w:type="dxa"/>
            <w:tcBorders>
              <w:top w:val="single" w:sz="4" w:space="0" w:color="000000"/>
            </w:tcBorders>
            <w:shd w:val="clear" w:color="auto" w:fill="auto"/>
          </w:tcPr>
          <w:p w14:paraId="6FDA8D0F" w14:textId="77777777" w:rsidR="009A0954" w:rsidRPr="007F78CE" w:rsidRDefault="009A0954" w:rsidP="009A0954">
            <w:pPr>
              <w:spacing w:before="120" w:after="120"/>
              <w:contextualSpacing/>
              <w:rPr>
                <w:rFonts w:cs="Calibri"/>
                <w:b/>
                <w:sz w:val="20"/>
                <w:szCs w:val="20"/>
              </w:rPr>
            </w:pPr>
            <w:r w:rsidRPr="007F78CE">
              <w:rPr>
                <w:rFonts w:cs="Calibri"/>
                <w:b/>
                <w:sz w:val="20"/>
                <w:szCs w:val="20"/>
              </w:rPr>
              <w:t>Visa du Directeur des Travaux</w:t>
            </w:r>
          </w:p>
        </w:tc>
      </w:tr>
      <w:tr w:rsidR="009A0954" w:rsidRPr="007F78CE" w14:paraId="314B05BA" w14:textId="77777777" w:rsidTr="009A0954">
        <w:trPr>
          <w:trHeight w:val="1815"/>
        </w:trPr>
        <w:tc>
          <w:tcPr>
            <w:tcW w:w="3017" w:type="dxa"/>
            <w:shd w:val="clear" w:color="auto" w:fill="auto"/>
          </w:tcPr>
          <w:p w14:paraId="11A49D0A" w14:textId="77777777" w:rsidR="009A0954" w:rsidRPr="007F78CE" w:rsidRDefault="009A0954" w:rsidP="009A0954">
            <w:pPr>
              <w:spacing w:before="120" w:after="120"/>
              <w:contextualSpacing/>
              <w:rPr>
                <w:rFonts w:cs="Calibri"/>
                <w:sz w:val="20"/>
                <w:szCs w:val="20"/>
              </w:rPr>
            </w:pPr>
            <w:r w:rsidRPr="007F78CE">
              <w:rPr>
                <w:rFonts w:cs="Calibri"/>
                <w:sz w:val="20"/>
                <w:szCs w:val="20"/>
              </w:rPr>
              <w:t>Date et signature</w:t>
            </w:r>
          </w:p>
        </w:tc>
        <w:tc>
          <w:tcPr>
            <w:tcW w:w="3040" w:type="dxa"/>
            <w:shd w:val="clear" w:color="auto" w:fill="auto"/>
          </w:tcPr>
          <w:p w14:paraId="73293357" w14:textId="77777777" w:rsidR="009A0954" w:rsidRPr="007F78CE" w:rsidRDefault="009A0954" w:rsidP="009A0954">
            <w:pPr>
              <w:spacing w:before="120" w:after="120"/>
              <w:contextualSpacing/>
              <w:rPr>
                <w:rFonts w:cs="Calibri"/>
                <w:sz w:val="20"/>
                <w:szCs w:val="20"/>
              </w:rPr>
            </w:pPr>
            <w:r w:rsidRPr="007F78CE">
              <w:rPr>
                <w:rFonts w:cs="Calibri"/>
                <w:sz w:val="20"/>
                <w:szCs w:val="20"/>
              </w:rPr>
              <w:t>Date et signature</w:t>
            </w:r>
          </w:p>
        </w:tc>
        <w:tc>
          <w:tcPr>
            <w:tcW w:w="3005" w:type="dxa"/>
            <w:shd w:val="clear" w:color="auto" w:fill="auto"/>
          </w:tcPr>
          <w:p w14:paraId="0EA37EFA" w14:textId="77777777" w:rsidR="009A0954" w:rsidRPr="007F78CE" w:rsidRDefault="009A0954" w:rsidP="009A0954">
            <w:pPr>
              <w:spacing w:before="120" w:after="120"/>
              <w:contextualSpacing/>
              <w:rPr>
                <w:rFonts w:cs="Calibri"/>
                <w:sz w:val="20"/>
                <w:szCs w:val="20"/>
              </w:rPr>
            </w:pPr>
            <w:r w:rsidRPr="007F78CE">
              <w:rPr>
                <w:rFonts w:cs="Calibri"/>
                <w:sz w:val="20"/>
                <w:szCs w:val="20"/>
              </w:rPr>
              <w:t>Date et signature</w:t>
            </w:r>
          </w:p>
        </w:tc>
      </w:tr>
    </w:tbl>
    <w:p w14:paraId="2627804C" w14:textId="77777777" w:rsidR="009A0954" w:rsidRPr="00940A32" w:rsidRDefault="009A0954" w:rsidP="00940A32">
      <w:pPr>
        <w:rPr>
          <w:rFonts w:ascii="Arial" w:hAnsi="Arial" w:cs="Arial"/>
          <w:b/>
          <w:bCs/>
        </w:rPr>
      </w:pPr>
      <w:r>
        <w:br w:type="page"/>
      </w:r>
      <w:bookmarkStart w:id="1758" w:name="_Toc98044881"/>
      <w:bookmarkStart w:id="1759" w:name="_Toc92037677"/>
      <w:bookmarkStart w:id="1760" w:name="_Toc81584457"/>
      <w:bookmarkStart w:id="1761" w:name="_Toc84293584"/>
      <w:bookmarkStart w:id="1762" w:name="_Toc124173262"/>
      <w:bookmarkStart w:id="1763" w:name="_Toc125402472"/>
      <w:r w:rsidRPr="00940A32">
        <w:rPr>
          <w:rFonts w:ascii="Arial" w:hAnsi="Arial" w:cs="Arial"/>
          <w:b/>
          <w:bCs/>
        </w:rPr>
        <w:t>Annexe</w:t>
      </w:r>
      <w:r w:rsidR="006B2C01" w:rsidRPr="00940A32">
        <w:rPr>
          <w:rFonts w:ascii="Arial" w:hAnsi="Arial" w:cs="Arial"/>
          <w:b/>
          <w:bCs/>
        </w:rPr>
        <w:t xml:space="preserve"> </w:t>
      </w:r>
      <w:r w:rsidRPr="00940A32">
        <w:rPr>
          <w:rFonts w:ascii="Arial" w:hAnsi="Arial" w:cs="Arial"/>
          <w:b/>
          <w:bCs/>
        </w:rPr>
        <w:fldChar w:fldCharType="begin"/>
      </w:r>
      <w:r w:rsidRPr="00940A32">
        <w:rPr>
          <w:rFonts w:ascii="Arial" w:hAnsi="Arial" w:cs="Arial"/>
          <w:b/>
          <w:bCs/>
        </w:rPr>
        <w:instrText>SEQ Annexe \* ARABIC</w:instrText>
      </w:r>
      <w:r w:rsidRPr="00940A32">
        <w:rPr>
          <w:rFonts w:ascii="Arial" w:hAnsi="Arial" w:cs="Arial"/>
          <w:b/>
          <w:bCs/>
        </w:rPr>
        <w:fldChar w:fldCharType="separate"/>
      </w:r>
      <w:r w:rsidR="009947B9">
        <w:rPr>
          <w:rFonts w:ascii="Arial" w:hAnsi="Arial" w:cs="Arial"/>
          <w:b/>
          <w:bCs/>
          <w:noProof/>
        </w:rPr>
        <w:t>9</w:t>
      </w:r>
      <w:r w:rsidRPr="00940A32">
        <w:rPr>
          <w:rFonts w:ascii="Arial" w:hAnsi="Arial" w:cs="Arial"/>
          <w:b/>
          <w:bCs/>
        </w:rPr>
        <w:fldChar w:fldCharType="end"/>
      </w:r>
      <w:r w:rsidRPr="00940A32">
        <w:rPr>
          <w:rFonts w:ascii="Arial" w:hAnsi="Arial" w:cs="Arial"/>
          <w:b/>
          <w:bCs/>
        </w:rPr>
        <w:t xml:space="preserve"> . Conseils au grand public par l’OMS</w:t>
      </w:r>
      <w:r w:rsidR="00D334A6" w:rsidRPr="00940A32">
        <w:rPr>
          <w:rFonts w:ascii="Arial" w:hAnsi="Arial" w:cs="Arial"/>
          <w:b/>
          <w:bCs/>
        </w:rPr>
        <w:t xml:space="preserve"> </w:t>
      </w:r>
      <w:r w:rsidRPr="00940A32">
        <w:rPr>
          <w:rFonts w:ascii="Arial" w:hAnsi="Arial" w:cs="Arial"/>
          <w:b/>
          <w:bCs/>
        </w:rPr>
        <w:t>contre la propagation du COVID - 19</w:t>
      </w:r>
      <w:bookmarkEnd w:id="1758"/>
      <w:bookmarkEnd w:id="1759"/>
      <w:bookmarkEnd w:id="1760"/>
      <w:bookmarkEnd w:id="1761"/>
      <w:bookmarkEnd w:id="1762"/>
      <w:bookmarkEnd w:id="1763"/>
    </w:p>
    <w:p w14:paraId="5471A146" w14:textId="77777777" w:rsidR="009A0954" w:rsidRPr="007F78CE" w:rsidRDefault="009A0954" w:rsidP="00F91FA3">
      <w:pPr>
        <w:spacing w:after="248"/>
        <w:ind w:left="-3" w:right="47"/>
        <w:jc w:val="both"/>
        <w:rPr>
          <w:rFonts w:cs="Calibri"/>
        </w:rPr>
      </w:pPr>
      <w:r w:rsidRPr="007F78CE">
        <w:rPr>
          <w:rFonts w:cs="Calibri"/>
        </w:rPr>
        <w:t xml:space="preserve"> (https://www.who.int/fr/emergencies/diseases/novel-coronavirus-2019/advice-for-public) </w:t>
      </w:r>
    </w:p>
    <w:p w14:paraId="2644E714" w14:textId="77777777" w:rsidR="009A0954" w:rsidRPr="007F78CE" w:rsidRDefault="009A0954" w:rsidP="006B2C01">
      <w:pPr>
        <w:pStyle w:val="Corpstextepursaps"/>
        <w:rPr>
          <w:rFonts w:ascii="Calibri" w:hAnsi="Calibri" w:cs="Calibri"/>
          <w:sz w:val="24"/>
          <w:szCs w:val="20"/>
        </w:rPr>
      </w:pPr>
      <w:r w:rsidRPr="007F78CE">
        <w:rPr>
          <w:rFonts w:ascii="Calibri" w:hAnsi="Calibri" w:cs="Calibri"/>
        </w:rPr>
        <w:t xml:space="preserve"> Mesures de protection essentielles contre le nouveau coronavirus </w:t>
      </w:r>
    </w:p>
    <w:p w14:paraId="3C61AC47" w14:textId="77777777" w:rsidR="009A0954" w:rsidRPr="007F78CE" w:rsidRDefault="009A0954" w:rsidP="00F91FA3">
      <w:pPr>
        <w:spacing w:after="242"/>
        <w:ind w:left="-3" w:right="310"/>
        <w:jc w:val="both"/>
        <w:rPr>
          <w:rFonts w:cs="Calibri"/>
        </w:rPr>
      </w:pPr>
      <w:r w:rsidRPr="007F78CE">
        <w:rPr>
          <w:rFonts w:cs="Calibri"/>
        </w:rPr>
        <w:t>Tenez-vous au courant des dernières informations sur la flambée de COVID - 19, disponibles sur le site Web de l’OMS et auprès des autorités de santé publique nationales et locales. La plupart des personnes infectées présentent des symptômes bénins et guérissent, mais d’autres peuvent avoir une forme plus grave. Prenez soin de votre santé et protégez les autres en suivant les conseils ci-après :</w:t>
      </w:r>
    </w:p>
    <w:p w14:paraId="0A1AFA9C" w14:textId="77777777" w:rsidR="009A0954" w:rsidRPr="007F78CE" w:rsidRDefault="009A0954" w:rsidP="006B2C01">
      <w:pPr>
        <w:pStyle w:val="Corpstextepursaps"/>
        <w:rPr>
          <w:rFonts w:ascii="Calibri" w:hAnsi="Calibri" w:cs="Calibri"/>
          <w:sz w:val="24"/>
          <w:szCs w:val="20"/>
        </w:rPr>
      </w:pPr>
      <w:r w:rsidRPr="007F78CE">
        <w:rPr>
          <w:rFonts w:ascii="Calibri" w:hAnsi="Calibri" w:cs="Calibri"/>
        </w:rPr>
        <w:t xml:space="preserve"> Se laver fréquemment les mains </w:t>
      </w:r>
    </w:p>
    <w:p w14:paraId="480CEBD8" w14:textId="77777777" w:rsidR="009A0954" w:rsidRPr="007F78CE" w:rsidRDefault="009A0954" w:rsidP="00F91FA3">
      <w:pPr>
        <w:spacing w:after="180"/>
        <w:ind w:left="-3" w:right="47"/>
        <w:jc w:val="both"/>
        <w:rPr>
          <w:rFonts w:cs="Calibri"/>
        </w:rPr>
      </w:pPr>
      <w:r w:rsidRPr="007F78CE">
        <w:rPr>
          <w:rFonts w:cs="Calibri"/>
        </w:rPr>
        <w:t xml:space="preserve">Se laver fréquemment les mains avec une solution hydroalcoolique ou à l’eau et au savon </w:t>
      </w:r>
    </w:p>
    <w:p w14:paraId="32C087A6" w14:textId="77777777" w:rsidR="009A0954" w:rsidRPr="007F78CE" w:rsidRDefault="009A0954" w:rsidP="00F91FA3">
      <w:pPr>
        <w:spacing w:after="291"/>
        <w:ind w:left="-3" w:right="47"/>
        <w:jc w:val="both"/>
        <w:rPr>
          <w:rFonts w:cs="Calibri"/>
        </w:rPr>
      </w:pPr>
      <w:r w:rsidRPr="007F78CE">
        <w:rPr>
          <w:rFonts w:eastAsia="Arial" w:cs="Calibri"/>
          <w:b/>
        </w:rPr>
        <w:t>Pourquoi ?</w:t>
      </w:r>
      <w:r w:rsidRPr="007F78CE">
        <w:rPr>
          <w:rFonts w:cs="Calibri"/>
        </w:rPr>
        <w:t xml:space="preserve"> Se laver les mains avec une solution hydroalcoolique ou à l’eau et au savon tue le virus s’il est présent sur vos mains </w:t>
      </w:r>
    </w:p>
    <w:p w14:paraId="1F20BE67" w14:textId="77777777" w:rsidR="009A0954" w:rsidRPr="007F78CE" w:rsidRDefault="009A0954" w:rsidP="006B2C01">
      <w:pPr>
        <w:pStyle w:val="Corpstextepursaps"/>
        <w:rPr>
          <w:rFonts w:ascii="Calibri" w:hAnsi="Calibri" w:cs="Calibri"/>
          <w:sz w:val="24"/>
          <w:szCs w:val="20"/>
        </w:rPr>
      </w:pPr>
      <w:r w:rsidRPr="007F78CE">
        <w:rPr>
          <w:rFonts w:ascii="Calibri" w:hAnsi="Calibri" w:cs="Calibri"/>
        </w:rPr>
        <w:t xml:space="preserve"> Éviter les contacts proches </w:t>
      </w:r>
    </w:p>
    <w:p w14:paraId="463539C1" w14:textId="77777777" w:rsidR="009A0954" w:rsidRPr="007F78CE" w:rsidRDefault="009A0954" w:rsidP="00F91FA3">
      <w:pPr>
        <w:spacing w:after="254"/>
        <w:ind w:left="-3" w:right="47"/>
        <w:jc w:val="both"/>
        <w:rPr>
          <w:rFonts w:cs="Calibri"/>
        </w:rPr>
      </w:pPr>
      <w:r w:rsidRPr="007F78CE">
        <w:rPr>
          <w:rFonts w:cs="Calibri"/>
        </w:rPr>
        <w:t xml:space="preserve">Maintenir une distance d’au moins 1 mètre avec les autres personnes, en particulier si elles toussent, éternuent ou ont de la fièvre. </w:t>
      </w:r>
    </w:p>
    <w:p w14:paraId="02F56DC5" w14:textId="77777777" w:rsidR="009A0954" w:rsidRPr="007F78CE" w:rsidRDefault="009A0954" w:rsidP="00F91FA3">
      <w:pPr>
        <w:spacing w:after="250"/>
        <w:ind w:left="-3" w:right="307"/>
        <w:jc w:val="both"/>
        <w:rPr>
          <w:rFonts w:cs="Calibri"/>
        </w:rPr>
      </w:pPr>
      <w:r w:rsidRPr="007F78CE">
        <w:rPr>
          <w:rFonts w:eastAsia="Arial" w:cs="Calibri"/>
          <w:b/>
        </w:rPr>
        <w:t>Pourquoi ?</w:t>
      </w:r>
      <w:r w:rsidRPr="007F78CE">
        <w:rPr>
          <w:rFonts w:cs="Calibri"/>
        </w:rPr>
        <w:t xml:space="preserve"> Lorsqu’une personne infectée par un virus respiratoire, comme la COVID - 19, tousse ou éternue, elle projette de petites gouttelettes contenant le virus. Si vous êtes trop près, vous pouvez inhaler le virus. </w:t>
      </w:r>
    </w:p>
    <w:p w14:paraId="1C80CB14" w14:textId="77777777" w:rsidR="009A0954" w:rsidRPr="007F78CE" w:rsidRDefault="009A0954" w:rsidP="006B2C01">
      <w:pPr>
        <w:pStyle w:val="Corpstextepursaps"/>
        <w:rPr>
          <w:rFonts w:ascii="Calibri" w:hAnsi="Calibri" w:cs="Calibri"/>
          <w:sz w:val="24"/>
          <w:szCs w:val="20"/>
        </w:rPr>
      </w:pPr>
      <w:r w:rsidRPr="007F78CE">
        <w:rPr>
          <w:rFonts w:ascii="Calibri" w:hAnsi="Calibri" w:cs="Calibri"/>
        </w:rPr>
        <w:t xml:space="preserve"> Éviter de se toucher les yeux, le nez et la bouche </w:t>
      </w:r>
    </w:p>
    <w:p w14:paraId="13FB6DB3" w14:textId="77777777" w:rsidR="009A0954" w:rsidRPr="007F78CE" w:rsidRDefault="009A0954" w:rsidP="00F91FA3">
      <w:pPr>
        <w:spacing w:after="287"/>
        <w:ind w:left="-3" w:right="312"/>
        <w:jc w:val="both"/>
        <w:rPr>
          <w:rFonts w:cs="Calibri"/>
        </w:rPr>
      </w:pPr>
      <w:r w:rsidRPr="007F78CE">
        <w:rPr>
          <w:rFonts w:cs="Calibri"/>
        </w:rPr>
        <w:t xml:space="preserve">Pourquoi ? Les mains sont en contact avec de nombreuses surfaces qui peuvent être contaminées par le virus. Si vous vous touchez les yeux, le nez ou la bouche, vous risquez d’être en contact avec le virus présent sur ces surfaces. </w:t>
      </w:r>
    </w:p>
    <w:p w14:paraId="2FAC35AF" w14:textId="77777777" w:rsidR="009A0954" w:rsidRPr="007F78CE" w:rsidRDefault="009A0954" w:rsidP="006B2C01">
      <w:pPr>
        <w:pStyle w:val="Corpstextepursaps"/>
        <w:rPr>
          <w:rFonts w:ascii="Calibri" w:hAnsi="Calibri" w:cs="Calibri"/>
          <w:sz w:val="24"/>
          <w:szCs w:val="20"/>
        </w:rPr>
      </w:pPr>
      <w:r w:rsidRPr="007F78CE">
        <w:rPr>
          <w:rFonts w:ascii="Calibri" w:hAnsi="Calibri" w:cs="Calibri"/>
        </w:rPr>
        <w:t xml:space="preserve"> Respecter les règles d’hygiène respiratoire </w:t>
      </w:r>
    </w:p>
    <w:p w14:paraId="7C944340" w14:textId="77777777" w:rsidR="009A0954" w:rsidRPr="007F78CE" w:rsidRDefault="009A0954" w:rsidP="00F91FA3">
      <w:pPr>
        <w:spacing w:after="180"/>
        <w:ind w:left="-3" w:right="315"/>
        <w:jc w:val="both"/>
        <w:rPr>
          <w:rFonts w:cs="Calibri"/>
        </w:rPr>
      </w:pPr>
      <w:r w:rsidRPr="007F78CE">
        <w:rPr>
          <w:rFonts w:cs="Calibri"/>
        </w:rPr>
        <w:t xml:space="preserve">Se couvrir la bouche et le nez avec le pli du coude ou avec un mouchoir en cas de toux ou d’éternuement – jeter le mouchoir immédiatement après dans une poubelle fermée et se laver les mains avec une solution hydroalcoolique ou à l’eau et au savon. </w:t>
      </w:r>
    </w:p>
    <w:p w14:paraId="5EE4F5CB" w14:textId="77777777" w:rsidR="009A0954" w:rsidRPr="007F78CE" w:rsidRDefault="009A0954" w:rsidP="00F91FA3">
      <w:pPr>
        <w:spacing w:after="288"/>
        <w:ind w:left="-3" w:right="47"/>
        <w:jc w:val="both"/>
        <w:rPr>
          <w:rFonts w:cs="Calibri"/>
        </w:rPr>
      </w:pPr>
      <w:r w:rsidRPr="007F78CE">
        <w:rPr>
          <w:rFonts w:eastAsia="Arial" w:cs="Calibri"/>
          <w:b/>
        </w:rPr>
        <w:t>Pourquoi ?</w:t>
      </w:r>
      <w:r w:rsidRPr="007F78CE">
        <w:rPr>
          <w:rFonts w:cs="Calibri"/>
        </w:rPr>
        <w:t xml:space="preserve"> Se couvrir la bouche et le nez en cas de toux ou d’éternuement permet d’éviter la propagation des virus et autres agents pathogènes. </w:t>
      </w:r>
    </w:p>
    <w:p w14:paraId="10B65D37" w14:textId="77777777" w:rsidR="009A0954" w:rsidRPr="007F78CE" w:rsidRDefault="009A0954" w:rsidP="006B2C01">
      <w:pPr>
        <w:pStyle w:val="Corpstextepursaps"/>
        <w:rPr>
          <w:rFonts w:ascii="Calibri" w:hAnsi="Calibri" w:cs="Calibri"/>
          <w:sz w:val="24"/>
          <w:szCs w:val="20"/>
        </w:rPr>
      </w:pPr>
      <w:r w:rsidRPr="007F78CE">
        <w:rPr>
          <w:rFonts w:ascii="Calibri" w:hAnsi="Calibri" w:cs="Calibri"/>
        </w:rPr>
        <w:t xml:space="preserve"> Tenez-vous informé et suivez les conseils de votre médecin </w:t>
      </w:r>
    </w:p>
    <w:p w14:paraId="3F22D31C" w14:textId="77777777" w:rsidR="009A0954" w:rsidRPr="007F78CE" w:rsidRDefault="009A0954" w:rsidP="00F91FA3">
      <w:pPr>
        <w:ind w:left="-3" w:right="309"/>
        <w:jc w:val="both"/>
        <w:rPr>
          <w:rFonts w:cs="Calibri"/>
        </w:rPr>
      </w:pPr>
      <w:r w:rsidRPr="007F78CE">
        <w:rPr>
          <w:rFonts w:cs="Calibri"/>
        </w:rPr>
        <w:t xml:space="preserve">Tenez-vous au courant des dernières évolutions concernant la COVID - 19. Suivez les conseils de votre médecin, des autorités de santé nationales et locales ou de votre employeur pour savoir comment vous protéger et protéger les autres de la COVID - 19. </w:t>
      </w:r>
    </w:p>
    <w:p w14:paraId="3609A1A1" w14:textId="77777777" w:rsidR="009A0954" w:rsidRPr="007F78CE" w:rsidRDefault="009A0954" w:rsidP="00F91FA3">
      <w:pPr>
        <w:spacing w:after="250"/>
        <w:ind w:left="-3" w:right="314"/>
        <w:jc w:val="both"/>
        <w:rPr>
          <w:rFonts w:cs="Calibri"/>
        </w:rPr>
      </w:pPr>
      <w:r w:rsidRPr="007F78CE">
        <w:rPr>
          <w:rFonts w:cs="Calibri"/>
        </w:rPr>
        <w:t xml:space="preserve">Pourquoi ? Ce sont les autorités nationales et locales qui disposent des informations les plus récentes sur la propagation ou non de la COVID </w:t>
      </w:r>
      <w:r w:rsidR="00535F99" w:rsidRPr="007F78CE">
        <w:rPr>
          <w:rFonts w:cs="Calibri"/>
        </w:rPr>
        <w:t>–</w:t>
      </w:r>
      <w:r w:rsidRPr="007F78CE">
        <w:rPr>
          <w:rFonts w:cs="Calibri"/>
        </w:rPr>
        <w:t xml:space="preserve"> 19</w:t>
      </w:r>
      <w:r w:rsidR="00535F99" w:rsidRPr="007F78CE">
        <w:rPr>
          <w:rFonts w:cs="Calibri"/>
        </w:rPr>
        <w:t xml:space="preserve"> </w:t>
      </w:r>
      <w:r w:rsidRPr="007F78CE">
        <w:rPr>
          <w:rFonts w:cs="Calibri"/>
        </w:rPr>
        <w:t xml:space="preserve">dans la région où vous vous trouvez. Elles sont les mieux placées pour expliquer ce que les personnes dans votre région devraient faire pour se protéger. </w:t>
      </w:r>
    </w:p>
    <w:p w14:paraId="2A8A69C4" w14:textId="77777777" w:rsidR="009A0954" w:rsidRPr="007F78CE" w:rsidRDefault="009A0954" w:rsidP="006B2C01">
      <w:pPr>
        <w:pStyle w:val="Corpstextepursaps"/>
        <w:rPr>
          <w:rFonts w:ascii="Calibri" w:hAnsi="Calibri" w:cs="Calibri"/>
          <w:sz w:val="24"/>
          <w:szCs w:val="20"/>
        </w:rPr>
      </w:pPr>
      <w:r w:rsidRPr="007F78CE">
        <w:rPr>
          <w:rFonts w:ascii="Calibri" w:eastAsia="Wingdings" w:hAnsi="Calibri" w:cs="Calibri"/>
        </w:rPr>
        <w:t></w:t>
      </w:r>
      <w:r w:rsidRPr="007F78CE">
        <w:rPr>
          <w:rFonts w:ascii="Calibri" w:hAnsi="Calibri" w:cs="Calibri"/>
        </w:rPr>
        <w:t xml:space="preserve"> Mesures de protection pour les personnes qui se trouvent ou qui se sont récemment rendues (au cours des 14 derniers jours) dans des régions où la COVID - 19 se propage </w:t>
      </w:r>
    </w:p>
    <w:p w14:paraId="1B085A99" w14:textId="77777777" w:rsidR="009A0954" w:rsidRPr="007F78CE" w:rsidRDefault="009A0954" w:rsidP="0044500E">
      <w:pPr>
        <w:numPr>
          <w:ilvl w:val="0"/>
          <w:numId w:val="120"/>
        </w:numPr>
        <w:spacing w:after="289" w:line="247" w:lineRule="auto"/>
        <w:ind w:right="47" w:hanging="360"/>
        <w:jc w:val="both"/>
        <w:rPr>
          <w:rFonts w:cs="Calibri"/>
        </w:rPr>
      </w:pPr>
      <w:r w:rsidRPr="007F78CE">
        <w:rPr>
          <w:rFonts w:cs="Calibri"/>
        </w:rPr>
        <w:t xml:space="preserve">Suivez les conseils présentés ci-dessus. </w:t>
      </w:r>
    </w:p>
    <w:p w14:paraId="2A88639E" w14:textId="77777777" w:rsidR="009A0954" w:rsidRPr="007F78CE" w:rsidRDefault="009A0954" w:rsidP="0044500E">
      <w:pPr>
        <w:numPr>
          <w:ilvl w:val="0"/>
          <w:numId w:val="120"/>
        </w:numPr>
        <w:spacing w:after="0" w:line="240" w:lineRule="auto"/>
        <w:ind w:right="257" w:hanging="360"/>
        <w:jc w:val="both"/>
        <w:rPr>
          <w:rFonts w:cs="Calibri"/>
        </w:rPr>
      </w:pPr>
      <w:r w:rsidRPr="007F78CE">
        <w:rPr>
          <w:rFonts w:cs="Calibri"/>
        </w:rPr>
        <w:t>Si vous commencez à vous sentir mal, même si vous n’avez que des symptômes bénins comme des maux de tête et un faible écoulement nasal, restez chez vous jusqu’à la guérison.</w:t>
      </w:r>
      <w:r w:rsidRPr="007F78CE">
        <w:rPr>
          <w:rFonts w:eastAsia="Arial" w:cs="Calibri"/>
          <w:b/>
        </w:rPr>
        <w:t xml:space="preserve"> Pourquoi </w:t>
      </w:r>
    </w:p>
    <w:p w14:paraId="4D627B8A" w14:textId="77777777" w:rsidR="009A0954" w:rsidRPr="007F78CE" w:rsidRDefault="009A0954" w:rsidP="00F91FA3">
      <w:pPr>
        <w:spacing w:after="288"/>
        <w:ind w:left="730" w:right="314"/>
        <w:jc w:val="both"/>
        <w:rPr>
          <w:rFonts w:cs="Calibri"/>
        </w:rPr>
      </w:pPr>
      <w:r w:rsidRPr="007F78CE">
        <w:rPr>
          <w:rFonts w:eastAsia="Arial" w:cs="Calibri"/>
          <w:b/>
        </w:rPr>
        <w:t xml:space="preserve">? </w:t>
      </w:r>
      <w:r w:rsidRPr="007F78CE">
        <w:rPr>
          <w:rFonts w:cs="Calibri"/>
        </w:rPr>
        <w:t xml:space="preserve">Éviter d’entrer en contact avec d’autres personnes et de se rendre dans des établissements de santé permettra à ces établissements de fonctionner plus efficacement et vous protègera, ainsi que les autres personnes, de la COVID </w:t>
      </w:r>
      <w:r w:rsidR="00535F99" w:rsidRPr="007F78CE">
        <w:rPr>
          <w:rFonts w:cs="Calibri"/>
        </w:rPr>
        <w:t>–</w:t>
      </w:r>
      <w:r w:rsidRPr="007F78CE">
        <w:rPr>
          <w:rFonts w:cs="Calibri"/>
        </w:rPr>
        <w:t xml:space="preserve"> 19</w:t>
      </w:r>
      <w:r w:rsidR="00535F99" w:rsidRPr="007F78CE">
        <w:rPr>
          <w:rFonts w:cs="Calibri"/>
        </w:rPr>
        <w:t xml:space="preserve"> </w:t>
      </w:r>
      <w:r w:rsidRPr="007F78CE">
        <w:rPr>
          <w:rFonts w:cs="Calibri"/>
        </w:rPr>
        <w:t xml:space="preserve">et d’autres maladies virales. </w:t>
      </w:r>
    </w:p>
    <w:p w14:paraId="562A407D" w14:textId="77777777" w:rsidR="009A0954" w:rsidRPr="007F78CE" w:rsidRDefault="009A0954" w:rsidP="0044500E">
      <w:pPr>
        <w:numPr>
          <w:ilvl w:val="0"/>
          <w:numId w:val="120"/>
        </w:numPr>
        <w:spacing w:after="5" w:line="247" w:lineRule="auto"/>
        <w:ind w:right="47" w:hanging="360"/>
        <w:jc w:val="both"/>
        <w:rPr>
          <w:rFonts w:cs="Calibri"/>
        </w:rPr>
      </w:pPr>
      <w:r w:rsidRPr="007F78CE">
        <w:rPr>
          <w:rFonts w:cs="Calibri"/>
        </w:rPr>
        <w:t xml:space="preserve">En cas de fièvre, de toux et de difficultés respiratoires, consultez un médecin sans tarder, car il peut s’agir d’une infection respiratoire ou d’une autre affection grave. Appelez votre médecin et indiquez-lui si vous avez récemment voyagé ou été en contact avec des voyageurs. </w:t>
      </w:r>
    </w:p>
    <w:p w14:paraId="2DF8CFB5" w14:textId="77777777" w:rsidR="009A0954" w:rsidRPr="007F78CE" w:rsidRDefault="009A0954" w:rsidP="00F91FA3">
      <w:pPr>
        <w:spacing w:after="11789"/>
        <w:ind w:left="730" w:right="316"/>
        <w:jc w:val="both"/>
        <w:rPr>
          <w:rFonts w:cs="Calibri"/>
        </w:rPr>
      </w:pPr>
      <w:r w:rsidRPr="007F78CE">
        <w:rPr>
          <w:rFonts w:eastAsia="Arial" w:cs="Calibri"/>
          <w:b/>
        </w:rPr>
        <w:t>Pourquoi ?</w:t>
      </w:r>
      <w:r w:rsidRPr="007F78CE">
        <w:rPr>
          <w:rFonts w:cs="Calibri"/>
        </w:rPr>
        <w:t xml:space="preserve"> Si vous l’appelez, votre médecin pourra vous orienter rapidement vers l’établissement de santé le plus adapté. En outre, cela vous protègera et évitera la propagation de la COVID </w:t>
      </w:r>
      <w:r w:rsidR="00535F99" w:rsidRPr="007F78CE">
        <w:rPr>
          <w:rFonts w:cs="Calibri"/>
        </w:rPr>
        <w:t>–</w:t>
      </w:r>
      <w:r w:rsidRPr="007F78CE">
        <w:rPr>
          <w:rFonts w:cs="Calibri"/>
        </w:rPr>
        <w:t xml:space="preserve"> 19</w:t>
      </w:r>
      <w:r w:rsidR="00535F99" w:rsidRPr="007F78CE">
        <w:rPr>
          <w:rFonts w:cs="Calibri"/>
        </w:rPr>
        <w:t xml:space="preserve"> </w:t>
      </w:r>
      <w:r w:rsidRPr="007F78CE">
        <w:rPr>
          <w:rFonts w:cs="Calibri"/>
        </w:rPr>
        <w:t xml:space="preserve">et d’autres maladies virales. </w:t>
      </w:r>
    </w:p>
    <w:p w14:paraId="3D45137E" w14:textId="77777777" w:rsidR="009A0954" w:rsidRPr="00067E03" w:rsidRDefault="009A0954" w:rsidP="009A0954">
      <w:pPr>
        <w:pStyle w:val="Paragraphedeliste"/>
        <w:rPr>
          <w:rFonts w:cs="Arial"/>
          <w:b/>
          <w:sz w:val="24"/>
        </w:rPr>
        <w:sectPr w:rsidR="009A0954" w:rsidRPr="00067E03" w:rsidSect="00AE406E">
          <w:pgSz w:w="11906" w:h="16838"/>
          <w:pgMar w:top="1418" w:right="1418" w:bottom="1418" w:left="1418" w:header="709" w:footer="680" w:gutter="0"/>
          <w:pgNumType w:fmt="lowerRoman"/>
          <w:cols w:space="720"/>
          <w:formProt w:val="0"/>
          <w:docGrid w:linePitch="360" w:charSpace="4096"/>
        </w:sectPr>
      </w:pPr>
      <w:bookmarkStart w:id="1764" w:name="_Toc98044882"/>
      <w:bookmarkStart w:id="1765" w:name="_Toc52091816"/>
      <w:bookmarkStart w:id="1766" w:name="_Toc49967587"/>
    </w:p>
    <w:p w14:paraId="1E09A038" w14:textId="77777777" w:rsidR="009A0954" w:rsidRPr="00940A32" w:rsidRDefault="009A0954" w:rsidP="00940A32">
      <w:pPr>
        <w:rPr>
          <w:rFonts w:ascii="Arial" w:hAnsi="Arial" w:cs="Arial"/>
          <w:b/>
          <w:bCs/>
        </w:rPr>
      </w:pPr>
      <w:bookmarkStart w:id="1767" w:name="_Toc124173263"/>
      <w:bookmarkStart w:id="1768" w:name="_Toc125402473"/>
      <w:r w:rsidRPr="00940A32">
        <w:rPr>
          <w:rFonts w:ascii="Arial" w:hAnsi="Arial" w:cs="Arial"/>
          <w:b/>
          <w:bCs/>
        </w:rPr>
        <w:t>Annexe</w:t>
      </w:r>
      <w:r w:rsidR="00D334A6" w:rsidRPr="00940A32">
        <w:rPr>
          <w:rFonts w:ascii="Arial" w:hAnsi="Arial" w:cs="Arial"/>
          <w:b/>
          <w:bCs/>
        </w:rPr>
        <w:t xml:space="preserve"> </w:t>
      </w:r>
      <w:r w:rsidRPr="00940A32">
        <w:rPr>
          <w:rFonts w:ascii="Arial" w:hAnsi="Arial" w:cs="Arial"/>
          <w:b/>
          <w:bCs/>
        </w:rPr>
        <w:fldChar w:fldCharType="begin"/>
      </w:r>
      <w:r w:rsidRPr="00940A32">
        <w:rPr>
          <w:rFonts w:ascii="Arial" w:hAnsi="Arial" w:cs="Arial"/>
          <w:b/>
          <w:bCs/>
        </w:rPr>
        <w:instrText>SEQ Annexe \* ARABIC</w:instrText>
      </w:r>
      <w:r w:rsidRPr="00940A32">
        <w:rPr>
          <w:rFonts w:ascii="Arial" w:hAnsi="Arial" w:cs="Arial"/>
          <w:b/>
          <w:bCs/>
        </w:rPr>
        <w:fldChar w:fldCharType="separate"/>
      </w:r>
      <w:r w:rsidR="009947B9">
        <w:rPr>
          <w:rFonts w:ascii="Arial" w:hAnsi="Arial" w:cs="Arial"/>
          <w:b/>
          <w:bCs/>
          <w:noProof/>
        </w:rPr>
        <w:t>10</w:t>
      </w:r>
      <w:r w:rsidRPr="00940A32">
        <w:rPr>
          <w:rFonts w:ascii="Arial" w:hAnsi="Arial" w:cs="Arial"/>
          <w:b/>
          <w:bCs/>
        </w:rPr>
        <w:fldChar w:fldCharType="end"/>
      </w:r>
      <w:r w:rsidRPr="00940A32">
        <w:rPr>
          <w:rFonts w:ascii="Arial" w:hAnsi="Arial" w:cs="Arial"/>
          <w:b/>
          <w:bCs/>
        </w:rPr>
        <w:t> :</w:t>
      </w:r>
      <w:bookmarkStart w:id="1769" w:name="_Toc33113401"/>
      <w:r w:rsidR="00D334A6" w:rsidRPr="00940A32">
        <w:rPr>
          <w:rFonts w:ascii="Arial" w:hAnsi="Arial" w:cs="Arial"/>
          <w:b/>
          <w:bCs/>
        </w:rPr>
        <w:t xml:space="preserve"> </w:t>
      </w:r>
      <w:r w:rsidRPr="00940A32">
        <w:rPr>
          <w:rFonts w:ascii="Arial" w:hAnsi="Arial" w:cs="Arial"/>
          <w:b/>
          <w:bCs/>
        </w:rPr>
        <w:t>P</w:t>
      </w:r>
      <w:r w:rsidR="00FC0453" w:rsidRPr="00940A32">
        <w:rPr>
          <w:rFonts w:ascii="Arial" w:hAnsi="Arial" w:cs="Arial"/>
          <w:b/>
          <w:bCs/>
        </w:rPr>
        <w:t>lan de Gestion des Déchets d’Equipement</w:t>
      </w:r>
      <w:r w:rsidR="00224D29">
        <w:rPr>
          <w:rFonts w:ascii="Arial" w:hAnsi="Arial" w:cs="Arial"/>
          <w:b/>
          <w:bCs/>
        </w:rPr>
        <w:t>s</w:t>
      </w:r>
      <w:r w:rsidR="00FC0453" w:rsidRPr="00940A32">
        <w:rPr>
          <w:rFonts w:ascii="Arial" w:hAnsi="Arial" w:cs="Arial"/>
          <w:b/>
          <w:bCs/>
        </w:rPr>
        <w:t xml:space="preserve"> Electronique et Electrique</w:t>
      </w:r>
      <w:bookmarkEnd w:id="1764"/>
      <w:bookmarkEnd w:id="1765"/>
      <w:bookmarkEnd w:id="1766"/>
      <w:bookmarkEnd w:id="1767"/>
      <w:bookmarkEnd w:id="1768"/>
      <w:bookmarkEnd w:id="1769"/>
    </w:p>
    <w:p w14:paraId="725436D8" w14:textId="77777777" w:rsidR="00FC0453" w:rsidRPr="002754BA" w:rsidRDefault="00FC0453" w:rsidP="00F01166">
      <w:pPr>
        <w:spacing w:after="0" w:line="240" w:lineRule="auto"/>
        <w:jc w:val="both"/>
        <w:rPr>
          <w:rFonts w:ascii="Arial" w:hAnsi="Arial" w:cs="Arial"/>
          <w:b/>
        </w:rPr>
      </w:pPr>
    </w:p>
    <w:p w14:paraId="23C8E6A5" w14:textId="77777777" w:rsidR="00FC0453" w:rsidRPr="00F93D9B" w:rsidRDefault="00FC0453" w:rsidP="0044500E">
      <w:pPr>
        <w:pStyle w:val="Paragraphedeliste"/>
        <w:numPr>
          <w:ilvl w:val="0"/>
          <w:numId w:val="196"/>
        </w:numPr>
        <w:spacing w:before="120" w:line="240" w:lineRule="auto"/>
        <w:ind w:left="714" w:hanging="357"/>
        <w:jc w:val="both"/>
        <w:rPr>
          <w:rFonts w:ascii="Arial" w:hAnsi="Arial" w:cs="Arial"/>
          <w:b/>
        </w:rPr>
      </w:pPr>
      <w:r>
        <w:rPr>
          <w:rFonts w:ascii="Arial" w:hAnsi="Arial" w:cs="Arial"/>
          <w:b/>
        </w:rPr>
        <w:t xml:space="preserve">Objectif </w:t>
      </w:r>
    </w:p>
    <w:p w14:paraId="6D450A40" w14:textId="77777777" w:rsidR="00FC0453" w:rsidRPr="00F93D9B" w:rsidRDefault="00FC0453" w:rsidP="00FC0453">
      <w:pPr>
        <w:pStyle w:val="Default"/>
        <w:jc w:val="both"/>
        <w:rPr>
          <w:sz w:val="22"/>
          <w:szCs w:val="22"/>
        </w:rPr>
      </w:pPr>
      <w:r w:rsidRPr="00F93D9B">
        <w:rPr>
          <w:sz w:val="22"/>
          <w:szCs w:val="22"/>
        </w:rPr>
        <w:t xml:space="preserve">Le plan de gestion a pour objet de prévenir et de protéger la santé de l'homme, la faune, la flore, les eaux, l'air, le sol, les écosystèmes, les sites et paysages et l'environnement en général contre les effets nocifs des déchets. A cet effet, il vise : </w:t>
      </w:r>
    </w:p>
    <w:p w14:paraId="0CA72FF1" w14:textId="77777777" w:rsidR="00FC0453" w:rsidRPr="00F93D9B" w:rsidRDefault="00FC0453" w:rsidP="0044500E">
      <w:pPr>
        <w:pStyle w:val="Default"/>
        <w:numPr>
          <w:ilvl w:val="0"/>
          <w:numId w:val="197"/>
        </w:numPr>
        <w:spacing w:after="20"/>
        <w:jc w:val="both"/>
        <w:rPr>
          <w:sz w:val="22"/>
          <w:szCs w:val="22"/>
        </w:rPr>
      </w:pPr>
      <w:r w:rsidRPr="00F93D9B">
        <w:rPr>
          <w:sz w:val="22"/>
          <w:szCs w:val="22"/>
        </w:rPr>
        <w:t xml:space="preserve">La prévention de la nocivité des déchets et la réduction de leur production ; </w:t>
      </w:r>
    </w:p>
    <w:p w14:paraId="04E6D93E" w14:textId="77777777" w:rsidR="00FC0453" w:rsidRPr="00F93D9B" w:rsidRDefault="00FC0453" w:rsidP="0044500E">
      <w:pPr>
        <w:pStyle w:val="Default"/>
        <w:numPr>
          <w:ilvl w:val="0"/>
          <w:numId w:val="197"/>
        </w:numPr>
        <w:spacing w:after="20"/>
        <w:jc w:val="both"/>
        <w:rPr>
          <w:sz w:val="22"/>
          <w:szCs w:val="22"/>
        </w:rPr>
      </w:pPr>
      <w:r w:rsidRPr="00F93D9B">
        <w:rPr>
          <w:sz w:val="22"/>
          <w:szCs w:val="22"/>
        </w:rPr>
        <w:t xml:space="preserve">L'organisation de la collecte, du transport, du stockage, du traitement des déchets et de leur élimination de façon écologiquement rationnelle ; </w:t>
      </w:r>
    </w:p>
    <w:p w14:paraId="2728C4D7" w14:textId="77777777" w:rsidR="00FC0453" w:rsidRPr="00F93D9B" w:rsidRDefault="00FC0453" w:rsidP="0044500E">
      <w:pPr>
        <w:pStyle w:val="Default"/>
        <w:numPr>
          <w:ilvl w:val="0"/>
          <w:numId w:val="197"/>
        </w:numPr>
        <w:spacing w:after="20"/>
        <w:jc w:val="both"/>
        <w:rPr>
          <w:sz w:val="22"/>
          <w:szCs w:val="22"/>
        </w:rPr>
      </w:pPr>
      <w:r w:rsidRPr="00F93D9B">
        <w:rPr>
          <w:sz w:val="22"/>
          <w:szCs w:val="22"/>
        </w:rPr>
        <w:t xml:space="preserve">La valorisation des déchets par le réemploi, le recyclage ou toute autre opération visant à obtenir, à partir des déchets, des matériaux réutilisables ; </w:t>
      </w:r>
    </w:p>
    <w:p w14:paraId="6214311D" w14:textId="77777777" w:rsidR="00FC0453" w:rsidRPr="00F93D9B" w:rsidRDefault="00FC0453" w:rsidP="0044500E">
      <w:pPr>
        <w:pStyle w:val="Default"/>
        <w:numPr>
          <w:ilvl w:val="0"/>
          <w:numId w:val="197"/>
        </w:numPr>
        <w:spacing w:after="20"/>
        <w:jc w:val="both"/>
        <w:rPr>
          <w:sz w:val="22"/>
          <w:szCs w:val="22"/>
        </w:rPr>
      </w:pPr>
      <w:r w:rsidRPr="00F93D9B">
        <w:rPr>
          <w:sz w:val="22"/>
          <w:szCs w:val="22"/>
        </w:rPr>
        <w:t xml:space="preserve">L’élimination des déchets y compris la surveillance et documentation des sites de décharges </w:t>
      </w:r>
    </w:p>
    <w:p w14:paraId="3BAD0A8A" w14:textId="77777777" w:rsidR="00FC0453" w:rsidRPr="00F93D9B" w:rsidRDefault="00FC0453" w:rsidP="0044500E">
      <w:pPr>
        <w:pStyle w:val="Default"/>
        <w:numPr>
          <w:ilvl w:val="0"/>
          <w:numId w:val="197"/>
        </w:numPr>
        <w:jc w:val="both"/>
        <w:rPr>
          <w:sz w:val="22"/>
          <w:szCs w:val="22"/>
        </w:rPr>
      </w:pPr>
      <w:r w:rsidRPr="00F93D9B">
        <w:rPr>
          <w:sz w:val="22"/>
          <w:szCs w:val="22"/>
        </w:rPr>
        <w:t xml:space="preserve">L'information du public sur les effets nocifs des déchets, sur la santé publique et l'environnement ainsi que sur les mesures de prévention ou de compensation de leurs effets préjudiciables. </w:t>
      </w:r>
    </w:p>
    <w:p w14:paraId="787A2446" w14:textId="77777777" w:rsidR="00FC0453" w:rsidRDefault="00FC0453" w:rsidP="00F01166">
      <w:pPr>
        <w:spacing w:after="0"/>
        <w:rPr>
          <w:rFonts w:ascii="Arial" w:hAnsi="Arial" w:cs="Arial"/>
        </w:rPr>
      </w:pPr>
    </w:p>
    <w:p w14:paraId="00CE90F6" w14:textId="77777777" w:rsidR="00FC0453" w:rsidRPr="00F93D9B" w:rsidRDefault="00FC0453" w:rsidP="0044500E">
      <w:pPr>
        <w:pStyle w:val="Paragraphedeliste"/>
        <w:numPr>
          <w:ilvl w:val="0"/>
          <w:numId w:val="196"/>
        </w:numPr>
        <w:spacing w:before="120" w:line="240" w:lineRule="auto"/>
        <w:ind w:left="714" w:hanging="357"/>
        <w:jc w:val="both"/>
        <w:rPr>
          <w:rFonts w:ascii="Arial" w:hAnsi="Arial" w:cs="Arial"/>
          <w:b/>
        </w:rPr>
      </w:pPr>
      <w:r w:rsidRPr="00F93D9B">
        <w:rPr>
          <w:rFonts w:ascii="Arial" w:hAnsi="Arial" w:cs="Arial"/>
          <w:b/>
        </w:rPr>
        <w:t xml:space="preserve">Classification des DEEE </w:t>
      </w:r>
      <w:r>
        <w:rPr>
          <w:rFonts w:ascii="Arial" w:hAnsi="Arial" w:cs="Arial"/>
          <w:b/>
        </w:rPr>
        <w:t xml:space="preserve">générés par le Projet </w:t>
      </w:r>
    </w:p>
    <w:p w14:paraId="0F9BE6D7" w14:textId="77777777" w:rsidR="00FC0453" w:rsidRDefault="00FC0453" w:rsidP="00FC0453">
      <w:pPr>
        <w:rPr>
          <w:rFonts w:ascii="Arial" w:hAnsi="Arial" w:cs="Arial"/>
        </w:rPr>
      </w:pPr>
      <w:r>
        <w:rPr>
          <w:rFonts w:ascii="Arial" w:hAnsi="Arial" w:cs="Arial"/>
        </w:rPr>
        <w:t xml:space="preserve">Plusieurs types de déchet d’’Equipement Electronique et Electrique peuvent être générés par la mise en œuvre du Projet DECIM. Ces déchets peuvent être classés comme suit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7"/>
      </w:tblGrid>
      <w:tr w:rsidR="00FC0453" w14:paraId="677BAC4D" w14:textId="77777777" w:rsidTr="00A52F8A">
        <w:tc>
          <w:tcPr>
            <w:tcW w:w="4606" w:type="dxa"/>
            <w:shd w:val="clear" w:color="auto" w:fill="auto"/>
          </w:tcPr>
          <w:p w14:paraId="6AF385CB" w14:textId="77777777" w:rsidR="00FC0453" w:rsidRPr="00A52F8A" w:rsidRDefault="00FC0453" w:rsidP="00A52F8A">
            <w:pPr>
              <w:jc w:val="center"/>
              <w:rPr>
                <w:b/>
              </w:rPr>
            </w:pPr>
            <w:r w:rsidRPr="00A52F8A">
              <w:rPr>
                <w:b/>
              </w:rPr>
              <w:t>Catégorie de déchets</w:t>
            </w:r>
          </w:p>
        </w:tc>
        <w:tc>
          <w:tcPr>
            <w:tcW w:w="4606" w:type="dxa"/>
            <w:shd w:val="clear" w:color="auto" w:fill="auto"/>
          </w:tcPr>
          <w:p w14:paraId="1B60B13A" w14:textId="77777777" w:rsidR="00FC0453" w:rsidRPr="00A52F8A" w:rsidRDefault="00FC0453" w:rsidP="00A52F8A">
            <w:pPr>
              <w:jc w:val="center"/>
              <w:rPr>
                <w:b/>
              </w:rPr>
            </w:pPr>
            <w:r w:rsidRPr="00A52F8A">
              <w:rPr>
                <w:b/>
              </w:rPr>
              <w:t>Matériels</w:t>
            </w:r>
          </w:p>
        </w:tc>
      </w:tr>
      <w:tr w:rsidR="00FC0453" w14:paraId="7DD32523" w14:textId="77777777" w:rsidTr="00A52F8A">
        <w:tc>
          <w:tcPr>
            <w:tcW w:w="4606" w:type="dxa"/>
            <w:shd w:val="clear" w:color="auto" w:fill="auto"/>
          </w:tcPr>
          <w:p w14:paraId="0E8DE296" w14:textId="77777777" w:rsidR="00FC0453" w:rsidRPr="00A52F8A" w:rsidRDefault="00FC0453" w:rsidP="00A52F8A">
            <w:pPr>
              <w:autoSpaceDE w:val="0"/>
              <w:autoSpaceDN w:val="0"/>
              <w:adjustRightInd w:val="0"/>
              <w:spacing w:before="120" w:after="120"/>
              <w:rPr>
                <w:rFonts w:ascii="Arial" w:hAnsi="Arial" w:cs="Arial"/>
              </w:rPr>
            </w:pPr>
            <w:r w:rsidRPr="00A52F8A">
              <w:rPr>
                <w:rFonts w:ascii="Times New Roman" w:hAnsi="Times New Roman"/>
                <w:sz w:val="20"/>
                <w:szCs w:val="20"/>
              </w:rPr>
              <w:t>GRAND ELECTROMENAGER BLANC avec ou sans CFC</w:t>
            </w:r>
          </w:p>
        </w:tc>
        <w:tc>
          <w:tcPr>
            <w:tcW w:w="4606" w:type="dxa"/>
            <w:shd w:val="clear" w:color="auto" w:fill="auto"/>
          </w:tcPr>
          <w:p w14:paraId="743A5B72" w14:textId="77777777" w:rsidR="00FC0453" w:rsidRPr="00A52F8A" w:rsidRDefault="00FC0453" w:rsidP="00A52F8A">
            <w:pPr>
              <w:autoSpaceDE w:val="0"/>
              <w:autoSpaceDN w:val="0"/>
              <w:adjustRightInd w:val="0"/>
              <w:rPr>
                <w:rFonts w:ascii="Arial" w:hAnsi="Arial" w:cs="Arial"/>
              </w:rPr>
            </w:pPr>
            <w:r w:rsidRPr="00A52F8A">
              <w:rPr>
                <w:rFonts w:ascii="Times New Roman" w:hAnsi="Times New Roman"/>
                <w:sz w:val="20"/>
                <w:szCs w:val="20"/>
              </w:rPr>
              <w:t>Gros appareils ménagers</w:t>
            </w:r>
            <w:r w:rsidR="00224D29">
              <w:rPr>
                <w:rFonts w:ascii="Times New Roman" w:hAnsi="Times New Roman"/>
                <w:sz w:val="20"/>
                <w:szCs w:val="20"/>
              </w:rPr>
              <w:t xml:space="preserve"> </w:t>
            </w:r>
            <w:r w:rsidRPr="00A52F8A">
              <w:rPr>
                <w:rFonts w:ascii="Times New Roman" w:hAnsi="Times New Roman"/>
                <w:sz w:val="20"/>
                <w:szCs w:val="20"/>
              </w:rPr>
              <w:t>: Réfrigérateur, congélateurs, lave linges, cuisinières, appareils de chauffage électrique</w:t>
            </w:r>
          </w:p>
        </w:tc>
      </w:tr>
      <w:tr w:rsidR="00FC0453" w:rsidRPr="00711DE5" w14:paraId="49C847C2" w14:textId="77777777" w:rsidTr="00A52F8A">
        <w:tc>
          <w:tcPr>
            <w:tcW w:w="4606" w:type="dxa"/>
            <w:shd w:val="clear" w:color="auto" w:fill="auto"/>
          </w:tcPr>
          <w:p w14:paraId="2844B251" w14:textId="77777777" w:rsidR="00FC0453" w:rsidRPr="00A52F8A" w:rsidRDefault="00FC0453" w:rsidP="00A52F8A">
            <w:pPr>
              <w:autoSpaceDE w:val="0"/>
              <w:autoSpaceDN w:val="0"/>
              <w:adjustRightInd w:val="0"/>
              <w:spacing w:before="120" w:after="120"/>
              <w:rPr>
                <w:rFonts w:ascii="Times New Roman" w:hAnsi="Times New Roman"/>
                <w:sz w:val="20"/>
                <w:szCs w:val="20"/>
              </w:rPr>
            </w:pPr>
            <w:r w:rsidRPr="00A52F8A">
              <w:rPr>
                <w:rFonts w:ascii="Times New Roman" w:hAnsi="Times New Roman"/>
                <w:sz w:val="20"/>
                <w:szCs w:val="20"/>
              </w:rPr>
              <w:t>PETIT ELECTROMENAGER BLANC</w:t>
            </w:r>
          </w:p>
        </w:tc>
        <w:tc>
          <w:tcPr>
            <w:tcW w:w="4606" w:type="dxa"/>
            <w:shd w:val="clear" w:color="auto" w:fill="auto"/>
          </w:tcPr>
          <w:p w14:paraId="6E7997FA" w14:textId="77777777" w:rsidR="00FC0453" w:rsidRPr="00A52F8A" w:rsidRDefault="00FC0453" w:rsidP="00A52F8A">
            <w:pPr>
              <w:autoSpaceDE w:val="0"/>
              <w:autoSpaceDN w:val="0"/>
              <w:adjustRightInd w:val="0"/>
              <w:rPr>
                <w:rFonts w:ascii="Times New Roman" w:hAnsi="Times New Roman"/>
                <w:sz w:val="20"/>
                <w:szCs w:val="20"/>
              </w:rPr>
            </w:pPr>
            <w:r w:rsidRPr="00A52F8A">
              <w:rPr>
                <w:rFonts w:ascii="Times New Roman" w:hAnsi="Times New Roman"/>
                <w:sz w:val="20"/>
                <w:szCs w:val="20"/>
              </w:rPr>
              <w:t>Petits appareils ménagers : Aspirateurs, gris paille, fers à repasser; bouilloire, Mixeur, etc.</w:t>
            </w:r>
          </w:p>
        </w:tc>
      </w:tr>
      <w:tr w:rsidR="00FC0453" w:rsidRPr="00711DE5" w14:paraId="42D36DB8" w14:textId="77777777" w:rsidTr="00A52F8A">
        <w:tc>
          <w:tcPr>
            <w:tcW w:w="4606" w:type="dxa"/>
            <w:shd w:val="clear" w:color="auto" w:fill="auto"/>
          </w:tcPr>
          <w:p w14:paraId="2375B3B9" w14:textId="77777777" w:rsidR="00FC0453" w:rsidRPr="00A52F8A" w:rsidRDefault="00FC0453" w:rsidP="00A52F8A">
            <w:pPr>
              <w:autoSpaceDE w:val="0"/>
              <w:autoSpaceDN w:val="0"/>
              <w:adjustRightInd w:val="0"/>
              <w:spacing w:before="120" w:after="120"/>
              <w:rPr>
                <w:rFonts w:ascii="Times New Roman" w:hAnsi="Times New Roman"/>
                <w:sz w:val="20"/>
                <w:szCs w:val="20"/>
              </w:rPr>
            </w:pPr>
            <w:r w:rsidRPr="00A52F8A">
              <w:rPr>
                <w:rFonts w:ascii="Times New Roman" w:hAnsi="Times New Roman"/>
                <w:sz w:val="20"/>
                <w:szCs w:val="20"/>
              </w:rPr>
              <w:t>PRODUITS GRIS</w:t>
            </w:r>
          </w:p>
        </w:tc>
        <w:tc>
          <w:tcPr>
            <w:tcW w:w="4606" w:type="dxa"/>
            <w:shd w:val="clear" w:color="auto" w:fill="auto"/>
          </w:tcPr>
          <w:p w14:paraId="757C764D" w14:textId="77777777" w:rsidR="00FC0453" w:rsidRPr="00A52F8A" w:rsidRDefault="00FC0453" w:rsidP="00A52F8A">
            <w:pPr>
              <w:autoSpaceDE w:val="0"/>
              <w:autoSpaceDN w:val="0"/>
              <w:adjustRightInd w:val="0"/>
              <w:spacing w:before="120" w:after="120"/>
              <w:rPr>
                <w:rFonts w:ascii="Times New Roman" w:hAnsi="Times New Roman"/>
                <w:sz w:val="20"/>
                <w:szCs w:val="20"/>
              </w:rPr>
            </w:pPr>
            <w:r w:rsidRPr="00A52F8A">
              <w:rPr>
                <w:rFonts w:ascii="Times New Roman" w:hAnsi="Times New Roman"/>
                <w:sz w:val="20"/>
                <w:szCs w:val="20"/>
              </w:rPr>
              <w:t>Equipements informatiques, de télécommunications, Ordinateurs, imprimantes, téléphones et photocopieuses et tous les matériels de nouvelle technologie;</w:t>
            </w:r>
          </w:p>
        </w:tc>
      </w:tr>
      <w:tr w:rsidR="00FC0453" w:rsidRPr="00711DE5" w14:paraId="291E0560" w14:textId="77777777" w:rsidTr="00A52F8A">
        <w:tc>
          <w:tcPr>
            <w:tcW w:w="4606" w:type="dxa"/>
            <w:shd w:val="clear" w:color="auto" w:fill="auto"/>
          </w:tcPr>
          <w:p w14:paraId="44250E86" w14:textId="77777777" w:rsidR="00FC0453" w:rsidRPr="00A52F8A" w:rsidRDefault="00FC0453" w:rsidP="00A52F8A">
            <w:pPr>
              <w:autoSpaceDE w:val="0"/>
              <w:autoSpaceDN w:val="0"/>
              <w:adjustRightInd w:val="0"/>
              <w:spacing w:before="120" w:after="120"/>
              <w:rPr>
                <w:rFonts w:ascii="Times New Roman" w:hAnsi="Times New Roman"/>
                <w:sz w:val="20"/>
                <w:szCs w:val="20"/>
              </w:rPr>
            </w:pPr>
            <w:r w:rsidRPr="00A52F8A">
              <w:rPr>
                <w:rFonts w:ascii="Times New Roman" w:hAnsi="Times New Roman"/>
                <w:sz w:val="20"/>
                <w:szCs w:val="20"/>
              </w:rPr>
              <w:t>PRODUITS BRUNS avec ou sans tube cathodique</w:t>
            </w:r>
          </w:p>
        </w:tc>
        <w:tc>
          <w:tcPr>
            <w:tcW w:w="4606" w:type="dxa"/>
            <w:shd w:val="clear" w:color="auto" w:fill="auto"/>
          </w:tcPr>
          <w:p w14:paraId="5CAB0CFC" w14:textId="77777777" w:rsidR="00FC0453" w:rsidRPr="00A52F8A" w:rsidRDefault="00FC0453" w:rsidP="00A52F8A">
            <w:pPr>
              <w:autoSpaceDE w:val="0"/>
              <w:autoSpaceDN w:val="0"/>
              <w:adjustRightInd w:val="0"/>
              <w:spacing w:before="120" w:after="120"/>
              <w:rPr>
                <w:rFonts w:ascii="Times New Roman" w:hAnsi="Times New Roman"/>
                <w:sz w:val="20"/>
                <w:szCs w:val="20"/>
              </w:rPr>
            </w:pPr>
            <w:r w:rsidRPr="00A52F8A">
              <w:rPr>
                <w:rFonts w:ascii="Times New Roman" w:hAnsi="Times New Roman"/>
                <w:sz w:val="20"/>
                <w:szCs w:val="20"/>
              </w:rPr>
              <w:t>Matériel grand public, Téléviseurs, Poste radio, magnétoscope</w:t>
            </w:r>
          </w:p>
        </w:tc>
      </w:tr>
      <w:tr w:rsidR="00FC0453" w:rsidRPr="00711DE5" w14:paraId="6F143BD4" w14:textId="77777777" w:rsidTr="00A52F8A">
        <w:tc>
          <w:tcPr>
            <w:tcW w:w="4606" w:type="dxa"/>
            <w:shd w:val="clear" w:color="auto" w:fill="auto"/>
          </w:tcPr>
          <w:p w14:paraId="7FC107F1" w14:textId="77777777" w:rsidR="00FC0453" w:rsidRPr="00A52F8A" w:rsidRDefault="00FC0453" w:rsidP="00A52F8A">
            <w:pPr>
              <w:autoSpaceDE w:val="0"/>
              <w:autoSpaceDN w:val="0"/>
              <w:adjustRightInd w:val="0"/>
              <w:spacing w:before="120" w:after="120"/>
              <w:rPr>
                <w:rFonts w:ascii="Times New Roman" w:hAnsi="Times New Roman"/>
                <w:sz w:val="20"/>
                <w:szCs w:val="20"/>
              </w:rPr>
            </w:pPr>
            <w:r w:rsidRPr="00A52F8A">
              <w:rPr>
                <w:rFonts w:ascii="Times New Roman" w:hAnsi="Times New Roman"/>
                <w:sz w:val="20"/>
                <w:szCs w:val="20"/>
              </w:rPr>
              <w:t xml:space="preserve">AUTRES </w:t>
            </w:r>
          </w:p>
        </w:tc>
        <w:tc>
          <w:tcPr>
            <w:tcW w:w="4606" w:type="dxa"/>
            <w:shd w:val="clear" w:color="auto" w:fill="auto"/>
          </w:tcPr>
          <w:p w14:paraId="2B5AA11D" w14:textId="77777777" w:rsidR="00FC0453" w:rsidRPr="00A52F8A" w:rsidRDefault="00FC0453" w:rsidP="00A52F8A">
            <w:pPr>
              <w:autoSpaceDE w:val="0"/>
              <w:autoSpaceDN w:val="0"/>
              <w:adjustRightInd w:val="0"/>
              <w:spacing w:before="120" w:after="120"/>
              <w:rPr>
                <w:rFonts w:ascii="Times New Roman" w:hAnsi="Times New Roman"/>
                <w:sz w:val="20"/>
                <w:szCs w:val="20"/>
              </w:rPr>
            </w:pPr>
            <w:r w:rsidRPr="00A52F8A">
              <w:rPr>
                <w:rFonts w:ascii="Times New Roman" w:hAnsi="Times New Roman"/>
                <w:sz w:val="20"/>
                <w:szCs w:val="20"/>
              </w:rPr>
              <w:t xml:space="preserve">Matériels d’éclairages : Tubes fluorescents, lampe à décharge; </w:t>
            </w:r>
          </w:p>
          <w:p w14:paraId="4EE3930D" w14:textId="77777777" w:rsidR="00FC0453" w:rsidRPr="00A52F8A" w:rsidRDefault="00FC0453" w:rsidP="00A52F8A">
            <w:pPr>
              <w:autoSpaceDE w:val="0"/>
              <w:autoSpaceDN w:val="0"/>
              <w:adjustRightInd w:val="0"/>
              <w:spacing w:before="120" w:after="120"/>
              <w:rPr>
                <w:rFonts w:ascii="Times New Roman" w:hAnsi="Times New Roman"/>
                <w:sz w:val="20"/>
                <w:szCs w:val="20"/>
              </w:rPr>
            </w:pPr>
            <w:r w:rsidRPr="00A52F8A">
              <w:rPr>
                <w:rFonts w:ascii="Times New Roman" w:hAnsi="Times New Roman"/>
                <w:sz w:val="20"/>
                <w:szCs w:val="20"/>
              </w:rPr>
              <w:t>Outils électriques et électroniques : Fourreuses, scies, machine à coudre ; Jouets,</w:t>
            </w:r>
          </w:p>
          <w:p w14:paraId="0B8D386F" w14:textId="77777777" w:rsidR="00FC0453" w:rsidRPr="00A52F8A" w:rsidRDefault="00535159" w:rsidP="00A52F8A">
            <w:pPr>
              <w:autoSpaceDE w:val="0"/>
              <w:autoSpaceDN w:val="0"/>
              <w:adjustRightInd w:val="0"/>
              <w:spacing w:before="120" w:after="120"/>
              <w:rPr>
                <w:rFonts w:ascii="Times New Roman" w:hAnsi="Times New Roman"/>
                <w:sz w:val="20"/>
                <w:szCs w:val="20"/>
              </w:rPr>
            </w:pPr>
            <w:r>
              <w:rPr>
                <w:rFonts w:ascii="Times New Roman" w:hAnsi="Times New Roman"/>
                <w:sz w:val="20"/>
                <w:szCs w:val="20"/>
              </w:rPr>
              <w:t>E</w:t>
            </w:r>
            <w:r w:rsidR="00FC0453" w:rsidRPr="00A52F8A">
              <w:rPr>
                <w:rFonts w:ascii="Times New Roman" w:hAnsi="Times New Roman"/>
                <w:sz w:val="20"/>
                <w:szCs w:val="20"/>
              </w:rPr>
              <w:t>quipements de loisirs et de sports : Jeu vidéo, machine à sous;</w:t>
            </w:r>
          </w:p>
          <w:p w14:paraId="43BAC494" w14:textId="77777777" w:rsidR="00FC0453" w:rsidRPr="00A52F8A" w:rsidRDefault="00FC0453" w:rsidP="00A52F8A">
            <w:pPr>
              <w:autoSpaceDE w:val="0"/>
              <w:autoSpaceDN w:val="0"/>
              <w:adjustRightInd w:val="0"/>
              <w:spacing w:before="120" w:after="120"/>
              <w:rPr>
                <w:rFonts w:ascii="Times New Roman" w:hAnsi="Times New Roman"/>
                <w:sz w:val="20"/>
                <w:szCs w:val="20"/>
              </w:rPr>
            </w:pPr>
            <w:r w:rsidRPr="00A52F8A">
              <w:rPr>
                <w:rFonts w:ascii="Times New Roman" w:hAnsi="Times New Roman"/>
                <w:sz w:val="20"/>
                <w:szCs w:val="20"/>
              </w:rPr>
              <w:t>Panneau Photovoltaïque, Batterie de stockage d’énergie</w:t>
            </w:r>
          </w:p>
        </w:tc>
      </w:tr>
    </w:tbl>
    <w:p w14:paraId="76481A97" w14:textId="77777777" w:rsidR="00FC0453" w:rsidRDefault="00FC0453" w:rsidP="00FC0453">
      <w:pPr>
        <w:rPr>
          <w:rFonts w:ascii="Arial" w:hAnsi="Arial" w:cs="Arial"/>
        </w:rPr>
      </w:pPr>
    </w:p>
    <w:p w14:paraId="47310652" w14:textId="77777777" w:rsidR="00FC0453" w:rsidRPr="003E7FAD" w:rsidRDefault="00FC0453" w:rsidP="00FC0453">
      <w:pPr>
        <w:jc w:val="both"/>
        <w:rPr>
          <w:rFonts w:ascii="Arial" w:hAnsi="Arial" w:cs="Arial"/>
        </w:rPr>
      </w:pPr>
      <w:r>
        <w:rPr>
          <w:rFonts w:ascii="Arial" w:hAnsi="Arial" w:cs="Arial"/>
        </w:rPr>
        <w:t>Ces équipements</w:t>
      </w:r>
      <w:r w:rsidRPr="003E7FAD">
        <w:rPr>
          <w:rFonts w:ascii="Arial" w:hAnsi="Arial" w:cs="Arial"/>
        </w:rPr>
        <w:t xml:space="preserve"> électriques ou électroniques peuvent contenir diverses substances dangereuses. À cause de la présence de ces substances, les déchets électroniques sont en général considérés comme des déchets dangereux qui, lorsqu’ils sont mal gérés, peuvent présenter un risque sérieux pour l’environnement et la santé humaine. </w:t>
      </w:r>
    </w:p>
    <w:p w14:paraId="3ECC4E2F" w14:textId="77777777" w:rsidR="00FC0453" w:rsidRPr="003E7FAD" w:rsidRDefault="00FC0453" w:rsidP="00FC0453">
      <w:pPr>
        <w:jc w:val="both"/>
        <w:rPr>
          <w:rFonts w:ascii="Arial" w:hAnsi="Arial" w:cs="Arial"/>
        </w:rPr>
      </w:pPr>
      <w:r w:rsidRPr="003E7FAD">
        <w:rPr>
          <w:rFonts w:ascii="Arial" w:hAnsi="Arial" w:cs="Arial"/>
        </w:rPr>
        <w:t xml:space="preserve">La gestion et l’élimination planifiées des déchets électroniques dans chaque commune bénéficiaire sont donc importantes pour la préservation à long terme de la santé des collectivités et de l’environnement. </w:t>
      </w:r>
    </w:p>
    <w:p w14:paraId="3EE0251C" w14:textId="77777777" w:rsidR="00FC0453" w:rsidRDefault="00FC0453" w:rsidP="00FC0453">
      <w:pPr>
        <w:jc w:val="both"/>
        <w:rPr>
          <w:rFonts w:ascii="Arial" w:hAnsi="Arial" w:cs="Arial"/>
        </w:rPr>
      </w:pPr>
      <w:r w:rsidRPr="003E7FAD">
        <w:rPr>
          <w:rFonts w:ascii="Arial" w:hAnsi="Arial" w:cs="Arial"/>
        </w:rPr>
        <w:t>Un large éventail de substances dangereuses peut être présent dans les DEEE. Celles</w:t>
      </w:r>
      <w:r w:rsidRPr="003E7FAD">
        <w:rPr>
          <w:rFonts w:ascii="Arial" w:hAnsi="Arial" w:cs="Arial"/>
        </w:rPr>
        <w:noBreakHyphen/>
        <w:t>ci sont présentées dans le Tableau</w:t>
      </w:r>
      <w:r>
        <w:rPr>
          <w:rFonts w:ascii="Arial" w:hAnsi="Arial" w:cs="Arial"/>
        </w:rPr>
        <w:t xml:space="preserve"> ci-après.</w:t>
      </w:r>
    </w:p>
    <w:tbl>
      <w:tblPr>
        <w:tblW w:w="8379" w:type="dxa"/>
        <w:tblInd w:w="55" w:type="dxa"/>
        <w:tblCellMar>
          <w:left w:w="70" w:type="dxa"/>
          <w:right w:w="70" w:type="dxa"/>
        </w:tblCellMar>
        <w:tblLook w:val="04A0" w:firstRow="1" w:lastRow="0" w:firstColumn="1" w:lastColumn="0" w:noHBand="0" w:noVBand="1"/>
      </w:tblPr>
      <w:tblGrid>
        <w:gridCol w:w="2709"/>
        <w:gridCol w:w="5670"/>
      </w:tblGrid>
      <w:tr w:rsidR="00FC0453" w:rsidRPr="000318D9" w14:paraId="05B4072B" w14:textId="77777777" w:rsidTr="00FC0453">
        <w:trPr>
          <w:trHeight w:val="315"/>
        </w:trPr>
        <w:tc>
          <w:tcPr>
            <w:tcW w:w="27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7FC7A50" w14:textId="77777777" w:rsidR="00FC0453" w:rsidRPr="000318D9" w:rsidRDefault="00FC0453" w:rsidP="00FC0453">
            <w:pPr>
              <w:spacing w:after="0" w:line="240" w:lineRule="auto"/>
              <w:rPr>
                <w:rFonts w:eastAsia="Times New Roman" w:cs="Calibri"/>
                <w:b/>
                <w:bCs/>
                <w:color w:val="000000"/>
                <w:lang w:eastAsia="fr-FR"/>
              </w:rPr>
            </w:pPr>
            <w:r w:rsidRPr="000318D9">
              <w:rPr>
                <w:rFonts w:eastAsia="Times New Roman" w:cs="Calibri"/>
                <w:b/>
                <w:bCs/>
                <w:color w:val="000000"/>
                <w:lang w:eastAsia="fr-FR"/>
              </w:rPr>
              <w:t xml:space="preserve">Substances </w:t>
            </w:r>
          </w:p>
        </w:tc>
        <w:tc>
          <w:tcPr>
            <w:tcW w:w="5670" w:type="dxa"/>
            <w:tcBorders>
              <w:top w:val="single" w:sz="8" w:space="0" w:color="auto"/>
              <w:left w:val="nil"/>
              <w:bottom w:val="single" w:sz="8" w:space="0" w:color="auto"/>
              <w:right w:val="single" w:sz="8" w:space="0" w:color="auto"/>
            </w:tcBorders>
            <w:shd w:val="clear" w:color="auto" w:fill="auto"/>
            <w:vAlign w:val="center"/>
            <w:hideMark/>
          </w:tcPr>
          <w:p w14:paraId="6BED326A" w14:textId="77777777" w:rsidR="00FC0453" w:rsidRPr="000318D9" w:rsidRDefault="00FC0453" w:rsidP="00FC0453">
            <w:pPr>
              <w:spacing w:after="0" w:line="240" w:lineRule="auto"/>
              <w:rPr>
                <w:rFonts w:eastAsia="Times New Roman" w:cs="Calibri"/>
                <w:b/>
                <w:bCs/>
                <w:color w:val="000000"/>
                <w:lang w:eastAsia="fr-FR"/>
              </w:rPr>
            </w:pPr>
            <w:r w:rsidRPr="000318D9">
              <w:rPr>
                <w:rFonts w:eastAsia="Times New Roman" w:cs="Calibri"/>
                <w:b/>
                <w:bCs/>
                <w:color w:val="000000"/>
                <w:lang w:eastAsia="fr-FR"/>
              </w:rPr>
              <w:t xml:space="preserve">Présence dans les DEEE </w:t>
            </w:r>
          </w:p>
        </w:tc>
      </w:tr>
      <w:tr w:rsidR="00FC0453" w:rsidRPr="000318D9" w14:paraId="18D8E60B" w14:textId="77777777" w:rsidTr="00FC0453">
        <w:trPr>
          <w:trHeight w:val="615"/>
        </w:trPr>
        <w:tc>
          <w:tcPr>
            <w:tcW w:w="2709" w:type="dxa"/>
            <w:tcBorders>
              <w:top w:val="nil"/>
              <w:left w:val="single" w:sz="8" w:space="0" w:color="auto"/>
              <w:bottom w:val="single" w:sz="8" w:space="0" w:color="auto"/>
              <w:right w:val="single" w:sz="8" w:space="0" w:color="auto"/>
            </w:tcBorders>
            <w:shd w:val="clear" w:color="auto" w:fill="auto"/>
            <w:vAlign w:val="center"/>
            <w:hideMark/>
          </w:tcPr>
          <w:p w14:paraId="6683BD6F" w14:textId="77777777" w:rsidR="00FC0453" w:rsidRPr="000318D9" w:rsidRDefault="00FC0453" w:rsidP="00FC0453">
            <w:pPr>
              <w:spacing w:after="0" w:line="240" w:lineRule="auto"/>
              <w:rPr>
                <w:rFonts w:ascii="Arial" w:eastAsia="Times New Roman" w:hAnsi="Arial" w:cs="Arial"/>
                <w:b/>
                <w:bCs/>
                <w:color w:val="000000"/>
                <w:lang w:eastAsia="fr-FR"/>
              </w:rPr>
            </w:pPr>
            <w:r w:rsidRPr="000318D9">
              <w:rPr>
                <w:rFonts w:ascii="Arial" w:eastAsia="Times New Roman" w:hAnsi="Arial" w:cs="Arial"/>
                <w:b/>
                <w:bCs/>
                <w:color w:val="000000"/>
                <w:lang w:eastAsia="fr-FR"/>
              </w:rPr>
              <w:t xml:space="preserve">TBBA (tetrabromobisphénol A) </w:t>
            </w:r>
          </w:p>
        </w:tc>
        <w:tc>
          <w:tcPr>
            <w:tcW w:w="5670" w:type="dxa"/>
            <w:tcBorders>
              <w:top w:val="nil"/>
              <w:left w:val="nil"/>
              <w:bottom w:val="single" w:sz="8" w:space="0" w:color="auto"/>
              <w:right w:val="single" w:sz="8" w:space="0" w:color="auto"/>
            </w:tcBorders>
            <w:shd w:val="clear" w:color="auto" w:fill="auto"/>
            <w:vAlign w:val="center"/>
            <w:hideMark/>
          </w:tcPr>
          <w:p w14:paraId="670729BB" w14:textId="77777777" w:rsidR="00FC0453" w:rsidRPr="000318D9" w:rsidRDefault="00FC0453" w:rsidP="00FC0453">
            <w:pPr>
              <w:spacing w:after="0" w:line="240" w:lineRule="auto"/>
              <w:rPr>
                <w:rFonts w:ascii="Arial" w:eastAsia="Times New Roman" w:hAnsi="Arial" w:cs="Arial"/>
                <w:color w:val="000000"/>
                <w:lang w:eastAsia="fr-FR"/>
              </w:rPr>
            </w:pPr>
            <w:r w:rsidRPr="000318D9">
              <w:rPr>
                <w:rFonts w:ascii="Arial" w:eastAsia="Times New Roman" w:hAnsi="Arial" w:cs="Arial"/>
                <w:color w:val="000000"/>
                <w:lang w:eastAsia="fr-FR"/>
              </w:rPr>
              <w:t xml:space="preserve">(Composants thermoplastiques, câbles, cartes mères, circuits, boîtiers en plastique, etc.) </w:t>
            </w:r>
          </w:p>
        </w:tc>
      </w:tr>
      <w:tr w:rsidR="00FC0453" w:rsidRPr="000318D9" w14:paraId="5BB0DD7F" w14:textId="77777777" w:rsidTr="00FC0453">
        <w:trPr>
          <w:trHeight w:val="615"/>
        </w:trPr>
        <w:tc>
          <w:tcPr>
            <w:tcW w:w="2709" w:type="dxa"/>
            <w:tcBorders>
              <w:top w:val="nil"/>
              <w:left w:val="single" w:sz="8" w:space="0" w:color="auto"/>
              <w:bottom w:val="single" w:sz="8" w:space="0" w:color="auto"/>
              <w:right w:val="single" w:sz="8" w:space="0" w:color="auto"/>
            </w:tcBorders>
            <w:shd w:val="clear" w:color="auto" w:fill="auto"/>
            <w:vAlign w:val="center"/>
            <w:hideMark/>
          </w:tcPr>
          <w:p w14:paraId="53FDF82E" w14:textId="77777777" w:rsidR="00FC0453" w:rsidRPr="000318D9" w:rsidRDefault="00FC0453" w:rsidP="00FC0453">
            <w:pPr>
              <w:spacing w:after="0" w:line="240" w:lineRule="auto"/>
              <w:rPr>
                <w:rFonts w:ascii="Arial" w:eastAsia="Times New Roman" w:hAnsi="Arial" w:cs="Arial"/>
                <w:b/>
                <w:bCs/>
                <w:color w:val="000000"/>
                <w:lang w:eastAsia="fr-FR"/>
              </w:rPr>
            </w:pPr>
            <w:r w:rsidRPr="000318D9">
              <w:rPr>
                <w:rFonts w:ascii="Arial" w:eastAsia="Times New Roman" w:hAnsi="Arial" w:cs="Arial"/>
                <w:b/>
                <w:bCs/>
                <w:color w:val="000000"/>
                <w:lang w:eastAsia="fr-FR"/>
              </w:rPr>
              <w:t xml:space="preserve">Baryum </w:t>
            </w:r>
          </w:p>
        </w:tc>
        <w:tc>
          <w:tcPr>
            <w:tcW w:w="5670" w:type="dxa"/>
            <w:tcBorders>
              <w:top w:val="nil"/>
              <w:left w:val="nil"/>
              <w:bottom w:val="single" w:sz="8" w:space="0" w:color="auto"/>
              <w:right w:val="single" w:sz="8" w:space="0" w:color="auto"/>
            </w:tcBorders>
            <w:shd w:val="clear" w:color="auto" w:fill="auto"/>
            <w:vAlign w:val="center"/>
            <w:hideMark/>
          </w:tcPr>
          <w:p w14:paraId="5126E1CA" w14:textId="77777777" w:rsidR="00FC0453" w:rsidRPr="000318D9" w:rsidRDefault="00FC0453" w:rsidP="00FC0453">
            <w:pPr>
              <w:spacing w:after="0" w:line="240" w:lineRule="auto"/>
              <w:rPr>
                <w:rFonts w:ascii="Arial" w:eastAsia="Times New Roman" w:hAnsi="Arial" w:cs="Arial"/>
                <w:color w:val="000000"/>
                <w:lang w:eastAsia="fr-FR"/>
              </w:rPr>
            </w:pPr>
            <w:r w:rsidRPr="000318D9">
              <w:rPr>
                <w:rFonts w:ascii="Arial" w:eastAsia="Times New Roman" w:hAnsi="Arial" w:cs="Arial"/>
                <w:color w:val="000000"/>
                <w:lang w:eastAsia="fr-FR"/>
              </w:rPr>
              <w:t xml:space="preserve">Absorbeurs de gaz dans les tubes cathodiques des chambres de ventilation des écrans à tube cathodique </w:t>
            </w:r>
          </w:p>
        </w:tc>
      </w:tr>
      <w:tr w:rsidR="00FC0453" w:rsidRPr="000318D9" w14:paraId="33BA6429" w14:textId="77777777" w:rsidTr="00FC0453">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14:paraId="2B2E262F" w14:textId="77777777" w:rsidR="00FC0453" w:rsidRPr="000318D9" w:rsidRDefault="00FC0453" w:rsidP="00FC0453">
            <w:pPr>
              <w:spacing w:after="0" w:line="240" w:lineRule="auto"/>
              <w:rPr>
                <w:rFonts w:ascii="Arial" w:eastAsia="Times New Roman" w:hAnsi="Arial" w:cs="Arial"/>
                <w:b/>
                <w:bCs/>
                <w:color w:val="000000"/>
                <w:lang w:eastAsia="fr-FR"/>
              </w:rPr>
            </w:pPr>
            <w:r w:rsidRPr="000318D9">
              <w:rPr>
                <w:rFonts w:ascii="Arial" w:eastAsia="Times New Roman" w:hAnsi="Arial" w:cs="Arial"/>
                <w:b/>
                <w:bCs/>
                <w:color w:val="000000"/>
                <w:lang w:eastAsia="fr-FR"/>
              </w:rPr>
              <w:t xml:space="preserve">Béryllium </w:t>
            </w:r>
          </w:p>
        </w:tc>
        <w:tc>
          <w:tcPr>
            <w:tcW w:w="5670" w:type="dxa"/>
            <w:tcBorders>
              <w:top w:val="nil"/>
              <w:left w:val="nil"/>
              <w:bottom w:val="single" w:sz="8" w:space="0" w:color="auto"/>
              <w:right w:val="single" w:sz="8" w:space="0" w:color="auto"/>
            </w:tcBorders>
            <w:shd w:val="clear" w:color="auto" w:fill="auto"/>
            <w:vAlign w:val="center"/>
            <w:hideMark/>
          </w:tcPr>
          <w:p w14:paraId="247B92C5" w14:textId="77777777" w:rsidR="00FC0453" w:rsidRPr="000318D9" w:rsidRDefault="00FC0453" w:rsidP="00FC0453">
            <w:pPr>
              <w:spacing w:after="0" w:line="240" w:lineRule="auto"/>
              <w:rPr>
                <w:rFonts w:ascii="Arial" w:eastAsia="Times New Roman" w:hAnsi="Arial" w:cs="Arial"/>
                <w:color w:val="000000"/>
                <w:lang w:eastAsia="fr-FR"/>
              </w:rPr>
            </w:pPr>
            <w:r w:rsidRPr="000318D9">
              <w:rPr>
                <w:rFonts w:ascii="Arial" w:eastAsia="Times New Roman" w:hAnsi="Arial" w:cs="Arial"/>
                <w:color w:val="000000"/>
                <w:lang w:eastAsia="fr-FR"/>
              </w:rPr>
              <w:t xml:space="preserve">Boîtiers d’alimentation électrique (sources d’alimentation) </w:t>
            </w:r>
          </w:p>
        </w:tc>
      </w:tr>
      <w:tr w:rsidR="00FC0453" w:rsidRPr="000318D9" w14:paraId="55049C70" w14:textId="77777777" w:rsidTr="00FC0453">
        <w:trPr>
          <w:trHeight w:val="613"/>
        </w:trPr>
        <w:tc>
          <w:tcPr>
            <w:tcW w:w="2709" w:type="dxa"/>
            <w:tcBorders>
              <w:top w:val="nil"/>
              <w:left w:val="single" w:sz="8" w:space="0" w:color="auto"/>
              <w:bottom w:val="single" w:sz="8" w:space="0" w:color="auto"/>
              <w:right w:val="single" w:sz="8" w:space="0" w:color="auto"/>
            </w:tcBorders>
            <w:shd w:val="clear" w:color="auto" w:fill="auto"/>
            <w:vAlign w:val="center"/>
            <w:hideMark/>
          </w:tcPr>
          <w:p w14:paraId="10A15582" w14:textId="77777777" w:rsidR="00FC0453" w:rsidRPr="000318D9" w:rsidRDefault="00FC0453" w:rsidP="00FC0453">
            <w:pPr>
              <w:spacing w:after="0" w:line="240" w:lineRule="auto"/>
              <w:rPr>
                <w:rFonts w:ascii="Arial" w:eastAsia="Times New Roman" w:hAnsi="Arial" w:cs="Arial"/>
                <w:b/>
                <w:bCs/>
                <w:color w:val="000000"/>
                <w:lang w:eastAsia="fr-FR"/>
              </w:rPr>
            </w:pPr>
            <w:r w:rsidRPr="000318D9">
              <w:rPr>
                <w:rFonts w:ascii="Arial" w:eastAsia="Times New Roman" w:hAnsi="Arial" w:cs="Arial"/>
                <w:b/>
                <w:bCs/>
                <w:color w:val="000000"/>
                <w:lang w:eastAsia="fr-FR"/>
              </w:rPr>
              <w:t xml:space="preserve">Cadmium </w:t>
            </w:r>
          </w:p>
        </w:tc>
        <w:tc>
          <w:tcPr>
            <w:tcW w:w="5670" w:type="dxa"/>
            <w:tcBorders>
              <w:top w:val="nil"/>
              <w:left w:val="nil"/>
              <w:bottom w:val="single" w:sz="8" w:space="0" w:color="auto"/>
              <w:right w:val="single" w:sz="8" w:space="0" w:color="auto"/>
            </w:tcBorders>
            <w:shd w:val="clear" w:color="auto" w:fill="auto"/>
            <w:vAlign w:val="center"/>
            <w:hideMark/>
          </w:tcPr>
          <w:p w14:paraId="185A2330" w14:textId="77777777" w:rsidR="00FC0453" w:rsidRPr="000318D9" w:rsidRDefault="00FC0453" w:rsidP="00FC0453">
            <w:pPr>
              <w:spacing w:after="0" w:line="240" w:lineRule="auto"/>
              <w:rPr>
                <w:rFonts w:ascii="Arial" w:eastAsia="Times New Roman" w:hAnsi="Arial" w:cs="Arial"/>
                <w:color w:val="000000"/>
                <w:lang w:eastAsia="fr-FR"/>
              </w:rPr>
            </w:pPr>
            <w:r w:rsidRPr="000318D9">
              <w:rPr>
                <w:rFonts w:ascii="Arial" w:eastAsia="Times New Roman" w:hAnsi="Arial" w:cs="Arial"/>
                <w:color w:val="000000"/>
                <w:lang w:eastAsia="fr-FR"/>
              </w:rPr>
              <w:t>Batteries Ni</w:t>
            </w:r>
            <w:r w:rsidRPr="000318D9">
              <w:rPr>
                <w:rFonts w:ascii="Arial" w:eastAsia="Times New Roman" w:hAnsi="Arial" w:cs="Arial"/>
                <w:color w:val="000000"/>
                <w:lang w:eastAsia="fr-FR"/>
              </w:rPr>
              <w:noBreakHyphen/>
              <w:t xml:space="preserve">Cd rechargeables, couche fluorescente (écrans à tube cathodique), photocopieurs, contacts et interrupteurs, vieux tubes cathodiques </w:t>
            </w:r>
          </w:p>
        </w:tc>
      </w:tr>
      <w:tr w:rsidR="00FC0453" w:rsidRPr="000318D9" w14:paraId="2A074897" w14:textId="77777777" w:rsidTr="00FC0453">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14:paraId="2CF250C7" w14:textId="77777777" w:rsidR="00FC0453" w:rsidRPr="000318D9" w:rsidRDefault="00FC0453" w:rsidP="00FC0453">
            <w:pPr>
              <w:spacing w:after="0" w:line="240" w:lineRule="auto"/>
              <w:rPr>
                <w:rFonts w:ascii="Arial" w:eastAsia="Times New Roman" w:hAnsi="Arial" w:cs="Arial"/>
                <w:b/>
                <w:bCs/>
                <w:color w:val="000000"/>
                <w:lang w:eastAsia="fr-FR"/>
              </w:rPr>
            </w:pPr>
            <w:r w:rsidRPr="000318D9">
              <w:rPr>
                <w:rFonts w:ascii="Arial" w:eastAsia="Times New Roman" w:hAnsi="Arial" w:cs="Arial"/>
                <w:b/>
                <w:bCs/>
                <w:color w:val="000000"/>
                <w:lang w:eastAsia="fr-FR"/>
              </w:rPr>
              <w:t xml:space="preserve">Chrome VI </w:t>
            </w:r>
          </w:p>
        </w:tc>
        <w:tc>
          <w:tcPr>
            <w:tcW w:w="5670" w:type="dxa"/>
            <w:tcBorders>
              <w:top w:val="nil"/>
              <w:left w:val="nil"/>
              <w:bottom w:val="single" w:sz="8" w:space="0" w:color="auto"/>
              <w:right w:val="single" w:sz="8" w:space="0" w:color="auto"/>
            </w:tcBorders>
            <w:shd w:val="clear" w:color="auto" w:fill="auto"/>
            <w:vAlign w:val="center"/>
            <w:hideMark/>
          </w:tcPr>
          <w:p w14:paraId="67119ED5" w14:textId="77777777" w:rsidR="00FC0453" w:rsidRPr="000318D9" w:rsidRDefault="00FC0453" w:rsidP="00FC0453">
            <w:pPr>
              <w:spacing w:after="0" w:line="240" w:lineRule="auto"/>
              <w:rPr>
                <w:rFonts w:ascii="Arial" w:eastAsia="Times New Roman" w:hAnsi="Arial" w:cs="Arial"/>
                <w:color w:val="000000"/>
                <w:lang w:eastAsia="fr-FR"/>
              </w:rPr>
            </w:pPr>
            <w:r w:rsidRPr="000318D9">
              <w:rPr>
                <w:rFonts w:ascii="Arial" w:eastAsia="Times New Roman" w:hAnsi="Arial" w:cs="Arial"/>
                <w:color w:val="000000"/>
                <w:lang w:eastAsia="fr-FR"/>
              </w:rPr>
              <w:t xml:space="preserve">Disques durs et appareils de stockage des données </w:t>
            </w:r>
          </w:p>
        </w:tc>
      </w:tr>
      <w:tr w:rsidR="00FC0453" w:rsidRPr="000318D9" w14:paraId="0E17A342" w14:textId="77777777" w:rsidTr="00FC0453">
        <w:trPr>
          <w:trHeight w:val="615"/>
        </w:trPr>
        <w:tc>
          <w:tcPr>
            <w:tcW w:w="2709" w:type="dxa"/>
            <w:tcBorders>
              <w:top w:val="nil"/>
              <w:left w:val="single" w:sz="8" w:space="0" w:color="auto"/>
              <w:bottom w:val="single" w:sz="8" w:space="0" w:color="auto"/>
              <w:right w:val="single" w:sz="8" w:space="0" w:color="auto"/>
            </w:tcBorders>
            <w:shd w:val="clear" w:color="auto" w:fill="auto"/>
            <w:vAlign w:val="center"/>
            <w:hideMark/>
          </w:tcPr>
          <w:p w14:paraId="7478A251" w14:textId="77777777" w:rsidR="00FC0453" w:rsidRPr="000318D9" w:rsidRDefault="00FC0453" w:rsidP="00FC0453">
            <w:pPr>
              <w:spacing w:after="0" w:line="240" w:lineRule="auto"/>
              <w:rPr>
                <w:rFonts w:ascii="Arial" w:eastAsia="Times New Roman" w:hAnsi="Arial" w:cs="Arial"/>
                <w:b/>
                <w:bCs/>
                <w:color w:val="000000"/>
                <w:lang w:eastAsia="fr-FR"/>
              </w:rPr>
            </w:pPr>
            <w:r w:rsidRPr="000318D9">
              <w:rPr>
                <w:rFonts w:ascii="Arial" w:eastAsia="Times New Roman" w:hAnsi="Arial" w:cs="Arial"/>
                <w:b/>
                <w:bCs/>
                <w:color w:val="000000"/>
                <w:lang w:eastAsia="fr-FR"/>
              </w:rPr>
              <w:t xml:space="preserve">Plomb </w:t>
            </w:r>
          </w:p>
        </w:tc>
        <w:tc>
          <w:tcPr>
            <w:tcW w:w="5670" w:type="dxa"/>
            <w:tcBorders>
              <w:top w:val="nil"/>
              <w:left w:val="nil"/>
              <w:bottom w:val="single" w:sz="8" w:space="0" w:color="auto"/>
              <w:right w:val="single" w:sz="8" w:space="0" w:color="auto"/>
            </w:tcBorders>
            <w:shd w:val="clear" w:color="auto" w:fill="auto"/>
            <w:vAlign w:val="center"/>
            <w:hideMark/>
          </w:tcPr>
          <w:p w14:paraId="52F7F8FB" w14:textId="77777777" w:rsidR="00FC0453" w:rsidRPr="000318D9" w:rsidRDefault="00FC0453" w:rsidP="00FC0453">
            <w:pPr>
              <w:spacing w:after="0" w:line="240" w:lineRule="auto"/>
              <w:rPr>
                <w:rFonts w:ascii="Arial" w:eastAsia="Times New Roman" w:hAnsi="Arial" w:cs="Arial"/>
                <w:color w:val="000000"/>
                <w:lang w:eastAsia="fr-FR"/>
              </w:rPr>
            </w:pPr>
            <w:r w:rsidRPr="000318D9">
              <w:rPr>
                <w:rFonts w:ascii="Arial" w:eastAsia="Times New Roman" w:hAnsi="Arial" w:cs="Arial"/>
                <w:color w:val="000000"/>
                <w:lang w:eastAsia="fr-FR"/>
              </w:rPr>
              <w:t xml:space="preserve">Ecrans à tube cathodique, cartes à circuits imprimés, câblages et soudures </w:t>
            </w:r>
          </w:p>
        </w:tc>
      </w:tr>
      <w:tr w:rsidR="00FC0453" w:rsidRPr="000318D9" w14:paraId="28CE4D77" w14:textId="77777777" w:rsidTr="00FC0453">
        <w:trPr>
          <w:trHeight w:val="615"/>
        </w:trPr>
        <w:tc>
          <w:tcPr>
            <w:tcW w:w="2709" w:type="dxa"/>
            <w:tcBorders>
              <w:top w:val="nil"/>
              <w:left w:val="single" w:sz="8" w:space="0" w:color="auto"/>
              <w:bottom w:val="single" w:sz="8" w:space="0" w:color="auto"/>
              <w:right w:val="single" w:sz="8" w:space="0" w:color="auto"/>
            </w:tcBorders>
            <w:shd w:val="clear" w:color="auto" w:fill="auto"/>
            <w:vAlign w:val="center"/>
            <w:hideMark/>
          </w:tcPr>
          <w:p w14:paraId="3BDEC7EF" w14:textId="77777777" w:rsidR="00FC0453" w:rsidRPr="000318D9" w:rsidRDefault="00FC0453" w:rsidP="00FC0453">
            <w:pPr>
              <w:spacing w:after="0" w:line="240" w:lineRule="auto"/>
              <w:rPr>
                <w:rFonts w:ascii="Arial" w:eastAsia="Times New Roman" w:hAnsi="Arial" w:cs="Arial"/>
                <w:b/>
                <w:bCs/>
                <w:color w:val="000000"/>
                <w:lang w:eastAsia="fr-FR"/>
              </w:rPr>
            </w:pPr>
            <w:r w:rsidRPr="000318D9">
              <w:rPr>
                <w:rFonts w:ascii="Arial" w:eastAsia="Times New Roman" w:hAnsi="Arial" w:cs="Arial"/>
                <w:b/>
                <w:bCs/>
                <w:color w:val="000000"/>
                <w:lang w:eastAsia="fr-FR"/>
              </w:rPr>
              <w:t xml:space="preserve">Mercure </w:t>
            </w:r>
          </w:p>
        </w:tc>
        <w:tc>
          <w:tcPr>
            <w:tcW w:w="5670" w:type="dxa"/>
            <w:tcBorders>
              <w:top w:val="nil"/>
              <w:left w:val="nil"/>
              <w:bottom w:val="single" w:sz="8" w:space="0" w:color="auto"/>
              <w:right w:val="single" w:sz="8" w:space="0" w:color="auto"/>
            </w:tcBorders>
            <w:shd w:val="clear" w:color="auto" w:fill="auto"/>
            <w:vAlign w:val="center"/>
            <w:hideMark/>
          </w:tcPr>
          <w:p w14:paraId="6CA8F510" w14:textId="77777777" w:rsidR="00FC0453" w:rsidRPr="000318D9" w:rsidRDefault="00FC0453" w:rsidP="00FC0453">
            <w:pPr>
              <w:spacing w:after="0" w:line="240" w:lineRule="auto"/>
              <w:rPr>
                <w:rFonts w:ascii="Arial" w:eastAsia="Times New Roman" w:hAnsi="Arial" w:cs="Arial"/>
                <w:color w:val="000000"/>
                <w:lang w:eastAsia="fr-FR"/>
              </w:rPr>
            </w:pPr>
            <w:r w:rsidRPr="000318D9">
              <w:rPr>
                <w:rFonts w:ascii="Arial" w:eastAsia="Times New Roman" w:hAnsi="Arial" w:cs="Arial"/>
                <w:color w:val="000000"/>
                <w:lang w:eastAsia="fr-FR"/>
              </w:rPr>
              <w:t xml:space="preserve">Lampes à fluorescence dans les écrans LCD, dans certains interrupteurs au mercure (détecteurs). Systèmes d’éclairage des écrans plats. </w:t>
            </w:r>
          </w:p>
        </w:tc>
      </w:tr>
      <w:tr w:rsidR="00FC0453" w:rsidRPr="000318D9" w14:paraId="72E25D50" w14:textId="77777777" w:rsidTr="00FC0453">
        <w:trPr>
          <w:trHeight w:val="615"/>
        </w:trPr>
        <w:tc>
          <w:tcPr>
            <w:tcW w:w="2709" w:type="dxa"/>
            <w:tcBorders>
              <w:top w:val="nil"/>
              <w:left w:val="single" w:sz="8" w:space="0" w:color="auto"/>
              <w:bottom w:val="single" w:sz="8" w:space="0" w:color="auto"/>
              <w:right w:val="single" w:sz="8" w:space="0" w:color="auto"/>
            </w:tcBorders>
            <w:shd w:val="clear" w:color="auto" w:fill="auto"/>
            <w:vAlign w:val="center"/>
            <w:hideMark/>
          </w:tcPr>
          <w:p w14:paraId="0D7EA261" w14:textId="77777777" w:rsidR="00FC0453" w:rsidRPr="000318D9" w:rsidRDefault="00FC0453" w:rsidP="00FC0453">
            <w:pPr>
              <w:spacing w:after="0" w:line="240" w:lineRule="auto"/>
              <w:rPr>
                <w:rFonts w:ascii="Arial" w:eastAsia="Times New Roman" w:hAnsi="Arial" w:cs="Arial"/>
                <w:b/>
                <w:bCs/>
                <w:color w:val="000000"/>
                <w:lang w:eastAsia="fr-FR"/>
              </w:rPr>
            </w:pPr>
            <w:r w:rsidRPr="000318D9">
              <w:rPr>
                <w:rFonts w:ascii="Arial" w:eastAsia="Times New Roman" w:hAnsi="Arial" w:cs="Arial"/>
                <w:b/>
                <w:bCs/>
                <w:color w:val="000000"/>
                <w:lang w:eastAsia="fr-FR"/>
              </w:rPr>
              <w:t xml:space="preserve">Phosphores </w:t>
            </w:r>
          </w:p>
        </w:tc>
        <w:tc>
          <w:tcPr>
            <w:tcW w:w="5670" w:type="dxa"/>
            <w:tcBorders>
              <w:top w:val="nil"/>
              <w:left w:val="nil"/>
              <w:bottom w:val="single" w:sz="8" w:space="0" w:color="auto"/>
              <w:right w:val="single" w:sz="8" w:space="0" w:color="auto"/>
            </w:tcBorders>
            <w:shd w:val="clear" w:color="auto" w:fill="auto"/>
            <w:vAlign w:val="center"/>
            <w:hideMark/>
          </w:tcPr>
          <w:p w14:paraId="4E28160A" w14:textId="77777777" w:rsidR="00FC0453" w:rsidRPr="000318D9" w:rsidRDefault="00FC0453" w:rsidP="00FC0453">
            <w:pPr>
              <w:spacing w:after="0" w:line="240" w:lineRule="auto"/>
              <w:rPr>
                <w:rFonts w:ascii="Arial" w:eastAsia="Times New Roman" w:hAnsi="Arial" w:cs="Arial"/>
                <w:color w:val="000000"/>
                <w:lang w:eastAsia="fr-FR"/>
              </w:rPr>
            </w:pPr>
            <w:r w:rsidRPr="000318D9">
              <w:rPr>
                <w:rFonts w:ascii="Arial" w:eastAsia="Times New Roman" w:hAnsi="Arial" w:cs="Arial"/>
                <w:color w:val="000000"/>
                <w:lang w:eastAsia="fr-FR"/>
              </w:rPr>
              <w:t xml:space="preserve">Intérieur de la dalle des tubes cathodiques (couche électroluminescente) </w:t>
            </w:r>
          </w:p>
        </w:tc>
      </w:tr>
      <w:tr w:rsidR="00FC0453" w:rsidRPr="000318D9" w14:paraId="2EEAE8DB" w14:textId="77777777" w:rsidTr="00FC0453">
        <w:trPr>
          <w:trHeight w:val="615"/>
        </w:trPr>
        <w:tc>
          <w:tcPr>
            <w:tcW w:w="2709" w:type="dxa"/>
            <w:tcBorders>
              <w:top w:val="nil"/>
              <w:left w:val="single" w:sz="8" w:space="0" w:color="auto"/>
              <w:bottom w:val="single" w:sz="8" w:space="0" w:color="auto"/>
              <w:right w:val="single" w:sz="8" w:space="0" w:color="auto"/>
            </w:tcBorders>
            <w:shd w:val="clear" w:color="auto" w:fill="auto"/>
            <w:vAlign w:val="center"/>
            <w:hideMark/>
          </w:tcPr>
          <w:p w14:paraId="7122C48A" w14:textId="77777777" w:rsidR="00FC0453" w:rsidRPr="000318D9" w:rsidRDefault="00FC0453" w:rsidP="00FC0453">
            <w:pPr>
              <w:spacing w:after="0" w:line="240" w:lineRule="auto"/>
              <w:rPr>
                <w:rFonts w:ascii="Arial" w:eastAsia="Times New Roman" w:hAnsi="Arial" w:cs="Arial"/>
                <w:b/>
                <w:bCs/>
                <w:color w:val="000000"/>
                <w:lang w:eastAsia="fr-FR"/>
              </w:rPr>
            </w:pPr>
            <w:r w:rsidRPr="000318D9">
              <w:rPr>
                <w:rFonts w:ascii="Arial" w:eastAsia="Times New Roman" w:hAnsi="Arial" w:cs="Arial"/>
                <w:b/>
                <w:bCs/>
                <w:color w:val="000000"/>
                <w:lang w:eastAsia="fr-FR"/>
              </w:rPr>
              <w:t xml:space="preserve">Terres rares (yttrium, europium) </w:t>
            </w:r>
          </w:p>
        </w:tc>
        <w:tc>
          <w:tcPr>
            <w:tcW w:w="5670" w:type="dxa"/>
            <w:tcBorders>
              <w:top w:val="nil"/>
              <w:left w:val="nil"/>
              <w:bottom w:val="single" w:sz="8" w:space="0" w:color="auto"/>
              <w:right w:val="single" w:sz="8" w:space="0" w:color="auto"/>
            </w:tcBorders>
            <w:shd w:val="clear" w:color="auto" w:fill="auto"/>
            <w:vAlign w:val="center"/>
            <w:hideMark/>
          </w:tcPr>
          <w:p w14:paraId="5DDAD359" w14:textId="77777777" w:rsidR="00FC0453" w:rsidRPr="000318D9" w:rsidRDefault="00FC0453" w:rsidP="00FC0453">
            <w:pPr>
              <w:spacing w:after="0" w:line="240" w:lineRule="auto"/>
              <w:rPr>
                <w:rFonts w:ascii="Arial" w:eastAsia="Times New Roman" w:hAnsi="Arial" w:cs="Arial"/>
                <w:color w:val="000000"/>
                <w:lang w:eastAsia="fr-FR"/>
              </w:rPr>
            </w:pPr>
            <w:r w:rsidRPr="000318D9">
              <w:rPr>
                <w:rFonts w:ascii="Arial" w:eastAsia="Times New Roman" w:hAnsi="Arial" w:cs="Arial"/>
                <w:color w:val="000000"/>
                <w:lang w:eastAsia="fr-FR"/>
              </w:rPr>
              <w:t xml:space="preserve">Couche fluorescente (moniteurs à tube cathodique) </w:t>
            </w:r>
          </w:p>
        </w:tc>
      </w:tr>
      <w:tr w:rsidR="00FC0453" w:rsidRPr="000318D9" w14:paraId="2C7BBF50" w14:textId="77777777" w:rsidTr="00FC0453">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14:paraId="04F3E624" w14:textId="77777777" w:rsidR="00FC0453" w:rsidRPr="000318D9" w:rsidRDefault="00FC0453" w:rsidP="00FC0453">
            <w:pPr>
              <w:spacing w:after="0" w:line="240" w:lineRule="auto"/>
              <w:rPr>
                <w:rFonts w:ascii="Arial" w:eastAsia="Times New Roman" w:hAnsi="Arial" w:cs="Arial"/>
                <w:b/>
                <w:bCs/>
                <w:color w:val="000000"/>
                <w:lang w:eastAsia="fr-FR"/>
              </w:rPr>
            </w:pPr>
            <w:r w:rsidRPr="000318D9">
              <w:rPr>
                <w:rFonts w:ascii="Arial" w:eastAsia="Times New Roman" w:hAnsi="Arial" w:cs="Arial"/>
                <w:b/>
                <w:bCs/>
                <w:color w:val="000000"/>
                <w:lang w:eastAsia="fr-FR"/>
              </w:rPr>
              <w:t xml:space="preserve">Sulfure de zinc </w:t>
            </w:r>
          </w:p>
        </w:tc>
        <w:tc>
          <w:tcPr>
            <w:tcW w:w="5670" w:type="dxa"/>
            <w:tcBorders>
              <w:top w:val="nil"/>
              <w:left w:val="nil"/>
              <w:bottom w:val="single" w:sz="8" w:space="0" w:color="auto"/>
              <w:right w:val="single" w:sz="8" w:space="0" w:color="auto"/>
            </w:tcBorders>
            <w:shd w:val="clear" w:color="auto" w:fill="auto"/>
            <w:vAlign w:val="center"/>
            <w:hideMark/>
          </w:tcPr>
          <w:p w14:paraId="1BD0989F" w14:textId="77777777" w:rsidR="00FC0453" w:rsidRPr="000318D9" w:rsidRDefault="00FC0453" w:rsidP="00FC0453">
            <w:pPr>
              <w:spacing w:after="0" w:line="240" w:lineRule="auto"/>
              <w:rPr>
                <w:rFonts w:ascii="Arial" w:eastAsia="Times New Roman" w:hAnsi="Arial" w:cs="Arial"/>
                <w:color w:val="000000"/>
                <w:lang w:eastAsia="fr-FR"/>
              </w:rPr>
            </w:pPr>
            <w:r w:rsidRPr="000318D9">
              <w:rPr>
                <w:rFonts w:ascii="Arial" w:eastAsia="Times New Roman" w:hAnsi="Arial" w:cs="Arial"/>
                <w:color w:val="000000"/>
                <w:lang w:eastAsia="fr-FR"/>
              </w:rPr>
              <w:t xml:space="preserve">Intérieur des moniteurs à tube cathodique, mélangé à des terres rares </w:t>
            </w:r>
          </w:p>
        </w:tc>
      </w:tr>
      <w:tr w:rsidR="00FC0453" w:rsidRPr="000318D9" w14:paraId="6092EFFE" w14:textId="77777777" w:rsidTr="00FC0453">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14:paraId="226738B4" w14:textId="77777777" w:rsidR="00FC0453" w:rsidRPr="000318D9" w:rsidRDefault="00FC0453" w:rsidP="00FC0453">
            <w:pPr>
              <w:spacing w:after="0" w:line="240" w:lineRule="auto"/>
              <w:rPr>
                <w:rFonts w:ascii="Arial" w:eastAsia="Times New Roman" w:hAnsi="Arial" w:cs="Arial"/>
                <w:b/>
                <w:bCs/>
                <w:color w:val="000000"/>
                <w:lang w:eastAsia="fr-FR"/>
              </w:rPr>
            </w:pPr>
            <w:r w:rsidRPr="000318D9">
              <w:rPr>
                <w:rFonts w:ascii="Arial" w:eastAsia="Times New Roman" w:hAnsi="Arial" w:cs="Arial"/>
                <w:b/>
                <w:bCs/>
                <w:color w:val="000000"/>
                <w:lang w:eastAsia="fr-FR"/>
              </w:rPr>
              <w:t xml:space="preserve">Lithium </w:t>
            </w:r>
          </w:p>
        </w:tc>
        <w:tc>
          <w:tcPr>
            <w:tcW w:w="5670" w:type="dxa"/>
            <w:tcBorders>
              <w:top w:val="nil"/>
              <w:left w:val="nil"/>
              <w:bottom w:val="single" w:sz="8" w:space="0" w:color="auto"/>
              <w:right w:val="single" w:sz="8" w:space="0" w:color="auto"/>
            </w:tcBorders>
            <w:shd w:val="clear" w:color="auto" w:fill="auto"/>
            <w:vAlign w:val="center"/>
            <w:hideMark/>
          </w:tcPr>
          <w:p w14:paraId="6CF726A8" w14:textId="77777777" w:rsidR="00FC0453" w:rsidRPr="000318D9" w:rsidRDefault="00FC0453" w:rsidP="00FC0453">
            <w:pPr>
              <w:spacing w:after="0" w:line="240" w:lineRule="auto"/>
              <w:rPr>
                <w:rFonts w:ascii="Arial" w:eastAsia="Times New Roman" w:hAnsi="Arial" w:cs="Arial"/>
                <w:color w:val="000000"/>
                <w:lang w:eastAsia="fr-FR"/>
              </w:rPr>
            </w:pPr>
            <w:r w:rsidRPr="000318D9">
              <w:rPr>
                <w:rFonts w:ascii="Arial" w:eastAsia="Times New Roman" w:hAnsi="Arial" w:cs="Arial"/>
                <w:color w:val="000000"/>
                <w:lang w:eastAsia="fr-FR"/>
              </w:rPr>
              <w:t xml:space="preserve">Petites piles implantées dans les cartes mères des ordinateurs </w:t>
            </w:r>
          </w:p>
        </w:tc>
      </w:tr>
    </w:tbl>
    <w:p w14:paraId="000DD1F2" w14:textId="77777777" w:rsidR="00FC0453" w:rsidRDefault="00FC0453" w:rsidP="00FC0453">
      <w:pPr>
        <w:jc w:val="both"/>
        <w:rPr>
          <w:rFonts w:ascii="Arial" w:hAnsi="Arial" w:cs="Arial"/>
        </w:rPr>
      </w:pPr>
    </w:p>
    <w:p w14:paraId="2D3BEF42" w14:textId="77777777" w:rsidR="00FC0453" w:rsidRDefault="00FC0453" w:rsidP="00FC0453">
      <w:pPr>
        <w:rPr>
          <w:rFonts w:ascii="Arial" w:hAnsi="Arial" w:cs="Arial"/>
        </w:rPr>
      </w:pPr>
      <w:r>
        <w:rPr>
          <w:rFonts w:ascii="Arial" w:hAnsi="Arial" w:cs="Arial"/>
        </w:rPr>
        <w:t>Libérés dans l’atmosphère, ces déchets peuvent polluer les composantes du milieu physique comme le sol, l’eau et l’air. De plus, les substances libéré</w:t>
      </w:r>
      <w:r w:rsidR="00535159">
        <w:rPr>
          <w:rFonts w:ascii="Arial" w:hAnsi="Arial" w:cs="Arial"/>
        </w:rPr>
        <w:t>e</w:t>
      </w:r>
      <w:r>
        <w:rPr>
          <w:rFonts w:ascii="Arial" w:hAnsi="Arial" w:cs="Arial"/>
        </w:rPr>
        <w:t xml:space="preserve">s peuvent porter atteinte à la santé de la population comme : </w:t>
      </w:r>
    </w:p>
    <w:p w14:paraId="6F566F3F" w14:textId="77777777" w:rsidR="00FC0453" w:rsidRPr="00FC0453" w:rsidRDefault="00FC0453" w:rsidP="0044500E">
      <w:pPr>
        <w:pStyle w:val="Paragraphedeliste"/>
        <w:numPr>
          <w:ilvl w:val="0"/>
          <w:numId w:val="198"/>
        </w:numPr>
        <w:autoSpaceDE w:val="0"/>
        <w:autoSpaceDN w:val="0"/>
        <w:adjustRightInd w:val="0"/>
        <w:spacing w:after="0" w:line="240" w:lineRule="auto"/>
        <w:rPr>
          <w:rFonts w:ascii="Arial" w:hAnsi="Arial" w:cs="Arial"/>
        </w:rPr>
      </w:pPr>
      <w:r w:rsidRPr="00FC0453">
        <w:rPr>
          <w:rFonts w:ascii="Arial" w:hAnsi="Arial" w:cs="Arial"/>
        </w:rPr>
        <w:t xml:space="preserve">Endommagement du système nerveux (problèmes neuropsychiatriques, coma, mort, sous-développement du cerveau) </w:t>
      </w:r>
    </w:p>
    <w:p w14:paraId="61F6BB2C" w14:textId="77777777" w:rsidR="00FC0453" w:rsidRPr="00FC0453" w:rsidRDefault="00FC0453" w:rsidP="0044500E">
      <w:pPr>
        <w:pStyle w:val="Paragraphedeliste"/>
        <w:numPr>
          <w:ilvl w:val="0"/>
          <w:numId w:val="198"/>
        </w:numPr>
        <w:autoSpaceDE w:val="0"/>
        <w:autoSpaceDN w:val="0"/>
        <w:adjustRightInd w:val="0"/>
        <w:spacing w:after="0" w:line="240" w:lineRule="auto"/>
        <w:rPr>
          <w:rFonts w:ascii="Arial" w:hAnsi="Arial" w:cs="Arial"/>
        </w:rPr>
      </w:pPr>
      <w:r w:rsidRPr="00FC0453">
        <w:rPr>
          <w:rFonts w:ascii="Arial" w:hAnsi="Arial" w:cs="Arial"/>
        </w:rPr>
        <w:t xml:space="preserve">Endommagement du système sanguin </w:t>
      </w:r>
    </w:p>
    <w:p w14:paraId="5177676B" w14:textId="77777777" w:rsidR="00FC0453" w:rsidRPr="00FC0453" w:rsidRDefault="00FC0453" w:rsidP="0044500E">
      <w:pPr>
        <w:pStyle w:val="Paragraphedeliste"/>
        <w:numPr>
          <w:ilvl w:val="0"/>
          <w:numId w:val="198"/>
        </w:numPr>
        <w:autoSpaceDE w:val="0"/>
        <w:autoSpaceDN w:val="0"/>
        <w:adjustRightInd w:val="0"/>
        <w:spacing w:after="0" w:line="240" w:lineRule="auto"/>
        <w:rPr>
          <w:rFonts w:ascii="Arial" w:hAnsi="Arial" w:cs="Arial"/>
        </w:rPr>
      </w:pPr>
      <w:r w:rsidRPr="00FC0453">
        <w:rPr>
          <w:rFonts w:ascii="Arial" w:hAnsi="Arial" w:cs="Arial"/>
        </w:rPr>
        <w:t xml:space="preserve">Endommagement du système respiratoire (toux, infection, suffocation, asthme) </w:t>
      </w:r>
    </w:p>
    <w:p w14:paraId="6CC744F1" w14:textId="77777777" w:rsidR="00FC0453" w:rsidRPr="00FC0453" w:rsidRDefault="00FC0453" w:rsidP="0044500E">
      <w:pPr>
        <w:pStyle w:val="Paragraphedeliste"/>
        <w:numPr>
          <w:ilvl w:val="0"/>
          <w:numId w:val="198"/>
        </w:numPr>
        <w:autoSpaceDE w:val="0"/>
        <w:autoSpaceDN w:val="0"/>
        <w:adjustRightInd w:val="0"/>
        <w:spacing w:after="0" w:line="240" w:lineRule="auto"/>
        <w:rPr>
          <w:rFonts w:ascii="Arial" w:hAnsi="Arial" w:cs="Arial"/>
        </w:rPr>
      </w:pPr>
      <w:r w:rsidRPr="00FC0453">
        <w:rPr>
          <w:rFonts w:ascii="Arial" w:hAnsi="Arial" w:cs="Arial"/>
        </w:rPr>
        <w:t xml:space="preserve">Endommagement des reins, des yeux, de la peau et des os </w:t>
      </w:r>
    </w:p>
    <w:p w14:paraId="33ACBFEC" w14:textId="77777777" w:rsidR="00FC0453" w:rsidRDefault="00FC0453" w:rsidP="00F01166">
      <w:pPr>
        <w:spacing w:after="0"/>
        <w:rPr>
          <w:rFonts w:ascii="Arial" w:hAnsi="Arial" w:cs="Arial"/>
        </w:rPr>
      </w:pPr>
    </w:p>
    <w:p w14:paraId="054B89A5" w14:textId="77777777" w:rsidR="00FC0453" w:rsidRPr="000318D9" w:rsidRDefault="00FC0453" w:rsidP="0044500E">
      <w:pPr>
        <w:pStyle w:val="Paragraphedeliste"/>
        <w:numPr>
          <w:ilvl w:val="0"/>
          <w:numId w:val="196"/>
        </w:numPr>
        <w:spacing w:before="120" w:line="240" w:lineRule="auto"/>
        <w:ind w:left="714" w:hanging="357"/>
        <w:jc w:val="both"/>
        <w:rPr>
          <w:rFonts w:ascii="Arial" w:hAnsi="Arial" w:cs="Arial"/>
          <w:b/>
        </w:rPr>
      </w:pPr>
      <w:r w:rsidRPr="000318D9">
        <w:rPr>
          <w:rFonts w:ascii="Arial" w:hAnsi="Arial" w:cs="Arial"/>
          <w:b/>
        </w:rPr>
        <w:t xml:space="preserve">Gestion des déchets d’équipement électronique et électrique </w:t>
      </w:r>
    </w:p>
    <w:p w14:paraId="3DEC284D" w14:textId="77777777" w:rsidR="00FC0453" w:rsidRPr="000318D9" w:rsidRDefault="00FC0453" w:rsidP="0044500E">
      <w:pPr>
        <w:pStyle w:val="Paragraphedeliste"/>
        <w:numPr>
          <w:ilvl w:val="1"/>
          <w:numId w:val="196"/>
        </w:numPr>
        <w:spacing w:before="120" w:line="240" w:lineRule="auto"/>
        <w:ind w:left="1417"/>
        <w:rPr>
          <w:rFonts w:ascii="Arial" w:hAnsi="Arial" w:cs="Arial"/>
          <w:b/>
        </w:rPr>
      </w:pPr>
      <w:r w:rsidRPr="000318D9">
        <w:rPr>
          <w:rFonts w:ascii="Arial" w:hAnsi="Arial" w:cs="Arial"/>
          <w:b/>
        </w:rPr>
        <w:t>Principes de gestion des DEEE</w:t>
      </w:r>
    </w:p>
    <w:p w14:paraId="27D2F601" w14:textId="77777777" w:rsidR="00FC0453" w:rsidRDefault="00FC0453" w:rsidP="00FC0453">
      <w:pPr>
        <w:jc w:val="both"/>
        <w:rPr>
          <w:rFonts w:ascii="Arial" w:hAnsi="Arial" w:cs="Arial"/>
        </w:rPr>
      </w:pPr>
      <w:r>
        <w:rPr>
          <w:rFonts w:ascii="Arial" w:hAnsi="Arial" w:cs="Arial"/>
        </w:rPr>
        <w:t xml:space="preserve">Selon l’article 6 du </w:t>
      </w:r>
      <w:r w:rsidRPr="00711DE5">
        <w:rPr>
          <w:rFonts w:ascii="Arial" w:hAnsi="Arial" w:cs="Arial"/>
        </w:rPr>
        <w:t xml:space="preserve">DECRET N° 2015 - 930  du 09 juin 2015 </w:t>
      </w:r>
      <w:r>
        <w:rPr>
          <w:rFonts w:ascii="Arial" w:hAnsi="Arial" w:cs="Arial"/>
        </w:rPr>
        <w:t xml:space="preserve">relatif à </w:t>
      </w:r>
      <w:r w:rsidRPr="00711DE5">
        <w:rPr>
          <w:rFonts w:ascii="Arial" w:hAnsi="Arial" w:cs="Arial"/>
        </w:rPr>
        <w:t>Classification et Gestion Ecologiquement Rationnelle des Déchets d’Equipements Electroniques et Electriques à Madagascar</w:t>
      </w:r>
      <w:r>
        <w:rPr>
          <w:rFonts w:ascii="Arial" w:hAnsi="Arial" w:cs="Arial"/>
        </w:rPr>
        <w:t>, « </w:t>
      </w:r>
      <w:r w:rsidRPr="00711DE5">
        <w:rPr>
          <w:rFonts w:ascii="Arial" w:hAnsi="Arial" w:cs="Arial"/>
        </w:rPr>
        <w:t>Le principe de la gestion écologiquement rationnelle</w:t>
      </w:r>
      <w:r>
        <w:rPr>
          <w:rFonts w:ascii="Arial" w:hAnsi="Arial" w:cs="Arial"/>
        </w:rPr>
        <w:t xml:space="preserve"> des Déchets d’Equipements Elect</w:t>
      </w:r>
      <w:r w:rsidRPr="00711DE5">
        <w:rPr>
          <w:rFonts w:ascii="Arial" w:hAnsi="Arial" w:cs="Arial"/>
        </w:rPr>
        <w:t>roniques et Electriques est la</w:t>
      </w:r>
      <w:r>
        <w:rPr>
          <w:rFonts w:ascii="Arial" w:hAnsi="Arial" w:cs="Arial"/>
        </w:rPr>
        <w:t xml:space="preserve"> </w:t>
      </w:r>
      <w:r w:rsidRPr="00711DE5">
        <w:rPr>
          <w:rFonts w:ascii="Arial" w:hAnsi="Arial" w:cs="Arial"/>
        </w:rPr>
        <w:t>conjugaison du principe de pollueur payeur et l’application de la convention de Bâle, selon lequel les frais résultant des mesures</w:t>
      </w:r>
      <w:r>
        <w:rPr>
          <w:rFonts w:ascii="Arial" w:hAnsi="Arial" w:cs="Arial"/>
        </w:rPr>
        <w:t xml:space="preserve"> </w:t>
      </w:r>
      <w:r w:rsidRPr="00711DE5">
        <w:rPr>
          <w:rFonts w:ascii="Arial" w:hAnsi="Arial" w:cs="Arial"/>
        </w:rPr>
        <w:t>de prévention, de réduction de la pollution, de lutte et de compensation contre celle-ci</w:t>
      </w:r>
      <w:r>
        <w:rPr>
          <w:rFonts w:ascii="Arial" w:hAnsi="Arial" w:cs="Arial"/>
        </w:rPr>
        <w:t xml:space="preserve"> </w:t>
      </w:r>
      <w:r w:rsidRPr="00711DE5">
        <w:rPr>
          <w:rFonts w:ascii="Arial" w:hAnsi="Arial" w:cs="Arial"/>
        </w:rPr>
        <w:t>doivent être supportés par le pollueur</w:t>
      </w:r>
      <w:r>
        <w:rPr>
          <w:rFonts w:ascii="Arial" w:hAnsi="Arial" w:cs="Arial"/>
        </w:rPr>
        <w:t xml:space="preserve"> ». </w:t>
      </w:r>
    </w:p>
    <w:p w14:paraId="63344AA5" w14:textId="77777777" w:rsidR="00FC0453" w:rsidRPr="00215D10" w:rsidRDefault="00FC0453" w:rsidP="0044500E">
      <w:pPr>
        <w:pStyle w:val="Paragraphedeliste"/>
        <w:numPr>
          <w:ilvl w:val="2"/>
          <w:numId w:val="196"/>
        </w:numPr>
        <w:ind w:left="1843"/>
        <w:jc w:val="both"/>
        <w:rPr>
          <w:rFonts w:ascii="Arial" w:hAnsi="Arial" w:cs="Arial"/>
          <w:b/>
        </w:rPr>
      </w:pPr>
      <w:r w:rsidRPr="00215D10">
        <w:rPr>
          <w:rFonts w:ascii="Arial" w:hAnsi="Arial" w:cs="Arial"/>
          <w:b/>
        </w:rPr>
        <w:t xml:space="preserve">Traçabilité </w:t>
      </w:r>
    </w:p>
    <w:p w14:paraId="68208450" w14:textId="77777777" w:rsidR="00FC0453" w:rsidRDefault="00FC0453" w:rsidP="00FC0453">
      <w:pPr>
        <w:jc w:val="both"/>
        <w:rPr>
          <w:rFonts w:ascii="Arial" w:hAnsi="Arial" w:cs="Arial"/>
        </w:rPr>
      </w:pPr>
      <w:r>
        <w:rPr>
          <w:rFonts w:ascii="Arial" w:hAnsi="Arial" w:cs="Arial"/>
        </w:rPr>
        <w:t>Les différentes étapes de traitement des déchets d’équipement électronique et électrique doi</w:t>
      </w:r>
      <w:r w:rsidR="00535159">
        <w:rPr>
          <w:rFonts w:ascii="Arial" w:hAnsi="Arial" w:cs="Arial"/>
        </w:rPr>
        <w:t>vent</w:t>
      </w:r>
      <w:r>
        <w:rPr>
          <w:rFonts w:ascii="Arial" w:hAnsi="Arial" w:cs="Arial"/>
        </w:rPr>
        <w:t xml:space="preserve"> être traçable</w:t>
      </w:r>
      <w:r w:rsidR="00535159">
        <w:rPr>
          <w:rFonts w:ascii="Arial" w:hAnsi="Arial" w:cs="Arial"/>
        </w:rPr>
        <w:t>s</w:t>
      </w:r>
      <w:r>
        <w:rPr>
          <w:rFonts w:ascii="Arial" w:hAnsi="Arial" w:cs="Arial"/>
        </w:rPr>
        <w:t>. De ce fait, le projet e</w:t>
      </w:r>
      <w:r w:rsidR="00535159">
        <w:rPr>
          <w:rFonts w:ascii="Arial" w:hAnsi="Arial" w:cs="Arial"/>
        </w:rPr>
        <w:t>s</w:t>
      </w:r>
      <w:r>
        <w:rPr>
          <w:rFonts w:ascii="Arial" w:hAnsi="Arial" w:cs="Arial"/>
        </w:rPr>
        <w:t>t tenu de faire un</w:t>
      </w:r>
      <w:r w:rsidR="00535159">
        <w:rPr>
          <w:rFonts w:ascii="Arial" w:hAnsi="Arial" w:cs="Arial"/>
        </w:rPr>
        <w:t>e</w:t>
      </w:r>
      <w:r>
        <w:rPr>
          <w:rFonts w:ascii="Arial" w:hAnsi="Arial" w:cs="Arial"/>
        </w:rPr>
        <w:t xml:space="preserve"> fiche de suivi à chaque mouvement des déchets dès l’entreposage à l’élimination. </w:t>
      </w:r>
    </w:p>
    <w:p w14:paraId="4280F23D" w14:textId="77777777" w:rsidR="00FC0453" w:rsidRPr="00CD5A6E" w:rsidRDefault="00FC0453" w:rsidP="0044500E">
      <w:pPr>
        <w:pStyle w:val="Paragraphedeliste"/>
        <w:numPr>
          <w:ilvl w:val="2"/>
          <w:numId w:val="196"/>
        </w:numPr>
        <w:ind w:left="1843"/>
        <w:jc w:val="both"/>
        <w:rPr>
          <w:rFonts w:ascii="Arial" w:hAnsi="Arial" w:cs="Arial"/>
          <w:b/>
        </w:rPr>
      </w:pPr>
      <w:r w:rsidRPr="00CD5A6E">
        <w:rPr>
          <w:rFonts w:ascii="Arial" w:hAnsi="Arial" w:cs="Arial"/>
          <w:b/>
        </w:rPr>
        <w:t>R</w:t>
      </w:r>
      <w:r>
        <w:rPr>
          <w:rFonts w:ascii="Arial" w:hAnsi="Arial" w:cs="Arial"/>
          <w:b/>
        </w:rPr>
        <w:t xml:space="preserve">éutilisation </w:t>
      </w:r>
    </w:p>
    <w:p w14:paraId="67D9EDB1" w14:textId="77777777" w:rsidR="00FC0453" w:rsidRDefault="00FC0453" w:rsidP="00FC0453">
      <w:pPr>
        <w:jc w:val="both"/>
        <w:rPr>
          <w:rFonts w:ascii="Arial" w:hAnsi="Arial" w:cs="Arial"/>
        </w:rPr>
      </w:pPr>
      <w:r>
        <w:rPr>
          <w:rFonts w:ascii="Arial" w:hAnsi="Arial" w:cs="Arial"/>
        </w:rPr>
        <w:t>Les matériels électroniques et électriques en panne ou qui peuvent être réutilisé</w:t>
      </w:r>
      <w:r w:rsidR="00535159">
        <w:rPr>
          <w:rFonts w:ascii="Arial" w:hAnsi="Arial" w:cs="Arial"/>
        </w:rPr>
        <w:t>s,</w:t>
      </w:r>
      <w:r>
        <w:rPr>
          <w:rFonts w:ascii="Arial" w:hAnsi="Arial" w:cs="Arial"/>
        </w:rPr>
        <w:t xml:space="preserve"> seront réparés, reconditionnés et réutilisé</w:t>
      </w:r>
      <w:r w:rsidR="00535159">
        <w:rPr>
          <w:rFonts w:ascii="Arial" w:hAnsi="Arial" w:cs="Arial"/>
        </w:rPr>
        <w:t>s</w:t>
      </w:r>
      <w:r>
        <w:rPr>
          <w:rFonts w:ascii="Arial" w:hAnsi="Arial" w:cs="Arial"/>
        </w:rPr>
        <w:t>. La réparation de ces différents matériels peut être effectuée localement si la localité possède des techniciens localement.</w:t>
      </w:r>
    </w:p>
    <w:p w14:paraId="2E808FD8" w14:textId="77777777" w:rsidR="00FC0453" w:rsidRPr="00CD5A6E" w:rsidRDefault="00FC0453" w:rsidP="0044500E">
      <w:pPr>
        <w:pStyle w:val="Paragraphedeliste"/>
        <w:numPr>
          <w:ilvl w:val="2"/>
          <w:numId w:val="196"/>
        </w:numPr>
        <w:ind w:left="1843"/>
        <w:jc w:val="both"/>
        <w:rPr>
          <w:rFonts w:ascii="Arial" w:hAnsi="Arial" w:cs="Arial"/>
          <w:b/>
        </w:rPr>
      </w:pPr>
      <w:r>
        <w:rPr>
          <w:rFonts w:ascii="Arial" w:hAnsi="Arial" w:cs="Arial"/>
          <w:b/>
        </w:rPr>
        <w:t>Recyclage / valorisation</w:t>
      </w:r>
    </w:p>
    <w:p w14:paraId="151B2491" w14:textId="77777777" w:rsidR="00FC0453" w:rsidRDefault="00FC0453" w:rsidP="00FC0453">
      <w:pPr>
        <w:jc w:val="both"/>
        <w:rPr>
          <w:rFonts w:ascii="Arial" w:hAnsi="Arial" w:cs="Arial"/>
        </w:rPr>
      </w:pPr>
      <w:r>
        <w:rPr>
          <w:rFonts w:ascii="Arial" w:hAnsi="Arial" w:cs="Arial"/>
        </w:rPr>
        <w:t xml:space="preserve">Les différents composants des matériels électroniques ou électriques en fin de vie peuvent être valorisés ou recyclés. En effet, les composantes de ces matériels peuvent être vendues comme des pièces détachées pour les autres matériels de même type. Dans le cas contraire, ils peuvent être recyclés, c’est le cas des composantes en plastique ou en métaux. La valorisation et le recyclage seront effectués par des organismes spécialisés.  </w:t>
      </w:r>
    </w:p>
    <w:p w14:paraId="4D569303" w14:textId="77777777" w:rsidR="00FC0453" w:rsidRPr="00B20451" w:rsidRDefault="00FC0453" w:rsidP="0044500E">
      <w:pPr>
        <w:pStyle w:val="Paragraphedeliste"/>
        <w:numPr>
          <w:ilvl w:val="2"/>
          <w:numId w:val="196"/>
        </w:numPr>
        <w:ind w:left="1843"/>
        <w:jc w:val="both"/>
        <w:rPr>
          <w:rFonts w:ascii="Arial" w:hAnsi="Arial" w:cs="Arial"/>
          <w:b/>
        </w:rPr>
      </w:pPr>
      <w:r w:rsidRPr="00CD5A6E">
        <w:rPr>
          <w:rFonts w:ascii="Arial" w:hAnsi="Arial" w:cs="Arial"/>
          <w:b/>
        </w:rPr>
        <w:t xml:space="preserve">Elimination </w:t>
      </w:r>
    </w:p>
    <w:p w14:paraId="0D52A6BF" w14:textId="77777777" w:rsidR="00FC0453" w:rsidRDefault="00FC0453" w:rsidP="00FC0453">
      <w:pPr>
        <w:rPr>
          <w:rFonts w:ascii="Arial" w:hAnsi="Arial" w:cs="Arial"/>
        </w:rPr>
      </w:pPr>
      <w:r>
        <w:rPr>
          <w:rFonts w:ascii="Arial" w:hAnsi="Arial" w:cs="Arial"/>
        </w:rPr>
        <w:t>Les composants qu’on ne peut pas valoriser ni recycler seront élimin</w:t>
      </w:r>
      <w:r w:rsidR="00535159">
        <w:rPr>
          <w:rFonts w:ascii="Arial" w:hAnsi="Arial" w:cs="Arial"/>
        </w:rPr>
        <w:t>és</w:t>
      </w:r>
      <w:r>
        <w:rPr>
          <w:rFonts w:ascii="Arial" w:hAnsi="Arial" w:cs="Arial"/>
        </w:rPr>
        <w:t xml:space="preserve">. L’élimination de ces déchets se fera dans des conditions à ce qu’ils ne portent pas atteinte à l’environnement et à la santé humaine. Le Projet fera ainsi appel à des organismes spécialisés dans l’élimination des déchets dangereux </w:t>
      </w:r>
    </w:p>
    <w:p w14:paraId="36D399E5" w14:textId="77777777" w:rsidR="00FC0453" w:rsidRPr="00757E0D" w:rsidRDefault="00FC0453" w:rsidP="0044500E">
      <w:pPr>
        <w:pStyle w:val="Paragraphedeliste"/>
        <w:numPr>
          <w:ilvl w:val="1"/>
          <w:numId w:val="196"/>
        </w:numPr>
        <w:spacing w:before="120" w:line="240" w:lineRule="auto"/>
        <w:ind w:left="1417"/>
        <w:rPr>
          <w:rFonts w:ascii="Arial" w:hAnsi="Arial" w:cs="Arial"/>
          <w:b/>
        </w:rPr>
      </w:pPr>
      <w:r w:rsidRPr="00757E0D">
        <w:rPr>
          <w:rFonts w:ascii="Arial" w:hAnsi="Arial" w:cs="Arial"/>
          <w:b/>
        </w:rPr>
        <w:t>Traitement des DEEE</w:t>
      </w:r>
    </w:p>
    <w:p w14:paraId="6EC3BBFB" w14:textId="77777777" w:rsidR="00FC0453" w:rsidRDefault="00FC0453" w:rsidP="00FC0453">
      <w:pPr>
        <w:jc w:val="both"/>
        <w:rPr>
          <w:rFonts w:ascii="Arial" w:hAnsi="Arial" w:cs="Arial"/>
        </w:rPr>
      </w:pPr>
      <w:r>
        <w:rPr>
          <w:rFonts w:ascii="Arial" w:hAnsi="Arial" w:cs="Arial"/>
        </w:rPr>
        <w:t xml:space="preserve">Le traitement des déchets d’Equipement Electronique et Electrique suit le procédé suivant. </w:t>
      </w:r>
    </w:p>
    <w:p w14:paraId="660F8B8F" w14:textId="77777777" w:rsidR="00FC0453" w:rsidRPr="00DF004E" w:rsidRDefault="00FC0453" w:rsidP="0044500E">
      <w:pPr>
        <w:pStyle w:val="Paragraphedeliste"/>
        <w:numPr>
          <w:ilvl w:val="2"/>
          <w:numId w:val="196"/>
        </w:numPr>
        <w:ind w:left="1843"/>
        <w:jc w:val="both"/>
        <w:rPr>
          <w:rFonts w:ascii="Arial" w:hAnsi="Arial" w:cs="Arial"/>
          <w:b/>
        </w:rPr>
      </w:pPr>
      <w:r w:rsidRPr="00DF004E">
        <w:rPr>
          <w:rFonts w:ascii="Arial" w:hAnsi="Arial" w:cs="Arial"/>
          <w:b/>
        </w:rPr>
        <w:t xml:space="preserve">Démantèlement des matériels </w:t>
      </w:r>
    </w:p>
    <w:p w14:paraId="7D69E50E" w14:textId="77777777" w:rsidR="00FC0453" w:rsidRPr="00757E0D" w:rsidRDefault="00FC0453" w:rsidP="00FC0453">
      <w:pPr>
        <w:jc w:val="both"/>
        <w:rPr>
          <w:rFonts w:ascii="Arial" w:hAnsi="Arial" w:cs="Arial"/>
        </w:rPr>
      </w:pPr>
      <w:r w:rsidRPr="00757E0D">
        <w:rPr>
          <w:rFonts w:ascii="Arial" w:hAnsi="Arial" w:cs="Arial"/>
        </w:rPr>
        <w:t>Il s’agit du processus par lequel les EEE obsolètes ou mis au rebut sont démantelés manuellement et séparés en plusieurs parties. Ces activités devraient être encouragées, car elles permettent de créer des emplois et d’obtenir des composants distincts de bonne qualité. En cas de doute concernant la présence de substances dangereuses dans les composants des déchets électroniques qui ont été séparés et classés, ceux</w:t>
      </w:r>
      <w:r w:rsidRPr="00757E0D">
        <w:rPr>
          <w:rFonts w:ascii="Arial" w:hAnsi="Arial" w:cs="Arial"/>
        </w:rPr>
        <w:noBreakHyphen/>
        <w:t xml:space="preserve">ci doivent être considérés comme des déchets dangereux. </w:t>
      </w:r>
    </w:p>
    <w:p w14:paraId="628550CE" w14:textId="77777777" w:rsidR="00FC0453" w:rsidRPr="00757E0D" w:rsidRDefault="00FC0453" w:rsidP="00FC0453">
      <w:pPr>
        <w:jc w:val="both"/>
        <w:rPr>
          <w:rFonts w:ascii="Arial" w:hAnsi="Arial" w:cs="Arial"/>
        </w:rPr>
      </w:pPr>
      <w:r w:rsidRPr="00757E0D">
        <w:rPr>
          <w:rFonts w:ascii="Arial" w:hAnsi="Arial" w:cs="Arial"/>
        </w:rPr>
        <w:t>Le démantèlement ne comprend pas la séparation du cône et de la dalle des écrans CRT (cette opération sera abordée dans le document relatif au traitement), car cette opération suppose d’effectuer un traitement consistant à sectionner, broyer, couper et nettoyer, tout en évitant les émissions de matériaux fluorescents ou de poussière de verre et en respectant les valeurs limites d’exposition professionnelle. Le traitement mécanique est interdit, à moins qu’il ne soit effectué dans des conditions contrôlées permettant d’éviter les risques liés à la manipulation des substances dangereuses présentes dans les DEEE. La réduction, le compactage et le broyage mécaniques des composants de déchets électroniques ne contenant pas de substances dangereuses sont autorisés, dans le but de réduire le volume des déchets et de faciliter leur manipulation.</w:t>
      </w:r>
    </w:p>
    <w:p w14:paraId="2F79DF74" w14:textId="77777777" w:rsidR="00FC0453" w:rsidRPr="00757E0D" w:rsidRDefault="00FC0453" w:rsidP="0044500E">
      <w:pPr>
        <w:pStyle w:val="Paragraphedeliste"/>
        <w:numPr>
          <w:ilvl w:val="2"/>
          <w:numId w:val="196"/>
        </w:numPr>
        <w:ind w:left="1843"/>
        <w:jc w:val="both"/>
        <w:rPr>
          <w:rFonts w:ascii="Arial" w:hAnsi="Arial" w:cs="Arial"/>
          <w:b/>
        </w:rPr>
      </w:pPr>
      <w:r w:rsidRPr="00757E0D">
        <w:rPr>
          <w:rFonts w:ascii="Arial" w:hAnsi="Arial" w:cs="Arial"/>
          <w:b/>
        </w:rPr>
        <w:t>Triage des déchets d’équipement électronique et électrique</w:t>
      </w:r>
      <w:r>
        <w:rPr>
          <w:rFonts w:ascii="Arial" w:hAnsi="Arial" w:cs="Arial"/>
          <w:b/>
        </w:rPr>
        <w:t xml:space="preserve"> </w:t>
      </w:r>
      <w:r w:rsidRPr="00DF004E">
        <w:rPr>
          <w:rFonts w:ascii="Arial" w:hAnsi="Arial" w:cs="Arial"/>
          <w:b/>
        </w:rPr>
        <w:t>en fonction du type de matériaux</w:t>
      </w:r>
    </w:p>
    <w:p w14:paraId="717E3F34" w14:textId="77777777" w:rsidR="00FC0453" w:rsidRPr="00DF004E" w:rsidRDefault="00FC0453" w:rsidP="00FC0453">
      <w:pPr>
        <w:jc w:val="both"/>
        <w:rPr>
          <w:rFonts w:ascii="Arial" w:hAnsi="Arial" w:cs="Arial"/>
        </w:rPr>
      </w:pPr>
      <w:r w:rsidRPr="00DF004E">
        <w:rPr>
          <w:rFonts w:ascii="Arial" w:hAnsi="Arial" w:cs="Arial"/>
        </w:rPr>
        <w:t xml:space="preserve">Après leur démantèlement manuel, les déchets électroniques générés par le projet peuvent être classés dans les catégories suivantes : </w:t>
      </w:r>
    </w:p>
    <w:p w14:paraId="134B9478" w14:textId="77777777" w:rsidR="00FC0453" w:rsidRPr="00DF004E" w:rsidRDefault="00535159" w:rsidP="0044500E">
      <w:pPr>
        <w:pStyle w:val="Paragraphedeliste"/>
        <w:numPr>
          <w:ilvl w:val="0"/>
          <w:numId w:val="195"/>
        </w:numPr>
        <w:jc w:val="both"/>
        <w:rPr>
          <w:rFonts w:ascii="Arial" w:hAnsi="Arial" w:cs="Arial"/>
        </w:rPr>
      </w:pPr>
      <w:r>
        <w:rPr>
          <w:rFonts w:ascii="Arial" w:hAnsi="Arial" w:cs="Arial"/>
        </w:rPr>
        <w:t>M</w:t>
      </w:r>
      <w:r w:rsidR="00FC0453" w:rsidRPr="00DF004E">
        <w:rPr>
          <w:rFonts w:ascii="Arial" w:hAnsi="Arial" w:cs="Arial"/>
        </w:rPr>
        <w:t xml:space="preserve">atériaux propres (par exemple, métaux ferreux, cuivre, ferrite, aluminium, acryliques, acétates, caoutchouc ou magnésium), ou </w:t>
      </w:r>
    </w:p>
    <w:p w14:paraId="558B8CB2" w14:textId="77777777" w:rsidR="00FC0453" w:rsidRPr="00DF004E" w:rsidRDefault="00535159" w:rsidP="0044500E">
      <w:pPr>
        <w:pStyle w:val="Paragraphedeliste"/>
        <w:numPr>
          <w:ilvl w:val="0"/>
          <w:numId w:val="195"/>
        </w:numPr>
        <w:jc w:val="both"/>
        <w:rPr>
          <w:rFonts w:ascii="Arial" w:hAnsi="Arial" w:cs="Arial"/>
        </w:rPr>
      </w:pPr>
      <w:r>
        <w:rPr>
          <w:rFonts w:ascii="Arial" w:hAnsi="Arial" w:cs="Arial"/>
        </w:rPr>
        <w:t>C</w:t>
      </w:r>
      <w:r w:rsidR="00FC0453" w:rsidRPr="00DF004E">
        <w:rPr>
          <w:rFonts w:ascii="Arial" w:hAnsi="Arial" w:cs="Arial"/>
        </w:rPr>
        <w:t>omposants à traiter contenant des substances dangereuses ou des métaux/matériaux récupérables (dans les installations du responsable de la gestion des déchets ou en aval), tels que les accumulateurs, selon leur type (plomb</w:t>
      </w:r>
      <w:r w:rsidR="00FC0453" w:rsidRPr="00DF004E">
        <w:rPr>
          <w:rFonts w:ascii="Arial" w:hAnsi="Arial" w:cs="Arial"/>
        </w:rPr>
        <w:noBreakHyphen/>
        <w:t>acide, alcalin, lithium</w:t>
      </w:r>
      <w:r w:rsidR="00FC0453" w:rsidRPr="00DF004E">
        <w:rPr>
          <w:rFonts w:ascii="Arial" w:hAnsi="Arial" w:cs="Arial"/>
        </w:rPr>
        <w:noBreakHyphen/>
        <w:t>ion (Li</w:t>
      </w:r>
      <w:r w:rsidR="00FC0453" w:rsidRPr="00DF004E">
        <w:rPr>
          <w:rFonts w:ascii="Arial" w:hAnsi="Arial" w:cs="Arial"/>
        </w:rPr>
        <w:noBreakHyphen/>
        <w:t>Ion), etc.),</w:t>
      </w:r>
    </w:p>
    <w:p w14:paraId="65A15EFB" w14:textId="77777777" w:rsidR="00FC0453" w:rsidRPr="00DF004E" w:rsidRDefault="00FC0453" w:rsidP="00FC0453">
      <w:pPr>
        <w:jc w:val="both"/>
        <w:rPr>
          <w:rFonts w:ascii="Arial" w:hAnsi="Arial" w:cs="Arial"/>
        </w:rPr>
      </w:pPr>
      <w:r w:rsidRPr="00DF004E">
        <w:rPr>
          <w:rFonts w:ascii="Arial" w:hAnsi="Arial" w:cs="Arial"/>
        </w:rPr>
        <w:t xml:space="preserve">Les éléments considérés comme dangereux ne doivent pas être mélangés avec les autres matériaux, afin de réduire le volume total à un niveau inférieur au seuil correspondant à la classification des déchets dangereux. En cas de doute concernant la présence de substances dangereuses dans certains composants, ceux-ci doivent être considérés comme des déchets dangereux et traités en conséquence. </w:t>
      </w:r>
    </w:p>
    <w:p w14:paraId="7AC5A69C" w14:textId="77777777" w:rsidR="00FC0453" w:rsidRPr="00DF004E" w:rsidRDefault="00FC0453" w:rsidP="00FC0453">
      <w:pPr>
        <w:jc w:val="both"/>
        <w:rPr>
          <w:rFonts w:ascii="Arial" w:hAnsi="Arial" w:cs="Arial"/>
        </w:rPr>
      </w:pPr>
      <w:r w:rsidRPr="00DF004E">
        <w:rPr>
          <w:rFonts w:ascii="Arial" w:hAnsi="Arial" w:cs="Arial"/>
        </w:rPr>
        <w:t>Le personnel chargé du démantèlement manuel doit amener le produit démantelé à la zone de classification des matériaux, où le personnel responsable vérifie sa qualité. En cas de défaut, le personnel renvoie ces composants pour qu’ils soient correctement démantelés.</w:t>
      </w:r>
    </w:p>
    <w:p w14:paraId="0B95B04D" w14:textId="77777777" w:rsidR="00FC0453" w:rsidRPr="00EA65CA" w:rsidRDefault="00FC0453" w:rsidP="0044500E">
      <w:pPr>
        <w:pStyle w:val="Paragraphedeliste"/>
        <w:numPr>
          <w:ilvl w:val="2"/>
          <w:numId w:val="196"/>
        </w:numPr>
        <w:ind w:left="1843"/>
        <w:jc w:val="both"/>
        <w:rPr>
          <w:rFonts w:ascii="Arial" w:hAnsi="Arial" w:cs="Arial"/>
          <w:b/>
        </w:rPr>
      </w:pPr>
      <w:r w:rsidRPr="00EA65CA">
        <w:rPr>
          <w:rFonts w:ascii="Arial" w:hAnsi="Arial" w:cs="Arial"/>
          <w:b/>
        </w:rPr>
        <w:t>Stockage des DEEE</w:t>
      </w:r>
    </w:p>
    <w:p w14:paraId="089936BE" w14:textId="77777777" w:rsidR="00FC0453" w:rsidRDefault="00FC0453" w:rsidP="00FC0453">
      <w:pPr>
        <w:jc w:val="both"/>
        <w:rPr>
          <w:rFonts w:ascii="Arial" w:hAnsi="Arial" w:cs="Arial"/>
        </w:rPr>
      </w:pPr>
      <w:r>
        <w:rPr>
          <w:rFonts w:ascii="Arial" w:hAnsi="Arial" w:cs="Arial"/>
        </w:rPr>
        <w:t>Le Projet doit mettre en place un lieu de stockage des DEEE au niveau de chaque site d’intervention. Le site doit être équipé d’un système de collecte des différents matériels électriques et électronique hors d’usage ou en fin de vie comme des</w:t>
      </w:r>
      <w:r w:rsidRPr="00CD5A6E">
        <w:rPr>
          <w:rFonts w:ascii="Arial" w:hAnsi="Arial" w:cs="Arial"/>
        </w:rPr>
        <w:t xml:space="preserve"> corbeilles à couvercles</w:t>
      </w:r>
      <w:r>
        <w:rPr>
          <w:rFonts w:ascii="Arial" w:hAnsi="Arial" w:cs="Arial"/>
        </w:rPr>
        <w:t xml:space="preserve"> de différents couleurs. </w:t>
      </w:r>
    </w:p>
    <w:p w14:paraId="78D5D669" w14:textId="77777777" w:rsidR="00FC0453" w:rsidRDefault="00FC0453" w:rsidP="00FC0453">
      <w:pPr>
        <w:jc w:val="both"/>
        <w:rPr>
          <w:rFonts w:ascii="Arial" w:hAnsi="Arial" w:cs="Arial"/>
        </w:rPr>
      </w:pPr>
      <w:r>
        <w:rPr>
          <w:rFonts w:ascii="Arial" w:hAnsi="Arial" w:cs="Arial"/>
        </w:rPr>
        <w:t>Comme les DEEE sont classés parmi des déchets dangereux, les mesures suivantes seront prises :</w:t>
      </w:r>
    </w:p>
    <w:p w14:paraId="3E8F6D9C" w14:textId="77777777" w:rsidR="00FC0453" w:rsidRDefault="00535159" w:rsidP="0044500E">
      <w:pPr>
        <w:pStyle w:val="Paragraphedeliste"/>
        <w:numPr>
          <w:ilvl w:val="0"/>
          <w:numId w:val="199"/>
        </w:numPr>
        <w:jc w:val="both"/>
        <w:rPr>
          <w:rFonts w:ascii="Arial" w:hAnsi="Arial" w:cs="Arial"/>
        </w:rPr>
      </w:pPr>
      <w:r>
        <w:rPr>
          <w:rFonts w:ascii="Arial" w:hAnsi="Arial" w:cs="Arial"/>
        </w:rPr>
        <w:t>L</w:t>
      </w:r>
      <w:r w:rsidR="00FC0453" w:rsidRPr="00DF004E">
        <w:rPr>
          <w:rFonts w:ascii="Arial" w:hAnsi="Arial" w:cs="Arial"/>
        </w:rPr>
        <w:t>es déchets électroniques entiers</w:t>
      </w:r>
      <w:r w:rsidR="00FC0453">
        <w:rPr>
          <w:rFonts w:ascii="Arial" w:hAnsi="Arial" w:cs="Arial"/>
        </w:rPr>
        <w:t>, les</w:t>
      </w:r>
      <w:r w:rsidR="00FC0453" w:rsidRPr="00DF004E">
        <w:rPr>
          <w:rFonts w:ascii="Arial" w:hAnsi="Arial" w:cs="Arial"/>
        </w:rPr>
        <w:t xml:space="preserve"> matériaux propres </w:t>
      </w:r>
      <w:r w:rsidR="00FC0453">
        <w:rPr>
          <w:rFonts w:ascii="Arial" w:hAnsi="Arial" w:cs="Arial"/>
        </w:rPr>
        <w:t xml:space="preserve">et </w:t>
      </w:r>
      <w:r w:rsidR="00FC0453" w:rsidRPr="00DF004E">
        <w:rPr>
          <w:rFonts w:ascii="Arial" w:hAnsi="Arial" w:cs="Arial"/>
        </w:rPr>
        <w:t xml:space="preserve">les composants contenant des substances dangereuses </w:t>
      </w:r>
      <w:r w:rsidR="00FC0453">
        <w:rPr>
          <w:rFonts w:ascii="Arial" w:hAnsi="Arial" w:cs="Arial"/>
        </w:rPr>
        <w:t xml:space="preserve">ne </w:t>
      </w:r>
      <w:r w:rsidR="00FC0453" w:rsidRPr="00DF004E">
        <w:rPr>
          <w:rFonts w:ascii="Arial" w:hAnsi="Arial" w:cs="Arial"/>
        </w:rPr>
        <w:t xml:space="preserve">doivent </w:t>
      </w:r>
      <w:r w:rsidR="00FC0453">
        <w:rPr>
          <w:rFonts w:ascii="Arial" w:hAnsi="Arial" w:cs="Arial"/>
        </w:rPr>
        <w:t xml:space="preserve">pas se mélanger. Ils seront séparés et placer dans des secteurs différents  </w:t>
      </w:r>
    </w:p>
    <w:p w14:paraId="1F6CD011" w14:textId="77777777" w:rsidR="00FC0453" w:rsidRPr="00DF004E" w:rsidRDefault="00FC0453" w:rsidP="0044500E">
      <w:pPr>
        <w:pStyle w:val="Paragraphedeliste"/>
        <w:numPr>
          <w:ilvl w:val="0"/>
          <w:numId w:val="199"/>
        </w:numPr>
        <w:jc w:val="both"/>
        <w:rPr>
          <w:rFonts w:ascii="Arial" w:hAnsi="Arial" w:cs="Arial"/>
        </w:rPr>
      </w:pPr>
      <w:r w:rsidRPr="00DF004E">
        <w:rPr>
          <w:rFonts w:ascii="Arial" w:hAnsi="Arial" w:cs="Arial"/>
        </w:rPr>
        <w:t xml:space="preserve">Tout déchet dangereux doit être </w:t>
      </w:r>
      <w:r>
        <w:rPr>
          <w:rFonts w:ascii="Arial" w:hAnsi="Arial" w:cs="Arial"/>
        </w:rPr>
        <w:t>étiqueté, la fiche doit contenir les informations de</w:t>
      </w:r>
      <w:r w:rsidRPr="00DF004E">
        <w:rPr>
          <w:rFonts w:ascii="Arial" w:hAnsi="Arial" w:cs="Arial"/>
        </w:rPr>
        <w:t xml:space="preserve"> sécurité</w:t>
      </w:r>
      <w:r>
        <w:rPr>
          <w:rFonts w:ascii="Arial" w:hAnsi="Arial" w:cs="Arial"/>
        </w:rPr>
        <w:t xml:space="preserve"> du produit</w:t>
      </w:r>
      <w:r w:rsidRPr="00DF004E">
        <w:rPr>
          <w:rFonts w:ascii="Arial" w:hAnsi="Arial" w:cs="Arial"/>
        </w:rPr>
        <w:t xml:space="preserve"> et des fiches de procédures d’urgence concernant les principales substances dangereuses en présence, compte tenu de la matrice de compatibilité. </w:t>
      </w:r>
    </w:p>
    <w:p w14:paraId="2C76E036" w14:textId="77777777" w:rsidR="00FC0453" w:rsidRPr="00DF004E" w:rsidRDefault="00FC0453" w:rsidP="0044500E">
      <w:pPr>
        <w:pStyle w:val="Paragraphedeliste"/>
        <w:numPr>
          <w:ilvl w:val="0"/>
          <w:numId w:val="199"/>
        </w:numPr>
        <w:jc w:val="both"/>
        <w:rPr>
          <w:rFonts w:ascii="Arial" w:hAnsi="Arial" w:cs="Arial"/>
        </w:rPr>
      </w:pPr>
      <w:r w:rsidRPr="00DF004E">
        <w:rPr>
          <w:rFonts w:ascii="Arial" w:hAnsi="Arial" w:cs="Arial"/>
        </w:rPr>
        <w:t xml:space="preserve">Les éléments qui contiennent du lithium </w:t>
      </w:r>
      <w:r>
        <w:rPr>
          <w:rFonts w:ascii="Arial" w:hAnsi="Arial" w:cs="Arial"/>
        </w:rPr>
        <w:t xml:space="preserve">(à l’exemple des batteries) </w:t>
      </w:r>
      <w:r w:rsidRPr="00DF004E">
        <w:rPr>
          <w:rFonts w:ascii="Arial" w:hAnsi="Arial" w:cs="Arial"/>
        </w:rPr>
        <w:t xml:space="preserve">doivent être stockés à part, dans une zone à accès restreint, </w:t>
      </w:r>
      <w:r>
        <w:rPr>
          <w:rFonts w:ascii="Arial" w:hAnsi="Arial" w:cs="Arial"/>
        </w:rPr>
        <w:t xml:space="preserve">et </w:t>
      </w:r>
      <w:r w:rsidRPr="00DF004E">
        <w:rPr>
          <w:rFonts w:ascii="Arial" w:hAnsi="Arial" w:cs="Arial"/>
        </w:rPr>
        <w:t xml:space="preserve">ne doivent pas être exposés à la chaleur, à la lumière du soleil, à l’humidité ou à l’eau, car ils peuvent prendre feu ou exploser s’ils sont exposés à des températures élevées. </w:t>
      </w:r>
    </w:p>
    <w:p w14:paraId="67844EC2" w14:textId="77777777" w:rsidR="00FC0453" w:rsidRPr="00DF004E" w:rsidRDefault="00FC0453" w:rsidP="0044500E">
      <w:pPr>
        <w:pStyle w:val="Paragraphedeliste"/>
        <w:numPr>
          <w:ilvl w:val="0"/>
          <w:numId w:val="199"/>
        </w:numPr>
        <w:jc w:val="both"/>
        <w:rPr>
          <w:rFonts w:ascii="Arial" w:hAnsi="Arial" w:cs="Arial"/>
        </w:rPr>
      </w:pPr>
      <w:r w:rsidRPr="00DF004E">
        <w:rPr>
          <w:rFonts w:ascii="Arial" w:hAnsi="Arial" w:cs="Arial"/>
        </w:rPr>
        <w:t xml:space="preserve">Les accumulateurs doivent être entreposés à l’abri de l’humidité et de la pluie et sous des bâches. Les lampes contenant du mercure et les écrans CRT, LCD ou plasma qui ont été endommagés accidentellement doivent être stockés dans des cartons fermés et identifiés en conséquence. </w:t>
      </w:r>
    </w:p>
    <w:p w14:paraId="59CE4BD5" w14:textId="77777777" w:rsidR="00FC0453" w:rsidRDefault="00535159" w:rsidP="0044500E">
      <w:pPr>
        <w:pStyle w:val="Paragraphedeliste"/>
        <w:numPr>
          <w:ilvl w:val="0"/>
          <w:numId w:val="199"/>
        </w:numPr>
        <w:jc w:val="both"/>
        <w:rPr>
          <w:rFonts w:ascii="Arial" w:hAnsi="Arial" w:cs="Arial"/>
        </w:rPr>
      </w:pPr>
      <w:r>
        <w:rPr>
          <w:rFonts w:ascii="Arial" w:hAnsi="Arial" w:cs="Arial"/>
        </w:rPr>
        <w:t>L</w:t>
      </w:r>
      <w:r w:rsidR="00FC0453" w:rsidRPr="00DF004E">
        <w:rPr>
          <w:rFonts w:ascii="Arial" w:hAnsi="Arial" w:cs="Arial"/>
        </w:rPr>
        <w:t>es lampes doivent être</w:t>
      </w:r>
      <w:r w:rsidR="00FC0453">
        <w:rPr>
          <w:rFonts w:ascii="Arial" w:hAnsi="Arial" w:cs="Arial"/>
        </w:rPr>
        <w:t xml:space="preserve"> placé</w:t>
      </w:r>
      <w:r>
        <w:rPr>
          <w:rFonts w:ascii="Arial" w:hAnsi="Arial" w:cs="Arial"/>
        </w:rPr>
        <w:t>e</w:t>
      </w:r>
      <w:r w:rsidR="00FC0453">
        <w:rPr>
          <w:rFonts w:ascii="Arial" w:hAnsi="Arial" w:cs="Arial"/>
        </w:rPr>
        <w:t>s dans des locaux</w:t>
      </w:r>
      <w:r w:rsidR="00FC0453" w:rsidRPr="00DF004E">
        <w:rPr>
          <w:rFonts w:ascii="Arial" w:hAnsi="Arial" w:cs="Arial"/>
        </w:rPr>
        <w:t xml:space="preserve"> aérés, </w:t>
      </w:r>
      <w:r w:rsidR="00FC0453">
        <w:rPr>
          <w:rFonts w:ascii="Arial" w:hAnsi="Arial" w:cs="Arial"/>
        </w:rPr>
        <w:t xml:space="preserve">afin de </w:t>
      </w:r>
      <w:r w:rsidR="00FC0453" w:rsidRPr="00DF004E">
        <w:rPr>
          <w:rFonts w:ascii="Arial" w:hAnsi="Arial" w:cs="Arial"/>
        </w:rPr>
        <w:t>limiter et contrôler les émissions dans l’environnement, et facilement accessibles au personnel autorisé, lequel doit toutefois s’y rendre le moins possible.</w:t>
      </w:r>
    </w:p>
    <w:p w14:paraId="5A3FFEAC" w14:textId="77777777" w:rsidR="007775E1" w:rsidRDefault="007775E1" w:rsidP="00B434A6">
      <w:pPr>
        <w:pStyle w:val="Paragraphedeliste"/>
        <w:jc w:val="both"/>
        <w:rPr>
          <w:rFonts w:ascii="Arial" w:hAnsi="Arial" w:cs="Arial"/>
        </w:rPr>
      </w:pPr>
    </w:p>
    <w:p w14:paraId="6419F395" w14:textId="77777777" w:rsidR="00FC0453" w:rsidRPr="00476A8B" w:rsidRDefault="00FC0453" w:rsidP="0044500E">
      <w:pPr>
        <w:pStyle w:val="Paragraphedeliste"/>
        <w:numPr>
          <w:ilvl w:val="2"/>
          <w:numId w:val="196"/>
        </w:numPr>
        <w:ind w:left="1843"/>
        <w:jc w:val="both"/>
        <w:rPr>
          <w:rFonts w:ascii="Arial" w:hAnsi="Arial" w:cs="Arial"/>
          <w:b/>
        </w:rPr>
      </w:pPr>
      <w:r w:rsidRPr="00476A8B">
        <w:rPr>
          <w:rFonts w:ascii="Arial" w:hAnsi="Arial" w:cs="Arial"/>
          <w:b/>
        </w:rPr>
        <w:t>Emballage, étiquetage et identification</w:t>
      </w:r>
    </w:p>
    <w:p w14:paraId="52A298EF" w14:textId="77777777" w:rsidR="00FC0453" w:rsidRPr="00476A8B" w:rsidRDefault="00FC0453" w:rsidP="00FC0453">
      <w:pPr>
        <w:jc w:val="both"/>
        <w:rPr>
          <w:rFonts w:ascii="Arial" w:hAnsi="Arial" w:cs="Arial"/>
        </w:rPr>
      </w:pPr>
      <w:r w:rsidRPr="00476A8B">
        <w:rPr>
          <w:rFonts w:ascii="Arial" w:hAnsi="Arial" w:cs="Arial"/>
        </w:rPr>
        <w:t>Le stockage des matériaux et des composants obtenus par démantèlement manuel doit se faire dans des cartons appropriés.</w:t>
      </w:r>
    </w:p>
    <w:p w14:paraId="42D1E1B0" w14:textId="77777777" w:rsidR="00FC0453" w:rsidRDefault="00FC0453" w:rsidP="00FC0453">
      <w:pPr>
        <w:jc w:val="both"/>
        <w:rPr>
          <w:rFonts w:ascii="Arial" w:hAnsi="Arial" w:cs="Arial"/>
        </w:rPr>
      </w:pPr>
      <w:r w:rsidRPr="00476A8B">
        <w:rPr>
          <w:rFonts w:ascii="Arial" w:hAnsi="Arial" w:cs="Arial"/>
        </w:rPr>
        <w:t>Les cartons doivent comporter des étiquettes indiquant notamment les informations suivantes : description ou type de matériaux ou composant, poids (kg), numéro de carton, position dans le rayonnage, responsable et date. Ces informations doivent également être enregistrées dans le système d’information, de même que la destination des matériaux ou composants de chaque conteneur. Les cartons de composants de DEEE qui pourraient contenir des substances</w:t>
      </w:r>
      <w:r>
        <w:rPr>
          <w:rFonts w:ascii="Arial" w:hAnsi="Arial" w:cs="Arial"/>
        </w:rPr>
        <w:t xml:space="preserve"> </w:t>
      </w:r>
      <w:r w:rsidRPr="00476A8B">
        <w:rPr>
          <w:rFonts w:ascii="Arial" w:hAnsi="Arial" w:cs="Arial"/>
        </w:rPr>
        <w:t>potentiellement dangereuses doivent être identifiés par le symbole des matières dangereuses correspondant.</w:t>
      </w:r>
    </w:p>
    <w:p w14:paraId="08CC071D" w14:textId="77777777" w:rsidR="00FC0453" w:rsidRPr="00476A8B" w:rsidRDefault="00FC0453" w:rsidP="0044500E">
      <w:pPr>
        <w:pStyle w:val="Paragraphedeliste"/>
        <w:numPr>
          <w:ilvl w:val="2"/>
          <w:numId w:val="196"/>
        </w:numPr>
        <w:ind w:left="1843"/>
        <w:jc w:val="both"/>
        <w:rPr>
          <w:rFonts w:ascii="Arial" w:hAnsi="Arial" w:cs="Arial"/>
          <w:b/>
        </w:rPr>
      </w:pPr>
      <w:r w:rsidRPr="00476A8B">
        <w:rPr>
          <w:rFonts w:ascii="Arial" w:hAnsi="Arial" w:cs="Arial"/>
          <w:b/>
        </w:rPr>
        <w:t>Suivi des DEEE</w:t>
      </w:r>
    </w:p>
    <w:p w14:paraId="1639A5C6" w14:textId="77777777" w:rsidR="00FC0453" w:rsidRDefault="00FC0453" w:rsidP="00FC0453">
      <w:pPr>
        <w:jc w:val="both"/>
        <w:rPr>
          <w:rFonts w:ascii="Arial" w:hAnsi="Arial" w:cs="Arial"/>
        </w:rPr>
      </w:pPr>
      <w:r>
        <w:rPr>
          <w:rFonts w:ascii="Arial" w:hAnsi="Arial" w:cs="Arial"/>
        </w:rPr>
        <w:t xml:space="preserve">Afin </w:t>
      </w:r>
      <w:r w:rsidRPr="00FE05CD">
        <w:rPr>
          <w:rFonts w:ascii="Arial" w:hAnsi="Arial" w:cs="Arial"/>
        </w:rPr>
        <w:t xml:space="preserve">d’assurer la traçabilité des déchets dangereux et de constituer </w:t>
      </w:r>
      <w:r>
        <w:rPr>
          <w:rFonts w:ascii="Arial" w:hAnsi="Arial" w:cs="Arial"/>
        </w:rPr>
        <w:t xml:space="preserve">une preuve de leur élimination, le Projet utilisera un bordereau de suivi des Déchets dangereux. Ainsi, à chaque mouvement de Déchet (entrée ou sorties), un bordereau </w:t>
      </w:r>
      <w:r w:rsidRPr="00FE05CD">
        <w:rPr>
          <w:rFonts w:ascii="Arial" w:hAnsi="Arial" w:cs="Arial"/>
        </w:rPr>
        <w:t xml:space="preserve">indiquant notamment les informations suivantes </w:t>
      </w:r>
      <w:r>
        <w:rPr>
          <w:rFonts w:ascii="Arial" w:hAnsi="Arial" w:cs="Arial"/>
        </w:rPr>
        <w:t xml:space="preserve">sera à remplir </w:t>
      </w:r>
      <w:r w:rsidRPr="00FE05CD">
        <w:rPr>
          <w:rFonts w:ascii="Arial" w:hAnsi="Arial" w:cs="Arial"/>
        </w:rPr>
        <w:t>: type de déchet, provenance, numéro du lot, poids (kg), quantité (unités), marque des équipements, numéro de série de chaque équipement, destination, informations du véhicule (numéro d’immatriculation et type), signature des responsables, etc.</w:t>
      </w:r>
    </w:p>
    <w:p w14:paraId="3C996649" w14:textId="77777777" w:rsidR="00FC0453" w:rsidRPr="008B2EEA" w:rsidRDefault="00FC0453" w:rsidP="0044500E">
      <w:pPr>
        <w:pStyle w:val="Paragraphedeliste"/>
        <w:numPr>
          <w:ilvl w:val="2"/>
          <w:numId w:val="196"/>
        </w:numPr>
        <w:ind w:left="1843"/>
        <w:jc w:val="both"/>
        <w:rPr>
          <w:rFonts w:ascii="Arial" w:hAnsi="Arial" w:cs="Arial"/>
          <w:b/>
        </w:rPr>
      </w:pPr>
      <w:r w:rsidRPr="008B2EEA">
        <w:rPr>
          <w:rFonts w:ascii="Arial" w:hAnsi="Arial" w:cs="Arial"/>
          <w:b/>
        </w:rPr>
        <w:t xml:space="preserve">Reconditionnement, recyclage, valorisation et élimination des déchets </w:t>
      </w:r>
    </w:p>
    <w:p w14:paraId="63F5D1B0" w14:textId="77777777" w:rsidR="00FC0453" w:rsidRDefault="00FC0453" w:rsidP="00FC0453">
      <w:pPr>
        <w:jc w:val="both"/>
        <w:rPr>
          <w:rFonts w:ascii="Arial" w:hAnsi="Arial" w:cs="Arial"/>
        </w:rPr>
      </w:pPr>
      <w:r>
        <w:rPr>
          <w:rFonts w:ascii="Arial" w:hAnsi="Arial" w:cs="Arial"/>
        </w:rPr>
        <w:t>Cette étape peut être assurée par des organisme</w:t>
      </w:r>
      <w:r w:rsidR="007775E1">
        <w:rPr>
          <w:rFonts w:ascii="Arial" w:hAnsi="Arial" w:cs="Arial"/>
        </w:rPr>
        <w:t>s</w:t>
      </w:r>
      <w:r>
        <w:rPr>
          <w:rFonts w:ascii="Arial" w:hAnsi="Arial" w:cs="Arial"/>
        </w:rPr>
        <w:t>/société</w:t>
      </w:r>
      <w:r w:rsidR="007775E1">
        <w:rPr>
          <w:rFonts w:ascii="Arial" w:hAnsi="Arial" w:cs="Arial"/>
        </w:rPr>
        <w:t>s</w:t>
      </w:r>
      <w:r>
        <w:rPr>
          <w:rFonts w:ascii="Arial" w:hAnsi="Arial" w:cs="Arial"/>
        </w:rPr>
        <w:t xml:space="preserve"> spécialisés dans le domaine de traitement des déchets d’équipement électronique et électrique. Dans ce cas, le Projet fera un accord de coopération à ses organisme</w:t>
      </w:r>
      <w:r w:rsidR="007775E1">
        <w:rPr>
          <w:rFonts w:ascii="Arial" w:hAnsi="Arial" w:cs="Arial"/>
        </w:rPr>
        <w:t>s</w:t>
      </w:r>
      <w:r>
        <w:rPr>
          <w:rFonts w:ascii="Arial" w:hAnsi="Arial" w:cs="Arial"/>
        </w:rPr>
        <w:t>/Société</w:t>
      </w:r>
      <w:r w:rsidR="007775E1">
        <w:rPr>
          <w:rFonts w:ascii="Arial" w:hAnsi="Arial" w:cs="Arial"/>
        </w:rPr>
        <w:t>s</w:t>
      </w:r>
      <w:r>
        <w:rPr>
          <w:rFonts w:ascii="Arial" w:hAnsi="Arial" w:cs="Arial"/>
        </w:rPr>
        <w:t xml:space="preserve"> sur la collecte et le traitement de ces déchets.</w:t>
      </w:r>
    </w:p>
    <w:p w14:paraId="687A3E9A" w14:textId="77777777" w:rsidR="00FC0453" w:rsidRDefault="00FC0453" w:rsidP="00FC0453">
      <w:pPr>
        <w:jc w:val="both"/>
        <w:rPr>
          <w:rFonts w:ascii="Arial" w:hAnsi="Arial" w:cs="Arial"/>
        </w:rPr>
      </w:pPr>
      <w:r>
        <w:rPr>
          <w:rFonts w:ascii="Arial" w:hAnsi="Arial" w:cs="Arial"/>
        </w:rPr>
        <w:t>A Madagascar, des sociétés et ONG commencent actuellement à recycler ces Déche</w:t>
      </w:r>
      <w:r w:rsidR="007775E1">
        <w:rPr>
          <w:rFonts w:ascii="Arial" w:hAnsi="Arial" w:cs="Arial"/>
        </w:rPr>
        <w:t>s</w:t>
      </w:r>
      <w:r>
        <w:rPr>
          <w:rFonts w:ascii="Arial" w:hAnsi="Arial" w:cs="Arial"/>
        </w:rPr>
        <w:t>t si on ne parle que la société Valomada et Vohitra environnement. Ces deux sociétés peu</w:t>
      </w:r>
      <w:r w:rsidR="007775E1">
        <w:rPr>
          <w:rFonts w:ascii="Arial" w:hAnsi="Arial" w:cs="Arial"/>
        </w:rPr>
        <w:t>ven</w:t>
      </w:r>
      <w:r>
        <w:rPr>
          <w:rFonts w:ascii="Arial" w:hAnsi="Arial" w:cs="Arial"/>
        </w:rPr>
        <w:t xml:space="preserve">t </w:t>
      </w:r>
      <w:r w:rsidRPr="008B2EEA">
        <w:rPr>
          <w:rFonts w:ascii="Arial" w:hAnsi="Arial" w:cs="Arial"/>
        </w:rPr>
        <w:t>démonte</w:t>
      </w:r>
      <w:r>
        <w:rPr>
          <w:rFonts w:ascii="Arial" w:hAnsi="Arial" w:cs="Arial"/>
        </w:rPr>
        <w:t>r</w:t>
      </w:r>
      <w:r w:rsidRPr="008B2EEA">
        <w:rPr>
          <w:rFonts w:ascii="Arial" w:hAnsi="Arial" w:cs="Arial"/>
        </w:rPr>
        <w:t xml:space="preserve"> les machines et trie</w:t>
      </w:r>
      <w:r w:rsidR="007775E1">
        <w:rPr>
          <w:rFonts w:ascii="Arial" w:hAnsi="Arial" w:cs="Arial"/>
        </w:rPr>
        <w:t>nt</w:t>
      </w:r>
      <w:r w:rsidRPr="008B2EEA">
        <w:rPr>
          <w:rFonts w:ascii="Arial" w:hAnsi="Arial" w:cs="Arial"/>
        </w:rPr>
        <w:t xml:space="preserve"> les différents composants</w:t>
      </w:r>
      <w:r>
        <w:rPr>
          <w:rFonts w:ascii="Arial" w:hAnsi="Arial" w:cs="Arial"/>
        </w:rPr>
        <w:t xml:space="preserve"> et les revendent localement (</w:t>
      </w:r>
      <w:r w:rsidRPr="008B2EEA">
        <w:rPr>
          <w:rFonts w:ascii="Arial" w:hAnsi="Arial" w:cs="Arial"/>
        </w:rPr>
        <w:t>cuivre et l’aluminium)</w:t>
      </w:r>
      <w:r>
        <w:rPr>
          <w:rFonts w:ascii="Arial" w:hAnsi="Arial" w:cs="Arial"/>
        </w:rPr>
        <w:t xml:space="preserve"> ou à l’étranger (</w:t>
      </w:r>
      <w:r w:rsidRPr="008B2EEA">
        <w:rPr>
          <w:rFonts w:ascii="Arial" w:hAnsi="Arial" w:cs="Arial"/>
        </w:rPr>
        <w:t>puces électroniques</w:t>
      </w:r>
      <w:r>
        <w:rPr>
          <w:rFonts w:ascii="Arial" w:hAnsi="Arial" w:cs="Arial"/>
        </w:rPr>
        <w:t>)</w:t>
      </w:r>
      <w:r w:rsidRPr="008B2EEA">
        <w:rPr>
          <w:rFonts w:ascii="Arial" w:hAnsi="Arial" w:cs="Arial"/>
        </w:rPr>
        <w:t>.</w:t>
      </w:r>
      <w:r>
        <w:rPr>
          <w:rFonts w:ascii="Arial" w:hAnsi="Arial" w:cs="Arial"/>
        </w:rPr>
        <w:t xml:space="preserve"> Il y a aussi Telma qui récupère les différents matériels électroniques, qui les réparent et reconditionnent. Ces matériels seront ensuite offerts à des ONG à œuvre caritatifs. En outre, il existe actuellement des entreprises qui recyclent les produits en plastiques qui pourraient s’intéresser au déchet en plastique généré par la mise en œuvre du Projet.</w:t>
      </w:r>
    </w:p>
    <w:p w14:paraId="34C088D7" w14:textId="77777777" w:rsidR="00FC0453" w:rsidRPr="00DF004E" w:rsidRDefault="00FC0453" w:rsidP="00FC0453">
      <w:pPr>
        <w:jc w:val="both"/>
        <w:rPr>
          <w:rFonts w:ascii="Arial" w:hAnsi="Arial" w:cs="Arial"/>
        </w:rPr>
      </w:pPr>
      <w:r>
        <w:rPr>
          <w:rFonts w:ascii="Arial" w:hAnsi="Arial" w:cs="Arial"/>
        </w:rPr>
        <w:t>Pour le cas des panneaux solaire</w:t>
      </w:r>
      <w:r w:rsidR="007775E1">
        <w:rPr>
          <w:rFonts w:ascii="Arial" w:hAnsi="Arial" w:cs="Arial"/>
        </w:rPr>
        <w:t>s</w:t>
      </w:r>
      <w:r>
        <w:rPr>
          <w:rFonts w:ascii="Arial" w:hAnsi="Arial" w:cs="Arial"/>
        </w:rPr>
        <w:t xml:space="preserve"> et centre de stockage issu des centrales électrique</w:t>
      </w:r>
      <w:r w:rsidR="007775E1">
        <w:rPr>
          <w:rFonts w:ascii="Arial" w:hAnsi="Arial" w:cs="Arial"/>
        </w:rPr>
        <w:t>s</w:t>
      </w:r>
      <w:r>
        <w:rPr>
          <w:rFonts w:ascii="Arial" w:hAnsi="Arial" w:cs="Arial"/>
        </w:rPr>
        <w:t xml:space="preserve"> solaire</w:t>
      </w:r>
      <w:r w:rsidR="007775E1">
        <w:rPr>
          <w:rFonts w:ascii="Arial" w:hAnsi="Arial" w:cs="Arial"/>
        </w:rPr>
        <w:t>s</w:t>
      </w:r>
      <w:r>
        <w:rPr>
          <w:rFonts w:ascii="Arial" w:hAnsi="Arial" w:cs="Arial"/>
        </w:rPr>
        <w:t xml:space="preserve">, le Projet </w:t>
      </w:r>
      <w:r w:rsidR="007775E1">
        <w:rPr>
          <w:rFonts w:ascii="Arial" w:hAnsi="Arial" w:cs="Arial"/>
        </w:rPr>
        <w:t>contracte</w:t>
      </w:r>
      <w:r>
        <w:rPr>
          <w:rFonts w:ascii="Arial" w:hAnsi="Arial" w:cs="Arial"/>
        </w:rPr>
        <w:t xml:space="preserve"> directement </w:t>
      </w:r>
      <w:r w:rsidR="007775E1">
        <w:rPr>
          <w:rFonts w:ascii="Arial" w:hAnsi="Arial" w:cs="Arial"/>
        </w:rPr>
        <w:t>le</w:t>
      </w:r>
      <w:r>
        <w:rPr>
          <w:rFonts w:ascii="Arial" w:hAnsi="Arial" w:cs="Arial"/>
        </w:rPr>
        <w:t xml:space="preserve"> fournisseur de ces matériels pour la récupération et recyclage.</w:t>
      </w:r>
    </w:p>
    <w:p w14:paraId="594E7359" w14:textId="77777777" w:rsidR="00FC0453" w:rsidRPr="00067E03" w:rsidRDefault="00FC0453" w:rsidP="00D334A6">
      <w:pPr>
        <w:pStyle w:val="Paragraphedeliste"/>
        <w:spacing w:before="280" w:after="280"/>
        <w:rPr>
          <w:rFonts w:cs="Arial"/>
          <w:b/>
          <w:sz w:val="24"/>
        </w:rPr>
      </w:pPr>
    </w:p>
    <w:p w14:paraId="31AC15F8" w14:textId="77777777" w:rsidR="009A0954" w:rsidRPr="007F78CE" w:rsidRDefault="009A0954" w:rsidP="00F91FA3">
      <w:pPr>
        <w:ind w:left="-5" w:right="42"/>
        <w:jc w:val="both"/>
        <w:rPr>
          <w:rFonts w:cs="Calibri"/>
        </w:rPr>
      </w:pPr>
    </w:p>
    <w:p w14:paraId="31D38F81" w14:textId="77777777" w:rsidR="007775E1" w:rsidRPr="00940A32" w:rsidRDefault="009A0954" w:rsidP="001C5508">
      <w:pPr>
        <w:rPr>
          <w:rFonts w:ascii="Arial" w:hAnsi="Arial" w:cs="Arial"/>
          <w:b/>
          <w:bCs/>
        </w:rPr>
      </w:pPr>
      <w:r>
        <w:br w:type="page"/>
      </w:r>
      <w:bookmarkStart w:id="1770" w:name="_Toc125402474"/>
      <w:r w:rsidR="007775E1" w:rsidRPr="00940A32">
        <w:rPr>
          <w:rFonts w:ascii="Arial" w:hAnsi="Arial" w:cs="Arial"/>
          <w:b/>
          <w:bCs/>
        </w:rPr>
        <w:t xml:space="preserve">Annexe </w:t>
      </w:r>
      <w:r w:rsidR="007775E1" w:rsidRPr="00940A32">
        <w:rPr>
          <w:rFonts w:ascii="Arial" w:hAnsi="Arial" w:cs="Arial"/>
          <w:b/>
          <w:bCs/>
        </w:rPr>
        <w:fldChar w:fldCharType="begin"/>
      </w:r>
      <w:r w:rsidR="007775E1" w:rsidRPr="00940A32">
        <w:rPr>
          <w:rFonts w:ascii="Arial" w:hAnsi="Arial" w:cs="Arial"/>
          <w:b/>
          <w:bCs/>
        </w:rPr>
        <w:instrText>SEQ Annexe \* ARABIC</w:instrText>
      </w:r>
      <w:r w:rsidR="007775E1" w:rsidRPr="00940A32">
        <w:rPr>
          <w:rFonts w:ascii="Arial" w:hAnsi="Arial" w:cs="Arial"/>
          <w:b/>
          <w:bCs/>
        </w:rPr>
        <w:fldChar w:fldCharType="separate"/>
      </w:r>
      <w:r w:rsidR="009947B9">
        <w:rPr>
          <w:rFonts w:ascii="Arial" w:hAnsi="Arial" w:cs="Arial"/>
          <w:b/>
          <w:bCs/>
          <w:noProof/>
        </w:rPr>
        <w:t>11</w:t>
      </w:r>
      <w:r w:rsidR="007775E1" w:rsidRPr="00940A32">
        <w:rPr>
          <w:rFonts w:ascii="Arial" w:hAnsi="Arial" w:cs="Arial"/>
          <w:b/>
          <w:bCs/>
        </w:rPr>
        <w:fldChar w:fldCharType="end"/>
      </w:r>
      <w:r w:rsidR="007775E1" w:rsidRPr="00940A32">
        <w:rPr>
          <w:rFonts w:ascii="Arial" w:hAnsi="Arial" w:cs="Arial"/>
          <w:b/>
          <w:bCs/>
        </w:rPr>
        <w:t> : Plan de Gestion de COVID-19</w:t>
      </w:r>
      <w:bookmarkEnd w:id="1770"/>
    </w:p>
    <w:p w14:paraId="1C351B7C" w14:textId="77777777" w:rsidR="007775E1" w:rsidRPr="002754BA" w:rsidRDefault="007775E1" w:rsidP="0044500E">
      <w:pPr>
        <w:pStyle w:val="Paragraphedeliste"/>
        <w:numPr>
          <w:ilvl w:val="0"/>
          <w:numId w:val="201"/>
        </w:numPr>
        <w:rPr>
          <w:rFonts w:ascii="Arial" w:eastAsia="Times New Roman" w:hAnsi="Arial" w:cs="Arial"/>
          <w:b/>
          <w:bCs/>
          <w:caps/>
          <w:kern w:val="32"/>
          <w:sz w:val="20"/>
        </w:rPr>
      </w:pPr>
      <w:bookmarkStart w:id="1771" w:name="_Toc92917818"/>
      <w:r w:rsidRPr="002754BA">
        <w:rPr>
          <w:rFonts w:ascii="Arial" w:eastAsia="Times New Roman" w:hAnsi="Arial" w:cs="Arial"/>
          <w:b/>
          <w:bCs/>
          <w:caps/>
          <w:kern w:val="32"/>
          <w:sz w:val="20"/>
        </w:rPr>
        <w:t>Objectif</w:t>
      </w:r>
      <w:bookmarkEnd w:id="1771"/>
    </w:p>
    <w:p w14:paraId="3C6C32CC" w14:textId="77777777" w:rsidR="007775E1" w:rsidRPr="002754BA" w:rsidRDefault="007775E1" w:rsidP="007775E1">
      <w:pPr>
        <w:jc w:val="both"/>
        <w:rPr>
          <w:rFonts w:ascii="Arial" w:hAnsi="Arial" w:cs="Arial"/>
        </w:rPr>
      </w:pPr>
      <w:r w:rsidRPr="002754BA">
        <w:rPr>
          <w:rFonts w:ascii="Arial" w:hAnsi="Arial" w:cs="Arial"/>
        </w:rPr>
        <w:t>Dans le cadre de la réalisation de ce projet, tous les intervenants sont fortement engagés pour la santé, la sécurité et le bien-être de tous les collaborateurs et de leurs familles. Ce plan de gestion de Covid</w:t>
      </w:r>
      <w:r>
        <w:rPr>
          <w:rFonts w:ascii="Arial" w:hAnsi="Arial" w:cs="Arial"/>
        </w:rPr>
        <w:t>-</w:t>
      </w:r>
      <w:r w:rsidRPr="002754BA">
        <w:rPr>
          <w:rFonts w:ascii="Arial" w:hAnsi="Arial" w:cs="Arial"/>
        </w:rPr>
        <w:t>19 est conçu pour apporter une réponse méthodique et rapide en cas d’épidémie déclarée à Madagascar et dans l</w:t>
      </w:r>
      <w:r>
        <w:rPr>
          <w:rFonts w:ascii="Arial" w:hAnsi="Arial" w:cs="Arial"/>
        </w:rPr>
        <w:t>es</w:t>
      </w:r>
      <w:r w:rsidRPr="002754BA">
        <w:rPr>
          <w:rFonts w:ascii="Arial" w:hAnsi="Arial" w:cs="Arial"/>
        </w:rPr>
        <w:t xml:space="preserve"> région</w:t>
      </w:r>
      <w:r>
        <w:rPr>
          <w:rFonts w:ascii="Arial" w:hAnsi="Arial" w:cs="Arial"/>
        </w:rPr>
        <w:t>s d’intervention</w:t>
      </w:r>
      <w:r w:rsidRPr="002754BA">
        <w:rPr>
          <w:rFonts w:ascii="Arial" w:hAnsi="Arial" w:cs="Arial"/>
        </w:rPr>
        <w:t xml:space="preserve"> du projet pour éviter la propagation et protéger </w:t>
      </w:r>
      <w:r>
        <w:rPr>
          <w:rFonts w:ascii="Arial" w:hAnsi="Arial" w:cs="Arial"/>
        </w:rPr>
        <w:t>les</w:t>
      </w:r>
      <w:r w:rsidRPr="002754BA">
        <w:rPr>
          <w:rFonts w:ascii="Arial" w:hAnsi="Arial" w:cs="Arial"/>
        </w:rPr>
        <w:t xml:space="preserve"> collaborateurs. Le non-respect des mesures préventives liées à ce plan oblige l’entreprise à appliquer les sanctions énumérées dans le code de conduite des employés.</w:t>
      </w:r>
    </w:p>
    <w:p w14:paraId="1DE59248" w14:textId="77777777" w:rsidR="007775E1" w:rsidRPr="002754BA" w:rsidRDefault="007775E1" w:rsidP="0044500E">
      <w:pPr>
        <w:pStyle w:val="Paragraphedeliste"/>
        <w:numPr>
          <w:ilvl w:val="0"/>
          <w:numId w:val="201"/>
        </w:numPr>
        <w:rPr>
          <w:rFonts w:ascii="Arial" w:eastAsia="Times New Roman" w:hAnsi="Arial" w:cs="Arial"/>
          <w:b/>
          <w:bCs/>
          <w:caps/>
          <w:kern w:val="32"/>
          <w:sz w:val="20"/>
        </w:rPr>
      </w:pPr>
      <w:bookmarkStart w:id="1772" w:name="_Toc92917819"/>
      <w:r w:rsidRPr="002754BA">
        <w:rPr>
          <w:rFonts w:ascii="Arial" w:eastAsia="Times New Roman" w:hAnsi="Arial" w:cs="Arial"/>
          <w:b/>
          <w:bCs/>
          <w:caps/>
          <w:kern w:val="32"/>
          <w:sz w:val="20"/>
        </w:rPr>
        <w:t>Rappel des symptômes de Covid</w:t>
      </w:r>
      <w:r>
        <w:rPr>
          <w:rFonts w:ascii="Arial" w:eastAsia="Times New Roman" w:hAnsi="Arial" w:cs="Arial"/>
          <w:b/>
          <w:bCs/>
          <w:caps/>
          <w:kern w:val="32"/>
          <w:sz w:val="20"/>
        </w:rPr>
        <w:t>-</w:t>
      </w:r>
      <w:r w:rsidRPr="002754BA">
        <w:rPr>
          <w:rFonts w:ascii="Arial" w:eastAsia="Times New Roman" w:hAnsi="Arial" w:cs="Arial"/>
          <w:b/>
          <w:bCs/>
          <w:caps/>
          <w:kern w:val="32"/>
          <w:sz w:val="20"/>
        </w:rPr>
        <w:t>19</w:t>
      </w:r>
      <w:bookmarkEnd w:id="1772"/>
    </w:p>
    <w:p w14:paraId="0B29834A" w14:textId="77777777" w:rsidR="007775E1" w:rsidRPr="002754BA" w:rsidRDefault="007775E1" w:rsidP="007775E1">
      <w:pPr>
        <w:jc w:val="both"/>
        <w:rPr>
          <w:rFonts w:ascii="Arial" w:hAnsi="Arial" w:cs="Arial"/>
        </w:rPr>
      </w:pPr>
      <w:r w:rsidRPr="002754BA">
        <w:rPr>
          <w:rFonts w:ascii="Arial" w:hAnsi="Arial" w:cs="Arial"/>
        </w:rPr>
        <w:t>Les symptômes varient d’une épidémie à une autre (Peste, grippe, covid</w:t>
      </w:r>
      <w:r>
        <w:rPr>
          <w:rFonts w:ascii="Arial" w:hAnsi="Arial" w:cs="Arial"/>
        </w:rPr>
        <w:t>-</w:t>
      </w:r>
      <w:r w:rsidRPr="002754BA">
        <w:rPr>
          <w:rFonts w:ascii="Arial" w:hAnsi="Arial" w:cs="Arial"/>
        </w:rPr>
        <w:t>19, etc…). Pour l’épidémie de Covid</w:t>
      </w:r>
      <w:r>
        <w:rPr>
          <w:rFonts w:ascii="Arial" w:hAnsi="Arial" w:cs="Arial"/>
        </w:rPr>
        <w:t>-</w:t>
      </w:r>
      <w:r w:rsidRPr="002754BA">
        <w:rPr>
          <w:rFonts w:ascii="Arial" w:hAnsi="Arial" w:cs="Arial"/>
        </w:rPr>
        <w:t>19, les symptômes seront communiqués aux employés.</w:t>
      </w:r>
    </w:p>
    <w:p w14:paraId="529E6B06" w14:textId="77777777" w:rsidR="007775E1" w:rsidRPr="002754BA" w:rsidRDefault="007775E1" w:rsidP="007775E1">
      <w:pPr>
        <w:jc w:val="both"/>
        <w:rPr>
          <w:rFonts w:ascii="Arial" w:hAnsi="Arial" w:cs="Arial"/>
        </w:rPr>
      </w:pPr>
      <w:r w:rsidRPr="002754BA">
        <w:rPr>
          <w:rFonts w:ascii="Arial" w:hAnsi="Arial" w:cs="Arial"/>
        </w:rPr>
        <w:t>Les symptômes du Coronavirus Covid</w:t>
      </w:r>
      <w:r>
        <w:rPr>
          <w:rFonts w:ascii="Arial" w:hAnsi="Arial" w:cs="Arial"/>
        </w:rPr>
        <w:t>-</w:t>
      </w:r>
      <w:r w:rsidRPr="002754BA">
        <w:rPr>
          <w:rFonts w:ascii="Arial" w:hAnsi="Arial" w:cs="Arial"/>
        </w:rPr>
        <w:t>19 peuvent inclure : toux, fièvre, difficultés respiratoires, écoulement nasal, fatigue, maux de gorge.</w:t>
      </w:r>
    </w:p>
    <w:p w14:paraId="227CA76A" w14:textId="77777777" w:rsidR="007775E1" w:rsidRPr="002754BA" w:rsidRDefault="007775E1" w:rsidP="0044500E">
      <w:pPr>
        <w:pStyle w:val="Paragraphedeliste"/>
        <w:numPr>
          <w:ilvl w:val="0"/>
          <w:numId w:val="201"/>
        </w:numPr>
        <w:rPr>
          <w:rFonts w:ascii="Arial" w:eastAsia="Times New Roman" w:hAnsi="Arial" w:cs="Arial"/>
          <w:b/>
          <w:bCs/>
          <w:caps/>
          <w:kern w:val="32"/>
          <w:sz w:val="20"/>
        </w:rPr>
      </w:pPr>
      <w:bookmarkStart w:id="1773" w:name="_Toc77953737"/>
      <w:bookmarkStart w:id="1774" w:name="_Toc92917820"/>
      <w:r w:rsidRPr="002754BA">
        <w:rPr>
          <w:rFonts w:ascii="Arial" w:eastAsia="Times New Roman" w:hAnsi="Arial" w:cs="Arial"/>
          <w:b/>
          <w:bCs/>
          <w:caps/>
          <w:kern w:val="32"/>
          <w:sz w:val="20"/>
        </w:rPr>
        <w:t xml:space="preserve">Recommandations </w:t>
      </w:r>
      <w:bookmarkEnd w:id="1773"/>
      <w:r w:rsidRPr="002754BA">
        <w:rPr>
          <w:rFonts w:ascii="Arial" w:eastAsia="Times New Roman" w:hAnsi="Arial" w:cs="Arial"/>
          <w:b/>
          <w:bCs/>
          <w:caps/>
          <w:kern w:val="32"/>
          <w:sz w:val="20"/>
        </w:rPr>
        <w:t>générales</w:t>
      </w:r>
      <w:bookmarkEnd w:id="1774"/>
    </w:p>
    <w:p w14:paraId="232F4601" w14:textId="77777777" w:rsidR="007775E1" w:rsidRPr="002754BA" w:rsidRDefault="007775E1" w:rsidP="007775E1">
      <w:pPr>
        <w:jc w:val="both"/>
        <w:rPr>
          <w:rFonts w:ascii="Arial" w:hAnsi="Arial" w:cs="Arial"/>
        </w:rPr>
      </w:pPr>
      <w:r w:rsidRPr="002754BA">
        <w:rPr>
          <w:rFonts w:ascii="Arial" w:hAnsi="Arial" w:cs="Arial"/>
        </w:rPr>
        <w:t xml:space="preserve">L’entreprise est tenue de se conformer aux instructions imposées par le </w:t>
      </w:r>
      <w:r>
        <w:rPr>
          <w:rFonts w:ascii="Arial" w:hAnsi="Arial" w:cs="Arial"/>
        </w:rPr>
        <w:t>G</w:t>
      </w:r>
      <w:r w:rsidRPr="002754BA">
        <w:rPr>
          <w:rFonts w:ascii="Arial" w:hAnsi="Arial" w:cs="Arial"/>
        </w:rPr>
        <w:t>ouvernement et les autorités régionales et locales (CCO Région) vis-à-vis des décisions prises concernant la lutte contre le Covid</w:t>
      </w:r>
      <w:r>
        <w:rPr>
          <w:rFonts w:ascii="Arial" w:hAnsi="Arial" w:cs="Arial"/>
        </w:rPr>
        <w:t>-</w:t>
      </w:r>
      <w:r w:rsidRPr="002754BA">
        <w:rPr>
          <w:rFonts w:ascii="Arial" w:hAnsi="Arial" w:cs="Arial"/>
        </w:rPr>
        <w:t>19.</w:t>
      </w:r>
    </w:p>
    <w:p w14:paraId="679D6C8D" w14:textId="77777777" w:rsidR="007775E1" w:rsidRPr="002754BA" w:rsidRDefault="007775E1" w:rsidP="007775E1">
      <w:pPr>
        <w:jc w:val="both"/>
        <w:rPr>
          <w:rFonts w:ascii="Arial" w:hAnsi="Arial" w:cs="Arial"/>
        </w:rPr>
      </w:pPr>
      <w:r w:rsidRPr="002754BA">
        <w:rPr>
          <w:rFonts w:ascii="Arial" w:hAnsi="Arial" w:cs="Arial"/>
        </w:rPr>
        <w:t xml:space="preserve">A part les instructions imposées par le </w:t>
      </w:r>
      <w:r>
        <w:rPr>
          <w:rFonts w:ascii="Arial" w:hAnsi="Arial" w:cs="Arial"/>
        </w:rPr>
        <w:t>G</w:t>
      </w:r>
      <w:r w:rsidRPr="002754BA">
        <w:rPr>
          <w:rFonts w:ascii="Arial" w:hAnsi="Arial" w:cs="Arial"/>
        </w:rPr>
        <w:t>ouvernement et à titre de rappel, ci-dessous sont les recommandations générales concernant la gestion de Covid</w:t>
      </w:r>
      <w:r>
        <w:rPr>
          <w:rFonts w:ascii="Arial" w:hAnsi="Arial" w:cs="Arial"/>
        </w:rPr>
        <w:t>-</w:t>
      </w:r>
      <w:r w:rsidRPr="002754BA">
        <w:rPr>
          <w:rFonts w:ascii="Arial" w:hAnsi="Arial" w:cs="Arial"/>
        </w:rPr>
        <w:t>19 :</w:t>
      </w:r>
    </w:p>
    <w:p w14:paraId="1D5A5569" w14:textId="77777777" w:rsidR="007775E1" w:rsidRPr="002754BA" w:rsidRDefault="007775E1" w:rsidP="0044500E">
      <w:pPr>
        <w:pStyle w:val="Paragraphedeliste"/>
        <w:numPr>
          <w:ilvl w:val="0"/>
          <w:numId w:val="200"/>
        </w:numPr>
        <w:spacing w:after="160" w:line="259" w:lineRule="auto"/>
        <w:jc w:val="both"/>
        <w:rPr>
          <w:rFonts w:ascii="Arial" w:hAnsi="Arial" w:cs="Arial"/>
        </w:rPr>
      </w:pPr>
      <w:r w:rsidRPr="002754BA">
        <w:rPr>
          <w:rFonts w:ascii="Arial" w:hAnsi="Arial" w:cs="Arial"/>
        </w:rPr>
        <w:t>Dans la mesure du possible, essayez d’éviter les contacts et la foule.</w:t>
      </w:r>
    </w:p>
    <w:p w14:paraId="2D8B5E1C" w14:textId="77777777" w:rsidR="007775E1" w:rsidRPr="002754BA" w:rsidRDefault="007775E1" w:rsidP="0044500E">
      <w:pPr>
        <w:pStyle w:val="Paragraphedeliste"/>
        <w:numPr>
          <w:ilvl w:val="0"/>
          <w:numId w:val="200"/>
        </w:numPr>
        <w:spacing w:after="160" w:line="259" w:lineRule="auto"/>
        <w:jc w:val="both"/>
        <w:rPr>
          <w:rFonts w:ascii="Arial" w:hAnsi="Arial" w:cs="Arial"/>
        </w:rPr>
      </w:pPr>
      <w:r w:rsidRPr="002754BA">
        <w:rPr>
          <w:rFonts w:ascii="Arial" w:hAnsi="Arial" w:cs="Arial"/>
        </w:rPr>
        <w:t xml:space="preserve">Evitez dans la mesure du possible les réunions face à face. Privilégiez d’autres moyens pour se réunir. </w:t>
      </w:r>
    </w:p>
    <w:p w14:paraId="56A61E27" w14:textId="77777777" w:rsidR="007775E1" w:rsidRPr="002754BA" w:rsidRDefault="007775E1" w:rsidP="0044500E">
      <w:pPr>
        <w:pStyle w:val="Paragraphedeliste"/>
        <w:numPr>
          <w:ilvl w:val="0"/>
          <w:numId w:val="200"/>
        </w:numPr>
        <w:spacing w:after="160" w:line="259" w:lineRule="auto"/>
        <w:jc w:val="both"/>
        <w:rPr>
          <w:rFonts w:ascii="Arial" w:hAnsi="Arial" w:cs="Arial"/>
        </w:rPr>
      </w:pPr>
      <w:r w:rsidRPr="002754BA">
        <w:rPr>
          <w:rFonts w:ascii="Arial" w:hAnsi="Arial" w:cs="Arial"/>
        </w:rPr>
        <w:t>Organisez le travail de façon à séparer de 1m les employés des uns des autres</w:t>
      </w:r>
    </w:p>
    <w:p w14:paraId="3DDFB109" w14:textId="77777777" w:rsidR="007775E1" w:rsidRPr="002754BA" w:rsidRDefault="007775E1" w:rsidP="0044500E">
      <w:pPr>
        <w:pStyle w:val="Paragraphedeliste"/>
        <w:numPr>
          <w:ilvl w:val="0"/>
          <w:numId w:val="200"/>
        </w:numPr>
        <w:spacing w:after="160" w:line="259" w:lineRule="auto"/>
        <w:jc w:val="both"/>
        <w:rPr>
          <w:rFonts w:ascii="Arial" w:hAnsi="Arial" w:cs="Arial"/>
        </w:rPr>
      </w:pPr>
      <w:r w:rsidRPr="002754BA">
        <w:rPr>
          <w:rFonts w:ascii="Arial" w:hAnsi="Arial" w:cs="Arial"/>
        </w:rPr>
        <w:t>Tenez-vous à une distance d’au moins un mètre d’une personne qui tousse ou qui éternue.</w:t>
      </w:r>
    </w:p>
    <w:p w14:paraId="49976B34" w14:textId="77777777" w:rsidR="007775E1" w:rsidRPr="002754BA" w:rsidRDefault="007775E1" w:rsidP="0044500E">
      <w:pPr>
        <w:pStyle w:val="Paragraphedeliste"/>
        <w:numPr>
          <w:ilvl w:val="0"/>
          <w:numId w:val="200"/>
        </w:numPr>
        <w:spacing w:after="160" w:line="259" w:lineRule="auto"/>
        <w:jc w:val="both"/>
        <w:rPr>
          <w:rFonts w:ascii="Arial" w:hAnsi="Arial" w:cs="Arial"/>
        </w:rPr>
      </w:pPr>
      <w:r w:rsidRPr="002754BA">
        <w:rPr>
          <w:rFonts w:ascii="Arial" w:hAnsi="Arial" w:cs="Arial"/>
        </w:rPr>
        <w:t>Lavez-vous fréquemment les mains</w:t>
      </w:r>
      <w:r>
        <w:rPr>
          <w:rFonts w:ascii="Arial" w:hAnsi="Arial" w:cs="Arial"/>
        </w:rPr>
        <w:t>,</w:t>
      </w:r>
      <w:r w:rsidRPr="002754BA">
        <w:rPr>
          <w:rFonts w:ascii="Arial" w:hAnsi="Arial" w:cs="Arial"/>
        </w:rPr>
        <w:t xml:space="preserve"> soit avec du savon</w:t>
      </w:r>
      <w:r>
        <w:rPr>
          <w:rFonts w:ascii="Arial" w:hAnsi="Arial" w:cs="Arial"/>
        </w:rPr>
        <w:t>,</w:t>
      </w:r>
      <w:r w:rsidRPr="002754BA">
        <w:rPr>
          <w:rFonts w:ascii="Arial" w:hAnsi="Arial" w:cs="Arial"/>
        </w:rPr>
        <w:t xml:space="preserve"> soit avec un gel désinfectant pendant au moins 20s.</w:t>
      </w:r>
    </w:p>
    <w:p w14:paraId="50F887ED" w14:textId="77777777" w:rsidR="007775E1" w:rsidRPr="002754BA" w:rsidRDefault="007775E1" w:rsidP="0044500E">
      <w:pPr>
        <w:pStyle w:val="Paragraphedeliste"/>
        <w:numPr>
          <w:ilvl w:val="0"/>
          <w:numId w:val="200"/>
        </w:numPr>
        <w:spacing w:after="160" w:line="259" w:lineRule="auto"/>
        <w:jc w:val="both"/>
        <w:rPr>
          <w:rFonts w:ascii="Arial" w:hAnsi="Arial" w:cs="Arial"/>
        </w:rPr>
      </w:pPr>
      <w:r w:rsidRPr="002754BA">
        <w:rPr>
          <w:rFonts w:ascii="Arial" w:hAnsi="Arial" w:cs="Arial"/>
        </w:rPr>
        <w:t>Evitez de toucher une partie du visage ou les surfaces qui ont été touchés par beaucoup de personnes.</w:t>
      </w:r>
    </w:p>
    <w:p w14:paraId="6983675C" w14:textId="77777777" w:rsidR="007775E1" w:rsidRPr="002754BA" w:rsidRDefault="007775E1" w:rsidP="0044500E">
      <w:pPr>
        <w:pStyle w:val="Paragraphedeliste"/>
        <w:numPr>
          <w:ilvl w:val="0"/>
          <w:numId w:val="200"/>
        </w:numPr>
        <w:spacing w:after="160" w:line="259" w:lineRule="auto"/>
        <w:jc w:val="both"/>
        <w:rPr>
          <w:rFonts w:ascii="Arial" w:hAnsi="Arial" w:cs="Arial"/>
        </w:rPr>
      </w:pPr>
      <w:r w:rsidRPr="002754BA">
        <w:rPr>
          <w:rFonts w:ascii="Arial" w:hAnsi="Arial" w:cs="Arial"/>
        </w:rPr>
        <w:t>Evitez de serrer les mains et autre contact physique de salutation.</w:t>
      </w:r>
    </w:p>
    <w:p w14:paraId="71213393" w14:textId="77777777" w:rsidR="007775E1" w:rsidRPr="002754BA" w:rsidRDefault="007775E1" w:rsidP="0044500E">
      <w:pPr>
        <w:pStyle w:val="Paragraphedeliste"/>
        <w:numPr>
          <w:ilvl w:val="0"/>
          <w:numId w:val="200"/>
        </w:numPr>
        <w:spacing w:after="160" w:line="259" w:lineRule="auto"/>
        <w:jc w:val="both"/>
        <w:rPr>
          <w:rFonts w:ascii="Arial" w:hAnsi="Arial" w:cs="Arial"/>
        </w:rPr>
      </w:pPr>
      <w:r w:rsidRPr="002754BA">
        <w:rPr>
          <w:rFonts w:ascii="Arial" w:hAnsi="Arial" w:cs="Arial"/>
        </w:rPr>
        <w:t>Utilisation de gels désinfectants (entrée dans des véhicules, des bureaux</w:t>
      </w:r>
      <w:r>
        <w:rPr>
          <w:rFonts w:ascii="Arial" w:hAnsi="Arial" w:cs="Arial"/>
        </w:rPr>
        <w:t xml:space="preserve">, </w:t>
      </w:r>
      <w:r w:rsidRPr="002754BA">
        <w:rPr>
          <w:rFonts w:ascii="Arial" w:hAnsi="Arial" w:cs="Arial"/>
        </w:rPr>
        <w:t>…).</w:t>
      </w:r>
    </w:p>
    <w:p w14:paraId="21C4719C" w14:textId="77777777" w:rsidR="007775E1" w:rsidRPr="002754BA" w:rsidRDefault="007775E1" w:rsidP="0044500E">
      <w:pPr>
        <w:pStyle w:val="Paragraphedeliste"/>
        <w:numPr>
          <w:ilvl w:val="0"/>
          <w:numId w:val="200"/>
        </w:numPr>
        <w:spacing w:after="160" w:line="259" w:lineRule="auto"/>
        <w:jc w:val="both"/>
        <w:rPr>
          <w:rFonts w:ascii="Arial" w:hAnsi="Arial" w:cs="Arial"/>
        </w:rPr>
      </w:pPr>
      <w:r w:rsidRPr="002754BA">
        <w:rPr>
          <w:rFonts w:ascii="Arial" w:hAnsi="Arial" w:cs="Arial"/>
        </w:rPr>
        <w:t>Désinfection périodique des bureaux, des véhicules…</w:t>
      </w:r>
    </w:p>
    <w:p w14:paraId="08473409" w14:textId="77777777" w:rsidR="007775E1" w:rsidRPr="002754BA" w:rsidRDefault="007775E1" w:rsidP="0044500E">
      <w:pPr>
        <w:pStyle w:val="Paragraphedeliste"/>
        <w:numPr>
          <w:ilvl w:val="0"/>
          <w:numId w:val="200"/>
        </w:numPr>
        <w:spacing w:after="160" w:line="259" w:lineRule="auto"/>
        <w:jc w:val="both"/>
        <w:rPr>
          <w:rFonts w:ascii="Arial" w:hAnsi="Arial" w:cs="Arial"/>
        </w:rPr>
      </w:pPr>
      <w:r w:rsidRPr="002754BA">
        <w:rPr>
          <w:rFonts w:ascii="Arial" w:hAnsi="Arial" w:cs="Arial"/>
        </w:rPr>
        <w:t>Utilisation de masque couvrant la bouche et le nez.</w:t>
      </w:r>
    </w:p>
    <w:p w14:paraId="2EA3DFE3" w14:textId="77777777" w:rsidR="007775E1" w:rsidRPr="002754BA" w:rsidRDefault="007775E1" w:rsidP="0044500E">
      <w:pPr>
        <w:pStyle w:val="Paragraphedeliste"/>
        <w:numPr>
          <w:ilvl w:val="0"/>
          <w:numId w:val="200"/>
        </w:numPr>
        <w:spacing w:after="160" w:line="259" w:lineRule="auto"/>
        <w:jc w:val="both"/>
        <w:rPr>
          <w:rFonts w:ascii="Arial" w:hAnsi="Arial" w:cs="Arial"/>
        </w:rPr>
      </w:pPr>
      <w:r w:rsidRPr="002754BA">
        <w:rPr>
          <w:rFonts w:ascii="Arial" w:hAnsi="Arial" w:cs="Arial"/>
        </w:rPr>
        <w:t>Balisage et sécurisation des zones de travaux.</w:t>
      </w:r>
    </w:p>
    <w:p w14:paraId="5FD0DE28" w14:textId="77777777" w:rsidR="007775E1" w:rsidRPr="002754BA" w:rsidRDefault="007775E1" w:rsidP="0044500E">
      <w:pPr>
        <w:pStyle w:val="Paragraphedeliste"/>
        <w:numPr>
          <w:ilvl w:val="0"/>
          <w:numId w:val="200"/>
        </w:numPr>
        <w:spacing w:after="160" w:line="259" w:lineRule="auto"/>
        <w:jc w:val="both"/>
        <w:rPr>
          <w:rFonts w:ascii="Arial" w:hAnsi="Arial" w:cs="Arial"/>
        </w:rPr>
      </w:pPr>
      <w:r w:rsidRPr="002754BA">
        <w:rPr>
          <w:rFonts w:ascii="Arial" w:hAnsi="Arial" w:cs="Arial"/>
        </w:rPr>
        <w:t>Avant de partir sur terrain, l’employé doit s’assurer qu’il ne présente pas de symptôme.</w:t>
      </w:r>
    </w:p>
    <w:p w14:paraId="6AE78470" w14:textId="77777777" w:rsidR="007775E1" w:rsidRPr="002754BA" w:rsidRDefault="007775E1" w:rsidP="0044500E">
      <w:pPr>
        <w:pStyle w:val="Paragraphedeliste"/>
        <w:numPr>
          <w:ilvl w:val="0"/>
          <w:numId w:val="200"/>
        </w:numPr>
        <w:spacing w:after="160" w:line="259" w:lineRule="auto"/>
        <w:jc w:val="both"/>
        <w:rPr>
          <w:rFonts w:ascii="Arial" w:hAnsi="Arial" w:cs="Arial"/>
        </w:rPr>
      </w:pPr>
      <w:r w:rsidRPr="002754BA">
        <w:rPr>
          <w:rFonts w:ascii="Arial" w:hAnsi="Arial" w:cs="Arial"/>
        </w:rPr>
        <w:t>Favorisation des vidéo-conférences pour les réunions.</w:t>
      </w:r>
    </w:p>
    <w:p w14:paraId="4ED0A9B5" w14:textId="77777777" w:rsidR="007775E1" w:rsidRPr="002754BA" w:rsidRDefault="007775E1" w:rsidP="0044500E">
      <w:pPr>
        <w:pStyle w:val="Paragraphedeliste"/>
        <w:numPr>
          <w:ilvl w:val="0"/>
          <w:numId w:val="200"/>
        </w:numPr>
        <w:spacing w:after="160" w:line="259" w:lineRule="auto"/>
        <w:jc w:val="both"/>
        <w:rPr>
          <w:rFonts w:ascii="Arial" w:hAnsi="Arial" w:cs="Arial"/>
        </w:rPr>
      </w:pPr>
      <w:r w:rsidRPr="002754BA">
        <w:rPr>
          <w:rFonts w:ascii="Arial" w:hAnsi="Arial" w:cs="Arial"/>
        </w:rPr>
        <w:t>Favorisation du télétravail pour les travaux de bureau.</w:t>
      </w:r>
    </w:p>
    <w:p w14:paraId="360B69AF" w14:textId="77777777" w:rsidR="007775E1" w:rsidRPr="002754BA" w:rsidRDefault="007775E1" w:rsidP="0044500E">
      <w:pPr>
        <w:pStyle w:val="Paragraphedeliste"/>
        <w:numPr>
          <w:ilvl w:val="0"/>
          <w:numId w:val="200"/>
        </w:numPr>
        <w:spacing w:after="160" w:line="259" w:lineRule="auto"/>
        <w:jc w:val="both"/>
        <w:rPr>
          <w:rFonts w:ascii="Arial" w:hAnsi="Arial" w:cs="Arial"/>
        </w:rPr>
      </w:pPr>
      <w:r w:rsidRPr="002754BA">
        <w:rPr>
          <w:rFonts w:ascii="Arial" w:hAnsi="Arial" w:cs="Arial"/>
        </w:rPr>
        <w:t>Augmentez la fréquence de nettoyage et de désinfection de l’espace de travail (poignée des portes, rampe, réception, les équipements en commun)</w:t>
      </w:r>
    </w:p>
    <w:p w14:paraId="6EE22BBF" w14:textId="77777777" w:rsidR="007775E1" w:rsidRDefault="007775E1" w:rsidP="007775E1">
      <w:pPr>
        <w:pStyle w:val="Paragraphedeliste"/>
        <w:spacing w:after="160" w:line="259" w:lineRule="auto"/>
        <w:jc w:val="both"/>
        <w:rPr>
          <w:rFonts w:ascii="Arial" w:hAnsi="Arial" w:cs="Arial"/>
        </w:rPr>
      </w:pPr>
    </w:p>
    <w:p w14:paraId="75B54208" w14:textId="77777777" w:rsidR="007775E1" w:rsidRPr="002754BA" w:rsidRDefault="007775E1" w:rsidP="007775E1">
      <w:pPr>
        <w:pStyle w:val="Paragraphedeliste"/>
        <w:spacing w:after="160" w:line="259" w:lineRule="auto"/>
        <w:jc w:val="both"/>
        <w:rPr>
          <w:rFonts w:ascii="Arial" w:hAnsi="Arial" w:cs="Arial"/>
        </w:rPr>
      </w:pPr>
    </w:p>
    <w:p w14:paraId="45B332A7" w14:textId="77777777" w:rsidR="007775E1" w:rsidRPr="002754BA" w:rsidRDefault="007775E1" w:rsidP="0044500E">
      <w:pPr>
        <w:pStyle w:val="Paragraphedeliste"/>
        <w:numPr>
          <w:ilvl w:val="0"/>
          <w:numId w:val="201"/>
        </w:numPr>
        <w:rPr>
          <w:rFonts w:ascii="Arial" w:eastAsia="Times New Roman" w:hAnsi="Arial" w:cs="Arial"/>
          <w:b/>
          <w:bCs/>
          <w:caps/>
          <w:kern w:val="32"/>
          <w:sz w:val="20"/>
        </w:rPr>
      </w:pPr>
      <w:bookmarkStart w:id="1775" w:name="_Toc92917821"/>
      <w:r w:rsidRPr="002754BA">
        <w:rPr>
          <w:rFonts w:ascii="Arial" w:eastAsia="Times New Roman" w:hAnsi="Arial" w:cs="Arial"/>
          <w:b/>
          <w:bCs/>
          <w:caps/>
          <w:kern w:val="32"/>
          <w:sz w:val="20"/>
        </w:rPr>
        <w:t>Les Mesures préventives</w:t>
      </w:r>
      <w:bookmarkEnd w:id="1775"/>
    </w:p>
    <w:p w14:paraId="06AB135A" w14:textId="77777777" w:rsidR="007775E1" w:rsidRDefault="007775E1" w:rsidP="007775E1">
      <w:pPr>
        <w:pStyle w:val="En-tte"/>
        <w:jc w:val="both"/>
        <w:rPr>
          <w:rFonts w:ascii="Arial" w:hAnsi="Arial" w:cs="Arial"/>
        </w:rPr>
      </w:pPr>
      <w:r w:rsidRPr="002754BA">
        <w:rPr>
          <w:rFonts w:ascii="Arial" w:hAnsi="Arial" w:cs="Arial"/>
        </w:rPr>
        <w:t>Conformément aux réglementations régionales et locales et aux exigences spécifiques à l’emplacement de la base vie et autres sites, les précautions suivantes seront prises en compte et, le cas échéant, mises en œuvre pour protéger les employés.</w:t>
      </w:r>
    </w:p>
    <w:p w14:paraId="6C121FA3" w14:textId="77777777" w:rsidR="007775E1" w:rsidRPr="002754BA" w:rsidRDefault="007775E1" w:rsidP="007775E1">
      <w:pPr>
        <w:pStyle w:val="En-tte"/>
        <w:jc w:val="both"/>
        <w:rPr>
          <w:rFonts w:ascii="Arial" w:hAnsi="Arial" w:cs="Arial"/>
        </w:rPr>
      </w:pPr>
    </w:p>
    <w:p w14:paraId="0E54960C" w14:textId="77777777" w:rsidR="007775E1" w:rsidRPr="002754BA" w:rsidRDefault="007775E1" w:rsidP="007775E1">
      <w:pPr>
        <w:pStyle w:val="En-tte"/>
        <w:jc w:val="both"/>
        <w:rPr>
          <w:rFonts w:ascii="Arial" w:hAnsi="Arial" w:cs="Arial"/>
        </w:rPr>
      </w:pPr>
      <w:r w:rsidRPr="002754BA">
        <w:rPr>
          <w:rFonts w:ascii="Arial" w:hAnsi="Arial" w:cs="Arial"/>
        </w:rPr>
        <w:t>Une cité de confinement sera installée pour permettre de loger un effectif suffisant de personnel devant être présent sur chantier pour assurer la continuité des travaux en cas de contact positif au COVID-19. Par ailleurs, une infirmerie sera installée au sein de la base vie ou au sein de l’enceinte du CSB II afin de suivre de près la santé des employés.</w:t>
      </w:r>
    </w:p>
    <w:p w14:paraId="5E0CF824" w14:textId="77777777" w:rsidR="007775E1" w:rsidRPr="002754BA" w:rsidRDefault="007775E1" w:rsidP="007775E1">
      <w:pPr>
        <w:pStyle w:val="En-tte"/>
        <w:jc w:val="both"/>
        <w:rPr>
          <w:rFonts w:ascii="Arial" w:hAnsi="Arial" w:cs="Arial"/>
        </w:rPr>
      </w:pPr>
    </w:p>
    <w:p w14:paraId="3298563E" w14:textId="77777777" w:rsidR="007775E1" w:rsidRPr="002754BA" w:rsidRDefault="007775E1" w:rsidP="0044500E">
      <w:pPr>
        <w:pStyle w:val="Paragraphedeliste"/>
        <w:numPr>
          <w:ilvl w:val="1"/>
          <w:numId w:val="201"/>
        </w:numPr>
        <w:rPr>
          <w:rFonts w:ascii="Arial" w:hAnsi="Arial" w:cs="Arial"/>
          <w:b/>
          <w:i/>
        </w:rPr>
      </w:pPr>
      <w:bookmarkStart w:id="1776" w:name="_Toc92917822"/>
      <w:r w:rsidRPr="002754BA">
        <w:rPr>
          <w:rFonts w:ascii="Arial" w:hAnsi="Arial" w:cs="Arial"/>
          <w:b/>
          <w:i/>
        </w:rPr>
        <w:t>Les mesures administratives.</w:t>
      </w:r>
      <w:bookmarkEnd w:id="1776"/>
    </w:p>
    <w:p w14:paraId="19316836" w14:textId="77777777" w:rsidR="007775E1" w:rsidRDefault="007775E1" w:rsidP="007775E1">
      <w:pPr>
        <w:pStyle w:val="En-tte"/>
        <w:jc w:val="both"/>
        <w:rPr>
          <w:rFonts w:ascii="Arial" w:hAnsi="Arial" w:cs="Arial"/>
        </w:rPr>
      </w:pPr>
      <w:r w:rsidRPr="002754BA">
        <w:rPr>
          <w:rFonts w:ascii="Arial" w:hAnsi="Arial" w:cs="Arial"/>
        </w:rPr>
        <w:t>Avant le démarrage du projet, l’entreprise effectuera des évaluations spécifiques des risques liés au Covid-19 et mettr</w:t>
      </w:r>
      <w:r w:rsidR="00DC258B">
        <w:rPr>
          <w:rFonts w:ascii="Arial" w:hAnsi="Arial" w:cs="Arial"/>
        </w:rPr>
        <w:t>a</w:t>
      </w:r>
      <w:r w:rsidRPr="002754BA">
        <w:rPr>
          <w:rFonts w:ascii="Arial" w:hAnsi="Arial" w:cs="Arial"/>
        </w:rPr>
        <w:t xml:space="preserve"> en œuvre des mesures de contrôle supplémentaires.</w:t>
      </w:r>
    </w:p>
    <w:p w14:paraId="1777915F" w14:textId="77777777" w:rsidR="007775E1" w:rsidRPr="002754BA" w:rsidRDefault="007775E1" w:rsidP="007775E1">
      <w:pPr>
        <w:pStyle w:val="En-tte"/>
        <w:jc w:val="both"/>
        <w:rPr>
          <w:rFonts w:ascii="Arial" w:hAnsi="Arial" w:cs="Arial"/>
        </w:rPr>
      </w:pPr>
    </w:p>
    <w:p w14:paraId="6110B45D" w14:textId="77777777" w:rsidR="007775E1" w:rsidRDefault="007775E1" w:rsidP="007775E1">
      <w:pPr>
        <w:pStyle w:val="En-tte"/>
        <w:jc w:val="both"/>
        <w:rPr>
          <w:rFonts w:ascii="Arial" w:hAnsi="Arial" w:cs="Arial"/>
        </w:rPr>
      </w:pPr>
      <w:r w:rsidRPr="002754BA">
        <w:rPr>
          <w:rFonts w:ascii="Arial" w:hAnsi="Arial" w:cs="Arial"/>
        </w:rPr>
        <w:t>L’entreprise respectera les horaires des travaux (arrêt à l’heure convenu par le Gouvernement)</w:t>
      </w:r>
    </w:p>
    <w:p w14:paraId="58E43F3B" w14:textId="77777777" w:rsidR="007775E1" w:rsidRPr="002754BA" w:rsidRDefault="007775E1" w:rsidP="007775E1">
      <w:pPr>
        <w:pStyle w:val="En-tte"/>
        <w:jc w:val="both"/>
        <w:rPr>
          <w:rFonts w:ascii="Arial" w:hAnsi="Arial" w:cs="Arial"/>
        </w:rPr>
      </w:pPr>
    </w:p>
    <w:p w14:paraId="475AA668" w14:textId="77777777" w:rsidR="007775E1" w:rsidRPr="002754BA" w:rsidRDefault="007775E1" w:rsidP="007775E1">
      <w:pPr>
        <w:pStyle w:val="En-tte"/>
        <w:jc w:val="both"/>
        <w:rPr>
          <w:rFonts w:ascii="Arial" w:hAnsi="Arial" w:cs="Arial"/>
        </w:rPr>
      </w:pPr>
      <w:r w:rsidRPr="002754BA">
        <w:rPr>
          <w:rFonts w:ascii="Arial" w:hAnsi="Arial" w:cs="Arial"/>
        </w:rPr>
        <w:t>Il faut que l’entreprise fasse une nomination d’un responsable de la conformité Covid</w:t>
      </w:r>
      <w:r w:rsidR="00DC258B">
        <w:rPr>
          <w:rFonts w:ascii="Arial" w:hAnsi="Arial" w:cs="Arial"/>
        </w:rPr>
        <w:t>-</w:t>
      </w:r>
      <w:r w:rsidRPr="002754BA">
        <w:rPr>
          <w:rFonts w:ascii="Arial" w:hAnsi="Arial" w:cs="Arial"/>
        </w:rPr>
        <w:t xml:space="preserve">19 parmi les équipes dédiées à l’instauration des mesures pour : répondre aux préoccupations des employés, informer les employés, s’assurer que des mesures de précaution efficaces sont élaborées et mises en œuvre, aider à la conformité aux réglementations établies par le </w:t>
      </w:r>
      <w:r w:rsidR="00DC258B">
        <w:rPr>
          <w:rFonts w:ascii="Arial" w:hAnsi="Arial" w:cs="Arial"/>
        </w:rPr>
        <w:t>G</w:t>
      </w:r>
      <w:r w:rsidRPr="002754BA">
        <w:rPr>
          <w:rFonts w:ascii="Arial" w:hAnsi="Arial" w:cs="Arial"/>
        </w:rPr>
        <w:t>ouvernement, etc.</w:t>
      </w:r>
    </w:p>
    <w:p w14:paraId="7BAEB3CD" w14:textId="77777777" w:rsidR="007775E1" w:rsidRPr="002754BA" w:rsidRDefault="007775E1" w:rsidP="007775E1">
      <w:pPr>
        <w:pStyle w:val="En-tte"/>
        <w:jc w:val="both"/>
        <w:rPr>
          <w:rFonts w:ascii="Arial" w:hAnsi="Arial" w:cs="Arial"/>
        </w:rPr>
      </w:pPr>
    </w:p>
    <w:p w14:paraId="7834BF5F" w14:textId="77777777" w:rsidR="007775E1" w:rsidRPr="002754BA" w:rsidRDefault="007775E1" w:rsidP="0044500E">
      <w:pPr>
        <w:pStyle w:val="Paragraphedeliste"/>
        <w:numPr>
          <w:ilvl w:val="1"/>
          <w:numId w:val="201"/>
        </w:numPr>
        <w:rPr>
          <w:rFonts w:ascii="Arial" w:hAnsi="Arial" w:cs="Arial"/>
          <w:b/>
          <w:i/>
        </w:rPr>
      </w:pPr>
      <w:bookmarkStart w:id="1777" w:name="_Toc92917823"/>
      <w:r w:rsidRPr="002754BA">
        <w:rPr>
          <w:rFonts w:ascii="Arial" w:hAnsi="Arial" w:cs="Arial"/>
          <w:b/>
          <w:i/>
        </w:rPr>
        <w:t>Dépistage quotidien de tous les employés</w:t>
      </w:r>
      <w:bookmarkEnd w:id="1777"/>
    </w:p>
    <w:p w14:paraId="1A9EA21D" w14:textId="77777777" w:rsidR="007775E1" w:rsidRPr="002754BA" w:rsidRDefault="007775E1" w:rsidP="007775E1">
      <w:pPr>
        <w:pStyle w:val="En-tte"/>
        <w:rPr>
          <w:rFonts w:ascii="Arial" w:hAnsi="Arial" w:cs="Arial"/>
        </w:rPr>
      </w:pPr>
      <w:r w:rsidRPr="002754BA">
        <w:rPr>
          <w:rFonts w:ascii="Arial" w:hAnsi="Arial" w:cs="Arial"/>
        </w:rPr>
        <w:t>Le dépistage doit avoir lieu tous les jours avant l’entrée sur le lieu de travail comme l</w:t>
      </w:r>
      <w:r w:rsidR="00DC258B">
        <w:rPr>
          <w:rFonts w:ascii="Arial" w:hAnsi="Arial" w:cs="Arial"/>
        </w:rPr>
        <w:t>a</w:t>
      </w:r>
      <w:r w:rsidRPr="002754BA">
        <w:rPr>
          <w:rFonts w:ascii="Arial" w:hAnsi="Arial" w:cs="Arial"/>
        </w:rPr>
        <w:t xml:space="preserve"> base vie ; les équipes dédiées effectueront de prise de température périodique.</w:t>
      </w:r>
    </w:p>
    <w:p w14:paraId="52BDFD17" w14:textId="77777777" w:rsidR="007775E1" w:rsidRPr="002754BA" w:rsidRDefault="007775E1" w:rsidP="007775E1">
      <w:pPr>
        <w:pStyle w:val="En-tte"/>
        <w:rPr>
          <w:rFonts w:ascii="Arial" w:hAnsi="Arial" w:cs="Arial"/>
        </w:rPr>
      </w:pPr>
      <w:r w:rsidRPr="002754BA">
        <w:rPr>
          <w:rFonts w:ascii="Arial" w:hAnsi="Arial" w:cs="Arial"/>
        </w:rPr>
        <w:t>Les employés doivent indiquer si un membre de leur famille est malade ou s’ils ont été en contact avec une personne testée positive.</w:t>
      </w:r>
    </w:p>
    <w:p w14:paraId="5DA32AEE" w14:textId="77777777" w:rsidR="007775E1" w:rsidRPr="002754BA" w:rsidRDefault="007775E1" w:rsidP="007775E1">
      <w:pPr>
        <w:pStyle w:val="En-tte"/>
        <w:rPr>
          <w:rFonts w:ascii="Arial" w:hAnsi="Arial" w:cs="Arial"/>
        </w:rPr>
      </w:pPr>
      <w:r w:rsidRPr="002754BA">
        <w:rPr>
          <w:rFonts w:ascii="Arial" w:hAnsi="Arial" w:cs="Arial"/>
        </w:rPr>
        <w:t>Les employés doivent indiquer s’ils présentent des symptômes de la COVID-19, comme de la fièvre, de la fatigue, de la toux ou de l’essoufflement.</w:t>
      </w:r>
    </w:p>
    <w:p w14:paraId="57B2C28D" w14:textId="77777777" w:rsidR="007775E1" w:rsidRPr="002754BA" w:rsidRDefault="007775E1" w:rsidP="007775E1">
      <w:pPr>
        <w:pStyle w:val="En-tte"/>
        <w:rPr>
          <w:rFonts w:ascii="Arial" w:hAnsi="Arial" w:cs="Arial"/>
        </w:rPr>
      </w:pPr>
    </w:p>
    <w:p w14:paraId="7FDE901B" w14:textId="77777777" w:rsidR="007775E1" w:rsidRPr="002754BA" w:rsidRDefault="007775E1" w:rsidP="0044500E">
      <w:pPr>
        <w:pStyle w:val="Paragraphedeliste"/>
        <w:numPr>
          <w:ilvl w:val="1"/>
          <w:numId w:val="201"/>
        </w:numPr>
        <w:rPr>
          <w:rFonts w:ascii="Arial" w:hAnsi="Arial" w:cs="Arial"/>
          <w:b/>
          <w:i/>
        </w:rPr>
      </w:pPr>
      <w:bookmarkStart w:id="1778" w:name="_Toc92917824"/>
      <w:r w:rsidRPr="002754BA">
        <w:rPr>
          <w:rFonts w:ascii="Arial" w:hAnsi="Arial" w:cs="Arial"/>
          <w:b/>
          <w:i/>
        </w:rPr>
        <w:t>Contrôle d’entrée quotidienne dans la base vie</w:t>
      </w:r>
      <w:bookmarkEnd w:id="1778"/>
    </w:p>
    <w:p w14:paraId="184B69CD" w14:textId="77777777" w:rsidR="007775E1" w:rsidRPr="002754BA" w:rsidRDefault="007775E1" w:rsidP="007775E1">
      <w:pPr>
        <w:pStyle w:val="En-tte"/>
        <w:rPr>
          <w:rFonts w:ascii="Arial" w:hAnsi="Arial" w:cs="Arial"/>
        </w:rPr>
      </w:pPr>
      <w:r w:rsidRPr="002754BA">
        <w:rPr>
          <w:rFonts w:ascii="Arial" w:hAnsi="Arial" w:cs="Arial"/>
        </w:rPr>
        <w:t>Des pédiluves avec serpillière imprégnées de désinfectant / eau de Javel domestique seront placées aux portes principales et/ou entrées principales et toutes les personnes entrant dans les locaux doivent y passer les chaussures qui peuvent être contaminées par des gouttelettes infectées sur le sol.</w:t>
      </w:r>
    </w:p>
    <w:p w14:paraId="2026990B" w14:textId="77777777" w:rsidR="00DC258B" w:rsidRDefault="00DC258B" w:rsidP="007775E1">
      <w:pPr>
        <w:pStyle w:val="En-tte"/>
        <w:rPr>
          <w:rFonts w:ascii="Arial" w:hAnsi="Arial" w:cs="Arial"/>
        </w:rPr>
      </w:pPr>
    </w:p>
    <w:p w14:paraId="03C9FDFC" w14:textId="77777777" w:rsidR="007775E1" w:rsidRPr="002754BA" w:rsidRDefault="007775E1" w:rsidP="007775E1">
      <w:pPr>
        <w:pStyle w:val="En-tte"/>
        <w:rPr>
          <w:rFonts w:ascii="Arial" w:hAnsi="Arial" w:cs="Arial"/>
        </w:rPr>
      </w:pPr>
      <w:r w:rsidRPr="002754BA">
        <w:rPr>
          <w:rFonts w:ascii="Arial" w:hAnsi="Arial" w:cs="Arial"/>
        </w:rPr>
        <w:t>Les employés et les visiteurs aux entrées doivent mettre leurs masques, les mains doivent être lavées / désinfectées av</w:t>
      </w:r>
      <w:bookmarkStart w:id="1779" w:name="_Toc92917835"/>
      <w:r w:rsidRPr="002754BA">
        <w:rPr>
          <w:rFonts w:ascii="Arial" w:hAnsi="Arial" w:cs="Arial"/>
        </w:rPr>
        <w:t>ant</w:t>
      </w:r>
    </w:p>
    <w:p w14:paraId="77216EDB" w14:textId="77777777" w:rsidR="007775E1" w:rsidRPr="002754BA" w:rsidRDefault="007775E1" w:rsidP="007775E1">
      <w:pPr>
        <w:pStyle w:val="En-tte"/>
        <w:rPr>
          <w:rFonts w:ascii="Arial" w:hAnsi="Arial" w:cs="Arial"/>
        </w:rPr>
      </w:pPr>
    </w:p>
    <w:p w14:paraId="58A6BE3E" w14:textId="77777777" w:rsidR="007775E1" w:rsidRPr="002754BA" w:rsidRDefault="007775E1" w:rsidP="0044500E">
      <w:pPr>
        <w:pStyle w:val="Paragraphedeliste"/>
        <w:numPr>
          <w:ilvl w:val="0"/>
          <w:numId w:val="201"/>
        </w:numPr>
        <w:rPr>
          <w:rFonts w:ascii="Arial" w:eastAsia="Times New Roman" w:hAnsi="Arial" w:cs="Arial"/>
          <w:b/>
          <w:bCs/>
          <w:caps/>
          <w:kern w:val="32"/>
          <w:sz w:val="20"/>
        </w:rPr>
      </w:pPr>
      <w:r w:rsidRPr="002754BA">
        <w:rPr>
          <w:rFonts w:ascii="Arial" w:eastAsia="Times New Roman" w:hAnsi="Arial" w:cs="Arial"/>
          <w:b/>
          <w:bCs/>
          <w:caps/>
          <w:kern w:val="32"/>
          <w:sz w:val="20"/>
        </w:rPr>
        <w:t>Plan d’urgence en cas de forte Crise de Covid</w:t>
      </w:r>
      <w:r w:rsidR="00DC258B">
        <w:rPr>
          <w:rFonts w:ascii="Arial" w:eastAsia="Times New Roman" w:hAnsi="Arial" w:cs="Arial"/>
          <w:b/>
          <w:bCs/>
          <w:caps/>
          <w:kern w:val="32"/>
          <w:sz w:val="20"/>
        </w:rPr>
        <w:t>-</w:t>
      </w:r>
      <w:r w:rsidRPr="002754BA">
        <w:rPr>
          <w:rFonts w:ascii="Arial" w:eastAsia="Times New Roman" w:hAnsi="Arial" w:cs="Arial"/>
          <w:b/>
          <w:bCs/>
          <w:caps/>
          <w:kern w:val="32"/>
          <w:sz w:val="20"/>
        </w:rPr>
        <w:t>19</w:t>
      </w:r>
      <w:bookmarkEnd w:id="1779"/>
    </w:p>
    <w:p w14:paraId="0FDD45F0" w14:textId="77777777" w:rsidR="007775E1" w:rsidRPr="002754BA" w:rsidRDefault="007775E1" w:rsidP="007775E1">
      <w:pPr>
        <w:spacing w:before="120" w:after="0" w:line="240" w:lineRule="auto"/>
        <w:rPr>
          <w:rFonts w:ascii="Arial" w:hAnsi="Arial" w:cs="Arial"/>
        </w:rPr>
      </w:pPr>
      <w:r w:rsidRPr="002754BA">
        <w:rPr>
          <w:rFonts w:ascii="Arial" w:hAnsi="Arial" w:cs="Arial"/>
        </w:rPr>
        <w:t>Ce plan d’urgence Covid</w:t>
      </w:r>
      <w:r w:rsidR="00DC258B">
        <w:rPr>
          <w:rFonts w:ascii="Arial" w:hAnsi="Arial" w:cs="Arial"/>
        </w:rPr>
        <w:t>-</w:t>
      </w:r>
      <w:r w:rsidRPr="002754BA">
        <w:rPr>
          <w:rFonts w:ascii="Arial" w:hAnsi="Arial" w:cs="Arial"/>
        </w:rPr>
        <w:t xml:space="preserve">19 est conçu pour apporter une réponse méthodique et rapide en cas </w:t>
      </w:r>
      <w:r w:rsidR="00DC258B">
        <w:rPr>
          <w:rFonts w:ascii="Arial" w:hAnsi="Arial" w:cs="Arial"/>
        </w:rPr>
        <w:t xml:space="preserve">de </w:t>
      </w:r>
      <w:r w:rsidRPr="002754BA">
        <w:rPr>
          <w:rFonts w:ascii="Arial" w:hAnsi="Arial" w:cs="Arial"/>
        </w:rPr>
        <w:t>crise Covid</w:t>
      </w:r>
      <w:r w:rsidR="00DC258B">
        <w:rPr>
          <w:rFonts w:ascii="Arial" w:hAnsi="Arial" w:cs="Arial"/>
        </w:rPr>
        <w:t>-</w:t>
      </w:r>
      <w:r w:rsidRPr="002754BA">
        <w:rPr>
          <w:rFonts w:ascii="Arial" w:hAnsi="Arial" w:cs="Arial"/>
        </w:rPr>
        <w:t>19 au sein de l’entreprise. Ce plan d’urgence Covid</w:t>
      </w:r>
      <w:r w:rsidR="00DC258B">
        <w:rPr>
          <w:rFonts w:ascii="Arial" w:hAnsi="Arial" w:cs="Arial"/>
        </w:rPr>
        <w:t>-</w:t>
      </w:r>
      <w:r w:rsidRPr="002754BA">
        <w:rPr>
          <w:rFonts w:ascii="Arial" w:hAnsi="Arial" w:cs="Arial"/>
        </w:rPr>
        <w:t>19 est à déployer seulement lorsque l’entreprise et la MDC le juge vraiment utile.</w:t>
      </w:r>
    </w:p>
    <w:p w14:paraId="36D0D3DE" w14:textId="77777777" w:rsidR="007775E1" w:rsidRPr="002754BA" w:rsidRDefault="007775E1" w:rsidP="007775E1">
      <w:pPr>
        <w:spacing w:before="120" w:after="0" w:line="240" w:lineRule="auto"/>
        <w:rPr>
          <w:rFonts w:ascii="Arial" w:hAnsi="Arial" w:cs="Arial"/>
        </w:rPr>
      </w:pPr>
    </w:p>
    <w:p w14:paraId="045CB0A9" w14:textId="77777777" w:rsidR="007775E1" w:rsidRPr="002754BA" w:rsidRDefault="007775E1" w:rsidP="0044500E">
      <w:pPr>
        <w:pStyle w:val="Paragraphedeliste"/>
        <w:numPr>
          <w:ilvl w:val="1"/>
          <w:numId w:val="201"/>
        </w:numPr>
        <w:rPr>
          <w:rFonts w:ascii="Arial" w:hAnsi="Arial" w:cs="Arial"/>
          <w:b/>
          <w:i/>
        </w:rPr>
      </w:pPr>
      <w:bookmarkStart w:id="1780" w:name="_Toc92917836"/>
      <w:r w:rsidRPr="002754BA">
        <w:rPr>
          <w:rFonts w:ascii="Arial" w:hAnsi="Arial" w:cs="Arial"/>
          <w:b/>
          <w:i/>
        </w:rPr>
        <w:t>Responsabilités</w:t>
      </w:r>
      <w:bookmarkEnd w:id="1780"/>
    </w:p>
    <w:p w14:paraId="72F20208" w14:textId="77777777" w:rsidR="007775E1" w:rsidRPr="002754BA" w:rsidRDefault="007775E1" w:rsidP="007775E1">
      <w:pPr>
        <w:spacing w:before="120" w:after="0" w:line="240" w:lineRule="auto"/>
        <w:rPr>
          <w:rFonts w:ascii="Arial" w:hAnsi="Arial" w:cs="Arial"/>
        </w:rPr>
      </w:pPr>
      <w:r w:rsidRPr="002754BA">
        <w:rPr>
          <w:rFonts w:ascii="Arial" w:hAnsi="Arial" w:cs="Arial"/>
        </w:rPr>
        <w:t xml:space="preserve">La direction de l’entreprise se charge de toutes </w:t>
      </w:r>
      <w:r w:rsidR="00DC258B">
        <w:rPr>
          <w:rFonts w:ascii="Arial" w:hAnsi="Arial" w:cs="Arial"/>
        </w:rPr>
        <w:t xml:space="preserve">les </w:t>
      </w:r>
      <w:r w:rsidRPr="002754BA">
        <w:rPr>
          <w:rFonts w:ascii="Arial" w:hAnsi="Arial" w:cs="Arial"/>
        </w:rPr>
        <w:t>communications externes et internes.</w:t>
      </w:r>
    </w:p>
    <w:p w14:paraId="4944E76A" w14:textId="77777777" w:rsidR="007775E1" w:rsidRPr="002754BA" w:rsidRDefault="007775E1" w:rsidP="007775E1">
      <w:pPr>
        <w:spacing w:before="120" w:after="0" w:line="240" w:lineRule="auto"/>
        <w:rPr>
          <w:rFonts w:ascii="Arial" w:hAnsi="Arial" w:cs="Arial"/>
        </w:rPr>
      </w:pPr>
      <w:r w:rsidRPr="002754BA">
        <w:rPr>
          <w:rFonts w:ascii="Arial" w:hAnsi="Arial" w:cs="Arial"/>
        </w:rPr>
        <w:t>L’équipe dédié</w:t>
      </w:r>
      <w:r w:rsidR="00DC258B">
        <w:rPr>
          <w:rFonts w:ascii="Arial" w:hAnsi="Arial" w:cs="Arial"/>
        </w:rPr>
        <w:t>e</w:t>
      </w:r>
      <w:r w:rsidRPr="002754BA">
        <w:rPr>
          <w:rFonts w:ascii="Arial" w:hAnsi="Arial" w:cs="Arial"/>
        </w:rPr>
        <w:t xml:space="preserve"> à la gestion de crise Covid</w:t>
      </w:r>
      <w:r w:rsidR="00DC258B">
        <w:rPr>
          <w:rFonts w:ascii="Arial" w:hAnsi="Arial" w:cs="Arial"/>
        </w:rPr>
        <w:t>-</w:t>
      </w:r>
      <w:r w:rsidRPr="002754BA">
        <w:rPr>
          <w:rFonts w:ascii="Arial" w:hAnsi="Arial" w:cs="Arial"/>
        </w:rPr>
        <w:t>19 se charge de :</w:t>
      </w:r>
    </w:p>
    <w:p w14:paraId="736EA6BF" w14:textId="77777777" w:rsidR="007775E1" w:rsidRPr="002754BA" w:rsidRDefault="007775E1" w:rsidP="0044500E">
      <w:pPr>
        <w:pStyle w:val="Paragraphedeliste"/>
        <w:numPr>
          <w:ilvl w:val="0"/>
          <w:numId w:val="200"/>
        </w:numPr>
        <w:spacing w:before="120" w:after="0" w:line="240" w:lineRule="auto"/>
        <w:rPr>
          <w:rFonts w:ascii="Arial" w:hAnsi="Arial" w:cs="Arial"/>
        </w:rPr>
      </w:pPr>
      <w:r w:rsidRPr="002754BA">
        <w:rPr>
          <w:rFonts w:ascii="Arial" w:hAnsi="Arial" w:cs="Arial"/>
        </w:rPr>
        <w:t>Faire une veille sur l’état des épidémies à Madagascar auprès des autorités compétentes/ OMS /associations</w:t>
      </w:r>
      <w:r w:rsidR="00DC258B">
        <w:rPr>
          <w:rFonts w:ascii="Arial" w:hAnsi="Arial" w:cs="Arial"/>
        </w:rPr>
        <w:t> ;</w:t>
      </w:r>
    </w:p>
    <w:p w14:paraId="76FFD409" w14:textId="77777777" w:rsidR="007775E1" w:rsidRPr="00EC305F" w:rsidRDefault="007775E1" w:rsidP="0044500E">
      <w:pPr>
        <w:pStyle w:val="Paragraphedeliste"/>
        <w:numPr>
          <w:ilvl w:val="0"/>
          <w:numId w:val="200"/>
        </w:numPr>
        <w:spacing w:before="120" w:after="0" w:line="240" w:lineRule="auto"/>
        <w:rPr>
          <w:rFonts w:ascii="Arial" w:hAnsi="Arial" w:cs="Arial"/>
        </w:rPr>
      </w:pPr>
      <w:r w:rsidRPr="00EC305F">
        <w:rPr>
          <w:rFonts w:ascii="Arial" w:hAnsi="Arial" w:cs="Arial"/>
        </w:rPr>
        <w:t>Se renseigner sur la manifestation et l’ampleur de l’épidémie</w:t>
      </w:r>
      <w:r w:rsidR="00DC258B">
        <w:rPr>
          <w:rFonts w:ascii="Arial" w:hAnsi="Arial" w:cs="Arial"/>
        </w:rPr>
        <w:t> ;</w:t>
      </w:r>
    </w:p>
    <w:p w14:paraId="4F7657C7" w14:textId="77777777" w:rsidR="007775E1" w:rsidRPr="00EC305F" w:rsidRDefault="007775E1" w:rsidP="0044500E">
      <w:pPr>
        <w:pStyle w:val="Paragraphedeliste"/>
        <w:numPr>
          <w:ilvl w:val="0"/>
          <w:numId w:val="200"/>
        </w:numPr>
        <w:spacing w:before="120" w:after="0" w:line="240" w:lineRule="auto"/>
        <w:rPr>
          <w:rFonts w:ascii="Arial" w:hAnsi="Arial" w:cs="Arial"/>
        </w:rPr>
      </w:pPr>
      <w:r w:rsidRPr="00EC305F">
        <w:rPr>
          <w:rFonts w:ascii="Arial" w:hAnsi="Arial" w:cs="Arial"/>
        </w:rPr>
        <w:t>Faire suivre les recommandations des autorités locales et de la Mission de Contrôle.</w:t>
      </w:r>
    </w:p>
    <w:p w14:paraId="0A124689" w14:textId="77777777" w:rsidR="007775E1" w:rsidRPr="00EC305F" w:rsidRDefault="007775E1" w:rsidP="0044500E">
      <w:pPr>
        <w:pStyle w:val="Paragraphedeliste"/>
        <w:numPr>
          <w:ilvl w:val="0"/>
          <w:numId w:val="200"/>
        </w:numPr>
        <w:spacing w:before="120" w:after="0" w:line="240" w:lineRule="auto"/>
        <w:rPr>
          <w:rFonts w:ascii="Arial" w:hAnsi="Arial" w:cs="Arial"/>
        </w:rPr>
      </w:pPr>
      <w:r w:rsidRPr="00EC305F">
        <w:rPr>
          <w:rFonts w:ascii="Arial" w:hAnsi="Arial" w:cs="Arial"/>
        </w:rPr>
        <w:t>Déclencher ce plan d’urgence et le plan de continuité des activités (PCA) après consultation avec la direction de l’entreprise.</w:t>
      </w:r>
    </w:p>
    <w:p w14:paraId="7A28B60E" w14:textId="77777777" w:rsidR="007775E1" w:rsidRPr="002754BA" w:rsidRDefault="007775E1" w:rsidP="0044500E">
      <w:pPr>
        <w:pStyle w:val="Paragraphedeliste"/>
        <w:numPr>
          <w:ilvl w:val="0"/>
          <w:numId w:val="200"/>
        </w:numPr>
        <w:spacing w:before="120" w:after="0" w:line="240" w:lineRule="auto"/>
        <w:rPr>
          <w:rFonts w:ascii="Arial" w:hAnsi="Arial" w:cs="Arial"/>
        </w:rPr>
      </w:pPr>
      <w:r w:rsidRPr="002754BA">
        <w:rPr>
          <w:rFonts w:ascii="Arial" w:hAnsi="Arial" w:cs="Arial"/>
        </w:rPr>
        <w:t>Constituer un stock d’EPI nécessaire en cas d’épidémie déclarée (masques, gants et gels/lingettes désinfectants)</w:t>
      </w:r>
      <w:r w:rsidR="00DC258B">
        <w:rPr>
          <w:rFonts w:ascii="Arial" w:hAnsi="Arial" w:cs="Arial"/>
        </w:rPr>
        <w:t> ;</w:t>
      </w:r>
    </w:p>
    <w:p w14:paraId="06DD3173" w14:textId="77777777" w:rsidR="007775E1" w:rsidRPr="002754BA" w:rsidRDefault="007775E1" w:rsidP="0044500E">
      <w:pPr>
        <w:pStyle w:val="Paragraphedeliste"/>
        <w:numPr>
          <w:ilvl w:val="0"/>
          <w:numId w:val="200"/>
        </w:numPr>
        <w:spacing w:before="120" w:after="0" w:line="240" w:lineRule="auto"/>
        <w:rPr>
          <w:rFonts w:ascii="Arial" w:hAnsi="Arial" w:cs="Arial"/>
        </w:rPr>
      </w:pPr>
      <w:r w:rsidRPr="002754BA">
        <w:rPr>
          <w:rFonts w:ascii="Arial" w:hAnsi="Arial" w:cs="Arial"/>
        </w:rPr>
        <w:t>Contacter le Centre de Santé de Base-II (CSB-II) le plus proche en cas de suspicion ou de confirmation de cas dans la base vie ou dans un des sites.</w:t>
      </w:r>
    </w:p>
    <w:p w14:paraId="6EBEADB7" w14:textId="77777777" w:rsidR="007775E1" w:rsidRPr="002754BA" w:rsidRDefault="007775E1" w:rsidP="0044500E">
      <w:pPr>
        <w:pStyle w:val="Paragraphedeliste"/>
        <w:numPr>
          <w:ilvl w:val="0"/>
          <w:numId w:val="200"/>
        </w:numPr>
        <w:spacing w:before="120" w:after="0" w:line="240" w:lineRule="auto"/>
        <w:rPr>
          <w:rFonts w:ascii="Arial" w:hAnsi="Arial" w:cs="Arial"/>
        </w:rPr>
      </w:pPr>
      <w:r w:rsidRPr="002754BA">
        <w:rPr>
          <w:rFonts w:ascii="Arial" w:hAnsi="Arial" w:cs="Arial"/>
        </w:rPr>
        <w:t>Informer les employés de l’évolution de la situation, communiquer les recommandations sur l’épidémie, former et sensibiliser les employés sur l’épidémie.</w:t>
      </w:r>
    </w:p>
    <w:p w14:paraId="241B3460" w14:textId="77777777" w:rsidR="007775E1" w:rsidRPr="002754BA" w:rsidRDefault="007775E1" w:rsidP="0044500E">
      <w:pPr>
        <w:pStyle w:val="Paragraphedeliste"/>
        <w:numPr>
          <w:ilvl w:val="0"/>
          <w:numId w:val="200"/>
        </w:numPr>
        <w:spacing w:before="120" w:after="0" w:line="240" w:lineRule="auto"/>
        <w:rPr>
          <w:rFonts w:ascii="Arial" w:hAnsi="Arial" w:cs="Arial"/>
        </w:rPr>
      </w:pPr>
      <w:r w:rsidRPr="002754BA">
        <w:rPr>
          <w:rFonts w:ascii="Arial" w:hAnsi="Arial" w:cs="Arial"/>
        </w:rPr>
        <w:t>Former les employés sur ce plan.</w:t>
      </w:r>
    </w:p>
    <w:p w14:paraId="42B51A1F" w14:textId="77777777" w:rsidR="007775E1" w:rsidRPr="002754BA" w:rsidRDefault="007775E1" w:rsidP="0044500E">
      <w:pPr>
        <w:pStyle w:val="Paragraphedeliste"/>
        <w:numPr>
          <w:ilvl w:val="0"/>
          <w:numId w:val="200"/>
        </w:numPr>
        <w:spacing w:before="120" w:after="0" w:line="240" w:lineRule="auto"/>
        <w:rPr>
          <w:rFonts w:ascii="Arial" w:hAnsi="Arial" w:cs="Arial"/>
        </w:rPr>
      </w:pPr>
      <w:r w:rsidRPr="002754BA">
        <w:rPr>
          <w:rFonts w:ascii="Arial" w:hAnsi="Arial" w:cs="Arial"/>
        </w:rPr>
        <w:t>Mettre à jour ce plan en cas de besoin.</w:t>
      </w:r>
    </w:p>
    <w:p w14:paraId="38B7E989" w14:textId="77777777" w:rsidR="007775E1" w:rsidRPr="002754BA" w:rsidRDefault="007775E1" w:rsidP="007775E1">
      <w:pPr>
        <w:spacing w:before="120" w:after="0" w:line="240" w:lineRule="auto"/>
        <w:rPr>
          <w:rFonts w:ascii="Arial" w:hAnsi="Arial" w:cs="Arial"/>
        </w:rPr>
      </w:pPr>
    </w:p>
    <w:p w14:paraId="0286F12F" w14:textId="77777777" w:rsidR="007775E1" w:rsidRPr="002754BA" w:rsidRDefault="007775E1" w:rsidP="007775E1">
      <w:pPr>
        <w:spacing w:before="120" w:after="0" w:line="240" w:lineRule="auto"/>
        <w:rPr>
          <w:rFonts w:ascii="Arial" w:hAnsi="Arial" w:cs="Arial"/>
        </w:rPr>
      </w:pPr>
      <w:r w:rsidRPr="002754BA">
        <w:rPr>
          <w:rFonts w:ascii="Arial" w:hAnsi="Arial" w:cs="Arial"/>
        </w:rPr>
        <w:t>Les employés doivent</w:t>
      </w:r>
      <w:r w:rsidR="00DC258B">
        <w:rPr>
          <w:rFonts w:ascii="Arial" w:hAnsi="Arial" w:cs="Arial"/>
        </w:rPr>
        <w:t> :</w:t>
      </w:r>
    </w:p>
    <w:p w14:paraId="0DDF4556" w14:textId="77777777" w:rsidR="007775E1" w:rsidRPr="002754BA" w:rsidRDefault="007775E1" w:rsidP="0044500E">
      <w:pPr>
        <w:pStyle w:val="Paragraphedeliste"/>
        <w:numPr>
          <w:ilvl w:val="0"/>
          <w:numId w:val="200"/>
        </w:numPr>
        <w:spacing w:before="120" w:after="0" w:line="240" w:lineRule="auto"/>
        <w:rPr>
          <w:rFonts w:ascii="Arial" w:hAnsi="Arial" w:cs="Arial"/>
        </w:rPr>
      </w:pPr>
      <w:r w:rsidRPr="002754BA">
        <w:rPr>
          <w:rFonts w:ascii="Arial" w:hAnsi="Arial" w:cs="Arial"/>
        </w:rPr>
        <w:t>Suivre les recommandations de ce plan et de l’équipe dédiée à la gestion de Covid</w:t>
      </w:r>
      <w:r w:rsidR="00DC258B">
        <w:rPr>
          <w:rFonts w:ascii="Arial" w:hAnsi="Arial" w:cs="Arial"/>
        </w:rPr>
        <w:t>-</w:t>
      </w:r>
      <w:r w:rsidRPr="002754BA">
        <w:rPr>
          <w:rFonts w:ascii="Arial" w:hAnsi="Arial" w:cs="Arial"/>
        </w:rPr>
        <w:t>19</w:t>
      </w:r>
      <w:r w:rsidR="00DC258B">
        <w:rPr>
          <w:rFonts w:ascii="Arial" w:hAnsi="Arial" w:cs="Arial"/>
        </w:rPr>
        <w:t> ;</w:t>
      </w:r>
    </w:p>
    <w:p w14:paraId="49739CA1" w14:textId="77777777" w:rsidR="007775E1" w:rsidRPr="002754BA" w:rsidRDefault="007775E1" w:rsidP="0044500E">
      <w:pPr>
        <w:pStyle w:val="Paragraphedeliste"/>
        <w:numPr>
          <w:ilvl w:val="0"/>
          <w:numId w:val="200"/>
        </w:numPr>
        <w:spacing w:before="120" w:after="0" w:line="240" w:lineRule="auto"/>
        <w:rPr>
          <w:rFonts w:ascii="Arial" w:hAnsi="Arial" w:cs="Arial"/>
        </w:rPr>
      </w:pPr>
      <w:r w:rsidRPr="002754BA">
        <w:rPr>
          <w:rFonts w:ascii="Arial" w:hAnsi="Arial" w:cs="Arial"/>
        </w:rPr>
        <w:t>Ne pas venir au travail en cas de symptôme suspect, appeler le médecin et prévenir son supérieur pour l’isolement possible.</w:t>
      </w:r>
    </w:p>
    <w:p w14:paraId="734CB9A8" w14:textId="77777777" w:rsidR="007775E1" w:rsidRDefault="007775E1" w:rsidP="007775E1">
      <w:pPr>
        <w:spacing w:before="120" w:after="0" w:line="240" w:lineRule="auto"/>
        <w:rPr>
          <w:rFonts w:ascii="Arial" w:hAnsi="Arial" w:cs="Arial"/>
        </w:rPr>
      </w:pPr>
    </w:p>
    <w:p w14:paraId="617B54D2" w14:textId="77777777" w:rsidR="007775E1" w:rsidRDefault="007775E1" w:rsidP="007775E1">
      <w:pPr>
        <w:spacing w:before="120" w:after="0" w:line="240" w:lineRule="auto"/>
        <w:rPr>
          <w:rFonts w:ascii="Arial" w:hAnsi="Arial" w:cs="Arial"/>
        </w:rPr>
      </w:pPr>
      <w:r w:rsidRPr="00EC305F">
        <w:rPr>
          <w:rFonts w:ascii="Arial" w:hAnsi="Arial" w:cs="Arial"/>
        </w:rPr>
        <w:t xml:space="preserve">Avant </w:t>
      </w:r>
      <w:r>
        <w:rPr>
          <w:rFonts w:ascii="Arial" w:hAnsi="Arial" w:cs="Arial"/>
        </w:rPr>
        <w:t xml:space="preserve">de mettre les masques, </w:t>
      </w:r>
      <w:r w:rsidRPr="002754BA">
        <w:rPr>
          <w:rFonts w:ascii="Arial" w:hAnsi="Arial" w:cs="Arial"/>
        </w:rPr>
        <w:t>Il doit y avoir lavage/désinfection des mains à toutes les entrées et sorties, les équipements dédiés à cela doivent être placés près des entrées et sorties.</w:t>
      </w:r>
    </w:p>
    <w:p w14:paraId="5371E09E" w14:textId="77777777" w:rsidR="007775E1" w:rsidRPr="002754BA" w:rsidRDefault="007775E1" w:rsidP="007775E1">
      <w:pPr>
        <w:pStyle w:val="En-tte"/>
        <w:rPr>
          <w:rFonts w:ascii="Arial" w:hAnsi="Arial" w:cs="Arial"/>
        </w:rPr>
      </w:pPr>
    </w:p>
    <w:p w14:paraId="52C2EF8E" w14:textId="77777777" w:rsidR="007775E1" w:rsidRPr="002754BA" w:rsidRDefault="007775E1" w:rsidP="007775E1">
      <w:pPr>
        <w:pStyle w:val="En-tte"/>
        <w:rPr>
          <w:rFonts w:ascii="Arial" w:hAnsi="Arial" w:cs="Arial"/>
        </w:rPr>
      </w:pPr>
      <w:r w:rsidRPr="002754BA">
        <w:rPr>
          <w:rFonts w:ascii="Arial" w:hAnsi="Arial" w:cs="Arial"/>
        </w:rPr>
        <w:t>Les masques sont à porter en tout temps, sauf dans un espace privé (p. ex. propre bureau) sans que personne d’autre ne soit présent.</w:t>
      </w:r>
    </w:p>
    <w:p w14:paraId="1B6CF27B" w14:textId="77777777" w:rsidR="007775E1" w:rsidRPr="002754BA" w:rsidRDefault="007775E1" w:rsidP="007775E1">
      <w:pPr>
        <w:pStyle w:val="En-tte"/>
        <w:rPr>
          <w:rFonts w:ascii="Arial" w:hAnsi="Arial" w:cs="Arial"/>
        </w:rPr>
      </w:pPr>
    </w:p>
    <w:p w14:paraId="3D9F0EA2" w14:textId="77777777" w:rsidR="007775E1" w:rsidRPr="002754BA" w:rsidRDefault="007775E1" w:rsidP="0044500E">
      <w:pPr>
        <w:pStyle w:val="Paragraphedeliste"/>
        <w:numPr>
          <w:ilvl w:val="1"/>
          <w:numId w:val="201"/>
        </w:numPr>
        <w:rPr>
          <w:rFonts w:ascii="Arial" w:hAnsi="Arial" w:cs="Arial"/>
          <w:b/>
          <w:i/>
        </w:rPr>
      </w:pPr>
      <w:bookmarkStart w:id="1781" w:name="_Toc92917825"/>
      <w:r w:rsidRPr="002754BA">
        <w:rPr>
          <w:rFonts w:ascii="Arial" w:hAnsi="Arial" w:cs="Arial"/>
          <w:b/>
          <w:i/>
        </w:rPr>
        <w:t>Formation et sensibilisation</w:t>
      </w:r>
      <w:bookmarkEnd w:id="1781"/>
    </w:p>
    <w:p w14:paraId="1A012E4D" w14:textId="77777777" w:rsidR="007775E1" w:rsidRDefault="007775E1" w:rsidP="007775E1">
      <w:pPr>
        <w:pStyle w:val="En-tte"/>
        <w:rPr>
          <w:rFonts w:ascii="Arial" w:hAnsi="Arial" w:cs="Arial"/>
        </w:rPr>
      </w:pPr>
      <w:r w:rsidRPr="002754BA">
        <w:rPr>
          <w:rFonts w:ascii="Arial" w:hAnsi="Arial" w:cs="Arial"/>
        </w:rPr>
        <w:t>Les formations suivantes seront effectuées par l’entreprise pendant la crise de Covid19 :</w:t>
      </w:r>
    </w:p>
    <w:p w14:paraId="3A5A0475" w14:textId="77777777" w:rsidR="007775E1" w:rsidRPr="002754BA" w:rsidRDefault="007775E1" w:rsidP="007775E1">
      <w:pPr>
        <w:pStyle w:val="En-tte"/>
        <w:rPr>
          <w:rFonts w:ascii="Arial" w:hAnsi="Arial" w:cs="Arial"/>
        </w:rPr>
      </w:pPr>
    </w:p>
    <w:p w14:paraId="2A69D718" w14:textId="77777777" w:rsidR="007775E1" w:rsidRPr="00DC258B" w:rsidRDefault="007775E1" w:rsidP="0044500E">
      <w:pPr>
        <w:pStyle w:val="Paragraphedeliste"/>
        <w:numPr>
          <w:ilvl w:val="0"/>
          <w:numId w:val="200"/>
        </w:numPr>
        <w:spacing w:before="120" w:after="0" w:line="240" w:lineRule="auto"/>
        <w:rPr>
          <w:rFonts w:ascii="Arial" w:hAnsi="Arial" w:cs="Arial"/>
        </w:rPr>
      </w:pPr>
      <w:r w:rsidRPr="00DC258B">
        <w:rPr>
          <w:rFonts w:ascii="Arial" w:hAnsi="Arial" w:cs="Arial"/>
        </w:rPr>
        <w:t>Formation des personnes exerçant des fonctions de dépistage</w:t>
      </w:r>
      <w:r w:rsidR="00DC258B">
        <w:rPr>
          <w:rFonts w:ascii="Arial" w:hAnsi="Arial" w:cs="Arial"/>
        </w:rPr>
        <w:t> ;</w:t>
      </w:r>
    </w:p>
    <w:p w14:paraId="396D7E59" w14:textId="77777777" w:rsidR="007775E1" w:rsidRPr="00DC258B" w:rsidRDefault="007775E1" w:rsidP="0044500E">
      <w:pPr>
        <w:pStyle w:val="Paragraphedeliste"/>
        <w:numPr>
          <w:ilvl w:val="0"/>
          <w:numId w:val="200"/>
        </w:numPr>
        <w:spacing w:before="120" w:after="0" w:line="240" w:lineRule="auto"/>
        <w:rPr>
          <w:rFonts w:ascii="Arial" w:hAnsi="Arial" w:cs="Arial"/>
        </w:rPr>
      </w:pPr>
      <w:r w:rsidRPr="00DC258B">
        <w:rPr>
          <w:rFonts w:ascii="Arial" w:hAnsi="Arial" w:cs="Arial"/>
        </w:rPr>
        <w:t>Formation/sensibilisation au lavage des mains</w:t>
      </w:r>
      <w:r w:rsidR="00DC258B">
        <w:rPr>
          <w:rFonts w:ascii="Arial" w:hAnsi="Arial" w:cs="Arial"/>
        </w:rPr>
        <w:t> ;</w:t>
      </w:r>
    </w:p>
    <w:p w14:paraId="3894F2E0" w14:textId="77777777" w:rsidR="007775E1" w:rsidRPr="00DC258B" w:rsidRDefault="007775E1" w:rsidP="0044500E">
      <w:pPr>
        <w:pStyle w:val="Paragraphedeliste"/>
        <w:numPr>
          <w:ilvl w:val="0"/>
          <w:numId w:val="200"/>
        </w:numPr>
        <w:spacing w:before="120" w:after="0" w:line="240" w:lineRule="auto"/>
        <w:rPr>
          <w:rFonts w:ascii="Arial" w:hAnsi="Arial" w:cs="Arial"/>
        </w:rPr>
      </w:pPr>
      <w:r w:rsidRPr="00DC258B">
        <w:rPr>
          <w:rFonts w:ascii="Arial" w:hAnsi="Arial" w:cs="Arial"/>
        </w:rPr>
        <w:t>Formation/sensibilisation sur l’utilisation des masques</w:t>
      </w:r>
      <w:r w:rsidR="00DC258B">
        <w:rPr>
          <w:rFonts w:ascii="Arial" w:hAnsi="Arial" w:cs="Arial"/>
        </w:rPr>
        <w:t> ;</w:t>
      </w:r>
    </w:p>
    <w:p w14:paraId="45364D59" w14:textId="77777777" w:rsidR="007775E1" w:rsidRPr="00DC258B" w:rsidRDefault="007775E1" w:rsidP="0044500E">
      <w:pPr>
        <w:pStyle w:val="Paragraphedeliste"/>
        <w:numPr>
          <w:ilvl w:val="0"/>
          <w:numId w:val="200"/>
        </w:numPr>
        <w:spacing w:before="120" w:after="0" w:line="240" w:lineRule="auto"/>
        <w:rPr>
          <w:rFonts w:ascii="Arial" w:hAnsi="Arial" w:cs="Arial"/>
        </w:rPr>
      </w:pPr>
      <w:r w:rsidRPr="00DC258B">
        <w:rPr>
          <w:rFonts w:ascii="Arial" w:hAnsi="Arial" w:cs="Arial"/>
        </w:rPr>
        <w:t>Formation/sensibilisation sur la vaccination contre le Covid</w:t>
      </w:r>
      <w:r w:rsidR="00DC258B">
        <w:rPr>
          <w:rFonts w:ascii="Arial" w:hAnsi="Arial" w:cs="Arial"/>
        </w:rPr>
        <w:t>-</w:t>
      </w:r>
      <w:r w:rsidRPr="00DC258B">
        <w:rPr>
          <w:rFonts w:ascii="Arial" w:hAnsi="Arial" w:cs="Arial"/>
        </w:rPr>
        <w:t>19</w:t>
      </w:r>
      <w:r w:rsidR="00DC258B">
        <w:rPr>
          <w:rFonts w:ascii="Arial" w:hAnsi="Arial" w:cs="Arial"/>
        </w:rPr>
        <w:t> ;</w:t>
      </w:r>
    </w:p>
    <w:p w14:paraId="4F421E3B" w14:textId="77777777" w:rsidR="007775E1" w:rsidRPr="00DC258B" w:rsidRDefault="007775E1" w:rsidP="0044500E">
      <w:pPr>
        <w:pStyle w:val="Paragraphedeliste"/>
        <w:numPr>
          <w:ilvl w:val="0"/>
          <w:numId w:val="200"/>
        </w:numPr>
        <w:spacing w:before="120" w:after="0" w:line="240" w:lineRule="auto"/>
        <w:rPr>
          <w:rFonts w:ascii="Arial" w:hAnsi="Arial" w:cs="Arial"/>
        </w:rPr>
      </w:pPr>
      <w:r w:rsidRPr="00DC258B">
        <w:rPr>
          <w:rFonts w:ascii="Arial" w:hAnsi="Arial" w:cs="Arial"/>
        </w:rPr>
        <w:t>Changements sur le lieu de travail liés au Covid-19 à fournir (politique /procédure)</w:t>
      </w:r>
      <w:r w:rsidR="00DC258B">
        <w:rPr>
          <w:rFonts w:ascii="Arial" w:hAnsi="Arial" w:cs="Arial"/>
        </w:rPr>
        <w:t> ;</w:t>
      </w:r>
    </w:p>
    <w:p w14:paraId="368EA18A" w14:textId="77777777" w:rsidR="007775E1" w:rsidRPr="00DC258B" w:rsidRDefault="007775E1" w:rsidP="0044500E">
      <w:pPr>
        <w:pStyle w:val="Paragraphedeliste"/>
        <w:numPr>
          <w:ilvl w:val="0"/>
          <w:numId w:val="200"/>
        </w:numPr>
        <w:spacing w:before="120" w:after="0" w:line="240" w:lineRule="auto"/>
        <w:rPr>
          <w:rFonts w:ascii="Arial" w:hAnsi="Arial" w:cs="Arial"/>
        </w:rPr>
      </w:pPr>
      <w:r w:rsidRPr="00DC258B">
        <w:rPr>
          <w:rFonts w:ascii="Arial" w:hAnsi="Arial" w:cs="Arial"/>
        </w:rPr>
        <w:t>Affiches relatives au lavage des mains, à la distanciation sociale, aux instructions sur l’enfilage correct et le retrait des masques à afficher</w:t>
      </w:r>
      <w:r w:rsidR="00DC258B">
        <w:rPr>
          <w:rFonts w:ascii="Arial" w:hAnsi="Arial" w:cs="Arial"/>
        </w:rPr>
        <w:t> ;</w:t>
      </w:r>
    </w:p>
    <w:p w14:paraId="18D7F863" w14:textId="77777777" w:rsidR="007775E1" w:rsidRPr="00DC258B" w:rsidRDefault="007775E1" w:rsidP="0044500E">
      <w:pPr>
        <w:pStyle w:val="Paragraphedeliste"/>
        <w:numPr>
          <w:ilvl w:val="0"/>
          <w:numId w:val="200"/>
        </w:numPr>
        <w:spacing w:before="120" w:after="0" w:line="240" w:lineRule="auto"/>
        <w:rPr>
          <w:rFonts w:ascii="Arial" w:hAnsi="Arial" w:cs="Arial"/>
        </w:rPr>
      </w:pPr>
      <w:r w:rsidRPr="00DC258B">
        <w:rPr>
          <w:rFonts w:ascii="Arial" w:hAnsi="Arial" w:cs="Arial"/>
        </w:rPr>
        <w:t>Formation des intervenants qui s’occupent des personnes soupçonnées d’être malades</w:t>
      </w:r>
      <w:r w:rsidR="00DC258B">
        <w:rPr>
          <w:rFonts w:ascii="Arial" w:hAnsi="Arial" w:cs="Arial"/>
        </w:rPr>
        <w:t>.</w:t>
      </w:r>
    </w:p>
    <w:p w14:paraId="3060ABDB" w14:textId="77777777" w:rsidR="007775E1" w:rsidRPr="002754BA" w:rsidRDefault="007775E1" w:rsidP="007775E1">
      <w:pPr>
        <w:pStyle w:val="En-tte"/>
        <w:rPr>
          <w:rFonts w:ascii="Arial" w:hAnsi="Arial" w:cs="Arial"/>
        </w:rPr>
      </w:pPr>
    </w:p>
    <w:p w14:paraId="07ADCBC0" w14:textId="77777777" w:rsidR="007775E1" w:rsidRPr="002754BA" w:rsidRDefault="007775E1" w:rsidP="0044500E">
      <w:pPr>
        <w:pStyle w:val="Paragraphedeliste"/>
        <w:numPr>
          <w:ilvl w:val="1"/>
          <w:numId w:val="201"/>
        </w:numPr>
        <w:rPr>
          <w:rFonts w:ascii="Arial" w:hAnsi="Arial" w:cs="Arial"/>
          <w:b/>
          <w:i/>
        </w:rPr>
      </w:pPr>
      <w:bookmarkStart w:id="1782" w:name="_Toc92917826"/>
      <w:r w:rsidRPr="002754BA">
        <w:rPr>
          <w:rFonts w:ascii="Arial" w:hAnsi="Arial" w:cs="Arial"/>
          <w:b/>
          <w:i/>
        </w:rPr>
        <w:t>Système de ventilation des pièces d’habitation</w:t>
      </w:r>
      <w:bookmarkEnd w:id="1782"/>
    </w:p>
    <w:p w14:paraId="316E3A66" w14:textId="77777777" w:rsidR="007775E1" w:rsidRDefault="007775E1" w:rsidP="007775E1">
      <w:pPr>
        <w:pStyle w:val="En-tte"/>
        <w:jc w:val="both"/>
        <w:rPr>
          <w:rFonts w:ascii="Arial" w:hAnsi="Arial" w:cs="Arial"/>
        </w:rPr>
      </w:pPr>
      <w:r w:rsidRPr="002754BA">
        <w:rPr>
          <w:rFonts w:ascii="Arial" w:hAnsi="Arial" w:cs="Arial"/>
        </w:rPr>
        <w:t>Il faut que l’entreprise prévoie d’augmenter les taux de ventilation et le pourcentage d’air extérieur (</w:t>
      </w:r>
      <w:r w:rsidR="00DC258B">
        <w:rPr>
          <w:rFonts w:ascii="Arial" w:hAnsi="Arial" w:cs="Arial"/>
        </w:rPr>
        <w:t>v</w:t>
      </w:r>
      <w:r w:rsidRPr="002754BA">
        <w:rPr>
          <w:rFonts w:ascii="Arial" w:hAnsi="Arial" w:cs="Arial"/>
        </w:rPr>
        <w:t>entilation naturelle) qui circule dans les pièces d’habitation (Chambre, bureau, cantine, etc…) Donc il faut garde</w:t>
      </w:r>
      <w:r w:rsidR="00DC258B">
        <w:rPr>
          <w:rFonts w:ascii="Arial" w:hAnsi="Arial" w:cs="Arial"/>
        </w:rPr>
        <w:t>r</w:t>
      </w:r>
      <w:r w:rsidRPr="002754BA">
        <w:rPr>
          <w:rFonts w:ascii="Arial" w:hAnsi="Arial" w:cs="Arial"/>
        </w:rPr>
        <w:t xml:space="preserve"> les fenêtres ouvertes pour l’air frais et utiliser des ventilateurs si nécessaire.</w:t>
      </w:r>
    </w:p>
    <w:p w14:paraId="6CC336FD" w14:textId="77777777" w:rsidR="007775E1" w:rsidRPr="002754BA" w:rsidRDefault="007775E1" w:rsidP="007775E1">
      <w:pPr>
        <w:pStyle w:val="En-tte"/>
        <w:jc w:val="both"/>
        <w:rPr>
          <w:rFonts w:ascii="Arial" w:hAnsi="Arial" w:cs="Arial"/>
        </w:rPr>
      </w:pPr>
      <w:r w:rsidRPr="002754BA">
        <w:rPr>
          <w:rFonts w:ascii="Arial" w:hAnsi="Arial" w:cs="Arial"/>
        </w:rPr>
        <w:t>Dans le cas d’utilisation de climatiseur ; les entrées d’air frais des climatiseurs doivent être réglées au niveau maximal.</w:t>
      </w:r>
    </w:p>
    <w:p w14:paraId="1821833F" w14:textId="77777777" w:rsidR="007775E1" w:rsidRPr="002754BA" w:rsidRDefault="007775E1" w:rsidP="007775E1">
      <w:pPr>
        <w:pStyle w:val="En-tte"/>
        <w:jc w:val="both"/>
        <w:rPr>
          <w:rFonts w:ascii="Arial" w:hAnsi="Arial" w:cs="Arial"/>
        </w:rPr>
      </w:pPr>
    </w:p>
    <w:p w14:paraId="58B4BAC3" w14:textId="77777777" w:rsidR="007775E1" w:rsidRPr="002754BA" w:rsidRDefault="007775E1" w:rsidP="0044500E">
      <w:pPr>
        <w:pStyle w:val="Paragraphedeliste"/>
        <w:numPr>
          <w:ilvl w:val="1"/>
          <w:numId w:val="201"/>
        </w:numPr>
        <w:rPr>
          <w:rFonts w:ascii="Arial" w:hAnsi="Arial" w:cs="Arial"/>
          <w:b/>
          <w:i/>
        </w:rPr>
      </w:pPr>
      <w:bookmarkStart w:id="1783" w:name="_Toc92917827"/>
      <w:r w:rsidRPr="002754BA">
        <w:rPr>
          <w:rFonts w:ascii="Arial" w:hAnsi="Arial" w:cs="Arial"/>
          <w:b/>
          <w:i/>
        </w:rPr>
        <w:t>Contrôle d’hygiène</w:t>
      </w:r>
      <w:bookmarkEnd w:id="1783"/>
    </w:p>
    <w:p w14:paraId="286DB17E" w14:textId="77777777" w:rsidR="007775E1" w:rsidRDefault="007775E1" w:rsidP="007775E1">
      <w:pPr>
        <w:pStyle w:val="En-tte"/>
        <w:rPr>
          <w:rFonts w:ascii="Arial" w:hAnsi="Arial" w:cs="Arial"/>
        </w:rPr>
      </w:pPr>
      <w:r w:rsidRPr="002754BA">
        <w:rPr>
          <w:rFonts w:ascii="Arial" w:hAnsi="Arial" w:cs="Arial"/>
        </w:rPr>
        <w:t>Les employés doivent être informés de la façon des éternuements et de la toux et d’autres contrôles d’hygiène, tels que tousser dans les coudes ou éternuer dans un mouchoir en papier et le jeter immédiatement dans une poubelle.</w:t>
      </w:r>
    </w:p>
    <w:p w14:paraId="133F02C5" w14:textId="77777777" w:rsidR="007775E1" w:rsidRPr="002754BA" w:rsidRDefault="007775E1" w:rsidP="007775E1">
      <w:pPr>
        <w:pStyle w:val="En-tte"/>
        <w:rPr>
          <w:rFonts w:ascii="Arial" w:hAnsi="Arial" w:cs="Arial"/>
        </w:rPr>
      </w:pPr>
    </w:p>
    <w:p w14:paraId="735A0ACB" w14:textId="77777777" w:rsidR="007775E1" w:rsidRDefault="007775E1" w:rsidP="007775E1">
      <w:pPr>
        <w:pStyle w:val="En-tte"/>
        <w:rPr>
          <w:rFonts w:ascii="Arial" w:hAnsi="Arial" w:cs="Arial"/>
        </w:rPr>
      </w:pPr>
      <w:r w:rsidRPr="002754BA">
        <w:rPr>
          <w:rFonts w:ascii="Arial" w:hAnsi="Arial" w:cs="Arial"/>
        </w:rPr>
        <w:t xml:space="preserve">De l’eau et du savon adéquats doivent être fournis sur le lieu de travail pour le lavage des mains </w:t>
      </w:r>
      <w:r w:rsidR="00DC258B">
        <w:rPr>
          <w:rFonts w:ascii="Arial" w:hAnsi="Arial" w:cs="Arial"/>
        </w:rPr>
        <w:t>o</w:t>
      </w:r>
      <w:r w:rsidRPr="002754BA">
        <w:rPr>
          <w:rFonts w:ascii="Arial" w:hAnsi="Arial" w:cs="Arial"/>
        </w:rPr>
        <w:t>u plusieurs stations de désinfection des mains avec un désinfectant pour les mains à base d’alcool contenant au moins 70% d’alcool.</w:t>
      </w:r>
    </w:p>
    <w:p w14:paraId="605CF5AC" w14:textId="77777777" w:rsidR="007775E1" w:rsidRPr="002754BA" w:rsidRDefault="007775E1" w:rsidP="007775E1">
      <w:pPr>
        <w:pStyle w:val="En-tte"/>
        <w:rPr>
          <w:rFonts w:ascii="Arial" w:hAnsi="Arial" w:cs="Arial"/>
        </w:rPr>
      </w:pPr>
    </w:p>
    <w:p w14:paraId="69499EEC" w14:textId="77777777" w:rsidR="007775E1" w:rsidRPr="002754BA" w:rsidRDefault="007775E1" w:rsidP="007775E1">
      <w:pPr>
        <w:pStyle w:val="En-tte"/>
        <w:rPr>
          <w:rFonts w:ascii="Arial" w:hAnsi="Arial" w:cs="Arial"/>
        </w:rPr>
      </w:pPr>
      <w:r w:rsidRPr="002754BA">
        <w:rPr>
          <w:rFonts w:ascii="Arial" w:hAnsi="Arial" w:cs="Arial"/>
        </w:rPr>
        <w:t>Poignée de main pour salutation et autres méthodes de contact sont à interdire au sein des employés.</w:t>
      </w:r>
    </w:p>
    <w:p w14:paraId="4862C2F6" w14:textId="77777777" w:rsidR="007775E1" w:rsidRPr="002754BA" w:rsidRDefault="007775E1" w:rsidP="007775E1">
      <w:pPr>
        <w:pStyle w:val="En-tte"/>
        <w:rPr>
          <w:rFonts w:ascii="Arial" w:hAnsi="Arial" w:cs="Arial"/>
        </w:rPr>
      </w:pPr>
    </w:p>
    <w:p w14:paraId="0FDE418B" w14:textId="77777777" w:rsidR="007775E1" w:rsidRPr="002754BA" w:rsidRDefault="007775E1" w:rsidP="0044500E">
      <w:pPr>
        <w:pStyle w:val="Paragraphedeliste"/>
        <w:numPr>
          <w:ilvl w:val="1"/>
          <w:numId w:val="201"/>
        </w:numPr>
        <w:rPr>
          <w:rFonts w:ascii="Arial" w:hAnsi="Arial" w:cs="Arial"/>
          <w:b/>
          <w:i/>
        </w:rPr>
      </w:pPr>
      <w:bookmarkStart w:id="1784" w:name="_Toc92917828"/>
      <w:r w:rsidRPr="002754BA">
        <w:rPr>
          <w:rFonts w:ascii="Arial" w:hAnsi="Arial" w:cs="Arial"/>
          <w:b/>
          <w:i/>
        </w:rPr>
        <w:t>Nettoyage et désinfection</w:t>
      </w:r>
      <w:bookmarkEnd w:id="1784"/>
    </w:p>
    <w:p w14:paraId="5C8533BB" w14:textId="77777777" w:rsidR="007775E1" w:rsidRDefault="007775E1" w:rsidP="007775E1">
      <w:pPr>
        <w:pStyle w:val="En-tte"/>
        <w:jc w:val="both"/>
        <w:rPr>
          <w:rFonts w:ascii="Arial" w:hAnsi="Arial" w:cs="Arial"/>
        </w:rPr>
      </w:pPr>
      <w:r w:rsidRPr="002754BA">
        <w:rPr>
          <w:rFonts w:ascii="Arial" w:hAnsi="Arial" w:cs="Arial"/>
        </w:rPr>
        <w:t>Toutes les surfaces du lieu de travail doivent être nettoyées et désinfectées fréquemment (</w:t>
      </w:r>
      <w:r w:rsidR="00DC258B">
        <w:rPr>
          <w:rFonts w:ascii="Arial" w:hAnsi="Arial" w:cs="Arial"/>
        </w:rPr>
        <w:t>a</w:t>
      </w:r>
      <w:r w:rsidRPr="002754BA">
        <w:rPr>
          <w:rFonts w:ascii="Arial" w:hAnsi="Arial" w:cs="Arial"/>
        </w:rPr>
        <w:t>u moins deux fois par jour), telles que les postes de travail, les claviers, les téléphones, les mains courantes et les poignées de porte avec un détergent ou du savon et de l’eau.</w:t>
      </w:r>
    </w:p>
    <w:p w14:paraId="7D1E7CA6" w14:textId="77777777" w:rsidR="007775E1" w:rsidRPr="002754BA" w:rsidRDefault="007775E1" w:rsidP="007775E1">
      <w:pPr>
        <w:pStyle w:val="En-tte"/>
        <w:jc w:val="both"/>
        <w:rPr>
          <w:rFonts w:ascii="Arial" w:hAnsi="Arial" w:cs="Arial"/>
        </w:rPr>
      </w:pPr>
    </w:p>
    <w:p w14:paraId="15A0E5D7" w14:textId="77777777" w:rsidR="007775E1" w:rsidRDefault="007775E1" w:rsidP="007775E1">
      <w:pPr>
        <w:pStyle w:val="En-tte"/>
        <w:jc w:val="both"/>
        <w:rPr>
          <w:rFonts w:ascii="Arial" w:hAnsi="Arial" w:cs="Arial"/>
        </w:rPr>
      </w:pPr>
      <w:r w:rsidRPr="002754BA">
        <w:rPr>
          <w:rFonts w:ascii="Arial" w:hAnsi="Arial" w:cs="Arial"/>
        </w:rPr>
        <w:t xml:space="preserve">Les employés doivent être déconseillés d’utiliser d’autres téléphones, bureaux ou autres outils et équipements de travail </w:t>
      </w:r>
      <w:r w:rsidR="00DC258B">
        <w:rPr>
          <w:rFonts w:ascii="Arial" w:hAnsi="Arial" w:cs="Arial"/>
        </w:rPr>
        <w:t>o</w:t>
      </w:r>
      <w:r w:rsidRPr="002754BA">
        <w:rPr>
          <w:rFonts w:ascii="Arial" w:hAnsi="Arial" w:cs="Arial"/>
        </w:rPr>
        <w:t>u si nécessaire, nettoyez-les et désinfectez-les avant et après utilisation. Des mouchoirs jetables seront à utiliser pour essuyer les surfaces couramment utilisées telles que les poignées de porte, les claviers, les télécommandes, les bureaux, les autres outils de travail et l’équipement avant chaque utilisation.</w:t>
      </w:r>
    </w:p>
    <w:p w14:paraId="589E348F" w14:textId="77777777" w:rsidR="007775E1" w:rsidRPr="002754BA" w:rsidRDefault="007775E1" w:rsidP="007775E1">
      <w:pPr>
        <w:pStyle w:val="En-tte"/>
        <w:jc w:val="both"/>
        <w:rPr>
          <w:rFonts w:ascii="Arial" w:hAnsi="Arial" w:cs="Arial"/>
        </w:rPr>
      </w:pPr>
    </w:p>
    <w:p w14:paraId="4853286B" w14:textId="77777777" w:rsidR="007775E1" w:rsidRPr="002754BA" w:rsidRDefault="007775E1" w:rsidP="007775E1">
      <w:pPr>
        <w:pStyle w:val="En-tte"/>
        <w:jc w:val="both"/>
        <w:rPr>
          <w:rFonts w:ascii="Arial" w:hAnsi="Arial" w:cs="Arial"/>
        </w:rPr>
      </w:pPr>
      <w:r w:rsidRPr="002754BA">
        <w:rPr>
          <w:rFonts w:ascii="Arial" w:hAnsi="Arial" w:cs="Arial"/>
        </w:rPr>
        <w:t>Les poubelles des bureaux et chambres seront à vider fréquemment tout au long de la journée.</w:t>
      </w:r>
    </w:p>
    <w:p w14:paraId="39425BE0" w14:textId="77777777" w:rsidR="007775E1" w:rsidRPr="002754BA" w:rsidRDefault="007775E1" w:rsidP="007775E1">
      <w:pPr>
        <w:pStyle w:val="En-tte"/>
        <w:jc w:val="both"/>
        <w:rPr>
          <w:rFonts w:ascii="Arial" w:hAnsi="Arial" w:cs="Arial"/>
        </w:rPr>
      </w:pPr>
    </w:p>
    <w:p w14:paraId="41CB7365" w14:textId="77777777" w:rsidR="007775E1" w:rsidRPr="002754BA" w:rsidRDefault="007775E1" w:rsidP="0044500E">
      <w:pPr>
        <w:pStyle w:val="Paragraphedeliste"/>
        <w:numPr>
          <w:ilvl w:val="1"/>
          <w:numId w:val="201"/>
        </w:numPr>
        <w:rPr>
          <w:rFonts w:ascii="Arial" w:hAnsi="Arial" w:cs="Arial"/>
          <w:b/>
          <w:i/>
        </w:rPr>
      </w:pPr>
      <w:bookmarkStart w:id="1785" w:name="_Toc92917829"/>
      <w:r w:rsidRPr="002754BA">
        <w:rPr>
          <w:rFonts w:ascii="Arial" w:hAnsi="Arial" w:cs="Arial"/>
          <w:b/>
          <w:i/>
        </w:rPr>
        <w:t>Réunion et rassemblement</w:t>
      </w:r>
      <w:bookmarkEnd w:id="1785"/>
    </w:p>
    <w:p w14:paraId="3516CD6C" w14:textId="77777777" w:rsidR="007775E1" w:rsidRDefault="007775E1" w:rsidP="007775E1">
      <w:pPr>
        <w:pStyle w:val="En-tte"/>
        <w:rPr>
          <w:rFonts w:ascii="Arial" w:hAnsi="Arial" w:cs="Arial"/>
        </w:rPr>
      </w:pPr>
      <w:r w:rsidRPr="002754BA">
        <w:rPr>
          <w:rFonts w:ascii="Arial" w:hAnsi="Arial" w:cs="Arial"/>
        </w:rPr>
        <w:t>Déterminez si une réunion physique est nécessaire ou si elle peut être tenue plutôt par vidéoconférence ou téléconférence.</w:t>
      </w:r>
    </w:p>
    <w:p w14:paraId="46D37902" w14:textId="77777777" w:rsidR="007775E1" w:rsidRPr="002754BA" w:rsidRDefault="007775E1" w:rsidP="007775E1">
      <w:pPr>
        <w:pStyle w:val="En-tte"/>
        <w:rPr>
          <w:rFonts w:ascii="Arial" w:hAnsi="Arial" w:cs="Arial"/>
        </w:rPr>
      </w:pPr>
    </w:p>
    <w:p w14:paraId="39D61439" w14:textId="77777777" w:rsidR="007775E1" w:rsidRPr="002754BA" w:rsidRDefault="007775E1" w:rsidP="007775E1">
      <w:pPr>
        <w:pStyle w:val="En-tte"/>
        <w:rPr>
          <w:rFonts w:ascii="Arial" w:hAnsi="Arial" w:cs="Arial"/>
        </w:rPr>
      </w:pPr>
      <w:r w:rsidRPr="002754BA">
        <w:rPr>
          <w:rFonts w:ascii="Arial" w:hAnsi="Arial" w:cs="Arial"/>
        </w:rPr>
        <w:t>Évitez les grands rassemblements et remettez à plus tard les réunions ou événements non essentiels qui ne peuvent se produire qu’en p</w:t>
      </w:r>
      <w:r w:rsidR="00547D64">
        <w:rPr>
          <w:rFonts w:ascii="Arial" w:hAnsi="Arial" w:cs="Arial"/>
        </w:rPr>
        <w:t>rés</w:t>
      </w:r>
      <w:r w:rsidRPr="002754BA">
        <w:rPr>
          <w:rFonts w:ascii="Arial" w:hAnsi="Arial" w:cs="Arial"/>
        </w:rPr>
        <w:t>e</w:t>
      </w:r>
      <w:r w:rsidR="00547D64">
        <w:rPr>
          <w:rFonts w:ascii="Arial" w:hAnsi="Arial" w:cs="Arial"/>
        </w:rPr>
        <w:t>nce physique</w:t>
      </w:r>
      <w:r w:rsidRPr="002754BA">
        <w:rPr>
          <w:rFonts w:ascii="Arial" w:hAnsi="Arial" w:cs="Arial"/>
        </w:rPr>
        <w:t xml:space="preserve"> jusqu’à ce que la crise soit maîtrisée.</w:t>
      </w:r>
    </w:p>
    <w:p w14:paraId="64D2A805" w14:textId="77777777" w:rsidR="007775E1" w:rsidRPr="002754BA" w:rsidRDefault="007775E1" w:rsidP="007775E1">
      <w:pPr>
        <w:pStyle w:val="En-tte"/>
        <w:rPr>
          <w:rFonts w:ascii="Arial" w:hAnsi="Arial" w:cs="Arial"/>
        </w:rPr>
      </w:pPr>
      <w:r w:rsidRPr="002754BA">
        <w:rPr>
          <w:rFonts w:ascii="Arial" w:hAnsi="Arial" w:cs="Arial"/>
        </w:rPr>
        <w:t>Dans le cas où une réunion physique ou un rassemblement est nécessaire (</w:t>
      </w:r>
      <w:r w:rsidR="00547D64">
        <w:rPr>
          <w:rFonts w:ascii="Arial" w:hAnsi="Arial" w:cs="Arial"/>
        </w:rPr>
        <w:t>c</w:t>
      </w:r>
      <w:r w:rsidRPr="002754BA">
        <w:rPr>
          <w:rFonts w:ascii="Arial" w:hAnsi="Arial" w:cs="Arial"/>
        </w:rPr>
        <w:t>omme le cas de réunion de Santé et Sécurité), essayez toujours de les tenir dans les espaces ouverts ou bien ventilés où les participants peuvent respecter la distanciation sociale.</w:t>
      </w:r>
    </w:p>
    <w:p w14:paraId="0084B571" w14:textId="77777777" w:rsidR="007775E1" w:rsidRPr="002754BA" w:rsidRDefault="007775E1" w:rsidP="007775E1">
      <w:pPr>
        <w:pStyle w:val="En-tte"/>
        <w:rPr>
          <w:rFonts w:ascii="Arial" w:hAnsi="Arial" w:cs="Arial"/>
        </w:rPr>
      </w:pPr>
    </w:p>
    <w:p w14:paraId="7E31598F" w14:textId="77777777" w:rsidR="007775E1" w:rsidRPr="002754BA" w:rsidRDefault="007775E1" w:rsidP="0044500E">
      <w:pPr>
        <w:pStyle w:val="Paragraphedeliste"/>
        <w:numPr>
          <w:ilvl w:val="1"/>
          <w:numId w:val="201"/>
        </w:numPr>
        <w:rPr>
          <w:rFonts w:ascii="Arial" w:hAnsi="Arial" w:cs="Arial"/>
          <w:b/>
          <w:i/>
        </w:rPr>
      </w:pPr>
      <w:bookmarkStart w:id="1786" w:name="_Toc92917830"/>
      <w:r w:rsidRPr="002754BA">
        <w:rPr>
          <w:rFonts w:ascii="Arial" w:hAnsi="Arial" w:cs="Arial"/>
          <w:b/>
          <w:i/>
        </w:rPr>
        <w:t>Politique de distanciation sociale</w:t>
      </w:r>
      <w:bookmarkEnd w:id="1786"/>
    </w:p>
    <w:p w14:paraId="4645B4EB" w14:textId="77777777" w:rsidR="007775E1" w:rsidRDefault="007775E1" w:rsidP="007775E1">
      <w:pPr>
        <w:pStyle w:val="En-tte"/>
        <w:rPr>
          <w:rFonts w:ascii="Arial" w:hAnsi="Arial" w:cs="Arial"/>
        </w:rPr>
      </w:pPr>
      <w:r w:rsidRPr="002754BA">
        <w:rPr>
          <w:rFonts w:ascii="Arial" w:hAnsi="Arial" w:cs="Arial"/>
        </w:rPr>
        <w:t>Les employés doivent maintenir des distances (de plus de 1 mètre) avec les autres dans tous les domaines, y compris les cantines et les toilettes. Rassemblements à éviter pendant les pauses déjeuner.</w:t>
      </w:r>
    </w:p>
    <w:p w14:paraId="7B3A6506" w14:textId="77777777" w:rsidR="007775E1" w:rsidRPr="002754BA" w:rsidRDefault="007775E1" w:rsidP="007775E1">
      <w:pPr>
        <w:pStyle w:val="En-tte"/>
        <w:rPr>
          <w:rFonts w:ascii="Arial" w:hAnsi="Arial" w:cs="Arial"/>
        </w:rPr>
      </w:pPr>
    </w:p>
    <w:p w14:paraId="0A42863A" w14:textId="77777777" w:rsidR="007775E1" w:rsidRPr="002754BA" w:rsidRDefault="007775E1" w:rsidP="007775E1">
      <w:pPr>
        <w:pStyle w:val="En-tte"/>
        <w:rPr>
          <w:rFonts w:ascii="Arial" w:hAnsi="Arial" w:cs="Arial"/>
        </w:rPr>
      </w:pPr>
      <w:r w:rsidRPr="002754BA">
        <w:rPr>
          <w:rFonts w:ascii="Arial" w:hAnsi="Arial" w:cs="Arial"/>
        </w:rPr>
        <w:t>Augmenter l’espace physique entre les employés ayant des postes de travail à au moins de 1 mètre l’un de l’autre.</w:t>
      </w:r>
    </w:p>
    <w:p w14:paraId="35241A0A" w14:textId="77777777" w:rsidR="007775E1" w:rsidRPr="007775E1" w:rsidRDefault="007775E1" w:rsidP="007775E1">
      <w:pPr>
        <w:pStyle w:val="En-tte"/>
        <w:rPr>
          <w:rFonts w:ascii="Arial" w:eastAsia="Times New Roman" w:hAnsi="Arial" w:cs="Arial"/>
          <w:b/>
          <w:sz w:val="26"/>
          <w:szCs w:val="26"/>
        </w:rPr>
      </w:pPr>
    </w:p>
    <w:p w14:paraId="4507C999" w14:textId="77777777" w:rsidR="007775E1" w:rsidRPr="002754BA" w:rsidRDefault="007775E1" w:rsidP="0044500E">
      <w:pPr>
        <w:pStyle w:val="Paragraphedeliste"/>
        <w:numPr>
          <w:ilvl w:val="1"/>
          <w:numId w:val="201"/>
        </w:numPr>
        <w:rPr>
          <w:rFonts w:ascii="Arial" w:hAnsi="Arial" w:cs="Arial"/>
          <w:b/>
          <w:i/>
        </w:rPr>
      </w:pPr>
      <w:bookmarkStart w:id="1787" w:name="_Toc92917831"/>
      <w:r w:rsidRPr="002754BA">
        <w:rPr>
          <w:rFonts w:ascii="Arial" w:hAnsi="Arial" w:cs="Arial"/>
          <w:b/>
          <w:i/>
        </w:rPr>
        <w:t>Personne suspectée / confirmée d’être contaminée par le Corona Virus</w:t>
      </w:r>
      <w:bookmarkEnd w:id="1787"/>
    </w:p>
    <w:p w14:paraId="56CDD5DC" w14:textId="77777777" w:rsidR="007775E1" w:rsidRDefault="007775E1" w:rsidP="007775E1">
      <w:pPr>
        <w:pStyle w:val="En-tte"/>
        <w:rPr>
          <w:rFonts w:ascii="Arial" w:hAnsi="Arial" w:cs="Arial"/>
        </w:rPr>
      </w:pPr>
      <w:r w:rsidRPr="002754BA">
        <w:rPr>
          <w:rFonts w:ascii="Arial" w:hAnsi="Arial" w:cs="Arial"/>
        </w:rPr>
        <w:t>En cas de prise de température supérieure à 37,3°C (t &gt; 37,3°C) (après deux confirmations) ou si une personne (visiteur ou employé) présente un des symptômes suspects.</w:t>
      </w:r>
    </w:p>
    <w:p w14:paraId="31924C9D" w14:textId="77777777" w:rsidR="007775E1" w:rsidRPr="002754BA" w:rsidRDefault="007775E1" w:rsidP="007775E1">
      <w:pPr>
        <w:pStyle w:val="En-tte"/>
        <w:rPr>
          <w:rFonts w:ascii="Arial" w:hAnsi="Arial" w:cs="Arial"/>
        </w:rPr>
      </w:pPr>
    </w:p>
    <w:p w14:paraId="5491E7E5" w14:textId="77777777" w:rsidR="007775E1" w:rsidRDefault="007775E1" w:rsidP="007775E1">
      <w:pPr>
        <w:pStyle w:val="En-tte"/>
        <w:rPr>
          <w:rFonts w:ascii="Arial" w:hAnsi="Arial" w:cs="Arial"/>
        </w:rPr>
      </w:pPr>
      <w:r w:rsidRPr="002754BA">
        <w:rPr>
          <w:rFonts w:ascii="Arial" w:hAnsi="Arial" w:cs="Arial"/>
        </w:rPr>
        <w:t>ALORS l’agent de l’accueil doit appeler une personne de l’équipe dédié pour la gestion de Covid</w:t>
      </w:r>
      <w:r w:rsidR="00547D64">
        <w:rPr>
          <w:rFonts w:ascii="Arial" w:hAnsi="Arial" w:cs="Arial"/>
        </w:rPr>
        <w:t>-</w:t>
      </w:r>
      <w:r w:rsidRPr="002754BA">
        <w:rPr>
          <w:rFonts w:ascii="Arial" w:hAnsi="Arial" w:cs="Arial"/>
        </w:rPr>
        <w:t xml:space="preserve">19 qui va agir suivant les cas suivants : </w:t>
      </w:r>
    </w:p>
    <w:p w14:paraId="7C7A1341" w14:textId="77777777" w:rsidR="007775E1" w:rsidRPr="002754BA" w:rsidRDefault="007775E1" w:rsidP="007775E1">
      <w:pPr>
        <w:pStyle w:val="En-tte"/>
        <w:rPr>
          <w:rFonts w:ascii="Arial" w:hAnsi="Arial" w:cs="Arial"/>
        </w:rPr>
      </w:pPr>
    </w:p>
    <w:p w14:paraId="7241A75C" w14:textId="77777777" w:rsidR="007775E1" w:rsidRPr="002754BA" w:rsidRDefault="007775E1" w:rsidP="0044500E">
      <w:pPr>
        <w:pStyle w:val="Paragraphedeliste"/>
        <w:numPr>
          <w:ilvl w:val="0"/>
          <w:numId w:val="200"/>
        </w:numPr>
        <w:spacing w:before="120" w:after="0" w:line="240" w:lineRule="auto"/>
        <w:rPr>
          <w:rFonts w:ascii="Arial" w:hAnsi="Arial" w:cs="Arial"/>
        </w:rPr>
      </w:pPr>
      <w:r w:rsidRPr="002754BA">
        <w:rPr>
          <w:rFonts w:ascii="Arial" w:hAnsi="Arial" w:cs="Arial"/>
        </w:rPr>
        <w:t>Si c’est un employé de l’entreprise ou MDC, l’équipe évalue la nécessité d’appeler un médecin. On fournit immédiatement un masque chirurgical à ladite personne. La personne devra mettre le masque après avoir nettoyé ses mains avec le désinfectant. Si un employé est donc soupçonné ou confirmé d’avoir la COVID-19, il doit être isolé dans une cité de confinement dédiée pour l’auto-confinement puis il faut le faire consulter par un médecin. La personne qui gère un employé suspect doit également mettre un masque.</w:t>
      </w:r>
    </w:p>
    <w:p w14:paraId="5BBE7346" w14:textId="77777777" w:rsidR="007775E1" w:rsidRPr="002754BA" w:rsidRDefault="007775E1" w:rsidP="0044500E">
      <w:pPr>
        <w:pStyle w:val="Paragraphedeliste"/>
        <w:numPr>
          <w:ilvl w:val="0"/>
          <w:numId w:val="200"/>
        </w:numPr>
        <w:spacing w:before="120" w:after="0" w:line="240" w:lineRule="auto"/>
        <w:rPr>
          <w:rFonts w:ascii="Arial" w:hAnsi="Arial" w:cs="Arial"/>
        </w:rPr>
      </w:pPr>
      <w:r w:rsidRPr="002754BA">
        <w:rPr>
          <w:rFonts w:ascii="Arial" w:hAnsi="Arial" w:cs="Arial"/>
        </w:rPr>
        <w:tab/>
        <w:t>Si c’est un visiteur, on lui demande poliment de consulter un médecin et on lui refuse l’entrée dans les lieux de travail. On enregistre ses coordonnées. Il faut toujours se tenir à distance (au moins 1m) des personnes suspectes (avec symptôme).</w:t>
      </w:r>
    </w:p>
    <w:p w14:paraId="34593233" w14:textId="77777777" w:rsidR="007775E1" w:rsidRPr="002754BA" w:rsidRDefault="007775E1" w:rsidP="00B434A6">
      <w:pPr>
        <w:pStyle w:val="Paragraphedeliste"/>
        <w:spacing w:before="120" w:after="0" w:line="240" w:lineRule="auto"/>
        <w:rPr>
          <w:rFonts w:ascii="Arial" w:hAnsi="Arial" w:cs="Arial"/>
        </w:rPr>
      </w:pPr>
    </w:p>
    <w:p w14:paraId="5CE7AC56" w14:textId="77777777" w:rsidR="007775E1" w:rsidRPr="002754BA" w:rsidRDefault="007775E1" w:rsidP="007775E1">
      <w:pPr>
        <w:pStyle w:val="En-tte"/>
        <w:rPr>
          <w:rFonts w:ascii="Arial" w:hAnsi="Arial" w:cs="Arial"/>
        </w:rPr>
      </w:pPr>
      <w:r w:rsidRPr="002754BA">
        <w:rPr>
          <w:rFonts w:ascii="Arial" w:hAnsi="Arial" w:cs="Arial"/>
        </w:rPr>
        <w:t>Toutes les directives de nettoyage et de désinfection autour de leur espace de travail et des mouvements seront à effectuer immédiatement après la détection de cas.</w:t>
      </w:r>
    </w:p>
    <w:p w14:paraId="3ECB48F7" w14:textId="77777777" w:rsidR="00547D64" w:rsidRDefault="00547D64" w:rsidP="007775E1">
      <w:pPr>
        <w:rPr>
          <w:rFonts w:ascii="Arial" w:hAnsi="Arial" w:cs="Arial"/>
        </w:rPr>
      </w:pPr>
      <w:bookmarkStart w:id="1788" w:name="_Toc92917832"/>
    </w:p>
    <w:p w14:paraId="17BB10E3" w14:textId="77777777" w:rsidR="007775E1" w:rsidRPr="002754BA" w:rsidRDefault="007775E1" w:rsidP="007775E1">
      <w:pPr>
        <w:rPr>
          <w:rFonts w:ascii="Arial" w:hAnsi="Arial" w:cs="Arial"/>
        </w:rPr>
      </w:pPr>
      <w:r w:rsidRPr="002754BA">
        <w:rPr>
          <w:rFonts w:ascii="Arial" w:hAnsi="Arial" w:cs="Arial"/>
        </w:rPr>
        <w:t>Période d’isolement et reprise de poste</w:t>
      </w:r>
      <w:bookmarkEnd w:id="1788"/>
    </w:p>
    <w:p w14:paraId="7E83902E" w14:textId="77777777" w:rsidR="007775E1" w:rsidRPr="002754BA" w:rsidRDefault="007775E1" w:rsidP="007775E1">
      <w:pPr>
        <w:pStyle w:val="En-tte"/>
        <w:rPr>
          <w:rFonts w:ascii="Arial" w:hAnsi="Arial" w:cs="Arial"/>
        </w:rPr>
      </w:pPr>
      <w:r w:rsidRPr="002754BA">
        <w:rPr>
          <w:rFonts w:ascii="Arial" w:hAnsi="Arial" w:cs="Arial"/>
        </w:rPr>
        <w:t xml:space="preserve">D’après la dernière directive du </w:t>
      </w:r>
      <w:r w:rsidR="00547D64">
        <w:rPr>
          <w:rFonts w:ascii="Arial" w:hAnsi="Arial" w:cs="Arial"/>
        </w:rPr>
        <w:t>G</w:t>
      </w:r>
      <w:r w:rsidRPr="002754BA">
        <w:rPr>
          <w:rFonts w:ascii="Arial" w:hAnsi="Arial" w:cs="Arial"/>
        </w:rPr>
        <w:t>ouvernement sur période d’isolement ou quarantaine d’une personne contaminée, la durée de cet isolement e</w:t>
      </w:r>
      <w:r w:rsidR="00547D64">
        <w:rPr>
          <w:rFonts w:ascii="Arial" w:hAnsi="Arial" w:cs="Arial"/>
        </w:rPr>
        <w:t>s</w:t>
      </w:r>
      <w:r w:rsidRPr="002754BA">
        <w:rPr>
          <w:rFonts w:ascii="Arial" w:hAnsi="Arial" w:cs="Arial"/>
        </w:rPr>
        <w:t>t de 14 jours après la détection de la contamination ; mais comme cette durée d’isolement dépendra de l’état de santé du patient, la période d’isolement pour un employé contaminé sur site sera décrite par le médecin traitant sur place.</w:t>
      </w:r>
    </w:p>
    <w:p w14:paraId="183F2C00" w14:textId="77777777" w:rsidR="007775E1" w:rsidRPr="002754BA" w:rsidRDefault="007775E1" w:rsidP="007775E1">
      <w:pPr>
        <w:pStyle w:val="En-tte"/>
        <w:rPr>
          <w:rFonts w:ascii="Arial" w:hAnsi="Arial" w:cs="Arial"/>
        </w:rPr>
      </w:pPr>
      <w:r w:rsidRPr="002754BA">
        <w:rPr>
          <w:rFonts w:ascii="Arial" w:hAnsi="Arial" w:cs="Arial"/>
        </w:rPr>
        <w:t>Pour qu’un employé puisse reprendre son poste, il doit recevoir une attestation de reprise de travail de la part d’un médecin.</w:t>
      </w:r>
    </w:p>
    <w:p w14:paraId="4A87B612" w14:textId="77777777" w:rsidR="007775E1" w:rsidRPr="002754BA" w:rsidRDefault="007775E1" w:rsidP="007775E1">
      <w:pPr>
        <w:pStyle w:val="En-tte"/>
        <w:rPr>
          <w:rFonts w:ascii="Arial" w:hAnsi="Arial" w:cs="Arial"/>
        </w:rPr>
      </w:pPr>
    </w:p>
    <w:p w14:paraId="5360A19C" w14:textId="77777777" w:rsidR="007775E1" w:rsidRPr="002754BA" w:rsidRDefault="007775E1" w:rsidP="0044500E">
      <w:pPr>
        <w:pStyle w:val="Paragraphedeliste"/>
        <w:numPr>
          <w:ilvl w:val="1"/>
          <w:numId w:val="201"/>
        </w:numPr>
        <w:rPr>
          <w:rFonts w:ascii="Arial" w:hAnsi="Arial" w:cs="Arial"/>
          <w:b/>
          <w:i/>
        </w:rPr>
      </w:pPr>
      <w:bookmarkStart w:id="1789" w:name="_Toc92917833"/>
      <w:r w:rsidRPr="002754BA">
        <w:rPr>
          <w:rFonts w:ascii="Arial" w:hAnsi="Arial" w:cs="Arial"/>
          <w:b/>
          <w:i/>
        </w:rPr>
        <w:t>Gestion de transport</w:t>
      </w:r>
      <w:bookmarkEnd w:id="1789"/>
    </w:p>
    <w:p w14:paraId="3D24CC0B" w14:textId="77777777" w:rsidR="007775E1" w:rsidRDefault="007775E1" w:rsidP="007775E1">
      <w:pPr>
        <w:pStyle w:val="En-tte"/>
        <w:rPr>
          <w:rFonts w:ascii="Arial" w:hAnsi="Arial" w:cs="Arial"/>
        </w:rPr>
      </w:pPr>
      <w:r w:rsidRPr="002754BA">
        <w:rPr>
          <w:rFonts w:ascii="Arial" w:hAnsi="Arial" w:cs="Arial"/>
        </w:rPr>
        <w:t>Pour éviter les cross-contaminations dans les transports publics, les employés seront invités à utiliser seulement le moyen de l’entreprise dédié au transport de personnel.</w:t>
      </w:r>
    </w:p>
    <w:p w14:paraId="47B48AD4" w14:textId="77777777" w:rsidR="007775E1" w:rsidRPr="002754BA" w:rsidRDefault="007775E1" w:rsidP="007775E1">
      <w:pPr>
        <w:pStyle w:val="En-tte"/>
        <w:rPr>
          <w:rFonts w:ascii="Arial" w:hAnsi="Arial" w:cs="Arial"/>
        </w:rPr>
      </w:pPr>
    </w:p>
    <w:p w14:paraId="743EAFC5" w14:textId="77777777" w:rsidR="007775E1" w:rsidRPr="00EC305F" w:rsidRDefault="007775E1" w:rsidP="0044500E">
      <w:pPr>
        <w:pStyle w:val="Paragraphedeliste"/>
        <w:numPr>
          <w:ilvl w:val="0"/>
          <w:numId w:val="200"/>
        </w:numPr>
        <w:spacing w:before="120" w:after="0" w:line="240" w:lineRule="auto"/>
        <w:rPr>
          <w:rFonts w:ascii="Arial" w:hAnsi="Arial" w:cs="Arial"/>
        </w:rPr>
      </w:pPr>
      <w:r w:rsidRPr="00EC305F">
        <w:rPr>
          <w:rFonts w:ascii="Arial" w:hAnsi="Arial" w:cs="Arial"/>
        </w:rPr>
        <w:t>Des gels et des masques seront mis à disposition des employés dans les voitures.</w:t>
      </w:r>
    </w:p>
    <w:p w14:paraId="23EA00B8" w14:textId="77777777" w:rsidR="007775E1" w:rsidRPr="00EC305F" w:rsidRDefault="007775E1" w:rsidP="0044500E">
      <w:pPr>
        <w:pStyle w:val="Paragraphedeliste"/>
        <w:numPr>
          <w:ilvl w:val="0"/>
          <w:numId w:val="200"/>
        </w:numPr>
        <w:spacing w:before="120" w:after="0" w:line="240" w:lineRule="auto"/>
        <w:rPr>
          <w:rFonts w:ascii="Arial" w:hAnsi="Arial" w:cs="Arial"/>
        </w:rPr>
      </w:pPr>
      <w:r w:rsidRPr="00EC305F">
        <w:rPr>
          <w:rFonts w:ascii="Arial" w:hAnsi="Arial" w:cs="Arial"/>
        </w:rPr>
        <w:t xml:space="preserve">Les masques doivent être portés lors des transports en voiture. </w:t>
      </w:r>
    </w:p>
    <w:p w14:paraId="632A58E6" w14:textId="77777777" w:rsidR="007775E1" w:rsidRDefault="007775E1" w:rsidP="0044500E">
      <w:pPr>
        <w:pStyle w:val="Paragraphedeliste"/>
        <w:numPr>
          <w:ilvl w:val="0"/>
          <w:numId w:val="200"/>
        </w:numPr>
        <w:spacing w:before="120" w:after="0" w:line="240" w:lineRule="auto"/>
        <w:rPr>
          <w:rFonts w:ascii="Arial" w:hAnsi="Arial" w:cs="Arial"/>
        </w:rPr>
      </w:pPr>
      <w:r w:rsidRPr="002754BA">
        <w:rPr>
          <w:rFonts w:ascii="Arial" w:hAnsi="Arial" w:cs="Arial"/>
        </w:rPr>
        <w:t>Toutes les voitures de transport seront désinfectées une fois arrivée au bureau.</w:t>
      </w:r>
    </w:p>
    <w:p w14:paraId="6AA16963" w14:textId="77777777" w:rsidR="007775E1" w:rsidRPr="002754BA" w:rsidRDefault="007775E1" w:rsidP="007775E1">
      <w:pPr>
        <w:pStyle w:val="En-tte"/>
        <w:rPr>
          <w:rFonts w:ascii="Arial" w:hAnsi="Arial" w:cs="Arial"/>
        </w:rPr>
      </w:pPr>
    </w:p>
    <w:p w14:paraId="4D54E224" w14:textId="77777777" w:rsidR="007775E1" w:rsidRPr="002754BA" w:rsidRDefault="007775E1" w:rsidP="007775E1">
      <w:pPr>
        <w:pStyle w:val="En-tte"/>
        <w:rPr>
          <w:rFonts w:ascii="Arial" w:hAnsi="Arial" w:cs="Arial"/>
        </w:rPr>
      </w:pPr>
      <w:r w:rsidRPr="002754BA">
        <w:rPr>
          <w:rFonts w:ascii="Arial" w:hAnsi="Arial" w:cs="Arial"/>
        </w:rPr>
        <w:t>Si on a un cas suspect dans les locaux, et que le transport de cette personne est impossible, alors son transport au centre de soin sera assuré par l’entreprise, on prendra des dispositions particulières pour la personne suspecte et le chauffeur sera équipé de masque. Et la voiture sera désinfectée à l’arrivée.</w:t>
      </w:r>
    </w:p>
    <w:p w14:paraId="4C745D7D" w14:textId="77777777" w:rsidR="007775E1" w:rsidRPr="002754BA" w:rsidRDefault="007775E1" w:rsidP="007775E1">
      <w:pPr>
        <w:pStyle w:val="En-tte"/>
        <w:rPr>
          <w:rFonts w:ascii="Arial" w:hAnsi="Arial" w:cs="Arial"/>
        </w:rPr>
      </w:pPr>
    </w:p>
    <w:p w14:paraId="27335928" w14:textId="77777777" w:rsidR="007775E1" w:rsidRPr="002754BA" w:rsidRDefault="007775E1" w:rsidP="007775E1">
      <w:pPr>
        <w:pStyle w:val="En-tte"/>
        <w:rPr>
          <w:rFonts w:ascii="Arial" w:hAnsi="Arial" w:cs="Arial"/>
        </w:rPr>
      </w:pPr>
      <w:r w:rsidRPr="002754BA">
        <w:rPr>
          <w:rFonts w:ascii="Arial" w:hAnsi="Arial" w:cs="Arial"/>
        </w:rPr>
        <w:t>Dans le cas de déplacement exceptionnel en dehors de la zone de travail ou dans les zones confinées, une autorisation spéciale de déplacer délivrée par l’autorité compétente locale (Ex : CCO régionale) sera utile.</w:t>
      </w:r>
    </w:p>
    <w:p w14:paraId="77F017B7" w14:textId="77777777" w:rsidR="007775E1" w:rsidRPr="002754BA" w:rsidRDefault="007775E1" w:rsidP="007775E1">
      <w:pPr>
        <w:pStyle w:val="En-tte"/>
        <w:rPr>
          <w:rFonts w:ascii="Arial" w:hAnsi="Arial" w:cs="Arial"/>
        </w:rPr>
      </w:pPr>
    </w:p>
    <w:p w14:paraId="50CAAC8F" w14:textId="77777777" w:rsidR="007775E1" w:rsidRPr="002754BA" w:rsidRDefault="007775E1" w:rsidP="0044500E">
      <w:pPr>
        <w:pStyle w:val="Paragraphedeliste"/>
        <w:numPr>
          <w:ilvl w:val="1"/>
          <w:numId w:val="201"/>
        </w:numPr>
        <w:rPr>
          <w:rFonts w:ascii="Arial" w:hAnsi="Arial" w:cs="Arial"/>
          <w:b/>
          <w:i/>
        </w:rPr>
      </w:pPr>
      <w:bookmarkStart w:id="1790" w:name="_Toc92917834"/>
      <w:r w:rsidRPr="002754BA">
        <w:rPr>
          <w:rFonts w:ascii="Arial" w:hAnsi="Arial" w:cs="Arial"/>
          <w:b/>
          <w:i/>
        </w:rPr>
        <w:t>Vaccination</w:t>
      </w:r>
      <w:bookmarkEnd w:id="1790"/>
    </w:p>
    <w:p w14:paraId="0A4AC524" w14:textId="77777777" w:rsidR="007775E1" w:rsidRPr="002754BA" w:rsidRDefault="007775E1" w:rsidP="007775E1">
      <w:pPr>
        <w:pStyle w:val="En-tte"/>
        <w:rPr>
          <w:rFonts w:ascii="Arial" w:hAnsi="Arial" w:cs="Arial"/>
        </w:rPr>
      </w:pPr>
      <w:r w:rsidRPr="002754BA">
        <w:rPr>
          <w:rFonts w:ascii="Arial" w:hAnsi="Arial" w:cs="Arial"/>
        </w:rPr>
        <w:t>Comme la vaccination contre le Covid</w:t>
      </w:r>
      <w:r w:rsidR="00547D64">
        <w:rPr>
          <w:rFonts w:ascii="Arial" w:hAnsi="Arial" w:cs="Arial"/>
        </w:rPr>
        <w:t>-</w:t>
      </w:r>
      <w:r w:rsidRPr="002754BA">
        <w:rPr>
          <w:rFonts w:ascii="Arial" w:hAnsi="Arial" w:cs="Arial"/>
        </w:rPr>
        <w:t>19 est un de moyen de prévention de cette maladie, l’entreprise est recommandée de faire vacciner les employés partant pour la vaccination. Comme le gouvernement n’oblige pas encore la vaccination, l’entreprise est conseillée de ne pas forcer les employés à se faire vacciner.</w:t>
      </w:r>
    </w:p>
    <w:p w14:paraId="7179ABB9" w14:textId="77777777" w:rsidR="00547D64" w:rsidRPr="00940A32" w:rsidRDefault="007775E1" w:rsidP="009A0954">
      <w:pPr>
        <w:rPr>
          <w:rFonts w:ascii="Arial" w:hAnsi="Arial" w:cs="Arial"/>
          <w:b/>
          <w:bCs/>
        </w:rPr>
      </w:pPr>
      <w:r>
        <w:br w:type="page"/>
      </w:r>
      <w:bookmarkStart w:id="1791" w:name="_Toc125402475"/>
      <w:r w:rsidR="00547D64" w:rsidRPr="00940A32">
        <w:rPr>
          <w:rFonts w:ascii="Arial" w:hAnsi="Arial" w:cs="Arial"/>
          <w:b/>
          <w:bCs/>
        </w:rPr>
        <w:t xml:space="preserve">Annexe </w:t>
      </w:r>
      <w:r w:rsidR="00547D64" w:rsidRPr="00940A32">
        <w:rPr>
          <w:rFonts w:ascii="Arial" w:hAnsi="Arial" w:cs="Arial"/>
          <w:b/>
          <w:bCs/>
        </w:rPr>
        <w:fldChar w:fldCharType="begin"/>
      </w:r>
      <w:r w:rsidR="00547D64" w:rsidRPr="00940A32">
        <w:rPr>
          <w:rFonts w:ascii="Arial" w:hAnsi="Arial" w:cs="Arial"/>
          <w:b/>
          <w:bCs/>
        </w:rPr>
        <w:instrText>SEQ Annexe \* ARABIC</w:instrText>
      </w:r>
      <w:r w:rsidR="00547D64" w:rsidRPr="00940A32">
        <w:rPr>
          <w:rFonts w:ascii="Arial" w:hAnsi="Arial" w:cs="Arial"/>
          <w:b/>
          <w:bCs/>
        </w:rPr>
        <w:fldChar w:fldCharType="separate"/>
      </w:r>
      <w:r w:rsidR="009947B9">
        <w:rPr>
          <w:rFonts w:ascii="Arial" w:hAnsi="Arial" w:cs="Arial"/>
          <w:b/>
          <w:bCs/>
          <w:noProof/>
        </w:rPr>
        <w:t>12</w:t>
      </w:r>
      <w:r w:rsidR="00547D64" w:rsidRPr="00940A32">
        <w:rPr>
          <w:rFonts w:ascii="Arial" w:hAnsi="Arial" w:cs="Arial"/>
          <w:b/>
          <w:bCs/>
        </w:rPr>
        <w:fldChar w:fldCharType="end"/>
      </w:r>
      <w:r w:rsidR="00547D64" w:rsidRPr="00940A32">
        <w:rPr>
          <w:rFonts w:ascii="Arial" w:hAnsi="Arial" w:cs="Arial"/>
          <w:b/>
          <w:bCs/>
        </w:rPr>
        <w:t> : Plan d’Urgence</w:t>
      </w:r>
      <w:bookmarkEnd w:id="1791"/>
    </w:p>
    <w:p w14:paraId="63BDDA81" w14:textId="77777777" w:rsidR="00547D64" w:rsidRPr="00EF0C94" w:rsidRDefault="00547D64" w:rsidP="0044500E">
      <w:pPr>
        <w:pStyle w:val="Paragraphedeliste"/>
        <w:numPr>
          <w:ilvl w:val="0"/>
          <w:numId w:val="202"/>
        </w:numPr>
        <w:spacing w:before="120" w:after="240" w:line="240" w:lineRule="auto"/>
        <w:ind w:left="714" w:hanging="357"/>
        <w:jc w:val="both"/>
        <w:rPr>
          <w:rFonts w:ascii="Arial" w:hAnsi="Arial" w:cs="Arial"/>
          <w:b/>
          <w:bCs/>
          <w:sz w:val="24"/>
          <w:u w:val="single"/>
        </w:rPr>
      </w:pPr>
      <w:r w:rsidRPr="00EF0C94">
        <w:rPr>
          <w:rFonts w:ascii="Arial" w:hAnsi="Arial" w:cs="Arial"/>
          <w:b/>
          <w:bCs/>
          <w:sz w:val="24"/>
          <w:u w:val="single"/>
        </w:rPr>
        <w:t>Objectifs :</w:t>
      </w:r>
    </w:p>
    <w:p w14:paraId="05748246" w14:textId="77777777" w:rsidR="00547D64" w:rsidRPr="00910251" w:rsidRDefault="00547D64" w:rsidP="00547D64">
      <w:pPr>
        <w:jc w:val="both"/>
        <w:rPr>
          <w:rFonts w:ascii="Arial" w:hAnsi="Arial" w:cs="Arial"/>
        </w:rPr>
      </w:pPr>
      <w:r w:rsidRPr="00910251">
        <w:rPr>
          <w:rFonts w:ascii="Arial" w:hAnsi="Arial" w:cs="Arial"/>
        </w:rPr>
        <w:t xml:space="preserve">Les objectifs principaux du plan d’urgence sont de : </w:t>
      </w:r>
    </w:p>
    <w:p w14:paraId="61B6711F" w14:textId="77777777" w:rsidR="00547D64" w:rsidRPr="00910251" w:rsidRDefault="00547D64" w:rsidP="0044500E">
      <w:pPr>
        <w:pStyle w:val="Paragraphedeliste"/>
        <w:numPr>
          <w:ilvl w:val="0"/>
          <w:numId w:val="203"/>
        </w:numPr>
        <w:spacing w:after="0" w:line="240" w:lineRule="auto"/>
        <w:rPr>
          <w:rFonts w:ascii="Arial" w:hAnsi="Arial" w:cs="Arial"/>
        </w:rPr>
      </w:pPr>
      <w:r w:rsidRPr="00910251">
        <w:rPr>
          <w:rFonts w:ascii="Arial" w:hAnsi="Arial" w:cs="Arial"/>
        </w:rPr>
        <w:t xml:space="preserve">Contenir et maîtriser les incidents de façon à en minimiser les effets et à limiter les dommages pour l’homme, l’environnement et les biens ; </w:t>
      </w:r>
    </w:p>
    <w:p w14:paraId="2F1EAD38" w14:textId="77777777" w:rsidR="00547D64" w:rsidRPr="00910251" w:rsidRDefault="00547D64" w:rsidP="0044500E">
      <w:pPr>
        <w:pStyle w:val="Paragraphedeliste"/>
        <w:numPr>
          <w:ilvl w:val="0"/>
          <w:numId w:val="203"/>
        </w:numPr>
        <w:spacing w:after="0" w:line="240" w:lineRule="auto"/>
        <w:rPr>
          <w:rFonts w:ascii="Arial" w:hAnsi="Arial" w:cs="Arial"/>
        </w:rPr>
      </w:pPr>
      <w:r w:rsidRPr="00910251">
        <w:rPr>
          <w:rFonts w:ascii="Arial" w:hAnsi="Arial" w:cs="Arial"/>
        </w:rPr>
        <w:t>Assurer que les mesures sur les sites d’activités / travaux soient prises effectivement ;</w:t>
      </w:r>
    </w:p>
    <w:p w14:paraId="46E819F4" w14:textId="77777777" w:rsidR="00547D64" w:rsidRPr="00910251" w:rsidRDefault="00547D64" w:rsidP="0044500E">
      <w:pPr>
        <w:pStyle w:val="Paragraphedeliste"/>
        <w:numPr>
          <w:ilvl w:val="0"/>
          <w:numId w:val="203"/>
        </w:numPr>
        <w:spacing w:after="0" w:line="240" w:lineRule="auto"/>
        <w:rPr>
          <w:rFonts w:ascii="Arial" w:hAnsi="Arial" w:cs="Arial"/>
        </w:rPr>
      </w:pPr>
      <w:r w:rsidRPr="00910251">
        <w:rPr>
          <w:rFonts w:ascii="Arial" w:hAnsi="Arial" w:cs="Arial"/>
        </w:rPr>
        <w:t xml:space="preserve">Pour protéger l’homme et l’environnement contre les conséquences d’un accident majeur ; </w:t>
      </w:r>
    </w:p>
    <w:p w14:paraId="513892F6" w14:textId="77777777" w:rsidR="00547D64" w:rsidRPr="00910251" w:rsidRDefault="00547D64" w:rsidP="0044500E">
      <w:pPr>
        <w:pStyle w:val="Paragraphedeliste"/>
        <w:numPr>
          <w:ilvl w:val="0"/>
          <w:numId w:val="203"/>
        </w:numPr>
        <w:spacing w:after="0" w:line="240" w:lineRule="auto"/>
        <w:rPr>
          <w:rFonts w:ascii="Arial" w:hAnsi="Arial" w:cs="Arial"/>
        </w:rPr>
      </w:pPr>
      <w:r w:rsidRPr="00910251">
        <w:rPr>
          <w:rFonts w:ascii="Arial" w:hAnsi="Arial" w:cs="Arial"/>
        </w:rPr>
        <w:t xml:space="preserve">Communiquer les informations nécessaires aux services d’intervention et aux autorités ; </w:t>
      </w:r>
    </w:p>
    <w:p w14:paraId="026AC1BC" w14:textId="77777777" w:rsidR="00547D64" w:rsidRPr="00910251" w:rsidRDefault="00547D64" w:rsidP="0044500E">
      <w:pPr>
        <w:pStyle w:val="Paragraphedeliste"/>
        <w:numPr>
          <w:ilvl w:val="0"/>
          <w:numId w:val="203"/>
        </w:numPr>
        <w:spacing w:after="0" w:line="240" w:lineRule="auto"/>
        <w:rPr>
          <w:rFonts w:ascii="Arial" w:hAnsi="Arial" w:cs="Arial"/>
        </w:rPr>
      </w:pPr>
      <w:r w:rsidRPr="00910251">
        <w:rPr>
          <w:rFonts w:ascii="Arial" w:hAnsi="Arial" w:cs="Arial"/>
        </w:rPr>
        <w:t>Prévoir la remise en état de l’environnement après l’accident.</w:t>
      </w:r>
    </w:p>
    <w:p w14:paraId="5496FF05" w14:textId="77777777" w:rsidR="00547D64" w:rsidRPr="00910251" w:rsidRDefault="00547D64" w:rsidP="00547D64">
      <w:pPr>
        <w:jc w:val="both"/>
        <w:rPr>
          <w:rFonts w:ascii="Arial" w:hAnsi="Arial" w:cs="Arial"/>
        </w:rPr>
      </w:pPr>
      <w:r w:rsidRPr="00910251">
        <w:rPr>
          <w:rFonts w:ascii="Arial" w:hAnsi="Arial" w:cs="Arial"/>
        </w:rPr>
        <w:t xml:space="preserve">Le plan d’urgence est destiné à être activé lorsqu’un accident majeur ou un incident de nature telle que l’on peut raisonnablement penser conduira à un accident majeur.  </w:t>
      </w:r>
    </w:p>
    <w:p w14:paraId="3FC245B9" w14:textId="77777777" w:rsidR="00547D64" w:rsidRPr="00910251" w:rsidRDefault="00547D64" w:rsidP="0044500E">
      <w:pPr>
        <w:pStyle w:val="Paragraphedeliste"/>
        <w:numPr>
          <w:ilvl w:val="0"/>
          <w:numId w:val="202"/>
        </w:numPr>
        <w:spacing w:before="120" w:after="240" w:line="240" w:lineRule="auto"/>
        <w:ind w:left="714" w:hanging="357"/>
        <w:jc w:val="both"/>
        <w:rPr>
          <w:rFonts w:ascii="Arial" w:hAnsi="Arial" w:cs="Arial"/>
          <w:b/>
          <w:bCs/>
          <w:sz w:val="24"/>
          <w:u w:val="single"/>
        </w:rPr>
      </w:pPr>
      <w:r w:rsidRPr="00910251">
        <w:rPr>
          <w:rFonts w:ascii="Arial" w:hAnsi="Arial" w:cs="Arial"/>
          <w:b/>
          <w:bCs/>
          <w:sz w:val="24"/>
          <w:u w:val="single"/>
        </w:rPr>
        <w:t xml:space="preserve">Formation </w:t>
      </w:r>
    </w:p>
    <w:p w14:paraId="1AF9B20F" w14:textId="77777777" w:rsidR="00547D64" w:rsidRPr="00BE75BC" w:rsidRDefault="00547D64" w:rsidP="00547D64">
      <w:pPr>
        <w:spacing w:line="240" w:lineRule="auto"/>
        <w:jc w:val="both"/>
        <w:rPr>
          <w:rFonts w:ascii="Arial" w:eastAsia="Arial" w:hAnsi="Arial"/>
        </w:rPr>
      </w:pPr>
      <w:r w:rsidRPr="00BE75BC">
        <w:rPr>
          <w:rFonts w:ascii="Arial" w:eastAsia="Arial" w:hAnsi="Arial"/>
        </w:rPr>
        <w:t>Chaque personne présente sur le site devra suivre un programme de formation de base en matière de sécurité et avoir connaissance du contenu du plan d’urgence. Ces formations seront dispensées par le responsable HSE et couvriront les points suivants :</w:t>
      </w:r>
    </w:p>
    <w:p w14:paraId="7830B9D8" w14:textId="77777777" w:rsidR="00547D64" w:rsidRPr="00BE75BC" w:rsidRDefault="00547D64" w:rsidP="0044500E">
      <w:pPr>
        <w:pStyle w:val="Paragraphedeliste"/>
        <w:numPr>
          <w:ilvl w:val="0"/>
          <w:numId w:val="203"/>
        </w:numPr>
        <w:spacing w:after="0" w:line="240" w:lineRule="auto"/>
        <w:rPr>
          <w:rFonts w:ascii="Arial" w:hAnsi="Arial" w:cs="Arial"/>
        </w:rPr>
      </w:pPr>
      <w:r w:rsidRPr="00BE75BC">
        <w:rPr>
          <w:rFonts w:ascii="Arial" w:hAnsi="Arial" w:cs="Arial"/>
        </w:rPr>
        <w:t>Formation théorique ;</w:t>
      </w:r>
    </w:p>
    <w:p w14:paraId="00568FDB" w14:textId="77777777" w:rsidR="00547D64" w:rsidRPr="00BE75BC" w:rsidRDefault="00625E09" w:rsidP="0044500E">
      <w:pPr>
        <w:pStyle w:val="Paragraphedeliste"/>
        <w:numPr>
          <w:ilvl w:val="0"/>
          <w:numId w:val="203"/>
        </w:numPr>
        <w:spacing w:after="0" w:line="240" w:lineRule="auto"/>
        <w:rPr>
          <w:rFonts w:ascii="Arial" w:hAnsi="Arial" w:cs="Arial"/>
        </w:rPr>
      </w:pPr>
      <w:r>
        <w:rPr>
          <w:rFonts w:ascii="Arial" w:hAnsi="Arial" w:cs="Arial"/>
        </w:rPr>
        <w:t>I</w:t>
      </w:r>
      <w:r w:rsidR="00547D64" w:rsidRPr="00BE75BC">
        <w:rPr>
          <w:rFonts w:ascii="Arial" w:hAnsi="Arial" w:cs="Arial"/>
        </w:rPr>
        <w:t xml:space="preserve">nitiation aux premiers secours ; </w:t>
      </w:r>
    </w:p>
    <w:p w14:paraId="13D965C1" w14:textId="77777777" w:rsidR="00547D64" w:rsidRPr="00BE75BC" w:rsidRDefault="00547D64" w:rsidP="0044500E">
      <w:pPr>
        <w:pStyle w:val="Paragraphedeliste"/>
        <w:numPr>
          <w:ilvl w:val="0"/>
          <w:numId w:val="203"/>
        </w:numPr>
        <w:spacing w:after="0" w:line="240" w:lineRule="auto"/>
        <w:rPr>
          <w:rFonts w:ascii="Arial" w:hAnsi="Arial" w:cs="Arial"/>
        </w:rPr>
      </w:pPr>
      <w:r w:rsidRPr="00BE75BC">
        <w:rPr>
          <w:rFonts w:ascii="Arial" w:hAnsi="Arial" w:cs="Arial"/>
        </w:rPr>
        <w:t>Lutte et prévention contre les incendies ;</w:t>
      </w:r>
    </w:p>
    <w:p w14:paraId="16216280" w14:textId="77777777" w:rsidR="00547D64" w:rsidRDefault="00547D64" w:rsidP="0044500E">
      <w:pPr>
        <w:pStyle w:val="Paragraphedeliste"/>
        <w:numPr>
          <w:ilvl w:val="0"/>
          <w:numId w:val="203"/>
        </w:numPr>
        <w:spacing w:after="0" w:line="240" w:lineRule="auto"/>
        <w:rPr>
          <w:rFonts w:ascii="Arial" w:hAnsi="Arial" w:cs="Arial"/>
        </w:rPr>
      </w:pPr>
      <w:r w:rsidRPr="00BE75BC">
        <w:rPr>
          <w:rFonts w:ascii="Arial" w:hAnsi="Arial" w:cs="Arial"/>
        </w:rPr>
        <w:t>Évacuation d’urgence</w:t>
      </w:r>
    </w:p>
    <w:p w14:paraId="19CC91FD" w14:textId="77777777" w:rsidR="00547D64" w:rsidRPr="00BE75BC" w:rsidRDefault="00547D64" w:rsidP="00547D64">
      <w:pPr>
        <w:pStyle w:val="Paragraphedeliste"/>
        <w:spacing w:after="0" w:line="240" w:lineRule="auto"/>
        <w:rPr>
          <w:rFonts w:ascii="Arial" w:hAnsi="Arial" w:cs="Arial"/>
        </w:rPr>
      </w:pPr>
    </w:p>
    <w:p w14:paraId="58095980" w14:textId="77777777" w:rsidR="00547D64" w:rsidRPr="00BE75BC" w:rsidRDefault="00547D64" w:rsidP="00547D64">
      <w:pPr>
        <w:spacing w:line="240" w:lineRule="auto"/>
        <w:jc w:val="both"/>
        <w:rPr>
          <w:rFonts w:ascii="Arial" w:eastAsia="Arial" w:hAnsi="Arial"/>
        </w:rPr>
      </w:pPr>
      <w:r w:rsidRPr="00BE75BC">
        <w:rPr>
          <w:rFonts w:ascii="Arial" w:eastAsia="Arial" w:hAnsi="Arial"/>
        </w:rPr>
        <w:t>Le plan d‘intervention d’urgence doit être révisé au moins une fois par an, et dès que des lacunes sont détectées. Par ailleurs un exercice général annuel permettra de conserver un haut niveau de compétence. La formation sera dispensée à deux publics différents, à savoir les employés du site et les visiteurs</w:t>
      </w:r>
    </w:p>
    <w:p w14:paraId="79BB778B" w14:textId="77777777" w:rsidR="00547D64" w:rsidRPr="00BE75BC" w:rsidRDefault="00547D64" w:rsidP="0044500E">
      <w:pPr>
        <w:pStyle w:val="Paragraphedeliste"/>
        <w:numPr>
          <w:ilvl w:val="1"/>
          <w:numId w:val="202"/>
        </w:numPr>
        <w:tabs>
          <w:tab w:val="left" w:pos="993"/>
        </w:tabs>
        <w:spacing w:line="0" w:lineRule="atLeast"/>
        <w:rPr>
          <w:rFonts w:ascii="Arial" w:eastAsia="Arial" w:hAnsi="Arial"/>
          <w:b/>
        </w:rPr>
      </w:pPr>
      <w:r w:rsidRPr="00BE75BC">
        <w:rPr>
          <w:rFonts w:ascii="Arial" w:eastAsia="Arial" w:hAnsi="Arial"/>
          <w:b/>
        </w:rPr>
        <w:t>Formation des employés</w:t>
      </w:r>
    </w:p>
    <w:p w14:paraId="27E5FF11" w14:textId="77777777" w:rsidR="00547D64" w:rsidRDefault="00547D64" w:rsidP="00547D64">
      <w:pPr>
        <w:spacing w:line="240" w:lineRule="auto"/>
        <w:jc w:val="both"/>
        <w:rPr>
          <w:rFonts w:ascii="Arial" w:eastAsia="Arial" w:hAnsi="Arial"/>
        </w:rPr>
      </w:pPr>
      <w:r>
        <w:rPr>
          <w:rFonts w:ascii="Arial" w:eastAsia="Arial" w:hAnsi="Arial"/>
        </w:rPr>
        <w:t>Tous les employés devront être formés par le personnel compétent au plan d’urgence avant toute intervention sur le chantier, ceci afin de garantir une évacuation d’urgence sécuritaire et ordonnée. Les formations auront lieu en groupe et devront être dispensées à tout nouvel arrivant. Un rapport reprenant les points suivants devra être rédigé préalablement à chaque formation :</w:t>
      </w:r>
    </w:p>
    <w:p w14:paraId="3D76F47C" w14:textId="77777777" w:rsidR="00547D64" w:rsidRPr="00BE75BC" w:rsidRDefault="00625E09" w:rsidP="0044500E">
      <w:pPr>
        <w:pStyle w:val="Paragraphedeliste"/>
        <w:numPr>
          <w:ilvl w:val="0"/>
          <w:numId w:val="203"/>
        </w:numPr>
        <w:spacing w:after="0" w:line="240" w:lineRule="auto"/>
        <w:rPr>
          <w:rFonts w:ascii="Arial" w:hAnsi="Arial" w:cs="Arial"/>
        </w:rPr>
      </w:pPr>
      <w:r>
        <w:rPr>
          <w:rFonts w:ascii="Arial" w:hAnsi="Arial" w:cs="Arial"/>
        </w:rPr>
        <w:t>N</w:t>
      </w:r>
      <w:r w:rsidR="00547D64" w:rsidRPr="00BE75BC">
        <w:rPr>
          <w:rFonts w:ascii="Arial" w:hAnsi="Arial" w:cs="Arial"/>
        </w:rPr>
        <w:t>om(s) de la ou des personne(s) formée(s) avec leur signature ;</w:t>
      </w:r>
    </w:p>
    <w:p w14:paraId="178E1390" w14:textId="77777777" w:rsidR="00547D64" w:rsidRPr="00BE75BC" w:rsidRDefault="00625E09" w:rsidP="0044500E">
      <w:pPr>
        <w:pStyle w:val="Paragraphedeliste"/>
        <w:numPr>
          <w:ilvl w:val="0"/>
          <w:numId w:val="203"/>
        </w:numPr>
        <w:spacing w:after="0" w:line="240" w:lineRule="auto"/>
        <w:rPr>
          <w:rFonts w:ascii="Arial" w:hAnsi="Arial" w:cs="Arial"/>
        </w:rPr>
      </w:pPr>
      <w:r>
        <w:rPr>
          <w:rFonts w:ascii="Arial" w:hAnsi="Arial" w:cs="Arial"/>
        </w:rPr>
        <w:t>D</w:t>
      </w:r>
      <w:r w:rsidR="00547D64" w:rsidRPr="00BE75BC">
        <w:rPr>
          <w:rFonts w:ascii="Arial" w:hAnsi="Arial" w:cs="Arial"/>
        </w:rPr>
        <w:t>ate, durée et lieu de la formation ;</w:t>
      </w:r>
    </w:p>
    <w:p w14:paraId="40913EF9" w14:textId="77777777" w:rsidR="00547D64" w:rsidRPr="00BE75BC" w:rsidRDefault="00625E09" w:rsidP="0044500E">
      <w:pPr>
        <w:pStyle w:val="Paragraphedeliste"/>
        <w:numPr>
          <w:ilvl w:val="0"/>
          <w:numId w:val="203"/>
        </w:numPr>
        <w:spacing w:after="0" w:line="240" w:lineRule="auto"/>
        <w:rPr>
          <w:rFonts w:ascii="Arial" w:hAnsi="Arial" w:cs="Arial"/>
        </w:rPr>
      </w:pPr>
      <w:r>
        <w:rPr>
          <w:rFonts w:ascii="Arial" w:hAnsi="Arial" w:cs="Arial"/>
        </w:rPr>
        <w:t>T</w:t>
      </w:r>
      <w:r w:rsidR="00547D64" w:rsidRPr="00BE75BC">
        <w:rPr>
          <w:rFonts w:ascii="Arial" w:hAnsi="Arial" w:cs="Arial"/>
        </w:rPr>
        <w:t>ype de formation (incendie, premier secours, etc.…).</w:t>
      </w:r>
    </w:p>
    <w:p w14:paraId="1F29B11F" w14:textId="77777777" w:rsidR="00547D64" w:rsidRDefault="00547D64" w:rsidP="00547D64">
      <w:pPr>
        <w:spacing w:line="236" w:lineRule="auto"/>
        <w:ind w:right="20"/>
        <w:jc w:val="both"/>
        <w:rPr>
          <w:rFonts w:ascii="Arial" w:eastAsia="Arial" w:hAnsi="Arial"/>
        </w:rPr>
      </w:pPr>
    </w:p>
    <w:p w14:paraId="1D7CC3DC" w14:textId="77777777" w:rsidR="00547D64" w:rsidRDefault="00547D64" w:rsidP="00547D64">
      <w:pPr>
        <w:spacing w:line="236" w:lineRule="auto"/>
        <w:ind w:right="20"/>
        <w:jc w:val="both"/>
        <w:rPr>
          <w:rFonts w:ascii="Arial" w:eastAsia="Arial" w:hAnsi="Arial"/>
        </w:rPr>
      </w:pPr>
      <w:r>
        <w:rPr>
          <w:rFonts w:ascii="Arial" w:eastAsia="Arial" w:hAnsi="Arial"/>
        </w:rPr>
        <w:t>Le responsable HSE veillera à ce que toute personne amenée à travailler sur le site soit initiée au guide de sécurité et aux plans d’intervention et de réponse aux situations d’urgence. Le personnel non formé ne sera pas admis à travailler sur le site.</w:t>
      </w:r>
    </w:p>
    <w:p w14:paraId="5672A158" w14:textId="77777777" w:rsidR="00547D64" w:rsidRDefault="00547D64" w:rsidP="00547D64">
      <w:pPr>
        <w:spacing w:line="236" w:lineRule="auto"/>
        <w:ind w:right="20"/>
        <w:jc w:val="both"/>
        <w:rPr>
          <w:rFonts w:ascii="Arial" w:eastAsia="Arial" w:hAnsi="Arial"/>
        </w:rPr>
      </w:pPr>
      <w:r>
        <w:rPr>
          <w:rFonts w:ascii="Arial" w:eastAsia="Arial" w:hAnsi="Arial"/>
        </w:rPr>
        <w:t>Les consignes d’application relatives à une situation d’urgence seront rappelées pendant les réunions de chantier, et la vérification de leur mise en œuvre effective sera garantie par le responsable HSE. Celui-ci aura également pour mission de s’assurer que :</w:t>
      </w:r>
    </w:p>
    <w:p w14:paraId="06A47F52" w14:textId="77777777" w:rsidR="00547D64" w:rsidRPr="00BE75BC" w:rsidRDefault="00547D64" w:rsidP="0044500E">
      <w:pPr>
        <w:pStyle w:val="Paragraphedeliste"/>
        <w:numPr>
          <w:ilvl w:val="0"/>
          <w:numId w:val="203"/>
        </w:numPr>
        <w:spacing w:after="0" w:line="240" w:lineRule="auto"/>
        <w:jc w:val="both"/>
        <w:rPr>
          <w:rFonts w:ascii="Arial" w:hAnsi="Arial" w:cs="Arial"/>
        </w:rPr>
      </w:pPr>
      <w:r w:rsidRPr="00BE75BC">
        <w:rPr>
          <w:rFonts w:ascii="Arial" w:hAnsi="Arial" w:cs="Arial"/>
        </w:rPr>
        <w:t>Un nombre suffisant de travailleurs sont formés par un institut agréé pour fournir les premiers secours.</w:t>
      </w:r>
    </w:p>
    <w:p w14:paraId="6FB511CD" w14:textId="77777777" w:rsidR="00547D64" w:rsidRPr="00BE75BC" w:rsidRDefault="00547D64" w:rsidP="0044500E">
      <w:pPr>
        <w:pStyle w:val="Paragraphedeliste"/>
        <w:numPr>
          <w:ilvl w:val="0"/>
          <w:numId w:val="203"/>
        </w:numPr>
        <w:spacing w:after="0" w:line="240" w:lineRule="auto"/>
        <w:jc w:val="both"/>
        <w:rPr>
          <w:rFonts w:ascii="Arial" w:hAnsi="Arial" w:cs="Arial"/>
        </w:rPr>
      </w:pPr>
      <w:r w:rsidRPr="00BE75BC">
        <w:rPr>
          <w:rFonts w:ascii="Arial" w:hAnsi="Arial" w:cs="Arial"/>
        </w:rPr>
        <w:t>Les travailleurs sont informés des dangers encourus et sont en capacité d’y répondre.</w:t>
      </w:r>
    </w:p>
    <w:p w14:paraId="1078DB57" w14:textId="77777777" w:rsidR="00547D64" w:rsidRPr="00BE75BC" w:rsidRDefault="00547D64" w:rsidP="0044500E">
      <w:pPr>
        <w:pStyle w:val="Paragraphedeliste"/>
        <w:numPr>
          <w:ilvl w:val="0"/>
          <w:numId w:val="203"/>
        </w:numPr>
        <w:spacing w:after="0" w:line="240" w:lineRule="auto"/>
        <w:jc w:val="both"/>
        <w:rPr>
          <w:rFonts w:ascii="Arial" w:hAnsi="Arial" w:cs="Arial"/>
        </w:rPr>
      </w:pPr>
      <w:r w:rsidRPr="00BE75BC">
        <w:rPr>
          <w:rFonts w:ascii="Arial" w:hAnsi="Arial" w:cs="Arial"/>
        </w:rPr>
        <w:t>Le personnel de travail est suffisamment qualifié et utilise convenablement les EPI.</w:t>
      </w:r>
    </w:p>
    <w:p w14:paraId="07834172" w14:textId="77777777" w:rsidR="00547D64" w:rsidRPr="00BE75BC" w:rsidRDefault="00547D64" w:rsidP="0044500E">
      <w:pPr>
        <w:pStyle w:val="Paragraphedeliste"/>
        <w:numPr>
          <w:ilvl w:val="0"/>
          <w:numId w:val="203"/>
        </w:numPr>
        <w:spacing w:after="0" w:line="240" w:lineRule="auto"/>
        <w:jc w:val="both"/>
        <w:rPr>
          <w:rFonts w:ascii="Arial" w:hAnsi="Arial" w:cs="Arial"/>
        </w:rPr>
      </w:pPr>
      <w:r w:rsidRPr="00BE75BC">
        <w:rPr>
          <w:rFonts w:ascii="Arial" w:hAnsi="Arial" w:cs="Arial"/>
        </w:rPr>
        <w:t>Les activités sont conformes à la législation et aux normes en vigueur relatives à la santé et à la sécurité au travail.</w:t>
      </w:r>
    </w:p>
    <w:p w14:paraId="517265AA" w14:textId="77777777" w:rsidR="00547D64" w:rsidRDefault="00547D64" w:rsidP="0044500E">
      <w:pPr>
        <w:pStyle w:val="Paragraphedeliste"/>
        <w:numPr>
          <w:ilvl w:val="0"/>
          <w:numId w:val="203"/>
        </w:numPr>
        <w:spacing w:after="0" w:line="240" w:lineRule="auto"/>
        <w:jc w:val="both"/>
        <w:rPr>
          <w:rFonts w:ascii="Arial" w:hAnsi="Arial" w:cs="Arial"/>
        </w:rPr>
      </w:pPr>
      <w:r w:rsidRPr="00BE75BC">
        <w:rPr>
          <w:rFonts w:ascii="Arial" w:hAnsi="Arial" w:cs="Arial"/>
        </w:rPr>
        <w:t>Les accidents de travail et ceux évités de justesse sont signalés régulièrement et traités en vue d’une action corrective et préventive.</w:t>
      </w:r>
    </w:p>
    <w:p w14:paraId="2CB30DE4" w14:textId="77777777" w:rsidR="00547D64" w:rsidRPr="00BE75BC" w:rsidRDefault="00547D64" w:rsidP="00547D64">
      <w:pPr>
        <w:pStyle w:val="Paragraphedeliste"/>
        <w:spacing w:after="0" w:line="240" w:lineRule="auto"/>
        <w:jc w:val="both"/>
        <w:rPr>
          <w:rFonts w:ascii="Arial" w:hAnsi="Arial" w:cs="Arial"/>
        </w:rPr>
      </w:pPr>
    </w:p>
    <w:p w14:paraId="6C28A337" w14:textId="77777777" w:rsidR="00547D64" w:rsidRPr="00BE75BC" w:rsidRDefault="00547D64" w:rsidP="0044500E">
      <w:pPr>
        <w:pStyle w:val="Paragraphedeliste"/>
        <w:numPr>
          <w:ilvl w:val="1"/>
          <w:numId w:val="202"/>
        </w:numPr>
        <w:tabs>
          <w:tab w:val="left" w:pos="993"/>
        </w:tabs>
        <w:spacing w:line="0" w:lineRule="atLeast"/>
        <w:rPr>
          <w:rFonts w:ascii="Arial" w:eastAsia="Arial" w:hAnsi="Arial"/>
          <w:b/>
        </w:rPr>
      </w:pPr>
      <w:r w:rsidRPr="00BE75BC">
        <w:rPr>
          <w:rFonts w:ascii="Arial" w:eastAsia="Arial" w:hAnsi="Arial"/>
          <w:b/>
        </w:rPr>
        <w:t>Formation des visiteurs</w:t>
      </w:r>
    </w:p>
    <w:p w14:paraId="6E0A6871" w14:textId="77777777" w:rsidR="00547D64" w:rsidRDefault="00547D64" w:rsidP="00547D64">
      <w:pPr>
        <w:spacing w:line="236" w:lineRule="auto"/>
        <w:ind w:right="20"/>
        <w:jc w:val="both"/>
        <w:rPr>
          <w:rFonts w:ascii="Arial" w:eastAsia="Arial" w:hAnsi="Arial"/>
        </w:rPr>
      </w:pPr>
      <w:r>
        <w:rPr>
          <w:rFonts w:ascii="Arial" w:eastAsia="Arial" w:hAnsi="Arial"/>
        </w:rPr>
        <w:t>Avant leur arrivée sur le site, les visiteurs doivent informer le responsable HSE de :</w:t>
      </w:r>
    </w:p>
    <w:p w14:paraId="2055B3CF" w14:textId="77777777" w:rsidR="00547D64" w:rsidRPr="00BE75BC" w:rsidRDefault="00547D64" w:rsidP="0044500E">
      <w:pPr>
        <w:pStyle w:val="Paragraphedeliste"/>
        <w:numPr>
          <w:ilvl w:val="0"/>
          <w:numId w:val="203"/>
        </w:numPr>
        <w:spacing w:after="0" w:line="240" w:lineRule="auto"/>
        <w:jc w:val="both"/>
        <w:rPr>
          <w:rFonts w:ascii="Arial" w:hAnsi="Arial" w:cs="Arial"/>
        </w:rPr>
      </w:pPr>
      <w:r w:rsidRPr="00BE75BC">
        <w:rPr>
          <w:rFonts w:ascii="Arial" w:hAnsi="Arial" w:cs="Arial"/>
        </w:rPr>
        <w:t>Leur nom ainsi que celui de leur entreprise.</w:t>
      </w:r>
    </w:p>
    <w:p w14:paraId="12DFD050" w14:textId="77777777" w:rsidR="00547D64" w:rsidRPr="00BE75BC" w:rsidRDefault="00547D64" w:rsidP="0044500E">
      <w:pPr>
        <w:pStyle w:val="Paragraphedeliste"/>
        <w:numPr>
          <w:ilvl w:val="0"/>
          <w:numId w:val="203"/>
        </w:numPr>
        <w:spacing w:after="0" w:line="240" w:lineRule="auto"/>
        <w:jc w:val="both"/>
        <w:rPr>
          <w:rFonts w:ascii="Arial" w:hAnsi="Arial" w:cs="Arial"/>
        </w:rPr>
      </w:pPr>
      <w:r w:rsidRPr="00BE75BC">
        <w:rPr>
          <w:rFonts w:ascii="Arial" w:hAnsi="Arial" w:cs="Arial"/>
        </w:rPr>
        <w:t>La nature de leur visite.</w:t>
      </w:r>
    </w:p>
    <w:p w14:paraId="2F4744CF" w14:textId="77777777" w:rsidR="00547D64" w:rsidRPr="00BE75BC" w:rsidRDefault="00547D64" w:rsidP="0044500E">
      <w:pPr>
        <w:pStyle w:val="Paragraphedeliste"/>
        <w:numPr>
          <w:ilvl w:val="0"/>
          <w:numId w:val="203"/>
        </w:numPr>
        <w:spacing w:after="0" w:line="240" w:lineRule="auto"/>
        <w:jc w:val="both"/>
        <w:rPr>
          <w:rFonts w:ascii="Arial" w:hAnsi="Arial" w:cs="Arial"/>
        </w:rPr>
      </w:pPr>
      <w:r w:rsidRPr="00BE75BC">
        <w:rPr>
          <w:rFonts w:ascii="Arial" w:hAnsi="Arial" w:cs="Arial"/>
        </w:rPr>
        <w:t>L’accès au site sera contrôlé. Les visiteurs seront tenus de laisser leur véhicule en dehors du site sauf autorisation valide (réception de matériel par exemple) et de suivre les instructions relatives au contrôle de sécurité.</w:t>
      </w:r>
    </w:p>
    <w:p w14:paraId="5C27986F" w14:textId="77777777" w:rsidR="00547D64" w:rsidRPr="00BE75BC" w:rsidRDefault="00547D64" w:rsidP="0044500E">
      <w:pPr>
        <w:pStyle w:val="Paragraphedeliste"/>
        <w:numPr>
          <w:ilvl w:val="0"/>
          <w:numId w:val="203"/>
        </w:numPr>
        <w:spacing w:after="0" w:line="240" w:lineRule="auto"/>
        <w:jc w:val="both"/>
        <w:rPr>
          <w:rFonts w:ascii="Arial" w:hAnsi="Arial" w:cs="Arial"/>
        </w:rPr>
      </w:pPr>
      <w:r w:rsidRPr="00BE75BC">
        <w:rPr>
          <w:rFonts w:ascii="Arial" w:hAnsi="Arial" w:cs="Arial"/>
        </w:rPr>
        <w:t>Sur site, le port des EPI sera obligatoire (casque, chaussures de sécurité, gilet haute visibilité a minima) et les visiteurs ne pourront y accéder sans être accompagnés de personnes compétentes. A noter que l’accès aux zones réglementées sera strictement interdit aux visiteurs.</w:t>
      </w:r>
    </w:p>
    <w:p w14:paraId="760FAEFD" w14:textId="77777777" w:rsidR="00547D64" w:rsidRPr="00BE75BC" w:rsidRDefault="00547D64" w:rsidP="0044500E">
      <w:pPr>
        <w:pStyle w:val="Paragraphedeliste"/>
        <w:numPr>
          <w:ilvl w:val="0"/>
          <w:numId w:val="203"/>
        </w:numPr>
        <w:spacing w:after="0" w:line="240" w:lineRule="auto"/>
        <w:jc w:val="both"/>
        <w:rPr>
          <w:rFonts w:ascii="Arial" w:hAnsi="Arial" w:cs="Arial"/>
        </w:rPr>
      </w:pPr>
      <w:r w:rsidRPr="00BE75BC">
        <w:rPr>
          <w:rFonts w:ascii="Arial" w:hAnsi="Arial" w:cs="Arial"/>
        </w:rPr>
        <w:t>La transmission de l’information relève des compétences du responsable HSE, qui se doit de vérifier que les procédures d’urgence ont bien été assimilées par les visiteurs. Le plan d’urgence sera transmis en avance pour permettre aux visiteurs d’en prendre connaissance préalablement à leur visite.</w:t>
      </w:r>
    </w:p>
    <w:p w14:paraId="52B929DA" w14:textId="77777777" w:rsidR="00547D64" w:rsidRPr="00BE75BC" w:rsidRDefault="00547D64" w:rsidP="00547D64">
      <w:pPr>
        <w:pStyle w:val="Paragraphedeliste"/>
        <w:spacing w:after="0" w:line="240" w:lineRule="auto"/>
        <w:rPr>
          <w:rFonts w:ascii="Arial" w:hAnsi="Arial" w:cs="Arial"/>
        </w:rPr>
      </w:pPr>
    </w:p>
    <w:p w14:paraId="24877979" w14:textId="77777777" w:rsidR="00547D64" w:rsidRPr="00910251" w:rsidRDefault="00547D64" w:rsidP="0044500E">
      <w:pPr>
        <w:pStyle w:val="Paragraphedeliste"/>
        <w:numPr>
          <w:ilvl w:val="0"/>
          <w:numId w:val="202"/>
        </w:numPr>
        <w:spacing w:before="120" w:after="240" w:line="240" w:lineRule="auto"/>
        <w:ind w:left="714" w:hanging="357"/>
        <w:jc w:val="both"/>
        <w:rPr>
          <w:rFonts w:ascii="Arial" w:hAnsi="Arial" w:cs="Arial"/>
          <w:b/>
          <w:bCs/>
          <w:sz w:val="24"/>
          <w:u w:val="single"/>
        </w:rPr>
      </w:pPr>
      <w:r w:rsidRPr="00910251">
        <w:rPr>
          <w:rFonts w:ascii="Arial" w:hAnsi="Arial" w:cs="Arial"/>
          <w:b/>
          <w:bCs/>
          <w:sz w:val="24"/>
          <w:u w:val="single"/>
        </w:rPr>
        <w:t>Modes de communication</w:t>
      </w:r>
    </w:p>
    <w:p w14:paraId="7C4BD24C" w14:textId="77777777" w:rsidR="00547D64" w:rsidRDefault="00547D64" w:rsidP="00547D64">
      <w:pPr>
        <w:spacing w:line="236" w:lineRule="auto"/>
        <w:ind w:right="20"/>
        <w:jc w:val="both"/>
        <w:rPr>
          <w:rFonts w:ascii="Arial" w:eastAsia="Arial" w:hAnsi="Arial"/>
        </w:rPr>
      </w:pPr>
      <w:r>
        <w:rPr>
          <w:rFonts w:ascii="Arial" w:eastAsia="Arial" w:hAnsi="Arial"/>
        </w:rPr>
        <w:t>La résolution des situations d’urgence doit répondre à des besoins exceptionnels de rapidité, d’exactitude et d’efficacité. Le Projet mettra ainsi à disposition des employés du site différents systèmes de communication (par exemple, radio, téléphones portables etc.) pour assurer que chaque employé puisse être alerté en cas de situation d’urgence.</w:t>
      </w:r>
    </w:p>
    <w:p w14:paraId="03CFA86C" w14:textId="77777777" w:rsidR="00547D64" w:rsidRDefault="00547D64" w:rsidP="00547D64">
      <w:pPr>
        <w:spacing w:line="236" w:lineRule="auto"/>
        <w:ind w:right="20"/>
        <w:jc w:val="both"/>
        <w:rPr>
          <w:rFonts w:ascii="Arial" w:eastAsia="Arial" w:hAnsi="Arial"/>
        </w:rPr>
      </w:pPr>
      <w:r>
        <w:rPr>
          <w:rFonts w:ascii="Arial" w:eastAsia="Arial" w:hAnsi="Arial"/>
        </w:rPr>
        <w:t>Les numéros des différents responsables et services d’urgence devront être à jour et les noms disponibles dans les différentes langues parlées sur le site (arabe, anglais, français). Tous les 6 mois minimum, il sera nécessaire de tester l’efficacité de la procédure d’alarme de sécurité, notamment par une mise à l’essai.</w:t>
      </w:r>
    </w:p>
    <w:p w14:paraId="507CDF9F" w14:textId="77777777" w:rsidR="00547D64" w:rsidRDefault="00547D64" w:rsidP="00547D64">
      <w:pPr>
        <w:spacing w:line="236" w:lineRule="auto"/>
        <w:ind w:right="20"/>
        <w:jc w:val="both"/>
        <w:rPr>
          <w:rFonts w:ascii="Arial" w:eastAsia="Arial" w:hAnsi="Arial"/>
        </w:rPr>
      </w:pPr>
      <w:r>
        <w:rPr>
          <w:rFonts w:ascii="Arial" w:eastAsia="Arial" w:hAnsi="Arial"/>
        </w:rPr>
        <w:t>Un plan du site sera également mis à disposition, incluant au minimum les points suivants :</w:t>
      </w:r>
    </w:p>
    <w:p w14:paraId="619BACED" w14:textId="77777777" w:rsidR="00547D64" w:rsidRPr="00BE75BC" w:rsidRDefault="00547D64" w:rsidP="0044500E">
      <w:pPr>
        <w:pStyle w:val="Paragraphedeliste"/>
        <w:numPr>
          <w:ilvl w:val="0"/>
          <w:numId w:val="203"/>
        </w:numPr>
        <w:spacing w:after="0" w:line="240" w:lineRule="auto"/>
        <w:jc w:val="both"/>
        <w:rPr>
          <w:rFonts w:ascii="Arial" w:hAnsi="Arial" w:cs="Arial"/>
        </w:rPr>
      </w:pPr>
      <w:r w:rsidRPr="00BE75BC">
        <w:rPr>
          <w:rFonts w:ascii="Arial" w:hAnsi="Arial" w:cs="Arial"/>
        </w:rPr>
        <w:t>Sélection d’un point de rassemblement.</w:t>
      </w:r>
    </w:p>
    <w:p w14:paraId="2C45FBF5" w14:textId="77777777" w:rsidR="00547D64" w:rsidRDefault="00547D64" w:rsidP="0044500E">
      <w:pPr>
        <w:pStyle w:val="Paragraphedeliste"/>
        <w:numPr>
          <w:ilvl w:val="0"/>
          <w:numId w:val="203"/>
        </w:numPr>
        <w:spacing w:after="0" w:line="240" w:lineRule="auto"/>
        <w:jc w:val="both"/>
        <w:rPr>
          <w:rFonts w:ascii="Arial" w:hAnsi="Arial" w:cs="Arial"/>
        </w:rPr>
      </w:pPr>
      <w:r w:rsidRPr="00BE75BC">
        <w:rPr>
          <w:rFonts w:ascii="Arial" w:hAnsi="Arial" w:cs="Arial"/>
        </w:rPr>
        <w:t>Pièce allouée dans les locaux pour la gestion de crise.</w:t>
      </w:r>
    </w:p>
    <w:p w14:paraId="13DFA326" w14:textId="77777777" w:rsidR="00547D64" w:rsidRPr="00BE75BC" w:rsidRDefault="00547D64" w:rsidP="0044500E">
      <w:pPr>
        <w:pStyle w:val="Paragraphedeliste"/>
        <w:numPr>
          <w:ilvl w:val="0"/>
          <w:numId w:val="203"/>
        </w:numPr>
        <w:spacing w:after="0" w:line="240" w:lineRule="auto"/>
        <w:jc w:val="both"/>
        <w:rPr>
          <w:rFonts w:ascii="Arial" w:hAnsi="Arial" w:cs="Arial"/>
        </w:rPr>
      </w:pPr>
      <w:r w:rsidRPr="00BE75BC">
        <w:rPr>
          <w:rFonts w:ascii="Arial" w:hAnsi="Arial" w:cs="Arial"/>
        </w:rPr>
        <w:t>Alarme sonore et lumineuse.</w:t>
      </w:r>
    </w:p>
    <w:p w14:paraId="0582A4AD" w14:textId="77777777" w:rsidR="00547D64" w:rsidRPr="00BE75BC" w:rsidRDefault="00547D64" w:rsidP="0044500E">
      <w:pPr>
        <w:pStyle w:val="Paragraphedeliste"/>
        <w:numPr>
          <w:ilvl w:val="0"/>
          <w:numId w:val="203"/>
        </w:numPr>
        <w:spacing w:after="0" w:line="240" w:lineRule="auto"/>
        <w:jc w:val="both"/>
        <w:rPr>
          <w:rFonts w:ascii="Arial" w:hAnsi="Arial" w:cs="Arial"/>
        </w:rPr>
      </w:pPr>
      <w:r w:rsidRPr="00BE75BC">
        <w:rPr>
          <w:rFonts w:ascii="Arial" w:hAnsi="Arial" w:cs="Arial"/>
        </w:rPr>
        <w:t>Une liste disponible dans toutes les langues des numéros de téléphone des autorités compétentes (police, pompiers, forces armées, ambulances, hôpital le plus proche etc.).</w:t>
      </w:r>
    </w:p>
    <w:p w14:paraId="7FF43957" w14:textId="77777777" w:rsidR="00547D64" w:rsidRPr="00BE75BC" w:rsidRDefault="00547D64" w:rsidP="0044500E">
      <w:pPr>
        <w:pStyle w:val="Paragraphedeliste"/>
        <w:numPr>
          <w:ilvl w:val="0"/>
          <w:numId w:val="203"/>
        </w:numPr>
        <w:spacing w:after="0" w:line="240" w:lineRule="auto"/>
        <w:jc w:val="both"/>
        <w:rPr>
          <w:rFonts w:ascii="Arial" w:hAnsi="Arial" w:cs="Arial"/>
        </w:rPr>
      </w:pPr>
      <w:r w:rsidRPr="00BE75BC">
        <w:rPr>
          <w:rFonts w:ascii="Arial" w:hAnsi="Arial" w:cs="Arial"/>
        </w:rPr>
        <w:t>Des équipements d’extinction des feux (extincteurs en nombre suffisant).</w:t>
      </w:r>
    </w:p>
    <w:p w14:paraId="5748BD29" w14:textId="77777777" w:rsidR="00547D64" w:rsidRPr="00BE75BC" w:rsidRDefault="00547D64" w:rsidP="0044500E">
      <w:pPr>
        <w:pStyle w:val="Paragraphedeliste"/>
        <w:numPr>
          <w:ilvl w:val="0"/>
          <w:numId w:val="203"/>
        </w:numPr>
        <w:spacing w:after="0" w:line="240" w:lineRule="auto"/>
        <w:jc w:val="both"/>
        <w:rPr>
          <w:rFonts w:ascii="Arial" w:hAnsi="Arial" w:cs="Arial"/>
        </w:rPr>
      </w:pPr>
      <w:r w:rsidRPr="00BE75BC">
        <w:rPr>
          <w:rFonts w:ascii="Arial" w:hAnsi="Arial" w:cs="Arial"/>
        </w:rPr>
        <w:t>Une liste des sauveteurs secouristes présents sur le chantier.</w:t>
      </w:r>
    </w:p>
    <w:p w14:paraId="1C8D9FCB" w14:textId="77777777" w:rsidR="00547D64" w:rsidRPr="00BE75BC" w:rsidRDefault="00547D64" w:rsidP="0044500E">
      <w:pPr>
        <w:pStyle w:val="Paragraphedeliste"/>
        <w:numPr>
          <w:ilvl w:val="0"/>
          <w:numId w:val="203"/>
        </w:numPr>
        <w:spacing w:after="0" w:line="240" w:lineRule="auto"/>
        <w:jc w:val="both"/>
        <w:rPr>
          <w:rFonts w:ascii="Arial" w:hAnsi="Arial" w:cs="Arial"/>
        </w:rPr>
      </w:pPr>
      <w:r w:rsidRPr="00BE75BC">
        <w:rPr>
          <w:rFonts w:ascii="Arial" w:hAnsi="Arial" w:cs="Arial"/>
        </w:rPr>
        <w:t>Un poste de secours doté d’équipements de soin</w:t>
      </w:r>
    </w:p>
    <w:p w14:paraId="0037F6AE" w14:textId="77777777" w:rsidR="00547D64" w:rsidRPr="00BE75BC" w:rsidRDefault="00547D64" w:rsidP="0044500E">
      <w:pPr>
        <w:pStyle w:val="Paragraphedeliste"/>
        <w:numPr>
          <w:ilvl w:val="0"/>
          <w:numId w:val="203"/>
        </w:numPr>
        <w:spacing w:after="0" w:line="240" w:lineRule="auto"/>
        <w:jc w:val="both"/>
        <w:rPr>
          <w:rFonts w:ascii="Arial" w:hAnsi="Arial" w:cs="Arial"/>
        </w:rPr>
      </w:pPr>
      <w:r w:rsidRPr="00BE75BC">
        <w:rPr>
          <w:rFonts w:ascii="Arial" w:hAnsi="Arial" w:cs="Arial"/>
        </w:rPr>
        <w:t>Un registre des accidents.</w:t>
      </w:r>
    </w:p>
    <w:p w14:paraId="7DFF3312" w14:textId="77777777" w:rsidR="00547D64" w:rsidRDefault="00547D64" w:rsidP="00547D64">
      <w:pPr>
        <w:spacing w:line="210" w:lineRule="exact"/>
        <w:rPr>
          <w:rFonts w:ascii="Times New Roman" w:eastAsia="Times New Roman" w:hAnsi="Times New Roman"/>
        </w:rPr>
      </w:pPr>
    </w:p>
    <w:p w14:paraId="42572CC8" w14:textId="77777777" w:rsidR="00547D64" w:rsidRDefault="00547D64" w:rsidP="00547D64">
      <w:pPr>
        <w:spacing w:line="236" w:lineRule="auto"/>
        <w:ind w:right="20"/>
        <w:jc w:val="both"/>
        <w:rPr>
          <w:rFonts w:ascii="Arial" w:eastAsia="Arial" w:hAnsi="Arial"/>
        </w:rPr>
      </w:pPr>
      <w:r>
        <w:rPr>
          <w:rFonts w:ascii="Arial" w:eastAsia="Arial" w:hAnsi="Arial"/>
        </w:rPr>
        <w:t>Ces éléments seront déterminants pour une bonne compréhension du site et des dispositifs de sécurité.</w:t>
      </w:r>
    </w:p>
    <w:p w14:paraId="255DC475" w14:textId="77777777" w:rsidR="00547D64" w:rsidRPr="00910251" w:rsidRDefault="00547D64" w:rsidP="0044500E">
      <w:pPr>
        <w:pStyle w:val="Paragraphedeliste"/>
        <w:numPr>
          <w:ilvl w:val="0"/>
          <w:numId w:val="202"/>
        </w:numPr>
        <w:spacing w:before="120" w:after="240" w:line="240" w:lineRule="auto"/>
        <w:ind w:left="714" w:hanging="357"/>
        <w:jc w:val="both"/>
        <w:rPr>
          <w:rFonts w:ascii="Arial" w:hAnsi="Arial" w:cs="Arial"/>
          <w:b/>
          <w:bCs/>
          <w:sz w:val="24"/>
          <w:u w:val="single"/>
        </w:rPr>
      </w:pPr>
      <w:r w:rsidRPr="00910251">
        <w:rPr>
          <w:rFonts w:ascii="Arial" w:hAnsi="Arial" w:cs="Arial"/>
          <w:b/>
          <w:bCs/>
          <w:sz w:val="24"/>
          <w:u w:val="single"/>
        </w:rPr>
        <w:t>Plan d’intervention en situation d’urgence</w:t>
      </w:r>
    </w:p>
    <w:p w14:paraId="19468124" w14:textId="77777777" w:rsidR="00547D64" w:rsidRDefault="00547D64" w:rsidP="00547D64">
      <w:pPr>
        <w:spacing w:line="318" w:lineRule="exact"/>
        <w:rPr>
          <w:rFonts w:ascii="Times New Roman" w:eastAsia="Times New Roman" w:hAnsi="Times New Roman"/>
        </w:rPr>
      </w:pPr>
    </w:p>
    <w:p w14:paraId="40D5043D" w14:textId="77777777" w:rsidR="00547D64" w:rsidRPr="00BE75BC" w:rsidRDefault="00547D64" w:rsidP="0044500E">
      <w:pPr>
        <w:pStyle w:val="Paragraphedeliste"/>
        <w:numPr>
          <w:ilvl w:val="1"/>
          <w:numId w:val="202"/>
        </w:numPr>
        <w:tabs>
          <w:tab w:val="left" w:pos="993"/>
        </w:tabs>
        <w:spacing w:line="0" w:lineRule="atLeast"/>
        <w:rPr>
          <w:rFonts w:ascii="Arial" w:eastAsia="Arial" w:hAnsi="Arial"/>
          <w:b/>
        </w:rPr>
      </w:pPr>
      <w:r w:rsidRPr="00BE75BC">
        <w:rPr>
          <w:rFonts w:ascii="Arial" w:eastAsia="Arial" w:hAnsi="Arial"/>
          <w:b/>
        </w:rPr>
        <w:t>Procédure générale</w:t>
      </w:r>
    </w:p>
    <w:p w14:paraId="471080E9" w14:textId="77777777" w:rsidR="00547D64" w:rsidRDefault="00547D64" w:rsidP="00547D64">
      <w:pPr>
        <w:spacing w:line="236" w:lineRule="auto"/>
        <w:ind w:right="20"/>
        <w:jc w:val="both"/>
        <w:rPr>
          <w:rFonts w:ascii="Arial" w:eastAsia="Arial" w:hAnsi="Arial"/>
        </w:rPr>
      </w:pPr>
      <w:r>
        <w:rPr>
          <w:rFonts w:ascii="Arial" w:eastAsia="Arial" w:hAnsi="Arial"/>
        </w:rPr>
        <w:t>La démarche à adopter en situation d’urgence consiste à protéger en premier lieu les personnes ou l’environnement, à alerter les services d’intervention spécialisés ainsi que les responsables (en l’occurrence le responsable HSE) et enfin à intervenir et secourir lorsque cela est possible ou autrement laisser les équipes spécialisées agir.</w:t>
      </w:r>
    </w:p>
    <w:p w14:paraId="5F2E41EF" w14:textId="77777777" w:rsidR="00547D64" w:rsidRPr="00BE75BC" w:rsidRDefault="00547D64" w:rsidP="00547D64">
      <w:pPr>
        <w:spacing w:line="236" w:lineRule="auto"/>
        <w:ind w:right="20"/>
        <w:jc w:val="both"/>
        <w:rPr>
          <w:rFonts w:ascii="Arial" w:eastAsia="Arial" w:hAnsi="Arial"/>
        </w:rPr>
      </w:pPr>
      <w:r w:rsidRPr="00BE75BC">
        <w:rPr>
          <w:rFonts w:ascii="Arial" w:eastAsia="Arial" w:hAnsi="Arial"/>
        </w:rPr>
        <w:t>Au minimum, les points suivants devront être mis en œuvre :</w:t>
      </w:r>
    </w:p>
    <w:p w14:paraId="0CA45F1F" w14:textId="77777777" w:rsidR="00547D64" w:rsidRPr="00BE75BC" w:rsidRDefault="00A1502C" w:rsidP="0044500E">
      <w:pPr>
        <w:pStyle w:val="Paragraphedeliste"/>
        <w:numPr>
          <w:ilvl w:val="0"/>
          <w:numId w:val="203"/>
        </w:numPr>
        <w:spacing w:after="0" w:line="240" w:lineRule="auto"/>
        <w:jc w:val="both"/>
        <w:rPr>
          <w:rFonts w:ascii="Arial" w:hAnsi="Arial" w:cs="Arial"/>
        </w:rPr>
      </w:pPr>
      <w:r>
        <w:rPr>
          <w:rFonts w:ascii="Arial" w:hAnsi="Arial" w:cs="Arial"/>
        </w:rPr>
        <w:t>S</w:t>
      </w:r>
      <w:r w:rsidR="00547D64" w:rsidRPr="00BE75BC">
        <w:rPr>
          <w:rFonts w:ascii="Arial" w:hAnsi="Arial" w:cs="Arial"/>
        </w:rPr>
        <w:t>élection d’un point de rassemblement ;</w:t>
      </w:r>
    </w:p>
    <w:p w14:paraId="18E1CDF4" w14:textId="77777777" w:rsidR="00547D64" w:rsidRPr="00BE75BC" w:rsidRDefault="00A1502C" w:rsidP="0044500E">
      <w:pPr>
        <w:pStyle w:val="Paragraphedeliste"/>
        <w:numPr>
          <w:ilvl w:val="0"/>
          <w:numId w:val="203"/>
        </w:numPr>
        <w:spacing w:after="0" w:line="240" w:lineRule="auto"/>
        <w:jc w:val="both"/>
        <w:rPr>
          <w:rFonts w:ascii="Arial" w:hAnsi="Arial" w:cs="Arial"/>
        </w:rPr>
      </w:pPr>
      <w:r>
        <w:rPr>
          <w:rFonts w:ascii="Arial" w:hAnsi="Arial" w:cs="Arial"/>
        </w:rPr>
        <w:t>P</w:t>
      </w:r>
      <w:r w:rsidR="00547D64" w:rsidRPr="00BE75BC">
        <w:rPr>
          <w:rFonts w:ascii="Arial" w:hAnsi="Arial" w:cs="Arial"/>
        </w:rPr>
        <w:t>résence d’alarme sonore et lumineuse ;</w:t>
      </w:r>
    </w:p>
    <w:p w14:paraId="29A6CB21" w14:textId="77777777" w:rsidR="00547D64" w:rsidRPr="00BE75BC" w:rsidRDefault="00A1502C" w:rsidP="0044500E">
      <w:pPr>
        <w:pStyle w:val="Paragraphedeliste"/>
        <w:numPr>
          <w:ilvl w:val="0"/>
          <w:numId w:val="203"/>
        </w:numPr>
        <w:spacing w:after="0" w:line="240" w:lineRule="auto"/>
        <w:jc w:val="both"/>
        <w:rPr>
          <w:rFonts w:ascii="Arial" w:hAnsi="Arial" w:cs="Arial"/>
        </w:rPr>
      </w:pPr>
      <w:r>
        <w:rPr>
          <w:rFonts w:ascii="Arial" w:hAnsi="Arial" w:cs="Arial"/>
        </w:rPr>
        <w:t>P</w:t>
      </w:r>
      <w:r w:rsidR="00547D64" w:rsidRPr="00BE75BC">
        <w:rPr>
          <w:rFonts w:ascii="Arial" w:hAnsi="Arial" w:cs="Arial"/>
        </w:rPr>
        <w:t>ièce allouée dans les locaux pour la gestion de crise ;</w:t>
      </w:r>
    </w:p>
    <w:p w14:paraId="7ECB8162" w14:textId="77777777" w:rsidR="00547D64" w:rsidRPr="00BE75BC" w:rsidRDefault="00A1502C" w:rsidP="0044500E">
      <w:pPr>
        <w:pStyle w:val="Paragraphedeliste"/>
        <w:numPr>
          <w:ilvl w:val="0"/>
          <w:numId w:val="203"/>
        </w:numPr>
        <w:spacing w:after="0" w:line="240" w:lineRule="auto"/>
        <w:jc w:val="both"/>
        <w:rPr>
          <w:rFonts w:ascii="Arial" w:hAnsi="Arial" w:cs="Arial"/>
        </w:rPr>
      </w:pPr>
      <w:r>
        <w:rPr>
          <w:rFonts w:ascii="Arial" w:hAnsi="Arial" w:cs="Arial"/>
        </w:rPr>
        <w:t>P</w:t>
      </w:r>
      <w:r w:rsidR="00547D64" w:rsidRPr="00BE75BC">
        <w:rPr>
          <w:rFonts w:ascii="Arial" w:hAnsi="Arial" w:cs="Arial"/>
        </w:rPr>
        <w:t>oste de secours doté d’équipements de soin ;</w:t>
      </w:r>
    </w:p>
    <w:p w14:paraId="602F88FB" w14:textId="77777777" w:rsidR="00547D64" w:rsidRPr="00BE75BC" w:rsidRDefault="00A1502C" w:rsidP="0044500E">
      <w:pPr>
        <w:pStyle w:val="Paragraphedeliste"/>
        <w:numPr>
          <w:ilvl w:val="0"/>
          <w:numId w:val="203"/>
        </w:numPr>
        <w:spacing w:after="0" w:line="240" w:lineRule="auto"/>
        <w:jc w:val="both"/>
        <w:rPr>
          <w:rFonts w:ascii="Arial" w:hAnsi="Arial" w:cs="Arial"/>
        </w:rPr>
      </w:pPr>
      <w:r>
        <w:rPr>
          <w:rFonts w:ascii="Arial" w:hAnsi="Arial" w:cs="Arial"/>
        </w:rPr>
        <w:t>A</w:t>
      </w:r>
      <w:r w:rsidR="00547D64" w:rsidRPr="00BE75BC">
        <w:rPr>
          <w:rFonts w:ascii="Arial" w:hAnsi="Arial" w:cs="Arial"/>
        </w:rPr>
        <w:t>ffichage d’une liste disponible dans toutes les langues des numéros de téléphone des autorités compétentes (police, pompiers, forces armées, ambulances, hôpital le plus proche etc.) ;</w:t>
      </w:r>
    </w:p>
    <w:p w14:paraId="1AA6F31B" w14:textId="77777777" w:rsidR="00547D64" w:rsidRPr="00BE75BC" w:rsidRDefault="00A1502C" w:rsidP="0044500E">
      <w:pPr>
        <w:pStyle w:val="Paragraphedeliste"/>
        <w:numPr>
          <w:ilvl w:val="0"/>
          <w:numId w:val="203"/>
        </w:numPr>
        <w:spacing w:after="0" w:line="240" w:lineRule="auto"/>
        <w:jc w:val="both"/>
        <w:rPr>
          <w:rFonts w:ascii="Arial" w:hAnsi="Arial" w:cs="Arial"/>
        </w:rPr>
      </w:pPr>
      <w:r>
        <w:rPr>
          <w:rFonts w:ascii="Arial" w:hAnsi="Arial" w:cs="Arial"/>
        </w:rPr>
        <w:t>M</w:t>
      </w:r>
      <w:r w:rsidR="00547D64" w:rsidRPr="00BE75BC">
        <w:rPr>
          <w:rFonts w:ascii="Arial" w:hAnsi="Arial" w:cs="Arial"/>
        </w:rPr>
        <w:t>aintien à jour d’une liste des sauveteurs secouristes présents sur site ;</w:t>
      </w:r>
    </w:p>
    <w:p w14:paraId="11C91832" w14:textId="77777777" w:rsidR="00547D64" w:rsidRPr="00BE75BC" w:rsidRDefault="00A1502C" w:rsidP="0044500E">
      <w:pPr>
        <w:pStyle w:val="Paragraphedeliste"/>
        <w:numPr>
          <w:ilvl w:val="0"/>
          <w:numId w:val="203"/>
        </w:numPr>
        <w:spacing w:after="0" w:line="240" w:lineRule="auto"/>
        <w:jc w:val="both"/>
        <w:rPr>
          <w:rFonts w:ascii="Arial" w:hAnsi="Arial" w:cs="Arial"/>
        </w:rPr>
      </w:pPr>
      <w:r>
        <w:rPr>
          <w:rFonts w:ascii="Arial" w:hAnsi="Arial" w:cs="Arial"/>
        </w:rPr>
        <w:t>P</w:t>
      </w:r>
      <w:r w:rsidR="00547D64" w:rsidRPr="00BE75BC">
        <w:rPr>
          <w:rFonts w:ascii="Arial" w:hAnsi="Arial" w:cs="Arial"/>
        </w:rPr>
        <w:t>résence d’équipements d’extinction des feux (extincteurs en nombre suffisant et maintenu en conditions opérationnelles) ;</w:t>
      </w:r>
    </w:p>
    <w:p w14:paraId="6AB1F148" w14:textId="77777777" w:rsidR="00547D64" w:rsidRPr="00BE75BC" w:rsidRDefault="00A1502C" w:rsidP="0044500E">
      <w:pPr>
        <w:pStyle w:val="Paragraphedeliste"/>
        <w:numPr>
          <w:ilvl w:val="0"/>
          <w:numId w:val="203"/>
        </w:numPr>
        <w:spacing w:after="0" w:line="240" w:lineRule="auto"/>
        <w:jc w:val="both"/>
        <w:rPr>
          <w:rFonts w:ascii="Arial" w:hAnsi="Arial" w:cs="Arial"/>
        </w:rPr>
      </w:pPr>
      <w:r>
        <w:rPr>
          <w:rFonts w:ascii="Arial" w:hAnsi="Arial" w:cs="Arial"/>
        </w:rPr>
        <w:t>M</w:t>
      </w:r>
      <w:r w:rsidR="00547D64" w:rsidRPr="00BE75BC">
        <w:rPr>
          <w:rFonts w:ascii="Arial" w:hAnsi="Arial" w:cs="Arial"/>
        </w:rPr>
        <w:t>aintien à jour d’un registre des accidents.</w:t>
      </w:r>
    </w:p>
    <w:p w14:paraId="47823D0F" w14:textId="77777777" w:rsidR="00547D64" w:rsidRPr="00BE75BC" w:rsidRDefault="00547D64" w:rsidP="00547D64">
      <w:pPr>
        <w:spacing w:line="236" w:lineRule="auto"/>
        <w:ind w:right="20"/>
        <w:jc w:val="both"/>
        <w:rPr>
          <w:rFonts w:ascii="Arial" w:eastAsia="Arial" w:hAnsi="Arial"/>
        </w:rPr>
      </w:pPr>
    </w:p>
    <w:p w14:paraId="6A6D437C" w14:textId="77777777" w:rsidR="00547D64" w:rsidRDefault="00547D64" w:rsidP="00547D64">
      <w:pPr>
        <w:spacing w:line="236" w:lineRule="auto"/>
        <w:ind w:right="20"/>
        <w:jc w:val="both"/>
        <w:rPr>
          <w:rFonts w:ascii="Arial" w:eastAsia="Arial" w:hAnsi="Arial"/>
        </w:rPr>
      </w:pPr>
      <w:r>
        <w:rPr>
          <w:rFonts w:ascii="Arial" w:eastAsia="Arial" w:hAnsi="Arial"/>
        </w:rPr>
        <w:t>La marche à suivre en cas de situation d’urgence est la suivante.</w:t>
      </w:r>
    </w:p>
    <w:p w14:paraId="7CC2E07B" w14:textId="523A199A" w:rsidR="00547D64" w:rsidRPr="00BE75BC" w:rsidRDefault="00E97ECD" w:rsidP="00547D64">
      <w:pPr>
        <w:spacing w:line="236" w:lineRule="auto"/>
        <w:ind w:right="20"/>
        <w:jc w:val="both"/>
        <w:rPr>
          <w:rFonts w:ascii="Arial" w:eastAsia="Arial" w:hAnsi="Arial"/>
        </w:rPr>
      </w:pPr>
      <w:r w:rsidRPr="00FB04F6">
        <w:rPr>
          <w:rFonts w:ascii="Arial" w:eastAsia="Arial" w:hAnsi="Arial"/>
          <w:noProof/>
          <w:lang w:eastAsia="fr-FR"/>
        </w:rPr>
        <w:drawing>
          <wp:inline distT="0" distB="0" distL="0" distR="0" wp14:anchorId="43310805" wp14:editId="74B80238">
            <wp:extent cx="5191125" cy="1549400"/>
            <wp:effectExtent l="0" t="57150" r="0" b="31750"/>
            <wp:docPr id="46" name="Diagramme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5B2AD93A" w14:textId="77777777" w:rsidR="00547D64" w:rsidRPr="00A9539E" w:rsidRDefault="00547D64" w:rsidP="0044500E">
      <w:pPr>
        <w:pStyle w:val="Paragraphedeliste"/>
        <w:numPr>
          <w:ilvl w:val="2"/>
          <w:numId w:val="202"/>
        </w:numPr>
        <w:spacing w:line="236" w:lineRule="auto"/>
        <w:ind w:right="20"/>
        <w:jc w:val="both"/>
        <w:rPr>
          <w:rFonts w:ascii="Arial" w:eastAsia="Arial" w:hAnsi="Arial"/>
          <w:b/>
        </w:rPr>
      </w:pPr>
      <w:r w:rsidRPr="00A9539E">
        <w:rPr>
          <w:rFonts w:ascii="Arial" w:eastAsia="Arial" w:hAnsi="Arial"/>
          <w:b/>
        </w:rPr>
        <w:t xml:space="preserve">Protéger </w:t>
      </w:r>
    </w:p>
    <w:p w14:paraId="15DC5A5E" w14:textId="77777777" w:rsidR="00547D64" w:rsidRDefault="00547D64" w:rsidP="00547D64">
      <w:pPr>
        <w:spacing w:line="236" w:lineRule="auto"/>
        <w:ind w:right="20"/>
        <w:jc w:val="both"/>
        <w:rPr>
          <w:rFonts w:ascii="Arial" w:eastAsia="Arial" w:hAnsi="Arial"/>
        </w:rPr>
      </w:pPr>
      <w:r>
        <w:rPr>
          <w:rFonts w:ascii="Arial" w:eastAsia="Arial" w:hAnsi="Arial"/>
        </w:rPr>
        <w:t>Il s’agit de la mise en protection immédiate des personnes et des installations après détection d’un accident grave.</w:t>
      </w:r>
    </w:p>
    <w:p w14:paraId="418388E3" w14:textId="77777777" w:rsidR="00547D64" w:rsidRPr="00A9539E" w:rsidRDefault="00547D64" w:rsidP="0044500E">
      <w:pPr>
        <w:pStyle w:val="Paragraphedeliste"/>
        <w:numPr>
          <w:ilvl w:val="2"/>
          <w:numId w:val="202"/>
        </w:numPr>
        <w:spacing w:line="236" w:lineRule="auto"/>
        <w:ind w:left="1701" w:right="20"/>
        <w:jc w:val="both"/>
        <w:rPr>
          <w:rFonts w:ascii="Arial" w:eastAsia="Arial" w:hAnsi="Arial"/>
          <w:b/>
        </w:rPr>
      </w:pPr>
      <w:r w:rsidRPr="00A9539E">
        <w:rPr>
          <w:rFonts w:ascii="Arial" w:eastAsia="Arial" w:hAnsi="Arial"/>
          <w:b/>
        </w:rPr>
        <w:t>Alerter</w:t>
      </w:r>
    </w:p>
    <w:p w14:paraId="6E2743E7" w14:textId="77777777" w:rsidR="00547D64" w:rsidRDefault="00547D64" w:rsidP="00547D64">
      <w:pPr>
        <w:spacing w:line="236" w:lineRule="auto"/>
        <w:ind w:right="20"/>
        <w:jc w:val="both"/>
        <w:rPr>
          <w:rFonts w:ascii="Arial" w:eastAsia="Arial" w:hAnsi="Arial"/>
        </w:rPr>
      </w:pPr>
      <w:r>
        <w:rPr>
          <w:rFonts w:ascii="Arial" w:eastAsia="Arial" w:hAnsi="Arial"/>
        </w:rPr>
        <w:t>L’alarme sonore et lumineuse devra être déclenchée dès qu’il y a situation d’urgence, afin de prévenir tous les occupants du site de la nécessité de se rendre au point de rassemblement en empruntant les voies d’évacuation. Un appel sera effectué pour vérifier que tout le personnel ainsi que les visiteurs ont quitté la zone de danger.</w:t>
      </w:r>
    </w:p>
    <w:p w14:paraId="7364F425" w14:textId="77777777" w:rsidR="00547D64" w:rsidRDefault="00547D64" w:rsidP="00547D64">
      <w:pPr>
        <w:spacing w:line="236" w:lineRule="auto"/>
        <w:ind w:right="20"/>
        <w:jc w:val="both"/>
        <w:rPr>
          <w:rFonts w:ascii="Arial" w:eastAsia="Arial" w:hAnsi="Arial"/>
        </w:rPr>
      </w:pPr>
      <w:r>
        <w:rPr>
          <w:rFonts w:ascii="Arial" w:eastAsia="Arial" w:hAnsi="Arial"/>
        </w:rPr>
        <w:t>Le responsable de sécurité une fois informé, est chargé de contacter en priorité les numéros d’urgence en décrivant les circonstances de l’accident et en laissant ses coordonnés à disposition. Toutes les personnes compétentes devront par la suite être informées de la situation d’urgence.</w:t>
      </w:r>
    </w:p>
    <w:p w14:paraId="02F719C5" w14:textId="77777777" w:rsidR="00547D64" w:rsidRDefault="00547D64" w:rsidP="00547D64">
      <w:pPr>
        <w:spacing w:line="236" w:lineRule="auto"/>
        <w:ind w:right="20"/>
        <w:jc w:val="both"/>
        <w:rPr>
          <w:rFonts w:ascii="Arial" w:eastAsia="Arial" w:hAnsi="Arial"/>
        </w:rPr>
      </w:pPr>
      <w:r>
        <w:rPr>
          <w:rFonts w:ascii="Arial" w:eastAsia="Arial" w:hAnsi="Arial"/>
        </w:rPr>
        <w:t>Les différentes structures d’intervention en situation d’urgence ainsi que leurs coordonnées ne sont pas encore connues à ce stade du projet et devront être identifiées ultérieurement pour être intégrées au plan d’urgence par la suite.</w:t>
      </w:r>
    </w:p>
    <w:p w14:paraId="5CA44473" w14:textId="77777777" w:rsidR="00547D64" w:rsidRPr="00A9539E" w:rsidRDefault="00547D64" w:rsidP="0044500E">
      <w:pPr>
        <w:pStyle w:val="Paragraphedeliste"/>
        <w:numPr>
          <w:ilvl w:val="2"/>
          <w:numId w:val="202"/>
        </w:numPr>
        <w:spacing w:line="236" w:lineRule="auto"/>
        <w:ind w:left="1701" w:right="20"/>
        <w:jc w:val="both"/>
        <w:rPr>
          <w:rFonts w:ascii="Arial" w:eastAsia="Arial" w:hAnsi="Arial"/>
          <w:b/>
        </w:rPr>
      </w:pPr>
      <w:r w:rsidRPr="00A9539E">
        <w:rPr>
          <w:rFonts w:ascii="Arial" w:eastAsia="Arial" w:hAnsi="Arial"/>
          <w:b/>
        </w:rPr>
        <w:t>Secourir</w:t>
      </w:r>
    </w:p>
    <w:p w14:paraId="24E2DE3A" w14:textId="77777777" w:rsidR="00547D64" w:rsidRDefault="00547D64" w:rsidP="00547D64">
      <w:pPr>
        <w:spacing w:line="236" w:lineRule="auto"/>
        <w:ind w:right="20"/>
        <w:jc w:val="both"/>
        <w:rPr>
          <w:rFonts w:ascii="Arial" w:eastAsia="Arial" w:hAnsi="Arial"/>
        </w:rPr>
      </w:pPr>
      <w:r>
        <w:rPr>
          <w:rFonts w:ascii="Arial" w:eastAsia="Arial" w:hAnsi="Arial"/>
        </w:rPr>
        <w:t>Utiliser le kit de premiers soins dans le cas où il s’agit de blessures mineures. Dans le cas où une aide paramédicale est nécessaire, le responsable sur place devra pouvoir fournir un certificat médical du ou des blessé(s). Une personne sera désignée pour guider l’ambulance vers le site depuis l’entrée. Les services d’urgence prendront ensuite en charge le blessé.</w:t>
      </w:r>
    </w:p>
    <w:p w14:paraId="2E741783" w14:textId="77777777" w:rsidR="00547D64" w:rsidRDefault="00547D64" w:rsidP="00547D64">
      <w:pPr>
        <w:spacing w:line="236" w:lineRule="auto"/>
        <w:ind w:right="20"/>
        <w:jc w:val="both"/>
        <w:rPr>
          <w:rFonts w:ascii="Arial" w:eastAsia="Arial" w:hAnsi="Arial"/>
        </w:rPr>
      </w:pPr>
      <w:r>
        <w:rPr>
          <w:rFonts w:ascii="Arial" w:eastAsia="Arial" w:hAnsi="Arial"/>
        </w:rPr>
        <w:t>Des employés préalablement désignés seront en charge d’aider les personnes avec limitations fonctionnelles et de leur fournir les premiers soins uniquement si elles y sont formées.</w:t>
      </w:r>
    </w:p>
    <w:p w14:paraId="36B6B829" w14:textId="77777777" w:rsidR="00547D64" w:rsidRDefault="00547D64" w:rsidP="00547D64">
      <w:pPr>
        <w:spacing w:line="236" w:lineRule="auto"/>
        <w:ind w:right="20"/>
        <w:jc w:val="both"/>
        <w:rPr>
          <w:rFonts w:ascii="Arial" w:eastAsia="Arial" w:hAnsi="Arial"/>
        </w:rPr>
      </w:pPr>
      <w:r>
        <w:rPr>
          <w:rFonts w:ascii="Arial" w:eastAsia="Arial" w:hAnsi="Arial"/>
        </w:rPr>
        <w:t>L’exploitation du site pourra être suspendue tant qu’une étude n’a pas été menée et démontre qu’il est sécuritaire de redémarrer la production. L’enquête doit produire un rapport de la cause de l’accident, des mesures correctives et un examen des procédures de travail si nécessaire.</w:t>
      </w:r>
    </w:p>
    <w:p w14:paraId="1AC3BFE2" w14:textId="77777777" w:rsidR="00547D64" w:rsidRDefault="00547D64" w:rsidP="00547D64">
      <w:pPr>
        <w:spacing w:line="236" w:lineRule="auto"/>
        <w:ind w:right="20"/>
        <w:jc w:val="both"/>
        <w:rPr>
          <w:rFonts w:ascii="Arial" w:eastAsia="Arial" w:hAnsi="Arial"/>
        </w:rPr>
      </w:pPr>
      <w:r>
        <w:rPr>
          <w:rFonts w:ascii="Arial" w:eastAsia="Arial" w:hAnsi="Arial"/>
        </w:rPr>
        <w:t>Pour faciliter le travail des autorités, il convient de laisser le lieu de l’accident tel quel dans la mesure du possible.</w:t>
      </w:r>
    </w:p>
    <w:p w14:paraId="62A50369" w14:textId="77777777" w:rsidR="00547D64" w:rsidRDefault="00547D64" w:rsidP="00547D64">
      <w:pPr>
        <w:spacing w:line="236" w:lineRule="auto"/>
        <w:ind w:right="20"/>
        <w:jc w:val="both"/>
        <w:rPr>
          <w:rFonts w:ascii="Arial" w:eastAsia="Arial" w:hAnsi="Arial"/>
        </w:rPr>
      </w:pPr>
      <w:r>
        <w:rPr>
          <w:rFonts w:ascii="Arial" w:eastAsia="Arial" w:hAnsi="Arial"/>
        </w:rPr>
        <w:t>Le responsable HSE sera en charge de rédiger les différentes procédures d’urgence :</w:t>
      </w:r>
    </w:p>
    <w:p w14:paraId="6F80C9D4" w14:textId="77777777" w:rsidR="00547D64" w:rsidRPr="00A9539E" w:rsidRDefault="00A1502C" w:rsidP="0044500E">
      <w:pPr>
        <w:pStyle w:val="Paragraphedeliste"/>
        <w:numPr>
          <w:ilvl w:val="0"/>
          <w:numId w:val="203"/>
        </w:numPr>
        <w:spacing w:after="0" w:line="240" w:lineRule="auto"/>
        <w:jc w:val="both"/>
        <w:rPr>
          <w:rFonts w:ascii="Arial" w:hAnsi="Arial" w:cs="Arial"/>
        </w:rPr>
      </w:pPr>
      <w:r>
        <w:rPr>
          <w:rFonts w:ascii="Arial" w:hAnsi="Arial" w:cs="Arial"/>
        </w:rPr>
        <w:t>P</w:t>
      </w:r>
      <w:r w:rsidR="00547D64" w:rsidRPr="00A9539E">
        <w:rPr>
          <w:rFonts w:ascii="Arial" w:hAnsi="Arial" w:cs="Arial"/>
        </w:rPr>
        <w:t>rocédure de gestion des accidents corporels ;</w:t>
      </w:r>
    </w:p>
    <w:p w14:paraId="3ACBBF6E" w14:textId="77777777" w:rsidR="00547D64" w:rsidRPr="00A9539E" w:rsidRDefault="00A1502C" w:rsidP="0044500E">
      <w:pPr>
        <w:pStyle w:val="Paragraphedeliste"/>
        <w:numPr>
          <w:ilvl w:val="0"/>
          <w:numId w:val="203"/>
        </w:numPr>
        <w:spacing w:after="0" w:line="240" w:lineRule="auto"/>
        <w:jc w:val="both"/>
        <w:rPr>
          <w:rFonts w:ascii="Arial" w:hAnsi="Arial" w:cs="Arial"/>
        </w:rPr>
      </w:pPr>
      <w:r>
        <w:rPr>
          <w:rFonts w:ascii="Arial" w:hAnsi="Arial" w:cs="Arial"/>
        </w:rPr>
        <w:t>P</w:t>
      </w:r>
      <w:r w:rsidR="00547D64" w:rsidRPr="00A9539E">
        <w:rPr>
          <w:rFonts w:ascii="Arial" w:hAnsi="Arial" w:cs="Arial"/>
        </w:rPr>
        <w:t>rocédure de gestion des incendies ;</w:t>
      </w:r>
    </w:p>
    <w:p w14:paraId="357BAAB7" w14:textId="77777777" w:rsidR="00547D64" w:rsidRPr="00A9539E" w:rsidRDefault="00A1502C" w:rsidP="0044500E">
      <w:pPr>
        <w:pStyle w:val="Paragraphedeliste"/>
        <w:numPr>
          <w:ilvl w:val="0"/>
          <w:numId w:val="203"/>
        </w:numPr>
        <w:spacing w:after="0" w:line="240" w:lineRule="auto"/>
        <w:jc w:val="both"/>
        <w:rPr>
          <w:rFonts w:ascii="Arial" w:hAnsi="Arial" w:cs="Arial"/>
        </w:rPr>
      </w:pPr>
      <w:r>
        <w:rPr>
          <w:rFonts w:ascii="Arial" w:hAnsi="Arial" w:cs="Arial"/>
        </w:rPr>
        <w:t>O</w:t>
      </w:r>
      <w:r w:rsidR="00547D64" w:rsidRPr="00A9539E">
        <w:rPr>
          <w:rFonts w:ascii="Arial" w:hAnsi="Arial" w:cs="Arial"/>
        </w:rPr>
        <w:t>rocédure de gestion de la sûreté ;</w:t>
      </w:r>
    </w:p>
    <w:p w14:paraId="6450FA75" w14:textId="77777777" w:rsidR="00547D64" w:rsidRPr="00A9539E" w:rsidRDefault="00A1502C" w:rsidP="0044500E">
      <w:pPr>
        <w:pStyle w:val="Paragraphedeliste"/>
        <w:numPr>
          <w:ilvl w:val="0"/>
          <w:numId w:val="203"/>
        </w:numPr>
        <w:spacing w:after="0" w:line="240" w:lineRule="auto"/>
        <w:jc w:val="both"/>
        <w:rPr>
          <w:rFonts w:ascii="Arial" w:hAnsi="Arial" w:cs="Arial"/>
        </w:rPr>
      </w:pPr>
      <w:r>
        <w:rPr>
          <w:rFonts w:ascii="Arial" w:hAnsi="Arial" w:cs="Arial"/>
        </w:rPr>
        <w:t>P</w:t>
      </w:r>
      <w:r w:rsidR="00547D64" w:rsidRPr="00A9539E">
        <w:rPr>
          <w:rFonts w:ascii="Arial" w:hAnsi="Arial" w:cs="Arial"/>
        </w:rPr>
        <w:t>rocédure de gestion de situation d’urgence pour l’environnement ;</w:t>
      </w:r>
    </w:p>
    <w:p w14:paraId="11A53B64" w14:textId="77777777" w:rsidR="00547D64" w:rsidRPr="00A9539E" w:rsidRDefault="00A1502C" w:rsidP="0044500E">
      <w:pPr>
        <w:pStyle w:val="Paragraphedeliste"/>
        <w:numPr>
          <w:ilvl w:val="0"/>
          <w:numId w:val="203"/>
        </w:numPr>
        <w:spacing w:after="0" w:line="240" w:lineRule="auto"/>
        <w:jc w:val="both"/>
        <w:rPr>
          <w:rFonts w:ascii="Arial" w:hAnsi="Arial" w:cs="Arial"/>
        </w:rPr>
      </w:pPr>
      <w:r>
        <w:rPr>
          <w:rFonts w:ascii="Arial" w:hAnsi="Arial" w:cs="Arial"/>
        </w:rPr>
        <w:t>L</w:t>
      </w:r>
      <w:r w:rsidR="00547D64" w:rsidRPr="00A9539E">
        <w:rPr>
          <w:rFonts w:ascii="Arial" w:hAnsi="Arial" w:cs="Arial"/>
        </w:rPr>
        <w:t>e plan d’urgence présenté doit servir de modèle et être adapté en fonction des activités et des risques encourus sur la base des situations dangereuses identifiées lors de l’APR. La rédaction des procédures spécifiques aux différentes activités effectuées par les sous-traitants sera à la charge de ces derniers.</w:t>
      </w:r>
    </w:p>
    <w:p w14:paraId="0AE4197D" w14:textId="77777777" w:rsidR="00547D64" w:rsidRPr="00A9539E" w:rsidRDefault="00547D64" w:rsidP="00547D64">
      <w:pPr>
        <w:pStyle w:val="Paragraphedeliste"/>
        <w:spacing w:after="0" w:line="240" w:lineRule="auto"/>
        <w:jc w:val="both"/>
        <w:rPr>
          <w:rFonts w:ascii="Arial" w:hAnsi="Arial" w:cs="Arial"/>
        </w:rPr>
      </w:pPr>
    </w:p>
    <w:p w14:paraId="6BB27FB0" w14:textId="77777777" w:rsidR="00547D64" w:rsidRPr="00910251" w:rsidRDefault="00547D64" w:rsidP="0044500E">
      <w:pPr>
        <w:pStyle w:val="Paragraphedeliste"/>
        <w:numPr>
          <w:ilvl w:val="1"/>
          <w:numId w:val="202"/>
        </w:numPr>
        <w:tabs>
          <w:tab w:val="left" w:pos="993"/>
        </w:tabs>
        <w:spacing w:line="0" w:lineRule="atLeast"/>
        <w:rPr>
          <w:rFonts w:ascii="Arial" w:eastAsia="Arial" w:hAnsi="Arial"/>
          <w:b/>
        </w:rPr>
      </w:pPr>
      <w:r w:rsidRPr="00910251">
        <w:rPr>
          <w:rFonts w:ascii="Arial" w:eastAsia="Arial" w:hAnsi="Arial"/>
          <w:b/>
        </w:rPr>
        <w:t>Procédure d’urgence incendie</w:t>
      </w:r>
    </w:p>
    <w:p w14:paraId="39D97461" w14:textId="77777777" w:rsidR="00547D64" w:rsidRDefault="00547D64" w:rsidP="00547D64">
      <w:pPr>
        <w:spacing w:line="236" w:lineRule="auto"/>
        <w:ind w:right="20"/>
        <w:jc w:val="both"/>
        <w:rPr>
          <w:rFonts w:ascii="Arial" w:eastAsia="Arial" w:hAnsi="Arial"/>
        </w:rPr>
      </w:pPr>
      <w:r>
        <w:rPr>
          <w:rFonts w:ascii="Arial" w:eastAsia="Arial" w:hAnsi="Arial"/>
        </w:rPr>
        <w:t>Les mesures à suivre en premier lieu en cas d’incendie sont les suivantes :</w:t>
      </w:r>
    </w:p>
    <w:p w14:paraId="66528760" w14:textId="77777777" w:rsidR="00547D64" w:rsidRPr="00A9539E" w:rsidRDefault="00A1502C" w:rsidP="0044500E">
      <w:pPr>
        <w:pStyle w:val="Paragraphedeliste"/>
        <w:numPr>
          <w:ilvl w:val="0"/>
          <w:numId w:val="203"/>
        </w:numPr>
        <w:spacing w:after="0" w:line="240" w:lineRule="auto"/>
        <w:jc w:val="both"/>
        <w:rPr>
          <w:rFonts w:ascii="Arial" w:hAnsi="Arial" w:cs="Arial"/>
        </w:rPr>
      </w:pPr>
      <w:r>
        <w:rPr>
          <w:rFonts w:ascii="Arial" w:hAnsi="Arial" w:cs="Arial"/>
        </w:rPr>
        <w:t>D</w:t>
      </w:r>
      <w:r w:rsidR="00547D64" w:rsidRPr="00A9539E">
        <w:rPr>
          <w:rFonts w:ascii="Arial" w:hAnsi="Arial" w:cs="Arial"/>
        </w:rPr>
        <w:t>éclencher l’alarme incendie, informer le personnel et le service local d’incendie de l’incident en cours ;</w:t>
      </w:r>
    </w:p>
    <w:p w14:paraId="07205B6D" w14:textId="77777777" w:rsidR="00547D64" w:rsidRPr="00A9539E" w:rsidRDefault="00A1502C" w:rsidP="0044500E">
      <w:pPr>
        <w:pStyle w:val="Paragraphedeliste"/>
        <w:numPr>
          <w:ilvl w:val="0"/>
          <w:numId w:val="203"/>
        </w:numPr>
        <w:spacing w:after="0" w:line="240" w:lineRule="auto"/>
        <w:jc w:val="both"/>
        <w:rPr>
          <w:rFonts w:ascii="Arial" w:hAnsi="Arial" w:cs="Arial"/>
        </w:rPr>
      </w:pPr>
      <w:r>
        <w:rPr>
          <w:rFonts w:ascii="Arial" w:hAnsi="Arial" w:cs="Arial"/>
        </w:rPr>
        <w:t>U</w:t>
      </w:r>
      <w:r w:rsidR="00547D64" w:rsidRPr="00A9539E">
        <w:rPr>
          <w:rFonts w:ascii="Arial" w:hAnsi="Arial" w:cs="Arial"/>
        </w:rPr>
        <w:t>tiliser les équipements d’extinction des feux uniquement si cela ne présente pas de risque pour l’employé (incendie limité, personne formée, sortie de secours à proximité, …) ;</w:t>
      </w:r>
    </w:p>
    <w:p w14:paraId="7F600723" w14:textId="77777777" w:rsidR="00547D64" w:rsidRPr="00A9539E" w:rsidRDefault="00A1502C" w:rsidP="0044500E">
      <w:pPr>
        <w:pStyle w:val="Paragraphedeliste"/>
        <w:numPr>
          <w:ilvl w:val="0"/>
          <w:numId w:val="203"/>
        </w:numPr>
        <w:spacing w:after="0" w:line="240" w:lineRule="auto"/>
        <w:jc w:val="both"/>
        <w:rPr>
          <w:rFonts w:ascii="Arial" w:hAnsi="Arial" w:cs="Arial"/>
        </w:rPr>
      </w:pPr>
      <w:r>
        <w:rPr>
          <w:rFonts w:ascii="Arial" w:hAnsi="Arial" w:cs="Arial"/>
        </w:rPr>
        <w:t>S</w:t>
      </w:r>
      <w:r w:rsidR="00547D64" w:rsidRPr="00A9539E">
        <w:rPr>
          <w:rFonts w:ascii="Arial" w:hAnsi="Arial" w:cs="Arial"/>
        </w:rPr>
        <w:t>e rendre immédiatement après avoir été informé de l’urgence incendie, au point de rassemblement en utilisant les voies d’évacuation les plus proches ;</w:t>
      </w:r>
    </w:p>
    <w:p w14:paraId="21FEBFCE" w14:textId="77777777" w:rsidR="00547D64" w:rsidRPr="00A9539E" w:rsidRDefault="00A1502C" w:rsidP="0044500E">
      <w:pPr>
        <w:pStyle w:val="Paragraphedeliste"/>
        <w:numPr>
          <w:ilvl w:val="0"/>
          <w:numId w:val="203"/>
        </w:numPr>
        <w:spacing w:after="0" w:line="240" w:lineRule="auto"/>
        <w:jc w:val="both"/>
        <w:rPr>
          <w:rFonts w:ascii="Arial" w:hAnsi="Arial" w:cs="Arial"/>
        </w:rPr>
      </w:pPr>
      <w:r>
        <w:rPr>
          <w:rFonts w:ascii="Arial" w:hAnsi="Arial" w:cs="Arial"/>
        </w:rPr>
        <w:t>F</w:t>
      </w:r>
      <w:r w:rsidR="00547D64" w:rsidRPr="00A9539E">
        <w:rPr>
          <w:rFonts w:ascii="Arial" w:hAnsi="Arial" w:cs="Arial"/>
        </w:rPr>
        <w:t>aire un appel des personnes présentes sur le site, y compris les visiteurs, et en informer les services d’urgence.</w:t>
      </w:r>
    </w:p>
    <w:p w14:paraId="4510FF80" w14:textId="77777777" w:rsidR="00547D64" w:rsidRPr="00A9539E" w:rsidRDefault="00547D64" w:rsidP="00547D64">
      <w:pPr>
        <w:pStyle w:val="Paragraphedeliste"/>
        <w:spacing w:after="0" w:line="240" w:lineRule="auto"/>
        <w:jc w:val="both"/>
        <w:rPr>
          <w:rFonts w:ascii="Arial" w:hAnsi="Arial" w:cs="Arial"/>
        </w:rPr>
      </w:pPr>
    </w:p>
    <w:p w14:paraId="3826BE26" w14:textId="77777777" w:rsidR="00547D64" w:rsidRDefault="00547D64" w:rsidP="00547D64">
      <w:pPr>
        <w:spacing w:line="236" w:lineRule="auto"/>
        <w:ind w:right="20"/>
        <w:jc w:val="both"/>
        <w:rPr>
          <w:rFonts w:ascii="Arial" w:eastAsia="Arial" w:hAnsi="Arial"/>
        </w:rPr>
      </w:pPr>
      <w:r>
        <w:rPr>
          <w:rFonts w:ascii="Arial" w:eastAsia="Arial" w:hAnsi="Arial"/>
        </w:rPr>
        <w:t>Le responsable HSE est en charge</w:t>
      </w:r>
      <w:r w:rsidR="00A1502C">
        <w:rPr>
          <w:rFonts w:ascii="Arial" w:eastAsia="Arial" w:hAnsi="Arial"/>
        </w:rPr>
        <w:t xml:space="preserve"> de</w:t>
      </w:r>
      <w:r>
        <w:rPr>
          <w:rFonts w:ascii="Arial" w:eastAsia="Arial" w:hAnsi="Arial"/>
        </w:rPr>
        <w:t xml:space="preserve"> :</w:t>
      </w:r>
    </w:p>
    <w:p w14:paraId="415979D1" w14:textId="77777777" w:rsidR="00547D64" w:rsidRPr="00A9539E" w:rsidRDefault="00A1502C" w:rsidP="0044500E">
      <w:pPr>
        <w:pStyle w:val="Paragraphedeliste"/>
        <w:numPr>
          <w:ilvl w:val="0"/>
          <w:numId w:val="203"/>
        </w:numPr>
        <w:spacing w:after="0" w:line="240" w:lineRule="auto"/>
        <w:jc w:val="both"/>
        <w:rPr>
          <w:rFonts w:ascii="Arial" w:hAnsi="Arial" w:cs="Arial"/>
        </w:rPr>
      </w:pPr>
      <w:r>
        <w:rPr>
          <w:rFonts w:ascii="Arial" w:hAnsi="Arial" w:cs="Arial"/>
        </w:rPr>
        <w:t>C</w:t>
      </w:r>
      <w:r w:rsidR="00547D64" w:rsidRPr="00A9539E">
        <w:rPr>
          <w:rFonts w:ascii="Arial" w:hAnsi="Arial" w:cs="Arial"/>
        </w:rPr>
        <w:t>ouper le courant à moins que sa sécurité soit compromise ;</w:t>
      </w:r>
    </w:p>
    <w:p w14:paraId="20A321BE" w14:textId="77777777" w:rsidR="00547D64" w:rsidRPr="00A9539E" w:rsidRDefault="00A1502C" w:rsidP="0044500E">
      <w:pPr>
        <w:pStyle w:val="Paragraphedeliste"/>
        <w:numPr>
          <w:ilvl w:val="0"/>
          <w:numId w:val="203"/>
        </w:numPr>
        <w:spacing w:after="0" w:line="240" w:lineRule="auto"/>
        <w:jc w:val="both"/>
        <w:rPr>
          <w:rFonts w:ascii="Arial" w:hAnsi="Arial" w:cs="Arial"/>
        </w:rPr>
      </w:pPr>
      <w:r>
        <w:rPr>
          <w:rFonts w:ascii="Arial" w:hAnsi="Arial" w:cs="Arial"/>
        </w:rPr>
        <w:t>V</w:t>
      </w:r>
      <w:r w:rsidR="00547D64" w:rsidRPr="00A9539E">
        <w:rPr>
          <w:rFonts w:ascii="Arial" w:hAnsi="Arial" w:cs="Arial"/>
        </w:rPr>
        <w:t>eiller à ce que l’évacuation se fasse de manière ordonnée ;</w:t>
      </w:r>
    </w:p>
    <w:p w14:paraId="2D522F32" w14:textId="77777777" w:rsidR="00547D64" w:rsidRDefault="00A1502C" w:rsidP="0044500E">
      <w:pPr>
        <w:pStyle w:val="Paragraphedeliste"/>
        <w:numPr>
          <w:ilvl w:val="0"/>
          <w:numId w:val="203"/>
        </w:numPr>
        <w:spacing w:after="0" w:line="240" w:lineRule="auto"/>
        <w:jc w:val="both"/>
        <w:rPr>
          <w:rFonts w:ascii="Arial" w:hAnsi="Arial" w:cs="Arial"/>
        </w:rPr>
      </w:pPr>
      <w:r>
        <w:rPr>
          <w:rFonts w:ascii="Arial" w:hAnsi="Arial" w:cs="Arial"/>
        </w:rPr>
        <w:t>M</w:t>
      </w:r>
      <w:r w:rsidR="00547D64" w:rsidRPr="00A9539E">
        <w:rPr>
          <w:rFonts w:ascii="Arial" w:hAnsi="Arial" w:cs="Arial"/>
        </w:rPr>
        <w:t>ettre en œuvre une méthode de sauvetage pour localiser le personnel manquant à l’appel.</w:t>
      </w:r>
    </w:p>
    <w:p w14:paraId="44E95B58" w14:textId="77777777" w:rsidR="00547D64" w:rsidRPr="00A9539E" w:rsidRDefault="00547D64" w:rsidP="00547D64">
      <w:pPr>
        <w:pStyle w:val="Paragraphedeliste"/>
        <w:spacing w:after="0" w:line="240" w:lineRule="auto"/>
        <w:jc w:val="both"/>
        <w:rPr>
          <w:rFonts w:ascii="Arial" w:hAnsi="Arial" w:cs="Arial"/>
        </w:rPr>
      </w:pPr>
    </w:p>
    <w:p w14:paraId="47621210" w14:textId="77777777" w:rsidR="00547D64" w:rsidRDefault="00547D64" w:rsidP="00547D64">
      <w:pPr>
        <w:spacing w:line="236" w:lineRule="auto"/>
        <w:ind w:right="20"/>
        <w:jc w:val="both"/>
        <w:rPr>
          <w:rFonts w:ascii="Arial" w:eastAsia="Arial" w:hAnsi="Arial"/>
        </w:rPr>
      </w:pPr>
      <w:r>
        <w:rPr>
          <w:rFonts w:ascii="Arial" w:eastAsia="Arial" w:hAnsi="Arial"/>
        </w:rPr>
        <w:t>Il devra également par la suite, fournir tous les renseignements nécessaires au service incendie sur place.</w:t>
      </w:r>
    </w:p>
    <w:p w14:paraId="185BDA83" w14:textId="77777777" w:rsidR="00547D64" w:rsidRDefault="00547D64" w:rsidP="00547D64">
      <w:pPr>
        <w:spacing w:line="236" w:lineRule="auto"/>
        <w:ind w:right="20"/>
        <w:jc w:val="both"/>
        <w:rPr>
          <w:rFonts w:ascii="Arial" w:eastAsia="Arial" w:hAnsi="Arial"/>
        </w:rPr>
      </w:pPr>
      <w:r>
        <w:rPr>
          <w:rFonts w:ascii="Arial" w:eastAsia="Arial" w:hAnsi="Arial"/>
        </w:rPr>
        <w:t>Voici quelques avertissements à faire parvenir impérativement au personnel lors de sa formation :</w:t>
      </w:r>
    </w:p>
    <w:p w14:paraId="16DAA03F" w14:textId="77777777" w:rsidR="00547D64" w:rsidRPr="00A9539E" w:rsidRDefault="00A1502C" w:rsidP="0044500E">
      <w:pPr>
        <w:pStyle w:val="Paragraphedeliste"/>
        <w:numPr>
          <w:ilvl w:val="0"/>
          <w:numId w:val="203"/>
        </w:numPr>
        <w:spacing w:after="0" w:line="240" w:lineRule="auto"/>
        <w:jc w:val="both"/>
        <w:rPr>
          <w:rFonts w:ascii="Arial" w:hAnsi="Arial" w:cs="Arial"/>
        </w:rPr>
      </w:pPr>
      <w:r>
        <w:rPr>
          <w:rFonts w:ascii="Arial" w:hAnsi="Arial" w:cs="Arial"/>
        </w:rPr>
        <w:t>N</w:t>
      </w:r>
      <w:r w:rsidR="00547D64" w:rsidRPr="00A9539E">
        <w:rPr>
          <w:rFonts w:ascii="Arial" w:hAnsi="Arial" w:cs="Arial"/>
        </w:rPr>
        <w:t>e jamais utiliser de l’eau sur les feux électriques ou à huile/essence, utiliser des extincteurs adaptés à ce type de risque ;</w:t>
      </w:r>
    </w:p>
    <w:p w14:paraId="5C423D65" w14:textId="77777777" w:rsidR="00547D64" w:rsidRPr="00A9539E" w:rsidRDefault="00A1502C" w:rsidP="0044500E">
      <w:pPr>
        <w:pStyle w:val="Paragraphedeliste"/>
        <w:numPr>
          <w:ilvl w:val="0"/>
          <w:numId w:val="203"/>
        </w:numPr>
        <w:spacing w:after="0" w:line="240" w:lineRule="auto"/>
        <w:jc w:val="both"/>
        <w:rPr>
          <w:rFonts w:ascii="Arial" w:hAnsi="Arial" w:cs="Arial"/>
        </w:rPr>
      </w:pPr>
      <w:r>
        <w:rPr>
          <w:rFonts w:ascii="Arial" w:hAnsi="Arial" w:cs="Arial"/>
        </w:rPr>
        <w:t>N</w:t>
      </w:r>
      <w:r w:rsidR="00547D64" w:rsidRPr="00A9539E">
        <w:rPr>
          <w:rFonts w:ascii="Arial" w:hAnsi="Arial" w:cs="Arial"/>
        </w:rPr>
        <w:t>e jamais sous-estimer un feu ;</w:t>
      </w:r>
    </w:p>
    <w:p w14:paraId="743A217B" w14:textId="77777777" w:rsidR="00547D64" w:rsidRDefault="00A1502C" w:rsidP="0044500E">
      <w:pPr>
        <w:pStyle w:val="Paragraphedeliste"/>
        <w:numPr>
          <w:ilvl w:val="0"/>
          <w:numId w:val="203"/>
        </w:numPr>
        <w:spacing w:after="0" w:line="240" w:lineRule="auto"/>
        <w:jc w:val="both"/>
        <w:rPr>
          <w:rFonts w:ascii="Arial" w:hAnsi="Arial" w:cs="Arial"/>
        </w:rPr>
      </w:pPr>
      <w:r>
        <w:rPr>
          <w:rFonts w:ascii="Arial" w:hAnsi="Arial" w:cs="Arial"/>
        </w:rPr>
        <w:t>P</w:t>
      </w:r>
      <w:r w:rsidR="00547D64" w:rsidRPr="00A9539E">
        <w:rPr>
          <w:rFonts w:ascii="Arial" w:hAnsi="Arial" w:cs="Arial"/>
        </w:rPr>
        <w:t>ersonne n’est autorisé</w:t>
      </w:r>
      <w:r>
        <w:rPr>
          <w:rFonts w:ascii="Arial" w:hAnsi="Arial" w:cs="Arial"/>
        </w:rPr>
        <w:t>e</w:t>
      </w:r>
      <w:r w:rsidR="00547D64" w:rsidRPr="00A9539E">
        <w:rPr>
          <w:rFonts w:ascii="Arial" w:hAnsi="Arial" w:cs="Arial"/>
        </w:rPr>
        <w:t xml:space="preserve"> à retourner sans l’aval des services d’urgences.</w:t>
      </w:r>
    </w:p>
    <w:p w14:paraId="75236B0F" w14:textId="77777777" w:rsidR="00547D64" w:rsidRPr="00A9539E" w:rsidRDefault="00547D64" w:rsidP="00547D64">
      <w:pPr>
        <w:pStyle w:val="Paragraphedeliste"/>
        <w:spacing w:after="0" w:line="240" w:lineRule="auto"/>
        <w:jc w:val="both"/>
        <w:rPr>
          <w:rFonts w:ascii="Arial" w:hAnsi="Arial" w:cs="Arial"/>
        </w:rPr>
      </w:pPr>
    </w:p>
    <w:p w14:paraId="6ACF168F" w14:textId="77777777" w:rsidR="00547D64" w:rsidRDefault="00547D64" w:rsidP="00547D64">
      <w:pPr>
        <w:spacing w:line="236" w:lineRule="auto"/>
        <w:ind w:right="20"/>
        <w:jc w:val="both"/>
        <w:rPr>
          <w:rFonts w:ascii="Arial" w:eastAsia="Arial" w:hAnsi="Arial"/>
        </w:rPr>
      </w:pPr>
      <w:r>
        <w:rPr>
          <w:rFonts w:ascii="Arial" w:eastAsia="Arial" w:hAnsi="Arial"/>
        </w:rPr>
        <w:t>Enfin, tout le personnel doit savoir utiliser les extincteurs, et ceux-ci doivent se trouver en nombre suffisant à des endroits stratégiques.</w:t>
      </w:r>
    </w:p>
    <w:p w14:paraId="25A14C62" w14:textId="77777777" w:rsidR="00547D64" w:rsidRPr="00910251" w:rsidRDefault="00547D64" w:rsidP="0044500E">
      <w:pPr>
        <w:pStyle w:val="Paragraphedeliste"/>
        <w:numPr>
          <w:ilvl w:val="1"/>
          <w:numId w:val="202"/>
        </w:numPr>
        <w:tabs>
          <w:tab w:val="left" w:pos="993"/>
        </w:tabs>
        <w:spacing w:line="0" w:lineRule="atLeast"/>
        <w:rPr>
          <w:rFonts w:ascii="Arial" w:eastAsia="Arial" w:hAnsi="Arial"/>
          <w:b/>
        </w:rPr>
      </w:pPr>
      <w:r w:rsidRPr="00910251">
        <w:rPr>
          <w:rFonts w:ascii="Arial" w:eastAsia="Arial" w:hAnsi="Arial"/>
          <w:b/>
        </w:rPr>
        <w:t>Procédure d’urgence inondation</w:t>
      </w:r>
    </w:p>
    <w:p w14:paraId="37FC1CC0" w14:textId="77777777" w:rsidR="00547D64" w:rsidRDefault="00547D64" w:rsidP="00547D64">
      <w:pPr>
        <w:spacing w:line="236" w:lineRule="auto"/>
        <w:ind w:right="20"/>
        <w:jc w:val="both"/>
        <w:rPr>
          <w:rFonts w:ascii="Arial" w:eastAsia="Arial" w:hAnsi="Arial"/>
        </w:rPr>
      </w:pPr>
      <w:r>
        <w:rPr>
          <w:rFonts w:ascii="Arial" w:eastAsia="Arial" w:hAnsi="Arial"/>
        </w:rPr>
        <w:t>En cas d’inondation sur le site, c’est-à-dire pour une pluie dépassant le temps de retour du dimensionnement du système d’évacuation des eaux de pluie ou de baisse de capacité de celui-ci, le responsable HSE, en coordination avec les équipes opérationnelles, mettra en œuvre les mesures suivantes :</w:t>
      </w:r>
    </w:p>
    <w:p w14:paraId="5DE7C0B9" w14:textId="77777777" w:rsidR="00547D64" w:rsidRPr="00910251" w:rsidRDefault="00A1502C" w:rsidP="0044500E">
      <w:pPr>
        <w:pStyle w:val="Paragraphedeliste"/>
        <w:numPr>
          <w:ilvl w:val="0"/>
          <w:numId w:val="203"/>
        </w:numPr>
        <w:spacing w:after="0" w:line="240" w:lineRule="auto"/>
        <w:jc w:val="both"/>
        <w:rPr>
          <w:rFonts w:ascii="Arial" w:hAnsi="Arial" w:cs="Arial"/>
        </w:rPr>
      </w:pPr>
      <w:r>
        <w:rPr>
          <w:rFonts w:ascii="Arial" w:hAnsi="Arial" w:cs="Arial"/>
        </w:rPr>
        <w:t>M</w:t>
      </w:r>
      <w:r w:rsidR="00547D64" w:rsidRPr="00910251">
        <w:rPr>
          <w:rFonts w:ascii="Arial" w:hAnsi="Arial" w:cs="Arial"/>
        </w:rPr>
        <w:t>ettre en sécurité l’ensemble des installations concernées par la crue en coupant le courant au niveau des onduleurs et du poste de livraison (partie courant alternatif) puis au niveau des panneaux (partie courant continu) ;</w:t>
      </w:r>
    </w:p>
    <w:p w14:paraId="1ED96448" w14:textId="77777777" w:rsidR="00547D64" w:rsidRPr="00910251" w:rsidRDefault="00A1502C" w:rsidP="0044500E">
      <w:pPr>
        <w:pStyle w:val="Paragraphedeliste"/>
        <w:numPr>
          <w:ilvl w:val="0"/>
          <w:numId w:val="203"/>
        </w:numPr>
        <w:spacing w:after="0" w:line="240" w:lineRule="auto"/>
        <w:jc w:val="both"/>
        <w:rPr>
          <w:rFonts w:ascii="Arial" w:hAnsi="Arial" w:cs="Arial"/>
        </w:rPr>
      </w:pPr>
      <w:r>
        <w:rPr>
          <w:rFonts w:ascii="Arial" w:hAnsi="Arial" w:cs="Arial"/>
        </w:rPr>
        <w:t>F</w:t>
      </w:r>
      <w:r w:rsidR="00547D64" w:rsidRPr="00910251">
        <w:rPr>
          <w:rFonts w:ascii="Arial" w:hAnsi="Arial" w:cs="Arial"/>
        </w:rPr>
        <w:t>aire évacuer le personnel et les éventuels visiteurs des zones inondées ;</w:t>
      </w:r>
    </w:p>
    <w:p w14:paraId="14E8E74A" w14:textId="77777777" w:rsidR="00547D64" w:rsidRPr="00910251" w:rsidRDefault="00A1502C" w:rsidP="0044500E">
      <w:pPr>
        <w:pStyle w:val="Paragraphedeliste"/>
        <w:numPr>
          <w:ilvl w:val="0"/>
          <w:numId w:val="203"/>
        </w:numPr>
        <w:spacing w:after="0" w:line="240" w:lineRule="auto"/>
        <w:jc w:val="both"/>
        <w:rPr>
          <w:rFonts w:ascii="Arial" w:hAnsi="Arial" w:cs="Arial"/>
        </w:rPr>
      </w:pPr>
      <w:r>
        <w:rPr>
          <w:rFonts w:ascii="Arial" w:hAnsi="Arial" w:cs="Arial"/>
        </w:rPr>
        <w:t>S</w:t>
      </w:r>
      <w:r w:rsidR="00547D64" w:rsidRPr="00910251">
        <w:rPr>
          <w:rFonts w:ascii="Arial" w:hAnsi="Arial" w:cs="Arial"/>
        </w:rPr>
        <w:t>i nécessaire et possible, mettre en place des mesures visant à restaurer ou à augmenter les capacités de drainage sur site (recherche d’obstruction sur le réseau de drainage, mise en place de pompage au sein des zones inondées…)</w:t>
      </w:r>
    </w:p>
    <w:p w14:paraId="45FDC026" w14:textId="77777777" w:rsidR="00547D64" w:rsidRPr="00910251" w:rsidRDefault="00A1502C" w:rsidP="0044500E">
      <w:pPr>
        <w:pStyle w:val="Paragraphedeliste"/>
        <w:numPr>
          <w:ilvl w:val="0"/>
          <w:numId w:val="203"/>
        </w:numPr>
        <w:spacing w:after="0" w:line="240" w:lineRule="auto"/>
        <w:jc w:val="both"/>
        <w:rPr>
          <w:rFonts w:ascii="Arial" w:hAnsi="Arial" w:cs="Arial"/>
        </w:rPr>
      </w:pPr>
      <w:r>
        <w:rPr>
          <w:rFonts w:ascii="Arial" w:hAnsi="Arial" w:cs="Arial"/>
        </w:rPr>
        <w:t>M</w:t>
      </w:r>
      <w:r w:rsidR="00547D64" w:rsidRPr="00910251">
        <w:rPr>
          <w:rFonts w:ascii="Arial" w:hAnsi="Arial" w:cs="Arial"/>
        </w:rPr>
        <w:t>ettre en place un suivi de la situation et une veille sur les conditions météorologiques à venir.</w:t>
      </w:r>
    </w:p>
    <w:p w14:paraId="32C14979" w14:textId="77777777" w:rsidR="00547D64" w:rsidRDefault="00547D64" w:rsidP="00547D64">
      <w:pPr>
        <w:spacing w:line="201" w:lineRule="exact"/>
        <w:rPr>
          <w:rFonts w:ascii="Times New Roman" w:eastAsia="Times New Roman" w:hAnsi="Times New Roman"/>
        </w:rPr>
      </w:pPr>
    </w:p>
    <w:p w14:paraId="3C2C6E5D" w14:textId="77777777" w:rsidR="00547D64" w:rsidRDefault="00547D64" w:rsidP="00547D64">
      <w:pPr>
        <w:spacing w:line="236" w:lineRule="auto"/>
        <w:ind w:right="20"/>
        <w:jc w:val="both"/>
        <w:rPr>
          <w:rFonts w:ascii="Arial" w:eastAsia="Arial" w:hAnsi="Arial"/>
        </w:rPr>
      </w:pPr>
      <w:r>
        <w:rPr>
          <w:rFonts w:ascii="Arial" w:eastAsia="Arial" w:hAnsi="Arial"/>
        </w:rPr>
        <w:t>L’exploitation sera relancée une fois que l’ensemble des zones seront dégagées.</w:t>
      </w:r>
    </w:p>
    <w:p w14:paraId="0F92C399" w14:textId="77777777" w:rsidR="00457520" w:rsidRPr="00940A32" w:rsidRDefault="00A1502C" w:rsidP="00457520">
      <w:pPr>
        <w:rPr>
          <w:rFonts w:ascii="Arial" w:hAnsi="Arial" w:cs="Arial"/>
          <w:b/>
          <w:bCs/>
        </w:rPr>
      </w:pPr>
      <w:r>
        <w:rPr>
          <w:rFonts w:ascii="Arial" w:eastAsia="Arial" w:hAnsi="Arial"/>
        </w:rPr>
        <w:br w:type="page"/>
      </w:r>
      <w:bookmarkStart w:id="1792" w:name="_Toc125402476"/>
      <w:r w:rsidR="00457520" w:rsidRPr="00940A32">
        <w:rPr>
          <w:rFonts w:ascii="Arial" w:hAnsi="Arial" w:cs="Arial"/>
          <w:b/>
          <w:bCs/>
        </w:rPr>
        <w:t xml:space="preserve">Annexe </w:t>
      </w:r>
      <w:r w:rsidR="00457520" w:rsidRPr="00940A32">
        <w:rPr>
          <w:rFonts w:ascii="Arial" w:hAnsi="Arial" w:cs="Arial"/>
          <w:b/>
          <w:bCs/>
        </w:rPr>
        <w:fldChar w:fldCharType="begin"/>
      </w:r>
      <w:r w:rsidR="00457520" w:rsidRPr="00940A32">
        <w:rPr>
          <w:rFonts w:ascii="Arial" w:hAnsi="Arial" w:cs="Arial"/>
          <w:b/>
          <w:bCs/>
        </w:rPr>
        <w:instrText>SEQ Annexe \* ARABIC</w:instrText>
      </w:r>
      <w:r w:rsidR="00457520" w:rsidRPr="00940A32">
        <w:rPr>
          <w:rFonts w:ascii="Arial" w:hAnsi="Arial" w:cs="Arial"/>
          <w:b/>
          <w:bCs/>
        </w:rPr>
        <w:fldChar w:fldCharType="separate"/>
      </w:r>
      <w:r w:rsidR="009947B9">
        <w:rPr>
          <w:rFonts w:ascii="Arial" w:hAnsi="Arial" w:cs="Arial"/>
          <w:b/>
          <w:bCs/>
          <w:noProof/>
        </w:rPr>
        <w:t>13</w:t>
      </w:r>
      <w:r w:rsidR="00457520" w:rsidRPr="00940A32">
        <w:rPr>
          <w:rFonts w:ascii="Arial" w:hAnsi="Arial" w:cs="Arial"/>
          <w:b/>
          <w:bCs/>
        </w:rPr>
        <w:fldChar w:fldCharType="end"/>
      </w:r>
      <w:r w:rsidR="00457520" w:rsidRPr="00940A32">
        <w:rPr>
          <w:rFonts w:ascii="Arial" w:hAnsi="Arial" w:cs="Arial"/>
          <w:b/>
          <w:bCs/>
        </w:rPr>
        <w:t> : Plan de Gestion de Sécurité</w:t>
      </w:r>
      <w:bookmarkEnd w:id="1792"/>
    </w:p>
    <w:p w14:paraId="0C6687F2" w14:textId="77777777" w:rsidR="00457520" w:rsidRPr="00EC305F" w:rsidRDefault="00457520" w:rsidP="00457520">
      <w:pPr>
        <w:spacing w:line="236" w:lineRule="auto"/>
        <w:ind w:right="20"/>
        <w:jc w:val="center"/>
        <w:rPr>
          <w:rFonts w:ascii="Arial" w:eastAsia="Arial" w:hAnsi="Arial"/>
          <w:b/>
        </w:rPr>
      </w:pPr>
      <w:r w:rsidRPr="00EC305F">
        <w:rPr>
          <w:rFonts w:ascii="Arial" w:eastAsia="Arial" w:hAnsi="Arial"/>
          <w:b/>
        </w:rPr>
        <w:t>(Mod</w:t>
      </w:r>
      <w:r w:rsidR="00EA09D5">
        <w:rPr>
          <w:rFonts w:ascii="Arial" w:eastAsia="Arial" w:hAnsi="Arial"/>
          <w:b/>
        </w:rPr>
        <w:t>èl</w:t>
      </w:r>
      <w:r w:rsidRPr="00EC305F">
        <w:rPr>
          <w:rFonts w:ascii="Arial" w:eastAsia="Arial" w:hAnsi="Arial"/>
          <w:b/>
        </w:rPr>
        <w:t>e issu du MESRAEP)</w:t>
      </w:r>
      <w:r w:rsidR="00631F1E">
        <w:rPr>
          <w:rStyle w:val="Appelnotedebasdep"/>
          <w:rFonts w:ascii="Arial" w:eastAsia="Arial" w:hAnsi="Arial"/>
          <w:b/>
        </w:rPr>
        <w:footnoteReference w:id="90"/>
      </w:r>
    </w:p>
    <w:p w14:paraId="547A0DB4" w14:textId="77777777" w:rsidR="00457520" w:rsidRPr="004B17DA" w:rsidRDefault="00457520" w:rsidP="00457520">
      <w:pPr>
        <w:spacing w:line="236" w:lineRule="auto"/>
        <w:ind w:right="20"/>
        <w:jc w:val="both"/>
        <w:rPr>
          <w:rFonts w:ascii="Arial" w:eastAsia="Arial" w:hAnsi="Arial"/>
        </w:rPr>
      </w:pPr>
      <w:r w:rsidRPr="004B17DA">
        <w:rPr>
          <w:rFonts w:ascii="Arial" w:eastAsia="Arial" w:hAnsi="Arial"/>
        </w:rPr>
        <w:t>Le Projet se doit de se doter d’un plan global de gestion de la sécurité à appliquer par tous ses démembrements</w:t>
      </w:r>
      <w:r>
        <w:rPr>
          <w:rFonts w:ascii="Arial" w:eastAsia="Arial" w:hAnsi="Arial"/>
        </w:rPr>
        <w:t xml:space="preserve"> afin d’éviter tout incident sécuritaire qui pourrait se produire durant sa mise en œuvre</w:t>
      </w:r>
      <w:r w:rsidRPr="004B17DA">
        <w:rPr>
          <w:rFonts w:ascii="Arial" w:eastAsia="Arial" w:hAnsi="Arial"/>
        </w:rPr>
        <w:t>. Ce plan est basé sur les risques actuellement identifiés et devra être régulièrement mise à jour avec l’évolution des risques et une meilleure appropriation des sites d’intervention du projet.</w:t>
      </w:r>
    </w:p>
    <w:p w14:paraId="696C9478" w14:textId="77777777" w:rsidR="00457520" w:rsidRPr="005C566E" w:rsidRDefault="00457520" w:rsidP="0044500E">
      <w:pPr>
        <w:numPr>
          <w:ilvl w:val="0"/>
          <w:numId w:val="214"/>
        </w:numPr>
        <w:rPr>
          <w:b/>
          <w:bCs/>
        </w:rPr>
      </w:pPr>
      <w:bookmarkStart w:id="1793" w:name="_Toc100252466"/>
      <w:bookmarkStart w:id="1794" w:name="_Toc125384722"/>
      <w:bookmarkStart w:id="1795" w:name="_Toc125385111"/>
      <w:r w:rsidRPr="005C566E">
        <w:rPr>
          <w:b/>
          <w:bCs/>
        </w:rPr>
        <w:t>Cible du Plan de Gestion des risques sécuritaires</w:t>
      </w:r>
      <w:bookmarkEnd w:id="1793"/>
      <w:bookmarkEnd w:id="1794"/>
      <w:bookmarkEnd w:id="1795"/>
    </w:p>
    <w:p w14:paraId="0588B6E2" w14:textId="77777777" w:rsidR="00457520" w:rsidRPr="004B17DA" w:rsidRDefault="00457520" w:rsidP="00457520">
      <w:pPr>
        <w:spacing w:line="236" w:lineRule="auto"/>
        <w:ind w:right="20"/>
        <w:jc w:val="both"/>
        <w:rPr>
          <w:rFonts w:ascii="Arial" w:eastAsia="Arial" w:hAnsi="Arial"/>
        </w:rPr>
      </w:pPr>
      <w:r w:rsidRPr="004B17DA">
        <w:rPr>
          <w:rFonts w:ascii="Arial" w:eastAsia="Arial" w:hAnsi="Arial"/>
        </w:rPr>
        <w:t xml:space="preserve">Le présent Plan de Gestion des risques sécuritaires s’applique à tous les intervenants et parties prenantes du projet. Il est toutefois à noter qu’il s’appliquerait </w:t>
      </w:r>
      <w:r>
        <w:rPr>
          <w:rFonts w:ascii="Arial" w:eastAsia="Arial" w:hAnsi="Arial"/>
        </w:rPr>
        <w:t>en priorité au personnel de l’UC</w:t>
      </w:r>
      <w:r w:rsidRPr="004B17DA">
        <w:rPr>
          <w:rFonts w:ascii="Arial" w:eastAsia="Arial" w:hAnsi="Arial"/>
        </w:rPr>
        <w:t>P. Les partenaires de mise en œuvre notamment les entreprises, les MdC, seraient informés et sensibilisés des règles en vue de s’y conformer. Toutefois, la responsabilité juridique du non-respect des</w:t>
      </w:r>
      <w:r>
        <w:rPr>
          <w:rFonts w:ascii="Arial" w:eastAsia="Arial" w:hAnsi="Arial"/>
        </w:rPr>
        <w:t xml:space="preserve"> règles n’incomberait pas à l’UC</w:t>
      </w:r>
      <w:r w:rsidRPr="004B17DA">
        <w:rPr>
          <w:rFonts w:ascii="Arial" w:eastAsia="Arial" w:hAnsi="Arial"/>
        </w:rPr>
        <w:t>P.</w:t>
      </w:r>
    </w:p>
    <w:p w14:paraId="68DCB62B" w14:textId="77777777" w:rsidR="00457520" w:rsidRPr="005C566E" w:rsidRDefault="00457520" w:rsidP="0044500E">
      <w:pPr>
        <w:numPr>
          <w:ilvl w:val="0"/>
          <w:numId w:val="214"/>
        </w:numPr>
        <w:rPr>
          <w:b/>
          <w:bCs/>
        </w:rPr>
      </w:pPr>
      <w:bookmarkStart w:id="1796" w:name="_Toc100252467"/>
      <w:bookmarkStart w:id="1797" w:name="_Toc125384723"/>
      <w:bookmarkStart w:id="1798" w:name="_Toc125385112"/>
      <w:r w:rsidRPr="005C566E">
        <w:rPr>
          <w:b/>
          <w:bCs/>
        </w:rPr>
        <w:t>Responsabilités sécuritaires au sein de l’UCP</w:t>
      </w:r>
      <w:bookmarkEnd w:id="1796"/>
      <w:bookmarkEnd w:id="1797"/>
      <w:bookmarkEnd w:id="1798"/>
    </w:p>
    <w:p w14:paraId="7645870E" w14:textId="77777777" w:rsidR="00457520" w:rsidRPr="004B17DA" w:rsidRDefault="00457520" w:rsidP="00457520">
      <w:pPr>
        <w:spacing w:line="236" w:lineRule="auto"/>
        <w:ind w:right="20"/>
        <w:jc w:val="both"/>
        <w:rPr>
          <w:rFonts w:ascii="Arial" w:eastAsia="Arial" w:hAnsi="Arial"/>
        </w:rPr>
      </w:pPr>
      <w:r w:rsidRPr="004B17DA">
        <w:rPr>
          <w:rFonts w:ascii="Arial" w:eastAsia="Arial" w:hAnsi="Arial"/>
        </w:rPr>
        <w:t>L’Unité de Coordination du Projet (UCP) est la première entité responsable des aspects sécuritair</w:t>
      </w:r>
      <w:r>
        <w:rPr>
          <w:rFonts w:ascii="Arial" w:eastAsia="Arial" w:hAnsi="Arial"/>
        </w:rPr>
        <w:t>es de tous les intervenants du P</w:t>
      </w:r>
      <w:r w:rsidRPr="004B17DA">
        <w:rPr>
          <w:rFonts w:ascii="Arial" w:eastAsia="Arial" w:hAnsi="Arial"/>
        </w:rPr>
        <w:t>rojet</w:t>
      </w:r>
      <w:r>
        <w:rPr>
          <w:rFonts w:ascii="Arial" w:eastAsia="Arial" w:hAnsi="Arial"/>
        </w:rPr>
        <w:t xml:space="preserve"> DECIM</w:t>
      </w:r>
      <w:r w:rsidRPr="004B17DA">
        <w:rPr>
          <w:rFonts w:ascii="Arial" w:eastAsia="Arial" w:hAnsi="Arial"/>
        </w:rPr>
        <w:t>. À ce titre, elle se doit de veiller à la mise en œuvre des exigences du Plan de Gestion des risques sécuritaires et accompagner les différents acteurs dans la mise en œuvre et le suivi des recommandations.</w:t>
      </w:r>
    </w:p>
    <w:p w14:paraId="645B1274" w14:textId="77777777" w:rsidR="00457520" w:rsidRPr="004B17DA" w:rsidRDefault="00457520" w:rsidP="00457520">
      <w:pPr>
        <w:spacing w:line="236" w:lineRule="auto"/>
        <w:ind w:right="20"/>
        <w:jc w:val="both"/>
        <w:rPr>
          <w:rFonts w:ascii="Arial" w:eastAsia="Arial" w:hAnsi="Arial"/>
        </w:rPr>
      </w:pPr>
      <w:r w:rsidRPr="004B17DA">
        <w:rPr>
          <w:rFonts w:ascii="Arial" w:eastAsia="Arial" w:hAnsi="Arial"/>
        </w:rPr>
        <w:t xml:space="preserve">Cette tâche s’exécutera de façon continue par </w:t>
      </w:r>
      <w:r>
        <w:rPr>
          <w:rFonts w:ascii="Arial" w:eastAsia="Arial" w:hAnsi="Arial"/>
        </w:rPr>
        <w:t>le Spécialiste en gestion de risque social</w:t>
      </w:r>
      <w:r w:rsidRPr="004B17DA">
        <w:rPr>
          <w:rFonts w:ascii="Arial" w:eastAsia="Arial" w:hAnsi="Arial"/>
        </w:rPr>
        <w:t>, sous la supervision du Coordonnateur. Mais cela ne dispense pas les autres membres de l’UCP, non seulement de veiller, chacun en ce qui le concerne aux aspects sécuritaires liés à son poste mais aussi de respecter les procédures sécuritaires. Il s’agit notamment :</w:t>
      </w:r>
    </w:p>
    <w:p w14:paraId="14DFDB69" w14:textId="77777777" w:rsidR="00457520" w:rsidRPr="004B17DA" w:rsidRDefault="00457520" w:rsidP="0044500E">
      <w:pPr>
        <w:pStyle w:val="Paragraphedeliste"/>
        <w:numPr>
          <w:ilvl w:val="0"/>
          <w:numId w:val="203"/>
        </w:numPr>
        <w:spacing w:after="0" w:line="240" w:lineRule="auto"/>
        <w:jc w:val="both"/>
        <w:rPr>
          <w:rFonts w:ascii="Arial" w:hAnsi="Arial" w:cs="Arial"/>
        </w:rPr>
      </w:pPr>
      <w:r w:rsidRPr="004B17DA">
        <w:rPr>
          <w:rFonts w:ascii="Arial" w:hAnsi="Arial" w:cs="Arial"/>
        </w:rPr>
        <w:t>Pour le Coordonnateur : de suivre toutes les activités du projet et de coordonner les mesures préventives et réactives pour une meilleure sécurité de toutes les interventions et personnel du projet ;</w:t>
      </w:r>
    </w:p>
    <w:p w14:paraId="6AF11ADE" w14:textId="77777777" w:rsidR="00457520" w:rsidRPr="004B17DA" w:rsidRDefault="00457520" w:rsidP="0044500E">
      <w:pPr>
        <w:pStyle w:val="Paragraphedeliste"/>
        <w:numPr>
          <w:ilvl w:val="0"/>
          <w:numId w:val="203"/>
        </w:numPr>
        <w:spacing w:after="0" w:line="240" w:lineRule="auto"/>
        <w:jc w:val="both"/>
        <w:rPr>
          <w:rFonts w:ascii="Arial" w:hAnsi="Arial" w:cs="Arial"/>
        </w:rPr>
      </w:pPr>
      <w:r w:rsidRPr="004B17DA">
        <w:rPr>
          <w:rFonts w:ascii="Arial" w:hAnsi="Arial" w:cs="Arial"/>
        </w:rPr>
        <w:t>Pour l’Assistante Documentaliste : de faciliter l’archivage en vue de la capitalisation des acquis liés à la prévention et à la gestion des risques sécuritaires ;</w:t>
      </w:r>
    </w:p>
    <w:p w14:paraId="3EA09AAE" w14:textId="77777777" w:rsidR="00457520" w:rsidRPr="004B17DA" w:rsidRDefault="00457520" w:rsidP="0044500E">
      <w:pPr>
        <w:pStyle w:val="Paragraphedeliste"/>
        <w:numPr>
          <w:ilvl w:val="0"/>
          <w:numId w:val="203"/>
        </w:numPr>
        <w:spacing w:after="0" w:line="240" w:lineRule="auto"/>
        <w:jc w:val="both"/>
        <w:rPr>
          <w:rFonts w:ascii="Arial" w:hAnsi="Arial" w:cs="Arial"/>
        </w:rPr>
      </w:pPr>
      <w:r w:rsidRPr="004B17DA">
        <w:rPr>
          <w:rFonts w:ascii="Arial" w:hAnsi="Arial" w:cs="Arial"/>
        </w:rPr>
        <w:t xml:space="preserve">Pour le Responsable Administratif et Financier (RAF) : </w:t>
      </w:r>
      <w:r>
        <w:rPr>
          <w:rFonts w:ascii="Arial" w:hAnsi="Arial" w:cs="Arial"/>
        </w:rPr>
        <w:t>f</w:t>
      </w:r>
      <w:r w:rsidRPr="004B17DA">
        <w:rPr>
          <w:rFonts w:ascii="Arial" w:hAnsi="Arial" w:cs="Arial"/>
        </w:rPr>
        <w:t>aciliter la mobilisation et la mise à disposition des moyens administratifs et financiers devant entrer dans le processus de sécurisation des interventions du projet ;</w:t>
      </w:r>
    </w:p>
    <w:p w14:paraId="325ACB92" w14:textId="77777777" w:rsidR="00457520" w:rsidRPr="004B17DA" w:rsidRDefault="00457520" w:rsidP="0044500E">
      <w:pPr>
        <w:pStyle w:val="Paragraphedeliste"/>
        <w:numPr>
          <w:ilvl w:val="0"/>
          <w:numId w:val="203"/>
        </w:numPr>
        <w:spacing w:after="0" w:line="240" w:lineRule="auto"/>
        <w:jc w:val="both"/>
        <w:rPr>
          <w:rFonts w:ascii="Arial" w:hAnsi="Arial" w:cs="Arial"/>
        </w:rPr>
      </w:pPr>
      <w:r w:rsidRPr="004B17DA">
        <w:rPr>
          <w:rFonts w:ascii="Arial" w:hAnsi="Arial" w:cs="Arial"/>
        </w:rPr>
        <w:t xml:space="preserve">Pour le Comptable : </w:t>
      </w:r>
      <w:r>
        <w:rPr>
          <w:rFonts w:ascii="Arial" w:hAnsi="Arial" w:cs="Arial"/>
        </w:rPr>
        <w:t>f</w:t>
      </w:r>
      <w:r w:rsidRPr="004B17DA">
        <w:rPr>
          <w:rFonts w:ascii="Arial" w:hAnsi="Arial" w:cs="Arial"/>
        </w:rPr>
        <w:t>aciliter la mise à disposition des moyens financiers devant entrer dans le processus de sécurisation des interventions du projet ;</w:t>
      </w:r>
    </w:p>
    <w:p w14:paraId="60406904" w14:textId="77777777" w:rsidR="00457520" w:rsidRPr="004B17DA" w:rsidRDefault="00457520" w:rsidP="0044500E">
      <w:pPr>
        <w:pStyle w:val="Paragraphedeliste"/>
        <w:numPr>
          <w:ilvl w:val="0"/>
          <w:numId w:val="203"/>
        </w:numPr>
        <w:spacing w:after="0" w:line="240" w:lineRule="auto"/>
        <w:jc w:val="both"/>
        <w:rPr>
          <w:rFonts w:ascii="Arial" w:hAnsi="Arial" w:cs="Arial"/>
        </w:rPr>
      </w:pPr>
      <w:r w:rsidRPr="004B17DA">
        <w:rPr>
          <w:rFonts w:ascii="Arial" w:hAnsi="Arial" w:cs="Arial"/>
        </w:rPr>
        <w:t>Pour le chauffeur : de s’assurer que tous les véhicules à exploiter pour un déplacement dans le cadre du projet sont en bon état de marche et jouerait convenablement leur rôle de moyen de fuite en cas de danger ou d’attaque ou encore, n’occasionnerait pas des pannes imprévues pouvant exposer le personnel en déplacement à des attaques ;</w:t>
      </w:r>
    </w:p>
    <w:p w14:paraId="2209BB83" w14:textId="77777777" w:rsidR="00457520" w:rsidRDefault="00457520" w:rsidP="0044500E">
      <w:pPr>
        <w:pStyle w:val="Paragraphedeliste"/>
        <w:numPr>
          <w:ilvl w:val="0"/>
          <w:numId w:val="203"/>
        </w:numPr>
        <w:spacing w:after="0" w:line="240" w:lineRule="auto"/>
        <w:jc w:val="both"/>
        <w:rPr>
          <w:rFonts w:ascii="Arial" w:hAnsi="Arial" w:cs="Arial"/>
        </w:rPr>
      </w:pPr>
      <w:r w:rsidRPr="004B17DA">
        <w:rPr>
          <w:rFonts w:ascii="Arial" w:hAnsi="Arial" w:cs="Arial"/>
        </w:rPr>
        <w:t>Pour l’agent de liaison : de préserver tout courrier du projet sous sa responsabilité, de façon à éviter toute éventuelle fuite d’informations, aussi banale soit-elle, pouvant entraver la sécurité du personnel.</w:t>
      </w:r>
    </w:p>
    <w:p w14:paraId="6A6B4A22" w14:textId="77777777" w:rsidR="00CC01C2" w:rsidRPr="004B17DA" w:rsidRDefault="00CC01C2" w:rsidP="005C566E">
      <w:pPr>
        <w:pStyle w:val="Paragraphedeliste"/>
        <w:spacing w:after="0" w:line="240" w:lineRule="auto"/>
        <w:jc w:val="both"/>
        <w:rPr>
          <w:rFonts w:ascii="Arial" w:hAnsi="Arial" w:cs="Arial"/>
        </w:rPr>
      </w:pPr>
    </w:p>
    <w:p w14:paraId="3107E760" w14:textId="77777777" w:rsidR="00457520" w:rsidRPr="005C566E" w:rsidRDefault="00CC01C2" w:rsidP="0044500E">
      <w:pPr>
        <w:numPr>
          <w:ilvl w:val="0"/>
          <w:numId w:val="214"/>
        </w:numPr>
        <w:rPr>
          <w:b/>
          <w:bCs/>
        </w:rPr>
      </w:pPr>
      <w:bookmarkStart w:id="1799" w:name="_Toc100252468"/>
      <w:bookmarkStart w:id="1800" w:name="_Toc125384724"/>
      <w:bookmarkStart w:id="1801" w:name="_Toc125385113"/>
      <w:r>
        <w:rPr>
          <w:b/>
          <w:bCs/>
        </w:rPr>
        <w:br w:type="page"/>
      </w:r>
      <w:r w:rsidR="00457520" w:rsidRPr="005C566E">
        <w:rPr>
          <w:b/>
          <w:bCs/>
        </w:rPr>
        <w:t>Modalités de veille sécuritaire</w:t>
      </w:r>
      <w:bookmarkEnd w:id="1799"/>
      <w:bookmarkEnd w:id="1800"/>
      <w:bookmarkEnd w:id="1801"/>
    </w:p>
    <w:p w14:paraId="17440C5E" w14:textId="77777777" w:rsidR="00457520" w:rsidRPr="00BF4C7E" w:rsidRDefault="00457520" w:rsidP="00457520">
      <w:pPr>
        <w:spacing w:line="236" w:lineRule="auto"/>
        <w:ind w:right="20"/>
        <w:jc w:val="both"/>
        <w:rPr>
          <w:rFonts w:ascii="Arial" w:eastAsia="Arial" w:hAnsi="Arial"/>
        </w:rPr>
      </w:pPr>
      <w:r w:rsidRPr="00BF4C7E">
        <w:rPr>
          <w:rFonts w:ascii="Arial" w:eastAsia="Arial" w:hAnsi="Arial"/>
        </w:rPr>
        <w:t xml:space="preserve">La veille sécuritaire constitue une mesure phare de prévention dans la gestion des risques de sécurité. Elle sera appliquée aussitôt après la mise en vigueur du Projet </w:t>
      </w:r>
      <w:r>
        <w:rPr>
          <w:rFonts w:ascii="Arial" w:eastAsia="Arial" w:hAnsi="Arial"/>
        </w:rPr>
        <w:t>DECIM</w:t>
      </w:r>
      <w:r w:rsidRPr="00BF4C7E">
        <w:rPr>
          <w:rFonts w:ascii="Arial" w:eastAsia="Arial" w:hAnsi="Arial"/>
        </w:rPr>
        <w:t xml:space="preserve"> sans discontinuité dans le temps.</w:t>
      </w:r>
    </w:p>
    <w:p w14:paraId="289B385C" w14:textId="77777777" w:rsidR="00457520" w:rsidRPr="00BF4C7E" w:rsidRDefault="00457520" w:rsidP="00457520">
      <w:pPr>
        <w:spacing w:line="236" w:lineRule="auto"/>
        <w:ind w:right="20"/>
        <w:jc w:val="both"/>
        <w:rPr>
          <w:rFonts w:ascii="Arial" w:eastAsia="Arial" w:hAnsi="Arial"/>
        </w:rPr>
      </w:pPr>
      <w:r w:rsidRPr="00BF4C7E">
        <w:rPr>
          <w:rFonts w:ascii="Arial" w:eastAsia="Arial" w:hAnsi="Arial"/>
        </w:rPr>
        <w:t>L'objectif principal est de mettre en place, un processus fonctionnel de recueil de données fiables permettant de bâtir une analyse de la situation sécuritaire grâce à des outils de collecte de données. C’est un exercice permettant d’appréhender et d'anticiper les menaces ou risques pouvant peser sur les personnels et les activités du projet.</w:t>
      </w:r>
    </w:p>
    <w:p w14:paraId="65CDDC77" w14:textId="77777777" w:rsidR="00457520" w:rsidRDefault="00457520" w:rsidP="00457520">
      <w:pPr>
        <w:spacing w:after="0" w:line="240" w:lineRule="auto"/>
        <w:jc w:val="both"/>
        <w:rPr>
          <w:rFonts w:ascii="Arial" w:eastAsia="Arial" w:hAnsi="Arial"/>
        </w:rPr>
      </w:pPr>
      <w:r w:rsidRPr="009F20CC">
        <w:rPr>
          <w:rFonts w:ascii="Arial" w:eastAsia="Arial" w:hAnsi="Arial"/>
        </w:rPr>
        <w:t xml:space="preserve">Elle sera animée par le Responsable de la Gestion du risque social </w:t>
      </w:r>
      <w:r>
        <w:rPr>
          <w:rFonts w:ascii="Arial" w:eastAsia="Arial" w:hAnsi="Arial"/>
        </w:rPr>
        <w:t>qui t</w:t>
      </w:r>
      <w:r w:rsidRPr="009F20CC">
        <w:rPr>
          <w:rFonts w:ascii="Arial" w:eastAsia="Arial" w:hAnsi="Arial"/>
        </w:rPr>
        <w:t xml:space="preserve">ravaillera </w:t>
      </w:r>
      <w:r>
        <w:rPr>
          <w:rFonts w:ascii="Arial" w:eastAsia="Arial" w:hAnsi="Arial"/>
        </w:rPr>
        <w:t>surtout avec les forces de l’ordre comme la Gendarmerie, la police et le représentant de l’Etat au niveau des Régions et Districts (Préfet et chef District) ainsi que l’autorité locale (Maire et chef fokontany).</w:t>
      </w:r>
    </w:p>
    <w:p w14:paraId="258FA02B" w14:textId="77777777" w:rsidR="00457520" w:rsidRDefault="00457520" w:rsidP="00457520">
      <w:pPr>
        <w:spacing w:after="0" w:line="240" w:lineRule="auto"/>
        <w:jc w:val="both"/>
        <w:rPr>
          <w:rFonts w:ascii="Arial" w:eastAsia="Arial" w:hAnsi="Arial"/>
        </w:rPr>
      </w:pPr>
    </w:p>
    <w:p w14:paraId="12004A6B" w14:textId="77777777" w:rsidR="00457520" w:rsidRPr="009F20CC" w:rsidRDefault="00457520" w:rsidP="00457520">
      <w:pPr>
        <w:spacing w:after="0" w:line="240" w:lineRule="auto"/>
        <w:jc w:val="both"/>
        <w:rPr>
          <w:rFonts w:ascii="Arial" w:hAnsi="Arial" w:cs="Arial"/>
        </w:rPr>
      </w:pPr>
      <w:r w:rsidRPr="009F20CC">
        <w:rPr>
          <w:rFonts w:ascii="Arial" w:eastAsia="Arial" w:hAnsi="Arial"/>
        </w:rPr>
        <w:t>Une fois recueillies à travers plusieurs canaux (</w:t>
      </w:r>
      <w:r>
        <w:rPr>
          <w:rFonts w:ascii="Arial" w:eastAsia="Arial" w:hAnsi="Arial"/>
        </w:rPr>
        <w:t xml:space="preserve">appel téléphonique, </w:t>
      </w:r>
      <w:r w:rsidRPr="009F20CC">
        <w:rPr>
          <w:rFonts w:ascii="Arial" w:eastAsia="Arial" w:hAnsi="Arial"/>
        </w:rPr>
        <w:t>WhatsApp, Facebook, Twitter, interviews privées, radios et journaux locaux, etc.), ces informations, seront vérifiées, traitées, analysées et transmises au Coordonnateur du Projet à travers une note synthétique. Selon le caractère urgen</w:t>
      </w:r>
      <w:r>
        <w:rPr>
          <w:rFonts w:ascii="Arial" w:eastAsia="Arial" w:hAnsi="Arial"/>
        </w:rPr>
        <w:t xml:space="preserve">t ou </w:t>
      </w:r>
      <w:r w:rsidR="00D60C1B">
        <w:rPr>
          <w:rFonts w:ascii="Arial" w:eastAsia="Arial" w:hAnsi="Arial"/>
        </w:rPr>
        <w:t>o</w:t>
      </w:r>
      <w:r>
        <w:rPr>
          <w:rFonts w:ascii="Arial" w:eastAsia="Arial" w:hAnsi="Arial"/>
        </w:rPr>
        <w:t>rdinaire de la situation</w:t>
      </w:r>
      <w:r w:rsidRPr="009F20CC">
        <w:rPr>
          <w:rFonts w:ascii="Arial" w:eastAsia="Arial" w:hAnsi="Arial"/>
        </w:rPr>
        <w:t xml:space="preserve">, il est institué une réunion de crise ou un </w:t>
      </w:r>
      <w:r w:rsidR="00D60C1B">
        <w:rPr>
          <w:rFonts w:ascii="Arial" w:eastAsia="Arial" w:hAnsi="Arial"/>
        </w:rPr>
        <w:t>c</w:t>
      </w:r>
      <w:r w:rsidRPr="009F20CC">
        <w:rPr>
          <w:rFonts w:ascii="Arial" w:eastAsia="Arial" w:hAnsi="Arial"/>
        </w:rPr>
        <w:t>ompte rendu ordinaire lors de la réunion régulière de coordination en vue de partager les informations, de faire un point sur l’évolution de la situation sécuritaire et formuler des recommandations pour une meilleure gestion et prévention des risques sécuritaires</w:t>
      </w:r>
      <w:r>
        <w:rPr>
          <w:rFonts w:ascii="Arial" w:eastAsia="Arial" w:hAnsi="Arial"/>
        </w:rPr>
        <w:t xml:space="preserve">. C’est aussi au niveau de cette réunion qu’on décide </w:t>
      </w:r>
      <w:r w:rsidRPr="009F20CC">
        <w:rPr>
          <w:rFonts w:ascii="Arial" w:eastAsia="Arial" w:hAnsi="Arial"/>
        </w:rPr>
        <w:t xml:space="preserve">la suspension et/ou l’annulation des déplacements en cours ou programmés. </w:t>
      </w:r>
    </w:p>
    <w:p w14:paraId="3033B893" w14:textId="77777777" w:rsidR="00457520" w:rsidRDefault="00457520" w:rsidP="00457520">
      <w:pPr>
        <w:spacing w:after="0" w:line="240" w:lineRule="auto"/>
        <w:jc w:val="both"/>
        <w:rPr>
          <w:rFonts w:ascii="Arial" w:eastAsia="Arial" w:hAnsi="Arial"/>
        </w:rPr>
      </w:pPr>
    </w:p>
    <w:p w14:paraId="4B3CA0BD" w14:textId="77777777" w:rsidR="00457520" w:rsidRPr="005C566E" w:rsidRDefault="00457520" w:rsidP="0044500E">
      <w:pPr>
        <w:numPr>
          <w:ilvl w:val="0"/>
          <w:numId w:val="214"/>
        </w:numPr>
        <w:rPr>
          <w:b/>
          <w:bCs/>
        </w:rPr>
      </w:pPr>
      <w:bookmarkStart w:id="1802" w:name="_Toc100252469"/>
      <w:bookmarkStart w:id="1803" w:name="_Toc125384725"/>
      <w:bookmarkStart w:id="1804" w:name="_Toc125385114"/>
      <w:r w:rsidRPr="005C566E">
        <w:rPr>
          <w:b/>
          <w:bCs/>
        </w:rPr>
        <w:t>Sécurité des déplacements</w:t>
      </w:r>
      <w:bookmarkEnd w:id="1802"/>
      <w:bookmarkEnd w:id="1803"/>
      <w:bookmarkEnd w:id="1804"/>
    </w:p>
    <w:p w14:paraId="6FEF5B7B" w14:textId="77777777" w:rsidR="00457520" w:rsidRDefault="00457520" w:rsidP="00457520">
      <w:pPr>
        <w:spacing w:line="236" w:lineRule="auto"/>
        <w:ind w:right="20"/>
        <w:jc w:val="both"/>
        <w:rPr>
          <w:rFonts w:ascii="Arial" w:eastAsia="Arial" w:hAnsi="Arial"/>
        </w:rPr>
      </w:pPr>
      <w:r w:rsidRPr="00BF4C7E">
        <w:rPr>
          <w:rFonts w:ascii="Arial" w:eastAsia="Arial" w:hAnsi="Arial"/>
        </w:rPr>
        <w:t>Les déplacements du personnel de projet pour les activités du projet sont des occasions d’exposition à certains risques sécuritaires dont l’occurrence sur les voies de circulation est réelle. Pour assurer une meilleure sécurité lors des déplacements, les véhicules devront toujours être en très bon état de marche de façon à éviter des pannes à des endroits à haut risque sécuritaire ou de faciliter la fuite en cas d’imminence d’une attaque. Le responsable en charge de la sécurité (</w:t>
      </w:r>
      <w:r>
        <w:rPr>
          <w:rFonts w:ascii="Arial" w:eastAsia="Arial" w:hAnsi="Arial"/>
        </w:rPr>
        <w:t>Responsable de la Gestion du risque social</w:t>
      </w:r>
      <w:r w:rsidRPr="00BF4C7E">
        <w:rPr>
          <w:rFonts w:ascii="Arial" w:eastAsia="Arial" w:hAnsi="Arial"/>
        </w:rPr>
        <w:t xml:space="preserve">) devra </w:t>
      </w:r>
      <w:r>
        <w:rPr>
          <w:rFonts w:ascii="Arial" w:eastAsia="Arial" w:hAnsi="Arial"/>
        </w:rPr>
        <w:t xml:space="preserve">ainsi informer le </w:t>
      </w:r>
      <w:r w:rsidR="00D60C1B">
        <w:rPr>
          <w:rFonts w:ascii="Arial" w:eastAsia="Arial" w:hAnsi="Arial"/>
        </w:rPr>
        <w:t>P</w:t>
      </w:r>
      <w:r>
        <w:rPr>
          <w:rFonts w:ascii="Arial" w:eastAsia="Arial" w:hAnsi="Arial"/>
        </w:rPr>
        <w:t xml:space="preserve">réfet de région, le chef </w:t>
      </w:r>
      <w:r w:rsidR="00D60C1B">
        <w:rPr>
          <w:rFonts w:ascii="Arial" w:eastAsia="Arial" w:hAnsi="Arial"/>
        </w:rPr>
        <w:t xml:space="preserve">de </w:t>
      </w:r>
      <w:r>
        <w:rPr>
          <w:rFonts w:ascii="Arial" w:eastAsia="Arial" w:hAnsi="Arial"/>
        </w:rPr>
        <w:t>District le poste de la gendarmerie, sur le déplacement des équipes. Une fois arrivée dans les chefs lieu région ou District, les missionnaires sont dans l’obligation de se présen</w:t>
      </w:r>
      <w:r w:rsidR="00D60C1B">
        <w:rPr>
          <w:rFonts w:ascii="Arial" w:eastAsia="Arial" w:hAnsi="Arial"/>
        </w:rPr>
        <w:t>ter</w:t>
      </w:r>
      <w:r>
        <w:rPr>
          <w:rFonts w:ascii="Arial" w:eastAsia="Arial" w:hAnsi="Arial"/>
        </w:rPr>
        <w:t xml:space="preserve"> au </w:t>
      </w:r>
      <w:r w:rsidR="00D60C1B">
        <w:rPr>
          <w:rFonts w:ascii="Arial" w:eastAsia="Arial" w:hAnsi="Arial"/>
        </w:rPr>
        <w:t>P</w:t>
      </w:r>
      <w:r>
        <w:rPr>
          <w:rFonts w:ascii="Arial" w:eastAsia="Arial" w:hAnsi="Arial"/>
        </w:rPr>
        <w:t>réfet de région ou le chef de District selon le cas pour s’informer de la sécurité des localités à visiter</w:t>
      </w:r>
    </w:p>
    <w:p w14:paraId="4C95824E" w14:textId="77777777" w:rsidR="00457520" w:rsidRDefault="00457520" w:rsidP="00457520">
      <w:pPr>
        <w:spacing w:line="236" w:lineRule="auto"/>
        <w:ind w:right="20"/>
        <w:jc w:val="both"/>
        <w:rPr>
          <w:rFonts w:ascii="Arial" w:eastAsia="Arial" w:hAnsi="Arial"/>
        </w:rPr>
      </w:pPr>
      <w:r>
        <w:rPr>
          <w:rFonts w:ascii="Arial" w:eastAsia="Arial" w:hAnsi="Arial"/>
        </w:rPr>
        <w:t xml:space="preserve">Pour des raisons sécuritaires, les déplacements au-delà de </w:t>
      </w:r>
      <w:r w:rsidR="00D60C1B">
        <w:rPr>
          <w:rFonts w:ascii="Arial" w:eastAsia="Arial" w:hAnsi="Arial"/>
        </w:rPr>
        <w:t>18</w:t>
      </w:r>
      <w:r w:rsidRPr="00BF4C7E">
        <w:rPr>
          <w:rFonts w:ascii="Arial" w:eastAsia="Arial" w:hAnsi="Arial"/>
        </w:rPr>
        <w:t>h</w:t>
      </w:r>
      <w:r w:rsidR="00D60C1B">
        <w:rPr>
          <w:rFonts w:ascii="Arial" w:eastAsia="Arial" w:hAnsi="Arial"/>
        </w:rPr>
        <w:t xml:space="preserve"> à 6</w:t>
      </w:r>
      <w:r w:rsidRPr="00BF4C7E">
        <w:rPr>
          <w:rFonts w:ascii="Arial" w:eastAsia="Arial" w:hAnsi="Arial"/>
        </w:rPr>
        <w:t xml:space="preserve">h ne sont pas permis sauf dérogation officielle </w:t>
      </w:r>
      <w:r>
        <w:rPr>
          <w:rFonts w:ascii="Arial" w:eastAsia="Arial" w:hAnsi="Arial"/>
        </w:rPr>
        <w:t>de la Région ou de l’UCP.</w:t>
      </w:r>
    </w:p>
    <w:p w14:paraId="1EB4D7A9" w14:textId="77777777" w:rsidR="00457520" w:rsidRPr="00BF4C7E" w:rsidRDefault="00457520" w:rsidP="00457520">
      <w:pPr>
        <w:spacing w:line="236" w:lineRule="auto"/>
        <w:ind w:right="20"/>
        <w:jc w:val="both"/>
        <w:rPr>
          <w:rFonts w:ascii="Arial" w:eastAsia="Arial" w:hAnsi="Arial"/>
        </w:rPr>
      </w:pPr>
      <w:r w:rsidRPr="00BF4C7E">
        <w:rPr>
          <w:rFonts w:ascii="Arial" w:eastAsia="Arial" w:hAnsi="Arial"/>
        </w:rPr>
        <w:t xml:space="preserve">Lors des séances de formation ou d’information, </w:t>
      </w:r>
      <w:r>
        <w:rPr>
          <w:rFonts w:ascii="Arial" w:eastAsia="Arial" w:hAnsi="Arial"/>
        </w:rPr>
        <w:t>le Responsable de la Gestion du risque social</w:t>
      </w:r>
      <w:r w:rsidRPr="00BF4C7E">
        <w:rPr>
          <w:rFonts w:ascii="Arial" w:eastAsia="Arial" w:hAnsi="Arial"/>
        </w:rPr>
        <w:t xml:space="preserve">, </w:t>
      </w:r>
      <w:r>
        <w:rPr>
          <w:rFonts w:ascii="Arial" w:eastAsia="Arial" w:hAnsi="Arial"/>
        </w:rPr>
        <w:t>indiquera</w:t>
      </w:r>
      <w:r w:rsidRPr="00BF4C7E">
        <w:rPr>
          <w:rFonts w:ascii="Arial" w:eastAsia="Arial" w:hAnsi="Arial"/>
        </w:rPr>
        <w:t xml:space="preserve"> les dangers courus lorsque la route ou la voie planifiée n’est pas suivie et/ou souligner le fait que l’usage régulier de mêmes routes, aux mêmes horaires, augmente les risques de victimisation. Les sites d’hébergements en occurrence les hôtels devront être sécurisés ou dispos</w:t>
      </w:r>
      <w:r w:rsidR="00D60C1B">
        <w:rPr>
          <w:rFonts w:ascii="Arial" w:eastAsia="Arial" w:hAnsi="Arial"/>
        </w:rPr>
        <w:t>és</w:t>
      </w:r>
      <w:r w:rsidRPr="00BF4C7E">
        <w:rPr>
          <w:rFonts w:ascii="Arial" w:eastAsia="Arial" w:hAnsi="Arial"/>
        </w:rPr>
        <w:t xml:space="preserve"> d’un minimum de dispositifs de sécurité garantissant la sécurisation du personnel du projet en séjour et des possibilités d’évacuation rapide en cas de danger. </w:t>
      </w:r>
    </w:p>
    <w:p w14:paraId="1AC22266" w14:textId="77777777" w:rsidR="00457520" w:rsidRPr="00BF4C7E" w:rsidRDefault="00457520" w:rsidP="00457520">
      <w:pPr>
        <w:spacing w:line="236" w:lineRule="auto"/>
        <w:ind w:right="20"/>
        <w:jc w:val="both"/>
        <w:rPr>
          <w:rFonts w:ascii="Arial" w:eastAsia="Arial" w:hAnsi="Arial"/>
        </w:rPr>
      </w:pPr>
      <w:r w:rsidRPr="00BF4C7E">
        <w:rPr>
          <w:rFonts w:ascii="Arial" w:eastAsia="Arial" w:hAnsi="Arial"/>
        </w:rPr>
        <w:t xml:space="preserve">Ces solutions techniques doivent être complétées par d’autres sources d’information comme le renseignement humain entre autres. </w:t>
      </w:r>
    </w:p>
    <w:p w14:paraId="24AE58C8" w14:textId="77777777" w:rsidR="00457520" w:rsidRPr="005C566E" w:rsidRDefault="00457520" w:rsidP="0044500E">
      <w:pPr>
        <w:numPr>
          <w:ilvl w:val="0"/>
          <w:numId w:val="214"/>
        </w:numPr>
        <w:rPr>
          <w:b/>
          <w:bCs/>
        </w:rPr>
      </w:pPr>
      <w:bookmarkStart w:id="1805" w:name="_Toc125384726"/>
      <w:bookmarkStart w:id="1806" w:name="_Toc125385115"/>
      <w:r w:rsidRPr="005C566E">
        <w:rPr>
          <w:b/>
          <w:bCs/>
        </w:rPr>
        <w:t>Sécurité des communications</w:t>
      </w:r>
      <w:bookmarkEnd w:id="1805"/>
      <w:bookmarkEnd w:id="1806"/>
      <w:r w:rsidRPr="005C566E">
        <w:rPr>
          <w:b/>
          <w:bCs/>
        </w:rPr>
        <w:t xml:space="preserve"> </w:t>
      </w:r>
    </w:p>
    <w:p w14:paraId="4F90AD33" w14:textId="77777777" w:rsidR="00457520" w:rsidRPr="000F682A" w:rsidRDefault="00457520" w:rsidP="00457520">
      <w:pPr>
        <w:spacing w:line="236" w:lineRule="auto"/>
        <w:ind w:right="20"/>
        <w:jc w:val="both"/>
        <w:rPr>
          <w:rFonts w:ascii="Arial" w:eastAsia="Arial" w:hAnsi="Arial"/>
        </w:rPr>
      </w:pPr>
      <w:r w:rsidRPr="000F682A">
        <w:rPr>
          <w:rFonts w:ascii="Arial" w:eastAsia="Arial" w:hAnsi="Arial"/>
        </w:rPr>
        <w:t>La communication est primordiale et vitale en situation de crise sécuritaire. Elle permet non seulement de partager rapidement l’information en cas d’incident pour protéger les autres cibles non encore atteintes mais aussi de faire appel aux secours.</w:t>
      </w:r>
      <w:r>
        <w:rPr>
          <w:rFonts w:ascii="Arial" w:eastAsia="Arial" w:hAnsi="Arial"/>
        </w:rPr>
        <w:t xml:space="preserve"> Ainsi, tous les personnels du Projet doit avoir un numéro téléphone flotte pour pouvoir se communiquer à temps. </w:t>
      </w:r>
    </w:p>
    <w:p w14:paraId="7C514E5F" w14:textId="77777777" w:rsidR="00457520" w:rsidRPr="000F682A" w:rsidRDefault="00457520" w:rsidP="00457520">
      <w:pPr>
        <w:spacing w:line="236" w:lineRule="auto"/>
        <w:ind w:right="20"/>
        <w:jc w:val="both"/>
        <w:rPr>
          <w:rFonts w:ascii="Arial" w:eastAsia="Arial" w:hAnsi="Arial"/>
        </w:rPr>
      </w:pPr>
      <w:r>
        <w:rPr>
          <w:rFonts w:ascii="Arial" w:eastAsia="Arial" w:hAnsi="Arial"/>
        </w:rPr>
        <w:t>En outre, l</w:t>
      </w:r>
      <w:r w:rsidRPr="000F682A">
        <w:rPr>
          <w:rFonts w:ascii="Arial" w:eastAsia="Arial" w:hAnsi="Arial"/>
        </w:rPr>
        <w:t>a gestion de bonnes relations avec les médias joue souvent un rôle important dans la perception externe d’une organisation, et peut donc influencer la sécurité de manière positive ou négative. Les déclarations publiques peuvent accroître les menaces, les réduire, ou les influencer d’une manière ou d’une autre.</w:t>
      </w:r>
      <w:r>
        <w:rPr>
          <w:rFonts w:ascii="Arial" w:eastAsia="Arial" w:hAnsi="Arial"/>
        </w:rPr>
        <w:t xml:space="preserve"> Ainsi, toute communication extérieure effectuée dans le cadre du Projet DECIM doit s’assurer les membres ou l</w:t>
      </w:r>
      <w:r w:rsidRPr="00E56359">
        <w:rPr>
          <w:rFonts w:ascii="Arial" w:eastAsia="Arial" w:hAnsi="Arial"/>
        </w:rPr>
        <w:t>es partenaires</w:t>
      </w:r>
      <w:r>
        <w:rPr>
          <w:rFonts w:ascii="Arial" w:eastAsia="Arial" w:hAnsi="Arial"/>
        </w:rPr>
        <w:t xml:space="preserve"> </w:t>
      </w:r>
      <w:r w:rsidR="00D60C1B">
        <w:rPr>
          <w:rFonts w:ascii="Arial" w:eastAsia="Arial" w:hAnsi="Arial"/>
        </w:rPr>
        <w:t xml:space="preserve">qui </w:t>
      </w:r>
      <w:r>
        <w:rPr>
          <w:rFonts w:ascii="Arial" w:eastAsia="Arial" w:hAnsi="Arial"/>
        </w:rPr>
        <w:t xml:space="preserve">ne seront pas exposés </w:t>
      </w:r>
      <w:r w:rsidRPr="00E56359">
        <w:rPr>
          <w:rFonts w:ascii="Arial" w:eastAsia="Arial" w:hAnsi="Arial"/>
        </w:rPr>
        <w:t>à des actions/attaques ciblées ou des crises sécuritaires. Ainsi, les communications dans les médias seront faites sur décision du coordonnateur soit par lui-même ou par le communicateur en collaboration avec le chargé de sécurité du projet.</w:t>
      </w:r>
    </w:p>
    <w:p w14:paraId="56389257" w14:textId="77777777" w:rsidR="00457520" w:rsidRPr="005C566E" w:rsidRDefault="00457520" w:rsidP="0044500E">
      <w:pPr>
        <w:numPr>
          <w:ilvl w:val="0"/>
          <w:numId w:val="214"/>
        </w:numPr>
        <w:rPr>
          <w:b/>
          <w:bCs/>
        </w:rPr>
      </w:pPr>
      <w:bookmarkStart w:id="1807" w:name="_Toc125384727"/>
      <w:bookmarkStart w:id="1808" w:name="_Toc125385116"/>
      <w:r w:rsidRPr="005C566E">
        <w:rPr>
          <w:b/>
          <w:bCs/>
        </w:rPr>
        <w:t>Mesures préventives</w:t>
      </w:r>
      <w:bookmarkEnd w:id="1807"/>
      <w:bookmarkEnd w:id="1808"/>
    </w:p>
    <w:p w14:paraId="5352E8F3" w14:textId="77777777" w:rsidR="00457520" w:rsidRDefault="00457520" w:rsidP="00457520">
      <w:pPr>
        <w:spacing w:line="236" w:lineRule="auto"/>
        <w:ind w:right="20"/>
        <w:jc w:val="both"/>
        <w:rPr>
          <w:rFonts w:ascii="Arial" w:eastAsia="Arial" w:hAnsi="Arial"/>
        </w:rPr>
      </w:pPr>
      <w:r w:rsidRPr="009F20CC">
        <w:rPr>
          <w:rFonts w:ascii="Arial" w:eastAsia="Arial" w:hAnsi="Arial"/>
        </w:rPr>
        <w:t xml:space="preserve">La prévention des risques d’insécurité sur les sites d’intervention du projet constitue un facteur primordial du plan de gestion de sécurité du projet. Une meilleure prévention consiste à toujours se référer au système existant avant toute intervention. L’Unité de Coordination du Projet devra prendre toutes les dispositions nécessaires pour suivre la situation sécuritaire dans la zone et déployer un plan d’alerte multi-niveau en fonction de l’étendu et de l’envergure de la menace sécuritaire. Par ailleurs en raison de la nature des travaux étalés du projet (construction </w:t>
      </w:r>
      <w:r>
        <w:rPr>
          <w:rFonts w:ascii="Arial" w:eastAsia="Arial" w:hAnsi="Arial"/>
        </w:rPr>
        <w:t xml:space="preserve">centre Photovoltaïque, </w:t>
      </w:r>
      <w:r w:rsidR="00D60C1B">
        <w:rPr>
          <w:rFonts w:ascii="Arial" w:eastAsia="Arial" w:hAnsi="Arial"/>
        </w:rPr>
        <w:t>b</w:t>
      </w:r>
      <w:r>
        <w:rPr>
          <w:rFonts w:ascii="Arial" w:eastAsia="Arial" w:hAnsi="Arial"/>
        </w:rPr>
        <w:t>arrage hydroélectrique</w:t>
      </w:r>
      <w:r w:rsidRPr="009F20CC">
        <w:rPr>
          <w:rFonts w:ascii="Arial" w:eastAsia="Arial" w:hAnsi="Arial"/>
        </w:rPr>
        <w:t>), les acteurs à associer pour prévenir et alerter en cas de situation manifeste d’insécurité réelle ou à venir doivent être identifiés dans toutes les localités d’intervention. La pratique des stratégies de renseignement local constitue aussi une activité utile pour la prévention des incidents sécuritaire sur le projet.</w:t>
      </w:r>
    </w:p>
    <w:p w14:paraId="2EBF87D9" w14:textId="77777777" w:rsidR="00457520" w:rsidRPr="009F20CC" w:rsidRDefault="00457520" w:rsidP="00457520">
      <w:pPr>
        <w:spacing w:line="236" w:lineRule="auto"/>
        <w:ind w:right="20"/>
        <w:jc w:val="both"/>
        <w:rPr>
          <w:rFonts w:ascii="Arial" w:eastAsia="Arial" w:hAnsi="Arial"/>
        </w:rPr>
      </w:pPr>
      <w:r>
        <w:rPr>
          <w:rFonts w:ascii="Arial" w:eastAsia="Arial" w:hAnsi="Arial"/>
        </w:rPr>
        <w:t xml:space="preserve">Les différentes mesures avec sa description et les responsables de mise en œuvre sont synthétisés dans le tableau ci-dessous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2215"/>
        <w:gridCol w:w="1862"/>
        <w:gridCol w:w="1415"/>
        <w:gridCol w:w="1951"/>
      </w:tblGrid>
      <w:tr w:rsidR="00457520" w14:paraId="2A574E5F" w14:textId="77777777" w:rsidTr="00E03F6A">
        <w:trPr>
          <w:tblHeader/>
          <w:jc w:val="center"/>
        </w:trPr>
        <w:tc>
          <w:tcPr>
            <w:tcW w:w="886" w:type="pct"/>
            <w:shd w:val="clear" w:color="auto" w:fill="00B0F0"/>
            <w:vAlign w:val="center"/>
          </w:tcPr>
          <w:p w14:paraId="04CB53F2" w14:textId="77777777" w:rsidR="00457520" w:rsidRPr="00E03F6A" w:rsidRDefault="00457520" w:rsidP="00E03F6A">
            <w:pPr>
              <w:spacing w:after="120"/>
              <w:jc w:val="center"/>
              <w:rPr>
                <w:b/>
                <w:lang w:val="fr-CA"/>
              </w:rPr>
            </w:pPr>
            <w:r w:rsidRPr="00E03F6A">
              <w:rPr>
                <w:b/>
                <w:lang w:val="fr-CA"/>
              </w:rPr>
              <w:t>Mesures</w:t>
            </w:r>
          </w:p>
        </w:tc>
        <w:tc>
          <w:tcPr>
            <w:tcW w:w="1251" w:type="pct"/>
            <w:shd w:val="clear" w:color="auto" w:fill="00B0F0"/>
            <w:vAlign w:val="center"/>
          </w:tcPr>
          <w:p w14:paraId="076022AA" w14:textId="77777777" w:rsidR="00457520" w:rsidRPr="00E03F6A" w:rsidRDefault="00457520" w:rsidP="00E03F6A">
            <w:pPr>
              <w:spacing w:after="120"/>
              <w:jc w:val="center"/>
              <w:rPr>
                <w:b/>
                <w:lang w:val="fr-CA"/>
              </w:rPr>
            </w:pPr>
            <w:r w:rsidRPr="00E03F6A">
              <w:rPr>
                <w:b/>
                <w:lang w:val="fr-CA"/>
              </w:rPr>
              <w:t>Objectif/Description</w:t>
            </w:r>
          </w:p>
        </w:tc>
        <w:tc>
          <w:tcPr>
            <w:tcW w:w="1031" w:type="pct"/>
            <w:shd w:val="clear" w:color="auto" w:fill="00B0F0"/>
            <w:vAlign w:val="center"/>
          </w:tcPr>
          <w:p w14:paraId="0E1E8CA2" w14:textId="77777777" w:rsidR="00457520" w:rsidRPr="00E03F6A" w:rsidRDefault="00457520" w:rsidP="00E03F6A">
            <w:pPr>
              <w:spacing w:after="120"/>
              <w:jc w:val="center"/>
              <w:rPr>
                <w:b/>
                <w:lang w:val="fr-CA"/>
              </w:rPr>
            </w:pPr>
            <w:r w:rsidRPr="00E03F6A">
              <w:rPr>
                <w:b/>
                <w:lang w:val="fr-CA"/>
              </w:rPr>
              <w:t>Indicateur de réalisation</w:t>
            </w:r>
          </w:p>
        </w:tc>
        <w:tc>
          <w:tcPr>
            <w:tcW w:w="762" w:type="pct"/>
            <w:shd w:val="clear" w:color="auto" w:fill="00B0F0"/>
            <w:vAlign w:val="center"/>
          </w:tcPr>
          <w:p w14:paraId="4505D128" w14:textId="77777777" w:rsidR="00457520" w:rsidRPr="00E03F6A" w:rsidRDefault="00457520" w:rsidP="00E03F6A">
            <w:pPr>
              <w:spacing w:after="120"/>
              <w:jc w:val="center"/>
              <w:rPr>
                <w:b/>
                <w:lang w:val="fr-CA"/>
              </w:rPr>
            </w:pPr>
            <w:r w:rsidRPr="00E03F6A">
              <w:rPr>
                <w:b/>
                <w:lang w:val="fr-CA"/>
              </w:rPr>
              <w:t>Acteurs responsables</w:t>
            </w:r>
          </w:p>
        </w:tc>
        <w:tc>
          <w:tcPr>
            <w:tcW w:w="1070" w:type="pct"/>
            <w:shd w:val="clear" w:color="auto" w:fill="00B0F0"/>
            <w:vAlign w:val="center"/>
          </w:tcPr>
          <w:p w14:paraId="0B35CF1D" w14:textId="77777777" w:rsidR="00457520" w:rsidRPr="00E03F6A" w:rsidRDefault="00457520" w:rsidP="00E03F6A">
            <w:pPr>
              <w:spacing w:after="120"/>
              <w:jc w:val="center"/>
              <w:rPr>
                <w:b/>
                <w:lang w:val="fr-CA"/>
              </w:rPr>
            </w:pPr>
            <w:r w:rsidRPr="00E03F6A">
              <w:rPr>
                <w:b/>
                <w:lang w:val="fr-CA"/>
              </w:rPr>
              <w:t>Acteurs associés</w:t>
            </w:r>
          </w:p>
        </w:tc>
      </w:tr>
      <w:tr w:rsidR="00457520" w:rsidRPr="008F324C" w14:paraId="66EA994B" w14:textId="77777777" w:rsidTr="00E03F6A">
        <w:trPr>
          <w:jc w:val="center"/>
        </w:trPr>
        <w:tc>
          <w:tcPr>
            <w:tcW w:w="886" w:type="pct"/>
            <w:shd w:val="clear" w:color="auto" w:fill="auto"/>
          </w:tcPr>
          <w:p w14:paraId="72666D3F" w14:textId="77777777" w:rsidR="00457520" w:rsidRPr="00E03F6A" w:rsidRDefault="00457520" w:rsidP="00E03F6A">
            <w:pPr>
              <w:spacing w:line="236" w:lineRule="auto"/>
              <w:ind w:right="20"/>
              <w:jc w:val="both"/>
              <w:rPr>
                <w:rFonts w:ascii="Arial" w:eastAsia="Arial" w:hAnsi="Arial" w:cs="Arial"/>
                <w:sz w:val="20"/>
                <w:szCs w:val="20"/>
              </w:rPr>
            </w:pPr>
            <w:r w:rsidRPr="00E03F6A">
              <w:rPr>
                <w:rFonts w:ascii="Arial" w:hAnsi="Arial" w:cs="Arial"/>
                <w:sz w:val="20"/>
                <w:szCs w:val="20"/>
                <w:lang w:val="fr-CA"/>
              </w:rPr>
              <w:t>Mettre en place un plan d’alerte multi-niveau</w:t>
            </w:r>
          </w:p>
        </w:tc>
        <w:tc>
          <w:tcPr>
            <w:tcW w:w="1251" w:type="pct"/>
            <w:shd w:val="clear" w:color="auto" w:fill="auto"/>
          </w:tcPr>
          <w:p w14:paraId="5E7A08D0"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Mobiliser les acteurs à tous les niveaux (commune, Régions) d’intervention du projet afin que les informations disponibles sur la présence ou non des Bandits armés soit rapportée à la coordination du projet en temps opportun afin que le dispositif réactif soit déclenché</w:t>
            </w:r>
          </w:p>
          <w:p w14:paraId="0AB10861" w14:textId="77777777" w:rsidR="00457520" w:rsidRPr="00E03F6A" w:rsidRDefault="00457520" w:rsidP="00E03F6A">
            <w:pPr>
              <w:spacing w:line="236" w:lineRule="auto"/>
              <w:ind w:right="20"/>
              <w:jc w:val="both"/>
              <w:rPr>
                <w:rFonts w:ascii="Arial" w:eastAsia="Arial" w:hAnsi="Arial" w:cs="Arial"/>
                <w:sz w:val="20"/>
                <w:szCs w:val="20"/>
              </w:rPr>
            </w:pPr>
            <w:r w:rsidRPr="00E03F6A">
              <w:rPr>
                <w:rFonts w:ascii="Arial" w:hAnsi="Arial" w:cs="Arial"/>
                <w:sz w:val="20"/>
                <w:szCs w:val="20"/>
                <w:lang w:val="fr-CA"/>
              </w:rPr>
              <w:t>Prévenir tout risque d’attaque sur le projet</w:t>
            </w:r>
          </w:p>
        </w:tc>
        <w:tc>
          <w:tcPr>
            <w:tcW w:w="1031" w:type="pct"/>
            <w:shd w:val="clear" w:color="auto" w:fill="auto"/>
          </w:tcPr>
          <w:p w14:paraId="449B2B88" w14:textId="77777777" w:rsidR="00457520" w:rsidRPr="00E03F6A" w:rsidRDefault="00457520" w:rsidP="00E03F6A">
            <w:pPr>
              <w:spacing w:after="120"/>
              <w:rPr>
                <w:rFonts w:ascii="Arial" w:eastAsia="Arial" w:hAnsi="Arial" w:cs="Arial"/>
                <w:sz w:val="20"/>
                <w:szCs w:val="20"/>
              </w:rPr>
            </w:pPr>
            <w:r w:rsidRPr="00E03F6A">
              <w:rPr>
                <w:rFonts w:ascii="Arial" w:hAnsi="Arial" w:cs="Arial"/>
                <w:sz w:val="20"/>
                <w:szCs w:val="20"/>
                <w:lang w:val="fr-CA"/>
              </w:rPr>
              <w:t>Nombre d’alertes reçus</w:t>
            </w:r>
          </w:p>
        </w:tc>
        <w:tc>
          <w:tcPr>
            <w:tcW w:w="762" w:type="pct"/>
            <w:shd w:val="clear" w:color="auto" w:fill="auto"/>
          </w:tcPr>
          <w:p w14:paraId="0FE1E663"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Entreprises en charge des travaux</w:t>
            </w:r>
          </w:p>
          <w:p w14:paraId="68501F9B"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Bureaux de contrôle</w:t>
            </w:r>
          </w:p>
          <w:p w14:paraId="64D96DA0"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 xml:space="preserve">Gendarmerie </w:t>
            </w:r>
          </w:p>
          <w:p w14:paraId="044F77AF" w14:textId="77777777" w:rsidR="00457520" w:rsidRPr="00E03F6A" w:rsidRDefault="00457520" w:rsidP="00E03F6A">
            <w:pPr>
              <w:spacing w:line="236" w:lineRule="auto"/>
              <w:ind w:right="20"/>
              <w:jc w:val="both"/>
              <w:rPr>
                <w:rFonts w:ascii="Arial" w:eastAsia="Arial" w:hAnsi="Arial" w:cs="Arial"/>
                <w:sz w:val="20"/>
                <w:szCs w:val="20"/>
              </w:rPr>
            </w:pPr>
            <w:r w:rsidRPr="00E03F6A">
              <w:rPr>
                <w:rFonts w:ascii="Arial" w:hAnsi="Arial" w:cs="Arial"/>
                <w:sz w:val="20"/>
                <w:szCs w:val="20"/>
                <w:lang w:val="fr-CA"/>
              </w:rPr>
              <w:t>UCP</w:t>
            </w:r>
          </w:p>
        </w:tc>
        <w:tc>
          <w:tcPr>
            <w:tcW w:w="1070" w:type="pct"/>
            <w:shd w:val="clear" w:color="auto" w:fill="auto"/>
          </w:tcPr>
          <w:p w14:paraId="77AF1EE8"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Maire</w:t>
            </w:r>
          </w:p>
          <w:p w14:paraId="14419C2D"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Chef District</w:t>
            </w:r>
          </w:p>
          <w:p w14:paraId="3411216C"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Préfet de Région</w:t>
            </w:r>
          </w:p>
          <w:p w14:paraId="103BF31F"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Gouverneur</w:t>
            </w:r>
          </w:p>
        </w:tc>
      </w:tr>
      <w:tr w:rsidR="00457520" w:rsidRPr="008F324C" w14:paraId="4C3E4F75" w14:textId="77777777" w:rsidTr="00E03F6A">
        <w:trPr>
          <w:jc w:val="center"/>
        </w:trPr>
        <w:tc>
          <w:tcPr>
            <w:tcW w:w="886" w:type="pct"/>
            <w:shd w:val="clear" w:color="auto" w:fill="auto"/>
          </w:tcPr>
          <w:p w14:paraId="5107B274" w14:textId="77777777" w:rsidR="00457520" w:rsidRPr="00E03F6A" w:rsidRDefault="00457520" w:rsidP="00E03F6A">
            <w:pPr>
              <w:spacing w:line="236" w:lineRule="auto"/>
              <w:ind w:right="20"/>
              <w:jc w:val="both"/>
              <w:rPr>
                <w:rFonts w:ascii="Arial" w:eastAsia="Arial" w:hAnsi="Arial" w:cs="Arial"/>
                <w:sz w:val="20"/>
                <w:szCs w:val="20"/>
              </w:rPr>
            </w:pPr>
            <w:r w:rsidRPr="00E03F6A">
              <w:rPr>
                <w:rFonts w:ascii="Arial" w:hAnsi="Arial" w:cs="Arial"/>
                <w:sz w:val="20"/>
                <w:szCs w:val="20"/>
                <w:lang w:val="fr-CA"/>
              </w:rPr>
              <w:t>Mettre en place un comité de crise au sein du projet</w:t>
            </w:r>
          </w:p>
        </w:tc>
        <w:tc>
          <w:tcPr>
            <w:tcW w:w="1251" w:type="pct"/>
            <w:shd w:val="clear" w:color="auto" w:fill="auto"/>
          </w:tcPr>
          <w:p w14:paraId="2F55EEAC" w14:textId="77777777" w:rsidR="00457520" w:rsidRPr="00E03F6A" w:rsidRDefault="00457520" w:rsidP="00E03F6A">
            <w:pPr>
              <w:spacing w:line="236" w:lineRule="auto"/>
              <w:ind w:right="20"/>
              <w:jc w:val="both"/>
              <w:rPr>
                <w:rFonts w:ascii="Arial" w:eastAsia="Arial" w:hAnsi="Arial" w:cs="Arial"/>
                <w:sz w:val="20"/>
                <w:szCs w:val="20"/>
              </w:rPr>
            </w:pPr>
            <w:r w:rsidRPr="00E03F6A">
              <w:rPr>
                <w:rFonts w:ascii="Arial" w:hAnsi="Arial" w:cs="Arial"/>
                <w:sz w:val="20"/>
                <w:szCs w:val="20"/>
                <w:lang w:val="fr-CA"/>
              </w:rPr>
              <w:t>Assurer une coordination des actions en cas d’incident lié à la sécurité</w:t>
            </w:r>
          </w:p>
        </w:tc>
        <w:tc>
          <w:tcPr>
            <w:tcW w:w="1031" w:type="pct"/>
            <w:shd w:val="clear" w:color="auto" w:fill="auto"/>
          </w:tcPr>
          <w:p w14:paraId="0EB210DB"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Existence du comité</w:t>
            </w:r>
          </w:p>
          <w:p w14:paraId="603D6943"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Nombre de séance du comité d’alerte</w:t>
            </w:r>
          </w:p>
          <w:p w14:paraId="2EFC2906" w14:textId="77777777" w:rsidR="00457520" w:rsidRPr="00E03F6A" w:rsidRDefault="00457520" w:rsidP="00E03F6A">
            <w:pPr>
              <w:spacing w:line="236" w:lineRule="auto"/>
              <w:ind w:right="20"/>
              <w:jc w:val="both"/>
              <w:rPr>
                <w:rFonts w:ascii="Arial" w:eastAsia="Arial" w:hAnsi="Arial" w:cs="Arial"/>
                <w:sz w:val="20"/>
                <w:szCs w:val="20"/>
              </w:rPr>
            </w:pPr>
            <w:r w:rsidRPr="00E03F6A">
              <w:rPr>
                <w:rFonts w:ascii="Arial" w:hAnsi="Arial" w:cs="Arial"/>
                <w:sz w:val="20"/>
                <w:szCs w:val="20"/>
                <w:lang w:val="fr-CA"/>
              </w:rPr>
              <w:t>Rapport d’activité du comité d’alerte</w:t>
            </w:r>
          </w:p>
        </w:tc>
        <w:tc>
          <w:tcPr>
            <w:tcW w:w="762" w:type="pct"/>
            <w:shd w:val="clear" w:color="auto" w:fill="auto"/>
          </w:tcPr>
          <w:p w14:paraId="1ABEA46C" w14:textId="77777777" w:rsidR="00457520" w:rsidRPr="00E03F6A" w:rsidRDefault="00457520" w:rsidP="00E03F6A">
            <w:pPr>
              <w:spacing w:line="236" w:lineRule="auto"/>
              <w:ind w:right="20"/>
              <w:jc w:val="both"/>
              <w:rPr>
                <w:rFonts w:ascii="Arial" w:eastAsia="Arial" w:hAnsi="Arial" w:cs="Arial"/>
                <w:sz w:val="20"/>
                <w:szCs w:val="20"/>
              </w:rPr>
            </w:pPr>
            <w:r w:rsidRPr="00E03F6A">
              <w:rPr>
                <w:rFonts w:ascii="Arial" w:hAnsi="Arial" w:cs="Arial"/>
                <w:sz w:val="20"/>
                <w:szCs w:val="20"/>
                <w:lang w:val="fr-CA"/>
              </w:rPr>
              <w:t>UCP</w:t>
            </w:r>
          </w:p>
        </w:tc>
        <w:tc>
          <w:tcPr>
            <w:tcW w:w="1070" w:type="pct"/>
            <w:shd w:val="clear" w:color="auto" w:fill="auto"/>
          </w:tcPr>
          <w:p w14:paraId="1EB68386"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Ministère en charge de l’Énergie</w:t>
            </w:r>
          </w:p>
          <w:p w14:paraId="5AE07FAC"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Ministère en charge de la Télécommunication</w:t>
            </w:r>
          </w:p>
          <w:p w14:paraId="718EDB13"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Ministère en charge de la sécurité publique</w:t>
            </w:r>
          </w:p>
          <w:p w14:paraId="10774FD5"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SG de la gendarmerie</w:t>
            </w:r>
          </w:p>
        </w:tc>
      </w:tr>
      <w:tr w:rsidR="00457520" w:rsidRPr="008F324C" w14:paraId="6899F1B0" w14:textId="77777777" w:rsidTr="00E03F6A">
        <w:trPr>
          <w:jc w:val="center"/>
        </w:trPr>
        <w:tc>
          <w:tcPr>
            <w:tcW w:w="886" w:type="pct"/>
            <w:shd w:val="clear" w:color="auto" w:fill="auto"/>
          </w:tcPr>
          <w:p w14:paraId="0D7B145F" w14:textId="77777777" w:rsidR="00457520" w:rsidRPr="00E03F6A" w:rsidRDefault="00457520" w:rsidP="00E03F6A">
            <w:pPr>
              <w:spacing w:line="236" w:lineRule="auto"/>
              <w:ind w:right="20"/>
              <w:jc w:val="both"/>
              <w:rPr>
                <w:rFonts w:ascii="Arial" w:eastAsia="Arial" w:hAnsi="Arial" w:cs="Arial"/>
                <w:sz w:val="20"/>
                <w:szCs w:val="20"/>
              </w:rPr>
            </w:pPr>
            <w:r w:rsidRPr="00E03F6A">
              <w:rPr>
                <w:rFonts w:ascii="Arial" w:hAnsi="Arial" w:cs="Arial"/>
                <w:sz w:val="20"/>
                <w:szCs w:val="20"/>
                <w:lang w:val="fr-CA"/>
              </w:rPr>
              <w:t>Élaborer un plan d’urgence d’intervention (PUI) pour chaque site pour les entreprises</w:t>
            </w:r>
          </w:p>
        </w:tc>
        <w:tc>
          <w:tcPr>
            <w:tcW w:w="1251" w:type="pct"/>
            <w:shd w:val="clear" w:color="auto" w:fill="auto"/>
          </w:tcPr>
          <w:p w14:paraId="45C94452"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Garantir une bonne réactivité de l’entreprise en cas d’incident</w:t>
            </w:r>
          </w:p>
        </w:tc>
        <w:tc>
          <w:tcPr>
            <w:tcW w:w="1031" w:type="pct"/>
            <w:shd w:val="clear" w:color="auto" w:fill="auto"/>
          </w:tcPr>
          <w:p w14:paraId="554EE663" w14:textId="77777777" w:rsidR="00457520" w:rsidRPr="00E03F6A" w:rsidRDefault="00457520" w:rsidP="00E03F6A">
            <w:pPr>
              <w:spacing w:after="120"/>
              <w:rPr>
                <w:rFonts w:ascii="Arial" w:hAnsi="Arial" w:cs="Arial"/>
                <w:sz w:val="20"/>
                <w:szCs w:val="20"/>
                <w:lang w:val="fr-CA"/>
              </w:rPr>
            </w:pPr>
            <w:r w:rsidRPr="00E03F6A">
              <w:rPr>
                <w:rFonts w:ascii="Arial" w:hAnsi="Arial" w:cs="Arial"/>
                <w:sz w:val="20"/>
                <w:szCs w:val="20"/>
                <w:lang w:val="fr-CA"/>
              </w:rPr>
              <w:t>Existence du plan d’urgent approuvé par le bureau de contrôle et la commission en charge de la sécurité régionale (auprès du gouvernorat)</w:t>
            </w:r>
          </w:p>
        </w:tc>
        <w:tc>
          <w:tcPr>
            <w:tcW w:w="762" w:type="pct"/>
            <w:shd w:val="clear" w:color="auto" w:fill="auto"/>
          </w:tcPr>
          <w:p w14:paraId="4EE953AF"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Entreprise en charge des travaux</w:t>
            </w:r>
          </w:p>
        </w:tc>
        <w:tc>
          <w:tcPr>
            <w:tcW w:w="1070" w:type="pct"/>
            <w:shd w:val="clear" w:color="auto" w:fill="auto"/>
          </w:tcPr>
          <w:p w14:paraId="683C33BE"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UCP</w:t>
            </w:r>
          </w:p>
        </w:tc>
      </w:tr>
      <w:tr w:rsidR="00457520" w:rsidRPr="008F324C" w14:paraId="5BA7B41D" w14:textId="77777777" w:rsidTr="00E03F6A">
        <w:trPr>
          <w:jc w:val="center"/>
        </w:trPr>
        <w:tc>
          <w:tcPr>
            <w:tcW w:w="886" w:type="pct"/>
            <w:shd w:val="clear" w:color="auto" w:fill="auto"/>
          </w:tcPr>
          <w:p w14:paraId="74D9DBD4" w14:textId="77777777" w:rsidR="00457520" w:rsidRPr="00E03F6A" w:rsidRDefault="00457520" w:rsidP="00E03F6A">
            <w:pPr>
              <w:spacing w:after="120"/>
              <w:rPr>
                <w:rFonts w:ascii="Arial" w:hAnsi="Arial" w:cs="Arial"/>
                <w:sz w:val="20"/>
                <w:szCs w:val="20"/>
                <w:lang w:val="fr-CA"/>
              </w:rPr>
            </w:pPr>
            <w:r w:rsidRPr="00E03F6A">
              <w:rPr>
                <w:rFonts w:ascii="Arial" w:hAnsi="Arial" w:cs="Arial"/>
                <w:sz w:val="20"/>
                <w:szCs w:val="20"/>
                <w:lang w:val="fr-CA"/>
              </w:rPr>
              <w:t>Associer les communautés riveraines au dispositif de sécurité</w:t>
            </w:r>
          </w:p>
        </w:tc>
        <w:tc>
          <w:tcPr>
            <w:tcW w:w="1251" w:type="pct"/>
            <w:shd w:val="clear" w:color="auto" w:fill="auto"/>
          </w:tcPr>
          <w:p w14:paraId="64D34D9F"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Susciter l’adhésion des communautés à la sécurisation des activités du projet</w:t>
            </w:r>
          </w:p>
          <w:p w14:paraId="1955C579"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Disposer des informations plausibles auprès des communautés</w:t>
            </w:r>
          </w:p>
        </w:tc>
        <w:tc>
          <w:tcPr>
            <w:tcW w:w="1031" w:type="pct"/>
            <w:shd w:val="clear" w:color="auto" w:fill="auto"/>
          </w:tcPr>
          <w:p w14:paraId="0A857E57"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Nombre de groupes et d’associations communautaires associés au dispositif sécuritaire du projet</w:t>
            </w:r>
          </w:p>
          <w:p w14:paraId="3E4C78BE"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Participation effective des communautés au dispositif de prévention de la sécurité sur le projet</w:t>
            </w:r>
          </w:p>
        </w:tc>
        <w:tc>
          <w:tcPr>
            <w:tcW w:w="762" w:type="pct"/>
            <w:shd w:val="clear" w:color="auto" w:fill="auto"/>
          </w:tcPr>
          <w:p w14:paraId="16C0E027"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Entreprises en charge des travaux</w:t>
            </w:r>
          </w:p>
          <w:p w14:paraId="0063E474"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Bureaux de contrôle</w:t>
            </w:r>
          </w:p>
          <w:p w14:paraId="133FF708"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 xml:space="preserve">Gendarmerie </w:t>
            </w:r>
          </w:p>
          <w:p w14:paraId="17F4ACED"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UCP</w:t>
            </w:r>
          </w:p>
        </w:tc>
        <w:tc>
          <w:tcPr>
            <w:tcW w:w="1070" w:type="pct"/>
            <w:shd w:val="clear" w:color="auto" w:fill="auto"/>
          </w:tcPr>
          <w:p w14:paraId="209AB8BA"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Maire</w:t>
            </w:r>
          </w:p>
          <w:p w14:paraId="6AAD7F2E"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Chef District</w:t>
            </w:r>
          </w:p>
          <w:p w14:paraId="1CF5024C"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Préfet de Région</w:t>
            </w:r>
          </w:p>
          <w:p w14:paraId="7E65D760"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Gouverneur</w:t>
            </w:r>
          </w:p>
          <w:p w14:paraId="24047FCD"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Commission de sécurité</w:t>
            </w:r>
          </w:p>
        </w:tc>
      </w:tr>
      <w:tr w:rsidR="00457520" w:rsidRPr="008F324C" w14:paraId="09D2088E" w14:textId="77777777" w:rsidTr="00E03F6A">
        <w:trPr>
          <w:jc w:val="center"/>
        </w:trPr>
        <w:tc>
          <w:tcPr>
            <w:tcW w:w="886" w:type="pct"/>
            <w:shd w:val="clear" w:color="auto" w:fill="auto"/>
          </w:tcPr>
          <w:p w14:paraId="4BB591CE" w14:textId="77777777" w:rsidR="00457520" w:rsidRPr="00E03F6A" w:rsidRDefault="00457520" w:rsidP="00E03F6A">
            <w:pPr>
              <w:spacing w:after="120"/>
              <w:rPr>
                <w:rFonts w:ascii="Arial" w:hAnsi="Arial" w:cs="Arial"/>
                <w:sz w:val="20"/>
                <w:szCs w:val="20"/>
                <w:lang w:val="fr-CA"/>
              </w:rPr>
            </w:pPr>
            <w:r w:rsidRPr="00E03F6A">
              <w:rPr>
                <w:rFonts w:ascii="Arial" w:hAnsi="Arial" w:cs="Arial"/>
                <w:sz w:val="20"/>
                <w:szCs w:val="20"/>
                <w:lang w:val="fr-CA"/>
              </w:rPr>
              <w:t>Réglementation des heures de travail en fonction du niveau de risque sur site</w:t>
            </w:r>
          </w:p>
        </w:tc>
        <w:tc>
          <w:tcPr>
            <w:tcW w:w="1251" w:type="pct"/>
            <w:shd w:val="clear" w:color="auto" w:fill="auto"/>
          </w:tcPr>
          <w:p w14:paraId="0FA75A70"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 xml:space="preserve">Réduire l’exposition </w:t>
            </w:r>
            <w:r w:rsidR="00023C2C" w:rsidRPr="00E03F6A">
              <w:rPr>
                <w:rFonts w:ascii="Arial" w:hAnsi="Arial" w:cs="Arial"/>
                <w:sz w:val="20"/>
                <w:szCs w:val="20"/>
                <w:lang w:val="fr-CA"/>
              </w:rPr>
              <w:t>du personnel</w:t>
            </w:r>
            <w:r w:rsidRPr="00E03F6A">
              <w:rPr>
                <w:rFonts w:ascii="Arial" w:hAnsi="Arial" w:cs="Arial"/>
                <w:sz w:val="20"/>
                <w:szCs w:val="20"/>
                <w:lang w:val="fr-CA"/>
              </w:rPr>
              <w:t xml:space="preserve"> du projet et des chantiers aux risques d’insécurité nocturne</w:t>
            </w:r>
          </w:p>
          <w:p w14:paraId="224542EC"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Sécuriser les équipements et le matériel roulant du projet</w:t>
            </w:r>
          </w:p>
          <w:p w14:paraId="56250F1B"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Protéger les vies des travailleurs du projet</w:t>
            </w:r>
          </w:p>
        </w:tc>
        <w:tc>
          <w:tcPr>
            <w:tcW w:w="1031" w:type="pct"/>
            <w:shd w:val="clear" w:color="auto" w:fill="auto"/>
          </w:tcPr>
          <w:p w14:paraId="66C16190"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Document règlementant les heures de travail</w:t>
            </w:r>
          </w:p>
          <w:p w14:paraId="23C8BA97"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 xml:space="preserve">Absence d’activités nocturne dans les zones à risque élevé </w:t>
            </w:r>
          </w:p>
        </w:tc>
        <w:tc>
          <w:tcPr>
            <w:tcW w:w="762" w:type="pct"/>
            <w:shd w:val="clear" w:color="auto" w:fill="auto"/>
          </w:tcPr>
          <w:p w14:paraId="66AAEE32" w14:textId="77777777" w:rsidR="00457520" w:rsidRPr="00E03F6A" w:rsidRDefault="00457520" w:rsidP="00E03F6A">
            <w:pPr>
              <w:spacing w:after="120"/>
              <w:rPr>
                <w:rFonts w:ascii="Arial" w:hAnsi="Arial" w:cs="Arial"/>
                <w:sz w:val="20"/>
                <w:szCs w:val="20"/>
                <w:lang w:val="fr-CA"/>
              </w:rPr>
            </w:pPr>
            <w:r w:rsidRPr="00E03F6A">
              <w:rPr>
                <w:rFonts w:ascii="Arial" w:hAnsi="Arial" w:cs="Arial"/>
                <w:sz w:val="20"/>
                <w:szCs w:val="20"/>
                <w:lang w:val="fr-CA"/>
              </w:rPr>
              <w:t>UCP</w:t>
            </w:r>
          </w:p>
        </w:tc>
        <w:tc>
          <w:tcPr>
            <w:tcW w:w="1070" w:type="pct"/>
            <w:shd w:val="clear" w:color="auto" w:fill="auto"/>
          </w:tcPr>
          <w:p w14:paraId="4680EEF9"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Ministère en charge de l’Énergie</w:t>
            </w:r>
          </w:p>
          <w:p w14:paraId="5B5C9521"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Ministère en charge de la Télécommunication</w:t>
            </w:r>
          </w:p>
        </w:tc>
      </w:tr>
      <w:tr w:rsidR="00457520" w:rsidRPr="008F324C" w14:paraId="78A73776" w14:textId="77777777" w:rsidTr="00E03F6A">
        <w:trPr>
          <w:jc w:val="center"/>
        </w:trPr>
        <w:tc>
          <w:tcPr>
            <w:tcW w:w="886" w:type="pct"/>
            <w:shd w:val="clear" w:color="auto" w:fill="auto"/>
          </w:tcPr>
          <w:p w14:paraId="599EE2D6" w14:textId="77777777" w:rsidR="00457520" w:rsidRPr="00E03F6A" w:rsidRDefault="00457520" w:rsidP="00E03F6A">
            <w:pPr>
              <w:spacing w:after="120"/>
              <w:rPr>
                <w:rFonts w:ascii="Arial" w:hAnsi="Arial" w:cs="Arial"/>
                <w:sz w:val="20"/>
                <w:szCs w:val="20"/>
                <w:lang w:val="fr-CA"/>
              </w:rPr>
            </w:pPr>
            <w:r w:rsidRPr="00E03F6A">
              <w:rPr>
                <w:rFonts w:ascii="Arial" w:hAnsi="Arial" w:cs="Arial"/>
                <w:sz w:val="20"/>
                <w:szCs w:val="20"/>
                <w:lang w:val="fr-CA"/>
              </w:rPr>
              <w:t>Former le personnel sur le dispositif d’alerte sécuritaire du projet</w:t>
            </w:r>
          </w:p>
        </w:tc>
        <w:tc>
          <w:tcPr>
            <w:tcW w:w="1251" w:type="pct"/>
            <w:shd w:val="clear" w:color="auto" w:fill="auto"/>
          </w:tcPr>
          <w:p w14:paraId="3F710EDF" w14:textId="77777777" w:rsidR="00457520" w:rsidRPr="00E03F6A" w:rsidRDefault="00457520" w:rsidP="00E03F6A">
            <w:pPr>
              <w:spacing w:after="120"/>
              <w:rPr>
                <w:rFonts w:ascii="Arial" w:hAnsi="Arial" w:cs="Arial"/>
                <w:sz w:val="20"/>
                <w:szCs w:val="20"/>
                <w:lang w:val="fr-CA"/>
              </w:rPr>
            </w:pPr>
            <w:r w:rsidRPr="00E03F6A">
              <w:rPr>
                <w:rFonts w:ascii="Arial" w:hAnsi="Arial" w:cs="Arial"/>
                <w:sz w:val="20"/>
                <w:szCs w:val="20"/>
                <w:lang w:val="fr-CA"/>
              </w:rPr>
              <w:t>Avoir du personnel aguerri à tout risque de sécurité sur le projet</w:t>
            </w:r>
          </w:p>
        </w:tc>
        <w:tc>
          <w:tcPr>
            <w:tcW w:w="1031" w:type="pct"/>
            <w:shd w:val="clear" w:color="auto" w:fill="auto"/>
          </w:tcPr>
          <w:p w14:paraId="6F5466C3"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Nombre de formations organisées</w:t>
            </w:r>
          </w:p>
          <w:p w14:paraId="13F73A4F"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Nombre et types de participants aux formations</w:t>
            </w:r>
          </w:p>
          <w:p w14:paraId="0E8498BB"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Rapport de formation</w:t>
            </w:r>
          </w:p>
        </w:tc>
        <w:tc>
          <w:tcPr>
            <w:tcW w:w="762" w:type="pct"/>
            <w:shd w:val="clear" w:color="auto" w:fill="auto"/>
          </w:tcPr>
          <w:p w14:paraId="0FE401F9" w14:textId="77777777" w:rsidR="00457520" w:rsidRPr="00E03F6A" w:rsidRDefault="00457520" w:rsidP="00E03F6A">
            <w:pPr>
              <w:spacing w:after="120"/>
              <w:rPr>
                <w:rFonts w:ascii="Arial" w:hAnsi="Arial" w:cs="Arial"/>
                <w:sz w:val="20"/>
                <w:szCs w:val="20"/>
                <w:lang w:val="fr-CA"/>
              </w:rPr>
            </w:pPr>
            <w:r w:rsidRPr="00E03F6A">
              <w:rPr>
                <w:rFonts w:ascii="Arial" w:hAnsi="Arial" w:cs="Arial"/>
                <w:sz w:val="20"/>
                <w:szCs w:val="20"/>
                <w:lang w:val="fr-CA"/>
              </w:rPr>
              <w:t>UCP</w:t>
            </w:r>
          </w:p>
        </w:tc>
        <w:tc>
          <w:tcPr>
            <w:tcW w:w="1070" w:type="pct"/>
            <w:shd w:val="clear" w:color="auto" w:fill="auto"/>
          </w:tcPr>
          <w:p w14:paraId="392C5E3C"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Ministère en charge de l’Énergie</w:t>
            </w:r>
          </w:p>
          <w:p w14:paraId="76280726"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Ministère en charge de la Télécommunication</w:t>
            </w:r>
          </w:p>
        </w:tc>
      </w:tr>
      <w:tr w:rsidR="00457520" w:rsidRPr="008F324C" w14:paraId="3F6ED365" w14:textId="77777777" w:rsidTr="00E03F6A">
        <w:trPr>
          <w:jc w:val="center"/>
        </w:trPr>
        <w:tc>
          <w:tcPr>
            <w:tcW w:w="886" w:type="pct"/>
            <w:shd w:val="clear" w:color="auto" w:fill="auto"/>
          </w:tcPr>
          <w:p w14:paraId="4207910B" w14:textId="77777777" w:rsidR="00457520" w:rsidRPr="00E03F6A" w:rsidRDefault="00457520" w:rsidP="00E03F6A">
            <w:pPr>
              <w:spacing w:after="120"/>
              <w:rPr>
                <w:rFonts w:ascii="Arial" w:hAnsi="Arial" w:cs="Arial"/>
                <w:sz w:val="20"/>
                <w:szCs w:val="20"/>
                <w:lang w:val="fr-CA"/>
              </w:rPr>
            </w:pPr>
            <w:r w:rsidRPr="00E03F6A">
              <w:rPr>
                <w:rFonts w:ascii="Arial" w:hAnsi="Arial" w:cs="Arial"/>
                <w:sz w:val="20"/>
                <w:szCs w:val="20"/>
                <w:lang w:val="fr-CA"/>
              </w:rPr>
              <w:t xml:space="preserve">Solliciter les services des structures de sécurité privée agréées pour assurer la sécurité du local du Projet </w:t>
            </w:r>
          </w:p>
        </w:tc>
        <w:tc>
          <w:tcPr>
            <w:tcW w:w="1251" w:type="pct"/>
            <w:shd w:val="clear" w:color="auto" w:fill="auto"/>
          </w:tcPr>
          <w:p w14:paraId="3754317B" w14:textId="77777777" w:rsidR="00457520" w:rsidRPr="00E03F6A" w:rsidRDefault="00457520" w:rsidP="00E03F6A">
            <w:pPr>
              <w:spacing w:after="120"/>
              <w:rPr>
                <w:rFonts w:ascii="Arial" w:hAnsi="Arial" w:cs="Arial"/>
                <w:sz w:val="20"/>
                <w:szCs w:val="20"/>
                <w:lang w:val="fr-CA"/>
              </w:rPr>
            </w:pPr>
            <w:r w:rsidRPr="00E03F6A">
              <w:rPr>
                <w:rFonts w:ascii="Arial" w:hAnsi="Arial" w:cs="Arial"/>
                <w:sz w:val="20"/>
                <w:szCs w:val="20"/>
                <w:lang w:val="fr-CA"/>
              </w:rPr>
              <w:t>Assurer la sécurité rapprochée des locaux contre le banditisme urbain</w:t>
            </w:r>
          </w:p>
        </w:tc>
        <w:tc>
          <w:tcPr>
            <w:tcW w:w="1031" w:type="pct"/>
            <w:shd w:val="clear" w:color="auto" w:fill="auto"/>
          </w:tcPr>
          <w:p w14:paraId="33FB1766" w14:textId="77777777" w:rsidR="00457520" w:rsidRPr="00E03F6A" w:rsidRDefault="00457520" w:rsidP="00E03F6A">
            <w:pPr>
              <w:spacing w:after="120"/>
              <w:rPr>
                <w:rFonts w:ascii="Arial" w:hAnsi="Arial" w:cs="Arial"/>
                <w:sz w:val="20"/>
                <w:szCs w:val="20"/>
                <w:lang w:val="fr-CA"/>
              </w:rPr>
            </w:pPr>
            <w:r w:rsidRPr="00E03F6A">
              <w:rPr>
                <w:rFonts w:ascii="Arial" w:hAnsi="Arial" w:cs="Arial"/>
                <w:sz w:val="20"/>
                <w:szCs w:val="20"/>
                <w:lang w:val="fr-CA"/>
              </w:rPr>
              <w:t>Contrat de prestation avec entre le projet et la société de sécurité privée</w:t>
            </w:r>
          </w:p>
        </w:tc>
        <w:tc>
          <w:tcPr>
            <w:tcW w:w="762" w:type="pct"/>
            <w:shd w:val="clear" w:color="auto" w:fill="auto"/>
          </w:tcPr>
          <w:p w14:paraId="42BD641E" w14:textId="77777777" w:rsidR="00457520" w:rsidRPr="00E03F6A" w:rsidRDefault="00457520" w:rsidP="00E03F6A">
            <w:pPr>
              <w:spacing w:after="120"/>
              <w:rPr>
                <w:rFonts w:ascii="Arial" w:hAnsi="Arial" w:cs="Arial"/>
                <w:sz w:val="20"/>
                <w:szCs w:val="20"/>
                <w:lang w:val="fr-CA"/>
              </w:rPr>
            </w:pPr>
            <w:r w:rsidRPr="00E03F6A">
              <w:rPr>
                <w:rFonts w:ascii="Arial" w:hAnsi="Arial" w:cs="Arial"/>
                <w:sz w:val="20"/>
                <w:szCs w:val="20"/>
                <w:lang w:val="fr-CA"/>
              </w:rPr>
              <w:t>UCP</w:t>
            </w:r>
          </w:p>
        </w:tc>
        <w:tc>
          <w:tcPr>
            <w:tcW w:w="1070" w:type="pct"/>
            <w:shd w:val="clear" w:color="auto" w:fill="auto"/>
          </w:tcPr>
          <w:p w14:paraId="76B6B859"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Ministère en charge de l’Énergie</w:t>
            </w:r>
          </w:p>
          <w:p w14:paraId="5ACB2C49" w14:textId="77777777" w:rsidR="00457520" w:rsidRPr="00E03F6A" w:rsidRDefault="00457520" w:rsidP="00E03F6A">
            <w:pPr>
              <w:spacing w:after="120"/>
              <w:rPr>
                <w:rFonts w:ascii="Arial" w:hAnsi="Arial" w:cs="Arial"/>
                <w:sz w:val="20"/>
                <w:szCs w:val="20"/>
                <w:lang w:val="fr-CA"/>
              </w:rPr>
            </w:pPr>
            <w:r w:rsidRPr="00E03F6A">
              <w:rPr>
                <w:rFonts w:ascii="Arial" w:hAnsi="Arial" w:cs="Arial"/>
                <w:sz w:val="20"/>
                <w:szCs w:val="20"/>
                <w:lang w:val="fr-CA"/>
              </w:rPr>
              <w:t xml:space="preserve">Ministère en charge de la Télécommunication </w:t>
            </w:r>
          </w:p>
        </w:tc>
      </w:tr>
      <w:tr w:rsidR="00457520" w:rsidRPr="008F324C" w14:paraId="2BE45F93" w14:textId="77777777" w:rsidTr="00E03F6A">
        <w:trPr>
          <w:jc w:val="center"/>
        </w:trPr>
        <w:tc>
          <w:tcPr>
            <w:tcW w:w="886" w:type="pct"/>
            <w:shd w:val="clear" w:color="auto" w:fill="auto"/>
          </w:tcPr>
          <w:p w14:paraId="19B0B298" w14:textId="77777777" w:rsidR="00457520" w:rsidRPr="00E03F6A" w:rsidRDefault="00457520" w:rsidP="00E03F6A">
            <w:pPr>
              <w:spacing w:after="120"/>
              <w:rPr>
                <w:rFonts w:ascii="Arial" w:hAnsi="Arial" w:cs="Arial"/>
                <w:sz w:val="20"/>
                <w:szCs w:val="20"/>
                <w:lang w:val="fr-CA"/>
              </w:rPr>
            </w:pPr>
            <w:r w:rsidRPr="00E03F6A">
              <w:rPr>
                <w:rFonts w:ascii="Arial" w:hAnsi="Arial" w:cs="Arial"/>
                <w:sz w:val="20"/>
                <w:szCs w:val="20"/>
                <w:lang w:val="fr-CA"/>
              </w:rPr>
              <w:t>Désigner un point focal incident du projet et son adjoint</w:t>
            </w:r>
          </w:p>
        </w:tc>
        <w:tc>
          <w:tcPr>
            <w:tcW w:w="1251" w:type="pct"/>
            <w:shd w:val="clear" w:color="auto" w:fill="auto"/>
          </w:tcPr>
          <w:p w14:paraId="2AC03016"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Rendre compte dans les meilleurs délais de la survenance d’incident sur le projet afin de bénéficier de l’accompagnement des autorités et de la Banque mondiale</w:t>
            </w:r>
          </w:p>
        </w:tc>
        <w:tc>
          <w:tcPr>
            <w:tcW w:w="1031" w:type="pct"/>
            <w:shd w:val="clear" w:color="auto" w:fill="auto"/>
          </w:tcPr>
          <w:p w14:paraId="2A017EAE" w14:textId="77777777" w:rsidR="00457520" w:rsidRPr="00E03F6A" w:rsidRDefault="00457520" w:rsidP="00E03F6A">
            <w:pPr>
              <w:spacing w:after="120"/>
              <w:rPr>
                <w:rFonts w:ascii="Arial" w:hAnsi="Arial" w:cs="Arial"/>
                <w:sz w:val="20"/>
                <w:szCs w:val="20"/>
                <w:lang w:val="fr-CA"/>
              </w:rPr>
            </w:pPr>
            <w:r w:rsidRPr="00E03F6A">
              <w:rPr>
                <w:rFonts w:ascii="Arial" w:hAnsi="Arial" w:cs="Arial"/>
                <w:sz w:val="20"/>
                <w:szCs w:val="20"/>
                <w:lang w:val="fr-CA"/>
              </w:rPr>
              <w:t xml:space="preserve">Présence de la point focale sécurité en occurrence le coordonnateur et le responsable de la gestion des risques environnementaux </w:t>
            </w:r>
          </w:p>
        </w:tc>
        <w:tc>
          <w:tcPr>
            <w:tcW w:w="762" w:type="pct"/>
            <w:shd w:val="clear" w:color="auto" w:fill="auto"/>
          </w:tcPr>
          <w:p w14:paraId="1665A604" w14:textId="77777777" w:rsidR="00457520" w:rsidRPr="00E03F6A" w:rsidRDefault="00457520" w:rsidP="00E03F6A">
            <w:pPr>
              <w:spacing w:after="120"/>
              <w:rPr>
                <w:rFonts w:ascii="Arial" w:hAnsi="Arial" w:cs="Arial"/>
                <w:sz w:val="20"/>
                <w:szCs w:val="20"/>
                <w:lang w:val="fr-CA"/>
              </w:rPr>
            </w:pPr>
            <w:r w:rsidRPr="00E03F6A">
              <w:rPr>
                <w:rFonts w:ascii="Arial" w:hAnsi="Arial" w:cs="Arial"/>
                <w:sz w:val="20"/>
                <w:szCs w:val="20"/>
                <w:lang w:val="fr-CA"/>
              </w:rPr>
              <w:t>UCP</w:t>
            </w:r>
          </w:p>
        </w:tc>
        <w:tc>
          <w:tcPr>
            <w:tcW w:w="1070" w:type="pct"/>
            <w:shd w:val="clear" w:color="auto" w:fill="auto"/>
          </w:tcPr>
          <w:p w14:paraId="549EA1E5"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Ministère en charge de l’Énergie</w:t>
            </w:r>
          </w:p>
          <w:p w14:paraId="64B5C21B" w14:textId="77777777" w:rsidR="00457520" w:rsidRPr="00E03F6A" w:rsidRDefault="00457520" w:rsidP="00E03F6A">
            <w:pPr>
              <w:spacing w:after="120"/>
              <w:rPr>
                <w:rFonts w:ascii="Arial" w:hAnsi="Arial" w:cs="Arial"/>
                <w:sz w:val="20"/>
                <w:szCs w:val="20"/>
                <w:lang w:val="fr-CA"/>
              </w:rPr>
            </w:pPr>
            <w:r w:rsidRPr="00E03F6A">
              <w:rPr>
                <w:rFonts w:ascii="Arial" w:hAnsi="Arial" w:cs="Arial"/>
                <w:sz w:val="20"/>
                <w:szCs w:val="20"/>
                <w:lang w:val="fr-CA"/>
              </w:rPr>
              <w:t xml:space="preserve">Ministère en charge de la Télécommunication </w:t>
            </w:r>
          </w:p>
        </w:tc>
      </w:tr>
      <w:tr w:rsidR="00457520" w:rsidRPr="008F324C" w14:paraId="0B20931A" w14:textId="77777777" w:rsidTr="00E03F6A">
        <w:trPr>
          <w:jc w:val="center"/>
        </w:trPr>
        <w:tc>
          <w:tcPr>
            <w:tcW w:w="886" w:type="pct"/>
            <w:shd w:val="clear" w:color="auto" w:fill="auto"/>
          </w:tcPr>
          <w:p w14:paraId="7333551A" w14:textId="77777777" w:rsidR="00457520" w:rsidRPr="00E03F6A" w:rsidRDefault="00457520" w:rsidP="00E03F6A">
            <w:pPr>
              <w:spacing w:after="120"/>
              <w:rPr>
                <w:rFonts w:ascii="Arial" w:hAnsi="Arial" w:cs="Arial"/>
                <w:sz w:val="20"/>
                <w:szCs w:val="20"/>
                <w:lang w:val="fr-CA"/>
              </w:rPr>
            </w:pPr>
            <w:r w:rsidRPr="00E03F6A">
              <w:rPr>
                <w:rFonts w:ascii="Arial" w:hAnsi="Arial" w:cs="Arial"/>
                <w:sz w:val="20"/>
                <w:szCs w:val="20"/>
                <w:lang w:val="fr-CA"/>
              </w:rPr>
              <w:t>Exiger le recrutement d’un spécialiste en sécurité au sein des entreprises en charge des travaux</w:t>
            </w:r>
          </w:p>
        </w:tc>
        <w:tc>
          <w:tcPr>
            <w:tcW w:w="1251" w:type="pct"/>
            <w:shd w:val="clear" w:color="auto" w:fill="auto"/>
          </w:tcPr>
          <w:p w14:paraId="1354CA52"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Assurer la disponibilité d’un personnel au sein de l’entreprise chargé des questions de sécurité</w:t>
            </w:r>
          </w:p>
          <w:p w14:paraId="36E279A4"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Assurer la présence d’un point focal sécurité au sein des entreprises en charge des travaux</w:t>
            </w:r>
          </w:p>
        </w:tc>
        <w:tc>
          <w:tcPr>
            <w:tcW w:w="1031" w:type="pct"/>
            <w:shd w:val="clear" w:color="auto" w:fill="auto"/>
          </w:tcPr>
          <w:p w14:paraId="296157DB" w14:textId="77777777" w:rsidR="00457520" w:rsidRPr="00E03F6A" w:rsidRDefault="00457520" w:rsidP="00E03F6A">
            <w:pPr>
              <w:spacing w:after="120"/>
              <w:rPr>
                <w:rFonts w:ascii="Arial" w:hAnsi="Arial" w:cs="Arial"/>
                <w:sz w:val="20"/>
                <w:szCs w:val="20"/>
                <w:lang w:val="fr-CA"/>
              </w:rPr>
            </w:pPr>
            <w:r w:rsidRPr="00E03F6A">
              <w:rPr>
                <w:rFonts w:ascii="Arial" w:hAnsi="Arial" w:cs="Arial"/>
                <w:sz w:val="20"/>
                <w:szCs w:val="20"/>
                <w:lang w:val="fr-CA"/>
              </w:rPr>
              <w:t>Présence d’un spécialiste en sécurité au sein de l’équipe du projet</w:t>
            </w:r>
          </w:p>
        </w:tc>
        <w:tc>
          <w:tcPr>
            <w:tcW w:w="762" w:type="pct"/>
            <w:shd w:val="clear" w:color="auto" w:fill="auto"/>
          </w:tcPr>
          <w:p w14:paraId="167426C8" w14:textId="77777777" w:rsidR="00457520" w:rsidRPr="00E03F6A" w:rsidRDefault="00457520" w:rsidP="00E03F6A">
            <w:pPr>
              <w:spacing w:after="120"/>
              <w:rPr>
                <w:rFonts w:ascii="Arial" w:hAnsi="Arial" w:cs="Arial"/>
                <w:sz w:val="20"/>
                <w:szCs w:val="20"/>
                <w:lang w:val="fr-CA"/>
              </w:rPr>
            </w:pPr>
            <w:r w:rsidRPr="00E03F6A">
              <w:rPr>
                <w:rFonts w:ascii="Arial" w:hAnsi="Arial" w:cs="Arial"/>
                <w:sz w:val="20"/>
                <w:szCs w:val="20"/>
                <w:lang w:val="fr-CA"/>
              </w:rPr>
              <w:t>Entreprise en charge des travaux</w:t>
            </w:r>
          </w:p>
        </w:tc>
        <w:tc>
          <w:tcPr>
            <w:tcW w:w="1070" w:type="pct"/>
            <w:shd w:val="clear" w:color="auto" w:fill="auto"/>
          </w:tcPr>
          <w:p w14:paraId="01007F4E" w14:textId="77777777" w:rsidR="00457520" w:rsidRPr="00E03F6A" w:rsidRDefault="00457520" w:rsidP="00E03F6A">
            <w:pPr>
              <w:spacing w:after="120"/>
              <w:rPr>
                <w:rFonts w:ascii="Arial" w:hAnsi="Arial" w:cs="Arial"/>
                <w:sz w:val="20"/>
                <w:szCs w:val="20"/>
                <w:lang w:val="fr-CA"/>
              </w:rPr>
            </w:pPr>
            <w:r w:rsidRPr="00E03F6A">
              <w:rPr>
                <w:rFonts w:ascii="Arial" w:hAnsi="Arial" w:cs="Arial"/>
                <w:sz w:val="20"/>
                <w:szCs w:val="20"/>
                <w:lang w:val="fr-CA"/>
              </w:rPr>
              <w:t>UCP</w:t>
            </w:r>
          </w:p>
        </w:tc>
      </w:tr>
      <w:tr w:rsidR="00457520" w:rsidRPr="008F324C" w14:paraId="0E8574EC" w14:textId="77777777" w:rsidTr="00E03F6A">
        <w:trPr>
          <w:jc w:val="center"/>
        </w:trPr>
        <w:tc>
          <w:tcPr>
            <w:tcW w:w="886" w:type="pct"/>
            <w:shd w:val="clear" w:color="auto" w:fill="auto"/>
          </w:tcPr>
          <w:p w14:paraId="7BB81606" w14:textId="77777777" w:rsidR="00457520" w:rsidRPr="00E03F6A" w:rsidRDefault="00457520" w:rsidP="00E03F6A">
            <w:pPr>
              <w:spacing w:after="120"/>
              <w:rPr>
                <w:rFonts w:ascii="Arial" w:hAnsi="Arial" w:cs="Arial"/>
                <w:sz w:val="20"/>
                <w:szCs w:val="20"/>
                <w:lang w:val="fr-CA"/>
              </w:rPr>
            </w:pPr>
            <w:r w:rsidRPr="00E03F6A">
              <w:rPr>
                <w:rFonts w:ascii="Arial" w:hAnsi="Arial" w:cs="Arial"/>
                <w:sz w:val="20"/>
                <w:szCs w:val="20"/>
                <w:lang w:val="fr-CA"/>
              </w:rPr>
              <w:t>Donner la priorité à la main d’œuvre local non technique afin de favoriser l’implication des populations dans le dispositif de sécurité des entreprises en charge des travaux</w:t>
            </w:r>
          </w:p>
        </w:tc>
        <w:tc>
          <w:tcPr>
            <w:tcW w:w="1251" w:type="pct"/>
            <w:shd w:val="clear" w:color="auto" w:fill="auto"/>
          </w:tcPr>
          <w:p w14:paraId="6031D7C1"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Favoriser l’obtention des informations sur la situation sécuritaire auprès des communautés</w:t>
            </w:r>
          </w:p>
          <w:p w14:paraId="732EFB2D" w14:textId="77777777" w:rsidR="00457520" w:rsidRPr="00E03F6A" w:rsidRDefault="00457520" w:rsidP="00E03F6A">
            <w:pPr>
              <w:spacing w:after="120"/>
              <w:jc w:val="both"/>
              <w:rPr>
                <w:rFonts w:ascii="Arial" w:hAnsi="Arial" w:cs="Arial"/>
                <w:sz w:val="20"/>
                <w:szCs w:val="20"/>
                <w:lang w:val="fr-CA"/>
              </w:rPr>
            </w:pPr>
            <w:r w:rsidRPr="00E03F6A">
              <w:rPr>
                <w:rFonts w:ascii="Arial" w:hAnsi="Arial" w:cs="Arial"/>
                <w:sz w:val="20"/>
                <w:szCs w:val="20"/>
                <w:lang w:val="fr-CA"/>
              </w:rPr>
              <w:t xml:space="preserve">Réduire les risques d’attaque des travaux </w:t>
            </w:r>
          </w:p>
        </w:tc>
        <w:tc>
          <w:tcPr>
            <w:tcW w:w="1031" w:type="pct"/>
            <w:shd w:val="clear" w:color="auto" w:fill="auto"/>
          </w:tcPr>
          <w:p w14:paraId="6C66D50C" w14:textId="77777777" w:rsidR="00457520" w:rsidRPr="00E03F6A" w:rsidRDefault="00457520" w:rsidP="00E03F6A">
            <w:pPr>
              <w:spacing w:after="120"/>
              <w:rPr>
                <w:rFonts w:ascii="Arial" w:hAnsi="Arial" w:cs="Arial"/>
                <w:sz w:val="20"/>
                <w:szCs w:val="20"/>
                <w:lang w:val="fr-CA"/>
              </w:rPr>
            </w:pPr>
            <w:r w:rsidRPr="00E03F6A">
              <w:rPr>
                <w:rFonts w:ascii="Arial" w:hAnsi="Arial" w:cs="Arial"/>
                <w:sz w:val="20"/>
                <w:szCs w:val="20"/>
                <w:lang w:val="fr-CA"/>
              </w:rPr>
              <w:t>Présence des ouvriers en provenance des communautés au sein des travailleurs des entreprises</w:t>
            </w:r>
          </w:p>
        </w:tc>
        <w:tc>
          <w:tcPr>
            <w:tcW w:w="762" w:type="pct"/>
            <w:shd w:val="clear" w:color="auto" w:fill="auto"/>
          </w:tcPr>
          <w:p w14:paraId="4008162F" w14:textId="77777777" w:rsidR="00457520" w:rsidRPr="00E03F6A" w:rsidRDefault="00457520" w:rsidP="00E03F6A">
            <w:pPr>
              <w:spacing w:after="120"/>
              <w:rPr>
                <w:rFonts w:ascii="Arial" w:hAnsi="Arial" w:cs="Arial"/>
                <w:sz w:val="20"/>
                <w:szCs w:val="20"/>
                <w:lang w:val="fr-CA"/>
              </w:rPr>
            </w:pPr>
            <w:r w:rsidRPr="00E03F6A">
              <w:rPr>
                <w:rFonts w:ascii="Arial" w:hAnsi="Arial" w:cs="Arial"/>
                <w:sz w:val="20"/>
                <w:szCs w:val="20"/>
                <w:lang w:val="fr-CA"/>
              </w:rPr>
              <w:t>Entreprise en charge des travaux</w:t>
            </w:r>
          </w:p>
        </w:tc>
        <w:tc>
          <w:tcPr>
            <w:tcW w:w="1070" w:type="pct"/>
            <w:shd w:val="clear" w:color="auto" w:fill="auto"/>
          </w:tcPr>
          <w:p w14:paraId="1147E76A" w14:textId="77777777" w:rsidR="00457520" w:rsidRPr="00E03F6A" w:rsidRDefault="00457520" w:rsidP="00E03F6A">
            <w:pPr>
              <w:spacing w:after="120"/>
              <w:rPr>
                <w:rFonts w:ascii="Arial" w:hAnsi="Arial" w:cs="Arial"/>
                <w:sz w:val="20"/>
                <w:szCs w:val="20"/>
                <w:lang w:val="fr-CA"/>
              </w:rPr>
            </w:pPr>
            <w:r w:rsidRPr="00E03F6A">
              <w:rPr>
                <w:rFonts w:ascii="Arial" w:hAnsi="Arial" w:cs="Arial"/>
                <w:sz w:val="20"/>
                <w:szCs w:val="20"/>
                <w:lang w:val="fr-CA"/>
              </w:rPr>
              <w:t>UCP</w:t>
            </w:r>
          </w:p>
        </w:tc>
      </w:tr>
    </w:tbl>
    <w:p w14:paraId="30E34A0B" w14:textId="77777777" w:rsidR="00457520" w:rsidRPr="004B17DA" w:rsidRDefault="00457520" w:rsidP="00457520">
      <w:pPr>
        <w:spacing w:line="236" w:lineRule="auto"/>
        <w:ind w:right="20"/>
        <w:jc w:val="both"/>
        <w:rPr>
          <w:rFonts w:ascii="Arial" w:eastAsia="Arial" w:hAnsi="Arial"/>
        </w:rPr>
      </w:pPr>
    </w:p>
    <w:p w14:paraId="1A9C4657" w14:textId="77777777" w:rsidR="00457520" w:rsidRPr="005C566E" w:rsidRDefault="00CC01C2" w:rsidP="0044500E">
      <w:pPr>
        <w:numPr>
          <w:ilvl w:val="0"/>
          <w:numId w:val="214"/>
        </w:numPr>
        <w:rPr>
          <w:b/>
          <w:bCs/>
        </w:rPr>
      </w:pPr>
      <w:bookmarkStart w:id="1809" w:name="_Toc100252473"/>
      <w:bookmarkStart w:id="1810" w:name="_Toc125384728"/>
      <w:bookmarkStart w:id="1811" w:name="_Toc125385117"/>
      <w:r>
        <w:rPr>
          <w:b/>
          <w:bCs/>
        </w:rPr>
        <w:br w:type="page"/>
      </w:r>
      <w:r w:rsidR="00457520" w:rsidRPr="005C566E">
        <w:rPr>
          <w:b/>
          <w:bCs/>
        </w:rPr>
        <w:t>Mesures réactives</w:t>
      </w:r>
      <w:bookmarkEnd w:id="1809"/>
      <w:bookmarkEnd w:id="1810"/>
      <w:bookmarkEnd w:id="1811"/>
    </w:p>
    <w:p w14:paraId="78432FE0" w14:textId="77777777" w:rsidR="00457520" w:rsidRPr="009C3C20" w:rsidRDefault="00457520" w:rsidP="00457520">
      <w:pPr>
        <w:spacing w:before="120" w:line="240" w:lineRule="auto"/>
        <w:ind w:right="23"/>
        <w:jc w:val="both"/>
        <w:rPr>
          <w:rFonts w:ascii="Arial" w:eastAsia="Arial" w:hAnsi="Arial"/>
        </w:rPr>
      </w:pPr>
      <w:r w:rsidRPr="009C3C20">
        <w:rPr>
          <w:rFonts w:ascii="Arial" w:eastAsia="Arial" w:hAnsi="Arial"/>
        </w:rPr>
        <w:t>Les mesures réactives regroupent l’ensemble des dispositions à prendre en cas d’attaque des installations ou des moyens et des biens du projet pour répondre à l’urg</w:t>
      </w:r>
      <w:r>
        <w:rPr>
          <w:rFonts w:ascii="Arial" w:eastAsia="Arial" w:hAnsi="Arial"/>
        </w:rPr>
        <w:t>ence. Comme indiqué plus haut, l</w:t>
      </w:r>
      <w:r w:rsidRPr="009C3C20">
        <w:rPr>
          <w:rFonts w:ascii="Arial" w:eastAsia="Arial" w:hAnsi="Arial"/>
        </w:rPr>
        <w:t xml:space="preserve">es attaques peuvent être l’œuvre des bandits armés à la recherche du gain facile. La meilleure réaction est fonction du facteur d’incident et de l’efficacité des différents acteurs impliqués dans le dispositif. </w:t>
      </w:r>
    </w:p>
    <w:p w14:paraId="44908E06" w14:textId="77777777" w:rsidR="00457520" w:rsidRPr="005C566E" w:rsidRDefault="00CC01C2" w:rsidP="005C566E">
      <w:pPr>
        <w:ind w:left="708"/>
        <w:rPr>
          <w:b/>
          <w:bCs/>
          <w:lang w:eastAsia="fr-FR"/>
        </w:rPr>
      </w:pPr>
      <w:bookmarkStart w:id="1812" w:name="_Toc100252474"/>
      <w:bookmarkStart w:id="1813" w:name="_Toc125384729"/>
      <w:bookmarkStart w:id="1814" w:name="_Toc125385118"/>
      <w:r w:rsidRPr="005C566E">
        <w:rPr>
          <w:b/>
          <w:bCs/>
          <w:lang w:eastAsia="fr-FR"/>
        </w:rPr>
        <w:t xml:space="preserve">7.1 </w:t>
      </w:r>
      <w:r w:rsidR="00457520" w:rsidRPr="005C566E">
        <w:rPr>
          <w:b/>
          <w:bCs/>
          <w:lang w:eastAsia="fr-FR"/>
        </w:rPr>
        <w:t>Mise en place d’un point focal sécurité du projet</w:t>
      </w:r>
      <w:bookmarkEnd w:id="1812"/>
      <w:bookmarkEnd w:id="1813"/>
      <w:bookmarkEnd w:id="1814"/>
    </w:p>
    <w:p w14:paraId="78A55A83" w14:textId="77777777" w:rsidR="00457520" w:rsidRPr="006062E2" w:rsidRDefault="00457520" w:rsidP="00457520">
      <w:pPr>
        <w:spacing w:before="120" w:line="240" w:lineRule="auto"/>
        <w:ind w:right="23"/>
        <w:jc w:val="both"/>
        <w:rPr>
          <w:rFonts w:ascii="Arial" w:eastAsia="Arial" w:hAnsi="Arial"/>
        </w:rPr>
      </w:pPr>
      <w:r>
        <w:rPr>
          <w:rFonts w:ascii="Arial" w:eastAsia="Arial" w:hAnsi="Arial"/>
        </w:rPr>
        <w:t>Un point focal</w:t>
      </w:r>
      <w:r w:rsidRPr="006062E2">
        <w:rPr>
          <w:rFonts w:ascii="Arial" w:eastAsia="Arial" w:hAnsi="Arial"/>
        </w:rPr>
        <w:t xml:space="preserve"> sécurité qui doit être le coordonnateur du projet </w:t>
      </w:r>
      <w:r w:rsidR="00D60C1B">
        <w:rPr>
          <w:rFonts w:ascii="Arial" w:eastAsia="Arial" w:hAnsi="Arial"/>
        </w:rPr>
        <w:t xml:space="preserve">et </w:t>
      </w:r>
      <w:r w:rsidRPr="006062E2">
        <w:rPr>
          <w:rFonts w:ascii="Arial" w:eastAsia="Arial" w:hAnsi="Arial"/>
        </w:rPr>
        <w:t xml:space="preserve">qui devra être secondé par le </w:t>
      </w:r>
      <w:r>
        <w:rPr>
          <w:rFonts w:ascii="Arial" w:eastAsia="Arial" w:hAnsi="Arial"/>
        </w:rPr>
        <w:t>responsable de la gestion des risques sociaux</w:t>
      </w:r>
      <w:r w:rsidRPr="006062E2">
        <w:rPr>
          <w:rFonts w:ascii="Arial" w:eastAsia="Arial" w:hAnsi="Arial"/>
        </w:rPr>
        <w:t xml:space="preserve"> du projet. Le point focal et son adjoint doivent être membre du dispositif d’alerte du projet et doivent être accessibles à tout moment à travers plusieurs canaux de communi</w:t>
      </w:r>
      <w:r>
        <w:rPr>
          <w:rFonts w:ascii="Arial" w:eastAsia="Arial" w:hAnsi="Arial"/>
        </w:rPr>
        <w:t>cation (ligne téléphonique fixe et/ou</w:t>
      </w:r>
      <w:r w:rsidRPr="006062E2">
        <w:rPr>
          <w:rFonts w:ascii="Arial" w:eastAsia="Arial" w:hAnsi="Arial"/>
        </w:rPr>
        <w:t xml:space="preserve"> mobile, WhatsApp, </w:t>
      </w:r>
      <w:r>
        <w:rPr>
          <w:rFonts w:ascii="Arial" w:eastAsia="Arial" w:hAnsi="Arial"/>
        </w:rPr>
        <w:t>facebook,</w:t>
      </w:r>
      <w:r w:rsidR="00D60C1B">
        <w:rPr>
          <w:rFonts w:ascii="Arial" w:eastAsia="Arial" w:hAnsi="Arial"/>
        </w:rPr>
        <w:t xml:space="preserve"> </w:t>
      </w:r>
      <w:r w:rsidRPr="006062E2">
        <w:rPr>
          <w:rFonts w:ascii="Arial" w:eastAsia="Arial" w:hAnsi="Arial"/>
        </w:rPr>
        <w:t xml:space="preserve">etc.). Ils doivent être en contact permanent avec </w:t>
      </w:r>
      <w:r>
        <w:rPr>
          <w:rFonts w:ascii="Arial" w:eastAsia="Arial" w:hAnsi="Arial"/>
        </w:rPr>
        <w:t xml:space="preserve">le Préfet de Région, chef de District, commandant de la gendarmerie au niveau Région et/ou District dans la zone d’intervention du Projet. </w:t>
      </w:r>
      <w:r w:rsidRPr="006062E2">
        <w:rPr>
          <w:rFonts w:ascii="Arial" w:eastAsia="Arial" w:hAnsi="Arial"/>
        </w:rPr>
        <w:t xml:space="preserve">La priorité doit être accordée aux zones dans lesquelles le projet est actif afin de garantir l’efficacité des interventions. Une planification optimale des interventions du projet par zone faciliterait aussi la planification des mesures de sécurité sur le projet et pour une meilleure efficacité. </w:t>
      </w:r>
    </w:p>
    <w:p w14:paraId="7A8E47BA" w14:textId="77777777" w:rsidR="00457520" w:rsidRPr="005C566E" w:rsidRDefault="00CC01C2" w:rsidP="005C566E">
      <w:pPr>
        <w:ind w:left="708"/>
        <w:rPr>
          <w:b/>
          <w:bCs/>
          <w:lang w:eastAsia="fr-FR"/>
        </w:rPr>
      </w:pPr>
      <w:bookmarkStart w:id="1815" w:name="_Toc100252475"/>
      <w:bookmarkStart w:id="1816" w:name="_Toc125384730"/>
      <w:bookmarkStart w:id="1817" w:name="_Toc125385119"/>
      <w:r w:rsidRPr="005C566E">
        <w:rPr>
          <w:b/>
          <w:bCs/>
          <w:lang w:eastAsia="fr-FR"/>
        </w:rPr>
        <w:t xml:space="preserve">7.2 </w:t>
      </w:r>
      <w:r w:rsidR="00457520" w:rsidRPr="005C566E">
        <w:rPr>
          <w:b/>
          <w:bCs/>
          <w:lang w:eastAsia="fr-FR"/>
        </w:rPr>
        <w:t>Rapportage de l’incident</w:t>
      </w:r>
      <w:bookmarkEnd w:id="1815"/>
      <w:bookmarkEnd w:id="1816"/>
      <w:bookmarkEnd w:id="1817"/>
    </w:p>
    <w:p w14:paraId="3F629964" w14:textId="77777777" w:rsidR="00457520" w:rsidRPr="006062E2" w:rsidRDefault="00457520" w:rsidP="00457520">
      <w:pPr>
        <w:spacing w:before="120" w:line="240" w:lineRule="auto"/>
        <w:ind w:right="23"/>
        <w:jc w:val="both"/>
        <w:rPr>
          <w:rFonts w:ascii="Arial" w:eastAsia="Arial" w:hAnsi="Arial"/>
        </w:rPr>
      </w:pPr>
      <w:r w:rsidRPr="006062E2">
        <w:rPr>
          <w:rFonts w:ascii="Arial" w:eastAsia="Arial" w:hAnsi="Arial"/>
        </w:rPr>
        <w:t xml:space="preserve">Les incidents de sécurité lorsqu’ils surviennent ont besoin d’une prise en charge rapide pour les contenir ou les endiguer afin que son effet n’affecte d’avantage les personnes et leurs biens. Ainsi, les points focaux doivent avoir des relais sur le terrain au sein des entreprises et des bureaux de contrôle afin que l’information soit vite remontée aux responsables de sécurité pour que diligence soit faite pour endiguer l’incident. Si l’incident entraine des blessés ou de pertes en vie humaine, les dispositions doivent être prises pour la prise en charge des personnes blessées et d’assistance aux familles des personnes décédées. </w:t>
      </w:r>
    </w:p>
    <w:p w14:paraId="44A35DAE" w14:textId="77777777" w:rsidR="00457520" w:rsidRPr="005C566E" w:rsidRDefault="00CC01C2" w:rsidP="005C566E">
      <w:pPr>
        <w:ind w:left="708"/>
        <w:rPr>
          <w:b/>
          <w:bCs/>
          <w:lang w:eastAsia="fr-FR"/>
        </w:rPr>
      </w:pPr>
      <w:bookmarkStart w:id="1818" w:name="_Toc96965717"/>
      <w:bookmarkStart w:id="1819" w:name="_Toc97936330"/>
      <w:bookmarkStart w:id="1820" w:name="_Toc100252476"/>
      <w:bookmarkStart w:id="1821" w:name="_Toc125384731"/>
      <w:bookmarkStart w:id="1822" w:name="_Toc125385120"/>
      <w:r w:rsidRPr="005C566E">
        <w:rPr>
          <w:b/>
          <w:bCs/>
          <w:lang w:eastAsia="fr-FR"/>
        </w:rPr>
        <w:t xml:space="preserve">7.3 </w:t>
      </w:r>
      <w:r w:rsidR="00457520" w:rsidRPr="005C566E">
        <w:rPr>
          <w:b/>
          <w:bCs/>
          <w:lang w:eastAsia="fr-FR"/>
        </w:rPr>
        <w:t>Procédures d’évacuation médicale</w:t>
      </w:r>
      <w:bookmarkEnd w:id="1818"/>
      <w:bookmarkEnd w:id="1819"/>
      <w:bookmarkEnd w:id="1820"/>
      <w:bookmarkEnd w:id="1821"/>
      <w:bookmarkEnd w:id="1822"/>
    </w:p>
    <w:p w14:paraId="4A4DB992" w14:textId="77777777" w:rsidR="00457520" w:rsidRPr="006062E2" w:rsidRDefault="00457520" w:rsidP="00457520">
      <w:pPr>
        <w:spacing w:before="120" w:line="240" w:lineRule="auto"/>
        <w:ind w:right="23"/>
        <w:jc w:val="both"/>
        <w:rPr>
          <w:rFonts w:ascii="Arial" w:eastAsia="Arial" w:hAnsi="Arial"/>
        </w:rPr>
      </w:pPr>
      <w:r w:rsidRPr="006062E2">
        <w:rPr>
          <w:rFonts w:ascii="Arial" w:eastAsia="Arial" w:hAnsi="Arial"/>
        </w:rPr>
        <w:t>En vue d’accélérer les procédures d’évacuation médicale, le point focal sécurité du projet en accord avec les hôpitaux</w:t>
      </w:r>
      <w:r>
        <w:rPr>
          <w:rFonts w:ascii="Arial" w:eastAsia="Arial" w:hAnsi="Arial"/>
        </w:rPr>
        <w:t xml:space="preserve"> ou centre de santé</w:t>
      </w:r>
      <w:r w:rsidRPr="006062E2">
        <w:rPr>
          <w:rFonts w:ascii="Arial" w:eastAsia="Arial" w:hAnsi="Arial"/>
        </w:rPr>
        <w:t xml:space="preserve"> des différents </w:t>
      </w:r>
      <w:r>
        <w:rPr>
          <w:rFonts w:ascii="Arial" w:eastAsia="Arial" w:hAnsi="Arial"/>
        </w:rPr>
        <w:t>sites</w:t>
      </w:r>
      <w:r w:rsidRPr="006062E2">
        <w:rPr>
          <w:rFonts w:ascii="Arial" w:eastAsia="Arial" w:hAnsi="Arial"/>
        </w:rPr>
        <w:t xml:space="preserve"> du projet</w:t>
      </w:r>
      <w:r w:rsidR="00D60C1B">
        <w:rPr>
          <w:rFonts w:ascii="Arial" w:eastAsia="Arial" w:hAnsi="Arial"/>
        </w:rPr>
        <w:t>,</w:t>
      </w:r>
      <w:r w:rsidRPr="006062E2">
        <w:rPr>
          <w:rFonts w:ascii="Arial" w:eastAsia="Arial" w:hAnsi="Arial"/>
        </w:rPr>
        <w:t xml:space="preserve"> devra assurer le dispositif d’évacuation médicale et l’urgence associée à ces différents cas.</w:t>
      </w:r>
    </w:p>
    <w:p w14:paraId="22D4FC51" w14:textId="77777777" w:rsidR="00457520" w:rsidRPr="006062E2" w:rsidRDefault="00457520" w:rsidP="00457520">
      <w:pPr>
        <w:spacing w:before="120" w:line="240" w:lineRule="auto"/>
        <w:ind w:right="23"/>
        <w:jc w:val="both"/>
        <w:rPr>
          <w:rFonts w:ascii="Arial" w:eastAsia="Arial" w:hAnsi="Arial"/>
        </w:rPr>
      </w:pPr>
      <w:r w:rsidRPr="006062E2">
        <w:rPr>
          <w:rFonts w:ascii="Arial" w:eastAsia="Arial" w:hAnsi="Arial"/>
        </w:rPr>
        <w:t xml:space="preserve">Un cadre de partenariat formel avec les acteurs des hôpitaux </w:t>
      </w:r>
      <w:r>
        <w:rPr>
          <w:rFonts w:ascii="Arial" w:eastAsia="Arial" w:hAnsi="Arial"/>
        </w:rPr>
        <w:t xml:space="preserve">devra être ainsi effectué par l’UCP </w:t>
      </w:r>
      <w:r w:rsidRPr="006062E2">
        <w:rPr>
          <w:rFonts w:ascii="Arial" w:eastAsia="Arial" w:hAnsi="Arial"/>
        </w:rPr>
        <w:t>pour faciliter la gestion des cas pratiques. En situation d’urgence médicale nécessitant une évacuation, il est important de contacter directement le point focal sécurité.</w:t>
      </w:r>
    </w:p>
    <w:p w14:paraId="5FE086F1" w14:textId="77777777" w:rsidR="00457520" w:rsidRPr="00EC305F" w:rsidRDefault="00457520" w:rsidP="00457520">
      <w:pPr>
        <w:spacing w:before="120" w:line="240" w:lineRule="auto"/>
        <w:ind w:right="23"/>
        <w:jc w:val="both"/>
        <w:rPr>
          <w:rFonts w:ascii="Arial" w:eastAsia="Arial" w:hAnsi="Arial"/>
        </w:rPr>
      </w:pPr>
      <w:r>
        <w:rPr>
          <w:rFonts w:ascii="Arial" w:eastAsia="Arial" w:hAnsi="Arial"/>
        </w:rPr>
        <w:t>En outre, le P</w:t>
      </w:r>
      <w:r w:rsidRPr="00EC305F">
        <w:rPr>
          <w:rFonts w:ascii="Arial" w:eastAsia="Arial" w:hAnsi="Arial"/>
        </w:rPr>
        <w:t xml:space="preserve">rojet devra formaliser le cadre de collaboration </w:t>
      </w:r>
      <w:r>
        <w:rPr>
          <w:rFonts w:ascii="Arial" w:eastAsia="Arial" w:hAnsi="Arial"/>
        </w:rPr>
        <w:t xml:space="preserve">avec les centres de santé </w:t>
      </w:r>
      <w:r w:rsidRPr="00EC305F">
        <w:rPr>
          <w:rFonts w:ascii="Arial" w:eastAsia="Arial" w:hAnsi="Arial"/>
        </w:rPr>
        <w:t xml:space="preserve">avant le déploiement des entreprises sur le terrain. Ce cadre devra prendre en compte le code de conduite EAS/HS ainsi que le PGMO de ce projet. </w:t>
      </w:r>
    </w:p>
    <w:p w14:paraId="43A5AB62" w14:textId="77777777" w:rsidR="00457520" w:rsidRPr="005C566E" w:rsidRDefault="00CC01C2" w:rsidP="005C566E">
      <w:pPr>
        <w:ind w:left="708"/>
        <w:rPr>
          <w:b/>
          <w:bCs/>
          <w:lang w:eastAsia="fr-FR"/>
        </w:rPr>
      </w:pPr>
      <w:bookmarkStart w:id="1823" w:name="_Toc100252477"/>
      <w:bookmarkStart w:id="1824" w:name="_Toc125384732"/>
      <w:bookmarkStart w:id="1825" w:name="_Toc125385121"/>
      <w:r w:rsidRPr="005C566E">
        <w:rPr>
          <w:b/>
          <w:bCs/>
          <w:lang w:eastAsia="fr-FR"/>
        </w:rPr>
        <w:t xml:space="preserve">7.4 </w:t>
      </w:r>
      <w:r w:rsidR="00457520" w:rsidRPr="005C566E">
        <w:rPr>
          <w:b/>
          <w:bCs/>
          <w:lang w:eastAsia="fr-FR"/>
        </w:rPr>
        <w:t>Prise en charge immédiate</w:t>
      </w:r>
      <w:bookmarkEnd w:id="1823"/>
      <w:bookmarkEnd w:id="1824"/>
      <w:bookmarkEnd w:id="1825"/>
    </w:p>
    <w:p w14:paraId="45ACB4A7" w14:textId="77777777" w:rsidR="00457520" w:rsidRPr="00EC305F" w:rsidRDefault="00457520" w:rsidP="00457520">
      <w:pPr>
        <w:spacing w:before="120" w:line="240" w:lineRule="auto"/>
        <w:ind w:right="23"/>
        <w:jc w:val="both"/>
        <w:rPr>
          <w:rFonts w:ascii="Arial" w:eastAsia="Arial" w:hAnsi="Arial"/>
        </w:rPr>
      </w:pPr>
      <w:r w:rsidRPr="00EC305F">
        <w:rPr>
          <w:rFonts w:ascii="Arial" w:eastAsia="Arial" w:hAnsi="Arial"/>
        </w:rPr>
        <w:t>Le point focal sécurité du projet en accord avec les conseillers à la sécurité du gouvernorat membre de la commission doit prendre les dispositions pour la prise en charge immédiate des cas de blessures issues des attaques. Pour ce faire, il doit pouvoir être en contact avec les responsables des centres de santé de référence le plus proche pour cette prise en charge si nécessaire.</w:t>
      </w:r>
    </w:p>
    <w:p w14:paraId="0D9B53A5" w14:textId="77777777" w:rsidR="00547D64" w:rsidRPr="00BE75BC" w:rsidRDefault="00457520" w:rsidP="005C566E">
      <w:pPr>
        <w:spacing w:before="120" w:line="240" w:lineRule="auto"/>
        <w:ind w:right="23"/>
        <w:jc w:val="both"/>
        <w:rPr>
          <w:rFonts w:ascii="Arial" w:eastAsia="Arial" w:hAnsi="Arial"/>
        </w:rPr>
      </w:pPr>
      <w:r w:rsidRPr="00EC305F">
        <w:rPr>
          <w:rFonts w:ascii="Arial" w:eastAsia="Arial" w:hAnsi="Arial"/>
        </w:rPr>
        <w:t xml:space="preserve">En cas d’enlèvement il doit pourvoir en collaboration avec les autorités locales faire le nécessaire pour le recouvrement de liberté des acteurs du projet victimes d’enlèvement. Les prises en charges médicales et psychologiques doivent suivre dès la libération des victimes. </w:t>
      </w:r>
    </w:p>
    <w:p w14:paraId="1AE4A6C7" w14:textId="77777777" w:rsidR="00023C2C" w:rsidRPr="00631F1E" w:rsidRDefault="00023C2C" w:rsidP="00023C2C">
      <w:pPr>
        <w:rPr>
          <w:rFonts w:ascii="Arial" w:hAnsi="Arial" w:cs="Arial"/>
          <w:b/>
          <w:bCs/>
        </w:rPr>
      </w:pPr>
      <w:r>
        <w:br w:type="page"/>
      </w:r>
      <w:bookmarkStart w:id="1826" w:name="_Toc125402477"/>
      <w:r w:rsidRPr="00631F1E">
        <w:rPr>
          <w:rFonts w:ascii="Arial" w:hAnsi="Arial" w:cs="Arial"/>
          <w:b/>
          <w:bCs/>
        </w:rPr>
        <w:t xml:space="preserve">Annexe </w:t>
      </w:r>
      <w:r w:rsidRPr="00631F1E">
        <w:rPr>
          <w:rFonts w:ascii="Arial" w:hAnsi="Arial" w:cs="Arial"/>
          <w:b/>
          <w:bCs/>
        </w:rPr>
        <w:fldChar w:fldCharType="begin"/>
      </w:r>
      <w:r w:rsidRPr="00631F1E">
        <w:rPr>
          <w:rFonts w:ascii="Arial" w:hAnsi="Arial" w:cs="Arial"/>
          <w:b/>
          <w:bCs/>
        </w:rPr>
        <w:instrText>SEQ Annexe \* ARABIC</w:instrText>
      </w:r>
      <w:r w:rsidRPr="00631F1E">
        <w:rPr>
          <w:rFonts w:ascii="Arial" w:hAnsi="Arial" w:cs="Arial"/>
          <w:b/>
          <w:bCs/>
        </w:rPr>
        <w:fldChar w:fldCharType="separate"/>
      </w:r>
      <w:r w:rsidR="009947B9">
        <w:rPr>
          <w:rFonts w:ascii="Arial" w:hAnsi="Arial" w:cs="Arial"/>
          <w:b/>
          <w:bCs/>
          <w:noProof/>
        </w:rPr>
        <w:t>14</w:t>
      </w:r>
      <w:r w:rsidRPr="00631F1E">
        <w:rPr>
          <w:rFonts w:ascii="Arial" w:hAnsi="Arial" w:cs="Arial"/>
          <w:b/>
          <w:bCs/>
        </w:rPr>
        <w:fldChar w:fldCharType="end"/>
      </w:r>
      <w:r w:rsidRPr="00631F1E">
        <w:rPr>
          <w:rFonts w:ascii="Arial" w:hAnsi="Arial" w:cs="Arial"/>
          <w:b/>
          <w:bCs/>
        </w:rPr>
        <w:t> : Modèle de Plan de Gestion de la Circulation</w:t>
      </w:r>
      <w:bookmarkEnd w:id="1826"/>
    </w:p>
    <w:p w14:paraId="50DEDEDB" w14:textId="77777777" w:rsidR="00023C2C" w:rsidRDefault="00023C2C" w:rsidP="00F01166">
      <w:pPr>
        <w:spacing w:after="0" w:line="240" w:lineRule="auto"/>
        <w:ind w:right="29"/>
        <w:jc w:val="both"/>
        <w:rPr>
          <w:rFonts w:ascii="Arial" w:eastAsia="Arial" w:hAnsi="Arial"/>
        </w:rPr>
      </w:pPr>
    </w:p>
    <w:p w14:paraId="11186B1A" w14:textId="77777777" w:rsidR="00023C2C" w:rsidRPr="00DC727F" w:rsidRDefault="00023C2C" w:rsidP="0044500E">
      <w:pPr>
        <w:pStyle w:val="Paragraphedeliste"/>
        <w:numPr>
          <w:ilvl w:val="0"/>
          <w:numId w:val="205"/>
        </w:numPr>
        <w:spacing w:before="120" w:line="240" w:lineRule="auto"/>
        <w:ind w:right="23"/>
        <w:jc w:val="both"/>
        <w:rPr>
          <w:rFonts w:ascii="Arial" w:eastAsia="Arial" w:hAnsi="Arial"/>
          <w:b/>
        </w:rPr>
      </w:pPr>
      <w:r w:rsidRPr="00DC727F">
        <w:rPr>
          <w:rFonts w:ascii="Arial" w:eastAsia="Arial" w:hAnsi="Arial"/>
          <w:b/>
        </w:rPr>
        <w:t xml:space="preserve">Objectifs </w:t>
      </w:r>
    </w:p>
    <w:p w14:paraId="70D17B5D" w14:textId="77777777" w:rsidR="00023C2C" w:rsidRPr="000D1466" w:rsidRDefault="00023C2C" w:rsidP="00023C2C">
      <w:pPr>
        <w:spacing w:before="120" w:line="240" w:lineRule="auto"/>
        <w:ind w:right="23"/>
        <w:jc w:val="both"/>
        <w:rPr>
          <w:rFonts w:ascii="Arial" w:eastAsia="Arial" w:hAnsi="Arial"/>
        </w:rPr>
      </w:pPr>
      <w:r w:rsidRPr="000D1466">
        <w:rPr>
          <w:rFonts w:ascii="Arial" w:eastAsia="Arial" w:hAnsi="Arial"/>
        </w:rPr>
        <w:t xml:space="preserve">La mise en place du présent Plan de </w:t>
      </w:r>
      <w:r>
        <w:rPr>
          <w:rFonts w:ascii="Arial" w:eastAsia="Arial" w:hAnsi="Arial"/>
        </w:rPr>
        <w:t xml:space="preserve">Gestion de la </w:t>
      </w:r>
      <w:r w:rsidRPr="000D1466">
        <w:rPr>
          <w:rFonts w:ascii="Arial" w:eastAsia="Arial" w:hAnsi="Arial"/>
        </w:rPr>
        <w:t xml:space="preserve">Circulation, </w:t>
      </w:r>
      <w:r>
        <w:rPr>
          <w:rFonts w:ascii="Arial" w:eastAsia="Arial" w:hAnsi="Arial"/>
        </w:rPr>
        <w:t>consiste surtout à</w:t>
      </w:r>
      <w:r w:rsidRPr="000D1466">
        <w:rPr>
          <w:rFonts w:ascii="Arial" w:eastAsia="Arial" w:hAnsi="Arial"/>
        </w:rPr>
        <w:t xml:space="preserve"> prévenir ou à éviter :</w:t>
      </w:r>
    </w:p>
    <w:p w14:paraId="2F76A475" w14:textId="77777777" w:rsidR="00023C2C" w:rsidRPr="008F324C" w:rsidRDefault="00023C2C" w:rsidP="0044500E">
      <w:pPr>
        <w:pStyle w:val="Paragraphedeliste"/>
        <w:numPr>
          <w:ilvl w:val="0"/>
          <w:numId w:val="203"/>
        </w:numPr>
        <w:spacing w:after="0" w:line="240" w:lineRule="auto"/>
        <w:jc w:val="both"/>
        <w:rPr>
          <w:rFonts w:ascii="Arial" w:hAnsi="Arial" w:cs="Arial"/>
        </w:rPr>
      </w:pPr>
      <w:r w:rsidRPr="008F324C">
        <w:rPr>
          <w:rFonts w:ascii="Arial" w:hAnsi="Arial" w:cs="Arial"/>
        </w:rPr>
        <w:t>La survenue des accidents et des incidents (personnel et communauté)</w:t>
      </w:r>
      <w:r>
        <w:rPr>
          <w:rFonts w:ascii="Arial" w:hAnsi="Arial" w:cs="Arial"/>
        </w:rPr>
        <w:t> ;</w:t>
      </w:r>
    </w:p>
    <w:p w14:paraId="758FF823" w14:textId="77777777" w:rsidR="00023C2C" w:rsidRPr="008F324C" w:rsidRDefault="00023C2C" w:rsidP="0044500E">
      <w:pPr>
        <w:pStyle w:val="Paragraphedeliste"/>
        <w:numPr>
          <w:ilvl w:val="0"/>
          <w:numId w:val="203"/>
        </w:numPr>
        <w:spacing w:after="0" w:line="240" w:lineRule="auto"/>
        <w:jc w:val="both"/>
        <w:rPr>
          <w:rFonts w:ascii="Arial" w:hAnsi="Arial" w:cs="Arial"/>
        </w:rPr>
      </w:pPr>
      <w:r w:rsidRPr="008F324C">
        <w:rPr>
          <w:rFonts w:ascii="Arial" w:hAnsi="Arial" w:cs="Arial"/>
        </w:rPr>
        <w:t>La présence de personnes dans les bennes de camions ou de pick-up</w:t>
      </w:r>
      <w:r>
        <w:rPr>
          <w:rFonts w:ascii="Arial" w:hAnsi="Arial" w:cs="Arial"/>
        </w:rPr>
        <w:t> ;</w:t>
      </w:r>
    </w:p>
    <w:p w14:paraId="2F2F5C8A" w14:textId="77777777" w:rsidR="00023C2C" w:rsidRPr="008F324C" w:rsidRDefault="00023C2C" w:rsidP="0044500E">
      <w:pPr>
        <w:pStyle w:val="Paragraphedeliste"/>
        <w:numPr>
          <w:ilvl w:val="0"/>
          <w:numId w:val="203"/>
        </w:numPr>
        <w:spacing w:after="0" w:line="240" w:lineRule="auto"/>
        <w:jc w:val="both"/>
        <w:rPr>
          <w:rFonts w:ascii="Arial" w:hAnsi="Arial" w:cs="Arial"/>
        </w:rPr>
      </w:pPr>
      <w:r w:rsidRPr="008F324C">
        <w:rPr>
          <w:rFonts w:ascii="Arial" w:hAnsi="Arial" w:cs="Arial"/>
        </w:rPr>
        <w:t>La multiplicité des véhicules sur les routes d’accès aux zones de chantier aux heures d’embauche et de débauche</w:t>
      </w:r>
      <w:r>
        <w:rPr>
          <w:rFonts w:ascii="Arial" w:hAnsi="Arial" w:cs="Arial"/>
        </w:rPr>
        <w:t> ;</w:t>
      </w:r>
    </w:p>
    <w:p w14:paraId="46FDDD7E" w14:textId="77777777" w:rsidR="00023C2C" w:rsidRPr="008F324C" w:rsidRDefault="00023C2C" w:rsidP="0044500E">
      <w:pPr>
        <w:pStyle w:val="Paragraphedeliste"/>
        <w:numPr>
          <w:ilvl w:val="0"/>
          <w:numId w:val="203"/>
        </w:numPr>
        <w:spacing w:after="0" w:line="240" w:lineRule="auto"/>
        <w:jc w:val="both"/>
        <w:rPr>
          <w:rFonts w:ascii="Arial" w:hAnsi="Arial" w:cs="Arial"/>
        </w:rPr>
      </w:pPr>
      <w:r w:rsidRPr="008F324C">
        <w:rPr>
          <w:rFonts w:ascii="Arial" w:hAnsi="Arial" w:cs="Arial"/>
        </w:rPr>
        <w:t>Le côtoiement d’engins de chantiers avec des piétons ou des véhicules légers de type vélos ou mobylettes</w:t>
      </w:r>
      <w:r>
        <w:rPr>
          <w:rFonts w:ascii="Arial" w:hAnsi="Arial" w:cs="Arial"/>
        </w:rPr>
        <w:t> ;</w:t>
      </w:r>
    </w:p>
    <w:p w14:paraId="14270FEE" w14:textId="77777777" w:rsidR="00023C2C" w:rsidRPr="008F324C" w:rsidRDefault="00023C2C" w:rsidP="0044500E">
      <w:pPr>
        <w:pStyle w:val="Paragraphedeliste"/>
        <w:numPr>
          <w:ilvl w:val="0"/>
          <w:numId w:val="203"/>
        </w:numPr>
        <w:spacing w:after="0" w:line="240" w:lineRule="auto"/>
        <w:jc w:val="both"/>
        <w:rPr>
          <w:rFonts w:ascii="Arial" w:hAnsi="Arial" w:cs="Arial"/>
        </w:rPr>
      </w:pPr>
      <w:r w:rsidRPr="008F324C">
        <w:rPr>
          <w:rFonts w:ascii="Arial" w:hAnsi="Arial" w:cs="Arial"/>
        </w:rPr>
        <w:t>Les zones de parking étendues et non souhaitées sur les zones de chantier</w:t>
      </w:r>
      <w:r>
        <w:rPr>
          <w:rFonts w:ascii="Arial" w:hAnsi="Arial" w:cs="Arial"/>
        </w:rPr>
        <w:t> ;</w:t>
      </w:r>
    </w:p>
    <w:p w14:paraId="399AD92E" w14:textId="77777777" w:rsidR="00023C2C" w:rsidRPr="008F324C" w:rsidRDefault="00023C2C" w:rsidP="0044500E">
      <w:pPr>
        <w:pStyle w:val="Paragraphedeliste"/>
        <w:numPr>
          <w:ilvl w:val="0"/>
          <w:numId w:val="203"/>
        </w:numPr>
        <w:spacing w:after="0" w:line="240" w:lineRule="auto"/>
        <w:jc w:val="both"/>
        <w:rPr>
          <w:rFonts w:ascii="Arial" w:hAnsi="Arial" w:cs="Arial"/>
        </w:rPr>
      </w:pPr>
      <w:r w:rsidRPr="008F324C">
        <w:rPr>
          <w:rFonts w:ascii="Arial" w:hAnsi="Arial" w:cs="Arial"/>
        </w:rPr>
        <w:t>La présence de personnes non souhaitées sur la zone de chantier</w:t>
      </w:r>
      <w:r>
        <w:rPr>
          <w:rFonts w:ascii="Arial" w:hAnsi="Arial" w:cs="Arial"/>
        </w:rPr>
        <w:t>.</w:t>
      </w:r>
    </w:p>
    <w:p w14:paraId="048A8AA3" w14:textId="77777777" w:rsidR="00023C2C" w:rsidRDefault="00023C2C" w:rsidP="00023C2C">
      <w:pPr>
        <w:spacing w:before="120" w:line="240" w:lineRule="auto"/>
        <w:ind w:right="23"/>
        <w:jc w:val="both"/>
        <w:rPr>
          <w:rFonts w:ascii="Arial" w:eastAsia="Arial" w:hAnsi="Arial"/>
        </w:rPr>
      </w:pPr>
    </w:p>
    <w:p w14:paraId="51F54949" w14:textId="77777777" w:rsidR="00023C2C" w:rsidRPr="00DC727F" w:rsidRDefault="00023C2C" w:rsidP="0044500E">
      <w:pPr>
        <w:pStyle w:val="Paragraphedeliste"/>
        <w:numPr>
          <w:ilvl w:val="0"/>
          <w:numId w:val="205"/>
        </w:numPr>
        <w:spacing w:before="120" w:line="240" w:lineRule="auto"/>
        <w:ind w:right="23"/>
        <w:jc w:val="both"/>
        <w:rPr>
          <w:rFonts w:ascii="Arial" w:eastAsia="Arial" w:hAnsi="Arial"/>
          <w:b/>
        </w:rPr>
      </w:pPr>
      <w:r w:rsidRPr="00DC727F">
        <w:rPr>
          <w:rFonts w:ascii="Arial" w:eastAsia="Arial" w:hAnsi="Arial"/>
          <w:b/>
        </w:rPr>
        <w:t>Dispositif préalable</w:t>
      </w:r>
    </w:p>
    <w:p w14:paraId="4A094697" w14:textId="77777777" w:rsidR="00023C2C" w:rsidRPr="008F324C" w:rsidRDefault="00023C2C" w:rsidP="00023C2C">
      <w:pPr>
        <w:spacing w:before="120" w:line="240" w:lineRule="auto"/>
        <w:ind w:right="23"/>
        <w:jc w:val="both"/>
        <w:rPr>
          <w:rFonts w:ascii="Arial" w:eastAsia="Arial" w:hAnsi="Arial"/>
        </w:rPr>
      </w:pPr>
      <w:r w:rsidRPr="008F324C">
        <w:rPr>
          <w:rFonts w:ascii="Arial" w:eastAsia="Arial" w:hAnsi="Arial"/>
        </w:rPr>
        <w:t>Il sera interdit d’emprunter un véhicule si aucune place individuelle munie d’une ceinture de sécurité n’est disponible. La ceinture de sécurité doit être portée par tous les occupants d’un véhicule lors des déplacements.</w:t>
      </w:r>
    </w:p>
    <w:p w14:paraId="60E5FD39" w14:textId="77777777" w:rsidR="00023C2C" w:rsidRPr="008F324C" w:rsidRDefault="00023C2C" w:rsidP="00023C2C">
      <w:pPr>
        <w:spacing w:before="120" w:line="240" w:lineRule="auto"/>
        <w:ind w:right="23"/>
        <w:jc w:val="both"/>
        <w:rPr>
          <w:rFonts w:ascii="Arial" w:eastAsia="Arial" w:hAnsi="Arial"/>
        </w:rPr>
      </w:pPr>
      <w:r w:rsidRPr="008F324C">
        <w:rPr>
          <w:rFonts w:ascii="Arial" w:eastAsia="Arial" w:hAnsi="Arial"/>
        </w:rPr>
        <w:t>Tous les travaux réalisés en bordure de voie seront signalés. Il sera mis en place, dans le cadre de la circulation fréquente de</w:t>
      </w:r>
      <w:r>
        <w:rPr>
          <w:rFonts w:ascii="Arial" w:eastAsia="Arial" w:hAnsi="Arial"/>
        </w:rPr>
        <w:t>s</w:t>
      </w:r>
      <w:r w:rsidRPr="008F324C">
        <w:rPr>
          <w:rFonts w:ascii="Arial" w:eastAsia="Arial" w:hAnsi="Arial"/>
        </w:rPr>
        <w:t xml:space="preserve"> véhicules et </w:t>
      </w:r>
      <w:r>
        <w:rPr>
          <w:rFonts w:ascii="Arial" w:eastAsia="Arial" w:hAnsi="Arial"/>
        </w:rPr>
        <w:t>des</w:t>
      </w:r>
      <w:r w:rsidRPr="008F324C">
        <w:rPr>
          <w:rFonts w:ascii="Arial" w:eastAsia="Arial" w:hAnsi="Arial"/>
        </w:rPr>
        <w:t xml:space="preserve"> engins </w:t>
      </w:r>
      <w:r>
        <w:rPr>
          <w:rFonts w:ascii="Arial" w:eastAsia="Arial" w:hAnsi="Arial"/>
        </w:rPr>
        <w:t xml:space="preserve">de l’entreprise </w:t>
      </w:r>
      <w:r w:rsidRPr="008F324C">
        <w:rPr>
          <w:rFonts w:ascii="Arial" w:eastAsia="Arial" w:hAnsi="Arial"/>
        </w:rPr>
        <w:t xml:space="preserve">sur certaines pistes et voies existantes, des signalisations routières. Les accès créés par </w:t>
      </w:r>
      <w:r>
        <w:rPr>
          <w:rFonts w:ascii="Arial" w:eastAsia="Arial" w:hAnsi="Arial"/>
        </w:rPr>
        <w:t>les</w:t>
      </w:r>
      <w:r w:rsidRPr="008F324C">
        <w:rPr>
          <w:rFonts w:ascii="Arial" w:eastAsia="Arial" w:hAnsi="Arial"/>
        </w:rPr>
        <w:t xml:space="preserve"> travaux nécessiteront également des signalisations, n</w:t>
      </w:r>
      <w:r>
        <w:rPr>
          <w:rFonts w:ascii="Arial" w:eastAsia="Arial" w:hAnsi="Arial"/>
        </w:rPr>
        <w:t>otamment aux différentes inters</w:t>
      </w:r>
      <w:r w:rsidRPr="008F324C">
        <w:rPr>
          <w:rFonts w:ascii="Arial" w:eastAsia="Arial" w:hAnsi="Arial"/>
        </w:rPr>
        <w:t>e</w:t>
      </w:r>
      <w:r>
        <w:rPr>
          <w:rFonts w:ascii="Arial" w:eastAsia="Arial" w:hAnsi="Arial"/>
        </w:rPr>
        <w:t>ct</w:t>
      </w:r>
      <w:r w:rsidRPr="008F324C">
        <w:rPr>
          <w:rFonts w:ascii="Arial" w:eastAsia="Arial" w:hAnsi="Arial"/>
        </w:rPr>
        <w:t>ions. Un personnel sera dédié aux signalisations routières de</w:t>
      </w:r>
      <w:r>
        <w:rPr>
          <w:rFonts w:ascii="Arial" w:eastAsia="Arial" w:hAnsi="Arial"/>
        </w:rPr>
        <w:t>s</w:t>
      </w:r>
      <w:r w:rsidRPr="008F324C">
        <w:rPr>
          <w:rFonts w:ascii="Arial" w:eastAsia="Arial" w:hAnsi="Arial"/>
        </w:rPr>
        <w:t xml:space="preserve"> travaux.</w:t>
      </w:r>
    </w:p>
    <w:p w14:paraId="723062E6" w14:textId="77777777" w:rsidR="00023C2C" w:rsidRPr="008F324C" w:rsidRDefault="00023C2C" w:rsidP="00023C2C">
      <w:pPr>
        <w:spacing w:before="120" w:line="240" w:lineRule="auto"/>
        <w:ind w:right="23"/>
        <w:jc w:val="both"/>
        <w:rPr>
          <w:rFonts w:ascii="Arial" w:eastAsia="Arial" w:hAnsi="Arial"/>
        </w:rPr>
      </w:pPr>
      <w:r w:rsidRPr="008F324C">
        <w:rPr>
          <w:rFonts w:ascii="Arial" w:eastAsia="Arial" w:hAnsi="Arial"/>
        </w:rPr>
        <w:t>En tout état de cause, toutes les mesures mises en œuvre seront conformes aux exigences du Projet. Les exigences minimales à respecter seront :</w:t>
      </w:r>
    </w:p>
    <w:p w14:paraId="454F00AC" w14:textId="77777777" w:rsidR="00023C2C" w:rsidRPr="008F324C" w:rsidRDefault="00023C2C" w:rsidP="0044500E">
      <w:pPr>
        <w:pStyle w:val="Paragraphedeliste"/>
        <w:numPr>
          <w:ilvl w:val="0"/>
          <w:numId w:val="203"/>
        </w:numPr>
        <w:spacing w:after="0" w:line="240" w:lineRule="auto"/>
        <w:jc w:val="both"/>
        <w:rPr>
          <w:rFonts w:ascii="Arial" w:hAnsi="Arial" w:cs="Arial"/>
        </w:rPr>
      </w:pPr>
      <w:r w:rsidRPr="008F324C">
        <w:rPr>
          <w:rFonts w:ascii="Arial" w:hAnsi="Arial" w:cs="Arial"/>
        </w:rPr>
        <w:t>La règlementation locale du code de la route</w:t>
      </w:r>
      <w:r>
        <w:rPr>
          <w:rFonts w:ascii="Arial" w:hAnsi="Arial" w:cs="Arial"/>
        </w:rPr>
        <w:t> ;</w:t>
      </w:r>
    </w:p>
    <w:p w14:paraId="02D9AEB7" w14:textId="77777777" w:rsidR="00023C2C" w:rsidRPr="008F324C" w:rsidRDefault="00023C2C" w:rsidP="0044500E">
      <w:pPr>
        <w:pStyle w:val="Paragraphedeliste"/>
        <w:numPr>
          <w:ilvl w:val="0"/>
          <w:numId w:val="203"/>
        </w:numPr>
        <w:spacing w:after="0" w:line="240" w:lineRule="auto"/>
        <w:jc w:val="both"/>
        <w:rPr>
          <w:rFonts w:ascii="Arial" w:hAnsi="Arial" w:cs="Arial"/>
        </w:rPr>
      </w:pPr>
      <w:r w:rsidRPr="008F324C">
        <w:rPr>
          <w:rFonts w:ascii="Arial" w:hAnsi="Arial" w:cs="Arial"/>
        </w:rPr>
        <w:t>Les limitations de vitesse sur les chantiers entre 30 et 50 Km/h</w:t>
      </w:r>
      <w:r>
        <w:rPr>
          <w:rFonts w:ascii="Arial" w:hAnsi="Arial" w:cs="Arial"/>
        </w:rPr>
        <w:t> ;</w:t>
      </w:r>
    </w:p>
    <w:p w14:paraId="741048FE" w14:textId="77777777" w:rsidR="00023C2C" w:rsidRPr="008F324C" w:rsidRDefault="00023C2C" w:rsidP="0044500E">
      <w:pPr>
        <w:pStyle w:val="Paragraphedeliste"/>
        <w:numPr>
          <w:ilvl w:val="0"/>
          <w:numId w:val="203"/>
        </w:numPr>
        <w:spacing w:after="0" w:line="240" w:lineRule="auto"/>
        <w:jc w:val="both"/>
        <w:rPr>
          <w:rFonts w:ascii="Arial" w:hAnsi="Arial" w:cs="Arial"/>
        </w:rPr>
      </w:pPr>
      <w:r w:rsidRPr="008F324C">
        <w:rPr>
          <w:rFonts w:ascii="Arial" w:hAnsi="Arial" w:cs="Arial"/>
        </w:rPr>
        <w:t>La conduite interdite sous l’influence d’alcool, de produits stupéfiants ou de médicaments</w:t>
      </w:r>
      <w:r>
        <w:rPr>
          <w:rFonts w:ascii="Arial" w:hAnsi="Arial" w:cs="Arial"/>
        </w:rPr>
        <w:t> ;</w:t>
      </w:r>
    </w:p>
    <w:p w14:paraId="2FCD200E" w14:textId="77777777" w:rsidR="00023C2C" w:rsidRPr="008F324C" w:rsidRDefault="00023C2C" w:rsidP="0044500E">
      <w:pPr>
        <w:pStyle w:val="Paragraphedeliste"/>
        <w:numPr>
          <w:ilvl w:val="0"/>
          <w:numId w:val="203"/>
        </w:numPr>
        <w:spacing w:after="0" w:line="240" w:lineRule="auto"/>
        <w:jc w:val="both"/>
        <w:rPr>
          <w:rFonts w:ascii="Arial" w:hAnsi="Arial" w:cs="Arial"/>
        </w:rPr>
      </w:pPr>
      <w:r w:rsidRPr="008F324C">
        <w:rPr>
          <w:rFonts w:ascii="Arial" w:hAnsi="Arial" w:cs="Arial"/>
        </w:rPr>
        <w:t>L’interdiction de fumer pendant la conduite</w:t>
      </w:r>
      <w:r>
        <w:rPr>
          <w:rFonts w:ascii="Arial" w:hAnsi="Arial" w:cs="Arial"/>
        </w:rPr>
        <w:t> ;</w:t>
      </w:r>
    </w:p>
    <w:p w14:paraId="6B537327" w14:textId="77777777" w:rsidR="00023C2C" w:rsidRPr="008F324C" w:rsidRDefault="00023C2C" w:rsidP="0044500E">
      <w:pPr>
        <w:pStyle w:val="Paragraphedeliste"/>
        <w:numPr>
          <w:ilvl w:val="0"/>
          <w:numId w:val="203"/>
        </w:numPr>
        <w:spacing w:after="0" w:line="240" w:lineRule="auto"/>
        <w:jc w:val="both"/>
        <w:rPr>
          <w:rFonts w:ascii="Arial" w:hAnsi="Arial" w:cs="Arial"/>
        </w:rPr>
      </w:pPr>
      <w:r w:rsidRPr="008F324C">
        <w:rPr>
          <w:rFonts w:ascii="Arial" w:hAnsi="Arial" w:cs="Arial"/>
        </w:rPr>
        <w:t>Le stationnement en marche arrière sur des zones identifiées</w:t>
      </w:r>
      <w:r>
        <w:rPr>
          <w:rFonts w:ascii="Arial" w:hAnsi="Arial" w:cs="Arial"/>
        </w:rPr>
        <w:t>.</w:t>
      </w:r>
    </w:p>
    <w:p w14:paraId="7B75969A" w14:textId="77777777" w:rsidR="00023C2C" w:rsidRDefault="00023C2C" w:rsidP="00023C2C">
      <w:pPr>
        <w:rPr>
          <w:rFonts w:ascii="Arial" w:eastAsia="Arial" w:hAnsi="Arial"/>
        </w:rPr>
      </w:pPr>
    </w:p>
    <w:p w14:paraId="691F8076" w14:textId="77777777" w:rsidR="00023C2C" w:rsidRPr="00DC727F" w:rsidRDefault="00023C2C" w:rsidP="0044500E">
      <w:pPr>
        <w:pStyle w:val="Paragraphedeliste"/>
        <w:numPr>
          <w:ilvl w:val="0"/>
          <w:numId w:val="205"/>
        </w:numPr>
        <w:spacing w:before="120" w:line="240" w:lineRule="auto"/>
        <w:ind w:right="23"/>
        <w:jc w:val="both"/>
        <w:rPr>
          <w:rFonts w:ascii="Arial" w:eastAsia="Arial" w:hAnsi="Arial"/>
          <w:b/>
        </w:rPr>
      </w:pPr>
      <w:r w:rsidRPr="00DC727F">
        <w:rPr>
          <w:rFonts w:ascii="Arial" w:eastAsia="Arial" w:hAnsi="Arial"/>
          <w:b/>
        </w:rPr>
        <w:t>Contrôle</w:t>
      </w:r>
      <w:r>
        <w:rPr>
          <w:rFonts w:ascii="Arial" w:eastAsia="Arial" w:hAnsi="Arial"/>
          <w:b/>
        </w:rPr>
        <w:t>s</w:t>
      </w:r>
      <w:r w:rsidRPr="00DC727F">
        <w:rPr>
          <w:rFonts w:ascii="Arial" w:eastAsia="Arial" w:hAnsi="Arial"/>
          <w:b/>
        </w:rPr>
        <w:t xml:space="preserve"> </w:t>
      </w:r>
    </w:p>
    <w:p w14:paraId="78902C12" w14:textId="77777777" w:rsidR="00023C2C" w:rsidRDefault="00023C2C" w:rsidP="00F01166">
      <w:pPr>
        <w:spacing w:after="0"/>
        <w:rPr>
          <w:rFonts w:ascii="Arial" w:eastAsia="Arial" w:hAnsi="Arial"/>
        </w:rPr>
      </w:pPr>
    </w:p>
    <w:p w14:paraId="4DF79C62" w14:textId="77777777" w:rsidR="00023C2C" w:rsidRPr="00DC727F" w:rsidRDefault="00023C2C" w:rsidP="0044500E">
      <w:pPr>
        <w:pStyle w:val="Paragraphedeliste"/>
        <w:numPr>
          <w:ilvl w:val="1"/>
          <w:numId w:val="205"/>
        </w:numPr>
        <w:ind w:left="1276" w:hanging="567"/>
        <w:rPr>
          <w:rFonts w:ascii="Arial" w:eastAsia="Arial" w:hAnsi="Arial"/>
          <w:b/>
        </w:rPr>
      </w:pPr>
      <w:r>
        <w:rPr>
          <w:rFonts w:ascii="Arial" w:eastAsia="Arial" w:hAnsi="Arial"/>
          <w:b/>
        </w:rPr>
        <w:t>Contrôle et Limitation</w:t>
      </w:r>
      <w:r w:rsidRPr="00DC727F">
        <w:rPr>
          <w:rFonts w:ascii="Arial" w:eastAsia="Arial" w:hAnsi="Arial"/>
          <w:b/>
        </w:rPr>
        <w:t xml:space="preserve"> de vitesse</w:t>
      </w:r>
    </w:p>
    <w:p w14:paraId="2F374088" w14:textId="77777777" w:rsidR="00023C2C" w:rsidRDefault="00023C2C" w:rsidP="00023C2C">
      <w:pPr>
        <w:jc w:val="both"/>
        <w:rPr>
          <w:rFonts w:ascii="Arial" w:eastAsia="Arial" w:hAnsi="Arial"/>
        </w:rPr>
      </w:pPr>
      <w:r>
        <w:rPr>
          <w:rFonts w:ascii="Arial" w:eastAsia="Arial" w:hAnsi="Arial"/>
        </w:rPr>
        <w:t>Afin d’éviter toute accident de circulation une limitation de vitesse des engins sera établie. Ainsi dans des zones d’agglomérations ou zone d’habitation, la vitesse maximale des camions sera de 30Km/heure, sur les pistes et les routes, la vitesse maximale est de 50 km/h. tandis qu’au niveau des sites des travaux, la vitesse des engins et camions est limitée à 10 km/h en marche avant et 5 km/h en marche arrière</w:t>
      </w:r>
    </w:p>
    <w:p w14:paraId="75B36E94" w14:textId="77777777" w:rsidR="00023C2C" w:rsidRDefault="00023C2C" w:rsidP="00023C2C">
      <w:pPr>
        <w:jc w:val="both"/>
        <w:rPr>
          <w:rFonts w:ascii="Arial" w:eastAsia="Arial" w:hAnsi="Arial"/>
        </w:rPr>
      </w:pPr>
      <w:r>
        <w:rPr>
          <w:rFonts w:ascii="Arial" w:eastAsia="Arial" w:hAnsi="Arial"/>
        </w:rPr>
        <w:t xml:space="preserve">Un contrôle aléatoire du responsable HSE sera </w:t>
      </w:r>
      <w:r w:rsidRPr="00447206">
        <w:rPr>
          <w:rFonts w:ascii="Arial" w:eastAsia="Arial" w:hAnsi="Arial"/>
        </w:rPr>
        <w:t>effectué</w:t>
      </w:r>
      <w:r>
        <w:rPr>
          <w:rFonts w:ascii="Arial" w:eastAsia="Arial" w:hAnsi="Arial"/>
        </w:rPr>
        <w:t xml:space="preserve"> pour le contrôle de vitesse des engins. De plus, une plaque montrant la limitation de vitesse des camions ainsi que le numéro de téléphone du responsable HSE sera fixé à l’arrière du camion pour que les riverains puissent signalés tous excès de vitesse. </w:t>
      </w:r>
    </w:p>
    <w:p w14:paraId="7FA62769" w14:textId="77777777" w:rsidR="00023C2C" w:rsidRPr="000053B6" w:rsidRDefault="00023C2C" w:rsidP="0044500E">
      <w:pPr>
        <w:pStyle w:val="Paragraphedeliste"/>
        <w:numPr>
          <w:ilvl w:val="1"/>
          <w:numId w:val="205"/>
        </w:numPr>
        <w:ind w:left="1276" w:hanging="567"/>
        <w:rPr>
          <w:rFonts w:ascii="Arial" w:eastAsia="Arial" w:hAnsi="Arial"/>
          <w:b/>
        </w:rPr>
      </w:pPr>
      <w:r w:rsidRPr="000053B6">
        <w:rPr>
          <w:rFonts w:ascii="Arial" w:eastAsia="Arial" w:hAnsi="Arial"/>
          <w:b/>
        </w:rPr>
        <w:t>Contrôle d’alcoolémie</w:t>
      </w:r>
    </w:p>
    <w:p w14:paraId="2442ECE5" w14:textId="77777777" w:rsidR="00023C2C" w:rsidRPr="000053B6" w:rsidRDefault="00023C2C" w:rsidP="00023C2C">
      <w:pPr>
        <w:jc w:val="both"/>
        <w:rPr>
          <w:rFonts w:ascii="Arial" w:eastAsia="Arial" w:hAnsi="Arial"/>
        </w:rPr>
      </w:pPr>
      <w:r w:rsidRPr="000053B6">
        <w:rPr>
          <w:rFonts w:ascii="Arial" w:eastAsia="Arial" w:hAnsi="Arial"/>
        </w:rPr>
        <w:t>Des contrôles d’alcoolémie seront réalisés, aléatoirement ou en cas de doute, sur les conducteurs de véhicules et d’engins de chantier et le personnel travaillant à des postes spécifiques (monteurs, électriciens et soudeurs).</w:t>
      </w:r>
    </w:p>
    <w:p w14:paraId="3686C982" w14:textId="77777777" w:rsidR="00023C2C" w:rsidRPr="000053B6" w:rsidRDefault="00023C2C" w:rsidP="0044500E">
      <w:pPr>
        <w:pStyle w:val="Paragraphedeliste"/>
        <w:numPr>
          <w:ilvl w:val="0"/>
          <w:numId w:val="205"/>
        </w:numPr>
        <w:spacing w:before="120" w:line="240" w:lineRule="auto"/>
        <w:ind w:right="23"/>
        <w:jc w:val="both"/>
        <w:rPr>
          <w:rFonts w:ascii="Arial" w:eastAsia="Arial" w:hAnsi="Arial"/>
          <w:b/>
        </w:rPr>
      </w:pPr>
      <w:r w:rsidRPr="000053B6">
        <w:rPr>
          <w:rFonts w:ascii="Arial" w:eastAsia="Arial" w:hAnsi="Arial"/>
          <w:b/>
        </w:rPr>
        <w:t>Transport des matériels</w:t>
      </w:r>
    </w:p>
    <w:p w14:paraId="6BED6288" w14:textId="77777777" w:rsidR="00023C2C" w:rsidRPr="000053B6" w:rsidRDefault="00023C2C" w:rsidP="00023C2C">
      <w:pPr>
        <w:jc w:val="both"/>
        <w:rPr>
          <w:rFonts w:ascii="Arial" w:eastAsia="Arial" w:hAnsi="Arial"/>
        </w:rPr>
      </w:pPr>
      <w:r w:rsidRPr="000053B6">
        <w:rPr>
          <w:rFonts w:ascii="Arial" w:eastAsia="Arial" w:hAnsi="Arial"/>
        </w:rPr>
        <w:t>La gestion du transport des matériels permet de garantir un acheminement sécurisé et une arrivée en bon état du matériel. L’objectif est de limiter les risques de retour usine ou de réparation imprévue. Il permet également de garantir la sécurité routière et de limiter l’exposition de la population locale et en particulier des enfants aux accidents de la circulation.</w:t>
      </w:r>
    </w:p>
    <w:p w14:paraId="0CE9E13D" w14:textId="77777777" w:rsidR="00023C2C" w:rsidRPr="000053B6" w:rsidRDefault="00023C2C" w:rsidP="00023C2C">
      <w:pPr>
        <w:jc w:val="both"/>
        <w:rPr>
          <w:rFonts w:ascii="Arial" w:eastAsia="Arial" w:hAnsi="Arial"/>
        </w:rPr>
      </w:pPr>
      <w:r w:rsidRPr="000053B6">
        <w:rPr>
          <w:rFonts w:ascii="Arial" w:eastAsia="Arial" w:hAnsi="Arial"/>
        </w:rPr>
        <w:t>L’acheminement des matériels sera donc étudié en anticipant le gabarit de la charge et les conditions météorologiques en adaptant les moyens de transports aux conditions de circulation et à l’état des voies d’accès aux zones de travail.</w:t>
      </w:r>
      <w:r>
        <w:rPr>
          <w:rFonts w:ascii="Arial" w:eastAsia="Arial" w:hAnsi="Arial"/>
        </w:rPr>
        <w:t xml:space="preserve"> </w:t>
      </w:r>
    </w:p>
    <w:p w14:paraId="03728EF2" w14:textId="77777777" w:rsidR="00023C2C" w:rsidRPr="000053B6" w:rsidRDefault="00023C2C" w:rsidP="0044500E">
      <w:pPr>
        <w:pStyle w:val="Paragraphedeliste"/>
        <w:numPr>
          <w:ilvl w:val="0"/>
          <w:numId w:val="205"/>
        </w:numPr>
        <w:spacing w:before="120" w:line="240" w:lineRule="auto"/>
        <w:ind w:right="23"/>
        <w:jc w:val="both"/>
        <w:rPr>
          <w:rFonts w:ascii="Arial" w:eastAsia="Arial" w:hAnsi="Arial"/>
          <w:b/>
        </w:rPr>
      </w:pPr>
      <w:r w:rsidRPr="000053B6">
        <w:rPr>
          <w:rFonts w:ascii="Arial" w:eastAsia="Arial" w:hAnsi="Arial"/>
          <w:b/>
        </w:rPr>
        <w:t>Maintenance du parc de véhicules et d’engins de chantier</w:t>
      </w:r>
    </w:p>
    <w:p w14:paraId="5CE28CB7" w14:textId="77777777" w:rsidR="00023C2C" w:rsidRPr="000053B6" w:rsidRDefault="00023C2C" w:rsidP="00023C2C">
      <w:pPr>
        <w:jc w:val="both"/>
        <w:rPr>
          <w:rFonts w:ascii="Arial" w:eastAsia="Arial" w:hAnsi="Arial"/>
        </w:rPr>
      </w:pPr>
      <w:r w:rsidRPr="000053B6">
        <w:rPr>
          <w:rFonts w:ascii="Arial" w:eastAsia="Arial" w:hAnsi="Arial"/>
        </w:rPr>
        <w:t>L’enjeu de la maintenance du parc de véhicules et d’engins de chantier est la mise à disposition sur le chantier d’une flotte de véhicules en bon état, fonctionnels et opérationnels.</w:t>
      </w:r>
    </w:p>
    <w:p w14:paraId="7A3D2829" w14:textId="77777777" w:rsidR="00023C2C" w:rsidRPr="000053B6" w:rsidRDefault="00023C2C" w:rsidP="00023C2C">
      <w:pPr>
        <w:jc w:val="both"/>
        <w:rPr>
          <w:rFonts w:ascii="Arial" w:eastAsia="Arial" w:hAnsi="Arial"/>
        </w:rPr>
      </w:pPr>
      <w:r w:rsidRPr="000053B6">
        <w:rPr>
          <w:rFonts w:ascii="Arial" w:eastAsia="Arial" w:hAnsi="Arial"/>
        </w:rPr>
        <w:t>Dans cette optique, un suivi particulier de chaque véhicule et engin sera mis en place. L’objectif étant d’assurer le bon état de fonctionnement et le respect du contrôle technique et réglementaire des véhicules et engins. Ce suivi sera enregistré sur une fiche de contrôle/maintenance comportant à minima les éléments suivants :</w:t>
      </w:r>
    </w:p>
    <w:p w14:paraId="173AAB60" w14:textId="77777777" w:rsidR="00023C2C" w:rsidRPr="000053B6" w:rsidRDefault="00023C2C" w:rsidP="0044500E">
      <w:pPr>
        <w:pStyle w:val="Paragraphedeliste"/>
        <w:numPr>
          <w:ilvl w:val="0"/>
          <w:numId w:val="203"/>
        </w:numPr>
        <w:spacing w:after="0" w:line="240" w:lineRule="auto"/>
        <w:jc w:val="both"/>
        <w:rPr>
          <w:rFonts w:ascii="Arial" w:hAnsi="Arial" w:cs="Arial"/>
        </w:rPr>
      </w:pPr>
      <w:r w:rsidRPr="000053B6">
        <w:rPr>
          <w:rFonts w:ascii="Arial" w:hAnsi="Arial" w:cs="Arial"/>
        </w:rPr>
        <w:t>Gonflage des pneus</w:t>
      </w:r>
      <w:r w:rsidR="00C64041">
        <w:rPr>
          <w:rFonts w:ascii="Arial" w:hAnsi="Arial" w:cs="Arial"/>
        </w:rPr>
        <w:t> ;</w:t>
      </w:r>
    </w:p>
    <w:p w14:paraId="40CD4CBB" w14:textId="77777777" w:rsidR="00023C2C" w:rsidRPr="000053B6" w:rsidRDefault="00023C2C" w:rsidP="0044500E">
      <w:pPr>
        <w:pStyle w:val="Paragraphedeliste"/>
        <w:numPr>
          <w:ilvl w:val="0"/>
          <w:numId w:val="203"/>
        </w:numPr>
        <w:spacing w:after="0" w:line="240" w:lineRule="auto"/>
        <w:jc w:val="both"/>
        <w:rPr>
          <w:rFonts w:ascii="Arial" w:hAnsi="Arial" w:cs="Arial"/>
        </w:rPr>
      </w:pPr>
      <w:r w:rsidRPr="000053B6">
        <w:rPr>
          <w:rFonts w:ascii="Arial" w:hAnsi="Arial" w:cs="Arial"/>
        </w:rPr>
        <w:t>État des freins, de l’éclairage, des courroies, du système de direction, des commandes des appareils de levage, du système de stabilisation et des suspensions,</w:t>
      </w:r>
    </w:p>
    <w:p w14:paraId="1F056705" w14:textId="77777777" w:rsidR="00023C2C" w:rsidRPr="000053B6" w:rsidRDefault="00023C2C" w:rsidP="0044500E">
      <w:pPr>
        <w:pStyle w:val="Paragraphedeliste"/>
        <w:numPr>
          <w:ilvl w:val="0"/>
          <w:numId w:val="203"/>
        </w:numPr>
        <w:spacing w:after="0" w:line="240" w:lineRule="auto"/>
        <w:jc w:val="both"/>
        <w:rPr>
          <w:rFonts w:ascii="Arial" w:hAnsi="Arial" w:cs="Arial"/>
        </w:rPr>
      </w:pPr>
      <w:r w:rsidRPr="000053B6">
        <w:rPr>
          <w:rFonts w:ascii="Arial" w:hAnsi="Arial" w:cs="Arial"/>
        </w:rPr>
        <w:t>Niveaux d’huile, de liquide de refroidissement</w:t>
      </w:r>
      <w:r w:rsidR="00C64041">
        <w:rPr>
          <w:rFonts w:ascii="Arial" w:hAnsi="Arial" w:cs="Arial"/>
        </w:rPr>
        <w:t> ;</w:t>
      </w:r>
    </w:p>
    <w:p w14:paraId="2D4DF06D" w14:textId="77777777" w:rsidR="00023C2C" w:rsidRPr="000053B6" w:rsidRDefault="00023C2C" w:rsidP="0044500E">
      <w:pPr>
        <w:pStyle w:val="Paragraphedeliste"/>
        <w:numPr>
          <w:ilvl w:val="0"/>
          <w:numId w:val="203"/>
        </w:numPr>
        <w:spacing w:after="0" w:line="240" w:lineRule="auto"/>
        <w:jc w:val="both"/>
        <w:rPr>
          <w:rFonts w:ascii="Arial" w:hAnsi="Arial" w:cs="Arial"/>
        </w:rPr>
      </w:pPr>
      <w:r w:rsidRPr="000053B6">
        <w:rPr>
          <w:rFonts w:ascii="Arial" w:hAnsi="Arial" w:cs="Arial"/>
        </w:rPr>
        <w:t>Fixation du siège et présence de la ceinture de sécurité, fonctionnement des dispositifs de sécurité (klaxon de recul, gyrophare…)</w:t>
      </w:r>
      <w:r w:rsidR="00C64041">
        <w:rPr>
          <w:rFonts w:ascii="Arial" w:hAnsi="Arial" w:cs="Arial"/>
        </w:rPr>
        <w:t> ;</w:t>
      </w:r>
    </w:p>
    <w:p w14:paraId="220D55A0" w14:textId="77777777" w:rsidR="00023C2C" w:rsidRDefault="00023C2C" w:rsidP="0044500E">
      <w:pPr>
        <w:pStyle w:val="Paragraphedeliste"/>
        <w:numPr>
          <w:ilvl w:val="0"/>
          <w:numId w:val="203"/>
        </w:numPr>
        <w:spacing w:after="0" w:line="240" w:lineRule="auto"/>
        <w:jc w:val="both"/>
        <w:rPr>
          <w:rFonts w:ascii="Arial" w:hAnsi="Arial" w:cs="Arial"/>
        </w:rPr>
      </w:pPr>
      <w:r w:rsidRPr="000053B6">
        <w:rPr>
          <w:rFonts w:ascii="Arial" w:hAnsi="Arial" w:cs="Arial"/>
        </w:rPr>
        <w:t>Le cas échéant, présence et fonctionnement d’un tachymètre ou autre système de mesure de la vitesse</w:t>
      </w:r>
      <w:r w:rsidR="00C64041">
        <w:rPr>
          <w:rFonts w:ascii="Arial" w:hAnsi="Arial" w:cs="Arial"/>
        </w:rPr>
        <w:t>.</w:t>
      </w:r>
    </w:p>
    <w:p w14:paraId="749A8E4C" w14:textId="77777777" w:rsidR="00023C2C" w:rsidRDefault="00023C2C" w:rsidP="00023C2C">
      <w:pPr>
        <w:pStyle w:val="Paragraphedeliste"/>
        <w:spacing w:after="0" w:line="240" w:lineRule="auto"/>
        <w:jc w:val="both"/>
        <w:rPr>
          <w:rFonts w:ascii="Arial" w:hAnsi="Arial" w:cs="Arial"/>
        </w:rPr>
      </w:pPr>
    </w:p>
    <w:p w14:paraId="6851FC22" w14:textId="77777777" w:rsidR="00023C2C" w:rsidRPr="000053B6" w:rsidRDefault="00023C2C" w:rsidP="00023C2C">
      <w:pPr>
        <w:jc w:val="both"/>
        <w:rPr>
          <w:rFonts w:ascii="Arial" w:eastAsia="Arial" w:hAnsi="Arial"/>
        </w:rPr>
      </w:pPr>
      <w:r w:rsidRPr="000053B6">
        <w:rPr>
          <w:rFonts w:ascii="Arial" w:eastAsia="Arial" w:hAnsi="Arial"/>
        </w:rPr>
        <w:t>Aucun véhicule ne remorquera de l’équipement à moins qu’il ait été conçu pour le faire. Une zone de stationnement temporaire des véhicules sera prévue pour les périodes non travaillées (y compris en fin de journée de travail). Ces zones seront balisées et les véhicules y seront rangés correctement et en position de départ (</w:t>
      </w:r>
      <w:r w:rsidR="00C64041">
        <w:rPr>
          <w:rFonts w:ascii="Arial" w:eastAsia="Arial" w:hAnsi="Arial"/>
        </w:rPr>
        <w:t xml:space="preserve">vitesse en </w:t>
      </w:r>
      <w:r w:rsidRPr="000053B6">
        <w:rPr>
          <w:rFonts w:ascii="Arial" w:eastAsia="Arial" w:hAnsi="Arial"/>
        </w:rPr>
        <w:t>marche arrière).</w:t>
      </w:r>
    </w:p>
    <w:p w14:paraId="2C428E60" w14:textId="77777777" w:rsidR="00023C2C" w:rsidRPr="000053B6" w:rsidRDefault="00023C2C" w:rsidP="0044500E">
      <w:pPr>
        <w:pStyle w:val="Paragraphedeliste"/>
        <w:numPr>
          <w:ilvl w:val="0"/>
          <w:numId w:val="205"/>
        </w:numPr>
        <w:spacing w:before="120" w:line="240" w:lineRule="auto"/>
        <w:ind w:right="23"/>
        <w:jc w:val="both"/>
        <w:rPr>
          <w:rFonts w:ascii="Arial" w:eastAsia="Arial" w:hAnsi="Arial"/>
          <w:b/>
        </w:rPr>
      </w:pPr>
      <w:r w:rsidRPr="000053B6">
        <w:rPr>
          <w:rFonts w:ascii="Arial" w:eastAsia="Arial" w:hAnsi="Arial"/>
          <w:b/>
        </w:rPr>
        <w:t>Signalisation temporaire des voies d’accès</w:t>
      </w:r>
    </w:p>
    <w:p w14:paraId="105CD38B" w14:textId="77777777" w:rsidR="00023C2C" w:rsidRDefault="00023C2C" w:rsidP="00023C2C">
      <w:pPr>
        <w:pStyle w:val="Corpsdetexte"/>
        <w:spacing w:before="2"/>
        <w:rPr>
          <w:rFonts w:ascii="Arial"/>
          <w:b/>
        </w:rPr>
      </w:pPr>
    </w:p>
    <w:p w14:paraId="542C26BB" w14:textId="77777777" w:rsidR="00023C2C" w:rsidRPr="000053B6" w:rsidRDefault="00023C2C" w:rsidP="0044500E">
      <w:pPr>
        <w:pStyle w:val="Paragraphedeliste"/>
        <w:numPr>
          <w:ilvl w:val="1"/>
          <w:numId w:val="205"/>
        </w:numPr>
        <w:ind w:left="1276" w:hanging="567"/>
        <w:rPr>
          <w:rFonts w:ascii="Arial" w:eastAsia="Arial" w:hAnsi="Arial"/>
          <w:b/>
        </w:rPr>
      </w:pPr>
      <w:r w:rsidRPr="000053B6">
        <w:rPr>
          <w:rFonts w:ascii="Arial" w:eastAsia="Arial" w:hAnsi="Arial"/>
          <w:b/>
        </w:rPr>
        <w:t>Schéma synthétique de signalisation temporaire</w:t>
      </w:r>
    </w:p>
    <w:p w14:paraId="3CD6A65B" w14:textId="77777777" w:rsidR="00023C2C" w:rsidRPr="000053B6" w:rsidRDefault="00023C2C" w:rsidP="00023C2C">
      <w:pPr>
        <w:jc w:val="both"/>
        <w:rPr>
          <w:rFonts w:ascii="Arial" w:eastAsia="Arial" w:hAnsi="Arial"/>
        </w:rPr>
      </w:pPr>
      <w:r w:rsidRPr="000053B6">
        <w:rPr>
          <w:rFonts w:ascii="Arial" w:eastAsia="Arial" w:hAnsi="Arial"/>
        </w:rPr>
        <w:t xml:space="preserve">Les différentes voies d’accès </w:t>
      </w:r>
      <w:r>
        <w:rPr>
          <w:rFonts w:ascii="Arial" w:eastAsia="Arial" w:hAnsi="Arial"/>
        </w:rPr>
        <w:t>à</w:t>
      </w:r>
      <w:r w:rsidRPr="000053B6">
        <w:rPr>
          <w:rFonts w:ascii="Arial" w:eastAsia="Arial" w:hAnsi="Arial"/>
        </w:rPr>
        <w:t xml:space="preserve"> emprunter, dans le cadre </w:t>
      </w:r>
      <w:r>
        <w:rPr>
          <w:rFonts w:ascii="Arial" w:eastAsia="Arial" w:hAnsi="Arial"/>
        </w:rPr>
        <w:t>du Projet DECIM</w:t>
      </w:r>
      <w:r w:rsidRPr="000053B6">
        <w:rPr>
          <w:rFonts w:ascii="Arial" w:eastAsia="Arial" w:hAnsi="Arial"/>
        </w:rPr>
        <w:t>, seront identifiées, matérialisées, affichées à la base chantier et communiq</w:t>
      </w:r>
      <w:r>
        <w:rPr>
          <w:rFonts w:ascii="Arial" w:eastAsia="Arial" w:hAnsi="Arial"/>
        </w:rPr>
        <w:t>uées aux différents acteurs du P</w:t>
      </w:r>
      <w:r w:rsidRPr="000053B6">
        <w:rPr>
          <w:rFonts w:ascii="Arial" w:eastAsia="Arial" w:hAnsi="Arial"/>
        </w:rPr>
        <w:t xml:space="preserve">rojet. Pour chacune des voies d’accès </w:t>
      </w:r>
      <w:r>
        <w:rPr>
          <w:rFonts w:ascii="Arial" w:eastAsia="Arial" w:hAnsi="Arial"/>
        </w:rPr>
        <w:t>à</w:t>
      </w:r>
      <w:r w:rsidRPr="000053B6">
        <w:rPr>
          <w:rFonts w:ascii="Arial" w:eastAsia="Arial" w:hAnsi="Arial"/>
        </w:rPr>
        <w:t xml:space="preserve"> fréquenter, un schéma synthétique de signalisation temporaire routière sera établi. Ces schémas (cartes) seront mis à la disposition du </w:t>
      </w:r>
      <w:r>
        <w:rPr>
          <w:rFonts w:ascii="Arial" w:eastAsia="Arial" w:hAnsi="Arial"/>
        </w:rPr>
        <w:t xml:space="preserve">Projet et au bureau de contrôle </w:t>
      </w:r>
      <w:r w:rsidRPr="000053B6">
        <w:rPr>
          <w:rFonts w:ascii="Arial" w:eastAsia="Arial" w:hAnsi="Arial"/>
        </w:rPr>
        <w:t>pour validation avant le démarrage des travaux. Ces schémas indiqueront à minima les sens de circulation, les limitations de vitesse, la zone d’emprise des travaux et l’ensemble des panneaux à déployer :</w:t>
      </w:r>
    </w:p>
    <w:p w14:paraId="11B8C368" w14:textId="77777777" w:rsidR="00C64041" w:rsidRDefault="00023C2C" w:rsidP="0044500E">
      <w:pPr>
        <w:pStyle w:val="Paragraphedeliste"/>
        <w:numPr>
          <w:ilvl w:val="0"/>
          <w:numId w:val="203"/>
        </w:numPr>
        <w:spacing w:after="0" w:line="240" w:lineRule="auto"/>
        <w:jc w:val="both"/>
        <w:rPr>
          <w:rFonts w:ascii="Arial" w:hAnsi="Arial" w:cs="Arial"/>
        </w:rPr>
      </w:pPr>
      <w:r w:rsidRPr="000053B6">
        <w:rPr>
          <w:rFonts w:ascii="Arial" w:hAnsi="Arial" w:cs="Arial"/>
        </w:rPr>
        <w:t xml:space="preserve">Signalisation d’approche (Signalisation de danger), </w:t>
      </w:r>
    </w:p>
    <w:p w14:paraId="782D3828" w14:textId="77777777" w:rsidR="00C64041" w:rsidRDefault="00023C2C" w:rsidP="0044500E">
      <w:pPr>
        <w:pStyle w:val="Paragraphedeliste"/>
        <w:numPr>
          <w:ilvl w:val="0"/>
          <w:numId w:val="203"/>
        </w:numPr>
        <w:spacing w:after="0" w:line="240" w:lineRule="auto"/>
        <w:jc w:val="both"/>
        <w:rPr>
          <w:rFonts w:ascii="Arial" w:hAnsi="Arial" w:cs="Arial"/>
        </w:rPr>
      </w:pPr>
      <w:r w:rsidRPr="000053B6">
        <w:rPr>
          <w:rFonts w:ascii="Arial" w:hAnsi="Arial" w:cs="Arial"/>
        </w:rPr>
        <w:t xml:space="preserve">Signalisation de prescription, </w:t>
      </w:r>
    </w:p>
    <w:p w14:paraId="79D04C64" w14:textId="77777777" w:rsidR="00023C2C" w:rsidRPr="000053B6" w:rsidRDefault="00023C2C" w:rsidP="0044500E">
      <w:pPr>
        <w:pStyle w:val="Paragraphedeliste"/>
        <w:numPr>
          <w:ilvl w:val="0"/>
          <w:numId w:val="203"/>
        </w:numPr>
        <w:spacing w:after="0" w:line="240" w:lineRule="auto"/>
        <w:jc w:val="both"/>
        <w:rPr>
          <w:rFonts w:ascii="Arial" w:hAnsi="Arial" w:cs="Arial"/>
        </w:rPr>
      </w:pPr>
      <w:r w:rsidRPr="000053B6">
        <w:rPr>
          <w:rFonts w:ascii="Arial" w:hAnsi="Arial" w:cs="Arial"/>
        </w:rPr>
        <w:t>Signalisation d’indication</w:t>
      </w:r>
      <w:r w:rsidR="00C64041">
        <w:rPr>
          <w:rFonts w:ascii="Arial" w:hAnsi="Arial" w:cs="Arial"/>
        </w:rPr>
        <w:t> ;</w:t>
      </w:r>
    </w:p>
    <w:p w14:paraId="470F8DE4" w14:textId="77777777" w:rsidR="00023C2C" w:rsidRPr="000053B6" w:rsidRDefault="00023C2C" w:rsidP="0044500E">
      <w:pPr>
        <w:pStyle w:val="Paragraphedeliste"/>
        <w:numPr>
          <w:ilvl w:val="0"/>
          <w:numId w:val="203"/>
        </w:numPr>
        <w:spacing w:after="0" w:line="240" w:lineRule="auto"/>
        <w:jc w:val="both"/>
        <w:rPr>
          <w:rFonts w:ascii="Arial" w:hAnsi="Arial" w:cs="Arial"/>
        </w:rPr>
      </w:pPr>
      <w:r w:rsidRPr="000053B6">
        <w:rPr>
          <w:rFonts w:ascii="Arial" w:hAnsi="Arial" w:cs="Arial"/>
        </w:rPr>
        <w:t>Signalisation de position</w:t>
      </w:r>
      <w:r w:rsidR="00C64041">
        <w:rPr>
          <w:rFonts w:ascii="Arial" w:hAnsi="Arial" w:cs="Arial"/>
        </w:rPr>
        <w:t> ;</w:t>
      </w:r>
    </w:p>
    <w:p w14:paraId="3AC33D85" w14:textId="77777777" w:rsidR="00023C2C" w:rsidRDefault="00023C2C" w:rsidP="0044500E">
      <w:pPr>
        <w:pStyle w:val="Paragraphedeliste"/>
        <w:numPr>
          <w:ilvl w:val="0"/>
          <w:numId w:val="203"/>
        </w:numPr>
        <w:spacing w:after="0" w:line="240" w:lineRule="auto"/>
        <w:jc w:val="both"/>
        <w:rPr>
          <w:rFonts w:ascii="Arial" w:hAnsi="Arial" w:cs="Arial"/>
        </w:rPr>
      </w:pPr>
      <w:r w:rsidRPr="000053B6">
        <w:rPr>
          <w:rFonts w:ascii="Arial" w:hAnsi="Arial" w:cs="Arial"/>
        </w:rPr>
        <w:t>Signalisation de fin de prescription</w:t>
      </w:r>
      <w:r w:rsidR="00C64041">
        <w:rPr>
          <w:rFonts w:ascii="Arial" w:hAnsi="Arial" w:cs="Arial"/>
        </w:rPr>
        <w:t>.</w:t>
      </w:r>
    </w:p>
    <w:p w14:paraId="6F1BDB0D" w14:textId="77777777" w:rsidR="00023C2C" w:rsidRPr="000053B6" w:rsidRDefault="00023C2C" w:rsidP="00023C2C">
      <w:pPr>
        <w:pStyle w:val="Paragraphedeliste"/>
        <w:spacing w:after="0" w:line="240" w:lineRule="auto"/>
        <w:jc w:val="both"/>
        <w:rPr>
          <w:rFonts w:ascii="Arial" w:hAnsi="Arial" w:cs="Arial"/>
        </w:rPr>
      </w:pPr>
    </w:p>
    <w:p w14:paraId="1AAF635B" w14:textId="77777777" w:rsidR="00023C2C" w:rsidRPr="000053B6" w:rsidRDefault="00023C2C" w:rsidP="00023C2C">
      <w:pPr>
        <w:jc w:val="both"/>
        <w:rPr>
          <w:rFonts w:ascii="Arial" w:eastAsia="Arial" w:hAnsi="Arial"/>
        </w:rPr>
      </w:pPr>
      <w:r>
        <w:rPr>
          <w:rFonts w:ascii="Arial" w:eastAsia="Arial" w:hAnsi="Arial"/>
        </w:rPr>
        <w:t>Il importe de noter que</w:t>
      </w:r>
      <w:r w:rsidRPr="000053B6">
        <w:rPr>
          <w:rFonts w:ascii="Arial" w:eastAsia="Arial" w:hAnsi="Arial"/>
        </w:rPr>
        <w:t xml:space="preserve"> la signalisation routière </w:t>
      </w:r>
      <w:r>
        <w:rPr>
          <w:rFonts w:ascii="Arial" w:eastAsia="Arial" w:hAnsi="Arial"/>
        </w:rPr>
        <w:t>devra être</w:t>
      </w:r>
      <w:r w:rsidRPr="000053B6">
        <w:rPr>
          <w:rFonts w:ascii="Arial" w:eastAsia="Arial" w:hAnsi="Arial"/>
        </w:rPr>
        <w:t xml:space="preserve"> conforme aux références Prévention BTP sur la signalisation temporaire</w:t>
      </w:r>
    </w:p>
    <w:p w14:paraId="5583679C" w14:textId="77777777" w:rsidR="00023C2C" w:rsidRPr="00B55CC0" w:rsidRDefault="00023C2C" w:rsidP="0044500E">
      <w:pPr>
        <w:pStyle w:val="Paragraphedeliste"/>
        <w:numPr>
          <w:ilvl w:val="1"/>
          <w:numId w:val="205"/>
        </w:numPr>
        <w:ind w:left="1276" w:hanging="567"/>
        <w:rPr>
          <w:rFonts w:ascii="Arial" w:eastAsia="Arial" w:hAnsi="Arial"/>
          <w:b/>
        </w:rPr>
      </w:pPr>
      <w:r w:rsidRPr="00B55CC0">
        <w:rPr>
          <w:rFonts w:ascii="Arial" w:eastAsia="Arial" w:hAnsi="Arial"/>
          <w:b/>
        </w:rPr>
        <w:t>Mise en place des panneaux de signalisation</w:t>
      </w:r>
    </w:p>
    <w:p w14:paraId="2D2AA570" w14:textId="77777777" w:rsidR="00023C2C" w:rsidRPr="00B55CC0" w:rsidRDefault="00023C2C" w:rsidP="00023C2C">
      <w:pPr>
        <w:jc w:val="both"/>
        <w:rPr>
          <w:rFonts w:ascii="Arial" w:eastAsia="Arial" w:hAnsi="Arial"/>
        </w:rPr>
      </w:pPr>
      <w:r w:rsidRPr="00B55CC0">
        <w:rPr>
          <w:rFonts w:ascii="Arial" w:eastAsia="Arial" w:hAnsi="Arial"/>
        </w:rPr>
        <w:t>En règle générale, les panneaux sont mis en place dans l’ordre dans lequel l’usager les rencontre selon le schéma de principe ci-après. Cette méthode permet aux opérateurs d’être sous la protection des panneaux qu’ils posent. Le premier panneau rencontré est de type AK5. Suivent les panneaux de signalisation d’approche puis les panneaux de signalisation de position.</w:t>
      </w:r>
    </w:p>
    <w:p w14:paraId="58198464" w14:textId="77777777" w:rsidR="00023C2C" w:rsidRPr="00B55CC0" w:rsidRDefault="00023C2C" w:rsidP="00023C2C">
      <w:pPr>
        <w:jc w:val="both"/>
        <w:rPr>
          <w:rFonts w:ascii="Arial" w:eastAsia="Arial" w:hAnsi="Arial"/>
        </w:rPr>
      </w:pPr>
      <w:r w:rsidRPr="00B55CC0">
        <w:rPr>
          <w:rFonts w:ascii="Arial" w:eastAsia="Arial" w:hAnsi="Arial"/>
        </w:rPr>
        <w:t>Afin d’éviter le passage répété de salariés d’un côté à l’autre de la route circulée, lors de la pose de la signalisation temporaire, il est conseillé d’agir comme suit :</w:t>
      </w:r>
    </w:p>
    <w:p w14:paraId="65F8CDD6" w14:textId="77777777" w:rsidR="00023C2C" w:rsidRPr="00B55CC0" w:rsidRDefault="00023C2C" w:rsidP="0044500E">
      <w:pPr>
        <w:pStyle w:val="Paragraphedeliste"/>
        <w:numPr>
          <w:ilvl w:val="0"/>
          <w:numId w:val="203"/>
        </w:numPr>
        <w:spacing w:after="0" w:line="240" w:lineRule="auto"/>
        <w:jc w:val="both"/>
        <w:rPr>
          <w:rFonts w:ascii="Arial" w:hAnsi="Arial" w:cs="Arial"/>
        </w:rPr>
      </w:pPr>
      <w:r w:rsidRPr="00B55CC0">
        <w:rPr>
          <w:rFonts w:ascii="Arial" w:hAnsi="Arial" w:cs="Arial"/>
        </w:rPr>
        <w:t>Placer la signalisation complète d’approche du côté opposé à la zone de travaux</w:t>
      </w:r>
      <w:r w:rsidR="00C64041">
        <w:rPr>
          <w:rFonts w:ascii="Arial" w:hAnsi="Arial" w:cs="Arial"/>
        </w:rPr>
        <w:t> ;</w:t>
      </w:r>
    </w:p>
    <w:p w14:paraId="14FD7EF5" w14:textId="77777777" w:rsidR="00023C2C" w:rsidRPr="00B55CC0" w:rsidRDefault="00023C2C" w:rsidP="0044500E">
      <w:pPr>
        <w:pStyle w:val="Paragraphedeliste"/>
        <w:numPr>
          <w:ilvl w:val="0"/>
          <w:numId w:val="203"/>
        </w:numPr>
        <w:spacing w:after="0" w:line="240" w:lineRule="auto"/>
        <w:jc w:val="both"/>
        <w:rPr>
          <w:rFonts w:ascii="Arial" w:hAnsi="Arial" w:cs="Arial"/>
        </w:rPr>
      </w:pPr>
      <w:r w:rsidRPr="00B55CC0">
        <w:rPr>
          <w:rFonts w:ascii="Arial" w:hAnsi="Arial" w:cs="Arial"/>
        </w:rPr>
        <w:t>Disposer la signalisation d’approche côté travaux</w:t>
      </w:r>
      <w:r w:rsidR="00C64041">
        <w:rPr>
          <w:rFonts w:ascii="Arial" w:hAnsi="Arial" w:cs="Arial"/>
        </w:rPr>
        <w:t> ;</w:t>
      </w:r>
    </w:p>
    <w:p w14:paraId="5BFC4C47" w14:textId="77777777" w:rsidR="00023C2C" w:rsidRPr="00B55CC0" w:rsidRDefault="00023C2C" w:rsidP="0044500E">
      <w:pPr>
        <w:pStyle w:val="Paragraphedeliste"/>
        <w:numPr>
          <w:ilvl w:val="0"/>
          <w:numId w:val="203"/>
        </w:numPr>
        <w:spacing w:after="0" w:line="240" w:lineRule="auto"/>
        <w:jc w:val="both"/>
        <w:rPr>
          <w:rFonts w:ascii="Arial" w:hAnsi="Arial" w:cs="Arial"/>
        </w:rPr>
      </w:pPr>
      <w:r w:rsidRPr="00B55CC0">
        <w:rPr>
          <w:rFonts w:ascii="Arial" w:hAnsi="Arial" w:cs="Arial"/>
        </w:rPr>
        <w:t>Mettre en place le panneau</w:t>
      </w:r>
      <w:r w:rsidR="00C64041">
        <w:rPr>
          <w:rFonts w:ascii="Arial" w:hAnsi="Arial" w:cs="Arial"/>
        </w:rPr>
        <w:t> ;</w:t>
      </w:r>
    </w:p>
    <w:p w14:paraId="7907205F" w14:textId="77777777" w:rsidR="00023C2C" w:rsidRDefault="00023C2C" w:rsidP="0044500E">
      <w:pPr>
        <w:pStyle w:val="Paragraphedeliste"/>
        <w:numPr>
          <w:ilvl w:val="0"/>
          <w:numId w:val="203"/>
        </w:numPr>
        <w:spacing w:after="0" w:line="240" w:lineRule="auto"/>
        <w:jc w:val="both"/>
        <w:rPr>
          <w:rFonts w:ascii="Arial" w:hAnsi="Arial" w:cs="Arial"/>
        </w:rPr>
      </w:pPr>
      <w:r w:rsidRPr="00B55CC0">
        <w:rPr>
          <w:rFonts w:ascii="Arial" w:hAnsi="Arial" w:cs="Arial"/>
        </w:rPr>
        <w:t>Matérialiser la signalisation de position</w:t>
      </w:r>
      <w:r w:rsidR="00C64041">
        <w:rPr>
          <w:rFonts w:ascii="Arial" w:hAnsi="Arial" w:cs="Arial"/>
        </w:rPr>
        <w:t>.</w:t>
      </w:r>
    </w:p>
    <w:p w14:paraId="2171E1E3" w14:textId="77777777" w:rsidR="00023C2C" w:rsidRPr="00B55CC0" w:rsidRDefault="00023C2C" w:rsidP="00023C2C">
      <w:pPr>
        <w:pStyle w:val="Paragraphedeliste"/>
        <w:spacing w:after="0" w:line="240" w:lineRule="auto"/>
        <w:jc w:val="both"/>
        <w:rPr>
          <w:rFonts w:ascii="Arial" w:hAnsi="Arial" w:cs="Arial"/>
        </w:rPr>
      </w:pPr>
    </w:p>
    <w:p w14:paraId="28F3813B" w14:textId="77777777" w:rsidR="00023C2C" w:rsidRPr="00B55CC0" w:rsidRDefault="00023C2C" w:rsidP="00023C2C">
      <w:pPr>
        <w:jc w:val="both"/>
        <w:rPr>
          <w:rFonts w:ascii="Arial" w:eastAsia="Arial" w:hAnsi="Arial"/>
        </w:rPr>
      </w:pPr>
      <w:r w:rsidRPr="00B55CC0">
        <w:rPr>
          <w:rFonts w:ascii="Arial" w:eastAsia="Arial" w:hAnsi="Arial"/>
        </w:rPr>
        <w:t>Remarques. La pose de la signalisation de position ne doit impérativement s’effectuer qu’après celle de la signalisation d’approche. Dans le cas d’une signalisation par alternat, la signalisation de position doit toujours être mise en place après l’installation et la mise en service de l’alternat.</w:t>
      </w:r>
    </w:p>
    <w:p w14:paraId="20B17E04" w14:textId="77777777" w:rsidR="00023C2C" w:rsidRPr="00B55CC0" w:rsidRDefault="00023C2C" w:rsidP="0044500E">
      <w:pPr>
        <w:pStyle w:val="Paragraphedeliste"/>
        <w:numPr>
          <w:ilvl w:val="1"/>
          <w:numId w:val="205"/>
        </w:numPr>
        <w:ind w:left="1276" w:hanging="567"/>
        <w:rPr>
          <w:rFonts w:ascii="Arial" w:eastAsia="Arial" w:hAnsi="Arial"/>
          <w:b/>
        </w:rPr>
      </w:pPr>
      <w:r w:rsidRPr="00B55CC0">
        <w:rPr>
          <w:rFonts w:ascii="Arial" w:eastAsia="Arial" w:hAnsi="Arial"/>
          <w:b/>
        </w:rPr>
        <w:t>Dépose des panneaux de signalisation</w:t>
      </w:r>
    </w:p>
    <w:p w14:paraId="543C212A" w14:textId="77777777" w:rsidR="00023C2C" w:rsidRPr="00B55CC0" w:rsidRDefault="00023C2C" w:rsidP="00023C2C">
      <w:pPr>
        <w:jc w:val="both"/>
        <w:rPr>
          <w:rFonts w:ascii="Arial" w:eastAsia="Arial" w:hAnsi="Arial"/>
        </w:rPr>
      </w:pPr>
      <w:r w:rsidRPr="00B55CC0">
        <w:rPr>
          <w:rFonts w:ascii="Arial" w:eastAsia="Arial" w:hAnsi="Arial"/>
        </w:rPr>
        <w:t>Les panneaux doivent être enlevés ou masqués dans l’ordre inverse de la pose : d’abord la signalisation de position, puis la signalisation d’approche.</w:t>
      </w:r>
    </w:p>
    <w:p w14:paraId="21D12D90" w14:textId="77777777" w:rsidR="00023C2C" w:rsidRPr="00B55CC0" w:rsidRDefault="00023C2C" w:rsidP="00023C2C">
      <w:pPr>
        <w:jc w:val="both"/>
        <w:rPr>
          <w:rFonts w:ascii="Arial" w:eastAsia="Arial" w:hAnsi="Arial"/>
        </w:rPr>
      </w:pPr>
      <w:r w:rsidRPr="00B55CC0">
        <w:rPr>
          <w:rFonts w:ascii="Arial" w:eastAsia="Arial" w:hAnsi="Arial"/>
        </w:rPr>
        <w:t>La signalisation temporaire doit être déposée ou modifiée dès qu’elle cesse d’être pertinente. Quand un alternat n’est plus en service, la signalisation d’approche relative à l’alternat doit être enlevée ou masquée.</w:t>
      </w:r>
    </w:p>
    <w:p w14:paraId="70CDB6F7" w14:textId="77777777" w:rsidR="00023C2C" w:rsidRDefault="00023C2C" w:rsidP="00F01166">
      <w:pPr>
        <w:jc w:val="both"/>
        <w:rPr>
          <w:rFonts w:ascii="Arial" w:eastAsia="Arial" w:hAnsi="Arial"/>
        </w:rPr>
      </w:pPr>
      <w:r w:rsidRPr="00B55CC0">
        <w:rPr>
          <w:rFonts w:ascii="Arial" w:eastAsia="Arial" w:hAnsi="Arial"/>
        </w:rPr>
        <w:t>Si un danger persiste pour les usagers sur un chantier hors activité ou achevé, une signalisation appropriée à la nature du danger doit obligatoirement être maintenue ou mise en place</w:t>
      </w:r>
      <w:r w:rsidR="00EA09D5">
        <w:rPr>
          <w:rFonts w:ascii="Arial" w:eastAsia="Arial" w:hAnsi="Arial"/>
        </w:rPr>
        <w:t>.</w:t>
      </w:r>
    </w:p>
    <w:p w14:paraId="1EF110C7" w14:textId="77777777" w:rsidR="00023C2C" w:rsidRPr="00B55CC0" w:rsidRDefault="00023C2C" w:rsidP="0044500E">
      <w:pPr>
        <w:pStyle w:val="Paragraphedeliste"/>
        <w:numPr>
          <w:ilvl w:val="1"/>
          <w:numId w:val="205"/>
        </w:numPr>
        <w:ind w:left="1276" w:hanging="567"/>
        <w:rPr>
          <w:rFonts w:ascii="Arial" w:eastAsia="Arial" w:hAnsi="Arial"/>
          <w:b/>
        </w:rPr>
      </w:pPr>
      <w:r w:rsidRPr="00B55CC0">
        <w:rPr>
          <w:rFonts w:ascii="Arial" w:eastAsia="Arial" w:hAnsi="Arial"/>
          <w:b/>
        </w:rPr>
        <w:t xml:space="preserve">Agent de circulation </w:t>
      </w:r>
    </w:p>
    <w:p w14:paraId="211D5D44" w14:textId="77777777" w:rsidR="00023C2C" w:rsidRDefault="00023C2C" w:rsidP="00F01166">
      <w:pPr>
        <w:widowControl w:val="0"/>
        <w:jc w:val="both"/>
        <w:rPr>
          <w:rFonts w:ascii="Arial" w:eastAsia="Arial" w:hAnsi="Arial"/>
        </w:rPr>
      </w:pPr>
      <w:r>
        <w:rPr>
          <w:rFonts w:ascii="Arial" w:eastAsia="Arial" w:hAnsi="Arial"/>
        </w:rPr>
        <w:t xml:space="preserve">Des bonhommes de circulations seront placés à chaque zone stratégique comme les croisements, les virages, zone de passage des piétons afin d’avertir les usagers et les engins du Projet. Ces Agents devront être équipés de </w:t>
      </w:r>
    </w:p>
    <w:p w14:paraId="7E8FAB4D" w14:textId="77777777" w:rsidR="00023C2C" w:rsidRPr="00B55CC0" w:rsidRDefault="00023C2C" w:rsidP="0044500E">
      <w:pPr>
        <w:pStyle w:val="Paragraphedeliste"/>
        <w:numPr>
          <w:ilvl w:val="0"/>
          <w:numId w:val="204"/>
        </w:numPr>
        <w:jc w:val="both"/>
        <w:rPr>
          <w:rFonts w:ascii="Arial" w:eastAsia="Arial" w:hAnsi="Arial"/>
        </w:rPr>
      </w:pPr>
      <w:r w:rsidRPr="00B55CC0">
        <w:rPr>
          <w:rFonts w:ascii="Arial" w:eastAsia="Arial" w:hAnsi="Arial"/>
        </w:rPr>
        <w:t>Vêtement de sécurité à haute visibilité de couleur jaune-vert fluorescent de classe 2 ou 3 et de niveau 2 conforme à la norme Vêtements de sécurité à haute visibilité</w:t>
      </w:r>
    </w:p>
    <w:p w14:paraId="68ABB29D" w14:textId="77777777" w:rsidR="00023C2C" w:rsidRPr="00B55CC0" w:rsidRDefault="00023C2C" w:rsidP="0044500E">
      <w:pPr>
        <w:pStyle w:val="Paragraphedeliste"/>
        <w:numPr>
          <w:ilvl w:val="0"/>
          <w:numId w:val="204"/>
        </w:numPr>
        <w:jc w:val="both"/>
        <w:rPr>
          <w:rFonts w:ascii="Arial" w:eastAsia="Arial" w:hAnsi="Arial"/>
        </w:rPr>
      </w:pPr>
      <w:r w:rsidRPr="00B55CC0">
        <w:rPr>
          <w:rFonts w:ascii="Arial" w:eastAsia="Arial" w:hAnsi="Arial"/>
        </w:rPr>
        <w:t xml:space="preserve">Moyens de communication prévus au plan de circulation et qui lui ont été enseignés lors de sa </w:t>
      </w:r>
      <w:r w:rsidR="00C64041" w:rsidRPr="00B55CC0">
        <w:rPr>
          <w:rFonts w:ascii="Arial" w:eastAsia="Arial" w:hAnsi="Arial"/>
        </w:rPr>
        <w:t>formation</w:t>
      </w:r>
      <w:r w:rsidR="00C64041">
        <w:rPr>
          <w:rFonts w:ascii="Arial" w:eastAsia="Arial" w:hAnsi="Arial"/>
        </w:rPr>
        <w:t>.</w:t>
      </w:r>
    </w:p>
    <w:p w14:paraId="1DF024CD" w14:textId="77777777" w:rsidR="00547D64" w:rsidRDefault="00547D64" w:rsidP="009A0954"/>
    <w:p w14:paraId="20C0984D" w14:textId="77777777" w:rsidR="00C64041" w:rsidRPr="00631F1E" w:rsidRDefault="00C64041" w:rsidP="00B434A6">
      <w:pPr>
        <w:rPr>
          <w:rFonts w:ascii="Arial" w:hAnsi="Arial" w:cs="Arial"/>
          <w:b/>
          <w:bCs/>
        </w:rPr>
      </w:pPr>
      <w:r>
        <w:br w:type="page"/>
      </w:r>
      <w:bookmarkStart w:id="1827" w:name="_Toc125402478"/>
      <w:r w:rsidRPr="00631F1E">
        <w:rPr>
          <w:rFonts w:ascii="Arial" w:hAnsi="Arial" w:cs="Arial"/>
          <w:b/>
          <w:bCs/>
        </w:rPr>
        <w:t xml:space="preserve">Annexe </w:t>
      </w:r>
      <w:r w:rsidRPr="00631F1E">
        <w:rPr>
          <w:rFonts w:ascii="Arial" w:hAnsi="Arial" w:cs="Arial"/>
          <w:b/>
          <w:bCs/>
        </w:rPr>
        <w:fldChar w:fldCharType="begin"/>
      </w:r>
      <w:r w:rsidRPr="00631F1E">
        <w:rPr>
          <w:rFonts w:ascii="Arial" w:hAnsi="Arial" w:cs="Arial"/>
          <w:b/>
          <w:bCs/>
        </w:rPr>
        <w:instrText>SEQ Annexe \* ARABIC</w:instrText>
      </w:r>
      <w:r w:rsidRPr="00631F1E">
        <w:rPr>
          <w:rFonts w:ascii="Arial" w:hAnsi="Arial" w:cs="Arial"/>
          <w:b/>
          <w:bCs/>
        </w:rPr>
        <w:fldChar w:fldCharType="separate"/>
      </w:r>
      <w:r w:rsidR="009947B9">
        <w:rPr>
          <w:rFonts w:ascii="Arial" w:hAnsi="Arial" w:cs="Arial"/>
          <w:b/>
          <w:bCs/>
          <w:noProof/>
        </w:rPr>
        <w:t>15</w:t>
      </w:r>
      <w:r w:rsidRPr="00631F1E">
        <w:rPr>
          <w:rFonts w:ascii="Arial" w:hAnsi="Arial" w:cs="Arial"/>
          <w:b/>
          <w:bCs/>
        </w:rPr>
        <w:fldChar w:fldCharType="end"/>
      </w:r>
      <w:r w:rsidRPr="00631F1E">
        <w:rPr>
          <w:rFonts w:ascii="Arial" w:hAnsi="Arial" w:cs="Arial"/>
          <w:b/>
          <w:bCs/>
        </w:rPr>
        <w:t> : Eléments de Termes de référence pour une étude d’impact environnementale et sociale sur un sous projet du Projet DECIM</w:t>
      </w:r>
      <w:bookmarkEnd w:id="1827"/>
    </w:p>
    <w:p w14:paraId="179F94EC" w14:textId="77777777" w:rsidR="00C64041" w:rsidRDefault="00C64041" w:rsidP="00F01166">
      <w:pPr>
        <w:spacing w:after="0"/>
      </w:pPr>
    </w:p>
    <w:p w14:paraId="6020D821" w14:textId="77777777" w:rsidR="00C64041" w:rsidRPr="00323FBD" w:rsidRDefault="00C64041" w:rsidP="0044500E">
      <w:pPr>
        <w:pStyle w:val="Paragraphedeliste"/>
        <w:numPr>
          <w:ilvl w:val="0"/>
          <w:numId w:val="212"/>
        </w:numPr>
        <w:spacing w:after="0" w:line="240" w:lineRule="auto"/>
        <w:rPr>
          <w:b/>
          <w:szCs w:val="24"/>
        </w:rPr>
      </w:pPr>
      <w:r w:rsidRPr="00323FBD">
        <w:rPr>
          <w:b/>
          <w:szCs w:val="24"/>
        </w:rPr>
        <w:t>GENERALITES</w:t>
      </w:r>
    </w:p>
    <w:p w14:paraId="6710653E" w14:textId="77777777" w:rsidR="00C64041" w:rsidRPr="00323FBD" w:rsidRDefault="00C64041" w:rsidP="0044500E">
      <w:pPr>
        <w:pStyle w:val="Paragraphedeliste"/>
        <w:numPr>
          <w:ilvl w:val="1"/>
          <w:numId w:val="212"/>
        </w:numPr>
        <w:spacing w:after="0" w:line="240" w:lineRule="auto"/>
        <w:rPr>
          <w:b/>
          <w:snapToGrid w:val="0"/>
          <w:lang w:eastAsia="fr-FR"/>
        </w:rPr>
      </w:pPr>
      <w:bookmarkStart w:id="1828" w:name="_Hlk62795536"/>
      <w:r w:rsidRPr="00323FBD">
        <w:rPr>
          <w:b/>
          <w:snapToGrid w:val="0"/>
          <w:lang w:eastAsia="fr-FR"/>
        </w:rPr>
        <w:t>Contexte du projet</w:t>
      </w:r>
    </w:p>
    <w:p w14:paraId="7B08F401" w14:textId="77777777" w:rsidR="00C64041" w:rsidRPr="006B4005" w:rsidRDefault="00C64041" w:rsidP="00C64041">
      <w:pPr>
        <w:jc w:val="both"/>
        <w:rPr>
          <w:sz w:val="20"/>
          <w:lang w:eastAsia="fr-FR"/>
        </w:rPr>
      </w:pPr>
      <w:r w:rsidRPr="006B4005">
        <w:rPr>
          <w:sz w:val="20"/>
          <w:lang w:eastAsia="fr-FR"/>
        </w:rPr>
        <w:t xml:space="preserve"> [Dans cette section, vous devez décrire le contexte du sous-projet, ainsi que ses objectifs de développement et ses composantes] </w:t>
      </w:r>
    </w:p>
    <w:p w14:paraId="2185CD91" w14:textId="77777777" w:rsidR="00C64041" w:rsidRPr="00323FBD" w:rsidRDefault="00C64041" w:rsidP="0044500E">
      <w:pPr>
        <w:pStyle w:val="Paragraphedeliste"/>
        <w:numPr>
          <w:ilvl w:val="1"/>
          <w:numId w:val="212"/>
        </w:numPr>
        <w:spacing w:after="0" w:line="240" w:lineRule="auto"/>
        <w:rPr>
          <w:b/>
          <w:snapToGrid w:val="0"/>
          <w:lang w:eastAsia="fr-FR"/>
        </w:rPr>
      </w:pPr>
      <w:r w:rsidRPr="00323FBD">
        <w:rPr>
          <w:b/>
          <w:snapToGrid w:val="0"/>
          <w:lang w:eastAsia="fr-FR"/>
        </w:rPr>
        <w:t>Justification</w:t>
      </w:r>
    </w:p>
    <w:p w14:paraId="252BE940" w14:textId="77777777" w:rsidR="00C64041" w:rsidRPr="006B4005" w:rsidRDefault="00C64041" w:rsidP="00C64041">
      <w:pPr>
        <w:jc w:val="both"/>
        <w:rPr>
          <w:sz w:val="20"/>
          <w:lang w:eastAsia="fr-FR"/>
        </w:rPr>
      </w:pPr>
      <w:r w:rsidRPr="006B4005">
        <w:rPr>
          <w:sz w:val="20"/>
          <w:lang w:eastAsia="fr-FR"/>
        </w:rPr>
        <w:t xml:space="preserve">[Dans cette section, vous devez fournir la justification du sous projet] </w:t>
      </w:r>
    </w:p>
    <w:p w14:paraId="20A01139" w14:textId="77777777" w:rsidR="00C64041" w:rsidRPr="00323FBD" w:rsidRDefault="00C64041" w:rsidP="0044500E">
      <w:pPr>
        <w:pStyle w:val="Paragraphedeliste"/>
        <w:numPr>
          <w:ilvl w:val="1"/>
          <w:numId w:val="212"/>
        </w:numPr>
        <w:spacing w:after="0" w:line="240" w:lineRule="auto"/>
        <w:rPr>
          <w:b/>
          <w:snapToGrid w:val="0"/>
          <w:lang w:eastAsia="fr-FR"/>
        </w:rPr>
      </w:pPr>
      <w:bookmarkStart w:id="1829" w:name="_Toc69897476"/>
      <w:bookmarkEnd w:id="1828"/>
      <w:r w:rsidRPr="00323FBD">
        <w:rPr>
          <w:b/>
          <w:snapToGrid w:val="0"/>
          <w:lang w:eastAsia="fr-FR"/>
        </w:rPr>
        <w:t>Objet de la mission</w:t>
      </w:r>
      <w:bookmarkEnd w:id="1829"/>
    </w:p>
    <w:p w14:paraId="37C16A6F" w14:textId="77777777" w:rsidR="00C64041" w:rsidRDefault="00C64041" w:rsidP="00C64041">
      <w:pPr>
        <w:spacing w:before="120" w:after="120"/>
        <w:jc w:val="both"/>
        <w:rPr>
          <w:lang w:val="fr-CA"/>
        </w:rPr>
      </w:pPr>
      <w:bookmarkStart w:id="1830" w:name="_Hlk62797403"/>
      <w:r>
        <w:rPr>
          <w:sz w:val="20"/>
          <w:lang w:eastAsia="fr-FR"/>
        </w:rPr>
        <w:t xml:space="preserve">Il s’agit de faire </w:t>
      </w:r>
      <w:r w:rsidRPr="006B4005">
        <w:rPr>
          <w:sz w:val="20"/>
          <w:lang w:eastAsia="fr-FR"/>
        </w:rPr>
        <w:t>une Etude d’Impact Environnemental et Social (EIES) y compris le Plan de Gestion Environnemental et Social (PGES)</w:t>
      </w:r>
      <w:r>
        <w:rPr>
          <w:sz w:val="20"/>
          <w:lang w:eastAsia="fr-FR"/>
        </w:rPr>
        <w:t xml:space="preserve"> dans le but </w:t>
      </w:r>
      <w:r w:rsidRPr="006B4005">
        <w:rPr>
          <w:sz w:val="20"/>
          <w:lang w:eastAsia="fr-FR"/>
        </w:rPr>
        <w:t>d’assurer la conformité du projet aux Normes environnementales et sociales de la Banque mondial</w:t>
      </w:r>
      <w:r>
        <w:rPr>
          <w:sz w:val="20"/>
          <w:lang w:eastAsia="fr-FR"/>
        </w:rPr>
        <w:t>e.</w:t>
      </w:r>
      <w:r w:rsidRPr="006B4005">
        <w:rPr>
          <w:sz w:val="20"/>
          <w:lang w:eastAsia="fr-FR"/>
        </w:rPr>
        <w:t xml:space="preserve"> </w:t>
      </w:r>
      <w:r>
        <w:rPr>
          <w:sz w:val="20"/>
          <w:lang w:eastAsia="fr-FR"/>
        </w:rPr>
        <w:t>I</w:t>
      </w:r>
      <w:r w:rsidRPr="006B4005">
        <w:rPr>
          <w:sz w:val="20"/>
          <w:lang w:eastAsia="fr-FR"/>
        </w:rPr>
        <w:t xml:space="preserve">l est proposé de préparer les instruments environnementaux et sociaux ci-après sur la base des Documents cadres : Cadre de Gestion Environnemental et Social (CGES) et Cadre de Réinstallation (CR) déjà établis les concernant  </w:t>
      </w:r>
    </w:p>
    <w:p w14:paraId="121CFD0B" w14:textId="77777777" w:rsidR="00C64041" w:rsidRDefault="00C64041" w:rsidP="00C64041">
      <w:pPr>
        <w:spacing w:before="120" w:after="120"/>
        <w:jc w:val="both"/>
        <w:rPr>
          <w:sz w:val="20"/>
          <w:lang w:eastAsia="fr-FR"/>
        </w:rPr>
      </w:pPr>
      <w:r w:rsidRPr="006B4005">
        <w:rPr>
          <w:sz w:val="20"/>
          <w:lang w:eastAsia="fr-FR"/>
        </w:rPr>
        <w:t xml:space="preserve">L’EIES étudie les options viables du projet </w:t>
      </w:r>
      <w:r>
        <w:rPr>
          <w:sz w:val="20"/>
          <w:lang w:eastAsia="fr-FR"/>
        </w:rPr>
        <w:t>afin</w:t>
      </w:r>
      <w:r w:rsidRPr="006B4005">
        <w:rPr>
          <w:sz w:val="20"/>
          <w:lang w:eastAsia="fr-FR"/>
        </w:rPr>
        <w:t xml:space="preserve"> d’éviter sinon de minimiser les impa</w:t>
      </w:r>
      <w:r>
        <w:rPr>
          <w:sz w:val="20"/>
          <w:lang w:eastAsia="fr-FR"/>
        </w:rPr>
        <w:t xml:space="preserve">cts environnementaux et sociaux. </w:t>
      </w:r>
    </w:p>
    <w:p w14:paraId="7D2444DE" w14:textId="77777777" w:rsidR="00C64041" w:rsidRPr="00323FBD" w:rsidRDefault="00C64041" w:rsidP="0044500E">
      <w:pPr>
        <w:pStyle w:val="Paragraphedeliste"/>
        <w:numPr>
          <w:ilvl w:val="0"/>
          <w:numId w:val="212"/>
        </w:numPr>
        <w:spacing w:after="0" w:line="240" w:lineRule="auto"/>
        <w:rPr>
          <w:b/>
          <w:szCs w:val="24"/>
        </w:rPr>
      </w:pPr>
      <w:bookmarkStart w:id="1831" w:name="_Toc69897477"/>
      <w:bookmarkEnd w:id="1830"/>
      <w:r w:rsidRPr="00323FBD">
        <w:rPr>
          <w:b/>
          <w:szCs w:val="24"/>
        </w:rPr>
        <w:t>ETENDUE DE LA MISSION</w:t>
      </w:r>
      <w:bookmarkEnd w:id="1831"/>
    </w:p>
    <w:p w14:paraId="7372E97D" w14:textId="77777777" w:rsidR="00C64041" w:rsidRPr="00097FC0" w:rsidRDefault="00C64041" w:rsidP="00C64041">
      <w:pPr>
        <w:widowControl w:val="0"/>
        <w:overflowPunct w:val="0"/>
        <w:autoSpaceDE w:val="0"/>
        <w:autoSpaceDN w:val="0"/>
        <w:adjustRightInd w:val="0"/>
        <w:jc w:val="both"/>
        <w:textAlignment w:val="baseline"/>
        <w:rPr>
          <w:sz w:val="20"/>
          <w:lang w:eastAsia="fr-FR"/>
        </w:rPr>
      </w:pPr>
      <w:r w:rsidRPr="00097FC0">
        <w:rPr>
          <w:sz w:val="20"/>
          <w:lang w:eastAsia="fr-FR"/>
        </w:rPr>
        <w:t xml:space="preserve">Il s’agit de développer des études d’impact environnementales et sociales (EIES) avec le PGES </w:t>
      </w:r>
      <w:r>
        <w:rPr>
          <w:sz w:val="20"/>
          <w:lang w:eastAsia="fr-FR"/>
        </w:rPr>
        <w:t>pour le [</w:t>
      </w:r>
      <w:r w:rsidRPr="006B4005">
        <w:rPr>
          <w:i/>
          <w:sz w:val="20"/>
          <w:lang w:eastAsia="fr-FR"/>
        </w:rPr>
        <w:t>mettre ici le sous projet]</w:t>
      </w:r>
      <w:r w:rsidRPr="00097FC0">
        <w:rPr>
          <w:sz w:val="20"/>
          <w:lang w:eastAsia="fr-FR"/>
        </w:rPr>
        <w:t>:</w:t>
      </w:r>
    </w:p>
    <w:p w14:paraId="1A744F88" w14:textId="77777777" w:rsidR="00C64041" w:rsidRPr="00323FBD" w:rsidRDefault="00C64041" w:rsidP="0044500E">
      <w:pPr>
        <w:pStyle w:val="Paragraphedeliste"/>
        <w:numPr>
          <w:ilvl w:val="1"/>
          <w:numId w:val="212"/>
        </w:numPr>
        <w:spacing w:after="0" w:line="240" w:lineRule="auto"/>
        <w:rPr>
          <w:b/>
          <w:snapToGrid w:val="0"/>
          <w:lang w:eastAsia="fr-FR"/>
        </w:rPr>
      </w:pPr>
      <w:bookmarkStart w:id="1832" w:name="_Toc69897478"/>
      <w:bookmarkStart w:id="1833" w:name="_Hlk524104057"/>
      <w:r w:rsidRPr="00323FBD">
        <w:rPr>
          <w:b/>
          <w:snapToGrid w:val="0"/>
          <w:lang w:eastAsia="fr-FR"/>
        </w:rPr>
        <w:t>Etude d’Impact Environnemental et Social (EIES) y compris le Plan de Gestion Environnemental et Social (PGES)</w:t>
      </w:r>
      <w:bookmarkEnd w:id="1832"/>
      <w:r w:rsidRPr="00323FBD">
        <w:rPr>
          <w:b/>
          <w:snapToGrid w:val="0"/>
          <w:lang w:eastAsia="fr-FR"/>
        </w:rPr>
        <w:t xml:space="preserve"> </w:t>
      </w:r>
    </w:p>
    <w:p w14:paraId="7B1BD644" w14:textId="77777777" w:rsidR="00C64041" w:rsidRPr="00097FC0" w:rsidRDefault="00C64041" w:rsidP="00C64041">
      <w:pPr>
        <w:widowControl w:val="0"/>
        <w:overflowPunct w:val="0"/>
        <w:autoSpaceDE w:val="0"/>
        <w:autoSpaceDN w:val="0"/>
        <w:adjustRightInd w:val="0"/>
        <w:jc w:val="both"/>
        <w:textAlignment w:val="baseline"/>
        <w:rPr>
          <w:sz w:val="20"/>
        </w:rPr>
      </w:pPr>
      <w:bookmarkStart w:id="1834" w:name="_Hlk52799257"/>
      <w:bookmarkEnd w:id="1833"/>
      <w:r w:rsidRPr="00097FC0">
        <w:rPr>
          <w:sz w:val="20"/>
          <w:lang w:eastAsia="fr-FR"/>
        </w:rPr>
        <w:t xml:space="preserve">Dans le cadre de cette étude, le Consultant développera les études environnementales détaillées et établira les clauses environnementales et sociales à insérer dans les Dossiers Appel d'Offres (DAO) ainsi que dans la demande de </w:t>
      </w:r>
      <w:r w:rsidRPr="00097FC0">
        <w:rPr>
          <w:sz w:val="20"/>
        </w:rPr>
        <w:t>proposition (DP) pour le contrôle et la surveillance des travaux. L’EIES veillera à ce que les communautés affectées et les autres parties prenantes soient impliquées dès le début du processus et tout au long du processus d'EIES et de la vie du projet, à travers la réalisation des consultations publiques ainsi que la mise en œuvre d’un mécanisme efficace de gestion des plaintes. Elle prendra en compte tous les risques et effets environnementaux et sociaux pertinents du projet, notamment :</w:t>
      </w:r>
    </w:p>
    <w:p w14:paraId="75F7E1F1" w14:textId="77777777" w:rsidR="00C64041" w:rsidRPr="00097FC0" w:rsidRDefault="00C64041" w:rsidP="0044500E">
      <w:pPr>
        <w:numPr>
          <w:ilvl w:val="0"/>
          <w:numId w:val="211"/>
        </w:numPr>
        <w:spacing w:after="0" w:line="240" w:lineRule="auto"/>
        <w:contextualSpacing/>
        <w:jc w:val="both"/>
        <w:rPr>
          <w:sz w:val="20"/>
        </w:rPr>
      </w:pPr>
      <w:r w:rsidRPr="00097FC0">
        <w:rPr>
          <w:b/>
          <w:sz w:val="20"/>
        </w:rPr>
        <w:t>Les risques et effets environnementaux, y compris :</w:t>
      </w:r>
      <w:r w:rsidRPr="00097FC0">
        <w:rPr>
          <w:sz w:val="20"/>
        </w:rPr>
        <w:t xml:space="preserve"> i) ceux qui sont définis dans les Directives ESS ; ii) ceux qui se rapportent à la sécurité des populations </w:t>
      </w:r>
    </w:p>
    <w:p w14:paraId="41A3C27A" w14:textId="77777777" w:rsidR="00C64041" w:rsidRPr="00097FC0" w:rsidRDefault="00C64041" w:rsidP="0044500E">
      <w:pPr>
        <w:numPr>
          <w:ilvl w:val="0"/>
          <w:numId w:val="211"/>
        </w:numPr>
        <w:spacing w:after="0" w:line="240" w:lineRule="auto"/>
        <w:contextualSpacing/>
        <w:jc w:val="both"/>
        <w:rPr>
          <w:sz w:val="20"/>
        </w:rPr>
      </w:pPr>
      <w:bookmarkStart w:id="1835" w:name="_Hlk24895661"/>
      <w:bookmarkStart w:id="1836" w:name="_Hlk6303082"/>
      <w:r w:rsidRPr="00097FC0">
        <w:rPr>
          <w:b/>
          <w:sz w:val="20"/>
        </w:rPr>
        <w:t>Les risques et effets sociaux, y compris</w:t>
      </w:r>
      <w:r w:rsidRPr="00097FC0">
        <w:rPr>
          <w:sz w:val="20"/>
        </w:rPr>
        <w:t> : i) les menaces pour la sécurité humaine se manifestant par la recrudescence de conflits interpersonnels, communautaires et interétatiques, de la criminalité ou de la violence</w:t>
      </w:r>
      <w:r w:rsidRPr="00097FC0">
        <w:rPr>
          <w:sz w:val="20"/>
          <w:vertAlign w:val="superscript"/>
        </w:rPr>
        <w:footnoteReference w:id="91"/>
      </w:r>
      <w:r w:rsidRPr="00097FC0">
        <w:rPr>
          <w:sz w:val="20"/>
        </w:rPr>
        <w:t> ; ii) les risques que le projet ait des effets disproportionnés sur des individus et des groupes qui, du fait de leur situation particulière, peuvent être défavorisés ou vulnérables</w:t>
      </w:r>
      <w:r w:rsidRPr="00097FC0">
        <w:rPr>
          <w:rStyle w:val="Appelnotedebasdep"/>
        </w:rPr>
        <w:footnoteReference w:id="92"/>
      </w:r>
      <w:r w:rsidRPr="00097FC0">
        <w:rPr>
          <w:sz w:val="20"/>
        </w:rPr>
        <w:t xml:space="preserve"> ; iii) les préjugés ou la discrimination à l’égard de certains individus ou certains groupes, en particulier ceux qui peuvent être défavorisés ou vulnérables, en ce qui concerne l’accès aux ressources consacrées au développement et aux avantages du projet ; iv) les conséquences économiques et sociales négatives de la réquisition </w:t>
      </w:r>
      <w:r w:rsidR="00304E02">
        <w:rPr>
          <w:sz w:val="20"/>
        </w:rPr>
        <w:t>involontaire</w:t>
      </w:r>
      <w:r w:rsidRPr="00097FC0">
        <w:rPr>
          <w:sz w:val="20"/>
        </w:rPr>
        <w:t xml:space="preserve"> de terres ou des restrictions à l’utilisation des terres ; v) les risques ou les effets associés à la propriété et l’utilisation des sols et des ressources naturelles</w:t>
      </w:r>
      <w:r w:rsidRPr="00097FC0">
        <w:rPr>
          <w:sz w:val="20"/>
          <w:vertAlign w:val="superscript"/>
        </w:rPr>
        <w:footnoteReference w:id="93"/>
      </w:r>
      <w:r w:rsidRPr="00097FC0">
        <w:rPr>
          <w:sz w:val="20"/>
        </w:rPr>
        <w:t xml:space="preserve"> y compris (le cas échéant) les effets potentiels du projet sur les modes d’utilisation des terres et les régimes fonciers applicables au niveau local, l’accessibilité et la disponibilité des terres, la sécurité alimentaire et la valeur foncière, et tout risque correspondant lié aux conflits ou aux différends concernant les terres et les ressources naturelles ; vi) les effets sur la santé, la sécurité et le bien-être des travailleurs et des populations touchées par le projet ; et vii) les risques pour le patrimoine culturel.</w:t>
      </w:r>
    </w:p>
    <w:p w14:paraId="426899C3" w14:textId="77777777" w:rsidR="00C64041" w:rsidRPr="00097FC0" w:rsidRDefault="00C64041" w:rsidP="00C64041">
      <w:pPr>
        <w:contextualSpacing/>
        <w:jc w:val="both"/>
        <w:rPr>
          <w:sz w:val="20"/>
        </w:rPr>
      </w:pPr>
    </w:p>
    <w:bookmarkEnd w:id="1835"/>
    <w:bookmarkEnd w:id="1836"/>
    <w:p w14:paraId="41DFA6B4" w14:textId="77777777" w:rsidR="00C64041" w:rsidRPr="00097FC0" w:rsidRDefault="00C64041" w:rsidP="0044500E">
      <w:pPr>
        <w:numPr>
          <w:ilvl w:val="0"/>
          <w:numId w:val="211"/>
        </w:numPr>
        <w:spacing w:after="0" w:line="240" w:lineRule="auto"/>
        <w:contextualSpacing/>
        <w:jc w:val="both"/>
        <w:rPr>
          <w:sz w:val="20"/>
        </w:rPr>
      </w:pPr>
      <w:r w:rsidRPr="00097FC0">
        <w:rPr>
          <w:sz w:val="20"/>
        </w:rPr>
        <w:t xml:space="preserve">Lorsque l’EIES </w:t>
      </w:r>
      <w:r w:rsidRPr="00097FC0">
        <w:rPr>
          <w:bCs/>
          <w:sz w:val="20"/>
        </w:rPr>
        <w:t>détermine que certaines personnes ou certains groupes spécifiques sont défavorisés ou vulnérables, l’Emprunteur proposera et mettra en œuvre des mesures différenciées de sorte que les impacts négatifs du projet n’affectent pas ces personnes de façon disproportionnée, et pour qu’elles ne soient pas lésées dans le partage des avantages et opportunités de développement résultant du projet</w:t>
      </w:r>
      <w:r w:rsidRPr="00097FC0">
        <w:rPr>
          <w:sz w:val="20"/>
        </w:rPr>
        <w:t>.</w:t>
      </w:r>
    </w:p>
    <w:p w14:paraId="3C0B3191" w14:textId="77777777" w:rsidR="00C64041" w:rsidRPr="00097FC0" w:rsidRDefault="00C64041" w:rsidP="00F01166">
      <w:pPr>
        <w:widowControl w:val="0"/>
        <w:overflowPunct w:val="0"/>
        <w:autoSpaceDE w:val="0"/>
        <w:autoSpaceDN w:val="0"/>
        <w:adjustRightInd w:val="0"/>
        <w:spacing w:after="0"/>
        <w:jc w:val="both"/>
        <w:textAlignment w:val="baseline"/>
        <w:rPr>
          <w:sz w:val="20"/>
          <w:lang w:eastAsia="fr-FR"/>
        </w:rPr>
      </w:pPr>
    </w:p>
    <w:p w14:paraId="147949EA" w14:textId="77777777" w:rsidR="00C64041" w:rsidRPr="00097FC0" w:rsidRDefault="00C64041" w:rsidP="00C64041">
      <w:pPr>
        <w:widowControl w:val="0"/>
        <w:overflowPunct w:val="0"/>
        <w:autoSpaceDE w:val="0"/>
        <w:autoSpaceDN w:val="0"/>
        <w:adjustRightInd w:val="0"/>
        <w:jc w:val="both"/>
        <w:textAlignment w:val="baseline"/>
        <w:rPr>
          <w:sz w:val="20"/>
          <w:lang w:eastAsia="fr-FR"/>
        </w:rPr>
      </w:pPr>
      <w:r w:rsidRPr="00097FC0">
        <w:rPr>
          <w:sz w:val="20"/>
          <w:lang w:eastAsia="fr-FR"/>
        </w:rPr>
        <w:t xml:space="preserve">Les principales composantes de cette étape sont les suivantes : </w:t>
      </w:r>
    </w:p>
    <w:bookmarkEnd w:id="1834"/>
    <w:p w14:paraId="0C155F5E" w14:textId="77777777" w:rsidR="00C64041" w:rsidRPr="00097FC0" w:rsidRDefault="00C64041" w:rsidP="0044500E">
      <w:pPr>
        <w:widowControl w:val="0"/>
        <w:numPr>
          <w:ilvl w:val="0"/>
          <w:numId w:val="206"/>
        </w:numPr>
        <w:overflowPunct w:val="0"/>
        <w:autoSpaceDE w:val="0"/>
        <w:autoSpaceDN w:val="0"/>
        <w:adjustRightInd w:val="0"/>
        <w:spacing w:after="0" w:line="240" w:lineRule="auto"/>
        <w:jc w:val="both"/>
        <w:textAlignment w:val="baseline"/>
        <w:rPr>
          <w:sz w:val="20"/>
          <w:lang w:eastAsia="fr-FR"/>
        </w:rPr>
      </w:pPr>
      <w:r w:rsidRPr="00097FC0">
        <w:rPr>
          <w:sz w:val="20"/>
          <w:lang w:eastAsia="fr-FR"/>
        </w:rPr>
        <w:t>Compléments de consultation des parties prenantes, d'investigations et de travaux de terrain en vue de la préparation des études environnementales et sociales détaillées ;</w:t>
      </w:r>
    </w:p>
    <w:p w14:paraId="2AF845F5" w14:textId="77777777" w:rsidR="00C64041" w:rsidRPr="00097FC0" w:rsidRDefault="00C64041" w:rsidP="0044500E">
      <w:pPr>
        <w:widowControl w:val="0"/>
        <w:numPr>
          <w:ilvl w:val="0"/>
          <w:numId w:val="206"/>
        </w:numPr>
        <w:overflowPunct w:val="0"/>
        <w:autoSpaceDE w:val="0"/>
        <w:autoSpaceDN w:val="0"/>
        <w:adjustRightInd w:val="0"/>
        <w:spacing w:after="0" w:line="240" w:lineRule="auto"/>
        <w:jc w:val="both"/>
        <w:textAlignment w:val="baseline"/>
        <w:rPr>
          <w:sz w:val="20"/>
          <w:lang w:eastAsia="fr-FR"/>
        </w:rPr>
      </w:pPr>
      <w:r w:rsidRPr="00097FC0">
        <w:rPr>
          <w:sz w:val="20"/>
          <w:lang w:eastAsia="fr-FR"/>
        </w:rPr>
        <w:t>Etudes d'impact sur l'environnement et le social, cadrées sur les principaux problèmes soulevés par le projet, l’ajustement des enjeux à l’environnement</w:t>
      </w:r>
      <w:r w:rsidR="00304E02">
        <w:rPr>
          <w:sz w:val="20"/>
          <w:lang w:eastAsia="fr-FR"/>
        </w:rPr>
        <w:t xml:space="preserve"> </w:t>
      </w:r>
      <w:r w:rsidRPr="00097FC0">
        <w:rPr>
          <w:sz w:val="20"/>
          <w:lang w:eastAsia="fr-FR"/>
        </w:rPr>
        <w:t xml:space="preserve">; </w:t>
      </w:r>
    </w:p>
    <w:p w14:paraId="11A0934F" w14:textId="77777777" w:rsidR="00C64041" w:rsidRPr="00097FC0" w:rsidRDefault="00C64041" w:rsidP="0044500E">
      <w:pPr>
        <w:widowControl w:val="0"/>
        <w:numPr>
          <w:ilvl w:val="0"/>
          <w:numId w:val="206"/>
        </w:numPr>
        <w:overflowPunct w:val="0"/>
        <w:autoSpaceDE w:val="0"/>
        <w:autoSpaceDN w:val="0"/>
        <w:adjustRightInd w:val="0"/>
        <w:spacing w:after="0" w:line="240" w:lineRule="auto"/>
        <w:jc w:val="both"/>
        <w:textAlignment w:val="baseline"/>
        <w:rPr>
          <w:sz w:val="20"/>
          <w:lang w:eastAsia="fr-FR"/>
        </w:rPr>
      </w:pPr>
      <w:r w:rsidRPr="00097FC0">
        <w:rPr>
          <w:sz w:val="20"/>
          <w:lang w:eastAsia="fr-FR"/>
        </w:rPr>
        <w:t xml:space="preserve">Préparation des clauses environnementales et sociales à insérer dans les DAO, et dans la demande de proposition (DP) pour le contrôle et la surveillance des travaux, en lien avec les orientations établies dans les Documents cadres : </w:t>
      </w:r>
      <w:bookmarkStart w:id="1838" w:name="_Hlk52799431"/>
      <w:r w:rsidRPr="00097FC0">
        <w:rPr>
          <w:sz w:val="20"/>
          <w:lang w:eastAsia="fr-FR"/>
        </w:rPr>
        <w:t xml:space="preserve">Cadre de Gestion Environnemental et Social (CGES) et Cadre de Politique de Réinstallation (CPR) </w:t>
      </w:r>
      <w:bookmarkEnd w:id="1838"/>
      <w:r w:rsidRPr="00097FC0">
        <w:rPr>
          <w:sz w:val="20"/>
          <w:lang w:eastAsia="fr-FR"/>
        </w:rPr>
        <w:t>les concernant, ainsi que</w:t>
      </w:r>
      <w:r w:rsidRPr="00097FC0">
        <w:rPr>
          <w:bCs/>
          <w:sz w:val="20"/>
        </w:rPr>
        <w:t xml:space="preserve"> les clauses de sanctions/pénalisations progressives applicables pour les cas de non-conformité aux mesures présentées dans le PGES, de défaillance de mise en œuvre, de contrôle et de surveillance de la mise en œuvre du PGES-E pour les entreprises et pour les entités en charge du contrôle et du suivi du PGES</w:t>
      </w:r>
    </w:p>
    <w:p w14:paraId="5840063B" w14:textId="77777777" w:rsidR="00C64041" w:rsidRPr="00097FC0" w:rsidRDefault="00C64041" w:rsidP="00F01166">
      <w:pPr>
        <w:widowControl w:val="0"/>
        <w:overflowPunct w:val="0"/>
        <w:autoSpaceDE w:val="0"/>
        <w:autoSpaceDN w:val="0"/>
        <w:adjustRightInd w:val="0"/>
        <w:spacing w:after="0"/>
        <w:jc w:val="both"/>
        <w:textAlignment w:val="baseline"/>
        <w:rPr>
          <w:sz w:val="20"/>
          <w:lang w:eastAsia="fr-FR"/>
        </w:rPr>
      </w:pPr>
    </w:p>
    <w:p w14:paraId="2B3BD8AE" w14:textId="77777777" w:rsidR="00C64041" w:rsidRPr="00097FC0" w:rsidRDefault="00C64041" w:rsidP="00C64041">
      <w:pPr>
        <w:jc w:val="both"/>
        <w:rPr>
          <w:sz w:val="20"/>
          <w:lang w:eastAsia="fr-FR"/>
        </w:rPr>
      </w:pPr>
      <w:r w:rsidRPr="00097FC0">
        <w:rPr>
          <w:sz w:val="20"/>
          <w:lang w:eastAsia="fr-FR"/>
        </w:rPr>
        <w:t>L’étude environ</w:t>
      </w:r>
      <w:r>
        <w:rPr>
          <w:sz w:val="20"/>
          <w:lang w:eastAsia="fr-FR"/>
        </w:rPr>
        <w:t xml:space="preserve">nementale et sociale </w:t>
      </w:r>
      <w:r w:rsidRPr="00097FC0">
        <w:rPr>
          <w:sz w:val="20"/>
          <w:lang w:eastAsia="fr-FR"/>
        </w:rPr>
        <w:t xml:space="preserve">devraient comprendre respectivement les informations suivantes, en harmonie </w:t>
      </w:r>
      <w:bookmarkStart w:id="1839" w:name="_Hlk52799535"/>
      <w:r w:rsidRPr="00097FC0">
        <w:rPr>
          <w:sz w:val="20"/>
          <w:lang w:eastAsia="fr-FR"/>
        </w:rPr>
        <w:t xml:space="preserve">avec les indications dans le </w:t>
      </w:r>
      <w:bookmarkEnd w:id="1839"/>
      <w:r w:rsidRPr="00097FC0">
        <w:rPr>
          <w:sz w:val="20"/>
          <w:lang w:eastAsia="fr-FR"/>
        </w:rPr>
        <w:t xml:space="preserve">Cadre de Gestion Environnemental et Social (CGES) établis </w:t>
      </w:r>
      <w:r w:rsidR="00304E02">
        <w:rPr>
          <w:sz w:val="20"/>
          <w:lang w:eastAsia="fr-FR"/>
        </w:rPr>
        <w:t>d</w:t>
      </w:r>
      <w:r w:rsidRPr="00097FC0">
        <w:rPr>
          <w:sz w:val="20"/>
          <w:lang w:eastAsia="fr-FR"/>
        </w:rPr>
        <w:t xml:space="preserve">ans le cadre du </w:t>
      </w:r>
      <w:r>
        <w:rPr>
          <w:sz w:val="20"/>
          <w:lang w:eastAsia="fr-FR"/>
        </w:rPr>
        <w:t>Projet DECIM</w:t>
      </w:r>
      <w:r w:rsidRPr="00097FC0">
        <w:rPr>
          <w:sz w:val="20"/>
          <w:lang w:eastAsia="fr-FR"/>
        </w:rPr>
        <w:t>, et mettre en exergue les dispositions spécifiques pertinentes qui auraient évoluées par rapport aux contenus de ces derniers :</w:t>
      </w:r>
    </w:p>
    <w:p w14:paraId="31F45D7C" w14:textId="77777777" w:rsidR="00C64041" w:rsidRPr="00097FC0" w:rsidRDefault="00C64041" w:rsidP="0044500E">
      <w:pPr>
        <w:widowControl w:val="0"/>
        <w:numPr>
          <w:ilvl w:val="0"/>
          <w:numId w:val="209"/>
        </w:numPr>
        <w:overflowPunct w:val="0"/>
        <w:autoSpaceDE w:val="0"/>
        <w:autoSpaceDN w:val="0"/>
        <w:adjustRightInd w:val="0"/>
        <w:spacing w:before="120" w:after="120" w:line="240" w:lineRule="auto"/>
        <w:jc w:val="both"/>
        <w:textAlignment w:val="baseline"/>
        <w:rPr>
          <w:sz w:val="20"/>
          <w:lang w:eastAsia="fr-FR"/>
        </w:rPr>
      </w:pPr>
      <w:r w:rsidRPr="00097FC0">
        <w:rPr>
          <w:sz w:val="20"/>
          <w:lang w:eastAsia="fr-FR"/>
        </w:rPr>
        <w:t>Description du projet et analyse de ses contextes juridique, institutionnel, biophysique et socioéconomique (Description du projet, Cadre légal et institutionnel applicable, Analyse du milieu récepteur du projet) ;</w:t>
      </w:r>
    </w:p>
    <w:p w14:paraId="06B32276" w14:textId="77777777" w:rsidR="00C64041" w:rsidRPr="00097FC0" w:rsidRDefault="00C64041" w:rsidP="0044500E">
      <w:pPr>
        <w:widowControl w:val="0"/>
        <w:numPr>
          <w:ilvl w:val="0"/>
          <w:numId w:val="209"/>
        </w:numPr>
        <w:overflowPunct w:val="0"/>
        <w:autoSpaceDE w:val="0"/>
        <w:autoSpaceDN w:val="0"/>
        <w:adjustRightInd w:val="0"/>
        <w:spacing w:before="120" w:after="120" w:line="240" w:lineRule="auto"/>
        <w:jc w:val="both"/>
        <w:textAlignment w:val="baseline"/>
        <w:rPr>
          <w:sz w:val="20"/>
          <w:lang w:eastAsia="fr-FR"/>
        </w:rPr>
      </w:pPr>
      <w:r w:rsidRPr="00097FC0">
        <w:rPr>
          <w:sz w:val="20"/>
          <w:lang w:eastAsia="fr-FR"/>
        </w:rPr>
        <w:t xml:space="preserve">Identification et évaluation des impacts environnementaux et sociaux cadré au profil environnemental et social de la zone concernée, les sources d’impact, les récepteurs d’impact, les impacts les plus importants positifs ou négatifs, les mesures réalistes et réalisables à prendre en compte, les recommandations spécifiques pour le chantier, en intégrant les leçons tirées de la mise en œuvre et du contrôle du PGES-P sur la première phase du projet </w:t>
      </w:r>
      <w:r>
        <w:rPr>
          <w:sz w:val="20"/>
          <w:lang w:eastAsia="fr-FR"/>
        </w:rPr>
        <w:t>DECIM</w:t>
      </w:r>
      <w:r w:rsidRPr="00097FC0">
        <w:rPr>
          <w:sz w:val="20"/>
          <w:lang w:eastAsia="fr-FR"/>
        </w:rPr>
        <w:t xml:space="preserve"> ; </w:t>
      </w:r>
    </w:p>
    <w:p w14:paraId="213DB620" w14:textId="77777777" w:rsidR="00C64041" w:rsidRPr="00097FC0" w:rsidRDefault="00C64041" w:rsidP="0044500E">
      <w:pPr>
        <w:widowControl w:val="0"/>
        <w:numPr>
          <w:ilvl w:val="0"/>
          <w:numId w:val="209"/>
        </w:numPr>
        <w:overflowPunct w:val="0"/>
        <w:autoSpaceDE w:val="0"/>
        <w:autoSpaceDN w:val="0"/>
        <w:adjustRightInd w:val="0"/>
        <w:spacing w:before="120" w:after="120" w:line="240" w:lineRule="auto"/>
        <w:jc w:val="both"/>
        <w:textAlignment w:val="baseline"/>
        <w:rPr>
          <w:sz w:val="20"/>
          <w:lang w:eastAsia="fr-FR"/>
        </w:rPr>
      </w:pPr>
      <w:r w:rsidRPr="00097FC0">
        <w:rPr>
          <w:sz w:val="20"/>
          <w:lang w:eastAsia="fr-FR"/>
        </w:rPr>
        <w:t>Analyse des risques d’accident et mesures d’urgence (identification des dangers et situations dangereuses liés au travail sur un chantier de construction, estimation pour chaque situation dangereuse de la gravité des dommages potentiels et de la fréquence d’exposition, la hiérarchisation des risques pour déterminer les priorités du plan d’action) ;</w:t>
      </w:r>
    </w:p>
    <w:p w14:paraId="5780B860" w14:textId="77777777" w:rsidR="00C64041" w:rsidRPr="00097FC0" w:rsidRDefault="00C64041" w:rsidP="0044500E">
      <w:pPr>
        <w:widowControl w:val="0"/>
        <w:numPr>
          <w:ilvl w:val="0"/>
          <w:numId w:val="209"/>
        </w:numPr>
        <w:overflowPunct w:val="0"/>
        <w:autoSpaceDE w:val="0"/>
        <w:autoSpaceDN w:val="0"/>
        <w:adjustRightInd w:val="0"/>
        <w:spacing w:before="120" w:after="120" w:line="240" w:lineRule="auto"/>
        <w:jc w:val="both"/>
        <w:textAlignment w:val="baseline"/>
        <w:rPr>
          <w:sz w:val="20"/>
          <w:lang w:eastAsia="fr-FR"/>
        </w:rPr>
      </w:pPr>
      <w:r w:rsidRPr="00097FC0">
        <w:rPr>
          <w:sz w:val="20"/>
          <w:lang w:eastAsia="fr-FR"/>
        </w:rPr>
        <w:t xml:space="preserve">Analyse des alternatives (situation sans projet et avec projet) ; L’EIES appliquera le principe de la hiérarchie d’atténuation, qui consiste à : </w:t>
      </w:r>
    </w:p>
    <w:p w14:paraId="002E110C" w14:textId="77777777" w:rsidR="00C64041" w:rsidRPr="00097FC0" w:rsidRDefault="00304E02" w:rsidP="0044500E">
      <w:pPr>
        <w:numPr>
          <w:ilvl w:val="2"/>
          <w:numId w:val="210"/>
        </w:numPr>
        <w:spacing w:after="0" w:line="240" w:lineRule="auto"/>
        <w:contextualSpacing/>
        <w:jc w:val="both"/>
        <w:rPr>
          <w:sz w:val="20"/>
        </w:rPr>
      </w:pPr>
      <w:r>
        <w:rPr>
          <w:sz w:val="20"/>
        </w:rPr>
        <w:t>A</w:t>
      </w:r>
      <w:r w:rsidR="00C64041" w:rsidRPr="00097FC0">
        <w:rPr>
          <w:sz w:val="20"/>
        </w:rPr>
        <w:t>nticiper et éviter les risques et les impacts ;</w:t>
      </w:r>
    </w:p>
    <w:p w14:paraId="0250A87E" w14:textId="77777777" w:rsidR="00C64041" w:rsidRPr="00097FC0" w:rsidRDefault="00304E02" w:rsidP="0044500E">
      <w:pPr>
        <w:numPr>
          <w:ilvl w:val="2"/>
          <w:numId w:val="210"/>
        </w:numPr>
        <w:spacing w:after="0" w:line="240" w:lineRule="auto"/>
        <w:contextualSpacing/>
        <w:jc w:val="both"/>
        <w:rPr>
          <w:sz w:val="20"/>
        </w:rPr>
      </w:pPr>
      <w:r>
        <w:rPr>
          <w:sz w:val="20"/>
        </w:rPr>
        <w:t>L</w:t>
      </w:r>
      <w:r w:rsidR="00C64041" w:rsidRPr="00097FC0">
        <w:rPr>
          <w:sz w:val="20"/>
        </w:rPr>
        <w:t xml:space="preserve">orsqu’il n’est pas possible de les éviter, minimiser ou réduire les risques et les impacts à des niveaux acceptables ; </w:t>
      </w:r>
    </w:p>
    <w:p w14:paraId="6B5CA6EA" w14:textId="77777777" w:rsidR="00C64041" w:rsidRPr="00097FC0" w:rsidRDefault="00304E02" w:rsidP="0044500E">
      <w:pPr>
        <w:numPr>
          <w:ilvl w:val="2"/>
          <w:numId w:val="210"/>
        </w:numPr>
        <w:spacing w:after="0" w:line="240" w:lineRule="auto"/>
        <w:contextualSpacing/>
        <w:jc w:val="both"/>
        <w:rPr>
          <w:sz w:val="20"/>
        </w:rPr>
      </w:pPr>
      <w:r>
        <w:rPr>
          <w:sz w:val="20"/>
        </w:rPr>
        <w:t>U</w:t>
      </w:r>
      <w:r w:rsidR="00C64041" w:rsidRPr="00097FC0">
        <w:rPr>
          <w:sz w:val="20"/>
        </w:rPr>
        <w:t>ne fois que les risques et les impacts ont été minimisés ou réduits, les atténuer</w:t>
      </w:r>
      <w:r w:rsidR="00C64041" w:rsidRPr="00097FC0">
        <w:rPr>
          <w:sz w:val="20"/>
          <w:szCs w:val="16"/>
          <w:vertAlign w:val="superscript"/>
        </w:rPr>
        <w:footnoteReference w:id="94"/>
      </w:r>
      <w:r w:rsidR="00C64041" w:rsidRPr="00097FC0">
        <w:rPr>
          <w:sz w:val="20"/>
        </w:rPr>
        <w:t> ;</w:t>
      </w:r>
    </w:p>
    <w:p w14:paraId="5C7C4F9D" w14:textId="77777777" w:rsidR="00C64041" w:rsidRPr="00097FC0" w:rsidRDefault="00304E02" w:rsidP="0044500E">
      <w:pPr>
        <w:numPr>
          <w:ilvl w:val="2"/>
          <w:numId w:val="210"/>
        </w:numPr>
        <w:spacing w:after="0" w:line="240" w:lineRule="auto"/>
        <w:contextualSpacing/>
        <w:jc w:val="both"/>
        <w:rPr>
          <w:sz w:val="20"/>
        </w:rPr>
      </w:pPr>
      <w:r>
        <w:rPr>
          <w:sz w:val="20"/>
        </w:rPr>
        <w:t>L</w:t>
      </w:r>
      <w:r w:rsidR="00C64041" w:rsidRPr="00097FC0">
        <w:rPr>
          <w:sz w:val="20"/>
        </w:rPr>
        <w:t>orsque les impacts résiduels sont importants, les compenser ou les neutraliser si cela est techniquement et financièrement possible</w:t>
      </w:r>
      <w:r w:rsidR="00C64041" w:rsidRPr="00097FC0">
        <w:rPr>
          <w:sz w:val="20"/>
          <w:vertAlign w:val="superscript"/>
        </w:rPr>
        <w:footnoteReference w:id="95"/>
      </w:r>
      <w:r w:rsidR="00C64041" w:rsidRPr="00097FC0">
        <w:rPr>
          <w:sz w:val="20"/>
        </w:rPr>
        <w:t>.</w:t>
      </w:r>
    </w:p>
    <w:p w14:paraId="28071453" w14:textId="77777777" w:rsidR="00C64041" w:rsidRPr="00097FC0" w:rsidRDefault="00C64041" w:rsidP="0044500E">
      <w:pPr>
        <w:widowControl w:val="0"/>
        <w:numPr>
          <w:ilvl w:val="0"/>
          <w:numId w:val="209"/>
        </w:numPr>
        <w:overflowPunct w:val="0"/>
        <w:autoSpaceDE w:val="0"/>
        <w:autoSpaceDN w:val="0"/>
        <w:adjustRightInd w:val="0"/>
        <w:spacing w:before="120" w:after="120" w:line="240" w:lineRule="auto"/>
        <w:jc w:val="both"/>
        <w:textAlignment w:val="baseline"/>
        <w:rPr>
          <w:sz w:val="20"/>
          <w:lang w:eastAsia="fr-FR"/>
        </w:rPr>
      </w:pPr>
      <w:r w:rsidRPr="00097FC0">
        <w:rPr>
          <w:sz w:val="20"/>
          <w:lang w:eastAsia="fr-FR"/>
        </w:rPr>
        <w:t>Analyse de risques de conflit social avec l’arrivée importante des travailleurs. Dans ce cadre, il est attendu la description du profil des travailleurs par groupe socio-professionnel avec le type de recrutement : migrant/saisonniers locaux, etc. L’étude exploitera les directives EHS général et spécifiques de l’IFC et autres documents pertinents, en tant que documents de références techniques qui présentent des exemples de bonnes pratiques internationales sur les questions d’ordre</w:t>
      </w:r>
      <w:r w:rsidRPr="00097FC0">
        <w:rPr>
          <w:rFonts w:ascii="Helvetica" w:hAnsi="Helvetica"/>
          <w:sz w:val="20"/>
          <w:highlight w:val="yellow"/>
        </w:rPr>
        <w:t xml:space="preserve"> </w:t>
      </w:r>
      <w:r w:rsidRPr="00097FC0">
        <w:rPr>
          <w:sz w:val="20"/>
          <w:lang w:eastAsia="fr-FR"/>
        </w:rPr>
        <w:t xml:space="preserve">environnemental, sanitaire et sécuritaire propres au domaine considéré. Les liens d’accès à ces documents sont listés en annexe </w:t>
      </w:r>
      <w:r w:rsidR="00304E02">
        <w:rPr>
          <w:sz w:val="20"/>
          <w:lang w:eastAsia="fr-FR"/>
        </w:rPr>
        <w:t>XX</w:t>
      </w:r>
      <w:r w:rsidRPr="00097FC0">
        <w:rPr>
          <w:sz w:val="20"/>
          <w:lang w:eastAsia="fr-FR"/>
        </w:rPr>
        <w:t xml:space="preserve">. </w:t>
      </w:r>
      <w:r w:rsidRPr="00097FC0">
        <w:rPr>
          <w:sz w:val="20"/>
        </w:rPr>
        <w:t>Les autres éléments requis seront transmis au prestataire à la signature de son contrat (PAD, CGES, CPR).</w:t>
      </w:r>
    </w:p>
    <w:p w14:paraId="32A38946" w14:textId="77777777" w:rsidR="00C64041" w:rsidRPr="00097FC0" w:rsidRDefault="00C64041" w:rsidP="0044500E">
      <w:pPr>
        <w:widowControl w:val="0"/>
        <w:numPr>
          <w:ilvl w:val="0"/>
          <w:numId w:val="209"/>
        </w:numPr>
        <w:overflowPunct w:val="0"/>
        <w:autoSpaceDE w:val="0"/>
        <w:autoSpaceDN w:val="0"/>
        <w:adjustRightInd w:val="0"/>
        <w:spacing w:before="120" w:after="120" w:line="240" w:lineRule="auto"/>
        <w:jc w:val="both"/>
        <w:textAlignment w:val="baseline"/>
        <w:rPr>
          <w:bCs/>
          <w:sz w:val="20"/>
        </w:rPr>
      </w:pPr>
      <w:r w:rsidRPr="00097FC0">
        <w:rPr>
          <w:bCs/>
          <w:sz w:val="20"/>
        </w:rPr>
        <w:t>Traduction de l’ensemble des mesures proposées dans un PGES auquel sera assujetti le sous-projet. Ce dernier reprendra les impacts observés, et proposera des mesures de mitigation pour éviter les impacts négatifs, et de bonification des impacts les positifs. Des dispositions pour une gestion adaptative sont à prévoir pour adapter la mise en œuvre des activités du PGES-C à des évolutions imprévues des conditions du projet, à des difficultés ou enjeux environnementaux ou sociaux inattendus. Il sera développé les Clauses Environnementales et Sociales pour les Entreprises ainsi que les caractérisations des PGES à concevoir avant le lancement des travaux sur les plans d’exploitation et de fermetures des carrières, des emprunts, de la base vie. En outre, ce dernier devra comprendre des mesures de suivi et de surveillance, un code de conduite des Entreprises/travailleurs, et dégagera les responsabilités institutionnelles pour la bonne mise en œuvre du PGES. Un renforcement de capacités des parties prenantes ainsi que la diffusion de l’information et de la communication notamment en matière de prévention des IST &amp; VIH/SIDA, du COVID</w:t>
      </w:r>
      <w:r w:rsidR="00304E02">
        <w:rPr>
          <w:bCs/>
          <w:sz w:val="20"/>
        </w:rPr>
        <w:t>-</w:t>
      </w:r>
      <w:r w:rsidRPr="00097FC0">
        <w:rPr>
          <w:bCs/>
          <w:sz w:val="20"/>
        </w:rPr>
        <w:t>19, des Violence basée sur le genre (VBG)/harcèlements sexuels liés à l’afflux des mains d’œuvre</w:t>
      </w:r>
      <w:r w:rsidRPr="00097FC0">
        <w:rPr>
          <w:bCs/>
          <w:sz w:val="20"/>
          <w:vertAlign w:val="superscript"/>
        </w:rPr>
        <w:footnoteReference w:id="96"/>
      </w:r>
      <w:r w:rsidRPr="00097FC0">
        <w:rPr>
          <w:bCs/>
          <w:sz w:val="20"/>
        </w:rPr>
        <w:t xml:space="preserve"> et la sécurité routière, de mise en œuvre du MGP, restent incontournables pour la réussite du projet. Enfin, le PGES devra prévoir les clauses de sanctions/pénalisations progressives applicables pour les cas de défaillance de mise en œuvre, de contrôle et de surveillance de la mise en œuvre du PGES-E pour les entreprises et pour les entités en charge du contrôle et du suivi du PGES </w:t>
      </w:r>
      <w:r w:rsidRPr="00C64041">
        <w:rPr>
          <w:rFonts w:ascii="Arial" w:hAnsi="Arial" w:cs="Arial"/>
          <w:sz w:val="20"/>
        </w:rPr>
        <w:t>.</w:t>
      </w:r>
    </w:p>
    <w:p w14:paraId="46D60318" w14:textId="77777777" w:rsidR="00C64041" w:rsidRPr="000959C1" w:rsidRDefault="00C64041" w:rsidP="0044500E">
      <w:pPr>
        <w:pStyle w:val="Paragraphedeliste"/>
        <w:numPr>
          <w:ilvl w:val="2"/>
          <w:numId w:val="212"/>
        </w:numPr>
        <w:spacing w:after="0" w:line="240" w:lineRule="auto"/>
        <w:rPr>
          <w:b/>
        </w:rPr>
      </w:pPr>
      <w:bookmarkStart w:id="1840" w:name="_Toc69897479"/>
      <w:r w:rsidRPr="000959C1">
        <w:rPr>
          <w:b/>
        </w:rPr>
        <w:t>Identification des impacts sociaux et environnementaux potentiels du projet</w:t>
      </w:r>
      <w:bookmarkEnd w:id="1840"/>
      <w:r w:rsidRPr="000959C1">
        <w:rPr>
          <w:b/>
        </w:rPr>
        <w:t xml:space="preserve"> </w:t>
      </w:r>
    </w:p>
    <w:p w14:paraId="1B418032" w14:textId="77777777" w:rsidR="00C64041" w:rsidRPr="00097FC0" w:rsidRDefault="00C64041" w:rsidP="00C64041">
      <w:pPr>
        <w:spacing w:before="120" w:after="120"/>
        <w:jc w:val="both"/>
        <w:rPr>
          <w:bCs/>
          <w:sz w:val="20"/>
        </w:rPr>
      </w:pPr>
      <w:r w:rsidRPr="00097FC0">
        <w:rPr>
          <w:bCs/>
          <w:sz w:val="20"/>
        </w:rPr>
        <w:t xml:space="preserve">Le présent Terme de Référence </w:t>
      </w:r>
      <w:r w:rsidR="00715C3F">
        <w:rPr>
          <w:bCs/>
          <w:sz w:val="20"/>
        </w:rPr>
        <w:t>e</w:t>
      </w:r>
      <w:r w:rsidRPr="00097FC0">
        <w:rPr>
          <w:bCs/>
          <w:sz w:val="20"/>
        </w:rPr>
        <w:t xml:space="preserve">st développé selon deux aspects : l'impact </w:t>
      </w:r>
      <w:r>
        <w:rPr>
          <w:bCs/>
          <w:sz w:val="20"/>
        </w:rPr>
        <w:t xml:space="preserve">du sous Projet </w:t>
      </w:r>
      <w:r w:rsidR="00715C3F">
        <w:rPr>
          <w:bCs/>
          <w:sz w:val="20"/>
        </w:rPr>
        <w:t>s</w:t>
      </w:r>
      <w:r w:rsidRPr="00097FC0">
        <w:rPr>
          <w:bCs/>
          <w:sz w:val="20"/>
        </w:rPr>
        <w:t>ur l'environnement et l'impact de l'environnement sur l</w:t>
      </w:r>
      <w:r>
        <w:rPr>
          <w:bCs/>
          <w:sz w:val="20"/>
        </w:rPr>
        <w:t>e sous projet</w:t>
      </w:r>
      <w:r w:rsidRPr="00097FC0">
        <w:rPr>
          <w:bCs/>
          <w:sz w:val="20"/>
        </w:rPr>
        <w:t xml:space="preserve">. </w:t>
      </w:r>
    </w:p>
    <w:p w14:paraId="3ADFB4CA" w14:textId="77777777" w:rsidR="00C64041" w:rsidRPr="00097FC0" w:rsidRDefault="00C64041" w:rsidP="00C64041">
      <w:pPr>
        <w:spacing w:before="120" w:after="120"/>
        <w:jc w:val="both"/>
        <w:rPr>
          <w:bCs/>
          <w:sz w:val="20"/>
        </w:rPr>
      </w:pPr>
      <w:r w:rsidRPr="00097FC0">
        <w:rPr>
          <w:bCs/>
          <w:sz w:val="20"/>
        </w:rPr>
        <w:t xml:space="preserve">Pour le premier aspect, le consultant évaluera les </w:t>
      </w:r>
      <w:r>
        <w:rPr>
          <w:bCs/>
          <w:sz w:val="20"/>
        </w:rPr>
        <w:t xml:space="preserve">effets du sous projet </w:t>
      </w:r>
      <w:r w:rsidR="00715C3F">
        <w:rPr>
          <w:bCs/>
          <w:sz w:val="20"/>
        </w:rPr>
        <w:t xml:space="preserve">par </w:t>
      </w:r>
      <w:r w:rsidRPr="00097FC0">
        <w:rPr>
          <w:bCs/>
          <w:sz w:val="20"/>
        </w:rPr>
        <w:t>rapport au milieu récepteur en aval</w:t>
      </w:r>
      <w:r w:rsidR="00715C3F">
        <w:rPr>
          <w:bCs/>
          <w:sz w:val="20"/>
        </w:rPr>
        <w:t>.</w:t>
      </w:r>
    </w:p>
    <w:p w14:paraId="33276CD2" w14:textId="77777777" w:rsidR="00C64041" w:rsidRPr="00097FC0" w:rsidRDefault="00C64041" w:rsidP="00C64041">
      <w:pPr>
        <w:spacing w:before="120" w:after="120"/>
        <w:jc w:val="both"/>
        <w:rPr>
          <w:bCs/>
          <w:sz w:val="20"/>
        </w:rPr>
      </w:pPr>
      <w:r w:rsidRPr="00097FC0">
        <w:rPr>
          <w:bCs/>
          <w:sz w:val="20"/>
        </w:rPr>
        <w:t xml:space="preserve">Pour le deuxième aspect, le Consultant analysera les impacts positifs et négatifs </w:t>
      </w:r>
      <w:bookmarkStart w:id="1841" w:name="_Hlk71180249"/>
      <w:r w:rsidRPr="00097FC0">
        <w:rPr>
          <w:bCs/>
          <w:sz w:val="20"/>
        </w:rPr>
        <w:t xml:space="preserve">sur les différentes phases du projet </w:t>
      </w:r>
      <w:bookmarkEnd w:id="1841"/>
    </w:p>
    <w:p w14:paraId="0A867A0D" w14:textId="77777777" w:rsidR="00C64041" w:rsidRPr="00097FC0" w:rsidRDefault="00C64041" w:rsidP="00C64041">
      <w:pPr>
        <w:spacing w:before="120" w:after="120"/>
        <w:jc w:val="both"/>
        <w:rPr>
          <w:bCs/>
          <w:sz w:val="20"/>
        </w:rPr>
      </w:pPr>
      <w:r w:rsidRPr="00097FC0">
        <w:rPr>
          <w:bCs/>
          <w:sz w:val="20"/>
        </w:rPr>
        <w:t>Particulièrement ceux liés à l'action de l'eau, au manque d'entretien et aux actions des hommes quant à la déstabilisation des talus, des zones d’emprunts, au vandalisme et proposera des dispositifs environnementaux à mettre en place pour faire face à ce problème qui est d’ailleurs récurrents.</w:t>
      </w:r>
    </w:p>
    <w:p w14:paraId="6404FC51" w14:textId="77777777" w:rsidR="00C64041" w:rsidRPr="00097FC0" w:rsidRDefault="00C64041" w:rsidP="00C64041">
      <w:pPr>
        <w:spacing w:before="120" w:after="120"/>
        <w:jc w:val="both"/>
        <w:rPr>
          <w:bCs/>
          <w:sz w:val="20"/>
        </w:rPr>
      </w:pPr>
      <w:r w:rsidRPr="00097FC0">
        <w:rPr>
          <w:bCs/>
          <w:sz w:val="20"/>
        </w:rPr>
        <w:t xml:space="preserve">Le consultant déterminera le niveau des impacts générés par les travaux et proposera des mesures d’atténuation et de surveillance appropriées, ainsi que des dispositions institutionnelles à mettre en place pour la mise en œuvre desdites mesures. </w:t>
      </w:r>
    </w:p>
    <w:p w14:paraId="2E50A716" w14:textId="77777777" w:rsidR="00C64041" w:rsidRPr="00097FC0" w:rsidRDefault="00C64041" w:rsidP="0044500E">
      <w:pPr>
        <w:widowControl w:val="0"/>
        <w:numPr>
          <w:ilvl w:val="0"/>
          <w:numId w:val="207"/>
        </w:numPr>
        <w:overflowPunct w:val="0"/>
        <w:autoSpaceDE w:val="0"/>
        <w:autoSpaceDN w:val="0"/>
        <w:adjustRightInd w:val="0"/>
        <w:spacing w:after="0" w:line="240" w:lineRule="auto"/>
        <w:textAlignment w:val="baseline"/>
        <w:rPr>
          <w:b/>
          <w:sz w:val="20"/>
          <w:lang w:eastAsia="fr-FR"/>
        </w:rPr>
      </w:pPr>
      <w:r w:rsidRPr="00097FC0">
        <w:rPr>
          <w:b/>
          <w:sz w:val="20"/>
          <w:lang w:eastAsia="fr-FR"/>
        </w:rPr>
        <w:t xml:space="preserve">Impacts possibles </w:t>
      </w:r>
    </w:p>
    <w:p w14:paraId="6726D3E7" w14:textId="77777777" w:rsidR="00C64041" w:rsidRPr="00097FC0" w:rsidRDefault="00C64041" w:rsidP="00C64041">
      <w:pPr>
        <w:spacing w:before="120" w:after="120"/>
        <w:jc w:val="both"/>
        <w:rPr>
          <w:bCs/>
          <w:sz w:val="20"/>
        </w:rPr>
      </w:pPr>
      <w:r w:rsidRPr="00097FC0">
        <w:rPr>
          <w:bCs/>
          <w:sz w:val="20"/>
        </w:rPr>
        <w:t xml:space="preserve">Tous les travaux </w:t>
      </w:r>
      <w:r w:rsidR="00450399">
        <w:rPr>
          <w:bCs/>
          <w:sz w:val="20"/>
        </w:rPr>
        <w:t xml:space="preserve">d’aménagement, de génie civil </w:t>
      </w:r>
      <w:r w:rsidRPr="00097FC0">
        <w:rPr>
          <w:bCs/>
          <w:sz w:val="20"/>
        </w:rPr>
        <w:t>induisent un certain nombre d’impacts négatifs sur l’environnement physique et humain de la zone du projet</w:t>
      </w:r>
      <w:r w:rsidR="00450399">
        <w:rPr>
          <w:bCs/>
          <w:sz w:val="20"/>
        </w:rPr>
        <w:t xml:space="preserve">. </w:t>
      </w:r>
      <w:r w:rsidRPr="00097FC0">
        <w:rPr>
          <w:bCs/>
          <w:sz w:val="20"/>
        </w:rPr>
        <w:t>Parmi ces impacts, on peut citer, sans être exhaustif, la perte de la flore, perte des terrains et biens des populations, la modification du drainage naturel de site, les glissements de terrain, l’érosion, la sédimentation dans les rivières et dans des cours d’eau, les inondations, la destruction de la faune et les interférences avec la vie des animaux et des habitants, y compris la prolifération du VIH/SIDA, les IST, les maladies hydriques et pulmonaires, le COVID 19 ou l’augmentation des risques d’accident, les risques de conflits sociaux, et le risque de violence sexuelle basée sur le genre (VBG). Ces impacts peuvent subvenir non seulement sur le site des travaux, mais aussi dans les carrières, les zones d’emprunt ou les lieux de stockage des matériaux pour le projet.</w:t>
      </w:r>
    </w:p>
    <w:p w14:paraId="579C27BF" w14:textId="77777777" w:rsidR="00C64041" w:rsidRPr="00097FC0" w:rsidRDefault="00C64041" w:rsidP="00C64041">
      <w:pPr>
        <w:spacing w:before="120" w:after="120"/>
        <w:jc w:val="both"/>
        <w:rPr>
          <w:bCs/>
          <w:sz w:val="20"/>
        </w:rPr>
      </w:pPr>
      <w:r w:rsidRPr="00097FC0">
        <w:rPr>
          <w:bCs/>
          <w:sz w:val="20"/>
        </w:rPr>
        <w:t>L’objet de l’étude est de faire un diagnostic environnemental et social, avant, pendant et après les travaux, proposer des mesures d’atténuation des impacts négatifs, et proposer des mesures de bonification des impacts positifs. Les responsabilités institutionnelles pour la mise en œuvre des mesures préconisées doivent être clairement définies. Les coûts y afférent doivent être calculés avec la désignation des acteurs responsables de la mise en œuvre des mesures d’atténuation et du suivi des indicateurs.</w:t>
      </w:r>
    </w:p>
    <w:p w14:paraId="1CADBAA2" w14:textId="77777777" w:rsidR="00C64041" w:rsidRPr="000959C1" w:rsidRDefault="00C64041" w:rsidP="0044500E">
      <w:pPr>
        <w:pStyle w:val="Paragraphedeliste"/>
        <w:numPr>
          <w:ilvl w:val="2"/>
          <w:numId w:val="212"/>
        </w:numPr>
        <w:spacing w:after="0" w:line="240" w:lineRule="auto"/>
        <w:rPr>
          <w:b/>
        </w:rPr>
      </w:pPr>
      <w:bookmarkStart w:id="1842" w:name="_Toc69897480"/>
      <w:r w:rsidRPr="000959C1">
        <w:rPr>
          <w:b/>
        </w:rPr>
        <w:t>Prestations attendues du consultant</w:t>
      </w:r>
      <w:bookmarkEnd w:id="1842"/>
    </w:p>
    <w:p w14:paraId="4FDD9013" w14:textId="77777777" w:rsidR="00C64041" w:rsidRPr="00097FC0" w:rsidRDefault="00C64041" w:rsidP="00C64041">
      <w:pPr>
        <w:spacing w:before="120" w:after="120"/>
        <w:jc w:val="both"/>
        <w:rPr>
          <w:bCs/>
          <w:sz w:val="20"/>
        </w:rPr>
      </w:pPr>
      <w:r w:rsidRPr="00097FC0">
        <w:rPr>
          <w:bCs/>
          <w:sz w:val="20"/>
        </w:rPr>
        <w:t xml:space="preserve">Le consultant analysera l’état initial de l’environnement avant le projet et examinera les impacts négatifs et positifs que pourrait entrainer sa réalisation sur l’environnement des zones concernées. Il distinguera les impacts avant, pendant et après les travaux et les coûts des mesures d’atténuation devront être calculés et intégrés dans le DAO. L’étude devrait définir les zones d’influence des activités du projet. </w:t>
      </w:r>
      <w:bookmarkStart w:id="1843" w:name="_Hlk71206596"/>
      <w:r w:rsidRPr="00097FC0">
        <w:rPr>
          <w:bCs/>
          <w:sz w:val="20"/>
        </w:rPr>
        <w:t xml:space="preserve">Les précisions sur le contenu de l’EIES sont apportées en annexe </w:t>
      </w:r>
      <w:r w:rsidR="00450399">
        <w:rPr>
          <w:bCs/>
          <w:sz w:val="20"/>
        </w:rPr>
        <w:t>XX</w:t>
      </w:r>
      <w:r w:rsidRPr="00097FC0">
        <w:rPr>
          <w:bCs/>
          <w:sz w:val="20"/>
        </w:rPr>
        <w:t>.</w:t>
      </w:r>
    </w:p>
    <w:bookmarkEnd w:id="1843"/>
    <w:p w14:paraId="01ECFDBA" w14:textId="77777777" w:rsidR="00C64041" w:rsidRPr="00097FC0" w:rsidRDefault="00C64041" w:rsidP="00C64041">
      <w:pPr>
        <w:spacing w:before="120" w:after="120"/>
        <w:jc w:val="both"/>
        <w:rPr>
          <w:bCs/>
          <w:sz w:val="20"/>
        </w:rPr>
      </w:pPr>
      <w:r w:rsidRPr="00097FC0">
        <w:rPr>
          <w:bCs/>
          <w:sz w:val="20"/>
        </w:rPr>
        <w:t xml:space="preserve">Concernant les impacts négatifs possibles, des recommandations devront être faites pour les éviter ou les minimiser à un niveau acceptable. A cet effet, les éléments principaux ci-après seront pris en compte dans cette analyse : </w:t>
      </w:r>
    </w:p>
    <w:p w14:paraId="7BCE6D5B" w14:textId="77777777" w:rsidR="00C64041" w:rsidRPr="00097FC0" w:rsidRDefault="00450399" w:rsidP="0044500E">
      <w:pPr>
        <w:widowControl w:val="0"/>
        <w:numPr>
          <w:ilvl w:val="0"/>
          <w:numId w:val="208"/>
        </w:numPr>
        <w:overflowPunct w:val="0"/>
        <w:autoSpaceDE w:val="0"/>
        <w:autoSpaceDN w:val="0"/>
        <w:adjustRightInd w:val="0"/>
        <w:spacing w:after="0" w:line="240" w:lineRule="auto"/>
        <w:jc w:val="both"/>
        <w:textAlignment w:val="baseline"/>
        <w:rPr>
          <w:sz w:val="20"/>
          <w:lang w:eastAsia="fr-FR"/>
        </w:rPr>
      </w:pPr>
      <w:r>
        <w:rPr>
          <w:sz w:val="20"/>
          <w:lang w:eastAsia="fr-FR"/>
        </w:rPr>
        <w:t>L</w:t>
      </w:r>
      <w:r w:rsidR="00C64041" w:rsidRPr="00097FC0">
        <w:rPr>
          <w:sz w:val="20"/>
          <w:lang w:eastAsia="fr-FR"/>
        </w:rPr>
        <w:t>a protection et la bonne gestion des écosystèmes forestiers (faune et flore) ;</w:t>
      </w:r>
    </w:p>
    <w:p w14:paraId="39464362" w14:textId="77777777" w:rsidR="00C64041" w:rsidRPr="00097FC0" w:rsidRDefault="00450399" w:rsidP="0044500E">
      <w:pPr>
        <w:widowControl w:val="0"/>
        <w:numPr>
          <w:ilvl w:val="0"/>
          <w:numId w:val="208"/>
        </w:numPr>
        <w:overflowPunct w:val="0"/>
        <w:autoSpaceDE w:val="0"/>
        <w:autoSpaceDN w:val="0"/>
        <w:adjustRightInd w:val="0"/>
        <w:spacing w:after="0" w:line="240" w:lineRule="auto"/>
        <w:jc w:val="both"/>
        <w:textAlignment w:val="baseline"/>
        <w:rPr>
          <w:sz w:val="20"/>
          <w:lang w:eastAsia="fr-FR"/>
        </w:rPr>
      </w:pPr>
      <w:r>
        <w:rPr>
          <w:sz w:val="20"/>
          <w:lang w:eastAsia="fr-FR"/>
        </w:rPr>
        <w:t>L</w:t>
      </w:r>
      <w:r w:rsidR="00C64041" w:rsidRPr="00097FC0">
        <w:rPr>
          <w:sz w:val="20"/>
          <w:lang w:eastAsia="fr-FR"/>
        </w:rPr>
        <w:t>a protection des espaces agricoles, des sites touristiques et historiques ;</w:t>
      </w:r>
    </w:p>
    <w:p w14:paraId="5793D2CD" w14:textId="77777777" w:rsidR="00C64041" w:rsidRPr="00097FC0" w:rsidRDefault="00450399" w:rsidP="0044500E">
      <w:pPr>
        <w:widowControl w:val="0"/>
        <w:numPr>
          <w:ilvl w:val="0"/>
          <w:numId w:val="208"/>
        </w:numPr>
        <w:overflowPunct w:val="0"/>
        <w:autoSpaceDE w:val="0"/>
        <w:autoSpaceDN w:val="0"/>
        <w:adjustRightInd w:val="0"/>
        <w:spacing w:after="0" w:line="240" w:lineRule="auto"/>
        <w:jc w:val="both"/>
        <w:textAlignment w:val="baseline"/>
        <w:rPr>
          <w:sz w:val="20"/>
          <w:lang w:eastAsia="fr-FR"/>
        </w:rPr>
      </w:pPr>
      <w:r>
        <w:rPr>
          <w:sz w:val="20"/>
          <w:lang w:eastAsia="fr-FR"/>
        </w:rPr>
        <w:t>L</w:t>
      </w:r>
      <w:r w:rsidR="00C64041" w:rsidRPr="00097FC0">
        <w:rPr>
          <w:sz w:val="20"/>
          <w:lang w:eastAsia="fr-FR"/>
        </w:rPr>
        <w:t>e risque de déforestation, de morcèlement ou de pertes des terres agricoles, les expropriations des habitations et les coûts de ces pertes en vue d’indemnisations éventuelles ;</w:t>
      </w:r>
    </w:p>
    <w:p w14:paraId="5D0AF842" w14:textId="77777777" w:rsidR="00C64041" w:rsidRPr="00097FC0" w:rsidRDefault="00450399" w:rsidP="0044500E">
      <w:pPr>
        <w:widowControl w:val="0"/>
        <w:numPr>
          <w:ilvl w:val="0"/>
          <w:numId w:val="208"/>
        </w:numPr>
        <w:overflowPunct w:val="0"/>
        <w:autoSpaceDE w:val="0"/>
        <w:autoSpaceDN w:val="0"/>
        <w:adjustRightInd w:val="0"/>
        <w:spacing w:after="0" w:line="240" w:lineRule="auto"/>
        <w:jc w:val="both"/>
        <w:textAlignment w:val="baseline"/>
        <w:rPr>
          <w:sz w:val="20"/>
          <w:lang w:eastAsia="fr-FR"/>
        </w:rPr>
      </w:pPr>
      <w:r>
        <w:rPr>
          <w:sz w:val="20"/>
          <w:lang w:eastAsia="fr-FR"/>
        </w:rPr>
        <w:t>L</w:t>
      </w:r>
      <w:r w:rsidR="00C64041" w:rsidRPr="00097FC0">
        <w:rPr>
          <w:sz w:val="20"/>
          <w:lang w:eastAsia="fr-FR"/>
        </w:rPr>
        <w:t>es risques d’érosion du sol et de la perte du couvert végétal pouvant entrainer des glissements de terrain, de modification des écoulements des eaux avec le risque de pollution des milieux aquatiques ;</w:t>
      </w:r>
    </w:p>
    <w:p w14:paraId="08E2EA80" w14:textId="77777777" w:rsidR="00C64041" w:rsidRPr="00097FC0" w:rsidRDefault="00450399" w:rsidP="0044500E">
      <w:pPr>
        <w:widowControl w:val="0"/>
        <w:numPr>
          <w:ilvl w:val="0"/>
          <w:numId w:val="208"/>
        </w:numPr>
        <w:overflowPunct w:val="0"/>
        <w:autoSpaceDE w:val="0"/>
        <w:autoSpaceDN w:val="0"/>
        <w:adjustRightInd w:val="0"/>
        <w:spacing w:after="0" w:line="240" w:lineRule="auto"/>
        <w:jc w:val="both"/>
        <w:textAlignment w:val="baseline"/>
        <w:rPr>
          <w:sz w:val="20"/>
          <w:lang w:eastAsia="fr-FR"/>
        </w:rPr>
      </w:pPr>
      <w:r>
        <w:rPr>
          <w:sz w:val="20"/>
          <w:lang w:eastAsia="fr-FR"/>
        </w:rPr>
        <w:t>L</w:t>
      </w:r>
      <w:r w:rsidR="00C64041" w:rsidRPr="00097FC0">
        <w:rPr>
          <w:sz w:val="20"/>
          <w:lang w:eastAsia="fr-FR"/>
        </w:rPr>
        <w:t>a pollution atmosphérique et du sol provenant des activités de construction;</w:t>
      </w:r>
    </w:p>
    <w:p w14:paraId="044AE0E8" w14:textId="77777777" w:rsidR="00C64041" w:rsidRPr="00097FC0" w:rsidRDefault="00450399" w:rsidP="0044500E">
      <w:pPr>
        <w:widowControl w:val="0"/>
        <w:numPr>
          <w:ilvl w:val="0"/>
          <w:numId w:val="208"/>
        </w:numPr>
        <w:overflowPunct w:val="0"/>
        <w:autoSpaceDE w:val="0"/>
        <w:autoSpaceDN w:val="0"/>
        <w:adjustRightInd w:val="0"/>
        <w:spacing w:after="0" w:line="240" w:lineRule="auto"/>
        <w:jc w:val="both"/>
        <w:textAlignment w:val="baseline"/>
        <w:rPr>
          <w:sz w:val="20"/>
          <w:lang w:eastAsia="fr-FR"/>
        </w:rPr>
      </w:pPr>
      <w:r>
        <w:rPr>
          <w:sz w:val="20"/>
          <w:lang w:eastAsia="fr-FR"/>
        </w:rPr>
        <w:t>L</w:t>
      </w:r>
      <w:r w:rsidR="00C64041" w:rsidRPr="00097FC0">
        <w:rPr>
          <w:sz w:val="20"/>
          <w:lang w:eastAsia="fr-FR"/>
        </w:rPr>
        <w:t>es mesures de remise en état des zones d’emprunts de matériaux de construction ;</w:t>
      </w:r>
    </w:p>
    <w:p w14:paraId="47A2E4CB" w14:textId="77777777" w:rsidR="00C64041" w:rsidRPr="00097FC0" w:rsidRDefault="00450399" w:rsidP="0044500E">
      <w:pPr>
        <w:widowControl w:val="0"/>
        <w:numPr>
          <w:ilvl w:val="0"/>
          <w:numId w:val="208"/>
        </w:numPr>
        <w:overflowPunct w:val="0"/>
        <w:autoSpaceDE w:val="0"/>
        <w:autoSpaceDN w:val="0"/>
        <w:adjustRightInd w:val="0"/>
        <w:spacing w:after="0" w:line="240" w:lineRule="auto"/>
        <w:jc w:val="both"/>
        <w:textAlignment w:val="baseline"/>
        <w:rPr>
          <w:sz w:val="20"/>
          <w:lang w:eastAsia="fr-FR"/>
        </w:rPr>
      </w:pPr>
      <w:r>
        <w:rPr>
          <w:sz w:val="20"/>
          <w:lang w:eastAsia="fr-FR"/>
        </w:rPr>
        <w:t>L</w:t>
      </w:r>
      <w:r w:rsidR="00C64041" w:rsidRPr="00097FC0">
        <w:rPr>
          <w:sz w:val="20"/>
          <w:lang w:eastAsia="fr-FR"/>
        </w:rPr>
        <w:t xml:space="preserve">es risques de maladies professionnelles pour les travailleurs pendant la période de construction, les risques liés à la transmission des maladies (SIDA et autres maladies sexuellement transmissibles) dès la phase d’installation de chantier, pendant et après la phase des travaux, les risques de contamination au  COVID 19,  les mesures de sécurité et de sureté nécessaires pour le projet dont notamment la protection des ouvriers pendant les travaux en portant les casques, les gilets, les caches bouche, les chaussures de sécurité, et autres mesures de protection spécifiques, les conditions de sécurité des zones d’implantation de chaque sous- projet, etc. </w:t>
      </w:r>
    </w:p>
    <w:p w14:paraId="4F3028A5" w14:textId="77777777" w:rsidR="00C64041" w:rsidRPr="00097FC0" w:rsidRDefault="00450399" w:rsidP="0044500E">
      <w:pPr>
        <w:widowControl w:val="0"/>
        <w:numPr>
          <w:ilvl w:val="0"/>
          <w:numId w:val="208"/>
        </w:numPr>
        <w:overflowPunct w:val="0"/>
        <w:autoSpaceDE w:val="0"/>
        <w:autoSpaceDN w:val="0"/>
        <w:adjustRightInd w:val="0"/>
        <w:spacing w:after="0" w:line="240" w:lineRule="auto"/>
        <w:jc w:val="both"/>
        <w:textAlignment w:val="baseline"/>
        <w:rPr>
          <w:sz w:val="20"/>
          <w:lang w:eastAsia="fr-FR"/>
        </w:rPr>
      </w:pPr>
      <w:r>
        <w:rPr>
          <w:sz w:val="20"/>
          <w:lang w:eastAsia="fr-FR"/>
        </w:rPr>
        <w:t>L</w:t>
      </w:r>
      <w:r w:rsidR="00C64041" w:rsidRPr="00097FC0">
        <w:rPr>
          <w:sz w:val="20"/>
          <w:lang w:eastAsia="fr-FR"/>
        </w:rPr>
        <w:t>’analyse des risques de conflit</w:t>
      </w:r>
      <w:r>
        <w:rPr>
          <w:sz w:val="20"/>
          <w:lang w:eastAsia="fr-FR"/>
        </w:rPr>
        <w:t>s</w:t>
      </w:r>
      <w:r w:rsidR="00C64041" w:rsidRPr="00097FC0">
        <w:rPr>
          <w:sz w:val="20"/>
          <w:lang w:eastAsia="fr-FR"/>
        </w:rPr>
        <w:t xml:space="preserve"> sociaux et l’analyse de profil en matière de comportement sexuel au niveau de la zone d’implication du projet, et violence sexuelle basée sur le genre/Abus et Exploitation sexuelle/Harcèlement sexuel (VBG/AES/HS) ainsi que les impacts sociaux potentiels dès la phase d’installation de chantier, pendant la phase de construction, d’exploitation et de démantèlement ;</w:t>
      </w:r>
    </w:p>
    <w:p w14:paraId="0594272C" w14:textId="77777777" w:rsidR="00C64041" w:rsidRPr="00097FC0" w:rsidRDefault="00450399" w:rsidP="0044500E">
      <w:pPr>
        <w:widowControl w:val="0"/>
        <w:numPr>
          <w:ilvl w:val="0"/>
          <w:numId w:val="208"/>
        </w:numPr>
        <w:overflowPunct w:val="0"/>
        <w:autoSpaceDE w:val="0"/>
        <w:autoSpaceDN w:val="0"/>
        <w:adjustRightInd w:val="0"/>
        <w:spacing w:after="0" w:line="240" w:lineRule="auto"/>
        <w:jc w:val="both"/>
        <w:textAlignment w:val="baseline"/>
        <w:rPr>
          <w:sz w:val="20"/>
          <w:lang w:eastAsia="fr-FR"/>
        </w:rPr>
      </w:pPr>
      <w:r>
        <w:rPr>
          <w:sz w:val="20"/>
          <w:lang w:eastAsia="fr-FR"/>
        </w:rPr>
        <w:t>L</w:t>
      </w:r>
      <w:r w:rsidR="00C64041" w:rsidRPr="00097FC0">
        <w:rPr>
          <w:sz w:val="20"/>
          <w:lang w:eastAsia="fr-FR"/>
        </w:rPr>
        <w:t>es risques de violence contre les femmes et les enfants ;</w:t>
      </w:r>
    </w:p>
    <w:p w14:paraId="1FAF85AC" w14:textId="77777777" w:rsidR="00C64041" w:rsidRPr="00097FC0" w:rsidRDefault="00450399" w:rsidP="0044500E">
      <w:pPr>
        <w:widowControl w:val="0"/>
        <w:numPr>
          <w:ilvl w:val="0"/>
          <w:numId w:val="208"/>
        </w:numPr>
        <w:overflowPunct w:val="0"/>
        <w:autoSpaceDE w:val="0"/>
        <w:autoSpaceDN w:val="0"/>
        <w:adjustRightInd w:val="0"/>
        <w:spacing w:after="0" w:line="240" w:lineRule="auto"/>
        <w:jc w:val="both"/>
        <w:textAlignment w:val="baseline"/>
        <w:rPr>
          <w:sz w:val="20"/>
          <w:lang w:eastAsia="fr-FR"/>
        </w:rPr>
      </w:pPr>
      <w:r>
        <w:rPr>
          <w:sz w:val="20"/>
          <w:lang w:eastAsia="fr-FR"/>
        </w:rPr>
        <w:t>L</w:t>
      </w:r>
      <w:r w:rsidR="00C64041" w:rsidRPr="00097FC0">
        <w:rPr>
          <w:sz w:val="20"/>
          <w:lang w:eastAsia="fr-FR"/>
        </w:rPr>
        <w:t>es impacts liés à l’acquisition de terre et la réinstallation involontaire ;</w:t>
      </w:r>
    </w:p>
    <w:p w14:paraId="2BA7E44A" w14:textId="77777777" w:rsidR="00C64041" w:rsidRPr="00097FC0" w:rsidRDefault="00450399" w:rsidP="0044500E">
      <w:pPr>
        <w:widowControl w:val="0"/>
        <w:numPr>
          <w:ilvl w:val="0"/>
          <w:numId w:val="208"/>
        </w:numPr>
        <w:overflowPunct w:val="0"/>
        <w:autoSpaceDE w:val="0"/>
        <w:autoSpaceDN w:val="0"/>
        <w:adjustRightInd w:val="0"/>
        <w:spacing w:after="0" w:line="240" w:lineRule="auto"/>
        <w:jc w:val="both"/>
        <w:textAlignment w:val="baseline"/>
        <w:rPr>
          <w:sz w:val="20"/>
          <w:lang w:eastAsia="fr-FR"/>
        </w:rPr>
      </w:pPr>
      <w:r>
        <w:rPr>
          <w:sz w:val="20"/>
          <w:lang w:eastAsia="fr-FR"/>
        </w:rPr>
        <w:t>L</w:t>
      </w:r>
      <w:r w:rsidR="00C64041" w:rsidRPr="00097FC0">
        <w:rPr>
          <w:sz w:val="20"/>
          <w:lang w:eastAsia="fr-FR"/>
        </w:rPr>
        <w:t xml:space="preserve">es risques liés à l’afflux potentiel de la main d’œuvre. </w:t>
      </w:r>
    </w:p>
    <w:p w14:paraId="62EDA553" w14:textId="77777777" w:rsidR="00C64041" w:rsidRPr="00097FC0" w:rsidRDefault="00C64041" w:rsidP="00C64041">
      <w:pPr>
        <w:widowControl w:val="0"/>
        <w:overflowPunct w:val="0"/>
        <w:autoSpaceDE w:val="0"/>
        <w:autoSpaceDN w:val="0"/>
        <w:adjustRightInd w:val="0"/>
        <w:jc w:val="both"/>
        <w:textAlignment w:val="baseline"/>
        <w:rPr>
          <w:sz w:val="20"/>
          <w:lang w:eastAsia="fr-FR"/>
        </w:rPr>
      </w:pPr>
    </w:p>
    <w:p w14:paraId="51EC5511" w14:textId="77777777" w:rsidR="00C64041" w:rsidRPr="00097FC0" w:rsidRDefault="00C64041" w:rsidP="00C64041">
      <w:pPr>
        <w:widowControl w:val="0"/>
        <w:overflowPunct w:val="0"/>
        <w:autoSpaceDE w:val="0"/>
        <w:autoSpaceDN w:val="0"/>
        <w:adjustRightInd w:val="0"/>
        <w:jc w:val="both"/>
        <w:textAlignment w:val="baseline"/>
        <w:rPr>
          <w:sz w:val="20"/>
          <w:lang w:eastAsia="fr-FR"/>
        </w:rPr>
      </w:pPr>
      <w:r w:rsidRPr="00097FC0">
        <w:rPr>
          <w:sz w:val="20"/>
          <w:lang w:eastAsia="fr-FR"/>
        </w:rPr>
        <w:t xml:space="preserve">Par ailleurs, il y a lieu également de mettre en évidence les impacts positifs tel que : </w:t>
      </w:r>
    </w:p>
    <w:p w14:paraId="728846F0" w14:textId="77777777" w:rsidR="00C64041" w:rsidRPr="00097FC0" w:rsidRDefault="00450399" w:rsidP="0044500E">
      <w:pPr>
        <w:widowControl w:val="0"/>
        <w:numPr>
          <w:ilvl w:val="0"/>
          <w:numId w:val="208"/>
        </w:numPr>
        <w:overflowPunct w:val="0"/>
        <w:autoSpaceDE w:val="0"/>
        <w:autoSpaceDN w:val="0"/>
        <w:adjustRightInd w:val="0"/>
        <w:spacing w:after="0" w:line="240" w:lineRule="auto"/>
        <w:textAlignment w:val="baseline"/>
        <w:rPr>
          <w:sz w:val="20"/>
          <w:lang w:eastAsia="fr-FR"/>
        </w:rPr>
      </w:pPr>
      <w:r>
        <w:rPr>
          <w:sz w:val="20"/>
          <w:lang w:eastAsia="fr-FR"/>
        </w:rPr>
        <w:t>L</w:t>
      </w:r>
      <w:r w:rsidR="00C64041" w:rsidRPr="00097FC0">
        <w:rPr>
          <w:sz w:val="20"/>
          <w:lang w:eastAsia="fr-FR"/>
        </w:rPr>
        <w:t>e recrutement de la main d'œuvre dans la zone du projet durant la période des travaux ;</w:t>
      </w:r>
    </w:p>
    <w:p w14:paraId="71165640" w14:textId="77777777" w:rsidR="00C64041" w:rsidRPr="00097FC0" w:rsidRDefault="00450399" w:rsidP="0044500E">
      <w:pPr>
        <w:widowControl w:val="0"/>
        <w:numPr>
          <w:ilvl w:val="0"/>
          <w:numId w:val="208"/>
        </w:numPr>
        <w:overflowPunct w:val="0"/>
        <w:autoSpaceDE w:val="0"/>
        <w:autoSpaceDN w:val="0"/>
        <w:adjustRightInd w:val="0"/>
        <w:spacing w:after="0" w:line="240" w:lineRule="auto"/>
        <w:textAlignment w:val="baseline"/>
        <w:rPr>
          <w:sz w:val="20"/>
          <w:lang w:eastAsia="fr-FR"/>
        </w:rPr>
      </w:pPr>
      <w:r>
        <w:rPr>
          <w:sz w:val="20"/>
          <w:lang w:eastAsia="fr-FR"/>
        </w:rPr>
        <w:t>L</w:t>
      </w:r>
      <w:r w:rsidR="00C64041" w:rsidRPr="00097FC0">
        <w:rPr>
          <w:sz w:val="20"/>
          <w:lang w:eastAsia="fr-FR"/>
        </w:rPr>
        <w:t>e développement économique dans la zone du projet ;</w:t>
      </w:r>
    </w:p>
    <w:p w14:paraId="00F7D934" w14:textId="77777777" w:rsidR="00C64041" w:rsidRPr="00097FC0" w:rsidRDefault="00450399" w:rsidP="0044500E">
      <w:pPr>
        <w:widowControl w:val="0"/>
        <w:numPr>
          <w:ilvl w:val="0"/>
          <w:numId w:val="208"/>
        </w:numPr>
        <w:overflowPunct w:val="0"/>
        <w:autoSpaceDE w:val="0"/>
        <w:autoSpaceDN w:val="0"/>
        <w:adjustRightInd w:val="0"/>
        <w:spacing w:after="0" w:line="240" w:lineRule="auto"/>
        <w:textAlignment w:val="baseline"/>
        <w:rPr>
          <w:sz w:val="20"/>
          <w:lang w:eastAsia="fr-FR"/>
        </w:rPr>
      </w:pPr>
      <w:r>
        <w:rPr>
          <w:sz w:val="20"/>
          <w:lang w:eastAsia="fr-FR"/>
        </w:rPr>
        <w:t>l</w:t>
      </w:r>
      <w:r w:rsidR="00C64041" w:rsidRPr="00097FC0">
        <w:rPr>
          <w:sz w:val="20"/>
          <w:lang w:eastAsia="fr-FR"/>
        </w:rPr>
        <w:t>a redynamisation de l’économie ;</w:t>
      </w:r>
    </w:p>
    <w:p w14:paraId="3F544E6C" w14:textId="77777777" w:rsidR="00C64041" w:rsidRPr="00097FC0" w:rsidRDefault="00450399" w:rsidP="0044500E">
      <w:pPr>
        <w:widowControl w:val="0"/>
        <w:numPr>
          <w:ilvl w:val="0"/>
          <w:numId w:val="208"/>
        </w:numPr>
        <w:overflowPunct w:val="0"/>
        <w:autoSpaceDE w:val="0"/>
        <w:autoSpaceDN w:val="0"/>
        <w:adjustRightInd w:val="0"/>
        <w:spacing w:after="0" w:line="240" w:lineRule="auto"/>
        <w:textAlignment w:val="baseline"/>
        <w:rPr>
          <w:sz w:val="20"/>
          <w:lang w:eastAsia="fr-FR"/>
        </w:rPr>
      </w:pPr>
      <w:r>
        <w:rPr>
          <w:sz w:val="20"/>
          <w:lang w:eastAsia="fr-FR"/>
        </w:rPr>
        <w:t>L</w:t>
      </w:r>
      <w:r w:rsidR="00C64041" w:rsidRPr="00097FC0">
        <w:rPr>
          <w:sz w:val="20"/>
          <w:lang w:eastAsia="fr-FR"/>
        </w:rPr>
        <w:t>’amélioration du couvert végétal ;</w:t>
      </w:r>
    </w:p>
    <w:p w14:paraId="2051575C" w14:textId="77777777" w:rsidR="00C64041" w:rsidRPr="00097FC0" w:rsidRDefault="00450399" w:rsidP="0044500E">
      <w:pPr>
        <w:widowControl w:val="0"/>
        <w:numPr>
          <w:ilvl w:val="0"/>
          <w:numId w:val="208"/>
        </w:numPr>
        <w:overflowPunct w:val="0"/>
        <w:autoSpaceDE w:val="0"/>
        <w:autoSpaceDN w:val="0"/>
        <w:adjustRightInd w:val="0"/>
        <w:spacing w:after="0" w:line="240" w:lineRule="auto"/>
        <w:textAlignment w:val="baseline"/>
        <w:rPr>
          <w:sz w:val="20"/>
          <w:lang w:eastAsia="fr-FR"/>
        </w:rPr>
      </w:pPr>
      <w:r>
        <w:rPr>
          <w:sz w:val="20"/>
          <w:lang w:eastAsia="fr-FR"/>
        </w:rPr>
        <w:t>L</w:t>
      </w:r>
      <w:r w:rsidR="00C64041" w:rsidRPr="00097FC0">
        <w:rPr>
          <w:sz w:val="20"/>
          <w:lang w:eastAsia="fr-FR"/>
        </w:rPr>
        <w:t>’amélioration de l’esthétique des milieux traversés ;</w:t>
      </w:r>
    </w:p>
    <w:p w14:paraId="6B91265B" w14:textId="77777777" w:rsidR="00C64041" w:rsidRPr="00097FC0" w:rsidRDefault="00C64041" w:rsidP="00C64041">
      <w:pPr>
        <w:spacing w:before="120" w:after="120"/>
        <w:jc w:val="both"/>
        <w:rPr>
          <w:bCs/>
          <w:sz w:val="20"/>
        </w:rPr>
      </w:pPr>
      <w:r w:rsidRPr="00097FC0">
        <w:rPr>
          <w:bCs/>
          <w:sz w:val="20"/>
        </w:rPr>
        <w:t>L'attention du Consultant doit se focaliser également sur les traversées des agglomérations et des marchés. En effet, ces zones sont sensibles et souvent sujettes à des dégradations ou à des accidents. Aussi y a-t-il lieu également d'aménager des accès aux concessions riveraines.</w:t>
      </w:r>
    </w:p>
    <w:p w14:paraId="3A796B44" w14:textId="77777777" w:rsidR="00C64041" w:rsidRPr="00097FC0" w:rsidRDefault="00C64041" w:rsidP="00C64041">
      <w:pPr>
        <w:spacing w:before="120" w:after="120"/>
        <w:jc w:val="both"/>
        <w:rPr>
          <w:bCs/>
          <w:sz w:val="20"/>
        </w:rPr>
      </w:pPr>
      <w:r w:rsidRPr="00097FC0">
        <w:rPr>
          <w:bCs/>
          <w:sz w:val="20"/>
        </w:rPr>
        <w:t xml:space="preserve">Plus spécifiquement, l’étude devra permettre de : </w:t>
      </w:r>
    </w:p>
    <w:p w14:paraId="5F14F36E" w14:textId="77777777" w:rsidR="00C64041" w:rsidRPr="00097FC0" w:rsidRDefault="00450399" w:rsidP="0044500E">
      <w:pPr>
        <w:widowControl w:val="0"/>
        <w:numPr>
          <w:ilvl w:val="0"/>
          <w:numId w:val="208"/>
        </w:numPr>
        <w:overflowPunct w:val="0"/>
        <w:autoSpaceDE w:val="0"/>
        <w:autoSpaceDN w:val="0"/>
        <w:adjustRightInd w:val="0"/>
        <w:spacing w:after="0" w:line="240" w:lineRule="auto"/>
        <w:jc w:val="both"/>
        <w:textAlignment w:val="baseline"/>
        <w:rPr>
          <w:sz w:val="20"/>
          <w:lang w:eastAsia="fr-FR"/>
        </w:rPr>
      </w:pPr>
      <w:r>
        <w:rPr>
          <w:sz w:val="20"/>
          <w:lang w:eastAsia="fr-FR"/>
        </w:rPr>
        <w:t>A</w:t>
      </w:r>
      <w:r w:rsidR="00C64041" w:rsidRPr="00097FC0">
        <w:rPr>
          <w:sz w:val="20"/>
          <w:lang w:eastAsia="fr-FR"/>
        </w:rPr>
        <w:t xml:space="preserve">nalyser l’état actuel de la zone du projet et de sa zone d’influence (étude de caractérisation environnementale et sociale de base) et son évolution en l’absence du projet (variante « sans projet »); </w:t>
      </w:r>
    </w:p>
    <w:p w14:paraId="41CBBA19" w14:textId="77777777" w:rsidR="00C64041" w:rsidRPr="00097FC0" w:rsidRDefault="00450399" w:rsidP="0044500E">
      <w:pPr>
        <w:widowControl w:val="0"/>
        <w:numPr>
          <w:ilvl w:val="0"/>
          <w:numId w:val="208"/>
        </w:numPr>
        <w:overflowPunct w:val="0"/>
        <w:autoSpaceDE w:val="0"/>
        <w:autoSpaceDN w:val="0"/>
        <w:adjustRightInd w:val="0"/>
        <w:spacing w:after="0" w:line="240" w:lineRule="auto"/>
        <w:jc w:val="both"/>
        <w:textAlignment w:val="baseline"/>
        <w:rPr>
          <w:sz w:val="20"/>
          <w:lang w:eastAsia="fr-FR"/>
        </w:rPr>
      </w:pPr>
      <w:r>
        <w:rPr>
          <w:sz w:val="20"/>
          <w:lang w:eastAsia="fr-FR"/>
        </w:rPr>
        <w:t>C</w:t>
      </w:r>
      <w:r w:rsidR="00C64041" w:rsidRPr="00097FC0">
        <w:rPr>
          <w:sz w:val="20"/>
          <w:lang w:eastAsia="fr-FR"/>
        </w:rPr>
        <w:t xml:space="preserve">aractériser et évaluer les impacts environnementaux et sociaux susceptibles d'être générés ou induits par les activités découlant de la </w:t>
      </w:r>
      <w:r w:rsidR="00C64041">
        <w:rPr>
          <w:sz w:val="20"/>
          <w:lang w:eastAsia="fr-FR"/>
        </w:rPr>
        <w:t>réalisation du sous projet</w:t>
      </w:r>
      <w:r w:rsidR="00C64041" w:rsidRPr="00097FC0">
        <w:rPr>
          <w:sz w:val="20"/>
          <w:lang w:eastAsia="fr-FR"/>
        </w:rPr>
        <w:t xml:space="preserve"> par comparaison avec la variante « avec projet » ; </w:t>
      </w:r>
    </w:p>
    <w:p w14:paraId="3FAF2394" w14:textId="77777777" w:rsidR="00C64041" w:rsidRPr="00097FC0" w:rsidRDefault="00450399" w:rsidP="0044500E">
      <w:pPr>
        <w:widowControl w:val="0"/>
        <w:numPr>
          <w:ilvl w:val="0"/>
          <w:numId w:val="208"/>
        </w:numPr>
        <w:overflowPunct w:val="0"/>
        <w:autoSpaceDE w:val="0"/>
        <w:autoSpaceDN w:val="0"/>
        <w:adjustRightInd w:val="0"/>
        <w:spacing w:after="0" w:line="240" w:lineRule="auto"/>
        <w:jc w:val="both"/>
        <w:textAlignment w:val="baseline"/>
        <w:rPr>
          <w:sz w:val="20"/>
          <w:lang w:eastAsia="fr-FR"/>
        </w:rPr>
      </w:pPr>
      <w:r>
        <w:rPr>
          <w:sz w:val="20"/>
          <w:lang w:eastAsia="fr-FR"/>
        </w:rPr>
        <w:t>P</w:t>
      </w:r>
      <w:r w:rsidR="00C64041" w:rsidRPr="00097FC0">
        <w:rPr>
          <w:sz w:val="20"/>
          <w:lang w:eastAsia="fr-FR"/>
        </w:rPr>
        <w:t xml:space="preserve">roposer des mesures réalistes, ciblant clairement les responsabilités institutionnelles de mise en œuvre, afin d’éviter et/ou d’atténuer et/ou de bonifier ces impacts potentiels ; </w:t>
      </w:r>
    </w:p>
    <w:p w14:paraId="3CF4BE15" w14:textId="77777777" w:rsidR="00C64041" w:rsidRPr="00097FC0" w:rsidRDefault="00450399" w:rsidP="0044500E">
      <w:pPr>
        <w:widowControl w:val="0"/>
        <w:numPr>
          <w:ilvl w:val="0"/>
          <w:numId w:val="208"/>
        </w:numPr>
        <w:overflowPunct w:val="0"/>
        <w:autoSpaceDE w:val="0"/>
        <w:autoSpaceDN w:val="0"/>
        <w:adjustRightInd w:val="0"/>
        <w:spacing w:after="0" w:line="240" w:lineRule="auto"/>
        <w:jc w:val="both"/>
        <w:textAlignment w:val="baseline"/>
        <w:rPr>
          <w:sz w:val="20"/>
          <w:lang w:eastAsia="fr-FR"/>
        </w:rPr>
      </w:pPr>
      <w:r>
        <w:rPr>
          <w:sz w:val="20"/>
          <w:lang w:eastAsia="fr-FR"/>
        </w:rPr>
        <w:t>P</w:t>
      </w:r>
      <w:r w:rsidR="00C64041" w:rsidRPr="00097FC0">
        <w:rPr>
          <w:sz w:val="20"/>
          <w:lang w:eastAsia="fr-FR"/>
        </w:rPr>
        <w:t xml:space="preserve">roposer des mesures de prévention contre les maladies, les risques de conflits sociaux, les risques professionnels, les pollutions et les émissions liés à ces travaux dans les sites et zones concernées ; </w:t>
      </w:r>
    </w:p>
    <w:p w14:paraId="142CF2E4" w14:textId="77777777" w:rsidR="00C64041" w:rsidRPr="00097FC0" w:rsidRDefault="00450399" w:rsidP="0044500E">
      <w:pPr>
        <w:widowControl w:val="0"/>
        <w:numPr>
          <w:ilvl w:val="0"/>
          <w:numId w:val="208"/>
        </w:numPr>
        <w:overflowPunct w:val="0"/>
        <w:autoSpaceDE w:val="0"/>
        <w:autoSpaceDN w:val="0"/>
        <w:adjustRightInd w:val="0"/>
        <w:spacing w:after="0" w:line="240" w:lineRule="auto"/>
        <w:jc w:val="both"/>
        <w:textAlignment w:val="baseline"/>
        <w:rPr>
          <w:sz w:val="20"/>
          <w:lang w:eastAsia="fr-FR"/>
        </w:rPr>
      </w:pPr>
      <w:r>
        <w:rPr>
          <w:sz w:val="20"/>
          <w:lang w:eastAsia="fr-FR"/>
        </w:rPr>
        <w:t>E</w:t>
      </w:r>
      <w:r w:rsidR="00C64041" w:rsidRPr="00097FC0">
        <w:rPr>
          <w:sz w:val="20"/>
          <w:lang w:eastAsia="fr-FR"/>
        </w:rPr>
        <w:t xml:space="preserve">laborer des mesures d’atténuation des impacts liés aux travaux de construction et d'amélioration des infrastructures et installations sur les sites du projet ; </w:t>
      </w:r>
    </w:p>
    <w:p w14:paraId="1B6EBE57" w14:textId="77777777" w:rsidR="00C64041" w:rsidRPr="00097FC0" w:rsidRDefault="00C64041" w:rsidP="0044500E">
      <w:pPr>
        <w:widowControl w:val="0"/>
        <w:numPr>
          <w:ilvl w:val="1"/>
          <w:numId w:val="208"/>
        </w:numPr>
        <w:overflowPunct w:val="0"/>
        <w:autoSpaceDE w:val="0"/>
        <w:autoSpaceDN w:val="0"/>
        <w:adjustRightInd w:val="0"/>
        <w:spacing w:after="0" w:line="240" w:lineRule="auto"/>
        <w:jc w:val="both"/>
        <w:textAlignment w:val="baseline"/>
        <w:rPr>
          <w:sz w:val="20"/>
          <w:lang w:eastAsia="fr-FR"/>
        </w:rPr>
      </w:pPr>
      <w:r w:rsidRPr="00097FC0">
        <w:rPr>
          <w:sz w:val="20"/>
          <w:lang w:eastAsia="fr-FR"/>
        </w:rPr>
        <w:t xml:space="preserve">En sus des divers plans de gestion environnementales à fournir par l’entreprise, ,  </w:t>
      </w:r>
    </w:p>
    <w:p w14:paraId="0288DB36" w14:textId="77777777" w:rsidR="00C64041" w:rsidRPr="00097FC0" w:rsidRDefault="00C64041" w:rsidP="0044500E">
      <w:pPr>
        <w:widowControl w:val="0"/>
        <w:numPr>
          <w:ilvl w:val="1"/>
          <w:numId w:val="208"/>
        </w:numPr>
        <w:overflowPunct w:val="0"/>
        <w:autoSpaceDE w:val="0"/>
        <w:autoSpaceDN w:val="0"/>
        <w:adjustRightInd w:val="0"/>
        <w:spacing w:after="0" w:line="240" w:lineRule="auto"/>
        <w:jc w:val="both"/>
        <w:textAlignment w:val="baseline"/>
        <w:rPr>
          <w:sz w:val="20"/>
          <w:lang w:eastAsia="fr-FR"/>
        </w:rPr>
      </w:pPr>
      <w:r w:rsidRPr="00097FC0">
        <w:rPr>
          <w:sz w:val="20"/>
          <w:lang w:eastAsia="fr-FR"/>
        </w:rPr>
        <w:t>Inclure un plan sur la gestion de l’utilisation des terres, la santé, sécurité et sureté communautaires, la découverte de patrimoine culturel et fortuit</w:t>
      </w:r>
    </w:p>
    <w:p w14:paraId="574E64A8" w14:textId="77777777" w:rsidR="00C64041" w:rsidRPr="00097FC0" w:rsidRDefault="00C64041" w:rsidP="0044500E">
      <w:pPr>
        <w:widowControl w:val="0"/>
        <w:numPr>
          <w:ilvl w:val="0"/>
          <w:numId w:val="208"/>
        </w:numPr>
        <w:overflowPunct w:val="0"/>
        <w:autoSpaceDE w:val="0"/>
        <w:autoSpaceDN w:val="0"/>
        <w:adjustRightInd w:val="0"/>
        <w:spacing w:after="0" w:line="240" w:lineRule="auto"/>
        <w:jc w:val="both"/>
        <w:textAlignment w:val="baseline"/>
        <w:rPr>
          <w:sz w:val="20"/>
          <w:lang w:eastAsia="fr-FR"/>
        </w:rPr>
      </w:pPr>
      <w:r w:rsidRPr="00097FC0">
        <w:rPr>
          <w:sz w:val="20"/>
          <w:lang w:eastAsia="fr-FR"/>
        </w:rPr>
        <w:t xml:space="preserve">Élaborer un PGES et en évaluer les coûts y afférents, </w:t>
      </w:r>
    </w:p>
    <w:p w14:paraId="75786A28" w14:textId="77777777" w:rsidR="00C64041" w:rsidRPr="00097FC0" w:rsidRDefault="00C64041" w:rsidP="0044500E">
      <w:pPr>
        <w:widowControl w:val="0"/>
        <w:numPr>
          <w:ilvl w:val="0"/>
          <w:numId w:val="208"/>
        </w:numPr>
        <w:overflowPunct w:val="0"/>
        <w:autoSpaceDE w:val="0"/>
        <w:autoSpaceDN w:val="0"/>
        <w:adjustRightInd w:val="0"/>
        <w:spacing w:after="0" w:line="240" w:lineRule="auto"/>
        <w:jc w:val="both"/>
        <w:textAlignment w:val="baseline"/>
        <w:rPr>
          <w:sz w:val="20"/>
          <w:lang w:eastAsia="fr-FR"/>
        </w:rPr>
      </w:pPr>
      <w:bookmarkStart w:id="1844" w:name="_Hlk71181144"/>
      <w:r w:rsidRPr="00097FC0">
        <w:rPr>
          <w:sz w:val="20"/>
          <w:lang w:eastAsia="fr-FR"/>
        </w:rPr>
        <w:t>Assurer l’instruction des dossiers suivant les procédures d</w:t>
      </w:r>
      <w:r w:rsidR="00450399">
        <w:rPr>
          <w:sz w:val="20"/>
          <w:lang w:eastAsia="fr-FR"/>
        </w:rPr>
        <w:t>e</w:t>
      </w:r>
      <w:r w:rsidRPr="00097FC0">
        <w:rPr>
          <w:sz w:val="20"/>
          <w:lang w:eastAsia="fr-FR"/>
        </w:rPr>
        <w:t xml:space="preserve"> MECIE en vue d’octroi de permis environnemental</w:t>
      </w:r>
    </w:p>
    <w:bookmarkEnd w:id="1844"/>
    <w:p w14:paraId="278D6B4E" w14:textId="77777777" w:rsidR="00C64041" w:rsidRPr="00097FC0" w:rsidRDefault="00C64041" w:rsidP="00C64041">
      <w:pPr>
        <w:spacing w:before="120" w:after="120"/>
        <w:jc w:val="both"/>
        <w:rPr>
          <w:bCs/>
          <w:sz w:val="20"/>
        </w:rPr>
      </w:pPr>
      <w:r w:rsidRPr="00097FC0">
        <w:rPr>
          <w:bCs/>
          <w:sz w:val="20"/>
        </w:rPr>
        <w:t xml:space="preserve">L’étude doit ainsi se réaliser conformément aux Politiques et procédures de sauvegarde de la Banque mondiale déclenchés ainsi qu’aux lois et règlements de Madagascar en la matière, sans oublier les Conventions internationales en matière d’environnement ratifiées par le Pays. </w:t>
      </w:r>
    </w:p>
    <w:p w14:paraId="775A6307" w14:textId="77777777" w:rsidR="00C64041" w:rsidRPr="00097FC0" w:rsidRDefault="00C64041" w:rsidP="00F01166">
      <w:pPr>
        <w:widowControl w:val="0"/>
        <w:overflowPunct w:val="0"/>
        <w:autoSpaceDE w:val="0"/>
        <w:autoSpaceDN w:val="0"/>
        <w:adjustRightInd w:val="0"/>
        <w:spacing w:after="0"/>
        <w:jc w:val="both"/>
        <w:textAlignment w:val="baseline"/>
        <w:rPr>
          <w:b/>
          <w:bCs/>
          <w:sz w:val="20"/>
          <w:lang w:eastAsia="fr-FR"/>
        </w:rPr>
      </w:pPr>
    </w:p>
    <w:p w14:paraId="6195FF9F" w14:textId="77777777" w:rsidR="00C64041" w:rsidRPr="000959C1" w:rsidRDefault="00C64041" w:rsidP="0044500E">
      <w:pPr>
        <w:pStyle w:val="Paragraphedeliste"/>
        <w:numPr>
          <w:ilvl w:val="2"/>
          <w:numId w:val="212"/>
        </w:numPr>
        <w:spacing w:after="0" w:line="240" w:lineRule="auto"/>
        <w:rPr>
          <w:b/>
        </w:rPr>
      </w:pPr>
      <w:bookmarkStart w:id="1845" w:name="_Toc69897481"/>
      <w:r w:rsidRPr="000959C1">
        <w:rPr>
          <w:b/>
        </w:rPr>
        <w:t>Note sur les consultations publiques, diffusion et publication des rapports</w:t>
      </w:r>
      <w:bookmarkEnd w:id="1845"/>
    </w:p>
    <w:p w14:paraId="527C6F2C" w14:textId="77777777" w:rsidR="00C64041" w:rsidRPr="00097FC0" w:rsidRDefault="00C64041" w:rsidP="00C64041">
      <w:pPr>
        <w:widowControl w:val="0"/>
        <w:overflowPunct w:val="0"/>
        <w:autoSpaceDE w:val="0"/>
        <w:autoSpaceDN w:val="0"/>
        <w:adjustRightInd w:val="0"/>
        <w:spacing w:after="120"/>
        <w:jc w:val="both"/>
        <w:textAlignment w:val="baseline"/>
        <w:rPr>
          <w:bCs/>
          <w:sz w:val="20"/>
        </w:rPr>
      </w:pPr>
      <w:r w:rsidRPr="00097FC0">
        <w:rPr>
          <w:bCs/>
          <w:sz w:val="20"/>
        </w:rPr>
        <w:t xml:space="preserve">Pour la réalisation de l’EIES, des séries de consultations seront organisées avec l’ensemble des acteurs, dans le cadre d’une large démarche participative. Il devrait être identifié l’ensemble des intervenants qui seront consultés et entraînés dans une dynamique de participation à l’élaboration de l’EIES, à savoir le Ministère des </w:t>
      </w:r>
      <w:r w:rsidR="00450399">
        <w:rPr>
          <w:bCs/>
          <w:sz w:val="20"/>
        </w:rPr>
        <w:t>T</w:t>
      </w:r>
      <w:r w:rsidRPr="00097FC0">
        <w:rPr>
          <w:bCs/>
          <w:sz w:val="20"/>
        </w:rPr>
        <w:t xml:space="preserve">ravaux </w:t>
      </w:r>
      <w:r w:rsidR="00450399">
        <w:rPr>
          <w:bCs/>
          <w:sz w:val="20"/>
        </w:rPr>
        <w:t>P</w:t>
      </w:r>
      <w:r w:rsidRPr="00097FC0">
        <w:rPr>
          <w:bCs/>
          <w:sz w:val="20"/>
        </w:rPr>
        <w:t>ublics, mais aussi des Collectivités locales, des Organisations et Associations locales, des ONG et tous autres services et projets impliqués dans les questions d’impact social et environnemental.</w:t>
      </w:r>
    </w:p>
    <w:p w14:paraId="0AC1C0DB" w14:textId="77777777" w:rsidR="00C64041" w:rsidRPr="00097FC0" w:rsidRDefault="00C64041" w:rsidP="00C64041">
      <w:pPr>
        <w:widowControl w:val="0"/>
        <w:overflowPunct w:val="0"/>
        <w:autoSpaceDE w:val="0"/>
        <w:autoSpaceDN w:val="0"/>
        <w:adjustRightInd w:val="0"/>
        <w:spacing w:after="120"/>
        <w:jc w:val="both"/>
        <w:textAlignment w:val="baseline"/>
        <w:rPr>
          <w:bCs/>
          <w:sz w:val="20"/>
        </w:rPr>
      </w:pPr>
      <w:r w:rsidRPr="00097FC0">
        <w:rPr>
          <w:bCs/>
          <w:sz w:val="20"/>
        </w:rPr>
        <w:t>Des consultations séparées avec des groupes de femmes seront à prévoir dans le processus de consultation.</w:t>
      </w:r>
    </w:p>
    <w:p w14:paraId="46104B2E" w14:textId="77777777" w:rsidR="00C64041" w:rsidRPr="00097FC0" w:rsidRDefault="00C64041" w:rsidP="00C64041">
      <w:pPr>
        <w:widowControl w:val="0"/>
        <w:overflowPunct w:val="0"/>
        <w:autoSpaceDE w:val="0"/>
        <w:autoSpaceDN w:val="0"/>
        <w:adjustRightInd w:val="0"/>
        <w:spacing w:after="120"/>
        <w:jc w:val="both"/>
        <w:textAlignment w:val="baseline"/>
        <w:rPr>
          <w:bCs/>
          <w:sz w:val="20"/>
        </w:rPr>
      </w:pPr>
      <w:r w:rsidRPr="00097FC0">
        <w:rPr>
          <w:bCs/>
          <w:sz w:val="20"/>
        </w:rPr>
        <w:t xml:space="preserve">Il devrait être analysé les mécanismes et les processus participatifs et la participation des bénéficiaires (société civile, institutions publiques, secteur privé) dans la mise en œuvre des actions du projet. Les enjeux et les préoccupations de la population devront être catégorisés et internalisés dans le design et la mise en œuvre du projet. Les PV des consultations du public (incluant </w:t>
      </w:r>
      <w:r w:rsidRPr="00097FC0">
        <w:rPr>
          <w:sz w:val="20"/>
          <w:lang w:eastAsia="fr-FR"/>
        </w:rPr>
        <w:t>la liste des personnes rencontrées, les photos de ces consultations)</w:t>
      </w:r>
      <w:r w:rsidRPr="00097FC0">
        <w:rPr>
          <w:bCs/>
          <w:sz w:val="20"/>
        </w:rPr>
        <w:t xml:space="preserve"> devront être documentés en annexes de l’EIES. L’EIES doit contenir une méthode de consultation et de participation du public qui sera adoptée lors de la mise en œuvre. Les consultations que ce soit pendant la préparation de l’EIES, que dans sa mise en œuvre devraient considérer les mesures applicables dans la prévention et la lutte contre le COVID</w:t>
      </w:r>
      <w:r w:rsidR="00450399">
        <w:rPr>
          <w:bCs/>
          <w:sz w:val="20"/>
        </w:rPr>
        <w:t>-</w:t>
      </w:r>
      <w:r w:rsidRPr="00097FC0">
        <w:rPr>
          <w:bCs/>
          <w:sz w:val="20"/>
        </w:rPr>
        <w:t>19.</w:t>
      </w:r>
    </w:p>
    <w:p w14:paraId="7A20F155" w14:textId="77777777" w:rsidR="00C64041" w:rsidRDefault="00C64041" w:rsidP="00C64041">
      <w:pPr>
        <w:widowControl w:val="0"/>
        <w:overflowPunct w:val="0"/>
        <w:autoSpaceDE w:val="0"/>
        <w:autoSpaceDN w:val="0"/>
        <w:adjustRightInd w:val="0"/>
        <w:spacing w:after="120"/>
        <w:jc w:val="both"/>
        <w:textAlignment w:val="baseline"/>
        <w:rPr>
          <w:sz w:val="20"/>
          <w:lang w:eastAsia="fr-FR"/>
        </w:rPr>
      </w:pPr>
      <w:r w:rsidRPr="00097FC0">
        <w:rPr>
          <w:bCs/>
          <w:sz w:val="20"/>
        </w:rPr>
        <w:t>L’EIES provisoire doit être soumis à une procédure de consultation et participation publique. Les observations pertinentes recueillies auprès des différents acteurs, ainsi qu’une synthèse de ces consultations et participation</w:t>
      </w:r>
      <w:r w:rsidR="00450399">
        <w:rPr>
          <w:bCs/>
          <w:sz w:val="20"/>
        </w:rPr>
        <w:t>s</w:t>
      </w:r>
      <w:r w:rsidRPr="00097FC0">
        <w:rPr>
          <w:bCs/>
          <w:sz w:val="20"/>
        </w:rPr>
        <w:t xml:space="preserve"> publiques (avec les procès-verbaux correspondants) devront être incluses dans le rapport final de l’EIES et soumises pour approbation à la Banque </w:t>
      </w:r>
      <w:r w:rsidR="00450399">
        <w:rPr>
          <w:bCs/>
          <w:sz w:val="20"/>
        </w:rPr>
        <w:t>m</w:t>
      </w:r>
      <w:r w:rsidRPr="00097FC0">
        <w:rPr>
          <w:bCs/>
          <w:sz w:val="20"/>
        </w:rPr>
        <w:t xml:space="preserve">ondiale et l’EIES définitif diffusé publiquement autant dans le pays que sur le site WEB de la Banque </w:t>
      </w:r>
      <w:r w:rsidR="00450399">
        <w:rPr>
          <w:bCs/>
          <w:sz w:val="20"/>
        </w:rPr>
        <w:t>m</w:t>
      </w:r>
      <w:r w:rsidRPr="00097FC0">
        <w:rPr>
          <w:bCs/>
          <w:sz w:val="20"/>
        </w:rPr>
        <w:t>ondiale</w:t>
      </w:r>
      <w:r w:rsidRPr="00097FC0">
        <w:rPr>
          <w:sz w:val="20"/>
          <w:lang w:eastAsia="fr-FR"/>
        </w:rPr>
        <w:t>.</w:t>
      </w:r>
    </w:p>
    <w:p w14:paraId="5CD750F9" w14:textId="77777777" w:rsidR="00C64041" w:rsidRDefault="00C64041" w:rsidP="00C64041">
      <w:pPr>
        <w:rPr>
          <w:rFonts w:ascii="Arial" w:eastAsia="Arial" w:hAnsi="Arial"/>
        </w:rPr>
      </w:pPr>
    </w:p>
    <w:p w14:paraId="4B4A4D7A" w14:textId="77777777" w:rsidR="006C5F2A" w:rsidRDefault="006C5F2A">
      <w:pPr>
        <w:spacing w:after="0" w:line="240" w:lineRule="auto"/>
      </w:pPr>
      <w:r>
        <w:br w:type="page"/>
      </w:r>
    </w:p>
    <w:p w14:paraId="7C8B262C" w14:textId="77777777" w:rsidR="009947B9" w:rsidRPr="00345918" w:rsidRDefault="009947B9" w:rsidP="00345918">
      <w:pPr>
        <w:rPr>
          <w:rFonts w:ascii="Arial" w:hAnsi="Arial" w:cs="Arial"/>
          <w:b/>
          <w:bCs/>
        </w:rPr>
      </w:pPr>
      <w:r w:rsidRPr="00345918">
        <w:rPr>
          <w:rFonts w:ascii="Arial" w:hAnsi="Arial" w:cs="Arial"/>
          <w:b/>
          <w:bCs/>
        </w:rPr>
        <w:t xml:space="preserve">Annexe </w:t>
      </w:r>
      <w:r w:rsidRPr="00345918">
        <w:rPr>
          <w:rFonts w:ascii="Arial" w:hAnsi="Arial" w:cs="Arial"/>
          <w:b/>
          <w:bCs/>
        </w:rPr>
        <w:fldChar w:fldCharType="begin"/>
      </w:r>
      <w:r w:rsidRPr="00345918">
        <w:rPr>
          <w:rFonts w:ascii="Arial" w:hAnsi="Arial" w:cs="Arial"/>
          <w:b/>
          <w:bCs/>
        </w:rPr>
        <w:instrText xml:space="preserve"> SEQ Annexe \* ARABIC </w:instrText>
      </w:r>
      <w:r w:rsidRPr="00345918">
        <w:rPr>
          <w:rFonts w:ascii="Arial" w:hAnsi="Arial" w:cs="Arial"/>
          <w:b/>
          <w:bCs/>
        </w:rPr>
        <w:fldChar w:fldCharType="separate"/>
      </w:r>
      <w:r w:rsidRPr="00345918">
        <w:rPr>
          <w:rFonts w:ascii="Arial" w:hAnsi="Arial" w:cs="Arial"/>
          <w:b/>
          <w:bCs/>
        </w:rPr>
        <w:t>16</w:t>
      </w:r>
      <w:r w:rsidRPr="00345918">
        <w:rPr>
          <w:rFonts w:ascii="Arial" w:hAnsi="Arial" w:cs="Arial"/>
          <w:b/>
          <w:bCs/>
        </w:rPr>
        <w:fldChar w:fldCharType="end"/>
      </w:r>
      <w:r w:rsidRPr="00345918">
        <w:rPr>
          <w:rFonts w:ascii="Arial" w:hAnsi="Arial" w:cs="Arial"/>
          <w:b/>
          <w:bCs/>
        </w:rPr>
        <w:t>. Eléments de Termes de référence pour l’élaboration d’un Plan de Gestion Environnementale et Sociale sur un sous projet de DECIM</w:t>
      </w:r>
    </w:p>
    <w:p w14:paraId="0144528F" w14:textId="77777777" w:rsidR="009947B9" w:rsidRPr="00BB7294" w:rsidRDefault="009947B9" w:rsidP="009947B9">
      <w:pPr>
        <w:rPr>
          <w:b/>
        </w:rPr>
      </w:pPr>
    </w:p>
    <w:p w14:paraId="351FF312" w14:textId="77777777" w:rsidR="009947B9" w:rsidRPr="00EC1331" w:rsidRDefault="009947B9" w:rsidP="009947B9">
      <w:pPr>
        <w:jc w:val="center"/>
        <w:rPr>
          <w:rFonts w:cs="Arial"/>
        </w:rPr>
      </w:pPr>
      <w:r w:rsidRPr="0658D94E">
        <w:rPr>
          <w:rFonts w:cs="Arial"/>
          <w:b/>
          <w:bCs/>
        </w:rPr>
        <w:t xml:space="preserve">TERMES DE RÉFÉRENCE : </w:t>
      </w:r>
      <w:r>
        <w:rPr>
          <w:rFonts w:cs="Arial"/>
          <w:b/>
          <w:bCs/>
        </w:rPr>
        <w:t xml:space="preserve">Elaboration d’un Plan de Gestion Environnementale et Sociale </w:t>
      </w:r>
      <w:r w:rsidRPr="0658D94E">
        <w:rPr>
          <w:rFonts w:cs="Arial"/>
          <w:b/>
          <w:bCs/>
        </w:rPr>
        <w:t xml:space="preserve"> (</w:t>
      </w:r>
      <w:r>
        <w:rPr>
          <w:rFonts w:cs="Arial"/>
          <w:b/>
          <w:bCs/>
        </w:rPr>
        <w:t>PGES</w:t>
      </w:r>
      <w:r w:rsidRPr="0658D94E">
        <w:rPr>
          <w:rFonts w:cs="Arial"/>
          <w:b/>
          <w:bCs/>
        </w:rPr>
        <w:t>)</w:t>
      </w:r>
    </w:p>
    <w:p w14:paraId="25BCB915" w14:textId="77777777" w:rsidR="009947B9" w:rsidRPr="00323FBD" w:rsidRDefault="009947B9" w:rsidP="009947B9">
      <w:pPr>
        <w:pStyle w:val="Paragraphedeliste"/>
        <w:numPr>
          <w:ilvl w:val="0"/>
          <w:numId w:val="212"/>
        </w:numPr>
        <w:spacing w:after="0" w:line="240" w:lineRule="auto"/>
        <w:rPr>
          <w:b/>
          <w:szCs w:val="24"/>
        </w:rPr>
      </w:pPr>
      <w:r w:rsidRPr="00323FBD">
        <w:rPr>
          <w:b/>
          <w:szCs w:val="24"/>
        </w:rPr>
        <w:t>GENERALITES</w:t>
      </w:r>
    </w:p>
    <w:p w14:paraId="54151ACE" w14:textId="77777777" w:rsidR="009947B9" w:rsidRPr="00323FBD" w:rsidRDefault="009947B9" w:rsidP="009947B9">
      <w:pPr>
        <w:pStyle w:val="Paragraphedeliste"/>
        <w:numPr>
          <w:ilvl w:val="1"/>
          <w:numId w:val="212"/>
        </w:numPr>
        <w:spacing w:after="0" w:line="240" w:lineRule="auto"/>
        <w:rPr>
          <w:b/>
          <w:snapToGrid w:val="0"/>
          <w:lang w:eastAsia="fr-FR"/>
        </w:rPr>
      </w:pPr>
      <w:r w:rsidRPr="00323FBD">
        <w:rPr>
          <w:b/>
          <w:snapToGrid w:val="0"/>
          <w:lang w:eastAsia="fr-FR"/>
        </w:rPr>
        <w:t>Contexte du projet</w:t>
      </w:r>
    </w:p>
    <w:p w14:paraId="48B22D8F" w14:textId="77777777" w:rsidR="009947B9" w:rsidRPr="006B4005" w:rsidRDefault="009947B9" w:rsidP="009947B9">
      <w:pPr>
        <w:jc w:val="both"/>
        <w:rPr>
          <w:sz w:val="20"/>
          <w:lang w:eastAsia="fr-FR"/>
        </w:rPr>
      </w:pPr>
    </w:p>
    <w:p w14:paraId="768AAB80" w14:textId="77777777" w:rsidR="009947B9" w:rsidRPr="006B4005" w:rsidRDefault="009947B9" w:rsidP="009947B9">
      <w:pPr>
        <w:jc w:val="both"/>
        <w:rPr>
          <w:sz w:val="20"/>
          <w:lang w:eastAsia="fr-FR"/>
        </w:rPr>
      </w:pPr>
      <w:r w:rsidRPr="006B4005">
        <w:rPr>
          <w:sz w:val="20"/>
          <w:lang w:eastAsia="fr-FR"/>
        </w:rPr>
        <w:t xml:space="preserve"> [Dans cette section, vous devez décrire le contexte du sous-projet, ainsi que ses objectifs de développement et ses composantes] </w:t>
      </w:r>
    </w:p>
    <w:p w14:paraId="40E24490" w14:textId="77777777" w:rsidR="009947B9" w:rsidRPr="00323FBD" w:rsidRDefault="009947B9" w:rsidP="009947B9">
      <w:pPr>
        <w:pStyle w:val="Paragraphedeliste"/>
        <w:numPr>
          <w:ilvl w:val="1"/>
          <w:numId w:val="212"/>
        </w:numPr>
        <w:spacing w:after="0" w:line="240" w:lineRule="auto"/>
        <w:rPr>
          <w:b/>
          <w:snapToGrid w:val="0"/>
          <w:lang w:eastAsia="fr-FR"/>
        </w:rPr>
      </w:pPr>
      <w:r w:rsidRPr="00323FBD">
        <w:rPr>
          <w:b/>
          <w:snapToGrid w:val="0"/>
          <w:lang w:eastAsia="fr-FR"/>
        </w:rPr>
        <w:t>Justification</w:t>
      </w:r>
    </w:p>
    <w:p w14:paraId="436D13EA" w14:textId="77777777" w:rsidR="009947B9" w:rsidRPr="006B4005" w:rsidRDefault="009947B9" w:rsidP="009947B9">
      <w:pPr>
        <w:jc w:val="both"/>
        <w:rPr>
          <w:sz w:val="20"/>
          <w:lang w:eastAsia="fr-FR"/>
        </w:rPr>
      </w:pPr>
    </w:p>
    <w:p w14:paraId="4AA1DC69" w14:textId="77777777" w:rsidR="009947B9" w:rsidRPr="006B4005" w:rsidRDefault="009947B9" w:rsidP="009947B9">
      <w:pPr>
        <w:jc w:val="both"/>
        <w:rPr>
          <w:sz w:val="20"/>
          <w:lang w:eastAsia="fr-FR"/>
        </w:rPr>
      </w:pPr>
      <w:r w:rsidRPr="006B4005">
        <w:rPr>
          <w:sz w:val="20"/>
          <w:lang w:eastAsia="fr-FR"/>
        </w:rPr>
        <w:t xml:space="preserve">[Dans cette section, vous devez fournir la justification du sous projet] </w:t>
      </w:r>
    </w:p>
    <w:p w14:paraId="3E919145" w14:textId="77777777" w:rsidR="009947B9" w:rsidRPr="00323FBD" w:rsidRDefault="009947B9" w:rsidP="009947B9">
      <w:pPr>
        <w:pStyle w:val="Paragraphedeliste"/>
        <w:numPr>
          <w:ilvl w:val="1"/>
          <w:numId w:val="212"/>
        </w:numPr>
        <w:spacing w:after="0" w:line="240" w:lineRule="auto"/>
        <w:rPr>
          <w:b/>
          <w:snapToGrid w:val="0"/>
          <w:lang w:eastAsia="fr-FR"/>
        </w:rPr>
      </w:pPr>
      <w:r w:rsidRPr="00323FBD">
        <w:rPr>
          <w:b/>
          <w:snapToGrid w:val="0"/>
          <w:lang w:eastAsia="fr-FR"/>
        </w:rPr>
        <w:t>Objet de la mission</w:t>
      </w:r>
    </w:p>
    <w:p w14:paraId="717ED7D5" w14:textId="77777777" w:rsidR="009947B9" w:rsidRDefault="009947B9" w:rsidP="009947B9">
      <w:pPr>
        <w:spacing w:before="120" w:after="120"/>
        <w:jc w:val="both"/>
        <w:rPr>
          <w:lang w:val="fr-CA"/>
        </w:rPr>
      </w:pPr>
      <w:r>
        <w:rPr>
          <w:sz w:val="20"/>
          <w:lang w:eastAsia="fr-FR"/>
        </w:rPr>
        <w:t xml:space="preserve">Il s’agit de faire une </w:t>
      </w:r>
      <w:r w:rsidRPr="00C1608F">
        <w:rPr>
          <w:sz w:val="20"/>
          <w:lang w:eastAsia="fr-FR"/>
        </w:rPr>
        <w:t>évaluation environnementale et sociale</w:t>
      </w:r>
      <w:r w:rsidRPr="00461022">
        <w:t xml:space="preserve"> </w:t>
      </w:r>
      <w:r>
        <w:rPr>
          <w:sz w:val="20"/>
          <w:lang w:eastAsia="fr-FR"/>
        </w:rPr>
        <w:t xml:space="preserve">dans le but </w:t>
      </w:r>
      <w:r w:rsidRPr="006B4005">
        <w:rPr>
          <w:sz w:val="20"/>
          <w:lang w:eastAsia="fr-FR"/>
        </w:rPr>
        <w:t xml:space="preserve">d’assurer la conformité du projet aux Normes environnementales et sociales de la Banque mondiale, il est proposé de préparer les instruments environnementaux et sociaux ci-après sur la base des Documents cadres : Cadre de Gestion Environnemental et Social (CGES) </w:t>
      </w:r>
    </w:p>
    <w:p w14:paraId="2A2B096E" w14:textId="77777777" w:rsidR="009947B9" w:rsidRDefault="009947B9" w:rsidP="009947B9">
      <w:pPr>
        <w:spacing w:before="120" w:after="120"/>
        <w:jc w:val="both"/>
        <w:rPr>
          <w:sz w:val="20"/>
          <w:lang w:eastAsia="fr-FR"/>
        </w:rPr>
      </w:pPr>
      <w:r>
        <w:rPr>
          <w:sz w:val="20"/>
          <w:lang w:eastAsia="fr-FR"/>
        </w:rPr>
        <w:t>Le PGES</w:t>
      </w:r>
      <w:r w:rsidRPr="006B4005">
        <w:rPr>
          <w:sz w:val="20"/>
          <w:lang w:eastAsia="fr-FR"/>
        </w:rPr>
        <w:t xml:space="preserve"> étudie les options viables du projet </w:t>
      </w:r>
      <w:r>
        <w:rPr>
          <w:sz w:val="20"/>
          <w:lang w:eastAsia="fr-FR"/>
        </w:rPr>
        <w:t>afin</w:t>
      </w:r>
      <w:r w:rsidRPr="006B4005">
        <w:rPr>
          <w:sz w:val="20"/>
          <w:lang w:eastAsia="fr-FR"/>
        </w:rPr>
        <w:t xml:space="preserve"> d’éviter sinon de minimiser les impa</w:t>
      </w:r>
      <w:r>
        <w:rPr>
          <w:sz w:val="20"/>
          <w:lang w:eastAsia="fr-FR"/>
        </w:rPr>
        <w:t xml:space="preserve">cts environnementaux et sociaux. </w:t>
      </w:r>
    </w:p>
    <w:p w14:paraId="50158EF6" w14:textId="77777777" w:rsidR="009947B9" w:rsidRPr="00323FBD" w:rsidRDefault="009947B9" w:rsidP="009947B9">
      <w:pPr>
        <w:pStyle w:val="Paragraphedeliste"/>
        <w:numPr>
          <w:ilvl w:val="0"/>
          <w:numId w:val="212"/>
        </w:numPr>
        <w:spacing w:after="0" w:line="240" w:lineRule="auto"/>
        <w:rPr>
          <w:b/>
          <w:szCs w:val="24"/>
        </w:rPr>
      </w:pPr>
      <w:r w:rsidRPr="00323FBD">
        <w:rPr>
          <w:b/>
          <w:szCs w:val="24"/>
        </w:rPr>
        <w:t>ETENDUE DE LA MISSION</w:t>
      </w:r>
    </w:p>
    <w:p w14:paraId="661A5093" w14:textId="77777777" w:rsidR="009947B9" w:rsidRDefault="009947B9" w:rsidP="009947B9">
      <w:pPr>
        <w:pStyle w:val="Corpsdetexte"/>
        <w:spacing w:before="181"/>
      </w:pPr>
      <w:r w:rsidRPr="00461022">
        <w:t>L’étude</w:t>
      </w:r>
      <w:r w:rsidRPr="00461022">
        <w:rPr>
          <w:spacing w:val="-2"/>
        </w:rPr>
        <w:t xml:space="preserve"> </w:t>
      </w:r>
      <w:r w:rsidRPr="00461022">
        <w:t>consiste</w:t>
      </w:r>
      <w:r w:rsidRPr="00461022">
        <w:rPr>
          <w:spacing w:val="-2"/>
        </w:rPr>
        <w:t xml:space="preserve"> </w:t>
      </w:r>
      <w:r w:rsidRPr="00461022">
        <w:t>ainsi</w:t>
      </w:r>
      <w:r w:rsidRPr="00461022">
        <w:rPr>
          <w:spacing w:val="-2"/>
        </w:rPr>
        <w:t xml:space="preserve"> </w:t>
      </w:r>
      <w:r w:rsidRPr="00461022">
        <w:t>à</w:t>
      </w:r>
      <w:r w:rsidRPr="00461022">
        <w:rPr>
          <w:spacing w:val="-2"/>
        </w:rPr>
        <w:t xml:space="preserve"> </w:t>
      </w:r>
      <w:r w:rsidRPr="00461022">
        <w:t>analyser les</w:t>
      </w:r>
      <w:r w:rsidRPr="00461022">
        <w:rPr>
          <w:spacing w:val="-3"/>
        </w:rPr>
        <w:t xml:space="preserve"> </w:t>
      </w:r>
      <w:r w:rsidRPr="00461022">
        <w:t>conséquences</w:t>
      </w:r>
      <w:r w:rsidRPr="00461022">
        <w:rPr>
          <w:spacing w:val="-3"/>
        </w:rPr>
        <w:t xml:space="preserve"> </w:t>
      </w:r>
      <w:r w:rsidRPr="00461022">
        <w:t>de</w:t>
      </w:r>
      <w:r w:rsidRPr="00461022">
        <w:rPr>
          <w:spacing w:val="-1"/>
        </w:rPr>
        <w:t xml:space="preserve"> </w:t>
      </w:r>
      <w:r w:rsidRPr="00461022">
        <w:t>l’exécution</w:t>
      </w:r>
      <w:r w:rsidRPr="00461022">
        <w:rPr>
          <w:spacing w:val="-3"/>
        </w:rPr>
        <w:t xml:space="preserve"> </w:t>
      </w:r>
      <w:r w:rsidRPr="00461022">
        <w:t>de</w:t>
      </w:r>
      <w:r w:rsidRPr="00461022">
        <w:rPr>
          <w:spacing w:val="-1"/>
        </w:rPr>
        <w:t xml:space="preserve"> </w:t>
      </w:r>
      <w:r w:rsidRPr="00461022">
        <w:t>ces</w:t>
      </w:r>
      <w:r w:rsidRPr="00461022">
        <w:rPr>
          <w:spacing w:val="-3"/>
        </w:rPr>
        <w:t xml:space="preserve"> </w:t>
      </w:r>
      <w:r w:rsidRPr="00461022">
        <w:t>activités</w:t>
      </w:r>
      <w:r w:rsidRPr="00461022">
        <w:rPr>
          <w:spacing w:val="-2"/>
        </w:rPr>
        <w:t xml:space="preserve"> </w:t>
      </w:r>
      <w:r w:rsidRPr="00461022">
        <w:t>sur</w:t>
      </w:r>
      <w:r w:rsidRPr="00461022">
        <w:rPr>
          <w:spacing w:val="-2"/>
        </w:rPr>
        <w:t xml:space="preserve"> </w:t>
      </w:r>
      <w:r w:rsidRPr="00461022">
        <w:t>le milieu</w:t>
      </w:r>
      <w:r w:rsidRPr="00461022">
        <w:rPr>
          <w:spacing w:val="-2"/>
        </w:rPr>
        <w:t xml:space="preserve"> </w:t>
      </w:r>
      <w:r w:rsidRPr="00461022">
        <w:t>naturel</w:t>
      </w:r>
      <w:r w:rsidRPr="00461022">
        <w:rPr>
          <w:spacing w:val="-2"/>
        </w:rPr>
        <w:t xml:space="preserve"> </w:t>
      </w:r>
      <w:r w:rsidRPr="00461022">
        <w:t>et</w:t>
      </w:r>
      <w:r w:rsidRPr="00461022">
        <w:rPr>
          <w:spacing w:val="-1"/>
        </w:rPr>
        <w:t xml:space="preserve"> </w:t>
      </w:r>
      <w:r w:rsidRPr="00461022">
        <w:t>les</w:t>
      </w:r>
      <w:r>
        <w:t xml:space="preserve"> </w:t>
      </w:r>
      <w:r w:rsidRPr="00461022">
        <w:t>communautés</w:t>
      </w:r>
      <w:r w:rsidRPr="00461022">
        <w:rPr>
          <w:spacing w:val="-4"/>
        </w:rPr>
        <w:t xml:space="preserve"> </w:t>
      </w:r>
      <w:r w:rsidRPr="00461022">
        <w:t>qui vivent</w:t>
      </w:r>
      <w:r w:rsidRPr="00461022">
        <w:rPr>
          <w:spacing w:val="-4"/>
        </w:rPr>
        <w:t xml:space="preserve"> </w:t>
      </w:r>
      <w:r w:rsidRPr="00461022">
        <w:t>dans</w:t>
      </w:r>
      <w:r w:rsidRPr="00461022">
        <w:rPr>
          <w:spacing w:val="-1"/>
        </w:rPr>
        <w:t xml:space="preserve"> </w:t>
      </w:r>
      <w:r w:rsidRPr="00461022">
        <w:t>et</w:t>
      </w:r>
      <w:r w:rsidRPr="00461022">
        <w:rPr>
          <w:spacing w:val="-3"/>
        </w:rPr>
        <w:t xml:space="preserve"> </w:t>
      </w:r>
      <w:r w:rsidRPr="00461022">
        <w:t>aux</w:t>
      </w:r>
      <w:r w:rsidRPr="00461022">
        <w:rPr>
          <w:spacing w:val="-3"/>
        </w:rPr>
        <w:t xml:space="preserve"> </w:t>
      </w:r>
      <w:r w:rsidRPr="00461022">
        <w:t>alentours</w:t>
      </w:r>
      <w:r w:rsidRPr="00461022">
        <w:rPr>
          <w:spacing w:val="-3"/>
        </w:rPr>
        <w:t xml:space="preserve"> </w:t>
      </w:r>
      <w:r w:rsidRPr="00461022">
        <w:t>de</w:t>
      </w:r>
      <w:r w:rsidRPr="00461022">
        <w:rPr>
          <w:spacing w:val="-3"/>
        </w:rPr>
        <w:t xml:space="preserve"> </w:t>
      </w:r>
      <w:r w:rsidRPr="00461022">
        <w:t>la</w:t>
      </w:r>
      <w:r w:rsidRPr="00461022">
        <w:rPr>
          <w:spacing w:val="-2"/>
        </w:rPr>
        <w:t xml:space="preserve"> </w:t>
      </w:r>
      <w:r w:rsidRPr="00461022">
        <w:t>zone.</w:t>
      </w:r>
      <w:r w:rsidRPr="00461022">
        <w:rPr>
          <w:spacing w:val="-2"/>
        </w:rPr>
        <w:t xml:space="preserve"> </w:t>
      </w:r>
      <w:r w:rsidRPr="00461022">
        <w:t>En</w:t>
      </w:r>
      <w:r w:rsidRPr="00461022">
        <w:rPr>
          <w:spacing w:val="-1"/>
        </w:rPr>
        <w:t xml:space="preserve"> </w:t>
      </w:r>
      <w:r w:rsidRPr="00461022">
        <w:t>général,</w:t>
      </w:r>
      <w:r w:rsidRPr="00461022">
        <w:rPr>
          <w:spacing w:val="-2"/>
        </w:rPr>
        <w:t xml:space="preserve"> </w:t>
      </w:r>
      <w:r w:rsidRPr="00461022">
        <w:t>l’approche méthodologique</w:t>
      </w:r>
      <w:r w:rsidRPr="00461022">
        <w:rPr>
          <w:spacing w:val="-2"/>
        </w:rPr>
        <w:t xml:space="preserve"> </w:t>
      </w:r>
      <w:r w:rsidRPr="00461022">
        <w:t>consiste</w:t>
      </w:r>
      <w:r w:rsidRPr="00461022">
        <w:rPr>
          <w:spacing w:val="-3"/>
        </w:rPr>
        <w:t xml:space="preserve"> </w:t>
      </w:r>
      <w:r w:rsidRPr="00461022">
        <w:t>à</w:t>
      </w:r>
      <w:r w:rsidRPr="00461022">
        <w:rPr>
          <w:spacing w:val="-2"/>
        </w:rPr>
        <w:t xml:space="preserve"> </w:t>
      </w:r>
      <w:r w:rsidRPr="00461022">
        <w:t>:</w:t>
      </w:r>
    </w:p>
    <w:p w14:paraId="1A92161C" w14:textId="77777777" w:rsidR="009947B9" w:rsidRDefault="009947B9" w:rsidP="009947B9">
      <w:pPr>
        <w:pStyle w:val="Corpsdetexte"/>
        <w:spacing w:before="181"/>
        <w:ind w:left="136"/>
      </w:pPr>
    </w:p>
    <w:p w14:paraId="7166E990" w14:textId="77777777" w:rsidR="009947B9" w:rsidRDefault="009947B9" w:rsidP="009947B9">
      <w:pPr>
        <w:pStyle w:val="Corpsdetexte"/>
        <w:numPr>
          <w:ilvl w:val="0"/>
          <w:numId w:val="236"/>
        </w:numPr>
        <w:ind w:left="850" w:hanging="357"/>
      </w:pPr>
      <w:r>
        <w:t xml:space="preserve">La consultation des documents et plan d’action du secteur agricole afin d’identifier les zones sensibles pour la pérennisation des infrastructures installés </w:t>
      </w:r>
    </w:p>
    <w:p w14:paraId="141B3EC3" w14:textId="77777777" w:rsidR="009947B9" w:rsidRDefault="009947B9" w:rsidP="009947B9">
      <w:pPr>
        <w:pStyle w:val="Corpsdetexte"/>
        <w:numPr>
          <w:ilvl w:val="0"/>
          <w:numId w:val="236"/>
        </w:numPr>
        <w:ind w:left="850" w:hanging="357"/>
      </w:pPr>
      <w:r>
        <w:t>Le revu documentaire des derniers études sur les zones du projet afin d’identifier</w:t>
      </w:r>
      <w:r>
        <w:rPr>
          <w:spacing w:val="-2"/>
        </w:rPr>
        <w:t xml:space="preserve"> </w:t>
      </w:r>
      <w:r>
        <w:t>les</w:t>
      </w:r>
      <w:r>
        <w:rPr>
          <w:spacing w:val="-4"/>
        </w:rPr>
        <w:t xml:space="preserve"> </w:t>
      </w:r>
      <w:r>
        <w:t>institutions</w:t>
      </w:r>
      <w:r>
        <w:rPr>
          <w:spacing w:val="-4"/>
        </w:rPr>
        <w:t xml:space="preserve"> </w:t>
      </w:r>
      <w:r>
        <w:t>ou</w:t>
      </w:r>
      <w:r>
        <w:rPr>
          <w:spacing w:val="-3"/>
        </w:rPr>
        <w:t xml:space="preserve"> </w:t>
      </w:r>
      <w:r>
        <w:t>acteurs</w:t>
      </w:r>
      <w:r>
        <w:rPr>
          <w:spacing w:val="-4"/>
        </w:rPr>
        <w:t xml:space="preserve"> </w:t>
      </w:r>
      <w:r>
        <w:t>susceptibles</w:t>
      </w:r>
      <w:r>
        <w:rPr>
          <w:spacing w:val="-4"/>
        </w:rPr>
        <w:t xml:space="preserve"> </w:t>
      </w:r>
      <w:r>
        <w:t>d’avoir</w:t>
      </w:r>
      <w:r>
        <w:rPr>
          <w:spacing w:val="-2"/>
        </w:rPr>
        <w:t xml:space="preserve"> </w:t>
      </w:r>
      <w:r>
        <w:t>des</w:t>
      </w:r>
      <w:r>
        <w:rPr>
          <w:spacing w:val="-4"/>
        </w:rPr>
        <w:t xml:space="preserve"> </w:t>
      </w:r>
      <w:r>
        <w:t>responsabilités</w:t>
      </w:r>
      <w:r>
        <w:rPr>
          <w:spacing w:val="-4"/>
        </w:rPr>
        <w:t xml:space="preserve"> </w:t>
      </w:r>
      <w:r>
        <w:t>dans</w:t>
      </w:r>
      <w:r>
        <w:rPr>
          <w:spacing w:val="-4"/>
        </w:rPr>
        <w:t xml:space="preserve"> </w:t>
      </w:r>
      <w:r>
        <w:t>l’exécution</w:t>
      </w:r>
      <w:r>
        <w:rPr>
          <w:spacing w:val="-3"/>
        </w:rPr>
        <w:t xml:space="preserve"> </w:t>
      </w:r>
      <w:r>
        <w:t>et</w:t>
      </w:r>
      <w:r>
        <w:rPr>
          <w:spacing w:val="-3"/>
        </w:rPr>
        <w:t xml:space="preserve"> </w:t>
      </w:r>
      <w:r>
        <w:t>le</w:t>
      </w:r>
      <w:r>
        <w:rPr>
          <w:spacing w:val="-3"/>
        </w:rPr>
        <w:t xml:space="preserve"> </w:t>
      </w:r>
      <w:r>
        <w:t>suivi des mesures environnementaux</w:t>
      </w:r>
    </w:p>
    <w:p w14:paraId="744385A5" w14:textId="77777777" w:rsidR="009947B9" w:rsidRDefault="009947B9" w:rsidP="009947B9">
      <w:pPr>
        <w:pStyle w:val="Corpsdetexte"/>
        <w:numPr>
          <w:ilvl w:val="0"/>
          <w:numId w:val="236"/>
        </w:numPr>
        <w:ind w:left="850" w:hanging="357"/>
      </w:pPr>
      <w:r>
        <w:t>La réalisation de consultation publique et</w:t>
      </w:r>
      <w:r w:rsidRPr="000F45B6">
        <w:t xml:space="preserve"> </w:t>
      </w:r>
      <w:r>
        <w:t>participative</w:t>
      </w:r>
      <w:r w:rsidRPr="000F45B6">
        <w:t xml:space="preserve"> </w:t>
      </w:r>
      <w:r>
        <w:t>concrétisées</w:t>
      </w:r>
      <w:r w:rsidRPr="000F45B6">
        <w:t xml:space="preserve"> </w:t>
      </w:r>
      <w:r>
        <w:t>par</w:t>
      </w:r>
      <w:r w:rsidRPr="000F45B6">
        <w:t xml:space="preserve"> </w:t>
      </w:r>
      <w:r>
        <w:t>des</w:t>
      </w:r>
      <w:r w:rsidRPr="000F45B6">
        <w:t xml:space="preserve"> </w:t>
      </w:r>
      <w:r>
        <w:t>discussions</w:t>
      </w:r>
      <w:r w:rsidRPr="000F45B6">
        <w:t xml:space="preserve"> </w:t>
      </w:r>
      <w:r>
        <w:t>et</w:t>
      </w:r>
      <w:r w:rsidRPr="000F45B6">
        <w:t xml:space="preserve"> </w:t>
      </w:r>
      <w:r>
        <w:t>échanges avec</w:t>
      </w:r>
      <w:r>
        <w:rPr>
          <w:spacing w:val="-2"/>
        </w:rPr>
        <w:t xml:space="preserve"> </w:t>
      </w:r>
      <w:r>
        <w:t>les</w:t>
      </w:r>
      <w:r>
        <w:rPr>
          <w:spacing w:val="-3"/>
        </w:rPr>
        <w:t xml:space="preserve"> </w:t>
      </w:r>
      <w:r>
        <w:t>différentes</w:t>
      </w:r>
      <w:r>
        <w:rPr>
          <w:spacing w:val="-2"/>
        </w:rPr>
        <w:t xml:space="preserve"> </w:t>
      </w:r>
      <w:r>
        <w:t>parties</w:t>
      </w:r>
      <w:r>
        <w:rPr>
          <w:spacing w:val="-3"/>
        </w:rPr>
        <w:t xml:space="preserve"> </w:t>
      </w:r>
      <w:r>
        <w:t>prenantes du Projet</w:t>
      </w:r>
    </w:p>
    <w:p w14:paraId="5D6AFDBB" w14:textId="77777777" w:rsidR="009947B9" w:rsidRDefault="009947B9" w:rsidP="009947B9">
      <w:pPr>
        <w:pStyle w:val="Corpsdetexte"/>
        <w:numPr>
          <w:ilvl w:val="0"/>
          <w:numId w:val="236"/>
        </w:numPr>
        <w:ind w:left="850" w:hanging="357"/>
      </w:pPr>
      <w:r>
        <w:t>La réalisation d’une enquête socio-économique sur le terrain qui</w:t>
      </w:r>
      <w:r w:rsidRPr="000F45B6">
        <w:t xml:space="preserve"> </w:t>
      </w:r>
      <w:r>
        <w:t>évoquent</w:t>
      </w:r>
      <w:r w:rsidRPr="000F45B6">
        <w:t xml:space="preserve"> </w:t>
      </w:r>
      <w:r>
        <w:t>l’évaluation</w:t>
      </w:r>
      <w:r w:rsidRPr="000F45B6">
        <w:t xml:space="preserve"> </w:t>
      </w:r>
      <w:r>
        <w:t>de</w:t>
      </w:r>
      <w:r w:rsidRPr="000F45B6">
        <w:t xml:space="preserve"> </w:t>
      </w:r>
      <w:r>
        <w:t>la</w:t>
      </w:r>
      <w:r w:rsidRPr="000F45B6">
        <w:t xml:space="preserve"> </w:t>
      </w:r>
      <w:r>
        <w:t>gestion</w:t>
      </w:r>
      <w:r w:rsidRPr="000F45B6">
        <w:t xml:space="preserve"> </w:t>
      </w:r>
      <w:r>
        <w:t>des</w:t>
      </w:r>
      <w:r w:rsidRPr="000F45B6">
        <w:t xml:space="preserve"> </w:t>
      </w:r>
      <w:r>
        <w:t>ressources naturelles,</w:t>
      </w:r>
      <w:r w:rsidRPr="000F45B6">
        <w:t xml:space="preserve"> </w:t>
      </w:r>
      <w:r>
        <w:t>les</w:t>
      </w:r>
      <w:r w:rsidRPr="000F45B6">
        <w:t xml:space="preserve"> </w:t>
      </w:r>
      <w:r>
        <w:t>aspects</w:t>
      </w:r>
      <w:r w:rsidRPr="000F45B6">
        <w:t xml:space="preserve"> </w:t>
      </w:r>
      <w:r>
        <w:t>fonciers,</w:t>
      </w:r>
      <w:r w:rsidRPr="000F45B6">
        <w:t xml:space="preserve"> </w:t>
      </w:r>
      <w:r>
        <w:t>les</w:t>
      </w:r>
      <w:r w:rsidRPr="000F45B6">
        <w:t xml:space="preserve"> </w:t>
      </w:r>
      <w:r>
        <w:t>aspects</w:t>
      </w:r>
      <w:r w:rsidRPr="000F45B6">
        <w:t xml:space="preserve"> </w:t>
      </w:r>
      <w:r>
        <w:t>culturels</w:t>
      </w:r>
      <w:r w:rsidRPr="000F45B6">
        <w:t xml:space="preserve"> </w:t>
      </w:r>
      <w:r>
        <w:t>et</w:t>
      </w:r>
      <w:r w:rsidRPr="000F45B6">
        <w:t xml:space="preserve"> </w:t>
      </w:r>
      <w:r>
        <w:t>historiques</w:t>
      </w:r>
    </w:p>
    <w:p w14:paraId="6C94D343" w14:textId="77777777" w:rsidR="009947B9" w:rsidRDefault="009947B9" w:rsidP="009947B9">
      <w:pPr>
        <w:pStyle w:val="Corpsdetexte"/>
        <w:numPr>
          <w:ilvl w:val="0"/>
          <w:numId w:val="236"/>
        </w:numPr>
        <w:ind w:left="850" w:hanging="357"/>
      </w:pPr>
      <w:r>
        <w:t>Diagnostique technique et environnemental pour l’identification des différents activités à entreprendre et les enjeux et impact environnementaux probables</w:t>
      </w:r>
    </w:p>
    <w:p w14:paraId="2479937F" w14:textId="77777777" w:rsidR="009947B9" w:rsidRDefault="009947B9" w:rsidP="009947B9">
      <w:pPr>
        <w:pStyle w:val="Corpsdetexte"/>
        <w:numPr>
          <w:ilvl w:val="0"/>
          <w:numId w:val="236"/>
        </w:numPr>
        <w:ind w:left="850" w:hanging="357"/>
      </w:pPr>
      <w:r w:rsidRPr="00461022">
        <w:t>L’élaboration d’un Plan de Gestion Environnementale et sociale (PGES) du projet selon les cadres</w:t>
      </w:r>
      <w:r w:rsidRPr="00461022">
        <w:rPr>
          <w:spacing w:val="1"/>
        </w:rPr>
        <w:t xml:space="preserve"> </w:t>
      </w:r>
      <w:r w:rsidRPr="00461022">
        <w:t>réglementaires nationaux, les normes environnementales et sociales de la Banque Mondiale et les</w:t>
      </w:r>
      <w:r w:rsidRPr="00461022">
        <w:rPr>
          <w:spacing w:val="1"/>
        </w:rPr>
        <w:t xml:space="preserve"> </w:t>
      </w:r>
      <w:r w:rsidRPr="00461022">
        <w:t>documents</w:t>
      </w:r>
      <w:r w:rsidRPr="00461022">
        <w:rPr>
          <w:spacing w:val="-2"/>
        </w:rPr>
        <w:t xml:space="preserve"> </w:t>
      </w:r>
      <w:r w:rsidRPr="00461022">
        <w:t>cadres</w:t>
      </w:r>
      <w:r w:rsidRPr="00461022">
        <w:rPr>
          <w:spacing w:val="-1"/>
        </w:rPr>
        <w:t xml:space="preserve"> </w:t>
      </w:r>
      <w:r w:rsidRPr="00461022">
        <w:t>de sauvegarde</w:t>
      </w:r>
      <w:r w:rsidRPr="00461022">
        <w:rPr>
          <w:spacing w:val="-1"/>
        </w:rPr>
        <w:t xml:space="preserve"> </w:t>
      </w:r>
      <w:r w:rsidRPr="00461022">
        <w:t>environnementale et sociale du</w:t>
      </w:r>
      <w:r w:rsidRPr="00461022">
        <w:rPr>
          <w:spacing w:val="-2"/>
        </w:rPr>
        <w:t xml:space="preserve"> </w:t>
      </w:r>
      <w:r w:rsidRPr="00461022">
        <w:t>projet</w:t>
      </w:r>
    </w:p>
    <w:p w14:paraId="671C472D" w14:textId="77777777" w:rsidR="009947B9" w:rsidRDefault="009947B9" w:rsidP="009947B9">
      <w:pPr>
        <w:pStyle w:val="Corpsdetexte"/>
        <w:ind w:left="850"/>
      </w:pPr>
    </w:p>
    <w:p w14:paraId="42E37399" w14:textId="77777777" w:rsidR="009947B9" w:rsidRPr="00323FBD" w:rsidRDefault="009947B9" w:rsidP="009947B9">
      <w:pPr>
        <w:pStyle w:val="Paragraphedeliste"/>
        <w:numPr>
          <w:ilvl w:val="1"/>
          <w:numId w:val="212"/>
        </w:numPr>
        <w:spacing w:after="0" w:line="240" w:lineRule="auto"/>
        <w:rPr>
          <w:b/>
          <w:snapToGrid w:val="0"/>
          <w:lang w:eastAsia="fr-FR"/>
        </w:rPr>
      </w:pPr>
      <w:r w:rsidRPr="00323FBD">
        <w:rPr>
          <w:b/>
          <w:snapToGrid w:val="0"/>
          <w:lang w:eastAsia="fr-FR"/>
        </w:rPr>
        <w:t xml:space="preserve">Plan de Gestion Environnemental et Social (PGES) </w:t>
      </w:r>
    </w:p>
    <w:p w14:paraId="2AD67DCA" w14:textId="77777777" w:rsidR="009947B9" w:rsidRDefault="009947B9" w:rsidP="009947B9">
      <w:pPr>
        <w:widowControl w:val="0"/>
        <w:overflowPunct w:val="0"/>
        <w:autoSpaceDE w:val="0"/>
        <w:autoSpaceDN w:val="0"/>
        <w:adjustRightInd w:val="0"/>
        <w:jc w:val="both"/>
        <w:textAlignment w:val="baseline"/>
        <w:rPr>
          <w:sz w:val="20"/>
          <w:lang w:eastAsia="fr-FR"/>
        </w:rPr>
      </w:pPr>
    </w:p>
    <w:p w14:paraId="01A4739F" w14:textId="77777777" w:rsidR="009947B9" w:rsidRPr="00461022" w:rsidRDefault="009947B9" w:rsidP="009947B9">
      <w:pPr>
        <w:pStyle w:val="Corpsdetexte"/>
        <w:spacing w:before="181"/>
        <w:ind w:left="136"/>
        <w:jc w:val="both"/>
      </w:pPr>
      <w:r>
        <w:t>Dans le cadre de cette étude, l</w:t>
      </w:r>
      <w:r w:rsidRPr="00461022">
        <w:t xml:space="preserve">e </w:t>
      </w:r>
      <w:r>
        <w:t xml:space="preserve">Consultant </w:t>
      </w:r>
      <w:r w:rsidRPr="00461022">
        <w:t xml:space="preserve"> assure </w:t>
      </w:r>
      <w:r>
        <w:t xml:space="preserve">l’Etude </w:t>
      </w:r>
      <w:r w:rsidRPr="00461022">
        <w:t>Environnemental et Social conformément aux documents cadres de</w:t>
      </w:r>
      <w:r w:rsidRPr="000F45B6">
        <w:t xml:space="preserve"> </w:t>
      </w:r>
      <w:r w:rsidRPr="00461022">
        <w:t>sauvegarde</w:t>
      </w:r>
      <w:r w:rsidRPr="000F45B6">
        <w:t xml:space="preserve"> </w:t>
      </w:r>
      <w:r w:rsidRPr="00461022">
        <w:t>environnementale</w:t>
      </w:r>
      <w:r w:rsidRPr="000F45B6">
        <w:t xml:space="preserve"> </w:t>
      </w:r>
      <w:r w:rsidRPr="00461022">
        <w:t>et</w:t>
      </w:r>
      <w:r w:rsidRPr="000F45B6">
        <w:t xml:space="preserve"> </w:t>
      </w:r>
      <w:r w:rsidRPr="00461022">
        <w:t>sociale</w:t>
      </w:r>
      <w:r w:rsidRPr="000F45B6">
        <w:t xml:space="preserve"> </w:t>
      </w:r>
      <w:r w:rsidRPr="00461022">
        <w:t>du</w:t>
      </w:r>
      <w:r w:rsidRPr="000F45B6">
        <w:t xml:space="preserve"> </w:t>
      </w:r>
      <w:r w:rsidRPr="00461022">
        <w:t>projet</w:t>
      </w:r>
      <w:r w:rsidRPr="000F45B6">
        <w:t xml:space="preserve"> </w:t>
      </w:r>
      <w:r w:rsidRPr="00461022">
        <w:t>(Cadre</w:t>
      </w:r>
      <w:r w:rsidRPr="000F45B6">
        <w:t xml:space="preserve"> </w:t>
      </w:r>
      <w:r w:rsidRPr="00461022">
        <w:t>de</w:t>
      </w:r>
      <w:r w:rsidRPr="000F45B6">
        <w:t xml:space="preserve"> </w:t>
      </w:r>
      <w:r w:rsidRPr="00461022">
        <w:t>Gestion</w:t>
      </w:r>
      <w:r w:rsidRPr="000F45B6">
        <w:t xml:space="preserve"> </w:t>
      </w:r>
      <w:r w:rsidRPr="00461022">
        <w:t>Environnementale</w:t>
      </w:r>
      <w:r w:rsidRPr="000F45B6">
        <w:t xml:space="preserve"> </w:t>
      </w:r>
      <w:r w:rsidRPr="00461022">
        <w:t>et Sociale</w:t>
      </w:r>
      <w:r w:rsidRPr="000F45B6">
        <w:t xml:space="preserve"> </w:t>
      </w:r>
      <w:r w:rsidRPr="00461022">
        <w:t>CGES,</w:t>
      </w:r>
      <w:r w:rsidRPr="000F45B6">
        <w:t xml:space="preserve"> </w:t>
      </w:r>
      <w:r w:rsidRPr="00461022">
        <w:t>Cadre</w:t>
      </w:r>
      <w:r w:rsidRPr="000F45B6">
        <w:t xml:space="preserve"> </w:t>
      </w:r>
      <w:r w:rsidRPr="00461022">
        <w:t>de</w:t>
      </w:r>
      <w:r w:rsidRPr="000F45B6">
        <w:t xml:space="preserve"> </w:t>
      </w:r>
      <w:r w:rsidRPr="00461022">
        <w:t>Réinstallation CR, Procédures de Gestion de la Main d’œuvre PGMO, Plan de Mobilisation des Parties Prenantes</w:t>
      </w:r>
      <w:r w:rsidRPr="000F45B6">
        <w:t xml:space="preserve"> </w:t>
      </w:r>
      <w:r w:rsidRPr="00461022">
        <w:t>PMPP). Il détermine et examine en détail les impacts et les risques environnementaux et sociaux potentiels et</w:t>
      </w:r>
      <w:r w:rsidRPr="000F45B6">
        <w:t xml:space="preserve"> </w:t>
      </w:r>
      <w:r w:rsidRPr="00461022">
        <w:t>propose</w:t>
      </w:r>
      <w:r w:rsidRPr="000F45B6">
        <w:t xml:space="preserve"> </w:t>
      </w:r>
      <w:r w:rsidRPr="00461022">
        <w:t>des</w:t>
      </w:r>
      <w:r w:rsidRPr="000F45B6">
        <w:t xml:space="preserve"> </w:t>
      </w:r>
      <w:r w:rsidRPr="00461022">
        <w:t>mesures</w:t>
      </w:r>
      <w:r w:rsidRPr="000F45B6">
        <w:t xml:space="preserve"> </w:t>
      </w:r>
      <w:r w:rsidRPr="00461022">
        <w:t>d’atténuation</w:t>
      </w:r>
      <w:r w:rsidRPr="000F45B6">
        <w:t xml:space="preserve"> </w:t>
      </w:r>
      <w:r w:rsidRPr="00461022">
        <w:t>convenables.</w:t>
      </w:r>
      <w:r w:rsidRPr="000F45B6">
        <w:t xml:space="preserve"> </w:t>
      </w:r>
      <w:r w:rsidRPr="00461022">
        <w:t>Les</w:t>
      </w:r>
      <w:r w:rsidRPr="000F45B6">
        <w:t xml:space="preserve"> </w:t>
      </w:r>
      <w:r w:rsidRPr="00461022">
        <w:t>prestations</w:t>
      </w:r>
      <w:r w:rsidRPr="000F45B6">
        <w:t xml:space="preserve"> </w:t>
      </w:r>
      <w:r w:rsidRPr="00461022">
        <w:t>du</w:t>
      </w:r>
      <w:r w:rsidRPr="000F45B6">
        <w:t xml:space="preserve"> </w:t>
      </w:r>
      <w:r w:rsidRPr="00461022">
        <w:t>bureau</w:t>
      </w:r>
      <w:r w:rsidRPr="000F45B6">
        <w:t xml:space="preserve"> </w:t>
      </w:r>
      <w:r w:rsidRPr="00461022">
        <w:t>d’études</w:t>
      </w:r>
      <w:r w:rsidRPr="000F45B6">
        <w:t xml:space="preserve"> </w:t>
      </w:r>
      <w:r w:rsidRPr="00461022">
        <w:t>consistent</w:t>
      </w:r>
      <w:r w:rsidRPr="000F45B6">
        <w:t xml:space="preserve"> </w:t>
      </w:r>
      <w:r w:rsidRPr="00461022">
        <w:t>à :</w:t>
      </w:r>
    </w:p>
    <w:p w14:paraId="1CF447F2" w14:textId="77777777" w:rsidR="009947B9" w:rsidRPr="00461022" w:rsidRDefault="009947B9" w:rsidP="009947B9">
      <w:pPr>
        <w:pStyle w:val="Corpsdetexte"/>
        <w:numPr>
          <w:ilvl w:val="0"/>
          <w:numId w:val="236"/>
        </w:numPr>
        <w:ind w:left="850" w:hanging="357"/>
        <w:jc w:val="both"/>
      </w:pPr>
      <w:r w:rsidRPr="000F45B6">
        <w:t xml:space="preserve">Vérifier la conformité de l’activité avec la législation nationale, les NES pertinentes du CES de la Banque </w:t>
      </w:r>
      <w:r w:rsidRPr="00461022">
        <w:t>mondiale</w:t>
      </w:r>
      <w:r w:rsidRPr="000F45B6">
        <w:t xml:space="preserve"> </w:t>
      </w:r>
      <w:r w:rsidRPr="00461022">
        <w:t>et</w:t>
      </w:r>
      <w:r w:rsidRPr="000F45B6">
        <w:t xml:space="preserve"> </w:t>
      </w:r>
      <w:r w:rsidRPr="00461022">
        <w:t>les</w:t>
      </w:r>
      <w:r w:rsidRPr="000F45B6">
        <w:t xml:space="preserve"> </w:t>
      </w:r>
      <w:r w:rsidRPr="00461022">
        <w:t>documents</w:t>
      </w:r>
      <w:r w:rsidRPr="000F45B6">
        <w:t xml:space="preserve"> </w:t>
      </w:r>
      <w:r w:rsidRPr="00461022">
        <w:t>cadres</w:t>
      </w:r>
      <w:r w:rsidRPr="000F45B6">
        <w:t xml:space="preserve"> </w:t>
      </w:r>
      <w:r w:rsidRPr="00461022">
        <w:t>de</w:t>
      </w:r>
      <w:r w:rsidRPr="000F45B6">
        <w:t xml:space="preserve"> </w:t>
      </w:r>
      <w:r w:rsidRPr="00461022">
        <w:t>sauvegarde</w:t>
      </w:r>
      <w:r w:rsidRPr="000F45B6">
        <w:t xml:space="preserve"> </w:t>
      </w:r>
      <w:r w:rsidRPr="00461022">
        <w:t>environnementale</w:t>
      </w:r>
      <w:r w:rsidRPr="000F45B6">
        <w:t xml:space="preserve"> </w:t>
      </w:r>
      <w:r w:rsidRPr="00461022">
        <w:t>et</w:t>
      </w:r>
      <w:r w:rsidRPr="000F45B6">
        <w:t xml:space="preserve"> </w:t>
      </w:r>
      <w:r w:rsidRPr="00461022">
        <w:t>sociale</w:t>
      </w:r>
      <w:r w:rsidRPr="000F45B6">
        <w:t xml:space="preserve"> </w:t>
      </w:r>
      <w:r w:rsidRPr="00461022">
        <w:t>du</w:t>
      </w:r>
      <w:r w:rsidRPr="000F45B6">
        <w:t xml:space="preserve"> </w:t>
      </w:r>
      <w:r w:rsidRPr="00461022">
        <w:t>projet</w:t>
      </w:r>
      <w:r w:rsidRPr="000F45B6">
        <w:t xml:space="preserve"> </w:t>
      </w:r>
      <w:r>
        <w:t>DECIM</w:t>
      </w:r>
    </w:p>
    <w:p w14:paraId="6278D6B2" w14:textId="77777777" w:rsidR="009947B9" w:rsidRPr="00461022" w:rsidRDefault="009947B9" w:rsidP="009947B9">
      <w:pPr>
        <w:pStyle w:val="Corpsdetexte"/>
        <w:numPr>
          <w:ilvl w:val="0"/>
          <w:numId w:val="236"/>
        </w:numPr>
        <w:ind w:left="850" w:hanging="357"/>
        <w:jc w:val="both"/>
      </w:pPr>
      <w:r w:rsidRPr="000F45B6">
        <w:t xml:space="preserve">Décrire </w:t>
      </w:r>
      <w:r w:rsidRPr="00461022">
        <w:t>les</w:t>
      </w:r>
      <w:r w:rsidRPr="000F45B6">
        <w:t xml:space="preserve"> </w:t>
      </w:r>
      <w:r w:rsidRPr="00461022">
        <w:t>milieux</w:t>
      </w:r>
      <w:r w:rsidRPr="000F45B6">
        <w:t xml:space="preserve"> </w:t>
      </w:r>
      <w:r w:rsidRPr="00461022">
        <w:t>récepteurs</w:t>
      </w:r>
      <w:r w:rsidRPr="000F45B6">
        <w:t xml:space="preserve"> </w:t>
      </w:r>
      <w:r w:rsidRPr="00461022">
        <w:t>du</w:t>
      </w:r>
      <w:r w:rsidRPr="000F45B6">
        <w:t xml:space="preserve"> </w:t>
      </w:r>
      <w:r w:rsidRPr="00461022">
        <w:t>projet,</w:t>
      </w:r>
      <w:r w:rsidRPr="000F45B6">
        <w:t xml:space="preserve"> </w:t>
      </w:r>
      <w:r w:rsidRPr="00461022">
        <w:t>les</w:t>
      </w:r>
      <w:r w:rsidRPr="000F45B6">
        <w:t xml:space="preserve"> </w:t>
      </w:r>
      <w:r w:rsidRPr="00461022">
        <w:t>zones</w:t>
      </w:r>
      <w:r w:rsidRPr="000F45B6">
        <w:t xml:space="preserve"> </w:t>
      </w:r>
      <w:r w:rsidRPr="00461022">
        <w:t>d’implantation</w:t>
      </w:r>
      <w:r w:rsidRPr="000F45B6">
        <w:t xml:space="preserve"> </w:t>
      </w:r>
      <w:r w:rsidRPr="00461022">
        <w:t>immédiate</w:t>
      </w:r>
      <w:r w:rsidRPr="000F45B6">
        <w:t xml:space="preserve"> </w:t>
      </w:r>
      <w:r w:rsidRPr="00461022">
        <w:t>du</w:t>
      </w:r>
      <w:r w:rsidRPr="000F45B6">
        <w:t xml:space="preserve"> </w:t>
      </w:r>
      <w:r w:rsidRPr="00461022">
        <w:t>projet</w:t>
      </w:r>
      <w:r w:rsidRPr="000F45B6">
        <w:t xml:space="preserve"> </w:t>
      </w:r>
      <w:r w:rsidRPr="00461022">
        <w:t>(milieux</w:t>
      </w:r>
      <w:r w:rsidRPr="000F45B6">
        <w:t xml:space="preserve"> </w:t>
      </w:r>
      <w:r w:rsidRPr="00461022">
        <w:t>physique,</w:t>
      </w:r>
      <w:r w:rsidRPr="000F45B6">
        <w:t xml:space="preserve"> </w:t>
      </w:r>
      <w:r w:rsidRPr="00461022">
        <w:t>biologique</w:t>
      </w:r>
      <w:r w:rsidRPr="000F45B6">
        <w:t xml:space="preserve"> </w:t>
      </w:r>
      <w:r w:rsidRPr="00461022">
        <w:t>et</w:t>
      </w:r>
      <w:r w:rsidRPr="000F45B6">
        <w:t xml:space="preserve"> </w:t>
      </w:r>
      <w:r w:rsidRPr="00461022">
        <w:t>humain)</w:t>
      </w:r>
      <w:r>
        <w:t xml:space="preserve">. Le prestataire mettra l’accent sur  </w:t>
      </w:r>
      <w:r w:rsidRPr="00401BE5">
        <w:t>le contexte sanitaire, comme la transmission de maladies comme les IST, VIH/SIDA et la COVID-19, et le patrimoine culturel</w:t>
      </w:r>
    </w:p>
    <w:p w14:paraId="50D15074" w14:textId="77777777" w:rsidR="009947B9" w:rsidRPr="00461022" w:rsidRDefault="009947B9" w:rsidP="009947B9">
      <w:pPr>
        <w:pStyle w:val="Corpsdetexte"/>
        <w:numPr>
          <w:ilvl w:val="0"/>
          <w:numId w:val="236"/>
        </w:numPr>
        <w:ind w:left="850" w:hanging="357"/>
        <w:jc w:val="both"/>
      </w:pPr>
      <w:r w:rsidRPr="00461022">
        <w:t>Mener</w:t>
      </w:r>
      <w:r w:rsidRPr="000F45B6">
        <w:t xml:space="preserve"> </w:t>
      </w:r>
      <w:r w:rsidRPr="00461022">
        <w:t>des</w:t>
      </w:r>
      <w:r w:rsidRPr="000F45B6">
        <w:t xml:space="preserve"> </w:t>
      </w:r>
      <w:r w:rsidRPr="00461022">
        <w:t>consultations</w:t>
      </w:r>
      <w:r w:rsidRPr="000F45B6">
        <w:t xml:space="preserve"> </w:t>
      </w:r>
      <w:r w:rsidRPr="00461022">
        <w:t>publiques</w:t>
      </w:r>
      <w:r w:rsidRPr="000F45B6">
        <w:t xml:space="preserve"> </w:t>
      </w:r>
      <w:r w:rsidRPr="00461022">
        <w:t>au</w:t>
      </w:r>
      <w:r w:rsidRPr="000F45B6">
        <w:t xml:space="preserve"> </w:t>
      </w:r>
      <w:r w:rsidRPr="00461022">
        <w:t>niveau</w:t>
      </w:r>
      <w:r w:rsidRPr="000F45B6">
        <w:t xml:space="preserve"> </w:t>
      </w:r>
      <w:r w:rsidRPr="00461022">
        <w:t>de</w:t>
      </w:r>
      <w:r w:rsidRPr="000F45B6">
        <w:t xml:space="preserve"> </w:t>
      </w:r>
      <w:r w:rsidRPr="00461022">
        <w:t>chaque</w:t>
      </w:r>
      <w:r w:rsidRPr="000F45B6">
        <w:t xml:space="preserve"> </w:t>
      </w:r>
      <w:r w:rsidRPr="00461022">
        <w:t>zone</w:t>
      </w:r>
      <w:r w:rsidRPr="000F45B6">
        <w:t xml:space="preserve"> </w:t>
      </w:r>
      <w:r w:rsidRPr="00461022">
        <w:t>d’intervention</w:t>
      </w:r>
      <w:r w:rsidRPr="000F45B6">
        <w:t xml:space="preserve"> </w:t>
      </w:r>
      <w:r w:rsidRPr="00461022">
        <w:t>du</w:t>
      </w:r>
      <w:r w:rsidRPr="000F45B6">
        <w:t xml:space="preserve"> </w:t>
      </w:r>
      <w:r w:rsidRPr="00461022">
        <w:t>projet.</w:t>
      </w:r>
    </w:p>
    <w:p w14:paraId="090855F3" w14:textId="77777777" w:rsidR="009947B9" w:rsidRPr="00461022" w:rsidRDefault="009947B9" w:rsidP="009947B9">
      <w:pPr>
        <w:pStyle w:val="Corpsdetexte"/>
        <w:numPr>
          <w:ilvl w:val="0"/>
          <w:numId w:val="236"/>
        </w:numPr>
        <w:ind w:left="850" w:hanging="357"/>
        <w:jc w:val="both"/>
      </w:pPr>
      <w:r w:rsidRPr="00461022">
        <w:t>Identifier</w:t>
      </w:r>
      <w:r w:rsidRPr="000F45B6">
        <w:t xml:space="preserve"> </w:t>
      </w:r>
      <w:r w:rsidRPr="00461022">
        <w:t>les sources</w:t>
      </w:r>
      <w:r w:rsidRPr="000F45B6">
        <w:t xml:space="preserve"> </w:t>
      </w:r>
      <w:r w:rsidRPr="00461022">
        <w:t>d’impacts</w:t>
      </w:r>
      <w:r w:rsidRPr="000F45B6">
        <w:t xml:space="preserve"> </w:t>
      </w:r>
      <w:r w:rsidRPr="00461022">
        <w:t>environnementaux</w:t>
      </w:r>
      <w:r w:rsidRPr="000F45B6">
        <w:t xml:space="preserve"> </w:t>
      </w:r>
      <w:r w:rsidRPr="00461022">
        <w:t>et sociaux</w:t>
      </w:r>
      <w:r w:rsidRPr="000F45B6">
        <w:t xml:space="preserve"> </w:t>
      </w:r>
      <w:r w:rsidRPr="00461022">
        <w:t>pour</w:t>
      </w:r>
      <w:r w:rsidRPr="000F45B6">
        <w:t xml:space="preserve"> </w:t>
      </w:r>
      <w:r w:rsidRPr="00461022">
        <w:t>chaque</w:t>
      </w:r>
      <w:r w:rsidRPr="000F45B6">
        <w:t xml:space="preserve"> </w:t>
      </w:r>
      <w:r w:rsidRPr="00461022">
        <w:t>phase</w:t>
      </w:r>
      <w:r w:rsidRPr="000F45B6">
        <w:t xml:space="preserve"> </w:t>
      </w:r>
      <w:r w:rsidRPr="00461022">
        <w:t>du</w:t>
      </w:r>
      <w:r w:rsidRPr="000F45B6">
        <w:t xml:space="preserve"> </w:t>
      </w:r>
      <w:r w:rsidRPr="00461022">
        <w:t>projet.</w:t>
      </w:r>
    </w:p>
    <w:p w14:paraId="1FD5FCA8" w14:textId="77777777" w:rsidR="009947B9" w:rsidRPr="00461022" w:rsidRDefault="009947B9" w:rsidP="009947B9">
      <w:pPr>
        <w:pStyle w:val="Corpsdetexte"/>
        <w:numPr>
          <w:ilvl w:val="0"/>
          <w:numId w:val="236"/>
        </w:numPr>
        <w:ind w:left="850" w:hanging="357"/>
        <w:jc w:val="both"/>
      </w:pPr>
      <w:r w:rsidRPr="00461022">
        <w:t>Identifier les</w:t>
      </w:r>
      <w:r w:rsidRPr="000F45B6">
        <w:t xml:space="preserve"> </w:t>
      </w:r>
      <w:r w:rsidRPr="00461022">
        <w:t>impacts</w:t>
      </w:r>
      <w:r w:rsidRPr="000F45B6">
        <w:t xml:space="preserve"> </w:t>
      </w:r>
      <w:r w:rsidRPr="00461022">
        <w:t>environnementaux</w:t>
      </w:r>
      <w:r w:rsidRPr="000F45B6">
        <w:t xml:space="preserve"> </w:t>
      </w:r>
      <w:r w:rsidRPr="00461022">
        <w:t>et</w:t>
      </w:r>
      <w:r w:rsidRPr="000F45B6">
        <w:t xml:space="preserve"> </w:t>
      </w:r>
      <w:r w:rsidRPr="00461022">
        <w:t>sociaux</w:t>
      </w:r>
      <w:r w:rsidRPr="000F45B6">
        <w:t xml:space="preserve"> </w:t>
      </w:r>
      <w:r w:rsidRPr="00461022">
        <w:t>prévisibles</w:t>
      </w:r>
      <w:r w:rsidRPr="000F45B6">
        <w:t xml:space="preserve"> </w:t>
      </w:r>
      <w:r>
        <w:t xml:space="preserve">à </w:t>
      </w:r>
      <w:r w:rsidRPr="00461022">
        <w:t>chaque</w:t>
      </w:r>
      <w:r w:rsidRPr="000F45B6">
        <w:t xml:space="preserve"> </w:t>
      </w:r>
      <w:r w:rsidRPr="00461022">
        <w:t>phase</w:t>
      </w:r>
      <w:r w:rsidRPr="000F45B6">
        <w:t xml:space="preserve"> </w:t>
      </w:r>
      <w:r w:rsidRPr="00461022">
        <w:t>du</w:t>
      </w:r>
      <w:r w:rsidRPr="000F45B6">
        <w:t xml:space="preserve"> </w:t>
      </w:r>
      <w:r w:rsidRPr="00461022">
        <w:t>projet.</w:t>
      </w:r>
    </w:p>
    <w:p w14:paraId="6F4A8767" w14:textId="77777777" w:rsidR="009947B9" w:rsidRPr="00461022" w:rsidRDefault="009947B9" w:rsidP="009947B9">
      <w:pPr>
        <w:pStyle w:val="Corpsdetexte"/>
        <w:numPr>
          <w:ilvl w:val="0"/>
          <w:numId w:val="236"/>
        </w:numPr>
        <w:ind w:left="850" w:hanging="357"/>
        <w:jc w:val="both"/>
      </w:pPr>
      <w:r w:rsidRPr="00461022">
        <w:t>Evaluer l’importance des impacts suivant son étendue, sa durée, son amplitude et la nature du milieu</w:t>
      </w:r>
      <w:r w:rsidRPr="000F45B6">
        <w:t xml:space="preserve"> </w:t>
      </w:r>
      <w:r w:rsidRPr="00461022">
        <w:t>récepteur.</w:t>
      </w:r>
    </w:p>
    <w:p w14:paraId="19397A79" w14:textId="77777777" w:rsidR="009947B9" w:rsidRDefault="009947B9" w:rsidP="009947B9">
      <w:pPr>
        <w:pStyle w:val="Corpsdetexte"/>
        <w:numPr>
          <w:ilvl w:val="0"/>
          <w:numId w:val="236"/>
        </w:numPr>
        <w:ind w:left="850" w:hanging="357"/>
        <w:jc w:val="both"/>
      </w:pPr>
      <w:r w:rsidRPr="000F45B6">
        <w:t xml:space="preserve">Evaluer </w:t>
      </w:r>
      <w:r w:rsidRPr="00461022">
        <w:t>le</w:t>
      </w:r>
      <w:r w:rsidRPr="000F45B6">
        <w:t xml:space="preserve"> </w:t>
      </w:r>
      <w:r w:rsidRPr="00461022">
        <w:t>risque</w:t>
      </w:r>
      <w:r w:rsidRPr="000F45B6">
        <w:t xml:space="preserve"> </w:t>
      </w:r>
      <w:r w:rsidRPr="00461022">
        <w:t>de</w:t>
      </w:r>
      <w:r w:rsidRPr="000F45B6">
        <w:t xml:space="preserve"> </w:t>
      </w:r>
      <w:r w:rsidRPr="00461022">
        <w:t>violence</w:t>
      </w:r>
      <w:r w:rsidRPr="000F45B6">
        <w:t xml:space="preserve"> </w:t>
      </w:r>
      <w:r w:rsidRPr="00461022">
        <w:t>basée</w:t>
      </w:r>
      <w:r w:rsidRPr="000F45B6">
        <w:t xml:space="preserve"> </w:t>
      </w:r>
      <w:r w:rsidRPr="00461022">
        <w:t>sur</w:t>
      </w:r>
      <w:r w:rsidRPr="000F45B6">
        <w:t xml:space="preserve"> </w:t>
      </w:r>
      <w:r w:rsidRPr="00461022">
        <w:t>le</w:t>
      </w:r>
      <w:r w:rsidRPr="000F45B6">
        <w:t xml:space="preserve"> </w:t>
      </w:r>
      <w:r w:rsidRPr="00461022">
        <w:t>genre,</w:t>
      </w:r>
      <w:r w:rsidRPr="000F45B6">
        <w:t xml:space="preserve"> </w:t>
      </w:r>
      <w:r w:rsidRPr="00461022">
        <w:t>l’exploitation</w:t>
      </w:r>
      <w:r w:rsidRPr="000F45B6">
        <w:t xml:space="preserve"> </w:t>
      </w:r>
      <w:r w:rsidRPr="00461022">
        <w:t>et</w:t>
      </w:r>
      <w:r w:rsidRPr="000F45B6">
        <w:t xml:space="preserve"> </w:t>
      </w:r>
      <w:r w:rsidRPr="00461022">
        <w:t>les</w:t>
      </w:r>
      <w:r w:rsidRPr="000F45B6">
        <w:t xml:space="preserve"> </w:t>
      </w:r>
      <w:r w:rsidRPr="00461022">
        <w:t>abus</w:t>
      </w:r>
      <w:r w:rsidRPr="000F45B6">
        <w:t xml:space="preserve"> </w:t>
      </w:r>
      <w:r w:rsidRPr="00461022">
        <w:t>sexuels</w:t>
      </w:r>
      <w:r w:rsidRPr="000F45B6">
        <w:t xml:space="preserve"> </w:t>
      </w:r>
      <w:r w:rsidRPr="00461022">
        <w:t>(EAS)</w:t>
      </w:r>
      <w:r>
        <w:t>,</w:t>
      </w:r>
      <w:r w:rsidRPr="000F45B6">
        <w:t xml:space="preserve"> </w:t>
      </w:r>
      <w:r w:rsidRPr="00461022">
        <w:t>le</w:t>
      </w:r>
      <w:r w:rsidRPr="000F45B6">
        <w:t xml:space="preserve"> </w:t>
      </w:r>
      <w:r w:rsidRPr="00461022">
        <w:t>harcèlement</w:t>
      </w:r>
      <w:r w:rsidRPr="000F45B6">
        <w:t xml:space="preserve"> </w:t>
      </w:r>
      <w:r w:rsidRPr="00461022">
        <w:t>sexuel</w:t>
      </w:r>
      <w:r w:rsidRPr="000F45B6">
        <w:t xml:space="preserve"> </w:t>
      </w:r>
      <w:r>
        <w:t>(</w:t>
      </w:r>
      <w:r w:rsidRPr="00401BE5">
        <w:t>VIH/SIDA et la COVID-19</w:t>
      </w:r>
      <w:r>
        <w:t xml:space="preserve">) </w:t>
      </w:r>
      <w:r w:rsidRPr="00461022">
        <w:t>et proposer</w:t>
      </w:r>
      <w:r w:rsidRPr="000F45B6">
        <w:t xml:space="preserve"> </w:t>
      </w:r>
      <w:r w:rsidRPr="00461022">
        <w:t>des</w:t>
      </w:r>
      <w:r w:rsidRPr="000F45B6">
        <w:t xml:space="preserve"> </w:t>
      </w:r>
      <w:r w:rsidRPr="00461022">
        <w:t>mesures</w:t>
      </w:r>
      <w:r w:rsidRPr="000F45B6">
        <w:t xml:space="preserve"> </w:t>
      </w:r>
      <w:r w:rsidRPr="00461022">
        <w:t>d'atténuation.</w:t>
      </w:r>
    </w:p>
    <w:p w14:paraId="4D1C37C4" w14:textId="77777777" w:rsidR="009947B9" w:rsidRDefault="009947B9" w:rsidP="009947B9">
      <w:pPr>
        <w:pStyle w:val="Corpsdetexte"/>
        <w:numPr>
          <w:ilvl w:val="0"/>
          <w:numId w:val="236"/>
        </w:numPr>
        <w:ind w:left="850" w:hanging="357"/>
        <w:jc w:val="both"/>
      </w:pPr>
      <w:r>
        <w:t xml:space="preserve">Evaluer le risque sur les patrimoines culturels et </w:t>
      </w:r>
      <w:r w:rsidRPr="00461022">
        <w:t>des</w:t>
      </w:r>
      <w:r w:rsidRPr="000F45B6">
        <w:t xml:space="preserve"> </w:t>
      </w:r>
      <w:r w:rsidRPr="00461022">
        <w:t>mesures</w:t>
      </w:r>
      <w:r w:rsidRPr="000F45B6">
        <w:t xml:space="preserve"> </w:t>
      </w:r>
      <w:r w:rsidRPr="00461022">
        <w:t>d'atténuation</w:t>
      </w:r>
    </w:p>
    <w:p w14:paraId="4E9442CD" w14:textId="77777777" w:rsidR="009947B9" w:rsidRPr="00461022" w:rsidRDefault="009947B9" w:rsidP="009947B9">
      <w:pPr>
        <w:pStyle w:val="Corpsdetexte"/>
        <w:numPr>
          <w:ilvl w:val="0"/>
          <w:numId w:val="236"/>
        </w:numPr>
        <w:ind w:left="850" w:hanging="357"/>
        <w:jc w:val="both"/>
      </w:pPr>
      <w:r w:rsidRPr="00461022">
        <w:t>Proposer</w:t>
      </w:r>
      <w:r w:rsidRPr="000F45B6">
        <w:t xml:space="preserve"> </w:t>
      </w:r>
      <w:r w:rsidRPr="00461022">
        <w:t>des</w:t>
      </w:r>
      <w:r w:rsidRPr="000F45B6">
        <w:t xml:space="preserve"> </w:t>
      </w:r>
      <w:r w:rsidRPr="00461022">
        <w:t>mesures</w:t>
      </w:r>
      <w:r w:rsidRPr="000F45B6">
        <w:t xml:space="preserve"> </w:t>
      </w:r>
      <w:r w:rsidRPr="00461022">
        <w:t>d'atténuation</w:t>
      </w:r>
      <w:r w:rsidRPr="000F45B6">
        <w:t xml:space="preserve"> </w:t>
      </w:r>
      <w:r w:rsidRPr="00461022">
        <w:t>et</w:t>
      </w:r>
      <w:r w:rsidRPr="000F45B6">
        <w:t xml:space="preserve"> </w:t>
      </w:r>
      <w:r w:rsidRPr="00461022">
        <w:t>des</w:t>
      </w:r>
      <w:r w:rsidRPr="000F45B6">
        <w:t xml:space="preserve"> </w:t>
      </w:r>
      <w:r w:rsidRPr="00461022">
        <w:t>mesures</w:t>
      </w:r>
      <w:r w:rsidRPr="000F45B6">
        <w:t xml:space="preserve"> </w:t>
      </w:r>
      <w:r w:rsidRPr="00461022">
        <w:t>alternatives</w:t>
      </w:r>
      <w:r w:rsidRPr="000F45B6">
        <w:t xml:space="preserve"> </w:t>
      </w:r>
      <w:r w:rsidRPr="00461022">
        <w:t>efficaces</w:t>
      </w:r>
      <w:r w:rsidRPr="000F45B6">
        <w:t xml:space="preserve"> </w:t>
      </w:r>
      <w:r w:rsidRPr="00461022">
        <w:t>des</w:t>
      </w:r>
      <w:r w:rsidRPr="000F45B6">
        <w:t xml:space="preserve"> </w:t>
      </w:r>
      <w:r w:rsidRPr="00461022">
        <w:t>impacts</w:t>
      </w:r>
      <w:r w:rsidRPr="000F45B6">
        <w:t xml:space="preserve"> </w:t>
      </w:r>
      <w:r w:rsidRPr="00461022">
        <w:t>négatifs</w:t>
      </w:r>
      <w:r w:rsidRPr="000F45B6">
        <w:t xml:space="preserve"> </w:t>
      </w:r>
      <w:r w:rsidRPr="00461022">
        <w:t>à</w:t>
      </w:r>
      <w:r w:rsidRPr="000F45B6">
        <w:t xml:space="preserve"> </w:t>
      </w:r>
      <w:r w:rsidRPr="00461022">
        <w:t>des</w:t>
      </w:r>
      <w:r w:rsidRPr="000F45B6">
        <w:t xml:space="preserve"> </w:t>
      </w:r>
      <w:r w:rsidRPr="00461022">
        <w:t>coûts</w:t>
      </w:r>
      <w:r w:rsidRPr="000F45B6">
        <w:t xml:space="preserve"> </w:t>
      </w:r>
      <w:r w:rsidRPr="00461022">
        <w:t>acceptables</w:t>
      </w:r>
      <w:r w:rsidRPr="000F45B6">
        <w:t xml:space="preserve"> </w:t>
      </w:r>
      <w:r w:rsidRPr="00461022">
        <w:t>à</w:t>
      </w:r>
      <w:r w:rsidRPr="000F45B6">
        <w:t xml:space="preserve"> </w:t>
      </w:r>
      <w:r w:rsidRPr="00461022">
        <w:t>mettre</w:t>
      </w:r>
      <w:r w:rsidRPr="000F45B6">
        <w:t xml:space="preserve"> </w:t>
      </w:r>
      <w:r w:rsidRPr="00461022">
        <w:t>en</w:t>
      </w:r>
      <w:r w:rsidRPr="000F45B6">
        <w:t xml:space="preserve"> </w:t>
      </w:r>
      <w:r w:rsidRPr="00461022">
        <w:t>œuvre</w:t>
      </w:r>
      <w:r w:rsidRPr="000F45B6">
        <w:t xml:space="preserve"> </w:t>
      </w:r>
      <w:r w:rsidRPr="00461022">
        <w:t>pendant</w:t>
      </w:r>
      <w:r w:rsidRPr="000F45B6">
        <w:t xml:space="preserve"> </w:t>
      </w:r>
      <w:r w:rsidRPr="00461022">
        <w:t>et</w:t>
      </w:r>
      <w:r w:rsidRPr="000F45B6">
        <w:t xml:space="preserve"> </w:t>
      </w:r>
      <w:r w:rsidRPr="00461022">
        <w:t>après</w:t>
      </w:r>
      <w:r w:rsidRPr="000F45B6">
        <w:t xml:space="preserve"> </w:t>
      </w:r>
      <w:r w:rsidRPr="00461022">
        <w:t>la</w:t>
      </w:r>
      <w:r w:rsidRPr="000F45B6">
        <w:t xml:space="preserve"> </w:t>
      </w:r>
      <w:r w:rsidRPr="00461022">
        <w:t>mise</w:t>
      </w:r>
      <w:r w:rsidRPr="000F45B6">
        <w:t xml:space="preserve"> </w:t>
      </w:r>
      <w:r w:rsidRPr="00461022">
        <w:t>en</w:t>
      </w:r>
      <w:r w:rsidRPr="000F45B6">
        <w:t xml:space="preserve"> </w:t>
      </w:r>
      <w:r w:rsidRPr="00461022">
        <w:t>œuvre du</w:t>
      </w:r>
      <w:r w:rsidRPr="000F45B6">
        <w:t xml:space="preserve"> </w:t>
      </w:r>
      <w:r w:rsidRPr="00461022">
        <w:t>projet.</w:t>
      </w:r>
    </w:p>
    <w:p w14:paraId="28D3A231" w14:textId="77777777" w:rsidR="009947B9" w:rsidRPr="00461022" w:rsidRDefault="009947B9" w:rsidP="009947B9">
      <w:pPr>
        <w:pStyle w:val="Corpsdetexte"/>
        <w:numPr>
          <w:ilvl w:val="0"/>
          <w:numId w:val="236"/>
        </w:numPr>
        <w:ind w:left="850" w:hanging="357"/>
        <w:jc w:val="both"/>
      </w:pPr>
      <w:r w:rsidRPr="00461022">
        <w:t>Veiller à la mise en application des mesures d’hygiène, de sécurité et environnementales pendant les</w:t>
      </w:r>
      <w:r w:rsidRPr="000F45B6">
        <w:t xml:space="preserve"> </w:t>
      </w:r>
      <w:r w:rsidRPr="00461022">
        <w:t>différentes</w:t>
      </w:r>
      <w:r w:rsidRPr="000F45B6">
        <w:t xml:space="preserve"> </w:t>
      </w:r>
      <w:r w:rsidRPr="00461022">
        <w:t>phases</w:t>
      </w:r>
      <w:r w:rsidRPr="000F45B6">
        <w:t xml:space="preserve"> </w:t>
      </w:r>
      <w:r w:rsidRPr="00461022">
        <w:t>du</w:t>
      </w:r>
      <w:r w:rsidRPr="000F45B6">
        <w:t xml:space="preserve"> </w:t>
      </w:r>
      <w:r w:rsidRPr="00461022">
        <w:t>sous-projet</w:t>
      </w:r>
    </w:p>
    <w:p w14:paraId="5A0204F8" w14:textId="77777777" w:rsidR="009947B9" w:rsidRPr="00461022" w:rsidRDefault="009947B9" w:rsidP="009947B9">
      <w:pPr>
        <w:pStyle w:val="Corpsdetexte"/>
        <w:numPr>
          <w:ilvl w:val="0"/>
          <w:numId w:val="236"/>
        </w:numPr>
        <w:ind w:left="850" w:hanging="357"/>
        <w:jc w:val="both"/>
      </w:pPr>
      <w:r w:rsidRPr="00461022">
        <w:t>Elaborer</w:t>
      </w:r>
      <w:r w:rsidRPr="000F45B6">
        <w:t xml:space="preserve"> </w:t>
      </w:r>
      <w:r w:rsidRPr="00461022">
        <w:t>le Plan</w:t>
      </w:r>
      <w:r w:rsidRPr="000F45B6">
        <w:t xml:space="preserve"> </w:t>
      </w:r>
      <w:r w:rsidRPr="00461022">
        <w:t>de</w:t>
      </w:r>
      <w:r w:rsidRPr="000F45B6">
        <w:t xml:space="preserve"> </w:t>
      </w:r>
      <w:r w:rsidRPr="00461022">
        <w:t>Gestion</w:t>
      </w:r>
      <w:r w:rsidRPr="000F45B6">
        <w:t xml:space="preserve"> </w:t>
      </w:r>
      <w:r w:rsidRPr="00461022">
        <w:t>Environnementale</w:t>
      </w:r>
      <w:r w:rsidRPr="000F45B6">
        <w:t xml:space="preserve"> </w:t>
      </w:r>
      <w:r w:rsidRPr="00461022">
        <w:t>et</w:t>
      </w:r>
      <w:r w:rsidRPr="000F45B6">
        <w:t xml:space="preserve"> </w:t>
      </w:r>
      <w:r w:rsidRPr="00461022">
        <w:t>Sociale</w:t>
      </w:r>
      <w:r w:rsidRPr="000F45B6">
        <w:t xml:space="preserve"> </w:t>
      </w:r>
      <w:r w:rsidRPr="00461022">
        <w:t>adapté</w:t>
      </w:r>
      <w:r w:rsidRPr="000F45B6">
        <w:t xml:space="preserve"> </w:t>
      </w:r>
      <w:r w:rsidRPr="00461022">
        <w:t>à</w:t>
      </w:r>
      <w:r w:rsidRPr="000F45B6">
        <w:t xml:space="preserve"> </w:t>
      </w:r>
      <w:r w:rsidRPr="00461022">
        <w:t>chaque</w:t>
      </w:r>
      <w:r w:rsidRPr="000F45B6">
        <w:t xml:space="preserve"> </w:t>
      </w:r>
      <w:r w:rsidRPr="00461022">
        <w:t>activité</w:t>
      </w:r>
      <w:r w:rsidRPr="000F45B6">
        <w:t xml:space="preserve"> </w:t>
      </w:r>
      <w:r w:rsidRPr="00461022">
        <w:t>et</w:t>
      </w:r>
      <w:r w:rsidRPr="000F45B6">
        <w:t xml:space="preserve"> </w:t>
      </w:r>
      <w:r w:rsidRPr="00461022">
        <w:t>à</w:t>
      </w:r>
      <w:r w:rsidRPr="000F45B6">
        <w:t xml:space="preserve"> </w:t>
      </w:r>
      <w:r w:rsidRPr="00461022">
        <w:t>la</w:t>
      </w:r>
      <w:r w:rsidRPr="000F45B6">
        <w:t xml:space="preserve"> </w:t>
      </w:r>
      <w:r w:rsidRPr="00461022">
        <w:t>zone</w:t>
      </w:r>
      <w:r w:rsidRPr="000F45B6">
        <w:t xml:space="preserve"> </w:t>
      </w:r>
      <w:r w:rsidRPr="00461022">
        <w:t>d’implantation.</w:t>
      </w:r>
    </w:p>
    <w:p w14:paraId="1A858FC3" w14:textId="77777777" w:rsidR="009947B9" w:rsidRDefault="009947B9" w:rsidP="009947B9">
      <w:pPr>
        <w:widowControl w:val="0"/>
        <w:overflowPunct w:val="0"/>
        <w:autoSpaceDE w:val="0"/>
        <w:autoSpaceDN w:val="0"/>
        <w:adjustRightInd w:val="0"/>
        <w:jc w:val="both"/>
        <w:textAlignment w:val="baseline"/>
        <w:rPr>
          <w:sz w:val="20"/>
          <w:lang w:eastAsia="fr-FR"/>
        </w:rPr>
      </w:pPr>
    </w:p>
    <w:p w14:paraId="10E8F460" w14:textId="77777777" w:rsidR="009947B9" w:rsidRPr="00B07149" w:rsidRDefault="009947B9" w:rsidP="009947B9">
      <w:pPr>
        <w:pStyle w:val="Paragraphedeliste"/>
        <w:numPr>
          <w:ilvl w:val="1"/>
          <w:numId w:val="212"/>
        </w:numPr>
        <w:spacing w:after="0" w:line="240" w:lineRule="auto"/>
        <w:rPr>
          <w:b/>
          <w:snapToGrid w:val="0"/>
          <w:lang w:eastAsia="fr-FR"/>
        </w:rPr>
      </w:pPr>
      <w:r w:rsidRPr="00B07149">
        <w:rPr>
          <w:b/>
          <w:snapToGrid w:val="0"/>
          <w:lang w:eastAsia="fr-FR"/>
        </w:rPr>
        <w:t xml:space="preserve">Prestation attendu du consultant </w:t>
      </w:r>
    </w:p>
    <w:p w14:paraId="53F3B3C2" w14:textId="77777777" w:rsidR="009947B9" w:rsidRDefault="009947B9" w:rsidP="009947B9">
      <w:pPr>
        <w:pStyle w:val="Corpsdetexte"/>
        <w:spacing w:before="181"/>
      </w:pPr>
      <w:r w:rsidRPr="00461022">
        <w:t>Le</w:t>
      </w:r>
      <w:r w:rsidRPr="00401BE5">
        <w:t xml:space="preserve"> </w:t>
      </w:r>
      <w:r w:rsidRPr="00461022">
        <w:t>prestataire</w:t>
      </w:r>
      <w:r w:rsidRPr="00401BE5">
        <w:t xml:space="preserve"> </w:t>
      </w:r>
      <w:r w:rsidRPr="00461022">
        <w:t>établit</w:t>
      </w:r>
      <w:r w:rsidRPr="00401BE5">
        <w:t xml:space="preserve"> </w:t>
      </w:r>
      <w:r w:rsidRPr="00461022">
        <w:t>un</w:t>
      </w:r>
      <w:r w:rsidRPr="00401BE5">
        <w:t xml:space="preserve"> </w:t>
      </w:r>
      <w:r w:rsidRPr="00461022">
        <w:t>Plan</w:t>
      </w:r>
      <w:r w:rsidRPr="00401BE5">
        <w:t xml:space="preserve"> </w:t>
      </w:r>
      <w:r w:rsidRPr="00461022">
        <w:t>de</w:t>
      </w:r>
      <w:r w:rsidRPr="00401BE5">
        <w:t xml:space="preserve"> </w:t>
      </w:r>
      <w:r w:rsidRPr="00461022">
        <w:t>Gestion</w:t>
      </w:r>
      <w:r w:rsidRPr="00401BE5">
        <w:t xml:space="preserve"> </w:t>
      </w:r>
      <w:r w:rsidRPr="00461022">
        <w:t>Environnementale</w:t>
      </w:r>
      <w:r w:rsidRPr="00401BE5">
        <w:t xml:space="preserve"> </w:t>
      </w:r>
      <w:r w:rsidRPr="00461022">
        <w:t>et</w:t>
      </w:r>
      <w:r w:rsidRPr="00401BE5">
        <w:t xml:space="preserve"> </w:t>
      </w:r>
      <w:r w:rsidRPr="00461022">
        <w:t>Sociale.</w:t>
      </w:r>
      <w:r w:rsidRPr="00401BE5">
        <w:t xml:space="preserve"> </w:t>
      </w:r>
      <w:r w:rsidRPr="00461022">
        <w:t>A</w:t>
      </w:r>
      <w:r w:rsidRPr="00401BE5">
        <w:t xml:space="preserve"> </w:t>
      </w:r>
      <w:r w:rsidRPr="00461022">
        <w:t>titre</w:t>
      </w:r>
      <w:r w:rsidRPr="00401BE5">
        <w:t xml:space="preserve"> </w:t>
      </w:r>
      <w:r w:rsidRPr="00461022">
        <w:t>indicatif,</w:t>
      </w:r>
      <w:r w:rsidRPr="00401BE5">
        <w:t xml:space="preserve"> </w:t>
      </w:r>
      <w:r w:rsidRPr="00461022">
        <w:t>le rapport</w:t>
      </w:r>
      <w:r w:rsidRPr="00401BE5">
        <w:t xml:space="preserve"> </w:t>
      </w:r>
      <w:r w:rsidRPr="00461022">
        <w:t>d’étude environnementale développe</w:t>
      </w:r>
      <w:r w:rsidRPr="00401BE5">
        <w:t xml:space="preserve"> </w:t>
      </w:r>
      <w:r w:rsidRPr="00461022">
        <w:t>les</w:t>
      </w:r>
      <w:r w:rsidRPr="00401BE5">
        <w:t xml:space="preserve"> </w:t>
      </w:r>
      <w:r w:rsidRPr="00461022">
        <w:t>points</w:t>
      </w:r>
      <w:r w:rsidRPr="00401BE5">
        <w:t xml:space="preserve"> </w:t>
      </w:r>
      <w:r w:rsidRPr="00461022">
        <w:t>suivants</w:t>
      </w:r>
      <w:r>
        <w:t> :</w:t>
      </w:r>
    </w:p>
    <w:p w14:paraId="4743EBBF" w14:textId="77777777" w:rsidR="009947B9" w:rsidRPr="00461022" w:rsidRDefault="009947B9" w:rsidP="009947B9">
      <w:pPr>
        <w:pStyle w:val="Corpsdetexte"/>
        <w:numPr>
          <w:ilvl w:val="0"/>
          <w:numId w:val="236"/>
        </w:numPr>
        <w:ind w:left="850" w:hanging="357"/>
        <w:jc w:val="both"/>
      </w:pPr>
      <w:r w:rsidRPr="00461022">
        <w:t>Un</w:t>
      </w:r>
      <w:r w:rsidRPr="00401BE5">
        <w:t xml:space="preserve"> </w:t>
      </w:r>
      <w:r w:rsidRPr="00461022">
        <w:t>résumé</w:t>
      </w:r>
      <w:r w:rsidRPr="00401BE5">
        <w:t xml:space="preserve"> </w:t>
      </w:r>
      <w:r>
        <w:t>non technique</w:t>
      </w:r>
      <w:r w:rsidRPr="00401BE5">
        <w:t xml:space="preserve"> </w:t>
      </w:r>
      <w:r w:rsidRPr="00461022">
        <w:t>en</w:t>
      </w:r>
      <w:r w:rsidRPr="00401BE5">
        <w:t xml:space="preserve"> </w:t>
      </w:r>
      <w:r w:rsidRPr="00461022">
        <w:t>français</w:t>
      </w:r>
      <w:r w:rsidRPr="00401BE5">
        <w:t xml:space="preserve"> </w:t>
      </w:r>
      <w:r w:rsidRPr="00461022">
        <w:t>et</w:t>
      </w:r>
      <w:r w:rsidRPr="00401BE5">
        <w:t xml:space="preserve"> </w:t>
      </w:r>
      <w:r w:rsidRPr="00461022">
        <w:t>malagasy.</w:t>
      </w:r>
    </w:p>
    <w:p w14:paraId="13B7E92A" w14:textId="77777777" w:rsidR="009947B9" w:rsidRPr="00461022" w:rsidRDefault="009947B9" w:rsidP="009947B9">
      <w:pPr>
        <w:pStyle w:val="Corpsdetexte"/>
        <w:numPr>
          <w:ilvl w:val="0"/>
          <w:numId w:val="236"/>
        </w:numPr>
        <w:ind w:left="850" w:hanging="357"/>
        <w:jc w:val="both"/>
      </w:pPr>
      <w:r>
        <w:t>Synthèse des</w:t>
      </w:r>
      <w:r w:rsidRPr="00401BE5">
        <w:t xml:space="preserve"> </w:t>
      </w:r>
      <w:r w:rsidRPr="00461022">
        <w:t>analyse</w:t>
      </w:r>
      <w:r>
        <w:t>s</w:t>
      </w:r>
      <w:r w:rsidRPr="00401BE5">
        <w:t xml:space="preserve"> </w:t>
      </w:r>
      <w:r w:rsidRPr="00461022">
        <w:t>des</w:t>
      </w:r>
      <w:r w:rsidRPr="00401BE5">
        <w:t xml:space="preserve"> </w:t>
      </w:r>
      <w:r w:rsidRPr="00461022">
        <w:t>exigences</w:t>
      </w:r>
      <w:r w:rsidRPr="00401BE5">
        <w:t xml:space="preserve"> </w:t>
      </w:r>
      <w:r w:rsidRPr="00461022">
        <w:t>nationales</w:t>
      </w:r>
      <w:r w:rsidRPr="00401BE5">
        <w:t xml:space="preserve"> </w:t>
      </w:r>
      <w:r w:rsidRPr="00461022">
        <w:t>et</w:t>
      </w:r>
      <w:r w:rsidRPr="00401BE5">
        <w:t xml:space="preserve"> </w:t>
      </w:r>
      <w:r w:rsidRPr="00461022">
        <w:t>internationales</w:t>
      </w:r>
      <w:r w:rsidRPr="00401BE5">
        <w:t xml:space="preserve"> </w:t>
      </w:r>
      <w:r w:rsidRPr="00461022">
        <w:t>dans</w:t>
      </w:r>
      <w:r w:rsidRPr="00401BE5">
        <w:t xml:space="preserve"> </w:t>
      </w:r>
      <w:r w:rsidRPr="00461022">
        <w:t>lesquelles</w:t>
      </w:r>
      <w:r w:rsidRPr="00401BE5">
        <w:t xml:space="preserve"> </w:t>
      </w:r>
      <w:r w:rsidRPr="00461022">
        <w:t>s’inscrit</w:t>
      </w:r>
      <w:r w:rsidRPr="00401BE5">
        <w:t xml:space="preserve"> </w:t>
      </w:r>
      <w:r w:rsidRPr="00461022">
        <w:t>l’évaluation</w:t>
      </w:r>
      <w:r w:rsidRPr="00401BE5">
        <w:t xml:space="preserve"> </w:t>
      </w:r>
      <w:r w:rsidRPr="00461022">
        <w:t>environnementale, y compris les obligations en vertu des traités et accords internationaux ratifiés par le</w:t>
      </w:r>
      <w:r w:rsidRPr="00401BE5">
        <w:t xml:space="preserve"> </w:t>
      </w:r>
      <w:r w:rsidRPr="00461022">
        <w:t>pays qui sont pertinents aux travaux et les documents cadres de sauvegarde environnementale et sociale</w:t>
      </w:r>
      <w:r w:rsidRPr="00401BE5">
        <w:t xml:space="preserve"> </w:t>
      </w:r>
      <w:r w:rsidRPr="00461022">
        <w:t>du</w:t>
      </w:r>
      <w:r w:rsidRPr="00401BE5">
        <w:t xml:space="preserve"> </w:t>
      </w:r>
      <w:r w:rsidRPr="00461022">
        <w:t>projet et</w:t>
      </w:r>
      <w:r w:rsidRPr="00401BE5">
        <w:t xml:space="preserve"> </w:t>
      </w:r>
      <w:r w:rsidRPr="00461022">
        <w:t>des</w:t>
      </w:r>
      <w:r w:rsidRPr="00401BE5">
        <w:t xml:space="preserve"> </w:t>
      </w:r>
      <w:r w:rsidRPr="00461022">
        <w:t>NES</w:t>
      </w:r>
      <w:r w:rsidRPr="00401BE5">
        <w:t xml:space="preserve"> </w:t>
      </w:r>
      <w:r w:rsidRPr="00461022">
        <w:t>pertinentes</w:t>
      </w:r>
      <w:r w:rsidRPr="00401BE5">
        <w:t xml:space="preserve"> </w:t>
      </w:r>
      <w:r w:rsidRPr="00461022">
        <w:t>du</w:t>
      </w:r>
      <w:r w:rsidRPr="00401BE5">
        <w:t xml:space="preserve"> </w:t>
      </w:r>
      <w:r w:rsidRPr="00461022">
        <w:t>CES</w:t>
      </w:r>
      <w:r w:rsidRPr="00401BE5">
        <w:t xml:space="preserve"> </w:t>
      </w:r>
      <w:r w:rsidRPr="00461022">
        <w:t>de la Banque</w:t>
      </w:r>
      <w:r w:rsidRPr="00401BE5">
        <w:t xml:space="preserve"> </w:t>
      </w:r>
      <w:r w:rsidRPr="00461022">
        <w:t>mondiale.</w:t>
      </w:r>
    </w:p>
    <w:p w14:paraId="11789D85" w14:textId="77777777" w:rsidR="009947B9" w:rsidRPr="00461022" w:rsidRDefault="009947B9" w:rsidP="009947B9">
      <w:pPr>
        <w:pStyle w:val="Corpsdetexte"/>
        <w:numPr>
          <w:ilvl w:val="0"/>
          <w:numId w:val="236"/>
        </w:numPr>
        <w:ind w:left="850" w:hanging="357"/>
        <w:jc w:val="both"/>
      </w:pPr>
      <w:r w:rsidRPr="00461022">
        <w:t xml:space="preserve">Une description </w:t>
      </w:r>
      <w:r>
        <w:t>des acticités à entreprendre</w:t>
      </w:r>
      <w:r w:rsidRPr="00461022">
        <w:t xml:space="preserve"> qui décrit la justification de l’importance de l’activité,</w:t>
      </w:r>
      <w:r w:rsidRPr="00401BE5">
        <w:t xml:space="preserve"> la </w:t>
      </w:r>
      <w:r w:rsidRPr="00461022">
        <w:t>catégorie</w:t>
      </w:r>
      <w:r w:rsidRPr="00401BE5">
        <w:t xml:space="preserve"> </w:t>
      </w:r>
      <w:r w:rsidRPr="00461022">
        <w:t>environnementale</w:t>
      </w:r>
      <w:r w:rsidRPr="00401BE5">
        <w:t xml:space="preserve"> </w:t>
      </w:r>
      <w:r w:rsidRPr="00461022">
        <w:t>de</w:t>
      </w:r>
      <w:r w:rsidRPr="00401BE5">
        <w:t xml:space="preserve"> </w:t>
      </w:r>
      <w:r w:rsidRPr="00461022">
        <w:t>l’activité,</w:t>
      </w:r>
      <w:r w:rsidRPr="00401BE5">
        <w:t xml:space="preserve"> </w:t>
      </w:r>
      <w:r w:rsidRPr="00461022">
        <w:t>la</w:t>
      </w:r>
      <w:r w:rsidRPr="00401BE5">
        <w:t xml:space="preserve"> </w:t>
      </w:r>
      <w:r w:rsidRPr="00461022">
        <w:t>présentation</w:t>
      </w:r>
      <w:r w:rsidRPr="00401BE5">
        <w:t xml:space="preserve"> </w:t>
      </w:r>
      <w:r w:rsidRPr="00461022">
        <w:t>des</w:t>
      </w:r>
      <w:r w:rsidRPr="00401BE5">
        <w:t xml:space="preserve"> </w:t>
      </w:r>
      <w:r w:rsidRPr="00461022">
        <w:t>travaux</w:t>
      </w:r>
      <w:r w:rsidRPr="00401BE5">
        <w:t xml:space="preserve"> </w:t>
      </w:r>
      <w:r w:rsidRPr="00461022">
        <w:t>à</w:t>
      </w:r>
      <w:r w:rsidRPr="00401BE5">
        <w:t xml:space="preserve"> </w:t>
      </w:r>
      <w:r w:rsidRPr="00461022">
        <w:t>réaliser</w:t>
      </w:r>
      <w:r w:rsidRPr="00401BE5">
        <w:t xml:space="preserve"> </w:t>
      </w:r>
      <w:r w:rsidRPr="00461022">
        <w:t>et</w:t>
      </w:r>
      <w:r w:rsidRPr="00401BE5">
        <w:t xml:space="preserve"> </w:t>
      </w:r>
      <w:r w:rsidRPr="00461022">
        <w:t>les</w:t>
      </w:r>
      <w:r w:rsidRPr="00401BE5">
        <w:t xml:space="preserve"> </w:t>
      </w:r>
      <w:r w:rsidRPr="00461022">
        <w:t>techniques</w:t>
      </w:r>
      <w:r w:rsidRPr="00401BE5">
        <w:t xml:space="preserve"> </w:t>
      </w:r>
      <w:r w:rsidRPr="00461022">
        <w:t>de</w:t>
      </w:r>
      <w:r w:rsidRPr="00401BE5">
        <w:t xml:space="preserve"> </w:t>
      </w:r>
      <w:r w:rsidRPr="00461022">
        <w:t>mise</w:t>
      </w:r>
      <w:r w:rsidRPr="00401BE5">
        <w:t xml:space="preserve"> </w:t>
      </w:r>
      <w:r w:rsidRPr="00461022">
        <w:t>en</w:t>
      </w:r>
      <w:r w:rsidRPr="00401BE5">
        <w:t xml:space="preserve"> </w:t>
      </w:r>
      <w:r w:rsidRPr="00461022">
        <w:t>œuvre de l’activité.</w:t>
      </w:r>
    </w:p>
    <w:p w14:paraId="5B3F9FB4" w14:textId="77777777" w:rsidR="009947B9" w:rsidRPr="00461022" w:rsidRDefault="009947B9" w:rsidP="009947B9">
      <w:pPr>
        <w:pStyle w:val="Corpsdetexte"/>
        <w:numPr>
          <w:ilvl w:val="0"/>
          <w:numId w:val="236"/>
        </w:numPr>
        <w:ind w:left="850" w:hanging="357"/>
        <w:jc w:val="both"/>
      </w:pPr>
      <w:r w:rsidRPr="00461022">
        <w:t>Une description du milieu d’implantation qui indique la détermination du milieu physique, biologique,</w:t>
      </w:r>
      <w:r w:rsidRPr="00401BE5">
        <w:t xml:space="preserve"> </w:t>
      </w:r>
      <w:r w:rsidRPr="00461022">
        <w:t>socioéconomique,</w:t>
      </w:r>
      <w:r w:rsidRPr="00401BE5">
        <w:t xml:space="preserve"> </w:t>
      </w:r>
      <w:r w:rsidRPr="00461022">
        <w:t>les</w:t>
      </w:r>
      <w:r w:rsidRPr="00401BE5">
        <w:t xml:space="preserve"> </w:t>
      </w:r>
      <w:r w:rsidRPr="00461022">
        <w:t>risques</w:t>
      </w:r>
      <w:r w:rsidRPr="00401BE5">
        <w:t xml:space="preserve"> </w:t>
      </w:r>
      <w:r w:rsidRPr="00461022">
        <w:t>environnementaux,</w:t>
      </w:r>
      <w:r w:rsidRPr="00401BE5">
        <w:t xml:space="preserve"> </w:t>
      </w:r>
      <w:r w:rsidRPr="00461022">
        <w:t>les</w:t>
      </w:r>
      <w:r w:rsidRPr="00401BE5">
        <w:t xml:space="preserve"> </w:t>
      </w:r>
      <w:r w:rsidRPr="00461022">
        <w:t>facteurs</w:t>
      </w:r>
      <w:r w:rsidRPr="00401BE5">
        <w:t xml:space="preserve"> </w:t>
      </w:r>
      <w:r w:rsidRPr="00461022">
        <w:t>de</w:t>
      </w:r>
      <w:r w:rsidRPr="00401BE5">
        <w:t xml:space="preserve"> </w:t>
      </w:r>
      <w:r w:rsidRPr="00461022">
        <w:t>risque</w:t>
      </w:r>
      <w:r w:rsidRPr="00401BE5">
        <w:t xml:space="preserve"> </w:t>
      </w:r>
      <w:r w:rsidRPr="00461022">
        <w:t>sur</w:t>
      </w:r>
      <w:r w:rsidRPr="00401BE5">
        <w:t xml:space="preserve"> </w:t>
      </w:r>
      <w:r w:rsidRPr="00461022">
        <w:t>la</w:t>
      </w:r>
      <w:r w:rsidRPr="00401BE5">
        <w:t xml:space="preserve"> </w:t>
      </w:r>
      <w:r w:rsidRPr="00461022">
        <w:t>violence</w:t>
      </w:r>
      <w:r w:rsidRPr="00401BE5">
        <w:t xml:space="preserve"> </w:t>
      </w:r>
      <w:r w:rsidRPr="00461022">
        <w:t>basée</w:t>
      </w:r>
      <w:r w:rsidRPr="00401BE5">
        <w:t xml:space="preserve"> </w:t>
      </w:r>
      <w:r w:rsidRPr="00461022">
        <w:t>sur</w:t>
      </w:r>
      <w:r w:rsidRPr="00401BE5">
        <w:t xml:space="preserve"> </w:t>
      </w:r>
      <w:r w:rsidRPr="00461022">
        <w:t>le</w:t>
      </w:r>
      <w:r w:rsidRPr="00401BE5">
        <w:t xml:space="preserve"> </w:t>
      </w:r>
      <w:r w:rsidRPr="00461022">
        <w:t>genre,</w:t>
      </w:r>
      <w:r w:rsidRPr="00401BE5">
        <w:t xml:space="preserve"> </w:t>
      </w:r>
      <w:r w:rsidRPr="00461022">
        <w:t>les centres de prise en charge des personnes victimes de violence basé sur le genre disponible dans la</w:t>
      </w:r>
      <w:r w:rsidRPr="00401BE5">
        <w:t xml:space="preserve"> </w:t>
      </w:r>
      <w:r w:rsidRPr="00461022">
        <w:t>zone</w:t>
      </w:r>
      <w:r w:rsidRPr="00401BE5">
        <w:t xml:space="preserve"> </w:t>
      </w:r>
      <w:r w:rsidRPr="00461022">
        <w:t>d’intervention.</w:t>
      </w:r>
    </w:p>
    <w:p w14:paraId="32DE928F" w14:textId="77777777" w:rsidR="009947B9" w:rsidRPr="00461022" w:rsidRDefault="009947B9" w:rsidP="009947B9">
      <w:pPr>
        <w:pStyle w:val="Corpsdetexte"/>
        <w:numPr>
          <w:ilvl w:val="0"/>
          <w:numId w:val="236"/>
        </w:numPr>
        <w:ind w:left="850" w:hanging="357"/>
        <w:jc w:val="both"/>
      </w:pPr>
      <w:r w:rsidRPr="00461022">
        <w:t>Détermination des impacts potentiels qui montre l’inventaire des impacts de l’activité sur le milieu</w:t>
      </w:r>
      <w:r w:rsidRPr="00401BE5">
        <w:t xml:space="preserve"> </w:t>
      </w:r>
      <w:r w:rsidRPr="00461022">
        <w:t>physique, le milieu social, le milieu humain, la santé des travailleurs et en particulier les impacts liés la</w:t>
      </w:r>
      <w:r w:rsidRPr="00401BE5">
        <w:t xml:space="preserve"> </w:t>
      </w:r>
      <w:r w:rsidRPr="00461022">
        <w:t>violence</w:t>
      </w:r>
      <w:r w:rsidRPr="00401BE5">
        <w:t xml:space="preserve"> </w:t>
      </w:r>
      <w:r w:rsidRPr="00461022">
        <w:t>basée sur</w:t>
      </w:r>
      <w:r w:rsidRPr="00401BE5">
        <w:t xml:space="preserve"> </w:t>
      </w:r>
      <w:r w:rsidRPr="00461022">
        <w:t>le genre (VBG) et la réinstallation</w:t>
      </w:r>
      <w:r w:rsidRPr="00401BE5">
        <w:t xml:space="preserve"> </w:t>
      </w:r>
      <w:r w:rsidRPr="00461022">
        <w:t>involontaire.</w:t>
      </w:r>
    </w:p>
    <w:p w14:paraId="1FA94D72" w14:textId="77777777" w:rsidR="009947B9" w:rsidRPr="00461022" w:rsidRDefault="009947B9" w:rsidP="009947B9">
      <w:pPr>
        <w:pStyle w:val="Corpsdetexte"/>
        <w:numPr>
          <w:ilvl w:val="0"/>
          <w:numId w:val="236"/>
        </w:numPr>
        <w:ind w:left="850" w:hanging="357"/>
        <w:jc w:val="both"/>
      </w:pPr>
      <w:r w:rsidRPr="00461022">
        <w:t>Evaluation de l’importance des impacts environnementaux en fonction de l’étendue, de la durée et de</w:t>
      </w:r>
      <w:r w:rsidRPr="00401BE5">
        <w:t xml:space="preserve"> </w:t>
      </w:r>
      <w:r w:rsidRPr="00461022">
        <w:t>l’intensité.</w:t>
      </w:r>
    </w:p>
    <w:p w14:paraId="3D0CCB8E" w14:textId="77777777" w:rsidR="009947B9" w:rsidRPr="00461022" w:rsidRDefault="009947B9" w:rsidP="009947B9">
      <w:pPr>
        <w:pStyle w:val="Corpsdetexte"/>
        <w:numPr>
          <w:ilvl w:val="0"/>
          <w:numId w:val="236"/>
        </w:numPr>
        <w:ind w:left="850" w:hanging="357"/>
        <w:jc w:val="both"/>
      </w:pPr>
      <w:r w:rsidRPr="00461022">
        <w:t>Un</w:t>
      </w:r>
      <w:r w:rsidRPr="00401BE5">
        <w:t xml:space="preserve"> </w:t>
      </w:r>
      <w:r w:rsidRPr="00461022">
        <w:t>plan</w:t>
      </w:r>
      <w:r w:rsidRPr="00401BE5">
        <w:t xml:space="preserve"> </w:t>
      </w:r>
      <w:r w:rsidRPr="00461022">
        <w:t>de mise</w:t>
      </w:r>
      <w:r w:rsidRPr="00401BE5">
        <w:t xml:space="preserve"> </w:t>
      </w:r>
      <w:r w:rsidRPr="00461022">
        <w:t>en</w:t>
      </w:r>
      <w:r w:rsidRPr="00401BE5">
        <w:t xml:space="preserve"> </w:t>
      </w:r>
      <w:r w:rsidRPr="00461022">
        <w:t>œuvre</w:t>
      </w:r>
      <w:r w:rsidRPr="00401BE5">
        <w:t xml:space="preserve"> </w:t>
      </w:r>
      <w:r w:rsidRPr="00461022">
        <w:t>et</w:t>
      </w:r>
      <w:r w:rsidRPr="00401BE5">
        <w:t xml:space="preserve"> </w:t>
      </w:r>
      <w:r w:rsidRPr="00461022">
        <w:t>les</w:t>
      </w:r>
      <w:r w:rsidRPr="00401BE5">
        <w:t xml:space="preserve"> </w:t>
      </w:r>
      <w:r w:rsidRPr="00461022">
        <w:t>responsabilités</w:t>
      </w:r>
      <w:r w:rsidRPr="00401BE5">
        <w:t xml:space="preserve"> </w:t>
      </w:r>
      <w:r w:rsidRPr="00461022">
        <w:t>institutionnelles.</w:t>
      </w:r>
    </w:p>
    <w:p w14:paraId="2EE9E8D1" w14:textId="77777777" w:rsidR="009947B9" w:rsidRPr="00461022" w:rsidRDefault="009947B9" w:rsidP="009947B9">
      <w:pPr>
        <w:pStyle w:val="Corpsdetexte"/>
        <w:numPr>
          <w:ilvl w:val="0"/>
          <w:numId w:val="236"/>
        </w:numPr>
        <w:ind w:left="850" w:hanging="357"/>
        <w:jc w:val="both"/>
      </w:pPr>
      <w:r w:rsidRPr="00461022">
        <w:t>Les</w:t>
      </w:r>
      <w:r w:rsidRPr="00401BE5">
        <w:t xml:space="preserve"> </w:t>
      </w:r>
      <w:r w:rsidRPr="00461022">
        <w:t>responsabilités</w:t>
      </w:r>
      <w:r w:rsidRPr="00401BE5">
        <w:t xml:space="preserve"> </w:t>
      </w:r>
      <w:r w:rsidRPr="00461022">
        <w:t>des</w:t>
      </w:r>
      <w:r w:rsidRPr="00401BE5">
        <w:t xml:space="preserve"> </w:t>
      </w:r>
      <w:r w:rsidRPr="00461022">
        <w:t>contractants/entreprises.</w:t>
      </w:r>
    </w:p>
    <w:p w14:paraId="5E9578C9" w14:textId="77777777" w:rsidR="009947B9" w:rsidRPr="00461022" w:rsidRDefault="009947B9" w:rsidP="009947B9">
      <w:pPr>
        <w:pStyle w:val="Corpsdetexte"/>
        <w:numPr>
          <w:ilvl w:val="0"/>
          <w:numId w:val="236"/>
        </w:numPr>
        <w:ind w:left="850" w:hanging="357"/>
        <w:jc w:val="both"/>
      </w:pPr>
      <w:r w:rsidRPr="00461022">
        <w:t>Un</w:t>
      </w:r>
      <w:r w:rsidRPr="00401BE5">
        <w:t xml:space="preserve"> </w:t>
      </w:r>
      <w:r w:rsidRPr="00461022">
        <w:t>calendrier et</w:t>
      </w:r>
      <w:r w:rsidRPr="00401BE5">
        <w:t xml:space="preserve"> </w:t>
      </w:r>
      <w:r w:rsidRPr="00461022">
        <w:t>les</w:t>
      </w:r>
      <w:r w:rsidRPr="00401BE5">
        <w:t xml:space="preserve"> </w:t>
      </w:r>
      <w:r w:rsidRPr="00461022">
        <w:t>coûts.</w:t>
      </w:r>
    </w:p>
    <w:p w14:paraId="27478F36" w14:textId="77777777" w:rsidR="009947B9" w:rsidRPr="00461022" w:rsidRDefault="009947B9" w:rsidP="009947B9">
      <w:pPr>
        <w:pStyle w:val="Corpsdetexte"/>
        <w:numPr>
          <w:ilvl w:val="0"/>
          <w:numId w:val="236"/>
        </w:numPr>
        <w:ind w:left="850" w:hanging="357"/>
        <w:jc w:val="both"/>
      </w:pPr>
      <w:r w:rsidRPr="00461022">
        <w:t>Les</w:t>
      </w:r>
      <w:r w:rsidRPr="00401BE5">
        <w:t xml:space="preserve"> </w:t>
      </w:r>
      <w:r w:rsidRPr="00461022">
        <w:t>rapports</w:t>
      </w:r>
      <w:r w:rsidRPr="00401BE5">
        <w:t xml:space="preserve"> </w:t>
      </w:r>
      <w:r w:rsidRPr="00461022">
        <w:t>généraux</w:t>
      </w:r>
      <w:r w:rsidRPr="00401BE5">
        <w:t xml:space="preserve"> </w:t>
      </w:r>
      <w:r w:rsidRPr="00461022">
        <w:t>et</w:t>
      </w:r>
      <w:r w:rsidRPr="00401BE5">
        <w:t xml:space="preserve"> </w:t>
      </w:r>
      <w:r w:rsidRPr="00461022">
        <w:t>les modalités</w:t>
      </w:r>
      <w:r w:rsidRPr="00401BE5">
        <w:t xml:space="preserve"> </w:t>
      </w:r>
      <w:r w:rsidRPr="00461022">
        <w:t>de</w:t>
      </w:r>
      <w:r w:rsidRPr="00401BE5">
        <w:t xml:space="preserve"> </w:t>
      </w:r>
      <w:r w:rsidRPr="00461022">
        <w:t>surveillance.</w:t>
      </w:r>
    </w:p>
    <w:p w14:paraId="7F4DDC6F" w14:textId="77777777" w:rsidR="009947B9" w:rsidRPr="00461022" w:rsidRDefault="009947B9" w:rsidP="009947B9">
      <w:pPr>
        <w:pStyle w:val="Corpsdetexte"/>
        <w:numPr>
          <w:ilvl w:val="0"/>
          <w:numId w:val="236"/>
        </w:numPr>
        <w:ind w:left="850" w:hanging="357"/>
        <w:jc w:val="both"/>
      </w:pPr>
      <w:r w:rsidRPr="00401BE5">
        <w:t>Proposition de mesures d’atténuation en fonction de l’importance de l’impact. Ces mesures, techniquement et financièrement réalisable, visent à réduire l’impact de l’activité sur l’environnement et</w:t>
      </w:r>
      <w:r>
        <w:t xml:space="preserve"> </w:t>
      </w:r>
      <w:r w:rsidRPr="00461022">
        <w:t>le</w:t>
      </w:r>
      <w:r w:rsidRPr="00401BE5">
        <w:t xml:space="preserve"> </w:t>
      </w:r>
      <w:r w:rsidRPr="00461022">
        <w:t>milieu</w:t>
      </w:r>
      <w:r w:rsidRPr="00401BE5">
        <w:t xml:space="preserve"> </w:t>
      </w:r>
      <w:r w:rsidRPr="00461022">
        <w:t>humain..</w:t>
      </w:r>
    </w:p>
    <w:p w14:paraId="690E9C03" w14:textId="77777777" w:rsidR="009947B9" w:rsidRDefault="009947B9" w:rsidP="009947B9">
      <w:pPr>
        <w:pStyle w:val="Corpsdetexte"/>
        <w:numPr>
          <w:ilvl w:val="0"/>
          <w:numId w:val="236"/>
        </w:numPr>
        <w:ind w:left="850" w:hanging="357"/>
        <w:jc w:val="both"/>
      </w:pPr>
      <w:r w:rsidRPr="00461022">
        <w:t>Les</w:t>
      </w:r>
      <w:r w:rsidRPr="00401BE5">
        <w:t xml:space="preserve"> </w:t>
      </w:r>
      <w:r w:rsidRPr="00461022">
        <w:t>résultats</w:t>
      </w:r>
      <w:r w:rsidRPr="00401BE5">
        <w:t xml:space="preserve"> </w:t>
      </w:r>
      <w:r w:rsidRPr="00461022">
        <w:t>de l’évaluation</w:t>
      </w:r>
      <w:r w:rsidRPr="00401BE5">
        <w:t xml:space="preserve"> </w:t>
      </w:r>
      <w:r w:rsidRPr="00461022">
        <w:t>environnementale</w:t>
      </w:r>
      <w:r w:rsidRPr="00401BE5">
        <w:t xml:space="preserve"> </w:t>
      </w:r>
      <w:r w:rsidRPr="00461022">
        <w:t>seront</w:t>
      </w:r>
      <w:r w:rsidRPr="00401BE5">
        <w:t xml:space="preserve"> </w:t>
      </w:r>
      <w:r w:rsidRPr="00461022">
        <w:t>matérialisés</w:t>
      </w:r>
      <w:r w:rsidRPr="00401BE5">
        <w:t xml:space="preserve"> </w:t>
      </w:r>
      <w:r w:rsidRPr="00461022">
        <w:t>par</w:t>
      </w:r>
      <w:r w:rsidRPr="00401BE5">
        <w:t xml:space="preserve"> </w:t>
      </w:r>
      <w:r w:rsidRPr="00461022">
        <w:t>le</w:t>
      </w:r>
      <w:r w:rsidRPr="00401BE5">
        <w:t xml:space="preserve"> </w:t>
      </w:r>
      <w:r w:rsidRPr="00461022">
        <w:t>Plan</w:t>
      </w:r>
      <w:r w:rsidRPr="00401BE5">
        <w:t xml:space="preserve"> </w:t>
      </w:r>
      <w:r w:rsidRPr="00461022">
        <w:t>de</w:t>
      </w:r>
      <w:r w:rsidRPr="00401BE5">
        <w:t xml:space="preserve"> </w:t>
      </w:r>
      <w:r w:rsidRPr="00461022">
        <w:t>Gestion</w:t>
      </w:r>
      <w:r w:rsidRPr="00401BE5">
        <w:t xml:space="preserve"> </w:t>
      </w:r>
      <w:r w:rsidRPr="00461022">
        <w:t>Environnementale</w:t>
      </w:r>
      <w:r w:rsidRPr="00401BE5">
        <w:t xml:space="preserve"> </w:t>
      </w:r>
      <w:r w:rsidRPr="00461022">
        <w:t>et</w:t>
      </w:r>
      <w:r w:rsidRPr="00401BE5">
        <w:t xml:space="preserve"> </w:t>
      </w:r>
      <w:r w:rsidRPr="00461022">
        <w:t>Sociale</w:t>
      </w:r>
      <w:r w:rsidRPr="00401BE5">
        <w:t xml:space="preserve"> </w:t>
      </w:r>
      <w:r w:rsidRPr="00461022">
        <w:t>(PGES).</w:t>
      </w:r>
      <w:r w:rsidRPr="00401BE5">
        <w:t xml:space="preserve"> </w:t>
      </w:r>
      <w:r w:rsidRPr="00461022">
        <w:t>Ce</w:t>
      </w:r>
      <w:r w:rsidRPr="00401BE5">
        <w:t xml:space="preserve"> </w:t>
      </w:r>
      <w:r w:rsidRPr="00461022">
        <w:t>dernier</w:t>
      </w:r>
      <w:r w:rsidRPr="00401BE5">
        <w:t xml:space="preserve"> </w:t>
      </w:r>
      <w:r w:rsidRPr="00461022">
        <w:t>comprend</w:t>
      </w:r>
      <w:r w:rsidRPr="00401BE5">
        <w:t xml:space="preserve"> </w:t>
      </w:r>
      <w:r w:rsidRPr="00461022">
        <w:t>le</w:t>
      </w:r>
      <w:r w:rsidRPr="00401BE5">
        <w:t xml:space="preserve"> </w:t>
      </w:r>
      <w:r w:rsidRPr="00461022">
        <w:t>descriptif</w:t>
      </w:r>
      <w:r w:rsidRPr="00401BE5">
        <w:t xml:space="preserve"> </w:t>
      </w:r>
      <w:r w:rsidRPr="00461022">
        <w:t>des</w:t>
      </w:r>
      <w:r w:rsidRPr="00401BE5">
        <w:t xml:space="preserve"> </w:t>
      </w:r>
      <w:r w:rsidRPr="00461022">
        <w:t>mesures</w:t>
      </w:r>
      <w:r w:rsidRPr="00401BE5">
        <w:t xml:space="preserve"> </w:t>
      </w:r>
      <w:r w:rsidRPr="00461022">
        <w:t>environnementales,</w:t>
      </w:r>
      <w:r w:rsidRPr="00401BE5">
        <w:t xml:space="preserve"> </w:t>
      </w:r>
      <w:r w:rsidRPr="00461022">
        <w:t>la procédure de mise en œuvre, la surveillance et la production de rapports (y compris les indicateurs de</w:t>
      </w:r>
      <w:r w:rsidRPr="00401BE5">
        <w:t xml:space="preserve"> </w:t>
      </w:r>
      <w:r w:rsidRPr="00461022">
        <w:t>suivi</w:t>
      </w:r>
      <w:r w:rsidRPr="00401BE5">
        <w:t xml:space="preserve"> </w:t>
      </w:r>
      <w:r w:rsidRPr="00461022">
        <w:t>ou</w:t>
      </w:r>
      <w:r w:rsidRPr="00401BE5">
        <w:t xml:space="preserve"> </w:t>
      </w:r>
      <w:r w:rsidRPr="00461022">
        <w:t>de</w:t>
      </w:r>
      <w:r w:rsidRPr="00401BE5">
        <w:t xml:space="preserve"> </w:t>
      </w:r>
      <w:r w:rsidRPr="00461022">
        <w:t>performance les</w:t>
      </w:r>
      <w:r w:rsidRPr="00401BE5">
        <w:t xml:space="preserve"> </w:t>
      </w:r>
      <w:r w:rsidRPr="00461022">
        <w:t>acteurs</w:t>
      </w:r>
      <w:r w:rsidRPr="00401BE5">
        <w:t xml:space="preserve"> </w:t>
      </w:r>
      <w:r w:rsidRPr="00461022">
        <w:t>concernés</w:t>
      </w:r>
      <w:r w:rsidRPr="00401BE5">
        <w:t xml:space="preserve"> </w:t>
      </w:r>
      <w:r w:rsidRPr="00461022">
        <w:t>et</w:t>
      </w:r>
      <w:r w:rsidRPr="00401BE5">
        <w:t xml:space="preserve"> </w:t>
      </w:r>
      <w:r w:rsidRPr="00461022">
        <w:t>le</w:t>
      </w:r>
      <w:r w:rsidRPr="00401BE5">
        <w:t xml:space="preserve"> </w:t>
      </w:r>
      <w:r w:rsidRPr="00461022">
        <w:t>moyen</w:t>
      </w:r>
      <w:r w:rsidRPr="00401BE5">
        <w:t xml:space="preserve"> </w:t>
      </w:r>
      <w:r w:rsidRPr="00461022">
        <w:t>nécessaire</w:t>
      </w:r>
      <w:r w:rsidRPr="00401BE5">
        <w:t xml:space="preserve"> </w:t>
      </w:r>
      <w:r w:rsidRPr="00461022">
        <w:t>à la</w:t>
      </w:r>
      <w:r w:rsidRPr="00401BE5">
        <w:t xml:space="preserve"> </w:t>
      </w:r>
      <w:r w:rsidRPr="00461022">
        <w:t>mise</w:t>
      </w:r>
      <w:r w:rsidRPr="00401BE5">
        <w:t xml:space="preserve"> </w:t>
      </w:r>
      <w:r w:rsidRPr="00461022">
        <w:t>en</w:t>
      </w:r>
      <w:r w:rsidRPr="00401BE5">
        <w:t xml:space="preserve"> </w:t>
      </w:r>
      <w:r w:rsidRPr="00461022">
        <w:t>œuvre.</w:t>
      </w:r>
    </w:p>
    <w:p w14:paraId="70840B82" w14:textId="77777777" w:rsidR="009947B9" w:rsidRPr="00461022" w:rsidRDefault="009947B9" w:rsidP="009947B9">
      <w:pPr>
        <w:pStyle w:val="Corpsdetexte"/>
        <w:numPr>
          <w:ilvl w:val="0"/>
          <w:numId w:val="236"/>
        </w:numPr>
        <w:ind w:left="850" w:hanging="357"/>
        <w:jc w:val="both"/>
      </w:pPr>
      <w:r>
        <w:t xml:space="preserve">Résultat des Consultations  publique et des Parties Prenantes du Projet. </w:t>
      </w:r>
      <w:r w:rsidRPr="00461022">
        <w:t>Le PGES devrait inclure un plan pour toute</w:t>
      </w:r>
      <w:r w:rsidRPr="00401BE5">
        <w:t xml:space="preserve"> consultation et les activités de mobilisation des parties prenantes jugées nécessaires pour : (dans la mesure du possible) soutenir la mise en </w:t>
      </w:r>
      <w:r w:rsidRPr="00461022">
        <w:t>œuvre</w:t>
      </w:r>
      <w:r w:rsidRPr="00401BE5">
        <w:t xml:space="preserve"> </w:t>
      </w:r>
      <w:r w:rsidRPr="00461022">
        <w:t>du</w:t>
      </w:r>
      <w:r w:rsidRPr="00401BE5">
        <w:t xml:space="preserve"> </w:t>
      </w:r>
      <w:r w:rsidRPr="00461022">
        <w:t>PGES,</w:t>
      </w:r>
      <w:r w:rsidRPr="00401BE5">
        <w:t xml:space="preserve"> </w:t>
      </w:r>
      <w:r w:rsidRPr="00461022">
        <w:t>y</w:t>
      </w:r>
      <w:r w:rsidRPr="00401BE5">
        <w:t xml:space="preserve"> </w:t>
      </w:r>
      <w:r w:rsidRPr="00461022">
        <w:t>compris</w:t>
      </w:r>
      <w:r w:rsidRPr="00401BE5">
        <w:t xml:space="preserve"> </w:t>
      </w:r>
      <w:r w:rsidRPr="00461022">
        <w:t>des</w:t>
      </w:r>
      <w:r w:rsidRPr="00401BE5">
        <w:t xml:space="preserve"> </w:t>
      </w:r>
      <w:r w:rsidRPr="00461022">
        <w:t>renseignements</w:t>
      </w:r>
      <w:r w:rsidRPr="00401BE5">
        <w:t xml:space="preserve"> </w:t>
      </w:r>
      <w:r w:rsidRPr="00461022">
        <w:t>sur</w:t>
      </w:r>
      <w:r w:rsidRPr="00401BE5">
        <w:t xml:space="preserve"> </w:t>
      </w:r>
      <w:r w:rsidRPr="00461022">
        <w:t>les</w:t>
      </w:r>
      <w:r w:rsidRPr="00401BE5">
        <w:t xml:space="preserve"> </w:t>
      </w:r>
      <w:r w:rsidRPr="00461022">
        <w:t>mesures</w:t>
      </w:r>
      <w:r w:rsidRPr="00401BE5">
        <w:t xml:space="preserve"> </w:t>
      </w:r>
      <w:r w:rsidRPr="00461022">
        <w:t>de</w:t>
      </w:r>
      <w:r w:rsidRPr="00401BE5">
        <w:t xml:space="preserve"> </w:t>
      </w:r>
      <w:r w:rsidRPr="00461022">
        <w:t>gestion</w:t>
      </w:r>
      <w:r w:rsidRPr="00401BE5">
        <w:t xml:space="preserve"> </w:t>
      </w:r>
      <w:r w:rsidRPr="00461022">
        <w:t>prévues et surveiller les activités disponibles en temps opportun pour les Communautés touchées; Les</w:t>
      </w:r>
      <w:r w:rsidRPr="00401BE5">
        <w:t xml:space="preserve"> </w:t>
      </w:r>
      <w:r w:rsidRPr="00461022">
        <w:t>résultats</w:t>
      </w:r>
      <w:r w:rsidRPr="00401BE5">
        <w:t xml:space="preserve"> </w:t>
      </w:r>
      <w:r w:rsidRPr="00461022">
        <w:t>des</w:t>
      </w:r>
      <w:r w:rsidRPr="00401BE5">
        <w:t xml:space="preserve"> </w:t>
      </w:r>
      <w:r w:rsidRPr="00461022">
        <w:t>activités</w:t>
      </w:r>
      <w:r w:rsidRPr="00401BE5">
        <w:t xml:space="preserve"> </w:t>
      </w:r>
      <w:r w:rsidRPr="00461022">
        <w:t>de</w:t>
      </w:r>
      <w:r w:rsidRPr="00401BE5">
        <w:t xml:space="preserve"> </w:t>
      </w:r>
      <w:r w:rsidRPr="00461022">
        <w:t>consultation</w:t>
      </w:r>
      <w:r w:rsidRPr="00401BE5">
        <w:t xml:space="preserve"> </w:t>
      </w:r>
      <w:r w:rsidRPr="00461022">
        <w:t>sur</w:t>
      </w:r>
      <w:r w:rsidRPr="00401BE5">
        <w:t xml:space="preserve"> </w:t>
      </w:r>
      <w:r w:rsidRPr="00461022">
        <w:t>la</w:t>
      </w:r>
      <w:r w:rsidRPr="00401BE5">
        <w:t xml:space="preserve"> </w:t>
      </w:r>
      <w:r w:rsidRPr="00461022">
        <w:t>sélection</w:t>
      </w:r>
      <w:r w:rsidRPr="00401BE5">
        <w:t xml:space="preserve"> </w:t>
      </w:r>
      <w:r w:rsidRPr="00461022">
        <w:t>et</w:t>
      </w:r>
      <w:r w:rsidRPr="00401BE5">
        <w:t xml:space="preserve"> </w:t>
      </w:r>
      <w:r w:rsidRPr="00461022">
        <w:t>la</w:t>
      </w:r>
      <w:r w:rsidRPr="00401BE5">
        <w:t xml:space="preserve"> </w:t>
      </w:r>
      <w:r w:rsidRPr="00461022">
        <w:t>conception</w:t>
      </w:r>
      <w:r w:rsidRPr="00401BE5">
        <w:t xml:space="preserve"> </w:t>
      </w:r>
      <w:r w:rsidRPr="00461022">
        <w:t>des</w:t>
      </w:r>
      <w:r w:rsidRPr="00401BE5">
        <w:t xml:space="preserve"> </w:t>
      </w:r>
      <w:r w:rsidRPr="00461022">
        <w:t>mesures</w:t>
      </w:r>
      <w:r w:rsidRPr="00401BE5">
        <w:t xml:space="preserve"> </w:t>
      </w:r>
      <w:r w:rsidRPr="00461022">
        <w:t>de</w:t>
      </w:r>
      <w:r w:rsidRPr="00401BE5">
        <w:t xml:space="preserve"> </w:t>
      </w:r>
      <w:r w:rsidRPr="00461022">
        <w:t>gestion</w:t>
      </w:r>
      <w:r w:rsidRPr="00401BE5">
        <w:t xml:space="preserve"> </w:t>
      </w:r>
      <w:r w:rsidRPr="00461022">
        <w:t>doivent</w:t>
      </w:r>
      <w:r w:rsidRPr="00401BE5">
        <w:t xml:space="preserve"> </w:t>
      </w:r>
      <w:r w:rsidRPr="00461022">
        <w:t>être</w:t>
      </w:r>
      <w:r w:rsidRPr="00401BE5">
        <w:t xml:space="preserve"> </w:t>
      </w:r>
      <w:r w:rsidRPr="00461022">
        <w:t>indiquées.</w:t>
      </w:r>
    </w:p>
    <w:p w14:paraId="14BA7410" w14:textId="77777777" w:rsidR="009947B9" w:rsidRPr="00461022" w:rsidRDefault="009947B9" w:rsidP="009947B9">
      <w:pPr>
        <w:pStyle w:val="Corpsdetexte"/>
        <w:numPr>
          <w:ilvl w:val="0"/>
          <w:numId w:val="236"/>
        </w:numPr>
        <w:ind w:left="850" w:hanging="357"/>
        <w:jc w:val="both"/>
      </w:pPr>
      <w:r w:rsidRPr="00461022">
        <w:t>Clauses environnementales et sociales à respecter par l’agence d’exécution responsable de la mise en</w:t>
      </w:r>
      <w:r w:rsidRPr="00401BE5">
        <w:t xml:space="preserve"> </w:t>
      </w:r>
      <w:r w:rsidRPr="00461022">
        <w:t>œuvre</w:t>
      </w:r>
      <w:r w:rsidRPr="00401BE5">
        <w:t xml:space="preserve"> </w:t>
      </w:r>
      <w:r w:rsidRPr="00461022">
        <w:t>de l’activité.</w:t>
      </w:r>
    </w:p>
    <w:p w14:paraId="50034AC6" w14:textId="77777777" w:rsidR="009947B9" w:rsidRDefault="009947B9" w:rsidP="009947B9">
      <w:pPr>
        <w:pStyle w:val="Corpsdetexte"/>
        <w:numPr>
          <w:ilvl w:val="0"/>
          <w:numId w:val="236"/>
        </w:numPr>
        <w:ind w:left="850" w:hanging="357"/>
        <w:jc w:val="both"/>
      </w:pPr>
      <w:r w:rsidRPr="00461022">
        <w:t>Les</w:t>
      </w:r>
      <w:r w:rsidRPr="00401BE5">
        <w:t xml:space="preserve"> </w:t>
      </w:r>
      <w:r w:rsidRPr="00461022">
        <w:t>pièces</w:t>
      </w:r>
      <w:r w:rsidRPr="00401BE5">
        <w:t xml:space="preserve"> </w:t>
      </w:r>
      <w:r w:rsidRPr="00461022">
        <w:t>à</w:t>
      </w:r>
      <w:r w:rsidRPr="00401BE5">
        <w:t xml:space="preserve"> </w:t>
      </w:r>
      <w:r w:rsidRPr="00461022">
        <w:t>fournir</w:t>
      </w:r>
      <w:r w:rsidRPr="00401BE5">
        <w:t xml:space="preserve"> </w:t>
      </w:r>
      <w:r w:rsidRPr="00461022">
        <w:t>à</w:t>
      </w:r>
      <w:r w:rsidRPr="00401BE5">
        <w:t xml:space="preserve"> </w:t>
      </w:r>
      <w:r w:rsidRPr="00461022">
        <w:t>l’annexe</w:t>
      </w:r>
      <w:r w:rsidRPr="00401BE5">
        <w:t xml:space="preserve"> </w:t>
      </w:r>
      <w:r w:rsidRPr="00461022">
        <w:t>sont</w:t>
      </w:r>
      <w:r w:rsidRPr="00401BE5">
        <w:t xml:space="preserve"> </w:t>
      </w:r>
      <w:r w:rsidRPr="00461022">
        <w:t>:</w:t>
      </w:r>
      <w:r w:rsidRPr="00401BE5">
        <w:t xml:space="preserve"> </w:t>
      </w:r>
      <w:r w:rsidRPr="00461022">
        <w:t>les</w:t>
      </w:r>
      <w:r w:rsidRPr="00401BE5">
        <w:t xml:space="preserve"> </w:t>
      </w:r>
      <w:r w:rsidRPr="00461022">
        <w:t>PV</w:t>
      </w:r>
      <w:r w:rsidRPr="00401BE5">
        <w:t xml:space="preserve"> </w:t>
      </w:r>
      <w:r w:rsidRPr="00461022">
        <w:t>de</w:t>
      </w:r>
      <w:r w:rsidRPr="00401BE5">
        <w:t xml:space="preserve"> </w:t>
      </w:r>
      <w:r w:rsidRPr="00461022">
        <w:t>consultations</w:t>
      </w:r>
      <w:r w:rsidRPr="00401BE5">
        <w:t xml:space="preserve"> </w:t>
      </w:r>
      <w:r w:rsidRPr="00461022">
        <w:t>publiques</w:t>
      </w:r>
      <w:r w:rsidRPr="00401BE5">
        <w:t xml:space="preserve"> </w:t>
      </w:r>
      <w:r w:rsidRPr="00461022">
        <w:t>avec</w:t>
      </w:r>
      <w:r w:rsidRPr="00401BE5">
        <w:t xml:space="preserve"> </w:t>
      </w:r>
      <w:r w:rsidRPr="00461022">
        <w:t>fiche</w:t>
      </w:r>
      <w:r w:rsidRPr="00401BE5">
        <w:t xml:space="preserve"> </w:t>
      </w:r>
      <w:r w:rsidRPr="00461022">
        <w:t>de</w:t>
      </w:r>
      <w:r w:rsidRPr="00401BE5">
        <w:t xml:space="preserve"> </w:t>
      </w:r>
      <w:r w:rsidRPr="00461022">
        <w:t>présence</w:t>
      </w:r>
      <w:r w:rsidRPr="00401BE5">
        <w:t xml:space="preserve"> </w:t>
      </w:r>
      <w:r w:rsidRPr="00461022">
        <w:t>;</w:t>
      </w:r>
      <w:r w:rsidRPr="00401BE5">
        <w:t xml:space="preserve"> </w:t>
      </w:r>
      <w:r w:rsidRPr="00461022">
        <w:t>et</w:t>
      </w:r>
      <w:r w:rsidRPr="00401BE5">
        <w:t xml:space="preserve"> </w:t>
      </w:r>
      <w:r w:rsidRPr="00461022">
        <w:t>autres</w:t>
      </w:r>
      <w:r w:rsidRPr="00401BE5">
        <w:t xml:space="preserve"> </w:t>
      </w:r>
      <w:r w:rsidRPr="00461022">
        <w:t>documents</w:t>
      </w:r>
      <w:r w:rsidRPr="00401BE5">
        <w:t xml:space="preserve"> </w:t>
      </w:r>
      <w:r w:rsidRPr="00461022">
        <w:t>pertinents</w:t>
      </w:r>
      <w:r w:rsidRPr="00401BE5">
        <w:t xml:space="preserve"> </w:t>
      </w:r>
      <w:r w:rsidRPr="00461022">
        <w:t>produits</w:t>
      </w:r>
      <w:r w:rsidRPr="00401BE5">
        <w:t xml:space="preserve"> </w:t>
      </w:r>
      <w:r w:rsidRPr="00461022">
        <w:t>dans</w:t>
      </w:r>
      <w:r w:rsidRPr="00401BE5">
        <w:t xml:space="preserve"> </w:t>
      </w:r>
      <w:r w:rsidRPr="00461022">
        <w:t>le cadre</w:t>
      </w:r>
      <w:r w:rsidRPr="00401BE5">
        <w:t xml:space="preserve"> </w:t>
      </w:r>
      <w:r w:rsidRPr="00461022">
        <w:t>de la prestation</w:t>
      </w:r>
    </w:p>
    <w:p w14:paraId="29587A47" w14:textId="77777777" w:rsidR="009947B9" w:rsidRDefault="009947B9" w:rsidP="009947B9">
      <w:pPr>
        <w:widowControl w:val="0"/>
        <w:overflowPunct w:val="0"/>
        <w:autoSpaceDE w:val="0"/>
        <w:autoSpaceDN w:val="0"/>
        <w:adjustRightInd w:val="0"/>
        <w:jc w:val="both"/>
        <w:textAlignment w:val="baseline"/>
        <w:rPr>
          <w:sz w:val="20"/>
          <w:lang w:eastAsia="fr-FR"/>
        </w:rPr>
      </w:pPr>
    </w:p>
    <w:p w14:paraId="4257C24C" w14:textId="77777777" w:rsidR="009947B9" w:rsidRPr="00B07149" w:rsidRDefault="009947B9" w:rsidP="009947B9">
      <w:pPr>
        <w:pStyle w:val="Paragraphedeliste"/>
        <w:numPr>
          <w:ilvl w:val="1"/>
          <w:numId w:val="212"/>
        </w:numPr>
        <w:spacing w:after="0" w:line="240" w:lineRule="auto"/>
        <w:rPr>
          <w:b/>
          <w:snapToGrid w:val="0"/>
          <w:lang w:eastAsia="fr-FR"/>
        </w:rPr>
      </w:pPr>
      <w:r w:rsidRPr="00B07149">
        <w:rPr>
          <w:b/>
          <w:snapToGrid w:val="0"/>
          <w:lang w:eastAsia="fr-FR"/>
        </w:rPr>
        <w:t>Note sur les consultations publiques, diffusion et publication des rapports</w:t>
      </w:r>
    </w:p>
    <w:p w14:paraId="3BC5A28B" w14:textId="77777777" w:rsidR="009947B9" w:rsidRPr="00B07149" w:rsidRDefault="009947B9" w:rsidP="009947B9">
      <w:pPr>
        <w:pStyle w:val="Corpsdetexte"/>
        <w:numPr>
          <w:ilvl w:val="0"/>
          <w:numId w:val="236"/>
        </w:numPr>
        <w:ind w:left="850" w:hanging="357"/>
        <w:jc w:val="both"/>
      </w:pPr>
      <w:r w:rsidRPr="00B07149">
        <w:t>Pour la réalisation du PGES, des séries de consultations seront organisées avec l’ensemble des acteurs, dans le cadre d’une large démarche participative. Il devrait être identifié l’ensemble des intervenants qui seront consultés et entraînés dans une dynamique de participation à l’élaboration du PGES, à savoir les Ministères concernés , mais aussi des Collectivités locales, des Organisations et Associations locales, des ONG et tous autres services et projets impliqués dans les questions d’impact social et environnemental.</w:t>
      </w:r>
    </w:p>
    <w:p w14:paraId="27F98C88" w14:textId="77777777" w:rsidR="009947B9" w:rsidRPr="00B07149" w:rsidRDefault="009947B9" w:rsidP="009947B9">
      <w:pPr>
        <w:pStyle w:val="Corpsdetexte"/>
        <w:numPr>
          <w:ilvl w:val="0"/>
          <w:numId w:val="236"/>
        </w:numPr>
        <w:ind w:left="850" w:hanging="357"/>
        <w:jc w:val="both"/>
      </w:pPr>
      <w:r w:rsidRPr="00B07149">
        <w:t>Des consultations séparées avec des groupes de femmes et des groupes vulnérables seront à prévoir dans le processus de consultation.</w:t>
      </w:r>
    </w:p>
    <w:p w14:paraId="2B9115AC" w14:textId="77777777" w:rsidR="009947B9" w:rsidRPr="00B07149" w:rsidRDefault="009947B9" w:rsidP="009947B9">
      <w:pPr>
        <w:pStyle w:val="Corpsdetexte"/>
        <w:numPr>
          <w:ilvl w:val="0"/>
          <w:numId w:val="236"/>
        </w:numPr>
        <w:ind w:left="850" w:hanging="357"/>
        <w:jc w:val="both"/>
      </w:pPr>
      <w:r w:rsidRPr="00B07149">
        <w:t xml:space="preserve">Il devrait être analysé les mécanismes et les processus participatifs et la participation des bénéficiaires (société civile, institutions publiques, secteur privé) dans la mise en œuvre des actions du projet. Les enjeux et les préoccupations de la population devront être catégorisés et internalisés dans le design et la mise en œuvre du projet. Les PV des consultations du public (incluant </w:t>
      </w:r>
      <w:r w:rsidRPr="00097FC0">
        <w:t>la liste des personnes rencontrées, les photos de ces consultations)</w:t>
      </w:r>
      <w:r w:rsidRPr="00B07149">
        <w:t xml:space="preserve"> devront être documentés en annexes de PGES.</w:t>
      </w:r>
    </w:p>
    <w:p w14:paraId="77F94045" w14:textId="77777777" w:rsidR="009947B9" w:rsidRPr="00E911F5" w:rsidRDefault="009947B9" w:rsidP="009947B9">
      <w:pPr>
        <w:pStyle w:val="Corpsdetexte"/>
        <w:jc w:val="both"/>
      </w:pPr>
    </w:p>
    <w:p w14:paraId="3023A0A3" w14:textId="77777777" w:rsidR="009947B9" w:rsidRPr="00B07149" w:rsidRDefault="009947B9" w:rsidP="009947B9">
      <w:pPr>
        <w:pStyle w:val="Paragraphedeliste"/>
        <w:numPr>
          <w:ilvl w:val="0"/>
          <w:numId w:val="212"/>
        </w:numPr>
        <w:spacing w:after="0" w:line="240" w:lineRule="auto"/>
        <w:rPr>
          <w:b/>
          <w:szCs w:val="24"/>
        </w:rPr>
      </w:pPr>
      <w:bookmarkStart w:id="1846" w:name="_Toc69897482"/>
      <w:r w:rsidRPr="00B07149">
        <w:rPr>
          <w:b/>
          <w:szCs w:val="24"/>
        </w:rPr>
        <w:t>Livrables :</w:t>
      </w:r>
      <w:bookmarkEnd w:id="1846"/>
      <w:r w:rsidRPr="00B07149">
        <w:rPr>
          <w:b/>
          <w:szCs w:val="24"/>
        </w:rPr>
        <w:t xml:space="preserve"> </w:t>
      </w:r>
    </w:p>
    <w:p w14:paraId="61D65392" w14:textId="77777777" w:rsidR="00DF796B" w:rsidRPr="00B07149" w:rsidRDefault="00DF796B" w:rsidP="00DF796B">
      <w:pPr>
        <w:pStyle w:val="Corpsdetexte"/>
        <w:ind w:left="850"/>
        <w:jc w:val="both"/>
      </w:pPr>
      <w:r w:rsidRPr="00B07149">
        <w:t>PGES</w:t>
      </w:r>
      <w:r w:rsidRPr="00DF796B">
        <w:rPr>
          <w:lang w:val="fr-FR"/>
        </w:rPr>
        <w:t xml:space="preserve"> </w:t>
      </w:r>
      <w:r>
        <w:rPr>
          <w:lang w:val="fr-FR"/>
        </w:rPr>
        <w:t>bugétisé ayant tenu en compte les préoccupations des populations affectées et bénéficiaires</w:t>
      </w:r>
      <w:r w:rsidRPr="00B07149">
        <w:t>.</w:t>
      </w:r>
    </w:p>
    <w:p w14:paraId="7650F761" w14:textId="77777777" w:rsidR="009947B9" w:rsidRPr="00DF796B" w:rsidRDefault="009947B9" w:rsidP="009947B9">
      <w:pPr>
        <w:rPr>
          <w:lang w:val="x-none"/>
        </w:rPr>
      </w:pPr>
    </w:p>
    <w:p w14:paraId="1B2F414C" w14:textId="77777777" w:rsidR="009947B9" w:rsidRDefault="009947B9" w:rsidP="009947B9"/>
    <w:p w14:paraId="7EE8BA3A" w14:textId="77777777" w:rsidR="009947B9" w:rsidRPr="00FC1984" w:rsidRDefault="009947B9" w:rsidP="009947B9"/>
    <w:p w14:paraId="413D370F" w14:textId="77777777" w:rsidR="009947B9" w:rsidRDefault="009947B9" w:rsidP="009947B9">
      <w:pPr>
        <w:jc w:val="both"/>
      </w:pPr>
    </w:p>
    <w:p w14:paraId="64761B2E" w14:textId="77777777" w:rsidR="009947B9" w:rsidRDefault="009947B9" w:rsidP="009947B9"/>
    <w:p w14:paraId="21FDA0A9" w14:textId="77777777" w:rsidR="00547D64" w:rsidRDefault="00547D64" w:rsidP="009A0954"/>
    <w:p w14:paraId="1A092AEB" w14:textId="77777777" w:rsidR="00C64041" w:rsidRDefault="00C64041" w:rsidP="009A0954"/>
    <w:p w14:paraId="6CC043B3" w14:textId="77777777" w:rsidR="009A0954" w:rsidRPr="00631F1E" w:rsidRDefault="00547D64" w:rsidP="00F01166">
      <w:pPr>
        <w:jc w:val="center"/>
        <w:rPr>
          <w:rFonts w:ascii="Arial" w:hAnsi="Arial" w:cs="Arial"/>
          <w:b/>
          <w:bCs/>
        </w:rPr>
      </w:pPr>
      <w:r>
        <w:br w:type="page"/>
      </w:r>
      <w:bookmarkStart w:id="1847" w:name="_Toc98044883"/>
      <w:bookmarkStart w:id="1848" w:name="_Toc124173264"/>
      <w:bookmarkStart w:id="1849" w:name="_Toc125402479"/>
      <w:r w:rsidR="009A0954" w:rsidRPr="00631F1E">
        <w:rPr>
          <w:rFonts w:ascii="Arial" w:hAnsi="Arial" w:cs="Arial"/>
          <w:b/>
          <w:bCs/>
        </w:rPr>
        <w:t>Annexe</w:t>
      </w:r>
      <w:r w:rsidR="006B2C01" w:rsidRPr="00631F1E">
        <w:rPr>
          <w:rFonts w:ascii="Arial" w:hAnsi="Arial" w:cs="Arial"/>
          <w:b/>
          <w:bCs/>
        </w:rPr>
        <w:t xml:space="preserve"> </w:t>
      </w:r>
      <w:r w:rsidR="009A0954" w:rsidRPr="00631F1E">
        <w:rPr>
          <w:rFonts w:ascii="Arial" w:hAnsi="Arial" w:cs="Arial"/>
          <w:b/>
          <w:bCs/>
        </w:rPr>
        <w:fldChar w:fldCharType="begin"/>
      </w:r>
      <w:r w:rsidR="009A0954" w:rsidRPr="00631F1E">
        <w:rPr>
          <w:rFonts w:ascii="Arial" w:hAnsi="Arial" w:cs="Arial"/>
          <w:b/>
          <w:bCs/>
        </w:rPr>
        <w:instrText>SEQ Annexe \* ARABIC</w:instrText>
      </w:r>
      <w:r w:rsidR="009A0954" w:rsidRPr="00631F1E">
        <w:rPr>
          <w:rFonts w:ascii="Arial" w:hAnsi="Arial" w:cs="Arial"/>
          <w:b/>
          <w:bCs/>
        </w:rPr>
        <w:fldChar w:fldCharType="separate"/>
      </w:r>
      <w:r w:rsidR="009947B9">
        <w:rPr>
          <w:rFonts w:ascii="Arial" w:hAnsi="Arial" w:cs="Arial"/>
          <w:b/>
          <w:bCs/>
          <w:noProof/>
        </w:rPr>
        <w:t>17</w:t>
      </w:r>
      <w:r w:rsidR="009A0954" w:rsidRPr="00631F1E">
        <w:rPr>
          <w:rFonts w:ascii="Arial" w:hAnsi="Arial" w:cs="Arial"/>
          <w:b/>
          <w:bCs/>
        </w:rPr>
        <w:fldChar w:fldCharType="end"/>
      </w:r>
      <w:r w:rsidR="009A0954" w:rsidRPr="00631F1E">
        <w:rPr>
          <w:rFonts w:ascii="Arial" w:hAnsi="Arial" w:cs="Arial"/>
          <w:b/>
          <w:bCs/>
        </w:rPr>
        <w:t xml:space="preserve"> : </w:t>
      </w:r>
      <w:bookmarkEnd w:id="1847"/>
      <w:bookmarkEnd w:id="1848"/>
      <w:r w:rsidR="006B2C01" w:rsidRPr="00631F1E">
        <w:rPr>
          <w:rFonts w:ascii="Arial" w:hAnsi="Arial" w:cs="Arial"/>
          <w:b/>
          <w:bCs/>
        </w:rPr>
        <w:t xml:space="preserve">Plan </w:t>
      </w:r>
      <w:r w:rsidR="00C21029" w:rsidRPr="00631F1E">
        <w:rPr>
          <w:rFonts w:ascii="Arial" w:hAnsi="Arial" w:cs="Arial"/>
          <w:b/>
          <w:bCs/>
        </w:rPr>
        <w:t>d’action contre les Violences Basées sur le Genre</w:t>
      </w:r>
      <w:bookmarkEnd w:id="1849"/>
    </w:p>
    <w:p w14:paraId="26F20B10" w14:textId="2CC27A26" w:rsidR="00C21029" w:rsidRDefault="00E97ECD" w:rsidP="00C21029">
      <w:pPr>
        <w:jc w:val="center"/>
        <w:rPr>
          <w:rFonts w:cs="Arial"/>
          <w:b/>
        </w:rPr>
      </w:pPr>
      <w:r>
        <w:rPr>
          <w:noProof/>
        </w:rPr>
        <w:drawing>
          <wp:anchor distT="0" distB="0" distL="114300" distR="114300" simplePos="0" relativeHeight="251664384" behindDoc="1" locked="0" layoutInCell="1" allowOverlap="1" wp14:anchorId="00394E97" wp14:editId="7FD51639">
            <wp:simplePos x="0" y="0"/>
            <wp:positionH relativeFrom="column">
              <wp:posOffset>71755</wp:posOffset>
            </wp:positionH>
            <wp:positionV relativeFrom="paragraph">
              <wp:posOffset>109220</wp:posOffset>
            </wp:positionV>
            <wp:extent cx="952500" cy="895350"/>
            <wp:effectExtent l="0" t="0" r="0" b="0"/>
            <wp:wrapTight wrapText="bothSides">
              <wp:wrapPolygon edited="0">
                <wp:start x="15984" y="0"/>
                <wp:lineTo x="7776" y="3677"/>
                <wp:lineTo x="1728" y="6894"/>
                <wp:lineTo x="0" y="9651"/>
                <wp:lineTo x="0" y="12868"/>
                <wp:lineTo x="2160" y="14706"/>
                <wp:lineTo x="432" y="17923"/>
                <wp:lineTo x="1296" y="19302"/>
                <wp:lineTo x="5184" y="21140"/>
                <wp:lineTo x="9072" y="21140"/>
                <wp:lineTo x="15984" y="21140"/>
                <wp:lineTo x="20304" y="18383"/>
                <wp:lineTo x="19440" y="14706"/>
                <wp:lineTo x="21168" y="12868"/>
                <wp:lineTo x="21168" y="9651"/>
                <wp:lineTo x="19440" y="3217"/>
                <wp:lineTo x="18144" y="0"/>
                <wp:lineTo x="15984" y="0"/>
              </wp:wrapPolygon>
            </wp:wrapTight>
            <wp:docPr id="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5250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3188AF0E" wp14:editId="00B8D900">
            <wp:simplePos x="0" y="0"/>
            <wp:positionH relativeFrom="column">
              <wp:posOffset>4758055</wp:posOffset>
            </wp:positionH>
            <wp:positionV relativeFrom="paragraph">
              <wp:posOffset>14605</wp:posOffset>
            </wp:positionV>
            <wp:extent cx="1200150" cy="1371600"/>
            <wp:effectExtent l="0" t="0" r="0" b="0"/>
            <wp:wrapTight wrapText="bothSides">
              <wp:wrapPolygon edited="0">
                <wp:start x="0" y="0"/>
                <wp:lineTo x="0" y="21300"/>
                <wp:lineTo x="21257" y="21300"/>
                <wp:lineTo x="21257" y="0"/>
                <wp:lineTo x="0" y="0"/>
              </wp:wrapPolygon>
            </wp:wrapTight>
            <wp:docPr id="4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001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3B06867" wp14:editId="10F469CD">
            <wp:simplePos x="0" y="0"/>
            <wp:positionH relativeFrom="column">
              <wp:posOffset>2167255</wp:posOffset>
            </wp:positionH>
            <wp:positionV relativeFrom="paragraph">
              <wp:posOffset>62230</wp:posOffset>
            </wp:positionV>
            <wp:extent cx="1609725" cy="819150"/>
            <wp:effectExtent l="0" t="0" r="0" b="0"/>
            <wp:wrapTight wrapText="bothSides">
              <wp:wrapPolygon edited="0">
                <wp:start x="0" y="0"/>
                <wp:lineTo x="0" y="21098"/>
                <wp:lineTo x="21472" y="21098"/>
                <wp:lineTo x="21472" y="0"/>
                <wp:lineTo x="0" y="0"/>
              </wp:wrapPolygon>
            </wp:wrapTight>
            <wp:docPr id="48"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0972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F20FB" w14:textId="77777777" w:rsidR="00C21029" w:rsidRDefault="00C21029" w:rsidP="00C21029">
      <w:pPr>
        <w:jc w:val="center"/>
        <w:rPr>
          <w:rFonts w:cs="Arial"/>
          <w:b/>
        </w:rPr>
      </w:pPr>
    </w:p>
    <w:p w14:paraId="29C1118E" w14:textId="77777777" w:rsidR="00C21029" w:rsidRDefault="00C21029" w:rsidP="00C21029">
      <w:pPr>
        <w:jc w:val="center"/>
        <w:rPr>
          <w:rFonts w:cs="Arial"/>
          <w:b/>
        </w:rPr>
      </w:pPr>
    </w:p>
    <w:p w14:paraId="6ECB3C4A" w14:textId="77777777" w:rsidR="00C21029" w:rsidRDefault="00C21029" w:rsidP="00C21029">
      <w:pPr>
        <w:jc w:val="center"/>
        <w:rPr>
          <w:rFonts w:cs="Arial"/>
          <w:b/>
        </w:rPr>
      </w:pPr>
    </w:p>
    <w:p w14:paraId="05D4DC92" w14:textId="77777777" w:rsidR="00C21029" w:rsidRPr="00F86DC4" w:rsidRDefault="00C21029" w:rsidP="00B434A6">
      <w:pPr>
        <w:ind w:left="1416" w:firstLine="288"/>
        <w:jc w:val="center"/>
        <w:rPr>
          <w:rFonts w:cs="Arial"/>
          <w:b/>
          <w:color w:val="3838A8"/>
          <w:w w:val="105"/>
          <w:sz w:val="21"/>
          <w:lang w:val="en-US"/>
        </w:rPr>
      </w:pPr>
      <w:r w:rsidRPr="00F86DC4">
        <w:rPr>
          <w:rFonts w:cs="Arial"/>
          <w:b/>
          <w:color w:val="3838A8"/>
          <w:w w:val="105"/>
          <w:sz w:val="21"/>
          <w:lang w:val="en-US"/>
        </w:rPr>
        <w:t>REPOBLIKAN’I MADAGASIKARA</w:t>
      </w:r>
    </w:p>
    <w:p w14:paraId="521E7FEA" w14:textId="77777777" w:rsidR="00C21029" w:rsidRPr="00F86DC4" w:rsidRDefault="00C21029" w:rsidP="00C21029">
      <w:pPr>
        <w:jc w:val="center"/>
        <w:rPr>
          <w:rFonts w:cs="Arial"/>
          <w:b/>
          <w:color w:val="3838A8"/>
          <w:w w:val="105"/>
          <w:sz w:val="21"/>
          <w:lang w:val="en-US"/>
        </w:rPr>
      </w:pPr>
      <w:r w:rsidRPr="00F86DC4">
        <w:rPr>
          <w:rFonts w:cs="Arial"/>
          <w:b/>
          <w:color w:val="3838A8"/>
          <w:w w:val="105"/>
          <w:sz w:val="21"/>
          <w:lang w:val="en-US"/>
        </w:rPr>
        <w:t>Fitiavana – Tanindrazana – Fandrosoana</w:t>
      </w:r>
    </w:p>
    <w:p w14:paraId="771E1AA8" w14:textId="77777777" w:rsidR="00C21029" w:rsidRPr="00F86DC4" w:rsidRDefault="00C21029" w:rsidP="00C21029">
      <w:pPr>
        <w:ind w:left="821" w:right="833"/>
        <w:jc w:val="center"/>
        <w:rPr>
          <w:rFonts w:cs="Arial"/>
          <w:b/>
          <w:color w:val="3838A8"/>
          <w:w w:val="105"/>
          <w:sz w:val="21"/>
          <w:lang w:val="en-US"/>
        </w:rPr>
      </w:pPr>
      <w:r w:rsidRPr="00F86DC4">
        <w:rPr>
          <w:rFonts w:cs="Arial"/>
          <w:b/>
          <w:color w:val="3838A8"/>
          <w:w w:val="105"/>
          <w:sz w:val="21"/>
          <w:lang w:val="en-US"/>
        </w:rPr>
        <w:t xml:space="preserve">------------------------------------- </w:t>
      </w:r>
    </w:p>
    <w:p w14:paraId="58F19963" w14:textId="77777777" w:rsidR="00C21029" w:rsidRPr="00F86DC4" w:rsidRDefault="00C21029" w:rsidP="00C21029">
      <w:pPr>
        <w:jc w:val="center"/>
        <w:rPr>
          <w:b/>
          <w:color w:val="3838A8"/>
          <w:w w:val="105"/>
          <w:sz w:val="21"/>
        </w:rPr>
      </w:pPr>
      <w:r w:rsidRPr="00F86DC4">
        <w:rPr>
          <w:rFonts w:cs="Arial"/>
          <w:b/>
          <w:color w:val="3838A8"/>
          <w:w w:val="105"/>
          <w:sz w:val="21"/>
        </w:rPr>
        <w:t xml:space="preserve">MINISTERE </w:t>
      </w:r>
      <w:r>
        <w:rPr>
          <w:rFonts w:cs="Arial"/>
          <w:b/>
          <w:color w:val="3838A8"/>
          <w:w w:val="105"/>
          <w:sz w:val="21"/>
        </w:rPr>
        <w:t>DE L’ENERGIE ET DES HYDROCARBURES</w:t>
      </w:r>
    </w:p>
    <w:p w14:paraId="47965CA2" w14:textId="77777777" w:rsidR="00C21029" w:rsidRPr="0001586B" w:rsidRDefault="00C21029" w:rsidP="00C21029">
      <w:pPr>
        <w:ind w:left="821" w:right="833"/>
        <w:jc w:val="center"/>
        <w:rPr>
          <w:b/>
          <w:sz w:val="21"/>
        </w:rPr>
      </w:pPr>
      <w:r w:rsidRPr="00F86DC4">
        <w:rPr>
          <w:b/>
          <w:color w:val="3838A8"/>
          <w:w w:val="105"/>
          <w:sz w:val="21"/>
        </w:rPr>
        <w:t>---------------------------</w:t>
      </w:r>
    </w:p>
    <w:p w14:paraId="6E6C7B61" w14:textId="77777777" w:rsidR="00C21029" w:rsidRPr="00F86DC4" w:rsidRDefault="00C21029" w:rsidP="00C21029">
      <w:pPr>
        <w:jc w:val="center"/>
        <w:rPr>
          <w:b/>
          <w:color w:val="3838A8"/>
          <w:w w:val="105"/>
          <w:sz w:val="21"/>
        </w:rPr>
      </w:pPr>
      <w:r w:rsidRPr="00E0056F">
        <w:rPr>
          <w:rFonts w:cs="Arial"/>
          <w:b/>
          <w:color w:val="3838A8"/>
          <w:w w:val="105"/>
          <w:sz w:val="21"/>
        </w:rPr>
        <w:t>MINISTERE DU DEVELOPPEMENT NUMERIQUE, DE LA TRANSFORMATION DIGITALE, DES POSTES ET DES TELECOMMUNICATIONS</w:t>
      </w:r>
    </w:p>
    <w:p w14:paraId="52C631D9" w14:textId="77777777" w:rsidR="00C21029" w:rsidRPr="008169B4" w:rsidRDefault="00C21029" w:rsidP="00C21029">
      <w:pPr>
        <w:rPr>
          <w:rFonts w:ascii="Times New Roman" w:hAnsi="Times New Roman"/>
        </w:rPr>
      </w:pPr>
    </w:p>
    <w:p w14:paraId="1873242E" w14:textId="77777777" w:rsidR="00C21029" w:rsidRPr="007F78CE" w:rsidRDefault="00C21029" w:rsidP="007F78CE">
      <w:pPr>
        <w:pBdr>
          <w:top w:val="single" w:sz="12" w:space="1" w:color="4F81BD"/>
          <w:left w:val="single" w:sz="12" w:space="4" w:color="4F81BD"/>
          <w:bottom w:val="single" w:sz="12" w:space="1" w:color="4F81BD"/>
          <w:right w:val="single" w:sz="12" w:space="4" w:color="4F81BD"/>
        </w:pBdr>
        <w:shd w:val="clear" w:color="auto" w:fill="DAEEF3"/>
        <w:jc w:val="center"/>
        <w:rPr>
          <w:b/>
          <w:bCs/>
          <w:color w:val="4F81BD"/>
          <w:sz w:val="40"/>
          <w:szCs w:val="28"/>
        </w:rPr>
      </w:pPr>
      <w:r w:rsidRPr="007F78CE">
        <w:rPr>
          <w:b/>
          <w:bCs/>
          <w:color w:val="4F81BD"/>
          <w:sz w:val="40"/>
          <w:szCs w:val="28"/>
        </w:rPr>
        <w:t>Projet de Connectivité Numérique et Energétique pour l’inclusion à Madagascar (Projet DECIM)</w:t>
      </w:r>
    </w:p>
    <w:p w14:paraId="143FC418" w14:textId="77777777" w:rsidR="00C21029" w:rsidRDefault="00C21029" w:rsidP="00C21029">
      <w:pPr>
        <w:rPr>
          <w:rFonts w:ascii="Times New Roman" w:hAnsi="Times New Roman"/>
        </w:rPr>
      </w:pPr>
    </w:p>
    <w:p w14:paraId="6D5275DA" w14:textId="77777777" w:rsidR="00C21029" w:rsidRPr="008169B4" w:rsidRDefault="00C21029" w:rsidP="00C21029">
      <w:pPr>
        <w:rPr>
          <w:rFonts w:ascii="Times New Roman" w:hAnsi="Times New Roman"/>
        </w:rPr>
      </w:pPr>
    </w:p>
    <w:p w14:paraId="0F8021B0" w14:textId="77777777" w:rsidR="00C21029" w:rsidRPr="007F78CE" w:rsidRDefault="00C21029" w:rsidP="007F78CE">
      <w:pPr>
        <w:pBdr>
          <w:bottom w:val="single" w:sz="12" w:space="1" w:color="4F81BD"/>
        </w:pBdr>
        <w:spacing w:after="0"/>
        <w:jc w:val="center"/>
        <w:rPr>
          <w:b/>
          <w:color w:val="4F81BD"/>
          <w:sz w:val="36"/>
        </w:rPr>
      </w:pPr>
      <w:r w:rsidRPr="007F78CE">
        <w:rPr>
          <w:b/>
          <w:color w:val="4F81BD"/>
          <w:sz w:val="36"/>
        </w:rPr>
        <w:t>PLAN D’ACTION CONTRE LES VIOLENCES BASEES SUR LE GENRE</w:t>
      </w:r>
    </w:p>
    <w:p w14:paraId="41990938" w14:textId="77777777" w:rsidR="00C21029" w:rsidRDefault="00C21029" w:rsidP="00C21029"/>
    <w:p w14:paraId="27039099" w14:textId="77777777" w:rsidR="00C21029" w:rsidRDefault="00C21029" w:rsidP="00C21029"/>
    <w:p w14:paraId="4ECEFC99" w14:textId="77777777" w:rsidR="00C21029" w:rsidRPr="0007783E" w:rsidRDefault="00C21029" w:rsidP="00C21029">
      <w:pPr>
        <w:jc w:val="center"/>
        <w:rPr>
          <w:b/>
        </w:rPr>
      </w:pPr>
      <w:r w:rsidRPr="0007783E">
        <w:rPr>
          <w:b/>
        </w:rPr>
        <w:t>JANVIER 2023</w:t>
      </w:r>
    </w:p>
    <w:p w14:paraId="75BD4A34" w14:textId="77777777" w:rsidR="00C21029" w:rsidRDefault="00C21029" w:rsidP="00C21029">
      <w:pPr>
        <w:rPr>
          <w:rFonts w:ascii="Arial Narrow" w:hAnsi="Arial Narrow"/>
          <w:b/>
          <w:bCs/>
          <w:u w:val="single"/>
        </w:rPr>
      </w:pPr>
    </w:p>
    <w:p w14:paraId="79D497CF" w14:textId="3BFBC725" w:rsidR="00C21029" w:rsidRDefault="00E97ECD" w:rsidP="00C21029">
      <w:pPr>
        <w:rPr>
          <w:rFonts w:ascii="Arial Narrow" w:hAnsi="Arial Narrow"/>
          <w:b/>
          <w:bCs/>
          <w:u w:val="single"/>
        </w:rPr>
      </w:pPr>
      <w:r>
        <w:rPr>
          <w:noProof/>
        </w:rPr>
        <mc:AlternateContent>
          <mc:Choice Requires="wps">
            <w:drawing>
              <wp:anchor distT="0" distB="0" distL="114300" distR="114300" simplePos="0" relativeHeight="251663360" behindDoc="0" locked="0" layoutInCell="1" allowOverlap="1" wp14:anchorId="01A2281D" wp14:editId="7A08BB06">
                <wp:simplePos x="0" y="0"/>
                <wp:positionH relativeFrom="column">
                  <wp:posOffset>-270510</wp:posOffset>
                </wp:positionH>
                <wp:positionV relativeFrom="paragraph">
                  <wp:posOffset>884555</wp:posOffset>
                </wp:positionV>
                <wp:extent cx="6400800" cy="438785"/>
                <wp:effectExtent l="0" t="0" r="0" b="0"/>
                <wp:wrapNone/>
                <wp:docPr id="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38785"/>
                        </a:xfrm>
                        <a:prstGeom prst="rect">
                          <a:avLst/>
                        </a:prstGeom>
                        <a:solidFill>
                          <a:srgbClr val="FFFFFF"/>
                        </a:solidFill>
                        <a:ln>
                          <a:noFill/>
                        </a:ln>
                      </wps:spPr>
                      <wps:txbx>
                        <w:txbxContent>
                          <w:p w14:paraId="683E3D8D" w14:textId="77777777" w:rsidR="006C5F2A" w:rsidRDefault="006C5F2A" w:rsidP="00C210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A2281D" id="_x0000_t202" coordsize="21600,21600" o:spt="202" path="m,l,21600r21600,l21600,xe">
                <v:stroke joinstyle="miter"/>
                <v:path gradientshapeok="t" o:connecttype="rect"/>
              </v:shapetype>
              <v:shape id="Text Box 1" o:spid="_x0000_s1028" type="#_x0000_t202" style="position:absolute;margin-left:-21.3pt;margin-top:69.65pt;width:7in;height:3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" stroked="f">
                <v:textbox>
                  <w:txbxContent>
                    <w:p w14:paraId="683E3D8D" w14:textId="77777777" w:rsidR="006C5F2A" w:rsidRDefault="006C5F2A" w:rsidP="00C21029"/>
                  </w:txbxContent>
                </v:textbox>
              </v:shape>
            </w:pict>
          </mc:Fallback>
        </mc:AlternateContent>
      </w:r>
    </w:p>
    <w:p w14:paraId="6BD0E831" w14:textId="77777777" w:rsidR="00C21029" w:rsidRDefault="00C21029" w:rsidP="00C21029">
      <w:pPr>
        <w:rPr>
          <w:rFonts w:ascii="Arial Narrow" w:hAnsi="Arial Narrow"/>
          <w:b/>
          <w:bCs/>
          <w:u w:val="single"/>
        </w:rPr>
        <w:sectPr w:rsidR="00C21029" w:rsidSect="00AE406E">
          <w:footerReference w:type="default" r:id="rId85"/>
          <w:footerReference w:type="first" r:id="rId86"/>
          <w:pgSz w:w="11906" w:h="16838"/>
          <w:pgMar w:top="1418" w:right="1418" w:bottom="1418" w:left="1418" w:header="709" w:footer="709" w:gutter="0"/>
          <w:pgNumType w:fmt="lowerRoman"/>
          <w:cols w:space="708"/>
          <w:titlePg/>
          <w:docGrid w:linePitch="360"/>
        </w:sectPr>
      </w:pPr>
    </w:p>
    <w:p w14:paraId="486893B7" w14:textId="77777777" w:rsidR="00C21029" w:rsidRPr="00826146" w:rsidRDefault="00C21029" w:rsidP="00C21029">
      <w:pPr>
        <w:rPr>
          <w:b/>
          <w:bCs/>
          <w:u w:val="single"/>
        </w:rPr>
      </w:pPr>
      <w:r w:rsidRPr="00826146">
        <w:rPr>
          <w:rFonts w:ascii="Arial Narrow" w:hAnsi="Arial Narrow"/>
          <w:b/>
          <w:bCs/>
          <w:u w:val="single"/>
        </w:rPr>
        <w:t xml:space="preserve">Table des matières </w:t>
      </w:r>
    </w:p>
    <w:p w14:paraId="6EF7AD51" w14:textId="77777777" w:rsidR="00466BFF" w:rsidRPr="00466BFF" w:rsidRDefault="00466BFF" w:rsidP="002A6C0D">
      <w:pPr>
        <w:pStyle w:val="TM1"/>
        <w:rPr>
          <w:rFonts w:eastAsia="Times New Roman" w:cs="Times New Roman"/>
          <w:noProof/>
          <w:sz w:val="22"/>
          <w:szCs w:val="22"/>
        </w:rPr>
      </w:pPr>
      <w:r>
        <w:fldChar w:fldCharType="begin"/>
      </w:r>
      <w:r>
        <w:instrText xml:space="preserve"> TOC \o "1-3" \h \z \u </w:instrText>
      </w:r>
      <w:r>
        <w:fldChar w:fldCharType="separate"/>
      </w:r>
    </w:p>
    <w:p w14:paraId="2EC0F476" w14:textId="77777777" w:rsidR="00466BFF" w:rsidRPr="00466BFF" w:rsidRDefault="00160FB0" w:rsidP="002A6C0D">
      <w:pPr>
        <w:pStyle w:val="TM1"/>
        <w:rPr>
          <w:rFonts w:eastAsia="Times New Roman" w:cs="Times New Roman"/>
          <w:noProof/>
          <w:sz w:val="22"/>
          <w:szCs w:val="22"/>
        </w:rPr>
      </w:pPr>
      <w:hyperlink w:anchor="_Toc125385124" w:history="1">
        <w:r w:rsidR="00466BFF" w:rsidRPr="00B1666A">
          <w:rPr>
            <w:rStyle w:val="Lienhypertexte"/>
            <w:noProof/>
          </w:rPr>
          <w:t>1.</w:t>
        </w:r>
        <w:r w:rsidR="001C5508">
          <w:rPr>
            <w:rFonts w:eastAsia="Times New Roman" w:cs="Times New Roman"/>
            <w:noProof/>
            <w:sz w:val="22"/>
            <w:szCs w:val="22"/>
          </w:rPr>
          <w:t xml:space="preserve"> </w:t>
        </w:r>
        <w:r w:rsidR="00466BFF" w:rsidRPr="00B1666A">
          <w:rPr>
            <w:rStyle w:val="Lienhypertexte"/>
            <w:noProof/>
          </w:rPr>
          <w:t>CONTEXTE</w:t>
        </w:r>
        <w:r w:rsidR="00466BFF">
          <w:rPr>
            <w:noProof/>
            <w:webHidden/>
          </w:rPr>
          <w:tab/>
        </w:r>
        <w:r w:rsidR="00466BFF">
          <w:rPr>
            <w:noProof/>
            <w:webHidden/>
          </w:rPr>
          <w:fldChar w:fldCharType="begin"/>
        </w:r>
        <w:r w:rsidR="00466BFF">
          <w:rPr>
            <w:noProof/>
            <w:webHidden/>
          </w:rPr>
          <w:instrText xml:space="preserve"> PAGEREF _Toc125385124 \h </w:instrText>
        </w:r>
        <w:r w:rsidR="00466BFF">
          <w:rPr>
            <w:noProof/>
            <w:webHidden/>
          </w:rPr>
        </w:r>
        <w:r w:rsidR="00466BFF">
          <w:rPr>
            <w:noProof/>
            <w:webHidden/>
          </w:rPr>
          <w:fldChar w:fldCharType="separate"/>
        </w:r>
        <w:r w:rsidR="00466BFF">
          <w:rPr>
            <w:noProof/>
            <w:webHidden/>
          </w:rPr>
          <w:t>3</w:t>
        </w:r>
        <w:r w:rsidR="00466BFF">
          <w:rPr>
            <w:noProof/>
            <w:webHidden/>
          </w:rPr>
          <w:fldChar w:fldCharType="end"/>
        </w:r>
      </w:hyperlink>
    </w:p>
    <w:p w14:paraId="3B6F2C68" w14:textId="77777777" w:rsidR="00466BFF" w:rsidRPr="00466BFF" w:rsidRDefault="001C5508" w:rsidP="002A6C0D">
      <w:pPr>
        <w:pStyle w:val="TM1"/>
        <w:rPr>
          <w:rFonts w:eastAsia="Times New Roman" w:cs="Times New Roman"/>
          <w:noProof/>
          <w:sz w:val="22"/>
          <w:szCs w:val="22"/>
        </w:rPr>
      </w:pPr>
      <w:r w:rsidRPr="005C566E">
        <w:rPr>
          <w:rStyle w:val="Lienhypertexte"/>
          <w:b w:val="0"/>
          <w:bCs w:val="0"/>
          <w:caps w:val="0"/>
          <w:noProof/>
        </w:rPr>
        <w:t>2.</w:t>
      </w:r>
      <w:r>
        <w:rPr>
          <w:rStyle w:val="Lienhypertexte"/>
          <w:noProof/>
        </w:rPr>
        <w:t xml:space="preserve"> </w:t>
      </w:r>
      <w:hyperlink w:anchor="_Toc125385125" w:history="1">
        <w:r w:rsidR="00466BFF" w:rsidRPr="00B1666A">
          <w:rPr>
            <w:rStyle w:val="Lienhypertexte"/>
            <w:noProof/>
          </w:rPr>
          <w:t>GENERALITES ET DEFINITIONS</w:t>
        </w:r>
        <w:r w:rsidR="00466BFF">
          <w:rPr>
            <w:noProof/>
            <w:webHidden/>
          </w:rPr>
          <w:tab/>
        </w:r>
        <w:r w:rsidR="00466BFF">
          <w:rPr>
            <w:noProof/>
            <w:webHidden/>
          </w:rPr>
          <w:fldChar w:fldCharType="begin"/>
        </w:r>
        <w:r w:rsidR="00466BFF">
          <w:rPr>
            <w:noProof/>
            <w:webHidden/>
          </w:rPr>
          <w:instrText xml:space="preserve"> PAGEREF _Toc125385125 \h </w:instrText>
        </w:r>
        <w:r w:rsidR="00466BFF">
          <w:rPr>
            <w:noProof/>
            <w:webHidden/>
          </w:rPr>
        </w:r>
        <w:r w:rsidR="00466BFF">
          <w:rPr>
            <w:noProof/>
            <w:webHidden/>
          </w:rPr>
          <w:fldChar w:fldCharType="separate"/>
        </w:r>
        <w:r w:rsidR="00466BFF">
          <w:rPr>
            <w:noProof/>
            <w:webHidden/>
          </w:rPr>
          <w:t>4</w:t>
        </w:r>
        <w:r w:rsidR="00466BFF">
          <w:rPr>
            <w:noProof/>
            <w:webHidden/>
          </w:rPr>
          <w:fldChar w:fldCharType="end"/>
        </w:r>
      </w:hyperlink>
    </w:p>
    <w:p w14:paraId="33076DF2" w14:textId="77777777" w:rsidR="00466BFF" w:rsidRPr="00466BFF" w:rsidRDefault="00160FB0" w:rsidP="00524CF6">
      <w:pPr>
        <w:pStyle w:val="TM2"/>
        <w:rPr>
          <w:rFonts w:eastAsia="Times New Roman" w:cs="Times New Roman"/>
          <w:noProof/>
          <w:sz w:val="22"/>
          <w:szCs w:val="22"/>
        </w:rPr>
      </w:pPr>
      <w:hyperlink w:anchor="_Toc125385126" w:history="1">
        <w:r w:rsidR="00466BFF" w:rsidRPr="00B1666A">
          <w:rPr>
            <w:rStyle w:val="Lienhypertexte"/>
            <w:noProof/>
          </w:rPr>
          <w:t>2.1.</w:t>
        </w:r>
        <w:r w:rsidR="00466BFF" w:rsidRPr="00466BFF">
          <w:rPr>
            <w:rFonts w:eastAsia="Times New Roman" w:cs="Times New Roman"/>
            <w:noProof/>
            <w:sz w:val="22"/>
            <w:szCs w:val="22"/>
          </w:rPr>
          <w:tab/>
        </w:r>
        <w:r w:rsidR="00466BFF" w:rsidRPr="00B1666A">
          <w:rPr>
            <w:rStyle w:val="Lienhypertexte"/>
            <w:noProof/>
          </w:rPr>
          <w:t>Définition du genre</w:t>
        </w:r>
        <w:r w:rsidR="00466BFF">
          <w:rPr>
            <w:noProof/>
            <w:webHidden/>
          </w:rPr>
          <w:tab/>
        </w:r>
        <w:r w:rsidR="00466BFF">
          <w:rPr>
            <w:noProof/>
            <w:webHidden/>
          </w:rPr>
          <w:fldChar w:fldCharType="begin"/>
        </w:r>
        <w:r w:rsidR="00466BFF">
          <w:rPr>
            <w:noProof/>
            <w:webHidden/>
          </w:rPr>
          <w:instrText xml:space="preserve"> PAGEREF _Toc125385126 \h </w:instrText>
        </w:r>
        <w:r w:rsidR="00466BFF">
          <w:rPr>
            <w:noProof/>
            <w:webHidden/>
          </w:rPr>
        </w:r>
        <w:r w:rsidR="00466BFF">
          <w:rPr>
            <w:noProof/>
            <w:webHidden/>
          </w:rPr>
          <w:fldChar w:fldCharType="separate"/>
        </w:r>
        <w:r w:rsidR="00466BFF">
          <w:rPr>
            <w:noProof/>
            <w:webHidden/>
          </w:rPr>
          <w:t>4</w:t>
        </w:r>
        <w:r w:rsidR="00466BFF">
          <w:rPr>
            <w:noProof/>
            <w:webHidden/>
          </w:rPr>
          <w:fldChar w:fldCharType="end"/>
        </w:r>
      </w:hyperlink>
    </w:p>
    <w:p w14:paraId="3F11A06D" w14:textId="77777777" w:rsidR="00466BFF" w:rsidRPr="00466BFF" w:rsidRDefault="00160FB0" w:rsidP="00524CF6">
      <w:pPr>
        <w:pStyle w:val="TM2"/>
        <w:rPr>
          <w:rFonts w:eastAsia="Times New Roman" w:cs="Times New Roman"/>
          <w:noProof/>
          <w:sz w:val="22"/>
          <w:szCs w:val="22"/>
        </w:rPr>
      </w:pPr>
      <w:hyperlink w:anchor="_Toc125385127" w:history="1">
        <w:r w:rsidR="00466BFF" w:rsidRPr="00B1666A">
          <w:rPr>
            <w:rStyle w:val="Lienhypertexte"/>
            <w:noProof/>
          </w:rPr>
          <w:t>2.2.</w:t>
        </w:r>
        <w:r w:rsidR="00466BFF" w:rsidRPr="00466BFF">
          <w:rPr>
            <w:rFonts w:eastAsia="Times New Roman" w:cs="Times New Roman"/>
            <w:noProof/>
            <w:sz w:val="22"/>
            <w:szCs w:val="22"/>
          </w:rPr>
          <w:tab/>
        </w:r>
        <w:r w:rsidR="00466BFF" w:rsidRPr="00B1666A">
          <w:rPr>
            <w:rStyle w:val="Lienhypertexte"/>
            <w:noProof/>
          </w:rPr>
          <w:t>Violence basée sur le genre</w:t>
        </w:r>
        <w:r w:rsidR="00466BFF">
          <w:rPr>
            <w:noProof/>
            <w:webHidden/>
          </w:rPr>
          <w:tab/>
        </w:r>
        <w:r w:rsidR="00466BFF">
          <w:rPr>
            <w:noProof/>
            <w:webHidden/>
          </w:rPr>
          <w:fldChar w:fldCharType="begin"/>
        </w:r>
        <w:r w:rsidR="00466BFF">
          <w:rPr>
            <w:noProof/>
            <w:webHidden/>
          </w:rPr>
          <w:instrText xml:space="preserve"> PAGEREF _Toc125385127 \h </w:instrText>
        </w:r>
        <w:r w:rsidR="00466BFF">
          <w:rPr>
            <w:noProof/>
            <w:webHidden/>
          </w:rPr>
        </w:r>
        <w:r w:rsidR="00466BFF">
          <w:rPr>
            <w:noProof/>
            <w:webHidden/>
          </w:rPr>
          <w:fldChar w:fldCharType="separate"/>
        </w:r>
        <w:r w:rsidR="00466BFF">
          <w:rPr>
            <w:noProof/>
            <w:webHidden/>
          </w:rPr>
          <w:t>4</w:t>
        </w:r>
        <w:r w:rsidR="00466BFF">
          <w:rPr>
            <w:noProof/>
            <w:webHidden/>
          </w:rPr>
          <w:fldChar w:fldCharType="end"/>
        </w:r>
      </w:hyperlink>
    </w:p>
    <w:p w14:paraId="22444254" w14:textId="77777777" w:rsidR="00466BFF" w:rsidRPr="00466BFF" w:rsidRDefault="00160FB0" w:rsidP="00524CF6">
      <w:pPr>
        <w:pStyle w:val="TM2"/>
        <w:rPr>
          <w:rFonts w:eastAsia="Times New Roman" w:cs="Times New Roman"/>
          <w:noProof/>
          <w:sz w:val="22"/>
          <w:szCs w:val="22"/>
        </w:rPr>
      </w:pPr>
      <w:hyperlink w:anchor="_Toc125385128" w:history="1">
        <w:r w:rsidR="00466BFF" w:rsidRPr="00B1666A">
          <w:rPr>
            <w:rStyle w:val="Lienhypertexte"/>
            <w:noProof/>
          </w:rPr>
          <w:t>2.3.</w:t>
        </w:r>
        <w:r w:rsidR="00466BFF" w:rsidRPr="00466BFF">
          <w:rPr>
            <w:rFonts w:eastAsia="Times New Roman" w:cs="Times New Roman"/>
            <w:noProof/>
            <w:sz w:val="22"/>
            <w:szCs w:val="22"/>
          </w:rPr>
          <w:tab/>
        </w:r>
        <w:r w:rsidR="00466BFF" w:rsidRPr="00B1666A">
          <w:rPr>
            <w:rStyle w:val="Lienhypertexte"/>
            <w:noProof/>
          </w:rPr>
          <w:t>Violence à l’égard des enfants</w:t>
        </w:r>
        <w:r w:rsidR="00466BFF">
          <w:rPr>
            <w:noProof/>
            <w:webHidden/>
          </w:rPr>
          <w:tab/>
        </w:r>
        <w:r w:rsidR="00466BFF">
          <w:rPr>
            <w:noProof/>
            <w:webHidden/>
          </w:rPr>
          <w:fldChar w:fldCharType="begin"/>
        </w:r>
        <w:r w:rsidR="00466BFF">
          <w:rPr>
            <w:noProof/>
            <w:webHidden/>
          </w:rPr>
          <w:instrText xml:space="preserve"> PAGEREF _Toc125385128 \h </w:instrText>
        </w:r>
        <w:r w:rsidR="00466BFF">
          <w:rPr>
            <w:noProof/>
            <w:webHidden/>
          </w:rPr>
        </w:r>
        <w:r w:rsidR="00466BFF">
          <w:rPr>
            <w:noProof/>
            <w:webHidden/>
          </w:rPr>
          <w:fldChar w:fldCharType="separate"/>
        </w:r>
        <w:r w:rsidR="00466BFF">
          <w:rPr>
            <w:noProof/>
            <w:webHidden/>
          </w:rPr>
          <w:t>5</w:t>
        </w:r>
        <w:r w:rsidR="00466BFF">
          <w:rPr>
            <w:noProof/>
            <w:webHidden/>
          </w:rPr>
          <w:fldChar w:fldCharType="end"/>
        </w:r>
      </w:hyperlink>
    </w:p>
    <w:p w14:paraId="2FB143FE" w14:textId="77777777" w:rsidR="00466BFF" w:rsidRPr="00466BFF" w:rsidRDefault="00160FB0" w:rsidP="002A6C0D">
      <w:pPr>
        <w:pStyle w:val="TM1"/>
        <w:rPr>
          <w:rFonts w:eastAsia="Times New Roman" w:cs="Times New Roman"/>
          <w:noProof/>
          <w:sz w:val="22"/>
          <w:szCs w:val="22"/>
        </w:rPr>
      </w:pPr>
      <w:hyperlink w:anchor="_Toc125385129" w:history="1">
        <w:r w:rsidR="00466BFF" w:rsidRPr="00B1666A">
          <w:rPr>
            <w:rStyle w:val="Lienhypertexte"/>
            <w:noProof/>
          </w:rPr>
          <w:t>3.</w:t>
        </w:r>
        <w:r w:rsidR="002A6C0D">
          <w:rPr>
            <w:rFonts w:eastAsia="Times New Roman" w:cs="Times New Roman"/>
            <w:sz w:val="22"/>
            <w:szCs w:val="22"/>
          </w:rPr>
          <w:t xml:space="preserve"> </w:t>
        </w:r>
        <w:r w:rsidR="00466BFF" w:rsidRPr="00B1666A">
          <w:rPr>
            <w:rStyle w:val="Lienhypertexte"/>
            <w:noProof/>
          </w:rPr>
          <w:t>CADRE DE LUTTE CONTRE LES VIOLENCES BASEES SUR LE GENRE</w:t>
        </w:r>
        <w:r w:rsidR="00466BFF">
          <w:rPr>
            <w:noProof/>
            <w:webHidden/>
          </w:rPr>
          <w:tab/>
        </w:r>
        <w:r w:rsidR="00466BFF">
          <w:rPr>
            <w:noProof/>
            <w:webHidden/>
          </w:rPr>
          <w:fldChar w:fldCharType="begin"/>
        </w:r>
        <w:r w:rsidR="00466BFF">
          <w:rPr>
            <w:noProof/>
            <w:webHidden/>
          </w:rPr>
          <w:instrText xml:space="preserve"> PAGEREF _Toc125385129 \h </w:instrText>
        </w:r>
        <w:r w:rsidR="00466BFF">
          <w:rPr>
            <w:noProof/>
            <w:webHidden/>
          </w:rPr>
        </w:r>
        <w:r w:rsidR="00466BFF">
          <w:rPr>
            <w:noProof/>
            <w:webHidden/>
          </w:rPr>
          <w:fldChar w:fldCharType="separate"/>
        </w:r>
        <w:r w:rsidR="00466BFF">
          <w:rPr>
            <w:noProof/>
            <w:webHidden/>
          </w:rPr>
          <w:t>6</w:t>
        </w:r>
        <w:r w:rsidR="00466BFF">
          <w:rPr>
            <w:noProof/>
            <w:webHidden/>
          </w:rPr>
          <w:fldChar w:fldCharType="end"/>
        </w:r>
      </w:hyperlink>
    </w:p>
    <w:p w14:paraId="3E8A38F2" w14:textId="77777777" w:rsidR="00466BFF" w:rsidRPr="00466BFF" w:rsidRDefault="00160FB0" w:rsidP="00524CF6">
      <w:pPr>
        <w:pStyle w:val="TM2"/>
        <w:rPr>
          <w:rFonts w:eastAsia="Times New Roman" w:cs="Times New Roman"/>
          <w:noProof/>
          <w:sz w:val="22"/>
          <w:szCs w:val="22"/>
        </w:rPr>
      </w:pPr>
      <w:hyperlink w:anchor="_Toc125385130" w:history="1">
        <w:r w:rsidR="00466BFF" w:rsidRPr="00B1666A">
          <w:rPr>
            <w:rStyle w:val="Lienhypertexte"/>
            <w:noProof/>
          </w:rPr>
          <w:t>3.1.</w:t>
        </w:r>
        <w:r w:rsidR="00466BFF" w:rsidRPr="00466BFF">
          <w:rPr>
            <w:rFonts w:eastAsia="Times New Roman" w:cs="Times New Roman"/>
            <w:noProof/>
            <w:sz w:val="22"/>
            <w:szCs w:val="22"/>
          </w:rPr>
          <w:tab/>
        </w:r>
        <w:r w:rsidR="00466BFF" w:rsidRPr="00B1666A">
          <w:rPr>
            <w:rStyle w:val="Lienhypertexte"/>
            <w:noProof/>
          </w:rPr>
          <w:t>Cadre juridique</w:t>
        </w:r>
        <w:r w:rsidR="00466BFF">
          <w:rPr>
            <w:noProof/>
            <w:webHidden/>
          </w:rPr>
          <w:tab/>
        </w:r>
        <w:r w:rsidR="00466BFF">
          <w:rPr>
            <w:noProof/>
            <w:webHidden/>
          </w:rPr>
          <w:fldChar w:fldCharType="begin"/>
        </w:r>
        <w:r w:rsidR="00466BFF">
          <w:rPr>
            <w:noProof/>
            <w:webHidden/>
          </w:rPr>
          <w:instrText xml:space="preserve"> PAGEREF _Toc125385130 \h </w:instrText>
        </w:r>
        <w:r w:rsidR="00466BFF">
          <w:rPr>
            <w:noProof/>
            <w:webHidden/>
          </w:rPr>
        </w:r>
        <w:r w:rsidR="00466BFF">
          <w:rPr>
            <w:noProof/>
            <w:webHidden/>
          </w:rPr>
          <w:fldChar w:fldCharType="separate"/>
        </w:r>
        <w:r w:rsidR="00466BFF">
          <w:rPr>
            <w:noProof/>
            <w:webHidden/>
          </w:rPr>
          <w:t>6</w:t>
        </w:r>
        <w:r w:rsidR="00466BFF">
          <w:rPr>
            <w:noProof/>
            <w:webHidden/>
          </w:rPr>
          <w:fldChar w:fldCharType="end"/>
        </w:r>
      </w:hyperlink>
    </w:p>
    <w:p w14:paraId="57B7754D" w14:textId="77777777" w:rsidR="00466BFF" w:rsidRPr="00466BFF" w:rsidRDefault="00160FB0" w:rsidP="00524CF6">
      <w:pPr>
        <w:pStyle w:val="TM2"/>
        <w:rPr>
          <w:rFonts w:eastAsia="Times New Roman" w:cs="Times New Roman"/>
          <w:noProof/>
          <w:sz w:val="22"/>
          <w:szCs w:val="22"/>
        </w:rPr>
      </w:pPr>
      <w:hyperlink w:anchor="_Toc125385131" w:history="1">
        <w:r w:rsidR="00466BFF" w:rsidRPr="00B1666A">
          <w:rPr>
            <w:rStyle w:val="Lienhypertexte"/>
            <w:noProof/>
          </w:rPr>
          <w:t>3.2.</w:t>
        </w:r>
        <w:r w:rsidR="00466BFF" w:rsidRPr="00466BFF">
          <w:rPr>
            <w:rFonts w:eastAsia="Times New Roman" w:cs="Times New Roman"/>
            <w:noProof/>
            <w:sz w:val="22"/>
            <w:szCs w:val="22"/>
          </w:rPr>
          <w:tab/>
        </w:r>
        <w:r w:rsidR="00466BFF" w:rsidRPr="00B1666A">
          <w:rPr>
            <w:rStyle w:val="Lienhypertexte"/>
            <w:noProof/>
          </w:rPr>
          <w:t>Cadre institutionnel</w:t>
        </w:r>
        <w:r w:rsidR="00466BFF">
          <w:rPr>
            <w:noProof/>
            <w:webHidden/>
          </w:rPr>
          <w:tab/>
        </w:r>
        <w:r w:rsidR="00466BFF">
          <w:rPr>
            <w:noProof/>
            <w:webHidden/>
          </w:rPr>
          <w:fldChar w:fldCharType="begin"/>
        </w:r>
        <w:r w:rsidR="00466BFF">
          <w:rPr>
            <w:noProof/>
            <w:webHidden/>
          </w:rPr>
          <w:instrText xml:space="preserve"> PAGEREF _Toc125385131 \h </w:instrText>
        </w:r>
        <w:r w:rsidR="00466BFF">
          <w:rPr>
            <w:noProof/>
            <w:webHidden/>
          </w:rPr>
        </w:r>
        <w:r w:rsidR="00466BFF">
          <w:rPr>
            <w:noProof/>
            <w:webHidden/>
          </w:rPr>
          <w:fldChar w:fldCharType="separate"/>
        </w:r>
        <w:r w:rsidR="00466BFF">
          <w:rPr>
            <w:noProof/>
            <w:webHidden/>
          </w:rPr>
          <w:t>8</w:t>
        </w:r>
        <w:r w:rsidR="00466BFF">
          <w:rPr>
            <w:noProof/>
            <w:webHidden/>
          </w:rPr>
          <w:fldChar w:fldCharType="end"/>
        </w:r>
      </w:hyperlink>
    </w:p>
    <w:p w14:paraId="341BFF90" w14:textId="77777777" w:rsidR="00466BFF" w:rsidRPr="00466BFF" w:rsidRDefault="00160FB0" w:rsidP="00524CF6">
      <w:pPr>
        <w:pStyle w:val="TM2"/>
        <w:rPr>
          <w:rFonts w:eastAsia="Times New Roman" w:cs="Times New Roman"/>
          <w:noProof/>
          <w:sz w:val="22"/>
          <w:szCs w:val="22"/>
        </w:rPr>
      </w:pPr>
      <w:hyperlink w:anchor="_Toc125385132" w:history="1">
        <w:r w:rsidR="00466BFF" w:rsidRPr="00B1666A">
          <w:rPr>
            <w:rStyle w:val="Lienhypertexte"/>
            <w:noProof/>
          </w:rPr>
          <w:t>3.3.</w:t>
        </w:r>
        <w:r w:rsidR="00466BFF" w:rsidRPr="00466BFF">
          <w:rPr>
            <w:rFonts w:eastAsia="Times New Roman" w:cs="Times New Roman"/>
            <w:noProof/>
            <w:sz w:val="22"/>
            <w:szCs w:val="22"/>
          </w:rPr>
          <w:tab/>
        </w:r>
        <w:r w:rsidR="00466BFF" w:rsidRPr="00B1666A">
          <w:rPr>
            <w:rStyle w:val="Lienhypertexte"/>
            <w:noProof/>
          </w:rPr>
          <w:t>Cadre Environnemental et Social de la Banque Mondiale</w:t>
        </w:r>
        <w:r w:rsidR="00466BFF">
          <w:rPr>
            <w:noProof/>
            <w:webHidden/>
          </w:rPr>
          <w:tab/>
        </w:r>
        <w:r w:rsidR="00466BFF">
          <w:rPr>
            <w:noProof/>
            <w:webHidden/>
          </w:rPr>
          <w:fldChar w:fldCharType="begin"/>
        </w:r>
        <w:r w:rsidR="00466BFF">
          <w:rPr>
            <w:noProof/>
            <w:webHidden/>
          </w:rPr>
          <w:instrText xml:space="preserve"> PAGEREF _Toc125385132 \h </w:instrText>
        </w:r>
        <w:r w:rsidR="00466BFF">
          <w:rPr>
            <w:noProof/>
            <w:webHidden/>
          </w:rPr>
        </w:r>
        <w:r w:rsidR="00466BFF">
          <w:rPr>
            <w:noProof/>
            <w:webHidden/>
          </w:rPr>
          <w:fldChar w:fldCharType="separate"/>
        </w:r>
        <w:r w:rsidR="00466BFF">
          <w:rPr>
            <w:noProof/>
            <w:webHidden/>
          </w:rPr>
          <w:t>8</w:t>
        </w:r>
        <w:r w:rsidR="00466BFF">
          <w:rPr>
            <w:noProof/>
            <w:webHidden/>
          </w:rPr>
          <w:fldChar w:fldCharType="end"/>
        </w:r>
      </w:hyperlink>
    </w:p>
    <w:p w14:paraId="31280311" w14:textId="77777777" w:rsidR="00466BFF" w:rsidRPr="00466BFF" w:rsidRDefault="00160FB0" w:rsidP="002A6C0D">
      <w:pPr>
        <w:pStyle w:val="TM1"/>
        <w:rPr>
          <w:rFonts w:eastAsia="Times New Roman" w:cs="Times New Roman"/>
          <w:noProof/>
          <w:sz w:val="22"/>
          <w:szCs w:val="22"/>
        </w:rPr>
      </w:pPr>
      <w:hyperlink w:anchor="_Toc125385133" w:history="1">
        <w:r w:rsidR="00466BFF" w:rsidRPr="00B1666A">
          <w:rPr>
            <w:rStyle w:val="Lienhypertexte"/>
            <w:noProof/>
          </w:rPr>
          <w:t>4.</w:t>
        </w:r>
        <w:r w:rsidR="002A6C0D">
          <w:rPr>
            <w:rFonts w:eastAsia="Times New Roman" w:cs="Times New Roman"/>
            <w:noProof/>
            <w:sz w:val="22"/>
            <w:szCs w:val="22"/>
          </w:rPr>
          <w:t xml:space="preserve"> </w:t>
        </w:r>
        <w:r w:rsidR="00466BFF" w:rsidRPr="00B1666A">
          <w:rPr>
            <w:rStyle w:val="Lienhypertexte"/>
            <w:noProof/>
          </w:rPr>
          <w:t>ANALYSE DES RISQUES DE VBG DANS LE CADRE DU PROJET</w:t>
        </w:r>
        <w:r w:rsidR="00466BFF">
          <w:rPr>
            <w:noProof/>
            <w:webHidden/>
          </w:rPr>
          <w:tab/>
        </w:r>
        <w:r w:rsidR="00466BFF">
          <w:rPr>
            <w:noProof/>
            <w:webHidden/>
          </w:rPr>
          <w:fldChar w:fldCharType="begin"/>
        </w:r>
        <w:r w:rsidR="00466BFF">
          <w:rPr>
            <w:noProof/>
            <w:webHidden/>
          </w:rPr>
          <w:instrText xml:space="preserve"> PAGEREF _Toc125385133 \h </w:instrText>
        </w:r>
        <w:r w:rsidR="00466BFF">
          <w:rPr>
            <w:noProof/>
            <w:webHidden/>
          </w:rPr>
        </w:r>
        <w:r w:rsidR="00466BFF">
          <w:rPr>
            <w:noProof/>
            <w:webHidden/>
          </w:rPr>
          <w:fldChar w:fldCharType="separate"/>
        </w:r>
        <w:r w:rsidR="00466BFF">
          <w:rPr>
            <w:noProof/>
            <w:webHidden/>
          </w:rPr>
          <w:t>10</w:t>
        </w:r>
        <w:r w:rsidR="00466BFF">
          <w:rPr>
            <w:noProof/>
            <w:webHidden/>
          </w:rPr>
          <w:fldChar w:fldCharType="end"/>
        </w:r>
      </w:hyperlink>
    </w:p>
    <w:p w14:paraId="670A6F27" w14:textId="77777777" w:rsidR="00466BFF" w:rsidRPr="00466BFF" w:rsidRDefault="00160FB0" w:rsidP="00524CF6">
      <w:pPr>
        <w:pStyle w:val="TM2"/>
        <w:rPr>
          <w:rFonts w:eastAsia="Times New Roman" w:cs="Times New Roman"/>
          <w:noProof/>
          <w:sz w:val="22"/>
          <w:szCs w:val="22"/>
        </w:rPr>
      </w:pPr>
      <w:hyperlink w:anchor="_Toc125385134" w:history="1">
        <w:r w:rsidR="00466BFF" w:rsidRPr="00B1666A">
          <w:rPr>
            <w:rStyle w:val="Lienhypertexte"/>
            <w:noProof/>
          </w:rPr>
          <w:t>4.1.</w:t>
        </w:r>
        <w:r w:rsidR="00466BFF" w:rsidRPr="00466BFF">
          <w:rPr>
            <w:rFonts w:eastAsia="Times New Roman" w:cs="Times New Roman"/>
            <w:noProof/>
            <w:sz w:val="22"/>
            <w:szCs w:val="22"/>
          </w:rPr>
          <w:tab/>
        </w:r>
        <w:r w:rsidR="00466BFF" w:rsidRPr="00B1666A">
          <w:rPr>
            <w:rStyle w:val="Lienhypertexte"/>
            <w:noProof/>
          </w:rPr>
          <w:t>Description du projet</w:t>
        </w:r>
        <w:r w:rsidR="00466BFF">
          <w:rPr>
            <w:noProof/>
            <w:webHidden/>
          </w:rPr>
          <w:tab/>
        </w:r>
        <w:r w:rsidR="00466BFF">
          <w:rPr>
            <w:noProof/>
            <w:webHidden/>
          </w:rPr>
          <w:fldChar w:fldCharType="begin"/>
        </w:r>
        <w:r w:rsidR="00466BFF">
          <w:rPr>
            <w:noProof/>
            <w:webHidden/>
          </w:rPr>
          <w:instrText xml:space="preserve"> PAGEREF _Toc125385134 \h </w:instrText>
        </w:r>
        <w:r w:rsidR="00466BFF">
          <w:rPr>
            <w:noProof/>
            <w:webHidden/>
          </w:rPr>
        </w:r>
        <w:r w:rsidR="00466BFF">
          <w:rPr>
            <w:noProof/>
            <w:webHidden/>
          </w:rPr>
          <w:fldChar w:fldCharType="separate"/>
        </w:r>
        <w:r w:rsidR="00466BFF">
          <w:rPr>
            <w:noProof/>
            <w:webHidden/>
          </w:rPr>
          <w:t>10</w:t>
        </w:r>
        <w:r w:rsidR="00466BFF">
          <w:rPr>
            <w:noProof/>
            <w:webHidden/>
          </w:rPr>
          <w:fldChar w:fldCharType="end"/>
        </w:r>
      </w:hyperlink>
    </w:p>
    <w:p w14:paraId="16570C0E" w14:textId="77777777" w:rsidR="00466BFF" w:rsidRPr="00466BFF" w:rsidRDefault="00160FB0" w:rsidP="00524CF6">
      <w:pPr>
        <w:pStyle w:val="TM2"/>
        <w:rPr>
          <w:rFonts w:eastAsia="Times New Roman" w:cs="Times New Roman"/>
          <w:noProof/>
          <w:sz w:val="22"/>
          <w:szCs w:val="22"/>
        </w:rPr>
      </w:pPr>
      <w:hyperlink w:anchor="_Toc125385135" w:history="1">
        <w:r w:rsidR="00466BFF" w:rsidRPr="00B1666A">
          <w:rPr>
            <w:rStyle w:val="Lienhypertexte"/>
            <w:noProof/>
          </w:rPr>
          <w:t>4.2.</w:t>
        </w:r>
        <w:r w:rsidR="00466BFF" w:rsidRPr="00466BFF">
          <w:rPr>
            <w:rFonts w:eastAsia="Times New Roman" w:cs="Times New Roman"/>
            <w:noProof/>
            <w:sz w:val="22"/>
            <w:szCs w:val="22"/>
          </w:rPr>
          <w:tab/>
        </w:r>
        <w:r w:rsidR="00466BFF" w:rsidRPr="00B1666A">
          <w:rPr>
            <w:rStyle w:val="Lienhypertexte"/>
            <w:noProof/>
          </w:rPr>
          <w:t>Prévalence des VBG en général et au niveau des Régions d’intervention</w:t>
        </w:r>
        <w:r w:rsidR="00466BFF">
          <w:rPr>
            <w:noProof/>
            <w:webHidden/>
          </w:rPr>
          <w:tab/>
        </w:r>
        <w:r w:rsidR="00466BFF">
          <w:rPr>
            <w:noProof/>
            <w:webHidden/>
          </w:rPr>
          <w:fldChar w:fldCharType="begin"/>
        </w:r>
        <w:r w:rsidR="00466BFF">
          <w:rPr>
            <w:noProof/>
            <w:webHidden/>
          </w:rPr>
          <w:instrText xml:space="preserve"> PAGEREF _Toc125385135 \h </w:instrText>
        </w:r>
        <w:r w:rsidR="00466BFF">
          <w:rPr>
            <w:noProof/>
            <w:webHidden/>
          </w:rPr>
        </w:r>
        <w:r w:rsidR="00466BFF">
          <w:rPr>
            <w:noProof/>
            <w:webHidden/>
          </w:rPr>
          <w:fldChar w:fldCharType="separate"/>
        </w:r>
        <w:r w:rsidR="00466BFF">
          <w:rPr>
            <w:noProof/>
            <w:webHidden/>
          </w:rPr>
          <w:t>11</w:t>
        </w:r>
        <w:r w:rsidR="00466BFF">
          <w:rPr>
            <w:noProof/>
            <w:webHidden/>
          </w:rPr>
          <w:fldChar w:fldCharType="end"/>
        </w:r>
      </w:hyperlink>
    </w:p>
    <w:p w14:paraId="2476233E" w14:textId="77777777" w:rsidR="00466BFF" w:rsidRPr="00466BFF" w:rsidRDefault="00160FB0" w:rsidP="00524CF6">
      <w:pPr>
        <w:pStyle w:val="TM2"/>
        <w:rPr>
          <w:rFonts w:eastAsia="Times New Roman" w:cs="Times New Roman"/>
          <w:noProof/>
          <w:sz w:val="22"/>
          <w:szCs w:val="22"/>
        </w:rPr>
      </w:pPr>
      <w:hyperlink w:anchor="_Toc125385136" w:history="1">
        <w:r w:rsidR="00466BFF" w:rsidRPr="00B1666A">
          <w:rPr>
            <w:rStyle w:val="Lienhypertexte"/>
            <w:noProof/>
          </w:rPr>
          <w:t>4.3.</w:t>
        </w:r>
        <w:r w:rsidR="00466BFF" w:rsidRPr="00466BFF">
          <w:rPr>
            <w:rFonts w:eastAsia="Times New Roman" w:cs="Times New Roman"/>
            <w:noProof/>
            <w:sz w:val="22"/>
            <w:szCs w:val="22"/>
          </w:rPr>
          <w:tab/>
        </w:r>
        <w:r w:rsidR="00466BFF" w:rsidRPr="00B1666A">
          <w:rPr>
            <w:rStyle w:val="Lienhypertexte"/>
            <w:noProof/>
          </w:rPr>
          <w:t>Analyse des risques de VGB susceptibles d’être induits par le Projet</w:t>
        </w:r>
        <w:r w:rsidR="00466BFF">
          <w:rPr>
            <w:noProof/>
            <w:webHidden/>
          </w:rPr>
          <w:tab/>
        </w:r>
        <w:r w:rsidR="00466BFF">
          <w:rPr>
            <w:noProof/>
            <w:webHidden/>
          </w:rPr>
          <w:fldChar w:fldCharType="begin"/>
        </w:r>
        <w:r w:rsidR="00466BFF">
          <w:rPr>
            <w:noProof/>
            <w:webHidden/>
          </w:rPr>
          <w:instrText xml:space="preserve"> PAGEREF _Toc125385136 \h </w:instrText>
        </w:r>
        <w:r w:rsidR="00466BFF">
          <w:rPr>
            <w:noProof/>
            <w:webHidden/>
          </w:rPr>
        </w:r>
        <w:r w:rsidR="00466BFF">
          <w:rPr>
            <w:noProof/>
            <w:webHidden/>
          </w:rPr>
          <w:fldChar w:fldCharType="separate"/>
        </w:r>
        <w:r w:rsidR="00466BFF">
          <w:rPr>
            <w:noProof/>
            <w:webHidden/>
          </w:rPr>
          <w:t>14</w:t>
        </w:r>
        <w:r w:rsidR="00466BFF">
          <w:rPr>
            <w:noProof/>
            <w:webHidden/>
          </w:rPr>
          <w:fldChar w:fldCharType="end"/>
        </w:r>
      </w:hyperlink>
    </w:p>
    <w:p w14:paraId="6332D72A" w14:textId="77777777" w:rsidR="00466BFF" w:rsidRPr="00466BFF" w:rsidRDefault="00160FB0" w:rsidP="002A6C0D">
      <w:pPr>
        <w:pStyle w:val="TM1"/>
        <w:rPr>
          <w:rFonts w:eastAsia="Times New Roman" w:cs="Times New Roman"/>
          <w:noProof/>
          <w:sz w:val="22"/>
          <w:szCs w:val="22"/>
        </w:rPr>
      </w:pPr>
      <w:hyperlink w:anchor="_Toc125385137" w:history="1">
        <w:r w:rsidR="00466BFF" w:rsidRPr="00B1666A">
          <w:rPr>
            <w:rStyle w:val="Lienhypertexte"/>
            <w:noProof/>
          </w:rPr>
          <w:t>5.</w:t>
        </w:r>
        <w:r w:rsidR="002A6C0D">
          <w:rPr>
            <w:rFonts w:eastAsia="Times New Roman" w:cs="Times New Roman"/>
            <w:sz w:val="22"/>
            <w:szCs w:val="22"/>
          </w:rPr>
          <w:t xml:space="preserve"> </w:t>
        </w:r>
        <w:r w:rsidR="00466BFF" w:rsidRPr="00B1666A">
          <w:rPr>
            <w:rStyle w:val="Lienhypertexte"/>
            <w:rFonts w:eastAsia="Arial"/>
            <w:noProof/>
          </w:rPr>
          <w:t>PLAN D’ACTION DE PREVENTION ET REPONSE AUX EAS/HS POUR LE PROJET</w:t>
        </w:r>
        <w:r w:rsidR="00466BFF">
          <w:rPr>
            <w:noProof/>
            <w:webHidden/>
          </w:rPr>
          <w:tab/>
        </w:r>
        <w:r w:rsidR="00466BFF">
          <w:rPr>
            <w:noProof/>
            <w:webHidden/>
          </w:rPr>
          <w:fldChar w:fldCharType="begin"/>
        </w:r>
        <w:r w:rsidR="00466BFF">
          <w:rPr>
            <w:noProof/>
            <w:webHidden/>
          </w:rPr>
          <w:instrText xml:space="preserve"> PAGEREF _Toc125385137 \h </w:instrText>
        </w:r>
        <w:r w:rsidR="00466BFF">
          <w:rPr>
            <w:noProof/>
            <w:webHidden/>
          </w:rPr>
        </w:r>
        <w:r w:rsidR="00466BFF">
          <w:rPr>
            <w:noProof/>
            <w:webHidden/>
          </w:rPr>
          <w:fldChar w:fldCharType="separate"/>
        </w:r>
        <w:r w:rsidR="00466BFF">
          <w:rPr>
            <w:noProof/>
            <w:webHidden/>
          </w:rPr>
          <w:t>16</w:t>
        </w:r>
        <w:r w:rsidR="00466BFF">
          <w:rPr>
            <w:noProof/>
            <w:webHidden/>
          </w:rPr>
          <w:fldChar w:fldCharType="end"/>
        </w:r>
      </w:hyperlink>
    </w:p>
    <w:p w14:paraId="307557B3" w14:textId="77777777" w:rsidR="00466BFF" w:rsidRPr="00466BFF" w:rsidRDefault="00160FB0" w:rsidP="00524CF6">
      <w:pPr>
        <w:pStyle w:val="TM2"/>
        <w:rPr>
          <w:rFonts w:eastAsia="Times New Roman" w:cs="Times New Roman"/>
          <w:noProof/>
          <w:sz w:val="22"/>
          <w:szCs w:val="22"/>
        </w:rPr>
      </w:pPr>
      <w:hyperlink w:anchor="_Toc125385138" w:history="1">
        <w:r w:rsidR="00466BFF" w:rsidRPr="00B1666A">
          <w:rPr>
            <w:rStyle w:val="Lienhypertexte"/>
            <w:noProof/>
          </w:rPr>
          <w:t>5.1.</w:t>
        </w:r>
        <w:r w:rsidR="00466BFF" w:rsidRPr="00466BFF">
          <w:rPr>
            <w:rFonts w:eastAsia="Times New Roman" w:cs="Times New Roman"/>
            <w:noProof/>
            <w:sz w:val="22"/>
            <w:szCs w:val="22"/>
          </w:rPr>
          <w:tab/>
        </w:r>
        <w:r w:rsidR="00466BFF" w:rsidRPr="00B1666A">
          <w:rPr>
            <w:rStyle w:val="Lienhypertexte"/>
            <w:noProof/>
          </w:rPr>
          <w:t>Objectifs</w:t>
        </w:r>
        <w:r w:rsidR="00466BFF">
          <w:rPr>
            <w:noProof/>
            <w:webHidden/>
          </w:rPr>
          <w:tab/>
        </w:r>
        <w:r w:rsidR="00466BFF">
          <w:rPr>
            <w:noProof/>
            <w:webHidden/>
          </w:rPr>
          <w:fldChar w:fldCharType="begin"/>
        </w:r>
        <w:r w:rsidR="00466BFF">
          <w:rPr>
            <w:noProof/>
            <w:webHidden/>
          </w:rPr>
          <w:instrText xml:space="preserve"> PAGEREF _Toc125385138 \h </w:instrText>
        </w:r>
        <w:r w:rsidR="00466BFF">
          <w:rPr>
            <w:noProof/>
            <w:webHidden/>
          </w:rPr>
        </w:r>
        <w:r w:rsidR="00466BFF">
          <w:rPr>
            <w:noProof/>
            <w:webHidden/>
          </w:rPr>
          <w:fldChar w:fldCharType="separate"/>
        </w:r>
        <w:r w:rsidR="00466BFF">
          <w:rPr>
            <w:noProof/>
            <w:webHidden/>
          </w:rPr>
          <w:t>16</w:t>
        </w:r>
        <w:r w:rsidR="00466BFF">
          <w:rPr>
            <w:noProof/>
            <w:webHidden/>
          </w:rPr>
          <w:fldChar w:fldCharType="end"/>
        </w:r>
      </w:hyperlink>
    </w:p>
    <w:p w14:paraId="20B24805" w14:textId="77777777" w:rsidR="00466BFF" w:rsidRPr="00466BFF" w:rsidRDefault="00160FB0" w:rsidP="00524CF6">
      <w:pPr>
        <w:pStyle w:val="TM2"/>
        <w:rPr>
          <w:rFonts w:eastAsia="Times New Roman" w:cs="Times New Roman"/>
          <w:noProof/>
          <w:sz w:val="22"/>
          <w:szCs w:val="22"/>
        </w:rPr>
      </w:pPr>
      <w:hyperlink w:anchor="_Toc125385139" w:history="1">
        <w:r w:rsidR="00466BFF" w:rsidRPr="00B1666A">
          <w:rPr>
            <w:rStyle w:val="Lienhypertexte"/>
            <w:noProof/>
          </w:rPr>
          <w:t>5.2.</w:t>
        </w:r>
        <w:r w:rsidR="00466BFF" w:rsidRPr="00466BFF">
          <w:rPr>
            <w:rFonts w:eastAsia="Times New Roman" w:cs="Times New Roman"/>
            <w:noProof/>
            <w:sz w:val="22"/>
            <w:szCs w:val="22"/>
          </w:rPr>
          <w:tab/>
        </w:r>
        <w:r w:rsidR="00466BFF" w:rsidRPr="00B1666A">
          <w:rPr>
            <w:rStyle w:val="Lienhypertexte"/>
            <w:noProof/>
          </w:rPr>
          <w:t>Plan d’actions</w:t>
        </w:r>
        <w:r w:rsidR="00466BFF">
          <w:rPr>
            <w:noProof/>
            <w:webHidden/>
          </w:rPr>
          <w:tab/>
        </w:r>
        <w:r w:rsidR="00466BFF">
          <w:rPr>
            <w:noProof/>
            <w:webHidden/>
          </w:rPr>
          <w:fldChar w:fldCharType="begin"/>
        </w:r>
        <w:r w:rsidR="00466BFF">
          <w:rPr>
            <w:noProof/>
            <w:webHidden/>
          </w:rPr>
          <w:instrText xml:space="preserve"> PAGEREF _Toc125385139 \h </w:instrText>
        </w:r>
        <w:r w:rsidR="00466BFF">
          <w:rPr>
            <w:noProof/>
            <w:webHidden/>
          </w:rPr>
        </w:r>
        <w:r w:rsidR="00466BFF">
          <w:rPr>
            <w:noProof/>
            <w:webHidden/>
          </w:rPr>
          <w:fldChar w:fldCharType="separate"/>
        </w:r>
        <w:r w:rsidR="00466BFF">
          <w:rPr>
            <w:noProof/>
            <w:webHidden/>
          </w:rPr>
          <w:t>17</w:t>
        </w:r>
        <w:r w:rsidR="00466BFF">
          <w:rPr>
            <w:noProof/>
            <w:webHidden/>
          </w:rPr>
          <w:fldChar w:fldCharType="end"/>
        </w:r>
      </w:hyperlink>
    </w:p>
    <w:p w14:paraId="7281A10F" w14:textId="77777777" w:rsidR="00466BFF" w:rsidRPr="00466BFF" w:rsidRDefault="00160FB0" w:rsidP="00524CF6">
      <w:pPr>
        <w:pStyle w:val="TM2"/>
        <w:rPr>
          <w:rFonts w:eastAsia="Times New Roman" w:cs="Times New Roman"/>
          <w:noProof/>
          <w:sz w:val="22"/>
          <w:szCs w:val="22"/>
        </w:rPr>
      </w:pPr>
      <w:hyperlink w:anchor="_Toc125385140" w:history="1">
        <w:r w:rsidR="00466BFF" w:rsidRPr="00B1666A">
          <w:rPr>
            <w:rStyle w:val="Lienhypertexte"/>
            <w:rFonts w:ascii="Arial Narrow" w:hAnsi="Arial Narrow"/>
            <w:noProof/>
          </w:rPr>
          <w:t>Contractants avec le Projet</w:t>
        </w:r>
        <w:r w:rsidR="00466BFF">
          <w:rPr>
            <w:noProof/>
            <w:webHidden/>
          </w:rPr>
          <w:tab/>
        </w:r>
        <w:r w:rsidR="00466BFF">
          <w:rPr>
            <w:noProof/>
            <w:webHidden/>
          </w:rPr>
          <w:fldChar w:fldCharType="begin"/>
        </w:r>
        <w:r w:rsidR="00466BFF">
          <w:rPr>
            <w:noProof/>
            <w:webHidden/>
          </w:rPr>
          <w:instrText xml:space="preserve"> PAGEREF _Toc125385140 \h </w:instrText>
        </w:r>
        <w:r w:rsidR="00466BFF">
          <w:rPr>
            <w:noProof/>
            <w:webHidden/>
          </w:rPr>
        </w:r>
        <w:r w:rsidR="00466BFF">
          <w:rPr>
            <w:noProof/>
            <w:webHidden/>
          </w:rPr>
          <w:fldChar w:fldCharType="separate"/>
        </w:r>
        <w:r w:rsidR="00466BFF">
          <w:rPr>
            <w:noProof/>
            <w:webHidden/>
          </w:rPr>
          <w:t>20</w:t>
        </w:r>
        <w:r w:rsidR="00466BFF">
          <w:rPr>
            <w:noProof/>
            <w:webHidden/>
          </w:rPr>
          <w:fldChar w:fldCharType="end"/>
        </w:r>
      </w:hyperlink>
    </w:p>
    <w:p w14:paraId="720CB3F5" w14:textId="77777777" w:rsidR="00466BFF" w:rsidRPr="00466BFF" w:rsidRDefault="00160FB0" w:rsidP="002A6C0D">
      <w:pPr>
        <w:pStyle w:val="TM1"/>
        <w:rPr>
          <w:rFonts w:eastAsia="Times New Roman" w:cs="Times New Roman"/>
          <w:noProof/>
          <w:sz w:val="22"/>
          <w:szCs w:val="22"/>
        </w:rPr>
      </w:pPr>
      <w:hyperlink w:anchor="_Toc125385141" w:history="1">
        <w:r w:rsidR="00466BFF" w:rsidRPr="00B1666A">
          <w:rPr>
            <w:rStyle w:val="Lienhypertexte"/>
            <w:noProof/>
          </w:rPr>
          <w:t>6.</w:t>
        </w:r>
        <w:r w:rsidR="002A6C0D">
          <w:rPr>
            <w:rFonts w:eastAsia="Times New Roman" w:cs="Times New Roman"/>
            <w:noProof/>
            <w:sz w:val="22"/>
            <w:szCs w:val="22"/>
          </w:rPr>
          <w:t xml:space="preserve"> </w:t>
        </w:r>
        <w:r w:rsidR="00466BFF" w:rsidRPr="00B1666A">
          <w:rPr>
            <w:rStyle w:val="Lienhypertexte"/>
            <w:noProof/>
          </w:rPr>
          <w:t>MECANISME DE TRAITEMENT DES CAS D’EAS/HS</w:t>
        </w:r>
        <w:r w:rsidR="00466BFF">
          <w:rPr>
            <w:noProof/>
            <w:webHidden/>
          </w:rPr>
          <w:tab/>
        </w:r>
        <w:r w:rsidR="00466BFF">
          <w:rPr>
            <w:noProof/>
            <w:webHidden/>
          </w:rPr>
          <w:fldChar w:fldCharType="begin"/>
        </w:r>
        <w:r w:rsidR="00466BFF">
          <w:rPr>
            <w:noProof/>
            <w:webHidden/>
          </w:rPr>
          <w:instrText xml:space="preserve"> PAGEREF _Toc125385141 \h </w:instrText>
        </w:r>
        <w:r w:rsidR="00466BFF">
          <w:rPr>
            <w:noProof/>
            <w:webHidden/>
          </w:rPr>
        </w:r>
        <w:r w:rsidR="00466BFF">
          <w:rPr>
            <w:noProof/>
            <w:webHidden/>
          </w:rPr>
          <w:fldChar w:fldCharType="separate"/>
        </w:r>
        <w:r w:rsidR="00466BFF">
          <w:rPr>
            <w:noProof/>
            <w:webHidden/>
          </w:rPr>
          <w:t>26</w:t>
        </w:r>
        <w:r w:rsidR="00466BFF">
          <w:rPr>
            <w:noProof/>
            <w:webHidden/>
          </w:rPr>
          <w:fldChar w:fldCharType="end"/>
        </w:r>
      </w:hyperlink>
    </w:p>
    <w:p w14:paraId="6C60B36A" w14:textId="77777777" w:rsidR="00466BFF" w:rsidRPr="00466BFF" w:rsidRDefault="00160FB0" w:rsidP="00524CF6">
      <w:pPr>
        <w:pStyle w:val="TM2"/>
        <w:rPr>
          <w:rFonts w:eastAsia="Times New Roman" w:cs="Times New Roman"/>
          <w:noProof/>
          <w:sz w:val="22"/>
          <w:szCs w:val="22"/>
        </w:rPr>
      </w:pPr>
      <w:hyperlink w:anchor="_Toc125385142" w:history="1">
        <w:r w:rsidR="00466BFF" w:rsidRPr="00B1666A">
          <w:rPr>
            <w:rStyle w:val="Lienhypertexte"/>
            <w:noProof/>
          </w:rPr>
          <w:t>6.1.</w:t>
        </w:r>
        <w:r w:rsidR="00466BFF" w:rsidRPr="00466BFF">
          <w:rPr>
            <w:rFonts w:eastAsia="Times New Roman" w:cs="Times New Roman"/>
            <w:noProof/>
            <w:sz w:val="22"/>
            <w:szCs w:val="22"/>
          </w:rPr>
          <w:tab/>
        </w:r>
        <w:r w:rsidR="00466BFF" w:rsidRPr="00B1666A">
          <w:rPr>
            <w:rStyle w:val="Lienhypertexte"/>
            <w:noProof/>
          </w:rPr>
          <w:t>Procédures de gestion des plaintes</w:t>
        </w:r>
        <w:r w:rsidR="00466BFF">
          <w:rPr>
            <w:noProof/>
            <w:webHidden/>
          </w:rPr>
          <w:tab/>
        </w:r>
        <w:r w:rsidR="00466BFF">
          <w:rPr>
            <w:noProof/>
            <w:webHidden/>
          </w:rPr>
          <w:fldChar w:fldCharType="begin"/>
        </w:r>
        <w:r w:rsidR="00466BFF">
          <w:rPr>
            <w:noProof/>
            <w:webHidden/>
          </w:rPr>
          <w:instrText xml:space="preserve"> PAGEREF _Toc125385142 \h </w:instrText>
        </w:r>
        <w:r w:rsidR="00466BFF">
          <w:rPr>
            <w:noProof/>
            <w:webHidden/>
          </w:rPr>
        </w:r>
        <w:r w:rsidR="00466BFF">
          <w:rPr>
            <w:noProof/>
            <w:webHidden/>
          </w:rPr>
          <w:fldChar w:fldCharType="separate"/>
        </w:r>
        <w:r w:rsidR="00466BFF">
          <w:rPr>
            <w:noProof/>
            <w:webHidden/>
          </w:rPr>
          <w:t>26</w:t>
        </w:r>
        <w:r w:rsidR="00466BFF">
          <w:rPr>
            <w:noProof/>
            <w:webHidden/>
          </w:rPr>
          <w:fldChar w:fldCharType="end"/>
        </w:r>
      </w:hyperlink>
    </w:p>
    <w:p w14:paraId="54CFDB9F" w14:textId="77777777" w:rsidR="00466BFF" w:rsidRPr="00466BFF" w:rsidRDefault="00160FB0" w:rsidP="00524CF6">
      <w:pPr>
        <w:pStyle w:val="TM2"/>
        <w:rPr>
          <w:rFonts w:eastAsia="Times New Roman" w:cs="Times New Roman"/>
          <w:noProof/>
          <w:sz w:val="22"/>
          <w:szCs w:val="22"/>
        </w:rPr>
      </w:pPr>
      <w:hyperlink w:anchor="_Toc125385143" w:history="1">
        <w:r w:rsidR="00466BFF" w:rsidRPr="00B1666A">
          <w:rPr>
            <w:rStyle w:val="Lienhypertexte"/>
            <w:noProof/>
          </w:rPr>
          <w:t>6.2.</w:t>
        </w:r>
        <w:r w:rsidR="00466BFF" w:rsidRPr="00466BFF">
          <w:rPr>
            <w:rFonts w:eastAsia="Times New Roman" w:cs="Times New Roman"/>
            <w:noProof/>
            <w:sz w:val="22"/>
            <w:szCs w:val="22"/>
          </w:rPr>
          <w:tab/>
        </w:r>
        <w:r w:rsidR="00466BFF" w:rsidRPr="00B1666A">
          <w:rPr>
            <w:rStyle w:val="Lienhypertexte"/>
            <w:noProof/>
          </w:rPr>
          <w:t>Protocole de responsabilisation et d’intervention : Services spécifiques dédiés au traitement de cas de VBG et d’abus sexuels</w:t>
        </w:r>
        <w:r w:rsidR="00466BFF">
          <w:rPr>
            <w:noProof/>
            <w:webHidden/>
          </w:rPr>
          <w:tab/>
        </w:r>
        <w:r w:rsidR="00466BFF">
          <w:rPr>
            <w:noProof/>
            <w:webHidden/>
          </w:rPr>
          <w:fldChar w:fldCharType="begin"/>
        </w:r>
        <w:r w:rsidR="00466BFF">
          <w:rPr>
            <w:noProof/>
            <w:webHidden/>
          </w:rPr>
          <w:instrText xml:space="preserve"> PAGEREF _Toc125385143 \h </w:instrText>
        </w:r>
        <w:r w:rsidR="00466BFF">
          <w:rPr>
            <w:noProof/>
            <w:webHidden/>
          </w:rPr>
        </w:r>
        <w:r w:rsidR="00466BFF">
          <w:rPr>
            <w:noProof/>
            <w:webHidden/>
          </w:rPr>
          <w:fldChar w:fldCharType="separate"/>
        </w:r>
        <w:r w:rsidR="00466BFF">
          <w:rPr>
            <w:noProof/>
            <w:webHidden/>
          </w:rPr>
          <w:t>28</w:t>
        </w:r>
        <w:r w:rsidR="00466BFF">
          <w:rPr>
            <w:noProof/>
            <w:webHidden/>
          </w:rPr>
          <w:fldChar w:fldCharType="end"/>
        </w:r>
      </w:hyperlink>
    </w:p>
    <w:p w14:paraId="4529552D" w14:textId="77777777" w:rsidR="00466BFF" w:rsidRPr="00466BFF" w:rsidRDefault="00160FB0" w:rsidP="002A6C0D">
      <w:pPr>
        <w:pStyle w:val="TM1"/>
        <w:rPr>
          <w:rFonts w:eastAsia="Times New Roman" w:cs="Times New Roman"/>
          <w:noProof/>
          <w:sz w:val="22"/>
          <w:szCs w:val="22"/>
        </w:rPr>
      </w:pPr>
      <w:hyperlink w:anchor="_Toc125385144" w:history="1">
        <w:r w:rsidR="00466BFF" w:rsidRPr="00B1666A">
          <w:rPr>
            <w:rStyle w:val="Lienhypertexte"/>
            <w:noProof/>
          </w:rPr>
          <w:t>7.</w:t>
        </w:r>
        <w:r w:rsidR="002A6C0D">
          <w:rPr>
            <w:rFonts w:eastAsia="Times New Roman" w:cs="Times New Roman"/>
            <w:noProof/>
            <w:sz w:val="22"/>
            <w:szCs w:val="22"/>
          </w:rPr>
          <w:t xml:space="preserve"> </w:t>
        </w:r>
        <w:r w:rsidR="00466BFF" w:rsidRPr="00B1666A">
          <w:rPr>
            <w:rStyle w:val="Lienhypertexte"/>
            <w:noProof/>
          </w:rPr>
          <w:t>BUDGET POUR LE PLAN D’ACTIONS VBG/ EAS/HS</w:t>
        </w:r>
        <w:r w:rsidR="00466BFF">
          <w:rPr>
            <w:noProof/>
            <w:webHidden/>
          </w:rPr>
          <w:tab/>
        </w:r>
        <w:r w:rsidR="00466BFF">
          <w:rPr>
            <w:noProof/>
            <w:webHidden/>
          </w:rPr>
          <w:fldChar w:fldCharType="begin"/>
        </w:r>
        <w:r w:rsidR="00466BFF">
          <w:rPr>
            <w:noProof/>
            <w:webHidden/>
          </w:rPr>
          <w:instrText xml:space="preserve"> PAGEREF _Toc125385144 \h </w:instrText>
        </w:r>
        <w:r w:rsidR="00466BFF">
          <w:rPr>
            <w:noProof/>
            <w:webHidden/>
          </w:rPr>
        </w:r>
        <w:r w:rsidR="00466BFF">
          <w:rPr>
            <w:noProof/>
            <w:webHidden/>
          </w:rPr>
          <w:fldChar w:fldCharType="separate"/>
        </w:r>
        <w:r w:rsidR="00466BFF">
          <w:rPr>
            <w:noProof/>
            <w:webHidden/>
          </w:rPr>
          <w:t>31</w:t>
        </w:r>
        <w:r w:rsidR="00466BFF">
          <w:rPr>
            <w:noProof/>
            <w:webHidden/>
          </w:rPr>
          <w:fldChar w:fldCharType="end"/>
        </w:r>
      </w:hyperlink>
    </w:p>
    <w:p w14:paraId="5DB58732" w14:textId="77777777" w:rsidR="00466BFF" w:rsidRPr="00466BFF" w:rsidRDefault="00160FB0" w:rsidP="002A6C0D">
      <w:pPr>
        <w:pStyle w:val="TM1"/>
        <w:rPr>
          <w:rFonts w:eastAsia="Times New Roman" w:cs="Times New Roman"/>
          <w:noProof/>
          <w:sz w:val="22"/>
          <w:szCs w:val="22"/>
        </w:rPr>
      </w:pPr>
      <w:hyperlink w:anchor="_Toc125385145" w:history="1">
        <w:r w:rsidR="00466BFF" w:rsidRPr="00B1666A">
          <w:rPr>
            <w:rStyle w:val="Lienhypertexte"/>
            <w:noProof/>
          </w:rPr>
          <w:t>8.</w:t>
        </w:r>
        <w:r w:rsidR="002A6C0D">
          <w:rPr>
            <w:rFonts w:eastAsia="Times New Roman" w:cs="Times New Roman"/>
            <w:noProof/>
            <w:sz w:val="22"/>
            <w:szCs w:val="22"/>
          </w:rPr>
          <w:t xml:space="preserve"> </w:t>
        </w:r>
        <w:r w:rsidR="00466BFF" w:rsidRPr="00B1666A">
          <w:rPr>
            <w:rStyle w:val="Lienhypertexte"/>
            <w:noProof/>
          </w:rPr>
          <w:t>CONCLUSION</w:t>
        </w:r>
        <w:r w:rsidR="00466BFF">
          <w:rPr>
            <w:noProof/>
            <w:webHidden/>
          </w:rPr>
          <w:tab/>
        </w:r>
        <w:r w:rsidR="00466BFF">
          <w:rPr>
            <w:noProof/>
            <w:webHidden/>
          </w:rPr>
          <w:fldChar w:fldCharType="begin"/>
        </w:r>
        <w:r w:rsidR="00466BFF">
          <w:rPr>
            <w:noProof/>
            <w:webHidden/>
          </w:rPr>
          <w:instrText xml:space="preserve"> PAGEREF _Toc125385145 \h </w:instrText>
        </w:r>
        <w:r w:rsidR="00466BFF">
          <w:rPr>
            <w:noProof/>
            <w:webHidden/>
          </w:rPr>
        </w:r>
        <w:r w:rsidR="00466BFF">
          <w:rPr>
            <w:noProof/>
            <w:webHidden/>
          </w:rPr>
          <w:fldChar w:fldCharType="separate"/>
        </w:r>
        <w:r w:rsidR="00466BFF">
          <w:rPr>
            <w:noProof/>
            <w:webHidden/>
          </w:rPr>
          <w:t>32</w:t>
        </w:r>
        <w:r w:rsidR="00466BFF">
          <w:rPr>
            <w:noProof/>
            <w:webHidden/>
          </w:rPr>
          <w:fldChar w:fldCharType="end"/>
        </w:r>
      </w:hyperlink>
    </w:p>
    <w:p w14:paraId="18107FEE" w14:textId="77777777" w:rsidR="00C21029" w:rsidRDefault="00466BFF" w:rsidP="005C566E">
      <w:pPr>
        <w:rPr>
          <w:rFonts w:ascii="Times New Roman" w:hAnsi="Times New Roman"/>
        </w:rPr>
      </w:pPr>
      <w:r>
        <w:rPr>
          <w:b/>
          <w:bCs/>
        </w:rPr>
        <w:fldChar w:fldCharType="end"/>
      </w:r>
    </w:p>
    <w:p w14:paraId="4C087D1D" w14:textId="77777777" w:rsidR="00C21029" w:rsidRPr="001C53DA" w:rsidRDefault="00C21029" w:rsidP="00C21029">
      <w:pPr>
        <w:rPr>
          <w:rFonts w:ascii="Arial Narrow" w:hAnsi="Arial Narrow"/>
          <w:b/>
          <w:bCs/>
          <w:u w:val="single"/>
        </w:rPr>
      </w:pPr>
      <w:r w:rsidRPr="001C53DA">
        <w:rPr>
          <w:rFonts w:ascii="Arial Narrow" w:hAnsi="Arial Narrow"/>
          <w:b/>
          <w:bCs/>
          <w:u w:val="single"/>
        </w:rPr>
        <w:t xml:space="preserve">Annexes </w:t>
      </w:r>
    </w:p>
    <w:p w14:paraId="7CB4AF74" w14:textId="77777777" w:rsidR="00C21029" w:rsidRPr="007F78CE" w:rsidRDefault="00C21029" w:rsidP="00C21029">
      <w:pPr>
        <w:pStyle w:val="Tabledesillustrations"/>
        <w:tabs>
          <w:tab w:val="right" w:leader="dot" w:pos="9062"/>
        </w:tabs>
        <w:rPr>
          <w:rFonts w:ascii="Calibri" w:hAnsi="Calibri"/>
          <w:noProof/>
          <w:sz w:val="22"/>
          <w:szCs w:val="22"/>
        </w:rPr>
      </w:pPr>
      <w:r w:rsidRPr="00741CFE">
        <w:rPr>
          <w:rFonts w:ascii="Times New Roman" w:hAnsi="Times New Roman"/>
        </w:rPr>
        <w:fldChar w:fldCharType="begin"/>
      </w:r>
      <w:r w:rsidRPr="00741CFE">
        <w:rPr>
          <w:rFonts w:ascii="Times New Roman" w:hAnsi="Times New Roman"/>
        </w:rPr>
        <w:instrText xml:space="preserve"> TOC \h \z \c "Annexe" </w:instrText>
      </w:r>
      <w:r w:rsidRPr="00741CFE">
        <w:rPr>
          <w:rFonts w:ascii="Times New Roman" w:hAnsi="Times New Roman"/>
        </w:rPr>
        <w:fldChar w:fldCharType="separate"/>
      </w:r>
      <w:hyperlink w:anchor="_Toc124178403" w:history="1">
        <w:r w:rsidRPr="00927557">
          <w:rPr>
            <w:rStyle w:val="Lienhypertexte"/>
            <w:noProof/>
          </w:rPr>
          <w:t>Annexe 1 : Terminologie utilisée dans le cadre de la lutte contre les VBG</w:t>
        </w:r>
        <w:r>
          <w:rPr>
            <w:noProof/>
            <w:webHidden/>
          </w:rPr>
          <w:tab/>
        </w:r>
        <w:r>
          <w:rPr>
            <w:noProof/>
            <w:webHidden/>
          </w:rPr>
          <w:fldChar w:fldCharType="begin"/>
        </w:r>
        <w:r>
          <w:rPr>
            <w:noProof/>
            <w:webHidden/>
          </w:rPr>
          <w:instrText xml:space="preserve"> PAGEREF _Toc124178403 \h </w:instrText>
        </w:r>
        <w:r>
          <w:rPr>
            <w:noProof/>
            <w:webHidden/>
          </w:rPr>
        </w:r>
        <w:r>
          <w:rPr>
            <w:noProof/>
            <w:webHidden/>
          </w:rPr>
          <w:fldChar w:fldCharType="separate"/>
        </w:r>
        <w:r w:rsidR="002A6C0D">
          <w:rPr>
            <w:noProof/>
            <w:webHidden/>
          </w:rPr>
          <w:t>34</w:t>
        </w:r>
        <w:r>
          <w:rPr>
            <w:noProof/>
            <w:webHidden/>
          </w:rPr>
          <w:fldChar w:fldCharType="end"/>
        </w:r>
      </w:hyperlink>
    </w:p>
    <w:p w14:paraId="3ABBE0E3" w14:textId="77777777" w:rsidR="00C21029" w:rsidRPr="007F78CE" w:rsidRDefault="00160FB0" w:rsidP="00C21029">
      <w:pPr>
        <w:pStyle w:val="Tabledesillustrations"/>
        <w:tabs>
          <w:tab w:val="right" w:leader="dot" w:pos="9062"/>
        </w:tabs>
        <w:rPr>
          <w:rFonts w:ascii="Calibri" w:hAnsi="Calibri"/>
          <w:noProof/>
          <w:sz w:val="22"/>
          <w:szCs w:val="22"/>
        </w:rPr>
      </w:pPr>
      <w:hyperlink w:anchor="_Toc124178404" w:history="1">
        <w:r w:rsidR="00C21029" w:rsidRPr="00927557">
          <w:rPr>
            <w:rStyle w:val="Lienhypertexte"/>
            <w:noProof/>
          </w:rPr>
          <w:t>Annexe2 : Liste des Conventions et des Accords internationaux ratifiés par Madagascar en matière de lutte contre les Violences basées sur le Genre</w:t>
        </w:r>
        <w:r w:rsidR="00C21029">
          <w:rPr>
            <w:noProof/>
            <w:webHidden/>
          </w:rPr>
          <w:tab/>
        </w:r>
        <w:r w:rsidR="00C21029">
          <w:rPr>
            <w:noProof/>
            <w:webHidden/>
          </w:rPr>
          <w:fldChar w:fldCharType="begin"/>
        </w:r>
        <w:r w:rsidR="00C21029">
          <w:rPr>
            <w:noProof/>
            <w:webHidden/>
          </w:rPr>
          <w:instrText xml:space="preserve"> PAGEREF _Toc124178404 \h </w:instrText>
        </w:r>
        <w:r w:rsidR="00C21029">
          <w:rPr>
            <w:noProof/>
            <w:webHidden/>
          </w:rPr>
        </w:r>
        <w:r w:rsidR="00C21029">
          <w:rPr>
            <w:noProof/>
            <w:webHidden/>
          </w:rPr>
          <w:fldChar w:fldCharType="separate"/>
        </w:r>
        <w:r w:rsidR="002A6C0D">
          <w:rPr>
            <w:noProof/>
            <w:webHidden/>
          </w:rPr>
          <w:t>37</w:t>
        </w:r>
        <w:r w:rsidR="00C21029">
          <w:rPr>
            <w:noProof/>
            <w:webHidden/>
          </w:rPr>
          <w:fldChar w:fldCharType="end"/>
        </w:r>
      </w:hyperlink>
    </w:p>
    <w:p w14:paraId="54AF4618" w14:textId="77777777" w:rsidR="00C21029" w:rsidRPr="007F78CE" w:rsidRDefault="00160FB0" w:rsidP="00C21029">
      <w:pPr>
        <w:pStyle w:val="Tabledesillustrations"/>
        <w:tabs>
          <w:tab w:val="right" w:leader="dot" w:pos="9062"/>
        </w:tabs>
        <w:rPr>
          <w:rFonts w:ascii="Calibri" w:hAnsi="Calibri"/>
          <w:noProof/>
          <w:sz w:val="22"/>
          <w:szCs w:val="22"/>
        </w:rPr>
      </w:pPr>
      <w:hyperlink w:anchor="_Toc124178405" w:history="1">
        <w:r w:rsidR="00C21029" w:rsidRPr="00927557">
          <w:rPr>
            <w:rStyle w:val="Lienhypertexte"/>
            <w:noProof/>
          </w:rPr>
          <w:t>Annexe 3 : Cadre ou Protocole de responsabilisation et de réponse en cas de suivi de traitement des plaintes liées au cas de VBG/EAS/HS</w:t>
        </w:r>
        <w:r w:rsidR="00C21029">
          <w:rPr>
            <w:noProof/>
            <w:webHidden/>
          </w:rPr>
          <w:tab/>
        </w:r>
        <w:r w:rsidR="00C21029">
          <w:rPr>
            <w:noProof/>
            <w:webHidden/>
          </w:rPr>
          <w:fldChar w:fldCharType="begin"/>
        </w:r>
        <w:r w:rsidR="00C21029">
          <w:rPr>
            <w:noProof/>
            <w:webHidden/>
          </w:rPr>
          <w:instrText xml:space="preserve"> PAGEREF _Toc124178405 \h </w:instrText>
        </w:r>
        <w:r w:rsidR="00C21029">
          <w:rPr>
            <w:noProof/>
            <w:webHidden/>
          </w:rPr>
        </w:r>
        <w:r w:rsidR="00C21029">
          <w:rPr>
            <w:noProof/>
            <w:webHidden/>
          </w:rPr>
          <w:fldChar w:fldCharType="separate"/>
        </w:r>
        <w:r w:rsidR="002A6C0D">
          <w:rPr>
            <w:noProof/>
            <w:webHidden/>
          </w:rPr>
          <w:t>38</w:t>
        </w:r>
        <w:r w:rsidR="00C21029">
          <w:rPr>
            <w:noProof/>
            <w:webHidden/>
          </w:rPr>
          <w:fldChar w:fldCharType="end"/>
        </w:r>
      </w:hyperlink>
    </w:p>
    <w:p w14:paraId="6320FA8E" w14:textId="77777777" w:rsidR="00C21029" w:rsidRPr="007F78CE" w:rsidRDefault="00160FB0" w:rsidP="00C21029">
      <w:pPr>
        <w:pStyle w:val="Tabledesillustrations"/>
        <w:tabs>
          <w:tab w:val="right" w:leader="dot" w:pos="9062"/>
        </w:tabs>
        <w:rPr>
          <w:rFonts w:ascii="Calibri" w:hAnsi="Calibri"/>
          <w:noProof/>
          <w:sz w:val="22"/>
          <w:szCs w:val="22"/>
        </w:rPr>
      </w:pPr>
      <w:hyperlink w:anchor="_Toc124178406" w:history="1">
        <w:r w:rsidR="00C21029" w:rsidRPr="00927557">
          <w:rPr>
            <w:rStyle w:val="Lienhypertexte"/>
            <w:noProof/>
          </w:rPr>
          <w:t>Annexe 4 : Liste des services/organismes de prise en charge  de VBG/EAS/HS</w:t>
        </w:r>
        <w:r w:rsidR="00C21029">
          <w:rPr>
            <w:noProof/>
            <w:webHidden/>
          </w:rPr>
          <w:tab/>
        </w:r>
        <w:r w:rsidR="00C21029">
          <w:rPr>
            <w:noProof/>
            <w:webHidden/>
          </w:rPr>
          <w:fldChar w:fldCharType="begin"/>
        </w:r>
        <w:r w:rsidR="00C21029">
          <w:rPr>
            <w:noProof/>
            <w:webHidden/>
          </w:rPr>
          <w:instrText xml:space="preserve"> PAGEREF _Toc124178406 \h </w:instrText>
        </w:r>
        <w:r w:rsidR="00C21029">
          <w:rPr>
            <w:noProof/>
            <w:webHidden/>
          </w:rPr>
        </w:r>
        <w:r w:rsidR="00C21029">
          <w:rPr>
            <w:noProof/>
            <w:webHidden/>
          </w:rPr>
          <w:fldChar w:fldCharType="separate"/>
        </w:r>
        <w:r w:rsidR="002A6C0D">
          <w:rPr>
            <w:noProof/>
            <w:webHidden/>
          </w:rPr>
          <w:t>40</w:t>
        </w:r>
        <w:r w:rsidR="00C21029">
          <w:rPr>
            <w:noProof/>
            <w:webHidden/>
          </w:rPr>
          <w:fldChar w:fldCharType="end"/>
        </w:r>
      </w:hyperlink>
    </w:p>
    <w:p w14:paraId="033912C0" w14:textId="77777777" w:rsidR="00C21029" w:rsidRDefault="00C21029" w:rsidP="00C21029">
      <w:pPr>
        <w:spacing w:after="0"/>
      </w:pPr>
      <w:r w:rsidRPr="00741CFE">
        <w:rPr>
          <w:rFonts w:ascii="Times New Roman" w:hAnsi="Times New Roman"/>
        </w:rPr>
        <w:fldChar w:fldCharType="end"/>
      </w:r>
    </w:p>
    <w:p w14:paraId="3F90F836" w14:textId="77777777" w:rsidR="00C21029" w:rsidRPr="00387817" w:rsidRDefault="00C21029" w:rsidP="00C21029">
      <w:pPr>
        <w:rPr>
          <w:rFonts w:ascii="Arial Narrow" w:hAnsi="Arial Narrow"/>
          <w:b/>
          <w:bCs/>
          <w:u w:val="single"/>
        </w:rPr>
      </w:pPr>
      <w:r>
        <w:rPr>
          <w:rFonts w:ascii="Arial Narrow" w:hAnsi="Arial Narrow"/>
          <w:b/>
          <w:bCs/>
          <w:u w:val="single"/>
        </w:rPr>
        <w:t xml:space="preserve">Liste des tableaux </w:t>
      </w:r>
    </w:p>
    <w:p w14:paraId="378F0CC2" w14:textId="77777777" w:rsidR="00C21029" w:rsidRPr="00601CC5" w:rsidRDefault="00C21029" w:rsidP="00C21029">
      <w:pPr>
        <w:pStyle w:val="Tabledesillustrations"/>
        <w:tabs>
          <w:tab w:val="right" w:leader="dot" w:pos="9062"/>
        </w:tabs>
        <w:rPr>
          <w:rStyle w:val="Lienhypertexte"/>
          <w:noProof/>
        </w:rPr>
      </w:pPr>
      <w:r w:rsidRPr="00211DFE">
        <w:rPr>
          <w:rStyle w:val="Lienhypertexte"/>
          <w:rFonts w:ascii="Times New Roman" w:hAnsi="Times New Roman"/>
          <w:noProof/>
        </w:rPr>
        <w:fldChar w:fldCharType="begin"/>
      </w:r>
      <w:r w:rsidRPr="00211DFE">
        <w:rPr>
          <w:rStyle w:val="Lienhypertexte"/>
          <w:rFonts w:ascii="Times New Roman" w:hAnsi="Times New Roman"/>
          <w:noProof/>
        </w:rPr>
        <w:instrText xml:space="preserve"> TOC \h \z \c "Tableau" </w:instrText>
      </w:r>
      <w:r w:rsidRPr="00211DFE">
        <w:rPr>
          <w:rStyle w:val="Lienhypertexte"/>
          <w:rFonts w:ascii="Times New Roman" w:hAnsi="Times New Roman"/>
          <w:noProof/>
        </w:rPr>
        <w:fldChar w:fldCharType="separate"/>
      </w:r>
      <w:hyperlink w:anchor="_Toc124140858" w:history="1">
        <w:r w:rsidRPr="00601CC5">
          <w:rPr>
            <w:rStyle w:val="Lienhypertexte"/>
            <w:noProof/>
          </w:rPr>
          <w:t>Tableau 1 : Indicateurs liés à la violence physique au niveau des Régions</w:t>
        </w:r>
        <w:r w:rsidRPr="00601CC5">
          <w:rPr>
            <w:rStyle w:val="Lienhypertexte"/>
            <w:noProof/>
            <w:webHidden/>
          </w:rPr>
          <w:tab/>
        </w:r>
        <w:r w:rsidRPr="00601CC5">
          <w:rPr>
            <w:rStyle w:val="Lienhypertexte"/>
            <w:noProof/>
            <w:webHidden/>
          </w:rPr>
          <w:fldChar w:fldCharType="begin"/>
        </w:r>
        <w:r w:rsidRPr="00601CC5">
          <w:rPr>
            <w:rStyle w:val="Lienhypertexte"/>
            <w:noProof/>
            <w:webHidden/>
          </w:rPr>
          <w:instrText xml:space="preserve"> PAGEREF _Toc124140858 \h </w:instrText>
        </w:r>
        <w:r w:rsidRPr="00601CC5">
          <w:rPr>
            <w:rStyle w:val="Lienhypertexte"/>
            <w:noProof/>
            <w:webHidden/>
          </w:rPr>
        </w:r>
        <w:r w:rsidRPr="00601CC5">
          <w:rPr>
            <w:rStyle w:val="Lienhypertexte"/>
            <w:noProof/>
            <w:webHidden/>
          </w:rPr>
          <w:fldChar w:fldCharType="separate"/>
        </w:r>
        <w:r w:rsidR="002A6C0D">
          <w:rPr>
            <w:rStyle w:val="Lienhypertexte"/>
            <w:noProof/>
            <w:webHidden/>
          </w:rPr>
          <w:t>12</w:t>
        </w:r>
        <w:r w:rsidRPr="00601CC5">
          <w:rPr>
            <w:rStyle w:val="Lienhypertexte"/>
            <w:noProof/>
            <w:webHidden/>
          </w:rPr>
          <w:fldChar w:fldCharType="end"/>
        </w:r>
      </w:hyperlink>
    </w:p>
    <w:p w14:paraId="05E9307E" w14:textId="77777777" w:rsidR="00C21029" w:rsidRPr="00601CC5" w:rsidRDefault="00160FB0" w:rsidP="00C21029">
      <w:pPr>
        <w:pStyle w:val="Tabledesillustrations"/>
        <w:tabs>
          <w:tab w:val="right" w:leader="dot" w:pos="9062"/>
        </w:tabs>
        <w:rPr>
          <w:rStyle w:val="Lienhypertexte"/>
          <w:noProof/>
        </w:rPr>
      </w:pPr>
      <w:hyperlink w:anchor="_Toc124140859" w:history="1">
        <w:r w:rsidR="00C21029" w:rsidRPr="00601CC5">
          <w:rPr>
            <w:rStyle w:val="Lienhypertexte"/>
            <w:noProof/>
          </w:rPr>
          <w:t>Tableau 2 : Indicateurs liés à la violence sexuelle au niveau des Régions</w:t>
        </w:r>
        <w:r w:rsidR="00C21029" w:rsidRPr="00601CC5">
          <w:rPr>
            <w:rStyle w:val="Lienhypertexte"/>
            <w:noProof/>
            <w:webHidden/>
          </w:rPr>
          <w:tab/>
        </w:r>
        <w:r w:rsidR="00C21029" w:rsidRPr="00601CC5">
          <w:rPr>
            <w:rStyle w:val="Lienhypertexte"/>
            <w:noProof/>
            <w:webHidden/>
          </w:rPr>
          <w:fldChar w:fldCharType="begin"/>
        </w:r>
        <w:r w:rsidR="00C21029" w:rsidRPr="00601CC5">
          <w:rPr>
            <w:rStyle w:val="Lienhypertexte"/>
            <w:noProof/>
            <w:webHidden/>
          </w:rPr>
          <w:instrText xml:space="preserve"> PAGEREF _Toc124140859 \h </w:instrText>
        </w:r>
        <w:r w:rsidR="00C21029" w:rsidRPr="00601CC5">
          <w:rPr>
            <w:rStyle w:val="Lienhypertexte"/>
            <w:noProof/>
            <w:webHidden/>
          </w:rPr>
        </w:r>
        <w:r w:rsidR="00C21029" w:rsidRPr="00601CC5">
          <w:rPr>
            <w:rStyle w:val="Lienhypertexte"/>
            <w:noProof/>
            <w:webHidden/>
          </w:rPr>
          <w:fldChar w:fldCharType="separate"/>
        </w:r>
        <w:r w:rsidR="002A6C0D">
          <w:rPr>
            <w:rStyle w:val="Lienhypertexte"/>
            <w:noProof/>
            <w:webHidden/>
          </w:rPr>
          <w:t>13</w:t>
        </w:r>
        <w:r w:rsidR="00C21029" w:rsidRPr="00601CC5">
          <w:rPr>
            <w:rStyle w:val="Lienhypertexte"/>
            <w:noProof/>
            <w:webHidden/>
          </w:rPr>
          <w:fldChar w:fldCharType="end"/>
        </w:r>
      </w:hyperlink>
    </w:p>
    <w:p w14:paraId="5DF60639" w14:textId="77777777" w:rsidR="00C21029" w:rsidRPr="00601CC5" w:rsidRDefault="00160FB0" w:rsidP="00C21029">
      <w:pPr>
        <w:pStyle w:val="Tabledesillustrations"/>
        <w:tabs>
          <w:tab w:val="right" w:leader="dot" w:pos="9062"/>
        </w:tabs>
        <w:rPr>
          <w:rStyle w:val="Lienhypertexte"/>
          <w:noProof/>
        </w:rPr>
      </w:pPr>
      <w:hyperlink w:anchor="_Toc124140860" w:history="1">
        <w:r w:rsidR="00C21029" w:rsidRPr="00601CC5">
          <w:rPr>
            <w:rStyle w:val="Lienhypertexte"/>
            <w:noProof/>
          </w:rPr>
          <w:t>Tableau 3 : Indicateurs liés à la violence conjugale selon leurs caractéristiques au niveau des Régions</w:t>
        </w:r>
        <w:r w:rsidR="00C21029" w:rsidRPr="00601CC5">
          <w:rPr>
            <w:rStyle w:val="Lienhypertexte"/>
            <w:noProof/>
            <w:webHidden/>
          </w:rPr>
          <w:tab/>
        </w:r>
        <w:r w:rsidR="00C21029" w:rsidRPr="00601CC5">
          <w:rPr>
            <w:rStyle w:val="Lienhypertexte"/>
            <w:noProof/>
            <w:webHidden/>
          </w:rPr>
          <w:fldChar w:fldCharType="begin"/>
        </w:r>
        <w:r w:rsidR="00C21029" w:rsidRPr="00601CC5">
          <w:rPr>
            <w:rStyle w:val="Lienhypertexte"/>
            <w:noProof/>
            <w:webHidden/>
          </w:rPr>
          <w:instrText xml:space="preserve"> PAGEREF _Toc124140860 \h </w:instrText>
        </w:r>
        <w:r w:rsidR="00C21029" w:rsidRPr="00601CC5">
          <w:rPr>
            <w:rStyle w:val="Lienhypertexte"/>
            <w:noProof/>
            <w:webHidden/>
          </w:rPr>
        </w:r>
        <w:r w:rsidR="00C21029" w:rsidRPr="00601CC5">
          <w:rPr>
            <w:rStyle w:val="Lienhypertexte"/>
            <w:noProof/>
            <w:webHidden/>
          </w:rPr>
          <w:fldChar w:fldCharType="separate"/>
        </w:r>
        <w:r w:rsidR="002A6C0D">
          <w:rPr>
            <w:rStyle w:val="Lienhypertexte"/>
            <w:noProof/>
            <w:webHidden/>
          </w:rPr>
          <w:t>14</w:t>
        </w:r>
        <w:r w:rsidR="00C21029" w:rsidRPr="00601CC5">
          <w:rPr>
            <w:rStyle w:val="Lienhypertexte"/>
            <w:noProof/>
            <w:webHidden/>
          </w:rPr>
          <w:fldChar w:fldCharType="end"/>
        </w:r>
      </w:hyperlink>
    </w:p>
    <w:p w14:paraId="4259983E" w14:textId="77777777" w:rsidR="00C21029" w:rsidRPr="00601CC5" w:rsidRDefault="00160FB0" w:rsidP="00C21029">
      <w:pPr>
        <w:pStyle w:val="Tabledesillustrations"/>
        <w:tabs>
          <w:tab w:val="right" w:leader="dot" w:pos="9062"/>
        </w:tabs>
        <w:rPr>
          <w:rStyle w:val="Lienhypertexte"/>
          <w:noProof/>
        </w:rPr>
      </w:pPr>
      <w:hyperlink w:anchor="_Toc124140861" w:history="1">
        <w:r w:rsidR="00C21029" w:rsidRPr="00601CC5">
          <w:rPr>
            <w:rStyle w:val="Lienhypertexte"/>
            <w:noProof/>
          </w:rPr>
          <w:t>Tableau 4 : Nombre de Cas de VBG enregistrés au niveau de la Région Fitovinany</w:t>
        </w:r>
        <w:r w:rsidR="00C21029" w:rsidRPr="00601CC5">
          <w:rPr>
            <w:rStyle w:val="Lienhypertexte"/>
            <w:noProof/>
            <w:webHidden/>
          </w:rPr>
          <w:tab/>
        </w:r>
        <w:r w:rsidR="00C21029" w:rsidRPr="00601CC5">
          <w:rPr>
            <w:rStyle w:val="Lienhypertexte"/>
            <w:noProof/>
            <w:webHidden/>
          </w:rPr>
          <w:fldChar w:fldCharType="begin"/>
        </w:r>
        <w:r w:rsidR="00C21029" w:rsidRPr="00601CC5">
          <w:rPr>
            <w:rStyle w:val="Lienhypertexte"/>
            <w:noProof/>
            <w:webHidden/>
          </w:rPr>
          <w:instrText xml:space="preserve"> PAGEREF _Toc124140861 \h </w:instrText>
        </w:r>
        <w:r w:rsidR="00C21029" w:rsidRPr="00601CC5">
          <w:rPr>
            <w:rStyle w:val="Lienhypertexte"/>
            <w:noProof/>
            <w:webHidden/>
          </w:rPr>
        </w:r>
        <w:r w:rsidR="00C21029" w:rsidRPr="00601CC5">
          <w:rPr>
            <w:rStyle w:val="Lienhypertexte"/>
            <w:noProof/>
            <w:webHidden/>
          </w:rPr>
          <w:fldChar w:fldCharType="separate"/>
        </w:r>
        <w:r w:rsidR="002A6C0D">
          <w:rPr>
            <w:rStyle w:val="Lienhypertexte"/>
            <w:noProof/>
            <w:webHidden/>
          </w:rPr>
          <w:t>14</w:t>
        </w:r>
        <w:r w:rsidR="00C21029" w:rsidRPr="00601CC5">
          <w:rPr>
            <w:rStyle w:val="Lienhypertexte"/>
            <w:noProof/>
            <w:webHidden/>
          </w:rPr>
          <w:fldChar w:fldCharType="end"/>
        </w:r>
      </w:hyperlink>
    </w:p>
    <w:p w14:paraId="02324CB5" w14:textId="77777777" w:rsidR="00C21029" w:rsidRPr="00601CC5" w:rsidRDefault="00160FB0" w:rsidP="00C21029">
      <w:pPr>
        <w:pStyle w:val="Tabledesillustrations"/>
        <w:tabs>
          <w:tab w:val="right" w:leader="dot" w:pos="9062"/>
        </w:tabs>
        <w:rPr>
          <w:rStyle w:val="Lienhypertexte"/>
          <w:noProof/>
        </w:rPr>
      </w:pPr>
      <w:hyperlink w:anchor="_Toc124140862" w:history="1">
        <w:r w:rsidR="00C21029" w:rsidRPr="00601CC5">
          <w:rPr>
            <w:rStyle w:val="Lienhypertexte"/>
            <w:noProof/>
          </w:rPr>
          <w:t>Tableau</w:t>
        </w:r>
        <w:r w:rsidR="00C21029">
          <w:rPr>
            <w:rStyle w:val="Lienhypertexte"/>
            <w:noProof/>
          </w:rPr>
          <w:t xml:space="preserve"> </w:t>
        </w:r>
        <w:r w:rsidR="00C21029" w:rsidRPr="00601CC5">
          <w:rPr>
            <w:rStyle w:val="Lienhypertexte"/>
            <w:noProof/>
          </w:rPr>
          <w:t>5 : Plan d’action EAS/HS du Projet</w:t>
        </w:r>
        <w:r w:rsidR="00C21029" w:rsidRPr="00601CC5">
          <w:rPr>
            <w:rStyle w:val="Lienhypertexte"/>
            <w:noProof/>
            <w:webHidden/>
          </w:rPr>
          <w:tab/>
        </w:r>
        <w:r w:rsidR="00C21029" w:rsidRPr="00601CC5">
          <w:rPr>
            <w:rStyle w:val="Lienhypertexte"/>
            <w:noProof/>
            <w:webHidden/>
          </w:rPr>
          <w:fldChar w:fldCharType="begin"/>
        </w:r>
        <w:r w:rsidR="00C21029" w:rsidRPr="00601CC5">
          <w:rPr>
            <w:rStyle w:val="Lienhypertexte"/>
            <w:noProof/>
            <w:webHidden/>
          </w:rPr>
          <w:instrText xml:space="preserve"> PAGEREF _Toc124140862 \h </w:instrText>
        </w:r>
        <w:r w:rsidR="00C21029" w:rsidRPr="00601CC5">
          <w:rPr>
            <w:rStyle w:val="Lienhypertexte"/>
            <w:noProof/>
            <w:webHidden/>
          </w:rPr>
        </w:r>
        <w:r w:rsidR="00C21029" w:rsidRPr="00601CC5">
          <w:rPr>
            <w:rStyle w:val="Lienhypertexte"/>
            <w:noProof/>
            <w:webHidden/>
          </w:rPr>
          <w:fldChar w:fldCharType="separate"/>
        </w:r>
        <w:r w:rsidR="002A6C0D">
          <w:rPr>
            <w:rStyle w:val="Lienhypertexte"/>
            <w:noProof/>
            <w:webHidden/>
          </w:rPr>
          <w:t>18</w:t>
        </w:r>
        <w:r w:rsidR="00C21029" w:rsidRPr="00601CC5">
          <w:rPr>
            <w:rStyle w:val="Lienhypertexte"/>
            <w:noProof/>
            <w:webHidden/>
          </w:rPr>
          <w:fldChar w:fldCharType="end"/>
        </w:r>
      </w:hyperlink>
    </w:p>
    <w:p w14:paraId="5EB5687C" w14:textId="77777777" w:rsidR="00C21029" w:rsidRPr="00601CC5" w:rsidRDefault="00160FB0" w:rsidP="00C21029">
      <w:pPr>
        <w:pStyle w:val="Tabledesillustrations"/>
        <w:tabs>
          <w:tab w:val="right" w:leader="dot" w:pos="9062"/>
        </w:tabs>
        <w:rPr>
          <w:rStyle w:val="Lienhypertexte"/>
          <w:noProof/>
        </w:rPr>
      </w:pPr>
      <w:hyperlink w:anchor="_Toc124140863" w:history="1">
        <w:r w:rsidR="00C21029" w:rsidRPr="00601CC5">
          <w:rPr>
            <w:rStyle w:val="Lienhypertexte"/>
            <w:noProof/>
          </w:rPr>
          <w:t>Tableau 6 : Liste des services dédiés à la prise en charge des victimes de VBG</w:t>
        </w:r>
        <w:r w:rsidR="00C21029" w:rsidRPr="00601CC5">
          <w:rPr>
            <w:rStyle w:val="Lienhypertexte"/>
            <w:noProof/>
            <w:webHidden/>
          </w:rPr>
          <w:tab/>
        </w:r>
        <w:r w:rsidR="00C21029" w:rsidRPr="00601CC5">
          <w:rPr>
            <w:rStyle w:val="Lienhypertexte"/>
            <w:noProof/>
            <w:webHidden/>
          </w:rPr>
          <w:fldChar w:fldCharType="begin"/>
        </w:r>
        <w:r w:rsidR="00C21029" w:rsidRPr="00601CC5">
          <w:rPr>
            <w:rStyle w:val="Lienhypertexte"/>
            <w:noProof/>
            <w:webHidden/>
          </w:rPr>
          <w:instrText xml:space="preserve"> PAGEREF _Toc124140863 \h </w:instrText>
        </w:r>
        <w:r w:rsidR="00C21029" w:rsidRPr="00601CC5">
          <w:rPr>
            <w:rStyle w:val="Lienhypertexte"/>
            <w:noProof/>
            <w:webHidden/>
          </w:rPr>
        </w:r>
        <w:r w:rsidR="00C21029" w:rsidRPr="00601CC5">
          <w:rPr>
            <w:rStyle w:val="Lienhypertexte"/>
            <w:noProof/>
            <w:webHidden/>
          </w:rPr>
          <w:fldChar w:fldCharType="separate"/>
        </w:r>
        <w:r w:rsidR="002A6C0D">
          <w:rPr>
            <w:rStyle w:val="Lienhypertexte"/>
            <w:noProof/>
            <w:webHidden/>
          </w:rPr>
          <w:t>29</w:t>
        </w:r>
        <w:r w:rsidR="00C21029" w:rsidRPr="00601CC5">
          <w:rPr>
            <w:rStyle w:val="Lienhypertexte"/>
            <w:noProof/>
            <w:webHidden/>
          </w:rPr>
          <w:fldChar w:fldCharType="end"/>
        </w:r>
      </w:hyperlink>
    </w:p>
    <w:p w14:paraId="707647BF" w14:textId="77777777" w:rsidR="00C21029" w:rsidRPr="007F78CE" w:rsidRDefault="00160FB0" w:rsidP="00C21029">
      <w:pPr>
        <w:pStyle w:val="Tabledesillustrations"/>
        <w:tabs>
          <w:tab w:val="right" w:leader="dot" w:pos="9062"/>
        </w:tabs>
        <w:rPr>
          <w:rFonts w:ascii="Calibri" w:hAnsi="Calibri"/>
          <w:noProof/>
          <w:sz w:val="22"/>
          <w:szCs w:val="22"/>
        </w:rPr>
      </w:pPr>
      <w:hyperlink w:anchor="_Toc124140864" w:history="1">
        <w:r w:rsidR="00C21029" w:rsidRPr="00601CC5">
          <w:rPr>
            <w:rStyle w:val="Lienhypertexte"/>
            <w:noProof/>
          </w:rPr>
          <w:t>Tableau 7 : Budget du Plan d’action EAS/HS</w:t>
        </w:r>
        <w:r w:rsidR="00C21029" w:rsidRPr="00601CC5">
          <w:rPr>
            <w:rStyle w:val="Lienhypertexte"/>
            <w:noProof/>
            <w:webHidden/>
          </w:rPr>
          <w:tab/>
        </w:r>
        <w:r w:rsidR="00C21029" w:rsidRPr="00601CC5">
          <w:rPr>
            <w:rStyle w:val="Lienhypertexte"/>
            <w:noProof/>
            <w:webHidden/>
          </w:rPr>
          <w:fldChar w:fldCharType="begin"/>
        </w:r>
        <w:r w:rsidR="00C21029" w:rsidRPr="00601CC5">
          <w:rPr>
            <w:rStyle w:val="Lienhypertexte"/>
            <w:noProof/>
            <w:webHidden/>
          </w:rPr>
          <w:instrText xml:space="preserve"> PAGEREF _Toc124140864 \h </w:instrText>
        </w:r>
        <w:r w:rsidR="00C21029" w:rsidRPr="00601CC5">
          <w:rPr>
            <w:rStyle w:val="Lienhypertexte"/>
            <w:noProof/>
            <w:webHidden/>
          </w:rPr>
        </w:r>
        <w:r w:rsidR="00C21029" w:rsidRPr="00601CC5">
          <w:rPr>
            <w:rStyle w:val="Lienhypertexte"/>
            <w:noProof/>
            <w:webHidden/>
          </w:rPr>
          <w:fldChar w:fldCharType="separate"/>
        </w:r>
        <w:r w:rsidR="002A6C0D">
          <w:rPr>
            <w:rStyle w:val="Lienhypertexte"/>
            <w:noProof/>
            <w:webHidden/>
          </w:rPr>
          <w:t>31</w:t>
        </w:r>
        <w:r w:rsidR="00C21029" w:rsidRPr="00601CC5">
          <w:rPr>
            <w:rStyle w:val="Lienhypertexte"/>
            <w:noProof/>
            <w:webHidden/>
          </w:rPr>
          <w:fldChar w:fldCharType="end"/>
        </w:r>
      </w:hyperlink>
    </w:p>
    <w:p w14:paraId="04AB4E0C" w14:textId="77777777" w:rsidR="00C21029" w:rsidRPr="00C57470" w:rsidRDefault="00C21029" w:rsidP="00C21029">
      <w:pPr>
        <w:pStyle w:val="Tabledesillustrations"/>
        <w:tabs>
          <w:tab w:val="right" w:leader="dot" w:pos="9062"/>
        </w:tabs>
      </w:pPr>
      <w:r w:rsidRPr="00211DFE">
        <w:rPr>
          <w:rStyle w:val="Lienhypertexte"/>
          <w:rFonts w:ascii="Times New Roman" w:hAnsi="Times New Roman"/>
          <w:noProof/>
        </w:rPr>
        <w:fldChar w:fldCharType="end"/>
      </w:r>
    </w:p>
    <w:p w14:paraId="3ADDC5F3" w14:textId="77777777" w:rsidR="00C21029" w:rsidRPr="00826146" w:rsidRDefault="00C21029" w:rsidP="00C21029">
      <w:pPr>
        <w:rPr>
          <w:b/>
          <w:bCs/>
        </w:rPr>
      </w:pPr>
      <w:r w:rsidRPr="00387817">
        <w:rPr>
          <w:b/>
          <w:bCs/>
        </w:rPr>
        <w:t>ACRONYMES ET ABREVIATIONS</w:t>
      </w:r>
    </w:p>
    <w:p w14:paraId="68FFDFD4" w14:textId="77777777" w:rsidR="00C21029" w:rsidRPr="00387817" w:rsidRDefault="00C21029" w:rsidP="009579DB">
      <w:pPr>
        <w:spacing w:before="120" w:after="120" w:line="240" w:lineRule="auto"/>
        <w:rPr>
          <w:rFonts w:ascii="Arial Narrow" w:hAnsi="Arial Narrow"/>
        </w:rPr>
      </w:pPr>
      <w:r w:rsidRPr="00387817">
        <w:rPr>
          <w:rFonts w:ascii="Arial Narrow" w:hAnsi="Arial Narrow"/>
        </w:rPr>
        <w:t xml:space="preserve">CEDEF : </w:t>
      </w:r>
      <w:r>
        <w:rPr>
          <w:rFonts w:ascii="Arial Narrow" w:hAnsi="Arial Narrow"/>
        </w:rPr>
        <w:tab/>
      </w:r>
      <w:r w:rsidRPr="00387817">
        <w:rPr>
          <w:rFonts w:ascii="Arial Narrow" w:hAnsi="Arial Narrow"/>
        </w:rPr>
        <w:t xml:space="preserve">Convention internationale sur l’Elimination de toutes les formes de Discrimination à l’Egard des Femmes </w:t>
      </w:r>
    </w:p>
    <w:p w14:paraId="3B3ABF14" w14:textId="77777777" w:rsidR="00C21029" w:rsidRPr="00387817" w:rsidRDefault="00C21029" w:rsidP="009579DB">
      <w:pPr>
        <w:spacing w:before="120" w:after="120" w:line="240" w:lineRule="auto"/>
        <w:rPr>
          <w:rFonts w:ascii="Arial Narrow" w:hAnsi="Arial Narrow"/>
        </w:rPr>
      </w:pPr>
      <w:r w:rsidRPr="00387817">
        <w:rPr>
          <w:rFonts w:ascii="Arial Narrow" w:hAnsi="Arial Narrow"/>
        </w:rPr>
        <w:t xml:space="preserve">CES : </w:t>
      </w:r>
      <w:r>
        <w:rPr>
          <w:rFonts w:ascii="Arial Narrow" w:hAnsi="Arial Narrow"/>
        </w:rPr>
        <w:tab/>
      </w:r>
      <w:r w:rsidRPr="00387817">
        <w:rPr>
          <w:rFonts w:ascii="Arial Narrow" w:hAnsi="Arial Narrow"/>
        </w:rPr>
        <w:t xml:space="preserve">Cadre Environnemental et Social </w:t>
      </w:r>
    </w:p>
    <w:p w14:paraId="57C12DCB" w14:textId="77777777" w:rsidR="00C21029" w:rsidRPr="00387817" w:rsidRDefault="00C21029" w:rsidP="009579DB">
      <w:pPr>
        <w:spacing w:before="120" w:after="120" w:line="240" w:lineRule="auto"/>
        <w:rPr>
          <w:rFonts w:ascii="Arial Narrow" w:hAnsi="Arial Narrow"/>
        </w:rPr>
      </w:pPr>
      <w:r w:rsidRPr="00387817">
        <w:rPr>
          <w:rFonts w:ascii="Arial Narrow" w:hAnsi="Arial Narrow"/>
        </w:rPr>
        <w:t xml:space="preserve">EAS : </w:t>
      </w:r>
      <w:r>
        <w:rPr>
          <w:rFonts w:ascii="Arial Narrow" w:hAnsi="Arial Narrow"/>
        </w:rPr>
        <w:tab/>
      </w:r>
      <w:r w:rsidRPr="00387817">
        <w:rPr>
          <w:rFonts w:ascii="Arial Narrow" w:hAnsi="Arial Narrow"/>
        </w:rPr>
        <w:t>Exploitation et abus sexuel</w:t>
      </w:r>
      <w:r>
        <w:rPr>
          <w:rFonts w:ascii="Arial Narrow" w:hAnsi="Arial Narrow"/>
        </w:rPr>
        <w:t>s</w:t>
      </w:r>
    </w:p>
    <w:p w14:paraId="2906A22F" w14:textId="77777777" w:rsidR="00C21029" w:rsidRPr="00387817" w:rsidRDefault="00C21029" w:rsidP="009579DB">
      <w:pPr>
        <w:spacing w:before="120" w:after="120" w:line="240" w:lineRule="auto"/>
        <w:rPr>
          <w:rFonts w:ascii="Arial Narrow" w:hAnsi="Arial Narrow"/>
        </w:rPr>
      </w:pPr>
      <w:r w:rsidRPr="00387817">
        <w:rPr>
          <w:rFonts w:ascii="Arial Narrow" w:hAnsi="Arial Narrow"/>
        </w:rPr>
        <w:t xml:space="preserve">HS : </w:t>
      </w:r>
      <w:r>
        <w:rPr>
          <w:rFonts w:ascii="Arial Narrow" w:hAnsi="Arial Narrow"/>
        </w:rPr>
        <w:tab/>
      </w:r>
      <w:r w:rsidRPr="00387817">
        <w:rPr>
          <w:rFonts w:ascii="Arial Narrow" w:hAnsi="Arial Narrow"/>
        </w:rPr>
        <w:t>Harcèlement Sexuel</w:t>
      </w:r>
    </w:p>
    <w:p w14:paraId="7E88ABF4" w14:textId="77777777" w:rsidR="00C21029" w:rsidRPr="00387817" w:rsidRDefault="00C21029" w:rsidP="009579DB">
      <w:pPr>
        <w:spacing w:before="120" w:after="120" w:line="240" w:lineRule="auto"/>
        <w:rPr>
          <w:rFonts w:ascii="Arial Narrow" w:hAnsi="Arial Narrow"/>
        </w:rPr>
      </w:pPr>
      <w:r w:rsidRPr="00387817">
        <w:rPr>
          <w:rFonts w:ascii="Arial Narrow" w:hAnsi="Arial Narrow"/>
        </w:rPr>
        <w:t xml:space="preserve">LGBTI : </w:t>
      </w:r>
      <w:r>
        <w:rPr>
          <w:rFonts w:ascii="Arial Narrow" w:hAnsi="Arial Narrow"/>
        </w:rPr>
        <w:tab/>
      </w:r>
      <w:r w:rsidRPr="00387817">
        <w:rPr>
          <w:rFonts w:ascii="Arial Narrow" w:hAnsi="Arial Narrow"/>
        </w:rPr>
        <w:t>Lesbian, gay, bisexual, transgender and intersex</w:t>
      </w:r>
    </w:p>
    <w:p w14:paraId="5C39A966" w14:textId="77777777" w:rsidR="00C21029" w:rsidRPr="00387817" w:rsidRDefault="00C21029" w:rsidP="009579DB">
      <w:pPr>
        <w:spacing w:before="120" w:after="120" w:line="240" w:lineRule="auto"/>
        <w:rPr>
          <w:rFonts w:ascii="Arial Narrow" w:hAnsi="Arial Narrow"/>
        </w:rPr>
      </w:pPr>
      <w:r w:rsidRPr="00387817">
        <w:rPr>
          <w:rFonts w:ascii="Arial Narrow" w:hAnsi="Arial Narrow"/>
        </w:rPr>
        <w:t xml:space="preserve">MDC : </w:t>
      </w:r>
      <w:r>
        <w:rPr>
          <w:rFonts w:ascii="Arial Narrow" w:hAnsi="Arial Narrow"/>
        </w:rPr>
        <w:tab/>
      </w:r>
      <w:r w:rsidRPr="00387817">
        <w:rPr>
          <w:rFonts w:ascii="Arial Narrow" w:hAnsi="Arial Narrow"/>
        </w:rPr>
        <w:t>Mission de Contrôle</w:t>
      </w:r>
    </w:p>
    <w:p w14:paraId="2B248E57" w14:textId="77777777" w:rsidR="00C21029" w:rsidRPr="00387817" w:rsidRDefault="00C21029" w:rsidP="009579DB">
      <w:pPr>
        <w:spacing w:before="120" w:after="120" w:line="240" w:lineRule="auto"/>
        <w:rPr>
          <w:rFonts w:ascii="Arial Narrow" w:hAnsi="Arial Narrow"/>
        </w:rPr>
      </w:pPr>
      <w:r w:rsidRPr="00387817">
        <w:rPr>
          <w:rFonts w:ascii="Arial Narrow" w:hAnsi="Arial Narrow"/>
        </w:rPr>
        <w:t xml:space="preserve">MGP : </w:t>
      </w:r>
      <w:r>
        <w:rPr>
          <w:rFonts w:ascii="Arial Narrow" w:hAnsi="Arial Narrow"/>
        </w:rPr>
        <w:tab/>
      </w:r>
      <w:r w:rsidRPr="00387817">
        <w:rPr>
          <w:rFonts w:ascii="Arial Narrow" w:hAnsi="Arial Narrow"/>
        </w:rPr>
        <w:t>Mécanisme de Gestion des Plaintes</w:t>
      </w:r>
    </w:p>
    <w:p w14:paraId="347562BE" w14:textId="77777777" w:rsidR="00C21029" w:rsidRPr="00387817" w:rsidRDefault="00C21029" w:rsidP="009579DB">
      <w:pPr>
        <w:spacing w:before="120" w:after="120" w:line="240" w:lineRule="auto"/>
        <w:rPr>
          <w:rFonts w:ascii="Arial Narrow" w:hAnsi="Arial Narrow"/>
        </w:rPr>
      </w:pPr>
      <w:r w:rsidRPr="00387817">
        <w:rPr>
          <w:rFonts w:ascii="Arial Narrow" w:hAnsi="Arial Narrow"/>
        </w:rPr>
        <w:t xml:space="preserve">NES: </w:t>
      </w:r>
      <w:r>
        <w:rPr>
          <w:rFonts w:ascii="Arial Narrow" w:hAnsi="Arial Narrow"/>
        </w:rPr>
        <w:tab/>
      </w:r>
      <w:r w:rsidRPr="00387817">
        <w:rPr>
          <w:rFonts w:ascii="Arial Narrow" w:hAnsi="Arial Narrow"/>
        </w:rPr>
        <w:t>Normes Environnementales et Sociales</w:t>
      </w:r>
    </w:p>
    <w:p w14:paraId="1659E346" w14:textId="77777777" w:rsidR="00C21029" w:rsidRPr="00387817" w:rsidRDefault="00C21029" w:rsidP="009579DB">
      <w:pPr>
        <w:spacing w:before="120" w:after="120" w:line="240" w:lineRule="auto"/>
        <w:rPr>
          <w:rFonts w:ascii="Arial Narrow" w:hAnsi="Arial Narrow"/>
        </w:rPr>
      </w:pPr>
      <w:r w:rsidRPr="00387817">
        <w:rPr>
          <w:rFonts w:ascii="Arial Narrow" w:hAnsi="Arial Narrow"/>
        </w:rPr>
        <w:t xml:space="preserve">ONG : </w:t>
      </w:r>
      <w:r>
        <w:rPr>
          <w:rFonts w:ascii="Arial Narrow" w:hAnsi="Arial Narrow"/>
        </w:rPr>
        <w:tab/>
      </w:r>
      <w:r w:rsidRPr="00387817">
        <w:rPr>
          <w:rFonts w:ascii="Arial Narrow" w:hAnsi="Arial Narrow"/>
        </w:rPr>
        <w:t>Organisation Non</w:t>
      </w:r>
      <w:r w:rsidR="00AC105C">
        <w:rPr>
          <w:rFonts w:ascii="Arial Narrow" w:hAnsi="Arial Narrow"/>
        </w:rPr>
        <w:t>-</w:t>
      </w:r>
      <w:r w:rsidRPr="00387817">
        <w:rPr>
          <w:rFonts w:ascii="Arial Narrow" w:hAnsi="Arial Narrow"/>
        </w:rPr>
        <w:t>Gouvernementale</w:t>
      </w:r>
    </w:p>
    <w:p w14:paraId="1170BC84" w14:textId="77777777" w:rsidR="00C21029" w:rsidRPr="00387817" w:rsidRDefault="00C21029" w:rsidP="009579DB">
      <w:pPr>
        <w:spacing w:before="120" w:after="120" w:line="240" w:lineRule="auto"/>
        <w:rPr>
          <w:rFonts w:ascii="Arial Narrow" w:hAnsi="Arial Narrow"/>
        </w:rPr>
      </w:pPr>
      <w:r w:rsidRPr="00387817">
        <w:rPr>
          <w:rFonts w:ascii="Arial Narrow" w:hAnsi="Arial Narrow"/>
        </w:rPr>
        <w:t xml:space="preserve">PCJ : </w:t>
      </w:r>
      <w:r>
        <w:rPr>
          <w:rFonts w:ascii="Arial Narrow" w:hAnsi="Arial Narrow"/>
        </w:rPr>
        <w:tab/>
      </w:r>
      <w:r w:rsidRPr="00387817">
        <w:rPr>
          <w:rFonts w:ascii="Arial Narrow" w:hAnsi="Arial Narrow"/>
        </w:rPr>
        <w:t xml:space="preserve">Prise en charge juridique et judiciaire </w:t>
      </w:r>
    </w:p>
    <w:p w14:paraId="2CFCBD64" w14:textId="77777777" w:rsidR="00C21029" w:rsidRPr="00387817" w:rsidRDefault="00C21029" w:rsidP="009579DB">
      <w:pPr>
        <w:spacing w:before="120" w:after="120" w:line="240" w:lineRule="auto"/>
        <w:rPr>
          <w:rFonts w:ascii="Arial Narrow" w:hAnsi="Arial Narrow"/>
        </w:rPr>
      </w:pPr>
      <w:r w:rsidRPr="00387817">
        <w:rPr>
          <w:rFonts w:ascii="Arial Narrow" w:hAnsi="Arial Narrow"/>
        </w:rPr>
        <w:t xml:space="preserve">PCM : </w:t>
      </w:r>
      <w:r>
        <w:rPr>
          <w:rFonts w:ascii="Arial Narrow" w:hAnsi="Arial Narrow"/>
        </w:rPr>
        <w:tab/>
      </w:r>
      <w:r w:rsidRPr="00387817">
        <w:rPr>
          <w:rFonts w:ascii="Arial Narrow" w:hAnsi="Arial Narrow"/>
        </w:rPr>
        <w:t xml:space="preserve">Prise en charge médicale </w:t>
      </w:r>
    </w:p>
    <w:p w14:paraId="76FA69F6" w14:textId="77777777" w:rsidR="00C21029" w:rsidRPr="00387817" w:rsidRDefault="00C21029" w:rsidP="009579DB">
      <w:pPr>
        <w:spacing w:before="120" w:after="120" w:line="240" w:lineRule="auto"/>
        <w:rPr>
          <w:rFonts w:ascii="Arial Narrow" w:hAnsi="Arial Narrow"/>
        </w:rPr>
      </w:pPr>
      <w:r w:rsidRPr="00387817">
        <w:rPr>
          <w:rFonts w:ascii="Arial Narrow" w:hAnsi="Arial Narrow"/>
        </w:rPr>
        <w:t xml:space="preserve">PCPS : </w:t>
      </w:r>
      <w:r>
        <w:rPr>
          <w:rFonts w:ascii="Arial Narrow" w:hAnsi="Arial Narrow"/>
        </w:rPr>
        <w:tab/>
      </w:r>
      <w:r w:rsidRPr="00387817">
        <w:rPr>
          <w:rFonts w:ascii="Arial Narrow" w:hAnsi="Arial Narrow"/>
        </w:rPr>
        <w:t xml:space="preserve">Prise en charge psychosociale </w:t>
      </w:r>
    </w:p>
    <w:p w14:paraId="7FBFEAE3" w14:textId="77777777" w:rsidR="00C21029" w:rsidRPr="00387817" w:rsidRDefault="00C21029" w:rsidP="009579DB">
      <w:pPr>
        <w:spacing w:before="120" w:after="120" w:line="240" w:lineRule="auto"/>
        <w:rPr>
          <w:rFonts w:ascii="Arial Narrow" w:hAnsi="Arial Narrow"/>
        </w:rPr>
      </w:pPr>
      <w:r>
        <w:rPr>
          <w:rFonts w:ascii="Arial Narrow" w:hAnsi="Arial Narrow"/>
        </w:rPr>
        <w:t>UC</w:t>
      </w:r>
      <w:r w:rsidRPr="00387817">
        <w:rPr>
          <w:rFonts w:ascii="Arial Narrow" w:hAnsi="Arial Narrow"/>
        </w:rPr>
        <w:t xml:space="preserve">P : </w:t>
      </w:r>
      <w:r>
        <w:rPr>
          <w:rFonts w:ascii="Arial Narrow" w:hAnsi="Arial Narrow"/>
        </w:rPr>
        <w:tab/>
      </w:r>
      <w:r w:rsidRPr="00387817">
        <w:rPr>
          <w:rFonts w:ascii="Arial Narrow" w:hAnsi="Arial Narrow"/>
        </w:rPr>
        <w:t xml:space="preserve">Unité de </w:t>
      </w:r>
      <w:r>
        <w:rPr>
          <w:rFonts w:ascii="Arial Narrow" w:hAnsi="Arial Narrow"/>
        </w:rPr>
        <w:t>Coordination</w:t>
      </w:r>
      <w:r w:rsidRPr="00387817">
        <w:rPr>
          <w:rFonts w:ascii="Arial Narrow" w:hAnsi="Arial Narrow"/>
        </w:rPr>
        <w:t xml:space="preserve"> du Projet </w:t>
      </w:r>
    </w:p>
    <w:p w14:paraId="00A315A8" w14:textId="77777777" w:rsidR="00C21029" w:rsidRPr="00387817" w:rsidRDefault="00C21029" w:rsidP="009579DB">
      <w:pPr>
        <w:spacing w:before="120" w:after="120" w:line="240" w:lineRule="auto"/>
        <w:rPr>
          <w:rFonts w:ascii="Arial Narrow" w:hAnsi="Arial Narrow"/>
        </w:rPr>
      </w:pPr>
      <w:r w:rsidRPr="00387817">
        <w:rPr>
          <w:rFonts w:ascii="Arial Narrow" w:hAnsi="Arial Narrow"/>
        </w:rPr>
        <w:t>UNFPA : Fonds des Nations Unies pour la Population</w:t>
      </w:r>
    </w:p>
    <w:p w14:paraId="0B828602" w14:textId="77777777" w:rsidR="00C21029" w:rsidRPr="00387817" w:rsidRDefault="00C21029" w:rsidP="009579DB">
      <w:pPr>
        <w:spacing w:before="120" w:after="120" w:line="240" w:lineRule="auto"/>
        <w:rPr>
          <w:rFonts w:ascii="Arial Narrow" w:hAnsi="Arial Narrow"/>
        </w:rPr>
      </w:pPr>
      <w:r w:rsidRPr="00387817">
        <w:rPr>
          <w:rFonts w:ascii="Arial Narrow" w:hAnsi="Arial Narrow"/>
        </w:rPr>
        <w:t xml:space="preserve">VCE : </w:t>
      </w:r>
      <w:r>
        <w:rPr>
          <w:rFonts w:ascii="Arial Narrow" w:hAnsi="Arial Narrow"/>
        </w:rPr>
        <w:tab/>
      </w:r>
      <w:r w:rsidRPr="00387817">
        <w:rPr>
          <w:rFonts w:ascii="Arial Narrow" w:hAnsi="Arial Narrow"/>
        </w:rPr>
        <w:t>Violence Contre les Enfants</w:t>
      </w:r>
    </w:p>
    <w:p w14:paraId="295BA224" w14:textId="77777777" w:rsidR="00C21029" w:rsidRDefault="00C21029" w:rsidP="009579DB">
      <w:pPr>
        <w:spacing w:before="120" w:after="120" w:line="240" w:lineRule="auto"/>
        <w:rPr>
          <w:rFonts w:ascii="Arial Narrow" w:hAnsi="Arial Narrow"/>
        </w:rPr>
      </w:pPr>
      <w:r w:rsidRPr="00387817">
        <w:rPr>
          <w:rFonts w:ascii="Arial Narrow" w:hAnsi="Arial Narrow"/>
        </w:rPr>
        <w:t xml:space="preserve">VBG : </w:t>
      </w:r>
      <w:r>
        <w:rPr>
          <w:rFonts w:ascii="Arial Narrow" w:hAnsi="Arial Narrow"/>
        </w:rPr>
        <w:tab/>
      </w:r>
      <w:r w:rsidRPr="00387817">
        <w:rPr>
          <w:rFonts w:ascii="Arial Narrow" w:hAnsi="Arial Narrow"/>
        </w:rPr>
        <w:t xml:space="preserve">Violences Basées sur le Genre </w:t>
      </w:r>
    </w:p>
    <w:p w14:paraId="3B6812E3" w14:textId="77777777" w:rsidR="00C21029" w:rsidRDefault="00C21029" w:rsidP="00C21029">
      <w:pPr>
        <w:spacing w:before="120" w:after="120"/>
        <w:rPr>
          <w:rFonts w:ascii="Arial Narrow" w:hAnsi="Arial Narrow"/>
        </w:rPr>
      </w:pPr>
    </w:p>
    <w:p w14:paraId="22A95B75" w14:textId="77777777" w:rsidR="00C21029" w:rsidRPr="00387817" w:rsidRDefault="00C21029" w:rsidP="00C21029">
      <w:pPr>
        <w:spacing w:before="120" w:after="120"/>
        <w:rPr>
          <w:rFonts w:ascii="Arial Narrow" w:hAnsi="Arial Narrow"/>
        </w:rPr>
      </w:pPr>
    </w:p>
    <w:p w14:paraId="56265026" w14:textId="77777777" w:rsidR="00C21029" w:rsidRPr="00C57470" w:rsidRDefault="00C21029" w:rsidP="00C21029">
      <w:pPr>
        <w:sectPr w:rsidR="00C21029" w:rsidRPr="00C57470" w:rsidSect="002A6C0D">
          <w:pgSz w:w="11906" w:h="16838" w:code="9"/>
          <w:pgMar w:top="1418" w:right="1418" w:bottom="1418" w:left="1418" w:header="709" w:footer="709" w:gutter="0"/>
          <w:pgNumType w:start="1"/>
          <w:cols w:space="708"/>
          <w:titlePg/>
          <w:docGrid w:linePitch="360"/>
        </w:sectPr>
      </w:pPr>
    </w:p>
    <w:p w14:paraId="16DDA7EF" w14:textId="77777777" w:rsidR="00C21029" w:rsidRPr="002321A7" w:rsidRDefault="00C21029" w:rsidP="0044500E">
      <w:pPr>
        <w:pStyle w:val="Titre1"/>
        <w:numPr>
          <w:ilvl w:val="0"/>
          <w:numId w:val="159"/>
        </w:numPr>
        <w:ind w:left="0" w:firstLine="0"/>
      </w:pPr>
      <w:bookmarkStart w:id="1850" w:name="_Toc86408953"/>
      <w:bookmarkStart w:id="1851" w:name="_Toc124312848"/>
      <w:bookmarkStart w:id="1852" w:name="_Toc124314828"/>
      <w:bookmarkStart w:id="1853" w:name="_Toc124317036"/>
      <w:bookmarkStart w:id="1854" w:name="_Toc124956376"/>
      <w:bookmarkStart w:id="1855" w:name="_Toc125384734"/>
      <w:bookmarkStart w:id="1856" w:name="_Toc125385124"/>
      <w:bookmarkStart w:id="1857" w:name="_Toc125402317"/>
      <w:bookmarkStart w:id="1858" w:name="_Toc126593236"/>
      <w:bookmarkStart w:id="1859" w:name="_Toc127957775"/>
      <w:r w:rsidRPr="002321A7">
        <w:t>CONTEXTE</w:t>
      </w:r>
      <w:bookmarkEnd w:id="1850"/>
      <w:bookmarkEnd w:id="1851"/>
      <w:bookmarkEnd w:id="1852"/>
      <w:bookmarkEnd w:id="1853"/>
      <w:bookmarkEnd w:id="1854"/>
      <w:bookmarkEnd w:id="1855"/>
      <w:bookmarkEnd w:id="1856"/>
      <w:bookmarkEnd w:id="1857"/>
      <w:bookmarkEnd w:id="1858"/>
      <w:bookmarkEnd w:id="1859"/>
    </w:p>
    <w:p w14:paraId="50804567" w14:textId="77777777" w:rsidR="00C21029" w:rsidRDefault="00C21029" w:rsidP="009579DB">
      <w:pPr>
        <w:spacing w:before="120" w:after="120" w:line="240" w:lineRule="auto"/>
        <w:jc w:val="both"/>
      </w:pPr>
      <w:r>
        <w:t xml:space="preserve">Dans le cadre de la mise en œuvre du </w:t>
      </w:r>
      <w:r w:rsidRPr="00916FB2">
        <w:t>Projet de Connectivité Numérique et Energétique pour l’inclusion à</w:t>
      </w:r>
      <w:r>
        <w:t xml:space="preserve"> </w:t>
      </w:r>
      <w:r w:rsidRPr="00916FB2">
        <w:t>Madagascar</w:t>
      </w:r>
      <w:r>
        <w:t xml:space="preserve"> dénommé </w:t>
      </w:r>
      <w:r w:rsidRPr="00916FB2">
        <w:t>Projet</w:t>
      </w:r>
      <w:r w:rsidR="00AC105C">
        <w:t xml:space="preserve"> </w:t>
      </w:r>
      <w:r>
        <w:t>« </w:t>
      </w:r>
      <w:r w:rsidRPr="00916FB2">
        <w:t>DECIM</w:t>
      </w:r>
      <w:r>
        <w:t> », du Gouvernement malagasy, financé par la Banque mondiale, il doit être préparé les documents cadres de la gestion des risques environnementaux et sociaux, pour se conformer aux clauses spécifiques de l’accord de financement entre les deux parties. A cet effet, le Projet se conformera aux normes environnementales et sociales ou NES de la Banque mondiale, ainsi qu’aux cadres réglementaires et législatifs qui régissent tou</w:t>
      </w:r>
      <w:r w:rsidR="00AC105C">
        <w:t>te</w:t>
      </w:r>
      <w:r>
        <w:t>s les activités et les champs d’intervention du Projet. Les NES sont des dispositions relevant du Cadre environnemental et social (CES) de la Banque mondiale, lequel décrit l’engagement de la Banque à promouvoir le développement durable à travers une politique et un ensemble de normes environnementales et sociales conçues pour appuyer les projets des pays emprunteurs dans le but de mettre fin à l’extrême pauvreté et de promouvoir une prospérité partagée. Les NES énoncent les obligations de l’Emprunteur en matière d’identification et d’évaluation des risques et effets environnementaux et sociaux du Projet. Et la violence fait partie des catégories de risques et des effets sociaux, dont il importe dans la mesure du possible d’éviter, de minimiser, d’atténuer, de neutraliser ou de compenser, si cela est techniquement et financièrement faisable.</w:t>
      </w:r>
    </w:p>
    <w:p w14:paraId="63F3687E" w14:textId="77777777" w:rsidR="00C21029" w:rsidRPr="00C57470" w:rsidRDefault="00C21029" w:rsidP="009579DB">
      <w:pPr>
        <w:spacing w:before="120" w:after="120" w:line="240" w:lineRule="auto"/>
        <w:jc w:val="both"/>
      </w:pPr>
      <w:r>
        <w:t xml:space="preserve">C’est la raison pour laquelle, il est établi le plan d’action contre toutes les formes de violences basées sur le genre. </w:t>
      </w:r>
      <w:r w:rsidRPr="00C57470">
        <w:t xml:space="preserve">L’élaboration du présent plan d’action contre les Violences Basées sur le Genre (VBG) se construit autour de deux principaux objectifs qui sont de (i) rassembler les données existantes sur </w:t>
      </w:r>
      <w:r w:rsidR="00E571E9" w:rsidRPr="00C57470">
        <w:t>l</w:t>
      </w:r>
      <w:r w:rsidR="00E571E9">
        <w:t>es</w:t>
      </w:r>
      <w:r w:rsidR="00E571E9" w:rsidRPr="00C57470">
        <w:t xml:space="preserve"> </w:t>
      </w:r>
      <w:r w:rsidRPr="00C57470">
        <w:t>VBG, l’exploitation et abus sexuel</w:t>
      </w:r>
      <w:r w:rsidR="00E571E9">
        <w:t>s</w:t>
      </w:r>
      <w:r w:rsidRPr="00C57470">
        <w:t xml:space="preserve"> (EAS), le harcèlement sexuel (HS) dans les </w:t>
      </w:r>
      <w:r>
        <w:t>localités</w:t>
      </w:r>
      <w:r w:rsidRPr="00C57470">
        <w:t xml:space="preserve"> concernées par la mise en œuvre du </w:t>
      </w:r>
      <w:r>
        <w:t>Projet</w:t>
      </w:r>
      <w:r w:rsidRPr="00C57470">
        <w:t> ; et (ii) d’élaborer un plan d’action pour l</w:t>
      </w:r>
      <w:r>
        <w:t>’atténuation des risques d’</w:t>
      </w:r>
      <w:r w:rsidRPr="00C57470">
        <w:t xml:space="preserve">EAS/HS en adéquation </w:t>
      </w:r>
      <w:r w:rsidR="00E571E9">
        <w:t>avec l</w:t>
      </w:r>
      <w:r w:rsidRPr="00C57470">
        <w:t xml:space="preserve">es exigences de la Banque </w:t>
      </w:r>
      <w:r>
        <w:t>m</w:t>
      </w:r>
      <w:r w:rsidRPr="00C57470">
        <w:t>ondiale. Par ailleurs, les NES du CES suivantes évoquent la gestion des questions d’EAS/HS, notamment :</w:t>
      </w:r>
    </w:p>
    <w:p w14:paraId="0BFC8F14" w14:textId="77777777" w:rsidR="00C21029" w:rsidRPr="00C57470" w:rsidRDefault="00C21029" w:rsidP="0044500E">
      <w:pPr>
        <w:pStyle w:val="Paragraphedeliste"/>
        <w:numPr>
          <w:ilvl w:val="0"/>
          <w:numId w:val="153"/>
        </w:numPr>
        <w:spacing w:before="100" w:beforeAutospacing="1" w:after="100" w:afterAutospacing="1" w:line="240" w:lineRule="auto"/>
        <w:jc w:val="both"/>
      </w:pPr>
      <w:r w:rsidRPr="00C57470">
        <w:t>NES 1 : Évaluation et gestion des risques et effets environnementaux et sociaux ;</w:t>
      </w:r>
    </w:p>
    <w:p w14:paraId="7309BBEB" w14:textId="77777777" w:rsidR="00C21029" w:rsidRPr="00C57470" w:rsidRDefault="00C21029" w:rsidP="0044500E">
      <w:pPr>
        <w:pStyle w:val="Paragraphedeliste"/>
        <w:numPr>
          <w:ilvl w:val="0"/>
          <w:numId w:val="153"/>
        </w:numPr>
        <w:spacing w:before="100" w:beforeAutospacing="1" w:after="100" w:afterAutospacing="1" w:line="240" w:lineRule="auto"/>
        <w:jc w:val="both"/>
      </w:pPr>
      <w:r w:rsidRPr="00C57470">
        <w:t>NES 2 : Emploi et conditions de travail ;</w:t>
      </w:r>
    </w:p>
    <w:p w14:paraId="577B156A" w14:textId="77777777" w:rsidR="00C21029" w:rsidRPr="00C57470" w:rsidRDefault="00C21029" w:rsidP="0044500E">
      <w:pPr>
        <w:pStyle w:val="Paragraphedeliste"/>
        <w:numPr>
          <w:ilvl w:val="0"/>
          <w:numId w:val="153"/>
        </w:numPr>
        <w:spacing w:before="100" w:beforeAutospacing="1" w:after="100" w:afterAutospacing="1" w:line="240" w:lineRule="auto"/>
        <w:jc w:val="both"/>
      </w:pPr>
      <w:r w:rsidRPr="00C57470">
        <w:t>NES 4 : Santé et sécurité des populations ; et</w:t>
      </w:r>
    </w:p>
    <w:p w14:paraId="27F164D7" w14:textId="77777777" w:rsidR="00C21029" w:rsidRPr="00C57470" w:rsidRDefault="00C21029" w:rsidP="0044500E">
      <w:pPr>
        <w:pStyle w:val="Paragraphedeliste"/>
        <w:numPr>
          <w:ilvl w:val="0"/>
          <w:numId w:val="153"/>
        </w:numPr>
        <w:spacing w:before="100" w:beforeAutospacing="1" w:after="100" w:afterAutospacing="1" w:line="240" w:lineRule="auto"/>
        <w:jc w:val="both"/>
      </w:pPr>
      <w:r w:rsidRPr="00C57470">
        <w:t xml:space="preserve">NES 10 : Mobilisation des parties prenantes et </w:t>
      </w:r>
      <w:r w:rsidR="00E571E9">
        <w:t>diffusion de l’</w:t>
      </w:r>
      <w:r w:rsidRPr="00C57470">
        <w:t>information</w:t>
      </w:r>
    </w:p>
    <w:p w14:paraId="72B66412" w14:textId="77777777" w:rsidR="00C21029" w:rsidRDefault="00C21029" w:rsidP="009579DB">
      <w:pPr>
        <w:spacing w:before="120" w:after="120" w:line="240" w:lineRule="auto"/>
        <w:jc w:val="both"/>
      </w:pPr>
      <w:r w:rsidRPr="00C57470">
        <w:t>En considération des potentiels besoins de recrutement en main</w:t>
      </w:r>
      <w:r w:rsidR="00E571E9">
        <w:t>-</w:t>
      </w:r>
      <w:r w:rsidRPr="00C57470">
        <w:t xml:space="preserve">d’œuvre lors de la mise en œuvre  </w:t>
      </w:r>
      <w:r w:rsidRPr="002B280D">
        <w:t>du Projet dans sa globalité, que cela soit des empl</w:t>
      </w:r>
      <w:r>
        <w:t>oyés consultants au sein de l’UC</w:t>
      </w:r>
      <w:r w:rsidRPr="002B280D">
        <w:t>P, des employés des entreprises et des prestataires (main</w:t>
      </w:r>
      <w:r w:rsidR="0083449A">
        <w:t>-</w:t>
      </w:r>
      <w:r w:rsidRPr="002B280D">
        <w:t>d’œuvre locale ou main</w:t>
      </w:r>
      <w:r w:rsidR="0083449A">
        <w:t>-</w:t>
      </w:r>
      <w:r w:rsidRPr="002B280D">
        <w:t>d’œuvre externe), il y a lieu de mettre en place un plan d’action de lutte contre les VBG compte tenu des impacts ou des risques sociaux potentiels qui peuvent être générés durant la durée de vie du Projet. Ce sont surtout les communautés locales, notamment les bénéficiaires qui sont les cibles potentielles des violences basées sur le genre.</w:t>
      </w:r>
    </w:p>
    <w:p w14:paraId="5A29E9D1" w14:textId="77777777" w:rsidR="00C21029" w:rsidRDefault="00C21029" w:rsidP="00C21029"/>
    <w:p w14:paraId="14FBEAB1" w14:textId="77777777" w:rsidR="00C21029" w:rsidRPr="00C57470" w:rsidRDefault="00C21029" w:rsidP="00C21029"/>
    <w:p w14:paraId="1F675421" w14:textId="77777777" w:rsidR="000A2CA0" w:rsidRDefault="000A2CA0">
      <w:pPr>
        <w:spacing w:after="0" w:line="240" w:lineRule="auto"/>
        <w:rPr>
          <w:rFonts w:ascii="Cambria" w:eastAsia="Times New Roman" w:hAnsi="Cambria"/>
          <w:b/>
          <w:bCs/>
          <w:color w:val="365F91"/>
          <w:sz w:val="28"/>
          <w:szCs w:val="28"/>
        </w:rPr>
      </w:pPr>
      <w:bookmarkStart w:id="1860" w:name="_Toc86408954"/>
      <w:r>
        <w:br w:type="page"/>
      </w:r>
    </w:p>
    <w:p w14:paraId="5A1348EF" w14:textId="77777777" w:rsidR="00C21029" w:rsidRPr="00C57470" w:rsidRDefault="00C21029" w:rsidP="0044500E">
      <w:pPr>
        <w:pStyle w:val="Titre1"/>
        <w:numPr>
          <w:ilvl w:val="0"/>
          <w:numId w:val="159"/>
        </w:numPr>
        <w:ind w:left="0" w:firstLine="0"/>
      </w:pPr>
      <w:bookmarkStart w:id="1861" w:name="_Toc124312849"/>
      <w:bookmarkStart w:id="1862" w:name="_Toc124314829"/>
      <w:bookmarkStart w:id="1863" w:name="_Toc124317037"/>
      <w:bookmarkStart w:id="1864" w:name="_Toc124956377"/>
      <w:bookmarkStart w:id="1865" w:name="_Toc125384735"/>
      <w:bookmarkStart w:id="1866" w:name="_Toc125385125"/>
      <w:bookmarkStart w:id="1867" w:name="_Toc125402318"/>
      <w:bookmarkStart w:id="1868" w:name="_Toc126593237"/>
      <w:bookmarkStart w:id="1869" w:name="_Toc127957776"/>
      <w:r w:rsidRPr="00C57470">
        <w:t>GENERALITES ET DEFINITIONS</w:t>
      </w:r>
      <w:bookmarkEnd w:id="1860"/>
      <w:bookmarkEnd w:id="1861"/>
      <w:bookmarkEnd w:id="1862"/>
      <w:bookmarkEnd w:id="1863"/>
      <w:bookmarkEnd w:id="1864"/>
      <w:bookmarkEnd w:id="1865"/>
      <w:bookmarkEnd w:id="1866"/>
      <w:bookmarkEnd w:id="1867"/>
      <w:bookmarkEnd w:id="1868"/>
      <w:bookmarkEnd w:id="1869"/>
    </w:p>
    <w:p w14:paraId="30E1D596" w14:textId="77777777" w:rsidR="00C21029" w:rsidRPr="002321A7" w:rsidRDefault="00C21029" w:rsidP="0044500E">
      <w:pPr>
        <w:pStyle w:val="Titre2"/>
        <w:numPr>
          <w:ilvl w:val="1"/>
          <w:numId w:val="159"/>
        </w:numPr>
      </w:pPr>
      <w:bookmarkStart w:id="1870" w:name="_Toc86408955"/>
      <w:bookmarkStart w:id="1871" w:name="_Toc124312850"/>
      <w:bookmarkStart w:id="1872" w:name="_Toc124314830"/>
      <w:bookmarkStart w:id="1873" w:name="_Toc124317038"/>
      <w:bookmarkStart w:id="1874" w:name="_Toc124956378"/>
      <w:bookmarkStart w:id="1875" w:name="_Toc125384736"/>
      <w:bookmarkStart w:id="1876" w:name="_Toc125385126"/>
      <w:bookmarkStart w:id="1877" w:name="_Toc125402319"/>
      <w:bookmarkStart w:id="1878" w:name="_Toc126593238"/>
      <w:bookmarkStart w:id="1879" w:name="_Toc127957777"/>
      <w:r>
        <w:t>Définition du genre</w:t>
      </w:r>
      <w:bookmarkEnd w:id="1870"/>
      <w:bookmarkEnd w:id="1871"/>
      <w:bookmarkEnd w:id="1872"/>
      <w:bookmarkEnd w:id="1873"/>
      <w:bookmarkEnd w:id="1874"/>
      <w:bookmarkEnd w:id="1875"/>
      <w:bookmarkEnd w:id="1876"/>
      <w:bookmarkEnd w:id="1877"/>
      <w:bookmarkEnd w:id="1878"/>
      <w:bookmarkEnd w:id="1879"/>
    </w:p>
    <w:p w14:paraId="62CBB062" w14:textId="77777777" w:rsidR="00C21029" w:rsidRPr="00C57470" w:rsidRDefault="00C21029" w:rsidP="009579DB">
      <w:pPr>
        <w:spacing w:before="120" w:after="120" w:line="240" w:lineRule="auto"/>
        <w:jc w:val="both"/>
      </w:pPr>
      <w:r w:rsidRPr="00C57470">
        <w:t>Le « genre » désigne les différences sociales entre les hommes et les femmes. Ces différences évoluent avec le temps, varient selon les cultures. Le « genre » détermine le rôle, les responsabilités, les opportunités, les privilèges, les attentes, les limites, assignés aux hommes et aux femmes, selon leur culture.</w:t>
      </w:r>
    </w:p>
    <w:p w14:paraId="3B3A9816" w14:textId="77777777" w:rsidR="00C21029" w:rsidRPr="00C57470" w:rsidRDefault="00C21029" w:rsidP="009579DB">
      <w:pPr>
        <w:spacing w:before="120" w:after="120" w:line="240" w:lineRule="auto"/>
        <w:jc w:val="both"/>
      </w:pPr>
      <w:r w:rsidRPr="00C57470">
        <w:t xml:space="preserve">Le genre renvoie, en partie, aux rôles qui sont socialement attribués aux hommes et aux femmes selon la diversité en fonction de l’âge, en fonction des handicaps et éventuellement selon l’orientation sexuelle et l’identité de genre. Justement, l’âge et le handicap sont des facteurs qui peuvent exposer certains individus à des risques accrus de violence et d’exploitation et abus sexuels. </w:t>
      </w:r>
    </w:p>
    <w:p w14:paraId="51E960D4" w14:textId="77777777" w:rsidR="00C21029" w:rsidRPr="00C57470" w:rsidRDefault="00C21029" w:rsidP="009579DB">
      <w:pPr>
        <w:spacing w:before="120" w:after="120" w:line="240" w:lineRule="auto"/>
        <w:jc w:val="both"/>
      </w:pPr>
      <w:r w:rsidRPr="00C57470">
        <w:t>Les enfants et les adolescents courent des risques particuliers et nécessitent une protection spécifique en raison de leur dépendance aux adultes et aux besoins nécessaires pour assurer leur croissance et leur développement.</w:t>
      </w:r>
    </w:p>
    <w:p w14:paraId="013480E2" w14:textId="77777777" w:rsidR="00C21029" w:rsidRPr="00C57470" w:rsidRDefault="00C21029" w:rsidP="009579DB">
      <w:pPr>
        <w:spacing w:before="120" w:after="120" w:line="240" w:lineRule="auto"/>
        <w:jc w:val="both"/>
      </w:pPr>
      <w:r w:rsidRPr="00C57470">
        <w:t xml:space="preserve">L’âge est en outre un facteur de vulnérabilité. Les femmes et les hommes âgés, peuvent subir de mauvais traitements, des formes d’exploitation et de marginalisation. </w:t>
      </w:r>
    </w:p>
    <w:p w14:paraId="564105BD" w14:textId="77777777" w:rsidR="00C21029" w:rsidRPr="00C57470" w:rsidRDefault="00C21029" w:rsidP="009579DB">
      <w:pPr>
        <w:spacing w:before="120" w:after="120" w:line="240" w:lineRule="auto"/>
        <w:jc w:val="both"/>
      </w:pPr>
      <w:r w:rsidRPr="00C57470">
        <w:t>L’orientation sexuelle peut être aussi un facteur de risque. Les groupes de personnes LGBTI sont souvent exposés à la discrimination, et aux violences liées à leur orientation sexuelle et à leur identité de genre.</w:t>
      </w:r>
    </w:p>
    <w:p w14:paraId="178600E0" w14:textId="77777777" w:rsidR="00C21029" w:rsidRPr="002321A7" w:rsidRDefault="00C21029" w:rsidP="0044500E">
      <w:pPr>
        <w:pStyle w:val="Titre2"/>
        <w:numPr>
          <w:ilvl w:val="1"/>
          <w:numId w:val="159"/>
        </w:numPr>
      </w:pPr>
      <w:bookmarkStart w:id="1880" w:name="_Toc86408956"/>
      <w:bookmarkStart w:id="1881" w:name="_Toc124312851"/>
      <w:bookmarkStart w:id="1882" w:name="_Toc124314831"/>
      <w:bookmarkStart w:id="1883" w:name="_Toc124317039"/>
      <w:bookmarkStart w:id="1884" w:name="_Toc124956379"/>
      <w:bookmarkStart w:id="1885" w:name="_Toc125384737"/>
      <w:bookmarkStart w:id="1886" w:name="_Toc125385127"/>
      <w:bookmarkStart w:id="1887" w:name="_Toc125402320"/>
      <w:bookmarkStart w:id="1888" w:name="_Toc126593239"/>
      <w:bookmarkStart w:id="1889" w:name="_Toc127957778"/>
      <w:r w:rsidRPr="002321A7">
        <w:t>Violence basée sur le genre</w:t>
      </w:r>
      <w:bookmarkEnd w:id="1880"/>
      <w:bookmarkEnd w:id="1881"/>
      <w:bookmarkEnd w:id="1882"/>
      <w:bookmarkEnd w:id="1883"/>
      <w:bookmarkEnd w:id="1884"/>
      <w:bookmarkEnd w:id="1885"/>
      <w:bookmarkEnd w:id="1886"/>
      <w:bookmarkEnd w:id="1887"/>
      <w:bookmarkEnd w:id="1888"/>
      <w:bookmarkEnd w:id="1889"/>
    </w:p>
    <w:p w14:paraId="0ADC4ED2" w14:textId="77777777" w:rsidR="00C21029" w:rsidRPr="00C57470" w:rsidRDefault="00C21029" w:rsidP="009579DB">
      <w:pPr>
        <w:spacing w:before="120" w:after="120" w:line="240" w:lineRule="auto"/>
        <w:jc w:val="both"/>
      </w:pPr>
      <w:r w:rsidRPr="00C57470">
        <w:t xml:space="preserve">La « violence basée sur le genre » regroupe tous les actes infligés à une personne contre son gré et qui sont fondés sur les différences socialement attribuées aux hommes et aux femmes et causant ou pouvant causer un préjudice ou des souffrances physiques, sexuelles ou psychologiques que ce soit dans la vie publique ou dans la vie privée. Les VBG supposent un abus de pouvoir et l’usage de la force. </w:t>
      </w:r>
    </w:p>
    <w:p w14:paraId="40C87FAB" w14:textId="77777777" w:rsidR="00C21029" w:rsidRPr="00C57470" w:rsidRDefault="00C21029" w:rsidP="009579DB">
      <w:pPr>
        <w:spacing w:before="120" w:after="120" w:line="240" w:lineRule="auto"/>
        <w:jc w:val="both"/>
      </w:pPr>
      <w:r w:rsidRPr="00C57470">
        <w:t xml:space="preserve">La violence basée sur le genre peut s’opérer à différents niveaux : </w:t>
      </w:r>
    </w:p>
    <w:p w14:paraId="66D6917E" w14:textId="77777777" w:rsidR="00C21029" w:rsidRPr="00C57470" w:rsidRDefault="00C21029" w:rsidP="009579DB">
      <w:pPr>
        <w:pStyle w:val="Paragraphedeliste"/>
        <w:numPr>
          <w:ilvl w:val="0"/>
          <w:numId w:val="36"/>
        </w:numPr>
        <w:spacing w:before="120" w:after="120" w:line="240" w:lineRule="auto"/>
        <w:ind w:left="714" w:hanging="357"/>
        <w:contextualSpacing w:val="0"/>
        <w:jc w:val="both"/>
      </w:pPr>
      <w:r w:rsidRPr="00C57470">
        <w:t>La violence physique, sexuelle, psychologique et économique exercée au sein de la famille, y compris les coups, les sévices sexuels infligés aux enfants, les pratiques traditionnelles préjudiciables aux deux sexes, la violence au sein du couple, et la violence liée à l’exploitation ;</w:t>
      </w:r>
    </w:p>
    <w:p w14:paraId="50988ED3" w14:textId="77777777" w:rsidR="00C21029" w:rsidRPr="00C57470" w:rsidRDefault="00C21029" w:rsidP="009579DB">
      <w:pPr>
        <w:pStyle w:val="Paragraphedeliste"/>
        <w:numPr>
          <w:ilvl w:val="0"/>
          <w:numId w:val="36"/>
        </w:numPr>
        <w:spacing w:before="120" w:after="120" w:line="240" w:lineRule="auto"/>
        <w:ind w:left="714" w:hanging="357"/>
        <w:contextualSpacing w:val="0"/>
        <w:jc w:val="both"/>
      </w:pPr>
      <w:r w:rsidRPr="00C57470">
        <w:t xml:space="preserve">La violence physique, sexuelle, psychologique et économique exercée au sein de la société, y compris les sévices sexuels, le harcèlement sexuel, le proxénétisme et la prostitution forcée ; </w:t>
      </w:r>
    </w:p>
    <w:p w14:paraId="07AC1EC1" w14:textId="77777777" w:rsidR="00C21029" w:rsidRPr="00C57470" w:rsidRDefault="00C21029" w:rsidP="009579DB">
      <w:pPr>
        <w:pStyle w:val="Paragraphedeliste"/>
        <w:numPr>
          <w:ilvl w:val="0"/>
          <w:numId w:val="36"/>
        </w:numPr>
        <w:spacing w:before="120" w:after="120" w:line="240" w:lineRule="auto"/>
        <w:ind w:left="714" w:hanging="357"/>
        <w:contextualSpacing w:val="0"/>
        <w:jc w:val="both"/>
      </w:pPr>
      <w:r w:rsidRPr="00C57470">
        <w:t>La violence physique, sexuelle, psychologique et économique perpétrée ou tolérée par l’Etat, où qu’elle s’exerce.</w:t>
      </w:r>
    </w:p>
    <w:p w14:paraId="71248D61" w14:textId="77777777" w:rsidR="00C21029" w:rsidRPr="00C57470" w:rsidRDefault="00C21029" w:rsidP="00F91FA3">
      <w:pPr>
        <w:jc w:val="both"/>
      </w:pPr>
      <w:r w:rsidRPr="00C57470">
        <w:t>Les projets de développement et les projets d’investissements peuvent exacerb</w:t>
      </w:r>
      <w:r>
        <w:t>er</w:t>
      </w:r>
      <w:r w:rsidRPr="00C57470">
        <w:t xml:space="preserve"> les VBG contre les membres des communautés et les staffs du </w:t>
      </w:r>
      <w:r>
        <w:t>Projet</w:t>
      </w:r>
      <w:r w:rsidRPr="00C57470">
        <w:t>.</w:t>
      </w:r>
      <w:r>
        <w:t xml:space="preserve"> </w:t>
      </w:r>
      <w:r w:rsidRPr="00C57470">
        <w:t xml:space="preserve">Il existe quatre grandes catégories de VBG contre lesquelles les projets doivent prendre les mesures de prévention et atténuation des risques : </w:t>
      </w:r>
    </w:p>
    <w:p w14:paraId="2250B614" w14:textId="77777777" w:rsidR="00C21029" w:rsidRPr="00C57470" w:rsidRDefault="00C21029" w:rsidP="009579DB">
      <w:pPr>
        <w:pStyle w:val="Paragraphedeliste"/>
        <w:numPr>
          <w:ilvl w:val="0"/>
          <w:numId w:val="150"/>
        </w:numPr>
        <w:spacing w:before="120" w:after="120" w:line="240" w:lineRule="auto"/>
        <w:contextualSpacing w:val="0"/>
        <w:jc w:val="both"/>
      </w:pPr>
      <w:r w:rsidRPr="00C57470">
        <w:t>Exploitation et abus sexuels (EAS) ;</w:t>
      </w:r>
    </w:p>
    <w:p w14:paraId="0D65F037" w14:textId="77777777" w:rsidR="00C21029" w:rsidRPr="00C57470" w:rsidRDefault="00C21029" w:rsidP="009579DB">
      <w:pPr>
        <w:pStyle w:val="Paragraphedeliste"/>
        <w:numPr>
          <w:ilvl w:val="0"/>
          <w:numId w:val="150"/>
        </w:numPr>
        <w:spacing w:before="120" w:after="120" w:line="240" w:lineRule="auto"/>
        <w:contextualSpacing w:val="0"/>
        <w:jc w:val="both"/>
      </w:pPr>
      <w:r w:rsidRPr="00C57470">
        <w:t>Harcèlement sexuel sur le lieu du travail (HS) ;</w:t>
      </w:r>
    </w:p>
    <w:p w14:paraId="1ABD2462" w14:textId="77777777" w:rsidR="00C21029" w:rsidRPr="00C57470" w:rsidRDefault="00C21029" w:rsidP="009579DB">
      <w:pPr>
        <w:pStyle w:val="Paragraphedeliste"/>
        <w:numPr>
          <w:ilvl w:val="0"/>
          <w:numId w:val="150"/>
        </w:numPr>
        <w:spacing w:before="120" w:after="120" w:line="240" w:lineRule="auto"/>
        <w:contextualSpacing w:val="0"/>
        <w:jc w:val="both"/>
      </w:pPr>
      <w:r w:rsidRPr="00C57470">
        <w:t xml:space="preserve">Traite de personnes pouvant se manifester par l’esclavage sexuel, les rapports sexuels monnayés et/ou forcés, les mouvements transnationaux illégaux de personnes ; </w:t>
      </w:r>
    </w:p>
    <w:p w14:paraId="65297221" w14:textId="77777777" w:rsidR="00C21029" w:rsidRPr="00C57470" w:rsidRDefault="00C21029" w:rsidP="009579DB">
      <w:pPr>
        <w:pStyle w:val="Paragraphedeliste"/>
        <w:numPr>
          <w:ilvl w:val="0"/>
          <w:numId w:val="150"/>
        </w:numPr>
        <w:spacing w:before="120" w:after="120" w:line="240" w:lineRule="auto"/>
        <w:contextualSpacing w:val="0"/>
        <w:jc w:val="both"/>
      </w:pPr>
      <w:r w:rsidRPr="00C57470">
        <w:t xml:space="preserve">Autres types de VBG tels que : Agression physique ; Abus psychologique ou physique ; Privation de ressources, d’opportunités ou de services et Violence perpétrée par un partenaire intime. </w:t>
      </w:r>
    </w:p>
    <w:p w14:paraId="020C547A" w14:textId="77777777" w:rsidR="00C21029" w:rsidRPr="00C57470" w:rsidRDefault="00C21029" w:rsidP="009579DB">
      <w:pPr>
        <w:spacing w:before="120" w:after="120" w:line="240" w:lineRule="auto"/>
        <w:jc w:val="both"/>
      </w:pPr>
      <w:r w:rsidRPr="00C57470">
        <w:t>Toutefois, l’exploitation et les abus sexuels ainsi que le harcèlement sexuel sur le lieu de travail sont les types de VBG les plus susceptibles de se produire dans le cadre d’un projet soutenu par la Banque mondiale, ou d'être exacerbées par celui-ci. Ainsi, la prévention et, le cas échéant, la lutte contre les VBG sont les principaux objectifs du présent plan d’action. L'identification, le traitement et l'atténuation des risques liés à ces formes de VBG font partie des actions à entreprendre.</w:t>
      </w:r>
    </w:p>
    <w:p w14:paraId="2E1182CB" w14:textId="77777777" w:rsidR="00C21029" w:rsidRPr="00C57470" w:rsidRDefault="00C21029" w:rsidP="009579DB">
      <w:pPr>
        <w:spacing w:before="120" w:after="120" w:line="240" w:lineRule="auto"/>
        <w:jc w:val="both"/>
      </w:pPr>
      <w:r w:rsidRPr="00C57470">
        <w:t xml:space="preserve">On retient les définitions spécifiques suivantes sur les VBG : </w:t>
      </w:r>
    </w:p>
    <w:p w14:paraId="70D3819C" w14:textId="77777777" w:rsidR="00C21029" w:rsidRPr="00C57470" w:rsidRDefault="00C21029" w:rsidP="0044500E">
      <w:pPr>
        <w:pStyle w:val="Paragraphedeliste"/>
        <w:numPr>
          <w:ilvl w:val="0"/>
          <w:numId w:val="154"/>
        </w:numPr>
        <w:spacing w:before="100" w:beforeAutospacing="1" w:after="100" w:afterAutospacing="1" w:line="240" w:lineRule="auto"/>
        <w:jc w:val="both"/>
      </w:pPr>
      <w:r w:rsidRPr="00C57470">
        <w:t>Abus sexuel : Intrusion physique de nature sexuelle, réelle ou menace, par la force ou dans des conditions inégales ou coercitives. L’abus peut être observé à cause d’une position vulnérable, d’un déséquilibre des pouvoirs ou de confiance à des fins sexuelles. Elle peut se manifester par l’intrusion physique sexuelle effective ou menace d’une telle intrusion.</w:t>
      </w:r>
    </w:p>
    <w:p w14:paraId="7D2022AC" w14:textId="77777777" w:rsidR="00C21029" w:rsidRPr="00C57470" w:rsidRDefault="00C21029" w:rsidP="0044500E">
      <w:pPr>
        <w:pStyle w:val="Paragraphedeliste"/>
        <w:numPr>
          <w:ilvl w:val="0"/>
          <w:numId w:val="154"/>
        </w:numPr>
        <w:spacing w:before="100" w:beforeAutospacing="1" w:after="100" w:afterAutospacing="1" w:line="240" w:lineRule="auto"/>
        <w:jc w:val="both"/>
      </w:pPr>
      <w:r w:rsidRPr="00C57470">
        <w:t>Exploitation sexuelle : Tout abus ou tentative d’abus de position de vulnérabilité, d’un rapport de force ou de confiance inégal, à des fins sexuelles, y compris, mais non limité à profiter financièrement, socialement ou politiquement de l’exploitation sexuelle d’un autre.</w:t>
      </w:r>
    </w:p>
    <w:p w14:paraId="54DF1AFE" w14:textId="77777777" w:rsidR="00C21029" w:rsidRPr="00C57470" w:rsidRDefault="00C21029" w:rsidP="0044500E">
      <w:pPr>
        <w:pStyle w:val="Paragraphedeliste"/>
        <w:numPr>
          <w:ilvl w:val="0"/>
          <w:numId w:val="154"/>
        </w:numPr>
        <w:spacing w:before="100" w:beforeAutospacing="1" w:after="100" w:afterAutospacing="1" w:line="240" w:lineRule="auto"/>
        <w:jc w:val="both"/>
      </w:pPr>
      <w:r w:rsidRPr="00C57470">
        <w:t>Harcèlement sexuel : Toute avance sexuelle non désirée, toute demande de faveur sexuelle, tout comportement ou geste verbal ou physique de nature sexuelle, ou tout autre comportement de nature sexuelle dont on peut raisonnablement s'attendre à ce qu'il cause ou soit perçu comme causant une offense ou une humiliation à autrui, lorsque ce comportement interfère avec le travail, et fait comme une condition d'emploi ou crée un environnement de travail intimidant, hostile ou offensant. Le harcèlement sexuel peut se manifester par des avances sexuelles non désirées, des demandes de faveurs sexuelles ou un contact physique sexuel.</w:t>
      </w:r>
    </w:p>
    <w:p w14:paraId="0E1B5B84" w14:textId="77777777" w:rsidR="00C21029" w:rsidRPr="00C57470" w:rsidRDefault="00C21029" w:rsidP="0044500E">
      <w:pPr>
        <w:pStyle w:val="Titre2"/>
        <w:numPr>
          <w:ilvl w:val="1"/>
          <w:numId w:val="159"/>
        </w:numPr>
      </w:pPr>
      <w:bookmarkStart w:id="1890" w:name="_Toc86408957"/>
      <w:bookmarkStart w:id="1891" w:name="_Toc124312852"/>
      <w:bookmarkStart w:id="1892" w:name="_Toc124314832"/>
      <w:bookmarkStart w:id="1893" w:name="_Toc124317040"/>
      <w:bookmarkStart w:id="1894" w:name="_Toc124956380"/>
      <w:bookmarkStart w:id="1895" w:name="_Toc125384738"/>
      <w:bookmarkStart w:id="1896" w:name="_Toc125385128"/>
      <w:bookmarkStart w:id="1897" w:name="_Toc125402321"/>
      <w:bookmarkStart w:id="1898" w:name="_Toc126593240"/>
      <w:bookmarkStart w:id="1899" w:name="_Toc127957779"/>
      <w:r>
        <w:t>V</w:t>
      </w:r>
      <w:r w:rsidRPr="00C57470">
        <w:t>iolence à l’égard des enfants</w:t>
      </w:r>
      <w:bookmarkEnd w:id="1890"/>
      <w:bookmarkEnd w:id="1891"/>
      <w:bookmarkEnd w:id="1892"/>
      <w:bookmarkEnd w:id="1893"/>
      <w:bookmarkEnd w:id="1894"/>
      <w:bookmarkEnd w:id="1895"/>
      <w:bookmarkEnd w:id="1896"/>
      <w:bookmarkEnd w:id="1897"/>
      <w:bookmarkEnd w:id="1898"/>
      <w:bookmarkEnd w:id="1899"/>
    </w:p>
    <w:p w14:paraId="4A92973E" w14:textId="77777777" w:rsidR="00C21029" w:rsidRDefault="00C21029" w:rsidP="009579DB">
      <w:pPr>
        <w:spacing w:before="120" w:after="120" w:line="240" w:lineRule="auto"/>
        <w:jc w:val="both"/>
      </w:pPr>
      <w:r w:rsidRPr="00C57470">
        <w:t>La violence à l’égard des enfants désigne les violences et la négligence envers toute personne de moins de 18 ans. Elle s’entend de toutes les formes de mauvais traitements physiques et/ou affectifs, de sévices sexuels, de négligence ou de traitement négligeant, ou d’exploitation commerciale ou autre, entraînant un préjudice réel ou potentiel pour la santé de l’enfant, sa survie, son développement ou sa dignité, dans le contexte d’une relation de responsabilité, de confiance ou de pouvoir. Parfois, on considère aussi comme une forme de maltraitance le fait d’exposer l’enfant au spectacle de violences entre partenaires intimes.</w:t>
      </w:r>
    </w:p>
    <w:p w14:paraId="74C0F984" w14:textId="77777777" w:rsidR="00C21029" w:rsidRPr="00C57470" w:rsidRDefault="00C21029" w:rsidP="009579DB">
      <w:pPr>
        <w:spacing w:before="120" w:after="120" w:line="240" w:lineRule="auto"/>
        <w:jc w:val="both"/>
      </w:pPr>
      <w:r w:rsidRPr="00C57470">
        <w:t>Les termes « victime » et « survivant(e) » peuvent être utilisés de manière interchangeable. Le terme « victime » est souvent utilisé en droit et en médecine. Le terme « survivant(e) » est généralement préféré par les secteurs sociaux et psychologiques en raison de la résilience qu'il implique (UNFPA, 2008). D’une manière générale, les actes VBG peuvent concerner des femmes, des jeunes filles et même des jeunes garçons.</w:t>
      </w:r>
    </w:p>
    <w:p w14:paraId="2A312E8C" w14:textId="77777777" w:rsidR="00C21029" w:rsidRPr="00C57470" w:rsidRDefault="00C21029" w:rsidP="009579DB">
      <w:pPr>
        <w:spacing w:before="120" w:after="120" w:line="240" w:lineRule="auto"/>
        <w:jc w:val="both"/>
        <w:sectPr w:rsidR="00C21029" w:rsidRPr="00C57470" w:rsidSect="00466BFF">
          <w:headerReference w:type="default" r:id="rId87"/>
          <w:pgSz w:w="11906" w:h="16838"/>
          <w:pgMar w:top="1418" w:right="1418" w:bottom="1418" w:left="1418" w:header="709" w:footer="709" w:gutter="0"/>
          <w:cols w:space="708"/>
          <w:docGrid w:linePitch="360"/>
        </w:sectPr>
      </w:pPr>
    </w:p>
    <w:p w14:paraId="3BD3726C" w14:textId="77777777" w:rsidR="00C21029" w:rsidRPr="00C57470" w:rsidRDefault="00C21029" w:rsidP="0044500E">
      <w:pPr>
        <w:pStyle w:val="Titre1"/>
        <w:numPr>
          <w:ilvl w:val="0"/>
          <w:numId w:val="159"/>
        </w:numPr>
        <w:ind w:left="0" w:firstLine="0"/>
      </w:pPr>
      <w:bookmarkStart w:id="1900" w:name="_Toc86408958"/>
      <w:bookmarkStart w:id="1901" w:name="_Toc124312853"/>
      <w:bookmarkStart w:id="1902" w:name="_Toc124314833"/>
      <w:bookmarkStart w:id="1903" w:name="_Toc124317041"/>
      <w:bookmarkStart w:id="1904" w:name="_Toc124956381"/>
      <w:bookmarkStart w:id="1905" w:name="_Toc125384739"/>
      <w:bookmarkStart w:id="1906" w:name="_Toc125385129"/>
      <w:bookmarkStart w:id="1907" w:name="_Toc125402322"/>
      <w:bookmarkStart w:id="1908" w:name="_Toc126593241"/>
      <w:bookmarkStart w:id="1909" w:name="_Toc127957780"/>
      <w:r w:rsidRPr="00C57470">
        <w:t>CADRE DE LUTTE CONTRE LES VIOLENCES BASEES SUR LE GENRE</w:t>
      </w:r>
      <w:bookmarkEnd w:id="1900"/>
      <w:bookmarkEnd w:id="1901"/>
      <w:bookmarkEnd w:id="1902"/>
      <w:bookmarkEnd w:id="1903"/>
      <w:bookmarkEnd w:id="1904"/>
      <w:bookmarkEnd w:id="1905"/>
      <w:bookmarkEnd w:id="1906"/>
      <w:bookmarkEnd w:id="1907"/>
      <w:bookmarkEnd w:id="1908"/>
      <w:bookmarkEnd w:id="1909"/>
    </w:p>
    <w:p w14:paraId="39D9709A" w14:textId="77777777" w:rsidR="00C21029" w:rsidRPr="00C57470" w:rsidRDefault="00C21029" w:rsidP="0044500E">
      <w:pPr>
        <w:pStyle w:val="Titre2"/>
        <w:numPr>
          <w:ilvl w:val="1"/>
          <w:numId w:val="159"/>
        </w:numPr>
      </w:pPr>
      <w:bookmarkStart w:id="1910" w:name="_Toc86408959"/>
      <w:bookmarkStart w:id="1911" w:name="_Toc124312854"/>
      <w:bookmarkStart w:id="1912" w:name="_Toc124314834"/>
      <w:bookmarkStart w:id="1913" w:name="_Toc124317042"/>
      <w:bookmarkStart w:id="1914" w:name="_Toc124956382"/>
      <w:bookmarkStart w:id="1915" w:name="_Toc125384740"/>
      <w:bookmarkStart w:id="1916" w:name="_Toc125385130"/>
      <w:bookmarkStart w:id="1917" w:name="_Toc125402323"/>
      <w:bookmarkStart w:id="1918" w:name="_Toc126593242"/>
      <w:bookmarkStart w:id="1919" w:name="_Toc127957781"/>
      <w:r w:rsidRPr="00C57470">
        <w:t>Cadre juridique</w:t>
      </w:r>
      <w:bookmarkEnd w:id="1910"/>
      <w:bookmarkEnd w:id="1911"/>
      <w:bookmarkEnd w:id="1912"/>
      <w:bookmarkEnd w:id="1913"/>
      <w:bookmarkEnd w:id="1914"/>
      <w:bookmarkEnd w:id="1915"/>
      <w:bookmarkEnd w:id="1916"/>
      <w:bookmarkEnd w:id="1917"/>
      <w:bookmarkEnd w:id="1918"/>
      <w:bookmarkEnd w:id="1919"/>
    </w:p>
    <w:p w14:paraId="65C195D7" w14:textId="77777777" w:rsidR="00C21029" w:rsidRPr="00387817" w:rsidRDefault="00C21029" w:rsidP="0044500E">
      <w:pPr>
        <w:pStyle w:val="Paragraphedeliste"/>
        <w:numPr>
          <w:ilvl w:val="0"/>
          <w:numId w:val="152"/>
        </w:numPr>
        <w:spacing w:before="100" w:beforeAutospacing="1" w:after="100" w:afterAutospacing="1" w:line="240" w:lineRule="auto"/>
        <w:jc w:val="both"/>
        <w:rPr>
          <w:b/>
          <w:bCs/>
        </w:rPr>
      </w:pPr>
      <w:r w:rsidRPr="00387817">
        <w:rPr>
          <w:b/>
          <w:bCs/>
        </w:rPr>
        <w:t>Les instruments internationaux</w:t>
      </w:r>
    </w:p>
    <w:p w14:paraId="4E9E4766" w14:textId="77777777" w:rsidR="00C21029" w:rsidRPr="00C57470" w:rsidRDefault="00C21029" w:rsidP="009579DB">
      <w:pPr>
        <w:spacing w:before="120" w:after="120" w:line="240" w:lineRule="auto"/>
        <w:jc w:val="both"/>
      </w:pPr>
      <w:r>
        <w:t>Le G</w:t>
      </w:r>
      <w:r w:rsidRPr="00C57470">
        <w:t>ouvernement</w:t>
      </w:r>
      <w:r>
        <w:t xml:space="preserve"> malagasy</w:t>
      </w:r>
      <w:r w:rsidRPr="00C57470">
        <w:t xml:space="preserve"> s’est engagé dans la lutte contre les VBG et les violences à l’encontre des enfants, à travers la signature et/ou la ratification de différents instruments internationaux de protection des droits humains (</w:t>
      </w:r>
      <w:r w:rsidR="00691C73">
        <w:t>voir e</w:t>
      </w:r>
      <w:r w:rsidRPr="00C57470">
        <w:t>n Annexe</w:t>
      </w:r>
      <w:r w:rsidR="00137107">
        <w:t xml:space="preserve"> 2</w:t>
      </w:r>
      <w:r w:rsidRPr="00C57470">
        <w:t xml:space="preserve"> la liste des textes et conventions internationaux ratifiés par </w:t>
      </w:r>
      <w:r>
        <w:t>Madagascar</w:t>
      </w:r>
      <w:r w:rsidRPr="00C57470">
        <w:t>).</w:t>
      </w:r>
    </w:p>
    <w:p w14:paraId="2925FC48" w14:textId="77777777" w:rsidR="00C21029" w:rsidRPr="00C57470" w:rsidRDefault="00C21029" w:rsidP="009579DB">
      <w:pPr>
        <w:spacing w:before="120" w:after="120" w:line="240" w:lineRule="auto"/>
        <w:jc w:val="both"/>
      </w:pPr>
      <w:r w:rsidRPr="00C57470">
        <w:t>L’engagement de</w:t>
      </w:r>
      <w:r>
        <w:t xml:space="preserve"> Madagascar </w:t>
      </w:r>
      <w:r w:rsidRPr="00C57470">
        <w:t>dans la lutte contre les VBG a été initié par la ratification en 1</w:t>
      </w:r>
      <w:r>
        <w:t>989</w:t>
      </w:r>
      <w:r w:rsidRPr="00C57470">
        <w:t xml:space="preserve"> de la Convention internationale sur l’Elimination de toutes les formes de Discrimination à l’Egard des Femmes (CEDEF).</w:t>
      </w:r>
      <w:r w:rsidR="006D5F22">
        <w:t xml:space="preserve"> </w:t>
      </w:r>
      <w:r w:rsidRPr="00C57470">
        <w:t>Cette Convention donne la définition universelle de l'expression "discrimination à l'égard des femmes", comme étant toute distinction, exclusion ou restriction fondée sur le sexe qui a pour effet ou pour but de compromettre ou de détruire la reconnaissance, la jouissance ou l'exercice par les femmes, quel que soit leur état matrimonial, sur la base de l'égalité de l'homme et de la femme, des droits de l'homme et des libertés fondamentales dans les domaines politique, économique, social, culturel et civil ou dans tout autre domaine. Fondamentalement, la Convention entend être l’instrument permettant de supprimer, sous toutes leurs formes, les violences basées sur le genre, le trafic des femmes et l'exploitation des femmes. En ce sens, la Convention appelle les gouvernements des pays à modifier les schémas et modèles de comportement socio-culturel de l'homme et de la femme en vue de parvenir à l'élimination des préjugés, des stéréotypes de genre et des pratiques coutumières qui sont fondés sur l'idée de l'infériorité des femmes par rapport aux hommes. La Convention prône l’égalité de l’homme et de la femme devant la loi, tant sur les questions découlant du mariage et les rapports familiaux, sur le droit au travail et à l’emploi, sur le droit de vote, etc. Concernant particulièrement les femmes rurales, la Convention stipule l’importance pour les pays à prendre des mesures appropriées pour éliminer la discrimination à l’égard des femmes en zones rurales. Pour ce faire, on doit assurer le droit aux femmes de participer à l’élaboration et à l’exécution des plans de développement à tous les échelons, et de participer à toutes les activités de la communauté.</w:t>
      </w:r>
    </w:p>
    <w:p w14:paraId="314C2309" w14:textId="77777777" w:rsidR="00C21029" w:rsidRDefault="00C21029" w:rsidP="009579DB">
      <w:pPr>
        <w:spacing w:before="120" w:after="120" w:line="240" w:lineRule="auto"/>
        <w:jc w:val="both"/>
      </w:pPr>
      <w:r w:rsidRPr="00C57470">
        <w:t>Le Protocole à la Charte Africaine des Droits de l’Homme et des Peuples sur les Droits des femmes en Afrique connu comme le Protocole de Maputo de 2003</w:t>
      </w:r>
      <w:r>
        <w:t>,</w:t>
      </w:r>
      <w:r w:rsidRPr="00C57470">
        <w:t xml:space="preserve"> est un instrument essentiel pour renforcer la protection et la promotion des droits des femmes en Afrique. Le texte du Protocole vise à promouvoir les principes de l’égalité, de la paix, de la liberté, de la dignité, de la justice, de la solidarité et de la démocratie. Ainsi</w:t>
      </w:r>
      <w:r w:rsidR="00691C73">
        <w:t>,</w:t>
      </w:r>
      <w:r w:rsidRPr="00C57470">
        <w:t xml:space="preserve"> couvre-t-il tout un éventail de thèmes tels que l’emploi, l’éducation, le droit de vote, les lois relatives à la nationalité, les droits au mariage et au divorce, la santé, les droits génésiques et l’égalité devant la loi. </w:t>
      </w:r>
      <w:r>
        <w:t>Madagascar</w:t>
      </w:r>
      <w:r w:rsidRPr="00C57470">
        <w:t xml:space="preserve"> est un État signataire du Protocole et </w:t>
      </w:r>
      <w:r w:rsidR="00691C73">
        <w:t>l’</w:t>
      </w:r>
      <w:r w:rsidRPr="00C57470">
        <w:t>a ratifié en 20</w:t>
      </w:r>
      <w:r>
        <w:t>04</w:t>
      </w:r>
      <w:r w:rsidRPr="00C57470">
        <w:t>.</w:t>
      </w:r>
    </w:p>
    <w:p w14:paraId="50E8D1AE" w14:textId="77777777" w:rsidR="00C21029" w:rsidRPr="00387817" w:rsidRDefault="00C21029" w:rsidP="0044500E">
      <w:pPr>
        <w:pStyle w:val="Paragraphedeliste"/>
        <w:numPr>
          <w:ilvl w:val="0"/>
          <w:numId w:val="152"/>
        </w:numPr>
        <w:spacing w:before="100" w:beforeAutospacing="1" w:after="100" w:afterAutospacing="1" w:line="240" w:lineRule="auto"/>
        <w:jc w:val="both"/>
        <w:rPr>
          <w:b/>
          <w:bCs/>
        </w:rPr>
      </w:pPr>
      <w:r w:rsidRPr="00387817">
        <w:rPr>
          <w:b/>
          <w:bCs/>
        </w:rPr>
        <w:t>Textes juridiques et législatifs nationaux</w:t>
      </w:r>
    </w:p>
    <w:p w14:paraId="0EC0F002" w14:textId="77777777" w:rsidR="00C21029" w:rsidRPr="00524B3C" w:rsidRDefault="00C21029" w:rsidP="009579DB">
      <w:pPr>
        <w:spacing w:before="120" w:after="120" w:line="240" w:lineRule="auto"/>
        <w:jc w:val="both"/>
      </w:pPr>
      <w:r w:rsidRPr="00524B3C">
        <w:t xml:space="preserve">Madagascar a introduit dans sa législation nationale la protection des droits de l’homme. </w:t>
      </w:r>
      <w:r>
        <w:t>La</w:t>
      </w:r>
      <w:r w:rsidRPr="00524B3C">
        <w:t xml:space="preserve"> Constitution</w:t>
      </w:r>
      <w:r>
        <w:t xml:space="preserve"> </w:t>
      </w:r>
      <w:r w:rsidRPr="00524B3C">
        <w:t>de la 4ème République</w:t>
      </w:r>
      <w:r>
        <w:t xml:space="preserve">, </w:t>
      </w:r>
      <w:r w:rsidRPr="00524B3C">
        <w:t>adoptée le 11 décembre 2010</w:t>
      </w:r>
      <w:r>
        <w:t xml:space="preserve">, </w:t>
      </w:r>
      <w:r w:rsidRPr="00524B3C">
        <w:t>consacre le principe d’égalité et de non-discrimination fondée sur le sexe, le degré d’instruction, la fortune, l’origine, la croyance religieuse ou l’opinion.</w:t>
      </w:r>
    </w:p>
    <w:p w14:paraId="1AC43081" w14:textId="77777777" w:rsidR="00C21029" w:rsidRDefault="00C21029" w:rsidP="009579DB">
      <w:pPr>
        <w:spacing w:before="120" w:after="120" w:line="240" w:lineRule="auto"/>
        <w:jc w:val="both"/>
        <w:rPr>
          <w:bCs/>
        </w:rPr>
      </w:pPr>
      <w:r w:rsidRPr="00524B3C">
        <w:rPr>
          <w:bCs/>
        </w:rPr>
        <w:t>En outre, Madagascar a adopté certaines mesures législatives nationales sur les dr</w:t>
      </w:r>
      <w:r>
        <w:rPr>
          <w:bCs/>
        </w:rPr>
        <w:t>oits de l’homme, telles que la L</w:t>
      </w:r>
      <w:r w:rsidRPr="00524B3C">
        <w:rPr>
          <w:bCs/>
        </w:rPr>
        <w:t>oi n°2007-022 du 20 août 2007 relative aux mariages et aux régimes matrimoniaux, qui aligne l’âge matrimonial à 18 ans pour les jeunes fi</w:t>
      </w:r>
      <w:r>
        <w:rPr>
          <w:bCs/>
        </w:rPr>
        <w:t>lles et les jeunes garçons, la L</w:t>
      </w:r>
      <w:r w:rsidRPr="00524B3C">
        <w:rPr>
          <w:bCs/>
        </w:rPr>
        <w:t xml:space="preserve">oi n°2007-03 du 20 août 2007 relative aux droits de l’enfant et à </w:t>
      </w:r>
      <w:r>
        <w:rPr>
          <w:bCs/>
        </w:rPr>
        <w:t>la protection de l’enfance, la L</w:t>
      </w:r>
      <w:r w:rsidRPr="00524B3C">
        <w:rPr>
          <w:bCs/>
        </w:rPr>
        <w:t>oi n°2007-38 du 14 janvier 2008, modifiant et complétant certaines dispositions du Code pénal relatives à la lutte contre la traite des personn</w:t>
      </w:r>
      <w:r>
        <w:rPr>
          <w:bCs/>
        </w:rPr>
        <w:t>es et le tourisme sexuel ou la L</w:t>
      </w:r>
      <w:r w:rsidRPr="00524B3C">
        <w:rPr>
          <w:bCs/>
        </w:rPr>
        <w:t xml:space="preserve">oi n°2014-040 du 20 janvier 2015 sur la traite des êtres humains. </w:t>
      </w:r>
    </w:p>
    <w:p w14:paraId="73858C0B" w14:textId="77777777" w:rsidR="00C21029" w:rsidRDefault="00C21029" w:rsidP="009579DB">
      <w:pPr>
        <w:spacing w:before="120" w:after="120" w:line="240" w:lineRule="auto"/>
        <w:jc w:val="both"/>
      </w:pPr>
      <w:r w:rsidRPr="002B280D">
        <w:t>La Loi N° 67-030 relative aux régimes matrimoniaux, et à la forme des testaments constitue en outre</w:t>
      </w:r>
      <w:r w:rsidR="006D5F22">
        <w:t xml:space="preserve"> </w:t>
      </w:r>
      <w:r w:rsidRPr="002B280D">
        <w:t xml:space="preserve">le cadre juridique </w:t>
      </w:r>
      <w:r w:rsidR="00691C73">
        <w:t>qui</w:t>
      </w:r>
      <w:r w:rsidR="00691C73" w:rsidRPr="002B280D">
        <w:t xml:space="preserve"> </w:t>
      </w:r>
      <w:r w:rsidRPr="002B280D">
        <w:t>régit le droit foncier des femmes. A ce titre, les dispositions réglementaires déterminent qu’en l’absence de testament, le conjoint survivant, (homme ou femme) se positionne à la huitième place de la succession (après tous les autres parents proches).</w:t>
      </w:r>
    </w:p>
    <w:p w14:paraId="655A7143" w14:textId="77777777" w:rsidR="00C21029" w:rsidRPr="00355959" w:rsidRDefault="00C21029" w:rsidP="00C21029">
      <w:pPr>
        <w:rPr>
          <w:b/>
        </w:rPr>
      </w:pPr>
      <w:r w:rsidRPr="00355959">
        <w:rPr>
          <w:b/>
        </w:rPr>
        <w:t xml:space="preserve">Loi 2019-008 </w:t>
      </w:r>
      <w:r w:rsidR="00663DE7">
        <w:rPr>
          <w:b/>
        </w:rPr>
        <w:t xml:space="preserve">du 16 janvier 2020 </w:t>
      </w:r>
      <w:r w:rsidRPr="00355959">
        <w:rPr>
          <w:b/>
        </w:rPr>
        <w:t>relative à la lutte contre les violences basées sur le genre</w:t>
      </w:r>
    </w:p>
    <w:p w14:paraId="59B80D80" w14:textId="77777777" w:rsidR="00C21029" w:rsidRDefault="00C21029" w:rsidP="009579DB">
      <w:pPr>
        <w:spacing w:before="120" w:after="120" w:line="240" w:lineRule="auto"/>
        <w:jc w:val="both"/>
      </w:pPr>
      <w:r>
        <w:t>Madagascar dispose depuis très récemment d’une loi relative à la lutte contre les violences basées sur le genre (Loi 2019-008). La Loi définit le régime juridique qui régit la prévention, la poursuite, la répression des actes de VBG, la prise en charge</w:t>
      </w:r>
      <w:r w:rsidR="00CB5633">
        <w:t>,</w:t>
      </w:r>
      <w:r>
        <w:t xml:space="preserve"> la réparation et la protection des victimes de la VBG.</w:t>
      </w:r>
    </w:p>
    <w:p w14:paraId="04EAD280" w14:textId="77777777" w:rsidR="00C21029" w:rsidRDefault="00C21029" w:rsidP="009579DB">
      <w:pPr>
        <w:spacing w:before="120" w:after="120" w:line="240" w:lineRule="auto"/>
        <w:jc w:val="both"/>
      </w:pPr>
      <w:r>
        <w:t xml:space="preserve">Il est ainsi </w:t>
      </w:r>
      <w:r w:rsidR="1A4B2BF1">
        <w:t>énonc</w:t>
      </w:r>
      <w:r w:rsidR="4002F6B1">
        <w:t>é</w:t>
      </w:r>
      <w:r>
        <w:t xml:space="preserve"> que l’Etat assure la prise en charge sanitaire, psychosociale, et l’accompagnement juridico-judiciaire des victimes [Article 14]. </w:t>
      </w:r>
    </w:p>
    <w:p w14:paraId="3F9A3AA9" w14:textId="77777777" w:rsidR="00C21029" w:rsidRDefault="00C21029" w:rsidP="0044500E">
      <w:pPr>
        <w:pStyle w:val="Paragraphedeliste"/>
        <w:numPr>
          <w:ilvl w:val="0"/>
          <w:numId w:val="164"/>
        </w:numPr>
        <w:spacing w:after="160" w:line="240" w:lineRule="exact"/>
        <w:jc w:val="both"/>
      </w:pPr>
      <w:r>
        <w:t>Documents stratégiques nationaux</w:t>
      </w:r>
    </w:p>
    <w:p w14:paraId="1AC94E26" w14:textId="77777777" w:rsidR="00C21029" w:rsidRDefault="00C21029" w:rsidP="009579DB">
      <w:pPr>
        <w:spacing w:before="120" w:after="120" w:line="240" w:lineRule="auto"/>
        <w:jc w:val="both"/>
      </w:pPr>
      <w:r>
        <w:t xml:space="preserve">Le pays dispose également de la Stratégie nationale de lutte contre les violences basées sur le genre couvrant la période de 2016-2020. Cette stratégie s’articule autour de 5 axes stratégiques, à savoir : (1) prévention des actes de violences, (2) réponse médicale, juridique et sociale, (3) réinsertion socioéconomique des survivants de VBG et accompagnement psychosocial des auteurs, (4) coordination et suivi-évaluation et (5) optimisation des résultats par des mesures d’accompagnement. </w:t>
      </w:r>
    </w:p>
    <w:p w14:paraId="37C7B8BC" w14:textId="77777777" w:rsidR="00C21029" w:rsidRDefault="00C21029" w:rsidP="00C21029">
      <w:pPr>
        <w:rPr>
          <w:b/>
        </w:rPr>
      </w:pPr>
      <w:r>
        <w:rPr>
          <w:b/>
        </w:rPr>
        <w:t>Stratégie nationale de lutte contre les violences basées sur le genre</w:t>
      </w:r>
    </w:p>
    <w:p w14:paraId="0406CF3B" w14:textId="77777777" w:rsidR="00C21029" w:rsidRDefault="00137107" w:rsidP="009579DB">
      <w:pPr>
        <w:spacing w:before="120" w:after="120" w:line="240" w:lineRule="auto"/>
        <w:jc w:val="both"/>
      </w:pPr>
      <w:r>
        <w:t xml:space="preserve">Madagascar  </w:t>
      </w:r>
      <w:r w:rsidR="00C21029">
        <w:t xml:space="preserve">a élaboré la stratégie nationale de lutte contre les violences basées sur le genre pour la période de 2016 à 2020. La Stratégie a pour objectif de mettre à la disposition des acteurs un document de référence pour conduire les actions de prévention et de réponse aux VBG d’une manière coordonnée et efficace. </w:t>
      </w:r>
    </w:p>
    <w:p w14:paraId="1448B020" w14:textId="77777777" w:rsidR="00C21029" w:rsidRDefault="00C21029" w:rsidP="00F91FA3">
      <w:pPr>
        <w:jc w:val="both"/>
      </w:pPr>
      <w:r>
        <w:t xml:space="preserve">Pour atteindre ces objectifs, cinq axes stratégiques ont été définis, à savoir </w:t>
      </w:r>
    </w:p>
    <w:p w14:paraId="43997D1D" w14:textId="77777777" w:rsidR="00C21029" w:rsidRDefault="00C21029" w:rsidP="0044500E">
      <w:pPr>
        <w:pStyle w:val="Paragraphedeliste"/>
        <w:numPr>
          <w:ilvl w:val="0"/>
          <w:numId w:val="165"/>
        </w:numPr>
        <w:spacing w:after="160" w:line="240" w:lineRule="exact"/>
        <w:jc w:val="both"/>
      </w:pPr>
      <w:r>
        <w:t xml:space="preserve">Prévention des actes de violences ; </w:t>
      </w:r>
    </w:p>
    <w:p w14:paraId="726191EE" w14:textId="77777777" w:rsidR="00C21029" w:rsidRDefault="00C21029" w:rsidP="0044500E">
      <w:pPr>
        <w:pStyle w:val="Paragraphedeliste"/>
        <w:numPr>
          <w:ilvl w:val="0"/>
          <w:numId w:val="165"/>
        </w:numPr>
        <w:spacing w:after="160" w:line="240" w:lineRule="exact"/>
        <w:jc w:val="both"/>
      </w:pPr>
      <w:r>
        <w:t xml:space="preserve">Réponse médicale, juridique et sociale ; </w:t>
      </w:r>
    </w:p>
    <w:p w14:paraId="242853D8" w14:textId="77777777" w:rsidR="00C21029" w:rsidRDefault="00C21029" w:rsidP="0044500E">
      <w:pPr>
        <w:pStyle w:val="Paragraphedeliste"/>
        <w:numPr>
          <w:ilvl w:val="0"/>
          <w:numId w:val="165"/>
        </w:numPr>
        <w:spacing w:after="160" w:line="240" w:lineRule="exact"/>
        <w:jc w:val="both"/>
      </w:pPr>
      <w:r>
        <w:t>Réinsertion socio-économique des survivants de VBG et accompagnement psychosocial des auteurs ;</w:t>
      </w:r>
    </w:p>
    <w:p w14:paraId="3A254D07" w14:textId="77777777" w:rsidR="00C21029" w:rsidRDefault="00C21029" w:rsidP="0044500E">
      <w:pPr>
        <w:pStyle w:val="Paragraphedeliste"/>
        <w:numPr>
          <w:ilvl w:val="0"/>
          <w:numId w:val="165"/>
        </w:numPr>
        <w:spacing w:after="160" w:line="240" w:lineRule="exact"/>
        <w:jc w:val="both"/>
      </w:pPr>
      <w:r>
        <w:t>Coordination et suivi /évaluation ;</w:t>
      </w:r>
    </w:p>
    <w:p w14:paraId="4408CAED" w14:textId="77777777" w:rsidR="00C21029" w:rsidRPr="00113DCD" w:rsidRDefault="00C21029" w:rsidP="0044500E">
      <w:pPr>
        <w:pStyle w:val="Paragraphedeliste"/>
        <w:numPr>
          <w:ilvl w:val="0"/>
          <w:numId w:val="165"/>
        </w:numPr>
        <w:spacing w:after="160" w:line="240" w:lineRule="exact"/>
        <w:jc w:val="both"/>
      </w:pPr>
      <w:r>
        <w:t xml:space="preserve">Optimisation des résultats par la mise en place de mesures d’accompagnement. </w:t>
      </w:r>
    </w:p>
    <w:p w14:paraId="205DC795" w14:textId="77777777" w:rsidR="00C21029" w:rsidRDefault="00C21029" w:rsidP="00F91FA3">
      <w:pPr>
        <w:jc w:val="both"/>
      </w:pPr>
      <w:r>
        <w:t xml:space="preserve">Pour la mise en œuvre de Stratégie, l’Etat entend mettre en place des mécanismes de recours accessibles à tous les citoyens, à travers la mise en place de structures de prise en charge psychosociale, médicale et judiciaire des survivant (es) de VBG : </w:t>
      </w:r>
    </w:p>
    <w:p w14:paraId="48BE5EAB" w14:textId="77777777" w:rsidR="00C21029" w:rsidRDefault="00C21029" w:rsidP="0044500E">
      <w:pPr>
        <w:pStyle w:val="Paragraphedeliste"/>
        <w:numPr>
          <w:ilvl w:val="0"/>
          <w:numId w:val="165"/>
        </w:numPr>
        <w:spacing w:after="160" w:line="240" w:lineRule="exact"/>
        <w:jc w:val="both"/>
      </w:pPr>
      <w:r>
        <w:t xml:space="preserve">Le Centre d’Ecoute et de Conseil Juridique (CECJ) et des associations/ONGs à vocation sociale agissent dans le domaine de la prise en charge psychosociale (PCPS), dans la conciliation et pour orienter en fonction des besoins. </w:t>
      </w:r>
    </w:p>
    <w:p w14:paraId="4A42A129" w14:textId="77777777" w:rsidR="00C21029" w:rsidRDefault="00C21029" w:rsidP="0044500E">
      <w:pPr>
        <w:pStyle w:val="Paragraphedeliste"/>
        <w:numPr>
          <w:ilvl w:val="0"/>
          <w:numId w:val="165"/>
        </w:numPr>
        <w:spacing w:after="160" w:line="240" w:lineRule="exact"/>
        <w:jc w:val="both"/>
      </w:pPr>
      <w:r>
        <w:t xml:space="preserve">Les Centres Hospitaliers, les Centres de Santé de Base (CSB), les dispensaires et les centres médicaux privés s’attellent à la prise en charge médicale (PCM) des survivants. </w:t>
      </w:r>
    </w:p>
    <w:p w14:paraId="792D6FF7" w14:textId="77777777" w:rsidR="00C21029" w:rsidRDefault="00C21029" w:rsidP="0044500E">
      <w:pPr>
        <w:pStyle w:val="Paragraphedeliste"/>
        <w:numPr>
          <w:ilvl w:val="0"/>
          <w:numId w:val="165"/>
        </w:numPr>
        <w:spacing w:after="160" w:line="240" w:lineRule="exact"/>
        <w:jc w:val="both"/>
      </w:pPr>
      <w:r>
        <w:t>Le Tribunal de Première Instance, la Police et la Gendarmerie s’occupent de la prise en charge juridique et judiciaire (PCJ) suite à la plainte de la victime. Si le survivant décide de poursuivre le cas en justice, le dossier sera déféré au Parquet</w:t>
      </w:r>
      <w:r w:rsidR="00CB5633">
        <w:t>.</w:t>
      </w:r>
    </w:p>
    <w:p w14:paraId="5F2D6145" w14:textId="77777777" w:rsidR="00C21029" w:rsidRPr="0090061D" w:rsidRDefault="00C21029" w:rsidP="00C21029">
      <w:pPr>
        <w:rPr>
          <w:b/>
        </w:rPr>
      </w:pPr>
      <w:r>
        <w:rPr>
          <w:b/>
        </w:rPr>
        <w:t>Loi 2007- 023</w:t>
      </w:r>
      <w:r w:rsidR="006D5F22">
        <w:rPr>
          <w:b/>
        </w:rPr>
        <w:t xml:space="preserve"> </w:t>
      </w:r>
      <w:r>
        <w:rPr>
          <w:b/>
        </w:rPr>
        <w:t>sur les</w:t>
      </w:r>
      <w:r w:rsidRPr="0090061D">
        <w:rPr>
          <w:b/>
        </w:rPr>
        <w:t xml:space="preserve"> droits et la protection des enfants</w:t>
      </w:r>
      <w:r>
        <w:rPr>
          <w:b/>
        </w:rPr>
        <w:t xml:space="preserve"> </w:t>
      </w:r>
      <w:r w:rsidRPr="002B280D">
        <w:rPr>
          <w:b/>
        </w:rPr>
        <w:t xml:space="preserve">du 20 </w:t>
      </w:r>
      <w:r w:rsidR="00D52433">
        <w:rPr>
          <w:b/>
        </w:rPr>
        <w:t>a</w:t>
      </w:r>
      <w:r w:rsidRPr="002B280D">
        <w:rPr>
          <w:b/>
        </w:rPr>
        <w:t>oût 2007</w:t>
      </w:r>
    </w:p>
    <w:p w14:paraId="6AF98EB9" w14:textId="77777777" w:rsidR="00C21029" w:rsidRDefault="00C21029" w:rsidP="009579DB">
      <w:pPr>
        <w:spacing w:before="120" w:after="120" w:line="240" w:lineRule="auto"/>
        <w:jc w:val="both"/>
      </w:pPr>
      <w:r>
        <w:t xml:space="preserve">La Loi a défini la maltraitance des enfants comme toutes formes de violences, d’atteinte ou de brutalités physiques ou morales, d’abandon ou de négligence, de mauvais traitements ou d’exploitation y compris la violence sexuelle perpétrées sur un enfant par ses parents, ses représentants légaux ou toute autre personne. Elle détermine également la procédure utilisée devant les juridictions compétentes à l’égard des enfants victimes de toute forme de violence. Cette procédure </w:t>
      </w:r>
      <w:r w:rsidR="1D01B285">
        <w:t>énonc</w:t>
      </w:r>
      <w:r w:rsidR="4002F6B1">
        <w:t>e</w:t>
      </w:r>
      <w:r>
        <w:t xml:space="preserve"> les entités réceptrices de cas de signalement à savoir le Fokontany, </w:t>
      </w:r>
      <w:r w:rsidRPr="002B280D">
        <w:t>les centres de santé de proximité (CSB, Hôpitaux, centre médical privé ou public, etc)</w:t>
      </w:r>
      <w:r>
        <w:t xml:space="preserve"> </w:t>
      </w:r>
      <w:r w:rsidRPr="002B280D">
        <w:t>le bureau d’assistance sociale de la Commune, la Police et la Police des mineurs</w:t>
      </w:r>
      <w:r>
        <w:t xml:space="preserve">, la Gendarmerie, le Tribunal. Il est indiqué que la procédure de signalement doit aboutir à la saisine de Juge des Enfants (ou par défaut d’Officier de Police Judiciaire). </w:t>
      </w:r>
    </w:p>
    <w:p w14:paraId="02E53650" w14:textId="77777777" w:rsidR="00C21029" w:rsidRPr="00C57470" w:rsidRDefault="00C21029" w:rsidP="0044500E">
      <w:pPr>
        <w:pStyle w:val="Titre2"/>
        <w:numPr>
          <w:ilvl w:val="1"/>
          <w:numId w:val="159"/>
        </w:numPr>
      </w:pPr>
      <w:bookmarkStart w:id="1920" w:name="_Toc124312855"/>
      <w:bookmarkStart w:id="1921" w:name="_Toc124314835"/>
      <w:bookmarkStart w:id="1922" w:name="_Toc124317043"/>
      <w:bookmarkStart w:id="1923" w:name="_Toc124956383"/>
      <w:bookmarkStart w:id="1924" w:name="_Toc125384741"/>
      <w:bookmarkStart w:id="1925" w:name="_Toc125385131"/>
      <w:bookmarkStart w:id="1926" w:name="_Toc125402324"/>
      <w:bookmarkStart w:id="1927" w:name="_Toc126593243"/>
      <w:bookmarkStart w:id="1928" w:name="_Toc127957782"/>
      <w:r w:rsidRPr="00C57470">
        <w:t xml:space="preserve">Cadre </w:t>
      </w:r>
      <w:r>
        <w:t>institutionnel</w:t>
      </w:r>
      <w:bookmarkEnd w:id="1920"/>
      <w:bookmarkEnd w:id="1921"/>
      <w:bookmarkEnd w:id="1922"/>
      <w:bookmarkEnd w:id="1923"/>
      <w:bookmarkEnd w:id="1924"/>
      <w:bookmarkEnd w:id="1925"/>
      <w:bookmarkEnd w:id="1926"/>
      <w:bookmarkEnd w:id="1927"/>
      <w:bookmarkEnd w:id="1928"/>
    </w:p>
    <w:p w14:paraId="2E614C24" w14:textId="77777777" w:rsidR="00C21029" w:rsidRDefault="00C21029" w:rsidP="009579DB">
      <w:pPr>
        <w:spacing w:before="120" w:after="120" w:line="240" w:lineRule="auto"/>
        <w:jc w:val="both"/>
      </w:pPr>
      <w:r>
        <w:t xml:space="preserve">Sur le plan institutionnel, les interventions en matière de lutte contre les VBG sont pilotées et coordonnées par le Ministère en charge de la promotion de la femme. Au sein du Ministère, c’est la Direction générale en charge de la promotion de la femme qui assure la lutte contre les VBG. D’autre part, il existe la plateforme nationale de lutte contre la violence et dans quelques régions, des plateformes régionales. Au sein du parlement, siège la commission des droits et du genre, et cette commission joue un rôle primordial dans l’approbation des lois relatives aux VBG. </w:t>
      </w:r>
    </w:p>
    <w:p w14:paraId="65B2D9F2" w14:textId="77777777" w:rsidR="00C21029" w:rsidRDefault="00C21029" w:rsidP="009579DB">
      <w:pPr>
        <w:spacing w:before="120" w:after="120" w:line="240" w:lineRule="auto"/>
        <w:jc w:val="both"/>
      </w:pPr>
      <w:r>
        <w:t>Force est de noter également l’existence de nombreuses structures œuvrant dans le domaine d’autonomisation des femmes, et cela constitue une force pour le renforcement de la capacité de résilience des victimes de VBG.</w:t>
      </w:r>
    </w:p>
    <w:p w14:paraId="195FF3BB" w14:textId="77777777" w:rsidR="00C21029" w:rsidRPr="00C57470" w:rsidRDefault="00C21029" w:rsidP="0044500E">
      <w:pPr>
        <w:pStyle w:val="Titre2"/>
        <w:numPr>
          <w:ilvl w:val="1"/>
          <w:numId w:val="159"/>
        </w:numPr>
      </w:pPr>
      <w:bookmarkStart w:id="1929" w:name="_Toc86408960"/>
      <w:bookmarkStart w:id="1930" w:name="_Toc124312856"/>
      <w:bookmarkStart w:id="1931" w:name="_Toc124314836"/>
      <w:bookmarkStart w:id="1932" w:name="_Toc124317044"/>
      <w:bookmarkStart w:id="1933" w:name="_Toc124956384"/>
      <w:bookmarkStart w:id="1934" w:name="_Toc125384742"/>
      <w:bookmarkStart w:id="1935" w:name="_Toc125385132"/>
      <w:bookmarkStart w:id="1936" w:name="_Toc125402325"/>
      <w:bookmarkStart w:id="1937" w:name="_Toc126593244"/>
      <w:bookmarkStart w:id="1938" w:name="_Toc127957783"/>
      <w:r w:rsidRPr="00C57470">
        <w:t>Cadre Environnemental et Social de la Banque Mondiale</w:t>
      </w:r>
      <w:bookmarkEnd w:id="1929"/>
      <w:bookmarkEnd w:id="1930"/>
      <w:bookmarkEnd w:id="1931"/>
      <w:bookmarkEnd w:id="1932"/>
      <w:bookmarkEnd w:id="1933"/>
      <w:bookmarkEnd w:id="1934"/>
      <w:bookmarkEnd w:id="1935"/>
      <w:bookmarkEnd w:id="1936"/>
      <w:bookmarkEnd w:id="1937"/>
      <w:bookmarkEnd w:id="1938"/>
    </w:p>
    <w:p w14:paraId="1116061B" w14:textId="77777777" w:rsidR="00C21029" w:rsidRPr="00C57470" w:rsidRDefault="00C21029" w:rsidP="009579DB">
      <w:pPr>
        <w:spacing w:before="120" w:after="120" w:line="240" w:lineRule="auto"/>
        <w:jc w:val="both"/>
      </w:pPr>
      <w:r w:rsidRPr="00C57470">
        <w:t>Selon le Cadre Environnemental et Social (CES), les activités induites par un projet financé par la Banque mondiale sont susceptibles d’engendrer des risques de violences basé</w:t>
      </w:r>
      <w:r>
        <w:t>e</w:t>
      </w:r>
      <w:r w:rsidRPr="00C57470">
        <w:t xml:space="preserve">s sur le genre, notamment l’exploitation et l’abus sexuel ainsi que le harcèlement sexuel dans les lieux de travail. </w:t>
      </w:r>
    </w:p>
    <w:p w14:paraId="14F503FE" w14:textId="77777777" w:rsidR="00C21029" w:rsidRPr="00C57470" w:rsidRDefault="00C21029" w:rsidP="009579DB">
      <w:pPr>
        <w:spacing w:before="120" w:after="120" w:line="240" w:lineRule="auto"/>
        <w:jc w:val="both"/>
      </w:pPr>
      <w:r w:rsidRPr="00C57470">
        <w:t>Ainsi, il y a lieu de faire une évaluation de ces types de risques et d’établir un plan d’action spécifique pour atténuer ces risques et pour traiter les cas de violences induites par le Pro</w:t>
      </w:r>
      <w:r>
        <w:t>jet</w:t>
      </w:r>
      <w:r w:rsidRPr="00C57470">
        <w:t>.</w:t>
      </w:r>
    </w:p>
    <w:p w14:paraId="16A6D402" w14:textId="77777777" w:rsidR="00C21029" w:rsidRPr="00C57470" w:rsidRDefault="00C21029" w:rsidP="009579DB">
      <w:pPr>
        <w:spacing w:before="120" w:after="120" w:line="240" w:lineRule="auto"/>
        <w:jc w:val="both"/>
      </w:pPr>
      <w:r w:rsidRPr="00C57470">
        <w:t xml:space="preserve">Selon les dispositions de la NES2 sur les emplois et les conditions de travail ainsi que </w:t>
      </w:r>
      <w:r>
        <w:t xml:space="preserve">de </w:t>
      </w:r>
      <w:r w:rsidRPr="00C57470">
        <w:t xml:space="preserve">la NES4 sur la santé et la sécurité des communautés, et de la NES1 qui imposent la mise en place et la gestion d’un mécanisme de gestion des </w:t>
      </w:r>
      <w:r w:rsidRPr="002B280D">
        <w:t xml:space="preserve">plaintes, ainsi que la NES10 sur la mobilisation des parties prenantes et </w:t>
      </w:r>
      <w:r w:rsidR="006776F6">
        <w:t xml:space="preserve"> diffusion de l’</w:t>
      </w:r>
      <w:r w:rsidRPr="002B280D">
        <w:t>information, l’évaluation des risques de VBG et de violence à l’égard des enfants, sont à mener entre autres au cours de la préparation du CGES, du PGMO et du PMPP.</w:t>
      </w:r>
    </w:p>
    <w:p w14:paraId="19201510" w14:textId="77777777" w:rsidR="00C21029" w:rsidRPr="00C57470" w:rsidRDefault="00C21029" w:rsidP="009579DB">
      <w:pPr>
        <w:spacing w:before="120" w:after="120" w:line="240" w:lineRule="auto"/>
        <w:jc w:val="both"/>
      </w:pPr>
      <w:r w:rsidRPr="00C57470">
        <w:t xml:space="preserve">En effet, la NES4 </w:t>
      </w:r>
      <w:r w:rsidR="43C8DF32" w:rsidRPr="00C57470">
        <w:t>énonc</w:t>
      </w:r>
      <w:r w:rsidR="4002F6B1" w:rsidRPr="00C57470">
        <w:t>e</w:t>
      </w:r>
      <w:r w:rsidRPr="00C57470">
        <w:t xml:space="preserve"> que lorsqu’une évaluation fait apparaître des risques, par exemple des violences</w:t>
      </w:r>
      <w:r w:rsidRPr="00AE406E">
        <w:rPr>
          <w:vertAlign w:val="superscript"/>
        </w:rPr>
        <w:footnoteReference w:id="97"/>
      </w:r>
      <w:r w:rsidRPr="00C57470">
        <w:t xml:space="preserve"> sexistes ou d’exploitation et d’abus sexuels des enfants, ou encore de maladies transmissibles, qui peuvent résulter des interactions entre les travailleurs dans le cadre du Pro</w:t>
      </w:r>
      <w:r>
        <w:t>jet</w:t>
      </w:r>
      <w:r w:rsidRPr="00C57470">
        <w:t xml:space="preserve"> et les communautés locales, les documents environnementaux et sociaux du Pro</w:t>
      </w:r>
      <w:r>
        <w:t>jet</w:t>
      </w:r>
      <w:r w:rsidRPr="00C57470">
        <w:t xml:space="preserve"> décrivent ces risques et les mesures à prendre pour y faire face. </w:t>
      </w:r>
    </w:p>
    <w:p w14:paraId="7ED4D376" w14:textId="77777777" w:rsidR="00C21029" w:rsidRPr="00C57470" w:rsidRDefault="00C21029" w:rsidP="009579DB">
      <w:pPr>
        <w:spacing w:before="120" w:after="120" w:line="240" w:lineRule="auto"/>
        <w:jc w:val="both"/>
      </w:pPr>
      <w:r w:rsidRPr="002B280D">
        <w:t>Dans le cadre de la NES2, tous les types de travailleurs du</w:t>
      </w:r>
      <w:r>
        <w:t xml:space="preserve"> </w:t>
      </w:r>
      <w:r w:rsidRPr="002B280D">
        <w:t>Projet (travailleurs directs, travailleurs contractuel</w:t>
      </w:r>
      <w:r>
        <w:t>s, travailleurs communautaires)</w:t>
      </w:r>
      <w:r w:rsidRPr="002B280D">
        <w:t xml:space="preserve"> doivent être protégés et prévenus contre les VBG et les abus</w:t>
      </w:r>
      <w:r w:rsidRPr="00C57470">
        <w:t xml:space="preserve"> sexuels, se manifestant entre autres, par le harcèlement sexuel sur le lieu de travail. </w:t>
      </w:r>
    </w:p>
    <w:p w14:paraId="45C14F1A" w14:textId="77777777" w:rsidR="00C21029" w:rsidRPr="00C57470" w:rsidRDefault="00C21029" w:rsidP="009579DB">
      <w:pPr>
        <w:spacing w:before="120" w:after="120" w:line="240" w:lineRule="auto"/>
        <w:jc w:val="both"/>
      </w:pPr>
      <w:r w:rsidRPr="00C57470">
        <w:t xml:space="preserve">Les groupes d’individus pouvant être exposés aux exploitations et abus sexuels et le harcèlement sexuel, sont : </w:t>
      </w:r>
    </w:p>
    <w:p w14:paraId="24046E64" w14:textId="77777777" w:rsidR="00C21029" w:rsidRPr="00C57470" w:rsidRDefault="00C21029" w:rsidP="0044500E">
      <w:pPr>
        <w:pStyle w:val="Paragraphedeliste"/>
        <w:numPr>
          <w:ilvl w:val="0"/>
          <w:numId w:val="160"/>
        </w:numPr>
        <w:spacing w:before="100" w:beforeAutospacing="1" w:after="100" w:afterAutospacing="1" w:line="240" w:lineRule="auto"/>
        <w:jc w:val="both"/>
      </w:pPr>
      <w:r w:rsidRPr="00C57470">
        <w:t>Les femmes et les jeunes filles, dont les femmes veuves, les femmes chefs de ménage ;</w:t>
      </w:r>
    </w:p>
    <w:p w14:paraId="590BB2EA" w14:textId="77777777" w:rsidR="00C21029" w:rsidRPr="00C57470" w:rsidRDefault="00C21029" w:rsidP="0044500E">
      <w:pPr>
        <w:pStyle w:val="Paragraphedeliste"/>
        <w:numPr>
          <w:ilvl w:val="0"/>
          <w:numId w:val="160"/>
        </w:numPr>
        <w:spacing w:before="100" w:beforeAutospacing="1" w:after="100" w:afterAutospacing="1" w:line="240" w:lineRule="auto"/>
        <w:jc w:val="both"/>
      </w:pPr>
      <w:r w:rsidRPr="00C57470">
        <w:t>Les enfants ;</w:t>
      </w:r>
    </w:p>
    <w:p w14:paraId="30DBAAE1" w14:textId="77777777" w:rsidR="00C21029" w:rsidRDefault="00C21029" w:rsidP="0044500E">
      <w:pPr>
        <w:pStyle w:val="Paragraphedeliste"/>
        <w:numPr>
          <w:ilvl w:val="0"/>
          <w:numId w:val="160"/>
        </w:numPr>
        <w:spacing w:before="100" w:beforeAutospacing="1" w:after="100" w:afterAutospacing="1" w:line="240" w:lineRule="auto"/>
        <w:jc w:val="both"/>
      </w:pPr>
      <w:r w:rsidRPr="00C57470">
        <w:t>Les personnes âgées ;</w:t>
      </w:r>
    </w:p>
    <w:p w14:paraId="7637347B" w14:textId="77777777" w:rsidR="00C21029" w:rsidRPr="002B280D" w:rsidRDefault="00C21029" w:rsidP="0044500E">
      <w:pPr>
        <w:pStyle w:val="Paragraphedeliste"/>
        <w:numPr>
          <w:ilvl w:val="0"/>
          <w:numId w:val="160"/>
        </w:numPr>
        <w:spacing w:before="100" w:beforeAutospacing="1" w:after="100" w:afterAutospacing="1" w:line="240" w:lineRule="auto"/>
        <w:jc w:val="both"/>
      </w:pPr>
      <w:r w:rsidRPr="002B280D">
        <w:t xml:space="preserve">Les personnes en situation d’handicap, </w:t>
      </w:r>
    </w:p>
    <w:p w14:paraId="3EE53C1C" w14:textId="77777777" w:rsidR="00C21029" w:rsidRPr="00C57470" w:rsidRDefault="00C21029" w:rsidP="0044500E">
      <w:pPr>
        <w:pStyle w:val="Paragraphedeliste"/>
        <w:numPr>
          <w:ilvl w:val="0"/>
          <w:numId w:val="160"/>
        </w:numPr>
        <w:spacing w:before="100" w:beforeAutospacing="1" w:after="100" w:afterAutospacing="1" w:line="240" w:lineRule="auto"/>
        <w:jc w:val="both"/>
      </w:pPr>
      <w:r w:rsidRPr="00C57470">
        <w:t>Les individus en minorité à cause de leur orientation sexuelle ou de leur identité sexuelle.</w:t>
      </w:r>
    </w:p>
    <w:p w14:paraId="7B3FC786" w14:textId="77777777" w:rsidR="00C21029" w:rsidRPr="00C57470" w:rsidRDefault="00C21029" w:rsidP="009579DB">
      <w:pPr>
        <w:spacing w:before="120" w:after="120" w:line="240" w:lineRule="auto"/>
        <w:jc w:val="both"/>
      </w:pPr>
      <w:r w:rsidRPr="00C57470">
        <w:t>Les mesures de gestion de risques, objet du présent plan d’action, se focalisent sur les exploitations, abus et harcèlement sexuels.</w:t>
      </w:r>
    </w:p>
    <w:p w14:paraId="58D65936" w14:textId="77777777" w:rsidR="00C21029" w:rsidRPr="00C57470" w:rsidRDefault="00C21029" w:rsidP="009579DB">
      <w:pPr>
        <w:spacing w:before="120" w:after="120" w:line="240" w:lineRule="auto"/>
        <w:jc w:val="both"/>
      </w:pPr>
      <w:r w:rsidRPr="00C57470">
        <w:t xml:space="preserve">Par ailleurs, la NES 10 définit une approche systématique de la mobilisation de parties prenantes en matière de sensibilisation et de participation avec les parties affectées concernant les </w:t>
      </w:r>
      <w:r>
        <w:t>risques d’</w:t>
      </w:r>
      <w:r w:rsidRPr="00C57470">
        <w:t>EAS/HS et insiste sur la mise en place d’un mécanisme de gestion des plaintes accessible et inclusif du Pro</w:t>
      </w:r>
      <w:r>
        <w:t>jet</w:t>
      </w:r>
      <w:r w:rsidRPr="00C57470">
        <w:t>.</w:t>
      </w:r>
    </w:p>
    <w:p w14:paraId="32295E6F" w14:textId="77777777" w:rsidR="00C21029" w:rsidRPr="00C57470" w:rsidRDefault="00C21029" w:rsidP="00C21029"/>
    <w:p w14:paraId="78189ECA" w14:textId="77777777" w:rsidR="00C21029" w:rsidRDefault="00C21029" w:rsidP="0044500E">
      <w:pPr>
        <w:pStyle w:val="Titre1"/>
        <w:numPr>
          <w:ilvl w:val="0"/>
          <w:numId w:val="159"/>
        </w:numPr>
        <w:ind w:left="0" w:firstLine="0"/>
        <w:sectPr w:rsidR="00C21029" w:rsidSect="00466BFF">
          <w:pgSz w:w="11906" w:h="16838"/>
          <w:pgMar w:top="1418" w:right="1418" w:bottom="1418" w:left="1418" w:header="709" w:footer="709" w:gutter="0"/>
          <w:cols w:space="708"/>
          <w:docGrid w:linePitch="360"/>
        </w:sectPr>
      </w:pPr>
      <w:bookmarkStart w:id="1939" w:name="_Toc86408961"/>
    </w:p>
    <w:p w14:paraId="63909CBF" w14:textId="77777777" w:rsidR="00C21029" w:rsidRPr="00C57470" w:rsidRDefault="00C21029" w:rsidP="0044500E">
      <w:pPr>
        <w:pStyle w:val="Titre1"/>
        <w:numPr>
          <w:ilvl w:val="0"/>
          <w:numId w:val="159"/>
        </w:numPr>
        <w:ind w:left="0" w:firstLine="0"/>
      </w:pPr>
      <w:bookmarkStart w:id="1940" w:name="_Toc124312857"/>
      <w:bookmarkStart w:id="1941" w:name="_Toc124314837"/>
      <w:bookmarkStart w:id="1942" w:name="_Toc124317045"/>
      <w:bookmarkStart w:id="1943" w:name="_Toc124956385"/>
      <w:bookmarkStart w:id="1944" w:name="_Toc125384743"/>
      <w:bookmarkStart w:id="1945" w:name="_Toc125385133"/>
      <w:bookmarkStart w:id="1946" w:name="_Toc125402326"/>
      <w:bookmarkStart w:id="1947" w:name="_Toc126593245"/>
      <w:bookmarkStart w:id="1948" w:name="_Toc127957784"/>
      <w:r w:rsidRPr="00C57470">
        <w:t>ANALYSE DES RISQUES DE VBG DANS LE CADRE DU PRO</w:t>
      </w:r>
      <w:r>
        <w:t>JET</w:t>
      </w:r>
      <w:bookmarkEnd w:id="1939"/>
      <w:bookmarkEnd w:id="1940"/>
      <w:bookmarkEnd w:id="1941"/>
      <w:bookmarkEnd w:id="1942"/>
      <w:bookmarkEnd w:id="1943"/>
      <w:bookmarkEnd w:id="1944"/>
      <w:bookmarkEnd w:id="1945"/>
      <w:bookmarkEnd w:id="1946"/>
      <w:bookmarkEnd w:id="1947"/>
      <w:bookmarkEnd w:id="1948"/>
    </w:p>
    <w:p w14:paraId="3DDA44D9" w14:textId="77777777" w:rsidR="00C21029" w:rsidRPr="00C57470" w:rsidRDefault="00C21029" w:rsidP="0044500E">
      <w:pPr>
        <w:pStyle w:val="Titre2"/>
        <w:numPr>
          <w:ilvl w:val="1"/>
          <w:numId w:val="159"/>
        </w:numPr>
      </w:pPr>
      <w:bookmarkStart w:id="1949" w:name="_Toc86408962"/>
      <w:bookmarkStart w:id="1950" w:name="_Toc124312858"/>
      <w:bookmarkStart w:id="1951" w:name="_Toc124314838"/>
      <w:bookmarkStart w:id="1952" w:name="_Toc124317046"/>
      <w:bookmarkStart w:id="1953" w:name="_Toc124956386"/>
      <w:bookmarkStart w:id="1954" w:name="_Toc125384744"/>
      <w:bookmarkStart w:id="1955" w:name="_Toc125385134"/>
      <w:bookmarkStart w:id="1956" w:name="_Toc125402327"/>
      <w:bookmarkStart w:id="1957" w:name="_Toc126593246"/>
      <w:bookmarkStart w:id="1958" w:name="_Toc127957785"/>
      <w:r w:rsidRPr="00C57470">
        <w:t>Description du pr</w:t>
      </w:r>
      <w:r>
        <w:t>ojet</w:t>
      </w:r>
      <w:bookmarkEnd w:id="1949"/>
      <w:bookmarkEnd w:id="1950"/>
      <w:bookmarkEnd w:id="1951"/>
      <w:bookmarkEnd w:id="1952"/>
      <w:bookmarkEnd w:id="1953"/>
      <w:bookmarkEnd w:id="1954"/>
      <w:bookmarkEnd w:id="1955"/>
      <w:bookmarkEnd w:id="1956"/>
      <w:bookmarkEnd w:id="1957"/>
      <w:bookmarkEnd w:id="1958"/>
    </w:p>
    <w:p w14:paraId="798FFD2A" w14:textId="77777777" w:rsidR="00C21029" w:rsidRPr="005205C7" w:rsidRDefault="00C21029" w:rsidP="009579DB">
      <w:pPr>
        <w:spacing w:before="120" w:after="120" w:line="240" w:lineRule="auto"/>
        <w:jc w:val="both"/>
      </w:pPr>
      <w:bookmarkStart w:id="1959" w:name="_Toc86408963"/>
      <w:r w:rsidRPr="005205C7">
        <w:t>L’objectif de développement du projet (</w:t>
      </w:r>
      <w:r w:rsidR="00CB5DF2">
        <w:t>O</w:t>
      </w:r>
      <w:r w:rsidRPr="005205C7">
        <w:t>D</w:t>
      </w:r>
      <w:r w:rsidR="00CB5DF2">
        <w:t>P</w:t>
      </w:r>
      <w:r w:rsidRPr="005205C7">
        <w:t xml:space="preserve">) souligne </w:t>
      </w:r>
      <w:r>
        <w:t>l’élargissement de l’accès aux énergies renouvelables et aux services numériques, ainsi que l’accroissement de l’inclusion.</w:t>
      </w:r>
    </w:p>
    <w:p w14:paraId="23F02746" w14:textId="77777777" w:rsidR="00C21029" w:rsidRDefault="00C21029" w:rsidP="009579DB">
      <w:pPr>
        <w:spacing w:before="120" w:after="120" w:line="240" w:lineRule="auto"/>
        <w:jc w:val="both"/>
      </w:pPr>
      <w:r w:rsidRPr="005205C7">
        <w:t xml:space="preserve">Spécifiquement, les activités du Projet visent </w:t>
      </w:r>
      <w:r>
        <w:t xml:space="preserve">sur le plan numérique à </w:t>
      </w:r>
      <w:r w:rsidRPr="004B69EF">
        <w:t>encourager le déploiement par le secteur privé d'infrastructures et de services mobiles à large bande dans les zones non couvertes</w:t>
      </w:r>
      <w:r>
        <w:t> ; et sur le plan</w:t>
      </w:r>
      <w:r w:rsidRPr="004B69EF">
        <w:t xml:space="preserve"> énergétique, </w:t>
      </w:r>
      <w:r>
        <w:t>à</w:t>
      </w:r>
      <w:r w:rsidRPr="004B69EF">
        <w:t xml:space="preserve"> atteindre le maximum de foyers électrifiés a</w:t>
      </w:r>
      <w:r>
        <w:t>vec le principe du moindre coût par une combinaison de</w:t>
      </w:r>
      <w:r w:rsidRPr="007360C8">
        <w:t xml:space="preserve"> technologies (i) Densification et extension des réseaux pour étendre les réseaux existants, notamment les réseaux isolés de la JIRAMA, et augmenter le nombre de foyers connectés dans les régions déjà électrifiées, (ii) Mini-réseaux pour les régions trop éloignées des réseaux existants et qui doivent bénéficier de leurs moyens de production compte tenu du coût élevé de l'interconnexion</w:t>
      </w:r>
      <w:r>
        <w:t>.</w:t>
      </w:r>
    </w:p>
    <w:p w14:paraId="4F1F7B60" w14:textId="77777777" w:rsidR="00C21029" w:rsidRPr="005205C7" w:rsidRDefault="00C21029" w:rsidP="00F91FA3">
      <w:pPr>
        <w:spacing w:after="120"/>
        <w:jc w:val="both"/>
      </w:pPr>
      <w:r w:rsidRPr="005205C7">
        <w:t xml:space="preserve">Le Programme comporte 5 composantes : </w:t>
      </w:r>
    </w:p>
    <w:p w14:paraId="05CCEEA4" w14:textId="77777777" w:rsidR="00C21029" w:rsidRPr="005205C7" w:rsidRDefault="00C21029" w:rsidP="00687DD2">
      <w:pPr>
        <w:numPr>
          <w:ilvl w:val="0"/>
          <w:numId w:val="42"/>
        </w:numPr>
        <w:spacing w:after="120"/>
        <w:jc w:val="both"/>
      </w:pPr>
      <w:r w:rsidRPr="005205C7">
        <w:rPr>
          <w:b/>
        </w:rPr>
        <w:t>Composante 1</w:t>
      </w:r>
      <w:r w:rsidR="006D5F22">
        <w:rPr>
          <w:b/>
        </w:rPr>
        <w:t xml:space="preserve"> </w:t>
      </w:r>
      <w:r w:rsidRPr="005205C7">
        <w:rPr>
          <w:b/>
        </w:rPr>
        <w:t xml:space="preserve">: </w:t>
      </w:r>
      <w:r w:rsidRPr="007360C8">
        <w:rPr>
          <w:b/>
        </w:rPr>
        <w:t>Développement de l'énergie et de l'accès numérique</w:t>
      </w:r>
    </w:p>
    <w:p w14:paraId="21EBB81C" w14:textId="77777777" w:rsidR="00C21029" w:rsidRPr="009579DB" w:rsidRDefault="00C21029" w:rsidP="009579DB">
      <w:pPr>
        <w:spacing w:before="120" w:after="120" w:line="240" w:lineRule="auto"/>
        <w:jc w:val="both"/>
      </w:pPr>
      <w:r w:rsidRPr="009579DB">
        <w:t>L’objectif de cette composante est de mobiliser des investissements importants de capitaux privés afin d'améliorer l'accès à l'énergie et aux TIC dans les zones mal desservies, soutenant ainsi les efforts visant à améliorer la prestation de services et à combler le fossé entre les zones urbaines et rurales. Cette composante se décline en 3 sous-composantes dont :</w:t>
      </w:r>
    </w:p>
    <w:p w14:paraId="6B02DC4A" w14:textId="77777777" w:rsidR="00C21029" w:rsidRPr="005205C7" w:rsidRDefault="00C21029" w:rsidP="009579DB">
      <w:pPr>
        <w:numPr>
          <w:ilvl w:val="0"/>
          <w:numId w:val="43"/>
        </w:numPr>
        <w:spacing w:before="120" w:after="120" w:line="240" w:lineRule="auto"/>
        <w:ind w:left="1071" w:hanging="357"/>
        <w:jc w:val="both"/>
        <w:rPr>
          <w:i/>
        </w:rPr>
      </w:pPr>
      <w:r w:rsidRPr="005205C7">
        <w:rPr>
          <w:i/>
        </w:rPr>
        <w:t>Sous-composante 1</w:t>
      </w:r>
      <w:r>
        <w:rPr>
          <w:i/>
        </w:rPr>
        <w:t>.1</w:t>
      </w:r>
      <w:r w:rsidR="006D5F22">
        <w:rPr>
          <w:i/>
        </w:rPr>
        <w:t xml:space="preserve"> </w:t>
      </w:r>
      <w:r w:rsidRPr="005205C7">
        <w:rPr>
          <w:i/>
        </w:rPr>
        <w:t xml:space="preserve">: </w:t>
      </w:r>
      <w:r w:rsidRPr="007360C8">
        <w:rPr>
          <w:i/>
        </w:rPr>
        <w:t>Hybridation et numérisation des réseaux isolés</w:t>
      </w:r>
      <w:r w:rsidRPr="005205C7">
        <w:rPr>
          <w:i/>
        </w:rPr>
        <w:t> ;</w:t>
      </w:r>
    </w:p>
    <w:p w14:paraId="67CA0615" w14:textId="77777777" w:rsidR="00C21029" w:rsidRPr="005205C7" w:rsidRDefault="00C21029" w:rsidP="009579DB">
      <w:pPr>
        <w:numPr>
          <w:ilvl w:val="0"/>
          <w:numId w:val="43"/>
        </w:numPr>
        <w:spacing w:before="120" w:after="120" w:line="240" w:lineRule="auto"/>
        <w:ind w:left="1071" w:hanging="357"/>
        <w:jc w:val="both"/>
        <w:rPr>
          <w:i/>
        </w:rPr>
      </w:pPr>
      <w:r w:rsidRPr="005205C7">
        <w:rPr>
          <w:i/>
        </w:rPr>
        <w:t>Sous-composante 1</w:t>
      </w:r>
      <w:r>
        <w:rPr>
          <w:i/>
        </w:rPr>
        <w:t>.2</w:t>
      </w:r>
      <w:r w:rsidR="006D5F22">
        <w:rPr>
          <w:i/>
        </w:rPr>
        <w:t xml:space="preserve"> </w:t>
      </w:r>
      <w:r w:rsidRPr="005205C7">
        <w:rPr>
          <w:i/>
        </w:rPr>
        <w:t xml:space="preserve">: </w:t>
      </w:r>
      <w:r w:rsidRPr="007360C8">
        <w:rPr>
          <w:i/>
        </w:rPr>
        <w:t>Déploiement d'infrastructures numériques en milieu rural</w:t>
      </w:r>
      <w:r w:rsidRPr="005205C7">
        <w:rPr>
          <w:i/>
        </w:rPr>
        <w:t> ;</w:t>
      </w:r>
    </w:p>
    <w:p w14:paraId="4C582F91" w14:textId="77777777" w:rsidR="00C21029" w:rsidRPr="005205C7" w:rsidRDefault="00C21029" w:rsidP="009579DB">
      <w:pPr>
        <w:numPr>
          <w:ilvl w:val="0"/>
          <w:numId w:val="43"/>
        </w:numPr>
        <w:spacing w:before="120" w:after="120" w:line="240" w:lineRule="auto"/>
        <w:ind w:left="1071" w:hanging="357"/>
        <w:jc w:val="both"/>
        <w:rPr>
          <w:i/>
        </w:rPr>
      </w:pPr>
      <w:r w:rsidRPr="005205C7">
        <w:rPr>
          <w:i/>
        </w:rPr>
        <w:t>Sous-composante 1</w:t>
      </w:r>
      <w:r>
        <w:rPr>
          <w:i/>
        </w:rPr>
        <w:t>.3</w:t>
      </w:r>
      <w:r w:rsidRPr="005205C7">
        <w:rPr>
          <w:i/>
        </w:rPr>
        <w:t xml:space="preserve"> : </w:t>
      </w:r>
      <w:r w:rsidRPr="007360C8">
        <w:rPr>
          <w:i/>
        </w:rPr>
        <w:t>Mini-réseaux d'énergie renouvelable Greenfield</w:t>
      </w:r>
      <w:r w:rsidR="00646D78">
        <w:rPr>
          <w:i/>
        </w:rPr>
        <w:t>.</w:t>
      </w:r>
    </w:p>
    <w:p w14:paraId="6E25A2A4" w14:textId="77777777" w:rsidR="00C21029" w:rsidRPr="005205C7" w:rsidRDefault="00C21029" w:rsidP="00687DD2">
      <w:pPr>
        <w:numPr>
          <w:ilvl w:val="0"/>
          <w:numId w:val="42"/>
        </w:numPr>
        <w:spacing w:after="120"/>
        <w:jc w:val="both"/>
        <w:rPr>
          <w:b/>
        </w:rPr>
      </w:pPr>
      <w:r w:rsidRPr="0022246A">
        <w:rPr>
          <w:b/>
        </w:rPr>
        <w:t>Composante 2 : Amélioration de l'</w:t>
      </w:r>
      <w:r w:rsidR="00646D78">
        <w:rPr>
          <w:b/>
        </w:rPr>
        <w:t xml:space="preserve">inclusion </w:t>
      </w:r>
      <w:r w:rsidR="00646D78" w:rsidRPr="0022246A">
        <w:rPr>
          <w:b/>
        </w:rPr>
        <w:t>énerg</w:t>
      </w:r>
      <w:r w:rsidR="00646D78">
        <w:rPr>
          <w:b/>
        </w:rPr>
        <w:t>étique</w:t>
      </w:r>
      <w:r w:rsidR="00646D78" w:rsidRPr="0022246A">
        <w:rPr>
          <w:b/>
        </w:rPr>
        <w:t xml:space="preserve"> </w:t>
      </w:r>
      <w:r w:rsidRPr="0022246A">
        <w:rPr>
          <w:b/>
        </w:rPr>
        <w:t xml:space="preserve">et numérique </w:t>
      </w:r>
    </w:p>
    <w:p w14:paraId="34DD6D08" w14:textId="77777777" w:rsidR="00C21029" w:rsidRPr="009579DB" w:rsidRDefault="00C21029" w:rsidP="009579DB">
      <w:pPr>
        <w:spacing w:before="120" w:after="120" w:line="240" w:lineRule="auto"/>
        <w:jc w:val="both"/>
      </w:pPr>
      <w:r w:rsidRPr="009579DB">
        <w:t>L’objectif de cette composante est d’accélérer l'adoption en s'attaquant aux obstacles du côté de la demande qui entravent l'accès au numérique et à l'énergie, afin d'accroître l'inclusion numérique des communautés mal desservies, tout en maximisant les synergies entre les deux secteurs. Cette composante comporte 3 sous-composantes dont :</w:t>
      </w:r>
    </w:p>
    <w:p w14:paraId="2DACA4B3" w14:textId="77777777" w:rsidR="00C21029" w:rsidRPr="005205C7" w:rsidRDefault="00C21029" w:rsidP="009579DB">
      <w:pPr>
        <w:numPr>
          <w:ilvl w:val="0"/>
          <w:numId w:val="43"/>
        </w:numPr>
        <w:spacing w:before="120" w:after="120" w:line="240" w:lineRule="auto"/>
        <w:ind w:left="1071" w:hanging="357"/>
        <w:jc w:val="both"/>
        <w:rPr>
          <w:i/>
        </w:rPr>
      </w:pPr>
      <w:r w:rsidRPr="005205C7">
        <w:rPr>
          <w:i/>
        </w:rPr>
        <w:t>Sous-composante 2</w:t>
      </w:r>
      <w:r>
        <w:rPr>
          <w:i/>
        </w:rPr>
        <w:t>.1</w:t>
      </w:r>
      <w:r w:rsidR="006D5F22">
        <w:rPr>
          <w:i/>
        </w:rPr>
        <w:t xml:space="preserve"> </w:t>
      </w:r>
      <w:r w:rsidRPr="005205C7">
        <w:rPr>
          <w:i/>
        </w:rPr>
        <w:t xml:space="preserve">: </w:t>
      </w:r>
      <w:r w:rsidRPr="007016E0">
        <w:rPr>
          <w:i/>
        </w:rPr>
        <w:t xml:space="preserve">Appareils solaires et numériques hors réseau </w:t>
      </w:r>
      <w:r w:rsidR="00646D78">
        <w:rPr>
          <w:i/>
        </w:rPr>
        <w:t xml:space="preserve">abordables </w:t>
      </w:r>
      <w:r w:rsidRPr="007016E0">
        <w:rPr>
          <w:i/>
        </w:rPr>
        <w:t xml:space="preserve">pour les communautés mal desservies et les groupes </w:t>
      </w:r>
      <w:r w:rsidR="00646D78">
        <w:rPr>
          <w:i/>
        </w:rPr>
        <w:t>vulnérables</w:t>
      </w:r>
      <w:r w:rsidR="00646D78" w:rsidRPr="005205C7">
        <w:rPr>
          <w:i/>
        </w:rPr>
        <w:t> </w:t>
      </w:r>
      <w:r w:rsidRPr="005205C7">
        <w:rPr>
          <w:i/>
        </w:rPr>
        <w:t>;</w:t>
      </w:r>
    </w:p>
    <w:p w14:paraId="533723DE" w14:textId="77777777" w:rsidR="00C21029" w:rsidRPr="005205C7" w:rsidRDefault="00C21029" w:rsidP="009579DB">
      <w:pPr>
        <w:numPr>
          <w:ilvl w:val="0"/>
          <w:numId w:val="43"/>
        </w:numPr>
        <w:spacing w:before="120" w:after="120" w:line="240" w:lineRule="auto"/>
        <w:ind w:left="1071" w:hanging="357"/>
        <w:jc w:val="both"/>
        <w:rPr>
          <w:i/>
        </w:rPr>
      </w:pPr>
      <w:r w:rsidRPr="005205C7">
        <w:rPr>
          <w:i/>
        </w:rPr>
        <w:t>Sous-composante 2</w:t>
      </w:r>
      <w:r>
        <w:rPr>
          <w:i/>
        </w:rPr>
        <w:t>.2</w:t>
      </w:r>
      <w:r w:rsidRPr="005205C7">
        <w:rPr>
          <w:i/>
        </w:rPr>
        <w:t xml:space="preserve"> </w:t>
      </w:r>
      <w:r w:rsidRPr="007016E0">
        <w:rPr>
          <w:i/>
        </w:rPr>
        <w:t>: Culture numérique et sensibilisation</w:t>
      </w:r>
      <w:r w:rsidRPr="005205C7">
        <w:rPr>
          <w:i/>
        </w:rPr>
        <w:t> ;</w:t>
      </w:r>
    </w:p>
    <w:p w14:paraId="0567E860" w14:textId="77777777" w:rsidR="00C21029" w:rsidRPr="005205C7" w:rsidRDefault="00C21029" w:rsidP="009579DB">
      <w:pPr>
        <w:numPr>
          <w:ilvl w:val="0"/>
          <w:numId w:val="43"/>
        </w:numPr>
        <w:spacing w:before="120" w:after="120" w:line="240" w:lineRule="auto"/>
        <w:ind w:left="1071" w:hanging="357"/>
        <w:jc w:val="both"/>
        <w:rPr>
          <w:i/>
        </w:rPr>
      </w:pPr>
      <w:r w:rsidRPr="005205C7">
        <w:rPr>
          <w:i/>
        </w:rPr>
        <w:t>Sous-composante 2</w:t>
      </w:r>
      <w:r>
        <w:rPr>
          <w:i/>
        </w:rPr>
        <w:t>.3</w:t>
      </w:r>
      <w:r w:rsidRPr="005205C7">
        <w:rPr>
          <w:i/>
        </w:rPr>
        <w:t xml:space="preserve"> : </w:t>
      </w:r>
      <w:r w:rsidRPr="007016E0">
        <w:rPr>
          <w:i/>
        </w:rPr>
        <w:t>Installation solaire hors réseau et connectivité large bande pour les institutions publiques, y compris les écoles et les centres de santé</w:t>
      </w:r>
      <w:r w:rsidRPr="005205C7">
        <w:rPr>
          <w:i/>
        </w:rPr>
        <w:t>.</w:t>
      </w:r>
    </w:p>
    <w:p w14:paraId="7E4A4D7D" w14:textId="77777777" w:rsidR="00C21029" w:rsidRPr="005205C7" w:rsidRDefault="00C21029" w:rsidP="00687DD2">
      <w:pPr>
        <w:numPr>
          <w:ilvl w:val="0"/>
          <w:numId w:val="42"/>
        </w:numPr>
        <w:spacing w:after="120"/>
        <w:jc w:val="both"/>
        <w:rPr>
          <w:b/>
        </w:rPr>
      </w:pPr>
      <w:r w:rsidRPr="005205C7">
        <w:rPr>
          <w:b/>
        </w:rPr>
        <w:t xml:space="preserve">Composante 3 : </w:t>
      </w:r>
      <w:r w:rsidRPr="00EB4D61">
        <w:rPr>
          <w:b/>
        </w:rPr>
        <w:t>Soutenir l'environnement propice au numérique et à l'énergie</w:t>
      </w:r>
      <w:r w:rsidR="00646D78">
        <w:rPr>
          <w:b/>
        </w:rPr>
        <w:t xml:space="preserve"> verte</w:t>
      </w:r>
    </w:p>
    <w:p w14:paraId="038BB178" w14:textId="77777777" w:rsidR="00C21029" w:rsidRPr="009579DB" w:rsidRDefault="00C21029" w:rsidP="009579DB">
      <w:pPr>
        <w:spacing w:before="120" w:after="120" w:line="240" w:lineRule="auto"/>
        <w:jc w:val="both"/>
      </w:pPr>
      <w:r w:rsidRPr="009579DB">
        <w:t>Cette composante vise à soutenir l'adoption et la mise en œuvre de réformes accélérées et profondes dans le secteur numérique et financer un soutien ciblé pour faire avancer le programme de réforme énergétique. Elle mettra aussi l'accent sur les investissements dans les infrastructures intelligentes face au climat et le renforcement des capacités qui contribuent à accroître la capacité de réponse et à réduire l'empreinte climatique de Madagascar. La mise en œuvre de cette composante se réalise à travers les sous-composantes ci-après :</w:t>
      </w:r>
    </w:p>
    <w:p w14:paraId="21240237" w14:textId="77777777" w:rsidR="00C21029" w:rsidRPr="005205C7" w:rsidRDefault="00C21029" w:rsidP="009579DB">
      <w:pPr>
        <w:numPr>
          <w:ilvl w:val="0"/>
          <w:numId w:val="43"/>
        </w:numPr>
        <w:spacing w:before="120" w:after="120" w:line="240" w:lineRule="auto"/>
        <w:ind w:left="1071" w:hanging="357"/>
        <w:jc w:val="both"/>
        <w:rPr>
          <w:i/>
        </w:rPr>
      </w:pPr>
      <w:r w:rsidRPr="005205C7">
        <w:rPr>
          <w:i/>
        </w:rPr>
        <w:t>Sous-composante 3</w:t>
      </w:r>
      <w:r>
        <w:rPr>
          <w:i/>
        </w:rPr>
        <w:t>.1</w:t>
      </w:r>
      <w:r w:rsidRPr="005205C7">
        <w:rPr>
          <w:i/>
        </w:rPr>
        <w:t xml:space="preserve"> : </w:t>
      </w:r>
      <w:r w:rsidRPr="007016E0">
        <w:rPr>
          <w:i/>
        </w:rPr>
        <w:t>Appui aux réformes du secteur numérique</w:t>
      </w:r>
      <w:r w:rsidRPr="005205C7">
        <w:rPr>
          <w:i/>
        </w:rPr>
        <w:t>;</w:t>
      </w:r>
    </w:p>
    <w:p w14:paraId="7D75C59A" w14:textId="77777777" w:rsidR="00C21029" w:rsidRPr="005205C7" w:rsidRDefault="00C21029" w:rsidP="009579DB">
      <w:pPr>
        <w:numPr>
          <w:ilvl w:val="0"/>
          <w:numId w:val="43"/>
        </w:numPr>
        <w:spacing w:before="120" w:after="120" w:line="240" w:lineRule="auto"/>
        <w:ind w:left="1071" w:hanging="357"/>
        <w:jc w:val="both"/>
        <w:rPr>
          <w:i/>
        </w:rPr>
      </w:pPr>
      <w:r w:rsidRPr="005205C7">
        <w:rPr>
          <w:i/>
        </w:rPr>
        <w:t>Sous-composante 3</w:t>
      </w:r>
      <w:r>
        <w:rPr>
          <w:i/>
        </w:rPr>
        <w:t>.2</w:t>
      </w:r>
      <w:r w:rsidRPr="005205C7">
        <w:rPr>
          <w:i/>
        </w:rPr>
        <w:t xml:space="preserve"> : </w:t>
      </w:r>
      <w:r w:rsidRPr="007016E0">
        <w:rPr>
          <w:i/>
        </w:rPr>
        <w:t>Appui à la réforme du secteur de l'énergie</w:t>
      </w:r>
      <w:r w:rsidRPr="005205C7">
        <w:rPr>
          <w:i/>
        </w:rPr>
        <w:t>;</w:t>
      </w:r>
    </w:p>
    <w:p w14:paraId="2A2AAC0B" w14:textId="77777777" w:rsidR="00C21029" w:rsidRPr="005205C7" w:rsidRDefault="00C21029" w:rsidP="009579DB">
      <w:pPr>
        <w:numPr>
          <w:ilvl w:val="0"/>
          <w:numId w:val="43"/>
        </w:numPr>
        <w:spacing w:before="120" w:after="120" w:line="240" w:lineRule="auto"/>
        <w:ind w:left="1071" w:hanging="357"/>
        <w:jc w:val="both"/>
        <w:rPr>
          <w:i/>
        </w:rPr>
      </w:pPr>
      <w:r w:rsidRPr="005205C7">
        <w:rPr>
          <w:i/>
        </w:rPr>
        <w:t>Sous-composante 3</w:t>
      </w:r>
      <w:r>
        <w:rPr>
          <w:i/>
        </w:rPr>
        <w:t>.3</w:t>
      </w:r>
      <w:r w:rsidRPr="005205C7">
        <w:rPr>
          <w:i/>
        </w:rPr>
        <w:t xml:space="preserve"> : </w:t>
      </w:r>
      <w:r w:rsidRPr="007016E0">
        <w:rPr>
          <w:i/>
        </w:rPr>
        <w:t>Environnement propice à une meilleure adaptation</w:t>
      </w:r>
      <w:r w:rsidR="00646D78">
        <w:rPr>
          <w:i/>
        </w:rPr>
        <w:t xml:space="preserve"> au changement climatique</w:t>
      </w:r>
      <w:r w:rsidRPr="007016E0">
        <w:rPr>
          <w:i/>
        </w:rPr>
        <w:t xml:space="preserve"> et atténuation </w:t>
      </w:r>
      <w:r w:rsidR="00646D78">
        <w:rPr>
          <w:i/>
        </w:rPr>
        <w:t>de ses effets</w:t>
      </w:r>
      <w:r w:rsidR="00646D78">
        <w:t>.</w:t>
      </w:r>
      <w:r w:rsidR="00646D78">
        <w:rPr>
          <w:i/>
        </w:rPr>
        <w:t xml:space="preserve"> </w:t>
      </w:r>
    </w:p>
    <w:p w14:paraId="4216E8A7" w14:textId="77777777" w:rsidR="00C21029" w:rsidRPr="005205C7" w:rsidRDefault="00C21029" w:rsidP="00687DD2">
      <w:pPr>
        <w:numPr>
          <w:ilvl w:val="0"/>
          <w:numId w:val="42"/>
        </w:numPr>
        <w:spacing w:after="120"/>
        <w:jc w:val="both"/>
        <w:rPr>
          <w:b/>
        </w:rPr>
      </w:pPr>
      <w:r w:rsidRPr="005205C7">
        <w:rPr>
          <w:b/>
        </w:rPr>
        <w:t xml:space="preserve">Composante 4 : </w:t>
      </w:r>
      <w:r w:rsidRPr="00EB4D61">
        <w:rPr>
          <w:b/>
        </w:rPr>
        <w:t>Gestion d</w:t>
      </w:r>
      <w:r w:rsidR="00392296">
        <w:rPr>
          <w:b/>
        </w:rPr>
        <w:t>u</w:t>
      </w:r>
      <w:r w:rsidRPr="00EB4D61">
        <w:rPr>
          <w:b/>
        </w:rPr>
        <w:t xml:space="preserve"> projet et soutien à la mise en œuvre</w:t>
      </w:r>
      <w:r w:rsidRPr="005205C7">
        <w:rPr>
          <w:b/>
        </w:rPr>
        <w:t xml:space="preserve"> </w:t>
      </w:r>
    </w:p>
    <w:p w14:paraId="03E83387" w14:textId="77777777" w:rsidR="00C21029" w:rsidRPr="009579DB" w:rsidRDefault="00C21029" w:rsidP="009579DB">
      <w:pPr>
        <w:spacing w:before="120" w:after="120" w:line="240" w:lineRule="auto"/>
        <w:jc w:val="both"/>
      </w:pPr>
      <w:r w:rsidRPr="009579DB">
        <w:t>Cette composante appuiera les fonctions de gestion et de mise en œuvre du projet et renforcera la capacité de coordination et de gestion du GdM. Cette composante comprendra également un certain nombre d'assistance technique visant à combler les lacunes dans les connaissances (enquêtes, évaluations du marché et de l'impact, analyses des options) à l'appui de la mise en œuvre des composantes d'investissement, par exemple, une enquête du côté de la demande sur les obstacles à l'adoption du numérique.</w:t>
      </w:r>
    </w:p>
    <w:p w14:paraId="7E0D61E2" w14:textId="77777777" w:rsidR="00C21029" w:rsidRPr="005205C7" w:rsidRDefault="00C21029" w:rsidP="00687DD2">
      <w:pPr>
        <w:numPr>
          <w:ilvl w:val="0"/>
          <w:numId w:val="42"/>
        </w:numPr>
        <w:spacing w:after="120"/>
        <w:jc w:val="both"/>
        <w:rPr>
          <w:b/>
        </w:rPr>
      </w:pPr>
      <w:r w:rsidRPr="005205C7">
        <w:rPr>
          <w:b/>
        </w:rPr>
        <w:t xml:space="preserve">Composante 5 : Composante </w:t>
      </w:r>
      <w:r w:rsidRPr="007016E0">
        <w:rPr>
          <w:b/>
        </w:rPr>
        <w:t xml:space="preserve">d'intervention d'urgence contingente </w:t>
      </w:r>
      <w:r w:rsidRPr="005205C7">
        <w:rPr>
          <w:b/>
        </w:rPr>
        <w:t>(CERC)</w:t>
      </w:r>
    </w:p>
    <w:p w14:paraId="627122DF" w14:textId="77777777" w:rsidR="00C21029" w:rsidRPr="005205C7" w:rsidRDefault="00C21029" w:rsidP="009579DB">
      <w:pPr>
        <w:spacing w:before="120" w:after="120" w:line="240" w:lineRule="auto"/>
        <w:jc w:val="both"/>
      </w:pPr>
      <w:r w:rsidRPr="005205C7">
        <w:t>Cette composante permettra une réaffectation rapide des fonds non engagés du crédit en cas d’urgence éligible.</w:t>
      </w:r>
    </w:p>
    <w:p w14:paraId="2953A3F3" w14:textId="77777777" w:rsidR="00C21029" w:rsidRDefault="00C21029" w:rsidP="009579DB">
      <w:pPr>
        <w:spacing w:before="120" w:after="120" w:line="240" w:lineRule="auto"/>
        <w:jc w:val="both"/>
      </w:pPr>
      <w:r w:rsidRPr="005205C7">
        <w:t>Les bénéficiaires de ce Projet ne seront pas seulement les communautés locales mais également les différentes institutions impliquées, dont</w:t>
      </w:r>
      <w:r w:rsidR="00392296">
        <w:t>,</w:t>
      </w:r>
      <w:r w:rsidRPr="005205C7">
        <w:t xml:space="preserve"> entre autres</w:t>
      </w:r>
      <w:r w:rsidR="00392296">
        <w:t>,</w:t>
      </w:r>
      <w:r w:rsidRPr="005205C7">
        <w:t xml:space="preserve"> l’administration locale, le personnel des agences d’exécuti</w:t>
      </w:r>
      <w:r>
        <w:t>on</w:t>
      </w:r>
      <w:r w:rsidR="00392296">
        <w:t xml:space="preserve"> et</w:t>
      </w:r>
      <w:r>
        <w:t xml:space="preserve"> le personnel des Ministères.</w:t>
      </w:r>
    </w:p>
    <w:p w14:paraId="08C55A14" w14:textId="77777777" w:rsidR="00C21029" w:rsidRPr="00C57470" w:rsidRDefault="00C21029" w:rsidP="0044500E">
      <w:pPr>
        <w:pStyle w:val="Titre2"/>
        <w:numPr>
          <w:ilvl w:val="1"/>
          <w:numId w:val="159"/>
        </w:numPr>
      </w:pPr>
      <w:bookmarkStart w:id="1960" w:name="_Toc124312859"/>
      <w:bookmarkStart w:id="1961" w:name="_Toc124314839"/>
      <w:bookmarkStart w:id="1962" w:name="_Toc124317047"/>
      <w:bookmarkStart w:id="1963" w:name="_Toc124956387"/>
      <w:bookmarkStart w:id="1964" w:name="_Toc125384745"/>
      <w:bookmarkStart w:id="1965" w:name="_Toc125385135"/>
      <w:bookmarkStart w:id="1966" w:name="_Toc125402328"/>
      <w:bookmarkStart w:id="1967" w:name="_Toc126593247"/>
      <w:bookmarkStart w:id="1968" w:name="_Toc127957786"/>
      <w:r w:rsidRPr="00C57470">
        <w:t xml:space="preserve">Prévalence des </w:t>
      </w:r>
      <w:bookmarkEnd w:id="1959"/>
      <w:r>
        <w:t>VBG en général et au niveau des Régions d’intervention</w:t>
      </w:r>
      <w:bookmarkEnd w:id="1960"/>
      <w:bookmarkEnd w:id="1961"/>
      <w:bookmarkEnd w:id="1962"/>
      <w:bookmarkEnd w:id="1963"/>
      <w:bookmarkEnd w:id="1964"/>
      <w:bookmarkEnd w:id="1965"/>
      <w:bookmarkEnd w:id="1966"/>
      <w:bookmarkEnd w:id="1967"/>
      <w:bookmarkEnd w:id="1968"/>
    </w:p>
    <w:p w14:paraId="161D589B" w14:textId="77777777" w:rsidR="00C21029" w:rsidRDefault="00C21029" w:rsidP="009579DB">
      <w:pPr>
        <w:spacing w:before="120" w:after="120" w:line="240" w:lineRule="auto"/>
        <w:jc w:val="both"/>
      </w:pPr>
      <w:r>
        <w:t xml:space="preserve">Les données statistiques officielles nationales sur les violences à Madagascar proviennent des résultats des enquêtes démographiques EDS MICS (Enquêtes démographiques et de santé et à indicateurs multiples) qui datent de 2018. Ces données anciennes font état de : 32,4% des femmes sur l’ensemble du territoire subissant des violences physiques, 13,5% des violences sexuelles. Dans le cadre de l’EDS-MICS, ces violences sont caractérisées comme étant des violences domestiques. </w:t>
      </w:r>
      <w:r w:rsidRPr="00E561F0">
        <w:t>L</w:t>
      </w:r>
      <w:r>
        <w:t xml:space="preserve">es sections suivantes exposent les manifestations et les caractérisations des cas de VBG au niveau des Régions de Madagascar. </w:t>
      </w:r>
    </w:p>
    <w:p w14:paraId="7EDCF3A4" w14:textId="77777777" w:rsidR="00C21029" w:rsidRPr="00593D92" w:rsidRDefault="00C21029" w:rsidP="0044500E">
      <w:pPr>
        <w:pStyle w:val="Paragraphedeliste"/>
        <w:numPr>
          <w:ilvl w:val="0"/>
          <w:numId w:val="161"/>
        </w:numPr>
        <w:spacing w:after="160" w:line="240" w:lineRule="exact"/>
        <w:jc w:val="both"/>
        <w:rPr>
          <w:b/>
          <w:bCs/>
        </w:rPr>
      </w:pPr>
      <w:r w:rsidRPr="00593D92">
        <w:rPr>
          <w:b/>
          <w:bCs/>
        </w:rPr>
        <w:t>Violence physique</w:t>
      </w:r>
    </w:p>
    <w:p w14:paraId="7D7BE9C3" w14:textId="77777777" w:rsidR="00C21029" w:rsidRDefault="00C21029" w:rsidP="009579DB">
      <w:pPr>
        <w:spacing w:before="120" w:after="120" w:line="240" w:lineRule="auto"/>
        <w:jc w:val="both"/>
      </w:pPr>
      <w:r>
        <w:t>La violence physique englobe les sévices, tels que bousculer, secouer ou jeter un objet contre la femme, gifler, tordre le bras ou lui tirer les cheveux, donner des coups de poing ou avec quelque chose, donner des coups de pied, trainer par terre ou battre, étrangler, brûler, menacer ou attaquer au moyen d'un couteau, d'une arme à feu ou d’une autre arme.</w:t>
      </w:r>
    </w:p>
    <w:p w14:paraId="15C3E28A" w14:textId="77777777" w:rsidR="00C21029" w:rsidRDefault="00C21029" w:rsidP="009579DB">
      <w:pPr>
        <w:spacing w:before="120" w:after="120" w:line="240" w:lineRule="auto"/>
        <w:jc w:val="both"/>
      </w:pPr>
      <w:r>
        <w:t>Le tableau suivant indique les valeurs des indicateurs relatifs à la violence physique. Il est alors constaté que les onze Régions d’intervention potentielle du Projet (Analamanga, Vakinankaratra, Itasy, Bongolava, Haute Matsiatra, Atsinanana, Analanjirofo, Alaotra Mangoro, Sofia, Anosy, D</w:t>
      </w:r>
      <w:r w:rsidR="006D5F22">
        <w:t>IANA</w:t>
      </w:r>
      <w:r>
        <w:t xml:space="preserve">) se caractérisent par un pourcentage relativement élevé par rapport à la tendance nationale, concernant le pourcentage des femmes ayant subi au moins dans leur vie de la violence physique. C’est surtout dans les Régions Sofia, Analamanga, et Anosy que ce pourcentage se démarque. En effet, ces 3 Régions seulement ont une valeur de ce pourcentage au-dessus de 40%, dont Anosy (43,3%) et Analamanga (43,2%) et Sofia (42,2%). Concernant la fréquence de ces violences, les femmes ayant subi souvent des violences physiques sont plus nombreuses dans la région de Menabe avec 6,3% des cas et 5,3% à Analamanga. </w:t>
      </w:r>
    </w:p>
    <w:p w14:paraId="16D695FC" w14:textId="77777777" w:rsidR="00C21029" w:rsidRPr="009579DB" w:rsidRDefault="00C21029" w:rsidP="009579DB">
      <w:pPr>
        <w:pStyle w:val="Lgende"/>
      </w:pPr>
      <w:bookmarkStart w:id="1969" w:name="_Toc124140858"/>
      <w:bookmarkStart w:id="1970" w:name="_Toc124312956"/>
      <w:bookmarkStart w:id="1971" w:name="_Toc125096832"/>
      <w:bookmarkStart w:id="1972" w:name="_Toc125403020"/>
      <w:bookmarkStart w:id="1973" w:name="_Hlk119478444"/>
      <w:bookmarkStart w:id="1974" w:name="_Toc127957897"/>
      <w:r w:rsidRPr="009579DB">
        <w:t xml:space="preserve">Tableau </w:t>
      </w:r>
      <w:r w:rsidRPr="009579DB">
        <w:fldChar w:fldCharType="begin"/>
      </w:r>
      <w:r w:rsidRPr="009579DB">
        <w:instrText xml:space="preserve"> SEQ Tableau \* ARABIC </w:instrText>
      </w:r>
      <w:r w:rsidRPr="009579DB">
        <w:fldChar w:fldCharType="separate"/>
      </w:r>
      <w:r w:rsidR="005430A1">
        <w:rPr>
          <w:noProof/>
        </w:rPr>
        <w:t>101</w:t>
      </w:r>
      <w:r w:rsidRPr="009579DB">
        <w:fldChar w:fldCharType="end"/>
      </w:r>
      <w:r w:rsidRPr="009579DB">
        <w:t> : Indicateurs liés à la violence physique au niveau des Régions</w:t>
      </w:r>
      <w:bookmarkEnd w:id="1969"/>
      <w:bookmarkEnd w:id="1970"/>
      <w:bookmarkEnd w:id="1971"/>
      <w:bookmarkEnd w:id="1972"/>
      <w:bookmarkEnd w:id="1974"/>
    </w:p>
    <w:tbl>
      <w:tblPr>
        <w:tblW w:w="44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2592"/>
        <w:gridCol w:w="2707"/>
      </w:tblGrid>
      <w:tr w:rsidR="00C21029" w:rsidRPr="009579DB" w14:paraId="1371CD06" w14:textId="77777777" w:rsidTr="009579DB">
        <w:trPr>
          <w:tblHeader/>
          <w:jc w:val="center"/>
        </w:trPr>
        <w:tc>
          <w:tcPr>
            <w:tcW w:w="1745" w:type="pct"/>
            <w:vMerge w:val="restart"/>
            <w:shd w:val="clear" w:color="auto" w:fill="auto"/>
            <w:vAlign w:val="center"/>
          </w:tcPr>
          <w:p w14:paraId="4144B3D2" w14:textId="77777777" w:rsidR="00C21029" w:rsidRPr="009579DB" w:rsidRDefault="00C21029" w:rsidP="007F78CE">
            <w:pPr>
              <w:spacing w:after="0" w:line="240" w:lineRule="auto"/>
              <w:jc w:val="both"/>
              <w:rPr>
                <w:rFonts w:ascii="Arial Narrow" w:hAnsi="Arial Narrow"/>
                <w:bCs/>
              </w:rPr>
            </w:pPr>
            <w:r w:rsidRPr="009579DB">
              <w:rPr>
                <w:rFonts w:ascii="Arial Narrow" w:hAnsi="Arial Narrow"/>
                <w:bCs/>
              </w:rPr>
              <w:t>Régions</w:t>
            </w:r>
          </w:p>
        </w:tc>
        <w:tc>
          <w:tcPr>
            <w:tcW w:w="3255" w:type="pct"/>
            <w:gridSpan w:val="2"/>
            <w:shd w:val="clear" w:color="auto" w:fill="auto"/>
            <w:vAlign w:val="center"/>
          </w:tcPr>
          <w:p w14:paraId="03B35FE0" w14:textId="77777777" w:rsidR="00C21029" w:rsidRPr="009579DB" w:rsidRDefault="00C21029" w:rsidP="007F78CE">
            <w:pPr>
              <w:spacing w:after="0" w:line="240" w:lineRule="auto"/>
              <w:jc w:val="both"/>
              <w:rPr>
                <w:rFonts w:ascii="Arial Narrow" w:hAnsi="Arial Narrow"/>
                <w:bCs/>
              </w:rPr>
            </w:pPr>
            <w:r w:rsidRPr="009579DB">
              <w:rPr>
                <w:rFonts w:ascii="Arial Narrow" w:hAnsi="Arial Narrow"/>
                <w:bCs/>
              </w:rPr>
              <w:t>Violence physique</w:t>
            </w:r>
          </w:p>
        </w:tc>
      </w:tr>
      <w:tr w:rsidR="0063584D" w:rsidRPr="009579DB" w14:paraId="693B3A22" w14:textId="77777777" w:rsidTr="009579DB">
        <w:trPr>
          <w:tblHeader/>
          <w:jc w:val="center"/>
        </w:trPr>
        <w:tc>
          <w:tcPr>
            <w:tcW w:w="1745" w:type="pct"/>
            <w:vMerge/>
            <w:shd w:val="clear" w:color="auto" w:fill="auto"/>
            <w:vAlign w:val="center"/>
          </w:tcPr>
          <w:p w14:paraId="0FD31EF2" w14:textId="77777777" w:rsidR="00C21029" w:rsidRPr="009579DB" w:rsidRDefault="00C21029" w:rsidP="007F78CE">
            <w:pPr>
              <w:spacing w:after="0" w:line="240" w:lineRule="auto"/>
              <w:jc w:val="both"/>
              <w:rPr>
                <w:rFonts w:ascii="Arial Narrow" w:hAnsi="Arial Narrow"/>
                <w:bCs/>
              </w:rPr>
            </w:pPr>
          </w:p>
        </w:tc>
        <w:tc>
          <w:tcPr>
            <w:tcW w:w="1592" w:type="pct"/>
            <w:shd w:val="clear" w:color="auto" w:fill="auto"/>
            <w:vAlign w:val="center"/>
          </w:tcPr>
          <w:p w14:paraId="3156F37F" w14:textId="77777777" w:rsidR="00C21029" w:rsidRPr="009579DB" w:rsidRDefault="00C21029" w:rsidP="007F78CE">
            <w:pPr>
              <w:spacing w:after="0" w:line="240" w:lineRule="auto"/>
              <w:jc w:val="both"/>
              <w:rPr>
                <w:rFonts w:ascii="Arial Narrow" w:hAnsi="Arial Narrow"/>
                <w:bCs/>
              </w:rPr>
            </w:pPr>
            <w:r w:rsidRPr="009579DB">
              <w:rPr>
                <w:rFonts w:ascii="Arial Narrow" w:hAnsi="Arial Narrow"/>
                <w:bCs/>
              </w:rPr>
              <w:t>Pourcentage de femmes ayant subi de violences physiques depuis l‘âge de 15 ans</w:t>
            </w:r>
          </w:p>
        </w:tc>
        <w:tc>
          <w:tcPr>
            <w:tcW w:w="1663" w:type="pct"/>
            <w:shd w:val="clear" w:color="auto" w:fill="auto"/>
            <w:vAlign w:val="center"/>
          </w:tcPr>
          <w:p w14:paraId="6FC810D9" w14:textId="77777777" w:rsidR="00C21029" w:rsidRPr="009579DB" w:rsidRDefault="00C21029" w:rsidP="007F78CE">
            <w:pPr>
              <w:spacing w:after="0" w:line="240" w:lineRule="auto"/>
              <w:jc w:val="both"/>
              <w:rPr>
                <w:rFonts w:ascii="Arial Narrow" w:hAnsi="Arial Narrow"/>
                <w:bCs/>
              </w:rPr>
            </w:pPr>
            <w:r w:rsidRPr="009579DB">
              <w:rPr>
                <w:rFonts w:ascii="Arial Narrow" w:hAnsi="Arial Narrow"/>
                <w:bCs/>
              </w:rPr>
              <w:t>Pourcentage de femmes ayant subi souvent de violences physiques au cours des 12 mois précédant l’enquête</w:t>
            </w:r>
          </w:p>
        </w:tc>
      </w:tr>
      <w:tr w:rsidR="0063584D" w:rsidRPr="007F78CE" w14:paraId="1B0D5494" w14:textId="77777777" w:rsidTr="007F78CE">
        <w:trPr>
          <w:jc w:val="center"/>
        </w:trPr>
        <w:tc>
          <w:tcPr>
            <w:tcW w:w="1745" w:type="pct"/>
            <w:tcBorders>
              <w:right w:val="single" w:sz="4" w:space="0" w:color="auto"/>
            </w:tcBorders>
            <w:shd w:val="clear" w:color="auto" w:fill="auto"/>
          </w:tcPr>
          <w:p w14:paraId="20321A5F"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Analamanga</w:t>
            </w:r>
          </w:p>
        </w:tc>
        <w:tc>
          <w:tcPr>
            <w:tcW w:w="1592" w:type="pct"/>
            <w:tcBorders>
              <w:top w:val="single" w:sz="4" w:space="0" w:color="auto"/>
              <w:left w:val="single" w:sz="4" w:space="0" w:color="auto"/>
              <w:bottom w:val="single" w:sz="4" w:space="0" w:color="auto"/>
              <w:right w:val="single" w:sz="4" w:space="0" w:color="auto"/>
            </w:tcBorders>
            <w:shd w:val="clear" w:color="auto" w:fill="auto"/>
            <w:vAlign w:val="center"/>
          </w:tcPr>
          <w:p w14:paraId="3D2A7731"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43,2%</w:t>
            </w:r>
          </w:p>
        </w:tc>
        <w:tc>
          <w:tcPr>
            <w:tcW w:w="1663" w:type="pct"/>
            <w:tcBorders>
              <w:top w:val="single" w:sz="4" w:space="0" w:color="auto"/>
              <w:left w:val="single" w:sz="4" w:space="0" w:color="auto"/>
              <w:bottom w:val="single" w:sz="4" w:space="0" w:color="auto"/>
            </w:tcBorders>
            <w:shd w:val="clear" w:color="auto" w:fill="auto"/>
            <w:vAlign w:val="center"/>
          </w:tcPr>
          <w:p w14:paraId="212B73FC"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5,6%</w:t>
            </w:r>
          </w:p>
        </w:tc>
      </w:tr>
      <w:tr w:rsidR="0063584D" w:rsidRPr="007F78CE" w14:paraId="28F595AA" w14:textId="77777777" w:rsidTr="007F78CE">
        <w:trPr>
          <w:jc w:val="center"/>
        </w:trPr>
        <w:tc>
          <w:tcPr>
            <w:tcW w:w="1745" w:type="pct"/>
            <w:tcBorders>
              <w:right w:val="single" w:sz="4" w:space="0" w:color="auto"/>
            </w:tcBorders>
            <w:shd w:val="clear" w:color="auto" w:fill="auto"/>
          </w:tcPr>
          <w:p w14:paraId="697276EC"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Vakinankaratra</w:t>
            </w:r>
          </w:p>
        </w:tc>
        <w:tc>
          <w:tcPr>
            <w:tcW w:w="1592" w:type="pct"/>
            <w:tcBorders>
              <w:top w:val="single" w:sz="4" w:space="0" w:color="auto"/>
              <w:left w:val="single" w:sz="4" w:space="0" w:color="auto"/>
              <w:bottom w:val="single" w:sz="4" w:space="0" w:color="auto"/>
              <w:right w:val="single" w:sz="4" w:space="0" w:color="auto"/>
            </w:tcBorders>
            <w:shd w:val="clear" w:color="auto" w:fill="auto"/>
            <w:vAlign w:val="center"/>
          </w:tcPr>
          <w:p w14:paraId="67492EAC"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37,8%</w:t>
            </w:r>
          </w:p>
        </w:tc>
        <w:tc>
          <w:tcPr>
            <w:tcW w:w="1663" w:type="pct"/>
            <w:tcBorders>
              <w:top w:val="single" w:sz="4" w:space="0" w:color="auto"/>
              <w:left w:val="single" w:sz="4" w:space="0" w:color="auto"/>
              <w:bottom w:val="single" w:sz="4" w:space="0" w:color="auto"/>
            </w:tcBorders>
            <w:shd w:val="clear" w:color="auto" w:fill="auto"/>
            <w:vAlign w:val="center"/>
          </w:tcPr>
          <w:p w14:paraId="7D906EBF"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3,7%</w:t>
            </w:r>
          </w:p>
        </w:tc>
      </w:tr>
      <w:tr w:rsidR="0063584D" w:rsidRPr="007F78CE" w14:paraId="0D09C717" w14:textId="77777777" w:rsidTr="007F78CE">
        <w:trPr>
          <w:jc w:val="center"/>
        </w:trPr>
        <w:tc>
          <w:tcPr>
            <w:tcW w:w="1745" w:type="pct"/>
            <w:tcBorders>
              <w:right w:val="single" w:sz="4" w:space="0" w:color="auto"/>
            </w:tcBorders>
            <w:shd w:val="clear" w:color="auto" w:fill="auto"/>
          </w:tcPr>
          <w:p w14:paraId="707B7365"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Itasy</w:t>
            </w:r>
          </w:p>
        </w:tc>
        <w:tc>
          <w:tcPr>
            <w:tcW w:w="1592" w:type="pct"/>
            <w:tcBorders>
              <w:top w:val="single" w:sz="4" w:space="0" w:color="auto"/>
              <w:left w:val="single" w:sz="4" w:space="0" w:color="auto"/>
              <w:bottom w:val="single" w:sz="4" w:space="0" w:color="auto"/>
              <w:right w:val="single" w:sz="4" w:space="0" w:color="auto"/>
            </w:tcBorders>
            <w:shd w:val="clear" w:color="auto" w:fill="auto"/>
            <w:vAlign w:val="center"/>
          </w:tcPr>
          <w:p w14:paraId="4B06E553"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36,3%</w:t>
            </w:r>
          </w:p>
        </w:tc>
        <w:tc>
          <w:tcPr>
            <w:tcW w:w="1663" w:type="pct"/>
            <w:tcBorders>
              <w:top w:val="single" w:sz="4" w:space="0" w:color="auto"/>
              <w:left w:val="single" w:sz="4" w:space="0" w:color="auto"/>
              <w:bottom w:val="single" w:sz="4" w:space="0" w:color="auto"/>
            </w:tcBorders>
            <w:shd w:val="clear" w:color="auto" w:fill="auto"/>
            <w:vAlign w:val="center"/>
          </w:tcPr>
          <w:p w14:paraId="62986FE6"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3,7%</w:t>
            </w:r>
          </w:p>
        </w:tc>
      </w:tr>
      <w:tr w:rsidR="0063584D" w:rsidRPr="007F78CE" w14:paraId="5A5DAC00" w14:textId="77777777" w:rsidTr="007F78CE">
        <w:trPr>
          <w:jc w:val="center"/>
        </w:trPr>
        <w:tc>
          <w:tcPr>
            <w:tcW w:w="1745" w:type="pct"/>
            <w:tcBorders>
              <w:right w:val="single" w:sz="4" w:space="0" w:color="auto"/>
            </w:tcBorders>
            <w:shd w:val="clear" w:color="auto" w:fill="auto"/>
          </w:tcPr>
          <w:p w14:paraId="4B276C7C"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Bongolava</w:t>
            </w:r>
          </w:p>
        </w:tc>
        <w:tc>
          <w:tcPr>
            <w:tcW w:w="1592" w:type="pct"/>
            <w:tcBorders>
              <w:top w:val="single" w:sz="4" w:space="0" w:color="auto"/>
              <w:left w:val="single" w:sz="4" w:space="0" w:color="auto"/>
              <w:bottom w:val="single" w:sz="4" w:space="0" w:color="auto"/>
              <w:right w:val="single" w:sz="4" w:space="0" w:color="auto"/>
            </w:tcBorders>
            <w:shd w:val="clear" w:color="auto" w:fill="auto"/>
            <w:vAlign w:val="center"/>
          </w:tcPr>
          <w:p w14:paraId="4279B48D"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36,4%</w:t>
            </w:r>
          </w:p>
        </w:tc>
        <w:tc>
          <w:tcPr>
            <w:tcW w:w="1663" w:type="pct"/>
            <w:tcBorders>
              <w:top w:val="single" w:sz="4" w:space="0" w:color="auto"/>
              <w:left w:val="single" w:sz="4" w:space="0" w:color="auto"/>
              <w:bottom w:val="single" w:sz="4" w:space="0" w:color="auto"/>
            </w:tcBorders>
            <w:shd w:val="clear" w:color="auto" w:fill="auto"/>
            <w:vAlign w:val="center"/>
          </w:tcPr>
          <w:p w14:paraId="52106774"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3,5%</w:t>
            </w:r>
          </w:p>
        </w:tc>
      </w:tr>
      <w:tr w:rsidR="0063584D" w:rsidRPr="007F78CE" w14:paraId="35F0FC57" w14:textId="77777777" w:rsidTr="007F78CE">
        <w:trPr>
          <w:jc w:val="center"/>
        </w:trPr>
        <w:tc>
          <w:tcPr>
            <w:tcW w:w="1745" w:type="pct"/>
            <w:tcBorders>
              <w:right w:val="single" w:sz="4" w:space="0" w:color="auto"/>
            </w:tcBorders>
            <w:shd w:val="clear" w:color="auto" w:fill="auto"/>
          </w:tcPr>
          <w:p w14:paraId="569C5431"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Haute Matsiatra</w:t>
            </w:r>
          </w:p>
        </w:tc>
        <w:tc>
          <w:tcPr>
            <w:tcW w:w="1592" w:type="pct"/>
            <w:tcBorders>
              <w:top w:val="single" w:sz="4" w:space="0" w:color="auto"/>
              <w:left w:val="single" w:sz="4" w:space="0" w:color="auto"/>
              <w:bottom w:val="single" w:sz="4" w:space="0" w:color="auto"/>
              <w:right w:val="single" w:sz="4" w:space="0" w:color="auto"/>
            </w:tcBorders>
            <w:shd w:val="clear" w:color="auto" w:fill="auto"/>
            <w:vAlign w:val="center"/>
          </w:tcPr>
          <w:p w14:paraId="4656AD9F"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34,5%</w:t>
            </w:r>
          </w:p>
        </w:tc>
        <w:tc>
          <w:tcPr>
            <w:tcW w:w="1663" w:type="pct"/>
            <w:tcBorders>
              <w:top w:val="single" w:sz="4" w:space="0" w:color="auto"/>
              <w:left w:val="single" w:sz="4" w:space="0" w:color="auto"/>
              <w:bottom w:val="single" w:sz="4" w:space="0" w:color="auto"/>
            </w:tcBorders>
            <w:shd w:val="clear" w:color="auto" w:fill="auto"/>
            <w:vAlign w:val="center"/>
          </w:tcPr>
          <w:p w14:paraId="064F9417"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5,3%</w:t>
            </w:r>
          </w:p>
        </w:tc>
      </w:tr>
      <w:tr w:rsidR="0063584D" w:rsidRPr="007F78CE" w14:paraId="1A67B4BD" w14:textId="77777777" w:rsidTr="007F78CE">
        <w:trPr>
          <w:jc w:val="center"/>
        </w:trPr>
        <w:tc>
          <w:tcPr>
            <w:tcW w:w="1745" w:type="pct"/>
            <w:tcBorders>
              <w:right w:val="single" w:sz="4" w:space="0" w:color="auto"/>
            </w:tcBorders>
            <w:shd w:val="clear" w:color="auto" w:fill="auto"/>
          </w:tcPr>
          <w:p w14:paraId="790D621B"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Amoron’i Mania</w:t>
            </w:r>
          </w:p>
        </w:tc>
        <w:tc>
          <w:tcPr>
            <w:tcW w:w="1592" w:type="pct"/>
            <w:tcBorders>
              <w:top w:val="single" w:sz="4" w:space="0" w:color="auto"/>
              <w:left w:val="single" w:sz="4" w:space="0" w:color="auto"/>
              <w:bottom w:val="single" w:sz="4" w:space="0" w:color="auto"/>
              <w:right w:val="single" w:sz="4" w:space="0" w:color="auto"/>
            </w:tcBorders>
            <w:shd w:val="clear" w:color="auto" w:fill="auto"/>
            <w:vAlign w:val="center"/>
          </w:tcPr>
          <w:p w14:paraId="1179911C"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25,9%</w:t>
            </w:r>
          </w:p>
        </w:tc>
        <w:tc>
          <w:tcPr>
            <w:tcW w:w="1663" w:type="pct"/>
            <w:tcBorders>
              <w:top w:val="single" w:sz="4" w:space="0" w:color="auto"/>
              <w:left w:val="single" w:sz="4" w:space="0" w:color="auto"/>
              <w:bottom w:val="single" w:sz="4" w:space="0" w:color="auto"/>
            </w:tcBorders>
            <w:shd w:val="clear" w:color="auto" w:fill="auto"/>
            <w:vAlign w:val="center"/>
          </w:tcPr>
          <w:p w14:paraId="7FC096D7"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3,5%</w:t>
            </w:r>
          </w:p>
        </w:tc>
      </w:tr>
      <w:tr w:rsidR="0063584D" w:rsidRPr="007F78CE" w14:paraId="3E20E3DA" w14:textId="77777777" w:rsidTr="007F78CE">
        <w:trPr>
          <w:jc w:val="center"/>
        </w:trPr>
        <w:tc>
          <w:tcPr>
            <w:tcW w:w="1745" w:type="pct"/>
            <w:tcBorders>
              <w:right w:val="single" w:sz="4" w:space="0" w:color="auto"/>
            </w:tcBorders>
            <w:shd w:val="clear" w:color="auto" w:fill="auto"/>
          </w:tcPr>
          <w:p w14:paraId="178D693D"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Vatovavy Fitovinany</w:t>
            </w:r>
          </w:p>
        </w:tc>
        <w:tc>
          <w:tcPr>
            <w:tcW w:w="1592" w:type="pct"/>
            <w:tcBorders>
              <w:top w:val="single" w:sz="4" w:space="0" w:color="auto"/>
              <w:left w:val="single" w:sz="4" w:space="0" w:color="auto"/>
              <w:bottom w:val="single" w:sz="4" w:space="0" w:color="auto"/>
              <w:right w:val="single" w:sz="4" w:space="0" w:color="auto"/>
            </w:tcBorders>
            <w:shd w:val="clear" w:color="auto" w:fill="auto"/>
            <w:vAlign w:val="center"/>
          </w:tcPr>
          <w:p w14:paraId="270B13F1"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18,1%</w:t>
            </w:r>
          </w:p>
        </w:tc>
        <w:tc>
          <w:tcPr>
            <w:tcW w:w="1663" w:type="pct"/>
            <w:tcBorders>
              <w:top w:val="single" w:sz="4" w:space="0" w:color="auto"/>
              <w:left w:val="single" w:sz="4" w:space="0" w:color="auto"/>
              <w:bottom w:val="single" w:sz="4" w:space="0" w:color="auto"/>
            </w:tcBorders>
            <w:shd w:val="clear" w:color="auto" w:fill="auto"/>
            <w:vAlign w:val="center"/>
          </w:tcPr>
          <w:p w14:paraId="6F08C2AA"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1,3%</w:t>
            </w:r>
          </w:p>
        </w:tc>
      </w:tr>
      <w:tr w:rsidR="0063584D" w:rsidRPr="007F78CE" w14:paraId="140E9434" w14:textId="77777777" w:rsidTr="007F78CE">
        <w:trPr>
          <w:jc w:val="center"/>
        </w:trPr>
        <w:tc>
          <w:tcPr>
            <w:tcW w:w="1745" w:type="pct"/>
            <w:tcBorders>
              <w:right w:val="single" w:sz="4" w:space="0" w:color="auto"/>
            </w:tcBorders>
            <w:shd w:val="clear" w:color="auto" w:fill="auto"/>
          </w:tcPr>
          <w:p w14:paraId="0ED1F1D9"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Ihorombe</w:t>
            </w:r>
          </w:p>
        </w:tc>
        <w:tc>
          <w:tcPr>
            <w:tcW w:w="1592" w:type="pct"/>
            <w:tcBorders>
              <w:top w:val="single" w:sz="4" w:space="0" w:color="auto"/>
              <w:left w:val="single" w:sz="4" w:space="0" w:color="auto"/>
              <w:bottom w:val="single" w:sz="4" w:space="0" w:color="auto"/>
              <w:right w:val="single" w:sz="4" w:space="0" w:color="auto"/>
            </w:tcBorders>
            <w:shd w:val="clear" w:color="auto" w:fill="auto"/>
            <w:vAlign w:val="center"/>
          </w:tcPr>
          <w:p w14:paraId="2737C888"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22,2%</w:t>
            </w:r>
          </w:p>
        </w:tc>
        <w:tc>
          <w:tcPr>
            <w:tcW w:w="1663" w:type="pct"/>
            <w:tcBorders>
              <w:top w:val="single" w:sz="4" w:space="0" w:color="auto"/>
              <w:left w:val="single" w:sz="4" w:space="0" w:color="auto"/>
              <w:bottom w:val="single" w:sz="4" w:space="0" w:color="auto"/>
            </w:tcBorders>
            <w:shd w:val="clear" w:color="auto" w:fill="auto"/>
            <w:vAlign w:val="center"/>
          </w:tcPr>
          <w:p w14:paraId="2214D3D0"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2,1%</w:t>
            </w:r>
          </w:p>
        </w:tc>
      </w:tr>
      <w:tr w:rsidR="0063584D" w:rsidRPr="007F78CE" w14:paraId="731CC3AD" w14:textId="77777777" w:rsidTr="007F78CE">
        <w:trPr>
          <w:jc w:val="center"/>
        </w:trPr>
        <w:tc>
          <w:tcPr>
            <w:tcW w:w="1745" w:type="pct"/>
            <w:tcBorders>
              <w:right w:val="single" w:sz="4" w:space="0" w:color="auto"/>
            </w:tcBorders>
            <w:shd w:val="clear" w:color="auto" w:fill="auto"/>
          </w:tcPr>
          <w:p w14:paraId="0E5846DE"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 xml:space="preserve">Atsimo Atsinanana </w:t>
            </w:r>
          </w:p>
        </w:tc>
        <w:tc>
          <w:tcPr>
            <w:tcW w:w="1592" w:type="pct"/>
            <w:tcBorders>
              <w:top w:val="single" w:sz="4" w:space="0" w:color="auto"/>
              <w:left w:val="single" w:sz="4" w:space="0" w:color="auto"/>
              <w:bottom w:val="single" w:sz="4" w:space="0" w:color="auto"/>
              <w:right w:val="single" w:sz="4" w:space="0" w:color="auto"/>
            </w:tcBorders>
            <w:shd w:val="clear" w:color="auto" w:fill="auto"/>
            <w:vAlign w:val="center"/>
          </w:tcPr>
          <w:p w14:paraId="6BA35A0F"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13,6%</w:t>
            </w:r>
          </w:p>
        </w:tc>
        <w:tc>
          <w:tcPr>
            <w:tcW w:w="1663" w:type="pct"/>
            <w:tcBorders>
              <w:top w:val="single" w:sz="4" w:space="0" w:color="auto"/>
              <w:left w:val="single" w:sz="4" w:space="0" w:color="auto"/>
              <w:bottom w:val="single" w:sz="4" w:space="0" w:color="auto"/>
            </w:tcBorders>
            <w:shd w:val="clear" w:color="auto" w:fill="auto"/>
            <w:vAlign w:val="center"/>
          </w:tcPr>
          <w:p w14:paraId="74C2E01E"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0,0%</w:t>
            </w:r>
          </w:p>
        </w:tc>
      </w:tr>
      <w:tr w:rsidR="0063584D" w:rsidRPr="007F78CE" w14:paraId="1088B9F8" w14:textId="77777777" w:rsidTr="007F78CE">
        <w:trPr>
          <w:jc w:val="center"/>
        </w:trPr>
        <w:tc>
          <w:tcPr>
            <w:tcW w:w="1745" w:type="pct"/>
            <w:tcBorders>
              <w:right w:val="single" w:sz="4" w:space="0" w:color="auto"/>
            </w:tcBorders>
            <w:shd w:val="clear" w:color="auto" w:fill="auto"/>
          </w:tcPr>
          <w:p w14:paraId="318BA987"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Atsinanana</w:t>
            </w:r>
          </w:p>
        </w:tc>
        <w:tc>
          <w:tcPr>
            <w:tcW w:w="1592" w:type="pct"/>
            <w:tcBorders>
              <w:top w:val="single" w:sz="4" w:space="0" w:color="auto"/>
              <w:left w:val="single" w:sz="4" w:space="0" w:color="auto"/>
              <w:bottom w:val="single" w:sz="4" w:space="0" w:color="auto"/>
              <w:right w:val="single" w:sz="4" w:space="0" w:color="auto"/>
            </w:tcBorders>
            <w:shd w:val="clear" w:color="auto" w:fill="auto"/>
            <w:vAlign w:val="center"/>
          </w:tcPr>
          <w:p w14:paraId="55F36640"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35,8%</w:t>
            </w:r>
          </w:p>
        </w:tc>
        <w:tc>
          <w:tcPr>
            <w:tcW w:w="1663" w:type="pct"/>
            <w:tcBorders>
              <w:top w:val="single" w:sz="4" w:space="0" w:color="auto"/>
              <w:left w:val="single" w:sz="4" w:space="0" w:color="auto"/>
              <w:bottom w:val="single" w:sz="4" w:space="0" w:color="auto"/>
            </w:tcBorders>
            <w:shd w:val="clear" w:color="auto" w:fill="auto"/>
            <w:vAlign w:val="center"/>
          </w:tcPr>
          <w:p w14:paraId="75A686A7"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3,7%</w:t>
            </w:r>
          </w:p>
        </w:tc>
      </w:tr>
      <w:tr w:rsidR="0063584D" w:rsidRPr="007F78CE" w14:paraId="5A1B370D" w14:textId="77777777" w:rsidTr="007F78CE">
        <w:trPr>
          <w:jc w:val="center"/>
        </w:trPr>
        <w:tc>
          <w:tcPr>
            <w:tcW w:w="1745" w:type="pct"/>
            <w:tcBorders>
              <w:right w:val="single" w:sz="4" w:space="0" w:color="auto"/>
            </w:tcBorders>
            <w:shd w:val="clear" w:color="auto" w:fill="auto"/>
          </w:tcPr>
          <w:p w14:paraId="685317F6"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Analanjirofo</w:t>
            </w:r>
          </w:p>
        </w:tc>
        <w:tc>
          <w:tcPr>
            <w:tcW w:w="1592" w:type="pct"/>
            <w:tcBorders>
              <w:top w:val="single" w:sz="4" w:space="0" w:color="auto"/>
              <w:left w:val="single" w:sz="4" w:space="0" w:color="auto"/>
              <w:bottom w:val="single" w:sz="4" w:space="0" w:color="auto"/>
              <w:right w:val="single" w:sz="4" w:space="0" w:color="auto"/>
            </w:tcBorders>
            <w:shd w:val="clear" w:color="auto" w:fill="auto"/>
            <w:vAlign w:val="center"/>
          </w:tcPr>
          <w:p w14:paraId="56CB3366"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34,9%</w:t>
            </w:r>
          </w:p>
        </w:tc>
        <w:tc>
          <w:tcPr>
            <w:tcW w:w="1663" w:type="pct"/>
            <w:tcBorders>
              <w:top w:val="single" w:sz="4" w:space="0" w:color="auto"/>
              <w:left w:val="single" w:sz="4" w:space="0" w:color="auto"/>
              <w:bottom w:val="single" w:sz="4" w:space="0" w:color="auto"/>
            </w:tcBorders>
            <w:shd w:val="clear" w:color="auto" w:fill="auto"/>
            <w:vAlign w:val="center"/>
          </w:tcPr>
          <w:p w14:paraId="4C7FB3A2"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1,6%</w:t>
            </w:r>
          </w:p>
        </w:tc>
      </w:tr>
      <w:tr w:rsidR="0063584D" w:rsidRPr="007F78CE" w14:paraId="52E463D9" w14:textId="77777777" w:rsidTr="007F78CE">
        <w:trPr>
          <w:jc w:val="center"/>
        </w:trPr>
        <w:tc>
          <w:tcPr>
            <w:tcW w:w="1745" w:type="pct"/>
            <w:tcBorders>
              <w:right w:val="single" w:sz="4" w:space="0" w:color="auto"/>
            </w:tcBorders>
            <w:shd w:val="clear" w:color="auto" w:fill="auto"/>
          </w:tcPr>
          <w:p w14:paraId="611BC876"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Alaotra Mangoro</w:t>
            </w:r>
          </w:p>
        </w:tc>
        <w:tc>
          <w:tcPr>
            <w:tcW w:w="1592" w:type="pct"/>
            <w:tcBorders>
              <w:top w:val="single" w:sz="4" w:space="0" w:color="auto"/>
              <w:left w:val="single" w:sz="4" w:space="0" w:color="auto"/>
              <w:bottom w:val="single" w:sz="4" w:space="0" w:color="auto"/>
              <w:right w:val="single" w:sz="4" w:space="0" w:color="auto"/>
            </w:tcBorders>
            <w:shd w:val="clear" w:color="auto" w:fill="auto"/>
            <w:vAlign w:val="center"/>
          </w:tcPr>
          <w:p w14:paraId="01E62F70"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37,6%</w:t>
            </w:r>
          </w:p>
        </w:tc>
        <w:tc>
          <w:tcPr>
            <w:tcW w:w="1663" w:type="pct"/>
            <w:tcBorders>
              <w:top w:val="single" w:sz="4" w:space="0" w:color="auto"/>
              <w:left w:val="single" w:sz="4" w:space="0" w:color="auto"/>
              <w:bottom w:val="single" w:sz="4" w:space="0" w:color="auto"/>
            </w:tcBorders>
            <w:shd w:val="clear" w:color="auto" w:fill="auto"/>
            <w:vAlign w:val="center"/>
          </w:tcPr>
          <w:p w14:paraId="76B6839F"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2,4%</w:t>
            </w:r>
          </w:p>
        </w:tc>
      </w:tr>
      <w:tr w:rsidR="0063584D" w:rsidRPr="007F78CE" w14:paraId="385995C0" w14:textId="77777777" w:rsidTr="007F78CE">
        <w:trPr>
          <w:jc w:val="center"/>
        </w:trPr>
        <w:tc>
          <w:tcPr>
            <w:tcW w:w="1745" w:type="pct"/>
            <w:tcBorders>
              <w:right w:val="single" w:sz="4" w:space="0" w:color="auto"/>
            </w:tcBorders>
            <w:shd w:val="clear" w:color="auto" w:fill="auto"/>
          </w:tcPr>
          <w:p w14:paraId="1ED75AC5"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Boeny</w:t>
            </w:r>
          </w:p>
        </w:tc>
        <w:tc>
          <w:tcPr>
            <w:tcW w:w="1592" w:type="pct"/>
            <w:tcBorders>
              <w:top w:val="single" w:sz="4" w:space="0" w:color="auto"/>
              <w:left w:val="single" w:sz="4" w:space="0" w:color="auto"/>
              <w:bottom w:val="single" w:sz="4" w:space="0" w:color="auto"/>
              <w:right w:val="single" w:sz="4" w:space="0" w:color="auto"/>
            </w:tcBorders>
            <w:shd w:val="clear" w:color="auto" w:fill="auto"/>
            <w:vAlign w:val="center"/>
          </w:tcPr>
          <w:p w14:paraId="46C1F05D"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28,6%</w:t>
            </w:r>
          </w:p>
        </w:tc>
        <w:tc>
          <w:tcPr>
            <w:tcW w:w="1663" w:type="pct"/>
            <w:tcBorders>
              <w:top w:val="single" w:sz="4" w:space="0" w:color="auto"/>
              <w:left w:val="single" w:sz="4" w:space="0" w:color="auto"/>
              <w:bottom w:val="single" w:sz="4" w:space="0" w:color="auto"/>
            </w:tcBorders>
            <w:shd w:val="clear" w:color="auto" w:fill="auto"/>
            <w:vAlign w:val="center"/>
          </w:tcPr>
          <w:p w14:paraId="192EED7D"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4,6%</w:t>
            </w:r>
          </w:p>
        </w:tc>
      </w:tr>
      <w:tr w:rsidR="0063584D" w:rsidRPr="007F78CE" w14:paraId="2734374A" w14:textId="77777777" w:rsidTr="007F78CE">
        <w:trPr>
          <w:jc w:val="center"/>
        </w:trPr>
        <w:tc>
          <w:tcPr>
            <w:tcW w:w="1745" w:type="pct"/>
            <w:tcBorders>
              <w:right w:val="single" w:sz="4" w:space="0" w:color="auto"/>
            </w:tcBorders>
            <w:shd w:val="clear" w:color="auto" w:fill="auto"/>
          </w:tcPr>
          <w:p w14:paraId="5FD2A936"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Sofia</w:t>
            </w:r>
          </w:p>
        </w:tc>
        <w:tc>
          <w:tcPr>
            <w:tcW w:w="1592" w:type="pct"/>
            <w:tcBorders>
              <w:top w:val="single" w:sz="4" w:space="0" w:color="auto"/>
              <w:left w:val="single" w:sz="4" w:space="0" w:color="auto"/>
              <w:bottom w:val="single" w:sz="4" w:space="0" w:color="auto"/>
              <w:right w:val="single" w:sz="4" w:space="0" w:color="auto"/>
            </w:tcBorders>
            <w:shd w:val="clear" w:color="auto" w:fill="auto"/>
            <w:vAlign w:val="center"/>
          </w:tcPr>
          <w:p w14:paraId="2FB25AE1"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42,2%</w:t>
            </w:r>
          </w:p>
        </w:tc>
        <w:tc>
          <w:tcPr>
            <w:tcW w:w="1663" w:type="pct"/>
            <w:tcBorders>
              <w:top w:val="single" w:sz="4" w:space="0" w:color="auto"/>
              <w:left w:val="single" w:sz="4" w:space="0" w:color="auto"/>
              <w:bottom w:val="single" w:sz="4" w:space="0" w:color="auto"/>
            </w:tcBorders>
            <w:shd w:val="clear" w:color="auto" w:fill="auto"/>
            <w:vAlign w:val="center"/>
          </w:tcPr>
          <w:p w14:paraId="6855308B"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2,6%</w:t>
            </w:r>
          </w:p>
        </w:tc>
      </w:tr>
      <w:tr w:rsidR="0063584D" w:rsidRPr="007F78CE" w14:paraId="3F0DD2C9" w14:textId="77777777" w:rsidTr="007F78CE">
        <w:trPr>
          <w:jc w:val="center"/>
        </w:trPr>
        <w:tc>
          <w:tcPr>
            <w:tcW w:w="1745" w:type="pct"/>
            <w:tcBorders>
              <w:right w:val="single" w:sz="4" w:space="0" w:color="auto"/>
            </w:tcBorders>
            <w:shd w:val="clear" w:color="auto" w:fill="auto"/>
          </w:tcPr>
          <w:p w14:paraId="1939CFDA"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Betsiboka</w:t>
            </w:r>
          </w:p>
        </w:tc>
        <w:tc>
          <w:tcPr>
            <w:tcW w:w="1592" w:type="pct"/>
            <w:tcBorders>
              <w:top w:val="single" w:sz="4" w:space="0" w:color="auto"/>
              <w:left w:val="single" w:sz="4" w:space="0" w:color="auto"/>
              <w:bottom w:val="single" w:sz="4" w:space="0" w:color="auto"/>
              <w:right w:val="single" w:sz="4" w:space="0" w:color="auto"/>
            </w:tcBorders>
            <w:shd w:val="clear" w:color="auto" w:fill="auto"/>
            <w:vAlign w:val="center"/>
          </w:tcPr>
          <w:p w14:paraId="59E799FD"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25,3%</w:t>
            </w:r>
          </w:p>
        </w:tc>
        <w:tc>
          <w:tcPr>
            <w:tcW w:w="1663" w:type="pct"/>
            <w:tcBorders>
              <w:top w:val="single" w:sz="4" w:space="0" w:color="auto"/>
              <w:left w:val="single" w:sz="4" w:space="0" w:color="auto"/>
              <w:bottom w:val="single" w:sz="4" w:space="0" w:color="auto"/>
            </w:tcBorders>
            <w:shd w:val="clear" w:color="auto" w:fill="auto"/>
            <w:vAlign w:val="center"/>
          </w:tcPr>
          <w:p w14:paraId="250B56CE"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4,4 %</w:t>
            </w:r>
          </w:p>
        </w:tc>
      </w:tr>
      <w:tr w:rsidR="0063584D" w:rsidRPr="007F78CE" w14:paraId="36275330" w14:textId="77777777" w:rsidTr="007F78CE">
        <w:trPr>
          <w:jc w:val="center"/>
        </w:trPr>
        <w:tc>
          <w:tcPr>
            <w:tcW w:w="1745" w:type="pct"/>
            <w:tcBorders>
              <w:right w:val="single" w:sz="4" w:space="0" w:color="auto"/>
            </w:tcBorders>
            <w:shd w:val="clear" w:color="auto" w:fill="auto"/>
          </w:tcPr>
          <w:p w14:paraId="105C3A78"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Melaky</w:t>
            </w:r>
          </w:p>
        </w:tc>
        <w:tc>
          <w:tcPr>
            <w:tcW w:w="1592" w:type="pct"/>
            <w:tcBorders>
              <w:top w:val="single" w:sz="4" w:space="0" w:color="auto"/>
              <w:left w:val="single" w:sz="4" w:space="0" w:color="auto"/>
              <w:bottom w:val="single" w:sz="4" w:space="0" w:color="auto"/>
              <w:right w:val="single" w:sz="4" w:space="0" w:color="auto"/>
            </w:tcBorders>
            <w:shd w:val="clear" w:color="auto" w:fill="auto"/>
            <w:vAlign w:val="center"/>
          </w:tcPr>
          <w:p w14:paraId="3D3BD214"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15,7%</w:t>
            </w:r>
          </w:p>
        </w:tc>
        <w:tc>
          <w:tcPr>
            <w:tcW w:w="1663" w:type="pct"/>
            <w:tcBorders>
              <w:top w:val="single" w:sz="4" w:space="0" w:color="auto"/>
              <w:left w:val="single" w:sz="4" w:space="0" w:color="auto"/>
              <w:bottom w:val="single" w:sz="4" w:space="0" w:color="auto"/>
            </w:tcBorders>
            <w:shd w:val="clear" w:color="auto" w:fill="auto"/>
            <w:vAlign w:val="center"/>
          </w:tcPr>
          <w:p w14:paraId="3AF723DB"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1,4%</w:t>
            </w:r>
          </w:p>
        </w:tc>
      </w:tr>
      <w:tr w:rsidR="0063584D" w:rsidRPr="007F78CE" w14:paraId="7D47E610" w14:textId="77777777" w:rsidTr="007F78CE">
        <w:trPr>
          <w:jc w:val="center"/>
        </w:trPr>
        <w:tc>
          <w:tcPr>
            <w:tcW w:w="1745" w:type="pct"/>
            <w:tcBorders>
              <w:right w:val="single" w:sz="4" w:space="0" w:color="auto"/>
            </w:tcBorders>
            <w:shd w:val="clear" w:color="auto" w:fill="auto"/>
          </w:tcPr>
          <w:p w14:paraId="1DAF2EFB"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Atsimo Andrefana</w:t>
            </w:r>
          </w:p>
        </w:tc>
        <w:tc>
          <w:tcPr>
            <w:tcW w:w="1592" w:type="pct"/>
            <w:tcBorders>
              <w:top w:val="single" w:sz="4" w:space="0" w:color="auto"/>
              <w:left w:val="single" w:sz="4" w:space="0" w:color="auto"/>
              <w:bottom w:val="single" w:sz="4" w:space="0" w:color="auto"/>
              <w:right w:val="single" w:sz="4" w:space="0" w:color="auto"/>
            </w:tcBorders>
            <w:shd w:val="clear" w:color="auto" w:fill="auto"/>
            <w:vAlign w:val="center"/>
          </w:tcPr>
          <w:p w14:paraId="64AA2527"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14,1%</w:t>
            </w:r>
          </w:p>
        </w:tc>
        <w:tc>
          <w:tcPr>
            <w:tcW w:w="1663" w:type="pct"/>
            <w:tcBorders>
              <w:top w:val="single" w:sz="4" w:space="0" w:color="auto"/>
              <w:left w:val="single" w:sz="4" w:space="0" w:color="auto"/>
              <w:bottom w:val="single" w:sz="4" w:space="0" w:color="auto"/>
            </w:tcBorders>
            <w:shd w:val="clear" w:color="auto" w:fill="auto"/>
            <w:vAlign w:val="center"/>
          </w:tcPr>
          <w:p w14:paraId="6E603E6E"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1,9%</w:t>
            </w:r>
          </w:p>
        </w:tc>
      </w:tr>
      <w:tr w:rsidR="0063584D" w:rsidRPr="007F78CE" w14:paraId="63E7E781" w14:textId="77777777" w:rsidTr="007F78CE">
        <w:trPr>
          <w:jc w:val="center"/>
        </w:trPr>
        <w:tc>
          <w:tcPr>
            <w:tcW w:w="1745" w:type="pct"/>
            <w:tcBorders>
              <w:right w:val="single" w:sz="4" w:space="0" w:color="auto"/>
            </w:tcBorders>
            <w:shd w:val="clear" w:color="auto" w:fill="auto"/>
          </w:tcPr>
          <w:p w14:paraId="4A51E76D"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Androy</w:t>
            </w:r>
          </w:p>
        </w:tc>
        <w:tc>
          <w:tcPr>
            <w:tcW w:w="1592" w:type="pct"/>
            <w:tcBorders>
              <w:top w:val="single" w:sz="4" w:space="0" w:color="auto"/>
              <w:left w:val="single" w:sz="4" w:space="0" w:color="auto"/>
              <w:bottom w:val="single" w:sz="4" w:space="0" w:color="auto"/>
              <w:right w:val="single" w:sz="4" w:space="0" w:color="auto"/>
            </w:tcBorders>
            <w:shd w:val="clear" w:color="auto" w:fill="auto"/>
            <w:vAlign w:val="center"/>
          </w:tcPr>
          <w:p w14:paraId="432824ED"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16,1%</w:t>
            </w:r>
          </w:p>
        </w:tc>
        <w:tc>
          <w:tcPr>
            <w:tcW w:w="1663" w:type="pct"/>
            <w:tcBorders>
              <w:top w:val="single" w:sz="4" w:space="0" w:color="auto"/>
              <w:left w:val="single" w:sz="4" w:space="0" w:color="auto"/>
              <w:bottom w:val="single" w:sz="4" w:space="0" w:color="auto"/>
            </w:tcBorders>
            <w:shd w:val="clear" w:color="auto" w:fill="auto"/>
            <w:vAlign w:val="center"/>
          </w:tcPr>
          <w:p w14:paraId="761D7A40"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0,8%</w:t>
            </w:r>
          </w:p>
        </w:tc>
      </w:tr>
      <w:tr w:rsidR="0063584D" w:rsidRPr="007F78CE" w14:paraId="1F0E0303" w14:textId="77777777" w:rsidTr="007F78CE">
        <w:trPr>
          <w:jc w:val="center"/>
        </w:trPr>
        <w:tc>
          <w:tcPr>
            <w:tcW w:w="1745" w:type="pct"/>
            <w:tcBorders>
              <w:right w:val="single" w:sz="4" w:space="0" w:color="auto"/>
            </w:tcBorders>
            <w:shd w:val="clear" w:color="auto" w:fill="auto"/>
          </w:tcPr>
          <w:p w14:paraId="52A91C40"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Anosy</w:t>
            </w:r>
          </w:p>
        </w:tc>
        <w:tc>
          <w:tcPr>
            <w:tcW w:w="1592" w:type="pct"/>
            <w:tcBorders>
              <w:top w:val="single" w:sz="4" w:space="0" w:color="auto"/>
              <w:left w:val="single" w:sz="4" w:space="0" w:color="auto"/>
              <w:bottom w:val="single" w:sz="4" w:space="0" w:color="auto"/>
              <w:right w:val="single" w:sz="4" w:space="0" w:color="auto"/>
            </w:tcBorders>
            <w:shd w:val="clear" w:color="auto" w:fill="auto"/>
            <w:vAlign w:val="center"/>
          </w:tcPr>
          <w:p w14:paraId="3CAD9BAA"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43,3 %</w:t>
            </w:r>
          </w:p>
        </w:tc>
        <w:tc>
          <w:tcPr>
            <w:tcW w:w="1663" w:type="pct"/>
            <w:tcBorders>
              <w:top w:val="single" w:sz="4" w:space="0" w:color="auto"/>
              <w:left w:val="single" w:sz="4" w:space="0" w:color="auto"/>
              <w:bottom w:val="single" w:sz="4" w:space="0" w:color="auto"/>
            </w:tcBorders>
            <w:shd w:val="clear" w:color="auto" w:fill="auto"/>
            <w:vAlign w:val="center"/>
          </w:tcPr>
          <w:p w14:paraId="6B39AF7B"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0,5%</w:t>
            </w:r>
          </w:p>
        </w:tc>
      </w:tr>
      <w:tr w:rsidR="0063584D" w:rsidRPr="007F78CE" w14:paraId="7D712CB3" w14:textId="77777777" w:rsidTr="007F78CE">
        <w:trPr>
          <w:jc w:val="center"/>
        </w:trPr>
        <w:tc>
          <w:tcPr>
            <w:tcW w:w="1745" w:type="pct"/>
            <w:tcBorders>
              <w:right w:val="single" w:sz="4" w:space="0" w:color="auto"/>
            </w:tcBorders>
            <w:shd w:val="clear" w:color="auto" w:fill="auto"/>
          </w:tcPr>
          <w:p w14:paraId="77965158"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Menabe</w:t>
            </w:r>
          </w:p>
        </w:tc>
        <w:tc>
          <w:tcPr>
            <w:tcW w:w="1592" w:type="pct"/>
            <w:tcBorders>
              <w:top w:val="single" w:sz="4" w:space="0" w:color="auto"/>
              <w:left w:val="single" w:sz="4" w:space="0" w:color="auto"/>
              <w:bottom w:val="single" w:sz="4" w:space="0" w:color="auto"/>
              <w:right w:val="single" w:sz="4" w:space="0" w:color="auto"/>
            </w:tcBorders>
            <w:shd w:val="clear" w:color="auto" w:fill="auto"/>
            <w:vAlign w:val="center"/>
          </w:tcPr>
          <w:p w14:paraId="5CBB9334"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27,1 %</w:t>
            </w:r>
          </w:p>
        </w:tc>
        <w:tc>
          <w:tcPr>
            <w:tcW w:w="1663" w:type="pct"/>
            <w:tcBorders>
              <w:top w:val="single" w:sz="4" w:space="0" w:color="auto"/>
              <w:left w:val="single" w:sz="4" w:space="0" w:color="auto"/>
              <w:bottom w:val="single" w:sz="4" w:space="0" w:color="auto"/>
            </w:tcBorders>
            <w:shd w:val="clear" w:color="auto" w:fill="auto"/>
            <w:vAlign w:val="center"/>
          </w:tcPr>
          <w:p w14:paraId="230B2402"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6,3%</w:t>
            </w:r>
          </w:p>
        </w:tc>
      </w:tr>
      <w:tr w:rsidR="0063584D" w:rsidRPr="007F78CE" w14:paraId="6F031C92" w14:textId="77777777" w:rsidTr="007F78CE">
        <w:trPr>
          <w:jc w:val="center"/>
        </w:trPr>
        <w:tc>
          <w:tcPr>
            <w:tcW w:w="1745" w:type="pct"/>
            <w:tcBorders>
              <w:right w:val="single" w:sz="4" w:space="0" w:color="auto"/>
            </w:tcBorders>
            <w:shd w:val="clear" w:color="auto" w:fill="auto"/>
          </w:tcPr>
          <w:p w14:paraId="79CCD645"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D</w:t>
            </w:r>
            <w:r w:rsidR="006D5F22">
              <w:rPr>
                <w:rFonts w:ascii="Arial Narrow" w:hAnsi="Arial Narrow"/>
              </w:rPr>
              <w:t>IANA</w:t>
            </w:r>
          </w:p>
        </w:tc>
        <w:tc>
          <w:tcPr>
            <w:tcW w:w="1592" w:type="pct"/>
            <w:tcBorders>
              <w:top w:val="single" w:sz="4" w:space="0" w:color="auto"/>
              <w:left w:val="single" w:sz="4" w:space="0" w:color="auto"/>
              <w:bottom w:val="single" w:sz="4" w:space="0" w:color="auto"/>
              <w:right w:val="single" w:sz="4" w:space="0" w:color="auto"/>
            </w:tcBorders>
            <w:shd w:val="clear" w:color="auto" w:fill="auto"/>
            <w:vAlign w:val="center"/>
          </w:tcPr>
          <w:p w14:paraId="42451006"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38,4%</w:t>
            </w:r>
          </w:p>
        </w:tc>
        <w:tc>
          <w:tcPr>
            <w:tcW w:w="1663" w:type="pct"/>
            <w:tcBorders>
              <w:top w:val="single" w:sz="4" w:space="0" w:color="auto"/>
              <w:left w:val="single" w:sz="4" w:space="0" w:color="auto"/>
              <w:bottom w:val="single" w:sz="4" w:space="0" w:color="auto"/>
            </w:tcBorders>
            <w:shd w:val="clear" w:color="auto" w:fill="auto"/>
            <w:vAlign w:val="center"/>
          </w:tcPr>
          <w:p w14:paraId="6E8492DD"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4,0%</w:t>
            </w:r>
          </w:p>
        </w:tc>
      </w:tr>
      <w:tr w:rsidR="0063584D" w:rsidRPr="007F78CE" w14:paraId="5DB34E1E" w14:textId="77777777" w:rsidTr="007F78CE">
        <w:trPr>
          <w:jc w:val="center"/>
        </w:trPr>
        <w:tc>
          <w:tcPr>
            <w:tcW w:w="1745" w:type="pct"/>
            <w:shd w:val="clear" w:color="auto" w:fill="auto"/>
          </w:tcPr>
          <w:p w14:paraId="656C09A5"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S</w:t>
            </w:r>
            <w:r w:rsidR="006D5F22">
              <w:rPr>
                <w:rFonts w:ascii="Arial Narrow" w:hAnsi="Arial Narrow"/>
              </w:rPr>
              <w:t>AVA</w:t>
            </w:r>
          </w:p>
        </w:tc>
        <w:tc>
          <w:tcPr>
            <w:tcW w:w="1592" w:type="pct"/>
            <w:tcBorders>
              <w:top w:val="single" w:sz="4" w:space="0" w:color="auto"/>
              <w:bottom w:val="single" w:sz="4" w:space="0" w:color="auto"/>
            </w:tcBorders>
            <w:shd w:val="clear" w:color="auto" w:fill="auto"/>
            <w:vAlign w:val="center"/>
          </w:tcPr>
          <w:p w14:paraId="7CBADB79"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31,8%</w:t>
            </w:r>
          </w:p>
        </w:tc>
        <w:tc>
          <w:tcPr>
            <w:tcW w:w="1663" w:type="pct"/>
            <w:tcBorders>
              <w:top w:val="single" w:sz="4" w:space="0" w:color="auto"/>
              <w:bottom w:val="single" w:sz="4" w:space="0" w:color="auto"/>
            </w:tcBorders>
            <w:shd w:val="clear" w:color="auto" w:fill="auto"/>
            <w:vAlign w:val="center"/>
          </w:tcPr>
          <w:p w14:paraId="2782BDAD"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3,6%</w:t>
            </w:r>
          </w:p>
        </w:tc>
      </w:tr>
      <w:tr w:rsidR="0063584D" w:rsidRPr="007F78CE" w14:paraId="06496814" w14:textId="77777777" w:rsidTr="007F78CE">
        <w:trPr>
          <w:jc w:val="center"/>
        </w:trPr>
        <w:tc>
          <w:tcPr>
            <w:tcW w:w="1745" w:type="pct"/>
            <w:shd w:val="clear" w:color="auto" w:fill="auto"/>
          </w:tcPr>
          <w:p w14:paraId="42C8BE8C" w14:textId="77777777" w:rsidR="00C21029" w:rsidRPr="007F78CE" w:rsidRDefault="00C21029" w:rsidP="007F78CE">
            <w:pPr>
              <w:spacing w:after="0" w:line="240" w:lineRule="auto"/>
              <w:jc w:val="both"/>
              <w:rPr>
                <w:rFonts w:ascii="Arial Narrow" w:hAnsi="Arial Narrow"/>
                <w:b/>
              </w:rPr>
            </w:pPr>
            <w:r w:rsidRPr="007F78CE">
              <w:rPr>
                <w:rFonts w:ascii="Arial Narrow" w:hAnsi="Arial Narrow"/>
                <w:b/>
              </w:rPr>
              <w:t>Moyenne au niveau national</w:t>
            </w:r>
          </w:p>
        </w:tc>
        <w:tc>
          <w:tcPr>
            <w:tcW w:w="1592" w:type="pct"/>
            <w:tcBorders>
              <w:top w:val="single" w:sz="4" w:space="0" w:color="auto"/>
              <w:bottom w:val="single" w:sz="4" w:space="0" w:color="auto"/>
            </w:tcBorders>
            <w:shd w:val="clear" w:color="auto" w:fill="auto"/>
            <w:vAlign w:val="center"/>
          </w:tcPr>
          <w:p w14:paraId="2A42DF0C" w14:textId="77777777" w:rsidR="00C21029" w:rsidRPr="007F78CE" w:rsidRDefault="00E834C7" w:rsidP="007F78CE">
            <w:pPr>
              <w:spacing w:after="0" w:line="240" w:lineRule="auto"/>
              <w:jc w:val="both"/>
              <w:rPr>
                <w:rFonts w:ascii="Arial Narrow" w:hAnsi="Arial Narrow"/>
                <w:b/>
              </w:rPr>
            </w:pPr>
            <w:r>
              <w:rPr>
                <w:rFonts w:ascii="Arial Narrow" w:hAnsi="Arial Narrow"/>
                <w:b/>
              </w:rPr>
              <w:t>29.9</w:t>
            </w:r>
            <w:r w:rsidR="00C21029" w:rsidRPr="007F78CE">
              <w:rPr>
                <w:rFonts w:ascii="Arial Narrow" w:hAnsi="Arial Narrow"/>
                <w:b/>
              </w:rPr>
              <w:t>%</w:t>
            </w:r>
          </w:p>
        </w:tc>
        <w:tc>
          <w:tcPr>
            <w:tcW w:w="1663" w:type="pct"/>
            <w:tcBorders>
              <w:top w:val="single" w:sz="4" w:space="0" w:color="auto"/>
              <w:bottom w:val="single" w:sz="4" w:space="0" w:color="auto"/>
            </w:tcBorders>
            <w:shd w:val="clear" w:color="auto" w:fill="auto"/>
            <w:vAlign w:val="center"/>
          </w:tcPr>
          <w:p w14:paraId="62738F32" w14:textId="77777777" w:rsidR="00C21029" w:rsidRPr="007F78CE" w:rsidRDefault="00C21029" w:rsidP="00E834C7">
            <w:pPr>
              <w:spacing w:after="0" w:line="240" w:lineRule="auto"/>
              <w:jc w:val="both"/>
              <w:rPr>
                <w:rFonts w:ascii="Arial Narrow" w:hAnsi="Arial Narrow"/>
                <w:b/>
              </w:rPr>
            </w:pPr>
            <w:r w:rsidRPr="007F78CE">
              <w:rPr>
                <w:rFonts w:ascii="Arial Narrow" w:hAnsi="Arial Narrow"/>
                <w:b/>
              </w:rPr>
              <w:t>3,</w:t>
            </w:r>
            <w:r w:rsidR="00E834C7">
              <w:rPr>
                <w:rFonts w:ascii="Arial Narrow" w:hAnsi="Arial Narrow"/>
                <w:b/>
              </w:rPr>
              <w:t>02</w:t>
            </w:r>
            <w:r w:rsidRPr="007F78CE">
              <w:rPr>
                <w:rFonts w:ascii="Arial Narrow" w:hAnsi="Arial Narrow"/>
                <w:b/>
              </w:rPr>
              <w:t>%</w:t>
            </w:r>
          </w:p>
        </w:tc>
      </w:tr>
    </w:tbl>
    <w:p w14:paraId="492A84DB" w14:textId="77777777" w:rsidR="00C21029" w:rsidRDefault="00C21029" w:rsidP="00F91FA3">
      <w:pPr>
        <w:ind w:firstLine="567"/>
        <w:jc w:val="both"/>
      </w:pPr>
      <w:r>
        <w:t>Source : MICS 2018</w:t>
      </w:r>
    </w:p>
    <w:bookmarkEnd w:id="1973"/>
    <w:p w14:paraId="7F37AB3C" w14:textId="77777777" w:rsidR="00C21029" w:rsidRPr="00593D92" w:rsidRDefault="00C21029" w:rsidP="0044500E">
      <w:pPr>
        <w:pStyle w:val="Paragraphedeliste"/>
        <w:numPr>
          <w:ilvl w:val="0"/>
          <w:numId w:val="161"/>
        </w:numPr>
        <w:spacing w:after="160" w:line="240" w:lineRule="exact"/>
        <w:jc w:val="both"/>
        <w:rPr>
          <w:b/>
          <w:bCs/>
        </w:rPr>
      </w:pPr>
      <w:r w:rsidRPr="00593D92">
        <w:rPr>
          <w:b/>
          <w:bCs/>
        </w:rPr>
        <w:t>Violence</w:t>
      </w:r>
      <w:r>
        <w:rPr>
          <w:b/>
          <w:bCs/>
        </w:rPr>
        <w:t xml:space="preserve"> sexuelle</w:t>
      </w:r>
    </w:p>
    <w:p w14:paraId="15B1094C" w14:textId="77777777" w:rsidR="00C21029" w:rsidRDefault="00C21029" w:rsidP="009579DB">
      <w:pPr>
        <w:spacing w:before="120" w:after="120" w:line="240" w:lineRule="auto"/>
        <w:jc w:val="both"/>
      </w:pPr>
      <w:r>
        <w:t xml:space="preserve">La violence sexuelle inclut les sévices sexuels, tels que des rapports sexuels contraints par la menace, l'intimidation ou la force physique (forcée sous menaces ou d'une autre manière à pratiquer des actes sexuels qu'elle ne voulait pas) ; des actes sexuels forcés (forcée physiquement à avoir des rapports sexuels quand elle ne voulait pas) ; ou la contrainte à des pratiques sexuels (forcée physiquement à pratiquer n’importe quel autre acte sexuel quand elle ne voulait pas). </w:t>
      </w:r>
    </w:p>
    <w:p w14:paraId="43BE5CAF" w14:textId="77777777" w:rsidR="00C21029" w:rsidRDefault="00C21029">
      <w:pPr>
        <w:rPr>
          <w:rFonts w:ascii="Times New Roman" w:hAnsi="Times New Roman"/>
        </w:rPr>
      </w:pPr>
      <w:bookmarkStart w:id="1975" w:name="_Toc124140859"/>
      <w:r>
        <w:rPr>
          <w:rFonts w:ascii="Times New Roman" w:hAnsi="Times New Roman"/>
        </w:rPr>
        <w:br w:type="page"/>
      </w:r>
    </w:p>
    <w:p w14:paraId="78F688A0" w14:textId="77777777" w:rsidR="00C21029" w:rsidRPr="009579DB" w:rsidRDefault="00C21029" w:rsidP="009579DB">
      <w:pPr>
        <w:pStyle w:val="Lgende"/>
      </w:pPr>
      <w:bookmarkStart w:id="1976" w:name="_Toc124312957"/>
      <w:bookmarkStart w:id="1977" w:name="_Toc125096833"/>
      <w:bookmarkStart w:id="1978" w:name="_Toc125403021"/>
      <w:bookmarkStart w:id="1979" w:name="_Toc127957898"/>
      <w:r w:rsidRPr="009579DB">
        <w:t xml:space="preserve">Tableau </w:t>
      </w:r>
      <w:r w:rsidRPr="009579DB">
        <w:fldChar w:fldCharType="begin"/>
      </w:r>
      <w:r w:rsidRPr="009579DB">
        <w:instrText xml:space="preserve"> SEQ Tableau \* ARABIC </w:instrText>
      </w:r>
      <w:r w:rsidRPr="009579DB">
        <w:fldChar w:fldCharType="separate"/>
      </w:r>
      <w:r w:rsidR="005430A1">
        <w:rPr>
          <w:noProof/>
        </w:rPr>
        <w:t>102</w:t>
      </w:r>
      <w:r w:rsidRPr="009579DB">
        <w:fldChar w:fldCharType="end"/>
      </w:r>
      <w:r w:rsidRPr="009579DB">
        <w:t> : Indicateurs liés à la violence sexuelle au niveau des Régions</w:t>
      </w:r>
      <w:bookmarkEnd w:id="1975"/>
      <w:bookmarkEnd w:id="1976"/>
      <w:bookmarkEnd w:id="1977"/>
      <w:bookmarkEnd w:id="1978"/>
      <w:bookmarkEnd w:id="19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2"/>
        <w:gridCol w:w="2591"/>
        <w:gridCol w:w="2707"/>
      </w:tblGrid>
      <w:tr w:rsidR="00C21029" w:rsidRPr="007F78CE" w14:paraId="5893F17B" w14:textId="77777777" w:rsidTr="007F78CE">
        <w:trPr>
          <w:tblHeader/>
          <w:jc w:val="center"/>
        </w:trPr>
        <w:tc>
          <w:tcPr>
            <w:tcW w:w="2076" w:type="pct"/>
            <w:vMerge w:val="restart"/>
            <w:shd w:val="clear" w:color="auto" w:fill="auto"/>
            <w:vAlign w:val="center"/>
          </w:tcPr>
          <w:p w14:paraId="24E46746" w14:textId="77777777" w:rsidR="00C21029" w:rsidRPr="007F78CE" w:rsidRDefault="00C21029" w:rsidP="007F78CE">
            <w:pPr>
              <w:spacing w:after="0" w:line="240" w:lineRule="auto"/>
              <w:jc w:val="both"/>
              <w:rPr>
                <w:rFonts w:ascii="Arial Narrow" w:hAnsi="Arial Narrow"/>
                <w:b/>
              </w:rPr>
            </w:pPr>
            <w:r w:rsidRPr="007F78CE">
              <w:rPr>
                <w:rFonts w:ascii="Arial Narrow" w:hAnsi="Arial Narrow"/>
                <w:b/>
              </w:rPr>
              <w:t>Régions</w:t>
            </w:r>
          </w:p>
        </w:tc>
        <w:tc>
          <w:tcPr>
            <w:tcW w:w="2924" w:type="pct"/>
            <w:gridSpan w:val="2"/>
            <w:shd w:val="clear" w:color="auto" w:fill="auto"/>
            <w:vAlign w:val="center"/>
          </w:tcPr>
          <w:p w14:paraId="695AB9BA" w14:textId="77777777" w:rsidR="00C21029" w:rsidRPr="007F78CE" w:rsidRDefault="00C21029" w:rsidP="007F78CE">
            <w:pPr>
              <w:spacing w:after="0" w:line="240" w:lineRule="auto"/>
              <w:jc w:val="both"/>
              <w:rPr>
                <w:rFonts w:ascii="Arial Narrow" w:hAnsi="Arial Narrow"/>
                <w:b/>
                <w:bCs/>
              </w:rPr>
            </w:pPr>
            <w:r w:rsidRPr="007F78CE">
              <w:rPr>
                <w:rFonts w:ascii="Arial Narrow" w:hAnsi="Arial Narrow"/>
                <w:b/>
                <w:bCs/>
              </w:rPr>
              <w:t>Violence sexuelle</w:t>
            </w:r>
          </w:p>
        </w:tc>
      </w:tr>
      <w:tr w:rsidR="0063584D" w:rsidRPr="007F78CE" w14:paraId="5F68AF8C" w14:textId="77777777" w:rsidTr="007F78CE">
        <w:trPr>
          <w:tblHeader/>
          <w:jc w:val="center"/>
        </w:trPr>
        <w:tc>
          <w:tcPr>
            <w:tcW w:w="2076" w:type="pct"/>
            <w:vMerge/>
            <w:shd w:val="clear" w:color="auto" w:fill="auto"/>
            <w:vAlign w:val="center"/>
          </w:tcPr>
          <w:p w14:paraId="3EA3DE84" w14:textId="77777777" w:rsidR="00C21029" w:rsidRPr="007F78CE" w:rsidRDefault="00C21029" w:rsidP="007F78CE">
            <w:pPr>
              <w:spacing w:after="0" w:line="240" w:lineRule="auto"/>
              <w:jc w:val="both"/>
              <w:rPr>
                <w:rFonts w:ascii="Arial Narrow" w:hAnsi="Arial Narrow"/>
                <w:b/>
              </w:rPr>
            </w:pPr>
          </w:p>
        </w:tc>
        <w:tc>
          <w:tcPr>
            <w:tcW w:w="1430" w:type="pct"/>
            <w:shd w:val="clear" w:color="auto" w:fill="auto"/>
            <w:vAlign w:val="center"/>
          </w:tcPr>
          <w:p w14:paraId="2F9C37D5" w14:textId="77777777" w:rsidR="00C21029" w:rsidRPr="007F78CE" w:rsidRDefault="00C21029" w:rsidP="007F78CE">
            <w:pPr>
              <w:spacing w:after="0" w:line="240" w:lineRule="auto"/>
              <w:jc w:val="both"/>
              <w:rPr>
                <w:rFonts w:ascii="Arial Narrow" w:hAnsi="Arial Narrow"/>
                <w:b/>
              </w:rPr>
            </w:pPr>
            <w:r w:rsidRPr="007F78CE">
              <w:rPr>
                <w:rFonts w:ascii="Arial Narrow" w:hAnsi="Arial Narrow"/>
                <w:b/>
              </w:rPr>
              <w:t>Pourcentage de femmes ayant subi de violences sexuelles au cours de leur vie</w:t>
            </w:r>
          </w:p>
        </w:tc>
        <w:tc>
          <w:tcPr>
            <w:tcW w:w="1494" w:type="pct"/>
            <w:shd w:val="clear" w:color="auto" w:fill="auto"/>
            <w:vAlign w:val="center"/>
          </w:tcPr>
          <w:p w14:paraId="1716C3F8" w14:textId="77777777" w:rsidR="00C21029" w:rsidRPr="007F78CE" w:rsidRDefault="00C21029" w:rsidP="007F78CE">
            <w:pPr>
              <w:spacing w:after="0" w:line="240" w:lineRule="auto"/>
              <w:jc w:val="both"/>
              <w:rPr>
                <w:rFonts w:ascii="Arial Narrow" w:hAnsi="Arial Narrow"/>
                <w:b/>
              </w:rPr>
            </w:pPr>
            <w:r w:rsidRPr="007F78CE">
              <w:rPr>
                <w:rFonts w:ascii="Arial Narrow" w:hAnsi="Arial Narrow"/>
                <w:b/>
              </w:rPr>
              <w:t>Pourcentage de femmes ayant subi de violences sexuelles au cours des 12 mois précédant l’enquête</w:t>
            </w:r>
          </w:p>
        </w:tc>
      </w:tr>
      <w:tr w:rsidR="0063584D" w:rsidRPr="007F78CE" w14:paraId="749E1A2B" w14:textId="77777777" w:rsidTr="007F78CE">
        <w:trPr>
          <w:jc w:val="center"/>
        </w:trPr>
        <w:tc>
          <w:tcPr>
            <w:tcW w:w="2076" w:type="pct"/>
            <w:tcBorders>
              <w:right w:val="single" w:sz="4" w:space="0" w:color="auto"/>
            </w:tcBorders>
            <w:shd w:val="clear" w:color="auto" w:fill="auto"/>
          </w:tcPr>
          <w:p w14:paraId="4E237F60"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Analamanga</w:t>
            </w:r>
          </w:p>
        </w:tc>
        <w:tc>
          <w:tcPr>
            <w:tcW w:w="1430" w:type="pct"/>
            <w:tcBorders>
              <w:top w:val="single" w:sz="4" w:space="0" w:color="auto"/>
              <w:left w:val="single" w:sz="4" w:space="0" w:color="auto"/>
              <w:bottom w:val="single" w:sz="4" w:space="0" w:color="auto"/>
              <w:right w:val="single" w:sz="4" w:space="0" w:color="auto"/>
            </w:tcBorders>
            <w:shd w:val="clear" w:color="auto" w:fill="auto"/>
          </w:tcPr>
          <w:p w14:paraId="42DA66D5"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18,5%</w:t>
            </w:r>
          </w:p>
        </w:tc>
        <w:tc>
          <w:tcPr>
            <w:tcW w:w="1494" w:type="pct"/>
            <w:tcBorders>
              <w:top w:val="single" w:sz="4" w:space="0" w:color="auto"/>
              <w:left w:val="single" w:sz="4" w:space="0" w:color="auto"/>
              <w:bottom w:val="single" w:sz="4" w:space="0" w:color="auto"/>
            </w:tcBorders>
            <w:shd w:val="clear" w:color="auto" w:fill="auto"/>
          </w:tcPr>
          <w:p w14:paraId="4FA7D4DE"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8,6%</w:t>
            </w:r>
          </w:p>
        </w:tc>
      </w:tr>
      <w:tr w:rsidR="0063584D" w:rsidRPr="007F78CE" w14:paraId="49FAA98D" w14:textId="77777777" w:rsidTr="007F78CE">
        <w:trPr>
          <w:jc w:val="center"/>
        </w:trPr>
        <w:tc>
          <w:tcPr>
            <w:tcW w:w="2076" w:type="pct"/>
            <w:tcBorders>
              <w:right w:val="single" w:sz="4" w:space="0" w:color="auto"/>
            </w:tcBorders>
            <w:shd w:val="clear" w:color="auto" w:fill="auto"/>
          </w:tcPr>
          <w:p w14:paraId="705ED56F"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Vakinankaratra</w:t>
            </w:r>
          </w:p>
        </w:tc>
        <w:tc>
          <w:tcPr>
            <w:tcW w:w="1430" w:type="pct"/>
            <w:tcBorders>
              <w:top w:val="single" w:sz="4" w:space="0" w:color="auto"/>
              <w:left w:val="single" w:sz="4" w:space="0" w:color="auto"/>
              <w:bottom w:val="single" w:sz="4" w:space="0" w:color="auto"/>
              <w:right w:val="single" w:sz="4" w:space="0" w:color="auto"/>
            </w:tcBorders>
            <w:shd w:val="clear" w:color="auto" w:fill="auto"/>
          </w:tcPr>
          <w:p w14:paraId="012F003C"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22,7 %</w:t>
            </w:r>
          </w:p>
        </w:tc>
        <w:tc>
          <w:tcPr>
            <w:tcW w:w="1494" w:type="pct"/>
            <w:tcBorders>
              <w:top w:val="single" w:sz="4" w:space="0" w:color="auto"/>
              <w:left w:val="single" w:sz="4" w:space="0" w:color="auto"/>
              <w:bottom w:val="single" w:sz="4" w:space="0" w:color="auto"/>
            </w:tcBorders>
            <w:shd w:val="clear" w:color="auto" w:fill="auto"/>
          </w:tcPr>
          <w:p w14:paraId="0328A97C"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9,1%</w:t>
            </w:r>
          </w:p>
        </w:tc>
      </w:tr>
      <w:tr w:rsidR="0063584D" w:rsidRPr="007F78CE" w14:paraId="39349C2D" w14:textId="77777777" w:rsidTr="007F78CE">
        <w:trPr>
          <w:jc w:val="center"/>
        </w:trPr>
        <w:tc>
          <w:tcPr>
            <w:tcW w:w="2076" w:type="pct"/>
            <w:tcBorders>
              <w:right w:val="single" w:sz="4" w:space="0" w:color="auto"/>
            </w:tcBorders>
            <w:shd w:val="clear" w:color="auto" w:fill="auto"/>
          </w:tcPr>
          <w:p w14:paraId="304771B5"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Itasy</w:t>
            </w:r>
          </w:p>
        </w:tc>
        <w:tc>
          <w:tcPr>
            <w:tcW w:w="1430" w:type="pct"/>
            <w:tcBorders>
              <w:top w:val="single" w:sz="4" w:space="0" w:color="auto"/>
              <w:left w:val="single" w:sz="4" w:space="0" w:color="auto"/>
              <w:bottom w:val="single" w:sz="4" w:space="0" w:color="auto"/>
              <w:right w:val="single" w:sz="4" w:space="0" w:color="auto"/>
            </w:tcBorders>
            <w:shd w:val="clear" w:color="auto" w:fill="auto"/>
          </w:tcPr>
          <w:p w14:paraId="3FE1F210"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20,4 %</w:t>
            </w:r>
          </w:p>
        </w:tc>
        <w:tc>
          <w:tcPr>
            <w:tcW w:w="1494" w:type="pct"/>
            <w:tcBorders>
              <w:top w:val="single" w:sz="4" w:space="0" w:color="auto"/>
              <w:left w:val="single" w:sz="4" w:space="0" w:color="auto"/>
              <w:bottom w:val="single" w:sz="4" w:space="0" w:color="auto"/>
            </w:tcBorders>
            <w:shd w:val="clear" w:color="auto" w:fill="auto"/>
          </w:tcPr>
          <w:p w14:paraId="5A102A53"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12,7%</w:t>
            </w:r>
          </w:p>
        </w:tc>
      </w:tr>
      <w:tr w:rsidR="0063584D" w:rsidRPr="007F78CE" w14:paraId="5F0382C4" w14:textId="77777777" w:rsidTr="007F78CE">
        <w:trPr>
          <w:jc w:val="center"/>
        </w:trPr>
        <w:tc>
          <w:tcPr>
            <w:tcW w:w="2076" w:type="pct"/>
            <w:tcBorders>
              <w:right w:val="single" w:sz="4" w:space="0" w:color="auto"/>
            </w:tcBorders>
            <w:shd w:val="clear" w:color="auto" w:fill="auto"/>
          </w:tcPr>
          <w:p w14:paraId="32584503"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Bongolava</w:t>
            </w:r>
          </w:p>
        </w:tc>
        <w:tc>
          <w:tcPr>
            <w:tcW w:w="1430" w:type="pct"/>
            <w:tcBorders>
              <w:top w:val="single" w:sz="4" w:space="0" w:color="auto"/>
              <w:left w:val="single" w:sz="4" w:space="0" w:color="auto"/>
              <w:bottom w:val="single" w:sz="4" w:space="0" w:color="auto"/>
              <w:right w:val="single" w:sz="4" w:space="0" w:color="auto"/>
            </w:tcBorders>
            <w:shd w:val="clear" w:color="auto" w:fill="auto"/>
          </w:tcPr>
          <w:p w14:paraId="7F5C55AF"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20,8%</w:t>
            </w:r>
          </w:p>
        </w:tc>
        <w:tc>
          <w:tcPr>
            <w:tcW w:w="1494" w:type="pct"/>
            <w:tcBorders>
              <w:top w:val="single" w:sz="4" w:space="0" w:color="auto"/>
              <w:left w:val="single" w:sz="4" w:space="0" w:color="auto"/>
              <w:bottom w:val="single" w:sz="4" w:space="0" w:color="auto"/>
            </w:tcBorders>
            <w:shd w:val="clear" w:color="auto" w:fill="auto"/>
          </w:tcPr>
          <w:p w14:paraId="1450135D"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9,1%</w:t>
            </w:r>
          </w:p>
        </w:tc>
      </w:tr>
      <w:tr w:rsidR="0063584D" w:rsidRPr="007F78CE" w14:paraId="39E50380" w14:textId="77777777" w:rsidTr="007F78CE">
        <w:trPr>
          <w:jc w:val="center"/>
        </w:trPr>
        <w:tc>
          <w:tcPr>
            <w:tcW w:w="2076" w:type="pct"/>
            <w:tcBorders>
              <w:right w:val="single" w:sz="4" w:space="0" w:color="auto"/>
            </w:tcBorders>
            <w:shd w:val="clear" w:color="auto" w:fill="auto"/>
          </w:tcPr>
          <w:p w14:paraId="24BC8AF2"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Haute Matsiatra</w:t>
            </w:r>
          </w:p>
        </w:tc>
        <w:tc>
          <w:tcPr>
            <w:tcW w:w="1430" w:type="pct"/>
            <w:tcBorders>
              <w:top w:val="single" w:sz="4" w:space="0" w:color="auto"/>
              <w:left w:val="single" w:sz="4" w:space="0" w:color="auto"/>
              <w:bottom w:val="single" w:sz="4" w:space="0" w:color="auto"/>
              <w:right w:val="single" w:sz="4" w:space="0" w:color="auto"/>
            </w:tcBorders>
            <w:shd w:val="clear" w:color="auto" w:fill="auto"/>
          </w:tcPr>
          <w:p w14:paraId="702B3569"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5,9%</w:t>
            </w:r>
          </w:p>
        </w:tc>
        <w:tc>
          <w:tcPr>
            <w:tcW w:w="1494" w:type="pct"/>
            <w:tcBorders>
              <w:top w:val="single" w:sz="4" w:space="0" w:color="auto"/>
              <w:left w:val="single" w:sz="4" w:space="0" w:color="auto"/>
              <w:bottom w:val="single" w:sz="4" w:space="0" w:color="auto"/>
            </w:tcBorders>
            <w:shd w:val="clear" w:color="auto" w:fill="auto"/>
          </w:tcPr>
          <w:p w14:paraId="44ACF2A2"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1,5%</w:t>
            </w:r>
          </w:p>
        </w:tc>
      </w:tr>
      <w:tr w:rsidR="0063584D" w:rsidRPr="007F78CE" w14:paraId="55EE7CC7" w14:textId="77777777" w:rsidTr="007F78CE">
        <w:trPr>
          <w:jc w:val="center"/>
        </w:trPr>
        <w:tc>
          <w:tcPr>
            <w:tcW w:w="2076" w:type="pct"/>
            <w:tcBorders>
              <w:right w:val="single" w:sz="4" w:space="0" w:color="auto"/>
            </w:tcBorders>
            <w:shd w:val="clear" w:color="auto" w:fill="auto"/>
          </w:tcPr>
          <w:p w14:paraId="21C40664"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Amoron’i Mania</w:t>
            </w:r>
          </w:p>
        </w:tc>
        <w:tc>
          <w:tcPr>
            <w:tcW w:w="1430" w:type="pct"/>
            <w:tcBorders>
              <w:top w:val="single" w:sz="4" w:space="0" w:color="auto"/>
              <w:left w:val="single" w:sz="4" w:space="0" w:color="auto"/>
              <w:bottom w:val="single" w:sz="4" w:space="0" w:color="auto"/>
              <w:right w:val="single" w:sz="4" w:space="0" w:color="auto"/>
            </w:tcBorders>
            <w:shd w:val="clear" w:color="auto" w:fill="auto"/>
          </w:tcPr>
          <w:p w14:paraId="7835E957"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11,7%</w:t>
            </w:r>
          </w:p>
        </w:tc>
        <w:tc>
          <w:tcPr>
            <w:tcW w:w="1494" w:type="pct"/>
            <w:tcBorders>
              <w:top w:val="single" w:sz="4" w:space="0" w:color="auto"/>
              <w:left w:val="single" w:sz="4" w:space="0" w:color="auto"/>
              <w:bottom w:val="single" w:sz="4" w:space="0" w:color="auto"/>
            </w:tcBorders>
            <w:shd w:val="clear" w:color="auto" w:fill="auto"/>
          </w:tcPr>
          <w:p w14:paraId="4745A597"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5,2%</w:t>
            </w:r>
          </w:p>
        </w:tc>
      </w:tr>
      <w:tr w:rsidR="0063584D" w:rsidRPr="007F78CE" w14:paraId="1BCEA927" w14:textId="77777777" w:rsidTr="007F78CE">
        <w:trPr>
          <w:jc w:val="center"/>
        </w:trPr>
        <w:tc>
          <w:tcPr>
            <w:tcW w:w="2076" w:type="pct"/>
            <w:tcBorders>
              <w:right w:val="single" w:sz="4" w:space="0" w:color="auto"/>
            </w:tcBorders>
            <w:shd w:val="clear" w:color="auto" w:fill="auto"/>
          </w:tcPr>
          <w:p w14:paraId="3935BFDA"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Vatovavy Fitovinany</w:t>
            </w:r>
          </w:p>
        </w:tc>
        <w:tc>
          <w:tcPr>
            <w:tcW w:w="1430" w:type="pct"/>
            <w:tcBorders>
              <w:top w:val="single" w:sz="4" w:space="0" w:color="auto"/>
              <w:left w:val="single" w:sz="4" w:space="0" w:color="auto"/>
              <w:bottom w:val="single" w:sz="4" w:space="0" w:color="auto"/>
              <w:right w:val="single" w:sz="4" w:space="0" w:color="auto"/>
            </w:tcBorders>
            <w:shd w:val="clear" w:color="auto" w:fill="auto"/>
          </w:tcPr>
          <w:p w14:paraId="5E0DD4B4"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8,5%</w:t>
            </w:r>
          </w:p>
        </w:tc>
        <w:tc>
          <w:tcPr>
            <w:tcW w:w="1494" w:type="pct"/>
            <w:tcBorders>
              <w:top w:val="single" w:sz="4" w:space="0" w:color="auto"/>
              <w:left w:val="single" w:sz="4" w:space="0" w:color="auto"/>
              <w:bottom w:val="single" w:sz="4" w:space="0" w:color="auto"/>
            </w:tcBorders>
            <w:shd w:val="clear" w:color="auto" w:fill="auto"/>
          </w:tcPr>
          <w:p w14:paraId="53A5D44E"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3,2%</w:t>
            </w:r>
          </w:p>
        </w:tc>
      </w:tr>
      <w:tr w:rsidR="0063584D" w:rsidRPr="007F78CE" w14:paraId="55795946" w14:textId="77777777" w:rsidTr="007F78CE">
        <w:trPr>
          <w:jc w:val="center"/>
        </w:trPr>
        <w:tc>
          <w:tcPr>
            <w:tcW w:w="2076" w:type="pct"/>
            <w:tcBorders>
              <w:right w:val="single" w:sz="4" w:space="0" w:color="auto"/>
            </w:tcBorders>
            <w:shd w:val="clear" w:color="auto" w:fill="auto"/>
          </w:tcPr>
          <w:p w14:paraId="623BF776"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Ihorombe</w:t>
            </w:r>
          </w:p>
        </w:tc>
        <w:tc>
          <w:tcPr>
            <w:tcW w:w="1430" w:type="pct"/>
            <w:tcBorders>
              <w:top w:val="single" w:sz="4" w:space="0" w:color="auto"/>
              <w:left w:val="single" w:sz="4" w:space="0" w:color="auto"/>
              <w:bottom w:val="single" w:sz="4" w:space="0" w:color="auto"/>
              <w:right w:val="single" w:sz="4" w:space="0" w:color="auto"/>
            </w:tcBorders>
            <w:shd w:val="clear" w:color="auto" w:fill="auto"/>
          </w:tcPr>
          <w:p w14:paraId="31914FD9"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14,0%</w:t>
            </w:r>
          </w:p>
        </w:tc>
        <w:tc>
          <w:tcPr>
            <w:tcW w:w="1494" w:type="pct"/>
            <w:tcBorders>
              <w:top w:val="single" w:sz="4" w:space="0" w:color="auto"/>
              <w:left w:val="single" w:sz="4" w:space="0" w:color="auto"/>
              <w:bottom w:val="single" w:sz="4" w:space="0" w:color="auto"/>
            </w:tcBorders>
            <w:shd w:val="clear" w:color="auto" w:fill="auto"/>
          </w:tcPr>
          <w:p w14:paraId="2EB0F37A"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5,6%</w:t>
            </w:r>
          </w:p>
        </w:tc>
      </w:tr>
      <w:tr w:rsidR="0063584D" w:rsidRPr="007F78CE" w14:paraId="56304DF1" w14:textId="77777777" w:rsidTr="007F78CE">
        <w:trPr>
          <w:jc w:val="center"/>
        </w:trPr>
        <w:tc>
          <w:tcPr>
            <w:tcW w:w="2076" w:type="pct"/>
            <w:tcBorders>
              <w:right w:val="single" w:sz="4" w:space="0" w:color="auto"/>
            </w:tcBorders>
            <w:shd w:val="clear" w:color="auto" w:fill="auto"/>
          </w:tcPr>
          <w:p w14:paraId="2B62B6FC"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 xml:space="preserve">Atsimo Atsinanana </w:t>
            </w:r>
          </w:p>
        </w:tc>
        <w:tc>
          <w:tcPr>
            <w:tcW w:w="1430" w:type="pct"/>
            <w:tcBorders>
              <w:top w:val="single" w:sz="4" w:space="0" w:color="auto"/>
              <w:left w:val="single" w:sz="4" w:space="0" w:color="auto"/>
              <w:bottom w:val="single" w:sz="4" w:space="0" w:color="auto"/>
              <w:right w:val="single" w:sz="4" w:space="0" w:color="auto"/>
            </w:tcBorders>
            <w:shd w:val="clear" w:color="auto" w:fill="auto"/>
          </w:tcPr>
          <w:p w14:paraId="0512B240"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12,5%</w:t>
            </w:r>
          </w:p>
        </w:tc>
        <w:tc>
          <w:tcPr>
            <w:tcW w:w="1494" w:type="pct"/>
            <w:tcBorders>
              <w:top w:val="single" w:sz="4" w:space="0" w:color="auto"/>
              <w:left w:val="single" w:sz="4" w:space="0" w:color="auto"/>
              <w:bottom w:val="single" w:sz="4" w:space="0" w:color="auto"/>
            </w:tcBorders>
            <w:shd w:val="clear" w:color="auto" w:fill="auto"/>
          </w:tcPr>
          <w:p w14:paraId="394CE66A"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5,4%</w:t>
            </w:r>
          </w:p>
        </w:tc>
      </w:tr>
      <w:tr w:rsidR="0063584D" w:rsidRPr="007F78CE" w14:paraId="79733211" w14:textId="77777777" w:rsidTr="007F78CE">
        <w:trPr>
          <w:jc w:val="center"/>
        </w:trPr>
        <w:tc>
          <w:tcPr>
            <w:tcW w:w="2076" w:type="pct"/>
            <w:tcBorders>
              <w:right w:val="single" w:sz="4" w:space="0" w:color="auto"/>
            </w:tcBorders>
            <w:shd w:val="clear" w:color="auto" w:fill="auto"/>
          </w:tcPr>
          <w:p w14:paraId="162B03CD"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Atsinanana</w:t>
            </w:r>
          </w:p>
        </w:tc>
        <w:tc>
          <w:tcPr>
            <w:tcW w:w="1430" w:type="pct"/>
            <w:tcBorders>
              <w:top w:val="single" w:sz="4" w:space="0" w:color="auto"/>
              <w:left w:val="single" w:sz="4" w:space="0" w:color="auto"/>
              <w:bottom w:val="single" w:sz="4" w:space="0" w:color="auto"/>
              <w:right w:val="single" w:sz="4" w:space="0" w:color="auto"/>
            </w:tcBorders>
            <w:shd w:val="clear" w:color="auto" w:fill="auto"/>
          </w:tcPr>
          <w:p w14:paraId="0B3D7C82"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11,8%</w:t>
            </w:r>
          </w:p>
        </w:tc>
        <w:tc>
          <w:tcPr>
            <w:tcW w:w="1494" w:type="pct"/>
            <w:tcBorders>
              <w:top w:val="single" w:sz="4" w:space="0" w:color="auto"/>
              <w:left w:val="single" w:sz="4" w:space="0" w:color="auto"/>
              <w:bottom w:val="single" w:sz="4" w:space="0" w:color="auto"/>
            </w:tcBorders>
            <w:shd w:val="clear" w:color="auto" w:fill="auto"/>
          </w:tcPr>
          <w:p w14:paraId="50DE4112"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5,2%</w:t>
            </w:r>
          </w:p>
        </w:tc>
      </w:tr>
      <w:tr w:rsidR="0063584D" w:rsidRPr="007F78CE" w14:paraId="6F0D889F" w14:textId="77777777" w:rsidTr="007F78CE">
        <w:trPr>
          <w:jc w:val="center"/>
        </w:trPr>
        <w:tc>
          <w:tcPr>
            <w:tcW w:w="2076" w:type="pct"/>
            <w:tcBorders>
              <w:right w:val="single" w:sz="4" w:space="0" w:color="auto"/>
            </w:tcBorders>
            <w:shd w:val="clear" w:color="auto" w:fill="auto"/>
          </w:tcPr>
          <w:p w14:paraId="5354B0E8"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Analanjirofo</w:t>
            </w:r>
          </w:p>
        </w:tc>
        <w:tc>
          <w:tcPr>
            <w:tcW w:w="1430" w:type="pct"/>
            <w:tcBorders>
              <w:top w:val="single" w:sz="4" w:space="0" w:color="auto"/>
              <w:left w:val="single" w:sz="4" w:space="0" w:color="auto"/>
              <w:bottom w:val="single" w:sz="4" w:space="0" w:color="auto"/>
              <w:right w:val="single" w:sz="4" w:space="0" w:color="auto"/>
            </w:tcBorders>
            <w:shd w:val="clear" w:color="auto" w:fill="auto"/>
          </w:tcPr>
          <w:p w14:paraId="7313A27F"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16,4%</w:t>
            </w:r>
          </w:p>
        </w:tc>
        <w:tc>
          <w:tcPr>
            <w:tcW w:w="1494" w:type="pct"/>
            <w:tcBorders>
              <w:top w:val="single" w:sz="4" w:space="0" w:color="auto"/>
              <w:left w:val="single" w:sz="4" w:space="0" w:color="auto"/>
              <w:bottom w:val="single" w:sz="4" w:space="0" w:color="auto"/>
            </w:tcBorders>
            <w:shd w:val="clear" w:color="auto" w:fill="auto"/>
          </w:tcPr>
          <w:p w14:paraId="534DE9C2"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11,7%</w:t>
            </w:r>
          </w:p>
        </w:tc>
      </w:tr>
      <w:tr w:rsidR="0063584D" w:rsidRPr="007F78CE" w14:paraId="062DA5AE" w14:textId="77777777" w:rsidTr="007F78CE">
        <w:trPr>
          <w:jc w:val="center"/>
        </w:trPr>
        <w:tc>
          <w:tcPr>
            <w:tcW w:w="2076" w:type="pct"/>
            <w:tcBorders>
              <w:right w:val="single" w:sz="4" w:space="0" w:color="auto"/>
            </w:tcBorders>
            <w:shd w:val="clear" w:color="auto" w:fill="auto"/>
          </w:tcPr>
          <w:p w14:paraId="753F3119"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Alaotra Mangoro</w:t>
            </w:r>
          </w:p>
        </w:tc>
        <w:tc>
          <w:tcPr>
            <w:tcW w:w="1430" w:type="pct"/>
            <w:tcBorders>
              <w:top w:val="single" w:sz="4" w:space="0" w:color="auto"/>
              <w:left w:val="single" w:sz="4" w:space="0" w:color="auto"/>
              <w:bottom w:val="single" w:sz="4" w:space="0" w:color="auto"/>
              <w:right w:val="single" w:sz="4" w:space="0" w:color="auto"/>
            </w:tcBorders>
            <w:shd w:val="clear" w:color="auto" w:fill="auto"/>
          </w:tcPr>
          <w:p w14:paraId="144B774F"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11,5%</w:t>
            </w:r>
          </w:p>
        </w:tc>
        <w:tc>
          <w:tcPr>
            <w:tcW w:w="1494" w:type="pct"/>
            <w:tcBorders>
              <w:top w:val="single" w:sz="4" w:space="0" w:color="auto"/>
              <w:left w:val="single" w:sz="4" w:space="0" w:color="auto"/>
              <w:bottom w:val="single" w:sz="4" w:space="0" w:color="auto"/>
            </w:tcBorders>
            <w:shd w:val="clear" w:color="auto" w:fill="auto"/>
          </w:tcPr>
          <w:p w14:paraId="2E2CC27B"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5,0%</w:t>
            </w:r>
          </w:p>
        </w:tc>
      </w:tr>
      <w:tr w:rsidR="0063584D" w:rsidRPr="007F78CE" w14:paraId="40D02308" w14:textId="77777777" w:rsidTr="007F78CE">
        <w:trPr>
          <w:jc w:val="center"/>
        </w:trPr>
        <w:tc>
          <w:tcPr>
            <w:tcW w:w="2076" w:type="pct"/>
            <w:tcBorders>
              <w:right w:val="single" w:sz="4" w:space="0" w:color="auto"/>
            </w:tcBorders>
            <w:shd w:val="clear" w:color="auto" w:fill="auto"/>
          </w:tcPr>
          <w:p w14:paraId="2039B225"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Boeny</w:t>
            </w:r>
          </w:p>
        </w:tc>
        <w:tc>
          <w:tcPr>
            <w:tcW w:w="1430" w:type="pct"/>
            <w:tcBorders>
              <w:top w:val="single" w:sz="4" w:space="0" w:color="auto"/>
              <w:left w:val="single" w:sz="4" w:space="0" w:color="auto"/>
              <w:bottom w:val="single" w:sz="4" w:space="0" w:color="auto"/>
              <w:right w:val="single" w:sz="4" w:space="0" w:color="auto"/>
            </w:tcBorders>
            <w:shd w:val="clear" w:color="auto" w:fill="auto"/>
          </w:tcPr>
          <w:p w14:paraId="6073F62E"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10,2%</w:t>
            </w:r>
          </w:p>
        </w:tc>
        <w:tc>
          <w:tcPr>
            <w:tcW w:w="1494" w:type="pct"/>
            <w:tcBorders>
              <w:top w:val="single" w:sz="4" w:space="0" w:color="auto"/>
              <w:left w:val="single" w:sz="4" w:space="0" w:color="auto"/>
              <w:bottom w:val="single" w:sz="4" w:space="0" w:color="auto"/>
            </w:tcBorders>
            <w:shd w:val="clear" w:color="auto" w:fill="auto"/>
          </w:tcPr>
          <w:p w14:paraId="5BB81A27"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6,4%</w:t>
            </w:r>
          </w:p>
        </w:tc>
      </w:tr>
      <w:tr w:rsidR="0063584D" w:rsidRPr="007F78CE" w14:paraId="23D39289" w14:textId="77777777" w:rsidTr="007F78CE">
        <w:trPr>
          <w:jc w:val="center"/>
        </w:trPr>
        <w:tc>
          <w:tcPr>
            <w:tcW w:w="2076" w:type="pct"/>
            <w:tcBorders>
              <w:right w:val="single" w:sz="4" w:space="0" w:color="auto"/>
            </w:tcBorders>
            <w:shd w:val="clear" w:color="auto" w:fill="auto"/>
          </w:tcPr>
          <w:p w14:paraId="0BDCD415"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Sofia</w:t>
            </w:r>
          </w:p>
        </w:tc>
        <w:tc>
          <w:tcPr>
            <w:tcW w:w="1430" w:type="pct"/>
            <w:tcBorders>
              <w:top w:val="single" w:sz="4" w:space="0" w:color="auto"/>
              <w:left w:val="single" w:sz="4" w:space="0" w:color="auto"/>
              <w:bottom w:val="single" w:sz="4" w:space="0" w:color="auto"/>
              <w:right w:val="single" w:sz="4" w:space="0" w:color="auto"/>
            </w:tcBorders>
            <w:shd w:val="clear" w:color="auto" w:fill="auto"/>
          </w:tcPr>
          <w:p w14:paraId="31C0EBDE"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13,0%</w:t>
            </w:r>
          </w:p>
        </w:tc>
        <w:tc>
          <w:tcPr>
            <w:tcW w:w="1494" w:type="pct"/>
            <w:tcBorders>
              <w:top w:val="single" w:sz="4" w:space="0" w:color="auto"/>
              <w:left w:val="single" w:sz="4" w:space="0" w:color="auto"/>
              <w:bottom w:val="single" w:sz="4" w:space="0" w:color="auto"/>
            </w:tcBorders>
            <w:shd w:val="clear" w:color="auto" w:fill="auto"/>
          </w:tcPr>
          <w:p w14:paraId="51256D01"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3,9%</w:t>
            </w:r>
          </w:p>
        </w:tc>
      </w:tr>
      <w:tr w:rsidR="0063584D" w:rsidRPr="007F78CE" w14:paraId="554D6E4F" w14:textId="77777777" w:rsidTr="007F78CE">
        <w:trPr>
          <w:jc w:val="center"/>
        </w:trPr>
        <w:tc>
          <w:tcPr>
            <w:tcW w:w="2076" w:type="pct"/>
            <w:tcBorders>
              <w:right w:val="single" w:sz="4" w:space="0" w:color="auto"/>
            </w:tcBorders>
            <w:shd w:val="clear" w:color="auto" w:fill="auto"/>
          </w:tcPr>
          <w:p w14:paraId="06A95D14"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Betsiboka</w:t>
            </w:r>
          </w:p>
        </w:tc>
        <w:tc>
          <w:tcPr>
            <w:tcW w:w="1430" w:type="pct"/>
            <w:tcBorders>
              <w:top w:val="single" w:sz="4" w:space="0" w:color="auto"/>
              <w:left w:val="single" w:sz="4" w:space="0" w:color="auto"/>
              <w:bottom w:val="single" w:sz="4" w:space="0" w:color="auto"/>
              <w:right w:val="single" w:sz="4" w:space="0" w:color="auto"/>
            </w:tcBorders>
            <w:shd w:val="clear" w:color="auto" w:fill="auto"/>
          </w:tcPr>
          <w:p w14:paraId="2A646A6F"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15,3%</w:t>
            </w:r>
          </w:p>
        </w:tc>
        <w:tc>
          <w:tcPr>
            <w:tcW w:w="1494" w:type="pct"/>
            <w:tcBorders>
              <w:top w:val="single" w:sz="4" w:space="0" w:color="auto"/>
              <w:left w:val="single" w:sz="4" w:space="0" w:color="auto"/>
              <w:bottom w:val="single" w:sz="4" w:space="0" w:color="auto"/>
            </w:tcBorders>
            <w:shd w:val="clear" w:color="auto" w:fill="auto"/>
          </w:tcPr>
          <w:p w14:paraId="6953F791"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8,3%</w:t>
            </w:r>
          </w:p>
        </w:tc>
      </w:tr>
      <w:tr w:rsidR="0063584D" w:rsidRPr="007F78CE" w14:paraId="162A1A20" w14:textId="77777777" w:rsidTr="007F78CE">
        <w:trPr>
          <w:jc w:val="center"/>
        </w:trPr>
        <w:tc>
          <w:tcPr>
            <w:tcW w:w="2076" w:type="pct"/>
            <w:tcBorders>
              <w:right w:val="single" w:sz="4" w:space="0" w:color="auto"/>
            </w:tcBorders>
            <w:shd w:val="clear" w:color="auto" w:fill="auto"/>
          </w:tcPr>
          <w:p w14:paraId="168DB77A"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Melaky</w:t>
            </w:r>
          </w:p>
        </w:tc>
        <w:tc>
          <w:tcPr>
            <w:tcW w:w="1430" w:type="pct"/>
            <w:tcBorders>
              <w:top w:val="single" w:sz="4" w:space="0" w:color="auto"/>
              <w:left w:val="single" w:sz="4" w:space="0" w:color="auto"/>
              <w:bottom w:val="single" w:sz="4" w:space="0" w:color="auto"/>
              <w:right w:val="single" w:sz="4" w:space="0" w:color="auto"/>
            </w:tcBorders>
            <w:shd w:val="clear" w:color="auto" w:fill="auto"/>
          </w:tcPr>
          <w:p w14:paraId="55C47093"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9,7%</w:t>
            </w:r>
          </w:p>
        </w:tc>
        <w:tc>
          <w:tcPr>
            <w:tcW w:w="1494" w:type="pct"/>
            <w:tcBorders>
              <w:top w:val="single" w:sz="4" w:space="0" w:color="auto"/>
              <w:left w:val="single" w:sz="4" w:space="0" w:color="auto"/>
              <w:bottom w:val="single" w:sz="4" w:space="0" w:color="auto"/>
            </w:tcBorders>
            <w:shd w:val="clear" w:color="auto" w:fill="auto"/>
          </w:tcPr>
          <w:p w14:paraId="6C1FAC83"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5,6%</w:t>
            </w:r>
          </w:p>
        </w:tc>
      </w:tr>
      <w:tr w:rsidR="0063584D" w:rsidRPr="007F78CE" w14:paraId="1362B5D5" w14:textId="77777777" w:rsidTr="007F78CE">
        <w:trPr>
          <w:jc w:val="center"/>
        </w:trPr>
        <w:tc>
          <w:tcPr>
            <w:tcW w:w="2076" w:type="pct"/>
            <w:tcBorders>
              <w:right w:val="single" w:sz="4" w:space="0" w:color="auto"/>
            </w:tcBorders>
            <w:shd w:val="clear" w:color="auto" w:fill="auto"/>
          </w:tcPr>
          <w:p w14:paraId="6838ECE7"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Atsimo Andrefana</w:t>
            </w:r>
          </w:p>
        </w:tc>
        <w:tc>
          <w:tcPr>
            <w:tcW w:w="1430" w:type="pct"/>
            <w:tcBorders>
              <w:top w:val="single" w:sz="4" w:space="0" w:color="auto"/>
              <w:left w:val="single" w:sz="4" w:space="0" w:color="auto"/>
              <w:bottom w:val="single" w:sz="4" w:space="0" w:color="auto"/>
              <w:right w:val="single" w:sz="4" w:space="0" w:color="auto"/>
            </w:tcBorders>
            <w:shd w:val="clear" w:color="auto" w:fill="auto"/>
          </w:tcPr>
          <w:p w14:paraId="6AE54B5B"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3,0%</w:t>
            </w:r>
          </w:p>
        </w:tc>
        <w:tc>
          <w:tcPr>
            <w:tcW w:w="1494" w:type="pct"/>
            <w:tcBorders>
              <w:top w:val="single" w:sz="4" w:space="0" w:color="auto"/>
              <w:left w:val="single" w:sz="4" w:space="0" w:color="auto"/>
              <w:bottom w:val="single" w:sz="4" w:space="0" w:color="auto"/>
            </w:tcBorders>
            <w:shd w:val="clear" w:color="auto" w:fill="auto"/>
          </w:tcPr>
          <w:p w14:paraId="7988E268"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1,6%</w:t>
            </w:r>
          </w:p>
        </w:tc>
      </w:tr>
      <w:tr w:rsidR="0063584D" w:rsidRPr="007F78CE" w14:paraId="4E824E6B" w14:textId="77777777" w:rsidTr="007F78CE">
        <w:trPr>
          <w:jc w:val="center"/>
        </w:trPr>
        <w:tc>
          <w:tcPr>
            <w:tcW w:w="2076" w:type="pct"/>
            <w:tcBorders>
              <w:right w:val="single" w:sz="4" w:space="0" w:color="auto"/>
            </w:tcBorders>
            <w:shd w:val="clear" w:color="auto" w:fill="auto"/>
          </w:tcPr>
          <w:p w14:paraId="4CE65E35"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Androy</w:t>
            </w:r>
          </w:p>
        </w:tc>
        <w:tc>
          <w:tcPr>
            <w:tcW w:w="1430" w:type="pct"/>
            <w:tcBorders>
              <w:top w:val="single" w:sz="4" w:space="0" w:color="auto"/>
              <w:left w:val="single" w:sz="4" w:space="0" w:color="auto"/>
              <w:bottom w:val="single" w:sz="4" w:space="0" w:color="auto"/>
              <w:right w:val="single" w:sz="4" w:space="0" w:color="auto"/>
            </w:tcBorders>
            <w:shd w:val="clear" w:color="auto" w:fill="auto"/>
          </w:tcPr>
          <w:p w14:paraId="3CB8E913"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5,8%</w:t>
            </w:r>
          </w:p>
        </w:tc>
        <w:tc>
          <w:tcPr>
            <w:tcW w:w="1494" w:type="pct"/>
            <w:tcBorders>
              <w:top w:val="single" w:sz="4" w:space="0" w:color="auto"/>
              <w:left w:val="single" w:sz="4" w:space="0" w:color="auto"/>
              <w:bottom w:val="single" w:sz="4" w:space="0" w:color="auto"/>
            </w:tcBorders>
            <w:shd w:val="clear" w:color="auto" w:fill="auto"/>
          </w:tcPr>
          <w:p w14:paraId="1CD2653B"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2,9%</w:t>
            </w:r>
          </w:p>
        </w:tc>
      </w:tr>
      <w:tr w:rsidR="0063584D" w:rsidRPr="007F78CE" w14:paraId="4D91C310" w14:textId="77777777" w:rsidTr="007F78CE">
        <w:trPr>
          <w:jc w:val="center"/>
        </w:trPr>
        <w:tc>
          <w:tcPr>
            <w:tcW w:w="2076" w:type="pct"/>
            <w:tcBorders>
              <w:right w:val="single" w:sz="4" w:space="0" w:color="auto"/>
            </w:tcBorders>
            <w:shd w:val="clear" w:color="auto" w:fill="auto"/>
          </w:tcPr>
          <w:p w14:paraId="78072B5F"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Anosy</w:t>
            </w:r>
          </w:p>
        </w:tc>
        <w:tc>
          <w:tcPr>
            <w:tcW w:w="1430" w:type="pct"/>
            <w:tcBorders>
              <w:top w:val="single" w:sz="4" w:space="0" w:color="auto"/>
              <w:left w:val="single" w:sz="4" w:space="0" w:color="auto"/>
              <w:bottom w:val="single" w:sz="4" w:space="0" w:color="auto"/>
              <w:right w:val="single" w:sz="4" w:space="0" w:color="auto"/>
            </w:tcBorders>
            <w:shd w:val="clear" w:color="auto" w:fill="auto"/>
          </w:tcPr>
          <w:p w14:paraId="4617C6CF"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19,1%</w:t>
            </w:r>
          </w:p>
        </w:tc>
        <w:tc>
          <w:tcPr>
            <w:tcW w:w="1494" w:type="pct"/>
            <w:tcBorders>
              <w:top w:val="single" w:sz="4" w:space="0" w:color="auto"/>
              <w:left w:val="single" w:sz="4" w:space="0" w:color="auto"/>
              <w:bottom w:val="single" w:sz="4" w:space="0" w:color="auto"/>
            </w:tcBorders>
            <w:shd w:val="clear" w:color="auto" w:fill="auto"/>
          </w:tcPr>
          <w:p w14:paraId="1932D13D"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8,6%</w:t>
            </w:r>
          </w:p>
        </w:tc>
      </w:tr>
      <w:tr w:rsidR="0063584D" w:rsidRPr="007F78CE" w14:paraId="3D21C206" w14:textId="77777777" w:rsidTr="007F78CE">
        <w:trPr>
          <w:jc w:val="center"/>
        </w:trPr>
        <w:tc>
          <w:tcPr>
            <w:tcW w:w="2076" w:type="pct"/>
            <w:tcBorders>
              <w:right w:val="single" w:sz="4" w:space="0" w:color="auto"/>
            </w:tcBorders>
            <w:shd w:val="clear" w:color="auto" w:fill="auto"/>
          </w:tcPr>
          <w:p w14:paraId="6BF5159A"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Menabe</w:t>
            </w:r>
          </w:p>
        </w:tc>
        <w:tc>
          <w:tcPr>
            <w:tcW w:w="1430" w:type="pct"/>
            <w:tcBorders>
              <w:top w:val="single" w:sz="4" w:space="0" w:color="auto"/>
              <w:left w:val="single" w:sz="4" w:space="0" w:color="auto"/>
              <w:bottom w:val="single" w:sz="4" w:space="0" w:color="auto"/>
              <w:right w:val="single" w:sz="4" w:space="0" w:color="auto"/>
            </w:tcBorders>
            <w:shd w:val="clear" w:color="auto" w:fill="auto"/>
          </w:tcPr>
          <w:p w14:paraId="344A9827"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20,8%</w:t>
            </w:r>
          </w:p>
        </w:tc>
        <w:tc>
          <w:tcPr>
            <w:tcW w:w="1494" w:type="pct"/>
            <w:tcBorders>
              <w:top w:val="single" w:sz="4" w:space="0" w:color="auto"/>
              <w:left w:val="single" w:sz="4" w:space="0" w:color="auto"/>
              <w:bottom w:val="single" w:sz="4" w:space="0" w:color="auto"/>
            </w:tcBorders>
            <w:shd w:val="clear" w:color="auto" w:fill="auto"/>
          </w:tcPr>
          <w:p w14:paraId="2CBBD687"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15,7%</w:t>
            </w:r>
          </w:p>
        </w:tc>
      </w:tr>
      <w:tr w:rsidR="0063584D" w:rsidRPr="007F78CE" w14:paraId="4EAD1D2E" w14:textId="77777777" w:rsidTr="007F78CE">
        <w:trPr>
          <w:jc w:val="center"/>
        </w:trPr>
        <w:tc>
          <w:tcPr>
            <w:tcW w:w="2076" w:type="pct"/>
            <w:tcBorders>
              <w:right w:val="single" w:sz="4" w:space="0" w:color="auto"/>
            </w:tcBorders>
            <w:shd w:val="clear" w:color="auto" w:fill="auto"/>
          </w:tcPr>
          <w:p w14:paraId="531D36DF"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D</w:t>
            </w:r>
            <w:r w:rsidR="006D5F22">
              <w:rPr>
                <w:rFonts w:ascii="Arial Narrow" w:hAnsi="Arial Narrow"/>
              </w:rPr>
              <w:t>IANA</w:t>
            </w:r>
          </w:p>
        </w:tc>
        <w:tc>
          <w:tcPr>
            <w:tcW w:w="1430" w:type="pct"/>
            <w:tcBorders>
              <w:top w:val="single" w:sz="4" w:space="0" w:color="auto"/>
              <w:left w:val="single" w:sz="4" w:space="0" w:color="auto"/>
              <w:bottom w:val="single" w:sz="4" w:space="0" w:color="auto"/>
              <w:right w:val="single" w:sz="4" w:space="0" w:color="auto"/>
            </w:tcBorders>
            <w:shd w:val="clear" w:color="auto" w:fill="auto"/>
          </w:tcPr>
          <w:p w14:paraId="22CEE8EC"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10,3%</w:t>
            </w:r>
          </w:p>
        </w:tc>
        <w:tc>
          <w:tcPr>
            <w:tcW w:w="1494" w:type="pct"/>
            <w:tcBorders>
              <w:top w:val="single" w:sz="4" w:space="0" w:color="auto"/>
              <w:left w:val="single" w:sz="4" w:space="0" w:color="auto"/>
              <w:bottom w:val="single" w:sz="4" w:space="0" w:color="auto"/>
            </w:tcBorders>
            <w:shd w:val="clear" w:color="auto" w:fill="auto"/>
          </w:tcPr>
          <w:p w14:paraId="76CA6C64"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3,6%</w:t>
            </w:r>
          </w:p>
        </w:tc>
      </w:tr>
      <w:tr w:rsidR="0063584D" w:rsidRPr="007F78CE" w14:paraId="35C3BC74" w14:textId="77777777" w:rsidTr="007F78CE">
        <w:trPr>
          <w:jc w:val="center"/>
        </w:trPr>
        <w:tc>
          <w:tcPr>
            <w:tcW w:w="2076" w:type="pct"/>
            <w:shd w:val="clear" w:color="auto" w:fill="auto"/>
          </w:tcPr>
          <w:p w14:paraId="62455A6E"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S</w:t>
            </w:r>
            <w:r w:rsidR="006D5F22">
              <w:rPr>
                <w:rFonts w:ascii="Arial Narrow" w:hAnsi="Arial Narrow"/>
              </w:rPr>
              <w:t>AVA</w:t>
            </w:r>
          </w:p>
        </w:tc>
        <w:tc>
          <w:tcPr>
            <w:tcW w:w="1430" w:type="pct"/>
            <w:tcBorders>
              <w:top w:val="single" w:sz="4" w:space="0" w:color="auto"/>
              <w:bottom w:val="single" w:sz="4" w:space="0" w:color="auto"/>
            </w:tcBorders>
            <w:shd w:val="clear" w:color="auto" w:fill="auto"/>
          </w:tcPr>
          <w:p w14:paraId="19AB1D4F"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6,1%</w:t>
            </w:r>
          </w:p>
        </w:tc>
        <w:tc>
          <w:tcPr>
            <w:tcW w:w="1494" w:type="pct"/>
            <w:tcBorders>
              <w:top w:val="single" w:sz="4" w:space="0" w:color="auto"/>
              <w:bottom w:val="single" w:sz="4" w:space="0" w:color="auto"/>
            </w:tcBorders>
            <w:shd w:val="clear" w:color="auto" w:fill="auto"/>
          </w:tcPr>
          <w:p w14:paraId="54901007"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2,3%</w:t>
            </w:r>
          </w:p>
        </w:tc>
      </w:tr>
      <w:tr w:rsidR="0063584D" w:rsidRPr="007F78CE" w14:paraId="09A1C7AC" w14:textId="77777777" w:rsidTr="007F78CE">
        <w:trPr>
          <w:jc w:val="center"/>
        </w:trPr>
        <w:tc>
          <w:tcPr>
            <w:tcW w:w="2076" w:type="pct"/>
            <w:shd w:val="clear" w:color="auto" w:fill="auto"/>
          </w:tcPr>
          <w:p w14:paraId="312174CD" w14:textId="77777777" w:rsidR="00C21029" w:rsidRPr="007F78CE" w:rsidRDefault="00C21029" w:rsidP="007F78CE">
            <w:pPr>
              <w:spacing w:after="0" w:line="240" w:lineRule="auto"/>
              <w:jc w:val="both"/>
              <w:rPr>
                <w:rFonts w:ascii="Arial Narrow" w:hAnsi="Arial Narrow"/>
                <w:b/>
              </w:rPr>
            </w:pPr>
            <w:r w:rsidRPr="007F78CE">
              <w:rPr>
                <w:rFonts w:ascii="Arial Narrow" w:hAnsi="Arial Narrow"/>
                <w:b/>
              </w:rPr>
              <w:t>Moyenne au niveau National</w:t>
            </w:r>
          </w:p>
        </w:tc>
        <w:tc>
          <w:tcPr>
            <w:tcW w:w="1430" w:type="pct"/>
            <w:tcBorders>
              <w:top w:val="single" w:sz="4" w:space="0" w:color="auto"/>
              <w:bottom w:val="single" w:sz="4" w:space="0" w:color="auto"/>
            </w:tcBorders>
            <w:shd w:val="clear" w:color="auto" w:fill="auto"/>
            <w:vAlign w:val="center"/>
          </w:tcPr>
          <w:p w14:paraId="6B8A9AF6" w14:textId="77777777" w:rsidR="00C21029" w:rsidRPr="007F78CE" w:rsidRDefault="00C21029" w:rsidP="007F78CE">
            <w:pPr>
              <w:spacing w:after="0" w:line="240" w:lineRule="auto"/>
              <w:jc w:val="both"/>
              <w:rPr>
                <w:rFonts w:ascii="Arial Narrow" w:hAnsi="Arial Narrow"/>
                <w:b/>
              </w:rPr>
            </w:pPr>
            <w:r w:rsidRPr="007F78CE">
              <w:rPr>
                <w:rFonts w:ascii="Arial Narrow" w:hAnsi="Arial Narrow"/>
                <w:b/>
              </w:rPr>
              <w:t>13,5%</w:t>
            </w:r>
          </w:p>
        </w:tc>
        <w:tc>
          <w:tcPr>
            <w:tcW w:w="1494" w:type="pct"/>
            <w:tcBorders>
              <w:top w:val="single" w:sz="4" w:space="0" w:color="auto"/>
              <w:bottom w:val="single" w:sz="4" w:space="0" w:color="auto"/>
            </w:tcBorders>
            <w:shd w:val="clear" w:color="auto" w:fill="auto"/>
            <w:vAlign w:val="center"/>
          </w:tcPr>
          <w:p w14:paraId="3F67BBF0" w14:textId="77777777" w:rsidR="00C21029" w:rsidRPr="007F78CE" w:rsidRDefault="00C21029" w:rsidP="007F78CE">
            <w:pPr>
              <w:spacing w:after="0" w:line="240" w:lineRule="auto"/>
              <w:jc w:val="both"/>
              <w:rPr>
                <w:rFonts w:ascii="Arial Narrow" w:hAnsi="Arial Narrow"/>
                <w:b/>
              </w:rPr>
            </w:pPr>
            <w:r w:rsidRPr="007F78CE">
              <w:rPr>
                <w:rFonts w:ascii="Arial Narrow" w:hAnsi="Arial Narrow"/>
                <w:b/>
              </w:rPr>
              <w:t>6,4%</w:t>
            </w:r>
          </w:p>
        </w:tc>
      </w:tr>
    </w:tbl>
    <w:p w14:paraId="1E75D107" w14:textId="77777777" w:rsidR="00C21029" w:rsidRDefault="00C21029" w:rsidP="00F91FA3">
      <w:pPr>
        <w:ind w:firstLine="567"/>
        <w:jc w:val="both"/>
      </w:pPr>
      <w:r>
        <w:t>Source : MICS 2018</w:t>
      </w:r>
    </w:p>
    <w:p w14:paraId="28E0AE38" w14:textId="77777777" w:rsidR="00C21029" w:rsidRDefault="00C21029" w:rsidP="009579DB">
      <w:pPr>
        <w:spacing w:before="120" w:after="120" w:line="240" w:lineRule="auto"/>
        <w:jc w:val="both"/>
      </w:pPr>
      <w:r>
        <w:t>Les statistiques nous renseignent combien même les violences sexuelles envers les femmes persistent toujours, bien que c’est parfois non dénoncé pour de nombreuses raisons. Il importe ainsi que le Projet puisse travailler pour la prévention de ces risques de violences sexuelles dont l’auteur pourrait être un travailleur direct ou non direct du Projet.</w:t>
      </w:r>
    </w:p>
    <w:p w14:paraId="4E88686B" w14:textId="77777777" w:rsidR="00C21029" w:rsidRPr="00593D92" w:rsidRDefault="00C21029" w:rsidP="0044500E">
      <w:pPr>
        <w:pStyle w:val="Paragraphedeliste"/>
        <w:numPr>
          <w:ilvl w:val="0"/>
          <w:numId w:val="161"/>
        </w:numPr>
        <w:spacing w:after="160" w:line="240" w:lineRule="exact"/>
        <w:jc w:val="both"/>
        <w:rPr>
          <w:b/>
          <w:bCs/>
        </w:rPr>
      </w:pPr>
      <w:r w:rsidRPr="00593D92">
        <w:rPr>
          <w:b/>
          <w:bCs/>
        </w:rPr>
        <w:t>Violence</w:t>
      </w:r>
      <w:r>
        <w:rPr>
          <w:b/>
          <w:bCs/>
        </w:rPr>
        <w:t xml:space="preserve"> conjugale</w:t>
      </w:r>
    </w:p>
    <w:p w14:paraId="621AB50C" w14:textId="77777777" w:rsidR="00C21029" w:rsidRDefault="00C21029" w:rsidP="009579DB">
      <w:pPr>
        <w:spacing w:before="120" w:after="120" w:line="240" w:lineRule="auto"/>
        <w:jc w:val="both"/>
      </w:pPr>
      <w:r>
        <w:t>La violence conjugale se réfère à la violence psychologique ou émotionnelle, la violence physique et la violence sexuelle perpétrée par le mari/partenaire actuel des femmes actuellement mariées/en union ou le dernier mari/partenaire des femmes divorcées, séparées ou veuves ou précédemment en union.</w:t>
      </w:r>
    </w:p>
    <w:p w14:paraId="35A087F1" w14:textId="77777777" w:rsidR="00C21029" w:rsidRDefault="00C21029" w:rsidP="009579DB">
      <w:pPr>
        <w:spacing w:before="120" w:after="120" w:line="240" w:lineRule="auto"/>
        <w:jc w:val="both"/>
      </w:pPr>
      <w:r>
        <w:t xml:space="preserve">A la lecture du tableau ci-dessous, il apparait que les violences de type émotionnel sont assez fréquentes chez les femmes (exercées par le conjoint). A constater que le pourcentage pour les deux Régions d’intervention est élevé par rapport à la moyenne nationale, à hauteur de 41,4% pour Alaotra Mangoro et de 45,3% pour Sofia. A mentionner aussi que 5% des femmes subissent en même temps les trois types de violences et ce taux est tout de même non négligeable. </w:t>
      </w:r>
    </w:p>
    <w:p w14:paraId="6A8C08AE" w14:textId="77777777" w:rsidR="00C21029" w:rsidRDefault="00C21029">
      <w:pPr>
        <w:rPr>
          <w:rFonts w:ascii="Times New Roman" w:hAnsi="Times New Roman"/>
        </w:rPr>
      </w:pPr>
      <w:bookmarkStart w:id="1980" w:name="_Toc124140860"/>
      <w:r>
        <w:rPr>
          <w:rFonts w:ascii="Times New Roman" w:hAnsi="Times New Roman"/>
        </w:rPr>
        <w:br w:type="page"/>
      </w:r>
    </w:p>
    <w:p w14:paraId="1935FD24" w14:textId="77777777" w:rsidR="00C21029" w:rsidRPr="009579DB" w:rsidRDefault="00C21029" w:rsidP="009579DB">
      <w:pPr>
        <w:pStyle w:val="Lgende"/>
      </w:pPr>
      <w:bookmarkStart w:id="1981" w:name="_Toc124312958"/>
      <w:bookmarkStart w:id="1982" w:name="_Toc125096834"/>
      <w:bookmarkStart w:id="1983" w:name="_Toc125403022"/>
      <w:bookmarkStart w:id="1984" w:name="_Toc127957899"/>
      <w:r w:rsidRPr="009579DB">
        <w:t xml:space="preserve">Tableau </w:t>
      </w:r>
      <w:r w:rsidRPr="009579DB">
        <w:fldChar w:fldCharType="begin"/>
      </w:r>
      <w:r w:rsidRPr="009579DB">
        <w:instrText xml:space="preserve"> SEQ Tableau \* ARABIC </w:instrText>
      </w:r>
      <w:r w:rsidRPr="009579DB">
        <w:fldChar w:fldCharType="separate"/>
      </w:r>
      <w:r w:rsidR="005430A1">
        <w:rPr>
          <w:noProof/>
        </w:rPr>
        <w:t>103</w:t>
      </w:r>
      <w:r w:rsidRPr="009579DB">
        <w:fldChar w:fldCharType="end"/>
      </w:r>
      <w:r w:rsidRPr="009579DB">
        <w:t xml:space="preserve"> : Indicateurs liés à la violence conjugale selon leurs caractéristiques au niveau </w:t>
      </w:r>
      <w:bookmarkEnd w:id="1980"/>
      <w:r w:rsidRPr="009579DB">
        <w:t>national</w:t>
      </w:r>
      <w:bookmarkEnd w:id="1981"/>
      <w:bookmarkEnd w:id="1982"/>
      <w:bookmarkEnd w:id="1983"/>
      <w:bookmarkEnd w:id="1984"/>
    </w:p>
    <w:tbl>
      <w:tblPr>
        <w:tblW w:w="36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1334"/>
        <w:gridCol w:w="1334"/>
        <w:gridCol w:w="1334"/>
        <w:gridCol w:w="1329"/>
      </w:tblGrid>
      <w:tr w:rsidR="00C21029" w:rsidRPr="007F78CE" w14:paraId="0A3DB897" w14:textId="77777777" w:rsidTr="007F78CE">
        <w:trPr>
          <w:jc w:val="center"/>
        </w:trPr>
        <w:tc>
          <w:tcPr>
            <w:tcW w:w="5000" w:type="pct"/>
            <w:gridSpan w:val="5"/>
            <w:shd w:val="clear" w:color="auto" w:fill="auto"/>
            <w:vAlign w:val="center"/>
          </w:tcPr>
          <w:p w14:paraId="473D0034" w14:textId="77777777" w:rsidR="00C21029" w:rsidRPr="007F78CE" w:rsidRDefault="00C21029" w:rsidP="007F78CE">
            <w:pPr>
              <w:spacing w:after="0" w:line="240" w:lineRule="auto"/>
              <w:jc w:val="both"/>
              <w:rPr>
                <w:rFonts w:ascii="Arial Narrow" w:hAnsi="Arial Narrow"/>
                <w:b/>
                <w:bCs/>
                <w:sz w:val="18"/>
                <w:szCs w:val="18"/>
              </w:rPr>
            </w:pPr>
            <w:r w:rsidRPr="007F78CE">
              <w:rPr>
                <w:rFonts w:ascii="Arial Narrow" w:hAnsi="Arial Narrow"/>
                <w:b/>
                <w:bCs/>
                <w:sz w:val="18"/>
                <w:szCs w:val="18"/>
              </w:rPr>
              <w:t xml:space="preserve">Violence conjugale au cours de leur vie </w:t>
            </w:r>
          </w:p>
        </w:tc>
      </w:tr>
      <w:tr w:rsidR="0063584D" w:rsidRPr="007F78CE" w14:paraId="49EA97D8" w14:textId="77777777" w:rsidTr="007F78CE">
        <w:trPr>
          <w:jc w:val="center"/>
        </w:trPr>
        <w:tc>
          <w:tcPr>
            <w:tcW w:w="968" w:type="pct"/>
            <w:shd w:val="clear" w:color="auto" w:fill="auto"/>
            <w:vAlign w:val="center"/>
          </w:tcPr>
          <w:p w14:paraId="7CDF2955" w14:textId="77777777" w:rsidR="00C21029" w:rsidRPr="007F78CE" w:rsidRDefault="00C21029" w:rsidP="007F78CE">
            <w:pPr>
              <w:spacing w:after="0" w:line="240" w:lineRule="auto"/>
              <w:jc w:val="both"/>
              <w:rPr>
                <w:rFonts w:ascii="Arial Narrow" w:hAnsi="Arial Narrow"/>
                <w:sz w:val="18"/>
                <w:szCs w:val="18"/>
              </w:rPr>
            </w:pPr>
            <w:r w:rsidRPr="007F78CE">
              <w:rPr>
                <w:rFonts w:ascii="Arial Narrow" w:hAnsi="Arial Narrow"/>
                <w:sz w:val="18"/>
                <w:szCs w:val="18"/>
              </w:rPr>
              <w:t>Pourcentage de femmes ayant subi de violence émotionnelle conjugale</w:t>
            </w:r>
          </w:p>
        </w:tc>
        <w:tc>
          <w:tcPr>
            <w:tcW w:w="1009" w:type="pct"/>
            <w:shd w:val="clear" w:color="auto" w:fill="auto"/>
            <w:vAlign w:val="center"/>
          </w:tcPr>
          <w:p w14:paraId="18418FBA" w14:textId="77777777" w:rsidR="00C21029" w:rsidRPr="007F78CE" w:rsidRDefault="00C21029" w:rsidP="007F78CE">
            <w:pPr>
              <w:spacing w:after="0" w:line="240" w:lineRule="auto"/>
              <w:jc w:val="both"/>
              <w:rPr>
                <w:rFonts w:ascii="Arial Narrow" w:hAnsi="Arial Narrow"/>
                <w:sz w:val="18"/>
                <w:szCs w:val="18"/>
              </w:rPr>
            </w:pPr>
            <w:r w:rsidRPr="007F78CE">
              <w:rPr>
                <w:rFonts w:ascii="Arial Narrow" w:hAnsi="Arial Narrow"/>
                <w:sz w:val="18"/>
                <w:szCs w:val="18"/>
              </w:rPr>
              <w:t>Pourcentage de femmes ayant subi de violence physique conjugale</w:t>
            </w:r>
          </w:p>
        </w:tc>
        <w:tc>
          <w:tcPr>
            <w:tcW w:w="1009" w:type="pct"/>
            <w:shd w:val="clear" w:color="auto" w:fill="auto"/>
            <w:vAlign w:val="center"/>
          </w:tcPr>
          <w:p w14:paraId="26339123" w14:textId="77777777" w:rsidR="00C21029" w:rsidRPr="007F78CE" w:rsidRDefault="00C21029" w:rsidP="007F78CE">
            <w:pPr>
              <w:spacing w:after="0" w:line="240" w:lineRule="auto"/>
              <w:jc w:val="both"/>
              <w:rPr>
                <w:rFonts w:ascii="Arial Narrow" w:hAnsi="Arial Narrow"/>
                <w:sz w:val="18"/>
                <w:szCs w:val="18"/>
              </w:rPr>
            </w:pPr>
            <w:r w:rsidRPr="007F78CE">
              <w:rPr>
                <w:rFonts w:ascii="Arial Narrow" w:hAnsi="Arial Narrow"/>
                <w:sz w:val="18"/>
                <w:szCs w:val="18"/>
              </w:rPr>
              <w:t>Pourcentage de femmes ayant subi de violence sexuelle conjugale</w:t>
            </w:r>
          </w:p>
        </w:tc>
        <w:tc>
          <w:tcPr>
            <w:tcW w:w="1009" w:type="pct"/>
            <w:shd w:val="clear" w:color="auto" w:fill="auto"/>
            <w:vAlign w:val="center"/>
          </w:tcPr>
          <w:p w14:paraId="2353B8E5" w14:textId="77777777" w:rsidR="00C21029" w:rsidRPr="007F78CE" w:rsidRDefault="00C21029" w:rsidP="007F78CE">
            <w:pPr>
              <w:spacing w:after="0" w:line="240" w:lineRule="auto"/>
              <w:jc w:val="both"/>
              <w:rPr>
                <w:rFonts w:ascii="Arial Narrow" w:hAnsi="Arial Narrow"/>
                <w:sz w:val="18"/>
                <w:szCs w:val="18"/>
              </w:rPr>
            </w:pPr>
            <w:r w:rsidRPr="007F78CE">
              <w:rPr>
                <w:rFonts w:ascii="Arial Narrow" w:hAnsi="Arial Narrow"/>
                <w:sz w:val="18"/>
                <w:szCs w:val="18"/>
              </w:rPr>
              <w:t>Pourcentage de femmes ayant subi de violence physique et sexuelle conjugale</w:t>
            </w:r>
          </w:p>
        </w:tc>
        <w:tc>
          <w:tcPr>
            <w:tcW w:w="1005" w:type="pct"/>
            <w:shd w:val="clear" w:color="auto" w:fill="auto"/>
            <w:vAlign w:val="center"/>
          </w:tcPr>
          <w:p w14:paraId="5DE8E01D" w14:textId="77777777" w:rsidR="00C21029" w:rsidRPr="007F78CE" w:rsidRDefault="00C21029" w:rsidP="007F78CE">
            <w:pPr>
              <w:spacing w:after="0" w:line="240" w:lineRule="auto"/>
              <w:jc w:val="both"/>
              <w:rPr>
                <w:rFonts w:ascii="Arial Narrow" w:hAnsi="Arial Narrow"/>
                <w:sz w:val="18"/>
                <w:szCs w:val="18"/>
              </w:rPr>
            </w:pPr>
            <w:r w:rsidRPr="007F78CE">
              <w:rPr>
                <w:rFonts w:ascii="Arial Narrow" w:hAnsi="Arial Narrow"/>
                <w:sz w:val="18"/>
                <w:szCs w:val="18"/>
              </w:rPr>
              <w:t>Pourcentage de femmes ayant subi de violence physique et sexuelle et émotionnelle conjugale</w:t>
            </w:r>
          </w:p>
        </w:tc>
      </w:tr>
      <w:tr w:rsidR="0063584D" w:rsidRPr="007F78CE" w14:paraId="1F741EE6" w14:textId="77777777" w:rsidTr="007F78CE">
        <w:trPr>
          <w:jc w:val="center"/>
        </w:trPr>
        <w:tc>
          <w:tcPr>
            <w:tcW w:w="968" w:type="pct"/>
            <w:tcBorders>
              <w:bottom w:val="single" w:sz="4" w:space="0" w:color="auto"/>
            </w:tcBorders>
            <w:shd w:val="clear" w:color="auto" w:fill="auto"/>
            <w:vAlign w:val="center"/>
          </w:tcPr>
          <w:p w14:paraId="47D0151B"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33,5%</w:t>
            </w:r>
          </w:p>
        </w:tc>
        <w:tc>
          <w:tcPr>
            <w:tcW w:w="1009" w:type="pct"/>
            <w:tcBorders>
              <w:bottom w:val="single" w:sz="4" w:space="0" w:color="auto"/>
            </w:tcBorders>
            <w:shd w:val="clear" w:color="auto" w:fill="auto"/>
            <w:vAlign w:val="center"/>
          </w:tcPr>
          <w:p w14:paraId="14C68C45"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23,3%</w:t>
            </w:r>
          </w:p>
        </w:tc>
        <w:tc>
          <w:tcPr>
            <w:tcW w:w="1009" w:type="pct"/>
            <w:tcBorders>
              <w:bottom w:val="single" w:sz="4" w:space="0" w:color="auto"/>
            </w:tcBorders>
            <w:shd w:val="clear" w:color="auto" w:fill="auto"/>
          </w:tcPr>
          <w:p w14:paraId="1FFFF648"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10,8%</w:t>
            </w:r>
          </w:p>
        </w:tc>
        <w:tc>
          <w:tcPr>
            <w:tcW w:w="1009" w:type="pct"/>
            <w:tcBorders>
              <w:bottom w:val="single" w:sz="4" w:space="0" w:color="auto"/>
            </w:tcBorders>
            <w:shd w:val="clear" w:color="auto" w:fill="auto"/>
          </w:tcPr>
          <w:p w14:paraId="3997D903"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5,9%</w:t>
            </w:r>
          </w:p>
        </w:tc>
        <w:tc>
          <w:tcPr>
            <w:tcW w:w="1005" w:type="pct"/>
            <w:tcBorders>
              <w:bottom w:val="single" w:sz="4" w:space="0" w:color="auto"/>
            </w:tcBorders>
            <w:shd w:val="clear" w:color="auto" w:fill="auto"/>
          </w:tcPr>
          <w:p w14:paraId="116D0C0E"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4,9%</w:t>
            </w:r>
          </w:p>
        </w:tc>
      </w:tr>
      <w:tr w:rsidR="00C21029" w:rsidRPr="007F78CE" w14:paraId="4BEF5A0A" w14:textId="77777777" w:rsidTr="007F78CE">
        <w:trPr>
          <w:jc w:val="center"/>
        </w:trPr>
        <w:tc>
          <w:tcPr>
            <w:tcW w:w="5000" w:type="pct"/>
            <w:gridSpan w:val="5"/>
            <w:tcBorders>
              <w:top w:val="single" w:sz="4" w:space="0" w:color="auto"/>
              <w:bottom w:val="single" w:sz="4" w:space="0" w:color="auto"/>
            </w:tcBorders>
            <w:shd w:val="clear" w:color="auto" w:fill="auto"/>
            <w:vAlign w:val="center"/>
          </w:tcPr>
          <w:p w14:paraId="44D21EAB" w14:textId="77777777" w:rsidR="00C21029" w:rsidRPr="007F78CE" w:rsidRDefault="00C21029" w:rsidP="007F78CE">
            <w:pPr>
              <w:spacing w:after="0" w:line="240" w:lineRule="auto"/>
              <w:jc w:val="both"/>
              <w:rPr>
                <w:rFonts w:ascii="Arial Narrow" w:hAnsi="Arial Narrow"/>
              </w:rPr>
            </w:pPr>
            <w:r w:rsidRPr="007F78CE">
              <w:rPr>
                <w:rFonts w:ascii="Arial Narrow" w:hAnsi="Arial Narrow"/>
                <w:b/>
                <w:bCs/>
                <w:sz w:val="18"/>
                <w:szCs w:val="18"/>
              </w:rPr>
              <w:t>Violence conjugale au cours des 12 derniers mois précédant l’enquête</w:t>
            </w:r>
          </w:p>
        </w:tc>
      </w:tr>
      <w:tr w:rsidR="0063584D" w:rsidRPr="007F78CE" w14:paraId="7B91FB23" w14:textId="77777777" w:rsidTr="007F78CE">
        <w:trPr>
          <w:jc w:val="center"/>
        </w:trPr>
        <w:tc>
          <w:tcPr>
            <w:tcW w:w="968" w:type="pct"/>
            <w:tcBorders>
              <w:top w:val="single" w:sz="4" w:space="0" w:color="auto"/>
              <w:bottom w:val="single" w:sz="4" w:space="0" w:color="auto"/>
            </w:tcBorders>
            <w:shd w:val="clear" w:color="auto" w:fill="auto"/>
            <w:vAlign w:val="center"/>
          </w:tcPr>
          <w:p w14:paraId="385E1C42"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23,0%</w:t>
            </w:r>
          </w:p>
        </w:tc>
        <w:tc>
          <w:tcPr>
            <w:tcW w:w="1009" w:type="pct"/>
            <w:tcBorders>
              <w:top w:val="single" w:sz="4" w:space="0" w:color="auto"/>
              <w:bottom w:val="single" w:sz="4" w:space="0" w:color="auto"/>
            </w:tcBorders>
            <w:shd w:val="clear" w:color="auto" w:fill="auto"/>
            <w:vAlign w:val="center"/>
          </w:tcPr>
          <w:p w14:paraId="0D6ED5AA"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11,9%</w:t>
            </w:r>
          </w:p>
        </w:tc>
        <w:tc>
          <w:tcPr>
            <w:tcW w:w="1009" w:type="pct"/>
            <w:tcBorders>
              <w:top w:val="single" w:sz="4" w:space="0" w:color="auto"/>
              <w:bottom w:val="single" w:sz="4" w:space="0" w:color="auto"/>
            </w:tcBorders>
            <w:shd w:val="clear" w:color="auto" w:fill="auto"/>
          </w:tcPr>
          <w:p w14:paraId="70078B62"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7,1%</w:t>
            </w:r>
          </w:p>
        </w:tc>
        <w:tc>
          <w:tcPr>
            <w:tcW w:w="1009" w:type="pct"/>
            <w:tcBorders>
              <w:top w:val="single" w:sz="4" w:space="0" w:color="auto"/>
              <w:bottom w:val="single" w:sz="4" w:space="0" w:color="auto"/>
            </w:tcBorders>
            <w:shd w:val="clear" w:color="auto" w:fill="auto"/>
          </w:tcPr>
          <w:p w14:paraId="6C7B2A61"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3,1%</w:t>
            </w:r>
          </w:p>
        </w:tc>
        <w:tc>
          <w:tcPr>
            <w:tcW w:w="1005" w:type="pct"/>
            <w:tcBorders>
              <w:top w:val="single" w:sz="4" w:space="0" w:color="auto"/>
              <w:bottom w:val="single" w:sz="4" w:space="0" w:color="auto"/>
            </w:tcBorders>
            <w:shd w:val="clear" w:color="auto" w:fill="auto"/>
          </w:tcPr>
          <w:p w14:paraId="4C15CE23" w14:textId="77777777" w:rsidR="00C21029" w:rsidRPr="007F78CE" w:rsidRDefault="00C21029" w:rsidP="007F78CE">
            <w:pPr>
              <w:spacing w:after="0" w:line="240" w:lineRule="auto"/>
              <w:jc w:val="both"/>
              <w:rPr>
                <w:rFonts w:ascii="Arial Narrow" w:hAnsi="Arial Narrow"/>
              </w:rPr>
            </w:pPr>
            <w:r w:rsidRPr="007F78CE">
              <w:rPr>
                <w:rFonts w:ascii="Arial Narrow" w:hAnsi="Arial Narrow"/>
              </w:rPr>
              <w:t>2,4%</w:t>
            </w:r>
          </w:p>
        </w:tc>
      </w:tr>
    </w:tbl>
    <w:p w14:paraId="2A5C7988" w14:textId="77777777" w:rsidR="00C21029" w:rsidRDefault="00C21029" w:rsidP="00F91FA3">
      <w:pPr>
        <w:ind w:firstLine="567"/>
        <w:jc w:val="both"/>
      </w:pPr>
      <w:r>
        <w:t>Source : MICS 2018</w:t>
      </w:r>
    </w:p>
    <w:p w14:paraId="38AF2E26" w14:textId="77777777" w:rsidR="00C21029" w:rsidRDefault="00C21029" w:rsidP="00F91FA3">
      <w:pPr>
        <w:spacing w:after="160" w:line="240" w:lineRule="exact"/>
        <w:jc w:val="both"/>
        <w:rPr>
          <w:color w:val="000000"/>
        </w:rPr>
      </w:pPr>
      <w:r w:rsidRPr="003D387B">
        <w:rPr>
          <w:color w:val="000000"/>
        </w:rPr>
        <w:t xml:space="preserve">Il est constaté que les cas de violences tendent à </w:t>
      </w:r>
      <w:r>
        <w:rPr>
          <w:color w:val="000000"/>
        </w:rPr>
        <w:t xml:space="preserve">la </w:t>
      </w:r>
      <w:r w:rsidRPr="003D387B">
        <w:rPr>
          <w:color w:val="000000"/>
        </w:rPr>
        <w:t>hausse d’année en année, compte tenu du fait que les cas sont de plus en plus dénoncés, grâce aux actions de sensibilisation des organismes et des cellules d’écoutes.</w:t>
      </w:r>
    </w:p>
    <w:p w14:paraId="338A362E" w14:textId="77777777" w:rsidR="00C21029" w:rsidRPr="00593D92" w:rsidRDefault="00C21029" w:rsidP="0044500E">
      <w:pPr>
        <w:pStyle w:val="Paragraphedeliste"/>
        <w:numPr>
          <w:ilvl w:val="0"/>
          <w:numId w:val="161"/>
        </w:numPr>
        <w:spacing w:after="160" w:line="240" w:lineRule="exact"/>
        <w:jc w:val="both"/>
        <w:rPr>
          <w:b/>
          <w:bCs/>
        </w:rPr>
      </w:pPr>
      <w:r>
        <w:rPr>
          <w:b/>
          <w:bCs/>
        </w:rPr>
        <w:t>Prise en charge des VBG</w:t>
      </w:r>
    </w:p>
    <w:p w14:paraId="584D5C66" w14:textId="77777777" w:rsidR="00C21029" w:rsidRDefault="00C21029" w:rsidP="00F91FA3">
      <w:pPr>
        <w:spacing w:after="160" w:line="240" w:lineRule="exact"/>
        <w:jc w:val="both"/>
      </w:pPr>
      <w:r>
        <w:t xml:space="preserve">Les organismes de prise en charge comme les CECJ et CPCI offrent aux victimes de VBG un soutien médical, psychologique ou judiciaire. A titre d’exemple on peut voir dans le tableau suivant pour la Région de Fitovinany que 792 cas de VBG ont été dénoncés en 2022 et on constate que plus de la moitié des cas concernent les violences économiques avec 429 cas. Parmi les cas recensés, 25,6% ont été instruits en justice et concernent les cas de violences physiques, sexuelles et économiques. Bien que les cellules d’écoute aident à prendre en charge les victimes le taux de transfert des cas au niveau des instances compétentes (TPI, Gendarmerie, police) est encore faible comme dans la région de Menabe qui enregistre un taux de 22,6% pour les mois de juillet à </w:t>
      </w:r>
      <w:r w:rsidR="000C3C84">
        <w:t>a</w:t>
      </w:r>
      <w:r>
        <w:t>out 2022.</w:t>
      </w:r>
    </w:p>
    <w:p w14:paraId="2ADE9F28" w14:textId="77777777" w:rsidR="00C21029" w:rsidRPr="009579DB" w:rsidRDefault="00C21029" w:rsidP="009579DB">
      <w:pPr>
        <w:pStyle w:val="Lgende"/>
      </w:pPr>
      <w:bookmarkStart w:id="1985" w:name="_Toc124140861"/>
      <w:bookmarkStart w:id="1986" w:name="_Toc124312959"/>
      <w:bookmarkStart w:id="1987" w:name="_Toc125096835"/>
      <w:bookmarkStart w:id="1988" w:name="_Toc125403023"/>
      <w:bookmarkStart w:id="1989" w:name="_Toc127957900"/>
      <w:r w:rsidRPr="009579DB">
        <w:t xml:space="preserve">Tableau </w:t>
      </w:r>
      <w:r w:rsidRPr="009579DB">
        <w:fldChar w:fldCharType="begin"/>
      </w:r>
      <w:r w:rsidRPr="009579DB">
        <w:instrText xml:space="preserve"> SEQ Tableau \* ARABIC </w:instrText>
      </w:r>
      <w:r w:rsidRPr="009579DB">
        <w:fldChar w:fldCharType="separate"/>
      </w:r>
      <w:r w:rsidR="005430A1">
        <w:rPr>
          <w:noProof/>
        </w:rPr>
        <w:t>104</w:t>
      </w:r>
      <w:r w:rsidRPr="009579DB">
        <w:fldChar w:fldCharType="end"/>
      </w:r>
      <w:r w:rsidRPr="009579DB">
        <w:t> : Nombre de Cas de VBG enregistrés au niveau de la Région Fitovinany</w:t>
      </w:r>
      <w:bookmarkEnd w:id="1985"/>
      <w:bookmarkEnd w:id="1986"/>
      <w:bookmarkEnd w:id="1987"/>
      <w:bookmarkEnd w:id="1988"/>
      <w:bookmarkEnd w:id="1989"/>
    </w:p>
    <w:tbl>
      <w:tblPr>
        <w:tblW w:w="9052" w:type="dxa"/>
        <w:tblCellMar>
          <w:left w:w="70" w:type="dxa"/>
          <w:right w:w="70" w:type="dxa"/>
        </w:tblCellMar>
        <w:tblLook w:val="04A0" w:firstRow="1" w:lastRow="0" w:firstColumn="1" w:lastColumn="0" w:noHBand="0" w:noVBand="1"/>
      </w:tblPr>
      <w:tblGrid>
        <w:gridCol w:w="5235"/>
        <w:gridCol w:w="992"/>
        <w:gridCol w:w="993"/>
        <w:gridCol w:w="850"/>
        <w:gridCol w:w="982"/>
      </w:tblGrid>
      <w:tr w:rsidR="00C21029" w:rsidRPr="007F78CE" w14:paraId="5A97EA12" w14:textId="77777777" w:rsidTr="00D12C6F">
        <w:trPr>
          <w:trHeight w:val="20"/>
        </w:trPr>
        <w:tc>
          <w:tcPr>
            <w:tcW w:w="523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98C7CCD" w14:textId="77777777" w:rsidR="00C21029" w:rsidRPr="00C65B9A" w:rsidRDefault="00C21029" w:rsidP="00F91FA3">
            <w:pPr>
              <w:spacing w:after="0"/>
              <w:jc w:val="both"/>
              <w:rPr>
                <w:rFonts w:ascii="Arial Narrow" w:eastAsia="Times New Roman" w:hAnsi="Arial Narrow" w:cs="Arial"/>
                <w:b/>
                <w:bCs/>
                <w:sz w:val="18"/>
                <w:szCs w:val="18"/>
                <w:lang w:eastAsia="fr-FR"/>
              </w:rPr>
            </w:pPr>
            <w:r w:rsidRPr="00AC123D">
              <w:rPr>
                <w:rFonts w:ascii="Arial Narrow" w:eastAsia="Times New Roman" w:hAnsi="Arial Narrow" w:cs="Arial"/>
                <w:b/>
                <w:bCs/>
                <w:sz w:val="18"/>
                <w:szCs w:val="18"/>
                <w:lang w:eastAsia="fr-FR"/>
              </w:rPr>
              <w:t>Région Fitovinany</w:t>
            </w:r>
          </w:p>
        </w:tc>
        <w:tc>
          <w:tcPr>
            <w:tcW w:w="3817" w:type="dxa"/>
            <w:gridSpan w:val="4"/>
            <w:tcBorders>
              <w:top w:val="single" w:sz="8" w:space="0" w:color="000000"/>
              <w:left w:val="single" w:sz="8" w:space="0" w:color="000000"/>
              <w:bottom w:val="single" w:sz="8" w:space="0" w:color="000000"/>
              <w:right w:val="single" w:sz="8" w:space="0" w:color="000000"/>
            </w:tcBorders>
            <w:vAlign w:val="center"/>
          </w:tcPr>
          <w:p w14:paraId="5D9C91F2" w14:textId="77777777" w:rsidR="00C21029" w:rsidRPr="00AC123D" w:rsidRDefault="00C21029" w:rsidP="00F91FA3">
            <w:pPr>
              <w:spacing w:after="0"/>
              <w:jc w:val="both"/>
              <w:rPr>
                <w:rFonts w:ascii="Arial Narrow" w:eastAsia="Times New Roman" w:hAnsi="Arial Narrow" w:cs="Arial"/>
                <w:b/>
                <w:bCs/>
                <w:sz w:val="18"/>
                <w:szCs w:val="18"/>
                <w:lang w:eastAsia="fr-FR"/>
              </w:rPr>
            </w:pPr>
            <w:r w:rsidRPr="00AC123D">
              <w:rPr>
                <w:rFonts w:ascii="Arial Narrow" w:eastAsia="Times New Roman" w:hAnsi="Arial Narrow" w:cs="Arial"/>
                <w:b/>
                <w:bCs/>
                <w:sz w:val="18"/>
                <w:szCs w:val="18"/>
                <w:lang w:eastAsia="fr-FR"/>
              </w:rPr>
              <w:t>Nombre de Cas 2022</w:t>
            </w:r>
          </w:p>
        </w:tc>
      </w:tr>
      <w:tr w:rsidR="00C21029" w:rsidRPr="007F78CE" w14:paraId="4C142581" w14:textId="77777777" w:rsidTr="007F78CE">
        <w:trPr>
          <w:trHeight w:val="20"/>
        </w:trPr>
        <w:tc>
          <w:tcPr>
            <w:tcW w:w="5235" w:type="dxa"/>
            <w:vMerge w:val="restart"/>
            <w:tcBorders>
              <w:top w:val="nil"/>
              <w:left w:val="single" w:sz="8" w:space="0" w:color="000000"/>
              <w:bottom w:val="single" w:sz="8" w:space="0" w:color="000000"/>
              <w:right w:val="single" w:sz="8" w:space="0" w:color="000000"/>
            </w:tcBorders>
            <w:shd w:val="clear" w:color="auto" w:fill="D9D9D9"/>
            <w:vAlign w:val="center"/>
            <w:hideMark/>
          </w:tcPr>
          <w:p w14:paraId="10FBA9BB" w14:textId="77777777" w:rsidR="00C21029" w:rsidRPr="00C65B9A" w:rsidRDefault="00C21029" w:rsidP="00F91FA3">
            <w:pPr>
              <w:spacing w:after="0"/>
              <w:jc w:val="both"/>
              <w:rPr>
                <w:rFonts w:ascii="Arial Narrow" w:eastAsia="Times New Roman" w:hAnsi="Arial Narrow" w:cs="Arial"/>
                <w:b/>
                <w:bCs/>
                <w:sz w:val="18"/>
                <w:szCs w:val="18"/>
                <w:lang w:eastAsia="fr-FR"/>
              </w:rPr>
            </w:pPr>
            <w:r w:rsidRPr="00C65B9A">
              <w:rPr>
                <w:rFonts w:ascii="Arial Narrow" w:eastAsia="Times New Roman" w:hAnsi="Arial Narrow" w:cs="Arial"/>
                <w:b/>
                <w:bCs/>
                <w:sz w:val="18"/>
                <w:szCs w:val="18"/>
                <w:lang w:eastAsia="fr-FR"/>
              </w:rPr>
              <w:t xml:space="preserve">Nombre de survivants de VBG par types de prise en charge </w:t>
            </w:r>
          </w:p>
        </w:tc>
        <w:tc>
          <w:tcPr>
            <w:tcW w:w="1985" w:type="dxa"/>
            <w:gridSpan w:val="2"/>
            <w:tcBorders>
              <w:top w:val="nil"/>
              <w:left w:val="single" w:sz="8" w:space="0" w:color="000000"/>
              <w:bottom w:val="single" w:sz="8" w:space="0" w:color="000000"/>
              <w:right w:val="single" w:sz="8" w:space="0" w:color="000000"/>
            </w:tcBorders>
            <w:shd w:val="clear" w:color="auto" w:fill="D9D9D9"/>
            <w:vAlign w:val="center"/>
          </w:tcPr>
          <w:p w14:paraId="21AB21B5" w14:textId="77777777" w:rsidR="00C21029" w:rsidRPr="00687DD2" w:rsidRDefault="00C21029" w:rsidP="00687DD2">
            <w:pPr>
              <w:pStyle w:val="Paragraphedeliste"/>
              <w:numPr>
                <w:ilvl w:val="0"/>
                <w:numId w:val="42"/>
              </w:numPr>
              <w:spacing w:after="0" w:line="240" w:lineRule="auto"/>
              <w:jc w:val="both"/>
              <w:rPr>
                <w:rFonts w:ascii="Arial Narrow" w:eastAsia="Times New Roman" w:hAnsi="Arial Narrow" w:cs="Arial"/>
                <w:b/>
                <w:bCs/>
                <w:sz w:val="18"/>
                <w:szCs w:val="18"/>
                <w:lang w:eastAsia="fr-FR"/>
              </w:rPr>
            </w:pPr>
            <w:r w:rsidRPr="00687DD2">
              <w:rPr>
                <w:rFonts w:ascii="Arial Narrow" w:eastAsia="Times New Roman" w:hAnsi="Arial Narrow" w:cs="Arial"/>
                <w:b/>
                <w:bCs/>
                <w:sz w:val="18"/>
                <w:szCs w:val="18"/>
                <w:lang w:eastAsia="fr-FR"/>
              </w:rPr>
              <w:t>18 ans</w:t>
            </w:r>
          </w:p>
        </w:tc>
        <w:tc>
          <w:tcPr>
            <w:tcW w:w="1832" w:type="dxa"/>
            <w:gridSpan w:val="2"/>
            <w:tcBorders>
              <w:top w:val="nil"/>
              <w:left w:val="single" w:sz="8" w:space="0" w:color="000000"/>
              <w:bottom w:val="single" w:sz="8" w:space="0" w:color="000000"/>
              <w:right w:val="single" w:sz="8" w:space="0" w:color="000000"/>
            </w:tcBorders>
            <w:shd w:val="clear" w:color="auto" w:fill="D9D9D9"/>
            <w:vAlign w:val="center"/>
          </w:tcPr>
          <w:p w14:paraId="3D38EE20" w14:textId="77777777" w:rsidR="00C21029" w:rsidRPr="00AC123D" w:rsidRDefault="00C21029" w:rsidP="00F91FA3">
            <w:pPr>
              <w:spacing w:after="0"/>
              <w:jc w:val="both"/>
              <w:rPr>
                <w:rFonts w:ascii="Arial Narrow" w:eastAsia="Times New Roman" w:hAnsi="Arial Narrow" w:cs="Arial"/>
                <w:b/>
                <w:bCs/>
                <w:sz w:val="18"/>
                <w:szCs w:val="18"/>
                <w:lang w:eastAsia="fr-FR"/>
              </w:rPr>
            </w:pPr>
            <w:r w:rsidRPr="00AC123D">
              <w:rPr>
                <w:rFonts w:ascii="Arial Narrow" w:eastAsia="Times New Roman" w:hAnsi="Arial Narrow" w:cs="Arial"/>
                <w:b/>
                <w:bCs/>
                <w:sz w:val="18"/>
                <w:szCs w:val="18"/>
                <w:lang w:eastAsia="fr-FR"/>
              </w:rPr>
              <w:t>+ 18 ans</w:t>
            </w:r>
          </w:p>
        </w:tc>
      </w:tr>
      <w:tr w:rsidR="00C21029" w:rsidRPr="007F78CE" w14:paraId="5259AF37" w14:textId="77777777" w:rsidTr="00D12C6F">
        <w:trPr>
          <w:trHeight w:val="20"/>
        </w:trPr>
        <w:tc>
          <w:tcPr>
            <w:tcW w:w="5235" w:type="dxa"/>
            <w:vMerge/>
            <w:tcBorders>
              <w:top w:val="nil"/>
              <w:left w:val="single" w:sz="8" w:space="0" w:color="000000"/>
              <w:bottom w:val="single" w:sz="8" w:space="0" w:color="000000"/>
              <w:right w:val="single" w:sz="8" w:space="0" w:color="000000"/>
            </w:tcBorders>
            <w:vAlign w:val="center"/>
            <w:hideMark/>
          </w:tcPr>
          <w:p w14:paraId="3BEFA493" w14:textId="77777777" w:rsidR="00C21029" w:rsidRPr="00C65B9A" w:rsidRDefault="00C21029" w:rsidP="00F91FA3">
            <w:pPr>
              <w:spacing w:after="0"/>
              <w:jc w:val="both"/>
              <w:rPr>
                <w:rFonts w:ascii="Arial Narrow" w:eastAsia="Times New Roman" w:hAnsi="Arial Narrow" w:cs="Arial"/>
                <w:b/>
                <w:bCs/>
                <w:sz w:val="18"/>
                <w:szCs w:val="18"/>
                <w:lang w:eastAsia="fr-FR"/>
              </w:rPr>
            </w:pPr>
          </w:p>
        </w:tc>
        <w:tc>
          <w:tcPr>
            <w:tcW w:w="992" w:type="dxa"/>
            <w:tcBorders>
              <w:top w:val="nil"/>
              <w:left w:val="single" w:sz="8" w:space="0" w:color="000000"/>
              <w:bottom w:val="single" w:sz="8" w:space="0" w:color="000000"/>
              <w:right w:val="single" w:sz="8" w:space="0" w:color="000000"/>
            </w:tcBorders>
            <w:vAlign w:val="center"/>
          </w:tcPr>
          <w:p w14:paraId="738965A7" w14:textId="77777777" w:rsidR="00C21029" w:rsidRPr="00AC123D" w:rsidRDefault="00C21029" w:rsidP="00F91FA3">
            <w:pPr>
              <w:spacing w:after="0"/>
              <w:jc w:val="both"/>
              <w:rPr>
                <w:rFonts w:ascii="Arial Narrow" w:eastAsia="Times New Roman" w:hAnsi="Arial Narrow" w:cs="Arial"/>
                <w:b/>
                <w:bCs/>
                <w:sz w:val="18"/>
                <w:szCs w:val="18"/>
                <w:lang w:eastAsia="fr-FR"/>
              </w:rPr>
            </w:pPr>
            <w:r w:rsidRPr="007F78CE">
              <w:rPr>
                <w:rFonts w:ascii="Arial Narrow" w:hAnsi="Arial Narrow" w:cs="Arial"/>
                <w:b/>
                <w:bCs/>
                <w:sz w:val="18"/>
                <w:szCs w:val="18"/>
              </w:rPr>
              <w:t>H</w:t>
            </w:r>
          </w:p>
        </w:tc>
        <w:tc>
          <w:tcPr>
            <w:tcW w:w="993" w:type="dxa"/>
            <w:tcBorders>
              <w:top w:val="nil"/>
              <w:left w:val="single" w:sz="8" w:space="0" w:color="000000"/>
              <w:bottom w:val="single" w:sz="8" w:space="0" w:color="000000"/>
              <w:right w:val="single" w:sz="8" w:space="0" w:color="000000"/>
            </w:tcBorders>
            <w:vAlign w:val="center"/>
          </w:tcPr>
          <w:p w14:paraId="790DB818" w14:textId="77777777" w:rsidR="00C21029" w:rsidRPr="00AC123D" w:rsidRDefault="00C21029" w:rsidP="00F91FA3">
            <w:pPr>
              <w:spacing w:after="0"/>
              <w:jc w:val="both"/>
              <w:rPr>
                <w:rFonts w:ascii="Arial Narrow" w:eastAsia="Times New Roman" w:hAnsi="Arial Narrow" w:cs="Arial"/>
                <w:b/>
                <w:bCs/>
                <w:sz w:val="18"/>
                <w:szCs w:val="18"/>
                <w:lang w:eastAsia="fr-FR"/>
              </w:rPr>
            </w:pPr>
            <w:r w:rsidRPr="007F78CE">
              <w:rPr>
                <w:rFonts w:ascii="Arial Narrow" w:hAnsi="Arial Narrow" w:cs="Arial"/>
                <w:b/>
                <w:bCs/>
                <w:sz w:val="18"/>
                <w:szCs w:val="18"/>
              </w:rPr>
              <w:t>F</w:t>
            </w:r>
          </w:p>
        </w:tc>
        <w:tc>
          <w:tcPr>
            <w:tcW w:w="850" w:type="dxa"/>
            <w:tcBorders>
              <w:top w:val="nil"/>
              <w:left w:val="single" w:sz="8" w:space="0" w:color="000000"/>
              <w:bottom w:val="single" w:sz="8" w:space="0" w:color="000000"/>
              <w:right w:val="single" w:sz="8" w:space="0" w:color="000000"/>
            </w:tcBorders>
            <w:vAlign w:val="center"/>
          </w:tcPr>
          <w:p w14:paraId="1E5C5773" w14:textId="77777777" w:rsidR="00C21029" w:rsidRPr="00AC123D" w:rsidRDefault="00C21029" w:rsidP="00F91FA3">
            <w:pPr>
              <w:spacing w:after="0"/>
              <w:jc w:val="both"/>
              <w:rPr>
                <w:rFonts w:ascii="Arial Narrow" w:eastAsia="Times New Roman" w:hAnsi="Arial Narrow" w:cs="Arial"/>
                <w:b/>
                <w:bCs/>
                <w:sz w:val="18"/>
                <w:szCs w:val="18"/>
                <w:lang w:eastAsia="fr-FR"/>
              </w:rPr>
            </w:pPr>
            <w:r w:rsidRPr="007F78CE">
              <w:rPr>
                <w:rFonts w:ascii="Arial Narrow" w:hAnsi="Arial Narrow" w:cs="Arial"/>
                <w:b/>
                <w:bCs/>
                <w:sz w:val="18"/>
                <w:szCs w:val="18"/>
              </w:rPr>
              <w:t>H</w:t>
            </w:r>
          </w:p>
        </w:tc>
        <w:tc>
          <w:tcPr>
            <w:tcW w:w="982" w:type="dxa"/>
            <w:tcBorders>
              <w:top w:val="nil"/>
              <w:left w:val="single" w:sz="8" w:space="0" w:color="000000"/>
              <w:bottom w:val="single" w:sz="8" w:space="0" w:color="000000"/>
              <w:right w:val="single" w:sz="8" w:space="0" w:color="000000"/>
            </w:tcBorders>
            <w:vAlign w:val="center"/>
          </w:tcPr>
          <w:p w14:paraId="57938B73" w14:textId="77777777" w:rsidR="00C21029" w:rsidRPr="00AC123D" w:rsidRDefault="00C21029" w:rsidP="00F91FA3">
            <w:pPr>
              <w:spacing w:after="0"/>
              <w:jc w:val="both"/>
              <w:rPr>
                <w:rFonts w:ascii="Arial Narrow" w:eastAsia="Times New Roman" w:hAnsi="Arial Narrow" w:cs="Arial"/>
                <w:b/>
                <w:bCs/>
                <w:sz w:val="18"/>
                <w:szCs w:val="18"/>
                <w:lang w:eastAsia="fr-FR"/>
              </w:rPr>
            </w:pPr>
            <w:r w:rsidRPr="007F78CE">
              <w:rPr>
                <w:rFonts w:ascii="Arial Narrow" w:hAnsi="Arial Narrow" w:cs="Arial"/>
                <w:b/>
                <w:bCs/>
                <w:sz w:val="18"/>
                <w:szCs w:val="18"/>
              </w:rPr>
              <w:t>F</w:t>
            </w:r>
          </w:p>
        </w:tc>
      </w:tr>
      <w:tr w:rsidR="00C21029" w:rsidRPr="007F78CE" w14:paraId="4B2F6282" w14:textId="77777777" w:rsidTr="00D12C6F">
        <w:trPr>
          <w:trHeight w:val="20"/>
        </w:trPr>
        <w:tc>
          <w:tcPr>
            <w:tcW w:w="5235" w:type="dxa"/>
            <w:tcBorders>
              <w:top w:val="nil"/>
              <w:left w:val="single" w:sz="8" w:space="0" w:color="000000"/>
              <w:bottom w:val="single" w:sz="8" w:space="0" w:color="000000"/>
              <w:right w:val="single" w:sz="8" w:space="0" w:color="000000"/>
            </w:tcBorders>
            <w:shd w:val="clear" w:color="auto" w:fill="auto"/>
            <w:vAlign w:val="center"/>
            <w:hideMark/>
          </w:tcPr>
          <w:p w14:paraId="55A3B529" w14:textId="77777777" w:rsidR="00C21029" w:rsidRPr="00C65B9A" w:rsidRDefault="00C21029" w:rsidP="00F91FA3">
            <w:pPr>
              <w:spacing w:after="0"/>
              <w:jc w:val="both"/>
              <w:rPr>
                <w:rFonts w:ascii="Arial Narrow" w:eastAsia="Times New Roman" w:hAnsi="Arial Narrow" w:cs="Arial"/>
                <w:sz w:val="18"/>
                <w:szCs w:val="18"/>
                <w:lang w:eastAsia="fr-FR"/>
              </w:rPr>
            </w:pPr>
            <w:r w:rsidRPr="00C65B9A">
              <w:rPr>
                <w:rFonts w:ascii="Arial Narrow" w:eastAsia="Times New Roman" w:hAnsi="Arial Narrow" w:cs="Arial"/>
                <w:sz w:val="18"/>
                <w:szCs w:val="18"/>
                <w:lang w:eastAsia="fr-FR"/>
              </w:rPr>
              <w:t xml:space="preserve">Nombre de victimes de VBG recevant un soutien psychosocial </w:t>
            </w:r>
          </w:p>
        </w:tc>
        <w:tc>
          <w:tcPr>
            <w:tcW w:w="992" w:type="dxa"/>
            <w:tcBorders>
              <w:top w:val="nil"/>
              <w:left w:val="single" w:sz="8" w:space="0" w:color="000000"/>
              <w:bottom w:val="single" w:sz="8" w:space="0" w:color="000000"/>
              <w:right w:val="single" w:sz="8" w:space="0" w:color="000000"/>
            </w:tcBorders>
            <w:vAlign w:val="center"/>
          </w:tcPr>
          <w:p w14:paraId="0469BA1E"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26</w:t>
            </w:r>
          </w:p>
        </w:tc>
        <w:tc>
          <w:tcPr>
            <w:tcW w:w="993" w:type="dxa"/>
            <w:tcBorders>
              <w:top w:val="nil"/>
              <w:left w:val="single" w:sz="8" w:space="0" w:color="000000"/>
              <w:bottom w:val="single" w:sz="8" w:space="0" w:color="000000"/>
              <w:right w:val="single" w:sz="8" w:space="0" w:color="000000"/>
            </w:tcBorders>
            <w:vAlign w:val="center"/>
          </w:tcPr>
          <w:p w14:paraId="6715CAAB"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76</w:t>
            </w:r>
          </w:p>
        </w:tc>
        <w:tc>
          <w:tcPr>
            <w:tcW w:w="850" w:type="dxa"/>
            <w:tcBorders>
              <w:top w:val="nil"/>
              <w:left w:val="single" w:sz="8" w:space="0" w:color="000000"/>
              <w:bottom w:val="single" w:sz="8" w:space="0" w:color="000000"/>
              <w:right w:val="single" w:sz="8" w:space="0" w:color="000000"/>
            </w:tcBorders>
            <w:vAlign w:val="center"/>
          </w:tcPr>
          <w:p w14:paraId="4A0CDDAF"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35</w:t>
            </w:r>
          </w:p>
        </w:tc>
        <w:tc>
          <w:tcPr>
            <w:tcW w:w="982" w:type="dxa"/>
            <w:tcBorders>
              <w:top w:val="nil"/>
              <w:left w:val="single" w:sz="8" w:space="0" w:color="000000"/>
              <w:bottom w:val="single" w:sz="8" w:space="0" w:color="000000"/>
              <w:right w:val="single" w:sz="8" w:space="0" w:color="000000"/>
            </w:tcBorders>
            <w:vAlign w:val="center"/>
          </w:tcPr>
          <w:p w14:paraId="6AA15B10"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512</w:t>
            </w:r>
          </w:p>
        </w:tc>
      </w:tr>
      <w:tr w:rsidR="00C21029" w:rsidRPr="007F78CE" w14:paraId="532FEFE4" w14:textId="77777777" w:rsidTr="00D12C6F">
        <w:trPr>
          <w:trHeight w:val="20"/>
        </w:trPr>
        <w:tc>
          <w:tcPr>
            <w:tcW w:w="5235" w:type="dxa"/>
            <w:tcBorders>
              <w:top w:val="nil"/>
              <w:left w:val="single" w:sz="8" w:space="0" w:color="000000"/>
              <w:bottom w:val="single" w:sz="8" w:space="0" w:color="000000"/>
              <w:right w:val="single" w:sz="8" w:space="0" w:color="000000"/>
            </w:tcBorders>
            <w:shd w:val="clear" w:color="auto" w:fill="auto"/>
            <w:vAlign w:val="center"/>
            <w:hideMark/>
          </w:tcPr>
          <w:p w14:paraId="73E2EC11" w14:textId="77777777" w:rsidR="00C21029" w:rsidRPr="00C65B9A" w:rsidRDefault="00C21029" w:rsidP="00F91FA3">
            <w:pPr>
              <w:spacing w:after="0"/>
              <w:jc w:val="both"/>
              <w:rPr>
                <w:rFonts w:ascii="Arial Narrow" w:eastAsia="Times New Roman" w:hAnsi="Arial Narrow" w:cs="Arial"/>
                <w:sz w:val="18"/>
                <w:szCs w:val="18"/>
                <w:lang w:eastAsia="fr-FR"/>
              </w:rPr>
            </w:pPr>
            <w:r w:rsidRPr="00C65B9A">
              <w:rPr>
                <w:rFonts w:ascii="Arial Narrow" w:eastAsia="Times New Roman" w:hAnsi="Arial Narrow" w:cs="Arial"/>
                <w:sz w:val="18"/>
                <w:szCs w:val="18"/>
                <w:lang w:eastAsia="fr-FR"/>
              </w:rPr>
              <w:t>Nombre des survivants de violences physique</w:t>
            </w:r>
            <w:r w:rsidR="000C3C84">
              <w:rPr>
                <w:rFonts w:ascii="Arial Narrow" w:eastAsia="Times New Roman" w:hAnsi="Arial Narrow" w:cs="Arial"/>
                <w:sz w:val="18"/>
                <w:szCs w:val="18"/>
                <w:lang w:eastAsia="fr-FR"/>
              </w:rPr>
              <w:t>s</w:t>
            </w:r>
            <w:r w:rsidRPr="00C65B9A">
              <w:rPr>
                <w:rFonts w:ascii="Arial Narrow" w:eastAsia="Times New Roman" w:hAnsi="Arial Narrow" w:cs="Arial"/>
                <w:sz w:val="18"/>
                <w:szCs w:val="18"/>
                <w:lang w:eastAsia="fr-FR"/>
              </w:rPr>
              <w:t xml:space="preserve"> ou sexuelles référés par les CECJ et pris en charge par le secteur médical</w:t>
            </w:r>
          </w:p>
        </w:tc>
        <w:tc>
          <w:tcPr>
            <w:tcW w:w="992" w:type="dxa"/>
            <w:tcBorders>
              <w:top w:val="nil"/>
              <w:left w:val="single" w:sz="8" w:space="0" w:color="000000"/>
              <w:bottom w:val="single" w:sz="8" w:space="0" w:color="000000"/>
              <w:right w:val="single" w:sz="8" w:space="0" w:color="000000"/>
            </w:tcBorders>
            <w:vAlign w:val="center"/>
          </w:tcPr>
          <w:p w14:paraId="63873605"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2</w:t>
            </w:r>
          </w:p>
        </w:tc>
        <w:tc>
          <w:tcPr>
            <w:tcW w:w="993" w:type="dxa"/>
            <w:tcBorders>
              <w:top w:val="nil"/>
              <w:left w:val="single" w:sz="8" w:space="0" w:color="000000"/>
              <w:bottom w:val="single" w:sz="8" w:space="0" w:color="000000"/>
              <w:right w:val="single" w:sz="8" w:space="0" w:color="000000"/>
            </w:tcBorders>
            <w:vAlign w:val="center"/>
          </w:tcPr>
          <w:p w14:paraId="553042BE"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19</w:t>
            </w:r>
          </w:p>
        </w:tc>
        <w:tc>
          <w:tcPr>
            <w:tcW w:w="850" w:type="dxa"/>
            <w:tcBorders>
              <w:top w:val="nil"/>
              <w:left w:val="single" w:sz="8" w:space="0" w:color="000000"/>
              <w:bottom w:val="single" w:sz="8" w:space="0" w:color="000000"/>
              <w:right w:val="single" w:sz="8" w:space="0" w:color="000000"/>
            </w:tcBorders>
            <w:vAlign w:val="center"/>
          </w:tcPr>
          <w:p w14:paraId="377D6690"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2</w:t>
            </w:r>
          </w:p>
        </w:tc>
        <w:tc>
          <w:tcPr>
            <w:tcW w:w="982" w:type="dxa"/>
            <w:tcBorders>
              <w:top w:val="nil"/>
              <w:left w:val="single" w:sz="8" w:space="0" w:color="000000"/>
              <w:bottom w:val="single" w:sz="8" w:space="0" w:color="000000"/>
              <w:right w:val="single" w:sz="8" w:space="0" w:color="000000"/>
            </w:tcBorders>
            <w:vAlign w:val="center"/>
          </w:tcPr>
          <w:p w14:paraId="60D47F99"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31</w:t>
            </w:r>
          </w:p>
        </w:tc>
      </w:tr>
      <w:tr w:rsidR="00C21029" w:rsidRPr="007F78CE" w14:paraId="21DE825E" w14:textId="77777777" w:rsidTr="00D12C6F">
        <w:trPr>
          <w:trHeight w:val="20"/>
        </w:trPr>
        <w:tc>
          <w:tcPr>
            <w:tcW w:w="5235" w:type="dxa"/>
            <w:tcBorders>
              <w:top w:val="nil"/>
              <w:left w:val="single" w:sz="8" w:space="0" w:color="000000"/>
              <w:bottom w:val="single" w:sz="8" w:space="0" w:color="000000"/>
              <w:right w:val="single" w:sz="8" w:space="0" w:color="000000"/>
            </w:tcBorders>
            <w:shd w:val="clear" w:color="auto" w:fill="auto"/>
            <w:vAlign w:val="center"/>
            <w:hideMark/>
          </w:tcPr>
          <w:p w14:paraId="7112D976" w14:textId="77777777" w:rsidR="00C21029" w:rsidRPr="00C65B9A" w:rsidRDefault="00C21029" w:rsidP="00F91FA3">
            <w:pPr>
              <w:spacing w:after="0"/>
              <w:jc w:val="both"/>
              <w:rPr>
                <w:rFonts w:ascii="Arial Narrow" w:eastAsia="Times New Roman" w:hAnsi="Arial Narrow" w:cs="Arial"/>
                <w:sz w:val="18"/>
                <w:szCs w:val="18"/>
                <w:lang w:eastAsia="fr-FR"/>
              </w:rPr>
            </w:pPr>
            <w:r w:rsidRPr="00C65B9A">
              <w:rPr>
                <w:rFonts w:ascii="Arial Narrow" w:eastAsia="Times New Roman" w:hAnsi="Arial Narrow" w:cs="Arial"/>
                <w:sz w:val="18"/>
                <w:szCs w:val="18"/>
                <w:lang w:eastAsia="fr-FR"/>
              </w:rPr>
              <w:t>Nombre des survivants de violences physique</w:t>
            </w:r>
            <w:r w:rsidR="000C3C84">
              <w:rPr>
                <w:rFonts w:ascii="Arial Narrow" w:eastAsia="Times New Roman" w:hAnsi="Arial Narrow" w:cs="Arial"/>
                <w:sz w:val="18"/>
                <w:szCs w:val="18"/>
                <w:lang w:eastAsia="fr-FR"/>
              </w:rPr>
              <w:t>s</w:t>
            </w:r>
            <w:r w:rsidRPr="00C65B9A">
              <w:rPr>
                <w:rFonts w:ascii="Arial Narrow" w:eastAsia="Times New Roman" w:hAnsi="Arial Narrow" w:cs="Arial"/>
                <w:sz w:val="18"/>
                <w:szCs w:val="18"/>
                <w:lang w:eastAsia="fr-FR"/>
              </w:rPr>
              <w:t xml:space="preserve"> ou sexuelles instruits en justice grâce à l’accompagnement judiciaire</w:t>
            </w:r>
          </w:p>
        </w:tc>
        <w:tc>
          <w:tcPr>
            <w:tcW w:w="992" w:type="dxa"/>
            <w:tcBorders>
              <w:top w:val="nil"/>
              <w:left w:val="single" w:sz="8" w:space="0" w:color="000000"/>
              <w:bottom w:val="single" w:sz="8" w:space="0" w:color="000000"/>
              <w:right w:val="single" w:sz="8" w:space="0" w:color="000000"/>
            </w:tcBorders>
            <w:vAlign w:val="center"/>
          </w:tcPr>
          <w:p w14:paraId="7B2D89B0"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3</w:t>
            </w:r>
          </w:p>
        </w:tc>
        <w:tc>
          <w:tcPr>
            <w:tcW w:w="993" w:type="dxa"/>
            <w:tcBorders>
              <w:top w:val="nil"/>
              <w:left w:val="single" w:sz="8" w:space="0" w:color="000000"/>
              <w:bottom w:val="single" w:sz="8" w:space="0" w:color="000000"/>
              <w:right w:val="single" w:sz="8" w:space="0" w:color="000000"/>
            </w:tcBorders>
            <w:vAlign w:val="center"/>
          </w:tcPr>
          <w:p w14:paraId="1D080EAA"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11</w:t>
            </w:r>
          </w:p>
        </w:tc>
        <w:tc>
          <w:tcPr>
            <w:tcW w:w="850" w:type="dxa"/>
            <w:tcBorders>
              <w:top w:val="nil"/>
              <w:left w:val="single" w:sz="8" w:space="0" w:color="000000"/>
              <w:bottom w:val="single" w:sz="8" w:space="0" w:color="000000"/>
              <w:right w:val="single" w:sz="8" w:space="0" w:color="000000"/>
            </w:tcBorders>
            <w:vAlign w:val="center"/>
          </w:tcPr>
          <w:p w14:paraId="59274E9F"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6</w:t>
            </w:r>
          </w:p>
        </w:tc>
        <w:tc>
          <w:tcPr>
            <w:tcW w:w="982" w:type="dxa"/>
            <w:tcBorders>
              <w:top w:val="nil"/>
              <w:left w:val="single" w:sz="8" w:space="0" w:color="000000"/>
              <w:bottom w:val="single" w:sz="8" w:space="0" w:color="000000"/>
              <w:right w:val="single" w:sz="8" w:space="0" w:color="000000"/>
            </w:tcBorders>
            <w:vAlign w:val="center"/>
          </w:tcPr>
          <w:p w14:paraId="540012CF"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33</w:t>
            </w:r>
          </w:p>
        </w:tc>
      </w:tr>
      <w:tr w:rsidR="00C21029" w:rsidRPr="007F78CE" w14:paraId="3EC76EA2" w14:textId="77777777" w:rsidTr="00D12C6F">
        <w:trPr>
          <w:trHeight w:val="20"/>
        </w:trPr>
        <w:tc>
          <w:tcPr>
            <w:tcW w:w="5235" w:type="dxa"/>
            <w:tcBorders>
              <w:top w:val="nil"/>
              <w:left w:val="single" w:sz="8" w:space="0" w:color="000000"/>
              <w:bottom w:val="single" w:sz="8" w:space="0" w:color="000000"/>
              <w:right w:val="single" w:sz="8" w:space="0" w:color="000000"/>
            </w:tcBorders>
            <w:shd w:val="clear" w:color="auto" w:fill="auto"/>
            <w:vAlign w:val="center"/>
            <w:hideMark/>
          </w:tcPr>
          <w:p w14:paraId="703C0A97" w14:textId="77777777" w:rsidR="00C21029" w:rsidRPr="00C65B9A" w:rsidRDefault="00C21029" w:rsidP="00F91FA3">
            <w:pPr>
              <w:spacing w:after="0"/>
              <w:jc w:val="both"/>
              <w:rPr>
                <w:rFonts w:ascii="Arial Narrow" w:eastAsia="Times New Roman" w:hAnsi="Arial Narrow" w:cs="Arial"/>
                <w:sz w:val="18"/>
                <w:szCs w:val="18"/>
                <w:lang w:eastAsia="fr-FR"/>
              </w:rPr>
            </w:pPr>
            <w:r w:rsidRPr="00C65B9A">
              <w:rPr>
                <w:rFonts w:ascii="Arial Narrow" w:eastAsia="Times New Roman" w:hAnsi="Arial Narrow" w:cs="Arial"/>
                <w:sz w:val="18"/>
                <w:szCs w:val="18"/>
                <w:lang w:eastAsia="fr-FR"/>
              </w:rPr>
              <w:t>Nombre des survivants de violence économique et psychologique instruits en justice grâce à l’accompagnement judiciaire</w:t>
            </w:r>
          </w:p>
        </w:tc>
        <w:tc>
          <w:tcPr>
            <w:tcW w:w="992" w:type="dxa"/>
            <w:tcBorders>
              <w:top w:val="nil"/>
              <w:left w:val="single" w:sz="8" w:space="0" w:color="000000"/>
              <w:bottom w:val="single" w:sz="8" w:space="0" w:color="000000"/>
              <w:right w:val="single" w:sz="8" w:space="0" w:color="000000"/>
            </w:tcBorders>
            <w:vAlign w:val="center"/>
          </w:tcPr>
          <w:p w14:paraId="4A6F36C5"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7</w:t>
            </w:r>
          </w:p>
        </w:tc>
        <w:tc>
          <w:tcPr>
            <w:tcW w:w="993" w:type="dxa"/>
            <w:tcBorders>
              <w:top w:val="nil"/>
              <w:left w:val="single" w:sz="8" w:space="0" w:color="000000"/>
              <w:bottom w:val="single" w:sz="8" w:space="0" w:color="000000"/>
              <w:right w:val="single" w:sz="8" w:space="0" w:color="000000"/>
            </w:tcBorders>
            <w:vAlign w:val="center"/>
          </w:tcPr>
          <w:p w14:paraId="2794FD68"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8</w:t>
            </w:r>
          </w:p>
        </w:tc>
        <w:tc>
          <w:tcPr>
            <w:tcW w:w="850" w:type="dxa"/>
            <w:tcBorders>
              <w:top w:val="nil"/>
              <w:left w:val="single" w:sz="8" w:space="0" w:color="000000"/>
              <w:bottom w:val="single" w:sz="8" w:space="0" w:color="000000"/>
              <w:right w:val="single" w:sz="8" w:space="0" w:color="000000"/>
            </w:tcBorders>
            <w:vAlign w:val="center"/>
          </w:tcPr>
          <w:p w14:paraId="19CA5075"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9</w:t>
            </w:r>
          </w:p>
        </w:tc>
        <w:tc>
          <w:tcPr>
            <w:tcW w:w="982" w:type="dxa"/>
            <w:tcBorders>
              <w:top w:val="nil"/>
              <w:left w:val="single" w:sz="8" w:space="0" w:color="000000"/>
              <w:bottom w:val="single" w:sz="8" w:space="0" w:color="000000"/>
              <w:right w:val="single" w:sz="8" w:space="0" w:color="000000"/>
            </w:tcBorders>
            <w:vAlign w:val="center"/>
          </w:tcPr>
          <w:p w14:paraId="017D4B89"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126</w:t>
            </w:r>
          </w:p>
        </w:tc>
      </w:tr>
      <w:tr w:rsidR="00C21029" w:rsidRPr="007F78CE" w14:paraId="57715835" w14:textId="77777777" w:rsidTr="007F78CE">
        <w:trPr>
          <w:trHeight w:val="20"/>
        </w:trPr>
        <w:tc>
          <w:tcPr>
            <w:tcW w:w="5235" w:type="dxa"/>
            <w:vMerge w:val="restart"/>
            <w:tcBorders>
              <w:top w:val="nil"/>
              <w:left w:val="single" w:sz="8" w:space="0" w:color="000000"/>
              <w:bottom w:val="single" w:sz="8" w:space="0" w:color="000000"/>
              <w:right w:val="single" w:sz="8" w:space="0" w:color="000000"/>
            </w:tcBorders>
            <w:shd w:val="clear" w:color="auto" w:fill="D9D9D9"/>
            <w:vAlign w:val="center"/>
            <w:hideMark/>
          </w:tcPr>
          <w:p w14:paraId="03EC089C" w14:textId="77777777" w:rsidR="00C21029" w:rsidRPr="00C65B9A" w:rsidRDefault="00C21029" w:rsidP="00F91FA3">
            <w:pPr>
              <w:spacing w:after="0"/>
              <w:jc w:val="both"/>
              <w:rPr>
                <w:rFonts w:ascii="Arial Narrow" w:eastAsia="Times New Roman" w:hAnsi="Arial Narrow" w:cs="Arial"/>
                <w:b/>
                <w:bCs/>
                <w:sz w:val="18"/>
                <w:szCs w:val="18"/>
                <w:lang w:eastAsia="fr-FR"/>
              </w:rPr>
            </w:pPr>
            <w:r w:rsidRPr="00C65B9A">
              <w:rPr>
                <w:rFonts w:ascii="Arial Narrow" w:eastAsia="Times New Roman" w:hAnsi="Arial Narrow" w:cs="Arial"/>
                <w:b/>
                <w:bCs/>
                <w:sz w:val="18"/>
                <w:szCs w:val="18"/>
                <w:lang w:eastAsia="fr-FR"/>
              </w:rPr>
              <w:t>Types de violence</w:t>
            </w:r>
          </w:p>
        </w:tc>
        <w:tc>
          <w:tcPr>
            <w:tcW w:w="1985" w:type="dxa"/>
            <w:gridSpan w:val="2"/>
            <w:tcBorders>
              <w:top w:val="nil"/>
              <w:left w:val="single" w:sz="8" w:space="0" w:color="000000"/>
              <w:bottom w:val="single" w:sz="8" w:space="0" w:color="000000"/>
              <w:right w:val="single" w:sz="8" w:space="0" w:color="000000"/>
            </w:tcBorders>
            <w:shd w:val="clear" w:color="auto" w:fill="D9D9D9"/>
            <w:vAlign w:val="center"/>
          </w:tcPr>
          <w:p w14:paraId="1112F9C1" w14:textId="77777777" w:rsidR="00C21029" w:rsidRPr="00AC123D" w:rsidRDefault="00C21029" w:rsidP="00F91FA3">
            <w:pPr>
              <w:spacing w:after="0"/>
              <w:jc w:val="both"/>
              <w:rPr>
                <w:rFonts w:ascii="Arial Narrow" w:eastAsia="Times New Roman" w:hAnsi="Arial Narrow" w:cs="Arial"/>
                <w:b/>
                <w:bCs/>
                <w:sz w:val="18"/>
                <w:szCs w:val="18"/>
                <w:lang w:eastAsia="fr-FR"/>
              </w:rPr>
            </w:pPr>
            <w:r w:rsidRPr="00AC123D">
              <w:rPr>
                <w:rFonts w:ascii="Arial Narrow" w:eastAsia="Times New Roman" w:hAnsi="Arial Narrow" w:cs="Arial"/>
                <w:b/>
                <w:bCs/>
                <w:sz w:val="18"/>
                <w:szCs w:val="18"/>
                <w:lang w:eastAsia="fr-FR"/>
              </w:rPr>
              <w:t>18 ans</w:t>
            </w:r>
          </w:p>
        </w:tc>
        <w:tc>
          <w:tcPr>
            <w:tcW w:w="1832" w:type="dxa"/>
            <w:gridSpan w:val="2"/>
            <w:tcBorders>
              <w:top w:val="nil"/>
              <w:left w:val="single" w:sz="8" w:space="0" w:color="000000"/>
              <w:bottom w:val="single" w:sz="8" w:space="0" w:color="000000"/>
              <w:right w:val="single" w:sz="8" w:space="0" w:color="000000"/>
            </w:tcBorders>
            <w:shd w:val="clear" w:color="auto" w:fill="D9D9D9"/>
            <w:vAlign w:val="center"/>
          </w:tcPr>
          <w:p w14:paraId="2004139E" w14:textId="77777777" w:rsidR="00C21029" w:rsidRPr="00AC123D" w:rsidRDefault="00C21029" w:rsidP="00F91FA3">
            <w:pPr>
              <w:spacing w:after="0"/>
              <w:jc w:val="both"/>
              <w:rPr>
                <w:rFonts w:ascii="Arial Narrow" w:eastAsia="Times New Roman" w:hAnsi="Arial Narrow" w:cs="Arial"/>
                <w:b/>
                <w:bCs/>
                <w:sz w:val="18"/>
                <w:szCs w:val="18"/>
                <w:lang w:eastAsia="fr-FR"/>
              </w:rPr>
            </w:pPr>
            <w:r w:rsidRPr="00AC123D">
              <w:rPr>
                <w:rFonts w:ascii="Arial Narrow" w:eastAsia="Times New Roman" w:hAnsi="Arial Narrow" w:cs="Arial"/>
                <w:b/>
                <w:bCs/>
                <w:sz w:val="18"/>
                <w:szCs w:val="18"/>
                <w:lang w:eastAsia="fr-FR"/>
              </w:rPr>
              <w:t>+ 18 ans</w:t>
            </w:r>
          </w:p>
        </w:tc>
      </w:tr>
      <w:tr w:rsidR="00C21029" w:rsidRPr="007F78CE" w14:paraId="6754AECA" w14:textId="77777777" w:rsidTr="00D12C6F">
        <w:trPr>
          <w:trHeight w:val="20"/>
        </w:trPr>
        <w:tc>
          <w:tcPr>
            <w:tcW w:w="5235" w:type="dxa"/>
            <w:vMerge/>
            <w:tcBorders>
              <w:top w:val="nil"/>
              <w:left w:val="single" w:sz="8" w:space="0" w:color="000000"/>
              <w:bottom w:val="single" w:sz="8" w:space="0" w:color="000000"/>
              <w:right w:val="single" w:sz="8" w:space="0" w:color="000000"/>
            </w:tcBorders>
            <w:vAlign w:val="center"/>
            <w:hideMark/>
          </w:tcPr>
          <w:p w14:paraId="3251D1DB" w14:textId="77777777" w:rsidR="00C21029" w:rsidRPr="00C65B9A" w:rsidRDefault="00C21029" w:rsidP="00F91FA3">
            <w:pPr>
              <w:spacing w:after="0"/>
              <w:jc w:val="both"/>
              <w:rPr>
                <w:rFonts w:ascii="Arial Narrow" w:eastAsia="Times New Roman" w:hAnsi="Arial Narrow" w:cs="Arial"/>
                <w:b/>
                <w:bCs/>
                <w:sz w:val="18"/>
                <w:szCs w:val="18"/>
                <w:lang w:eastAsia="fr-FR"/>
              </w:rPr>
            </w:pPr>
          </w:p>
        </w:tc>
        <w:tc>
          <w:tcPr>
            <w:tcW w:w="992" w:type="dxa"/>
            <w:tcBorders>
              <w:top w:val="nil"/>
              <w:left w:val="single" w:sz="8" w:space="0" w:color="000000"/>
              <w:bottom w:val="single" w:sz="8" w:space="0" w:color="000000"/>
              <w:right w:val="single" w:sz="8" w:space="0" w:color="000000"/>
            </w:tcBorders>
            <w:vAlign w:val="center"/>
          </w:tcPr>
          <w:p w14:paraId="07EC87EB" w14:textId="77777777" w:rsidR="00C21029" w:rsidRPr="00AC123D" w:rsidRDefault="00C21029" w:rsidP="00F91FA3">
            <w:pPr>
              <w:spacing w:after="0"/>
              <w:jc w:val="both"/>
              <w:rPr>
                <w:rFonts w:ascii="Arial Narrow" w:eastAsia="Times New Roman" w:hAnsi="Arial Narrow" w:cs="Arial"/>
                <w:b/>
                <w:bCs/>
                <w:sz w:val="18"/>
                <w:szCs w:val="18"/>
                <w:lang w:eastAsia="fr-FR"/>
              </w:rPr>
            </w:pPr>
            <w:r w:rsidRPr="007F78CE">
              <w:rPr>
                <w:rFonts w:ascii="Arial Narrow" w:hAnsi="Arial Narrow" w:cs="Arial"/>
                <w:sz w:val="18"/>
                <w:szCs w:val="18"/>
              </w:rPr>
              <w:t>H</w:t>
            </w:r>
          </w:p>
        </w:tc>
        <w:tc>
          <w:tcPr>
            <w:tcW w:w="993" w:type="dxa"/>
            <w:tcBorders>
              <w:top w:val="nil"/>
              <w:left w:val="single" w:sz="8" w:space="0" w:color="000000"/>
              <w:bottom w:val="single" w:sz="8" w:space="0" w:color="000000"/>
              <w:right w:val="single" w:sz="8" w:space="0" w:color="000000"/>
            </w:tcBorders>
            <w:vAlign w:val="center"/>
          </w:tcPr>
          <w:p w14:paraId="1826EF2E" w14:textId="77777777" w:rsidR="00C21029" w:rsidRPr="00AC123D" w:rsidRDefault="00C21029" w:rsidP="00F91FA3">
            <w:pPr>
              <w:spacing w:after="0"/>
              <w:jc w:val="both"/>
              <w:rPr>
                <w:rFonts w:ascii="Arial Narrow" w:eastAsia="Times New Roman" w:hAnsi="Arial Narrow" w:cs="Arial"/>
                <w:b/>
                <w:bCs/>
                <w:sz w:val="18"/>
                <w:szCs w:val="18"/>
                <w:lang w:eastAsia="fr-FR"/>
              </w:rPr>
            </w:pPr>
            <w:r w:rsidRPr="007F78CE">
              <w:rPr>
                <w:rFonts w:ascii="Arial Narrow" w:hAnsi="Arial Narrow" w:cs="Arial"/>
                <w:sz w:val="18"/>
                <w:szCs w:val="18"/>
              </w:rPr>
              <w:t>F</w:t>
            </w:r>
          </w:p>
        </w:tc>
        <w:tc>
          <w:tcPr>
            <w:tcW w:w="850" w:type="dxa"/>
            <w:tcBorders>
              <w:top w:val="nil"/>
              <w:left w:val="single" w:sz="8" w:space="0" w:color="000000"/>
              <w:bottom w:val="single" w:sz="8" w:space="0" w:color="000000"/>
              <w:right w:val="single" w:sz="8" w:space="0" w:color="000000"/>
            </w:tcBorders>
            <w:vAlign w:val="center"/>
          </w:tcPr>
          <w:p w14:paraId="28B28304" w14:textId="77777777" w:rsidR="00C21029" w:rsidRPr="00AC123D" w:rsidRDefault="00C21029" w:rsidP="00F91FA3">
            <w:pPr>
              <w:spacing w:after="0"/>
              <w:jc w:val="both"/>
              <w:rPr>
                <w:rFonts w:ascii="Arial Narrow" w:eastAsia="Times New Roman" w:hAnsi="Arial Narrow" w:cs="Arial"/>
                <w:b/>
                <w:bCs/>
                <w:sz w:val="18"/>
                <w:szCs w:val="18"/>
                <w:lang w:eastAsia="fr-FR"/>
              </w:rPr>
            </w:pPr>
            <w:r w:rsidRPr="007F78CE">
              <w:rPr>
                <w:rFonts w:ascii="Arial Narrow" w:hAnsi="Arial Narrow" w:cs="Arial"/>
                <w:sz w:val="18"/>
                <w:szCs w:val="18"/>
              </w:rPr>
              <w:t>H</w:t>
            </w:r>
          </w:p>
        </w:tc>
        <w:tc>
          <w:tcPr>
            <w:tcW w:w="982" w:type="dxa"/>
            <w:tcBorders>
              <w:top w:val="nil"/>
              <w:left w:val="single" w:sz="8" w:space="0" w:color="000000"/>
              <w:bottom w:val="single" w:sz="8" w:space="0" w:color="000000"/>
              <w:right w:val="single" w:sz="8" w:space="0" w:color="000000"/>
            </w:tcBorders>
            <w:vAlign w:val="center"/>
          </w:tcPr>
          <w:p w14:paraId="6358F8FB" w14:textId="77777777" w:rsidR="00C21029" w:rsidRPr="00AC123D" w:rsidRDefault="00C21029" w:rsidP="00F91FA3">
            <w:pPr>
              <w:spacing w:after="0"/>
              <w:jc w:val="both"/>
              <w:rPr>
                <w:rFonts w:ascii="Arial Narrow" w:eastAsia="Times New Roman" w:hAnsi="Arial Narrow" w:cs="Arial"/>
                <w:b/>
                <w:bCs/>
                <w:sz w:val="18"/>
                <w:szCs w:val="18"/>
                <w:lang w:eastAsia="fr-FR"/>
              </w:rPr>
            </w:pPr>
            <w:r w:rsidRPr="007F78CE">
              <w:rPr>
                <w:rFonts w:ascii="Arial Narrow" w:hAnsi="Arial Narrow" w:cs="Arial"/>
                <w:sz w:val="18"/>
                <w:szCs w:val="18"/>
              </w:rPr>
              <w:t>F</w:t>
            </w:r>
          </w:p>
        </w:tc>
      </w:tr>
      <w:tr w:rsidR="00C21029" w:rsidRPr="007F78CE" w14:paraId="67C62178" w14:textId="77777777" w:rsidTr="00D12C6F">
        <w:trPr>
          <w:trHeight w:val="20"/>
        </w:trPr>
        <w:tc>
          <w:tcPr>
            <w:tcW w:w="5235" w:type="dxa"/>
            <w:tcBorders>
              <w:top w:val="nil"/>
              <w:left w:val="single" w:sz="8" w:space="0" w:color="000000"/>
              <w:bottom w:val="single" w:sz="8" w:space="0" w:color="000000"/>
              <w:right w:val="single" w:sz="8" w:space="0" w:color="000000"/>
            </w:tcBorders>
            <w:shd w:val="clear" w:color="auto" w:fill="auto"/>
            <w:vAlign w:val="center"/>
            <w:hideMark/>
          </w:tcPr>
          <w:p w14:paraId="36C27405" w14:textId="77777777" w:rsidR="00C21029" w:rsidRPr="00C65B9A" w:rsidRDefault="00C21029" w:rsidP="00F91FA3">
            <w:pPr>
              <w:spacing w:after="0"/>
              <w:jc w:val="both"/>
              <w:rPr>
                <w:rFonts w:ascii="Arial Narrow" w:eastAsia="Times New Roman" w:hAnsi="Arial Narrow" w:cs="Arial"/>
                <w:sz w:val="18"/>
                <w:szCs w:val="18"/>
                <w:lang w:eastAsia="fr-FR"/>
              </w:rPr>
            </w:pPr>
            <w:r w:rsidRPr="00C65B9A">
              <w:rPr>
                <w:rFonts w:ascii="Arial Narrow" w:eastAsia="Times New Roman" w:hAnsi="Arial Narrow" w:cs="Arial"/>
                <w:sz w:val="18"/>
                <w:szCs w:val="18"/>
                <w:lang w:eastAsia="fr-FR"/>
              </w:rPr>
              <w:t xml:space="preserve">Violence économique </w:t>
            </w:r>
          </w:p>
        </w:tc>
        <w:tc>
          <w:tcPr>
            <w:tcW w:w="992" w:type="dxa"/>
            <w:tcBorders>
              <w:top w:val="nil"/>
              <w:left w:val="single" w:sz="8" w:space="0" w:color="000000"/>
              <w:bottom w:val="single" w:sz="8" w:space="0" w:color="000000"/>
              <w:right w:val="single" w:sz="8" w:space="0" w:color="000000"/>
            </w:tcBorders>
            <w:vAlign w:val="center"/>
          </w:tcPr>
          <w:p w14:paraId="5CE9A839"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22</w:t>
            </w:r>
          </w:p>
        </w:tc>
        <w:tc>
          <w:tcPr>
            <w:tcW w:w="993" w:type="dxa"/>
            <w:tcBorders>
              <w:top w:val="nil"/>
              <w:left w:val="single" w:sz="8" w:space="0" w:color="000000"/>
              <w:bottom w:val="single" w:sz="8" w:space="0" w:color="000000"/>
              <w:right w:val="single" w:sz="8" w:space="0" w:color="000000"/>
            </w:tcBorders>
            <w:vAlign w:val="center"/>
          </w:tcPr>
          <w:p w14:paraId="0AE78CB2"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28</w:t>
            </w:r>
          </w:p>
        </w:tc>
        <w:tc>
          <w:tcPr>
            <w:tcW w:w="850" w:type="dxa"/>
            <w:tcBorders>
              <w:top w:val="nil"/>
              <w:left w:val="single" w:sz="8" w:space="0" w:color="000000"/>
              <w:bottom w:val="single" w:sz="8" w:space="0" w:color="000000"/>
              <w:right w:val="single" w:sz="8" w:space="0" w:color="000000"/>
            </w:tcBorders>
            <w:vAlign w:val="center"/>
          </w:tcPr>
          <w:p w14:paraId="700D310C"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16</w:t>
            </w:r>
          </w:p>
        </w:tc>
        <w:tc>
          <w:tcPr>
            <w:tcW w:w="982" w:type="dxa"/>
            <w:tcBorders>
              <w:top w:val="nil"/>
              <w:left w:val="single" w:sz="8" w:space="0" w:color="000000"/>
              <w:bottom w:val="single" w:sz="8" w:space="0" w:color="000000"/>
              <w:right w:val="single" w:sz="8" w:space="0" w:color="000000"/>
            </w:tcBorders>
            <w:vAlign w:val="center"/>
          </w:tcPr>
          <w:p w14:paraId="451F95E4"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363</w:t>
            </w:r>
          </w:p>
        </w:tc>
      </w:tr>
      <w:tr w:rsidR="00C21029" w:rsidRPr="007F78CE" w14:paraId="3614B44D" w14:textId="77777777" w:rsidTr="00D12C6F">
        <w:trPr>
          <w:trHeight w:val="20"/>
        </w:trPr>
        <w:tc>
          <w:tcPr>
            <w:tcW w:w="5235" w:type="dxa"/>
            <w:tcBorders>
              <w:top w:val="nil"/>
              <w:left w:val="single" w:sz="8" w:space="0" w:color="000000"/>
              <w:bottom w:val="single" w:sz="8" w:space="0" w:color="000000"/>
              <w:right w:val="single" w:sz="8" w:space="0" w:color="000000"/>
            </w:tcBorders>
            <w:shd w:val="clear" w:color="auto" w:fill="auto"/>
            <w:vAlign w:val="center"/>
            <w:hideMark/>
          </w:tcPr>
          <w:p w14:paraId="36FEEA09" w14:textId="77777777" w:rsidR="00C21029" w:rsidRPr="00C65B9A" w:rsidRDefault="00C21029" w:rsidP="00F91FA3">
            <w:pPr>
              <w:spacing w:after="0"/>
              <w:jc w:val="both"/>
              <w:rPr>
                <w:rFonts w:ascii="Arial Narrow" w:eastAsia="Times New Roman" w:hAnsi="Arial Narrow" w:cs="Arial"/>
                <w:sz w:val="18"/>
                <w:szCs w:val="18"/>
                <w:lang w:eastAsia="fr-FR"/>
              </w:rPr>
            </w:pPr>
            <w:r w:rsidRPr="00C65B9A">
              <w:rPr>
                <w:rFonts w:ascii="Arial Narrow" w:eastAsia="Times New Roman" w:hAnsi="Arial Narrow" w:cs="Arial"/>
                <w:sz w:val="18"/>
                <w:szCs w:val="18"/>
                <w:lang w:eastAsia="fr-FR"/>
              </w:rPr>
              <w:t xml:space="preserve">Violence sexuelle  </w:t>
            </w:r>
          </w:p>
        </w:tc>
        <w:tc>
          <w:tcPr>
            <w:tcW w:w="992" w:type="dxa"/>
            <w:tcBorders>
              <w:top w:val="nil"/>
              <w:left w:val="single" w:sz="8" w:space="0" w:color="000000"/>
              <w:bottom w:val="single" w:sz="8" w:space="0" w:color="000000"/>
              <w:right w:val="single" w:sz="8" w:space="0" w:color="000000"/>
            </w:tcBorders>
            <w:vAlign w:val="center"/>
          </w:tcPr>
          <w:p w14:paraId="6C653542"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2</w:t>
            </w:r>
          </w:p>
        </w:tc>
        <w:tc>
          <w:tcPr>
            <w:tcW w:w="993" w:type="dxa"/>
            <w:tcBorders>
              <w:top w:val="nil"/>
              <w:left w:val="single" w:sz="8" w:space="0" w:color="000000"/>
              <w:bottom w:val="single" w:sz="8" w:space="0" w:color="000000"/>
              <w:right w:val="single" w:sz="8" w:space="0" w:color="000000"/>
            </w:tcBorders>
            <w:vAlign w:val="center"/>
          </w:tcPr>
          <w:p w14:paraId="01B90497"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25</w:t>
            </w:r>
          </w:p>
        </w:tc>
        <w:tc>
          <w:tcPr>
            <w:tcW w:w="850" w:type="dxa"/>
            <w:tcBorders>
              <w:top w:val="nil"/>
              <w:left w:val="single" w:sz="8" w:space="0" w:color="000000"/>
              <w:bottom w:val="single" w:sz="8" w:space="0" w:color="000000"/>
              <w:right w:val="single" w:sz="8" w:space="0" w:color="000000"/>
            </w:tcBorders>
            <w:vAlign w:val="center"/>
          </w:tcPr>
          <w:p w14:paraId="31F1BFA4"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0</w:t>
            </w:r>
          </w:p>
        </w:tc>
        <w:tc>
          <w:tcPr>
            <w:tcW w:w="982" w:type="dxa"/>
            <w:tcBorders>
              <w:top w:val="nil"/>
              <w:left w:val="single" w:sz="8" w:space="0" w:color="000000"/>
              <w:bottom w:val="single" w:sz="8" w:space="0" w:color="000000"/>
              <w:right w:val="single" w:sz="8" w:space="0" w:color="000000"/>
            </w:tcBorders>
            <w:vAlign w:val="center"/>
          </w:tcPr>
          <w:p w14:paraId="2251C58F"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18</w:t>
            </w:r>
          </w:p>
        </w:tc>
      </w:tr>
      <w:tr w:rsidR="00C21029" w:rsidRPr="007F78CE" w14:paraId="5878C8D3" w14:textId="77777777" w:rsidTr="00D12C6F">
        <w:trPr>
          <w:trHeight w:val="20"/>
        </w:trPr>
        <w:tc>
          <w:tcPr>
            <w:tcW w:w="5235" w:type="dxa"/>
            <w:tcBorders>
              <w:top w:val="nil"/>
              <w:left w:val="single" w:sz="8" w:space="0" w:color="000000"/>
              <w:bottom w:val="single" w:sz="8" w:space="0" w:color="000000"/>
              <w:right w:val="single" w:sz="8" w:space="0" w:color="000000"/>
            </w:tcBorders>
            <w:shd w:val="clear" w:color="auto" w:fill="auto"/>
            <w:vAlign w:val="center"/>
            <w:hideMark/>
          </w:tcPr>
          <w:p w14:paraId="5355AE09" w14:textId="77777777" w:rsidR="00C21029" w:rsidRPr="00C65B9A" w:rsidRDefault="00C21029" w:rsidP="00F91FA3">
            <w:pPr>
              <w:spacing w:after="0"/>
              <w:jc w:val="both"/>
              <w:rPr>
                <w:rFonts w:ascii="Arial Narrow" w:eastAsia="Times New Roman" w:hAnsi="Arial Narrow" w:cs="Arial"/>
                <w:sz w:val="18"/>
                <w:szCs w:val="18"/>
                <w:lang w:eastAsia="fr-FR"/>
              </w:rPr>
            </w:pPr>
            <w:r w:rsidRPr="00C65B9A">
              <w:rPr>
                <w:rFonts w:ascii="Arial Narrow" w:eastAsia="Times New Roman" w:hAnsi="Arial Narrow" w:cs="Arial"/>
                <w:sz w:val="18"/>
                <w:szCs w:val="18"/>
                <w:lang w:eastAsia="fr-FR"/>
              </w:rPr>
              <w:t>Violence psychologique</w:t>
            </w:r>
          </w:p>
        </w:tc>
        <w:tc>
          <w:tcPr>
            <w:tcW w:w="992" w:type="dxa"/>
            <w:tcBorders>
              <w:top w:val="nil"/>
              <w:left w:val="single" w:sz="8" w:space="0" w:color="000000"/>
              <w:bottom w:val="single" w:sz="8" w:space="0" w:color="000000"/>
              <w:right w:val="single" w:sz="8" w:space="0" w:color="000000"/>
            </w:tcBorders>
            <w:vAlign w:val="center"/>
          </w:tcPr>
          <w:p w14:paraId="190274BA"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8</w:t>
            </w:r>
          </w:p>
        </w:tc>
        <w:tc>
          <w:tcPr>
            <w:tcW w:w="993" w:type="dxa"/>
            <w:tcBorders>
              <w:top w:val="nil"/>
              <w:left w:val="single" w:sz="8" w:space="0" w:color="000000"/>
              <w:bottom w:val="single" w:sz="8" w:space="0" w:color="000000"/>
              <w:right w:val="single" w:sz="8" w:space="0" w:color="000000"/>
            </w:tcBorders>
            <w:vAlign w:val="center"/>
          </w:tcPr>
          <w:p w14:paraId="0E44B4CD"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36</w:t>
            </w:r>
          </w:p>
        </w:tc>
        <w:tc>
          <w:tcPr>
            <w:tcW w:w="850" w:type="dxa"/>
            <w:tcBorders>
              <w:top w:val="nil"/>
              <w:left w:val="single" w:sz="8" w:space="0" w:color="000000"/>
              <w:bottom w:val="single" w:sz="8" w:space="0" w:color="000000"/>
              <w:right w:val="single" w:sz="8" w:space="0" w:color="000000"/>
            </w:tcBorders>
            <w:vAlign w:val="center"/>
          </w:tcPr>
          <w:p w14:paraId="7CD8DCE8"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23</w:t>
            </w:r>
          </w:p>
        </w:tc>
        <w:tc>
          <w:tcPr>
            <w:tcW w:w="982" w:type="dxa"/>
            <w:tcBorders>
              <w:top w:val="nil"/>
              <w:left w:val="single" w:sz="8" w:space="0" w:color="000000"/>
              <w:bottom w:val="single" w:sz="8" w:space="0" w:color="000000"/>
              <w:right w:val="single" w:sz="8" w:space="0" w:color="000000"/>
            </w:tcBorders>
            <w:vAlign w:val="center"/>
          </w:tcPr>
          <w:p w14:paraId="269FB894"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148</w:t>
            </w:r>
          </w:p>
        </w:tc>
      </w:tr>
      <w:tr w:rsidR="00C21029" w:rsidRPr="007F78CE" w14:paraId="0C319F6E" w14:textId="77777777" w:rsidTr="00D12C6F">
        <w:trPr>
          <w:trHeight w:val="20"/>
        </w:trPr>
        <w:tc>
          <w:tcPr>
            <w:tcW w:w="5235" w:type="dxa"/>
            <w:tcBorders>
              <w:top w:val="nil"/>
              <w:left w:val="single" w:sz="8" w:space="0" w:color="000000"/>
              <w:bottom w:val="single" w:sz="8" w:space="0" w:color="000000"/>
              <w:right w:val="single" w:sz="8" w:space="0" w:color="000000"/>
            </w:tcBorders>
            <w:shd w:val="clear" w:color="auto" w:fill="auto"/>
            <w:vAlign w:val="center"/>
            <w:hideMark/>
          </w:tcPr>
          <w:p w14:paraId="2CBD364C" w14:textId="77777777" w:rsidR="00C21029" w:rsidRPr="00C65B9A" w:rsidRDefault="00C21029" w:rsidP="00F91FA3">
            <w:pPr>
              <w:spacing w:after="0"/>
              <w:jc w:val="both"/>
              <w:rPr>
                <w:rFonts w:ascii="Arial Narrow" w:eastAsia="Times New Roman" w:hAnsi="Arial Narrow" w:cs="Arial"/>
                <w:sz w:val="18"/>
                <w:szCs w:val="18"/>
                <w:lang w:eastAsia="fr-FR"/>
              </w:rPr>
            </w:pPr>
            <w:r w:rsidRPr="00C65B9A">
              <w:rPr>
                <w:rFonts w:ascii="Arial Narrow" w:eastAsia="Times New Roman" w:hAnsi="Arial Narrow" w:cs="Arial"/>
                <w:sz w:val="18"/>
                <w:szCs w:val="18"/>
                <w:lang w:eastAsia="fr-FR"/>
              </w:rPr>
              <w:t>Violence physique</w:t>
            </w:r>
          </w:p>
        </w:tc>
        <w:tc>
          <w:tcPr>
            <w:tcW w:w="992" w:type="dxa"/>
            <w:tcBorders>
              <w:top w:val="nil"/>
              <w:left w:val="single" w:sz="8" w:space="0" w:color="000000"/>
              <w:bottom w:val="single" w:sz="8" w:space="0" w:color="000000"/>
              <w:right w:val="single" w:sz="8" w:space="0" w:color="000000"/>
            </w:tcBorders>
            <w:vAlign w:val="center"/>
          </w:tcPr>
          <w:p w14:paraId="71D8CDCF"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2</w:t>
            </w:r>
          </w:p>
        </w:tc>
        <w:tc>
          <w:tcPr>
            <w:tcW w:w="993" w:type="dxa"/>
            <w:tcBorders>
              <w:top w:val="nil"/>
              <w:left w:val="single" w:sz="8" w:space="0" w:color="000000"/>
              <w:bottom w:val="single" w:sz="8" w:space="0" w:color="000000"/>
              <w:right w:val="single" w:sz="8" w:space="0" w:color="000000"/>
            </w:tcBorders>
            <w:vAlign w:val="center"/>
          </w:tcPr>
          <w:p w14:paraId="255C73FD"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11</w:t>
            </w:r>
          </w:p>
        </w:tc>
        <w:tc>
          <w:tcPr>
            <w:tcW w:w="850" w:type="dxa"/>
            <w:tcBorders>
              <w:top w:val="nil"/>
              <w:left w:val="single" w:sz="8" w:space="0" w:color="000000"/>
              <w:bottom w:val="single" w:sz="8" w:space="0" w:color="000000"/>
              <w:right w:val="single" w:sz="8" w:space="0" w:color="000000"/>
            </w:tcBorders>
            <w:vAlign w:val="center"/>
          </w:tcPr>
          <w:p w14:paraId="66DA7910"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11</w:t>
            </w:r>
          </w:p>
        </w:tc>
        <w:tc>
          <w:tcPr>
            <w:tcW w:w="982" w:type="dxa"/>
            <w:tcBorders>
              <w:top w:val="nil"/>
              <w:left w:val="single" w:sz="8" w:space="0" w:color="000000"/>
              <w:bottom w:val="single" w:sz="8" w:space="0" w:color="000000"/>
              <w:right w:val="single" w:sz="8" w:space="0" w:color="000000"/>
            </w:tcBorders>
            <w:vAlign w:val="center"/>
          </w:tcPr>
          <w:p w14:paraId="666357F1" w14:textId="77777777" w:rsidR="00C21029" w:rsidRPr="00AC123D" w:rsidRDefault="00C21029" w:rsidP="00F91FA3">
            <w:pPr>
              <w:spacing w:after="0"/>
              <w:jc w:val="both"/>
              <w:rPr>
                <w:rFonts w:ascii="Arial Narrow" w:eastAsia="Times New Roman" w:hAnsi="Arial Narrow" w:cs="Arial"/>
                <w:sz w:val="18"/>
                <w:szCs w:val="18"/>
                <w:lang w:eastAsia="fr-FR"/>
              </w:rPr>
            </w:pPr>
            <w:r w:rsidRPr="007F78CE">
              <w:rPr>
                <w:rFonts w:ascii="Arial Narrow" w:hAnsi="Arial Narrow" w:cs="Arial"/>
                <w:b/>
                <w:bCs/>
                <w:sz w:val="18"/>
                <w:szCs w:val="18"/>
              </w:rPr>
              <w:t>79</w:t>
            </w:r>
          </w:p>
        </w:tc>
      </w:tr>
      <w:tr w:rsidR="00C21029" w:rsidRPr="007F78CE" w14:paraId="63CDBAD5" w14:textId="77777777" w:rsidTr="00D12C6F">
        <w:trPr>
          <w:trHeight w:val="20"/>
        </w:trPr>
        <w:tc>
          <w:tcPr>
            <w:tcW w:w="5235" w:type="dxa"/>
            <w:tcBorders>
              <w:top w:val="nil"/>
              <w:left w:val="single" w:sz="8" w:space="0" w:color="000000"/>
              <w:bottom w:val="single" w:sz="8" w:space="0" w:color="000000"/>
              <w:right w:val="single" w:sz="8" w:space="0" w:color="000000"/>
            </w:tcBorders>
            <w:shd w:val="clear" w:color="auto" w:fill="auto"/>
            <w:vAlign w:val="center"/>
            <w:hideMark/>
          </w:tcPr>
          <w:p w14:paraId="66BE017F" w14:textId="77777777" w:rsidR="00C21029" w:rsidRPr="00C65B9A" w:rsidRDefault="00C21029" w:rsidP="00F91FA3">
            <w:pPr>
              <w:spacing w:after="0"/>
              <w:jc w:val="both"/>
              <w:rPr>
                <w:rFonts w:ascii="Arial Narrow" w:eastAsia="Times New Roman" w:hAnsi="Arial Narrow" w:cs="Arial"/>
                <w:b/>
                <w:bCs/>
                <w:sz w:val="18"/>
                <w:szCs w:val="18"/>
                <w:lang w:eastAsia="fr-FR"/>
              </w:rPr>
            </w:pPr>
            <w:r w:rsidRPr="00C65B9A">
              <w:rPr>
                <w:rFonts w:ascii="Arial Narrow" w:eastAsia="Times New Roman" w:hAnsi="Arial Narrow" w:cs="Arial"/>
                <w:b/>
                <w:bCs/>
                <w:sz w:val="18"/>
                <w:szCs w:val="18"/>
                <w:lang w:eastAsia="fr-FR"/>
              </w:rPr>
              <w:t>TOTAL</w:t>
            </w:r>
          </w:p>
        </w:tc>
        <w:tc>
          <w:tcPr>
            <w:tcW w:w="3817" w:type="dxa"/>
            <w:gridSpan w:val="4"/>
            <w:tcBorders>
              <w:top w:val="nil"/>
              <w:left w:val="single" w:sz="8" w:space="0" w:color="000000"/>
              <w:bottom w:val="single" w:sz="8" w:space="0" w:color="000000"/>
              <w:right w:val="single" w:sz="8" w:space="0" w:color="000000"/>
            </w:tcBorders>
            <w:vAlign w:val="center"/>
          </w:tcPr>
          <w:p w14:paraId="224C4A5E" w14:textId="77777777" w:rsidR="00C21029" w:rsidRPr="00AC123D" w:rsidRDefault="00C21029" w:rsidP="00F91FA3">
            <w:pPr>
              <w:spacing w:after="0"/>
              <w:jc w:val="both"/>
              <w:rPr>
                <w:rFonts w:ascii="Arial Narrow" w:eastAsia="Times New Roman" w:hAnsi="Arial Narrow" w:cs="Arial"/>
                <w:b/>
                <w:bCs/>
                <w:sz w:val="18"/>
                <w:szCs w:val="18"/>
                <w:lang w:eastAsia="fr-FR"/>
              </w:rPr>
            </w:pPr>
            <w:r w:rsidRPr="00AC123D">
              <w:rPr>
                <w:rFonts w:ascii="Arial Narrow" w:eastAsia="Times New Roman" w:hAnsi="Arial Narrow" w:cs="Arial"/>
                <w:b/>
                <w:bCs/>
                <w:sz w:val="18"/>
                <w:szCs w:val="18"/>
                <w:lang w:eastAsia="fr-FR"/>
              </w:rPr>
              <w:t>792</w:t>
            </w:r>
          </w:p>
        </w:tc>
      </w:tr>
    </w:tbl>
    <w:p w14:paraId="6685708B" w14:textId="77777777" w:rsidR="00C21029" w:rsidRPr="00B434A6" w:rsidRDefault="00C21029" w:rsidP="00F91FA3">
      <w:pPr>
        <w:jc w:val="both"/>
        <w:rPr>
          <w:i/>
          <w:sz w:val="16"/>
        </w:rPr>
      </w:pPr>
      <w:r w:rsidRPr="00B434A6">
        <w:rPr>
          <w:i/>
          <w:sz w:val="16"/>
        </w:rPr>
        <w:t>Source : CECJ &amp;CPCI Fitovinany (Décembre 2022)</w:t>
      </w:r>
    </w:p>
    <w:p w14:paraId="283B654E" w14:textId="77777777" w:rsidR="00C21029" w:rsidRPr="00C57470" w:rsidRDefault="00C21029" w:rsidP="0044500E">
      <w:pPr>
        <w:pStyle w:val="Titre2"/>
        <w:numPr>
          <w:ilvl w:val="1"/>
          <w:numId w:val="159"/>
        </w:numPr>
      </w:pPr>
      <w:bookmarkStart w:id="1990" w:name="_Toc124312860"/>
      <w:bookmarkStart w:id="1991" w:name="_Toc124314840"/>
      <w:bookmarkStart w:id="1992" w:name="_Toc124317048"/>
      <w:bookmarkStart w:id="1993" w:name="_Toc124956388"/>
      <w:bookmarkStart w:id="1994" w:name="_Toc125384746"/>
      <w:bookmarkStart w:id="1995" w:name="_Toc125385136"/>
      <w:bookmarkStart w:id="1996" w:name="_Toc125402329"/>
      <w:bookmarkStart w:id="1997" w:name="_Toc126593248"/>
      <w:bookmarkStart w:id="1998" w:name="_Toc127957787"/>
      <w:r w:rsidRPr="00C57470">
        <w:t xml:space="preserve">Analyse des risques de VGB susceptibles d’être induits par le </w:t>
      </w:r>
      <w:r>
        <w:t>Projet</w:t>
      </w:r>
      <w:bookmarkEnd w:id="1990"/>
      <w:bookmarkEnd w:id="1991"/>
      <w:bookmarkEnd w:id="1992"/>
      <w:bookmarkEnd w:id="1993"/>
      <w:bookmarkEnd w:id="1994"/>
      <w:bookmarkEnd w:id="1995"/>
      <w:bookmarkEnd w:id="1996"/>
      <w:bookmarkEnd w:id="1997"/>
      <w:bookmarkEnd w:id="1998"/>
    </w:p>
    <w:p w14:paraId="09AA2EE4" w14:textId="77777777" w:rsidR="00C21029" w:rsidRPr="00C57470" w:rsidRDefault="00C21029" w:rsidP="009579DB">
      <w:pPr>
        <w:spacing w:before="120" w:after="120" w:line="240" w:lineRule="auto"/>
        <w:jc w:val="both"/>
      </w:pPr>
      <w:r w:rsidRPr="00C57470">
        <w:t>Selon les statistiques et les faits rapportés supra, les violences basées sur le genre contre les femmes et les filles existent bel et bien</w:t>
      </w:r>
      <w:r>
        <w:t xml:space="preserve"> à Madagascar</w:t>
      </w:r>
      <w:r w:rsidRPr="00C57470">
        <w:t xml:space="preserve">. </w:t>
      </w:r>
    </w:p>
    <w:p w14:paraId="60D5943A" w14:textId="77777777" w:rsidR="00C21029" w:rsidRPr="00C57470" w:rsidRDefault="00C21029" w:rsidP="009579DB">
      <w:pPr>
        <w:spacing w:before="120" w:after="120" w:line="240" w:lineRule="auto"/>
        <w:jc w:val="both"/>
      </w:pPr>
      <w:r w:rsidRPr="00C57470">
        <w:t xml:space="preserve">L’afflux des travailleurs masculins en charge des travaux de construction </w:t>
      </w:r>
      <w:r>
        <w:t>des ouvrages et des installations,</w:t>
      </w:r>
      <w:r w:rsidRPr="002B280D">
        <w:t xml:space="preserve"> ainsi que l’émancipation féminine auprès de la main</w:t>
      </w:r>
      <w:r w:rsidR="000C3C84">
        <w:t>-</w:t>
      </w:r>
      <w:r w:rsidRPr="002B280D">
        <w:t>d’œuvre locale et après des bénéficiaires des formation, peuvent</w:t>
      </w:r>
      <w:r w:rsidRPr="00C57470">
        <w:t xml:space="preserve"> entraîner une exacerbation et une aggravation de violence basée sur le genre. Les cas de figure suivants peuvent se présenter dans les </w:t>
      </w:r>
      <w:r>
        <w:t>localités</w:t>
      </w:r>
      <w:r w:rsidRPr="00C57470">
        <w:t xml:space="preserve"> concernées par le Pro</w:t>
      </w:r>
      <w:r>
        <w:t>jet</w:t>
      </w:r>
      <w:r w:rsidRPr="00C57470">
        <w:t> :</w:t>
      </w:r>
    </w:p>
    <w:p w14:paraId="7CA46622" w14:textId="77777777" w:rsidR="00C21029" w:rsidRPr="00C57470" w:rsidRDefault="00C21029" w:rsidP="00687DD2">
      <w:pPr>
        <w:pStyle w:val="Paragraphedeliste"/>
        <w:numPr>
          <w:ilvl w:val="0"/>
          <w:numId w:val="58"/>
        </w:numPr>
        <w:spacing w:before="100" w:beforeAutospacing="1" w:after="100" w:afterAutospacing="1" w:line="240" w:lineRule="auto"/>
        <w:jc w:val="both"/>
      </w:pPr>
      <w:r w:rsidRPr="00C57470">
        <w:t xml:space="preserve">Le travailleur dans le projet pourrait voir </w:t>
      </w:r>
      <w:r>
        <w:t xml:space="preserve">ses </w:t>
      </w:r>
      <w:r w:rsidRPr="00C57470">
        <w:t>revenus augmenter grâce à la création de nouveaux emplois. En revanche, le contexte local conduit à une relative vulnérabilité des membres de la communauté. En conséquence, cette disparité financière peut augmenter les risques de relations sexuelles d'exploitation entre les travailleurs masculins et les membres féminins de la communauté ;</w:t>
      </w:r>
    </w:p>
    <w:p w14:paraId="49EF2A3A" w14:textId="77777777" w:rsidR="00C21029" w:rsidRPr="00C57470" w:rsidRDefault="00C21029" w:rsidP="00687DD2">
      <w:pPr>
        <w:pStyle w:val="Paragraphedeliste"/>
        <w:numPr>
          <w:ilvl w:val="0"/>
          <w:numId w:val="58"/>
        </w:numPr>
        <w:spacing w:before="100" w:beforeAutospacing="1" w:after="100" w:afterAutospacing="1" w:line="240" w:lineRule="auto"/>
        <w:jc w:val="both"/>
      </w:pPr>
      <w:r w:rsidRPr="00C57470">
        <w:t xml:space="preserve">En outre, les travailleurs </w:t>
      </w:r>
      <w:r>
        <w:t>externes et non locaux</w:t>
      </w:r>
      <w:r w:rsidRPr="00C57470">
        <w:t xml:space="preserve"> peuvent être moins adhérents aux normes sociales de la communauté, ce qui augmente encore les risques d</w:t>
      </w:r>
      <w:r>
        <w:t>’EAS/HS</w:t>
      </w:r>
      <w:r w:rsidRPr="00C57470">
        <w:t> ;</w:t>
      </w:r>
    </w:p>
    <w:p w14:paraId="7733C0EB" w14:textId="77777777" w:rsidR="00C21029" w:rsidRPr="00C57470" w:rsidRDefault="00C21029" w:rsidP="00687DD2">
      <w:pPr>
        <w:pStyle w:val="Paragraphedeliste"/>
        <w:numPr>
          <w:ilvl w:val="0"/>
          <w:numId w:val="58"/>
        </w:numPr>
        <w:spacing w:before="100" w:beforeAutospacing="1" w:after="100" w:afterAutospacing="1" w:line="240" w:lineRule="auto"/>
        <w:jc w:val="both"/>
      </w:pPr>
      <w:r w:rsidRPr="00C57470">
        <w:t>Des comportements déplacés et abusifs pourraient survenir entre les personnels et la population riveraine des sites d’implantation des</w:t>
      </w:r>
      <w:r>
        <w:t xml:space="preserve"> </w:t>
      </w:r>
      <w:r w:rsidRPr="00C57470">
        <w:t xml:space="preserve">projets ou bien encore entre les travailleurs des projets; </w:t>
      </w:r>
    </w:p>
    <w:p w14:paraId="177CED03" w14:textId="77777777" w:rsidR="00C21029" w:rsidRDefault="00C21029" w:rsidP="00687DD2">
      <w:pPr>
        <w:pStyle w:val="Paragraphedeliste"/>
        <w:numPr>
          <w:ilvl w:val="0"/>
          <w:numId w:val="58"/>
        </w:numPr>
        <w:spacing w:before="100" w:beforeAutospacing="1" w:after="100" w:afterAutospacing="1" w:line="240" w:lineRule="auto"/>
        <w:jc w:val="both"/>
      </w:pPr>
      <w:r w:rsidRPr="00C57470">
        <w:t>De plus, les entreprises sous-traitantes au Pro</w:t>
      </w:r>
      <w:r>
        <w:t>jet</w:t>
      </w:r>
      <w:r w:rsidRPr="00C57470">
        <w:t xml:space="preserve"> peuvent recruter du personnel féminin, mais ce dernier peut être en infériorité numérique par rapport à la main</w:t>
      </w:r>
      <w:r w:rsidR="000C3C84">
        <w:t>-</w:t>
      </w:r>
      <w:r w:rsidRPr="00C57470">
        <w:t>d’œuvre masculine. Ainsi, l’isolement géographique et la sex-ratio inégale pourraient favoriser les risques d</w:t>
      </w:r>
      <w:r>
        <w:t>’EAS/HS</w:t>
      </w:r>
      <w:r w:rsidRPr="00C57470">
        <w:t xml:space="preserve"> aux femmes en milieu de travail. En effet, les femmes peuvent avoir des difficultés à signaler les incidents ou des cas d</w:t>
      </w:r>
      <w:r>
        <w:t>’E</w:t>
      </w:r>
      <w:r w:rsidRPr="00C57470">
        <w:t>AS/HS.</w:t>
      </w:r>
    </w:p>
    <w:p w14:paraId="2E9D4676" w14:textId="77777777" w:rsidR="00C21029" w:rsidRPr="00C57470" w:rsidRDefault="00C21029" w:rsidP="00F91FA3">
      <w:pPr>
        <w:jc w:val="both"/>
      </w:pPr>
      <w:r>
        <w:t>En tenant compte de ce constat, il importe que l’UCP à implanter dans le cadre de ce Projet recrute un</w:t>
      </w:r>
      <w:r w:rsidR="000C3C84">
        <w:t>(e)</w:t>
      </w:r>
      <w:r>
        <w:t xml:space="preserve"> </w:t>
      </w:r>
      <w:r w:rsidR="00C940D0">
        <w:t>spécialiste</w:t>
      </w:r>
      <w:r>
        <w:t xml:space="preserve"> en VBG et EAS/HS, qui sera en charge de l’application du présent plan de gestion de VBG/EAS/HS.</w:t>
      </w:r>
    </w:p>
    <w:p w14:paraId="62A4E373" w14:textId="77777777" w:rsidR="00C21029" w:rsidRDefault="00C21029" w:rsidP="0044500E">
      <w:pPr>
        <w:pStyle w:val="Titre1"/>
        <w:numPr>
          <w:ilvl w:val="0"/>
          <w:numId w:val="159"/>
        </w:numPr>
        <w:ind w:left="0" w:firstLine="0"/>
        <w:jc w:val="both"/>
        <w:rPr>
          <w:rFonts w:eastAsia="Arial"/>
        </w:rPr>
        <w:sectPr w:rsidR="00C21029" w:rsidSect="00CB5DF2">
          <w:pgSz w:w="11906" w:h="16838"/>
          <w:pgMar w:top="1418" w:right="1418" w:bottom="1418" w:left="1418" w:header="709" w:footer="709" w:gutter="0"/>
          <w:cols w:space="708"/>
          <w:docGrid w:linePitch="360"/>
        </w:sectPr>
      </w:pPr>
      <w:bookmarkStart w:id="1999" w:name="_Toc86408965"/>
    </w:p>
    <w:p w14:paraId="6AB690A9" w14:textId="77777777" w:rsidR="00C21029" w:rsidRPr="00B2202A" w:rsidRDefault="00C21029" w:rsidP="0044500E">
      <w:pPr>
        <w:pStyle w:val="Titre1"/>
        <w:numPr>
          <w:ilvl w:val="0"/>
          <w:numId w:val="159"/>
        </w:numPr>
        <w:ind w:left="0" w:firstLine="0"/>
        <w:jc w:val="both"/>
      </w:pPr>
      <w:bookmarkStart w:id="2000" w:name="_Toc124312861"/>
      <w:bookmarkStart w:id="2001" w:name="_Toc124314841"/>
      <w:bookmarkStart w:id="2002" w:name="_Toc124317049"/>
      <w:bookmarkStart w:id="2003" w:name="_Toc124956389"/>
      <w:bookmarkStart w:id="2004" w:name="_Toc125384747"/>
      <w:bookmarkStart w:id="2005" w:name="_Toc125385137"/>
      <w:bookmarkStart w:id="2006" w:name="_Toc125402330"/>
      <w:bookmarkStart w:id="2007" w:name="_Toc126593249"/>
      <w:bookmarkStart w:id="2008" w:name="_Toc127957788"/>
      <w:r w:rsidRPr="00B2202A">
        <w:rPr>
          <w:rFonts w:eastAsia="Arial"/>
        </w:rPr>
        <w:t xml:space="preserve">PLAN D’ACTION DE PREVENTION ET REPONSE AUX EAS/HS POUR LE </w:t>
      </w:r>
      <w:bookmarkEnd w:id="1999"/>
      <w:r w:rsidRPr="00B2202A">
        <w:rPr>
          <w:rFonts w:eastAsia="Arial"/>
        </w:rPr>
        <w:t>PROJET</w:t>
      </w:r>
      <w:bookmarkEnd w:id="2000"/>
      <w:bookmarkEnd w:id="2001"/>
      <w:bookmarkEnd w:id="2002"/>
      <w:bookmarkEnd w:id="2003"/>
      <w:bookmarkEnd w:id="2004"/>
      <w:bookmarkEnd w:id="2005"/>
      <w:bookmarkEnd w:id="2006"/>
      <w:bookmarkEnd w:id="2007"/>
      <w:bookmarkEnd w:id="2008"/>
    </w:p>
    <w:p w14:paraId="78D89415" w14:textId="77777777" w:rsidR="00C21029" w:rsidRPr="00535E78" w:rsidRDefault="00C21029" w:rsidP="0044500E">
      <w:pPr>
        <w:pStyle w:val="Titre2"/>
        <w:numPr>
          <w:ilvl w:val="1"/>
          <w:numId w:val="159"/>
        </w:numPr>
      </w:pPr>
      <w:bookmarkStart w:id="2009" w:name="_Toc86408966"/>
      <w:bookmarkStart w:id="2010" w:name="_Toc124312862"/>
      <w:bookmarkStart w:id="2011" w:name="_Toc124314842"/>
      <w:bookmarkStart w:id="2012" w:name="_Toc124317050"/>
      <w:bookmarkStart w:id="2013" w:name="_Toc124956390"/>
      <w:bookmarkStart w:id="2014" w:name="_Toc125384748"/>
      <w:bookmarkStart w:id="2015" w:name="_Toc125385138"/>
      <w:bookmarkStart w:id="2016" w:name="_Toc125402331"/>
      <w:bookmarkStart w:id="2017" w:name="_Toc126593250"/>
      <w:bookmarkStart w:id="2018" w:name="_Toc127957789"/>
      <w:r w:rsidRPr="00535E78">
        <w:t>Objectifs</w:t>
      </w:r>
      <w:bookmarkEnd w:id="2009"/>
      <w:bookmarkEnd w:id="2010"/>
      <w:bookmarkEnd w:id="2011"/>
      <w:bookmarkEnd w:id="2012"/>
      <w:bookmarkEnd w:id="2013"/>
      <w:bookmarkEnd w:id="2014"/>
      <w:bookmarkEnd w:id="2015"/>
      <w:bookmarkEnd w:id="2016"/>
      <w:bookmarkEnd w:id="2017"/>
      <w:bookmarkEnd w:id="2018"/>
    </w:p>
    <w:p w14:paraId="27B5F107" w14:textId="77777777" w:rsidR="00C21029" w:rsidRPr="00CB5633" w:rsidRDefault="00C21029" w:rsidP="009579DB">
      <w:pPr>
        <w:spacing w:before="120" w:after="120" w:line="240" w:lineRule="auto"/>
        <w:jc w:val="both"/>
      </w:pPr>
      <w:r w:rsidRPr="00392296">
        <w:t>L'objectif principal de ce Plan d’action de prévention et réponse aux EAS/HS</w:t>
      </w:r>
      <w:r w:rsidR="006D5F22" w:rsidRPr="00392296">
        <w:t xml:space="preserve"> </w:t>
      </w:r>
      <w:r w:rsidRPr="000C3C84">
        <w:t xml:space="preserve">(Plan d’action EAS/HS) est d'aider à atténuer, répondre, et prévenir les risques d’EAS/HS </w:t>
      </w:r>
      <w:r w:rsidRPr="00691C73">
        <w:t>liés au Projet sur le lieu de travail et dans les communautés riveraines des zones concernées par le Projet mais également de créer une conscience commune autour des risques liés aux EAS/HS et un système clair de redevabilité et de réponse aux incidents li</w:t>
      </w:r>
      <w:r w:rsidRPr="00CB5633">
        <w:t xml:space="preserve">és aux EAS/HS. </w:t>
      </w:r>
    </w:p>
    <w:p w14:paraId="09EC55B7" w14:textId="77777777" w:rsidR="00C21029" w:rsidRPr="00C57470" w:rsidRDefault="00C21029" w:rsidP="009579DB">
      <w:pPr>
        <w:spacing w:before="120" w:after="120" w:line="240" w:lineRule="auto"/>
        <w:jc w:val="both"/>
      </w:pPr>
      <w:r w:rsidRPr="00CB5633">
        <w:t>Les objectifs spécifiques consistent à :</w:t>
      </w:r>
      <w:r w:rsidRPr="00C57470">
        <w:t xml:space="preserve"> </w:t>
      </w:r>
    </w:p>
    <w:p w14:paraId="4AA0FB7C" w14:textId="77777777" w:rsidR="00C21029" w:rsidRPr="00400E40" w:rsidRDefault="00C21029" w:rsidP="00687DD2">
      <w:pPr>
        <w:pStyle w:val="Paragraphedeliste"/>
        <w:numPr>
          <w:ilvl w:val="0"/>
          <w:numId w:val="59"/>
        </w:numPr>
        <w:spacing w:before="100" w:beforeAutospacing="1" w:after="100" w:afterAutospacing="1" w:line="240" w:lineRule="auto"/>
        <w:jc w:val="both"/>
      </w:pPr>
      <w:r w:rsidRPr="00400E40">
        <w:t>Atténuer les risques d’EAS/HS liés au Projet ;</w:t>
      </w:r>
    </w:p>
    <w:p w14:paraId="1CDCB21E" w14:textId="77777777" w:rsidR="00C21029" w:rsidRPr="00C57470" w:rsidRDefault="00C21029" w:rsidP="00687DD2">
      <w:pPr>
        <w:pStyle w:val="Paragraphedeliste"/>
        <w:numPr>
          <w:ilvl w:val="0"/>
          <w:numId w:val="59"/>
        </w:numPr>
        <w:spacing w:before="100" w:beforeAutospacing="1" w:after="100" w:afterAutospacing="1" w:line="240" w:lineRule="auto"/>
        <w:jc w:val="both"/>
      </w:pPr>
      <w:r w:rsidRPr="00400E40">
        <w:t>Accroitre la compréhension et la définition des enjeux de lutte contre les actes d’EAS/HS pour tout le personnel du Projet ;</w:t>
      </w:r>
    </w:p>
    <w:p w14:paraId="59A9FC38" w14:textId="77777777" w:rsidR="00C21029" w:rsidRPr="00C57470" w:rsidRDefault="00C21029" w:rsidP="00687DD2">
      <w:pPr>
        <w:pStyle w:val="Paragraphedeliste"/>
        <w:numPr>
          <w:ilvl w:val="0"/>
          <w:numId w:val="59"/>
        </w:numPr>
        <w:spacing w:before="100" w:beforeAutospacing="1" w:after="100" w:afterAutospacing="1" w:line="240" w:lineRule="auto"/>
        <w:jc w:val="both"/>
      </w:pPr>
      <w:r w:rsidRPr="00400E40">
        <w:t>Organiser des campagnes et des séances de sensibilisation des travailleurs et de tout le personnel, y compris les sous-traitants au Projet ;</w:t>
      </w:r>
    </w:p>
    <w:p w14:paraId="693DC995" w14:textId="77777777" w:rsidR="00C21029" w:rsidRPr="00C57470" w:rsidRDefault="00C21029" w:rsidP="00687DD2">
      <w:pPr>
        <w:pStyle w:val="Paragraphedeliste"/>
        <w:numPr>
          <w:ilvl w:val="0"/>
          <w:numId w:val="59"/>
        </w:numPr>
        <w:spacing w:before="100" w:beforeAutospacing="1" w:after="100" w:afterAutospacing="1" w:line="240" w:lineRule="auto"/>
        <w:jc w:val="both"/>
      </w:pPr>
      <w:r w:rsidRPr="00400E40">
        <w:t>Coupler les séances de sensibilisation avec l’information des riverains sur les mécanismes mis en place (accompagnement aux services de prise en charge holistiques – médical, psychosocial, et juridique, protocole de réponse aux incidents d’EAS/HS, et accès aux procédures éthiques et confidentielles du mécanisme de gestion des plaintes qui traitent les plaintes EAS/HS) ;</w:t>
      </w:r>
    </w:p>
    <w:p w14:paraId="026B3FC9" w14:textId="77777777" w:rsidR="00C21029" w:rsidRPr="00400E40" w:rsidRDefault="00C21029" w:rsidP="00687DD2">
      <w:pPr>
        <w:pStyle w:val="Paragraphedeliste"/>
        <w:numPr>
          <w:ilvl w:val="0"/>
          <w:numId w:val="59"/>
        </w:numPr>
        <w:spacing w:before="100" w:beforeAutospacing="1" w:after="100" w:afterAutospacing="1" w:line="240" w:lineRule="auto"/>
        <w:jc w:val="both"/>
      </w:pPr>
      <w:r w:rsidRPr="00400E40">
        <w:t>S’assurer que d’éventuels incidents qui apparaissent soient traités et documentés et que les survivant(e)s soient référé(e)s en temps opportun aux services d’appui de qualité ;</w:t>
      </w:r>
    </w:p>
    <w:p w14:paraId="677AAFA6" w14:textId="77777777" w:rsidR="00C21029" w:rsidRDefault="00C21029" w:rsidP="00687DD2">
      <w:pPr>
        <w:pStyle w:val="Paragraphedeliste"/>
        <w:numPr>
          <w:ilvl w:val="0"/>
          <w:numId w:val="59"/>
        </w:numPr>
        <w:spacing w:before="100" w:beforeAutospacing="1" w:after="100" w:afterAutospacing="1" w:line="240" w:lineRule="auto"/>
        <w:jc w:val="both"/>
      </w:pPr>
      <w:r w:rsidRPr="00400E40">
        <w:t>Contribuer à la pérennisation des activités de lutte et de prévention des VBG, y compris les actes d’EAS/HS</w:t>
      </w:r>
      <w:r w:rsidR="00B2202A">
        <w:t> ;</w:t>
      </w:r>
    </w:p>
    <w:p w14:paraId="68B164E5" w14:textId="77777777" w:rsidR="00C21029" w:rsidRPr="00400E40" w:rsidRDefault="00C21029" w:rsidP="00687DD2">
      <w:pPr>
        <w:pStyle w:val="Paragraphedeliste"/>
        <w:numPr>
          <w:ilvl w:val="0"/>
          <w:numId w:val="59"/>
        </w:numPr>
        <w:spacing w:before="100" w:beforeAutospacing="1" w:after="100" w:afterAutospacing="1" w:line="240" w:lineRule="auto"/>
        <w:jc w:val="both"/>
      </w:pPr>
      <w:r>
        <w:t>Renforcer les implications des parties prenantes</w:t>
      </w:r>
      <w:r w:rsidR="00B2202A">
        <w:t>.</w:t>
      </w:r>
    </w:p>
    <w:p w14:paraId="7878A41E" w14:textId="77777777" w:rsidR="00C21029" w:rsidRDefault="00C21029" w:rsidP="00F91FA3">
      <w:pPr>
        <w:jc w:val="both"/>
      </w:pPr>
      <w:r>
        <w:t xml:space="preserve">Les actions de gestion suivantes relèvent du niveau organisationnel du Projet : </w:t>
      </w:r>
    </w:p>
    <w:p w14:paraId="473D0790" w14:textId="77777777" w:rsidR="00C21029" w:rsidRPr="00B402F1" w:rsidRDefault="00C21029" w:rsidP="00687DD2">
      <w:pPr>
        <w:pStyle w:val="Paragraphedeliste"/>
        <w:numPr>
          <w:ilvl w:val="0"/>
          <w:numId w:val="59"/>
        </w:numPr>
        <w:spacing w:before="100" w:beforeAutospacing="1" w:after="100" w:afterAutospacing="1" w:line="240" w:lineRule="auto"/>
        <w:jc w:val="both"/>
      </w:pPr>
      <w:r w:rsidRPr="00B402F1">
        <w:t xml:space="preserve">Intégrer la gestion des risques </w:t>
      </w:r>
      <w:r w:rsidRPr="00FE10D1">
        <w:t>EAS-HS</w:t>
      </w:r>
      <w:r w:rsidRPr="00B402F1">
        <w:t xml:space="preserve"> dans les </w:t>
      </w:r>
      <w:r w:rsidRPr="00761A42">
        <w:t xml:space="preserve">instruments de </w:t>
      </w:r>
      <w:r>
        <w:t>gestion des risques</w:t>
      </w:r>
      <w:r w:rsidR="006D5F22">
        <w:t xml:space="preserve"> </w:t>
      </w:r>
      <w:r w:rsidRPr="00B402F1">
        <w:t xml:space="preserve">et dans le </w:t>
      </w:r>
      <w:r w:rsidRPr="00761A42">
        <w:t>processus de passation de marché</w:t>
      </w:r>
      <w:r>
        <w:t xml:space="preserve">s </w:t>
      </w:r>
      <w:r w:rsidRPr="00761A42">
        <w:t>;</w:t>
      </w:r>
    </w:p>
    <w:p w14:paraId="0B57F21D" w14:textId="77777777" w:rsidR="00C21029" w:rsidRDefault="00C21029" w:rsidP="00687DD2">
      <w:pPr>
        <w:pStyle w:val="Paragraphedeliste"/>
        <w:numPr>
          <w:ilvl w:val="0"/>
          <w:numId w:val="59"/>
        </w:numPr>
        <w:spacing w:before="100" w:beforeAutospacing="1" w:after="100" w:afterAutospacing="1" w:line="240" w:lineRule="auto"/>
        <w:jc w:val="both"/>
      </w:pPr>
      <w:r>
        <w:t>Actualiser la cartographie des acteurs en matière de VBG et d’exploitation sexuelle dans les zones d’intervention, et évaluer leurs capacités de prise en charge ;</w:t>
      </w:r>
    </w:p>
    <w:p w14:paraId="47EFEAFF" w14:textId="77777777" w:rsidR="00C21029" w:rsidRDefault="00C21029" w:rsidP="00687DD2">
      <w:pPr>
        <w:pStyle w:val="Paragraphedeliste"/>
        <w:numPr>
          <w:ilvl w:val="0"/>
          <w:numId w:val="59"/>
        </w:numPr>
        <w:spacing w:before="100" w:beforeAutospacing="1" w:after="100" w:afterAutospacing="1" w:line="240" w:lineRule="auto"/>
        <w:jc w:val="both"/>
      </w:pPr>
      <w:r w:rsidRPr="00B402F1">
        <w:t xml:space="preserve">S’assurer de la </w:t>
      </w:r>
      <w:r w:rsidRPr="00761A42">
        <w:t xml:space="preserve">signature de Code de Conduite </w:t>
      </w:r>
      <w:r w:rsidRPr="00B402F1">
        <w:t>interdisant toute</w:t>
      </w:r>
      <w:r>
        <w:t>s</w:t>
      </w:r>
      <w:r w:rsidRPr="00B402F1">
        <w:t xml:space="preserve"> forme</w:t>
      </w:r>
      <w:r>
        <w:t>s</w:t>
      </w:r>
      <w:r w:rsidRPr="00B402F1">
        <w:t xml:space="preserve"> de VBG par tous le</w:t>
      </w:r>
      <w:r>
        <w:t>s</w:t>
      </w:r>
      <w:r w:rsidRPr="00B402F1">
        <w:t xml:space="preserve"> personnel</w:t>
      </w:r>
      <w:r>
        <w:t>s</w:t>
      </w:r>
      <w:r w:rsidRPr="00B402F1">
        <w:t xml:space="preserve"> impliqués dans le cadre du projet (</w:t>
      </w:r>
      <w:r>
        <w:t>U</w:t>
      </w:r>
      <w:r w:rsidRPr="00B402F1">
        <w:t>nité de mise en œuvre, contractants, partenaires…);</w:t>
      </w:r>
    </w:p>
    <w:p w14:paraId="5A1715C5" w14:textId="77777777" w:rsidR="00C21029" w:rsidRPr="00B402F1" w:rsidRDefault="00C21029" w:rsidP="00687DD2">
      <w:pPr>
        <w:pStyle w:val="Paragraphedeliste"/>
        <w:numPr>
          <w:ilvl w:val="0"/>
          <w:numId w:val="59"/>
        </w:numPr>
        <w:spacing w:before="100" w:beforeAutospacing="1" w:after="100" w:afterAutospacing="1" w:line="240" w:lineRule="auto"/>
        <w:jc w:val="both"/>
      </w:pPr>
      <w:r w:rsidRPr="00B402F1">
        <w:t>Recrute</w:t>
      </w:r>
      <w:r>
        <w:t xml:space="preserve">r </w:t>
      </w:r>
      <w:r w:rsidRPr="00B402F1">
        <w:t xml:space="preserve">un </w:t>
      </w:r>
      <w:r w:rsidRPr="00761A42">
        <w:t>spécialiste en VBG</w:t>
      </w:r>
      <w:r w:rsidR="00C940D0">
        <w:t>/EAS-HS</w:t>
      </w:r>
      <w:r>
        <w:t xml:space="preserve"> </w:t>
      </w:r>
      <w:r w:rsidRPr="002B280D">
        <w:t>au sein de l’</w:t>
      </w:r>
      <w:r>
        <w:t>UC</w:t>
      </w:r>
      <w:r w:rsidRPr="002B280D">
        <w:t>P</w:t>
      </w:r>
      <w:r w:rsidR="00C940D0">
        <w:t xml:space="preserve"> </w:t>
      </w:r>
      <w:r w:rsidRPr="00761A42">
        <w:t>;</w:t>
      </w:r>
    </w:p>
    <w:p w14:paraId="42AB1E4D" w14:textId="77777777" w:rsidR="00C21029" w:rsidRDefault="00C21029" w:rsidP="00687DD2">
      <w:pPr>
        <w:pStyle w:val="Paragraphedeliste"/>
        <w:numPr>
          <w:ilvl w:val="0"/>
          <w:numId w:val="59"/>
        </w:numPr>
        <w:spacing w:before="100" w:beforeAutospacing="1" w:after="100" w:afterAutospacing="1" w:line="240" w:lineRule="auto"/>
        <w:jc w:val="both"/>
      </w:pPr>
      <w:r w:rsidRPr="006271DD">
        <w:t xml:space="preserve">Etablir </w:t>
      </w:r>
      <w:r>
        <w:t xml:space="preserve">un </w:t>
      </w:r>
      <w:r w:rsidRPr="00761A42">
        <w:t xml:space="preserve">MGP avec des canaux sensibles à la VBG </w:t>
      </w:r>
      <w:r>
        <w:t>pour permettre aux survivant(e)</w:t>
      </w:r>
      <w:r w:rsidRPr="00CF27F4">
        <w:t>s</w:t>
      </w:r>
      <w:r>
        <w:t xml:space="preserve"> </w:t>
      </w:r>
      <w:r w:rsidRPr="006271DD">
        <w:t>de signaler leurs préoccupations d'une manière sûre, efficace</w:t>
      </w:r>
      <w:r>
        <w:t>, confidentielle</w:t>
      </w:r>
      <w:r w:rsidRPr="006271DD">
        <w:t xml:space="preserve"> et culturellement appropriée</w:t>
      </w:r>
      <w:r w:rsidR="003C79A4">
        <w:t> ;</w:t>
      </w:r>
    </w:p>
    <w:p w14:paraId="39B653DA" w14:textId="77777777" w:rsidR="00C21029" w:rsidRPr="006271DD" w:rsidRDefault="00C21029" w:rsidP="00687DD2">
      <w:pPr>
        <w:pStyle w:val="Paragraphedeliste"/>
        <w:numPr>
          <w:ilvl w:val="0"/>
          <w:numId w:val="59"/>
        </w:numPr>
        <w:spacing w:before="100" w:beforeAutospacing="1" w:after="100" w:afterAutospacing="1" w:line="240" w:lineRule="auto"/>
        <w:jc w:val="both"/>
      </w:pPr>
      <w:r>
        <w:t>Assurer le suivi et évaluation de ce plan d’action VBG.</w:t>
      </w:r>
    </w:p>
    <w:p w14:paraId="22BBB0E8" w14:textId="77777777" w:rsidR="00C21029" w:rsidRDefault="00C21029" w:rsidP="00F91FA3">
      <w:pPr>
        <w:jc w:val="both"/>
      </w:pPr>
      <w:r w:rsidRPr="002B280D">
        <w:t xml:space="preserve">La prise en charge et le soutien des victimes de </w:t>
      </w:r>
      <w:r w:rsidR="05D42EA6">
        <w:t>VB</w:t>
      </w:r>
      <w:r w:rsidR="24CCBA56">
        <w:t>G</w:t>
      </w:r>
      <w:r w:rsidRPr="002B280D">
        <w:t>/EAS</w:t>
      </w:r>
      <w:r w:rsidR="00C940D0">
        <w:t>-</w:t>
      </w:r>
      <w:r w:rsidRPr="002B280D">
        <w:t>HS sont assurés par un prestataire de service VBG ayant les capacités nécessaires pour ce faire. Et, il incombe au spécialiste en VBG</w:t>
      </w:r>
      <w:r w:rsidR="00C940D0">
        <w:t>/EAS-HS</w:t>
      </w:r>
      <w:r w:rsidRPr="002B280D">
        <w:t xml:space="preserve"> au sein de l’U</w:t>
      </w:r>
      <w:r>
        <w:t>C</w:t>
      </w:r>
      <w:r w:rsidRPr="002B280D">
        <w:t>P d’établir la convention de collaboration avec l’entité et d’assurer son exécution.</w:t>
      </w:r>
    </w:p>
    <w:p w14:paraId="157E7E8A" w14:textId="77777777" w:rsidR="00C21029" w:rsidRPr="00B434A6" w:rsidRDefault="00C21029" w:rsidP="0044500E">
      <w:pPr>
        <w:pStyle w:val="Titre2"/>
        <w:numPr>
          <w:ilvl w:val="1"/>
          <w:numId w:val="159"/>
        </w:numPr>
      </w:pPr>
      <w:bookmarkStart w:id="2019" w:name="_Toc126593251"/>
      <w:bookmarkStart w:id="2020" w:name="_Toc86408967"/>
      <w:bookmarkStart w:id="2021" w:name="_Toc124312863"/>
      <w:bookmarkStart w:id="2022" w:name="_Toc124314843"/>
      <w:bookmarkStart w:id="2023" w:name="_Toc124317051"/>
      <w:bookmarkStart w:id="2024" w:name="_Toc124956391"/>
      <w:bookmarkStart w:id="2025" w:name="_Toc125384749"/>
      <w:bookmarkStart w:id="2026" w:name="_Toc125385139"/>
      <w:bookmarkStart w:id="2027" w:name="_Toc125402332"/>
      <w:bookmarkStart w:id="2028" w:name="_Toc127957790"/>
      <w:r w:rsidRPr="00C57470">
        <w:t>Plan d</w:t>
      </w:r>
      <w:r w:rsidRPr="00B434A6">
        <w:t>’</w:t>
      </w:r>
      <w:r w:rsidRPr="00C57470">
        <w:t>action</w:t>
      </w:r>
      <w:bookmarkEnd w:id="2019"/>
      <w:bookmarkEnd w:id="2020"/>
      <w:bookmarkEnd w:id="2021"/>
      <w:bookmarkEnd w:id="2022"/>
      <w:bookmarkEnd w:id="2023"/>
      <w:bookmarkEnd w:id="2024"/>
      <w:bookmarkEnd w:id="2025"/>
      <w:bookmarkEnd w:id="2026"/>
      <w:bookmarkEnd w:id="2027"/>
      <w:bookmarkEnd w:id="2028"/>
    </w:p>
    <w:p w14:paraId="30C927D6" w14:textId="77777777" w:rsidR="00C21029" w:rsidRPr="00C57470" w:rsidRDefault="00C21029" w:rsidP="009579DB">
      <w:pPr>
        <w:spacing w:before="120" w:after="120" w:line="240" w:lineRule="auto"/>
        <w:jc w:val="both"/>
      </w:pPr>
      <w:r w:rsidRPr="00C57470">
        <w:t>L’</w:t>
      </w:r>
      <w:r>
        <w:t xml:space="preserve">UCP </w:t>
      </w:r>
      <w:r w:rsidRPr="00C57470">
        <w:t>aur</w:t>
      </w:r>
      <w:r>
        <w:t xml:space="preserve">a </w:t>
      </w:r>
      <w:r w:rsidRPr="007F78CE">
        <w:rPr>
          <w:rFonts w:eastAsia="Times New Roman"/>
        </w:rPr>
        <w:t xml:space="preserve">à signer des conventions de collaboration avec </w:t>
      </w:r>
      <w:r w:rsidRPr="00C57470">
        <w:t>un</w:t>
      </w:r>
      <w:r>
        <w:t xml:space="preserve"> ou des</w:t>
      </w:r>
      <w:r w:rsidRPr="00C57470">
        <w:t xml:space="preserve"> prestataire</w:t>
      </w:r>
      <w:r>
        <w:t>(s)</w:t>
      </w:r>
      <w:r w:rsidRPr="00C57470">
        <w:t xml:space="preserve"> de services VBG recruté selon ses expériences en la matière. Ce prestataire de services VBG devra assurer la disponibilité de paquets de service minimum de prise en charge de survivants de VBG c’est-à-dire : un ensemble de base de services (i) de soins de santé pour les survivants, (ii) des services sociaux (soutien psycho-social), (iii) d’espace de bien-être et de conseil pour les jeunes </w:t>
      </w:r>
      <w:r w:rsidR="00E834C7">
        <w:t>femmes et les</w:t>
      </w:r>
      <w:r w:rsidRPr="00C57470">
        <w:t>femmes, (iv) des services d’appui et de protection légal</w:t>
      </w:r>
      <w:r>
        <w:t>e</w:t>
      </w:r>
      <w:r w:rsidRPr="00C57470">
        <w:t xml:space="preserve"> et judiciaire</w:t>
      </w:r>
      <w:r w:rsidRPr="002B280D">
        <w:t>. Les prestataires de services peuvent être les services de prise en charge déjà opérationnels existants dans la zone, mais dont il importe d’établir explicitement une conven</w:t>
      </w:r>
      <w:r>
        <w:t>tion de collaboration entre l’UC</w:t>
      </w:r>
      <w:r w:rsidRPr="002B280D">
        <w:t>P et l’entité.</w:t>
      </w:r>
    </w:p>
    <w:p w14:paraId="3009FCF5" w14:textId="77777777" w:rsidR="00C21029" w:rsidRPr="00C57470" w:rsidRDefault="00C21029" w:rsidP="009579DB">
      <w:pPr>
        <w:spacing w:before="120" w:after="120" w:line="240" w:lineRule="auto"/>
        <w:jc w:val="both"/>
      </w:pPr>
      <w:r w:rsidRPr="00C57470">
        <w:t>Le prestataire de services devrait appliquer ‘’</w:t>
      </w:r>
      <w:r>
        <w:t>u</w:t>
      </w:r>
      <w:r w:rsidRPr="00C57470">
        <w:t>ne approche centrée sur les survivants’’ et qui mettra une importance particulière : (i) à traiter les survivant</w:t>
      </w:r>
      <w:r>
        <w:t>(e)</w:t>
      </w:r>
      <w:r w:rsidRPr="00C57470">
        <w:t>s avec dignité et respect, (ii) prendre le temps d’écouter ce qu’ils ont à dire plutôt que de se précipiter pour permettre aux survivant</w:t>
      </w:r>
      <w:r>
        <w:t>(e)</w:t>
      </w:r>
      <w:r w:rsidRPr="00C57470">
        <w:t>s de prendre des décisions éclairées sur ce qu’ils</w:t>
      </w:r>
      <w:r>
        <w:t>/elles</w:t>
      </w:r>
      <w:r w:rsidRPr="00C57470">
        <w:t xml:space="preserve"> veulent, en leur fournissant de l’information sur les options de soutien disponibles</w:t>
      </w:r>
      <w:r>
        <w:t>, (iii)</w:t>
      </w:r>
      <w:r w:rsidRPr="00C57470">
        <w:t xml:space="preserve"> aider les survivant</w:t>
      </w:r>
      <w:r>
        <w:t>(e)</w:t>
      </w:r>
      <w:r w:rsidRPr="00C57470">
        <w:t>s à être en sécurité, y compris en gardant leurs renseignements confidentiels; (i</w:t>
      </w:r>
      <w:r>
        <w:t>v</w:t>
      </w:r>
      <w:r w:rsidRPr="00C57470">
        <w:t>) traiter tous</w:t>
      </w:r>
      <w:r>
        <w:t xml:space="preserve">/-tes </w:t>
      </w:r>
      <w:r w:rsidRPr="00C57470">
        <w:t>les survivant</w:t>
      </w:r>
      <w:r>
        <w:t>(e)</w:t>
      </w:r>
      <w:r w:rsidRPr="00C57470">
        <w:t>s de façon égale et sans jugement.</w:t>
      </w:r>
    </w:p>
    <w:p w14:paraId="0A3A1009" w14:textId="77777777" w:rsidR="00C21029" w:rsidRPr="00C57470" w:rsidRDefault="00C21029" w:rsidP="009579DB">
      <w:pPr>
        <w:spacing w:before="120" w:after="120" w:line="240" w:lineRule="auto"/>
        <w:jc w:val="both"/>
      </w:pPr>
      <w:r w:rsidRPr="00C57470">
        <w:t xml:space="preserve">Aussi, de manière non exhaustive et qui pourra être modifiée selon les spécificités et les besoins des </w:t>
      </w:r>
      <w:r>
        <w:t>sous-</w:t>
      </w:r>
      <w:r w:rsidRPr="00C57470">
        <w:t xml:space="preserve">projets relatifs au </w:t>
      </w:r>
      <w:r>
        <w:t>Projet DECIM</w:t>
      </w:r>
      <w:r w:rsidRPr="00C57470">
        <w:t>, le tableau suivant indique les axes stratégiques à mettre en œuvre.</w:t>
      </w:r>
    </w:p>
    <w:p w14:paraId="7085D241" w14:textId="77777777" w:rsidR="00C21029" w:rsidRPr="00C57470" w:rsidRDefault="00C21029" w:rsidP="009579DB">
      <w:pPr>
        <w:spacing w:before="120" w:after="120" w:line="240" w:lineRule="auto"/>
      </w:pPr>
    </w:p>
    <w:p w14:paraId="58DFEF2A" w14:textId="77777777" w:rsidR="00C21029" w:rsidRDefault="00C21029" w:rsidP="009579DB">
      <w:pPr>
        <w:spacing w:before="120" w:after="120" w:line="240" w:lineRule="auto"/>
        <w:sectPr w:rsidR="00C21029" w:rsidSect="00466BFF">
          <w:pgSz w:w="11906" w:h="16838"/>
          <w:pgMar w:top="1418" w:right="1418" w:bottom="1418" w:left="1418" w:header="709" w:footer="709" w:gutter="0"/>
          <w:cols w:space="708"/>
          <w:docGrid w:linePitch="360"/>
        </w:sectPr>
      </w:pPr>
    </w:p>
    <w:p w14:paraId="21E6F94C" w14:textId="77777777" w:rsidR="00C21029" w:rsidRDefault="00C21029" w:rsidP="00C21029">
      <w:pPr>
        <w:pStyle w:val="Lgende"/>
      </w:pPr>
      <w:bookmarkStart w:id="2029" w:name="_Toc124140862"/>
      <w:bookmarkStart w:id="2030" w:name="_Toc124312960"/>
      <w:bookmarkStart w:id="2031" w:name="_Toc125096836"/>
      <w:bookmarkStart w:id="2032" w:name="_Toc125403024"/>
      <w:bookmarkStart w:id="2033" w:name="_Toc127957901"/>
      <w:r w:rsidRPr="005E4003">
        <w:t>Tableau</w:t>
      </w:r>
      <w:r w:rsidR="009579DB">
        <w:t xml:space="preserve"> </w:t>
      </w:r>
      <w:r>
        <w:fldChar w:fldCharType="begin"/>
      </w:r>
      <w:r>
        <w:instrText xml:space="preserve"> SEQ Tableau \* ARABIC </w:instrText>
      </w:r>
      <w:r>
        <w:fldChar w:fldCharType="separate"/>
      </w:r>
      <w:r w:rsidR="005430A1">
        <w:rPr>
          <w:noProof/>
        </w:rPr>
        <w:t>105</w:t>
      </w:r>
      <w:r>
        <w:rPr>
          <w:noProof/>
        </w:rPr>
        <w:fldChar w:fldCharType="end"/>
      </w:r>
      <w:r w:rsidRPr="005C7641">
        <w:t> : Plan d’action EAS/HS du Projet</w:t>
      </w:r>
      <w:bookmarkEnd w:id="2029"/>
      <w:bookmarkEnd w:id="2030"/>
      <w:bookmarkEnd w:id="2031"/>
      <w:bookmarkEnd w:id="2032"/>
      <w:bookmarkEnd w:id="2033"/>
    </w:p>
    <w:tbl>
      <w:tblPr>
        <w:tblW w:w="1530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7"/>
        <w:gridCol w:w="2310"/>
        <w:gridCol w:w="2288"/>
        <w:gridCol w:w="2487"/>
        <w:gridCol w:w="2146"/>
        <w:gridCol w:w="1839"/>
        <w:gridCol w:w="1902"/>
      </w:tblGrid>
      <w:tr w:rsidR="00C21029" w:rsidRPr="007F78CE" w14:paraId="75656BC0" w14:textId="77777777" w:rsidTr="007F78CE">
        <w:trPr>
          <w:tblHeader/>
        </w:trPr>
        <w:tc>
          <w:tcPr>
            <w:tcW w:w="15309" w:type="dxa"/>
            <w:gridSpan w:val="7"/>
            <w:shd w:val="clear" w:color="auto" w:fill="auto"/>
            <w:vAlign w:val="center"/>
          </w:tcPr>
          <w:p w14:paraId="34F6A6B0"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AXE STRATEGIQUE I. ORGANISATION DES ACTIONS ET DES PARTIES PRENANTES</w:t>
            </w:r>
          </w:p>
        </w:tc>
      </w:tr>
      <w:tr w:rsidR="0063584D" w:rsidRPr="007F78CE" w14:paraId="22EC5857" w14:textId="77777777" w:rsidTr="007F78CE">
        <w:trPr>
          <w:tblHeader/>
        </w:trPr>
        <w:tc>
          <w:tcPr>
            <w:tcW w:w="2337" w:type="dxa"/>
            <w:shd w:val="clear" w:color="auto" w:fill="auto"/>
            <w:vAlign w:val="center"/>
          </w:tcPr>
          <w:p w14:paraId="4EE39F55"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OBJECTIFS</w:t>
            </w:r>
          </w:p>
        </w:tc>
        <w:tc>
          <w:tcPr>
            <w:tcW w:w="2310" w:type="dxa"/>
            <w:shd w:val="clear" w:color="auto" w:fill="auto"/>
            <w:vAlign w:val="center"/>
          </w:tcPr>
          <w:p w14:paraId="0D646004"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RESULTATS ATTENDUS</w:t>
            </w:r>
          </w:p>
        </w:tc>
        <w:tc>
          <w:tcPr>
            <w:tcW w:w="2288" w:type="dxa"/>
            <w:shd w:val="clear" w:color="auto" w:fill="auto"/>
            <w:vAlign w:val="center"/>
          </w:tcPr>
          <w:p w14:paraId="5EC42EA7"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ACTIVITES</w:t>
            </w:r>
          </w:p>
        </w:tc>
        <w:tc>
          <w:tcPr>
            <w:tcW w:w="2487" w:type="dxa"/>
            <w:shd w:val="clear" w:color="auto" w:fill="auto"/>
            <w:vAlign w:val="center"/>
          </w:tcPr>
          <w:p w14:paraId="273E9529"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INDICATEURS</w:t>
            </w:r>
          </w:p>
        </w:tc>
        <w:tc>
          <w:tcPr>
            <w:tcW w:w="2146" w:type="dxa"/>
            <w:shd w:val="clear" w:color="auto" w:fill="auto"/>
            <w:vAlign w:val="center"/>
          </w:tcPr>
          <w:p w14:paraId="26ED0D3A"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CIBLES</w:t>
            </w:r>
          </w:p>
        </w:tc>
        <w:tc>
          <w:tcPr>
            <w:tcW w:w="1839" w:type="dxa"/>
            <w:shd w:val="clear" w:color="auto" w:fill="auto"/>
            <w:vAlign w:val="center"/>
          </w:tcPr>
          <w:p w14:paraId="6F2140E9"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CALENDRIER</w:t>
            </w:r>
          </w:p>
        </w:tc>
        <w:tc>
          <w:tcPr>
            <w:tcW w:w="1902" w:type="dxa"/>
            <w:shd w:val="clear" w:color="auto" w:fill="auto"/>
            <w:vAlign w:val="center"/>
          </w:tcPr>
          <w:p w14:paraId="69C4187D"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RESPONSABLES</w:t>
            </w:r>
          </w:p>
        </w:tc>
      </w:tr>
      <w:tr w:rsidR="0063584D" w:rsidRPr="007F78CE" w14:paraId="24285AB5" w14:textId="77777777" w:rsidTr="007F78CE">
        <w:tc>
          <w:tcPr>
            <w:tcW w:w="2337" w:type="dxa"/>
            <w:vMerge w:val="restart"/>
            <w:shd w:val="clear" w:color="auto" w:fill="auto"/>
            <w:vAlign w:val="center"/>
          </w:tcPr>
          <w:p w14:paraId="6005CEC8"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 xml:space="preserve">1.1. </w:t>
            </w:r>
            <w:r w:rsidRPr="007F78CE">
              <w:rPr>
                <w:rFonts w:ascii="Arial Narrow" w:hAnsi="Arial Narrow"/>
              </w:rPr>
              <w:t xml:space="preserve">Cartographier les acteurs VBG de la zone de travail </w:t>
            </w:r>
          </w:p>
          <w:p w14:paraId="59DAABF1" w14:textId="77777777" w:rsidR="00C21029" w:rsidRPr="007F78CE" w:rsidRDefault="00C21029" w:rsidP="007F78CE">
            <w:pPr>
              <w:spacing w:after="0" w:line="240" w:lineRule="auto"/>
              <w:rPr>
                <w:rFonts w:ascii="Arial Narrow" w:hAnsi="Arial Narrow"/>
              </w:rPr>
            </w:pPr>
            <w:r w:rsidRPr="007F78CE">
              <w:rPr>
                <w:rFonts w:ascii="Arial Narrow" w:hAnsi="Arial Narrow"/>
              </w:rPr>
              <w:t>Mettre en place un système de coordination avec les acteurs locaux</w:t>
            </w:r>
          </w:p>
        </w:tc>
        <w:tc>
          <w:tcPr>
            <w:tcW w:w="2310" w:type="dxa"/>
            <w:vMerge w:val="restart"/>
            <w:shd w:val="clear" w:color="auto" w:fill="auto"/>
            <w:vAlign w:val="center"/>
          </w:tcPr>
          <w:p w14:paraId="35031BDC" w14:textId="77777777" w:rsidR="00C21029" w:rsidRPr="007F78CE" w:rsidRDefault="00C21029" w:rsidP="007F78CE">
            <w:pPr>
              <w:spacing w:after="0" w:line="240" w:lineRule="auto"/>
              <w:rPr>
                <w:rFonts w:ascii="Arial Narrow" w:hAnsi="Arial Narrow"/>
              </w:rPr>
            </w:pPr>
            <w:r w:rsidRPr="007F78CE">
              <w:rPr>
                <w:rFonts w:ascii="Arial Narrow" w:hAnsi="Arial Narrow"/>
              </w:rPr>
              <w:t>Un schéma de collaboration est mis en place et est opérationnel</w:t>
            </w:r>
          </w:p>
        </w:tc>
        <w:tc>
          <w:tcPr>
            <w:tcW w:w="2288" w:type="dxa"/>
            <w:shd w:val="clear" w:color="auto" w:fill="auto"/>
            <w:vAlign w:val="center"/>
          </w:tcPr>
          <w:p w14:paraId="5350A28F"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 xml:space="preserve">1.1.1. </w:t>
            </w:r>
            <w:r w:rsidRPr="007F78CE">
              <w:rPr>
                <w:rFonts w:ascii="Arial Narrow" w:hAnsi="Arial Narrow"/>
              </w:rPr>
              <w:t>Contact des acteurs locaux :</w:t>
            </w:r>
          </w:p>
          <w:p w14:paraId="57792768" w14:textId="77777777" w:rsidR="00C21029" w:rsidRPr="00687DD2" w:rsidRDefault="00C21029" w:rsidP="0044500E">
            <w:pPr>
              <w:pStyle w:val="Paragraphedeliste"/>
              <w:numPr>
                <w:ilvl w:val="0"/>
                <w:numId w:val="149"/>
              </w:numPr>
              <w:spacing w:after="0" w:line="240" w:lineRule="auto"/>
              <w:ind w:hanging="360"/>
              <w:contextualSpacing w:val="0"/>
              <w:jc w:val="both"/>
              <w:rPr>
                <w:rFonts w:ascii="Arial Narrow" w:hAnsi="Arial Narrow"/>
              </w:rPr>
            </w:pPr>
            <w:r w:rsidRPr="00687DD2">
              <w:rPr>
                <w:rFonts w:ascii="Arial Narrow" w:hAnsi="Arial Narrow"/>
              </w:rPr>
              <w:t>Min. Promotion de la femme</w:t>
            </w:r>
          </w:p>
          <w:p w14:paraId="5DE9AA5B" w14:textId="77777777" w:rsidR="00C21029" w:rsidRPr="00687DD2" w:rsidRDefault="00C21029" w:rsidP="0044500E">
            <w:pPr>
              <w:pStyle w:val="Paragraphedeliste"/>
              <w:numPr>
                <w:ilvl w:val="0"/>
                <w:numId w:val="149"/>
              </w:numPr>
              <w:spacing w:after="0" w:line="240" w:lineRule="auto"/>
              <w:ind w:hanging="360"/>
              <w:contextualSpacing w:val="0"/>
              <w:jc w:val="both"/>
              <w:rPr>
                <w:rFonts w:ascii="Arial Narrow" w:hAnsi="Arial Narrow"/>
              </w:rPr>
            </w:pPr>
            <w:r w:rsidRPr="00687DD2">
              <w:rPr>
                <w:rFonts w:ascii="Arial Narrow" w:hAnsi="Arial Narrow"/>
              </w:rPr>
              <w:t>Police des mœurs</w:t>
            </w:r>
          </w:p>
          <w:p w14:paraId="68393C46" w14:textId="77777777" w:rsidR="00C21029" w:rsidRPr="00687DD2" w:rsidRDefault="00C21029" w:rsidP="0044500E">
            <w:pPr>
              <w:pStyle w:val="Paragraphedeliste"/>
              <w:numPr>
                <w:ilvl w:val="0"/>
                <w:numId w:val="149"/>
              </w:numPr>
              <w:spacing w:after="0" w:line="240" w:lineRule="auto"/>
              <w:ind w:hanging="360"/>
              <w:contextualSpacing w:val="0"/>
              <w:jc w:val="both"/>
              <w:rPr>
                <w:rFonts w:ascii="Arial Narrow" w:hAnsi="Arial Narrow"/>
              </w:rPr>
            </w:pPr>
            <w:r w:rsidRPr="00687DD2">
              <w:rPr>
                <w:rFonts w:ascii="Arial Narrow" w:hAnsi="Arial Narrow"/>
              </w:rPr>
              <w:t>Autres acteurs</w:t>
            </w:r>
          </w:p>
        </w:tc>
        <w:tc>
          <w:tcPr>
            <w:tcW w:w="2487" w:type="dxa"/>
            <w:shd w:val="clear" w:color="auto" w:fill="auto"/>
            <w:vAlign w:val="center"/>
          </w:tcPr>
          <w:p w14:paraId="76CA33C0" w14:textId="77777777" w:rsidR="00C21029" w:rsidRPr="007F78CE" w:rsidRDefault="00C21029" w:rsidP="007F78CE">
            <w:pPr>
              <w:spacing w:after="0" w:line="240" w:lineRule="auto"/>
              <w:rPr>
                <w:rFonts w:ascii="Arial Narrow" w:hAnsi="Arial Narrow"/>
              </w:rPr>
            </w:pPr>
            <w:r w:rsidRPr="007F78CE">
              <w:rPr>
                <w:rFonts w:ascii="Arial Narrow" w:hAnsi="Arial Narrow"/>
              </w:rPr>
              <w:t>Nombre de collaborateurs</w:t>
            </w:r>
          </w:p>
        </w:tc>
        <w:tc>
          <w:tcPr>
            <w:tcW w:w="2146" w:type="dxa"/>
            <w:shd w:val="clear" w:color="auto" w:fill="auto"/>
            <w:vAlign w:val="center"/>
          </w:tcPr>
          <w:p w14:paraId="46304349" w14:textId="77777777" w:rsidR="00C21029" w:rsidRPr="007F78CE" w:rsidRDefault="00C21029" w:rsidP="007F78CE">
            <w:pPr>
              <w:spacing w:after="0" w:line="240" w:lineRule="auto"/>
              <w:rPr>
                <w:rFonts w:ascii="Arial Narrow" w:hAnsi="Arial Narrow"/>
              </w:rPr>
            </w:pPr>
            <w:r w:rsidRPr="007F78CE">
              <w:rPr>
                <w:rFonts w:ascii="Arial Narrow" w:hAnsi="Arial Narrow"/>
              </w:rPr>
              <w:t>Min. en charge de la Promotion de la femme</w:t>
            </w:r>
          </w:p>
          <w:p w14:paraId="44922F25" w14:textId="77777777" w:rsidR="00C21029" w:rsidRPr="007F78CE" w:rsidRDefault="00C21029" w:rsidP="007F78CE">
            <w:pPr>
              <w:spacing w:after="0" w:line="240" w:lineRule="auto"/>
              <w:rPr>
                <w:rFonts w:ascii="Arial Narrow" w:hAnsi="Arial Narrow"/>
              </w:rPr>
            </w:pPr>
            <w:r w:rsidRPr="007F78CE">
              <w:rPr>
                <w:rFonts w:ascii="Arial Narrow" w:hAnsi="Arial Narrow"/>
              </w:rPr>
              <w:t>Autres acteurs</w:t>
            </w:r>
          </w:p>
        </w:tc>
        <w:tc>
          <w:tcPr>
            <w:tcW w:w="1839" w:type="dxa"/>
            <w:shd w:val="clear" w:color="auto" w:fill="auto"/>
            <w:vAlign w:val="center"/>
          </w:tcPr>
          <w:p w14:paraId="3727804C" w14:textId="77777777" w:rsidR="00C21029" w:rsidRPr="007F78CE" w:rsidRDefault="00C21029" w:rsidP="007F78CE">
            <w:pPr>
              <w:spacing w:after="0" w:line="240" w:lineRule="auto"/>
              <w:rPr>
                <w:rFonts w:ascii="Arial Narrow" w:hAnsi="Arial Narrow"/>
              </w:rPr>
            </w:pPr>
            <w:r w:rsidRPr="007F78CE">
              <w:rPr>
                <w:rFonts w:ascii="Arial Narrow" w:hAnsi="Arial Narrow"/>
              </w:rPr>
              <w:t>Dès la signature du contrat/ convention</w:t>
            </w:r>
          </w:p>
        </w:tc>
        <w:tc>
          <w:tcPr>
            <w:tcW w:w="1902" w:type="dxa"/>
            <w:vMerge w:val="restart"/>
            <w:shd w:val="clear" w:color="auto" w:fill="auto"/>
            <w:vAlign w:val="center"/>
          </w:tcPr>
          <w:p w14:paraId="0171C5FF" w14:textId="77777777" w:rsidR="00C21029" w:rsidRPr="007F78CE" w:rsidRDefault="00C21029" w:rsidP="007F78CE">
            <w:pPr>
              <w:spacing w:after="0" w:line="240" w:lineRule="auto"/>
              <w:rPr>
                <w:rFonts w:ascii="Arial Narrow" w:hAnsi="Arial Narrow"/>
              </w:rPr>
            </w:pPr>
            <w:r w:rsidRPr="007F78CE">
              <w:rPr>
                <w:rFonts w:ascii="Arial Narrow" w:hAnsi="Arial Narrow"/>
              </w:rPr>
              <w:t xml:space="preserve">Prestataire de services </w:t>
            </w:r>
          </w:p>
          <w:p w14:paraId="04C567B6" w14:textId="77777777" w:rsidR="00C21029" w:rsidRPr="007F78CE" w:rsidRDefault="00C21029" w:rsidP="007F78CE">
            <w:pPr>
              <w:spacing w:after="0" w:line="240" w:lineRule="auto"/>
              <w:rPr>
                <w:rFonts w:ascii="Arial Narrow" w:hAnsi="Arial Narrow"/>
              </w:rPr>
            </w:pPr>
            <w:r w:rsidRPr="007F78CE">
              <w:rPr>
                <w:rFonts w:ascii="Arial Narrow" w:hAnsi="Arial Narrow"/>
              </w:rPr>
              <w:t>UCP (Spécialiste VBG</w:t>
            </w:r>
            <w:r w:rsidR="00C940D0">
              <w:rPr>
                <w:rFonts w:ascii="Arial Narrow" w:hAnsi="Arial Narrow"/>
              </w:rPr>
              <w:t>/EAS-HS</w:t>
            </w:r>
            <w:r w:rsidRPr="007F78CE">
              <w:rPr>
                <w:rFonts w:ascii="Arial Narrow" w:hAnsi="Arial Narrow"/>
              </w:rPr>
              <w:t xml:space="preserve">) </w:t>
            </w:r>
          </w:p>
        </w:tc>
      </w:tr>
      <w:tr w:rsidR="0063584D" w:rsidRPr="007F78CE" w14:paraId="43983D05" w14:textId="77777777" w:rsidTr="007F78CE">
        <w:tc>
          <w:tcPr>
            <w:tcW w:w="2337" w:type="dxa"/>
            <w:vMerge/>
            <w:shd w:val="clear" w:color="auto" w:fill="auto"/>
            <w:vAlign w:val="center"/>
          </w:tcPr>
          <w:p w14:paraId="3B2C8976" w14:textId="77777777" w:rsidR="00C21029" w:rsidRPr="007F78CE" w:rsidRDefault="00C21029" w:rsidP="007F78CE">
            <w:pPr>
              <w:spacing w:after="0" w:line="240" w:lineRule="auto"/>
              <w:rPr>
                <w:rFonts w:ascii="Arial Narrow" w:hAnsi="Arial Narrow"/>
              </w:rPr>
            </w:pPr>
          </w:p>
        </w:tc>
        <w:tc>
          <w:tcPr>
            <w:tcW w:w="2310" w:type="dxa"/>
            <w:vMerge/>
            <w:shd w:val="clear" w:color="auto" w:fill="auto"/>
            <w:vAlign w:val="center"/>
          </w:tcPr>
          <w:p w14:paraId="36A234CB" w14:textId="77777777" w:rsidR="00C21029" w:rsidRPr="007F78CE" w:rsidRDefault="00C21029" w:rsidP="007F78CE">
            <w:pPr>
              <w:spacing w:after="0" w:line="240" w:lineRule="auto"/>
              <w:rPr>
                <w:rFonts w:ascii="Arial Narrow" w:hAnsi="Arial Narrow"/>
              </w:rPr>
            </w:pPr>
          </w:p>
        </w:tc>
        <w:tc>
          <w:tcPr>
            <w:tcW w:w="2288" w:type="dxa"/>
            <w:shd w:val="clear" w:color="auto" w:fill="auto"/>
            <w:vAlign w:val="center"/>
          </w:tcPr>
          <w:p w14:paraId="07D02578"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 xml:space="preserve">1.1.2. </w:t>
            </w:r>
            <w:r w:rsidRPr="007F78CE">
              <w:rPr>
                <w:rFonts w:ascii="Arial Narrow" w:hAnsi="Arial Narrow"/>
              </w:rPr>
              <w:t>Mise en place d’un schéma de collaboration</w:t>
            </w:r>
          </w:p>
        </w:tc>
        <w:tc>
          <w:tcPr>
            <w:tcW w:w="2487" w:type="dxa"/>
            <w:shd w:val="clear" w:color="auto" w:fill="auto"/>
            <w:vAlign w:val="center"/>
          </w:tcPr>
          <w:p w14:paraId="573A1847" w14:textId="77777777" w:rsidR="00C21029" w:rsidRPr="007F78CE" w:rsidRDefault="00C21029" w:rsidP="007F78CE">
            <w:pPr>
              <w:spacing w:after="0" w:line="240" w:lineRule="auto"/>
              <w:rPr>
                <w:rFonts w:ascii="Arial Narrow" w:hAnsi="Arial Narrow"/>
              </w:rPr>
            </w:pPr>
            <w:r w:rsidRPr="007F78CE">
              <w:rPr>
                <w:rFonts w:ascii="Arial Narrow" w:hAnsi="Arial Narrow"/>
              </w:rPr>
              <w:t>Schéma de collaboration</w:t>
            </w:r>
          </w:p>
        </w:tc>
        <w:tc>
          <w:tcPr>
            <w:tcW w:w="2146" w:type="dxa"/>
            <w:shd w:val="clear" w:color="auto" w:fill="auto"/>
            <w:vAlign w:val="center"/>
          </w:tcPr>
          <w:p w14:paraId="6AC231A9" w14:textId="77777777" w:rsidR="00C21029" w:rsidRPr="007F78CE" w:rsidRDefault="00C21029" w:rsidP="007F78CE">
            <w:pPr>
              <w:spacing w:after="0" w:line="240" w:lineRule="auto"/>
              <w:rPr>
                <w:rFonts w:ascii="Arial Narrow" w:hAnsi="Arial Narrow"/>
              </w:rPr>
            </w:pPr>
            <w:r w:rsidRPr="007F78CE">
              <w:rPr>
                <w:rFonts w:ascii="Arial Narrow" w:hAnsi="Arial Narrow"/>
              </w:rPr>
              <w:t>Idem</w:t>
            </w:r>
          </w:p>
        </w:tc>
        <w:tc>
          <w:tcPr>
            <w:tcW w:w="1839" w:type="dxa"/>
            <w:shd w:val="clear" w:color="auto" w:fill="auto"/>
            <w:vAlign w:val="center"/>
          </w:tcPr>
          <w:p w14:paraId="36F80061" w14:textId="77777777" w:rsidR="00C21029" w:rsidRPr="007F78CE" w:rsidRDefault="00C21029" w:rsidP="007F78CE">
            <w:pPr>
              <w:spacing w:after="0" w:line="240" w:lineRule="auto"/>
              <w:rPr>
                <w:rFonts w:ascii="Arial Narrow" w:hAnsi="Arial Narrow"/>
              </w:rPr>
            </w:pPr>
            <w:r w:rsidRPr="007F78CE">
              <w:rPr>
                <w:rFonts w:ascii="Arial Narrow" w:hAnsi="Arial Narrow"/>
              </w:rPr>
              <w:t xml:space="preserve">Idem </w:t>
            </w:r>
          </w:p>
        </w:tc>
        <w:tc>
          <w:tcPr>
            <w:tcW w:w="1902" w:type="dxa"/>
            <w:vMerge/>
            <w:shd w:val="clear" w:color="auto" w:fill="auto"/>
            <w:vAlign w:val="center"/>
          </w:tcPr>
          <w:p w14:paraId="633356DD" w14:textId="77777777" w:rsidR="00C21029" w:rsidRPr="00687DD2" w:rsidRDefault="00C21029" w:rsidP="0044500E">
            <w:pPr>
              <w:pStyle w:val="Paragraphedeliste"/>
              <w:numPr>
                <w:ilvl w:val="0"/>
                <w:numId w:val="155"/>
              </w:numPr>
              <w:spacing w:after="0" w:line="240" w:lineRule="auto"/>
              <w:contextualSpacing w:val="0"/>
              <w:jc w:val="both"/>
              <w:rPr>
                <w:rFonts w:ascii="Arial Narrow" w:hAnsi="Arial Narrow"/>
              </w:rPr>
            </w:pPr>
          </w:p>
        </w:tc>
      </w:tr>
      <w:tr w:rsidR="0063584D" w:rsidRPr="007F78CE" w14:paraId="50F263F3" w14:textId="77777777" w:rsidTr="007F78CE">
        <w:tc>
          <w:tcPr>
            <w:tcW w:w="2337" w:type="dxa"/>
            <w:vMerge/>
            <w:shd w:val="clear" w:color="auto" w:fill="auto"/>
            <w:vAlign w:val="center"/>
          </w:tcPr>
          <w:p w14:paraId="4269AF66" w14:textId="77777777" w:rsidR="00C21029" w:rsidRPr="007F78CE" w:rsidRDefault="00C21029" w:rsidP="007F78CE">
            <w:pPr>
              <w:spacing w:after="0" w:line="240" w:lineRule="auto"/>
              <w:rPr>
                <w:rFonts w:ascii="Arial Narrow" w:hAnsi="Arial Narrow"/>
              </w:rPr>
            </w:pPr>
          </w:p>
        </w:tc>
        <w:tc>
          <w:tcPr>
            <w:tcW w:w="2310" w:type="dxa"/>
            <w:vMerge/>
            <w:shd w:val="clear" w:color="auto" w:fill="auto"/>
            <w:vAlign w:val="center"/>
          </w:tcPr>
          <w:p w14:paraId="6B7AB9F0" w14:textId="77777777" w:rsidR="00C21029" w:rsidRPr="007F78CE" w:rsidRDefault="00C21029" w:rsidP="007F78CE">
            <w:pPr>
              <w:spacing w:after="0" w:line="240" w:lineRule="auto"/>
              <w:rPr>
                <w:rFonts w:ascii="Arial Narrow" w:hAnsi="Arial Narrow"/>
              </w:rPr>
            </w:pPr>
          </w:p>
        </w:tc>
        <w:tc>
          <w:tcPr>
            <w:tcW w:w="2288" w:type="dxa"/>
            <w:shd w:val="clear" w:color="auto" w:fill="auto"/>
            <w:vAlign w:val="center"/>
          </w:tcPr>
          <w:p w14:paraId="5E3C1CE1"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 xml:space="preserve">1.1.3. </w:t>
            </w:r>
            <w:r w:rsidRPr="007F78CE">
              <w:rPr>
                <w:rFonts w:ascii="Arial Narrow" w:hAnsi="Arial Narrow"/>
              </w:rPr>
              <w:t>Organisation de sessions de remise à niveau des collaborateurs en termes de gestion des risques et cas de VBG</w:t>
            </w:r>
          </w:p>
        </w:tc>
        <w:tc>
          <w:tcPr>
            <w:tcW w:w="2487" w:type="dxa"/>
            <w:shd w:val="clear" w:color="auto" w:fill="auto"/>
            <w:vAlign w:val="center"/>
          </w:tcPr>
          <w:p w14:paraId="432CC4C5" w14:textId="77777777" w:rsidR="00C21029" w:rsidRPr="007F78CE" w:rsidRDefault="00C21029" w:rsidP="007F78CE">
            <w:pPr>
              <w:spacing w:after="0" w:line="240" w:lineRule="auto"/>
              <w:rPr>
                <w:rFonts w:ascii="Arial Narrow" w:hAnsi="Arial Narrow"/>
              </w:rPr>
            </w:pPr>
            <w:r w:rsidRPr="007F78CE">
              <w:rPr>
                <w:rFonts w:ascii="Arial Narrow" w:hAnsi="Arial Narrow"/>
              </w:rPr>
              <w:t>Nombre de collaborateurs touchés</w:t>
            </w:r>
          </w:p>
        </w:tc>
        <w:tc>
          <w:tcPr>
            <w:tcW w:w="2146" w:type="dxa"/>
            <w:shd w:val="clear" w:color="auto" w:fill="auto"/>
            <w:vAlign w:val="center"/>
          </w:tcPr>
          <w:p w14:paraId="27859C06" w14:textId="77777777" w:rsidR="00C21029" w:rsidRPr="007F78CE" w:rsidRDefault="00C21029" w:rsidP="007F78CE">
            <w:pPr>
              <w:spacing w:after="0" w:line="240" w:lineRule="auto"/>
              <w:rPr>
                <w:rFonts w:ascii="Arial Narrow" w:hAnsi="Arial Narrow"/>
              </w:rPr>
            </w:pPr>
            <w:r w:rsidRPr="007F78CE">
              <w:rPr>
                <w:rFonts w:ascii="Arial Narrow" w:hAnsi="Arial Narrow"/>
              </w:rPr>
              <w:t>Tous les collaborateurs</w:t>
            </w:r>
          </w:p>
        </w:tc>
        <w:tc>
          <w:tcPr>
            <w:tcW w:w="1839" w:type="dxa"/>
            <w:shd w:val="clear" w:color="auto" w:fill="auto"/>
            <w:vAlign w:val="center"/>
          </w:tcPr>
          <w:p w14:paraId="4BBF5F95" w14:textId="77777777" w:rsidR="00C21029" w:rsidRPr="007F78CE" w:rsidRDefault="00C21029" w:rsidP="007F78CE">
            <w:pPr>
              <w:spacing w:after="0" w:line="240" w:lineRule="auto"/>
              <w:rPr>
                <w:rFonts w:ascii="Arial Narrow" w:hAnsi="Arial Narrow"/>
              </w:rPr>
            </w:pPr>
            <w:r w:rsidRPr="007F78CE">
              <w:rPr>
                <w:rFonts w:ascii="Arial Narrow" w:hAnsi="Arial Narrow"/>
              </w:rPr>
              <w:t>Au démarrage des chantiers dans la zone</w:t>
            </w:r>
          </w:p>
        </w:tc>
        <w:tc>
          <w:tcPr>
            <w:tcW w:w="1902" w:type="dxa"/>
            <w:vMerge/>
            <w:shd w:val="clear" w:color="auto" w:fill="auto"/>
            <w:vAlign w:val="center"/>
          </w:tcPr>
          <w:p w14:paraId="07C2A2F6" w14:textId="77777777" w:rsidR="00C21029" w:rsidRPr="00687DD2" w:rsidRDefault="00C21029" w:rsidP="0044500E">
            <w:pPr>
              <w:pStyle w:val="Paragraphedeliste"/>
              <w:numPr>
                <w:ilvl w:val="0"/>
                <w:numId w:val="155"/>
              </w:numPr>
              <w:spacing w:after="0" w:line="240" w:lineRule="auto"/>
              <w:contextualSpacing w:val="0"/>
              <w:jc w:val="both"/>
              <w:rPr>
                <w:rFonts w:ascii="Arial Narrow" w:hAnsi="Arial Narrow"/>
              </w:rPr>
            </w:pPr>
          </w:p>
        </w:tc>
      </w:tr>
      <w:tr w:rsidR="0063584D" w:rsidRPr="007F78CE" w14:paraId="1FFDC962" w14:textId="77777777" w:rsidTr="007F78CE">
        <w:tc>
          <w:tcPr>
            <w:tcW w:w="2337" w:type="dxa"/>
            <w:vMerge w:val="restart"/>
            <w:shd w:val="clear" w:color="auto" w:fill="auto"/>
            <w:vAlign w:val="center"/>
          </w:tcPr>
          <w:p w14:paraId="7DF13E09"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 xml:space="preserve">1.2. </w:t>
            </w:r>
            <w:r w:rsidRPr="007F78CE">
              <w:rPr>
                <w:rFonts w:ascii="Arial Narrow" w:hAnsi="Arial Narrow"/>
              </w:rPr>
              <w:t>Assurer la disponibilité d</w:t>
            </w:r>
            <w:r w:rsidR="00ED489E">
              <w:rPr>
                <w:rFonts w:ascii="Arial Narrow" w:hAnsi="Arial Narrow"/>
              </w:rPr>
              <w:t>u</w:t>
            </w:r>
            <w:r w:rsidRPr="007F78CE">
              <w:rPr>
                <w:rFonts w:ascii="Arial Narrow" w:hAnsi="Arial Narrow"/>
              </w:rPr>
              <w:t xml:space="preserve"> responsable en charge du VBG/EAS-HS dans le cadre du projet</w:t>
            </w:r>
          </w:p>
        </w:tc>
        <w:tc>
          <w:tcPr>
            <w:tcW w:w="2310" w:type="dxa"/>
            <w:vMerge w:val="restart"/>
            <w:shd w:val="clear" w:color="auto" w:fill="auto"/>
            <w:vAlign w:val="center"/>
          </w:tcPr>
          <w:p w14:paraId="2AE5DA87" w14:textId="77777777" w:rsidR="00C21029" w:rsidRPr="007F78CE" w:rsidRDefault="00C21029" w:rsidP="007F78CE">
            <w:pPr>
              <w:spacing w:after="0" w:line="240" w:lineRule="auto"/>
              <w:rPr>
                <w:rFonts w:ascii="Arial Narrow" w:hAnsi="Arial Narrow"/>
              </w:rPr>
            </w:pPr>
            <w:r w:rsidRPr="007F78CE">
              <w:rPr>
                <w:rFonts w:ascii="Arial Narrow" w:hAnsi="Arial Narrow"/>
              </w:rPr>
              <w:t>Meilleure coordination des actions en matière de VBG/EAS-HS</w:t>
            </w:r>
          </w:p>
        </w:tc>
        <w:tc>
          <w:tcPr>
            <w:tcW w:w="2288" w:type="dxa"/>
            <w:shd w:val="clear" w:color="auto" w:fill="auto"/>
            <w:vAlign w:val="center"/>
          </w:tcPr>
          <w:p w14:paraId="4EFD3F3D"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1.2.1.</w:t>
            </w:r>
            <w:r w:rsidRPr="007F78CE">
              <w:rPr>
                <w:rFonts w:ascii="Arial Narrow" w:hAnsi="Arial Narrow"/>
              </w:rPr>
              <w:t xml:space="preserve"> Recrutement du/de la Spécialiste en VBG au sein de UCP</w:t>
            </w:r>
          </w:p>
        </w:tc>
        <w:tc>
          <w:tcPr>
            <w:tcW w:w="2487" w:type="dxa"/>
            <w:shd w:val="clear" w:color="auto" w:fill="auto"/>
            <w:vAlign w:val="center"/>
          </w:tcPr>
          <w:p w14:paraId="646FEAF6" w14:textId="77777777" w:rsidR="00C21029" w:rsidRPr="007F78CE" w:rsidRDefault="00C21029" w:rsidP="007F78CE">
            <w:pPr>
              <w:spacing w:after="0" w:line="240" w:lineRule="auto"/>
              <w:rPr>
                <w:rFonts w:ascii="Arial Narrow" w:hAnsi="Arial Narrow"/>
              </w:rPr>
            </w:pPr>
            <w:r w:rsidRPr="007F78CE">
              <w:rPr>
                <w:rFonts w:ascii="Arial Narrow" w:hAnsi="Arial Narrow"/>
              </w:rPr>
              <w:t>- Appel à candidatures</w:t>
            </w:r>
          </w:p>
          <w:p w14:paraId="3495DD79" w14:textId="77777777" w:rsidR="00C21029" w:rsidRPr="007F78CE" w:rsidRDefault="00C21029" w:rsidP="007F78CE">
            <w:pPr>
              <w:spacing w:after="0" w:line="240" w:lineRule="auto"/>
              <w:rPr>
                <w:rFonts w:ascii="Arial Narrow" w:hAnsi="Arial Narrow"/>
              </w:rPr>
            </w:pPr>
            <w:r w:rsidRPr="007F78CE">
              <w:rPr>
                <w:rFonts w:ascii="Arial Narrow" w:hAnsi="Arial Narrow"/>
              </w:rPr>
              <w:t>- Nombre de réponses à l’appel à candidatures</w:t>
            </w:r>
          </w:p>
          <w:p w14:paraId="745E3954" w14:textId="77777777" w:rsidR="00C21029" w:rsidRPr="007F78CE" w:rsidRDefault="00C21029" w:rsidP="007F78CE">
            <w:pPr>
              <w:spacing w:after="0" w:line="240" w:lineRule="auto"/>
              <w:rPr>
                <w:rFonts w:ascii="Arial Narrow" w:hAnsi="Arial Narrow"/>
              </w:rPr>
            </w:pPr>
            <w:r w:rsidRPr="007F78CE">
              <w:rPr>
                <w:rFonts w:ascii="Arial Narrow" w:hAnsi="Arial Narrow"/>
              </w:rPr>
              <w:t>- Effectif des spécialistes recrutés</w:t>
            </w:r>
          </w:p>
        </w:tc>
        <w:tc>
          <w:tcPr>
            <w:tcW w:w="2146" w:type="dxa"/>
            <w:shd w:val="clear" w:color="auto" w:fill="auto"/>
            <w:vAlign w:val="center"/>
          </w:tcPr>
          <w:p w14:paraId="5DCA4B91" w14:textId="77777777" w:rsidR="00C21029" w:rsidRPr="007F78CE" w:rsidRDefault="00C21029" w:rsidP="007F78CE">
            <w:pPr>
              <w:spacing w:after="0" w:line="240" w:lineRule="auto"/>
              <w:rPr>
                <w:rFonts w:ascii="Arial Narrow" w:hAnsi="Arial Narrow"/>
              </w:rPr>
            </w:pPr>
            <w:r w:rsidRPr="007F78CE">
              <w:rPr>
                <w:rFonts w:ascii="Arial Narrow" w:hAnsi="Arial Narrow"/>
              </w:rPr>
              <w:t>Autres acteurs</w:t>
            </w:r>
          </w:p>
        </w:tc>
        <w:tc>
          <w:tcPr>
            <w:tcW w:w="1839" w:type="dxa"/>
            <w:shd w:val="clear" w:color="auto" w:fill="auto"/>
            <w:vAlign w:val="center"/>
          </w:tcPr>
          <w:p w14:paraId="34C1E3DA" w14:textId="77777777" w:rsidR="00C21029" w:rsidRPr="007F78CE" w:rsidRDefault="00C21029" w:rsidP="007F78CE">
            <w:pPr>
              <w:spacing w:after="0" w:line="240" w:lineRule="auto"/>
              <w:rPr>
                <w:rFonts w:ascii="Arial Narrow" w:hAnsi="Arial Narrow"/>
              </w:rPr>
            </w:pPr>
            <w:r w:rsidRPr="007F78CE">
              <w:rPr>
                <w:rFonts w:ascii="Arial Narrow" w:hAnsi="Arial Narrow"/>
              </w:rPr>
              <w:t>Au démarrage du projet</w:t>
            </w:r>
          </w:p>
        </w:tc>
        <w:tc>
          <w:tcPr>
            <w:tcW w:w="1902" w:type="dxa"/>
            <w:shd w:val="clear" w:color="auto" w:fill="auto"/>
            <w:vAlign w:val="center"/>
          </w:tcPr>
          <w:p w14:paraId="0D4EE46F" w14:textId="77777777" w:rsidR="00C21029" w:rsidRPr="007F78CE" w:rsidRDefault="00C21029" w:rsidP="007F78CE">
            <w:pPr>
              <w:spacing w:after="0" w:line="240" w:lineRule="auto"/>
              <w:rPr>
                <w:rFonts w:ascii="Arial Narrow" w:hAnsi="Arial Narrow"/>
              </w:rPr>
            </w:pPr>
            <w:r w:rsidRPr="007F78CE">
              <w:rPr>
                <w:rFonts w:ascii="Arial Narrow" w:hAnsi="Arial Narrow"/>
              </w:rPr>
              <w:t>UCP</w:t>
            </w:r>
          </w:p>
          <w:p w14:paraId="269E3FAE" w14:textId="77777777" w:rsidR="00C21029" w:rsidRPr="007F78CE" w:rsidRDefault="00C21029" w:rsidP="007F78CE">
            <w:pPr>
              <w:spacing w:after="0" w:line="240" w:lineRule="auto"/>
              <w:rPr>
                <w:rFonts w:ascii="Arial Narrow" w:hAnsi="Arial Narrow"/>
              </w:rPr>
            </w:pPr>
          </w:p>
        </w:tc>
      </w:tr>
      <w:tr w:rsidR="0063584D" w:rsidRPr="007F78CE" w14:paraId="2A0F87F7" w14:textId="77777777" w:rsidTr="007F78CE">
        <w:tc>
          <w:tcPr>
            <w:tcW w:w="2337" w:type="dxa"/>
            <w:vMerge/>
            <w:shd w:val="clear" w:color="auto" w:fill="auto"/>
            <w:vAlign w:val="center"/>
          </w:tcPr>
          <w:p w14:paraId="66237FE7" w14:textId="77777777" w:rsidR="00C21029" w:rsidRPr="007F78CE" w:rsidRDefault="00C21029" w:rsidP="007F78CE">
            <w:pPr>
              <w:spacing w:after="0" w:line="240" w:lineRule="auto"/>
              <w:rPr>
                <w:rFonts w:ascii="Arial Narrow" w:hAnsi="Arial Narrow"/>
              </w:rPr>
            </w:pPr>
          </w:p>
        </w:tc>
        <w:tc>
          <w:tcPr>
            <w:tcW w:w="2310" w:type="dxa"/>
            <w:vMerge/>
            <w:shd w:val="clear" w:color="auto" w:fill="auto"/>
            <w:vAlign w:val="center"/>
          </w:tcPr>
          <w:p w14:paraId="7AEEAFCF" w14:textId="77777777" w:rsidR="00C21029" w:rsidRPr="007F78CE" w:rsidRDefault="00C21029" w:rsidP="007F78CE">
            <w:pPr>
              <w:spacing w:after="0" w:line="240" w:lineRule="auto"/>
              <w:rPr>
                <w:rFonts w:ascii="Arial Narrow" w:hAnsi="Arial Narrow"/>
              </w:rPr>
            </w:pPr>
          </w:p>
        </w:tc>
        <w:tc>
          <w:tcPr>
            <w:tcW w:w="2288" w:type="dxa"/>
            <w:shd w:val="clear" w:color="auto" w:fill="auto"/>
            <w:vAlign w:val="center"/>
          </w:tcPr>
          <w:p w14:paraId="31DB91CF" w14:textId="77777777" w:rsidR="00C21029" w:rsidRPr="0063584D" w:rsidRDefault="00C21029" w:rsidP="007F78CE">
            <w:pPr>
              <w:spacing w:after="0" w:line="240" w:lineRule="auto"/>
              <w:rPr>
                <w:rFonts w:ascii="Arial Narrow" w:hAnsi="Arial Narrow"/>
                <w:b/>
                <w:bCs/>
              </w:rPr>
            </w:pPr>
            <w:r w:rsidRPr="0063584D">
              <w:rPr>
                <w:rFonts w:ascii="Arial Narrow" w:hAnsi="Arial Narrow"/>
                <w:b/>
                <w:bCs/>
              </w:rPr>
              <w:t xml:space="preserve">1.2.2. </w:t>
            </w:r>
            <w:r w:rsidRPr="0063584D">
              <w:rPr>
                <w:rFonts w:ascii="Arial Narrow" w:hAnsi="Arial Narrow"/>
              </w:rPr>
              <w:t>Identification de Points Focaux EAS-HS au sein des Direction</w:t>
            </w:r>
            <w:r w:rsidR="006D5F22">
              <w:rPr>
                <w:rFonts w:ascii="Arial Narrow" w:hAnsi="Arial Narrow"/>
              </w:rPr>
              <w:t>s</w:t>
            </w:r>
            <w:r w:rsidRPr="0063584D">
              <w:rPr>
                <w:rFonts w:ascii="Arial Narrow" w:hAnsi="Arial Narrow"/>
              </w:rPr>
              <w:t xml:space="preserve"> régionales en charge de la promotion de la femme</w:t>
            </w:r>
          </w:p>
        </w:tc>
        <w:tc>
          <w:tcPr>
            <w:tcW w:w="2487" w:type="dxa"/>
            <w:shd w:val="clear" w:color="auto" w:fill="auto"/>
            <w:vAlign w:val="center"/>
          </w:tcPr>
          <w:p w14:paraId="4F75848B" w14:textId="77777777" w:rsidR="00C21029" w:rsidRPr="0063584D" w:rsidRDefault="00C21029" w:rsidP="007F78CE">
            <w:pPr>
              <w:spacing w:after="0" w:line="240" w:lineRule="auto"/>
              <w:rPr>
                <w:rFonts w:ascii="Arial Narrow" w:hAnsi="Arial Narrow"/>
              </w:rPr>
            </w:pPr>
            <w:r w:rsidRPr="0063584D">
              <w:rPr>
                <w:rFonts w:ascii="Arial Narrow" w:hAnsi="Arial Narrow"/>
              </w:rPr>
              <w:t>- Effectif des points focaux identifiés</w:t>
            </w:r>
          </w:p>
        </w:tc>
        <w:tc>
          <w:tcPr>
            <w:tcW w:w="2146" w:type="dxa"/>
            <w:shd w:val="clear" w:color="auto" w:fill="auto"/>
            <w:vAlign w:val="center"/>
          </w:tcPr>
          <w:p w14:paraId="6A6ABA3C" w14:textId="77777777" w:rsidR="00C21029" w:rsidRPr="0063584D" w:rsidRDefault="00C21029" w:rsidP="007F78CE">
            <w:pPr>
              <w:spacing w:after="0" w:line="240" w:lineRule="auto"/>
              <w:rPr>
                <w:rFonts w:ascii="Arial Narrow" w:hAnsi="Arial Narrow"/>
              </w:rPr>
            </w:pPr>
            <w:r w:rsidRPr="0063584D">
              <w:rPr>
                <w:rFonts w:ascii="Arial Narrow" w:hAnsi="Arial Narrow"/>
              </w:rPr>
              <w:t>Directions régionales en charge de la promotion de la femme</w:t>
            </w:r>
          </w:p>
        </w:tc>
        <w:tc>
          <w:tcPr>
            <w:tcW w:w="1839" w:type="dxa"/>
            <w:shd w:val="clear" w:color="auto" w:fill="auto"/>
            <w:vAlign w:val="center"/>
          </w:tcPr>
          <w:p w14:paraId="1B7785A9" w14:textId="77777777" w:rsidR="00C21029" w:rsidRPr="0063584D" w:rsidRDefault="00C21029" w:rsidP="007F78CE">
            <w:pPr>
              <w:spacing w:after="0" w:line="240" w:lineRule="auto"/>
              <w:rPr>
                <w:rFonts w:ascii="Arial Narrow" w:hAnsi="Arial Narrow"/>
              </w:rPr>
            </w:pPr>
            <w:r w:rsidRPr="0063584D">
              <w:rPr>
                <w:rFonts w:ascii="Arial Narrow" w:hAnsi="Arial Narrow"/>
              </w:rPr>
              <w:t>Au démarrage des travaux et en continu</w:t>
            </w:r>
          </w:p>
        </w:tc>
        <w:tc>
          <w:tcPr>
            <w:tcW w:w="1902" w:type="dxa"/>
            <w:shd w:val="clear" w:color="auto" w:fill="auto"/>
            <w:vAlign w:val="center"/>
          </w:tcPr>
          <w:p w14:paraId="534F7385" w14:textId="77777777" w:rsidR="00C21029" w:rsidRPr="0063584D" w:rsidRDefault="00C21029" w:rsidP="007F78CE">
            <w:pPr>
              <w:spacing w:after="0" w:line="240" w:lineRule="auto"/>
              <w:rPr>
                <w:rFonts w:ascii="Arial Narrow" w:hAnsi="Arial Narrow"/>
              </w:rPr>
            </w:pPr>
            <w:r w:rsidRPr="0063584D">
              <w:rPr>
                <w:rFonts w:ascii="Arial Narrow" w:hAnsi="Arial Narrow"/>
              </w:rPr>
              <w:t xml:space="preserve">UCP, Ministère en charge de la promotion de la femme </w:t>
            </w:r>
          </w:p>
        </w:tc>
      </w:tr>
      <w:tr w:rsidR="0063584D" w:rsidRPr="007F78CE" w14:paraId="2C9C80D0" w14:textId="77777777" w:rsidTr="007F78CE">
        <w:tc>
          <w:tcPr>
            <w:tcW w:w="2337" w:type="dxa"/>
            <w:vMerge w:val="restart"/>
            <w:shd w:val="clear" w:color="auto" w:fill="auto"/>
            <w:vAlign w:val="center"/>
          </w:tcPr>
          <w:p w14:paraId="30DFCF9F"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 xml:space="preserve">1.3. </w:t>
            </w:r>
            <w:r w:rsidRPr="007F78CE">
              <w:rPr>
                <w:rFonts w:ascii="Arial Narrow" w:hAnsi="Arial Narrow"/>
              </w:rPr>
              <w:t>Assurer l’implication des femmes dans des actions de prévention d’EAS/HS dans le cadre du projet</w:t>
            </w:r>
          </w:p>
        </w:tc>
        <w:tc>
          <w:tcPr>
            <w:tcW w:w="2310" w:type="dxa"/>
            <w:vMerge w:val="restart"/>
            <w:shd w:val="clear" w:color="auto" w:fill="auto"/>
            <w:vAlign w:val="center"/>
          </w:tcPr>
          <w:p w14:paraId="152CC5C8" w14:textId="77777777" w:rsidR="00C21029" w:rsidRPr="007F78CE" w:rsidRDefault="00C21029" w:rsidP="007F78CE">
            <w:pPr>
              <w:spacing w:after="0" w:line="240" w:lineRule="auto"/>
              <w:rPr>
                <w:rFonts w:ascii="Arial Narrow" w:hAnsi="Arial Narrow"/>
              </w:rPr>
            </w:pPr>
            <w:r w:rsidRPr="007F78CE">
              <w:rPr>
                <w:rFonts w:ascii="Arial Narrow" w:hAnsi="Arial Narrow"/>
              </w:rPr>
              <w:t>Meilleure considération de la prise en charge de cas de VBG touchant les femmes/filles</w:t>
            </w:r>
          </w:p>
        </w:tc>
        <w:tc>
          <w:tcPr>
            <w:tcW w:w="2288" w:type="dxa"/>
            <w:shd w:val="clear" w:color="auto" w:fill="auto"/>
          </w:tcPr>
          <w:p w14:paraId="71AC33EA"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 xml:space="preserve">1.3.1. </w:t>
            </w:r>
            <w:r w:rsidRPr="007F78CE">
              <w:rPr>
                <w:rFonts w:ascii="Arial Narrow" w:hAnsi="Arial Narrow"/>
              </w:rPr>
              <w:t>Intégration des femmes dans les structures locales</w:t>
            </w:r>
          </w:p>
        </w:tc>
        <w:tc>
          <w:tcPr>
            <w:tcW w:w="2487" w:type="dxa"/>
            <w:shd w:val="clear" w:color="auto" w:fill="auto"/>
          </w:tcPr>
          <w:p w14:paraId="765082ED" w14:textId="77777777" w:rsidR="00C21029" w:rsidRPr="007F78CE" w:rsidRDefault="00C21029" w:rsidP="007F78CE">
            <w:pPr>
              <w:spacing w:after="0" w:line="240" w:lineRule="auto"/>
              <w:rPr>
                <w:rFonts w:ascii="Arial Narrow" w:hAnsi="Arial Narrow"/>
                <w:b/>
              </w:rPr>
            </w:pPr>
            <w:r w:rsidRPr="007F78CE">
              <w:rPr>
                <w:rFonts w:ascii="Arial Narrow" w:hAnsi="Arial Narrow"/>
              </w:rPr>
              <w:t>- % de femmes intégrant les structures de résolution des conflits</w:t>
            </w:r>
          </w:p>
          <w:p w14:paraId="09BBC619" w14:textId="77777777" w:rsidR="00C21029" w:rsidRPr="007F78CE" w:rsidRDefault="00C21029" w:rsidP="007F78CE">
            <w:pPr>
              <w:spacing w:after="0" w:line="240" w:lineRule="auto"/>
              <w:rPr>
                <w:rFonts w:ascii="Arial Narrow" w:hAnsi="Arial Narrow"/>
              </w:rPr>
            </w:pPr>
          </w:p>
          <w:p w14:paraId="03AB5446" w14:textId="77777777" w:rsidR="00C21029" w:rsidRPr="007F78CE" w:rsidRDefault="00C21029" w:rsidP="007F78CE">
            <w:pPr>
              <w:spacing w:after="0" w:line="240" w:lineRule="auto"/>
              <w:rPr>
                <w:rFonts w:ascii="Arial Narrow" w:hAnsi="Arial Narrow"/>
              </w:rPr>
            </w:pPr>
            <w:r w:rsidRPr="007F78CE">
              <w:rPr>
                <w:rFonts w:ascii="Arial Narrow" w:hAnsi="Arial Narrow"/>
              </w:rPr>
              <w:t>- Nombre de consultations tenues avec des femmes membres de la communauté ou des groupes de femmes</w:t>
            </w:r>
          </w:p>
        </w:tc>
        <w:tc>
          <w:tcPr>
            <w:tcW w:w="2146" w:type="dxa"/>
            <w:shd w:val="clear" w:color="auto" w:fill="auto"/>
          </w:tcPr>
          <w:p w14:paraId="5ECCB4D4" w14:textId="77777777" w:rsidR="00C21029" w:rsidRPr="007F78CE" w:rsidRDefault="00C21029" w:rsidP="007F78CE">
            <w:pPr>
              <w:spacing w:after="0" w:line="240" w:lineRule="auto"/>
              <w:rPr>
                <w:rFonts w:ascii="Arial Narrow" w:hAnsi="Arial Narrow"/>
              </w:rPr>
            </w:pPr>
            <w:r w:rsidRPr="007F78CE">
              <w:rPr>
                <w:rFonts w:ascii="Arial Narrow" w:hAnsi="Arial Narrow"/>
              </w:rPr>
              <w:t>Femmes et jeunes filles des Communes d’intervention du projet</w:t>
            </w:r>
          </w:p>
        </w:tc>
        <w:tc>
          <w:tcPr>
            <w:tcW w:w="1839" w:type="dxa"/>
            <w:shd w:val="clear" w:color="auto" w:fill="auto"/>
          </w:tcPr>
          <w:p w14:paraId="6E421A14" w14:textId="77777777" w:rsidR="00C21029" w:rsidRPr="007F78CE" w:rsidRDefault="00C21029" w:rsidP="007F78CE">
            <w:pPr>
              <w:spacing w:after="0" w:line="240" w:lineRule="auto"/>
              <w:rPr>
                <w:rFonts w:ascii="Arial Narrow" w:hAnsi="Arial Narrow"/>
                <w:b/>
              </w:rPr>
            </w:pPr>
            <w:r w:rsidRPr="007F78CE">
              <w:rPr>
                <w:rFonts w:ascii="Arial Narrow" w:hAnsi="Arial Narrow"/>
              </w:rPr>
              <w:t xml:space="preserve">Au plus tard 15 jours après le démarrage du projet </w:t>
            </w:r>
          </w:p>
          <w:p w14:paraId="78EF7523" w14:textId="77777777" w:rsidR="00C21029" w:rsidRPr="007F78CE" w:rsidRDefault="00C21029" w:rsidP="007F78CE">
            <w:pPr>
              <w:spacing w:after="0" w:line="240" w:lineRule="auto"/>
              <w:rPr>
                <w:rFonts w:ascii="Arial Narrow" w:hAnsi="Arial Narrow"/>
              </w:rPr>
            </w:pPr>
            <w:r w:rsidRPr="007F78CE">
              <w:rPr>
                <w:rFonts w:ascii="Arial Narrow" w:hAnsi="Arial Narrow"/>
              </w:rPr>
              <w:t>Au moins une fois par trimestre</w:t>
            </w:r>
          </w:p>
        </w:tc>
        <w:tc>
          <w:tcPr>
            <w:tcW w:w="1902" w:type="dxa"/>
            <w:shd w:val="clear" w:color="auto" w:fill="auto"/>
          </w:tcPr>
          <w:p w14:paraId="156DB3EE" w14:textId="77777777" w:rsidR="00C21029" w:rsidRPr="007F78CE" w:rsidRDefault="00C21029" w:rsidP="007F78CE">
            <w:pPr>
              <w:spacing w:after="0" w:line="240" w:lineRule="auto"/>
              <w:rPr>
                <w:rFonts w:ascii="Arial Narrow" w:hAnsi="Arial Narrow"/>
                <w:color w:val="FF0000"/>
              </w:rPr>
            </w:pPr>
            <w:r w:rsidRPr="007F78CE">
              <w:rPr>
                <w:rFonts w:ascii="Arial Narrow" w:hAnsi="Arial Narrow"/>
              </w:rPr>
              <w:t>UCP (Spécialiste VBG</w:t>
            </w:r>
            <w:r w:rsidR="00C940D0">
              <w:rPr>
                <w:rFonts w:ascii="Arial Narrow" w:hAnsi="Arial Narrow"/>
              </w:rPr>
              <w:t>/EAS-HS</w:t>
            </w:r>
            <w:r w:rsidRPr="007F78CE">
              <w:rPr>
                <w:rFonts w:ascii="Arial Narrow" w:hAnsi="Arial Narrow"/>
              </w:rPr>
              <w:t>)</w:t>
            </w:r>
          </w:p>
        </w:tc>
      </w:tr>
      <w:tr w:rsidR="0063584D" w:rsidRPr="007F78CE" w14:paraId="082123CF" w14:textId="77777777" w:rsidTr="007F78CE">
        <w:tc>
          <w:tcPr>
            <w:tcW w:w="2337" w:type="dxa"/>
            <w:vMerge/>
            <w:shd w:val="clear" w:color="auto" w:fill="auto"/>
            <w:vAlign w:val="center"/>
          </w:tcPr>
          <w:p w14:paraId="0B066CC1" w14:textId="77777777" w:rsidR="00C21029" w:rsidRPr="007F78CE" w:rsidRDefault="00C21029" w:rsidP="007F78CE">
            <w:pPr>
              <w:spacing w:after="0" w:line="240" w:lineRule="auto"/>
              <w:rPr>
                <w:rFonts w:ascii="Arial Narrow" w:hAnsi="Arial Narrow"/>
              </w:rPr>
            </w:pPr>
          </w:p>
        </w:tc>
        <w:tc>
          <w:tcPr>
            <w:tcW w:w="2310" w:type="dxa"/>
            <w:vMerge/>
            <w:shd w:val="clear" w:color="auto" w:fill="auto"/>
            <w:vAlign w:val="center"/>
          </w:tcPr>
          <w:p w14:paraId="1086DCA4" w14:textId="77777777" w:rsidR="00C21029" w:rsidRPr="007F78CE" w:rsidRDefault="00C21029" w:rsidP="007F78CE">
            <w:pPr>
              <w:spacing w:after="0" w:line="240" w:lineRule="auto"/>
              <w:rPr>
                <w:rFonts w:ascii="Arial Narrow" w:hAnsi="Arial Narrow"/>
              </w:rPr>
            </w:pPr>
          </w:p>
        </w:tc>
        <w:tc>
          <w:tcPr>
            <w:tcW w:w="2288" w:type="dxa"/>
            <w:shd w:val="clear" w:color="auto" w:fill="auto"/>
          </w:tcPr>
          <w:p w14:paraId="20CB3FB8"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1.3.2</w:t>
            </w:r>
            <w:r w:rsidRPr="007F78CE">
              <w:rPr>
                <w:rFonts w:ascii="Arial Narrow" w:hAnsi="Arial Narrow"/>
              </w:rPr>
              <w:t>. Sensibiliser les femmes employées sur les VBG/EAS-HS</w:t>
            </w:r>
          </w:p>
        </w:tc>
        <w:tc>
          <w:tcPr>
            <w:tcW w:w="2487" w:type="dxa"/>
            <w:shd w:val="clear" w:color="auto" w:fill="auto"/>
          </w:tcPr>
          <w:p w14:paraId="30583BE7" w14:textId="77777777" w:rsidR="00C21029" w:rsidRPr="007F78CE" w:rsidRDefault="00C21029" w:rsidP="007F78CE">
            <w:pPr>
              <w:spacing w:after="0" w:line="240" w:lineRule="auto"/>
              <w:rPr>
                <w:rFonts w:ascii="Arial Narrow" w:hAnsi="Arial Narrow"/>
                <w:b/>
              </w:rPr>
            </w:pPr>
            <w:r w:rsidRPr="007F78CE">
              <w:rPr>
                <w:rFonts w:ascii="Arial Narrow" w:hAnsi="Arial Narrow"/>
              </w:rPr>
              <w:t>Nombre de personnes employées sensibilisées sur les VBG</w:t>
            </w:r>
          </w:p>
          <w:p w14:paraId="43FEE063" w14:textId="77777777" w:rsidR="00C21029" w:rsidRPr="007F78CE" w:rsidRDefault="00C21029" w:rsidP="007F78CE">
            <w:pPr>
              <w:spacing w:after="0" w:line="240" w:lineRule="auto"/>
              <w:rPr>
                <w:rFonts w:ascii="Arial Narrow" w:hAnsi="Arial Narrow"/>
              </w:rPr>
            </w:pPr>
            <w:r w:rsidRPr="007F78CE">
              <w:rPr>
                <w:rFonts w:ascii="Arial Narrow" w:hAnsi="Arial Narrow"/>
              </w:rPr>
              <w:t>(Cible : 100%)</w:t>
            </w:r>
          </w:p>
        </w:tc>
        <w:tc>
          <w:tcPr>
            <w:tcW w:w="2146" w:type="dxa"/>
            <w:shd w:val="clear" w:color="auto" w:fill="auto"/>
          </w:tcPr>
          <w:p w14:paraId="23F31D25" w14:textId="77777777" w:rsidR="00C21029" w:rsidRPr="007F78CE" w:rsidRDefault="00ED489E" w:rsidP="00ED489E">
            <w:pPr>
              <w:spacing w:after="0" w:line="240" w:lineRule="auto"/>
              <w:rPr>
                <w:rFonts w:ascii="Arial Narrow" w:hAnsi="Arial Narrow"/>
              </w:rPr>
            </w:pPr>
            <w:r>
              <w:rPr>
                <w:rFonts w:ascii="Arial Narrow" w:hAnsi="Arial Narrow"/>
              </w:rPr>
              <w:t>F</w:t>
            </w:r>
            <w:r w:rsidRPr="007F78CE">
              <w:rPr>
                <w:rFonts w:ascii="Arial Narrow" w:hAnsi="Arial Narrow"/>
              </w:rPr>
              <w:t>emmes Travailleu</w:t>
            </w:r>
            <w:r>
              <w:rPr>
                <w:rFonts w:ascii="Arial Narrow" w:hAnsi="Arial Narrow"/>
              </w:rPr>
              <w:t>ses</w:t>
            </w:r>
            <w:r w:rsidRPr="007F78CE">
              <w:rPr>
                <w:rFonts w:ascii="Arial Narrow" w:hAnsi="Arial Narrow"/>
              </w:rPr>
              <w:t xml:space="preserve"> </w:t>
            </w:r>
          </w:p>
        </w:tc>
        <w:tc>
          <w:tcPr>
            <w:tcW w:w="1839" w:type="dxa"/>
            <w:shd w:val="clear" w:color="auto" w:fill="auto"/>
          </w:tcPr>
          <w:p w14:paraId="40B1CC7D" w14:textId="77777777" w:rsidR="00C21029" w:rsidRPr="007F78CE" w:rsidRDefault="00C21029" w:rsidP="007F78CE">
            <w:pPr>
              <w:spacing w:after="0" w:line="240" w:lineRule="auto"/>
              <w:rPr>
                <w:rFonts w:ascii="Arial Narrow" w:hAnsi="Arial Narrow"/>
                <w:b/>
              </w:rPr>
            </w:pPr>
            <w:r w:rsidRPr="007F78CE">
              <w:rPr>
                <w:rFonts w:ascii="Arial Narrow" w:hAnsi="Arial Narrow"/>
              </w:rPr>
              <w:t>Au plus tard 15 jours après le démarrage du sous-projet</w:t>
            </w:r>
          </w:p>
          <w:p w14:paraId="7FFEAC27" w14:textId="77777777" w:rsidR="00C21029" w:rsidRPr="007F78CE" w:rsidRDefault="00C21029" w:rsidP="007F78CE">
            <w:pPr>
              <w:spacing w:after="0" w:line="240" w:lineRule="auto"/>
              <w:rPr>
                <w:rFonts w:ascii="Arial Narrow" w:hAnsi="Arial Narrow"/>
              </w:rPr>
            </w:pPr>
            <w:r w:rsidRPr="007F78CE">
              <w:rPr>
                <w:rFonts w:ascii="Arial Narrow" w:hAnsi="Arial Narrow"/>
              </w:rPr>
              <w:t>Une seule fois</w:t>
            </w:r>
          </w:p>
        </w:tc>
        <w:tc>
          <w:tcPr>
            <w:tcW w:w="1902" w:type="dxa"/>
            <w:shd w:val="clear" w:color="auto" w:fill="auto"/>
          </w:tcPr>
          <w:p w14:paraId="681F3EB7" w14:textId="77777777" w:rsidR="00C21029" w:rsidRPr="007F78CE" w:rsidRDefault="00C21029" w:rsidP="007F78CE">
            <w:pPr>
              <w:spacing w:after="0" w:line="240" w:lineRule="auto"/>
              <w:rPr>
                <w:rFonts w:ascii="Arial Narrow" w:hAnsi="Arial Narrow"/>
              </w:rPr>
            </w:pPr>
            <w:r w:rsidRPr="007F78CE">
              <w:rPr>
                <w:rFonts w:ascii="Arial Narrow" w:hAnsi="Arial Narrow"/>
              </w:rPr>
              <w:t>UCP (Spécialiste VBG</w:t>
            </w:r>
            <w:r w:rsidR="00C940D0">
              <w:rPr>
                <w:rFonts w:ascii="Arial Narrow" w:hAnsi="Arial Narrow"/>
              </w:rPr>
              <w:t>/EAS-HS</w:t>
            </w:r>
            <w:r w:rsidRPr="007F78CE">
              <w:rPr>
                <w:rFonts w:ascii="Arial Narrow" w:hAnsi="Arial Narrow"/>
              </w:rPr>
              <w:t xml:space="preserve">) </w:t>
            </w:r>
          </w:p>
          <w:p w14:paraId="11B5D7B6" w14:textId="77777777" w:rsidR="00C21029" w:rsidRPr="007F78CE" w:rsidRDefault="00C21029" w:rsidP="007F78CE">
            <w:pPr>
              <w:spacing w:after="0" w:line="240" w:lineRule="auto"/>
              <w:rPr>
                <w:rFonts w:ascii="Arial Narrow" w:hAnsi="Arial Narrow"/>
              </w:rPr>
            </w:pPr>
            <w:r w:rsidRPr="007F78CE">
              <w:rPr>
                <w:rFonts w:ascii="Arial Narrow" w:hAnsi="Arial Narrow"/>
              </w:rPr>
              <w:t>Direction régionale de la Promotion de la femme</w:t>
            </w:r>
          </w:p>
        </w:tc>
      </w:tr>
      <w:tr w:rsidR="00C21029" w:rsidRPr="007F78CE" w14:paraId="6B3FE805" w14:textId="77777777" w:rsidTr="007F78CE">
        <w:trPr>
          <w:tblHeader/>
        </w:trPr>
        <w:tc>
          <w:tcPr>
            <w:tcW w:w="15309" w:type="dxa"/>
            <w:gridSpan w:val="7"/>
            <w:shd w:val="clear" w:color="auto" w:fill="auto"/>
            <w:vAlign w:val="center"/>
          </w:tcPr>
          <w:p w14:paraId="7A6762A2"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AXE STRATEGIQUE II. PREVENTION ET REPONSE AUX VBG</w:t>
            </w:r>
          </w:p>
        </w:tc>
      </w:tr>
      <w:tr w:rsidR="0063584D" w:rsidRPr="007F78CE" w14:paraId="190F0852" w14:textId="77777777" w:rsidTr="007F78CE">
        <w:trPr>
          <w:tblHeader/>
        </w:trPr>
        <w:tc>
          <w:tcPr>
            <w:tcW w:w="2337" w:type="dxa"/>
            <w:shd w:val="clear" w:color="auto" w:fill="auto"/>
            <w:vAlign w:val="center"/>
          </w:tcPr>
          <w:p w14:paraId="0DB4FBBC"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OBJECTIFS</w:t>
            </w:r>
          </w:p>
        </w:tc>
        <w:tc>
          <w:tcPr>
            <w:tcW w:w="2310" w:type="dxa"/>
            <w:shd w:val="clear" w:color="auto" w:fill="auto"/>
            <w:vAlign w:val="center"/>
          </w:tcPr>
          <w:p w14:paraId="732A0EC5"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RESULTATS ATTENDUS</w:t>
            </w:r>
          </w:p>
        </w:tc>
        <w:tc>
          <w:tcPr>
            <w:tcW w:w="2288" w:type="dxa"/>
            <w:shd w:val="clear" w:color="auto" w:fill="auto"/>
            <w:vAlign w:val="center"/>
          </w:tcPr>
          <w:p w14:paraId="2F85939A"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ACTIVITES</w:t>
            </w:r>
          </w:p>
        </w:tc>
        <w:tc>
          <w:tcPr>
            <w:tcW w:w="2487" w:type="dxa"/>
            <w:shd w:val="clear" w:color="auto" w:fill="auto"/>
            <w:vAlign w:val="center"/>
          </w:tcPr>
          <w:p w14:paraId="327C547C"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INDICATEURS</w:t>
            </w:r>
          </w:p>
        </w:tc>
        <w:tc>
          <w:tcPr>
            <w:tcW w:w="2146" w:type="dxa"/>
            <w:shd w:val="clear" w:color="auto" w:fill="auto"/>
            <w:vAlign w:val="center"/>
          </w:tcPr>
          <w:p w14:paraId="66C1F535"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CIBLES</w:t>
            </w:r>
          </w:p>
        </w:tc>
        <w:tc>
          <w:tcPr>
            <w:tcW w:w="1839" w:type="dxa"/>
            <w:shd w:val="clear" w:color="auto" w:fill="auto"/>
            <w:vAlign w:val="center"/>
          </w:tcPr>
          <w:p w14:paraId="39E8DC21"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CALENDRIER</w:t>
            </w:r>
          </w:p>
        </w:tc>
        <w:tc>
          <w:tcPr>
            <w:tcW w:w="1902" w:type="dxa"/>
            <w:shd w:val="clear" w:color="auto" w:fill="auto"/>
            <w:vAlign w:val="center"/>
          </w:tcPr>
          <w:p w14:paraId="3551AAB7"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RESPONSABLES</w:t>
            </w:r>
          </w:p>
        </w:tc>
      </w:tr>
      <w:tr w:rsidR="0063584D" w:rsidRPr="007F78CE" w14:paraId="1C0119FE" w14:textId="77777777" w:rsidTr="007F78CE">
        <w:tc>
          <w:tcPr>
            <w:tcW w:w="2337" w:type="dxa"/>
            <w:shd w:val="clear" w:color="auto" w:fill="auto"/>
            <w:vAlign w:val="center"/>
          </w:tcPr>
          <w:p w14:paraId="70BF0375"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 xml:space="preserve">2.1. </w:t>
            </w:r>
            <w:r w:rsidRPr="007F78CE">
              <w:rPr>
                <w:rFonts w:ascii="Arial Narrow" w:hAnsi="Arial Narrow"/>
              </w:rPr>
              <w:t>Assurer une connaissance et information adéquate et à jour relatives à la prise en charge de VBG/EAS-HS</w:t>
            </w:r>
          </w:p>
        </w:tc>
        <w:tc>
          <w:tcPr>
            <w:tcW w:w="2310" w:type="dxa"/>
            <w:shd w:val="clear" w:color="auto" w:fill="auto"/>
            <w:vAlign w:val="center"/>
          </w:tcPr>
          <w:p w14:paraId="6AF49F41" w14:textId="77777777" w:rsidR="00C21029" w:rsidRPr="007F78CE" w:rsidRDefault="00C21029" w:rsidP="007F78CE">
            <w:pPr>
              <w:spacing w:after="0" w:line="240" w:lineRule="auto"/>
              <w:rPr>
                <w:rFonts w:ascii="Arial Narrow" w:hAnsi="Arial Narrow"/>
              </w:rPr>
            </w:pPr>
            <w:r w:rsidRPr="007F78CE">
              <w:rPr>
                <w:rFonts w:ascii="Arial Narrow" w:hAnsi="Arial Narrow"/>
              </w:rPr>
              <w:t>Parties prenantes informées sur les risques de VBG/EAS-HS, et sur les mesures et les actions mises en place par le Projet</w:t>
            </w:r>
          </w:p>
        </w:tc>
        <w:tc>
          <w:tcPr>
            <w:tcW w:w="2288" w:type="dxa"/>
            <w:shd w:val="clear" w:color="auto" w:fill="auto"/>
          </w:tcPr>
          <w:p w14:paraId="458E7547"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 xml:space="preserve">2.1.1. </w:t>
            </w:r>
            <w:r w:rsidRPr="007F78CE">
              <w:rPr>
                <w:rFonts w:ascii="Arial Narrow" w:hAnsi="Arial Narrow"/>
              </w:rPr>
              <w:t>Organiser des campagnes de communication, informer et sensibiliser les différentes parties prenantes du Projet sur les VBG/EAS-HS  et les mesures d’appui en place (MGP, prise en charge…)</w:t>
            </w:r>
          </w:p>
        </w:tc>
        <w:tc>
          <w:tcPr>
            <w:tcW w:w="2487" w:type="dxa"/>
            <w:shd w:val="clear" w:color="auto" w:fill="auto"/>
          </w:tcPr>
          <w:p w14:paraId="0535F798" w14:textId="77777777" w:rsidR="00C21029" w:rsidRPr="00687DD2" w:rsidRDefault="00C21029" w:rsidP="0044500E">
            <w:pPr>
              <w:pStyle w:val="Paragraphedeliste"/>
              <w:numPr>
                <w:ilvl w:val="0"/>
                <w:numId w:val="149"/>
              </w:numPr>
              <w:spacing w:after="0" w:line="240" w:lineRule="auto"/>
              <w:ind w:left="219" w:hanging="142"/>
              <w:jc w:val="both"/>
              <w:rPr>
                <w:rFonts w:ascii="Arial Narrow" w:eastAsia="Times New Roman" w:hAnsi="Arial Narrow"/>
                <w:b/>
                <w:smallCaps/>
              </w:rPr>
            </w:pPr>
            <w:r w:rsidRPr="00687DD2">
              <w:rPr>
                <w:rFonts w:ascii="Arial Narrow" w:hAnsi="Arial Narrow"/>
              </w:rPr>
              <w:t>Nombre d’activités de sensibilisation effectuées ;</w:t>
            </w:r>
          </w:p>
          <w:p w14:paraId="02682AAF" w14:textId="77777777" w:rsidR="00C21029" w:rsidRPr="00687DD2" w:rsidRDefault="00C21029" w:rsidP="0044500E">
            <w:pPr>
              <w:pStyle w:val="Paragraphedeliste"/>
              <w:numPr>
                <w:ilvl w:val="0"/>
                <w:numId w:val="149"/>
              </w:numPr>
              <w:spacing w:after="0" w:line="240" w:lineRule="auto"/>
              <w:ind w:left="219" w:hanging="142"/>
              <w:jc w:val="both"/>
              <w:rPr>
                <w:rFonts w:ascii="Arial Narrow" w:eastAsia="Times New Roman" w:hAnsi="Arial Narrow"/>
                <w:b/>
                <w:smallCaps/>
              </w:rPr>
            </w:pPr>
            <w:r w:rsidRPr="00687DD2">
              <w:rPr>
                <w:rFonts w:ascii="Arial Narrow" w:hAnsi="Arial Narrow"/>
              </w:rPr>
              <w:t>Nombre de parties prenantes sensibilisées</w:t>
            </w:r>
          </w:p>
        </w:tc>
        <w:tc>
          <w:tcPr>
            <w:tcW w:w="2146" w:type="dxa"/>
            <w:shd w:val="clear" w:color="auto" w:fill="auto"/>
          </w:tcPr>
          <w:p w14:paraId="713A3258" w14:textId="77777777" w:rsidR="00C21029" w:rsidRPr="007F78CE" w:rsidRDefault="00C21029" w:rsidP="007F78CE">
            <w:pPr>
              <w:spacing w:after="0" w:line="240" w:lineRule="auto"/>
              <w:rPr>
                <w:rFonts w:ascii="Arial Narrow" w:hAnsi="Arial Narrow"/>
              </w:rPr>
            </w:pPr>
            <w:r w:rsidRPr="007F78CE">
              <w:rPr>
                <w:rFonts w:ascii="Arial Narrow" w:hAnsi="Arial Narrow"/>
              </w:rPr>
              <w:t xml:space="preserve">Les bénéficiaires des appuis techniques et financiers (opérateurs privés), les communautés, </w:t>
            </w:r>
          </w:p>
          <w:p w14:paraId="60AA51B4" w14:textId="77777777" w:rsidR="00C21029" w:rsidRPr="007F78CE" w:rsidRDefault="00C21029" w:rsidP="007F78CE">
            <w:pPr>
              <w:spacing w:after="0" w:line="240" w:lineRule="auto"/>
              <w:rPr>
                <w:rFonts w:ascii="Arial Narrow" w:hAnsi="Arial Narrow"/>
              </w:rPr>
            </w:pPr>
            <w:r w:rsidRPr="007F78CE">
              <w:rPr>
                <w:rFonts w:ascii="Arial Narrow" w:hAnsi="Arial Narrow"/>
              </w:rPr>
              <w:t xml:space="preserve">les autorités administratives, les populations riveraines </w:t>
            </w:r>
          </w:p>
        </w:tc>
        <w:tc>
          <w:tcPr>
            <w:tcW w:w="1839" w:type="dxa"/>
            <w:shd w:val="clear" w:color="auto" w:fill="auto"/>
            <w:vAlign w:val="center"/>
          </w:tcPr>
          <w:p w14:paraId="010D615A" w14:textId="77777777" w:rsidR="00C21029" w:rsidRPr="007F78CE" w:rsidRDefault="00C21029" w:rsidP="007F78CE">
            <w:pPr>
              <w:spacing w:after="0" w:line="240" w:lineRule="auto"/>
              <w:rPr>
                <w:rFonts w:ascii="Arial Narrow" w:hAnsi="Arial Narrow"/>
              </w:rPr>
            </w:pPr>
            <w:r w:rsidRPr="007F78CE">
              <w:rPr>
                <w:rFonts w:ascii="Arial Narrow" w:hAnsi="Arial Narrow"/>
              </w:rPr>
              <w:t>A débuter au démarrage des travaux et à poursuivre le long de la mise en œuvre du projet</w:t>
            </w:r>
          </w:p>
        </w:tc>
        <w:tc>
          <w:tcPr>
            <w:tcW w:w="1902" w:type="dxa"/>
            <w:shd w:val="clear" w:color="auto" w:fill="auto"/>
            <w:vAlign w:val="center"/>
          </w:tcPr>
          <w:p w14:paraId="795C6FF1" w14:textId="77777777" w:rsidR="00C21029" w:rsidRPr="007F78CE" w:rsidRDefault="00C21029" w:rsidP="007F78CE">
            <w:pPr>
              <w:spacing w:after="0" w:line="240" w:lineRule="auto"/>
              <w:rPr>
                <w:rFonts w:ascii="Arial Narrow" w:hAnsi="Arial Narrow"/>
              </w:rPr>
            </w:pPr>
            <w:r w:rsidRPr="007F78CE">
              <w:rPr>
                <w:rFonts w:ascii="Arial Narrow" w:hAnsi="Arial Narrow"/>
              </w:rPr>
              <w:t xml:space="preserve">Prestataire de services </w:t>
            </w:r>
          </w:p>
          <w:p w14:paraId="6A3F5DDF" w14:textId="77777777" w:rsidR="00C21029" w:rsidRPr="007F78CE" w:rsidRDefault="00C21029" w:rsidP="007F78CE">
            <w:pPr>
              <w:spacing w:after="0" w:line="240" w:lineRule="auto"/>
              <w:rPr>
                <w:rFonts w:ascii="Arial Narrow" w:hAnsi="Arial Narrow"/>
              </w:rPr>
            </w:pPr>
            <w:r w:rsidRPr="007F78CE">
              <w:rPr>
                <w:rFonts w:ascii="Arial Narrow" w:hAnsi="Arial Narrow"/>
              </w:rPr>
              <w:t>UCP (Spécialiste VBG</w:t>
            </w:r>
            <w:r w:rsidR="00C940D0">
              <w:rPr>
                <w:rFonts w:ascii="Arial Narrow" w:hAnsi="Arial Narrow"/>
              </w:rPr>
              <w:t>/EAS-HS</w:t>
            </w:r>
            <w:r w:rsidRPr="007F78CE">
              <w:rPr>
                <w:rFonts w:ascii="Arial Narrow" w:hAnsi="Arial Narrow"/>
              </w:rPr>
              <w:t>)</w:t>
            </w:r>
          </w:p>
        </w:tc>
      </w:tr>
      <w:tr w:rsidR="0063584D" w:rsidRPr="007F78CE" w14:paraId="7BECDE91" w14:textId="77777777" w:rsidTr="007F78CE">
        <w:tc>
          <w:tcPr>
            <w:tcW w:w="2337" w:type="dxa"/>
            <w:vMerge w:val="restart"/>
            <w:shd w:val="clear" w:color="auto" w:fill="auto"/>
            <w:vAlign w:val="center"/>
          </w:tcPr>
          <w:p w14:paraId="714EE0EA"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2.2.</w:t>
            </w:r>
            <w:r w:rsidRPr="007F78CE">
              <w:rPr>
                <w:rFonts w:ascii="Arial Narrow" w:hAnsi="Arial Narrow"/>
              </w:rPr>
              <w:t xml:space="preserve"> Assurer que toutes les entreprises travaillant pour le projet disposent chacun d’un plan d’action spécifique EAS/H-S découlant de ce Plan d’action du Projet</w:t>
            </w:r>
          </w:p>
        </w:tc>
        <w:tc>
          <w:tcPr>
            <w:tcW w:w="2310" w:type="dxa"/>
            <w:vMerge w:val="restart"/>
            <w:shd w:val="clear" w:color="auto" w:fill="auto"/>
            <w:vAlign w:val="center"/>
          </w:tcPr>
          <w:p w14:paraId="7A176152" w14:textId="77777777" w:rsidR="00C21029" w:rsidRPr="007F78CE" w:rsidRDefault="00C21029" w:rsidP="007F78CE">
            <w:pPr>
              <w:spacing w:after="0" w:line="240" w:lineRule="auto"/>
              <w:rPr>
                <w:rFonts w:ascii="Arial Narrow" w:hAnsi="Arial Narrow"/>
              </w:rPr>
            </w:pPr>
            <w:r w:rsidRPr="007F78CE">
              <w:rPr>
                <w:rFonts w:ascii="Arial Narrow" w:hAnsi="Arial Narrow"/>
              </w:rPr>
              <w:t>Disponibilité de plan d’action pour l’ensemble des entités intervenant pour le projet, intégrant Information, sensibilisation, formation, et prise en charge</w:t>
            </w:r>
          </w:p>
        </w:tc>
        <w:tc>
          <w:tcPr>
            <w:tcW w:w="2288" w:type="dxa"/>
            <w:shd w:val="clear" w:color="auto" w:fill="auto"/>
          </w:tcPr>
          <w:p w14:paraId="6DFD91C7"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2.2.1.</w:t>
            </w:r>
            <w:r w:rsidRPr="007F78CE">
              <w:rPr>
                <w:rFonts w:ascii="Arial Narrow" w:hAnsi="Arial Narrow"/>
              </w:rPr>
              <w:t xml:space="preserve"> Développement de plan d’action par les Entreprises</w:t>
            </w:r>
          </w:p>
        </w:tc>
        <w:tc>
          <w:tcPr>
            <w:tcW w:w="2487" w:type="dxa"/>
            <w:vMerge w:val="restart"/>
            <w:shd w:val="clear" w:color="auto" w:fill="auto"/>
          </w:tcPr>
          <w:p w14:paraId="33CE7D66" w14:textId="77777777" w:rsidR="00C21029" w:rsidRPr="00687DD2" w:rsidRDefault="00C21029" w:rsidP="0044500E">
            <w:pPr>
              <w:pStyle w:val="Paragraphedeliste"/>
              <w:numPr>
                <w:ilvl w:val="0"/>
                <w:numId w:val="149"/>
              </w:numPr>
              <w:spacing w:after="0" w:line="240" w:lineRule="auto"/>
              <w:ind w:left="219" w:hanging="142"/>
              <w:jc w:val="both"/>
              <w:rPr>
                <w:rFonts w:ascii="Arial Narrow" w:eastAsia="Times New Roman" w:hAnsi="Arial Narrow"/>
                <w:b/>
                <w:smallCaps/>
              </w:rPr>
            </w:pPr>
            <w:r w:rsidRPr="00687DD2">
              <w:rPr>
                <w:rFonts w:ascii="Arial Narrow" w:hAnsi="Arial Narrow"/>
              </w:rPr>
              <w:t>Disponibilité de plan d’action validé pour l’ensemble des entités intervenant pour le projet</w:t>
            </w:r>
          </w:p>
        </w:tc>
        <w:tc>
          <w:tcPr>
            <w:tcW w:w="2146" w:type="dxa"/>
            <w:vMerge w:val="restart"/>
            <w:shd w:val="clear" w:color="auto" w:fill="auto"/>
          </w:tcPr>
          <w:p w14:paraId="13AD8082" w14:textId="77777777" w:rsidR="00C21029" w:rsidRPr="007F78CE" w:rsidRDefault="00C21029" w:rsidP="007F78CE">
            <w:pPr>
              <w:spacing w:after="0" w:line="240" w:lineRule="auto"/>
              <w:rPr>
                <w:rFonts w:ascii="Arial Narrow" w:hAnsi="Arial Narrow"/>
              </w:rPr>
            </w:pPr>
            <w:r w:rsidRPr="007F78CE">
              <w:rPr>
                <w:rFonts w:ascii="Arial Narrow" w:hAnsi="Arial Narrow"/>
              </w:rPr>
              <w:t>Toutes les entreprises</w:t>
            </w:r>
          </w:p>
        </w:tc>
        <w:tc>
          <w:tcPr>
            <w:tcW w:w="1839" w:type="dxa"/>
            <w:vMerge w:val="restart"/>
            <w:shd w:val="clear" w:color="auto" w:fill="auto"/>
          </w:tcPr>
          <w:p w14:paraId="0227B586" w14:textId="77777777" w:rsidR="00C21029" w:rsidRPr="007F78CE" w:rsidRDefault="00C21029" w:rsidP="007F78CE">
            <w:pPr>
              <w:spacing w:after="0" w:line="240" w:lineRule="auto"/>
              <w:rPr>
                <w:rFonts w:ascii="Arial Narrow" w:hAnsi="Arial Narrow"/>
              </w:rPr>
            </w:pPr>
            <w:r w:rsidRPr="007F78CE">
              <w:rPr>
                <w:rFonts w:ascii="Arial Narrow" w:hAnsi="Arial Narrow"/>
              </w:rPr>
              <w:t>Durant la préparation du PGES-Entreprise (Plan d’action EAS/HS faisant partie de l’Annexe du PGES-E)</w:t>
            </w:r>
          </w:p>
        </w:tc>
        <w:tc>
          <w:tcPr>
            <w:tcW w:w="1902" w:type="dxa"/>
            <w:vMerge w:val="restart"/>
            <w:shd w:val="clear" w:color="auto" w:fill="auto"/>
          </w:tcPr>
          <w:p w14:paraId="486B954B" w14:textId="77777777" w:rsidR="00C21029" w:rsidRPr="007F78CE" w:rsidRDefault="00C21029" w:rsidP="007F78CE">
            <w:pPr>
              <w:spacing w:after="0" w:line="240" w:lineRule="auto"/>
              <w:rPr>
                <w:rFonts w:ascii="Arial Narrow" w:hAnsi="Arial Narrow"/>
              </w:rPr>
            </w:pPr>
            <w:r w:rsidRPr="007F78CE">
              <w:rPr>
                <w:rFonts w:ascii="Arial Narrow" w:hAnsi="Arial Narrow"/>
              </w:rPr>
              <w:t>Entreprises</w:t>
            </w:r>
          </w:p>
          <w:p w14:paraId="624B4041" w14:textId="77777777" w:rsidR="00C21029" w:rsidRPr="007F78CE" w:rsidRDefault="00C21029" w:rsidP="007F78CE">
            <w:pPr>
              <w:spacing w:after="0" w:line="240" w:lineRule="auto"/>
              <w:rPr>
                <w:rFonts w:ascii="Arial Narrow" w:hAnsi="Arial Narrow"/>
              </w:rPr>
            </w:pPr>
            <w:r w:rsidRPr="007F78CE">
              <w:rPr>
                <w:rFonts w:ascii="Arial Narrow" w:hAnsi="Arial Narrow"/>
              </w:rPr>
              <w:t>UCP (Spécialiste VBG</w:t>
            </w:r>
            <w:r w:rsidR="00C940D0">
              <w:rPr>
                <w:rFonts w:ascii="Arial Narrow" w:hAnsi="Arial Narrow"/>
              </w:rPr>
              <w:t>/EAS-HS</w:t>
            </w:r>
            <w:r w:rsidRPr="007F78CE">
              <w:rPr>
                <w:rFonts w:ascii="Arial Narrow" w:hAnsi="Arial Narrow"/>
              </w:rPr>
              <w:t>)</w:t>
            </w:r>
          </w:p>
        </w:tc>
      </w:tr>
      <w:tr w:rsidR="0063584D" w:rsidRPr="007F78CE" w14:paraId="2CAA2B54" w14:textId="77777777" w:rsidTr="007F78CE">
        <w:tc>
          <w:tcPr>
            <w:tcW w:w="2337" w:type="dxa"/>
            <w:vMerge/>
            <w:shd w:val="clear" w:color="auto" w:fill="auto"/>
            <w:vAlign w:val="center"/>
          </w:tcPr>
          <w:p w14:paraId="49236287" w14:textId="77777777" w:rsidR="00C21029" w:rsidRPr="007F78CE" w:rsidRDefault="00C21029" w:rsidP="007F78CE">
            <w:pPr>
              <w:spacing w:after="0" w:line="240" w:lineRule="auto"/>
              <w:rPr>
                <w:rFonts w:ascii="Arial Narrow" w:hAnsi="Arial Narrow"/>
              </w:rPr>
            </w:pPr>
          </w:p>
        </w:tc>
        <w:tc>
          <w:tcPr>
            <w:tcW w:w="2310" w:type="dxa"/>
            <w:vMerge/>
            <w:shd w:val="clear" w:color="auto" w:fill="auto"/>
            <w:vAlign w:val="center"/>
          </w:tcPr>
          <w:p w14:paraId="6D87A6A3" w14:textId="77777777" w:rsidR="00C21029" w:rsidRPr="007F78CE" w:rsidRDefault="00C21029" w:rsidP="007F78CE">
            <w:pPr>
              <w:spacing w:after="0" w:line="240" w:lineRule="auto"/>
              <w:rPr>
                <w:rFonts w:ascii="Arial Narrow" w:hAnsi="Arial Narrow"/>
              </w:rPr>
            </w:pPr>
          </w:p>
        </w:tc>
        <w:tc>
          <w:tcPr>
            <w:tcW w:w="2288" w:type="dxa"/>
            <w:shd w:val="clear" w:color="auto" w:fill="auto"/>
            <w:vAlign w:val="center"/>
          </w:tcPr>
          <w:p w14:paraId="0810B401"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 xml:space="preserve">2.2.2. </w:t>
            </w:r>
            <w:r w:rsidRPr="007F78CE">
              <w:rPr>
                <w:rFonts w:ascii="Arial Narrow" w:hAnsi="Arial Narrow"/>
              </w:rPr>
              <w:t>Validation des plans d’actions EAS/HS par l’UCP</w:t>
            </w:r>
          </w:p>
        </w:tc>
        <w:tc>
          <w:tcPr>
            <w:tcW w:w="2487" w:type="dxa"/>
            <w:vMerge/>
            <w:shd w:val="clear" w:color="auto" w:fill="auto"/>
            <w:vAlign w:val="center"/>
          </w:tcPr>
          <w:p w14:paraId="03D6365A" w14:textId="77777777" w:rsidR="00C21029" w:rsidRPr="00687DD2" w:rsidRDefault="00C21029" w:rsidP="0044500E">
            <w:pPr>
              <w:pStyle w:val="Paragraphedeliste"/>
              <w:numPr>
                <w:ilvl w:val="0"/>
                <w:numId w:val="149"/>
              </w:numPr>
              <w:spacing w:after="0" w:line="240" w:lineRule="auto"/>
              <w:ind w:hanging="360"/>
              <w:jc w:val="both"/>
              <w:rPr>
                <w:rFonts w:ascii="Arial Narrow" w:hAnsi="Arial Narrow"/>
              </w:rPr>
            </w:pPr>
          </w:p>
        </w:tc>
        <w:tc>
          <w:tcPr>
            <w:tcW w:w="2146" w:type="dxa"/>
            <w:vMerge/>
            <w:shd w:val="clear" w:color="auto" w:fill="auto"/>
          </w:tcPr>
          <w:p w14:paraId="4BEFBFB6" w14:textId="77777777" w:rsidR="00C21029" w:rsidRPr="00687DD2" w:rsidRDefault="00C21029" w:rsidP="0044500E">
            <w:pPr>
              <w:pStyle w:val="Paragraphedeliste"/>
              <w:numPr>
                <w:ilvl w:val="0"/>
                <w:numId w:val="157"/>
              </w:numPr>
              <w:spacing w:after="0" w:line="240" w:lineRule="auto"/>
              <w:jc w:val="both"/>
              <w:rPr>
                <w:rFonts w:ascii="Arial Narrow" w:hAnsi="Arial Narrow"/>
              </w:rPr>
            </w:pPr>
          </w:p>
        </w:tc>
        <w:tc>
          <w:tcPr>
            <w:tcW w:w="1839" w:type="dxa"/>
            <w:vMerge/>
            <w:shd w:val="clear" w:color="auto" w:fill="auto"/>
            <w:vAlign w:val="center"/>
          </w:tcPr>
          <w:p w14:paraId="479A789E" w14:textId="77777777" w:rsidR="00C21029" w:rsidRPr="007F78CE" w:rsidRDefault="00C21029" w:rsidP="007F78CE">
            <w:pPr>
              <w:spacing w:after="0" w:line="240" w:lineRule="auto"/>
              <w:rPr>
                <w:rFonts w:ascii="Arial Narrow" w:hAnsi="Arial Narrow"/>
              </w:rPr>
            </w:pPr>
          </w:p>
        </w:tc>
        <w:tc>
          <w:tcPr>
            <w:tcW w:w="1902" w:type="dxa"/>
            <w:vMerge/>
            <w:shd w:val="clear" w:color="auto" w:fill="auto"/>
            <w:vAlign w:val="center"/>
          </w:tcPr>
          <w:p w14:paraId="0C121487" w14:textId="77777777" w:rsidR="00C21029" w:rsidRPr="00687DD2" w:rsidRDefault="00C21029" w:rsidP="0044500E">
            <w:pPr>
              <w:pStyle w:val="Paragraphedeliste"/>
              <w:numPr>
                <w:ilvl w:val="0"/>
                <w:numId w:val="155"/>
              </w:numPr>
              <w:spacing w:after="0" w:line="240" w:lineRule="auto"/>
              <w:jc w:val="both"/>
              <w:rPr>
                <w:rFonts w:ascii="Arial Narrow" w:hAnsi="Arial Narrow"/>
              </w:rPr>
            </w:pPr>
          </w:p>
        </w:tc>
      </w:tr>
      <w:tr w:rsidR="0063584D" w:rsidRPr="007F78CE" w14:paraId="281B957B" w14:textId="77777777" w:rsidTr="007F78CE">
        <w:tc>
          <w:tcPr>
            <w:tcW w:w="2337" w:type="dxa"/>
            <w:vMerge w:val="restart"/>
            <w:shd w:val="clear" w:color="auto" w:fill="auto"/>
            <w:vAlign w:val="center"/>
          </w:tcPr>
          <w:p w14:paraId="174CF668"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 xml:space="preserve">2.3. </w:t>
            </w:r>
            <w:r w:rsidRPr="007F78CE">
              <w:rPr>
                <w:rFonts w:ascii="Arial Narrow" w:hAnsi="Arial Narrow"/>
              </w:rPr>
              <w:t>Assurer que tous les documents opérationnels du Projet disposent de mesures EAS/HS adéquates</w:t>
            </w:r>
          </w:p>
        </w:tc>
        <w:tc>
          <w:tcPr>
            <w:tcW w:w="2310" w:type="dxa"/>
            <w:vMerge w:val="restart"/>
            <w:shd w:val="clear" w:color="auto" w:fill="auto"/>
            <w:vAlign w:val="center"/>
          </w:tcPr>
          <w:p w14:paraId="7E95B2CB" w14:textId="77777777" w:rsidR="00C21029" w:rsidRPr="007F78CE" w:rsidRDefault="00C21029" w:rsidP="007F78CE">
            <w:pPr>
              <w:spacing w:after="0" w:line="240" w:lineRule="auto"/>
              <w:rPr>
                <w:rFonts w:ascii="Arial Narrow" w:hAnsi="Arial Narrow"/>
              </w:rPr>
            </w:pPr>
            <w:r w:rsidRPr="007F78CE">
              <w:rPr>
                <w:rFonts w:ascii="Arial Narrow" w:hAnsi="Arial Narrow"/>
              </w:rPr>
              <w:t>Clauses ou mesures spécifiques EAS/HS clairement définies ou représentées dans tous documents du Projet</w:t>
            </w:r>
          </w:p>
        </w:tc>
        <w:tc>
          <w:tcPr>
            <w:tcW w:w="2288" w:type="dxa"/>
            <w:shd w:val="clear" w:color="auto" w:fill="auto"/>
            <w:vAlign w:val="center"/>
          </w:tcPr>
          <w:p w14:paraId="4FF90CBB"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2.3.1</w:t>
            </w:r>
            <w:r w:rsidRPr="007F78CE">
              <w:rPr>
                <w:rFonts w:ascii="Arial Narrow" w:hAnsi="Arial Narrow"/>
              </w:rPr>
              <w:t>. Développer clairement dans le Manuel opérationnel du Projet les mesures spécifiques relatives au EAS/HS</w:t>
            </w:r>
          </w:p>
        </w:tc>
        <w:tc>
          <w:tcPr>
            <w:tcW w:w="2487" w:type="dxa"/>
            <w:shd w:val="clear" w:color="auto" w:fill="auto"/>
            <w:vAlign w:val="center"/>
          </w:tcPr>
          <w:p w14:paraId="206A4CDC" w14:textId="77777777" w:rsidR="00C21029" w:rsidRPr="007F78CE" w:rsidRDefault="00C21029" w:rsidP="007F78CE">
            <w:pPr>
              <w:spacing w:after="0" w:line="240" w:lineRule="auto"/>
              <w:rPr>
                <w:rFonts w:ascii="Arial Narrow" w:hAnsi="Arial Narrow"/>
              </w:rPr>
            </w:pPr>
            <w:r w:rsidRPr="007F78CE">
              <w:rPr>
                <w:rFonts w:ascii="Arial Narrow" w:hAnsi="Arial Narrow"/>
              </w:rPr>
              <w:t>Disponibilité de mesures ES dans tout le manuel opérationnel</w:t>
            </w:r>
          </w:p>
        </w:tc>
        <w:tc>
          <w:tcPr>
            <w:tcW w:w="2146" w:type="dxa"/>
            <w:shd w:val="clear" w:color="auto" w:fill="auto"/>
          </w:tcPr>
          <w:p w14:paraId="29134F1E" w14:textId="77777777" w:rsidR="00C21029" w:rsidRPr="007F78CE" w:rsidRDefault="00C21029" w:rsidP="007F78CE">
            <w:pPr>
              <w:spacing w:after="0" w:line="240" w:lineRule="auto"/>
              <w:rPr>
                <w:rFonts w:ascii="Arial Narrow" w:hAnsi="Arial Narrow"/>
              </w:rPr>
            </w:pPr>
            <w:r w:rsidRPr="007F78CE">
              <w:rPr>
                <w:rFonts w:ascii="Arial Narrow" w:hAnsi="Arial Narrow"/>
              </w:rPr>
              <w:t>UCP</w:t>
            </w:r>
          </w:p>
        </w:tc>
        <w:tc>
          <w:tcPr>
            <w:tcW w:w="1839" w:type="dxa"/>
            <w:shd w:val="clear" w:color="auto" w:fill="auto"/>
            <w:vAlign w:val="center"/>
          </w:tcPr>
          <w:p w14:paraId="64CEF867" w14:textId="77777777" w:rsidR="00C21029" w:rsidRPr="007F78CE" w:rsidRDefault="00C21029" w:rsidP="007F78CE">
            <w:pPr>
              <w:spacing w:after="0" w:line="240" w:lineRule="auto"/>
              <w:rPr>
                <w:rFonts w:ascii="Arial Narrow" w:hAnsi="Arial Narrow"/>
              </w:rPr>
            </w:pPr>
            <w:r w:rsidRPr="007F78CE">
              <w:rPr>
                <w:rFonts w:ascii="Arial Narrow" w:hAnsi="Arial Narrow"/>
              </w:rPr>
              <w:t>Durant la préparation et la mise à jour du Manuel opérationnel</w:t>
            </w:r>
          </w:p>
        </w:tc>
        <w:tc>
          <w:tcPr>
            <w:tcW w:w="1902" w:type="dxa"/>
            <w:shd w:val="clear" w:color="auto" w:fill="auto"/>
            <w:vAlign w:val="center"/>
          </w:tcPr>
          <w:p w14:paraId="731C84B2" w14:textId="77777777" w:rsidR="00C21029" w:rsidRPr="007F78CE" w:rsidRDefault="00C21029" w:rsidP="007F78CE">
            <w:pPr>
              <w:spacing w:after="0" w:line="240" w:lineRule="auto"/>
              <w:rPr>
                <w:rFonts w:ascii="Arial Narrow" w:hAnsi="Arial Narrow"/>
              </w:rPr>
            </w:pPr>
            <w:r w:rsidRPr="007F78CE">
              <w:rPr>
                <w:rFonts w:ascii="Arial Narrow" w:hAnsi="Arial Narrow"/>
              </w:rPr>
              <w:t>UCP (Spécialiste VBG</w:t>
            </w:r>
            <w:r w:rsidR="00C940D0">
              <w:rPr>
                <w:rFonts w:ascii="Arial Narrow" w:hAnsi="Arial Narrow"/>
              </w:rPr>
              <w:t>/EAS-HS</w:t>
            </w:r>
            <w:r w:rsidRPr="007F78CE">
              <w:rPr>
                <w:rFonts w:ascii="Arial Narrow" w:hAnsi="Arial Narrow"/>
              </w:rPr>
              <w:t>)</w:t>
            </w:r>
          </w:p>
        </w:tc>
      </w:tr>
      <w:tr w:rsidR="0063584D" w:rsidRPr="007F78CE" w14:paraId="7A517ECF" w14:textId="77777777" w:rsidTr="007F78CE">
        <w:tc>
          <w:tcPr>
            <w:tcW w:w="2337" w:type="dxa"/>
            <w:vMerge/>
            <w:shd w:val="clear" w:color="auto" w:fill="auto"/>
            <w:vAlign w:val="center"/>
          </w:tcPr>
          <w:p w14:paraId="45424A0E" w14:textId="77777777" w:rsidR="00C21029" w:rsidRPr="007F78CE" w:rsidRDefault="00C21029" w:rsidP="007F78CE">
            <w:pPr>
              <w:spacing w:after="0" w:line="240" w:lineRule="auto"/>
              <w:rPr>
                <w:rFonts w:ascii="Arial Narrow" w:hAnsi="Arial Narrow"/>
              </w:rPr>
            </w:pPr>
          </w:p>
        </w:tc>
        <w:tc>
          <w:tcPr>
            <w:tcW w:w="2310" w:type="dxa"/>
            <w:vMerge/>
            <w:shd w:val="clear" w:color="auto" w:fill="auto"/>
            <w:vAlign w:val="center"/>
          </w:tcPr>
          <w:p w14:paraId="1B1FC1AC" w14:textId="77777777" w:rsidR="00C21029" w:rsidRPr="007F78CE" w:rsidRDefault="00C21029" w:rsidP="007F78CE">
            <w:pPr>
              <w:spacing w:after="0" w:line="240" w:lineRule="auto"/>
              <w:rPr>
                <w:rFonts w:ascii="Arial Narrow" w:hAnsi="Arial Narrow"/>
              </w:rPr>
            </w:pPr>
          </w:p>
        </w:tc>
        <w:tc>
          <w:tcPr>
            <w:tcW w:w="2288" w:type="dxa"/>
            <w:shd w:val="clear" w:color="auto" w:fill="auto"/>
            <w:vAlign w:val="center"/>
          </w:tcPr>
          <w:p w14:paraId="2C559B02" w14:textId="77777777" w:rsidR="00C21029" w:rsidRPr="007F78CE" w:rsidRDefault="00C21029" w:rsidP="00ED489E">
            <w:pPr>
              <w:spacing w:after="0" w:line="240" w:lineRule="auto"/>
              <w:rPr>
                <w:rFonts w:ascii="Arial Narrow" w:hAnsi="Arial Narrow"/>
                <w:b/>
                <w:bCs/>
              </w:rPr>
            </w:pPr>
            <w:r w:rsidRPr="007F78CE">
              <w:rPr>
                <w:rFonts w:ascii="Arial Narrow" w:hAnsi="Arial Narrow"/>
                <w:b/>
                <w:bCs/>
              </w:rPr>
              <w:t xml:space="preserve">2.3.2. </w:t>
            </w:r>
            <w:r w:rsidRPr="007F78CE">
              <w:rPr>
                <w:rFonts w:ascii="Arial Narrow" w:hAnsi="Arial Narrow"/>
              </w:rPr>
              <w:t xml:space="preserve">Développer clairement dans les documents de passations de marchés du projet (TDR, DAO, Contrat…) les mesures spécifiques relatives </w:t>
            </w:r>
            <w:r w:rsidR="00ED489E">
              <w:rPr>
                <w:rFonts w:ascii="Arial Narrow" w:hAnsi="Arial Narrow"/>
              </w:rPr>
              <w:t>à l’</w:t>
            </w:r>
            <w:r w:rsidRPr="007F78CE">
              <w:rPr>
                <w:rFonts w:ascii="Arial Narrow" w:hAnsi="Arial Narrow"/>
              </w:rPr>
              <w:t>EAS/HS</w:t>
            </w:r>
          </w:p>
        </w:tc>
        <w:tc>
          <w:tcPr>
            <w:tcW w:w="2487" w:type="dxa"/>
            <w:shd w:val="clear" w:color="auto" w:fill="auto"/>
            <w:vAlign w:val="center"/>
          </w:tcPr>
          <w:p w14:paraId="6B28660E" w14:textId="77777777" w:rsidR="00C21029" w:rsidRPr="007F78CE" w:rsidRDefault="00C21029" w:rsidP="007F78CE">
            <w:pPr>
              <w:spacing w:after="0" w:line="240" w:lineRule="auto"/>
              <w:rPr>
                <w:rFonts w:ascii="Arial Narrow" w:hAnsi="Arial Narrow"/>
              </w:rPr>
            </w:pPr>
            <w:r w:rsidRPr="007F78CE">
              <w:rPr>
                <w:rFonts w:ascii="Arial Narrow" w:hAnsi="Arial Narrow"/>
              </w:rPr>
              <w:t>Disponibilité de mesure ES dans les documents de passations de marchés</w:t>
            </w:r>
          </w:p>
        </w:tc>
        <w:tc>
          <w:tcPr>
            <w:tcW w:w="2146" w:type="dxa"/>
            <w:shd w:val="clear" w:color="auto" w:fill="auto"/>
          </w:tcPr>
          <w:p w14:paraId="07E0081F" w14:textId="77777777" w:rsidR="00C21029" w:rsidRPr="00B434A6" w:rsidRDefault="00C21029" w:rsidP="007F78CE">
            <w:pPr>
              <w:keepNext/>
              <w:keepLines/>
              <w:pBdr>
                <w:bottom w:val="single" w:sz="8" w:space="1" w:color="auto"/>
              </w:pBdr>
              <w:spacing w:before="120" w:after="0" w:line="240" w:lineRule="auto"/>
              <w:jc w:val="both"/>
              <w:outlineLvl w:val="1"/>
              <w:rPr>
                <w:rFonts w:ascii="Arial Narrow" w:hAnsi="Arial Narrow"/>
              </w:rPr>
            </w:pPr>
            <w:bookmarkStart w:id="2034" w:name="_Toc124956392"/>
            <w:bookmarkStart w:id="2035" w:name="_Toc125384750"/>
            <w:bookmarkStart w:id="2036" w:name="_Toc125385140"/>
            <w:bookmarkStart w:id="2037" w:name="_Toc125402333"/>
            <w:bookmarkStart w:id="2038" w:name="_Toc126593252"/>
            <w:bookmarkStart w:id="2039" w:name="_Toc127957791"/>
            <w:r w:rsidRPr="00B434A6">
              <w:rPr>
                <w:rFonts w:ascii="Arial Narrow" w:hAnsi="Arial Narrow"/>
              </w:rPr>
              <w:t>Contractants avec le Projet</w:t>
            </w:r>
            <w:bookmarkEnd w:id="2034"/>
            <w:bookmarkEnd w:id="2035"/>
            <w:bookmarkEnd w:id="2036"/>
            <w:bookmarkEnd w:id="2037"/>
            <w:bookmarkEnd w:id="2038"/>
            <w:bookmarkEnd w:id="2039"/>
          </w:p>
          <w:p w14:paraId="38A4496E" w14:textId="77777777" w:rsidR="00C21029" w:rsidRPr="007F78CE" w:rsidRDefault="00C21029" w:rsidP="007F78CE">
            <w:pPr>
              <w:spacing w:after="0" w:line="240" w:lineRule="auto"/>
              <w:rPr>
                <w:rFonts w:ascii="Arial Narrow" w:hAnsi="Arial Narrow"/>
              </w:rPr>
            </w:pPr>
          </w:p>
        </w:tc>
        <w:tc>
          <w:tcPr>
            <w:tcW w:w="1839" w:type="dxa"/>
            <w:shd w:val="clear" w:color="auto" w:fill="auto"/>
            <w:vAlign w:val="center"/>
          </w:tcPr>
          <w:p w14:paraId="11A1D555" w14:textId="77777777" w:rsidR="00C21029" w:rsidRPr="007F78CE" w:rsidRDefault="00C21029" w:rsidP="007F78CE">
            <w:pPr>
              <w:spacing w:after="0" w:line="240" w:lineRule="auto"/>
              <w:rPr>
                <w:rFonts w:ascii="Arial Narrow" w:hAnsi="Arial Narrow"/>
              </w:rPr>
            </w:pPr>
            <w:r w:rsidRPr="007F78CE">
              <w:rPr>
                <w:rFonts w:ascii="Arial Narrow" w:hAnsi="Arial Narrow"/>
              </w:rPr>
              <w:t>Durant la préparation des documents de passations de marché</w:t>
            </w:r>
          </w:p>
        </w:tc>
        <w:tc>
          <w:tcPr>
            <w:tcW w:w="1902" w:type="dxa"/>
            <w:shd w:val="clear" w:color="auto" w:fill="auto"/>
            <w:vAlign w:val="center"/>
          </w:tcPr>
          <w:p w14:paraId="0881E597" w14:textId="77777777" w:rsidR="00C21029" w:rsidRPr="007F78CE" w:rsidRDefault="00C21029" w:rsidP="007F78CE">
            <w:pPr>
              <w:spacing w:after="0" w:line="240" w:lineRule="auto"/>
              <w:rPr>
                <w:rFonts w:ascii="Arial Narrow" w:hAnsi="Arial Narrow"/>
              </w:rPr>
            </w:pPr>
            <w:r w:rsidRPr="007F78CE">
              <w:rPr>
                <w:rFonts w:ascii="Arial Narrow" w:hAnsi="Arial Narrow"/>
              </w:rPr>
              <w:t>UCP (Spécialiste VBG</w:t>
            </w:r>
            <w:r w:rsidR="00C940D0">
              <w:rPr>
                <w:rFonts w:ascii="Arial Narrow" w:hAnsi="Arial Narrow"/>
              </w:rPr>
              <w:t>/EAS-HS</w:t>
            </w:r>
            <w:r w:rsidRPr="007F78CE">
              <w:rPr>
                <w:rFonts w:ascii="Arial Narrow" w:hAnsi="Arial Narrow"/>
              </w:rPr>
              <w:t xml:space="preserve">) Responsable passation de marché </w:t>
            </w:r>
          </w:p>
        </w:tc>
      </w:tr>
      <w:tr w:rsidR="0063584D" w:rsidRPr="007F78CE" w14:paraId="11DB16BF" w14:textId="77777777" w:rsidTr="007F78CE">
        <w:tc>
          <w:tcPr>
            <w:tcW w:w="2337" w:type="dxa"/>
            <w:vMerge/>
            <w:shd w:val="clear" w:color="auto" w:fill="auto"/>
            <w:vAlign w:val="center"/>
          </w:tcPr>
          <w:p w14:paraId="237ACACE" w14:textId="77777777" w:rsidR="00C21029" w:rsidRPr="007F78CE" w:rsidRDefault="00C21029" w:rsidP="007F78CE">
            <w:pPr>
              <w:spacing w:after="0" w:line="240" w:lineRule="auto"/>
              <w:rPr>
                <w:rFonts w:ascii="Arial Narrow" w:hAnsi="Arial Narrow"/>
              </w:rPr>
            </w:pPr>
          </w:p>
        </w:tc>
        <w:tc>
          <w:tcPr>
            <w:tcW w:w="2310" w:type="dxa"/>
            <w:vMerge/>
            <w:shd w:val="clear" w:color="auto" w:fill="auto"/>
            <w:vAlign w:val="center"/>
          </w:tcPr>
          <w:p w14:paraId="38C30133" w14:textId="77777777" w:rsidR="00C21029" w:rsidRPr="007F78CE" w:rsidRDefault="00C21029" w:rsidP="007F78CE">
            <w:pPr>
              <w:spacing w:after="0" w:line="240" w:lineRule="auto"/>
              <w:rPr>
                <w:rFonts w:ascii="Arial Narrow" w:hAnsi="Arial Narrow"/>
              </w:rPr>
            </w:pPr>
          </w:p>
        </w:tc>
        <w:tc>
          <w:tcPr>
            <w:tcW w:w="2288" w:type="dxa"/>
            <w:shd w:val="clear" w:color="auto" w:fill="auto"/>
            <w:vAlign w:val="center"/>
          </w:tcPr>
          <w:p w14:paraId="2C11DC7E" w14:textId="77777777" w:rsidR="00C21029" w:rsidRPr="007F78CE" w:rsidRDefault="00C21029" w:rsidP="00ED489E">
            <w:pPr>
              <w:spacing w:after="0" w:line="240" w:lineRule="auto"/>
              <w:rPr>
                <w:rFonts w:ascii="Arial Narrow" w:hAnsi="Arial Narrow"/>
                <w:b/>
                <w:bCs/>
              </w:rPr>
            </w:pPr>
            <w:r w:rsidRPr="007F78CE">
              <w:rPr>
                <w:rFonts w:ascii="Arial Narrow" w:hAnsi="Arial Narrow"/>
                <w:b/>
                <w:bCs/>
              </w:rPr>
              <w:t xml:space="preserve">2.3.3. </w:t>
            </w:r>
            <w:r w:rsidRPr="007F78CE">
              <w:rPr>
                <w:rFonts w:ascii="Arial Narrow" w:hAnsi="Arial Narrow"/>
              </w:rPr>
              <w:t xml:space="preserve">Développer clairement dans les PTBA  du Projet des activités spécifiques relatives </w:t>
            </w:r>
            <w:r w:rsidR="00ED489E">
              <w:rPr>
                <w:rFonts w:ascii="Arial Narrow" w:hAnsi="Arial Narrow"/>
              </w:rPr>
              <w:t>à</w:t>
            </w:r>
            <w:r w:rsidRPr="007F78CE">
              <w:rPr>
                <w:rFonts w:ascii="Arial Narrow" w:hAnsi="Arial Narrow"/>
              </w:rPr>
              <w:t xml:space="preserve"> </w:t>
            </w:r>
            <w:r w:rsidR="00ED489E">
              <w:rPr>
                <w:rFonts w:ascii="Arial Narrow" w:hAnsi="Arial Narrow"/>
              </w:rPr>
              <w:t>l’</w:t>
            </w:r>
            <w:r w:rsidRPr="007F78CE">
              <w:rPr>
                <w:rFonts w:ascii="Arial Narrow" w:hAnsi="Arial Narrow"/>
              </w:rPr>
              <w:t>EAS/HS</w:t>
            </w:r>
          </w:p>
        </w:tc>
        <w:tc>
          <w:tcPr>
            <w:tcW w:w="2487" w:type="dxa"/>
            <w:shd w:val="clear" w:color="auto" w:fill="auto"/>
            <w:vAlign w:val="center"/>
          </w:tcPr>
          <w:p w14:paraId="444494E1" w14:textId="77777777" w:rsidR="00C21029" w:rsidRPr="007F78CE" w:rsidRDefault="00C21029" w:rsidP="007F78CE">
            <w:pPr>
              <w:spacing w:after="0" w:line="240" w:lineRule="auto"/>
              <w:rPr>
                <w:rFonts w:ascii="Arial Narrow" w:hAnsi="Arial Narrow"/>
              </w:rPr>
            </w:pPr>
            <w:r w:rsidRPr="007F78CE">
              <w:rPr>
                <w:rFonts w:ascii="Arial Narrow" w:hAnsi="Arial Narrow"/>
              </w:rPr>
              <w:t>Disponibilité de mesures ES dans les PTBA</w:t>
            </w:r>
          </w:p>
        </w:tc>
        <w:tc>
          <w:tcPr>
            <w:tcW w:w="2146" w:type="dxa"/>
            <w:shd w:val="clear" w:color="auto" w:fill="auto"/>
          </w:tcPr>
          <w:p w14:paraId="1610640B" w14:textId="77777777" w:rsidR="00C21029" w:rsidRPr="007F78CE" w:rsidRDefault="00C21029" w:rsidP="007F78CE">
            <w:pPr>
              <w:spacing w:after="0" w:line="240" w:lineRule="auto"/>
              <w:rPr>
                <w:rFonts w:ascii="Arial Narrow" w:hAnsi="Arial Narrow"/>
              </w:rPr>
            </w:pPr>
            <w:r w:rsidRPr="007F78CE">
              <w:rPr>
                <w:rFonts w:ascii="Arial Narrow" w:hAnsi="Arial Narrow"/>
              </w:rPr>
              <w:t>UCP</w:t>
            </w:r>
          </w:p>
          <w:p w14:paraId="0DDAA77B" w14:textId="77777777" w:rsidR="00C21029" w:rsidRPr="007F78CE" w:rsidRDefault="00C21029" w:rsidP="007F78CE">
            <w:pPr>
              <w:spacing w:after="0" w:line="240" w:lineRule="auto"/>
              <w:rPr>
                <w:rFonts w:ascii="Arial Narrow" w:hAnsi="Arial Narrow"/>
              </w:rPr>
            </w:pPr>
          </w:p>
        </w:tc>
        <w:tc>
          <w:tcPr>
            <w:tcW w:w="1839" w:type="dxa"/>
            <w:shd w:val="clear" w:color="auto" w:fill="auto"/>
            <w:vAlign w:val="center"/>
          </w:tcPr>
          <w:p w14:paraId="1857D6FA" w14:textId="77777777" w:rsidR="00C21029" w:rsidRPr="007F78CE" w:rsidRDefault="00C21029" w:rsidP="007F78CE">
            <w:pPr>
              <w:spacing w:after="0" w:line="240" w:lineRule="auto"/>
              <w:rPr>
                <w:rFonts w:ascii="Arial Narrow" w:hAnsi="Arial Narrow"/>
              </w:rPr>
            </w:pPr>
            <w:r w:rsidRPr="007F78CE">
              <w:rPr>
                <w:rFonts w:ascii="Arial Narrow" w:hAnsi="Arial Narrow"/>
              </w:rPr>
              <w:t>Durant la préparation du PTBA</w:t>
            </w:r>
          </w:p>
        </w:tc>
        <w:tc>
          <w:tcPr>
            <w:tcW w:w="1902" w:type="dxa"/>
            <w:shd w:val="clear" w:color="auto" w:fill="auto"/>
            <w:vAlign w:val="center"/>
          </w:tcPr>
          <w:p w14:paraId="7CDEFE9F" w14:textId="77777777" w:rsidR="00C21029" w:rsidRPr="007F78CE" w:rsidRDefault="00C21029" w:rsidP="007F78CE">
            <w:pPr>
              <w:spacing w:after="0" w:line="240" w:lineRule="auto"/>
              <w:rPr>
                <w:rFonts w:ascii="Arial Narrow" w:hAnsi="Arial Narrow"/>
              </w:rPr>
            </w:pPr>
            <w:r w:rsidRPr="007F78CE">
              <w:rPr>
                <w:rFonts w:ascii="Arial Narrow" w:hAnsi="Arial Narrow"/>
              </w:rPr>
              <w:t>UCP (Spécialiste VBG</w:t>
            </w:r>
            <w:r w:rsidR="00C940D0">
              <w:rPr>
                <w:rFonts w:ascii="Arial Narrow" w:hAnsi="Arial Narrow"/>
              </w:rPr>
              <w:t>/EAS-HS</w:t>
            </w:r>
            <w:r w:rsidRPr="007F78CE">
              <w:rPr>
                <w:rFonts w:ascii="Arial Narrow" w:hAnsi="Arial Narrow"/>
              </w:rPr>
              <w:t xml:space="preserve">) </w:t>
            </w:r>
          </w:p>
        </w:tc>
      </w:tr>
      <w:tr w:rsidR="0063584D" w:rsidRPr="007F78CE" w14:paraId="113BBF26" w14:textId="77777777" w:rsidTr="007F78CE">
        <w:tc>
          <w:tcPr>
            <w:tcW w:w="2337" w:type="dxa"/>
            <w:vMerge/>
            <w:shd w:val="clear" w:color="auto" w:fill="auto"/>
            <w:vAlign w:val="center"/>
          </w:tcPr>
          <w:p w14:paraId="1D044FF7" w14:textId="77777777" w:rsidR="00C21029" w:rsidRPr="007F78CE" w:rsidRDefault="00C21029" w:rsidP="007F78CE">
            <w:pPr>
              <w:spacing w:after="0" w:line="240" w:lineRule="auto"/>
              <w:rPr>
                <w:rFonts w:ascii="Arial Narrow" w:hAnsi="Arial Narrow"/>
              </w:rPr>
            </w:pPr>
          </w:p>
        </w:tc>
        <w:tc>
          <w:tcPr>
            <w:tcW w:w="2310" w:type="dxa"/>
            <w:vMerge/>
            <w:shd w:val="clear" w:color="auto" w:fill="auto"/>
            <w:vAlign w:val="center"/>
          </w:tcPr>
          <w:p w14:paraId="497C8182" w14:textId="77777777" w:rsidR="00C21029" w:rsidRPr="007F78CE" w:rsidRDefault="00C21029" w:rsidP="007F78CE">
            <w:pPr>
              <w:spacing w:after="0" w:line="240" w:lineRule="auto"/>
              <w:rPr>
                <w:rFonts w:ascii="Arial Narrow" w:hAnsi="Arial Narrow"/>
              </w:rPr>
            </w:pPr>
          </w:p>
        </w:tc>
        <w:tc>
          <w:tcPr>
            <w:tcW w:w="2288" w:type="dxa"/>
            <w:shd w:val="clear" w:color="auto" w:fill="auto"/>
            <w:vAlign w:val="center"/>
          </w:tcPr>
          <w:p w14:paraId="48813CB5"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 xml:space="preserve">2.3.4. </w:t>
            </w:r>
            <w:r w:rsidRPr="007F78CE">
              <w:rPr>
                <w:rFonts w:ascii="Arial Narrow" w:hAnsi="Arial Narrow"/>
              </w:rPr>
              <w:t>Développer clairement dans les rapports périodiques du Projet la mise en œuvre des activités/mesures spécifiques relatives au EAS/HS</w:t>
            </w:r>
          </w:p>
        </w:tc>
        <w:tc>
          <w:tcPr>
            <w:tcW w:w="2487" w:type="dxa"/>
            <w:shd w:val="clear" w:color="auto" w:fill="auto"/>
            <w:vAlign w:val="center"/>
          </w:tcPr>
          <w:p w14:paraId="2102B57C" w14:textId="77777777" w:rsidR="00C21029" w:rsidRPr="007F78CE" w:rsidRDefault="00C21029" w:rsidP="007F78CE">
            <w:pPr>
              <w:spacing w:after="0" w:line="240" w:lineRule="auto"/>
              <w:rPr>
                <w:rFonts w:ascii="Arial Narrow" w:hAnsi="Arial Narrow"/>
              </w:rPr>
            </w:pPr>
            <w:r w:rsidRPr="007F78CE">
              <w:rPr>
                <w:rFonts w:ascii="Arial Narrow" w:hAnsi="Arial Narrow"/>
              </w:rPr>
              <w:t>Disponibilité de rapport de mise en œuvre des mesures E&amp;S dans les rapports périodiques du Projet</w:t>
            </w:r>
          </w:p>
        </w:tc>
        <w:tc>
          <w:tcPr>
            <w:tcW w:w="2146" w:type="dxa"/>
            <w:shd w:val="clear" w:color="auto" w:fill="auto"/>
          </w:tcPr>
          <w:p w14:paraId="7FF925B1" w14:textId="77777777" w:rsidR="00C21029" w:rsidRPr="00687DD2" w:rsidRDefault="00C21029" w:rsidP="0044500E">
            <w:pPr>
              <w:pStyle w:val="Paragraphedeliste"/>
              <w:numPr>
                <w:ilvl w:val="0"/>
                <w:numId w:val="158"/>
              </w:numPr>
              <w:spacing w:after="0" w:line="240" w:lineRule="auto"/>
              <w:jc w:val="both"/>
              <w:rPr>
                <w:rFonts w:ascii="Arial Narrow" w:hAnsi="Arial Narrow"/>
              </w:rPr>
            </w:pPr>
            <w:r w:rsidRPr="00687DD2">
              <w:rPr>
                <w:rFonts w:ascii="Arial Narrow" w:hAnsi="Arial Narrow"/>
              </w:rPr>
              <w:t>UCP</w:t>
            </w:r>
          </w:p>
          <w:p w14:paraId="1427FABA" w14:textId="77777777" w:rsidR="00C21029" w:rsidRPr="00687DD2" w:rsidRDefault="00C21029" w:rsidP="0044500E">
            <w:pPr>
              <w:pStyle w:val="Paragraphedeliste"/>
              <w:numPr>
                <w:ilvl w:val="0"/>
                <w:numId w:val="158"/>
              </w:numPr>
              <w:spacing w:after="0" w:line="240" w:lineRule="auto"/>
              <w:jc w:val="both"/>
              <w:rPr>
                <w:rFonts w:ascii="Arial Narrow" w:hAnsi="Arial Narrow"/>
              </w:rPr>
            </w:pPr>
            <w:r w:rsidRPr="00687DD2">
              <w:rPr>
                <w:rFonts w:ascii="Arial Narrow" w:hAnsi="Arial Narrow"/>
              </w:rPr>
              <w:t>Entreprises</w:t>
            </w:r>
          </w:p>
          <w:p w14:paraId="5CCA7C1F" w14:textId="77777777" w:rsidR="00C21029" w:rsidRPr="00687DD2" w:rsidRDefault="00C21029" w:rsidP="0044500E">
            <w:pPr>
              <w:pStyle w:val="Paragraphedeliste"/>
              <w:numPr>
                <w:ilvl w:val="0"/>
                <w:numId w:val="158"/>
              </w:numPr>
              <w:spacing w:after="0" w:line="240" w:lineRule="auto"/>
              <w:jc w:val="both"/>
              <w:rPr>
                <w:rFonts w:ascii="Arial Narrow" w:hAnsi="Arial Narrow"/>
              </w:rPr>
            </w:pPr>
            <w:r w:rsidRPr="00687DD2">
              <w:rPr>
                <w:rFonts w:ascii="Arial Narrow" w:hAnsi="Arial Narrow"/>
              </w:rPr>
              <w:t>Mission de contrôle</w:t>
            </w:r>
          </w:p>
        </w:tc>
        <w:tc>
          <w:tcPr>
            <w:tcW w:w="1839" w:type="dxa"/>
            <w:shd w:val="clear" w:color="auto" w:fill="auto"/>
            <w:vAlign w:val="center"/>
          </w:tcPr>
          <w:p w14:paraId="5F08A733" w14:textId="77777777" w:rsidR="00C21029" w:rsidRPr="007F78CE" w:rsidRDefault="00C21029" w:rsidP="007F78CE">
            <w:pPr>
              <w:spacing w:after="0" w:line="240" w:lineRule="auto"/>
              <w:rPr>
                <w:rFonts w:ascii="Arial Narrow" w:hAnsi="Arial Narrow"/>
              </w:rPr>
            </w:pPr>
            <w:r w:rsidRPr="007F78CE">
              <w:rPr>
                <w:rFonts w:ascii="Arial Narrow" w:hAnsi="Arial Narrow"/>
              </w:rPr>
              <w:t>Durant l’élaboration des rapports</w:t>
            </w:r>
          </w:p>
        </w:tc>
        <w:tc>
          <w:tcPr>
            <w:tcW w:w="1902" w:type="dxa"/>
            <w:shd w:val="clear" w:color="auto" w:fill="auto"/>
            <w:vAlign w:val="center"/>
          </w:tcPr>
          <w:p w14:paraId="6A03259E" w14:textId="77777777" w:rsidR="00C21029" w:rsidRPr="0063584D" w:rsidRDefault="00C21029" w:rsidP="007F78CE">
            <w:pPr>
              <w:spacing w:after="0" w:line="240" w:lineRule="auto"/>
              <w:rPr>
                <w:rFonts w:ascii="Arial Narrow" w:hAnsi="Arial Narrow"/>
              </w:rPr>
            </w:pPr>
            <w:r w:rsidRPr="007F78CE">
              <w:rPr>
                <w:rFonts w:ascii="Arial Narrow" w:hAnsi="Arial Narrow"/>
              </w:rPr>
              <w:t>UCP (Spécialiste VBG</w:t>
            </w:r>
            <w:r w:rsidR="00C940D0">
              <w:rPr>
                <w:rFonts w:ascii="Arial Narrow" w:hAnsi="Arial Narrow"/>
              </w:rPr>
              <w:t>/EAS-HS</w:t>
            </w:r>
            <w:r w:rsidRPr="007F78CE">
              <w:rPr>
                <w:rFonts w:ascii="Arial Narrow" w:hAnsi="Arial Narrow"/>
              </w:rPr>
              <w:t xml:space="preserve">) </w:t>
            </w:r>
            <w:r w:rsidRPr="0063584D">
              <w:rPr>
                <w:rFonts w:ascii="Arial Narrow" w:hAnsi="Arial Narrow"/>
              </w:rPr>
              <w:t>Responsable HSE de l’entreprise</w:t>
            </w:r>
          </w:p>
          <w:p w14:paraId="15C7134A" w14:textId="77777777" w:rsidR="00C21029" w:rsidRPr="007F78CE" w:rsidRDefault="00C21029" w:rsidP="007F78CE">
            <w:pPr>
              <w:spacing w:after="0" w:line="240" w:lineRule="auto"/>
              <w:rPr>
                <w:rFonts w:ascii="Arial Narrow" w:hAnsi="Arial Narrow"/>
              </w:rPr>
            </w:pPr>
            <w:r w:rsidRPr="0063584D">
              <w:rPr>
                <w:rFonts w:ascii="Arial Narrow" w:hAnsi="Arial Narrow"/>
              </w:rPr>
              <w:t>Responsable E&amp;S de la Mission de contrôle</w:t>
            </w:r>
          </w:p>
        </w:tc>
      </w:tr>
      <w:tr w:rsidR="0063584D" w:rsidRPr="007F78CE" w14:paraId="24CEDB6E" w14:textId="77777777" w:rsidTr="007F78CE">
        <w:tc>
          <w:tcPr>
            <w:tcW w:w="2337" w:type="dxa"/>
            <w:vMerge w:val="restart"/>
            <w:shd w:val="clear" w:color="auto" w:fill="auto"/>
            <w:vAlign w:val="center"/>
          </w:tcPr>
          <w:p w14:paraId="3C20D04C"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2.4.</w:t>
            </w:r>
            <w:r w:rsidRPr="007F78CE">
              <w:rPr>
                <w:rFonts w:ascii="Arial Narrow" w:hAnsi="Arial Narrow"/>
              </w:rPr>
              <w:t xml:space="preserve"> Assurer que les travailleurs du Projet et les riverains soient informés sur les risques de VBG et les mesures d'atténuation spécifiques liées à l’EAS/SH qui seront mises en œuvre pendant la durée de vie du Projet</w:t>
            </w:r>
          </w:p>
        </w:tc>
        <w:tc>
          <w:tcPr>
            <w:tcW w:w="2310" w:type="dxa"/>
            <w:vMerge w:val="restart"/>
            <w:shd w:val="clear" w:color="auto" w:fill="auto"/>
            <w:vAlign w:val="center"/>
          </w:tcPr>
          <w:p w14:paraId="51E3D5FD" w14:textId="77777777" w:rsidR="00C21029" w:rsidRPr="007F78CE" w:rsidRDefault="00C21029" w:rsidP="007F78CE">
            <w:pPr>
              <w:spacing w:after="0" w:line="240" w:lineRule="auto"/>
              <w:rPr>
                <w:rFonts w:ascii="Arial Narrow" w:hAnsi="Arial Narrow"/>
              </w:rPr>
            </w:pPr>
            <w:r w:rsidRPr="007F78CE">
              <w:rPr>
                <w:rFonts w:ascii="Arial Narrow" w:hAnsi="Arial Narrow"/>
              </w:rPr>
              <w:t>Les entreprises, la Mission de contrôle, les autres partenaires ainsi que les riverains sont informés et sensibilisés</w:t>
            </w:r>
          </w:p>
        </w:tc>
        <w:tc>
          <w:tcPr>
            <w:tcW w:w="2288" w:type="dxa"/>
            <w:shd w:val="clear" w:color="auto" w:fill="auto"/>
            <w:vAlign w:val="center"/>
          </w:tcPr>
          <w:p w14:paraId="2C9537B5"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2.4.1.</w:t>
            </w:r>
            <w:r w:rsidRPr="007F78CE">
              <w:rPr>
                <w:rFonts w:ascii="Arial Narrow" w:hAnsi="Arial Narrow"/>
              </w:rPr>
              <w:t xml:space="preserve"> Organisation de sessions régulières d’information et de sensibilisation sur le Code de conduite, MGP, - les mesures de rapport et de réponse du MGP, les procédures de signalement d’une violation du code de conduite et services VBG disponibles </w:t>
            </w:r>
          </w:p>
        </w:tc>
        <w:tc>
          <w:tcPr>
            <w:tcW w:w="2487" w:type="dxa"/>
            <w:shd w:val="clear" w:color="auto" w:fill="auto"/>
            <w:vAlign w:val="center"/>
          </w:tcPr>
          <w:p w14:paraId="7386EAB3" w14:textId="77777777" w:rsidR="00C21029" w:rsidRPr="007F78CE" w:rsidRDefault="00C21029" w:rsidP="007F78CE">
            <w:pPr>
              <w:spacing w:after="0" w:line="240" w:lineRule="auto"/>
              <w:rPr>
                <w:rFonts w:ascii="Arial Narrow" w:hAnsi="Arial Narrow"/>
              </w:rPr>
            </w:pPr>
            <w:r w:rsidRPr="007F78CE">
              <w:rPr>
                <w:rFonts w:ascii="Arial Narrow" w:hAnsi="Arial Narrow"/>
              </w:rPr>
              <w:t>Pourcentage de travailleurs ayant participé à la formation sur le Code de conduite</w:t>
            </w:r>
          </w:p>
          <w:p w14:paraId="19E6CDF7" w14:textId="77777777" w:rsidR="00C21029" w:rsidRPr="007F78CE" w:rsidRDefault="00C21029" w:rsidP="007F78CE">
            <w:pPr>
              <w:spacing w:after="0" w:line="240" w:lineRule="auto"/>
              <w:rPr>
                <w:rFonts w:ascii="Arial Narrow" w:hAnsi="Arial Narrow"/>
              </w:rPr>
            </w:pPr>
          </w:p>
          <w:p w14:paraId="467836CD" w14:textId="77777777" w:rsidR="00C21029" w:rsidRPr="007F78CE" w:rsidRDefault="00C21029" w:rsidP="007F78CE">
            <w:pPr>
              <w:spacing w:after="0" w:line="240" w:lineRule="auto"/>
              <w:rPr>
                <w:rFonts w:ascii="Arial Narrow" w:hAnsi="Arial Narrow"/>
              </w:rPr>
            </w:pPr>
            <w:r w:rsidRPr="007F78CE">
              <w:rPr>
                <w:rFonts w:ascii="Arial Narrow" w:hAnsi="Arial Narrow"/>
              </w:rPr>
              <w:t xml:space="preserve">Disponibilité de Guide en termes de rapportage, de politique de confidentialité, de services disponibles et de protection contre la victimisation. </w:t>
            </w:r>
          </w:p>
        </w:tc>
        <w:tc>
          <w:tcPr>
            <w:tcW w:w="2146" w:type="dxa"/>
            <w:shd w:val="clear" w:color="auto" w:fill="auto"/>
          </w:tcPr>
          <w:p w14:paraId="0CDB278C" w14:textId="77777777" w:rsidR="00C21029" w:rsidRPr="007F78CE" w:rsidRDefault="00C21029" w:rsidP="007F78CE">
            <w:pPr>
              <w:spacing w:after="0" w:line="240" w:lineRule="auto"/>
              <w:rPr>
                <w:rFonts w:ascii="Arial Narrow" w:hAnsi="Arial Narrow"/>
              </w:rPr>
            </w:pPr>
          </w:p>
          <w:p w14:paraId="4E88EDDD" w14:textId="77777777" w:rsidR="00C21029" w:rsidRPr="007F78CE" w:rsidRDefault="00C21029" w:rsidP="007F78CE">
            <w:pPr>
              <w:spacing w:after="0" w:line="240" w:lineRule="auto"/>
              <w:rPr>
                <w:rFonts w:ascii="Arial Narrow" w:hAnsi="Arial Narrow"/>
              </w:rPr>
            </w:pPr>
            <w:r w:rsidRPr="007F78CE">
              <w:rPr>
                <w:rFonts w:ascii="Arial Narrow" w:hAnsi="Arial Narrow"/>
              </w:rPr>
              <w:t xml:space="preserve">Entreprises, </w:t>
            </w:r>
          </w:p>
          <w:p w14:paraId="761A267A" w14:textId="77777777" w:rsidR="00C21029" w:rsidRPr="007F78CE" w:rsidRDefault="00C21029" w:rsidP="007F78CE">
            <w:pPr>
              <w:spacing w:after="0" w:line="240" w:lineRule="auto"/>
              <w:rPr>
                <w:rFonts w:ascii="Arial Narrow" w:hAnsi="Arial Narrow"/>
              </w:rPr>
            </w:pPr>
          </w:p>
          <w:p w14:paraId="64430570" w14:textId="77777777" w:rsidR="00C21029" w:rsidRPr="007F78CE" w:rsidRDefault="00C21029" w:rsidP="007F78CE">
            <w:pPr>
              <w:spacing w:after="0" w:line="240" w:lineRule="auto"/>
              <w:rPr>
                <w:rFonts w:ascii="Arial Narrow" w:hAnsi="Arial Narrow"/>
              </w:rPr>
            </w:pPr>
            <w:r w:rsidRPr="007F78CE">
              <w:rPr>
                <w:rFonts w:ascii="Arial Narrow" w:hAnsi="Arial Narrow"/>
              </w:rPr>
              <w:t xml:space="preserve">la Mission de contrôle, </w:t>
            </w:r>
          </w:p>
          <w:p w14:paraId="7A3481E9" w14:textId="77777777" w:rsidR="00C21029" w:rsidRPr="007F78CE" w:rsidRDefault="00C21029" w:rsidP="007F78CE">
            <w:pPr>
              <w:spacing w:after="0" w:line="240" w:lineRule="auto"/>
              <w:rPr>
                <w:rFonts w:ascii="Arial Narrow" w:hAnsi="Arial Narrow"/>
              </w:rPr>
            </w:pPr>
          </w:p>
          <w:p w14:paraId="4B68BAE2" w14:textId="77777777" w:rsidR="00C21029" w:rsidRPr="007F78CE" w:rsidRDefault="00C21029" w:rsidP="007F78CE">
            <w:pPr>
              <w:spacing w:after="0" w:line="240" w:lineRule="auto"/>
              <w:rPr>
                <w:rFonts w:ascii="Arial Narrow" w:hAnsi="Arial Narrow"/>
              </w:rPr>
            </w:pPr>
            <w:r w:rsidRPr="007F78CE">
              <w:rPr>
                <w:rFonts w:ascii="Arial Narrow" w:hAnsi="Arial Narrow"/>
              </w:rPr>
              <w:t>les autres partenaires</w:t>
            </w:r>
          </w:p>
        </w:tc>
        <w:tc>
          <w:tcPr>
            <w:tcW w:w="1839" w:type="dxa"/>
            <w:shd w:val="clear" w:color="auto" w:fill="auto"/>
            <w:vAlign w:val="center"/>
          </w:tcPr>
          <w:p w14:paraId="0BD65808" w14:textId="77777777" w:rsidR="00C21029" w:rsidRPr="007F78CE" w:rsidRDefault="00C21029" w:rsidP="007F78CE">
            <w:pPr>
              <w:spacing w:after="0" w:line="240" w:lineRule="auto"/>
              <w:rPr>
                <w:rFonts w:ascii="Arial Narrow" w:hAnsi="Arial Narrow"/>
              </w:rPr>
            </w:pPr>
            <w:r w:rsidRPr="007F78CE">
              <w:rPr>
                <w:rFonts w:ascii="Arial Narrow" w:hAnsi="Arial Narrow"/>
              </w:rPr>
              <w:t>A débuter au démarrage des travaux et à poursuivre le long de la mise en œuvre du Projet</w:t>
            </w:r>
          </w:p>
        </w:tc>
        <w:tc>
          <w:tcPr>
            <w:tcW w:w="1902" w:type="dxa"/>
            <w:vMerge w:val="restart"/>
            <w:shd w:val="clear" w:color="auto" w:fill="auto"/>
            <w:vAlign w:val="center"/>
          </w:tcPr>
          <w:p w14:paraId="38FBDBE9" w14:textId="77777777" w:rsidR="00C21029" w:rsidRPr="007F78CE" w:rsidRDefault="00C21029" w:rsidP="007F78CE">
            <w:pPr>
              <w:spacing w:after="0" w:line="240" w:lineRule="auto"/>
              <w:rPr>
                <w:rFonts w:ascii="Arial Narrow" w:hAnsi="Arial Narrow"/>
              </w:rPr>
            </w:pPr>
            <w:r w:rsidRPr="007F78CE">
              <w:rPr>
                <w:rFonts w:ascii="Arial Narrow" w:hAnsi="Arial Narrow"/>
              </w:rPr>
              <w:t xml:space="preserve">Prestataire de services </w:t>
            </w:r>
          </w:p>
          <w:p w14:paraId="31304B8B" w14:textId="77777777" w:rsidR="00C21029" w:rsidRPr="007F78CE" w:rsidRDefault="00C21029" w:rsidP="007F78CE">
            <w:pPr>
              <w:spacing w:after="0" w:line="240" w:lineRule="auto"/>
              <w:rPr>
                <w:rFonts w:ascii="Arial Narrow" w:hAnsi="Arial Narrow"/>
              </w:rPr>
            </w:pPr>
            <w:r w:rsidRPr="007F78CE">
              <w:rPr>
                <w:rFonts w:ascii="Arial Narrow" w:hAnsi="Arial Narrow"/>
              </w:rPr>
              <w:t>UCP (Spécialiste VBG</w:t>
            </w:r>
            <w:r w:rsidR="00C940D0">
              <w:rPr>
                <w:rFonts w:ascii="Arial Narrow" w:hAnsi="Arial Narrow"/>
              </w:rPr>
              <w:t>/EAS-HS</w:t>
            </w:r>
            <w:r w:rsidRPr="007F78CE">
              <w:rPr>
                <w:rFonts w:ascii="Arial Narrow" w:hAnsi="Arial Narrow"/>
              </w:rPr>
              <w:t xml:space="preserve">) </w:t>
            </w:r>
          </w:p>
        </w:tc>
      </w:tr>
      <w:tr w:rsidR="0063584D" w:rsidRPr="007F78CE" w14:paraId="625E26B1" w14:textId="77777777" w:rsidTr="007F78CE">
        <w:tc>
          <w:tcPr>
            <w:tcW w:w="2337" w:type="dxa"/>
            <w:vMerge/>
            <w:shd w:val="clear" w:color="auto" w:fill="auto"/>
            <w:vAlign w:val="center"/>
          </w:tcPr>
          <w:p w14:paraId="2EC4CCD3" w14:textId="77777777" w:rsidR="00C21029" w:rsidRPr="007F78CE" w:rsidRDefault="00C21029" w:rsidP="007F78CE">
            <w:pPr>
              <w:spacing w:after="0" w:line="240" w:lineRule="auto"/>
              <w:rPr>
                <w:rFonts w:ascii="Arial Narrow" w:hAnsi="Arial Narrow"/>
              </w:rPr>
            </w:pPr>
          </w:p>
        </w:tc>
        <w:tc>
          <w:tcPr>
            <w:tcW w:w="2310" w:type="dxa"/>
            <w:vMerge/>
            <w:shd w:val="clear" w:color="auto" w:fill="auto"/>
            <w:vAlign w:val="center"/>
          </w:tcPr>
          <w:p w14:paraId="4EF28787" w14:textId="77777777" w:rsidR="00C21029" w:rsidRPr="007F78CE" w:rsidRDefault="00C21029" w:rsidP="007F78CE">
            <w:pPr>
              <w:spacing w:after="0" w:line="240" w:lineRule="auto"/>
              <w:rPr>
                <w:rFonts w:ascii="Arial Narrow" w:hAnsi="Arial Narrow"/>
              </w:rPr>
            </w:pPr>
          </w:p>
        </w:tc>
        <w:tc>
          <w:tcPr>
            <w:tcW w:w="2288" w:type="dxa"/>
            <w:shd w:val="clear" w:color="auto" w:fill="auto"/>
          </w:tcPr>
          <w:p w14:paraId="49462DD2"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2.4.2.</w:t>
            </w:r>
            <w:r w:rsidRPr="007F78CE">
              <w:rPr>
                <w:rFonts w:ascii="Arial Narrow" w:hAnsi="Arial Narrow"/>
              </w:rPr>
              <w:t xml:space="preserve"> Mise en place des outils d’information permanente et visible dans les chantiers </w:t>
            </w:r>
          </w:p>
        </w:tc>
        <w:tc>
          <w:tcPr>
            <w:tcW w:w="2487" w:type="dxa"/>
            <w:shd w:val="clear" w:color="auto" w:fill="auto"/>
            <w:vAlign w:val="center"/>
          </w:tcPr>
          <w:p w14:paraId="24589AB9" w14:textId="77777777" w:rsidR="00C21029" w:rsidRPr="007F78CE" w:rsidRDefault="00C21029" w:rsidP="007F78CE">
            <w:pPr>
              <w:spacing w:after="0" w:line="240" w:lineRule="auto"/>
              <w:rPr>
                <w:rFonts w:ascii="Arial Narrow" w:hAnsi="Arial Narrow"/>
              </w:rPr>
            </w:pPr>
            <w:r w:rsidRPr="007F78CE">
              <w:rPr>
                <w:rFonts w:ascii="Arial Narrow" w:hAnsi="Arial Narrow"/>
              </w:rPr>
              <w:t>Affichage visible des panneaux interdisant SEA/SH autour du site du Projet, ainsi que des informations sur les codes de conduite et les procédures de rapport sur SEA/SH (gratuit) dans les langues/dialectes locaux</w:t>
            </w:r>
          </w:p>
        </w:tc>
        <w:tc>
          <w:tcPr>
            <w:tcW w:w="2146" w:type="dxa"/>
            <w:shd w:val="clear" w:color="auto" w:fill="auto"/>
          </w:tcPr>
          <w:p w14:paraId="76345EFB" w14:textId="77777777" w:rsidR="00C21029" w:rsidRPr="007F78CE" w:rsidRDefault="00C21029" w:rsidP="007F78CE">
            <w:pPr>
              <w:spacing w:after="0" w:line="240" w:lineRule="auto"/>
              <w:rPr>
                <w:rFonts w:ascii="Arial Narrow" w:hAnsi="Arial Narrow"/>
              </w:rPr>
            </w:pPr>
            <w:r w:rsidRPr="007F78CE">
              <w:rPr>
                <w:rFonts w:ascii="Arial Narrow" w:hAnsi="Arial Narrow"/>
              </w:rPr>
              <w:t xml:space="preserve">Travailleurs directs, </w:t>
            </w:r>
          </w:p>
          <w:p w14:paraId="522CB0BA" w14:textId="77777777" w:rsidR="00C21029" w:rsidRPr="007F78CE" w:rsidRDefault="00C21029" w:rsidP="007F78CE">
            <w:pPr>
              <w:spacing w:after="0" w:line="240" w:lineRule="auto"/>
              <w:rPr>
                <w:rFonts w:ascii="Arial Narrow" w:hAnsi="Arial Narrow"/>
              </w:rPr>
            </w:pPr>
            <w:r w:rsidRPr="007F78CE">
              <w:rPr>
                <w:rFonts w:ascii="Arial Narrow" w:hAnsi="Arial Narrow"/>
              </w:rPr>
              <w:t xml:space="preserve">Contractuels, </w:t>
            </w:r>
          </w:p>
          <w:p w14:paraId="1784BEFE" w14:textId="77777777" w:rsidR="00C21029" w:rsidRPr="007F78CE" w:rsidRDefault="00C21029" w:rsidP="007F78CE">
            <w:pPr>
              <w:spacing w:after="0" w:line="240" w:lineRule="auto"/>
              <w:rPr>
                <w:rFonts w:ascii="Arial Narrow" w:hAnsi="Arial Narrow"/>
              </w:rPr>
            </w:pPr>
            <w:r w:rsidRPr="007F78CE">
              <w:rPr>
                <w:rFonts w:ascii="Arial Narrow" w:hAnsi="Arial Narrow"/>
              </w:rPr>
              <w:t xml:space="preserve">Personnels des fournisseurs principaux, </w:t>
            </w:r>
          </w:p>
          <w:p w14:paraId="5A9FCD92" w14:textId="77777777" w:rsidR="00C21029" w:rsidRPr="007F78CE" w:rsidRDefault="00C21029" w:rsidP="007F78CE">
            <w:pPr>
              <w:spacing w:after="0" w:line="240" w:lineRule="auto"/>
              <w:rPr>
                <w:rFonts w:ascii="Arial Narrow" w:hAnsi="Arial Narrow"/>
              </w:rPr>
            </w:pPr>
            <w:r w:rsidRPr="007F78CE">
              <w:rPr>
                <w:rFonts w:ascii="Arial Narrow" w:hAnsi="Arial Narrow"/>
              </w:rPr>
              <w:t>et tout intervenant pour le projet</w:t>
            </w:r>
          </w:p>
        </w:tc>
        <w:tc>
          <w:tcPr>
            <w:tcW w:w="1839" w:type="dxa"/>
            <w:shd w:val="clear" w:color="auto" w:fill="auto"/>
            <w:vAlign w:val="center"/>
          </w:tcPr>
          <w:p w14:paraId="3F9E35D4" w14:textId="77777777" w:rsidR="00C21029" w:rsidRPr="007F78CE" w:rsidRDefault="00C21029" w:rsidP="007F78CE">
            <w:pPr>
              <w:spacing w:after="0" w:line="240" w:lineRule="auto"/>
              <w:rPr>
                <w:rFonts w:ascii="Arial Narrow" w:hAnsi="Arial Narrow"/>
              </w:rPr>
            </w:pPr>
            <w:r w:rsidRPr="007F78CE">
              <w:rPr>
                <w:rFonts w:ascii="Arial Narrow" w:hAnsi="Arial Narrow"/>
              </w:rPr>
              <w:t>A débuter au démarrage des travaux et à poursuivre le long de la mise en œuvre du Projet</w:t>
            </w:r>
          </w:p>
        </w:tc>
        <w:tc>
          <w:tcPr>
            <w:tcW w:w="1902" w:type="dxa"/>
            <w:vMerge/>
            <w:shd w:val="clear" w:color="auto" w:fill="auto"/>
            <w:vAlign w:val="center"/>
          </w:tcPr>
          <w:p w14:paraId="3383CD0C" w14:textId="77777777" w:rsidR="00C21029" w:rsidRPr="00687DD2" w:rsidRDefault="00C21029" w:rsidP="0044500E">
            <w:pPr>
              <w:pStyle w:val="Paragraphedeliste"/>
              <w:numPr>
                <w:ilvl w:val="0"/>
                <w:numId w:val="155"/>
              </w:numPr>
              <w:spacing w:after="0" w:line="240" w:lineRule="auto"/>
              <w:jc w:val="both"/>
              <w:rPr>
                <w:rFonts w:ascii="Arial Narrow" w:hAnsi="Arial Narrow"/>
              </w:rPr>
            </w:pPr>
          </w:p>
        </w:tc>
      </w:tr>
      <w:tr w:rsidR="0063584D" w:rsidRPr="007F78CE" w14:paraId="3F970F27" w14:textId="77777777" w:rsidTr="007F78CE">
        <w:tc>
          <w:tcPr>
            <w:tcW w:w="2337" w:type="dxa"/>
            <w:vMerge/>
            <w:shd w:val="clear" w:color="auto" w:fill="auto"/>
            <w:vAlign w:val="center"/>
          </w:tcPr>
          <w:p w14:paraId="50FF2C44" w14:textId="77777777" w:rsidR="00C21029" w:rsidRPr="007F78CE" w:rsidRDefault="00C21029" w:rsidP="007F78CE">
            <w:pPr>
              <w:spacing w:after="0" w:line="240" w:lineRule="auto"/>
              <w:rPr>
                <w:rFonts w:ascii="Arial Narrow" w:hAnsi="Arial Narrow"/>
              </w:rPr>
            </w:pPr>
          </w:p>
        </w:tc>
        <w:tc>
          <w:tcPr>
            <w:tcW w:w="2310" w:type="dxa"/>
            <w:vMerge/>
            <w:shd w:val="clear" w:color="auto" w:fill="auto"/>
            <w:vAlign w:val="center"/>
          </w:tcPr>
          <w:p w14:paraId="68520FFB" w14:textId="77777777" w:rsidR="00C21029" w:rsidRPr="007F78CE" w:rsidRDefault="00C21029" w:rsidP="007F78CE">
            <w:pPr>
              <w:spacing w:after="0" w:line="240" w:lineRule="auto"/>
              <w:rPr>
                <w:rFonts w:ascii="Arial Narrow" w:hAnsi="Arial Narrow"/>
              </w:rPr>
            </w:pPr>
          </w:p>
        </w:tc>
        <w:tc>
          <w:tcPr>
            <w:tcW w:w="2288" w:type="dxa"/>
            <w:shd w:val="clear" w:color="auto" w:fill="auto"/>
            <w:vAlign w:val="center"/>
          </w:tcPr>
          <w:p w14:paraId="2F3C03E0"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2.4.3.</w:t>
            </w:r>
            <w:r w:rsidRPr="007F78CE">
              <w:rPr>
                <w:rFonts w:ascii="Arial Narrow" w:hAnsi="Arial Narrow"/>
              </w:rPr>
              <w:t xml:space="preserve"> Formation du personnel masculin et féminin nouvellement embauché sur le EAS/HS, le Code de conduite</w:t>
            </w:r>
          </w:p>
        </w:tc>
        <w:tc>
          <w:tcPr>
            <w:tcW w:w="2487" w:type="dxa"/>
            <w:shd w:val="clear" w:color="auto" w:fill="auto"/>
            <w:vAlign w:val="center"/>
          </w:tcPr>
          <w:p w14:paraId="2C6D6D3C" w14:textId="77777777" w:rsidR="00C21029" w:rsidRPr="007F78CE" w:rsidRDefault="00C21029" w:rsidP="007F78CE">
            <w:pPr>
              <w:spacing w:after="0" w:line="240" w:lineRule="auto"/>
              <w:rPr>
                <w:rFonts w:ascii="Arial Narrow" w:hAnsi="Arial Narrow"/>
              </w:rPr>
            </w:pPr>
            <w:r w:rsidRPr="007F78CE">
              <w:rPr>
                <w:rFonts w:ascii="Arial Narrow" w:hAnsi="Arial Narrow"/>
              </w:rPr>
              <w:t>Nombre de participants aux sessions de formation</w:t>
            </w:r>
          </w:p>
        </w:tc>
        <w:tc>
          <w:tcPr>
            <w:tcW w:w="2146" w:type="dxa"/>
            <w:shd w:val="clear" w:color="auto" w:fill="auto"/>
            <w:vAlign w:val="center"/>
          </w:tcPr>
          <w:p w14:paraId="7D046DDC" w14:textId="77777777" w:rsidR="00C21029" w:rsidRPr="007F78CE" w:rsidRDefault="00C21029" w:rsidP="007F78CE">
            <w:pPr>
              <w:spacing w:after="0" w:line="240" w:lineRule="auto"/>
              <w:rPr>
                <w:rFonts w:ascii="Arial Narrow" w:hAnsi="Arial Narrow"/>
              </w:rPr>
            </w:pPr>
            <w:r w:rsidRPr="007F78CE">
              <w:rPr>
                <w:rFonts w:ascii="Arial Narrow" w:hAnsi="Arial Narrow"/>
              </w:rPr>
              <w:t>Travailleurs des entreprises</w:t>
            </w:r>
          </w:p>
        </w:tc>
        <w:tc>
          <w:tcPr>
            <w:tcW w:w="1839" w:type="dxa"/>
            <w:shd w:val="clear" w:color="auto" w:fill="auto"/>
            <w:vAlign w:val="center"/>
          </w:tcPr>
          <w:p w14:paraId="2DF793AC" w14:textId="77777777" w:rsidR="00C21029" w:rsidRPr="007F78CE" w:rsidRDefault="00C21029" w:rsidP="007F78CE">
            <w:pPr>
              <w:spacing w:after="0" w:line="240" w:lineRule="auto"/>
              <w:rPr>
                <w:rFonts w:ascii="Arial Narrow" w:hAnsi="Arial Narrow"/>
              </w:rPr>
            </w:pPr>
            <w:r w:rsidRPr="007F78CE">
              <w:rPr>
                <w:rFonts w:ascii="Arial Narrow" w:hAnsi="Arial Narrow"/>
              </w:rPr>
              <w:t>A débuter au démarrage des travaux et à poursuivre le long de la mise en œuvre du Projet</w:t>
            </w:r>
          </w:p>
        </w:tc>
        <w:tc>
          <w:tcPr>
            <w:tcW w:w="1902" w:type="dxa"/>
            <w:vMerge/>
            <w:shd w:val="clear" w:color="auto" w:fill="auto"/>
            <w:vAlign w:val="center"/>
          </w:tcPr>
          <w:p w14:paraId="0DE905FA" w14:textId="77777777" w:rsidR="00C21029" w:rsidRPr="00687DD2" w:rsidRDefault="00C21029" w:rsidP="0044500E">
            <w:pPr>
              <w:pStyle w:val="Paragraphedeliste"/>
              <w:numPr>
                <w:ilvl w:val="0"/>
                <w:numId w:val="155"/>
              </w:numPr>
              <w:spacing w:after="0" w:line="240" w:lineRule="auto"/>
              <w:jc w:val="both"/>
              <w:rPr>
                <w:rFonts w:ascii="Arial Narrow" w:hAnsi="Arial Narrow"/>
              </w:rPr>
            </w:pPr>
          </w:p>
        </w:tc>
      </w:tr>
      <w:tr w:rsidR="0063584D" w:rsidRPr="007F78CE" w14:paraId="199CCFA6" w14:textId="77777777" w:rsidTr="007F78CE">
        <w:tc>
          <w:tcPr>
            <w:tcW w:w="2337" w:type="dxa"/>
            <w:vMerge/>
            <w:shd w:val="clear" w:color="auto" w:fill="auto"/>
            <w:vAlign w:val="center"/>
          </w:tcPr>
          <w:p w14:paraId="212D2203" w14:textId="77777777" w:rsidR="00C21029" w:rsidRPr="007F78CE" w:rsidRDefault="00C21029" w:rsidP="007F78CE">
            <w:pPr>
              <w:spacing w:after="0" w:line="240" w:lineRule="auto"/>
              <w:rPr>
                <w:rFonts w:ascii="Arial Narrow" w:hAnsi="Arial Narrow"/>
              </w:rPr>
            </w:pPr>
          </w:p>
        </w:tc>
        <w:tc>
          <w:tcPr>
            <w:tcW w:w="2310" w:type="dxa"/>
            <w:vMerge/>
            <w:shd w:val="clear" w:color="auto" w:fill="auto"/>
            <w:vAlign w:val="center"/>
          </w:tcPr>
          <w:p w14:paraId="5B7E9492" w14:textId="77777777" w:rsidR="00C21029" w:rsidRPr="007F78CE" w:rsidRDefault="00C21029" w:rsidP="007F78CE">
            <w:pPr>
              <w:spacing w:after="0" w:line="240" w:lineRule="auto"/>
              <w:rPr>
                <w:rFonts w:ascii="Arial Narrow" w:hAnsi="Arial Narrow"/>
              </w:rPr>
            </w:pPr>
          </w:p>
        </w:tc>
        <w:tc>
          <w:tcPr>
            <w:tcW w:w="2288" w:type="dxa"/>
            <w:shd w:val="clear" w:color="auto" w:fill="auto"/>
            <w:vAlign w:val="center"/>
          </w:tcPr>
          <w:p w14:paraId="221689D2"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2.4.4</w:t>
            </w:r>
            <w:r w:rsidR="009C4068">
              <w:rPr>
                <w:rFonts w:ascii="Arial Narrow" w:hAnsi="Arial Narrow"/>
                <w:b/>
                <w:bCs/>
              </w:rPr>
              <w:t>.</w:t>
            </w:r>
            <w:r w:rsidRPr="007F78CE">
              <w:rPr>
                <w:rFonts w:ascii="Arial Narrow" w:hAnsi="Arial Narrow"/>
              </w:rPr>
              <w:t xml:space="preserve"> Session de consultations communautaires avec les femmes riveraines sur le EAS/HS</w:t>
            </w:r>
          </w:p>
        </w:tc>
        <w:tc>
          <w:tcPr>
            <w:tcW w:w="2487" w:type="dxa"/>
            <w:shd w:val="clear" w:color="auto" w:fill="auto"/>
            <w:vAlign w:val="center"/>
          </w:tcPr>
          <w:p w14:paraId="55B1FC87" w14:textId="77777777" w:rsidR="00C21029" w:rsidRPr="007F78CE" w:rsidRDefault="00C21029" w:rsidP="007F78CE">
            <w:pPr>
              <w:spacing w:after="0" w:line="240" w:lineRule="auto"/>
              <w:rPr>
                <w:rFonts w:ascii="Arial Narrow" w:hAnsi="Arial Narrow"/>
              </w:rPr>
            </w:pPr>
            <w:r w:rsidRPr="007F78CE">
              <w:rPr>
                <w:rFonts w:ascii="Arial Narrow" w:hAnsi="Arial Narrow"/>
              </w:rPr>
              <w:t>Nombre de participants aux sessions de consultations communautaires</w:t>
            </w:r>
          </w:p>
        </w:tc>
        <w:tc>
          <w:tcPr>
            <w:tcW w:w="2146" w:type="dxa"/>
            <w:shd w:val="clear" w:color="auto" w:fill="auto"/>
            <w:vAlign w:val="center"/>
          </w:tcPr>
          <w:p w14:paraId="2831AC93" w14:textId="77777777" w:rsidR="00C21029" w:rsidRPr="007F78CE" w:rsidRDefault="00C21029" w:rsidP="007F78CE">
            <w:pPr>
              <w:spacing w:after="0" w:line="240" w:lineRule="auto"/>
              <w:rPr>
                <w:rFonts w:ascii="Arial Narrow" w:hAnsi="Arial Narrow"/>
              </w:rPr>
            </w:pPr>
            <w:r w:rsidRPr="007F78CE">
              <w:rPr>
                <w:rFonts w:ascii="Arial Narrow" w:hAnsi="Arial Narrow"/>
              </w:rPr>
              <w:t>Membre de la communauté</w:t>
            </w:r>
          </w:p>
        </w:tc>
        <w:tc>
          <w:tcPr>
            <w:tcW w:w="1839" w:type="dxa"/>
            <w:shd w:val="clear" w:color="auto" w:fill="auto"/>
            <w:vAlign w:val="center"/>
          </w:tcPr>
          <w:p w14:paraId="14B63B9A" w14:textId="77777777" w:rsidR="00C21029" w:rsidRPr="007F78CE" w:rsidRDefault="00C21029" w:rsidP="007F78CE">
            <w:pPr>
              <w:spacing w:after="0" w:line="240" w:lineRule="auto"/>
              <w:rPr>
                <w:rFonts w:ascii="Arial Narrow" w:hAnsi="Arial Narrow"/>
              </w:rPr>
            </w:pPr>
            <w:r w:rsidRPr="007F78CE">
              <w:rPr>
                <w:rFonts w:ascii="Arial Narrow" w:hAnsi="Arial Narrow"/>
              </w:rPr>
              <w:t>A débuter avant installation de chantier et à poursuivre le long de la mise en œuvre du Projet</w:t>
            </w:r>
          </w:p>
        </w:tc>
        <w:tc>
          <w:tcPr>
            <w:tcW w:w="1902" w:type="dxa"/>
            <w:vMerge/>
            <w:shd w:val="clear" w:color="auto" w:fill="auto"/>
            <w:vAlign w:val="center"/>
          </w:tcPr>
          <w:p w14:paraId="2E193F44" w14:textId="77777777" w:rsidR="00C21029" w:rsidRPr="00687DD2" w:rsidRDefault="00C21029" w:rsidP="0044500E">
            <w:pPr>
              <w:pStyle w:val="Paragraphedeliste"/>
              <w:numPr>
                <w:ilvl w:val="0"/>
                <w:numId w:val="155"/>
              </w:numPr>
              <w:spacing w:after="0" w:line="240" w:lineRule="auto"/>
              <w:jc w:val="both"/>
              <w:rPr>
                <w:rFonts w:ascii="Arial Narrow" w:hAnsi="Arial Narrow"/>
              </w:rPr>
            </w:pPr>
          </w:p>
        </w:tc>
      </w:tr>
      <w:tr w:rsidR="0063584D" w:rsidRPr="007F78CE" w14:paraId="361AD1F4" w14:textId="77777777" w:rsidTr="007F78CE">
        <w:tc>
          <w:tcPr>
            <w:tcW w:w="2337" w:type="dxa"/>
            <w:shd w:val="clear" w:color="auto" w:fill="auto"/>
            <w:vAlign w:val="center"/>
          </w:tcPr>
          <w:p w14:paraId="2FD6D2C5"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2.5.</w:t>
            </w:r>
            <w:r w:rsidRPr="007F78CE">
              <w:rPr>
                <w:rFonts w:ascii="Arial Narrow" w:hAnsi="Arial Narrow"/>
              </w:rPr>
              <w:t xml:space="preserve"> Assurer que les travailleurs du projet (Travailleurs directs, Contractuels, Personnels des fournisseurs principaux, et tout intervenant pour le projet) se conforment au code de conduite</w:t>
            </w:r>
          </w:p>
        </w:tc>
        <w:tc>
          <w:tcPr>
            <w:tcW w:w="2310" w:type="dxa"/>
            <w:shd w:val="clear" w:color="auto" w:fill="auto"/>
            <w:vAlign w:val="center"/>
          </w:tcPr>
          <w:p w14:paraId="5F60A3A2" w14:textId="77777777" w:rsidR="00C21029" w:rsidRPr="007F78CE" w:rsidRDefault="00C21029" w:rsidP="007F78CE">
            <w:pPr>
              <w:spacing w:after="0" w:line="240" w:lineRule="auto"/>
              <w:rPr>
                <w:rFonts w:ascii="Arial Narrow" w:hAnsi="Arial Narrow"/>
              </w:rPr>
            </w:pPr>
            <w:r w:rsidRPr="007F78CE">
              <w:rPr>
                <w:rFonts w:ascii="Arial Narrow" w:hAnsi="Arial Narrow"/>
              </w:rPr>
              <w:t>Respect des codes de conduite par les travailleurs</w:t>
            </w:r>
          </w:p>
        </w:tc>
        <w:tc>
          <w:tcPr>
            <w:tcW w:w="2288" w:type="dxa"/>
            <w:shd w:val="clear" w:color="auto" w:fill="auto"/>
          </w:tcPr>
          <w:p w14:paraId="1972766A"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 xml:space="preserve">2.5.1. </w:t>
            </w:r>
            <w:r w:rsidRPr="007F78CE">
              <w:rPr>
                <w:rFonts w:ascii="Arial Narrow" w:hAnsi="Arial Narrow"/>
              </w:rPr>
              <w:t>Signature du code de conduite pendant la contractualisation</w:t>
            </w:r>
          </w:p>
        </w:tc>
        <w:tc>
          <w:tcPr>
            <w:tcW w:w="2487" w:type="dxa"/>
            <w:shd w:val="clear" w:color="auto" w:fill="auto"/>
          </w:tcPr>
          <w:p w14:paraId="57357DF3" w14:textId="77777777" w:rsidR="00C21029" w:rsidRPr="007F78CE" w:rsidRDefault="00C21029" w:rsidP="007F78CE">
            <w:pPr>
              <w:spacing w:after="0" w:line="240" w:lineRule="auto"/>
              <w:rPr>
                <w:rFonts w:ascii="Arial Narrow" w:hAnsi="Arial Narrow"/>
              </w:rPr>
            </w:pPr>
            <w:r w:rsidRPr="007F78CE">
              <w:rPr>
                <w:rFonts w:ascii="Arial Narrow" w:hAnsi="Arial Narrow"/>
              </w:rPr>
              <w:t>Pourcentage de travailleurs ayant signé le Code de conduite</w:t>
            </w:r>
          </w:p>
          <w:p w14:paraId="3A2DAB05" w14:textId="77777777" w:rsidR="00C21029" w:rsidRPr="007F78CE" w:rsidRDefault="00C21029" w:rsidP="007F78CE">
            <w:pPr>
              <w:spacing w:after="0" w:line="240" w:lineRule="auto"/>
              <w:rPr>
                <w:rFonts w:ascii="Arial Narrow" w:hAnsi="Arial Narrow"/>
              </w:rPr>
            </w:pPr>
          </w:p>
        </w:tc>
        <w:tc>
          <w:tcPr>
            <w:tcW w:w="2146" w:type="dxa"/>
            <w:shd w:val="clear" w:color="auto" w:fill="auto"/>
          </w:tcPr>
          <w:p w14:paraId="0506AD32" w14:textId="77777777" w:rsidR="00C21029" w:rsidRPr="00687DD2" w:rsidRDefault="00C21029" w:rsidP="0044500E">
            <w:pPr>
              <w:pStyle w:val="Paragraphedeliste"/>
              <w:numPr>
                <w:ilvl w:val="0"/>
                <w:numId w:val="156"/>
              </w:numPr>
              <w:spacing w:after="0" w:line="240" w:lineRule="auto"/>
              <w:ind w:left="141" w:hanging="141"/>
              <w:jc w:val="both"/>
              <w:rPr>
                <w:rFonts w:ascii="Arial Narrow" w:hAnsi="Arial Narrow"/>
              </w:rPr>
            </w:pPr>
            <w:r w:rsidRPr="00687DD2">
              <w:rPr>
                <w:rFonts w:ascii="Arial Narrow" w:hAnsi="Arial Narrow"/>
              </w:rPr>
              <w:t xml:space="preserve">Travailleurs directs, </w:t>
            </w:r>
          </w:p>
          <w:p w14:paraId="6C2F0A7D" w14:textId="77777777" w:rsidR="00C21029" w:rsidRPr="00687DD2" w:rsidRDefault="00C21029" w:rsidP="0044500E">
            <w:pPr>
              <w:pStyle w:val="Paragraphedeliste"/>
              <w:numPr>
                <w:ilvl w:val="0"/>
                <w:numId w:val="156"/>
              </w:numPr>
              <w:spacing w:after="0" w:line="240" w:lineRule="auto"/>
              <w:ind w:left="141" w:hanging="141"/>
              <w:jc w:val="both"/>
              <w:rPr>
                <w:rFonts w:ascii="Arial Narrow" w:hAnsi="Arial Narrow"/>
              </w:rPr>
            </w:pPr>
            <w:r w:rsidRPr="00687DD2">
              <w:rPr>
                <w:rFonts w:ascii="Arial Narrow" w:hAnsi="Arial Narrow"/>
              </w:rPr>
              <w:t xml:space="preserve">Contractuels, </w:t>
            </w:r>
          </w:p>
          <w:p w14:paraId="63B24782" w14:textId="77777777" w:rsidR="00C21029" w:rsidRPr="00687DD2" w:rsidRDefault="00C21029" w:rsidP="0044500E">
            <w:pPr>
              <w:pStyle w:val="Paragraphedeliste"/>
              <w:numPr>
                <w:ilvl w:val="0"/>
                <w:numId w:val="156"/>
              </w:numPr>
              <w:spacing w:after="0" w:line="240" w:lineRule="auto"/>
              <w:ind w:left="141" w:hanging="141"/>
              <w:jc w:val="both"/>
              <w:rPr>
                <w:rFonts w:ascii="Arial Narrow" w:hAnsi="Arial Narrow"/>
              </w:rPr>
            </w:pPr>
            <w:r w:rsidRPr="00687DD2">
              <w:rPr>
                <w:rFonts w:ascii="Arial Narrow" w:hAnsi="Arial Narrow"/>
              </w:rPr>
              <w:t xml:space="preserve">Personnels des fournisseurs principaux, </w:t>
            </w:r>
          </w:p>
          <w:p w14:paraId="496E27DC" w14:textId="77777777" w:rsidR="00C21029" w:rsidRPr="00687DD2" w:rsidRDefault="00C21029" w:rsidP="0044500E">
            <w:pPr>
              <w:pStyle w:val="Paragraphedeliste"/>
              <w:numPr>
                <w:ilvl w:val="0"/>
                <w:numId w:val="156"/>
              </w:numPr>
              <w:spacing w:after="0" w:line="240" w:lineRule="auto"/>
              <w:ind w:left="141" w:hanging="141"/>
              <w:jc w:val="both"/>
              <w:rPr>
                <w:rFonts w:ascii="Arial Narrow" w:hAnsi="Arial Narrow"/>
              </w:rPr>
            </w:pPr>
            <w:r w:rsidRPr="00687DD2">
              <w:rPr>
                <w:rFonts w:ascii="Arial Narrow" w:hAnsi="Arial Narrow"/>
              </w:rPr>
              <w:t>et tout intervenant pour le Projet</w:t>
            </w:r>
          </w:p>
        </w:tc>
        <w:tc>
          <w:tcPr>
            <w:tcW w:w="1839" w:type="dxa"/>
            <w:shd w:val="clear" w:color="auto" w:fill="auto"/>
            <w:vAlign w:val="center"/>
          </w:tcPr>
          <w:p w14:paraId="21FBF066" w14:textId="77777777" w:rsidR="00C21029" w:rsidRPr="007F78CE" w:rsidRDefault="00C21029" w:rsidP="007F78CE">
            <w:pPr>
              <w:spacing w:after="0" w:line="240" w:lineRule="auto"/>
              <w:rPr>
                <w:rFonts w:ascii="Arial Narrow" w:hAnsi="Arial Narrow"/>
              </w:rPr>
            </w:pPr>
            <w:r w:rsidRPr="007F78CE">
              <w:rPr>
                <w:rFonts w:ascii="Arial Narrow" w:hAnsi="Arial Narrow"/>
              </w:rPr>
              <w:t>Pendant la contractualisation et avant prise de service des travailleurs</w:t>
            </w:r>
          </w:p>
        </w:tc>
        <w:tc>
          <w:tcPr>
            <w:tcW w:w="1902" w:type="dxa"/>
            <w:shd w:val="clear" w:color="auto" w:fill="auto"/>
            <w:vAlign w:val="center"/>
          </w:tcPr>
          <w:p w14:paraId="59424BD9" w14:textId="77777777" w:rsidR="00C21029" w:rsidRPr="007F78CE" w:rsidRDefault="00C21029" w:rsidP="007F78CE">
            <w:pPr>
              <w:spacing w:after="0" w:line="240" w:lineRule="auto"/>
              <w:rPr>
                <w:rFonts w:ascii="Arial Narrow" w:hAnsi="Arial Narrow"/>
              </w:rPr>
            </w:pPr>
            <w:r w:rsidRPr="007F78CE">
              <w:rPr>
                <w:rFonts w:ascii="Arial Narrow" w:hAnsi="Arial Narrow"/>
              </w:rPr>
              <w:t xml:space="preserve">Prestataire de services </w:t>
            </w:r>
          </w:p>
          <w:p w14:paraId="5F64B905" w14:textId="77777777" w:rsidR="00C21029" w:rsidRPr="007F78CE" w:rsidRDefault="00C21029" w:rsidP="007F78CE">
            <w:pPr>
              <w:spacing w:after="0" w:line="240" w:lineRule="auto"/>
              <w:rPr>
                <w:rFonts w:ascii="Arial Narrow" w:hAnsi="Arial Narrow"/>
              </w:rPr>
            </w:pPr>
            <w:r w:rsidRPr="007F78CE">
              <w:rPr>
                <w:rFonts w:ascii="Arial Narrow" w:hAnsi="Arial Narrow"/>
              </w:rPr>
              <w:t>UCP (Spécialiste VBG</w:t>
            </w:r>
            <w:r w:rsidR="00C940D0">
              <w:rPr>
                <w:rFonts w:ascii="Arial Narrow" w:hAnsi="Arial Narrow"/>
              </w:rPr>
              <w:t>/EAS-HS</w:t>
            </w:r>
            <w:r w:rsidRPr="007F78CE">
              <w:rPr>
                <w:rFonts w:ascii="Arial Narrow" w:hAnsi="Arial Narrow"/>
              </w:rPr>
              <w:t xml:space="preserve">) </w:t>
            </w:r>
          </w:p>
        </w:tc>
      </w:tr>
      <w:tr w:rsidR="0063584D" w:rsidRPr="007F78CE" w14:paraId="74E8219F" w14:textId="77777777" w:rsidTr="007F78CE">
        <w:tc>
          <w:tcPr>
            <w:tcW w:w="2337" w:type="dxa"/>
            <w:shd w:val="clear" w:color="auto" w:fill="auto"/>
            <w:vAlign w:val="center"/>
          </w:tcPr>
          <w:p w14:paraId="3DF54F03"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2.6.</w:t>
            </w:r>
            <w:r w:rsidRPr="007F78CE">
              <w:rPr>
                <w:rFonts w:ascii="Arial Narrow" w:hAnsi="Arial Narrow"/>
              </w:rPr>
              <w:t xml:space="preserve"> Assurer que les entreprises mettent en place des mesures de préventions spécifiques d’EAS dans les chantiers</w:t>
            </w:r>
          </w:p>
        </w:tc>
        <w:tc>
          <w:tcPr>
            <w:tcW w:w="2310" w:type="dxa"/>
            <w:shd w:val="clear" w:color="auto" w:fill="auto"/>
            <w:vAlign w:val="center"/>
          </w:tcPr>
          <w:p w14:paraId="06E509F9" w14:textId="77777777" w:rsidR="00C21029" w:rsidRPr="007F78CE" w:rsidRDefault="00C21029" w:rsidP="007F78CE">
            <w:pPr>
              <w:spacing w:after="0" w:line="240" w:lineRule="auto"/>
              <w:rPr>
                <w:rFonts w:ascii="Arial Narrow" w:hAnsi="Arial Narrow"/>
              </w:rPr>
            </w:pPr>
            <w:r w:rsidRPr="007F78CE">
              <w:rPr>
                <w:rFonts w:ascii="Arial Narrow" w:hAnsi="Arial Narrow"/>
              </w:rPr>
              <w:t xml:space="preserve">Réduction de cas de </w:t>
            </w:r>
            <w:r w:rsidR="009C4068">
              <w:rPr>
                <w:rFonts w:ascii="Arial Narrow" w:hAnsi="Arial Narrow"/>
              </w:rPr>
              <w:t>l’</w:t>
            </w:r>
            <w:r w:rsidRPr="007F78CE">
              <w:rPr>
                <w:rFonts w:ascii="Arial Narrow" w:hAnsi="Arial Narrow"/>
              </w:rPr>
              <w:t>EAS dans le cadre du Projet</w:t>
            </w:r>
          </w:p>
        </w:tc>
        <w:tc>
          <w:tcPr>
            <w:tcW w:w="2288" w:type="dxa"/>
            <w:shd w:val="clear" w:color="auto" w:fill="auto"/>
            <w:vAlign w:val="center"/>
          </w:tcPr>
          <w:p w14:paraId="1BBC4DCE"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2.6.1.</w:t>
            </w:r>
            <w:r w:rsidRPr="007F78CE">
              <w:rPr>
                <w:rFonts w:ascii="Arial Narrow" w:hAnsi="Arial Narrow"/>
              </w:rPr>
              <w:t xml:space="preserve"> Mise en place d’installations séparées pour les hommes et les femmes : toilettes séparées dans des endroits séparés, avec des serrures</w:t>
            </w:r>
          </w:p>
        </w:tc>
        <w:tc>
          <w:tcPr>
            <w:tcW w:w="2487" w:type="dxa"/>
            <w:shd w:val="clear" w:color="auto" w:fill="auto"/>
            <w:vAlign w:val="center"/>
          </w:tcPr>
          <w:p w14:paraId="2201A218" w14:textId="77777777" w:rsidR="00C21029" w:rsidRPr="007F78CE" w:rsidRDefault="00C21029" w:rsidP="00B434A6">
            <w:pPr>
              <w:spacing w:after="0" w:line="240" w:lineRule="auto"/>
              <w:rPr>
                <w:rFonts w:ascii="Arial Narrow" w:eastAsia="Times New Roman" w:hAnsi="Arial Narrow"/>
                <w:b/>
                <w:smallCaps/>
                <w:color w:val="000000"/>
              </w:rPr>
            </w:pPr>
            <w:r w:rsidRPr="007F78CE">
              <w:rPr>
                <w:rFonts w:ascii="Arial Narrow" w:hAnsi="Arial Narrow"/>
              </w:rPr>
              <w:t>Bon éclairage des lieux de travail avec des installations séparées pour les hommes et les femmes : toilettes séparées dans des endroits séparés, avec des serrures</w:t>
            </w:r>
          </w:p>
        </w:tc>
        <w:tc>
          <w:tcPr>
            <w:tcW w:w="2146" w:type="dxa"/>
            <w:shd w:val="clear" w:color="auto" w:fill="auto"/>
            <w:vAlign w:val="center"/>
          </w:tcPr>
          <w:p w14:paraId="33B4266C" w14:textId="77777777" w:rsidR="00C21029" w:rsidRPr="007F78CE" w:rsidRDefault="00C21029" w:rsidP="007F78CE">
            <w:pPr>
              <w:spacing w:after="0" w:line="240" w:lineRule="auto"/>
              <w:rPr>
                <w:rFonts w:ascii="Arial Narrow" w:hAnsi="Arial Narrow"/>
              </w:rPr>
            </w:pPr>
            <w:r w:rsidRPr="007F78CE">
              <w:rPr>
                <w:rFonts w:ascii="Arial Narrow" w:hAnsi="Arial Narrow"/>
              </w:rPr>
              <w:t>Travailleurs des entreprises</w:t>
            </w:r>
          </w:p>
        </w:tc>
        <w:tc>
          <w:tcPr>
            <w:tcW w:w="1839" w:type="dxa"/>
            <w:shd w:val="clear" w:color="auto" w:fill="auto"/>
            <w:vAlign w:val="center"/>
          </w:tcPr>
          <w:p w14:paraId="2132BD73" w14:textId="77777777" w:rsidR="00C21029" w:rsidRPr="007F78CE" w:rsidRDefault="00C21029" w:rsidP="007F78CE">
            <w:pPr>
              <w:spacing w:after="0" w:line="240" w:lineRule="auto"/>
              <w:rPr>
                <w:rFonts w:ascii="Arial Narrow" w:hAnsi="Arial Narrow"/>
              </w:rPr>
            </w:pPr>
            <w:r w:rsidRPr="007F78CE">
              <w:rPr>
                <w:rFonts w:ascii="Arial Narrow" w:hAnsi="Arial Narrow"/>
              </w:rPr>
              <w:t>En continu</w:t>
            </w:r>
          </w:p>
        </w:tc>
        <w:tc>
          <w:tcPr>
            <w:tcW w:w="1902" w:type="dxa"/>
            <w:shd w:val="clear" w:color="auto" w:fill="auto"/>
            <w:vAlign w:val="center"/>
          </w:tcPr>
          <w:p w14:paraId="329AB1CE" w14:textId="77777777" w:rsidR="00C21029" w:rsidRPr="007F78CE" w:rsidRDefault="00C21029" w:rsidP="007F78CE">
            <w:pPr>
              <w:spacing w:after="0" w:line="240" w:lineRule="auto"/>
              <w:rPr>
                <w:rFonts w:ascii="Arial Narrow" w:hAnsi="Arial Narrow"/>
              </w:rPr>
            </w:pPr>
            <w:r w:rsidRPr="007F78CE">
              <w:rPr>
                <w:rFonts w:ascii="Arial Narrow" w:hAnsi="Arial Narrow"/>
              </w:rPr>
              <w:t xml:space="preserve">Prestataire de services </w:t>
            </w:r>
          </w:p>
          <w:p w14:paraId="73A3FB2F" w14:textId="77777777" w:rsidR="00C21029" w:rsidRPr="007F78CE" w:rsidRDefault="00C21029" w:rsidP="007F78CE">
            <w:pPr>
              <w:spacing w:after="0" w:line="240" w:lineRule="auto"/>
              <w:rPr>
                <w:rFonts w:ascii="Arial Narrow" w:hAnsi="Arial Narrow"/>
              </w:rPr>
            </w:pPr>
            <w:r w:rsidRPr="007F78CE">
              <w:rPr>
                <w:rFonts w:ascii="Arial Narrow" w:hAnsi="Arial Narrow"/>
              </w:rPr>
              <w:t>UCP (Spécialiste VBG</w:t>
            </w:r>
            <w:r w:rsidR="00C940D0">
              <w:rPr>
                <w:rFonts w:ascii="Arial Narrow" w:hAnsi="Arial Narrow"/>
              </w:rPr>
              <w:t>/EAS-HS</w:t>
            </w:r>
            <w:r w:rsidRPr="007F78CE">
              <w:rPr>
                <w:rFonts w:ascii="Arial Narrow" w:hAnsi="Arial Narrow"/>
              </w:rPr>
              <w:t xml:space="preserve">) </w:t>
            </w:r>
          </w:p>
        </w:tc>
      </w:tr>
      <w:tr w:rsidR="0063584D" w:rsidRPr="007F78CE" w14:paraId="11B9A175" w14:textId="77777777" w:rsidTr="007F78CE">
        <w:tc>
          <w:tcPr>
            <w:tcW w:w="2337" w:type="dxa"/>
            <w:shd w:val="clear" w:color="auto" w:fill="auto"/>
            <w:vAlign w:val="center"/>
          </w:tcPr>
          <w:p w14:paraId="085ED22B"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2.7.</w:t>
            </w:r>
            <w:r w:rsidRPr="007F78CE">
              <w:rPr>
                <w:rFonts w:ascii="Arial Narrow" w:hAnsi="Arial Narrow"/>
              </w:rPr>
              <w:t xml:space="preserve"> Assurer qu’un Mécanisme de gestion de Plaintes spécifique soit en place pour traiter le cas d’EAS/HS</w:t>
            </w:r>
          </w:p>
        </w:tc>
        <w:tc>
          <w:tcPr>
            <w:tcW w:w="2310" w:type="dxa"/>
            <w:shd w:val="clear" w:color="auto" w:fill="auto"/>
            <w:vAlign w:val="center"/>
          </w:tcPr>
          <w:p w14:paraId="38B16369" w14:textId="77777777" w:rsidR="00C21029" w:rsidRPr="007F78CE" w:rsidRDefault="00C21029" w:rsidP="007F78CE">
            <w:pPr>
              <w:spacing w:after="0" w:line="240" w:lineRule="auto"/>
              <w:rPr>
                <w:rFonts w:ascii="Arial Narrow" w:hAnsi="Arial Narrow"/>
              </w:rPr>
            </w:pPr>
            <w:r w:rsidRPr="007F78CE">
              <w:rPr>
                <w:rFonts w:ascii="Arial Narrow" w:hAnsi="Arial Narrow"/>
              </w:rPr>
              <w:t>MGP relatif au EAS/HS opérationnel</w:t>
            </w:r>
          </w:p>
        </w:tc>
        <w:tc>
          <w:tcPr>
            <w:tcW w:w="2288" w:type="dxa"/>
            <w:shd w:val="clear" w:color="auto" w:fill="auto"/>
            <w:vAlign w:val="center"/>
          </w:tcPr>
          <w:p w14:paraId="083F77EF"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2.7.1</w:t>
            </w:r>
            <w:r w:rsidRPr="007F78CE">
              <w:rPr>
                <w:rFonts w:ascii="Arial Narrow" w:hAnsi="Arial Narrow"/>
              </w:rPr>
              <w:t xml:space="preserve"> Finaliser le développement d’un guide pratique EAS/HS sur la base des informations du présent Plan d’action VBG</w:t>
            </w:r>
          </w:p>
        </w:tc>
        <w:tc>
          <w:tcPr>
            <w:tcW w:w="2487" w:type="dxa"/>
            <w:shd w:val="clear" w:color="auto" w:fill="auto"/>
            <w:vAlign w:val="center"/>
          </w:tcPr>
          <w:p w14:paraId="05E8B590" w14:textId="77777777" w:rsidR="00C21029" w:rsidRPr="007F78CE" w:rsidRDefault="00C21029" w:rsidP="00B434A6">
            <w:pPr>
              <w:spacing w:after="0" w:line="240" w:lineRule="auto"/>
              <w:rPr>
                <w:rFonts w:ascii="Arial Narrow" w:eastAsia="Times New Roman" w:hAnsi="Arial Narrow"/>
                <w:b/>
                <w:smallCaps/>
                <w:color w:val="000000"/>
              </w:rPr>
            </w:pPr>
            <w:r w:rsidRPr="007F78CE">
              <w:rPr>
                <w:rFonts w:ascii="Arial Narrow" w:hAnsi="Arial Narrow"/>
              </w:rPr>
              <w:t>Un guide MGP EAS/HS disponible pour le Projet</w:t>
            </w:r>
          </w:p>
        </w:tc>
        <w:tc>
          <w:tcPr>
            <w:tcW w:w="2146" w:type="dxa"/>
            <w:shd w:val="clear" w:color="auto" w:fill="auto"/>
            <w:vAlign w:val="center"/>
          </w:tcPr>
          <w:p w14:paraId="4B8A0F75" w14:textId="77777777" w:rsidR="00C21029" w:rsidRPr="00687DD2" w:rsidRDefault="00C21029" w:rsidP="0044500E">
            <w:pPr>
              <w:pStyle w:val="Paragraphedeliste"/>
              <w:numPr>
                <w:ilvl w:val="0"/>
                <w:numId w:val="156"/>
              </w:numPr>
              <w:spacing w:after="0" w:line="240" w:lineRule="auto"/>
              <w:ind w:left="141" w:hanging="141"/>
              <w:jc w:val="both"/>
              <w:rPr>
                <w:rFonts w:ascii="Arial Narrow" w:hAnsi="Arial Narrow"/>
              </w:rPr>
            </w:pPr>
            <w:r w:rsidRPr="00687DD2">
              <w:rPr>
                <w:rFonts w:ascii="Arial Narrow" w:hAnsi="Arial Narrow"/>
              </w:rPr>
              <w:t>UCP</w:t>
            </w:r>
          </w:p>
          <w:p w14:paraId="0A7FD38C" w14:textId="77777777" w:rsidR="00C21029" w:rsidRPr="00687DD2" w:rsidRDefault="00C21029" w:rsidP="0044500E">
            <w:pPr>
              <w:pStyle w:val="Paragraphedeliste"/>
              <w:numPr>
                <w:ilvl w:val="0"/>
                <w:numId w:val="156"/>
              </w:numPr>
              <w:spacing w:after="0" w:line="240" w:lineRule="auto"/>
              <w:ind w:left="141" w:hanging="141"/>
              <w:jc w:val="both"/>
              <w:rPr>
                <w:rFonts w:ascii="Arial Narrow" w:hAnsi="Arial Narrow"/>
              </w:rPr>
            </w:pPr>
            <w:r w:rsidRPr="00687DD2">
              <w:rPr>
                <w:rFonts w:ascii="Arial Narrow" w:hAnsi="Arial Narrow"/>
              </w:rPr>
              <w:t>Entité en charge de gestion de plainte</w:t>
            </w:r>
            <w:r w:rsidR="009C4068">
              <w:rPr>
                <w:rFonts w:ascii="Arial Narrow" w:hAnsi="Arial Narrow"/>
              </w:rPr>
              <w:t>s</w:t>
            </w:r>
            <w:r w:rsidRPr="00687DD2">
              <w:rPr>
                <w:rFonts w:ascii="Arial Narrow" w:hAnsi="Arial Narrow"/>
              </w:rPr>
              <w:t xml:space="preserve"> EAS/HS du Projet</w:t>
            </w:r>
          </w:p>
        </w:tc>
        <w:tc>
          <w:tcPr>
            <w:tcW w:w="1839" w:type="dxa"/>
            <w:shd w:val="clear" w:color="auto" w:fill="auto"/>
          </w:tcPr>
          <w:p w14:paraId="64E365BE" w14:textId="77777777" w:rsidR="00C21029" w:rsidRPr="007F78CE" w:rsidRDefault="00C21029" w:rsidP="007F78CE">
            <w:pPr>
              <w:spacing w:after="0" w:line="240" w:lineRule="auto"/>
              <w:rPr>
                <w:rFonts w:ascii="Arial Narrow" w:hAnsi="Arial Narrow"/>
              </w:rPr>
            </w:pPr>
            <w:r w:rsidRPr="007F78CE">
              <w:rPr>
                <w:rFonts w:ascii="Arial Narrow" w:hAnsi="Arial Narrow"/>
              </w:rPr>
              <w:t xml:space="preserve">Au plus tard 15 jours après le recrutement du responsable social VBG </w:t>
            </w:r>
          </w:p>
        </w:tc>
        <w:tc>
          <w:tcPr>
            <w:tcW w:w="1902" w:type="dxa"/>
            <w:shd w:val="clear" w:color="auto" w:fill="auto"/>
            <w:vAlign w:val="center"/>
          </w:tcPr>
          <w:p w14:paraId="02C31999" w14:textId="77777777" w:rsidR="00C21029" w:rsidRPr="007F78CE" w:rsidRDefault="00C21029" w:rsidP="007F78CE">
            <w:pPr>
              <w:spacing w:after="0" w:line="240" w:lineRule="auto"/>
              <w:rPr>
                <w:rFonts w:ascii="Arial Narrow" w:hAnsi="Arial Narrow"/>
              </w:rPr>
            </w:pPr>
            <w:r w:rsidRPr="007F78CE">
              <w:rPr>
                <w:rFonts w:ascii="Arial Narrow" w:hAnsi="Arial Narrow"/>
              </w:rPr>
              <w:t>UCP (Spécialiste VBG</w:t>
            </w:r>
            <w:r w:rsidR="00C940D0">
              <w:rPr>
                <w:rFonts w:ascii="Arial Narrow" w:hAnsi="Arial Narrow"/>
              </w:rPr>
              <w:t>/EAS-HS</w:t>
            </w:r>
            <w:r w:rsidRPr="007F78CE">
              <w:rPr>
                <w:rFonts w:ascii="Arial Narrow" w:hAnsi="Arial Narrow"/>
              </w:rPr>
              <w:t xml:space="preserve">) </w:t>
            </w:r>
          </w:p>
        </w:tc>
      </w:tr>
      <w:tr w:rsidR="0063584D" w:rsidRPr="007F78CE" w14:paraId="068A2C61" w14:textId="77777777" w:rsidTr="007F78CE">
        <w:tc>
          <w:tcPr>
            <w:tcW w:w="2337" w:type="dxa"/>
            <w:vMerge w:val="restart"/>
            <w:shd w:val="clear" w:color="auto" w:fill="auto"/>
            <w:vAlign w:val="center"/>
          </w:tcPr>
          <w:p w14:paraId="1973B2B1"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2.8.</w:t>
            </w:r>
            <w:r w:rsidRPr="007F78CE">
              <w:rPr>
                <w:rFonts w:ascii="Arial Narrow" w:hAnsi="Arial Narrow"/>
              </w:rPr>
              <w:t xml:space="preserve"> Assurer la mise en place de dispositifs de prise en charge des cas d’EAS/HS</w:t>
            </w:r>
          </w:p>
        </w:tc>
        <w:tc>
          <w:tcPr>
            <w:tcW w:w="2310" w:type="dxa"/>
            <w:vMerge w:val="restart"/>
            <w:shd w:val="clear" w:color="auto" w:fill="auto"/>
            <w:vAlign w:val="center"/>
          </w:tcPr>
          <w:p w14:paraId="069AE8BA" w14:textId="77777777" w:rsidR="00C21029" w:rsidRPr="007F78CE" w:rsidRDefault="00C21029" w:rsidP="007F78CE">
            <w:pPr>
              <w:spacing w:after="0" w:line="240" w:lineRule="auto"/>
              <w:rPr>
                <w:rFonts w:ascii="Arial Narrow" w:hAnsi="Arial Narrow"/>
              </w:rPr>
            </w:pPr>
            <w:r w:rsidRPr="007F78CE">
              <w:rPr>
                <w:rFonts w:ascii="Arial Narrow" w:hAnsi="Arial Narrow"/>
              </w:rPr>
              <w:t>Un dispositif de prise en charge des cas d’EAS/HS est mis en place</w:t>
            </w:r>
          </w:p>
        </w:tc>
        <w:tc>
          <w:tcPr>
            <w:tcW w:w="2288" w:type="dxa"/>
            <w:shd w:val="clear" w:color="auto" w:fill="auto"/>
            <w:vAlign w:val="center"/>
          </w:tcPr>
          <w:p w14:paraId="7FDED26D" w14:textId="77777777" w:rsidR="00C21029" w:rsidRPr="007F78CE" w:rsidRDefault="00C21029" w:rsidP="007F78CE">
            <w:pPr>
              <w:spacing w:after="0" w:line="240" w:lineRule="auto"/>
              <w:rPr>
                <w:rFonts w:ascii="Arial Narrow" w:hAnsi="Arial Narrow"/>
              </w:rPr>
            </w:pPr>
            <w:r w:rsidRPr="007F78CE">
              <w:rPr>
                <w:rFonts w:ascii="Arial Narrow" w:hAnsi="Arial Narrow" w:cs="Calibri"/>
                <w:b/>
                <w:bCs/>
              </w:rPr>
              <w:t xml:space="preserve">2.8.1. </w:t>
            </w:r>
            <w:r w:rsidRPr="007F78CE">
              <w:rPr>
                <w:rFonts w:ascii="Arial Narrow" w:hAnsi="Arial Narrow"/>
              </w:rPr>
              <w:t>Opérationnalisation du système de prise en charge des cas d’EAS/HS</w:t>
            </w:r>
          </w:p>
        </w:tc>
        <w:tc>
          <w:tcPr>
            <w:tcW w:w="2487" w:type="dxa"/>
            <w:vMerge w:val="restart"/>
            <w:shd w:val="clear" w:color="auto" w:fill="auto"/>
            <w:vAlign w:val="center"/>
          </w:tcPr>
          <w:p w14:paraId="223B9BE8" w14:textId="77777777" w:rsidR="00C21029" w:rsidRPr="00687DD2" w:rsidRDefault="00C21029" w:rsidP="0044500E">
            <w:pPr>
              <w:pStyle w:val="Paragraphedeliste"/>
              <w:numPr>
                <w:ilvl w:val="0"/>
                <w:numId w:val="149"/>
              </w:numPr>
              <w:spacing w:after="0" w:line="240" w:lineRule="auto"/>
              <w:ind w:left="219" w:hanging="142"/>
              <w:jc w:val="both"/>
              <w:rPr>
                <w:rFonts w:ascii="Arial Narrow" w:hAnsi="Arial Narrow"/>
              </w:rPr>
            </w:pPr>
            <w:r w:rsidRPr="00687DD2">
              <w:rPr>
                <w:rFonts w:ascii="Arial Narrow" w:hAnsi="Arial Narrow"/>
              </w:rPr>
              <w:t>Protocole de réponse</w:t>
            </w:r>
          </w:p>
          <w:p w14:paraId="63D8D3F1" w14:textId="77777777" w:rsidR="00C21029" w:rsidRPr="00687DD2" w:rsidRDefault="00C21029" w:rsidP="0044500E">
            <w:pPr>
              <w:pStyle w:val="Paragraphedeliste"/>
              <w:numPr>
                <w:ilvl w:val="0"/>
                <w:numId w:val="149"/>
              </w:numPr>
              <w:spacing w:after="0" w:line="240" w:lineRule="auto"/>
              <w:ind w:left="219" w:hanging="142"/>
              <w:jc w:val="both"/>
              <w:rPr>
                <w:rFonts w:ascii="Arial Narrow" w:hAnsi="Arial Narrow"/>
              </w:rPr>
            </w:pPr>
            <w:r w:rsidRPr="00687DD2">
              <w:rPr>
                <w:rFonts w:ascii="Arial Narrow" w:hAnsi="Arial Narrow"/>
              </w:rPr>
              <w:t>% de cas référés aux services de prise en charge juridique, médicale et psychosociale</w:t>
            </w:r>
          </w:p>
        </w:tc>
        <w:tc>
          <w:tcPr>
            <w:tcW w:w="2146" w:type="dxa"/>
            <w:vMerge w:val="restart"/>
            <w:shd w:val="clear" w:color="auto" w:fill="auto"/>
            <w:vAlign w:val="center"/>
          </w:tcPr>
          <w:p w14:paraId="1047BB64" w14:textId="77777777" w:rsidR="00C21029" w:rsidRPr="00687DD2" w:rsidRDefault="00C21029" w:rsidP="0044500E">
            <w:pPr>
              <w:pStyle w:val="Paragraphedeliste"/>
              <w:numPr>
                <w:ilvl w:val="0"/>
                <w:numId w:val="156"/>
              </w:numPr>
              <w:spacing w:after="0" w:line="240" w:lineRule="auto"/>
              <w:ind w:left="141" w:hanging="141"/>
              <w:jc w:val="both"/>
              <w:rPr>
                <w:rFonts w:ascii="Arial Narrow" w:hAnsi="Arial Narrow"/>
              </w:rPr>
            </w:pPr>
            <w:r w:rsidRPr="00687DD2">
              <w:rPr>
                <w:rFonts w:ascii="Arial Narrow" w:hAnsi="Arial Narrow"/>
              </w:rPr>
              <w:t>Prestataire de services</w:t>
            </w:r>
          </w:p>
          <w:p w14:paraId="2AECA1F4" w14:textId="77777777" w:rsidR="00C21029" w:rsidRPr="00687DD2" w:rsidRDefault="00C21029" w:rsidP="0044500E">
            <w:pPr>
              <w:pStyle w:val="Paragraphedeliste"/>
              <w:numPr>
                <w:ilvl w:val="0"/>
                <w:numId w:val="156"/>
              </w:numPr>
              <w:spacing w:after="0" w:line="240" w:lineRule="auto"/>
              <w:ind w:left="141" w:hanging="141"/>
              <w:jc w:val="both"/>
              <w:rPr>
                <w:rFonts w:ascii="Arial Narrow" w:hAnsi="Arial Narrow"/>
              </w:rPr>
            </w:pPr>
            <w:r w:rsidRPr="00687DD2">
              <w:rPr>
                <w:rFonts w:ascii="Arial Narrow" w:hAnsi="Arial Narrow"/>
              </w:rPr>
              <w:t>Autorités locales</w:t>
            </w:r>
          </w:p>
        </w:tc>
        <w:tc>
          <w:tcPr>
            <w:tcW w:w="1839" w:type="dxa"/>
            <w:vMerge w:val="restart"/>
            <w:shd w:val="clear" w:color="auto" w:fill="auto"/>
            <w:vAlign w:val="center"/>
          </w:tcPr>
          <w:p w14:paraId="530DD113" w14:textId="77777777" w:rsidR="00C21029" w:rsidRPr="007F78CE" w:rsidRDefault="00C21029" w:rsidP="007F78CE">
            <w:pPr>
              <w:spacing w:after="0" w:line="240" w:lineRule="auto"/>
              <w:rPr>
                <w:rFonts w:ascii="Arial Narrow" w:hAnsi="Arial Narrow"/>
              </w:rPr>
            </w:pPr>
            <w:r w:rsidRPr="007F78CE">
              <w:rPr>
                <w:rFonts w:ascii="Arial Narrow" w:hAnsi="Arial Narrow"/>
              </w:rPr>
              <w:t>Pendant la durée du Projet</w:t>
            </w:r>
          </w:p>
        </w:tc>
        <w:tc>
          <w:tcPr>
            <w:tcW w:w="1902" w:type="dxa"/>
            <w:vMerge w:val="restart"/>
            <w:shd w:val="clear" w:color="auto" w:fill="auto"/>
            <w:vAlign w:val="center"/>
          </w:tcPr>
          <w:p w14:paraId="541AB206" w14:textId="77777777" w:rsidR="00C21029" w:rsidRPr="007F78CE" w:rsidRDefault="00C21029" w:rsidP="007F78CE">
            <w:pPr>
              <w:spacing w:after="0" w:line="240" w:lineRule="auto"/>
              <w:rPr>
                <w:rFonts w:ascii="Arial Narrow" w:hAnsi="Arial Narrow"/>
              </w:rPr>
            </w:pPr>
            <w:r w:rsidRPr="007F78CE">
              <w:rPr>
                <w:rFonts w:ascii="Arial Narrow" w:hAnsi="Arial Narrow"/>
              </w:rPr>
              <w:t>UCP</w:t>
            </w:r>
          </w:p>
          <w:p w14:paraId="1F2C6E24" w14:textId="77777777" w:rsidR="00C21029" w:rsidRPr="00687DD2" w:rsidRDefault="00C21029" w:rsidP="007F78CE">
            <w:pPr>
              <w:pStyle w:val="Paragraphedeliste"/>
              <w:spacing w:after="0" w:line="240" w:lineRule="auto"/>
              <w:ind w:left="193"/>
              <w:rPr>
                <w:rFonts w:ascii="Arial Narrow" w:hAnsi="Arial Narrow"/>
              </w:rPr>
            </w:pPr>
          </w:p>
        </w:tc>
      </w:tr>
      <w:tr w:rsidR="0063584D" w:rsidRPr="007F78CE" w14:paraId="77F8198A" w14:textId="77777777" w:rsidTr="007F78CE">
        <w:tc>
          <w:tcPr>
            <w:tcW w:w="2337" w:type="dxa"/>
            <w:vMerge/>
            <w:shd w:val="clear" w:color="auto" w:fill="auto"/>
            <w:vAlign w:val="center"/>
          </w:tcPr>
          <w:p w14:paraId="7DD53BC8" w14:textId="77777777" w:rsidR="00C21029" w:rsidRPr="007F78CE" w:rsidRDefault="00C21029" w:rsidP="007F78CE">
            <w:pPr>
              <w:spacing w:after="0" w:line="240" w:lineRule="auto"/>
              <w:rPr>
                <w:rFonts w:ascii="Arial Narrow" w:hAnsi="Arial Narrow"/>
              </w:rPr>
            </w:pPr>
          </w:p>
        </w:tc>
        <w:tc>
          <w:tcPr>
            <w:tcW w:w="2310" w:type="dxa"/>
            <w:vMerge/>
            <w:shd w:val="clear" w:color="auto" w:fill="auto"/>
            <w:vAlign w:val="center"/>
          </w:tcPr>
          <w:p w14:paraId="786370D9" w14:textId="77777777" w:rsidR="00C21029" w:rsidRPr="007F78CE" w:rsidRDefault="00C21029" w:rsidP="007F78CE">
            <w:pPr>
              <w:spacing w:after="0" w:line="240" w:lineRule="auto"/>
              <w:rPr>
                <w:rFonts w:ascii="Arial Narrow" w:hAnsi="Arial Narrow"/>
              </w:rPr>
            </w:pPr>
          </w:p>
        </w:tc>
        <w:tc>
          <w:tcPr>
            <w:tcW w:w="2288" w:type="dxa"/>
            <w:shd w:val="clear" w:color="auto" w:fill="auto"/>
            <w:vAlign w:val="center"/>
          </w:tcPr>
          <w:p w14:paraId="19ED2527" w14:textId="77777777" w:rsidR="00C21029" w:rsidRPr="007F78CE" w:rsidRDefault="00C21029" w:rsidP="007F78CE">
            <w:pPr>
              <w:spacing w:after="0" w:line="240" w:lineRule="auto"/>
              <w:rPr>
                <w:rFonts w:ascii="Arial Narrow" w:hAnsi="Arial Narrow"/>
              </w:rPr>
            </w:pPr>
            <w:r w:rsidRPr="007F78CE">
              <w:rPr>
                <w:rFonts w:ascii="Arial Narrow" w:hAnsi="Arial Narrow" w:cs="Calibri"/>
                <w:b/>
                <w:bCs/>
              </w:rPr>
              <w:t>2.8.2.</w:t>
            </w:r>
            <w:r w:rsidRPr="007F78CE">
              <w:rPr>
                <w:rFonts w:ascii="Arial Narrow" w:hAnsi="Arial Narrow"/>
              </w:rPr>
              <w:t xml:space="preserve"> Réception des plaintes et confidentialité du classement </w:t>
            </w:r>
          </w:p>
        </w:tc>
        <w:tc>
          <w:tcPr>
            <w:tcW w:w="2487" w:type="dxa"/>
            <w:vMerge/>
            <w:shd w:val="clear" w:color="auto" w:fill="auto"/>
            <w:vAlign w:val="center"/>
          </w:tcPr>
          <w:p w14:paraId="39B7076F" w14:textId="77777777" w:rsidR="00C21029" w:rsidRPr="007F78CE" w:rsidRDefault="00C21029" w:rsidP="007F78CE">
            <w:pPr>
              <w:spacing w:after="0" w:line="240" w:lineRule="auto"/>
              <w:rPr>
                <w:rFonts w:ascii="Arial Narrow" w:hAnsi="Arial Narrow"/>
              </w:rPr>
            </w:pPr>
          </w:p>
        </w:tc>
        <w:tc>
          <w:tcPr>
            <w:tcW w:w="2146" w:type="dxa"/>
            <w:vMerge/>
            <w:shd w:val="clear" w:color="auto" w:fill="auto"/>
            <w:vAlign w:val="center"/>
          </w:tcPr>
          <w:p w14:paraId="3DA504FE" w14:textId="77777777" w:rsidR="00C21029" w:rsidRPr="007F78CE" w:rsidRDefault="00C21029" w:rsidP="007F78CE">
            <w:pPr>
              <w:spacing w:after="0" w:line="240" w:lineRule="auto"/>
              <w:rPr>
                <w:rFonts w:ascii="Arial Narrow" w:hAnsi="Arial Narrow"/>
              </w:rPr>
            </w:pPr>
          </w:p>
        </w:tc>
        <w:tc>
          <w:tcPr>
            <w:tcW w:w="1839" w:type="dxa"/>
            <w:vMerge/>
            <w:shd w:val="clear" w:color="auto" w:fill="auto"/>
            <w:vAlign w:val="center"/>
          </w:tcPr>
          <w:p w14:paraId="7EBD4BAD" w14:textId="77777777" w:rsidR="00C21029" w:rsidRPr="007F78CE" w:rsidRDefault="00C21029" w:rsidP="007F78CE">
            <w:pPr>
              <w:spacing w:after="0" w:line="240" w:lineRule="auto"/>
              <w:rPr>
                <w:rFonts w:ascii="Arial Narrow" w:hAnsi="Arial Narrow"/>
              </w:rPr>
            </w:pPr>
          </w:p>
        </w:tc>
        <w:tc>
          <w:tcPr>
            <w:tcW w:w="1902" w:type="dxa"/>
            <w:vMerge/>
            <w:shd w:val="clear" w:color="auto" w:fill="auto"/>
            <w:vAlign w:val="center"/>
          </w:tcPr>
          <w:p w14:paraId="3F0D3006" w14:textId="77777777" w:rsidR="00C21029" w:rsidRPr="00687DD2" w:rsidRDefault="00C21029" w:rsidP="0044500E">
            <w:pPr>
              <w:pStyle w:val="Paragraphedeliste"/>
              <w:numPr>
                <w:ilvl w:val="0"/>
                <w:numId w:val="155"/>
              </w:numPr>
              <w:spacing w:after="0" w:line="240" w:lineRule="auto"/>
              <w:jc w:val="both"/>
              <w:rPr>
                <w:rFonts w:ascii="Arial Narrow" w:hAnsi="Arial Narrow"/>
              </w:rPr>
            </w:pPr>
          </w:p>
        </w:tc>
      </w:tr>
      <w:tr w:rsidR="0063584D" w:rsidRPr="007F78CE" w14:paraId="0EA7DF7C" w14:textId="77777777" w:rsidTr="007F78CE">
        <w:tc>
          <w:tcPr>
            <w:tcW w:w="2337" w:type="dxa"/>
            <w:vMerge/>
            <w:shd w:val="clear" w:color="auto" w:fill="auto"/>
            <w:vAlign w:val="center"/>
          </w:tcPr>
          <w:p w14:paraId="03F8A84A" w14:textId="77777777" w:rsidR="00C21029" w:rsidRPr="007F78CE" w:rsidRDefault="00C21029" w:rsidP="007F78CE">
            <w:pPr>
              <w:spacing w:after="0" w:line="240" w:lineRule="auto"/>
              <w:rPr>
                <w:rFonts w:ascii="Arial Narrow" w:hAnsi="Arial Narrow"/>
              </w:rPr>
            </w:pPr>
          </w:p>
        </w:tc>
        <w:tc>
          <w:tcPr>
            <w:tcW w:w="2310" w:type="dxa"/>
            <w:vMerge/>
            <w:shd w:val="clear" w:color="auto" w:fill="auto"/>
            <w:vAlign w:val="center"/>
          </w:tcPr>
          <w:p w14:paraId="755CDABF" w14:textId="77777777" w:rsidR="00C21029" w:rsidRPr="007F78CE" w:rsidRDefault="00C21029" w:rsidP="007F78CE">
            <w:pPr>
              <w:spacing w:after="0" w:line="240" w:lineRule="auto"/>
              <w:rPr>
                <w:rFonts w:ascii="Arial Narrow" w:hAnsi="Arial Narrow"/>
              </w:rPr>
            </w:pPr>
          </w:p>
        </w:tc>
        <w:tc>
          <w:tcPr>
            <w:tcW w:w="2288" w:type="dxa"/>
            <w:shd w:val="clear" w:color="auto" w:fill="auto"/>
            <w:vAlign w:val="center"/>
          </w:tcPr>
          <w:p w14:paraId="0640D69D" w14:textId="77777777" w:rsidR="00C21029" w:rsidRPr="007F78CE" w:rsidRDefault="00C21029" w:rsidP="007F78CE">
            <w:pPr>
              <w:spacing w:after="0" w:line="240" w:lineRule="auto"/>
              <w:rPr>
                <w:rFonts w:ascii="Arial Narrow" w:hAnsi="Arial Narrow"/>
              </w:rPr>
            </w:pPr>
            <w:r w:rsidRPr="007F78CE">
              <w:rPr>
                <w:rFonts w:ascii="Arial Narrow" w:hAnsi="Arial Narrow" w:cs="Calibri"/>
                <w:b/>
                <w:bCs/>
              </w:rPr>
              <w:t>2.8.3.</w:t>
            </w:r>
            <w:r w:rsidRPr="007F78CE">
              <w:rPr>
                <w:rFonts w:ascii="Arial Narrow" w:hAnsi="Arial Narrow"/>
              </w:rPr>
              <w:t xml:space="preserve"> Assistance et soutien adéquat au survivant (es)-communication des informations à la direction</w:t>
            </w:r>
          </w:p>
        </w:tc>
        <w:tc>
          <w:tcPr>
            <w:tcW w:w="2487" w:type="dxa"/>
            <w:vMerge/>
            <w:shd w:val="clear" w:color="auto" w:fill="auto"/>
            <w:vAlign w:val="center"/>
          </w:tcPr>
          <w:p w14:paraId="0075F704" w14:textId="77777777" w:rsidR="00C21029" w:rsidRPr="007F78CE" w:rsidRDefault="00C21029" w:rsidP="007F78CE">
            <w:pPr>
              <w:spacing w:after="0" w:line="240" w:lineRule="auto"/>
              <w:rPr>
                <w:rFonts w:ascii="Arial Narrow" w:hAnsi="Arial Narrow"/>
              </w:rPr>
            </w:pPr>
          </w:p>
        </w:tc>
        <w:tc>
          <w:tcPr>
            <w:tcW w:w="2146" w:type="dxa"/>
            <w:vMerge/>
            <w:shd w:val="clear" w:color="auto" w:fill="auto"/>
            <w:vAlign w:val="center"/>
          </w:tcPr>
          <w:p w14:paraId="48920DD9" w14:textId="77777777" w:rsidR="00C21029" w:rsidRPr="007F78CE" w:rsidRDefault="00C21029" w:rsidP="007F78CE">
            <w:pPr>
              <w:spacing w:after="0" w:line="240" w:lineRule="auto"/>
              <w:rPr>
                <w:rFonts w:ascii="Arial Narrow" w:hAnsi="Arial Narrow"/>
              </w:rPr>
            </w:pPr>
          </w:p>
        </w:tc>
        <w:tc>
          <w:tcPr>
            <w:tcW w:w="1839" w:type="dxa"/>
            <w:vMerge/>
            <w:shd w:val="clear" w:color="auto" w:fill="auto"/>
            <w:vAlign w:val="center"/>
          </w:tcPr>
          <w:p w14:paraId="262A1CEB" w14:textId="77777777" w:rsidR="00C21029" w:rsidRPr="007F78CE" w:rsidRDefault="00C21029" w:rsidP="007F78CE">
            <w:pPr>
              <w:spacing w:after="0" w:line="240" w:lineRule="auto"/>
              <w:rPr>
                <w:rFonts w:ascii="Arial Narrow" w:hAnsi="Arial Narrow"/>
              </w:rPr>
            </w:pPr>
          </w:p>
        </w:tc>
        <w:tc>
          <w:tcPr>
            <w:tcW w:w="1902" w:type="dxa"/>
            <w:vMerge/>
            <w:shd w:val="clear" w:color="auto" w:fill="auto"/>
            <w:vAlign w:val="center"/>
          </w:tcPr>
          <w:p w14:paraId="38A43591" w14:textId="77777777" w:rsidR="00C21029" w:rsidRPr="00687DD2" w:rsidRDefault="00C21029" w:rsidP="0044500E">
            <w:pPr>
              <w:pStyle w:val="Paragraphedeliste"/>
              <w:numPr>
                <w:ilvl w:val="0"/>
                <w:numId w:val="155"/>
              </w:numPr>
              <w:spacing w:after="0" w:line="240" w:lineRule="auto"/>
              <w:jc w:val="both"/>
              <w:rPr>
                <w:rFonts w:ascii="Arial Narrow" w:hAnsi="Arial Narrow"/>
              </w:rPr>
            </w:pPr>
          </w:p>
        </w:tc>
      </w:tr>
      <w:tr w:rsidR="0063584D" w:rsidRPr="007F78CE" w14:paraId="278A86DE" w14:textId="77777777" w:rsidTr="007F78CE">
        <w:tc>
          <w:tcPr>
            <w:tcW w:w="2337" w:type="dxa"/>
            <w:vMerge/>
            <w:shd w:val="clear" w:color="auto" w:fill="auto"/>
            <w:vAlign w:val="center"/>
          </w:tcPr>
          <w:p w14:paraId="5935496C" w14:textId="77777777" w:rsidR="00C21029" w:rsidRPr="007F78CE" w:rsidRDefault="00C21029" w:rsidP="007F78CE">
            <w:pPr>
              <w:spacing w:after="0" w:line="240" w:lineRule="auto"/>
              <w:rPr>
                <w:rFonts w:ascii="Arial Narrow" w:hAnsi="Arial Narrow"/>
              </w:rPr>
            </w:pPr>
          </w:p>
        </w:tc>
        <w:tc>
          <w:tcPr>
            <w:tcW w:w="2310" w:type="dxa"/>
            <w:vMerge/>
            <w:shd w:val="clear" w:color="auto" w:fill="auto"/>
            <w:vAlign w:val="center"/>
          </w:tcPr>
          <w:p w14:paraId="6C4EA8F8" w14:textId="77777777" w:rsidR="00C21029" w:rsidRPr="007F78CE" w:rsidRDefault="00C21029" w:rsidP="007F78CE">
            <w:pPr>
              <w:spacing w:after="0" w:line="240" w:lineRule="auto"/>
              <w:rPr>
                <w:rFonts w:ascii="Arial Narrow" w:hAnsi="Arial Narrow"/>
              </w:rPr>
            </w:pPr>
          </w:p>
        </w:tc>
        <w:tc>
          <w:tcPr>
            <w:tcW w:w="2288" w:type="dxa"/>
            <w:shd w:val="clear" w:color="auto" w:fill="auto"/>
            <w:vAlign w:val="center"/>
          </w:tcPr>
          <w:p w14:paraId="20B53226" w14:textId="77777777" w:rsidR="00C21029" w:rsidRPr="007F78CE" w:rsidRDefault="00C21029" w:rsidP="007F78CE">
            <w:pPr>
              <w:spacing w:after="0" w:line="240" w:lineRule="auto"/>
              <w:rPr>
                <w:rFonts w:ascii="Arial Narrow" w:hAnsi="Arial Narrow"/>
              </w:rPr>
            </w:pPr>
            <w:r w:rsidRPr="007F78CE">
              <w:rPr>
                <w:rFonts w:ascii="Arial Narrow" w:hAnsi="Arial Narrow" w:cs="Calibri"/>
                <w:b/>
                <w:bCs/>
              </w:rPr>
              <w:t xml:space="preserve">2.8.4 </w:t>
            </w:r>
            <w:r w:rsidRPr="007F78CE">
              <w:rPr>
                <w:rFonts w:ascii="Arial Narrow" w:hAnsi="Arial Narrow"/>
              </w:rPr>
              <w:t xml:space="preserve">Règlement et clôture du dossier </w:t>
            </w:r>
          </w:p>
        </w:tc>
        <w:tc>
          <w:tcPr>
            <w:tcW w:w="2487" w:type="dxa"/>
            <w:shd w:val="clear" w:color="auto" w:fill="auto"/>
            <w:vAlign w:val="center"/>
          </w:tcPr>
          <w:p w14:paraId="62519F9D" w14:textId="77777777" w:rsidR="00C21029" w:rsidRPr="007F78CE" w:rsidRDefault="00C21029" w:rsidP="007F78CE">
            <w:pPr>
              <w:spacing w:after="0" w:line="240" w:lineRule="auto"/>
              <w:rPr>
                <w:rFonts w:ascii="Arial Narrow" w:hAnsi="Arial Narrow"/>
              </w:rPr>
            </w:pPr>
            <w:r w:rsidRPr="007F78CE">
              <w:rPr>
                <w:rFonts w:ascii="Arial Narrow" w:hAnsi="Arial Narrow"/>
              </w:rPr>
              <w:t>- % de cas traités dans le délai prévu dans le MGP</w:t>
            </w:r>
          </w:p>
        </w:tc>
        <w:tc>
          <w:tcPr>
            <w:tcW w:w="2146" w:type="dxa"/>
            <w:vMerge/>
            <w:shd w:val="clear" w:color="auto" w:fill="auto"/>
            <w:vAlign w:val="center"/>
          </w:tcPr>
          <w:p w14:paraId="706532A2" w14:textId="77777777" w:rsidR="00C21029" w:rsidRPr="007F78CE" w:rsidRDefault="00C21029" w:rsidP="007F78CE">
            <w:pPr>
              <w:spacing w:after="0" w:line="240" w:lineRule="auto"/>
              <w:rPr>
                <w:rFonts w:ascii="Arial Narrow" w:hAnsi="Arial Narrow"/>
              </w:rPr>
            </w:pPr>
          </w:p>
        </w:tc>
        <w:tc>
          <w:tcPr>
            <w:tcW w:w="1839" w:type="dxa"/>
            <w:vMerge/>
            <w:shd w:val="clear" w:color="auto" w:fill="auto"/>
            <w:vAlign w:val="center"/>
          </w:tcPr>
          <w:p w14:paraId="75546091" w14:textId="77777777" w:rsidR="00C21029" w:rsidRPr="007F78CE" w:rsidRDefault="00C21029" w:rsidP="007F78CE">
            <w:pPr>
              <w:spacing w:after="0" w:line="240" w:lineRule="auto"/>
              <w:rPr>
                <w:rFonts w:ascii="Arial Narrow" w:hAnsi="Arial Narrow"/>
              </w:rPr>
            </w:pPr>
          </w:p>
        </w:tc>
        <w:tc>
          <w:tcPr>
            <w:tcW w:w="1902" w:type="dxa"/>
            <w:vMerge/>
            <w:shd w:val="clear" w:color="auto" w:fill="auto"/>
            <w:vAlign w:val="center"/>
          </w:tcPr>
          <w:p w14:paraId="41099449" w14:textId="77777777" w:rsidR="00C21029" w:rsidRPr="00687DD2" w:rsidRDefault="00C21029" w:rsidP="0044500E">
            <w:pPr>
              <w:pStyle w:val="Paragraphedeliste"/>
              <w:numPr>
                <w:ilvl w:val="0"/>
                <w:numId w:val="155"/>
              </w:numPr>
              <w:spacing w:after="0" w:line="240" w:lineRule="auto"/>
              <w:jc w:val="both"/>
              <w:rPr>
                <w:rFonts w:ascii="Arial Narrow" w:hAnsi="Arial Narrow"/>
              </w:rPr>
            </w:pPr>
          </w:p>
        </w:tc>
      </w:tr>
      <w:tr w:rsidR="0063584D" w:rsidRPr="007F78CE" w14:paraId="21DE20D0" w14:textId="77777777" w:rsidTr="007F78CE">
        <w:tc>
          <w:tcPr>
            <w:tcW w:w="2337" w:type="dxa"/>
            <w:vMerge w:val="restart"/>
            <w:shd w:val="clear" w:color="auto" w:fill="auto"/>
            <w:vAlign w:val="center"/>
          </w:tcPr>
          <w:p w14:paraId="0864BE08"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 xml:space="preserve">2.9. </w:t>
            </w:r>
            <w:r w:rsidRPr="007F78CE">
              <w:rPr>
                <w:rFonts w:ascii="Arial Narrow" w:hAnsi="Arial Narrow"/>
              </w:rPr>
              <w:t>Accompagner les survivant(e)s d’EAS/HS</w:t>
            </w:r>
          </w:p>
          <w:p w14:paraId="1BDAE20B" w14:textId="77777777" w:rsidR="00C21029" w:rsidRPr="007F78CE" w:rsidRDefault="00C21029" w:rsidP="007F78CE">
            <w:pPr>
              <w:spacing w:after="0" w:line="240" w:lineRule="auto"/>
              <w:rPr>
                <w:rFonts w:ascii="Arial Narrow" w:hAnsi="Arial Narrow"/>
              </w:rPr>
            </w:pPr>
          </w:p>
        </w:tc>
        <w:tc>
          <w:tcPr>
            <w:tcW w:w="2310" w:type="dxa"/>
            <w:vMerge w:val="restart"/>
            <w:shd w:val="clear" w:color="auto" w:fill="auto"/>
            <w:vAlign w:val="center"/>
          </w:tcPr>
          <w:p w14:paraId="371E8F1F" w14:textId="77777777" w:rsidR="00C21029" w:rsidRPr="007F78CE" w:rsidRDefault="00C21029" w:rsidP="007F78CE">
            <w:pPr>
              <w:spacing w:after="0" w:line="240" w:lineRule="auto"/>
              <w:rPr>
                <w:rFonts w:ascii="Arial Narrow" w:hAnsi="Arial Narrow"/>
              </w:rPr>
            </w:pPr>
            <w:r w:rsidRPr="007F78CE">
              <w:rPr>
                <w:rFonts w:ascii="Arial Narrow" w:hAnsi="Arial Narrow"/>
              </w:rPr>
              <w:t>Les survivant(e)s d’EAS/HS liés au Projet seront accompagnés par l’organisme d’appui VBG.</w:t>
            </w:r>
          </w:p>
          <w:p w14:paraId="2A656AE9" w14:textId="77777777" w:rsidR="00C21029" w:rsidRPr="007F78CE" w:rsidRDefault="00C21029" w:rsidP="007F78CE">
            <w:pPr>
              <w:spacing w:after="0" w:line="240" w:lineRule="auto"/>
              <w:rPr>
                <w:rFonts w:ascii="Arial Narrow" w:hAnsi="Arial Narrow"/>
              </w:rPr>
            </w:pPr>
            <w:r w:rsidRPr="007F78CE">
              <w:rPr>
                <w:rFonts w:ascii="Arial Narrow" w:hAnsi="Arial Narrow"/>
              </w:rPr>
              <w:t>Ceux qui se rapportent à des travailleurs de l’entreprise ou des MdC le seront par l’entreprise/ MdC (y compris les charges afférentes)</w:t>
            </w:r>
          </w:p>
        </w:tc>
        <w:tc>
          <w:tcPr>
            <w:tcW w:w="2288" w:type="dxa"/>
            <w:shd w:val="clear" w:color="auto" w:fill="auto"/>
            <w:vAlign w:val="center"/>
          </w:tcPr>
          <w:p w14:paraId="0FC32D89"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2.9.1.</w:t>
            </w:r>
            <w:r w:rsidRPr="007F78CE">
              <w:rPr>
                <w:rFonts w:ascii="Arial Narrow" w:hAnsi="Arial Narrow"/>
              </w:rPr>
              <w:t xml:space="preserve"> Transférer les cas qui se rapportent au Projet aux structures d’appui</w:t>
            </w:r>
          </w:p>
        </w:tc>
        <w:tc>
          <w:tcPr>
            <w:tcW w:w="2487" w:type="dxa"/>
            <w:shd w:val="clear" w:color="auto" w:fill="auto"/>
            <w:vAlign w:val="center"/>
          </w:tcPr>
          <w:p w14:paraId="4DB69FC9" w14:textId="77777777" w:rsidR="00C21029" w:rsidRPr="007F78CE" w:rsidRDefault="00C21029" w:rsidP="007F78CE">
            <w:pPr>
              <w:spacing w:after="0" w:line="240" w:lineRule="auto"/>
              <w:rPr>
                <w:rFonts w:ascii="Arial Narrow" w:hAnsi="Arial Narrow"/>
              </w:rPr>
            </w:pPr>
            <w:r w:rsidRPr="007F78CE">
              <w:rPr>
                <w:rFonts w:ascii="Arial Narrow" w:hAnsi="Arial Narrow"/>
              </w:rPr>
              <w:t>Pourcentage des survivant(e)s d’EAS/HS référé(e)s aux services</w:t>
            </w:r>
          </w:p>
        </w:tc>
        <w:tc>
          <w:tcPr>
            <w:tcW w:w="2146" w:type="dxa"/>
            <w:shd w:val="clear" w:color="auto" w:fill="auto"/>
            <w:vAlign w:val="center"/>
          </w:tcPr>
          <w:p w14:paraId="721CB2A4" w14:textId="77777777" w:rsidR="00C21029" w:rsidRPr="007F78CE" w:rsidRDefault="00C21029" w:rsidP="007F78CE">
            <w:pPr>
              <w:spacing w:after="0" w:line="240" w:lineRule="auto"/>
              <w:rPr>
                <w:rFonts w:ascii="Arial Narrow" w:hAnsi="Arial Narrow"/>
              </w:rPr>
            </w:pPr>
            <w:r w:rsidRPr="007F78CE">
              <w:rPr>
                <w:rFonts w:ascii="Arial Narrow" w:hAnsi="Arial Narrow"/>
              </w:rPr>
              <w:t>Tout plaignant qui se manifeste</w:t>
            </w:r>
          </w:p>
        </w:tc>
        <w:tc>
          <w:tcPr>
            <w:tcW w:w="1839" w:type="dxa"/>
            <w:shd w:val="clear" w:color="auto" w:fill="auto"/>
            <w:vAlign w:val="center"/>
          </w:tcPr>
          <w:p w14:paraId="51FE2880" w14:textId="77777777" w:rsidR="00C21029" w:rsidRPr="007F78CE" w:rsidRDefault="00C21029" w:rsidP="007F78CE">
            <w:pPr>
              <w:spacing w:after="0" w:line="240" w:lineRule="auto"/>
              <w:rPr>
                <w:rFonts w:ascii="Arial Narrow" w:hAnsi="Arial Narrow"/>
              </w:rPr>
            </w:pPr>
            <w:r w:rsidRPr="007F78CE">
              <w:rPr>
                <w:rFonts w:ascii="Arial Narrow" w:hAnsi="Arial Narrow"/>
              </w:rPr>
              <w:t>Durant l’exécution des contrats et des conventions de partenariat</w:t>
            </w:r>
          </w:p>
        </w:tc>
        <w:tc>
          <w:tcPr>
            <w:tcW w:w="1902" w:type="dxa"/>
            <w:vMerge w:val="restart"/>
            <w:shd w:val="clear" w:color="auto" w:fill="auto"/>
            <w:vAlign w:val="center"/>
          </w:tcPr>
          <w:p w14:paraId="1E649822" w14:textId="77777777" w:rsidR="00C21029" w:rsidRPr="007F78CE" w:rsidRDefault="00C21029" w:rsidP="007F78CE">
            <w:pPr>
              <w:spacing w:after="0" w:line="240" w:lineRule="auto"/>
              <w:rPr>
                <w:rFonts w:ascii="Arial Narrow" w:hAnsi="Arial Narrow"/>
              </w:rPr>
            </w:pPr>
            <w:r w:rsidRPr="007F78CE">
              <w:rPr>
                <w:rFonts w:ascii="Arial Narrow" w:hAnsi="Arial Narrow"/>
              </w:rPr>
              <w:t xml:space="preserve">Prestataire de services </w:t>
            </w:r>
          </w:p>
          <w:p w14:paraId="142D1DD5" w14:textId="77777777" w:rsidR="00C21029" w:rsidRPr="007F78CE" w:rsidRDefault="00C21029" w:rsidP="007F78CE">
            <w:pPr>
              <w:spacing w:after="0" w:line="240" w:lineRule="auto"/>
              <w:rPr>
                <w:rFonts w:ascii="Arial Narrow" w:hAnsi="Arial Narrow"/>
              </w:rPr>
            </w:pPr>
            <w:r w:rsidRPr="007F78CE">
              <w:rPr>
                <w:rFonts w:ascii="Arial Narrow" w:hAnsi="Arial Narrow"/>
              </w:rPr>
              <w:t>UCP (Spécialiste VBG</w:t>
            </w:r>
            <w:r w:rsidR="00C940D0">
              <w:rPr>
                <w:rFonts w:ascii="Arial Narrow" w:hAnsi="Arial Narrow"/>
              </w:rPr>
              <w:t>/EAS-HS</w:t>
            </w:r>
            <w:r w:rsidRPr="007F78CE">
              <w:rPr>
                <w:rFonts w:ascii="Arial Narrow" w:hAnsi="Arial Narrow"/>
              </w:rPr>
              <w:t>)</w:t>
            </w:r>
          </w:p>
        </w:tc>
      </w:tr>
      <w:tr w:rsidR="0063584D" w:rsidRPr="007F78CE" w14:paraId="462FEEE2" w14:textId="77777777" w:rsidTr="007F78CE">
        <w:tc>
          <w:tcPr>
            <w:tcW w:w="2337" w:type="dxa"/>
            <w:vMerge/>
            <w:shd w:val="clear" w:color="auto" w:fill="auto"/>
            <w:vAlign w:val="center"/>
          </w:tcPr>
          <w:p w14:paraId="619D9A63" w14:textId="77777777" w:rsidR="00C21029" w:rsidRPr="007F78CE" w:rsidRDefault="00C21029" w:rsidP="007F78CE">
            <w:pPr>
              <w:spacing w:after="0" w:line="240" w:lineRule="auto"/>
              <w:rPr>
                <w:rFonts w:ascii="Arial Narrow" w:hAnsi="Arial Narrow"/>
              </w:rPr>
            </w:pPr>
          </w:p>
        </w:tc>
        <w:tc>
          <w:tcPr>
            <w:tcW w:w="2310" w:type="dxa"/>
            <w:vMerge/>
            <w:shd w:val="clear" w:color="auto" w:fill="auto"/>
            <w:vAlign w:val="center"/>
          </w:tcPr>
          <w:p w14:paraId="7638A519" w14:textId="77777777" w:rsidR="00C21029" w:rsidRPr="007F78CE" w:rsidRDefault="00C21029" w:rsidP="007F78CE">
            <w:pPr>
              <w:spacing w:after="0" w:line="240" w:lineRule="auto"/>
              <w:rPr>
                <w:rFonts w:ascii="Arial Narrow" w:hAnsi="Arial Narrow"/>
              </w:rPr>
            </w:pPr>
          </w:p>
        </w:tc>
        <w:tc>
          <w:tcPr>
            <w:tcW w:w="2288" w:type="dxa"/>
            <w:shd w:val="clear" w:color="auto" w:fill="auto"/>
            <w:vAlign w:val="center"/>
          </w:tcPr>
          <w:p w14:paraId="7622A7D1" w14:textId="77777777" w:rsidR="009C4068" w:rsidRDefault="00C21029" w:rsidP="007F78CE">
            <w:pPr>
              <w:spacing w:after="0" w:line="240" w:lineRule="auto"/>
              <w:rPr>
                <w:rFonts w:ascii="Arial Narrow" w:hAnsi="Arial Narrow"/>
              </w:rPr>
            </w:pPr>
            <w:r w:rsidRPr="007F78CE">
              <w:rPr>
                <w:rFonts w:ascii="Arial Narrow" w:hAnsi="Arial Narrow"/>
                <w:b/>
                <w:bCs/>
              </w:rPr>
              <w:t>2.9.2.</w:t>
            </w:r>
            <w:r w:rsidRPr="007F78CE">
              <w:rPr>
                <w:rFonts w:ascii="Arial Narrow" w:hAnsi="Arial Narrow"/>
              </w:rPr>
              <w:t xml:space="preserve"> Prise en charge psychosociale des survivants : Counseling et réinsertion sociale,</w:t>
            </w:r>
          </w:p>
          <w:p w14:paraId="2A8CE0F5" w14:textId="77777777" w:rsidR="00C21029" w:rsidRPr="007F78CE" w:rsidRDefault="00C21029" w:rsidP="007F78CE">
            <w:pPr>
              <w:spacing w:after="0" w:line="240" w:lineRule="auto"/>
              <w:rPr>
                <w:rFonts w:ascii="Arial Narrow" w:hAnsi="Arial Narrow" w:cs="Calibri"/>
                <w:b/>
                <w:bCs/>
              </w:rPr>
            </w:pPr>
            <w:r w:rsidRPr="007F78CE">
              <w:rPr>
                <w:rFonts w:ascii="Arial Narrow" w:hAnsi="Arial Narrow"/>
              </w:rPr>
              <w:t>autres</w:t>
            </w:r>
          </w:p>
        </w:tc>
        <w:tc>
          <w:tcPr>
            <w:tcW w:w="2487" w:type="dxa"/>
            <w:shd w:val="clear" w:color="auto" w:fill="auto"/>
            <w:vAlign w:val="center"/>
          </w:tcPr>
          <w:p w14:paraId="799EDD5C" w14:textId="77777777" w:rsidR="00C21029" w:rsidRPr="007F78CE" w:rsidRDefault="00C21029" w:rsidP="007F78CE">
            <w:pPr>
              <w:spacing w:after="0" w:line="240" w:lineRule="auto"/>
              <w:rPr>
                <w:rFonts w:ascii="Arial Narrow" w:hAnsi="Arial Narrow"/>
              </w:rPr>
            </w:pPr>
            <w:r w:rsidRPr="007F78CE">
              <w:rPr>
                <w:rFonts w:ascii="Arial Narrow" w:hAnsi="Arial Narrow"/>
              </w:rPr>
              <w:t>Pourcentage de survivant(e)s pris(es) en charge</w:t>
            </w:r>
          </w:p>
        </w:tc>
        <w:tc>
          <w:tcPr>
            <w:tcW w:w="2146" w:type="dxa"/>
            <w:shd w:val="clear" w:color="auto" w:fill="auto"/>
            <w:vAlign w:val="center"/>
          </w:tcPr>
          <w:p w14:paraId="5E9F01C4" w14:textId="77777777" w:rsidR="00C21029" w:rsidRPr="007F78CE" w:rsidRDefault="00C21029" w:rsidP="007F78CE">
            <w:pPr>
              <w:spacing w:after="0" w:line="240" w:lineRule="auto"/>
              <w:rPr>
                <w:rFonts w:ascii="Arial Narrow" w:hAnsi="Arial Narrow"/>
              </w:rPr>
            </w:pPr>
            <w:r w:rsidRPr="007F78CE">
              <w:rPr>
                <w:rFonts w:ascii="Arial Narrow" w:hAnsi="Arial Narrow"/>
              </w:rPr>
              <w:t>Tout plaignant, priorité aux survivant(e)s qui se rapportent à des activités du Projet</w:t>
            </w:r>
          </w:p>
        </w:tc>
        <w:tc>
          <w:tcPr>
            <w:tcW w:w="1839" w:type="dxa"/>
            <w:shd w:val="clear" w:color="auto" w:fill="auto"/>
            <w:vAlign w:val="center"/>
          </w:tcPr>
          <w:p w14:paraId="1513930C" w14:textId="77777777" w:rsidR="00C21029" w:rsidRPr="007F78CE" w:rsidRDefault="00C21029" w:rsidP="007F78CE">
            <w:pPr>
              <w:spacing w:after="0" w:line="240" w:lineRule="auto"/>
              <w:rPr>
                <w:rFonts w:ascii="Arial Narrow" w:hAnsi="Arial Narrow"/>
              </w:rPr>
            </w:pPr>
            <w:r w:rsidRPr="007F78CE">
              <w:rPr>
                <w:rFonts w:ascii="Arial Narrow" w:hAnsi="Arial Narrow"/>
              </w:rPr>
              <w:t>Durant l’exécution des contrats et des conventions de partenariat</w:t>
            </w:r>
          </w:p>
        </w:tc>
        <w:tc>
          <w:tcPr>
            <w:tcW w:w="1902" w:type="dxa"/>
            <w:vMerge/>
            <w:shd w:val="clear" w:color="auto" w:fill="auto"/>
            <w:vAlign w:val="center"/>
          </w:tcPr>
          <w:p w14:paraId="2AFCFAD8" w14:textId="77777777" w:rsidR="00C21029" w:rsidRPr="00687DD2" w:rsidRDefault="00C21029" w:rsidP="0044500E">
            <w:pPr>
              <w:pStyle w:val="Paragraphedeliste"/>
              <w:numPr>
                <w:ilvl w:val="0"/>
                <w:numId w:val="155"/>
              </w:numPr>
              <w:spacing w:after="0" w:line="240" w:lineRule="auto"/>
              <w:jc w:val="both"/>
              <w:rPr>
                <w:rFonts w:ascii="Arial Narrow" w:hAnsi="Arial Narrow"/>
              </w:rPr>
            </w:pPr>
          </w:p>
        </w:tc>
      </w:tr>
      <w:tr w:rsidR="0063584D" w:rsidRPr="007F78CE" w14:paraId="42CBA23F" w14:textId="77777777" w:rsidTr="007F78CE">
        <w:tc>
          <w:tcPr>
            <w:tcW w:w="2337" w:type="dxa"/>
            <w:vMerge/>
            <w:shd w:val="clear" w:color="auto" w:fill="auto"/>
            <w:vAlign w:val="center"/>
          </w:tcPr>
          <w:p w14:paraId="37EC39B5" w14:textId="77777777" w:rsidR="00C21029" w:rsidRPr="007F78CE" w:rsidRDefault="00C21029" w:rsidP="007F78CE">
            <w:pPr>
              <w:spacing w:after="0" w:line="240" w:lineRule="auto"/>
              <w:rPr>
                <w:rFonts w:ascii="Arial Narrow" w:hAnsi="Arial Narrow"/>
              </w:rPr>
            </w:pPr>
          </w:p>
        </w:tc>
        <w:tc>
          <w:tcPr>
            <w:tcW w:w="2310" w:type="dxa"/>
            <w:vMerge/>
            <w:shd w:val="clear" w:color="auto" w:fill="auto"/>
            <w:vAlign w:val="center"/>
          </w:tcPr>
          <w:p w14:paraId="7C6E93EA" w14:textId="77777777" w:rsidR="00C21029" w:rsidRPr="007F78CE" w:rsidRDefault="00C21029" w:rsidP="007F78CE">
            <w:pPr>
              <w:spacing w:after="0" w:line="240" w:lineRule="auto"/>
              <w:rPr>
                <w:rFonts w:ascii="Arial Narrow" w:hAnsi="Arial Narrow"/>
              </w:rPr>
            </w:pPr>
          </w:p>
        </w:tc>
        <w:tc>
          <w:tcPr>
            <w:tcW w:w="2288" w:type="dxa"/>
            <w:shd w:val="clear" w:color="auto" w:fill="auto"/>
            <w:vAlign w:val="center"/>
          </w:tcPr>
          <w:p w14:paraId="392D7CEE"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 xml:space="preserve">2.9.3. </w:t>
            </w:r>
            <w:r w:rsidRPr="007F78CE">
              <w:rPr>
                <w:rFonts w:ascii="Arial Narrow" w:hAnsi="Arial Narrow"/>
              </w:rPr>
              <w:t>Prise en charge médicale : Consultation médicale ; Soins médicaux</w:t>
            </w:r>
          </w:p>
          <w:p w14:paraId="211E994B" w14:textId="77777777" w:rsidR="00C21029" w:rsidRPr="007F78CE" w:rsidRDefault="00C21029" w:rsidP="007F78CE">
            <w:pPr>
              <w:spacing w:after="0" w:line="240" w:lineRule="auto"/>
              <w:rPr>
                <w:rFonts w:ascii="Arial Narrow" w:hAnsi="Arial Narrow"/>
                <w:b/>
                <w:bCs/>
              </w:rPr>
            </w:pPr>
            <w:r w:rsidRPr="007F78CE">
              <w:rPr>
                <w:rFonts w:ascii="Arial Narrow" w:hAnsi="Arial Narrow"/>
              </w:rPr>
              <w:t>Autres</w:t>
            </w:r>
          </w:p>
        </w:tc>
        <w:tc>
          <w:tcPr>
            <w:tcW w:w="2487" w:type="dxa"/>
            <w:shd w:val="clear" w:color="auto" w:fill="auto"/>
            <w:vAlign w:val="center"/>
          </w:tcPr>
          <w:p w14:paraId="2DEB9C20" w14:textId="77777777" w:rsidR="00C21029" w:rsidRPr="007F78CE" w:rsidRDefault="00C21029" w:rsidP="007F78CE">
            <w:pPr>
              <w:spacing w:after="0" w:line="240" w:lineRule="auto"/>
              <w:rPr>
                <w:rFonts w:ascii="Arial Narrow" w:hAnsi="Arial Narrow"/>
              </w:rPr>
            </w:pPr>
            <w:r w:rsidRPr="007F78CE">
              <w:rPr>
                <w:rFonts w:ascii="Arial Narrow" w:hAnsi="Arial Narrow"/>
              </w:rPr>
              <w:t>Pourcentage de survivant(e)s médicalement pris en charge</w:t>
            </w:r>
          </w:p>
          <w:p w14:paraId="42D15536" w14:textId="77777777" w:rsidR="00C21029" w:rsidRPr="007F78CE" w:rsidRDefault="00C21029" w:rsidP="007F78CE">
            <w:pPr>
              <w:spacing w:after="0" w:line="240" w:lineRule="auto"/>
              <w:rPr>
                <w:rFonts w:ascii="Arial Narrow" w:hAnsi="Arial Narrow"/>
              </w:rPr>
            </w:pPr>
          </w:p>
        </w:tc>
        <w:tc>
          <w:tcPr>
            <w:tcW w:w="2146" w:type="dxa"/>
            <w:shd w:val="clear" w:color="auto" w:fill="auto"/>
            <w:vAlign w:val="center"/>
          </w:tcPr>
          <w:p w14:paraId="73BECD6F" w14:textId="77777777" w:rsidR="00C21029" w:rsidRPr="007F78CE" w:rsidRDefault="00C21029" w:rsidP="007F78CE">
            <w:pPr>
              <w:spacing w:after="0" w:line="240" w:lineRule="auto"/>
              <w:rPr>
                <w:rFonts w:ascii="Arial Narrow" w:hAnsi="Arial Narrow"/>
              </w:rPr>
            </w:pPr>
            <w:r w:rsidRPr="007F78CE">
              <w:rPr>
                <w:rFonts w:ascii="Arial Narrow" w:hAnsi="Arial Narrow"/>
              </w:rPr>
              <w:t>Tout plaignant, priorité aux survivant(e)s qui se rapportent à des activités du Projet</w:t>
            </w:r>
          </w:p>
        </w:tc>
        <w:tc>
          <w:tcPr>
            <w:tcW w:w="1839" w:type="dxa"/>
            <w:shd w:val="clear" w:color="auto" w:fill="auto"/>
            <w:vAlign w:val="center"/>
          </w:tcPr>
          <w:p w14:paraId="79DC0CD6" w14:textId="77777777" w:rsidR="00C21029" w:rsidRPr="007F78CE" w:rsidRDefault="00C21029" w:rsidP="007F78CE">
            <w:pPr>
              <w:spacing w:after="0" w:line="240" w:lineRule="auto"/>
              <w:rPr>
                <w:rFonts w:ascii="Arial Narrow" w:hAnsi="Arial Narrow"/>
              </w:rPr>
            </w:pPr>
            <w:r w:rsidRPr="007F78CE">
              <w:rPr>
                <w:rFonts w:ascii="Arial Narrow" w:hAnsi="Arial Narrow"/>
              </w:rPr>
              <w:t>Durant l’exécution des contrats et des conventions de partenariat</w:t>
            </w:r>
          </w:p>
        </w:tc>
        <w:tc>
          <w:tcPr>
            <w:tcW w:w="1902" w:type="dxa"/>
            <w:vMerge/>
            <w:shd w:val="clear" w:color="auto" w:fill="auto"/>
            <w:vAlign w:val="center"/>
          </w:tcPr>
          <w:p w14:paraId="09E57524" w14:textId="77777777" w:rsidR="00C21029" w:rsidRPr="00687DD2" w:rsidRDefault="00C21029" w:rsidP="0044500E">
            <w:pPr>
              <w:pStyle w:val="Paragraphedeliste"/>
              <w:numPr>
                <w:ilvl w:val="0"/>
                <w:numId w:val="155"/>
              </w:numPr>
              <w:spacing w:after="0" w:line="240" w:lineRule="auto"/>
              <w:jc w:val="both"/>
              <w:rPr>
                <w:rFonts w:ascii="Arial Narrow" w:hAnsi="Arial Narrow"/>
              </w:rPr>
            </w:pPr>
          </w:p>
        </w:tc>
      </w:tr>
      <w:tr w:rsidR="0063584D" w:rsidRPr="007F78CE" w14:paraId="79C7B4FE" w14:textId="77777777" w:rsidTr="007F78CE">
        <w:tc>
          <w:tcPr>
            <w:tcW w:w="2337" w:type="dxa"/>
            <w:vMerge/>
            <w:shd w:val="clear" w:color="auto" w:fill="auto"/>
            <w:vAlign w:val="center"/>
          </w:tcPr>
          <w:p w14:paraId="191C1F42" w14:textId="77777777" w:rsidR="00C21029" w:rsidRPr="007F78CE" w:rsidRDefault="00C21029" w:rsidP="007F78CE">
            <w:pPr>
              <w:spacing w:after="0" w:line="240" w:lineRule="auto"/>
              <w:rPr>
                <w:rFonts w:ascii="Arial Narrow" w:hAnsi="Arial Narrow"/>
              </w:rPr>
            </w:pPr>
          </w:p>
        </w:tc>
        <w:tc>
          <w:tcPr>
            <w:tcW w:w="2310" w:type="dxa"/>
            <w:vMerge/>
            <w:shd w:val="clear" w:color="auto" w:fill="auto"/>
            <w:vAlign w:val="center"/>
          </w:tcPr>
          <w:p w14:paraId="66E7EEAE" w14:textId="77777777" w:rsidR="00C21029" w:rsidRPr="007F78CE" w:rsidRDefault="00C21029" w:rsidP="007F78CE">
            <w:pPr>
              <w:spacing w:after="0" w:line="240" w:lineRule="auto"/>
              <w:rPr>
                <w:rFonts w:ascii="Arial Narrow" w:hAnsi="Arial Narrow"/>
              </w:rPr>
            </w:pPr>
          </w:p>
        </w:tc>
        <w:tc>
          <w:tcPr>
            <w:tcW w:w="2288" w:type="dxa"/>
            <w:shd w:val="clear" w:color="auto" w:fill="auto"/>
            <w:vAlign w:val="center"/>
          </w:tcPr>
          <w:p w14:paraId="6ABC82E4"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 xml:space="preserve">2.9.4. </w:t>
            </w:r>
            <w:r w:rsidRPr="007F78CE">
              <w:rPr>
                <w:rFonts w:ascii="Arial Narrow" w:hAnsi="Arial Narrow"/>
              </w:rPr>
              <w:t>Accompagnement judiciaire uniquement dans le cas où la victime souhaite porter plainte</w:t>
            </w:r>
          </w:p>
        </w:tc>
        <w:tc>
          <w:tcPr>
            <w:tcW w:w="2487" w:type="dxa"/>
            <w:shd w:val="clear" w:color="auto" w:fill="auto"/>
            <w:vAlign w:val="center"/>
          </w:tcPr>
          <w:p w14:paraId="5CF6646E" w14:textId="77777777" w:rsidR="00C21029" w:rsidRPr="007F78CE" w:rsidRDefault="00C21029" w:rsidP="007F78CE">
            <w:pPr>
              <w:spacing w:after="0" w:line="240" w:lineRule="auto"/>
              <w:rPr>
                <w:rFonts w:ascii="Arial Narrow" w:hAnsi="Arial Narrow"/>
              </w:rPr>
            </w:pPr>
            <w:r w:rsidRPr="007F78CE">
              <w:rPr>
                <w:rFonts w:ascii="Arial Narrow" w:hAnsi="Arial Narrow"/>
              </w:rPr>
              <w:t>Transfert du dossier aux autorités compétentes</w:t>
            </w:r>
          </w:p>
          <w:p w14:paraId="7377B69C" w14:textId="77777777" w:rsidR="00C21029" w:rsidRPr="007F78CE" w:rsidRDefault="00C21029" w:rsidP="007F78CE">
            <w:pPr>
              <w:spacing w:after="0" w:line="240" w:lineRule="auto"/>
              <w:rPr>
                <w:rFonts w:ascii="Arial Narrow" w:hAnsi="Arial Narrow"/>
              </w:rPr>
            </w:pPr>
            <w:r w:rsidRPr="007F78CE">
              <w:rPr>
                <w:rFonts w:ascii="Arial Narrow" w:hAnsi="Arial Narrow"/>
              </w:rPr>
              <w:t>Suivi du dossier</w:t>
            </w:r>
          </w:p>
          <w:p w14:paraId="52A57907" w14:textId="77777777" w:rsidR="00C21029" w:rsidRPr="007F78CE" w:rsidRDefault="00C21029" w:rsidP="007F78CE">
            <w:pPr>
              <w:spacing w:after="0" w:line="240" w:lineRule="auto"/>
              <w:rPr>
                <w:rFonts w:ascii="Arial Narrow" w:hAnsi="Arial Narrow"/>
              </w:rPr>
            </w:pPr>
            <w:r w:rsidRPr="007F78CE">
              <w:rPr>
                <w:rFonts w:ascii="Arial Narrow" w:hAnsi="Arial Narrow"/>
              </w:rPr>
              <w:t xml:space="preserve">Autres </w:t>
            </w:r>
          </w:p>
        </w:tc>
        <w:tc>
          <w:tcPr>
            <w:tcW w:w="2146" w:type="dxa"/>
            <w:shd w:val="clear" w:color="auto" w:fill="auto"/>
            <w:vAlign w:val="center"/>
          </w:tcPr>
          <w:p w14:paraId="3120F336" w14:textId="77777777" w:rsidR="00C21029" w:rsidRPr="007F78CE" w:rsidRDefault="00C21029" w:rsidP="007F78CE">
            <w:pPr>
              <w:spacing w:after="0" w:line="240" w:lineRule="auto"/>
              <w:rPr>
                <w:rFonts w:ascii="Arial Narrow" w:hAnsi="Arial Narrow"/>
              </w:rPr>
            </w:pPr>
            <w:r w:rsidRPr="007F78CE">
              <w:rPr>
                <w:rFonts w:ascii="Arial Narrow" w:hAnsi="Arial Narrow"/>
              </w:rPr>
              <w:t>Pourcentage de survivant(e)s qui a souhaité déposer plainte</w:t>
            </w:r>
          </w:p>
        </w:tc>
        <w:tc>
          <w:tcPr>
            <w:tcW w:w="1839" w:type="dxa"/>
            <w:shd w:val="clear" w:color="auto" w:fill="auto"/>
            <w:vAlign w:val="center"/>
          </w:tcPr>
          <w:p w14:paraId="581F2726" w14:textId="77777777" w:rsidR="00C21029" w:rsidRPr="007F78CE" w:rsidRDefault="00C21029" w:rsidP="007F78CE">
            <w:pPr>
              <w:spacing w:after="0" w:line="240" w:lineRule="auto"/>
              <w:rPr>
                <w:rFonts w:ascii="Arial Narrow" w:hAnsi="Arial Narrow"/>
              </w:rPr>
            </w:pPr>
            <w:r w:rsidRPr="007F78CE">
              <w:rPr>
                <w:rFonts w:ascii="Arial Narrow" w:hAnsi="Arial Narrow"/>
              </w:rPr>
              <w:t>Tout plaignant priorité aux survivant(e)s qui se rapportent à des activités du Projet</w:t>
            </w:r>
          </w:p>
        </w:tc>
        <w:tc>
          <w:tcPr>
            <w:tcW w:w="1902" w:type="dxa"/>
            <w:vMerge/>
            <w:shd w:val="clear" w:color="auto" w:fill="auto"/>
            <w:vAlign w:val="center"/>
          </w:tcPr>
          <w:p w14:paraId="3E2DB00D" w14:textId="77777777" w:rsidR="00C21029" w:rsidRPr="00687DD2" w:rsidRDefault="00C21029" w:rsidP="0044500E">
            <w:pPr>
              <w:pStyle w:val="Paragraphedeliste"/>
              <w:numPr>
                <w:ilvl w:val="0"/>
                <w:numId w:val="155"/>
              </w:numPr>
              <w:spacing w:after="0" w:line="240" w:lineRule="auto"/>
              <w:jc w:val="both"/>
              <w:rPr>
                <w:rFonts w:ascii="Arial Narrow" w:hAnsi="Arial Narrow"/>
              </w:rPr>
            </w:pPr>
          </w:p>
        </w:tc>
      </w:tr>
      <w:tr w:rsidR="0063584D" w:rsidRPr="007F78CE" w14:paraId="3936C700" w14:textId="77777777" w:rsidTr="007F78CE">
        <w:tc>
          <w:tcPr>
            <w:tcW w:w="2337" w:type="dxa"/>
            <w:vMerge/>
            <w:shd w:val="clear" w:color="auto" w:fill="auto"/>
            <w:vAlign w:val="center"/>
          </w:tcPr>
          <w:p w14:paraId="7D775F0B" w14:textId="77777777" w:rsidR="00C21029" w:rsidRPr="007F78CE" w:rsidRDefault="00C21029" w:rsidP="007F78CE">
            <w:pPr>
              <w:spacing w:after="0" w:line="240" w:lineRule="auto"/>
              <w:rPr>
                <w:rFonts w:ascii="Arial Narrow" w:hAnsi="Arial Narrow"/>
              </w:rPr>
            </w:pPr>
          </w:p>
        </w:tc>
        <w:tc>
          <w:tcPr>
            <w:tcW w:w="2310" w:type="dxa"/>
            <w:vMerge/>
            <w:shd w:val="clear" w:color="auto" w:fill="auto"/>
            <w:vAlign w:val="center"/>
          </w:tcPr>
          <w:p w14:paraId="6786230D" w14:textId="77777777" w:rsidR="00C21029" w:rsidRPr="007F78CE" w:rsidRDefault="00C21029" w:rsidP="007F78CE">
            <w:pPr>
              <w:spacing w:after="0" w:line="240" w:lineRule="auto"/>
              <w:rPr>
                <w:rFonts w:ascii="Arial Narrow" w:hAnsi="Arial Narrow"/>
              </w:rPr>
            </w:pPr>
          </w:p>
        </w:tc>
        <w:tc>
          <w:tcPr>
            <w:tcW w:w="2288" w:type="dxa"/>
            <w:shd w:val="clear" w:color="auto" w:fill="auto"/>
            <w:vAlign w:val="center"/>
          </w:tcPr>
          <w:p w14:paraId="1FFBA5E2"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 xml:space="preserve">2.9.5. </w:t>
            </w:r>
            <w:r w:rsidRPr="007F78CE">
              <w:rPr>
                <w:rFonts w:ascii="Arial Narrow" w:hAnsi="Arial Narrow"/>
              </w:rPr>
              <w:t>Les survivant(e)s sont conseillées en matière de réinsertion sociale/ économique</w:t>
            </w:r>
          </w:p>
        </w:tc>
        <w:tc>
          <w:tcPr>
            <w:tcW w:w="2487" w:type="dxa"/>
            <w:shd w:val="clear" w:color="auto" w:fill="auto"/>
            <w:vAlign w:val="center"/>
          </w:tcPr>
          <w:p w14:paraId="141781C2" w14:textId="77777777" w:rsidR="00C21029" w:rsidRPr="007F78CE" w:rsidRDefault="00C21029" w:rsidP="007F78CE">
            <w:pPr>
              <w:spacing w:after="0" w:line="240" w:lineRule="auto"/>
              <w:rPr>
                <w:rFonts w:ascii="Arial Narrow" w:hAnsi="Arial Narrow"/>
              </w:rPr>
            </w:pPr>
            <w:r w:rsidRPr="007F78CE">
              <w:rPr>
                <w:rFonts w:ascii="Arial Narrow" w:hAnsi="Arial Narrow"/>
              </w:rPr>
              <w:t>Conseils en matière d’activités génératrices de revenus</w:t>
            </w:r>
          </w:p>
          <w:p w14:paraId="64D99ADC" w14:textId="77777777" w:rsidR="00C21029" w:rsidRPr="007F78CE" w:rsidRDefault="00C21029" w:rsidP="007F78CE">
            <w:pPr>
              <w:spacing w:after="0" w:line="240" w:lineRule="auto"/>
              <w:rPr>
                <w:rFonts w:ascii="Arial Narrow" w:hAnsi="Arial Narrow"/>
              </w:rPr>
            </w:pPr>
            <w:r w:rsidRPr="007F78CE">
              <w:rPr>
                <w:rFonts w:ascii="Arial Narrow" w:hAnsi="Arial Narrow"/>
              </w:rPr>
              <w:t>Discussion avec la famille de la victime</w:t>
            </w:r>
          </w:p>
          <w:p w14:paraId="0B16CA49" w14:textId="77777777" w:rsidR="00C21029" w:rsidRPr="007F78CE" w:rsidRDefault="00C21029" w:rsidP="007F78CE">
            <w:pPr>
              <w:spacing w:after="0" w:line="240" w:lineRule="auto"/>
              <w:rPr>
                <w:rFonts w:ascii="Arial Narrow" w:hAnsi="Arial Narrow"/>
              </w:rPr>
            </w:pPr>
            <w:r w:rsidRPr="007F78CE">
              <w:rPr>
                <w:rFonts w:ascii="Arial Narrow" w:hAnsi="Arial Narrow"/>
              </w:rPr>
              <w:t xml:space="preserve">Autres </w:t>
            </w:r>
          </w:p>
        </w:tc>
        <w:tc>
          <w:tcPr>
            <w:tcW w:w="2146" w:type="dxa"/>
            <w:shd w:val="clear" w:color="auto" w:fill="auto"/>
            <w:vAlign w:val="center"/>
          </w:tcPr>
          <w:p w14:paraId="045AF644" w14:textId="77777777" w:rsidR="00C21029" w:rsidRPr="007F78CE" w:rsidRDefault="00C21029" w:rsidP="007F78CE">
            <w:pPr>
              <w:spacing w:after="0" w:line="240" w:lineRule="auto"/>
              <w:rPr>
                <w:rFonts w:ascii="Arial Narrow" w:hAnsi="Arial Narrow"/>
              </w:rPr>
            </w:pPr>
            <w:r w:rsidRPr="007F78CE">
              <w:rPr>
                <w:rFonts w:ascii="Arial Narrow" w:hAnsi="Arial Narrow"/>
              </w:rPr>
              <w:t>Pourcentage de survivant(e)s appuyé(e)s en matière de réinsertion sociale/ économique</w:t>
            </w:r>
          </w:p>
        </w:tc>
        <w:tc>
          <w:tcPr>
            <w:tcW w:w="1839" w:type="dxa"/>
            <w:shd w:val="clear" w:color="auto" w:fill="auto"/>
            <w:vAlign w:val="center"/>
          </w:tcPr>
          <w:p w14:paraId="30A63478" w14:textId="77777777" w:rsidR="00C21029" w:rsidRPr="007F78CE" w:rsidRDefault="00C21029" w:rsidP="007F78CE">
            <w:pPr>
              <w:spacing w:after="0" w:line="240" w:lineRule="auto"/>
              <w:rPr>
                <w:rFonts w:ascii="Arial Narrow" w:hAnsi="Arial Narrow"/>
              </w:rPr>
            </w:pPr>
            <w:r w:rsidRPr="007F78CE">
              <w:rPr>
                <w:rFonts w:ascii="Arial Narrow" w:hAnsi="Arial Narrow"/>
              </w:rPr>
              <w:t>Tout plaignant, priorité aux survivant(e)s qui se rapportent à des activités du Projet</w:t>
            </w:r>
          </w:p>
        </w:tc>
        <w:tc>
          <w:tcPr>
            <w:tcW w:w="1902" w:type="dxa"/>
            <w:vMerge/>
            <w:shd w:val="clear" w:color="auto" w:fill="auto"/>
            <w:vAlign w:val="center"/>
          </w:tcPr>
          <w:p w14:paraId="7337A80C" w14:textId="77777777" w:rsidR="00C21029" w:rsidRPr="00687DD2" w:rsidRDefault="00C21029" w:rsidP="0044500E">
            <w:pPr>
              <w:pStyle w:val="Paragraphedeliste"/>
              <w:numPr>
                <w:ilvl w:val="0"/>
                <w:numId w:val="155"/>
              </w:numPr>
              <w:spacing w:after="0" w:line="240" w:lineRule="auto"/>
              <w:jc w:val="both"/>
              <w:rPr>
                <w:rFonts w:ascii="Arial Narrow" w:hAnsi="Arial Narrow"/>
              </w:rPr>
            </w:pPr>
          </w:p>
        </w:tc>
      </w:tr>
      <w:tr w:rsidR="0063584D" w:rsidRPr="007F78CE" w14:paraId="176EFF59" w14:textId="77777777" w:rsidTr="007F78CE">
        <w:tc>
          <w:tcPr>
            <w:tcW w:w="2337" w:type="dxa"/>
            <w:vMerge/>
            <w:shd w:val="clear" w:color="auto" w:fill="auto"/>
            <w:vAlign w:val="center"/>
          </w:tcPr>
          <w:p w14:paraId="057D218C" w14:textId="77777777" w:rsidR="00C21029" w:rsidRPr="007F78CE" w:rsidRDefault="00C21029" w:rsidP="007F78CE">
            <w:pPr>
              <w:spacing w:after="0" w:line="240" w:lineRule="auto"/>
              <w:rPr>
                <w:rFonts w:ascii="Arial Narrow" w:hAnsi="Arial Narrow"/>
              </w:rPr>
            </w:pPr>
          </w:p>
        </w:tc>
        <w:tc>
          <w:tcPr>
            <w:tcW w:w="2310" w:type="dxa"/>
            <w:vMerge/>
            <w:shd w:val="clear" w:color="auto" w:fill="auto"/>
            <w:vAlign w:val="center"/>
          </w:tcPr>
          <w:p w14:paraId="2C7CA378" w14:textId="77777777" w:rsidR="00C21029" w:rsidRPr="007F78CE" w:rsidRDefault="00C21029" w:rsidP="007F78CE">
            <w:pPr>
              <w:spacing w:after="0" w:line="240" w:lineRule="auto"/>
              <w:rPr>
                <w:rFonts w:ascii="Arial Narrow" w:hAnsi="Arial Narrow"/>
              </w:rPr>
            </w:pPr>
          </w:p>
        </w:tc>
        <w:tc>
          <w:tcPr>
            <w:tcW w:w="2288" w:type="dxa"/>
            <w:shd w:val="clear" w:color="auto" w:fill="auto"/>
            <w:vAlign w:val="center"/>
          </w:tcPr>
          <w:p w14:paraId="4498017E"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2.9.6.</w:t>
            </w:r>
            <w:r w:rsidRPr="007F78CE">
              <w:rPr>
                <w:rFonts w:ascii="Arial Narrow" w:hAnsi="Arial Narrow"/>
              </w:rPr>
              <w:t xml:space="preserve"> Traiter et clôturer les dossiers de manière exhaustive</w:t>
            </w:r>
          </w:p>
        </w:tc>
        <w:tc>
          <w:tcPr>
            <w:tcW w:w="2487" w:type="dxa"/>
            <w:shd w:val="clear" w:color="auto" w:fill="auto"/>
            <w:vAlign w:val="center"/>
          </w:tcPr>
          <w:p w14:paraId="167E22E1" w14:textId="77777777" w:rsidR="00C21029" w:rsidRPr="00687DD2" w:rsidRDefault="00C21029" w:rsidP="00B434A6">
            <w:pPr>
              <w:spacing w:after="0" w:line="240" w:lineRule="auto"/>
              <w:rPr>
                <w:rFonts w:ascii="Arial Narrow" w:eastAsia="Times New Roman" w:hAnsi="Arial Narrow"/>
                <w:b/>
                <w:smallCaps/>
              </w:rPr>
            </w:pPr>
            <w:r w:rsidRPr="00687DD2">
              <w:rPr>
                <w:rFonts w:ascii="Arial Narrow" w:hAnsi="Arial Narrow"/>
              </w:rPr>
              <w:t>Si la victime ne souhaite pas porter plainte : affaire classée</w:t>
            </w:r>
          </w:p>
          <w:p w14:paraId="000CDEFE" w14:textId="77777777" w:rsidR="00C21029" w:rsidRPr="007F78CE" w:rsidRDefault="00C21029" w:rsidP="007F78CE">
            <w:pPr>
              <w:spacing w:after="0" w:line="240" w:lineRule="auto"/>
              <w:rPr>
                <w:rFonts w:ascii="Arial Narrow" w:hAnsi="Arial Narrow"/>
              </w:rPr>
            </w:pPr>
            <w:r w:rsidRPr="007F78CE">
              <w:rPr>
                <w:rFonts w:ascii="Arial Narrow" w:hAnsi="Arial Narrow"/>
              </w:rPr>
              <w:t>Sinon : clôture uniquement à la fin du traitement de la plainte</w:t>
            </w:r>
          </w:p>
        </w:tc>
        <w:tc>
          <w:tcPr>
            <w:tcW w:w="2146" w:type="dxa"/>
            <w:shd w:val="clear" w:color="auto" w:fill="auto"/>
            <w:vAlign w:val="center"/>
          </w:tcPr>
          <w:p w14:paraId="08D3742B" w14:textId="77777777" w:rsidR="00C21029" w:rsidRPr="007F78CE" w:rsidRDefault="00C21029" w:rsidP="007F78CE">
            <w:pPr>
              <w:spacing w:after="0" w:line="240" w:lineRule="auto"/>
              <w:rPr>
                <w:rFonts w:ascii="Arial Narrow" w:hAnsi="Arial Narrow"/>
              </w:rPr>
            </w:pPr>
            <w:r w:rsidRPr="007F78CE">
              <w:rPr>
                <w:rFonts w:ascii="Arial Narrow" w:hAnsi="Arial Narrow"/>
              </w:rPr>
              <w:t>Pourcentage de survivant(e)s qui ne porte</w:t>
            </w:r>
            <w:r w:rsidR="009C4068">
              <w:rPr>
                <w:rFonts w:ascii="Arial Narrow" w:hAnsi="Arial Narrow"/>
              </w:rPr>
              <w:t>nt</w:t>
            </w:r>
            <w:r w:rsidRPr="007F78CE">
              <w:rPr>
                <w:rFonts w:ascii="Arial Narrow" w:hAnsi="Arial Narrow"/>
              </w:rPr>
              <w:t xml:space="preserve"> pas plainte</w:t>
            </w:r>
          </w:p>
          <w:p w14:paraId="331C4A73" w14:textId="77777777" w:rsidR="00C21029" w:rsidRPr="007F78CE" w:rsidRDefault="00C21029" w:rsidP="007F78CE">
            <w:pPr>
              <w:spacing w:after="0" w:line="240" w:lineRule="auto"/>
              <w:rPr>
                <w:rFonts w:ascii="Arial Narrow" w:hAnsi="Arial Narrow"/>
              </w:rPr>
            </w:pPr>
            <w:r w:rsidRPr="007F78CE">
              <w:rPr>
                <w:rFonts w:ascii="Arial Narrow" w:hAnsi="Arial Narrow"/>
              </w:rPr>
              <w:t>Pourcentage de dossiers clôturés</w:t>
            </w:r>
          </w:p>
        </w:tc>
        <w:tc>
          <w:tcPr>
            <w:tcW w:w="1839" w:type="dxa"/>
            <w:shd w:val="clear" w:color="auto" w:fill="auto"/>
            <w:vAlign w:val="center"/>
          </w:tcPr>
          <w:p w14:paraId="5F60E115" w14:textId="77777777" w:rsidR="00C21029" w:rsidRPr="007F78CE" w:rsidRDefault="00C21029" w:rsidP="007F78CE">
            <w:pPr>
              <w:spacing w:after="0" w:line="240" w:lineRule="auto"/>
              <w:rPr>
                <w:rFonts w:ascii="Arial Narrow" w:hAnsi="Arial Narrow"/>
              </w:rPr>
            </w:pPr>
            <w:r w:rsidRPr="007F78CE">
              <w:rPr>
                <w:rFonts w:ascii="Arial Narrow" w:hAnsi="Arial Narrow"/>
              </w:rPr>
              <w:t>Tout plaignant, priorité aux survivant(e)s qui se rapportent à des activités du Projet</w:t>
            </w:r>
          </w:p>
        </w:tc>
        <w:tc>
          <w:tcPr>
            <w:tcW w:w="1902" w:type="dxa"/>
            <w:vMerge/>
            <w:shd w:val="clear" w:color="auto" w:fill="auto"/>
            <w:vAlign w:val="center"/>
          </w:tcPr>
          <w:p w14:paraId="22A7B8F3" w14:textId="77777777" w:rsidR="00C21029" w:rsidRPr="00687DD2" w:rsidRDefault="00C21029" w:rsidP="0044500E">
            <w:pPr>
              <w:pStyle w:val="Paragraphedeliste"/>
              <w:numPr>
                <w:ilvl w:val="0"/>
                <w:numId w:val="155"/>
              </w:numPr>
              <w:spacing w:after="0" w:line="240" w:lineRule="auto"/>
              <w:jc w:val="both"/>
              <w:rPr>
                <w:rFonts w:ascii="Arial Narrow" w:hAnsi="Arial Narrow"/>
              </w:rPr>
            </w:pPr>
          </w:p>
        </w:tc>
      </w:tr>
    </w:tbl>
    <w:p w14:paraId="1846AE3C" w14:textId="77777777" w:rsidR="00C21029" w:rsidRDefault="00C21029" w:rsidP="00C21029">
      <w:pPr>
        <w:sectPr w:rsidR="00C21029" w:rsidSect="008C024E">
          <w:pgSz w:w="16838" w:h="11906" w:orient="landscape"/>
          <w:pgMar w:top="1418" w:right="1418" w:bottom="1418" w:left="1418" w:header="709" w:footer="709" w:gutter="0"/>
          <w:cols w:space="708"/>
          <w:docGrid w:linePitch="360"/>
        </w:sectPr>
      </w:pPr>
    </w:p>
    <w:p w14:paraId="6A96F069" w14:textId="77777777" w:rsidR="00C21029" w:rsidRDefault="00C21029" w:rsidP="00C21029"/>
    <w:tbl>
      <w:tblPr>
        <w:tblW w:w="1530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7"/>
        <w:gridCol w:w="2310"/>
        <w:gridCol w:w="2288"/>
        <w:gridCol w:w="2487"/>
        <w:gridCol w:w="2146"/>
        <w:gridCol w:w="1839"/>
        <w:gridCol w:w="1902"/>
      </w:tblGrid>
      <w:tr w:rsidR="00C21029" w:rsidRPr="007F78CE" w14:paraId="67D7477E" w14:textId="77777777" w:rsidTr="007F78CE">
        <w:trPr>
          <w:tblHeader/>
        </w:trPr>
        <w:tc>
          <w:tcPr>
            <w:tcW w:w="15309" w:type="dxa"/>
            <w:gridSpan w:val="7"/>
            <w:shd w:val="clear" w:color="auto" w:fill="auto"/>
            <w:vAlign w:val="center"/>
          </w:tcPr>
          <w:p w14:paraId="3B91EA53"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AXE STRATEGIQUE III. SUIVI ET EVALUATION, DOCUMENTATION</w:t>
            </w:r>
          </w:p>
        </w:tc>
      </w:tr>
      <w:tr w:rsidR="0063584D" w:rsidRPr="007F78CE" w14:paraId="5C18034C" w14:textId="77777777" w:rsidTr="007F78CE">
        <w:trPr>
          <w:tblHeader/>
        </w:trPr>
        <w:tc>
          <w:tcPr>
            <w:tcW w:w="2337" w:type="dxa"/>
            <w:shd w:val="clear" w:color="auto" w:fill="auto"/>
            <w:vAlign w:val="center"/>
          </w:tcPr>
          <w:p w14:paraId="48DEA8B4" w14:textId="77777777" w:rsidR="00C21029" w:rsidRPr="007F78CE" w:rsidRDefault="00C21029" w:rsidP="007F78CE">
            <w:pPr>
              <w:spacing w:after="0" w:line="240" w:lineRule="auto"/>
              <w:rPr>
                <w:rFonts w:ascii="Arial Narrow" w:hAnsi="Arial Narrow"/>
              </w:rPr>
            </w:pPr>
            <w:r w:rsidRPr="007F78CE">
              <w:rPr>
                <w:rFonts w:ascii="Arial Narrow" w:hAnsi="Arial Narrow"/>
              </w:rPr>
              <w:t>OBJECTIFS</w:t>
            </w:r>
          </w:p>
        </w:tc>
        <w:tc>
          <w:tcPr>
            <w:tcW w:w="2310" w:type="dxa"/>
            <w:shd w:val="clear" w:color="auto" w:fill="auto"/>
            <w:vAlign w:val="center"/>
          </w:tcPr>
          <w:p w14:paraId="20FAEBDE" w14:textId="77777777" w:rsidR="00C21029" w:rsidRPr="007F78CE" w:rsidRDefault="00C21029" w:rsidP="007F78CE">
            <w:pPr>
              <w:spacing w:after="0" w:line="240" w:lineRule="auto"/>
              <w:rPr>
                <w:rFonts w:ascii="Arial Narrow" w:hAnsi="Arial Narrow"/>
              </w:rPr>
            </w:pPr>
            <w:r w:rsidRPr="007F78CE">
              <w:rPr>
                <w:rFonts w:ascii="Arial Narrow" w:hAnsi="Arial Narrow"/>
              </w:rPr>
              <w:t>RESULTATS ATTENDUS</w:t>
            </w:r>
          </w:p>
        </w:tc>
        <w:tc>
          <w:tcPr>
            <w:tcW w:w="2288" w:type="dxa"/>
            <w:shd w:val="clear" w:color="auto" w:fill="auto"/>
            <w:vAlign w:val="center"/>
          </w:tcPr>
          <w:p w14:paraId="55375B65"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ACTIVITES</w:t>
            </w:r>
          </w:p>
        </w:tc>
        <w:tc>
          <w:tcPr>
            <w:tcW w:w="2487" w:type="dxa"/>
            <w:shd w:val="clear" w:color="auto" w:fill="auto"/>
            <w:vAlign w:val="center"/>
          </w:tcPr>
          <w:p w14:paraId="47BA10ED"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INDICATEURS</w:t>
            </w:r>
          </w:p>
        </w:tc>
        <w:tc>
          <w:tcPr>
            <w:tcW w:w="2146" w:type="dxa"/>
            <w:shd w:val="clear" w:color="auto" w:fill="auto"/>
            <w:vAlign w:val="center"/>
          </w:tcPr>
          <w:p w14:paraId="482828C4"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CIBLES</w:t>
            </w:r>
          </w:p>
        </w:tc>
        <w:tc>
          <w:tcPr>
            <w:tcW w:w="1839" w:type="dxa"/>
            <w:shd w:val="clear" w:color="auto" w:fill="auto"/>
            <w:vAlign w:val="center"/>
          </w:tcPr>
          <w:p w14:paraId="47B0CAC8"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CALENDRIER</w:t>
            </w:r>
          </w:p>
        </w:tc>
        <w:tc>
          <w:tcPr>
            <w:tcW w:w="1902" w:type="dxa"/>
            <w:shd w:val="clear" w:color="auto" w:fill="auto"/>
            <w:vAlign w:val="center"/>
          </w:tcPr>
          <w:p w14:paraId="646043DB"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RESPONSABLES</w:t>
            </w:r>
          </w:p>
        </w:tc>
      </w:tr>
      <w:tr w:rsidR="0063584D" w:rsidRPr="007F78CE" w14:paraId="2EFF8E5C" w14:textId="77777777" w:rsidTr="007F78CE">
        <w:tc>
          <w:tcPr>
            <w:tcW w:w="2337" w:type="dxa"/>
            <w:shd w:val="clear" w:color="auto" w:fill="auto"/>
            <w:vAlign w:val="center"/>
          </w:tcPr>
          <w:p w14:paraId="2043532D"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 xml:space="preserve">3.1. </w:t>
            </w:r>
            <w:r w:rsidRPr="007F78CE">
              <w:rPr>
                <w:rFonts w:ascii="Arial Narrow" w:hAnsi="Arial Narrow"/>
              </w:rPr>
              <w:t>Documenter les cas d’EAS/HS</w:t>
            </w:r>
          </w:p>
        </w:tc>
        <w:tc>
          <w:tcPr>
            <w:tcW w:w="2310" w:type="dxa"/>
            <w:shd w:val="clear" w:color="auto" w:fill="auto"/>
            <w:vAlign w:val="center"/>
          </w:tcPr>
          <w:p w14:paraId="51DAB3A6" w14:textId="77777777" w:rsidR="00C21029" w:rsidRPr="007F78CE" w:rsidRDefault="00C21029" w:rsidP="007F78CE">
            <w:pPr>
              <w:spacing w:after="0" w:line="240" w:lineRule="auto"/>
              <w:rPr>
                <w:rFonts w:ascii="Arial Narrow" w:hAnsi="Arial Narrow"/>
              </w:rPr>
            </w:pPr>
            <w:r w:rsidRPr="007F78CE">
              <w:rPr>
                <w:rFonts w:ascii="Arial Narrow" w:hAnsi="Arial Narrow"/>
              </w:rPr>
              <w:t>Tout cas d’EAS/HS est déclaré par la survivante sans que cela ne puisse lui induire quelconque</w:t>
            </w:r>
            <w:r w:rsidR="00C55988">
              <w:rPr>
                <w:rFonts w:ascii="Arial Narrow" w:hAnsi="Arial Narrow"/>
              </w:rPr>
              <w:t>s</w:t>
            </w:r>
            <w:r w:rsidRPr="007F78CE">
              <w:rPr>
                <w:rFonts w:ascii="Arial Narrow" w:hAnsi="Arial Narrow"/>
              </w:rPr>
              <w:t xml:space="preserve"> représailles dont les menaces de licenciement ou autres</w:t>
            </w:r>
          </w:p>
        </w:tc>
        <w:tc>
          <w:tcPr>
            <w:tcW w:w="2288" w:type="dxa"/>
            <w:shd w:val="clear" w:color="auto" w:fill="auto"/>
            <w:vAlign w:val="center"/>
          </w:tcPr>
          <w:p w14:paraId="4E2ABA06"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 xml:space="preserve">3.1.1. </w:t>
            </w:r>
            <w:r w:rsidRPr="007F78CE">
              <w:rPr>
                <w:rFonts w:ascii="Arial Narrow" w:hAnsi="Arial Narrow"/>
              </w:rPr>
              <w:t>Capture des cas d’EAS/HS (sexe, âge, objet, lien avec le projet) même si la survivante s’adresse directement à une structure existante</w:t>
            </w:r>
          </w:p>
          <w:p w14:paraId="582F6666" w14:textId="77777777" w:rsidR="00C21029" w:rsidRPr="007F78CE" w:rsidRDefault="00C21029" w:rsidP="007F78CE">
            <w:pPr>
              <w:spacing w:after="0" w:line="240" w:lineRule="auto"/>
              <w:rPr>
                <w:rFonts w:ascii="Arial Narrow" w:hAnsi="Arial Narrow"/>
              </w:rPr>
            </w:pPr>
            <w:r w:rsidRPr="007F78CE">
              <w:rPr>
                <w:rFonts w:ascii="Arial Narrow" w:hAnsi="Arial Narrow"/>
              </w:rPr>
              <w:t>Tri pour orienter la survivante</w:t>
            </w:r>
          </w:p>
        </w:tc>
        <w:tc>
          <w:tcPr>
            <w:tcW w:w="2487" w:type="dxa"/>
            <w:shd w:val="clear" w:color="auto" w:fill="auto"/>
            <w:vAlign w:val="center"/>
          </w:tcPr>
          <w:p w14:paraId="2D783850" w14:textId="77777777" w:rsidR="00C21029" w:rsidRPr="00687DD2" w:rsidRDefault="00C21029" w:rsidP="0044500E">
            <w:pPr>
              <w:pStyle w:val="Paragraphedeliste"/>
              <w:numPr>
                <w:ilvl w:val="0"/>
                <w:numId w:val="149"/>
              </w:numPr>
              <w:spacing w:after="0" w:line="240" w:lineRule="auto"/>
              <w:ind w:left="316" w:hanging="224"/>
              <w:jc w:val="both"/>
              <w:rPr>
                <w:rFonts w:ascii="Arial Narrow" w:eastAsia="Times New Roman" w:hAnsi="Arial Narrow"/>
                <w:b/>
                <w:smallCaps/>
              </w:rPr>
            </w:pPr>
            <w:r w:rsidRPr="00687DD2">
              <w:rPr>
                <w:rFonts w:ascii="Arial Narrow" w:hAnsi="Arial Narrow"/>
              </w:rPr>
              <w:t>% des survivant(e)s d’EAS/HS référé(e)s aux services</w:t>
            </w:r>
          </w:p>
          <w:p w14:paraId="7815260F" w14:textId="77777777" w:rsidR="00C21029" w:rsidRPr="00687DD2" w:rsidRDefault="00C21029" w:rsidP="0044500E">
            <w:pPr>
              <w:pStyle w:val="Paragraphedeliste"/>
              <w:numPr>
                <w:ilvl w:val="0"/>
                <w:numId w:val="149"/>
              </w:numPr>
              <w:spacing w:after="0" w:line="240" w:lineRule="auto"/>
              <w:ind w:left="316" w:hanging="224"/>
              <w:jc w:val="both"/>
              <w:rPr>
                <w:rFonts w:ascii="Arial Narrow" w:eastAsia="Times New Roman" w:hAnsi="Arial Narrow"/>
                <w:b/>
                <w:smallCaps/>
              </w:rPr>
            </w:pPr>
            <w:r w:rsidRPr="00687DD2">
              <w:rPr>
                <w:rFonts w:ascii="Arial Narrow" w:hAnsi="Arial Narrow"/>
              </w:rPr>
              <w:t>% des plaintes clôturées dans le délai prévu</w:t>
            </w:r>
          </w:p>
          <w:p w14:paraId="5E61F4D9" w14:textId="77777777" w:rsidR="00C21029" w:rsidRPr="007F78CE" w:rsidRDefault="00C21029" w:rsidP="007F78CE">
            <w:pPr>
              <w:spacing w:after="0" w:line="240" w:lineRule="auto"/>
              <w:rPr>
                <w:rFonts w:ascii="Arial Narrow" w:hAnsi="Arial Narrow"/>
              </w:rPr>
            </w:pPr>
          </w:p>
        </w:tc>
        <w:tc>
          <w:tcPr>
            <w:tcW w:w="2146" w:type="dxa"/>
            <w:shd w:val="clear" w:color="auto" w:fill="auto"/>
            <w:vAlign w:val="center"/>
          </w:tcPr>
          <w:p w14:paraId="6EFB1C25" w14:textId="77777777" w:rsidR="00C21029" w:rsidRPr="007F78CE" w:rsidRDefault="00C21029" w:rsidP="007F78CE">
            <w:pPr>
              <w:spacing w:after="0" w:line="240" w:lineRule="auto"/>
              <w:rPr>
                <w:rFonts w:ascii="Arial Narrow" w:hAnsi="Arial Narrow"/>
              </w:rPr>
            </w:pPr>
            <w:r w:rsidRPr="007F78CE">
              <w:rPr>
                <w:rFonts w:ascii="Arial Narrow" w:hAnsi="Arial Narrow"/>
              </w:rPr>
              <w:t>Tout plaignant, priorité aux survivant(e)s qui se rapportent à des activités du projet</w:t>
            </w:r>
          </w:p>
        </w:tc>
        <w:tc>
          <w:tcPr>
            <w:tcW w:w="1839" w:type="dxa"/>
            <w:shd w:val="clear" w:color="auto" w:fill="auto"/>
            <w:vAlign w:val="center"/>
          </w:tcPr>
          <w:p w14:paraId="3273A630" w14:textId="77777777" w:rsidR="00C21029" w:rsidRPr="007F78CE" w:rsidRDefault="00C21029" w:rsidP="007F78CE">
            <w:pPr>
              <w:spacing w:after="0" w:line="240" w:lineRule="auto"/>
              <w:rPr>
                <w:rFonts w:ascii="Arial Narrow" w:hAnsi="Arial Narrow"/>
              </w:rPr>
            </w:pPr>
            <w:r w:rsidRPr="007F78CE">
              <w:rPr>
                <w:rFonts w:ascii="Arial Narrow" w:hAnsi="Arial Narrow"/>
              </w:rPr>
              <w:t>Au prorata</w:t>
            </w:r>
          </w:p>
        </w:tc>
        <w:tc>
          <w:tcPr>
            <w:tcW w:w="1902" w:type="dxa"/>
            <w:shd w:val="clear" w:color="auto" w:fill="auto"/>
            <w:vAlign w:val="center"/>
          </w:tcPr>
          <w:p w14:paraId="19BB44E6" w14:textId="77777777" w:rsidR="00C21029" w:rsidRPr="00687DD2" w:rsidRDefault="00C21029" w:rsidP="0044500E">
            <w:pPr>
              <w:pStyle w:val="Paragraphedeliste"/>
              <w:numPr>
                <w:ilvl w:val="0"/>
                <w:numId w:val="155"/>
              </w:numPr>
              <w:spacing w:after="0" w:line="240" w:lineRule="auto"/>
              <w:ind w:left="128" w:hanging="128"/>
              <w:jc w:val="both"/>
              <w:rPr>
                <w:rFonts w:ascii="Arial Narrow" w:hAnsi="Arial Narrow"/>
              </w:rPr>
            </w:pPr>
            <w:r w:rsidRPr="00687DD2">
              <w:rPr>
                <w:rFonts w:ascii="Arial Narrow" w:hAnsi="Arial Narrow"/>
              </w:rPr>
              <w:t xml:space="preserve">Prestataire de services </w:t>
            </w:r>
          </w:p>
          <w:p w14:paraId="404EEDA4" w14:textId="77777777" w:rsidR="00C21029" w:rsidRPr="00687DD2" w:rsidRDefault="00C21029" w:rsidP="0044500E">
            <w:pPr>
              <w:pStyle w:val="Paragraphedeliste"/>
              <w:numPr>
                <w:ilvl w:val="0"/>
                <w:numId w:val="155"/>
              </w:numPr>
              <w:spacing w:before="100" w:beforeAutospacing="1" w:after="100" w:afterAutospacing="1" w:line="240" w:lineRule="auto"/>
              <w:ind w:left="193" w:hanging="226"/>
              <w:jc w:val="both"/>
              <w:rPr>
                <w:rFonts w:ascii="Arial Narrow" w:hAnsi="Arial Narrow"/>
              </w:rPr>
            </w:pPr>
            <w:r w:rsidRPr="00687DD2">
              <w:rPr>
                <w:rFonts w:ascii="Arial Narrow" w:hAnsi="Arial Narrow"/>
              </w:rPr>
              <w:t>UCP (Spécialiste VBG</w:t>
            </w:r>
            <w:r w:rsidR="00C940D0">
              <w:rPr>
                <w:rFonts w:ascii="Arial Narrow" w:hAnsi="Arial Narrow"/>
              </w:rPr>
              <w:t>/EAS-HS</w:t>
            </w:r>
            <w:r w:rsidRPr="00687DD2">
              <w:rPr>
                <w:rFonts w:ascii="Arial Narrow" w:hAnsi="Arial Narrow"/>
              </w:rPr>
              <w:t xml:space="preserve">) </w:t>
            </w:r>
          </w:p>
        </w:tc>
      </w:tr>
      <w:tr w:rsidR="0063584D" w:rsidRPr="007F78CE" w14:paraId="0C1E9C64" w14:textId="77777777" w:rsidTr="007F78CE">
        <w:tc>
          <w:tcPr>
            <w:tcW w:w="2337" w:type="dxa"/>
            <w:vMerge w:val="restart"/>
            <w:shd w:val="clear" w:color="auto" w:fill="auto"/>
            <w:vAlign w:val="center"/>
          </w:tcPr>
          <w:p w14:paraId="1D053AD6"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3.2.</w:t>
            </w:r>
            <w:r w:rsidRPr="007F78CE">
              <w:rPr>
                <w:rFonts w:ascii="Arial Narrow" w:hAnsi="Arial Narrow"/>
              </w:rPr>
              <w:t xml:space="preserve"> Documenter les cas d’EAS/HS</w:t>
            </w:r>
          </w:p>
          <w:p w14:paraId="6CAEEE4B" w14:textId="77777777" w:rsidR="00C21029" w:rsidRPr="007F78CE" w:rsidRDefault="00C21029" w:rsidP="007F78CE">
            <w:pPr>
              <w:spacing w:after="0" w:line="240" w:lineRule="auto"/>
              <w:rPr>
                <w:rFonts w:ascii="Arial Narrow" w:hAnsi="Arial Narrow"/>
              </w:rPr>
            </w:pPr>
            <w:r w:rsidRPr="007F78CE">
              <w:rPr>
                <w:rFonts w:ascii="Arial Narrow" w:hAnsi="Arial Narrow"/>
              </w:rPr>
              <w:t>Renforcer la connaissance des acteurs locaux en matière de VBG</w:t>
            </w:r>
          </w:p>
        </w:tc>
        <w:tc>
          <w:tcPr>
            <w:tcW w:w="2310" w:type="dxa"/>
            <w:shd w:val="clear" w:color="auto" w:fill="auto"/>
            <w:vAlign w:val="center"/>
          </w:tcPr>
          <w:p w14:paraId="0DF8A930" w14:textId="77777777" w:rsidR="00C21029" w:rsidRPr="007F78CE" w:rsidRDefault="00C21029" w:rsidP="007F78CE">
            <w:pPr>
              <w:spacing w:after="0" w:line="240" w:lineRule="auto"/>
              <w:rPr>
                <w:rFonts w:ascii="Arial Narrow" w:hAnsi="Arial Narrow"/>
              </w:rPr>
            </w:pPr>
            <w:r w:rsidRPr="007F78CE">
              <w:rPr>
                <w:rFonts w:ascii="Arial Narrow" w:hAnsi="Arial Narrow"/>
              </w:rPr>
              <w:t>Tout cas d’EAS/HS est reporté et suivi dans un délai de 24/48 heures à l’agence d’exécution et à la Banque mondiale.</w:t>
            </w:r>
          </w:p>
          <w:p w14:paraId="177F4652" w14:textId="77777777" w:rsidR="00C21029" w:rsidRPr="007F78CE" w:rsidRDefault="00C21029" w:rsidP="007F78CE">
            <w:pPr>
              <w:spacing w:after="0" w:line="240" w:lineRule="auto"/>
              <w:rPr>
                <w:rFonts w:ascii="Arial Narrow" w:hAnsi="Arial Narrow"/>
              </w:rPr>
            </w:pPr>
            <w:r w:rsidRPr="007F78CE">
              <w:rPr>
                <w:rFonts w:ascii="Arial Narrow" w:hAnsi="Arial Narrow"/>
              </w:rPr>
              <w:t>Données à intégrer :</w:t>
            </w:r>
          </w:p>
          <w:p w14:paraId="08B96DE4" w14:textId="77777777" w:rsidR="00C21029" w:rsidRPr="007F78CE" w:rsidRDefault="00C21029" w:rsidP="007F78CE">
            <w:pPr>
              <w:spacing w:after="0" w:line="240" w:lineRule="auto"/>
              <w:rPr>
                <w:rFonts w:ascii="Arial Narrow" w:hAnsi="Arial Narrow"/>
              </w:rPr>
            </w:pPr>
            <w:r w:rsidRPr="007F78CE">
              <w:rPr>
                <w:rFonts w:ascii="Arial Narrow" w:hAnsi="Arial Narrow"/>
              </w:rPr>
              <w:t>-Âge et sexe</w:t>
            </w:r>
          </w:p>
          <w:p w14:paraId="4CB97CD9" w14:textId="77777777" w:rsidR="00C21029" w:rsidRPr="007F78CE" w:rsidRDefault="00C21029" w:rsidP="007F78CE">
            <w:pPr>
              <w:spacing w:after="0" w:line="240" w:lineRule="auto"/>
              <w:rPr>
                <w:rFonts w:ascii="Arial Narrow" w:hAnsi="Arial Narrow"/>
              </w:rPr>
            </w:pPr>
            <w:r w:rsidRPr="007F78CE">
              <w:rPr>
                <w:rFonts w:ascii="Arial Narrow" w:hAnsi="Arial Narrow"/>
              </w:rPr>
              <w:t>-Type d’EAS/HS</w:t>
            </w:r>
          </w:p>
          <w:p w14:paraId="02F77371" w14:textId="77777777" w:rsidR="00C21029" w:rsidRPr="007F78CE" w:rsidRDefault="00C21029" w:rsidP="007F78CE">
            <w:pPr>
              <w:spacing w:after="0" w:line="240" w:lineRule="auto"/>
              <w:rPr>
                <w:rFonts w:ascii="Arial Narrow" w:hAnsi="Arial Narrow"/>
              </w:rPr>
            </w:pPr>
            <w:r w:rsidRPr="007F78CE">
              <w:rPr>
                <w:rFonts w:ascii="Arial Narrow" w:hAnsi="Arial Narrow"/>
              </w:rPr>
              <w:t>-Province / lieu général</w:t>
            </w:r>
          </w:p>
          <w:p w14:paraId="6A146B06" w14:textId="77777777" w:rsidR="00C21029" w:rsidRPr="007F78CE" w:rsidRDefault="00C21029" w:rsidP="007F78CE">
            <w:pPr>
              <w:spacing w:after="0" w:line="240" w:lineRule="auto"/>
              <w:rPr>
                <w:rFonts w:ascii="Arial Narrow" w:hAnsi="Arial Narrow"/>
              </w:rPr>
            </w:pPr>
            <w:r w:rsidRPr="007F78CE">
              <w:rPr>
                <w:rFonts w:ascii="Arial Narrow" w:hAnsi="Arial Narrow"/>
              </w:rPr>
              <w:t>-Référencement aux services</w:t>
            </w:r>
          </w:p>
          <w:p w14:paraId="2C5AAF22" w14:textId="77777777" w:rsidR="00C21029" w:rsidRPr="007F78CE" w:rsidRDefault="00C21029" w:rsidP="007F78CE">
            <w:pPr>
              <w:spacing w:after="0" w:line="240" w:lineRule="auto"/>
              <w:rPr>
                <w:rFonts w:ascii="Arial Narrow" w:hAnsi="Arial Narrow"/>
              </w:rPr>
            </w:pPr>
            <w:r w:rsidRPr="007F78CE">
              <w:rPr>
                <w:rFonts w:ascii="Arial Narrow" w:hAnsi="Arial Narrow"/>
              </w:rPr>
              <w:t xml:space="preserve">-Lien avec le projet (si connu) </w:t>
            </w:r>
          </w:p>
          <w:p w14:paraId="2DFD6FB0" w14:textId="77777777" w:rsidR="00C21029" w:rsidRPr="007F78CE" w:rsidRDefault="00C21029" w:rsidP="007F78CE">
            <w:pPr>
              <w:spacing w:after="0" w:line="240" w:lineRule="auto"/>
              <w:rPr>
                <w:rFonts w:ascii="Arial Narrow" w:hAnsi="Arial Narrow"/>
              </w:rPr>
            </w:pPr>
          </w:p>
          <w:p w14:paraId="6EB27F96" w14:textId="77777777" w:rsidR="00C21029" w:rsidRPr="007F78CE" w:rsidRDefault="00C21029" w:rsidP="007F78CE">
            <w:pPr>
              <w:spacing w:after="0" w:line="240" w:lineRule="auto"/>
              <w:rPr>
                <w:rFonts w:ascii="Arial Narrow" w:hAnsi="Arial Narrow"/>
              </w:rPr>
            </w:pPr>
            <w:r w:rsidRPr="007F78CE">
              <w:rPr>
                <w:rFonts w:ascii="Arial Narrow" w:hAnsi="Arial Narrow"/>
              </w:rPr>
              <w:t>Les informations sur la situation des VBG dans la zone considérée sont disponibles et actualisées de manière régulière</w:t>
            </w:r>
          </w:p>
        </w:tc>
        <w:tc>
          <w:tcPr>
            <w:tcW w:w="2288" w:type="dxa"/>
            <w:shd w:val="clear" w:color="auto" w:fill="auto"/>
            <w:vAlign w:val="center"/>
          </w:tcPr>
          <w:p w14:paraId="50D596BA"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3.2.1.</w:t>
            </w:r>
            <w:r w:rsidRPr="007F78CE">
              <w:rPr>
                <w:rFonts w:ascii="Arial Narrow" w:hAnsi="Arial Narrow"/>
              </w:rPr>
              <w:t xml:space="preserve"> Préparation d’un rapport de suivi mensuel et quadrimestriel avec des conclusions et des recommandations à soumettre au client et à la Banque</w:t>
            </w:r>
          </w:p>
        </w:tc>
        <w:tc>
          <w:tcPr>
            <w:tcW w:w="2487" w:type="dxa"/>
            <w:shd w:val="clear" w:color="auto" w:fill="auto"/>
            <w:vAlign w:val="center"/>
          </w:tcPr>
          <w:p w14:paraId="2D043384" w14:textId="77777777" w:rsidR="00C21029" w:rsidRPr="00687DD2" w:rsidRDefault="00C21029" w:rsidP="0044500E">
            <w:pPr>
              <w:pStyle w:val="Paragraphedeliste"/>
              <w:numPr>
                <w:ilvl w:val="0"/>
                <w:numId w:val="149"/>
              </w:numPr>
              <w:spacing w:after="0" w:line="240" w:lineRule="auto"/>
              <w:ind w:left="316" w:hanging="224"/>
              <w:jc w:val="both"/>
              <w:rPr>
                <w:rFonts w:ascii="Arial Narrow" w:eastAsia="Times New Roman" w:hAnsi="Arial Narrow"/>
                <w:b/>
                <w:smallCaps/>
              </w:rPr>
            </w:pPr>
            <w:r w:rsidRPr="00687DD2">
              <w:rPr>
                <w:rFonts w:ascii="Arial Narrow" w:hAnsi="Arial Narrow"/>
              </w:rPr>
              <w:t>Nature des incidents d’EAS/HS</w:t>
            </w:r>
          </w:p>
          <w:p w14:paraId="15390F8B" w14:textId="77777777" w:rsidR="00C21029" w:rsidRPr="00687DD2" w:rsidRDefault="00C21029" w:rsidP="0044500E">
            <w:pPr>
              <w:pStyle w:val="Paragraphedeliste"/>
              <w:numPr>
                <w:ilvl w:val="0"/>
                <w:numId w:val="149"/>
              </w:numPr>
              <w:spacing w:after="0" w:line="240" w:lineRule="auto"/>
              <w:ind w:left="316" w:hanging="224"/>
              <w:jc w:val="both"/>
              <w:rPr>
                <w:rFonts w:ascii="Arial Narrow" w:eastAsia="Times New Roman" w:hAnsi="Arial Narrow"/>
                <w:b/>
                <w:smallCaps/>
              </w:rPr>
            </w:pPr>
            <w:r w:rsidRPr="00687DD2">
              <w:rPr>
                <w:rFonts w:ascii="Arial Narrow" w:hAnsi="Arial Narrow"/>
              </w:rPr>
              <w:t>Pourcentage de cas d’EAS/HS référés aux services</w:t>
            </w:r>
          </w:p>
          <w:p w14:paraId="49161100" w14:textId="77777777" w:rsidR="00C21029" w:rsidRPr="00687DD2" w:rsidRDefault="00C21029" w:rsidP="0044500E">
            <w:pPr>
              <w:pStyle w:val="Paragraphedeliste"/>
              <w:numPr>
                <w:ilvl w:val="0"/>
                <w:numId w:val="149"/>
              </w:numPr>
              <w:spacing w:after="0" w:line="240" w:lineRule="auto"/>
              <w:ind w:left="316" w:hanging="224"/>
              <w:jc w:val="both"/>
              <w:rPr>
                <w:rFonts w:ascii="Arial Narrow" w:eastAsia="Times New Roman" w:hAnsi="Arial Narrow"/>
                <w:b/>
                <w:smallCaps/>
              </w:rPr>
            </w:pPr>
            <w:r w:rsidRPr="00687DD2">
              <w:rPr>
                <w:rFonts w:ascii="Arial Narrow" w:hAnsi="Arial Narrow"/>
              </w:rPr>
              <w:t>Nombre de dossiers ouverts</w:t>
            </w:r>
          </w:p>
          <w:p w14:paraId="6E970E1B" w14:textId="77777777" w:rsidR="00C21029" w:rsidRPr="00687DD2" w:rsidRDefault="00C21029" w:rsidP="0044500E">
            <w:pPr>
              <w:pStyle w:val="Paragraphedeliste"/>
              <w:numPr>
                <w:ilvl w:val="0"/>
                <w:numId w:val="149"/>
              </w:numPr>
              <w:spacing w:after="0" w:line="240" w:lineRule="auto"/>
              <w:ind w:left="316" w:hanging="224"/>
              <w:jc w:val="both"/>
              <w:rPr>
                <w:rFonts w:ascii="Arial Narrow" w:eastAsia="Times New Roman" w:hAnsi="Arial Narrow"/>
                <w:b/>
                <w:smallCaps/>
              </w:rPr>
            </w:pPr>
            <w:r w:rsidRPr="00687DD2">
              <w:rPr>
                <w:rFonts w:ascii="Arial Narrow" w:hAnsi="Arial Narrow"/>
              </w:rPr>
              <w:t>Durée moyenne de traitement</w:t>
            </w:r>
          </w:p>
          <w:p w14:paraId="34050B3C" w14:textId="77777777" w:rsidR="00C21029" w:rsidRPr="00687DD2" w:rsidRDefault="00C21029" w:rsidP="0044500E">
            <w:pPr>
              <w:pStyle w:val="Paragraphedeliste"/>
              <w:numPr>
                <w:ilvl w:val="0"/>
                <w:numId w:val="149"/>
              </w:numPr>
              <w:spacing w:after="0" w:line="240" w:lineRule="auto"/>
              <w:ind w:left="316" w:hanging="224"/>
              <w:jc w:val="both"/>
              <w:rPr>
                <w:rFonts w:ascii="Arial Narrow" w:eastAsia="Times New Roman" w:hAnsi="Arial Narrow"/>
                <w:b/>
                <w:smallCaps/>
              </w:rPr>
            </w:pPr>
            <w:r w:rsidRPr="00687DD2">
              <w:rPr>
                <w:rFonts w:ascii="Arial Narrow" w:hAnsi="Arial Narrow"/>
              </w:rPr>
              <w:t>Nombre de dossier</w:t>
            </w:r>
            <w:r w:rsidR="00C55988">
              <w:rPr>
                <w:rFonts w:ascii="Arial Narrow" w:hAnsi="Arial Narrow"/>
              </w:rPr>
              <w:t>s</w:t>
            </w:r>
            <w:r w:rsidRPr="00687DD2">
              <w:rPr>
                <w:rFonts w:ascii="Arial Narrow" w:hAnsi="Arial Narrow"/>
              </w:rPr>
              <w:t xml:space="preserve"> clos porté</w:t>
            </w:r>
            <w:r w:rsidR="00C55988">
              <w:rPr>
                <w:rFonts w:ascii="Arial Narrow" w:hAnsi="Arial Narrow"/>
              </w:rPr>
              <w:t>s</w:t>
            </w:r>
            <w:r w:rsidRPr="00687DD2">
              <w:rPr>
                <w:rFonts w:ascii="Arial Narrow" w:hAnsi="Arial Narrow"/>
              </w:rPr>
              <w:t xml:space="preserve"> à la connaissance de l’agence d’exécution et de la Banque Mondiale </w:t>
            </w:r>
          </w:p>
          <w:p w14:paraId="408CC627" w14:textId="77777777" w:rsidR="00C21029" w:rsidRPr="007F78CE" w:rsidRDefault="00C21029" w:rsidP="007F78CE">
            <w:pPr>
              <w:spacing w:after="0" w:line="240" w:lineRule="auto"/>
              <w:rPr>
                <w:rFonts w:ascii="Arial Narrow" w:hAnsi="Arial Narrow"/>
              </w:rPr>
            </w:pPr>
          </w:p>
        </w:tc>
        <w:tc>
          <w:tcPr>
            <w:tcW w:w="2146" w:type="dxa"/>
            <w:shd w:val="clear" w:color="auto" w:fill="auto"/>
            <w:vAlign w:val="center"/>
          </w:tcPr>
          <w:p w14:paraId="739A9956" w14:textId="77777777" w:rsidR="00C21029" w:rsidRPr="007F78CE" w:rsidRDefault="00C21029" w:rsidP="007F78CE">
            <w:pPr>
              <w:spacing w:after="0" w:line="240" w:lineRule="auto"/>
              <w:rPr>
                <w:rFonts w:ascii="Arial Narrow" w:hAnsi="Arial Narrow"/>
              </w:rPr>
            </w:pPr>
            <w:r w:rsidRPr="007F78CE">
              <w:rPr>
                <w:rFonts w:ascii="Arial Narrow" w:hAnsi="Arial Narrow"/>
              </w:rPr>
              <w:t>Cas d’EAS/HS à comparer avec le cas général</w:t>
            </w:r>
          </w:p>
        </w:tc>
        <w:tc>
          <w:tcPr>
            <w:tcW w:w="1839" w:type="dxa"/>
            <w:shd w:val="clear" w:color="auto" w:fill="auto"/>
            <w:vAlign w:val="center"/>
          </w:tcPr>
          <w:p w14:paraId="0CF969E9" w14:textId="77777777" w:rsidR="00C21029" w:rsidRPr="007F78CE" w:rsidRDefault="00C21029" w:rsidP="007F78CE">
            <w:pPr>
              <w:spacing w:after="0" w:line="240" w:lineRule="auto"/>
              <w:rPr>
                <w:rFonts w:ascii="Arial Narrow" w:hAnsi="Arial Narrow"/>
              </w:rPr>
            </w:pPr>
            <w:r w:rsidRPr="007F78CE">
              <w:rPr>
                <w:rFonts w:ascii="Arial Narrow" w:hAnsi="Arial Narrow"/>
              </w:rPr>
              <w:t>A la fin de chaque mois puis tous les quatre mois (3 rapports de synthèse par an)</w:t>
            </w:r>
          </w:p>
        </w:tc>
        <w:tc>
          <w:tcPr>
            <w:tcW w:w="1902" w:type="dxa"/>
            <w:shd w:val="clear" w:color="auto" w:fill="auto"/>
            <w:vAlign w:val="center"/>
          </w:tcPr>
          <w:p w14:paraId="5760D840" w14:textId="77777777" w:rsidR="00C21029" w:rsidRPr="007F78CE" w:rsidRDefault="00C21029" w:rsidP="007F78CE">
            <w:pPr>
              <w:spacing w:after="0" w:line="240" w:lineRule="auto"/>
              <w:rPr>
                <w:rFonts w:ascii="Arial Narrow" w:hAnsi="Arial Narrow"/>
              </w:rPr>
            </w:pPr>
            <w:r w:rsidRPr="007F78CE">
              <w:rPr>
                <w:rFonts w:ascii="Arial Narrow" w:hAnsi="Arial Narrow"/>
              </w:rPr>
              <w:t xml:space="preserve">Prestataire de services </w:t>
            </w:r>
          </w:p>
          <w:p w14:paraId="3954E977" w14:textId="77777777" w:rsidR="00C21029" w:rsidRPr="007F78CE" w:rsidRDefault="00C21029" w:rsidP="007F78CE">
            <w:pPr>
              <w:spacing w:after="0" w:line="240" w:lineRule="auto"/>
              <w:rPr>
                <w:rFonts w:ascii="Arial Narrow" w:hAnsi="Arial Narrow"/>
              </w:rPr>
            </w:pPr>
            <w:r w:rsidRPr="007F78CE">
              <w:rPr>
                <w:rFonts w:ascii="Arial Narrow" w:hAnsi="Arial Narrow"/>
              </w:rPr>
              <w:t>UCP (Spécialiste VBG</w:t>
            </w:r>
            <w:r w:rsidR="00C940D0">
              <w:rPr>
                <w:rFonts w:ascii="Arial Narrow" w:hAnsi="Arial Narrow"/>
              </w:rPr>
              <w:t>/EAS-HS</w:t>
            </w:r>
            <w:r w:rsidRPr="007F78CE">
              <w:rPr>
                <w:rFonts w:ascii="Arial Narrow" w:hAnsi="Arial Narrow"/>
              </w:rPr>
              <w:t xml:space="preserve">) </w:t>
            </w:r>
          </w:p>
          <w:p w14:paraId="098D4862" w14:textId="77777777" w:rsidR="00C21029" w:rsidRPr="007F78CE" w:rsidRDefault="00C21029" w:rsidP="007F78CE">
            <w:pPr>
              <w:spacing w:after="0" w:line="240" w:lineRule="auto"/>
              <w:rPr>
                <w:rFonts w:ascii="Arial Narrow" w:hAnsi="Arial Narrow"/>
              </w:rPr>
            </w:pPr>
          </w:p>
        </w:tc>
      </w:tr>
      <w:tr w:rsidR="0063584D" w:rsidRPr="007F78CE" w14:paraId="1A13C8C8" w14:textId="77777777" w:rsidTr="007F78CE">
        <w:tc>
          <w:tcPr>
            <w:tcW w:w="2337" w:type="dxa"/>
            <w:vMerge/>
            <w:shd w:val="clear" w:color="auto" w:fill="auto"/>
            <w:vAlign w:val="center"/>
          </w:tcPr>
          <w:p w14:paraId="0D625211" w14:textId="77777777" w:rsidR="00C21029" w:rsidRPr="007F78CE" w:rsidRDefault="00C21029" w:rsidP="007F78CE">
            <w:pPr>
              <w:spacing w:after="0" w:line="240" w:lineRule="auto"/>
              <w:rPr>
                <w:rFonts w:ascii="Arial Narrow" w:hAnsi="Arial Narrow"/>
              </w:rPr>
            </w:pPr>
          </w:p>
        </w:tc>
        <w:tc>
          <w:tcPr>
            <w:tcW w:w="2310" w:type="dxa"/>
            <w:vMerge w:val="restart"/>
            <w:shd w:val="clear" w:color="auto" w:fill="auto"/>
            <w:vAlign w:val="center"/>
          </w:tcPr>
          <w:p w14:paraId="0FF31053" w14:textId="77777777" w:rsidR="00C21029" w:rsidRPr="007F78CE" w:rsidRDefault="00C21029" w:rsidP="007F78CE">
            <w:pPr>
              <w:spacing w:after="0" w:line="240" w:lineRule="auto"/>
              <w:rPr>
                <w:rFonts w:ascii="Arial Narrow" w:hAnsi="Arial Narrow"/>
              </w:rPr>
            </w:pPr>
            <w:r w:rsidRPr="007F78CE">
              <w:rPr>
                <w:rFonts w:ascii="Arial Narrow" w:hAnsi="Arial Narrow"/>
              </w:rPr>
              <w:t>Les acquis sont valorisés et pérennisés</w:t>
            </w:r>
          </w:p>
        </w:tc>
        <w:tc>
          <w:tcPr>
            <w:tcW w:w="2288" w:type="dxa"/>
            <w:shd w:val="clear" w:color="auto" w:fill="auto"/>
            <w:vAlign w:val="center"/>
          </w:tcPr>
          <w:p w14:paraId="7AC5F1D4"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 xml:space="preserve">3.2.2. </w:t>
            </w:r>
            <w:r w:rsidRPr="007F78CE">
              <w:rPr>
                <w:rFonts w:ascii="Arial Narrow" w:hAnsi="Arial Narrow"/>
              </w:rPr>
              <w:t>Organisation de session de renforcement de</w:t>
            </w:r>
            <w:r w:rsidR="00C55988">
              <w:rPr>
                <w:rFonts w:ascii="Arial Narrow" w:hAnsi="Arial Narrow"/>
              </w:rPr>
              <w:t>s</w:t>
            </w:r>
            <w:r w:rsidRPr="007F78CE">
              <w:rPr>
                <w:rFonts w:ascii="Arial Narrow" w:hAnsi="Arial Narrow"/>
              </w:rPr>
              <w:t xml:space="preserve"> capacités des acteurs en matière de VBG</w:t>
            </w:r>
          </w:p>
        </w:tc>
        <w:tc>
          <w:tcPr>
            <w:tcW w:w="2487" w:type="dxa"/>
            <w:vMerge w:val="restart"/>
            <w:shd w:val="clear" w:color="auto" w:fill="auto"/>
            <w:vAlign w:val="center"/>
          </w:tcPr>
          <w:p w14:paraId="16DB3C44" w14:textId="77777777" w:rsidR="00C21029" w:rsidRPr="00687DD2" w:rsidRDefault="00C21029" w:rsidP="0044500E">
            <w:pPr>
              <w:pStyle w:val="Paragraphedeliste"/>
              <w:numPr>
                <w:ilvl w:val="0"/>
                <w:numId w:val="149"/>
              </w:numPr>
              <w:spacing w:after="0" w:line="240" w:lineRule="auto"/>
              <w:ind w:left="316" w:hanging="224"/>
              <w:jc w:val="both"/>
              <w:rPr>
                <w:rFonts w:ascii="Arial Narrow" w:eastAsia="Times New Roman" w:hAnsi="Arial Narrow"/>
                <w:b/>
                <w:smallCaps/>
              </w:rPr>
            </w:pPr>
            <w:r w:rsidRPr="00687DD2">
              <w:rPr>
                <w:rFonts w:ascii="Arial Narrow" w:hAnsi="Arial Narrow"/>
              </w:rPr>
              <w:t>Nombre de structures formées sur la prévention des VBG</w:t>
            </w:r>
          </w:p>
          <w:p w14:paraId="73A3C60E" w14:textId="77777777" w:rsidR="00C21029" w:rsidRPr="00687DD2" w:rsidRDefault="00C21029" w:rsidP="0044500E">
            <w:pPr>
              <w:pStyle w:val="Paragraphedeliste"/>
              <w:numPr>
                <w:ilvl w:val="0"/>
                <w:numId w:val="149"/>
              </w:numPr>
              <w:spacing w:after="0" w:line="240" w:lineRule="auto"/>
              <w:ind w:left="316" w:hanging="224"/>
              <w:jc w:val="both"/>
              <w:rPr>
                <w:rFonts w:ascii="Arial Narrow" w:eastAsia="Times New Roman" w:hAnsi="Arial Narrow"/>
                <w:b/>
                <w:smallCaps/>
              </w:rPr>
            </w:pPr>
            <w:r w:rsidRPr="00687DD2">
              <w:rPr>
                <w:rFonts w:ascii="Arial Narrow" w:hAnsi="Arial Narrow"/>
              </w:rPr>
              <w:t>Nombre de structures formées sur la gestion des cas d’EAS/HS</w:t>
            </w:r>
          </w:p>
        </w:tc>
        <w:tc>
          <w:tcPr>
            <w:tcW w:w="2146" w:type="dxa"/>
            <w:vMerge w:val="restart"/>
            <w:shd w:val="clear" w:color="auto" w:fill="auto"/>
            <w:vAlign w:val="center"/>
          </w:tcPr>
          <w:p w14:paraId="6CF2009E" w14:textId="77777777" w:rsidR="00C21029" w:rsidRPr="007F78CE" w:rsidRDefault="00C21029" w:rsidP="007F78CE">
            <w:pPr>
              <w:spacing w:after="0" w:line="240" w:lineRule="auto"/>
              <w:rPr>
                <w:rFonts w:ascii="Arial Narrow" w:hAnsi="Arial Narrow"/>
              </w:rPr>
            </w:pPr>
            <w:r w:rsidRPr="007F78CE">
              <w:rPr>
                <w:rFonts w:ascii="Arial Narrow" w:hAnsi="Arial Narrow"/>
              </w:rPr>
              <w:t>Structures locales existantes ou à créer (selon le cas)</w:t>
            </w:r>
          </w:p>
        </w:tc>
        <w:tc>
          <w:tcPr>
            <w:tcW w:w="1839" w:type="dxa"/>
            <w:vMerge w:val="restart"/>
            <w:shd w:val="clear" w:color="auto" w:fill="auto"/>
            <w:vAlign w:val="center"/>
          </w:tcPr>
          <w:p w14:paraId="1B0E9F38" w14:textId="77777777" w:rsidR="00C21029" w:rsidRPr="007F78CE" w:rsidRDefault="00C21029" w:rsidP="007F78CE">
            <w:pPr>
              <w:spacing w:after="0" w:line="240" w:lineRule="auto"/>
              <w:rPr>
                <w:rFonts w:ascii="Arial Narrow" w:hAnsi="Arial Narrow"/>
              </w:rPr>
            </w:pPr>
            <w:r w:rsidRPr="007F78CE">
              <w:rPr>
                <w:rFonts w:ascii="Arial Narrow" w:hAnsi="Arial Narrow"/>
              </w:rPr>
              <w:t>Deux fois par an</w:t>
            </w:r>
          </w:p>
        </w:tc>
        <w:tc>
          <w:tcPr>
            <w:tcW w:w="1902" w:type="dxa"/>
            <w:vMerge w:val="restart"/>
            <w:shd w:val="clear" w:color="auto" w:fill="auto"/>
            <w:vAlign w:val="center"/>
          </w:tcPr>
          <w:p w14:paraId="1AFED786" w14:textId="77777777" w:rsidR="00C21029" w:rsidRPr="007F78CE" w:rsidRDefault="00C21029" w:rsidP="007F78CE">
            <w:pPr>
              <w:spacing w:after="0" w:line="240" w:lineRule="auto"/>
              <w:rPr>
                <w:rFonts w:ascii="Arial Narrow" w:hAnsi="Arial Narrow"/>
              </w:rPr>
            </w:pPr>
            <w:r w:rsidRPr="007F78CE">
              <w:rPr>
                <w:rFonts w:ascii="Arial Narrow" w:hAnsi="Arial Narrow"/>
              </w:rPr>
              <w:t xml:space="preserve">Prestataire de services </w:t>
            </w:r>
          </w:p>
          <w:p w14:paraId="3D9F01A7" w14:textId="77777777" w:rsidR="00C21029" w:rsidRPr="007F78CE" w:rsidRDefault="00C21029" w:rsidP="007F78CE">
            <w:pPr>
              <w:spacing w:after="0" w:line="240" w:lineRule="auto"/>
              <w:rPr>
                <w:rFonts w:ascii="Arial Narrow" w:hAnsi="Arial Narrow"/>
              </w:rPr>
            </w:pPr>
            <w:r w:rsidRPr="007F78CE">
              <w:rPr>
                <w:rFonts w:ascii="Arial Narrow" w:hAnsi="Arial Narrow"/>
              </w:rPr>
              <w:t>UCP (Spécialiste VBG</w:t>
            </w:r>
            <w:r w:rsidR="00C940D0">
              <w:rPr>
                <w:rFonts w:ascii="Arial Narrow" w:hAnsi="Arial Narrow"/>
              </w:rPr>
              <w:t>/EAS-HS</w:t>
            </w:r>
            <w:r w:rsidRPr="007F78CE">
              <w:rPr>
                <w:rFonts w:ascii="Arial Narrow" w:hAnsi="Arial Narrow"/>
              </w:rPr>
              <w:t xml:space="preserve">) </w:t>
            </w:r>
          </w:p>
          <w:p w14:paraId="180F3292" w14:textId="77777777" w:rsidR="00C21029" w:rsidRPr="00687DD2" w:rsidRDefault="00C21029" w:rsidP="007F78CE">
            <w:pPr>
              <w:pStyle w:val="Paragraphedeliste"/>
              <w:spacing w:after="0" w:line="240" w:lineRule="auto"/>
              <w:rPr>
                <w:rFonts w:ascii="Arial Narrow" w:hAnsi="Arial Narrow"/>
              </w:rPr>
            </w:pPr>
          </w:p>
        </w:tc>
      </w:tr>
      <w:tr w:rsidR="0063584D" w:rsidRPr="007F78CE" w14:paraId="3ECFEFBE" w14:textId="77777777" w:rsidTr="007F78CE">
        <w:tc>
          <w:tcPr>
            <w:tcW w:w="2337" w:type="dxa"/>
            <w:vMerge/>
            <w:shd w:val="clear" w:color="auto" w:fill="auto"/>
            <w:vAlign w:val="center"/>
          </w:tcPr>
          <w:p w14:paraId="040A6DE9" w14:textId="77777777" w:rsidR="00C21029" w:rsidRPr="007F78CE" w:rsidRDefault="00C21029" w:rsidP="007F78CE">
            <w:pPr>
              <w:spacing w:after="0" w:line="240" w:lineRule="auto"/>
              <w:rPr>
                <w:rFonts w:ascii="Arial Narrow" w:hAnsi="Arial Narrow"/>
              </w:rPr>
            </w:pPr>
          </w:p>
        </w:tc>
        <w:tc>
          <w:tcPr>
            <w:tcW w:w="2310" w:type="dxa"/>
            <w:vMerge/>
            <w:shd w:val="clear" w:color="auto" w:fill="auto"/>
            <w:vAlign w:val="center"/>
          </w:tcPr>
          <w:p w14:paraId="1F27418A" w14:textId="77777777" w:rsidR="00C21029" w:rsidRPr="007F78CE" w:rsidRDefault="00C21029" w:rsidP="007F78CE">
            <w:pPr>
              <w:spacing w:after="0" w:line="240" w:lineRule="auto"/>
              <w:rPr>
                <w:rFonts w:ascii="Arial Narrow" w:hAnsi="Arial Narrow"/>
              </w:rPr>
            </w:pPr>
          </w:p>
        </w:tc>
        <w:tc>
          <w:tcPr>
            <w:tcW w:w="2288" w:type="dxa"/>
            <w:shd w:val="clear" w:color="auto" w:fill="auto"/>
            <w:vAlign w:val="center"/>
          </w:tcPr>
          <w:p w14:paraId="4009FFF5"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 xml:space="preserve">3.2.3. </w:t>
            </w:r>
            <w:r w:rsidRPr="007F78CE">
              <w:rPr>
                <w:rFonts w:ascii="Arial Narrow" w:hAnsi="Arial Narrow"/>
              </w:rPr>
              <w:t>Témoignages (s’il y a des volontaires)</w:t>
            </w:r>
          </w:p>
        </w:tc>
        <w:tc>
          <w:tcPr>
            <w:tcW w:w="2487" w:type="dxa"/>
            <w:vMerge/>
            <w:shd w:val="clear" w:color="auto" w:fill="auto"/>
            <w:vAlign w:val="center"/>
          </w:tcPr>
          <w:p w14:paraId="5AAD3604" w14:textId="77777777" w:rsidR="00C21029" w:rsidRPr="00687DD2" w:rsidRDefault="00C21029" w:rsidP="0044500E">
            <w:pPr>
              <w:pStyle w:val="Paragraphedeliste"/>
              <w:numPr>
                <w:ilvl w:val="0"/>
                <w:numId w:val="149"/>
              </w:numPr>
              <w:spacing w:after="0" w:line="240" w:lineRule="auto"/>
              <w:ind w:hanging="360"/>
              <w:jc w:val="both"/>
              <w:rPr>
                <w:rFonts w:ascii="Arial Narrow" w:hAnsi="Arial Narrow"/>
              </w:rPr>
            </w:pPr>
          </w:p>
        </w:tc>
        <w:tc>
          <w:tcPr>
            <w:tcW w:w="2146" w:type="dxa"/>
            <w:vMerge/>
            <w:shd w:val="clear" w:color="auto" w:fill="auto"/>
            <w:vAlign w:val="center"/>
          </w:tcPr>
          <w:p w14:paraId="41FE1364" w14:textId="77777777" w:rsidR="00C21029" w:rsidRPr="007F78CE" w:rsidRDefault="00C21029" w:rsidP="007F78CE">
            <w:pPr>
              <w:spacing w:after="0" w:line="240" w:lineRule="auto"/>
              <w:rPr>
                <w:rFonts w:ascii="Arial Narrow" w:hAnsi="Arial Narrow"/>
              </w:rPr>
            </w:pPr>
          </w:p>
        </w:tc>
        <w:tc>
          <w:tcPr>
            <w:tcW w:w="1839" w:type="dxa"/>
            <w:vMerge/>
            <w:shd w:val="clear" w:color="auto" w:fill="auto"/>
            <w:vAlign w:val="center"/>
          </w:tcPr>
          <w:p w14:paraId="4B3AB84C" w14:textId="77777777" w:rsidR="00C21029" w:rsidRPr="007F78CE" w:rsidRDefault="00C21029" w:rsidP="007F78CE">
            <w:pPr>
              <w:spacing w:after="0" w:line="240" w:lineRule="auto"/>
              <w:rPr>
                <w:rFonts w:ascii="Arial Narrow" w:hAnsi="Arial Narrow"/>
              </w:rPr>
            </w:pPr>
          </w:p>
        </w:tc>
        <w:tc>
          <w:tcPr>
            <w:tcW w:w="1902" w:type="dxa"/>
            <w:vMerge/>
            <w:shd w:val="clear" w:color="auto" w:fill="auto"/>
            <w:vAlign w:val="center"/>
          </w:tcPr>
          <w:p w14:paraId="26BD14B3" w14:textId="77777777" w:rsidR="00C21029" w:rsidRPr="00687DD2" w:rsidRDefault="00C21029" w:rsidP="0044500E">
            <w:pPr>
              <w:pStyle w:val="Paragraphedeliste"/>
              <w:numPr>
                <w:ilvl w:val="0"/>
                <w:numId w:val="155"/>
              </w:numPr>
              <w:spacing w:after="0" w:line="240" w:lineRule="auto"/>
              <w:jc w:val="both"/>
              <w:rPr>
                <w:rFonts w:ascii="Arial Narrow" w:hAnsi="Arial Narrow"/>
              </w:rPr>
            </w:pPr>
          </w:p>
        </w:tc>
      </w:tr>
      <w:tr w:rsidR="0063584D" w:rsidRPr="007F78CE" w14:paraId="13C91914" w14:textId="77777777" w:rsidTr="007F78CE">
        <w:tc>
          <w:tcPr>
            <w:tcW w:w="2337" w:type="dxa"/>
            <w:vMerge/>
            <w:shd w:val="clear" w:color="auto" w:fill="auto"/>
            <w:vAlign w:val="center"/>
          </w:tcPr>
          <w:p w14:paraId="4A2D2843" w14:textId="77777777" w:rsidR="00C21029" w:rsidRPr="007F78CE" w:rsidRDefault="00C21029" w:rsidP="007F78CE">
            <w:pPr>
              <w:spacing w:after="0" w:line="240" w:lineRule="auto"/>
              <w:rPr>
                <w:rFonts w:ascii="Arial Narrow" w:hAnsi="Arial Narrow"/>
              </w:rPr>
            </w:pPr>
          </w:p>
        </w:tc>
        <w:tc>
          <w:tcPr>
            <w:tcW w:w="2310" w:type="dxa"/>
            <w:vMerge/>
            <w:shd w:val="clear" w:color="auto" w:fill="auto"/>
            <w:vAlign w:val="center"/>
          </w:tcPr>
          <w:p w14:paraId="416E5CD2" w14:textId="77777777" w:rsidR="00C21029" w:rsidRPr="007F78CE" w:rsidRDefault="00C21029" w:rsidP="007F78CE">
            <w:pPr>
              <w:spacing w:after="0" w:line="240" w:lineRule="auto"/>
              <w:rPr>
                <w:rFonts w:ascii="Arial Narrow" w:hAnsi="Arial Narrow"/>
              </w:rPr>
            </w:pPr>
          </w:p>
        </w:tc>
        <w:tc>
          <w:tcPr>
            <w:tcW w:w="2288" w:type="dxa"/>
            <w:shd w:val="clear" w:color="auto" w:fill="auto"/>
            <w:vAlign w:val="center"/>
          </w:tcPr>
          <w:p w14:paraId="41EBACE5"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 xml:space="preserve">3.2.4. </w:t>
            </w:r>
            <w:r w:rsidRPr="007F78CE">
              <w:rPr>
                <w:rFonts w:ascii="Arial Narrow" w:hAnsi="Arial Narrow"/>
              </w:rPr>
              <w:t>Restitution des cas traités</w:t>
            </w:r>
          </w:p>
        </w:tc>
        <w:tc>
          <w:tcPr>
            <w:tcW w:w="2487" w:type="dxa"/>
            <w:vMerge/>
            <w:shd w:val="clear" w:color="auto" w:fill="auto"/>
            <w:vAlign w:val="center"/>
          </w:tcPr>
          <w:p w14:paraId="0954A769" w14:textId="77777777" w:rsidR="00C21029" w:rsidRPr="00687DD2" w:rsidRDefault="00C21029" w:rsidP="0044500E">
            <w:pPr>
              <w:pStyle w:val="Paragraphedeliste"/>
              <w:numPr>
                <w:ilvl w:val="0"/>
                <w:numId w:val="149"/>
              </w:numPr>
              <w:spacing w:after="0" w:line="240" w:lineRule="auto"/>
              <w:ind w:hanging="360"/>
              <w:jc w:val="both"/>
              <w:rPr>
                <w:rFonts w:ascii="Arial Narrow" w:hAnsi="Arial Narrow"/>
              </w:rPr>
            </w:pPr>
          </w:p>
        </w:tc>
        <w:tc>
          <w:tcPr>
            <w:tcW w:w="2146" w:type="dxa"/>
            <w:vMerge/>
            <w:shd w:val="clear" w:color="auto" w:fill="auto"/>
            <w:vAlign w:val="center"/>
          </w:tcPr>
          <w:p w14:paraId="0FA70EEF" w14:textId="77777777" w:rsidR="00C21029" w:rsidRPr="007F78CE" w:rsidRDefault="00C21029" w:rsidP="007F78CE">
            <w:pPr>
              <w:spacing w:after="0" w:line="240" w:lineRule="auto"/>
              <w:rPr>
                <w:rFonts w:ascii="Arial Narrow" w:hAnsi="Arial Narrow"/>
              </w:rPr>
            </w:pPr>
          </w:p>
        </w:tc>
        <w:tc>
          <w:tcPr>
            <w:tcW w:w="1839" w:type="dxa"/>
            <w:vMerge/>
            <w:shd w:val="clear" w:color="auto" w:fill="auto"/>
            <w:vAlign w:val="center"/>
          </w:tcPr>
          <w:p w14:paraId="16F4AB9C" w14:textId="77777777" w:rsidR="00C21029" w:rsidRPr="007F78CE" w:rsidRDefault="00C21029" w:rsidP="007F78CE">
            <w:pPr>
              <w:spacing w:after="0" w:line="240" w:lineRule="auto"/>
              <w:rPr>
                <w:rFonts w:ascii="Arial Narrow" w:hAnsi="Arial Narrow"/>
              </w:rPr>
            </w:pPr>
          </w:p>
        </w:tc>
        <w:tc>
          <w:tcPr>
            <w:tcW w:w="1902" w:type="dxa"/>
            <w:vMerge/>
            <w:shd w:val="clear" w:color="auto" w:fill="auto"/>
            <w:vAlign w:val="center"/>
          </w:tcPr>
          <w:p w14:paraId="43684FC5" w14:textId="77777777" w:rsidR="00C21029" w:rsidRPr="00687DD2" w:rsidRDefault="00C21029" w:rsidP="0044500E">
            <w:pPr>
              <w:pStyle w:val="Paragraphedeliste"/>
              <w:numPr>
                <w:ilvl w:val="0"/>
                <w:numId w:val="155"/>
              </w:numPr>
              <w:spacing w:after="0" w:line="240" w:lineRule="auto"/>
              <w:jc w:val="both"/>
              <w:rPr>
                <w:rFonts w:ascii="Arial Narrow" w:hAnsi="Arial Narrow"/>
              </w:rPr>
            </w:pPr>
          </w:p>
        </w:tc>
      </w:tr>
    </w:tbl>
    <w:p w14:paraId="24D3C5F2" w14:textId="77777777" w:rsidR="00C21029" w:rsidRDefault="00C21029" w:rsidP="00C21029"/>
    <w:tbl>
      <w:tblPr>
        <w:tblW w:w="1530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7"/>
        <w:gridCol w:w="2310"/>
        <w:gridCol w:w="2288"/>
        <w:gridCol w:w="2487"/>
        <w:gridCol w:w="2146"/>
        <w:gridCol w:w="1839"/>
        <w:gridCol w:w="1902"/>
      </w:tblGrid>
      <w:tr w:rsidR="00C21029" w:rsidRPr="007F78CE" w14:paraId="00BBB9AF" w14:textId="77777777" w:rsidTr="007F78CE">
        <w:trPr>
          <w:tblHeader/>
        </w:trPr>
        <w:tc>
          <w:tcPr>
            <w:tcW w:w="15309" w:type="dxa"/>
            <w:gridSpan w:val="7"/>
            <w:shd w:val="clear" w:color="auto" w:fill="auto"/>
            <w:vAlign w:val="center"/>
          </w:tcPr>
          <w:p w14:paraId="6B5D98CC"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AXE STRATEGIQUE IV. CONTRIBUTION A LA PERENNISATION DES ACTIONS</w:t>
            </w:r>
          </w:p>
        </w:tc>
      </w:tr>
      <w:tr w:rsidR="0063584D" w:rsidRPr="007F78CE" w14:paraId="28D696E2" w14:textId="77777777" w:rsidTr="007F78CE">
        <w:trPr>
          <w:tblHeader/>
        </w:trPr>
        <w:tc>
          <w:tcPr>
            <w:tcW w:w="2337" w:type="dxa"/>
            <w:shd w:val="clear" w:color="auto" w:fill="auto"/>
            <w:vAlign w:val="center"/>
          </w:tcPr>
          <w:p w14:paraId="3CCF0D85"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OBJECTIFS</w:t>
            </w:r>
          </w:p>
        </w:tc>
        <w:tc>
          <w:tcPr>
            <w:tcW w:w="2310" w:type="dxa"/>
            <w:shd w:val="clear" w:color="auto" w:fill="auto"/>
            <w:vAlign w:val="center"/>
          </w:tcPr>
          <w:p w14:paraId="6E4681D4"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RESULTATS ATTENDUS</w:t>
            </w:r>
          </w:p>
        </w:tc>
        <w:tc>
          <w:tcPr>
            <w:tcW w:w="2288" w:type="dxa"/>
            <w:shd w:val="clear" w:color="auto" w:fill="auto"/>
            <w:vAlign w:val="center"/>
          </w:tcPr>
          <w:p w14:paraId="21EF9781"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ACTIVITES</w:t>
            </w:r>
          </w:p>
        </w:tc>
        <w:tc>
          <w:tcPr>
            <w:tcW w:w="2487" w:type="dxa"/>
            <w:shd w:val="clear" w:color="auto" w:fill="auto"/>
            <w:vAlign w:val="center"/>
          </w:tcPr>
          <w:p w14:paraId="7F940281"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INDICATEURS</w:t>
            </w:r>
          </w:p>
        </w:tc>
        <w:tc>
          <w:tcPr>
            <w:tcW w:w="2146" w:type="dxa"/>
            <w:shd w:val="clear" w:color="auto" w:fill="auto"/>
            <w:vAlign w:val="center"/>
          </w:tcPr>
          <w:p w14:paraId="6C311C7A"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CIBLES</w:t>
            </w:r>
          </w:p>
        </w:tc>
        <w:tc>
          <w:tcPr>
            <w:tcW w:w="1839" w:type="dxa"/>
            <w:shd w:val="clear" w:color="auto" w:fill="auto"/>
            <w:vAlign w:val="center"/>
          </w:tcPr>
          <w:p w14:paraId="331E59D9"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CALENDRIER</w:t>
            </w:r>
          </w:p>
        </w:tc>
        <w:tc>
          <w:tcPr>
            <w:tcW w:w="1902" w:type="dxa"/>
            <w:shd w:val="clear" w:color="auto" w:fill="auto"/>
            <w:vAlign w:val="center"/>
          </w:tcPr>
          <w:p w14:paraId="2E69B878" w14:textId="77777777" w:rsidR="00C21029" w:rsidRPr="007F78CE" w:rsidRDefault="00C21029" w:rsidP="007F78CE">
            <w:pPr>
              <w:spacing w:after="0" w:line="240" w:lineRule="auto"/>
              <w:rPr>
                <w:rFonts w:ascii="Arial Narrow" w:hAnsi="Arial Narrow"/>
                <w:b/>
                <w:bCs/>
              </w:rPr>
            </w:pPr>
            <w:r w:rsidRPr="007F78CE">
              <w:rPr>
                <w:rFonts w:ascii="Arial Narrow" w:hAnsi="Arial Narrow"/>
                <w:b/>
                <w:bCs/>
              </w:rPr>
              <w:t>RESPONSABLES</w:t>
            </w:r>
          </w:p>
        </w:tc>
      </w:tr>
      <w:tr w:rsidR="0063584D" w:rsidRPr="007F78CE" w14:paraId="2A8360A6" w14:textId="77777777" w:rsidTr="007F78CE">
        <w:tc>
          <w:tcPr>
            <w:tcW w:w="2337" w:type="dxa"/>
            <w:shd w:val="clear" w:color="auto" w:fill="auto"/>
            <w:vAlign w:val="center"/>
          </w:tcPr>
          <w:p w14:paraId="4B6713EC"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 xml:space="preserve">4.1. </w:t>
            </w:r>
            <w:r w:rsidRPr="007F78CE">
              <w:rPr>
                <w:rFonts w:ascii="Arial Narrow" w:hAnsi="Arial Narrow"/>
              </w:rPr>
              <w:t>Renforcer la connaissance des acteurs locaux en matière de VBG</w:t>
            </w:r>
          </w:p>
        </w:tc>
        <w:tc>
          <w:tcPr>
            <w:tcW w:w="2310" w:type="dxa"/>
            <w:shd w:val="clear" w:color="auto" w:fill="auto"/>
            <w:vAlign w:val="center"/>
          </w:tcPr>
          <w:p w14:paraId="4C742AF0" w14:textId="77777777" w:rsidR="00C21029" w:rsidRPr="007F78CE" w:rsidRDefault="00C21029" w:rsidP="007F78CE">
            <w:pPr>
              <w:spacing w:after="0" w:line="240" w:lineRule="auto"/>
              <w:rPr>
                <w:rFonts w:ascii="Arial Narrow" w:hAnsi="Arial Narrow"/>
              </w:rPr>
            </w:pPr>
            <w:r w:rsidRPr="007F78CE">
              <w:rPr>
                <w:rFonts w:ascii="Arial Narrow" w:hAnsi="Arial Narrow"/>
              </w:rPr>
              <w:t>Les actions continuent avec les structures locales même après le projet considéré</w:t>
            </w:r>
          </w:p>
        </w:tc>
        <w:tc>
          <w:tcPr>
            <w:tcW w:w="2288" w:type="dxa"/>
            <w:shd w:val="clear" w:color="auto" w:fill="auto"/>
            <w:vAlign w:val="center"/>
          </w:tcPr>
          <w:p w14:paraId="1FA009BD" w14:textId="77777777" w:rsidR="00C21029" w:rsidRPr="007F78CE" w:rsidRDefault="00C21029" w:rsidP="007F78CE">
            <w:pPr>
              <w:spacing w:after="0" w:line="240" w:lineRule="auto"/>
              <w:rPr>
                <w:rFonts w:ascii="Arial Narrow" w:hAnsi="Arial Narrow"/>
              </w:rPr>
            </w:pPr>
            <w:r w:rsidRPr="007F78CE">
              <w:rPr>
                <w:rFonts w:ascii="Arial Narrow" w:hAnsi="Arial Narrow"/>
                <w:b/>
                <w:bCs/>
              </w:rPr>
              <w:t xml:space="preserve">4.1.1 </w:t>
            </w:r>
            <w:r w:rsidRPr="007F78CE">
              <w:rPr>
                <w:rFonts w:ascii="Arial Narrow" w:hAnsi="Arial Narrow"/>
              </w:rPr>
              <w:t>Publication des résultats obtenus pour encourager les partenaires financiers à appuyer les structures VBG</w:t>
            </w:r>
          </w:p>
        </w:tc>
        <w:tc>
          <w:tcPr>
            <w:tcW w:w="2487" w:type="dxa"/>
            <w:shd w:val="clear" w:color="auto" w:fill="auto"/>
            <w:vAlign w:val="center"/>
          </w:tcPr>
          <w:p w14:paraId="59A25540" w14:textId="77777777" w:rsidR="00C21029" w:rsidRPr="007F78CE" w:rsidRDefault="00C21029" w:rsidP="007F78CE">
            <w:pPr>
              <w:spacing w:after="0" w:line="240" w:lineRule="auto"/>
              <w:rPr>
                <w:rFonts w:ascii="Arial Narrow" w:hAnsi="Arial Narrow"/>
              </w:rPr>
            </w:pPr>
            <w:r w:rsidRPr="007F78CE">
              <w:rPr>
                <w:rFonts w:ascii="Arial Narrow" w:hAnsi="Arial Narrow"/>
              </w:rPr>
              <w:t>Nombre de structures opérationnelles</w:t>
            </w:r>
          </w:p>
        </w:tc>
        <w:tc>
          <w:tcPr>
            <w:tcW w:w="2146" w:type="dxa"/>
            <w:shd w:val="clear" w:color="auto" w:fill="auto"/>
            <w:vAlign w:val="center"/>
          </w:tcPr>
          <w:p w14:paraId="43AD5DEE" w14:textId="77777777" w:rsidR="00C21029" w:rsidRPr="007F78CE" w:rsidRDefault="00C21029" w:rsidP="007F78CE">
            <w:pPr>
              <w:spacing w:after="0" w:line="240" w:lineRule="auto"/>
              <w:rPr>
                <w:rFonts w:ascii="Arial Narrow" w:hAnsi="Arial Narrow"/>
              </w:rPr>
            </w:pPr>
            <w:r w:rsidRPr="007F78CE">
              <w:rPr>
                <w:rFonts w:ascii="Arial Narrow" w:hAnsi="Arial Narrow"/>
              </w:rPr>
              <w:t>Structures existantes ou nouvelles</w:t>
            </w:r>
          </w:p>
        </w:tc>
        <w:tc>
          <w:tcPr>
            <w:tcW w:w="1839" w:type="dxa"/>
            <w:shd w:val="clear" w:color="auto" w:fill="auto"/>
            <w:vAlign w:val="center"/>
          </w:tcPr>
          <w:p w14:paraId="6CF93997" w14:textId="77777777" w:rsidR="00C21029" w:rsidRPr="007F78CE" w:rsidRDefault="00C21029" w:rsidP="007F78CE">
            <w:pPr>
              <w:spacing w:after="0" w:line="240" w:lineRule="auto"/>
              <w:rPr>
                <w:rFonts w:ascii="Arial Narrow" w:hAnsi="Arial Narrow"/>
              </w:rPr>
            </w:pPr>
            <w:r w:rsidRPr="007F78CE">
              <w:rPr>
                <w:rFonts w:ascii="Arial Narrow" w:hAnsi="Arial Narrow"/>
              </w:rPr>
              <w:t xml:space="preserve">Suite à passer au responsable local du Min. en charge de la promotion de la femme </w:t>
            </w:r>
          </w:p>
        </w:tc>
        <w:tc>
          <w:tcPr>
            <w:tcW w:w="1902" w:type="dxa"/>
            <w:shd w:val="clear" w:color="auto" w:fill="auto"/>
            <w:vAlign w:val="center"/>
          </w:tcPr>
          <w:p w14:paraId="302356A9" w14:textId="77777777" w:rsidR="00C21029" w:rsidRPr="007F78CE" w:rsidRDefault="00C21029" w:rsidP="007F78CE">
            <w:pPr>
              <w:spacing w:after="0" w:line="240" w:lineRule="auto"/>
              <w:rPr>
                <w:rFonts w:ascii="Arial Narrow" w:hAnsi="Arial Narrow"/>
              </w:rPr>
            </w:pPr>
            <w:r w:rsidRPr="007F78CE">
              <w:rPr>
                <w:rFonts w:ascii="Arial Narrow" w:hAnsi="Arial Narrow"/>
              </w:rPr>
              <w:t xml:space="preserve">Prestataire de services </w:t>
            </w:r>
          </w:p>
          <w:p w14:paraId="56C04E29" w14:textId="77777777" w:rsidR="00C21029" w:rsidRPr="007F78CE" w:rsidRDefault="00C21029" w:rsidP="007F78CE">
            <w:pPr>
              <w:spacing w:after="0" w:line="240" w:lineRule="auto"/>
              <w:rPr>
                <w:rFonts w:ascii="Arial Narrow" w:hAnsi="Arial Narrow"/>
              </w:rPr>
            </w:pPr>
            <w:r w:rsidRPr="007F78CE">
              <w:rPr>
                <w:rFonts w:ascii="Arial Narrow" w:hAnsi="Arial Narrow"/>
              </w:rPr>
              <w:t>UCP (Spécialiste VBG</w:t>
            </w:r>
            <w:r w:rsidR="00C940D0">
              <w:rPr>
                <w:rFonts w:ascii="Arial Narrow" w:hAnsi="Arial Narrow"/>
              </w:rPr>
              <w:t>/EAS-HS</w:t>
            </w:r>
            <w:r w:rsidRPr="007F78CE">
              <w:rPr>
                <w:rFonts w:ascii="Arial Narrow" w:hAnsi="Arial Narrow"/>
              </w:rPr>
              <w:t xml:space="preserve">) </w:t>
            </w:r>
          </w:p>
        </w:tc>
      </w:tr>
    </w:tbl>
    <w:p w14:paraId="0D1F8D69" w14:textId="77777777" w:rsidR="00C21029" w:rsidRDefault="00C21029" w:rsidP="00C21029"/>
    <w:p w14:paraId="0E80A51A" w14:textId="77777777" w:rsidR="00C21029" w:rsidRDefault="00C21029" w:rsidP="00C21029">
      <w:pPr>
        <w:sectPr w:rsidR="00C21029" w:rsidSect="008C024E">
          <w:pgSz w:w="16838" w:h="11906" w:orient="landscape"/>
          <w:pgMar w:top="1418" w:right="1418" w:bottom="1418" w:left="1418" w:header="709" w:footer="709" w:gutter="0"/>
          <w:cols w:space="708"/>
          <w:docGrid w:linePitch="360"/>
        </w:sectPr>
      </w:pPr>
    </w:p>
    <w:p w14:paraId="784A9382" w14:textId="77777777" w:rsidR="00C21029" w:rsidRPr="00C57470" w:rsidRDefault="00C21029" w:rsidP="0044500E">
      <w:pPr>
        <w:pStyle w:val="Titre1"/>
        <w:numPr>
          <w:ilvl w:val="0"/>
          <w:numId w:val="159"/>
        </w:numPr>
        <w:ind w:left="0" w:firstLine="0"/>
      </w:pPr>
      <w:bookmarkStart w:id="2040" w:name="_Toc86408968"/>
      <w:bookmarkStart w:id="2041" w:name="_Toc124312864"/>
      <w:bookmarkStart w:id="2042" w:name="_Toc124314844"/>
      <w:bookmarkStart w:id="2043" w:name="_Toc124317052"/>
      <w:bookmarkStart w:id="2044" w:name="_Toc124956393"/>
      <w:bookmarkStart w:id="2045" w:name="_Toc125384751"/>
      <w:bookmarkStart w:id="2046" w:name="_Toc125385141"/>
      <w:bookmarkStart w:id="2047" w:name="_Toc125402334"/>
      <w:bookmarkStart w:id="2048" w:name="_Toc126593253"/>
      <w:bookmarkStart w:id="2049" w:name="_Toc127957792"/>
      <w:r w:rsidRPr="00C57470">
        <w:t>MECANISME DE TRAITEMENT DES CAS D</w:t>
      </w:r>
      <w:r>
        <w:t>’EAS/HS</w:t>
      </w:r>
      <w:bookmarkEnd w:id="2040"/>
      <w:bookmarkEnd w:id="2041"/>
      <w:bookmarkEnd w:id="2042"/>
      <w:bookmarkEnd w:id="2043"/>
      <w:bookmarkEnd w:id="2044"/>
      <w:bookmarkEnd w:id="2045"/>
      <w:bookmarkEnd w:id="2046"/>
      <w:bookmarkEnd w:id="2047"/>
      <w:bookmarkEnd w:id="2048"/>
      <w:bookmarkEnd w:id="2049"/>
    </w:p>
    <w:p w14:paraId="6009E3DA" w14:textId="77777777" w:rsidR="00C21029" w:rsidRPr="00C57470" w:rsidRDefault="00C21029" w:rsidP="00F91FA3">
      <w:pPr>
        <w:jc w:val="both"/>
      </w:pPr>
      <w:r w:rsidRPr="00C57470">
        <w:t>Un mécanisme et des procédures spécifiques doivent être mis en place dans le cadre de la gestion et de la résolution des éventuelles plaintes liées à des cas d</w:t>
      </w:r>
      <w:r>
        <w:t>’EAS/HS</w:t>
      </w:r>
      <w:r w:rsidRPr="00C57470">
        <w:t>. Il y a lieu de remarquer que tous les cas</w:t>
      </w:r>
      <w:r>
        <w:t xml:space="preserve"> </w:t>
      </w:r>
      <w:r w:rsidRPr="00C57470">
        <w:t>de violence, avérés ou non, doivent être géré</w:t>
      </w:r>
      <w:r>
        <w:t>s</w:t>
      </w:r>
      <w:r w:rsidRPr="00C57470">
        <w:t xml:space="preserve"> suivant le mécanisme proposé suivant. La mise en œuvre sera sous la responsabilité de l’</w:t>
      </w:r>
      <w:r>
        <w:t>UCP.</w:t>
      </w:r>
    </w:p>
    <w:p w14:paraId="76770553" w14:textId="77777777" w:rsidR="00C21029" w:rsidRDefault="00C21029" w:rsidP="00F91FA3">
      <w:pPr>
        <w:jc w:val="both"/>
      </w:pPr>
      <w:r w:rsidRPr="002B280D">
        <w:t>A noter qu’il existe deux mécanismes de gestion de plaintes parallèle</w:t>
      </w:r>
      <w:r w:rsidR="007D584C">
        <w:t>s</w:t>
      </w:r>
      <w:r w:rsidRPr="002B280D">
        <w:t>, se conformant aux NES2 et NES10 de la Banque mondiale. Plus exactement, il est établi un mécanisme spécifique en cas de différends liés à l’emploi et au travail (NES2) et un mécanisme de gestion de plaintes plus global, qui s’adresse aux parties prenantes du Projet.</w:t>
      </w:r>
    </w:p>
    <w:p w14:paraId="4F1426E8" w14:textId="77777777" w:rsidR="00C21029" w:rsidRPr="00C57470" w:rsidRDefault="00C21029" w:rsidP="0044500E">
      <w:pPr>
        <w:pStyle w:val="Titre2"/>
        <w:numPr>
          <w:ilvl w:val="1"/>
          <w:numId w:val="159"/>
        </w:numPr>
      </w:pPr>
      <w:bookmarkStart w:id="2050" w:name="_Toc86408969"/>
      <w:bookmarkStart w:id="2051" w:name="_Toc124312865"/>
      <w:bookmarkStart w:id="2052" w:name="_Toc124314845"/>
      <w:bookmarkStart w:id="2053" w:name="_Toc124317053"/>
      <w:bookmarkStart w:id="2054" w:name="_Toc124956394"/>
      <w:bookmarkStart w:id="2055" w:name="_Toc125384752"/>
      <w:bookmarkStart w:id="2056" w:name="_Toc125385142"/>
      <w:bookmarkStart w:id="2057" w:name="_Toc125402335"/>
      <w:bookmarkStart w:id="2058" w:name="_Toc126593254"/>
      <w:bookmarkStart w:id="2059" w:name="_Toc127957793"/>
      <w:r w:rsidRPr="00C57470">
        <w:t>Procédures de gestion des plaintes</w:t>
      </w:r>
      <w:bookmarkEnd w:id="2050"/>
      <w:bookmarkEnd w:id="2051"/>
      <w:bookmarkEnd w:id="2052"/>
      <w:bookmarkEnd w:id="2053"/>
      <w:bookmarkEnd w:id="2054"/>
      <w:bookmarkEnd w:id="2055"/>
      <w:bookmarkEnd w:id="2056"/>
      <w:bookmarkEnd w:id="2057"/>
      <w:bookmarkEnd w:id="2058"/>
      <w:bookmarkEnd w:id="2059"/>
    </w:p>
    <w:p w14:paraId="53255F88" w14:textId="77777777" w:rsidR="00C21029" w:rsidRPr="00C57470" w:rsidRDefault="00C21029" w:rsidP="00F91FA3">
      <w:pPr>
        <w:jc w:val="both"/>
      </w:pPr>
      <w:r w:rsidRPr="00C57470">
        <w:t>La mise en place et la mise en œuvre des procédures de gestion de plaintes relatives au cas d</w:t>
      </w:r>
      <w:r>
        <w:t>’</w:t>
      </w:r>
      <w:r w:rsidRPr="00C57470">
        <w:t>EAS/HS seront entièrement sous la supervision du prestataire de services en la matière, de l’</w:t>
      </w:r>
      <w:r>
        <w:t>UCP</w:t>
      </w:r>
      <w:r w:rsidRPr="00C57470">
        <w:t xml:space="preserve"> pour l’ensemble des </w:t>
      </w:r>
      <w:r>
        <w:t>sous-</w:t>
      </w:r>
      <w:r w:rsidRPr="00C57470">
        <w:t>projets inclus dans l</w:t>
      </w:r>
      <w:r>
        <w:t>e Projet</w:t>
      </w:r>
      <w:r w:rsidRPr="00C57470">
        <w:t>. La prestation inclura la proposition d’un dispositif appliquant « une approche centrée sur les survivants ».</w:t>
      </w:r>
    </w:p>
    <w:p w14:paraId="5BCEC8A9" w14:textId="77777777" w:rsidR="00C21029" w:rsidRPr="00C57470" w:rsidRDefault="00C21029" w:rsidP="00F91FA3">
      <w:pPr>
        <w:jc w:val="both"/>
      </w:pPr>
      <w:r w:rsidRPr="00C57470">
        <w:t xml:space="preserve">Le mécanisme se structure comme suit : </w:t>
      </w:r>
    </w:p>
    <w:p w14:paraId="26F4D696" w14:textId="77777777" w:rsidR="00C21029" w:rsidRPr="00C57470" w:rsidRDefault="00C21029" w:rsidP="00687DD2">
      <w:pPr>
        <w:pStyle w:val="Paragraphedeliste"/>
        <w:numPr>
          <w:ilvl w:val="0"/>
          <w:numId w:val="33"/>
        </w:numPr>
        <w:spacing w:before="100" w:beforeAutospacing="1" w:after="100" w:afterAutospacing="1" w:line="240" w:lineRule="auto"/>
        <w:jc w:val="both"/>
      </w:pPr>
      <w:r w:rsidRPr="00C57470">
        <w:t>Signalement</w:t>
      </w:r>
      <w:r w:rsidR="007D584C">
        <w:t>;</w:t>
      </w:r>
    </w:p>
    <w:p w14:paraId="19D8EE25" w14:textId="77777777" w:rsidR="00C21029" w:rsidRPr="00C57470" w:rsidRDefault="00C21029" w:rsidP="00687DD2">
      <w:pPr>
        <w:pStyle w:val="Paragraphedeliste"/>
        <w:numPr>
          <w:ilvl w:val="0"/>
          <w:numId w:val="33"/>
        </w:numPr>
        <w:spacing w:before="100" w:beforeAutospacing="1" w:after="100" w:afterAutospacing="1" w:line="240" w:lineRule="auto"/>
        <w:jc w:val="both"/>
      </w:pPr>
      <w:r w:rsidRPr="00C57470">
        <w:t>Enregistrement des plaintes ;</w:t>
      </w:r>
    </w:p>
    <w:p w14:paraId="3234B704" w14:textId="77777777" w:rsidR="00C21029" w:rsidRPr="00C57470" w:rsidRDefault="00C21029" w:rsidP="00687DD2">
      <w:pPr>
        <w:pStyle w:val="Paragraphedeliste"/>
        <w:numPr>
          <w:ilvl w:val="0"/>
          <w:numId w:val="33"/>
        </w:numPr>
        <w:spacing w:before="100" w:beforeAutospacing="1" w:after="100" w:afterAutospacing="1" w:line="240" w:lineRule="auto"/>
        <w:jc w:val="both"/>
      </w:pPr>
      <w:r w:rsidRPr="00C57470">
        <w:t>Traitement des plaintes et, selon le cas, prise en charge de la personne survivante et de l’enfant victime de violence</w:t>
      </w:r>
      <w:r w:rsidR="007D584C">
        <w:t> ;</w:t>
      </w:r>
      <w:r w:rsidRPr="00C57470">
        <w:t xml:space="preserve"> </w:t>
      </w:r>
    </w:p>
    <w:p w14:paraId="2B5DE96C" w14:textId="77777777" w:rsidR="00C21029" w:rsidRDefault="00C21029" w:rsidP="00687DD2">
      <w:pPr>
        <w:pStyle w:val="Paragraphedeliste"/>
        <w:numPr>
          <w:ilvl w:val="0"/>
          <w:numId w:val="33"/>
        </w:numPr>
        <w:spacing w:before="100" w:beforeAutospacing="1" w:after="100" w:afterAutospacing="1" w:line="240" w:lineRule="auto"/>
        <w:jc w:val="both"/>
      </w:pPr>
      <w:r w:rsidRPr="00C57470">
        <w:t>Suivi du traitement des plaintes.</w:t>
      </w:r>
    </w:p>
    <w:p w14:paraId="4CD0AD53" w14:textId="77777777" w:rsidR="00C21029" w:rsidRDefault="00C21029" w:rsidP="00F91FA3">
      <w:pPr>
        <w:pStyle w:val="Paragraphedeliste"/>
        <w:jc w:val="both"/>
      </w:pPr>
    </w:p>
    <w:p w14:paraId="7C9621DD" w14:textId="77777777" w:rsidR="00C21029" w:rsidRPr="00D37297" w:rsidRDefault="00C21029" w:rsidP="00687DD2">
      <w:pPr>
        <w:pStyle w:val="Paragraphedeliste"/>
        <w:numPr>
          <w:ilvl w:val="0"/>
          <w:numId w:val="35"/>
        </w:numPr>
        <w:spacing w:before="240" w:after="100" w:afterAutospacing="1" w:line="240" w:lineRule="auto"/>
        <w:ind w:left="567" w:hanging="431"/>
        <w:contextualSpacing w:val="0"/>
        <w:jc w:val="both"/>
        <w:rPr>
          <w:b/>
          <w:bCs/>
        </w:rPr>
      </w:pPr>
      <w:r w:rsidRPr="00D37297">
        <w:rPr>
          <w:b/>
          <w:bCs/>
        </w:rPr>
        <w:t xml:space="preserve">Etape 1 : Signalement </w:t>
      </w:r>
    </w:p>
    <w:p w14:paraId="269E1DE3" w14:textId="77777777" w:rsidR="00C21029" w:rsidRPr="00C57470" w:rsidRDefault="00C21029" w:rsidP="00F91FA3">
      <w:pPr>
        <w:jc w:val="both"/>
      </w:pPr>
      <w:r w:rsidRPr="00C57470">
        <w:t xml:space="preserve">On aura recours à des canaux simples et les plus adaptés au contexte communautaire local pour recueillir le signalement. La première porte d’entrée à privilégier est constituée par des parties prenantes et des acteurs locaux (autorités locales dont </w:t>
      </w:r>
      <w:r>
        <w:t>Fokontany</w:t>
      </w:r>
      <w:r w:rsidRPr="00C57470">
        <w:t xml:space="preserve"> et Communes). Ils sont constitués principalement par les acteurs qui travaillent à proximité au niveau local, principalement les associations et groupes de femmes auxquels les membres de la communauté aspirent une confiance et une certaine aisance pour les survivant</w:t>
      </w:r>
      <w:r w:rsidR="00C940D0">
        <w:t>s</w:t>
      </w:r>
      <w:r w:rsidRPr="00C57470">
        <w:t>(e</w:t>
      </w:r>
      <w:r w:rsidR="00C940D0">
        <w:t>s</w:t>
      </w:r>
      <w:r w:rsidRPr="00C57470">
        <w:t xml:space="preserve">) des actes de violence. </w:t>
      </w:r>
    </w:p>
    <w:p w14:paraId="1AED5805" w14:textId="77777777" w:rsidR="00C21029" w:rsidRPr="00C57470" w:rsidRDefault="00C21029" w:rsidP="00F91FA3">
      <w:pPr>
        <w:jc w:val="both"/>
      </w:pPr>
      <w:r w:rsidRPr="00C57470">
        <w:t>En outre, on mettra à disposition des travailleurs</w:t>
      </w:r>
      <w:r w:rsidR="00B40AF7">
        <w:t>,</w:t>
      </w:r>
      <w:r w:rsidRPr="00C57470">
        <w:t xml:space="preserve"> des contractants et des communautés </w:t>
      </w:r>
      <w:r>
        <w:t xml:space="preserve">les deux </w:t>
      </w:r>
      <w:r w:rsidRPr="00C57470">
        <w:t>numéro</w:t>
      </w:r>
      <w:r>
        <w:t xml:space="preserve">s </w:t>
      </w:r>
      <w:r w:rsidRPr="002B280D">
        <w:t>verts</w:t>
      </w:r>
      <w:r>
        <w:t xml:space="preserve"> </w:t>
      </w:r>
      <w:r w:rsidRPr="002B280D">
        <w:t>déjà opérationnels à l’échelle nationale (147 et 113)</w:t>
      </w:r>
      <w:r w:rsidRPr="00C57470">
        <w:t xml:space="preserve"> et </w:t>
      </w:r>
      <w:r>
        <w:t xml:space="preserve">une </w:t>
      </w:r>
      <w:r w:rsidRPr="00C57470">
        <w:t>boite à doléances.</w:t>
      </w:r>
    </w:p>
    <w:p w14:paraId="1E568765" w14:textId="77777777" w:rsidR="00C21029" w:rsidRDefault="00C21029" w:rsidP="00F91FA3">
      <w:pPr>
        <w:jc w:val="both"/>
      </w:pPr>
      <w:r w:rsidRPr="00C57470">
        <w:t>Les signalements peuvent être par écrit, par téléphone, par courrier électronique, ou verbalement</w:t>
      </w:r>
      <w:r>
        <w:t xml:space="preserve"> et doivent</w:t>
      </w:r>
      <w:r w:rsidRPr="00D207C3">
        <w:t xml:space="preserve"> être formalisé</w:t>
      </w:r>
      <w:r>
        <w:t>s</w:t>
      </w:r>
      <w:r w:rsidRPr="00D207C3">
        <w:t xml:space="preserve"> par le plaignant.</w:t>
      </w:r>
    </w:p>
    <w:p w14:paraId="7894DD6B" w14:textId="77777777" w:rsidR="00C21029" w:rsidRPr="00C57470" w:rsidRDefault="00C21029" w:rsidP="00F91FA3">
      <w:pPr>
        <w:jc w:val="both"/>
      </w:pPr>
      <w:r w:rsidRPr="00C57470">
        <w:t>L'accessibilité et la sécurité de ces canaux doivent être validées via des consultations avec les femmes et les filles</w:t>
      </w:r>
      <w:r>
        <w:t xml:space="preserve"> de la communauté</w:t>
      </w:r>
      <w:r w:rsidRPr="00C57470">
        <w:t>.</w:t>
      </w:r>
    </w:p>
    <w:p w14:paraId="01FF46C3" w14:textId="77777777" w:rsidR="00C21029" w:rsidRPr="00D37297" w:rsidRDefault="00C21029" w:rsidP="00687DD2">
      <w:pPr>
        <w:pStyle w:val="Paragraphedeliste"/>
        <w:numPr>
          <w:ilvl w:val="0"/>
          <w:numId w:val="35"/>
        </w:numPr>
        <w:spacing w:before="240" w:after="100" w:afterAutospacing="1" w:line="240" w:lineRule="auto"/>
        <w:ind w:left="567" w:hanging="431"/>
        <w:contextualSpacing w:val="0"/>
        <w:jc w:val="both"/>
        <w:rPr>
          <w:b/>
          <w:bCs/>
        </w:rPr>
      </w:pPr>
      <w:r w:rsidRPr="00D37297">
        <w:rPr>
          <w:b/>
          <w:bCs/>
        </w:rPr>
        <w:t>Etape 2 : Enregistrement de plaintes</w:t>
      </w:r>
    </w:p>
    <w:p w14:paraId="394A681A" w14:textId="77777777" w:rsidR="00C21029" w:rsidRPr="00C57470" w:rsidRDefault="00C21029" w:rsidP="00F91FA3">
      <w:pPr>
        <w:jc w:val="both"/>
      </w:pPr>
      <w:r w:rsidRPr="00C57470">
        <w:t>La deuxième étape consiste à l’enregistrement des plaintes, tout en respectant le principe de confidentialité. Il est recommandé un enregistrement séparé des plaintes liées au VBG. Par ailleurs, on doit s’assurer que toute plainte capturée par le mécanisme soit suivie jusqu’à sa résolution afin de pouvoir la clôturer.</w:t>
      </w:r>
    </w:p>
    <w:p w14:paraId="76888F4D" w14:textId="77777777" w:rsidR="00C21029" w:rsidRPr="00C57470" w:rsidRDefault="00C21029" w:rsidP="00F91FA3">
      <w:pPr>
        <w:jc w:val="both"/>
      </w:pPr>
      <w:r w:rsidRPr="00C57470">
        <w:t>Le processus d'enregistrement des plaintes doit permettre aux survivant</w:t>
      </w:r>
      <w:r>
        <w:t>(e)</w:t>
      </w:r>
      <w:r w:rsidRPr="00C57470">
        <w:t>s de prendre une décision éclairée sur la progression de leur plainte en :</w:t>
      </w:r>
    </w:p>
    <w:p w14:paraId="6FEE765B" w14:textId="77777777" w:rsidR="00C21029" w:rsidRPr="00C57470" w:rsidRDefault="00C21029" w:rsidP="00687DD2">
      <w:pPr>
        <w:pStyle w:val="Paragraphedeliste"/>
        <w:numPr>
          <w:ilvl w:val="0"/>
          <w:numId w:val="32"/>
        </w:numPr>
        <w:spacing w:before="100" w:beforeAutospacing="1" w:after="100" w:afterAutospacing="1" w:line="240" w:lineRule="auto"/>
        <w:jc w:val="both"/>
      </w:pPr>
      <w:r w:rsidRPr="00C57470">
        <w:t>s'assurant que le survivant/plaignant comprend toutes les procédures de traitement de la plainte ;</w:t>
      </w:r>
    </w:p>
    <w:p w14:paraId="2A3F64CA" w14:textId="77777777" w:rsidR="00C21029" w:rsidRPr="00C57470" w:rsidRDefault="00C21029" w:rsidP="00687DD2">
      <w:pPr>
        <w:pStyle w:val="Paragraphedeliste"/>
        <w:numPr>
          <w:ilvl w:val="0"/>
          <w:numId w:val="32"/>
        </w:numPr>
        <w:spacing w:before="100" w:beforeAutospacing="1" w:after="100" w:afterAutospacing="1" w:line="240" w:lineRule="auto"/>
        <w:jc w:val="both"/>
      </w:pPr>
      <w:r w:rsidRPr="00C57470">
        <w:t xml:space="preserve">vérifiant et respectant l'opinion de la </w:t>
      </w:r>
      <w:r>
        <w:t>survivante</w:t>
      </w:r>
      <w:r w:rsidRPr="00C57470">
        <w:t xml:space="preserve"> sur la manière dont elle souhaite que la plainte soit traitée et sur le résultat qu'elle recherche ;</w:t>
      </w:r>
    </w:p>
    <w:p w14:paraId="5D0A6A3B" w14:textId="77777777" w:rsidR="00C21029" w:rsidRPr="00C57470" w:rsidRDefault="00C21029" w:rsidP="00687DD2">
      <w:pPr>
        <w:pStyle w:val="Paragraphedeliste"/>
        <w:numPr>
          <w:ilvl w:val="0"/>
          <w:numId w:val="32"/>
        </w:numPr>
        <w:spacing w:before="100" w:beforeAutospacing="1" w:after="100" w:afterAutospacing="1" w:line="240" w:lineRule="auto"/>
        <w:jc w:val="both"/>
      </w:pPr>
      <w:r w:rsidRPr="00C57470">
        <w:t>ne rendant</w:t>
      </w:r>
      <w:r>
        <w:t xml:space="preserve"> </w:t>
      </w:r>
      <w:r w:rsidRPr="00C57470">
        <w:t xml:space="preserve">pas obligatoire le signalement aux autorités locales (police, </w:t>
      </w:r>
      <w:r>
        <w:t>cellule d’écoute</w:t>
      </w:r>
      <w:r w:rsidRPr="00C57470">
        <w:t xml:space="preserve">) sans le consentement </w:t>
      </w:r>
      <w:r>
        <w:t xml:space="preserve">éclairé </w:t>
      </w:r>
      <w:r w:rsidRPr="00C57470">
        <w:t>de la victime, sauf si requis par les lois locales (par exemple, agression sexuelle d'un mineur).</w:t>
      </w:r>
    </w:p>
    <w:p w14:paraId="739A32E5" w14:textId="77777777" w:rsidR="00C21029" w:rsidRPr="00C57470" w:rsidRDefault="00C21029" w:rsidP="00F91FA3">
      <w:pPr>
        <w:jc w:val="both"/>
      </w:pPr>
      <w:r w:rsidRPr="00C57470">
        <w:t xml:space="preserve">Les signalements, impliquant des personnes liées à la mise en œuvre du </w:t>
      </w:r>
      <w:r>
        <w:t>P</w:t>
      </w:r>
      <w:r w:rsidRPr="00C57470">
        <w:t>ro</w:t>
      </w:r>
      <w:r>
        <w:t>jet</w:t>
      </w:r>
      <w:r w:rsidRPr="00C57470">
        <w:t xml:space="preserve">, doivent être transmis auprès des responsables </w:t>
      </w:r>
      <w:r>
        <w:t xml:space="preserve">de </w:t>
      </w:r>
      <w:r w:rsidRPr="00C57470">
        <w:t xml:space="preserve">VBG dans les 24 heures, tout en préservant la confidentialité du plaignant et de tous les contenus de la plainte. </w:t>
      </w:r>
      <w:r w:rsidRPr="002B280D">
        <w:t>Le cas lorsqu’il est avéré sera ensuite communiqué dans un délai de 48 heures, au plus tard, après la confirmation de l’information.</w:t>
      </w:r>
    </w:p>
    <w:p w14:paraId="7D9F76BF" w14:textId="77777777" w:rsidR="00C21029" w:rsidRPr="00C57470" w:rsidRDefault="00C21029" w:rsidP="00F91FA3">
      <w:pPr>
        <w:jc w:val="both"/>
      </w:pPr>
      <w:r w:rsidRPr="002B280D">
        <w:t>En cas de consentement de la personne survivante, le dossier sera transmis au service spécialisé, qui va</w:t>
      </w:r>
      <w:r w:rsidRPr="00C57470">
        <w:t xml:space="preserve"> traiter l’affaire en associant les services déconcentrés de la police conformément aux Lois en vigueur.</w:t>
      </w:r>
    </w:p>
    <w:p w14:paraId="699B6B74" w14:textId="77777777" w:rsidR="00C21029" w:rsidRPr="00D37297" w:rsidRDefault="00C21029" w:rsidP="00687DD2">
      <w:pPr>
        <w:pStyle w:val="Paragraphedeliste"/>
        <w:numPr>
          <w:ilvl w:val="0"/>
          <w:numId w:val="35"/>
        </w:numPr>
        <w:spacing w:before="240" w:after="100" w:afterAutospacing="1" w:line="240" w:lineRule="auto"/>
        <w:ind w:left="567" w:hanging="431"/>
        <w:contextualSpacing w:val="0"/>
        <w:jc w:val="both"/>
        <w:rPr>
          <w:b/>
          <w:bCs/>
        </w:rPr>
      </w:pPr>
      <w:r w:rsidRPr="00D37297">
        <w:rPr>
          <w:b/>
          <w:bCs/>
        </w:rPr>
        <w:t xml:space="preserve">Etape 3 : Prise en charge des survivant(e)s </w:t>
      </w:r>
    </w:p>
    <w:p w14:paraId="0A763AE7" w14:textId="77777777" w:rsidR="00C21029" w:rsidRPr="00C57470" w:rsidRDefault="00C21029" w:rsidP="00F91FA3">
      <w:pPr>
        <w:jc w:val="both"/>
      </w:pPr>
      <w:r w:rsidRPr="00C57470">
        <w:t>Tou</w:t>
      </w:r>
      <w:r w:rsidR="00B40AF7">
        <w:t>(</w:t>
      </w:r>
      <w:r w:rsidRPr="00C57470">
        <w:t>te</w:t>
      </w:r>
      <w:r w:rsidR="00B40AF7">
        <w:t>)</w:t>
      </w:r>
      <w:r w:rsidRPr="00C57470">
        <w:t>s les survivant(e)s doivent être informé</w:t>
      </w:r>
      <w:r>
        <w:t>(e)</w:t>
      </w:r>
      <w:r w:rsidRPr="00C57470">
        <w:t xml:space="preserve">s des services liés aux </w:t>
      </w:r>
      <w:r>
        <w:t xml:space="preserve">EAS/HS </w:t>
      </w:r>
      <w:r w:rsidRPr="00C57470">
        <w:t>disponibles à ce stade et orienté</w:t>
      </w:r>
      <w:r w:rsidR="00B40AF7">
        <w:t>(</w:t>
      </w:r>
      <w:r w:rsidRPr="00C57470">
        <w:t>e</w:t>
      </w:r>
      <w:r w:rsidR="00B40AF7">
        <w:t>)</w:t>
      </w:r>
      <w:r w:rsidRPr="00C57470">
        <w:t>s vers les services en fonction de leurs besoins et souhaits. Ce renvoi doit avoir lieu dès qu'un incident de VBG/EAS/HS est signalé, qu'une plainte formelle soit ou non enregistrée dans le MGP et avant que toute enquête ne soit menée.</w:t>
      </w:r>
    </w:p>
    <w:p w14:paraId="74BE69C2" w14:textId="77777777" w:rsidR="00C21029" w:rsidRPr="00C57470" w:rsidRDefault="00C21029" w:rsidP="00F91FA3">
      <w:pPr>
        <w:jc w:val="both"/>
      </w:pPr>
      <w:r w:rsidRPr="00C57470">
        <w:t>Il sera établi un protocole d’accord entre un ou de organismes spécialisés et l’</w:t>
      </w:r>
      <w:r>
        <w:t>UCP,</w:t>
      </w:r>
      <w:r w:rsidRPr="00C57470">
        <w:t xml:space="preserve"> pour la prise en charge des cas de VBG, depuis le signalement, la prise en charge sanitaire, la prise en charge psychologique et l’accueil proprement dit.</w:t>
      </w:r>
    </w:p>
    <w:p w14:paraId="47EC405F" w14:textId="77777777" w:rsidR="00C21029" w:rsidRPr="00C57470" w:rsidRDefault="00C21029" w:rsidP="00F91FA3">
      <w:pPr>
        <w:jc w:val="both"/>
      </w:pPr>
      <w:r w:rsidRPr="00C57470">
        <w:t xml:space="preserve">Les signalements peuvent être également recueillis auprès des responsables de ces organismes spécialisés. </w:t>
      </w:r>
    </w:p>
    <w:p w14:paraId="4D6E50F5" w14:textId="77777777" w:rsidR="00C21029" w:rsidRPr="00D37297" w:rsidRDefault="00C21029" w:rsidP="00687DD2">
      <w:pPr>
        <w:pStyle w:val="Paragraphedeliste"/>
        <w:numPr>
          <w:ilvl w:val="0"/>
          <w:numId w:val="35"/>
        </w:numPr>
        <w:spacing w:before="240" w:after="100" w:afterAutospacing="1" w:line="240" w:lineRule="auto"/>
        <w:ind w:left="567" w:hanging="431"/>
        <w:contextualSpacing w:val="0"/>
        <w:jc w:val="both"/>
        <w:rPr>
          <w:b/>
          <w:bCs/>
        </w:rPr>
      </w:pPr>
      <w:r w:rsidRPr="00D37297">
        <w:rPr>
          <w:b/>
          <w:bCs/>
        </w:rPr>
        <w:t>Etape 4 : Suivi de traitement de plaintes</w:t>
      </w:r>
    </w:p>
    <w:p w14:paraId="1C2495AE" w14:textId="77777777" w:rsidR="00C21029" w:rsidRPr="00C57470" w:rsidRDefault="00C21029" w:rsidP="00F91FA3">
      <w:pPr>
        <w:jc w:val="both"/>
      </w:pPr>
      <w:r w:rsidRPr="00C57470">
        <w:t>Le</w:t>
      </w:r>
      <w:r>
        <w:t xml:space="preserve">/la Spécialiste </w:t>
      </w:r>
      <w:r w:rsidRPr="00C57470">
        <w:t>VBG assure le suivi de traitement et de la gestion de toutes les plaintes. Systématiquement, il</w:t>
      </w:r>
      <w:r>
        <w:t>/elle</w:t>
      </w:r>
      <w:r w:rsidRPr="00C57470">
        <w:t xml:space="preserve"> établit le rapport de l’action engagée.</w:t>
      </w:r>
    </w:p>
    <w:p w14:paraId="428F0369" w14:textId="77777777" w:rsidR="00C21029" w:rsidRPr="00C57470" w:rsidRDefault="00C21029" w:rsidP="00F91FA3">
      <w:pPr>
        <w:jc w:val="both"/>
      </w:pPr>
      <w:r w:rsidRPr="00C57470">
        <w:t xml:space="preserve">En vue de l’application des manquements aux codes de conduite, le </w:t>
      </w:r>
      <w:r>
        <w:t>P</w:t>
      </w:r>
      <w:r w:rsidRPr="00C57470">
        <w:t>lan d’action EAS</w:t>
      </w:r>
      <w:r>
        <w:t>/HS</w:t>
      </w:r>
      <w:r w:rsidRPr="00C57470">
        <w:t xml:space="preserve"> sera assorti d’un cadre de redevabilité et de réponse. Ce cadre détaille la manière dont les allégations d'EAS/H</w:t>
      </w:r>
      <w:r>
        <w:t>S</w:t>
      </w:r>
      <w:r w:rsidRPr="00C57470">
        <w:t xml:space="preserve"> seront traitées (procédures d'enquête) et les mesures disciplinaires en cas de violation du code de conduite par les travailleurs. Entre autres, le cadre :</w:t>
      </w:r>
    </w:p>
    <w:p w14:paraId="0382ACC3" w14:textId="77777777" w:rsidR="00C21029" w:rsidRPr="00C57470" w:rsidRDefault="00C21029" w:rsidP="00687DD2">
      <w:pPr>
        <w:pStyle w:val="Paragraphedeliste"/>
        <w:numPr>
          <w:ilvl w:val="0"/>
          <w:numId w:val="34"/>
        </w:numPr>
        <w:spacing w:before="100" w:beforeAutospacing="1" w:after="100" w:afterAutospacing="1" w:line="240" w:lineRule="auto"/>
        <w:jc w:val="both"/>
      </w:pPr>
      <w:r w:rsidRPr="00C57470">
        <w:t>comprend un protocole sur l'éventail des mesures disciplinaires possibles en cas de violation du Code de conduite par les travailleurs</w:t>
      </w:r>
      <w:r>
        <w:t> ;</w:t>
      </w:r>
    </w:p>
    <w:p w14:paraId="472A719B" w14:textId="77777777" w:rsidR="00C21029" w:rsidRPr="00C57470" w:rsidRDefault="00C21029" w:rsidP="00687DD2">
      <w:pPr>
        <w:pStyle w:val="Paragraphedeliste"/>
        <w:numPr>
          <w:ilvl w:val="0"/>
          <w:numId w:val="34"/>
        </w:numPr>
        <w:spacing w:before="100" w:beforeAutospacing="1" w:after="100" w:afterAutospacing="1" w:line="240" w:lineRule="auto"/>
        <w:jc w:val="both"/>
      </w:pPr>
      <w:r w:rsidRPr="00C57470">
        <w:t>assure la sécurité des survivants, de leurs familles et de leurs communautés contre la violence ou les menaces</w:t>
      </w:r>
      <w:r>
        <w:t> ;</w:t>
      </w:r>
    </w:p>
    <w:p w14:paraId="42552D10" w14:textId="77777777" w:rsidR="00C21029" w:rsidRPr="00C57470" w:rsidRDefault="00C21029" w:rsidP="00687DD2">
      <w:pPr>
        <w:pStyle w:val="Paragraphedeliste"/>
        <w:numPr>
          <w:ilvl w:val="0"/>
          <w:numId w:val="34"/>
        </w:numPr>
        <w:spacing w:before="100" w:beforeAutospacing="1" w:after="100" w:afterAutospacing="1" w:line="240" w:lineRule="auto"/>
        <w:jc w:val="both"/>
      </w:pPr>
      <w:r w:rsidRPr="00C57470">
        <w:t>met à disposition des mesures de précaution urgentes lorsqu'un rapport d'EAS/</w:t>
      </w:r>
      <w:r>
        <w:t>HS</w:t>
      </w:r>
      <w:r w:rsidRPr="00C57470">
        <w:t xml:space="preserve"> est reçu dans l'attente d'une enquête</w:t>
      </w:r>
      <w:r>
        <w:t> ;</w:t>
      </w:r>
    </w:p>
    <w:p w14:paraId="58AE8BEA" w14:textId="77777777" w:rsidR="00C21029" w:rsidRPr="00C57470" w:rsidRDefault="00C21029" w:rsidP="00687DD2">
      <w:pPr>
        <w:pStyle w:val="Paragraphedeliste"/>
        <w:numPr>
          <w:ilvl w:val="0"/>
          <w:numId w:val="34"/>
        </w:numPr>
        <w:spacing w:before="100" w:beforeAutospacing="1" w:after="100" w:afterAutospacing="1" w:line="240" w:lineRule="auto"/>
        <w:jc w:val="both"/>
      </w:pPr>
      <w:r w:rsidRPr="00C57470">
        <w:t>prévoit une tolérance zéro pour les mesures de rétorsion par les auteurs présumés, sa famille, ses amis, ses collègues ou ses agents. Personne ne devrait être victime d'avoir déposé une plainte (par exemple, licenciement, suspension, rétrogradation, réaffectation)</w:t>
      </w:r>
      <w:r>
        <w:t> ;</w:t>
      </w:r>
    </w:p>
    <w:p w14:paraId="3B3A6653" w14:textId="77777777" w:rsidR="00C21029" w:rsidRPr="00C57470" w:rsidRDefault="00C21029" w:rsidP="00687DD2">
      <w:pPr>
        <w:pStyle w:val="Paragraphedeliste"/>
        <w:numPr>
          <w:ilvl w:val="0"/>
          <w:numId w:val="34"/>
        </w:numPr>
        <w:spacing w:before="100" w:beforeAutospacing="1" w:after="100" w:afterAutospacing="1" w:line="240" w:lineRule="auto"/>
        <w:jc w:val="both"/>
      </w:pPr>
      <w:r w:rsidRPr="00C57470">
        <w:t>prévoit des rapports confidentiels avec une documentation sûre et éthique des cas d'EAS/</w:t>
      </w:r>
      <w:r>
        <w:t>HS</w:t>
      </w:r>
      <w:r w:rsidRPr="00C57470">
        <w:t xml:space="preserve">, en particulier avec des </w:t>
      </w:r>
      <w:r>
        <w:t xml:space="preserve">codes </w:t>
      </w:r>
      <w:r w:rsidRPr="00C57470">
        <w:t>permettant d'identifier le</w:t>
      </w:r>
      <w:r>
        <w:t>/la</w:t>
      </w:r>
      <w:r w:rsidRPr="00C57470">
        <w:t xml:space="preserve"> survivant</w:t>
      </w:r>
      <w:r>
        <w:t>(e) ;</w:t>
      </w:r>
    </w:p>
    <w:p w14:paraId="4A746195" w14:textId="77777777" w:rsidR="00C21029" w:rsidRPr="00C57470" w:rsidRDefault="00C21029" w:rsidP="00687DD2">
      <w:pPr>
        <w:pStyle w:val="Paragraphedeliste"/>
        <w:numPr>
          <w:ilvl w:val="0"/>
          <w:numId w:val="34"/>
        </w:numPr>
        <w:spacing w:before="100" w:beforeAutospacing="1" w:after="100" w:afterAutospacing="1" w:line="240" w:lineRule="auto"/>
        <w:jc w:val="both"/>
      </w:pPr>
      <w:r w:rsidRPr="00C57470">
        <w:t>permet aux survivantes de se présenter au personnel féminin, si elles le souhaitent</w:t>
      </w:r>
      <w:r>
        <w:t> ;</w:t>
      </w:r>
    </w:p>
    <w:p w14:paraId="6DD06C64" w14:textId="77777777" w:rsidR="00C21029" w:rsidRPr="00C57470" w:rsidRDefault="00C21029" w:rsidP="00687DD2">
      <w:pPr>
        <w:pStyle w:val="Paragraphedeliste"/>
        <w:numPr>
          <w:ilvl w:val="0"/>
          <w:numId w:val="34"/>
        </w:numPr>
        <w:spacing w:before="100" w:beforeAutospacing="1" w:after="100" w:afterAutospacing="1" w:line="240" w:lineRule="auto"/>
        <w:jc w:val="both"/>
      </w:pPr>
      <w:r>
        <w:t>a</w:t>
      </w:r>
      <w:r w:rsidRPr="00C57470">
        <w:t>utorise uniquement le personnel qui en a besoin pour effectuer des actions et des responsabilités en vertu de la politique d'accéder aux dossiers</w:t>
      </w:r>
      <w:r>
        <w:t> ;</w:t>
      </w:r>
    </w:p>
    <w:p w14:paraId="6FDB1B4E" w14:textId="77777777" w:rsidR="00C21029" w:rsidRPr="00C57470" w:rsidRDefault="00C21029" w:rsidP="00687DD2">
      <w:pPr>
        <w:pStyle w:val="Paragraphedeliste"/>
        <w:numPr>
          <w:ilvl w:val="0"/>
          <w:numId w:val="34"/>
        </w:numPr>
        <w:spacing w:before="100" w:beforeAutospacing="1" w:after="100" w:afterAutospacing="1" w:line="240" w:lineRule="auto"/>
        <w:jc w:val="both"/>
      </w:pPr>
      <w:r w:rsidRPr="00C57470">
        <w:t>selon la gravité de la plainte, restreint l'accès de l'auteur présumé au chantier, ou place l'auteur présumé en congé administratif ou suspend temporairement l'auteur présumé de postes ou d'activités spécifiés.</w:t>
      </w:r>
    </w:p>
    <w:p w14:paraId="43B37D97" w14:textId="77777777" w:rsidR="00C21029" w:rsidRDefault="00C21029" w:rsidP="00F91FA3">
      <w:pPr>
        <w:pStyle w:val="Paragraphedeliste"/>
        <w:jc w:val="both"/>
      </w:pPr>
    </w:p>
    <w:p w14:paraId="57E5E63E" w14:textId="77777777" w:rsidR="00C21029" w:rsidRDefault="00C21029" w:rsidP="00687DD2">
      <w:pPr>
        <w:pStyle w:val="Paragraphedeliste"/>
        <w:numPr>
          <w:ilvl w:val="0"/>
          <w:numId w:val="35"/>
        </w:numPr>
        <w:spacing w:before="240" w:after="100" w:afterAutospacing="1" w:line="240" w:lineRule="auto"/>
        <w:ind w:left="567" w:hanging="431"/>
        <w:contextualSpacing w:val="0"/>
        <w:jc w:val="both"/>
        <w:rPr>
          <w:b/>
          <w:bCs/>
        </w:rPr>
      </w:pPr>
      <w:r w:rsidRPr="00D37297">
        <w:rPr>
          <w:b/>
          <w:bCs/>
        </w:rPr>
        <w:t>Etape</w:t>
      </w:r>
      <w:r>
        <w:rPr>
          <w:b/>
          <w:bCs/>
        </w:rPr>
        <w:t xml:space="preserve"> 5</w:t>
      </w:r>
      <w:r w:rsidRPr="00D37297">
        <w:rPr>
          <w:b/>
          <w:bCs/>
        </w:rPr>
        <w:t xml:space="preserve"> :</w:t>
      </w:r>
      <w:r>
        <w:rPr>
          <w:b/>
          <w:bCs/>
        </w:rPr>
        <w:t xml:space="preserve"> Clôture de dossier de plaintes</w:t>
      </w:r>
    </w:p>
    <w:p w14:paraId="29BEB0F1" w14:textId="77777777" w:rsidR="00C21029" w:rsidRPr="00C57470" w:rsidRDefault="00C21029" w:rsidP="00F91FA3">
      <w:pPr>
        <w:jc w:val="both"/>
      </w:pPr>
      <w:r>
        <w:t xml:space="preserve">La clôture du dossier de plainte de VBG est constatée après la vérification de la mise en œuvre d’une résolution. Pour ce faire, il doit être demandé au plaignant de fournir un retour d’information sur leur degré de satisfaction à l’égard du processus de traitement de la plainte et du résultat. Si la conclusion est satisfaisante, le dossier est alors clôturé. Tous les documents liés à la plainte doivent être maintenus confidentiels. </w:t>
      </w:r>
    </w:p>
    <w:p w14:paraId="1396CDEB" w14:textId="77777777" w:rsidR="00C21029" w:rsidRPr="00C57470" w:rsidRDefault="00C21029" w:rsidP="0044500E">
      <w:pPr>
        <w:pStyle w:val="Titre2"/>
        <w:numPr>
          <w:ilvl w:val="1"/>
          <w:numId w:val="159"/>
        </w:numPr>
      </w:pPr>
      <w:bookmarkStart w:id="2060" w:name="_Toc86408970"/>
      <w:bookmarkStart w:id="2061" w:name="_Toc124312866"/>
      <w:bookmarkStart w:id="2062" w:name="_Toc124314846"/>
      <w:bookmarkStart w:id="2063" w:name="_Toc124317054"/>
      <w:bookmarkStart w:id="2064" w:name="_Toc124956395"/>
      <w:bookmarkStart w:id="2065" w:name="_Toc125384753"/>
      <w:bookmarkStart w:id="2066" w:name="_Toc125385143"/>
      <w:bookmarkStart w:id="2067" w:name="_Toc125402336"/>
      <w:bookmarkStart w:id="2068" w:name="_Toc126593255"/>
      <w:bookmarkStart w:id="2069" w:name="_Toc127957794"/>
      <w:r>
        <w:t xml:space="preserve">Protocole de responsabilisation et d’intervention : </w:t>
      </w:r>
      <w:r w:rsidRPr="00C57470">
        <w:t>Services spécifiques dédiés au traitement de cas de VBG et d’abus sexuels</w:t>
      </w:r>
      <w:bookmarkEnd w:id="2060"/>
      <w:bookmarkEnd w:id="2061"/>
      <w:bookmarkEnd w:id="2062"/>
      <w:bookmarkEnd w:id="2063"/>
      <w:bookmarkEnd w:id="2064"/>
      <w:bookmarkEnd w:id="2065"/>
      <w:bookmarkEnd w:id="2066"/>
      <w:bookmarkEnd w:id="2067"/>
      <w:bookmarkEnd w:id="2068"/>
      <w:bookmarkEnd w:id="2069"/>
    </w:p>
    <w:p w14:paraId="1B6664F9" w14:textId="77777777" w:rsidR="00C21029" w:rsidRDefault="00C21029" w:rsidP="00B434A6">
      <w:pPr>
        <w:spacing w:before="120" w:after="120"/>
        <w:jc w:val="both"/>
      </w:pPr>
      <w:r w:rsidRPr="00C57470">
        <w:t>Disposer d’une cartographie et d’une évaluation des services pouvant intervenir en appui en cas d</w:t>
      </w:r>
      <w:r>
        <w:t>’EAS/HS</w:t>
      </w:r>
      <w:r w:rsidRPr="00C57470">
        <w:t xml:space="preserve"> constitue l’étape primordiale dans la mise en œuvre du Plan d’action </w:t>
      </w:r>
      <w:r>
        <w:t>EAS/HS</w:t>
      </w:r>
      <w:r w:rsidRPr="00C57470">
        <w:t xml:space="preserve">. </w:t>
      </w:r>
      <w:r>
        <w:t>Le protocole de réponse, de responsabilisation et d’intervention suit les 3 formes de prise en charge, à savoir :</w:t>
      </w:r>
    </w:p>
    <w:p w14:paraId="423C6B90" w14:textId="77777777" w:rsidR="00C21029" w:rsidRDefault="00C21029" w:rsidP="0044500E">
      <w:pPr>
        <w:pStyle w:val="Paragraphedeliste"/>
        <w:numPr>
          <w:ilvl w:val="0"/>
          <w:numId w:val="162"/>
        </w:numPr>
        <w:spacing w:before="100" w:beforeAutospacing="1" w:after="100" w:afterAutospacing="1" w:line="240" w:lineRule="auto"/>
        <w:jc w:val="both"/>
      </w:pPr>
      <w:r>
        <w:t>prise en charge juridique : assistance judiciaire dans chaque Tribunal de Première Instan</w:t>
      </w:r>
      <w:r w:rsidR="00B40AF7">
        <w:t>c</w:t>
      </w:r>
      <w:r>
        <w:t>e ;</w:t>
      </w:r>
    </w:p>
    <w:p w14:paraId="22F75B9D" w14:textId="77777777" w:rsidR="00C21029" w:rsidRDefault="00C21029" w:rsidP="0044500E">
      <w:pPr>
        <w:pStyle w:val="Paragraphedeliste"/>
        <w:numPr>
          <w:ilvl w:val="0"/>
          <w:numId w:val="162"/>
        </w:numPr>
        <w:spacing w:before="100" w:beforeAutospacing="1" w:after="100" w:afterAutospacing="1" w:line="240" w:lineRule="auto"/>
        <w:jc w:val="both"/>
      </w:pPr>
      <w:r>
        <w:t>prise en charge médicale : assurée par les centres de santé agréés (</w:t>
      </w:r>
      <w:r w:rsidRPr="00B434A6">
        <w:rPr>
          <w:color w:val="auto"/>
        </w:rPr>
        <w:t>Cf. liste ci-dessous</w:t>
      </w:r>
      <w:r>
        <w:t>);</w:t>
      </w:r>
    </w:p>
    <w:p w14:paraId="068269E2" w14:textId="77777777" w:rsidR="00C21029" w:rsidRDefault="00C21029" w:rsidP="0044500E">
      <w:pPr>
        <w:pStyle w:val="Paragraphedeliste"/>
        <w:numPr>
          <w:ilvl w:val="0"/>
          <w:numId w:val="162"/>
        </w:numPr>
        <w:spacing w:before="100" w:beforeAutospacing="1" w:after="100" w:afterAutospacing="1" w:line="240" w:lineRule="auto"/>
        <w:jc w:val="both"/>
      </w:pPr>
      <w:r>
        <w:t>prise en charge psychosociale : assurée par les centres d’écoute.</w:t>
      </w:r>
    </w:p>
    <w:p w14:paraId="5424C064" w14:textId="77777777" w:rsidR="00C21029" w:rsidRPr="00C57470" w:rsidRDefault="00C21029" w:rsidP="00F91FA3">
      <w:pPr>
        <w:jc w:val="both"/>
      </w:pPr>
      <w:r w:rsidRPr="00C57470">
        <w:t>Aussi, les services spécifiques de prise en charge</w:t>
      </w:r>
      <w:r>
        <w:t xml:space="preserve"> intégrés</w:t>
      </w:r>
      <w:r w:rsidRPr="00C57470">
        <w:t xml:space="preserve"> des cas de VBG et d’abus sexuels sont</w:t>
      </w:r>
      <w:r>
        <w:t>-ils</w:t>
      </w:r>
      <w:r w:rsidRPr="00C57470">
        <w:t xml:space="preserve"> fournis par les séries de tableaux ci-après :</w:t>
      </w:r>
    </w:p>
    <w:p w14:paraId="20F5AC7F" w14:textId="77777777" w:rsidR="00C21029" w:rsidRDefault="00C21029" w:rsidP="00C21029">
      <w:pPr>
        <w:sectPr w:rsidR="00C21029" w:rsidSect="00AB25EB">
          <w:pgSz w:w="11906" w:h="16838"/>
          <w:pgMar w:top="1418" w:right="1418" w:bottom="1418" w:left="1418" w:header="709" w:footer="709" w:gutter="0"/>
          <w:cols w:space="708"/>
          <w:docGrid w:linePitch="360"/>
        </w:sectPr>
      </w:pPr>
    </w:p>
    <w:p w14:paraId="0BE75AC2" w14:textId="77777777" w:rsidR="00C21029" w:rsidRPr="000B144D" w:rsidRDefault="00C21029" w:rsidP="00C21029">
      <w:pPr>
        <w:pStyle w:val="Lgende"/>
      </w:pPr>
      <w:bookmarkStart w:id="2070" w:name="_Toc124140863"/>
      <w:bookmarkStart w:id="2071" w:name="_Toc124312961"/>
      <w:bookmarkStart w:id="2072" w:name="_Toc125096837"/>
      <w:bookmarkStart w:id="2073" w:name="_Toc125403025"/>
      <w:bookmarkStart w:id="2074" w:name="_Toc127957902"/>
      <w:r w:rsidRPr="000B144D">
        <w:t xml:space="preserve">Tableau </w:t>
      </w:r>
      <w:r w:rsidRPr="000B144D">
        <w:fldChar w:fldCharType="begin"/>
      </w:r>
      <w:r w:rsidRPr="000B144D">
        <w:instrText>SEQ Tableau \* ARABIC</w:instrText>
      </w:r>
      <w:r w:rsidRPr="000B144D">
        <w:fldChar w:fldCharType="separate"/>
      </w:r>
      <w:r w:rsidR="005430A1">
        <w:rPr>
          <w:noProof/>
        </w:rPr>
        <w:t>106</w:t>
      </w:r>
      <w:r w:rsidRPr="000B144D">
        <w:fldChar w:fldCharType="end"/>
      </w:r>
      <w:r w:rsidRPr="000B144D">
        <w:t> : Liste des principaux services dédiés à la prise en charge des victimes de VBG</w:t>
      </w:r>
      <w:bookmarkEnd w:id="2070"/>
      <w:bookmarkEnd w:id="2071"/>
      <w:bookmarkEnd w:id="2072"/>
      <w:bookmarkEnd w:id="2073"/>
      <w:bookmarkEnd w:id="2074"/>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5"/>
        <w:gridCol w:w="8934"/>
        <w:gridCol w:w="344"/>
      </w:tblGrid>
      <w:tr w:rsidR="0063584D" w:rsidRPr="007F78CE" w14:paraId="7E437101" w14:textId="77777777" w:rsidTr="007F78CE">
        <w:trPr>
          <w:trHeight w:val="113"/>
          <w:tblHeader/>
          <w:jc w:val="center"/>
        </w:trPr>
        <w:tc>
          <w:tcPr>
            <w:tcW w:w="1627" w:type="pct"/>
            <w:shd w:val="clear" w:color="auto" w:fill="auto"/>
            <w:vAlign w:val="center"/>
          </w:tcPr>
          <w:p w14:paraId="4591770E" w14:textId="77777777" w:rsidR="00C21029" w:rsidRPr="007F78CE" w:rsidRDefault="00C21029" w:rsidP="007F78CE">
            <w:pPr>
              <w:suppressAutoHyphens/>
              <w:spacing w:after="0" w:line="360" w:lineRule="exact"/>
              <w:jc w:val="center"/>
              <w:rPr>
                <w:b/>
              </w:rPr>
            </w:pPr>
            <w:r w:rsidRPr="007F78CE">
              <w:rPr>
                <w:b/>
              </w:rPr>
              <w:t>Services/ressources disponibles</w:t>
            </w:r>
          </w:p>
        </w:tc>
        <w:tc>
          <w:tcPr>
            <w:tcW w:w="3248" w:type="pct"/>
            <w:shd w:val="clear" w:color="auto" w:fill="auto"/>
            <w:vAlign w:val="center"/>
          </w:tcPr>
          <w:p w14:paraId="78911EDC" w14:textId="77777777" w:rsidR="00C21029" w:rsidRPr="007F78CE" w:rsidRDefault="00C21029" w:rsidP="007F78CE">
            <w:pPr>
              <w:suppressAutoHyphens/>
              <w:spacing w:after="0" w:line="360" w:lineRule="exact"/>
              <w:jc w:val="center"/>
              <w:rPr>
                <w:b/>
              </w:rPr>
            </w:pPr>
            <w:r w:rsidRPr="007F78CE">
              <w:rPr>
                <w:b/>
              </w:rPr>
              <w:t>Domaines d’intervention</w:t>
            </w:r>
          </w:p>
        </w:tc>
        <w:tc>
          <w:tcPr>
            <w:tcW w:w="125" w:type="pct"/>
            <w:tcBorders>
              <w:top w:val="nil"/>
              <w:left w:val="nil"/>
              <w:bottom w:val="nil"/>
              <w:right w:val="nil"/>
            </w:tcBorders>
            <w:shd w:val="clear" w:color="auto" w:fill="auto"/>
          </w:tcPr>
          <w:p w14:paraId="7259E8C3" w14:textId="77777777" w:rsidR="00C21029" w:rsidRPr="007F78CE" w:rsidRDefault="00C21029" w:rsidP="007F78CE">
            <w:pPr>
              <w:suppressAutoHyphens/>
              <w:spacing w:after="0" w:line="240" w:lineRule="auto"/>
              <w:rPr>
                <w:rFonts w:ascii="Arial Narrow" w:eastAsia="Times New Roman" w:hAnsi="Arial Narrow" w:cs="Arial"/>
                <w:color w:val="F79646"/>
              </w:rPr>
            </w:pPr>
          </w:p>
        </w:tc>
      </w:tr>
      <w:tr w:rsidR="0063584D" w:rsidRPr="007F78CE" w14:paraId="47D023AC" w14:textId="77777777" w:rsidTr="007F78CE">
        <w:trPr>
          <w:trHeight w:val="113"/>
          <w:jc w:val="center"/>
        </w:trPr>
        <w:tc>
          <w:tcPr>
            <w:tcW w:w="1627" w:type="pct"/>
            <w:shd w:val="clear" w:color="auto" w:fill="auto"/>
            <w:vAlign w:val="center"/>
          </w:tcPr>
          <w:p w14:paraId="7C53306A" w14:textId="77777777" w:rsidR="00C21029" w:rsidRPr="007F78CE" w:rsidRDefault="00C21029" w:rsidP="007F78CE">
            <w:pPr>
              <w:suppressAutoHyphens/>
              <w:spacing w:before="120" w:after="120" w:line="240" w:lineRule="auto"/>
            </w:pPr>
            <w:r w:rsidRPr="007F78CE">
              <w:t xml:space="preserve">Service de la lutte contre les VBG au sein du Ministère de la Population, de la Protection Sociale et de la Promotion de la Femme </w:t>
            </w:r>
          </w:p>
        </w:tc>
        <w:tc>
          <w:tcPr>
            <w:tcW w:w="3248" w:type="pct"/>
            <w:shd w:val="clear" w:color="auto" w:fill="auto"/>
            <w:vAlign w:val="center"/>
          </w:tcPr>
          <w:p w14:paraId="1E7558DB" w14:textId="77777777" w:rsidR="00C21029" w:rsidRPr="007F78CE" w:rsidRDefault="00C21029" w:rsidP="007F78CE">
            <w:pPr>
              <w:suppressAutoHyphens/>
              <w:spacing w:after="0" w:line="240" w:lineRule="auto"/>
            </w:pPr>
            <w:r w:rsidRPr="007F78CE">
              <w:t xml:space="preserve">Le Ministère de la Population, de la Protection Sociale et de la Promotion de la Femme est chargé d’améliorer les conditions socio-économiques de la population, de mettre en place un dispositif de protection </w:t>
            </w:r>
            <w:r w:rsidR="00E834C7">
              <w:t>et</w:t>
            </w:r>
            <w:r w:rsidR="00E834C7" w:rsidRPr="007F78CE">
              <w:t xml:space="preserve"> </w:t>
            </w:r>
            <w:r w:rsidR="00E834C7">
              <w:t xml:space="preserve">de </w:t>
            </w:r>
            <w:r w:rsidRPr="007F78CE">
              <w:t xml:space="preserve">promotion de la femme, du genre et des minorités, de concevoir et de coordonner et de mettre en place un cadre d’orientation générale en matière de protection sociale en faveur des ménages en situation de vulnérabilité. </w:t>
            </w:r>
          </w:p>
          <w:p w14:paraId="16DE9743" w14:textId="77777777" w:rsidR="00C21029" w:rsidRPr="007F78CE" w:rsidRDefault="00C21029" w:rsidP="007F78CE">
            <w:pPr>
              <w:suppressAutoHyphens/>
              <w:spacing w:after="0" w:line="240" w:lineRule="auto"/>
            </w:pPr>
            <w:r w:rsidRPr="007F78CE">
              <w:t>Le Ministère intervient dans la lutte contre les violences à travers le Service de la lutte contre les VBG</w:t>
            </w:r>
            <w:r w:rsidR="00B40AF7">
              <w:t>.</w:t>
            </w:r>
            <w:r w:rsidRPr="007F78CE">
              <w:t xml:space="preserve"> </w:t>
            </w:r>
          </w:p>
        </w:tc>
        <w:tc>
          <w:tcPr>
            <w:tcW w:w="125" w:type="pct"/>
            <w:tcBorders>
              <w:top w:val="nil"/>
              <w:left w:val="nil"/>
              <w:bottom w:val="nil"/>
              <w:right w:val="nil"/>
            </w:tcBorders>
            <w:shd w:val="clear" w:color="auto" w:fill="auto"/>
          </w:tcPr>
          <w:p w14:paraId="745DA6AD" w14:textId="77777777" w:rsidR="00C21029" w:rsidRPr="007F78CE" w:rsidRDefault="00C21029" w:rsidP="007F78CE">
            <w:pPr>
              <w:suppressAutoHyphens/>
              <w:spacing w:after="0" w:line="240" w:lineRule="auto"/>
              <w:rPr>
                <w:rFonts w:ascii="Arial Narrow" w:eastAsia="Times New Roman" w:hAnsi="Arial Narrow" w:cs="Arial"/>
                <w:color w:val="F79646"/>
              </w:rPr>
            </w:pPr>
          </w:p>
        </w:tc>
      </w:tr>
      <w:tr w:rsidR="0063584D" w:rsidRPr="007F78CE" w14:paraId="187C9464" w14:textId="77777777" w:rsidTr="007F78CE">
        <w:trPr>
          <w:trHeight w:val="113"/>
          <w:jc w:val="center"/>
        </w:trPr>
        <w:tc>
          <w:tcPr>
            <w:tcW w:w="1627" w:type="pct"/>
            <w:shd w:val="clear" w:color="auto" w:fill="auto"/>
            <w:vAlign w:val="center"/>
          </w:tcPr>
          <w:p w14:paraId="16F55BD2" w14:textId="77777777" w:rsidR="00C21029" w:rsidRPr="007F78CE" w:rsidRDefault="00C21029" w:rsidP="007F78CE">
            <w:pPr>
              <w:suppressAutoHyphens/>
              <w:spacing w:before="120" w:after="120" w:line="240" w:lineRule="auto"/>
            </w:pPr>
            <w:r w:rsidRPr="007F78CE">
              <w:t>Centres d'Ecoute et de Conseils Juridiques (CECJ)</w:t>
            </w:r>
          </w:p>
        </w:tc>
        <w:tc>
          <w:tcPr>
            <w:tcW w:w="3248" w:type="pct"/>
            <w:shd w:val="clear" w:color="auto" w:fill="auto"/>
            <w:vAlign w:val="center"/>
          </w:tcPr>
          <w:p w14:paraId="5DD05510" w14:textId="77777777" w:rsidR="00C21029" w:rsidRPr="007F78CE" w:rsidRDefault="00C21029" w:rsidP="00E834C7">
            <w:pPr>
              <w:suppressAutoHyphens/>
              <w:spacing w:before="120" w:after="120" w:line="240" w:lineRule="auto"/>
            </w:pPr>
            <w:r w:rsidRPr="007F78CE">
              <w:t xml:space="preserve">Prise en charge sociale, juridique, médicale rapide des personnes vulnérables. Ces centres sont chargés de recevoir les dénonciations de violence basée sur le genre, assurer la sensibilisation aux fins de prévention de ces violences à travers des conseils directs aux victimes ou des animations mobiles au niveau de la communauté et enfin, assurer la diffusion des dispositions légales protégeant la femme contre la violence, se répartissent dans </w:t>
            </w:r>
            <w:r w:rsidR="00E834C7">
              <w:t>dix huit (</w:t>
            </w:r>
            <w:r w:rsidR="00E834C7" w:rsidRPr="007F78CE">
              <w:t>1</w:t>
            </w:r>
            <w:r w:rsidR="00E834C7">
              <w:t>8)</w:t>
            </w:r>
            <w:r w:rsidR="00E834C7" w:rsidRPr="007F78CE">
              <w:t xml:space="preserve"> </w:t>
            </w:r>
            <w:r w:rsidRPr="007F78CE">
              <w:t>Régions : Boeny, Betsiboka, Analamanga, Itasy, Bongolava, Atsinana, Analanjirofo, Amoron'i Mania, Haute Matsiatra, Menabe, Androy, Anosy, Vakinankaratra, alaotra Mangoro, Boeny, Betsiboka, Atsimo Andrefana, Fitovinany</w:t>
            </w:r>
            <w:r w:rsidR="004E5A6C">
              <w:t>.</w:t>
            </w:r>
            <w:r w:rsidRPr="007F78CE">
              <w:t xml:space="preserve"> </w:t>
            </w:r>
          </w:p>
        </w:tc>
        <w:tc>
          <w:tcPr>
            <w:tcW w:w="125" w:type="pct"/>
            <w:tcBorders>
              <w:top w:val="nil"/>
              <w:left w:val="nil"/>
              <w:bottom w:val="nil"/>
              <w:right w:val="nil"/>
            </w:tcBorders>
            <w:shd w:val="clear" w:color="auto" w:fill="auto"/>
          </w:tcPr>
          <w:p w14:paraId="1C5C357C" w14:textId="77777777" w:rsidR="00C21029" w:rsidRPr="007F78CE" w:rsidRDefault="00C21029" w:rsidP="007F78CE">
            <w:pPr>
              <w:suppressAutoHyphens/>
              <w:spacing w:after="0" w:line="240" w:lineRule="auto"/>
              <w:rPr>
                <w:rFonts w:ascii="Arial Narrow" w:eastAsia="Times New Roman" w:hAnsi="Arial Narrow" w:cs="Arial"/>
                <w:color w:val="F79646"/>
              </w:rPr>
            </w:pPr>
          </w:p>
        </w:tc>
      </w:tr>
      <w:tr w:rsidR="0063584D" w:rsidRPr="007F78CE" w14:paraId="7E353B57" w14:textId="77777777" w:rsidTr="007F78CE">
        <w:trPr>
          <w:trHeight w:val="113"/>
          <w:jc w:val="center"/>
        </w:trPr>
        <w:tc>
          <w:tcPr>
            <w:tcW w:w="1627" w:type="pct"/>
            <w:shd w:val="clear" w:color="auto" w:fill="auto"/>
            <w:vAlign w:val="center"/>
          </w:tcPr>
          <w:p w14:paraId="7E557899" w14:textId="77777777" w:rsidR="00C21029" w:rsidRPr="007F78CE" w:rsidRDefault="00C21029" w:rsidP="007F78CE">
            <w:pPr>
              <w:suppressAutoHyphens/>
              <w:spacing w:before="120" w:after="120" w:line="240" w:lineRule="auto"/>
            </w:pPr>
            <w:r w:rsidRPr="007F78CE">
              <w:t xml:space="preserve">Brigades Féminines de Proximité (BFP) </w:t>
            </w:r>
          </w:p>
        </w:tc>
        <w:tc>
          <w:tcPr>
            <w:tcW w:w="3248" w:type="pct"/>
            <w:shd w:val="clear" w:color="auto" w:fill="auto"/>
            <w:vAlign w:val="center"/>
          </w:tcPr>
          <w:p w14:paraId="30006F3B" w14:textId="77777777" w:rsidR="00C21029" w:rsidRPr="007F78CE" w:rsidRDefault="00C21029" w:rsidP="007F78CE">
            <w:pPr>
              <w:suppressAutoHyphens/>
              <w:spacing w:before="120" w:after="120" w:line="240" w:lineRule="auto"/>
            </w:pPr>
            <w:r w:rsidRPr="007F78CE">
              <w:t xml:space="preserve">Sensibilisation, écoute, prise en charge des victimes de violence basée sur le genre </w:t>
            </w:r>
          </w:p>
        </w:tc>
        <w:tc>
          <w:tcPr>
            <w:tcW w:w="125" w:type="pct"/>
            <w:tcBorders>
              <w:top w:val="nil"/>
              <w:left w:val="nil"/>
              <w:bottom w:val="nil"/>
              <w:right w:val="nil"/>
            </w:tcBorders>
            <w:shd w:val="clear" w:color="auto" w:fill="auto"/>
          </w:tcPr>
          <w:p w14:paraId="1BB808C5" w14:textId="77777777" w:rsidR="00C21029" w:rsidRPr="007F78CE" w:rsidRDefault="00C21029" w:rsidP="007F78CE">
            <w:pPr>
              <w:suppressAutoHyphens/>
              <w:spacing w:after="0" w:line="240" w:lineRule="auto"/>
              <w:rPr>
                <w:rFonts w:ascii="Arial Narrow" w:eastAsia="Times New Roman" w:hAnsi="Arial Narrow" w:cs="Arial"/>
                <w:color w:val="F79646"/>
              </w:rPr>
            </w:pPr>
          </w:p>
        </w:tc>
      </w:tr>
      <w:tr w:rsidR="0063584D" w:rsidRPr="007F78CE" w14:paraId="03CE1AE9" w14:textId="77777777" w:rsidTr="007F78CE">
        <w:trPr>
          <w:trHeight w:val="113"/>
          <w:jc w:val="center"/>
        </w:trPr>
        <w:tc>
          <w:tcPr>
            <w:tcW w:w="1627" w:type="pct"/>
            <w:shd w:val="clear" w:color="auto" w:fill="auto"/>
            <w:vAlign w:val="center"/>
          </w:tcPr>
          <w:p w14:paraId="5B326746" w14:textId="77777777" w:rsidR="00C21029" w:rsidRPr="007F78CE" w:rsidRDefault="00C21029" w:rsidP="007F78CE">
            <w:pPr>
              <w:suppressAutoHyphens/>
              <w:spacing w:before="120" w:after="120" w:line="240" w:lineRule="auto"/>
            </w:pPr>
            <w:r w:rsidRPr="007F78CE">
              <w:t>Centres VONJY</w:t>
            </w:r>
          </w:p>
        </w:tc>
        <w:tc>
          <w:tcPr>
            <w:tcW w:w="3248" w:type="pct"/>
            <w:shd w:val="clear" w:color="auto" w:fill="auto"/>
            <w:vAlign w:val="center"/>
          </w:tcPr>
          <w:p w14:paraId="37B0CD36" w14:textId="77777777" w:rsidR="00C21029" w:rsidRPr="007F78CE" w:rsidRDefault="00C21029" w:rsidP="007F78CE">
            <w:pPr>
              <w:suppressAutoHyphens/>
              <w:spacing w:before="120" w:after="120" w:line="240" w:lineRule="auto"/>
            </w:pPr>
            <w:r w:rsidRPr="007F78CE">
              <w:t xml:space="preserve">Prise en charge des filles et des garçons victimes de violence sexuelle. </w:t>
            </w:r>
          </w:p>
          <w:p w14:paraId="14BD4FDC" w14:textId="77777777" w:rsidR="00C21029" w:rsidRPr="007F78CE" w:rsidRDefault="00C21029" w:rsidP="007F78CE">
            <w:pPr>
              <w:suppressAutoHyphens/>
              <w:spacing w:before="120" w:after="120" w:line="240" w:lineRule="auto"/>
            </w:pPr>
            <w:r w:rsidRPr="007F78CE">
              <w:t>Fourniture des services de prise en charge psychosociale (par les assistantes sociales), médicale (par les médecins de l’hôpital) et judiciaire (par les policiers).</w:t>
            </w:r>
          </w:p>
          <w:p w14:paraId="3DAD6A16" w14:textId="77777777" w:rsidR="00C21029" w:rsidRPr="007F78CE" w:rsidRDefault="00C21029" w:rsidP="007F78CE">
            <w:pPr>
              <w:shd w:val="clear" w:color="auto" w:fill="FFFFFF"/>
              <w:suppressAutoHyphens/>
              <w:spacing w:after="221" w:line="240" w:lineRule="auto"/>
            </w:pPr>
            <w:r w:rsidRPr="007F78CE">
              <w:t>Les centres Vonjy se situent actuellement dans les villes suivantes :</w:t>
            </w:r>
          </w:p>
          <w:p w14:paraId="40CBAC8D" w14:textId="77777777" w:rsidR="00C21029" w:rsidRPr="007F78CE" w:rsidRDefault="00C21029" w:rsidP="0044500E">
            <w:pPr>
              <w:numPr>
                <w:ilvl w:val="0"/>
                <w:numId w:val="166"/>
              </w:numPr>
              <w:shd w:val="clear" w:color="auto" w:fill="FFFFFF"/>
              <w:suppressAutoHyphens/>
              <w:spacing w:after="100" w:line="240" w:lineRule="auto"/>
              <w:ind w:left="0"/>
            </w:pPr>
            <w:r w:rsidRPr="007F78CE">
              <w:t>Antananarivo, au niveau du CHUGOB (Maternité de Befelatanana)</w:t>
            </w:r>
          </w:p>
          <w:p w14:paraId="60A77FE7" w14:textId="77777777" w:rsidR="00C21029" w:rsidRPr="007F78CE" w:rsidRDefault="00C21029" w:rsidP="0044500E">
            <w:pPr>
              <w:numPr>
                <w:ilvl w:val="0"/>
                <w:numId w:val="166"/>
              </w:numPr>
              <w:shd w:val="clear" w:color="auto" w:fill="FFFFFF"/>
              <w:suppressAutoHyphens/>
              <w:spacing w:after="100" w:line="240" w:lineRule="auto"/>
              <w:ind w:left="0"/>
            </w:pPr>
            <w:r w:rsidRPr="007F78CE">
              <w:t>T</w:t>
            </w:r>
            <w:r w:rsidR="006D5F22">
              <w:t>o</w:t>
            </w:r>
            <w:r w:rsidRPr="007F78CE">
              <w:t>ama</w:t>
            </w:r>
            <w:r w:rsidR="006D5F22">
              <w:t>sina</w:t>
            </w:r>
            <w:r w:rsidRPr="007F78CE">
              <w:t>, au niveau du CHU Analankininina (Hopitaly Be Toamasina)</w:t>
            </w:r>
          </w:p>
          <w:p w14:paraId="14E2A33A" w14:textId="77777777" w:rsidR="00C21029" w:rsidRPr="007F78CE" w:rsidRDefault="00C21029" w:rsidP="0044500E">
            <w:pPr>
              <w:numPr>
                <w:ilvl w:val="0"/>
                <w:numId w:val="166"/>
              </w:numPr>
              <w:shd w:val="clear" w:color="auto" w:fill="FFFFFF"/>
              <w:suppressAutoHyphens/>
              <w:spacing w:after="100" w:line="240" w:lineRule="auto"/>
              <w:ind w:left="0"/>
            </w:pPr>
            <w:r w:rsidRPr="007F78CE">
              <w:t>Majunga, au niveau du CHU Androva (Hopitaly Androva PZaGa)</w:t>
            </w:r>
          </w:p>
          <w:p w14:paraId="559CA789" w14:textId="77777777" w:rsidR="00C21029" w:rsidRPr="007F78CE" w:rsidRDefault="00C21029" w:rsidP="0044500E">
            <w:pPr>
              <w:numPr>
                <w:ilvl w:val="0"/>
                <w:numId w:val="166"/>
              </w:numPr>
              <w:shd w:val="clear" w:color="auto" w:fill="FFFFFF"/>
              <w:suppressAutoHyphens/>
              <w:spacing w:after="100" w:line="240" w:lineRule="auto"/>
              <w:ind w:left="0"/>
            </w:pPr>
            <w:r w:rsidRPr="007F78CE">
              <w:t>Nosy-Be, au niveau du CHRD II de Nosy-Be (Hopitaly Be Andavakotoko)</w:t>
            </w:r>
          </w:p>
          <w:p w14:paraId="75D406D6" w14:textId="77777777" w:rsidR="00C21029" w:rsidRPr="007F78CE" w:rsidRDefault="00C21029" w:rsidP="0044500E">
            <w:pPr>
              <w:numPr>
                <w:ilvl w:val="0"/>
                <w:numId w:val="166"/>
              </w:numPr>
              <w:shd w:val="clear" w:color="auto" w:fill="FFFFFF"/>
              <w:suppressAutoHyphens/>
              <w:spacing w:after="100" w:line="240" w:lineRule="auto"/>
              <w:ind w:left="0"/>
            </w:pPr>
            <w:r w:rsidRPr="007F78CE">
              <w:t>T</w:t>
            </w:r>
            <w:r w:rsidR="006D5F22">
              <w:t>oliara</w:t>
            </w:r>
            <w:r w:rsidRPr="007F78CE">
              <w:t>, au niveau du CHU Antanambao (Hopitaly Be Toliar</w:t>
            </w:r>
            <w:r w:rsidR="006D5F22">
              <w:t>a</w:t>
            </w:r>
            <w:r w:rsidRPr="007F78CE">
              <w:t>)</w:t>
            </w:r>
          </w:p>
          <w:p w14:paraId="6217384D" w14:textId="77777777" w:rsidR="00C21029" w:rsidRPr="007F78CE" w:rsidRDefault="00C21029" w:rsidP="0044500E">
            <w:pPr>
              <w:numPr>
                <w:ilvl w:val="0"/>
                <w:numId w:val="166"/>
              </w:numPr>
              <w:shd w:val="clear" w:color="auto" w:fill="FFFFFF"/>
              <w:suppressAutoHyphens/>
              <w:spacing w:after="100" w:line="240" w:lineRule="auto"/>
              <w:ind w:left="0"/>
            </w:pPr>
            <w:r w:rsidRPr="007F78CE">
              <w:t>Fort Dauphin, au niveau du CHU (Hopitaly Be Faradofay)</w:t>
            </w:r>
          </w:p>
        </w:tc>
        <w:tc>
          <w:tcPr>
            <w:tcW w:w="125" w:type="pct"/>
            <w:tcBorders>
              <w:top w:val="nil"/>
              <w:left w:val="nil"/>
              <w:bottom w:val="nil"/>
              <w:right w:val="nil"/>
            </w:tcBorders>
            <w:shd w:val="clear" w:color="auto" w:fill="auto"/>
          </w:tcPr>
          <w:p w14:paraId="2FD7C5DA" w14:textId="77777777" w:rsidR="00C21029" w:rsidRPr="007F78CE" w:rsidRDefault="00C21029" w:rsidP="007F78CE">
            <w:pPr>
              <w:suppressAutoHyphens/>
              <w:spacing w:after="0" w:line="240" w:lineRule="auto"/>
              <w:rPr>
                <w:rFonts w:ascii="Arial Narrow" w:eastAsia="Times New Roman" w:hAnsi="Arial Narrow" w:cs="Arial"/>
                <w:color w:val="F79646"/>
              </w:rPr>
            </w:pPr>
          </w:p>
        </w:tc>
      </w:tr>
      <w:tr w:rsidR="0063584D" w:rsidRPr="007F78CE" w14:paraId="6069F441" w14:textId="77777777" w:rsidTr="007F78CE">
        <w:trPr>
          <w:trHeight w:val="113"/>
          <w:jc w:val="center"/>
        </w:trPr>
        <w:tc>
          <w:tcPr>
            <w:tcW w:w="1627" w:type="pct"/>
            <w:shd w:val="clear" w:color="auto" w:fill="auto"/>
            <w:vAlign w:val="center"/>
          </w:tcPr>
          <w:p w14:paraId="14EB008A" w14:textId="77777777" w:rsidR="00C21029" w:rsidRPr="007F78CE" w:rsidRDefault="00C21029" w:rsidP="007F78CE">
            <w:pPr>
              <w:suppressAutoHyphens/>
              <w:spacing w:before="120" w:after="120" w:line="240" w:lineRule="auto"/>
            </w:pPr>
            <w:r w:rsidRPr="007F78CE">
              <w:t>« Trano Aro ZO » dites Cliniques juridiques</w:t>
            </w:r>
          </w:p>
        </w:tc>
        <w:tc>
          <w:tcPr>
            <w:tcW w:w="3248" w:type="pct"/>
            <w:shd w:val="clear" w:color="auto" w:fill="auto"/>
            <w:vAlign w:val="center"/>
          </w:tcPr>
          <w:p w14:paraId="168061D6" w14:textId="77777777" w:rsidR="00C21029" w:rsidRPr="007F78CE" w:rsidRDefault="00C21029" w:rsidP="007F78CE">
            <w:pPr>
              <w:suppressAutoHyphens/>
              <w:spacing w:after="0" w:line="240" w:lineRule="auto"/>
            </w:pPr>
            <w:r w:rsidRPr="007F78CE">
              <w:t>Sises à Ivandry et Andohotapenaka pour Antananarivo, dans la région de Betroka et Ihosy, Régions Anosy et Ihorombe, ayant comme principales attributions : le règlement des conflits communautaires, familiaux et communautaires, la garantie de l’accès aux droits et à la justice des personnes vulnérables, mais aussi la résolution à l’amiable des conflits communautaires.</w:t>
            </w:r>
          </w:p>
          <w:p w14:paraId="56360EF4" w14:textId="77777777" w:rsidR="00C21029" w:rsidRPr="007F78CE" w:rsidRDefault="00C21029" w:rsidP="007F78CE">
            <w:pPr>
              <w:suppressAutoHyphens/>
              <w:spacing w:after="0" w:line="240" w:lineRule="auto"/>
            </w:pPr>
            <w:r w:rsidRPr="007F78CE">
              <w:t>Les cliniques juridiques permettent la mise en place d’un mécanisme de recours non judiciaire, rapide, souple et accessible à tous les citoyens afin de rendre effective la jouissance des droits humains et libertés individuelles.</w:t>
            </w:r>
          </w:p>
        </w:tc>
        <w:tc>
          <w:tcPr>
            <w:tcW w:w="125" w:type="pct"/>
            <w:tcBorders>
              <w:top w:val="nil"/>
              <w:left w:val="nil"/>
              <w:bottom w:val="nil"/>
              <w:right w:val="nil"/>
            </w:tcBorders>
            <w:shd w:val="clear" w:color="auto" w:fill="auto"/>
          </w:tcPr>
          <w:p w14:paraId="72E89A07" w14:textId="77777777" w:rsidR="00C21029" w:rsidRPr="007F78CE" w:rsidRDefault="00C21029" w:rsidP="007F78CE">
            <w:pPr>
              <w:suppressAutoHyphens/>
              <w:spacing w:after="0" w:line="240" w:lineRule="auto"/>
              <w:rPr>
                <w:rFonts w:ascii="Arial Narrow" w:eastAsia="Times New Roman" w:hAnsi="Arial Narrow" w:cs="Arial"/>
                <w:color w:val="F79646"/>
              </w:rPr>
            </w:pPr>
          </w:p>
        </w:tc>
      </w:tr>
      <w:tr w:rsidR="0063584D" w:rsidRPr="007F78CE" w14:paraId="0A17504D" w14:textId="77777777" w:rsidTr="007F78CE">
        <w:trPr>
          <w:trHeight w:val="113"/>
          <w:jc w:val="center"/>
        </w:trPr>
        <w:tc>
          <w:tcPr>
            <w:tcW w:w="1627" w:type="pct"/>
            <w:shd w:val="clear" w:color="auto" w:fill="auto"/>
            <w:vAlign w:val="center"/>
          </w:tcPr>
          <w:p w14:paraId="5BCC493D" w14:textId="77777777" w:rsidR="00C21029" w:rsidRPr="007F78CE" w:rsidRDefault="00C21029" w:rsidP="007F78CE">
            <w:pPr>
              <w:suppressAutoHyphens/>
              <w:spacing w:after="0" w:line="240" w:lineRule="auto"/>
            </w:pPr>
            <w:r w:rsidRPr="007F78CE">
              <w:t>ASSOCIATION FITIA</w:t>
            </w:r>
          </w:p>
        </w:tc>
        <w:tc>
          <w:tcPr>
            <w:tcW w:w="3248" w:type="pct"/>
            <w:shd w:val="clear" w:color="auto" w:fill="auto"/>
            <w:vAlign w:val="center"/>
          </w:tcPr>
          <w:p w14:paraId="47228B04" w14:textId="77777777" w:rsidR="00C21029" w:rsidRPr="007F78CE" w:rsidRDefault="00C21029" w:rsidP="007F78CE">
            <w:pPr>
              <w:suppressAutoHyphens/>
              <w:spacing w:after="0" w:line="240" w:lineRule="auto"/>
            </w:pPr>
            <w:r w:rsidRPr="007F78CE">
              <w:t xml:space="preserve">Le Centre spécialisé de l’association FITIA fournira des services de prise en charge intégrée aux survivants des VBG. </w:t>
            </w:r>
          </w:p>
          <w:p w14:paraId="133BFAD6" w14:textId="77777777" w:rsidR="00C21029" w:rsidRPr="007F78CE" w:rsidRDefault="00C21029" w:rsidP="007F78CE">
            <w:pPr>
              <w:suppressAutoHyphens/>
              <w:spacing w:after="0" w:line="240" w:lineRule="auto"/>
            </w:pPr>
            <w:r w:rsidRPr="007F78CE">
              <w:t xml:space="preserve">L’association intervient dans la sensibilisation des populations sur les VBG et leurs conséquences socio-économiques et sanitaires. Elle participe également aux renforcements des capacités des intervenants dans la lutte contre les VBG et des survivants de VBG. </w:t>
            </w:r>
          </w:p>
        </w:tc>
        <w:tc>
          <w:tcPr>
            <w:tcW w:w="125" w:type="pct"/>
            <w:tcBorders>
              <w:top w:val="nil"/>
              <w:left w:val="nil"/>
              <w:bottom w:val="nil"/>
              <w:right w:val="nil"/>
            </w:tcBorders>
            <w:shd w:val="clear" w:color="auto" w:fill="auto"/>
          </w:tcPr>
          <w:p w14:paraId="7F12AA2C" w14:textId="77777777" w:rsidR="00C21029" w:rsidRPr="007F78CE" w:rsidRDefault="00C21029" w:rsidP="007F78CE">
            <w:pPr>
              <w:suppressAutoHyphens/>
              <w:spacing w:after="0" w:line="240" w:lineRule="auto"/>
              <w:rPr>
                <w:rFonts w:ascii="Arial Narrow" w:eastAsia="Times New Roman" w:hAnsi="Arial Narrow" w:cs="Arial"/>
                <w:color w:val="F79646"/>
              </w:rPr>
            </w:pPr>
          </w:p>
        </w:tc>
      </w:tr>
    </w:tbl>
    <w:p w14:paraId="3B704642" w14:textId="77777777" w:rsidR="00C21029" w:rsidRPr="00B434A6" w:rsidRDefault="00C21029" w:rsidP="00C21029">
      <w:pPr>
        <w:spacing w:after="0"/>
        <w:rPr>
          <w:sz w:val="18"/>
          <w:szCs w:val="18"/>
        </w:rPr>
      </w:pPr>
      <w:r w:rsidRPr="00B434A6">
        <w:rPr>
          <w:sz w:val="18"/>
          <w:szCs w:val="18"/>
        </w:rPr>
        <w:t>Source : https://www.womenconnect.org/fr/web/madagascar/social-services</w:t>
      </w:r>
    </w:p>
    <w:p w14:paraId="5D4412DD" w14:textId="77777777" w:rsidR="00C21029" w:rsidRDefault="00C21029" w:rsidP="00B434A6">
      <w:pPr>
        <w:spacing w:before="120" w:after="120"/>
      </w:pPr>
      <w:r>
        <w:t>La liste des autres services/organismes œuvrant dans la prise en charge des cas de VBG/EAS-HS est annexée</w:t>
      </w:r>
      <w:r w:rsidR="00A616E6">
        <w:t xml:space="preserve"> (annexe 4)</w:t>
      </w:r>
      <w:r>
        <w:t xml:space="preserve"> au présent document. </w:t>
      </w:r>
    </w:p>
    <w:p w14:paraId="17948DAA" w14:textId="77777777" w:rsidR="00C21029" w:rsidRDefault="00C21029" w:rsidP="00C21029"/>
    <w:p w14:paraId="390B8362" w14:textId="77777777" w:rsidR="00C21029" w:rsidRDefault="00C21029" w:rsidP="00C21029"/>
    <w:p w14:paraId="09BC0B2A" w14:textId="77777777" w:rsidR="00C21029" w:rsidRDefault="00C21029" w:rsidP="00C21029">
      <w:pPr>
        <w:sectPr w:rsidR="00C21029" w:rsidSect="00AB25EB">
          <w:pgSz w:w="16838" w:h="11906" w:orient="landscape"/>
          <w:pgMar w:top="1418" w:right="1418" w:bottom="1418" w:left="1418" w:header="709" w:footer="709" w:gutter="0"/>
          <w:cols w:space="708"/>
          <w:docGrid w:linePitch="360"/>
        </w:sectPr>
      </w:pPr>
    </w:p>
    <w:p w14:paraId="0E050574" w14:textId="77777777" w:rsidR="00C21029" w:rsidRPr="00C57470" w:rsidRDefault="00C21029" w:rsidP="0044500E">
      <w:pPr>
        <w:pStyle w:val="Titre1"/>
        <w:numPr>
          <w:ilvl w:val="0"/>
          <w:numId w:val="159"/>
        </w:numPr>
        <w:ind w:left="0" w:firstLine="0"/>
      </w:pPr>
      <w:bookmarkStart w:id="2075" w:name="_Toc86408971"/>
      <w:bookmarkStart w:id="2076" w:name="_Toc124312867"/>
      <w:bookmarkStart w:id="2077" w:name="_Toc124314847"/>
      <w:bookmarkStart w:id="2078" w:name="_Toc124317055"/>
      <w:bookmarkStart w:id="2079" w:name="_Toc124956396"/>
      <w:bookmarkStart w:id="2080" w:name="_Toc125384754"/>
      <w:bookmarkStart w:id="2081" w:name="_Toc125385144"/>
      <w:bookmarkStart w:id="2082" w:name="_Toc125402337"/>
      <w:bookmarkStart w:id="2083" w:name="_Toc126593256"/>
      <w:bookmarkStart w:id="2084" w:name="_Toc127957795"/>
      <w:r w:rsidRPr="00C57470">
        <w:t>BUDGET POUR LE PLAN D’ACTION</w:t>
      </w:r>
      <w:r>
        <w:t xml:space="preserve"> VBG/ EAS/HS</w:t>
      </w:r>
      <w:bookmarkEnd w:id="2075"/>
      <w:bookmarkEnd w:id="2076"/>
      <w:bookmarkEnd w:id="2077"/>
      <w:bookmarkEnd w:id="2078"/>
      <w:bookmarkEnd w:id="2079"/>
      <w:bookmarkEnd w:id="2080"/>
      <w:bookmarkEnd w:id="2081"/>
      <w:bookmarkEnd w:id="2082"/>
      <w:bookmarkEnd w:id="2083"/>
      <w:bookmarkEnd w:id="2084"/>
    </w:p>
    <w:p w14:paraId="71AEF9A5" w14:textId="77777777" w:rsidR="00C21029" w:rsidRPr="00C57470" w:rsidRDefault="00C21029" w:rsidP="00C21029">
      <w:r w:rsidRPr="00C57470">
        <w:t xml:space="preserve">Le tableau ci-après </w:t>
      </w:r>
      <w:r>
        <w:t xml:space="preserve">donne un aperçu sur </w:t>
      </w:r>
      <w:r w:rsidRPr="00C57470">
        <w:t xml:space="preserve">le budget prévisionnel pour la mise en œuvre du plan d’action </w:t>
      </w:r>
      <w:r>
        <w:t>EAH/HS</w:t>
      </w:r>
      <w:r w:rsidRPr="00C57470">
        <w:t> :</w:t>
      </w:r>
    </w:p>
    <w:p w14:paraId="60AC2C38" w14:textId="77777777" w:rsidR="00C21029" w:rsidRPr="00C57470" w:rsidRDefault="00C21029" w:rsidP="00C21029">
      <w:pPr>
        <w:pStyle w:val="Lgende"/>
      </w:pPr>
      <w:bookmarkStart w:id="2085" w:name="_Toc124140864"/>
      <w:bookmarkStart w:id="2086" w:name="_Toc124312962"/>
      <w:bookmarkStart w:id="2087" w:name="_Toc125096838"/>
      <w:bookmarkStart w:id="2088" w:name="_Toc125403026"/>
      <w:bookmarkStart w:id="2089" w:name="_Toc127957903"/>
      <w:r w:rsidRPr="00C57470">
        <w:t xml:space="preserve">Tableau </w:t>
      </w:r>
      <w:r w:rsidRPr="00C57470">
        <w:fldChar w:fldCharType="begin"/>
      </w:r>
      <w:r w:rsidRPr="00C57470">
        <w:instrText>SEQ Tableau \* ARABIC</w:instrText>
      </w:r>
      <w:r w:rsidRPr="00C57470">
        <w:fldChar w:fldCharType="separate"/>
      </w:r>
      <w:r w:rsidR="005430A1">
        <w:rPr>
          <w:noProof/>
        </w:rPr>
        <w:t>107</w:t>
      </w:r>
      <w:r w:rsidRPr="00C57470">
        <w:fldChar w:fldCharType="end"/>
      </w:r>
      <w:r w:rsidRPr="00C57470">
        <w:t xml:space="preserve"> : Budget du </w:t>
      </w:r>
      <w:r>
        <w:t>P</w:t>
      </w:r>
      <w:r w:rsidRPr="00C57470">
        <w:t xml:space="preserve">lan d’action </w:t>
      </w:r>
      <w:r>
        <w:t>EAS/HS</w:t>
      </w:r>
      <w:bookmarkEnd w:id="2085"/>
      <w:bookmarkEnd w:id="2086"/>
      <w:bookmarkEnd w:id="2087"/>
      <w:bookmarkEnd w:id="2088"/>
      <w:bookmarkEnd w:id="2089"/>
    </w:p>
    <w:tbl>
      <w:tblPr>
        <w:tblW w:w="9300" w:type="dxa"/>
        <w:tblInd w:w="10" w:type="dxa"/>
        <w:tblBorders>
          <w:top w:val="single" w:sz="12" w:space="0" w:color="244061"/>
          <w:left w:val="single" w:sz="12" w:space="0" w:color="244061"/>
          <w:bottom w:val="single" w:sz="12" w:space="0" w:color="244061"/>
          <w:right w:val="single" w:sz="12" w:space="0" w:color="244061"/>
          <w:insideH w:val="single" w:sz="12" w:space="0" w:color="244061"/>
          <w:insideV w:val="single" w:sz="12" w:space="0" w:color="244061"/>
        </w:tblBorders>
        <w:tblLayout w:type="fixed"/>
        <w:tblCellMar>
          <w:left w:w="0" w:type="dxa"/>
          <w:right w:w="0" w:type="dxa"/>
        </w:tblCellMar>
        <w:tblLook w:val="0000" w:firstRow="0" w:lastRow="0" w:firstColumn="0" w:lastColumn="0" w:noHBand="0" w:noVBand="0"/>
      </w:tblPr>
      <w:tblGrid>
        <w:gridCol w:w="3124"/>
        <w:gridCol w:w="1559"/>
        <w:gridCol w:w="2477"/>
        <w:gridCol w:w="2140"/>
      </w:tblGrid>
      <w:tr w:rsidR="00C21029" w:rsidRPr="007F78CE" w14:paraId="37F774C7" w14:textId="77777777" w:rsidTr="00ED10B6">
        <w:trPr>
          <w:trHeight w:val="372"/>
        </w:trPr>
        <w:tc>
          <w:tcPr>
            <w:tcW w:w="3124" w:type="dxa"/>
            <w:shd w:val="clear" w:color="auto" w:fill="002060"/>
            <w:vAlign w:val="center"/>
          </w:tcPr>
          <w:p w14:paraId="48295528" w14:textId="77777777" w:rsidR="00C21029" w:rsidRPr="007F78CE" w:rsidRDefault="00C21029" w:rsidP="00D12C6F">
            <w:pPr>
              <w:rPr>
                <w:rFonts w:ascii="Arial Narrow" w:hAnsi="Arial Narrow"/>
                <w:b/>
                <w:bCs/>
              </w:rPr>
            </w:pPr>
            <w:r w:rsidRPr="007F78CE">
              <w:rPr>
                <w:rFonts w:ascii="Arial Narrow" w:hAnsi="Arial Narrow"/>
                <w:b/>
                <w:bCs/>
              </w:rPr>
              <w:t>Libellé</w:t>
            </w:r>
          </w:p>
        </w:tc>
        <w:tc>
          <w:tcPr>
            <w:tcW w:w="1559" w:type="dxa"/>
            <w:shd w:val="clear" w:color="auto" w:fill="002060"/>
            <w:vAlign w:val="center"/>
          </w:tcPr>
          <w:p w14:paraId="74B4C030" w14:textId="77777777" w:rsidR="00C21029" w:rsidRPr="007F78CE" w:rsidRDefault="00C21029" w:rsidP="00D12C6F">
            <w:pPr>
              <w:jc w:val="center"/>
              <w:rPr>
                <w:rFonts w:ascii="Arial Narrow" w:hAnsi="Arial Narrow"/>
                <w:b/>
                <w:bCs/>
              </w:rPr>
            </w:pPr>
            <w:r w:rsidRPr="007F78CE">
              <w:rPr>
                <w:rFonts w:ascii="Arial Narrow" w:hAnsi="Arial Narrow"/>
                <w:b/>
                <w:bCs/>
              </w:rPr>
              <w:t>PU (USD)</w:t>
            </w:r>
          </w:p>
        </w:tc>
        <w:tc>
          <w:tcPr>
            <w:tcW w:w="2477" w:type="dxa"/>
            <w:shd w:val="clear" w:color="auto" w:fill="002060"/>
            <w:vAlign w:val="center"/>
          </w:tcPr>
          <w:p w14:paraId="553DD76A" w14:textId="77777777" w:rsidR="00C21029" w:rsidRPr="007F78CE" w:rsidRDefault="00C21029" w:rsidP="00D12C6F">
            <w:pPr>
              <w:jc w:val="center"/>
              <w:rPr>
                <w:rFonts w:ascii="Arial Narrow" w:hAnsi="Arial Narrow"/>
                <w:b/>
                <w:bCs/>
              </w:rPr>
            </w:pPr>
            <w:r w:rsidRPr="007F78CE">
              <w:rPr>
                <w:rFonts w:ascii="Arial Narrow" w:hAnsi="Arial Narrow"/>
                <w:b/>
                <w:bCs/>
              </w:rPr>
              <w:t>Qté</w:t>
            </w:r>
          </w:p>
        </w:tc>
        <w:tc>
          <w:tcPr>
            <w:tcW w:w="2140" w:type="dxa"/>
            <w:shd w:val="clear" w:color="auto" w:fill="002060"/>
            <w:vAlign w:val="center"/>
          </w:tcPr>
          <w:p w14:paraId="407DDF97" w14:textId="77777777" w:rsidR="00C21029" w:rsidRPr="007F78CE" w:rsidRDefault="00C21029" w:rsidP="00D12C6F">
            <w:pPr>
              <w:rPr>
                <w:rFonts w:ascii="Arial Narrow" w:hAnsi="Arial Narrow"/>
                <w:b/>
                <w:bCs/>
              </w:rPr>
            </w:pPr>
            <w:r w:rsidRPr="007F78CE">
              <w:rPr>
                <w:rFonts w:ascii="Arial Narrow" w:hAnsi="Arial Narrow"/>
                <w:b/>
                <w:bCs/>
              </w:rPr>
              <w:t>Montant (USD)</w:t>
            </w:r>
          </w:p>
        </w:tc>
      </w:tr>
      <w:tr w:rsidR="00C21029" w:rsidRPr="007F78CE" w14:paraId="673FD0CC" w14:textId="77777777" w:rsidTr="00ED10B6">
        <w:trPr>
          <w:trHeight w:val="347"/>
        </w:trPr>
        <w:tc>
          <w:tcPr>
            <w:tcW w:w="3124" w:type="dxa"/>
            <w:shd w:val="clear" w:color="auto" w:fill="auto"/>
            <w:vAlign w:val="bottom"/>
          </w:tcPr>
          <w:p w14:paraId="2B47D6BA" w14:textId="77777777" w:rsidR="00C21029" w:rsidRPr="007F78CE" w:rsidRDefault="00C21029" w:rsidP="00D12C6F">
            <w:pPr>
              <w:rPr>
                <w:rFonts w:ascii="Arial Narrow" w:hAnsi="Arial Narrow"/>
              </w:rPr>
            </w:pPr>
            <w:r w:rsidRPr="007F78CE">
              <w:rPr>
                <w:rFonts w:ascii="Arial Narrow" w:hAnsi="Arial Narrow"/>
              </w:rPr>
              <w:t>Edition du Plan d’action</w:t>
            </w:r>
          </w:p>
        </w:tc>
        <w:tc>
          <w:tcPr>
            <w:tcW w:w="1559" w:type="dxa"/>
            <w:shd w:val="clear" w:color="auto" w:fill="auto"/>
            <w:vAlign w:val="center"/>
          </w:tcPr>
          <w:p w14:paraId="7E056EA4" w14:textId="77777777" w:rsidR="00C21029" w:rsidRPr="007F78CE" w:rsidRDefault="00C21029" w:rsidP="00D12C6F">
            <w:pPr>
              <w:jc w:val="center"/>
              <w:rPr>
                <w:rFonts w:ascii="Arial Narrow" w:hAnsi="Arial Narrow"/>
              </w:rPr>
            </w:pPr>
            <w:r w:rsidRPr="007F78CE">
              <w:rPr>
                <w:rFonts w:ascii="Arial Narrow" w:hAnsi="Arial Narrow"/>
              </w:rPr>
              <w:t>2.5</w:t>
            </w:r>
          </w:p>
        </w:tc>
        <w:tc>
          <w:tcPr>
            <w:tcW w:w="2477" w:type="dxa"/>
            <w:shd w:val="clear" w:color="auto" w:fill="auto"/>
            <w:vAlign w:val="center"/>
          </w:tcPr>
          <w:p w14:paraId="317277F3" w14:textId="77777777" w:rsidR="00C21029" w:rsidRPr="007F78CE" w:rsidRDefault="00C21029" w:rsidP="00D12C6F">
            <w:pPr>
              <w:jc w:val="center"/>
              <w:rPr>
                <w:rFonts w:ascii="Arial Narrow" w:hAnsi="Arial Narrow"/>
              </w:rPr>
            </w:pPr>
            <w:r w:rsidRPr="007F78CE">
              <w:rPr>
                <w:rFonts w:ascii="Arial Narrow" w:hAnsi="Arial Narrow"/>
              </w:rPr>
              <w:t>500</w:t>
            </w:r>
          </w:p>
        </w:tc>
        <w:tc>
          <w:tcPr>
            <w:tcW w:w="2140" w:type="dxa"/>
            <w:shd w:val="clear" w:color="auto" w:fill="auto"/>
            <w:vAlign w:val="center"/>
          </w:tcPr>
          <w:p w14:paraId="0F706E30" w14:textId="77777777" w:rsidR="00C21029" w:rsidRPr="007F78CE" w:rsidRDefault="00C21029" w:rsidP="00D12C6F">
            <w:pPr>
              <w:jc w:val="center"/>
              <w:rPr>
                <w:rFonts w:ascii="Arial Narrow" w:hAnsi="Arial Narrow"/>
              </w:rPr>
            </w:pPr>
            <w:r w:rsidRPr="007F78CE">
              <w:rPr>
                <w:rFonts w:ascii="Arial Narrow" w:hAnsi="Arial Narrow"/>
              </w:rPr>
              <w:t>1,250</w:t>
            </w:r>
          </w:p>
        </w:tc>
      </w:tr>
      <w:tr w:rsidR="00C21029" w:rsidRPr="007F78CE" w14:paraId="5F5C2F44" w14:textId="77777777" w:rsidTr="00ED10B6">
        <w:trPr>
          <w:trHeight w:val="347"/>
        </w:trPr>
        <w:tc>
          <w:tcPr>
            <w:tcW w:w="3124" w:type="dxa"/>
            <w:shd w:val="clear" w:color="auto" w:fill="auto"/>
            <w:vAlign w:val="bottom"/>
          </w:tcPr>
          <w:p w14:paraId="163A0624" w14:textId="77777777" w:rsidR="00C21029" w:rsidRPr="007F78CE" w:rsidRDefault="00C21029" w:rsidP="00D12C6F">
            <w:pPr>
              <w:rPr>
                <w:rFonts w:ascii="Arial Narrow" w:hAnsi="Arial Narrow"/>
              </w:rPr>
            </w:pPr>
            <w:r w:rsidRPr="007F78CE">
              <w:rPr>
                <w:rFonts w:ascii="Arial Narrow" w:hAnsi="Arial Narrow"/>
              </w:rPr>
              <w:t>Edition de posters / affichages</w:t>
            </w:r>
          </w:p>
        </w:tc>
        <w:tc>
          <w:tcPr>
            <w:tcW w:w="1559" w:type="dxa"/>
            <w:shd w:val="clear" w:color="auto" w:fill="auto"/>
            <w:vAlign w:val="center"/>
          </w:tcPr>
          <w:p w14:paraId="4B0A595C" w14:textId="77777777" w:rsidR="00C21029" w:rsidRPr="007F78CE" w:rsidRDefault="00C21029" w:rsidP="00D12C6F">
            <w:pPr>
              <w:jc w:val="center"/>
              <w:rPr>
                <w:rFonts w:ascii="Arial Narrow" w:hAnsi="Arial Narrow"/>
              </w:rPr>
            </w:pPr>
            <w:r w:rsidRPr="007F78CE">
              <w:rPr>
                <w:rFonts w:ascii="Arial Narrow" w:hAnsi="Arial Narrow"/>
              </w:rPr>
              <w:t>2</w:t>
            </w:r>
          </w:p>
        </w:tc>
        <w:tc>
          <w:tcPr>
            <w:tcW w:w="2477" w:type="dxa"/>
            <w:shd w:val="clear" w:color="auto" w:fill="auto"/>
            <w:vAlign w:val="center"/>
          </w:tcPr>
          <w:p w14:paraId="671306CC" w14:textId="77777777" w:rsidR="00C21029" w:rsidRPr="007F78CE" w:rsidRDefault="00C21029" w:rsidP="00D12C6F">
            <w:pPr>
              <w:jc w:val="center"/>
              <w:rPr>
                <w:rFonts w:ascii="Arial Narrow" w:hAnsi="Arial Narrow"/>
              </w:rPr>
            </w:pPr>
            <w:r w:rsidRPr="007F78CE">
              <w:rPr>
                <w:rFonts w:ascii="Arial Narrow" w:hAnsi="Arial Narrow"/>
              </w:rPr>
              <w:t>500</w:t>
            </w:r>
          </w:p>
        </w:tc>
        <w:tc>
          <w:tcPr>
            <w:tcW w:w="2140" w:type="dxa"/>
            <w:shd w:val="clear" w:color="auto" w:fill="auto"/>
            <w:vAlign w:val="center"/>
          </w:tcPr>
          <w:p w14:paraId="5FF89AEC" w14:textId="77777777" w:rsidR="00C21029" w:rsidRPr="007F78CE" w:rsidRDefault="00C21029" w:rsidP="00D12C6F">
            <w:pPr>
              <w:jc w:val="center"/>
              <w:rPr>
                <w:rFonts w:ascii="Arial Narrow" w:hAnsi="Arial Narrow"/>
              </w:rPr>
            </w:pPr>
            <w:r w:rsidRPr="007F78CE">
              <w:rPr>
                <w:rFonts w:ascii="Arial Narrow" w:hAnsi="Arial Narrow"/>
              </w:rPr>
              <w:t>1,000</w:t>
            </w:r>
          </w:p>
        </w:tc>
      </w:tr>
      <w:tr w:rsidR="00C21029" w:rsidRPr="007F78CE" w14:paraId="286EE38B" w14:textId="77777777" w:rsidTr="00ED10B6">
        <w:trPr>
          <w:trHeight w:val="347"/>
        </w:trPr>
        <w:tc>
          <w:tcPr>
            <w:tcW w:w="3124" w:type="dxa"/>
            <w:shd w:val="clear" w:color="auto" w:fill="auto"/>
            <w:vAlign w:val="bottom"/>
          </w:tcPr>
          <w:p w14:paraId="6E8E343E" w14:textId="77777777" w:rsidR="00C21029" w:rsidRPr="007F78CE" w:rsidRDefault="00C21029" w:rsidP="00D12C6F">
            <w:pPr>
              <w:rPr>
                <w:rFonts w:ascii="Arial Narrow" w:hAnsi="Arial Narrow"/>
              </w:rPr>
            </w:pPr>
            <w:r w:rsidRPr="007F78CE">
              <w:rPr>
                <w:rFonts w:ascii="Arial Narrow" w:hAnsi="Arial Narrow"/>
              </w:rPr>
              <w:t>Sensibilisation</w:t>
            </w:r>
          </w:p>
        </w:tc>
        <w:tc>
          <w:tcPr>
            <w:tcW w:w="1559" w:type="dxa"/>
            <w:shd w:val="clear" w:color="auto" w:fill="auto"/>
            <w:vAlign w:val="center"/>
          </w:tcPr>
          <w:p w14:paraId="607727FB" w14:textId="77777777" w:rsidR="00C21029" w:rsidRPr="007F78CE" w:rsidRDefault="00C21029" w:rsidP="00D12C6F">
            <w:pPr>
              <w:jc w:val="center"/>
              <w:rPr>
                <w:rFonts w:ascii="Arial Narrow" w:hAnsi="Arial Narrow"/>
              </w:rPr>
            </w:pPr>
            <w:r w:rsidRPr="007F78CE">
              <w:rPr>
                <w:rFonts w:ascii="Arial Narrow" w:hAnsi="Arial Narrow"/>
              </w:rPr>
              <w:t>10,000</w:t>
            </w:r>
          </w:p>
        </w:tc>
        <w:tc>
          <w:tcPr>
            <w:tcW w:w="2477" w:type="dxa"/>
            <w:shd w:val="clear" w:color="auto" w:fill="auto"/>
            <w:vAlign w:val="center"/>
          </w:tcPr>
          <w:p w14:paraId="5645B2F5" w14:textId="77777777" w:rsidR="00C21029" w:rsidRPr="007F78CE" w:rsidRDefault="00C21029" w:rsidP="00D12C6F">
            <w:pPr>
              <w:spacing w:after="0"/>
              <w:jc w:val="center"/>
              <w:rPr>
                <w:rFonts w:ascii="Arial Narrow" w:hAnsi="Arial Narrow"/>
              </w:rPr>
            </w:pPr>
            <w:r w:rsidRPr="007F78CE">
              <w:rPr>
                <w:rFonts w:ascii="Arial Narrow" w:hAnsi="Arial Narrow"/>
              </w:rPr>
              <w:t>Une fois par an par Région</w:t>
            </w:r>
          </w:p>
          <w:p w14:paraId="4AEF34A0" w14:textId="77777777" w:rsidR="00C21029" w:rsidRPr="007F78CE" w:rsidRDefault="00C21029" w:rsidP="00D12C6F">
            <w:pPr>
              <w:spacing w:after="0"/>
              <w:jc w:val="center"/>
              <w:rPr>
                <w:rFonts w:ascii="Arial Narrow" w:hAnsi="Arial Narrow"/>
              </w:rPr>
            </w:pPr>
            <w:r w:rsidRPr="007F78CE">
              <w:rPr>
                <w:rFonts w:ascii="Arial Narrow" w:hAnsi="Arial Narrow"/>
              </w:rPr>
              <w:t>Au niveau central</w:t>
            </w:r>
          </w:p>
        </w:tc>
        <w:tc>
          <w:tcPr>
            <w:tcW w:w="2140" w:type="dxa"/>
            <w:shd w:val="clear" w:color="auto" w:fill="auto"/>
            <w:vAlign w:val="center"/>
          </w:tcPr>
          <w:p w14:paraId="55C2ACE0" w14:textId="77777777" w:rsidR="00C21029" w:rsidRPr="007F78CE" w:rsidRDefault="00C21029" w:rsidP="00D12C6F">
            <w:pPr>
              <w:jc w:val="center"/>
              <w:rPr>
                <w:rFonts w:ascii="Arial Narrow" w:hAnsi="Arial Narrow"/>
              </w:rPr>
            </w:pPr>
            <w:r w:rsidRPr="007F78CE">
              <w:rPr>
                <w:rFonts w:ascii="Arial Narrow" w:hAnsi="Arial Narrow"/>
              </w:rPr>
              <w:t>240,000</w:t>
            </w:r>
          </w:p>
        </w:tc>
      </w:tr>
      <w:tr w:rsidR="00C21029" w:rsidRPr="007F78CE" w14:paraId="00A67862" w14:textId="77777777" w:rsidTr="00ED10B6">
        <w:trPr>
          <w:trHeight w:val="347"/>
        </w:trPr>
        <w:tc>
          <w:tcPr>
            <w:tcW w:w="3124" w:type="dxa"/>
            <w:shd w:val="clear" w:color="auto" w:fill="auto"/>
            <w:vAlign w:val="bottom"/>
          </w:tcPr>
          <w:p w14:paraId="411C20FD" w14:textId="77777777" w:rsidR="00C21029" w:rsidRPr="007F78CE" w:rsidRDefault="00C21029" w:rsidP="00D12C6F">
            <w:pPr>
              <w:rPr>
                <w:rFonts w:ascii="Arial Narrow" w:hAnsi="Arial Narrow"/>
              </w:rPr>
            </w:pPr>
            <w:r w:rsidRPr="007F78CE">
              <w:rPr>
                <w:rFonts w:ascii="Arial Narrow" w:hAnsi="Arial Narrow"/>
              </w:rPr>
              <w:t xml:space="preserve">Formation des parties prenantes </w:t>
            </w:r>
          </w:p>
        </w:tc>
        <w:tc>
          <w:tcPr>
            <w:tcW w:w="1559" w:type="dxa"/>
            <w:shd w:val="clear" w:color="auto" w:fill="auto"/>
            <w:vAlign w:val="center"/>
          </w:tcPr>
          <w:p w14:paraId="6F2A6D6A" w14:textId="77777777" w:rsidR="00C21029" w:rsidRPr="007F78CE" w:rsidRDefault="00C21029" w:rsidP="00D12C6F">
            <w:pPr>
              <w:jc w:val="center"/>
              <w:rPr>
                <w:rFonts w:ascii="Arial Narrow" w:hAnsi="Arial Narrow"/>
              </w:rPr>
            </w:pPr>
            <w:r w:rsidRPr="007F78CE">
              <w:rPr>
                <w:rFonts w:ascii="Arial Narrow" w:hAnsi="Arial Narrow"/>
              </w:rPr>
              <w:t>5.000</w:t>
            </w:r>
          </w:p>
        </w:tc>
        <w:tc>
          <w:tcPr>
            <w:tcW w:w="2477" w:type="dxa"/>
            <w:shd w:val="clear" w:color="auto" w:fill="auto"/>
            <w:vAlign w:val="center"/>
          </w:tcPr>
          <w:p w14:paraId="49B45DBD" w14:textId="77777777" w:rsidR="00C21029" w:rsidRPr="007F78CE" w:rsidRDefault="00C21029" w:rsidP="00D12C6F">
            <w:pPr>
              <w:spacing w:after="0"/>
              <w:jc w:val="center"/>
              <w:rPr>
                <w:rFonts w:ascii="Arial Narrow" w:hAnsi="Arial Narrow"/>
              </w:rPr>
            </w:pPr>
            <w:r w:rsidRPr="007F78CE">
              <w:rPr>
                <w:rFonts w:ascii="Arial Narrow" w:hAnsi="Arial Narrow"/>
              </w:rPr>
              <w:t>23 (Régions)</w:t>
            </w:r>
            <w:r w:rsidR="00A616E6">
              <w:rPr>
                <w:rFonts w:ascii="Arial Narrow" w:hAnsi="Arial Narrow"/>
              </w:rPr>
              <w:t xml:space="preserve"> et a</w:t>
            </w:r>
            <w:r w:rsidRPr="007F78CE">
              <w:rPr>
                <w:rFonts w:ascii="Arial Narrow" w:hAnsi="Arial Narrow"/>
              </w:rPr>
              <w:t>u niveau central</w:t>
            </w:r>
          </w:p>
        </w:tc>
        <w:tc>
          <w:tcPr>
            <w:tcW w:w="2140" w:type="dxa"/>
            <w:shd w:val="clear" w:color="auto" w:fill="auto"/>
            <w:vAlign w:val="center"/>
          </w:tcPr>
          <w:p w14:paraId="277CFA99" w14:textId="77777777" w:rsidR="00C21029" w:rsidRPr="007F78CE" w:rsidRDefault="00C21029" w:rsidP="00D12C6F">
            <w:pPr>
              <w:jc w:val="center"/>
              <w:rPr>
                <w:rFonts w:ascii="Arial Narrow" w:hAnsi="Arial Narrow"/>
              </w:rPr>
            </w:pPr>
            <w:r w:rsidRPr="007F78CE">
              <w:rPr>
                <w:rFonts w:ascii="Arial Narrow" w:hAnsi="Arial Narrow"/>
              </w:rPr>
              <w:t>120.000</w:t>
            </w:r>
          </w:p>
        </w:tc>
      </w:tr>
      <w:tr w:rsidR="00C21029" w:rsidRPr="007F78CE" w14:paraId="6ABEDA45" w14:textId="77777777" w:rsidTr="00ED10B6">
        <w:trPr>
          <w:trHeight w:val="352"/>
        </w:trPr>
        <w:tc>
          <w:tcPr>
            <w:tcW w:w="3124" w:type="dxa"/>
            <w:shd w:val="clear" w:color="auto" w:fill="auto"/>
            <w:vAlign w:val="bottom"/>
          </w:tcPr>
          <w:p w14:paraId="0D64EEF1" w14:textId="77777777" w:rsidR="00C21029" w:rsidRPr="007F78CE" w:rsidRDefault="00C21029" w:rsidP="00237420">
            <w:pPr>
              <w:rPr>
                <w:rFonts w:ascii="Arial Narrow" w:hAnsi="Arial Narrow"/>
              </w:rPr>
            </w:pPr>
            <w:r w:rsidRPr="007F78CE">
              <w:rPr>
                <w:rFonts w:ascii="Arial Narrow" w:hAnsi="Arial Narrow"/>
              </w:rPr>
              <w:t>Imprévus</w:t>
            </w:r>
            <w:r w:rsidR="00237420">
              <w:rPr>
                <w:rFonts w:ascii="Arial Narrow" w:hAnsi="Arial Narrow"/>
              </w:rPr>
              <w:t xml:space="preserve"> (5% )</w:t>
            </w:r>
          </w:p>
        </w:tc>
        <w:tc>
          <w:tcPr>
            <w:tcW w:w="1559" w:type="dxa"/>
            <w:shd w:val="clear" w:color="auto" w:fill="auto"/>
            <w:vAlign w:val="center"/>
          </w:tcPr>
          <w:p w14:paraId="742F54E3" w14:textId="77777777" w:rsidR="00C21029" w:rsidRPr="007F78CE" w:rsidRDefault="00C21029" w:rsidP="00D12C6F">
            <w:pPr>
              <w:jc w:val="center"/>
              <w:rPr>
                <w:rFonts w:ascii="Arial Narrow" w:hAnsi="Arial Narrow"/>
              </w:rPr>
            </w:pPr>
            <w:r w:rsidRPr="007F78CE">
              <w:rPr>
                <w:rFonts w:ascii="Arial Narrow" w:hAnsi="Arial Narrow"/>
              </w:rPr>
              <w:t>Fft</w:t>
            </w:r>
          </w:p>
        </w:tc>
        <w:tc>
          <w:tcPr>
            <w:tcW w:w="2477" w:type="dxa"/>
            <w:shd w:val="clear" w:color="auto" w:fill="auto"/>
            <w:vAlign w:val="center"/>
          </w:tcPr>
          <w:p w14:paraId="56D87CCA" w14:textId="77777777" w:rsidR="00C21029" w:rsidRPr="007F78CE" w:rsidRDefault="00C21029" w:rsidP="00D12C6F">
            <w:pPr>
              <w:jc w:val="center"/>
              <w:rPr>
                <w:rFonts w:ascii="Arial Narrow" w:hAnsi="Arial Narrow"/>
              </w:rPr>
            </w:pPr>
          </w:p>
        </w:tc>
        <w:tc>
          <w:tcPr>
            <w:tcW w:w="2140" w:type="dxa"/>
            <w:shd w:val="clear" w:color="auto" w:fill="auto"/>
            <w:vAlign w:val="center"/>
          </w:tcPr>
          <w:p w14:paraId="4A383E67" w14:textId="77777777" w:rsidR="00C21029" w:rsidRPr="007F78CE" w:rsidRDefault="00A616E6" w:rsidP="00D12C6F">
            <w:pPr>
              <w:jc w:val="center"/>
              <w:rPr>
                <w:rFonts w:ascii="Arial Narrow" w:hAnsi="Arial Narrow"/>
              </w:rPr>
            </w:pPr>
            <w:r>
              <w:rPr>
                <w:rFonts w:ascii="Arial Narrow" w:hAnsi="Arial Narrow"/>
              </w:rPr>
              <w:t>18. 113</w:t>
            </w:r>
          </w:p>
        </w:tc>
      </w:tr>
      <w:tr w:rsidR="00C21029" w:rsidRPr="00ED10B6" w14:paraId="4E0AE5B2" w14:textId="77777777" w:rsidTr="007F78CE">
        <w:trPr>
          <w:trHeight w:val="347"/>
        </w:trPr>
        <w:tc>
          <w:tcPr>
            <w:tcW w:w="7160" w:type="dxa"/>
            <w:gridSpan w:val="3"/>
            <w:shd w:val="clear" w:color="auto" w:fill="auto"/>
            <w:vAlign w:val="bottom"/>
          </w:tcPr>
          <w:p w14:paraId="36C875A3" w14:textId="77777777" w:rsidR="00C21029" w:rsidRPr="00ED10B6" w:rsidRDefault="00ED10B6" w:rsidP="00ED10B6">
            <w:pPr>
              <w:spacing w:before="120" w:after="120" w:line="240" w:lineRule="auto"/>
              <w:jc w:val="center"/>
              <w:rPr>
                <w:rFonts w:ascii="Arial Narrow" w:hAnsi="Arial Narrow"/>
                <w:b/>
                <w:bCs/>
              </w:rPr>
            </w:pPr>
            <w:r w:rsidRPr="00ED10B6">
              <w:rPr>
                <w:rFonts w:ascii="Arial Narrow" w:hAnsi="Arial Narrow"/>
                <w:b/>
                <w:bCs/>
              </w:rPr>
              <w:t>TOTAL</w:t>
            </w:r>
          </w:p>
        </w:tc>
        <w:tc>
          <w:tcPr>
            <w:tcW w:w="2140" w:type="dxa"/>
            <w:shd w:val="clear" w:color="auto" w:fill="auto"/>
            <w:vAlign w:val="center"/>
          </w:tcPr>
          <w:p w14:paraId="4355CF9F" w14:textId="77777777" w:rsidR="00C21029" w:rsidRPr="00ED10B6" w:rsidRDefault="00A616E6" w:rsidP="00ED10B6">
            <w:pPr>
              <w:spacing w:before="120" w:after="120" w:line="240" w:lineRule="auto"/>
              <w:jc w:val="center"/>
              <w:rPr>
                <w:rFonts w:ascii="Arial Narrow" w:hAnsi="Arial Narrow"/>
                <w:b/>
                <w:bCs/>
              </w:rPr>
            </w:pPr>
            <w:r w:rsidRPr="00A616E6">
              <w:rPr>
                <w:rFonts w:ascii="Arial Narrow" w:hAnsi="Arial Narrow"/>
                <w:b/>
                <w:bCs/>
              </w:rPr>
              <w:t>380</w:t>
            </w:r>
            <w:r>
              <w:rPr>
                <w:rFonts w:ascii="Arial Narrow" w:hAnsi="Arial Narrow"/>
                <w:b/>
                <w:bCs/>
              </w:rPr>
              <w:t>.</w:t>
            </w:r>
            <w:r w:rsidRPr="00A616E6">
              <w:rPr>
                <w:rFonts w:ascii="Arial Narrow" w:hAnsi="Arial Narrow"/>
                <w:b/>
                <w:bCs/>
              </w:rPr>
              <w:t>363</w:t>
            </w:r>
            <w:r>
              <w:rPr>
                <w:rFonts w:ascii="Arial Narrow" w:hAnsi="Arial Narrow"/>
                <w:b/>
                <w:bCs/>
              </w:rPr>
              <w:t xml:space="preserve"> </w:t>
            </w:r>
          </w:p>
        </w:tc>
      </w:tr>
    </w:tbl>
    <w:p w14:paraId="131ABCD3" w14:textId="77777777" w:rsidR="00C21029" w:rsidRDefault="00C21029" w:rsidP="00C21029"/>
    <w:p w14:paraId="03CAB85B" w14:textId="77777777" w:rsidR="00C21029" w:rsidRDefault="00C21029" w:rsidP="00B434A6">
      <w:pPr>
        <w:jc w:val="both"/>
      </w:pPr>
      <w:r w:rsidRPr="0044452D">
        <w:t>Il est précisé que les coûts liés aux prestations des organismes indépendants de prise en charge et de de sensibilisation, ne sont pas compris dans le présent budget prévisionnel. En effet, les frais directs liés à la prise en charge ne peuvent pas être calculés, étant donné qu’ils seront fonction du nombre de cas confirmés de VBG liés à la mise en œuvre du Projet. Concernant les frais de prestation des organismes indépendants spécialisés, leur sélection fera en principe l’objet de consultation directe, laquelle doit buter sur des propositions techniques et financières. Aussi, ces coûts ne sont pas budgétisés dans le présent plan d’action.</w:t>
      </w:r>
    </w:p>
    <w:p w14:paraId="130F3C66" w14:textId="77777777" w:rsidR="00C21029" w:rsidRDefault="00C21029" w:rsidP="0044500E">
      <w:pPr>
        <w:pStyle w:val="Titre1"/>
        <w:numPr>
          <w:ilvl w:val="0"/>
          <w:numId w:val="159"/>
        </w:numPr>
        <w:ind w:left="0" w:firstLine="0"/>
        <w:sectPr w:rsidR="00C21029" w:rsidSect="00AB25EB">
          <w:pgSz w:w="11906" w:h="16838"/>
          <w:pgMar w:top="1418" w:right="1418" w:bottom="1418" w:left="1418" w:header="709" w:footer="709" w:gutter="0"/>
          <w:cols w:space="708"/>
          <w:docGrid w:linePitch="360"/>
        </w:sectPr>
      </w:pPr>
      <w:bookmarkStart w:id="2090" w:name="_Toc86408972"/>
    </w:p>
    <w:p w14:paraId="4A8CD784" w14:textId="77777777" w:rsidR="00C21029" w:rsidRPr="00887224" w:rsidRDefault="00C21029" w:rsidP="0044500E">
      <w:pPr>
        <w:pStyle w:val="Titre1"/>
        <w:numPr>
          <w:ilvl w:val="0"/>
          <w:numId w:val="159"/>
        </w:numPr>
        <w:ind w:left="0" w:firstLine="0"/>
      </w:pPr>
      <w:bookmarkStart w:id="2091" w:name="_Toc124312868"/>
      <w:bookmarkStart w:id="2092" w:name="_Toc124314848"/>
      <w:bookmarkStart w:id="2093" w:name="_Toc124317056"/>
      <w:bookmarkStart w:id="2094" w:name="_Toc124956397"/>
      <w:bookmarkStart w:id="2095" w:name="_Toc125384755"/>
      <w:bookmarkStart w:id="2096" w:name="_Toc125385145"/>
      <w:bookmarkStart w:id="2097" w:name="_Toc125402338"/>
      <w:bookmarkStart w:id="2098" w:name="_Toc126593257"/>
      <w:bookmarkStart w:id="2099" w:name="_Toc127957796"/>
      <w:r w:rsidRPr="00887224">
        <w:t>CONCLUSION</w:t>
      </w:r>
      <w:bookmarkEnd w:id="2090"/>
      <w:bookmarkEnd w:id="2091"/>
      <w:bookmarkEnd w:id="2092"/>
      <w:bookmarkEnd w:id="2093"/>
      <w:bookmarkEnd w:id="2094"/>
      <w:bookmarkEnd w:id="2095"/>
      <w:bookmarkEnd w:id="2096"/>
      <w:bookmarkEnd w:id="2097"/>
      <w:bookmarkEnd w:id="2098"/>
      <w:bookmarkEnd w:id="2099"/>
    </w:p>
    <w:p w14:paraId="1834C137" w14:textId="77777777" w:rsidR="00C21029" w:rsidRDefault="00C21029" w:rsidP="00B434A6">
      <w:pPr>
        <w:jc w:val="both"/>
      </w:pPr>
      <w:r w:rsidRPr="00C57470">
        <w:t>Ce document servira d’instrument à l’</w:t>
      </w:r>
      <w:r>
        <w:t xml:space="preserve">UCP </w:t>
      </w:r>
      <w:r w:rsidRPr="00C57470">
        <w:t xml:space="preserve">ainsi qu’aux contractants et sous-traitants </w:t>
      </w:r>
      <w:r w:rsidRPr="002B280D">
        <w:t>du Projet</w:t>
      </w:r>
      <w:r>
        <w:t xml:space="preserve"> </w:t>
      </w:r>
      <w:r w:rsidRPr="002B280D">
        <w:t>comme</w:t>
      </w:r>
      <w:r w:rsidRPr="00C57470">
        <w:t xml:space="preserve"> étant un moyen d’identifier, d’évaluer les risques d</w:t>
      </w:r>
      <w:r>
        <w:t>’</w:t>
      </w:r>
      <w:r w:rsidRPr="00C57470">
        <w:t>EAS/HS, d’agir sur les risques et d’apporter une réponse adéquate et appropriée à toutes les allégations d</w:t>
      </w:r>
      <w:r>
        <w:t>’EAS/HS</w:t>
      </w:r>
      <w:r w:rsidRPr="00C57470">
        <w:t xml:space="preserve"> signalées. Le </w:t>
      </w:r>
      <w:r>
        <w:t>P</w:t>
      </w:r>
      <w:r w:rsidRPr="00C57470">
        <w:t xml:space="preserve">lan d’action EAS/HS met en exergue les mesures de prévention et d’atténuation pour les opérations inhérentes à la réalisation des activités du </w:t>
      </w:r>
      <w:r>
        <w:t>Projet</w:t>
      </w:r>
      <w:r w:rsidRPr="00C57470">
        <w:t>.</w:t>
      </w:r>
      <w:r>
        <w:t xml:space="preserve"> </w:t>
      </w:r>
      <w:r w:rsidRPr="00C57470">
        <w:t xml:space="preserve">Un budget de </w:t>
      </w:r>
      <w:r w:rsidR="00237420" w:rsidRPr="00A616E6">
        <w:rPr>
          <w:rFonts w:ascii="Arial Narrow" w:hAnsi="Arial Narrow"/>
          <w:b/>
          <w:bCs/>
        </w:rPr>
        <w:t>380</w:t>
      </w:r>
      <w:r w:rsidR="00237420">
        <w:rPr>
          <w:rFonts w:ascii="Arial Narrow" w:hAnsi="Arial Narrow"/>
          <w:b/>
          <w:bCs/>
        </w:rPr>
        <w:t>.</w:t>
      </w:r>
      <w:r w:rsidR="00237420" w:rsidRPr="00A616E6">
        <w:rPr>
          <w:rFonts w:ascii="Arial Narrow" w:hAnsi="Arial Narrow"/>
          <w:b/>
          <w:bCs/>
        </w:rPr>
        <w:t>363</w:t>
      </w:r>
      <w:r w:rsidR="00237420">
        <w:rPr>
          <w:rFonts w:ascii="Arial Narrow" w:hAnsi="Arial Narrow"/>
          <w:b/>
          <w:bCs/>
        </w:rPr>
        <w:t xml:space="preserve">  </w:t>
      </w:r>
      <w:r w:rsidRPr="00C57470">
        <w:rPr>
          <w:b/>
          <w:bCs/>
        </w:rPr>
        <w:t>USD</w:t>
      </w:r>
      <w:r w:rsidRPr="00C57470">
        <w:t xml:space="preserve"> est estimé pour la mise en œuvre du présent plan dans les zones d’intervention du Pro</w:t>
      </w:r>
      <w:r>
        <w:t>jet</w:t>
      </w:r>
      <w:r w:rsidRPr="00C57470">
        <w:t xml:space="preserve">. </w:t>
      </w:r>
    </w:p>
    <w:p w14:paraId="3AE521CA" w14:textId="77777777" w:rsidR="00C21029" w:rsidRPr="00C57470" w:rsidRDefault="00C21029" w:rsidP="00C21029"/>
    <w:p w14:paraId="034E0ED0" w14:textId="77777777" w:rsidR="00C21029" w:rsidRPr="00C57470" w:rsidRDefault="00C21029" w:rsidP="00C21029">
      <w:pPr>
        <w:sectPr w:rsidR="00C21029" w:rsidRPr="00C57470" w:rsidSect="00AB25EB">
          <w:pgSz w:w="11906" w:h="16838"/>
          <w:pgMar w:top="1418" w:right="1418" w:bottom="1418" w:left="1418" w:header="709" w:footer="709" w:gutter="0"/>
          <w:cols w:space="708"/>
          <w:docGrid w:linePitch="360"/>
        </w:sectPr>
      </w:pPr>
    </w:p>
    <w:p w14:paraId="649AFF87" w14:textId="77777777" w:rsidR="00C21029" w:rsidRPr="0086042C" w:rsidRDefault="00C21029" w:rsidP="00C21029">
      <w:pPr>
        <w:rPr>
          <w:sz w:val="40"/>
          <w:szCs w:val="40"/>
        </w:rPr>
      </w:pPr>
      <w:r w:rsidRPr="0086042C">
        <w:rPr>
          <w:sz w:val="40"/>
          <w:szCs w:val="40"/>
        </w:rPr>
        <w:t>ANNEXES</w:t>
      </w:r>
    </w:p>
    <w:p w14:paraId="2949C034" w14:textId="77777777" w:rsidR="00C21029" w:rsidRPr="00C57470" w:rsidRDefault="00C21029" w:rsidP="00C21029"/>
    <w:p w14:paraId="0D5F536D" w14:textId="77777777" w:rsidR="00C21029" w:rsidRPr="00C57470" w:rsidRDefault="00C21029" w:rsidP="00C21029">
      <w:pPr>
        <w:sectPr w:rsidR="00C21029" w:rsidRPr="00C57470" w:rsidSect="00AB25EB">
          <w:headerReference w:type="default" r:id="rId88"/>
          <w:footerReference w:type="default" r:id="rId89"/>
          <w:pgSz w:w="11906" w:h="16838"/>
          <w:pgMar w:top="1418" w:right="1418" w:bottom="1418" w:left="1418" w:header="709" w:footer="709" w:gutter="0"/>
          <w:cols w:space="708"/>
          <w:vAlign w:val="center"/>
          <w:docGrid w:linePitch="360"/>
        </w:sectPr>
      </w:pPr>
    </w:p>
    <w:p w14:paraId="1D10297B" w14:textId="77777777" w:rsidR="00C21029" w:rsidRDefault="00C21029" w:rsidP="00C21029">
      <w:pPr>
        <w:pStyle w:val="Lgende"/>
      </w:pPr>
      <w:bookmarkStart w:id="2100" w:name="_Toc124178403"/>
      <w:bookmarkStart w:id="2101" w:name="_Toc124278543"/>
      <w:bookmarkStart w:id="2102" w:name="_Toc124313013"/>
      <w:bookmarkStart w:id="2103" w:name="_Toc125402480"/>
      <w:bookmarkStart w:id="2104" w:name="_Toc70679750"/>
      <w:r w:rsidRPr="00C57470">
        <w:t xml:space="preserve">Annexe </w:t>
      </w:r>
      <w:r w:rsidRPr="00C57470">
        <w:fldChar w:fldCharType="begin"/>
      </w:r>
      <w:r w:rsidRPr="00C57470">
        <w:instrText>SEQ Annexe \* ARABIC</w:instrText>
      </w:r>
      <w:r w:rsidRPr="00C57470">
        <w:fldChar w:fldCharType="separate"/>
      </w:r>
      <w:r w:rsidR="009947B9">
        <w:rPr>
          <w:noProof/>
        </w:rPr>
        <w:t>18</w:t>
      </w:r>
      <w:r w:rsidRPr="00C57470">
        <w:fldChar w:fldCharType="end"/>
      </w:r>
      <w:r w:rsidRPr="00C57470">
        <w:t xml:space="preserve"> : </w:t>
      </w:r>
      <w:r>
        <w:t>Terminologie utilisée dans le cadre de la lutte contre les VBG</w:t>
      </w:r>
      <w:bookmarkEnd w:id="2100"/>
      <w:bookmarkEnd w:id="2101"/>
      <w:bookmarkEnd w:id="2102"/>
      <w:bookmarkEnd w:id="2103"/>
    </w:p>
    <w:p w14:paraId="101425F5" w14:textId="77777777" w:rsidR="00C21029" w:rsidRPr="000B144D" w:rsidRDefault="00C21029" w:rsidP="00C21029">
      <w:pPr>
        <w:spacing w:before="120" w:after="120"/>
      </w:pPr>
      <w:r w:rsidRPr="00AB25EB">
        <w:rPr>
          <w:b/>
          <w:bCs/>
        </w:rPr>
        <w:t>Violence basée sur le genre</w:t>
      </w:r>
      <w:r w:rsidRPr="000B144D">
        <w:t xml:space="preserve">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Les femmes et les filles sont touchées de façon disproportionnée par la violence sexiste à travers le monde.</w:t>
      </w:r>
    </w:p>
    <w:p w14:paraId="7000EC69" w14:textId="77777777" w:rsidR="00C21029" w:rsidRPr="000B144D" w:rsidRDefault="00C21029" w:rsidP="00C21029">
      <w:pPr>
        <w:spacing w:before="120" w:after="120"/>
      </w:pPr>
      <w:r w:rsidRPr="00AB25EB">
        <w:rPr>
          <w:b/>
          <w:bCs/>
        </w:rPr>
        <w:t>Violence psychologique/affective</w:t>
      </w:r>
      <w:r w:rsidRPr="000B144D">
        <w:t xml:space="preserve"> : l’infliction d’une douleur ou un préjudice mental ou émotionnel. Exemples : menaces de violences physiques ou sexuelles, intimidation, humiliation, isolement forcé, harcèlement, harcèlement sexuel, remarques, gestes ou mots écrits de nature sexuelle non désirés et/ou menaçante, destruction d'objets chers, etc.</w:t>
      </w:r>
    </w:p>
    <w:p w14:paraId="6E7A7220" w14:textId="77777777" w:rsidR="00C21029" w:rsidRPr="000B144D" w:rsidRDefault="00C21029" w:rsidP="00C21029">
      <w:pPr>
        <w:spacing w:before="120" w:after="120"/>
      </w:pPr>
      <w:r w:rsidRPr="00AB25EB">
        <w:rPr>
          <w:b/>
          <w:bCs/>
        </w:rPr>
        <w:t>Violence sexuelle</w:t>
      </w:r>
      <w:r w:rsidRPr="000B144D">
        <w:t xml:space="preserve"> : toute forme de contact sexuel non consensuel même s’il ne se traduit pas par la pénétration. Par exemple, la tentative de viol, ainsi que les baisers non voulus, les caresses, ou l’attouchement des organes génitaux et des fesses. </w:t>
      </w:r>
    </w:p>
    <w:p w14:paraId="6A792ABC" w14:textId="77777777" w:rsidR="00C21029" w:rsidRPr="000B144D" w:rsidRDefault="00C21029" w:rsidP="00AB25EB">
      <w:pPr>
        <w:pStyle w:val="Paragraphedeliste"/>
        <w:suppressAutoHyphens/>
        <w:spacing w:before="120" w:after="120" w:line="240" w:lineRule="auto"/>
        <w:ind w:left="0"/>
        <w:jc w:val="both"/>
      </w:pPr>
      <w:r w:rsidRPr="00AB25EB">
        <w:rPr>
          <w:b/>
          <w:bCs/>
        </w:rPr>
        <w:t>Harcèlement sexuel</w:t>
      </w:r>
      <w:r w:rsidRPr="000B144D">
        <w:t xml:space="preserve"> : avances sexuelles, demandes de faveurs sexuelles et tout autre comportement verbal ou physique de nature sexuelle.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w:t>
      </w:r>
    </w:p>
    <w:p w14:paraId="45696AE7" w14:textId="77777777" w:rsidR="00C21029" w:rsidRPr="000B144D" w:rsidRDefault="00C21029" w:rsidP="00AB25EB">
      <w:pPr>
        <w:pStyle w:val="Paragraphedeliste"/>
        <w:suppressAutoHyphens/>
        <w:spacing w:before="120" w:after="120" w:line="240" w:lineRule="auto"/>
        <w:ind w:left="0"/>
        <w:jc w:val="both"/>
      </w:pPr>
      <w:r w:rsidRPr="00AB25EB">
        <w:rPr>
          <w:b/>
          <w:bCs/>
        </w:rPr>
        <w:t>Faveurs sexuelles</w:t>
      </w:r>
      <w:r w:rsidRPr="000B144D">
        <w:t xml:space="preserve"> : une forme de harcèlement sexuel consistant notamment à faire des promesses de traitement favorable (par ex., une promotion) ou des menaces de traitement défavorable (par ex., perte de l’emploi) en fonction d’actes sexuels, ou d’autres formes de comportement humiliant, dégradant ou qui relève de l’exploitation. </w:t>
      </w:r>
    </w:p>
    <w:p w14:paraId="7836FC60" w14:textId="77777777" w:rsidR="00C21029" w:rsidRPr="000B144D" w:rsidRDefault="00C21029" w:rsidP="00AB25EB">
      <w:pPr>
        <w:pStyle w:val="Paragraphedeliste"/>
        <w:suppressAutoHyphens/>
        <w:spacing w:before="120" w:after="120" w:line="240" w:lineRule="auto"/>
        <w:ind w:left="0"/>
        <w:jc w:val="both"/>
      </w:pPr>
      <w:r w:rsidRPr="00AB25EB">
        <w:rPr>
          <w:b/>
          <w:bCs/>
        </w:rPr>
        <w:t>Viol</w:t>
      </w:r>
      <w:r w:rsidRPr="000B144D">
        <w:t xml:space="preserve"> : pénétration non consensuelle (si légère soit-elle) du vagin, de l’anus ou de la bouche avec un pénis, autre partie du corps ou un objet. </w:t>
      </w:r>
    </w:p>
    <w:p w14:paraId="707CF49F" w14:textId="77777777" w:rsidR="00C21029" w:rsidRPr="000B144D" w:rsidRDefault="00C21029" w:rsidP="00C21029">
      <w:pPr>
        <w:spacing w:before="120" w:after="120"/>
      </w:pPr>
      <w:r w:rsidRPr="00AB25EB">
        <w:rPr>
          <w:b/>
          <w:bCs/>
        </w:rPr>
        <w:t>Abus sexuels sur enfant :</w:t>
      </w:r>
      <w:r w:rsidRPr="000B144D">
        <w:t xml:space="preserve"> Toute forme de rapports sexuels avec un enfant, étant donné qu’un enfant ne peut être consentant.</w:t>
      </w:r>
    </w:p>
    <w:p w14:paraId="04C15A72" w14:textId="77777777" w:rsidR="00C21029" w:rsidRPr="000B144D" w:rsidRDefault="00C21029" w:rsidP="00C21029">
      <w:pPr>
        <w:spacing w:before="120" w:after="120"/>
      </w:pPr>
      <w:r w:rsidRPr="00AB25EB">
        <w:rPr>
          <w:b/>
          <w:bCs/>
        </w:rPr>
        <w:t xml:space="preserve">Approche centrée sur les survivantes : </w:t>
      </w:r>
      <w:r w:rsidRPr="000B144D">
        <w:t>l’approche centrée sur les survivantes se fonde sur un ensemble de principes et de compétences conçus pour guider les professionnels — quel que soit leur rôle — dans leurs échanges avec les survivantes (surtout les femmes et les filles, mais aussi les hommes et les garçons) de violences sexuelles ou d’autres formes de violence. L’approche centrée sur les survivantes vise à créer un environnement favorable dans lequel les droits des intéressés sont respectés et privilégiés, et dans lequel les survivantes sont traitées avec dignité et respect. Cette approche aide à promouvoir le rétablissement de la survivante et sa capacité à identifier et exprimer ses besoins et souhaits, ainsi qu’à renforcer sa capacité à prendre des décisions sur d’éventuelles interventions.</w:t>
      </w:r>
    </w:p>
    <w:p w14:paraId="08B7836F" w14:textId="77777777" w:rsidR="00C21029" w:rsidRPr="000B144D" w:rsidRDefault="00C21029" w:rsidP="00C21029">
      <w:pPr>
        <w:spacing w:before="120" w:after="120"/>
      </w:pPr>
      <w:r w:rsidRPr="00AB25EB">
        <w:rPr>
          <w:b/>
          <w:bCs/>
        </w:rPr>
        <w:t>Auteurs potentiels</w:t>
      </w:r>
      <w:r w:rsidRPr="000B144D">
        <w:t> : les auteurs potentiels de EAS /HS peuvent être le personnel associé au projet : ce peut inclure non seulement les consultants et personnels de projet ou personnel d'assistance technique ou gardes de sécurité embauchés pour protéger le site du Projet.</w:t>
      </w:r>
    </w:p>
    <w:p w14:paraId="0339FFC3" w14:textId="77777777" w:rsidR="00C21029" w:rsidRPr="000B144D" w:rsidRDefault="00C21029" w:rsidP="00C21029">
      <w:pPr>
        <w:spacing w:before="120" w:after="120"/>
      </w:pPr>
      <w:r w:rsidRPr="000B144D">
        <w:t>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w:t>
      </w:r>
    </w:p>
    <w:p w14:paraId="6315856C" w14:textId="77777777" w:rsidR="00C21029" w:rsidRPr="000B144D" w:rsidRDefault="00C21029" w:rsidP="00C21029">
      <w:pPr>
        <w:spacing w:before="120" w:after="120"/>
      </w:pPr>
      <w:r w:rsidRPr="00AB25EB">
        <w:rPr>
          <w:b/>
          <w:bCs/>
        </w:rPr>
        <w:t>Exploitation et abus sexuels (EAS)</w:t>
      </w:r>
      <w:r w:rsidRPr="000B144D">
        <w:t xml:space="preserve"> : </w:t>
      </w:r>
    </w:p>
    <w:p w14:paraId="4BAC792C" w14:textId="77777777" w:rsidR="00C21029" w:rsidRPr="000B144D" w:rsidRDefault="00C21029" w:rsidP="0044500E">
      <w:pPr>
        <w:pStyle w:val="Paragraphedeliste"/>
        <w:numPr>
          <w:ilvl w:val="0"/>
          <w:numId w:val="163"/>
        </w:numPr>
        <w:suppressAutoHyphens/>
        <w:spacing w:before="120" w:after="120" w:line="240" w:lineRule="auto"/>
        <w:jc w:val="both"/>
      </w:pPr>
      <w:r w:rsidRPr="000B144D">
        <w:t xml:space="preserve">Exploitation sexuelle c’est tout abus ou tentative d’abus de position de vulnérabilité, de pouvoir différentiel ou de confiance, à des fins sexuelles, y compris, mais sans s’y limiter, le fait de profiter financièrement, socialement ou politiquement de l’exploitation sexuelle d’une autre personne. </w:t>
      </w:r>
    </w:p>
    <w:p w14:paraId="32B15DE8" w14:textId="77777777" w:rsidR="00C21029" w:rsidRPr="000B144D" w:rsidRDefault="00C21029" w:rsidP="0044500E">
      <w:pPr>
        <w:pStyle w:val="Paragraphedeliste"/>
        <w:numPr>
          <w:ilvl w:val="0"/>
          <w:numId w:val="163"/>
        </w:numPr>
        <w:suppressAutoHyphens/>
        <w:spacing w:before="120" w:after="120" w:line="240" w:lineRule="auto"/>
        <w:jc w:val="both"/>
      </w:pPr>
      <w:r w:rsidRPr="000B144D">
        <w:t>Les abus sexuels s’entendent de « l’intrusion physique effective ou la menace d’intrusion physique de nature sexuelle, par la force, sous la contrainte ou dans des conditions inégalitaires. » Femmes, filles, garçons et hommes peuvent être confrontés à l’exploitation et aux sévices sexuels. Dans le cadre du projets financés par la Banque mondiale, des bénéficiaires ou des membres des populations touchées par le projet peuvent être confrontés à l’exploitation et aux sévices sexuels.</w:t>
      </w:r>
    </w:p>
    <w:p w14:paraId="596C6DB6" w14:textId="77777777" w:rsidR="00C21029" w:rsidRPr="000B144D" w:rsidRDefault="00C21029" w:rsidP="00C21029">
      <w:pPr>
        <w:spacing w:before="120" w:after="120"/>
      </w:pPr>
      <w:r w:rsidRPr="00AB25EB">
        <w:rPr>
          <w:b/>
          <w:bCs/>
        </w:rPr>
        <w:t>Fournisseur de services</w:t>
      </w:r>
      <w:r w:rsidRPr="000B144D">
        <w:t> : Une organisation offrant des services spécifiques pour les survivantes de VBG, tels que les soins médicaux, le soutien psychosocial, l’hébergement, l’assistance juridique, la protection/sécurité, etc.</w:t>
      </w:r>
    </w:p>
    <w:p w14:paraId="2FB9D68E" w14:textId="77777777" w:rsidR="00C21029" w:rsidRPr="000B144D" w:rsidRDefault="00C21029" w:rsidP="00C21029">
      <w:pPr>
        <w:spacing w:before="120" w:after="120"/>
      </w:pPr>
      <w:r w:rsidRPr="00AB25EB">
        <w:rPr>
          <w:b/>
          <w:bCs/>
        </w:rPr>
        <w:t>Harcèlement sexuel</w:t>
      </w:r>
      <w:r w:rsidRPr="000B144D">
        <w:t xml:space="preserve"> : le harcèlement sexuel comprend les avances sexuelles importunes, les demandes de faveurs sexuelles, et d’autres comportements physiques ou verbaux de nature sexuelle ou tout autre comportement de nature sexuelle qui pourrait être raisonnablement prévu ou perçu comme causant une infraction ou l’humiliation à un autre lorsqu’un tel comportement se mêle au travail, devient une condition d'emploi, ou crée un travail intimidant, hostile ou offensant. </w:t>
      </w:r>
    </w:p>
    <w:p w14:paraId="0768CD99" w14:textId="77777777" w:rsidR="00C21029" w:rsidRPr="000B144D" w:rsidRDefault="00C21029" w:rsidP="00C21029">
      <w:pPr>
        <w:spacing w:before="120" w:after="120"/>
      </w:pPr>
      <w:r w:rsidRPr="000B144D">
        <w:t xml:space="preserve">Le harcèlement sexuel diffère de l’exploitation et des sévices sexuels par le fait qu’il se produit entre les membres du personnel travaillant sur le projet, et non entre les membres du personnel et les bénéficiaires du projet ou les populations. </w:t>
      </w:r>
    </w:p>
    <w:p w14:paraId="5AA4090C" w14:textId="77777777" w:rsidR="00C21029" w:rsidRPr="000B144D" w:rsidRDefault="00C21029" w:rsidP="00C21029">
      <w:pPr>
        <w:spacing w:before="120" w:after="120"/>
      </w:pPr>
      <w:r w:rsidRPr="000B144D">
        <w:t xml:space="preserve">Il est important de faire la distinction entre exploitation et abus sexuels d’une part et harcèlement sexuel d’autre part, afin que les politiques des organismes d’exécution et la formation de leur personnel puissent prévoir des instructions spécifiques sur les procédures de signalement de chaque acte. Femmes et hommes peuvent être confrontés au harcèlement sexuel. </w:t>
      </w:r>
    </w:p>
    <w:p w14:paraId="61FC007A" w14:textId="77777777" w:rsidR="00C21029" w:rsidRPr="000B144D" w:rsidRDefault="00C21029" w:rsidP="00C21029">
      <w:pPr>
        <w:spacing w:before="120" w:after="120"/>
      </w:pPr>
      <w:r w:rsidRPr="00AB25EB">
        <w:rPr>
          <w:b/>
          <w:bCs/>
        </w:rPr>
        <w:t>Survivant(e)/victime :</w:t>
      </w:r>
      <w:r w:rsidRPr="000B144D">
        <w:t xml:space="preserve"> personne ayant subi une violence basée sur le sexe. Les termes « victime » et « survivant(e) » sont interchangeables. « Victime » est un terme souvent utilisé dans les domaines juridique et médical. « Survivant(e) » est le terme généralement plus utilisé dans les secteurs d’appui psychosocial, car il est plus flexible.</w:t>
      </w:r>
    </w:p>
    <w:p w14:paraId="1BAB3079" w14:textId="77777777" w:rsidR="00C21029" w:rsidRPr="000B144D" w:rsidRDefault="00C21029" w:rsidP="00C21029">
      <w:pPr>
        <w:spacing w:before="120" w:after="120"/>
      </w:pPr>
      <w:r w:rsidRPr="00AB25EB">
        <w:rPr>
          <w:b/>
          <w:bCs/>
        </w:rPr>
        <w:t>Traite des personnes</w:t>
      </w:r>
      <w:r w:rsidRPr="000B144D">
        <w:t> : le recrutement, le transport, le transfert, l’hébergement ou l’accueil de personnes, par la menace de recours ou le recours à la force ou à d’autres formes de contrainte, par enlèvement, fraude, tromperie, abus d’autorité ou d’une situation de vulnérabilité, ou par l’offre ou l’acceptation de paiements ou d’avantages pour obtenir le consentement d’une personne ayant autorité sur une autre aux fins d’exploitation.</w:t>
      </w:r>
    </w:p>
    <w:p w14:paraId="116F57DE" w14:textId="77777777" w:rsidR="00C21029" w:rsidRPr="000B144D" w:rsidRDefault="00C21029" w:rsidP="00C21029">
      <w:pPr>
        <w:spacing w:before="120" w:after="120"/>
      </w:pPr>
      <w:r w:rsidRPr="000B144D">
        <w:t>L’exploitation comprend, au minimum, l’exploitation de la prostitution d’autrui ou d’autres formes d’exploitation sexuelle, le travail ou les services forcés, l’esclavage ou les pratiques analogues à l’esclavage, la servitude ou le prélèvement d’organes (Nations Unies 2000. Protocole visant à prévenir, réprimer et punir la traite des personnes, en particulier des femmes et des enfants).</w:t>
      </w:r>
    </w:p>
    <w:p w14:paraId="778AA52E" w14:textId="77777777" w:rsidR="00C21029" w:rsidRPr="000B144D" w:rsidRDefault="00C21029" w:rsidP="00C21029">
      <w:pPr>
        <w:spacing w:before="120" w:after="120"/>
      </w:pPr>
      <w:r w:rsidRPr="00AB25EB">
        <w:rPr>
          <w:b/>
          <w:bCs/>
        </w:rPr>
        <w:t>Violence contre les enfants (VCE)</w:t>
      </w:r>
      <w:r w:rsidRPr="000B144D">
        <w:t xml:space="preserve"> : un préjudice physique, sexuel, émotionnel et/ou psychologique, négligence ou traitement négligent d'enfants mineurs (c'est-à-dire de moins de 18 ans), y compris le fait qu’un enfant soit exposé à un tel préjudice envers une tierce personne</w:t>
      </w:r>
      <w:r w:rsidRPr="000B144D">
        <w:footnoteReference w:id="98"/>
      </w:r>
      <w:r w:rsidRPr="000B144D">
        <w:t>, qui entraîne un préjudice réel ou potentiel pour sa santé, sa survie, son développement ou sa dignité, dans le contexte d'une relation de responsabilité, de confiance ou de pouvoir. Cela comprend l'utilisation des enfants à des fins lucratives, de travail</w:t>
      </w:r>
      <w:r w:rsidRPr="000B144D">
        <w:footnoteReference w:id="99"/>
      </w:r>
      <w:r w:rsidRPr="000B144D">
        <w:t xml:space="preserve">,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 </w:t>
      </w:r>
    </w:p>
    <w:p w14:paraId="1CEFC522" w14:textId="77777777" w:rsidR="00C21029" w:rsidRPr="000B144D" w:rsidRDefault="00C21029" w:rsidP="00C21029">
      <w:pPr>
        <w:spacing w:before="120" w:after="120"/>
      </w:pPr>
      <w:r w:rsidRPr="00AB25EB">
        <w:rPr>
          <w:b/>
          <w:bCs/>
        </w:rPr>
        <w:t>Mariage des enfants</w:t>
      </w:r>
      <w:r w:rsidRPr="000B144D">
        <w:t xml:space="preserve"> : Tout mariage officiel ou toute union non officialisée entre un enfant de moins de 18 ans (individu mineur) et un adulte ou un autre enfant. </w:t>
      </w:r>
    </w:p>
    <w:p w14:paraId="356A60B9" w14:textId="77777777" w:rsidR="00C21029" w:rsidRPr="000B144D" w:rsidRDefault="00C21029" w:rsidP="00C21029">
      <w:pPr>
        <w:tabs>
          <w:tab w:val="right" w:pos="9070"/>
        </w:tabs>
        <w:spacing w:before="120" w:after="120"/>
      </w:pPr>
      <w:r w:rsidRPr="00AB25EB">
        <w:rPr>
          <w:b/>
          <w:bCs/>
        </w:rPr>
        <w:t>Mariage</w:t>
      </w:r>
      <w:r w:rsidRPr="000B144D">
        <w:t xml:space="preserve"> </w:t>
      </w:r>
      <w:r w:rsidRPr="00AB25EB">
        <w:rPr>
          <w:b/>
          <w:bCs/>
        </w:rPr>
        <w:t>forcé / mariage précoce</w:t>
      </w:r>
      <w:r w:rsidRPr="000B144D">
        <w:t> : mariage d’un individu contre sa volonté</w:t>
      </w:r>
      <w:r w:rsidRPr="000B144D">
        <w:tab/>
      </w:r>
    </w:p>
    <w:p w14:paraId="4D0D7BF6" w14:textId="77777777" w:rsidR="00C21029" w:rsidRPr="000B144D" w:rsidRDefault="00C21029" w:rsidP="00C21029">
      <w:pPr>
        <w:spacing w:before="120" w:after="120"/>
      </w:pPr>
      <w:r w:rsidRPr="00AB25EB">
        <w:rPr>
          <w:b/>
          <w:bCs/>
        </w:rPr>
        <w:t>Travail forcé</w:t>
      </w:r>
      <w:r w:rsidRPr="000B144D">
        <w:t> : Tout travail ou service exigé d’un individu sous la menace d’une peine quelconque ou pour lequel ledit individu ne se s’est pas offert de plein gré, (Protocole relatif au travail forcé, art.1).</w:t>
      </w:r>
    </w:p>
    <w:p w14:paraId="195975A5" w14:textId="77777777" w:rsidR="00C21029" w:rsidRPr="000B144D" w:rsidRDefault="00C21029" w:rsidP="00C21029">
      <w:pPr>
        <w:spacing w:before="120" w:after="120"/>
      </w:pPr>
      <w:r w:rsidRPr="00AB25EB">
        <w:rPr>
          <w:b/>
          <w:bCs/>
        </w:rPr>
        <w:t>Genre </w:t>
      </w:r>
      <w:r w:rsidRPr="000B144D">
        <w:t xml:space="preserve">: La VBG est fondée sur le genre, à savoir les rôles, attentes, droits et privilèges que la société ou la communauté assigne aux hommes et aux femmes. </w:t>
      </w:r>
    </w:p>
    <w:p w14:paraId="1802F64A" w14:textId="77777777" w:rsidR="00C21029" w:rsidRPr="000B144D" w:rsidRDefault="00C21029" w:rsidP="00C21029">
      <w:pPr>
        <w:spacing w:before="120" w:after="120"/>
      </w:pPr>
      <w:r w:rsidRPr="00AB25EB">
        <w:rPr>
          <w:b/>
          <w:bCs/>
        </w:rPr>
        <w:t>Dommages</w:t>
      </w:r>
      <w:r w:rsidRPr="000B144D">
        <w:t xml:space="preserve"> : Toutes les formes de VBG causent des dommages aux individus, aux familles et aux communautés. Les survivant(e)s de VBG sont des individus qui tous ne percevront pas les dommages subis de la même façon. </w:t>
      </w:r>
    </w:p>
    <w:p w14:paraId="44AF22F7" w14:textId="77777777" w:rsidR="00C21029" w:rsidRPr="005F574D" w:rsidRDefault="00C21029" w:rsidP="00C21029"/>
    <w:p w14:paraId="0DDD2C69" w14:textId="77777777" w:rsidR="00C21029" w:rsidRDefault="00C21029" w:rsidP="00C21029">
      <w:pPr>
        <w:pStyle w:val="Lgende"/>
      </w:pPr>
    </w:p>
    <w:p w14:paraId="78FD60FA" w14:textId="77777777" w:rsidR="00C21029" w:rsidRDefault="00C21029" w:rsidP="00C21029">
      <w:pPr>
        <w:pStyle w:val="Lgende"/>
        <w:sectPr w:rsidR="00C21029" w:rsidSect="00AB25EB">
          <w:pgSz w:w="11906" w:h="16838"/>
          <w:pgMar w:top="1418" w:right="1418" w:bottom="1418" w:left="1418" w:header="709" w:footer="709" w:gutter="0"/>
          <w:cols w:space="708"/>
          <w:docGrid w:linePitch="360"/>
        </w:sectPr>
      </w:pPr>
    </w:p>
    <w:p w14:paraId="2B7E56CD" w14:textId="77777777" w:rsidR="00C21029" w:rsidRPr="00C57470" w:rsidRDefault="00C21029" w:rsidP="00C21029">
      <w:pPr>
        <w:pStyle w:val="Lgende"/>
      </w:pPr>
      <w:bookmarkStart w:id="2105" w:name="_Toc124178404"/>
      <w:bookmarkStart w:id="2106" w:name="_Toc124278544"/>
      <w:bookmarkStart w:id="2107" w:name="_Toc124313014"/>
      <w:bookmarkStart w:id="2108" w:name="_Toc125402481"/>
      <w:r w:rsidRPr="00C57470">
        <w:t>Annexe</w:t>
      </w:r>
      <w:r w:rsidRPr="00C57470">
        <w:fldChar w:fldCharType="begin"/>
      </w:r>
      <w:r w:rsidRPr="00C57470">
        <w:instrText>SEQ Annexe \* ARABIC</w:instrText>
      </w:r>
      <w:r w:rsidRPr="00C57470">
        <w:fldChar w:fldCharType="separate"/>
      </w:r>
      <w:r w:rsidR="009947B9">
        <w:rPr>
          <w:noProof/>
        </w:rPr>
        <w:t>19</w:t>
      </w:r>
      <w:r w:rsidRPr="00C57470">
        <w:fldChar w:fldCharType="end"/>
      </w:r>
      <w:r w:rsidRPr="00C57470">
        <w:t xml:space="preserve"> : Liste des Conventions et des Accords internationaux ratifiés par </w:t>
      </w:r>
      <w:r>
        <w:t>Madagascar</w:t>
      </w:r>
      <w:r w:rsidRPr="00C57470">
        <w:t xml:space="preserve"> en matière de lutte contre les Violences basées sur le Genre</w:t>
      </w:r>
      <w:bookmarkEnd w:id="2104"/>
      <w:bookmarkEnd w:id="2105"/>
      <w:bookmarkEnd w:id="2106"/>
      <w:bookmarkEnd w:id="2107"/>
      <w:bookmarkEnd w:id="2108"/>
    </w:p>
    <w:p w14:paraId="28D4B33E" w14:textId="77777777" w:rsidR="00C21029" w:rsidRPr="00D16783" w:rsidRDefault="00C21029" w:rsidP="00C21029">
      <w:r w:rsidRPr="00D16783">
        <w:t xml:space="preserve">Liste des Conventions et des Accords internationaux signés et ratifiés par </w:t>
      </w:r>
      <w:r>
        <w:t>Madagascar</w:t>
      </w:r>
      <w:r w:rsidRPr="00D16783">
        <w:t xml:space="preserve"> en matière de lutte contre les Violences basées sur le Genre</w:t>
      </w:r>
      <w:r>
        <w:t xml:space="preserve"> et en matière des droits de la femme</w:t>
      </w:r>
      <w:r w:rsidRPr="00D16783">
        <w:t xml:space="preserve"> : </w:t>
      </w:r>
    </w:p>
    <w:p w14:paraId="02ED10EB" w14:textId="77777777" w:rsidR="00C21029" w:rsidRPr="00D16783" w:rsidRDefault="00C21029" w:rsidP="0044500E">
      <w:pPr>
        <w:pStyle w:val="Paragraphedeliste"/>
        <w:numPr>
          <w:ilvl w:val="0"/>
          <w:numId w:val="151"/>
        </w:numPr>
        <w:spacing w:before="100" w:beforeAutospacing="1" w:after="100" w:afterAutospacing="1" w:line="240" w:lineRule="auto"/>
        <w:jc w:val="both"/>
        <w:rPr>
          <w:rFonts w:ascii="Arial Narrow" w:hAnsi="Arial Narrow"/>
        </w:rPr>
      </w:pPr>
      <w:r>
        <w:t>La Déclaration universelle des droits de l’homme de 1948, ratifiée en 1963</w:t>
      </w:r>
    </w:p>
    <w:p w14:paraId="5BAEAE1C" w14:textId="77777777" w:rsidR="00C21029" w:rsidRPr="00D16783" w:rsidRDefault="00C21029" w:rsidP="0044500E">
      <w:pPr>
        <w:pStyle w:val="Paragraphedeliste"/>
        <w:numPr>
          <w:ilvl w:val="0"/>
          <w:numId w:val="151"/>
        </w:numPr>
        <w:spacing w:before="100" w:beforeAutospacing="1" w:after="100" w:afterAutospacing="1" w:line="240" w:lineRule="auto"/>
        <w:jc w:val="both"/>
        <w:rPr>
          <w:rFonts w:ascii="Arial Narrow" w:hAnsi="Arial Narrow"/>
        </w:rPr>
      </w:pPr>
      <w:r>
        <w:t xml:space="preserve">La Convention contre la torture et autres peines ou traitements cruels, inhumains ou dégradants de 1984, ratifiée en 2005 </w:t>
      </w:r>
    </w:p>
    <w:p w14:paraId="575A3E7E" w14:textId="77777777" w:rsidR="00C21029" w:rsidRPr="00D16783" w:rsidRDefault="00C21029" w:rsidP="0044500E">
      <w:pPr>
        <w:pStyle w:val="Paragraphedeliste"/>
        <w:numPr>
          <w:ilvl w:val="0"/>
          <w:numId w:val="151"/>
        </w:numPr>
        <w:spacing w:before="100" w:beforeAutospacing="1" w:after="100" w:afterAutospacing="1" w:line="240" w:lineRule="auto"/>
        <w:jc w:val="both"/>
        <w:rPr>
          <w:rFonts w:ascii="Arial Narrow" w:hAnsi="Arial Narrow"/>
        </w:rPr>
      </w:pPr>
      <w:r>
        <w:t>La Convention des Nations Unies sur l’élimination de toutes les formes de discrimination à l’égard des femmes de 1979, ratifiée en 1989</w:t>
      </w:r>
    </w:p>
    <w:p w14:paraId="3C1C3BD8" w14:textId="77777777" w:rsidR="00C21029" w:rsidRPr="00D16783" w:rsidRDefault="00C21029" w:rsidP="0044500E">
      <w:pPr>
        <w:pStyle w:val="Paragraphedeliste"/>
        <w:numPr>
          <w:ilvl w:val="0"/>
          <w:numId w:val="151"/>
        </w:numPr>
        <w:spacing w:before="100" w:beforeAutospacing="1" w:after="100" w:afterAutospacing="1" w:line="240" w:lineRule="auto"/>
        <w:jc w:val="both"/>
        <w:rPr>
          <w:rFonts w:ascii="Arial Narrow" w:hAnsi="Arial Narrow"/>
        </w:rPr>
      </w:pPr>
      <w:r>
        <w:t>La Convention internationale relative aux droits de l’enfant de 1989, ratifiée en 1991</w:t>
      </w:r>
    </w:p>
    <w:p w14:paraId="22309FAB" w14:textId="77777777" w:rsidR="00C21029" w:rsidRPr="00D16783" w:rsidRDefault="00C21029" w:rsidP="0044500E">
      <w:pPr>
        <w:pStyle w:val="Paragraphedeliste"/>
        <w:numPr>
          <w:ilvl w:val="0"/>
          <w:numId w:val="151"/>
        </w:numPr>
        <w:spacing w:before="100" w:beforeAutospacing="1" w:after="100" w:afterAutospacing="1" w:line="240" w:lineRule="auto"/>
        <w:jc w:val="both"/>
        <w:rPr>
          <w:rFonts w:ascii="Arial Narrow" w:hAnsi="Arial Narrow"/>
        </w:rPr>
      </w:pPr>
      <w:r>
        <w:t>Le Pacte international relatifs aux droits civils et politiques de 1966, ratifié en 1976</w:t>
      </w:r>
    </w:p>
    <w:p w14:paraId="3E6A2090" w14:textId="77777777" w:rsidR="00C21029" w:rsidRPr="00D16783" w:rsidRDefault="00C21029" w:rsidP="0044500E">
      <w:pPr>
        <w:pStyle w:val="Paragraphedeliste"/>
        <w:numPr>
          <w:ilvl w:val="0"/>
          <w:numId w:val="151"/>
        </w:numPr>
        <w:spacing w:before="100" w:beforeAutospacing="1" w:after="100" w:afterAutospacing="1" w:line="240" w:lineRule="auto"/>
        <w:jc w:val="both"/>
        <w:rPr>
          <w:rFonts w:ascii="Arial Narrow" w:hAnsi="Arial Narrow"/>
        </w:rPr>
      </w:pPr>
      <w:r>
        <w:t xml:space="preserve">Le Pacte international relatifs aux droits économiques, sociaux et culturels de 1970, ratifié en 1971 </w:t>
      </w:r>
    </w:p>
    <w:p w14:paraId="08700C0F" w14:textId="77777777" w:rsidR="00C21029" w:rsidRPr="00D16783" w:rsidRDefault="00C21029" w:rsidP="0044500E">
      <w:pPr>
        <w:pStyle w:val="Paragraphedeliste"/>
        <w:numPr>
          <w:ilvl w:val="0"/>
          <w:numId w:val="151"/>
        </w:numPr>
        <w:spacing w:before="100" w:beforeAutospacing="1" w:after="100" w:afterAutospacing="1" w:line="240" w:lineRule="auto"/>
        <w:jc w:val="both"/>
        <w:rPr>
          <w:rFonts w:ascii="Arial Narrow" w:hAnsi="Arial Narrow"/>
        </w:rPr>
      </w:pPr>
      <w:r>
        <w:t>Le Programme d’action adopté en 1995 à Beijing lors de la 4ème Conférence mondiale sur les femmes qui définit douze axes stratégiques, parmi lesquels figurent la violence à l’égard des femmes, les femmes et les conflits armés, les droits fondamentaux des femmes et des petites filles</w:t>
      </w:r>
    </w:p>
    <w:p w14:paraId="4D8B4376" w14:textId="77777777" w:rsidR="00C21029" w:rsidRPr="00D16783" w:rsidRDefault="00C21029" w:rsidP="0044500E">
      <w:pPr>
        <w:pStyle w:val="Paragraphedeliste"/>
        <w:numPr>
          <w:ilvl w:val="0"/>
          <w:numId w:val="151"/>
        </w:numPr>
        <w:spacing w:before="100" w:beforeAutospacing="1" w:after="100" w:afterAutospacing="1" w:line="240" w:lineRule="auto"/>
        <w:jc w:val="both"/>
        <w:rPr>
          <w:rFonts w:ascii="Arial Narrow" w:hAnsi="Arial Narrow"/>
        </w:rPr>
      </w:pPr>
      <w:r>
        <w:t>La Résolution 1325 du Conseil de Sécurité des Nations Unies en octobre 2000, qui souligne l’importance d’une pleine participation des femmes, dans des conditions d’égalité, à la prévention et au règlement des conflits ainsi</w:t>
      </w:r>
      <w:r w:rsidR="006D5F22">
        <w:t xml:space="preserve"> </w:t>
      </w:r>
      <w:r>
        <w:t>qu’à l’édification et au maintien de la paix et qui prévoit la participation des femmes aux institutions clés et aux organes de décision</w:t>
      </w:r>
    </w:p>
    <w:p w14:paraId="72A7DF8E" w14:textId="77777777" w:rsidR="00C21029" w:rsidRPr="00D16783" w:rsidRDefault="00C21029" w:rsidP="0044500E">
      <w:pPr>
        <w:pStyle w:val="Paragraphedeliste"/>
        <w:numPr>
          <w:ilvl w:val="0"/>
          <w:numId w:val="151"/>
        </w:numPr>
        <w:spacing w:before="100" w:beforeAutospacing="1" w:after="100" w:afterAutospacing="1" w:line="240" w:lineRule="auto"/>
        <w:jc w:val="both"/>
        <w:rPr>
          <w:rFonts w:ascii="Arial Narrow" w:hAnsi="Arial Narrow"/>
        </w:rPr>
      </w:pPr>
      <w:r>
        <w:t>Le Protocole additionnel à la Convention des Nations Unies sur la criminalité organisée visant à prévenir, réprimer et punir la traite de personnes, adoptée en 2000</w:t>
      </w:r>
    </w:p>
    <w:p w14:paraId="2D3834B0" w14:textId="77777777" w:rsidR="00C21029" w:rsidRPr="00D16783" w:rsidRDefault="00C21029" w:rsidP="0044500E">
      <w:pPr>
        <w:pStyle w:val="Paragraphedeliste"/>
        <w:numPr>
          <w:ilvl w:val="0"/>
          <w:numId w:val="151"/>
        </w:numPr>
        <w:spacing w:before="100" w:beforeAutospacing="1" w:after="100" w:afterAutospacing="1" w:line="240" w:lineRule="auto"/>
        <w:jc w:val="both"/>
        <w:rPr>
          <w:rFonts w:ascii="Arial Narrow" w:hAnsi="Arial Narrow"/>
        </w:rPr>
      </w:pPr>
      <w:r>
        <w:t xml:space="preserve">Les OMD, pour la période 2000-2015, en particulier l’objectif 3 : « Promotion de l’égalité des sexes et autonomisation des femmes » </w:t>
      </w:r>
    </w:p>
    <w:p w14:paraId="6049FF34" w14:textId="77777777" w:rsidR="00C21029" w:rsidRPr="00D16783" w:rsidRDefault="00C21029" w:rsidP="0044500E">
      <w:pPr>
        <w:pStyle w:val="Paragraphedeliste"/>
        <w:numPr>
          <w:ilvl w:val="0"/>
          <w:numId w:val="151"/>
        </w:numPr>
        <w:spacing w:before="100" w:beforeAutospacing="1" w:after="100" w:afterAutospacing="1" w:line="240" w:lineRule="auto"/>
        <w:jc w:val="both"/>
        <w:rPr>
          <w:rFonts w:ascii="Arial Narrow" w:hAnsi="Arial Narrow"/>
        </w:rPr>
      </w:pPr>
      <w:r>
        <w:t>La Charte africaine des droits de l’homme et des peuples de 1961, ratifiée en 1992</w:t>
      </w:r>
    </w:p>
    <w:p w14:paraId="11D061BC" w14:textId="77777777" w:rsidR="00C21029" w:rsidRPr="00D16783" w:rsidRDefault="00C21029" w:rsidP="0044500E">
      <w:pPr>
        <w:pStyle w:val="Paragraphedeliste"/>
        <w:numPr>
          <w:ilvl w:val="0"/>
          <w:numId w:val="151"/>
        </w:numPr>
        <w:spacing w:before="100" w:beforeAutospacing="1" w:after="100" w:afterAutospacing="1" w:line="240" w:lineRule="auto"/>
        <w:jc w:val="both"/>
        <w:rPr>
          <w:rFonts w:ascii="Arial Narrow" w:hAnsi="Arial Narrow"/>
        </w:rPr>
      </w:pPr>
      <w:r>
        <w:t>Le Protocole de la Charte africaine des droits de l’homme et des peuples relatifs aux droits des femmes de 2003, signée en 2004</w:t>
      </w:r>
    </w:p>
    <w:p w14:paraId="024215BC" w14:textId="77777777" w:rsidR="00C21029" w:rsidRPr="00D16783" w:rsidRDefault="00C21029" w:rsidP="0044500E">
      <w:pPr>
        <w:pStyle w:val="Paragraphedeliste"/>
        <w:numPr>
          <w:ilvl w:val="0"/>
          <w:numId w:val="151"/>
        </w:numPr>
        <w:spacing w:before="100" w:beforeAutospacing="1" w:after="100" w:afterAutospacing="1" w:line="240" w:lineRule="auto"/>
        <w:jc w:val="both"/>
        <w:rPr>
          <w:rFonts w:ascii="Arial Narrow" w:hAnsi="Arial Narrow"/>
        </w:rPr>
      </w:pPr>
      <w:r>
        <w:t>La Charte africaine des droits et du bien-être de l’enfant de 1990, ratifiée en 2005</w:t>
      </w:r>
    </w:p>
    <w:p w14:paraId="3C4875C2" w14:textId="77777777" w:rsidR="00C21029" w:rsidRPr="00D16783" w:rsidRDefault="00C21029" w:rsidP="0044500E">
      <w:pPr>
        <w:pStyle w:val="Paragraphedeliste"/>
        <w:numPr>
          <w:ilvl w:val="0"/>
          <w:numId w:val="151"/>
        </w:numPr>
        <w:spacing w:before="100" w:beforeAutospacing="1" w:after="100" w:afterAutospacing="1" w:line="240" w:lineRule="auto"/>
        <w:jc w:val="both"/>
        <w:rPr>
          <w:rFonts w:ascii="Arial Narrow" w:hAnsi="Arial Narrow"/>
        </w:rPr>
      </w:pPr>
      <w:r>
        <w:t xml:space="preserve">Le Protocole de la Communauté de Développement de l’Afrique Australe sur le genre et le développement signé en 2008 </w:t>
      </w:r>
    </w:p>
    <w:p w14:paraId="42DA709D" w14:textId="77777777" w:rsidR="00C21029" w:rsidRPr="00D16783" w:rsidRDefault="00C21029" w:rsidP="0044500E">
      <w:pPr>
        <w:pStyle w:val="Paragraphedeliste"/>
        <w:numPr>
          <w:ilvl w:val="0"/>
          <w:numId w:val="151"/>
        </w:numPr>
        <w:spacing w:before="100" w:beforeAutospacing="1" w:after="100" w:afterAutospacing="1" w:line="240" w:lineRule="auto"/>
        <w:jc w:val="both"/>
        <w:rPr>
          <w:rFonts w:ascii="Arial Narrow" w:hAnsi="Arial Narrow"/>
        </w:rPr>
      </w:pPr>
      <w:r>
        <w:t>Les ODD, qui remplacent les OMD et qui portent sur la période 2015-2030, en particulier l’ODD 5 : « Égalité entre les sexes ».</w:t>
      </w:r>
    </w:p>
    <w:p w14:paraId="511F1F69" w14:textId="77777777" w:rsidR="00C21029" w:rsidRDefault="00C21029" w:rsidP="00C21029">
      <w:pPr>
        <w:pStyle w:val="Default"/>
        <w:spacing w:line="276" w:lineRule="auto"/>
        <w:ind w:left="360"/>
        <w:rPr>
          <w:rFonts w:ascii="Arial Narrow" w:hAnsi="Arial Narrow"/>
          <w:b/>
          <w:color w:val="auto"/>
          <w:sz w:val="21"/>
          <w:szCs w:val="21"/>
        </w:rPr>
      </w:pPr>
    </w:p>
    <w:p w14:paraId="3204D9F5" w14:textId="77777777" w:rsidR="00C21029" w:rsidRDefault="00C21029" w:rsidP="00C21029">
      <w:pPr>
        <w:pStyle w:val="Default"/>
        <w:spacing w:line="276" w:lineRule="auto"/>
        <w:ind w:left="360"/>
        <w:rPr>
          <w:rFonts w:ascii="Arial Narrow" w:hAnsi="Arial Narrow"/>
          <w:b/>
          <w:color w:val="auto"/>
          <w:sz w:val="21"/>
          <w:szCs w:val="21"/>
        </w:rPr>
        <w:sectPr w:rsidR="00C21029" w:rsidSect="00AB25EB">
          <w:pgSz w:w="11906" w:h="16838"/>
          <w:pgMar w:top="1418" w:right="1418" w:bottom="1418" w:left="1418" w:header="709" w:footer="709" w:gutter="0"/>
          <w:cols w:space="708"/>
          <w:docGrid w:linePitch="360"/>
        </w:sectPr>
      </w:pPr>
    </w:p>
    <w:p w14:paraId="7F2A6B89" w14:textId="77777777" w:rsidR="00C21029" w:rsidRPr="009E0F0E" w:rsidRDefault="00C21029" w:rsidP="00B434A6">
      <w:pPr>
        <w:pStyle w:val="Lgende"/>
      </w:pPr>
      <w:bookmarkStart w:id="2109" w:name="_Toc124178405"/>
      <w:bookmarkStart w:id="2110" w:name="_Toc124278545"/>
      <w:bookmarkStart w:id="2111" w:name="_Toc124313015"/>
      <w:bookmarkStart w:id="2112" w:name="_Toc125402482"/>
      <w:r w:rsidRPr="009E0F0E">
        <w:t xml:space="preserve">Annexe </w:t>
      </w:r>
      <w:r>
        <w:fldChar w:fldCharType="begin"/>
      </w:r>
      <w:r w:rsidRPr="009E0F0E">
        <w:instrText xml:space="preserve"> SEQ Annexe \* ARABIC </w:instrText>
      </w:r>
      <w:r>
        <w:fldChar w:fldCharType="separate"/>
      </w:r>
      <w:r w:rsidR="009947B9">
        <w:rPr>
          <w:noProof/>
        </w:rPr>
        <w:t>20</w:t>
      </w:r>
      <w:r>
        <w:rPr>
          <w:noProof/>
        </w:rPr>
        <w:fldChar w:fldCharType="end"/>
      </w:r>
      <w:r w:rsidRPr="009E0F0E">
        <w:t> : Cadre ou Protocole de responsabilisation et de réponse en cas de suivi de traitement des plaintes liées au cas de VBG/EAS/HS</w:t>
      </w:r>
      <w:bookmarkEnd w:id="2109"/>
      <w:bookmarkEnd w:id="2110"/>
      <w:bookmarkEnd w:id="2111"/>
      <w:bookmarkEnd w:id="2112"/>
    </w:p>
    <w:p w14:paraId="196C5751" w14:textId="77777777" w:rsidR="00C21029" w:rsidRPr="00D806C2" w:rsidRDefault="00C21029" w:rsidP="00C21029">
      <w:pPr>
        <w:rPr>
          <w:b/>
          <w:bCs/>
        </w:rPr>
      </w:pPr>
      <w:r w:rsidRPr="00D806C2">
        <w:rPr>
          <w:b/>
          <w:bCs/>
        </w:rPr>
        <w:t xml:space="preserve">Quelques points clés à mettre dans le Protocole de responsabilisation et de réponse </w:t>
      </w:r>
    </w:p>
    <w:p w14:paraId="6C5E6B4E" w14:textId="77777777" w:rsidR="00C21029" w:rsidRPr="00D806C2" w:rsidRDefault="00C21029" w:rsidP="00D806C2">
      <w:pPr>
        <w:numPr>
          <w:ilvl w:val="0"/>
          <w:numId w:val="229"/>
        </w:numPr>
        <w:spacing w:before="120" w:after="120" w:line="240" w:lineRule="auto"/>
        <w:rPr>
          <w:b/>
          <w:bCs/>
        </w:rPr>
      </w:pPr>
      <w:r w:rsidRPr="00D806C2">
        <w:rPr>
          <w:b/>
          <w:bCs/>
        </w:rPr>
        <w:t xml:space="preserve">Responsabilité de l’Employeur </w:t>
      </w:r>
    </w:p>
    <w:p w14:paraId="7D4787F8" w14:textId="77777777" w:rsidR="00C21029" w:rsidRPr="000B144D" w:rsidRDefault="00C21029" w:rsidP="00B434A6">
      <w:pPr>
        <w:ind w:left="450"/>
      </w:pPr>
      <w:r w:rsidRPr="000B144D">
        <w:t>Met en place un protocole sur la gamme de mesures disciplinaires possibles en cas de violation du Code de conduite par les travailleurs.</w:t>
      </w:r>
    </w:p>
    <w:p w14:paraId="3C382004" w14:textId="77777777" w:rsidR="00C21029" w:rsidRPr="000B144D" w:rsidRDefault="00C21029" w:rsidP="00B434A6">
      <w:pPr>
        <w:ind w:left="450"/>
      </w:pPr>
      <w:r w:rsidRPr="000B144D">
        <w:t>Assure la sécurité de la personne survivante, de leur famille et de la collectivité contre la violence ou les menaces.</w:t>
      </w:r>
    </w:p>
    <w:p w14:paraId="50311B16" w14:textId="77777777" w:rsidR="00C21029" w:rsidRPr="000B144D" w:rsidRDefault="00C21029" w:rsidP="00B434A6">
      <w:pPr>
        <w:ind w:left="450"/>
      </w:pPr>
      <w:r w:rsidRPr="000B144D">
        <w:t>Met à disposition des mesures de précaution urgentes lorsqu’un rapport de VBG/EAS/HS est reçu en attendant une enquête.</w:t>
      </w:r>
    </w:p>
    <w:p w14:paraId="06E8E879" w14:textId="77777777" w:rsidR="00C21029" w:rsidRPr="000B144D" w:rsidRDefault="00C21029" w:rsidP="00B434A6">
      <w:pPr>
        <w:ind w:left="450"/>
      </w:pPr>
      <w:r w:rsidRPr="000B144D">
        <w:t>Prévoit une tolérance zéro à l’égard des mesures de représailles de la part de l’auteur présumé, de sa famille, de ses amis, de ses collègues ou de ses agents. Personne ne devrait être victime pour avoir déposé une plainte (p. ex., licenciement, suspension, rétrogradation, réaffectation).</w:t>
      </w:r>
    </w:p>
    <w:p w14:paraId="302B1664" w14:textId="77777777" w:rsidR="00C21029" w:rsidRPr="000B144D" w:rsidRDefault="00C21029" w:rsidP="00B434A6">
      <w:pPr>
        <w:ind w:left="450"/>
      </w:pPr>
      <w:r w:rsidRPr="000B144D">
        <w:t>Fournit des rapports confidentiels avec documentation sécuritaire et éthique des cas de VBG/EAS/HS, en particulier avec des données qui peuvent identifier le survivant.</w:t>
      </w:r>
    </w:p>
    <w:p w14:paraId="0006C928" w14:textId="77777777" w:rsidR="00C21029" w:rsidRPr="000B144D" w:rsidRDefault="00C21029" w:rsidP="00B434A6">
      <w:pPr>
        <w:ind w:left="450"/>
      </w:pPr>
      <w:r w:rsidRPr="000B144D">
        <w:t>Permet aux survivantes de se présenter au personnel féminin, au besoin.</w:t>
      </w:r>
    </w:p>
    <w:p w14:paraId="1F5FBA4E" w14:textId="77777777" w:rsidR="00C21029" w:rsidRPr="000B144D" w:rsidRDefault="00C21029" w:rsidP="00B434A6">
      <w:pPr>
        <w:ind w:left="450"/>
      </w:pPr>
      <w:r w:rsidRPr="000B144D">
        <w:t>Permet seulement au personnel qui a besoin de prendre des mesures et d’assumer des responsabilités en vertu de la politique d’accéder aux documents.</w:t>
      </w:r>
    </w:p>
    <w:p w14:paraId="367B13B6" w14:textId="77777777" w:rsidR="00C21029" w:rsidRPr="000B144D" w:rsidRDefault="00C21029" w:rsidP="00B434A6">
      <w:pPr>
        <w:ind w:left="450"/>
      </w:pPr>
      <w:r w:rsidRPr="000B144D">
        <w:t>En fonction de la gravité de la plainte, restreint l’accès de l’auteur présumé au lieu de travail, ou met l’auteur présumé en congé ou suspend temporairement l’auteur présumé de certains postes ou activités.</w:t>
      </w:r>
    </w:p>
    <w:p w14:paraId="2AAFF846" w14:textId="77777777" w:rsidR="00C21029" w:rsidRPr="00D806C2" w:rsidRDefault="00C21029" w:rsidP="00D806C2">
      <w:pPr>
        <w:numPr>
          <w:ilvl w:val="0"/>
          <w:numId w:val="229"/>
        </w:numPr>
        <w:spacing w:before="120" w:after="120" w:line="240" w:lineRule="auto"/>
        <w:rPr>
          <w:b/>
          <w:bCs/>
        </w:rPr>
      </w:pPr>
      <w:r w:rsidRPr="00D806C2">
        <w:rPr>
          <w:b/>
          <w:bCs/>
        </w:rPr>
        <w:t>Dispositions relatives à l’enquête</w:t>
      </w:r>
    </w:p>
    <w:p w14:paraId="3BD45006" w14:textId="77777777" w:rsidR="00C21029" w:rsidRPr="000B144D" w:rsidRDefault="00C21029" w:rsidP="00B434A6">
      <w:pPr>
        <w:ind w:left="450"/>
      </w:pPr>
      <w:r w:rsidRPr="000B144D">
        <w:t>Prévoit l’ouverture rapide de l’enquête conformément aux lois locales.</w:t>
      </w:r>
    </w:p>
    <w:p w14:paraId="5B0ED1AA" w14:textId="77777777" w:rsidR="00C21029" w:rsidRPr="000B144D" w:rsidRDefault="00C21029" w:rsidP="00B434A6">
      <w:pPr>
        <w:ind w:left="450"/>
      </w:pPr>
      <w:r w:rsidRPr="000B144D">
        <w:t>Fixe des délais pour l’enquête, y compris pour que l’auteur présumé réponde à un rapport conformément aux lois locales.</w:t>
      </w:r>
    </w:p>
    <w:p w14:paraId="628E5EA4" w14:textId="77777777" w:rsidR="00C21029" w:rsidRPr="000B144D" w:rsidRDefault="00C21029" w:rsidP="00B434A6">
      <w:pPr>
        <w:ind w:left="450"/>
      </w:pPr>
      <w:r w:rsidRPr="000B144D">
        <w:t>Identifie les acteurs clés impliqués dans la réponse aux déclarations de VBG/EAS/HS (au moins 3)</w:t>
      </w:r>
    </w:p>
    <w:p w14:paraId="0AD1AB66" w14:textId="77777777" w:rsidR="00C21029" w:rsidRPr="000B144D" w:rsidRDefault="00C21029" w:rsidP="00B434A6">
      <w:pPr>
        <w:ind w:left="450"/>
      </w:pPr>
      <w:r w:rsidRPr="000B144D">
        <w:t>Prévoit le partage de renseignements sur la nature et l’objet du processus de VBG/EAS/HS avec le plaignant et l’auteur présumé.</w:t>
      </w:r>
    </w:p>
    <w:p w14:paraId="28A91829" w14:textId="77777777" w:rsidR="00C21029" w:rsidRPr="00D806C2" w:rsidRDefault="00C21029" w:rsidP="00D806C2">
      <w:pPr>
        <w:numPr>
          <w:ilvl w:val="0"/>
          <w:numId w:val="229"/>
        </w:numPr>
        <w:spacing w:before="120" w:after="120" w:line="240" w:lineRule="auto"/>
        <w:rPr>
          <w:b/>
          <w:bCs/>
        </w:rPr>
      </w:pPr>
      <w:r w:rsidRPr="00D806C2">
        <w:rPr>
          <w:b/>
          <w:bCs/>
        </w:rPr>
        <w:t>Dispositions relatives à la procédure d’enquête :</w:t>
      </w:r>
    </w:p>
    <w:p w14:paraId="7A10A7E5" w14:textId="77777777" w:rsidR="00C21029" w:rsidRPr="000B144D" w:rsidRDefault="00C21029" w:rsidP="00B434A6">
      <w:pPr>
        <w:ind w:left="450"/>
      </w:pPr>
      <w:r w:rsidRPr="000B144D">
        <w:t>Permettre au survivant de prendre une décision éclairée quant à la tenue d’une enquête ou de signaler le VBG/EAS/HS à la police sans crainte ni contrainte.</w:t>
      </w:r>
    </w:p>
    <w:p w14:paraId="6C05F593" w14:textId="77777777" w:rsidR="00C21029" w:rsidRPr="000B144D" w:rsidRDefault="00C21029" w:rsidP="00B434A6">
      <w:pPr>
        <w:ind w:left="450"/>
      </w:pPr>
      <w:r w:rsidRPr="000B144D">
        <w:t>Assurer la confidentialité complète des renseignements sur le cas du survivant, une approche axée sur le survivant, une évaluation juste et un processus équitable pour toutes les personnes concernées, un règlement rapide.</w:t>
      </w:r>
    </w:p>
    <w:p w14:paraId="3BAAEC22" w14:textId="77777777" w:rsidR="00C21029" w:rsidRPr="000B144D" w:rsidRDefault="00C21029" w:rsidP="00B434A6">
      <w:pPr>
        <w:ind w:left="450"/>
      </w:pPr>
      <w:r w:rsidRPr="000B144D">
        <w:t>Interroger séparément le survivant, l’auteur présumé et des tiers.</w:t>
      </w:r>
    </w:p>
    <w:p w14:paraId="2731A533" w14:textId="77777777" w:rsidR="00C21029" w:rsidRPr="000B144D" w:rsidRDefault="00C21029" w:rsidP="00B434A6">
      <w:pPr>
        <w:ind w:left="450"/>
      </w:pPr>
      <w:r w:rsidRPr="000B144D">
        <w:t>Permettre au survivant et à l’auteur présumé d’être accompagné d’une personne de confiance ou d’une autre personne désignée au moment de l’entrevue.</w:t>
      </w:r>
    </w:p>
    <w:p w14:paraId="369B6EFE" w14:textId="77777777" w:rsidR="00C21029" w:rsidRPr="000B144D" w:rsidRDefault="00C21029" w:rsidP="00B434A6">
      <w:pPr>
        <w:ind w:left="450"/>
      </w:pPr>
      <w:r w:rsidRPr="000B144D">
        <w:t>Recueillir toute autre information pertinente, comme des documents, du matériel vidéo ou d’autres renseignements pertinents à la plainte, le cas échéant, en notant bien sûr que l’absence de preuves tangibles n’est pas rare.</w:t>
      </w:r>
    </w:p>
    <w:p w14:paraId="03FDDB79" w14:textId="77777777" w:rsidR="00C21029" w:rsidRPr="000B144D" w:rsidRDefault="00C21029" w:rsidP="00B434A6">
      <w:pPr>
        <w:ind w:left="450"/>
      </w:pPr>
      <w:r w:rsidRPr="000B144D">
        <w:t>Tenir compte des renseignements d’experts concernant le survivant ou l’auteur présumé, par exemple des renseignements médicaux ou psychologiques.</w:t>
      </w:r>
    </w:p>
    <w:p w14:paraId="3CD9523A" w14:textId="77777777" w:rsidR="00C21029" w:rsidRPr="000B144D" w:rsidRDefault="00C21029" w:rsidP="00B434A6">
      <w:pPr>
        <w:ind w:left="450"/>
      </w:pPr>
      <w:r w:rsidRPr="000B144D">
        <w:t>Rédiger un rapport contenant tous les renseignements recueillis dans le but d’être présentés à l’organisme compétent, ce rapport devant être mis à la disposition de la victime et de l’auteur présumé, et assurer la confidentialité.</w:t>
      </w:r>
    </w:p>
    <w:p w14:paraId="7834476B" w14:textId="77777777" w:rsidR="00C21029" w:rsidRPr="00D806C2" w:rsidRDefault="00C21029" w:rsidP="00D806C2">
      <w:pPr>
        <w:numPr>
          <w:ilvl w:val="0"/>
          <w:numId w:val="229"/>
        </w:numPr>
        <w:spacing w:before="120" w:after="120" w:line="240" w:lineRule="auto"/>
        <w:rPr>
          <w:b/>
          <w:bCs/>
        </w:rPr>
      </w:pPr>
      <w:r w:rsidRPr="00D806C2">
        <w:rPr>
          <w:b/>
          <w:bCs/>
        </w:rPr>
        <w:t xml:space="preserve">Dispositions liées aux sanctions et à la responsabilité : </w:t>
      </w:r>
    </w:p>
    <w:p w14:paraId="08A4D799" w14:textId="77777777" w:rsidR="00C21029" w:rsidRPr="000B144D" w:rsidRDefault="00C21029" w:rsidP="00B434A6">
      <w:pPr>
        <w:ind w:left="450"/>
      </w:pPr>
      <w:r w:rsidRPr="000B144D">
        <w:t>Établissement et formation d’un organisme disciplinaire (prise de décisions) composé de membres de sexe masculin et de sexe féminin pour traiter et résoudre les plaintes liées à VBG/EAS/HS. Dans la mesure du possible, un service spécialisé de lutte contre la VBG devrait être impliqué.</w:t>
      </w:r>
    </w:p>
    <w:p w14:paraId="36EFC8A6" w14:textId="77777777" w:rsidR="00C21029" w:rsidRPr="000B144D" w:rsidRDefault="00C21029" w:rsidP="00B434A6">
      <w:pPr>
        <w:ind w:left="450"/>
      </w:pPr>
      <w:r w:rsidRPr="000B144D">
        <w:t>Prévoit des processus de précaution et de prudence qui n’exposent pas le survivant à d’autres actes de victimisation.</w:t>
      </w:r>
    </w:p>
    <w:p w14:paraId="27F14765" w14:textId="77777777" w:rsidR="00C21029" w:rsidRPr="000B144D" w:rsidRDefault="00C21029" w:rsidP="00B434A6">
      <w:pPr>
        <w:ind w:left="450"/>
      </w:pPr>
      <w:r w:rsidRPr="000B144D">
        <w:t>Prévoit des processus compatibles avec l’équité envers l’auteur présumé.</w:t>
      </w:r>
    </w:p>
    <w:p w14:paraId="6E4CC548" w14:textId="77777777" w:rsidR="00C21029" w:rsidRPr="000B144D" w:rsidRDefault="00C21029" w:rsidP="00B434A6">
      <w:pPr>
        <w:ind w:left="450"/>
      </w:pPr>
      <w:r w:rsidRPr="000B144D">
        <w:t>Prévoit la prise de décisions en fonction de la « prépondérance des probabilités » (c’est-à-dire plus probable qu’improbable, ce qui est différent du droit pénal qui est « hors de tout doute raisonnable »).</w:t>
      </w:r>
    </w:p>
    <w:p w14:paraId="123941F6" w14:textId="77777777" w:rsidR="00C21029" w:rsidRPr="000B144D" w:rsidRDefault="00C21029" w:rsidP="00B434A6">
      <w:pPr>
        <w:ind w:left="450"/>
      </w:pPr>
      <w:r w:rsidRPr="000B144D">
        <w:t>Permet à l’organisme disciplinaire de tirer des conclusions de fait avec des motifs à l’appui de la décision.</w:t>
      </w:r>
    </w:p>
    <w:p w14:paraId="39A435F0" w14:textId="77777777" w:rsidR="00C21029" w:rsidRPr="000B144D" w:rsidRDefault="00C21029" w:rsidP="00B434A6">
      <w:pPr>
        <w:ind w:left="450"/>
      </w:pPr>
      <w:r w:rsidRPr="000B144D">
        <w:t>Met en place un processus d’appel des conclusions ou des sanctions émises par un organisme disciplinaire.</w:t>
      </w:r>
    </w:p>
    <w:p w14:paraId="6BB5FB2C" w14:textId="77777777" w:rsidR="00C21029" w:rsidRDefault="00C21029" w:rsidP="00C21029">
      <w:pPr>
        <w:spacing w:after="160" w:line="259" w:lineRule="auto"/>
        <w:rPr>
          <w:rFonts w:eastAsia="Times New Roman" w:cs="Calibri"/>
          <w:lang w:eastAsia="fr-FR"/>
        </w:rPr>
      </w:pPr>
      <w:r>
        <w:rPr>
          <w:rFonts w:eastAsia="Times New Roman" w:cs="Calibri"/>
          <w:lang w:eastAsia="fr-FR"/>
        </w:rPr>
        <w:br w:type="page"/>
      </w:r>
    </w:p>
    <w:p w14:paraId="3F71AFA9" w14:textId="77777777" w:rsidR="00C21029" w:rsidRPr="009E0F0E" w:rsidRDefault="00C21029" w:rsidP="00B434A6">
      <w:pPr>
        <w:pStyle w:val="Lgende"/>
      </w:pPr>
      <w:bookmarkStart w:id="2113" w:name="_Toc124178406"/>
      <w:bookmarkStart w:id="2114" w:name="_Toc124278546"/>
      <w:bookmarkStart w:id="2115" w:name="_Toc124313016"/>
      <w:bookmarkStart w:id="2116" w:name="_Toc125402483"/>
      <w:r w:rsidRPr="009E0F0E">
        <w:t xml:space="preserve">Annexe </w:t>
      </w:r>
      <w:r>
        <w:fldChar w:fldCharType="begin"/>
      </w:r>
      <w:r w:rsidRPr="009E0F0E">
        <w:instrText xml:space="preserve"> SEQ Annexe \* ARABIC </w:instrText>
      </w:r>
      <w:r>
        <w:fldChar w:fldCharType="separate"/>
      </w:r>
      <w:r w:rsidR="009947B9">
        <w:rPr>
          <w:noProof/>
        </w:rPr>
        <w:t>21</w:t>
      </w:r>
      <w:r>
        <w:rPr>
          <w:noProof/>
        </w:rPr>
        <w:fldChar w:fldCharType="end"/>
      </w:r>
      <w:r w:rsidRPr="009E0F0E">
        <w:t xml:space="preserve"> : </w:t>
      </w:r>
      <w:r>
        <w:t>Liste des services/organismes de prise en charge</w:t>
      </w:r>
      <w:r w:rsidRPr="009E0F0E">
        <w:t xml:space="preserve"> de VBG/EAS/HS</w:t>
      </w:r>
      <w:bookmarkEnd w:id="2113"/>
      <w:bookmarkEnd w:id="2114"/>
      <w:bookmarkEnd w:id="2115"/>
      <w:bookmarkEnd w:id="2116"/>
    </w:p>
    <w:p w14:paraId="076CB6CC" w14:textId="77777777" w:rsidR="00C21029" w:rsidRDefault="00C21029" w:rsidP="00C21029">
      <w:pPr>
        <w:spacing w:after="0"/>
      </w:pPr>
    </w:p>
    <w:p w14:paraId="70AD5FC3" w14:textId="77777777" w:rsidR="00C21029" w:rsidRPr="00050138" w:rsidRDefault="00C21029" w:rsidP="00C21029">
      <w:pPr>
        <w:spacing w:after="0"/>
        <w:rPr>
          <w:b/>
          <w:u w:val="single"/>
        </w:rPr>
      </w:pPr>
      <w:r w:rsidRPr="00050138">
        <w:rPr>
          <w:b/>
          <w:u w:val="single"/>
        </w:rPr>
        <w:t>Service de prise en charge médicale</w:t>
      </w:r>
    </w:p>
    <w:p w14:paraId="463FA9C2" w14:textId="77777777" w:rsidR="00C21029" w:rsidRPr="00050138" w:rsidRDefault="00C21029" w:rsidP="00C21029">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6"/>
        <w:gridCol w:w="3162"/>
        <w:gridCol w:w="1229"/>
        <w:gridCol w:w="2723"/>
      </w:tblGrid>
      <w:tr w:rsidR="00C21029" w:rsidRPr="007F78CE" w14:paraId="541B1141" w14:textId="77777777" w:rsidTr="00E5387E">
        <w:trPr>
          <w:trHeight w:val="290"/>
          <w:tblHeader/>
          <w:jc w:val="center"/>
        </w:trPr>
        <w:tc>
          <w:tcPr>
            <w:tcW w:w="1074" w:type="pct"/>
            <w:shd w:val="clear" w:color="auto" w:fill="auto"/>
            <w:noWrap/>
            <w:hideMark/>
          </w:tcPr>
          <w:p w14:paraId="1360634D" w14:textId="77777777" w:rsidR="00C21029" w:rsidRPr="00B434A6" w:rsidRDefault="00C21029" w:rsidP="00E5387E">
            <w:pPr>
              <w:spacing w:after="0" w:line="240" w:lineRule="auto"/>
              <w:jc w:val="center"/>
              <w:rPr>
                <w:sz w:val="20"/>
                <w:szCs w:val="20"/>
              </w:rPr>
            </w:pPr>
            <w:r w:rsidRPr="00B434A6">
              <w:rPr>
                <w:b/>
                <w:bCs/>
                <w:sz w:val="20"/>
                <w:szCs w:val="20"/>
              </w:rPr>
              <w:t>REGION</w:t>
            </w:r>
          </w:p>
        </w:tc>
        <w:tc>
          <w:tcPr>
            <w:tcW w:w="1745" w:type="pct"/>
            <w:shd w:val="clear" w:color="auto" w:fill="auto"/>
            <w:noWrap/>
            <w:hideMark/>
          </w:tcPr>
          <w:p w14:paraId="73CE430E" w14:textId="77777777" w:rsidR="00C21029" w:rsidRPr="00B434A6" w:rsidRDefault="00C21029" w:rsidP="00E5387E">
            <w:pPr>
              <w:autoSpaceDE w:val="0"/>
              <w:autoSpaceDN w:val="0"/>
              <w:adjustRightInd w:val="0"/>
              <w:spacing w:after="0" w:line="240" w:lineRule="auto"/>
              <w:jc w:val="center"/>
              <w:rPr>
                <w:b/>
                <w:sz w:val="20"/>
                <w:szCs w:val="20"/>
              </w:rPr>
            </w:pPr>
            <w:r w:rsidRPr="00B434A6">
              <w:rPr>
                <w:b/>
                <w:sz w:val="20"/>
                <w:szCs w:val="20"/>
              </w:rPr>
              <w:t>CENTRE DE PRISE EN CHARGE</w:t>
            </w:r>
          </w:p>
        </w:tc>
        <w:tc>
          <w:tcPr>
            <w:tcW w:w="678" w:type="pct"/>
            <w:shd w:val="clear" w:color="auto" w:fill="auto"/>
            <w:noWrap/>
            <w:hideMark/>
          </w:tcPr>
          <w:p w14:paraId="4AEF783B" w14:textId="77777777" w:rsidR="00C21029" w:rsidRPr="00B434A6" w:rsidRDefault="00C21029" w:rsidP="00E5387E">
            <w:pPr>
              <w:autoSpaceDE w:val="0"/>
              <w:autoSpaceDN w:val="0"/>
              <w:adjustRightInd w:val="0"/>
              <w:spacing w:after="0" w:line="240" w:lineRule="auto"/>
              <w:jc w:val="center"/>
              <w:rPr>
                <w:b/>
                <w:sz w:val="20"/>
                <w:szCs w:val="20"/>
              </w:rPr>
            </w:pPr>
            <w:r w:rsidRPr="00B434A6">
              <w:rPr>
                <w:b/>
                <w:sz w:val="20"/>
                <w:szCs w:val="20"/>
              </w:rPr>
              <w:t>CONTACT</w:t>
            </w:r>
          </w:p>
        </w:tc>
        <w:tc>
          <w:tcPr>
            <w:tcW w:w="1503" w:type="pct"/>
            <w:shd w:val="clear" w:color="auto" w:fill="auto"/>
            <w:hideMark/>
          </w:tcPr>
          <w:p w14:paraId="5FE44AEB" w14:textId="77777777" w:rsidR="00C21029" w:rsidRPr="00B434A6" w:rsidRDefault="00C21029" w:rsidP="00E5387E">
            <w:pPr>
              <w:autoSpaceDE w:val="0"/>
              <w:autoSpaceDN w:val="0"/>
              <w:adjustRightInd w:val="0"/>
              <w:spacing w:after="0" w:line="240" w:lineRule="auto"/>
              <w:jc w:val="center"/>
              <w:rPr>
                <w:b/>
                <w:sz w:val="20"/>
                <w:szCs w:val="20"/>
              </w:rPr>
            </w:pPr>
            <w:r w:rsidRPr="00B434A6">
              <w:rPr>
                <w:b/>
                <w:sz w:val="20"/>
                <w:szCs w:val="20"/>
              </w:rPr>
              <w:t>LOCALISATION</w:t>
            </w:r>
          </w:p>
        </w:tc>
      </w:tr>
      <w:tr w:rsidR="00C21029" w:rsidRPr="007F78CE" w14:paraId="30C1CCF7" w14:textId="77777777" w:rsidTr="00E5387E">
        <w:trPr>
          <w:trHeight w:val="290"/>
          <w:jc w:val="center"/>
        </w:trPr>
        <w:tc>
          <w:tcPr>
            <w:tcW w:w="1074" w:type="pct"/>
            <w:vMerge w:val="restart"/>
            <w:shd w:val="clear" w:color="auto" w:fill="auto"/>
            <w:noWrap/>
            <w:hideMark/>
          </w:tcPr>
          <w:p w14:paraId="2D71DC6E" w14:textId="77777777" w:rsidR="00C21029" w:rsidRPr="00B434A6" w:rsidRDefault="00C21029" w:rsidP="00E5387E">
            <w:pPr>
              <w:spacing w:after="0" w:line="240" w:lineRule="auto"/>
              <w:rPr>
                <w:sz w:val="20"/>
                <w:szCs w:val="20"/>
              </w:rPr>
            </w:pPr>
            <w:r w:rsidRPr="00B434A6">
              <w:rPr>
                <w:sz w:val="20"/>
                <w:szCs w:val="20"/>
              </w:rPr>
              <w:t>ANALAMANGA</w:t>
            </w:r>
          </w:p>
        </w:tc>
        <w:tc>
          <w:tcPr>
            <w:tcW w:w="3926" w:type="pct"/>
            <w:gridSpan w:val="3"/>
            <w:shd w:val="clear" w:color="auto" w:fill="auto"/>
            <w:noWrap/>
            <w:hideMark/>
          </w:tcPr>
          <w:p w14:paraId="04223E6F" w14:textId="77777777" w:rsidR="00C21029" w:rsidRPr="00B434A6" w:rsidRDefault="00C21029" w:rsidP="00E5387E">
            <w:pPr>
              <w:spacing w:after="0" w:line="240" w:lineRule="auto"/>
              <w:rPr>
                <w:sz w:val="20"/>
                <w:szCs w:val="20"/>
              </w:rPr>
            </w:pPr>
            <w:bookmarkStart w:id="2117" w:name="_Toc124956398"/>
            <w:r w:rsidRPr="00B434A6">
              <w:rPr>
                <w:sz w:val="20"/>
                <w:szCs w:val="20"/>
              </w:rPr>
              <w:t>Partenariat Min Santé et ADDH/ONG</w:t>
            </w:r>
            <w:bookmarkEnd w:id="2117"/>
          </w:p>
        </w:tc>
      </w:tr>
      <w:tr w:rsidR="00C21029" w:rsidRPr="007F78CE" w14:paraId="5182FE21" w14:textId="77777777" w:rsidTr="00E5387E">
        <w:trPr>
          <w:trHeight w:val="580"/>
          <w:jc w:val="center"/>
        </w:trPr>
        <w:tc>
          <w:tcPr>
            <w:tcW w:w="1074" w:type="pct"/>
            <w:vMerge/>
            <w:shd w:val="clear" w:color="auto" w:fill="auto"/>
            <w:hideMark/>
          </w:tcPr>
          <w:p w14:paraId="15E0F2C1" w14:textId="77777777" w:rsidR="00C21029" w:rsidRPr="00B434A6" w:rsidRDefault="00C21029" w:rsidP="00E5387E">
            <w:pPr>
              <w:spacing w:after="0" w:line="240" w:lineRule="auto"/>
              <w:rPr>
                <w:sz w:val="20"/>
                <w:szCs w:val="20"/>
              </w:rPr>
            </w:pPr>
          </w:p>
        </w:tc>
        <w:tc>
          <w:tcPr>
            <w:tcW w:w="1745" w:type="pct"/>
            <w:shd w:val="clear" w:color="auto" w:fill="auto"/>
            <w:noWrap/>
            <w:hideMark/>
          </w:tcPr>
          <w:p w14:paraId="71CD937A" w14:textId="77777777" w:rsidR="00C21029" w:rsidRPr="00B434A6" w:rsidRDefault="00C21029" w:rsidP="00E5387E">
            <w:pPr>
              <w:spacing w:after="0" w:line="240" w:lineRule="auto"/>
              <w:rPr>
                <w:sz w:val="20"/>
                <w:szCs w:val="20"/>
              </w:rPr>
            </w:pPr>
            <w:bookmarkStart w:id="2118" w:name="_Toc124956399"/>
            <w:r w:rsidRPr="00B434A6">
              <w:rPr>
                <w:sz w:val="20"/>
                <w:szCs w:val="20"/>
              </w:rPr>
              <w:t>Centre VONJY</w:t>
            </w:r>
            <w:bookmarkEnd w:id="2118"/>
          </w:p>
        </w:tc>
        <w:tc>
          <w:tcPr>
            <w:tcW w:w="678" w:type="pct"/>
            <w:shd w:val="clear" w:color="auto" w:fill="auto"/>
            <w:noWrap/>
            <w:hideMark/>
          </w:tcPr>
          <w:p w14:paraId="769FA674" w14:textId="77777777" w:rsidR="00C21029" w:rsidRPr="00B434A6" w:rsidRDefault="00C21029" w:rsidP="00E5387E">
            <w:pPr>
              <w:spacing w:after="0" w:line="240" w:lineRule="auto"/>
              <w:rPr>
                <w:sz w:val="20"/>
                <w:szCs w:val="20"/>
              </w:rPr>
            </w:pPr>
            <w:r w:rsidRPr="00B434A6">
              <w:rPr>
                <w:sz w:val="20"/>
                <w:szCs w:val="20"/>
              </w:rPr>
              <w:t> </w:t>
            </w:r>
          </w:p>
        </w:tc>
        <w:tc>
          <w:tcPr>
            <w:tcW w:w="1503" w:type="pct"/>
            <w:shd w:val="clear" w:color="auto" w:fill="auto"/>
            <w:hideMark/>
          </w:tcPr>
          <w:p w14:paraId="65C1A926" w14:textId="77777777" w:rsidR="00C21029" w:rsidRPr="00B434A6" w:rsidRDefault="00C21029" w:rsidP="00E5387E">
            <w:pPr>
              <w:spacing w:after="0" w:line="240" w:lineRule="auto"/>
              <w:rPr>
                <w:sz w:val="20"/>
                <w:szCs w:val="20"/>
              </w:rPr>
            </w:pPr>
            <w:bookmarkStart w:id="2119" w:name="_Toc124956400"/>
            <w:r w:rsidRPr="00B434A6">
              <w:rPr>
                <w:sz w:val="20"/>
                <w:szCs w:val="20"/>
              </w:rPr>
              <w:t>Maternité Befelatanana Antananarivo ville</w:t>
            </w:r>
            <w:bookmarkEnd w:id="2119"/>
          </w:p>
        </w:tc>
      </w:tr>
      <w:tr w:rsidR="00C21029" w:rsidRPr="007F78CE" w14:paraId="595AF4EB" w14:textId="77777777" w:rsidTr="00E5387E">
        <w:trPr>
          <w:trHeight w:val="290"/>
          <w:jc w:val="center"/>
        </w:trPr>
        <w:tc>
          <w:tcPr>
            <w:tcW w:w="1074" w:type="pct"/>
            <w:vMerge/>
            <w:shd w:val="clear" w:color="auto" w:fill="auto"/>
            <w:hideMark/>
          </w:tcPr>
          <w:p w14:paraId="295C2456" w14:textId="77777777" w:rsidR="00C21029" w:rsidRPr="00B434A6" w:rsidRDefault="00C21029" w:rsidP="00E5387E">
            <w:pPr>
              <w:spacing w:after="0" w:line="240" w:lineRule="auto"/>
              <w:rPr>
                <w:sz w:val="20"/>
                <w:szCs w:val="20"/>
              </w:rPr>
            </w:pPr>
          </w:p>
        </w:tc>
        <w:tc>
          <w:tcPr>
            <w:tcW w:w="1745" w:type="pct"/>
            <w:shd w:val="clear" w:color="auto" w:fill="auto"/>
            <w:noWrap/>
            <w:hideMark/>
          </w:tcPr>
          <w:p w14:paraId="4EEAC3BE" w14:textId="77777777" w:rsidR="00C21029" w:rsidRPr="00B434A6" w:rsidRDefault="00C21029" w:rsidP="00E5387E">
            <w:pPr>
              <w:spacing w:after="0" w:line="240" w:lineRule="auto"/>
              <w:rPr>
                <w:sz w:val="20"/>
                <w:szCs w:val="20"/>
              </w:rPr>
            </w:pPr>
            <w:bookmarkStart w:id="2120" w:name="_Toc124956401"/>
            <w:r w:rsidRPr="00B434A6">
              <w:rPr>
                <w:sz w:val="20"/>
                <w:szCs w:val="20"/>
              </w:rPr>
              <w:t>ADDH/ONG</w:t>
            </w:r>
            <w:bookmarkEnd w:id="2120"/>
          </w:p>
        </w:tc>
        <w:tc>
          <w:tcPr>
            <w:tcW w:w="678" w:type="pct"/>
            <w:shd w:val="clear" w:color="auto" w:fill="auto"/>
          </w:tcPr>
          <w:p w14:paraId="1F643B53" w14:textId="77777777" w:rsidR="00C21029" w:rsidRPr="00B434A6" w:rsidRDefault="00C21029" w:rsidP="00E5387E">
            <w:pPr>
              <w:spacing w:after="0" w:line="240" w:lineRule="auto"/>
              <w:rPr>
                <w:sz w:val="20"/>
                <w:szCs w:val="20"/>
              </w:rPr>
            </w:pPr>
          </w:p>
        </w:tc>
        <w:tc>
          <w:tcPr>
            <w:tcW w:w="1503" w:type="pct"/>
            <w:shd w:val="clear" w:color="auto" w:fill="auto"/>
          </w:tcPr>
          <w:p w14:paraId="634496D2" w14:textId="77777777" w:rsidR="00C21029" w:rsidRPr="00B434A6" w:rsidRDefault="00C21029" w:rsidP="00E5387E">
            <w:pPr>
              <w:spacing w:after="0" w:line="240" w:lineRule="auto"/>
              <w:rPr>
                <w:sz w:val="20"/>
                <w:szCs w:val="20"/>
              </w:rPr>
            </w:pPr>
          </w:p>
        </w:tc>
      </w:tr>
      <w:tr w:rsidR="00C21029" w:rsidRPr="007F78CE" w14:paraId="7ADA128F" w14:textId="77777777" w:rsidTr="00E5387E">
        <w:trPr>
          <w:trHeight w:val="580"/>
          <w:jc w:val="center"/>
        </w:trPr>
        <w:tc>
          <w:tcPr>
            <w:tcW w:w="1074" w:type="pct"/>
            <w:vMerge/>
            <w:shd w:val="clear" w:color="auto" w:fill="auto"/>
            <w:hideMark/>
          </w:tcPr>
          <w:p w14:paraId="1172B42A" w14:textId="77777777" w:rsidR="00C21029" w:rsidRPr="00B434A6" w:rsidRDefault="00C21029" w:rsidP="00E5387E">
            <w:pPr>
              <w:spacing w:after="0" w:line="240" w:lineRule="auto"/>
              <w:rPr>
                <w:sz w:val="20"/>
                <w:szCs w:val="20"/>
              </w:rPr>
            </w:pPr>
          </w:p>
        </w:tc>
        <w:tc>
          <w:tcPr>
            <w:tcW w:w="1745" w:type="pct"/>
            <w:shd w:val="clear" w:color="auto" w:fill="auto"/>
            <w:noWrap/>
            <w:hideMark/>
          </w:tcPr>
          <w:p w14:paraId="78766C19" w14:textId="77777777" w:rsidR="00C21029" w:rsidRPr="00B434A6" w:rsidRDefault="00C21029" w:rsidP="00E5387E">
            <w:pPr>
              <w:spacing w:after="0" w:line="240" w:lineRule="auto"/>
              <w:rPr>
                <w:sz w:val="20"/>
                <w:szCs w:val="20"/>
              </w:rPr>
            </w:pPr>
            <w:bookmarkStart w:id="2121" w:name="_Toc124956402"/>
            <w:r w:rsidRPr="00B434A6">
              <w:rPr>
                <w:sz w:val="20"/>
                <w:szCs w:val="20"/>
              </w:rPr>
              <w:t>Médecin du monde</w:t>
            </w:r>
            <w:bookmarkEnd w:id="2121"/>
          </w:p>
        </w:tc>
        <w:tc>
          <w:tcPr>
            <w:tcW w:w="678" w:type="pct"/>
            <w:shd w:val="clear" w:color="auto" w:fill="auto"/>
            <w:noWrap/>
            <w:hideMark/>
          </w:tcPr>
          <w:p w14:paraId="721DE7CD" w14:textId="77777777" w:rsidR="00C21029" w:rsidRPr="00B434A6" w:rsidRDefault="00C21029" w:rsidP="00E5387E">
            <w:pPr>
              <w:spacing w:after="0" w:line="240" w:lineRule="auto"/>
              <w:rPr>
                <w:sz w:val="20"/>
                <w:szCs w:val="20"/>
              </w:rPr>
            </w:pPr>
            <w:bookmarkStart w:id="2122" w:name="_Toc124956403"/>
            <w:r w:rsidRPr="00B434A6">
              <w:rPr>
                <w:sz w:val="20"/>
                <w:szCs w:val="20"/>
              </w:rPr>
              <w:t>0202225920</w:t>
            </w:r>
            <w:bookmarkEnd w:id="2122"/>
          </w:p>
        </w:tc>
        <w:tc>
          <w:tcPr>
            <w:tcW w:w="1503" w:type="pct"/>
            <w:shd w:val="clear" w:color="auto" w:fill="auto"/>
            <w:hideMark/>
          </w:tcPr>
          <w:p w14:paraId="005292E5" w14:textId="77777777" w:rsidR="00C21029" w:rsidRPr="00B434A6" w:rsidRDefault="00C21029" w:rsidP="00E5387E">
            <w:pPr>
              <w:spacing w:after="0" w:line="240" w:lineRule="auto"/>
              <w:rPr>
                <w:sz w:val="20"/>
                <w:szCs w:val="20"/>
              </w:rPr>
            </w:pPr>
            <w:bookmarkStart w:id="2123" w:name="_Toc124956404"/>
            <w:r w:rsidRPr="00B434A6">
              <w:rPr>
                <w:sz w:val="20"/>
                <w:szCs w:val="20"/>
              </w:rPr>
              <w:t>Ampasanimalo Antananarivo ville</w:t>
            </w:r>
            <w:bookmarkEnd w:id="2123"/>
          </w:p>
        </w:tc>
      </w:tr>
      <w:tr w:rsidR="00C21029" w:rsidRPr="007F78CE" w14:paraId="4D3CDB61" w14:textId="77777777" w:rsidTr="00E5387E">
        <w:trPr>
          <w:trHeight w:val="580"/>
          <w:jc w:val="center"/>
        </w:trPr>
        <w:tc>
          <w:tcPr>
            <w:tcW w:w="1074" w:type="pct"/>
            <w:vMerge/>
            <w:shd w:val="clear" w:color="auto" w:fill="auto"/>
            <w:hideMark/>
          </w:tcPr>
          <w:p w14:paraId="1B070112" w14:textId="77777777" w:rsidR="00C21029" w:rsidRPr="00B434A6" w:rsidRDefault="00C21029" w:rsidP="00E5387E">
            <w:pPr>
              <w:spacing w:after="0" w:line="240" w:lineRule="auto"/>
              <w:rPr>
                <w:sz w:val="20"/>
                <w:szCs w:val="20"/>
              </w:rPr>
            </w:pPr>
          </w:p>
        </w:tc>
        <w:tc>
          <w:tcPr>
            <w:tcW w:w="1745" w:type="pct"/>
            <w:shd w:val="clear" w:color="auto" w:fill="auto"/>
            <w:noWrap/>
            <w:hideMark/>
          </w:tcPr>
          <w:p w14:paraId="76C0E0D5" w14:textId="77777777" w:rsidR="00C21029" w:rsidRPr="00B434A6" w:rsidRDefault="00C21029" w:rsidP="00E5387E">
            <w:pPr>
              <w:spacing w:after="0" w:line="240" w:lineRule="auto"/>
              <w:rPr>
                <w:sz w:val="20"/>
                <w:szCs w:val="20"/>
              </w:rPr>
            </w:pPr>
            <w:bookmarkStart w:id="2124" w:name="_Toc124956405"/>
            <w:r w:rsidRPr="00B434A6">
              <w:rPr>
                <w:sz w:val="20"/>
                <w:szCs w:val="20"/>
              </w:rPr>
              <w:t>Sentinelles</w:t>
            </w:r>
            <w:bookmarkEnd w:id="2124"/>
          </w:p>
        </w:tc>
        <w:tc>
          <w:tcPr>
            <w:tcW w:w="678" w:type="pct"/>
            <w:shd w:val="clear" w:color="auto" w:fill="auto"/>
            <w:noWrap/>
            <w:hideMark/>
          </w:tcPr>
          <w:p w14:paraId="607E4EA7" w14:textId="77777777" w:rsidR="00C21029" w:rsidRPr="00B434A6" w:rsidRDefault="00C21029" w:rsidP="00E5387E">
            <w:pPr>
              <w:spacing w:after="0" w:line="240" w:lineRule="auto"/>
              <w:rPr>
                <w:sz w:val="20"/>
                <w:szCs w:val="20"/>
              </w:rPr>
            </w:pPr>
            <w:bookmarkStart w:id="2125" w:name="_Toc124956406"/>
            <w:r w:rsidRPr="00B434A6">
              <w:rPr>
                <w:sz w:val="20"/>
                <w:szCs w:val="20"/>
              </w:rPr>
              <w:t>0202235642</w:t>
            </w:r>
            <w:bookmarkEnd w:id="2125"/>
          </w:p>
        </w:tc>
        <w:tc>
          <w:tcPr>
            <w:tcW w:w="1503" w:type="pct"/>
            <w:shd w:val="clear" w:color="auto" w:fill="auto"/>
            <w:hideMark/>
          </w:tcPr>
          <w:p w14:paraId="689C3F7F" w14:textId="77777777" w:rsidR="00C21029" w:rsidRPr="00B434A6" w:rsidRDefault="00C21029" w:rsidP="00E5387E">
            <w:pPr>
              <w:spacing w:after="0" w:line="240" w:lineRule="auto"/>
              <w:rPr>
                <w:sz w:val="20"/>
                <w:szCs w:val="20"/>
              </w:rPr>
            </w:pPr>
            <w:bookmarkStart w:id="2126" w:name="_Toc124956407"/>
            <w:r w:rsidRPr="00B434A6">
              <w:rPr>
                <w:sz w:val="20"/>
                <w:szCs w:val="20"/>
              </w:rPr>
              <w:t>VC 94 Ambohidahy Antananarivo ville</w:t>
            </w:r>
            <w:bookmarkEnd w:id="2126"/>
          </w:p>
        </w:tc>
      </w:tr>
      <w:tr w:rsidR="00C21029" w:rsidRPr="007F78CE" w14:paraId="6AA4ED58" w14:textId="77777777" w:rsidTr="00E5387E">
        <w:trPr>
          <w:trHeight w:val="580"/>
          <w:jc w:val="center"/>
        </w:trPr>
        <w:tc>
          <w:tcPr>
            <w:tcW w:w="1074" w:type="pct"/>
            <w:vMerge/>
            <w:shd w:val="clear" w:color="auto" w:fill="auto"/>
            <w:hideMark/>
          </w:tcPr>
          <w:p w14:paraId="32B8F5D3" w14:textId="77777777" w:rsidR="00C21029" w:rsidRPr="00B434A6" w:rsidRDefault="00C21029" w:rsidP="00E5387E">
            <w:pPr>
              <w:spacing w:after="0" w:line="240" w:lineRule="auto"/>
              <w:rPr>
                <w:sz w:val="20"/>
                <w:szCs w:val="20"/>
              </w:rPr>
            </w:pPr>
          </w:p>
        </w:tc>
        <w:tc>
          <w:tcPr>
            <w:tcW w:w="1745" w:type="pct"/>
            <w:shd w:val="clear" w:color="auto" w:fill="auto"/>
            <w:noWrap/>
            <w:hideMark/>
          </w:tcPr>
          <w:p w14:paraId="7CBB7478" w14:textId="77777777" w:rsidR="00C21029" w:rsidRPr="00466BFF" w:rsidRDefault="00C21029" w:rsidP="00E5387E">
            <w:pPr>
              <w:spacing w:after="0" w:line="240" w:lineRule="auto"/>
              <w:rPr>
                <w:rFonts w:cs="Calibri"/>
                <w:sz w:val="20"/>
                <w:szCs w:val="20"/>
              </w:rPr>
            </w:pPr>
            <w:bookmarkStart w:id="2127" w:name="_Toc124956408"/>
            <w:r w:rsidRPr="00466BFF">
              <w:rPr>
                <w:rFonts w:cs="Calibri"/>
                <w:sz w:val="20"/>
                <w:szCs w:val="20"/>
              </w:rPr>
              <w:t>Marie Stopes international</w:t>
            </w:r>
            <w:bookmarkEnd w:id="2127"/>
          </w:p>
        </w:tc>
        <w:tc>
          <w:tcPr>
            <w:tcW w:w="678" w:type="pct"/>
            <w:shd w:val="clear" w:color="auto" w:fill="auto"/>
            <w:noWrap/>
            <w:hideMark/>
          </w:tcPr>
          <w:p w14:paraId="3E70111C" w14:textId="77777777" w:rsidR="00C21029" w:rsidRPr="00466BFF" w:rsidRDefault="00C21029" w:rsidP="00E5387E">
            <w:pPr>
              <w:spacing w:after="0" w:line="240" w:lineRule="auto"/>
              <w:rPr>
                <w:rFonts w:cs="Calibri"/>
                <w:sz w:val="20"/>
                <w:szCs w:val="20"/>
              </w:rPr>
            </w:pPr>
            <w:bookmarkStart w:id="2128" w:name="_Toc124956409"/>
            <w:r w:rsidRPr="00466BFF">
              <w:rPr>
                <w:rFonts w:cs="Calibri"/>
                <w:sz w:val="20"/>
                <w:szCs w:val="20"/>
              </w:rPr>
              <w:t>0202240304</w:t>
            </w:r>
            <w:bookmarkEnd w:id="2128"/>
          </w:p>
        </w:tc>
        <w:tc>
          <w:tcPr>
            <w:tcW w:w="1503" w:type="pct"/>
            <w:shd w:val="clear" w:color="auto" w:fill="auto"/>
            <w:hideMark/>
          </w:tcPr>
          <w:p w14:paraId="6C4D4034" w14:textId="77777777" w:rsidR="00C21029" w:rsidRPr="00466BFF" w:rsidRDefault="00C21029" w:rsidP="00E5387E">
            <w:pPr>
              <w:spacing w:after="0" w:line="240" w:lineRule="auto"/>
              <w:rPr>
                <w:rFonts w:cs="Calibri"/>
                <w:sz w:val="20"/>
                <w:szCs w:val="20"/>
              </w:rPr>
            </w:pPr>
            <w:bookmarkStart w:id="2129" w:name="_Toc124956410"/>
            <w:r w:rsidRPr="00466BFF">
              <w:rPr>
                <w:rFonts w:cs="Calibri"/>
                <w:sz w:val="20"/>
                <w:szCs w:val="20"/>
              </w:rPr>
              <w:t>II P 136 bis Avaradoha Antananarivo ville</w:t>
            </w:r>
            <w:bookmarkEnd w:id="2129"/>
          </w:p>
        </w:tc>
      </w:tr>
      <w:tr w:rsidR="00C21029" w:rsidRPr="007F78CE" w14:paraId="3548C71B" w14:textId="77777777" w:rsidTr="00E5387E">
        <w:trPr>
          <w:trHeight w:val="580"/>
          <w:jc w:val="center"/>
        </w:trPr>
        <w:tc>
          <w:tcPr>
            <w:tcW w:w="1074" w:type="pct"/>
            <w:vMerge/>
            <w:shd w:val="clear" w:color="auto" w:fill="auto"/>
            <w:hideMark/>
          </w:tcPr>
          <w:p w14:paraId="54323CE2" w14:textId="77777777" w:rsidR="00C21029" w:rsidRPr="00B434A6" w:rsidRDefault="00C21029" w:rsidP="00E5387E">
            <w:pPr>
              <w:spacing w:after="0" w:line="240" w:lineRule="auto"/>
              <w:rPr>
                <w:sz w:val="20"/>
                <w:szCs w:val="20"/>
              </w:rPr>
            </w:pPr>
          </w:p>
        </w:tc>
        <w:tc>
          <w:tcPr>
            <w:tcW w:w="1745" w:type="pct"/>
            <w:shd w:val="clear" w:color="auto" w:fill="auto"/>
            <w:noWrap/>
            <w:hideMark/>
          </w:tcPr>
          <w:p w14:paraId="265683DE" w14:textId="77777777" w:rsidR="00C21029" w:rsidRPr="00466BFF" w:rsidRDefault="00C21029" w:rsidP="00E5387E">
            <w:pPr>
              <w:spacing w:after="0" w:line="240" w:lineRule="auto"/>
              <w:rPr>
                <w:rFonts w:cs="Calibri"/>
                <w:sz w:val="20"/>
                <w:szCs w:val="20"/>
              </w:rPr>
            </w:pPr>
            <w:bookmarkStart w:id="2130" w:name="_Toc124956411"/>
            <w:r w:rsidRPr="00466BFF">
              <w:rPr>
                <w:rFonts w:cs="Calibri"/>
                <w:sz w:val="20"/>
                <w:szCs w:val="20"/>
              </w:rPr>
              <w:t>AFAFI</w:t>
            </w:r>
            <w:bookmarkEnd w:id="2130"/>
          </w:p>
        </w:tc>
        <w:tc>
          <w:tcPr>
            <w:tcW w:w="678" w:type="pct"/>
            <w:shd w:val="clear" w:color="auto" w:fill="auto"/>
            <w:noWrap/>
            <w:hideMark/>
          </w:tcPr>
          <w:p w14:paraId="600DA65A" w14:textId="77777777" w:rsidR="00C21029" w:rsidRPr="00466BFF" w:rsidRDefault="00C21029" w:rsidP="00E5387E">
            <w:pPr>
              <w:spacing w:after="0" w:line="240" w:lineRule="auto"/>
              <w:rPr>
                <w:rFonts w:cs="Calibri"/>
                <w:sz w:val="20"/>
                <w:szCs w:val="20"/>
              </w:rPr>
            </w:pPr>
            <w:bookmarkStart w:id="2131" w:name="_Toc124956412"/>
            <w:r w:rsidRPr="00466BFF">
              <w:rPr>
                <w:rFonts w:cs="Calibri"/>
                <w:sz w:val="20"/>
                <w:szCs w:val="20"/>
              </w:rPr>
              <w:t>0331104342</w:t>
            </w:r>
            <w:bookmarkEnd w:id="2131"/>
          </w:p>
        </w:tc>
        <w:tc>
          <w:tcPr>
            <w:tcW w:w="1503" w:type="pct"/>
            <w:shd w:val="clear" w:color="auto" w:fill="auto"/>
            <w:hideMark/>
          </w:tcPr>
          <w:p w14:paraId="06B3A836" w14:textId="77777777" w:rsidR="00C21029" w:rsidRPr="00466BFF" w:rsidRDefault="00C21029" w:rsidP="00E5387E">
            <w:pPr>
              <w:spacing w:after="0" w:line="240" w:lineRule="auto"/>
              <w:rPr>
                <w:rFonts w:cs="Calibri"/>
                <w:sz w:val="20"/>
                <w:szCs w:val="20"/>
              </w:rPr>
            </w:pPr>
            <w:bookmarkStart w:id="2132" w:name="_Toc124956413"/>
            <w:r w:rsidRPr="00466BFF">
              <w:rPr>
                <w:rFonts w:cs="Calibri"/>
                <w:sz w:val="20"/>
                <w:szCs w:val="20"/>
              </w:rPr>
              <w:t>IVD 188 bis Behoririka Antananarivo ville</w:t>
            </w:r>
            <w:bookmarkEnd w:id="2132"/>
          </w:p>
        </w:tc>
      </w:tr>
      <w:tr w:rsidR="00C21029" w:rsidRPr="007F78CE" w14:paraId="7F333130" w14:textId="77777777" w:rsidTr="00E5387E">
        <w:trPr>
          <w:trHeight w:val="580"/>
          <w:jc w:val="center"/>
        </w:trPr>
        <w:tc>
          <w:tcPr>
            <w:tcW w:w="1074" w:type="pct"/>
            <w:vMerge/>
            <w:shd w:val="clear" w:color="auto" w:fill="auto"/>
            <w:hideMark/>
          </w:tcPr>
          <w:p w14:paraId="440B2615" w14:textId="77777777" w:rsidR="00C21029" w:rsidRPr="00B434A6" w:rsidRDefault="00C21029" w:rsidP="00E5387E">
            <w:pPr>
              <w:spacing w:after="0" w:line="240" w:lineRule="auto"/>
              <w:rPr>
                <w:sz w:val="20"/>
                <w:szCs w:val="20"/>
              </w:rPr>
            </w:pPr>
          </w:p>
        </w:tc>
        <w:tc>
          <w:tcPr>
            <w:tcW w:w="1745" w:type="pct"/>
            <w:shd w:val="clear" w:color="auto" w:fill="auto"/>
            <w:noWrap/>
            <w:hideMark/>
          </w:tcPr>
          <w:p w14:paraId="7AC0D435" w14:textId="77777777" w:rsidR="00C21029" w:rsidRPr="00466BFF" w:rsidRDefault="00C21029" w:rsidP="00E5387E">
            <w:pPr>
              <w:spacing w:after="0" w:line="240" w:lineRule="auto"/>
              <w:rPr>
                <w:rFonts w:cs="Calibri"/>
                <w:sz w:val="20"/>
                <w:szCs w:val="20"/>
              </w:rPr>
            </w:pPr>
            <w:bookmarkStart w:id="2133" w:name="_Toc124956414"/>
            <w:r w:rsidRPr="00466BFF">
              <w:rPr>
                <w:rFonts w:cs="Calibri"/>
                <w:sz w:val="20"/>
                <w:szCs w:val="20"/>
              </w:rPr>
              <w:t>Koloaina</w:t>
            </w:r>
            <w:bookmarkEnd w:id="2133"/>
          </w:p>
        </w:tc>
        <w:tc>
          <w:tcPr>
            <w:tcW w:w="678" w:type="pct"/>
            <w:shd w:val="clear" w:color="auto" w:fill="auto"/>
            <w:noWrap/>
            <w:hideMark/>
          </w:tcPr>
          <w:p w14:paraId="5299FAA0" w14:textId="77777777" w:rsidR="00C21029" w:rsidRPr="00466BFF" w:rsidRDefault="00C21029" w:rsidP="00E5387E">
            <w:pPr>
              <w:spacing w:after="0" w:line="240" w:lineRule="auto"/>
              <w:rPr>
                <w:rFonts w:cs="Calibri"/>
                <w:sz w:val="20"/>
                <w:szCs w:val="20"/>
              </w:rPr>
            </w:pPr>
            <w:bookmarkStart w:id="2134" w:name="_Toc124956415"/>
            <w:r w:rsidRPr="00466BFF">
              <w:rPr>
                <w:rFonts w:cs="Calibri"/>
                <w:sz w:val="20"/>
                <w:szCs w:val="20"/>
              </w:rPr>
              <w:t>0330650678</w:t>
            </w:r>
            <w:bookmarkEnd w:id="2134"/>
          </w:p>
        </w:tc>
        <w:tc>
          <w:tcPr>
            <w:tcW w:w="1503" w:type="pct"/>
            <w:shd w:val="clear" w:color="auto" w:fill="auto"/>
            <w:hideMark/>
          </w:tcPr>
          <w:p w14:paraId="7830B240" w14:textId="77777777" w:rsidR="00C21029" w:rsidRPr="00466BFF" w:rsidRDefault="00C21029" w:rsidP="00E5387E">
            <w:pPr>
              <w:spacing w:after="0" w:line="240" w:lineRule="auto"/>
              <w:rPr>
                <w:rFonts w:cs="Calibri"/>
                <w:sz w:val="20"/>
                <w:szCs w:val="20"/>
              </w:rPr>
            </w:pPr>
            <w:bookmarkStart w:id="2135" w:name="_Toc124956416"/>
            <w:r w:rsidRPr="00466BFF">
              <w:rPr>
                <w:rFonts w:cs="Calibri"/>
                <w:sz w:val="20"/>
                <w:szCs w:val="20"/>
              </w:rPr>
              <w:t>IVP 64 ter Antsalovana Antananarivo ville</w:t>
            </w:r>
            <w:bookmarkEnd w:id="2135"/>
          </w:p>
        </w:tc>
      </w:tr>
      <w:tr w:rsidR="00C21029" w:rsidRPr="007F78CE" w14:paraId="669805A3" w14:textId="77777777" w:rsidTr="00E5387E">
        <w:trPr>
          <w:trHeight w:val="580"/>
          <w:jc w:val="center"/>
        </w:trPr>
        <w:tc>
          <w:tcPr>
            <w:tcW w:w="1074" w:type="pct"/>
            <w:vMerge/>
            <w:shd w:val="clear" w:color="auto" w:fill="auto"/>
            <w:hideMark/>
          </w:tcPr>
          <w:p w14:paraId="69F30D06" w14:textId="77777777" w:rsidR="00C21029" w:rsidRPr="00B434A6" w:rsidRDefault="00C21029" w:rsidP="00E5387E">
            <w:pPr>
              <w:spacing w:after="0" w:line="240" w:lineRule="auto"/>
              <w:rPr>
                <w:sz w:val="20"/>
                <w:szCs w:val="20"/>
              </w:rPr>
            </w:pPr>
          </w:p>
        </w:tc>
        <w:tc>
          <w:tcPr>
            <w:tcW w:w="1745" w:type="pct"/>
            <w:shd w:val="clear" w:color="auto" w:fill="auto"/>
            <w:noWrap/>
            <w:hideMark/>
          </w:tcPr>
          <w:p w14:paraId="2C47927F" w14:textId="77777777" w:rsidR="00C21029" w:rsidRPr="00466BFF" w:rsidRDefault="00C21029" w:rsidP="00E5387E">
            <w:pPr>
              <w:spacing w:after="0" w:line="240" w:lineRule="auto"/>
              <w:rPr>
                <w:rFonts w:cs="Calibri"/>
                <w:sz w:val="20"/>
                <w:szCs w:val="20"/>
              </w:rPr>
            </w:pPr>
            <w:bookmarkStart w:id="2136" w:name="_Toc124956417"/>
            <w:r w:rsidRPr="00466BFF">
              <w:rPr>
                <w:rFonts w:cs="Calibri"/>
                <w:sz w:val="20"/>
                <w:szCs w:val="20"/>
              </w:rPr>
              <w:t>SISAL</w:t>
            </w:r>
            <w:bookmarkEnd w:id="2136"/>
          </w:p>
        </w:tc>
        <w:tc>
          <w:tcPr>
            <w:tcW w:w="678" w:type="pct"/>
            <w:shd w:val="clear" w:color="auto" w:fill="auto"/>
            <w:noWrap/>
            <w:hideMark/>
          </w:tcPr>
          <w:p w14:paraId="50CBDA84" w14:textId="77777777" w:rsidR="00C21029" w:rsidRPr="00466BFF" w:rsidRDefault="00C21029" w:rsidP="00E5387E">
            <w:pPr>
              <w:spacing w:after="0" w:line="240" w:lineRule="auto"/>
              <w:rPr>
                <w:rFonts w:cs="Calibri"/>
                <w:sz w:val="20"/>
                <w:szCs w:val="20"/>
              </w:rPr>
            </w:pPr>
            <w:bookmarkStart w:id="2137" w:name="_Toc124956418"/>
            <w:r w:rsidRPr="00466BFF">
              <w:rPr>
                <w:rFonts w:cs="Calibri"/>
                <w:sz w:val="20"/>
                <w:szCs w:val="20"/>
              </w:rPr>
              <w:t>0331413377</w:t>
            </w:r>
            <w:bookmarkEnd w:id="2137"/>
          </w:p>
        </w:tc>
        <w:tc>
          <w:tcPr>
            <w:tcW w:w="1503" w:type="pct"/>
            <w:shd w:val="clear" w:color="auto" w:fill="auto"/>
            <w:hideMark/>
          </w:tcPr>
          <w:p w14:paraId="378AE5A0" w14:textId="77777777" w:rsidR="00C21029" w:rsidRPr="00466BFF" w:rsidRDefault="00C21029" w:rsidP="00E5387E">
            <w:pPr>
              <w:spacing w:after="0" w:line="240" w:lineRule="auto"/>
              <w:rPr>
                <w:rFonts w:cs="Calibri"/>
                <w:sz w:val="20"/>
                <w:szCs w:val="20"/>
              </w:rPr>
            </w:pPr>
            <w:bookmarkStart w:id="2138" w:name="_Toc124956419"/>
            <w:r w:rsidRPr="00466BFF">
              <w:rPr>
                <w:rFonts w:cs="Calibri"/>
                <w:sz w:val="20"/>
                <w:szCs w:val="20"/>
              </w:rPr>
              <w:t>67 Ha Nord Est Antananarivo ville</w:t>
            </w:r>
            <w:bookmarkEnd w:id="2138"/>
          </w:p>
        </w:tc>
      </w:tr>
      <w:tr w:rsidR="00C21029" w:rsidRPr="007F78CE" w14:paraId="644A1E66" w14:textId="77777777" w:rsidTr="00E5387E">
        <w:trPr>
          <w:trHeight w:val="290"/>
          <w:jc w:val="center"/>
        </w:trPr>
        <w:tc>
          <w:tcPr>
            <w:tcW w:w="1074" w:type="pct"/>
            <w:vMerge w:val="restart"/>
            <w:shd w:val="clear" w:color="auto" w:fill="auto"/>
            <w:noWrap/>
            <w:hideMark/>
          </w:tcPr>
          <w:p w14:paraId="711D283C" w14:textId="77777777" w:rsidR="00C21029" w:rsidRPr="00B434A6" w:rsidRDefault="00C21029" w:rsidP="00E5387E">
            <w:pPr>
              <w:spacing w:after="0" w:line="240" w:lineRule="auto"/>
              <w:rPr>
                <w:sz w:val="20"/>
                <w:szCs w:val="20"/>
              </w:rPr>
            </w:pPr>
            <w:bookmarkStart w:id="2139" w:name="_Toc124956420"/>
            <w:r w:rsidRPr="00B434A6">
              <w:rPr>
                <w:sz w:val="20"/>
                <w:szCs w:val="20"/>
              </w:rPr>
              <w:t>BOENY</w:t>
            </w:r>
            <w:bookmarkEnd w:id="2139"/>
          </w:p>
        </w:tc>
        <w:tc>
          <w:tcPr>
            <w:tcW w:w="3926" w:type="pct"/>
            <w:gridSpan w:val="3"/>
            <w:shd w:val="clear" w:color="auto" w:fill="auto"/>
            <w:noWrap/>
            <w:hideMark/>
          </w:tcPr>
          <w:p w14:paraId="069D86D4" w14:textId="77777777" w:rsidR="00C21029" w:rsidRPr="00466BFF" w:rsidRDefault="00C21029" w:rsidP="00E5387E">
            <w:pPr>
              <w:spacing w:after="0" w:line="240" w:lineRule="auto"/>
              <w:rPr>
                <w:rFonts w:cs="Calibri"/>
                <w:sz w:val="20"/>
                <w:szCs w:val="20"/>
              </w:rPr>
            </w:pPr>
            <w:bookmarkStart w:id="2140" w:name="_Toc124956421"/>
            <w:r w:rsidRPr="00466BFF">
              <w:rPr>
                <w:rFonts w:cs="Calibri"/>
                <w:sz w:val="20"/>
                <w:szCs w:val="20"/>
              </w:rPr>
              <w:t>Partenariat Min Santé et ADDH/ONG</w:t>
            </w:r>
            <w:bookmarkEnd w:id="2140"/>
          </w:p>
        </w:tc>
      </w:tr>
      <w:tr w:rsidR="00C21029" w:rsidRPr="007F78CE" w14:paraId="46C5E5D5" w14:textId="77777777" w:rsidTr="00E5387E">
        <w:trPr>
          <w:trHeight w:val="290"/>
          <w:jc w:val="center"/>
        </w:trPr>
        <w:tc>
          <w:tcPr>
            <w:tcW w:w="1074" w:type="pct"/>
            <w:vMerge/>
            <w:shd w:val="clear" w:color="auto" w:fill="auto"/>
            <w:hideMark/>
          </w:tcPr>
          <w:p w14:paraId="0A7D0F6B" w14:textId="77777777" w:rsidR="00C21029" w:rsidRPr="00B434A6" w:rsidRDefault="00C21029" w:rsidP="00E5387E">
            <w:pPr>
              <w:spacing w:after="0" w:line="240" w:lineRule="auto"/>
              <w:rPr>
                <w:sz w:val="20"/>
                <w:szCs w:val="20"/>
              </w:rPr>
            </w:pPr>
          </w:p>
        </w:tc>
        <w:tc>
          <w:tcPr>
            <w:tcW w:w="1745" w:type="pct"/>
            <w:shd w:val="clear" w:color="auto" w:fill="auto"/>
            <w:noWrap/>
            <w:hideMark/>
          </w:tcPr>
          <w:p w14:paraId="7AC51F9C" w14:textId="77777777" w:rsidR="00C21029" w:rsidRPr="00466BFF" w:rsidRDefault="00C21029" w:rsidP="00E5387E">
            <w:pPr>
              <w:spacing w:after="0" w:line="240" w:lineRule="auto"/>
              <w:rPr>
                <w:rFonts w:cs="Calibri"/>
                <w:sz w:val="20"/>
                <w:szCs w:val="20"/>
              </w:rPr>
            </w:pPr>
            <w:bookmarkStart w:id="2141" w:name="_Toc124956422"/>
            <w:r w:rsidRPr="00466BFF">
              <w:rPr>
                <w:rFonts w:cs="Calibri"/>
                <w:sz w:val="20"/>
                <w:szCs w:val="20"/>
              </w:rPr>
              <w:t>Centre VONJY</w:t>
            </w:r>
            <w:bookmarkEnd w:id="2141"/>
          </w:p>
        </w:tc>
        <w:tc>
          <w:tcPr>
            <w:tcW w:w="678" w:type="pct"/>
            <w:shd w:val="clear" w:color="auto" w:fill="auto"/>
            <w:noWrap/>
            <w:hideMark/>
          </w:tcPr>
          <w:p w14:paraId="775A9629"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503" w:type="pct"/>
            <w:shd w:val="clear" w:color="auto" w:fill="auto"/>
            <w:hideMark/>
          </w:tcPr>
          <w:p w14:paraId="693F91B6" w14:textId="77777777" w:rsidR="00C21029" w:rsidRPr="00466BFF" w:rsidRDefault="00C21029" w:rsidP="00E5387E">
            <w:pPr>
              <w:spacing w:after="0" w:line="240" w:lineRule="auto"/>
              <w:rPr>
                <w:rFonts w:cs="Calibri"/>
                <w:sz w:val="20"/>
                <w:szCs w:val="20"/>
              </w:rPr>
            </w:pPr>
            <w:bookmarkStart w:id="2142" w:name="_Toc124956423"/>
            <w:r w:rsidRPr="00466BFF">
              <w:rPr>
                <w:rFonts w:cs="Calibri"/>
                <w:sz w:val="20"/>
                <w:szCs w:val="20"/>
              </w:rPr>
              <w:t>CHU Androva</w:t>
            </w:r>
            <w:r w:rsidR="007A05FA" w:rsidRPr="00466BFF">
              <w:rPr>
                <w:rFonts w:cs="Calibri"/>
                <w:sz w:val="20"/>
                <w:szCs w:val="20"/>
              </w:rPr>
              <w:t xml:space="preserve"> Mahajanga </w:t>
            </w:r>
            <w:r w:rsidRPr="00466BFF">
              <w:rPr>
                <w:rFonts w:cs="Calibri"/>
                <w:sz w:val="20"/>
                <w:szCs w:val="20"/>
              </w:rPr>
              <w:t>I</w:t>
            </w:r>
            <w:bookmarkEnd w:id="2142"/>
          </w:p>
        </w:tc>
      </w:tr>
      <w:tr w:rsidR="00C21029" w:rsidRPr="007F78CE" w14:paraId="0D2364D6" w14:textId="77777777" w:rsidTr="00E5387E">
        <w:trPr>
          <w:trHeight w:val="290"/>
          <w:jc w:val="center"/>
        </w:trPr>
        <w:tc>
          <w:tcPr>
            <w:tcW w:w="1074" w:type="pct"/>
            <w:vMerge/>
            <w:shd w:val="clear" w:color="auto" w:fill="auto"/>
            <w:hideMark/>
          </w:tcPr>
          <w:p w14:paraId="310EF9BE" w14:textId="77777777" w:rsidR="00C21029" w:rsidRPr="00B434A6" w:rsidRDefault="00C21029" w:rsidP="00E5387E">
            <w:pPr>
              <w:spacing w:after="0" w:line="240" w:lineRule="auto"/>
              <w:rPr>
                <w:sz w:val="20"/>
                <w:szCs w:val="20"/>
              </w:rPr>
            </w:pPr>
          </w:p>
        </w:tc>
        <w:tc>
          <w:tcPr>
            <w:tcW w:w="1745" w:type="pct"/>
            <w:shd w:val="clear" w:color="auto" w:fill="auto"/>
            <w:noWrap/>
            <w:hideMark/>
          </w:tcPr>
          <w:p w14:paraId="268FADF0" w14:textId="77777777" w:rsidR="00C21029" w:rsidRPr="00466BFF" w:rsidRDefault="00C21029" w:rsidP="00E5387E">
            <w:pPr>
              <w:spacing w:after="0" w:line="240" w:lineRule="auto"/>
              <w:rPr>
                <w:rFonts w:cs="Calibri"/>
                <w:sz w:val="20"/>
                <w:szCs w:val="20"/>
              </w:rPr>
            </w:pPr>
            <w:bookmarkStart w:id="2143" w:name="_Toc124956424"/>
            <w:r w:rsidRPr="00466BFF">
              <w:rPr>
                <w:rFonts w:cs="Calibri"/>
                <w:sz w:val="20"/>
                <w:szCs w:val="20"/>
              </w:rPr>
              <w:t>ADDH/ONG</w:t>
            </w:r>
            <w:bookmarkEnd w:id="2143"/>
          </w:p>
        </w:tc>
        <w:tc>
          <w:tcPr>
            <w:tcW w:w="678" w:type="pct"/>
            <w:shd w:val="clear" w:color="auto" w:fill="auto"/>
          </w:tcPr>
          <w:p w14:paraId="7110A7B3" w14:textId="77777777" w:rsidR="00C21029" w:rsidRPr="00466BFF" w:rsidRDefault="00C21029" w:rsidP="00E5387E">
            <w:pPr>
              <w:spacing w:after="0" w:line="240" w:lineRule="auto"/>
              <w:rPr>
                <w:rFonts w:cs="Calibri"/>
                <w:sz w:val="20"/>
                <w:szCs w:val="20"/>
              </w:rPr>
            </w:pPr>
          </w:p>
        </w:tc>
        <w:tc>
          <w:tcPr>
            <w:tcW w:w="1503" w:type="pct"/>
            <w:shd w:val="clear" w:color="auto" w:fill="auto"/>
          </w:tcPr>
          <w:p w14:paraId="26FE843A" w14:textId="77777777" w:rsidR="00C21029" w:rsidRPr="00466BFF" w:rsidRDefault="00C21029" w:rsidP="00E5387E">
            <w:pPr>
              <w:spacing w:after="0" w:line="240" w:lineRule="auto"/>
              <w:rPr>
                <w:rFonts w:cs="Calibri"/>
                <w:sz w:val="20"/>
                <w:szCs w:val="20"/>
              </w:rPr>
            </w:pPr>
          </w:p>
        </w:tc>
      </w:tr>
      <w:tr w:rsidR="00C21029" w:rsidRPr="007F78CE" w14:paraId="18C69B46" w14:textId="77777777" w:rsidTr="00E5387E">
        <w:trPr>
          <w:trHeight w:val="290"/>
          <w:jc w:val="center"/>
        </w:trPr>
        <w:tc>
          <w:tcPr>
            <w:tcW w:w="1074" w:type="pct"/>
            <w:vMerge/>
            <w:shd w:val="clear" w:color="auto" w:fill="auto"/>
            <w:hideMark/>
          </w:tcPr>
          <w:p w14:paraId="21E02F53" w14:textId="77777777" w:rsidR="00C21029" w:rsidRPr="00B434A6" w:rsidRDefault="00C21029" w:rsidP="00E5387E">
            <w:pPr>
              <w:spacing w:after="0" w:line="240" w:lineRule="auto"/>
              <w:rPr>
                <w:sz w:val="20"/>
                <w:szCs w:val="20"/>
              </w:rPr>
            </w:pPr>
          </w:p>
        </w:tc>
        <w:tc>
          <w:tcPr>
            <w:tcW w:w="1745" w:type="pct"/>
            <w:shd w:val="clear" w:color="auto" w:fill="auto"/>
            <w:noWrap/>
            <w:hideMark/>
          </w:tcPr>
          <w:p w14:paraId="308444DE" w14:textId="77777777" w:rsidR="00C21029" w:rsidRPr="00466BFF" w:rsidRDefault="00C21029" w:rsidP="00E5387E">
            <w:pPr>
              <w:spacing w:after="0" w:line="240" w:lineRule="auto"/>
              <w:rPr>
                <w:rFonts w:cs="Calibri"/>
                <w:sz w:val="20"/>
                <w:szCs w:val="20"/>
              </w:rPr>
            </w:pPr>
            <w:bookmarkStart w:id="2144" w:name="_Toc124956425"/>
            <w:r w:rsidRPr="00466BFF">
              <w:rPr>
                <w:rFonts w:cs="Calibri"/>
                <w:sz w:val="20"/>
                <w:szCs w:val="20"/>
              </w:rPr>
              <w:t>Les Enfants de la Sainte Famille</w:t>
            </w:r>
            <w:bookmarkEnd w:id="2144"/>
          </w:p>
        </w:tc>
        <w:tc>
          <w:tcPr>
            <w:tcW w:w="678" w:type="pct"/>
            <w:shd w:val="clear" w:color="auto" w:fill="auto"/>
            <w:noWrap/>
            <w:hideMark/>
          </w:tcPr>
          <w:p w14:paraId="5D52B796" w14:textId="77777777" w:rsidR="00C21029" w:rsidRPr="00466BFF" w:rsidRDefault="00C21029" w:rsidP="00E5387E">
            <w:pPr>
              <w:spacing w:after="0" w:line="240" w:lineRule="auto"/>
              <w:rPr>
                <w:rFonts w:cs="Calibri"/>
                <w:sz w:val="20"/>
                <w:szCs w:val="20"/>
              </w:rPr>
            </w:pPr>
            <w:bookmarkStart w:id="2145" w:name="_Toc124956426"/>
            <w:r w:rsidRPr="00466BFF">
              <w:rPr>
                <w:rFonts w:cs="Calibri"/>
                <w:sz w:val="20"/>
                <w:szCs w:val="20"/>
              </w:rPr>
              <w:t>0324331721</w:t>
            </w:r>
            <w:bookmarkEnd w:id="2145"/>
          </w:p>
        </w:tc>
        <w:tc>
          <w:tcPr>
            <w:tcW w:w="1503" w:type="pct"/>
            <w:shd w:val="clear" w:color="auto" w:fill="auto"/>
            <w:hideMark/>
          </w:tcPr>
          <w:p w14:paraId="4959E582" w14:textId="77777777" w:rsidR="00C21029" w:rsidRPr="00466BFF" w:rsidRDefault="00C21029" w:rsidP="00E5387E">
            <w:pPr>
              <w:spacing w:after="0" w:line="240" w:lineRule="auto"/>
              <w:rPr>
                <w:rFonts w:cs="Calibri"/>
                <w:sz w:val="20"/>
                <w:szCs w:val="20"/>
              </w:rPr>
            </w:pPr>
            <w:bookmarkStart w:id="2146" w:name="_Toc124956427"/>
            <w:r w:rsidRPr="00466BFF">
              <w:rPr>
                <w:rFonts w:cs="Calibri"/>
                <w:sz w:val="20"/>
                <w:szCs w:val="20"/>
              </w:rPr>
              <w:t>Majunga I</w:t>
            </w:r>
            <w:bookmarkEnd w:id="2146"/>
          </w:p>
        </w:tc>
      </w:tr>
      <w:tr w:rsidR="00C21029" w:rsidRPr="007F78CE" w14:paraId="11348545" w14:textId="77777777" w:rsidTr="00E5387E">
        <w:trPr>
          <w:trHeight w:val="580"/>
          <w:jc w:val="center"/>
        </w:trPr>
        <w:tc>
          <w:tcPr>
            <w:tcW w:w="1074" w:type="pct"/>
            <w:vMerge/>
            <w:shd w:val="clear" w:color="auto" w:fill="auto"/>
            <w:hideMark/>
          </w:tcPr>
          <w:p w14:paraId="163F8740" w14:textId="77777777" w:rsidR="00C21029" w:rsidRPr="00B434A6" w:rsidRDefault="00C21029" w:rsidP="00E5387E">
            <w:pPr>
              <w:spacing w:after="0" w:line="240" w:lineRule="auto"/>
              <w:rPr>
                <w:sz w:val="20"/>
                <w:szCs w:val="20"/>
              </w:rPr>
            </w:pPr>
          </w:p>
        </w:tc>
        <w:tc>
          <w:tcPr>
            <w:tcW w:w="1745" w:type="pct"/>
            <w:shd w:val="clear" w:color="auto" w:fill="auto"/>
            <w:noWrap/>
            <w:hideMark/>
          </w:tcPr>
          <w:p w14:paraId="1E346C48" w14:textId="77777777" w:rsidR="00C21029" w:rsidRPr="00466BFF" w:rsidRDefault="00C21029" w:rsidP="00E5387E">
            <w:pPr>
              <w:spacing w:after="0" w:line="240" w:lineRule="auto"/>
              <w:rPr>
                <w:rFonts w:cs="Calibri"/>
                <w:sz w:val="20"/>
                <w:szCs w:val="20"/>
              </w:rPr>
            </w:pPr>
            <w:bookmarkStart w:id="2147" w:name="_Toc124956428"/>
            <w:r w:rsidRPr="00466BFF">
              <w:rPr>
                <w:rFonts w:cs="Calibri"/>
                <w:sz w:val="20"/>
                <w:szCs w:val="20"/>
              </w:rPr>
              <w:t>Tsiky</w:t>
            </w:r>
            <w:bookmarkEnd w:id="2147"/>
          </w:p>
        </w:tc>
        <w:tc>
          <w:tcPr>
            <w:tcW w:w="678" w:type="pct"/>
            <w:shd w:val="clear" w:color="auto" w:fill="auto"/>
            <w:noWrap/>
            <w:hideMark/>
          </w:tcPr>
          <w:p w14:paraId="5C2ACB50" w14:textId="77777777" w:rsidR="00C21029" w:rsidRPr="00466BFF" w:rsidRDefault="00C21029" w:rsidP="00E5387E">
            <w:pPr>
              <w:spacing w:after="0" w:line="240" w:lineRule="auto"/>
              <w:rPr>
                <w:rFonts w:cs="Calibri"/>
                <w:sz w:val="20"/>
                <w:szCs w:val="20"/>
              </w:rPr>
            </w:pPr>
            <w:bookmarkStart w:id="2148" w:name="_Toc124956429"/>
            <w:r w:rsidRPr="00466BFF">
              <w:rPr>
                <w:rFonts w:cs="Calibri"/>
                <w:sz w:val="20"/>
                <w:szCs w:val="20"/>
              </w:rPr>
              <w:t>0324044220</w:t>
            </w:r>
            <w:bookmarkEnd w:id="2148"/>
          </w:p>
        </w:tc>
        <w:tc>
          <w:tcPr>
            <w:tcW w:w="1503" w:type="pct"/>
            <w:shd w:val="clear" w:color="auto" w:fill="auto"/>
            <w:hideMark/>
          </w:tcPr>
          <w:p w14:paraId="70C6AF00" w14:textId="77777777" w:rsidR="00C21029" w:rsidRPr="00466BFF" w:rsidRDefault="00C21029" w:rsidP="00E5387E">
            <w:pPr>
              <w:spacing w:after="0" w:line="240" w:lineRule="auto"/>
              <w:rPr>
                <w:rFonts w:cs="Calibri"/>
                <w:sz w:val="20"/>
                <w:szCs w:val="20"/>
              </w:rPr>
            </w:pPr>
            <w:bookmarkStart w:id="2149" w:name="_Toc124956430"/>
            <w:r w:rsidRPr="00466BFF">
              <w:rPr>
                <w:rFonts w:cs="Calibri"/>
                <w:sz w:val="20"/>
                <w:szCs w:val="20"/>
              </w:rPr>
              <w:t xml:space="preserve">Face Jeanne d'Arc Mangarivotra </w:t>
            </w:r>
            <w:r w:rsidR="007A05FA" w:rsidRPr="00466BFF">
              <w:rPr>
                <w:rFonts w:cs="Calibri"/>
                <w:sz w:val="20"/>
                <w:szCs w:val="20"/>
              </w:rPr>
              <w:t xml:space="preserve">Mahajanga </w:t>
            </w:r>
            <w:r w:rsidRPr="00466BFF">
              <w:rPr>
                <w:rFonts w:cs="Calibri"/>
                <w:sz w:val="20"/>
                <w:szCs w:val="20"/>
              </w:rPr>
              <w:t>I</w:t>
            </w:r>
            <w:bookmarkEnd w:id="2149"/>
          </w:p>
        </w:tc>
      </w:tr>
      <w:tr w:rsidR="00C21029" w:rsidRPr="007F78CE" w14:paraId="14CEA6EB" w14:textId="77777777" w:rsidTr="00E5387E">
        <w:trPr>
          <w:trHeight w:val="580"/>
          <w:jc w:val="center"/>
        </w:trPr>
        <w:tc>
          <w:tcPr>
            <w:tcW w:w="1074" w:type="pct"/>
            <w:vMerge/>
            <w:shd w:val="clear" w:color="auto" w:fill="auto"/>
            <w:hideMark/>
          </w:tcPr>
          <w:p w14:paraId="26E95BB2" w14:textId="77777777" w:rsidR="00C21029" w:rsidRPr="00B434A6" w:rsidRDefault="00C21029" w:rsidP="00E5387E">
            <w:pPr>
              <w:spacing w:after="0" w:line="240" w:lineRule="auto"/>
              <w:rPr>
                <w:sz w:val="20"/>
                <w:szCs w:val="20"/>
              </w:rPr>
            </w:pPr>
          </w:p>
        </w:tc>
        <w:tc>
          <w:tcPr>
            <w:tcW w:w="1745" w:type="pct"/>
            <w:shd w:val="clear" w:color="auto" w:fill="auto"/>
            <w:noWrap/>
            <w:hideMark/>
          </w:tcPr>
          <w:p w14:paraId="616F74E8" w14:textId="77777777" w:rsidR="00C21029" w:rsidRPr="00466BFF" w:rsidRDefault="00C21029" w:rsidP="00E5387E">
            <w:pPr>
              <w:spacing w:after="0" w:line="240" w:lineRule="auto"/>
              <w:rPr>
                <w:rFonts w:cs="Calibri"/>
                <w:sz w:val="20"/>
                <w:szCs w:val="20"/>
              </w:rPr>
            </w:pPr>
            <w:bookmarkStart w:id="2150" w:name="_Toc124956431"/>
            <w:r w:rsidRPr="00466BFF">
              <w:rPr>
                <w:rFonts w:cs="Calibri"/>
                <w:sz w:val="20"/>
                <w:szCs w:val="20"/>
              </w:rPr>
              <w:t>Marie Stopes international</w:t>
            </w:r>
            <w:bookmarkEnd w:id="2150"/>
          </w:p>
        </w:tc>
        <w:tc>
          <w:tcPr>
            <w:tcW w:w="678" w:type="pct"/>
            <w:shd w:val="clear" w:color="auto" w:fill="auto"/>
            <w:noWrap/>
            <w:hideMark/>
          </w:tcPr>
          <w:p w14:paraId="0BE4DFCC" w14:textId="77777777" w:rsidR="00C21029" w:rsidRPr="00466BFF" w:rsidRDefault="00C21029" w:rsidP="00E5387E">
            <w:pPr>
              <w:spacing w:after="0" w:line="240" w:lineRule="auto"/>
              <w:rPr>
                <w:rFonts w:cs="Calibri"/>
                <w:sz w:val="20"/>
                <w:szCs w:val="20"/>
              </w:rPr>
            </w:pPr>
            <w:bookmarkStart w:id="2151" w:name="_Toc124956432"/>
            <w:r w:rsidRPr="00466BFF">
              <w:rPr>
                <w:rFonts w:cs="Calibri"/>
                <w:sz w:val="20"/>
                <w:szCs w:val="20"/>
              </w:rPr>
              <w:t>0340230614</w:t>
            </w:r>
            <w:bookmarkEnd w:id="2151"/>
          </w:p>
        </w:tc>
        <w:tc>
          <w:tcPr>
            <w:tcW w:w="1503" w:type="pct"/>
            <w:shd w:val="clear" w:color="auto" w:fill="auto"/>
            <w:hideMark/>
          </w:tcPr>
          <w:p w14:paraId="666A3DB8" w14:textId="77777777" w:rsidR="00C21029" w:rsidRPr="00466BFF" w:rsidRDefault="00C21029" w:rsidP="00E5387E">
            <w:pPr>
              <w:spacing w:after="0" w:line="240" w:lineRule="auto"/>
              <w:rPr>
                <w:rFonts w:cs="Calibri"/>
                <w:sz w:val="20"/>
                <w:szCs w:val="20"/>
              </w:rPr>
            </w:pPr>
            <w:bookmarkStart w:id="2152" w:name="_Toc124956433"/>
            <w:r w:rsidRPr="00466BFF">
              <w:rPr>
                <w:rFonts w:cs="Calibri"/>
                <w:sz w:val="20"/>
                <w:szCs w:val="20"/>
              </w:rPr>
              <w:t xml:space="preserve">Villa TwinkyTsaramandroso </w:t>
            </w:r>
            <w:r w:rsidR="007A05FA" w:rsidRPr="00466BFF">
              <w:rPr>
                <w:rFonts w:cs="Calibri"/>
                <w:sz w:val="20"/>
                <w:szCs w:val="20"/>
              </w:rPr>
              <w:t xml:space="preserve">Mahajanga </w:t>
            </w:r>
            <w:r w:rsidRPr="00466BFF">
              <w:rPr>
                <w:rFonts w:cs="Calibri"/>
                <w:sz w:val="20"/>
                <w:szCs w:val="20"/>
              </w:rPr>
              <w:t>I</w:t>
            </w:r>
            <w:bookmarkEnd w:id="2152"/>
          </w:p>
        </w:tc>
      </w:tr>
      <w:tr w:rsidR="00C21029" w:rsidRPr="007F78CE" w14:paraId="2CF3EEA8" w14:textId="77777777" w:rsidTr="00E5387E">
        <w:trPr>
          <w:trHeight w:val="290"/>
          <w:jc w:val="center"/>
        </w:trPr>
        <w:tc>
          <w:tcPr>
            <w:tcW w:w="1074" w:type="pct"/>
            <w:vMerge w:val="restart"/>
            <w:shd w:val="clear" w:color="auto" w:fill="auto"/>
            <w:noWrap/>
            <w:hideMark/>
          </w:tcPr>
          <w:p w14:paraId="56E64E80" w14:textId="77777777" w:rsidR="00C21029" w:rsidRPr="00B434A6" w:rsidRDefault="00C21029" w:rsidP="00E5387E">
            <w:pPr>
              <w:spacing w:after="0" w:line="240" w:lineRule="auto"/>
              <w:rPr>
                <w:sz w:val="20"/>
                <w:szCs w:val="20"/>
              </w:rPr>
            </w:pPr>
            <w:bookmarkStart w:id="2153" w:name="_Toc124956434"/>
            <w:r w:rsidRPr="00B434A6">
              <w:rPr>
                <w:sz w:val="20"/>
                <w:szCs w:val="20"/>
              </w:rPr>
              <w:t>DIANA</w:t>
            </w:r>
            <w:bookmarkEnd w:id="2153"/>
          </w:p>
        </w:tc>
        <w:tc>
          <w:tcPr>
            <w:tcW w:w="3926" w:type="pct"/>
            <w:gridSpan w:val="3"/>
            <w:shd w:val="clear" w:color="auto" w:fill="auto"/>
            <w:noWrap/>
            <w:hideMark/>
          </w:tcPr>
          <w:p w14:paraId="5C5E6921" w14:textId="77777777" w:rsidR="00C21029" w:rsidRPr="00466BFF" w:rsidRDefault="00C21029" w:rsidP="00E5387E">
            <w:pPr>
              <w:spacing w:after="0" w:line="240" w:lineRule="auto"/>
              <w:rPr>
                <w:rFonts w:cs="Calibri"/>
                <w:sz w:val="20"/>
                <w:szCs w:val="20"/>
              </w:rPr>
            </w:pPr>
            <w:bookmarkStart w:id="2154" w:name="_Toc124956435"/>
            <w:r w:rsidRPr="00466BFF">
              <w:rPr>
                <w:rFonts w:cs="Calibri"/>
                <w:sz w:val="20"/>
                <w:szCs w:val="20"/>
              </w:rPr>
              <w:t>Service Public</w:t>
            </w:r>
            <w:bookmarkEnd w:id="2154"/>
          </w:p>
        </w:tc>
      </w:tr>
      <w:tr w:rsidR="00C21029" w:rsidRPr="007F78CE" w14:paraId="709004FB" w14:textId="77777777" w:rsidTr="00E5387E">
        <w:trPr>
          <w:trHeight w:val="290"/>
          <w:jc w:val="center"/>
        </w:trPr>
        <w:tc>
          <w:tcPr>
            <w:tcW w:w="1074" w:type="pct"/>
            <w:vMerge/>
            <w:shd w:val="clear" w:color="auto" w:fill="auto"/>
            <w:hideMark/>
          </w:tcPr>
          <w:p w14:paraId="25176A71" w14:textId="77777777" w:rsidR="00C21029" w:rsidRPr="00B434A6" w:rsidRDefault="00C21029" w:rsidP="00E5387E">
            <w:pPr>
              <w:spacing w:after="0" w:line="240" w:lineRule="auto"/>
              <w:rPr>
                <w:sz w:val="20"/>
                <w:szCs w:val="20"/>
              </w:rPr>
            </w:pPr>
          </w:p>
        </w:tc>
        <w:tc>
          <w:tcPr>
            <w:tcW w:w="1745" w:type="pct"/>
            <w:shd w:val="clear" w:color="auto" w:fill="auto"/>
            <w:noWrap/>
            <w:hideMark/>
          </w:tcPr>
          <w:p w14:paraId="0E5B2880" w14:textId="77777777" w:rsidR="00C21029" w:rsidRPr="00466BFF" w:rsidRDefault="00C21029" w:rsidP="00E5387E">
            <w:pPr>
              <w:spacing w:after="0" w:line="240" w:lineRule="auto"/>
              <w:rPr>
                <w:rFonts w:cs="Calibri"/>
                <w:sz w:val="20"/>
                <w:szCs w:val="20"/>
              </w:rPr>
            </w:pPr>
            <w:bookmarkStart w:id="2155" w:name="_Toc124956436"/>
            <w:r w:rsidRPr="00466BFF">
              <w:rPr>
                <w:rFonts w:cs="Calibri"/>
                <w:sz w:val="20"/>
                <w:szCs w:val="20"/>
              </w:rPr>
              <w:t>Bureau Municipal d'Hygiène</w:t>
            </w:r>
            <w:bookmarkEnd w:id="2155"/>
          </w:p>
        </w:tc>
        <w:tc>
          <w:tcPr>
            <w:tcW w:w="678" w:type="pct"/>
            <w:shd w:val="clear" w:color="auto" w:fill="auto"/>
            <w:noWrap/>
            <w:hideMark/>
          </w:tcPr>
          <w:p w14:paraId="5A2D79DC" w14:textId="77777777" w:rsidR="00C21029" w:rsidRPr="00466BFF" w:rsidRDefault="00C21029" w:rsidP="00E5387E">
            <w:pPr>
              <w:spacing w:after="0" w:line="240" w:lineRule="auto"/>
              <w:rPr>
                <w:rFonts w:cs="Calibri"/>
                <w:sz w:val="20"/>
                <w:szCs w:val="20"/>
              </w:rPr>
            </w:pPr>
            <w:bookmarkStart w:id="2156" w:name="_Toc124956437"/>
            <w:r w:rsidRPr="00466BFF">
              <w:rPr>
                <w:rFonts w:cs="Calibri"/>
                <w:sz w:val="20"/>
                <w:szCs w:val="20"/>
              </w:rPr>
              <w:t>0320240789</w:t>
            </w:r>
            <w:bookmarkEnd w:id="2156"/>
          </w:p>
        </w:tc>
        <w:tc>
          <w:tcPr>
            <w:tcW w:w="1503" w:type="pct"/>
            <w:shd w:val="clear" w:color="auto" w:fill="auto"/>
            <w:hideMark/>
          </w:tcPr>
          <w:p w14:paraId="1DA8D214" w14:textId="77777777" w:rsidR="00C21029" w:rsidRPr="00466BFF" w:rsidRDefault="00C21029" w:rsidP="00E5387E">
            <w:pPr>
              <w:spacing w:after="0" w:line="240" w:lineRule="auto"/>
              <w:rPr>
                <w:rFonts w:cs="Calibri"/>
                <w:sz w:val="20"/>
                <w:szCs w:val="20"/>
              </w:rPr>
            </w:pPr>
            <w:bookmarkStart w:id="2157" w:name="_Toc124956438"/>
            <w:r w:rsidRPr="00466BFF">
              <w:rPr>
                <w:rFonts w:cs="Calibri"/>
                <w:sz w:val="20"/>
                <w:szCs w:val="20"/>
              </w:rPr>
              <w:t xml:space="preserve">Commune Urbaine </w:t>
            </w:r>
            <w:bookmarkEnd w:id="2157"/>
            <w:r w:rsidR="007A05FA" w:rsidRPr="00466BFF">
              <w:rPr>
                <w:rFonts w:cs="Calibri"/>
                <w:sz w:val="20"/>
                <w:szCs w:val="20"/>
              </w:rPr>
              <w:t>Antsiranana</w:t>
            </w:r>
          </w:p>
        </w:tc>
      </w:tr>
      <w:tr w:rsidR="00C21029" w:rsidRPr="007F78CE" w14:paraId="7359389C" w14:textId="77777777" w:rsidTr="00E5387E">
        <w:trPr>
          <w:trHeight w:val="290"/>
          <w:jc w:val="center"/>
        </w:trPr>
        <w:tc>
          <w:tcPr>
            <w:tcW w:w="1074" w:type="pct"/>
            <w:vMerge/>
            <w:shd w:val="clear" w:color="auto" w:fill="auto"/>
            <w:hideMark/>
          </w:tcPr>
          <w:p w14:paraId="601C0878" w14:textId="77777777" w:rsidR="00C21029" w:rsidRPr="00B434A6" w:rsidRDefault="00C21029" w:rsidP="00E5387E">
            <w:pPr>
              <w:spacing w:after="0" w:line="240" w:lineRule="auto"/>
              <w:rPr>
                <w:sz w:val="20"/>
                <w:szCs w:val="20"/>
              </w:rPr>
            </w:pPr>
          </w:p>
        </w:tc>
        <w:tc>
          <w:tcPr>
            <w:tcW w:w="1745" w:type="pct"/>
            <w:shd w:val="clear" w:color="auto" w:fill="auto"/>
            <w:noWrap/>
            <w:hideMark/>
          </w:tcPr>
          <w:p w14:paraId="2E7DC407" w14:textId="77777777" w:rsidR="00C21029" w:rsidRPr="00466BFF" w:rsidRDefault="00C21029" w:rsidP="00E5387E">
            <w:pPr>
              <w:spacing w:after="0" w:line="240" w:lineRule="auto"/>
              <w:rPr>
                <w:rFonts w:cs="Calibri"/>
                <w:sz w:val="20"/>
                <w:szCs w:val="20"/>
              </w:rPr>
            </w:pPr>
            <w:bookmarkStart w:id="2158" w:name="_Toc124956439"/>
            <w:r w:rsidRPr="00466BFF">
              <w:rPr>
                <w:rFonts w:cs="Calibri"/>
                <w:sz w:val="20"/>
                <w:szCs w:val="20"/>
              </w:rPr>
              <w:t>Partenariat Min Santé et ADDH/ONG</w:t>
            </w:r>
            <w:bookmarkEnd w:id="2158"/>
          </w:p>
        </w:tc>
        <w:tc>
          <w:tcPr>
            <w:tcW w:w="678" w:type="pct"/>
            <w:shd w:val="clear" w:color="auto" w:fill="auto"/>
          </w:tcPr>
          <w:p w14:paraId="29D6119E" w14:textId="77777777" w:rsidR="00C21029" w:rsidRPr="00466BFF" w:rsidRDefault="00C21029" w:rsidP="00E5387E">
            <w:pPr>
              <w:spacing w:after="0" w:line="240" w:lineRule="auto"/>
              <w:rPr>
                <w:rFonts w:cs="Calibri"/>
                <w:sz w:val="20"/>
                <w:szCs w:val="20"/>
              </w:rPr>
            </w:pPr>
          </w:p>
        </w:tc>
        <w:tc>
          <w:tcPr>
            <w:tcW w:w="1503" w:type="pct"/>
            <w:shd w:val="clear" w:color="auto" w:fill="auto"/>
          </w:tcPr>
          <w:p w14:paraId="146EA268" w14:textId="77777777" w:rsidR="00C21029" w:rsidRPr="00466BFF" w:rsidRDefault="00C21029" w:rsidP="00E5387E">
            <w:pPr>
              <w:spacing w:after="0" w:line="240" w:lineRule="auto"/>
              <w:rPr>
                <w:rFonts w:cs="Calibri"/>
                <w:sz w:val="20"/>
                <w:szCs w:val="20"/>
              </w:rPr>
            </w:pPr>
          </w:p>
        </w:tc>
      </w:tr>
      <w:tr w:rsidR="00C21029" w:rsidRPr="007F78CE" w14:paraId="72C6DDA4" w14:textId="77777777" w:rsidTr="00E5387E">
        <w:trPr>
          <w:trHeight w:val="290"/>
          <w:jc w:val="center"/>
        </w:trPr>
        <w:tc>
          <w:tcPr>
            <w:tcW w:w="1074" w:type="pct"/>
            <w:vMerge/>
            <w:shd w:val="clear" w:color="auto" w:fill="auto"/>
            <w:hideMark/>
          </w:tcPr>
          <w:p w14:paraId="40DDA7CA" w14:textId="77777777" w:rsidR="00C21029" w:rsidRPr="00B434A6" w:rsidRDefault="00C21029" w:rsidP="00E5387E">
            <w:pPr>
              <w:spacing w:after="0" w:line="240" w:lineRule="auto"/>
              <w:rPr>
                <w:sz w:val="20"/>
                <w:szCs w:val="20"/>
              </w:rPr>
            </w:pPr>
          </w:p>
        </w:tc>
        <w:tc>
          <w:tcPr>
            <w:tcW w:w="1745" w:type="pct"/>
            <w:shd w:val="clear" w:color="auto" w:fill="auto"/>
            <w:noWrap/>
            <w:hideMark/>
          </w:tcPr>
          <w:p w14:paraId="127AD89C" w14:textId="77777777" w:rsidR="00C21029" w:rsidRPr="00466BFF" w:rsidRDefault="00C21029" w:rsidP="00E5387E">
            <w:pPr>
              <w:spacing w:after="0" w:line="240" w:lineRule="auto"/>
              <w:rPr>
                <w:rFonts w:cs="Calibri"/>
                <w:sz w:val="20"/>
                <w:szCs w:val="20"/>
              </w:rPr>
            </w:pPr>
            <w:bookmarkStart w:id="2159" w:name="_Toc124956440"/>
            <w:r w:rsidRPr="00466BFF">
              <w:rPr>
                <w:rFonts w:cs="Calibri"/>
                <w:sz w:val="20"/>
                <w:szCs w:val="20"/>
              </w:rPr>
              <w:t>Centre VONJY</w:t>
            </w:r>
            <w:bookmarkEnd w:id="2159"/>
          </w:p>
        </w:tc>
        <w:tc>
          <w:tcPr>
            <w:tcW w:w="678" w:type="pct"/>
            <w:shd w:val="clear" w:color="auto" w:fill="auto"/>
            <w:noWrap/>
            <w:hideMark/>
          </w:tcPr>
          <w:p w14:paraId="0DD4A58D"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503" w:type="pct"/>
            <w:shd w:val="clear" w:color="auto" w:fill="auto"/>
            <w:hideMark/>
          </w:tcPr>
          <w:p w14:paraId="31DFD3A3" w14:textId="77777777" w:rsidR="00C21029" w:rsidRPr="00466BFF" w:rsidRDefault="00C21029" w:rsidP="00E5387E">
            <w:pPr>
              <w:spacing w:after="0" w:line="240" w:lineRule="auto"/>
              <w:rPr>
                <w:rFonts w:cs="Calibri"/>
                <w:sz w:val="20"/>
                <w:szCs w:val="20"/>
              </w:rPr>
            </w:pPr>
            <w:bookmarkStart w:id="2160" w:name="_Toc124956441"/>
            <w:r w:rsidRPr="00466BFF">
              <w:rPr>
                <w:rFonts w:cs="Calibri"/>
                <w:sz w:val="20"/>
                <w:szCs w:val="20"/>
              </w:rPr>
              <w:t>Nosy Be</w:t>
            </w:r>
            <w:bookmarkEnd w:id="2160"/>
          </w:p>
        </w:tc>
      </w:tr>
      <w:tr w:rsidR="00C21029" w:rsidRPr="007F78CE" w14:paraId="25ADB3A9" w14:textId="77777777" w:rsidTr="00E5387E">
        <w:trPr>
          <w:trHeight w:val="290"/>
          <w:jc w:val="center"/>
        </w:trPr>
        <w:tc>
          <w:tcPr>
            <w:tcW w:w="1074" w:type="pct"/>
            <w:vMerge/>
            <w:shd w:val="clear" w:color="auto" w:fill="auto"/>
            <w:hideMark/>
          </w:tcPr>
          <w:p w14:paraId="5231DD14" w14:textId="77777777" w:rsidR="00C21029" w:rsidRPr="00B434A6" w:rsidRDefault="00C21029" w:rsidP="00E5387E">
            <w:pPr>
              <w:spacing w:after="0" w:line="240" w:lineRule="auto"/>
              <w:rPr>
                <w:sz w:val="20"/>
                <w:szCs w:val="20"/>
              </w:rPr>
            </w:pPr>
          </w:p>
        </w:tc>
        <w:tc>
          <w:tcPr>
            <w:tcW w:w="1745" w:type="pct"/>
            <w:shd w:val="clear" w:color="auto" w:fill="auto"/>
            <w:noWrap/>
            <w:hideMark/>
          </w:tcPr>
          <w:p w14:paraId="5DFB35E2" w14:textId="77777777" w:rsidR="00C21029" w:rsidRPr="00466BFF" w:rsidRDefault="00C21029" w:rsidP="00E5387E">
            <w:pPr>
              <w:spacing w:after="0" w:line="240" w:lineRule="auto"/>
              <w:rPr>
                <w:rFonts w:cs="Calibri"/>
                <w:sz w:val="20"/>
                <w:szCs w:val="20"/>
              </w:rPr>
            </w:pPr>
            <w:bookmarkStart w:id="2161" w:name="_Toc124956442"/>
            <w:r w:rsidRPr="00466BFF">
              <w:rPr>
                <w:rFonts w:cs="Calibri"/>
                <w:sz w:val="20"/>
                <w:szCs w:val="20"/>
              </w:rPr>
              <w:t>ADDH/ONG</w:t>
            </w:r>
            <w:bookmarkEnd w:id="2161"/>
          </w:p>
        </w:tc>
        <w:tc>
          <w:tcPr>
            <w:tcW w:w="678" w:type="pct"/>
            <w:shd w:val="clear" w:color="auto" w:fill="auto"/>
          </w:tcPr>
          <w:p w14:paraId="094F1558" w14:textId="77777777" w:rsidR="00C21029" w:rsidRPr="00466BFF" w:rsidRDefault="00C21029" w:rsidP="00E5387E">
            <w:pPr>
              <w:spacing w:after="0" w:line="240" w:lineRule="auto"/>
              <w:rPr>
                <w:rFonts w:cs="Calibri"/>
                <w:sz w:val="20"/>
                <w:szCs w:val="20"/>
              </w:rPr>
            </w:pPr>
          </w:p>
        </w:tc>
        <w:tc>
          <w:tcPr>
            <w:tcW w:w="1503" w:type="pct"/>
            <w:shd w:val="clear" w:color="auto" w:fill="auto"/>
          </w:tcPr>
          <w:p w14:paraId="39F27635" w14:textId="77777777" w:rsidR="00C21029" w:rsidRPr="00466BFF" w:rsidRDefault="00C21029" w:rsidP="00E5387E">
            <w:pPr>
              <w:spacing w:after="0" w:line="240" w:lineRule="auto"/>
              <w:rPr>
                <w:rFonts w:cs="Calibri"/>
                <w:sz w:val="20"/>
                <w:szCs w:val="20"/>
              </w:rPr>
            </w:pPr>
          </w:p>
        </w:tc>
      </w:tr>
      <w:tr w:rsidR="00C21029" w:rsidRPr="007F78CE" w14:paraId="2DF4D9E7" w14:textId="77777777" w:rsidTr="00E5387E">
        <w:trPr>
          <w:trHeight w:val="290"/>
          <w:jc w:val="center"/>
        </w:trPr>
        <w:tc>
          <w:tcPr>
            <w:tcW w:w="1074" w:type="pct"/>
            <w:vMerge/>
            <w:shd w:val="clear" w:color="auto" w:fill="auto"/>
            <w:hideMark/>
          </w:tcPr>
          <w:p w14:paraId="13D21D29" w14:textId="77777777" w:rsidR="00C21029" w:rsidRPr="00B434A6" w:rsidRDefault="00C21029" w:rsidP="00E5387E">
            <w:pPr>
              <w:spacing w:after="0" w:line="240" w:lineRule="auto"/>
              <w:rPr>
                <w:sz w:val="20"/>
                <w:szCs w:val="20"/>
              </w:rPr>
            </w:pPr>
          </w:p>
        </w:tc>
        <w:tc>
          <w:tcPr>
            <w:tcW w:w="1745" w:type="pct"/>
            <w:shd w:val="clear" w:color="auto" w:fill="auto"/>
            <w:noWrap/>
            <w:hideMark/>
          </w:tcPr>
          <w:p w14:paraId="7EB55B4C" w14:textId="77777777" w:rsidR="00C21029" w:rsidRPr="00466BFF" w:rsidRDefault="00C21029" w:rsidP="00E5387E">
            <w:pPr>
              <w:spacing w:after="0" w:line="240" w:lineRule="auto"/>
              <w:rPr>
                <w:rFonts w:cs="Calibri"/>
                <w:sz w:val="20"/>
                <w:szCs w:val="20"/>
              </w:rPr>
            </w:pPr>
            <w:bookmarkStart w:id="2162" w:name="_Toc124956443"/>
            <w:r w:rsidRPr="00466BFF">
              <w:rPr>
                <w:rFonts w:cs="Calibri"/>
                <w:sz w:val="20"/>
                <w:szCs w:val="20"/>
              </w:rPr>
              <w:t>Clinique Saint Damien</w:t>
            </w:r>
            <w:bookmarkEnd w:id="2162"/>
          </w:p>
        </w:tc>
        <w:tc>
          <w:tcPr>
            <w:tcW w:w="678" w:type="pct"/>
            <w:shd w:val="clear" w:color="auto" w:fill="auto"/>
            <w:noWrap/>
            <w:hideMark/>
          </w:tcPr>
          <w:p w14:paraId="0E7C75AA" w14:textId="77777777" w:rsidR="00C21029" w:rsidRPr="00466BFF" w:rsidRDefault="00C21029" w:rsidP="00E5387E">
            <w:pPr>
              <w:spacing w:after="0" w:line="240" w:lineRule="auto"/>
              <w:rPr>
                <w:rFonts w:cs="Calibri"/>
                <w:sz w:val="20"/>
                <w:szCs w:val="20"/>
              </w:rPr>
            </w:pPr>
            <w:bookmarkStart w:id="2163" w:name="_Toc124956444"/>
            <w:r w:rsidRPr="00466BFF">
              <w:rPr>
                <w:rFonts w:cs="Calibri"/>
                <w:sz w:val="20"/>
                <w:szCs w:val="20"/>
              </w:rPr>
              <w:t>0324028850</w:t>
            </w:r>
            <w:bookmarkEnd w:id="2163"/>
          </w:p>
        </w:tc>
        <w:tc>
          <w:tcPr>
            <w:tcW w:w="1503" w:type="pct"/>
            <w:shd w:val="clear" w:color="auto" w:fill="auto"/>
            <w:hideMark/>
          </w:tcPr>
          <w:p w14:paraId="57BAA265" w14:textId="77777777" w:rsidR="00C21029" w:rsidRPr="00466BFF" w:rsidRDefault="007A05FA" w:rsidP="00E5387E">
            <w:pPr>
              <w:spacing w:after="0" w:line="240" w:lineRule="auto"/>
              <w:rPr>
                <w:rFonts w:cs="Calibri"/>
                <w:sz w:val="20"/>
                <w:szCs w:val="20"/>
              </w:rPr>
            </w:pPr>
            <w:bookmarkStart w:id="2164" w:name="_Toc124956445"/>
            <w:r w:rsidRPr="00466BFF">
              <w:rPr>
                <w:rFonts w:cs="Calibri"/>
                <w:sz w:val="20"/>
                <w:szCs w:val="20"/>
              </w:rPr>
              <w:t xml:space="preserve">Antsiranana </w:t>
            </w:r>
            <w:r w:rsidR="00C21029" w:rsidRPr="00466BFF">
              <w:rPr>
                <w:rFonts w:cs="Calibri"/>
                <w:sz w:val="20"/>
                <w:szCs w:val="20"/>
              </w:rPr>
              <w:t>I</w:t>
            </w:r>
            <w:bookmarkEnd w:id="2164"/>
          </w:p>
        </w:tc>
      </w:tr>
      <w:tr w:rsidR="00C21029" w:rsidRPr="007F78CE" w14:paraId="4A11C561" w14:textId="77777777" w:rsidTr="00E5387E">
        <w:trPr>
          <w:trHeight w:val="290"/>
          <w:jc w:val="center"/>
        </w:trPr>
        <w:tc>
          <w:tcPr>
            <w:tcW w:w="1074" w:type="pct"/>
            <w:vMerge w:val="restart"/>
            <w:shd w:val="clear" w:color="auto" w:fill="auto"/>
            <w:noWrap/>
            <w:hideMark/>
          </w:tcPr>
          <w:p w14:paraId="25584B43" w14:textId="77777777" w:rsidR="00C21029" w:rsidRPr="00B434A6" w:rsidRDefault="00C21029" w:rsidP="00E5387E">
            <w:pPr>
              <w:spacing w:after="0" w:line="240" w:lineRule="auto"/>
              <w:rPr>
                <w:sz w:val="20"/>
                <w:szCs w:val="20"/>
              </w:rPr>
            </w:pPr>
            <w:bookmarkStart w:id="2165" w:name="_Toc124956446"/>
            <w:r w:rsidRPr="00B434A6">
              <w:rPr>
                <w:sz w:val="20"/>
                <w:szCs w:val="20"/>
              </w:rPr>
              <w:t>MATSIATRA AMBONY</w:t>
            </w:r>
            <w:bookmarkEnd w:id="2165"/>
          </w:p>
        </w:tc>
        <w:tc>
          <w:tcPr>
            <w:tcW w:w="3926" w:type="pct"/>
            <w:gridSpan w:val="3"/>
            <w:shd w:val="clear" w:color="auto" w:fill="auto"/>
            <w:noWrap/>
            <w:hideMark/>
          </w:tcPr>
          <w:p w14:paraId="474C02BC" w14:textId="77777777" w:rsidR="00C21029" w:rsidRPr="00466BFF" w:rsidRDefault="00C21029" w:rsidP="00E5387E">
            <w:pPr>
              <w:spacing w:after="0" w:line="240" w:lineRule="auto"/>
              <w:rPr>
                <w:rFonts w:cs="Calibri"/>
                <w:sz w:val="20"/>
                <w:szCs w:val="20"/>
              </w:rPr>
            </w:pPr>
            <w:bookmarkStart w:id="2166" w:name="_Toc124956447"/>
            <w:r w:rsidRPr="00466BFF">
              <w:rPr>
                <w:rFonts w:cs="Calibri"/>
                <w:sz w:val="20"/>
                <w:szCs w:val="20"/>
              </w:rPr>
              <w:t>ADDH/ONG</w:t>
            </w:r>
            <w:bookmarkEnd w:id="2166"/>
          </w:p>
        </w:tc>
      </w:tr>
      <w:tr w:rsidR="00C21029" w:rsidRPr="007F78CE" w14:paraId="3FA4D4DC" w14:textId="77777777" w:rsidTr="00E5387E">
        <w:trPr>
          <w:trHeight w:val="580"/>
          <w:jc w:val="center"/>
        </w:trPr>
        <w:tc>
          <w:tcPr>
            <w:tcW w:w="1074" w:type="pct"/>
            <w:vMerge/>
            <w:shd w:val="clear" w:color="auto" w:fill="auto"/>
            <w:hideMark/>
          </w:tcPr>
          <w:p w14:paraId="26CE0756" w14:textId="77777777" w:rsidR="00C21029" w:rsidRPr="00B434A6" w:rsidRDefault="00C21029" w:rsidP="00E5387E">
            <w:pPr>
              <w:spacing w:after="0" w:line="240" w:lineRule="auto"/>
              <w:rPr>
                <w:sz w:val="20"/>
                <w:szCs w:val="20"/>
              </w:rPr>
            </w:pPr>
          </w:p>
        </w:tc>
        <w:tc>
          <w:tcPr>
            <w:tcW w:w="1745" w:type="pct"/>
            <w:shd w:val="clear" w:color="auto" w:fill="auto"/>
            <w:noWrap/>
            <w:hideMark/>
          </w:tcPr>
          <w:p w14:paraId="48FC33B3" w14:textId="77777777" w:rsidR="00C21029" w:rsidRPr="00466BFF" w:rsidRDefault="00C21029" w:rsidP="00E5387E">
            <w:pPr>
              <w:spacing w:after="0" w:line="240" w:lineRule="auto"/>
              <w:rPr>
                <w:rFonts w:cs="Calibri"/>
                <w:sz w:val="20"/>
                <w:szCs w:val="20"/>
              </w:rPr>
            </w:pPr>
            <w:bookmarkStart w:id="2167" w:name="_Toc124956448"/>
            <w:r w:rsidRPr="00466BFF">
              <w:rPr>
                <w:rFonts w:cs="Calibri"/>
                <w:sz w:val="20"/>
                <w:szCs w:val="20"/>
              </w:rPr>
              <w:t>Marie Stopes international</w:t>
            </w:r>
            <w:bookmarkEnd w:id="2167"/>
          </w:p>
        </w:tc>
        <w:tc>
          <w:tcPr>
            <w:tcW w:w="678" w:type="pct"/>
            <w:shd w:val="clear" w:color="auto" w:fill="auto"/>
            <w:noWrap/>
            <w:hideMark/>
          </w:tcPr>
          <w:p w14:paraId="0E58427B" w14:textId="77777777" w:rsidR="00C21029" w:rsidRPr="00466BFF" w:rsidRDefault="00C21029" w:rsidP="00E5387E">
            <w:pPr>
              <w:spacing w:after="0" w:line="240" w:lineRule="auto"/>
              <w:rPr>
                <w:rFonts w:cs="Calibri"/>
                <w:sz w:val="20"/>
                <w:szCs w:val="20"/>
              </w:rPr>
            </w:pPr>
            <w:bookmarkStart w:id="2168" w:name="_Toc124956449"/>
            <w:r w:rsidRPr="00466BFF">
              <w:rPr>
                <w:rFonts w:cs="Calibri"/>
                <w:sz w:val="20"/>
                <w:szCs w:val="20"/>
              </w:rPr>
              <w:t>0207550038</w:t>
            </w:r>
            <w:bookmarkEnd w:id="2168"/>
          </w:p>
        </w:tc>
        <w:tc>
          <w:tcPr>
            <w:tcW w:w="1503" w:type="pct"/>
            <w:shd w:val="clear" w:color="auto" w:fill="auto"/>
            <w:hideMark/>
          </w:tcPr>
          <w:p w14:paraId="6AFB2419" w14:textId="77777777" w:rsidR="00C21029" w:rsidRPr="00466BFF" w:rsidRDefault="00C21029" w:rsidP="00E5387E">
            <w:pPr>
              <w:spacing w:after="0" w:line="240" w:lineRule="auto"/>
              <w:rPr>
                <w:rFonts w:cs="Calibri"/>
                <w:sz w:val="20"/>
                <w:szCs w:val="20"/>
              </w:rPr>
            </w:pPr>
            <w:bookmarkStart w:id="2169" w:name="_Toc124956450"/>
            <w:r w:rsidRPr="00466BFF">
              <w:rPr>
                <w:rFonts w:cs="Calibri"/>
                <w:sz w:val="20"/>
                <w:szCs w:val="20"/>
              </w:rPr>
              <w:t>Ampasambazaha Fianarantsoa I</w:t>
            </w:r>
            <w:bookmarkEnd w:id="2169"/>
          </w:p>
        </w:tc>
      </w:tr>
      <w:tr w:rsidR="00C21029" w:rsidRPr="007F78CE" w14:paraId="2FE3F849" w14:textId="77777777" w:rsidTr="00E5387E">
        <w:trPr>
          <w:trHeight w:val="290"/>
          <w:jc w:val="center"/>
        </w:trPr>
        <w:tc>
          <w:tcPr>
            <w:tcW w:w="1074" w:type="pct"/>
            <w:vMerge w:val="restart"/>
            <w:shd w:val="clear" w:color="auto" w:fill="auto"/>
            <w:noWrap/>
            <w:hideMark/>
          </w:tcPr>
          <w:p w14:paraId="3186C67A" w14:textId="77777777" w:rsidR="00C21029" w:rsidRPr="00B434A6" w:rsidRDefault="00C21029" w:rsidP="00E5387E">
            <w:pPr>
              <w:spacing w:after="0" w:line="240" w:lineRule="auto"/>
              <w:rPr>
                <w:sz w:val="20"/>
                <w:szCs w:val="20"/>
              </w:rPr>
            </w:pPr>
            <w:bookmarkStart w:id="2170" w:name="_Toc124956451"/>
            <w:r w:rsidRPr="00B434A6">
              <w:rPr>
                <w:sz w:val="20"/>
                <w:szCs w:val="20"/>
              </w:rPr>
              <w:t>ATSIMO ANDREFANA</w:t>
            </w:r>
            <w:bookmarkEnd w:id="2170"/>
          </w:p>
        </w:tc>
        <w:tc>
          <w:tcPr>
            <w:tcW w:w="3926" w:type="pct"/>
            <w:gridSpan w:val="3"/>
            <w:shd w:val="clear" w:color="auto" w:fill="auto"/>
            <w:noWrap/>
            <w:hideMark/>
          </w:tcPr>
          <w:p w14:paraId="1A7905E6" w14:textId="77777777" w:rsidR="00C21029" w:rsidRPr="00466BFF" w:rsidRDefault="00C21029" w:rsidP="00E5387E">
            <w:pPr>
              <w:spacing w:after="0" w:line="240" w:lineRule="auto"/>
              <w:rPr>
                <w:rFonts w:cs="Calibri"/>
                <w:sz w:val="20"/>
                <w:szCs w:val="20"/>
              </w:rPr>
            </w:pPr>
            <w:bookmarkStart w:id="2171" w:name="_Toc124956452"/>
            <w:r w:rsidRPr="00466BFF">
              <w:rPr>
                <w:rFonts w:cs="Calibri"/>
                <w:sz w:val="20"/>
                <w:szCs w:val="20"/>
              </w:rPr>
              <w:t>ADDH/ONG</w:t>
            </w:r>
            <w:bookmarkEnd w:id="2171"/>
          </w:p>
        </w:tc>
      </w:tr>
      <w:tr w:rsidR="00C21029" w:rsidRPr="007F78CE" w14:paraId="51F91717" w14:textId="77777777" w:rsidTr="00E5387E">
        <w:trPr>
          <w:trHeight w:val="290"/>
          <w:jc w:val="center"/>
        </w:trPr>
        <w:tc>
          <w:tcPr>
            <w:tcW w:w="1074" w:type="pct"/>
            <w:vMerge/>
            <w:shd w:val="clear" w:color="auto" w:fill="auto"/>
            <w:hideMark/>
          </w:tcPr>
          <w:p w14:paraId="57B8D70B" w14:textId="77777777" w:rsidR="00C21029" w:rsidRPr="00B434A6" w:rsidRDefault="00C21029" w:rsidP="00E5387E">
            <w:pPr>
              <w:spacing w:after="0" w:line="240" w:lineRule="auto"/>
              <w:rPr>
                <w:sz w:val="20"/>
                <w:szCs w:val="20"/>
              </w:rPr>
            </w:pPr>
          </w:p>
        </w:tc>
        <w:tc>
          <w:tcPr>
            <w:tcW w:w="1745" w:type="pct"/>
            <w:shd w:val="clear" w:color="auto" w:fill="auto"/>
            <w:noWrap/>
            <w:hideMark/>
          </w:tcPr>
          <w:p w14:paraId="691EA89F" w14:textId="77777777" w:rsidR="00C21029" w:rsidRPr="00466BFF" w:rsidRDefault="00C21029" w:rsidP="00E5387E">
            <w:pPr>
              <w:spacing w:after="0" w:line="240" w:lineRule="auto"/>
              <w:rPr>
                <w:rFonts w:cs="Calibri"/>
                <w:sz w:val="20"/>
                <w:szCs w:val="20"/>
              </w:rPr>
            </w:pPr>
            <w:bookmarkStart w:id="2172" w:name="_Toc124956453"/>
            <w:r w:rsidRPr="00466BFF">
              <w:rPr>
                <w:rFonts w:cs="Calibri"/>
                <w:sz w:val="20"/>
                <w:szCs w:val="20"/>
              </w:rPr>
              <w:t>SALFA</w:t>
            </w:r>
            <w:bookmarkEnd w:id="2172"/>
          </w:p>
        </w:tc>
        <w:tc>
          <w:tcPr>
            <w:tcW w:w="678" w:type="pct"/>
            <w:shd w:val="clear" w:color="auto" w:fill="auto"/>
            <w:noWrap/>
            <w:hideMark/>
          </w:tcPr>
          <w:p w14:paraId="5837BD9E" w14:textId="77777777" w:rsidR="00C21029" w:rsidRPr="00466BFF" w:rsidRDefault="00C21029" w:rsidP="00E5387E">
            <w:pPr>
              <w:spacing w:after="0" w:line="240" w:lineRule="auto"/>
              <w:rPr>
                <w:rFonts w:cs="Calibri"/>
                <w:sz w:val="20"/>
                <w:szCs w:val="20"/>
              </w:rPr>
            </w:pPr>
            <w:bookmarkStart w:id="2173" w:name="_Toc124956454"/>
            <w:r w:rsidRPr="00466BFF">
              <w:rPr>
                <w:rFonts w:cs="Calibri"/>
                <w:sz w:val="20"/>
                <w:szCs w:val="20"/>
              </w:rPr>
              <w:t>0209441656</w:t>
            </w:r>
            <w:bookmarkEnd w:id="2173"/>
          </w:p>
        </w:tc>
        <w:tc>
          <w:tcPr>
            <w:tcW w:w="1503" w:type="pct"/>
            <w:shd w:val="clear" w:color="auto" w:fill="auto"/>
            <w:hideMark/>
          </w:tcPr>
          <w:p w14:paraId="6D7238C7" w14:textId="77777777" w:rsidR="00C21029" w:rsidRPr="00466BFF" w:rsidRDefault="00C21029" w:rsidP="00E5387E">
            <w:pPr>
              <w:spacing w:after="0" w:line="240" w:lineRule="auto"/>
              <w:rPr>
                <w:rFonts w:cs="Calibri"/>
                <w:sz w:val="20"/>
                <w:szCs w:val="20"/>
              </w:rPr>
            </w:pPr>
            <w:bookmarkStart w:id="2174" w:name="_Toc124956455"/>
            <w:r w:rsidRPr="00466BFF">
              <w:rPr>
                <w:rFonts w:cs="Calibri"/>
                <w:sz w:val="20"/>
                <w:szCs w:val="20"/>
              </w:rPr>
              <w:t>Tanambao Toliara I</w:t>
            </w:r>
            <w:bookmarkEnd w:id="2174"/>
          </w:p>
        </w:tc>
      </w:tr>
      <w:tr w:rsidR="00C21029" w:rsidRPr="007F78CE" w14:paraId="1E19DFD0" w14:textId="77777777" w:rsidTr="00E5387E">
        <w:trPr>
          <w:trHeight w:val="580"/>
          <w:jc w:val="center"/>
        </w:trPr>
        <w:tc>
          <w:tcPr>
            <w:tcW w:w="1074" w:type="pct"/>
            <w:vMerge/>
            <w:shd w:val="clear" w:color="auto" w:fill="auto"/>
            <w:hideMark/>
          </w:tcPr>
          <w:p w14:paraId="5BF79D4D" w14:textId="77777777" w:rsidR="00C21029" w:rsidRPr="00B434A6" w:rsidRDefault="00C21029" w:rsidP="00E5387E">
            <w:pPr>
              <w:spacing w:after="0" w:line="240" w:lineRule="auto"/>
              <w:rPr>
                <w:sz w:val="20"/>
                <w:szCs w:val="20"/>
              </w:rPr>
            </w:pPr>
          </w:p>
        </w:tc>
        <w:tc>
          <w:tcPr>
            <w:tcW w:w="1745" w:type="pct"/>
            <w:shd w:val="clear" w:color="auto" w:fill="auto"/>
            <w:noWrap/>
            <w:hideMark/>
          </w:tcPr>
          <w:p w14:paraId="455A8BE8" w14:textId="77777777" w:rsidR="00C21029" w:rsidRPr="00466BFF" w:rsidRDefault="00C21029" w:rsidP="00E5387E">
            <w:pPr>
              <w:spacing w:after="0" w:line="240" w:lineRule="auto"/>
              <w:rPr>
                <w:rFonts w:cs="Calibri"/>
                <w:sz w:val="20"/>
                <w:szCs w:val="20"/>
              </w:rPr>
            </w:pPr>
            <w:bookmarkStart w:id="2175" w:name="_Toc124956456"/>
            <w:r w:rsidRPr="00466BFF">
              <w:rPr>
                <w:rFonts w:cs="Calibri"/>
                <w:sz w:val="20"/>
                <w:szCs w:val="20"/>
              </w:rPr>
              <w:t>Marie Stopes international</w:t>
            </w:r>
            <w:bookmarkEnd w:id="2175"/>
          </w:p>
        </w:tc>
        <w:tc>
          <w:tcPr>
            <w:tcW w:w="678" w:type="pct"/>
            <w:shd w:val="clear" w:color="auto" w:fill="auto"/>
            <w:noWrap/>
            <w:hideMark/>
          </w:tcPr>
          <w:p w14:paraId="3DB62391" w14:textId="77777777" w:rsidR="00C21029" w:rsidRPr="00466BFF" w:rsidRDefault="00C21029" w:rsidP="00E5387E">
            <w:pPr>
              <w:spacing w:after="0" w:line="240" w:lineRule="auto"/>
              <w:rPr>
                <w:rFonts w:cs="Calibri"/>
                <w:sz w:val="20"/>
                <w:szCs w:val="20"/>
              </w:rPr>
            </w:pPr>
            <w:bookmarkStart w:id="2176" w:name="_Toc124956457"/>
            <w:r w:rsidRPr="00466BFF">
              <w:rPr>
                <w:rFonts w:cs="Calibri"/>
                <w:sz w:val="20"/>
                <w:szCs w:val="20"/>
              </w:rPr>
              <w:t>0209441088</w:t>
            </w:r>
            <w:bookmarkEnd w:id="2176"/>
          </w:p>
        </w:tc>
        <w:tc>
          <w:tcPr>
            <w:tcW w:w="1503" w:type="pct"/>
            <w:shd w:val="clear" w:color="auto" w:fill="auto"/>
            <w:hideMark/>
          </w:tcPr>
          <w:p w14:paraId="0F7F34D1" w14:textId="77777777" w:rsidR="00C21029" w:rsidRPr="00466BFF" w:rsidRDefault="00C21029" w:rsidP="00E5387E">
            <w:pPr>
              <w:spacing w:after="0" w:line="240" w:lineRule="auto"/>
              <w:rPr>
                <w:rFonts w:cs="Calibri"/>
                <w:sz w:val="20"/>
                <w:szCs w:val="20"/>
              </w:rPr>
            </w:pPr>
            <w:bookmarkStart w:id="2177" w:name="_Toc124956458"/>
            <w:r w:rsidRPr="00466BFF">
              <w:rPr>
                <w:rFonts w:cs="Calibri"/>
                <w:sz w:val="20"/>
                <w:szCs w:val="20"/>
              </w:rPr>
              <w:t>Villa Ulla Tsimenatse</w:t>
            </w:r>
            <w:r w:rsidR="006D5F22" w:rsidRPr="00466BFF">
              <w:rPr>
                <w:rFonts w:cs="Calibri"/>
                <w:sz w:val="20"/>
                <w:szCs w:val="20"/>
              </w:rPr>
              <w:t xml:space="preserve"> </w:t>
            </w:r>
            <w:r w:rsidRPr="00466BFF">
              <w:rPr>
                <w:rFonts w:cs="Calibri"/>
                <w:sz w:val="20"/>
                <w:szCs w:val="20"/>
              </w:rPr>
              <w:t xml:space="preserve">Toliara </w:t>
            </w:r>
            <w:bookmarkEnd w:id="2177"/>
          </w:p>
        </w:tc>
      </w:tr>
      <w:tr w:rsidR="00C21029" w:rsidRPr="007F78CE" w14:paraId="5AA13956" w14:textId="77777777" w:rsidTr="00E5387E">
        <w:trPr>
          <w:trHeight w:val="580"/>
          <w:jc w:val="center"/>
        </w:trPr>
        <w:tc>
          <w:tcPr>
            <w:tcW w:w="1074" w:type="pct"/>
            <w:vMerge/>
            <w:shd w:val="clear" w:color="auto" w:fill="auto"/>
            <w:hideMark/>
          </w:tcPr>
          <w:p w14:paraId="61ABF6A4" w14:textId="77777777" w:rsidR="00C21029" w:rsidRPr="00B434A6" w:rsidRDefault="00C21029" w:rsidP="00E5387E">
            <w:pPr>
              <w:spacing w:after="0" w:line="240" w:lineRule="auto"/>
              <w:rPr>
                <w:sz w:val="20"/>
                <w:szCs w:val="20"/>
              </w:rPr>
            </w:pPr>
          </w:p>
        </w:tc>
        <w:tc>
          <w:tcPr>
            <w:tcW w:w="1745" w:type="pct"/>
            <w:shd w:val="clear" w:color="auto" w:fill="auto"/>
            <w:noWrap/>
            <w:hideMark/>
          </w:tcPr>
          <w:p w14:paraId="1D21E7BE" w14:textId="77777777" w:rsidR="00C21029" w:rsidRPr="00466BFF" w:rsidRDefault="00C21029" w:rsidP="00E5387E">
            <w:pPr>
              <w:spacing w:after="0" w:line="240" w:lineRule="auto"/>
              <w:rPr>
                <w:rFonts w:cs="Calibri"/>
                <w:sz w:val="20"/>
                <w:szCs w:val="20"/>
              </w:rPr>
            </w:pPr>
            <w:bookmarkStart w:id="2178" w:name="_Toc124956459"/>
            <w:r w:rsidRPr="00466BFF">
              <w:rPr>
                <w:rFonts w:cs="Calibri"/>
                <w:sz w:val="20"/>
                <w:szCs w:val="20"/>
              </w:rPr>
              <w:t>SISAL</w:t>
            </w:r>
            <w:bookmarkEnd w:id="2178"/>
          </w:p>
        </w:tc>
        <w:tc>
          <w:tcPr>
            <w:tcW w:w="678" w:type="pct"/>
            <w:shd w:val="clear" w:color="auto" w:fill="auto"/>
            <w:noWrap/>
            <w:hideMark/>
          </w:tcPr>
          <w:p w14:paraId="38C428A9" w14:textId="77777777" w:rsidR="00C21029" w:rsidRPr="00466BFF" w:rsidRDefault="00C21029" w:rsidP="00E5387E">
            <w:pPr>
              <w:spacing w:after="0" w:line="240" w:lineRule="auto"/>
              <w:rPr>
                <w:rFonts w:cs="Calibri"/>
                <w:sz w:val="20"/>
                <w:szCs w:val="20"/>
              </w:rPr>
            </w:pPr>
            <w:bookmarkStart w:id="2179" w:name="_Toc124956460"/>
            <w:r w:rsidRPr="00466BFF">
              <w:rPr>
                <w:rFonts w:cs="Calibri"/>
                <w:sz w:val="20"/>
                <w:szCs w:val="20"/>
              </w:rPr>
              <w:t>0341722774</w:t>
            </w:r>
            <w:bookmarkEnd w:id="2179"/>
          </w:p>
        </w:tc>
        <w:tc>
          <w:tcPr>
            <w:tcW w:w="1503" w:type="pct"/>
            <w:shd w:val="clear" w:color="auto" w:fill="auto"/>
            <w:hideMark/>
          </w:tcPr>
          <w:p w14:paraId="58589D8E" w14:textId="77777777" w:rsidR="00C21029" w:rsidRPr="00466BFF" w:rsidRDefault="00C21029" w:rsidP="00E5387E">
            <w:pPr>
              <w:spacing w:after="0" w:line="240" w:lineRule="auto"/>
              <w:rPr>
                <w:rFonts w:cs="Calibri"/>
                <w:sz w:val="20"/>
                <w:szCs w:val="20"/>
              </w:rPr>
            </w:pPr>
            <w:bookmarkStart w:id="2180" w:name="_Toc124956461"/>
            <w:r w:rsidRPr="00466BFF">
              <w:rPr>
                <w:rFonts w:cs="Calibri"/>
                <w:sz w:val="20"/>
                <w:szCs w:val="20"/>
              </w:rPr>
              <w:t>Rue Champs de foire Toliara I</w:t>
            </w:r>
            <w:bookmarkEnd w:id="2180"/>
          </w:p>
        </w:tc>
      </w:tr>
      <w:tr w:rsidR="00C21029" w:rsidRPr="007F78CE" w14:paraId="28A19015" w14:textId="77777777" w:rsidTr="00E5387E">
        <w:trPr>
          <w:trHeight w:val="290"/>
          <w:jc w:val="center"/>
        </w:trPr>
        <w:tc>
          <w:tcPr>
            <w:tcW w:w="1074" w:type="pct"/>
            <w:vMerge w:val="restart"/>
            <w:shd w:val="clear" w:color="auto" w:fill="auto"/>
            <w:noWrap/>
            <w:hideMark/>
          </w:tcPr>
          <w:p w14:paraId="76216F88" w14:textId="77777777" w:rsidR="00C21029" w:rsidRPr="00B434A6" w:rsidRDefault="00C21029" w:rsidP="00E5387E">
            <w:pPr>
              <w:spacing w:after="0" w:line="240" w:lineRule="auto"/>
              <w:rPr>
                <w:sz w:val="20"/>
                <w:szCs w:val="20"/>
              </w:rPr>
            </w:pPr>
            <w:bookmarkStart w:id="2181" w:name="_Toc124956462"/>
            <w:r w:rsidRPr="00B434A6">
              <w:rPr>
                <w:sz w:val="20"/>
                <w:szCs w:val="20"/>
              </w:rPr>
              <w:t>ATSINANANA</w:t>
            </w:r>
            <w:bookmarkEnd w:id="2181"/>
          </w:p>
        </w:tc>
        <w:tc>
          <w:tcPr>
            <w:tcW w:w="3926" w:type="pct"/>
            <w:gridSpan w:val="3"/>
            <w:shd w:val="clear" w:color="auto" w:fill="auto"/>
            <w:noWrap/>
            <w:hideMark/>
          </w:tcPr>
          <w:p w14:paraId="7BC0A5B2" w14:textId="77777777" w:rsidR="00C21029" w:rsidRPr="00466BFF" w:rsidRDefault="00C21029" w:rsidP="00E5387E">
            <w:pPr>
              <w:spacing w:after="0" w:line="240" w:lineRule="auto"/>
              <w:rPr>
                <w:rFonts w:cs="Calibri"/>
                <w:sz w:val="20"/>
                <w:szCs w:val="20"/>
              </w:rPr>
            </w:pPr>
            <w:bookmarkStart w:id="2182" w:name="_Toc124956463"/>
            <w:r w:rsidRPr="00466BFF">
              <w:rPr>
                <w:rFonts w:cs="Calibri"/>
                <w:sz w:val="20"/>
                <w:szCs w:val="20"/>
              </w:rPr>
              <w:t>Partenariat Min Santé et ADDH/ONG</w:t>
            </w:r>
            <w:bookmarkEnd w:id="2182"/>
          </w:p>
        </w:tc>
      </w:tr>
      <w:tr w:rsidR="00C21029" w:rsidRPr="00160FB0" w14:paraId="52EEE41C" w14:textId="77777777" w:rsidTr="00E5387E">
        <w:trPr>
          <w:trHeight w:val="580"/>
          <w:jc w:val="center"/>
        </w:trPr>
        <w:tc>
          <w:tcPr>
            <w:tcW w:w="1074" w:type="pct"/>
            <w:vMerge/>
            <w:shd w:val="clear" w:color="auto" w:fill="auto"/>
            <w:hideMark/>
          </w:tcPr>
          <w:p w14:paraId="59213731" w14:textId="77777777" w:rsidR="00C21029" w:rsidRPr="00B434A6" w:rsidRDefault="00C21029" w:rsidP="00E5387E">
            <w:pPr>
              <w:spacing w:after="0" w:line="240" w:lineRule="auto"/>
              <w:rPr>
                <w:sz w:val="20"/>
                <w:szCs w:val="20"/>
              </w:rPr>
            </w:pPr>
          </w:p>
        </w:tc>
        <w:tc>
          <w:tcPr>
            <w:tcW w:w="1745" w:type="pct"/>
            <w:shd w:val="clear" w:color="auto" w:fill="auto"/>
            <w:noWrap/>
            <w:hideMark/>
          </w:tcPr>
          <w:p w14:paraId="6A4F2A2A" w14:textId="77777777" w:rsidR="00C21029" w:rsidRPr="00466BFF" w:rsidRDefault="00C21029" w:rsidP="00E5387E">
            <w:pPr>
              <w:spacing w:after="0" w:line="240" w:lineRule="auto"/>
              <w:rPr>
                <w:rFonts w:cs="Calibri"/>
                <w:sz w:val="20"/>
                <w:szCs w:val="20"/>
              </w:rPr>
            </w:pPr>
            <w:bookmarkStart w:id="2183" w:name="_Toc124956464"/>
            <w:r w:rsidRPr="00466BFF">
              <w:rPr>
                <w:rFonts w:cs="Calibri"/>
                <w:sz w:val="20"/>
                <w:szCs w:val="20"/>
              </w:rPr>
              <w:t>Centre VONJY</w:t>
            </w:r>
            <w:bookmarkEnd w:id="2183"/>
          </w:p>
        </w:tc>
        <w:tc>
          <w:tcPr>
            <w:tcW w:w="678" w:type="pct"/>
            <w:shd w:val="clear" w:color="auto" w:fill="auto"/>
            <w:noWrap/>
            <w:hideMark/>
          </w:tcPr>
          <w:p w14:paraId="7A118584" w14:textId="77777777" w:rsidR="00C21029" w:rsidRPr="00466BFF" w:rsidRDefault="00C21029" w:rsidP="00E5387E">
            <w:pPr>
              <w:spacing w:after="0" w:line="240" w:lineRule="auto"/>
              <w:rPr>
                <w:rFonts w:cs="Calibri"/>
                <w:sz w:val="20"/>
                <w:szCs w:val="20"/>
              </w:rPr>
            </w:pPr>
            <w:bookmarkStart w:id="2184" w:name="_Toc124956465"/>
            <w:r w:rsidRPr="00466BFF">
              <w:rPr>
                <w:rFonts w:cs="Calibri"/>
                <w:sz w:val="20"/>
                <w:szCs w:val="20"/>
              </w:rPr>
              <w:t>0330705958</w:t>
            </w:r>
            <w:bookmarkEnd w:id="2184"/>
          </w:p>
        </w:tc>
        <w:tc>
          <w:tcPr>
            <w:tcW w:w="1503" w:type="pct"/>
            <w:shd w:val="clear" w:color="auto" w:fill="auto"/>
            <w:hideMark/>
          </w:tcPr>
          <w:p w14:paraId="0D3C0740" w14:textId="77777777" w:rsidR="00C21029" w:rsidRPr="00466BFF" w:rsidRDefault="00C21029" w:rsidP="00E5387E">
            <w:pPr>
              <w:spacing w:after="0" w:line="240" w:lineRule="auto"/>
              <w:rPr>
                <w:rFonts w:cs="Calibri"/>
                <w:sz w:val="20"/>
                <w:szCs w:val="20"/>
                <w:lang w:val="en-US"/>
              </w:rPr>
            </w:pPr>
            <w:bookmarkStart w:id="2185" w:name="_Toc124956466"/>
            <w:r w:rsidRPr="00466BFF">
              <w:rPr>
                <w:rFonts w:cs="Calibri"/>
                <w:sz w:val="20"/>
                <w:szCs w:val="20"/>
                <w:lang w:val="en-US"/>
              </w:rPr>
              <w:t>Hopitaly Be Analakininina</w:t>
            </w:r>
            <w:r w:rsidR="006D5F22" w:rsidRPr="00466BFF">
              <w:rPr>
                <w:rFonts w:cs="Calibri"/>
                <w:sz w:val="20"/>
                <w:szCs w:val="20"/>
                <w:lang w:val="en-US"/>
              </w:rPr>
              <w:t xml:space="preserve"> </w:t>
            </w:r>
            <w:r w:rsidRPr="00466BFF">
              <w:rPr>
                <w:rFonts w:cs="Calibri"/>
                <w:sz w:val="20"/>
                <w:szCs w:val="20"/>
                <w:lang w:val="en-US"/>
              </w:rPr>
              <w:t>Toamasina I</w:t>
            </w:r>
            <w:bookmarkEnd w:id="2185"/>
          </w:p>
        </w:tc>
      </w:tr>
    </w:tbl>
    <w:p w14:paraId="31B1F96A" w14:textId="77777777" w:rsidR="00C21029" w:rsidRPr="00B434A6" w:rsidRDefault="00C21029" w:rsidP="00C21029">
      <w:pPr>
        <w:spacing w:after="0"/>
        <w:rPr>
          <w:rFonts w:cs="Cambria"/>
          <w:color w:val="212121"/>
          <w:sz w:val="20"/>
          <w:szCs w:val="20"/>
        </w:rPr>
      </w:pPr>
      <w:r w:rsidRPr="00B434A6">
        <w:rPr>
          <w:rFonts w:cs="Cambria"/>
          <w:sz w:val="20"/>
          <w:szCs w:val="20"/>
        </w:rPr>
        <w:t>Source: Banque mondiale, 2020</w:t>
      </w:r>
    </w:p>
    <w:p w14:paraId="13BA18EC" w14:textId="77777777" w:rsidR="00C21029" w:rsidRDefault="00C21029" w:rsidP="00C21029">
      <w:pPr>
        <w:spacing w:after="0"/>
      </w:pPr>
    </w:p>
    <w:p w14:paraId="655ADF2A" w14:textId="77777777" w:rsidR="00C21029" w:rsidRPr="00050138" w:rsidRDefault="00C21029" w:rsidP="00C21029">
      <w:pPr>
        <w:spacing w:after="0"/>
        <w:rPr>
          <w:b/>
          <w:u w:val="single"/>
        </w:rPr>
      </w:pPr>
      <w:r w:rsidRPr="00050138">
        <w:rPr>
          <w:b/>
          <w:u w:val="single"/>
        </w:rPr>
        <w:t>Centres de prise en charge psychologique</w:t>
      </w:r>
    </w:p>
    <w:p w14:paraId="6A302865" w14:textId="77777777" w:rsidR="00C21029" w:rsidRPr="00050138" w:rsidRDefault="00C21029" w:rsidP="00C21029">
      <w:pPr>
        <w:spacing w:after="0"/>
      </w:pPr>
    </w:p>
    <w:tbl>
      <w:tblP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3849"/>
        <w:gridCol w:w="1230"/>
        <w:gridCol w:w="2062"/>
        <w:gridCol w:w="16"/>
      </w:tblGrid>
      <w:tr w:rsidR="00C21029" w:rsidRPr="007F78CE" w14:paraId="44FA7BC6" w14:textId="77777777" w:rsidTr="00D12C6F">
        <w:trPr>
          <w:trHeight w:val="290"/>
          <w:tblHeader/>
        </w:trPr>
        <w:tc>
          <w:tcPr>
            <w:tcW w:w="1142" w:type="pct"/>
            <w:shd w:val="clear" w:color="auto" w:fill="auto"/>
            <w:noWrap/>
            <w:hideMark/>
          </w:tcPr>
          <w:p w14:paraId="548A983C" w14:textId="77777777" w:rsidR="00C21029" w:rsidRPr="00B434A6" w:rsidRDefault="00C21029" w:rsidP="00E5387E">
            <w:pPr>
              <w:spacing w:after="0" w:line="240" w:lineRule="auto"/>
              <w:jc w:val="center"/>
              <w:rPr>
                <w:rFonts w:cs="Calibri"/>
                <w:sz w:val="20"/>
                <w:szCs w:val="20"/>
              </w:rPr>
            </w:pPr>
            <w:r w:rsidRPr="00B434A6">
              <w:rPr>
                <w:rFonts w:cs="Calibri"/>
                <w:sz w:val="20"/>
                <w:szCs w:val="20"/>
              </w:rPr>
              <w:t>REGION</w:t>
            </w:r>
          </w:p>
        </w:tc>
        <w:tc>
          <w:tcPr>
            <w:tcW w:w="1943" w:type="pct"/>
            <w:shd w:val="clear" w:color="auto" w:fill="auto"/>
            <w:noWrap/>
            <w:hideMark/>
          </w:tcPr>
          <w:p w14:paraId="63FF2510" w14:textId="77777777" w:rsidR="00C21029" w:rsidRPr="00B434A6" w:rsidRDefault="00C21029" w:rsidP="00E5387E">
            <w:pPr>
              <w:autoSpaceDE w:val="0"/>
              <w:autoSpaceDN w:val="0"/>
              <w:adjustRightInd w:val="0"/>
              <w:spacing w:after="0" w:line="240" w:lineRule="auto"/>
              <w:jc w:val="center"/>
              <w:rPr>
                <w:b/>
                <w:sz w:val="20"/>
                <w:szCs w:val="20"/>
              </w:rPr>
            </w:pPr>
            <w:r w:rsidRPr="00B434A6">
              <w:rPr>
                <w:b/>
                <w:sz w:val="20"/>
                <w:szCs w:val="20"/>
              </w:rPr>
              <w:t>CENTRE DE PRISE EN CHARGE</w:t>
            </w:r>
          </w:p>
        </w:tc>
        <w:tc>
          <w:tcPr>
            <w:tcW w:w="607" w:type="pct"/>
            <w:shd w:val="clear" w:color="auto" w:fill="auto"/>
            <w:noWrap/>
            <w:hideMark/>
          </w:tcPr>
          <w:p w14:paraId="4E3DCCE6" w14:textId="77777777" w:rsidR="00C21029" w:rsidRPr="00B434A6" w:rsidRDefault="00C21029" w:rsidP="00E5387E">
            <w:pPr>
              <w:autoSpaceDE w:val="0"/>
              <w:autoSpaceDN w:val="0"/>
              <w:adjustRightInd w:val="0"/>
              <w:spacing w:after="0" w:line="240" w:lineRule="auto"/>
              <w:jc w:val="center"/>
              <w:rPr>
                <w:b/>
                <w:sz w:val="20"/>
                <w:szCs w:val="20"/>
              </w:rPr>
            </w:pPr>
            <w:r w:rsidRPr="00B434A6">
              <w:rPr>
                <w:b/>
                <w:sz w:val="20"/>
                <w:szCs w:val="20"/>
              </w:rPr>
              <w:t>CONTACT</w:t>
            </w:r>
          </w:p>
        </w:tc>
        <w:tc>
          <w:tcPr>
            <w:tcW w:w="1307" w:type="pct"/>
            <w:gridSpan w:val="2"/>
            <w:shd w:val="clear" w:color="auto" w:fill="auto"/>
            <w:hideMark/>
          </w:tcPr>
          <w:p w14:paraId="33EA7796" w14:textId="77777777" w:rsidR="00C21029" w:rsidRPr="00B434A6" w:rsidRDefault="00C21029" w:rsidP="00E5387E">
            <w:pPr>
              <w:autoSpaceDE w:val="0"/>
              <w:autoSpaceDN w:val="0"/>
              <w:adjustRightInd w:val="0"/>
              <w:spacing w:after="0" w:line="240" w:lineRule="auto"/>
              <w:jc w:val="center"/>
              <w:rPr>
                <w:b/>
                <w:sz w:val="20"/>
                <w:szCs w:val="20"/>
              </w:rPr>
            </w:pPr>
            <w:r w:rsidRPr="00B434A6">
              <w:rPr>
                <w:b/>
                <w:sz w:val="20"/>
                <w:szCs w:val="20"/>
              </w:rPr>
              <w:t>LOCALISATION</w:t>
            </w:r>
          </w:p>
        </w:tc>
      </w:tr>
      <w:tr w:rsidR="00C21029" w:rsidRPr="007F78CE" w14:paraId="314DAB57" w14:textId="77777777" w:rsidTr="00D12C6F">
        <w:trPr>
          <w:trHeight w:val="290"/>
        </w:trPr>
        <w:tc>
          <w:tcPr>
            <w:tcW w:w="1142" w:type="pct"/>
            <w:vMerge w:val="restart"/>
            <w:shd w:val="clear" w:color="auto" w:fill="auto"/>
            <w:noWrap/>
            <w:hideMark/>
          </w:tcPr>
          <w:p w14:paraId="586B434E" w14:textId="77777777" w:rsidR="00C21029" w:rsidRPr="00B434A6" w:rsidRDefault="00C21029" w:rsidP="00E5387E">
            <w:pPr>
              <w:spacing w:after="0" w:line="240" w:lineRule="auto"/>
              <w:rPr>
                <w:rFonts w:cs="Calibri"/>
                <w:sz w:val="20"/>
                <w:szCs w:val="20"/>
              </w:rPr>
            </w:pPr>
            <w:r w:rsidRPr="00B434A6">
              <w:rPr>
                <w:rFonts w:cs="Calibri"/>
                <w:sz w:val="20"/>
                <w:szCs w:val="20"/>
              </w:rPr>
              <w:t>ANALAMANGA</w:t>
            </w:r>
          </w:p>
        </w:tc>
        <w:tc>
          <w:tcPr>
            <w:tcW w:w="3858" w:type="pct"/>
            <w:gridSpan w:val="4"/>
            <w:shd w:val="clear" w:color="auto" w:fill="auto"/>
            <w:noWrap/>
            <w:hideMark/>
          </w:tcPr>
          <w:p w14:paraId="2601E227" w14:textId="77777777" w:rsidR="00C21029" w:rsidRPr="00466BFF" w:rsidRDefault="00C21029" w:rsidP="00E5387E">
            <w:pPr>
              <w:spacing w:after="0" w:line="240" w:lineRule="auto"/>
              <w:rPr>
                <w:rFonts w:cs="Calibri"/>
                <w:sz w:val="20"/>
                <w:szCs w:val="20"/>
              </w:rPr>
            </w:pPr>
            <w:bookmarkStart w:id="2186" w:name="_Toc124956467"/>
            <w:r w:rsidRPr="00466BFF">
              <w:rPr>
                <w:rFonts w:cs="Calibri"/>
                <w:sz w:val="20"/>
                <w:szCs w:val="20"/>
              </w:rPr>
              <w:t>Service Public</w:t>
            </w:r>
            <w:bookmarkEnd w:id="2186"/>
          </w:p>
        </w:tc>
      </w:tr>
      <w:tr w:rsidR="00C21029" w:rsidRPr="007F78CE" w14:paraId="016557A7" w14:textId="77777777" w:rsidTr="00D12C6F">
        <w:trPr>
          <w:trHeight w:val="290"/>
        </w:trPr>
        <w:tc>
          <w:tcPr>
            <w:tcW w:w="1142" w:type="pct"/>
            <w:vMerge/>
            <w:shd w:val="clear" w:color="auto" w:fill="auto"/>
            <w:hideMark/>
          </w:tcPr>
          <w:p w14:paraId="0BB2F2CA"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6B18DC1D" w14:textId="77777777" w:rsidR="00C21029" w:rsidRPr="00466BFF" w:rsidRDefault="00C21029" w:rsidP="00E5387E">
            <w:pPr>
              <w:spacing w:after="0" w:line="240" w:lineRule="auto"/>
              <w:rPr>
                <w:rFonts w:cs="Calibri"/>
                <w:sz w:val="20"/>
                <w:szCs w:val="20"/>
              </w:rPr>
            </w:pPr>
            <w:bookmarkStart w:id="2187" w:name="_Toc124956468"/>
            <w:r w:rsidRPr="00466BFF">
              <w:rPr>
                <w:rFonts w:cs="Calibri"/>
                <w:sz w:val="20"/>
                <w:szCs w:val="20"/>
              </w:rPr>
              <w:t>Bureau Municipal d'Hygiène</w:t>
            </w:r>
            <w:bookmarkEnd w:id="2187"/>
          </w:p>
        </w:tc>
        <w:tc>
          <w:tcPr>
            <w:tcW w:w="607" w:type="pct"/>
            <w:shd w:val="clear" w:color="auto" w:fill="auto"/>
            <w:noWrap/>
            <w:hideMark/>
          </w:tcPr>
          <w:p w14:paraId="33C12F3C"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07" w:type="pct"/>
            <w:gridSpan w:val="2"/>
            <w:shd w:val="clear" w:color="auto" w:fill="auto"/>
            <w:hideMark/>
          </w:tcPr>
          <w:p w14:paraId="153DDD74" w14:textId="77777777" w:rsidR="00C21029" w:rsidRPr="00466BFF" w:rsidRDefault="00C21029" w:rsidP="00E5387E">
            <w:pPr>
              <w:spacing w:after="0" w:line="240" w:lineRule="auto"/>
              <w:rPr>
                <w:rFonts w:cs="Calibri"/>
                <w:sz w:val="20"/>
                <w:szCs w:val="20"/>
              </w:rPr>
            </w:pPr>
            <w:bookmarkStart w:id="2188" w:name="_Toc124956469"/>
            <w:r w:rsidRPr="00466BFF">
              <w:rPr>
                <w:rFonts w:cs="Calibri"/>
                <w:sz w:val="20"/>
                <w:szCs w:val="20"/>
              </w:rPr>
              <w:t>Isotry Antananarivo ville</w:t>
            </w:r>
            <w:bookmarkEnd w:id="2188"/>
          </w:p>
        </w:tc>
      </w:tr>
      <w:tr w:rsidR="00C21029" w:rsidRPr="007F78CE" w14:paraId="59283521" w14:textId="77777777" w:rsidTr="00D12C6F">
        <w:trPr>
          <w:trHeight w:val="290"/>
        </w:trPr>
        <w:tc>
          <w:tcPr>
            <w:tcW w:w="1142" w:type="pct"/>
            <w:vMerge/>
            <w:shd w:val="clear" w:color="auto" w:fill="auto"/>
            <w:hideMark/>
          </w:tcPr>
          <w:p w14:paraId="27E05119"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63940519" w14:textId="77777777" w:rsidR="00C21029" w:rsidRPr="00466BFF" w:rsidRDefault="00C21029" w:rsidP="00E5387E">
            <w:pPr>
              <w:spacing w:after="0" w:line="240" w:lineRule="auto"/>
              <w:rPr>
                <w:rFonts w:cs="Calibri"/>
                <w:sz w:val="20"/>
                <w:szCs w:val="20"/>
              </w:rPr>
            </w:pPr>
            <w:bookmarkStart w:id="2189" w:name="_Toc124956470"/>
            <w:r w:rsidRPr="00466BFF">
              <w:rPr>
                <w:rFonts w:cs="Calibri"/>
                <w:sz w:val="20"/>
                <w:szCs w:val="20"/>
              </w:rPr>
              <w:t>Partenariat Min Santé et ADDH/ONG</w:t>
            </w:r>
            <w:bookmarkEnd w:id="2189"/>
          </w:p>
        </w:tc>
        <w:tc>
          <w:tcPr>
            <w:tcW w:w="607" w:type="pct"/>
            <w:shd w:val="clear" w:color="auto" w:fill="auto"/>
          </w:tcPr>
          <w:p w14:paraId="40946D55" w14:textId="77777777" w:rsidR="00C21029" w:rsidRPr="00466BFF" w:rsidRDefault="00C21029" w:rsidP="00E5387E">
            <w:pPr>
              <w:spacing w:after="0" w:line="240" w:lineRule="auto"/>
              <w:rPr>
                <w:rFonts w:cs="Calibri"/>
                <w:sz w:val="20"/>
                <w:szCs w:val="20"/>
              </w:rPr>
            </w:pPr>
          </w:p>
        </w:tc>
        <w:tc>
          <w:tcPr>
            <w:tcW w:w="1307" w:type="pct"/>
            <w:gridSpan w:val="2"/>
            <w:shd w:val="clear" w:color="auto" w:fill="auto"/>
          </w:tcPr>
          <w:p w14:paraId="19331E90" w14:textId="77777777" w:rsidR="00C21029" w:rsidRPr="00466BFF" w:rsidRDefault="00C21029" w:rsidP="00E5387E">
            <w:pPr>
              <w:spacing w:after="0" w:line="240" w:lineRule="auto"/>
              <w:rPr>
                <w:rFonts w:cs="Calibri"/>
                <w:sz w:val="20"/>
                <w:szCs w:val="20"/>
              </w:rPr>
            </w:pPr>
          </w:p>
        </w:tc>
      </w:tr>
      <w:tr w:rsidR="00C21029" w:rsidRPr="007F78CE" w14:paraId="77E6B7E2" w14:textId="77777777" w:rsidTr="00D12C6F">
        <w:trPr>
          <w:trHeight w:val="323"/>
        </w:trPr>
        <w:tc>
          <w:tcPr>
            <w:tcW w:w="1142" w:type="pct"/>
            <w:vMerge/>
            <w:shd w:val="clear" w:color="auto" w:fill="auto"/>
            <w:hideMark/>
          </w:tcPr>
          <w:p w14:paraId="768B2361"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52D92BC2" w14:textId="77777777" w:rsidR="00C21029" w:rsidRPr="00466BFF" w:rsidRDefault="00C21029" w:rsidP="00E5387E">
            <w:pPr>
              <w:spacing w:after="0" w:line="240" w:lineRule="auto"/>
              <w:rPr>
                <w:rFonts w:cs="Calibri"/>
                <w:sz w:val="20"/>
                <w:szCs w:val="20"/>
              </w:rPr>
            </w:pPr>
            <w:bookmarkStart w:id="2190" w:name="_Toc124956471"/>
            <w:r w:rsidRPr="00466BFF">
              <w:rPr>
                <w:rFonts w:cs="Calibri"/>
                <w:sz w:val="20"/>
                <w:szCs w:val="20"/>
              </w:rPr>
              <w:t>CECJ/SOS Victime de Non Droit</w:t>
            </w:r>
            <w:bookmarkEnd w:id="2190"/>
          </w:p>
        </w:tc>
        <w:tc>
          <w:tcPr>
            <w:tcW w:w="607" w:type="pct"/>
            <w:shd w:val="clear" w:color="auto" w:fill="auto"/>
            <w:noWrap/>
            <w:hideMark/>
          </w:tcPr>
          <w:p w14:paraId="7070A47D"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07" w:type="pct"/>
            <w:gridSpan w:val="2"/>
            <w:shd w:val="clear" w:color="auto" w:fill="auto"/>
            <w:hideMark/>
          </w:tcPr>
          <w:p w14:paraId="2C6348A5" w14:textId="77777777" w:rsidR="00C21029" w:rsidRPr="00466BFF" w:rsidRDefault="00C21029" w:rsidP="00E5387E">
            <w:pPr>
              <w:spacing w:after="0" w:line="240" w:lineRule="auto"/>
              <w:rPr>
                <w:rFonts w:cs="Calibri"/>
                <w:sz w:val="20"/>
                <w:szCs w:val="20"/>
              </w:rPr>
            </w:pPr>
            <w:bookmarkStart w:id="2191" w:name="_Toc124956472"/>
            <w:r w:rsidRPr="00466BFF">
              <w:rPr>
                <w:rFonts w:cs="Calibri"/>
                <w:sz w:val="20"/>
                <w:szCs w:val="20"/>
              </w:rPr>
              <w:t>Ankadifotsy Antananarivo ville</w:t>
            </w:r>
            <w:bookmarkEnd w:id="2191"/>
          </w:p>
        </w:tc>
      </w:tr>
      <w:tr w:rsidR="00C21029" w:rsidRPr="007F78CE" w14:paraId="0BA7762D" w14:textId="77777777" w:rsidTr="00D12C6F">
        <w:trPr>
          <w:trHeight w:val="350"/>
        </w:trPr>
        <w:tc>
          <w:tcPr>
            <w:tcW w:w="1142" w:type="pct"/>
            <w:vMerge/>
            <w:shd w:val="clear" w:color="auto" w:fill="auto"/>
            <w:hideMark/>
          </w:tcPr>
          <w:p w14:paraId="6929400D"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6E8B22BD" w14:textId="77777777" w:rsidR="00C21029" w:rsidRPr="00466BFF" w:rsidRDefault="00C21029" w:rsidP="00E5387E">
            <w:pPr>
              <w:spacing w:after="0" w:line="240" w:lineRule="auto"/>
              <w:rPr>
                <w:rFonts w:cs="Calibri"/>
                <w:sz w:val="20"/>
                <w:szCs w:val="20"/>
              </w:rPr>
            </w:pPr>
            <w:bookmarkStart w:id="2192" w:name="_Toc124956473"/>
            <w:r w:rsidRPr="00466BFF">
              <w:rPr>
                <w:rFonts w:cs="Calibri"/>
                <w:sz w:val="20"/>
                <w:szCs w:val="20"/>
              </w:rPr>
              <w:t>CECJ/Vonjy</w:t>
            </w:r>
            <w:r w:rsidR="006D5F22" w:rsidRPr="00466BFF">
              <w:rPr>
                <w:rFonts w:cs="Calibri"/>
                <w:sz w:val="20"/>
                <w:szCs w:val="20"/>
              </w:rPr>
              <w:t xml:space="preserve"> </w:t>
            </w:r>
            <w:r w:rsidRPr="00466BFF">
              <w:rPr>
                <w:rFonts w:cs="Calibri"/>
                <w:sz w:val="20"/>
                <w:szCs w:val="20"/>
              </w:rPr>
              <w:t>Herisetra</w:t>
            </w:r>
            <w:bookmarkEnd w:id="2192"/>
          </w:p>
        </w:tc>
        <w:tc>
          <w:tcPr>
            <w:tcW w:w="607" w:type="pct"/>
            <w:shd w:val="clear" w:color="auto" w:fill="auto"/>
            <w:noWrap/>
            <w:hideMark/>
          </w:tcPr>
          <w:p w14:paraId="6AC09BB4"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07" w:type="pct"/>
            <w:gridSpan w:val="2"/>
            <w:shd w:val="clear" w:color="auto" w:fill="auto"/>
            <w:hideMark/>
          </w:tcPr>
          <w:p w14:paraId="7A2229B8" w14:textId="77777777" w:rsidR="00C21029" w:rsidRPr="00466BFF" w:rsidRDefault="00C21029" w:rsidP="00E5387E">
            <w:pPr>
              <w:spacing w:after="0" w:line="240" w:lineRule="auto"/>
              <w:rPr>
                <w:rFonts w:cs="Calibri"/>
                <w:sz w:val="20"/>
                <w:szCs w:val="20"/>
              </w:rPr>
            </w:pPr>
            <w:bookmarkStart w:id="2193" w:name="_Toc124956474"/>
            <w:r w:rsidRPr="00466BFF">
              <w:rPr>
                <w:rFonts w:cs="Calibri"/>
                <w:sz w:val="20"/>
                <w:szCs w:val="20"/>
              </w:rPr>
              <w:t>Tsimbazaza Antananarivo ville</w:t>
            </w:r>
            <w:bookmarkEnd w:id="2193"/>
          </w:p>
        </w:tc>
      </w:tr>
      <w:tr w:rsidR="00C21029" w:rsidRPr="007F78CE" w14:paraId="42FC0E31" w14:textId="77777777" w:rsidTr="00D12C6F">
        <w:trPr>
          <w:trHeight w:val="580"/>
        </w:trPr>
        <w:tc>
          <w:tcPr>
            <w:tcW w:w="1142" w:type="pct"/>
            <w:vMerge/>
            <w:shd w:val="clear" w:color="auto" w:fill="auto"/>
            <w:hideMark/>
          </w:tcPr>
          <w:p w14:paraId="326D596A"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280C12C6" w14:textId="77777777" w:rsidR="00C21029" w:rsidRPr="00466BFF" w:rsidRDefault="00C21029" w:rsidP="00E5387E">
            <w:pPr>
              <w:spacing w:after="0" w:line="240" w:lineRule="auto"/>
              <w:rPr>
                <w:rFonts w:cs="Calibri"/>
                <w:sz w:val="20"/>
                <w:szCs w:val="20"/>
              </w:rPr>
            </w:pPr>
            <w:bookmarkStart w:id="2194" w:name="_Toc124956475"/>
            <w:r w:rsidRPr="00466BFF">
              <w:rPr>
                <w:rFonts w:cs="Calibri"/>
                <w:sz w:val="20"/>
                <w:szCs w:val="20"/>
              </w:rPr>
              <w:t>CECJ/Mandroso</w:t>
            </w:r>
            <w:bookmarkEnd w:id="2194"/>
          </w:p>
        </w:tc>
        <w:tc>
          <w:tcPr>
            <w:tcW w:w="607" w:type="pct"/>
            <w:shd w:val="clear" w:color="auto" w:fill="auto"/>
            <w:noWrap/>
            <w:hideMark/>
          </w:tcPr>
          <w:p w14:paraId="7238F28B"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07" w:type="pct"/>
            <w:gridSpan w:val="2"/>
            <w:shd w:val="clear" w:color="auto" w:fill="auto"/>
            <w:hideMark/>
          </w:tcPr>
          <w:p w14:paraId="0DBDBCAE" w14:textId="77777777" w:rsidR="00C21029" w:rsidRPr="00466BFF" w:rsidRDefault="00C21029" w:rsidP="00E5387E">
            <w:pPr>
              <w:spacing w:after="0" w:line="240" w:lineRule="auto"/>
              <w:rPr>
                <w:rFonts w:cs="Calibri"/>
                <w:sz w:val="20"/>
                <w:szCs w:val="20"/>
              </w:rPr>
            </w:pPr>
            <w:bookmarkStart w:id="2195" w:name="_Toc124956476"/>
            <w:r w:rsidRPr="00466BFF">
              <w:rPr>
                <w:rFonts w:cs="Calibri"/>
                <w:sz w:val="20"/>
                <w:szCs w:val="20"/>
              </w:rPr>
              <w:t>Bongatsara Antananarivo Atsimondrano</w:t>
            </w:r>
            <w:bookmarkEnd w:id="2195"/>
          </w:p>
        </w:tc>
      </w:tr>
      <w:tr w:rsidR="00C21029" w:rsidRPr="007F78CE" w14:paraId="6A1AD3A1" w14:textId="77777777" w:rsidTr="00D12C6F">
        <w:trPr>
          <w:trHeight w:val="290"/>
        </w:trPr>
        <w:tc>
          <w:tcPr>
            <w:tcW w:w="1142" w:type="pct"/>
            <w:vMerge/>
            <w:shd w:val="clear" w:color="auto" w:fill="auto"/>
            <w:hideMark/>
          </w:tcPr>
          <w:p w14:paraId="5AB9435E"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105A57A0" w14:textId="77777777" w:rsidR="00C21029" w:rsidRPr="00466BFF" w:rsidRDefault="00C21029" w:rsidP="00E5387E">
            <w:pPr>
              <w:spacing w:after="0" w:line="240" w:lineRule="auto"/>
              <w:rPr>
                <w:rFonts w:cs="Calibri"/>
                <w:sz w:val="20"/>
                <w:szCs w:val="20"/>
              </w:rPr>
            </w:pPr>
            <w:bookmarkStart w:id="2196" w:name="_Toc124956477"/>
            <w:r w:rsidRPr="00466BFF">
              <w:rPr>
                <w:rFonts w:cs="Calibri"/>
                <w:sz w:val="20"/>
                <w:szCs w:val="20"/>
              </w:rPr>
              <w:t>CECJ/Avenir</w:t>
            </w:r>
            <w:bookmarkEnd w:id="2196"/>
          </w:p>
        </w:tc>
        <w:tc>
          <w:tcPr>
            <w:tcW w:w="607" w:type="pct"/>
            <w:shd w:val="clear" w:color="auto" w:fill="auto"/>
            <w:noWrap/>
            <w:hideMark/>
          </w:tcPr>
          <w:p w14:paraId="74E04CDE"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07" w:type="pct"/>
            <w:gridSpan w:val="2"/>
            <w:shd w:val="clear" w:color="auto" w:fill="auto"/>
            <w:hideMark/>
          </w:tcPr>
          <w:p w14:paraId="5BF1E63F" w14:textId="77777777" w:rsidR="00C21029" w:rsidRPr="00466BFF" w:rsidRDefault="00C21029" w:rsidP="00E5387E">
            <w:pPr>
              <w:spacing w:after="0" w:line="240" w:lineRule="auto"/>
              <w:rPr>
                <w:rFonts w:cs="Calibri"/>
                <w:sz w:val="20"/>
                <w:szCs w:val="20"/>
              </w:rPr>
            </w:pPr>
            <w:bookmarkStart w:id="2197" w:name="_Toc124956478"/>
            <w:r w:rsidRPr="00466BFF">
              <w:rPr>
                <w:rFonts w:cs="Calibri"/>
                <w:sz w:val="20"/>
                <w:szCs w:val="20"/>
              </w:rPr>
              <w:t>Manjakandriana</w:t>
            </w:r>
            <w:bookmarkEnd w:id="2197"/>
          </w:p>
        </w:tc>
      </w:tr>
      <w:tr w:rsidR="00C21029" w:rsidRPr="007F78CE" w14:paraId="5B0D7972" w14:textId="77777777" w:rsidTr="00D12C6F">
        <w:trPr>
          <w:trHeight w:val="290"/>
        </w:trPr>
        <w:tc>
          <w:tcPr>
            <w:tcW w:w="1142" w:type="pct"/>
            <w:vMerge/>
            <w:shd w:val="clear" w:color="auto" w:fill="auto"/>
            <w:hideMark/>
          </w:tcPr>
          <w:p w14:paraId="2235B20A" w14:textId="77777777" w:rsidR="00C21029" w:rsidRPr="00B434A6" w:rsidRDefault="00C21029" w:rsidP="00E5387E">
            <w:pPr>
              <w:spacing w:after="0" w:line="240" w:lineRule="auto"/>
              <w:rPr>
                <w:rFonts w:cs="Calibri"/>
                <w:sz w:val="20"/>
                <w:szCs w:val="20"/>
              </w:rPr>
            </w:pPr>
          </w:p>
        </w:tc>
        <w:tc>
          <w:tcPr>
            <w:tcW w:w="3858" w:type="pct"/>
            <w:gridSpan w:val="4"/>
            <w:shd w:val="clear" w:color="auto" w:fill="auto"/>
            <w:noWrap/>
            <w:hideMark/>
          </w:tcPr>
          <w:p w14:paraId="00FBE85A" w14:textId="77777777" w:rsidR="00C21029" w:rsidRPr="00466BFF" w:rsidRDefault="00C21029" w:rsidP="00E5387E">
            <w:pPr>
              <w:spacing w:after="0" w:line="240" w:lineRule="auto"/>
              <w:rPr>
                <w:rFonts w:cs="Calibri"/>
                <w:sz w:val="20"/>
                <w:szCs w:val="20"/>
              </w:rPr>
            </w:pPr>
            <w:bookmarkStart w:id="2198" w:name="_Toc124956479"/>
            <w:r w:rsidRPr="00466BFF">
              <w:rPr>
                <w:rFonts w:cs="Calibri"/>
                <w:sz w:val="20"/>
                <w:szCs w:val="20"/>
              </w:rPr>
              <w:t>ADDH/ONG</w:t>
            </w:r>
            <w:bookmarkEnd w:id="2198"/>
          </w:p>
        </w:tc>
      </w:tr>
      <w:tr w:rsidR="00C21029" w:rsidRPr="007F78CE" w14:paraId="2E62E640" w14:textId="77777777" w:rsidTr="00D12C6F">
        <w:trPr>
          <w:trHeight w:val="580"/>
        </w:trPr>
        <w:tc>
          <w:tcPr>
            <w:tcW w:w="1142" w:type="pct"/>
            <w:vMerge/>
            <w:shd w:val="clear" w:color="auto" w:fill="auto"/>
            <w:hideMark/>
          </w:tcPr>
          <w:p w14:paraId="2EF8DF76"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1CA17707" w14:textId="77777777" w:rsidR="00C21029" w:rsidRPr="00466BFF" w:rsidRDefault="00C21029" w:rsidP="00E5387E">
            <w:pPr>
              <w:spacing w:after="0" w:line="240" w:lineRule="auto"/>
              <w:rPr>
                <w:rFonts w:cs="Calibri"/>
                <w:sz w:val="20"/>
                <w:szCs w:val="20"/>
              </w:rPr>
            </w:pPr>
            <w:bookmarkStart w:id="2199" w:name="_Toc124956480"/>
            <w:r w:rsidRPr="00466BFF">
              <w:rPr>
                <w:rFonts w:cs="Calibri"/>
                <w:sz w:val="20"/>
                <w:szCs w:val="20"/>
              </w:rPr>
              <w:t>ACAT Madagascar</w:t>
            </w:r>
            <w:bookmarkEnd w:id="2199"/>
          </w:p>
        </w:tc>
        <w:tc>
          <w:tcPr>
            <w:tcW w:w="607" w:type="pct"/>
            <w:shd w:val="clear" w:color="auto" w:fill="auto"/>
            <w:noWrap/>
            <w:hideMark/>
          </w:tcPr>
          <w:p w14:paraId="7960141E" w14:textId="77777777" w:rsidR="00C21029" w:rsidRPr="00466BFF" w:rsidRDefault="00C21029" w:rsidP="00E5387E">
            <w:pPr>
              <w:spacing w:after="0" w:line="240" w:lineRule="auto"/>
              <w:rPr>
                <w:rFonts w:cs="Calibri"/>
                <w:sz w:val="20"/>
                <w:szCs w:val="20"/>
              </w:rPr>
            </w:pPr>
            <w:bookmarkStart w:id="2200" w:name="_Toc124956481"/>
            <w:r w:rsidRPr="00466BFF">
              <w:rPr>
                <w:rFonts w:cs="Calibri"/>
                <w:sz w:val="20"/>
                <w:szCs w:val="20"/>
              </w:rPr>
              <w:t>0332835053</w:t>
            </w:r>
            <w:bookmarkEnd w:id="2200"/>
          </w:p>
        </w:tc>
        <w:tc>
          <w:tcPr>
            <w:tcW w:w="1307" w:type="pct"/>
            <w:gridSpan w:val="2"/>
            <w:shd w:val="clear" w:color="auto" w:fill="auto"/>
            <w:hideMark/>
          </w:tcPr>
          <w:p w14:paraId="75F0B529" w14:textId="77777777" w:rsidR="00C21029" w:rsidRPr="00466BFF" w:rsidRDefault="00C21029" w:rsidP="00E5387E">
            <w:pPr>
              <w:spacing w:after="0" w:line="240" w:lineRule="auto"/>
              <w:rPr>
                <w:rFonts w:cs="Calibri"/>
                <w:sz w:val="20"/>
                <w:szCs w:val="20"/>
              </w:rPr>
            </w:pPr>
            <w:bookmarkStart w:id="2201" w:name="_Toc124956482"/>
            <w:r w:rsidRPr="00466BFF">
              <w:rPr>
                <w:rFonts w:cs="Calibri"/>
                <w:sz w:val="20"/>
                <w:szCs w:val="20"/>
              </w:rPr>
              <w:t>Ampefiloha Antananarivo ville</w:t>
            </w:r>
            <w:bookmarkEnd w:id="2201"/>
          </w:p>
        </w:tc>
      </w:tr>
      <w:tr w:rsidR="00C21029" w:rsidRPr="007F78CE" w14:paraId="4550B355" w14:textId="77777777" w:rsidTr="00D12C6F">
        <w:trPr>
          <w:trHeight w:val="580"/>
        </w:trPr>
        <w:tc>
          <w:tcPr>
            <w:tcW w:w="1142" w:type="pct"/>
            <w:vMerge/>
            <w:shd w:val="clear" w:color="auto" w:fill="auto"/>
            <w:hideMark/>
          </w:tcPr>
          <w:p w14:paraId="2327DE92"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4B925F28" w14:textId="77777777" w:rsidR="00C21029" w:rsidRPr="00466BFF" w:rsidRDefault="00C21029" w:rsidP="00E5387E">
            <w:pPr>
              <w:spacing w:after="0" w:line="240" w:lineRule="auto"/>
              <w:rPr>
                <w:rFonts w:cs="Calibri"/>
                <w:sz w:val="20"/>
                <w:szCs w:val="20"/>
              </w:rPr>
            </w:pPr>
            <w:bookmarkStart w:id="2202" w:name="_Toc124956483"/>
            <w:r w:rsidRPr="00466BFF">
              <w:rPr>
                <w:rFonts w:cs="Calibri"/>
                <w:sz w:val="20"/>
                <w:szCs w:val="20"/>
              </w:rPr>
              <w:t>AEA</w:t>
            </w:r>
            <w:bookmarkEnd w:id="2202"/>
          </w:p>
        </w:tc>
        <w:tc>
          <w:tcPr>
            <w:tcW w:w="607" w:type="pct"/>
            <w:shd w:val="clear" w:color="auto" w:fill="auto"/>
            <w:noWrap/>
            <w:hideMark/>
          </w:tcPr>
          <w:p w14:paraId="49594C62" w14:textId="77777777" w:rsidR="00C21029" w:rsidRPr="00466BFF" w:rsidRDefault="00C21029" w:rsidP="00E5387E">
            <w:pPr>
              <w:spacing w:after="0" w:line="240" w:lineRule="auto"/>
              <w:rPr>
                <w:rFonts w:cs="Calibri"/>
                <w:sz w:val="20"/>
                <w:szCs w:val="20"/>
              </w:rPr>
            </w:pPr>
            <w:bookmarkStart w:id="2203" w:name="_Toc124956484"/>
            <w:r w:rsidRPr="00466BFF">
              <w:rPr>
                <w:rFonts w:cs="Calibri"/>
                <w:sz w:val="20"/>
                <w:szCs w:val="20"/>
              </w:rPr>
              <w:t>0338268031</w:t>
            </w:r>
            <w:bookmarkEnd w:id="2203"/>
          </w:p>
        </w:tc>
        <w:tc>
          <w:tcPr>
            <w:tcW w:w="1307" w:type="pct"/>
            <w:gridSpan w:val="2"/>
            <w:shd w:val="clear" w:color="auto" w:fill="auto"/>
            <w:hideMark/>
          </w:tcPr>
          <w:p w14:paraId="01D4370E" w14:textId="77777777" w:rsidR="00C21029" w:rsidRPr="00466BFF" w:rsidRDefault="00C21029" w:rsidP="00E5387E">
            <w:pPr>
              <w:spacing w:after="0" w:line="240" w:lineRule="auto"/>
              <w:rPr>
                <w:rFonts w:cs="Calibri"/>
                <w:sz w:val="20"/>
                <w:szCs w:val="20"/>
              </w:rPr>
            </w:pPr>
            <w:bookmarkStart w:id="2204" w:name="_Toc124956485"/>
            <w:r w:rsidRPr="00466BFF">
              <w:rPr>
                <w:rFonts w:cs="Calibri"/>
                <w:sz w:val="20"/>
                <w:szCs w:val="20"/>
              </w:rPr>
              <w:t>IVK 35 Ter Ampasamadinika Antananarivo ville</w:t>
            </w:r>
            <w:bookmarkEnd w:id="2204"/>
          </w:p>
        </w:tc>
      </w:tr>
      <w:tr w:rsidR="00C21029" w:rsidRPr="007F78CE" w14:paraId="283C12D4" w14:textId="77777777" w:rsidTr="00D12C6F">
        <w:trPr>
          <w:trHeight w:val="548"/>
        </w:trPr>
        <w:tc>
          <w:tcPr>
            <w:tcW w:w="1142" w:type="pct"/>
            <w:vMerge/>
            <w:shd w:val="clear" w:color="auto" w:fill="auto"/>
            <w:hideMark/>
          </w:tcPr>
          <w:p w14:paraId="43FC93E8"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4BC2F576" w14:textId="77777777" w:rsidR="00C21029" w:rsidRPr="00466BFF" w:rsidRDefault="00C21029" w:rsidP="00E5387E">
            <w:pPr>
              <w:spacing w:after="0" w:line="240" w:lineRule="auto"/>
              <w:rPr>
                <w:rFonts w:cs="Calibri"/>
                <w:sz w:val="20"/>
                <w:szCs w:val="20"/>
              </w:rPr>
            </w:pPr>
            <w:bookmarkStart w:id="2205" w:name="_Toc124956486"/>
            <w:r w:rsidRPr="00466BFF">
              <w:rPr>
                <w:rFonts w:cs="Calibri"/>
                <w:sz w:val="20"/>
                <w:szCs w:val="20"/>
              </w:rPr>
              <w:t>ASA</w:t>
            </w:r>
            <w:bookmarkEnd w:id="2205"/>
          </w:p>
        </w:tc>
        <w:tc>
          <w:tcPr>
            <w:tcW w:w="607" w:type="pct"/>
            <w:shd w:val="clear" w:color="auto" w:fill="auto"/>
            <w:noWrap/>
            <w:hideMark/>
          </w:tcPr>
          <w:p w14:paraId="114F82F7" w14:textId="77777777" w:rsidR="00C21029" w:rsidRPr="00466BFF" w:rsidRDefault="00C21029" w:rsidP="00E5387E">
            <w:pPr>
              <w:spacing w:after="0" w:line="240" w:lineRule="auto"/>
              <w:rPr>
                <w:rFonts w:cs="Calibri"/>
                <w:sz w:val="20"/>
                <w:szCs w:val="20"/>
              </w:rPr>
            </w:pPr>
            <w:bookmarkStart w:id="2206" w:name="_Toc124956487"/>
            <w:r w:rsidRPr="00466BFF">
              <w:rPr>
                <w:rFonts w:cs="Calibri"/>
                <w:sz w:val="20"/>
                <w:szCs w:val="20"/>
              </w:rPr>
              <w:t>0202240346</w:t>
            </w:r>
            <w:bookmarkEnd w:id="2206"/>
          </w:p>
        </w:tc>
        <w:tc>
          <w:tcPr>
            <w:tcW w:w="1307" w:type="pct"/>
            <w:gridSpan w:val="2"/>
            <w:shd w:val="clear" w:color="auto" w:fill="auto"/>
            <w:hideMark/>
          </w:tcPr>
          <w:p w14:paraId="32600211" w14:textId="77777777" w:rsidR="00C21029" w:rsidRPr="00466BFF" w:rsidRDefault="00C21029" w:rsidP="00E5387E">
            <w:pPr>
              <w:spacing w:after="0" w:line="240" w:lineRule="auto"/>
              <w:rPr>
                <w:rFonts w:cs="Calibri"/>
                <w:sz w:val="20"/>
                <w:szCs w:val="20"/>
              </w:rPr>
            </w:pPr>
            <w:bookmarkStart w:id="2207" w:name="_Toc124956488"/>
            <w:r w:rsidRPr="00466BFF">
              <w:rPr>
                <w:rFonts w:cs="Calibri"/>
                <w:sz w:val="20"/>
                <w:szCs w:val="20"/>
              </w:rPr>
              <w:t>Rue VVS Carrefour Andrainarivo Antananarivo ville</w:t>
            </w:r>
            <w:bookmarkEnd w:id="2207"/>
          </w:p>
        </w:tc>
      </w:tr>
      <w:tr w:rsidR="00C21029" w:rsidRPr="007F78CE" w14:paraId="44F2892D" w14:textId="77777777" w:rsidTr="00D12C6F">
        <w:trPr>
          <w:trHeight w:val="580"/>
        </w:trPr>
        <w:tc>
          <w:tcPr>
            <w:tcW w:w="1142" w:type="pct"/>
            <w:vMerge/>
            <w:shd w:val="clear" w:color="auto" w:fill="auto"/>
            <w:hideMark/>
          </w:tcPr>
          <w:p w14:paraId="23AB21E3"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773FD741" w14:textId="77777777" w:rsidR="00C21029" w:rsidRPr="00466BFF" w:rsidRDefault="00C21029" w:rsidP="00E5387E">
            <w:pPr>
              <w:spacing w:after="0" w:line="240" w:lineRule="auto"/>
              <w:rPr>
                <w:rFonts w:cs="Calibri"/>
                <w:sz w:val="20"/>
                <w:szCs w:val="20"/>
              </w:rPr>
            </w:pPr>
            <w:bookmarkStart w:id="2208" w:name="_Toc124956489"/>
            <w:r w:rsidRPr="00466BFF">
              <w:rPr>
                <w:rFonts w:cs="Calibri"/>
                <w:sz w:val="20"/>
                <w:szCs w:val="20"/>
              </w:rPr>
              <w:t>Life Giving Water</w:t>
            </w:r>
            <w:bookmarkEnd w:id="2208"/>
          </w:p>
        </w:tc>
        <w:tc>
          <w:tcPr>
            <w:tcW w:w="607" w:type="pct"/>
            <w:shd w:val="clear" w:color="auto" w:fill="auto"/>
            <w:noWrap/>
            <w:hideMark/>
          </w:tcPr>
          <w:p w14:paraId="6731D7FD" w14:textId="77777777" w:rsidR="00C21029" w:rsidRPr="00466BFF" w:rsidRDefault="00C21029" w:rsidP="00E5387E">
            <w:pPr>
              <w:spacing w:after="0" w:line="240" w:lineRule="auto"/>
              <w:rPr>
                <w:rFonts w:cs="Calibri"/>
                <w:sz w:val="20"/>
                <w:szCs w:val="20"/>
              </w:rPr>
            </w:pPr>
            <w:bookmarkStart w:id="2209" w:name="_Toc124956490"/>
            <w:r w:rsidRPr="00466BFF">
              <w:rPr>
                <w:rFonts w:cs="Calibri"/>
                <w:sz w:val="20"/>
                <w:szCs w:val="20"/>
              </w:rPr>
              <w:t>0202436976</w:t>
            </w:r>
            <w:bookmarkEnd w:id="2209"/>
          </w:p>
        </w:tc>
        <w:tc>
          <w:tcPr>
            <w:tcW w:w="1307" w:type="pct"/>
            <w:gridSpan w:val="2"/>
            <w:shd w:val="clear" w:color="auto" w:fill="auto"/>
            <w:hideMark/>
          </w:tcPr>
          <w:p w14:paraId="7E37FD04" w14:textId="77777777" w:rsidR="00C21029" w:rsidRPr="00466BFF" w:rsidRDefault="00C21029" w:rsidP="00E5387E">
            <w:pPr>
              <w:spacing w:after="0" w:line="240" w:lineRule="auto"/>
              <w:rPr>
                <w:rFonts w:cs="Calibri"/>
                <w:sz w:val="20"/>
                <w:szCs w:val="20"/>
              </w:rPr>
            </w:pPr>
            <w:bookmarkStart w:id="2210" w:name="_Toc124956491"/>
            <w:r w:rsidRPr="00466BFF">
              <w:rPr>
                <w:rFonts w:cs="Calibri"/>
                <w:sz w:val="20"/>
                <w:szCs w:val="20"/>
              </w:rPr>
              <w:t>IVH 51 A Ambodimita Antananarivo ville</w:t>
            </w:r>
            <w:bookmarkEnd w:id="2210"/>
          </w:p>
        </w:tc>
      </w:tr>
      <w:tr w:rsidR="00C21029" w:rsidRPr="007F78CE" w14:paraId="6804B622" w14:textId="77777777" w:rsidTr="00D12C6F">
        <w:trPr>
          <w:trHeight w:val="580"/>
        </w:trPr>
        <w:tc>
          <w:tcPr>
            <w:tcW w:w="1142" w:type="pct"/>
            <w:vMerge/>
            <w:shd w:val="clear" w:color="auto" w:fill="auto"/>
            <w:hideMark/>
          </w:tcPr>
          <w:p w14:paraId="27854D9A"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3FFEE702" w14:textId="77777777" w:rsidR="00C21029" w:rsidRPr="00466BFF" w:rsidRDefault="00C21029" w:rsidP="00E5387E">
            <w:pPr>
              <w:spacing w:after="0" w:line="240" w:lineRule="auto"/>
              <w:rPr>
                <w:rFonts w:cs="Calibri"/>
                <w:sz w:val="20"/>
                <w:szCs w:val="20"/>
              </w:rPr>
            </w:pPr>
            <w:bookmarkStart w:id="2211" w:name="_Toc124956492"/>
            <w:r w:rsidRPr="00466BFF">
              <w:rPr>
                <w:rFonts w:cs="Calibri"/>
                <w:sz w:val="20"/>
                <w:szCs w:val="20"/>
              </w:rPr>
              <w:t>Grandir Dignement</w:t>
            </w:r>
            <w:bookmarkEnd w:id="2211"/>
          </w:p>
        </w:tc>
        <w:tc>
          <w:tcPr>
            <w:tcW w:w="607" w:type="pct"/>
            <w:shd w:val="clear" w:color="auto" w:fill="auto"/>
            <w:noWrap/>
            <w:hideMark/>
          </w:tcPr>
          <w:p w14:paraId="30F11E4E" w14:textId="77777777" w:rsidR="00C21029" w:rsidRPr="00466BFF" w:rsidRDefault="00C21029" w:rsidP="00E5387E">
            <w:pPr>
              <w:spacing w:after="0" w:line="240" w:lineRule="auto"/>
              <w:rPr>
                <w:rFonts w:cs="Calibri"/>
                <w:sz w:val="20"/>
                <w:szCs w:val="20"/>
              </w:rPr>
            </w:pPr>
            <w:bookmarkStart w:id="2212" w:name="_Toc124956493"/>
            <w:r w:rsidRPr="00466BFF">
              <w:rPr>
                <w:rFonts w:cs="Calibri"/>
                <w:sz w:val="20"/>
                <w:szCs w:val="20"/>
              </w:rPr>
              <w:t>0349899197</w:t>
            </w:r>
            <w:bookmarkEnd w:id="2212"/>
          </w:p>
        </w:tc>
        <w:tc>
          <w:tcPr>
            <w:tcW w:w="1307" w:type="pct"/>
            <w:gridSpan w:val="2"/>
            <w:shd w:val="clear" w:color="auto" w:fill="auto"/>
            <w:hideMark/>
          </w:tcPr>
          <w:p w14:paraId="2D24635D" w14:textId="77777777" w:rsidR="00C21029" w:rsidRPr="00466BFF" w:rsidRDefault="00C21029" w:rsidP="00E5387E">
            <w:pPr>
              <w:spacing w:after="0" w:line="240" w:lineRule="auto"/>
              <w:rPr>
                <w:rFonts w:cs="Calibri"/>
                <w:sz w:val="20"/>
                <w:szCs w:val="20"/>
              </w:rPr>
            </w:pPr>
            <w:bookmarkStart w:id="2213" w:name="_Toc124956494"/>
            <w:r w:rsidRPr="00466BFF">
              <w:rPr>
                <w:rFonts w:cs="Calibri"/>
                <w:sz w:val="20"/>
                <w:szCs w:val="20"/>
              </w:rPr>
              <w:t>IVA 4 Ampandrana Antananarivo ville</w:t>
            </w:r>
            <w:bookmarkEnd w:id="2213"/>
          </w:p>
        </w:tc>
      </w:tr>
      <w:tr w:rsidR="00C21029" w:rsidRPr="007F78CE" w14:paraId="1C0B323B" w14:textId="77777777" w:rsidTr="00D12C6F">
        <w:trPr>
          <w:trHeight w:val="580"/>
        </w:trPr>
        <w:tc>
          <w:tcPr>
            <w:tcW w:w="1142" w:type="pct"/>
            <w:vMerge/>
            <w:shd w:val="clear" w:color="auto" w:fill="auto"/>
            <w:hideMark/>
          </w:tcPr>
          <w:p w14:paraId="17CC1DE8"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0CA401CF" w14:textId="77777777" w:rsidR="00C21029" w:rsidRPr="00466BFF" w:rsidRDefault="00C21029" w:rsidP="00E5387E">
            <w:pPr>
              <w:spacing w:after="0" w:line="240" w:lineRule="auto"/>
              <w:rPr>
                <w:rFonts w:cs="Calibri"/>
                <w:sz w:val="20"/>
                <w:szCs w:val="20"/>
              </w:rPr>
            </w:pPr>
            <w:bookmarkStart w:id="2214" w:name="_Toc124956495"/>
            <w:r w:rsidRPr="00466BFF">
              <w:rPr>
                <w:rFonts w:cs="Calibri"/>
                <w:sz w:val="20"/>
                <w:szCs w:val="20"/>
              </w:rPr>
              <w:t>Ezaka MSM</w:t>
            </w:r>
            <w:bookmarkEnd w:id="2214"/>
          </w:p>
        </w:tc>
        <w:tc>
          <w:tcPr>
            <w:tcW w:w="607" w:type="pct"/>
            <w:shd w:val="clear" w:color="auto" w:fill="auto"/>
            <w:noWrap/>
            <w:hideMark/>
          </w:tcPr>
          <w:p w14:paraId="0AE62257" w14:textId="77777777" w:rsidR="00C21029" w:rsidRPr="00466BFF" w:rsidRDefault="00C21029" w:rsidP="00E5387E">
            <w:pPr>
              <w:spacing w:after="0" w:line="240" w:lineRule="auto"/>
              <w:rPr>
                <w:rFonts w:cs="Calibri"/>
                <w:sz w:val="20"/>
                <w:szCs w:val="20"/>
              </w:rPr>
            </w:pPr>
            <w:bookmarkStart w:id="2215" w:name="_Toc124956496"/>
            <w:r w:rsidRPr="00466BFF">
              <w:rPr>
                <w:rFonts w:cs="Calibri"/>
                <w:sz w:val="20"/>
                <w:szCs w:val="20"/>
              </w:rPr>
              <w:t>0320486902</w:t>
            </w:r>
            <w:bookmarkEnd w:id="2215"/>
          </w:p>
        </w:tc>
        <w:tc>
          <w:tcPr>
            <w:tcW w:w="1307" w:type="pct"/>
            <w:gridSpan w:val="2"/>
            <w:shd w:val="clear" w:color="auto" w:fill="auto"/>
            <w:hideMark/>
          </w:tcPr>
          <w:p w14:paraId="39C029AA" w14:textId="77777777" w:rsidR="00C21029" w:rsidRPr="00466BFF" w:rsidRDefault="00C21029" w:rsidP="00E5387E">
            <w:pPr>
              <w:spacing w:after="0" w:line="240" w:lineRule="auto"/>
              <w:rPr>
                <w:rFonts w:cs="Calibri"/>
                <w:sz w:val="20"/>
                <w:szCs w:val="20"/>
              </w:rPr>
            </w:pPr>
            <w:bookmarkStart w:id="2216" w:name="_Toc124956497"/>
            <w:r w:rsidRPr="00466BFF">
              <w:rPr>
                <w:rFonts w:cs="Calibri"/>
                <w:sz w:val="20"/>
                <w:szCs w:val="20"/>
              </w:rPr>
              <w:t>VN21G Mahazoarivo Antananarivo ville</w:t>
            </w:r>
            <w:bookmarkEnd w:id="2216"/>
          </w:p>
        </w:tc>
      </w:tr>
      <w:tr w:rsidR="00C21029" w:rsidRPr="007F78CE" w14:paraId="58597F9A" w14:textId="77777777" w:rsidTr="00D12C6F">
        <w:trPr>
          <w:trHeight w:val="290"/>
        </w:trPr>
        <w:tc>
          <w:tcPr>
            <w:tcW w:w="1142" w:type="pct"/>
            <w:vMerge/>
            <w:shd w:val="clear" w:color="auto" w:fill="auto"/>
            <w:hideMark/>
          </w:tcPr>
          <w:p w14:paraId="7492C23E"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3D32C94C" w14:textId="77777777" w:rsidR="00C21029" w:rsidRPr="00466BFF" w:rsidRDefault="00C21029" w:rsidP="00E5387E">
            <w:pPr>
              <w:spacing w:after="0" w:line="240" w:lineRule="auto"/>
              <w:rPr>
                <w:rFonts w:cs="Calibri"/>
                <w:sz w:val="20"/>
                <w:szCs w:val="20"/>
              </w:rPr>
            </w:pPr>
            <w:bookmarkStart w:id="2217" w:name="_Toc124956498"/>
            <w:r w:rsidRPr="00466BFF">
              <w:rPr>
                <w:rFonts w:cs="Calibri"/>
                <w:sz w:val="20"/>
                <w:szCs w:val="20"/>
              </w:rPr>
              <w:t>Ecpat France Madagascar</w:t>
            </w:r>
            <w:bookmarkEnd w:id="2217"/>
          </w:p>
        </w:tc>
        <w:tc>
          <w:tcPr>
            <w:tcW w:w="607" w:type="pct"/>
            <w:shd w:val="clear" w:color="auto" w:fill="auto"/>
            <w:noWrap/>
            <w:hideMark/>
          </w:tcPr>
          <w:p w14:paraId="60613D5A" w14:textId="77777777" w:rsidR="00C21029" w:rsidRPr="00466BFF" w:rsidRDefault="00C21029" w:rsidP="00E5387E">
            <w:pPr>
              <w:spacing w:after="0" w:line="240" w:lineRule="auto"/>
              <w:rPr>
                <w:rFonts w:cs="Calibri"/>
                <w:sz w:val="20"/>
                <w:szCs w:val="20"/>
              </w:rPr>
            </w:pPr>
            <w:bookmarkStart w:id="2218" w:name="_Toc124956499"/>
            <w:r w:rsidRPr="00466BFF">
              <w:rPr>
                <w:rFonts w:cs="Calibri"/>
                <w:sz w:val="20"/>
                <w:szCs w:val="20"/>
              </w:rPr>
              <w:t>0346295313</w:t>
            </w:r>
            <w:bookmarkEnd w:id="2218"/>
          </w:p>
        </w:tc>
        <w:tc>
          <w:tcPr>
            <w:tcW w:w="1307" w:type="pct"/>
            <w:gridSpan w:val="2"/>
            <w:shd w:val="clear" w:color="auto" w:fill="auto"/>
            <w:hideMark/>
          </w:tcPr>
          <w:p w14:paraId="0D7B903F" w14:textId="77777777" w:rsidR="00C21029" w:rsidRPr="00466BFF" w:rsidRDefault="00C21029" w:rsidP="00E5387E">
            <w:pPr>
              <w:spacing w:after="0" w:line="240" w:lineRule="auto"/>
              <w:rPr>
                <w:rFonts w:cs="Calibri"/>
                <w:sz w:val="20"/>
                <w:szCs w:val="20"/>
              </w:rPr>
            </w:pPr>
            <w:bookmarkStart w:id="2219" w:name="_Toc124956500"/>
            <w:r w:rsidRPr="00466BFF">
              <w:rPr>
                <w:rFonts w:cs="Calibri"/>
                <w:sz w:val="20"/>
                <w:szCs w:val="20"/>
              </w:rPr>
              <w:t>Ambaranjana</w:t>
            </w:r>
            <w:bookmarkEnd w:id="2219"/>
          </w:p>
        </w:tc>
      </w:tr>
      <w:tr w:rsidR="00C21029" w:rsidRPr="007F78CE" w14:paraId="680B78D4" w14:textId="77777777" w:rsidTr="00D12C6F">
        <w:trPr>
          <w:trHeight w:val="548"/>
        </w:trPr>
        <w:tc>
          <w:tcPr>
            <w:tcW w:w="1142" w:type="pct"/>
            <w:vMerge/>
            <w:shd w:val="clear" w:color="auto" w:fill="auto"/>
            <w:hideMark/>
          </w:tcPr>
          <w:p w14:paraId="7C81120E"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7E9E9E7D" w14:textId="77777777" w:rsidR="00C21029" w:rsidRPr="00466BFF" w:rsidRDefault="00C21029" w:rsidP="00E5387E">
            <w:pPr>
              <w:spacing w:after="0" w:line="240" w:lineRule="auto"/>
              <w:rPr>
                <w:rFonts w:cs="Calibri"/>
                <w:sz w:val="20"/>
                <w:szCs w:val="20"/>
              </w:rPr>
            </w:pPr>
            <w:bookmarkStart w:id="2220" w:name="_Toc124956501"/>
            <w:r w:rsidRPr="00466BFF">
              <w:rPr>
                <w:rFonts w:cs="Calibri"/>
                <w:sz w:val="20"/>
                <w:szCs w:val="20"/>
              </w:rPr>
              <w:t>Enfant du Soleil</w:t>
            </w:r>
            <w:bookmarkEnd w:id="2220"/>
          </w:p>
        </w:tc>
        <w:tc>
          <w:tcPr>
            <w:tcW w:w="607" w:type="pct"/>
            <w:shd w:val="clear" w:color="auto" w:fill="auto"/>
            <w:noWrap/>
            <w:hideMark/>
          </w:tcPr>
          <w:p w14:paraId="263327E9" w14:textId="77777777" w:rsidR="00C21029" w:rsidRPr="00466BFF" w:rsidRDefault="00C21029" w:rsidP="00E5387E">
            <w:pPr>
              <w:spacing w:after="0" w:line="240" w:lineRule="auto"/>
              <w:rPr>
                <w:rFonts w:cs="Calibri"/>
                <w:sz w:val="20"/>
                <w:szCs w:val="20"/>
              </w:rPr>
            </w:pPr>
            <w:bookmarkStart w:id="2221" w:name="_Toc124956502"/>
            <w:r w:rsidRPr="00466BFF">
              <w:rPr>
                <w:rFonts w:cs="Calibri"/>
                <w:sz w:val="20"/>
                <w:szCs w:val="20"/>
              </w:rPr>
              <w:t>0202423000</w:t>
            </w:r>
            <w:bookmarkEnd w:id="2221"/>
          </w:p>
        </w:tc>
        <w:tc>
          <w:tcPr>
            <w:tcW w:w="1307" w:type="pct"/>
            <w:gridSpan w:val="2"/>
            <w:shd w:val="clear" w:color="auto" w:fill="auto"/>
            <w:hideMark/>
          </w:tcPr>
          <w:p w14:paraId="138ECAEC" w14:textId="77777777" w:rsidR="00C21029" w:rsidRPr="00466BFF" w:rsidRDefault="00C21029" w:rsidP="00E5387E">
            <w:pPr>
              <w:spacing w:after="0" w:line="240" w:lineRule="auto"/>
              <w:rPr>
                <w:rFonts w:cs="Calibri"/>
                <w:sz w:val="20"/>
                <w:szCs w:val="20"/>
              </w:rPr>
            </w:pPr>
            <w:bookmarkStart w:id="2222" w:name="_Toc124956503"/>
            <w:r w:rsidRPr="00466BFF">
              <w:rPr>
                <w:rFonts w:cs="Calibri"/>
                <w:sz w:val="20"/>
                <w:szCs w:val="20"/>
              </w:rPr>
              <w:t>Près ITP 03 bis Andrambato Itaosy Antananarivo Atsimondrano</w:t>
            </w:r>
            <w:bookmarkEnd w:id="2222"/>
          </w:p>
        </w:tc>
      </w:tr>
      <w:tr w:rsidR="00C21029" w:rsidRPr="007F78CE" w14:paraId="533ADFFB" w14:textId="77777777" w:rsidTr="00D12C6F">
        <w:trPr>
          <w:trHeight w:val="580"/>
        </w:trPr>
        <w:tc>
          <w:tcPr>
            <w:tcW w:w="1142" w:type="pct"/>
            <w:vMerge/>
            <w:shd w:val="clear" w:color="auto" w:fill="auto"/>
            <w:hideMark/>
          </w:tcPr>
          <w:p w14:paraId="1B274698"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4CCBE612" w14:textId="77777777" w:rsidR="00C21029" w:rsidRPr="00466BFF" w:rsidRDefault="00C21029" w:rsidP="00E5387E">
            <w:pPr>
              <w:spacing w:after="0" w:line="240" w:lineRule="auto"/>
              <w:rPr>
                <w:rFonts w:cs="Calibri"/>
                <w:sz w:val="20"/>
                <w:szCs w:val="20"/>
              </w:rPr>
            </w:pPr>
            <w:bookmarkStart w:id="2223" w:name="_Toc124956504"/>
            <w:r w:rsidRPr="00466BFF">
              <w:rPr>
                <w:rFonts w:cs="Calibri"/>
                <w:sz w:val="20"/>
                <w:szCs w:val="20"/>
              </w:rPr>
              <w:t>MERCI</w:t>
            </w:r>
            <w:bookmarkEnd w:id="2223"/>
          </w:p>
        </w:tc>
        <w:tc>
          <w:tcPr>
            <w:tcW w:w="607" w:type="pct"/>
            <w:shd w:val="clear" w:color="auto" w:fill="auto"/>
            <w:noWrap/>
            <w:hideMark/>
          </w:tcPr>
          <w:p w14:paraId="45462ADD" w14:textId="77777777" w:rsidR="00C21029" w:rsidRPr="00466BFF" w:rsidRDefault="00C21029" w:rsidP="00E5387E">
            <w:pPr>
              <w:spacing w:after="0" w:line="240" w:lineRule="auto"/>
              <w:rPr>
                <w:rFonts w:cs="Calibri"/>
                <w:sz w:val="20"/>
                <w:szCs w:val="20"/>
              </w:rPr>
            </w:pPr>
            <w:bookmarkStart w:id="2224" w:name="_Toc124956505"/>
            <w:r w:rsidRPr="00466BFF">
              <w:rPr>
                <w:rFonts w:cs="Calibri"/>
                <w:sz w:val="20"/>
                <w:szCs w:val="20"/>
              </w:rPr>
              <w:t>0344114210</w:t>
            </w:r>
            <w:bookmarkEnd w:id="2224"/>
          </w:p>
        </w:tc>
        <w:tc>
          <w:tcPr>
            <w:tcW w:w="1307" w:type="pct"/>
            <w:gridSpan w:val="2"/>
            <w:shd w:val="clear" w:color="auto" w:fill="auto"/>
            <w:hideMark/>
          </w:tcPr>
          <w:p w14:paraId="2FE73076" w14:textId="77777777" w:rsidR="00C21029" w:rsidRPr="00466BFF" w:rsidRDefault="00C21029" w:rsidP="00E5387E">
            <w:pPr>
              <w:spacing w:after="0" w:line="240" w:lineRule="auto"/>
              <w:rPr>
                <w:rFonts w:cs="Calibri"/>
                <w:sz w:val="20"/>
                <w:szCs w:val="20"/>
              </w:rPr>
            </w:pPr>
            <w:bookmarkStart w:id="2225" w:name="_Toc124956506"/>
            <w:r w:rsidRPr="00466BFF">
              <w:rPr>
                <w:rFonts w:cs="Calibri"/>
                <w:sz w:val="20"/>
                <w:szCs w:val="20"/>
              </w:rPr>
              <w:t>VT29CL Ampahateza Antananarivo ville</w:t>
            </w:r>
            <w:bookmarkEnd w:id="2225"/>
          </w:p>
        </w:tc>
      </w:tr>
      <w:tr w:rsidR="00C21029" w:rsidRPr="007F78CE" w14:paraId="41711C39" w14:textId="77777777" w:rsidTr="00D12C6F">
        <w:trPr>
          <w:trHeight w:val="290"/>
        </w:trPr>
        <w:tc>
          <w:tcPr>
            <w:tcW w:w="1142" w:type="pct"/>
            <w:vMerge w:val="restart"/>
            <w:shd w:val="clear" w:color="auto" w:fill="auto"/>
            <w:noWrap/>
            <w:hideMark/>
          </w:tcPr>
          <w:p w14:paraId="14AF741B" w14:textId="77777777" w:rsidR="00C21029" w:rsidRPr="00B434A6" w:rsidRDefault="00C21029" w:rsidP="00E5387E">
            <w:pPr>
              <w:spacing w:after="0" w:line="240" w:lineRule="auto"/>
              <w:rPr>
                <w:rFonts w:cs="Calibri"/>
                <w:sz w:val="20"/>
                <w:szCs w:val="20"/>
              </w:rPr>
            </w:pPr>
            <w:bookmarkStart w:id="2226" w:name="_Toc124956507"/>
            <w:r w:rsidRPr="00B434A6">
              <w:rPr>
                <w:rFonts w:cs="Calibri"/>
                <w:sz w:val="20"/>
                <w:szCs w:val="20"/>
              </w:rPr>
              <w:t>VAKINA</w:t>
            </w:r>
            <w:r w:rsidR="006D5F22" w:rsidRPr="00B434A6">
              <w:rPr>
                <w:rFonts w:cs="Calibri"/>
                <w:sz w:val="20"/>
                <w:szCs w:val="20"/>
              </w:rPr>
              <w:t>N</w:t>
            </w:r>
            <w:r w:rsidRPr="00B434A6">
              <w:rPr>
                <w:rFonts w:cs="Calibri"/>
                <w:sz w:val="20"/>
                <w:szCs w:val="20"/>
              </w:rPr>
              <w:t>KARATRA</w:t>
            </w:r>
            <w:bookmarkEnd w:id="2226"/>
          </w:p>
        </w:tc>
        <w:tc>
          <w:tcPr>
            <w:tcW w:w="3858" w:type="pct"/>
            <w:gridSpan w:val="4"/>
            <w:shd w:val="clear" w:color="auto" w:fill="auto"/>
            <w:noWrap/>
            <w:hideMark/>
          </w:tcPr>
          <w:p w14:paraId="2A05F412" w14:textId="77777777" w:rsidR="00C21029" w:rsidRPr="00466BFF" w:rsidRDefault="00C21029" w:rsidP="00E5387E">
            <w:pPr>
              <w:spacing w:after="0" w:line="240" w:lineRule="auto"/>
              <w:rPr>
                <w:rFonts w:cs="Calibri"/>
                <w:sz w:val="20"/>
                <w:szCs w:val="20"/>
              </w:rPr>
            </w:pPr>
            <w:bookmarkStart w:id="2227" w:name="_Toc124956508"/>
            <w:r w:rsidRPr="00466BFF">
              <w:rPr>
                <w:rFonts w:cs="Calibri"/>
                <w:sz w:val="20"/>
                <w:szCs w:val="20"/>
              </w:rPr>
              <w:t>Partenariat Min Santé et ADDH/ONG</w:t>
            </w:r>
            <w:bookmarkEnd w:id="2227"/>
          </w:p>
        </w:tc>
      </w:tr>
      <w:tr w:rsidR="00C21029" w:rsidRPr="007F78CE" w14:paraId="0226AD20" w14:textId="77777777" w:rsidTr="00D12C6F">
        <w:trPr>
          <w:trHeight w:val="290"/>
        </w:trPr>
        <w:tc>
          <w:tcPr>
            <w:tcW w:w="1142" w:type="pct"/>
            <w:vMerge/>
            <w:shd w:val="clear" w:color="auto" w:fill="auto"/>
            <w:hideMark/>
          </w:tcPr>
          <w:p w14:paraId="2B548DB3"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65CCE172" w14:textId="77777777" w:rsidR="00C21029" w:rsidRPr="00466BFF" w:rsidRDefault="00C21029" w:rsidP="00E5387E">
            <w:pPr>
              <w:spacing w:after="0" w:line="240" w:lineRule="auto"/>
              <w:rPr>
                <w:rFonts w:cs="Calibri"/>
                <w:sz w:val="20"/>
                <w:szCs w:val="20"/>
              </w:rPr>
            </w:pPr>
            <w:bookmarkStart w:id="2228" w:name="_Toc124956509"/>
            <w:r w:rsidRPr="00466BFF">
              <w:rPr>
                <w:rFonts w:cs="Calibri"/>
                <w:sz w:val="20"/>
                <w:szCs w:val="20"/>
              </w:rPr>
              <w:t>CECJ/SOS Victime de Non Droit</w:t>
            </w:r>
            <w:bookmarkEnd w:id="2228"/>
          </w:p>
        </w:tc>
        <w:tc>
          <w:tcPr>
            <w:tcW w:w="607" w:type="pct"/>
            <w:shd w:val="clear" w:color="auto" w:fill="auto"/>
            <w:noWrap/>
            <w:hideMark/>
          </w:tcPr>
          <w:p w14:paraId="7FF1AEF2"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07" w:type="pct"/>
            <w:gridSpan w:val="2"/>
            <w:shd w:val="clear" w:color="auto" w:fill="auto"/>
            <w:hideMark/>
          </w:tcPr>
          <w:p w14:paraId="75D186A0" w14:textId="77777777" w:rsidR="00C21029" w:rsidRPr="00466BFF" w:rsidRDefault="00C21029" w:rsidP="00E5387E">
            <w:pPr>
              <w:spacing w:after="0" w:line="240" w:lineRule="auto"/>
              <w:rPr>
                <w:rFonts w:cs="Calibri"/>
                <w:sz w:val="20"/>
                <w:szCs w:val="20"/>
              </w:rPr>
            </w:pPr>
            <w:bookmarkStart w:id="2229" w:name="_Toc124956510"/>
            <w:r w:rsidRPr="00466BFF">
              <w:rPr>
                <w:rFonts w:cs="Calibri"/>
                <w:sz w:val="20"/>
                <w:szCs w:val="20"/>
              </w:rPr>
              <w:t>Antsirabe</w:t>
            </w:r>
            <w:bookmarkEnd w:id="2229"/>
          </w:p>
        </w:tc>
      </w:tr>
      <w:tr w:rsidR="00C21029" w:rsidRPr="007F78CE" w14:paraId="5A7E0896" w14:textId="77777777" w:rsidTr="00D12C6F">
        <w:trPr>
          <w:trHeight w:val="290"/>
        </w:trPr>
        <w:tc>
          <w:tcPr>
            <w:tcW w:w="1142" w:type="pct"/>
            <w:vMerge/>
            <w:shd w:val="clear" w:color="auto" w:fill="auto"/>
            <w:hideMark/>
          </w:tcPr>
          <w:p w14:paraId="20CC67FD"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5CBE13B3" w14:textId="77777777" w:rsidR="00C21029" w:rsidRPr="00466BFF" w:rsidRDefault="00C21029" w:rsidP="00E5387E">
            <w:pPr>
              <w:spacing w:after="0" w:line="240" w:lineRule="auto"/>
              <w:rPr>
                <w:rFonts w:cs="Calibri"/>
                <w:sz w:val="20"/>
                <w:szCs w:val="20"/>
              </w:rPr>
            </w:pPr>
            <w:bookmarkStart w:id="2230" w:name="_Toc124956511"/>
            <w:r w:rsidRPr="00466BFF">
              <w:rPr>
                <w:rFonts w:cs="Calibri"/>
                <w:sz w:val="20"/>
                <w:szCs w:val="20"/>
              </w:rPr>
              <w:t>Centre Relais CECJ/SOS Victime de Non Droit</w:t>
            </w:r>
            <w:bookmarkEnd w:id="2230"/>
          </w:p>
        </w:tc>
        <w:tc>
          <w:tcPr>
            <w:tcW w:w="607" w:type="pct"/>
            <w:shd w:val="clear" w:color="auto" w:fill="auto"/>
            <w:noWrap/>
            <w:hideMark/>
          </w:tcPr>
          <w:p w14:paraId="0306B31E"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07" w:type="pct"/>
            <w:gridSpan w:val="2"/>
            <w:shd w:val="clear" w:color="auto" w:fill="auto"/>
            <w:hideMark/>
          </w:tcPr>
          <w:p w14:paraId="33122764" w14:textId="77777777" w:rsidR="00C21029" w:rsidRPr="00466BFF" w:rsidRDefault="00C21029" w:rsidP="00E5387E">
            <w:pPr>
              <w:spacing w:after="0" w:line="240" w:lineRule="auto"/>
              <w:rPr>
                <w:rFonts w:cs="Calibri"/>
                <w:sz w:val="20"/>
                <w:szCs w:val="20"/>
              </w:rPr>
            </w:pPr>
            <w:bookmarkStart w:id="2231" w:name="_Toc124956512"/>
            <w:r w:rsidRPr="00466BFF">
              <w:rPr>
                <w:rFonts w:cs="Calibri"/>
                <w:sz w:val="20"/>
                <w:szCs w:val="20"/>
              </w:rPr>
              <w:t>Betafo</w:t>
            </w:r>
            <w:bookmarkEnd w:id="2231"/>
          </w:p>
        </w:tc>
      </w:tr>
      <w:tr w:rsidR="00C21029" w:rsidRPr="007F78CE" w14:paraId="5586C3D5" w14:textId="77777777" w:rsidTr="00D12C6F">
        <w:trPr>
          <w:trHeight w:val="290"/>
        </w:trPr>
        <w:tc>
          <w:tcPr>
            <w:tcW w:w="1142" w:type="pct"/>
            <w:vMerge/>
            <w:shd w:val="clear" w:color="auto" w:fill="auto"/>
            <w:hideMark/>
          </w:tcPr>
          <w:p w14:paraId="301C4A7E"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4862A21C" w14:textId="77777777" w:rsidR="00C21029" w:rsidRPr="00466BFF" w:rsidRDefault="00C21029" w:rsidP="00E5387E">
            <w:pPr>
              <w:spacing w:after="0" w:line="240" w:lineRule="auto"/>
              <w:rPr>
                <w:rFonts w:cs="Calibri"/>
                <w:sz w:val="20"/>
                <w:szCs w:val="20"/>
              </w:rPr>
            </w:pPr>
            <w:bookmarkStart w:id="2232" w:name="_Toc124956513"/>
            <w:r w:rsidRPr="00466BFF">
              <w:rPr>
                <w:rFonts w:cs="Calibri"/>
                <w:sz w:val="20"/>
                <w:szCs w:val="20"/>
              </w:rPr>
              <w:t>ADDH/ONG</w:t>
            </w:r>
            <w:bookmarkEnd w:id="2232"/>
          </w:p>
        </w:tc>
        <w:tc>
          <w:tcPr>
            <w:tcW w:w="607" w:type="pct"/>
            <w:shd w:val="clear" w:color="auto" w:fill="auto"/>
          </w:tcPr>
          <w:p w14:paraId="0AF1D9F3" w14:textId="77777777" w:rsidR="00C21029" w:rsidRPr="00466BFF" w:rsidRDefault="00C21029" w:rsidP="00E5387E">
            <w:pPr>
              <w:spacing w:after="0" w:line="240" w:lineRule="auto"/>
              <w:rPr>
                <w:rFonts w:cs="Calibri"/>
                <w:sz w:val="20"/>
                <w:szCs w:val="20"/>
              </w:rPr>
            </w:pPr>
          </w:p>
        </w:tc>
        <w:tc>
          <w:tcPr>
            <w:tcW w:w="1307" w:type="pct"/>
            <w:gridSpan w:val="2"/>
            <w:shd w:val="clear" w:color="auto" w:fill="auto"/>
          </w:tcPr>
          <w:p w14:paraId="7B430794" w14:textId="77777777" w:rsidR="00C21029" w:rsidRPr="00466BFF" w:rsidRDefault="00C21029" w:rsidP="00E5387E">
            <w:pPr>
              <w:spacing w:after="0" w:line="240" w:lineRule="auto"/>
              <w:rPr>
                <w:rFonts w:cs="Calibri"/>
                <w:sz w:val="20"/>
                <w:szCs w:val="20"/>
              </w:rPr>
            </w:pPr>
          </w:p>
        </w:tc>
      </w:tr>
      <w:tr w:rsidR="00C21029" w:rsidRPr="007F78CE" w14:paraId="2D673809" w14:textId="77777777" w:rsidTr="00D12C6F">
        <w:trPr>
          <w:trHeight w:val="377"/>
        </w:trPr>
        <w:tc>
          <w:tcPr>
            <w:tcW w:w="1142" w:type="pct"/>
            <w:vMerge/>
            <w:shd w:val="clear" w:color="auto" w:fill="auto"/>
            <w:hideMark/>
          </w:tcPr>
          <w:p w14:paraId="2E13A104"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4214D9BD" w14:textId="77777777" w:rsidR="00C21029" w:rsidRPr="00466BFF" w:rsidRDefault="00C21029" w:rsidP="00E5387E">
            <w:pPr>
              <w:spacing w:after="0" w:line="240" w:lineRule="auto"/>
              <w:rPr>
                <w:rFonts w:cs="Calibri"/>
                <w:sz w:val="20"/>
                <w:szCs w:val="20"/>
              </w:rPr>
            </w:pPr>
            <w:bookmarkStart w:id="2233" w:name="_Toc124956514"/>
            <w:r w:rsidRPr="00466BFF">
              <w:rPr>
                <w:rFonts w:cs="Calibri"/>
                <w:sz w:val="20"/>
                <w:szCs w:val="20"/>
              </w:rPr>
              <w:t>Enfant du Soleil</w:t>
            </w:r>
            <w:bookmarkEnd w:id="2233"/>
          </w:p>
        </w:tc>
        <w:tc>
          <w:tcPr>
            <w:tcW w:w="607" w:type="pct"/>
            <w:shd w:val="clear" w:color="auto" w:fill="auto"/>
            <w:noWrap/>
            <w:hideMark/>
          </w:tcPr>
          <w:p w14:paraId="34F205D9" w14:textId="77777777" w:rsidR="00C21029" w:rsidRPr="00466BFF" w:rsidRDefault="00C21029" w:rsidP="00E5387E">
            <w:pPr>
              <w:spacing w:after="0" w:line="240" w:lineRule="auto"/>
              <w:rPr>
                <w:rFonts w:cs="Calibri"/>
                <w:sz w:val="20"/>
                <w:szCs w:val="20"/>
              </w:rPr>
            </w:pPr>
            <w:bookmarkStart w:id="2234" w:name="_Toc124956515"/>
            <w:r w:rsidRPr="00466BFF">
              <w:rPr>
                <w:rFonts w:cs="Calibri"/>
                <w:sz w:val="20"/>
                <w:szCs w:val="20"/>
              </w:rPr>
              <w:t>0204448828</w:t>
            </w:r>
            <w:bookmarkEnd w:id="2234"/>
          </w:p>
        </w:tc>
        <w:tc>
          <w:tcPr>
            <w:tcW w:w="1307" w:type="pct"/>
            <w:gridSpan w:val="2"/>
            <w:shd w:val="clear" w:color="auto" w:fill="auto"/>
            <w:hideMark/>
          </w:tcPr>
          <w:p w14:paraId="43D715AC" w14:textId="77777777" w:rsidR="00C21029" w:rsidRPr="00466BFF" w:rsidRDefault="00C21029" w:rsidP="00E5387E">
            <w:pPr>
              <w:spacing w:after="0" w:line="240" w:lineRule="auto"/>
              <w:rPr>
                <w:rFonts w:cs="Calibri"/>
                <w:sz w:val="20"/>
                <w:szCs w:val="20"/>
              </w:rPr>
            </w:pPr>
            <w:bookmarkStart w:id="2235" w:name="_Toc124956516"/>
            <w:r w:rsidRPr="00466BFF">
              <w:rPr>
                <w:rFonts w:cs="Calibri"/>
                <w:sz w:val="20"/>
                <w:szCs w:val="20"/>
              </w:rPr>
              <w:t>04E320 Ambohimena Antsirabe</w:t>
            </w:r>
            <w:bookmarkEnd w:id="2235"/>
          </w:p>
        </w:tc>
      </w:tr>
      <w:tr w:rsidR="00C21029" w:rsidRPr="007F78CE" w14:paraId="06AC8128" w14:textId="77777777" w:rsidTr="00D12C6F">
        <w:trPr>
          <w:trHeight w:val="290"/>
        </w:trPr>
        <w:tc>
          <w:tcPr>
            <w:tcW w:w="1142" w:type="pct"/>
            <w:vMerge w:val="restart"/>
            <w:shd w:val="clear" w:color="auto" w:fill="auto"/>
            <w:noWrap/>
            <w:hideMark/>
          </w:tcPr>
          <w:p w14:paraId="6BDD6EDC" w14:textId="77777777" w:rsidR="00C21029" w:rsidRPr="00B434A6" w:rsidRDefault="00C21029" w:rsidP="00E5387E">
            <w:pPr>
              <w:spacing w:after="0" w:line="240" w:lineRule="auto"/>
              <w:rPr>
                <w:rFonts w:cs="Calibri"/>
                <w:sz w:val="20"/>
                <w:szCs w:val="20"/>
              </w:rPr>
            </w:pPr>
            <w:bookmarkStart w:id="2236" w:name="_Toc124956517"/>
            <w:r w:rsidRPr="00B434A6">
              <w:rPr>
                <w:rFonts w:cs="Calibri"/>
                <w:sz w:val="20"/>
                <w:szCs w:val="20"/>
              </w:rPr>
              <w:t>ITASY</w:t>
            </w:r>
            <w:bookmarkEnd w:id="2236"/>
          </w:p>
        </w:tc>
        <w:tc>
          <w:tcPr>
            <w:tcW w:w="3858" w:type="pct"/>
            <w:gridSpan w:val="4"/>
            <w:shd w:val="clear" w:color="auto" w:fill="auto"/>
            <w:noWrap/>
            <w:hideMark/>
          </w:tcPr>
          <w:p w14:paraId="28F2D39A" w14:textId="77777777" w:rsidR="00C21029" w:rsidRPr="00466BFF" w:rsidRDefault="00C21029" w:rsidP="00E5387E">
            <w:pPr>
              <w:spacing w:after="0" w:line="240" w:lineRule="auto"/>
              <w:rPr>
                <w:rFonts w:cs="Calibri"/>
                <w:sz w:val="20"/>
                <w:szCs w:val="20"/>
              </w:rPr>
            </w:pPr>
            <w:bookmarkStart w:id="2237" w:name="_Toc124956518"/>
            <w:r w:rsidRPr="00466BFF">
              <w:rPr>
                <w:rFonts w:cs="Calibri"/>
                <w:sz w:val="20"/>
                <w:szCs w:val="20"/>
              </w:rPr>
              <w:t>Partenariat Min Santé et ADDH/ONG</w:t>
            </w:r>
            <w:bookmarkEnd w:id="2237"/>
          </w:p>
        </w:tc>
      </w:tr>
      <w:tr w:rsidR="00C21029" w:rsidRPr="007F78CE" w14:paraId="595AD5AC" w14:textId="77777777" w:rsidTr="00D12C6F">
        <w:trPr>
          <w:trHeight w:val="290"/>
        </w:trPr>
        <w:tc>
          <w:tcPr>
            <w:tcW w:w="1142" w:type="pct"/>
            <w:vMerge/>
            <w:shd w:val="clear" w:color="auto" w:fill="auto"/>
            <w:hideMark/>
          </w:tcPr>
          <w:p w14:paraId="22E39694"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10146457" w14:textId="77777777" w:rsidR="00C21029" w:rsidRPr="00466BFF" w:rsidRDefault="00C21029" w:rsidP="00E5387E">
            <w:pPr>
              <w:spacing w:after="0" w:line="240" w:lineRule="auto"/>
              <w:rPr>
                <w:rFonts w:cs="Calibri"/>
                <w:sz w:val="20"/>
                <w:szCs w:val="20"/>
              </w:rPr>
            </w:pPr>
            <w:bookmarkStart w:id="2238" w:name="_Toc124956519"/>
            <w:r w:rsidRPr="00466BFF">
              <w:rPr>
                <w:rFonts w:cs="Calibri"/>
                <w:sz w:val="20"/>
                <w:szCs w:val="20"/>
              </w:rPr>
              <w:t>CECJ/Mampitasoa</w:t>
            </w:r>
            <w:bookmarkEnd w:id="2238"/>
          </w:p>
        </w:tc>
        <w:tc>
          <w:tcPr>
            <w:tcW w:w="607" w:type="pct"/>
            <w:shd w:val="clear" w:color="auto" w:fill="auto"/>
            <w:noWrap/>
            <w:hideMark/>
          </w:tcPr>
          <w:p w14:paraId="795A1666"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07" w:type="pct"/>
            <w:gridSpan w:val="2"/>
            <w:shd w:val="clear" w:color="auto" w:fill="auto"/>
            <w:hideMark/>
          </w:tcPr>
          <w:p w14:paraId="101A3B1F" w14:textId="77777777" w:rsidR="00C21029" w:rsidRPr="00466BFF" w:rsidRDefault="00C21029" w:rsidP="00E5387E">
            <w:pPr>
              <w:spacing w:after="0" w:line="240" w:lineRule="auto"/>
              <w:rPr>
                <w:rFonts w:cs="Calibri"/>
                <w:sz w:val="20"/>
                <w:szCs w:val="20"/>
              </w:rPr>
            </w:pPr>
            <w:bookmarkStart w:id="2239" w:name="_Toc124956520"/>
            <w:r w:rsidRPr="00466BFF">
              <w:rPr>
                <w:rFonts w:cs="Calibri"/>
                <w:sz w:val="20"/>
                <w:szCs w:val="20"/>
              </w:rPr>
              <w:t>Miarinarivo</w:t>
            </w:r>
            <w:bookmarkEnd w:id="2239"/>
          </w:p>
        </w:tc>
      </w:tr>
      <w:tr w:rsidR="00C21029" w:rsidRPr="007F78CE" w14:paraId="63381001" w14:textId="77777777" w:rsidTr="00D12C6F">
        <w:trPr>
          <w:trHeight w:val="290"/>
        </w:trPr>
        <w:tc>
          <w:tcPr>
            <w:tcW w:w="1142" w:type="pct"/>
            <w:vMerge w:val="restart"/>
            <w:shd w:val="clear" w:color="auto" w:fill="auto"/>
            <w:noWrap/>
            <w:hideMark/>
          </w:tcPr>
          <w:p w14:paraId="0CC41748" w14:textId="77777777" w:rsidR="00C21029" w:rsidRPr="00B434A6" w:rsidRDefault="00C21029" w:rsidP="00E5387E">
            <w:pPr>
              <w:spacing w:after="0" w:line="240" w:lineRule="auto"/>
              <w:rPr>
                <w:rFonts w:cs="Calibri"/>
                <w:sz w:val="20"/>
                <w:szCs w:val="20"/>
              </w:rPr>
            </w:pPr>
            <w:bookmarkStart w:id="2240" w:name="_Toc124956521"/>
            <w:r w:rsidRPr="00B434A6">
              <w:rPr>
                <w:rFonts w:cs="Calibri"/>
                <w:sz w:val="20"/>
                <w:szCs w:val="20"/>
              </w:rPr>
              <w:t>BONGOLAVA</w:t>
            </w:r>
            <w:bookmarkEnd w:id="2240"/>
          </w:p>
        </w:tc>
        <w:tc>
          <w:tcPr>
            <w:tcW w:w="3858" w:type="pct"/>
            <w:gridSpan w:val="4"/>
            <w:shd w:val="clear" w:color="auto" w:fill="auto"/>
            <w:noWrap/>
            <w:hideMark/>
          </w:tcPr>
          <w:p w14:paraId="59BDD8EE" w14:textId="77777777" w:rsidR="00C21029" w:rsidRPr="00466BFF" w:rsidRDefault="00C21029" w:rsidP="00E5387E">
            <w:pPr>
              <w:spacing w:after="0" w:line="240" w:lineRule="auto"/>
              <w:rPr>
                <w:rFonts w:cs="Calibri"/>
                <w:sz w:val="20"/>
                <w:szCs w:val="20"/>
              </w:rPr>
            </w:pPr>
            <w:bookmarkStart w:id="2241" w:name="_Toc124956522"/>
            <w:r w:rsidRPr="00466BFF">
              <w:rPr>
                <w:rFonts w:cs="Calibri"/>
                <w:sz w:val="20"/>
                <w:szCs w:val="20"/>
              </w:rPr>
              <w:t>Partenariat Min Santé et ADDH/ONG</w:t>
            </w:r>
            <w:bookmarkEnd w:id="2241"/>
          </w:p>
        </w:tc>
      </w:tr>
      <w:tr w:rsidR="00C21029" w:rsidRPr="007F78CE" w14:paraId="3FDDD0D5" w14:textId="77777777" w:rsidTr="00D12C6F">
        <w:trPr>
          <w:trHeight w:val="290"/>
        </w:trPr>
        <w:tc>
          <w:tcPr>
            <w:tcW w:w="1142" w:type="pct"/>
            <w:vMerge/>
            <w:shd w:val="clear" w:color="auto" w:fill="auto"/>
            <w:hideMark/>
          </w:tcPr>
          <w:p w14:paraId="78CAE5A1"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1AD84794" w14:textId="77777777" w:rsidR="00C21029" w:rsidRPr="00466BFF" w:rsidRDefault="00C21029" w:rsidP="00E5387E">
            <w:pPr>
              <w:spacing w:after="0" w:line="240" w:lineRule="auto"/>
              <w:rPr>
                <w:rFonts w:cs="Calibri"/>
                <w:sz w:val="20"/>
                <w:szCs w:val="20"/>
              </w:rPr>
            </w:pPr>
            <w:bookmarkStart w:id="2242" w:name="_Toc124956523"/>
            <w:r w:rsidRPr="00466BFF">
              <w:rPr>
                <w:rFonts w:cs="Calibri"/>
                <w:sz w:val="20"/>
                <w:szCs w:val="20"/>
              </w:rPr>
              <w:t>CECJ/Avotra</w:t>
            </w:r>
            <w:bookmarkEnd w:id="2242"/>
          </w:p>
        </w:tc>
        <w:tc>
          <w:tcPr>
            <w:tcW w:w="607" w:type="pct"/>
            <w:shd w:val="clear" w:color="auto" w:fill="auto"/>
            <w:noWrap/>
            <w:hideMark/>
          </w:tcPr>
          <w:p w14:paraId="763EB66E"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07" w:type="pct"/>
            <w:gridSpan w:val="2"/>
            <w:shd w:val="clear" w:color="auto" w:fill="auto"/>
            <w:hideMark/>
          </w:tcPr>
          <w:p w14:paraId="5EE9869B" w14:textId="77777777" w:rsidR="00C21029" w:rsidRPr="00466BFF" w:rsidRDefault="00C21029" w:rsidP="00E5387E">
            <w:pPr>
              <w:spacing w:after="0" w:line="240" w:lineRule="auto"/>
              <w:rPr>
                <w:rFonts w:cs="Calibri"/>
                <w:sz w:val="20"/>
                <w:szCs w:val="20"/>
              </w:rPr>
            </w:pPr>
            <w:bookmarkStart w:id="2243" w:name="_Toc124956524"/>
            <w:r w:rsidRPr="00466BFF">
              <w:rPr>
                <w:rFonts w:cs="Calibri"/>
                <w:sz w:val="20"/>
                <w:szCs w:val="20"/>
              </w:rPr>
              <w:t>Tsiroanomandidy</w:t>
            </w:r>
            <w:bookmarkEnd w:id="2243"/>
          </w:p>
        </w:tc>
      </w:tr>
      <w:tr w:rsidR="00C21029" w:rsidRPr="007F78CE" w14:paraId="625BD3D8" w14:textId="77777777" w:rsidTr="00D12C6F">
        <w:trPr>
          <w:trHeight w:val="290"/>
        </w:trPr>
        <w:tc>
          <w:tcPr>
            <w:tcW w:w="1142" w:type="pct"/>
            <w:vMerge w:val="restart"/>
            <w:shd w:val="clear" w:color="auto" w:fill="auto"/>
            <w:noWrap/>
            <w:hideMark/>
          </w:tcPr>
          <w:p w14:paraId="3BA16421" w14:textId="77777777" w:rsidR="00C21029" w:rsidRPr="00B434A6" w:rsidRDefault="00C21029" w:rsidP="00E5387E">
            <w:pPr>
              <w:spacing w:after="0" w:line="240" w:lineRule="auto"/>
              <w:rPr>
                <w:rFonts w:cs="Calibri"/>
                <w:sz w:val="20"/>
                <w:szCs w:val="20"/>
              </w:rPr>
            </w:pPr>
            <w:bookmarkStart w:id="2244" w:name="_Toc124956525"/>
            <w:r w:rsidRPr="00B434A6">
              <w:rPr>
                <w:rFonts w:cs="Calibri"/>
                <w:sz w:val="20"/>
                <w:szCs w:val="20"/>
              </w:rPr>
              <w:t>BOENY</w:t>
            </w:r>
            <w:bookmarkEnd w:id="2244"/>
          </w:p>
        </w:tc>
        <w:tc>
          <w:tcPr>
            <w:tcW w:w="1943" w:type="pct"/>
            <w:shd w:val="clear" w:color="auto" w:fill="auto"/>
            <w:noWrap/>
            <w:hideMark/>
          </w:tcPr>
          <w:p w14:paraId="398B1D48" w14:textId="77777777" w:rsidR="00C21029" w:rsidRPr="00466BFF" w:rsidRDefault="00C21029" w:rsidP="00E5387E">
            <w:pPr>
              <w:spacing w:after="0" w:line="240" w:lineRule="auto"/>
              <w:rPr>
                <w:rFonts w:cs="Calibri"/>
                <w:sz w:val="20"/>
                <w:szCs w:val="20"/>
              </w:rPr>
            </w:pPr>
            <w:bookmarkStart w:id="2245" w:name="_Toc124956526"/>
            <w:r w:rsidRPr="00466BFF">
              <w:rPr>
                <w:rFonts w:cs="Calibri"/>
                <w:sz w:val="20"/>
                <w:szCs w:val="20"/>
              </w:rPr>
              <w:t>Service Public</w:t>
            </w:r>
            <w:bookmarkEnd w:id="2245"/>
          </w:p>
        </w:tc>
        <w:tc>
          <w:tcPr>
            <w:tcW w:w="607" w:type="pct"/>
            <w:shd w:val="clear" w:color="auto" w:fill="auto"/>
          </w:tcPr>
          <w:p w14:paraId="28EF1E16" w14:textId="77777777" w:rsidR="00C21029" w:rsidRPr="00466BFF" w:rsidRDefault="00C21029" w:rsidP="00E5387E">
            <w:pPr>
              <w:spacing w:after="0" w:line="240" w:lineRule="auto"/>
              <w:rPr>
                <w:rFonts w:cs="Calibri"/>
                <w:sz w:val="20"/>
                <w:szCs w:val="20"/>
              </w:rPr>
            </w:pPr>
          </w:p>
        </w:tc>
        <w:tc>
          <w:tcPr>
            <w:tcW w:w="1307" w:type="pct"/>
            <w:gridSpan w:val="2"/>
            <w:shd w:val="clear" w:color="auto" w:fill="auto"/>
          </w:tcPr>
          <w:p w14:paraId="7861FE0B" w14:textId="77777777" w:rsidR="00C21029" w:rsidRPr="00466BFF" w:rsidRDefault="00C21029" w:rsidP="00E5387E">
            <w:pPr>
              <w:spacing w:after="0" w:line="240" w:lineRule="auto"/>
              <w:rPr>
                <w:rFonts w:cs="Calibri"/>
                <w:sz w:val="20"/>
                <w:szCs w:val="20"/>
              </w:rPr>
            </w:pPr>
          </w:p>
        </w:tc>
      </w:tr>
      <w:tr w:rsidR="00C21029" w:rsidRPr="007F78CE" w14:paraId="6B90A625" w14:textId="77777777" w:rsidTr="00D12C6F">
        <w:trPr>
          <w:trHeight w:val="290"/>
        </w:trPr>
        <w:tc>
          <w:tcPr>
            <w:tcW w:w="1142" w:type="pct"/>
            <w:vMerge/>
            <w:shd w:val="clear" w:color="auto" w:fill="auto"/>
            <w:hideMark/>
          </w:tcPr>
          <w:p w14:paraId="77DAFC60"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2710F932" w14:textId="77777777" w:rsidR="00C21029" w:rsidRPr="00466BFF" w:rsidRDefault="00C21029" w:rsidP="00E5387E">
            <w:pPr>
              <w:spacing w:after="0" w:line="240" w:lineRule="auto"/>
              <w:rPr>
                <w:rFonts w:cs="Calibri"/>
                <w:sz w:val="20"/>
                <w:szCs w:val="20"/>
              </w:rPr>
            </w:pPr>
            <w:bookmarkStart w:id="2246" w:name="_Toc124956527"/>
            <w:r w:rsidRPr="00466BFF">
              <w:rPr>
                <w:rFonts w:cs="Calibri"/>
                <w:sz w:val="20"/>
                <w:szCs w:val="20"/>
              </w:rPr>
              <w:t>Bureau d'Assistance Sociale</w:t>
            </w:r>
            <w:bookmarkEnd w:id="2246"/>
          </w:p>
        </w:tc>
        <w:tc>
          <w:tcPr>
            <w:tcW w:w="607" w:type="pct"/>
            <w:shd w:val="clear" w:color="auto" w:fill="auto"/>
            <w:noWrap/>
            <w:hideMark/>
          </w:tcPr>
          <w:p w14:paraId="5134B2A1" w14:textId="77777777" w:rsidR="00C21029" w:rsidRPr="00466BFF" w:rsidRDefault="00C21029" w:rsidP="00E5387E">
            <w:pPr>
              <w:spacing w:after="0" w:line="240" w:lineRule="auto"/>
              <w:rPr>
                <w:rFonts w:cs="Calibri"/>
                <w:sz w:val="20"/>
                <w:szCs w:val="20"/>
              </w:rPr>
            </w:pPr>
            <w:bookmarkStart w:id="2247" w:name="_Toc124956528"/>
            <w:r w:rsidRPr="00466BFF">
              <w:rPr>
                <w:rFonts w:cs="Calibri"/>
                <w:sz w:val="20"/>
                <w:szCs w:val="20"/>
              </w:rPr>
              <w:t>0320445605</w:t>
            </w:r>
            <w:bookmarkEnd w:id="2247"/>
          </w:p>
        </w:tc>
        <w:tc>
          <w:tcPr>
            <w:tcW w:w="1307" w:type="pct"/>
            <w:gridSpan w:val="2"/>
            <w:shd w:val="clear" w:color="auto" w:fill="auto"/>
            <w:hideMark/>
          </w:tcPr>
          <w:p w14:paraId="6DB59E8E" w14:textId="77777777" w:rsidR="00C21029" w:rsidRPr="00466BFF" w:rsidRDefault="00C21029" w:rsidP="00E5387E">
            <w:pPr>
              <w:spacing w:after="0" w:line="240" w:lineRule="auto"/>
              <w:rPr>
                <w:rFonts w:cs="Calibri"/>
                <w:sz w:val="20"/>
                <w:szCs w:val="20"/>
              </w:rPr>
            </w:pPr>
            <w:bookmarkStart w:id="2248" w:name="_Toc124956529"/>
            <w:r w:rsidRPr="00466BFF">
              <w:rPr>
                <w:rFonts w:cs="Calibri"/>
                <w:sz w:val="20"/>
                <w:szCs w:val="20"/>
              </w:rPr>
              <w:t xml:space="preserve">Mairie de </w:t>
            </w:r>
            <w:r w:rsidR="007A05FA" w:rsidRPr="00466BFF">
              <w:rPr>
                <w:rFonts w:cs="Calibri"/>
                <w:sz w:val="20"/>
                <w:szCs w:val="20"/>
              </w:rPr>
              <w:t xml:space="preserve">Mahajanga </w:t>
            </w:r>
            <w:r w:rsidRPr="00466BFF">
              <w:rPr>
                <w:rFonts w:cs="Calibri"/>
                <w:sz w:val="20"/>
                <w:szCs w:val="20"/>
              </w:rPr>
              <w:t>I</w:t>
            </w:r>
            <w:bookmarkEnd w:id="2248"/>
          </w:p>
        </w:tc>
      </w:tr>
      <w:tr w:rsidR="00C21029" w:rsidRPr="007F78CE" w14:paraId="4B25C5A0" w14:textId="77777777" w:rsidTr="00D12C6F">
        <w:trPr>
          <w:trHeight w:val="290"/>
        </w:trPr>
        <w:tc>
          <w:tcPr>
            <w:tcW w:w="1142" w:type="pct"/>
            <w:vMerge/>
            <w:shd w:val="clear" w:color="auto" w:fill="auto"/>
            <w:hideMark/>
          </w:tcPr>
          <w:p w14:paraId="2742BD53" w14:textId="77777777" w:rsidR="00C21029" w:rsidRPr="00B434A6" w:rsidRDefault="00C21029" w:rsidP="00E5387E">
            <w:pPr>
              <w:spacing w:after="0" w:line="240" w:lineRule="auto"/>
              <w:rPr>
                <w:rFonts w:cs="Calibri"/>
                <w:sz w:val="20"/>
                <w:szCs w:val="20"/>
              </w:rPr>
            </w:pPr>
          </w:p>
        </w:tc>
        <w:tc>
          <w:tcPr>
            <w:tcW w:w="3858" w:type="pct"/>
            <w:gridSpan w:val="4"/>
            <w:shd w:val="clear" w:color="auto" w:fill="auto"/>
            <w:noWrap/>
            <w:hideMark/>
          </w:tcPr>
          <w:p w14:paraId="4665D193" w14:textId="77777777" w:rsidR="00C21029" w:rsidRPr="00466BFF" w:rsidRDefault="00C21029" w:rsidP="00E5387E">
            <w:pPr>
              <w:spacing w:after="0" w:line="240" w:lineRule="auto"/>
              <w:rPr>
                <w:rFonts w:cs="Calibri"/>
                <w:sz w:val="20"/>
                <w:szCs w:val="20"/>
              </w:rPr>
            </w:pPr>
            <w:bookmarkStart w:id="2249" w:name="_Toc124956530"/>
            <w:r w:rsidRPr="00466BFF">
              <w:rPr>
                <w:rFonts w:cs="Calibri"/>
                <w:sz w:val="20"/>
                <w:szCs w:val="20"/>
              </w:rPr>
              <w:t>Partenariat Min Santé et ADDH/ONG</w:t>
            </w:r>
            <w:bookmarkEnd w:id="2249"/>
          </w:p>
        </w:tc>
      </w:tr>
      <w:tr w:rsidR="00C21029" w:rsidRPr="007F78CE" w14:paraId="1C77D676" w14:textId="77777777" w:rsidTr="00D12C6F">
        <w:trPr>
          <w:trHeight w:val="580"/>
        </w:trPr>
        <w:tc>
          <w:tcPr>
            <w:tcW w:w="1142" w:type="pct"/>
            <w:vMerge/>
            <w:shd w:val="clear" w:color="auto" w:fill="auto"/>
            <w:hideMark/>
          </w:tcPr>
          <w:p w14:paraId="031B6112"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4C67B020" w14:textId="77777777" w:rsidR="00C21029" w:rsidRPr="00466BFF" w:rsidRDefault="00C21029" w:rsidP="00E5387E">
            <w:pPr>
              <w:spacing w:after="0" w:line="240" w:lineRule="auto"/>
              <w:rPr>
                <w:rFonts w:cs="Calibri"/>
                <w:sz w:val="20"/>
                <w:szCs w:val="20"/>
              </w:rPr>
            </w:pPr>
            <w:bookmarkStart w:id="2250" w:name="_Toc124956531"/>
            <w:r w:rsidRPr="00466BFF">
              <w:rPr>
                <w:rFonts w:cs="Calibri"/>
                <w:sz w:val="20"/>
                <w:szCs w:val="20"/>
              </w:rPr>
              <w:t>CECJ/CDEF</w:t>
            </w:r>
            <w:bookmarkEnd w:id="2250"/>
          </w:p>
        </w:tc>
        <w:tc>
          <w:tcPr>
            <w:tcW w:w="607" w:type="pct"/>
            <w:shd w:val="clear" w:color="auto" w:fill="auto"/>
            <w:noWrap/>
            <w:hideMark/>
          </w:tcPr>
          <w:p w14:paraId="40DCAB7F" w14:textId="77777777" w:rsidR="00C21029" w:rsidRPr="00466BFF" w:rsidRDefault="00C21029" w:rsidP="00E5387E">
            <w:pPr>
              <w:spacing w:after="0" w:line="240" w:lineRule="auto"/>
              <w:rPr>
                <w:rFonts w:cs="Calibri"/>
                <w:sz w:val="20"/>
                <w:szCs w:val="20"/>
              </w:rPr>
            </w:pPr>
            <w:bookmarkStart w:id="2251" w:name="_Toc124956532"/>
            <w:r w:rsidRPr="00466BFF">
              <w:rPr>
                <w:rFonts w:cs="Calibri"/>
                <w:sz w:val="20"/>
                <w:szCs w:val="20"/>
              </w:rPr>
              <w:t>0206291749</w:t>
            </w:r>
            <w:bookmarkEnd w:id="2251"/>
          </w:p>
        </w:tc>
        <w:tc>
          <w:tcPr>
            <w:tcW w:w="1307" w:type="pct"/>
            <w:gridSpan w:val="2"/>
            <w:shd w:val="clear" w:color="auto" w:fill="auto"/>
            <w:hideMark/>
          </w:tcPr>
          <w:p w14:paraId="6CABF8E2" w14:textId="77777777" w:rsidR="00C21029" w:rsidRPr="00466BFF" w:rsidRDefault="00C21029" w:rsidP="00E5387E">
            <w:pPr>
              <w:spacing w:after="0" w:line="240" w:lineRule="auto"/>
              <w:rPr>
                <w:rFonts w:cs="Calibri"/>
                <w:sz w:val="20"/>
                <w:szCs w:val="20"/>
              </w:rPr>
            </w:pPr>
            <w:bookmarkStart w:id="2252" w:name="_Toc124956533"/>
            <w:r w:rsidRPr="00466BFF">
              <w:rPr>
                <w:rFonts w:cs="Calibri"/>
                <w:sz w:val="20"/>
                <w:szCs w:val="20"/>
              </w:rPr>
              <w:t xml:space="preserve">Enceinte Dir Population Mangarivotra </w:t>
            </w:r>
            <w:r w:rsidR="007A05FA" w:rsidRPr="00466BFF">
              <w:rPr>
                <w:rFonts w:cs="Calibri"/>
                <w:sz w:val="20"/>
                <w:szCs w:val="20"/>
              </w:rPr>
              <w:t xml:space="preserve">Mahajanga </w:t>
            </w:r>
            <w:r w:rsidRPr="00466BFF">
              <w:rPr>
                <w:rFonts w:cs="Calibri"/>
                <w:sz w:val="20"/>
                <w:szCs w:val="20"/>
              </w:rPr>
              <w:t>I</w:t>
            </w:r>
            <w:bookmarkEnd w:id="2252"/>
          </w:p>
        </w:tc>
      </w:tr>
      <w:tr w:rsidR="00C21029" w:rsidRPr="007F78CE" w14:paraId="2A17A8BB" w14:textId="77777777" w:rsidTr="00D12C6F">
        <w:trPr>
          <w:trHeight w:val="290"/>
        </w:trPr>
        <w:tc>
          <w:tcPr>
            <w:tcW w:w="1142" w:type="pct"/>
            <w:vMerge/>
            <w:shd w:val="clear" w:color="auto" w:fill="auto"/>
            <w:hideMark/>
          </w:tcPr>
          <w:p w14:paraId="3C6B371F" w14:textId="77777777" w:rsidR="00C21029" w:rsidRPr="00B434A6" w:rsidRDefault="00C21029" w:rsidP="00E5387E">
            <w:pPr>
              <w:spacing w:after="0" w:line="240" w:lineRule="auto"/>
              <w:rPr>
                <w:rFonts w:cs="Calibri"/>
                <w:sz w:val="20"/>
                <w:szCs w:val="20"/>
              </w:rPr>
            </w:pPr>
          </w:p>
        </w:tc>
        <w:tc>
          <w:tcPr>
            <w:tcW w:w="3858" w:type="pct"/>
            <w:gridSpan w:val="4"/>
            <w:shd w:val="clear" w:color="auto" w:fill="auto"/>
            <w:noWrap/>
            <w:hideMark/>
          </w:tcPr>
          <w:p w14:paraId="782E7A53" w14:textId="77777777" w:rsidR="00C21029" w:rsidRPr="00466BFF" w:rsidRDefault="00C21029" w:rsidP="00E5387E">
            <w:pPr>
              <w:spacing w:after="0" w:line="240" w:lineRule="auto"/>
              <w:rPr>
                <w:rFonts w:cs="Calibri"/>
                <w:sz w:val="20"/>
                <w:szCs w:val="20"/>
              </w:rPr>
            </w:pPr>
            <w:bookmarkStart w:id="2253" w:name="_Toc124956534"/>
            <w:r w:rsidRPr="00466BFF">
              <w:rPr>
                <w:rFonts w:cs="Calibri"/>
                <w:sz w:val="20"/>
                <w:szCs w:val="20"/>
              </w:rPr>
              <w:t>ADDH/ONG</w:t>
            </w:r>
            <w:bookmarkEnd w:id="2253"/>
          </w:p>
        </w:tc>
      </w:tr>
      <w:tr w:rsidR="00C21029" w:rsidRPr="007F78CE" w14:paraId="4AF32C9E" w14:textId="77777777" w:rsidTr="00D12C6F">
        <w:trPr>
          <w:trHeight w:val="290"/>
        </w:trPr>
        <w:tc>
          <w:tcPr>
            <w:tcW w:w="1142" w:type="pct"/>
            <w:vMerge/>
            <w:shd w:val="clear" w:color="auto" w:fill="auto"/>
            <w:hideMark/>
          </w:tcPr>
          <w:p w14:paraId="68B0DB08"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63CFBE96" w14:textId="77777777" w:rsidR="00C21029" w:rsidRPr="00466BFF" w:rsidRDefault="00C21029" w:rsidP="00E5387E">
            <w:pPr>
              <w:spacing w:after="0" w:line="240" w:lineRule="auto"/>
              <w:rPr>
                <w:rFonts w:cs="Calibri"/>
                <w:sz w:val="20"/>
                <w:szCs w:val="20"/>
              </w:rPr>
            </w:pPr>
            <w:bookmarkStart w:id="2254" w:name="_Toc124956535"/>
            <w:r w:rsidRPr="00466BFF">
              <w:rPr>
                <w:rFonts w:cs="Calibri"/>
                <w:sz w:val="20"/>
                <w:szCs w:val="20"/>
              </w:rPr>
              <w:t>ATD Quart Monde</w:t>
            </w:r>
            <w:bookmarkEnd w:id="2254"/>
          </w:p>
        </w:tc>
        <w:tc>
          <w:tcPr>
            <w:tcW w:w="607" w:type="pct"/>
            <w:shd w:val="clear" w:color="auto" w:fill="auto"/>
            <w:noWrap/>
            <w:hideMark/>
          </w:tcPr>
          <w:p w14:paraId="33CF63EC"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07" w:type="pct"/>
            <w:gridSpan w:val="2"/>
            <w:shd w:val="clear" w:color="auto" w:fill="auto"/>
            <w:hideMark/>
          </w:tcPr>
          <w:p w14:paraId="36392FFF" w14:textId="77777777" w:rsidR="00C21029" w:rsidRPr="00466BFF" w:rsidRDefault="007A05FA" w:rsidP="00E5387E">
            <w:pPr>
              <w:spacing w:after="0" w:line="240" w:lineRule="auto"/>
              <w:rPr>
                <w:rFonts w:cs="Calibri"/>
                <w:sz w:val="20"/>
                <w:szCs w:val="20"/>
              </w:rPr>
            </w:pPr>
            <w:bookmarkStart w:id="2255" w:name="_Toc124956536"/>
            <w:r w:rsidRPr="00466BFF">
              <w:rPr>
                <w:rFonts w:cs="Calibri"/>
                <w:sz w:val="20"/>
                <w:szCs w:val="20"/>
              </w:rPr>
              <w:t xml:space="preserve">Mahajanga </w:t>
            </w:r>
            <w:r w:rsidR="00C21029" w:rsidRPr="00466BFF">
              <w:rPr>
                <w:rFonts w:cs="Calibri"/>
                <w:sz w:val="20"/>
                <w:szCs w:val="20"/>
              </w:rPr>
              <w:t>I</w:t>
            </w:r>
            <w:bookmarkEnd w:id="2255"/>
          </w:p>
        </w:tc>
      </w:tr>
      <w:tr w:rsidR="00C21029" w:rsidRPr="007F78CE" w14:paraId="546FB16D" w14:textId="77777777" w:rsidTr="00D12C6F">
        <w:trPr>
          <w:trHeight w:val="290"/>
        </w:trPr>
        <w:tc>
          <w:tcPr>
            <w:tcW w:w="1142" w:type="pct"/>
            <w:vMerge w:val="restart"/>
            <w:shd w:val="clear" w:color="auto" w:fill="auto"/>
            <w:noWrap/>
            <w:hideMark/>
          </w:tcPr>
          <w:p w14:paraId="6E038136" w14:textId="77777777" w:rsidR="00C21029" w:rsidRPr="00B434A6" w:rsidRDefault="00C21029" w:rsidP="00E5387E">
            <w:pPr>
              <w:spacing w:after="0" w:line="240" w:lineRule="auto"/>
              <w:rPr>
                <w:rFonts w:cs="Calibri"/>
                <w:sz w:val="20"/>
                <w:szCs w:val="20"/>
              </w:rPr>
            </w:pPr>
            <w:bookmarkStart w:id="2256" w:name="_Toc124956537"/>
            <w:r w:rsidRPr="00B434A6">
              <w:rPr>
                <w:rFonts w:cs="Calibri"/>
                <w:sz w:val="20"/>
                <w:szCs w:val="20"/>
              </w:rPr>
              <w:t>BETSIBOKA</w:t>
            </w:r>
            <w:bookmarkEnd w:id="2256"/>
          </w:p>
        </w:tc>
        <w:tc>
          <w:tcPr>
            <w:tcW w:w="1943" w:type="pct"/>
            <w:shd w:val="clear" w:color="auto" w:fill="auto"/>
            <w:noWrap/>
            <w:hideMark/>
          </w:tcPr>
          <w:p w14:paraId="1780F054" w14:textId="77777777" w:rsidR="00C21029" w:rsidRPr="00466BFF" w:rsidRDefault="00C21029" w:rsidP="00E5387E">
            <w:pPr>
              <w:spacing w:after="0" w:line="240" w:lineRule="auto"/>
              <w:rPr>
                <w:rFonts w:cs="Calibri"/>
                <w:sz w:val="20"/>
                <w:szCs w:val="20"/>
              </w:rPr>
            </w:pPr>
            <w:bookmarkStart w:id="2257" w:name="_Toc124956538"/>
            <w:r w:rsidRPr="00466BFF">
              <w:rPr>
                <w:rFonts w:cs="Calibri"/>
                <w:sz w:val="20"/>
                <w:szCs w:val="20"/>
              </w:rPr>
              <w:t>Partenariat Min Santé et ADDH/ONG</w:t>
            </w:r>
            <w:bookmarkEnd w:id="2257"/>
          </w:p>
        </w:tc>
        <w:tc>
          <w:tcPr>
            <w:tcW w:w="607" w:type="pct"/>
            <w:shd w:val="clear" w:color="auto" w:fill="auto"/>
          </w:tcPr>
          <w:p w14:paraId="489075CC" w14:textId="77777777" w:rsidR="00C21029" w:rsidRPr="00466BFF" w:rsidRDefault="00C21029" w:rsidP="00E5387E">
            <w:pPr>
              <w:spacing w:after="0" w:line="240" w:lineRule="auto"/>
              <w:rPr>
                <w:rFonts w:cs="Calibri"/>
                <w:sz w:val="20"/>
                <w:szCs w:val="20"/>
              </w:rPr>
            </w:pPr>
          </w:p>
        </w:tc>
        <w:tc>
          <w:tcPr>
            <w:tcW w:w="1307" w:type="pct"/>
            <w:gridSpan w:val="2"/>
            <w:shd w:val="clear" w:color="auto" w:fill="auto"/>
          </w:tcPr>
          <w:p w14:paraId="6903DE2F" w14:textId="77777777" w:rsidR="00C21029" w:rsidRPr="00466BFF" w:rsidRDefault="00C21029" w:rsidP="00E5387E">
            <w:pPr>
              <w:spacing w:after="0" w:line="240" w:lineRule="auto"/>
              <w:rPr>
                <w:rFonts w:cs="Calibri"/>
                <w:sz w:val="20"/>
                <w:szCs w:val="20"/>
              </w:rPr>
            </w:pPr>
          </w:p>
        </w:tc>
      </w:tr>
      <w:tr w:rsidR="00C21029" w:rsidRPr="007F78CE" w14:paraId="2501BD8D" w14:textId="77777777" w:rsidTr="00D12C6F">
        <w:trPr>
          <w:trHeight w:val="290"/>
        </w:trPr>
        <w:tc>
          <w:tcPr>
            <w:tcW w:w="1142" w:type="pct"/>
            <w:vMerge/>
            <w:shd w:val="clear" w:color="auto" w:fill="auto"/>
            <w:hideMark/>
          </w:tcPr>
          <w:p w14:paraId="5BF68234"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1AEDFC67" w14:textId="77777777" w:rsidR="00C21029" w:rsidRPr="00466BFF" w:rsidRDefault="00C21029" w:rsidP="00E5387E">
            <w:pPr>
              <w:spacing w:after="0" w:line="240" w:lineRule="auto"/>
              <w:rPr>
                <w:rFonts w:cs="Calibri"/>
                <w:sz w:val="20"/>
                <w:szCs w:val="20"/>
              </w:rPr>
            </w:pPr>
            <w:bookmarkStart w:id="2258" w:name="_Toc124956539"/>
            <w:r w:rsidRPr="00466BFF">
              <w:rPr>
                <w:rFonts w:cs="Calibri"/>
                <w:sz w:val="20"/>
                <w:szCs w:val="20"/>
              </w:rPr>
              <w:t>CECJ/Balisama</w:t>
            </w:r>
            <w:bookmarkEnd w:id="2258"/>
          </w:p>
        </w:tc>
        <w:tc>
          <w:tcPr>
            <w:tcW w:w="607" w:type="pct"/>
            <w:shd w:val="clear" w:color="auto" w:fill="auto"/>
            <w:noWrap/>
            <w:hideMark/>
          </w:tcPr>
          <w:p w14:paraId="36F8CA65"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07" w:type="pct"/>
            <w:gridSpan w:val="2"/>
            <w:shd w:val="clear" w:color="auto" w:fill="auto"/>
            <w:hideMark/>
          </w:tcPr>
          <w:p w14:paraId="01794968" w14:textId="77777777" w:rsidR="00C21029" w:rsidRPr="00466BFF" w:rsidRDefault="00C21029" w:rsidP="00E5387E">
            <w:pPr>
              <w:spacing w:after="0" w:line="240" w:lineRule="auto"/>
              <w:rPr>
                <w:rFonts w:cs="Calibri"/>
                <w:sz w:val="20"/>
                <w:szCs w:val="20"/>
              </w:rPr>
            </w:pPr>
            <w:bookmarkStart w:id="2259" w:name="_Toc124956540"/>
            <w:r w:rsidRPr="00466BFF">
              <w:rPr>
                <w:rFonts w:cs="Calibri"/>
                <w:sz w:val="20"/>
                <w:szCs w:val="20"/>
              </w:rPr>
              <w:t>Maevatanana</w:t>
            </w:r>
            <w:bookmarkEnd w:id="2259"/>
          </w:p>
        </w:tc>
      </w:tr>
      <w:tr w:rsidR="00C21029" w:rsidRPr="007F78CE" w14:paraId="32FF31C9" w14:textId="77777777" w:rsidTr="00D12C6F">
        <w:trPr>
          <w:trHeight w:val="290"/>
        </w:trPr>
        <w:tc>
          <w:tcPr>
            <w:tcW w:w="1142" w:type="pct"/>
            <w:vMerge w:val="restart"/>
            <w:shd w:val="clear" w:color="auto" w:fill="auto"/>
            <w:noWrap/>
            <w:hideMark/>
          </w:tcPr>
          <w:p w14:paraId="4ED1887D" w14:textId="77777777" w:rsidR="00C21029" w:rsidRPr="00B434A6" w:rsidRDefault="00C21029" w:rsidP="00E5387E">
            <w:pPr>
              <w:spacing w:after="0" w:line="240" w:lineRule="auto"/>
              <w:rPr>
                <w:rFonts w:cs="Calibri"/>
                <w:sz w:val="20"/>
                <w:szCs w:val="20"/>
              </w:rPr>
            </w:pPr>
            <w:bookmarkStart w:id="2260" w:name="_Toc124956541"/>
            <w:r w:rsidRPr="00B434A6">
              <w:rPr>
                <w:rFonts w:cs="Calibri"/>
                <w:sz w:val="20"/>
                <w:szCs w:val="20"/>
              </w:rPr>
              <w:t>DIANA</w:t>
            </w:r>
            <w:bookmarkEnd w:id="2260"/>
          </w:p>
        </w:tc>
        <w:tc>
          <w:tcPr>
            <w:tcW w:w="3858" w:type="pct"/>
            <w:gridSpan w:val="4"/>
            <w:shd w:val="clear" w:color="auto" w:fill="auto"/>
            <w:noWrap/>
            <w:hideMark/>
          </w:tcPr>
          <w:p w14:paraId="576E0694" w14:textId="77777777" w:rsidR="00C21029" w:rsidRPr="00466BFF" w:rsidRDefault="00C21029" w:rsidP="00E5387E">
            <w:pPr>
              <w:spacing w:after="0" w:line="240" w:lineRule="auto"/>
              <w:rPr>
                <w:rFonts w:cs="Calibri"/>
                <w:sz w:val="20"/>
                <w:szCs w:val="20"/>
              </w:rPr>
            </w:pPr>
            <w:bookmarkStart w:id="2261" w:name="_Toc124956542"/>
            <w:r w:rsidRPr="00466BFF">
              <w:rPr>
                <w:rFonts w:cs="Calibri"/>
                <w:sz w:val="20"/>
                <w:szCs w:val="20"/>
              </w:rPr>
              <w:t>ADDH/ONG</w:t>
            </w:r>
            <w:bookmarkEnd w:id="2261"/>
          </w:p>
        </w:tc>
      </w:tr>
      <w:tr w:rsidR="00C21029" w:rsidRPr="007F78CE" w14:paraId="606B8D92" w14:textId="77777777" w:rsidTr="00D12C6F">
        <w:trPr>
          <w:trHeight w:val="290"/>
        </w:trPr>
        <w:tc>
          <w:tcPr>
            <w:tcW w:w="1142" w:type="pct"/>
            <w:vMerge/>
            <w:shd w:val="clear" w:color="auto" w:fill="auto"/>
            <w:hideMark/>
          </w:tcPr>
          <w:p w14:paraId="0325B395"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5866FA26" w14:textId="77777777" w:rsidR="00C21029" w:rsidRPr="00466BFF" w:rsidRDefault="00C21029" w:rsidP="00E5387E">
            <w:pPr>
              <w:spacing w:after="0" w:line="240" w:lineRule="auto"/>
              <w:rPr>
                <w:rFonts w:cs="Calibri"/>
                <w:sz w:val="20"/>
                <w:szCs w:val="20"/>
              </w:rPr>
            </w:pPr>
            <w:bookmarkStart w:id="2262" w:name="_Toc124956543"/>
            <w:r w:rsidRPr="00466BFF">
              <w:rPr>
                <w:rFonts w:cs="Calibri"/>
                <w:sz w:val="20"/>
                <w:szCs w:val="20"/>
              </w:rPr>
              <w:t>Grandir Dignement</w:t>
            </w:r>
            <w:bookmarkEnd w:id="2262"/>
          </w:p>
        </w:tc>
        <w:tc>
          <w:tcPr>
            <w:tcW w:w="607" w:type="pct"/>
            <w:shd w:val="clear" w:color="auto" w:fill="auto"/>
            <w:noWrap/>
            <w:hideMark/>
          </w:tcPr>
          <w:p w14:paraId="0197654B" w14:textId="77777777" w:rsidR="00C21029" w:rsidRPr="00466BFF" w:rsidRDefault="00C21029" w:rsidP="00E5387E">
            <w:pPr>
              <w:spacing w:after="0" w:line="240" w:lineRule="auto"/>
              <w:rPr>
                <w:rFonts w:cs="Calibri"/>
                <w:sz w:val="20"/>
                <w:szCs w:val="20"/>
              </w:rPr>
            </w:pPr>
            <w:bookmarkStart w:id="2263" w:name="_Toc124956544"/>
            <w:r w:rsidRPr="00466BFF">
              <w:rPr>
                <w:rFonts w:cs="Calibri"/>
                <w:sz w:val="20"/>
                <w:szCs w:val="20"/>
              </w:rPr>
              <w:t>0321749774</w:t>
            </w:r>
            <w:bookmarkEnd w:id="2263"/>
          </w:p>
        </w:tc>
        <w:tc>
          <w:tcPr>
            <w:tcW w:w="1307" w:type="pct"/>
            <w:gridSpan w:val="2"/>
            <w:shd w:val="clear" w:color="auto" w:fill="auto"/>
            <w:hideMark/>
          </w:tcPr>
          <w:p w14:paraId="28159E6D" w14:textId="77777777" w:rsidR="00C21029" w:rsidRPr="00466BFF" w:rsidRDefault="00C21029" w:rsidP="00E5387E">
            <w:pPr>
              <w:spacing w:after="0" w:line="240" w:lineRule="auto"/>
              <w:rPr>
                <w:rFonts w:cs="Calibri"/>
                <w:sz w:val="20"/>
                <w:szCs w:val="20"/>
              </w:rPr>
            </w:pPr>
            <w:bookmarkStart w:id="2264" w:name="_Toc124956545"/>
            <w:r w:rsidRPr="00466BFF">
              <w:rPr>
                <w:rFonts w:cs="Calibri"/>
                <w:sz w:val="20"/>
                <w:szCs w:val="20"/>
              </w:rPr>
              <w:t xml:space="preserve">Joffre Ville </w:t>
            </w:r>
            <w:r w:rsidR="007A05FA" w:rsidRPr="00466BFF">
              <w:rPr>
                <w:rFonts w:cs="Calibri"/>
                <w:sz w:val="20"/>
                <w:szCs w:val="20"/>
              </w:rPr>
              <w:t xml:space="preserve">Antsiranana </w:t>
            </w:r>
            <w:r w:rsidRPr="00466BFF">
              <w:rPr>
                <w:rFonts w:cs="Calibri"/>
                <w:sz w:val="20"/>
                <w:szCs w:val="20"/>
              </w:rPr>
              <w:t>II</w:t>
            </w:r>
            <w:bookmarkEnd w:id="2264"/>
          </w:p>
        </w:tc>
      </w:tr>
      <w:tr w:rsidR="00C21029" w:rsidRPr="007F78CE" w14:paraId="2DFC47B5" w14:textId="77777777" w:rsidTr="00D12C6F">
        <w:trPr>
          <w:trHeight w:val="290"/>
        </w:trPr>
        <w:tc>
          <w:tcPr>
            <w:tcW w:w="1142" w:type="pct"/>
            <w:vMerge/>
            <w:shd w:val="clear" w:color="auto" w:fill="auto"/>
            <w:hideMark/>
          </w:tcPr>
          <w:p w14:paraId="1922F471"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6D085F7A" w14:textId="77777777" w:rsidR="00C21029" w:rsidRPr="00466BFF" w:rsidRDefault="00C21029" w:rsidP="00E5387E">
            <w:pPr>
              <w:spacing w:after="0" w:line="240" w:lineRule="auto"/>
              <w:rPr>
                <w:rFonts w:cs="Calibri"/>
                <w:sz w:val="20"/>
                <w:szCs w:val="20"/>
              </w:rPr>
            </w:pPr>
            <w:bookmarkStart w:id="2265" w:name="_Toc124956546"/>
            <w:r w:rsidRPr="00466BFF">
              <w:rPr>
                <w:rFonts w:cs="Calibri"/>
                <w:sz w:val="20"/>
                <w:szCs w:val="20"/>
              </w:rPr>
              <w:t>Femme Carrefour des Musulmanes</w:t>
            </w:r>
            <w:bookmarkEnd w:id="2265"/>
          </w:p>
        </w:tc>
        <w:tc>
          <w:tcPr>
            <w:tcW w:w="607" w:type="pct"/>
            <w:shd w:val="clear" w:color="auto" w:fill="auto"/>
            <w:noWrap/>
            <w:hideMark/>
          </w:tcPr>
          <w:p w14:paraId="7543AFA5" w14:textId="77777777" w:rsidR="00C21029" w:rsidRPr="00466BFF" w:rsidRDefault="00C21029" w:rsidP="00E5387E">
            <w:pPr>
              <w:spacing w:after="0" w:line="240" w:lineRule="auto"/>
              <w:rPr>
                <w:rFonts w:cs="Calibri"/>
                <w:sz w:val="20"/>
                <w:szCs w:val="20"/>
              </w:rPr>
            </w:pPr>
            <w:bookmarkStart w:id="2266" w:name="_Toc124956547"/>
            <w:r w:rsidRPr="00466BFF">
              <w:rPr>
                <w:rFonts w:cs="Calibri"/>
                <w:sz w:val="20"/>
                <w:szCs w:val="20"/>
              </w:rPr>
              <w:t>0340338356</w:t>
            </w:r>
            <w:bookmarkEnd w:id="2266"/>
          </w:p>
        </w:tc>
        <w:tc>
          <w:tcPr>
            <w:tcW w:w="1307" w:type="pct"/>
            <w:gridSpan w:val="2"/>
            <w:shd w:val="clear" w:color="auto" w:fill="auto"/>
            <w:hideMark/>
          </w:tcPr>
          <w:p w14:paraId="40B65589" w14:textId="77777777" w:rsidR="00C21029" w:rsidRPr="00466BFF" w:rsidRDefault="007A05FA" w:rsidP="00E5387E">
            <w:pPr>
              <w:spacing w:after="0" w:line="240" w:lineRule="auto"/>
              <w:rPr>
                <w:rFonts w:cs="Calibri"/>
                <w:sz w:val="20"/>
                <w:szCs w:val="20"/>
              </w:rPr>
            </w:pPr>
            <w:bookmarkStart w:id="2267" w:name="_Toc124956548"/>
            <w:r w:rsidRPr="00466BFF">
              <w:rPr>
                <w:rFonts w:cs="Calibri"/>
                <w:sz w:val="20"/>
                <w:szCs w:val="20"/>
              </w:rPr>
              <w:t xml:space="preserve">Antsiranana </w:t>
            </w:r>
            <w:r w:rsidR="00C21029" w:rsidRPr="00466BFF">
              <w:rPr>
                <w:rFonts w:cs="Calibri"/>
                <w:sz w:val="20"/>
                <w:szCs w:val="20"/>
              </w:rPr>
              <w:t>I</w:t>
            </w:r>
            <w:bookmarkEnd w:id="2267"/>
          </w:p>
        </w:tc>
      </w:tr>
      <w:tr w:rsidR="00C21029" w:rsidRPr="007F78CE" w14:paraId="4E01F510" w14:textId="77777777" w:rsidTr="00D12C6F">
        <w:trPr>
          <w:trHeight w:val="290"/>
        </w:trPr>
        <w:tc>
          <w:tcPr>
            <w:tcW w:w="1142" w:type="pct"/>
            <w:vMerge/>
            <w:shd w:val="clear" w:color="auto" w:fill="auto"/>
            <w:hideMark/>
          </w:tcPr>
          <w:p w14:paraId="4257A38D"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372A25ED" w14:textId="77777777" w:rsidR="00C21029" w:rsidRPr="00466BFF" w:rsidRDefault="00C21029" w:rsidP="00E5387E">
            <w:pPr>
              <w:spacing w:after="0" w:line="240" w:lineRule="auto"/>
              <w:rPr>
                <w:rFonts w:cs="Calibri"/>
                <w:sz w:val="20"/>
                <w:szCs w:val="20"/>
              </w:rPr>
            </w:pPr>
            <w:bookmarkStart w:id="2268" w:name="_Toc124956549"/>
            <w:r w:rsidRPr="00466BFF">
              <w:rPr>
                <w:rFonts w:cs="Calibri"/>
                <w:sz w:val="20"/>
                <w:szCs w:val="20"/>
              </w:rPr>
              <w:t>Tranobe BAOMBY</w:t>
            </w:r>
            <w:bookmarkEnd w:id="2268"/>
          </w:p>
        </w:tc>
        <w:tc>
          <w:tcPr>
            <w:tcW w:w="607" w:type="pct"/>
            <w:shd w:val="clear" w:color="auto" w:fill="auto"/>
            <w:noWrap/>
            <w:hideMark/>
          </w:tcPr>
          <w:p w14:paraId="66FDB66F" w14:textId="77777777" w:rsidR="00C21029" w:rsidRPr="00466BFF" w:rsidRDefault="00C21029" w:rsidP="00E5387E">
            <w:pPr>
              <w:spacing w:after="0" w:line="240" w:lineRule="auto"/>
              <w:rPr>
                <w:rFonts w:cs="Calibri"/>
                <w:sz w:val="20"/>
                <w:szCs w:val="20"/>
              </w:rPr>
            </w:pPr>
            <w:bookmarkStart w:id="2269" w:name="_Toc124956550"/>
            <w:r w:rsidRPr="00466BFF">
              <w:rPr>
                <w:rFonts w:cs="Calibri"/>
                <w:sz w:val="20"/>
                <w:szCs w:val="20"/>
              </w:rPr>
              <w:t>0325268469</w:t>
            </w:r>
            <w:bookmarkEnd w:id="2269"/>
          </w:p>
        </w:tc>
        <w:tc>
          <w:tcPr>
            <w:tcW w:w="1307" w:type="pct"/>
            <w:gridSpan w:val="2"/>
            <w:shd w:val="clear" w:color="auto" w:fill="auto"/>
            <w:hideMark/>
          </w:tcPr>
          <w:p w14:paraId="2E4CA926" w14:textId="77777777" w:rsidR="00C21029" w:rsidRPr="00466BFF" w:rsidRDefault="007A05FA" w:rsidP="00E5387E">
            <w:pPr>
              <w:spacing w:after="0" w:line="240" w:lineRule="auto"/>
              <w:rPr>
                <w:rFonts w:cs="Calibri"/>
                <w:sz w:val="20"/>
                <w:szCs w:val="20"/>
              </w:rPr>
            </w:pPr>
            <w:bookmarkStart w:id="2270" w:name="_Toc124956551"/>
            <w:r w:rsidRPr="00466BFF">
              <w:rPr>
                <w:rFonts w:cs="Calibri"/>
                <w:sz w:val="20"/>
                <w:szCs w:val="20"/>
              </w:rPr>
              <w:t xml:space="preserve">Antsiranana </w:t>
            </w:r>
            <w:r w:rsidR="00C21029" w:rsidRPr="00466BFF">
              <w:rPr>
                <w:rFonts w:cs="Calibri"/>
                <w:sz w:val="20"/>
                <w:szCs w:val="20"/>
              </w:rPr>
              <w:t>I</w:t>
            </w:r>
            <w:bookmarkEnd w:id="2270"/>
          </w:p>
        </w:tc>
      </w:tr>
      <w:tr w:rsidR="00C21029" w:rsidRPr="007F78CE" w14:paraId="2698553E" w14:textId="77777777" w:rsidTr="00D12C6F">
        <w:trPr>
          <w:trHeight w:val="290"/>
        </w:trPr>
        <w:tc>
          <w:tcPr>
            <w:tcW w:w="1142" w:type="pct"/>
            <w:vMerge/>
            <w:shd w:val="clear" w:color="auto" w:fill="auto"/>
            <w:hideMark/>
          </w:tcPr>
          <w:p w14:paraId="3C2353FC"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3259B6FA" w14:textId="77777777" w:rsidR="00C21029" w:rsidRPr="00466BFF" w:rsidRDefault="00C21029" w:rsidP="00E5387E">
            <w:pPr>
              <w:spacing w:after="0" w:line="240" w:lineRule="auto"/>
              <w:rPr>
                <w:rFonts w:cs="Calibri"/>
                <w:sz w:val="20"/>
                <w:szCs w:val="20"/>
              </w:rPr>
            </w:pPr>
            <w:bookmarkStart w:id="2271" w:name="_Toc124956552"/>
            <w:r w:rsidRPr="00466BFF">
              <w:rPr>
                <w:rFonts w:cs="Calibri"/>
                <w:sz w:val="20"/>
                <w:szCs w:val="20"/>
              </w:rPr>
              <w:t>VMLF</w:t>
            </w:r>
            <w:bookmarkEnd w:id="2271"/>
          </w:p>
        </w:tc>
        <w:tc>
          <w:tcPr>
            <w:tcW w:w="607" w:type="pct"/>
            <w:shd w:val="clear" w:color="auto" w:fill="auto"/>
            <w:noWrap/>
            <w:hideMark/>
          </w:tcPr>
          <w:p w14:paraId="36CD52C9" w14:textId="77777777" w:rsidR="00C21029" w:rsidRPr="00466BFF" w:rsidRDefault="00C21029" w:rsidP="00E5387E">
            <w:pPr>
              <w:spacing w:after="0" w:line="240" w:lineRule="auto"/>
              <w:rPr>
                <w:rFonts w:cs="Calibri"/>
                <w:sz w:val="20"/>
                <w:szCs w:val="20"/>
              </w:rPr>
            </w:pPr>
            <w:bookmarkStart w:id="2272" w:name="_Toc124956553"/>
            <w:r w:rsidRPr="00466BFF">
              <w:rPr>
                <w:rFonts w:cs="Calibri"/>
                <w:sz w:val="20"/>
                <w:szCs w:val="20"/>
              </w:rPr>
              <w:t>0320261980</w:t>
            </w:r>
            <w:bookmarkEnd w:id="2272"/>
          </w:p>
        </w:tc>
        <w:tc>
          <w:tcPr>
            <w:tcW w:w="1307" w:type="pct"/>
            <w:gridSpan w:val="2"/>
            <w:shd w:val="clear" w:color="auto" w:fill="auto"/>
            <w:hideMark/>
          </w:tcPr>
          <w:p w14:paraId="7DEDCB2C" w14:textId="77777777" w:rsidR="00C21029" w:rsidRPr="00466BFF" w:rsidRDefault="007A05FA" w:rsidP="00E5387E">
            <w:pPr>
              <w:spacing w:after="0" w:line="240" w:lineRule="auto"/>
              <w:rPr>
                <w:rFonts w:cs="Calibri"/>
                <w:sz w:val="20"/>
                <w:szCs w:val="20"/>
              </w:rPr>
            </w:pPr>
            <w:bookmarkStart w:id="2273" w:name="_Toc124956554"/>
            <w:r w:rsidRPr="00466BFF">
              <w:rPr>
                <w:rFonts w:cs="Calibri"/>
                <w:sz w:val="20"/>
                <w:szCs w:val="20"/>
              </w:rPr>
              <w:t xml:space="preserve">Antsiranana </w:t>
            </w:r>
            <w:r w:rsidR="00C21029" w:rsidRPr="00466BFF">
              <w:rPr>
                <w:rFonts w:cs="Calibri"/>
                <w:sz w:val="20"/>
                <w:szCs w:val="20"/>
              </w:rPr>
              <w:t>I</w:t>
            </w:r>
            <w:bookmarkEnd w:id="2273"/>
          </w:p>
        </w:tc>
      </w:tr>
      <w:tr w:rsidR="00C21029" w:rsidRPr="007F78CE" w14:paraId="1749F83F" w14:textId="77777777" w:rsidTr="00D12C6F">
        <w:trPr>
          <w:trHeight w:val="290"/>
        </w:trPr>
        <w:tc>
          <w:tcPr>
            <w:tcW w:w="1142" w:type="pct"/>
            <w:vMerge/>
            <w:shd w:val="clear" w:color="auto" w:fill="auto"/>
            <w:hideMark/>
          </w:tcPr>
          <w:p w14:paraId="3D0AE18C"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657B9046" w14:textId="77777777" w:rsidR="00C21029" w:rsidRPr="00466BFF" w:rsidRDefault="00C21029" w:rsidP="00E5387E">
            <w:pPr>
              <w:spacing w:after="0" w:line="240" w:lineRule="auto"/>
              <w:rPr>
                <w:rFonts w:cs="Calibri"/>
                <w:sz w:val="20"/>
                <w:szCs w:val="20"/>
              </w:rPr>
            </w:pPr>
            <w:bookmarkStart w:id="2274" w:name="_Toc124956555"/>
            <w:r w:rsidRPr="00466BFF">
              <w:rPr>
                <w:rFonts w:cs="Calibri"/>
                <w:sz w:val="20"/>
                <w:szCs w:val="20"/>
              </w:rPr>
              <w:t>Foyer d'accueil</w:t>
            </w:r>
            <w:r w:rsidR="006D5F22" w:rsidRPr="00466BFF">
              <w:rPr>
                <w:rFonts w:cs="Calibri"/>
                <w:sz w:val="20"/>
                <w:szCs w:val="20"/>
              </w:rPr>
              <w:t xml:space="preserve"> </w:t>
            </w:r>
            <w:r w:rsidRPr="00466BFF">
              <w:rPr>
                <w:rFonts w:cs="Calibri"/>
                <w:sz w:val="20"/>
                <w:szCs w:val="20"/>
              </w:rPr>
              <w:t>Allessia</w:t>
            </w:r>
            <w:bookmarkEnd w:id="2274"/>
          </w:p>
        </w:tc>
        <w:tc>
          <w:tcPr>
            <w:tcW w:w="607" w:type="pct"/>
            <w:shd w:val="clear" w:color="auto" w:fill="auto"/>
            <w:noWrap/>
            <w:hideMark/>
          </w:tcPr>
          <w:p w14:paraId="505AB428" w14:textId="77777777" w:rsidR="00C21029" w:rsidRPr="00466BFF" w:rsidRDefault="00C21029" w:rsidP="00E5387E">
            <w:pPr>
              <w:spacing w:after="0" w:line="240" w:lineRule="auto"/>
              <w:rPr>
                <w:rFonts w:cs="Calibri"/>
                <w:sz w:val="20"/>
                <w:szCs w:val="20"/>
              </w:rPr>
            </w:pPr>
            <w:bookmarkStart w:id="2275" w:name="_Toc124956556"/>
            <w:r w:rsidRPr="00466BFF">
              <w:rPr>
                <w:rFonts w:cs="Calibri"/>
                <w:sz w:val="20"/>
                <w:szCs w:val="20"/>
              </w:rPr>
              <w:t>0324096469</w:t>
            </w:r>
            <w:bookmarkEnd w:id="2275"/>
          </w:p>
        </w:tc>
        <w:tc>
          <w:tcPr>
            <w:tcW w:w="1307" w:type="pct"/>
            <w:gridSpan w:val="2"/>
            <w:shd w:val="clear" w:color="auto" w:fill="auto"/>
            <w:hideMark/>
          </w:tcPr>
          <w:p w14:paraId="42BE3D7F" w14:textId="77777777" w:rsidR="00C21029" w:rsidRPr="00466BFF" w:rsidRDefault="00C21029" w:rsidP="00E5387E">
            <w:pPr>
              <w:spacing w:after="0" w:line="240" w:lineRule="auto"/>
              <w:rPr>
                <w:rFonts w:cs="Calibri"/>
                <w:sz w:val="20"/>
                <w:szCs w:val="20"/>
              </w:rPr>
            </w:pPr>
            <w:bookmarkStart w:id="2276" w:name="_Toc124956557"/>
            <w:r w:rsidRPr="00466BFF">
              <w:rPr>
                <w:rFonts w:cs="Calibri"/>
                <w:sz w:val="20"/>
                <w:szCs w:val="20"/>
              </w:rPr>
              <w:t>Ambanja</w:t>
            </w:r>
            <w:bookmarkEnd w:id="2276"/>
          </w:p>
        </w:tc>
      </w:tr>
      <w:tr w:rsidR="00C21029" w:rsidRPr="007F78CE" w14:paraId="09065FD8" w14:textId="77777777" w:rsidTr="00D12C6F">
        <w:trPr>
          <w:trHeight w:val="290"/>
        </w:trPr>
        <w:tc>
          <w:tcPr>
            <w:tcW w:w="1142" w:type="pct"/>
            <w:vMerge/>
            <w:shd w:val="clear" w:color="auto" w:fill="auto"/>
            <w:hideMark/>
          </w:tcPr>
          <w:p w14:paraId="0BC54AD4"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2AD45480" w14:textId="77777777" w:rsidR="00C21029" w:rsidRPr="00466BFF" w:rsidRDefault="00C21029" w:rsidP="00E5387E">
            <w:pPr>
              <w:spacing w:after="0" w:line="240" w:lineRule="auto"/>
              <w:rPr>
                <w:rFonts w:cs="Calibri"/>
                <w:sz w:val="20"/>
                <w:szCs w:val="20"/>
              </w:rPr>
            </w:pPr>
            <w:bookmarkStart w:id="2277" w:name="_Toc124956558"/>
            <w:r w:rsidRPr="00466BFF">
              <w:rPr>
                <w:rFonts w:cs="Calibri"/>
                <w:sz w:val="20"/>
                <w:szCs w:val="20"/>
              </w:rPr>
              <w:t>CRADES</w:t>
            </w:r>
            <w:bookmarkEnd w:id="2277"/>
          </w:p>
        </w:tc>
        <w:tc>
          <w:tcPr>
            <w:tcW w:w="607" w:type="pct"/>
            <w:shd w:val="clear" w:color="auto" w:fill="auto"/>
            <w:noWrap/>
            <w:hideMark/>
          </w:tcPr>
          <w:p w14:paraId="2EBA6FCB" w14:textId="77777777" w:rsidR="00C21029" w:rsidRPr="00466BFF" w:rsidRDefault="00C21029" w:rsidP="00E5387E">
            <w:pPr>
              <w:spacing w:after="0" w:line="240" w:lineRule="auto"/>
              <w:rPr>
                <w:rFonts w:cs="Calibri"/>
                <w:sz w:val="20"/>
                <w:szCs w:val="20"/>
              </w:rPr>
            </w:pPr>
            <w:bookmarkStart w:id="2278" w:name="_Toc124956559"/>
            <w:r w:rsidRPr="00466BFF">
              <w:rPr>
                <w:rFonts w:cs="Calibri"/>
                <w:sz w:val="20"/>
                <w:szCs w:val="20"/>
              </w:rPr>
              <w:t>0324190664</w:t>
            </w:r>
            <w:bookmarkEnd w:id="2278"/>
          </w:p>
        </w:tc>
        <w:tc>
          <w:tcPr>
            <w:tcW w:w="1307" w:type="pct"/>
            <w:gridSpan w:val="2"/>
            <w:shd w:val="clear" w:color="auto" w:fill="auto"/>
            <w:hideMark/>
          </w:tcPr>
          <w:p w14:paraId="415F888D" w14:textId="77777777" w:rsidR="00C21029" w:rsidRPr="00466BFF" w:rsidRDefault="00C21029" w:rsidP="00E5387E">
            <w:pPr>
              <w:spacing w:after="0" w:line="240" w:lineRule="auto"/>
              <w:rPr>
                <w:rFonts w:cs="Calibri"/>
                <w:sz w:val="20"/>
                <w:szCs w:val="20"/>
              </w:rPr>
            </w:pPr>
            <w:bookmarkStart w:id="2279" w:name="_Toc124956560"/>
            <w:r w:rsidRPr="00466BFF">
              <w:rPr>
                <w:rFonts w:cs="Calibri"/>
                <w:sz w:val="20"/>
                <w:szCs w:val="20"/>
              </w:rPr>
              <w:t>Ambanja</w:t>
            </w:r>
            <w:bookmarkEnd w:id="2279"/>
          </w:p>
        </w:tc>
      </w:tr>
      <w:tr w:rsidR="00C21029" w:rsidRPr="007F78CE" w14:paraId="24B82DD8" w14:textId="77777777" w:rsidTr="00D12C6F">
        <w:trPr>
          <w:trHeight w:val="290"/>
        </w:trPr>
        <w:tc>
          <w:tcPr>
            <w:tcW w:w="1142" w:type="pct"/>
            <w:vMerge/>
            <w:shd w:val="clear" w:color="auto" w:fill="auto"/>
            <w:hideMark/>
          </w:tcPr>
          <w:p w14:paraId="5497940B"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56175B23" w14:textId="77777777" w:rsidR="00C21029" w:rsidRPr="00466BFF" w:rsidRDefault="00C21029" w:rsidP="00E5387E">
            <w:pPr>
              <w:spacing w:after="0" w:line="240" w:lineRule="auto"/>
              <w:rPr>
                <w:rFonts w:cs="Calibri"/>
                <w:sz w:val="20"/>
                <w:szCs w:val="20"/>
              </w:rPr>
            </w:pPr>
            <w:bookmarkStart w:id="2280" w:name="_Toc124956561"/>
            <w:r w:rsidRPr="00466BFF">
              <w:rPr>
                <w:rFonts w:cs="Calibri"/>
                <w:sz w:val="20"/>
                <w:szCs w:val="20"/>
              </w:rPr>
              <w:t>ANJARA</w:t>
            </w:r>
            <w:bookmarkEnd w:id="2280"/>
          </w:p>
        </w:tc>
        <w:tc>
          <w:tcPr>
            <w:tcW w:w="607" w:type="pct"/>
            <w:shd w:val="clear" w:color="auto" w:fill="auto"/>
            <w:noWrap/>
            <w:hideMark/>
          </w:tcPr>
          <w:p w14:paraId="59103231" w14:textId="77777777" w:rsidR="00C21029" w:rsidRPr="00466BFF" w:rsidRDefault="00C21029" w:rsidP="00E5387E">
            <w:pPr>
              <w:spacing w:after="0" w:line="240" w:lineRule="auto"/>
              <w:rPr>
                <w:rFonts w:cs="Calibri"/>
                <w:sz w:val="20"/>
                <w:szCs w:val="20"/>
              </w:rPr>
            </w:pPr>
            <w:bookmarkStart w:id="2281" w:name="_Toc124956562"/>
            <w:r w:rsidRPr="00466BFF">
              <w:rPr>
                <w:rFonts w:cs="Calibri"/>
                <w:sz w:val="20"/>
                <w:szCs w:val="20"/>
              </w:rPr>
              <w:t>0320750601</w:t>
            </w:r>
            <w:bookmarkEnd w:id="2281"/>
          </w:p>
        </w:tc>
        <w:tc>
          <w:tcPr>
            <w:tcW w:w="1307" w:type="pct"/>
            <w:gridSpan w:val="2"/>
            <w:shd w:val="clear" w:color="auto" w:fill="auto"/>
            <w:hideMark/>
          </w:tcPr>
          <w:p w14:paraId="5D6271E4" w14:textId="77777777" w:rsidR="00C21029" w:rsidRPr="00466BFF" w:rsidRDefault="00C21029" w:rsidP="00E5387E">
            <w:pPr>
              <w:spacing w:after="0" w:line="240" w:lineRule="auto"/>
              <w:rPr>
                <w:rFonts w:cs="Calibri"/>
                <w:sz w:val="20"/>
                <w:szCs w:val="20"/>
              </w:rPr>
            </w:pPr>
            <w:bookmarkStart w:id="2282" w:name="_Toc124956563"/>
            <w:r w:rsidRPr="00466BFF">
              <w:rPr>
                <w:rFonts w:cs="Calibri"/>
                <w:sz w:val="20"/>
                <w:szCs w:val="20"/>
              </w:rPr>
              <w:t>Nosy Be</w:t>
            </w:r>
            <w:bookmarkEnd w:id="2282"/>
          </w:p>
        </w:tc>
      </w:tr>
      <w:tr w:rsidR="00C21029" w:rsidRPr="007F78CE" w14:paraId="4C2A2922" w14:textId="77777777" w:rsidTr="00D12C6F">
        <w:trPr>
          <w:trHeight w:val="290"/>
        </w:trPr>
        <w:tc>
          <w:tcPr>
            <w:tcW w:w="1142" w:type="pct"/>
            <w:vMerge/>
            <w:shd w:val="clear" w:color="auto" w:fill="auto"/>
            <w:hideMark/>
          </w:tcPr>
          <w:p w14:paraId="48C36E2B"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0C663207" w14:textId="77777777" w:rsidR="00C21029" w:rsidRPr="00466BFF" w:rsidRDefault="00C21029" w:rsidP="00E5387E">
            <w:pPr>
              <w:spacing w:after="0" w:line="240" w:lineRule="auto"/>
              <w:rPr>
                <w:rFonts w:cs="Calibri"/>
                <w:sz w:val="20"/>
                <w:szCs w:val="20"/>
              </w:rPr>
            </w:pPr>
            <w:bookmarkStart w:id="2283" w:name="_Toc124956564"/>
            <w:r w:rsidRPr="00466BFF">
              <w:rPr>
                <w:rFonts w:cs="Calibri"/>
                <w:sz w:val="20"/>
                <w:szCs w:val="20"/>
              </w:rPr>
              <w:t>Cœur et Conscience</w:t>
            </w:r>
            <w:bookmarkEnd w:id="2283"/>
          </w:p>
        </w:tc>
        <w:tc>
          <w:tcPr>
            <w:tcW w:w="607" w:type="pct"/>
            <w:shd w:val="clear" w:color="auto" w:fill="auto"/>
            <w:noWrap/>
            <w:hideMark/>
          </w:tcPr>
          <w:p w14:paraId="4799F82E" w14:textId="77777777" w:rsidR="00C21029" w:rsidRPr="00466BFF" w:rsidRDefault="00C21029" w:rsidP="00E5387E">
            <w:pPr>
              <w:spacing w:after="0" w:line="240" w:lineRule="auto"/>
              <w:rPr>
                <w:rFonts w:cs="Calibri"/>
                <w:sz w:val="20"/>
                <w:szCs w:val="20"/>
              </w:rPr>
            </w:pPr>
            <w:bookmarkStart w:id="2284" w:name="_Toc124956565"/>
            <w:r w:rsidRPr="00466BFF">
              <w:rPr>
                <w:rFonts w:cs="Calibri"/>
                <w:sz w:val="20"/>
                <w:szCs w:val="20"/>
              </w:rPr>
              <w:t>0320245633</w:t>
            </w:r>
            <w:bookmarkEnd w:id="2284"/>
          </w:p>
        </w:tc>
        <w:tc>
          <w:tcPr>
            <w:tcW w:w="1307" w:type="pct"/>
            <w:gridSpan w:val="2"/>
            <w:shd w:val="clear" w:color="auto" w:fill="auto"/>
            <w:hideMark/>
          </w:tcPr>
          <w:p w14:paraId="78D2DB0B" w14:textId="77777777" w:rsidR="00C21029" w:rsidRPr="00466BFF" w:rsidRDefault="007A05FA" w:rsidP="00E5387E">
            <w:pPr>
              <w:spacing w:after="0" w:line="240" w:lineRule="auto"/>
              <w:rPr>
                <w:rFonts w:cs="Calibri"/>
                <w:sz w:val="20"/>
                <w:szCs w:val="20"/>
              </w:rPr>
            </w:pPr>
            <w:bookmarkStart w:id="2285" w:name="_Toc124956566"/>
            <w:r w:rsidRPr="00466BFF">
              <w:rPr>
                <w:rFonts w:cs="Calibri"/>
                <w:sz w:val="20"/>
                <w:szCs w:val="20"/>
              </w:rPr>
              <w:t xml:space="preserve">Antsiranana </w:t>
            </w:r>
            <w:r w:rsidR="00C21029" w:rsidRPr="00466BFF">
              <w:rPr>
                <w:rFonts w:cs="Calibri"/>
                <w:sz w:val="20"/>
                <w:szCs w:val="20"/>
              </w:rPr>
              <w:t>I</w:t>
            </w:r>
            <w:bookmarkEnd w:id="2285"/>
          </w:p>
        </w:tc>
      </w:tr>
      <w:tr w:rsidR="00C21029" w:rsidRPr="00160FB0" w14:paraId="001C4406" w14:textId="77777777" w:rsidTr="00D12C6F">
        <w:trPr>
          <w:trHeight w:val="580"/>
        </w:trPr>
        <w:tc>
          <w:tcPr>
            <w:tcW w:w="1142" w:type="pct"/>
            <w:vMerge/>
            <w:shd w:val="clear" w:color="auto" w:fill="auto"/>
            <w:hideMark/>
          </w:tcPr>
          <w:p w14:paraId="0878EC2D"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22092043" w14:textId="77777777" w:rsidR="00C21029" w:rsidRPr="00466BFF" w:rsidRDefault="00C21029" w:rsidP="00E5387E">
            <w:pPr>
              <w:spacing w:after="0" w:line="240" w:lineRule="auto"/>
              <w:rPr>
                <w:rFonts w:cs="Calibri"/>
                <w:sz w:val="20"/>
                <w:szCs w:val="20"/>
              </w:rPr>
            </w:pPr>
            <w:bookmarkStart w:id="2286" w:name="_Toc124956567"/>
            <w:r w:rsidRPr="00466BFF">
              <w:rPr>
                <w:rFonts w:cs="Calibri"/>
                <w:sz w:val="20"/>
                <w:szCs w:val="20"/>
              </w:rPr>
              <w:t>Ecpat France Madagascar</w:t>
            </w:r>
            <w:bookmarkEnd w:id="2286"/>
          </w:p>
        </w:tc>
        <w:tc>
          <w:tcPr>
            <w:tcW w:w="607" w:type="pct"/>
            <w:shd w:val="clear" w:color="auto" w:fill="auto"/>
            <w:noWrap/>
            <w:hideMark/>
          </w:tcPr>
          <w:p w14:paraId="532780BB" w14:textId="77777777" w:rsidR="00C21029" w:rsidRPr="00466BFF" w:rsidRDefault="00C21029" w:rsidP="00E5387E">
            <w:pPr>
              <w:spacing w:after="0" w:line="240" w:lineRule="auto"/>
              <w:rPr>
                <w:rFonts w:cs="Calibri"/>
                <w:sz w:val="20"/>
                <w:szCs w:val="20"/>
              </w:rPr>
            </w:pPr>
            <w:bookmarkStart w:id="2287" w:name="_Toc124956568"/>
            <w:r w:rsidRPr="00466BFF">
              <w:rPr>
                <w:rFonts w:cs="Calibri"/>
                <w:sz w:val="20"/>
                <w:szCs w:val="20"/>
              </w:rPr>
              <w:t>0349794020</w:t>
            </w:r>
            <w:bookmarkEnd w:id="2287"/>
          </w:p>
        </w:tc>
        <w:tc>
          <w:tcPr>
            <w:tcW w:w="1307" w:type="pct"/>
            <w:gridSpan w:val="2"/>
            <w:shd w:val="clear" w:color="auto" w:fill="auto"/>
            <w:hideMark/>
          </w:tcPr>
          <w:p w14:paraId="2D827055" w14:textId="77777777" w:rsidR="00C21029" w:rsidRPr="00466BFF" w:rsidRDefault="00C21029" w:rsidP="00E5387E">
            <w:pPr>
              <w:spacing w:after="0" w:line="240" w:lineRule="auto"/>
              <w:rPr>
                <w:rFonts w:cs="Calibri"/>
                <w:sz w:val="20"/>
                <w:szCs w:val="20"/>
                <w:lang w:val="en-US"/>
              </w:rPr>
            </w:pPr>
            <w:bookmarkStart w:id="2288" w:name="_Toc124956569"/>
            <w:r w:rsidRPr="00466BFF">
              <w:rPr>
                <w:rFonts w:cs="Calibri"/>
                <w:sz w:val="20"/>
                <w:szCs w:val="20"/>
                <w:lang w:val="en-US"/>
              </w:rPr>
              <w:t>I 02 T083 Tsararano Ambonara Nosy Be</w:t>
            </w:r>
            <w:bookmarkEnd w:id="2288"/>
          </w:p>
        </w:tc>
      </w:tr>
      <w:tr w:rsidR="00C21029" w:rsidRPr="007F78CE" w14:paraId="60E72447" w14:textId="77777777" w:rsidTr="00D12C6F">
        <w:trPr>
          <w:trHeight w:val="290"/>
        </w:trPr>
        <w:tc>
          <w:tcPr>
            <w:tcW w:w="1142" w:type="pct"/>
            <w:vMerge w:val="restart"/>
            <w:shd w:val="clear" w:color="auto" w:fill="auto"/>
            <w:noWrap/>
            <w:hideMark/>
          </w:tcPr>
          <w:p w14:paraId="576A572C" w14:textId="77777777" w:rsidR="00C21029" w:rsidRPr="00B434A6" w:rsidRDefault="00C21029" w:rsidP="00E5387E">
            <w:pPr>
              <w:spacing w:after="0" w:line="240" w:lineRule="auto"/>
              <w:rPr>
                <w:rFonts w:cs="Calibri"/>
                <w:sz w:val="20"/>
                <w:szCs w:val="20"/>
              </w:rPr>
            </w:pPr>
            <w:bookmarkStart w:id="2289" w:name="_Toc124956570"/>
            <w:r w:rsidRPr="00B434A6">
              <w:rPr>
                <w:rFonts w:cs="Calibri"/>
                <w:sz w:val="20"/>
                <w:szCs w:val="20"/>
              </w:rPr>
              <w:t>SAVA</w:t>
            </w:r>
            <w:bookmarkEnd w:id="2289"/>
          </w:p>
        </w:tc>
        <w:tc>
          <w:tcPr>
            <w:tcW w:w="3858" w:type="pct"/>
            <w:gridSpan w:val="4"/>
            <w:shd w:val="clear" w:color="auto" w:fill="auto"/>
            <w:noWrap/>
            <w:hideMark/>
          </w:tcPr>
          <w:p w14:paraId="259F0748" w14:textId="77777777" w:rsidR="00C21029" w:rsidRPr="00466BFF" w:rsidRDefault="00C21029" w:rsidP="00E5387E">
            <w:pPr>
              <w:spacing w:after="0" w:line="240" w:lineRule="auto"/>
              <w:rPr>
                <w:rFonts w:cs="Calibri"/>
                <w:sz w:val="20"/>
                <w:szCs w:val="20"/>
              </w:rPr>
            </w:pPr>
            <w:bookmarkStart w:id="2290" w:name="_Toc124956571"/>
            <w:r w:rsidRPr="00466BFF">
              <w:rPr>
                <w:rFonts w:cs="Calibri"/>
                <w:sz w:val="20"/>
                <w:szCs w:val="20"/>
              </w:rPr>
              <w:t>ADDH/ONG</w:t>
            </w:r>
            <w:bookmarkEnd w:id="2290"/>
          </w:p>
        </w:tc>
      </w:tr>
      <w:tr w:rsidR="00C21029" w:rsidRPr="007F78CE" w14:paraId="19185B76" w14:textId="77777777" w:rsidTr="00D12C6F">
        <w:trPr>
          <w:trHeight w:val="290"/>
        </w:trPr>
        <w:tc>
          <w:tcPr>
            <w:tcW w:w="1142" w:type="pct"/>
            <w:vMerge/>
            <w:shd w:val="clear" w:color="auto" w:fill="auto"/>
            <w:hideMark/>
          </w:tcPr>
          <w:p w14:paraId="1E67B0CE"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0AF68FBA" w14:textId="77777777" w:rsidR="00C21029" w:rsidRPr="00466BFF" w:rsidRDefault="00C21029" w:rsidP="00E5387E">
            <w:pPr>
              <w:spacing w:after="0" w:line="240" w:lineRule="auto"/>
              <w:rPr>
                <w:rFonts w:cs="Calibri"/>
                <w:sz w:val="20"/>
                <w:szCs w:val="20"/>
              </w:rPr>
            </w:pPr>
            <w:bookmarkStart w:id="2291" w:name="_Toc124956572"/>
            <w:r w:rsidRPr="00466BFF">
              <w:rPr>
                <w:rFonts w:cs="Calibri"/>
                <w:sz w:val="20"/>
                <w:szCs w:val="20"/>
              </w:rPr>
              <w:t>ACAT Madagascar</w:t>
            </w:r>
            <w:bookmarkEnd w:id="2291"/>
          </w:p>
        </w:tc>
        <w:tc>
          <w:tcPr>
            <w:tcW w:w="607" w:type="pct"/>
            <w:shd w:val="clear" w:color="auto" w:fill="auto"/>
            <w:noWrap/>
            <w:hideMark/>
          </w:tcPr>
          <w:p w14:paraId="2FF49196"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07" w:type="pct"/>
            <w:gridSpan w:val="2"/>
            <w:shd w:val="clear" w:color="auto" w:fill="auto"/>
            <w:hideMark/>
          </w:tcPr>
          <w:p w14:paraId="5481F81D" w14:textId="77777777" w:rsidR="00C21029" w:rsidRPr="00466BFF" w:rsidRDefault="00C21029" w:rsidP="00E5387E">
            <w:pPr>
              <w:spacing w:after="0" w:line="240" w:lineRule="auto"/>
              <w:rPr>
                <w:rFonts w:cs="Calibri"/>
                <w:sz w:val="20"/>
                <w:szCs w:val="20"/>
              </w:rPr>
            </w:pPr>
            <w:bookmarkStart w:id="2292" w:name="_Toc124956573"/>
            <w:r w:rsidRPr="00466BFF">
              <w:rPr>
                <w:rFonts w:cs="Calibri"/>
                <w:sz w:val="20"/>
                <w:szCs w:val="20"/>
              </w:rPr>
              <w:t>Andapa</w:t>
            </w:r>
            <w:bookmarkEnd w:id="2292"/>
          </w:p>
        </w:tc>
      </w:tr>
      <w:tr w:rsidR="00C21029" w:rsidRPr="007F78CE" w14:paraId="0AD91DB6" w14:textId="77777777" w:rsidTr="00D12C6F">
        <w:trPr>
          <w:trHeight w:val="290"/>
        </w:trPr>
        <w:tc>
          <w:tcPr>
            <w:tcW w:w="1142" w:type="pct"/>
            <w:vMerge w:val="restart"/>
            <w:shd w:val="clear" w:color="auto" w:fill="auto"/>
            <w:noWrap/>
            <w:hideMark/>
          </w:tcPr>
          <w:p w14:paraId="5679790F" w14:textId="77777777" w:rsidR="00C21029" w:rsidRPr="00B434A6" w:rsidRDefault="00C21029" w:rsidP="00E5387E">
            <w:pPr>
              <w:spacing w:after="0" w:line="240" w:lineRule="auto"/>
              <w:rPr>
                <w:rFonts w:cs="Calibri"/>
                <w:sz w:val="20"/>
                <w:szCs w:val="20"/>
              </w:rPr>
            </w:pPr>
            <w:bookmarkStart w:id="2293" w:name="_Toc124956574"/>
            <w:r w:rsidRPr="00B434A6">
              <w:rPr>
                <w:rFonts w:cs="Calibri"/>
                <w:sz w:val="20"/>
                <w:szCs w:val="20"/>
              </w:rPr>
              <w:t>MATSIATRA AMBONY</w:t>
            </w:r>
            <w:bookmarkEnd w:id="2293"/>
          </w:p>
        </w:tc>
        <w:tc>
          <w:tcPr>
            <w:tcW w:w="3858" w:type="pct"/>
            <w:gridSpan w:val="4"/>
            <w:shd w:val="clear" w:color="auto" w:fill="auto"/>
            <w:noWrap/>
            <w:hideMark/>
          </w:tcPr>
          <w:p w14:paraId="0D262153" w14:textId="77777777" w:rsidR="00C21029" w:rsidRPr="00466BFF" w:rsidRDefault="00C21029" w:rsidP="00E5387E">
            <w:pPr>
              <w:spacing w:after="0" w:line="240" w:lineRule="auto"/>
              <w:rPr>
                <w:rFonts w:cs="Calibri"/>
                <w:sz w:val="20"/>
                <w:szCs w:val="20"/>
              </w:rPr>
            </w:pPr>
            <w:bookmarkStart w:id="2294" w:name="_Toc124956575"/>
            <w:r w:rsidRPr="00466BFF">
              <w:rPr>
                <w:rFonts w:cs="Calibri"/>
                <w:sz w:val="20"/>
                <w:szCs w:val="20"/>
              </w:rPr>
              <w:t>Partenariat Min Santé et ADDH/ONG</w:t>
            </w:r>
            <w:bookmarkEnd w:id="2294"/>
          </w:p>
        </w:tc>
      </w:tr>
      <w:tr w:rsidR="00C21029" w:rsidRPr="007F78CE" w14:paraId="632F34B4" w14:textId="77777777" w:rsidTr="00D12C6F">
        <w:trPr>
          <w:trHeight w:val="580"/>
        </w:trPr>
        <w:tc>
          <w:tcPr>
            <w:tcW w:w="1142" w:type="pct"/>
            <w:vMerge/>
            <w:shd w:val="clear" w:color="auto" w:fill="auto"/>
            <w:hideMark/>
          </w:tcPr>
          <w:p w14:paraId="46557734"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57CAE68C" w14:textId="77777777" w:rsidR="00C21029" w:rsidRPr="00466BFF" w:rsidRDefault="00C21029" w:rsidP="00E5387E">
            <w:pPr>
              <w:spacing w:after="0" w:line="240" w:lineRule="auto"/>
              <w:rPr>
                <w:rFonts w:cs="Calibri"/>
                <w:sz w:val="20"/>
                <w:szCs w:val="20"/>
              </w:rPr>
            </w:pPr>
            <w:bookmarkStart w:id="2295" w:name="_Toc124956576"/>
            <w:r w:rsidRPr="00466BFF">
              <w:rPr>
                <w:rFonts w:cs="Calibri"/>
                <w:sz w:val="20"/>
                <w:szCs w:val="20"/>
              </w:rPr>
              <w:t>CECJ/CAFF</w:t>
            </w:r>
            <w:bookmarkEnd w:id="2295"/>
          </w:p>
        </w:tc>
        <w:tc>
          <w:tcPr>
            <w:tcW w:w="607" w:type="pct"/>
            <w:shd w:val="clear" w:color="auto" w:fill="auto"/>
            <w:noWrap/>
            <w:hideMark/>
          </w:tcPr>
          <w:p w14:paraId="1DFB6ED7" w14:textId="77777777" w:rsidR="00C21029" w:rsidRPr="00466BFF" w:rsidRDefault="00C21029" w:rsidP="00E5387E">
            <w:pPr>
              <w:spacing w:after="0" w:line="240" w:lineRule="auto"/>
              <w:rPr>
                <w:rFonts w:cs="Calibri"/>
                <w:sz w:val="20"/>
                <w:szCs w:val="20"/>
              </w:rPr>
            </w:pPr>
            <w:bookmarkStart w:id="2296" w:name="_Toc124956577"/>
            <w:r w:rsidRPr="00466BFF">
              <w:rPr>
                <w:rFonts w:cs="Calibri"/>
                <w:sz w:val="20"/>
                <w:szCs w:val="20"/>
              </w:rPr>
              <w:t>0328398510</w:t>
            </w:r>
            <w:bookmarkEnd w:id="2296"/>
          </w:p>
        </w:tc>
        <w:tc>
          <w:tcPr>
            <w:tcW w:w="1307" w:type="pct"/>
            <w:gridSpan w:val="2"/>
            <w:shd w:val="clear" w:color="auto" w:fill="auto"/>
            <w:hideMark/>
          </w:tcPr>
          <w:p w14:paraId="51D7E9BF" w14:textId="77777777" w:rsidR="00C21029" w:rsidRPr="00466BFF" w:rsidRDefault="00C21029" w:rsidP="00E5387E">
            <w:pPr>
              <w:spacing w:after="0" w:line="240" w:lineRule="auto"/>
              <w:rPr>
                <w:rFonts w:cs="Calibri"/>
                <w:sz w:val="20"/>
                <w:szCs w:val="20"/>
              </w:rPr>
            </w:pPr>
            <w:bookmarkStart w:id="2297" w:name="_Toc124956578"/>
            <w:r w:rsidRPr="00466BFF">
              <w:rPr>
                <w:rFonts w:cs="Calibri"/>
                <w:sz w:val="20"/>
                <w:szCs w:val="20"/>
              </w:rPr>
              <w:t>Enceinte Isaha</w:t>
            </w:r>
            <w:r w:rsidR="006D5F22" w:rsidRPr="00466BFF">
              <w:rPr>
                <w:rFonts w:cs="Calibri"/>
                <w:sz w:val="20"/>
                <w:szCs w:val="20"/>
              </w:rPr>
              <w:t xml:space="preserve"> </w:t>
            </w:r>
            <w:r w:rsidRPr="00466BFF">
              <w:rPr>
                <w:rFonts w:cs="Calibri"/>
                <w:sz w:val="20"/>
                <w:szCs w:val="20"/>
              </w:rPr>
              <w:t>Fianarantsoa 1</w:t>
            </w:r>
            <w:bookmarkEnd w:id="2297"/>
          </w:p>
        </w:tc>
      </w:tr>
      <w:tr w:rsidR="00C21029" w:rsidRPr="007F78CE" w14:paraId="676FF0A1" w14:textId="77777777" w:rsidTr="00D12C6F">
        <w:trPr>
          <w:trHeight w:val="290"/>
        </w:trPr>
        <w:tc>
          <w:tcPr>
            <w:tcW w:w="1142" w:type="pct"/>
            <w:vMerge/>
            <w:shd w:val="clear" w:color="auto" w:fill="auto"/>
            <w:hideMark/>
          </w:tcPr>
          <w:p w14:paraId="2505C1F2"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68EE319C" w14:textId="77777777" w:rsidR="00C21029" w:rsidRPr="00466BFF" w:rsidRDefault="00C21029" w:rsidP="00E5387E">
            <w:pPr>
              <w:spacing w:after="0" w:line="240" w:lineRule="auto"/>
              <w:rPr>
                <w:rFonts w:cs="Calibri"/>
                <w:sz w:val="20"/>
                <w:szCs w:val="20"/>
              </w:rPr>
            </w:pPr>
            <w:bookmarkStart w:id="2298" w:name="_Toc124956579"/>
            <w:r w:rsidRPr="00466BFF">
              <w:rPr>
                <w:rFonts w:cs="Calibri"/>
                <w:sz w:val="20"/>
                <w:szCs w:val="20"/>
              </w:rPr>
              <w:t>ADDH/ONG</w:t>
            </w:r>
            <w:bookmarkEnd w:id="2298"/>
          </w:p>
        </w:tc>
        <w:tc>
          <w:tcPr>
            <w:tcW w:w="607" w:type="pct"/>
            <w:shd w:val="clear" w:color="auto" w:fill="auto"/>
          </w:tcPr>
          <w:p w14:paraId="14F21F91" w14:textId="77777777" w:rsidR="00C21029" w:rsidRPr="00466BFF" w:rsidRDefault="00C21029" w:rsidP="00E5387E">
            <w:pPr>
              <w:spacing w:after="0" w:line="240" w:lineRule="auto"/>
              <w:rPr>
                <w:rFonts w:cs="Calibri"/>
                <w:sz w:val="20"/>
                <w:szCs w:val="20"/>
              </w:rPr>
            </w:pPr>
          </w:p>
        </w:tc>
        <w:tc>
          <w:tcPr>
            <w:tcW w:w="1307" w:type="pct"/>
            <w:gridSpan w:val="2"/>
            <w:shd w:val="clear" w:color="auto" w:fill="auto"/>
          </w:tcPr>
          <w:p w14:paraId="27B1B4C0" w14:textId="77777777" w:rsidR="00C21029" w:rsidRPr="00466BFF" w:rsidRDefault="00C21029" w:rsidP="00E5387E">
            <w:pPr>
              <w:spacing w:after="0" w:line="240" w:lineRule="auto"/>
              <w:rPr>
                <w:rFonts w:cs="Calibri"/>
                <w:sz w:val="20"/>
                <w:szCs w:val="20"/>
              </w:rPr>
            </w:pPr>
          </w:p>
        </w:tc>
      </w:tr>
      <w:tr w:rsidR="00C21029" w:rsidRPr="007F78CE" w14:paraId="1D440C78" w14:textId="77777777" w:rsidTr="00D12C6F">
        <w:trPr>
          <w:trHeight w:val="580"/>
        </w:trPr>
        <w:tc>
          <w:tcPr>
            <w:tcW w:w="1142" w:type="pct"/>
            <w:vMerge/>
            <w:shd w:val="clear" w:color="auto" w:fill="auto"/>
            <w:hideMark/>
          </w:tcPr>
          <w:p w14:paraId="4C6F4A3F"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64803318" w14:textId="77777777" w:rsidR="00C21029" w:rsidRPr="00466BFF" w:rsidRDefault="00C21029" w:rsidP="00E5387E">
            <w:pPr>
              <w:spacing w:after="0" w:line="240" w:lineRule="auto"/>
              <w:rPr>
                <w:rFonts w:cs="Calibri"/>
                <w:sz w:val="20"/>
                <w:szCs w:val="20"/>
              </w:rPr>
            </w:pPr>
            <w:bookmarkStart w:id="2299" w:name="_Toc124956580"/>
            <w:r w:rsidRPr="00466BFF">
              <w:rPr>
                <w:rFonts w:cs="Calibri"/>
                <w:sz w:val="20"/>
                <w:szCs w:val="20"/>
              </w:rPr>
              <w:t>AFFD</w:t>
            </w:r>
            <w:bookmarkEnd w:id="2299"/>
          </w:p>
        </w:tc>
        <w:tc>
          <w:tcPr>
            <w:tcW w:w="607" w:type="pct"/>
            <w:shd w:val="clear" w:color="auto" w:fill="auto"/>
            <w:noWrap/>
            <w:hideMark/>
          </w:tcPr>
          <w:p w14:paraId="25350240" w14:textId="77777777" w:rsidR="00C21029" w:rsidRPr="00466BFF" w:rsidRDefault="00C21029" w:rsidP="00E5387E">
            <w:pPr>
              <w:spacing w:after="0" w:line="240" w:lineRule="auto"/>
              <w:rPr>
                <w:rFonts w:cs="Calibri"/>
                <w:sz w:val="20"/>
                <w:szCs w:val="20"/>
              </w:rPr>
            </w:pPr>
            <w:bookmarkStart w:id="2300" w:name="_Toc124956581"/>
            <w:r w:rsidRPr="00466BFF">
              <w:rPr>
                <w:rFonts w:cs="Calibri"/>
                <w:sz w:val="20"/>
                <w:szCs w:val="20"/>
              </w:rPr>
              <w:t>0348496503</w:t>
            </w:r>
            <w:bookmarkEnd w:id="2300"/>
          </w:p>
        </w:tc>
        <w:tc>
          <w:tcPr>
            <w:tcW w:w="1307" w:type="pct"/>
            <w:gridSpan w:val="2"/>
            <w:shd w:val="clear" w:color="auto" w:fill="auto"/>
            <w:hideMark/>
          </w:tcPr>
          <w:p w14:paraId="7DA4259E" w14:textId="77777777" w:rsidR="00C21029" w:rsidRPr="00466BFF" w:rsidRDefault="00C21029" w:rsidP="00E5387E">
            <w:pPr>
              <w:spacing w:after="0" w:line="240" w:lineRule="auto"/>
              <w:rPr>
                <w:rFonts w:cs="Calibri"/>
                <w:sz w:val="20"/>
                <w:szCs w:val="20"/>
              </w:rPr>
            </w:pPr>
            <w:bookmarkStart w:id="2301" w:name="_Toc124956582"/>
            <w:r w:rsidRPr="00466BFF">
              <w:rPr>
                <w:rFonts w:cs="Calibri"/>
                <w:sz w:val="20"/>
                <w:szCs w:val="20"/>
              </w:rPr>
              <w:t>Près Eglise Adventiste Ankofafa Fianarantsoa I</w:t>
            </w:r>
            <w:bookmarkEnd w:id="2301"/>
          </w:p>
        </w:tc>
      </w:tr>
      <w:tr w:rsidR="00C21029" w:rsidRPr="007F78CE" w14:paraId="7886F995" w14:textId="77777777" w:rsidTr="00D12C6F">
        <w:trPr>
          <w:trHeight w:val="580"/>
        </w:trPr>
        <w:tc>
          <w:tcPr>
            <w:tcW w:w="1142" w:type="pct"/>
            <w:vMerge/>
            <w:shd w:val="clear" w:color="auto" w:fill="auto"/>
            <w:hideMark/>
          </w:tcPr>
          <w:p w14:paraId="569F2AFD"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33410C1F" w14:textId="77777777" w:rsidR="00C21029" w:rsidRPr="00466BFF" w:rsidRDefault="00C21029" w:rsidP="00E5387E">
            <w:pPr>
              <w:spacing w:after="0" w:line="240" w:lineRule="auto"/>
              <w:rPr>
                <w:rFonts w:cs="Calibri"/>
                <w:sz w:val="20"/>
                <w:szCs w:val="20"/>
              </w:rPr>
            </w:pPr>
            <w:bookmarkStart w:id="2302" w:name="_Toc124956583"/>
            <w:r w:rsidRPr="00466BFF">
              <w:rPr>
                <w:rFonts w:cs="Calibri"/>
                <w:sz w:val="20"/>
                <w:szCs w:val="20"/>
              </w:rPr>
              <w:t>Enfant du Soleil</w:t>
            </w:r>
            <w:bookmarkEnd w:id="2302"/>
          </w:p>
        </w:tc>
        <w:tc>
          <w:tcPr>
            <w:tcW w:w="607" w:type="pct"/>
            <w:shd w:val="clear" w:color="auto" w:fill="auto"/>
            <w:noWrap/>
            <w:hideMark/>
          </w:tcPr>
          <w:p w14:paraId="617ABD6D" w14:textId="77777777" w:rsidR="00C21029" w:rsidRPr="00466BFF" w:rsidRDefault="00C21029" w:rsidP="00E5387E">
            <w:pPr>
              <w:spacing w:after="0" w:line="240" w:lineRule="auto"/>
              <w:rPr>
                <w:rFonts w:cs="Calibri"/>
                <w:sz w:val="20"/>
                <w:szCs w:val="20"/>
              </w:rPr>
            </w:pPr>
            <w:bookmarkStart w:id="2303" w:name="_Toc124956584"/>
            <w:r w:rsidRPr="00466BFF">
              <w:rPr>
                <w:rFonts w:cs="Calibri"/>
                <w:sz w:val="20"/>
                <w:szCs w:val="20"/>
              </w:rPr>
              <w:t>0207550244</w:t>
            </w:r>
            <w:bookmarkEnd w:id="2303"/>
          </w:p>
        </w:tc>
        <w:tc>
          <w:tcPr>
            <w:tcW w:w="1307" w:type="pct"/>
            <w:gridSpan w:val="2"/>
            <w:shd w:val="clear" w:color="auto" w:fill="auto"/>
            <w:hideMark/>
          </w:tcPr>
          <w:p w14:paraId="3CC1F955" w14:textId="77777777" w:rsidR="00C21029" w:rsidRPr="00466BFF" w:rsidRDefault="00C21029" w:rsidP="00E5387E">
            <w:pPr>
              <w:spacing w:after="0" w:line="240" w:lineRule="auto"/>
              <w:rPr>
                <w:rFonts w:cs="Calibri"/>
                <w:sz w:val="20"/>
                <w:szCs w:val="20"/>
              </w:rPr>
            </w:pPr>
            <w:bookmarkStart w:id="2304" w:name="_Toc124956585"/>
            <w:r w:rsidRPr="00466BFF">
              <w:rPr>
                <w:rFonts w:cs="Calibri"/>
                <w:sz w:val="20"/>
                <w:szCs w:val="20"/>
              </w:rPr>
              <w:t>Mahamanina Fianarantsoa 1</w:t>
            </w:r>
            <w:bookmarkEnd w:id="2304"/>
          </w:p>
        </w:tc>
      </w:tr>
      <w:tr w:rsidR="00C21029" w:rsidRPr="007F78CE" w14:paraId="4BA818E1" w14:textId="77777777" w:rsidTr="00D12C6F">
        <w:trPr>
          <w:trHeight w:val="580"/>
        </w:trPr>
        <w:tc>
          <w:tcPr>
            <w:tcW w:w="1142" w:type="pct"/>
            <w:vMerge/>
            <w:shd w:val="clear" w:color="auto" w:fill="auto"/>
            <w:hideMark/>
          </w:tcPr>
          <w:p w14:paraId="6D21C2CF"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433B7ECD" w14:textId="77777777" w:rsidR="00C21029" w:rsidRPr="00466BFF" w:rsidRDefault="00C21029" w:rsidP="00E5387E">
            <w:pPr>
              <w:spacing w:after="0" w:line="240" w:lineRule="auto"/>
              <w:rPr>
                <w:rFonts w:cs="Calibri"/>
                <w:sz w:val="20"/>
                <w:szCs w:val="20"/>
              </w:rPr>
            </w:pPr>
            <w:bookmarkStart w:id="2305" w:name="_Toc124956586"/>
            <w:r w:rsidRPr="00466BFF">
              <w:rPr>
                <w:rFonts w:cs="Calibri"/>
                <w:sz w:val="20"/>
                <w:szCs w:val="20"/>
              </w:rPr>
              <w:t>Bel Avenir</w:t>
            </w:r>
            <w:bookmarkEnd w:id="2305"/>
          </w:p>
        </w:tc>
        <w:tc>
          <w:tcPr>
            <w:tcW w:w="607" w:type="pct"/>
            <w:shd w:val="clear" w:color="auto" w:fill="auto"/>
            <w:noWrap/>
            <w:hideMark/>
          </w:tcPr>
          <w:p w14:paraId="5C7C6533" w14:textId="77777777" w:rsidR="00C21029" w:rsidRPr="00466BFF" w:rsidRDefault="00C21029" w:rsidP="00E5387E">
            <w:pPr>
              <w:spacing w:after="0" w:line="240" w:lineRule="auto"/>
              <w:rPr>
                <w:rFonts w:cs="Calibri"/>
                <w:sz w:val="20"/>
                <w:szCs w:val="20"/>
              </w:rPr>
            </w:pPr>
            <w:bookmarkStart w:id="2306" w:name="_Toc124956587"/>
            <w:r w:rsidRPr="00466BFF">
              <w:rPr>
                <w:rFonts w:cs="Calibri"/>
                <w:sz w:val="20"/>
                <w:szCs w:val="20"/>
              </w:rPr>
              <w:t>0324041828</w:t>
            </w:r>
            <w:bookmarkEnd w:id="2306"/>
          </w:p>
        </w:tc>
        <w:tc>
          <w:tcPr>
            <w:tcW w:w="1307" w:type="pct"/>
            <w:gridSpan w:val="2"/>
            <w:shd w:val="clear" w:color="auto" w:fill="auto"/>
            <w:hideMark/>
          </w:tcPr>
          <w:p w14:paraId="2B43307E" w14:textId="77777777" w:rsidR="00C21029" w:rsidRPr="00466BFF" w:rsidRDefault="00C21029" w:rsidP="00E5387E">
            <w:pPr>
              <w:spacing w:after="0" w:line="240" w:lineRule="auto"/>
              <w:rPr>
                <w:rFonts w:cs="Calibri"/>
                <w:sz w:val="20"/>
                <w:szCs w:val="20"/>
              </w:rPr>
            </w:pPr>
            <w:bookmarkStart w:id="2307" w:name="_Toc124956588"/>
            <w:r w:rsidRPr="00466BFF">
              <w:rPr>
                <w:rFonts w:cs="Calibri"/>
                <w:sz w:val="20"/>
                <w:szCs w:val="20"/>
              </w:rPr>
              <w:t>Tambohomandrevo Fianarantsoa 1</w:t>
            </w:r>
            <w:bookmarkEnd w:id="2307"/>
          </w:p>
        </w:tc>
      </w:tr>
      <w:tr w:rsidR="00C21029" w:rsidRPr="007F78CE" w14:paraId="35EC4ABE" w14:textId="77777777" w:rsidTr="00D12C6F">
        <w:trPr>
          <w:trHeight w:val="580"/>
        </w:trPr>
        <w:tc>
          <w:tcPr>
            <w:tcW w:w="1142" w:type="pct"/>
            <w:vMerge/>
            <w:shd w:val="clear" w:color="auto" w:fill="auto"/>
            <w:hideMark/>
          </w:tcPr>
          <w:p w14:paraId="0ACF580B"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4F714B7A" w14:textId="77777777" w:rsidR="00C21029" w:rsidRPr="00466BFF" w:rsidRDefault="00C21029" w:rsidP="00E5387E">
            <w:pPr>
              <w:spacing w:after="0" w:line="240" w:lineRule="auto"/>
              <w:rPr>
                <w:rFonts w:cs="Calibri"/>
                <w:sz w:val="20"/>
                <w:szCs w:val="20"/>
              </w:rPr>
            </w:pPr>
            <w:bookmarkStart w:id="2308" w:name="_Toc124956589"/>
            <w:r w:rsidRPr="00466BFF">
              <w:rPr>
                <w:rFonts w:cs="Calibri"/>
                <w:sz w:val="20"/>
                <w:szCs w:val="20"/>
              </w:rPr>
              <w:t>VOZAMA</w:t>
            </w:r>
            <w:bookmarkEnd w:id="2308"/>
          </w:p>
        </w:tc>
        <w:tc>
          <w:tcPr>
            <w:tcW w:w="607" w:type="pct"/>
            <w:shd w:val="clear" w:color="auto" w:fill="auto"/>
            <w:noWrap/>
            <w:hideMark/>
          </w:tcPr>
          <w:p w14:paraId="48696AFA" w14:textId="77777777" w:rsidR="00C21029" w:rsidRPr="00466BFF" w:rsidRDefault="00C21029" w:rsidP="00E5387E">
            <w:pPr>
              <w:spacing w:after="0" w:line="240" w:lineRule="auto"/>
              <w:rPr>
                <w:rFonts w:cs="Calibri"/>
                <w:sz w:val="20"/>
                <w:szCs w:val="20"/>
              </w:rPr>
            </w:pPr>
            <w:bookmarkStart w:id="2309" w:name="_Toc124956590"/>
            <w:r w:rsidRPr="00466BFF">
              <w:rPr>
                <w:rFonts w:cs="Calibri"/>
                <w:sz w:val="20"/>
                <w:szCs w:val="20"/>
              </w:rPr>
              <w:t>0207552251</w:t>
            </w:r>
            <w:bookmarkEnd w:id="2309"/>
          </w:p>
        </w:tc>
        <w:tc>
          <w:tcPr>
            <w:tcW w:w="1307" w:type="pct"/>
            <w:gridSpan w:val="2"/>
            <w:shd w:val="clear" w:color="auto" w:fill="auto"/>
            <w:hideMark/>
          </w:tcPr>
          <w:p w14:paraId="0F39C2A1" w14:textId="77777777" w:rsidR="00C21029" w:rsidRPr="00466BFF" w:rsidRDefault="00C21029" w:rsidP="00E5387E">
            <w:pPr>
              <w:spacing w:after="0" w:line="240" w:lineRule="auto"/>
              <w:rPr>
                <w:rFonts w:cs="Calibri"/>
                <w:sz w:val="20"/>
                <w:szCs w:val="20"/>
              </w:rPr>
            </w:pPr>
            <w:bookmarkStart w:id="2310" w:name="_Toc124956591"/>
            <w:r w:rsidRPr="00466BFF">
              <w:rPr>
                <w:rFonts w:cs="Calibri"/>
                <w:sz w:val="20"/>
                <w:szCs w:val="20"/>
              </w:rPr>
              <w:t>Mahamanina Fianarantsoa 1</w:t>
            </w:r>
            <w:bookmarkEnd w:id="2310"/>
          </w:p>
        </w:tc>
      </w:tr>
      <w:tr w:rsidR="00C21029" w:rsidRPr="007F78CE" w14:paraId="497740B5" w14:textId="77777777" w:rsidTr="00D12C6F">
        <w:trPr>
          <w:trHeight w:val="290"/>
        </w:trPr>
        <w:tc>
          <w:tcPr>
            <w:tcW w:w="1142" w:type="pct"/>
            <w:vMerge w:val="restart"/>
            <w:shd w:val="clear" w:color="auto" w:fill="auto"/>
            <w:noWrap/>
            <w:hideMark/>
          </w:tcPr>
          <w:p w14:paraId="44FC33F7" w14:textId="77777777" w:rsidR="00C21029" w:rsidRPr="00B434A6" w:rsidRDefault="00C21029" w:rsidP="00E5387E">
            <w:pPr>
              <w:spacing w:after="0" w:line="240" w:lineRule="auto"/>
              <w:rPr>
                <w:rFonts w:cs="Calibri"/>
                <w:sz w:val="20"/>
                <w:szCs w:val="20"/>
              </w:rPr>
            </w:pPr>
            <w:bookmarkStart w:id="2311" w:name="_Toc124956592"/>
            <w:r w:rsidRPr="00B434A6">
              <w:rPr>
                <w:rFonts w:cs="Calibri"/>
                <w:sz w:val="20"/>
                <w:szCs w:val="20"/>
              </w:rPr>
              <w:t>AMORON'I MANIA</w:t>
            </w:r>
            <w:bookmarkEnd w:id="2311"/>
          </w:p>
        </w:tc>
        <w:tc>
          <w:tcPr>
            <w:tcW w:w="3858" w:type="pct"/>
            <w:gridSpan w:val="4"/>
            <w:shd w:val="clear" w:color="auto" w:fill="auto"/>
            <w:hideMark/>
          </w:tcPr>
          <w:p w14:paraId="1A625583" w14:textId="77777777" w:rsidR="00C21029" w:rsidRPr="00466BFF" w:rsidRDefault="00C21029" w:rsidP="00E5387E">
            <w:pPr>
              <w:spacing w:after="0" w:line="240" w:lineRule="auto"/>
              <w:rPr>
                <w:rFonts w:cs="Calibri"/>
                <w:sz w:val="20"/>
                <w:szCs w:val="20"/>
              </w:rPr>
            </w:pPr>
            <w:bookmarkStart w:id="2312" w:name="_Toc124956593"/>
            <w:r w:rsidRPr="00466BFF">
              <w:rPr>
                <w:rFonts w:cs="Calibri"/>
                <w:sz w:val="20"/>
                <w:szCs w:val="20"/>
              </w:rPr>
              <w:t>Partenariat Min Santé et ADDH/ONG</w:t>
            </w:r>
            <w:bookmarkEnd w:id="2312"/>
          </w:p>
        </w:tc>
      </w:tr>
      <w:tr w:rsidR="00C21029" w:rsidRPr="007F78CE" w14:paraId="13FB055A" w14:textId="77777777" w:rsidTr="00D12C6F">
        <w:trPr>
          <w:trHeight w:val="290"/>
        </w:trPr>
        <w:tc>
          <w:tcPr>
            <w:tcW w:w="1142" w:type="pct"/>
            <w:vMerge/>
            <w:shd w:val="clear" w:color="auto" w:fill="auto"/>
            <w:hideMark/>
          </w:tcPr>
          <w:p w14:paraId="7EFA297B"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5E1649B2" w14:textId="77777777" w:rsidR="00C21029" w:rsidRPr="00466BFF" w:rsidRDefault="00C21029" w:rsidP="00E5387E">
            <w:pPr>
              <w:spacing w:after="0" w:line="240" w:lineRule="auto"/>
              <w:rPr>
                <w:rFonts w:cs="Calibri"/>
                <w:sz w:val="20"/>
                <w:szCs w:val="20"/>
              </w:rPr>
            </w:pPr>
            <w:bookmarkStart w:id="2313" w:name="_Toc124956594"/>
            <w:r w:rsidRPr="00466BFF">
              <w:rPr>
                <w:rFonts w:cs="Calibri"/>
                <w:sz w:val="20"/>
                <w:szCs w:val="20"/>
              </w:rPr>
              <w:t>CECJ/Ny Mamoha</w:t>
            </w:r>
            <w:bookmarkEnd w:id="2313"/>
          </w:p>
        </w:tc>
        <w:tc>
          <w:tcPr>
            <w:tcW w:w="607" w:type="pct"/>
            <w:shd w:val="clear" w:color="auto" w:fill="auto"/>
            <w:noWrap/>
            <w:hideMark/>
          </w:tcPr>
          <w:p w14:paraId="18160ECD"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07" w:type="pct"/>
            <w:gridSpan w:val="2"/>
            <w:shd w:val="clear" w:color="auto" w:fill="auto"/>
            <w:hideMark/>
          </w:tcPr>
          <w:p w14:paraId="21429FD9" w14:textId="77777777" w:rsidR="00C21029" w:rsidRPr="00466BFF" w:rsidRDefault="00C21029" w:rsidP="00E5387E">
            <w:pPr>
              <w:spacing w:after="0" w:line="240" w:lineRule="auto"/>
              <w:rPr>
                <w:rFonts w:cs="Calibri"/>
                <w:sz w:val="20"/>
                <w:szCs w:val="20"/>
              </w:rPr>
            </w:pPr>
            <w:bookmarkStart w:id="2314" w:name="_Toc124956595"/>
            <w:r w:rsidRPr="00466BFF">
              <w:rPr>
                <w:rFonts w:cs="Calibri"/>
                <w:sz w:val="20"/>
                <w:szCs w:val="20"/>
              </w:rPr>
              <w:t>Ambositra</w:t>
            </w:r>
            <w:bookmarkEnd w:id="2314"/>
          </w:p>
        </w:tc>
      </w:tr>
      <w:tr w:rsidR="00C21029" w:rsidRPr="007F78CE" w14:paraId="717DA69A" w14:textId="77777777" w:rsidTr="00D12C6F">
        <w:trPr>
          <w:trHeight w:val="290"/>
        </w:trPr>
        <w:tc>
          <w:tcPr>
            <w:tcW w:w="1142" w:type="pct"/>
            <w:vMerge/>
            <w:shd w:val="clear" w:color="auto" w:fill="auto"/>
            <w:hideMark/>
          </w:tcPr>
          <w:p w14:paraId="2009060B"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15399E41" w14:textId="77777777" w:rsidR="00C21029" w:rsidRPr="00466BFF" w:rsidRDefault="00C21029" w:rsidP="00E5387E">
            <w:pPr>
              <w:spacing w:after="0" w:line="240" w:lineRule="auto"/>
              <w:rPr>
                <w:rFonts w:cs="Calibri"/>
                <w:sz w:val="20"/>
                <w:szCs w:val="20"/>
              </w:rPr>
            </w:pPr>
            <w:bookmarkStart w:id="2315" w:name="_Toc124956596"/>
            <w:r w:rsidRPr="00466BFF">
              <w:rPr>
                <w:rFonts w:cs="Calibri"/>
                <w:sz w:val="20"/>
                <w:szCs w:val="20"/>
              </w:rPr>
              <w:t>ADDH/ONG</w:t>
            </w:r>
            <w:bookmarkEnd w:id="2315"/>
          </w:p>
        </w:tc>
        <w:tc>
          <w:tcPr>
            <w:tcW w:w="607" w:type="pct"/>
            <w:shd w:val="clear" w:color="auto" w:fill="auto"/>
          </w:tcPr>
          <w:p w14:paraId="5E78D750" w14:textId="77777777" w:rsidR="00C21029" w:rsidRPr="00466BFF" w:rsidRDefault="00C21029" w:rsidP="00E5387E">
            <w:pPr>
              <w:spacing w:after="0" w:line="240" w:lineRule="auto"/>
              <w:rPr>
                <w:rFonts w:cs="Calibri"/>
                <w:sz w:val="20"/>
                <w:szCs w:val="20"/>
              </w:rPr>
            </w:pPr>
          </w:p>
        </w:tc>
        <w:tc>
          <w:tcPr>
            <w:tcW w:w="1307" w:type="pct"/>
            <w:gridSpan w:val="2"/>
            <w:shd w:val="clear" w:color="auto" w:fill="auto"/>
          </w:tcPr>
          <w:p w14:paraId="5CE8FEA3" w14:textId="77777777" w:rsidR="00C21029" w:rsidRPr="00466BFF" w:rsidRDefault="00C21029" w:rsidP="00E5387E">
            <w:pPr>
              <w:spacing w:after="0" w:line="240" w:lineRule="auto"/>
              <w:rPr>
                <w:rFonts w:cs="Calibri"/>
                <w:sz w:val="20"/>
                <w:szCs w:val="20"/>
              </w:rPr>
            </w:pPr>
          </w:p>
        </w:tc>
      </w:tr>
      <w:tr w:rsidR="00C21029" w:rsidRPr="007F78CE" w14:paraId="717BAC4D" w14:textId="77777777" w:rsidTr="00D12C6F">
        <w:trPr>
          <w:trHeight w:val="290"/>
        </w:trPr>
        <w:tc>
          <w:tcPr>
            <w:tcW w:w="1142" w:type="pct"/>
            <w:vMerge/>
            <w:shd w:val="clear" w:color="auto" w:fill="auto"/>
            <w:hideMark/>
          </w:tcPr>
          <w:p w14:paraId="7C6D57A8"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09C8AFA9" w14:textId="77777777" w:rsidR="00C21029" w:rsidRPr="00466BFF" w:rsidRDefault="00C21029" w:rsidP="00E5387E">
            <w:pPr>
              <w:spacing w:after="0" w:line="240" w:lineRule="auto"/>
              <w:rPr>
                <w:rFonts w:cs="Calibri"/>
                <w:sz w:val="20"/>
                <w:szCs w:val="20"/>
              </w:rPr>
            </w:pPr>
            <w:bookmarkStart w:id="2316" w:name="_Toc124956597"/>
            <w:r w:rsidRPr="00466BFF">
              <w:rPr>
                <w:rFonts w:cs="Calibri"/>
                <w:sz w:val="20"/>
                <w:szCs w:val="20"/>
              </w:rPr>
              <w:t>VOZAMA</w:t>
            </w:r>
            <w:bookmarkEnd w:id="2316"/>
          </w:p>
        </w:tc>
        <w:tc>
          <w:tcPr>
            <w:tcW w:w="607" w:type="pct"/>
            <w:shd w:val="clear" w:color="auto" w:fill="auto"/>
            <w:noWrap/>
            <w:hideMark/>
          </w:tcPr>
          <w:p w14:paraId="7307A1F6"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07" w:type="pct"/>
            <w:gridSpan w:val="2"/>
            <w:shd w:val="clear" w:color="auto" w:fill="auto"/>
            <w:hideMark/>
          </w:tcPr>
          <w:p w14:paraId="06DD43B8" w14:textId="77777777" w:rsidR="00C21029" w:rsidRPr="00466BFF" w:rsidRDefault="00C21029" w:rsidP="00E5387E">
            <w:pPr>
              <w:spacing w:after="0" w:line="240" w:lineRule="auto"/>
              <w:rPr>
                <w:rFonts w:cs="Calibri"/>
                <w:sz w:val="20"/>
                <w:szCs w:val="20"/>
              </w:rPr>
            </w:pPr>
            <w:bookmarkStart w:id="2317" w:name="_Toc124956598"/>
            <w:r w:rsidRPr="00466BFF">
              <w:rPr>
                <w:rFonts w:cs="Calibri"/>
                <w:sz w:val="20"/>
                <w:szCs w:val="20"/>
              </w:rPr>
              <w:t>Ambositra</w:t>
            </w:r>
            <w:bookmarkEnd w:id="2317"/>
          </w:p>
        </w:tc>
      </w:tr>
      <w:tr w:rsidR="00C21029" w:rsidRPr="007F78CE" w14:paraId="36B9C67F" w14:textId="77777777" w:rsidTr="00D12C6F">
        <w:trPr>
          <w:trHeight w:val="290"/>
        </w:trPr>
        <w:tc>
          <w:tcPr>
            <w:tcW w:w="1142" w:type="pct"/>
            <w:vMerge w:val="restart"/>
            <w:shd w:val="clear" w:color="auto" w:fill="auto"/>
            <w:noWrap/>
            <w:hideMark/>
          </w:tcPr>
          <w:p w14:paraId="308E0A99" w14:textId="77777777" w:rsidR="00C21029" w:rsidRPr="00B434A6" w:rsidRDefault="00C21029" w:rsidP="00E5387E">
            <w:pPr>
              <w:spacing w:after="0" w:line="240" w:lineRule="auto"/>
              <w:rPr>
                <w:rFonts w:cs="Calibri"/>
                <w:sz w:val="20"/>
                <w:szCs w:val="20"/>
              </w:rPr>
            </w:pPr>
            <w:bookmarkStart w:id="2318" w:name="_Toc124956599"/>
            <w:r w:rsidRPr="00B434A6">
              <w:rPr>
                <w:rFonts w:cs="Calibri"/>
                <w:sz w:val="20"/>
                <w:szCs w:val="20"/>
              </w:rPr>
              <w:t>VATOVAVY FITOVINANY</w:t>
            </w:r>
            <w:bookmarkEnd w:id="2318"/>
          </w:p>
        </w:tc>
        <w:tc>
          <w:tcPr>
            <w:tcW w:w="3858" w:type="pct"/>
            <w:gridSpan w:val="4"/>
            <w:shd w:val="clear" w:color="auto" w:fill="auto"/>
            <w:noWrap/>
            <w:hideMark/>
          </w:tcPr>
          <w:p w14:paraId="5439568A" w14:textId="77777777" w:rsidR="00C21029" w:rsidRPr="00466BFF" w:rsidRDefault="00C21029" w:rsidP="00E5387E">
            <w:pPr>
              <w:spacing w:after="0" w:line="240" w:lineRule="auto"/>
              <w:rPr>
                <w:rFonts w:cs="Calibri"/>
                <w:sz w:val="20"/>
                <w:szCs w:val="20"/>
              </w:rPr>
            </w:pPr>
            <w:bookmarkStart w:id="2319" w:name="_Toc124956600"/>
            <w:r w:rsidRPr="00466BFF">
              <w:rPr>
                <w:rFonts w:cs="Calibri"/>
                <w:sz w:val="20"/>
                <w:szCs w:val="20"/>
              </w:rPr>
              <w:t>Partenariat Min Santé et ADDH/ONG</w:t>
            </w:r>
            <w:bookmarkEnd w:id="2319"/>
          </w:p>
        </w:tc>
      </w:tr>
      <w:tr w:rsidR="00C21029" w:rsidRPr="007F78CE" w14:paraId="37C4ED05" w14:textId="77777777" w:rsidTr="00D12C6F">
        <w:trPr>
          <w:trHeight w:val="580"/>
        </w:trPr>
        <w:tc>
          <w:tcPr>
            <w:tcW w:w="1142" w:type="pct"/>
            <w:vMerge/>
            <w:shd w:val="clear" w:color="auto" w:fill="auto"/>
            <w:hideMark/>
          </w:tcPr>
          <w:p w14:paraId="1000D23A"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0A8DB79E" w14:textId="77777777" w:rsidR="00C21029" w:rsidRPr="00466BFF" w:rsidRDefault="00C21029" w:rsidP="00E5387E">
            <w:pPr>
              <w:spacing w:after="0" w:line="240" w:lineRule="auto"/>
              <w:rPr>
                <w:rFonts w:cs="Calibri"/>
                <w:sz w:val="20"/>
                <w:szCs w:val="20"/>
              </w:rPr>
            </w:pPr>
            <w:bookmarkStart w:id="2320" w:name="_Toc124956601"/>
            <w:r w:rsidRPr="00466BFF">
              <w:rPr>
                <w:rFonts w:cs="Calibri"/>
                <w:sz w:val="20"/>
                <w:szCs w:val="20"/>
              </w:rPr>
              <w:t>CECJ/SAHAZO</w:t>
            </w:r>
            <w:bookmarkEnd w:id="2320"/>
          </w:p>
        </w:tc>
        <w:tc>
          <w:tcPr>
            <w:tcW w:w="607" w:type="pct"/>
            <w:shd w:val="clear" w:color="auto" w:fill="auto"/>
            <w:noWrap/>
            <w:hideMark/>
          </w:tcPr>
          <w:p w14:paraId="79C9D2E1" w14:textId="77777777" w:rsidR="00C21029" w:rsidRPr="00466BFF" w:rsidRDefault="00C21029" w:rsidP="00E5387E">
            <w:pPr>
              <w:spacing w:after="0" w:line="240" w:lineRule="auto"/>
              <w:rPr>
                <w:rFonts w:cs="Calibri"/>
                <w:sz w:val="20"/>
                <w:szCs w:val="20"/>
              </w:rPr>
            </w:pPr>
            <w:bookmarkStart w:id="2321" w:name="_Toc124956602"/>
            <w:r w:rsidRPr="00466BFF">
              <w:rPr>
                <w:rFonts w:cs="Calibri"/>
                <w:sz w:val="20"/>
                <w:szCs w:val="20"/>
              </w:rPr>
              <w:t>0349352023</w:t>
            </w:r>
            <w:bookmarkEnd w:id="2321"/>
          </w:p>
        </w:tc>
        <w:tc>
          <w:tcPr>
            <w:tcW w:w="1307" w:type="pct"/>
            <w:gridSpan w:val="2"/>
            <w:shd w:val="clear" w:color="auto" w:fill="auto"/>
            <w:hideMark/>
          </w:tcPr>
          <w:p w14:paraId="4EAC0191" w14:textId="77777777" w:rsidR="00C21029" w:rsidRPr="00466BFF" w:rsidRDefault="00C21029" w:rsidP="00E5387E">
            <w:pPr>
              <w:spacing w:after="0" w:line="240" w:lineRule="auto"/>
              <w:rPr>
                <w:rFonts w:cs="Calibri"/>
                <w:sz w:val="20"/>
                <w:szCs w:val="20"/>
              </w:rPr>
            </w:pPr>
            <w:bookmarkStart w:id="2322" w:name="_Toc124956603"/>
            <w:r w:rsidRPr="00466BFF">
              <w:rPr>
                <w:rFonts w:cs="Calibri"/>
                <w:sz w:val="20"/>
                <w:szCs w:val="20"/>
              </w:rPr>
              <w:t>Bâtiment de la Commune Urbaine Manakara</w:t>
            </w:r>
            <w:bookmarkEnd w:id="2322"/>
          </w:p>
        </w:tc>
      </w:tr>
      <w:tr w:rsidR="00C21029" w:rsidRPr="007F78CE" w14:paraId="53CCCDD2" w14:textId="77777777" w:rsidTr="00D12C6F">
        <w:trPr>
          <w:trHeight w:val="290"/>
        </w:trPr>
        <w:tc>
          <w:tcPr>
            <w:tcW w:w="1142" w:type="pct"/>
            <w:vMerge/>
            <w:shd w:val="clear" w:color="auto" w:fill="auto"/>
            <w:hideMark/>
          </w:tcPr>
          <w:p w14:paraId="18C5AE63"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72BFD012" w14:textId="77777777" w:rsidR="00C21029" w:rsidRPr="00466BFF" w:rsidRDefault="00C21029" w:rsidP="00E5387E">
            <w:pPr>
              <w:spacing w:after="0" w:line="240" w:lineRule="auto"/>
              <w:rPr>
                <w:rFonts w:cs="Calibri"/>
                <w:sz w:val="20"/>
                <w:szCs w:val="20"/>
              </w:rPr>
            </w:pPr>
            <w:bookmarkStart w:id="2323" w:name="_Toc124956604"/>
            <w:r w:rsidRPr="00466BFF">
              <w:rPr>
                <w:rFonts w:cs="Calibri"/>
                <w:sz w:val="20"/>
                <w:szCs w:val="20"/>
              </w:rPr>
              <w:t>CECJ/MIAROZO</w:t>
            </w:r>
            <w:bookmarkEnd w:id="2323"/>
          </w:p>
        </w:tc>
        <w:tc>
          <w:tcPr>
            <w:tcW w:w="607" w:type="pct"/>
            <w:shd w:val="clear" w:color="auto" w:fill="auto"/>
            <w:noWrap/>
            <w:hideMark/>
          </w:tcPr>
          <w:p w14:paraId="439E4703"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07" w:type="pct"/>
            <w:gridSpan w:val="2"/>
            <w:shd w:val="clear" w:color="auto" w:fill="auto"/>
            <w:hideMark/>
          </w:tcPr>
          <w:p w14:paraId="2A171D53" w14:textId="77777777" w:rsidR="00C21029" w:rsidRPr="00466BFF" w:rsidRDefault="00C21029" w:rsidP="00E5387E">
            <w:pPr>
              <w:spacing w:after="0" w:line="240" w:lineRule="auto"/>
              <w:rPr>
                <w:rFonts w:cs="Calibri"/>
                <w:sz w:val="20"/>
                <w:szCs w:val="20"/>
              </w:rPr>
            </w:pPr>
            <w:bookmarkStart w:id="2324" w:name="_Toc124956605"/>
            <w:r w:rsidRPr="00466BFF">
              <w:rPr>
                <w:rFonts w:cs="Calibri"/>
                <w:sz w:val="20"/>
                <w:szCs w:val="20"/>
              </w:rPr>
              <w:t>Mananjary</w:t>
            </w:r>
            <w:bookmarkEnd w:id="2324"/>
          </w:p>
        </w:tc>
      </w:tr>
      <w:tr w:rsidR="00C21029" w:rsidRPr="007F78CE" w14:paraId="69CC2C91" w14:textId="77777777" w:rsidTr="00D12C6F">
        <w:trPr>
          <w:trHeight w:val="290"/>
        </w:trPr>
        <w:tc>
          <w:tcPr>
            <w:tcW w:w="1142" w:type="pct"/>
            <w:vMerge w:val="restart"/>
            <w:shd w:val="clear" w:color="auto" w:fill="auto"/>
            <w:noWrap/>
            <w:hideMark/>
          </w:tcPr>
          <w:p w14:paraId="7300D4DE" w14:textId="77777777" w:rsidR="00C21029" w:rsidRPr="00B434A6" w:rsidRDefault="00C21029" w:rsidP="00E5387E">
            <w:pPr>
              <w:spacing w:after="0" w:line="240" w:lineRule="auto"/>
              <w:rPr>
                <w:rFonts w:cs="Calibri"/>
                <w:sz w:val="20"/>
                <w:szCs w:val="20"/>
              </w:rPr>
            </w:pPr>
            <w:bookmarkStart w:id="2325" w:name="_Toc124956606"/>
            <w:r w:rsidRPr="00B434A6">
              <w:rPr>
                <w:rFonts w:cs="Calibri"/>
                <w:sz w:val="20"/>
                <w:szCs w:val="20"/>
              </w:rPr>
              <w:t>ATSIMO ANDREFANA</w:t>
            </w:r>
            <w:bookmarkEnd w:id="2325"/>
          </w:p>
        </w:tc>
        <w:tc>
          <w:tcPr>
            <w:tcW w:w="3858" w:type="pct"/>
            <w:gridSpan w:val="4"/>
            <w:shd w:val="clear" w:color="auto" w:fill="auto"/>
            <w:noWrap/>
            <w:hideMark/>
          </w:tcPr>
          <w:p w14:paraId="01F331DA" w14:textId="77777777" w:rsidR="00C21029" w:rsidRPr="00466BFF" w:rsidRDefault="00C21029" w:rsidP="00E5387E">
            <w:pPr>
              <w:spacing w:after="0" w:line="240" w:lineRule="auto"/>
              <w:rPr>
                <w:rFonts w:cs="Calibri"/>
                <w:sz w:val="20"/>
                <w:szCs w:val="20"/>
              </w:rPr>
            </w:pPr>
            <w:bookmarkStart w:id="2326" w:name="_Toc124956607"/>
            <w:r w:rsidRPr="00466BFF">
              <w:rPr>
                <w:rFonts w:cs="Calibri"/>
                <w:sz w:val="20"/>
                <w:szCs w:val="20"/>
              </w:rPr>
              <w:t>Partenariat Min Santé et ADDH/ONG</w:t>
            </w:r>
            <w:bookmarkEnd w:id="2326"/>
          </w:p>
        </w:tc>
      </w:tr>
      <w:tr w:rsidR="00C21029" w:rsidRPr="007F78CE" w14:paraId="73AA045D" w14:textId="77777777" w:rsidTr="00D12C6F">
        <w:trPr>
          <w:trHeight w:val="290"/>
        </w:trPr>
        <w:tc>
          <w:tcPr>
            <w:tcW w:w="1142" w:type="pct"/>
            <w:vMerge/>
            <w:shd w:val="clear" w:color="auto" w:fill="auto"/>
            <w:hideMark/>
          </w:tcPr>
          <w:p w14:paraId="58D6B59B"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4001E09D" w14:textId="77777777" w:rsidR="00C21029" w:rsidRPr="00466BFF" w:rsidRDefault="00C21029" w:rsidP="00E5387E">
            <w:pPr>
              <w:spacing w:after="0" w:line="240" w:lineRule="auto"/>
              <w:rPr>
                <w:rFonts w:cs="Calibri"/>
                <w:sz w:val="20"/>
                <w:szCs w:val="20"/>
              </w:rPr>
            </w:pPr>
            <w:bookmarkStart w:id="2327" w:name="_Toc124956608"/>
            <w:r w:rsidRPr="00466BFF">
              <w:rPr>
                <w:rFonts w:cs="Calibri"/>
                <w:sz w:val="20"/>
                <w:szCs w:val="20"/>
              </w:rPr>
              <w:t>CECJ/CAFED</w:t>
            </w:r>
            <w:bookmarkEnd w:id="2327"/>
          </w:p>
        </w:tc>
        <w:tc>
          <w:tcPr>
            <w:tcW w:w="607" w:type="pct"/>
            <w:shd w:val="clear" w:color="auto" w:fill="auto"/>
            <w:noWrap/>
            <w:hideMark/>
          </w:tcPr>
          <w:p w14:paraId="2312B0B1" w14:textId="77777777" w:rsidR="00C21029" w:rsidRPr="00466BFF" w:rsidRDefault="00C21029" w:rsidP="00E5387E">
            <w:pPr>
              <w:spacing w:after="0" w:line="240" w:lineRule="auto"/>
              <w:rPr>
                <w:rFonts w:cs="Calibri"/>
                <w:sz w:val="20"/>
                <w:szCs w:val="20"/>
              </w:rPr>
            </w:pPr>
            <w:bookmarkStart w:id="2328" w:name="_Toc124956609"/>
            <w:r w:rsidRPr="00466BFF">
              <w:rPr>
                <w:rFonts w:cs="Calibri"/>
                <w:sz w:val="20"/>
                <w:szCs w:val="20"/>
              </w:rPr>
              <w:t>0331235406</w:t>
            </w:r>
            <w:bookmarkEnd w:id="2328"/>
          </w:p>
        </w:tc>
        <w:tc>
          <w:tcPr>
            <w:tcW w:w="1307" w:type="pct"/>
            <w:gridSpan w:val="2"/>
            <w:shd w:val="clear" w:color="auto" w:fill="auto"/>
            <w:hideMark/>
          </w:tcPr>
          <w:p w14:paraId="1F113EFC" w14:textId="77777777" w:rsidR="00C21029" w:rsidRPr="00466BFF" w:rsidRDefault="00C21029" w:rsidP="00E5387E">
            <w:pPr>
              <w:spacing w:after="0" w:line="240" w:lineRule="auto"/>
              <w:rPr>
                <w:rFonts w:cs="Calibri"/>
                <w:sz w:val="20"/>
                <w:szCs w:val="20"/>
              </w:rPr>
            </w:pPr>
            <w:bookmarkStart w:id="2329" w:name="_Toc124956610"/>
            <w:r w:rsidRPr="00466BFF">
              <w:rPr>
                <w:rFonts w:cs="Calibri"/>
                <w:sz w:val="20"/>
                <w:szCs w:val="20"/>
              </w:rPr>
              <w:t>Enceinte DR Population</w:t>
            </w:r>
            <w:bookmarkEnd w:id="2329"/>
          </w:p>
        </w:tc>
      </w:tr>
      <w:tr w:rsidR="00C21029" w:rsidRPr="007F78CE" w14:paraId="7EC53876" w14:textId="77777777" w:rsidTr="00D12C6F">
        <w:trPr>
          <w:trHeight w:val="290"/>
        </w:trPr>
        <w:tc>
          <w:tcPr>
            <w:tcW w:w="1142" w:type="pct"/>
            <w:vMerge/>
            <w:shd w:val="clear" w:color="auto" w:fill="auto"/>
            <w:hideMark/>
          </w:tcPr>
          <w:p w14:paraId="5C76542D"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42882DDF" w14:textId="77777777" w:rsidR="00C21029" w:rsidRPr="00466BFF" w:rsidRDefault="00C21029" w:rsidP="00E5387E">
            <w:pPr>
              <w:spacing w:after="0" w:line="240" w:lineRule="auto"/>
              <w:rPr>
                <w:rFonts w:cs="Calibri"/>
                <w:sz w:val="20"/>
                <w:szCs w:val="20"/>
              </w:rPr>
            </w:pPr>
            <w:bookmarkStart w:id="2330" w:name="_Toc124956611"/>
            <w:r w:rsidRPr="00466BFF">
              <w:rPr>
                <w:rFonts w:cs="Calibri"/>
                <w:sz w:val="20"/>
                <w:szCs w:val="20"/>
              </w:rPr>
              <w:t>CECJ/SOALIA</w:t>
            </w:r>
            <w:bookmarkEnd w:id="2330"/>
          </w:p>
        </w:tc>
        <w:tc>
          <w:tcPr>
            <w:tcW w:w="607" w:type="pct"/>
            <w:shd w:val="clear" w:color="auto" w:fill="auto"/>
            <w:noWrap/>
            <w:hideMark/>
          </w:tcPr>
          <w:p w14:paraId="7D549096" w14:textId="77777777" w:rsidR="00C21029" w:rsidRPr="00466BFF" w:rsidRDefault="00C21029" w:rsidP="00E5387E">
            <w:pPr>
              <w:spacing w:after="0" w:line="240" w:lineRule="auto"/>
              <w:rPr>
                <w:rFonts w:cs="Calibri"/>
                <w:sz w:val="20"/>
                <w:szCs w:val="20"/>
              </w:rPr>
            </w:pPr>
            <w:bookmarkStart w:id="2331" w:name="_Toc124956612"/>
            <w:r w:rsidRPr="00466BFF">
              <w:rPr>
                <w:rFonts w:cs="Calibri"/>
                <w:sz w:val="20"/>
                <w:szCs w:val="20"/>
              </w:rPr>
              <w:t>0346743694</w:t>
            </w:r>
            <w:bookmarkEnd w:id="2331"/>
          </w:p>
        </w:tc>
        <w:tc>
          <w:tcPr>
            <w:tcW w:w="1307" w:type="pct"/>
            <w:gridSpan w:val="2"/>
            <w:shd w:val="clear" w:color="auto" w:fill="auto"/>
            <w:hideMark/>
          </w:tcPr>
          <w:p w14:paraId="303BBCC2" w14:textId="77777777" w:rsidR="00C21029" w:rsidRPr="00466BFF" w:rsidRDefault="00C21029" w:rsidP="00E5387E">
            <w:pPr>
              <w:spacing w:after="0" w:line="240" w:lineRule="auto"/>
              <w:rPr>
                <w:rFonts w:cs="Calibri"/>
                <w:sz w:val="20"/>
                <w:szCs w:val="20"/>
              </w:rPr>
            </w:pPr>
            <w:bookmarkStart w:id="2332" w:name="_Toc124956613"/>
            <w:r w:rsidRPr="00466BFF">
              <w:rPr>
                <w:rFonts w:cs="Calibri"/>
                <w:sz w:val="20"/>
                <w:szCs w:val="20"/>
              </w:rPr>
              <w:t>Sakaraha</w:t>
            </w:r>
            <w:bookmarkEnd w:id="2332"/>
          </w:p>
        </w:tc>
      </w:tr>
      <w:tr w:rsidR="00C21029" w:rsidRPr="007F78CE" w14:paraId="66706391" w14:textId="77777777" w:rsidTr="00D12C6F">
        <w:trPr>
          <w:trHeight w:val="290"/>
        </w:trPr>
        <w:tc>
          <w:tcPr>
            <w:tcW w:w="1142" w:type="pct"/>
            <w:vMerge/>
            <w:shd w:val="clear" w:color="auto" w:fill="auto"/>
            <w:hideMark/>
          </w:tcPr>
          <w:p w14:paraId="6F140CD6"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6F3D6540" w14:textId="77777777" w:rsidR="00C21029" w:rsidRPr="00466BFF" w:rsidRDefault="00C21029" w:rsidP="00E5387E">
            <w:pPr>
              <w:spacing w:after="0" w:line="240" w:lineRule="auto"/>
              <w:rPr>
                <w:rFonts w:cs="Calibri"/>
                <w:sz w:val="20"/>
                <w:szCs w:val="20"/>
              </w:rPr>
            </w:pPr>
            <w:bookmarkStart w:id="2333" w:name="_Toc124956614"/>
            <w:r w:rsidRPr="00466BFF">
              <w:rPr>
                <w:rFonts w:cs="Calibri"/>
                <w:sz w:val="20"/>
                <w:szCs w:val="20"/>
              </w:rPr>
              <w:t>Centre Relais CECJ/CAFED</w:t>
            </w:r>
            <w:bookmarkEnd w:id="2333"/>
          </w:p>
        </w:tc>
        <w:tc>
          <w:tcPr>
            <w:tcW w:w="607" w:type="pct"/>
            <w:shd w:val="clear" w:color="auto" w:fill="auto"/>
            <w:noWrap/>
            <w:hideMark/>
          </w:tcPr>
          <w:p w14:paraId="21623DAA"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07" w:type="pct"/>
            <w:gridSpan w:val="2"/>
            <w:shd w:val="clear" w:color="auto" w:fill="auto"/>
            <w:hideMark/>
          </w:tcPr>
          <w:p w14:paraId="50E46E82" w14:textId="77777777" w:rsidR="00C21029" w:rsidRPr="00466BFF" w:rsidRDefault="00C21029" w:rsidP="00E5387E">
            <w:pPr>
              <w:spacing w:after="0" w:line="240" w:lineRule="auto"/>
              <w:rPr>
                <w:rFonts w:cs="Calibri"/>
                <w:sz w:val="20"/>
                <w:szCs w:val="20"/>
              </w:rPr>
            </w:pPr>
            <w:bookmarkStart w:id="2334" w:name="_Toc124956615"/>
            <w:r w:rsidRPr="00466BFF">
              <w:rPr>
                <w:rFonts w:cs="Calibri"/>
                <w:sz w:val="20"/>
                <w:szCs w:val="20"/>
              </w:rPr>
              <w:t>Betioky</w:t>
            </w:r>
            <w:bookmarkEnd w:id="2334"/>
          </w:p>
        </w:tc>
      </w:tr>
      <w:tr w:rsidR="00C21029" w:rsidRPr="007F78CE" w14:paraId="7D57326F" w14:textId="77777777" w:rsidTr="00D12C6F">
        <w:trPr>
          <w:trHeight w:val="290"/>
        </w:trPr>
        <w:tc>
          <w:tcPr>
            <w:tcW w:w="1142" w:type="pct"/>
            <w:vMerge/>
            <w:shd w:val="clear" w:color="auto" w:fill="auto"/>
            <w:hideMark/>
          </w:tcPr>
          <w:p w14:paraId="00A89290"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5E0B4C78" w14:textId="77777777" w:rsidR="00C21029" w:rsidRPr="00466BFF" w:rsidRDefault="00C21029" w:rsidP="00E5387E">
            <w:pPr>
              <w:spacing w:after="0" w:line="240" w:lineRule="auto"/>
              <w:rPr>
                <w:rFonts w:cs="Calibri"/>
                <w:sz w:val="20"/>
                <w:szCs w:val="20"/>
              </w:rPr>
            </w:pPr>
            <w:bookmarkStart w:id="2335" w:name="_Toc124956616"/>
            <w:r w:rsidRPr="00466BFF">
              <w:rPr>
                <w:rFonts w:cs="Calibri"/>
                <w:sz w:val="20"/>
                <w:szCs w:val="20"/>
              </w:rPr>
              <w:t>ADDH/ONG</w:t>
            </w:r>
            <w:bookmarkEnd w:id="2335"/>
          </w:p>
        </w:tc>
        <w:tc>
          <w:tcPr>
            <w:tcW w:w="607" w:type="pct"/>
            <w:shd w:val="clear" w:color="auto" w:fill="auto"/>
          </w:tcPr>
          <w:p w14:paraId="72816D3C" w14:textId="77777777" w:rsidR="00C21029" w:rsidRPr="00466BFF" w:rsidRDefault="00C21029" w:rsidP="00E5387E">
            <w:pPr>
              <w:spacing w:after="0" w:line="240" w:lineRule="auto"/>
              <w:rPr>
                <w:rFonts w:cs="Calibri"/>
                <w:sz w:val="20"/>
                <w:szCs w:val="20"/>
              </w:rPr>
            </w:pPr>
          </w:p>
        </w:tc>
        <w:tc>
          <w:tcPr>
            <w:tcW w:w="1307" w:type="pct"/>
            <w:gridSpan w:val="2"/>
            <w:shd w:val="clear" w:color="auto" w:fill="auto"/>
          </w:tcPr>
          <w:p w14:paraId="6A4893B3" w14:textId="77777777" w:rsidR="00C21029" w:rsidRPr="00466BFF" w:rsidRDefault="00C21029" w:rsidP="00E5387E">
            <w:pPr>
              <w:spacing w:after="0" w:line="240" w:lineRule="auto"/>
              <w:rPr>
                <w:rFonts w:cs="Calibri"/>
                <w:sz w:val="20"/>
                <w:szCs w:val="20"/>
              </w:rPr>
            </w:pPr>
          </w:p>
        </w:tc>
      </w:tr>
      <w:tr w:rsidR="00C21029" w:rsidRPr="007F78CE" w14:paraId="220D6381" w14:textId="77777777" w:rsidTr="00D12C6F">
        <w:trPr>
          <w:trHeight w:val="580"/>
        </w:trPr>
        <w:tc>
          <w:tcPr>
            <w:tcW w:w="1142" w:type="pct"/>
            <w:vMerge/>
            <w:shd w:val="clear" w:color="auto" w:fill="auto"/>
            <w:hideMark/>
          </w:tcPr>
          <w:p w14:paraId="1536C88F"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71B8CFB7" w14:textId="77777777" w:rsidR="00C21029" w:rsidRPr="00466BFF" w:rsidRDefault="00C21029" w:rsidP="00E5387E">
            <w:pPr>
              <w:spacing w:after="0" w:line="240" w:lineRule="auto"/>
              <w:rPr>
                <w:rFonts w:cs="Calibri"/>
                <w:sz w:val="20"/>
                <w:szCs w:val="20"/>
              </w:rPr>
            </w:pPr>
            <w:bookmarkStart w:id="2336" w:name="_Toc124956617"/>
            <w:r w:rsidRPr="00466BFF">
              <w:rPr>
                <w:rFonts w:cs="Calibri"/>
                <w:sz w:val="20"/>
                <w:szCs w:val="20"/>
              </w:rPr>
              <w:t>Bel Avenir</w:t>
            </w:r>
            <w:bookmarkEnd w:id="2336"/>
          </w:p>
        </w:tc>
        <w:tc>
          <w:tcPr>
            <w:tcW w:w="607" w:type="pct"/>
            <w:shd w:val="clear" w:color="auto" w:fill="auto"/>
            <w:noWrap/>
            <w:hideMark/>
          </w:tcPr>
          <w:p w14:paraId="5A05A168" w14:textId="77777777" w:rsidR="00C21029" w:rsidRPr="00466BFF" w:rsidRDefault="00C21029" w:rsidP="00E5387E">
            <w:pPr>
              <w:spacing w:after="0" w:line="240" w:lineRule="auto"/>
              <w:rPr>
                <w:rFonts w:cs="Calibri"/>
                <w:sz w:val="20"/>
                <w:szCs w:val="20"/>
              </w:rPr>
            </w:pPr>
            <w:bookmarkStart w:id="2337" w:name="_Toc124956618"/>
            <w:r w:rsidRPr="00466BFF">
              <w:rPr>
                <w:rFonts w:cs="Calibri"/>
                <w:sz w:val="20"/>
                <w:szCs w:val="20"/>
              </w:rPr>
              <w:t>0348511415</w:t>
            </w:r>
            <w:bookmarkEnd w:id="2337"/>
          </w:p>
        </w:tc>
        <w:tc>
          <w:tcPr>
            <w:tcW w:w="1307" w:type="pct"/>
            <w:gridSpan w:val="2"/>
            <w:shd w:val="clear" w:color="auto" w:fill="auto"/>
            <w:hideMark/>
          </w:tcPr>
          <w:p w14:paraId="250DEB6C" w14:textId="77777777" w:rsidR="00C21029" w:rsidRPr="00466BFF" w:rsidRDefault="00C21029" w:rsidP="00E5387E">
            <w:pPr>
              <w:spacing w:after="0" w:line="240" w:lineRule="auto"/>
              <w:rPr>
                <w:rFonts w:cs="Calibri"/>
                <w:sz w:val="20"/>
                <w:szCs w:val="20"/>
              </w:rPr>
            </w:pPr>
            <w:bookmarkStart w:id="2338" w:name="_Toc124956619"/>
            <w:r w:rsidRPr="00466BFF">
              <w:rPr>
                <w:rFonts w:cs="Calibri"/>
                <w:sz w:val="20"/>
                <w:szCs w:val="20"/>
              </w:rPr>
              <w:t>Av de France Tsimenatse Toliara 1</w:t>
            </w:r>
            <w:bookmarkEnd w:id="2338"/>
          </w:p>
        </w:tc>
      </w:tr>
      <w:tr w:rsidR="00C21029" w:rsidRPr="007F78CE" w14:paraId="0BBF514E" w14:textId="77777777" w:rsidTr="00D12C6F">
        <w:trPr>
          <w:trHeight w:val="580"/>
        </w:trPr>
        <w:tc>
          <w:tcPr>
            <w:tcW w:w="1142" w:type="pct"/>
            <w:vMerge/>
            <w:shd w:val="clear" w:color="auto" w:fill="auto"/>
            <w:hideMark/>
          </w:tcPr>
          <w:p w14:paraId="76AF1A76"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36970F76" w14:textId="77777777" w:rsidR="00C21029" w:rsidRPr="00466BFF" w:rsidRDefault="00C21029" w:rsidP="00E5387E">
            <w:pPr>
              <w:spacing w:after="0" w:line="240" w:lineRule="auto"/>
              <w:rPr>
                <w:rFonts w:cs="Calibri"/>
                <w:sz w:val="20"/>
                <w:szCs w:val="20"/>
              </w:rPr>
            </w:pPr>
            <w:bookmarkStart w:id="2339" w:name="_Toc124956620"/>
            <w:r w:rsidRPr="00466BFF">
              <w:rPr>
                <w:rFonts w:cs="Calibri"/>
                <w:sz w:val="20"/>
                <w:szCs w:val="20"/>
              </w:rPr>
              <w:t>FIHAMI</w:t>
            </w:r>
            <w:bookmarkEnd w:id="2339"/>
          </w:p>
        </w:tc>
        <w:tc>
          <w:tcPr>
            <w:tcW w:w="607" w:type="pct"/>
            <w:shd w:val="clear" w:color="auto" w:fill="auto"/>
            <w:noWrap/>
            <w:hideMark/>
          </w:tcPr>
          <w:p w14:paraId="5C38FF9A" w14:textId="77777777" w:rsidR="00C21029" w:rsidRPr="00466BFF" w:rsidRDefault="00C21029" w:rsidP="00E5387E">
            <w:pPr>
              <w:spacing w:after="0" w:line="240" w:lineRule="auto"/>
              <w:rPr>
                <w:rFonts w:cs="Calibri"/>
                <w:sz w:val="20"/>
                <w:szCs w:val="20"/>
              </w:rPr>
            </w:pPr>
            <w:bookmarkStart w:id="2340" w:name="_Toc124956621"/>
            <w:r w:rsidRPr="00466BFF">
              <w:rPr>
                <w:rFonts w:cs="Calibri"/>
                <w:sz w:val="20"/>
                <w:szCs w:val="20"/>
              </w:rPr>
              <w:t>0346846101</w:t>
            </w:r>
            <w:bookmarkEnd w:id="2340"/>
          </w:p>
        </w:tc>
        <w:tc>
          <w:tcPr>
            <w:tcW w:w="1307" w:type="pct"/>
            <w:gridSpan w:val="2"/>
            <w:shd w:val="clear" w:color="auto" w:fill="auto"/>
            <w:hideMark/>
          </w:tcPr>
          <w:p w14:paraId="11B299B4" w14:textId="77777777" w:rsidR="00C21029" w:rsidRPr="00466BFF" w:rsidRDefault="00C21029" w:rsidP="00E5387E">
            <w:pPr>
              <w:spacing w:after="0" w:line="240" w:lineRule="auto"/>
              <w:rPr>
                <w:rFonts w:cs="Calibri"/>
                <w:sz w:val="20"/>
                <w:szCs w:val="20"/>
              </w:rPr>
            </w:pPr>
            <w:bookmarkStart w:id="2341" w:name="_Toc124956622"/>
            <w:r w:rsidRPr="00466BFF">
              <w:rPr>
                <w:rFonts w:cs="Calibri"/>
                <w:sz w:val="20"/>
                <w:szCs w:val="20"/>
              </w:rPr>
              <w:t>Rue Champs de foire Tsimenatse Toliara I</w:t>
            </w:r>
            <w:bookmarkEnd w:id="2341"/>
          </w:p>
        </w:tc>
      </w:tr>
      <w:tr w:rsidR="00C21029" w:rsidRPr="007F78CE" w14:paraId="16FE8E00" w14:textId="77777777" w:rsidTr="00D12C6F">
        <w:trPr>
          <w:trHeight w:val="290"/>
        </w:trPr>
        <w:tc>
          <w:tcPr>
            <w:tcW w:w="1142" w:type="pct"/>
            <w:vMerge/>
            <w:shd w:val="clear" w:color="auto" w:fill="auto"/>
            <w:hideMark/>
          </w:tcPr>
          <w:p w14:paraId="459ED8AE"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79EB5FA7" w14:textId="77777777" w:rsidR="00C21029" w:rsidRPr="00466BFF" w:rsidRDefault="00C21029" w:rsidP="00E5387E">
            <w:pPr>
              <w:spacing w:after="0" w:line="240" w:lineRule="auto"/>
              <w:rPr>
                <w:rFonts w:cs="Calibri"/>
                <w:sz w:val="20"/>
                <w:szCs w:val="20"/>
              </w:rPr>
            </w:pPr>
            <w:bookmarkStart w:id="2342" w:name="_Toc124956623"/>
            <w:r w:rsidRPr="00466BFF">
              <w:rPr>
                <w:rFonts w:cs="Calibri"/>
                <w:sz w:val="20"/>
                <w:szCs w:val="20"/>
              </w:rPr>
              <w:t>FANAMBY</w:t>
            </w:r>
            <w:bookmarkEnd w:id="2342"/>
          </w:p>
        </w:tc>
        <w:tc>
          <w:tcPr>
            <w:tcW w:w="607" w:type="pct"/>
            <w:shd w:val="clear" w:color="auto" w:fill="auto"/>
            <w:noWrap/>
            <w:hideMark/>
          </w:tcPr>
          <w:p w14:paraId="55C17EB4" w14:textId="77777777" w:rsidR="00C21029" w:rsidRPr="00466BFF" w:rsidRDefault="00C21029" w:rsidP="00E5387E">
            <w:pPr>
              <w:spacing w:after="0" w:line="240" w:lineRule="auto"/>
              <w:rPr>
                <w:rFonts w:cs="Calibri"/>
                <w:sz w:val="20"/>
                <w:szCs w:val="20"/>
              </w:rPr>
            </w:pPr>
            <w:bookmarkStart w:id="2343" w:name="_Toc124956624"/>
            <w:r w:rsidRPr="00466BFF">
              <w:rPr>
                <w:rFonts w:cs="Calibri"/>
                <w:sz w:val="20"/>
                <w:szCs w:val="20"/>
              </w:rPr>
              <w:t>0349972396</w:t>
            </w:r>
            <w:bookmarkEnd w:id="2343"/>
          </w:p>
        </w:tc>
        <w:tc>
          <w:tcPr>
            <w:tcW w:w="1307" w:type="pct"/>
            <w:gridSpan w:val="2"/>
            <w:shd w:val="clear" w:color="auto" w:fill="auto"/>
            <w:hideMark/>
          </w:tcPr>
          <w:p w14:paraId="7B26B51A" w14:textId="77777777" w:rsidR="00C21029" w:rsidRPr="00466BFF" w:rsidRDefault="00C21029" w:rsidP="00E5387E">
            <w:pPr>
              <w:spacing w:after="0" w:line="240" w:lineRule="auto"/>
              <w:rPr>
                <w:rFonts w:cs="Calibri"/>
                <w:sz w:val="20"/>
                <w:szCs w:val="20"/>
              </w:rPr>
            </w:pPr>
            <w:bookmarkStart w:id="2344" w:name="_Toc124956625"/>
            <w:r w:rsidRPr="00466BFF">
              <w:rPr>
                <w:rFonts w:cs="Calibri"/>
                <w:sz w:val="20"/>
                <w:szCs w:val="20"/>
              </w:rPr>
              <w:t>Toliara 1</w:t>
            </w:r>
            <w:bookmarkEnd w:id="2344"/>
          </w:p>
        </w:tc>
      </w:tr>
      <w:tr w:rsidR="00C21029" w:rsidRPr="007F78CE" w14:paraId="1627D735" w14:textId="77777777" w:rsidTr="00D12C6F">
        <w:trPr>
          <w:trHeight w:val="290"/>
        </w:trPr>
        <w:tc>
          <w:tcPr>
            <w:tcW w:w="1142" w:type="pct"/>
            <w:vMerge/>
            <w:shd w:val="clear" w:color="auto" w:fill="auto"/>
            <w:hideMark/>
          </w:tcPr>
          <w:p w14:paraId="3E9A4AAD"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402F9CEC" w14:textId="77777777" w:rsidR="00C21029" w:rsidRPr="00466BFF" w:rsidRDefault="00C21029" w:rsidP="00E5387E">
            <w:pPr>
              <w:spacing w:after="0" w:line="240" w:lineRule="auto"/>
              <w:rPr>
                <w:rFonts w:cs="Calibri"/>
                <w:sz w:val="20"/>
                <w:szCs w:val="20"/>
              </w:rPr>
            </w:pPr>
            <w:bookmarkStart w:id="2345" w:name="_Toc124956626"/>
            <w:r w:rsidRPr="00466BFF">
              <w:rPr>
                <w:rFonts w:cs="Calibri"/>
                <w:sz w:val="20"/>
                <w:szCs w:val="20"/>
              </w:rPr>
              <w:t>Enfant du Soleil</w:t>
            </w:r>
            <w:bookmarkEnd w:id="2345"/>
          </w:p>
        </w:tc>
        <w:tc>
          <w:tcPr>
            <w:tcW w:w="607" w:type="pct"/>
            <w:shd w:val="clear" w:color="auto" w:fill="auto"/>
            <w:noWrap/>
            <w:hideMark/>
          </w:tcPr>
          <w:p w14:paraId="7DA3EDE9" w14:textId="77777777" w:rsidR="00C21029" w:rsidRPr="00466BFF" w:rsidRDefault="00C21029" w:rsidP="00E5387E">
            <w:pPr>
              <w:spacing w:after="0" w:line="240" w:lineRule="auto"/>
              <w:rPr>
                <w:rFonts w:cs="Calibri"/>
                <w:sz w:val="20"/>
                <w:szCs w:val="20"/>
              </w:rPr>
            </w:pPr>
            <w:bookmarkStart w:id="2346" w:name="_Toc124956627"/>
            <w:r w:rsidRPr="00466BFF">
              <w:rPr>
                <w:rFonts w:cs="Calibri"/>
                <w:sz w:val="20"/>
                <w:szCs w:val="20"/>
              </w:rPr>
              <w:t>0337487706</w:t>
            </w:r>
            <w:bookmarkEnd w:id="2346"/>
          </w:p>
        </w:tc>
        <w:tc>
          <w:tcPr>
            <w:tcW w:w="1307" w:type="pct"/>
            <w:gridSpan w:val="2"/>
            <w:shd w:val="clear" w:color="auto" w:fill="auto"/>
            <w:hideMark/>
          </w:tcPr>
          <w:p w14:paraId="14EAFE3B" w14:textId="77777777" w:rsidR="00C21029" w:rsidRPr="00466BFF" w:rsidRDefault="00C21029" w:rsidP="00E5387E">
            <w:pPr>
              <w:spacing w:after="0" w:line="240" w:lineRule="auto"/>
              <w:rPr>
                <w:rFonts w:cs="Calibri"/>
                <w:sz w:val="20"/>
                <w:szCs w:val="20"/>
              </w:rPr>
            </w:pPr>
            <w:bookmarkStart w:id="2347" w:name="_Toc124956628"/>
            <w:r w:rsidRPr="00466BFF">
              <w:rPr>
                <w:rFonts w:cs="Calibri"/>
                <w:sz w:val="20"/>
                <w:szCs w:val="20"/>
              </w:rPr>
              <w:t>Tsimenatse Toliara 1</w:t>
            </w:r>
            <w:bookmarkEnd w:id="2347"/>
          </w:p>
        </w:tc>
      </w:tr>
      <w:tr w:rsidR="00C21029" w:rsidRPr="007F78CE" w14:paraId="068F6CDB" w14:textId="77777777" w:rsidTr="00D12C6F">
        <w:trPr>
          <w:trHeight w:val="290"/>
        </w:trPr>
        <w:tc>
          <w:tcPr>
            <w:tcW w:w="1142" w:type="pct"/>
            <w:vMerge/>
            <w:shd w:val="clear" w:color="auto" w:fill="auto"/>
            <w:hideMark/>
          </w:tcPr>
          <w:p w14:paraId="1177C175"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3A4557A2" w14:textId="77777777" w:rsidR="00C21029" w:rsidRPr="00466BFF" w:rsidRDefault="00C21029" w:rsidP="00E5387E">
            <w:pPr>
              <w:spacing w:after="0" w:line="240" w:lineRule="auto"/>
              <w:rPr>
                <w:rFonts w:cs="Calibri"/>
                <w:sz w:val="20"/>
                <w:szCs w:val="20"/>
              </w:rPr>
            </w:pPr>
            <w:bookmarkStart w:id="2348" w:name="_Toc124956629"/>
            <w:r w:rsidRPr="00466BFF">
              <w:rPr>
                <w:rFonts w:cs="Calibri"/>
                <w:sz w:val="20"/>
                <w:szCs w:val="20"/>
              </w:rPr>
              <w:t>AMIKA</w:t>
            </w:r>
            <w:bookmarkEnd w:id="2348"/>
          </w:p>
        </w:tc>
        <w:tc>
          <w:tcPr>
            <w:tcW w:w="607" w:type="pct"/>
            <w:shd w:val="clear" w:color="auto" w:fill="auto"/>
            <w:noWrap/>
            <w:hideMark/>
          </w:tcPr>
          <w:p w14:paraId="113FA930"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07" w:type="pct"/>
            <w:gridSpan w:val="2"/>
            <w:shd w:val="clear" w:color="auto" w:fill="auto"/>
            <w:hideMark/>
          </w:tcPr>
          <w:p w14:paraId="524A46EA" w14:textId="77777777" w:rsidR="00C21029" w:rsidRPr="00466BFF" w:rsidRDefault="00C21029" w:rsidP="00E5387E">
            <w:pPr>
              <w:spacing w:after="0" w:line="240" w:lineRule="auto"/>
              <w:rPr>
                <w:rFonts w:cs="Calibri"/>
                <w:sz w:val="20"/>
                <w:szCs w:val="20"/>
              </w:rPr>
            </w:pPr>
            <w:bookmarkStart w:id="2349" w:name="_Toc124956630"/>
            <w:r w:rsidRPr="00466BFF">
              <w:rPr>
                <w:rFonts w:cs="Calibri"/>
                <w:sz w:val="20"/>
                <w:szCs w:val="20"/>
              </w:rPr>
              <w:t>Toliara 1</w:t>
            </w:r>
            <w:bookmarkEnd w:id="2349"/>
          </w:p>
        </w:tc>
      </w:tr>
      <w:tr w:rsidR="00C21029" w:rsidRPr="007F78CE" w14:paraId="4BD625FA" w14:textId="77777777" w:rsidTr="00D12C6F">
        <w:trPr>
          <w:trHeight w:val="290"/>
        </w:trPr>
        <w:tc>
          <w:tcPr>
            <w:tcW w:w="1142" w:type="pct"/>
            <w:vMerge w:val="restart"/>
            <w:shd w:val="clear" w:color="auto" w:fill="auto"/>
            <w:noWrap/>
            <w:hideMark/>
          </w:tcPr>
          <w:p w14:paraId="474FCBF9" w14:textId="77777777" w:rsidR="00C21029" w:rsidRPr="00B434A6" w:rsidRDefault="00C21029" w:rsidP="00E5387E">
            <w:pPr>
              <w:spacing w:after="0" w:line="240" w:lineRule="auto"/>
              <w:rPr>
                <w:rFonts w:cs="Calibri"/>
                <w:sz w:val="20"/>
                <w:szCs w:val="20"/>
              </w:rPr>
            </w:pPr>
            <w:bookmarkStart w:id="2350" w:name="_Toc124956631"/>
            <w:r w:rsidRPr="00B434A6">
              <w:rPr>
                <w:rFonts w:cs="Calibri"/>
                <w:sz w:val="20"/>
                <w:szCs w:val="20"/>
              </w:rPr>
              <w:t>ANDROY</w:t>
            </w:r>
            <w:bookmarkEnd w:id="2350"/>
          </w:p>
        </w:tc>
        <w:tc>
          <w:tcPr>
            <w:tcW w:w="3858" w:type="pct"/>
            <w:gridSpan w:val="4"/>
            <w:shd w:val="clear" w:color="auto" w:fill="auto"/>
            <w:noWrap/>
            <w:hideMark/>
          </w:tcPr>
          <w:p w14:paraId="5B50F50F" w14:textId="77777777" w:rsidR="00C21029" w:rsidRPr="00466BFF" w:rsidRDefault="00C21029" w:rsidP="00E5387E">
            <w:pPr>
              <w:spacing w:after="0" w:line="240" w:lineRule="auto"/>
              <w:rPr>
                <w:rFonts w:cs="Calibri"/>
                <w:sz w:val="20"/>
                <w:szCs w:val="20"/>
              </w:rPr>
            </w:pPr>
            <w:bookmarkStart w:id="2351" w:name="_Toc124956632"/>
            <w:r w:rsidRPr="00466BFF">
              <w:rPr>
                <w:rFonts w:cs="Calibri"/>
                <w:sz w:val="20"/>
                <w:szCs w:val="20"/>
              </w:rPr>
              <w:t>Partenariat Min Santé et ADDH/ONG</w:t>
            </w:r>
            <w:bookmarkEnd w:id="2351"/>
          </w:p>
        </w:tc>
      </w:tr>
      <w:tr w:rsidR="00C21029" w:rsidRPr="007F78CE" w14:paraId="02C3D2D0" w14:textId="77777777" w:rsidTr="00D12C6F">
        <w:trPr>
          <w:trHeight w:val="290"/>
        </w:trPr>
        <w:tc>
          <w:tcPr>
            <w:tcW w:w="1142" w:type="pct"/>
            <w:vMerge/>
            <w:shd w:val="clear" w:color="auto" w:fill="auto"/>
            <w:hideMark/>
          </w:tcPr>
          <w:p w14:paraId="717BC661"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347659EB" w14:textId="77777777" w:rsidR="00C21029" w:rsidRPr="00466BFF" w:rsidRDefault="00C21029" w:rsidP="00E5387E">
            <w:pPr>
              <w:spacing w:after="0" w:line="240" w:lineRule="auto"/>
              <w:rPr>
                <w:rFonts w:cs="Calibri"/>
                <w:sz w:val="20"/>
                <w:szCs w:val="20"/>
              </w:rPr>
            </w:pPr>
            <w:bookmarkStart w:id="2352" w:name="_Toc124956633"/>
            <w:r w:rsidRPr="00466BFF">
              <w:rPr>
                <w:rFonts w:cs="Calibri"/>
                <w:sz w:val="20"/>
                <w:szCs w:val="20"/>
              </w:rPr>
              <w:t>CECJ/VAM</w:t>
            </w:r>
            <w:bookmarkEnd w:id="2352"/>
          </w:p>
        </w:tc>
        <w:tc>
          <w:tcPr>
            <w:tcW w:w="607" w:type="pct"/>
            <w:shd w:val="clear" w:color="auto" w:fill="auto"/>
            <w:noWrap/>
            <w:hideMark/>
          </w:tcPr>
          <w:p w14:paraId="3B646EC1"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07" w:type="pct"/>
            <w:gridSpan w:val="2"/>
            <w:shd w:val="clear" w:color="auto" w:fill="auto"/>
            <w:hideMark/>
          </w:tcPr>
          <w:p w14:paraId="16F9A88C" w14:textId="77777777" w:rsidR="00C21029" w:rsidRPr="00466BFF" w:rsidRDefault="00C21029" w:rsidP="00E5387E">
            <w:pPr>
              <w:spacing w:after="0" w:line="240" w:lineRule="auto"/>
              <w:rPr>
                <w:rFonts w:cs="Calibri"/>
                <w:sz w:val="20"/>
                <w:szCs w:val="20"/>
              </w:rPr>
            </w:pPr>
            <w:bookmarkStart w:id="2353" w:name="_Toc124956634"/>
            <w:r w:rsidRPr="00466BFF">
              <w:rPr>
                <w:rFonts w:cs="Calibri"/>
                <w:sz w:val="20"/>
                <w:szCs w:val="20"/>
              </w:rPr>
              <w:t>Ambovombe</w:t>
            </w:r>
            <w:bookmarkEnd w:id="2353"/>
          </w:p>
        </w:tc>
      </w:tr>
      <w:tr w:rsidR="00C21029" w:rsidRPr="007F78CE" w14:paraId="21233782" w14:textId="77777777" w:rsidTr="00D12C6F">
        <w:trPr>
          <w:trHeight w:val="290"/>
        </w:trPr>
        <w:tc>
          <w:tcPr>
            <w:tcW w:w="1142" w:type="pct"/>
            <w:vMerge/>
            <w:shd w:val="clear" w:color="auto" w:fill="auto"/>
            <w:hideMark/>
          </w:tcPr>
          <w:p w14:paraId="2D7B21C6"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67CB62D9" w14:textId="77777777" w:rsidR="00C21029" w:rsidRPr="00466BFF" w:rsidRDefault="00C21029" w:rsidP="00E5387E">
            <w:pPr>
              <w:spacing w:after="0" w:line="240" w:lineRule="auto"/>
              <w:rPr>
                <w:rFonts w:cs="Calibri"/>
                <w:sz w:val="20"/>
                <w:szCs w:val="20"/>
              </w:rPr>
            </w:pPr>
            <w:bookmarkStart w:id="2354" w:name="_Toc124956635"/>
            <w:r w:rsidRPr="00466BFF">
              <w:rPr>
                <w:rFonts w:cs="Calibri"/>
                <w:sz w:val="20"/>
                <w:szCs w:val="20"/>
              </w:rPr>
              <w:t>Centre Relais CECJ/VAM</w:t>
            </w:r>
            <w:bookmarkEnd w:id="2354"/>
          </w:p>
        </w:tc>
        <w:tc>
          <w:tcPr>
            <w:tcW w:w="607" w:type="pct"/>
            <w:shd w:val="clear" w:color="auto" w:fill="auto"/>
            <w:noWrap/>
            <w:hideMark/>
          </w:tcPr>
          <w:p w14:paraId="009C1F57"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07" w:type="pct"/>
            <w:gridSpan w:val="2"/>
            <w:shd w:val="clear" w:color="auto" w:fill="auto"/>
            <w:hideMark/>
          </w:tcPr>
          <w:p w14:paraId="006AED6E" w14:textId="77777777" w:rsidR="00C21029" w:rsidRPr="00466BFF" w:rsidRDefault="00C21029" w:rsidP="00E5387E">
            <w:pPr>
              <w:spacing w:after="0" w:line="240" w:lineRule="auto"/>
              <w:rPr>
                <w:rFonts w:cs="Calibri"/>
                <w:sz w:val="20"/>
                <w:szCs w:val="20"/>
              </w:rPr>
            </w:pPr>
            <w:bookmarkStart w:id="2355" w:name="_Toc124956636"/>
            <w:r w:rsidRPr="00466BFF">
              <w:rPr>
                <w:rFonts w:cs="Calibri"/>
                <w:sz w:val="20"/>
                <w:szCs w:val="20"/>
              </w:rPr>
              <w:t>Tsihombe</w:t>
            </w:r>
            <w:bookmarkEnd w:id="2355"/>
          </w:p>
        </w:tc>
      </w:tr>
      <w:tr w:rsidR="00C21029" w:rsidRPr="007F78CE" w14:paraId="03DAF3C9" w14:textId="77777777" w:rsidTr="00D12C6F">
        <w:trPr>
          <w:trHeight w:val="290"/>
        </w:trPr>
        <w:tc>
          <w:tcPr>
            <w:tcW w:w="1142" w:type="pct"/>
            <w:vMerge/>
            <w:shd w:val="clear" w:color="auto" w:fill="auto"/>
            <w:hideMark/>
          </w:tcPr>
          <w:p w14:paraId="5F152B16"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4A22C6AB" w14:textId="77777777" w:rsidR="00C21029" w:rsidRPr="00466BFF" w:rsidRDefault="00C21029" w:rsidP="00E5387E">
            <w:pPr>
              <w:spacing w:after="0" w:line="240" w:lineRule="auto"/>
              <w:rPr>
                <w:rFonts w:cs="Calibri"/>
                <w:sz w:val="20"/>
                <w:szCs w:val="20"/>
              </w:rPr>
            </w:pPr>
            <w:bookmarkStart w:id="2356" w:name="_Toc124956637"/>
            <w:r w:rsidRPr="00466BFF">
              <w:rPr>
                <w:rFonts w:cs="Calibri"/>
                <w:sz w:val="20"/>
                <w:szCs w:val="20"/>
              </w:rPr>
              <w:t>Centre Relais CECJ/VAM</w:t>
            </w:r>
            <w:bookmarkEnd w:id="2356"/>
          </w:p>
        </w:tc>
        <w:tc>
          <w:tcPr>
            <w:tcW w:w="607" w:type="pct"/>
            <w:shd w:val="clear" w:color="auto" w:fill="auto"/>
            <w:noWrap/>
            <w:hideMark/>
          </w:tcPr>
          <w:p w14:paraId="332C5DD9"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07" w:type="pct"/>
            <w:gridSpan w:val="2"/>
            <w:shd w:val="clear" w:color="auto" w:fill="auto"/>
            <w:hideMark/>
          </w:tcPr>
          <w:p w14:paraId="48190B7F" w14:textId="77777777" w:rsidR="00C21029" w:rsidRPr="00466BFF" w:rsidRDefault="00C21029" w:rsidP="00E5387E">
            <w:pPr>
              <w:spacing w:after="0" w:line="240" w:lineRule="auto"/>
              <w:rPr>
                <w:rFonts w:cs="Calibri"/>
                <w:sz w:val="20"/>
                <w:szCs w:val="20"/>
              </w:rPr>
            </w:pPr>
            <w:bookmarkStart w:id="2357" w:name="_Toc124956638"/>
            <w:r w:rsidRPr="00466BFF">
              <w:rPr>
                <w:rFonts w:cs="Calibri"/>
                <w:sz w:val="20"/>
                <w:szCs w:val="20"/>
              </w:rPr>
              <w:t>Beloha</w:t>
            </w:r>
            <w:bookmarkEnd w:id="2357"/>
          </w:p>
        </w:tc>
      </w:tr>
      <w:tr w:rsidR="00C21029" w:rsidRPr="007F78CE" w14:paraId="4B179361" w14:textId="77777777" w:rsidTr="00D12C6F">
        <w:trPr>
          <w:trHeight w:val="290"/>
        </w:trPr>
        <w:tc>
          <w:tcPr>
            <w:tcW w:w="1142" w:type="pct"/>
            <w:vMerge w:val="restart"/>
            <w:shd w:val="clear" w:color="auto" w:fill="auto"/>
            <w:noWrap/>
            <w:hideMark/>
          </w:tcPr>
          <w:p w14:paraId="01C72809" w14:textId="77777777" w:rsidR="00C21029" w:rsidRPr="00B434A6" w:rsidRDefault="00C21029" w:rsidP="00E5387E">
            <w:pPr>
              <w:spacing w:after="0" w:line="240" w:lineRule="auto"/>
              <w:rPr>
                <w:rFonts w:cs="Calibri"/>
                <w:sz w:val="20"/>
                <w:szCs w:val="20"/>
              </w:rPr>
            </w:pPr>
            <w:bookmarkStart w:id="2358" w:name="_Toc124956639"/>
            <w:r w:rsidRPr="00B434A6">
              <w:rPr>
                <w:rFonts w:cs="Calibri"/>
                <w:sz w:val="20"/>
                <w:szCs w:val="20"/>
              </w:rPr>
              <w:t>ANOSY</w:t>
            </w:r>
            <w:bookmarkEnd w:id="2358"/>
          </w:p>
        </w:tc>
        <w:tc>
          <w:tcPr>
            <w:tcW w:w="3858" w:type="pct"/>
            <w:gridSpan w:val="4"/>
            <w:shd w:val="clear" w:color="auto" w:fill="auto"/>
            <w:noWrap/>
            <w:hideMark/>
          </w:tcPr>
          <w:p w14:paraId="505795B8" w14:textId="77777777" w:rsidR="00C21029" w:rsidRPr="00466BFF" w:rsidRDefault="00C21029" w:rsidP="00E5387E">
            <w:pPr>
              <w:spacing w:after="0" w:line="240" w:lineRule="auto"/>
              <w:rPr>
                <w:rFonts w:cs="Calibri"/>
                <w:sz w:val="20"/>
                <w:szCs w:val="20"/>
              </w:rPr>
            </w:pPr>
            <w:bookmarkStart w:id="2359" w:name="_Toc124956640"/>
            <w:r w:rsidRPr="00466BFF">
              <w:rPr>
                <w:rFonts w:cs="Calibri"/>
                <w:sz w:val="20"/>
                <w:szCs w:val="20"/>
              </w:rPr>
              <w:t>Partenariat Min Santé et ADDH/ONG</w:t>
            </w:r>
            <w:bookmarkEnd w:id="2359"/>
          </w:p>
        </w:tc>
      </w:tr>
      <w:tr w:rsidR="00C21029" w:rsidRPr="007F78CE" w14:paraId="5B66C730" w14:textId="77777777" w:rsidTr="00D12C6F">
        <w:trPr>
          <w:trHeight w:val="290"/>
        </w:trPr>
        <w:tc>
          <w:tcPr>
            <w:tcW w:w="1142" w:type="pct"/>
            <w:vMerge/>
            <w:shd w:val="clear" w:color="auto" w:fill="auto"/>
            <w:hideMark/>
          </w:tcPr>
          <w:p w14:paraId="627DD16B"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0FD7E644" w14:textId="77777777" w:rsidR="00C21029" w:rsidRPr="00466BFF" w:rsidRDefault="00C21029" w:rsidP="00E5387E">
            <w:pPr>
              <w:spacing w:after="0" w:line="240" w:lineRule="auto"/>
              <w:rPr>
                <w:rFonts w:cs="Calibri"/>
                <w:sz w:val="20"/>
                <w:szCs w:val="20"/>
              </w:rPr>
            </w:pPr>
            <w:bookmarkStart w:id="2360" w:name="_Toc124956641"/>
            <w:r w:rsidRPr="00466BFF">
              <w:rPr>
                <w:rFonts w:cs="Calibri"/>
                <w:sz w:val="20"/>
                <w:szCs w:val="20"/>
              </w:rPr>
              <w:t>CECJ/VONDRONA</w:t>
            </w:r>
            <w:bookmarkEnd w:id="2360"/>
          </w:p>
        </w:tc>
        <w:tc>
          <w:tcPr>
            <w:tcW w:w="607" w:type="pct"/>
            <w:shd w:val="clear" w:color="auto" w:fill="auto"/>
            <w:noWrap/>
            <w:hideMark/>
          </w:tcPr>
          <w:p w14:paraId="68A983DC"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07" w:type="pct"/>
            <w:gridSpan w:val="2"/>
            <w:shd w:val="clear" w:color="auto" w:fill="auto"/>
            <w:hideMark/>
          </w:tcPr>
          <w:p w14:paraId="4A3481DD" w14:textId="77777777" w:rsidR="00C21029" w:rsidRPr="00466BFF" w:rsidRDefault="00C21029" w:rsidP="00E5387E">
            <w:pPr>
              <w:spacing w:after="0" w:line="240" w:lineRule="auto"/>
              <w:rPr>
                <w:rFonts w:cs="Calibri"/>
                <w:sz w:val="20"/>
                <w:szCs w:val="20"/>
              </w:rPr>
            </w:pPr>
            <w:bookmarkStart w:id="2361" w:name="_Toc124956642"/>
            <w:r w:rsidRPr="00466BFF">
              <w:rPr>
                <w:rFonts w:cs="Calibri"/>
                <w:sz w:val="20"/>
                <w:szCs w:val="20"/>
              </w:rPr>
              <w:t>Amboasary Atsimo</w:t>
            </w:r>
            <w:bookmarkEnd w:id="2361"/>
          </w:p>
        </w:tc>
      </w:tr>
      <w:tr w:rsidR="00C21029" w:rsidRPr="007F78CE" w14:paraId="61862708" w14:textId="77777777" w:rsidTr="00D12C6F">
        <w:trPr>
          <w:trHeight w:val="290"/>
        </w:trPr>
        <w:tc>
          <w:tcPr>
            <w:tcW w:w="1142" w:type="pct"/>
            <w:vMerge/>
            <w:shd w:val="clear" w:color="auto" w:fill="auto"/>
            <w:hideMark/>
          </w:tcPr>
          <w:p w14:paraId="10F4565B"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08A19357" w14:textId="77777777" w:rsidR="00C21029" w:rsidRPr="00466BFF" w:rsidRDefault="00C21029" w:rsidP="00E5387E">
            <w:pPr>
              <w:spacing w:after="0" w:line="240" w:lineRule="auto"/>
              <w:rPr>
                <w:rFonts w:cs="Calibri"/>
                <w:sz w:val="20"/>
                <w:szCs w:val="20"/>
              </w:rPr>
            </w:pPr>
            <w:bookmarkStart w:id="2362" w:name="_Toc124956643"/>
            <w:r w:rsidRPr="00466BFF">
              <w:rPr>
                <w:rFonts w:cs="Calibri"/>
                <w:sz w:val="20"/>
                <w:szCs w:val="20"/>
              </w:rPr>
              <w:t>CECJ/AGNAMI</w:t>
            </w:r>
            <w:bookmarkEnd w:id="2362"/>
          </w:p>
        </w:tc>
        <w:tc>
          <w:tcPr>
            <w:tcW w:w="607" w:type="pct"/>
            <w:shd w:val="clear" w:color="auto" w:fill="auto"/>
            <w:noWrap/>
            <w:hideMark/>
          </w:tcPr>
          <w:p w14:paraId="399E1F83"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07" w:type="pct"/>
            <w:gridSpan w:val="2"/>
            <w:shd w:val="clear" w:color="auto" w:fill="auto"/>
            <w:hideMark/>
          </w:tcPr>
          <w:p w14:paraId="022BB332" w14:textId="77777777" w:rsidR="00C21029" w:rsidRPr="00466BFF" w:rsidRDefault="00C21029" w:rsidP="00E5387E">
            <w:pPr>
              <w:spacing w:after="0" w:line="240" w:lineRule="auto"/>
              <w:rPr>
                <w:rFonts w:cs="Calibri"/>
                <w:sz w:val="20"/>
                <w:szCs w:val="20"/>
              </w:rPr>
            </w:pPr>
            <w:bookmarkStart w:id="2363" w:name="_Toc124956644"/>
            <w:r w:rsidRPr="00466BFF">
              <w:rPr>
                <w:rFonts w:cs="Calibri"/>
                <w:sz w:val="20"/>
                <w:szCs w:val="20"/>
              </w:rPr>
              <w:t>Taolagnaro</w:t>
            </w:r>
            <w:bookmarkEnd w:id="2363"/>
          </w:p>
        </w:tc>
      </w:tr>
      <w:tr w:rsidR="00C21029" w:rsidRPr="007F78CE" w14:paraId="489A01F5" w14:textId="77777777" w:rsidTr="00D12C6F">
        <w:trPr>
          <w:trHeight w:val="290"/>
        </w:trPr>
        <w:tc>
          <w:tcPr>
            <w:tcW w:w="1142" w:type="pct"/>
            <w:vMerge/>
            <w:shd w:val="clear" w:color="auto" w:fill="auto"/>
            <w:hideMark/>
          </w:tcPr>
          <w:p w14:paraId="72943BA4"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3BC0FC56" w14:textId="77777777" w:rsidR="00C21029" w:rsidRPr="00466BFF" w:rsidRDefault="00C21029" w:rsidP="00E5387E">
            <w:pPr>
              <w:spacing w:after="0" w:line="240" w:lineRule="auto"/>
              <w:rPr>
                <w:rFonts w:cs="Calibri"/>
                <w:sz w:val="20"/>
                <w:szCs w:val="20"/>
              </w:rPr>
            </w:pPr>
            <w:bookmarkStart w:id="2364" w:name="_Toc124956645"/>
            <w:r w:rsidRPr="00466BFF">
              <w:rPr>
                <w:rFonts w:cs="Calibri"/>
                <w:sz w:val="20"/>
                <w:szCs w:val="20"/>
              </w:rPr>
              <w:t>ADDH/ONG</w:t>
            </w:r>
            <w:bookmarkEnd w:id="2364"/>
          </w:p>
        </w:tc>
        <w:tc>
          <w:tcPr>
            <w:tcW w:w="607" w:type="pct"/>
            <w:shd w:val="clear" w:color="auto" w:fill="auto"/>
          </w:tcPr>
          <w:p w14:paraId="759D4F86" w14:textId="77777777" w:rsidR="00C21029" w:rsidRPr="00466BFF" w:rsidRDefault="00C21029" w:rsidP="00E5387E">
            <w:pPr>
              <w:spacing w:after="0" w:line="240" w:lineRule="auto"/>
              <w:rPr>
                <w:rFonts w:cs="Calibri"/>
                <w:sz w:val="20"/>
                <w:szCs w:val="20"/>
              </w:rPr>
            </w:pPr>
          </w:p>
        </w:tc>
        <w:tc>
          <w:tcPr>
            <w:tcW w:w="1307" w:type="pct"/>
            <w:gridSpan w:val="2"/>
            <w:shd w:val="clear" w:color="auto" w:fill="auto"/>
          </w:tcPr>
          <w:p w14:paraId="2F00B12E" w14:textId="77777777" w:rsidR="00C21029" w:rsidRPr="00466BFF" w:rsidRDefault="00C21029" w:rsidP="00E5387E">
            <w:pPr>
              <w:spacing w:after="0" w:line="240" w:lineRule="auto"/>
              <w:rPr>
                <w:rFonts w:cs="Calibri"/>
                <w:sz w:val="20"/>
                <w:szCs w:val="20"/>
              </w:rPr>
            </w:pPr>
          </w:p>
        </w:tc>
      </w:tr>
      <w:tr w:rsidR="00C21029" w:rsidRPr="007F78CE" w14:paraId="2828BE84" w14:textId="77777777" w:rsidTr="00D12C6F">
        <w:trPr>
          <w:trHeight w:val="290"/>
        </w:trPr>
        <w:tc>
          <w:tcPr>
            <w:tcW w:w="1142" w:type="pct"/>
            <w:vMerge/>
            <w:shd w:val="clear" w:color="auto" w:fill="auto"/>
            <w:hideMark/>
          </w:tcPr>
          <w:p w14:paraId="574A0272"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4D4CC593" w14:textId="77777777" w:rsidR="00C21029" w:rsidRPr="00466BFF" w:rsidRDefault="00C21029" w:rsidP="00E5387E">
            <w:pPr>
              <w:spacing w:after="0" w:line="240" w:lineRule="auto"/>
              <w:rPr>
                <w:rFonts w:cs="Calibri"/>
                <w:sz w:val="20"/>
                <w:szCs w:val="20"/>
              </w:rPr>
            </w:pPr>
            <w:bookmarkStart w:id="2365" w:name="_Toc124956646"/>
            <w:r w:rsidRPr="00466BFF">
              <w:rPr>
                <w:rFonts w:cs="Calibri"/>
                <w:sz w:val="20"/>
                <w:szCs w:val="20"/>
              </w:rPr>
              <w:t>ACAT Madagascar</w:t>
            </w:r>
            <w:bookmarkEnd w:id="2365"/>
          </w:p>
        </w:tc>
        <w:tc>
          <w:tcPr>
            <w:tcW w:w="607" w:type="pct"/>
            <w:shd w:val="clear" w:color="auto" w:fill="auto"/>
            <w:noWrap/>
            <w:hideMark/>
          </w:tcPr>
          <w:p w14:paraId="15448367" w14:textId="77777777" w:rsidR="00C21029" w:rsidRPr="00466BFF" w:rsidRDefault="00C21029" w:rsidP="00E5387E">
            <w:pPr>
              <w:spacing w:after="0" w:line="240" w:lineRule="auto"/>
              <w:rPr>
                <w:rFonts w:cs="Calibri"/>
                <w:sz w:val="20"/>
                <w:szCs w:val="20"/>
              </w:rPr>
            </w:pPr>
            <w:bookmarkStart w:id="2366" w:name="_Toc124956647"/>
            <w:r w:rsidRPr="00466BFF">
              <w:rPr>
                <w:rFonts w:cs="Calibri"/>
                <w:sz w:val="20"/>
                <w:szCs w:val="20"/>
              </w:rPr>
              <w:t>0327227267</w:t>
            </w:r>
            <w:bookmarkEnd w:id="2366"/>
          </w:p>
        </w:tc>
        <w:tc>
          <w:tcPr>
            <w:tcW w:w="1307" w:type="pct"/>
            <w:gridSpan w:val="2"/>
            <w:shd w:val="clear" w:color="auto" w:fill="auto"/>
            <w:hideMark/>
          </w:tcPr>
          <w:p w14:paraId="0071C895" w14:textId="77777777" w:rsidR="00C21029" w:rsidRPr="00466BFF" w:rsidRDefault="00C21029" w:rsidP="00E5387E">
            <w:pPr>
              <w:spacing w:after="0" w:line="240" w:lineRule="auto"/>
              <w:rPr>
                <w:rFonts w:cs="Calibri"/>
                <w:sz w:val="20"/>
                <w:szCs w:val="20"/>
              </w:rPr>
            </w:pPr>
            <w:bookmarkStart w:id="2367" w:name="_Toc124956648"/>
            <w:r w:rsidRPr="00466BFF">
              <w:rPr>
                <w:rFonts w:cs="Calibri"/>
                <w:sz w:val="20"/>
                <w:szCs w:val="20"/>
              </w:rPr>
              <w:t>Taolagnaro</w:t>
            </w:r>
            <w:bookmarkEnd w:id="2367"/>
          </w:p>
        </w:tc>
      </w:tr>
      <w:tr w:rsidR="00C21029" w:rsidRPr="007F78CE" w14:paraId="6CF34022" w14:textId="77777777" w:rsidTr="00D12C6F">
        <w:trPr>
          <w:trHeight w:val="290"/>
        </w:trPr>
        <w:tc>
          <w:tcPr>
            <w:tcW w:w="1142" w:type="pct"/>
            <w:vMerge/>
            <w:shd w:val="clear" w:color="auto" w:fill="auto"/>
            <w:hideMark/>
          </w:tcPr>
          <w:p w14:paraId="3E21A53F"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2BCD3851" w14:textId="77777777" w:rsidR="00C21029" w:rsidRPr="00466BFF" w:rsidRDefault="00C21029" w:rsidP="00E5387E">
            <w:pPr>
              <w:spacing w:after="0" w:line="240" w:lineRule="auto"/>
              <w:rPr>
                <w:rFonts w:cs="Calibri"/>
                <w:sz w:val="20"/>
                <w:szCs w:val="20"/>
              </w:rPr>
            </w:pPr>
            <w:bookmarkStart w:id="2368" w:name="_Toc124956649"/>
            <w:r w:rsidRPr="00466BFF">
              <w:rPr>
                <w:rFonts w:cs="Calibri"/>
                <w:sz w:val="20"/>
                <w:szCs w:val="20"/>
              </w:rPr>
              <w:t>AZAFADY</w:t>
            </w:r>
            <w:bookmarkEnd w:id="2368"/>
          </w:p>
        </w:tc>
        <w:tc>
          <w:tcPr>
            <w:tcW w:w="607" w:type="pct"/>
            <w:shd w:val="clear" w:color="auto" w:fill="auto"/>
            <w:noWrap/>
            <w:hideMark/>
          </w:tcPr>
          <w:p w14:paraId="7AF65616" w14:textId="77777777" w:rsidR="00C21029" w:rsidRPr="00466BFF" w:rsidRDefault="00C21029" w:rsidP="00E5387E">
            <w:pPr>
              <w:spacing w:after="0" w:line="240" w:lineRule="auto"/>
              <w:rPr>
                <w:rFonts w:cs="Calibri"/>
                <w:sz w:val="20"/>
                <w:szCs w:val="20"/>
              </w:rPr>
            </w:pPr>
            <w:bookmarkStart w:id="2369" w:name="_Toc124956650"/>
            <w:r w:rsidRPr="00466BFF">
              <w:rPr>
                <w:rFonts w:cs="Calibri"/>
                <w:sz w:val="20"/>
                <w:szCs w:val="20"/>
              </w:rPr>
              <w:t>0348442957</w:t>
            </w:r>
            <w:bookmarkEnd w:id="2369"/>
          </w:p>
        </w:tc>
        <w:tc>
          <w:tcPr>
            <w:tcW w:w="1307" w:type="pct"/>
            <w:gridSpan w:val="2"/>
            <w:shd w:val="clear" w:color="auto" w:fill="auto"/>
            <w:hideMark/>
          </w:tcPr>
          <w:p w14:paraId="575181F4" w14:textId="77777777" w:rsidR="00C21029" w:rsidRPr="00466BFF" w:rsidRDefault="00C21029" w:rsidP="00E5387E">
            <w:pPr>
              <w:spacing w:after="0" w:line="240" w:lineRule="auto"/>
              <w:rPr>
                <w:rFonts w:cs="Calibri"/>
                <w:sz w:val="20"/>
                <w:szCs w:val="20"/>
              </w:rPr>
            </w:pPr>
            <w:bookmarkStart w:id="2370" w:name="_Toc124956651"/>
            <w:r w:rsidRPr="00466BFF">
              <w:rPr>
                <w:rFonts w:cs="Calibri"/>
                <w:sz w:val="20"/>
                <w:szCs w:val="20"/>
              </w:rPr>
              <w:t>Taolagnaro</w:t>
            </w:r>
            <w:bookmarkEnd w:id="2370"/>
          </w:p>
        </w:tc>
      </w:tr>
      <w:tr w:rsidR="00C21029" w:rsidRPr="007F78CE" w14:paraId="7C87E4A8" w14:textId="77777777" w:rsidTr="00D12C6F">
        <w:trPr>
          <w:trHeight w:val="290"/>
        </w:trPr>
        <w:tc>
          <w:tcPr>
            <w:tcW w:w="1142" w:type="pct"/>
            <w:vMerge/>
            <w:shd w:val="clear" w:color="auto" w:fill="auto"/>
            <w:hideMark/>
          </w:tcPr>
          <w:p w14:paraId="4AF05807"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016DF22B" w14:textId="77777777" w:rsidR="00C21029" w:rsidRPr="00466BFF" w:rsidRDefault="00C21029" w:rsidP="00E5387E">
            <w:pPr>
              <w:spacing w:after="0" w:line="240" w:lineRule="auto"/>
              <w:rPr>
                <w:rFonts w:cs="Calibri"/>
                <w:sz w:val="20"/>
                <w:szCs w:val="20"/>
              </w:rPr>
            </w:pPr>
            <w:bookmarkStart w:id="2371" w:name="_Toc124956652"/>
            <w:r w:rsidRPr="00466BFF">
              <w:rPr>
                <w:rFonts w:cs="Calibri"/>
                <w:sz w:val="20"/>
                <w:szCs w:val="20"/>
              </w:rPr>
              <w:t>Life Giving Water</w:t>
            </w:r>
            <w:bookmarkEnd w:id="2371"/>
          </w:p>
        </w:tc>
        <w:tc>
          <w:tcPr>
            <w:tcW w:w="607" w:type="pct"/>
            <w:shd w:val="clear" w:color="auto" w:fill="auto"/>
            <w:noWrap/>
            <w:hideMark/>
          </w:tcPr>
          <w:p w14:paraId="71F00521"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07" w:type="pct"/>
            <w:gridSpan w:val="2"/>
            <w:shd w:val="clear" w:color="auto" w:fill="auto"/>
            <w:hideMark/>
          </w:tcPr>
          <w:p w14:paraId="2001B4F5" w14:textId="77777777" w:rsidR="00C21029" w:rsidRPr="00466BFF" w:rsidRDefault="00C21029" w:rsidP="00E5387E">
            <w:pPr>
              <w:spacing w:after="0" w:line="240" w:lineRule="auto"/>
              <w:rPr>
                <w:rFonts w:cs="Calibri"/>
                <w:sz w:val="20"/>
                <w:szCs w:val="20"/>
              </w:rPr>
            </w:pPr>
            <w:bookmarkStart w:id="2372" w:name="_Toc124956653"/>
            <w:r w:rsidRPr="00466BFF">
              <w:rPr>
                <w:rFonts w:cs="Calibri"/>
                <w:sz w:val="20"/>
                <w:szCs w:val="20"/>
              </w:rPr>
              <w:t>Taolagnaro</w:t>
            </w:r>
            <w:bookmarkEnd w:id="2372"/>
          </w:p>
        </w:tc>
      </w:tr>
      <w:tr w:rsidR="00C21029" w:rsidRPr="007F78CE" w14:paraId="32286D97" w14:textId="77777777" w:rsidTr="00D12C6F">
        <w:trPr>
          <w:trHeight w:val="290"/>
        </w:trPr>
        <w:tc>
          <w:tcPr>
            <w:tcW w:w="1142" w:type="pct"/>
            <w:vMerge w:val="restart"/>
            <w:shd w:val="clear" w:color="auto" w:fill="auto"/>
            <w:noWrap/>
            <w:hideMark/>
          </w:tcPr>
          <w:p w14:paraId="045BF014" w14:textId="77777777" w:rsidR="00C21029" w:rsidRPr="00B434A6" w:rsidRDefault="00C21029" w:rsidP="00E5387E">
            <w:pPr>
              <w:spacing w:after="0" w:line="240" w:lineRule="auto"/>
              <w:rPr>
                <w:rFonts w:cs="Calibri"/>
                <w:sz w:val="20"/>
                <w:szCs w:val="20"/>
              </w:rPr>
            </w:pPr>
            <w:bookmarkStart w:id="2373" w:name="_Toc124956654"/>
            <w:r w:rsidRPr="00B434A6">
              <w:rPr>
                <w:rFonts w:cs="Calibri"/>
                <w:sz w:val="20"/>
                <w:szCs w:val="20"/>
              </w:rPr>
              <w:t>MENABE</w:t>
            </w:r>
            <w:bookmarkEnd w:id="2373"/>
          </w:p>
        </w:tc>
        <w:tc>
          <w:tcPr>
            <w:tcW w:w="1943" w:type="pct"/>
            <w:shd w:val="clear" w:color="auto" w:fill="auto"/>
            <w:noWrap/>
            <w:hideMark/>
          </w:tcPr>
          <w:p w14:paraId="5615EA3C" w14:textId="77777777" w:rsidR="00C21029" w:rsidRPr="00466BFF" w:rsidRDefault="00C21029" w:rsidP="00E5387E">
            <w:pPr>
              <w:spacing w:after="0" w:line="240" w:lineRule="auto"/>
              <w:rPr>
                <w:rFonts w:cs="Calibri"/>
                <w:sz w:val="20"/>
                <w:szCs w:val="20"/>
              </w:rPr>
            </w:pPr>
            <w:bookmarkStart w:id="2374" w:name="_Toc124956655"/>
            <w:r w:rsidRPr="00466BFF">
              <w:rPr>
                <w:rFonts w:cs="Calibri"/>
                <w:sz w:val="20"/>
                <w:szCs w:val="20"/>
              </w:rPr>
              <w:t>Partenariat Min Santé et ADDH/ONG</w:t>
            </w:r>
            <w:bookmarkEnd w:id="2374"/>
          </w:p>
        </w:tc>
        <w:tc>
          <w:tcPr>
            <w:tcW w:w="607" w:type="pct"/>
            <w:shd w:val="clear" w:color="auto" w:fill="auto"/>
          </w:tcPr>
          <w:p w14:paraId="21C7D7C4" w14:textId="77777777" w:rsidR="00C21029" w:rsidRPr="00466BFF" w:rsidRDefault="00C21029" w:rsidP="00E5387E">
            <w:pPr>
              <w:spacing w:after="0" w:line="240" w:lineRule="auto"/>
              <w:rPr>
                <w:rFonts w:cs="Calibri"/>
                <w:sz w:val="20"/>
                <w:szCs w:val="20"/>
              </w:rPr>
            </w:pPr>
          </w:p>
        </w:tc>
        <w:tc>
          <w:tcPr>
            <w:tcW w:w="1307" w:type="pct"/>
            <w:gridSpan w:val="2"/>
            <w:shd w:val="clear" w:color="auto" w:fill="auto"/>
          </w:tcPr>
          <w:p w14:paraId="0AAD3720" w14:textId="77777777" w:rsidR="00C21029" w:rsidRPr="00466BFF" w:rsidRDefault="00C21029" w:rsidP="00E5387E">
            <w:pPr>
              <w:spacing w:after="0" w:line="240" w:lineRule="auto"/>
              <w:rPr>
                <w:rFonts w:cs="Calibri"/>
                <w:sz w:val="20"/>
                <w:szCs w:val="20"/>
              </w:rPr>
            </w:pPr>
          </w:p>
        </w:tc>
      </w:tr>
      <w:tr w:rsidR="00C21029" w:rsidRPr="007F78CE" w14:paraId="637671B3" w14:textId="77777777" w:rsidTr="00D12C6F">
        <w:trPr>
          <w:trHeight w:val="290"/>
        </w:trPr>
        <w:tc>
          <w:tcPr>
            <w:tcW w:w="1142" w:type="pct"/>
            <w:vMerge/>
            <w:shd w:val="clear" w:color="auto" w:fill="auto"/>
            <w:hideMark/>
          </w:tcPr>
          <w:p w14:paraId="5400FEB7"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4538898C" w14:textId="77777777" w:rsidR="00C21029" w:rsidRPr="00466BFF" w:rsidRDefault="00C21029" w:rsidP="00E5387E">
            <w:pPr>
              <w:spacing w:after="0" w:line="240" w:lineRule="auto"/>
              <w:rPr>
                <w:rFonts w:cs="Calibri"/>
                <w:sz w:val="20"/>
                <w:szCs w:val="20"/>
              </w:rPr>
            </w:pPr>
            <w:bookmarkStart w:id="2375" w:name="_Toc124956656"/>
            <w:r w:rsidRPr="00466BFF">
              <w:rPr>
                <w:rFonts w:cs="Calibri"/>
                <w:sz w:val="20"/>
                <w:szCs w:val="20"/>
              </w:rPr>
              <w:t>CECJ/AMPELA TSY HALA</w:t>
            </w:r>
            <w:bookmarkEnd w:id="2375"/>
          </w:p>
        </w:tc>
        <w:tc>
          <w:tcPr>
            <w:tcW w:w="607" w:type="pct"/>
            <w:shd w:val="clear" w:color="auto" w:fill="auto"/>
            <w:noWrap/>
            <w:hideMark/>
          </w:tcPr>
          <w:p w14:paraId="25019C3F"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07" w:type="pct"/>
            <w:gridSpan w:val="2"/>
            <w:shd w:val="clear" w:color="auto" w:fill="auto"/>
            <w:hideMark/>
          </w:tcPr>
          <w:p w14:paraId="49D3F54D" w14:textId="77777777" w:rsidR="00C21029" w:rsidRPr="00466BFF" w:rsidRDefault="00C21029" w:rsidP="00E5387E">
            <w:pPr>
              <w:spacing w:after="0" w:line="240" w:lineRule="auto"/>
              <w:rPr>
                <w:rFonts w:cs="Calibri"/>
                <w:sz w:val="20"/>
                <w:szCs w:val="20"/>
              </w:rPr>
            </w:pPr>
            <w:bookmarkStart w:id="2376" w:name="_Toc124956657"/>
            <w:r w:rsidRPr="00466BFF">
              <w:rPr>
                <w:rFonts w:cs="Calibri"/>
                <w:sz w:val="20"/>
                <w:szCs w:val="20"/>
              </w:rPr>
              <w:t>Morondava</w:t>
            </w:r>
            <w:bookmarkEnd w:id="2376"/>
          </w:p>
        </w:tc>
      </w:tr>
      <w:tr w:rsidR="00C21029" w:rsidRPr="007F78CE" w14:paraId="54F5968A" w14:textId="77777777" w:rsidTr="00D12C6F">
        <w:trPr>
          <w:trHeight w:val="290"/>
        </w:trPr>
        <w:tc>
          <w:tcPr>
            <w:tcW w:w="1142" w:type="pct"/>
            <w:vMerge w:val="restart"/>
            <w:shd w:val="clear" w:color="auto" w:fill="auto"/>
            <w:noWrap/>
            <w:hideMark/>
          </w:tcPr>
          <w:p w14:paraId="51F4BAFD" w14:textId="77777777" w:rsidR="00C21029" w:rsidRPr="00B434A6" w:rsidRDefault="00C21029" w:rsidP="00E5387E">
            <w:pPr>
              <w:spacing w:after="0" w:line="240" w:lineRule="auto"/>
              <w:rPr>
                <w:rFonts w:cs="Calibri"/>
                <w:sz w:val="20"/>
                <w:szCs w:val="20"/>
              </w:rPr>
            </w:pPr>
            <w:bookmarkStart w:id="2377" w:name="_Toc124956658"/>
            <w:r w:rsidRPr="00B434A6">
              <w:rPr>
                <w:rFonts w:cs="Calibri"/>
                <w:sz w:val="20"/>
                <w:szCs w:val="20"/>
              </w:rPr>
              <w:t>ATSINANANA</w:t>
            </w:r>
            <w:bookmarkEnd w:id="2377"/>
          </w:p>
        </w:tc>
        <w:tc>
          <w:tcPr>
            <w:tcW w:w="3858" w:type="pct"/>
            <w:gridSpan w:val="4"/>
            <w:shd w:val="clear" w:color="auto" w:fill="auto"/>
            <w:noWrap/>
            <w:hideMark/>
          </w:tcPr>
          <w:p w14:paraId="34B66962" w14:textId="77777777" w:rsidR="00C21029" w:rsidRPr="00466BFF" w:rsidRDefault="00C21029" w:rsidP="00E5387E">
            <w:pPr>
              <w:spacing w:after="0" w:line="240" w:lineRule="auto"/>
              <w:rPr>
                <w:rFonts w:cs="Calibri"/>
                <w:sz w:val="20"/>
                <w:szCs w:val="20"/>
              </w:rPr>
            </w:pPr>
            <w:bookmarkStart w:id="2378" w:name="_Toc124956659"/>
            <w:r w:rsidRPr="00466BFF">
              <w:rPr>
                <w:rFonts w:cs="Calibri"/>
                <w:sz w:val="20"/>
                <w:szCs w:val="20"/>
              </w:rPr>
              <w:t>Partenariat Min Santé et ADDH/ONG</w:t>
            </w:r>
            <w:bookmarkEnd w:id="2378"/>
          </w:p>
        </w:tc>
      </w:tr>
      <w:tr w:rsidR="00C21029" w:rsidRPr="007F78CE" w14:paraId="57D6E43E" w14:textId="77777777" w:rsidTr="00D12C6F">
        <w:trPr>
          <w:trHeight w:val="290"/>
        </w:trPr>
        <w:tc>
          <w:tcPr>
            <w:tcW w:w="1142" w:type="pct"/>
            <w:vMerge/>
            <w:shd w:val="clear" w:color="auto" w:fill="auto"/>
            <w:hideMark/>
          </w:tcPr>
          <w:p w14:paraId="6C9CFFFA"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5E14FD79" w14:textId="77777777" w:rsidR="00C21029" w:rsidRPr="00466BFF" w:rsidRDefault="00C21029" w:rsidP="00E5387E">
            <w:pPr>
              <w:spacing w:after="0" w:line="240" w:lineRule="auto"/>
              <w:rPr>
                <w:rFonts w:cs="Calibri"/>
                <w:sz w:val="20"/>
                <w:szCs w:val="20"/>
              </w:rPr>
            </w:pPr>
            <w:bookmarkStart w:id="2379" w:name="_Toc124956660"/>
            <w:r w:rsidRPr="00466BFF">
              <w:rPr>
                <w:rFonts w:cs="Calibri"/>
                <w:sz w:val="20"/>
                <w:szCs w:val="20"/>
              </w:rPr>
              <w:t>CECJ/FPFE</w:t>
            </w:r>
            <w:bookmarkEnd w:id="2379"/>
          </w:p>
        </w:tc>
        <w:tc>
          <w:tcPr>
            <w:tcW w:w="607" w:type="pct"/>
            <w:shd w:val="clear" w:color="auto" w:fill="auto"/>
            <w:noWrap/>
            <w:hideMark/>
          </w:tcPr>
          <w:p w14:paraId="664CFB46" w14:textId="77777777" w:rsidR="00C21029" w:rsidRPr="00466BFF" w:rsidRDefault="00C21029" w:rsidP="00E5387E">
            <w:pPr>
              <w:spacing w:after="0" w:line="240" w:lineRule="auto"/>
              <w:rPr>
                <w:rFonts w:cs="Calibri"/>
                <w:sz w:val="20"/>
                <w:szCs w:val="20"/>
              </w:rPr>
            </w:pPr>
            <w:bookmarkStart w:id="2380" w:name="_Toc124956661"/>
            <w:r w:rsidRPr="00466BFF">
              <w:rPr>
                <w:rFonts w:cs="Calibri"/>
                <w:sz w:val="20"/>
                <w:szCs w:val="20"/>
              </w:rPr>
              <w:t>0320468226</w:t>
            </w:r>
            <w:bookmarkEnd w:id="2380"/>
          </w:p>
        </w:tc>
        <w:tc>
          <w:tcPr>
            <w:tcW w:w="1307" w:type="pct"/>
            <w:gridSpan w:val="2"/>
            <w:shd w:val="clear" w:color="auto" w:fill="auto"/>
            <w:hideMark/>
          </w:tcPr>
          <w:p w14:paraId="325090FC" w14:textId="77777777" w:rsidR="00C21029" w:rsidRPr="00466BFF" w:rsidRDefault="00C21029" w:rsidP="00E5387E">
            <w:pPr>
              <w:spacing w:after="0" w:line="240" w:lineRule="auto"/>
              <w:rPr>
                <w:rFonts w:cs="Calibri"/>
                <w:sz w:val="20"/>
                <w:szCs w:val="20"/>
              </w:rPr>
            </w:pPr>
            <w:bookmarkStart w:id="2381" w:name="_Toc124956662"/>
            <w:r w:rsidRPr="00466BFF">
              <w:rPr>
                <w:rFonts w:cs="Calibri"/>
                <w:sz w:val="20"/>
                <w:szCs w:val="20"/>
              </w:rPr>
              <w:t>Toamasina</w:t>
            </w:r>
            <w:r w:rsidR="006D5F22" w:rsidRPr="00466BFF">
              <w:rPr>
                <w:rFonts w:cs="Calibri"/>
                <w:sz w:val="20"/>
                <w:szCs w:val="20"/>
              </w:rPr>
              <w:t xml:space="preserve"> </w:t>
            </w:r>
            <w:r w:rsidRPr="00466BFF">
              <w:rPr>
                <w:rFonts w:cs="Calibri"/>
                <w:sz w:val="20"/>
                <w:szCs w:val="20"/>
              </w:rPr>
              <w:t>ville</w:t>
            </w:r>
            <w:bookmarkEnd w:id="2381"/>
          </w:p>
        </w:tc>
      </w:tr>
      <w:tr w:rsidR="00C21029" w:rsidRPr="007F78CE" w14:paraId="013E4AD1" w14:textId="77777777" w:rsidTr="00D12C6F">
        <w:trPr>
          <w:trHeight w:val="580"/>
        </w:trPr>
        <w:tc>
          <w:tcPr>
            <w:tcW w:w="1142" w:type="pct"/>
            <w:vMerge/>
            <w:shd w:val="clear" w:color="auto" w:fill="auto"/>
            <w:hideMark/>
          </w:tcPr>
          <w:p w14:paraId="69FF106A"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79258FF1" w14:textId="77777777" w:rsidR="00C21029" w:rsidRPr="00466BFF" w:rsidRDefault="00C21029" w:rsidP="00E5387E">
            <w:pPr>
              <w:spacing w:after="0" w:line="240" w:lineRule="auto"/>
              <w:rPr>
                <w:rFonts w:cs="Calibri"/>
                <w:sz w:val="20"/>
                <w:szCs w:val="20"/>
              </w:rPr>
            </w:pPr>
            <w:bookmarkStart w:id="2382" w:name="_Toc124956663"/>
            <w:r w:rsidRPr="00466BFF">
              <w:rPr>
                <w:rFonts w:cs="Calibri"/>
                <w:sz w:val="20"/>
                <w:szCs w:val="20"/>
              </w:rPr>
              <w:t>Centre Relais CECJ/FPFE</w:t>
            </w:r>
            <w:bookmarkEnd w:id="2382"/>
          </w:p>
        </w:tc>
        <w:tc>
          <w:tcPr>
            <w:tcW w:w="607" w:type="pct"/>
            <w:shd w:val="clear" w:color="auto" w:fill="auto"/>
            <w:noWrap/>
            <w:hideMark/>
          </w:tcPr>
          <w:p w14:paraId="310FFDCC" w14:textId="77777777" w:rsidR="00C21029" w:rsidRPr="00466BFF" w:rsidRDefault="00C21029" w:rsidP="00E5387E">
            <w:pPr>
              <w:spacing w:after="0" w:line="240" w:lineRule="auto"/>
              <w:rPr>
                <w:rFonts w:cs="Calibri"/>
                <w:sz w:val="20"/>
                <w:szCs w:val="20"/>
              </w:rPr>
            </w:pPr>
            <w:bookmarkStart w:id="2383" w:name="_Toc124956664"/>
            <w:r w:rsidRPr="00466BFF">
              <w:rPr>
                <w:rFonts w:cs="Calibri"/>
                <w:sz w:val="20"/>
                <w:szCs w:val="20"/>
              </w:rPr>
              <w:t>0328162080</w:t>
            </w:r>
            <w:bookmarkEnd w:id="2383"/>
          </w:p>
        </w:tc>
        <w:tc>
          <w:tcPr>
            <w:tcW w:w="1307" w:type="pct"/>
            <w:gridSpan w:val="2"/>
            <w:shd w:val="clear" w:color="auto" w:fill="auto"/>
            <w:hideMark/>
          </w:tcPr>
          <w:p w14:paraId="4D884EA7" w14:textId="77777777" w:rsidR="00C21029" w:rsidRPr="00466BFF" w:rsidRDefault="00C21029" w:rsidP="00E5387E">
            <w:pPr>
              <w:spacing w:after="0" w:line="240" w:lineRule="auto"/>
              <w:rPr>
                <w:rFonts w:cs="Calibri"/>
                <w:sz w:val="20"/>
                <w:szCs w:val="20"/>
              </w:rPr>
            </w:pPr>
            <w:bookmarkStart w:id="2384" w:name="_Toc124956665"/>
            <w:r w:rsidRPr="00466BFF">
              <w:rPr>
                <w:rFonts w:cs="Calibri"/>
                <w:sz w:val="20"/>
                <w:szCs w:val="20"/>
              </w:rPr>
              <w:t>Commune Mahavelona Foulpointe</w:t>
            </w:r>
            <w:bookmarkEnd w:id="2384"/>
          </w:p>
        </w:tc>
      </w:tr>
      <w:tr w:rsidR="00C21029" w:rsidRPr="007F78CE" w14:paraId="4EAE0059" w14:textId="77777777" w:rsidTr="00D12C6F">
        <w:trPr>
          <w:trHeight w:val="580"/>
        </w:trPr>
        <w:tc>
          <w:tcPr>
            <w:tcW w:w="1142" w:type="pct"/>
            <w:vMerge/>
            <w:shd w:val="clear" w:color="auto" w:fill="auto"/>
            <w:hideMark/>
          </w:tcPr>
          <w:p w14:paraId="4DC8E7DA"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2F736B51" w14:textId="77777777" w:rsidR="00C21029" w:rsidRPr="00466BFF" w:rsidRDefault="00C21029" w:rsidP="00E5387E">
            <w:pPr>
              <w:spacing w:after="0" w:line="240" w:lineRule="auto"/>
              <w:rPr>
                <w:rFonts w:cs="Calibri"/>
                <w:sz w:val="20"/>
                <w:szCs w:val="20"/>
              </w:rPr>
            </w:pPr>
            <w:bookmarkStart w:id="2385" w:name="_Toc124956666"/>
            <w:r w:rsidRPr="00466BFF">
              <w:rPr>
                <w:rFonts w:cs="Calibri"/>
                <w:sz w:val="20"/>
                <w:szCs w:val="20"/>
              </w:rPr>
              <w:t>Centre Relais CECJ/FPFE</w:t>
            </w:r>
            <w:bookmarkEnd w:id="2385"/>
          </w:p>
        </w:tc>
        <w:tc>
          <w:tcPr>
            <w:tcW w:w="607" w:type="pct"/>
            <w:shd w:val="clear" w:color="auto" w:fill="auto"/>
            <w:noWrap/>
            <w:hideMark/>
          </w:tcPr>
          <w:p w14:paraId="79E8CE8D" w14:textId="77777777" w:rsidR="00C21029" w:rsidRPr="00466BFF" w:rsidRDefault="00C21029" w:rsidP="00E5387E">
            <w:pPr>
              <w:spacing w:after="0" w:line="240" w:lineRule="auto"/>
              <w:rPr>
                <w:rFonts w:cs="Calibri"/>
                <w:sz w:val="20"/>
                <w:szCs w:val="20"/>
              </w:rPr>
            </w:pPr>
            <w:bookmarkStart w:id="2386" w:name="_Toc124956667"/>
            <w:r w:rsidRPr="00466BFF">
              <w:rPr>
                <w:rFonts w:cs="Calibri"/>
                <w:sz w:val="20"/>
                <w:szCs w:val="20"/>
              </w:rPr>
              <w:t>0344103223</w:t>
            </w:r>
            <w:bookmarkEnd w:id="2386"/>
          </w:p>
        </w:tc>
        <w:tc>
          <w:tcPr>
            <w:tcW w:w="1307" w:type="pct"/>
            <w:gridSpan w:val="2"/>
            <w:shd w:val="clear" w:color="auto" w:fill="auto"/>
            <w:hideMark/>
          </w:tcPr>
          <w:p w14:paraId="7348E60A" w14:textId="77777777" w:rsidR="00C21029" w:rsidRPr="00466BFF" w:rsidRDefault="00C21029" w:rsidP="00E5387E">
            <w:pPr>
              <w:spacing w:after="0" w:line="240" w:lineRule="auto"/>
              <w:rPr>
                <w:rFonts w:cs="Calibri"/>
                <w:sz w:val="20"/>
                <w:szCs w:val="20"/>
              </w:rPr>
            </w:pPr>
            <w:bookmarkStart w:id="2387" w:name="_Toc124956668"/>
            <w:r w:rsidRPr="00466BFF">
              <w:rPr>
                <w:rFonts w:cs="Calibri"/>
                <w:sz w:val="20"/>
                <w:szCs w:val="20"/>
              </w:rPr>
              <w:t>Enceinte commune Ampasimadinika</w:t>
            </w:r>
            <w:bookmarkEnd w:id="2387"/>
          </w:p>
        </w:tc>
      </w:tr>
      <w:tr w:rsidR="00C21029" w:rsidRPr="007F78CE" w14:paraId="6662B62C" w14:textId="77777777" w:rsidTr="00D12C6F">
        <w:trPr>
          <w:trHeight w:val="290"/>
        </w:trPr>
        <w:tc>
          <w:tcPr>
            <w:tcW w:w="1142" w:type="pct"/>
            <w:vMerge/>
            <w:shd w:val="clear" w:color="auto" w:fill="auto"/>
            <w:hideMark/>
          </w:tcPr>
          <w:p w14:paraId="045033C6" w14:textId="77777777" w:rsidR="00C21029" w:rsidRPr="00B434A6" w:rsidRDefault="00C21029" w:rsidP="00E5387E">
            <w:pPr>
              <w:spacing w:after="0" w:line="240" w:lineRule="auto"/>
              <w:rPr>
                <w:rFonts w:cs="Calibri"/>
                <w:sz w:val="20"/>
                <w:szCs w:val="20"/>
              </w:rPr>
            </w:pPr>
          </w:p>
        </w:tc>
        <w:tc>
          <w:tcPr>
            <w:tcW w:w="3858" w:type="pct"/>
            <w:gridSpan w:val="4"/>
            <w:shd w:val="clear" w:color="auto" w:fill="auto"/>
            <w:noWrap/>
            <w:hideMark/>
          </w:tcPr>
          <w:p w14:paraId="13DED374" w14:textId="77777777" w:rsidR="00C21029" w:rsidRPr="00466BFF" w:rsidRDefault="00C21029" w:rsidP="00E5387E">
            <w:pPr>
              <w:spacing w:after="0" w:line="240" w:lineRule="auto"/>
              <w:rPr>
                <w:rFonts w:cs="Calibri"/>
                <w:sz w:val="20"/>
                <w:szCs w:val="20"/>
              </w:rPr>
            </w:pPr>
            <w:bookmarkStart w:id="2388" w:name="_Toc124956669"/>
            <w:r w:rsidRPr="00466BFF">
              <w:rPr>
                <w:rFonts w:cs="Calibri"/>
                <w:sz w:val="20"/>
                <w:szCs w:val="20"/>
              </w:rPr>
              <w:t>ADDH/ONG</w:t>
            </w:r>
            <w:bookmarkEnd w:id="2388"/>
          </w:p>
        </w:tc>
      </w:tr>
      <w:tr w:rsidR="00C21029" w:rsidRPr="007F78CE" w14:paraId="16988B38" w14:textId="77777777" w:rsidTr="00D12C6F">
        <w:trPr>
          <w:trHeight w:val="290"/>
        </w:trPr>
        <w:tc>
          <w:tcPr>
            <w:tcW w:w="1142" w:type="pct"/>
            <w:vMerge/>
            <w:shd w:val="clear" w:color="auto" w:fill="auto"/>
            <w:hideMark/>
          </w:tcPr>
          <w:p w14:paraId="73F39631"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62D5B854" w14:textId="77777777" w:rsidR="00C21029" w:rsidRPr="00466BFF" w:rsidRDefault="00C21029" w:rsidP="00E5387E">
            <w:pPr>
              <w:spacing w:after="0" w:line="240" w:lineRule="auto"/>
              <w:rPr>
                <w:rFonts w:cs="Calibri"/>
                <w:sz w:val="20"/>
                <w:szCs w:val="20"/>
              </w:rPr>
            </w:pPr>
            <w:bookmarkStart w:id="2389" w:name="_Toc124956670"/>
            <w:r w:rsidRPr="00466BFF">
              <w:rPr>
                <w:rFonts w:cs="Calibri"/>
                <w:sz w:val="20"/>
                <w:szCs w:val="20"/>
              </w:rPr>
              <w:t>ACAT Madagascar</w:t>
            </w:r>
            <w:bookmarkEnd w:id="2389"/>
          </w:p>
        </w:tc>
        <w:tc>
          <w:tcPr>
            <w:tcW w:w="607" w:type="pct"/>
            <w:shd w:val="clear" w:color="auto" w:fill="auto"/>
            <w:noWrap/>
            <w:hideMark/>
          </w:tcPr>
          <w:p w14:paraId="3C0D6953"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07" w:type="pct"/>
            <w:gridSpan w:val="2"/>
            <w:shd w:val="clear" w:color="auto" w:fill="auto"/>
            <w:hideMark/>
          </w:tcPr>
          <w:p w14:paraId="698E63D3" w14:textId="77777777" w:rsidR="00C21029" w:rsidRPr="00466BFF" w:rsidRDefault="00C21029" w:rsidP="00E5387E">
            <w:pPr>
              <w:spacing w:after="0" w:line="240" w:lineRule="auto"/>
              <w:rPr>
                <w:rFonts w:cs="Calibri"/>
                <w:sz w:val="20"/>
                <w:szCs w:val="20"/>
              </w:rPr>
            </w:pPr>
            <w:bookmarkStart w:id="2390" w:name="_Toc124956671"/>
            <w:r w:rsidRPr="00466BFF">
              <w:rPr>
                <w:rFonts w:cs="Calibri"/>
                <w:sz w:val="20"/>
                <w:szCs w:val="20"/>
              </w:rPr>
              <w:t>Toamasina ville</w:t>
            </w:r>
            <w:bookmarkEnd w:id="2390"/>
          </w:p>
        </w:tc>
      </w:tr>
      <w:tr w:rsidR="00C21029" w:rsidRPr="007F78CE" w14:paraId="1212D214" w14:textId="77777777" w:rsidTr="00D12C6F">
        <w:trPr>
          <w:trHeight w:val="290"/>
        </w:trPr>
        <w:tc>
          <w:tcPr>
            <w:tcW w:w="1142" w:type="pct"/>
            <w:vMerge/>
            <w:shd w:val="clear" w:color="auto" w:fill="auto"/>
            <w:hideMark/>
          </w:tcPr>
          <w:p w14:paraId="75219697"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249B285A" w14:textId="77777777" w:rsidR="00C21029" w:rsidRPr="00466BFF" w:rsidRDefault="00C21029" w:rsidP="00E5387E">
            <w:pPr>
              <w:spacing w:after="0" w:line="240" w:lineRule="auto"/>
              <w:rPr>
                <w:rFonts w:cs="Calibri"/>
                <w:sz w:val="20"/>
                <w:szCs w:val="20"/>
              </w:rPr>
            </w:pPr>
            <w:bookmarkStart w:id="2391" w:name="_Toc124956672"/>
            <w:r w:rsidRPr="00466BFF">
              <w:rPr>
                <w:rFonts w:cs="Calibri"/>
                <w:sz w:val="20"/>
                <w:szCs w:val="20"/>
              </w:rPr>
              <w:t>Enfant du Soleil</w:t>
            </w:r>
            <w:bookmarkEnd w:id="2391"/>
          </w:p>
        </w:tc>
        <w:tc>
          <w:tcPr>
            <w:tcW w:w="607" w:type="pct"/>
            <w:shd w:val="clear" w:color="auto" w:fill="auto"/>
            <w:noWrap/>
            <w:hideMark/>
          </w:tcPr>
          <w:p w14:paraId="6F67C428"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07" w:type="pct"/>
            <w:gridSpan w:val="2"/>
            <w:shd w:val="clear" w:color="auto" w:fill="auto"/>
            <w:hideMark/>
          </w:tcPr>
          <w:p w14:paraId="7ADD2CF6" w14:textId="77777777" w:rsidR="00C21029" w:rsidRPr="00466BFF" w:rsidRDefault="00C21029" w:rsidP="00E5387E">
            <w:pPr>
              <w:spacing w:after="0" w:line="240" w:lineRule="auto"/>
              <w:rPr>
                <w:rFonts w:cs="Calibri"/>
                <w:sz w:val="20"/>
                <w:szCs w:val="20"/>
              </w:rPr>
            </w:pPr>
            <w:bookmarkStart w:id="2392" w:name="_Toc124956673"/>
            <w:r w:rsidRPr="00466BFF">
              <w:rPr>
                <w:rFonts w:cs="Calibri"/>
                <w:sz w:val="20"/>
                <w:szCs w:val="20"/>
              </w:rPr>
              <w:t>Toamasina ville</w:t>
            </w:r>
            <w:bookmarkEnd w:id="2392"/>
          </w:p>
        </w:tc>
      </w:tr>
      <w:tr w:rsidR="00C21029" w:rsidRPr="007F78CE" w14:paraId="3A52A137" w14:textId="77777777" w:rsidTr="00D12C6F">
        <w:trPr>
          <w:trHeight w:val="290"/>
        </w:trPr>
        <w:tc>
          <w:tcPr>
            <w:tcW w:w="1142" w:type="pct"/>
            <w:vMerge w:val="restart"/>
            <w:shd w:val="clear" w:color="auto" w:fill="auto"/>
            <w:noWrap/>
            <w:hideMark/>
          </w:tcPr>
          <w:p w14:paraId="771214B7" w14:textId="77777777" w:rsidR="00C21029" w:rsidRPr="00B434A6" w:rsidRDefault="00C21029" w:rsidP="00E5387E">
            <w:pPr>
              <w:spacing w:after="0" w:line="240" w:lineRule="auto"/>
              <w:rPr>
                <w:rFonts w:cs="Calibri"/>
                <w:sz w:val="20"/>
                <w:szCs w:val="20"/>
              </w:rPr>
            </w:pPr>
            <w:bookmarkStart w:id="2393" w:name="_Toc124956674"/>
            <w:r w:rsidRPr="00B434A6">
              <w:rPr>
                <w:rFonts w:cs="Calibri"/>
                <w:sz w:val="20"/>
                <w:szCs w:val="20"/>
              </w:rPr>
              <w:t>ANALANJIROFO</w:t>
            </w:r>
            <w:bookmarkEnd w:id="2393"/>
          </w:p>
        </w:tc>
        <w:tc>
          <w:tcPr>
            <w:tcW w:w="3858" w:type="pct"/>
            <w:gridSpan w:val="4"/>
            <w:shd w:val="clear" w:color="auto" w:fill="auto"/>
            <w:noWrap/>
            <w:hideMark/>
          </w:tcPr>
          <w:p w14:paraId="0BB1AD51" w14:textId="77777777" w:rsidR="00C21029" w:rsidRPr="00466BFF" w:rsidRDefault="00C21029" w:rsidP="00E5387E">
            <w:pPr>
              <w:spacing w:after="0" w:line="240" w:lineRule="auto"/>
              <w:rPr>
                <w:rFonts w:cs="Calibri"/>
                <w:sz w:val="20"/>
                <w:szCs w:val="20"/>
              </w:rPr>
            </w:pPr>
            <w:bookmarkStart w:id="2394" w:name="_Toc124956675"/>
            <w:r w:rsidRPr="00466BFF">
              <w:rPr>
                <w:rFonts w:cs="Calibri"/>
                <w:sz w:val="20"/>
                <w:szCs w:val="20"/>
              </w:rPr>
              <w:t>Partenariat Min Santé et ADDH/ONG</w:t>
            </w:r>
            <w:bookmarkEnd w:id="2394"/>
          </w:p>
        </w:tc>
      </w:tr>
      <w:tr w:rsidR="00C21029" w:rsidRPr="007F78CE" w14:paraId="5CCD3832" w14:textId="77777777" w:rsidTr="00D12C6F">
        <w:trPr>
          <w:trHeight w:val="580"/>
        </w:trPr>
        <w:tc>
          <w:tcPr>
            <w:tcW w:w="1142" w:type="pct"/>
            <w:vMerge/>
            <w:shd w:val="clear" w:color="auto" w:fill="auto"/>
            <w:hideMark/>
          </w:tcPr>
          <w:p w14:paraId="0EFF9BF1"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7F0E21AC" w14:textId="77777777" w:rsidR="00C21029" w:rsidRPr="00466BFF" w:rsidRDefault="00C21029" w:rsidP="00E5387E">
            <w:pPr>
              <w:spacing w:after="0" w:line="240" w:lineRule="auto"/>
              <w:rPr>
                <w:rFonts w:cs="Calibri"/>
                <w:sz w:val="20"/>
                <w:szCs w:val="20"/>
              </w:rPr>
            </w:pPr>
            <w:bookmarkStart w:id="2395" w:name="_Toc124956676"/>
            <w:r w:rsidRPr="00466BFF">
              <w:rPr>
                <w:rFonts w:cs="Calibri"/>
                <w:sz w:val="20"/>
                <w:szCs w:val="20"/>
              </w:rPr>
              <w:t>CECJ/MAHIRATRA</w:t>
            </w:r>
            <w:bookmarkEnd w:id="2395"/>
          </w:p>
        </w:tc>
        <w:tc>
          <w:tcPr>
            <w:tcW w:w="607" w:type="pct"/>
            <w:shd w:val="clear" w:color="auto" w:fill="auto"/>
            <w:noWrap/>
            <w:hideMark/>
          </w:tcPr>
          <w:p w14:paraId="5C2EBB5E"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07" w:type="pct"/>
            <w:gridSpan w:val="2"/>
            <w:shd w:val="clear" w:color="auto" w:fill="auto"/>
            <w:hideMark/>
          </w:tcPr>
          <w:p w14:paraId="07D6F6F8" w14:textId="77777777" w:rsidR="00C21029" w:rsidRPr="00466BFF" w:rsidRDefault="00C21029" w:rsidP="00E5387E">
            <w:pPr>
              <w:spacing w:after="0" w:line="240" w:lineRule="auto"/>
              <w:rPr>
                <w:rFonts w:cs="Calibri"/>
                <w:sz w:val="20"/>
                <w:szCs w:val="20"/>
              </w:rPr>
            </w:pPr>
            <w:bookmarkStart w:id="2396" w:name="_Toc124956677"/>
            <w:r w:rsidRPr="00466BFF">
              <w:rPr>
                <w:rFonts w:cs="Calibri"/>
                <w:sz w:val="20"/>
                <w:szCs w:val="20"/>
              </w:rPr>
              <w:t>Ex Bâtiment Vehivavy Tiako Itendro Fénérive Est</w:t>
            </w:r>
            <w:bookmarkEnd w:id="2396"/>
          </w:p>
        </w:tc>
      </w:tr>
      <w:tr w:rsidR="00C21029" w:rsidRPr="00466BFF" w14:paraId="37D3D34A" w14:textId="77777777" w:rsidTr="00D12C6F">
        <w:trPr>
          <w:gridAfter w:val="1"/>
          <w:wAfter w:w="21" w:type="dxa"/>
          <w:trHeight w:val="290"/>
        </w:trPr>
        <w:tc>
          <w:tcPr>
            <w:tcW w:w="1142" w:type="pct"/>
            <w:vMerge w:val="restart"/>
            <w:shd w:val="clear" w:color="auto" w:fill="auto"/>
            <w:noWrap/>
            <w:hideMark/>
          </w:tcPr>
          <w:p w14:paraId="47F1C788" w14:textId="77777777" w:rsidR="00C21029" w:rsidRPr="00B434A6" w:rsidRDefault="00C21029" w:rsidP="00E5387E">
            <w:pPr>
              <w:spacing w:after="0" w:line="240" w:lineRule="auto"/>
              <w:rPr>
                <w:rFonts w:cs="Calibri"/>
                <w:sz w:val="20"/>
                <w:szCs w:val="20"/>
              </w:rPr>
            </w:pPr>
            <w:bookmarkStart w:id="2397" w:name="_Toc124956678"/>
            <w:r w:rsidRPr="00B434A6">
              <w:rPr>
                <w:rFonts w:cs="Calibri"/>
                <w:sz w:val="20"/>
                <w:szCs w:val="20"/>
              </w:rPr>
              <w:t>ALAOTRA MANGORO</w:t>
            </w:r>
            <w:bookmarkEnd w:id="2397"/>
          </w:p>
        </w:tc>
        <w:tc>
          <w:tcPr>
            <w:tcW w:w="2551" w:type="pct"/>
            <w:gridSpan w:val="2"/>
            <w:shd w:val="clear" w:color="auto" w:fill="auto"/>
            <w:noWrap/>
            <w:hideMark/>
          </w:tcPr>
          <w:p w14:paraId="21807F6E" w14:textId="77777777" w:rsidR="00C21029" w:rsidRPr="00466BFF" w:rsidRDefault="00C21029" w:rsidP="00E5387E">
            <w:pPr>
              <w:spacing w:after="0" w:line="240" w:lineRule="auto"/>
              <w:rPr>
                <w:rFonts w:cs="Calibri"/>
                <w:sz w:val="20"/>
                <w:szCs w:val="20"/>
              </w:rPr>
            </w:pPr>
            <w:bookmarkStart w:id="2398" w:name="_Toc124956679"/>
            <w:r w:rsidRPr="00466BFF">
              <w:rPr>
                <w:rFonts w:cs="Calibri"/>
                <w:sz w:val="20"/>
                <w:szCs w:val="20"/>
              </w:rPr>
              <w:t>Partenariat Min Santé et ADDH/ONG</w:t>
            </w:r>
            <w:bookmarkEnd w:id="2398"/>
          </w:p>
        </w:tc>
        <w:tc>
          <w:tcPr>
            <w:tcW w:w="1296" w:type="pct"/>
            <w:shd w:val="clear" w:color="auto" w:fill="auto"/>
          </w:tcPr>
          <w:p w14:paraId="59A55C53" w14:textId="77777777" w:rsidR="00C21029" w:rsidRPr="00466BFF" w:rsidRDefault="00C21029" w:rsidP="00E5387E">
            <w:pPr>
              <w:spacing w:after="0" w:line="240" w:lineRule="auto"/>
              <w:rPr>
                <w:rFonts w:cs="Calibri"/>
                <w:sz w:val="20"/>
                <w:szCs w:val="20"/>
              </w:rPr>
            </w:pPr>
          </w:p>
        </w:tc>
      </w:tr>
      <w:tr w:rsidR="00C21029" w:rsidRPr="007F78CE" w14:paraId="4AD62992" w14:textId="77777777" w:rsidTr="00D12C6F">
        <w:trPr>
          <w:trHeight w:val="290"/>
        </w:trPr>
        <w:tc>
          <w:tcPr>
            <w:tcW w:w="1142" w:type="pct"/>
            <w:vMerge/>
            <w:shd w:val="clear" w:color="auto" w:fill="auto"/>
            <w:hideMark/>
          </w:tcPr>
          <w:p w14:paraId="545D9061"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2478B28E" w14:textId="77777777" w:rsidR="00C21029" w:rsidRPr="00466BFF" w:rsidRDefault="00C21029" w:rsidP="00E5387E">
            <w:pPr>
              <w:spacing w:after="0" w:line="240" w:lineRule="auto"/>
              <w:rPr>
                <w:rFonts w:cs="Calibri"/>
                <w:sz w:val="20"/>
                <w:szCs w:val="20"/>
              </w:rPr>
            </w:pPr>
            <w:bookmarkStart w:id="2399" w:name="_Toc124956680"/>
            <w:r w:rsidRPr="00466BFF">
              <w:rPr>
                <w:rFonts w:cs="Calibri"/>
                <w:sz w:val="20"/>
                <w:szCs w:val="20"/>
              </w:rPr>
              <w:t>Centre Relais CECJ/FPFE</w:t>
            </w:r>
            <w:bookmarkEnd w:id="2399"/>
          </w:p>
        </w:tc>
        <w:tc>
          <w:tcPr>
            <w:tcW w:w="607" w:type="pct"/>
            <w:shd w:val="clear" w:color="auto" w:fill="auto"/>
            <w:noWrap/>
            <w:hideMark/>
          </w:tcPr>
          <w:p w14:paraId="4566B8D8"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07" w:type="pct"/>
            <w:gridSpan w:val="2"/>
            <w:shd w:val="clear" w:color="auto" w:fill="auto"/>
            <w:hideMark/>
          </w:tcPr>
          <w:p w14:paraId="10CE0658" w14:textId="77777777" w:rsidR="00C21029" w:rsidRPr="00466BFF" w:rsidRDefault="00C21029" w:rsidP="00E5387E">
            <w:pPr>
              <w:spacing w:after="0" w:line="240" w:lineRule="auto"/>
              <w:rPr>
                <w:rFonts w:cs="Calibri"/>
                <w:sz w:val="20"/>
                <w:szCs w:val="20"/>
              </w:rPr>
            </w:pPr>
            <w:bookmarkStart w:id="2400" w:name="_Toc124956681"/>
            <w:r w:rsidRPr="00466BFF">
              <w:rPr>
                <w:rFonts w:cs="Calibri"/>
                <w:sz w:val="20"/>
                <w:szCs w:val="20"/>
              </w:rPr>
              <w:t>Moramanga</w:t>
            </w:r>
            <w:bookmarkEnd w:id="2400"/>
          </w:p>
        </w:tc>
      </w:tr>
      <w:tr w:rsidR="00C21029" w:rsidRPr="007F78CE" w14:paraId="3875FB6B" w14:textId="77777777" w:rsidTr="00D12C6F">
        <w:trPr>
          <w:trHeight w:val="290"/>
        </w:trPr>
        <w:tc>
          <w:tcPr>
            <w:tcW w:w="1142" w:type="pct"/>
            <w:vMerge/>
            <w:shd w:val="clear" w:color="auto" w:fill="auto"/>
            <w:hideMark/>
          </w:tcPr>
          <w:p w14:paraId="1505AA72" w14:textId="77777777" w:rsidR="00C21029" w:rsidRPr="00B434A6" w:rsidRDefault="00C21029" w:rsidP="00E5387E">
            <w:pPr>
              <w:spacing w:after="0" w:line="240" w:lineRule="auto"/>
              <w:rPr>
                <w:rFonts w:cs="Calibri"/>
                <w:sz w:val="20"/>
                <w:szCs w:val="20"/>
              </w:rPr>
            </w:pPr>
          </w:p>
        </w:tc>
        <w:tc>
          <w:tcPr>
            <w:tcW w:w="1943" w:type="pct"/>
            <w:shd w:val="clear" w:color="auto" w:fill="auto"/>
            <w:noWrap/>
            <w:hideMark/>
          </w:tcPr>
          <w:p w14:paraId="15689A2E" w14:textId="77777777" w:rsidR="00C21029" w:rsidRPr="00466BFF" w:rsidRDefault="00C21029" w:rsidP="00E5387E">
            <w:pPr>
              <w:spacing w:after="0" w:line="240" w:lineRule="auto"/>
              <w:rPr>
                <w:rFonts w:cs="Calibri"/>
                <w:sz w:val="20"/>
                <w:szCs w:val="20"/>
              </w:rPr>
            </w:pPr>
            <w:bookmarkStart w:id="2401" w:name="_Toc124956682"/>
            <w:r w:rsidRPr="00466BFF">
              <w:rPr>
                <w:rFonts w:cs="Calibri"/>
                <w:sz w:val="20"/>
                <w:szCs w:val="20"/>
              </w:rPr>
              <w:t>Centre Relais CECJ/FPFE</w:t>
            </w:r>
            <w:bookmarkEnd w:id="2401"/>
          </w:p>
        </w:tc>
        <w:tc>
          <w:tcPr>
            <w:tcW w:w="607" w:type="pct"/>
            <w:shd w:val="clear" w:color="auto" w:fill="auto"/>
            <w:noWrap/>
            <w:hideMark/>
          </w:tcPr>
          <w:p w14:paraId="68EF841E"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07" w:type="pct"/>
            <w:gridSpan w:val="2"/>
            <w:shd w:val="clear" w:color="auto" w:fill="auto"/>
            <w:hideMark/>
          </w:tcPr>
          <w:p w14:paraId="47AC4F96" w14:textId="77777777" w:rsidR="00C21029" w:rsidRPr="00466BFF" w:rsidRDefault="00C21029" w:rsidP="00E5387E">
            <w:pPr>
              <w:spacing w:after="0" w:line="240" w:lineRule="auto"/>
              <w:rPr>
                <w:rFonts w:cs="Calibri"/>
                <w:sz w:val="20"/>
                <w:szCs w:val="20"/>
              </w:rPr>
            </w:pPr>
            <w:bookmarkStart w:id="2402" w:name="_Toc124956683"/>
            <w:r w:rsidRPr="00466BFF">
              <w:rPr>
                <w:rFonts w:cs="Calibri"/>
                <w:sz w:val="20"/>
                <w:szCs w:val="20"/>
              </w:rPr>
              <w:t>Ambatondrazaka</w:t>
            </w:r>
            <w:bookmarkEnd w:id="2402"/>
          </w:p>
        </w:tc>
      </w:tr>
    </w:tbl>
    <w:p w14:paraId="213B0E1E" w14:textId="77777777" w:rsidR="00C21029" w:rsidRPr="00B434A6" w:rsidRDefault="00C21029" w:rsidP="00C21029">
      <w:pPr>
        <w:spacing w:after="0"/>
        <w:rPr>
          <w:rFonts w:cs="Cambria"/>
          <w:color w:val="212121"/>
          <w:sz w:val="20"/>
          <w:szCs w:val="20"/>
        </w:rPr>
      </w:pPr>
      <w:r w:rsidRPr="00B434A6">
        <w:rPr>
          <w:rFonts w:cs="Cambria"/>
          <w:sz w:val="20"/>
          <w:szCs w:val="20"/>
        </w:rPr>
        <w:t>Source: Banque mondiale, 2020</w:t>
      </w:r>
    </w:p>
    <w:p w14:paraId="71994AFE" w14:textId="77777777" w:rsidR="00C21029" w:rsidRPr="001D5885" w:rsidRDefault="00C21029" w:rsidP="00C21029">
      <w:pPr>
        <w:spacing w:after="0"/>
      </w:pPr>
    </w:p>
    <w:p w14:paraId="20DEF806" w14:textId="77777777" w:rsidR="00C21029" w:rsidRDefault="00C21029" w:rsidP="00C21029">
      <w:pPr>
        <w:spacing w:after="0"/>
        <w:rPr>
          <w:u w:val="single"/>
        </w:rPr>
      </w:pPr>
      <w:r w:rsidRPr="00050138">
        <w:rPr>
          <w:u w:val="single"/>
        </w:rPr>
        <w:t>Centre d’accueil d’urgence</w:t>
      </w:r>
    </w:p>
    <w:p w14:paraId="24DDBA80" w14:textId="77777777" w:rsidR="00C21029" w:rsidRPr="00050138" w:rsidRDefault="00C21029" w:rsidP="00C21029">
      <w:pPr>
        <w:spacing w:after="0"/>
        <w:rPr>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060"/>
        <w:gridCol w:w="1231"/>
        <w:gridCol w:w="2789"/>
      </w:tblGrid>
      <w:tr w:rsidR="00C21029" w:rsidRPr="007F78CE" w14:paraId="1463A480" w14:textId="77777777" w:rsidTr="00D12C6F">
        <w:trPr>
          <w:trHeight w:val="290"/>
          <w:tblHeader/>
        </w:trPr>
        <w:tc>
          <w:tcPr>
            <w:tcW w:w="1054" w:type="pct"/>
            <w:shd w:val="clear" w:color="auto" w:fill="auto"/>
            <w:noWrap/>
            <w:hideMark/>
          </w:tcPr>
          <w:p w14:paraId="69487C71" w14:textId="77777777" w:rsidR="00C21029" w:rsidRPr="00B434A6" w:rsidRDefault="00C21029" w:rsidP="00E5387E">
            <w:pPr>
              <w:spacing w:after="0" w:line="240" w:lineRule="auto"/>
              <w:jc w:val="center"/>
              <w:rPr>
                <w:b/>
                <w:bCs/>
                <w:sz w:val="20"/>
                <w:szCs w:val="20"/>
              </w:rPr>
            </w:pPr>
            <w:r w:rsidRPr="00B434A6">
              <w:rPr>
                <w:b/>
                <w:bCs/>
                <w:sz w:val="20"/>
                <w:szCs w:val="20"/>
              </w:rPr>
              <w:t>REGION</w:t>
            </w:r>
          </w:p>
        </w:tc>
        <w:tc>
          <w:tcPr>
            <w:tcW w:w="1702" w:type="pct"/>
            <w:shd w:val="clear" w:color="auto" w:fill="auto"/>
            <w:noWrap/>
            <w:hideMark/>
          </w:tcPr>
          <w:p w14:paraId="1CDAE0E1" w14:textId="77777777" w:rsidR="00C21029" w:rsidRPr="00B434A6" w:rsidRDefault="00C21029" w:rsidP="00E5387E">
            <w:pPr>
              <w:autoSpaceDE w:val="0"/>
              <w:autoSpaceDN w:val="0"/>
              <w:adjustRightInd w:val="0"/>
              <w:spacing w:after="0" w:line="240" w:lineRule="auto"/>
              <w:jc w:val="center"/>
              <w:rPr>
                <w:b/>
                <w:sz w:val="20"/>
                <w:szCs w:val="20"/>
              </w:rPr>
            </w:pPr>
            <w:r w:rsidRPr="00B434A6">
              <w:rPr>
                <w:b/>
                <w:sz w:val="20"/>
                <w:szCs w:val="20"/>
              </w:rPr>
              <w:t>CENTRE D'ACCUEIL D'URGENCE</w:t>
            </w:r>
          </w:p>
        </w:tc>
        <w:tc>
          <w:tcPr>
            <w:tcW w:w="692" w:type="pct"/>
            <w:shd w:val="clear" w:color="auto" w:fill="auto"/>
            <w:noWrap/>
            <w:hideMark/>
          </w:tcPr>
          <w:p w14:paraId="13F1EBD0" w14:textId="77777777" w:rsidR="00C21029" w:rsidRPr="00B434A6" w:rsidRDefault="00C21029" w:rsidP="00E5387E">
            <w:pPr>
              <w:autoSpaceDE w:val="0"/>
              <w:autoSpaceDN w:val="0"/>
              <w:adjustRightInd w:val="0"/>
              <w:spacing w:after="0" w:line="240" w:lineRule="auto"/>
              <w:jc w:val="center"/>
              <w:rPr>
                <w:b/>
                <w:sz w:val="20"/>
                <w:szCs w:val="20"/>
              </w:rPr>
            </w:pPr>
            <w:r w:rsidRPr="00B434A6">
              <w:rPr>
                <w:b/>
                <w:sz w:val="20"/>
                <w:szCs w:val="20"/>
              </w:rPr>
              <w:t>CONTACT</w:t>
            </w:r>
          </w:p>
        </w:tc>
        <w:tc>
          <w:tcPr>
            <w:tcW w:w="1552" w:type="pct"/>
            <w:shd w:val="clear" w:color="auto" w:fill="auto"/>
            <w:hideMark/>
          </w:tcPr>
          <w:p w14:paraId="42F03665" w14:textId="77777777" w:rsidR="00C21029" w:rsidRPr="00B434A6" w:rsidRDefault="00C21029" w:rsidP="00E5387E">
            <w:pPr>
              <w:autoSpaceDE w:val="0"/>
              <w:autoSpaceDN w:val="0"/>
              <w:adjustRightInd w:val="0"/>
              <w:spacing w:after="0" w:line="240" w:lineRule="auto"/>
              <w:jc w:val="center"/>
              <w:rPr>
                <w:b/>
                <w:sz w:val="20"/>
                <w:szCs w:val="20"/>
              </w:rPr>
            </w:pPr>
            <w:r w:rsidRPr="00B434A6">
              <w:rPr>
                <w:b/>
                <w:sz w:val="20"/>
                <w:szCs w:val="20"/>
              </w:rPr>
              <w:t>LOCALISATION</w:t>
            </w:r>
          </w:p>
        </w:tc>
      </w:tr>
      <w:tr w:rsidR="00C21029" w:rsidRPr="007F78CE" w14:paraId="01972B3A" w14:textId="77777777" w:rsidTr="00D12C6F">
        <w:trPr>
          <w:trHeight w:val="290"/>
        </w:trPr>
        <w:tc>
          <w:tcPr>
            <w:tcW w:w="1054" w:type="pct"/>
            <w:vMerge w:val="restart"/>
            <w:shd w:val="clear" w:color="auto" w:fill="auto"/>
            <w:noWrap/>
            <w:hideMark/>
          </w:tcPr>
          <w:p w14:paraId="4DAA73E1" w14:textId="77777777" w:rsidR="00C21029" w:rsidRPr="00B434A6" w:rsidRDefault="00C21029" w:rsidP="00E5387E">
            <w:pPr>
              <w:spacing w:after="0" w:line="240" w:lineRule="auto"/>
              <w:rPr>
                <w:sz w:val="20"/>
                <w:szCs w:val="20"/>
              </w:rPr>
            </w:pPr>
            <w:r w:rsidRPr="00B434A6">
              <w:rPr>
                <w:sz w:val="20"/>
                <w:szCs w:val="20"/>
              </w:rPr>
              <w:t>ANALAMANGA</w:t>
            </w:r>
          </w:p>
        </w:tc>
        <w:tc>
          <w:tcPr>
            <w:tcW w:w="3946" w:type="pct"/>
            <w:gridSpan w:val="3"/>
            <w:shd w:val="clear" w:color="auto" w:fill="auto"/>
            <w:noWrap/>
            <w:hideMark/>
          </w:tcPr>
          <w:p w14:paraId="1F2C4D1E" w14:textId="77777777" w:rsidR="00C21029" w:rsidRPr="00466BFF" w:rsidRDefault="00C21029" w:rsidP="00E5387E">
            <w:pPr>
              <w:spacing w:after="0" w:line="240" w:lineRule="auto"/>
              <w:rPr>
                <w:rFonts w:cs="Calibri"/>
                <w:sz w:val="20"/>
                <w:szCs w:val="20"/>
              </w:rPr>
            </w:pPr>
            <w:bookmarkStart w:id="2403" w:name="_Toc124956684"/>
            <w:r w:rsidRPr="00466BFF">
              <w:rPr>
                <w:rFonts w:cs="Calibri"/>
                <w:sz w:val="20"/>
                <w:szCs w:val="20"/>
              </w:rPr>
              <w:t>Service Public</w:t>
            </w:r>
            <w:bookmarkEnd w:id="2403"/>
          </w:p>
        </w:tc>
      </w:tr>
      <w:tr w:rsidR="00C21029" w:rsidRPr="007F78CE" w14:paraId="43D59549" w14:textId="77777777" w:rsidTr="00D12C6F">
        <w:trPr>
          <w:trHeight w:val="290"/>
        </w:trPr>
        <w:tc>
          <w:tcPr>
            <w:tcW w:w="1054" w:type="pct"/>
            <w:vMerge/>
            <w:shd w:val="clear" w:color="auto" w:fill="auto"/>
            <w:hideMark/>
          </w:tcPr>
          <w:p w14:paraId="1F6213CF"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109EA779" w14:textId="77777777" w:rsidR="00C21029" w:rsidRPr="00466BFF" w:rsidRDefault="00C21029" w:rsidP="00E5387E">
            <w:pPr>
              <w:spacing w:after="0" w:line="240" w:lineRule="auto"/>
              <w:rPr>
                <w:rFonts w:cs="Calibri"/>
                <w:sz w:val="20"/>
                <w:szCs w:val="20"/>
              </w:rPr>
            </w:pPr>
            <w:bookmarkStart w:id="2404" w:name="_Toc124956685"/>
            <w:r w:rsidRPr="00466BFF">
              <w:rPr>
                <w:rFonts w:cs="Calibri"/>
                <w:sz w:val="20"/>
                <w:szCs w:val="20"/>
              </w:rPr>
              <w:t>Bureau Municipal d'Hygiène</w:t>
            </w:r>
            <w:bookmarkEnd w:id="2404"/>
          </w:p>
        </w:tc>
        <w:tc>
          <w:tcPr>
            <w:tcW w:w="692" w:type="pct"/>
            <w:shd w:val="clear" w:color="auto" w:fill="auto"/>
            <w:noWrap/>
            <w:hideMark/>
          </w:tcPr>
          <w:p w14:paraId="318B7F93" w14:textId="77777777" w:rsidR="00C21029" w:rsidRPr="00466BFF" w:rsidRDefault="00C21029" w:rsidP="00E5387E">
            <w:pPr>
              <w:spacing w:after="0" w:line="240" w:lineRule="auto"/>
              <w:rPr>
                <w:rFonts w:cs="Calibri"/>
                <w:sz w:val="20"/>
                <w:szCs w:val="20"/>
              </w:rPr>
            </w:pPr>
            <w:bookmarkStart w:id="2405" w:name="_Toc124956686"/>
            <w:r w:rsidRPr="00466BFF">
              <w:rPr>
                <w:rFonts w:cs="Calibri"/>
                <w:sz w:val="20"/>
                <w:szCs w:val="20"/>
              </w:rPr>
              <w:t>0326952865</w:t>
            </w:r>
            <w:bookmarkEnd w:id="2405"/>
          </w:p>
        </w:tc>
        <w:tc>
          <w:tcPr>
            <w:tcW w:w="1552" w:type="pct"/>
            <w:shd w:val="clear" w:color="auto" w:fill="auto"/>
            <w:hideMark/>
          </w:tcPr>
          <w:p w14:paraId="4FA9E57C" w14:textId="77777777" w:rsidR="00C21029" w:rsidRPr="00466BFF" w:rsidRDefault="00C21029" w:rsidP="00E5387E">
            <w:pPr>
              <w:spacing w:after="0" w:line="240" w:lineRule="auto"/>
              <w:rPr>
                <w:rFonts w:cs="Calibri"/>
                <w:sz w:val="20"/>
                <w:szCs w:val="20"/>
              </w:rPr>
            </w:pPr>
            <w:bookmarkStart w:id="2406" w:name="_Toc124956687"/>
            <w:r w:rsidRPr="00466BFF">
              <w:rPr>
                <w:rFonts w:cs="Calibri"/>
                <w:sz w:val="20"/>
                <w:szCs w:val="20"/>
              </w:rPr>
              <w:t>Isotry Antananarivo ville</w:t>
            </w:r>
            <w:bookmarkEnd w:id="2406"/>
          </w:p>
        </w:tc>
      </w:tr>
      <w:tr w:rsidR="00C21029" w:rsidRPr="007F78CE" w14:paraId="308A2979" w14:textId="77777777" w:rsidTr="00D12C6F">
        <w:trPr>
          <w:trHeight w:val="290"/>
        </w:trPr>
        <w:tc>
          <w:tcPr>
            <w:tcW w:w="1054" w:type="pct"/>
            <w:vMerge/>
            <w:shd w:val="clear" w:color="auto" w:fill="auto"/>
            <w:hideMark/>
          </w:tcPr>
          <w:p w14:paraId="73CCDB65" w14:textId="77777777" w:rsidR="00C21029" w:rsidRPr="00B434A6" w:rsidRDefault="00C21029" w:rsidP="00E5387E">
            <w:pPr>
              <w:spacing w:after="0" w:line="240" w:lineRule="auto"/>
              <w:rPr>
                <w:sz w:val="20"/>
                <w:szCs w:val="20"/>
              </w:rPr>
            </w:pPr>
          </w:p>
        </w:tc>
        <w:tc>
          <w:tcPr>
            <w:tcW w:w="3946" w:type="pct"/>
            <w:gridSpan w:val="3"/>
            <w:shd w:val="clear" w:color="auto" w:fill="auto"/>
            <w:noWrap/>
            <w:hideMark/>
          </w:tcPr>
          <w:p w14:paraId="1509B5A5" w14:textId="77777777" w:rsidR="00C21029" w:rsidRPr="00466BFF" w:rsidRDefault="00C21029" w:rsidP="00E5387E">
            <w:pPr>
              <w:spacing w:after="0" w:line="240" w:lineRule="auto"/>
              <w:rPr>
                <w:rFonts w:cs="Calibri"/>
                <w:sz w:val="20"/>
                <w:szCs w:val="20"/>
              </w:rPr>
            </w:pPr>
            <w:bookmarkStart w:id="2407" w:name="_Toc124956688"/>
            <w:r w:rsidRPr="00466BFF">
              <w:rPr>
                <w:rFonts w:cs="Calibri"/>
                <w:sz w:val="20"/>
                <w:szCs w:val="20"/>
              </w:rPr>
              <w:t>ADDH/ONG</w:t>
            </w:r>
            <w:bookmarkEnd w:id="2407"/>
          </w:p>
        </w:tc>
      </w:tr>
      <w:tr w:rsidR="00C21029" w:rsidRPr="007F78CE" w14:paraId="54BC423D" w14:textId="77777777" w:rsidTr="00D12C6F">
        <w:trPr>
          <w:trHeight w:val="580"/>
        </w:trPr>
        <w:tc>
          <w:tcPr>
            <w:tcW w:w="1054" w:type="pct"/>
            <w:vMerge/>
            <w:shd w:val="clear" w:color="auto" w:fill="auto"/>
            <w:hideMark/>
          </w:tcPr>
          <w:p w14:paraId="3F65D914"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4145B11A" w14:textId="77777777" w:rsidR="00C21029" w:rsidRPr="00466BFF" w:rsidRDefault="00C21029" w:rsidP="00E5387E">
            <w:pPr>
              <w:spacing w:after="0" w:line="240" w:lineRule="auto"/>
              <w:rPr>
                <w:rFonts w:cs="Calibri"/>
                <w:sz w:val="20"/>
                <w:szCs w:val="20"/>
              </w:rPr>
            </w:pPr>
            <w:bookmarkStart w:id="2408" w:name="_Toc124956689"/>
            <w:r w:rsidRPr="00466BFF">
              <w:rPr>
                <w:rFonts w:cs="Calibri"/>
                <w:sz w:val="20"/>
                <w:szCs w:val="20"/>
              </w:rPr>
              <w:t>Manda</w:t>
            </w:r>
            <w:bookmarkEnd w:id="2408"/>
          </w:p>
        </w:tc>
        <w:tc>
          <w:tcPr>
            <w:tcW w:w="692" w:type="pct"/>
            <w:shd w:val="clear" w:color="auto" w:fill="auto"/>
            <w:noWrap/>
            <w:hideMark/>
          </w:tcPr>
          <w:p w14:paraId="29A80E4F" w14:textId="77777777" w:rsidR="00C21029" w:rsidRPr="00466BFF" w:rsidRDefault="00C21029" w:rsidP="00E5387E">
            <w:pPr>
              <w:spacing w:after="0" w:line="240" w:lineRule="auto"/>
              <w:rPr>
                <w:rFonts w:cs="Calibri"/>
                <w:sz w:val="20"/>
                <w:szCs w:val="20"/>
              </w:rPr>
            </w:pPr>
            <w:bookmarkStart w:id="2409" w:name="_Toc124956690"/>
            <w:r w:rsidRPr="00466BFF">
              <w:rPr>
                <w:rFonts w:cs="Calibri"/>
                <w:sz w:val="20"/>
                <w:szCs w:val="20"/>
              </w:rPr>
              <w:t>0202627230</w:t>
            </w:r>
            <w:bookmarkEnd w:id="2409"/>
          </w:p>
        </w:tc>
        <w:tc>
          <w:tcPr>
            <w:tcW w:w="1552" w:type="pct"/>
            <w:shd w:val="clear" w:color="auto" w:fill="auto"/>
            <w:hideMark/>
          </w:tcPr>
          <w:p w14:paraId="2F39BAB3" w14:textId="77777777" w:rsidR="00C21029" w:rsidRPr="00466BFF" w:rsidRDefault="00C21029" w:rsidP="00E5387E">
            <w:pPr>
              <w:spacing w:after="0" w:line="240" w:lineRule="auto"/>
              <w:rPr>
                <w:rFonts w:cs="Calibri"/>
                <w:sz w:val="20"/>
                <w:szCs w:val="20"/>
              </w:rPr>
            </w:pPr>
            <w:bookmarkStart w:id="2410" w:name="_Toc124956691"/>
            <w:r w:rsidRPr="00466BFF">
              <w:rPr>
                <w:rFonts w:cs="Calibri"/>
                <w:sz w:val="20"/>
                <w:szCs w:val="20"/>
              </w:rPr>
              <w:t>VA 13 CA Tsiadana Antananarivo ville</w:t>
            </w:r>
            <w:bookmarkEnd w:id="2410"/>
          </w:p>
        </w:tc>
      </w:tr>
      <w:tr w:rsidR="00C21029" w:rsidRPr="00160FB0" w14:paraId="60ADD330" w14:textId="77777777" w:rsidTr="00D12C6F">
        <w:trPr>
          <w:trHeight w:val="870"/>
        </w:trPr>
        <w:tc>
          <w:tcPr>
            <w:tcW w:w="1054" w:type="pct"/>
            <w:vMerge/>
            <w:shd w:val="clear" w:color="auto" w:fill="auto"/>
            <w:hideMark/>
          </w:tcPr>
          <w:p w14:paraId="5545F680"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780E6C41" w14:textId="77777777" w:rsidR="00C21029" w:rsidRPr="00466BFF" w:rsidRDefault="00C21029" w:rsidP="00E5387E">
            <w:pPr>
              <w:spacing w:after="0" w:line="240" w:lineRule="auto"/>
              <w:rPr>
                <w:rFonts w:cs="Calibri"/>
                <w:sz w:val="20"/>
                <w:szCs w:val="20"/>
              </w:rPr>
            </w:pPr>
            <w:bookmarkStart w:id="2411" w:name="_Toc124956692"/>
            <w:r w:rsidRPr="00466BFF">
              <w:rPr>
                <w:rFonts w:cs="Calibri"/>
                <w:sz w:val="20"/>
                <w:szCs w:val="20"/>
              </w:rPr>
              <w:t>NRJ</w:t>
            </w:r>
            <w:bookmarkEnd w:id="2411"/>
          </w:p>
        </w:tc>
        <w:tc>
          <w:tcPr>
            <w:tcW w:w="692" w:type="pct"/>
            <w:shd w:val="clear" w:color="auto" w:fill="auto"/>
            <w:noWrap/>
            <w:hideMark/>
          </w:tcPr>
          <w:p w14:paraId="5C5BFF0F" w14:textId="77777777" w:rsidR="00C21029" w:rsidRPr="00466BFF" w:rsidRDefault="00C21029" w:rsidP="00E5387E">
            <w:pPr>
              <w:spacing w:after="0" w:line="240" w:lineRule="auto"/>
              <w:rPr>
                <w:rFonts w:cs="Calibri"/>
                <w:sz w:val="20"/>
                <w:szCs w:val="20"/>
              </w:rPr>
            </w:pPr>
            <w:bookmarkStart w:id="2412" w:name="_Toc124956693"/>
            <w:r w:rsidRPr="00466BFF">
              <w:rPr>
                <w:rFonts w:cs="Calibri"/>
                <w:sz w:val="20"/>
                <w:szCs w:val="20"/>
              </w:rPr>
              <w:t>0348726855</w:t>
            </w:r>
            <w:bookmarkEnd w:id="2412"/>
          </w:p>
        </w:tc>
        <w:tc>
          <w:tcPr>
            <w:tcW w:w="1552" w:type="pct"/>
            <w:shd w:val="clear" w:color="auto" w:fill="auto"/>
            <w:hideMark/>
          </w:tcPr>
          <w:p w14:paraId="5054CF9E" w14:textId="77777777" w:rsidR="00C21029" w:rsidRPr="00466BFF" w:rsidRDefault="00C21029" w:rsidP="00E5387E">
            <w:pPr>
              <w:spacing w:after="0" w:line="240" w:lineRule="auto"/>
              <w:rPr>
                <w:rFonts w:cs="Calibri"/>
                <w:sz w:val="20"/>
                <w:szCs w:val="20"/>
                <w:lang w:val="en-US"/>
              </w:rPr>
            </w:pPr>
            <w:bookmarkStart w:id="2413" w:name="_Toc124956694"/>
            <w:r w:rsidRPr="00466BFF">
              <w:rPr>
                <w:rFonts w:cs="Calibri"/>
                <w:sz w:val="20"/>
                <w:szCs w:val="20"/>
                <w:lang w:val="en-US"/>
              </w:rPr>
              <w:t>III k 30 H Anjezika I Andavamamba Antananarivo ville</w:t>
            </w:r>
            <w:bookmarkEnd w:id="2413"/>
          </w:p>
        </w:tc>
      </w:tr>
      <w:tr w:rsidR="00C21029" w:rsidRPr="007F78CE" w14:paraId="32713353" w14:textId="77777777" w:rsidTr="00D12C6F">
        <w:trPr>
          <w:trHeight w:val="580"/>
        </w:trPr>
        <w:tc>
          <w:tcPr>
            <w:tcW w:w="1054" w:type="pct"/>
            <w:vMerge/>
            <w:shd w:val="clear" w:color="auto" w:fill="auto"/>
            <w:hideMark/>
          </w:tcPr>
          <w:p w14:paraId="078BBCC5" w14:textId="77777777" w:rsidR="00C21029" w:rsidRPr="00B434A6" w:rsidRDefault="00C21029" w:rsidP="00E5387E">
            <w:pPr>
              <w:spacing w:after="0" w:line="240" w:lineRule="auto"/>
              <w:rPr>
                <w:sz w:val="20"/>
                <w:szCs w:val="20"/>
                <w:lang w:val="en-US"/>
              </w:rPr>
            </w:pPr>
          </w:p>
        </w:tc>
        <w:tc>
          <w:tcPr>
            <w:tcW w:w="1702" w:type="pct"/>
            <w:shd w:val="clear" w:color="auto" w:fill="auto"/>
            <w:noWrap/>
            <w:hideMark/>
          </w:tcPr>
          <w:p w14:paraId="16D58D5D" w14:textId="77777777" w:rsidR="00C21029" w:rsidRPr="00466BFF" w:rsidRDefault="00C21029" w:rsidP="00E5387E">
            <w:pPr>
              <w:spacing w:after="0" w:line="240" w:lineRule="auto"/>
              <w:rPr>
                <w:rFonts w:cs="Calibri"/>
                <w:sz w:val="20"/>
                <w:szCs w:val="20"/>
              </w:rPr>
            </w:pPr>
            <w:bookmarkStart w:id="2414" w:name="_Toc124956695"/>
            <w:r w:rsidRPr="00466BFF">
              <w:rPr>
                <w:rFonts w:cs="Calibri"/>
                <w:sz w:val="20"/>
                <w:szCs w:val="20"/>
              </w:rPr>
              <w:t>SPDTS</w:t>
            </w:r>
            <w:bookmarkEnd w:id="2414"/>
          </w:p>
        </w:tc>
        <w:tc>
          <w:tcPr>
            <w:tcW w:w="692" w:type="pct"/>
            <w:shd w:val="clear" w:color="auto" w:fill="auto"/>
            <w:noWrap/>
            <w:hideMark/>
          </w:tcPr>
          <w:p w14:paraId="199CDA51"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552" w:type="pct"/>
            <w:shd w:val="clear" w:color="auto" w:fill="auto"/>
            <w:hideMark/>
          </w:tcPr>
          <w:p w14:paraId="31700B60" w14:textId="77777777" w:rsidR="00C21029" w:rsidRPr="00466BFF" w:rsidRDefault="00C21029" w:rsidP="00E5387E">
            <w:pPr>
              <w:spacing w:after="0" w:line="240" w:lineRule="auto"/>
              <w:rPr>
                <w:rFonts w:cs="Calibri"/>
                <w:sz w:val="20"/>
                <w:szCs w:val="20"/>
              </w:rPr>
            </w:pPr>
            <w:bookmarkStart w:id="2415" w:name="_Toc124956696"/>
            <w:r w:rsidRPr="00466BFF">
              <w:rPr>
                <w:rFonts w:cs="Calibri"/>
                <w:sz w:val="20"/>
                <w:szCs w:val="20"/>
              </w:rPr>
              <w:t>Soamanandrariny Antananarivo ville</w:t>
            </w:r>
            <w:bookmarkEnd w:id="2415"/>
          </w:p>
        </w:tc>
      </w:tr>
      <w:tr w:rsidR="00C21029" w:rsidRPr="007F78CE" w14:paraId="18AF5BE7" w14:textId="77777777" w:rsidTr="00D12C6F">
        <w:trPr>
          <w:trHeight w:val="580"/>
        </w:trPr>
        <w:tc>
          <w:tcPr>
            <w:tcW w:w="1054" w:type="pct"/>
            <w:vMerge/>
            <w:shd w:val="clear" w:color="auto" w:fill="auto"/>
            <w:hideMark/>
          </w:tcPr>
          <w:p w14:paraId="3BCABBA3"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6B8D36CD" w14:textId="77777777" w:rsidR="00C21029" w:rsidRPr="00466BFF" w:rsidRDefault="00C21029" w:rsidP="00E5387E">
            <w:pPr>
              <w:spacing w:after="0" w:line="240" w:lineRule="auto"/>
              <w:rPr>
                <w:rFonts w:cs="Calibri"/>
                <w:sz w:val="20"/>
                <w:szCs w:val="20"/>
              </w:rPr>
            </w:pPr>
            <w:bookmarkStart w:id="2416" w:name="_Toc124956697"/>
            <w:r w:rsidRPr="00466BFF">
              <w:rPr>
                <w:rFonts w:cs="Calibri"/>
                <w:sz w:val="20"/>
                <w:szCs w:val="20"/>
              </w:rPr>
              <w:t>SOS Village d'Enfants</w:t>
            </w:r>
            <w:bookmarkEnd w:id="2416"/>
            <w:r w:rsidR="006D5F22" w:rsidRPr="00466BFF">
              <w:rPr>
                <w:rFonts w:cs="Calibri"/>
                <w:sz w:val="20"/>
                <w:szCs w:val="20"/>
              </w:rPr>
              <w:t xml:space="preserve"> </w:t>
            </w:r>
          </w:p>
        </w:tc>
        <w:tc>
          <w:tcPr>
            <w:tcW w:w="692" w:type="pct"/>
            <w:shd w:val="clear" w:color="auto" w:fill="auto"/>
            <w:noWrap/>
            <w:hideMark/>
          </w:tcPr>
          <w:p w14:paraId="237C4777"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552" w:type="pct"/>
            <w:shd w:val="clear" w:color="auto" w:fill="auto"/>
            <w:hideMark/>
          </w:tcPr>
          <w:p w14:paraId="71CE76C5" w14:textId="77777777" w:rsidR="00C21029" w:rsidRPr="00466BFF" w:rsidRDefault="00C21029" w:rsidP="00E5387E">
            <w:pPr>
              <w:spacing w:after="0" w:line="240" w:lineRule="auto"/>
              <w:rPr>
                <w:rFonts w:cs="Calibri"/>
                <w:sz w:val="20"/>
                <w:szCs w:val="20"/>
              </w:rPr>
            </w:pPr>
            <w:bookmarkStart w:id="2417" w:name="_Toc124956698"/>
            <w:r w:rsidRPr="00466BFF">
              <w:rPr>
                <w:rFonts w:cs="Calibri"/>
                <w:sz w:val="20"/>
                <w:szCs w:val="20"/>
              </w:rPr>
              <w:t>Vontovorona Antananarivo Atsimondrano</w:t>
            </w:r>
            <w:bookmarkEnd w:id="2417"/>
          </w:p>
        </w:tc>
      </w:tr>
      <w:tr w:rsidR="00C21029" w:rsidRPr="007F78CE" w14:paraId="512B04F0" w14:textId="77777777" w:rsidTr="00D12C6F">
        <w:trPr>
          <w:trHeight w:val="290"/>
        </w:trPr>
        <w:tc>
          <w:tcPr>
            <w:tcW w:w="1054" w:type="pct"/>
            <w:vMerge w:val="restart"/>
            <w:shd w:val="clear" w:color="auto" w:fill="auto"/>
            <w:noWrap/>
            <w:hideMark/>
          </w:tcPr>
          <w:p w14:paraId="1A657BF8" w14:textId="77777777" w:rsidR="00C21029" w:rsidRPr="00B434A6" w:rsidRDefault="00C21029" w:rsidP="00E5387E">
            <w:pPr>
              <w:spacing w:after="0" w:line="240" w:lineRule="auto"/>
              <w:rPr>
                <w:sz w:val="20"/>
                <w:szCs w:val="20"/>
              </w:rPr>
            </w:pPr>
            <w:bookmarkStart w:id="2418" w:name="_Toc124956699"/>
            <w:r w:rsidRPr="00B434A6">
              <w:rPr>
                <w:sz w:val="20"/>
                <w:szCs w:val="20"/>
              </w:rPr>
              <w:t>VAKINA</w:t>
            </w:r>
            <w:r w:rsidR="006D5F22" w:rsidRPr="00B434A6">
              <w:rPr>
                <w:sz w:val="20"/>
                <w:szCs w:val="20"/>
              </w:rPr>
              <w:t>N</w:t>
            </w:r>
            <w:r w:rsidRPr="00B434A6">
              <w:rPr>
                <w:sz w:val="20"/>
                <w:szCs w:val="20"/>
              </w:rPr>
              <w:t>KARATRA</w:t>
            </w:r>
            <w:bookmarkEnd w:id="2418"/>
          </w:p>
        </w:tc>
        <w:tc>
          <w:tcPr>
            <w:tcW w:w="3946" w:type="pct"/>
            <w:gridSpan w:val="3"/>
            <w:shd w:val="clear" w:color="auto" w:fill="auto"/>
            <w:noWrap/>
            <w:hideMark/>
          </w:tcPr>
          <w:p w14:paraId="4251A4C6" w14:textId="77777777" w:rsidR="00C21029" w:rsidRPr="00466BFF" w:rsidRDefault="00C21029" w:rsidP="00E5387E">
            <w:pPr>
              <w:spacing w:after="0" w:line="240" w:lineRule="auto"/>
              <w:rPr>
                <w:rFonts w:cs="Calibri"/>
                <w:sz w:val="20"/>
                <w:szCs w:val="20"/>
              </w:rPr>
            </w:pPr>
            <w:bookmarkStart w:id="2419" w:name="_Toc124956700"/>
            <w:r w:rsidRPr="00466BFF">
              <w:rPr>
                <w:rFonts w:cs="Calibri"/>
                <w:sz w:val="20"/>
                <w:szCs w:val="20"/>
              </w:rPr>
              <w:t>ADDH/ONG</w:t>
            </w:r>
            <w:bookmarkEnd w:id="2419"/>
          </w:p>
        </w:tc>
      </w:tr>
      <w:tr w:rsidR="00C21029" w:rsidRPr="007F78CE" w14:paraId="014F3E70" w14:textId="77777777" w:rsidTr="00D12C6F">
        <w:trPr>
          <w:trHeight w:val="290"/>
        </w:trPr>
        <w:tc>
          <w:tcPr>
            <w:tcW w:w="1054" w:type="pct"/>
            <w:vMerge/>
            <w:shd w:val="clear" w:color="auto" w:fill="auto"/>
            <w:hideMark/>
          </w:tcPr>
          <w:p w14:paraId="7A695030"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35363BF2" w14:textId="77777777" w:rsidR="00C21029" w:rsidRPr="00466BFF" w:rsidRDefault="00C21029" w:rsidP="00E5387E">
            <w:pPr>
              <w:spacing w:after="0" w:line="240" w:lineRule="auto"/>
              <w:rPr>
                <w:rFonts w:cs="Calibri"/>
                <w:sz w:val="20"/>
                <w:szCs w:val="20"/>
              </w:rPr>
            </w:pPr>
            <w:bookmarkStart w:id="2420" w:name="_Toc124956701"/>
            <w:r w:rsidRPr="00466BFF">
              <w:rPr>
                <w:rFonts w:cs="Calibri"/>
                <w:sz w:val="20"/>
                <w:szCs w:val="20"/>
              </w:rPr>
              <w:t>SOS Village d'Enfants</w:t>
            </w:r>
            <w:bookmarkEnd w:id="2420"/>
          </w:p>
        </w:tc>
        <w:tc>
          <w:tcPr>
            <w:tcW w:w="692" w:type="pct"/>
            <w:shd w:val="clear" w:color="auto" w:fill="auto"/>
            <w:noWrap/>
            <w:hideMark/>
          </w:tcPr>
          <w:p w14:paraId="7CA68C26"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552" w:type="pct"/>
            <w:shd w:val="clear" w:color="auto" w:fill="auto"/>
            <w:hideMark/>
          </w:tcPr>
          <w:p w14:paraId="1C5B9AD2" w14:textId="77777777" w:rsidR="00C21029" w:rsidRPr="00466BFF" w:rsidRDefault="00C21029" w:rsidP="00E5387E">
            <w:pPr>
              <w:spacing w:after="0" w:line="240" w:lineRule="auto"/>
              <w:rPr>
                <w:rFonts w:cs="Calibri"/>
                <w:sz w:val="20"/>
                <w:szCs w:val="20"/>
              </w:rPr>
            </w:pPr>
            <w:bookmarkStart w:id="2421" w:name="_Toc124956702"/>
            <w:r w:rsidRPr="00466BFF">
              <w:rPr>
                <w:rFonts w:cs="Calibri"/>
                <w:sz w:val="20"/>
                <w:szCs w:val="20"/>
              </w:rPr>
              <w:t>Ivohitra Antsirabe ville</w:t>
            </w:r>
            <w:bookmarkEnd w:id="2421"/>
          </w:p>
        </w:tc>
      </w:tr>
      <w:tr w:rsidR="00C21029" w:rsidRPr="007F78CE" w14:paraId="027E944D" w14:textId="77777777" w:rsidTr="00D12C6F">
        <w:trPr>
          <w:trHeight w:val="290"/>
        </w:trPr>
        <w:tc>
          <w:tcPr>
            <w:tcW w:w="1054" w:type="pct"/>
            <w:vMerge w:val="restart"/>
            <w:shd w:val="clear" w:color="auto" w:fill="auto"/>
            <w:noWrap/>
            <w:hideMark/>
          </w:tcPr>
          <w:p w14:paraId="581B017D" w14:textId="77777777" w:rsidR="00C21029" w:rsidRPr="00B434A6" w:rsidRDefault="00C21029" w:rsidP="00E5387E">
            <w:pPr>
              <w:spacing w:after="0" w:line="240" w:lineRule="auto"/>
              <w:rPr>
                <w:sz w:val="20"/>
                <w:szCs w:val="20"/>
              </w:rPr>
            </w:pPr>
            <w:bookmarkStart w:id="2422" w:name="_Toc124956703"/>
            <w:r w:rsidRPr="00B434A6">
              <w:rPr>
                <w:sz w:val="20"/>
                <w:szCs w:val="20"/>
              </w:rPr>
              <w:t>BOENY</w:t>
            </w:r>
            <w:bookmarkEnd w:id="2422"/>
          </w:p>
        </w:tc>
        <w:tc>
          <w:tcPr>
            <w:tcW w:w="3946" w:type="pct"/>
            <w:gridSpan w:val="3"/>
            <w:shd w:val="clear" w:color="auto" w:fill="auto"/>
            <w:noWrap/>
            <w:hideMark/>
          </w:tcPr>
          <w:p w14:paraId="1F14F819" w14:textId="77777777" w:rsidR="00C21029" w:rsidRPr="00466BFF" w:rsidRDefault="00C21029" w:rsidP="00E5387E">
            <w:pPr>
              <w:spacing w:after="0" w:line="240" w:lineRule="auto"/>
              <w:rPr>
                <w:rFonts w:cs="Calibri"/>
                <w:sz w:val="20"/>
                <w:szCs w:val="20"/>
              </w:rPr>
            </w:pPr>
            <w:bookmarkStart w:id="2423" w:name="_Toc124956704"/>
            <w:r w:rsidRPr="00466BFF">
              <w:rPr>
                <w:rFonts w:cs="Calibri"/>
                <w:sz w:val="20"/>
                <w:szCs w:val="20"/>
              </w:rPr>
              <w:t>Partenariat Min Santé et ADDH/ONG</w:t>
            </w:r>
            <w:bookmarkEnd w:id="2423"/>
          </w:p>
        </w:tc>
      </w:tr>
      <w:tr w:rsidR="00C21029" w:rsidRPr="007F78CE" w14:paraId="18D435AA" w14:textId="77777777" w:rsidTr="00D12C6F">
        <w:trPr>
          <w:trHeight w:val="290"/>
        </w:trPr>
        <w:tc>
          <w:tcPr>
            <w:tcW w:w="1054" w:type="pct"/>
            <w:vMerge/>
            <w:shd w:val="clear" w:color="auto" w:fill="auto"/>
            <w:hideMark/>
          </w:tcPr>
          <w:p w14:paraId="4D0C10CF"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62EDAFF0" w14:textId="77777777" w:rsidR="00C21029" w:rsidRPr="00466BFF" w:rsidRDefault="00C21029" w:rsidP="00E5387E">
            <w:pPr>
              <w:spacing w:after="0" w:line="240" w:lineRule="auto"/>
              <w:rPr>
                <w:rFonts w:cs="Calibri"/>
                <w:sz w:val="20"/>
                <w:szCs w:val="20"/>
              </w:rPr>
            </w:pPr>
            <w:bookmarkStart w:id="2424" w:name="_Toc124956705"/>
            <w:r w:rsidRPr="00466BFF">
              <w:rPr>
                <w:rFonts w:cs="Calibri"/>
                <w:sz w:val="20"/>
                <w:szCs w:val="20"/>
              </w:rPr>
              <w:t>CECJ/CDEF</w:t>
            </w:r>
            <w:bookmarkEnd w:id="2424"/>
          </w:p>
        </w:tc>
        <w:tc>
          <w:tcPr>
            <w:tcW w:w="692" w:type="pct"/>
            <w:shd w:val="clear" w:color="auto" w:fill="auto"/>
            <w:noWrap/>
            <w:hideMark/>
          </w:tcPr>
          <w:p w14:paraId="538379C1"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552" w:type="pct"/>
            <w:shd w:val="clear" w:color="auto" w:fill="auto"/>
            <w:hideMark/>
          </w:tcPr>
          <w:p w14:paraId="75E2CCB5" w14:textId="77777777" w:rsidR="00C21029" w:rsidRPr="00466BFF" w:rsidRDefault="00C21029" w:rsidP="00E5387E">
            <w:pPr>
              <w:spacing w:after="0" w:line="240" w:lineRule="auto"/>
              <w:rPr>
                <w:rFonts w:cs="Calibri"/>
                <w:sz w:val="20"/>
                <w:szCs w:val="20"/>
              </w:rPr>
            </w:pPr>
            <w:bookmarkStart w:id="2425" w:name="_Toc124956706"/>
            <w:r w:rsidRPr="00466BFF">
              <w:rPr>
                <w:rFonts w:cs="Calibri"/>
                <w:sz w:val="20"/>
                <w:szCs w:val="20"/>
              </w:rPr>
              <w:t xml:space="preserve">Mangarivotra </w:t>
            </w:r>
            <w:r w:rsidR="007A05FA" w:rsidRPr="00466BFF">
              <w:rPr>
                <w:rFonts w:cs="Calibri"/>
                <w:sz w:val="20"/>
                <w:szCs w:val="20"/>
              </w:rPr>
              <w:t xml:space="preserve">Mahajanga </w:t>
            </w:r>
            <w:r w:rsidRPr="00466BFF">
              <w:rPr>
                <w:rFonts w:cs="Calibri"/>
                <w:sz w:val="20"/>
                <w:szCs w:val="20"/>
              </w:rPr>
              <w:t>I</w:t>
            </w:r>
            <w:bookmarkEnd w:id="2425"/>
          </w:p>
        </w:tc>
      </w:tr>
      <w:tr w:rsidR="00C21029" w:rsidRPr="007F78CE" w14:paraId="7078460C" w14:textId="77777777" w:rsidTr="00D12C6F">
        <w:trPr>
          <w:trHeight w:val="290"/>
        </w:trPr>
        <w:tc>
          <w:tcPr>
            <w:tcW w:w="1054" w:type="pct"/>
            <w:vMerge/>
            <w:shd w:val="clear" w:color="auto" w:fill="auto"/>
            <w:hideMark/>
          </w:tcPr>
          <w:p w14:paraId="201B829E"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5A6EA24A" w14:textId="77777777" w:rsidR="00C21029" w:rsidRPr="00466BFF" w:rsidRDefault="00C21029" w:rsidP="00E5387E">
            <w:pPr>
              <w:spacing w:after="0" w:line="240" w:lineRule="auto"/>
              <w:rPr>
                <w:rFonts w:cs="Calibri"/>
                <w:sz w:val="20"/>
                <w:szCs w:val="20"/>
              </w:rPr>
            </w:pPr>
            <w:bookmarkStart w:id="2426" w:name="_Toc124956707"/>
            <w:r w:rsidRPr="00466BFF">
              <w:rPr>
                <w:rFonts w:cs="Calibri"/>
                <w:sz w:val="20"/>
                <w:szCs w:val="20"/>
              </w:rPr>
              <w:t>ADDH/ONG</w:t>
            </w:r>
            <w:bookmarkEnd w:id="2426"/>
          </w:p>
        </w:tc>
        <w:tc>
          <w:tcPr>
            <w:tcW w:w="692" w:type="pct"/>
            <w:shd w:val="clear" w:color="auto" w:fill="auto"/>
          </w:tcPr>
          <w:p w14:paraId="6154E83E" w14:textId="77777777" w:rsidR="00C21029" w:rsidRPr="00466BFF" w:rsidRDefault="00C21029" w:rsidP="00E5387E">
            <w:pPr>
              <w:spacing w:after="0" w:line="240" w:lineRule="auto"/>
              <w:rPr>
                <w:rFonts w:cs="Calibri"/>
                <w:sz w:val="20"/>
                <w:szCs w:val="20"/>
              </w:rPr>
            </w:pPr>
          </w:p>
        </w:tc>
        <w:tc>
          <w:tcPr>
            <w:tcW w:w="1552" w:type="pct"/>
            <w:shd w:val="clear" w:color="auto" w:fill="auto"/>
          </w:tcPr>
          <w:p w14:paraId="115E79ED" w14:textId="77777777" w:rsidR="00C21029" w:rsidRPr="00466BFF" w:rsidRDefault="00C21029" w:rsidP="00E5387E">
            <w:pPr>
              <w:spacing w:after="0" w:line="240" w:lineRule="auto"/>
              <w:rPr>
                <w:rFonts w:cs="Calibri"/>
                <w:sz w:val="20"/>
                <w:szCs w:val="20"/>
              </w:rPr>
            </w:pPr>
          </w:p>
        </w:tc>
      </w:tr>
      <w:tr w:rsidR="00C21029" w:rsidRPr="007F78CE" w14:paraId="0AB26982" w14:textId="77777777" w:rsidTr="00D12C6F">
        <w:trPr>
          <w:trHeight w:val="290"/>
        </w:trPr>
        <w:tc>
          <w:tcPr>
            <w:tcW w:w="1054" w:type="pct"/>
            <w:vMerge/>
            <w:shd w:val="clear" w:color="auto" w:fill="auto"/>
            <w:hideMark/>
          </w:tcPr>
          <w:p w14:paraId="5124291A"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7349B644" w14:textId="77777777" w:rsidR="00C21029" w:rsidRPr="00466BFF" w:rsidRDefault="00C21029" w:rsidP="00E5387E">
            <w:pPr>
              <w:spacing w:after="0" w:line="240" w:lineRule="auto"/>
              <w:rPr>
                <w:rFonts w:cs="Calibri"/>
                <w:sz w:val="20"/>
                <w:szCs w:val="20"/>
              </w:rPr>
            </w:pPr>
            <w:bookmarkStart w:id="2427" w:name="_Toc124956708"/>
            <w:r w:rsidRPr="00466BFF">
              <w:rPr>
                <w:rFonts w:cs="Calibri"/>
                <w:sz w:val="20"/>
                <w:szCs w:val="20"/>
              </w:rPr>
              <w:t>SOS Village d'Enfants</w:t>
            </w:r>
            <w:bookmarkEnd w:id="2427"/>
          </w:p>
        </w:tc>
        <w:tc>
          <w:tcPr>
            <w:tcW w:w="692" w:type="pct"/>
            <w:shd w:val="clear" w:color="auto" w:fill="auto"/>
            <w:noWrap/>
            <w:hideMark/>
          </w:tcPr>
          <w:p w14:paraId="6DE23727" w14:textId="77777777" w:rsidR="00C21029" w:rsidRPr="00466BFF" w:rsidRDefault="00C21029" w:rsidP="00E5387E">
            <w:pPr>
              <w:spacing w:after="0" w:line="240" w:lineRule="auto"/>
              <w:rPr>
                <w:rFonts w:cs="Calibri"/>
                <w:sz w:val="20"/>
                <w:szCs w:val="20"/>
              </w:rPr>
            </w:pPr>
            <w:bookmarkStart w:id="2428" w:name="_Toc124956709"/>
            <w:r w:rsidRPr="00466BFF">
              <w:rPr>
                <w:rFonts w:cs="Calibri"/>
                <w:sz w:val="20"/>
                <w:szCs w:val="20"/>
              </w:rPr>
              <w:t>0320570145</w:t>
            </w:r>
            <w:bookmarkEnd w:id="2428"/>
          </w:p>
        </w:tc>
        <w:tc>
          <w:tcPr>
            <w:tcW w:w="1552" w:type="pct"/>
            <w:shd w:val="clear" w:color="auto" w:fill="auto"/>
            <w:hideMark/>
          </w:tcPr>
          <w:p w14:paraId="1A6AB51A" w14:textId="77777777" w:rsidR="00C21029" w:rsidRPr="00466BFF" w:rsidRDefault="00C21029" w:rsidP="00E5387E">
            <w:pPr>
              <w:spacing w:after="0" w:line="240" w:lineRule="auto"/>
              <w:rPr>
                <w:rFonts w:cs="Calibri"/>
                <w:sz w:val="20"/>
                <w:szCs w:val="20"/>
              </w:rPr>
            </w:pPr>
            <w:bookmarkStart w:id="2429" w:name="_Toc124956710"/>
            <w:r w:rsidRPr="00466BFF">
              <w:rPr>
                <w:rFonts w:cs="Calibri"/>
                <w:sz w:val="20"/>
                <w:szCs w:val="20"/>
              </w:rPr>
              <w:t xml:space="preserve">Tsararano </w:t>
            </w:r>
            <w:r w:rsidR="007A05FA" w:rsidRPr="00466BFF">
              <w:rPr>
                <w:rFonts w:cs="Calibri"/>
                <w:sz w:val="20"/>
                <w:szCs w:val="20"/>
              </w:rPr>
              <w:t xml:space="preserve">Mahajanga </w:t>
            </w:r>
            <w:r w:rsidRPr="00466BFF">
              <w:rPr>
                <w:rFonts w:cs="Calibri"/>
                <w:sz w:val="20"/>
                <w:szCs w:val="20"/>
              </w:rPr>
              <w:t>I</w:t>
            </w:r>
            <w:bookmarkEnd w:id="2429"/>
          </w:p>
        </w:tc>
      </w:tr>
      <w:tr w:rsidR="00C21029" w:rsidRPr="007F78CE" w14:paraId="0A474AEC" w14:textId="77777777" w:rsidTr="00D12C6F">
        <w:trPr>
          <w:trHeight w:val="290"/>
        </w:trPr>
        <w:tc>
          <w:tcPr>
            <w:tcW w:w="1054" w:type="pct"/>
            <w:vMerge/>
            <w:shd w:val="clear" w:color="auto" w:fill="auto"/>
            <w:hideMark/>
          </w:tcPr>
          <w:p w14:paraId="79866981"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348A6C6E" w14:textId="77777777" w:rsidR="00C21029" w:rsidRPr="00466BFF" w:rsidRDefault="00C21029" w:rsidP="00E5387E">
            <w:pPr>
              <w:spacing w:after="0" w:line="240" w:lineRule="auto"/>
              <w:rPr>
                <w:rFonts w:cs="Calibri"/>
                <w:sz w:val="20"/>
                <w:szCs w:val="20"/>
              </w:rPr>
            </w:pPr>
            <w:bookmarkStart w:id="2430" w:name="_Toc124956711"/>
            <w:r w:rsidRPr="00466BFF">
              <w:rPr>
                <w:rFonts w:cs="Calibri"/>
                <w:sz w:val="20"/>
                <w:szCs w:val="20"/>
              </w:rPr>
              <w:t>Centre Orphelinat</w:t>
            </w:r>
            <w:bookmarkEnd w:id="2430"/>
          </w:p>
        </w:tc>
        <w:tc>
          <w:tcPr>
            <w:tcW w:w="692" w:type="pct"/>
            <w:shd w:val="clear" w:color="auto" w:fill="auto"/>
            <w:noWrap/>
            <w:hideMark/>
          </w:tcPr>
          <w:p w14:paraId="3D6E8776" w14:textId="77777777" w:rsidR="00C21029" w:rsidRPr="00466BFF" w:rsidRDefault="00C21029" w:rsidP="00E5387E">
            <w:pPr>
              <w:spacing w:after="0" w:line="240" w:lineRule="auto"/>
              <w:rPr>
                <w:rFonts w:cs="Calibri"/>
                <w:sz w:val="20"/>
                <w:szCs w:val="20"/>
              </w:rPr>
            </w:pPr>
            <w:bookmarkStart w:id="2431" w:name="_Toc124956712"/>
            <w:r w:rsidRPr="00466BFF">
              <w:rPr>
                <w:rFonts w:cs="Calibri"/>
                <w:sz w:val="20"/>
                <w:szCs w:val="20"/>
              </w:rPr>
              <w:t>0331242410</w:t>
            </w:r>
            <w:bookmarkEnd w:id="2431"/>
          </w:p>
        </w:tc>
        <w:tc>
          <w:tcPr>
            <w:tcW w:w="1552" w:type="pct"/>
            <w:shd w:val="clear" w:color="auto" w:fill="auto"/>
            <w:hideMark/>
          </w:tcPr>
          <w:p w14:paraId="544F88FE" w14:textId="77777777" w:rsidR="00C21029" w:rsidRPr="00466BFF" w:rsidRDefault="00C21029" w:rsidP="00E5387E">
            <w:pPr>
              <w:spacing w:after="0" w:line="240" w:lineRule="auto"/>
              <w:rPr>
                <w:rFonts w:cs="Calibri"/>
                <w:sz w:val="20"/>
                <w:szCs w:val="20"/>
              </w:rPr>
            </w:pPr>
            <w:bookmarkStart w:id="2432" w:name="_Toc124956713"/>
            <w:r w:rsidRPr="00466BFF">
              <w:rPr>
                <w:rFonts w:cs="Calibri"/>
                <w:sz w:val="20"/>
                <w:szCs w:val="20"/>
              </w:rPr>
              <w:t>Antanimalandy</w:t>
            </w:r>
            <w:r w:rsidR="006D5F22" w:rsidRPr="00466BFF">
              <w:rPr>
                <w:rFonts w:cs="Calibri"/>
                <w:sz w:val="20"/>
                <w:szCs w:val="20"/>
              </w:rPr>
              <w:t xml:space="preserve"> </w:t>
            </w:r>
            <w:r w:rsidR="007A05FA" w:rsidRPr="00466BFF">
              <w:rPr>
                <w:rFonts w:cs="Calibri"/>
                <w:sz w:val="20"/>
                <w:szCs w:val="20"/>
              </w:rPr>
              <w:t xml:space="preserve">Mahajanga </w:t>
            </w:r>
            <w:r w:rsidRPr="00466BFF">
              <w:rPr>
                <w:rFonts w:cs="Calibri"/>
                <w:sz w:val="20"/>
                <w:szCs w:val="20"/>
              </w:rPr>
              <w:t>I</w:t>
            </w:r>
            <w:bookmarkEnd w:id="2432"/>
          </w:p>
        </w:tc>
      </w:tr>
      <w:tr w:rsidR="00C21029" w:rsidRPr="007F78CE" w14:paraId="365398BA" w14:textId="77777777" w:rsidTr="00D12C6F">
        <w:trPr>
          <w:trHeight w:val="290"/>
        </w:trPr>
        <w:tc>
          <w:tcPr>
            <w:tcW w:w="1054" w:type="pct"/>
            <w:vMerge/>
            <w:shd w:val="clear" w:color="auto" w:fill="auto"/>
            <w:hideMark/>
          </w:tcPr>
          <w:p w14:paraId="6C12009F"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09AEB925" w14:textId="77777777" w:rsidR="00C21029" w:rsidRPr="00466BFF" w:rsidRDefault="00C21029" w:rsidP="00E5387E">
            <w:pPr>
              <w:spacing w:after="0" w:line="240" w:lineRule="auto"/>
              <w:rPr>
                <w:rFonts w:cs="Calibri"/>
                <w:sz w:val="20"/>
                <w:szCs w:val="20"/>
              </w:rPr>
            </w:pPr>
            <w:bookmarkStart w:id="2433" w:name="_Toc124956714"/>
            <w:r w:rsidRPr="00466BFF">
              <w:rPr>
                <w:rFonts w:cs="Calibri"/>
                <w:sz w:val="20"/>
                <w:szCs w:val="20"/>
              </w:rPr>
              <w:t>Les Enfants de la Sainte Famille</w:t>
            </w:r>
            <w:bookmarkEnd w:id="2433"/>
          </w:p>
        </w:tc>
        <w:tc>
          <w:tcPr>
            <w:tcW w:w="692" w:type="pct"/>
            <w:shd w:val="clear" w:color="auto" w:fill="auto"/>
            <w:noWrap/>
            <w:hideMark/>
          </w:tcPr>
          <w:p w14:paraId="0F016AC7"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552" w:type="pct"/>
            <w:shd w:val="clear" w:color="auto" w:fill="auto"/>
            <w:hideMark/>
          </w:tcPr>
          <w:p w14:paraId="446A1FD2" w14:textId="77777777" w:rsidR="00C21029" w:rsidRPr="00466BFF" w:rsidRDefault="00C21029" w:rsidP="00E5387E">
            <w:pPr>
              <w:spacing w:after="0" w:line="240" w:lineRule="auto"/>
              <w:rPr>
                <w:rFonts w:cs="Calibri"/>
                <w:sz w:val="20"/>
                <w:szCs w:val="20"/>
              </w:rPr>
            </w:pPr>
            <w:bookmarkStart w:id="2434" w:name="_Toc124956715"/>
            <w:r w:rsidRPr="00466BFF">
              <w:rPr>
                <w:rFonts w:cs="Calibri"/>
                <w:sz w:val="20"/>
                <w:szCs w:val="20"/>
              </w:rPr>
              <w:t>Tsararano</w:t>
            </w:r>
            <w:r w:rsidR="006D5F22" w:rsidRPr="00466BFF">
              <w:rPr>
                <w:rFonts w:cs="Calibri"/>
                <w:sz w:val="20"/>
                <w:szCs w:val="20"/>
              </w:rPr>
              <w:t xml:space="preserve"> </w:t>
            </w:r>
            <w:r w:rsidR="007A05FA" w:rsidRPr="00466BFF">
              <w:rPr>
                <w:rFonts w:cs="Calibri"/>
                <w:sz w:val="20"/>
                <w:szCs w:val="20"/>
              </w:rPr>
              <w:t xml:space="preserve">Mahajanga </w:t>
            </w:r>
            <w:r w:rsidRPr="00466BFF">
              <w:rPr>
                <w:rFonts w:cs="Calibri"/>
                <w:sz w:val="20"/>
                <w:szCs w:val="20"/>
              </w:rPr>
              <w:t>I</w:t>
            </w:r>
            <w:bookmarkEnd w:id="2434"/>
          </w:p>
        </w:tc>
      </w:tr>
      <w:tr w:rsidR="00C21029" w:rsidRPr="007F78CE" w14:paraId="46D2F6FA" w14:textId="77777777" w:rsidTr="00D12C6F">
        <w:trPr>
          <w:trHeight w:val="290"/>
        </w:trPr>
        <w:tc>
          <w:tcPr>
            <w:tcW w:w="1054" w:type="pct"/>
            <w:vMerge w:val="restart"/>
            <w:shd w:val="clear" w:color="auto" w:fill="auto"/>
            <w:noWrap/>
            <w:hideMark/>
          </w:tcPr>
          <w:p w14:paraId="4016DE74" w14:textId="77777777" w:rsidR="00C21029" w:rsidRPr="00B434A6" w:rsidRDefault="00C21029" w:rsidP="00E5387E">
            <w:pPr>
              <w:spacing w:after="0" w:line="240" w:lineRule="auto"/>
              <w:rPr>
                <w:sz w:val="20"/>
                <w:szCs w:val="20"/>
              </w:rPr>
            </w:pPr>
            <w:bookmarkStart w:id="2435" w:name="_Toc124956716"/>
            <w:r w:rsidRPr="00B434A6">
              <w:rPr>
                <w:sz w:val="20"/>
                <w:szCs w:val="20"/>
              </w:rPr>
              <w:t>DIANA</w:t>
            </w:r>
            <w:bookmarkEnd w:id="2435"/>
          </w:p>
        </w:tc>
        <w:tc>
          <w:tcPr>
            <w:tcW w:w="3946" w:type="pct"/>
            <w:gridSpan w:val="3"/>
            <w:shd w:val="clear" w:color="auto" w:fill="auto"/>
            <w:noWrap/>
            <w:hideMark/>
          </w:tcPr>
          <w:p w14:paraId="4860DB89" w14:textId="77777777" w:rsidR="00C21029" w:rsidRPr="00466BFF" w:rsidRDefault="00C21029" w:rsidP="00E5387E">
            <w:pPr>
              <w:spacing w:after="0" w:line="240" w:lineRule="auto"/>
              <w:rPr>
                <w:rFonts w:cs="Calibri"/>
                <w:sz w:val="20"/>
                <w:szCs w:val="20"/>
              </w:rPr>
            </w:pPr>
            <w:bookmarkStart w:id="2436" w:name="_Toc124956717"/>
            <w:r w:rsidRPr="00466BFF">
              <w:rPr>
                <w:rFonts w:cs="Calibri"/>
                <w:sz w:val="20"/>
                <w:szCs w:val="20"/>
              </w:rPr>
              <w:t>ADDH/ONG</w:t>
            </w:r>
            <w:bookmarkEnd w:id="2436"/>
          </w:p>
        </w:tc>
      </w:tr>
      <w:tr w:rsidR="00C21029" w:rsidRPr="007F78CE" w14:paraId="07537C7A" w14:textId="77777777" w:rsidTr="00D12C6F">
        <w:trPr>
          <w:trHeight w:val="290"/>
        </w:trPr>
        <w:tc>
          <w:tcPr>
            <w:tcW w:w="1054" w:type="pct"/>
            <w:vMerge/>
            <w:shd w:val="clear" w:color="auto" w:fill="auto"/>
            <w:hideMark/>
          </w:tcPr>
          <w:p w14:paraId="2659B75A"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5ADBCC10" w14:textId="77777777" w:rsidR="00C21029" w:rsidRPr="00466BFF" w:rsidRDefault="00C21029" w:rsidP="00E5387E">
            <w:pPr>
              <w:spacing w:after="0" w:line="240" w:lineRule="auto"/>
              <w:rPr>
                <w:rFonts w:cs="Calibri"/>
                <w:sz w:val="20"/>
                <w:szCs w:val="20"/>
              </w:rPr>
            </w:pPr>
            <w:bookmarkStart w:id="2437" w:name="_Toc124956718"/>
            <w:r w:rsidRPr="00466BFF">
              <w:rPr>
                <w:rFonts w:cs="Calibri"/>
                <w:sz w:val="20"/>
                <w:szCs w:val="20"/>
              </w:rPr>
              <w:t>La Maison d'Arnaud</w:t>
            </w:r>
            <w:bookmarkEnd w:id="2437"/>
          </w:p>
        </w:tc>
        <w:tc>
          <w:tcPr>
            <w:tcW w:w="692" w:type="pct"/>
            <w:shd w:val="clear" w:color="auto" w:fill="auto"/>
            <w:noWrap/>
            <w:hideMark/>
          </w:tcPr>
          <w:p w14:paraId="3D306FE2" w14:textId="77777777" w:rsidR="00C21029" w:rsidRPr="00466BFF" w:rsidRDefault="00C21029" w:rsidP="00E5387E">
            <w:pPr>
              <w:spacing w:after="0" w:line="240" w:lineRule="auto"/>
              <w:rPr>
                <w:rFonts w:cs="Calibri"/>
                <w:sz w:val="20"/>
                <w:szCs w:val="20"/>
              </w:rPr>
            </w:pPr>
            <w:bookmarkStart w:id="2438" w:name="_Toc124956719"/>
            <w:r w:rsidRPr="00466BFF">
              <w:rPr>
                <w:rFonts w:cs="Calibri"/>
                <w:sz w:val="20"/>
                <w:szCs w:val="20"/>
              </w:rPr>
              <w:t>0326840179</w:t>
            </w:r>
            <w:bookmarkEnd w:id="2438"/>
          </w:p>
        </w:tc>
        <w:tc>
          <w:tcPr>
            <w:tcW w:w="1552" w:type="pct"/>
            <w:shd w:val="clear" w:color="auto" w:fill="auto"/>
            <w:hideMark/>
          </w:tcPr>
          <w:p w14:paraId="0641046D" w14:textId="77777777" w:rsidR="00C21029" w:rsidRPr="00466BFF" w:rsidRDefault="00C21029" w:rsidP="00E5387E">
            <w:pPr>
              <w:spacing w:after="0" w:line="240" w:lineRule="auto"/>
              <w:rPr>
                <w:rFonts w:cs="Calibri"/>
                <w:sz w:val="20"/>
                <w:szCs w:val="20"/>
              </w:rPr>
            </w:pPr>
            <w:bookmarkStart w:id="2439" w:name="_Toc124956720"/>
            <w:r w:rsidRPr="00466BFF">
              <w:rPr>
                <w:rFonts w:cs="Calibri"/>
                <w:sz w:val="20"/>
                <w:szCs w:val="20"/>
              </w:rPr>
              <w:t>Antanamitarana</w:t>
            </w:r>
            <w:r w:rsidR="006D5F22" w:rsidRPr="00466BFF">
              <w:rPr>
                <w:rFonts w:cs="Calibri"/>
                <w:sz w:val="20"/>
                <w:szCs w:val="20"/>
              </w:rPr>
              <w:t xml:space="preserve"> </w:t>
            </w:r>
            <w:r w:rsidR="007A05FA" w:rsidRPr="00466BFF">
              <w:rPr>
                <w:rFonts w:cs="Calibri"/>
                <w:sz w:val="20"/>
                <w:szCs w:val="20"/>
              </w:rPr>
              <w:t xml:space="preserve">Antsiranana </w:t>
            </w:r>
            <w:r w:rsidRPr="00466BFF">
              <w:rPr>
                <w:rFonts w:cs="Calibri"/>
                <w:sz w:val="20"/>
                <w:szCs w:val="20"/>
              </w:rPr>
              <w:t>II</w:t>
            </w:r>
            <w:bookmarkEnd w:id="2439"/>
          </w:p>
        </w:tc>
      </w:tr>
      <w:tr w:rsidR="00C21029" w:rsidRPr="007F78CE" w14:paraId="08389C59" w14:textId="77777777" w:rsidTr="00D12C6F">
        <w:trPr>
          <w:trHeight w:val="290"/>
        </w:trPr>
        <w:tc>
          <w:tcPr>
            <w:tcW w:w="1054" w:type="pct"/>
            <w:vMerge/>
            <w:shd w:val="clear" w:color="auto" w:fill="auto"/>
            <w:hideMark/>
          </w:tcPr>
          <w:p w14:paraId="28DB149C"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77B278AA" w14:textId="77777777" w:rsidR="00C21029" w:rsidRPr="00466BFF" w:rsidRDefault="00C21029" w:rsidP="00E5387E">
            <w:pPr>
              <w:spacing w:after="0" w:line="240" w:lineRule="auto"/>
              <w:rPr>
                <w:rFonts w:cs="Calibri"/>
                <w:sz w:val="20"/>
                <w:szCs w:val="20"/>
              </w:rPr>
            </w:pPr>
            <w:bookmarkStart w:id="2440" w:name="_Toc124956721"/>
            <w:r w:rsidRPr="00466BFF">
              <w:rPr>
                <w:rFonts w:cs="Calibri"/>
                <w:sz w:val="20"/>
                <w:szCs w:val="20"/>
              </w:rPr>
              <w:t>Foyer d'accueil Allessia</w:t>
            </w:r>
            <w:bookmarkEnd w:id="2440"/>
          </w:p>
        </w:tc>
        <w:tc>
          <w:tcPr>
            <w:tcW w:w="692" w:type="pct"/>
            <w:shd w:val="clear" w:color="auto" w:fill="auto"/>
            <w:noWrap/>
            <w:hideMark/>
          </w:tcPr>
          <w:p w14:paraId="14CC035A" w14:textId="77777777" w:rsidR="00C21029" w:rsidRPr="00466BFF" w:rsidRDefault="00C21029" w:rsidP="00E5387E">
            <w:pPr>
              <w:spacing w:after="0" w:line="240" w:lineRule="auto"/>
              <w:rPr>
                <w:rFonts w:cs="Calibri"/>
                <w:sz w:val="20"/>
                <w:szCs w:val="20"/>
              </w:rPr>
            </w:pPr>
            <w:bookmarkStart w:id="2441" w:name="_Toc124956722"/>
            <w:r w:rsidRPr="00466BFF">
              <w:rPr>
                <w:rFonts w:cs="Calibri"/>
                <w:sz w:val="20"/>
                <w:szCs w:val="20"/>
              </w:rPr>
              <w:t>0324096469</w:t>
            </w:r>
            <w:bookmarkEnd w:id="2441"/>
          </w:p>
        </w:tc>
        <w:tc>
          <w:tcPr>
            <w:tcW w:w="1552" w:type="pct"/>
            <w:shd w:val="clear" w:color="auto" w:fill="auto"/>
            <w:hideMark/>
          </w:tcPr>
          <w:p w14:paraId="71A95541" w14:textId="77777777" w:rsidR="00C21029" w:rsidRPr="00466BFF" w:rsidRDefault="00C21029" w:rsidP="00E5387E">
            <w:pPr>
              <w:spacing w:after="0" w:line="240" w:lineRule="auto"/>
              <w:rPr>
                <w:rFonts w:cs="Calibri"/>
                <w:sz w:val="20"/>
                <w:szCs w:val="20"/>
              </w:rPr>
            </w:pPr>
            <w:bookmarkStart w:id="2442" w:name="_Toc124956723"/>
            <w:r w:rsidRPr="00466BFF">
              <w:rPr>
                <w:rFonts w:cs="Calibri"/>
                <w:sz w:val="20"/>
                <w:szCs w:val="20"/>
              </w:rPr>
              <w:t>Ambanja</w:t>
            </w:r>
            <w:bookmarkEnd w:id="2442"/>
          </w:p>
        </w:tc>
      </w:tr>
      <w:tr w:rsidR="00C21029" w:rsidRPr="007F78CE" w14:paraId="26193AF9" w14:textId="77777777" w:rsidTr="00D12C6F">
        <w:trPr>
          <w:trHeight w:val="290"/>
        </w:trPr>
        <w:tc>
          <w:tcPr>
            <w:tcW w:w="1054" w:type="pct"/>
            <w:vMerge/>
            <w:shd w:val="clear" w:color="auto" w:fill="auto"/>
            <w:hideMark/>
          </w:tcPr>
          <w:p w14:paraId="7ED2AE03"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736AA551" w14:textId="77777777" w:rsidR="00C21029" w:rsidRPr="00466BFF" w:rsidRDefault="00C21029" w:rsidP="00E5387E">
            <w:pPr>
              <w:spacing w:after="0" w:line="240" w:lineRule="auto"/>
              <w:rPr>
                <w:rFonts w:cs="Calibri"/>
                <w:sz w:val="20"/>
                <w:szCs w:val="20"/>
              </w:rPr>
            </w:pPr>
            <w:bookmarkStart w:id="2443" w:name="_Toc124956724"/>
            <w:r w:rsidRPr="00466BFF">
              <w:rPr>
                <w:rFonts w:cs="Calibri"/>
                <w:sz w:val="20"/>
                <w:szCs w:val="20"/>
              </w:rPr>
              <w:t>Cœur et Conscience</w:t>
            </w:r>
            <w:bookmarkEnd w:id="2443"/>
          </w:p>
        </w:tc>
        <w:tc>
          <w:tcPr>
            <w:tcW w:w="692" w:type="pct"/>
            <w:shd w:val="clear" w:color="auto" w:fill="auto"/>
            <w:noWrap/>
            <w:hideMark/>
          </w:tcPr>
          <w:p w14:paraId="5D551AEC" w14:textId="77777777" w:rsidR="00C21029" w:rsidRPr="00466BFF" w:rsidRDefault="00C21029" w:rsidP="00E5387E">
            <w:pPr>
              <w:spacing w:after="0" w:line="240" w:lineRule="auto"/>
              <w:rPr>
                <w:rFonts w:cs="Calibri"/>
                <w:sz w:val="20"/>
                <w:szCs w:val="20"/>
              </w:rPr>
            </w:pPr>
            <w:bookmarkStart w:id="2444" w:name="_Toc124956725"/>
            <w:r w:rsidRPr="00466BFF">
              <w:rPr>
                <w:rFonts w:cs="Calibri"/>
                <w:sz w:val="20"/>
                <w:szCs w:val="20"/>
              </w:rPr>
              <w:t>0320245633</w:t>
            </w:r>
            <w:bookmarkEnd w:id="2444"/>
          </w:p>
        </w:tc>
        <w:tc>
          <w:tcPr>
            <w:tcW w:w="1552" w:type="pct"/>
            <w:shd w:val="clear" w:color="auto" w:fill="auto"/>
            <w:hideMark/>
          </w:tcPr>
          <w:p w14:paraId="24F6AB60" w14:textId="77777777" w:rsidR="00C21029" w:rsidRPr="00466BFF" w:rsidRDefault="007A05FA" w:rsidP="00E5387E">
            <w:pPr>
              <w:spacing w:after="0" w:line="240" w:lineRule="auto"/>
              <w:rPr>
                <w:rFonts w:cs="Calibri"/>
                <w:sz w:val="20"/>
                <w:szCs w:val="20"/>
              </w:rPr>
            </w:pPr>
            <w:bookmarkStart w:id="2445" w:name="_Toc124956726"/>
            <w:r w:rsidRPr="00466BFF">
              <w:rPr>
                <w:rFonts w:cs="Calibri"/>
                <w:sz w:val="20"/>
                <w:szCs w:val="20"/>
              </w:rPr>
              <w:t xml:space="preserve">Antsiranana </w:t>
            </w:r>
            <w:r w:rsidR="00C21029" w:rsidRPr="00466BFF">
              <w:rPr>
                <w:rFonts w:cs="Calibri"/>
                <w:sz w:val="20"/>
                <w:szCs w:val="20"/>
              </w:rPr>
              <w:t>I</w:t>
            </w:r>
            <w:bookmarkEnd w:id="2445"/>
          </w:p>
        </w:tc>
      </w:tr>
      <w:tr w:rsidR="00C21029" w:rsidRPr="007F78CE" w14:paraId="79020B74" w14:textId="77777777" w:rsidTr="00D12C6F">
        <w:trPr>
          <w:trHeight w:val="290"/>
        </w:trPr>
        <w:tc>
          <w:tcPr>
            <w:tcW w:w="1054" w:type="pct"/>
            <w:vMerge/>
            <w:shd w:val="clear" w:color="auto" w:fill="auto"/>
            <w:hideMark/>
          </w:tcPr>
          <w:p w14:paraId="30F825AB"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3AC9E857" w14:textId="77777777" w:rsidR="00C21029" w:rsidRPr="00466BFF" w:rsidRDefault="00C21029" w:rsidP="00E5387E">
            <w:pPr>
              <w:spacing w:after="0" w:line="240" w:lineRule="auto"/>
              <w:rPr>
                <w:rFonts w:cs="Calibri"/>
                <w:sz w:val="20"/>
                <w:szCs w:val="20"/>
              </w:rPr>
            </w:pPr>
            <w:bookmarkStart w:id="2446" w:name="_Toc124956727"/>
            <w:r w:rsidRPr="00466BFF">
              <w:rPr>
                <w:rFonts w:cs="Calibri"/>
                <w:sz w:val="20"/>
                <w:szCs w:val="20"/>
              </w:rPr>
              <w:t>Sœur Jeannine</w:t>
            </w:r>
            <w:bookmarkEnd w:id="2446"/>
          </w:p>
        </w:tc>
        <w:tc>
          <w:tcPr>
            <w:tcW w:w="692" w:type="pct"/>
            <w:shd w:val="clear" w:color="auto" w:fill="auto"/>
            <w:noWrap/>
            <w:hideMark/>
          </w:tcPr>
          <w:p w14:paraId="6EE31590" w14:textId="77777777" w:rsidR="00C21029" w:rsidRPr="00466BFF" w:rsidRDefault="00C21029" w:rsidP="00E5387E">
            <w:pPr>
              <w:spacing w:after="0" w:line="240" w:lineRule="auto"/>
              <w:rPr>
                <w:rFonts w:cs="Calibri"/>
                <w:sz w:val="20"/>
                <w:szCs w:val="20"/>
              </w:rPr>
            </w:pPr>
            <w:bookmarkStart w:id="2447" w:name="_Toc124956728"/>
            <w:r w:rsidRPr="00466BFF">
              <w:rPr>
                <w:rFonts w:cs="Calibri"/>
                <w:sz w:val="20"/>
                <w:szCs w:val="20"/>
              </w:rPr>
              <w:t>0327732634</w:t>
            </w:r>
            <w:bookmarkEnd w:id="2447"/>
          </w:p>
        </w:tc>
        <w:tc>
          <w:tcPr>
            <w:tcW w:w="1552" w:type="pct"/>
            <w:shd w:val="clear" w:color="auto" w:fill="auto"/>
            <w:hideMark/>
          </w:tcPr>
          <w:p w14:paraId="18BF2BDA" w14:textId="77777777" w:rsidR="00C21029" w:rsidRPr="00466BFF" w:rsidRDefault="00C21029" w:rsidP="00E5387E">
            <w:pPr>
              <w:spacing w:after="0" w:line="240" w:lineRule="auto"/>
              <w:rPr>
                <w:rFonts w:cs="Calibri"/>
                <w:sz w:val="20"/>
                <w:szCs w:val="20"/>
              </w:rPr>
            </w:pPr>
            <w:bookmarkStart w:id="2448" w:name="_Toc124956729"/>
            <w:r w:rsidRPr="00466BFF">
              <w:rPr>
                <w:rFonts w:cs="Calibri"/>
                <w:sz w:val="20"/>
                <w:szCs w:val="20"/>
              </w:rPr>
              <w:t xml:space="preserve">Grand Pavoie </w:t>
            </w:r>
            <w:r w:rsidR="007A05FA" w:rsidRPr="00466BFF">
              <w:rPr>
                <w:rFonts w:cs="Calibri"/>
                <w:sz w:val="20"/>
                <w:szCs w:val="20"/>
              </w:rPr>
              <w:t xml:space="preserve">Antsiranana </w:t>
            </w:r>
            <w:r w:rsidRPr="00466BFF">
              <w:rPr>
                <w:rFonts w:cs="Calibri"/>
                <w:sz w:val="20"/>
                <w:szCs w:val="20"/>
              </w:rPr>
              <w:t>I</w:t>
            </w:r>
            <w:bookmarkEnd w:id="2448"/>
          </w:p>
        </w:tc>
      </w:tr>
      <w:tr w:rsidR="00C21029" w:rsidRPr="007F78CE" w14:paraId="4508F503" w14:textId="77777777" w:rsidTr="00D12C6F">
        <w:trPr>
          <w:trHeight w:val="290"/>
        </w:trPr>
        <w:tc>
          <w:tcPr>
            <w:tcW w:w="1054" w:type="pct"/>
            <w:vMerge w:val="restart"/>
            <w:shd w:val="clear" w:color="auto" w:fill="auto"/>
            <w:noWrap/>
            <w:hideMark/>
          </w:tcPr>
          <w:p w14:paraId="5E7E695C" w14:textId="77777777" w:rsidR="00C21029" w:rsidRPr="00B434A6" w:rsidRDefault="00C21029" w:rsidP="00E5387E">
            <w:pPr>
              <w:spacing w:after="0" w:line="240" w:lineRule="auto"/>
              <w:rPr>
                <w:sz w:val="20"/>
                <w:szCs w:val="20"/>
              </w:rPr>
            </w:pPr>
            <w:bookmarkStart w:id="2449" w:name="_Toc124956730"/>
            <w:r w:rsidRPr="00B434A6">
              <w:rPr>
                <w:sz w:val="20"/>
                <w:szCs w:val="20"/>
              </w:rPr>
              <w:t>MATSIATRA AMBONY</w:t>
            </w:r>
            <w:bookmarkEnd w:id="2449"/>
          </w:p>
        </w:tc>
        <w:tc>
          <w:tcPr>
            <w:tcW w:w="3946" w:type="pct"/>
            <w:gridSpan w:val="3"/>
            <w:shd w:val="clear" w:color="auto" w:fill="auto"/>
            <w:noWrap/>
            <w:hideMark/>
          </w:tcPr>
          <w:p w14:paraId="329CD0F4" w14:textId="77777777" w:rsidR="00C21029" w:rsidRPr="00466BFF" w:rsidRDefault="00C21029" w:rsidP="00E5387E">
            <w:pPr>
              <w:spacing w:after="0" w:line="240" w:lineRule="auto"/>
              <w:rPr>
                <w:rFonts w:cs="Calibri"/>
                <w:sz w:val="20"/>
                <w:szCs w:val="20"/>
              </w:rPr>
            </w:pPr>
            <w:bookmarkStart w:id="2450" w:name="_Toc124956731"/>
            <w:r w:rsidRPr="00466BFF">
              <w:rPr>
                <w:rFonts w:cs="Calibri"/>
                <w:sz w:val="20"/>
                <w:szCs w:val="20"/>
              </w:rPr>
              <w:t>ADDH/ONG</w:t>
            </w:r>
            <w:bookmarkEnd w:id="2450"/>
          </w:p>
        </w:tc>
      </w:tr>
      <w:tr w:rsidR="00C21029" w:rsidRPr="007F78CE" w14:paraId="340F243F" w14:textId="77777777" w:rsidTr="00D12C6F">
        <w:trPr>
          <w:trHeight w:val="580"/>
        </w:trPr>
        <w:tc>
          <w:tcPr>
            <w:tcW w:w="1054" w:type="pct"/>
            <w:vMerge/>
            <w:shd w:val="clear" w:color="auto" w:fill="auto"/>
            <w:hideMark/>
          </w:tcPr>
          <w:p w14:paraId="03AC3BCD"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017ED46F" w14:textId="77777777" w:rsidR="00C21029" w:rsidRPr="00466BFF" w:rsidRDefault="00C21029" w:rsidP="00E5387E">
            <w:pPr>
              <w:spacing w:after="0" w:line="240" w:lineRule="auto"/>
              <w:rPr>
                <w:rFonts w:cs="Calibri"/>
                <w:sz w:val="20"/>
                <w:szCs w:val="20"/>
              </w:rPr>
            </w:pPr>
            <w:bookmarkStart w:id="2451" w:name="_Toc124956732"/>
            <w:r w:rsidRPr="00466BFF">
              <w:rPr>
                <w:rFonts w:cs="Calibri"/>
                <w:sz w:val="20"/>
                <w:szCs w:val="20"/>
              </w:rPr>
              <w:t>AFFD</w:t>
            </w:r>
            <w:bookmarkEnd w:id="2451"/>
          </w:p>
        </w:tc>
        <w:tc>
          <w:tcPr>
            <w:tcW w:w="692" w:type="pct"/>
            <w:shd w:val="clear" w:color="auto" w:fill="auto"/>
            <w:noWrap/>
            <w:hideMark/>
          </w:tcPr>
          <w:p w14:paraId="79A85933" w14:textId="77777777" w:rsidR="00C21029" w:rsidRPr="00466BFF" w:rsidRDefault="00C21029" w:rsidP="00E5387E">
            <w:pPr>
              <w:spacing w:after="0" w:line="240" w:lineRule="auto"/>
              <w:rPr>
                <w:rFonts w:cs="Calibri"/>
                <w:sz w:val="20"/>
                <w:szCs w:val="20"/>
              </w:rPr>
            </w:pPr>
            <w:bookmarkStart w:id="2452" w:name="_Toc124956733"/>
            <w:r w:rsidRPr="00466BFF">
              <w:rPr>
                <w:rFonts w:cs="Calibri"/>
                <w:sz w:val="20"/>
                <w:szCs w:val="20"/>
              </w:rPr>
              <w:t>0348496503</w:t>
            </w:r>
            <w:bookmarkEnd w:id="2452"/>
          </w:p>
        </w:tc>
        <w:tc>
          <w:tcPr>
            <w:tcW w:w="1552" w:type="pct"/>
            <w:shd w:val="clear" w:color="auto" w:fill="auto"/>
            <w:hideMark/>
          </w:tcPr>
          <w:p w14:paraId="4A72E02E" w14:textId="77777777" w:rsidR="00C21029" w:rsidRPr="00466BFF" w:rsidRDefault="00C21029" w:rsidP="00E5387E">
            <w:pPr>
              <w:spacing w:after="0" w:line="240" w:lineRule="auto"/>
              <w:rPr>
                <w:rFonts w:cs="Calibri"/>
                <w:sz w:val="20"/>
                <w:szCs w:val="20"/>
              </w:rPr>
            </w:pPr>
            <w:bookmarkStart w:id="2453" w:name="_Toc124956734"/>
            <w:r w:rsidRPr="00466BFF">
              <w:rPr>
                <w:rFonts w:cs="Calibri"/>
                <w:sz w:val="20"/>
                <w:szCs w:val="20"/>
              </w:rPr>
              <w:t>Près Eglise Adventiste Ankofafa Fianarantsoa I</w:t>
            </w:r>
            <w:bookmarkEnd w:id="2453"/>
          </w:p>
        </w:tc>
      </w:tr>
      <w:tr w:rsidR="00C21029" w:rsidRPr="007F78CE" w14:paraId="38FCA681" w14:textId="77777777" w:rsidTr="00D12C6F">
        <w:trPr>
          <w:trHeight w:val="290"/>
        </w:trPr>
        <w:tc>
          <w:tcPr>
            <w:tcW w:w="1054" w:type="pct"/>
            <w:vMerge/>
            <w:shd w:val="clear" w:color="auto" w:fill="auto"/>
            <w:hideMark/>
          </w:tcPr>
          <w:p w14:paraId="43EE4F11"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285C1246" w14:textId="77777777" w:rsidR="00C21029" w:rsidRPr="00466BFF" w:rsidRDefault="00C21029" w:rsidP="00E5387E">
            <w:pPr>
              <w:spacing w:after="0" w:line="240" w:lineRule="auto"/>
              <w:rPr>
                <w:rFonts w:cs="Calibri"/>
                <w:sz w:val="20"/>
                <w:szCs w:val="20"/>
              </w:rPr>
            </w:pPr>
            <w:bookmarkStart w:id="2454" w:name="_Toc124956735"/>
            <w:r w:rsidRPr="00466BFF">
              <w:rPr>
                <w:rFonts w:cs="Calibri"/>
                <w:sz w:val="20"/>
                <w:szCs w:val="20"/>
              </w:rPr>
              <w:t>Omeo Bonbon</w:t>
            </w:r>
            <w:bookmarkEnd w:id="2454"/>
          </w:p>
        </w:tc>
        <w:tc>
          <w:tcPr>
            <w:tcW w:w="692" w:type="pct"/>
            <w:shd w:val="clear" w:color="auto" w:fill="auto"/>
            <w:noWrap/>
            <w:hideMark/>
          </w:tcPr>
          <w:p w14:paraId="6F35CBC3" w14:textId="77777777" w:rsidR="00C21029" w:rsidRPr="00466BFF" w:rsidRDefault="00C21029" w:rsidP="00E5387E">
            <w:pPr>
              <w:spacing w:after="0" w:line="240" w:lineRule="auto"/>
              <w:rPr>
                <w:rFonts w:cs="Calibri"/>
                <w:sz w:val="20"/>
                <w:szCs w:val="20"/>
              </w:rPr>
            </w:pPr>
            <w:bookmarkStart w:id="2455" w:name="_Toc124956736"/>
            <w:r w:rsidRPr="00466BFF">
              <w:rPr>
                <w:rFonts w:cs="Calibri"/>
                <w:sz w:val="20"/>
                <w:szCs w:val="20"/>
              </w:rPr>
              <w:t>0331430266</w:t>
            </w:r>
            <w:bookmarkEnd w:id="2455"/>
          </w:p>
        </w:tc>
        <w:tc>
          <w:tcPr>
            <w:tcW w:w="1552" w:type="pct"/>
            <w:shd w:val="clear" w:color="auto" w:fill="auto"/>
            <w:hideMark/>
          </w:tcPr>
          <w:p w14:paraId="7DD6EADA" w14:textId="77777777" w:rsidR="00C21029" w:rsidRPr="00466BFF" w:rsidRDefault="00C21029" w:rsidP="00E5387E">
            <w:pPr>
              <w:spacing w:after="0" w:line="240" w:lineRule="auto"/>
              <w:rPr>
                <w:rFonts w:cs="Calibri"/>
                <w:sz w:val="20"/>
                <w:szCs w:val="20"/>
              </w:rPr>
            </w:pPr>
            <w:bookmarkStart w:id="2456" w:name="_Toc124956737"/>
            <w:r w:rsidRPr="00466BFF">
              <w:rPr>
                <w:rFonts w:cs="Calibri"/>
                <w:sz w:val="20"/>
                <w:szCs w:val="20"/>
              </w:rPr>
              <w:t>Isaha Fianarantsoa I</w:t>
            </w:r>
            <w:bookmarkEnd w:id="2456"/>
          </w:p>
        </w:tc>
      </w:tr>
      <w:tr w:rsidR="00C21029" w:rsidRPr="007F78CE" w14:paraId="71D43068" w14:textId="77777777" w:rsidTr="00D12C6F">
        <w:trPr>
          <w:trHeight w:val="290"/>
        </w:trPr>
        <w:tc>
          <w:tcPr>
            <w:tcW w:w="1054" w:type="pct"/>
            <w:vMerge/>
            <w:shd w:val="clear" w:color="auto" w:fill="auto"/>
            <w:hideMark/>
          </w:tcPr>
          <w:p w14:paraId="4F8C7FB3"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5C0BD1E3" w14:textId="77777777" w:rsidR="00C21029" w:rsidRPr="00466BFF" w:rsidRDefault="00C21029" w:rsidP="00E5387E">
            <w:pPr>
              <w:spacing w:after="0" w:line="240" w:lineRule="auto"/>
              <w:rPr>
                <w:rFonts w:cs="Calibri"/>
                <w:sz w:val="20"/>
                <w:szCs w:val="20"/>
              </w:rPr>
            </w:pPr>
            <w:bookmarkStart w:id="2457" w:name="_Toc124956738"/>
            <w:r w:rsidRPr="00466BFF">
              <w:rPr>
                <w:rFonts w:cs="Calibri"/>
                <w:sz w:val="20"/>
                <w:szCs w:val="20"/>
              </w:rPr>
              <w:t>Zebuphile</w:t>
            </w:r>
            <w:bookmarkEnd w:id="2457"/>
          </w:p>
        </w:tc>
        <w:tc>
          <w:tcPr>
            <w:tcW w:w="692" w:type="pct"/>
            <w:shd w:val="clear" w:color="auto" w:fill="auto"/>
            <w:noWrap/>
            <w:hideMark/>
          </w:tcPr>
          <w:p w14:paraId="4C7FE5D4" w14:textId="77777777" w:rsidR="00C21029" w:rsidRPr="00466BFF" w:rsidRDefault="00C21029" w:rsidP="00E5387E">
            <w:pPr>
              <w:spacing w:after="0" w:line="240" w:lineRule="auto"/>
              <w:rPr>
                <w:rFonts w:cs="Calibri"/>
                <w:sz w:val="20"/>
                <w:szCs w:val="20"/>
              </w:rPr>
            </w:pPr>
            <w:bookmarkStart w:id="2458" w:name="_Toc124956739"/>
            <w:r w:rsidRPr="00466BFF">
              <w:rPr>
                <w:rFonts w:cs="Calibri"/>
                <w:sz w:val="20"/>
                <w:szCs w:val="20"/>
              </w:rPr>
              <w:t>0340396668</w:t>
            </w:r>
            <w:bookmarkEnd w:id="2458"/>
          </w:p>
        </w:tc>
        <w:tc>
          <w:tcPr>
            <w:tcW w:w="1552" w:type="pct"/>
            <w:shd w:val="clear" w:color="auto" w:fill="auto"/>
            <w:hideMark/>
          </w:tcPr>
          <w:p w14:paraId="61A0D33A" w14:textId="77777777" w:rsidR="00C21029" w:rsidRPr="00466BFF" w:rsidRDefault="00C21029" w:rsidP="00E5387E">
            <w:pPr>
              <w:spacing w:after="0" w:line="240" w:lineRule="auto"/>
              <w:rPr>
                <w:rFonts w:cs="Calibri"/>
                <w:sz w:val="20"/>
                <w:szCs w:val="20"/>
              </w:rPr>
            </w:pPr>
            <w:bookmarkStart w:id="2459" w:name="_Toc124956740"/>
            <w:r w:rsidRPr="00466BFF">
              <w:rPr>
                <w:rFonts w:cs="Calibri"/>
                <w:sz w:val="20"/>
                <w:szCs w:val="20"/>
              </w:rPr>
              <w:t>Anjoma Fianarantsoa I</w:t>
            </w:r>
            <w:bookmarkEnd w:id="2459"/>
          </w:p>
        </w:tc>
      </w:tr>
      <w:tr w:rsidR="00C21029" w:rsidRPr="007F78CE" w14:paraId="75B515E0" w14:textId="77777777" w:rsidTr="00D12C6F">
        <w:trPr>
          <w:trHeight w:val="290"/>
        </w:trPr>
        <w:tc>
          <w:tcPr>
            <w:tcW w:w="1054" w:type="pct"/>
            <w:vMerge/>
            <w:shd w:val="clear" w:color="auto" w:fill="auto"/>
            <w:hideMark/>
          </w:tcPr>
          <w:p w14:paraId="74520BE6"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0A9F7C28" w14:textId="77777777" w:rsidR="00C21029" w:rsidRPr="00466BFF" w:rsidRDefault="00C21029" w:rsidP="00E5387E">
            <w:pPr>
              <w:spacing w:after="0" w:line="240" w:lineRule="auto"/>
              <w:rPr>
                <w:rFonts w:cs="Calibri"/>
                <w:sz w:val="20"/>
                <w:szCs w:val="20"/>
              </w:rPr>
            </w:pPr>
            <w:bookmarkStart w:id="2460" w:name="_Toc124956741"/>
            <w:r w:rsidRPr="00466BFF">
              <w:rPr>
                <w:rFonts w:cs="Calibri"/>
                <w:sz w:val="20"/>
                <w:szCs w:val="20"/>
              </w:rPr>
              <w:t>Orphélinat</w:t>
            </w:r>
            <w:r w:rsidR="006D5F22" w:rsidRPr="00466BFF">
              <w:rPr>
                <w:rFonts w:cs="Calibri"/>
                <w:sz w:val="20"/>
                <w:szCs w:val="20"/>
              </w:rPr>
              <w:t xml:space="preserve"> </w:t>
            </w:r>
            <w:r w:rsidRPr="00466BFF">
              <w:rPr>
                <w:rFonts w:cs="Calibri"/>
                <w:sz w:val="20"/>
                <w:szCs w:val="20"/>
              </w:rPr>
              <w:t>Catholique</w:t>
            </w:r>
            <w:bookmarkEnd w:id="2460"/>
          </w:p>
        </w:tc>
        <w:tc>
          <w:tcPr>
            <w:tcW w:w="692" w:type="pct"/>
            <w:shd w:val="clear" w:color="auto" w:fill="auto"/>
            <w:noWrap/>
            <w:hideMark/>
          </w:tcPr>
          <w:p w14:paraId="236AB8EA" w14:textId="77777777" w:rsidR="00C21029" w:rsidRPr="00466BFF" w:rsidRDefault="00C21029" w:rsidP="00E5387E">
            <w:pPr>
              <w:spacing w:after="0" w:line="240" w:lineRule="auto"/>
              <w:rPr>
                <w:rFonts w:cs="Calibri"/>
                <w:sz w:val="20"/>
                <w:szCs w:val="20"/>
              </w:rPr>
            </w:pPr>
            <w:bookmarkStart w:id="2461" w:name="_Toc124956742"/>
            <w:r w:rsidRPr="00466BFF">
              <w:rPr>
                <w:rFonts w:cs="Calibri"/>
                <w:sz w:val="20"/>
                <w:szCs w:val="20"/>
              </w:rPr>
              <w:t>0347694239</w:t>
            </w:r>
            <w:bookmarkEnd w:id="2461"/>
          </w:p>
        </w:tc>
        <w:tc>
          <w:tcPr>
            <w:tcW w:w="1552" w:type="pct"/>
            <w:shd w:val="clear" w:color="auto" w:fill="auto"/>
            <w:hideMark/>
          </w:tcPr>
          <w:p w14:paraId="5044AD31" w14:textId="77777777" w:rsidR="00C21029" w:rsidRPr="00466BFF" w:rsidRDefault="00C21029" w:rsidP="00E5387E">
            <w:pPr>
              <w:spacing w:after="0" w:line="240" w:lineRule="auto"/>
              <w:rPr>
                <w:rFonts w:cs="Calibri"/>
                <w:sz w:val="20"/>
                <w:szCs w:val="20"/>
              </w:rPr>
            </w:pPr>
            <w:bookmarkStart w:id="2462" w:name="_Toc124956743"/>
            <w:r w:rsidRPr="00466BFF">
              <w:rPr>
                <w:rFonts w:cs="Calibri"/>
                <w:sz w:val="20"/>
                <w:szCs w:val="20"/>
              </w:rPr>
              <w:t>Ankofafa Fianarantsoa I</w:t>
            </w:r>
            <w:bookmarkEnd w:id="2462"/>
          </w:p>
        </w:tc>
      </w:tr>
      <w:tr w:rsidR="00C21029" w:rsidRPr="007F78CE" w14:paraId="76E98F37" w14:textId="77777777" w:rsidTr="00D12C6F">
        <w:trPr>
          <w:trHeight w:val="290"/>
        </w:trPr>
        <w:tc>
          <w:tcPr>
            <w:tcW w:w="1054" w:type="pct"/>
            <w:vMerge w:val="restart"/>
            <w:shd w:val="clear" w:color="auto" w:fill="auto"/>
            <w:noWrap/>
            <w:hideMark/>
          </w:tcPr>
          <w:p w14:paraId="3F1533DA" w14:textId="77777777" w:rsidR="00C21029" w:rsidRPr="00B434A6" w:rsidRDefault="00C21029" w:rsidP="00E5387E">
            <w:pPr>
              <w:spacing w:after="0" w:line="240" w:lineRule="auto"/>
              <w:rPr>
                <w:sz w:val="20"/>
                <w:szCs w:val="20"/>
              </w:rPr>
            </w:pPr>
            <w:bookmarkStart w:id="2463" w:name="_Toc124956744"/>
            <w:r w:rsidRPr="00B434A6">
              <w:rPr>
                <w:sz w:val="20"/>
                <w:szCs w:val="20"/>
              </w:rPr>
              <w:t>ATSIMO ANDREFANA</w:t>
            </w:r>
            <w:bookmarkEnd w:id="2463"/>
          </w:p>
        </w:tc>
        <w:tc>
          <w:tcPr>
            <w:tcW w:w="3946" w:type="pct"/>
            <w:gridSpan w:val="3"/>
            <w:shd w:val="clear" w:color="auto" w:fill="auto"/>
            <w:noWrap/>
            <w:hideMark/>
          </w:tcPr>
          <w:p w14:paraId="2B73073E" w14:textId="77777777" w:rsidR="00C21029" w:rsidRPr="00466BFF" w:rsidRDefault="00C21029" w:rsidP="00E5387E">
            <w:pPr>
              <w:spacing w:after="0" w:line="240" w:lineRule="auto"/>
              <w:rPr>
                <w:rFonts w:cs="Calibri"/>
                <w:sz w:val="20"/>
                <w:szCs w:val="20"/>
              </w:rPr>
            </w:pPr>
            <w:bookmarkStart w:id="2464" w:name="_Toc124956745"/>
            <w:r w:rsidRPr="00466BFF">
              <w:rPr>
                <w:rFonts w:cs="Calibri"/>
                <w:sz w:val="20"/>
                <w:szCs w:val="20"/>
              </w:rPr>
              <w:t>ADDH/ONG</w:t>
            </w:r>
            <w:bookmarkEnd w:id="2464"/>
          </w:p>
        </w:tc>
      </w:tr>
      <w:tr w:rsidR="00C21029" w:rsidRPr="007F78CE" w14:paraId="7CE63554" w14:textId="77777777" w:rsidTr="00D12C6F">
        <w:trPr>
          <w:trHeight w:val="290"/>
        </w:trPr>
        <w:tc>
          <w:tcPr>
            <w:tcW w:w="1054" w:type="pct"/>
            <w:vMerge/>
            <w:shd w:val="clear" w:color="auto" w:fill="auto"/>
            <w:hideMark/>
          </w:tcPr>
          <w:p w14:paraId="79282BEF"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152A72E0" w14:textId="77777777" w:rsidR="00C21029" w:rsidRPr="00466BFF" w:rsidRDefault="00C21029" w:rsidP="00E5387E">
            <w:pPr>
              <w:spacing w:after="0" w:line="240" w:lineRule="auto"/>
              <w:rPr>
                <w:rFonts w:cs="Calibri"/>
                <w:sz w:val="20"/>
                <w:szCs w:val="20"/>
              </w:rPr>
            </w:pPr>
            <w:bookmarkStart w:id="2465" w:name="_Toc124956746"/>
            <w:r w:rsidRPr="00466BFF">
              <w:rPr>
                <w:rFonts w:cs="Calibri"/>
                <w:sz w:val="20"/>
                <w:szCs w:val="20"/>
              </w:rPr>
              <w:t>SOS Village d'Enfants</w:t>
            </w:r>
            <w:bookmarkEnd w:id="2465"/>
          </w:p>
        </w:tc>
        <w:tc>
          <w:tcPr>
            <w:tcW w:w="692" w:type="pct"/>
            <w:shd w:val="clear" w:color="auto" w:fill="auto"/>
            <w:noWrap/>
            <w:hideMark/>
          </w:tcPr>
          <w:p w14:paraId="1885C961" w14:textId="77777777" w:rsidR="00C21029" w:rsidRPr="00466BFF" w:rsidRDefault="00C21029" w:rsidP="00E5387E">
            <w:pPr>
              <w:spacing w:after="0" w:line="240" w:lineRule="auto"/>
              <w:rPr>
                <w:rFonts w:cs="Calibri"/>
                <w:sz w:val="20"/>
                <w:szCs w:val="20"/>
              </w:rPr>
            </w:pPr>
            <w:bookmarkStart w:id="2466" w:name="_Toc124956747"/>
            <w:r w:rsidRPr="00466BFF">
              <w:rPr>
                <w:rFonts w:cs="Calibri"/>
                <w:sz w:val="20"/>
                <w:szCs w:val="20"/>
              </w:rPr>
              <w:t>0320570103</w:t>
            </w:r>
            <w:bookmarkEnd w:id="2466"/>
          </w:p>
        </w:tc>
        <w:tc>
          <w:tcPr>
            <w:tcW w:w="1552" w:type="pct"/>
            <w:shd w:val="clear" w:color="auto" w:fill="auto"/>
            <w:hideMark/>
          </w:tcPr>
          <w:p w14:paraId="5F8B4516" w14:textId="77777777" w:rsidR="00C21029" w:rsidRPr="00466BFF" w:rsidRDefault="00C21029" w:rsidP="00E5387E">
            <w:pPr>
              <w:spacing w:after="0" w:line="240" w:lineRule="auto"/>
              <w:rPr>
                <w:rFonts w:cs="Calibri"/>
                <w:sz w:val="20"/>
                <w:szCs w:val="20"/>
              </w:rPr>
            </w:pPr>
            <w:bookmarkStart w:id="2467" w:name="_Toc124956748"/>
            <w:r w:rsidRPr="00466BFF">
              <w:rPr>
                <w:rFonts w:cs="Calibri"/>
                <w:sz w:val="20"/>
                <w:szCs w:val="20"/>
              </w:rPr>
              <w:t>Toliara I</w:t>
            </w:r>
            <w:bookmarkEnd w:id="2467"/>
          </w:p>
        </w:tc>
      </w:tr>
      <w:tr w:rsidR="00C21029" w:rsidRPr="007F78CE" w14:paraId="47228A79" w14:textId="77777777" w:rsidTr="00D12C6F">
        <w:trPr>
          <w:trHeight w:val="290"/>
        </w:trPr>
        <w:tc>
          <w:tcPr>
            <w:tcW w:w="1054" w:type="pct"/>
            <w:vMerge/>
            <w:shd w:val="clear" w:color="auto" w:fill="auto"/>
            <w:hideMark/>
          </w:tcPr>
          <w:p w14:paraId="2698DDA4"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517B9573" w14:textId="77777777" w:rsidR="00C21029" w:rsidRPr="00466BFF" w:rsidRDefault="00C21029" w:rsidP="00E5387E">
            <w:pPr>
              <w:spacing w:after="0" w:line="240" w:lineRule="auto"/>
              <w:rPr>
                <w:rFonts w:cs="Calibri"/>
                <w:sz w:val="20"/>
                <w:szCs w:val="20"/>
              </w:rPr>
            </w:pPr>
            <w:bookmarkStart w:id="2468" w:name="_Toc124956749"/>
            <w:r w:rsidRPr="00466BFF">
              <w:rPr>
                <w:rFonts w:cs="Calibri"/>
                <w:sz w:val="20"/>
                <w:szCs w:val="20"/>
              </w:rPr>
              <w:t>SOS Village d'Enfants</w:t>
            </w:r>
            <w:bookmarkEnd w:id="2468"/>
          </w:p>
        </w:tc>
        <w:tc>
          <w:tcPr>
            <w:tcW w:w="692" w:type="pct"/>
            <w:shd w:val="clear" w:color="auto" w:fill="auto"/>
            <w:noWrap/>
            <w:hideMark/>
          </w:tcPr>
          <w:p w14:paraId="0D213173"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552" w:type="pct"/>
            <w:shd w:val="clear" w:color="auto" w:fill="auto"/>
            <w:hideMark/>
          </w:tcPr>
          <w:p w14:paraId="4D72C5FE" w14:textId="77777777" w:rsidR="00C21029" w:rsidRPr="00466BFF" w:rsidRDefault="00C21029" w:rsidP="00E5387E">
            <w:pPr>
              <w:spacing w:after="0" w:line="240" w:lineRule="auto"/>
              <w:rPr>
                <w:rFonts w:cs="Calibri"/>
                <w:sz w:val="20"/>
                <w:szCs w:val="20"/>
              </w:rPr>
            </w:pPr>
            <w:bookmarkStart w:id="2469" w:name="_Toc124956750"/>
            <w:r w:rsidRPr="00466BFF">
              <w:rPr>
                <w:rFonts w:cs="Calibri"/>
                <w:sz w:val="20"/>
                <w:szCs w:val="20"/>
              </w:rPr>
              <w:t>Ampanihy</w:t>
            </w:r>
            <w:bookmarkEnd w:id="2469"/>
          </w:p>
        </w:tc>
      </w:tr>
      <w:tr w:rsidR="00C21029" w:rsidRPr="007F78CE" w14:paraId="0F4ACEAD" w14:textId="77777777" w:rsidTr="00D12C6F">
        <w:trPr>
          <w:trHeight w:val="290"/>
        </w:trPr>
        <w:tc>
          <w:tcPr>
            <w:tcW w:w="1054" w:type="pct"/>
            <w:vMerge/>
            <w:shd w:val="clear" w:color="auto" w:fill="auto"/>
            <w:hideMark/>
          </w:tcPr>
          <w:p w14:paraId="13271EB3"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5ED16B3A" w14:textId="77777777" w:rsidR="00C21029" w:rsidRPr="00466BFF" w:rsidRDefault="00C21029" w:rsidP="00E5387E">
            <w:pPr>
              <w:spacing w:after="0" w:line="240" w:lineRule="auto"/>
              <w:rPr>
                <w:rFonts w:cs="Calibri"/>
                <w:sz w:val="20"/>
                <w:szCs w:val="20"/>
              </w:rPr>
            </w:pPr>
            <w:bookmarkStart w:id="2470" w:name="_Toc124956751"/>
            <w:r w:rsidRPr="00466BFF">
              <w:rPr>
                <w:rFonts w:cs="Calibri"/>
                <w:sz w:val="20"/>
                <w:szCs w:val="20"/>
              </w:rPr>
              <w:t>SOS Village d'Enfants</w:t>
            </w:r>
            <w:bookmarkEnd w:id="2470"/>
          </w:p>
        </w:tc>
        <w:tc>
          <w:tcPr>
            <w:tcW w:w="692" w:type="pct"/>
            <w:shd w:val="clear" w:color="auto" w:fill="auto"/>
            <w:noWrap/>
            <w:hideMark/>
          </w:tcPr>
          <w:p w14:paraId="230B84BC"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552" w:type="pct"/>
            <w:shd w:val="clear" w:color="auto" w:fill="auto"/>
            <w:hideMark/>
          </w:tcPr>
          <w:p w14:paraId="0BEFF305" w14:textId="77777777" w:rsidR="00C21029" w:rsidRPr="00466BFF" w:rsidRDefault="00C21029" w:rsidP="00E5387E">
            <w:pPr>
              <w:spacing w:after="0" w:line="240" w:lineRule="auto"/>
              <w:rPr>
                <w:rFonts w:cs="Calibri"/>
                <w:sz w:val="20"/>
                <w:szCs w:val="20"/>
              </w:rPr>
            </w:pPr>
            <w:bookmarkStart w:id="2471" w:name="_Toc124956752"/>
            <w:r w:rsidRPr="00466BFF">
              <w:rPr>
                <w:rFonts w:cs="Calibri"/>
                <w:sz w:val="20"/>
                <w:szCs w:val="20"/>
              </w:rPr>
              <w:t>Betioky</w:t>
            </w:r>
            <w:bookmarkEnd w:id="2471"/>
          </w:p>
        </w:tc>
      </w:tr>
      <w:tr w:rsidR="00C21029" w:rsidRPr="007F78CE" w14:paraId="7CFA96FD" w14:textId="77777777" w:rsidTr="00D12C6F">
        <w:trPr>
          <w:trHeight w:val="580"/>
        </w:trPr>
        <w:tc>
          <w:tcPr>
            <w:tcW w:w="1054" w:type="pct"/>
            <w:vMerge/>
            <w:shd w:val="clear" w:color="auto" w:fill="auto"/>
            <w:hideMark/>
          </w:tcPr>
          <w:p w14:paraId="43E77DBE"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22CFB306" w14:textId="77777777" w:rsidR="00C21029" w:rsidRPr="00466BFF" w:rsidRDefault="00C21029" w:rsidP="00E5387E">
            <w:pPr>
              <w:spacing w:after="0" w:line="240" w:lineRule="auto"/>
              <w:rPr>
                <w:rFonts w:cs="Calibri"/>
                <w:sz w:val="20"/>
                <w:szCs w:val="20"/>
              </w:rPr>
            </w:pPr>
            <w:bookmarkStart w:id="2472" w:name="_Toc124956753"/>
            <w:r w:rsidRPr="00466BFF">
              <w:rPr>
                <w:rFonts w:cs="Calibri"/>
                <w:sz w:val="20"/>
                <w:szCs w:val="20"/>
              </w:rPr>
              <w:t>Bel Avenir</w:t>
            </w:r>
            <w:bookmarkEnd w:id="2472"/>
          </w:p>
        </w:tc>
        <w:tc>
          <w:tcPr>
            <w:tcW w:w="692" w:type="pct"/>
            <w:shd w:val="clear" w:color="auto" w:fill="auto"/>
            <w:noWrap/>
            <w:hideMark/>
          </w:tcPr>
          <w:p w14:paraId="1513AE38" w14:textId="77777777" w:rsidR="00C21029" w:rsidRPr="00466BFF" w:rsidRDefault="00C21029" w:rsidP="00E5387E">
            <w:pPr>
              <w:spacing w:after="0" w:line="240" w:lineRule="auto"/>
              <w:rPr>
                <w:rFonts w:cs="Calibri"/>
                <w:sz w:val="20"/>
                <w:szCs w:val="20"/>
              </w:rPr>
            </w:pPr>
            <w:bookmarkStart w:id="2473" w:name="_Toc124956754"/>
            <w:r w:rsidRPr="00466BFF">
              <w:rPr>
                <w:rFonts w:cs="Calibri"/>
                <w:sz w:val="20"/>
                <w:szCs w:val="20"/>
              </w:rPr>
              <w:t>0348511415</w:t>
            </w:r>
            <w:bookmarkEnd w:id="2473"/>
          </w:p>
        </w:tc>
        <w:tc>
          <w:tcPr>
            <w:tcW w:w="1552" w:type="pct"/>
            <w:shd w:val="clear" w:color="auto" w:fill="auto"/>
            <w:hideMark/>
          </w:tcPr>
          <w:p w14:paraId="2F0F674C" w14:textId="77777777" w:rsidR="00C21029" w:rsidRPr="00466BFF" w:rsidRDefault="00C21029" w:rsidP="00E5387E">
            <w:pPr>
              <w:spacing w:after="0" w:line="240" w:lineRule="auto"/>
              <w:rPr>
                <w:rFonts w:cs="Calibri"/>
                <w:sz w:val="20"/>
                <w:szCs w:val="20"/>
              </w:rPr>
            </w:pPr>
            <w:bookmarkStart w:id="2474" w:name="_Toc124956755"/>
            <w:r w:rsidRPr="00466BFF">
              <w:rPr>
                <w:rFonts w:cs="Calibri"/>
                <w:sz w:val="20"/>
                <w:szCs w:val="20"/>
              </w:rPr>
              <w:t>Av de France Tsimenatse Toliara 1</w:t>
            </w:r>
            <w:bookmarkEnd w:id="2474"/>
          </w:p>
        </w:tc>
      </w:tr>
      <w:tr w:rsidR="00C21029" w:rsidRPr="007F78CE" w14:paraId="7481C678" w14:textId="77777777" w:rsidTr="00D12C6F">
        <w:trPr>
          <w:trHeight w:val="290"/>
        </w:trPr>
        <w:tc>
          <w:tcPr>
            <w:tcW w:w="1054" w:type="pct"/>
            <w:vMerge/>
            <w:shd w:val="clear" w:color="auto" w:fill="auto"/>
            <w:hideMark/>
          </w:tcPr>
          <w:p w14:paraId="347F5395"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13B655B8" w14:textId="77777777" w:rsidR="00C21029" w:rsidRPr="00466BFF" w:rsidRDefault="00C21029" w:rsidP="00E5387E">
            <w:pPr>
              <w:spacing w:after="0" w:line="240" w:lineRule="auto"/>
              <w:rPr>
                <w:rFonts w:cs="Calibri"/>
                <w:sz w:val="20"/>
                <w:szCs w:val="20"/>
              </w:rPr>
            </w:pPr>
            <w:bookmarkStart w:id="2475" w:name="_Toc124956756"/>
            <w:r w:rsidRPr="00466BFF">
              <w:rPr>
                <w:rFonts w:cs="Calibri"/>
                <w:sz w:val="20"/>
                <w:szCs w:val="20"/>
              </w:rPr>
              <w:t>Mondobimbi</w:t>
            </w:r>
            <w:bookmarkEnd w:id="2475"/>
          </w:p>
        </w:tc>
        <w:tc>
          <w:tcPr>
            <w:tcW w:w="692" w:type="pct"/>
            <w:shd w:val="clear" w:color="auto" w:fill="auto"/>
            <w:noWrap/>
            <w:hideMark/>
          </w:tcPr>
          <w:p w14:paraId="55033E79" w14:textId="77777777" w:rsidR="00C21029" w:rsidRPr="00466BFF" w:rsidRDefault="00C21029" w:rsidP="00E5387E">
            <w:pPr>
              <w:spacing w:after="0" w:line="240" w:lineRule="auto"/>
              <w:rPr>
                <w:rFonts w:cs="Calibri"/>
                <w:sz w:val="20"/>
                <w:szCs w:val="20"/>
              </w:rPr>
            </w:pPr>
            <w:bookmarkStart w:id="2476" w:name="_Toc124956757"/>
            <w:r w:rsidRPr="00466BFF">
              <w:rPr>
                <w:rFonts w:cs="Calibri"/>
                <w:sz w:val="20"/>
                <w:szCs w:val="20"/>
              </w:rPr>
              <w:t>0320241221</w:t>
            </w:r>
            <w:bookmarkEnd w:id="2476"/>
          </w:p>
        </w:tc>
        <w:tc>
          <w:tcPr>
            <w:tcW w:w="1552" w:type="pct"/>
            <w:shd w:val="clear" w:color="auto" w:fill="auto"/>
            <w:hideMark/>
          </w:tcPr>
          <w:p w14:paraId="78807E7F" w14:textId="77777777" w:rsidR="00C21029" w:rsidRPr="00466BFF" w:rsidRDefault="00C21029" w:rsidP="00E5387E">
            <w:pPr>
              <w:spacing w:after="0" w:line="240" w:lineRule="auto"/>
              <w:rPr>
                <w:rFonts w:cs="Calibri"/>
                <w:sz w:val="20"/>
                <w:szCs w:val="20"/>
              </w:rPr>
            </w:pPr>
            <w:bookmarkStart w:id="2477" w:name="_Toc124956758"/>
            <w:r w:rsidRPr="00466BFF">
              <w:rPr>
                <w:rFonts w:cs="Calibri"/>
                <w:sz w:val="20"/>
                <w:szCs w:val="20"/>
              </w:rPr>
              <w:t>Besasavy Toliara I</w:t>
            </w:r>
            <w:bookmarkEnd w:id="2477"/>
          </w:p>
        </w:tc>
      </w:tr>
      <w:tr w:rsidR="00C21029" w:rsidRPr="007F78CE" w14:paraId="2DE209AA" w14:textId="77777777" w:rsidTr="00D12C6F">
        <w:trPr>
          <w:trHeight w:val="290"/>
        </w:trPr>
        <w:tc>
          <w:tcPr>
            <w:tcW w:w="1054" w:type="pct"/>
            <w:vMerge w:val="restart"/>
            <w:shd w:val="clear" w:color="auto" w:fill="auto"/>
            <w:noWrap/>
            <w:hideMark/>
          </w:tcPr>
          <w:p w14:paraId="31A7DF02" w14:textId="77777777" w:rsidR="00C21029" w:rsidRPr="00B434A6" w:rsidRDefault="00C21029" w:rsidP="00E5387E">
            <w:pPr>
              <w:spacing w:after="0" w:line="240" w:lineRule="auto"/>
              <w:rPr>
                <w:sz w:val="20"/>
                <w:szCs w:val="20"/>
              </w:rPr>
            </w:pPr>
            <w:bookmarkStart w:id="2478" w:name="_Toc124956759"/>
            <w:r w:rsidRPr="00B434A6">
              <w:rPr>
                <w:sz w:val="20"/>
                <w:szCs w:val="20"/>
              </w:rPr>
              <w:t>ANDROY</w:t>
            </w:r>
            <w:bookmarkEnd w:id="2478"/>
          </w:p>
        </w:tc>
        <w:tc>
          <w:tcPr>
            <w:tcW w:w="3946" w:type="pct"/>
            <w:gridSpan w:val="3"/>
            <w:shd w:val="clear" w:color="auto" w:fill="auto"/>
            <w:noWrap/>
            <w:hideMark/>
          </w:tcPr>
          <w:p w14:paraId="10231B7B" w14:textId="77777777" w:rsidR="00C21029" w:rsidRPr="00466BFF" w:rsidRDefault="00C21029" w:rsidP="00E5387E">
            <w:pPr>
              <w:spacing w:after="0" w:line="240" w:lineRule="auto"/>
              <w:rPr>
                <w:rFonts w:cs="Calibri"/>
                <w:sz w:val="20"/>
                <w:szCs w:val="20"/>
              </w:rPr>
            </w:pPr>
            <w:bookmarkStart w:id="2479" w:name="_Toc124956760"/>
            <w:r w:rsidRPr="00466BFF">
              <w:rPr>
                <w:rFonts w:cs="Calibri"/>
                <w:sz w:val="20"/>
                <w:szCs w:val="20"/>
              </w:rPr>
              <w:t>ADDH/ONG</w:t>
            </w:r>
            <w:bookmarkEnd w:id="2479"/>
          </w:p>
        </w:tc>
      </w:tr>
      <w:tr w:rsidR="00C21029" w:rsidRPr="007F78CE" w14:paraId="121FCA5F" w14:textId="77777777" w:rsidTr="00D12C6F">
        <w:trPr>
          <w:trHeight w:val="290"/>
        </w:trPr>
        <w:tc>
          <w:tcPr>
            <w:tcW w:w="1054" w:type="pct"/>
            <w:vMerge/>
            <w:shd w:val="clear" w:color="auto" w:fill="auto"/>
            <w:hideMark/>
          </w:tcPr>
          <w:p w14:paraId="53997947"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41CE6D50" w14:textId="77777777" w:rsidR="00C21029" w:rsidRPr="00466BFF" w:rsidRDefault="00C21029" w:rsidP="00E5387E">
            <w:pPr>
              <w:spacing w:after="0" w:line="240" w:lineRule="auto"/>
              <w:rPr>
                <w:rFonts w:cs="Calibri"/>
                <w:sz w:val="20"/>
                <w:szCs w:val="20"/>
              </w:rPr>
            </w:pPr>
            <w:bookmarkStart w:id="2480" w:name="_Toc124956761"/>
            <w:r w:rsidRPr="00466BFF">
              <w:rPr>
                <w:rFonts w:cs="Calibri"/>
                <w:sz w:val="20"/>
                <w:szCs w:val="20"/>
              </w:rPr>
              <w:t>SOS Village d'Enfants</w:t>
            </w:r>
            <w:bookmarkEnd w:id="2480"/>
          </w:p>
        </w:tc>
        <w:tc>
          <w:tcPr>
            <w:tcW w:w="692" w:type="pct"/>
            <w:shd w:val="clear" w:color="auto" w:fill="auto"/>
            <w:noWrap/>
            <w:hideMark/>
          </w:tcPr>
          <w:p w14:paraId="27446BB5"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552" w:type="pct"/>
            <w:shd w:val="clear" w:color="auto" w:fill="auto"/>
            <w:hideMark/>
          </w:tcPr>
          <w:p w14:paraId="06E4C9D6" w14:textId="77777777" w:rsidR="00C21029" w:rsidRPr="00466BFF" w:rsidRDefault="00C21029" w:rsidP="00E5387E">
            <w:pPr>
              <w:spacing w:after="0" w:line="240" w:lineRule="auto"/>
              <w:rPr>
                <w:rFonts w:cs="Calibri"/>
                <w:sz w:val="20"/>
                <w:szCs w:val="20"/>
              </w:rPr>
            </w:pPr>
            <w:bookmarkStart w:id="2481" w:name="_Toc124956762"/>
            <w:r w:rsidRPr="00466BFF">
              <w:rPr>
                <w:rFonts w:cs="Calibri"/>
                <w:sz w:val="20"/>
                <w:szCs w:val="20"/>
              </w:rPr>
              <w:t>Ambovombe</w:t>
            </w:r>
            <w:bookmarkEnd w:id="2481"/>
          </w:p>
        </w:tc>
      </w:tr>
      <w:tr w:rsidR="00C21029" w:rsidRPr="007F78CE" w14:paraId="3827D0A9" w14:textId="77777777" w:rsidTr="00D12C6F">
        <w:trPr>
          <w:trHeight w:val="290"/>
        </w:trPr>
        <w:tc>
          <w:tcPr>
            <w:tcW w:w="1054" w:type="pct"/>
            <w:vMerge/>
            <w:shd w:val="clear" w:color="auto" w:fill="auto"/>
            <w:hideMark/>
          </w:tcPr>
          <w:p w14:paraId="68A357C1"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5D6A7E9F" w14:textId="77777777" w:rsidR="00C21029" w:rsidRPr="00466BFF" w:rsidRDefault="00C21029" w:rsidP="00E5387E">
            <w:pPr>
              <w:spacing w:after="0" w:line="240" w:lineRule="auto"/>
              <w:rPr>
                <w:rFonts w:cs="Calibri"/>
                <w:sz w:val="20"/>
                <w:szCs w:val="20"/>
              </w:rPr>
            </w:pPr>
            <w:bookmarkStart w:id="2482" w:name="_Toc124956763"/>
            <w:r w:rsidRPr="00466BFF">
              <w:rPr>
                <w:rFonts w:cs="Calibri"/>
                <w:sz w:val="20"/>
                <w:szCs w:val="20"/>
              </w:rPr>
              <w:t>SOS Village d'Enfants</w:t>
            </w:r>
            <w:bookmarkEnd w:id="2482"/>
          </w:p>
        </w:tc>
        <w:tc>
          <w:tcPr>
            <w:tcW w:w="692" w:type="pct"/>
            <w:shd w:val="clear" w:color="auto" w:fill="auto"/>
            <w:noWrap/>
            <w:hideMark/>
          </w:tcPr>
          <w:p w14:paraId="59888F19"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552" w:type="pct"/>
            <w:shd w:val="clear" w:color="auto" w:fill="auto"/>
            <w:hideMark/>
          </w:tcPr>
          <w:p w14:paraId="66E69D27" w14:textId="77777777" w:rsidR="00C21029" w:rsidRPr="00466BFF" w:rsidRDefault="00C21029" w:rsidP="00E5387E">
            <w:pPr>
              <w:spacing w:after="0" w:line="240" w:lineRule="auto"/>
              <w:rPr>
                <w:rFonts w:cs="Calibri"/>
                <w:sz w:val="20"/>
                <w:szCs w:val="20"/>
              </w:rPr>
            </w:pPr>
            <w:bookmarkStart w:id="2483" w:name="_Toc124956764"/>
            <w:r w:rsidRPr="00466BFF">
              <w:rPr>
                <w:rFonts w:cs="Calibri"/>
                <w:sz w:val="20"/>
                <w:szCs w:val="20"/>
              </w:rPr>
              <w:t>Tsihombe</w:t>
            </w:r>
            <w:bookmarkEnd w:id="2483"/>
          </w:p>
        </w:tc>
      </w:tr>
      <w:tr w:rsidR="00C21029" w:rsidRPr="007F78CE" w14:paraId="604715D1" w14:textId="77777777" w:rsidTr="00D12C6F">
        <w:trPr>
          <w:trHeight w:val="290"/>
        </w:trPr>
        <w:tc>
          <w:tcPr>
            <w:tcW w:w="1054" w:type="pct"/>
            <w:vMerge/>
            <w:shd w:val="clear" w:color="auto" w:fill="auto"/>
            <w:hideMark/>
          </w:tcPr>
          <w:p w14:paraId="6A7CC805"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501265D8" w14:textId="77777777" w:rsidR="00C21029" w:rsidRPr="00466BFF" w:rsidRDefault="00C21029" w:rsidP="00E5387E">
            <w:pPr>
              <w:spacing w:after="0" w:line="240" w:lineRule="auto"/>
              <w:rPr>
                <w:rFonts w:cs="Calibri"/>
                <w:sz w:val="20"/>
                <w:szCs w:val="20"/>
              </w:rPr>
            </w:pPr>
            <w:bookmarkStart w:id="2484" w:name="_Toc124956765"/>
            <w:r w:rsidRPr="00466BFF">
              <w:rPr>
                <w:rFonts w:cs="Calibri"/>
                <w:sz w:val="20"/>
                <w:szCs w:val="20"/>
              </w:rPr>
              <w:t>SOS Village d'Enfants</w:t>
            </w:r>
            <w:bookmarkEnd w:id="2484"/>
          </w:p>
        </w:tc>
        <w:tc>
          <w:tcPr>
            <w:tcW w:w="692" w:type="pct"/>
            <w:shd w:val="clear" w:color="auto" w:fill="auto"/>
            <w:noWrap/>
            <w:hideMark/>
          </w:tcPr>
          <w:p w14:paraId="6CD9FD3C"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552" w:type="pct"/>
            <w:shd w:val="clear" w:color="auto" w:fill="auto"/>
            <w:hideMark/>
          </w:tcPr>
          <w:p w14:paraId="01D4EAF9" w14:textId="77777777" w:rsidR="00C21029" w:rsidRPr="00466BFF" w:rsidRDefault="00C21029" w:rsidP="00E5387E">
            <w:pPr>
              <w:spacing w:after="0" w:line="240" w:lineRule="auto"/>
              <w:rPr>
                <w:rFonts w:cs="Calibri"/>
                <w:sz w:val="20"/>
                <w:szCs w:val="20"/>
              </w:rPr>
            </w:pPr>
            <w:bookmarkStart w:id="2485" w:name="_Toc124956766"/>
            <w:r w:rsidRPr="00466BFF">
              <w:rPr>
                <w:rFonts w:cs="Calibri"/>
                <w:sz w:val="20"/>
                <w:szCs w:val="20"/>
              </w:rPr>
              <w:t>Beloha</w:t>
            </w:r>
            <w:bookmarkEnd w:id="2485"/>
          </w:p>
        </w:tc>
      </w:tr>
      <w:tr w:rsidR="00C21029" w:rsidRPr="007F78CE" w14:paraId="481D8DAE" w14:textId="77777777" w:rsidTr="00D12C6F">
        <w:trPr>
          <w:trHeight w:val="290"/>
        </w:trPr>
        <w:tc>
          <w:tcPr>
            <w:tcW w:w="1054" w:type="pct"/>
            <w:vMerge/>
            <w:shd w:val="clear" w:color="auto" w:fill="auto"/>
            <w:hideMark/>
          </w:tcPr>
          <w:p w14:paraId="221CD815"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479A7059" w14:textId="77777777" w:rsidR="00C21029" w:rsidRPr="00466BFF" w:rsidRDefault="00C21029" w:rsidP="00E5387E">
            <w:pPr>
              <w:spacing w:after="0" w:line="240" w:lineRule="auto"/>
              <w:rPr>
                <w:rFonts w:cs="Calibri"/>
                <w:sz w:val="20"/>
                <w:szCs w:val="20"/>
              </w:rPr>
            </w:pPr>
            <w:bookmarkStart w:id="2486" w:name="_Toc124956767"/>
            <w:r w:rsidRPr="00466BFF">
              <w:rPr>
                <w:rFonts w:cs="Calibri"/>
                <w:sz w:val="20"/>
                <w:szCs w:val="20"/>
              </w:rPr>
              <w:t>SOS Village d'Enfants</w:t>
            </w:r>
            <w:bookmarkEnd w:id="2486"/>
          </w:p>
        </w:tc>
        <w:tc>
          <w:tcPr>
            <w:tcW w:w="692" w:type="pct"/>
            <w:shd w:val="clear" w:color="auto" w:fill="auto"/>
            <w:noWrap/>
            <w:hideMark/>
          </w:tcPr>
          <w:p w14:paraId="0AD4F48E"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552" w:type="pct"/>
            <w:shd w:val="clear" w:color="auto" w:fill="auto"/>
            <w:hideMark/>
          </w:tcPr>
          <w:p w14:paraId="26B6A67B" w14:textId="77777777" w:rsidR="00C21029" w:rsidRPr="00466BFF" w:rsidRDefault="00C21029" w:rsidP="00E5387E">
            <w:pPr>
              <w:spacing w:after="0" w:line="240" w:lineRule="auto"/>
              <w:rPr>
                <w:rFonts w:cs="Calibri"/>
                <w:sz w:val="20"/>
                <w:szCs w:val="20"/>
              </w:rPr>
            </w:pPr>
            <w:bookmarkStart w:id="2487" w:name="_Toc124956768"/>
            <w:r w:rsidRPr="00466BFF">
              <w:rPr>
                <w:rFonts w:cs="Calibri"/>
                <w:sz w:val="20"/>
                <w:szCs w:val="20"/>
              </w:rPr>
              <w:t>Bekily</w:t>
            </w:r>
            <w:bookmarkEnd w:id="2487"/>
          </w:p>
        </w:tc>
      </w:tr>
      <w:tr w:rsidR="00C21029" w:rsidRPr="007F78CE" w14:paraId="2F9EE44B" w14:textId="77777777" w:rsidTr="00D12C6F">
        <w:trPr>
          <w:trHeight w:val="290"/>
        </w:trPr>
        <w:tc>
          <w:tcPr>
            <w:tcW w:w="1054" w:type="pct"/>
            <w:vMerge w:val="restart"/>
            <w:shd w:val="clear" w:color="auto" w:fill="auto"/>
            <w:noWrap/>
            <w:hideMark/>
          </w:tcPr>
          <w:p w14:paraId="30D1339D" w14:textId="77777777" w:rsidR="00C21029" w:rsidRPr="00B434A6" w:rsidRDefault="00C21029" w:rsidP="00E5387E">
            <w:pPr>
              <w:spacing w:after="0" w:line="240" w:lineRule="auto"/>
              <w:rPr>
                <w:sz w:val="20"/>
                <w:szCs w:val="20"/>
              </w:rPr>
            </w:pPr>
            <w:bookmarkStart w:id="2488" w:name="_Toc124956769"/>
            <w:r w:rsidRPr="00B434A6">
              <w:rPr>
                <w:sz w:val="20"/>
                <w:szCs w:val="20"/>
              </w:rPr>
              <w:t>ANOSY</w:t>
            </w:r>
            <w:bookmarkEnd w:id="2488"/>
          </w:p>
        </w:tc>
        <w:tc>
          <w:tcPr>
            <w:tcW w:w="3946" w:type="pct"/>
            <w:gridSpan w:val="3"/>
            <w:shd w:val="clear" w:color="auto" w:fill="auto"/>
            <w:noWrap/>
            <w:hideMark/>
          </w:tcPr>
          <w:p w14:paraId="64B5DAFC" w14:textId="77777777" w:rsidR="00C21029" w:rsidRPr="00466BFF" w:rsidRDefault="00C21029" w:rsidP="00E5387E">
            <w:pPr>
              <w:spacing w:after="0" w:line="240" w:lineRule="auto"/>
              <w:rPr>
                <w:rFonts w:cs="Calibri"/>
                <w:sz w:val="20"/>
                <w:szCs w:val="20"/>
              </w:rPr>
            </w:pPr>
            <w:bookmarkStart w:id="2489" w:name="_Toc124956770"/>
            <w:r w:rsidRPr="00466BFF">
              <w:rPr>
                <w:rFonts w:cs="Calibri"/>
                <w:sz w:val="20"/>
                <w:szCs w:val="20"/>
              </w:rPr>
              <w:t>Service Public</w:t>
            </w:r>
            <w:bookmarkEnd w:id="2489"/>
          </w:p>
        </w:tc>
      </w:tr>
      <w:tr w:rsidR="00C21029" w:rsidRPr="007F78CE" w14:paraId="136B928F" w14:textId="77777777" w:rsidTr="00D12C6F">
        <w:trPr>
          <w:trHeight w:val="290"/>
        </w:trPr>
        <w:tc>
          <w:tcPr>
            <w:tcW w:w="1054" w:type="pct"/>
            <w:vMerge/>
            <w:shd w:val="clear" w:color="auto" w:fill="auto"/>
            <w:hideMark/>
          </w:tcPr>
          <w:p w14:paraId="7DA8D68D"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513BE019" w14:textId="77777777" w:rsidR="00C21029" w:rsidRPr="00466BFF" w:rsidRDefault="00C21029" w:rsidP="00E5387E">
            <w:pPr>
              <w:spacing w:after="0" w:line="240" w:lineRule="auto"/>
              <w:rPr>
                <w:rFonts w:cs="Calibri"/>
                <w:sz w:val="20"/>
                <w:szCs w:val="20"/>
              </w:rPr>
            </w:pPr>
            <w:bookmarkStart w:id="2490" w:name="_Toc124956771"/>
            <w:r w:rsidRPr="00466BFF">
              <w:rPr>
                <w:rFonts w:cs="Calibri"/>
                <w:sz w:val="20"/>
                <w:szCs w:val="20"/>
              </w:rPr>
              <w:t>Centre d'accueil d'urgence</w:t>
            </w:r>
            <w:bookmarkEnd w:id="2490"/>
          </w:p>
        </w:tc>
        <w:tc>
          <w:tcPr>
            <w:tcW w:w="692" w:type="pct"/>
            <w:shd w:val="clear" w:color="auto" w:fill="auto"/>
            <w:noWrap/>
            <w:hideMark/>
          </w:tcPr>
          <w:p w14:paraId="0111091C"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552" w:type="pct"/>
            <w:shd w:val="clear" w:color="auto" w:fill="auto"/>
            <w:hideMark/>
          </w:tcPr>
          <w:p w14:paraId="05972B7A" w14:textId="77777777" w:rsidR="00C21029" w:rsidRPr="00466BFF" w:rsidRDefault="00C21029" w:rsidP="00E5387E">
            <w:pPr>
              <w:spacing w:after="0" w:line="240" w:lineRule="auto"/>
              <w:rPr>
                <w:rFonts w:cs="Calibri"/>
                <w:sz w:val="20"/>
                <w:szCs w:val="20"/>
              </w:rPr>
            </w:pPr>
            <w:bookmarkStart w:id="2491" w:name="_Toc124956772"/>
            <w:r w:rsidRPr="00466BFF">
              <w:rPr>
                <w:rFonts w:cs="Calibri"/>
                <w:sz w:val="20"/>
                <w:szCs w:val="20"/>
              </w:rPr>
              <w:t>Taolagnaro</w:t>
            </w:r>
            <w:bookmarkEnd w:id="2491"/>
          </w:p>
        </w:tc>
      </w:tr>
      <w:tr w:rsidR="00C21029" w:rsidRPr="007F78CE" w14:paraId="112CC953" w14:textId="77777777" w:rsidTr="00D12C6F">
        <w:trPr>
          <w:trHeight w:val="290"/>
        </w:trPr>
        <w:tc>
          <w:tcPr>
            <w:tcW w:w="1054" w:type="pct"/>
            <w:vMerge/>
            <w:shd w:val="clear" w:color="auto" w:fill="auto"/>
            <w:hideMark/>
          </w:tcPr>
          <w:p w14:paraId="20E22F82"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2045413C" w14:textId="77777777" w:rsidR="00C21029" w:rsidRPr="00466BFF" w:rsidRDefault="00C21029" w:rsidP="00E5387E">
            <w:pPr>
              <w:spacing w:after="0" w:line="240" w:lineRule="auto"/>
              <w:rPr>
                <w:rFonts w:cs="Calibri"/>
                <w:sz w:val="20"/>
                <w:szCs w:val="20"/>
              </w:rPr>
            </w:pPr>
            <w:bookmarkStart w:id="2492" w:name="_Toc124956773"/>
            <w:r w:rsidRPr="00466BFF">
              <w:rPr>
                <w:rFonts w:cs="Calibri"/>
                <w:sz w:val="20"/>
                <w:szCs w:val="20"/>
              </w:rPr>
              <w:t>ADDH/ONG</w:t>
            </w:r>
            <w:bookmarkEnd w:id="2492"/>
          </w:p>
        </w:tc>
        <w:tc>
          <w:tcPr>
            <w:tcW w:w="692" w:type="pct"/>
            <w:shd w:val="clear" w:color="auto" w:fill="auto"/>
          </w:tcPr>
          <w:p w14:paraId="1BE470E4" w14:textId="77777777" w:rsidR="00C21029" w:rsidRPr="00466BFF" w:rsidRDefault="00C21029" w:rsidP="00E5387E">
            <w:pPr>
              <w:spacing w:after="0" w:line="240" w:lineRule="auto"/>
              <w:rPr>
                <w:rFonts w:cs="Calibri"/>
                <w:sz w:val="20"/>
                <w:szCs w:val="20"/>
              </w:rPr>
            </w:pPr>
          </w:p>
        </w:tc>
        <w:tc>
          <w:tcPr>
            <w:tcW w:w="1552" w:type="pct"/>
            <w:shd w:val="clear" w:color="auto" w:fill="auto"/>
          </w:tcPr>
          <w:p w14:paraId="25CBA95B" w14:textId="77777777" w:rsidR="00C21029" w:rsidRPr="00466BFF" w:rsidRDefault="00C21029" w:rsidP="00E5387E">
            <w:pPr>
              <w:spacing w:after="0" w:line="240" w:lineRule="auto"/>
              <w:rPr>
                <w:rFonts w:cs="Calibri"/>
                <w:sz w:val="20"/>
                <w:szCs w:val="20"/>
              </w:rPr>
            </w:pPr>
          </w:p>
        </w:tc>
      </w:tr>
      <w:tr w:rsidR="00C21029" w:rsidRPr="007F78CE" w14:paraId="5562AF83" w14:textId="77777777" w:rsidTr="00D12C6F">
        <w:trPr>
          <w:trHeight w:val="290"/>
        </w:trPr>
        <w:tc>
          <w:tcPr>
            <w:tcW w:w="1054" w:type="pct"/>
            <w:vMerge/>
            <w:shd w:val="clear" w:color="auto" w:fill="auto"/>
            <w:hideMark/>
          </w:tcPr>
          <w:p w14:paraId="7E3430A4"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333B0C53" w14:textId="77777777" w:rsidR="00C21029" w:rsidRPr="00466BFF" w:rsidRDefault="00C21029" w:rsidP="00E5387E">
            <w:pPr>
              <w:spacing w:after="0" w:line="240" w:lineRule="auto"/>
              <w:rPr>
                <w:rFonts w:cs="Calibri"/>
                <w:sz w:val="20"/>
                <w:szCs w:val="20"/>
              </w:rPr>
            </w:pPr>
            <w:bookmarkStart w:id="2493" w:name="_Toc124956774"/>
            <w:r w:rsidRPr="00466BFF">
              <w:rPr>
                <w:rFonts w:cs="Calibri"/>
                <w:sz w:val="20"/>
                <w:szCs w:val="20"/>
              </w:rPr>
              <w:t>SOS Village d'Enfants</w:t>
            </w:r>
            <w:bookmarkEnd w:id="2493"/>
          </w:p>
        </w:tc>
        <w:tc>
          <w:tcPr>
            <w:tcW w:w="692" w:type="pct"/>
            <w:shd w:val="clear" w:color="auto" w:fill="auto"/>
            <w:noWrap/>
            <w:hideMark/>
          </w:tcPr>
          <w:p w14:paraId="7B5492A8" w14:textId="77777777" w:rsidR="00C21029" w:rsidRPr="00466BFF" w:rsidRDefault="00C21029" w:rsidP="00E5387E">
            <w:pPr>
              <w:spacing w:after="0" w:line="240" w:lineRule="auto"/>
              <w:rPr>
                <w:rFonts w:cs="Calibri"/>
                <w:sz w:val="20"/>
                <w:szCs w:val="20"/>
              </w:rPr>
            </w:pPr>
            <w:bookmarkStart w:id="2494" w:name="_Toc124956775"/>
            <w:r w:rsidRPr="00466BFF">
              <w:rPr>
                <w:rFonts w:cs="Calibri"/>
                <w:sz w:val="20"/>
                <w:szCs w:val="20"/>
              </w:rPr>
              <w:t>0333700705</w:t>
            </w:r>
            <w:bookmarkEnd w:id="2494"/>
          </w:p>
        </w:tc>
        <w:tc>
          <w:tcPr>
            <w:tcW w:w="1552" w:type="pct"/>
            <w:shd w:val="clear" w:color="auto" w:fill="auto"/>
            <w:hideMark/>
          </w:tcPr>
          <w:p w14:paraId="768B344F" w14:textId="77777777" w:rsidR="00C21029" w:rsidRPr="00466BFF" w:rsidRDefault="00C21029" w:rsidP="00E5387E">
            <w:pPr>
              <w:spacing w:after="0" w:line="240" w:lineRule="auto"/>
              <w:rPr>
                <w:rFonts w:cs="Calibri"/>
                <w:sz w:val="20"/>
                <w:szCs w:val="20"/>
              </w:rPr>
            </w:pPr>
            <w:bookmarkStart w:id="2495" w:name="_Toc124956776"/>
            <w:r w:rsidRPr="00466BFF">
              <w:rPr>
                <w:rFonts w:cs="Calibri"/>
                <w:sz w:val="20"/>
                <w:szCs w:val="20"/>
              </w:rPr>
              <w:t>Ankôkô Taolagnaro</w:t>
            </w:r>
            <w:bookmarkEnd w:id="2495"/>
          </w:p>
        </w:tc>
      </w:tr>
      <w:tr w:rsidR="00C21029" w:rsidRPr="007F78CE" w14:paraId="24EFBE74" w14:textId="77777777" w:rsidTr="00D12C6F">
        <w:trPr>
          <w:trHeight w:val="290"/>
        </w:trPr>
        <w:tc>
          <w:tcPr>
            <w:tcW w:w="1054" w:type="pct"/>
            <w:vMerge/>
            <w:shd w:val="clear" w:color="auto" w:fill="auto"/>
            <w:hideMark/>
          </w:tcPr>
          <w:p w14:paraId="45F41552"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3FE2D7BC" w14:textId="77777777" w:rsidR="00C21029" w:rsidRPr="00466BFF" w:rsidRDefault="00C21029" w:rsidP="00E5387E">
            <w:pPr>
              <w:spacing w:after="0" w:line="240" w:lineRule="auto"/>
              <w:rPr>
                <w:rFonts w:cs="Calibri"/>
                <w:sz w:val="20"/>
                <w:szCs w:val="20"/>
              </w:rPr>
            </w:pPr>
            <w:bookmarkStart w:id="2496" w:name="_Toc124956777"/>
            <w:r w:rsidRPr="00466BFF">
              <w:rPr>
                <w:rFonts w:cs="Calibri"/>
                <w:sz w:val="20"/>
                <w:szCs w:val="20"/>
              </w:rPr>
              <w:t>Ankany Avotra</w:t>
            </w:r>
            <w:bookmarkEnd w:id="2496"/>
          </w:p>
        </w:tc>
        <w:tc>
          <w:tcPr>
            <w:tcW w:w="692" w:type="pct"/>
            <w:shd w:val="clear" w:color="auto" w:fill="auto"/>
            <w:noWrap/>
            <w:hideMark/>
          </w:tcPr>
          <w:p w14:paraId="7C7B252E" w14:textId="77777777" w:rsidR="00C21029" w:rsidRPr="00466BFF" w:rsidRDefault="00C21029" w:rsidP="00E5387E">
            <w:pPr>
              <w:spacing w:after="0" w:line="240" w:lineRule="auto"/>
              <w:rPr>
                <w:rFonts w:cs="Calibri"/>
                <w:sz w:val="20"/>
                <w:szCs w:val="20"/>
              </w:rPr>
            </w:pPr>
            <w:bookmarkStart w:id="2497" w:name="_Toc124956778"/>
            <w:r w:rsidRPr="00466BFF">
              <w:rPr>
                <w:rFonts w:cs="Calibri"/>
                <w:sz w:val="20"/>
                <w:szCs w:val="20"/>
              </w:rPr>
              <w:t>0331325067</w:t>
            </w:r>
            <w:bookmarkEnd w:id="2497"/>
          </w:p>
        </w:tc>
        <w:tc>
          <w:tcPr>
            <w:tcW w:w="1552" w:type="pct"/>
            <w:shd w:val="clear" w:color="auto" w:fill="auto"/>
            <w:hideMark/>
          </w:tcPr>
          <w:p w14:paraId="1B4E4668" w14:textId="77777777" w:rsidR="00C21029" w:rsidRPr="00466BFF" w:rsidRDefault="00C21029" w:rsidP="00E5387E">
            <w:pPr>
              <w:spacing w:after="0" w:line="240" w:lineRule="auto"/>
              <w:rPr>
                <w:rFonts w:cs="Calibri"/>
                <w:sz w:val="20"/>
                <w:szCs w:val="20"/>
              </w:rPr>
            </w:pPr>
            <w:bookmarkStart w:id="2498" w:name="_Toc124956779"/>
            <w:r w:rsidRPr="00466BFF">
              <w:rPr>
                <w:rFonts w:cs="Calibri"/>
                <w:sz w:val="20"/>
                <w:szCs w:val="20"/>
              </w:rPr>
              <w:t>Taolagnaro</w:t>
            </w:r>
            <w:bookmarkEnd w:id="2498"/>
          </w:p>
        </w:tc>
      </w:tr>
      <w:tr w:rsidR="00C21029" w:rsidRPr="007F78CE" w14:paraId="360B735B" w14:textId="77777777" w:rsidTr="00D12C6F">
        <w:trPr>
          <w:trHeight w:val="290"/>
        </w:trPr>
        <w:tc>
          <w:tcPr>
            <w:tcW w:w="1054" w:type="pct"/>
            <w:vMerge w:val="restart"/>
            <w:shd w:val="clear" w:color="auto" w:fill="auto"/>
            <w:noWrap/>
            <w:hideMark/>
          </w:tcPr>
          <w:p w14:paraId="1C6A243C" w14:textId="77777777" w:rsidR="00C21029" w:rsidRPr="00B434A6" w:rsidRDefault="00C21029" w:rsidP="00E5387E">
            <w:pPr>
              <w:spacing w:after="0" w:line="240" w:lineRule="auto"/>
              <w:rPr>
                <w:sz w:val="20"/>
                <w:szCs w:val="20"/>
              </w:rPr>
            </w:pPr>
            <w:bookmarkStart w:id="2499" w:name="_Toc124956780"/>
            <w:r w:rsidRPr="00B434A6">
              <w:rPr>
                <w:sz w:val="20"/>
                <w:szCs w:val="20"/>
              </w:rPr>
              <w:t>ATSINANANA</w:t>
            </w:r>
            <w:bookmarkEnd w:id="2499"/>
          </w:p>
        </w:tc>
        <w:tc>
          <w:tcPr>
            <w:tcW w:w="3946" w:type="pct"/>
            <w:gridSpan w:val="3"/>
            <w:shd w:val="clear" w:color="auto" w:fill="auto"/>
            <w:noWrap/>
            <w:hideMark/>
          </w:tcPr>
          <w:p w14:paraId="2EFCDF33" w14:textId="77777777" w:rsidR="00C21029" w:rsidRPr="00466BFF" w:rsidRDefault="00C21029" w:rsidP="00E5387E">
            <w:pPr>
              <w:spacing w:after="0" w:line="240" w:lineRule="auto"/>
              <w:rPr>
                <w:rFonts w:cs="Calibri"/>
                <w:sz w:val="20"/>
                <w:szCs w:val="20"/>
              </w:rPr>
            </w:pPr>
            <w:bookmarkStart w:id="2500" w:name="_Toc124956781"/>
            <w:r w:rsidRPr="00466BFF">
              <w:rPr>
                <w:rFonts w:cs="Calibri"/>
                <w:sz w:val="20"/>
                <w:szCs w:val="20"/>
              </w:rPr>
              <w:t>ADDH/ONG</w:t>
            </w:r>
            <w:bookmarkEnd w:id="2500"/>
          </w:p>
        </w:tc>
      </w:tr>
      <w:tr w:rsidR="00C21029" w:rsidRPr="007F78CE" w14:paraId="1EC1B54F" w14:textId="77777777" w:rsidTr="00D12C6F">
        <w:trPr>
          <w:trHeight w:val="290"/>
        </w:trPr>
        <w:tc>
          <w:tcPr>
            <w:tcW w:w="1054" w:type="pct"/>
            <w:vMerge/>
            <w:shd w:val="clear" w:color="auto" w:fill="auto"/>
            <w:hideMark/>
          </w:tcPr>
          <w:p w14:paraId="70553D00"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11122C21" w14:textId="77777777" w:rsidR="00C21029" w:rsidRPr="00466BFF" w:rsidRDefault="00C21029" w:rsidP="00E5387E">
            <w:pPr>
              <w:spacing w:after="0" w:line="240" w:lineRule="auto"/>
              <w:rPr>
                <w:rFonts w:cs="Calibri"/>
                <w:sz w:val="20"/>
                <w:szCs w:val="20"/>
              </w:rPr>
            </w:pPr>
            <w:bookmarkStart w:id="2501" w:name="_Toc124956782"/>
            <w:r w:rsidRPr="00466BFF">
              <w:rPr>
                <w:rFonts w:cs="Calibri"/>
                <w:sz w:val="20"/>
                <w:szCs w:val="20"/>
              </w:rPr>
              <w:t>SOS Village d'Enfants</w:t>
            </w:r>
            <w:bookmarkEnd w:id="2501"/>
          </w:p>
        </w:tc>
        <w:tc>
          <w:tcPr>
            <w:tcW w:w="692" w:type="pct"/>
            <w:shd w:val="clear" w:color="auto" w:fill="auto"/>
            <w:noWrap/>
            <w:hideMark/>
          </w:tcPr>
          <w:p w14:paraId="01339CAC" w14:textId="77777777" w:rsidR="00C21029" w:rsidRPr="00466BFF" w:rsidRDefault="00C21029" w:rsidP="00E5387E">
            <w:pPr>
              <w:spacing w:after="0" w:line="240" w:lineRule="auto"/>
              <w:rPr>
                <w:rFonts w:cs="Calibri"/>
                <w:sz w:val="20"/>
                <w:szCs w:val="20"/>
              </w:rPr>
            </w:pPr>
            <w:bookmarkStart w:id="2502" w:name="_Toc124956783"/>
            <w:r w:rsidRPr="00466BFF">
              <w:rPr>
                <w:rFonts w:cs="Calibri"/>
                <w:sz w:val="20"/>
                <w:szCs w:val="20"/>
              </w:rPr>
              <w:t>0324037353</w:t>
            </w:r>
            <w:bookmarkEnd w:id="2502"/>
          </w:p>
        </w:tc>
        <w:tc>
          <w:tcPr>
            <w:tcW w:w="1552" w:type="pct"/>
            <w:shd w:val="clear" w:color="auto" w:fill="auto"/>
            <w:hideMark/>
          </w:tcPr>
          <w:p w14:paraId="340E2C2E" w14:textId="77777777" w:rsidR="00C21029" w:rsidRPr="00466BFF" w:rsidRDefault="00C21029" w:rsidP="00E5387E">
            <w:pPr>
              <w:spacing w:after="0" w:line="240" w:lineRule="auto"/>
              <w:rPr>
                <w:rFonts w:cs="Calibri"/>
                <w:sz w:val="20"/>
                <w:szCs w:val="20"/>
              </w:rPr>
            </w:pPr>
            <w:bookmarkStart w:id="2503" w:name="_Toc124956784"/>
            <w:r w:rsidRPr="00466BFF">
              <w:rPr>
                <w:rFonts w:cs="Calibri"/>
                <w:sz w:val="20"/>
                <w:szCs w:val="20"/>
              </w:rPr>
              <w:t>Mangarano Toamasina I</w:t>
            </w:r>
            <w:bookmarkEnd w:id="2503"/>
          </w:p>
        </w:tc>
      </w:tr>
      <w:tr w:rsidR="00C21029" w:rsidRPr="00160FB0" w14:paraId="62049D4B" w14:textId="77777777" w:rsidTr="00D12C6F">
        <w:trPr>
          <w:trHeight w:val="580"/>
        </w:trPr>
        <w:tc>
          <w:tcPr>
            <w:tcW w:w="1054" w:type="pct"/>
            <w:vMerge/>
            <w:shd w:val="clear" w:color="auto" w:fill="auto"/>
            <w:hideMark/>
          </w:tcPr>
          <w:p w14:paraId="08555974" w14:textId="77777777" w:rsidR="00C21029" w:rsidRPr="00B434A6" w:rsidRDefault="00C21029" w:rsidP="00E5387E">
            <w:pPr>
              <w:spacing w:after="0" w:line="240" w:lineRule="auto"/>
              <w:rPr>
                <w:sz w:val="20"/>
                <w:szCs w:val="20"/>
              </w:rPr>
            </w:pPr>
          </w:p>
        </w:tc>
        <w:tc>
          <w:tcPr>
            <w:tcW w:w="1702" w:type="pct"/>
            <w:shd w:val="clear" w:color="auto" w:fill="auto"/>
            <w:noWrap/>
            <w:hideMark/>
          </w:tcPr>
          <w:p w14:paraId="4D556662" w14:textId="77777777" w:rsidR="00C21029" w:rsidRPr="00466BFF" w:rsidRDefault="00C21029" w:rsidP="00E5387E">
            <w:pPr>
              <w:spacing w:after="0" w:line="240" w:lineRule="auto"/>
              <w:rPr>
                <w:rFonts w:cs="Calibri"/>
                <w:sz w:val="20"/>
                <w:szCs w:val="20"/>
              </w:rPr>
            </w:pPr>
            <w:bookmarkStart w:id="2504" w:name="_Toc124956785"/>
            <w:r w:rsidRPr="00466BFF">
              <w:rPr>
                <w:rFonts w:cs="Calibri"/>
                <w:sz w:val="20"/>
                <w:szCs w:val="20"/>
              </w:rPr>
              <w:t>Light and love home</w:t>
            </w:r>
            <w:bookmarkEnd w:id="2504"/>
          </w:p>
        </w:tc>
        <w:tc>
          <w:tcPr>
            <w:tcW w:w="692" w:type="pct"/>
            <w:shd w:val="clear" w:color="auto" w:fill="auto"/>
            <w:noWrap/>
            <w:hideMark/>
          </w:tcPr>
          <w:p w14:paraId="60459860" w14:textId="77777777" w:rsidR="00C21029" w:rsidRPr="00466BFF" w:rsidRDefault="00C21029" w:rsidP="00E5387E">
            <w:pPr>
              <w:spacing w:after="0" w:line="240" w:lineRule="auto"/>
              <w:rPr>
                <w:rFonts w:cs="Calibri"/>
                <w:sz w:val="20"/>
                <w:szCs w:val="20"/>
              </w:rPr>
            </w:pPr>
            <w:bookmarkStart w:id="2505" w:name="_Toc124956786"/>
            <w:r w:rsidRPr="00466BFF">
              <w:rPr>
                <w:rFonts w:cs="Calibri"/>
                <w:sz w:val="20"/>
                <w:szCs w:val="20"/>
              </w:rPr>
              <w:t>0331272147</w:t>
            </w:r>
            <w:bookmarkEnd w:id="2505"/>
          </w:p>
        </w:tc>
        <w:tc>
          <w:tcPr>
            <w:tcW w:w="1552" w:type="pct"/>
            <w:shd w:val="clear" w:color="auto" w:fill="auto"/>
            <w:hideMark/>
          </w:tcPr>
          <w:p w14:paraId="68F38A11" w14:textId="77777777" w:rsidR="00C21029" w:rsidRPr="00466BFF" w:rsidRDefault="00C21029" w:rsidP="00E5387E">
            <w:pPr>
              <w:spacing w:after="0" w:line="240" w:lineRule="auto"/>
              <w:rPr>
                <w:rFonts w:cs="Calibri"/>
                <w:sz w:val="20"/>
                <w:szCs w:val="20"/>
                <w:lang w:val="en-US"/>
              </w:rPr>
            </w:pPr>
            <w:bookmarkStart w:id="2506" w:name="_Toc124956787"/>
            <w:r w:rsidRPr="00466BFF">
              <w:rPr>
                <w:rFonts w:cs="Calibri"/>
                <w:sz w:val="20"/>
                <w:szCs w:val="20"/>
                <w:lang w:val="en-US"/>
              </w:rPr>
              <w:t>Rue Pasteur RABE Salazamay Toamasina I</w:t>
            </w:r>
            <w:bookmarkEnd w:id="2506"/>
          </w:p>
        </w:tc>
      </w:tr>
      <w:tr w:rsidR="00C21029" w:rsidRPr="007F78CE" w14:paraId="379B0A23" w14:textId="77777777" w:rsidTr="00D12C6F">
        <w:trPr>
          <w:trHeight w:val="580"/>
        </w:trPr>
        <w:tc>
          <w:tcPr>
            <w:tcW w:w="1054" w:type="pct"/>
            <w:vMerge/>
            <w:shd w:val="clear" w:color="auto" w:fill="auto"/>
            <w:hideMark/>
          </w:tcPr>
          <w:p w14:paraId="66132E65" w14:textId="77777777" w:rsidR="00C21029" w:rsidRPr="00B434A6" w:rsidRDefault="00C21029" w:rsidP="00E5387E">
            <w:pPr>
              <w:spacing w:after="0" w:line="240" w:lineRule="auto"/>
              <w:rPr>
                <w:sz w:val="20"/>
                <w:szCs w:val="20"/>
                <w:lang w:val="en-US"/>
              </w:rPr>
            </w:pPr>
          </w:p>
        </w:tc>
        <w:tc>
          <w:tcPr>
            <w:tcW w:w="1702" w:type="pct"/>
            <w:shd w:val="clear" w:color="auto" w:fill="auto"/>
            <w:noWrap/>
            <w:hideMark/>
          </w:tcPr>
          <w:p w14:paraId="08E7C4F7" w14:textId="77777777" w:rsidR="00C21029" w:rsidRPr="00466BFF" w:rsidRDefault="00C21029" w:rsidP="00E5387E">
            <w:pPr>
              <w:spacing w:after="0" w:line="240" w:lineRule="auto"/>
              <w:rPr>
                <w:rFonts w:cs="Calibri"/>
                <w:sz w:val="20"/>
                <w:szCs w:val="20"/>
              </w:rPr>
            </w:pPr>
            <w:bookmarkStart w:id="2507" w:name="_Toc124956788"/>
            <w:r w:rsidRPr="00466BFF">
              <w:rPr>
                <w:rFonts w:cs="Calibri"/>
                <w:sz w:val="20"/>
                <w:szCs w:val="20"/>
              </w:rPr>
              <w:t>Ankany Mandresy</w:t>
            </w:r>
            <w:bookmarkEnd w:id="2507"/>
          </w:p>
        </w:tc>
        <w:tc>
          <w:tcPr>
            <w:tcW w:w="692" w:type="pct"/>
            <w:shd w:val="clear" w:color="auto" w:fill="auto"/>
            <w:noWrap/>
            <w:hideMark/>
          </w:tcPr>
          <w:p w14:paraId="3E7BFD44" w14:textId="77777777" w:rsidR="00C21029" w:rsidRPr="00466BFF" w:rsidRDefault="00C21029" w:rsidP="00E5387E">
            <w:pPr>
              <w:spacing w:after="0" w:line="240" w:lineRule="auto"/>
              <w:rPr>
                <w:rFonts w:cs="Calibri"/>
                <w:sz w:val="20"/>
                <w:szCs w:val="20"/>
              </w:rPr>
            </w:pPr>
            <w:bookmarkStart w:id="2508" w:name="_Toc124956789"/>
            <w:r w:rsidRPr="00466BFF">
              <w:rPr>
                <w:rFonts w:cs="Calibri"/>
                <w:sz w:val="20"/>
                <w:szCs w:val="20"/>
              </w:rPr>
              <w:t>0324805807</w:t>
            </w:r>
            <w:bookmarkEnd w:id="2508"/>
          </w:p>
        </w:tc>
        <w:tc>
          <w:tcPr>
            <w:tcW w:w="1552" w:type="pct"/>
            <w:shd w:val="clear" w:color="auto" w:fill="auto"/>
            <w:hideMark/>
          </w:tcPr>
          <w:p w14:paraId="35AFE2C2" w14:textId="77777777" w:rsidR="00C21029" w:rsidRPr="00466BFF" w:rsidRDefault="00C21029" w:rsidP="00E5387E">
            <w:pPr>
              <w:spacing w:after="0" w:line="240" w:lineRule="auto"/>
              <w:rPr>
                <w:rFonts w:cs="Calibri"/>
                <w:sz w:val="20"/>
                <w:szCs w:val="20"/>
              </w:rPr>
            </w:pPr>
            <w:bookmarkStart w:id="2509" w:name="_Toc124956790"/>
            <w:r w:rsidRPr="00466BFF">
              <w:rPr>
                <w:rFonts w:cs="Calibri"/>
                <w:sz w:val="20"/>
                <w:szCs w:val="20"/>
              </w:rPr>
              <w:t>63 Parcelle 13/75 Tanambao V Toamasina I</w:t>
            </w:r>
            <w:bookmarkEnd w:id="2509"/>
          </w:p>
        </w:tc>
      </w:tr>
    </w:tbl>
    <w:p w14:paraId="51E0BC80" w14:textId="77777777" w:rsidR="00C21029" w:rsidRPr="00B434A6" w:rsidRDefault="00C21029" w:rsidP="00C21029">
      <w:pPr>
        <w:spacing w:after="0"/>
        <w:rPr>
          <w:rFonts w:cs="Cambria"/>
          <w:color w:val="212121"/>
          <w:sz w:val="20"/>
          <w:szCs w:val="20"/>
        </w:rPr>
      </w:pPr>
      <w:r w:rsidRPr="00B434A6">
        <w:rPr>
          <w:rFonts w:cs="Cambria"/>
          <w:sz w:val="20"/>
          <w:szCs w:val="20"/>
        </w:rPr>
        <w:t>Source: Banque mondiale, 2020</w:t>
      </w:r>
    </w:p>
    <w:p w14:paraId="35AC67E5" w14:textId="77777777" w:rsidR="00C21029" w:rsidRPr="001D5885" w:rsidRDefault="00C21029" w:rsidP="00C21029">
      <w:pPr>
        <w:autoSpaceDE w:val="0"/>
        <w:autoSpaceDN w:val="0"/>
        <w:adjustRightInd w:val="0"/>
        <w:spacing w:after="0"/>
      </w:pPr>
    </w:p>
    <w:p w14:paraId="321A9D86" w14:textId="77777777" w:rsidR="00C21029" w:rsidRPr="00050138" w:rsidRDefault="00C21029" w:rsidP="00C21029">
      <w:pPr>
        <w:spacing w:after="0"/>
        <w:rPr>
          <w:b/>
          <w:u w:val="single"/>
        </w:rPr>
      </w:pPr>
      <w:r w:rsidRPr="00050138">
        <w:rPr>
          <w:b/>
          <w:u w:val="single"/>
        </w:rPr>
        <w:t>Service d’accompagnement juridique</w:t>
      </w:r>
    </w:p>
    <w:p w14:paraId="4219F5A5" w14:textId="77777777" w:rsidR="00C21029" w:rsidRPr="001D5885" w:rsidRDefault="00C21029" w:rsidP="00C21029">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3264"/>
        <w:gridCol w:w="1230"/>
        <w:gridCol w:w="2398"/>
      </w:tblGrid>
      <w:tr w:rsidR="00C21029" w:rsidRPr="007F78CE" w14:paraId="10953E7A" w14:textId="77777777" w:rsidTr="00B434A6">
        <w:trPr>
          <w:trHeight w:val="290"/>
          <w:tblHeader/>
        </w:trPr>
        <w:tc>
          <w:tcPr>
            <w:tcW w:w="1196" w:type="pct"/>
            <w:shd w:val="clear" w:color="auto" w:fill="auto"/>
            <w:noWrap/>
            <w:hideMark/>
          </w:tcPr>
          <w:p w14:paraId="78F19E38" w14:textId="77777777" w:rsidR="00C21029" w:rsidRPr="00B434A6" w:rsidRDefault="00C21029" w:rsidP="00E5387E">
            <w:pPr>
              <w:spacing w:after="0" w:line="240" w:lineRule="auto"/>
              <w:rPr>
                <w:rFonts w:cs="Cambria"/>
                <w:b/>
                <w:color w:val="212121"/>
                <w:sz w:val="20"/>
                <w:szCs w:val="20"/>
              </w:rPr>
            </w:pPr>
            <w:r w:rsidRPr="00B434A6">
              <w:rPr>
                <w:rFonts w:cs="Cambria"/>
                <w:b/>
                <w:color w:val="212121"/>
                <w:sz w:val="20"/>
                <w:szCs w:val="20"/>
              </w:rPr>
              <w:t>REGION</w:t>
            </w:r>
          </w:p>
        </w:tc>
        <w:tc>
          <w:tcPr>
            <w:tcW w:w="1831" w:type="pct"/>
            <w:shd w:val="clear" w:color="auto" w:fill="auto"/>
            <w:noWrap/>
            <w:hideMark/>
          </w:tcPr>
          <w:p w14:paraId="684FBE08" w14:textId="77777777" w:rsidR="00C21029" w:rsidRPr="00B434A6" w:rsidRDefault="00C21029" w:rsidP="00E5387E">
            <w:pPr>
              <w:spacing w:after="0" w:line="240" w:lineRule="auto"/>
              <w:rPr>
                <w:rFonts w:cs="Cambria"/>
                <w:b/>
                <w:color w:val="212121"/>
                <w:sz w:val="20"/>
                <w:szCs w:val="20"/>
              </w:rPr>
            </w:pPr>
            <w:r w:rsidRPr="00B434A6">
              <w:rPr>
                <w:rFonts w:cs="Cambria"/>
                <w:b/>
                <w:color w:val="212121"/>
                <w:sz w:val="20"/>
                <w:szCs w:val="20"/>
              </w:rPr>
              <w:t>CENTRE DE PRISE EN CHARGE</w:t>
            </w:r>
          </w:p>
        </w:tc>
        <w:tc>
          <w:tcPr>
            <w:tcW w:w="620" w:type="pct"/>
            <w:shd w:val="clear" w:color="auto" w:fill="auto"/>
            <w:noWrap/>
            <w:hideMark/>
          </w:tcPr>
          <w:p w14:paraId="563A2421" w14:textId="77777777" w:rsidR="00C21029" w:rsidRPr="00B434A6" w:rsidRDefault="00C21029" w:rsidP="00E5387E">
            <w:pPr>
              <w:spacing w:after="0" w:line="240" w:lineRule="auto"/>
              <w:rPr>
                <w:rFonts w:cs="Cambria"/>
                <w:b/>
                <w:color w:val="212121"/>
                <w:sz w:val="20"/>
                <w:szCs w:val="20"/>
              </w:rPr>
            </w:pPr>
            <w:r w:rsidRPr="00B434A6">
              <w:rPr>
                <w:rFonts w:cs="Cambria"/>
                <w:b/>
                <w:color w:val="212121"/>
                <w:sz w:val="20"/>
                <w:szCs w:val="20"/>
              </w:rPr>
              <w:t>CONTACT</w:t>
            </w:r>
          </w:p>
        </w:tc>
        <w:tc>
          <w:tcPr>
            <w:tcW w:w="1353" w:type="pct"/>
            <w:shd w:val="clear" w:color="auto" w:fill="auto"/>
            <w:hideMark/>
          </w:tcPr>
          <w:p w14:paraId="0F88DD0F" w14:textId="77777777" w:rsidR="00C21029" w:rsidRPr="00B434A6" w:rsidRDefault="00C21029" w:rsidP="00E5387E">
            <w:pPr>
              <w:spacing w:after="0" w:line="240" w:lineRule="auto"/>
              <w:rPr>
                <w:rFonts w:cs="Cambria"/>
                <w:b/>
                <w:color w:val="212121"/>
                <w:sz w:val="20"/>
                <w:szCs w:val="20"/>
              </w:rPr>
            </w:pPr>
            <w:r w:rsidRPr="00B434A6">
              <w:rPr>
                <w:rFonts w:cs="Cambria"/>
                <w:b/>
                <w:color w:val="212121"/>
                <w:sz w:val="20"/>
                <w:szCs w:val="20"/>
              </w:rPr>
              <w:t>LOCALISATION</w:t>
            </w:r>
          </w:p>
        </w:tc>
      </w:tr>
      <w:tr w:rsidR="00C21029" w:rsidRPr="007F78CE" w14:paraId="30623620" w14:textId="77777777" w:rsidTr="00B434A6">
        <w:trPr>
          <w:trHeight w:val="290"/>
        </w:trPr>
        <w:tc>
          <w:tcPr>
            <w:tcW w:w="1196" w:type="pct"/>
            <w:vMerge w:val="restart"/>
            <w:shd w:val="clear" w:color="auto" w:fill="auto"/>
            <w:noWrap/>
            <w:hideMark/>
          </w:tcPr>
          <w:p w14:paraId="488A805F" w14:textId="77777777" w:rsidR="00C21029" w:rsidRPr="00B434A6" w:rsidRDefault="00C21029" w:rsidP="00E5387E">
            <w:pPr>
              <w:spacing w:after="0" w:line="240" w:lineRule="auto"/>
              <w:rPr>
                <w:rFonts w:cs="Cambria"/>
                <w:color w:val="212121"/>
                <w:sz w:val="20"/>
                <w:szCs w:val="20"/>
              </w:rPr>
            </w:pPr>
            <w:r w:rsidRPr="00B434A6">
              <w:rPr>
                <w:rFonts w:cs="Cambria"/>
                <w:color w:val="212121"/>
                <w:sz w:val="20"/>
                <w:szCs w:val="20"/>
              </w:rPr>
              <w:t>ANALAMANGA</w:t>
            </w:r>
          </w:p>
        </w:tc>
        <w:tc>
          <w:tcPr>
            <w:tcW w:w="3804" w:type="pct"/>
            <w:gridSpan w:val="3"/>
            <w:shd w:val="clear" w:color="auto" w:fill="auto"/>
            <w:noWrap/>
            <w:hideMark/>
          </w:tcPr>
          <w:p w14:paraId="046BA33E" w14:textId="77777777" w:rsidR="00C21029" w:rsidRPr="00466BFF" w:rsidRDefault="00C21029" w:rsidP="00E5387E">
            <w:pPr>
              <w:spacing w:after="0" w:line="240" w:lineRule="auto"/>
              <w:rPr>
                <w:rFonts w:cs="Calibri"/>
                <w:sz w:val="20"/>
                <w:szCs w:val="20"/>
              </w:rPr>
            </w:pPr>
            <w:bookmarkStart w:id="2510" w:name="_Toc124956791"/>
            <w:r w:rsidRPr="00466BFF">
              <w:rPr>
                <w:rFonts w:cs="Calibri"/>
                <w:sz w:val="20"/>
                <w:szCs w:val="20"/>
              </w:rPr>
              <w:t>Service Public</w:t>
            </w:r>
            <w:bookmarkEnd w:id="2510"/>
          </w:p>
        </w:tc>
      </w:tr>
      <w:tr w:rsidR="00C21029" w:rsidRPr="007F78CE" w14:paraId="0B30F19B" w14:textId="77777777" w:rsidTr="00B434A6">
        <w:trPr>
          <w:trHeight w:val="290"/>
        </w:trPr>
        <w:tc>
          <w:tcPr>
            <w:tcW w:w="1196" w:type="pct"/>
            <w:vMerge/>
            <w:shd w:val="clear" w:color="auto" w:fill="auto"/>
            <w:hideMark/>
          </w:tcPr>
          <w:p w14:paraId="42C330BB"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55315E3C" w14:textId="77777777" w:rsidR="00C21029" w:rsidRPr="00466BFF" w:rsidRDefault="00C21029" w:rsidP="00E5387E">
            <w:pPr>
              <w:spacing w:after="0" w:line="240" w:lineRule="auto"/>
              <w:rPr>
                <w:rFonts w:cs="Calibri"/>
                <w:sz w:val="20"/>
                <w:szCs w:val="20"/>
              </w:rPr>
            </w:pPr>
            <w:bookmarkStart w:id="2511" w:name="_Toc124956792"/>
            <w:r w:rsidRPr="00466BFF">
              <w:rPr>
                <w:rFonts w:cs="Calibri"/>
                <w:sz w:val="20"/>
                <w:szCs w:val="20"/>
              </w:rPr>
              <w:t>Police Nationale: DPMPM</w:t>
            </w:r>
            <w:bookmarkEnd w:id="2511"/>
          </w:p>
        </w:tc>
        <w:tc>
          <w:tcPr>
            <w:tcW w:w="620" w:type="pct"/>
            <w:shd w:val="clear" w:color="auto" w:fill="auto"/>
            <w:noWrap/>
            <w:hideMark/>
          </w:tcPr>
          <w:p w14:paraId="61F8F7A4" w14:textId="77777777" w:rsidR="00C21029" w:rsidRPr="00466BFF" w:rsidRDefault="00C21029" w:rsidP="00E5387E">
            <w:pPr>
              <w:spacing w:after="0" w:line="240" w:lineRule="auto"/>
              <w:rPr>
                <w:rFonts w:cs="Calibri"/>
                <w:sz w:val="20"/>
                <w:szCs w:val="20"/>
              </w:rPr>
            </w:pPr>
            <w:bookmarkStart w:id="2512" w:name="_Toc124956793"/>
            <w:r w:rsidRPr="00466BFF">
              <w:rPr>
                <w:rFonts w:cs="Calibri"/>
                <w:sz w:val="20"/>
                <w:szCs w:val="20"/>
              </w:rPr>
              <w:t>0340570336</w:t>
            </w:r>
            <w:bookmarkEnd w:id="2512"/>
          </w:p>
        </w:tc>
        <w:tc>
          <w:tcPr>
            <w:tcW w:w="1353" w:type="pct"/>
            <w:shd w:val="clear" w:color="auto" w:fill="auto"/>
            <w:hideMark/>
          </w:tcPr>
          <w:p w14:paraId="2741323C" w14:textId="77777777" w:rsidR="00C21029" w:rsidRPr="00466BFF" w:rsidRDefault="00C21029" w:rsidP="00E5387E">
            <w:pPr>
              <w:spacing w:after="0" w:line="240" w:lineRule="auto"/>
              <w:rPr>
                <w:rFonts w:cs="Calibri"/>
                <w:sz w:val="20"/>
                <w:szCs w:val="20"/>
              </w:rPr>
            </w:pPr>
            <w:bookmarkStart w:id="2513" w:name="_Toc124956794"/>
            <w:r w:rsidRPr="00466BFF">
              <w:rPr>
                <w:rFonts w:cs="Calibri"/>
                <w:sz w:val="20"/>
                <w:szCs w:val="20"/>
              </w:rPr>
              <w:t>Anosy Antananarivo ville</w:t>
            </w:r>
            <w:bookmarkEnd w:id="2513"/>
          </w:p>
        </w:tc>
      </w:tr>
      <w:tr w:rsidR="00C21029" w:rsidRPr="007F78CE" w14:paraId="1F82A8D2" w14:textId="77777777" w:rsidTr="00B434A6">
        <w:trPr>
          <w:trHeight w:val="870"/>
        </w:trPr>
        <w:tc>
          <w:tcPr>
            <w:tcW w:w="1196" w:type="pct"/>
            <w:vMerge/>
            <w:shd w:val="clear" w:color="auto" w:fill="auto"/>
            <w:hideMark/>
          </w:tcPr>
          <w:p w14:paraId="6FB1778F"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0644A842" w14:textId="77777777" w:rsidR="00C21029" w:rsidRPr="00466BFF" w:rsidRDefault="00C21029" w:rsidP="00E5387E">
            <w:pPr>
              <w:spacing w:after="0" w:line="240" w:lineRule="auto"/>
              <w:rPr>
                <w:rFonts w:cs="Calibri"/>
                <w:sz w:val="20"/>
                <w:szCs w:val="20"/>
              </w:rPr>
            </w:pPr>
            <w:bookmarkStart w:id="2514" w:name="_Toc124956795"/>
            <w:r w:rsidRPr="00466BFF">
              <w:rPr>
                <w:rFonts w:cs="Calibri"/>
                <w:sz w:val="20"/>
                <w:szCs w:val="20"/>
              </w:rPr>
              <w:t>Gendarmerie Nationale: SPEM</w:t>
            </w:r>
            <w:bookmarkEnd w:id="2514"/>
          </w:p>
        </w:tc>
        <w:tc>
          <w:tcPr>
            <w:tcW w:w="620" w:type="pct"/>
            <w:shd w:val="clear" w:color="auto" w:fill="auto"/>
            <w:noWrap/>
            <w:hideMark/>
          </w:tcPr>
          <w:p w14:paraId="12F79078" w14:textId="77777777" w:rsidR="00C21029" w:rsidRPr="00466BFF" w:rsidRDefault="00C21029" w:rsidP="00E5387E">
            <w:pPr>
              <w:spacing w:after="0" w:line="240" w:lineRule="auto"/>
              <w:rPr>
                <w:rFonts w:cs="Calibri"/>
                <w:sz w:val="20"/>
                <w:szCs w:val="20"/>
              </w:rPr>
            </w:pPr>
            <w:bookmarkStart w:id="2515" w:name="_Toc124956796"/>
            <w:r w:rsidRPr="00466BFF">
              <w:rPr>
                <w:rFonts w:cs="Calibri"/>
                <w:sz w:val="20"/>
                <w:szCs w:val="20"/>
              </w:rPr>
              <w:t>0341400623</w:t>
            </w:r>
            <w:bookmarkEnd w:id="2515"/>
          </w:p>
        </w:tc>
        <w:tc>
          <w:tcPr>
            <w:tcW w:w="1353" w:type="pct"/>
            <w:shd w:val="clear" w:color="auto" w:fill="auto"/>
            <w:hideMark/>
          </w:tcPr>
          <w:p w14:paraId="3E6E10AE" w14:textId="77777777" w:rsidR="00C21029" w:rsidRPr="00466BFF" w:rsidRDefault="00C21029" w:rsidP="00E5387E">
            <w:pPr>
              <w:spacing w:after="0" w:line="240" w:lineRule="auto"/>
              <w:rPr>
                <w:rFonts w:cs="Calibri"/>
                <w:sz w:val="20"/>
                <w:szCs w:val="20"/>
              </w:rPr>
            </w:pPr>
            <w:bookmarkStart w:id="2516" w:name="_Toc124956797"/>
            <w:r w:rsidRPr="00466BFF">
              <w:rPr>
                <w:rFonts w:cs="Calibri"/>
                <w:sz w:val="20"/>
                <w:szCs w:val="20"/>
              </w:rPr>
              <w:t>Toby RATSIMANDRAVA Andrefan'Ambohijanahary Antananarivo ville</w:t>
            </w:r>
            <w:bookmarkEnd w:id="2516"/>
          </w:p>
        </w:tc>
      </w:tr>
      <w:tr w:rsidR="00C21029" w:rsidRPr="007F78CE" w14:paraId="6A7C5F30" w14:textId="77777777" w:rsidTr="00B434A6">
        <w:trPr>
          <w:trHeight w:val="290"/>
        </w:trPr>
        <w:tc>
          <w:tcPr>
            <w:tcW w:w="1196" w:type="pct"/>
            <w:vMerge/>
            <w:shd w:val="clear" w:color="auto" w:fill="auto"/>
            <w:hideMark/>
          </w:tcPr>
          <w:p w14:paraId="7293504F"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187CE69B" w14:textId="77777777" w:rsidR="00C21029" w:rsidRPr="00466BFF" w:rsidRDefault="00C21029" w:rsidP="00E5387E">
            <w:pPr>
              <w:spacing w:after="0" w:line="240" w:lineRule="auto"/>
              <w:rPr>
                <w:rFonts w:cs="Calibri"/>
                <w:sz w:val="20"/>
                <w:szCs w:val="20"/>
              </w:rPr>
            </w:pPr>
            <w:bookmarkStart w:id="2517" w:name="_Toc124956798"/>
            <w:r w:rsidRPr="00466BFF">
              <w:rPr>
                <w:rFonts w:cs="Calibri"/>
                <w:sz w:val="20"/>
                <w:szCs w:val="20"/>
              </w:rPr>
              <w:t>Tribunal de Première Instance</w:t>
            </w:r>
            <w:bookmarkEnd w:id="2517"/>
          </w:p>
        </w:tc>
        <w:tc>
          <w:tcPr>
            <w:tcW w:w="620" w:type="pct"/>
            <w:shd w:val="clear" w:color="auto" w:fill="auto"/>
            <w:noWrap/>
            <w:hideMark/>
          </w:tcPr>
          <w:p w14:paraId="0AA77E30"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56A09B8D" w14:textId="77777777" w:rsidR="00C21029" w:rsidRPr="00466BFF" w:rsidRDefault="00C21029" w:rsidP="00E5387E">
            <w:pPr>
              <w:spacing w:after="0" w:line="240" w:lineRule="auto"/>
              <w:rPr>
                <w:rFonts w:cs="Calibri"/>
                <w:sz w:val="20"/>
                <w:szCs w:val="20"/>
              </w:rPr>
            </w:pPr>
            <w:bookmarkStart w:id="2518" w:name="_Toc124956799"/>
            <w:r w:rsidRPr="00466BFF">
              <w:rPr>
                <w:rFonts w:cs="Calibri"/>
                <w:sz w:val="20"/>
                <w:szCs w:val="20"/>
              </w:rPr>
              <w:t>Anosy Antananarivo ville</w:t>
            </w:r>
            <w:bookmarkEnd w:id="2518"/>
          </w:p>
        </w:tc>
      </w:tr>
      <w:tr w:rsidR="00C21029" w:rsidRPr="007F78CE" w14:paraId="6055F982" w14:textId="77777777" w:rsidTr="00B434A6">
        <w:trPr>
          <w:trHeight w:val="290"/>
        </w:trPr>
        <w:tc>
          <w:tcPr>
            <w:tcW w:w="1196" w:type="pct"/>
            <w:vMerge/>
            <w:shd w:val="clear" w:color="auto" w:fill="auto"/>
            <w:hideMark/>
          </w:tcPr>
          <w:p w14:paraId="405CB504"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3F99289B" w14:textId="77777777" w:rsidR="00C21029" w:rsidRPr="00466BFF" w:rsidRDefault="00C21029" w:rsidP="00E5387E">
            <w:pPr>
              <w:spacing w:after="0" w:line="240" w:lineRule="auto"/>
              <w:rPr>
                <w:rFonts w:cs="Calibri"/>
                <w:sz w:val="20"/>
                <w:szCs w:val="20"/>
              </w:rPr>
            </w:pPr>
            <w:bookmarkStart w:id="2519" w:name="_Toc124956800"/>
            <w:r w:rsidRPr="00466BFF">
              <w:rPr>
                <w:rFonts w:cs="Calibri"/>
                <w:sz w:val="20"/>
                <w:szCs w:val="20"/>
              </w:rPr>
              <w:t>Tribunal de Première Instance</w:t>
            </w:r>
            <w:bookmarkEnd w:id="2519"/>
          </w:p>
        </w:tc>
        <w:tc>
          <w:tcPr>
            <w:tcW w:w="620" w:type="pct"/>
            <w:shd w:val="clear" w:color="auto" w:fill="auto"/>
            <w:noWrap/>
            <w:hideMark/>
          </w:tcPr>
          <w:p w14:paraId="71B78717"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28C673D2" w14:textId="77777777" w:rsidR="00C21029" w:rsidRPr="00466BFF" w:rsidRDefault="00C21029" w:rsidP="00E5387E">
            <w:pPr>
              <w:spacing w:after="0" w:line="240" w:lineRule="auto"/>
              <w:rPr>
                <w:rFonts w:cs="Calibri"/>
                <w:sz w:val="20"/>
                <w:szCs w:val="20"/>
              </w:rPr>
            </w:pPr>
            <w:bookmarkStart w:id="2520" w:name="_Toc124956801"/>
            <w:r w:rsidRPr="00466BFF">
              <w:rPr>
                <w:rFonts w:cs="Calibri"/>
                <w:sz w:val="20"/>
                <w:szCs w:val="20"/>
              </w:rPr>
              <w:t>Ankazobe</w:t>
            </w:r>
            <w:bookmarkEnd w:id="2520"/>
          </w:p>
        </w:tc>
      </w:tr>
      <w:tr w:rsidR="00C21029" w:rsidRPr="007F78CE" w14:paraId="64612A09" w14:textId="77777777" w:rsidTr="00B434A6">
        <w:trPr>
          <w:trHeight w:val="290"/>
        </w:trPr>
        <w:tc>
          <w:tcPr>
            <w:tcW w:w="1196" w:type="pct"/>
            <w:vMerge/>
            <w:shd w:val="clear" w:color="auto" w:fill="auto"/>
            <w:hideMark/>
          </w:tcPr>
          <w:p w14:paraId="5D51CF3C"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268816ED" w14:textId="77777777" w:rsidR="00C21029" w:rsidRPr="00466BFF" w:rsidRDefault="00C21029" w:rsidP="00E5387E">
            <w:pPr>
              <w:spacing w:after="0" w:line="240" w:lineRule="auto"/>
              <w:rPr>
                <w:rFonts w:cs="Calibri"/>
                <w:sz w:val="20"/>
                <w:szCs w:val="20"/>
              </w:rPr>
            </w:pPr>
            <w:bookmarkStart w:id="2521" w:name="_Toc124956802"/>
            <w:r w:rsidRPr="00466BFF">
              <w:rPr>
                <w:rFonts w:cs="Calibri"/>
                <w:sz w:val="20"/>
                <w:szCs w:val="20"/>
              </w:rPr>
              <w:t>Partenariat Min Santé et ADDH/ONG</w:t>
            </w:r>
            <w:bookmarkEnd w:id="2521"/>
          </w:p>
        </w:tc>
        <w:tc>
          <w:tcPr>
            <w:tcW w:w="620" w:type="pct"/>
            <w:shd w:val="clear" w:color="auto" w:fill="auto"/>
          </w:tcPr>
          <w:p w14:paraId="4DE44BAD" w14:textId="77777777" w:rsidR="00C21029" w:rsidRPr="00466BFF" w:rsidRDefault="00C21029" w:rsidP="00E5387E">
            <w:pPr>
              <w:spacing w:after="0" w:line="240" w:lineRule="auto"/>
              <w:rPr>
                <w:rFonts w:cs="Calibri"/>
                <w:sz w:val="20"/>
                <w:szCs w:val="20"/>
              </w:rPr>
            </w:pPr>
          </w:p>
        </w:tc>
        <w:tc>
          <w:tcPr>
            <w:tcW w:w="1353" w:type="pct"/>
            <w:shd w:val="clear" w:color="auto" w:fill="auto"/>
          </w:tcPr>
          <w:p w14:paraId="4A3813EC" w14:textId="77777777" w:rsidR="00C21029" w:rsidRPr="00466BFF" w:rsidRDefault="00C21029" w:rsidP="00E5387E">
            <w:pPr>
              <w:spacing w:after="0" w:line="240" w:lineRule="auto"/>
              <w:rPr>
                <w:rFonts w:cs="Calibri"/>
                <w:sz w:val="20"/>
                <w:szCs w:val="20"/>
              </w:rPr>
            </w:pPr>
          </w:p>
        </w:tc>
      </w:tr>
      <w:tr w:rsidR="00C21029" w:rsidRPr="007F78CE" w14:paraId="5A50E76E" w14:textId="77777777" w:rsidTr="005C566E">
        <w:trPr>
          <w:trHeight w:val="916"/>
        </w:trPr>
        <w:tc>
          <w:tcPr>
            <w:tcW w:w="1196" w:type="pct"/>
            <w:vMerge/>
            <w:shd w:val="clear" w:color="auto" w:fill="auto"/>
            <w:hideMark/>
          </w:tcPr>
          <w:p w14:paraId="7E968B49"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706A5E90" w14:textId="77777777" w:rsidR="00C21029" w:rsidRPr="00466BFF" w:rsidRDefault="00C21029" w:rsidP="00E5387E">
            <w:pPr>
              <w:spacing w:after="0" w:line="240" w:lineRule="auto"/>
              <w:rPr>
                <w:rFonts w:cs="Calibri"/>
                <w:sz w:val="20"/>
                <w:szCs w:val="20"/>
              </w:rPr>
            </w:pPr>
            <w:bookmarkStart w:id="2522" w:name="_Toc124956803"/>
            <w:r w:rsidRPr="00466BFF">
              <w:rPr>
                <w:rFonts w:cs="Calibri"/>
                <w:sz w:val="20"/>
                <w:szCs w:val="20"/>
              </w:rPr>
              <w:t>Clinique Juridique/CDA</w:t>
            </w:r>
            <w:bookmarkEnd w:id="2522"/>
          </w:p>
        </w:tc>
        <w:tc>
          <w:tcPr>
            <w:tcW w:w="620" w:type="pct"/>
            <w:shd w:val="clear" w:color="auto" w:fill="auto"/>
            <w:noWrap/>
            <w:hideMark/>
          </w:tcPr>
          <w:p w14:paraId="3BBA9BA5" w14:textId="77777777" w:rsidR="00C21029" w:rsidRPr="00466BFF" w:rsidRDefault="00C21029" w:rsidP="00E5387E">
            <w:pPr>
              <w:spacing w:after="0" w:line="240" w:lineRule="auto"/>
              <w:rPr>
                <w:rFonts w:cs="Calibri"/>
                <w:sz w:val="20"/>
                <w:szCs w:val="20"/>
              </w:rPr>
            </w:pPr>
            <w:bookmarkStart w:id="2523" w:name="_Toc124956804"/>
            <w:r w:rsidRPr="00466BFF">
              <w:rPr>
                <w:rFonts w:cs="Calibri"/>
                <w:sz w:val="20"/>
                <w:szCs w:val="20"/>
              </w:rPr>
              <w:t>0202227307</w:t>
            </w:r>
            <w:bookmarkEnd w:id="2523"/>
          </w:p>
        </w:tc>
        <w:tc>
          <w:tcPr>
            <w:tcW w:w="1353" w:type="pct"/>
            <w:shd w:val="clear" w:color="auto" w:fill="auto"/>
            <w:hideMark/>
          </w:tcPr>
          <w:p w14:paraId="00F1E0FC" w14:textId="77777777" w:rsidR="00C21029" w:rsidRPr="00466BFF" w:rsidRDefault="00C21029" w:rsidP="00E5387E">
            <w:pPr>
              <w:spacing w:after="0" w:line="240" w:lineRule="auto"/>
              <w:rPr>
                <w:rFonts w:cs="Calibri"/>
                <w:sz w:val="20"/>
                <w:szCs w:val="20"/>
              </w:rPr>
            </w:pPr>
            <w:bookmarkStart w:id="2524" w:name="_Toc124956805"/>
            <w:r w:rsidRPr="00466BFF">
              <w:rPr>
                <w:rFonts w:cs="Calibri"/>
                <w:sz w:val="20"/>
                <w:szCs w:val="20"/>
              </w:rPr>
              <w:t>IVL 126 bis Andohatapenaka Antananarivo ville</w:t>
            </w:r>
            <w:bookmarkEnd w:id="2524"/>
          </w:p>
        </w:tc>
      </w:tr>
      <w:tr w:rsidR="00C21029" w:rsidRPr="007F78CE" w14:paraId="17B0876A" w14:textId="77777777" w:rsidTr="00B434A6">
        <w:trPr>
          <w:trHeight w:val="290"/>
        </w:trPr>
        <w:tc>
          <w:tcPr>
            <w:tcW w:w="1196" w:type="pct"/>
            <w:vMerge w:val="restart"/>
            <w:shd w:val="clear" w:color="auto" w:fill="auto"/>
            <w:noWrap/>
            <w:hideMark/>
          </w:tcPr>
          <w:p w14:paraId="6CCB5687" w14:textId="77777777" w:rsidR="00C21029" w:rsidRPr="00B434A6" w:rsidRDefault="00C21029" w:rsidP="00E5387E">
            <w:pPr>
              <w:spacing w:after="0" w:line="240" w:lineRule="auto"/>
              <w:rPr>
                <w:rFonts w:cs="Cambria"/>
                <w:color w:val="212121"/>
                <w:sz w:val="20"/>
                <w:szCs w:val="20"/>
              </w:rPr>
            </w:pPr>
            <w:r w:rsidRPr="00B434A6">
              <w:rPr>
                <w:rFonts w:cs="Cambria"/>
                <w:color w:val="212121"/>
                <w:sz w:val="20"/>
                <w:szCs w:val="20"/>
              </w:rPr>
              <w:t>VAKINA</w:t>
            </w:r>
            <w:r w:rsidR="006D5F22">
              <w:rPr>
                <w:rFonts w:cs="Cambria"/>
                <w:color w:val="212121"/>
                <w:sz w:val="20"/>
                <w:szCs w:val="20"/>
              </w:rPr>
              <w:t>N</w:t>
            </w:r>
            <w:r w:rsidRPr="00B434A6">
              <w:rPr>
                <w:rFonts w:cs="Cambria"/>
                <w:color w:val="212121"/>
                <w:sz w:val="20"/>
                <w:szCs w:val="20"/>
              </w:rPr>
              <w:t>KARATRA</w:t>
            </w:r>
          </w:p>
        </w:tc>
        <w:tc>
          <w:tcPr>
            <w:tcW w:w="3804" w:type="pct"/>
            <w:gridSpan w:val="3"/>
            <w:shd w:val="clear" w:color="auto" w:fill="auto"/>
            <w:noWrap/>
            <w:hideMark/>
          </w:tcPr>
          <w:p w14:paraId="4FC3701A" w14:textId="77777777" w:rsidR="00C21029" w:rsidRPr="00466BFF" w:rsidRDefault="00C21029" w:rsidP="00E5387E">
            <w:pPr>
              <w:spacing w:after="0" w:line="240" w:lineRule="auto"/>
              <w:rPr>
                <w:rFonts w:cs="Calibri"/>
                <w:sz w:val="20"/>
                <w:szCs w:val="20"/>
              </w:rPr>
            </w:pPr>
            <w:bookmarkStart w:id="2525" w:name="_Toc124956806"/>
            <w:r w:rsidRPr="00466BFF">
              <w:rPr>
                <w:rFonts w:cs="Calibri"/>
                <w:sz w:val="20"/>
                <w:szCs w:val="20"/>
              </w:rPr>
              <w:t>Service Public</w:t>
            </w:r>
            <w:bookmarkEnd w:id="2525"/>
          </w:p>
        </w:tc>
      </w:tr>
      <w:tr w:rsidR="00C21029" w:rsidRPr="007F78CE" w14:paraId="1AAABF8A" w14:textId="77777777" w:rsidTr="00B434A6">
        <w:trPr>
          <w:trHeight w:val="290"/>
        </w:trPr>
        <w:tc>
          <w:tcPr>
            <w:tcW w:w="1196" w:type="pct"/>
            <w:vMerge/>
            <w:shd w:val="clear" w:color="auto" w:fill="auto"/>
            <w:hideMark/>
          </w:tcPr>
          <w:p w14:paraId="6A47AB8C"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5A8D02FC" w14:textId="77777777" w:rsidR="00C21029" w:rsidRPr="00466BFF" w:rsidRDefault="00C21029" w:rsidP="00E5387E">
            <w:pPr>
              <w:spacing w:after="0" w:line="240" w:lineRule="auto"/>
              <w:rPr>
                <w:rFonts w:cs="Calibri"/>
                <w:sz w:val="20"/>
                <w:szCs w:val="20"/>
              </w:rPr>
            </w:pPr>
            <w:bookmarkStart w:id="2526" w:name="_Toc124956807"/>
            <w:r w:rsidRPr="00466BFF">
              <w:rPr>
                <w:rFonts w:cs="Calibri"/>
                <w:sz w:val="20"/>
                <w:szCs w:val="20"/>
              </w:rPr>
              <w:t>Police Nationale : BPMPM</w:t>
            </w:r>
            <w:bookmarkEnd w:id="2526"/>
          </w:p>
        </w:tc>
        <w:tc>
          <w:tcPr>
            <w:tcW w:w="620" w:type="pct"/>
            <w:shd w:val="clear" w:color="auto" w:fill="auto"/>
            <w:noWrap/>
            <w:hideMark/>
          </w:tcPr>
          <w:p w14:paraId="6EB85150" w14:textId="77777777" w:rsidR="00C21029" w:rsidRPr="00466BFF" w:rsidRDefault="00C21029" w:rsidP="00E5387E">
            <w:pPr>
              <w:spacing w:after="0" w:line="240" w:lineRule="auto"/>
              <w:rPr>
                <w:rFonts w:cs="Calibri"/>
                <w:sz w:val="20"/>
                <w:szCs w:val="20"/>
              </w:rPr>
            </w:pPr>
            <w:bookmarkStart w:id="2527" w:name="_Toc124956808"/>
            <w:r w:rsidRPr="00466BFF">
              <w:rPr>
                <w:rFonts w:cs="Calibri"/>
                <w:sz w:val="20"/>
                <w:szCs w:val="20"/>
              </w:rPr>
              <w:t>0330904509</w:t>
            </w:r>
            <w:bookmarkEnd w:id="2527"/>
          </w:p>
        </w:tc>
        <w:tc>
          <w:tcPr>
            <w:tcW w:w="1353" w:type="pct"/>
            <w:shd w:val="clear" w:color="auto" w:fill="auto"/>
            <w:hideMark/>
          </w:tcPr>
          <w:p w14:paraId="30146D1D" w14:textId="77777777" w:rsidR="00C21029" w:rsidRPr="00466BFF" w:rsidRDefault="00C21029" w:rsidP="00E5387E">
            <w:pPr>
              <w:spacing w:after="0" w:line="240" w:lineRule="auto"/>
              <w:rPr>
                <w:rFonts w:cs="Calibri"/>
                <w:sz w:val="20"/>
                <w:szCs w:val="20"/>
              </w:rPr>
            </w:pPr>
            <w:bookmarkStart w:id="2528" w:name="_Toc124956809"/>
            <w:r w:rsidRPr="00466BFF">
              <w:rPr>
                <w:rFonts w:cs="Calibri"/>
                <w:sz w:val="20"/>
                <w:szCs w:val="20"/>
              </w:rPr>
              <w:t>Antsirabe</w:t>
            </w:r>
            <w:bookmarkEnd w:id="2528"/>
          </w:p>
        </w:tc>
      </w:tr>
      <w:tr w:rsidR="00C21029" w:rsidRPr="007F78CE" w14:paraId="66FD3167" w14:textId="77777777" w:rsidTr="00B434A6">
        <w:trPr>
          <w:trHeight w:val="290"/>
        </w:trPr>
        <w:tc>
          <w:tcPr>
            <w:tcW w:w="1196" w:type="pct"/>
            <w:vMerge/>
            <w:shd w:val="clear" w:color="auto" w:fill="auto"/>
            <w:hideMark/>
          </w:tcPr>
          <w:p w14:paraId="2382C7FB"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6B3EC086" w14:textId="77777777" w:rsidR="00C21029" w:rsidRPr="00466BFF" w:rsidRDefault="00C21029" w:rsidP="00E5387E">
            <w:pPr>
              <w:spacing w:after="0" w:line="240" w:lineRule="auto"/>
              <w:rPr>
                <w:rFonts w:cs="Calibri"/>
                <w:sz w:val="20"/>
                <w:szCs w:val="20"/>
              </w:rPr>
            </w:pPr>
            <w:bookmarkStart w:id="2529" w:name="_Toc124956810"/>
            <w:r w:rsidRPr="00466BFF">
              <w:rPr>
                <w:rFonts w:cs="Calibri"/>
                <w:sz w:val="20"/>
                <w:szCs w:val="20"/>
              </w:rPr>
              <w:t>Gendarmerie Nationale : GAPJ</w:t>
            </w:r>
            <w:bookmarkEnd w:id="2529"/>
          </w:p>
        </w:tc>
        <w:tc>
          <w:tcPr>
            <w:tcW w:w="620" w:type="pct"/>
            <w:shd w:val="clear" w:color="auto" w:fill="auto"/>
            <w:noWrap/>
            <w:hideMark/>
          </w:tcPr>
          <w:p w14:paraId="616CB470" w14:textId="77777777" w:rsidR="00C21029" w:rsidRPr="00466BFF" w:rsidRDefault="00C21029" w:rsidP="00E5387E">
            <w:pPr>
              <w:spacing w:after="0" w:line="240" w:lineRule="auto"/>
              <w:rPr>
                <w:rFonts w:cs="Calibri"/>
                <w:sz w:val="20"/>
                <w:szCs w:val="20"/>
              </w:rPr>
            </w:pPr>
            <w:bookmarkStart w:id="2530" w:name="_Toc124956811"/>
            <w:r w:rsidRPr="00466BFF">
              <w:rPr>
                <w:rFonts w:cs="Calibri"/>
                <w:sz w:val="20"/>
                <w:szCs w:val="20"/>
              </w:rPr>
              <w:t>0340570095</w:t>
            </w:r>
            <w:bookmarkEnd w:id="2530"/>
          </w:p>
        </w:tc>
        <w:tc>
          <w:tcPr>
            <w:tcW w:w="1353" w:type="pct"/>
            <w:shd w:val="clear" w:color="auto" w:fill="auto"/>
            <w:hideMark/>
          </w:tcPr>
          <w:p w14:paraId="22530BEC" w14:textId="77777777" w:rsidR="00C21029" w:rsidRPr="00466BFF" w:rsidRDefault="00C21029" w:rsidP="00E5387E">
            <w:pPr>
              <w:spacing w:after="0" w:line="240" w:lineRule="auto"/>
              <w:rPr>
                <w:rFonts w:cs="Calibri"/>
                <w:sz w:val="20"/>
                <w:szCs w:val="20"/>
              </w:rPr>
            </w:pPr>
            <w:bookmarkStart w:id="2531" w:name="_Toc124956812"/>
            <w:r w:rsidRPr="00466BFF">
              <w:rPr>
                <w:rFonts w:cs="Calibri"/>
                <w:sz w:val="20"/>
                <w:szCs w:val="20"/>
              </w:rPr>
              <w:t>Antsirabe</w:t>
            </w:r>
            <w:bookmarkEnd w:id="2531"/>
          </w:p>
        </w:tc>
      </w:tr>
      <w:tr w:rsidR="00C21029" w:rsidRPr="007F78CE" w14:paraId="1135720E" w14:textId="77777777" w:rsidTr="00B434A6">
        <w:trPr>
          <w:trHeight w:val="290"/>
        </w:trPr>
        <w:tc>
          <w:tcPr>
            <w:tcW w:w="1196" w:type="pct"/>
            <w:vMerge/>
            <w:shd w:val="clear" w:color="auto" w:fill="auto"/>
            <w:hideMark/>
          </w:tcPr>
          <w:p w14:paraId="1A5D2000"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01A162D7" w14:textId="77777777" w:rsidR="00C21029" w:rsidRPr="00466BFF" w:rsidRDefault="00C21029" w:rsidP="00E5387E">
            <w:pPr>
              <w:spacing w:after="0" w:line="240" w:lineRule="auto"/>
              <w:rPr>
                <w:rFonts w:cs="Calibri"/>
                <w:sz w:val="20"/>
                <w:szCs w:val="20"/>
              </w:rPr>
            </w:pPr>
            <w:bookmarkStart w:id="2532" w:name="_Toc124956813"/>
            <w:r w:rsidRPr="00466BFF">
              <w:rPr>
                <w:rFonts w:cs="Calibri"/>
                <w:sz w:val="20"/>
                <w:szCs w:val="20"/>
              </w:rPr>
              <w:t>Tribunal de Première Instance</w:t>
            </w:r>
            <w:bookmarkEnd w:id="2532"/>
          </w:p>
        </w:tc>
        <w:tc>
          <w:tcPr>
            <w:tcW w:w="620" w:type="pct"/>
            <w:shd w:val="clear" w:color="auto" w:fill="auto"/>
            <w:noWrap/>
            <w:hideMark/>
          </w:tcPr>
          <w:p w14:paraId="2759867B"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3088F540" w14:textId="77777777" w:rsidR="00C21029" w:rsidRPr="00466BFF" w:rsidRDefault="00C21029" w:rsidP="00E5387E">
            <w:pPr>
              <w:spacing w:after="0" w:line="240" w:lineRule="auto"/>
              <w:rPr>
                <w:rFonts w:cs="Calibri"/>
                <w:sz w:val="20"/>
                <w:szCs w:val="20"/>
              </w:rPr>
            </w:pPr>
            <w:bookmarkStart w:id="2533" w:name="_Toc124956814"/>
            <w:r w:rsidRPr="00466BFF">
              <w:rPr>
                <w:rFonts w:cs="Calibri"/>
                <w:sz w:val="20"/>
                <w:szCs w:val="20"/>
              </w:rPr>
              <w:t>Antsirabe</w:t>
            </w:r>
            <w:bookmarkEnd w:id="2533"/>
          </w:p>
        </w:tc>
      </w:tr>
      <w:tr w:rsidR="00C21029" w:rsidRPr="007F78CE" w14:paraId="01318BCB" w14:textId="77777777" w:rsidTr="00B434A6">
        <w:trPr>
          <w:trHeight w:val="290"/>
        </w:trPr>
        <w:tc>
          <w:tcPr>
            <w:tcW w:w="1196" w:type="pct"/>
            <w:vMerge/>
            <w:shd w:val="clear" w:color="auto" w:fill="auto"/>
            <w:hideMark/>
          </w:tcPr>
          <w:p w14:paraId="4A653E17"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290BE6FD" w14:textId="77777777" w:rsidR="00C21029" w:rsidRPr="00466BFF" w:rsidRDefault="00C21029" w:rsidP="00E5387E">
            <w:pPr>
              <w:spacing w:after="0" w:line="240" w:lineRule="auto"/>
              <w:rPr>
                <w:rFonts w:cs="Calibri"/>
                <w:sz w:val="20"/>
                <w:szCs w:val="20"/>
              </w:rPr>
            </w:pPr>
            <w:bookmarkStart w:id="2534" w:name="_Toc124956815"/>
            <w:r w:rsidRPr="00466BFF">
              <w:rPr>
                <w:rFonts w:cs="Calibri"/>
                <w:sz w:val="20"/>
                <w:szCs w:val="20"/>
              </w:rPr>
              <w:t>Tribunal de Première Instance</w:t>
            </w:r>
            <w:bookmarkEnd w:id="2534"/>
          </w:p>
        </w:tc>
        <w:tc>
          <w:tcPr>
            <w:tcW w:w="620" w:type="pct"/>
            <w:shd w:val="clear" w:color="auto" w:fill="auto"/>
            <w:noWrap/>
            <w:hideMark/>
          </w:tcPr>
          <w:p w14:paraId="48A945FC"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20EEB8BA" w14:textId="77777777" w:rsidR="00C21029" w:rsidRPr="00466BFF" w:rsidRDefault="00C21029" w:rsidP="00E5387E">
            <w:pPr>
              <w:spacing w:after="0" w:line="240" w:lineRule="auto"/>
              <w:rPr>
                <w:rFonts w:cs="Calibri"/>
                <w:sz w:val="20"/>
                <w:szCs w:val="20"/>
              </w:rPr>
            </w:pPr>
            <w:bookmarkStart w:id="2535" w:name="_Toc124956816"/>
            <w:r w:rsidRPr="00466BFF">
              <w:rPr>
                <w:rFonts w:cs="Calibri"/>
                <w:sz w:val="20"/>
                <w:szCs w:val="20"/>
              </w:rPr>
              <w:t>Ambatolampy</w:t>
            </w:r>
            <w:bookmarkEnd w:id="2535"/>
          </w:p>
        </w:tc>
      </w:tr>
      <w:tr w:rsidR="00C21029" w:rsidRPr="007F78CE" w14:paraId="63EEA6E8" w14:textId="77777777" w:rsidTr="00B434A6">
        <w:trPr>
          <w:trHeight w:val="290"/>
        </w:trPr>
        <w:tc>
          <w:tcPr>
            <w:tcW w:w="1196" w:type="pct"/>
            <w:vMerge w:val="restart"/>
            <w:shd w:val="clear" w:color="auto" w:fill="auto"/>
            <w:noWrap/>
            <w:hideMark/>
          </w:tcPr>
          <w:p w14:paraId="64CCA484" w14:textId="77777777" w:rsidR="00C21029" w:rsidRPr="00B434A6" w:rsidRDefault="00C21029" w:rsidP="00E5387E">
            <w:pPr>
              <w:spacing w:after="0" w:line="240" w:lineRule="auto"/>
              <w:rPr>
                <w:rFonts w:cs="Cambria"/>
                <w:color w:val="212121"/>
                <w:sz w:val="20"/>
                <w:szCs w:val="20"/>
              </w:rPr>
            </w:pPr>
            <w:r w:rsidRPr="00B434A6">
              <w:rPr>
                <w:rFonts w:cs="Cambria"/>
                <w:color w:val="212121"/>
                <w:sz w:val="20"/>
                <w:szCs w:val="20"/>
              </w:rPr>
              <w:t>ITASY</w:t>
            </w:r>
          </w:p>
        </w:tc>
        <w:tc>
          <w:tcPr>
            <w:tcW w:w="3804" w:type="pct"/>
            <w:gridSpan w:val="3"/>
            <w:shd w:val="clear" w:color="auto" w:fill="auto"/>
            <w:noWrap/>
            <w:hideMark/>
          </w:tcPr>
          <w:p w14:paraId="19D03785" w14:textId="77777777" w:rsidR="00C21029" w:rsidRPr="00466BFF" w:rsidRDefault="00C21029" w:rsidP="00E5387E">
            <w:pPr>
              <w:spacing w:after="0" w:line="240" w:lineRule="auto"/>
              <w:rPr>
                <w:rFonts w:cs="Calibri"/>
                <w:sz w:val="20"/>
                <w:szCs w:val="20"/>
              </w:rPr>
            </w:pPr>
            <w:bookmarkStart w:id="2536" w:name="_Toc124956817"/>
            <w:r w:rsidRPr="00466BFF">
              <w:rPr>
                <w:rFonts w:cs="Calibri"/>
                <w:sz w:val="20"/>
                <w:szCs w:val="20"/>
              </w:rPr>
              <w:t>Service Public</w:t>
            </w:r>
            <w:bookmarkEnd w:id="2536"/>
          </w:p>
        </w:tc>
      </w:tr>
      <w:tr w:rsidR="00C21029" w:rsidRPr="007F78CE" w14:paraId="674F794E" w14:textId="77777777" w:rsidTr="00B434A6">
        <w:trPr>
          <w:trHeight w:val="290"/>
        </w:trPr>
        <w:tc>
          <w:tcPr>
            <w:tcW w:w="1196" w:type="pct"/>
            <w:vMerge/>
            <w:shd w:val="clear" w:color="auto" w:fill="auto"/>
            <w:hideMark/>
          </w:tcPr>
          <w:p w14:paraId="5585F7F5"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0F865E81" w14:textId="77777777" w:rsidR="00C21029" w:rsidRPr="00466BFF" w:rsidRDefault="00C21029" w:rsidP="00E5387E">
            <w:pPr>
              <w:spacing w:after="0" w:line="240" w:lineRule="auto"/>
              <w:rPr>
                <w:rFonts w:cs="Calibri"/>
                <w:sz w:val="20"/>
                <w:szCs w:val="20"/>
              </w:rPr>
            </w:pPr>
            <w:bookmarkStart w:id="2537" w:name="_Toc124956818"/>
            <w:r w:rsidRPr="00466BFF">
              <w:rPr>
                <w:rFonts w:cs="Calibri"/>
                <w:sz w:val="20"/>
                <w:szCs w:val="20"/>
              </w:rPr>
              <w:t>Gendarmerie Nationale : GAPJ</w:t>
            </w:r>
            <w:bookmarkEnd w:id="2537"/>
          </w:p>
        </w:tc>
        <w:tc>
          <w:tcPr>
            <w:tcW w:w="620" w:type="pct"/>
            <w:shd w:val="clear" w:color="auto" w:fill="auto"/>
            <w:noWrap/>
            <w:hideMark/>
          </w:tcPr>
          <w:p w14:paraId="30E42EF1" w14:textId="77777777" w:rsidR="00C21029" w:rsidRPr="00466BFF" w:rsidRDefault="00C21029" w:rsidP="00E5387E">
            <w:pPr>
              <w:spacing w:after="0" w:line="240" w:lineRule="auto"/>
              <w:rPr>
                <w:rFonts w:cs="Calibri"/>
                <w:sz w:val="20"/>
                <w:szCs w:val="20"/>
              </w:rPr>
            </w:pPr>
            <w:bookmarkStart w:id="2538" w:name="_Toc124956819"/>
            <w:r w:rsidRPr="00466BFF">
              <w:rPr>
                <w:rFonts w:cs="Calibri"/>
                <w:sz w:val="20"/>
                <w:szCs w:val="20"/>
              </w:rPr>
              <w:t>0341400561</w:t>
            </w:r>
            <w:bookmarkEnd w:id="2538"/>
          </w:p>
        </w:tc>
        <w:tc>
          <w:tcPr>
            <w:tcW w:w="1353" w:type="pct"/>
            <w:shd w:val="clear" w:color="auto" w:fill="auto"/>
            <w:noWrap/>
            <w:hideMark/>
          </w:tcPr>
          <w:p w14:paraId="3CE9903E" w14:textId="77777777" w:rsidR="00C21029" w:rsidRPr="00466BFF" w:rsidRDefault="00C21029" w:rsidP="00E5387E">
            <w:pPr>
              <w:spacing w:after="0" w:line="240" w:lineRule="auto"/>
              <w:rPr>
                <w:rFonts w:cs="Calibri"/>
                <w:sz w:val="20"/>
                <w:szCs w:val="20"/>
              </w:rPr>
            </w:pPr>
            <w:bookmarkStart w:id="2539" w:name="_Toc124956820"/>
            <w:r w:rsidRPr="00466BFF">
              <w:rPr>
                <w:rFonts w:cs="Calibri"/>
                <w:sz w:val="20"/>
                <w:szCs w:val="20"/>
              </w:rPr>
              <w:t>Miarinarivo</w:t>
            </w:r>
            <w:bookmarkEnd w:id="2539"/>
          </w:p>
        </w:tc>
      </w:tr>
      <w:tr w:rsidR="00C21029" w:rsidRPr="007F78CE" w14:paraId="2838A4D2" w14:textId="77777777" w:rsidTr="00B434A6">
        <w:trPr>
          <w:trHeight w:val="290"/>
        </w:trPr>
        <w:tc>
          <w:tcPr>
            <w:tcW w:w="1196" w:type="pct"/>
            <w:vMerge/>
            <w:shd w:val="clear" w:color="auto" w:fill="auto"/>
            <w:hideMark/>
          </w:tcPr>
          <w:p w14:paraId="6EED9CEB"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2CA9DFAE" w14:textId="77777777" w:rsidR="00C21029" w:rsidRPr="00466BFF" w:rsidRDefault="00C21029" w:rsidP="00E5387E">
            <w:pPr>
              <w:spacing w:after="0" w:line="240" w:lineRule="auto"/>
              <w:rPr>
                <w:rFonts w:cs="Calibri"/>
                <w:sz w:val="20"/>
                <w:szCs w:val="20"/>
              </w:rPr>
            </w:pPr>
            <w:bookmarkStart w:id="2540" w:name="_Toc124956821"/>
            <w:r w:rsidRPr="00466BFF">
              <w:rPr>
                <w:rFonts w:cs="Calibri"/>
                <w:sz w:val="20"/>
                <w:szCs w:val="20"/>
              </w:rPr>
              <w:t>Tribunal de Première Instance</w:t>
            </w:r>
            <w:bookmarkEnd w:id="2540"/>
          </w:p>
        </w:tc>
        <w:tc>
          <w:tcPr>
            <w:tcW w:w="620" w:type="pct"/>
            <w:shd w:val="clear" w:color="auto" w:fill="auto"/>
            <w:noWrap/>
            <w:hideMark/>
          </w:tcPr>
          <w:p w14:paraId="0BF6D6E1"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179E1FDA" w14:textId="77777777" w:rsidR="00C21029" w:rsidRPr="00466BFF" w:rsidRDefault="00C21029" w:rsidP="00E5387E">
            <w:pPr>
              <w:spacing w:after="0" w:line="240" w:lineRule="auto"/>
              <w:rPr>
                <w:rFonts w:cs="Calibri"/>
                <w:sz w:val="20"/>
                <w:szCs w:val="20"/>
              </w:rPr>
            </w:pPr>
            <w:bookmarkStart w:id="2541" w:name="_Toc124956822"/>
            <w:r w:rsidRPr="00466BFF">
              <w:rPr>
                <w:rFonts w:cs="Calibri"/>
                <w:sz w:val="20"/>
                <w:szCs w:val="20"/>
              </w:rPr>
              <w:t>Arivonimamo</w:t>
            </w:r>
            <w:bookmarkEnd w:id="2541"/>
          </w:p>
        </w:tc>
      </w:tr>
      <w:tr w:rsidR="00C21029" w:rsidRPr="007F78CE" w14:paraId="2032EB50" w14:textId="77777777" w:rsidTr="00B434A6">
        <w:trPr>
          <w:trHeight w:val="290"/>
        </w:trPr>
        <w:tc>
          <w:tcPr>
            <w:tcW w:w="1196" w:type="pct"/>
            <w:vMerge/>
            <w:shd w:val="clear" w:color="auto" w:fill="auto"/>
            <w:hideMark/>
          </w:tcPr>
          <w:p w14:paraId="2017CFBA"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4C88D854" w14:textId="77777777" w:rsidR="00C21029" w:rsidRPr="00466BFF" w:rsidRDefault="00C21029" w:rsidP="00E5387E">
            <w:pPr>
              <w:spacing w:after="0" w:line="240" w:lineRule="auto"/>
              <w:rPr>
                <w:rFonts w:cs="Calibri"/>
                <w:sz w:val="20"/>
                <w:szCs w:val="20"/>
              </w:rPr>
            </w:pPr>
            <w:bookmarkStart w:id="2542" w:name="_Toc124956823"/>
            <w:r w:rsidRPr="00466BFF">
              <w:rPr>
                <w:rFonts w:cs="Calibri"/>
                <w:sz w:val="20"/>
                <w:szCs w:val="20"/>
              </w:rPr>
              <w:t>Tribunal de Première Instance</w:t>
            </w:r>
            <w:bookmarkEnd w:id="2542"/>
          </w:p>
        </w:tc>
        <w:tc>
          <w:tcPr>
            <w:tcW w:w="620" w:type="pct"/>
            <w:shd w:val="clear" w:color="auto" w:fill="auto"/>
            <w:noWrap/>
            <w:hideMark/>
          </w:tcPr>
          <w:p w14:paraId="38DFEC7A"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017FD59F" w14:textId="77777777" w:rsidR="00C21029" w:rsidRPr="00466BFF" w:rsidRDefault="00C21029" w:rsidP="00E5387E">
            <w:pPr>
              <w:spacing w:after="0" w:line="240" w:lineRule="auto"/>
              <w:rPr>
                <w:rFonts w:cs="Calibri"/>
                <w:sz w:val="20"/>
                <w:szCs w:val="20"/>
              </w:rPr>
            </w:pPr>
            <w:bookmarkStart w:id="2543" w:name="_Toc124956824"/>
            <w:r w:rsidRPr="00466BFF">
              <w:rPr>
                <w:rFonts w:cs="Calibri"/>
                <w:sz w:val="20"/>
                <w:szCs w:val="20"/>
              </w:rPr>
              <w:t>Miarinarivo</w:t>
            </w:r>
            <w:bookmarkEnd w:id="2543"/>
          </w:p>
        </w:tc>
      </w:tr>
      <w:tr w:rsidR="00C21029" w:rsidRPr="007F78CE" w14:paraId="00FF5AD3" w14:textId="77777777" w:rsidTr="00B434A6">
        <w:trPr>
          <w:trHeight w:val="290"/>
        </w:trPr>
        <w:tc>
          <w:tcPr>
            <w:tcW w:w="1196" w:type="pct"/>
            <w:vMerge w:val="restart"/>
            <w:shd w:val="clear" w:color="auto" w:fill="auto"/>
            <w:noWrap/>
            <w:hideMark/>
          </w:tcPr>
          <w:p w14:paraId="5C7A1888" w14:textId="77777777" w:rsidR="00C21029" w:rsidRPr="00B434A6" w:rsidRDefault="00C21029" w:rsidP="00E5387E">
            <w:pPr>
              <w:spacing w:after="0" w:line="240" w:lineRule="auto"/>
              <w:rPr>
                <w:rFonts w:cs="Cambria"/>
                <w:color w:val="212121"/>
                <w:sz w:val="20"/>
                <w:szCs w:val="20"/>
              </w:rPr>
            </w:pPr>
            <w:r w:rsidRPr="00B434A6">
              <w:rPr>
                <w:rFonts w:cs="Cambria"/>
                <w:color w:val="212121"/>
                <w:sz w:val="20"/>
                <w:szCs w:val="20"/>
              </w:rPr>
              <w:t>BONGOLAVA</w:t>
            </w:r>
          </w:p>
        </w:tc>
        <w:tc>
          <w:tcPr>
            <w:tcW w:w="1831" w:type="pct"/>
            <w:shd w:val="clear" w:color="auto" w:fill="auto"/>
            <w:noWrap/>
            <w:hideMark/>
          </w:tcPr>
          <w:p w14:paraId="530BEEC9" w14:textId="77777777" w:rsidR="00C21029" w:rsidRPr="00466BFF" w:rsidRDefault="00C21029" w:rsidP="00E5387E">
            <w:pPr>
              <w:spacing w:after="0" w:line="240" w:lineRule="auto"/>
              <w:rPr>
                <w:rFonts w:cs="Calibri"/>
                <w:sz w:val="20"/>
                <w:szCs w:val="20"/>
              </w:rPr>
            </w:pPr>
            <w:bookmarkStart w:id="2544" w:name="_Toc124956825"/>
            <w:r w:rsidRPr="00466BFF">
              <w:rPr>
                <w:rFonts w:cs="Calibri"/>
                <w:sz w:val="20"/>
                <w:szCs w:val="20"/>
              </w:rPr>
              <w:t>Service Public</w:t>
            </w:r>
            <w:bookmarkEnd w:id="2544"/>
          </w:p>
        </w:tc>
        <w:tc>
          <w:tcPr>
            <w:tcW w:w="620" w:type="pct"/>
            <w:shd w:val="clear" w:color="auto" w:fill="auto"/>
          </w:tcPr>
          <w:p w14:paraId="0BD48138" w14:textId="77777777" w:rsidR="00C21029" w:rsidRPr="00466BFF" w:rsidRDefault="00C21029" w:rsidP="00E5387E">
            <w:pPr>
              <w:spacing w:after="0" w:line="240" w:lineRule="auto"/>
              <w:rPr>
                <w:rFonts w:cs="Calibri"/>
                <w:sz w:val="20"/>
                <w:szCs w:val="20"/>
              </w:rPr>
            </w:pPr>
          </w:p>
        </w:tc>
        <w:tc>
          <w:tcPr>
            <w:tcW w:w="1353" w:type="pct"/>
            <w:shd w:val="clear" w:color="auto" w:fill="auto"/>
          </w:tcPr>
          <w:p w14:paraId="726DFFE8" w14:textId="77777777" w:rsidR="00C21029" w:rsidRPr="00466BFF" w:rsidRDefault="00C21029" w:rsidP="00E5387E">
            <w:pPr>
              <w:spacing w:after="0" w:line="240" w:lineRule="auto"/>
              <w:rPr>
                <w:rFonts w:cs="Calibri"/>
                <w:sz w:val="20"/>
                <w:szCs w:val="20"/>
              </w:rPr>
            </w:pPr>
          </w:p>
        </w:tc>
      </w:tr>
      <w:tr w:rsidR="00C21029" w:rsidRPr="007F78CE" w14:paraId="55EAB6A0" w14:textId="77777777" w:rsidTr="00B434A6">
        <w:trPr>
          <w:trHeight w:val="290"/>
        </w:trPr>
        <w:tc>
          <w:tcPr>
            <w:tcW w:w="1196" w:type="pct"/>
            <w:vMerge/>
            <w:shd w:val="clear" w:color="auto" w:fill="auto"/>
            <w:hideMark/>
          </w:tcPr>
          <w:p w14:paraId="5F4C07B9"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02D13175" w14:textId="77777777" w:rsidR="00C21029" w:rsidRPr="00466BFF" w:rsidRDefault="00C21029" w:rsidP="00E5387E">
            <w:pPr>
              <w:spacing w:after="0" w:line="240" w:lineRule="auto"/>
              <w:rPr>
                <w:rFonts w:cs="Calibri"/>
                <w:sz w:val="20"/>
                <w:szCs w:val="20"/>
              </w:rPr>
            </w:pPr>
            <w:bookmarkStart w:id="2545" w:name="_Toc124956826"/>
            <w:r w:rsidRPr="00466BFF">
              <w:rPr>
                <w:rFonts w:cs="Calibri"/>
                <w:sz w:val="20"/>
                <w:szCs w:val="20"/>
              </w:rPr>
              <w:t>Gendarmerie Nationale : GAPJ</w:t>
            </w:r>
            <w:bookmarkEnd w:id="2545"/>
          </w:p>
        </w:tc>
        <w:tc>
          <w:tcPr>
            <w:tcW w:w="620" w:type="pct"/>
            <w:shd w:val="clear" w:color="auto" w:fill="auto"/>
            <w:noWrap/>
            <w:hideMark/>
          </w:tcPr>
          <w:p w14:paraId="2E630E00" w14:textId="77777777" w:rsidR="00C21029" w:rsidRPr="00466BFF" w:rsidRDefault="00C21029" w:rsidP="00E5387E">
            <w:pPr>
              <w:spacing w:after="0" w:line="240" w:lineRule="auto"/>
              <w:rPr>
                <w:rFonts w:cs="Calibri"/>
                <w:sz w:val="20"/>
                <w:szCs w:val="20"/>
              </w:rPr>
            </w:pPr>
            <w:bookmarkStart w:id="2546" w:name="_Toc124956827"/>
            <w:r w:rsidRPr="00466BFF">
              <w:rPr>
                <w:rFonts w:cs="Calibri"/>
                <w:sz w:val="20"/>
                <w:szCs w:val="20"/>
              </w:rPr>
              <w:t>0341400558</w:t>
            </w:r>
            <w:bookmarkEnd w:id="2546"/>
          </w:p>
        </w:tc>
        <w:tc>
          <w:tcPr>
            <w:tcW w:w="1353" w:type="pct"/>
            <w:shd w:val="clear" w:color="auto" w:fill="auto"/>
            <w:noWrap/>
            <w:hideMark/>
          </w:tcPr>
          <w:p w14:paraId="291CEE32" w14:textId="77777777" w:rsidR="00C21029" w:rsidRPr="00466BFF" w:rsidRDefault="00C21029" w:rsidP="00E5387E">
            <w:pPr>
              <w:spacing w:after="0" w:line="240" w:lineRule="auto"/>
              <w:rPr>
                <w:rFonts w:cs="Calibri"/>
                <w:sz w:val="20"/>
                <w:szCs w:val="20"/>
              </w:rPr>
            </w:pPr>
            <w:bookmarkStart w:id="2547" w:name="_Toc124956828"/>
            <w:r w:rsidRPr="00466BFF">
              <w:rPr>
                <w:rFonts w:cs="Calibri"/>
                <w:sz w:val="20"/>
                <w:szCs w:val="20"/>
              </w:rPr>
              <w:t>Tsiroanomandidy</w:t>
            </w:r>
            <w:bookmarkEnd w:id="2547"/>
          </w:p>
        </w:tc>
      </w:tr>
      <w:tr w:rsidR="00C21029" w:rsidRPr="007F78CE" w14:paraId="6011DD1F" w14:textId="77777777" w:rsidTr="00B434A6">
        <w:trPr>
          <w:trHeight w:val="290"/>
        </w:trPr>
        <w:tc>
          <w:tcPr>
            <w:tcW w:w="1196" w:type="pct"/>
            <w:vMerge/>
            <w:shd w:val="clear" w:color="auto" w:fill="auto"/>
            <w:hideMark/>
          </w:tcPr>
          <w:p w14:paraId="286CF663"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7734FAC5" w14:textId="77777777" w:rsidR="00C21029" w:rsidRPr="00466BFF" w:rsidRDefault="00C21029" w:rsidP="00E5387E">
            <w:pPr>
              <w:spacing w:after="0" w:line="240" w:lineRule="auto"/>
              <w:rPr>
                <w:rFonts w:cs="Calibri"/>
                <w:sz w:val="20"/>
                <w:szCs w:val="20"/>
              </w:rPr>
            </w:pPr>
            <w:bookmarkStart w:id="2548" w:name="_Toc124956829"/>
            <w:r w:rsidRPr="00466BFF">
              <w:rPr>
                <w:rFonts w:cs="Calibri"/>
                <w:sz w:val="20"/>
                <w:szCs w:val="20"/>
              </w:rPr>
              <w:t>Tribunal de Première Instance</w:t>
            </w:r>
            <w:bookmarkEnd w:id="2548"/>
          </w:p>
        </w:tc>
        <w:tc>
          <w:tcPr>
            <w:tcW w:w="620" w:type="pct"/>
            <w:shd w:val="clear" w:color="auto" w:fill="auto"/>
            <w:noWrap/>
            <w:hideMark/>
          </w:tcPr>
          <w:p w14:paraId="46854A5B"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02826964" w14:textId="77777777" w:rsidR="00C21029" w:rsidRPr="00466BFF" w:rsidRDefault="00C21029" w:rsidP="00E5387E">
            <w:pPr>
              <w:spacing w:after="0" w:line="240" w:lineRule="auto"/>
              <w:rPr>
                <w:rFonts w:cs="Calibri"/>
                <w:sz w:val="20"/>
                <w:szCs w:val="20"/>
              </w:rPr>
            </w:pPr>
            <w:bookmarkStart w:id="2549" w:name="_Toc124956830"/>
            <w:r w:rsidRPr="00466BFF">
              <w:rPr>
                <w:rFonts w:cs="Calibri"/>
                <w:sz w:val="20"/>
                <w:szCs w:val="20"/>
              </w:rPr>
              <w:t>Tsiroanomandidy</w:t>
            </w:r>
            <w:bookmarkEnd w:id="2549"/>
          </w:p>
        </w:tc>
      </w:tr>
      <w:tr w:rsidR="00C21029" w:rsidRPr="007F78CE" w14:paraId="241A926E" w14:textId="77777777" w:rsidTr="00B434A6">
        <w:trPr>
          <w:trHeight w:val="290"/>
        </w:trPr>
        <w:tc>
          <w:tcPr>
            <w:tcW w:w="1196" w:type="pct"/>
            <w:vMerge w:val="restart"/>
            <w:shd w:val="clear" w:color="auto" w:fill="auto"/>
            <w:noWrap/>
            <w:hideMark/>
          </w:tcPr>
          <w:p w14:paraId="285CC628" w14:textId="77777777" w:rsidR="00C21029" w:rsidRPr="00B434A6" w:rsidRDefault="00C21029" w:rsidP="00E5387E">
            <w:pPr>
              <w:spacing w:after="0" w:line="240" w:lineRule="auto"/>
              <w:rPr>
                <w:rFonts w:cs="Cambria"/>
                <w:color w:val="212121"/>
                <w:sz w:val="20"/>
                <w:szCs w:val="20"/>
              </w:rPr>
            </w:pPr>
            <w:r w:rsidRPr="00B434A6">
              <w:rPr>
                <w:rFonts w:cs="Cambria"/>
                <w:color w:val="212121"/>
                <w:sz w:val="20"/>
                <w:szCs w:val="20"/>
              </w:rPr>
              <w:t>BOENY</w:t>
            </w:r>
          </w:p>
        </w:tc>
        <w:tc>
          <w:tcPr>
            <w:tcW w:w="3804" w:type="pct"/>
            <w:gridSpan w:val="3"/>
            <w:shd w:val="clear" w:color="auto" w:fill="auto"/>
            <w:noWrap/>
            <w:hideMark/>
          </w:tcPr>
          <w:p w14:paraId="0A2AB97C" w14:textId="77777777" w:rsidR="00C21029" w:rsidRPr="00466BFF" w:rsidRDefault="00C21029" w:rsidP="00E5387E">
            <w:pPr>
              <w:spacing w:after="0" w:line="240" w:lineRule="auto"/>
              <w:rPr>
                <w:rFonts w:cs="Calibri"/>
                <w:sz w:val="20"/>
                <w:szCs w:val="20"/>
              </w:rPr>
            </w:pPr>
            <w:bookmarkStart w:id="2550" w:name="_Toc124956831"/>
            <w:r w:rsidRPr="00466BFF">
              <w:rPr>
                <w:rFonts w:cs="Calibri"/>
                <w:sz w:val="20"/>
                <w:szCs w:val="20"/>
              </w:rPr>
              <w:t>Service Public</w:t>
            </w:r>
            <w:bookmarkEnd w:id="2550"/>
          </w:p>
        </w:tc>
      </w:tr>
      <w:tr w:rsidR="00C21029" w:rsidRPr="007F78CE" w14:paraId="7C977CF4" w14:textId="77777777" w:rsidTr="00B434A6">
        <w:trPr>
          <w:trHeight w:val="290"/>
        </w:trPr>
        <w:tc>
          <w:tcPr>
            <w:tcW w:w="1196" w:type="pct"/>
            <w:vMerge/>
            <w:shd w:val="clear" w:color="auto" w:fill="auto"/>
            <w:hideMark/>
          </w:tcPr>
          <w:p w14:paraId="2A704B45"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31047095" w14:textId="77777777" w:rsidR="00C21029" w:rsidRPr="00466BFF" w:rsidRDefault="00C21029" w:rsidP="00E5387E">
            <w:pPr>
              <w:spacing w:after="0" w:line="240" w:lineRule="auto"/>
              <w:rPr>
                <w:rFonts w:cs="Calibri"/>
                <w:sz w:val="20"/>
                <w:szCs w:val="20"/>
              </w:rPr>
            </w:pPr>
            <w:bookmarkStart w:id="2551" w:name="_Toc124956832"/>
            <w:r w:rsidRPr="00466BFF">
              <w:rPr>
                <w:rFonts w:cs="Calibri"/>
                <w:sz w:val="20"/>
                <w:szCs w:val="20"/>
              </w:rPr>
              <w:t>Police Nationale : DPMPM</w:t>
            </w:r>
            <w:bookmarkEnd w:id="2551"/>
          </w:p>
        </w:tc>
        <w:tc>
          <w:tcPr>
            <w:tcW w:w="620" w:type="pct"/>
            <w:shd w:val="clear" w:color="auto" w:fill="auto"/>
            <w:noWrap/>
            <w:hideMark/>
          </w:tcPr>
          <w:p w14:paraId="125FC7CB" w14:textId="77777777" w:rsidR="00C21029" w:rsidRPr="00466BFF" w:rsidRDefault="00C21029" w:rsidP="00E5387E">
            <w:pPr>
              <w:spacing w:after="0" w:line="240" w:lineRule="auto"/>
              <w:rPr>
                <w:rFonts w:cs="Calibri"/>
                <w:sz w:val="20"/>
                <w:szCs w:val="20"/>
              </w:rPr>
            </w:pPr>
            <w:bookmarkStart w:id="2552" w:name="_Toc124956833"/>
            <w:r w:rsidRPr="00466BFF">
              <w:rPr>
                <w:rFonts w:cs="Calibri"/>
                <w:sz w:val="20"/>
                <w:szCs w:val="20"/>
              </w:rPr>
              <w:t>0325996754</w:t>
            </w:r>
            <w:bookmarkEnd w:id="2552"/>
          </w:p>
        </w:tc>
        <w:tc>
          <w:tcPr>
            <w:tcW w:w="1353" w:type="pct"/>
            <w:shd w:val="clear" w:color="auto" w:fill="auto"/>
            <w:noWrap/>
            <w:hideMark/>
          </w:tcPr>
          <w:p w14:paraId="7F806B0B" w14:textId="77777777" w:rsidR="00C21029" w:rsidRPr="00466BFF" w:rsidRDefault="00C21029" w:rsidP="00E5387E">
            <w:pPr>
              <w:spacing w:after="0" w:line="240" w:lineRule="auto"/>
              <w:rPr>
                <w:rFonts w:cs="Calibri"/>
                <w:sz w:val="20"/>
                <w:szCs w:val="20"/>
              </w:rPr>
            </w:pPr>
            <w:bookmarkStart w:id="2553" w:name="_Toc124956834"/>
            <w:r w:rsidRPr="00466BFF">
              <w:rPr>
                <w:rFonts w:cs="Calibri"/>
                <w:sz w:val="20"/>
                <w:szCs w:val="20"/>
              </w:rPr>
              <w:t xml:space="preserve">La voirie </w:t>
            </w:r>
            <w:r w:rsidR="007A05FA" w:rsidRPr="00466BFF">
              <w:rPr>
                <w:rFonts w:cs="Calibri"/>
                <w:sz w:val="20"/>
                <w:szCs w:val="20"/>
              </w:rPr>
              <w:t xml:space="preserve">Mahajanga </w:t>
            </w:r>
            <w:r w:rsidRPr="00466BFF">
              <w:rPr>
                <w:rFonts w:cs="Calibri"/>
                <w:sz w:val="20"/>
                <w:szCs w:val="20"/>
              </w:rPr>
              <w:t>I</w:t>
            </w:r>
            <w:bookmarkEnd w:id="2553"/>
          </w:p>
        </w:tc>
      </w:tr>
      <w:tr w:rsidR="00C21029" w:rsidRPr="007F78CE" w14:paraId="651A2115" w14:textId="77777777" w:rsidTr="00B434A6">
        <w:trPr>
          <w:trHeight w:val="290"/>
        </w:trPr>
        <w:tc>
          <w:tcPr>
            <w:tcW w:w="1196" w:type="pct"/>
            <w:vMerge/>
            <w:shd w:val="clear" w:color="auto" w:fill="auto"/>
            <w:hideMark/>
          </w:tcPr>
          <w:p w14:paraId="5AA19580"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03F128E5" w14:textId="77777777" w:rsidR="00C21029" w:rsidRPr="00466BFF" w:rsidRDefault="00C21029" w:rsidP="00E5387E">
            <w:pPr>
              <w:spacing w:after="0" w:line="240" w:lineRule="auto"/>
              <w:rPr>
                <w:rFonts w:cs="Calibri"/>
                <w:sz w:val="20"/>
                <w:szCs w:val="20"/>
              </w:rPr>
            </w:pPr>
            <w:bookmarkStart w:id="2554" w:name="_Toc124956835"/>
            <w:r w:rsidRPr="00466BFF">
              <w:rPr>
                <w:rFonts w:cs="Calibri"/>
                <w:sz w:val="20"/>
                <w:szCs w:val="20"/>
              </w:rPr>
              <w:t>Gendarmerie Nationale : SRC</w:t>
            </w:r>
            <w:bookmarkEnd w:id="2554"/>
          </w:p>
        </w:tc>
        <w:tc>
          <w:tcPr>
            <w:tcW w:w="620" w:type="pct"/>
            <w:shd w:val="clear" w:color="auto" w:fill="auto"/>
            <w:noWrap/>
            <w:hideMark/>
          </w:tcPr>
          <w:p w14:paraId="55BA810D" w14:textId="77777777" w:rsidR="00C21029" w:rsidRPr="00466BFF" w:rsidRDefault="00C21029" w:rsidP="00E5387E">
            <w:pPr>
              <w:spacing w:after="0" w:line="240" w:lineRule="auto"/>
              <w:rPr>
                <w:rFonts w:cs="Calibri"/>
                <w:sz w:val="20"/>
                <w:szCs w:val="20"/>
              </w:rPr>
            </w:pPr>
            <w:bookmarkStart w:id="2555" w:name="_Toc124956836"/>
            <w:r w:rsidRPr="00466BFF">
              <w:rPr>
                <w:rFonts w:cs="Calibri"/>
                <w:sz w:val="20"/>
                <w:szCs w:val="20"/>
              </w:rPr>
              <w:t>0341400537</w:t>
            </w:r>
            <w:bookmarkEnd w:id="2555"/>
          </w:p>
        </w:tc>
        <w:tc>
          <w:tcPr>
            <w:tcW w:w="1353" w:type="pct"/>
            <w:shd w:val="clear" w:color="auto" w:fill="auto"/>
            <w:hideMark/>
          </w:tcPr>
          <w:p w14:paraId="6EF5C1D6" w14:textId="77777777" w:rsidR="00C21029" w:rsidRPr="00466BFF" w:rsidRDefault="007A05FA" w:rsidP="00E5387E">
            <w:pPr>
              <w:spacing w:after="0" w:line="240" w:lineRule="auto"/>
              <w:rPr>
                <w:rFonts w:cs="Calibri"/>
                <w:sz w:val="20"/>
                <w:szCs w:val="20"/>
              </w:rPr>
            </w:pPr>
            <w:bookmarkStart w:id="2556" w:name="_Toc124956837"/>
            <w:r w:rsidRPr="00466BFF">
              <w:rPr>
                <w:rFonts w:cs="Calibri"/>
                <w:sz w:val="20"/>
                <w:szCs w:val="20"/>
              </w:rPr>
              <w:t xml:space="preserve">Mahajanga </w:t>
            </w:r>
            <w:r w:rsidR="00C21029" w:rsidRPr="00466BFF">
              <w:rPr>
                <w:rFonts w:cs="Calibri"/>
                <w:sz w:val="20"/>
                <w:szCs w:val="20"/>
              </w:rPr>
              <w:t>I</w:t>
            </w:r>
            <w:bookmarkEnd w:id="2556"/>
          </w:p>
        </w:tc>
      </w:tr>
      <w:tr w:rsidR="00C21029" w:rsidRPr="007F78CE" w14:paraId="46EA7817" w14:textId="77777777" w:rsidTr="00B434A6">
        <w:trPr>
          <w:trHeight w:val="290"/>
        </w:trPr>
        <w:tc>
          <w:tcPr>
            <w:tcW w:w="1196" w:type="pct"/>
            <w:vMerge/>
            <w:shd w:val="clear" w:color="auto" w:fill="auto"/>
            <w:hideMark/>
          </w:tcPr>
          <w:p w14:paraId="367403A9"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1BBD4CDA" w14:textId="77777777" w:rsidR="00C21029" w:rsidRPr="00466BFF" w:rsidRDefault="00C21029" w:rsidP="00E5387E">
            <w:pPr>
              <w:spacing w:after="0" w:line="240" w:lineRule="auto"/>
              <w:rPr>
                <w:rFonts w:cs="Calibri"/>
                <w:sz w:val="20"/>
                <w:szCs w:val="20"/>
              </w:rPr>
            </w:pPr>
            <w:bookmarkStart w:id="2557" w:name="_Toc124956838"/>
            <w:r w:rsidRPr="00466BFF">
              <w:rPr>
                <w:rFonts w:cs="Calibri"/>
                <w:sz w:val="20"/>
                <w:szCs w:val="20"/>
              </w:rPr>
              <w:t>Tribunal de Première Instance</w:t>
            </w:r>
            <w:bookmarkEnd w:id="2557"/>
          </w:p>
        </w:tc>
        <w:tc>
          <w:tcPr>
            <w:tcW w:w="620" w:type="pct"/>
            <w:shd w:val="clear" w:color="auto" w:fill="auto"/>
            <w:noWrap/>
            <w:hideMark/>
          </w:tcPr>
          <w:p w14:paraId="483A1499"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7734FD68" w14:textId="77777777" w:rsidR="00C21029" w:rsidRPr="00466BFF" w:rsidRDefault="007A05FA" w:rsidP="00E5387E">
            <w:pPr>
              <w:spacing w:after="0" w:line="240" w:lineRule="auto"/>
              <w:rPr>
                <w:rFonts w:cs="Calibri"/>
                <w:sz w:val="20"/>
                <w:szCs w:val="20"/>
              </w:rPr>
            </w:pPr>
            <w:bookmarkStart w:id="2558" w:name="_Toc124956839"/>
            <w:r w:rsidRPr="00466BFF">
              <w:rPr>
                <w:rFonts w:cs="Calibri"/>
                <w:sz w:val="20"/>
                <w:szCs w:val="20"/>
              </w:rPr>
              <w:t xml:space="preserve">Mahajanga </w:t>
            </w:r>
            <w:r w:rsidR="00C21029" w:rsidRPr="00466BFF">
              <w:rPr>
                <w:rFonts w:cs="Calibri"/>
                <w:sz w:val="20"/>
                <w:szCs w:val="20"/>
              </w:rPr>
              <w:t>I</w:t>
            </w:r>
            <w:bookmarkEnd w:id="2558"/>
          </w:p>
        </w:tc>
      </w:tr>
      <w:tr w:rsidR="00C21029" w:rsidRPr="007F78CE" w14:paraId="24842DC3" w14:textId="77777777" w:rsidTr="00B434A6">
        <w:trPr>
          <w:trHeight w:val="290"/>
        </w:trPr>
        <w:tc>
          <w:tcPr>
            <w:tcW w:w="1196" w:type="pct"/>
            <w:vMerge w:val="restart"/>
            <w:shd w:val="clear" w:color="auto" w:fill="auto"/>
            <w:noWrap/>
            <w:hideMark/>
          </w:tcPr>
          <w:p w14:paraId="2C0DE731" w14:textId="77777777" w:rsidR="00C21029" w:rsidRPr="00B434A6" w:rsidRDefault="00C21029" w:rsidP="00E5387E">
            <w:pPr>
              <w:spacing w:after="0" w:line="240" w:lineRule="auto"/>
              <w:rPr>
                <w:rFonts w:cs="Cambria"/>
                <w:color w:val="212121"/>
                <w:sz w:val="20"/>
                <w:szCs w:val="20"/>
              </w:rPr>
            </w:pPr>
            <w:r w:rsidRPr="00B434A6">
              <w:rPr>
                <w:rFonts w:cs="Cambria"/>
                <w:color w:val="212121"/>
                <w:sz w:val="20"/>
                <w:szCs w:val="20"/>
              </w:rPr>
              <w:t>MELAKY</w:t>
            </w:r>
          </w:p>
        </w:tc>
        <w:tc>
          <w:tcPr>
            <w:tcW w:w="3804" w:type="pct"/>
            <w:gridSpan w:val="3"/>
            <w:shd w:val="clear" w:color="auto" w:fill="auto"/>
            <w:noWrap/>
            <w:hideMark/>
          </w:tcPr>
          <w:p w14:paraId="2C6B1EAA" w14:textId="77777777" w:rsidR="00C21029" w:rsidRPr="00466BFF" w:rsidRDefault="00C21029" w:rsidP="00E5387E">
            <w:pPr>
              <w:spacing w:after="0" w:line="240" w:lineRule="auto"/>
              <w:rPr>
                <w:rFonts w:cs="Calibri"/>
                <w:sz w:val="20"/>
                <w:szCs w:val="20"/>
              </w:rPr>
            </w:pPr>
            <w:bookmarkStart w:id="2559" w:name="_Toc124956840"/>
            <w:r w:rsidRPr="00466BFF">
              <w:rPr>
                <w:rFonts w:cs="Calibri"/>
                <w:sz w:val="20"/>
                <w:szCs w:val="20"/>
              </w:rPr>
              <w:t>Service Public</w:t>
            </w:r>
            <w:bookmarkEnd w:id="2559"/>
          </w:p>
        </w:tc>
      </w:tr>
      <w:tr w:rsidR="00C21029" w:rsidRPr="007F78CE" w14:paraId="0438C27A" w14:textId="77777777" w:rsidTr="00B434A6">
        <w:trPr>
          <w:trHeight w:val="290"/>
        </w:trPr>
        <w:tc>
          <w:tcPr>
            <w:tcW w:w="1196" w:type="pct"/>
            <w:vMerge/>
            <w:shd w:val="clear" w:color="auto" w:fill="auto"/>
            <w:hideMark/>
          </w:tcPr>
          <w:p w14:paraId="7DDC48AF"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06DD6048" w14:textId="77777777" w:rsidR="00C21029" w:rsidRPr="00466BFF" w:rsidRDefault="00C21029" w:rsidP="00E5387E">
            <w:pPr>
              <w:spacing w:after="0" w:line="240" w:lineRule="auto"/>
              <w:rPr>
                <w:rFonts w:cs="Calibri"/>
                <w:sz w:val="20"/>
                <w:szCs w:val="20"/>
              </w:rPr>
            </w:pPr>
            <w:bookmarkStart w:id="2560" w:name="_Toc124956841"/>
            <w:r w:rsidRPr="00466BFF">
              <w:rPr>
                <w:rFonts w:cs="Calibri"/>
                <w:sz w:val="20"/>
                <w:szCs w:val="20"/>
              </w:rPr>
              <w:t>Gendarmerie Nationale : GAPJ</w:t>
            </w:r>
            <w:bookmarkEnd w:id="2560"/>
          </w:p>
        </w:tc>
        <w:tc>
          <w:tcPr>
            <w:tcW w:w="620" w:type="pct"/>
            <w:shd w:val="clear" w:color="auto" w:fill="auto"/>
            <w:noWrap/>
            <w:hideMark/>
          </w:tcPr>
          <w:p w14:paraId="75C363A0" w14:textId="77777777" w:rsidR="00C21029" w:rsidRPr="00466BFF" w:rsidRDefault="00C21029" w:rsidP="00E5387E">
            <w:pPr>
              <w:spacing w:after="0" w:line="240" w:lineRule="auto"/>
              <w:rPr>
                <w:rFonts w:cs="Calibri"/>
                <w:sz w:val="20"/>
                <w:szCs w:val="20"/>
              </w:rPr>
            </w:pPr>
            <w:bookmarkStart w:id="2561" w:name="_Toc124956842"/>
            <w:r w:rsidRPr="00466BFF">
              <w:rPr>
                <w:rFonts w:cs="Calibri"/>
                <w:sz w:val="20"/>
                <w:szCs w:val="20"/>
              </w:rPr>
              <w:t>0341400546</w:t>
            </w:r>
            <w:bookmarkEnd w:id="2561"/>
          </w:p>
        </w:tc>
        <w:tc>
          <w:tcPr>
            <w:tcW w:w="1353" w:type="pct"/>
            <w:shd w:val="clear" w:color="auto" w:fill="auto"/>
            <w:noWrap/>
            <w:hideMark/>
          </w:tcPr>
          <w:p w14:paraId="63D1D72D" w14:textId="77777777" w:rsidR="00C21029" w:rsidRPr="00466BFF" w:rsidRDefault="00C21029" w:rsidP="00E5387E">
            <w:pPr>
              <w:spacing w:after="0" w:line="240" w:lineRule="auto"/>
              <w:rPr>
                <w:rFonts w:cs="Calibri"/>
                <w:sz w:val="20"/>
                <w:szCs w:val="20"/>
              </w:rPr>
            </w:pPr>
            <w:bookmarkStart w:id="2562" w:name="_Toc124956843"/>
            <w:r w:rsidRPr="00466BFF">
              <w:rPr>
                <w:rFonts w:cs="Calibri"/>
                <w:sz w:val="20"/>
                <w:szCs w:val="20"/>
              </w:rPr>
              <w:t>Maintirano</w:t>
            </w:r>
            <w:bookmarkEnd w:id="2562"/>
          </w:p>
        </w:tc>
      </w:tr>
      <w:tr w:rsidR="00C21029" w:rsidRPr="007F78CE" w14:paraId="158E695C" w14:textId="77777777" w:rsidTr="00B434A6">
        <w:trPr>
          <w:trHeight w:val="290"/>
        </w:trPr>
        <w:tc>
          <w:tcPr>
            <w:tcW w:w="1196" w:type="pct"/>
            <w:vMerge/>
            <w:shd w:val="clear" w:color="auto" w:fill="auto"/>
            <w:hideMark/>
          </w:tcPr>
          <w:p w14:paraId="10896FBB"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03900F43" w14:textId="77777777" w:rsidR="00C21029" w:rsidRPr="00466BFF" w:rsidRDefault="00C21029" w:rsidP="00E5387E">
            <w:pPr>
              <w:spacing w:after="0" w:line="240" w:lineRule="auto"/>
              <w:rPr>
                <w:rFonts w:cs="Calibri"/>
                <w:sz w:val="20"/>
                <w:szCs w:val="20"/>
              </w:rPr>
            </w:pPr>
            <w:bookmarkStart w:id="2563" w:name="_Toc124956844"/>
            <w:r w:rsidRPr="00466BFF">
              <w:rPr>
                <w:rFonts w:cs="Calibri"/>
                <w:sz w:val="20"/>
                <w:szCs w:val="20"/>
              </w:rPr>
              <w:t>Tribunal de Première Instance</w:t>
            </w:r>
            <w:bookmarkEnd w:id="2563"/>
          </w:p>
        </w:tc>
        <w:tc>
          <w:tcPr>
            <w:tcW w:w="620" w:type="pct"/>
            <w:shd w:val="clear" w:color="auto" w:fill="auto"/>
            <w:noWrap/>
            <w:hideMark/>
          </w:tcPr>
          <w:p w14:paraId="48A624E7"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28E2882A" w14:textId="77777777" w:rsidR="00C21029" w:rsidRPr="00466BFF" w:rsidRDefault="00C21029" w:rsidP="00E5387E">
            <w:pPr>
              <w:spacing w:after="0" w:line="240" w:lineRule="auto"/>
              <w:rPr>
                <w:rFonts w:cs="Calibri"/>
                <w:sz w:val="20"/>
                <w:szCs w:val="20"/>
              </w:rPr>
            </w:pPr>
            <w:bookmarkStart w:id="2564" w:name="_Toc124956845"/>
            <w:r w:rsidRPr="00466BFF">
              <w:rPr>
                <w:rFonts w:cs="Calibri"/>
                <w:sz w:val="20"/>
                <w:szCs w:val="20"/>
              </w:rPr>
              <w:t>Maintirano</w:t>
            </w:r>
            <w:bookmarkEnd w:id="2564"/>
          </w:p>
        </w:tc>
      </w:tr>
      <w:tr w:rsidR="00C21029" w:rsidRPr="007F78CE" w14:paraId="5B6646ED" w14:textId="77777777" w:rsidTr="00B434A6">
        <w:trPr>
          <w:trHeight w:val="290"/>
        </w:trPr>
        <w:tc>
          <w:tcPr>
            <w:tcW w:w="1196" w:type="pct"/>
            <w:vMerge w:val="restart"/>
            <w:shd w:val="clear" w:color="auto" w:fill="auto"/>
            <w:noWrap/>
            <w:hideMark/>
          </w:tcPr>
          <w:p w14:paraId="136CA772" w14:textId="77777777" w:rsidR="00C21029" w:rsidRPr="00B434A6" w:rsidRDefault="00C21029" w:rsidP="00E5387E">
            <w:pPr>
              <w:spacing w:after="0" w:line="240" w:lineRule="auto"/>
              <w:rPr>
                <w:rFonts w:cs="Cambria"/>
                <w:color w:val="212121"/>
                <w:sz w:val="20"/>
                <w:szCs w:val="20"/>
              </w:rPr>
            </w:pPr>
            <w:r w:rsidRPr="00B434A6">
              <w:rPr>
                <w:rFonts w:cs="Cambria"/>
                <w:color w:val="212121"/>
                <w:sz w:val="20"/>
                <w:szCs w:val="20"/>
              </w:rPr>
              <w:t>BETSIBOKA</w:t>
            </w:r>
          </w:p>
        </w:tc>
        <w:tc>
          <w:tcPr>
            <w:tcW w:w="1831" w:type="pct"/>
            <w:shd w:val="clear" w:color="auto" w:fill="auto"/>
            <w:noWrap/>
            <w:hideMark/>
          </w:tcPr>
          <w:p w14:paraId="4A607CA8" w14:textId="77777777" w:rsidR="00C21029" w:rsidRPr="00466BFF" w:rsidRDefault="00C21029" w:rsidP="00E5387E">
            <w:pPr>
              <w:spacing w:after="0" w:line="240" w:lineRule="auto"/>
              <w:rPr>
                <w:rFonts w:cs="Calibri"/>
                <w:sz w:val="20"/>
                <w:szCs w:val="20"/>
              </w:rPr>
            </w:pPr>
            <w:bookmarkStart w:id="2565" w:name="_Toc124956846"/>
            <w:r w:rsidRPr="00466BFF">
              <w:rPr>
                <w:rFonts w:cs="Calibri"/>
                <w:sz w:val="20"/>
                <w:szCs w:val="20"/>
              </w:rPr>
              <w:t>Service Public</w:t>
            </w:r>
            <w:bookmarkEnd w:id="2565"/>
          </w:p>
        </w:tc>
        <w:tc>
          <w:tcPr>
            <w:tcW w:w="620" w:type="pct"/>
            <w:shd w:val="clear" w:color="auto" w:fill="auto"/>
          </w:tcPr>
          <w:p w14:paraId="729B145E" w14:textId="77777777" w:rsidR="00C21029" w:rsidRPr="00466BFF" w:rsidRDefault="00C21029" w:rsidP="00E5387E">
            <w:pPr>
              <w:spacing w:after="0" w:line="240" w:lineRule="auto"/>
              <w:rPr>
                <w:rFonts w:cs="Calibri"/>
                <w:sz w:val="20"/>
                <w:szCs w:val="20"/>
              </w:rPr>
            </w:pPr>
          </w:p>
        </w:tc>
        <w:tc>
          <w:tcPr>
            <w:tcW w:w="1353" w:type="pct"/>
            <w:shd w:val="clear" w:color="auto" w:fill="auto"/>
          </w:tcPr>
          <w:p w14:paraId="42694419" w14:textId="77777777" w:rsidR="00C21029" w:rsidRPr="00466BFF" w:rsidRDefault="00C21029" w:rsidP="00E5387E">
            <w:pPr>
              <w:spacing w:after="0" w:line="240" w:lineRule="auto"/>
              <w:rPr>
                <w:rFonts w:cs="Calibri"/>
                <w:sz w:val="20"/>
                <w:szCs w:val="20"/>
              </w:rPr>
            </w:pPr>
          </w:p>
        </w:tc>
      </w:tr>
      <w:tr w:rsidR="00C21029" w:rsidRPr="007F78CE" w14:paraId="1E47FCDE" w14:textId="77777777" w:rsidTr="00B434A6">
        <w:trPr>
          <w:trHeight w:val="290"/>
        </w:trPr>
        <w:tc>
          <w:tcPr>
            <w:tcW w:w="1196" w:type="pct"/>
            <w:vMerge/>
            <w:shd w:val="clear" w:color="auto" w:fill="auto"/>
            <w:hideMark/>
          </w:tcPr>
          <w:p w14:paraId="7DBBD5C0"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2A0416EB" w14:textId="77777777" w:rsidR="00C21029" w:rsidRPr="00466BFF" w:rsidRDefault="00C21029" w:rsidP="00E5387E">
            <w:pPr>
              <w:spacing w:after="0" w:line="240" w:lineRule="auto"/>
              <w:rPr>
                <w:rFonts w:cs="Calibri"/>
                <w:sz w:val="20"/>
                <w:szCs w:val="20"/>
              </w:rPr>
            </w:pPr>
            <w:bookmarkStart w:id="2566" w:name="_Toc124956847"/>
            <w:r w:rsidRPr="00466BFF">
              <w:rPr>
                <w:rFonts w:cs="Calibri"/>
                <w:sz w:val="20"/>
                <w:szCs w:val="20"/>
              </w:rPr>
              <w:t>Gendarmerie Nationale : GAPJ</w:t>
            </w:r>
            <w:bookmarkEnd w:id="2566"/>
          </w:p>
        </w:tc>
        <w:tc>
          <w:tcPr>
            <w:tcW w:w="620" w:type="pct"/>
            <w:shd w:val="clear" w:color="auto" w:fill="auto"/>
            <w:noWrap/>
            <w:hideMark/>
          </w:tcPr>
          <w:p w14:paraId="79F00C0F" w14:textId="77777777" w:rsidR="00C21029" w:rsidRPr="00466BFF" w:rsidRDefault="00C21029" w:rsidP="00E5387E">
            <w:pPr>
              <w:spacing w:after="0" w:line="240" w:lineRule="auto"/>
              <w:rPr>
                <w:rFonts w:cs="Calibri"/>
                <w:sz w:val="20"/>
                <w:szCs w:val="20"/>
              </w:rPr>
            </w:pPr>
            <w:bookmarkStart w:id="2567" w:name="_Toc124956848"/>
            <w:r w:rsidRPr="00466BFF">
              <w:rPr>
                <w:rFonts w:cs="Calibri"/>
                <w:sz w:val="20"/>
                <w:szCs w:val="20"/>
              </w:rPr>
              <w:t>0341400543</w:t>
            </w:r>
            <w:bookmarkEnd w:id="2567"/>
          </w:p>
        </w:tc>
        <w:tc>
          <w:tcPr>
            <w:tcW w:w="1353" w:type="pct"/>
            <w:shd w:val="clear" w:color="auto" w:fill="auto"/>
            <w:noWrap/>
            <w:hideMark/>
          </w:tcPr>
          <w:p w14:paraId="090BA1B9" w14:textId="77777777" w:rsidR="00C21029" w:rsidRPr="00466BFF" w:rsidRDefault="00C21029" w:rsidP="00E5387E">
            <w:pPr>
              <w:spacing w:after="0" w:line="240" w:lineRule="auto"/>
              <w:rPr>
                <w:rFonts w:cs="Calibri"/>
                <w:sz w:val="20"/>
                <w:szCs w:val="20"/>
              </w:rPr>
            </w:pPr>
            <w:bookmarkStart w:id="2568" w:name="_Toc124956849"/>
            <w:r w:rsidRPr="00466BFF">
              <w:rPr>
                <w:rFonts w:cs="Calibri"/>
                <w:sz w:val="20"/>
                <w:szCs w:val="20"/>
              </w:rPr>
              <w:t>Maevatanana</w:t>
            </w:r>
            <w:bookmarkEnd w:id="2568"/>
          </w:p>
        </w:tc>
      </w:tr>
      <w:tr w:rsidR="00C21029" w:rsidRPr="007F78CE" w14:paraId="5FC0B810" w14:textId="77777777" w:rsidTr="00B434A6">
        <w:trPr>
          <w:trHeight w:val="290"/>
        </w:trPr>
        <w:tc>
          <w:tcPr>
            <w:tcW w:w="1196" w:type="pct"/>
            <w:vMerge/>
            <w:shd w:val="clear" w:color="auto" w:fill="auto"/>
            <w:hideMark/>
          </w:tcPr>
          <w:p w14:paraId="4ABC8F23"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3ECC1E49" w14:textId="77777777" w:rsidR="00C21029" w:rsidRPr="00466BFF" w:rsidRDefault="00C21029" w:rsidP="00E5387E">
            <w:pPr>
              <w:spacing w:after="0" w:line="240" w:lineRule="auto"/>
              <w:rPr>
                <w:rFonts w:cs="Calibri"/>
                <w:sz w:val="20"/>
                <w:szCs w:val="20"/>
              </w:rPr>
            </w:pPr>
            <w:bookmarkStart w:id="2569" w:name="_Toc124956850"/>
            <w:r w:rsidRPr="00466BFF">
              <w:rPr>
                <w:rFonts w:cs="Calibri"/>
                <w:sz w:val="20"/>
                <w:szCs w:val="20"/>
              </w:rPr>
              <w:t>Tribunal de Première Instance</w:t>
            </w:r>
            <w:bookmarkEnd w:id="2569"/>
          </w:p>
        </w:tc>
        <w:tc>
          <w:tcPr>
            <w:tcW w:w="620" w:type="pct"/>
            <w:shd w:val="clear" w:color="auto" w:fill="auto"/>
            <w:noWrap/>
            <w:hideMark/>
          </w:tcPr>
          <w:p w14:paraId="37B2B7ED"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5E46DE08" w14:textId="77777777" w:rsidR="00C21029" w:rsidRPr="00466BFF" w:rsidRDefault="00C21029" w:rsidP="00E5387E">
            <w:pPr>
              <w:spacing w:after="0" w:line="240" w:lineRule="auto"/>
              <w:rPr>
                <w:rFonts w:cs="Calibri"/>
                <w:sz w:val="20"/>
                <w:szCs w:val="20"/>
              </w:rPr>
            </w:pPr>
            <w:bookmarkStart w:id="2570" w:name="_Toc124956851"/>
            <w:r w:rsidRPr="00466BFF">
              <w:rPr>
                <w:rFonts w:cs="Calibri"/>
                <w:sz w:val="20"/>
                <w:szCs w:val="20"/>
              </w:rPr>
              <w:t>Maevatanana</w:t>
            </w:r>
            <w:bookmarkEnd w:id="2570"/>
          </w:p>
        </w:tc>
      </w:tr>
      <w:tr w:rsidR="00C21029" w:rsidRPr="007F78CE" w14:paraId="722D2FB9" w14:textId="77777777" w:rsidTr="00B434A6">
        <w:trPr>
          <w:trHeight w:val="290"/>
        </w:trPr>
        <w:tc>
          <w:tcPr>
            <w:tcW w:w="1196" w:type="pct"/>
            <w:vMerge w:val="restart"/>
            <w:shd w:val="clear" w:color="auto" w:fill="auto"/>
            <w:noWrap/>
            <w:hideMark/>
          </w:tcPr>
          <w:p w14:paraId="7F6231DF" w14:textId="77777777" w:rsidR="00C21029" w:rsidRPr="00B434A6" w:rsidRDefault="00C21029" w:rsidP="00E5387E">
            <w:pPr>
              <w:spacing w:after="0" w:line="240" w:lineRule="auto"/>
              <w:rPr>
                <w:rFonts w:cs="Cambria"/>
                <w:color w:val="212121"/>
                <w:sz w:val="20"/>
                <w:szCs w:val="20"/>
              </w:rPr>
            </w:pPr>
            <w:r w:rsidRPr="00B434A6">
              <w:rPr>
                <w:rFonts w:cs="Cambria"/>
                <w:color w:val="212121"/>
                <w:sz w:val="20"/>
                <w:szCs w:val="20"/>
              </w:rPr>
              <w:t>SOFIA</w:t>
            </w:r>
          </w:p>
        </w:tc>
        <w:tc>
          <w:tcPr>
            <w:tcW w:w="3804" w:type="pct"/>
            <w:gridSpan w:val="3"/>
            <w:shd w:val="clear" w:color="auto" w:fill="auto"/>
            <w:noWrap/>
            <w:hideMark/>
          </w:tcPr>
          <w:p w14:paraId="75204613" w14:textId="77777777" w:rsidR="00C21029" w:rsidRPr="00466BFF" w:rsidRDefault="00C21029" w:rsidP="00E5387E">
            <w:pPr>
              <w:spacing w:after="0" w:line="240" w:lineRule="auto"/>
              <w:rPr>
                <w:rFonts w:cs="Calibri"/>
                <w:sz w:val="20"/>
                <w:szCs w:val="20"/>
              </w:rPr>
            </w:pPr>
            <w:bookmarkStart w:id="2571" w:name="_Toc124956852"/>
            <w:r w:rsidRPr="00466BFF">
              <w:rPr>
                <w:rFonts w:cs="Calibri"/>
                <w:sz w:val="20"/>
                <w:szCs w:val="20"/>
              </w:rPr>
              <w:t>Service Public</w:t>
            </w:r>
            <w:bookmarkEnd w:id="2571"/>
          </w:p>
        </w:tc>
      </w:tr>
      <w:tr w:rsidR="00C21029" w:rsidRPr="007F78CE" w14:paraId="4E2439C3" w14:textId="77777777" w:rsidTr="00B434A6">
        <w:trPr>
          <w:trHeight w:val="290"/>
        </w:trPr>
        <w:tc>
          <w:tcPr>
            <w:tcW w:w="1196" w:type="pct"/>
            <w:vMerge/>
            <w:shd w:val="clear" w:color="auto" w:fill="auto"/>
            <w:hideMark/>
          </w:tcPr>
          <w:p w14:paraId="4A8CD0E8"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17372222" w14:textId="77777777" w:rsidR="00C21029" w:rsidRPr="00466BFF" w:rsidRDefault="00C21029" w:rsidP="00E5387E">
            <w:pPr>
              <w:spacing w:after="0" w:line="240" w:lineRule="auto"/>
              <w:rPr>
                <w:rFonts w:cs="Calibri"/>
                <w:sz w:val="20"/>
                <w:szCs w:val="20"/>
              </w:rPr>
            </w:pPr>
            <w:bookmarkStart w:id="2572" w:name="_Toc124956853"/>
            <w:r w:rsidRPr="00466BFF">
              <w:rPr>
                <w:rFonts w:cs="Calibri"/>
                <w:sz w:val="20"/>
                <w:szCs w:val="20"/>
              </w:rPr>
              <w:t>Gendarmerie Nationale : GAPJ</w:t>
            </w:r>
            <w:bookmarkEnd w:id="2572"/>
          </w:p>
        </w:tc>
        <w:tc>
          <w:tcPr>
            <w:tcW w:w="620" w:type="pct"/>
            <w:shd w:val="clear" w:color="auto" w:fill="auto"/>
            <w:noWrap/>
            <w:hideMark/>
          </w:tcPr>
          <w:p w14:paraId="392541A0" w14:textId="77777777" w:rsidR="00C21029" w:rsidRPr="00466BFF" w:rsidRDefault="00C21029" w:rsidP="00E5387E">
            <w:pPr>
              <w:spacing w:after="0" w:line="240" w:lineRule="auto"/>
              <w:rPr>
                <w:rFonts w:cs="Calibri"/>
                <w:sz w:val="20"/>
                <w:szCs w:val="20"/>
              </w:rPr>
            </w:pPr>
            <w:bookmarkStart w:id="2573" w:name="_Toc124956854"/>
            <w:r w:rsidRPr="00466BFF">
              <w:rPr>
                <w:rFonts w:cs="Calibri"/>
                <w:sz w:val="20"/>
                <w:szCs w:val="20"/>
              </w:rPr>
              <w:t>0341400543</w:t>
            </w:r>
            <w:bookmarkEnd w:id="2573"/>
          </w:p>
        </w:tc>
        <w:tc>
          <w:tcPr>
            <w:tcW w:w="1353" w:type="pct"/>
            <w:shd w:val="clear" w:color="auto" w:fill="auto"/>
            <w:noWrap/>
            <w:hideMark/>
          </w:tcPr>
          <w:p w14:paraId="655377B5" w14:textId="77777777" w:rsidR="00C21029" w:rsidRPr="00466BFF" w:rsidRDefault="00C21029" w:rsidP="00E5387E">
            <w:pPr>
              <w:spacing w:after="0" w:line="240" w:lineRule="auto"/>
              <w:rPr>
                <w:rFonts w:cs="Calibri"/>
                <w:sz w:val="20"/>
                <w:szCs w:val="20"/>
              </w:rPr>
            </w:pPr>
            <w:bookmarkStart w:id="2574" w:name="_Toc124956855"/>
            <w:r w:rsidRPr="00466BFF">
              <w:rPr>
                <w:rFonts w:cs="Calibri"/>
                <w:sz w:val="20"/>
                <w:szCs w:val="20"/>
              </w:rPr>
              <w:t>Antsohihy</w:t>
            </w:r>
            <w:bookmarkEnd w:id="2574"/>
          </w:p>
        </w:tc>
      </w:tr>
      <w:tr w:rsidR="00C21029" w:rsidRPr="007F78CE" w14:paraId="26604E46" w14:textId="77777777" w:rsidTr="00B434A6">
        <w:trPr>
          <w:trHeight w:val="290"/>
        </w:trPr>
        <w:tc>
          <w:tcPr>
            <w:tcW w:w="1196" w:type="pct"/>
            <w:vMerge/>
            <w:shd w:val="clear" w:color="auto" w:fill="auto"/>
            <w:hideMark/>
          </w:tcPr>
          <w:p w14:paraId="5EC8D3F7"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59789AAC" w14:textId="77777777" w:rsidR="00C21029" w:rsidRPr="00466BFF" w:rsidRDefault="00C21029" w:rsidP="00E5387E">
            <w:pPr>
              <w:spacing w:after="0" w:line="240" w:lineRule="auto"/>
              <w:rPr>
                <w:rFonts w:cs="Calibri"/>
                <w:sz w:val="20"/>
                <w:szCs w:val="20"/>
              </w:rPr>
            </w:pPr>
            <w:bookmarkStart w:id="2575" w:name="_Toc124956856"/>
            <w:r w:rsidRPr="00466BFF">
              <w:rPr>
                <w:rFonts w:cs="Calibri"/>
                <w:sz w:val="20"/>
                <w:szCs w:val="20"/>
              </w:rPr>
              <w:t>Tribunal de Première Instance</w:t>
            </w:r>
            <w:bookmarkEnd w:id="2575"/>
          </w:p>
        </w:tc>
        <w:tc>
          <w:tcPr>
            <w:tcW w:w="620" w:type="pct"/>
            <w:shd w:val="clear" w:color="auto" w:fill="auto"/>
            <w:noWrap/>
            <w:hideMark/>
          </w:tcPr>
          <w:p w14:paraId="02D2A090"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65667340" w14:textId="77777777" w:rsidR="00C21029" w:rsidRPr="00466BFF" w:rsidRDefault="00C21029" w:rsidP="00E5387E">
            <w:pPr>
              <w:spacing w:after="0" w:line="240" w:lineRule="auto"/>
              <w:rPr>
                <w:rFonts w:cs="Calibri"/>
                <w:sz w:val="20"/>
                <w:szCs w:val="20"/>
              </w:rPr>
            </w:pPr>
            <w:bookmarkStart w:id="2576" w:name="_Toc124956857"/>
            <w:r w:rsidRPr="00466BFF">
              <w:rPr>
                <w:rFonts w:cs="Calibri"/>
                <w:sz w:val="20"/>
                <w:szCs w:val="20"/>
              </w:rPr>
              <w:t>Antsohihy</w:t>
            </w:r>
            <w:bookmarkEnd w:id="2576"/>
          </w:p>
        </w:tc>
      </w:tr>
      <w:tr w:rsidR="00C21029" w:rsidRPr="007F78CE" w14:paraId="2D6268E3" w14:textId="77777777" w:rsidTr="00B434A6">
        <w:trPr>
          <w:trHeight w:val="290"/>
        </w:trPr>
        <w:tc>
          <w:tcPr>
            <w:tcW w:w="1196" w:type="pct"/>
            <w:vMerge/>
            <w:shd w:val="clear" w:color="auto" w:fill="auto"/>
            <w:hideMark/>
          </w:tcPr>
          <w:p w14:paraId="57A78CC0"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51CF79DD" w14:textId="77777777" w:rsidR="00C21029" w:rsidRPr="00466BFF" w:rsidRDefault="00C21029" w:rsidP="00E5387E">
            <w:pPr>
              <w:spacing w:after="0" w:line="240" w:lineRule="auto"/>
              <w:rPr>
                <w:rFonts w:cs="Calibri"/>
                <w:sz w:val="20"/>
                <w:szCs w:val="20"/>
              </w:rPr>
            </w:pPr>
            <w:bookmarkStart w:id="2577" w:name="_Toc124956858"/>
            <w:r w:rsidRPr="00466BFF">
              <w:rPr>
                <w:rFonts w:cs="Calibri"/>
                <w:sz w:val="20"/>
                <w:szCs w:val="20"/>
              </w:rPr>
              <w:t>Tribunal de Première Instance</w:t>
            </w:r>
            <w:bookmarkEnd w:id="2577"/>
          </w:p>
        </w:tc>
        <w:tc>
          <w:tcPr>
            <w:tcW w:w="620" w:type="pct"/>
            <w:shd w:val="clear" w:color="auto" w:fill="auto"/>
            <w:noWrap/>
            <w:hideMark/>
          </w:tcPr>
          <w:p w14:paraId="1F830481"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00508DF4" w14:textId="77777777" w:rsidR="00C21029" w:rsidRPr="00466BFF" w:rsidRDefault="00C21029" w:rsidP="00E5387E">
            <w:pPr>
              <w:spacing w:after="0" w:line="240" w:lineRule="auto"/>
              <w:rPr>
                <w:rFonts w:cs="Calibri"/>
                <w:sz w:val="20"/>
                <w:szCs w:val="20"/>
              </w:rPr>
            </w:pPr>
            <w:bookmarkStart w:id="2578" w:name="_Toc124956859"/>
            <w:r w:rsidRPr="00466BFF">
              <w:rPr>
                <w:rFonts w:cs="Calibri"/>
                <w:sz w:val="20"/>
                <w:szCs w:val="20"/>
              </w:rPr>
              <w:t>Analalava</w:t>
            </w:r>
            <w:bookmarkEnd w:id="2578"/>
          </w:p>
        </w:tc>
      </w:tr>
      <w:tr w:rsidR="00C21029" w:rsidRPr="007F78CE" w14:paraId="7B3167F8" w14:textId="77777777" w:rsidTr="00B434A6">
        <w:trPr>
          <w:trHeight w:val="290"/>
        </w:trPr>
        <w:tc>
          <w:tcPr>
            <w:tcW w:w="1196" w:type="pct"/>
            <w:vMerge/>
            <w:shd w:val="clear" w:color="auto" w:fill="auto"/>
            <w:hideMark/>
          </w:tcPr>
          <w:p w14:paraId="335E9C7E"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4FA64F56" w14:textId="77777777" w:rsidR="00C21029" w:rsidRPr="00466BFF" w:rsidRDefault="00C21029" w:rsidP="00E5387E">
            <w:pPr>
              <w:spacing w:after="0" w:line="240" w:lineRule="auto"/>
              <w:rPr>
                <w:rFonts w:cs="Calibri"/>
                <w:sz w:val="20"/>
                <w:szCs w:val="20"/>
              </w:rPr>
            </w:pPr>
            <w:bookmarkStart w:id="2579" w:name="_Toc124956860"/>
            <w:r w:rsidRPr="00466BFF">
              <w:rPr>
                <w:rFonts w:cs="Calibri"/>
                <w:sz w:val="20"/>
                <w:szCs w:val="20"/>
              </w:rPr>
              <w:t>Tribunal de Première Instance</w:t>
            </w:r>
            <w:bookmarkEnd w:id="2579"/>
          </w:p>
        </w:tc>
        <w:tc>
          <w:tcPr>
            <w:tcW w:w="620" w:type="pct"/>
            <w:shd w:val="clear" w:color="auto" w:fill="auto"/>
            <w:noWrap/>
            <w:hideMark/>
          </w:tcPr>
          <w:p w14:paraId="3A3E6D9C"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07FFCB92" w14:textId="77777777" w:rsidR="00C21029" w:rsidRPr="00466BFF" w:rsidRDefault="00C21029" w:rsidP="00E5387E">
            <w:pPr>
              <w:spacing w:after="0" w:line="240" w:lineRule="auto"/>
              <w:rPr>
                <w:rFonts w:cs="Calibri"/>
                <w:sz w:val="20"/>
                <w:szCs w:val="20"/>
              </w:rPr>
            </w:pPr>
            <w:bookmarkStart w:id="2580" w:name="_Toc124956861"/>
            <w:r w:rsidRPr="00466BFF">
              <w:rPr>
                <w:rFonts w:cs="Calibri"/>
                <w:sz w:val="20"/>
                <w:szCs w:val="20"/>
              </w:rPr>
              <w:t>Mampikony</w:t>
            </w:r>
            <w:bookmarkEnd w:id="2580"/>
          </w:p>
        </w:tc>
      </w:tr>
      <w:tr w:rsidR="00C21029" w:rsidRPr="007F78CE" w14:paraId="23729F9D" w14:textId="77777777" w:rsidTr="00B434A6">
        <w:trPr>
          <w:trHeight w:val="290"/>
        </w:trPr>
        <w:tc>
          <w:tcPr>
            <w:tcW w:w="1196" w:type="pct"/>
            <w:vMerge/>
            <w:shd w:val="clear" w:color="auto" w:fill="auto"/>
            <w:hideMark/>
          </w:tcPr>
          <w:p w14:paraId="316E7D52"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76CA7FBD" w14:textId="77777777" w:rsidR="00C21029" w:rsidRPr="00466BFF" w:rsidRDefault="00C21029" w:rsidP="00E5387E">
            <w:pPr>
              <w:spacing w:after="0" w:line="240" w:lineRule="auto"/>
              <w:rPr>
                <w:rFonts w:cs="Calibri"/>
                <w:sz w:val="20"/>
                <w:szCs w:val="20"/>
              </w:rPr>
            </w:pPr>
            <w:bookmarkStart w:id="2581" w:name="_Toc124956862"/>
            <w:r w:rsidRPr="00466BFF">
              <w:rPr>
                <w:rFonts w:cs="Calibri"/>
                <w:sz w:val="20"/>
                <w:szCs w:val="20"/>
              </w:rPr>
              <w:t>Tribunal de Première Instance</w:t>
            </w:r>
            <w:bookmarkEnd w:id="2581"/>
          </w:p>
        </w:tc>
        <w:tc>
          <w:tcPr>
            <w:tcW w:w="620" w:type="pct"/>
            <w:shd w:val="clear" w:color="auto" w:fill="auto"/>
            <w:noWrap/>
            <w:hideMark/>
          </w:tcPr>
          <w:p w14:paraId="51936467"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1E7FAF3E" w14:textId="77777777" w:rsidR="00C21029" w:rsidRPr="00466BFF" w:rsidRDefault="00C21029" w:rsidP="00E5387E">
            <w:pPr>
              <w:spacing w:after="0" w:line="240" w:lineRule="auto"/>
              <w:rPr>
                <w:rFonts w:cs="Calibri"/>
                <w:sz w:val="20"/>
                <w:szCs w:val="20"/>
              </w:rPr>
            </w:pPr>
            <w:bookmarkStart w:id="2582" w:name="_Toc124956863"/>
            <w:r w:rsidRPr="00466BFF">
              <w:rPr>
                <w:rFonts w:cs="Calibri"/>
                <w:sz w:val="20"/>
                <w:szCs w:val="20"/>
              </w:rPr>
              <w:t>Boriziny</w:t>
            </w:r>
            <w:bookmarkEnd w:id="2582"/>
          </w:p>
        </w:tc>
      </w:tr>
      <w:tr w:rsidR="00C21029" w:rsidRPr="007F78CE" w14:paraId="04D008A3" w14:textId="77777777" w:rsidTr="00B434A6">
        <w:trPr>
          <w:trHeight w:val="290"/>
        </w:trPr>
        <w:tc>
          <w:tcPr>
            <w:tcW w:w="1196" w:type="pct"/>
            <w:vMerge/>
            <w:shd w:val="clear" w:color="auto" w:fill="auto"/>
            <w:hideMark/>
          </w:tcPr>
          <w:p w14:paraId="7F620573"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6E780E8D" w14:textId="77777777" w:rsidR="00C21029" w:rsidRPr="00466BFF" w:rsidRDefault="00C21029" w:rsidP="00E5387E">
            <w:pPr>
              <w:spacing w:after="0" w:line="240" w:lineRule="auto"/>
              <w:rPr>
                <w:rFonts w:cs="Calibri"/>
                <w:sz w:val="20"/>
                <w:szCs w:val="20"/>
              </w:rPr>
            </w:pPr>
            <w:bookmarkStart w:id="2583" w:name="_Toc124956864"/>
            <w:r w:rsidRPr="00466BFF">
              <w:rPr>
                <w:rFonts w:cs="Calibri"/>
                <w:sz w:val="20"/>
                <w:szCs w:val="20"/>
              </w:rPr>
              <w:t>Tribunal de Première Instance</w:t>
            </w:r>
            <w:bookmarkEnd w:id="2583"/>
          </w:p>
        </w:tc>
        <w:tc>
          <w:tcPr>
            <w:tcW w:w="620" w:type="pct"/>
            <w:shd w:val="clear" w:color="auto" w:fill="auto"/>
            <w:noWrap/>
            <w:hideMark/>
          </w:tcPr>
          <w:p w14:paraId="0ED32825"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55B7BCBA" w14:textId="77777777" w:rsidR="00C21029" w:rsidRPr="00466BFF" w:rsidRDefault="00C21029" w:rsidP="00E5387E">
            <w:pPr>
              <w:spacing w:after="0" w:line="240" w:lineRule="auto"/>
              <w:rPr>
                <w:rFonts w:cs="Calibri"/>
                <w:sz w:val="20"/>
                <w:szCs w:val="20"/>
              </w:rPr>
            </w:pPr>
            <w:bookmarkStart w:id="2584" w:name="_Toc124956865"/>
            <w:r w:rsidRPr="00466BFF">
              <w:rPr>
                <w:rFonts w:cs="Calibri"/>
                <w:sz w:val="20"/>
                <w:szCs w:val="20"/>
              </w:rPr>
              <w:t>Mandritsara</w:t>
            </w:r>
            <w:bookmarkEnd w:id="2584"/>
          </w:p>
        </w:tc>
      </w:tr>
      <w:tr w:rsidR="00C21029" w:rsidRPr="007F78CE" w14:paraId="61D3D75E" w14:textId="77777777" w:rsidTr="00B434A6">
        <w:trPr>
          <w:trHeight w:val="290"/>
        </w:trPr>
        <w:tc>
          <w:tcPr>
            <w:tcW w:w="1196" w:type="pct"/>
            <w:vMerge w:val="restart"/>
            <w:shd w:val="clear" w:color="auto" w:fill="auto"/>
            <w:noWrap/>
            <w:hideMark/>
          </w:tcPr>
          <w:p w14:paraId="3BE7F942" w14:textId="77777777" w:rsidR="00C21029" w:rsidRPr="00B434A6" w:rsidRDefault="00C21029" w:rsidP="00E5387E">
            <w:pPr>
              <w:spacing w:after="0" w:line="240" w:lineRule="auto"/>
              <w:rPr>
                <w:rFonts w:cs="Cambria"/>
                <w:color w:val="212121"/>
                <w:sz w:val="20"/>
                <w:szCs w:val="20"/>
              </w:rPr>
            </w:pPr>
            <w:r w:rsidRPr="00B434A6">
              <w:rPr>
                <w:rFonts w:cs="Cambria"/>
                <w:color w:val="212121"/>
                <w:sz w:val="20"/>
                <w:szCs w:val="20"/>
              </w:rPr>
              <w:t>DIANA</w:t>
            </w:r>
          </w:p>
        </w:tc>
        <w:tc>
          <w:tcPr>
            <w:tcW w:w="3804" w:type="pct"/>
            <w:gridSpan w:val="3"/>
            <w:shd w:val="clear" w:color="auto" w:fill="auto"/>
            <w:noWrap/>
            <w:hideMark/>
          </w:tcPr>
          <w:p w14:paraId="4D521A9D" w14:textId="77777777" w:rsidR="00C21029" w:rsidRPr="00466BFF" w:rsidRDefault="00C21029" w:rsidP="00E5387E">
            <w:pPr>
              <w:spacing w:after="0" w:line="240" w:lineRule="auto"/>
              <w:rPr>
                <w:rFonts w:cs="Calibri"/>
                <w:sz w:val="20"/>
                <w:szCs w:val="20"/>
              </w:rPr>
            </w:pPr>
            <w:bookmarkStart w:id="2585" w:name="_Toc124956866"/>
            <w:r w:rsidRPr="00466BFF">
              <w:rPr>
                <w:rFonts w:cs="Calibri"/>
                <w:sz w:val="20"/>
                <w:szCs w:val="20"/>
              </w:rPr>
              <w:t>Service Public</w:t>
            </w:r>
            <w:bookmarkEnd w:id="2585"/>
          </w:p>
        </w:tc>
      </w:tr>
      <w:tr w:rsidR="00C21029" w:rsidRPr="007F78CE" w14:paraId="298A5CC5" w14:textId="77777777" w:rsidTr="00B434A6">
        <w:trPr>
          <w:trHeight w:val="290"/>
        </w:trPr>
        <w:tc>
          <w:tcPr>
            <w:tcW w:w="1196" w:type="pct"/>
            <w:vMerge/>
            <w:shd w:val="clear" w:color="auto" w:fill="auto"/>
            <w:hideMark/>
          </w:tcPr>
          <w:p w14:paraId="16FA254A"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15755031" w14:textId="77777777" w:rsidR="00C21029" w:rsidRPr="00466BFF" w:rsidRDefault="00C21029" w:rsidP="00E5387E">
            <w:pPr>
              <w:spacing w:after="0" w:line="240" w:lineRule="auto"/>
              <w:rPr>
                <w:rFonts w:cs="Calibri"/>
                <w:sz w:val="20"/>
                <w:szCs w:val="20"/>
              </w:rPr>
            </w:pPr>
            <w:bookmarkStart w:id="2586" w:name="_Toc124956867"/>
            <w:r w:rsidRPr="00466BFF">
              <w:rPr>
                <w:rFonts w:cs="Calibri"/>
                <w:sz w:val="20"/>
                <w:szCs w:val="20"/>
              </w:rPr>
              <w:t>Police Nationale : DPMPM</w:t>
            </w:r>
            <w:bookmarkEnd w:id="2586"/>
          </w:p>
        </w:tc>
        <w:tc>
          <w:tcPr>
            <w:tcW w:w="620" w:type="pct"/>
            <w:shd w:val="clear" w:color="auto" w:fill="auto"/>
            <w:noWrap/>
            <w:hideMark/>
          </w:tcPr>
          <w:p w14:paraId="50922624" w14:textId="77777777" w:rsidR="00C21029" w:rsidRPr="00466BFF" w:rsidRDefault="00C21029" w:rsidP="00E5387E">
            <w:pPr>
              <w:spacing w:after="0" w:line="240" w:lineRule="auto"/>
              <w:rPr>
                <w:rFonts w:cs="Calibri"/>
                <w:sz w:val="20"/>
                <w:szCs w:val="20"/>
              </w:rPr>
            </w:pPr>
            <w:bookmarkStart w:id="2587" w:name="_Toc124956868"/>
            <w:r w:rsidRPr="00466BFF">
              <w:rPr>
                <w:rFonts w:cs="Calibri"/>
                <w:sz w:val="20"/>
                <w:szCs w:val="20"/>
              </w:rPr>
              <w:t>0320225471</w:t>
            </w:r>
            <w:bookmarkEnd w:id="2587"/>
          </w:p>
        </w:tc>
        <w:tc>
          <w:tcPr>
            <w:tcW w:w="1353" w:type="pct"/>
            <w:shd w:val="clear" w:color="auto" w:fill="auto"/>
            <w:hideMark/>
          </w:tcPr>
          <w:p w14:paraId="11CE11B7" w14:textId="77777777" w:rsidR="00C21029" w:rsidRPr="00466BFF" w:rsidRDefault="007A05FA" w:rsidP="00E5387E">
            <w:pPr>
              <w:spacing w:after="0" w:line="240" w:lineRule="auto"/>
              <w:rPr>
                <w:rFonts w:cs="Calibri"/>
                <w:sz w:val="20"/>
                <w:szCs w:val="20"/>
              </w:rPr>
            </w:pPr>
            <w:bookmarkStart w:id="2588" w:name="_Toc124956869"/>
            <w:r w:rsidRPr="00466BFF">
              <w:rPr>
                <w:rFonts w:cs="Calibri"/>
                <w:sz w:val="20"/>
                <w:szCs w:val="20"/>
              </w:rPr>
              <w:t xml:space="preserve">Antsiranana </w:t>
            </w:r>
            <w:r w:rsidR="00C21029" w:rsidRPr="00466BFF">
              <w:rPr>
                <w:rFonts w:cs="Calibri"/>
                <w:sz w:val="20"/>
                <w:szCs w:val="20"/>
              </w:rPr>
              <w:t>I</w:t>
            </w:r>
            <w:bookmarkEnd w:id="2588"/>
          </w:p>
        </w:tc>
      </w:tr>
      <w:tr w:rsidR="00C21029" w:rsidRPr="007F78CE" w14:paraId="12B84515" w14:textId="77777777" w:rsidTr="00B434A6">
        <w:trPr>
          <w:trHeight w:val="290"/>
        </w:trPr>
        <w:tc>
          <w:tcPr>
            <w:tcW w:w="1196" w:type="pct"/>
            <w:vMerge/>
            <w:shd w:val="clear" w:color="auto" w:fill="auto"/>
            <w:hideMark/>
          </w:tcPr>
          <w:p w14:paraId="3C15A963"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2610212B" w14:textId="77777777" w:rsidR="00C21029" w:rsidRPr="00466BFF" w:rsidRDefault="00C21029" w:rsidP="00E5387E">
            <w:pPr>
              <w:spacing w:after="0" w:line="240" w:lineRule="auto"/>
              <w:rPr>
                <w:rFonts w:cs="Calibri"/>
                <w:sz w:val="20"/>
                <w:szCs w:val="20"/>
              </w:rPr>
            </w:pPr>
            <w:bookmarkStart w:id="2589" w:name="_Toc124956870"/>
            <w:r w:rsidRPr="00466BFF">
              <w:rPr>
                <w:rFonts w:cs="Calibri"/>
                <w:sz w:val="20"/>
                <w:szCs w:val="20"/>
              </w:rPr>
              <w:t>Police Nationale : BPMPM</w:t>
            </w:r>
            <w:bookmarkEnd w:id="2589"/>
          </w:p>
        </w:tc>
        <w:tc>
          <w:tcPr>
            <w:tcW w:w="620" w:type="pct"/>
            <w:shd w:val="clear" w:color="auto" w:fill="auto"/>
            <w:noWrap/>
            <w:hideMark/>
          </w:tcPr>
          <w:p w14:paraId="53D53F2B" w14:textId="77777777" w:rsidR="00C21029" w:rsidRPr="00466BFF" w:rsidRDefault="00C21029" w:rsidP="00E5387E">
            <w:pPr>
              <w:spacing w:after="0" w:line="240" w:lineRule="auto"/>
              <w:rPr>
                <w:rFonts w:cs="Calibri"/>
                <w:sz w:val="20"/>
                <w:szCs w:val="20"/>
              </w:rPr>
            </w:pPr>
            <w:bookmarkStart w:id="2590" w:name="_Toc124956871"/>
            <w:r w:rsidRPr="00466BFF">
              <w:rPr>
                <w:rFonts w:cs="Calibri"/>
                <w:sz w:val="20"/>
                <w:szCs w:val="20"/>
              </w:rPr>
              <w:t>0340599864</w:t>
            </w:r>
            <w:bookmarkEnd w:id="2590"/>
          </w:p>
        </w:tc>
        <w:tc>
          <w:tcPr>
            <w:tcW w:w="1353" w:type="pct"/>
            <w:shd w:val="clear" w:color="auto" w:fill="auto"/>
            <w:hideMark/>
          </w:tcPr>
          <w:p w14:paraId="36E53894" w14:textId="77777777" w:rsidR="00C21029" w:rsidRPr="00466BFF" w:rsidRDefault="00C21029" w:rsidP="00E5387E">
            <w:pPr>
              <w:spacing w:after="0" w:line="240" w:lineRule="auto"/>
              <w:rPr>
                <w:rFonts w:cs="Calibri"/>
                <w:sz w:val="20"/>
                <w:szCs w:val="20"/>
              </w:rPr>
            </w:pPr>
            <w:bookmarkStart w:id="2591" w:name="_Toc124956872"/>
            <w:r w:rsidRPr="00466BFF">
              <w:rPr>
                <w:rFonts w:cs="Calibri"/>
                <w:sz w:val="20"/>
                <w:szCs w:val="20"/>
              </w:rPr>
              <w:t>Ambanja</w:t>
            </w:r>
            <w:bookmarkEnd w:id="2591"/>
          </w:p>
        </w:tc>
      </w:tr>
      <w:tr w:rsidR="00C21029" w:rsidRPr="007F78CE" w14:paraId="5133C69F" w14:textId="77777777" w:rsidTr="00B434A6">
        <w:trPr>
          <w:trHeight w:val="290"/>
        </w:trPr>
        <w:tc>
          <w:tcPr>
            <w:tcW w:w="1196" w:type="pct"/>
            <w:vMerge/>
            <w:shd w:val="clear" w:color="auto" w:fill="auto"/>
            <w:hideMark/>
          </w:tcPr>
          <w:p w14:paraId="423EFCC3"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05739F48" w14:textId="77777777" w:rsidR="00C21029" w:rsidRPr="00466BFF" w:rsidRDefault="00C21029" w:rsidP="00E5387E">
            <w:pPr>
              <w:spacing w:after="0" w:line="240" w:lineRule="auto"/>
              <w:rPr>
                <w:rFonts w:cs="Calibri"/>
                <w:sz w:val="20"/>
                <w:szCs w:val="20"/>
              </w:rPr>
            </w:pPr>
            <w:bookmarkStart w:id="2592" w:name="_Toc124956873"/>
            <w:r w:rsidRPr="00466BFF">
              <w:rPr>
                <w:rFonts w:cs="Calibri"/>
                <w:sz w:val="20"/>
                <w:szCs w:val="20"/>
              </w:rPr>
              <w:t>Police Nationale : BPMPM</w:t>
            </w:r>
            <w:bookmarkEnd w:id="2592"/>
          </w:p>
        </w:tc>
        <w:tc>
          <w:tcPr>
            <w:tcW w:w="620" w:type="pct"/>
            <w:shd w:val="clear" w:color="auto" w:fill="auto"/>
            <w:noWrap/>
            <w:hideMark/>
          </w:tcPr>
          <w:p w14:paraId="3FB249D9" w14:textId="77777777" w:rsidR="00C21029" w:rsidRPr="00466BFF" w:rsidRDefault="00C21029" w:rsidP="00E5387E">
            <w:pPr>
              <w:spacing w:after="0" w:line="240" w:lineRule="auto"/>
              <w:rPr>
                <w:rFonts w:cs="Calibri"/>
                <w:sz w:val="20"/>
                <w:szCs w:val="20"/>
              </w:rPr>
            </w:pPr>
            <w:bookmarkStart w:id="2593" w:name="_Toc124956874"/>
            <w:r w:rsidRPr="00466BFF">
              <w:rPr>
                <w:rFonts w:cs="Calibri"/>
                <w:sz w:val="20"/>
                <w:szCs w:val="20"/>
              </w:rPr>
              <w:t>0320221185</w:t>
            </w:r>
            <w:bookmarkEnd w:id="2593"/>
          </w:p>
        </w:tc>
        <w:tc>
          <w:tcPr>
            <w:tcW w:w="1353" w:type="pct"/>
            <w:shd w:val="clear" w:color="auto" w:fill="auto"/>
            <w:hideMark/>
          </w:tcPr>
          <w:p w14:paraId="35C7E89E" w14:textId="77777777" w:rsidR="00C21029" w:rsidRPr="00466BFF" w:rsidRDefault="00C21029" w:rsidP="00E5387E">
            <w:pPr>
              <w:spacing w:after="0" w:line="240" w:lineRule="auto"/>
              <w:rPr>
                <w:rFonts w:cs="Calibri"/>
                <w:sz w:val="20"/>
                <w:szCs w:val="20"/>
              </w:rPr>
            </w:pPr>
            <w:bookmarkStart w:id="2594" w:name="_Toc124956875"/>
            <w:r w:rsidRPr="00466BFF">
              <w:rPr>
                <w:rFonts w:cs="Calibri"/>
                <w:sz w:val="20"/>
                <w:szCs w:val="20"/>
              </w:rPr>
              <w:t>Nosy Be</w:t>
            </w:r>
            <w:bookmarkEnd w:id="2594"/>
          </w:p>
        </w:tc>
      </w:tr>
      <w:tr w:rsidR="00C21029" w:rsidRPr="007F78CE" w14:paraId="69098E3C" w14:textId="77777777" w:rsidTr="00B434A6">
        <w:trPr>
          <w:trHeight w:val="290"/>
        </w:trPr>
        <w:tc>
          <w:tcPr>
            <w:tcW w:w="1196" w:type="pct"/>
            <w:vMerge/>
            <w:shd w:val="clear" w:color="auto" w:fill="auto"/>
            <w:hideMark/>
          </w:tcPr>
          <w:p w14:paraId="4A5797B4"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1D63BB58" w14:textId="77777777" w:rsidR="00C21029" w:rsidRPr="00466BFF" w:rsidRDefault="00C21029" w:rsidP="00E5387E">
            <w:pPr>
              <w:spacing w:after="0" w:line="240" w:lineRule="auto"/>
              <w:rPr>
                <w:rFonts w:cs="Calibri"/>
                <w:sz w:val="20"/>
                <w:szCs w:val="20"/>
              </w:rPr>
            </w:pPr>
            <w:bookmarkStart w:id="2595" w:name="_Toc124956876"/>
            <w:r w:rsidRPr="00466BFF">
              <w:rPr>
                <w:rFonts w:cs="Calibri"/>
                <w:sz w:val="20"/>
                <w:szCs w:val="20"/>
              </w:rPr>
              <w:t>Gendarmerie Nationale : SRC</w:t>
            </w:r>
            <w:bookmarkEnd w:id="2595"/>
          </w:p>
        </w:tc>
        <w:tc>
          <w:tcPr>
            <w:tcW w:w="620" w:type="pct"/>
            <w:shd w:val="clear" w:color="auto" w:fill="auto"/>
            <w:noWrap/>
            <w:hideMark/>
          </w:tcPr>
          <w:p w14:paraId="1616E87A" w14:textId="77777777" w:rsidR="00C21029" w:rsidRPr="00466BFF" w:rsidRDefault="00C21029" w:rsidP="00E5387E">
            <w:pPr>
              <w:spacing w:after="0" w:line="240" w:lineRule="auto"/>
              <w:rPr>
                <w:rFonts w:cs="Calibri"/>
                <w:sz w:val="20"/>
                <w:szCs w:val="20"/>
              </w:rPr>
            </w:pPr>
            <w:bookmarkStart w:id="2596" w:name="_Toc124956877"/>
            <w:r w:rsidRPr="00466BFF">
              <w:rPr>
                <w:rFonts w:cs="Calibri"/>
                <w:sz w:val="20"/>
                <w:szCs w:val="20"/>
              </w:rPr>
              <w:t>0341400608</w:t>
            </w:r>
            <w:bookmarkEnd w:id="2596"/>
          </w:p>
        </w:tc>
        <w:tc>
          <w:tcPr>
            <w:tcW w:w="1353" w:type="pct"/>
            <w:shd w:val="clear" w:color="auto" w:fill="auto"/>
            <w:hideMark/>
          </w:tcPr>
          <w:p w14:paraId="07E14B11" w14:textId="77777777" w:rsidR="00C21029" w:rsidRPr="00466BFF" w:rsidRDefault="007A05FA" w:rsidP="00E5387E">
            <w:pPr>
              <w:spacing w:after="0" w:line="240" w:lineRule="auto"/>
              <w:rPr>
                <w:rFonts w:cs="Calibri"/>
                <w:sz w:val="20"/>
                <w:szCs w:val="20"/>
              </w:rPr>
            </w:pPr>
            <w:bookmarkStart w:id="2597" w:name="_Toc124956878"/>
            <w:r w:rsidRPr="00466BFF">
              <w:rPr>
                <w:rFonts w:cs="Calibri"/>
                <w:sz w:val="20"/>
                <w:szCs w:val="20"/>
              </w:rPr>
              <w:t xml:space="preserve">Antsiranana </w:t>
            </w:r>
            <w:r w:rsidR="00C21029" w:rsidRPr="00466BFF">
              <w:rPr>
                <w:rFonts w:cs="Calibri"/>
                <w:sz w:val="20"/>
                <w:szCs w:val="20"/>
              </w:rPr>
              <w:t>I</w:t>
            </w:r>
            <w:bookmarkEnd w:id="2597"/>
          </w:p>
        </w:tc>
      </w:tr>
      <w:tr w:rsidR="00C21029" w:rsidRPr="007F78CE" w14:paraId="63C13626" w14:textId="77777777" w:rsidTr="00B434A6">
        <w:trPr>
          <w:trHeight w:val="290"/>
        </w:trPr>
        <w:tc>
          <w:tcPr>
            <w:tcW w:w="1196" w:type="pct"/>
            <w:vMerge/>
            <w:shd w:val="clear" w:color="auto" w:fill="auto"/>
            <w:hideMark/>
          </w:tcPr>
          <w:p w14:paraId="2EA28371"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2B995241" w14:textId="77777777" w:rsidR="00C21029" w:rsidRPr="00466BFF" w:rsidRDefault="00C21029" w:rsidP="00E5387E">
            <w:pPr>
              <w:spacing w:after="0" w:line="240" w:lineRule="auto"/>
              <w:rPr>
                <w:rFonts w:cs="Calibri"/>
                <w:sz w:val="20"/>
                <w:szCs w:val="20"/>
              </w:rPr>
            </w:pPr>
            <w:bookmarkStart w:id="2598" w:name="_Toc124956879"/>
            <w:r w:rsidRPr="00466BFF">
              <w:rPr>
                <w:rFonts w:cs="Calibri"/>
                <w:sz w:val="20"/>
                <w:szCs w:val="20"/>
              </w:rPr>
              <w:t>Tribunal de Première Instance</w:t>
            </w:r>
            <w:bookmarkEnd w:id="2598"/>
          </w:p>
        </w:tc>
        <w:tc>
          <w:tcPr>
            <w:tcW w:w="620" w:type="pct"/>
            <w:shd w:val="clear" w:color="auto" w:fill="auto"/>
            <w:noWrap/>
            <w:hideMark/>
          </w:tcPr>
          <w:p w14:paraId="33F5570A"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6618E2C9" w14:textId="77777777" w:rsidR="00C21029" w:rsidRPr="00466BFF" w:rsidRDefault="007A05FA" w:rsidP="00E5387E">
            <w:pPr>
              <w:spacing w:after="0" w:line="240" w:lineRule="auto"/>
              <w:rPr>
                <w:rFonts w:cs="Calibri"/>
                <w:sz w:val="20"/>
                <w:szCs w:val="20"/>
              </w:rPr>
            </w:pPr>
            <w:bookmarkStart w:id="2599" w:name="_Toc124956880"/>
            <w:r w:rsidRPr="00466BFF">
              <w:rPr>
                <w:rFonts w:cs="Calibri"/>
                <w:sz w:val="20"/>
                <w:szCs w:val="20"/>
              </w:rPr>
              <w:t xml:space="preserve">Antsiranana </w:t>
            </w:r>
            <w:r w:rsidR="00C21029" w:rsidRPr="00466BFF">
              <w:rPr>
                <w:rFonts w:cs="Calibri"/>
                <w:sz w:val="20"/>
                <w:szCs w:val="20"/>
              </w:rPr>
              <w:t>I</w:t>
            </w:r>
            <w:bookmarkEnd w:id="2599"/>
          </w:p>
        </w:tc>
      </w:tr>
      <w:tr w:rsidR="00C21029" w:rsidRPr="007F78CE" w14:paraId="62A3F37B" w14:textId="77777777" w:rsidTr="00B434A6">
        <w:trPr>
          <w:trHeight w:val="290"/>
        </w:trPr>
        <w:tc>
          <w:tcPr>
            <w:tcW w:w="1196" w:type="pct"/>
            <w:vMerge/>
            <w:shd w:val="clear" w:color="auto" w:fill="auto"/>
            <w:hideMark/>
          </w:tcPr>
          <w:p w14:paraId="064736AF"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75099A1C" w14:textId="77777777" w:rsidR="00C21029" w:rsidRPr="00466BFF" w:rsidRDefault="00C21029" w:rsidP="00E5387E">
            <w:pPr>
              <w:spacing w:after="0" w:line="240" w:lineRule="auto"/>
              <w:rPr>
                <w:rFonts w:cs="Calibri"/>
                <w:sz w:val="20"/>
                <w:szCs w:val="20"/>
              </w:rPr>
            </w:pPr>
            <w:bookmarkStart w:id="2600" w:name="_Toc124956881"/>
            <w:r w:rsidRPr="00466BFF">
              <w:rPr>
                <w:rFonts w:cs="Calibri"/>
                <w:sz w:val="20"/>
                <w:szCs w:val="20"/>
              </w:rPr>
              <w:t>Tribunal de Première Instance</w:t>
            </w:r>
            <w:bookmarkEnd w:id="2600"/>
          </w:p>
        </w:tc>
        <w:tc>
          <w:tcPr>
            <w:tcW w:w="620" w:type="pct"/>
            <w:shd w:val="clear" w:color="auto" w:fill="auto"/>
            <w:noWrap/>
            <w:hideMark/>
          </w:tcPr>
          <w:p w14:paraId="0C6A0967"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5AF7772E" w14:textId="77777777" w:rsidR="00C21029" w:rsidRPr="00466BFF" w:rsidRDefault="00C21029" w:rsidP="00E5387E">
            <w:pPr>
              <w:spacing w:after="0" w:line="240" w:lineRule="auto"/>
              <w:rPr>
                <w:rFonts w:cs="Calibri"/>
                <w:sz w:val="20"/>
                <w:szCs w:val="20"/>
              </w:rPr>
            </w:pPr>
            <w:bookmarkStart w:id="2601" w:name="_Toc124956882"/>
            <w:r w:rsidRPr="00466BFF">
              <w:rPr>
                <w:rFonts w:cs="Calibri"/>
                <w:sz w:val="20"/>
                <w:szCs w:val="20"/>
              </w:rPr>
              <w:t>Ambanja</w:t>
            </w:r>
            <w:bookmarkEnd w:id="2601"/>
          </w:p>
        </w:tc>
      </w:tr>
      <w:tr w:rsidR="00C21029" w:rsidRPr="007F78CE" w14:paraId="1CE85D1F" w14:textId="77777777" w:rsidTr="00B434A6">
        <w:trPr>
          <w:trHeight w:val="290"/>
        </w:trPr>
        <w:tc>
          <w:tcPr>
            <w:tcW w:w="1196" w:type="pct"/>
            <w:vMerge/>
            <w:shd w:val="clear" w:color="auto" w:fill="auto"/>
            <w:hideMark/>
          </w:tcPr>
          <w:p w14:paraId="46C0925F"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64BC146F" w14:textId="77777777" w:rsidR="00C21029" w:rsidRPr="00466BFF" w:rsidRDefault="00C21029" w:rsidP="00E5387E">
            <w:pPr>
              <w:spacing w:after="0" w:line="240" w:lineRule="auto"/>
              <w:rPr>
                <w:rFonts w:cs="Calibri"/>
                <w:sz w:val="20"/>
                <w:szCs w:val="20"/>
              </w:rPr>
            </w:pPr>
            <w:bookmarkStart w:id="2602" w:name="_Toc124956883"/>
            <w:r w:rsidRPr="00466BFF">
              <w:rPr>
                <w:rFonts w:cs="Calibri"/>
                <w:sz w:val="20"/>
                <w:szCs w:val="20"/>
              </w:rPr>
              <w:t>Tribunal de Première Instance</w:t>
            </w:r>
            <w:bookmarkEnd w:id="2602"/>
          </w:p>
        </w:tc>
        <w:tc>
          <w:tcPr>
            <w:tcW w:w="620" w:type="pct"/>
            <w:shd w:val="clear" w:color="auto" w:fill="auto"/>
            <w:noWrap/>
            <w:hideMark/>
          </w:tcPr>
          <w:p w14:paraId="1E68E2EF"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38D6A0EC" w14:textId="77777777" w:rsidR="00C21029" w:rsidRPr="00466BFF" w:rsidRDefault="00C21029" w:rsidP="00E5387E">
            <w:pPr>
              <w:spacing w:after="0" w:line="240" w:lineRule="auto"/>
              <w:rPr>
                <w:rFonts w:cs="Calibri"/>
                <w:sz w:val="20"/>
                <w:szCs w:val="20"/>
              </w:rPr>
            </w:pPr>
            <w:bookmarkStart w:id="2603" w:name="_Toc124956884"/>
            <w:r w:rsidRPr="00466BFF">
              <w:rPr>
                <w:rFonts w:cs="Calibri"/>
                <w:sz w:val="20"/>
                <w:szCs w:val="20"/>
              </w:rPr>
              <w:t>Nosy Be</w:t>
            </w:r>
            <w:bookmarkEnd w:id="2603"/>
          </w:p>
        </w:tc>
      </w:tr>
      <w:tr w:rsidR="00C21029" w:rsidRPr="007F78CE" w14:paraId="7159F879" w14:textId="77777777" w:rsidTr="00B434A6">
        <w:trPr>
          <w:trHeight w:val="290"/>
        </w:trPr>
        <w:tc>
          <w:tcPr>
            <w:tcW w:w="1196" w:type="pct"/>
            <w:vMerge w:val="restart"/>
            <w:shd w:val="clear" w:color="auto" w:fill="auto"/>
            <w:noWrap/>
            <w:hideMark/>
          </w:tcPr>
          <w:p w14:paraId="19492A82" w14:textId="77777777" w:rsidR="00C21029" w:rsidRPr="00B434A6" w:rsidRDefault="00C21029" w:rsidP="00E5387E">
            <w:pPr>
              <w:spacing w:after="0" w:line="240" w:lineRule="auto"/>
              <w:rPr>
                <w:rFonts w:cs="Cambria"/>
                <w:color w:val="212121"/>
                <w:sz w:val="20"/>
                <w:szCs w:val="20"/>
              </w:rPr>
            </w:pPr>
            <w:r w:rsidRPr="00B434A6">
              <w:rPr>
                <w:rFonts w:cs="Cambria"/>
                <w:color w:val="212121"/>
                <w:sz w:val="20"/>
                <w:szCs w:val="20"/>
              </w:rPr>
              <w:t>SAVA</w:t>
            </w:r>
          </w:p>
        </w:tc>
        <w:tc>
          <w:tcPr>
            <w:tcW w:w="3804" w:type="pct"/>
            <w:gridSpan w:val="3"/>
            <w:shd w:val="clear" w:color="auto" w:fill="auto"/>
            <w:noWrap/>
            <w:hideMark/>
          </w:tcPr>
          <w:p w14:paraId="26F07234" w14:textId="77777777" w:rsidR="00C21029" w:rsidRPr="00466BFF" w:rsidRDefault="00C21029" w:rsidP="00E5387E">
            <w:pPr>
              <w:spacing w:after="0" w:line="240" w:lineRule="auto"/>
              <w:rPr>
                <w:rFonts w:cs="Calibri"/>
                <w:sz w:val="20"/>
                <w:szCs w:val="20"/>
              </w:rPr>
            </w:pPr>
            <w:bookmarkStart w:id="2604" w:name="_Toc124956885"/>
            <w:r w:rsidRPr="00466BFF">
              <w:rPr>
                <w:rFonts w:cs="Calibri"/>
                <w:sz w:val="20"/>
                <w:szCs w:val="20"/>
              </w:rPr>
              <w:t>Service Public</w:t>
            </w:r>
            <w:bookmarkEnd w:id="2604"/>
          </w:p>
        </w:tc>
      </w:tr>
      <w:tr w:rsidR="00C21029" w:rsidRPr="007F78CE" w14:paraId="734F9D30" w14:textId="77777777" w:rsidTr="00B434A6">
        <w:trPr>
          <w:trHeight w:val="290"/>
        </w:trPr>
        <w:tc>
          <w:tcPr>
            <w:tcW w:w="1196" w:type="pct"/>
            <w:vMerge/>
            <w:shd w:val="clear" w:color="auto" w:fill="auto"/>
            <w:hideMark/>
          </w:tcPr>
          <w:p w14:paraId="239E3404"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073E5340" w14:textId="77777777" w:rsidR="00C21029" w:rsidRPr="00466BFF" w:rsidRDefault="00C21029" w:rsidP="00E5387E">
            <w:pPr>
              <w:spacing w:after="0" w:line="240" w:lineRule="auto"/>
              <w:rPr>
                <w:rFonts w:cs="Calibri"/>
                <w:sz w:val="20"/>
                <w:szCs w:val="20"/>
              </w:rPr>
            </w:pPr>
            <w:bookmarkStart w:id="2605" w:name="_Toc124956886"/>
            <w:r w:rsidRPr="00466BFF">
              <w:rPr>
                <w:rFonts w:cs="Calibri"/>
                <w:sz w:val="20"/>
                <w:szCs w:val="20"/>
              </w:rPr>
              <w:t>Gendarmerie Nationale : GAPJ</w:t>
            </w:r>
            <w:bookmarkEnd w:id="2605"/>
          </w:p>
        </w:tc>
        <w:tc>
          <w:tcPr>
            <w:tcW w:w="620" w:type="pct"/>
            <w:shd w:val="clear" w:color="auto" w:fill="auto"/>
            <w:noWrap/>
            <w:hideMark/>
          </w:tcPr>
          <w:p w14:paraId="7D0C70E6" w14:textId="77777777" w:rsidR="00C21029" w:rsidRPr="00466BFF" w:rsidRDefault="00C21029" w:rsidP="00E5387E">
            <w:pPr>
              <w:spacing w:after="0" w:line="240" w:lineRule="auto"/>
              <w:rPr>
                <w:rFonts w:cs="Calibri"/>
                <w:sz w:val="20"/>
                <w:szCs w:val="20"/>
              </w:rPr>
            </w:pPr>
            <w:bookmarkStart w:id="2606" w:name="_Toc124956887"/>
            <w:r w:rsidRPr="00466BFF">
              <w:rPr>
                <w:rFonts w:cs="Calibri"/>
                <w:sz w:val="20"/>
                <w:szCs w:val="20"/>
              </w:rPr>
              <w:t>0341400527</w:t>
            </w:r>
            <w:bookmarkEnd w:id="2606"/>
          </w:p>
        </w:tc>
        <w:tc>
          <w:tcPr>
            <w:tcW w:w="1353" w:type="pct"/>
            <w:shd w:val="clear" w:color="auto" w:fill="auto"/>
            <w:noWrap/>
            <w:hideMark/>
          </w:tcPr>
          <w:p w14:paraId="61541FAA" w14:textId="77777777" w:rsidR="00C21029" w:rsidRPr="00466BFF" w:rsidRDefault="00C21029" w:rsidP="00E5387E">
            <w:pPr>
              <w:spacing w:after="0" w:line="240" w:lineRule="auto"/>
              <w:rPr>
                <w:rFonts w:cs="Calibri"/>
                <w:sz w:val="20"/>
                <w:szCs w:val="20"/>
              </w:rPr>
            </w:pPr>
            <w:bookmarkStart w:id="2607" w:name="_Toc124956888"/>
            <w:r w:rsidRPr="00466BFF">
              <w:rPr>
                <w:rFonts w:cs="Calibri"/>
                <w:sz w:val="20"/>
                <w:szCs w:val="20"/>
              </w:rPr>
              <w:t>Sambava</w:t>
            </w:r>
            <w:bookmarkEnd w:id="2607"/>
          </w:p>
        </w:tc>
      </w:tr>
      <w:tr w:rsidR="00C21029" w:rsidRPr="007F78CE" w14:paraId="32BF062D" w14:textId="77777777" w:rsidTr="00B434A6">
        <w:trPr>
          <w:trHeight w:val="290"/>
        </w:trPr>
        <w:tc>
          <w:tcPr>
            <w:tcW w:w="1196" w:type="pct"/>
            <w:vMerge w:val="restart"/>
            <w:shd w:val="clear" w:color="auto" w:fill="auto"/>
            <w:noWrap/>
            <w:hideMark/>
          </w:tcPr>
          <w:p w14:paraId="504E31DF" w14:textId="77777777" w:rsidR="00C21029" w:rsidRPr="00B434A6" w:rsidRDefault="00C21029" w:rsidP="00E5387E">
            <w:pPr>
              <w:spacing w:after="0" w:line="240" w:lineRule="auto"/>
              <w:rPr>
                <w:rFonts w:cs="Cambria"/>
                <w:color w:val="212121"/>
                <w:sz w:val="20"/>
                <w:szCs w:val="20"/>
              </w:rPr>
            </w:pPr>
            <w:r w:rsidRPr="00B434A6">
              <w:rPr>
                <w:rFonts w:cs="Cambria"/>
                <w:color w:val="212121"/>
                <w:sz w:val="20"/>
                <w:szCs w:val="20"/>
              </w:rPr>
              <w:t>MATSIATRA AMBONY</w:t>
            </w:r>
          </w:p>
        </w:tc>
        <w:tc>
          <w:tcPr>
            <w:tcW w:w="3804" w:type="pct"/>
            <w:gridSpan w:val="3"/>
            <w:shd w:val="clear" w:color="auto" w:fill="auto"/>
            <w:noWrap/>
            <w:hideMark/>
          </w:tcPr>
          <w:p w14:paraId="62DC2687" w14:textId="77777777" w:rsidR="00C21029" w:rsidRPr="00466BFF" w:rsidRDefault="00C21029" w:rsidP="00E5387E">
            <w:pPr>
              <w:spacing w:after="0" w:line="240" w:lineRule="auto"/>
              <w:rPr>
                <w:rFonts w:cs="Calibri"/>
                <w:sz w:val="20"/>
                <w:szCs w:val="20"/>
              </w:rPr>
            </w:pPr>
            <w:bookmarkStart w:id="2608" w:name="_Toc124956889"/>
            <w:r w:rsidRPr="00466BFF">
              <w:rPr>
                <w:rFonts w:cs="Calibri"/>
                <w:sz w:val="20"/>
                <w:szCs w:val="20"/>
              </w:rPr>
              <w:t>Service Public</w:t>
            </w:r>
            <w:bookmarkEnd w:id="2608"/>
          </w:p>
        </w:tc>
      </w:tr>
      <w:tr w:rsidR="00C21029" w:rsidRPr="007F78CE" w14:paraId="5273112A" w14:textId="77777777" w:rsidTr="00B434A6">
        <w:trPr>
          <w:trHeight w:val="580"/>
        </w:trPr>
        <w:tc>
          <w:tcPr>
            <w:tcW w:w="1196" w:type="pct"/>
            <w:vMerge/>
            <w:shd w:val="clear" w:color="auto" w:fill="auto"/>
            <w:hideMark/>
          </w:tcPr>
          <w:p w14:paraId="655CACDC"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2F605CD3" w14:textId="77777777" w:rsidR="00C21029" w:rsidRPr="00466BFF" w:rsidRDefault="00C21029" w:rsidP="00E5387E">
            <w:pPr>
              <w:spacing w:after="0" w:line="240" w:lineRule="auto"/>
              <w:rPr>
                <w:rFonts w:cs="Calibri"/>
                <w:sz w:val="20"/>
                <w:szCs w:val="20"/>
              </w:rPr>
            </w:pPr>
            <w:bookmarkStart w:id="2609" w:name="_Toc124956890"/>
            <w:r w:rsidRPr="00466BFF">
              <w:rPr>
                <w:rFonts w:cs="Calibri"/>
                <w:sz w:val="20"/>
                <w:szCs w:val="20"/>
              </w:rPr>
              <w:t>Police Nationale : DPMPM</w:t>
            </w:r>
            <w:bookmarkEnd w:id="2609"/>
          </w:p>
        </w:tc>
        <w:tc>
          <w:tcPr>
            <w:tcW w:w="620" w:type="pct"/>
            <w:shd w:val="clear" w:color="auto" w:fill="auto"/>
            <w:noWrap/>
            <w:hideMark/>
          </w:tcPr>
          <w:p w14:paraId="1ED5C985" w14:textId="77777777" w:rsidR="00C21029" w:rsidRPr="00466BFF" w:rsidRDefault="00C21029" w:rsidP="00E5387E">
            <w:pPr>
              <w:spacing w:after="0" w:line="240" w:lineRule="auto"/>
              <w:rPr>
                <w:rFonts w:cs="Calibri"/>
                <w:sz w:val="20"/>
                <w:szCs w:val="20"/>
              </w:rPr>
            </w:pPr>
            <w:bookmarkStart w:id="2610" w:name="_Toc124956891"/>
            <w:r w:rsidRPr="00466BFF">
              <w:rPr>
                <w:rFonts w:cs="Calibri"/>
                <w:sz w:val="20"/>
                <w:szCs w:val="20"/>
              </w:rPr>
              <w:t>0348414247</w:t>
            </w:r>
            <w:bookmarkEnd w:id="2610"/>
          </w:p>
        </w:tc>
        <w:tc>
          <w:tcPr>
            <w:tcW w:w="1353" w:type="pct"/>
            <w:shd w:val="clear" w:color="auto" w:fill="auto"/>
            <w:hideMark/>
          </w:tcPr>
          <w:p w14:paraId="0AA0B602" w14:textId="77777777" w:rsidR="00C21029" w:rsidRPr="00466BFF" w:rsidRDefault="00C21029" w:rsidP="00E5387E">
            <w:pPr>
              <w:spacing w:after="0" w:line="240" w:lineRule="auto"/>
              <w:rPr>
                <w:rFonts w:cs="Calibri"/>
                <w:sz w:val="20"/>
                <w:szCs w:val="20"/>
              </w:rPr>
            </w:pPr>
            <w:bookmarkStart w:id="2611" w:name="_Toc124956892"/>
            <w:r w:rsidRPr="00466BFF">
              <w:rPr>
                <w:rFonts w:cs="Calibri"/>
                <w:sz w:val="20"/>
                <w:szCs w:val="20"/>
              </w:rPr>
              <w:t>Ambatolahikisoa Fianarantsoa I</w:t>
            </w:r>
            <w:bookmarkEnd w:id="2611"/>
          </w:p>
        </w:tc>
      </w:tr>
      <w:tr w:rsidR="00C21029" w:rsidRPr="007F78CE" w14:paraId="41F3A180" w14:textId="77777777" w:rsidTr="00B434A6">
        <w:trPr>
          <w:trHeight w:val="290"/>
        </w:trPr>
        <w:tc>
          <w:tcPr>
            <w:tcW w:w="1196" w:type="pct"/>
            <w:vMerge/>
            <w:shd w:val="clear" w:color="auto" w:fill="auto"/>
            <w:hideMark/>
          </w:tcPr>
          <w:p w14:paraId="23665911"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2873AEBA" w14:textId="77777777" w:rsidR="00C21029" w:rsidRPr="00466BFF" w:rsidRDefault="00C21029" w:rsidP="00E5387E">
            <w:pPr>
              <w:spacing w:after="0" w:line="240" w:lineRule="auto"/>
              <w:rPr>
                <w:rFonts w:cs="Calibri"/>
                <w:sz w:val="20"/>
                <w:szCs w:val="20"/>
              </w:rPr>
            </w:pPr>
            <w:bookmarkStart w:id="2612" w:name="_Toc124956893"/>
            <w:r w:rsidRPr="00466BFF">
              <w:rPr>
                <w:rFonts w:cs="Calibri"/>
                <w:sz w:val="20"/>
                <w:szCs w:val="20"/>
              </w:rPr>
              <w:t>Gendarmerie Nationale : SRC</w:t>
            </w:r>
            <w:bookmarkEnd w:id="2612"/>
          </w:p>
        </w:tc>
        <w:tc>
          <w:tcPr>
            <w:tcW w:w="620" w:type="pct"/>
            <w:shd w:val="clear" w:color="auto" w:fill="auto"/>
            <w:noWrap/>
            <w:hideMark/>
          </w:tcPr>
          <w:p w14:paraId="7902EF55" w14:textId="77777777" w:rsidR="00C21029" w:rsidRPr="00466BFF" w:rsidRDefault="00C21029" w:rsidP="00E5387E">
            <w:pPr>
              <w:spacing w:after="0" w:line="240" w:lineRule="auto"/>
              <w:rPr>
                <w:rFonts w:cs="Calibri"/>
                <w:sz w:val="20"/>
                <w:szCs w:val="20"/>
              </w:rPr>
            </w:pPr>
            <w:bookmarkStart w:id="2613" w:name="_Toc124956894"/>
            <w:r w:rsidRPr="00466BFF">
              <w:rPr>
                <w:rFonts w:cs="Calibri"/>
                <w:sz w:val="20"/>
                <w:szCs w:val="20"/>
              </w:rPr>
              <w:t>0341400581</w:t>
            </w:r>
            <w:bookmarkEnd w:id="2613"/>
          </w:p>
        </w:tc>
        <w:tc>
          <w:tcPr>
            <w:tcW w:w="1353" w:type="pct"/>
            <w:shd w:val="clear" w:color="auto" w:fill="auto"/>
            <w:hideMark/>
          </w:tcPr>
          <w:p w14:paraId="00A480F3" w14:textId="77777777" w:rsidR="00C21029" w:rsidRPr="00466BFF" w:rsidRDefault="00C21029" w:rsidP="00E5387E">
            <w:pPr>
              <w:spacing w:after="0" w:line="240" w:lineRule="auto"/>
              <w:rPr>
                <w:rFonts w:cs="Calibri"/>
                <w:sz w:val="20"/>
                <w:szCs w:val="20"/>
              </w:rPr>
            </w:pPr>
            <w:bookmarkStart w:id="2614" w:name="_Toc124956895"/>
            <w:r w:rsidRPr="00466BFF">
              <w:rPr>
                <w:rFonts w:cs="Calibri"/>
                <w:sz w:val="20"/>
                <w:szCs w:val="20"/>
              </w:rPr>
              <w:t>Fianarantsoa I</w:t>
            </w:r>
            <w:bookmarkEnd w:id="2614"/>
          </w:p>
        </w:tc>
      </w:tr>
      <w:tr w:rsidR="00C21029" w:rsidRPr="007F78CE" w14:paraId="2A849CE6" w14:textId="77777777" w:rsidTr="00B434A6">
        <w:trPr>
          <w:trHeight w:val="290"/>
        </w:trPr>
        <w:tc>
          <w:tcPr>
            <w:tcW w:w="1196" w:type="pct"/>
            <w:vMerge/>
            <w:shd w:val="clear" w:color="auto" w:fill="auto"/>
            <w:hideMark/>
          </w:tcPr>
          <w:p w14:paraId="3A878052"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7B52A067" w14:textId="77777777" w:rsidR="00C21029" w:rsidRPr="00466BFF" w:rsidRDefault="00C21029" w:rsidP="00E5387E">
            <w:pPr>
              <w:spacing w:after="0" w:line="240" w:lineRule="auto"/>
              <w:rPr>
                <w:rFonts w:cs="Calibri"/>
                <w:sz w:val="20"/>
                <w:szCs w:val="20"/>
              </w:rPr>
            </w:pPr>
            <w:bookmarkStart w:id="2615" w:name="_Toc124956896"/>
            <w:r w:rsidRPr="00466BFF">
              <w:rPr>
                <w:rFonts w:cs="Calibri"/>
                <w:sz w:val="20"/>
                <w:szCs w:val="20"/>
              </w:rPr>
              <w:t>Tribunal de Première Instance</w:t>
            </w:r>
            <w:bookmarkEnd w:id="2615"/>
          </w:p>
        </w:tc>
        <w:tc>
          <w:tcPr>
            <w:tcW w:w="620" w:type="pct"/>
            <w:shd w:val="clear" w:color="auto" w:fill="auto"/>
            <w:noWrap/>
            <w:hideMark/>
          </w:tcPr>
          <w:p w14:paraId="2BE08EB9"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60D01A0F" w14:textId="77777777" w:rsidR="00C21029" w:rsidRPr="00466BFF" w:rsidRDefault="00C21029" w:rsidP="00E5387E">
            <w:pPr>
              <w:spacing w:after="0" w:line="240" w:lineRule="auto"/>
              <w:rPr>
                <w:rFonts w:cs="Calibri"/>
                <w:sz w:val="20"/>
                <w:szCs w:val="20"/>
              </w:rPr>
            </w:pPr>
            <w:bookmarkStart w:id="2616" w:name="_Toc124956897"/>
            <w:r w:rsidRPr="00466BFF">
              <w:rPr>
                <w:rFonts w:cs="Calibri"/>
                <w:sz w:val="20"/>
                <w:szCs w:val="20"/>
              </w:rPr>
              <w:t>Anjoma Fianarantsoa I</w:t>
            </w:r>
            <w:bookmarkEnd w:id="2616"/>
          </w:p>
        </w:tc>
      </w:tr>
      <w:tr w:rsidR="00C21029" w:rsidRPr="007F78CE" w14:paraId="04A163B3" w14:textId="77777777" w:rsidTr="00B434A6">
        <w:trPr>
          <w:trHeight w:val="290"/>
        </w:trPr>
        <w:tc>
          <w:tcPr>
            <w:tcW w:w="1196" w:type="pct"/>
            <w:vMerge w:val="restart"/>
            <w:shd w:val="clear" w:color="auto" w:fill="auto"/>
            <w:noWrap/>
            <w:hideMark/>
          </w:tcPr>
          <w:p w14:paraId="3C83E92A" w14:textId="77777777" w:rsidR="00C21029" w:rsidRPr="00B434A6" w:rsidRDefault="00C21029" w:rsidP="00E5387E">
            <w:pPr>
              <w:spacing w:after="0" w:line="240" w:lineRule="auto"/>
              <w:rPr>
                <w:rFonts w:cs="Cambria"/>
                <w:color w:val="212121"/>
                <w:sz w:val="20"/>
                <w:szCs w:val="20"/>
              </w:rPr>
            </w:pPr>
            <w:r w:rsidRPr="00B434A6">
              <w:rPr>
                <w:rFonts w:cs="Cambria"/>
                <w:color w:val="212121"/>
                <w:sz w:val="20"/>
                <w:szCs w:val="20"/>
              </w:rPr>
              <w:t>AMORON'I MANIA</w:t>
            </w:r>
          </w:p>
        </w:tc>
        <w:tc>
          <w:tcPr>
            <w:tcW w:w="3804" w:type="pct"/>
            <w:gridSpan w:val="3"/>
            <w:shd w:val="clear" w:color="auto" w:fill="auto"/>
            <w:noWrap/>
            <w:hideMark/>
          </w:tcPr>
          <w:p w14:paraId="2B94C048" w14:textId="77777777" w:rsidR="00C21029" w:rsidRPr="00466BFF" w:rsidRDefault="00C21029" w:rsidP="00E5387E">
            <w:pPr>
              <w:spacing w:after="0" w:line="240" w:lineRule="auto"/>
              <w:rPr>
                <w:rFonts w:cs="Calibri"/>
                <w:sz w:val="20"/>
                <w:szCs w:val="20"/>
              </w:rPr>
            </w:pPr>
            <w:bookmarkStart w:id="2617" w:name="_Toc124956898"/>
            <w:r w:rsidRPr="00466BFF">
              <w:rPr>
                <w:rFonts w:cs="Calibri"/>
                <w:sz w:val="20"/>
                <w:szCs w:val="20"/>
              </w:rPr>
              <w:t>Service Public</w:t>
            </w:r>
            <w:bookmarkEnd w:id="2617"/>
          </w:p>
        </w:tc>
      </w:tr>
      <w:tr w:rsidR="00C21029" w:rsidRPr="007F78CE" w14:paraId="40EDC074" w14:textId="77777777" w:rsidTr="00B434A6">
        <w:trPr>
          <w:trHeight w:val="290"/>
        </w:trPr>
        <w:tc>
          <w:tcPr>
            <w:tcW w:w="1196" w:type="pct"/>
            <w:vMerge/>
            <w:shd w:val="clear" w:color="auto" w:fill="auto"/>
            <w:hideMark/>
          </w:tcPr>
          <w:p w14:paraId="3E7A7FD4"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7C86AB86" w14:textId="77777777" w:rsidR="00C21029" w:rsidRPr="00466BFF" w:rsidRDefault="00C21029" w:rsidP="00E5387E">
            <w:pPr>
              <w:spacing w:after="0" w:line="240" w:lineRule="auto"/>
              <w:rPr>
                <w:rFonts w:cs="Calibri"/>
                <w:sz w:val="20"/>
                <w:szCs w:val="20"/>
              </w:rPr>
            </w:pPr>
            <w:bookmarkStart w:id="2618" w:name="_Toc124956899"/>
            <w:r w:rsidRPr="00466BFF">
              <w:rPr>
                <w:rFonts w:cs="Calibri"/>
                <w:sz w:val="20"/>
                <w:szCs w:val="20"/>
              </w:rPr>
              <w:t>Gendarmerie Nationale : GAPJ</w:t>
            </w:r>
            <w:bookmarkEnd w:id="2618"/>
          </w:p>
        </w:tc>
        <w:tc>
          <w:tcPr>
            <w:tcW w:w="620" w:type="pct"/>
            <w:shd w:val="clear" w:color="auto" w:fill="auto"/>
            <w:noWrap/>
            <w:hideMark/>
          </w:tcPr>
          <w:p w14:paraId="556F26C5" w14:textId="77777777" w:rsidR="00C21029" w:rsidRPr="00466BFF" w:rsidRDefault="00C21029" w:rsidP="00E5387E">
            <w:pPr>
              <w:spacing w:after="0" w:line="240" w:lineRule="auto"/>
              <w:rPr>
                <w:rFonts w:cs="Calibri"/>
                <w:sz w:val="20"/>
                <w:szCs w:val="20"/>
              </w:rPr>
            </w:pPr>
            <w:bookmarkStart w:id="2619" w:name="_Toc124956900"/>
            <w:r w:rsidRPr="00466BFF">
              <w:rPr>
                <w:rFonts w:cs="Calibri"/>
                <w:sz w:val="20"/>
                <w:szCs w:val="20"/>
              </w:rPr>
              <w:t>0340570102</w:t>
            </w:r>
            <w:bookmarkEnd w:id="2619"/>
          </w:p>
        </w:tc>
        <w:tc>
          <w:tcPr>
            <w:tcW w:w="1353" w:type="pct"/>
            <w:shd w:val="clear" w:color="auto" w:fill="auto"/>
            <w:hideMark/>
          </w:tcPr>
          <w:p w14:paraId="242F2D68" w14:textId="77777777" w:rsidR="00C21029" w:rsidRPr="00466BFF" w:rsidRDefault="00C21029" w:rsidP="00E5387E">
            <w:pPr>
              <w:spacing w:after="0" w:line="240" w:lineRule="auto"/>
              <w:rPr>
                <w:rFonts w:cs="Calibri"/>
                <w:sz w:val="20"/>
                <w:szCs w:val="20"/>
              </w:rPr>
            </w:pPr>
            <w:bookmarkStart w:id="2620" w:name="_Toc124956901"/>
            <w:r w:rsidRPr="00466BFF">
              <w:rPr>
                <w:rFonts w:cs="Calibri"/>
                <w:sz w:val="20"/>
                <w:szCs w:val="20"/>
              </w:rPr>
              <w:t>Ambositra</w:t>
            </w:r>
            <w:bookmarkEnd w:id="2620"/>
          </w:p>
        </w:tc>
      </w:tr>
      <w:tr w:rsidR="00C21029" w:rsidRPr="007F78CE" w14:paraId="005AF768" w14:textId="77777777" w:rsidTr="00B434A6">
        <w:trPr>
          <w:trHeight w:val="290"/>
        </w:trPr>
        <w:tc>
          <w:tcPr>
            <w:tcW w:w="1196" w:type="pct"/>
            <w:vMerge/>
            <w:shd w:val="clear" w:color="auto" w:fill="auto"/>
            <w:hideMark/>
          </w:tcPr>
          <w:p w14:paraId="7BFCFB87"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334A5EA2" w14:textId="77777777" w:rsidR="00C21029" w:rsidRPr="00466BFF" w:rsidRDefault="00C21029" w:rsidP="00E5387E">
            <w:pPr>
              <w:spacing w:after="0" w:line="240" w:lineRule="auto"/>
              <w:rPr>
                <w:rFonts w:cs="Calibri"/>
                <w:sz w:val="20"/>
                <w:szCs w:val="20"/>
              </w:rPr>
            </w:pPr>
            <w:bookmarkStart w:id="2621" w:name="_Toc124956902"/>
            <w:r w:rsidRPr="00466BFF">
              <w:rPr>
                <w:rFonts w:cs="Calibri"/>
                <w:sz w:val="20"/>
                <w:szCs w:val="20"/>
              </w:rPr>
              <w:t>Tribunal de Première Instance</w:t>
            </w:r>
            <w:bookmarkEnd w:id="2621"/>
          </w:p>
        </w:tc>
        <w:tc>
          <w:tcPr>
            <w:tcW w:w="620" w:type="pct"/>
            <w:shd w:val="clear" w:color="auto" w:fill="auto"/>
            <w:noWrap/>
            <w:hideMark/>
          </w:tcPr>
          <w:p w14:paraId="471D389B"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47115E49" w14:textId="77777777" w:rsidR="00C21029" w:rsidRPr="00466BFF" w:rsidRDefault="00C21029" w:rsidP="00E5387E">
            <w:pPr>
              <w:spacing w:after="0" w:line="240" w:lineRule="auto"/>
              <w:rPr>
                <w:rFonts w:cs="Calibri"/>
                <w:sz w:val="20"/>
                <w:szCs w:val="20"/>
              </w:rPr>
            </w:pPr>
            <w:bookmarkStart w:id="2622" w:name="_Toc124956903"/>
            <w:r w:rsidRPr="00466BFF">
              <w:rPr>
                <w:rFonts w:cs="Calibri"/>
                <w:sz w:val="20"/>
                <w:szCs w:val="20"/>
              </w:rPr>
              <w:t>Ambositra</w:t>
            </w:r>
            <w:bookmarkEnd w:id="2622"/>
          </w:p>
        </w:tc>
      </w:tr>
      <w:tr w:rsidR="00C21029" w:rsidRPr="007F78CE" w14:paraId="05954ED9" w14:textId="77777777" w:rsidTr="00B434A6">
        <w:trPr>
          <w:trHeight w:val="290"/>
        </w:trPr>
        <w:tc>
          <w:tcPr>
            <w:tcW w:w="1196" w:type="pct"/>
            <w:vMerge w:val="restart"/>
            <w:shd w:val="clear" w:color="auto" w:fill="auto"/>
            <w:noWrap/>
            <w:hideMark/>
          </w:tcPr>
          <w:p w14:paraId="3CD1FEF0" w14:textId="77777777" w:rsidR="00C21029" w:rsidRPr="00B434A6" w:rsidRDefault="00C21029" w:rsidP="00E5387E">
            <w:pPr>
              <w:spacing w:after="0" w:line="240" w:lineRule="auto"/>
              <w:rPr>
                <w:rFonts w:cs="Cambria"/>
                <w:color w:val="212121"/>
                <w:sz w:val="20"/>
                <w:szCs w:val="20"/>
              </w:rPr>
            </w:pPr>
            <w:r w:rsidRPr="00B434A6">
              <w:rPr>
                <w:rFonts w:cs="Cambria"/>
                <w:color w:val="212121"/>
                <w:sz w:val="20"/>
                <w:szCs w:val="20"/>
              </w:rPr>
              <w:t>VATOVAVY FITOVINANY</w:t>
            </w:r>
          </w:p>
        </w:tc>
        <w:tc>
          <w:tcPr>
            <w:tcW w:w="3804" w:type="pct"/>
            <w:gridSpan w:val="3"/>
            <w:shd w:val="clear" w:color="auto" w:fill="auto"/>
            <w:noWrap/>
            <w:hideMark/>
          </w:tcPr>
          <w:p w14:paraId="5F2E12D5" w14:textId="77777777" w:rsidR="00C21029" w:rsidRPr="00466BFF" w:rsidRDefault="00C21029" w:rsidP="00E5387E">
            <w:pPr>
              <w:spacing w:after="0" w:line="240" w:lineRule="auto"/>
              <w:rPr>
                <w:rFonts w:cs="Calibri"/>
                <w:sz w:val="20"/>
                <w:szCs w:val="20"/>
              </w:rPr>
            </w:pPr>
            <w:bookmarkStart w:id="2623" w:name="_Toc124956904"/>
            <w:r w:rsidRPr="00466BFF">
              <w:rPr>
                <w:rFonts w:cs="Calibri"/>
                <w:sz w:val="20"/>
                <w:szCs w:val="20"/>
              </w:rPr>
              <w:t>Service Public</w:t>
            </w:r>
            <w:bookmarkEnd w:id="2623"/>
          </w:p>
        </w:tc>
      </w:tr>
      <w:tr w:rsidR="00C21029" w:rsidRPr="007F78CE" w14:paraId="54D6FD43" w14:textId="77777777" w:rsidTr="00B434A6">
        <w:trPr>
          <w:trHeight w:val="290"/>
        </w:trPr>
        <w:tc>
          <w:tcPr>
            <w:tcW w:w="1196" w:type="pct"/>
            <w:vMerge/>
            <w:shd w:val="clear" w:color="auto" w:fill="auto"/>
            <w:hideMark/>
          </w:tcPr>
          <w:p w14:paraId="4BFE89A9"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7EF40663" w14:textId="77777777" w:rsidR="00C21029" w:rsidRPr="00466BFF" w:rsidRDefault="00C21029" w:rsidP="00E5387E">
            <w:pPr>
              <w:spacing w:after="0" w:line="240" w:lineRule="auto"/>
              <w:rPr>
                <w:rFonts w:cs="Calibri"/>
                <w:sz w:val="20"/>
                <w:szCs w:val="20"/>
              </w:rPr>
            </w:pPr>
            <w:bookmarkStart w:id="2624" w:name="_Toc124956905"/>
            <w:r w:rsidRPr="00466BFF">
              <w:rPr>
                <w:rFonts w:cs="Calibri"/>
                <w:sz w:val="20"/>
                <w:szCs w:val="20"/>
              </w:rPr>
              <w:t>Gendarmerie Nationale : GAPJ</w:t>
            </w:r>
            <w:bookmarkEnd w:id="2624"/>
          </w:p>
        </w:tc>
        <w:tc>
          <w:tcPr>
            <w:tcW w:w="620" w:type="pct"/>
            <w:shd w:val="clear" w:color="auto" w:fill="auto"/>
            <w:noWrap/>
            <w:hideMark/>
          </w:tcPr>
          <w:p w14:paraId="72A5F6AD" w14:textId="77777777" w:rsidR="00C21029" w:rsidRPr="00466BFF" w:rsidRDefault="00C21029" w:rsidP="00E5387E">
            <w:pPr>
              <w:spacing w:after="0" w:line="240" w:lineRule="auto"/>
              <w:rPr>
                <w:rFonts w:cs="Calibri"/>
                <w:sz w:val="20"/>
                <w:szCs w:val="20"/>
              </w:rPr>
            </w:pPr>
            <w:bookmarkStart w:id="2625" w:name="_Toc124956906"/>
            <w:r w:rsidRPr="00466BFF">
              <w:rPr>
                <w:rFonts w:cs="Calibri"/>
                <w:sz w:val="20"/>
                <w:szCs w:val="20"/>
              </w:rPr>
              <w:t>0341400593</w:t>
            </w:r>
            <w:bookmarkEnd w:id="2625"/>
          </w:p>
        </w:tc>
        <w:tc>
          <w:tcPr>
            <w:tcW w:w="1353" w:type="pct"/>
            <w:shd w:val="clear" w:color="auto" w:fill="auto"/>
            <w:hideMark/>
          </w:tcPr>
          <w:p w14:paraId="63F54EA5" w14:textId="77777777" w:rsidR="00C21029" w:rsidRPr="00466BFF" w:rsidRDefault="00C21029" w:rsidP="00E5387E">
            <w:pPr>
              <w:spacing w:after="0" w:line="240" w:lineRule="auto"/>
              <w:rPr>
                <w:rFonts w:cs="Calibri"/>
                <w:sz w:val="20"/>
                <w:szCs w:val="20"/>
              </w:rPr>
            </w:pPr>
            <w:bookmarkStart w:id="2626" w:name="_Toc124956907"/>
            <w:r w:rsidRPr="00466BFF">
              <w:rPr>
                <w:rFonts w:cs="Calibri"/>
                <w:sz w:val="20"/>
                <w:szCs w:val="20"/>
              </w:rPr>
              <w:t>Manakara</w:t>
            </w:r>
            <w:bookmarkEnd w:id="2626"/>
          </w:p>
        </w:tc>
      </w:tr>
      <w:tr w:rsidR="00C21029" w:rsidRPr="007F78CE" w14:paraId="71CD36D5" w14:textId="77777777" w:rsidTr="00B434A6">
        <w:trPr>
          <w:trHeight w:val="290"/>
        </w:trPr>
        <w:tc>
          <w:tcPr>
            <w:tcW w:w="1196" w:type="pct"/>
            <w:vMerge/>
            <w:shd w:val="clear" w:color="auto" w:fill="auto"/>
            <w:hideMark/>
          </w:tcPr>
          <w:p w14:paraId="56BECDB4"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70E64E7A" w14:textId="77777777" w:rsidR="00C21029" w:rsidRPr="00466BFF" w:rsidRDefault="00C21029" w:rsidP="00E5387E">
            <w:pPr>
              <w:spacing w:after="0" w:line="240" w:lineRule="auto"/>
              <w:rPr>
                <w:rFonts w:cs="Calibri"/>
                <w:sz w:val="20"/>
                <w:szCs w:val="20"/>
              </w:rPr>
            </w:pPr>
            <w:bookmarkStart w:id="2627" w:name="_Toc124956908"/>
            <w:r w:rsidRPr="00466BFF">
              <w:rPr>
                <w:rFonts w:cs="Calibri"/>
                <w:sz w:val="20"/>
                <w:szCs w:val="20"/>
              </w:rPr>
              <w:t>Tribunal de Première Instance</w:t>
            </w:r>
            <w:bookmarkEnd w:id="2627"/>
          </w:p>
        </w:tc>
        <w:tc>
          <w:tcPr>
            <w:tcW w:w="620" w:type="pct"/>
            <w:shd w:val="clear" w:color="auto" w:fill="auto"/>
            <w:noWrap/>
            <w:hideMark/>
          </w:tcPr>
          <w:p w14:paraId="4E5D813A"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74335EEA" w14:textId="77777777" w:rsidR="00C21029" w:rsidRPr="00466BFF" w:rsidRDefault="00C21029" w:rsidP="00E5387E">
            <w:pPr>
              <w:spacing w:after="0" w:line="240" w:lineRule="auto"/>
              <w:rPr>
                <w:rFonts w:cs="Calibri"/>
                <w:sz w:val="20"/>
                <w:szCs w:val="20"/>
              </w:rPr>
            </w:pPr>
            <w:bookmarkStart w:id="2628" w:name="_Toc124956909"/>
            <w:r w:rsidRPr="00466BFF">
              <w:rPr>
                <w:rFonts w:cs="Calibri"/>
                <w:sz w:val="20"/>
                <w:szCs w:val="20"/>
              </w:rPr>
              <w:t>Manakara</w:t>
            </w:r>
            <w:bookmarkEnd w:id="2628"/>
          </w:p>
        </w:tc>
      </w:tr>
      <w:tr w:rsidR="00C21029" w:rsidRPr="007F78CE" w14:paraId="50266A68" w14:textId="77777777" w:rsidTr="00B434A6">
        <w:trPr>
          <w:trHeight w:val="290"/>
        </w:trPr>
        <w:tc>
          <w:tcPr>
            <w:tcW w:w="1196" w:type="pct"/>
            <w:vMerge/>
            <w:shd w:val="clear" w:color="auto" w:fill="auto"/>
            <w:hideMark/>
          </w:tcPr>
          <w:p w14:paraId="68BD8515"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49A772A3" w14:textId="77777777" w:rsidR="00C21029" w:rsidRPr="00466BFF" w:rsidRDefault="00C21029" w:rsidP="00E5387E">
            <w:pPr>
              <w:spacing w:after="0" w:line="240" w:lineRule="auto"/>
              <w:rPr>
                <w:rFonts w:cs="Calibri"/>
                <w:sz w:val="20"/>
                <w:szCs w:val="20"/>
              </w:rPr>
            </w:pPr>
            <w:bookmarkStart w:id="2629" w:name="_Toc124956910"/>
            <w:r w:rsidRPr="00466BFF">
              <w:rPr>
                <w:rFonts w:cs="Calibri"/>
                <w:sz w:val="20"/>
                <w:szCs w:val="20"/>
              </w:rPr>
              <w:t>Tribunal de Première Instance</w:t>
            </w:r>
            <w:bookmarkEnd w:id="2629"/>
          </w:p>
        </w:tc>
        <w:tc>
          <w:tcPr>
            <w:tcW w:w="620" w:type="pct"/>
            <w:shd w:val="clear" w:color="auto" w:fill="auto"/>
            <w:noWrap/>
            <w:hideMark/>
          </w:tcPr>
          <w:p w14:paraId="37E5A24B"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7F8FF13B" w14:textId="77777777" w:rsidR="00C21029" w:rsidRPr="00466BFF" w:rsidRDefault="00C21029" w:rsidP="00E5387E">
            <w:pPr>
              <w:spacing w:after="0" w:line="240" w:lineRule="auto"/>
              <w:rPr>
                <w:rFonts w:cs="Calibri"/>
                <w:sz w:val="20"/>
                <w:szCs w:val="20"/>
              </w:rPr>
            </w:pPr>
            <w:bookmarkStart w:id="2630" w:name="_Toc124956911"/>
            <w:r w:rsidRPr="00466BFF">
              <w:rPr>
                <w:rFonts w:cs="Calibri"/>
                <w:sz w:val="20"/>
                <w:szCs w:val="20"/>
              </w:rPr>
              <w:t>Mananjary</w:t>
            </w:r>
            <w:bookmarkEnd w:id="2630"/>
          </w:p>
        </w:tc>
      </w:tr>
      <w:tr w:rsidR="00C21029" w:rsidRPr="007F78CE" w14:paraId="2FE7C7A3" w14:textId="77777777" w:rsidTr="00B434A6">
        <w:trPr>
          <w:trHeight w:val="290"/>
        </w:trPr>
        <w:tc>
          <w:tcPr>
            <w:tcW w:w="1196" w:type="pct"/>
            <w:vMerge/>
            <w:shd w:val="clear" w:color="auto" w:fill="auto"/>
            <w:hideMark/>
          </w:tcPr>
          <w:p w14:paraId="6CCCE8ED"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0C10C170" w14:textId="77777777" w:rsidR="00C21029" w:rsidRPr="00466BFF" w:rsidRDefault="00C21029" w:rsidP="00E5387E">
            <w:pPr>
              <w:spacing w:after="0" w:line="240" w:lineRule="auto"/>
              <w:rPr>
                <w:rFonts w:cs="Calibri"/>
                <w:sz w:val="20"/>
                <w:szCs w:val="20"/>
              </w:rPr>
            </w:pPr>
            <w:bookmarkStart w:id="2631" w:name="_Toc124956912"/>
            <w:r w:rsidRPr="00466BFF">
              <w:rPr>
                <w:rFonts w:cs="Calibri"/>
                <w:sz w:val="20"/>
                <w:szCs w:val="20"/>
              </w:rPr>
              <w:t>Tribunal de Première Instance</w:t>
            </w:r>
            <w:bookmarkEnd w:id="2631"/>
          </w:p>
        </w:tc>
        <w:tc>
          <w:tcPr>
            <w:tcW w:w="620" w:type="pct"/>
            <w:shd w:val="clear" w:color="auto" w:fill="auto"/>
            <w:noWrap/>
            <w:hideMark/>
          </w:tcPr>
          <w:p w14:paraId="79D9AA8B"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2E7093ED" w14:textId="77777777" w:rsidR="00C21029" w:rsidRPr="00466BFF" w:rsidRDefault="00C21029" w:rsidP="00E5387E">
            <w:pPr>
              <w:spacing w:after="0" w:line="240" w:lineRule="auto"/>
              <w:rPr>
                <w:rFonts w:cs="Calibri"/>
                <w:sz w:val="20"/>
                <w:szCs w:val="20"/>
              </w:rPr>
            </w:pPr>
            <w:bookmarkStart w:id="2632" w:name="_Toc124956913"/>
            <w:r w:rsidRPr="00466BFF">
              <w:rPr>
                <w:rFonts w:cs="Calibri"/>
                <w:sz w:val="20"/>
                <w:szCs w:val="20"/>
              </w:rPr>
              <w:t>Ikongo</w:t>
            </w:r>
            <w:bookmarkEnd w:id="2632"/>
          </w:p>
        </w:tc>
      </w:tr>
      <w:tr w:rsidR="00C21029" w:rsidRPr="007F78CE" w14:paraId="650EEFD2" w14:textId="77777777" w:rsidTr="00B434A6">
        <w:trPr>
          <w:trHeight w:val="290"/>
        </w:trPr>
        <w:tc>
          <w:tcPr>
            <w:tcW w:w="1196" w:type="pct"/>
            <w:vMerge/>
            <w:shd w:val="clear" w:color="auto" w:fill="auto"/>
            <w:hideMark/>
          </w:tcPr>
          <w:p w14:paraId="69E27834"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302A4160" w14:textId="77777777" w:rsidR="00C21029" w:rsidRPr="00466BFF" w:rsidRDefault="00C21029" w:rsidP="00E5387E">
            <w:pPr>
              <w:spacing w:after="0" w:line="240" w:lineRule="auto"/>
              <w:rPr>
                <w:rFonts w:cs="Calibri"/>
                <w:sz w:val="20"/>
                <w:szCs w:val="20"/>
              </w:rPr>
            </w:pPr>
            <w:bookmarkStart w:id="2633" w:name="_Toc124956914"/>
            <w:r w:rsidRPr="00466BFF">
              <w:rPr>
                <w:rFonts w:cs="Calibri"/>
                <w:sz w:val="20"/>
                <w:szCs w:val="20"/>
              </w:rPr>
              <w:t>Partenariat Min Santé et ADDH/ONG</w:t>
            </w:r>
            <w:bookmarkEnd w:id="2633"/>
          </w:p>
        </w:tc>
        <w:tc>
          <w:tcPr>
            <w:tcW w:w="620" w:type="pct"/>
            <w:shd w:val="clear" w:color="auto" w:fill="auto"/>
          </w:tcPr>
          <w:p w14:paraId="601ADB96" w14:textId="77777777" w:rsidR="00C21029" w:rsidRPr="00466BFF" w:rsidRDefault="00C21029" w:rsidP="00E5387E">
            <w:pPr>
              <w:spacing w:after="0" w:line="240" w:lineRule="auto"/>
              <w:rPr>
                <w:rFonts w:cs="Calibri"/>
                <w:sz w:val="20"/>
                <w:szCs w:val="20"/>
              </w:rPr>
            </w:pPr>
          </w:p>
        </w:tc>
        <w:tc>
          <w:tcPr>
            <w:tcW w:w="1353" w:type="pct"/>
            <w:shd w:val="clear" w:color="auto" w:fill="auto"/>
          </w:tcPr>
          <w:p w14:paraId="0166EFEC" w14:textId="77777777" w:rsidR="00C21029" w:rsidRPr="00466BFF" w:rsidRDefault="00C21029" w:rsidP="00E5387E">
            <w:pPr>
              <w:spacing w:after="0" w:line="240" w:lineRule="auto"/>
              <w:rPr>
                <w:rFonts w:cs="Calibri"/>
                <w:sz w:val="20"/>
                <w:szCs w:val="20"/>
              </w:rPr>
            </w:pPr>
          </w:p>
        </w:tc>
      </w:tr>
      <w:tr w:rsidR="00C21029" w:rsidRPr="007F78CE" w14:paraId="7CF75484" w14:textId="77777777" w:rsidTr="00B434A6">
        <w:trPr>
          <w:trHeight w:val="580"/>
        </w:trPr>
        <w:tc>
          <w:tcPr>
            <w:tcW w:w="1196" w:type="pct"/>
            <w:vMerge/>
            <w:shd w:val="clear" w:color="auto" w:fill="auto"/>
            <w:hideMark/>
          </w:tcPr>
          <w:p w14:paraId="09134940"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43EDC1CA" w14:textId="77777777" w:rsidR="00C21029" w:rsidRPr="00466BFF" w:rsidRDefault="00C21029" w:rsidP="00E5387E">
            <w:pPr>
              <w:spacing w:after="0" w:line="240" w:lineRule="auto"/>
              <w:rPr>
                <w:rFonts w:cs="Calibri"/>
                <w:sz w:val="20"/>
                <w:szCs w:val="20"/>
              </w:rPr>
            </w:pPr>
            <w:bookmarkStart w:id="2634" w:name="_Toc124956915"/>
            <w:r w:rsidRPr="00466BFF">
              <w:rPr>
                <w:rFonts w:cs="Calibri"/>
                <w:sz w:val="20"/>
                <w:szCs w:val="20"/>
              </w:rPr>
              <w:t>Clinique Juridique/FIANTSO</w:t>
            </w:r>
            <w:bookmarkEnd w:id="2634"/>
          </w:p>
        </w:tc>
        <w:tc>
          <w:tcPr>
            <w:tcW w:w="620" w:type="pct"/>
            <w:shd w:val="clear" w:color="auto" w:fill="auto"/>
            <w:noWrap/>
            <w:hideMark/>
          </w:tcPr>
          <w:p w14:paraId="13303C4D"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3C860840" w14:textId="77777777" w:rsidR="00C21029" w:rsidRPr="00466BFF" w:rsidRDefault="00C21029" w:rsidP="00E5387E">
            <w:pPr>
              <w:spacing w:after="0" w:line="240" w:lineRule="auto"/>
              <w:rPr>
                <w:rFonts w:cs="Calibri"/>
                <w:sz w:val="20"/>
                <w:szCs w:val="20"/>
              </w:rPr>
            </w:pPr>
            <w:bookmarkStart w:id="2635" w:name="_Toc124956916"/>
            <w:r w:rsidRPr="00466BFF">
              <w:rPr>
                <w:rFonts w:cs="Calibri"/>
                <w:sz w:val="20"/>
                <w:szCs w:val="20"/>
              </w:rPr>
              <w:t>Ex Commissariat Police Ankofafa</w:t>
            </w:r>
            <w:r w:rsidR="006D5F22" w:rsidRPr="00466BFF">
              <w:rPr>
                <w:rFonts w:cs="Calibri"/>
                <w:sz w:val="20"/>
                <w:szCs w:val="20"/>
              </w:rPr>
              <w:t xml:space="preserve"> </w:t>
            </w:r>
            <w:r w:rsidRPr="00466BFF">
              <w:rPr>
                <w:rFonts w:cs="Calibri"/>
                <w:sz w:val="20"/>
                <w:szCs w:val="20"/>
              </w:rPr>
              <w:t>Manakara</w:t>
            </w:r>
            <w:bookmarkEnd w:id="2635"/>
          </w:p>
        </w:tc>
      </w:tr>
      <w:tr w:rsidR="00C21029" w:rsidRPr="007F78CE" w14:paraId="5B56B235" w14:textId="77777777" w:rsidTr="00B434A6">
        <w:trPr>
          <w:trHeight w:val="290"/>
        </w:trPr>
        <w:tc>
          <w:tcPr>
            <w:tcW w:w="1196" w:type="pct"/>
            <w:vMerge/>
            <w:shd w:val="clear" w:color="auto" w:fill="auto"/>
            <w:hideMark/>
          </w:tcPr>
          <w:p w14:paraId="377240EB"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35313FAE" w14:textId="77777777" w:rsidR="00C21029" w:rsidRPr="00466BFF" w:rsidRDefault="00C21029" w:rsidP="00E5387E">
            <w:pPr>
              <w:spacing w:after="0" w:line="240" w:lineRule="auto"/>
              <w:rPr>
                <w:rFonts w:cs="Calibri"/>
                <w:sz w:val="20"/>
                <w:szCs w:val="20"/>
              </w:rPr>
            </w:pPr>
            <w:bookmarkStart w:id="2636" w:name="_Toc124956917"/>
            <w:r w:rsidRPr="00466BFF">
              <w:rPr>
                <w:rFonts w:cs="Calibri"/>
                <w:sz w:val="20"/>
                <w:szCs w:val="20"/>
              </w:rPr>
              <w:t>Clinique Juridique/FIANTSO</w:t>
            </w:r>
            <w:bookmarkEnd w:id="2636"/>
          </w:p>
        </w:tc>
        <w:tc>
          <w:tcPr>
            <w:tcW w:w="620" w:type="pct"/>
            <w:shd w:val="clear" w:color="auto" w:fill="auto"/>
            <w:noWrap/>
            <w:hideMark/>
          </w:tcPr>
          <w:p w14:paraId="3D64B48D"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5B6F63DB" w14:textId="77777777" w:rsidR="00C21029" w:rsidRPr="00466BFF" w:rsidRDefault="00C21029" w:rsidP="00E5387E">
            <w:pPr>
              <w:spacing w:after="0" w:line="240" w:lineRule="auto"/>
              <w:rPr>
                <w:rFonts w:cs="Calibri"/>
                <w:sz w:val="20"/>
                <w:szCs w:val="20"/>
              </w:rPr>
            </w:pPr>
            <w:bookmarkStart w:id="2637" w:name="_Toc124956918"/>
            <w:r w:rsidRPr="00466BFF">
              <w:rPr>
                <w:rFonts w:cs="Calibri"/>
                <w:sz w:val="20"/>
                <w:szCs w:val="20"/>
              </w:rPr>
              <w:t>Mananjary</w:t>
            </w:r>
            <w:bookmarkEnd w:id="2637"/>
          </w:p>
        </w:tc>
      </w:tr>
      <w:tr w:rsidR="00C21029" w:rsidRPr="007F78CE" w14:paraId="27B63261" w14:textId="77777777" w:rsidTr="00B434A6">
        <w:trPr>
          <w:trHeight w:val="290"/>
        </w:trPr>
        <w:tc>
          <w:tcPr>
            <w:tcW w:w="1196" w:type="pct"/>
            <w:vMerge w:val="restart"/>
            <w:shd w:val="clear" w:color="auto" w:fill="auto"/>
            <w:noWrap/>
            <w:hideMark/>
          </w:tcPr>
          <w:p w14:paraId="27FF7971" w14:textId="77777777" w:rsidR="00C21029" w:rsidRPr="00B434A6" w:rsidRDefault="00C21029" w:rsidP="00E5387E">
            <w:pPr>
              <w:spacing w:after="0" w:line="240" w:lineRule="auto"/>
              <w:rPr>
                <w:rFonts w:cs="Cambria"/>
                <w:color w:val="212121"/>
                <w:sz w:val="20"/>
                <w:szCs w:val="20"/>
              </w:rPr>
            </w:pPr>
            <w:r w:rsidRPr="00B434A6">
              <w:rPr>
                <w:rFonts w:cs="Cambria"/>
                <w:color w:val="212121"/>
                <w:sz w:val="20"/>
                <w:szCs w:val="20"/>
              </w:rPr>
              <w:t>ATSIMO ATSINANANA</w:t>
            </w:r>
          </w:p>
        </w:tc>
        <w:tc>
          <w:tcPr>
            <w:tcW w:w="3804" w:type="pct"/>
            <w:gridSpan w:val="3"/>
            <w:shd w:val="clear" w:color="auto" w:fill="auto"/>
            <w:noWrap/>
            <w:hideMark/>
          </w:tcPr>
          <w:p w14:paraId="0EE2A3E5" w14:textId="77777777" w:rsidR="00C21029" w:rsidRPr="00466BFF" w:rsidRDefault="00C21029" w:rsidP="00E5387E">
            <w:pPr>
              <w:spacing w:after="0" w:line="240" w:lineRule="auto"/>
              <w:rPr>
                <w:rFonts w:cs="Calibri"/>
                <w:sz w:val="20"/>
                <w:szCs w:val="20"/>
              </w:rPr>
            </w:pPr>
            <w:bookmarkStart w:id="2638" w:name="_Toc124956919"/>
            <w:r w:rsidRPr="00466BFF">
              <w:rPr>
                <w:rFonts w:cs="Calibri"/>
                <w:sz w:val="20"/>
                <w:szCs w:val="20"/>
              </w:rPr>
              <w:t>Service Public</w:t>
            </w:r>
            <w:bookmarkEnd w:id="2638"/>
          </w:p>
        </w:tc>
      </w:tr>
      <w:tr w:rsidR="00C21029" w:rsidRPr="007F78CE" w14:paraId="5C945DEA" w14:textId="77777777" w:rsidTr="00B434A6">
        <w:trPr>
          <w:trHeight w:val="290"/>
        </w:trPr>
        <w:tc>
          <w:tcPr>
            <w:tcW w:w="1196" w:type="pct"/>
            <w:vMerge/>
            <w:shd w:val="clear" w:color="auto" w:fill="auto"/>
            <w:hideMark/>
          </w:tcPr>
          <w:p w14:paraId="13B770D5"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7F705AB1" w14:textId="77777777" w:rsidR="00C21029" w:rsidRPr="00466BFF" w:rsidRDefault="00C21029" w:rsidP="00E5387E">
            <w:pPr>
              <w:spacing w:after="0" w:line="240" w:lineRule="auto"/>
              <w:rPr>
                <w:rFonts w:cs="Calibri"/>
                <w:sz w:val="20"/>
                <w:szCs w:val="20"/>
              </w:rPr>
            </w:pPr>
            <w:bookmarkStart w:id="2639" w:name="_Toc124956920"/>
            <w:r w:rsidRPr="00466BFF">
              <w:rPr>
                <w:rFonts w:cs="Calibri"/>
                <w:sz w:val="20"/>
                <w:szCs w:val="20"/>
              </w:rPr>
              <w:t>Gendarmerie Nationale : GAPJ</w:t>
            </w:r>
            <w:bookmarkEnd w:id="2639"/>
          </w:p>
        </w:tc>
        <w:tc>
          <w:tcPr>
            <w:tcW w:w="620" w:type="pct"/>
            <w:shd w:val="clear" w:color="auto" w:fill="auto"/>
            <w:noWrap/>
            <w:hideMark/>
          </w:tcPr>
          <w:p w14:paraId="145424CD" w14:textId="77777777" w:rsidR="00C21029" w:rsidRPr="00466BFF" w:rsidRDefault="00C21029" w:rsidP="00E5387E">
            <w:pPr>
              <w:spacing w:after="0" w:line="240" w:lineRule="auto"/>
              <w:rPr>
                <w:rFonts w:cs="Calibri"/>
                <w:sz w:val="20"/>
                <w:szCs w:val="20"/>
              </w:rPr>
            </w:pPr>
            <w:bookmarkStart w:id="2640" w:name="_Toc124956921"/>
            <w:r w:rsidRPr="00466BFF">
              <w:rPr>
                <w:rFonts w:cs="Calibri"/>
                <w:sz w:val="20"/>
                <w:szCs w:val="20"/>
              </w:rPr>
              <w:t>0341400589</w:t>
            </w:r>
            <w:bookmarkEnd w:id="2640"/>
          </w:p>
        </w:tc>
        <w:tc>
          <w:tcPr>
            <w:tcW w:w="1353" w:type="pct"/>
            <w:shd w:val="clear" w:color="auto" w:fill="auto"/>
            <w:hideMark/>
          </w:tcPr>
          <w:p w14:paraId="7B14808B" w14:textId="77777777" w:rsidR="00C21029" w:rsidRPr="00466BFF" w:rsidRDefault="00C21029" w:rsidP="00E5387E">
            <w:pPr>
              <w:spacing w:after="0" w:line="240" w:lineRule="auto"/>
              <w:rPr>
                <w:rFonts w:cs="Calibri"/>
                <w:sz w:val="20"/>
                <w:szCs w:val="20"/>
              </w:rPr>
            </w:pPr>
            <w:bookmarkStart w:id="2641" w:name="_Toc124956922"/>
            <w:r w:rsidRPr="00466BFF">
              <w:rPr>
                <w:rFonts w:cs="Calibri"/>
                <w:sz w:val="20"/>
                <w:szCs w:val="20"/>
              </w:rPr>
              <w:t>Farafangana</w:t>
            </w:r>
            <w:bookmarkEnd w:id="2641"/>
          </w:p>
        </w:tc>
      </w:tr>
      <w:tr w:rsidR="00C21029" w:rsidRPr="007F78CE" w14:paraId="5BEFA6F3" w14:textId="77777777" w:rsidTr="00B434A6">
        <w:trPr>
          <w:trHeight w:val="290"/>
        </w:trPr>
        <w:tc>
          <w:tcPr>
            <w:tcW w:w="1196" w:type="pct"/>
            <w:vMerge/>
            <w:shd w:val="clear" w:color="auto" w:fill="auto"/>
            <w:hideMark/>
          </w:tcPr>
          <w:p w14:paraId="42E3B8F1"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353AD4B6" w14:textId="77777777" w:rsidR="00C21029" w:rsidRPr="00466BFF" w:rsidRDefault="00C21029" w:rsidP="00E5387E">
            <w:pPr>
              <w:spacing w:after="0" w:line="240" w:lineRule="auto"/>
              <w:rPr>
                <w:rFonts w:cs="Calibri"/>
                <w:sz w:val="20"/>
                <w:szCs w:val="20"/>
              </w:rPr>
            </w:pPr>
            <w:bookmarkStart w:id="2642" w:name="_Toc124956923"/>
            <w:r w:rsidRPr="00466BFF">
              <w:rPr>
                <w:rFonts w:cs="Calibri"/>
                <w:sz w:val="20"/>
                <w:szCs w:val="20"/>
              </w:rPr>
              <w:t>Tribunal de Première Instance</w:t>
            </w:r>
            <w:bookmarkEnd w:id="2642"/>
          </w:p>
        </w:tc>
        <w:tc>
          <w:tcPr>
            <w:tcW w:w="620" w:type="pct"/>
            <w:shd w:val="clear" w:color="auto" w:fill="auto"/>
            <w:noWrap/>
            <w:hideMark/>
          </w:tcPr>
          <w:p w14:paraId="2CFF17D2"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514194A0" w14:textId="77777777" w:rsidR="00C21029" w:rsidRPr="00466BFF" w:rsidRDefault="00C21029" w:rsidP="00E5387E">
            <w:pPr>
              <w:spacing w:after="0" w:line="240" w:lineRule="auto"/>
              <w:rPr>
                <w:rFonts w:cs="Calibri"/>
                <w:sz w:val="20"/>
                <w:szCs w:val="20"/>
              </w:rPr>
            </w:pPr>
            <w:bookmarkStart w:id="2643" w:name="_Toc124956924"/>
            <w:r w:rsidRPr="00466BFF">
              <w:rPr>
                <w:rFonts w:cs="Calibri"/>
                <w:sz w:val="20"/>
                <w:szCs w:val="20"/>
              </w:rPr>
              <w:t>Farafangana</w:t>
            </w:r>
            <w:bookmarkEnd w:id="2643"/>
          </w:p>
        </w:tc>
      </w:tr>
      <w:tr w:rsidR="00C21029" w:rsidRPr="007F78CE" w14:paraId="7E8B4DF5" w14:textId="77777777" w:rsidTr="00B434A6">
        <w:trPr>
          <w:trHeight w:val="290"/>
        </w:trPr>
        <w:tc>
          <w:tcPr>
            <w:tcW w:w="1196" w:type="pct"/>
            <w:vMerge/>
            <w:shd w:val="clear" w:color="auto" w:fill="auto"/>
            <w:hideMark/>
          </w:tcPr>
          <w:p w14:paraId="13E4968A"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436FF2F1" w14:textId="77777777" w:rsidR="00C21029" w:rsidRPr="00466BFF" w:rsidRDefault="00C21029" w:rsidP="00E5387E">
            <w:pPr>
              <w:spacing w:after="0" w:line="240" w:lineRule="auto"/>
              <w:rPr>
                <w:rFonts w:cs="Calibri"/>
                <w:sz w:val="20"/>
                <w:szCs w:val="20"/>
              </w:rPr>
            </w:pPr>
            <w:bookmarkStart w:id="2644" w:name="_Toc124956925"/>
            <w:r w:rsidRPr="00466BFF">
              <w:rPr>
                <w:rFonts w:cs="Calibri"/>
                <w:sz w:val="20"/>
                <w:szCs w:val="20"/>
              </w:rPr>
              <w:t>Partenariat Min Santé et ADDH/ONG</w:t>
            </w:r>
            <w:bookmarkEnd w:id="2644"/>
          </w:p>
        </w:tc>
        <w:tc>
          <w:tcPr>
            <w:tcW w:w="620" w:type="pct"/>
            <w:shd w:val="clear" w:color="auto" w:fill="auto"/>
          </w:tcPr>
          <w:p w14:paraId="38C7D3FA" w14:textId="77777777" w:rsidR="00C21029" w:rsidRPr="00466BFF" w:rsidRDefault="00C21029" w:rsidP="00E5387E">
            <w:pPr>
              <w:spacing w:after="0" w:line="240" w:lineRule="auto"/>
              <w:rPr>
                <w:rFonts w:cs="Calibri"/>
                <w:sz w:val="20"/>
                <w:szCs w:val="20"/>
              </w:rPr>
            </w:pPr>
          </w:p>
        </w:tc>
        <w:tc>
          <w:tcPr>
            <w:tcW w:w="1353" w:type="pct"/>
            <w:shd w:val="clear" w:color="auto" w:fill="auto"/>
          </w:tcPr>
          <w:p w14:paraId="651C0226" w14:textId="77777777" w:rsidR="00C21029" w:rsidRPr="00466BFF" w:rsidRDefault="00C21029" w:rsidP="00E5387E">
            <w:pPr>
              <w:spacing w:after="0" w:line="240" w:lineRule="auto"/>
              <w:rPr>
                <w:rFonts w:cs="Calibri"/>
                <w:sz w:val="20"/>
                <w:szCs w:val="20"/>
              </w:rPr>
            </w:pPr>
          </w:p>
        </w:tc>
      </w:tr>
      <w:tr w:rsidR="00C21029" w:rsidRPr="007F78CE" w14:paraId="6E3A0494" w14:textId="77777777" w:rsidTr="00B434A6">
        <w:trPr>
          <w:trHeight w:val="290"/>
        </w:trPr>
        <w:tc>
          <w:tcPr>
            <w:tcW w:w="1196" w:type="pct"/>
            <w:vMerge/>
            <w:shd w:val="clear" w:color="auto" w:fill="auto"/>
            <w:hideMark/>
          </w:tcPr>
          <w:p w14:paraId="413AAE42"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033BF65E" w14:textId="77777777" w:rsidR="00C21029" w:rsidRPr="00466BFF" w:rsidRDefault="00C21029" w:rsidP="00E5387E">
            <w:pPr>
              <w:spacing w:after="0" w:line="240" w:lineRule="auto"/>
              <w:rPr>
                <w:rFonts w:cs="Calibri"/>
                <w:sz w:val="20"/>
                <w:szCs w:val="20"/>
              </w:rPr>
            </w:pPr>
            <w:bookmarkStart w:id="2645" w:name="_Toc124956926"/>
            <w:r w:rsidRPr="00466BFF">
              <w:rPr>
                <w:rFonts w:cs="Calibri"/>
                <w:sz w:val="20"/>
                <w:szCs w:val="20"/>
              </w:rPr>
              <w:t>Clinique Juridique/FIANTSO</w:t>
            </w:r>
            <w:bookmarkEnd w:id="2645"/>
          </w:p>
        </w:tc>
        <w:tc>
          <w:tcPr>
            <w:tcW w:w="620" w:type="pct"/>
            <w:shd w:val="clear" w:color="auto" w:fill="auto"/>
            <w:noWrap/>
            <w:hideMark/>
          </w:tcPr>
          <w:p w14:paraId="2E672634"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46315942" w14:textId="77777777" w:rsidR="00C21029" w:rsidRPr="00466BFF" w:rsidRDefault="00C21029" w:rsidP="00E5387E">
            <w:pPr>
              <w:spacing w:after="0" w:line="240" w:lineRule="auto"/>
              <w:rPr>
                <w:rFonts w:cs="Calibri"/>
                <w:sz w:val="20"/>
                <w:szCs w:val="20"/>
              </w:rPr>
            </w:pPr>
            <w:bookmarkStart w:id="2646" w:name="_Toc124956927"/>
            <w:r w:rsidRPr="00466BFF">
              <w:rPr>
                <w:rFonts w:cs="Calibri"/>
                <w:sz w:val="20"/>
                <w:szCs w:val="20"/>
              </w:rPr>
              <w:t>Farafangana</w:t>
            </w:r>
            <w:bookmarkEnd w:id="2646"/>
          </w:p>
        </w:tc>
      </w:tr>
      <w:tr w:rsidR="00C21029" w:rsidRPr="007F78CE" w14:paraId="37A25B28" w14:textId="77777777" w:rsidTr="00B434A6">
        <w:trPr>
          <w:trHeight w:val="290"/>
        </w:trPr>
        <w:tc>
          <w:tcPr>
            <w:tcW w:w="1196" w:type="pct"/>
            <w:vMerge w:val="restart"/>
            <w:shd w:val="clear" w:color="auto" w:fill="auto"/>
            <w:noWrap/>
            <w:hideMark/>
          </w:tcPr>
          <w:p w14:paraId="42CE862B" w14:textId="77777777" w:rsidR="00C21029" w:rsidRPr="00B434A6" w:rsidRDefault="00C21029" w:rsidP="00E5387E">
            <w:pPr>
              <w:spacing w:after="0" w:line="240" w:lineRule="auto"/>
              <w:rPr>
                <w:rFonts w:cs="Cambria"/>
                <w:color w:val="212121"/>
                <w:sz w:val="20"/>
                <w:szCs w:val="20"/>
              </w:rPr>
            </w:pPr>
            <w:r w:rsidRPr="00B434A6">
              <w:rPr>
                <w:rFonts w:cs="Cambria"/>
                <w:color w:val="212121"/>
                <w:sz w:val="20"/>
                <w:szCs w:val="20"/>
              </w:rPr>
              <w:t>IHOROMBE</w:t>
            </w:r>
          </w:p>
        </w:tc>
        <w:tc>
          <w:tcPr>
            <w:tcW w:w="3804" w:type="pct"/>
            <w:gridSpan w:val="3"/>
            <w:shd w:val="clear" w:color="auto" w:fill="auto"/>
            <w:noWrap/>
            <w:hideMark/>
          </w:tcPr>
          <w:p w14:paraId="07FE08C0" w14:textId="77777777" w:rsidR="00C21029" w:rsidRPr="00466BFF" w:rsidRDefault="00C21029" w:rsidP="00E5387E">
            <w:pPr>
              <w:spacing w:after="0" w:line="240" w:lineRule="auto"/>
              <w:rPr>
                <w:rFonts w:cs="Calibri"/>
                <w:sz w:val="20"/>
                <w:szCs w:val="20"/>
              </w:rPr>
            </w:pPr>
            <w:bookmarkStart w:id="2647" w:name="_Toc124956928"/>
            <w:r w:rsidRPr="00466BFF">
              <w:rPr>
                <w:rFonts w:cs="Calibri"/>
                <w:sz w:val="20"/>
                <w:szCs w:val="20"/>
              </w:rPr>
              <w:t>Service Public</w:t>
            </w:r>
            <w:bookmarkEnd w:id="2647"/>
          </w:p>
        </w:tc>
      </w:tr>
      <w:tr w:rsidR="00C21029" w:rsidRPr="007F78CE" w14:paraId="05276448" w14:textId="77777777" w:rsidTr="00B434A6">
        <w:trPr>
          <w:trHeight w:val="290"/>
        </w:trPr>
        <w:tc>
          <w:tcPr>
            <w:tcW w:w="1196" w:type="pct"/>
            <w:vMerge/>
            <w:shd w:val="clear" w:color="auto" w:fill="auto"/>
            <w:hideMark/>
          </w:tcPr>
          <w:p w14:paraId="6A8FEA37"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2E193445" w14:textId="77777777" w:rsidR="00C21029" w:rsidRPr="00466BFF" w:rsidRDefault="00C21029" w:rsidP="00E5387E">
            <w:pPr>
              <w:spacing w:after="0" w:line="240" w:lineRule="auto"/>
              <w:rPr>
                <w:rFonts w:cs="Calibri"/>
                <w:sz w:val="20"/>
                <w:szCs w:val="20"/>
              </w:rPr>
            </w:pPr>
            <w:bookmarkStart w:id="2648" w:name="_Toc124956929"/>
            <w:r w:rsidRPr="00466BFF">
              <w:rPr>
                <w:rFonts w:cs="Calibri"/>
                <w:sz w:val="20"/>
                <w:szCs w:val="20"/>
              </w:rPr>
              <w:t>Gendarmerie Nationale : GAPJ</w:t>
            </w:r>
            <w:bookmarkEnd w:id="2648"/>
          </w:p>
        </w:tc>
        <w:tc>
          <w:tcPr>
            <w:tcW w:w="620" w:type="pct"/>
            <w:shd w:val="clear" w:color="auto" w:fill="auto"/>
            <w:noWrap/>
            <w:hideMark/>
          </w:tcPr>
          <w:p w14:paraId="17F71150" w14:textId="77777777" w:rsidR="00C21029" w:rsidRPr="00466BFF" w:rsidRDefault="00C21029" w:rsidP="00E5387E">
            <w:pPr>
              <w:spacing w:after="0" w:line="240" w:lineRule="auto"/>
              <w:rPr>
                <w:rFonts w:cs="Calibri"/>
                <w:sz w:val="20"/>
                <w:szCs w:val="20"/>
              </w:rPr>
            </w:pPr>
            <w:bookmarkStart w:id="2649" w:name="_Toc124956930"/>
            <w:r w:rsidRPr="00466BFF">
              <w:rPr>
                <w:rFonts w:cs="Calibri"/>
                <w:sz w:val="20"/>
                <w:szCs w:val="20"/>
              </w:rPr>
              <w:t>0340570117</w:t>
            </w:r>
            <w:bookmarkEnd w:id="2649"/>
          </w:p>
        </w:tc>
        <w:tc>
          <w:tcPr>
            <w:tcW w:w="1353" w:type="pct"/>
            <w:shd w:val="clear" w:color="auto" w:fill="auto"/>
            <w:hideMark/>
          </w:tcPr>
          <w:p w14:paraId="7C5FE028" w14:textId="77777777" w:rsidR="00C21029" w:rsidRPr="00466BFF" w:rsidRDefault="00C21029" w:rsidP="00E5387E">
            <w:pPr>
              <w:spacing w:after="0" w:line="240" w:lineRule="auto"/>
              <w:rPr>
                <w:rFonts w:cs="Calibri"/>
                <w:sz w:val="20"/>
                <w:szCs w:val="20"/>
              </w:rPr>
            </w:pPr>
            <w:bookmarkStart w:id="2650" w:name="_Toc124956931"/>
            <w:r w:rsidRPr="00466BFF">
              <w:rPr>
                <w:rFonts w:cs="Calibri"/>
                <w:sz w:val="20"/>
                <w:szCs w:val="20"/>
              </w:rPr>
              <w:t>Ihosy</w:t>
            </w:r>
            <w:bookmarkEnd w:id="2650"/>
          </w:p>
        </w:tc>
      </w:tr>
      <w:tr w:rsidR="00C21029" w:rsidRPr="007F78CE" w14:paraId="2058E7A6" w14:textId="77777777" w:rsidTr="00B434A6">
        <w:trPr>
          <w:trHeight w:val="290"/>
        </w:trPr>
        <w:tc>
          <w:tcPr>
            <w:tcW w:w="1196" w:type="pct"/>
            <w:vMerge/>
            <w:shd w:val="clear" w:color="auto" w:fill="auto"/>
            <w:hideMark/>
          </w:tcPr>
          <w:p w14:paraId="533EDA79"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2D503644" w14:textId="77777777" w:rsidR="00C21029" w:rsidRPr="00466BFF" w:rsidRDefault="00C21029" w:rsidP="00E5387E">
            <w:pPr>
              <w:spacing w:after="0" w:line="240" w:lineRule="auto"/>
              <w:rPr>
                <w:rFonts w:cs="Calibri"/>
                <w:sz w:val="20"/>
                <w:szCs w:val="20"/>
              </w:rPr>
            </w:pPr>
            <w:bookmarkStart w:id="2651" w:name="_Toc124956932"/>
            <w:r w:rsidRPr="00466BFF">
              <w:rPr>
                <w:rFonts w:cs="Calibri"/>
                <w:sz w:val="20"/>
                <w:szCs w:val="20"/>
              </w:rPr>
              <w:t>Tribunal de Première Instance</w:t>
            </w:r>
            <w:bookmarkEnd w:id="2651"/>
          </w:p>
        </w:tc>
        <w:tc>
          <w:tcPr>
            <w:tcW w:w="620" w:type="pct"/>
            <w:shd w:val="clear" w:color="auto" w:fill="auto"/>
            <w:noWrap/>
            <w:hideMark/>
          </w:tcPr>
          <w:p w14:paraId="793E8E2A"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6FE0DBB0" w14:textId="77777777" w:rsidR="00C21029" w:rsidRPr="00466BFF" w:rsidRDefault="00C21029" w:rsidP="00E5387E">
            <w:pPr>
              <w:spacing w:after="0" w:line="240" w:lineRule="auto"/>
              <w:rPr>
                <w:rFonts w:cs="Calibri"/>
                <w:sz w:val="20"/>
                <w:szCs w:val="20"/>
              </w:rPr>
            </w:pPr>
            <w:bookmarkStart w:id="2652" w:name="_Toc124956933"/>
            <w:r w:rsidRPr="00466BFF">
              <w:rPr>
                <w:rFonts w:cs="Calibri"/>
                <w:sz w:val="20"/>
                <w:szCs w:val="20"/>
              </w:rPr>
              <w:t>Ihosy</w:t>
            </w:r>
            <w:bookmarkEnd w:id="2652"/>
          </w:p>
        </w:tc>
      </w:tr>
      <w:tr w:rsidR="00C21029" w:rsidRPr="007F78CE" w14:paraId="0C795DEF" w14:textId="77777777" w:rsidTr="00B434A6">
        <w:trPr>
          <w:trHeight w:val="290"/>
        </w:trPr>
        <w:tc>
          <w:tcPr>
            <w:tcW w:w="1196" w:type="pct"/>
            <w:vMerge/>
            <w:shd w:val="clear" w:color="auto" w:fill="auto"/>
            <w:hideMark/>
          </w:tcPr>
          <w:p w14:paraId="0DBB96C3"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709366F1" w14:textId="77777777" w:rsidR="00C21029" w:rsidRPr="00466BFF" w:rsidRDefault="00C21029" w:rsidP="00E5387E">
            <w:pPr>
              <w:spacing w:after="0" w:line="240" w:lineRule="auto"/>
              <w:rPr>
                <w:rFonts w:cs="Calibri"/>
                <w:sz w:val="20"/>
                <w:szCs w:val="20"/>
              </w:rPr>
            </w:pPr>
            <w:bookmarkStart w:id="2653" w:name="_Toc124956934"/>
            <w:r w:rsidRPr="00466BFF">
              <w:rPr>
                <w:rFonts w:cs="Calibri"/>
                <w:sz w:val="20"/>
                <w:szCs w:val="20"/>
              </w:rPr>
              <w:t>Partenariat Min Santé et ADDH/ONG</w:t>
            </w:r>
            <w:bookmarkEnd w:id="2653"/>
          </w:p>
        </w:tc>
        <w:tc>
          <w:tcPr>
            <w:tcW w:w="620" w:type="pct"/>
            <w:shd w:val="clear" w:color="auto" w:fill="auto"/>
          </w:tcPr>
          <w:p w14:paraId="61E11CEA" w14:textId="77777777" w:rsidR="00C21029" w:rsidRPr="00466BFF" w:rsidRDefault="00C21029" w:rsidP="00E5387E">
            <w:pPr>
              <w:spacing w:after="0" w:line="240" w:lineRule="auto"/>
              <w:rPr>
                <w:rFonts w:cs="Calibri"/>
                <w:sz w:val="20"/>
                <w:szCs w:val="20"/>
              </w:rPr>
            </w:pPr>
          </w:p>
        </w:tc>
        <w:tc>
          <w:tcPr>
            <w:tcW w:w="1353" w:type="pct"/>
            <w:shd w:val="clear" w:color="auto" w:fill="auto"/>
          </w:tcPr>
          <w:p w14:paraId="141F3678" w14:textId="77777777" w:rsidR="00C21029" w:rsidRPr="00466BFF" w:rsidRDefault="00C21029" w:rsidP="00E5387E">
            <w:pPr>
              <w:spacing w:after="0" w:line="240" w:lineRule="auto"/>
              <w:rPr>
                <w:rFonts w:cs="Calibri"/>
                <w:sz w:val="20"/>
                <w:szCs w:val="20"/>
              </w:rPr>
            </w:pPr>
          </w:p>
        </w:tc>
      </w:tr>
      <w:tr w:rsidR="00C21029" w:rsidRPr="007F78CE" w14:paraId="1461347E" w14:textId="77777777" w:rsidTr="00B434A6">
        <w:trPr>
          <w:trHeight w:val="290"/>
        </w:trPr>
        <w:tc>
          <w:tcPr>
            <w:tcW w:w="1196" w:type="pct"/>
            <w:vMerge/>
            <w:shd w:val="clear" w:color="auto" w:fill="auto"/>
            <w:hideMark/>
          </w:tcPr>
          <w:p w14:paraId="2715401D"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75496B67" w14:textId="77777777" w:rsidR="00C21029" w:rsidRPr="00466BFF" w:rsidRDefault="00C21029" w:rsidP="00E5387E">
            <w:pPr>
              <w:spacing w:after="0" w:line="240" w:lineRule="auto"/>
              <w:rPr>
                <w:rFonts w:cs="Calibri"/>
                <w:sz w:val="20"/>
                <w:szCs w:val="20"/>
              </w:rPr>
            </w:pPr>
            <w:bookmarkStart w:id="2654" w:name="_Toc124956935"/>
            <w:r w:rsidRPr="00466BFF">
              <w:rPr>
                <w:rFonts w:cs="Calibri"/>
                <w:sz w:val="20"/>
                <w:szCs w:val="20"/>
              </w:rPr>
              <w:t>Clinique Juridique/FIANTSO</w:t>
            </w:r>
            <w:bookmarkEnd w:id="2654"/>
          </w:p>
        </w:tc>
        <w:tc>
          <w:tcPr>
            <w:tcW w:w="620" w:type="pct"/>
            <w:shd w:val="clear" w:color="auto" w:fill="auto"/>
            <w:noWrap/>
            <w:hideMark/>
          </w:tcPr>
          <w:p w14:paraId="1CAA4A94"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4BFBC27E" w14:textId="77777777" w:rsidR="00C21029" w:rsidRPr="00466BFF" w:rsidRDefault="00C21029" w:rsidP="00E5387E">
            <w:pPr>
              <w:spacing w:after="0" w:line="240" w:lineRule="auto"/>
              <w:rPr>
                <w:rFonts w:cs="Calibri"/>
                <w:sz w:val="20"/>
                <w:szCs w:val="20"/>
              </w:rPr>
            </w:pPr>
            <w:bookmarkStart w:id="2655" w:name="_Toc124956936"/>
            <w:r w:rsidRPr="00466BFF">
              <w:rPr>
                <w:rFonts w:cs="Calibri"/>
                <w:sz w:val="20"/>
                <w:szCs w:val="20"/>
              </w:rPr>
              <w:t>Ihosy</w:t>
            </w:r>
            <w:bookmarkEnd w:id="2655"/>
          </w:p>
        </w:tc>
      </w:tr>
      <w:tr w:rsidR="00C21029" w:rsidRPr="007F78CE" w14:paraId="08E43CC7" w14:textId="77777777" w:rsidTr="00B434A6">
        <w:trPr>
          <w:trHeight w:val="290"/>
        </w:trPr>
        <w:tc>
          <w:tcPr>
            <w:tcW w:w="1196" w:type="pct"/>
            <w:vMerge w:val="restart"/>
            <w:shd w:val="clear" w:color="auto" w:fill="auto"/>
            <w:noWrap/>
            <w:hideMark/>
          </w:tcPr>
          <w:p w14:paraId="70277BA5" w14:textId="77777777" w:rsidR="00C21029" w:rsidRPr="00B434A6" w:rsidRDefault="00C21029" w:rsidP="00E5387E">
            <w:pPr>
              <w:spacing w:after="0" w:line="240" w:lineRule="auto"/>
              <w:rPr>
                <w:rFonts w:cs="Cambria"/>
                <w:color w:val="212121"/>
                <w:sz w:val="20"/>
                <w:szCs w:val="20"/>
              </w:rPr>
            </w:pPr>
            <w:r w:rsidRPr="00B434A6">
              <w:rPr>
                <w:rFonts w:cs="Cambria"/>
                <w:color w:val="212121"/>
                <w:sz w:val="20"/>
                <w:szCs w:val="20"/>
              </w:rPr>
              <w:t>ATSIMO ANDREFANA</w:t>
            </w:r>
          </w:p>
        </w:tc>
        <w:tc>
          <w:tcPr>
            <w:tcW w:w="3804" w:type="pct"/>
            <w:gridSpan w:val="3"/>
            <w:shd w:val="clear" w:color="auto" w:fill="auto"/>
            <w:noWrap/>
            <w:hideMark/>
          </w:tcPr>
          <w:p w14:paraId="35BF59C9" w14:textId="77777777" w:rsidR="00C21029" w:rsidRPr="00466BFF" w:rsidRDefault="00C21029" w:rsidP="00E5387E">
            <w:pPr>
              <w:spacing w:after="0" w:line="240" w:lineRule="auto"/>
              <w:rPr>
                <w:rFonts w:cs="Calibri"/>
                <w:sz w:val="20"/>
                <w:szCs w:val="20"/>
              </w:rPr>
            </w:pPr>
            <w:bookmarkStart w:id="2656" w:name="_Toc124956937"/>
            <w:r w:rsidRPr="00466BFF">
              <w:rPr>
                <w:rFonts w:cs="Calibri"/>
                <w:sz w:val="20"/>
                <w:szCs w:val="20"/>
              </w:rPr>
              <w:t>Service Public</w:t>
            </w:r>
            <w:bookmarkEnd w:id="2656"/>
          </w:p>
        </w:tc>
      </w:tr>
      <w:tr w:rsidR="00C21029" w:rsidRPr="007F78CE" w14:paraId="0E5A0316" w14:textId="77777777" w:rsidTr="00B434A6">
        <w:trPr>
          <w:trHeight w:val="290"/>
        </w:trPr>
        <w:tc>
          <w:tcPr>
            <w:tcW w:w="1196" w:type="pct"/>
            <w:vMerge/>
            <w:shd w:val="clear" w:color="auto" w:fill="auto"/>
            <w:hideMark/>
          </w:tcPr>
          <w:p w14:paraId="36FC6015"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0AFECB8A" w14:textId="77777777" w:rsidR="00C21029" w:rsidRPr="00466BFF" w:rsidRDefault="00C21029" w:rsidP="00E5387E">
            <w:pPr>
              <w:spacing w:after="0" w:line="240" w:lineRule="auto"/>
              <w:rPr>
                <w:rFonts w:cs="Calibri"/>
                <w:sz w:val="20"/>
                <w:szCs w:val="20"/>
              </w:rPr>
            </w:pPr>
            <w:bookmarkStart w:id="2657" w:name="_Toc124956938"/>
            <w:r w:rsidRPr="00466BFF">
              <w:rPr>
                <w:rFonts w:cs="Calibri"/>
                <w:sz w:val="20"/>
                <w:szCs w:val="20"/>
              </w:rPr>
              <w:t>Police Nationale : DPMPM</w:t>
            </w:r>
            <w:bookmarkEnd w:id="2657"/>
          </w:p>
        </w:tc>
        <w:tc>
          <w:tcPr>
            <w:tcW w:w="620" w:type="pct"/>
            <w:shd w:val="clear" w:color="auto" w:fill="auto"/>
            <w:noWrap/>
            <w:hideMark/>
          </w:tcPr>
          <w:p w14:paraId="6BD332AA" w14:textId="77777777" w:rsidR="00C21029" w:rsidRPr="00466BFF" w:rsidRDefault="00C21029" w:rsidP="00E5387E">
            <w:pPr>
              <w:spacing w:after="0" w:line="240" w:lineRule="auto"/>
              <w:rPr>
                <w:rFonts w:cs="Calibri"/>
                <w:sz w:val="20"/>
                <w:szCs w:val="20"/>
              </w:rPr>
            </w:pPr>
            <w:bookmarkStart w:id="2658" w:name="_Toc124956939"/>
            <w:r w:rsidRPr="00466BFF">
              <w:rPr>
                <w:rFonts w:cs="Calibri"/>
                <w:sz w:val="20"/>
                <w:szCs w:val="20"/>
              </w:rPr>
              <w:t>0346327309</w:t>
            </w:r>
            <w:bookmarkEnd w:id="2658"/>
          </w:p>
        </w:tc>
        <w:tc>
          <w:tcPr>
            <w:tcW w:w="1353" w:type="pct"/>
            <w:shd w:val="clear" w:color="auto" w:fill="auto"/>
            <w:noWrap/>
            <w:hideMark/>
          </w:tcPr>
          <w:p w14:paraId="204B932E" w14:textId="77777777" w:rsidR="00C21029" w:rsidRPr="00466BFF" w:rsidRDefault="00C21029" w:rsidP="00E5387E">
            <w:pPr>
              <w:spacing w:after="0" w:line="240" w:lineRule="auto"/>
              <w:rPr>
                <w:rFonts w:cs="Calibri"/>
                <w:sz w:val="20"/>
                <w:szCs w:val="20"/>
              </w:rPr>
            </w:pPr>
            <w:bookmarkStart w:id="2659" w:name="_Toc124956940"/>
            <w:r w:rsidRPr="00466BFF">
              <w:rPr>
                <w:rFonts w:cs="Calibri"/>
                <w:sz w:val="20"/>
                <w:szCs w:val="20"/>
              </w:rPr>
              <w:t>Toliara I</w:t>
            </w:r>
            <w:bookmarkEnd w:id="2659"/>
          </w:p>
        </w:tc>
      </w:tr>
      <w:tr w:rsidR="00C21029" w:rsidRPr="007F78CE" w14:paraId="157A0B94" w14:textId="77777777" w:rsidTr="00B434A6">
        <w:trPr>
          <w:trHeight w:val="290"/>
        </w:trPr>
        <w:tc>
          <w:tcPr>
            <w:tcW w:w="1196" w:type="pct"/>
            <w:vMerge/>
            <w:shd w:val="clear" w:color="auto" w:fill="auto"/>
            <w:hideMark/>
          </w:tcPr>
          <w:p w14:paraId="2E351F63"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4701DBE0" w14:textId="77777777" w:rsidR="00C21029" w:rsidRPr="00466BFF" w:rsidRDefault="00C21029" w:rsidP="00E5387E">
            <w:pPr>
              <w:spacing w:after="0" w:line="240" w:lineRule="auto"/>
              <w:rPr>
                <w:rFonts w:cs="Calibri"/>
                <w:sz w:val="20"/>
                <w:szCs w:val="20"/>
              </w:rPr>
            </w:pPr>
            <w:bookmarkStart w:id="2660" w:name="_Toc124956941"/>
            <w:r w:rsidRPr="00466BFF">
              <w:rPr>
                <w:rFonts w:cs="Calibri"/>
                <w:sz w:val="20"/>
                <w:szCs w:val="20"/>
              </w:rPr>
              <w:t>Gendarmerie Nationale : SRC</w:t>
            </w:r>
            <w:bookmarkEnd w:id="2660"/>
          </w:p>
        </w:tc>
        <w:tc>
          <w:tcPr>
            <w:tcW w:w="620" w:type="pct"/>
            <w:shd w:val="clear" w:color="auto" w:fill="auto"/>
            <w:noWrap/>
            <w:hideMark/>
          </w:tcPr>
          <w:p w14:paraId="2D5D0215" w14:textId="77777777" w:rsidR="00C21029" w:rsidRPr="00466BFF" w:rsidRDefault="00C21029" w:rsidP="00E5387E">
            <w:pPr>
              <w:spacing w:after="0" w:line="240" w:lineRule="auto"/>
              <w:rPr>
                <w:rFonts w:cs="Calibri"/>
                <w:sz w:val="20"/>
                <w:szCs w:val="20"/>
              </w:rPr>
            </w:pPr>
            <w:bookmarkStart w:id="2661" w:name="_Toc124956942"/>
            <w:r w:rsidRPr="00466BFF">
              <w:rPr>
                <w:rFonts w:cs="Calibri"/>
                <w:sz w:val="20"/>
                <w:szCs w:val="20"/>
              </w:rPr>
              <w:t>0341400600</w:t>
            </w:r>
            <w:bookmarkEnd w:id="2661"/>
          </w:p>
        </w:tc>
        <w:tc>
          <w:tcPr>
            <w:tcW w:w="1353" w:type="pct"/>
            <w:shd w:val="clear" w:color="auto" w:fill="auto"/>
            <w:hideMark/>
          </w:tcPr>
          <w:p w14:paraId="6425B412" w14:textId="77777777" w:rsidR="00C21029" w:rsidRPr="00466BFF" w:rsidRDefault="00C21029" w:rsidP="00E5387E">
            <w:pPr>
              <w:spacing w:after="0" w:line="240" w:lineRule="auto"/>
              <w:rPr>
                <w:rFonts w:cs="Calibri"/>
                <w:sz w:val="20"/>
                <w:szCs w:val="20"/>
              </w:rPr>
            </w:pPr>
            <w:bookmarkStart w:id="2662" w:name="_Toc124956943"/>
            <w:r w:rsidRPr="00466BFF">
              <w:rPr>
                <w:rFonts w:cs="Calibri"/>
                <w:sz w:val="20"/>
                <w:szCs w:val="20"/>
              </w:rPr>
              <w:t>Toliara I</w:t>
            </w:r>
            <w:bookmarkEnd w:id="2662"/>
          </w:p>
        </w:tc>
      </w:tr>
      <w:tr w:rsidR="00C21029" w:rsidRPr="007F78CE" w14:paraId="77B599D7" w14:textId="77777777" w:rsidTr="00B434A6">
        <w:trPr>
          <w:trHeight w:val="290"/>
        </w:trPr>
        <w:tc>
          <w:tcPr>
            <w:tcW w:w="1196" w:type="pct"/>
            <w:vMerge/>
            <w:shd w:val="clear" w:color="auto" w:fill="auto"/>
            <w:hideMark/>
          </w:tcPr>
          <w:p w14:paraId="061AFBF8"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54410C58" w14:textId="77777777" w:rsidR="00C21029" w:rsidRPr="00466BFF" w:rsidRDefault="00C21029" w:rsidP="00E5387E">
            <w:pPr>
              <w:spacing w:after="0" w:line="240" w:lineRule="auto"/>
              <w:rPr>
                <w:rFonts w:cs="Calibri"/>
                <w:sz w:val="20"/>
                <w:szCs w:val="20"/>
              </w:rPr>
            </w:pPr>
            <w:bookmarkStart w:id="2663" w:name="_Toc124956944"/>
            <w:r w:rsidRPr="00466BFF">
              <w:rPr>
                <w:rFonts w:cs="Calibri"/>
                <w:sz w:val="20"/>
                <w:szCs w:val="20"/>
              </w:rPr>
              <w:t>Tribunal de Première Instance</w:t>
            </w:r>
            <w:bookmarkEnd w:id="2663"/>
          </w:p>
        </w:tc>
        <w:tc>
          <w:tcPr>
            <w:tcW w:w="620" w:type="pct"/>
            <w:shd w:val="clear" w:color="auto" w:fill="auto"/>
            <w:noWrap/>
            <w:hideMark/>
          </w:tcPr>
          <w:p w14:paraId="5E836F19"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7349F7D5" w14:textId="77777777" w:rsidR="00C21029" w:rsidRPr="00466BFF" w:rsidRDefault="00C21029" w:rsidP="00E5387E">
            <w:pPr>
              <w:spacing w:after="0" w:line="240" w:lineRule="auto"/>
              <w:rPr>
                <w:rFonts w:cs="Calibri"/>
                <w:sz w:val="20"/>
                <w:szCs w:val="20"/>
              </w:rPr>
            </w:pPr>
            <w:bookmarkStart w:id="2664" w:name="_Toc124956945"/>
            <w:r w:rsidRPr="00466BFF">
              <w:rPr>
                <w:rFonts w:cs="Calibri"/>
                <w:sz w:val="20"/>
                <w:szCs w:val="20"/>
              </w:rPr>
              <w:t>Toliara I</w:t>
            </w:r>
            <w:bookmarkEnd w:id="2664"/>
          </w:p>
        </w:tc>
      </w:tr>
      <w:tr w:rsidR="00C21029" w:rsidRPr="007F78CE" w14:paraId="1B27526D" w14:textId="77777777" w:rsidTr="00B434A6">
        <w:trPr>
          <w:trHeight w:val="290"/>
        </w:trPr>
        <w:tc>
          <w:tcPr>
            <w:tcW w:w="1196" w:type="pct"/>
            <w:vMerge/>
            <w:shd w:val="clear" w:color="auto" w:fill="auto"/>
            <w:hideMark/>
          </w:tcPr>
          <w:p w14:paraId="0CDBC9DD"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66DBE765" w14:textId="77777777" w:rsidR="00C21029" w:rsidRPr="00466BFF" w:rsidRDefault="00C21029" w:rsidP="00E5387E">
            <w:pPr>
              <w:spacing w:after="0" w:line="240" w:lineRule="auto"/>
              <w:rPr>
                <w:rFonts w:cs="Calibri"/>
                <w:sz w:val="20"/>
                <w:szCs w:val="20"/>
              </w:rPr>
            </w:pPr>
            <w:bookmarkStart w:id="2665" w:name="_Toc124956946"/>
            <w:r w:rsidRPr="00466BFF">
              <w:rPr>
                <w:rFonts w:cs="Calibri"/>
                <w:sz w:val="20"/>
                <w:szCs w:val="20"/>
              </w:rPr>
              <w:t>Partenariat Min Santé et ADDH/ONG</w:t>
            </w:r>
            <w:bookmarkEnd w:id="2665"/>
          </w:p>
        </w:tc>
        <w:tc>
          <w:tcPr>
            <w:tcW w:w="620" w:type="pct"/>
            <w:shd w:val="clear" w:color="auto" w:fill="auto"/>
          </w:tcPr>
          <w:p w14:paraId="1D48EBCE" w14:textId="77777777" w:rsidR="00C21029" w:rsidRPr="00466BFF" w:rsidRDefault="00C21029" w:rsidP="00E5387E">
            <w:pPr>
              <w:spacing w:after="0" w:line="240" w:lineRule="auto"/>
              <w:rPr>
                <w:rFonts w:cs="Calibri"/>
                <w:sz w:val="20"/>
                <w:szCs w:val="20"/>
              </w:rPr>
            </w:pPr>
          </w:p>
        </w:tc>
        <w:tc>
          <w:tcPr>
            <w:tcW w:w="1353" w:type="pct"/>
            <w:shd w:val="clear" w:color="auto" w:fill="auto"/>
          </w:tcPr>
          <w:p w14:paraId="118AF6B6" w14:textId="77777777" w:rsidR="00C21029" w:rsidRPr="00466BFF" w:rsidRDefault="00C21029" w:rsidP="00E5387E">
            <w:pPr>
              <w:spacing w:after="0" w:line="240" w:lineRule="auto"/>
              <w:rPr>
                <w:rFonts w:cs="Calibri"/>
                <w:sz w:val="20"/>
                <w:szCs w:val="20"/>
              </w:rPr>
            </w:pPr>
          </w:p>
        </w:tc>
      </w:tr>
      <w:tr w:rsidR="00C21029" w:rsidRPr="007F78CE" w14:paraId="02DBA42F" w14:textId="77777777" w:rsidTr="00B434A6">
        <w:trPr>
          <w:trHeight w:val="290"/>
        </w:trPr>
        <w:tc>
          <w:tcPr>
            <w:tcW w:w="1196" w:type="pct"/>
            <w:vMerge/>
            <w:shd w:val="clear" w:color="auto" w:fill="auto"/>
            <w:hideMark/>
          </w:tcPr>
          <w:p w14:paraId="4E91DCD0"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4CD100C3" w14:textId="77777777" w:rsidR="00C21029" w:rsidRPr="00466BFF" w:rsidRDefault="00C21029" w:rsidP="00E5387E">
            <w:pPr>
              <w:spacing w:after="0" w:line="240" w:lineRule="auto"/>
              <w:rPr>
                <w:rFonts w:cs="Calibri"/>
                <w:sz w:val="20"/>
                <w:szCs w:val="20"/>
              </w:rPr>
            </w:pPr>
            <w:bookmarkStart w:id="2666" w:name="_Toc124956947"/>
            <w:r w:rsidRPr="00466BFF">
              <w:rPr>
                <w:rFonts w:cs="Calibri"/>
                <w:sz w:val="20"/>
                <w:szCs w:val="20"/>
              </w:rPr>
              <w:t>Clinique Juridique/FAFED</w:t>
            </w:r>
            <w:bookmarkEnd w:id="2666"/>
          </w:p>
        </w:tc>
        <w:tc>
          <w:tcPr>
            <w:tcW w:w="620" w:type="pct"/>
            <w:shd w:val="clear" w:color="auto" w:fill="auto"/>
            <w:noWrap/>
            <w:hideMark/>
          </w:tcPr>
          <w:p w14:paraId="09171395" w14:textId="77777777" w:rsidR="00C21029" w:rsidRPr="00466BFF" w:rsidRDefault="00C21029" w:rsidP="00E5387E">
            <w:pPr>
              <w:spacing w:after="0" w:line="240" w:lineRule="auto"/>
              <w:rPr>
                <w:rFonts w:cs="Calibri"/>
                <w:sz w:val="20"/>
                <w:szCs w:val="20"/>
              </w:rPr>
            </w:pPr>
            <w:bookmarkStart w:id="2667" w:name="_Toc124956948"/>
            <w:r w:rsidRPr="00466BFF">
              <w:rPr>
                <w:rFonts w:cs="Calibri"/>
                <w:sz w:val="20"/>
                <w:szCs w:val="20"/>
              </w:rPr>
              <w:t>0332992502</w:t>
            </w:r>
            <w:bookmarkEnd w:id="2667"/>
          </w:p>
        </w:tc>
        <w:tc>
          <w:tcPr>
            <w:tcW w:w="1353" w:type="pct"/>
            <w:shd w:val="clear" w:color="auto" w:fill="auto"/>
            <w:hideMark/>
          </w:tcPr>
          <w:p w14:paraId="5556ED54" w14:textId="77777777" w:rsidR="00C21029" w:rsidRPr="00466BFF" w:rsidRDefault="00C21029" w:rsidP="00E5387E">
            <w:pPr>
              <w:spacing w:after="0" w:line="240" w:lineRule="auto"/>
              <w:rPr>
                <w:rFonts w:cs="Calibri"/>
                <w:sz w:val="20"/>
                <w:szCs w:val="20"/>
              </w:rPr>
            </w:pPr>
            <w:bookmarkStart w:id="2668" w:name="_Toc124956949"/>
            <w:r w:rsidRPr="00466BFF">
              <w:rPr>
                <w:rFonts w:cs="Calibri"/>
                <w:sz w:val="20"/>
                <w:szCs w:val="20"/>
              </w:rPr>
              <w:t>Toliara I</w:t>
            </w:r>
            <w:bookmarkEnd w:id="2668"/>
          </w:p>
        </w:tc>
      </w:tr>
      <w:tr w:rsidR="00C21029" w:rsidRPr="007F78CE" w14:paraId="7E7F41F8" w14:textId="77777777" w:rsidTr="00B434A6">
        <w:trPr>
          <w:trHeight w:val="290"/>
        </w:trPr>
        <w:tc>
          <w:tcPr>
            <w:tcW w:w="1196" w:type="pct"/>
            <w:vMerge w:val="restart"/>
            <w:shd w:val="clear" w:color="auto" w:fill="auto"/>
            <w:noWrap/>
            <w:hideMark/>
          </w:tcPr>
          <w:p w14:paraId="3F364B6F" w14:textId="77777777" w:rsidR="00C21029" w:rsidRPr="00B434A6" w:rsidRDefault="00C21029" w:rsidP="00E5387E">
            <w:pPr>
              <w:spacing w:after="0" w:line="240" w:lineRule="auto"/>
              <w:rPr>
                <w:rFonts w:cs="Cambria"/>
                <w:color w:val="212121"/>
                <w:sz w:val="20"/>
                <w:szCs w:val="20"/>
              </w:rPr>
            </w:pPr>
            <w:r w:rsidRPr="00B434A6">
              <w:rPr>
                <w:rFonts w:cs="Cambria"/>
                <w:color w:val="212121"/>
                <w:sz w:val="20"/>
                <w:szCs w:val="20"/>
              </w:rPr>
              <w:t>ANDROY</w:t>
            </w:r>
          </w:p>
        </w:tc>
        <w:tc>
          <w:tcPr>
            <w:tcW w:w="3804" w:type="pct"/>
            <w:gridSpan w:val="3"/>
            <w:shd w:val="clear" w:color="auto" w:fill="auto"/>
            <w:noWrap/>
            <w:hideMark/>
          </w:tcPr>
          <w:p w14:paraId="20F8A92F" w14:textId="77777777" w:rsidR="00C21029" w:rsidRPr="00466BFF" w:rsidRDefault="00C21029" w:rsidP="00E5387E">
            <w:pPr>
              <w:spacing w:after="0" w:line="240" w:lineRule="auto"/>
              <w:rPr>
                <w:rFonts w:cs="Calibri"/>
                <w:sz w:val="20"/>
                <w:szCs w:val="20"/>
              </w:rPr>
            </w:pPr>
            <w:bookmarkStart w:id="2669" w:name="_Toc124956950"/>
            <w:r w:rsidRPr="00466BFF">
              <w:rPr>
                <w:rFonts w:cs="Calibri"/>
                <w:sz w:val="20"/>
                <w:szCs w:val="20"/>
              </w:rPr>
              <w:t>Service Public</w:t>
            </w:r>
            <w:bookmarkEnd w:id="2669"/>
          </w:p>
        </w:tc>
      </w:tr>
      <w:tr w:rsidR="00C21029" w:rsidRPr="007F78CE" w14:paraId="0E75F073" w14:textId="77777777" w:rsidTr="00B434A6">
        <w:trPr>
          <w:trHeight w:val="290"/>
        </w:trPr>
        <w:tc>
          <w:tcPr>
            <w:tcW w:w="1196" w:type="pct"/>
            <w:vMerge/>
            <w:shd w:val="clear" w:color="auto" w:fill="auto"/>
            <w:hideMark/>
          </w:tcPr>
          <w:p w14:paraId="7312B563"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2FC57F31" w14:textId="77777777" w:rsidR="00C21029" w:rsidRPr="00466BFF" w:rsidRDefault="00C21029" w:rsidP="00E5387E">
            <w:pPr>
              <w:spacing w:after="0" w:line="240" w:lineRule="auto"/>
              <w:rPr>
                <w:rFonts w:cs="Calibri"/>
                <w:sz w:val="20"/>
                <w:szCs w:val="20"/>
              </w:rPr>
            </w:pPr>
            <w:bookmarkStart w:id="2670" w:name="_Toc124956951"/>
            <w:r w:rsidRPr="00466BFF">
              <w:rPr>
                <w:rFonts w:cs="Calibri"/>
                <w:sz w:val="20"/>
                <w:szCs w:val="20"/>
              </w:rPr>
              <w:t>Gendarmerie Nationale : GAPJ</w:t>
            </w:r>
            <w:bookmarkEnd w:id="2670"/>
          </w:p>
        </w:tc>
        <w:tc>
          <w:tcPr>
            <w:tcW w:w="620" w:type="pct"/>
            <w:shd w:val="clear" w:color="auto" w:fill="auto"/>
            <w:noWrap/>
            <w:hideMark/>
          </w:tcPr>
          <w:p w14:paraId="46AD47C1" w14:textId="77777777" w:rsidR="00C21029" w:rsidRPr="00466BFF" w:rsidRDefault="00C21029" w:rsidP="00E5387E">
            <w:pPr>
              <w:spacing w:after="0" w:line="240" w:lineRule="auto"/>
              <w:rPr>
                <w:rFonts w:cs="Calibri"/>
                <w:sz w:val="20"/>
                <w:szCs w:val="20"/>
              </w:rPr>
            </w:pPr>
            <w:bookmarkStart w:id="2671" w:name="_Toc124956952"/>
            <w:r w:rsidRPr="00466BFF">
              <w:rPr>
                <w:rFonts w:cs="Calibri"/>
                <w:sz w:val="20"/>
                <w:szCs w:val="20"/>
              </w:rPr>
              <w:t>0341400565</w:t>
            </w:r>
            <w:bookmarkEnd w:id="2671"/>
          </w:p>
        </w:tc>
        <w:tc>
          <w:tcPr>
            <w:tcW w:w="1353" w:type="pct"/>
            <w:shd w:val="clear" w:color="auto" w:fill="auto"/>
            <w:hideMark/>
          </w:tcPr>
          <w:p w14:paraId="00A67F80" w14:textId="77777777" w:rsidR="00C21029" w:rsidRPr="00466BFF" w:rsidRDefault="00C21029" w:rsidP="00E5387E">
            <w:pPr>
              <w:spacing w:after="0" w:line="240" w:lineRule="auto"/>
              <w:rPr>
                <w:rFonts w:cs="Calibri"/>
                <w:sz w:val="20"/>
                <w:szCs w:val="20"/>
              </w:rPr>
            </w:pPr>
            <w:bookmarkStart w:id="2672" w:name="_Toc124956953"/>
            <w:r w:rsidRPr="00466BFF">
              <w:rPr>
                <w:rFonts w:cs="Calibri"/>
                <w:sz w:val="20"/>
                <w:szCs w:val="20"/>
              </w:rPr>
              <w:t>Ambovombe</w:t>
            </w:r>
            <w:bookmarkEnd w:id="2672"/>
          </w:p>
        </w:tc>
      </w:tr>
      <w:tr w:rsidR="00C21029" w:rsidRPr="007F78CE" w14:paraId="3C23D828" w14:textId="77777777" w:rsidTr="00B434A6">
        <w:trPr>
          <w:trHeight w:val="290"/>
        </w:trPr>
        <w:tc>
          <w:tcPr>
            <w:tcW w:w="1196" w:type="pct"/>
            <w:vMerge/>
            <w:shd w:val="clear" w:color="auto" w:fill="auto"/>
            <w:hideMark/>
          </w:tcPr>
          <w:p w14:paraId="5D961FED"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6353BC9F" w14:textId="77777777" w:rsidR="00C21029" w:rsidRPr="00466BFF" w:rsidRDefault="00C21029" w:rsidP="00E5387E">
            <w:pPr>
              <w:spacing w:after="0" w:line="240" w:lineRule="auto"/>
              <w:rPr>
                <w:rFonts w:cs="Calibri"/>
                <w:sz w:val="20"/>
                <w:szCs w:val="20"/>
              </w:rPr>
            </w:pPr>
            <w:bookmarkStart w:id="2673" w:name="_Toc124956954"/>
            <w:r w:rsidRPr="00466BFF">
              <w:rPr>
                <w:rFonts w:cs="Calibri"/>
                <w:sz w:val="20"/>
                <w:szCs w:val="20"/>
              </w:rPr>
              <w:t>Tribunal de Première Instance</w:t>
            </w:r>
            <w:bookmarkEnd w:id="2673"/>
          </w:p>
        </w:tc>
        <w:tc>
          <w:tcPr>
            <w:tcW w:w="620" w:type="pct"/>
            <w:shd w:val="clear" w:color="auto" w:fill="auto"/>
            <w:noWrap/>
            <w:hideMark/>
          </w:tcPr>
          <w:p w14:paraId="1E78091D"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7E025FD8" w14:textId="77777777" w:rsidR="00C21029" w:rsidRPr="00466BFF" w:rsidRDefault="00C21029" w:rsidP="00E5387E">
            <w:pPr>
              <w:spacing w:after="0" w:line="240" w:lineRule="auto"/>
              <w:rPr>
                <w:rFonts w:cs="Calibri"/>
                <w:sz w:val="20"/>
                <w:szCs w:val="20"/>
              </w:rPr>
            </w:pPr>
            <w:bookmarkStart w:id="2674" w:name="_Toc124956955"/>
            <w:r w:rsidRPr="00466BFF">
              <w:rPr>
                <w:rFonts w:cs="Calibri"/>
                <w:sz w:val="20"/>
                <w:szCs w:val="20"/>
              </w:rPr>
              <w:t>Ambovombe</w:t>
            </w:r>
            <w:bookmarkEnd w:id="2674"/>
          </w:p>
        </w:tc>
      </w:tr>
      <w:tr w:rsidR="00C21029" w:rsidRPr="007F78CE" w14:paraId="087B0020" w14:textId="77777777" w:rsidTr="00B434A6">
        <w:trPr>
          <w:trHeight w:val="290"/>
        </w:trPr>
        <w:tc>
          <w:tcPr>
            <w:tcW w:w="1196" w:type="pct"/>
            <w:vMerge/>
            <w:shd w:val="clear" w:color="auto" w:fill="auto"/>
            <w:hideMark/>
          </w:tcPr>
          <w:p w14:paraId="46284595"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120230CF" w14:textId="77777777" w:rsidR="00C21029" w:rsidRPr="00466BFF" w:rsidRDefault="00C21029" w:rsidP="00E5387E">
            <w:pPr>
              <w:spacing w:after="0" w:line="240" w:lineRule="auto"/>
              <w:rPr>
                <w:rFonts w:cs="Calibri"/>
                <w:sz w:val="20"/>
                <w:szCs w:val="20"/>
              </w:rPr>
            </w:pPr>
            <w:bookmarkStart w:id="2675" w:name="_Toc124956956"/>
            <w:r w:rsidRPr="00466BFF">
              <w:rPr>
                <w:rFonts w:cs="Calibri"/>
                <w:sz w:val="20"/>
                <w:szCs w:val="20"/>
              </w:rPr>
              <w:t>Partenariat Min Santé et ADDH/ONG</w:t>
            </w:r>
            <w:bookmarkEnd w:id="2675"/>
          </w:p>
        </w:tc>
        <w:tc>
          <w:tcPr>
            <w:tcW w:w="620" w:type="pct"/>
            <w:shd w:val="clear" w:color="auto" w:fill="auto"/>
          </w:tcPr>
          <w:p w14:paraId="79173A34" w14:textId="77777777" w:rsidR="00C21029" w:rsidRPr="00466BFF" w:rsidRDefault="00C21029" w:rsidP="00E5387E">
            <w:pPr>
              <w:spacing w:after="0" w:line="240" w:lineRule="auto"/>
              <w:rPr>
                <w:rFonts w:cs="Calibri"/>
                <w:sz w:val="20"/>
                <w:szCs w:val="20"/>
              </w:rPr>
            </w:pPr>
          </w:p>
        </w:tc>
        <w:tc>
          <w:tcPr>
            <w:tcW w:w="1353" w:type="pct"/>
            <w:shd w:val="clear" w:color="auto" w:fill="auto"/>
          </w:tcPr>
          <w:p w14:paraId="0B20E843" w14:textId="77777777" w:rsidR="00C21029" w:rsidRPr="00466BFF" w:rsidRDefault="00C21029" w:rsidP="00E5387E">
            <w:pPr>
              <w:spacing w:after="0" w:line="240" w:lineRule="auto"/>
              <w:rPr>
                <w:rFonts w:cs="Calibri"/>
                <w:sz w:val="20"/>
                <w:szCs w:val="20"/>
              </w:rPr>
            </w:pPr>
          </w:p>
        </w:tc>
      </w:tr>
      <w:tr w:rsidR="00C21029" w:rsidRPr="007F78CE" w14:paraId="047E6BF6" w14:textId="77777777" w:rsidTr="00B434A6">
        <w:trPr>
          <w:trHeight w:val="290"/>
        </w:trPr>
        <w:tc>
          <w:tcPr>
            <w:tcW w:w="1196" w:type="pct"/>
            <w:vMerge/>
            <w:shd w:val="clear" w:color="auto" w:fill="auto"/>
            <w:hideMark/>
          </w:tcPr>
          <w:p w14:paraId="71C07E6C"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00BEFB49" w14:textId="77777777" w:rsidR="00C21029" w:rsidRPr="00466BFF" w:rsidRDefault="00C21029" w:rsidP="00E5387E">
            <w:pPr>
              <w:spacing w:after="0" w:line="240" w:lineRule="auto"/>
              <w:rPr>
                <w:rFonts w:cs="Calibri"/>
                <w:sz w:val="20"/>
                <w:szCs w:val="20"/>
              </w:rPr>
            </w:pPr>
            <w:bookmarkStart w:id="2676" w:name="_Toc124956957"/>
            <w:r w:rsidRPr="00466BFF">
              <w:rPr>
                <w:rFonts w:cs="Calibri"/>
                <w:sz w:val="20"/>
                <w:szCs w:val="20"/>
              </w:rPr>
              <w:t>Clinique Juridique/LGW</w:t>
            </w:r>
            <w:bookmarkEnd w:id="2676"/>
          </w:p>
        </w:tc>
        <w:tc>
          <w:tcPr>
            <w:tcW w:w="620" w:type="pct"/>
            <w:shd w:val="clear" w:color="auto" w:fill="auto"/>
            <w:noWrap/>
            <w:hideMark/>
          </w:tcPr>
          <w:p w14:paraId="39BAD159" w14:textId="77777777" w:rsidR="00C21029" w:rsidRPr="00466BFF" w:rsidRDefault="00C21029" w:rsidP="00E5387E">
            <w:pPr>
              <w:spacing w:after="0" w:line="240" w:lineRule="auto"/>
              <w:rPr>
                <w:rFonts w:cs="Calibri"/>
                <w:sz w:val="20"/>
                <w:szCs w:val="20"/>
              </w:rPr>
            </w:pPr>
            <w:bookmarkStart w:id="2677" w:name="_Toc124956958"/>
            <w:r w:rsidRPr="00466BFF">
              <w:rPr>
                <w:rFonts w:cs="Calibri"/>
                <w:sz w:val="20"/>
                <w:szCs w:val="20"/>
              </w:rPr>
              <w:t>0342023521</w:t>
            </w:r>
            <w:bookmarkEnd w:id="2677"/>
          </w:p>
        </w:tc>
        <w:tc>
          <w:tcPr>
            <w:tcW w:w="1353" w:type="pct"/>
            <w:shd w:val="clear" w:color="auto" w:fill="auto"/>
            <w:hideMark/>
          </w:tcPr>
          <w:p w14:paraId="4EFE1528" w14:textId="77777777" w:rsidR="00C21029" w:rsidRPr="00466BFF" w:rsidRDefault="00C21029" w:rsidP="00E5387E">
            <w:pPr>
              <w:spacing w:after="0" w:line="240" w:lineRule="auto"/>
              <w:rPr>
                <w:rFonts w:cs="Calibri"/>
                <w:sz w:val="20"/>
                <w:szCs w:val="20"/>
              </w:rPr>
            </w:pPr>
            <w:bookmarkStart w:id="2678" w:name="_Toc124956959"/>
            <w:r w:rsidRPr="00466BFF">
              <w:rPr>
                <w:rFonts w:cs="Calibri"/>
                <w:sz w:val="20"/>
                <w:szCs w:val="20"/>
              </w:rPr>
              <w:t>Ambovombe</w:t>
            </w:r>
            <w:bookmarkEnd w:id="2678"/>
          </w:p>
        </w:tc>
      </w:tr>
      <w:tr w:rsidR="00C21029" w:rsidRPr="007F78CE" w14:paraId="6A68BE29" w14:textId="77777777" w:rsidTr="00B434A6">
        <w:trPr>
          <w:trHeight w:val="290"/>
        </w:trPr>
        <w:tc>
          <w:tcPr>
            <w:tcW w:w="1196" w:type="pct"/>
            <w:vMerge w:val="restart"/>
            <w:shd w:val="clear" w:color="auto" w:fill="auto"/>
            <w:noWrap/>
            <w:hideMark/>
          </w:tcPr>
          <w:p w14:paraId="01007A56" w14:textId="77777777" w:rsidR="00C21029" w:rsidRPr="00B434A6" w:rsidRDefault="00C21029" w:rsidP="00E5387E">
            <w:pPr>
              <w:spacing w:after="0" w:line="240" w:lineRule="auto"/>
              <w:rPr>
                <w:rFonts w:cs="Cambria"/>
                <w:color w:val="212121"/>
                <w:sz w:val="20"/>
                <w:szCs w:val="20"/>
              </w:rPr>
            </w:pPr>
            <w:r w:rsidRPr="00B434A6">
              <w:rPr>
                <w:rFonts w:cs="Cambria"/>
                <w:color w:val="212121"/>
                <w:sz w:val="20"/>
                <w:szCs w:val="20"/>
              </w:rPr>
              <w:t>ANOSY</w:t>
            </w:r>
          </w:p>
        </w:tc>
        <w:tc>
          <w:tcPr>
            <w:tcW w:w="3804" w:type="pct"/>
            <w:gridSpan w:val="3"/>
            <w:shd w:val="clear" w:color="auto" w:fill="auto"/>
            <w:noWrap/>
            <w:hideMark/>
          </w:tcPr>
          <w:p w14:paraId="0A61F10A" w14:textId="77777777" w:rsidR="00C21029" w:rsidRPr="00466BFF" w:rsidRDefault="00C21029" w:rsidP="00E5387E">
            <w:pPr>
              <w:spacing w:after="0" w:line="240" w:lineRule="auto"/>
              <w:rPr>
                <w:rFonts w:cs="Calibri"/>
                <w:sz w:val="20"/>
                <w:szCs w:val="20"/>
              </w:rPr>
            </w:pPr>
            <w:bookmarkStart w:id="2679" w:name="_Toc124956960"/>
            <w:r w:rsidRPr="00466BFF">
              <w:rPr>
                <w:rFonts w:cs="Calibri"/>
                <w:sz w:val="20"/>
                <w:szCs w:val="20"/>
              </w:rPr>
              <w:t>Service Public</w:t>
            </w:r>
            <w:bookmarkEnd w:id="2679"/>
          </w:p>
        </w:tc>
      </w:tr>
      <w:tr w:rsidR="00C21029" w:rsidRPr="007F78CE" w14:paraId="59DA8E66" w14:textId="77777777" w:rsidTr="00B434A6">
        <w:trPr>
          <w:trHeight w:val="290"/>
        </w:trPr>
        <w:tc>
          <w:tcPr>
            <w:tcW w:w="1196" w:type="pct"/>
            <w:vMerge/>
            <w:shd w:val="clear" w:color="auto" w:fill="auto"/>
            <w:hideMark/>
          </w:tcPr>
          <w:p w14:paraId="4F5412B5"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675E89CF" w14:textId="77777777" w:rsidR="00C21029" w:rsidRPr="00466BFF" w:rsidRDefault="00C21029" w:rsidP="00E5387E">
            <w:pPr>
              <w:spacing w:after="0" w:line="240" w:lineRule="auto"/>
              <w:rPr>
                <w:rFonts w:cs="Calibri"/>
                <w:sz w:val="20"/>
                <w:szCs w:val="20"/>
              </w:rPr>
            </w:pPr>
            <w:bookmarkStart w:id="2680" w:name="_Toc124956961"/>
            <w:r w:rsidRPr="00466BFF">
              <w:rPr>
                <w:rFonts w:cs="Calibri"/>
                <w:sz w:val="20"/>
                <w:szCs w:val="20"/>
              </w:rPr>
              <w:t>Police Nationale : BPMPM</w:t>
            </w:r>
            <w:bookmarkEnd w:id="2680"/>
          </w:p>
        </w:tc>
        <w:tc>
          <w:tcPr>
            <w:tcW w:w="620" w:type="pct"/>
            <w:shd w:val="clear" w:color="auto" w:fill="auto"/>
            <w:noWrap/>
            <w:hideMark/>
          </w:tcPr>
          <w:p w14:paraId="30D9C528" w14:textId="77777777" w:rsidR="00C21029" w:rsidRPr="00466BFF" w:rsidRDefault="00C21029" w:rsidP="00E5387E">
            <w:pPr>
              <w:spacing w:after="0" w:line="240" w:lineRule="auto"/>
              <w:rPr>
                <w:rFonts w:cs="Calibri"/>
                <w:sz w:val="20"/>
                <w:szCs w:val="20"/>
              </w:rPr>
            </w:pPr>
            <w:bookmarkStart w:id="2681" w:name="_Toc124956962"/>
            <w:r w:rsidRPr="00466BFF">
              <w:rPr>
                <w:rFonts w:cs="Calibri"/>
                <w:sz w:val="20"/>
                <w:szCs w:val="20"/>
              </w:rPr>
              <w:t>0331821181</w:t>
            </w:r>
            <w:bookmarkEnd w:id="2681"/>
          </w:p>
        </w:tc>
        <w:tc>
          <w:tcPr>
            <w:tcW w:w="1353" w:type="pct"/>
            <w:shd w:val="clear" w:color="auto" w:fill="auto"/>
            <w:noWrap/>
            <w:hideMark/>
          </w:tcPr>
          <w:p w14:paraId="2D6D6C25" w14:textId="77777777" w:rsidR="00C21029" w:rsidRPr="00466BFF" w:rsidRDefault="00C21029" w:rsidP="00E5387E">
            <w:pPr>
              <w:spacing w:after="0" w:line="240" w:lineRule="auto"/>
              <w:rPr>
                <w:rFonts w:cs="Calibri"/>
                <w:sz w:val="20"/>
                <w:szCs w:val="20"/>
              </w:rPr>
            </w:pPr>
            <w:bookmarkStart w:id="2682" w:name="_Toc124956963"/>
            <w:r w:rsidRPr="00466BFF">
              <w:rPr>
                <w:rFonts w:cs="Calibri"/>
                <w:sz w:val="20"/>
                <w:szCs w:val="20"/>
              </w:rPr>
              <w:t>Taolagnaro</w:t>
            </w:r>
            <w:bookmarkEnd w:id="2682"/>
          </w:p>
        </w:tc>
      </w:tr>
      <w:tr w:rsidR="00C21029" w:rsidRPr="007F78CE" w14:paraId="3D7A4850" w14:textId="77777777" w:rsidTr="00B434A6">
        <w:trPr>
          <w:trHeight w:val="290"/>
        </w:trPr>
        <w:tc>
          <w:tcPr>
            <w:tcW w:w="1196" w:type="pct"/>
            <w:vMerge/>
            <w:shd w:val="clear" w:color="auto" w:fill="auto"/>
            <w:hideMark/>
          </w:tcPr>
          <w:p w14:paraId="3095B96B"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7AF719F4" w14:textId="77777777" w:rsidR="00C21029" w:rsidRPr="00466BFF" w:rsidRDefault="00C21029" w:rsidP="00E5387E">
            <w:pPr>
              <w:spacing w:after="0" w:line="240" w:lineRule="auto"/>
              <w:rPr>
                <w:rFonts w:cs="Calibri"/>
                <w:sz w:val="20"/>
                <w:szCs w:val="20"/>
              </w:rPr>
            </w:pPr>
            <w:bookmarkStart w:id="2683" w:name="_Toc124956964"/>
            <w:r w:rsidRPr="00466BFF">
              <w:rPr>
                <w:rFonts w:cs="Calibri"/>
                <w:sz w:val="20"/>
                <w:szCs w:val="20"/>
              </w:rPr>
              <w:t>Gendarmerie Nationale : GAPJ</w:t>
            </w:r>
            <w:bookmarkEnd w:id="2683"/>
          </w:p>
        </w:tc>
        <w:tc>
          <w:tcPr>
            <w:tcW w:w="620" w:type="pct"/>
            <w:shd w:val="clear" w:color="auto" w:fill="auto"/>
            <w:noWrap/>
            <w:hideMark/>
          </w:tcPr>
          <w:p w14:paraId="74ABAEE8" w14:textId="77777777" w:rsidR="00C21029" w:rsidRPr="00466BFF" w:rsidRDefault="00C21029" w:rsidP="00E5387E">
            <w:pPr>
              <w:spacing w:after="0" w:line="240" w:lineRule="auto"/>
              <w:rPr>
                <w:rFonts w:cs="Calibri"/>
                <w:sz w:val="20"/>
                <w:szCs w:val="20"/>
              </w:rPr>
            </w:pPr>
            <w:bookmarkStart w:id="2684" w:name="_Toc124956965"/>
            <w:r w:rsidRPr="00466BFF">
              <w:rPr>
                <w:rFonts w:cs="Calibri"/>
                <w:sz w:val="20"/>
                <w:szCs w:val="20"/>
              </w:rPr>
              <w:t>0341400606</w:t>
            </w:r>
            <w:bookmarkEnd w:id="2684"/>
          </w:p>
        </w:tc>
        <w:tc>
          <w:tcPr>
            <w:tcW w:w="1353" w:type="pct"/>
            <w:shd w:val="clear" w:color="auto" w:fill="auto"/>
            <w:hideMark/>
          </w:tcPr>
          <w:p w14:paraId="7961F17D" w14:textId="77777777" w:rsidR="00C21029" w:rsidRPr="00466BFF" w:rsidRDefault="00C21029" w:rsidP="00E5387E">
            <w:pPr>
              <w:spacing w:after="0" w:line="240" w:lineRule="auto"/>
              <w:rPr>
                <w:rFonts w:cs="Calibri"/>
                <w:sz w:val="20"/>
                <w:szCs w:val="20"/>
              </w:rPr>
            </w:pPr>
            <w:bookmarkStart w:id="2685" w:name="_Toc124956966"/>
            <w:r w:rsidRPr="00466BFF">
              <w:rPr>
                <w:rFonts w:cs="Calibri"/>
                <w:sz w:val="20"/>
                <w:szCs w:val="20"/>
              </w:rPr>
              <w:t>Taolagnaro</w:t>
            </w:r>
            <w:bookmarkEnd w:id="2685"/>
          </w:p>
        </w:tc>
      </w:tr>
      <w:tr w:rsidR="00C21029" w:rsidRPr="007F78CE" w14:paraId="31A24619" w14:textId="77777777" w:rsidTr="00B434A6">
        <w:trPr>
          <w:trHeight w:val="290"/>
        </w:trPr>
        <w:tc>
          <w:tcPr>
            <w:tcW w:w="1196" w:type="pct"/>
            <w:vMerge/>
            <w:shd w:val="clear" w:color="auto" w:fill="auto"/>
            <w:hideMark/>
          </w:tcPr>
          <w:p w14:paraId="1735014D"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677FB173" w14:textId="77777777" w:rsidR="00C21029" w:rsidRPr="00466BFF" w:rsidRDefault="00C21029" w:rsidP="00E5387E">
            <w:pPr>
              <w:spacing w:after="0" w:line="240" w:lineRule="auto"/>
              <w:rPr>
                <w:rFonts w:cs="Calibri"/>
                <w:sz w:val="20"/>
                <w:szCs w:val="20"/>
              </w:rPr>
            </w:pPr>
            <w:bookmarkStart w:id="2686" w:name="_Toc124956967"/>
            <w:r w:rsidRPr="00466BFF">
              <w:rPr>
                <w:rFonts w:cs="Calibri"/>
                <w:sz w:val="20"/>
                <w:szCs w:val="20"/>
              </w:rPr>
              <w:t>Tribunal de Première Instance</w:t>
            </w:r>
            <w:bookmarkEnd w:id="2686"/>
          </w:p>
        </w:tc>
        <w:tc>
          <w:tcPr>
            <w:tcW w:w="620" w:type="pct"/>
            <w:shd w:val="clear" w:color="auto" w:fill="auto"/>
            <w:noWrap/>
            <w:hideMark/>
          </w:tcPr>
          <w:p w14:paraId="28C777BF"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0749B49B" w14:textId="77777777" w:rsidR="00C21029" w:rsidRPr="00466BFF" w:rsidRDefault="00C21029" w:rsidP="00E5387E">
            <w:pPr>
              <w:spacing w:after="0" w:line="240" w:lineRule="auto"/>
              <w:rPr>
                <w:rFonts w:cs="Calibri"/>
                <w:sz w:val="20"/>
                <w:szCs w:val="20"/>
              </w:rPr>
            </w:pPr>
            <w:bookmarkStart w:id="2687" w:name="_Toc124956968"/>
            <w:r w:rsidRPr="00466BFF">
              <w:rPr>
                <w:rFonts w:cs="Calibri"/>
                <w:sz w:val="20"/>
                <w:szCs w:val="20"/>
              </w:rPr>
              <w:t>Taolagnaro</w:t>
            </w:r>
            <w:bookmarkEnd w:id="2687"/>
          </w:p>
        </w:tc>
      </w:tr>
      <w:tr w:rsidR="00C21029" w:rsidRPr="007F78CE" w14:paraId="05FE82C3" w14:textId="77777777" w:rsidTr="00B434A6">
        <w:trPr>
          <w:trHeight w:val="290"/>
        </w:trPr>
        <w:tc>
          <w:tcPr>
            <w:tcW w:w="1196" w:type="pct"/>
            <w:vMerge/>
            <w:shd w:val="clear" w:color="auto" w:fill="auto"/>
            <w:hideMark/>
          </w:tcPr>
          <w:p w14:paraId="3967F1DE"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63B6A1BF" w14:textId="77777777" w:rsidR="00C21029" w:rsidRPr="00466BFF" w:rsidRDefault="00C21029" w:rsidP="00E5387E">
            <w:pPr>
              <w:spacing w:after="0" w:line="240" w:lineRule="auto"/>
              <w:rPr>
                <w:rFonts w:cs="Calibri"/>
                <w:sz w:val="20"/>
                <w:szCs w:val="20"/>
              </w:rPr>
            </w:pPr>
            <w:bookmarkStart w:id="2688" w:name="_Toc124956969"/>
            <w:r w:rsidRPr="00466BFF">
              <w:rPr>
                <w:rFonts w:cs="Calibri"/>
                <w:sz w:val="20"/>
                <w:szCs w:val="20"/>
              </w:rPr>
              <w:t>Tribunal de Première Instance</w:t>
            </w:r>
            <w:bookmarkEnd w:id="2688"/>
          </w:p>
        </w:tc>
        <w:tc>
          <w:tcPr>
            <w:tcW w:w="620" w:type="pct"/>
            <w:shd w:val="clear" w:color="auto" w:fill="auto"/>
            <w:noWrap/>
            <w:hideMark/>
          </w:tcPr>
          <w:p w14:paraId="7067FCE4"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605DB53B" w14:textId="77777777" w:rsidR="00C21029" w:rsidRPr="00466BFF" w:rsidRDefault="00C21029" w:rsidP="00E5387E">
            <w:pPr>
              <w:spacing w:after="0" w:line="240" w:lineRule="auto"/>
              <w:rPr>
                <w:rFonts w:cs="Calibri"/>
                <w:sz w:val="20"/>
                <w:szCs w:val="20"/>
              </w:rPr>
            </w:pPr>
            <w:bookmarkStart w:id="2689" w:name="_Toc124956970"/>
            <w:r w:rsidRPr="00466BFF">
              <w:rPr>
                <w:rFonts w:cs="Calibri"/>
                <w:sz w:val="20"/>
                <w:szCs w:val="20"/>
              </w:rPr>
              <w:t>Betroka</w:t>
            </w:r>
            <w:bookmarkEnd w:id="2689"/>
          </w:p>
        </w:tc>
      </w:tr>
      <w:tr w:rsidR="00C21029" w:rsidRPr="007F78CE" w14:paraId="6F4CA739" w14:textId="77777777" w:rsidTr="00B434A6">
        <w:trPr>
          <w:trHeight w:val="290"/>
        </w:trPr>
        <w:tc>
          <w:tcPr>
            <w:tcW w:w="1196" w:type="pct"/>
            <w:vMerge/>
            <w:shd w:val="clear" w:color="auto" w:fill="auto"/>
            <w:hideMark/>
          </w:tcPr>
          <w:p w14:paraId="0FEB1CA7"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49B6F3C8" w14:textId="77777777" w:rsidR="00C21029" w:rsidRPr="00466BFF" w:rsidRDefault="00C21029" w:rsidP="00E5387E">
            <w:pPr>
              <w:spacing w:after="0" w:line="240" w:lineRule="auto"/>
              <w:rPr>
                <w:rFonts w:cs="Calibri"/>
                <w:sz w:val="20"/>
                <w:szCs w:val="20"/>
              </w:rPr>
            </w:pPr>
            <w:bookmarkStart w:id="2690" w:name="_Toc124956971"/>
            <w:r w:rsidRPr="00466BFF">
              <w:rPr>
                <w:rFonts w:cs="Calibri"/>
                <w:sz w:val="20"/>
                <w:szCs w:val="20"/>
              </w:rPr>
              <w:t>Partenariat Min Santé et ADDH/ONG</w:t>
            </w:r>
            <w:bookmarkEnd w:id="2690"/>
          </w:p>
        </w:tc>
        <w:tc>
          <w:tcPr>
            <w:tcW w:w="620" w:type="pct"/>
            <w:shd w:val="clear" w:color="auto" w:fill="auto"/>
          </w:tcPr>
          <w:p w14:paraId="0AB31394" w14:textId="77777777" w:rsidR="00C21029" w:rsidRPr="00466BFF" w:rsidRDefault="00C21029" w:rsidP="00E5387E">
            <w:pPr>
              <w:spacing w:after="0" w:line="240" w:lineRule="auto"/>
              <w:rPr>
                <w:rFonts w:cs="Calibri"/>
                <w:sz w:val="20"/>
                <w:szCs w:val="20"/>
              </w:rPr>
            </w:pPr>
          </w:p>
        </w:tc>
        <w:tc>
          <w:tcPr>
            <w:tcW w:w="1353" w:type="pct"/>
            <w:shd w:val="clear" w:color="auto" w:fill="auto"/>
          </w:tcPr>
          <w:p w14:paraId="1302D907" w14:textId="77777777" w:rsidR="00C21029" w:rsidRPr="00466BFF" w:rsidRDefault="00C21029" w:rsidP="00E5387E">
            <w:pPr>
              <w:spacing w:after="0" w:line="240" w:lineRule="auto"/>
              <w:rPr>
                <w:rFonts w:cs="Calibri"/>
                <w:sz w:val="20"/>
                <w:szCs w:val="20"/>
              </w:rPr>
            </w:pPr>
          </w:p>
        </w:tc>
      </w:tr>
      <w:tr w:rsidR="00C21029" w:rsidRPr="007F78CE" w14:paraId="6F756919" w14:textId="77777777" w:rsidTr="00B434A6">
        <w:trPr>
          <w:trHeight w:val="580"/>
        </w:trPr>
        <w:tc>
          <w:tcPr>
            <w:tcW w:w="1196" w:type="pct"/>
            <w:vMerge/>
            <w:shd w:val="clear" w:color="auto" w:fill="auto"/>
            <w:hideMark/>
          </w:tcPr>
          <w:p w14:paraId="6AB8330F"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378BC24E" w14:textId="77777777" w:rsidR="00C21029" w:rsidRPr="00466BFF" w:rsidRDefault="00C21029" w:rsidP="00E5387E">
            <w:pPr>
              <w:spacing w:after="0" w:line="240" w:lineRule="auto"/>
              <w:rPr>
                <w:rFonts w:cs="Calibri"/>
                <w:sz w:val="20"/>
                <w:szCs w:val="20"/>
              </w:rPr>
            </w:pPr>
            <w:bookmarkStart w:id="2691" w:name="_Toc124956972"/>
            <w:r w:rsidRPr="00466BFF">
              <w:rPr>
                <w:rFonts w:cs="Calibri"/>
                <w:sz w:val="20"/>
                <w:szCs w:val="20"/>
              </w:rPr>
              <w:t>Clinique Juridique/ARO ZO</w:t>
            </w:r>
            <w:bookmarkEnd w:id="2691"/>
          </w:p>
        </w:tc>
        <w:tc>
          <w:tcPr>
            <w:tcW w:w="620" w:type="pct"/>
            <w:shd w:val="clear" w:color="auto" w:fill="auto"/>
            <w:noWrap/>
            <w:hideMark/>
          </w:tcPr>
          <w:p w14:paraId="07AA0DD8"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21E1D357" w14:textId="77777777" w:rsidR="00C21029" w:rsidRPr="00466BFF" w:rsidRDefault="00C21029" w:rsidP="00E5387E">
            <w:pPr>
              <w:spacing w:after="0" w:line="240" w:lineRule="auto"/>
              <w:rPr>
                <w:rFonts w:cs="Calibri"/>
                <w:sz w:val="20"/>
                <w:szCs w:val="20"/>
              </w:rPr>
            </w:pPr>
            <w:bookmarkStart w:id="2692" w:name="_Toc124956973"/>
            <w:r w:rsidRPr="00466BFF">
              <w:rPr>
                <w:rFonts w:cs="Calibri"/>
                <w:sz w:val="20"/>
                <w:szCs w:val="20"/>
              </w:rPr>
              <w:t>A côté Bar le Zoma Anivorano Taolagnaro</w:t>
            </w:r>
            <w:bookmarkEnd w:id="2692"/>
          </w:p>
        </w:tc>
      </w:tr>
      <w:tr w:rsidR="00C21029" w:rsidRPr="007F78CE" w14:paraId="13DEDB62" w14:textId="77777777" w:rsidTr="00B434A6">
        <w:trPr>
          <w:trHeight w:val="290"/>
        </w:trPr>
        <w:tc>
          <w:tcPr>
            <w:tcW w:w="1196" w:type="pct"/>
            <w:vMerge/>
            <w:shd w:val="clear" w:color="auto" w:fill="auto"/>
            <w:hideMark/>
          </w:tcPr>
          <w:p w14:paraId="064DE2A4"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74FC591C" w14:textId="77777777" w:rsidR="00C21029" w:rsidRPr="00466BFF" w:rsidRDefault="00C21029" w:rsidP="00E5387E">
            <w:pPr>
              <w:spacing w:after="0" w:line="240" w:lineRule="auto"/>
              <w:rPr>
                <w:rFonts w:cs="Calibri"/>
                <w:sz w:val="20"/>
                <w:szCs w:val="20"/>
              </w:rPr>
            </w:pPr>
            <w:bookmarkStart w:id="2693" w:name="_Toc124956974"/>
            <w:r w:rsidRPr="00466BFF">
              <w:rPr>
                <w:rFonts w:cs="Calibri"/>
                <w:sz w:val="20"/>
                <w:szCs w:val="20"/>
              </w:rPr>
              <w:t>Clinique Juridique/ARO ZO</w:t>
            </w:r>
            <w:bookmarkEnd w:id="2693"/>
          </w:p>
        </w:tc>
        <w:tc>
          <w:tcPr>
            <w:tcW w:w="620" w:type="pct"/>
            <w:shd w:val="clear" w:color="auto" w:fill="auto"/>
            <w:noWrap/>
            <w:hideMark/>
          </w:tcPr>
          <w:p w14:paraId="0FF37578"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09EE3E76" w14:textId="77777777" w:rsidR="00C21029" w:rsidRPr="00466BFF" w:rsidRDefault="00C21029" w:rsidP="00E5387E">
            <w:pPr>
              <w:spacing w:after="0" w:line="240" w:lineRule="auto"/>
              <w:rPr>
                <w:rFonts w:cs="Calibri"/>
                <w:sz w:val="20"/>
                <w:szCs w:val="20"/>
              </w:rPr>
            </w:pPr>
            <w:bookmarkStart w:id="2694" w:name="_Toc124956975"/>
            <w:r w:rsidRPr="00466BFF">
              <w:rPr>
                <w:rFonts w:cs="Calibri"/>
                <w:sz w:val="20"/>
                <w:szCs w:val="20"/>
              </w:rPr>
              <w:t>Betroka</w:t>
            </w:r>
            <w:bookmarkEnd w:id="2694"/>
          </w:p>
        </w:tc>
      </w:tr>
      <w:tr w:rsidR="00C21029" w:rsidRPr="007F78CE" w14:paraId="4502523E" w14:textId="77777777" w:rsidTr="00B434A6">
        <w:trPr>
          <w:trHeight w:val="290"/>
        </w:trPr>
        <w:tc>
          <w:tcPr>
            <w:tcW w:w="1196" w:type="pct"/>
            <w:vMerge w:val="restart"/>
            <w:shd w:val="clear" w:color="auto" w:fill="auto"/>
            <w:noWrap/>
            <w:hideMark/>
          </w:tcPr>
          <w:p w14:paraId="67930003" w14:textId="77777777" w:rsidR="00C21029" w:rsidRPr="00B434A6" w:rsidRDefault="00C21029" w:rsidP="00E5387E">
            <w:pPr>
              <w:spacing w:after="0" w:line="240" w:lineRule="auto"/>
              <w:rPr>
                <w:rFonts w:cs="Cambria"/>
                <w:color w:val="212121"/>
                <w:sz w:val="20"/>
                <w:szCs w:val="20"/>
              </w:rPr>
            </w:pPr>
            <w:r w:rsidRPr="00B434A6">
              <w:rPr>
                <w:rFonts w:cs="Cambria"/>
                <w:color w:val="212121"/>
                <w:sz w:val="20"/>
                <w:szCs w:val="20"/>
              </w:rPr>
              <w:t>MENABE</w:t>
            </w:r>
          </w:p>
        </w:tc>
        <w:tc>
          <w:tcPr>
            <w:tcW w:w="3804" w:type="pct"/>
            <w:gridSpan w:val="3"/>
            <w:shd w:val="clear" w:color="auto" w:fill="auto"/>
            <w:noWrap/>
            <w:hideMark/>
          </w:tcPr>
          <w:p w14:paraId="0D7462E3" w14:textId="77777777" w:rsidR="00C21029" w:rsidRPr="00466BFF" w:rsidRDefault="00C21029" w:rsidP="00E5387E">
            <w:pPr>
              <w:spacing w:after="0" w:line="240" w:lineRule="auto"/>
              <w:rPr>
                <w:rFonts w:cs="Calibri"/>
                <w:sz w:val="20"/>
                <w:szCs w:val="20"/>
              </w:rPr>
            </w:pPr>
            <w:bookmarkStart w:id="2695" w:name="_Toc124956976"/>
            <w:r w:rsidRPr="00466BFF">
              <w:rPr>
                <w:rFonts w:cs="Calibri"/>
                <w:sz w:val="20"/>
                <w:szCs w:val="20"/>
              </w:rPr>
              <w:t>Service Public</w:t>
            </w:r>
            <w:bookmarkEnd w:id="2695"/>
          </w:p>
        </w:tc>
      </w:tr>
      <w:tr w:rsidR="00C21029" w:rsidRPr="007F78CE" w14:paraId="7915D8BE" w14:textId="77777777" w:rsidTr="00B434A6">
        <w:trPr>
          <w:trHeight w:val="290"/>
        </w:trPr>
        <w:tc>
          <w:tcPr>
            <w:tcW w:w="1196" w:type="pct"/>
            <w:vMerge/>
            <w:shd w:val="clear" w:color="auto" w:fill="auto"/>
            <w:hideMark/>
          </w:tcPr>
          <w:p w14:paraId="0519DBB6"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4C0E77A9" w14:textId="77777777" w:rsidR="00C21029" w:rsidRPr="00466BFF" w:rsidRDefault="00C21029" w:rsidP="00E5387E">
            <w:pPr>
              <w:spacing w:after="0" w:line="240" w:lineRule="auto"/>
              <w:rPr>
                <w:rFonts w:cs="Calibri"/>
                <w:sz w:val="20"/>
                <w:szCs w:val="20"/>
              </w:rPr>
            </w:pPr>
            <w:bookmarkStart w:id="2696" w:name="_Toc124956977"/>
            <w:r w:rsidRPr="00466BFF">
              <w:rPr>
                <w:rFonts w:cs="Calibri"/>
                <w:sz w:val="20"/>
                <w:szCs w:val="20"/>
              </w:rPr>
              <w:t>Police Nationale: BPMPM</w:t>
            </w:r>
            <w:bookmarkEnd w:id="2696"/>
          </w:p>
        </w:tc>
        <w:tc>
          <w:tcPr>
            <w:tcW w:w="620" w:type="pct"/>
            <w:shd w:val="clear" w:color="auto" w:fill="auto"/>
            <w:noWrap/>
            <w:hideMark/>
          </w:tcPr>
          <w:p w14:paraId="62115E1E" w14:textId="77777777" w:rsidR="00C21029" w:rsidRPr="00466BFF" w:rsidRDefault="00C21029" w:rsidP="00E5387E">
            <w:pPr>
              <w:spacing w:after="0" w:line="240" w:lineRule="auto"/>
              <w:rPr>
                <w:rFonts w:cs="Calibri"/>
                <w:sz w:val="20"/>
                <w:szCs w:val="20"/>
              </w:rPr>
            </w:pPr>
            <w:bookmarkStart w:id="2697" w:name="_Toc124956978"/>
            <w:r w:rsidRPr="00466BFF">
              <w:rPr>
                <w:rFonts w:cs="Calibri"/>
                <w:sz w:val="20"/>
                <w:szCs w:val="20"/>
              </w:rPr>
              <w:t>0340570332</w:t>
            </w:r>
            <w:bookmarkEnd w:id="2697"/>
          </w:p>
        </w:tc>
        <w:tc>
          <w:tcPr>
            <w:tcW w:w="1353" w:type="pct"/>
            <w:shd w:val="clear" w:color="auto" w:fill="auto"/>
            <w:noWrap/>
            <w:hideMark/>
          </w:tcPr>
          <w:p w14:paraId="4F5488ED" w14:textId="77777777" w:rsidR="00C21029" w:rsidRPr="00466BFF" w:rsidRDefault="00C21029" w:rsidP="00E5387E">
            <w:pPr>
              <w:spacing w:after="0" w:line="240" w:lineRule="auto"/>
              <w:rPr>
                <w:rFonts w:cs="Calibri"/>
                <w:sz w:val="20"/>
                <w:szCs w:val="20"/>
              </w:rPr>
            </w:pPr>
            <w:bookmarkStart w:id="2698" w:name="_Toc124956979"/>
            <w:r w:rsidRPr="00466BFF">
              <w:rPr>
                <w:rFonts w:cs="Calibri"/>
                <w:sz w:val="20"/>
                <w:szCs w:val="20"/>
              </w:rPr>
              <w:t>Morondava</w:t>
            </w:r>
            <w:bookmarkEnd w:id="2698"/>
          </w:p>
        </w:tc>
      </w:tr>
      <w:tr w:rsidR="00C21029" w:rsidRPr="007F78CE" w14:paraId="6C905DE9" w14:textId="77777777" w:rsidTr="00B434A6">
        <w:trPr>
          <w:trHeight w:val="290"/>
        </w:trPr>
        <w:tc>
          <w:tcPr>
            <w:tcW w:w="1196" w:type="pct"/>
            <w:vMerge/>
            <w:shd w:val="clear" w:color="auto" w:fill="auto"/>
            <w:hideMark/>
          </w:tcPr>
          <w:p w14:paraId="5628D966"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7828F8F1" w14:textId="77777777" w:rsidR="00C21029" w:rsidRPr="00466BFF" w:rsidRDefault="00C21029" w:rsidP="00E5387E">
            <w:pPr>
              <w:spacing w:after="0" w:line="240" w:lineRule="auto"/>
              <w:rPr>
                <w:rFonts w:cs="Calibri"/>
                <w:sz w:val="20"/>
                <w:szCs w:val="20"/>
              </w:rPr>
            </w:pPr>
            <w:bookmarkStart w:id="2699" w:name="_Toc124956980"/>
            <w:r w:rsidRPr="00466BFF">
              <w:rPr>
                <w:rFonts w:cs="Calibri"/>
                <w:sz w:val="20"/>
                <w:szCs w:val="20"/>
              </w:rPr>
              <w:t>Gendarmerie Nationale: GAPJ</w:t>
            </w:r>
            <w:bookmarkEnd w:id="2699"/>
          </w:p>
        </w:tc>
        <w:tc>
          <w:tcPr>
            <w:tcW w:w="620" w:type="pct"/>
            <w:shd w:val="clear" w:color="auto" w:fill="auto"/>
            <w:noWrap/>
            <w:hideMark/>
          </w:tcPr>
          <w:p w14:paraId="56E31C0D" w14:textId="77777777" w:rsidR="00C21029" w:rsidRPr="00466BFF" w:rsidRDefault="00C21029" w:rsidP="00E5387E">
            <w:pPr>
              <w:spacing w:after="0" w:line="240" w:lineRule="auto"/>
              <w:rPr>
                <w:rFonts w:cs="Calibri"/>
                <w:sz w:val="20"/>
                <w:szCs w:val="20"/>
              </w:rPr>
            </w:pPr>
            <w:bookmarkStart w:id="2700" w:name="_Toc124956981"/>
            <w:r w:rsidRPr="00466BFF">
              <w:rPr>
                <w:rFonts w:cs="Calibri"/>
                <w:sz w:val="20"/>
                <w:szCs w:val="20"/>
              </w:rPr>
              <w:t>0341400603</w:t>
            </w:r>
            <w:bookmarkEnd w:id="2700"/>
          </w:p>
        </w:tc>
        <w:tc>
          <w:tcPr>
            <w:tcW w:w="1353" w:type="pct"/>
            <w:shd w:val="clear" w:color="auto" w:fill="auto"/>
            <w:hideMark/>
          </w:tcPr>
          <w:p w14:paraId="61B80B24" w14:textId="77777777" w:rsidR="00C21029" w:rsidRPr="00466BFF" w:rsidRDefault="00C21029" w:rsidP="00E5387E">
            <w:pPr>
              <w:spacing w:after="0" w:line="240" w:lineRule="auto"/>
              <w:rPr>
                <w:rFonts w:cs="Calibri"/>
                <w:sz w:val="20"/>
                <w:szCs w:val="20"/>
              </w:rPr>
            </w:pPr>
            <w:bookmarkStart w:id="2701" w:name="_Toc124956982"/>
            <w:r w:rsidRPr="00466BFF">
              <w:rPr>
                <w:rFonts w:cs="Calibri"/>
                <w:sz w:val="20"/>
                <w:szCs w:val="20"/>
              </w:rPr>
              <w:t>Morondava</w:t>
            </w:r>
            <w:bookmarkEnd w:id="2701"/>
          </w:p>
        </w:tc>
      </w:tr>
      <w:tr w:rsidR="00C21029" w:rsidRPr="007F78CE" w14:paraId="413C2EB5" w14:textId="77777777" w:rsidTr="00B434A6">
        <w:trPr>
          <w:trHeight w:val="290"/>
        </w:trPr>
        <w:tc>
          <w:tcPr>
            <w:tcW w:w="1196" w:type="pct"/>
            <w:vMerge/>
            <w:shd w:val="clear" w:color="auto" w:fill="auto"/>
            <w:hideMark/>
          </w:tcPr>
          <w:p w14:paraId="796F9AD1"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499348C6" w14:textId="77777777" w:rsidR="00C21029" w:rsidRPr="00466BFF" w:rsidRDefault="00C21029" w:rsidP="00E5387E">
            <w:pPr>
              <w:spacing w:after="0" w:line="240" w:lineRule="auto"/>
              <w:rPr>
                <w:rFonts w:cs="Calibri"/>
                <w:sz w:val="20"/>
                <w:szCs w:val="20"/>
              </w:rPr>
            </w:pPr>
            <w:bookmarkStart w:id="2702" w:name="_Toc124956983"/>
            <w:r w:rsidRPr="00466BFF">
              <w:rPr>
                <w:rFonts w:cs="Calibri"/>
                <w:sz w:val="20"/>
                <w:szCs w:val="20"/>
              </w:rPr>
              <w:t>Tribunal de Première Instance</w:t>
            </w:r>
            <w:bookmarkEnd w:id="2702"/>
          </w:p>
        </w:tc>
        <w:tc>
          <w:tcPr>
            <w:tcW w:w="620" w:type="pct"/>
            <w:shd w:val="clear" w:color="auto" w:fill="auto"/>
            <w:noWrap/>
            <w:hideMark/>
          </w:tcPr>
          <w:p w14:paraId="325BAFB8"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0270ECE1" w14:textId="77777777" w:rsidR="00C21029" w:rsidRPr="00466BFF" w:rsidRDefault="00C21029" w:rsidP="00E5387E">
            <w:pPr>
              <w:spacing w:after="0" w:line="240" w:lineRule="auto"/>
              <w:rPr>
                <w:rFonts w:cs="Calibri"/>
                <w:sz w:val="20"/>
                <w:szCs w:val="20"/>
              </w:rPr>
            </w:pPr>
            <w:bookmarkStart w:id="2703" w:name="_Toc124956984"/>
            <w:r w:rsidRPr="00466BFF">
              <w:rPr>
                <w:rFonts w:cs="Calibri"/>
                <w:sz w:val="20"/>
                <w:szCs w:val="20"/>
              </w:rPr>
              <w:t>Morondava</w:t>
            </w:r>
            <w:bookmarkEnd w:id="2703"/>
          </w:p>
        </w:tc>
      </w:tr>
      <w:tr w:rsidR="00C21029" w:rsidRPr="007F78CE" w14:paraId="49B0F7D1" w14:textId="77777777" w:rsidTr="00B434A6">
        <w:trPr>
          <w:trHeight w:val="290"/>
        </w:trPr>
        <w:tc>
          <w:tcPr>
            <w:tcW w:w="1196" w:type="pct"/>
            <w:vMerge/>
            <w:shd w:val="clear" w:color="auto" w:fill="auto"/>
            <w:hideMark/>
          </w:tcPr>
          <w:p w14:paraId="3CD8ADB9"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5F8D6620" w14:textId="77777777" w:rsidR="00C21029" w:rsidRPr="00466BFF" w:rsidRDefault="00C21029" w:rsidP="00E5387E">
            <w:pPr>
              <w:spacing w:after="0" w:line="240" w:lineRule="auto"/>
              <w:rPr>
                <w:rFonts w:cs="Calibri"/>
                <w:sz w:val="20"/>
                <w:szCs w:val="20"/>
              </w:rPr>
            </w:pPr>
            <w:bookmarkStart w:id="2704" w:name="_Toc124956985"/>
            <w:r w:rsidRPr="00466BFF">
              <w:rPr>
                <w:rFonts w:cs="Calibri"/>
                <w:sz w:val="20"/>
                <w:szCs w:val="20"/>
              </w:rPr>
              <w:t>Tribunal de Première Instance</w:t>
            </w:r>
            <w:bookmarkEnd w:id="2704"/>
          </w:p>
        </w:tc>
        <w:tc>
          <w:tcPr>
            <w:tcW w:w="620" w:type="pct"/>
            <w:shd w:val="clear" w:color="auto" w:fill="auto"/>
            <w:noWrap/>
            <w:hideMark/>
          </w:tcPr>
          <w:p w14:paraId="4E93C43F"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15DC90F0" w14:textId="77777777" w:rsidR="00C21029" w:rsidRPr="00466BFF" w:rsidRDefault="00C21029" w:rsidP="00E5387E">
            <w:pPr>
              <w:spacing w:after="0" w:line="240" w:lineRule="auto"/>
              <w:rPr>
                <w:rFonts w:cs="Calibri"/>
                <w:sz w:val="20"/>
                <w:szCs w:val="20"/>
              </w:rPr>
            </w:pPr>
            <w:bookmarkStart w:id="2705" w:name="_Toc124956986"/>
            <w:r w:rsidRPr="00466BFF">
              <w:rPr>
                <w:rFonts w:cs="Calibri"/>
                <w:sz w:val="20"/>
                <w:szCs w:val="20"/>
              </w:rPr>
              <w:t>Miandrivazo</w:t>
            </w:r>
            <w:bookmarkEnd w:id="2705"/>
          </w:p>
        </w:tc>
      </w:tr>
      <w:tr w:rsidR="00C21029" w:rsidRPr="007F78CE" w14:paraId="58A6EDF1" w14:textId="77777777" w:rsidTr="00B434A6">
        <w:trPr>
          <w:trHeight w:val="290"/>
        </w:trPr>
        <w:tc>
          <w:tcPr>
            <w:tcW w:w="1196" w:type="pct"/>
            <w:vMerge/>
            <w:shd w:val="clear" w:color="auto" w:fill="auto"/>
            <w:hideMark/>
          </w:tcPr>
          <w:p w14:paraId="251FE259"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533B2681" w14:textId="77777777" w:rsidR="00C21029" w:rsidRPr="00466BFF" w:rsidRDefault="00C21029" w:rsidP="00E5387E">
            <w:pPr>
              <w:spacing w:after="0" w:line="240" w:lineRule="auto"/>
              <w:rPr>
                <w:rFonts w:cs="Calibri"/>
                <w:sz w:val="20"/>
                <w:szCs w:val="20"/>
              </w:rPr>
            </w:pPr>
            <w:bookmarkStart w:id="2706" w:name="_Toc124956987"/>
            <w:r w:rsidRPr="00466BFF">
              <w:rPr>
                <w:rFonts w:cs="Calibri"/>
                <w:sz w:val="20"/>
                <w:szCs w:val="20"/>
              </w:rPr>
              <w:t>Tribunal de Première Instance</w:t>
            </w:r>
            <w:bookmarkEnd w:id="2706"/>
          </w:p>
        </w:tc>
        <w:tc>
          <w:tcPr>
            <w:tcW w:w="620" w:type="pct"/>
            <w:shd w:val="clear" w:color="auto" w:fill="auto"/>
            <w:noWrap/>
            <w:hideMark/>
          </w:tcPr>
          <w:p w14:paraId="1F410938"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1D0B6178" w14:textId="77777777" w:rsidR="00C21029" w:rsidRPr="00466BFF" w:rsidRDefault="00C21029" w:rsidP="00E5387E">
            <w:pPr>
              <w:spacing w:after="0" w:line="240" w:lineRule="auto"/>
              <w:rPr>
                <w:rFonts w:cs="Calibri"/>
                <w:sz w:val="20"/>
                <w:szCs w:val="20"/>
              </w:rPr>
            </w:pPr>
            <w:bookmarkStart w:id="2707" w:name="_Toc124956988"/>
            <w:r w:rsidRPr="00466BFF">
              <w:rPr>
                <w:rFonts w:cs="Calibri"/>
                <w:sz w:val="20"/>
                <w:szCs w:val="20"/>
              </w:rPr>
              <w:t>Morombe</w:t>
            </w:r>
            <w:bookmarkEnd w:id="2707"/>
          </w:p>
        </w:tc>
      </w:tr>
      <w:tr w:rsidR="00C21029" w:rsidRPr="007F78CE" w14:paraId="3727BD06" w14:textId="77777777" w:rsidTr="00B434A6">
        <w:trPr>
          <w:trHeight w:val="290"/>
        </w:trPr>
        <w:tc>
          <w:tcPr>
            <w:tcW w:w="1196" w:type="pct"/>
            <w:vMerge w:val="restart"/>
            <w:shd w:val="clear" w:color="auto" w:fill="auto"/>
            <w:noWrap/>
            <w:hideMark/>
          </w:tcPr>
          <w:p w14:paraId="17031CFB" w14:textId="77777777" w:rsidR="00C21029" w:rsidRPr="00B434A6" w:rsidRDefault="00C21029" w:rsidP="00E5387E">
            <w:pPr>
              <w:spacing w:after="0" w:line="240" w:lineRule="auto"/>
              <w:rPr>
                <w:rFonts w:cs="Cambria"/>
                <w:color w:val="212121"/>
                <w:sz w:val="20"/>
                <w:szCs w:val="20"/>
              </w:rPr>
            </w:pPr>
            <w:r w:rsidRPr="00B434A6">
              <w:rPr>
                <w:rFonts w:cs="Cambria"/>
                <w:color w:val="212121"/>
                <w:sz w:val="20"/>
                <w:szCs w:val="20"/>
              </w:rPr>
              <w:t>ATSINANANA</w:t>
            </w:r>
          </w:p>
        </w:tc>
        <w:tc>
          <w:tcPr>
            <w:tcW w:w="3804" w:type="pct"/>
            <w:gridSpan w:val="3"/>
            <w:shd w:val="clear" w:color="auto" w:fill="auto"/>
            <w:noWrap/>
            <w:hideMark/>
          </w:tcPr>
          <w:p w14:paraId="6D7B8845" w14:textId="77777777" w:rsidR="00C21029" w:rsidRPr="00466BFF" w:rsidRDefault="00C21029" w:rsidP="00E5387E">
            <w:pPr>
              <w:spacing w:after="0" w:line="240" w:lineRule="auto"/>
              <w:rPr>
                <w:rFonts w:cs="Calibri"/>
                <w:sz w:val="20"/>
                <w:szCs w:val="20"/>
              </w:rPr>
            </w:pPr>
            <w:bookmarkStart w:id="2708" w:name="_Toc124956989"/>
            <w:r w:rsidRPr="00466BFF">
              <w:rPr>
                <w:rFonts w:cs="Calibri"/>
                <w:sz w:val="20"/>
                <w:szCs w:val="20"/>
              </w:rPr>
              <w:t>Service Public</w:t>
            </w:r>
            <w:bookmarkEnd w:id="2708"/>
          </w:p>
        </w:tc>
      </w:tr>
      <w:tr w:rsidR="00C21029" w:rsidRPr="007F78CE" w14:paraId="2E29B410" w14:textId="77777777" w:rsidTr="00B434A6">
        <w:trPr>
          <w:trHeight w:val="290"/>
        </w:trPr>
        <w:tc>
          <w:tcPr>
            <w:tcW w:w="1196" w:type="pct"/>
            <w:vMerge/>
            <w:shd w:val="clear" w:color="auto" w:fill="auto"/>
            <w:hideMark/>
          </w:tcPr>
          <w:p w14:paraId="0A8B4FB2"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1D7D2234" w14:textId="77777777" w:rsidR="00C21029" w:rsidRPr="00466BFF" w:rsidRDefault="00C21029" w:rsidP="00E5387E">
            <w:pPr>
              <w:spacing w:after="0" w:line="240" w:lineRule="auto"/>
              <w:rPr>
                <w:rFonts w:cs="Calibri"/>
                <w:sz w:val="20"/>
                <w:szCs w:val="20"/>
              </w:rPr>
            </w:pPr>
            <w:bookmarkStart w:id="2709" w:name="_Toc124956990"/>
            <w:r w:rsidRPr="00466BFF">
              <w:rPr>
                <w:rFonts w:cs="Calibri"/>
                <w:sz w:val="20"/>
                <w:szCs w:val="20"/>
              </w:rPr>
              <w:t>Police Nationale : DPMPM</w:t>
            </w:r>
            <w:bookmarkEnd w:id="2709"/>
          </w:p>
        </w:tc>
        <w:tc>
          <w:tcPr>
            <w:tcW w:w="620" w:type="pct"/>
            <w:shd w:val="clear" w:color="auto" w:fill="auto"/>
            <w:noWrap/>
            <w:hideMark/>
          </w:tcPr>
          <w:p w14:paraId="6495E3C1" w14:textId="77777777" w:rsidR="00C21029" w:rsidRPr="00466BFF" w:rsidRDefault="00C21029" w:rsidP="00E5387E">
            <w:pPr>
              <w:spacing w:after="0" w:line="240" w:lineRule="auto"/>
              <w:rPr>
                <w:rFonts w:cs="Calibri"/>
                <w:sz w:val="20"/>
                <w:szCs w:val="20"/>
              </w:rPr>
            </w:pPr>
            <w:bookmarkStart w:id="2710" w:name="_Toc124956991"/>
            <w:r w:rsidRPr="00466BFF">
              <w:rPr>
                <w:rFonts w:cs="Calibri"/>
                <w:sz w:val="20"/>
                <w:szCs w:val="20"/>
              </w:rPr>
              <w:t>0347077889</w:t>
            </w:r>
            <w:bookmarkEnd w:id="2710"/>
          </w:p>
        </w:tc>
        <w:tc>
          <w:tcPr>
            <w:tcW w:w="1353" w:type="pct"/>
            <w:shd w:val="clear" w:color="auto" w:fill="auto"/>
            <w:noWrap/>
            <w:hideMark/>
          </w:tcPr>
          <w:p w14:paraId="654F4C29" w14:textId="77777777" w:rsidR="00C21029" w:rsidRPr="00466BFF" w:rsidRDefault="00C21029" w:rsidP="00E5387E">
            <w:pPr>
              <w:spacing w:after="0" w:line="240" w:lineRule="auto"/>
              <w:rPr>
                <w:rFonts w:cs="Calibri"/>
                <w:sz w:val="20"/>
                <w:szCs w:val="20"/>
              </w:rPr>
            </w:pPr>
            <w:bookmarkStart w:id="2711" w:name="_Toc124956992"/>
            <w:r w:rsidRPr="00466BFF">
              <w:rPr>
                <w:rFonts w:cs="Calibri"/>
                <w:sz w:val="20"/>
                <w:szCs w:val="20"/>
              </w:rPr>
              <w:t>Toamasina I</w:t>
            </w:r>
            <w:bookmarkEnd w:id="2711"/>
          </w:p>
        </w:tc>
      </w:tr>
      <w:tr w:rsidR="00C21029" w:rsidRPr="007F78CE" w14:paraId="264EB26F" w14:textId="77777777" w:rsidTr="00B434A6">
        <w:trPr>
          <w:trHeight w:val="290"/>
        </w:trPr>
        <w:tc>
          <w:tcPr>
            <w:tcW w:w="1196" w:type="pct"/>
            <w:vMerge/>
            <w:shd w:val="clear" w:color="auto" w:fill="auto"/>
            <w:hideMark/>
          </w:tcPr>
          <w:p w14:paraId="10ED8443"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02F7A588" w14:textId="77777777" w:rsidR="00C21029" w:rsidRPr="00466BFF" w:rsidRDefault="00C21029" w:rsidP="00E5387E">
            <w:pPr>
              <w:spacing w:after="0" w:line="240" w:lineRule="auto"/>
              <w:rPr>
                <w:rFonts w:cs="Calibri"/>
                <w:sz w:val="20"/>
                <w:szCs w:val="20"/>
              </w:rPr>
            </w:pPr>
            <w:bookmarkStart w:id="2712" w:name="_Toc124956993"/>
            <w:r w:rsidRPr="00466BFF">
              <w:rPr>
                <w:rFonts w:cs="Calibri"/>
                <w:sz w:val="20"/>
                <w:szCs w:val="20"/>
              </w:rPr>
              <w:t>Gendarmerie Nationale : SRC</w:t>
            </w:r>
            <w:bookmarkEnd w:id="2712"/>
          </w:p>
        </w:tc>
        <w:tc>
          <w:tcPr>
            <w:tcW w:w="620" w:type="pct"/>
            <w:shd w:val="clear" w:color="auto" w:fill="auto"/>
            <w:noWrap/>
            <w:hideMark/>
          </w:tcPr>
          <w:p w14:paraId="719605CE" w14:textId="77777777" w:rsidR="00C21029" w:rsidRPr="00466BFF" w:rsidRDefault="00C21029" w:rsidP="00E5387E">
            <w:pPr>
              <w:spacing w:after="0" w:line="240" w:lineRule="auto"/>
              <w:rPr>
                <w:rFonts w:cs="Calibri"/>
                <w:sz w:val="20"/>
                <w:szCs w:val="20"/>
              </w:rPr>
            </w:pPr>
            <w:bookmarkStart w:id="2713" w:name="_Toc124956994"/>
            <w:r w:rsidRPr="00466BFF">
              <w:rPr>
                <w:rFonts w:cs="Calibri"/>
                <w:sz w:val="20"/>
                <w:szCs w:val="20"/>
              </w:rPr>
              <w:t>0341400567</w:t>
            </w:r>
            <w:bookmarkEnd w:id="2713"/>
          </w:p>
        </w:tc>
        <w:tc>
          <w:tcPr>
            <w:tcW w:w="1353" w:type="pct"/>
            <w:shd w:val="clear" w:color="auto" w:fill="auto"/>
            <w:hideMark/>
          </w:tcPr>
          <w:p w14:paraId="2369A0E8" w14:textId="77777777" w:rsidR="00C21029" w:rsidRPr="00466BFF" w:rsidRDefault="00C21029" w:rsidP="00E5387E">
            <w:pPr>
              <w:spacing w:after="0" w:line="240" w:lineRule="auto"/>
              <w:rPr>
                <w:rFonts w:cs="Calibri"/>
                <w:sz w:val="20"/>
                <w:szCs w:val="20"/>
              </w:rPr>
            </w:pPr>
            <w:bookmarkStart w:id="2714" w:name="_Toc124956995"/>
            <w:r w:rsidRPr="00466BFF">
              <w:rPr>
                <w:rFonts w:cs="Calibri"/>
                <w:sz w:val="20"/>
                <w:szCs w:val="20"/>
              </w:rPr>
              <w:t>Toamasina I</w:t>
            </w:r>
            <w:bookmarkEnd w:id="2714"/>
          </w:p>
        </w:tc>
      </w:tr>
      <w:tr w:rsidR="00C21029" w:rsidRPr="007F78CE" w14:paraId="21A1F64D" w14:textId="77777777" w:rsidTr="00B434A6">
        <w:trPr>
          <w:trHeight w:val="290"/>
        </w:trPr>
        <w:tc>
          <w:tcPr>
            <w:tcW w:w="1196" w:type="pct"/>
            <w:vMerge/>
            <w:shd w:val="clear" w:color="auto" w:fill="auto"/>
            <w:hideMark/>
          </w:tcPr>
          <w:p w14:paraId="3420111C"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4D3D2F45" w14:textId="77777777" w:rsidR="00C21029" w:rsidRPr="00466BFF" w:rsidRDefault="00C21029" w:rsidP="00E5387E">
            <w:pPr>
              <w:spacing w:after="0" w:line="240" w:lineRule="auto"/>
              <w:rPr>
                <w:rFonts w:cs="Calibri"/>
                <w:sz w:val="20"/>
                <w:szCs w:val="20"/>
              </w:rPr>
            </w:pPr>
            <w:bookmarkStart w:id="2715" w:name="_Toc124956996"/>
            <w:r w:rsidRPr="00466BFF">
              <w:rPr>
                <w:rFonts w:cs="Calibri"/>
                <w:sz w:val="20"/>
                <w:szCs w:val="20"/>
              </w:rPr>
              <w:t>Tribunal de Première Instance</w:t>
            </w:r>
            <w:bookmarkEnd w:id="2715"/>
          </w:p>
        </w:tc>
        <w:tc>
          <w:tcPr>
            <w:tcW w:w="620" w:type="pct"/>
            <w:shd w:val="clear" w:color="auto" w:fill="auto"/>
            <w:noWrap/>
            <w:hideMark/>
          </w:tcPr>
          <w:p w14:paraId="3F4B4A93"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4678C171" w14:textId="77777777" w:rsidR="00C21029" w:rsidRPr="00466BFF" w:rsidRDefault="00C21029" w:rsidP="00E5387E">
            <w:pPr>
              <w:spacing w:after="0" w:line="240" w:lineRule="auto"/>
              <w:rPr>
                <w:rFonts w:cs="Calibri"/>
                <w:sz w:val="20"/>
                <w:szCs w:val="20"/>
              </w:rPr>
            </w:pPr>
            <w:bookmarkStart w:id="2716" w:name="_Toc124956997"/>
            <w:r w:rsidRPr="00466BFF">
              <w:rPr>
                <w:rFonts w:cs="Calibri"/>
                <w:sz w:val="20"/>
                <w:szCs w:val="20"/>
              </w:rPr>
              <w:t>Toamasina I</w:t>
            </w:r>
            <w:bookmarkEnd w:id="2716"/>
          </w:p>
        </w:tc>
      </w:tr>
      <w:tr w:rsidR="00C21029" w:rsidRPr="007F78CE" w14:paraId="798475BD" w14:textId="77777777" w:rsidTr="00B434A6">
        <w:trPr>
          <w:trHeight w:val="290"/>
        </w:trPr>
        <w:tc>
          <w:tcPr>
            <w:tcW w:w="1196" w:type="pct"/>
            <w:vMerge/>
            <w:shd w:val="clear" w:color="auto" w:fill="auto"/>
            <w:hideMark/>
          </w:tcPr>
          <w:p w14:paraId="5D72B12D"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1403F6F3" w14:textId="77777777" w:rsidR="00C21029" w:rsidRPr="00466BFF" w:rsidRDefault="00C21029" w:rsidP="00E5387E">
            <w:pPr>
              <w:spacing w:after="0" w:line="240" w:lineRule="auto"/>
              <w:rPr>
                <w:rFonts w:cs="Calibri"/>
                <w:sz w:val="20"/>
                <w:szCs w:val="20"/>
              </w:rPr>
            </w:pPr>
            <w:bookmarkStart w:id="2717" w:name="_Toc124956998"/>
            <w:r w:rsidRPr="00466BFF">
              <w:rPr>
                <w:rFonts w:cs="Calibri"/>
                <w:sz w:val="20"/>
                <w:szCs w:val="20"/>
              </w:rPr>
              <w:t>Tribunal de Première Instance</w:t>
            </w:r>
            <w:bookmarkEnd w:id="2717"/>
          </w:p>
        </w:tc>
        <w:tc>
          <w:tcPr>
            <w:tcW w:w="620" w:type="pct"/>
            <w:shd w:val="clear" w:color="auto" w:fill="auto"/>
            <w:noWrap/>
            <w:hideMark/>
          </w:tcPr>
          <w:p w14:paraId="77257575"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7317F7A5" w14:textId="77777777" w:rsidR="00C21029" w:rsidRPr="00466BFF" w:rsidRDefault="00C21029" w:rsidP="00E5387E">
            <w:pPr>
              <w:spacing w:after="0" w:line="240" w:lineRule="auto"/>
              <w:rPr>
                <w:rFonts w:cs="Calibri"/>
                <w:sz w:val="20"/>
                <w:szCs w:val="20"/>
              </w:rPr>
            </w:pPr>
            <w:bookmarkStart w:id="2718" w:name="_Toc124956999"/>
            <w:r w:rsidRPr="00466BFF">
              <w:rPr>
                <w:rFonts w:cs="Calibri"/>
                <w:sz w:val="20"/>
                <w:szCs w:val="20"/>
              </w:rPr>
              <w:t>Vatomandry</w:t>
            </w:r>
            <w:bookmarkEnd w:id="2718"/>
          </w:p>
        </w:tc>
      </w:tr>
      <w:tr w:rsidR="00C21029" w:rsidRPr="007F78CE" w14:paraId="037338B6" w14:textId="77777777" w:rsidTr="00B434A6">
        <w:trPr>
          <w:trHeight w:val="290"/>
        </w:trPr>
        <w:tc>
          <w:tcPr>
            <w:tcW w:w="1196" w:type="pct"/>
            <w:vMerge w:val="restart"/>
            <w:shd w:val="clear" w:color="auto" w:fill="auto"/>
            <w:noWrap/>
            <w:hideMark/>
          </w:tcPr>
          <w:p w14:paraId="69A5DD27" w14:textId="77777777" w:rsidR="00C21029" w:rsidRPr="00B434A6" w:rsidRDefault="00C21029" w:rsidP="00E5387E">
            <w:pPr>
              <w:spacing w:after="0" w:line="240" w:lineRule="auto"/>
              <w:rPr>
                <w:rFonts w:cs="Cambria"/>
                <w:color w:val="212121"/>
                <w:sz w:val="20"/>
                <w:szCs w:val="20"/>
              </w:rPr>
            </w:pPr>
            <w:r w:rsidRPr="00B434A6">
              <w:rPr>
                <w:rFonts w:cs="Cambria"/>
                <w:color w:val="212121"/>
                <w:sz w:val="20"/>
                <w:szCs w:val="20"/>
              </w:rPr>
              <w:t>ANALANJIROFO</w:t>
            </w:r>
          </w:p>
        </w:tc>
        <w:tc>
          <w:tcPr>
            <w:tcW w:w="3804" w:type="pct"/>
            <w:gridSpan w:val="3"/>
            <w:shd w:val="clear" w:color="auto" w:fill="auto"/>
            <w:noWrap/>
            <w:hideMark/>
          </w:tcPr>
          <w:p w14:paraId="1B220700" w14:textId="77777777" w:rsidR="00C21029" w:rsidRPr="00466BFF" w:rsidRDefault="00C21029" w:rsidP="00E5387E">
            <w:pPr>
              <w:spacing w:after="0" w:line="240" w:lineRule="auto"/>
              <w:rPr>
                <w:rFonts w:cs="Calibri"/>
                <w:sz w:val="20"/>
                <w:szCs w:val="20"/>
              </w:rPr>
            </w:pPr>
            <w:bookmarkStart w:id="2719" w:name="_Toc124957000"/>
            <w:r w:rsidRPr="00466BFF">
              <w:rPr>
                <w:rFonts w:cs="Calibri"/>
                <w:sz w:val="20"/>
                <w:szCs w:val="20"/>
              </w:rPr>
              <w:t>Service Public</w:t>
            </w:r>
            <w:bookmarkEnd w:id="2719"/>
          </w:p>
        </w:tc>
      </w:tr>
      <w:tr w:rsidR="00C21029" w:rsidRPr="007F78CE" w14:paraId="5B1B2406" w14:textId="77777777" w:rsidTr="00B434A6">
        <w:trPr>
          <w:trHeight w:val="290"/>
        </w:trPr>
        <w:tc>
          <w:tcPr>
            <w:tcW w:w="1196" w:type="pct"/>
            <w:vMerge/>
            <w:shd w:val="clear" w:color="auto" w:fill="auto"/>
            <w:hideMark/>
          </w:tcPr>
          <w:p w14:paraId="765349F2"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7448D314" w14:textId="77777777" w:rsidR="00C21029" w:rsidRPr="00466BFF" w:rsidRDefault="00C21029" w:rsidP="00E5387E">
            <w:pPr>
              <w:spacing w:after="0" w:line="240" w:lineRule="auto"/>
              <w:rPr>
                <w:rFonts w:cs="Calibri"/>
                <w:sz w:val="20"/>
                <w:szCs w:val="20"/>
              </w:rPr>
            </w:pPr>
            <w:bookmarkStart w:id="2720" w:name="_Toc124957001"/>
            <w:r w:rsidRPr="00466BFF">
              <w:rPr>
                <w:rFonts w:cs="Calibri"/>
                <w:sz w:val="20"/>
                <w:szCs w:val="20"/>
              </w:rPr>
              <w:t>Police Nationale : BPMPM</w:t>
            </w:r>
            <w:bookmarkEnd w:id="2720"/>
          </w:p>
        </w:tc>
        <w:tc>
          <w:tcPr>
            <w:tcW w:w="620" w:type="pct"/>
            <w:shd w:val="clear" w:color="auto" w:fill="auto"/>
            <w:noWrap/>
            <w:hideMark/>
          </w:tcPr>
          <w:p w14:paraId="28D6A45F" w14:textId="77777777" w:rsidR="00C21029" w:rsidRPr="00466BFF" w:rsidRDefault="00C21029" w:rsidP="00E5387E">
            <w:pPr>
              <w:spacing w:after="0" w:line="240" w:lineRule="auto"/>
              <w:rPr>
                <w:rFonts w:cs="Calibri"/>
                <w:sz w:val="20"/>
                <w:szCs w:val="20"/>
              </w:rPr>
            </w:pPr>
            <w:bookmarkStart w:id="2721" w:name="_Toc124957002"/>
            <w:r w:rsidRPr="00466BFF">
              <w:rPr>
                <w:rFonts w:cs="Calibri"/>
                <w:sz w:val="20"/>
                <w:szCs w:val="20"/>
              </w:rPr>
              <w:t>0332488024</w:t>
            </w:r>
            <w:bookmarkEnd w:id="2721"/>
          </w:p>
        </w:tc>
        <w:tc>
          <w:tcPr>
            <w:tcW w:w="1353" w:type="pct"/>
            <w:shd w:val="clear" w:color="auto" w:fill="auto"/>
            <w:noWrap/>
            <w:hideMark/>
          </w:tcPr>
          <w:p w14:paraId="4D6C9EF6" w14:textId="77777777" w:rsidR="00C21029" w:rsidRPr="00466BFF" w:rsidRDefault="00C21029" w:rsidP="00E5387E">
            <w:pPr>
              <w:spacing w:after="0" w:line="240" w:lineRule="auto"/>
              <w:rPr>
                <w:rFonts w:cs="Calibri"/>
                <w:sz w:val="20"/>
                <w:szCs w:val="20"/>
              </w:rPr>
            </w:pPr>
            <w:bookmarkStart w:id="2722" w:name="_Toc124957003"/>
            <w:r w:rsidRPr="00466BFF">
              <w:rPr>
                <w:rFonts w:cs="Calibri"/>
                <w:sz w:val="20"/>
                <w:szCs w:val="20"/>
              </w:rPr>
              <w:t>Fénérive Est</w:t>
            </w:r>
            <w:bookmarkEnd w:id="2722"/>
          </w:p>
        </w:tc>
      </w:tr>
      <w:tr w:rsidR="00C21029" w:rsidRPr="007F78CE" w14:paraId="2A48B38F" w14:textId="77777777" w:rsidTr="00B434A6">
        <w:trPr>
          <w:trHeight w:val="290"/>
        </w:trPr>
        <w:tc>
          <w:tcPr>
            <w:tcW w:w="1196" w:type="pct"/>
            <w:vMerge/>
            <w:shd w:val="clear" w:color="auto" w:fill="auto"/>
            <w:hideMark/>
          </w:tcPr>
          <w:p w14:paraId="3B41E028"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69414089" w14:textId="77777777" w:rsidR="00C21029" w:rsidRPr="00466BFF" w:rsidRDefault="00C21029" w:rsidP="00E5387E">
            <w:pPr>
              <w:spacing w:after="0" w:line="240" w:lineRule="auto"/>
              <w:rPr>
                <w:rFonts w:cs="Calibri"/>
                <w:sz w:val="20"/>
                <w:szCs w:val="20"/>
              </w:rPr>
            </w:pPr>
            <w:bookmarkStart w:id="2723" w:name="_Toc124957004"/>
            <w:r w:rsidRPr="00466BFF">
              <w:rPr>
                <w:rFonts w:cs="Calibri"/>
                <w:sz w:val="20"/>
                <w:szCs w:val="20"/>
              </w:rPr>
              <w:t>Gendarmerie Nationale : GAPJ</w:t>
            </w:r>
            <w:bookmarkEnd w:id="2723"/>
          </w:p>
        </w:tc>
        <w:tc>
          <w:tcPr>
            <w:tcW w:w="620" w:type="pct"/>
            <w:shd w:val="clear" w:color="auto" w:fill="auto"/>
            <w:noWrap/>
            <w:hideMark/>
          </w:tcPr>
          <w:p w14:paraId="0755B817" w14:textId="77777777" w:rsidR="00C21029" w:rsidRPr="00466BFF" w:rsidRDefault="00C21029" w:rsidP="00E5387E">
            <w:pPr>
              <w:spacing w:after="0" w:line="240" w:lineRule="auto"/>
              <w:rPr>
                <w:rFonts w:cs="Calibri"/>
                <w:sz w:val="20"/>
                <w:szCs w:val="20"/>
              </w:rPr>
            </w:pPr>
            <w:bookmarkStart w:id="2724" w:name="_Toc124957005"/>
            <w:r w:rsidRPr="00466BFF">
              <w:rPr>
                <w:rFonts w:cs="Calibri"/>
                <w:sz w:val="20"/>
                <w:szCs w:val="20"/>
              </w:rPr>
              <w:t>0341400570</w:t>
            </w:r>
            <w:bookmarkEnd w:id="2724"/>
          </w:p>
        </w:tc>
        <w:tc>
          <w:tcPr>
            <w:tcW w:w="1353" w:type="pct"/>
            <w:shd w:val="clear" w:color="auto" w:fill="auto"/>
            <w:hideMark/>
          </w:tcPr>
          <w:p w14:paraId="7E84088B" w14:textId="77777777" w:rsidR="00C21029" w:rsidRPr="00466BFF" w:rsidRDefault="00C21029" w:rsidP="00E5387E">
            <w:pPr>
              <w:spacing w:after="0" w:line="240" w:lineRule="auto"/>
              <w:rPr>
                <w:rFonts w:cs="Calibri"/>
                <w:sz w:val="20"/>
                <w:szCs w:val="20"/>
              </w:rPr>
            </w:pPr>
            <w:bookmarkStart w:id="2725" w:name="_Toc124957006"/>
            <w:r w:rsidRPr="00466BFF">
              <w:rPr>
                <w:rFonts w:cs="Calibri"/>
                <w:sz w:val="20"/>
                <w:szCs w:val="20"/>
              </w:rPr>
              <w:t>Fénérive Est</w:t>
            </w:r>
            <w:bookmarkEnd w:id="2725"/>
          </w:p>
        </w:tc>
      </w:tr>
      <w:tr w:rsidR="00C21029" w:rsidRPr="007F78CE" w14:paraId="27D7EF60" w14:textId="77777777" w:rsidTr="00B434A6">
        <w:trPr>
          <w:trHeight w:val="290"/>
        </w:trPr>
        <w:tc>
          <w:tcPr>
            <w:tcW w:w="1196" w:type="pct"/>
            <w:vMerge/>
            <w:shd w:val="clear" w:color="auto" w:fill="auto"/>
            <w:hideMark/>
          </w:tcPr>
          <w:p w14:paraId="421D408D"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774245A0" w14:textId="77777777" w:rsidR="00C21029" w:rsidRPr="00466BFF" w:rsidRDefault="00C21029" w:rsidP="00E5387E">
            <w:pPr>
              <w:spacing w:after="0" w:line="240" w:lineRule="auto"/>
              <w:rPr>
                <w:rFonts w:cs="Calibri"/>
                <w:sz w:val="20"/>
                <w:szCs w:val="20"/>
              </w:rPr>
            </w:pPr>
            <w:bookmarkStart w:id="2726" w:name="_Toc124957007"/>
            <w:r w:rsidRPr="00466BFF">
              <w:rPr>
                <w:rFonts w:cs="Calibri"/>
                <w:sz w:val="20"/>
                <w:szCs w:val="20"/>
              </w:rPr>
              <w:t>Tribunal de Première Instance</w:t>
            </w:r>
            <w:bookmarkEnd w:id="2726"/>
          </w:p>
        </w:tc>
        <w:tc>
          <w:tcPr>
            <w:tcW w:w="620" w:type="pct"/>
            <w:shd w:val="clear" w:color="auto" w:fill="auto"/>
            <w:noWrap/>
            <w:hideMark/>
          </w:tcPr>
          <w:p w14:paraId="4475F440"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7C280F17" w14:textId="77777777" w:rsidR="00C21029" w:rsidRPr="00466BFF" w:rsidRDefault="00C21029" w:rsidP="00E5387E">
            <w:pPr>
              <w:spacing w:after="0" w:line="240" w:lineRule="auto"/>
              <w:rPr>
                <w:rFonts w:cs="Calibri"/>
                <w:sz w:val="20"/>
                <w:szCs w:val="20"/>
              </w:rPr>
            </w:pPr>
            <w:bookmarkStart w:id="2727" w:name="_Toc124957008"/>
            <w:r w:rsidRPr="00466BFF">
              <w:rPr>
                <w:rFonts w:cs="Calibri"/>
                <w:sz w:val="20"/>
                <w:szCs w:val="20"/>
              </w:rPr>
              <w:t>Fénérive Est</w:t>
            </w:r>
            <w:bookmarkEnd w:id="2727"/>
          </w:p>
        </w:tc>
      </w:tr>
      <w:tr w:rsidR="00C21029" w:rsidRPr="007F78CE" w14:paraId="3C987556" w14:textId="77777777" w:rsidTr="00B434A6">
        <w:trPr>
          <w:trHeight w:val="290"/>
        </w:trPr>
        <w:tc>
          <w:tcPr>
            <w:tcW w:w="1196" w:type="pct"/>
            <w:vMerge/>
            <w:shd w:val="clear" w:color="auto" w:fill="auto"/>
            <w:hideMark/>
          </w:tcPr>
          <w:p w14:paraId="2206FFD5"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01914C93" w14:textId="77777777" w:rsidR="00C21029" w:rsidRPr="00466BFF" w:rsidRDefault="00C21029" w:rsidP="00E5387E">
            <w:pPr>
              <w:spacing w:after="0" w:line="240" w:lineRule="auto"/>
              <w:rPr>
                <w:rFonts w:cs="Calibri"/>
                <w:sz w:val="20"/>
                <w:szCs w:val="20"/>
              </w:rPr>
            </w:pPr>
            <w:bookmarkStart w:id="2728" w:name="_Toc124957009"/>
            <w:r w:rsidRPr="00466BFF">
              <w:rPr>
                <w:rFonts w:cs="Calibri"/>
                <w:sz w:val="20"/>
                <w:szCs w:val="20"/>
              </w:rPr>
              <w:t>Tribunal de Première Instance</w:t>
            </w:r>
            <w:bookmarkEnd w:id="2728"/>
          </w:p>
        </w:tc>
        <w:tc>
          <w:tcPr>
            <w:tcW w:w="620" w:type="pct"/>
            <w:shd w:val="clear" w:color="auto" w:fill="auto"/>
            <w:noWrap/>
            <w:hideMark/>
          </w:tcPr>
          <w:p w14:paraId="3E334DBD"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513A1730" w14:textId="77777777" w:rsidR="00C21029" w:rsidRPr="00466BFF" w:rsidRDefault="00C21029" w:rsidP="00E5387E">
            <w:pPr>
              <w:spacing w:after="0" w:line="240" w:lineRule="auto"/>
              <w:rPr>
                <w:rFonts w:cs="Calibri"/>
                <w:sz w:val="20"/>
                <w:szCs w:val="20"/>
              </w:rPr>
            </w:pPr>
            <w:bookmarkStart w:id="2729" w:name="_Toc124957010"/>
            <w:r w:rsidRPr="00466BFF">
              <w:rPr>
                <w:rFonts w:cs="Calibri"/>
                <w:sz w:val="20"/>
                <w:szCs w:val="20"/>
              </w:rPr>
              <w:t>Maroantsetra</w:t>
            </w:r>
            <w:bookmarkEnd w:id="2729"/>
          </w:p>
        </w:tc>
      </w:tr>
      <w:tr w:rsidR="00C21029" w:rsidRPr="007F78CE" w14:paraId="4C7EABBE" w14:textId="77777777" w:rsidTr="00B434A6">
        <w:trPr>
          <w:trHeight w:val="290"/>
        </w:trPr>
        <w:tc>
          <w:tcPr>
            <w:tcW w:w="1196" w:type="pct"/>
            <w:vMerge w:val="restart"/>
            <w:shd w:val="clear" w:color="auto" w:fill="auto"/>
            <w:noWrap/>
            <w:hideMark/>
          </w:tcPr>
          <w:p w14:paraId="3FDA4978" w14:textId="77777777" w:rsidR="00C21029" w:rsidRPr="00B434A6" w:rsidRDefault="00C21029" w:rsidP="00E5387E">
            <w:pPr>
              <w:spacing w:after="0" w:line="240" w:lineRule="auto"/>
              <w:rPr>
                <w:rFonts w:cs="Cambria"/>
                <w:color w:val="212121"/>
                <w:sz w:val="20"/>
                <w:szCs w:val="20"/>
              </w:rPr>
            </w:pPr>
            <w:r w:rsidRPr="00B434A6">
              <w:rPr>
                <w:rFonts w:cs="Cambria"/>
                <w:color w:val="212121"/>
                <w:sz w:val="20"/>
                <w:szCs w:val="20"/>
              </w:rPr>
              <w:t>ALAOTRA MANGORO</w:t>
            </w:r>
          </w:p>
        </w:tc>
        <w:tc>
          <w:tcPr>
            <w:tcW w:w="3804" w:type="pct"/>
            <w:gridSpan w:val="3"/>
            <w:shd w:val="clear" w:color="auto" w:fill="auto"/>
            <w:noWrap/>
            <w:hideMark/>
          </w:tcPr>
          <w:p w14:paraId="344169A5" w14:textId="77777777" w:rsidR="00C21029" w:rsidRPr="00466BFF" w:rsidRDefault="00C21029" w:rsidP="00E5387E">
            <w:pPr>
              <w:spacing w:after="0" w:line="240" w:lineRule="auto"/>
              <w:rPr>
                <w:rFonts w:cs="Calibri"/>
                <w:sz w:val="20"/>
                <w:szCs w:val="20"/>
              </w:rPr>
            </w:pPr>
            <w:bookmarkStart w:id="2730" w:name="_Toc124957011"/>
            <w:r w:rsidRPr="00466BFF">
              <w:rPr>
                <w:rFonts w:cs="Calibri"/>
                <w:sz w:val="20"/>
                <w:szCs w:val="20"/>
              </w:rPr>
              <w:t>Service Public</w:t>
            </w:r>
            <w:bookmarkEnd w:id="2730"/>
          </w:p>
        </w:tc>
      </w:tr>
      <w:tr w:rsidR="00C21029" w:rsidRPr="007F78CE" w14:paraId="68CE6C70" w14:textId="77777777" w:rsidTr="00B434A6">
        <w:trPr>
          <w:trHeight w:val="290"/>
        </w:trPr>
        <w:tc>
          <w:tcPr>
            <w:tcW w:w="1196" w:type="pct"/>
            <w:vMerge/>
            <w:shd w:val="clear" w:color="auto" w:fill="auto"/>
            <w:hideMark/>
          </w:tcPr>
          <w:p w14:paraId="328F78D5"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451B50EE" w14:textId="77777777" w:rsidR="00C21029" w:rsidRPr="00466BFF" w:rsidRDefault="00C21029" w:rsidP="00E5387E">
            <w:pPr>
              <w:spacing w:after="0" w:line="240" w:lineRule="auto"/>
              <w:rPr>
                <w:rFonts w:cs="Calibri"/>
                <w:sz w:val="20"/>
                <w:szCs w:val="20"/>
              </w:rPr>
            </w:pPr>
            <w:bookmarkStart w:id="2731" w:name="_Toc124957012"/>
            <w:r w:rsidRPr="00466BFF">
              <w:rPr>
                <w:rFonts w:cs="Calibri"/>
                <w:sz w:val="20"/>
                <w:szCs w:val="20"/>
              </w:rPr>
              <w:t>Police Nationale : BPMPM</w:t>
            </w:r>
            <w:bookmarkEnd w:id="2731"/>
          </w:p>
        </w:tc>
        <w:tc>
          <w:tcPr>
            <w:tcW w:w="620" w:type="pct"/>
            <w:shd w:val="clear" w:color="auto" w:fill="auto"/>
            <w:noWrap/>
            <w:hideMark/>
          </w:tcPr>
          <w:p w14:paraId="43FC943A" w14:textId="77777777" w:rsidR="00C21029" w:rsidRPr="00466BFF" w:rsidRDefault="00C21029" w:rsidP="00E5387E">
            <w:pPr>
              <w:spacing w:after="0" w:line="240" w:lineRule="auto"/>
              <w:rPr>
                <w:rFonts w:cs="Calibri"/>
                <w:sz w:val="20"/>
                <w:szCs w:val="20"/>
              </w:rPr>
            </w:pPr>
            <w:bookmarkStart w:id="2732" w:name="_Toc124957013"/>
            <w:r w:rsidRPr="00466BFF">
              <w:rPr>
                <w:rFonts w:cs="Calibri"/>
                <w:sz w:val="20"/>
                <w:szCs w:val="20"/>
              </w:rPr>
              <w:t>0322812497</w:t>
            </w:r>
            <w:bookmarkEnd w:id="2732"/>
          </w:p>
        </w:tc>
        <w:tc>
          <w:tcPr>
            <w:tcW w:w="1353" w:type="pct"/>
            <w:shd w:val="clear" w:color="auto" w:fill="auto"/>
            <w:noWrap/>
            <w:hideMark/>
          </w:tcPr>
          <w:p w14:paraId="4BCF3FC6" w14:textId="77777777" w:rsidR="00C21029" w:rsidRPr="00466BFF" w:rsidRDefault="00C21029" w:rsidP="00E5387E">
            <w:pPr>
              <w:spacing w:after="0" w:line="240" w:lineRule="auto"/>
              <w:rPr>
                <w:rFonts w:cs="Calibri"/>
                <w:sz w:val="20"/>
                <w:szCs w:val="20"/>
              </w:rPr>
            </w:pPr>
            <w:bookmarkStart w:id="2733" w:name="_Toc124957014"/>
            <w:r w:rsidRPr="00466BFF">
              <w:rPr>
                <w:rFonts w:cs="Calibri"/>
                <w:sz w:val="20"/>
                <w:szCs w:val="20"/>
              </w:rPr>
              <w:t>Moramanga</w:t>
            </w:r>
            <w:bookmarkEnd w:id="2733"/>
          </w:p>
        </w:tc>
      </w:tr>
      <w:tr w:rsidR="00C21029" w:rsidRPr="007F78CE" w14:paraId="0FDC6DCD" w14:textId="77777777" w:rsidTr="00B434A6">
        <w:trPr>
          <w:trHeight w:val="290"/>
        </w:trPr>
        <w:tc>
          <w:tcPr>
            <w:tcW w:w="1196" w:type="pct"/>
            <w:vMerge/>
            <w:shd w:val="clear" w:color="auto" w:fill="auto"/>
            <w:hideMark/>
          </w:tcPr>
          <w:p w14:paraId="5222F8E7"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22B38532" w14:textId="77777777" w:rsidR="00C21029" w:rsidRPr="00466BFF" w:rsidRDefault="00C21029" w:rsidP="00E5387E">
            <w:pPr>
              <w:spacing w:after="0" w:line="240" w:lineRule="auto"/>
              <w:rPr>
                <w:rFonts w:cs="Calibri"/>
                <w:sz w:val="20"/>
                <w:szCs w:val="20"/>
              </w:rPr>
            </w:pPr>
            <w:bookmarkStart w:id="2734" w:name="_Toc124957015"/>
            <w:r w:rsidRPr="00466BFF">
              <w:rPr>
                <w:rFonts w:cs="Calibri"/>
                <w:sz w:val="20"/>
                <w:szCs w:val="20"/>
              </w:rPr>
              <w:t>Gendarmerie Nationale : GAPJ</w:t>
            </w:r>
            <w:bookmarkEnd w:id="2734"/>
          </w:p>
        </w:tc>
        <w:tc>
          <w:tcPr>
            <w:tcW w:w="620" w:type="pct"/>
            <w:shd w:val="clear" w:color="auto" w:fill="auto"/>
            <w:noWrap/>
            <w:hideMark/>
          </w:tcPr>
          <w:p w14:paraId="5C098962" w14:textId="77777777" w:rsidR="00C21029" w:rsidRPr="00466BFF" w:rsidRDefault="00C21029" w:rsidP="00E5387E">
            <w:pPr>
              <w:spacing w:after="0" w:line="240" w:lineRule="auto"/>
              <w:rPr>
                <w:rFonts w:cs="Calibri"/>
                <w:sz w:val="20"/>
                <w:szCs w:val="20"/>
              </w:rPr>
            </w:pPr>
            <w:bookmarkStart w:id="2735" w:name="_Toc124957016"/>
            <w:r w:rsidRPr="00466BFF">
              <w:rPr>
                <w:rFonts w:cs="Calibri"/>
                <w:sz w:val="20"/>
                <w:szCs w:val="20"/>
              </w:rPr>
              <w:t>0341400574</w:t>
            </w:r>
            <w:bookmarkEnd w:id="2735"/>
          </w:p>
        </w:tc>
        <w:tc>
          <w:tcPr>
            <w:tcW w:w="1353" w:type="pct"/>
            <w:shd w:val="clear" w:color="auto" w:fill="auto"/>
            <w:hideMark/>
          </w:tcPr>
          <w:p w14:paraId="74E8539C" w14:textId="77777777" w:rsidR="00C21029" w:rsidRPr="00466BFF" w:rsidRDefault="00C21029" w:rsidP="00E5387E">
            <w:pPr>
              <w:spacing w:after="0" w:line="240" w:lineRule="auto"/>
              <w:rPr>
                <w:rFonts w:cs="Calibri"/>
                <w:sz w:val="20"/>
                <w:szCs w:val="20"/>
              </w:rPr>
            </w:pPr>
            <w:bookmarkStart w:id="2736" w:name="_Toc124957017"/>
            <w:r w:rsidRPr="00466BFF">
              <w:rPr>
                <w:rFonts w:cs="Calibri"/>
                <w:sz w:val="20"/>
                <w:szCs w:val="20"/>
              </w:rPr>
              <w:t>Moramanga</w:t>
            </w:r>
            <w:bookmarkEnd w:id="2736"/>
          </w:p>
        </w:tc>
      </w:tr>
      <w:tr w:rsidR="00C21029" w:rsidRPr="007F78CE" w14:paraId="562F032D" w14:textId="77777777" w:rsidTr="00B434A6">
        <w:trPr>
          <w:trHeight w:val="290"/>
        </w:trPr>
        <w:tc>
          <w:tcPr>
            <w:tcW w:w="1196" w:type="pct"/>
            <w:vMerge/>
            <w:shd w:val="clear" w:color="auto" w:fill="auto"/>
            <w:hideMark/>
          </w:tcPr>
          <w:p w14:paraId="166D1B21"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72B689AA" w14:textId="77777777" w:rsidR="00C21029" w:rsidRPr="00466BFF" w:rsidRDefault="00C21029" w:rsidP="00E5387E">
            <w:pPr>
              <w:spacing w:after="0" w:line="240" w:lineRule="auto"/>
              <w:rPr>
                <w:rFonts w:cs="Calibri"/>
                <w:sz w:val="20"/>
                <w:szCs w:val="20"/>
              </w:rPr>
            </w:pPr>
            <w:bookmarkStart w:id="2737" w:name="_Toc124957018"/>
            <w:r w:rsidRPr="00466BFF">
              <w:rPr>
                <w:rFonts w:cs="Calibri"/>
                <w:sz w:val="20"/>
                <w:szCs w:val="20"/>
              </w:rPr>
              <w:t>Tribunal de Première Instance</w:t>
            </w:r>
            <w:bookmarkEnd w:id="2737"/>
          </w:p>
        </w:tc>
        <w:tc>
          <w:tcPr>
            <w:tcW w:w="620" w:type="pct"/>
            <w:shd w:val="clear" w:color="auto" w:fill="auto"/>
            <w:noWrap/>
            <w:hideMark/>
          </w:tcPr>
          <w:p w14:paraId="5FCC464D"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3AB1E871" w14:textId="77777777" w:rsidR="00C21029" w:rsidRPr="00466BFF" w:rsidRDefault="00C21029" w:rsidP="00E5387E">
            <w:pPr>
              <w:spacing w:after="0" w:line="240" w:lineRule="auto"/>
              <w:rPr>
                <w:rFonts w:cs="Calibri"/>
                <w:sz w:val="20"/>
                <w:szCs w:val="20"/>
              </w:rPr>
            </w:pPr>
            <w:bookmarkStart w:id="2738" w:name="_Toc124957019"/>
            <w:r w:rsidRPr="00466BFF">
              <w:rPr>
                <w:rFonts w:cs="Calibri"/>
                <w:sz w:val="20"/>
                <w:szCs w:val="20"/>
              </w:rPr>
              <w:t>Ambatondrazaka</w:t>
            </w:r>
            <w:bookmarkEnd w:id="2738"/>
          </w:p>
        </w:tc>
      </w:tr>
      <w:tr w:rsidR="00C21029" w:rsidRPr="007F78CE" w14:paraId="55371413" w14:textId="77777777" w:rsidTr="00B434A6">
        <w:trPr>
          <w:trHeight w:val="290"/>
        </w:trPr>
        <w:tc>
          <w:tcPr>
            <w:tcW w:w="1196" w:type="pct"/>
            <w:vMerge/>
            <w:shd w:val="clear" w:color="auto" w:fill="auto"/>
            <w:hideMark/>
          </w:tcPr>
          <w:p w14:paraId="6499C42A" w14:textId="77777777" w:rsidR="00C21029" w:rsidRPr="00B434A6" w:rsidRDefault="00C21029" w:rsidP="00E5387E">
            <w:pPr>
              <w:spacing w:after="0" w:line="240" w:lineRule="auto"/>
              <w:rPr>
                <w:rFonts w:cs="Cambria"/>
                <w:color w:val="212121"/>
                <w:sz w:val="20"/>
                <w:szCs w:val="20"/>
              </w:rPr>
            </w:pPr>
          </w:p>
        </w:tc>
        <w:tc>
          <w:tcPr>
            <w:tcW w:w="1831" w:type="pct"/>
            <w:shd w:val="clear" w:color="auto" w:fill="auto"/>
            <w:noWrap/>
            <w:hideMark/>
          </w:tcPr>
          <w:p w14:paraId="7A0771E5" w14:textId="77777777" w:rsidR="00C21029" w:rsidRPr="00466BFF" w:rsidRDefault="00C21029" w:rsidP="00E5387E">
            <w:pPr>
              <w:spacing w:after="0" w:line="240" w:lineRule="auto"/>
              <w:rPr>
                <w:rFonts w:cs="Calibri"/>
                <w:sz w:val="20"/>
                <w:szCs w:val="20"/>
              </w:rPr>
            </w:pPr>
            <w:bookmarkStart w:id="2739" w:name="_Toc124957020"/>
            <w:r w:rsidRPr="00466BFF">
              <w:rPr>
                <w:rFonts w:cs="Calibri"/>
                <w:sz w:val="20"/>
                <w:szCs w:val="20"/>
              </w:rPr>
              <w:t>Tribunal de Première Instance</w:t>
            </w:r>
            <w:bookmarkEnd w:id="2739"/>
          </w:p>
        </w:tc>
        <w:tc>
          <w:tcPr>
            <w:tcW w:w="620" w:type="pct"/>
            <w:shd w:val="clear" w:color="auto" w:fill="auto"/>
            <w:noWrap/>
            <w:hideMark/>
          </w:tcPr>
          <w:p w14:paraId="0AA95AF3" w14:textId="77777777" w:rsidR="00C21029" w:rsidRPr="00466BFF" w:rsidRDefault="00C21029" w:rsidP="00E5387E">
            <w:pPr>
              <w:spacing w:after="0" w:line="240" w:lineRule="auto"/>
              <w:rPr>
                <w:rFonts w:cs="Calibri"/>
                <w:sz w:val="20"/>
                <w:szCs w:val="20"/>
              </w:rPr>
            </w:pPr>
            <w:r w:rsidRPr="00466BFF">
              <w:rPr>
                <w:rFonts w:cs="Calibri"/>
                <w:sz w:val="20"/>
                <w:szCs w:val="20"/>
              </w:rPr>
              <w:t> </w:t>
            </w:r>
          </w:p>
        </w:tc>
        <w:tc>
          <w:tcPr>
            <w:tcW w:w="1353" w:type="pct"/>
            <w:shd w:val="clear" w:color="auto" w:fill="auto"/>
            <w:hideMark/>
          </w:tcPr>
          <w:p w14:paraId="1E12E064" w14:textId="77777777" w:rsidR="00C21029" w:rsidRPr="00466BFF" w:rsidRDefault="00C21029" w:rsidP="00E5387E">
            <w:pPr>
              <w:spacing w:after="0" w:line="240" w:lineRule="auto"/>
              <w:rPr>
                <w:rFonts w:cs="Calibri"/>
                <w:sz w:val="20"/>
                <w:szCs w:val="20"/>
              </w:rPr>
            </w:pPr>
            <w:bookmarkStart w:id="2740" w:name="_Toc124957021"/>
            <w:r w:rsidRPr="00466BFF">
              <w:rPr>
                <w:rFonts w:cs="Calibri"/>
                <w:sz w:val="20"/>
                <w:szCs w:val="20"/>
              </w:rPr>
              <w:t>Moramanga</w:t>
            </w:r>
            <w:bookmarkEnd w:id="2740"/>
          </w:p>
        </w:tc>
      </w:tr>
    </w:tbl>
    <w:p w14:paraId="3D09FC23" w14:textId="77777777" w:rsidR="00C21029" w:rsidRPr="00B434A6" w:rsidRDefault="00C21029" w:rsidP="00C21029">
      <w:pPr>
        <w:spacing w:after="0"/>
        <w:rPr>
          <w:rFonts w:cs="Cambria"/>
          <w:color w:val="212121"/>
          <w:sz w:val="20"/>
          <w:szCs w:val="20"/>
        </w:rPr>
      </w:pPr>
      <w:r w:rsidRPr="00B434A6">
        <w:rPr>
          <w:rFonts w:cs="Cambria"/>
          <w:sz w:val="20"/>
          <w:szCs w:val="20"/>
        </w:rPr>
        <w:t>Source: Banque mondiale, 2020</w:t>
      </w:r>
    </w:p>
    <w:p w14:paraId="431A9F62" w14:textId="77777777" w:rsidR="00C21029" w:rsidRPr="001D5885" w:rsidRDefault="00C21029" w:rsidP="00C21029">
      <w:pPr>
        <w:autoSpaceDE w:val="0"/>
        <w:autoSpaceDN w:val="0"/>
        <w:adjustRightInd w:val="0"/>
        <w:spacing w:after="0"/>
        <w:ind w:left="-720"/>
        <w:rPr>
          <w:b/>
        </w:rPr>
      </w:pPr>
    </w:p>
    <w:p w14:paraId="6F61562E" w14:textId="77777777" w:rsidR="00C21029" w:rsidRPr="00050138" w:rsidRDefault="00C21029" w:rsidP="00C21029">
      <w:pPr>
        <w:spacing w:after="0"/>
        <w:rPr>
          <w:b/>
          <w:u w:val="single"/>
        </w:rPr>
      </w:pPr>
      <w:bookmarkStart w:id="2741" w:name="_Toc14782016"/>
      <w:r w:rsidRPr="00050138">
        <w:rPr>
          <w:b/>
          <w:u w:val="single"/>
        </w:rPr>
        <w:t>Service de réinsertion économique</w:t>
      </w:r>
      <w:bookmarkEnd w:id="2741"/>
    </w:p>
    <w:p w14:paraId="04340BEA" w14:textId="77777777" w:rsidR="00C21029" w:rsidRDefault="00C21029" w:rsidP="00C21029">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2959"/>
        <w:gridCol w:w="1263"/>
        <w:gridCol w:w="2729"/>
      </w:tblGrid>
      <w:tr w:rsidR="00C21029" w:rsidRPr="007F78CE" w14:paraId="5DADEEE6" w14:textId="77777777" w:rsidTr="00D12C6F">
        <w:trPr>
          <w:trHeight w:val="290"/>
          <w:tblHeader/>
        </w:trPr>
        <w:tc>
          <w:tcPr>
            <w:tcW w:w="1164" w:type="pct"/>
            <w:shd w:val="clear" w:color="auto" w:fill="auto"/>
            <w:noWrap/>
            <w:hideMark/>
          </w:tcPr>
          <w:p w14:paraId="5BB9C462" w14:textId="77777777" w:rsidR="00C21029" w:rsidRPr="00B434A6" w:rsidRDefault="00C21029" w:rsidP="00B434A6">
            <w:pPr>
              <w:jc w:val="center"/>
              <w:rPr>
                <w:b/>
                <w:bCs/>
                <w:sz w:val="20"/>
                <w:szCs w:val="20"/>
              </w:rPr>
            </w:pPr>
            <w:r w:rsidRPr="00B434A6">
              <w:rPr>
                <w:b/>
                <w:bCs/>
                <w:sz w:val="20"/>
                <w:szCs w:val="20"/>
              </w:rPr>
              <w:t>REGION</w:t>
            </w:r>
          </w:p>
        </w:tc>
        <w:tc>
          <w:tcPr>
            <w:tcW w:w="1633" w:type="pct"/>
            <w:shd w:val="clear" w:color="auto" w:fill="auto"/>
            <w:noWrap/>
            <w:hideMark/>
          </w:tcPr>
          <w:p w14:paraId="00AFBC2C" w14:textId="77777777" w:rsidR="00C21029" w:rsidRPr="00B434A6" w:rsidRDefault="00C21029" w:rsidP="00D12C6F">
            <w:pPr>
              <w:spacing w:before="120" w:beforeAutospacing="1" w:after="0"/>
              <w:jc w:val="center"/>
              <w:rPr>
                <w:rFonts w:cs="Cambria"/>
                <w:b/>
                <w:color w:val="212121"/>
                <w:sz w:val="20"/>
                <w:szCs w:val="20"/>
              </w:rPr>
            </w:pPr>
            <w:r w:rsidRPr="00B434A6">
              <w:rPr>
                <w:rFonts w:cs="Cambria"/>
                <w:b/>
                <w:color w:val="212121"/>
                <w:sz w:val="20"/>
                <w:szCs w:val="20"/>
              </w:rPr>
              <w:t>CENTRE DE PRISE EN CHARGE</w:t>
            </w:r>
          </w:p>
        </w:tc>
        <w:tc>
          <w:tcPr>
            <w:tcW w:w="697" w:type="pct"/>
            <w:shd w:val="clear" w:color="auto" w:fill="auto"/>
            <w:noWrap/>
            <w:hideMark/>
          </w:tcPr>
          <w:p w14:paraId="70D28BEB" w14:textId="77777777" w:rsidR="00C21029" w:rsidRPr="00B434A6" w:rsidRDefault="00C21029" w:rsidP="00D12C6F">
            <w:pPr>
              <w:spacing w:before="120" w:beforeAutospacing="1" w:after="0"/>
              <w:jc w:val="center"/>
              <w:rPr>
                <w:rFonts w:cs="Cambria"/>
                <w:b/>
                <w:color w:val="212121"/>
                <w:sz w:val="20"/>
                <w:szCs w:val="20"/>
              </w:rPr>
            </w:pPr>
            <w:r w:rsidRPr="00B434A6">
              <w:rPr>
                <w:rFonts w:cs="Cambria"/>
                <w:b/>
                <w:color w:val="212121"/>
                <w:sz w:val="20"/>
                <w:szCs w:val="20"/>
              </w:rPr>
              <w:t>CONTACT</w:t>
            </w:r>
          </w:p>
        </w:tc>
        <w:tc>
          <w:tcPr>
            <w:tcW w:w="1506" w:type="pct"/>
            <w:shd w:val="clear" w:color="auto" w:fill="auto"/>
            <w:hideMark/>
          </w:tcPr>
          <w:p w14:paraId="584EAF75" w14:textId="77777777" w:rsidR="00C21029" w:rsidRPr="00B434A6" w:rsidRDefault="00C21029" w:rsidP="00D12C6F">
            <w:pPr>
              <w:spacing w:before="120" w:beforeAutospacing="1" w:after="0"/>
              <w:jc w:val="center"/>
              <w:rPr>
                <w:rFonts w:cs="Cambria"/>
                <w:b/>
                <w:color w:val="212121"/>
                <w:sz w:val="20"/>
                <w:szCs w:val="20"/>
              </w:rPr>
            </w:pPr>
            <w:r w:rsidRPr="00B434A6">
              <w:rPr>
                <w:rFonts w:cs="Cambria"/>
                <w:b/>
                <w:color w:val="212121"/>
                <w:sz w:val="20"/>
                <w:szCs w:val="20"/>
              </w:rPr>
              <w:t>LOCALISATION</w:t>
            </w:r>
          </w:p>
        </w:tc>
      </w:tr>
      <w:tr w:rsidR="00C21029" w:rsidRPr="007F78CE" w14:paraId="4E24D4F5" w14:textId="77777777" w:rsidTr="00D12C6F">
        <w:trPr>
          <w:trHeight w:val="290"/>
        </w:trPr>
        <w:tc>
          <w:tcPr>
            <w:tcW w:w="1164" w:type="pct"/>
            <w:vMerge w:val="restart"/>
            <w:shd w:val="clear" w:color="auto" w:fill="auto"/>
            <w:noWrap/>
            <w:hideMark/>
          </w:tcPr>
          <w:p w14:paraId="74B2CDC2" w14:textId="77777777" w:rsidR="00C21029" w:rsidRPr="00B434A6" w:rsidRDefault="00C21029" w:rsidP="00B434A6">
            <w:pPr>
              <w:rPr>
                <w:sz w:val="20"/>
                <w:szCs w:val="20"/>
              </w:rPr>
            </w:pPr>
            <w:r w:rsidRPr="00B434A6">
              <w:rPr>
                <w:sz w:val="20"/>
                <w:szCs w:val="20"/>
              </w:rPr>
              <w:t>ANALAMANGA</w:t>
            </w:r>
          </w:p>
        </w:tc>
        <w:tc>
          <w:tcPr>
            <w:tcW w:w="3836" w:type="pct"/>
            <w:gridSpan w:val="3"/>
            <w:shd w:val="clear" w:color="auto" w:fill="auto"/>
            <w:noWrap/>
            <w:hideMark/>
          </w:tcPr>
          <w:p w14:paraId="0A8C9460" w14:textId="77777777" w:rsidR="00C21029" w:rsidRPr="00466BFF" w:rsidRDefault="00C21029" w:rsidP="00013FF5">
            <w:pPr>
              <w:rPr>
                <w:rFonts w:cs="Calibri"/>
                <w:sz w:val="20"/>
                <w:szCs w:val="20"/>
              </w:rPr>
            </w:pPr>
            <w:bookmarkStart w:id="2742" w:name="_Toc124957022"/>
            <w:r w:rsidRPr="00466BFF">
              <w:rPr>
                <w:rFonts w:cs="Calibri"/>
                <w:sz w:val="20"/>
                <w:szCs w:val="20"/>
              </w:rPr>
              <w:t>ADDH/ONG</w:t>
            </w:r>
            <w:bookmarkEnd w:id="2742"/>
          </w:p>
        </w:tc>
      </w:tr>
      <w:tr w:rsidR="00C21029" w:rsidRPr="007F78CE" w14:paraId="1A83CAF4" w14:textId="77777777" w:rsidTr="00D12C6F">
        <w:trPr>
          <w:trHeight w:val="290"/>
        </w:trPr>
        <w:tc>
          <w:tcPr>
            <w:tcW w:w="1164" w:type="pct"/>
            <w:vMerge/>
            <w:shd w:val="clear" w:color="auto" w:fill="auto"/>
            <w:hideMark/>
          </w:tcPr>
          <w:p w14:paraId="760A89AD" w14:textId="77777777" w:rsidR="00C21029" w:rsidRPr="00B434A6" w:rsidRDefault="00C21029" w:rsidP="00B434A6">
            <w:pPr>
              <w:rPr>
                <w:sz w:val="20"/>
                <w:szCs w:val="20"/>
              </w:rPr>
            </w:pPr>
          </w:p>
        </w:tc>
        <w:tc>
          <w:tcPr>
            <w:tcW w:w="1633" w:type="pct"/>
            <w:shd w:val="clear" w:color="auto" w:fill="auto"/>
            <w:noWrap/>
            <w:hideMark/>
          </w:tcPr>
          <w:p w14:paraId="0D50A76A" w14:textId="77777777" w:rsidR="00C21029" w:rsidRPr="00466BFF" w:rsidRDefault="00C21029" w:rsidP="00013FF5">
            <w:pPr>
              <w:rPr>
                <w:rFonts w:cs="Calibri"/>
                <w:sz w:val="20"/>
                <w:szCs w:val="20"/>
              </w:rPr>
            </w:pPr>
            <w:bookmarkStart w:id="2743" w:name="_Toc124957023"/>
            <w:r w:rsidRPr="00466BFF">
              <w:rPr>
                <w:rFonts w:cs="Calibri"/>
                <w:sz w:val="20"/>
                <w:szCs w:val="20"/>
              </w:rPr>
              <w:t>ENDA OI</w:t>
            </w:r>
            <w:bookmarkEnd w:id="2743"/>
          </w:p>
        </w:tc>
        <w:tc>
          <w:tcPr>
            <w:tcW w:w="697" w:type="pct"/>
            <w:shd w:val="clear" w:color="auto" w:fill="auto"/>
            <w:noWrap/>
            <w:hideMark/>
          </w:tcPr>
          <w:p w14:paraId="6A3340D5" w14:textId="77777777" w:rsidR="00C21029" w:rsidRPr="00466BFF" w:rsidRDefault="00C21029" w:rsidP="00013FF5">
            <w:pPr>
              <w:rPr>
                <w:rFonts w:cs="Calibri"/>
                <w:sz w:val="20"/>
                <w:szCs w:val="20"/>
              </w:rPr>
            </w:pPr>
            <w:bookmarkStart w:id="2744" w:name="_Toc124957024"/>
            <w:r w:rsidRPr="00466BFF">
              <w:rPr>
                <w:rFonts w:cs="Calibri"/>
                <w:sz w:val="20"/>
                <w:szCs w:val="20"/>
              </w:rPr>
              <w:t>0202226164</w:t>
            </w:r>
            <w:bookmarkEnd w:id="2744"/>
          </w:p>
        </w:tc>
        <w:tc>
          <w:tcPr>
            <w:tcW w:w="1506" w:type="pct"/>
            <w:shd w:val="clear" w:color="auto" w:fill="auto"/>
            <w:hideMark/>
          </w:tcPr>
          <w:p w14:paraId="4B4B157A" w14:textId="77777777" w:rsidR="00C21029" w:rsidRPr="00466BFF" w:rsidRDefault="00C21029" w:rsidP="00013FF5">
            <w:pPr>
              <w:rPr>
                <w:rFonts w:cs="Calibri"/>
                <w:sz w:val="20"/>
                <w:szCs w:val="20"/>
              </w:rPr>
            </w:pPr>
            <w:bookmarkStart w:id="2745" w:name="_Toc124957025"/>
            <w:r w:rsidRPr="00466BFF">
              <w:rPr>
                <w:rFonts w:cs="Calibri"/>
                <w:sz w:val="20"/>
                <w:szCs w:val="20"/>
              </w:rPr>
              <w:t>Antananarivo ville</w:t>
            </w:r>
            <w:bookmarkEnd w:id="2745"/>
          </w:p>
        </w:tc>
      </w:tr>
      <w:tr w:rsidR="00C21029" w:rsidRPr="007F78CE" w14:paraId="2512EC3C" w14:textId="77777777" w:rsidTr="00D12C6F">
        <w:trPr>
          <w:trHeight w:val="870"/>
        </w:trPr>
        <w:tc>
          <w:tcPr>
            <w:tcW w:w="1164" w:type="pct"/>
            <w:vMerge/>
            <w:shd w:val="clear" w:color="auto" w:fill="auto"/>
            <w:hideMark/>
          </w:tcPr>
          <w:p w14:paraId="4D0DC01E" w14:textId="77777777" w:rsidR="00C21029" w:rsidRPr="00B434A6" w:rsidRDefault="00C21029" w:rsidP="00B434A6">
            <w:pPr>
              <w:rPr>
                <w:sz w:val="20"/>
                <w:szCs w:val="20"/>
              </w:rPr>
            </w:pPr>
          </w:p>
        </w:tc>
        <w:tc>
          <w:tcPr>
            <w:tcW w:w="1633" w:type="pct"/>
            <w:shd w:val="clear" w:color="auto" w:fill="auto"/>
            <w:noWrap/>
            <w:hideMark/>
          </w:tcPr>
          <w:p w14:paraId="239011B2" w14:textId="77777777" w:rsidR="00C21029" w:rsidRPr="00466BFF" w:rsidRDefault="00C21029" w:rsidP="00013FF5">
            <w:pPr>
              <w:rPr>
                <w:rFonts w:cs="Calibri"/>
                <w:sz w:val="20"/>
                <w:szCs w:val="20"/>
              </w:rPr>
            </w:pPr>
            <w:bookmarkStart w:id="2746" w:name="_Toc124957026"/>
            <w:r w:rsidRPr="00466BFF">
              <w:rPr>
                <w:rFonts w:cs="Calibri"/>
                <w:sz w:val="20"/>
                <w:szCs w:val="20"/>
              </w:rPr>
              <w:t>ASA</w:t>
            </w:r>
            <w:bookmarkEnd w:id="2746"/>
          </w:p>
        </w:tc>
        <w:tc>
          <w:tcPr>
            <w:tcW w:w="697" w:type="pct"/>
            <w:shd w:val="clear" w:color="auto" w:fill="auto"/>
            <w:noWrap/>
            <w:hideMark/>
          </w:tcPr>
          <w:p w14:paraId="6903A87D" w14:textId="77777777" w:rsidR="00C21029" w:rsidRPr="00466BFF" w:rsidRDefault="00C21029" w:rsidP="00013FF5">
            <w:pPr>
              <w:rPr>
                <w:rFonts w:cs="Calibri"/>
                <w:sz w:val="20"/>
                <w:szCs w:val="20"/>
              </w:rPr>
            </w:pPr>
            <w:bookmarkStart w:id="2747" w:name="_Toc124957027"/>
            <w:r w:rsidRPr="00466BFF">
              <w:rPr>
                <w:rFonts w:cs="Calibri"/>
                <w:sz w:val="20"/>
                <w:szCs w:val="20"/>
              </w:rPr>
              <w:t>0202240346</w:t>
            </w:r>
            <w:bookmarkEnd w:id="2747"/>
          </w:p>
        </w:tc>
        <w:tc>
          <w:tcPr>
            <w:tcW w:w="1506" w:type="pct"/>
            <w:shd w:val="clear" w:color="auto" w:fill="auto"/>
            <w:hideMark/>
          </w:tcPr>
          <w:p w14:paraId="4C63A08C" w14:textId="77777777" w:rsidR="00C21029" w:rsidRPr="00466BFF" w:rsidRDefault="00C21029" w:rsidP="00013FF5">
            <w:pPr>
              <w:rPr>
                <w:rFonts w:cs="Calibri"/>
                <w:sz w:val="20"/>
                <w:szCs w:val="20"/>
              </w:rPr>
            </w:pPr>
            <w:bookmarkStart w:id="2748" w:name="_Toc124957028"/>
            <w:r w:rsidRPr="00466BFF">
              <w:rPr>
                <w:rFonts w:cs="Calibri"/>
                <w:sz w:val="20"/>
                <w:szCs w:val="20"/>
              </w:rPr>
              <w:t>rue VVS Carrefour Andrainarivo Antananarivo ville</w:t>
            </w:r>
            <w:bookmarkEnd w:id="2748"/>
          </w:p>
        </w:tc>
      </w:tr>
      <w:tr w:rsidR="00C21029" w:rsidRPr="007F78CE" w14:paraId="6B226A70" w14:textId="77777777" w:rsidTr="00D12C6F">
        <w:trPr>
          <w:trHeight w:val="580"/>
        </w:trPr>
        <w:tc>
          <w:tcPr>
            <w:tcW w:w="1164" w:type="pct"/>
            <w:vMerge/>
            <w:shd w:val="clear" w:color="auto" w:fill="auto"/>
            <w:hideMark/>
          </w:tcPr>
          <w:p w14:paraId="61FD7750" w14:textId="77777777" w:rsidR="00C21029" w:rsidRPr="00B434A6" w:rsidRDefault="00C21029" w:rsidP="00B434A6">
            <w:pPr>
              <w:rPr>
                <w:sz w:val="20"/>
                <w:szCs w:val="20"/>
              </w:rPr>
            </w:pPr>
          </w:p>
        </w:tc>
        <w:tc>
          <w:tcPr>
            <w:tcW w:w="1633" w:type="pct"/>
            <w:shd w:val="clear" w:color="auto" w:fill="auto"/>
            <w:noWrap/>
            <w:hideMark/>
          </w:tcPr>
          <w:p w14:paraId="53D716C5" w14:textId="77777777" w:rsidR="00C21029" w:rsidRPr="00466BFF" w:rsidRDefault="00C21029" w:rsidP="00013FF5">
            <w:pPr>
              <w:rPr>
                <w:rFonts w:cs="Calibri"/>
                <w:sz w:val="20"/>
                <w:szCs w:val="20"/>
              </w:rPr>
            </w:pPr>
            <w:bookmarkStart w:id="2749" w:name="_Toc124957029"/>
            <w:r w:rsidRPr="00466BFF">
              <w:rPr>
                <w:rFonts w:cs="Calibri"/>
                <w:sz w:val="20"/>
                <w:szCs w:val="20"/>
              </w:rPr>
              <w:t>Life Giving Water</w:t>
            </w:r>
            <w:bookmarkEnd w:id="2749"/>
          </w:p>
        </w:tc>
        <w:tc>
          <w:tcPr>
            <w:tcW w:w="697" w:type="pct"/>
            <w:shd w:val="clear" w:color="auto" w:fill="auto"/>
            <w:noWrap/>
            <w:hideMark/>
          </w:tcPr>
          <w:p w14:paraId="7D91742E" w14:textId="77777777" w:rsidR="00C21029" w:rsidRPr="00466BFF" w:rsidRDefault="00C21029" w:rsidP="00013FF5">
            <w:pPr>
              <w:rPr>
                <w:rFonts w:cs="Calibri"/>
                <w:sz w:val="20"/>
                <w:szCs w:val="20"/>
              </w:rPr>
            </w:pPr>
            <w:bookmarkStart w:id="2750" w:name="_Toc124957030"/>
            <w:r w:rsidRPr="00466BFF">
              <w:rPr>
                <w:rFonts w:cs="Calibri"/>
                <w:sz w:val="20"/>
                <w:szCs w:val="20"/>
              </w:rPr>
              <w:t>0202436976</w:t>
            </w:r>
            <w:bookmarkEnd w:id="2750"/>
          </w:p>
        </w:tc>
        <w:tc>
          <w:tcPr>
            <w:tcW w:w="1506" w:type="pct"/>
            <w:shd w:val="clear" w:color="auto" w:fill="auto"/>
            <w:hideMark/>
          </w:tcPr>
          <w:p w14:paraId="50230923" w14:textId="77777777" w:rsidR="00C21029" w:rsidRPr="00466BFF" w:rsidRDefault="00C21029" w:rsidP="00013FF5">
            <w:pPr>
              <w:rPr>
                <w:rFonts w:cs="Calibri"/>
                <w:sz w:val="20"/>
                <w:szCs w:val="20"/>
              </w:rPr>
            </w:pPr>
            <w:bookmarkStart w:id="2751" w:name="_Toc124957031"/>
            <w:r w:rsidRPr="00466BFF">
              <w:rPr>
                <w:rFonts w:cs="Calibri"/>
                <w:sz w:val="20"/>
                <w:szCs w:val="20"/>
              </w:rPr>
              <w:t>IVH 51 A Ambodimita Antananarivo ville</w:t>
            </w:r>
            <w:bookmarkEnd w:id="2751"/>
          </w:p>
        </w:tc>
      </w:tr>
      <w:tr w:rsidR="00C21029" w:rsidRPr="007F78CE" w14:paraId="18B82D86" w14:textId="77777777" w:rsidTr="00D12C6F">
        <w:trPr>
          <w:trHeight w:val="580"/>
        </w:trPr>
        <w:tc>
          <w:tcPr>
            <w:tcW w:w="1164" w:type="pct"/>
            <w:vMerge/>
            <w:shd w:val="clear" w:color="auto" w:fill="auto"/>
            <w:hideMark/>
          </w:tcPr>
          <w:p w14:paraId="225A4C04" w14:textId="77777777" w:rsidR="00C21029" w:rsidRPr="00B434A6" w:rsidRDefault="00C21029" w:rsidP="00B434A6">
            <w:pPr>
              <w:rPr>
                <w:sz w:val="20"/>
                <w:szCs w:val="20"/>
              </w:rPr>
            </w:pPr>
          </w:p>
        </w:tc>
        <w:tc>
          <w:tcPr>
            <w:tcW w:w="1633" w:type="pct"/>
            <w:shd w:val="clear" w:color="auto" w:fill="auto"/>
            <w:noWrap/>
            <w:hideMark/>
          </w:tcPr>
          <w:p w14:paraId="7D22FCB5" w14:textId="77777777" w:rsidR="00C21029" w:rsidRPr="00466BFF" w:rsidRDefault="00C21029" w:rsidP="00013FF5">
            <w:pPr>
              <w:rPr>
                <w:rFonts w:cs="Calibri"/>
                <w:sz w:val="20"/>
                <w:szCs w:val="20"/>
              </w:rPr>
            </w:pPr>
            <w:bookmarkStart w:id="2752" w:name="_Toc124957032"/>
            <w:r w:rsidRPr="00466BFF">
              <w:rPr>
                <w:rFonts w:cs="Calibri"/>
                <w:sz w:val="20"/>
                <w:szCs w:val="20"/>
              </w:rPr>
              <w:t>Grandir Dignement</w:t>
            </w:r>
            <w:bookmarkEnd w:id="2752"/>
          </w:p>
        </w:tc>
        <w:tc>
          <w:tcPr>
            <w:tcW w:w="697" w:type="pct"/>
            <w:shd w:val="clear" w:color="auto" w:fill="auto"/>
            <w:noWrap/>
            <w:hideMark/>
          </w:tcPr>
          <w:p w14:paraId="4245A1FE" w14:textId="77777777" w:rsidR="00C21029" w:rsidRPr="00466BFF" w:rsidRDefault="00C21029" w:rsidP="00013FF5">
            <w:pPr>
              <w:rPr>
                <w:rFonts w:cs="Calibri"/>
                <w:sz w:val="20"/>
                <w:szCs w:val="20"/>
              </w:rPr>
            </w:pPr>
            <w:bookmarkStart w:id="2753" w:name="_Toc124957033"/>
            <w:r w:rsidRPr="00466BFF">
              <w:rPr>
                <w:rFonts w:cs="Calibri"/>
                <w:sz w:val="20"/>
                <w:szCs w:val="20"/>
              </w:rPr>
              <w:t>0349899197</w:t>
            </w:r>
            <w:bookmarkEnd w:id="2753"/>
          </w:p>
        </w:tc>
        <w:tc>
          <w:tcPr>
            <w:tcW w:w="1506" w:type="pct"/>
            <w:shd w:val="clear" w:color="auto" w:fill="auto"/>
            <w:hideMark/>
          </w:tcPr>
          <w:p w14:paraId="04645908" w14:textId="77777777" w:rsidR="00C21029" w:rsidRPr="00466BFF" w:rsidRDefault="00C21029" w:rsidP="00013FF5">
            <w:pPr>
              <w:rPr>
                <w:rFonts w:cs="Calibri"/>
                <w:sz w:val="20"/>
                <w:szCs w:val="20"/>
              </w:rPr>
            </w:pPr>
            <w:bookmarkStart w:id="2754" w:name="_Toc124957034"/>
            <w:r w:rsidRPr="00466BFF">
              <w:rPr>
                <w:rFonts w:cs="Calibri"/>
                <w:sz w:val="20"/>
                <w:szCs w:val="20"/>
              </w:rPr>
              <w:t>IVA 4 Ampandrana Antananarivo ville</w:t>
            </w:r>
            <w:bookmarkEnd w:id="2754"/>
          </w:p>
        </w:tc>
      </w:tr>
      <w:tr w:rsidR="00C21029" w:rsidRPr="007F78CE" w14:paraId="783C8D09" w14:textId="77777777" w:rsidTr="00D12C6F">
        <w:trPr>
          <w:trHeight w:val="870"/>
        </w:trPr>
        <w:tc>
          <w:tcPr>
            <w:tcW w:w="1164" w:type="pct"/>
            <w:vMerge/>
            <w:shd w:val="clear" w:color="auto" w:fill="auto"/>
            <w:hideMark/>
          </w:tcPr>
          <w:p w14:paraId="6CB72832" w14:textId="77777777" w:rsidR="00C21029" w:rsidRPr="00B434A6" w:rsidRDefault="00C21029" w:rsidP="00B434A6">
            <w:pPr>
              <w:rPr>
                <w:sz w:val="20"/>
                <w:szCs w:val="20"/>
              </w:rPr>
            </w:pPr>
          </w:p>
        </w:tc>
        <w:tc>
          <w:tcPr>
            <w:tcW w:w="1633" w:type="pct"/>
            <w:shd w:val="clear" w:color="auto" w:fill="auto"/>
            <w:noWrap/>
            <w:hideMark/>
          </w:tcPr>
          <w:p w14:paraId="498E010C" w14:textId="77777777" w:rsidR="00C21029" w:rsidRPr="00466BFF" w:rsidRDefault="00C21029" w:rsidP="00013FF5">
            <w:pPr>
              <w:rPr>
                <w:rFonts w:cs="Calibri"/>
                <w:sz w:val="20"/>
                <w:szCs w:val="20"/>
              </w:rPr>
            </w:pPr>
            <w:bookmarkStart w:id="2755" w:name="_Toc124957035"/>
            <w:r w:rsidRPr="00466BFF">
              <w:rPr>
                <w:rFonts w:cs="Calibri"/>
                <w:sz w:val="20"/>
                <w:szCs w:val="20"/>
              </w:rPr>
              <w:t>ManaoDE</w:t>
            </w:r>
            <w:bookmarkEnd w:id="2755"/>
          </w:p>
        </w:tc>
        <w:tc>
          <w:tcPr>
            <w:tcW w:w="697" w:type="pct"/>
            <w:shd w:val="clear" w:color="auto" w:fill="auto"/>
            <w:noWrap/>
            <w:hideMark/>
          </w:tcPr>
          <w:p w14:paraId="67CAFF00" w14:textId="77777777" w:rsidR="00C21029" w:rsidRPr="00466BFF" w:rsidRDefault="00C21029" w:rsidP="00013FF5">
            <w:pPr>
              <w:rPr>
                <w:rFonts w:cs="Calibri"/>
                <w:sz w:val="20"/>
                <w:szCs w:val="20"/>
              </w:rPr>
            </w:pPr>
            <w:bookmarkStart w:id="2756" w:name="_Toc124957036"/>
            <w:r w:rsidRPr="00466BFF">
              <w:rPr>
                <w:rFonts w:cs="Calibri"/>
                <w:sz w:val="20"/>
                <w:szCs w:val="20"/>
              </w:rPr>
              <w:t>0331228621</w:t>
            </w:r>
            <w:bookmarkEnd w:id="2756"/>
          </w:p>
        </w:tc>
        <w:tc>
          <w:tcPr>
            <w:tcW w:w="1506" w:type="pct"/>
            <w:shd w:val="clear" w:color="auto" w:fill="auto"/>
            <w:hideMark/>
          </w:tcPr>
          <w:p w14:paraId="71A59470" w14:textId="77777777" w:rsidR="00C21029" w:rsidRPr="00466BFF" w:rsidRDefault="00C21029" w:rsidP="00013FF5">
            <w:pPr>
              <w:rPr>
                <w:rFonts w:cs="Calibri"/>
                <w:sz w:val="20"/>
                <w:szCs w:val="20"/>
              </w:rPr>
            </w:pPr>
            <w:bookmarkStart w:id="2757" w:name="_Toc124957037"/>
            <w:r w:rsidRPr="00466BFF">
              <w:rPr>
                <w:rFonts w:cs="Calibri"/>
                <w:sz w:val="20"/>
                <w:szCs w:val="20"/>
              </w:rPr>
              <w:t>IVH 93 ter Mandialaza Andravoahangy Antananarivo ville</w:t>
            </w:r>
            <w:bookmarkEnd w:id="2757"/>
          </w:p>
        </w:tc>
      </w:tr>
      <w:tr w:rsidR="00C21029" w:rsidRPr="00160FB0" w14:paraId="66938177" w14:textId="77777777" w:rsidTr="00D12C6F">
        <w:trPr>
          <w:trHeight w:val="593"/>
        </w:trPr>
        <w:tc>
          <w:tcPr>
            <w:tcW w:w="1164" w:type="pct"/>
            <w:vMerge/>
            <w:shd w:val="clear" w:color="auto" w:fill="auto"/>
            <w:hideMark/>
          </w:tcPr>
          <w:p w14:paraId="45FB9851" w14:textId="77777777" w:rsidR="00C21029" w:rsidRPr="00B434A6" w:rsidRDefault="00C21029" w:rsidP="00B434A6">
            <w:pPr>
              <w:rPr>
                <w:sz w:val="20"/>
                <w:szCs w:val="20"/>
              </w:rPr>
            </w:pPr>
          </w:p>
        </w:tc>
        <w:tc>
          <w:tcPr>
            <w:tcW w:w="1633" w:type="pct"/>
            <w:shd w:val="clear" w:color="auto" w:fill="auto"/>
            <w:noWrap/>
            <w:hideMark/>
          </w:tcPr>
          <w:p w14:paraId="600F339D" w14:textId="77777777" w:rsidR="00C21029" w:rsidRPr="00466BFF" w:rsidRDefault="00C21029" w:rsidP="00013FF5">
            <w:pPr>
              <w:rPr>
                <w:rFonts w:cs="Calibri"/>
                <w:sz w:val="20"/>
                <w:szCs w:val="20"/>
              </w:rPr>
            </w:pPr>
            <w:bookmarkStart w:id="2758" w:name="_Toc124957038"/>
            <w:r w:rsidRPr="00466BFF">
              <w:rPr>
                <w:rFonts w:cs="Calibri"/>
                <w:sz w:val="20"/>
                <w:szCs w:val="20"/>
              </w:rPr>
              <w:t>NRJ</w:t>
            </w:r>
            <w:bookmarkEnd w:id="2758"/>
          </w:p>
        </w:tc>
        <w:tc>
          <w:tcPr>
            <w:tcW w:w="697" w:type="pct"/>
            <w:shd w:val="clear" w:color="auto" w:fill="auto"/>
            <w:noWrap/>
            <w:hideMark/>
          </w:tcPr>
          <w:p w14:paraId="423C0638" w14:textId="77777777" w:rsidR="00C21029" w:rsidRPr="00466BFF" w:rsidRDefault="00C21029" w:rsidP="00013FF5">
            <w:pPr>
              <w:rPr>
                <w:rFonts w:cs="Calibri"/>
                <w:sz w:val="20"/>
                <w:szCs w:val="20"/>
              </w:rPr>
            </w:pPr>
            <w:bookmarkStart w:id="2759" w:name="_Toc124957039"/>
            <w:r w:rsidRPr="00466BFF">
              <w:rPr>
                <w:rFonts w:cs="Calibri"/>
                <w:sz w:val="20"/>
                <w:szCs w:val="20"/>
              </w:rPr>
              <w:t>0348726855</w:t>
            </w:r>
            <w:bookmarkEnd w:id="2759"/>
          </w:p>
        </w:tc>
        <w:tc>
          <w:tcPr>
            <w:tcW w:w="1506" w:type="pct"/>
            <w:shd w:val="clear" w:color="auto" w:fill="auto"/>
            <w:hideMark/>
          </w:tcPr>
          <w:p w14:paraId="13C779AC" w14:textId="77777777" w:rsidR="00C21029" w:rsidRPr="00466BFF" w:rsidRDefault="00C21029" w:rsidP="00013FF5">
            <w:pPr>
              <w:rPr>
                <w:rFonts w:cs="Calibri"/>
                <w:sz w:val="20"/>
                <w:szCs w:val="20"/>
                <w:lang w:val="en-US"/>
              </w:rPr>
            </w:pPr>
            <w:bookmarkStart w:id="2760" w:name="_Toc124957040"/>
            <w:r w:rsidRPr="00466BFF">
              <w:rPr>
                <w:rFonts w:cs="Calibri"/>
                <w:sz w:val="20"/>
                <w:szCs w:val="20"/>
                <w:lang w:val="en-US"/>
              </w:rPr>
              <w:t>III k 30 H Anjezika I Andavamamba Antananarivo ville</w:t>
            </w:r>
            <w:bookmarkEnd w:id="2760"/>
          </w:p>
        </w:tc>
      </w:tr>
      <w:tr w:rsidR="00C21029" w:rsidRPr="007F78CE" w14:paraId="5534E4A3" w14:textId="77777777" w:rsidTr="00D12C6F">
        <w:trPr>
          <w:trHeight w:val="611"/>
        </w:trPr>
        <w:tc>
          <w:tcPr>
            <w:tcW w:w="1164" w:type="pct"/>
            <w:vMerge/>
            <w:shd w:val="clear" w:color="auto" w:fill="auto"/>
            <w:hideMark/>
          </w:tcPr>
          <w:p w14:paraId="43DAA518" w14:textId="77777777" w:rsidR="00C21029" w:rsidRPr="00B434A6" w:rsidRDefault="00C21029" w:rsidP="00B434A6">
            <w:pPr>
              <w:rPr>
                <w:sz w:val="20"/>
                <w:szCs w:val="20"/>
                <w:lang w:val="en-US"/>
              </w:rPr>
            </w:pPr>
          </w:p>
        </w:tc>
        <w:tc>
          <w:tcPr>
            <w:tcW w:w="1633" w:type="pct"/>
            <w:shd w:val="clear" w:color="auto" w:fill="auto"/>
            <w:noWrap/>
            <w:hideMark/>
          </w:tcPr>
          <w:p w14:paraId="35FC7504" w14:textId="77777777" w:rsidR="00C21029" w:rsidRPr="00466BFF" w:rsidRDefault="00C21029" w:rsidP="00013FF5">
            <w:pPr>
              <w:rPr>
                <w:rFonts w:cs="Calibri"/>
                <w:sz w:val="20"/>
                <w:szCs w:val="20"/>
              </w:rPr>
            </w:pPr>
            <w:bookmarkStart w:id="2761" w:name="_Toc124957041"/>
            <w:r w:rsidRPr="00466BFF">
              <w:rPr>
                <w:rFonts w:cs="Calibri"/>
                <w:sz w:val="20"/>
                <w:szCs w:val="20"/>
              </w:rPr>
              <w:t>SOS Village d'Enfants</w:t>
            </w:r>
            <w:bookmarkEnd w:id="2761"/>
          </w:p>
        </w:tc>
        <w:tc>
          <w:tcPr>
            <w:tcW w:w="697" w:type="pct"/>
            <w:shd w:val="clear" w:color="auto" w:fill="auto"/>
            <w:noWrap/>
            <w:hideMark/>
          </w:tcPr>
          <w:p w14:paraId="3121F87D" w14:textId="77777777" w:rsidR="00C21029" w:rsidRPr="00466BFF" w:rsidRDefault="00C21029" w:rsidP="00013FF5">
            <w:pPr>
              <w:rPr>
                <w:rFonts w:cs="Calibri"/>
                <w:sz w:val="20"/>
                <w:szCs w:val="20"/>
              </w:rPr>
            </w:pPr>
            <w:r w:rsidRPr="00466BFF">
              <w:rPr>
                <w:rFonts w:cs="Calibri"/>
                <w:sz w:val="20"/>
                <w:szCs w:val="20"/>
              </w:rPr>
              <w:t> </w:t>
            </w:r>
          </w:p>
        </w:tc>
        <w:tc>
          <w:tcPr>
            <w:tcW w:w="1506" w:type="pct"/>
            <w:shd w:val="clear" w:color="auto" w:fill="auto"/>
            <w:hideMark/>
          </w:tcPr>
          <w:p w14:paraId="7F46ABAC" w14:textId="77777777" w:rsidR="00C21029" w:rsidRPr="00466BFF" w:rsidRDefault="00C21029" w:rsidP="00013FF5">
            <w:pPr>
              <w:rPr>
                <w:rFonts w:cs="Calibri"/>
                <w:sz w:val="20"/>
                <w:szCs w:val="20"/>
              </w:rPr>
            </w:pPr>
            <w:bookmarkStart w:id="2762" w:name="_Toc124957042"/>
            <w:r w:rsidRPr="00466BFF">
              <w:rPr>
                <w:rFonts w:cs="Calibri"/>
                <w:sz w:val="20"/>
                <w:szCs w:val="20"/>
              </w:rPr>
              <w:t>Vontovorona Antananarivo Atsimondrano</w:t>
            </w:r>
            <w:bookmarkEnd w:id="2762"/>
          </w:p>
        </w:tc>
      </w:tr>
      <w:tr w:rsidR="00C21029" w:rsidRPr="007F78CE" w14:paraId="76AB079E" w14:textId="77777777" w:rsidTr="00D12C6F">
        <w:trPr>
          <w:trHeight w:val="290"/>
        </w:trPr>
        <w:tc>
          <w:tcPr>
            <w:tcW w:w="1164" w:type="pct"/>
            <w:vMerge/>
            <w:shd w:val="clear" w:color="auto" w:fill="auto"/>
            <w:hideMark/>
          </w:tcPr>
          <w:p w14:paraId="6934247E" w14:textId="77777777" w:rsidR="00C21029" w:rsidRPr="00B434A6" w:rsidRDefault="00C21029" w:rsidP="00B434A6">
            <w:pPr>
              <w:rPr>
                <w:sz w:val="20"/>
                <w:szCs w:val="20"/>
              </w:rPr>
            </w:pPr>
          </w:p>
        </w:tc>
        <w:tc>
          <w:tcPr>
            <w:tcW w:w="1633" w:type="pct"/>
            <w:shd w:val="clear" w:color="auto" w:fill="auto"/>
            <w:noWrap/>
            <w:hideMark/>
          </w:tcPr>
          <w:p w14:paraId="1068E977" w14:textId="77777777" w:rsidR="00C21029" w:rsidRPr="00466BFF" w:rsidRDefault="00C21029" w:rsidP="00013FF5">
            <w:pPr>
              <w:rPr>
                <w:rFonts w:cs="Calibri"/>
                <w:sz w:val="20"/>
                <w:szCs w:val="20"/>
              </w:rPr>
            </w:pPr>
            <w:bookmarkStart w:id="2763" w:name="_Toc124957043"/>
            <w:r w:rsidRPr="00466BFF">
              <w:rPr>
                <w:rFonts w:cs="Calibri"/>
                <w:sz w:val="20"/>
                <w:szCs w:val="20"/>
              </w:rPr>
              <w:t>Ecpat France Madagascar</w:t>
            </w:r>
            <w:bookmarkEnd w:id="2763"/>
          </w:p>
        </w:tc>
        <w:tc>
          <w:tcPr>
            <w:tcW w:w="697" w:type="pct"/>
            <w:shd w:val="clear" w:color="auto" w:fill="auto"/>
            <w:noWrap/>
            <w:hideMark/>
          </w:tcPr>
          <w:p w14:paraId="23D13F17" w14:textId="77777777" w:rsidR="00C21029" w:rsidRPr="00466BFF" w:rsidRDefault="00C21029" w:rsidP="00013FF5">
            <w:pPr>
              <w:rPr>
                <w:rFonts w:cs="Calibri"/>
                <w:sz w:val="20"/>
                <w:szCs w:val="20"/>
              </w:rPr>
            </w:pPr>
            <w:bookmarkStart w:id="2764" w:name="_Toc124957044"/>
            <w:r w:rsidRPr="00466BFF">
              <w:rPr>
                <w:rFonts w:cs="Calibri"/>
                <w:sz w:val="20"/>
                <w:szCs w:val="20"/>
              </w:rPr>
              <w:t>0346295313</w:t>
            </w:r>
            <w:bookmarkEnd w:id="2764"/>
          </w:p>
        </w:tc>
        <w:tc>
          <w:tcPr>
            <w:tcW w:w="1506" w:type="pct"/>
            <w:shd w:val="clear" w:color="auto" w:fill="auto"/>
            <w:hideMark/>
          </w:tcPr>
          <w:p w14:paraId="2D6E2C6C" w14:textId="77777777" w:rsidR="00C21029" w:rsidRPr="00466BFF" w:rsidRDefault="00C21029" w:rsidP="00013FF5">
            <w:pPr>
              <w:rPr>
                <w:rFonts w:cs="Calibri"/>
                <w:sz w:val="20"/>
                <w:szCs w:val="20"/>
              </w:rPr>
            </w:pPr>
            <w:bookmarkStart w:id="2765" w:name="_Toc124957045"/>
            <w:r w:rsidRPr="00466BFF">
              <w:rPr>
                <w:rFonts w:cs="Calibri"/>
                <w:sz w:val="20"/>
                <w:szCs w:val="20"/>
              </w:rPr>
              <w:t>Ambaranjana</w:t>
            </w:r>
            <w:bookmarkEnd w:id="2765"/>
          </w:p>
        </w:tc>
      </w:tr>
      <w:tr w:rsidR="00C21029" w:rsidRPr="007F78CE" w14:paraId="34E87E6A" w14:textId="77777777" w:rsidTr="00D12C6F">
        <w:trPr>
          <w:trHeight w:val="290"/>
        </w:trPr>
        <w:tc>
          <w:tcPr>
            <w:tcW w:w="1164" w:type="pct"/>
            <w:vMerge w:val="restart"/>
            <w:shd w:val="clear" w:color="auto" w:fill="auto"/>
            <w:noWrap/>
            <w:hideMark/>
          </w:tcPr>
          <w:p w14:paraId="1A50372E" w14:textId="77777777" w:rsidR="00C21029" w:rsidRPr="00B434A6" w:rsidRDefault="00C21029" w:rsidP="00B434A6">
            <w:pPr>
              <w:rPr>
                <w:sz w:val="20"/>
                <w:szCs w:val="20"/>
              </w:rPr>
            </w:pPr>
            <w:bookmarkStart w:id="2766" w:name="_Toc124957046"/>
            <w:r w:rsidRPr="00B434A6">
              <w:rPr>
                <w:sz w:val="20"/>
                <w:szCs w:val="20"/>
              </w:rPr>
              <w:t>VAKINAKARATRA</w:t>
            </w:r>
            <w:bookmarkEnd w:id="2766"/>
          </w:p>
        </w:tc>
        <w:tc>
          <w:tcPr>
            <w:tcW w:w="1633" w:type="pct"/>
            <w:shd w:val="clear" w:color="auto" w:fill="auto"/>
            <w:noWrap/>
            <w:hideMark/>
          </w:tcPr>
          <w:p w14:paraId="1261A014" w14:textId="77777777" w:rsidR="00C21029" w:rsidRPr="00466BFF" w:rsidRDefault="00C21029" w:rsidP="00013FF5">
            <w:pPr>
              <w:rPr>
                <w:rFonts w:cs="Calibri"/>
                <w:sz w:val="20"/>
                <w:szCs w:val="20"/>
              </w:rPr>
            </w:pPr>
            <w:bookmarkStart w:id="2767" w:name="_Toc124957047"/>
            <w:r w:rsidRPr="00466BFF">
              <w:rPr>
                <w:rFonts w:cs="Calibri"/>
                <w:sz w:val="20"/>
                <w:szCs w:val="20"/>
              </w:rPr>
              <w:t>ADDH/ONG</w:t>
            </w:r>
            <w:bookmarkEnd w:id="2767"/>
          </w:p>
        </w:tc>
        <w:tc>
          <w:tcPr>
            <w:tcW w:w="697" w:type="pct"/>
            <w:shd w:val="clear" w:color="auto" w:fill="auto"/>
            <w:noWrap/>
            <w:hideMark/>
          </w:tcPr>
          <w:p w14:paraId="4646D3DD" w14:textId="77777777" w:rsidR="00C21029" w:rsidRPr="00466BFF" w:rsidRDefault="00C21029" w:rsidP="00013FF5">
            <w:pPr>
              <w:rPr>
                <w:rFonts w:cs="Calibri"/>
                <w:sz w:val="20"/>
                <w:szCs w:val="20"/>
              </w:rPr>
            </w:pPr>
            <w:r w:rsidRPr="00466BFF">
              <w:rPr>
                <w:rFonts w:cs="Calibri"/>
                <w:sz w:val="20"/>
                <w:szCs w:val="20"/>
              </w:rPr>
              <w:t> </w:t>
            </w:r>
          </w:p>
        </w:tc>
        <w:tc>
          <w:tcPr>
            <w:tcW w:w="1506" w:type="pct"/>
            <w:shd w:val="clear" w:color="auto" w:fill="auto"/>
            <w:noWrap/>
            <w:hideMark/>
          </w:tcPr>
          <w:p w14:paraId="263AB2C2" w14:textId="77777777" w:rsidR="00C21029" w:rsidRPr="00466BFF" w:rsidRDefault="00C21029" w:rsidP="00013FF5">
            <w:pPr>
              <w:rPr>
                <w:rFonts w:cs="Calibri"/>
                <w:sz w:val="20"/>
                <w:szCs w:val="20"/>
              </w:rPr>
            </w:pPr>
            <w:r w:rsidRPr="00466BFF">
              <w:rPr>
                <w:rFonts w:cs="Calibri"/>
                <w:sz w:val="20"/>
                <w:szCs w:val="20"/>
              </w:rPr>
              <w:t> </w:t>
            </w:r>
          </w:p>
        </w:tc>
      </w:tr>
      <w:tr w:rsidR="00C21029" w:rsidRPr="007F78CE" w14:paraId="2BB33AD7" w14:textId="77777777" w:rsidTr="00D12C6F">
        <w:trPr>
          <w:trHeight w:val="290"/>
        </w:trPr>
        <w:tc>
          <w:tcPr>
            <w:tcW w:w="1164" w:type="pct"/>
            <w:vMerge/>
            <w:shd w:val="clear" w:color="auto" w:fill="auto"/>
            <w:hideMark/>
          </w:tcPr>
          <w:p w14:paraId="56467C5A" w14:textId="77777777" w:rsidR="00C21029" w:rsidRPr="00B434A6" w:rsidRDefault="00C21029" w:rsidP="00B434A6">
            <w:pPr>
              <w:rPr>
                <w:sz w:val="20"/>
                <w:szCs w:val="20"/>
              </w:rPr>
            </w:pPr>
          </w:p>
        </w:tc>
        <w:tc>
          <w:tcPr>
            <w:tcW w:w="1633" w:type="pct"/>
            <w:shd w:val="clear" w:color="auto" w:fill="auto"/>
            <w:noWrap/>
            <w:hideMark/>
          </w:tcPr>
          <w:p w14:paraId="691D6C59" w14:textId="77777777" w:rsidR="00C21029" w:rsidRPr="00466BFF" w:rsidRDefault="00C21029" w:rsidP="00013FF5">
            <w:pPr>
              <w:rPr>
                <w:rFonts w:cs="Calibri"/>
                <w:sz w:val="20"/>
                <w:szCs w:val="20"/>
              </w:rPr>
            </w:pPr>
            <w:bookmarkStart w:id="2768" w:name="_Toc124957048"/>
            <w:r w:rsidRPr="00466BFF">
              <w:rPr>
                <w:rFonts w:cs="Calibri"/>
                <w:sz w:val="20"/>
                <w:szCs w:val="20"/>
              </w:rPr>
              <w:t>SOS Village d'Enfants</w:t>
            </w:r>
            <w:bookmarkEnd w:id="2768"/>
          </w:p>
        </w:tc>
        <w:tc>
          <w:tcPr>
            <w:tcW w:w="697" w:type="pct"/>
            <w:shd w:val="clear" w:color="auto" w:fill="auto"/>
            <w:noWrap/>
            <w:hideMark/>
          </w:tcPr>
          <w:p w14:paraId="28D28280" w14:textId="77777777" w:rsidR="00C21029" w:rsidRPr="00466BFF" w:rsidRDefault="00C21029" w:rsidP="00013FF5">
            <w:pPr>
              <w:rPr>
                <w:rFonts w:cs="Calibri"/>
                <w:sz w:val="20"/>
                <w:szCs w:val="20"/>
              </w:rPr>
            </w:pPr>
            <w:r w:rsidRPr="00466BFF">
              <w:rPr>
                <w:rFonts w:cs="Calibri"/>
                <w:sz w:val="20"/>
                <w:szCs w:val="20"/>
              </w:rPr>
              <w:t> </w:t>
            </w:r>
          </w:p>
        </w:tc>
        <w:tc>
          <w:tcPr>
            <w:tcW w:w="1506" w:type="pct"/>
            <w:shd w:val="clear" w:color="auto" w:fill="auto"/>
            <w:hideMark/>
          </w:tcPr>
          <w:p w14:paraId="2EE53F1E" w14:textId="77777777" w:rsidR="00C21029" w:rsidRPr="00466BFF" w:rsidRDefault="00C21029" w:rsidP="00013FF5">
            <w:pPr>
              <w:rPr>
                <w:rFonts w:cs="Calibri"/>
                <w:sz w:val="20"/>
                <w:szCs w:val="20"/>
              </w:rPr>
            </w:pPr>
            <w:bookmarkStart w:id="2769" w:name="_Toc124957049"/>
            <w:r w:rsidRPr="00466BFF">
              <w:rPr>
                <w:rFonts w:cs="Calibri"/>
                <w:sz w:val="20"/>
                <w:szCs w:val="20"/>
              </w:rPr>
              <w:t>Ivohitra Antsirabe ville</w:t>
            </w:r>
            <w:bookmarkEnd w:id="2769"/>
          </w:p>
        </w:tc>
      </w:tr>
      <w:tr w:rsidR="00C21029" w:rsidRPr="007F78CE" w14:paraId="288C4BDC" w14:textId="77777777" w:rsidTr="00D12C6F">
        <w:trPr>
          <w:trHeight w:val="290"/>
        </w:trPr>
        <w:tc>
          <w:tcPr>
            <w:tcW w:w="1164" w:type="pct"/>
            <w:vMerge w:val="restart"/>
            <w:shd w:val="clear" w:color="auto" w:fill="auto"/>
            <w:noWrap/>
            <w:hideMark/>
          </w:tcPr>
          <w:p w14:paraId="15E514E3" w14:textId="77777777" w:rsidR="00C21029" w:rsidRPr="00B434A6" w:rsidRDefault="00C21029" w:rsidP="00B434A6">
            <w:pPr>
              <w:rPr>
                <w:sz w:val="20"/>
                <w:szCs w:val="20"/>
              </w:rPr>
            </w:pPr>
            <w:bookmarkStart w:id="2770" w:name="_Toc124957050"/>
            <w:r w:rsidRPr="00B434A6">
              <w:rPr>
                <w:sz w:val="20"/>
                <w:szCs w:val="20"/>
              </w:rPr>
              <w:t>BOENY</w:t>
            </w:r>
            <w:bookmarkEnd w:id="2770"/>
          </w:p>
        </w:tc>
        <w:tc>
          <w:tcPr>
            <w:tcW w:w="3836" w:type="pct"/>
            <w:gridSpan w:val="3"/>
            <w:shd w:val="clear" w:color="auto" w:fill="auto"/>
            <w:noWrap/>
            <w:hideMark/>
          </w:tcPr>
          <w:p w14:paraId="105F0695" w14:textId="77777777" w:rsidR="00C21029" w:rsidRPr="00466BFF" w:rsidRDefault="00C21029" w:rsidP="00013FF5">
            <w:pPr>
              <w:rPr>
                <w:rFonts w:cs="Calibri"/>
                <w:sz w:val="20"/>
                <w:szCs w:val="20"/>
              </w:rPr>
            </w:pPr>
            <w:bookmarkStart w:id="2771" w:name="_Toc124957051"/>
            <w:r w:rsidRPr="00466BFF">
              <w:rPr>
                <w:rFonts w:cs="Calibri"/>
                <w:sz w:val="20"/>
                <w:szCs w:val="20"/>
              </w:rPr>
              <w:t>ADDH/ONG</w:t>
            </w:r>
            <w:bookmarkEnd w:id="2771"/>
          </w:p>
        </w:tc>
      </w:tr>
      <w:tr w:rsidR="00C21029" w:rsidRPr="007F78CE" w14:paraId="278508B7" w14:textId="77777777" w:rsidTr="00D12C6F">
        <w:trPr>
          <w:trHeight w:val="290"/>
        </w:trPr>
        <w:tc>
          <w:tcPr>
            <w:tcW w:w="1164" w:type="pct"/>
            <w:vMerge/>
            <w:shd w:val="clear" w:color="auto" w:fill="auto"/>
            <w:hideMark/>
          </w:tcPr>
          <w:p w14:paraId="29470693" w14:textId="77777777" w:rsidR="00C21029" w:rsidRPr="00B434A6" w:rsidRDefault="00C21029" w:rsidP="00B434A6">
            <w:pPr>
              <w:rPr>
                <w:sz w:val="20"/>
                <w:szCs w:val="20"/>
              </w:rPr>
            </w:pPr>
          </w:p>
        </w:tc>
        <w:tc>
          <w:tcPr>
            <w:tcW w:w="1633" w:type="pct"/>
            <w:shd w:val="clear" w:color="auto" w:fill="auto"/>
            <w:noWrap/>
            <w:hideMark/>
          </w:tcPr>
          <w:p w14:paraId="24D3EC1A" w14:textId="77777777" w:rsidR="00C21029" w:rsidRPr="00466BFF" w:rsidRDefault="00C21029" w:rsidP="00013FF5">
            <w:pPr>
              <w:rPr>
                <w:rFonts w:cs="Calibri"/>
                <w:sz w:val="20"/>
                <w:szCs w:val="20"/>
              </w:rPr>
            </w:pPr>
            <w:bookmarkStart w:id="2772" w:name="_Toc124957052"/>
            <w:r w:rsidRPr="00466BFF">
              <w:rPr>
                <w:rFonts w:cs="Calibri"/>
                <w:sz w:val="20"/>
                <w:szCs w:val="20"/>
              </w:rPr>
              <w:t>SOS Village d'Enfants</w:t>
            </w:r>
            <w:bookmarkEnd w:id="2772"/>
          </w:p>
        </w:tc>
        <w:tc>
          <w:tcPr>
            <w:tcW w:w="697" w:type="pct"/>
            <w:shd w:val="clear" w:color="auto" w:fill="auto"/>
            <w:noWrap/>
            <w:hideMark/>
          </w:tcPr>
          <w:p w14:paraId="71156BD9" w14:textId="77777777" w:rsidR="00C21029" w:rsidRPr="00466BFF" w:rsidRDefault="00C21029" w:rsidP="00013FF5">
            <w:pPr>
              <w:rPr>
                <w:rFonts w:cs="Calibri"/>
                <w:sz w:val="20"/>
                <w:szCs w:val="20"/>
              </w:rPr>
            </w:pPr>
            <w:bookmarkStart w:id="2773" w:name="_Toc124957053"/>
            <w:r w:rsidRPr="00466BFF">
              <w:rPr>
                <w:rFonts w:cs="Calibri"/>
                <w:sz w:val="20"/>
                <w:szCs w:val="20"/>
              </w:rPr>
              <w:t>0320570145</w:t>
            </w:r>
            <w:bookmarkEnd w:id="2773"/>
          </w:p>
        </w:tc>
        <w:tc>
          <w:tcPr>
            <w:tcW w:w="1506" w:type="pct"/>
            <w:shd w:val="clear" w:color="auto" w:fill="auto"/>
            <w:hideMark/>
          </w:tcPr>
          <w:p w14:paraId="5DD74BD5" w14:textId="77777777" w:rsidR="00C21029" w:rsidRPr="00466BFF" w:rsidRDefault="00C21029" w:rsidP="00013FF5">
            <w:pPr>
              <w:rPr>
                <w:rFonts w:cs="Calibri"/>
                <w:sz w:val="20"/>
                <w:szCs w:val="20"/>
              </w:rPr>
            </w:pPr>
            <w:bookmarkStart w:id="2774" w:name="_Toc124957054"/>
            <w:r w:rsidRPr="00466BFF">
              <w:rPr>
                <w:rFonts w:cs="Calibri"/>
                <w:sz w:val="20"/>
                <w:szCs w:val="20"/>
              </w:rPr>
              <w:t xml:space="preserve">Tsararano </w:t>
            </w:r>
            <w:r w:rsidR="007A05FA" w:rsidRPr="00466BFF">
              <w:rPr>
                <w:rFonts w:cs="Calibri"/>
                <w:sz w:val="20"/>
                <w:szCs w:val="20"/>
              </w:rPr>
              <w:t xml:space="preserve">Mahajanga </w:t>
            </w:r>
            <w:r w:rsidRPr="00466BFF">
              <w:rPr>
                <w:rFonts w:cs="Calibri"/>
                <w:sz w:val="20"/>
                <w:szCs w:val="20"/>
              </w:rPr>
              <w:t>I</w:t>
            </w:r>
            <w:bookmarkEnd w:id="2774"/>
          </w:p>
        </w:tc>
      </w:tr>
      <w:tr w:rsidR="00C21029" w:rsidRPr="007F78CE" w14:paraId="30A1AB3C" w14:textId="77777777" w:rsidTr="00D12C6F">
        <w:trPr>
          <w:trHeight w:val="290"/>
        </w:trPr>
        <w:tc>
          <w:tcPr>
            <w:tcW w:w="1164" w:type="pct"/>
            <w:vMerge/>
            <w:shd w:val="clear" w:color="auto" w:fill="auto"/>
            <w:hideMark/>
          </w:tcPr>
          <w:p w14:paraId="35AC2242" w14:textId="77777777" w:rsidR="00C21029" w:rsidRPr="00B434A6" w:rsidRDefault="00C21029" w:rsidP="00B434A6">
            <w:pPr>
              <w:rPr>
                <w:sz w:val="20"/>
                <w:szCs w:val="20"/>
              </w:rPr>
            </w:pPr>
          </w:p>
        </w:tc>
        <w:tc>
          <w:tcPr>
            <w:tcW w:w="1633" w:type="pct"/>
            <w:shd w:val="clear" w:color="auto" w:fill="auto"/>
            <w:noWrap/>
            <w:hideMark/>
          </w:tcPr>
          <w:p w14:paraId="27AB0649" w14:textId="77777777" w:rsidR="00C21029" w:rsidRPr="00466BFF" w:rsidRDefault="00C21029" w:rsidP="00013FF5">
            <w:pPr>
              <w:rPr>
                <w:rFonts w:cs="Calibri"/>
                <w:sz w:val="20"/>
                <w:szCs w:val="20"/>
              </w:rPr>
            </w:pPr>
            <w:bookmarkStart w:id="2775" w:name="_Toc124957055"/>
            <w:r w:rsidRPr="00466BFF">
              <w:rPr>
                <w:rFonts w:cs="Calibri"/>
                <w:sz w:val="20"/>
                <w:szCs w:val="20"/>
              </w:rPr>
              <w:t>ENDA OI</w:t>
            </w:r>
            <w:bookmarkEnd w:id="2775"/>
          </w:p>
        </w:tc>
        <w:tc>
          <w:tcPr>
            <w:tcW w:w="697" w:type="pct"/>
            <w:shd w:val="clear" w:color="auto" w:fill="auto"/>
            <w:noWrap/>
            <w:hideMark/>
          </w:tcPr>
          <w:p w14:paraId="671CDCDC" w14:textId="77777777" w:rsidR="00C21029" w:rsidRPr="00466BFF" w:rsidRDefault="00C21029" w:rsidP="00013FF5">
            <w:pPr>
              <w:rPr>
                <w:rFonts w:cs="Calibri"/>
                <w:sz w:val="20"/>
                <w:szCs w:val="20"/>
              </w:rPr>
            </w:pPr>
            <w:bookmarkStart w:id="2776" w:name="_Toc124957056"/>
            <w:r w:rsidRPr="00466BFF">
              <w:rPr>
                <w:rFonts w:cs="Calibri"/>
                <w:sz w:val="20"/>
                <w:szCs w:val="20"/>
              </w:rPr>
              <w:t>0340515869</w:t>
            </w:r>
            <w:bookmarkEnd w:id="2776"/>
          </w:p>
        </w:tc>
        <w:tc>
          <w:tcPr>
            <w:tcW w:w="1506" w:type="pct"/>
            <w:shd w:val="clear" w:color="auto" w:fill="auto"/>
            <w:hideMark/>
          </w:tcPr>
          <w:p w14:paraId="5951C28E" w14:textId="77777777" w:rsidR="00C21029" w:rsidRPr="00466BFF" w:rsidRDefault="00C21029" w:rsidP="00013FF5">
            <w:pPr>
              <w:rPr>
                <w:rFonts w:cs="Calibri"/>
                <w:sz w:val="20"/>
                <w:szCs w:val="20"/>
              </w:rPr>
            </w:pPr>
            <w:bookmarkStart w:id="2777" w:name="_Toc124957057"/>
            <w:r w:rsidRPr="00466BFF">
              <w:rPr>
                <w:rFonts w:cs="Calibri"/>
                <w:sz w:val="20"/>
                <w:szCs w:val="20"/>
              </w:rPr>
              <w:t>La voirie</w:t>
            </w:r>
            <w:r w:rsidR="006D5F22" w:rsidRPr="00466BFF">
              <w:rPr>
                <w:rFonts w:cs="Calibri"/>
                <w:sz w:val="20"/>
                <w:szCs w:val="20"/>
              </w:rPr>
              <w:t xml:space="preserve"> </w:t>
            </w:r>
            <w:r w:rsidR="007A05FA" w:rsidRPr="00466BFF">
              <w:rPr>
                <w:rFonts w:cs="Calibri"/>
                <w:sz w:val="20"/>
                <w:szCs w:val="20"/>
              </w:rPr>
              <w:t xml:space="preserve">Mahajanga </w:t>
            </w:r>
            <w:r w:rsidRPr="00466BFF">
              <w:rPr>
                <w:rFonts w:cs="Calibri"/>
                <w:sz w:val="20"/>
                <w:szCs w:val="20"/>
              </w:rPr>
              <w:t>I</w:t>
            </w:r>
            <w:bookmarkEnd w:id="2777"/>
          </w:p>
        </w:tc>
      </w:tr>
      <w:tr w:rsidR="00C21029" w:rsidRPr="007F78CE" w14:paraId="0E7C0A54" w14:textId="77777777" w:rsidTr="00D12C6F">
        <w:trPr>
          <w:trHeight w:val="580"/>
        </w:trPr>
        <w:tc>
          <w:tcPr>
            <w:tcW w:w="1164" w:type="pct"/>
            <w:vMerge/>
            <w:shd w:val="clear" w:color="auto" w:fill="auto"/>
            <w:hideMark/>
          </w:tcPr>
          <w:p w14:paraId="4532FAFB" w14:textId="77777777" w:rsidR="00C21029" w:rsidRPr="00B434A6" w:rsidRDefault="00C21029" w:rsidP="00B434A6">
            <w:pPr>
              <w:rPr>
                <w:sz w:val="20"/>
                <w:szCs w:val="20"/>
              </w:rPr>
            </w:pPr>
          </w:p>
        </w:tc>
        <w:tc>
          <w:tcPr>
            <w:tcW w:w="1633" w:type="pct"/>
            <w:shd w:val="clear" w:color="auto" w:fill="auto"/>
            <w:noWrap/>
            <w:hideMark/>
          </w:tcPr>
          <w:p w14:paraId="4FD35563" w14:textId="77777777" w:rsidR="00C21029" w:rsidRPr="00466BFF" w:rsidRDefault="00C21029" w:rsidP="00013FF5">
            <w:pPr>
              <w:rPr>
                <w:rFonts w:cs="Calibri"/>
                <w:sz w:val="20"/>
                <w:szCs w:val="20"/>
              </w:rPr>
            </w:pPr>
            <w:bookmarkStart w:id="2778" w:name="_Toc124957058"/>
            <w:r w:rsidRPr="00466BFF">
              <w:rPr>
                <w:rFonts w:cs="Calibri"/>
                <w:sz w:val="20"/>
                <w:szCs w:val="20"/>
              </w:rPr>
              <w:t>Tsiky</w:t>
            </w:r>
            <w:bookmarkEnd w:id="2778"/>
          </w:p>
        </w:tc>
        <w:tc>
          <w:tcPr>
            <w:tcW w:w="697" w:type="pct"/>
            <w:shd w:val="clear" w:color="auto" w:fill="auto"/>
            <w:noWrap/>
            <w:hideMark/>
          </w:tcPr>
          <w:p w14:paraId="797F8782" w14:textId="77777777" w:rsidR="00C21029" w:rsidRPr="00466BFF" w:rsidRDefault="00C21029" w:rsidP="00013FF5">
            <w:pPr>
              <w:rPr>
                <w:rFonts w:cs="Calibri"/>
                <w:sz w:val="20"/>
                <w:szCs w:val="20"/>
              </w:rPr>
            </w:pPr>
            <w:bookmarkStart w:id="2779" w:name="_Toc124957059"/>
            <w:r w:rsidRPr="00466BFF">
              <w:rPr>
                <w:rFonts w:cs="Calibri"/>
                <w:sz w:val="20"/>
                <w:szCs w:val="20"/>
              </w:rPr>
              <w:t>0324044220</w:t>
            </w:r>
            <w:bookmarkEnd w:id="2779"/>
          </w:p>
        </w:tc>
        <w:tc>
          <w:tcPr>
            <w:tcW w:w="1506" w:type="pct"/>
            <w:shd w:val="clear" w:color="auto" w:fill="auto"/>
            <w:hideMark/>
          </w:tcPr>
          <w:p w14:paraId="2C7E908C" w14:textId="77777777" w:rsidR="00C21029" w:rsidRPr="00466BFF" w:rsidRDefault="00C21029" w:rsidP="00013FF5">
            <w:pPr>
              <w:rPr>
                <w:rFonts w:cs="Calibri"/>
                <w:sz w:val="20"/>
                <w:szCs w:val="20"/>
              </w:rPr>
            </w:pPr>
            <w:bookmarkStart w:id="2780" w:name="_Toc124957060"/>
            <w:r w:rsidRPr="00466BFF">
              <w:rPr>
                <w:rFonts w:cs="Calibri"/>
                <w:sz w:val="20"/>
                <w:szCs w:val="20"/>
              </w:rPr>
              <w:t xml:space="preserve">Face Jeanne d'Arc Mangarivotra </w:t>
            </w:r>
            <w:r w:rsidR="007A05FA" w:rsidRPr="00466BFF">
              <w:rPr>
                <w:rFonts w:cs="Calibri"/>
                <w:sz w:val="20"/>
                <w:szCs w:val="20"/>
              </w:rPr>
              <w:t xml:space="preserve">Mahajanga </w:t>
            </w:r>
            <w:r w:rsidRPr="00466BFF">
              <w:rPr>
                <w:rFonts w:cs="Calibri"/>
                <w:sz w:val="20"/>
                <w:szCs w:val="20"/>
              </w:rPr>
              <w:t>I</w:t>
            </w:r>
            <w:bookmarkEnd w:id="2780"/>
          </w:p>
        </w:tc>
      </w:tr>
      <w:tr w:rsidR="00C21029" w:rsidRPr="007F78CE" w14:paraId="494B63A7" w14:textId="77777777" w:rsidTr="00D12C6F">
        <w:trPr>
          <w:trHeight w:val="580"/>
        </w:trPr>
        <w:tc>
          <w:tcPr>
            <w:tcW w:w="1164" w:type="pct"/>
            <w:vMerge/>
            <w:shd w:val="clear" w:color="auto" w:fill="auto"/>
            <w:hideMark/>
          </w:tcPr>
          <w:p w14:paraId="47A4E639" w14:textId="77777777" w:rsidR="00C21029" w:rsidRPr="00B434A6" w:rsidRDefault="00C21029" w:rsidP="00B434A6">
            <w:pPr>
              <w:rPr>
                <w:sz w:val="20"/>
                <w:szCs w:val="20"/>
              </w:rPr>
            </w:pPr>
          </w:p>
        </w:tc>
        <w:tc>
          <w:tcPr>
            <w:tcW w:w="1633" w:type="pct"/>
            <w:shd w:val="clear" w:color="auto" w:fill="auto"/>
            <w:noWrap/>
            <w:hideMark/>
          </w:tcPr>
          <w:p w14:paraId="1C20EAE8" w14:textId="77777777" w:rsidR="00C21029" w:rsidRPr="00466BFF" w:rsidRDefault="00C21029" w:rsidP="00013FF5">
            <w:pPr>
              <w:rPr>
                <w:rFonts w:cs="Calibri"/>
                <w:sz w:val="20"/>
                <w:szCs w:val="20"/>
              </w:rPr>
            </w:pPr>
            <w:bookmarkStart w:id="2781" w:name="_Toc124957061"/>
            <w:r w:rsidRPr="00466BFF">
              <w:rPr>
                <w:rFonts w:cs="Calibri"/>
                <w:sz w:val="20"/>
                <w:szCs w:val="20"/>
              </w:rPr>
              <w:t>FIBEMIZO</w:t>
            </w:r>
            <w:bookmarkEnd w:id="2781"/>
          </w:p>
        </w:tc>
        <w:tc>
          <w:tcPr>
            <w:tcW w:w="697" w:type="pct"/>
            <w:shd w:val="clear" w:color="auto" w:fill="auto"/>
            <w:noWrap/>
            <w:hideMark/>
          </w:tcPr>
          <w:p w14:paraId="35E083B9" w14:textId="77777777" w:rsidR="00C21029" w:rsidRPr="00466BFF" w:rsidRDefault="00C21029" w:rsidP="00013FF5">
            <w:pPr>
              <w:rPr>
                <w:rFonts w:cs="Calibri"/>
                <w:sz w:val="20"/>
                <w:szCs w:val="20"/>
              </w:rPr>
            </w:pPr>
            <w:bookmarkStart w:id="2782" w:name="_Toc124957062"/>
            <w:r w:rsidRPr="00466BFF">
              <w:rPr>
                <w:rFonts w:cs="Calibri"/>
                <w:sz w:val="20"/>
                <w:szCs w:val="20"/>
              </w:rPr>
              <w:t>0338148689</w:t>
            </w:r>
            <w:bookmarkEnd w:id="2782"/>
          </w:p>
        </w:tc>
        <w:tc>
          <w:tcPr>
            <w:tcW w:w="1506" w:type="pct"/>
            <w:shd w:val="clear" w:color="auto" w:fill="auto"/>
            <w:hideMark/>
          </w:tcPr>
          <w:p w14:paraId="012A27F4" w14:textId="77777777" w:rsidR="00C21029" w:rsidRPr="00466BFF" w:rsidRDefault="007A05FA" w:rsidP="00013FF5">
            <w:pPr>
              <w:rPr>
                <w:rFonts w:cs="Calibri"/>
                <w:sz w:val="20"/>
                <w:szCs w:val="20"/>
              </w:rPr>
            </w:pPr>
            <w:bookmarkStart w:id="2783" w:name="_Toc124957063"/>
            <w:r w:rsidRPr="00466BFF">
              <w:rPr>
                <w:rFonts w:cs="Calibri"/>
                <w:sz w:val="20"/>
                <w:szCs w:val="20"/>
              </w:rPr>
              <w:t xml:space="preserve">Mahajanga </w:t>
            </w:r>
            <w:r w:rsidR="00C21029" w:rsidRPr="00466BFF">
              <w:rPr>
                <w:rFonts w:cs="Calibri"/>
                <w:sz w:val="20"/>
                <w:szCs w:val="20"/>
              </w:rPr>
              <w:t>I</w:t>
            </w:r>
            <w:bookmarkEnd w:id="2783"/>
          </w:p>
        </w:tc>
      </w:tr>
      <w:tr w:rsidR="00C21029" w:rsidRPr="007F78CE" w14:paraId="63F43801" w14:textId="77777777" w:rsidTr="00D12C6F">
        <w:trPr>
          <w:trHeight w:val="290"/>
        </w:trPr>
        <w:tc>
          <w:tcPr>
            <w:tcW w:w="1164" w:type="pct"/>
            <w:vMerge/>
            <w:shd w:val="clear" w:color="auto" w:fill="auto"/>
            <w:hideMark/>
          </w:tcPr>
          <w:p w14:paraId="6C3AD75B" w14:textId="77777777" w:rsidR="00C21029" w:rsidRPr="00B434A6" w:rsidRDefault="00C21029" w:rsidP="00B434A6">
            <w:pPr>
              <w:rPr>
                <w:sz w:val="20"/>
                <w:szCs w:val="20"/>
              </w:rPr>
            </w:pPr>
          </w:p>
        </w:tc>
        <w:tc>
          <w:tcPr>
            <w:tcW w:w="1633" w:type="pct"/>
            <w:shd w:val="clear" w:color="auto" w:fill="auto"/>
            <w:noWrap/>
            <w:hideMark/>
          </w:tcPr>
          <w:p w14:paraId="2864B39F" w14:textId="77777777" w:rsidR="00C21029" w:rsidRPr="00466BFF" w:rsidRDefault="00C21029" w:rsidP="00013FF5">
            <w:pPr>
              <w:rPr>
                <w:rFonts w:cs="Calibri"/>
                <w:sz w:val="20"/>
                <w:szCs w:val="20"/>
              </w:rPr>
            </w:pPr>
            <w:bookmarkStart w:id="2784" w:name="_Toc124957064"/>
            <w:r w:rsidRPr="00466BFF">
              <w:rPr>
                <w:rFonts w:cs="Calibri"/>
                <w:sz w:val="20"/>
                <w:szCs w:val="20"/>
              </w:rPr>
              <w:t>Tolotanana</w:t>
            </w:r>
            <w:bookmarkEnd w:id="2784"/>
          </w:p>
        </w:tc>
        <w:tc>
          <w:tcPr>
            <w:tcW w:w="697" w:type="pct"/>
            <w:shd w:val="clear" w:color="auto" w:fill="auto"/>
            <w:noWrap/>
            <w:hideMark/>
          </w:tcPr>
          <w:p w14:paraId="3A4BB474" w14:textId="77777777" w:rsidR="00C21029" w:rsidRPr="00466BFF" w:rsidRDefault="00C21029" w:rsidP="00013FF5">
            <w:pPr>
              <w:rPr>
                <w:rFonts w:cs="Calibri"/>
                <w:sz w:val="20"/>
                <w:szCs w:val="20"/>
              </w:rPr>
            </w:pPr>
            <w:bookmarkStart w:id="2785" w:name="_Toc124957065"/>
            <w:r w:rsidRPr="00466BFF">
              <w:rPr>
                <w:rFonts w:cs="Calibri"/>
                <w:sz w:val="20"/>
                <w:szCs w:val="20"/>
              </w:rPr>
              <w:t>0327006323</w:t>
            </w:r>
            <w:bookmarkEnd w:id="2785"/>
          </w:p>
        </w:tc>
        <w:tc>
          <w:tcPr>
            <w:tcW w:w="1506" w:type="pct"/>
            <w:shd w:val="clear" w:color="auto" w:fill="auto"/>
            <w:hideMark/>
          </w:tcPr>
          <w:p w14:paraId="055689E1" w14:textId="77777777" w:rsidR="00C21029" w:rsidRPr="00466BFF" w:rsidRDefault="007A05FA" w:rsidP="00013FF5">
            <w:pPr>
              <w:rPr>
                <w:rFonts w:cs="Calibri"/>
                <w:sz w:val="20"/>
                <w:szCs w:val="20"/>
              </w:rPr>
            </w:pPr>
            <w:bookmarkStart w:id="2786" w:name="_Toc124957066"/>
            <w:r w:rsidRPr="00466BFF">
              <w:rPr>
                <w:rFonts w:cs="Calibri"/>
                <w:sz w:val="20"/>
                <w:szCs w:val="20"/>
              </w:rPr>
              <w:t xml:space="preserve">Mahajanga </w:t>
            </w:r>
            <w:r w:rsidR="00C21029" w:rsidRPr="00466BFF">
              <w:rPr>
                <w:rFonts w:cs="Calibri"/>
                <w:sz w:val="20"/>
                <w:szCs w:val="20"/>
              </w:rPr>
              <w:t>I</w:t>
            </w:r>
            <w:bookmarkEnd w:id="2786"/>
          </w:p>
        </w:tc>
      </w:tr>
      <w:tr w:rsidR="00C21029" w:rsidRPr="007F78CE" w14:paraId="37F2B9C3" w14:textId="77777777" w:rsidTr="00D12C6F">
        <w:trPr>
          <w:trHeight w:val="290"/>
        </w:trPr>
        <w:tc>
          <w:tcPr>
            <w:tcW w:w="1164" w:type="pct"/>
            <w:vMerge w:val="restart"/>
            <w:shd w:val="clear" w:color="auto" w:fill="auto"/>
            <w:noWrap/>
            <w:hideMark/>
          </w:tcPr>
          <w:p w14:paraId="2B157234" w14:textId="77777777" w:rsidR="00C21029" w:rsidRPr="00B434A6" w:rsidRDefault="00C21029" w:rsidP="00B434A6">
            <w:pPr>
              <w:rPr>
                <w:sz w:val="20"/>
                <w:szCs w:val="20"/>
              </w:rPr>
            </w:pPr>
            <w:bookmarkStart w:id="2787" w:name="_Toc124957067"/>
            <w:r w:rsidRPr="00B434A6">
              <w:rPr>
                <w:sz w:val="20"/>
                <w:szCs w:val="20"/>
              </w:rPr>
              <w:t>DIANA</w:t>
            </w:r>
            <w:bookmarkEnd w:id="2787"/>
          </w:p>
        </w:tc>
        <w:tc>
          <w:tcPr>
            <w:tcW w:w="3836" w:type="pct"/>
            <w:gridSpan w:val="3"/>
            <w:shd w:val="clear" w:color="auto" w:fill="auto"/>
            <w:noWrap/>
            <w:hideMark/>
          </w:tcPr>
          <w:p w14:paraId="70CB07AF" w14:textId="77777777" w:rsidR="00C21029" w:rsidRPr="00466BFF" w:rsidRDefault="00C21029" w:rsidP="00013FF5">
            <w:pPr>
              <w:rPr>
                <w:rFonts w:cs="Calibri"/>
                <w:sz w:val="20"/>
                <w:szCs w:val="20"/>
              </w:rPr>
            </w:pPr>
            <w:bookmarkStart w:id="2788" w:name="_Toc124957068"/>
            <w:r w:rsidRPr="00466BFF">
              <w:rPr>
                <w:rFonts w:cs="Calibri"/>
                <w:sz w:val="20"/>
                <w:szCs w:val="20"/>
              </w:rPr>
              <w:t>ADDH/ONG</w:t>
            </w:r>
            <w:bookmarkEnd w:id="2788"/>
          </w:p>
        </w:tc>
      </w:tr>
      <w:tr w:rsidR="00C21029" w:rsidRPr="007F78CE" w14:paraId="01B4ADC6" w14:textId="77777777" w:rsidTr="00D12C6F">
        <w:trPr>
          <w:trHeight w:val="290"/>
        </w:trPr>
        <w:tc>
          <w:tcPr>
            <w:tcW w:w="1164" w:type="pct"/>
            <w:vMerge/>
            <w:shd w:val="clear" w:color="auto" w:fill="auto"/>
            <w:hideMark/>
          </w:tcPr>
          <w:p w14:paraId="75CD4AF9" w14:textId="77777777" w:rsidR="00C21029" w:rsidRPr="00B434A6" w:rsidRDefault="00C21029" w:rsidP="00B434A6">
            <w:pPr>
              <w:rPr>
                <w:sz w:val="20"/>
                <w:szCs w:val="20"/>
              </w:rPr>
            </w:pPr>
          </w:p>
        </w:tc>
        <w:tc>
          <w:tcPr>
            <w:tcW w:w="1633" w:type="pct"/>
            <w:shd w:val="clear" w:color="auto" w:fill="auto"/>
            <w:noWrap/>
            <w:hideMark/>
          </w:tcPr>
          <w:p w14:paraId="5FC22A31" w14:textId="77777777" w:rsidR="00C21029" w:rsidRPr="00466BFF" w:rsidRDefault="00C21029" w:rsidP="00013FF5">
            <w:pPr>
              <w:rPr>
                <w:rFonts w:cs="Calibri"/>
                <w:sz w:val="20"/>
                <w:szCs w:val="20"/>
              </w:rPr>
            </w:pPr>
            <w:bookmarkStart w:id="2789" w:name="_Toc124957069"/>
            <w:r w:rsidRPr="00466BFF">
              <w:rPr>
                <w:rFonts w:cs="Calibri"/>
                <w:sz w:val="20"/>
                <w:szCs w:val="20"/>
              </w:rPr>
              <w:t>Maison de la Sagesse</w:t>
            </w:r>
            <w:bookmarkEnd w:id="2789"/>
          </w:p>
        </w:tc>
        <w:tc>
          <w:tcPr>
            <w:tcW w:w="697" w:type="pct"/>
            <w:shd w:val="clear" w:color="auto" w:fill="auto"/>
            <w:noWrap/>
            <w:hideMark/>
          </w:tcPr>
          <w:p w14:paraId="36D97DD5" w14:textId="77777777" w:rsidR="00C21029" w:rsidRPr="00466BFF" w:rsidRDefault="00C21029" w:rsidP="00013FF5">
            <w:pPr>
              <w:rPr>
                <w:rFonts w:cs="Calibri"/>
                <w:sz w:val="20"/>
                <w:szCs w:val="20"/>
              </w:rPr>
            </w:pPr>
            <w:bookmarkStart w:id="2790" w:name="_Toc124957070"/>
            <w:r w:rsidRPr="00466BFF">
              <w:rPr>
                <w:rFonts w:cs="Calibri"/>
                <w:sz w:val="20"/>
                <w:szCs w:val="20"/>
              </w:rPr>
              <w:t>0328599968</w:t>
            </w:r>
            <w:bookmarkEnd w:id="2790"/>
          </w:p>
        </w:tc>
        <w:tc>
          <w:tcPr>
            <w:tcW w:w="1506" w:type="pct"/>
            <w:shd w:val="clear" w:color="auto" w:fill="auto"/>
            <w:hideMark/>
          </w:tcPr>
          <w:p w14:paraId="50BD1AA9" w14:textId="77777777" w:rsidR="00C21029" w:rsidRPr="00466BFF" w:rsidRDefault="007A05FA" w:rsidP="00013FF5">
            <w:pPr>
              <w:rPr>
                <w:rFonts w:cs="Calibri"/>
                <w:sz w:val="20"/>
                <w:szCs w:val="20"/>
              </w:rPr>
            </w:pPr>
            <w:bookmarkStart w:id="2791" w:name="_Toc124957071"/>
            <w:r w:rsidRPr="00466BFF">
              <w:rPr>
                <w:rFonts w:cs="Calibri"/>
                <w:sz w:val="20"/>
                <w:szCs w:val="20"/>
              </w:rPr>
              <w:t xml:space="preserve">Antsiranana </w:t>
            </w:r>
            <w:r w:rsidR="00C21029" w:rsidRPr="00466BFF">
              <w:rPr>
                <w:rFonts w:cs="Calibri"/>
                <w:sz w:val="20"/>
                <w:szCs w:val="20"/>
              </w:rPr>
              <w:t>I</w:t>
            </w:r>
            <w:bookmarkEnd w:id="2791"/>
          </w:p>
        </w:tc>
      </w:tr>
      <w:tr w:rsidR="00C21029" w:rsidRPr="007F78CE" w14:paraId="1B72AE96" w14:textId="77777777" w:rsidTr="00D12C6F">
        <w:trPr>
          <w:trHeight w:val="290"/>
        </w:trPr>
        <w:tc>
          <w:tcPr>
            <w:tcW w:w="1164" w:type="pct"/>
            <w:vMerge/>
            <w:shd w:val="clear" w:color="auto" w:fill="auto"/>
            <w:hideMark/>
          </w:tcPr>
          <w:p w14:paraId="0B7B3962" w14:textId="77777777" w:rsidR="00C21029" w:rsidRPr="00B434A6" w:rsidRDefault="00C21029" w:rsidP="00B434A6">
            <w:pPr>
              <w:rPr>
                <w:sz w:val="20"/>
                <w:szCs w:val="20"/>
              </w:rPr>
            </w:pPr>
          </w:p>
        </w:tc>
        <w:tc>
          <w:tcPr>
            <w:tcW w:w="1633" w:type="pct"/>
            <w:shd w:val="clear" w:color="auto" w:fill="auto"/>
            <w:noWrap/>
            <w:hideMark/>
          </w:tcPr>
          <w:p w14:paraId="11551DC7" w14:textId="77777777" w:rsidR="00C21029" w:rsidRPr="00466BFF" w:rsidRDefault="00C21029" w:rsidP="00013FF5">
            <w:pPr>
              <w:rPr>
                <w:rFonts w:cs="Calibri"/>
                <w:sz w:val="20"/>
                <w:szCs w:val="20"/>
              </w:rPr>
            </w:pPr>
            <w:bookmarkStart w:id="2792" w:name="_Toc124957072"/>
            <w:r w:rsidRPr="00466BFF">
              <w:rPr>
                <w:rFonts w:cs="Calibri"/>
                <w:sz w:val="20"/>
                <w:szCs w:val="20"/>
              </w:rPr>
              <w:t>Sœur Jeannine</w:t>
            </w:r>
            <w:bookmarkEnd w:id="2792"/>
          </w:p>
        </w:tc>
        <w:tc>
          <w:tcPr>
            <w:tcW w:w="697" w:type="pct"/>
            <w:shd w:val="clear" w:color="auto" w:fill="auto"/>
            <w:noWrap/>
            <w:hideMark/>
          </w:tcPr>
          <w:p w14:paraId="0964161B" w14:textId="77777777" w:rsidR="00C21029" w:rsidRPr="00466BFF" w:rsidRDefault="00C21029" w:rsidP="00013FF5">
            <w:pPr>
              <w:rPr>
                <w:rFonts w:cs="Calibri"/>
                <w:sz w:val="20"/>
                <w:szCs w:val="20"/>
              </w:rPr>
            </w:pPr>
            <w:bookmarkStart w:id="2793" w:name="_Toc124957073"/>
            <w:r w:rsidRPr="00466BFF">
              <w:rPr>
                <w:rFonts w:cs="Calibri"/>
                <w:sz w:val="20"/>
                <w:szCs w:val="20"/>
              </w:rPr>
              <w:t>0327732634</w:t>
            </w:r>
            <w:bookmarkEnd w:id="2793"/>
          </w:p>
        </w:tc>
        <w:tc>
          <w:tcPr>
            <w:tcW w:w="1506" w:type="pct"/>
            <w:shd w:val="clear" w:color="auto" w:fill="auto"/>
            <w:hideMark/>
          </w:tcPr>
          <w:p w14:paraId="5FB0C497" w14:textId="77777777" w:rsidR="00C21029" w:rsidRPr="00466BFF" w:rsidRDefault="00C21029" w:rsidP="00013FF5">
            <w:pPr>
              <w:rPr>
                <w:rFonts w:cs="Calibri"/>
                <w:sz w:val="20"/>
                <w:szCs w:val="20"/>
              </w:rPr>
            </w:pPr>
            <w:bookmarkStart w:id="2794" w:name="_Toc124957074"/>
            <w:r w:rsidRPr="00466BFF">
              <w:rPr>
                <w:rFonts w:cs="Calibri"/>
                <w:sz w:val="20"/>
                <w:szCs w:val="20"/>
              </w:rPr>
              <w:t xml:space="preserve">Grand Pavoie </w:t>
            </w:r>
            <w:r w:rsidR="007A05FA" w:rsidRPr="00466BFF">
              <w:rPr>
                <w:rFonts w:cs="Calibri"/>
                <w:sz w:val="20"/>
                <w:szCs w:val="20"/>
              </w:rPr>
              <w:t xml:space="preserve">Antsiranana </w:t>
            </w:r>
            <w:r w:rsidRPr="00466BFF">
              <w:rPr>
                <w:rFonts w:cs="Calibri"/>
                <w:sz w:val="20"/>
                <w:szCs w:val="20"/>
              </w:rPr>
              <w:t>I</w:t>
            </w:r>
            <w:bookmarkEnd w:id="2794"/>
          </w:p>
        </w:tc>
      </w:tr>
      <w:tr w:rsidR="00C21029" w:rsidRPr="00160FB0" w14:paraId="7DE497BF" w14:textId="77777777" w:rsidTr="00D12C6F">
        <w:trPr>
          <w:trHeight w:val="539"/>
        </w:trPr>
        <w:tc>
          <w:tcPr>
            <w:tcW w:w="1164" w:type="pct"/>
            <w:vMerge/>
            <w:shd w:val="clear" w:color="auto" w:fill="auto"/>
            <w:hideMark/>
          </w:tcPr>
          <w:p w14:paraId="19A0647F" w14:textId="77777777" w:rsidR="00C21029" w:rsidRPr="00B434A6" w:rsidRDefault="00C21029" w:rsidP="00B434A6">
            <w:pPr>
              <w:rPr>
                <w:sz w:val="20"/>
                <w:szCs w:val="20"/>
              </w:rPr>
            </w:pPr>
          </w:p>
        </w:tc>
        <w:tc>
          <w:tcPr>
            <w:tcW w:w="1633" w:type="pct"/>
            <w:shd w:val="clear" w:color="auto" w:fill="auto"/>
            <w:noWrap/>
            <w:hideMark/>
          </w:tcPr>
          <w:p w14:paraId="393C11DC" w14:textId="77777777" w:rsidR="00C21029" w:rsidRPr="00466BFF" w:rsidRDefault="00C21029" w:rsidP="00013FF5">
            <w:pPr>
              <w:rPr>
                <w:rFonts w:cs="Calibri"/>
                <w:sz w:val="20"/>
                <w:szCs w:val="20"/>
              </w:rPr>
            </w:pPr>
            <w:bookmarkStart w:id="2795" w:name="_Toc124957075"/>
            <w:r w:rsidRPr="00466BFF">
              <w:rPr>
                <w:rFonts w:cs="Calibri"/>
                <w:sz w:val="20"/>
                <w:szCs w:val="20"/>
              </w:rPr>
              <w:t>Ecpat France Madagascar</w:t>
            </w:r>
            <w:bookmarkEnd w:id="2795"/>
          </w:p>
        </w:tc>
        <w:tc>
          <w:tcPr>
            <w:tcW w:w="697" w:type="pct"/>
            <w:shd w:val="clear" w:color="auto" w:fill="auto"/>
            <w:noWrap/>
            <w:hideMark/>
          </w:tcPr>
          <w:p w14:paraId="508607D4" w14:textId="77777777" w:rsidR="00C21029" w:rsidRPr="00466BFF" w:rsidRDefault="00C21029" w:rsidP="00013FF5">
            <w:pPr>
              <w:rPr>
                <w:rFonts w:cs="Calibri"/>
                <w:sz w:val="20"/>
                <w:szCs w:val="20"/>
              </w:rPr>
            </w:pPr>
            <w:bookmarkStart w:id="2796" w:name="_Toc124957076"/>
            <w:r w:rsidRPr="00466BFF">
              <w:rPr>
                <w:rFonts w:cs="Calibri"/>
                <w:sz w:val="20"/>
                <w:szCs w:val="20"/>
              </w:rPr>
              <w:t>0349794020</w:t>
            </w:r>
            <w:bookmarkEnd w:id="2796"/>
          </w:p>
        </w:tc>
        <w:tc>
          <w:tcPr>
            <w:tcW w:w="1506" w:type="pct"/>
            <w:shd w:val="clear" w:color="auto" w:fill="auto"/>
            <w:hideMark/>
          </w:tcPr>
          <w:p w14:paraId="40E720DD" w14:textId="77777777" w:rsidR="00C21029" w:rsidRPr="00466BFF" w:rsidRDefault="00C21029" w:rsidP="00013FF5">
            <w:pPr>
              <w:rPr>
                <w:rFonts w:cs="Calibri"/>
                <w:sz w:val="20"/>
                <w:szCs w:val="20"/>
                <w:lang w:val="en-US"/>
              </w:rPr>
            </w:pPr>
            <w:bookmarkStart w:id="2797" w:name="_Toc124957077"/>
            <w:r w:rsidRPr="00466BFF">
              <w:rPr>
                <w:rFonts w:cs="Calibri"/>
                <w:sz w:val="20"/>
                <w:szCs w:val="20"/>
                <w:lang w:val="en-US"/>
              </w:rPr>
              <w:t>I 02 T083 Tsararano Ambonara Nosy Be</w:t>
            </w:r>
            <w:bookmarkEnd w:id="2797"/>
          </w:p>
        </w:tc>
      </w:tr>
      <w:tr w:rsidR="00C21029" w:rsidRPr="007F78CE" w14:paraId="34628315" w14:textId="77777777" w:rsidTr="00D12C6F">
        <w:trPr>
          <w:trHeight w:val="290"/>
        </w:trPr>
        <w:tc>
          <w:tcPr>
            <w:tcW w:w="1164" w:type="pct"/>
            <w:vMerge w:val="restart"/>
            <w:shd w:val="clear" w:color="auto" w:fill="auto"/>
            <w:noWrap/>
            <w:hideMark/>
          </w:tcPr>
          <w:p w14:paraId="459E75F2" w14:textId="77777777" w:rsidR="00C21029" w:rsidRPr="00B434A6" w:rsidRDefault="00C21029" w:rsidP="00B434A6">
            <w:pPr>
              <w:rPr>
                <w:sz w:val="20"/>
                <w:szCs w:val="20"/>
              </w:rPr>
            </w:pPr>
            <w:bookmarkStart w:id="2798" w:name="_Toc124957078"/>
            <w:r w:rsidRPr="00B434A6">
              <w:rPr>
                <w:sz w:val="20"/>
                <w:szCs w:val="20"/>
              </w:rPr>
              <w:t>MATSIATRA AMBONY</w:t>
            </w:r>
            <w:bookmarkEnd w:id="2798"/>
          </w:p>
        </w:tc>
        <w:tc>
          <w:tcPr>
            <w:tcW w:w="3836" w:type="pct"/>
            <w:gridSpan w:val="3"/>
            <w:shd w:val="clear" w:color="auto" w:fill="auto"/>
            <w:noWrap/>
            <w:hideMark/>
          </w:tcPr>
          <w:p w14:paraId="6B1F8C9E" w14:textId="77777777" w:rsidR="00C21029" w:rsidRPr="00466BFF" w:rsidRDefault="00C21029" w:rsidP="00013FF5">
            <w:pPr>
              <w:rPr>
                <w:rFonts w:cs="Calibri"/>
                <w:sz w:val="20"/>
                <w:szCs w:val="20"/>
              </w:rPr>
            </w:pPr>
            <w:bookmarkStart w:id="2799" w:name="_Toc124957079"/>
            <w:r w:rsidRPr="00466BFF">
              <w:rPr>
                <w:rFonts w:cs="Calibri"/>
                <w:sz w:val="20"/>
                <w:szCs w:val="20"/>
              </w:rPr>
              <w:t>ADDH/ONG</w:t>
            </w:r>
            <w:bookmarkEnd w:id="2799"/>
          </w:p>
        </w:tc>
      </w:tr>
      <w:tr w:rsidR="00C21029" w:rsidRPr="007F78CE" w14:paraId="3F8DB3B7" w14:textId="77777777" w:rsidTr="00D12C6F">
        <w:trPr>
          <w:trHeight w:val="580"/>
        </w:trPr>
        <w:tc>
          <w:tcPr>
            <w:tcW w:w="1164" w:type="pct"/>
            <w:vMerge/>
            <w:shd w:val="clear" w:color="auto" w:fill="auto"/>
            <w:hideMark/>
          </w:tcPr>
          <w:p w14:paraId="424B95DE" w14:textId="77777777" w:rsidR="00C21029" w:rsidRPr="00B434A6" w:rsidRDefault="00C21029" w:rsidP="00B434A6">
            <w:pPr>
              <w:rPr>
                <w:sz w:val="20"/>
                <w:szCs w:val="20"/>
              </w:rPr>
            </w:pPr>
          </w:p>
        </w:tc>
        <w:tc>
          <w:tcPr>
            <w:tcW w:w="1633" w:type="pct"/>
            <w:shd w:val="clear" w:color="auto" w:fill="auto"/>
            <w:noWrap/>
            <w:hideMark/>
          </w:tcPr>
          <w:p w14:paraId="68C14C4C" w14:textId="77777777" w:rsidR="00C21029" w:rsidRPr="00466BFF" w:rsidRDefault="00C21029" w:rsidP="00013FF5">
            <w:pPr>
              <w:rPr>
                <w:rFonts w:cs="Calibri"/>
                <w:sz w:val="20"/>
                <w:szCs w:val="20"/>
              </w:rPr>
            </w:pPr>
            <w:bookmarkStart w:id="2800" w:name="_Toc124957080"/>
            <w:r w:rsidRPr="00466BFF">
              <w:rPr>
                <w:rFonts w:cs="Calibri"/>
                <w:sz w:val="20"/>
                <w:szCs w:val="20"/>
              </w:rPr>
              <w:t>AFFD</w:t>
            </w:r>
            <w:bookmarkEnd w:id="2800"/>
          </w:p>
        </w:tc>
        <w:tc>
          <w:tcPr>
            <w:tcW w:w="697" w:type="pct"/>
            <w:shd w:val="clear" w:color="auto" w:fill="auto"/>
            <w:noWrap/>
            <w:hideMark/>
          </w:tcPr>
          <w:p w14:paraId="5A98F9F7" w14:textId="77777777" w:rsidR="00C21029" w:rsidRPr="00466BFF" w:rsidRDefault="00C21029" w:rsidP="00013FF5">
            <w:pPr>
              <w:rPr>
                <w:rFonts w:cs="Calibri"/>
                <w:sz w:val="20"/>
                <w:szCs w:val="20"/>
              </w:rPr>
            </w:pPr>
            <w:bookmarkStart w:id="2801" w:name="_Toc124957081"/>
            <w:r w:rsidRPr="00466BFF">
              <w:rPr>
                <w:rFonts w:cs="Calibri"/>
                <w:sz w:val="20"/>
                <w:szCs w:val="20"/>
              </w:rPr>
              <w:t>0348496503</w:t>
            </w:r>
            <w:bookmarkEnd w:id="2801"/>
          </w:p>
        </w:tc>
        <w:tc>
          <w:tcPr>
            <w:tcW w:w="1506" w:type="pct"/>
            <w:shd w:val="clear" w:color="auto" w:fill="auto"/>
            <w:hideMark/>
          </w:tcPr>
          <w:p w14:paraId="39BA6A53" w14:textId="77777777" w:rsidR="00C21029" w:rsidRPr="00466BFF" w:rsidRDefault="00C21029" w:rsidP="00013FF5">
            <w:pPr>
              <w:rPr>
                <w:rFonts w:cs="Calibri"/>
                <w:sz w:val="20"/>
                <w:szCs w:val="20"/>
              </w:rPr>
            </w:pPr>
            <w:bookmarkStart w:id="2802" w:name="_Toc124957082"/>
            <w:r w:rsidRPr="00466BFF">
              <w:rPr>
                <w:rFonts w:cs="Calibri"/>
                <w:sz w:val="20"/>
                <w:szCs w:val="20"/>
              </w:rPr>
              <w:t>Près Eglise Adventiste Ankofafa Fianarantsoa I</w:t>
            </w:r>
            <w:bookmarkEnd w:id="2802"/>
          </w:p>
        </w:tc>
      </w:tr>
      <w:tr w:rsidR="00C21029" w:rsidRPr="007F78CE" w14:paraId="58A7C078" w14:textId="77777777" w:rsidTr="00D12C6F">
        <w:trPr>
          <w:trHeight w:val="290"/>
        </w:trPr>
        <w:tc>
          <w:tcPr>
            <w:tcW w:w="1164" w:type="pct"/>
            <w:vMerge/>
            <w:shd w:val="clear" w:color="auto" w:fill="auto"/>
            <w:hideMark/>
          </w:tcPr>
          <w:p w14:paraId="3A344AD9" w14:textId="77777777" w:rsidR="00C21029" w:rsidRPr="00B434A6" w:rsidRDefault="00C21029" w:rsidP="00B434A6">
            <w:pPr>
              <w:rPr>
                <w:sz w:val="20"/>
                <w:szCs w:val="20"/>
              </w:rPr>
            </w:pPr>
          </w:p>
        </w:tc>
        <w:tc>
          <w:tcPr>
            <w:tcW w:w="1633" w:type="pct"/>
            <w:shd w:val="clear" w:color="auto" w:fill="auto"/>
            <w:noWrap/>
            <w:hideMark/>
          </w:tcPr>
          <w:p w14:paraId="032838BC" w14:textId="77777777" w:rsidR="00C21029" w:rsidRPr="00466BFF" w:rsidRDefault="00C21029" w:rsidP="00013FF5">
            <w:pPr>
              <w:rPr>
                <w:rFonts w:cs="Calibri"/>
                <w:sz w:val="20"/>
                <w:szCs w:val="20"/>
              </w:rPr>
            </w:pPr>
            <w:bookmarkStart w:id="2803" w:name="_Toc124957083"/>
            <w:r w:rsidRPr="00466BFF">
              <w:rPr>
                <w:rFonts w:cs="Calibri"/>
                <w:sz w:val="20"/>
                <w:szCs w:val="20"/>
              </w:rPr>
              <w:t>Zebuphile</w:t>
            </w:r>
            <w:bookmarkEnd w:id="2803"/>
          </w:p>
        </w:tc>
        <w:tc>
          <w:tcPr>
            <w:tcW w:w="697" w:type="pct"/>
            <w:shd w:val="clear" w:color="auto" w:fill="auto"/>
            <w:noWrap/>
            <w:hideMark/>
          </w:tcPr>
          <w:p w14:paraId="391525DE" w14:textId="77777777" w:rsidR="00C21029" w:rsidRPr="00466BFF" w:rsidRDefault="00C21029" w:rsidP="00013FF5">
            <w:pPr>
              <w:rPr>
                <w:rFonts w:cs="Calibri"/>
                <w:sz w:val="20"/>
                <w:szCs w:val="20"/>
              </w:rPr>
            </w:pPr>
            <w:bookmarkStart w:id="2804" w:name="_Toc124957084"/>
            <w:r w:rsidRPr="00466BFF">
              <w:rPr>
                <w:rFonts w:cs="Calibri"/>
                <w:sz w:val="20"/>
                <w:szCs w:val="20"/>
              </w:rPr>
              <w:t>0340396668</w:t>
            </w:r>
            <w:bookmarkEnd w:id="2804"/>
          </w:p>
        </w:tc>
        <w:tc>
          <w:tcPr>
            <w:tcW w:w="1506" w:type="pct"/>
            <w:shd w:val="clear" w:color="auto" w:fill="auto"/>
            <w:hideMark/>
          </w:tcPr>
          <w:p w14:paraId="7B5A7782" w14:textId="77777777" w:rsidR="00C21029" w:rsidRPr="00466BFF" w:rsidRDefault="00C21029" w:rsidP="00013FF5">
            <w:pPr>
              <w:rPr>
                <w:rFonts w:cs="Calibri"/>
                <w:sz w:val="20"/>
                <w:szCs w:val="20"/>
              </w:rPr>
            </w:pPr>
            <w:bookmarkStart w:id="2805" w:name="_Toc124957085"/>
            <w:r w:rsidRPr="00466BFF">
              <w:rPr>
                <w:rFonts w:cs="Calibri"/>
                <w:sz w:val="20"/>
                <w:szCs w:val="20"/>
              </w:rPr>
              <w:t>Anjoma Fianarantsoa I</w:t>
            </w:r>
            <w:bookmarkEnd w:id="2805"/>
          </w:p>
        </w:tc>
      </w:tr>
      <w:tr w:rsidR="00C21029" w:rsidRPr="007F78CE" w14:paraId="73847DAB" w14:textId="77777777" w:rsidTr="00D12C6F">
        <w:trPr>
          <w:trHeight w:val="580"/>
        </w:trPr>
        <w:tc>
          <w:tcPr>
            <w:tcW w:w="1164" w:type="pct"/>
            <w:vMerge/>
            <w:shd w:val="clear" w:color="auto" w:fill="auto"/>
            <w:hideMark/>
          </w:tcPr>
          <w:p w14:paraId="368F9A61" w14:textId="77777777" w:rsidR="00C21029" w:rsidRPr="00B434A6" w:rsidRDefault="00C21029" w:rsidP="00B434A6">
            <w:pPr>
              <w:rPr>
                <w:sz w:val="20"/>
                <w:szCs w:val="20"/>
              </w:rPr>
            </w:pPr>
          </w:p>
        </w:tc>
        <w:tc>
          <w:tcPr>
            <w:tcW w:w="1633" w:type="pct"/>
            <w:shd w:val="clear" w:color="auto" w:fill="auto"/>
            <w:noWrap/>
            <w:hideMark/>
          </w:tcPr>
          <w:p w14:paraId="3E224C76" w14:textId="77777777" w:rsidR="00C21029" w:rsidRPr="00466BFF" w:rsidRDefault="00C21029" w:rsidP="00013FF5">
            <w:pPr>
              <w:rPr>
                <w:rFonts w:cs="Calibri"/>
                <w:sz w:val="20"/>
                <w:szCs w:val="20"/>
              </w:rPr>
            </w:pPr>
            <w:bookmarkStart w:id="2806" w:name="_Toc124957086"/>
            <w:r w:rsidRPr="00466BFF">
              <w:rPr>
                <w:rFonts w:cs="Calibri"/>
                <w:sz w:val="20"/>
                <w:szCs w:val="20"/>
              </w:rPr>
              <w:t>Bel Avenir</w:t>
            </w:r>
            <w:bookmarkEnd w:id="2806"/>
          </w:p>
        </w:tc>
        <w:tc>
          <w:tcPr>
            <w:tcW w:w="697" w:type="pct"/>
            <w:shd w:val="clear" w:color="auto" w:fill="auto"/>
            <w:noWrap/>
            <w:hideMark/>
          </w:tcPr>
          <w:p w14:paraId="44DC20CF" w14:textId="77777777" w:rsidR="00C21029" w:rsidRPr="00466BFF" w:rsidRDefault="00C21029" w:rsidP="00013FF5">
            <w:pPr>
              <w:rPr>
                <w:rFonts w:cs="Calibri"/>
                <w:sz w:val="20"/>
                <w:szCs w:val="20"/>
              </w:rPr>
            </w:pPr>
            <w:bookmarkStart w:id="2807" w:name="_Toc124957087"/>
            <w:r w:rsidRPr="00466BFF">
              <w:rPr>
                <w:rFonts w:cs="Calibri"/>
                <w:sz w:val="20"/>
                <w:szCs w:val="20"/>
              </w:rPr>
              <w:t>0324041828</w:t>
            </w:r>
            <w:bookmarkEnd w:id="2807"/>
          </w:p>
        </w:tc>
        <w:tc>
          <w:tcPr>
            <w:tcW w:w="1506" w:type="pct"/>
            <w:shd w:val="clear" w:color="auto" w:fill="auto"/>
            <w:hideMark/>
          </w:tcPr>
          <w:p w14:paraId="4BE38C26" w14:textId="77777777" w:rsidR="00C21029" w:rsidRPr="00466BFF" w:rsidRDefault="00C21029" w:rsidP="00013FF5">
            <w:pPr>
              <w:rPr>
                <w:rFonts w:cs="Calibri"/>
                <w:sz w:val="20"/>
                <w:szCs w:val="20"/>
              </w:rPr>
            </w:pPr>
            <w:bookmarkStart w:id="2808" w:name="_Toc124957088"/>
            <w:r w:rsidRPr="00466BFF">
              <w:rPr>
                <w:rFonts w:cs="Calibri"/>
                <w:sz w:val="20"/>
                <w:szCs w:val="20"/>
              </w:rPr>
              <w:t>Tambohomandrevo Fianarantsoa 1</w:t>
            </w:r>
            <w:bookmarkEnd w:id="2808"/>
          </w:p>
        </w:tc>
      </w:tr>
      <w:tr w:rsidR="00C21029" w:rsidRPr="007F78CE" w14:paraId="7B5F456F" w14:textId="77777777" w:rsidTr="00D12C6F">
        <w:trPr>
          <w:trHeight w:val="290"/>
        </w:trPr>
        <w:tc>
          <w:tcPr>
            <w:tcW w:w="1164" w:type="pct"/>
            <w:vMerge w:val="restart"/>
            <w:shd w:val="clear" w:color="auto" w:fill="auto"/>
            <w:noWrap/>
            <w:hideMark/>
          </w:tcPr>
          <w:p w14:paraId="3CD61098" w14:textId="77777777" w:rsidR="00C21029" w:rsidRPr="00B434A6" w:rsidRDefault="00C21029" w:rsidP="00B434A6">
            <w:pPr>
              <w:rPr>
                <w:sz w:val="20"/>
                <w:szCs w:val="20"/>
              </w:rPr>
            </w:pPr>
            <w:bookmarkStart w:id="2809" w:name="_Toc124957089"/>
            <w:r w:rsidRPr="00B434A6">
              <w:rPr>
                <w:sz w:val="20"/>
                <w:szCs w:val="20"/>
              </w:rPr>
              <w:t>ATSIMO ANDREFANA</w:t>
            </w:r>
            <w:bookmarkEnd w:id="2809"/>
          </w:p>
        </w:tc>
        <w:tc>
          <w:tcPr>
            <w:tcW w:w="3836" w:type="pct"/>
            <w:gridSpan w:val="3"/>
            <w:shd w:val="clear" w:color="auto" w:fill="auto"/>
            <w:noWrap/>
            <w:hideMark/>
          </w:tcPr>
          <w:p w14:paraId="7B475A47" w14:textId="77777777" w:rsidR="00C21029" w:rsidRPr="00466BFF" w:rsidRDefault="00C21029" w:rsidP="00013FF5">
            <w:pPr>
              <w:rPr>
                <w:rFonts w:cs="Calibri"/>
                <w:sz w:val="20"/>
                <w:szCs w:val="20"/>
              </w:rPr>
            </w:pPr>
            <w:bookmarkStart w:id="2810" w:name="_Toc124957090"/>
            <w:r w:rsidRPr="00466BFF">
              <w:rPr>
                <w:rFonts w:cs="Calibri"/>
                <w:sz w:val="20"/>
                <w:szCs w:val="20"/>
              </w:rPr>
              <w:t>ADDH/ONG</w:t>
            </w:r>
            <w:bookmarkEnd w:id="2810"/>
          </w:p>
        </w:tc>
      </w:tr>
      <w:tr w:rsidR="00C21029" w:rsidRPr="007F78CE" w14:paraId="5A5E12B2" w14:textId="77777777" w:rsidTr="00D12C6F">
        <w:trPr>
          <w:trHeight w:val="290"/>
        </w:trPr>
        <w:tc>
          <w:tcPr>
            <w:tcW w:w="1164" w:type="pct"/>
            <w:vMerge/>
            <w:shd w:val="clear" w:color="auto" w:fill="auto"/>
            <w:hideMark/>
          </w:tcPr>
          <w:p w14:paraId="10F7A60B" w14:textId="77777777" w:rsidR="00C21029" w:rsidRPr="00B434A6" w:rsidRDefault="00C21029" w:rsidP="00B434A6">
            <w:pPr>
              <w:rPr>
                <w:sz w:val="20"/>
                <w:szCs w:val="20"/>
              </w:rPr>
            </w:pPr>
          </w:p>
        </w:tc>
        <w:tc>
          <w:tcPr>
            <w:tcW w:w="1633" w:type="pct"/>
            <w:shd w:val="clear" w:color="auto" w:fill="auto"/>
            <w:noWrap/>
            <w:hideMark/>
          </w:tcPr>
          <w:p w14:paraId="07A9AB12" w14:textId="77777777" w:rsidR="00C21029" w:rsidRPr="00466BFF" w:rsidRDefault="00C21029" w:rsidP="00013FF5">
            <w:pPr>
              <w:rPr>
                <w:rFonts w:cs="Calibri"/>
                <w:sz w:val="20"/>
                <w:szCs w:val="20"/>
              </w:rPr>
            </w:pPr>
            <w:bookmarkStart w:id="2811" w:name="_Toc124957091"/>
            <w:r w:rsidRPr="00466BFF">
              <w:rPr>
                <w:rFonts w:cs="Calibri"/>
                <w:sz w:val="20"/>
                <w:szCs w:val="20"/>
              </w:rPr>
              <w:t>SOS Village d'Enfants</w:t>
            </w:r>
            <w:bookmarkEnd w:id="2811"/>
          </w:p>
        </w:tc>
        <w:tc>
          <w:tcPr>
            <w:tcW w:w="697" w:type="pct"/>
            <w:shd w:val="clear" w:color="auto" w:fill="auto"/>
            <w:noWrap/>
            <w:hideMark/>
          </w:tcPr>
          <w:p w14:paraId="1314986D" w14:textId="77777777" w:rsidR="00C21029" w:rsidRPr="00466BFF" w:rsidRDefault="00C21029" w:rsidP="00013FF5">
            <w:pPr>
              <w:rPr>
                <w:rFonts w:cs="Calibri"/>
                <w:sz w:val="20"/>
                <w:szCs w:val="20"/>
              </w:rPr>
            </w:pPr>
            <w:bookmarkStart w:id="2812" w:name="_Toc124957092"/>
            <w:r w:rsidRPr="00466BFF">
              <w:rPr>
                <w:rFonts w:cs="Calibri"/>
                <w:sz w:val="20"/>
                <w:szCs w:val="20"/>
              </w:rPr>
              <w:t>0320570103</w:t>
            </w:r>
            <w:bookmarkEnd w:id="2812"/>
          </w:p>
        </w:tc>
        <w:tc>
          <w:tcPr>
            <w:tcW w:w="1506" w:type="pct"/>
            <w:shd w:val="clear" w:color="auto" w:fill="auto"/>
            <w:hideMark/>
          </w:tcPr>
          <w:p w14:paraId="18283AA2" w14:textId="77777777" w:rsidR="00C21029" w:rsidRPr="00466BFF" w:rsidRDefault="00C21029" w:rsidP="00013FF5">
            <w:pPr>
              <w:rPr>
                <w:rFonts w:cs="Calibri"/>
                <w:sz w:val="20"/>
                <w:szCs w:val="20"/>
              </w:rPr>
            </w:pPr>
            <w:bookmarkStart w:id="2813" w:name="_Toc124957093"/>
            <w:r w:rsidRPr="00466BFF">
              <w:rPr>
                <w:rFonts w:cs="Calibri"/>
                <w:sz w:val="20"/>
                <w:szCs w:val="20"/>
              </w:rPr>
              <w:t>Ankilimalinika Toliara I</w:t>
            </w:r>
            <w:bookmarkEnd w:id="2813"/>
          </w:p>
        </w:tc>
      </w:tr>
      <w:tr w:rsidR="00C21029" w:rsidRPr="007F78CE" w14:paraId="568745D1" w14:textId="77777777" w:rsidTr="00D12C6F">
        <w:trPr>
          <w:trHeight w:val="290"/>
        </w:trPr>
        <w:tc>
          <w:tcPr>
            <w:tcW w:w="1164" w:type="pct"/>
            <w:vMerge/>
            <w:shd w:val="clear" w:color="auto" w:fill="auto"/>
            <w:hideMark/>
          </w:tcPr>
          <w:p w14:paraId="66001931" w14:textId="77777777" w:rsidR="00C21029" w:rsidRPr="00B434A6" w:rsidRDefault="00C21029" w:rsidP="00B434A6">
            <w:pPr>
              <w:rPr>
                <w:sz w:val="20"/>
                <w:szCs w:val="20"/>
              </w:rPr>
            </w:pPr>
          </w:p>
        </w:tc>
        <w:tc>
          <w:tcPr>
            <w:tcW w:w="1633" w:type="pct"/>
            <w:shd w:val="clear" w:color="auto" w:fill="auto"/>
            <w:noWrap/>
            <w:hideMark/>
          </w:tcPr>
          <w:p w14:paraId="2CD36789" w14:textId="77777777" w:rsidR="00C21029" w:rsidRPr="00466BFF" w:rsidRDefault="00C21029" w:rsidP="00013FF5">
            <w:pPr>
              <w:rPr>
                <w:rFonts w:cs="Calibri"/>
                <w:sz w:val="20"/>
                <w:szCs w:val="20"/>
              </w:rPr>
            </w:pPr>
            <w:bookmarkStart w:id="2814" w:name="_Toc124957094"/>
            <w:r w:rsidRPr="00466BFF">
              <w:rPr>
                <w:rFonts w:cs="Calibri"/>
                <w:sz w:val="20"/>
                <w:szCs w:val="20"/>
              </w:rPr>
              <w:t>SOS Village d'Enfants</w:t>
            </w:r>
            <w:bookmarkEnd w:id="2814"/>
          </w:p>
        </w:tc>
        <w:tc>
          <w:tcPr>
            <w:tcW w:w="697" w:type="pct"/>
            <w:shd w:val="clear" w:color="auto" w:fill="auto"/>
            <w:noWrap/>
            <w:hideMark/>
          </w:tcPr>
          <w:p w14:paraId="4537BA7A" w14:textId="77777777" w:rsidR="00C21029" w:rsidRPr="00466BFF" w:rsidRDefault="00C21029" w:rsidP="00013FF5">
            <w:pPr>
              <w:rPr>
                <w:rFonts w:cs="Calibri"/>
                <w:sz w:val="20"/>
                <w:szCs w:val="20"/>
              </w:rPr>
            </w:pPr>
            <w:r w:rsidRPr="00466BFF">
              <w:rPr>
                <w:rFonts w:cs="Calibri"/>
                <w:sz w:val="20"/>
                <w:szCs w:val="20"/>
              </w:rPr>
              <w:t> </w:t>
            </w:r>
          </w:p>
        </w:tc>
        <w:tc>
          <w:tcPr>
            <w:tcW w:w="1506" w:type="pct"/>
            <w:shd w:val="clear" w:color="auto" w:fill="auto"/>
            <w:hideMark/>
          </w:tcPr>
          <w:p w14:paraId="05F9ADA5" w14:textId="77777777" w:rsidR="00C21029" w:rsidRPr="00466BFF" w:rsidRDefault="00C21029" w:rsidP="00013FF5">
            <w:pPr>
              <w:rPr>
                <w:rFonts w:cs="Calibri"/>
                <w:sz w:val="20"/>
                <w:szCs w:val="20"/>
              </w:rPr>
            </w:pPr>
            <w:bookmarkStart w:id="2815" w:name="_Toc124957095"/>
            <w:r w:rsidRPr="00466BFF">
              <w:rPr>
                <w:rFonts w:cs="Calibri"/>
                <w:sz w:val="20"/>
                <w:szCs w:val="20"/>
              </w:rPr>
              <w:t>Ampanihy</w:t>
            </w:r>
            <w:bookmarkEnd w:id="2815"/>
          </w:p>
        </w:tc>
      </w:tr>
      <w:tr w:rsidR="00C21029" w:rsidRPr="007F78CE" w14:paraId="14D6A2D1" w14:textId="77777777" w:rsidTr="00D12C6F">
        <w:trPr>
          <w:trHeight w:val="290"/>
        </w:trPr>
        <w:tc>
          <w:tcPr>
            <w:tcW w:w="1164" w:type="pct"/>
            <w:vMerge/>
            <w:shd w:val="clear" w:color="auto" w:fill="auto"/>
            <w:hideMark/>
          </w:tcPr>
          <w:p w14:paraId="1E8E4994" w14:textId="77777777" w:rsidR="00C21029" w:rsidRPr="00B434A6" w:rsidRDefault="00C21029" w:rsidP="00B434A6">
            <w:pPr>
              <w:rPr>
                <w:sz w:val="20"/>
                <w:szCs w:val="20"/>
              </w:rPr>
            </w:pPr>
          </w:p>
        </w:tc>
        <w:tc>
          <w:tcPr>
            <w:tcW w:w="1633" w:type="pct"/>
            <w:shd w:val="clear" w:color="auto" w:fill="auto"/>
            <w:noWrap/>
            <w:hideMark/>
          </w:tcPr>
          <w:p w14:paraId="53A986C2" w14:textId="77777777" w:rsidR="00C21029" w:rsidRPr="00466BFF" w:rsidRDefault="00C21029" w:rsidP="00013FF5">
            <w:pPr>
              <w:rPr>
                <w:rFonts w:cs="Calibri"/>
                <w:sz w:val="20"/>
                <w:szCs w:val="20"/>
              </w:rPr>
            </w:pPr>
            <w:bookmarkStart w:id="2816" w:name="_Toc124957096"/>
            <w:r w:rsidRPr="00466BFF">
              <w:rPr>
                <w:rFonts w:cs="Calibri"/>
                <w:sz w:val="20"/>
                <w:szCs w:val="20"/>
              </w:rPr>
              <w:t>SOS Village d'Enfants</w:t>
            </w:r>
            <w:bookmarkEnd w:id="2816"/>
          </w:p>
        </w:tc>
        <w:tc>
          <w:tcPr>
            <w:tcW w:w="697" w:type="pct"/>
            <w:shd w:val="clear" w:color="auto" w:fill="auto"/>
            <w:noWrap/>
            <w:hideMark/>
          </w:tcPr>
          <w:p w14:paraId="29A3B212" w14:textId="77777777" w:rsidR="00C21029" w:rsidRPr="00466BFF" w:rsidRDefault="00C21029" w:rsidP="00013FF5">
            <w:pPr>
              <w:rPr>
                <w:rFonts w:cs="Calibri"/>
                <w:sz w:val="20"/>
                <w:szCs w:val="20"/>
              </w:rPr>
            </w:pPr>
            <w:r w:rsidRPr="00466BFF">
              <w:rPr>
                <w:rFonts w:cs="Calibri"/>
                <w:sz w:val="20"/>
                <w:szCs w:val="20"/>
              </w:rPr>
              <w:t> </w:t>
            </w:r>
          </w:p>
        </w:tc>
        <w:tc>
          <w:tcPr>
            <w:tcW w:w="1506" w:type="pct"/>
            <w:shd w:val="clear" w:color="auto" w:fill="auto"/>
            <w:hideMark/>
          </w:tcPr>
          <w:p w14:paraId="07F31E1B" w14:textId="77777777" w:rsidR="00C21029" w:rsidRPr="00466BFF" w:rsidRDefault="00C21029" w:rsidP="00013FF5">
            <w:pPr>
              <w:rPr>
                <w:rFonts w:cs="Calibri"/>
                <w:sz w:val="20"/>
                <w:szCs w:val="20"/>
              </w:rPr>
            </w:pPr>
            <w:bookmarkStart w:id="2817" w:name="_Toc124957097"/>
            <w:r w:rsidRPr="00466BFF">
              <w:rPr>
                <w:rFonts w:cs="Calibri"/>
                <w:sz w:val="20"/>
                <w:szCs w:val="20"/>
              </w:rPr>
              <w:t>Betioky</w:t>
            </w:r>
            <w:bookmarkEnd w:id="2817"/>
          </w:p>
        </w:tc>
      </w:tr>
      <w:tr w:rsidR="00C21029" w:rsidRPr="007F78CE" w14:paraId="54E3F5AC" w14:textId="77777777" w:rsidTr="00D12C6F">
        <w:trPr>
          <w:trHeight w:val="580"/>
        </w:trPr>
        <w:tc>
          <w:tcPr>
            <w:tcW w:w="1164" w:type="pct"/>
            <w:vMerge/>
            <w:shd w:val="clear" w:color="auto" w:fill="auto"/>
            <w:hideMark/>
          </w:tcPr>
          <w:p w14:paraId="0930D776" w14:textId="77777777" w:rsidR="00C21029" w:rsidRPr="00B434A6" w:rsidRDefault="00C21029" w:rsidP="00B434A6">
            <w:pPr>
              <w:rPr>
                <w:sz w:val="20"/>
                <w:szCs w:val="20"/>
              </w:rPr>
            </w:pPr>
          </w:p>
        </w:tc>
        <w:tc>
          <w:tcPr>
            <w:tcW w:w="1633" w:type="pct"/>
            <w:shd w:val="clear" w:color="auto" w:fill="auto"/>
            <w:noWrap/>
            <w:hideMark/>
          </w:tcPr>
          <w:p w14:paraId="31C691CD" w14:textId="77777777" w:rsidR="00C21029" w:rsidRPr="00466BFF" w:rsidRDefault="00C21029" w:rsidP="00013FF5">
            <w:pPr>
              <w:rPr>
                <w:rFonts w:cs="Calibri"/>
                <w:sz w:val="20"/>
                <w:szCs w:val="20"/>
              </w:rPr>
            </w:pPr>
            <w:bookmarkStart w:id="2818" w:name="_Toc124957098"/>
            <w:r w:rsidRPr="00466BFF">
              <w:rPr>
                <w:rFonts w:cs="Calibri"/>
                <w:sz w:val="20"/>
                <w:szCs w:val="20"/>
              </w:rPr>
              <w:t>Bel Avenir</w:t>
            </w:r>
            <w:bookmarkEnd w:id="2818"/>
          </w:p>
        </w:tc>
        <w:tc>
          <w:tcPr>
            <w:tcW w:w="697" w:type="pct"/>
            <w:shd w:val="clear" w:color="auto" w:fill="auto"/>
            <w:noWrap/>
            <w:hideMark/>
          </w:tcPr>
          <w:p w14:paraId="29D42756" w14:textId="77777777" w:rsidR="00C21029" w:rsidRPr="00466BFF" w:rsidRDefault="00C21029" w:rsidP="00013FF5">
            <w:pPr>
              <w:rPr>
                <w:rFonts w:cs="Calibri"/>
                <w:sz w:val="20"/>
                <w:szCs w:val="20"/>
              </w:rPr>
            </w:pPr>
            <w:bookmarkStart w:id="2819" w:name="_Toc124957099"/>
            <w:r w:rsidRPr="00466BFF">
              <w:rPr>
                <w:rFonts w:cs="Calibri"/>
                <w:sz w:val="20"/>
                <w:szCs w:val="20"/>
              </w:rPr>
              <w:t>0348511415</w:t>
            </w:r>
            <w:bookmarkEnd w:id="2819"/>
          </w:p>
        </w:tc>
        <w:tc>
          <w:tcPr>
            <w:tcW w:w="1506" w:type="pct"/>
            <w:shd w:val="clear" w:color="auto" w:fill="auto"/>
            <w:hideMark/>
          </w:tcPr>
          <w:p w14:paraId="4AF5DB1E" w14:textId="77777777" w:rsidR="00C21029" w:rsidRPr="00466BFF" w:rsidRDefault="00C21029" w:rsidP="00013FF5">
            <w:pPr>
              <w:rPr>
                <w:rFonts w:cs="Calibri"/>
                <w:sz w:val="20"/>
                <w:szCs w:val="20"/>
              </w:rPr>
            </w:pPr>
            <w:bookmarkStart w:id="2820" w:name="_Toc124957100"/>
            <w:r w:rsidRPr="00466BFF">
              <w:rPr>
                <w:rFonts w:cs="Calibri"/>
                <w:sz w:val="20"/>
                <w:szCs w:val="20"/>
              </w:rPr>
              <w:t>Av de France Tsimenatse Toliara 1</w:t>
            </w:r>
            <w:bookmarkEnd w:id="2820"/>
          </w:p>
        </w:tc>
      </w:tr>
      <w:tr w:rsidR="00C21029" w:rsidRPr="007F78CE" w14:paraId="6C50A750" w14:textId="77777777" w:rsidTr="00D12C6F">
        <w:trPr>
          <w:trHeight w:val="290"/>
        </w:trPr>
        <w:tc>
          <w:tcPr>
            <w:tcW w:w="1164" w:type="pct"/>
            <w:vMerge/>
            <w:shd w:val="clear" w:color="auto" w:fill="auto"/>
            <w:hideMark/>
          </w:tcPr>
          <w:p w14:paraId="4854B747" w14:textId="77777777" w:rsidR="00C21029" w:rsidRPr="00B434A6" w:rsidRDefault="00C21029" w:rsidP="00B434A6">
            <w:pPr>
              <w:rPr>
                <w:sz w:val="20"/>
                <w:szCs w:val="20"/>
              </w:rPr>
            </w:pPr>
          </w:p>
        </w:tc>
        <w:tc>
          <w:tcPr>
            <w:tcW w:w="1633" w:type="pct"/>
            <w:shd w:val="clear" w:color="auto" w:fill="auto"/>
            <w:noWrap/>
            <w:hideMark/>
          </w:tcPr>
          <w:p w14:paraId="7507F8EE" w14:textId="77777777" w:rsidR="00C21029" w:rsidRPr="00466BFF" w:rsidRDefault="00C21029" w:rsidP="00013FF5">
            <w:pPr>
              <w:rPr>
                <w:rFonts w:cs="Calibri"/>
                <w:sz w:val="20"/>
                <w:szCs w:val="20"/>
              </w:rPr>
            </w:pPr>
            <w:bookmarkStart w:id="2821" w:name="_Toc124957101"/>
            <w:r w:rsidRPr="00466BFF">
              <w:rPr>
                <w:rFonts w:cs="Calibri"/>
                <w:sz w:val="20"/>
                <w:szCs w:val="20"/>
              </w:rPr>
              <w:t>Mondobimbi</w:t>
            </w:r>
            <w:bookmarkEnd w:id="2821"/>
          </w:p>
        </w:tc>
        <w:tc>
          <w:tcPr>
            <w:tcW w:w="697" w:type="pct"/>
            <w:shd w:val="clear" w:color="auto" w:fill="auto"/>
            <w:noWrap/>
            <w:hideMark/>
          </w:tcPr>
          <w:p w14:paraId="4DE5B001" w14:textId="77777777" w:rsidR="00C21029" w:rsidRPr="00466BFF" w:rsidRDefault="00C21029" w:rsidP="00013FF5">
            <w:pPr>
              <w:rPr>
                <w:rFonts w:cs="Calibri"/>
                <w:sz w:val="20"/>
                <w:szCs w:val="20"/>
              </w:rPr>
            </w:pPr>
            <w:bookmarkStart w:id="2822" w:name="_Toc124957102"/>
            <w:r w:rsidRPr="00466BFF">
              <w:rPr>
                <w:rFonts w:cs="Calibri"/>
                <w:sz w:val="20"/>
                <w:szCs w:val="20"/>
              </w:rPr>
              <w:t>0320241221</w:t>
            </w:r>
            <w:bookmarkEnd w:id="2822"/>
          </w:p>
        </w:tc>
        <w:tc>
          <w:tcPr>
            <w:tcW w:w="1506" w:type="pct"/>
            <w:shd w:val="clear" w:color="auto" w:fill="auto"/>
            <w:hideMark/>
          </w:tcPr>
          <w:p w14:paraId="7F9E05C7" w14:textId="77777777" w:rsidR="00C21029" w:rsidRPr="00466BFF" w:rsidRDefault="00C21029" w:rsidP="00013FF5">
            <w:pPr>
              <w:rPr>
                <w:rFonts w:cs="Calibri"/>
                <w:sz w:val="20"/>
                <w:szCs w:val="20"/>
              </w:rPr>
            </w:pPr>
            <w:bookmarkStart w:id="2823" w:name="_Toc124957103"/>
            <w:r w:rsidRPr="00466BFF">
              <w:rPr>
                <w:rFonts w:cs="Calibri"/>
                <w:sz w:val="20"/>
                <w:szCs w:val="20"/>
              </w:rPr>
              <w:t>Besasavy Toliara I</w:t>
            </w:r>
            <w:bookmarkEnd w:id="2823"/>
          </w:p>
        </w:tc>
      </w:tr>
      <w:tr w:rsidR="00C21029" w:rsidRPr="007F78CE" w14:paraId="2DEC5326" w14:textId="77777777" w:rsidTr="00D12C6F">
        <w:trPr>
          <w:trHeight w:val="290"/>
        </w:trPr>
        <w:tc>
          <w:tcPr>
            <w:tcW w:w="1164" w:type="pct"/>
            <w:vMerge w:val="restart"/>
            <w:shd w:val="clear" w:color="auto" w:fill="auto"/>
            <w:noWrap/>
            <w:hideMark/>
          </w:tcPr>
          <w:p w14:paraId="6D2FAA5C" w14:textId="77777777" w:rsidR="00C21029" w:rsidRPr="00B434A6" w:rsidRDefault="00C21029" w:rsidP="00B434A6">
            <w:pPr>
              <w:rPr>
                <w:sz w:val="20"/>
                <w:szCs w:val="20"/>
              </w:rPr>
            </w:pPr>
            <w:bookmarkStart w:id="2824" w:name="_Toc124957104"/>
            <w:r w:rsidRPr="00B434A6">
              <w:rPr>
                <w:sz w:val="20"/>
                <w:szCs w:val="20"/>
              </w:rPr>
              <w:t>ANDROY</w:t>
            </w:r>
            <w:bookmarkEnd w:id="2824"/>
          </w:p>
        </w:tc>
        <w:tc>
          <w:tcPr>
            <w:tcW w:w="3836" w:type="pct"/>
            <w:gridSpan w:val="3"/>
            <w:shd w:val="clear" w:color="auto" w:fill="auto"/>
            <w:noWrap/>
            <w:hideMark/>
          </w:tcPr>
          <w:p w14:paraId="58A786D4" w14:textId="77777777" w:rsidR="00C21029" w:rsidRPr="00466BFF" w:rsidRDefault="00C21029" w:rsidP="00013FF5">
            <w:pPr>
              <w:rPr>
                <w:rFonts w:cs="Calibri"/>
                <w:sz w:val="20"/>
                <w:szCs w:val="20"/>
              </w:rPr>
            </w:pPr>
            <w:bookmarkStart w:id="2825" w:name="_Toc124957105"/>
            <w:r w:rsidRPr="00466BFF">
              <w:rPr>
                <w:rFonts w:cs="Calibri"/>
                <w:sz w:val="20"/>
                <w:szCs w:val="20"/>
              </w:rPr>
              <w:t>ADDH/ONG</w:t>
            </w:r>
            <w:bookmarkEnd w:id="2825"/>
          </w:p>
        </w:tc>
      </w:tr>
      <w:tr w:rsidR="00C21029" w:rsidRPr="007F78CE" w14:paraId="02F7E3E5" w14:textId="77777777" w:rsidTr="00D12C6F">
        <w:trPr>
          <w:trHeight w:val="290"/>
        </w:trPr>
        <w:tc>
          <w:tcPr>
            <w:tcW w:w="1164" w:type="pct"/>
            <w:vMerge/>
            <w:shd w:val="clear" w:color="auto" w:fill="auto"/>
            <w:hideMark/>
          </w:tcPr>
          <w:p w14:paraId="5E3EB45E" w14:textId="77777777" w:rsidR="00C21029" w:rsidRPr="00B434A6" w:rsidRDefault="00C21029" w:rsidP="00B434A6">
            <w:pPr>
              <w:rPr>
                <w:sz w:val="20"/>
                <w:szCs w:val="20"/>
              </w:rPr>
            </w:pPr>
          </w:p>
        </w:tc>
        <w:tc>
          <w:tcPr>
            <w:tcW w:w="1633" w:type="pct"/>
            <w:shd w:val="clear" w:color="auto" w:fill="auto"/>
            <w:noWrap/>
            <w:hideMark/>
          </w:tcPr>
          <w:p w14:paraId="269A52A4" w14:textId="77777777" w:rsidR="00C21029" w:rsidRPr="00466BFF" w:rsidRDefault="00C21029" w:rsidP="00013FF5">
            <w:pPr>
              <w:rPr>
                <w:rFonts w:cs="Calibri"/>
                <w:sz w:val="20"/>
                <w:szCs w:val="20"/>
              </w:rPr>
            </w:pPr>
            <w:bookmarkStart w:id="2826" w:name="_Toc124957106"/>
            <w:r w:rsidRPr="00466BFF">
              <w:rPr>
                <w:rFonts w:cs="Calibri"/>
                <w:sz w:val="20"/>
                <w:szCs w:val="20"/>
              </w:rPr>
              <w:t>SOS Village d'Enfants</w:t>
            </w:r>
            <w:bookmarkEnd w:id="2826"/>
          </w:p>
        </w:tc>
        <w:tc>
          <w:tcPr>
            <w:tcW w:w="697" w:type="pct"/>
            <w:shd w:val="clear" w:color="auto" w:fill="auto"/>
            <w:noWrap/>
            <w:hideMark/>
          </w:tcPr>
          <w:p w14:paraId="096124EA" w14:textId="77777777" w:rsidR="00C21029" w:rsidRPr="00466BFF" w:rsidRDefault="00C21029" w:rsidP="00013FF5">
            <w:pPr>
              <w:rPr>
                <w:rFonts w:cs="Calibri"/>
                <w:sz w:val="20"/>
                <w:szCs w:val="20"/>
              </w:rPr>
            </w:pPr>
            <w:r w:rsidRPr="00466BFF">
              <w:rPr>
                <w:rFonts w:cs="Calibri"/>
                <w:sz w:val="20"/>
                <w:szCs w:val="20"/>
              </w:rPr>
              <w:t> </w:t>
            </w:r>
          </w:p>
        </w:tc>
        <w:tc>
          <w:tcPr>
            <w:tcW w:w="1506" w:type="pct"/>
            <w:shd w:val="clear" w:color="auto" w:fill="auto"/>
            <w:hideMark/>
          </w:tcPr>
          <w:p w14:paraId="6ED1D57C" w14:textId="77777777" w:rsidR="00C21029" w:rsidRPr="00466BFF" w:rsidRDefault="00C21029" w:rsidP="00013FF5">
            <w:pPr>
              <w:rPr>
                <w:rFonts w:cs="Calibri"/>
                <w:sz w:val="20"/>
                <w:szCs w:val="20"/>
              </w:rPr>
            </w:pPr>
            <w:bookmarkStart w:id="2827" w:name="_Toc124957107"/>
            <w:r w:rsidRPr="00466BFF">
              <w:rPr>
                <w:rFonts w:cs="Calibri"/>
                <w:sz w:val="20"/>
                <w:szCs w:val="20"/>
              </w:rPr>
              <w:t>Ambovombe</w:t>
            </w:r>
            <w:bookmarkEnd w:id="2827"/>
          </w:p>
        </w:tc>
      </w:tr>
      <w:tr w:rsidR="00C21029" w:rsidRPr="007F78CE" w14:paraId="455CFB3D" w14:textId="77777777" w:rsidTr="00D12C6F">
        <w:trPr>
          <w:trHeight w:val="290"/>
        </w:trPr>
        <w:tc>
          <w:tcPr>
            <w:tcW w:w="1164" w:type="pct"/>
            <w:vMerge/>
            <w:shd w:val="clear" w:color="auto" w:fill="auto"/>
            <w:hideMark/>
          </w:tcPr>
          <w:p w14:paraId="7AEE86C1" w14:textId="77777777" w:rsidR="00C21029" w:rsidRPr="00B434A6" w:rsidRDefault="00C21029" w:rsidP="00B434A6">
            <w:pPr>
              <w:rPr>
                <w:sz w:val="20"/>
                <w:szCs w:val="20"/>
              </w:rPr>
            </w:pPr>
          </w:p>
        </w:tc>
        <w:tc>
          <w:tcPr>
            <w:tcW w:w="1633" w:type="pct"/>
            <w:shd w:val="clear" w:color="auto" w:fill="auto"/>
            <w:noWrap/>
            <w:hideMark/>
          </w:tcPr>
          <w:p w14:paraId="2BB48DA8" w14:textId="77777777" w:rsidR="00C21029" w:rsidRPr="00466BFF" w:rsidRDefault="00C21029" w:rsidP="00013FF5">
            <w:pPr>
              <w:rPr>
                <w:rFonts w:cs="Calibri"/>
                <w:sz w:val="20"/>
                <w:szCs w:val="20"/>
              </w:rPr>
            </w:pPr>
            <w:bookmarkStart w:id="2828" w:name="_Toc124957108"/>
            <w:r w:rsidRPr="00466BFF">
              <w:rPr>
                <w:rFonts w:cs="Calibri"/>
                <w:sz w:val="20"/>
                <w:szCs w:val="20"/>
              </w:rPr>
              <w:t>SOS Village d'Enfants</w:t>
            </w:r>
            <w:bookmarkEnd w:id="2828"/>
          </w:p>
        </w:tc>
        <w:tc>
          <w:tcPr>
            <w:tcW w:w="697" w:type="pct"/>
            <w:shd w:val="clear" w:color="auto" w:fill="auto"/>
            <w:noWrap/>
            <w:hideMark/>
          </w:tcPr>
          <w:p w14:paraId="48AB3408" w14:textId="77777777" w:rsidR="00C21029" w:rsidRPr="00466BFF" w:rsidRDefault="00C21029" w:rsidP="00013FF5">
            <w:pPr>
              <w:rPr>
                <w:rFonts w:cs="Calibri"/>
                <w:sz w:val="20"/>
                <w:szCs w:val="20"/>
              </w:rPr>
            </w:pPr>
            <w:r w:rsidRPr="00466BFF">
              <w:rPr>
                <w:rFonts w:cs="Calibri"/>
                <w:sz w:val="20"/>
                <w:szCs w:val="20"/>
              </w:rPr>
              <w:t> </w:t>
            </w:r>
          </w:p>
        </w:tc>
        <w:tc>
          <w:tcPr>
            <w:tcW w:w="1506" w:type="pct"/>
            <w:shd w:val="clear" w:color="auto" w:fill="auto"/>
            <w:hideMark/>
          </w:tcPr>
          <w:p w14:paraId="6AF7F41D" w14:textId="77777777" w:rsidR="00C21029" w:rsidRPr="00466BFF" w:rsidRDefault="00C21029" w:rsidP="00013FF5">
            <w:pPr>
              <w:rPr>
                <w:rFonts w:cs="Calibri"/>
                <w:sz w:val="20"/>
                <w:szCs w:val="20"/>
              </w:rPr>
            </w:pPr>
            <w:bookmarkStart w:id="2829" w:name="_Toc124957109"/>
            <w:r w:rsidRPr="00466BFF">
              <w:rPr>
                <w:rFonts w:cs="Calibri"/>
                <w:sz w:val="20"/>
                <w:szCs w:val="20"/>
              </w:rPr>
              <w:t>Tsihombe</w:t>
            </w:r>
            <w:bookmarkEnd w:id="2829"/>
          </w:p>
        </w:tc>
      </w:tr>
      <w:tr w:rsidR="00C21029" w:rsidRPr="007F78CE" w14:paraId="02265939" w14:textId="77777777" w:rsidTr="00D12C6F">
        <w:trPr>
          <w:trHeight w:val="290"/>
        </w:trPr>
        <w:tc>
          <w:tcPr>
            <w:tcW w:w="1164" w:type="pct"/>
            <w:vMerge/>
            <w:shd w:val="clear" w:color="auto" w:fill="auto"/>
            <w:hideMark/>
          </w:tcPr>
          <w:p w14:paraId="1B1F32FF" w14:textId="77777777" w:rsidR="00C21029" w:rsidRPr="00B434A6" w:rsidRDefault="00C21029" w:rsidP="00B434A6">
            <w:pPr>
              <w:rPr>
                <w:sz w:val="20"/>
                <w:szCs w:val="20"/>
              </w:rPr>
            </w:pPr>
          </w:p>
        </w:tc>
        <w:tc>
          <w:tcPr>
            <w:tcW w:w="1633" w:type="pct"/>
            <w:shd w:val="clear" w:color="auto" w:fill="auto"/>
            <w:noWrap/>
            <w:hideMark/>
          </w:tcPr>
          <w:p w14:paraId="16F42054" w14:textId="77777777" w:rsidR="00C21029" w:rsidRPr="00466BFF" w:rsidRDefault="00C21029" w:rsidP="00013FF5">
            <w:pPr>
              <w:rPr>
                <w:rFonts w:cs="Calibri"/>
                <w:sz w:val="20"/>
                <w:szCs w:val="20"/>
              </w:rPr>
            </w:pPr>
            <w:bookmarkStart w:id="2830" w:name="_Toc124957110"/>
            <w:r w:rsidRPr="00466BFF">
              <w:rPr>
                <w:rFonts w:cs="Calibri"/>
                <w:sz w:val="20"/>
                <w:szCs w:val="20"/>
              </w:rPr>
              <w:t>SOS Village d'Enfants</w:t>
            </w:r>
            <w:bookmarkEnd w:id="2830"/>
          </w:p>
        </w:tc>
        <w:tc>
          <w:tcPr>
            <w:tcW w:w="697" w:type="pct"/>
            <w:shd w:val="clear" w:color="auto" w:fill="auto"/>
            <w:noWrap/>
            <w:hideMark/>
          </w:tcPr>
          <w:p w14:paraId="2E88F921" w14:textId="77777777" w:rsidR="00C21029" w:rsidRPr="00466BFF" w:rsidRDefault="00C21029" w:rsidP="00013FF5">
            <w:pPr>
              <w:rPr>
                <w:rFonts w:cs="Calibri"/>
                <w:sz w:val="20"/>
                <w:szCs w:val="20"/>
              </w:rPr>
            </w:pPr>
            <w:r w:rsidRPr="00466BFF">
              <w:rPr>
                <w:rFonts w:cs="Calibri"/>
                <w:sz w:val="20"/>
                <w:szCs w:val="20"/>
              </w:rPr>
              <w:t> </w:t>
            </w:r>
          </w:p>
        </w:tc>
        <w:tc>
          <w:tcPr>
            <w:tcW w:w="1506" w:type="pct"/>
            <w:shd w:val="clear" w:color="auto" w:fill="auto"/>
            <w:hideMark/>
          </w:tcPr>
          <w:p w14:paraId="57CA2CD2" w14:textId="77777777" w:rsidR="00C21029" w:rsidRPr="00466BFF" w:rsidRDefault="00C21029" w:rsidP="00013FF5">
            <w:pPr>
              <w:rPr>
                <w:rFonts w:cs="Calibri"/>
                <w:sz w:val="20"/>
                <w:szCs w:val="20"/>
              </w:rPr>
            </w:pPr>
            <w:bookmarkStart w:id="2831" w:name="_Toc124957111"/>
            <w:r w:rsidRPr="00466BFF">
              <w:rPr>
                <w:rFonts w:cs="Calibri"/>
                <w:sz w:val="20"/>
                <w:szCs w:val="20"/>
              </w:rPr>
              <w:t>Beloha</w:t>
            </w:r>
            <w:bookmarkEnd w:id="2831"/>
          </w:p>
        </w:tc>
      </w:tr>
      <w:tr w:rsidR="00C21029" w:rsidRPr="007F78CE" w14:paraId="11331004" w14:textId="77777777" w:rsidTr="00D12C6F">
        <w:trPr>
          <w:trHeight w:val="290"/>
        </w:trPr>
        <w:tc>
          <w:tcPr>
            <w:tcW w:w="1164" w:type="pct"/>
            <w:vMerge/>
            <w:shd w:val="clear" w:color="auto" w:fill="auto"/>
            <w:hideMark/>
          </w:tcPr>
          <w:p w14:paraId="14398686" w14:textId="77777777" w:rsidR="00C21029" w:rsidRPr="00B434A6" w:rsidRDefault="00C21029" w:rsidP="00B434A6">
            <w:pPr>
              <w:rPr>
                <w:sz w:val="20"/>
                <w:szCs w:val="20"/>
              </w:rPr>
            </w:pPr>
          </w:p>
        </w:tc>
        <w:tc>
          <w:tcPr>
            <w:tcW w:w="1633" w:type="pct"/>
            <w:shd w:val="clear" w:color="auto" w:fill="auto"/>
            <w:noWrap/>
            <w:hideMark/>
          </w:tcPr>
          <w:p w14:paraId="7DEA799A" w14:textId="77777777" w:rsidR="00C21029" w:rsidRPr="00466BFF" w:rsidRDefault="00C21029" w:rsidP="00013FF5">
            <w:pPr>
              <w:rPr>
                <w:rFonts w:cs="Calibri"/>
                <w:sz w:val="20"/>
                <w:szCs w:val="20"/>
              </w:rPr>
            </w:pPr>
            <w:bookmarkStart w:id="2832" w:name="_Toc124957112"/>
            <w:r w:rsidRPr="00466BFF">
              <w:rPr>
                <w:rFonts w:cs="Calibri"/>
                <w:sz w:val="20"/>
                <w:szCs w:val="20"/>
              </w:rPr>
              <w:t>SOS Village d'Enfants</w:t>
            </w:r>
            <w:bookmarkEnd w:id="2832"/>
          </w:p>
        </w:tc>
        <w:tc>
          <w:tcPr>
            <w:tcW w:w="697" w:type="pct"/>
            <w:shd w:val="clear" w:color="auto" w:fill="auto"/>
            <w:noWrap/>
            <w:hideMark/>
          </w:tcPr>
          <w:p w14:paraId="2747FF42" w14:textId="77777777" w:rsidR="00C21029" w:rsidRPr="00466BFF" w:rsidRDefault="00C21029" w:rsidP="00013FF5">
            <w:pPr>
              <w:rPr>
                <w:rFonts w:cs="Calibri"/>
                <w:sz w:val="20"/>
                <w:szCs w:val="20"/>
              </w:rPr>
            </w:pPr>
            <w:r w:rsidRPr="00466BFF">
              <w:rPr>
                <w:rFonts w:cs="Calibri"/>
                <w:sz w:val="20"/>
                <w:szCs w:val="20"/>
              </w:rPr>
              <w:t> </w:t>
            </w:r>
          </w:p>
        </w:tc>
        <w:tc>
          <w:tcPr>
            <w:tcW w:w="1506" w:type="pct"/>
            <w:shd w:val="clear" w:color="auto" w:fill="auto"/>
            <w:hideMark/>
          </w:tcPr>
          <w:p w14:paraId="101859A0" w14:textId="77777777" w:rsidR="00C21029" w:rsidRPr="00466BFF" w:rsidRDefault="00C21029" w:rsidP="00013FF5">
            <w:pPr>
              <w:rPr>
                <w:rFonts w:cs="Calibri"/>
                <w:sz w:val="20"/>
                <w:szCs w:val="20"/>
              </w:rPr>
            </w:pPr>
            <w:bookmarkStart w:id="2833" w:name="_Toc124957113"/>
            <w:r w:rsidRPr="00466BFF">
              <w:rPr>
                <w:rFonts w:cs="Calibri"/>
                <w:sz w:val="20"/>
                <w:szCs w:val="20"/>
              </w:rPr>
              <w:t>Bekily</w:t>
            </w:r>
            <w:bookmarkEnd w:id="2833"/>
          </w:p>
        </w:tc>
      </w:tr>
      <w:tr w:rsidR="00C21029" w:rsidRPr="007F78CE" w14:paraId="317EACE8" w14:textId="77777777" w:rsidTr="00D12C6F">
        <w:trPr>
          <w:trHeight w:val="290"/>
        </w:trPr>
        <w:tc>
          <w:tcPr>
            <w:tcW w:w="1164" w:type="pct"/>
            <w:vMerge w:val="restart"/>
            <w:shd w:val="clear" w:color="auto" w:fill="auto"/>
            <w:noWrap/>
            <w:hideMark/>
          </w:tcPr>
          <w:p w14:paraId="6EFA2877" w14:textId="77777777" w:rsidR="00C21029" w:rsidRPr="00B434A6" w:rsidRDefault="00C21029" w:rsidP="00B434A6">
            <w:pPr>
              <w:rPr>
                <w:sz w:val="20"/>
                <w:szCs w:val="20"/>
              </w:rPr>
            </w:pPr>
            <w:bookmarkStart w:id="2834" w:name="_Toc124957114"/>
            <w:r w:rsidRPr="00B434A6">
              <w:rPr>
                <w:sz w:val="20"/>
                <w:szCs w:val="20"/>
              </w:rPr>
              <w:t>ANOSY</w:t>
            </w:r>
            <w:bookmarkEnd w:id="2834"/>
          </w:p>
        </w:tc>
        <w:tc>
          <w:tcPr>
            <w:tcW w:w="3836" w:type="pct"/>
            <w:gridSpan w:val="3"/>
            <w:shd w:val="clear" w:color="auto" w:fill="auto"/>
            <w:noWrap/>
            <w:hideMark/>
          </w:tcPr>
          <w:p w14:paraId="0DEF5438" w14:textId="77777777" w:rsidR="00C21029" w:rsidRPr="00466BFF" w:rsidRDefault="00C21029" w:rsidP="00013FF5">
            <w:pPr>
              <w:rPr>
                <w:rFonts w:cs="Calibri"/>
                <w:sz w:val="20"/>
                <w:szCs w:val="20"/>
              </w:rPr>
            </w:pPr>
            <w:bookmarkStart w:id="2835" w:name="_Toc124957115"/>
            <w:r w:rsidRPr="00466BFF">
              <w:rPr>
                <w:rFonts w:cs="Calibri"/>
                <w:sz w:val="20"/>
                <w:szCs w:val="20"/>
              </w:rPr>
              <w:t>ADDH/ONG</w:t>
            </w:r>
            <w:bookmarkEnd w:id="2835"/>
          </w:p>
        </w:tc>
      </w:tr>
      <w:tr w:rsidR="00C21029" w:rsidRPr="007F78CE" w14:paraId="5FD00529" w14:textId="77777777" w:rsidTr="00D12C6F">
        <w:trPr>
          <w:trHeight w:val="290"/>
        </w:trPr>
        <w:tc>
          <w:tcPr>
            <w:tcW w:w="1164" w:type="pct"/>
            <w:vMerge/>
            <w:shd w:val="clear" w:color="auto" w:fill="auto"/>
            <w:hideMark/>
          </w:tcPr>
          <w:p w14:paraId="63BBFB79" w14:textId="77777777" w:rsidR="00C21029" w:rsidRPr="00B434A6" w:rsidRDefault="00C21029" w:rsidP="00B434A6">
            <w:pPr>
              <w:rPr>
                <w:sz w:val="20"/>
                <w:szCs w:val="20"/>
              </w:rPr>
            </w:pPr>
          </w:p>
        </w:tc>
        <w:tc>
          <w:tcPr>
            <w:tcW w:w="1633" w:type="pct"/>
            <w:shd w:val="clear" w:color="auto" w:fill="auto"/>
            <w:noWrap/>
            <w:hideMark/>
          </w:tcPr>
          <w:p w14:paraId="3DAB3DD4" w14:textId="77777777" w:rsidR="00C21029" w:rsidRPr="00466BFF" w:rsidRDefault="00C21029" w:rsidP="00013FF5">
            <w:pPr>
              <w:rPr>
                <w:rFonts w:cs="Calibri"/>
                <w:sz w:val="20"/>
                <w:szCs w:val="20"/>
              </w:rPr>
            </w:pPr>
            <w:bookmarkStart w:id="2836" w:name="_Toc124957116"/>
            <w:r w:rsidRPr="00466BFF">
              <w:rPr>
                <w:rFonts w:cs="Calibri"/>
                <w:sz w:val="20"/>
                <w:szCs w:val="20"/>
              </w:rPr>
              <w:t>SOS Village d'Enfants</w:t>
            </w:r>
            <w:bookmarkEnd w:id="2836"/>
          </w:p>
        </w:tc>
        <w:tc>
          <w:tcPr>
            <w:tcW w:w="697" w:type="pct"/>
            <w:shd w:val="clear" w:color="auto" w:fill="auto"/>
            <w:noWrap/>
            <w:hideMark/>
          </w:tcPr>
          <w:p w14:paraId="6D6FC4EE" w14:textId="77777777" w:rsidR="00C21029" w:rsidRPr="00466BFF" w:rsidRDefault="00C21029" w:rsidP="00013FF5">
            <w:pPr>
              <w:rPr>
                <w:rFonts w:cs="Calibri"/>
                <w:sz w:val="20"/>
                <w:szCs w:val="20"/>
              </w:rPr>
            </w:pPr>
            <w:bookmarkStart w:id="2837" w:name="_Toc124957117"/>
            <w:r w:rsidRPr="00466BFF">
              <w:rPr>
                <w:rFonts w:cs="Calibri"/>
                <w:sz w:val="20"/>
                <w:szCs w:val="20"/>
              </w:rPr>
              <w:t>0333700705</w:t>
            </w:r>
            <w:bookmarkEnd w:id="2837"/>
          </w:p>
        </w:tc>
        <w:tc>
          <w:tcPr>
            <w:tcW w:w="1506" w:type="pct"/>
            <w:shd w:val="clear" w:color="auto" w:fill="auto"/>
            <w:hideMark/>
          </w:tcPr>
          <w:p w14:paraId="73E2D345" w14:textId="77777777" w:rsidR="00C21029" w:rsidRPr="00466BFF" w:rsidRDefault="00C21029" w:rsidP="00013FF5">
            <w:pPr>
              <w:rPr>
                <w:rFonts w:cs="Calibri"/>
                <w:sz w:val="20"/>
                <w:szCs w:val="20"/>
              </w:rPr>
            </w:pPr>
            <w:bookmarkStart w:id="2838" w:name="_Toc124957118"/>
            <w:r w:rsidRPr="00466BFF">
              <w:rPr>
                <w:rFonts w:cs="Calibri"/>
                <w:sz w:val="20"/>
                <w:szCs w:val="20"/>
              </w:rPr>
              <w:t>Ankôkô Taolagnaro</w:t>
            </w:r>
            <w:bookmarkEnd w:id="2838"/>
          </w:p>
        </w:tc>
      </w:tr>
      <w:tr w:rsidR="00C21029" w:rsidRPr="007F78CE" w14:paraId="2075577F" w14:textId="77777777" w:rsidTr="00D12C6F">
        <w:trPr>
          <w:trHeight w:val="290"/>
        </w:trPr>
        <w:tc>
          <w:tcPr>
            <w:tcW w:w="1164" w:type="pct"/>
            <w:vMerge w:val="restart"/>
            <w:shd w:val="clear" w:color="auto" w:fill="auto"/>
            <w:noWrap/>
            <w:hideMark/>
          </w:tcPr>
          <w:p w14:paraId="4A62E2EA" w14:textId="77777777" w:rsidR="00C21029" w:rsidRPr="00B434A6" w:rsidRDefault="00C21029" w:rsidP="00B434A6">
            <w:pPr>
              <w:rPr>
                <w:sz w:val="20"/>
                <w:szCs w:val="20"/>
              </w:rPr>
            </w:pPr>
            <w:bookmarkStart w:id="2839" w:name="_Toc124957119"/>
            <w:r w:rsidRPr="00B434A6">
              <w:rPr>
                <w:sz w:val="20"/>
                <w:szCs w:val="20"/>
              </w:rPr>
              <w:t>ATSINANANA</w:t>
            </w:r>
            <w:bookmarkEnd w:id="2839"/>
          </w:p>
        </w:tc>
        <w:tc>
          <w:tcPr>
            <w:tcW w:w="3836" w:type="pct"/>
            <w:gridSpan w:val="3"/>
            <w:shd w:val="clear" w:color="auto" w:fill="auto"/>
            <w:noWrap/>
            <w:hideMark/>
          </w:tcPr>
          <w:p w14:paraId="4EA80FDC" w14:textId="77777777" w:rsidR="00C21029" w:rsidRPr="00466BFF" w:rsidRDefault="00C21029" w:rsidP="00013FF5">
            <w:pPr>
              <w:rPr>
                <w:rFonts w:cs="Calibri"/>
                <w:sz w:val="20"/>
                <w:szCs w:val="20"/>
              </w:rPr>
            </w:pPr>
            <w:bookmarkStart w:id="2840" w:name="_Toc124957120"/>
            <w:r w:rsidRPr="00466BFF">
              <w:rPr>
                <w:rFonts w:cs="Calibri"/>
                <w:sz w:val="20"/>
                <w:szCs w:val="20"/>
              </w:rPr>
              <w:t>ADDH/ONG</w:t>
            </w:r>
            <w:bookmarkEnd w:id="2840"/>
          </w:p>
        </w:tc>
      </w:tr>
      <w:tr w:rsidR="00C21029" w:rsidRPr="007F78CE" w14:paraId="7BD32824" w14:textId="77777777" w:rsidTr="00D12C6F">
        <w:trPr>
          <w:trHeight w:val="290"/>
        </w:trPr>
        <w:tc>
          <w:tcPr>
            <w:tcW w:w="1164" w:type="pct"/>
            <w:vMerge/>
            <w:shd w:val="clear" w:color="auto" w:fill="auto"/>
            <w:hideMark/>
          </w:tcPr>
          <w:p w14:paraId="50AA5E2E" w14:textId="77777777" w:rsidR="00C21029" w:rsidRPr="00B434A6" w:rsidRDefault="00C21029" w:rsidP="00B434A6">
            <w:pPr>
              <w:rPr>
                <w:sz w:val="20"/>
                <w:szCs w:val="20"/>
              </w:rPr>
            </w:pPr>
          </w:p>
        </w:tc>
        <w:tc>
          <w:tcPr>
            <w:tcW w:w="1633" w:type="pct"/>
            <w:shd w:val="clear" w:color="auto" w:fill="auto"/>
            <w:noWrap/>
            <w:hideMark/>
          </w:tcPr>
          <w:p w14:paraId="32EBE9A5" w14:textId="77777777" w:rsidR="00C21029" w:rsidRPr="00466BFF" w:rsidRDefault="00C21029" w:rsidP="00013FF5">
            <w:pPr>
              <w:rPr>
                <w:rFonts w:cs="Calibri"/>
                <w:sz w:val="20"/>
                <w:szCs w:val="20"/>
              </w:rPr>
            </w:pPr>
            <w:bookmarkStart w:id="2841" w:name="_Toc124957121"/>
            <w:r w:rsidRPr="00466BFF">
              <w:rPr>
                <w:rFonts w:cs="Calibri"/>
                <w:sz w:val="20"/>
                <w:szCs w:val="20"/>
              </w:rPr>
              <w:t>SOS Village d'Enfants</w:t>
            </w:r>
            <w:bookmarkEnd w:id="2841"/>
          </w:p>
        </w:tc>
        <w:tc>
          <w:tcPr>
            <w:tcW w:w="697" w:type="pct"/>
            <w:shd w:val="clear" w:color="auto" w:fill="auto"/>
            <w:noWrap/>
            <w:hideMark/>
          </w:tcPr>
          <w:p w14:paraId="1F6F3E1A" w14:textId="77777777" w:rsidR="00C21029" w:rsidRPr="00466BFF" w:rsidRDefault="00C21029" w:rsidP="00013FF5">
            <w:pPr>
              <w:rPr>
                <w:rFonts w:cs="Calibri"/>
                <w:sz w:val="20"/>
                <w:szCs w:val="20"/>
              </w:rPr>
            </w:pPr>
            <w:bookmarkStart w:id="2842" w:name="_Toc124957122"/>
            <w:r w:rsidRPr="00466BFF">
              <w:rPr>
                <w:rFonts w:cs="Calibri"/>
                <w:sz w:val="20"/>
                <w:szCs w:val="20"/>
              </w:rPr>
              <w:t>0324037353</w:t>
            </w:r>
            <w:bookmarkEnd w:id="2842"/>
          </w:p>
        </w:tc>
        <w:tc>
          <w:tcPr>
            <w:tcW w:w="1506" w:type="pct"/>
            <w:shd w:val="clear" w:color="auto" w:fill="auto"/>
            <w:hideMark/>
          </w:tcPr>
          <w:p w14:paraId="09AE3926" w14:textId="77777777" w:rsidR="00C21029" w:rsidRPr="00466BFF" w:rsidRDefault="00C21029" w:rsidP="00013FF5">
            <w:pPr>
              <w:rPr>
                <w:rFonts w:cs="Calibri"/>
                <w:sz w:val="20"/>
                <w:szCs w:val="20"/>
              </w:rPr>
            </w:pPr>
            <w:bookmarkStart w:id="2843" w:name="_Toc124957123"/>
            <w:r w:rsidRPr="00466BFF">
              <w:rPr>
                <w:rFonts w:cs="Calibri"/>
                <w:sz w:val="20"/>
                <w:szCs w:val="20"/>
              </w:rPr>
              <w:t>Mangarano Toamasina I</w:t>
            </w:r>
            <w:bookmarkEnd w:id="2843"/>
          </w:p>
        </w:tc>
      </w:tr>
      <w:tr w:rsidR="00C21029" w:rsidRPr="007F78CE" w14:paraId="6F813D71" w14:textId="77777777" w:rsidTr="00D12C6F">
        <w:trPr>
          <w:trHeight w:val="290"/>
        </w:trPr>
        <w:tc>
          <w:tcPr>
            <w:tcW w:w="1164" w:type="pct"/>
            <w:vMerge/>
            <w:shd w:val="clear" w:color="auto" w:fill="auto"/>
            <w:hideMark/>
          </w:tcPr>
          <w:p w14:paraId="6EB7D5E6" w14:textId="77777777" w:rsidR="00C21029" w:rsidRPr="00B434A6" w:rsidRDefault="00C21029" w:rsidP="00B434A6">
            <w:pPr>
              <w:rPr>
                <w:sz w:val="20"/>
                <w:szCs w:val="20"/>
              </w:rPr>
            </w:pPr>
          </w:p>
        </w:tc>
        <w:tc>
          <w:tcPr>
            <w:tcW w:w="1633" w:type="pct"/>
            <w:shd w:val="clear" w:color="auto" w:fill="auto"/>
            <w:noWrap/>
            <w:hideMark/>
          </w:tcPr>
          <w:p w14:paraId="1D95DD41" w14:textId="77777777" w:rsidR="00C21029" w:rsidRPr="00466BFF" w:rsidRDefault="00C21029" w:rsidP="00013FF5">
            <w:pPr>
              <w:rPr>
                <w:rFonts w:cs="Calibri"/>
                <w:sz w:val="20"/>
                <w:szCs w:val="20"/>
              </w:rPr>
            </w:pPr>
            <w:bookmarkStart w:id="2844" w:name="_Toc124957124"/>
            <w:r w:rsidRPr="00466BFF">
              <w:rPr>
                <w:rFonts w:cs="Calibri"/>
                <w:sz w:val="20"/>
                <w:szCs w:val="20"/>
              </w:rPr>
              <w:t>Manao DE</w:t>
            </w:r>
            <w:bookmarkEnd w:id="2844"/>
          </w:p>
        </w:tc>
        <w:tc>
          <w:tcPr>
            <w:tcW w:w="697" w:type="pct"/>
            <w:shd w:val="clear" w:color="auto" w:fill="auto"/>
            <w:noWrap/>
            <w:hideMark/>
          </w:tcPr>
          <w:p w14:paraId="1955D477" w14:textId="77777777" w:rsidR="00C21029" w:rsidRPr="00466BFF" w:rsidRDefault="00C21029" w:rsidP="00013FF5">
            <w:pPr>
              <w:rPr>
                <w:rFonts w:cs="Calibri"/>
                <w:sz w:val="20"/>
                <w:szCs w:val="20"/>
              </w:rPr>
            </w:pPr>
            <w:r w:rsidRPr="00466BFF">
              <w:rPr>
                <w:rFonts w:cs="Calibri"/>
                <w:sz w:val="20"/>
                <w:szCs w:val="20"/>
              </w:rPr>
              <w:t> </w:t>
            </w:r>
          </w:p>
        </w:tc>
        <w:tc>
          <w:tcPr>
            <w:tcW w:w="1506" w:type="pct"/>
            <w:shd w:val="clear" w:color="auto" w:fill="auto"/>
            <w:hideMark/>
          </w:tcPr>
          <w:p w14:paraId="0CC4A882" w14:textId="77777777" w:rsidR="00C21029" w:rsidRPr="00466BFF" w:rsidRDefault="00C21029" w:rsidP="00013FF5">
            <w:pPr>
              <w:rPr>
                <w:rFonts w:cs="Calibri"/>
                <w:sz w:val="20"/>
                <w:szCs w:val="20"/>
              </w:rPr>
            </w:pPr>
            <w:bookmarkStart w:id="2845" w:name="_Toc124957125"/>
            <w:r w:rsidRPr="00466BFF">
              <w:rPr>
                <w:rFonts w:cs="Calibri"/>
                <w:sz w:val="20"/>
                <w:szCs w:val="20"/>
              </w:rPr>
              <w:t>Toamasina I</w:t>
            </w:r>
            <w:bookmarkEnd w:id="2845"/>
          </w:p>
        </w:tc>
      </w:tr>
    </w:tbl>
    <w:p w14:paraId="4C1F1D6C" w14:textId="77777777" w:rsidR="00C21029" w:rsidRPr="00B434A6" w:rsidRDefault="00C21029" w:rsidP="00C21029">
      <w:pPr>
        <w:spacing w:after="0"/>
        <w:rPr>
          <w:rFonts w:cs="Cambria"/>
          <w:color w:val="212121"/>
          <w:sz w:val="20"/>
          <w:szCs w:val="20"/>
        </w:rPr>
      </w:pPr>
      <w:r w:rsidRPr="00B434A6">
        <w:rPr>
          <w:rFonts w:cs="Cambria"/>
          <w:sz w:val="20"/>
          <w:szCs w:val="20"/>
        </w:rPr>
        <w:t>Source: Banque mondiale, 2020</w:t>
      </w:r>
    </w:p>
    <w:bookmarkEnd w:id="1700"/>
    <w:p w14:paraId="60B89E5C" w14:textId="77777777" w:rsidR="009A0954" w:rsidRDefault="009A0954" w:rsidP="00013FF5"/>
    <w:sectPr w:rsidR="009A0954" w:rsidSect="005C566E">
      <w:footerReference w:type="default" r:id="rId9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E07BB" w14:textId="77777777" w:rsidR="00EC56D5" w:rsidRDefault="00EC56D5" w:rsidP="00B749B6">
      <w:pPr>
        <w:spacing w:after="0" w:line="240" w:lineRule="auto"/>
      </w:pPr>
      <w:r>
        <w:separator/>
      </w:r>
    </w:p>
  </w:endnote>
  <w:endnote w:type="continuationSeparator" w:id="0">
    <w:p w14:paraId="194E4E4A" w14:textId="77777777" w:rsidR="00EC56D5" w:rsidRDefault="00EC56D5" w:rsidP="00B749B6">
      <w:pPr>
        <w:spacing w:after="0" w:line="240" w:lineRule="auto"/>
      </w:pPr>
      <w:r>
        <w:continuationSeparator/>
      </w:r>
    </w:p>
  </w:endnote>
  <w:endnote w:type="continuationNotice" w:id="1">
    <w:p w14:paraId="5F35E844" w14:textId="77777777" w:rsidR="00EC56D5" w:rsidRDefault="00EC56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adea">
    <w:altName w:val="Cambria Math"/>
    <w:charset w:val="00"/>
    <w:family w:val="roman"/>
    <w:pitch w:val="variable"/>
    <w:sig w:usb0="00000001"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gras">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Formata Light">
    <w:altName w:val="Calibri"/>
    <w:panose1 w:val="00000000000000000000"/>
    <w:charset w:val="00"/>
    <w:family w:val="swiss"/>
    <w:notTrueType/>
    <w:pitch w:val="default"/>
    <w:sig w:usb0="00000003" w:usb1="00000000" w:usb2="00000000" w:usb3="00000000" w:csb0="00000001" w:csb1="00000000"/>
  </w:font>
  <w:font w:name="Formata Regular">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ItalicMT">
    <w:altName w:val="Arial"/>
    <w:charset w:val="00"/>
    <w:family w:val="roman"/>
    <w:pitch w:val="default"/>
  </w:font>
  <w:font w:name="SymbolMT">
    <w:altName w:val="Microsoft JhengHei"/>
    <w:panose1 w:val="00000000000000000000"/>
    <w:charset w:val="88"/>
    <w:family w:val="auto"/>
    <w:notTrueType/>
    <w:pitch w:val="default"/>
    <w:sig w:usb0="00000001" w:usb1="08080000" w:usb2="00000010" w:usb3="00000000" w:csb0="00100000"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charset w:val="00"/>
    <w:family w:val="roman"/>
    <w:pitch w:val="default"/>
  </w:font>
  <w:font w:name="Georgia">
    <w:panose1 w:val="02040502050405020303"/>
    <w:charset w:val="00"/>
    <w:family w:val="roman"/>
    <w:pitch w:val="variable"/>
    <w:sig w:usb0="00000287" w:usb1="00000000" w:usb2="00000000" w:usb3="00000000" w:csb0="0000009F" w:csb1="00000000"/>
  </w:font>
  <w:font w:name="MS Mincho">
    <w:altName w:val="MS Mincho"/>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ohit Devanagari">
    <w:altName w:val="Cambria"/>
    <w:panose1 w:val="00000000000000000000"/>
    <w:charset w:val="00"/>
    <w:family w:val="roman"/>
    <w:notTrueType/>
    <w:pitch w:val="default"/>
  </w:font>
  <w:font w:name="DejaVu Serif">
    <w:altName w:val="Sylfaen"/>
    <w:charset w:val="00"/>
    <w:family w:val="roman"/>
    <w:pitch w:val="variable"/>
  </w:font>
  <w:font w:name="Arial Black">
    <w:panose1 w:val="020B0A04020102020204"/>
    <w:charset w:val="00"/>
    <w:family w:val="swiss"/>
    <w:pitch w:val="variable"/>
    <w:sig w:usb0="A00002AF" w:usb1="400078FB"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Proxima Nova Alt Rg">
    <w:panose1 w:val="00000000000000000000"/>
    <w:charset w:val="00"/>
    <w:family w:val="swiss"/>
    <w:notTrueType/>
    <w:pitch w:val="default"/>
    <w:sig w:usb0="00000003" w:usb1="00000000" w:usb2="00000000" w:usb3="00000000" w:csb0="00000001" w:csb1="00000000"/>
  </w:font>
  <w:font w:name="FiraSans-Light">
    <w:altName w:val="Calibri"/>
    <w:panose1 w:val="00000000000000000000"/>
    <w:charset w:val="00"/>
    <w:family w:val="swiss"/>
    <w:notTrueType/>
    <w:pitch w:val="default"/>
    <w:sig w:usb0="00000003" w:usb1="00000000" w:usb2="00000000" w:usb3="00000000" w:csb0="00000001" w:csb1="00000000"/>
  </w:font>
  <w:font w:name="Times-Roman">
    <w:charset w:val="00"/>
    <w:family w:val="auto"/>
    <w:pitch w:val="variable"/>
    <w:sig w:usb0="E00002FF" w:usb1="5000205A" w:usb2="00000000" w:usb3="00000000" w:csb0="0000019F" w:csb1="00000000"/>
  </w:font>
  <w:font w:name="Times-Bold">
    <w:charset w:val="00"/>
    <w:family w:val="auto"/>
    <w:pitch w:val="variable"/>
    <w:sig w:usb0="E00002FF" w:usb1="5000205A"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6B7CE" w14:textId="77777777" w:rsidR="006C5F2A" w:rsidRDefault="006C5F2A">
    <w:pPr>
      <w:pStyle w:val="Pieddepage"/>
      <w:jc w:val="right"/>
    </w:pPr>
    <w:r>
      <w:fldChar w:fldCharType="begin"/>
    </w:r>
    <w:r>
      <w:instrText>PAGE   \* MERGEFORMAT</w:instrText>
    </w:r>
    <w:r>
      <w:fldChar w:fldCharType="separate"/>
    </w:r>
    <w:r w:rsidR="00B05C7F">
      <w:rPr>
        <w:noProof/>
      </w:rPr>
      <w:t>xxvii</w:t>
    </w:r>
    <w:r>
      <w:fldChar w:fldCharType="end"/>
    </w:r>
  </w:p>
  <w:p w14:paraId="21562896" w14:textId="77777777" w:rsidR="006C5F2A" w:rsidRDefault="006C5F2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2A2CA" w14:textId="77777777" w:rsidR="006C5F2A" w:rsidRDefault="006C5F2A">
    <w:pPr>
      <w:pStyle w:val="Pieddepage"/>
      <w:jc w:val="right"/>
    </w:pPr>
    <w:r>
      <w:fldChar w:fldCharType="begin"/>
    </w:r>
    <w:r>
      <w:instrText>PAGE   \* MERGEFORMAT</w:instrText>
    </w:r>
    <w:r>
      <w:fldChar w:fldCharType="separate"/>
    </w:r>
    <w:r w:rsidR="00B05C7F">
      <w:rPr>
        <w:noProof/>
      </w:rPr>
      <w:t>yy</w:t>
    </w:r>
    <w:r>
      <w:fldChar w:fldCharType="end"/>
    </w:r>
  </w:p>
  <w:p w14:paraId="3B4BF63A" w14:textId="77777777" w:rsidR="006C5F2A" w:rsidRDefault="006C5F2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1EE58" w14:textId="77777777" w:rsidR="006C5F2A" w:rsidRDefault="006C5F2A">
    <w:pPr>
      <w:pStyle w:val="Pieddepage"/>
      <w:jc w:val="right"/>
    </w:pPr>
    <w:r>
      <w:fldChar w:fldCharType="begin"/>
    </w:r>
    <w:r>
      <w:instrText>PAGE   \* MERGEFORMAT</w:instrText>
    </w:r>
    <w:r>
      <w:fldChar w:fldCharType="separate"/>
    </w:r>
    <w:r w:rsidR="00B05C7F">
      <w:rPr>
        <w:noProof/>
      </w:rPr>
      <w:t>154</w:t>
    </w:r>
    <w:r>
      <w:fldChar w:fldCharType="end"/>
    </w:r>
  </w:p>
  <w:p w14:paraId="09C18069" w14:textId="77777777" w:rsidR="006C5F2A" w:rsidRDefault="006C5F2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0AAA5" w14:textId="77777777" w:rsidR="006C5F2A" w:rsidRDefault="006C5F2A" w:rsidP="00D12C6F">
    <w:pPr>
      <w:pStyle w:val="Pieddepage"/>
      <w:pBdr>
        <w:top w:val="single" w:sz="4" w:space="1" w:color="auto"/>
      </w:pBdr>
      <w:jc w:val="right"/>
    </w:pPr>
    <w:r>
      <w:fldChar w:fldCharType="begin"/>
    </w:r>
    <w:r>
      <w:instrText>PAGE   \* MERGEFORMAT</w:instrText>
    </w:r>
    <w:r>
      <w:fldChar w:fldCharType="separate"/>
    </w:r>
    <w:r w:rsidR="00B05C7F">
      <w:rPr>
        <w:noProof/>
      </w:rPr>
      <w:t>32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1B4D9" w14:textId="77777777" w:rsidR="006C5F2A" w:rsidRDefault="006C5F2A" w:rsidP="00D12C6F">
    <w:pPr>
      <w:pStyle w:val="Pieddepage"/>
      <w:pBdr>
        <w:top w:val="single" w:sz="4" w:space="1" w:color="auto"/>
      </w:pBdr>
      <w:jc w:val="right"/>
    </w:pPr>
    <w:r>
      <w:fldChar w:fldCharType="begin"/>
    </w:r>
    <w:r>
      <w:instrText>PAGE   \* MERGEFORMAT</w:instrText>
    </w:r>
    <w:r>
      <w:fldChar w:fldCharType="separate"/>
    </w:r>
    <w:r w:rsidR="00B05C7F">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E848A" w14:textId="77777777" w:rsidR="006C5F2A" w:rsidRDefault="006C5F2A">
    <w:pPr>
      <w:pStyle w:val="Pieddepage"/>
      <w:jc w:val="right"/>
    </w:pPr>
    <w:r>
      <w:fldChar w:fldCharType="begin"/>
    </w:r>
    <w:r>
      <w:instrText>PAGE   \* MERGEFORMAT</w:instrText>
    </w:r>
    <w:r>
      <w:fldChar w:fldCharType="separate"/>
    </w:r>
    <w:r w:rsidR="00B05C7F">
      <w:rPr>
        <w:noProof/>
      </w:rPr>
      <w:t>37</w:t>
    </w:r>
    <w:r>
      <w:fldChar w:fldCharType="end"/>
    </w:r>
  </w:p>
  <w:p w14:paraId="6CAF51B6" w14:textId="77777777" w:rsidR="006C5F2A" w:rsidRDefault="006C5F2A" w:rsidP="00D12C6F">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96E32" w14:textId="77777777" w:rsidR="006C5F2A" w:rsidRDefault="006C5F2A">
    <w:pPr>
      <w:pStyle w:val="Pieddepage"/>
      <w:jc w:val="right"/>
    </w:pPr>
    <w:r>
      <w:fldChar w:fldCharType="begin"/>
    </w:r>
    <w:r>
      <w:instrText>PAGE   \* MERGEFORMAT</w:instrText>
    </w:r>
    <w:r>
      <w:fldChar w:fldCharType="separate"/>
    </w:r>
    <w:r w:rsidR="00B05C7F">
      <w:rPr>
        <w:noProof/>
      </w:rPr>
      <w:t>49</w:t>
    </w:r>
    <w:r>
      <w:fldChar w:fldCharType="end"/>
    </w:r>
  </w:p>
  <w:p w14:paraId="24953CD9" w14:textId="77777777" w:rsidR="006C5F2A" w:rsidRDefault="006C5F2A" w:rsidP="00D12C6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2C778" w14:textId="77777777" w:rsidR="00EC56D5" w:rsidRDefault="00EC56D5" w:rsidP="00B749B6">
      <w:pPr>
        <w:spacing w:after="0" w:line="240" w:lineRule="auto"/>
      </w:pPr>
      <w:r>
        <w:separator/>
      </w:r>
    </w:p>
  </w:footnote>
  <w:footnote w:type="continuationSeparator" w:id="0">
    <w:p w14:paraId="0766CEA0" w14:textId="77777777" w:rsidR="00EC56D5" w:rsidRDefault="00EC56D5" w:rsidP="00B749B6">
      <w:pPr>
        <w:spacing w:after="0" w:line="240" w:lineRule="auto"/>
      </w:pPr>
      <w:r>
        <w:continuationSeparator/>
      </w:r>
    </w:p>
  </w:footnote>
  <w:footnote w:type="continuationNotice" w:id="1">
    <w:p w14:paraId="509F205E" w14:textId="77777777" w:rsidR="00EC56D5" w:rsidRDefault="00EC56D5">
      <w:pPr>
        <w:spacing w:after="0" w:line="240" w:lineRule="auto"/>
      </w:pPr>
    </w:p>
  </w:footnote>
  <w:footnote w:id="2">
    <w:p w14:paraId="1597CB30" w14:textId="77777777" w:rsidR="006C5F2A" w:rsidRDefault="006C5F2A" w:rsidP="00AC4FA3">
      <w:pPr>
        <w:pStyle w:val="Notedebasdepage"/>
        <w:rPr>
          <w:rFonts w:ascii="Arial" w:hAnsi="Arial" w:cs="Arial"/>
          <w:i/>
          <w:sz w:val="16"/>
          <w:szCs w:val="16"/>
        </w:rPr>
      </w:pPr>
      <w:r>
        <w:rPr>
          <w:rStyle w:val="Caractresdenotedebasdepage"/>
        </w:rPr>
        <w:footnoteRef/>
      </w:r>
      <w:r>
        <w:rPr>
          <w:rFonts w:ascii="Arial" w:hAnsi="Arial" w:cs="Arial"/>
          <w:i/>
          <w:sz w:val="16"/>
          <w:szCs w:val="16"/>
        </w:rPr>
        <w:t xml:space="preserve"> </w:t>
      </w:r>
      <w:r>
        <w:rPr>
          <w:rFonts w:ascii="Arial" w:hAnsi="Arial" w:cs="Arial"/>
          <w:i/>
          <w:sz w:val="16"/>
          <w:szCs w:val="16"/>
          <w:shd w:val="clear" w:color="auto" w:fill="FFFFFF"/>
        </w:rPr>
        <w:t>RIQUIER, R, </w:t>
      </w:r>
      <w:r>
        <w:rPr>
          <w:rStyle w:val="Accentuation"/>
          <w:rFonts w:ascii="Arial" w:hAnsi="Arial" w:cs="Arial"/>
          <w:bCs/>
          <w:sz w:val="16"/>
          <w:szCs w:val="16"/>
          <w:shd w:val="clear" w:color="auto" w:fill="FFFFFF"/>
        </w:rPr>
        <w:t>MOUREAUX</w:t>
      </w:r>
      <w:r>
        <w:rPr>
          <w:rFonts w:ascii="Arial" w:hAnsi="Arial" w:cs="Arial"/>
          <w:i/>
          <w:sz w:val="16"/>
          <w:szCs w:val="16"/>
          <w:shd w:val="clear" w:color="auto" w:fill="FFFFFF"/>
        </w:rPr>
        <w:t> (</w:t>
      </w:r>
      <w:r>
        <w:rPr>
          <w:rStyle w:val="Accentuation"/>
          <w:rFonts w:ascii="Arial" w:hAnsi="Arial" w:cs="Arial"/>
          <w:bCs/>
          <w:sz w:val="16"/>
          <w:szCs w:val="16"/>
          <w:shd w:val="clear" w:color="auto" w:fill="FFFFFF"/>
        </w:rPr>
        <w:t>C</w:t>
      </w:r>
      <w:r>
        <w:rPr>
          <w:rFonts w:ascii="Arial" w:hAnsi="Arial" w:cs="Arial"/>
          <w:i/>
          <w:sz w:val="16"/>
          <w:szCs w:val="16"/>
          <w:shd w:val="clear" w:color="auto" w:fill="FFFFFF"/>
        </w:rPr>
        <w:t xml:space="preserve">.)- </w:t>
      </w:r>
      <w:r w:rsidRPr="00055101">
        <w:rPr>
          <w:rFonts w:ascii="Arial" w:hAnsi="Arial" w:cs="Arial"/>
          <w:i/>
          <w:sz w:val="16"/>
          <w:szCs w:val="16"/>
          <w:shd w:val="clear" w:color="auto" w:fill="FFFFFF"/>
        </w:rPr>
        <w:t>195</w:t>
      </w:r>
      <w:r>
        <w:rPr>
          <w:rFonts w:ascii="Arial" w:hAnsi="Arial" w:cs="Arial"/>
          <w:i/>
          <w:sz w:val="16"/>
          <w:szCs w:val="16"/>
          <w:shd w:val="clear" w:color="auto" w:fill="FFFFFF"/>
        </w:rPr>
        <w:t>7</w:t>
      </w:r>
      <w:r w:rsidRPr="00055101">
        <w:rPr>
          <w:rFonts w:ascii="Arial" w:hAnsi="Arial" w:cs="Arial"/>
          <w:i/>
          <w:sz w:val="16"/>
          <w:szCs w:val="16"/>
          <w:shd w:val="clear" w:color="auto" w:fill="FFFFFF"/>
        </w:rPr>
        <w:t xml:space="preserve">- </w:t>
      </w:r>
      <w:r>
        <w:rPr>
          <w:rFonts w:ascii="Arial" w:hAnsi="Arial" w:cs="Arial"/>
          <w:i/>
          <w:sz w:val="16"/>
          <w:szCs w:val="16"/>
          <w:shd w:val="clear" w:color="auto" w:fill="FFFFFF"/>
        </w:rPr>
        <w:t>les Sols  Malgache : Pédologie et types principaux,. CR 3</w:t>
      </w:r>
      <w:r w:rsidRPr="00244E1F">
        <w:rPr>
          <w:rFonts w:ascii="Arial" w:hAnsi="Arial" w:cs="Arial"/>
          <w:i/>
          <w:sz w:val="16"/>
          <w:szCs w:val="16"/>
          <w:shd w:val="clear" w:color="auto" w:fill="FFFFFF"/>
          <w:vertAlign w:val="superscript"/>
        </w:rPr>
        <w:t>ème</w:t>
      </w:r>
      <w:r>
        <w:rPr>
          <w:rFonts w:ascii="Arial" w:hAnsi="Arial" w:cs="Arial"/>
          <w:i/>
          <w:sz w:val="16"/>
          <w:szCs w:val="16"/>
          <w:shd w:val="clear" w:color="auto" w:fill="FFFFFF"/>
        </w:rPr>
        <w:t xml:space="preserve"> Congrès PIOSA Tananarive. pp 5 - 12</w:t>
      </w:r>
    </w:p>
  </w:footnote>
  <w:footnote w:id="3">
    <w:p w14:paraId="7B5ABD03" w14:textId="77777777" w:rsidR="006C5F2A" w:rsidRPr="00CB3BD6" w:rsidRDefault="006C5F2A" w:rsidP="0017227E">
      <w:pPr>
        <w:pStyle w:val="Notedebasdepage"/>
        <w:rPr>
          <w:rFonts w:ascii="Arial" w:hAnsi="Arial" w:cs="Arial"/>
          <w:i/>
          <w:sz w:val="16"/>
        </w:rPr>
      </w:pPr>
      <w:r w:rsidRPr="00CB3BD6">
        <w:rPr>
          <w:rStyle w:val="Appelnotedebasdep"/>
          <w:rFonts w:ascii="Arial" w:hAnsi="Arial" w:cs="Arial"/>
          <w:i/>
          <w:sz w:val="16"/>
        </w:rPr>
        <w:footnoteRef/>
      </w:r>
      <w:r w:rsidRPr="00CB3BD6">
        <w:rPr>
          <w:rFonts w:ascii="Arial" w:hAnsi="Arial" w:cs="Arial"/>
          <w:i/>
          <w:sz w:val="16"/>
        </w:rPr>
        <w:t xml:space="preserve"> 81,9% de la population vivent sous le seuil de pauvreté international de 2,15$US/hab/jour en 2020. Ce taux de pauvreté constitue un record historique pour Madagascar.</w:t>
      </w:r>
    </w:p>
  </w:footnote>
  <w:footnote w:id="4">
    <w:p w14:paraId="63120E5B" w14:textId="77777777" w:rsidR="006C5F2A" w:rsidRPr="00CB3BD6" w:rsidRDefault="006C5F2A" w:rsidP="0017227E">
      <w:pPr>
        <w:pStyle w:val="Notedebasdepage"/>
        <w:rPr>
          <w:rFonts w:ascii="Arial" w:hAnsi="Arial" w:cs="Arial"/>
          <w:i/>
          <w:sz w:val="16"/>
        </w:rPr>
      </w:pPr>
      <w:r w:rsidRPr="00CB3BD6">
        <w:rPr>
          <w:rStyle w:val="Appelnotedebasdep"/>
          <w:rFonts w:ascii="Arial" w:hAnsi="Arial" w:cs="Arial"/>
          <w:i/>
          <w:sz w:val="16"/>
        </w:rPr>
        <w:footnoteRef/>
      </w:r>
      <w:r w:rsidRPr="00CB3BD6">
        <w:rPr>
          <w:rFonts w:ascii="Arial" w:hAnsi="Arial" w:cs="Arial"/>
          <w:i/>
          <w:sz w:val="16"/>
        </w:rPr>
        <w:t xml:space="preserve"> Le réseau est constitué par les 3 réseaux d’Interconnexion (RIA, RIT, RIF) assurant la couverture en électricité des grandes villes comme Antananarivo, Antsirabe, Fianarantsoa, Toamasina. Pour renforcer ces réseaux, notamment entre les régions d’Analamanga et Atsinanana) et assurer leur interconnexion, le projet PRIRTEM (Projet de Renforcement et d’Interconnexion des Réseaux de Transport) sur financement multi bailleurs est actuellement en cours. </w:t>
      </w:r>
    </w:p>
  </w:footnote>
  <w:footnote w:id="5">
    <w:p w14:paraId="46BD930C" w14:textId="77777777" w:rsidR="006C5F2A" w:rsidRPr="00CB3BD6" w:rsidRDefault="006C5F2A" w:rsidP="0017227E">
      <w:pPr>
        <w:pStyle w:val="Notedebasdepage"/>
        <w:rPr>
          <w:rFonts w:ascii="Arial" w:hAnsi="Arial" w:cs="Arial"/>
          <w:i/>
          <w:sz w:val="16"/>
        </w:rPr>
      </w:pPr>
      <w:r w:rsidRPr="00CB3BD6">
        <w:rPr>
          <w:rStyle w:val="Appelnotedebasdep"/>
          <w:rFonts w:ascii="Arial" w:hAnsi="Arial" w:cs="Arial"/>
          <w:i/>
          <w:sz w:val="16"/>
        </w:rPr>
        <w:footnoteRef/>
      </w:r>
      <w:r w:rsidRPr="00CB3BD6">
        <w:rPr>
          <w:rFonts w:ascii="Arial" w:hAnsi="Arial" w:cs="Arial"/>
          <w:i/>
          <w:sz w:val="16"/>
        </w:rPr>
        <w:t xml:space="preserve"> Les réseaux isolés au nombre de 95, localisés en grande partie dans les chefs-lieux de district, sont gérés par la JIRAMA (38 sites), le secteur privé (42 sites) et conjointement par JIRAMA et le </w:t>
      </w:r>
      <w:r>
        <w:rPr>
          <w:rFonts w:ascii="Arial" w:hAnsi="Arial" w:cs="Arial"/>
          <w:i/>
          <w:sz w:val="16"/>
        </w:rPr>
        <w:t xml:space="preserve">secteur </w:t>
      </w:r>
      <w:r w:rsidRPr="00CB3BD6">
        <w:rPr>
          <w:rFonts w:ascii="Arial" w:hAnsi="Arial" w:cs="Arial"/>
          <w:i/>
          <w:sz w:val="16"/>
        </w:rPr>
        <w:t>privé (15 sites). Ces réseaux sont alimentés en général par du carburant diesel.</w:t>
      </w:r>
    </w:p>
  </w:footnote>
  <w:footnote w:id="6">
    <w:p w14:paraId="71BF12F7" w14:textId="77777777" w:rsidR="006C5F2A" w:rsidRPr="00CB3BD6" w:rsidRDefault="006C5F2A" w:rsidP="0017227E">
      <w:pPr>
        <w:pStyle w:val="Notedebasdepage"/>
        <w:rPr>
          <w:rFonts w:ascii="Arial" w:hAnsi="Arial" w:cs="Arial"/>
          <w:i/>
          <w:sz w:val="16"/>
        </w:rPr>
      </w:pPr>
      <w:r w:rsidRPr="00CB3BD6">
        <w:rPr>
          <w:rStyle w:val="Appelnotedebasdep"/>
          <w:rFonts w:ascii="Arial" w:hAnsi="Arial" w:cs="Arial"/>
          <w:i/>
          <w:sz w:val="16"/>
        </w:rPr>
        <w:footnoteRef/>
      </w:r>
      <w:r w:rsidRPr="00CB3BD6">
        <w:rPr>
          <w:rFonts w:ascii="Arial" w:hAnsi="Arial" w:cs="Arial"/>
          <w:i/>
          <w:sz w:val="16"/>
        </w:rPr>
        <w:t xml:space="preserve"> Les mini-réseaux sont gérés par le secteur privé. Ils couvrent les zones rurales sous la conduite de l’ADER, maîtrise d’ouvrage et attributaire du marché. 147 mini-réseaux ont été construits depuis 2004, date de création de l’ADER.</w:t>
      </w:r>
    </w:p>
  </w:footnote>
  <w:footnote w:id="7">
    <w:p w14:paraId="4A47853E" w14:textId="77777777" w:rsidR="006C5F2A" w:rsidRPr="00EF1CA7" w:rsidRDefault="006C5F2A" w:rsidP="00DB4448">
      <w:pPr>
        <w:pStyle w:val="Notedebasdepage"/>
      </w:pPr>
      <w:r>
        <w:rPr>
          <w:rStyle w:val="Appelnotedebasdep"/>
        </w:rPr>
        <w:footnoteRef/>
      </w:r>
      <w:r>
        <w:t xml:space="preserve"> L’exemple de Mozambique est pris comme référence (source Document PID du projet, Banque mondiale, juillet 2022.)</w:t>
      </w:r>
    </w:p>
  </w:footnote>
  <w:footnote w:id="8">
    <w:p w14:paraId="34CF6A93" w14:textId="77777777" w:rsidR="006C5F2A" w:rsidRPr="00DB4448" w:rsidRDefault="006C5F2A" w:rsidP="00DB4448">
      <w:pPr>
        <w:pStyle w:val="Notedebasdepage"/>
        <w:rPr>
          <w:rFonts w:ascii="Arial" w:hAnsi="Arial" w:cs="Arial"/>
          <w:i/>
          <w:sz w:val="16"/>
        </w:rPr>
      </w:pPr>
      <w:r w:rsidRPr="00DB4448">
        <w:rPr>
          <w:rStyle w:val="Appelnotedebasdep"/>
          <w:rFonts w:ascii="Arial" w:hAnsi="Arial" w:cs="Arial"/>
          <w:i/>
          <w:sz w:val="16"/>
        </w:rPr>
        <w:footnoteRef/>
      </w:r>
      <w:r w:rsidRPr="00DB4448">
        <w:rPr>
          <w:rFonts w:ascii="Arial" w:hAnsi="Arial" w:cs="Arial"/>
          <w:i/>
          <w:sz w:val="16"/>
        </w:rPr>
        <w:t xml:space="preserve"> FNED : Fonds National de l’Energie Durable</w:t>
      </w:r>
    </w:p>
  </w:footnote>
  <w:footnote w:id="9">
    <w:p w14:paraId="14385515" w14:textId="77777777" w:rsidR="006C5F2A" w:rsidRPr="00DB4448" w:rsidRDefault="006C5F2A" w:rsidP="00DB4448">
      <w:pPr>
        <w:pStyle w:val="Notedebasdepage"/>
        <w:rPr>
          <w:rFonts w:ascii="Arial" w:hAnsi="Arial" w:cs="Arial"/>
          <w:i/>
          <w:sz w:val="16"/>
        </w:rPr>
      </w:pPr>
      <w:r w:rsidRPr="00DB4448">
        <w:rPr>
          <w:rStyle w:val="Appelnotedebasdep"/>
          <w:rFonts w:ascii="Arial" w:hAnsi="Arial" w:cs="Arial"/>
          <w:i/>
          <w:sz w:val="16"/>
        </w:rPr>
        <w:footnoteRef/>
      </w:r>
      <w:r w:rsidRPr="00DB4448">
        <w:rPr>
          <w:rFonts w:ascii="Arial" w:hAnsi="Arial" w:cs="Arial"/>
          <w:i/>
          <w:sz w:val="16"/>
        </w:rPr>
        <w:t xml:space="preserve"> FDMHR : Fonds du Développement du Marché Hors Réseau</w:t>
      </w:r>
    </w:p>
  </w:footnote>
  <w:footnote w:id="10">
    <w:p w14:paraId="5024CBA3" w14:textId="77777777" w:rsidR="006C5F2A" w:rsidRPr="00DB4448" w:rsidRDefault="006C5F2A" w:rsidP="00DB4448">
      <w:pPr>
        <w:pStyle w:val="Notedebasdepage"/>
        <w:rPr>
          <w:rFonts w:ascii="Arial" w:hAnsi="Arial" w:cs="Arial"/>
          <w:i/>
          <w:sz w:val="16"/>
        </w:rPr>
      </w:pPr>
      <w:r w:rsidRPr="00DB4448">
        <w:rPr>
          <w:rStyle w:val="Appelnotedebasdep"/>
          <w:rFonts w:ascii="Arial" w:hAnsi="Arial" w:cs="Arial"/>
          <w:i/>
          <w:sz w:val="16"/>
        </w:rPr>
        <w:footnoteRef/>
      </w:r>
      <w:r w:rsidRPr="00DB4448">
        <w:rPr>
          <w:rFonts w:ascii="Arial" w:hAnsi="Arial" w:cs="Arial"/>
          <w:i/>
          <w:sz w:val="16"/>
        </w:rPr>
        <w:t xml:space="preserve"> FDTIC : Fonds de Développement des Technologies de l’Information et de la Communication </w:t>
      </w:r>
    </w:p>
  </w:footnote>
  <w:footnote w:id="11">
    <w:p w14:paraId="2EA51138" w14:textId="77777777" w:rsidR="006C5F2A" w:rsidRPr="006A5CF0" w:rsidRDefault="006C5F2A" w:rsidP="00DB4448">
      <w:pPr>
        <w:pStyle w:val="Notedebasdepage"/>
      </w:pPr>
      <w:r w:rsidRPr="00DB4448">
        <w:rPr>
          <w:rStyle w:val="Appelnotedebasdep"/>
          <w:rFonts w:ascii="Arial" w:hAnsi="Arial" w:cs="Arial"/>
          <w:i/>
          <w:sz w:val="16"/>
        </w:rPr>
        <w:footnoteRef/>
      </w:r>
      <w:r w:rsidRPr="00DB4448">
        <w:rPr>
          <w:rFonts w:ascii="Arial" w:hAnsi="Arial" w:cs="Arial"/>
          <w:i/>
          <w:sz w:val="16"/>
        </w:rPr>
        <w:t xml:space="preserve"> L’hybridation concerne une partie des 95 réseaux isolés exploités par JIRAMA. L’hybridation des réseaux isolés exploitée partiellement ou entièrement par le secteur privé dépendra des résultats d’étude effectués sur eux.</w:t>
      </w:r>
    </w:p>
  </w:footnote>
  <w:footnote w:id="12">
    <w:p w14:paraId="0D92657E" w14:textId="77777777" w:rsidR="006C5F2A" w:rsidRPr="00742D67" w:rsidRDefault="006C5F2A" w:rsidP="00DB4448">
      <w:pPr>
        <w:pStyle w:val="Notedebasdepage"/>
        <w:rPr>
          <w:rFonts w:ascii="Arial" w:hAnsi="Arial" w:cs="Arial"/>
          <w:i/>
          <w:sz w:val="16"/>
        </w:rPr>
      </w:pPr>
      <w:r w:rsidRPr="00B434A6">
        <w:rPr>
          <w:rStyle w:val="Appelnotedebasdep"/>
          <w:rFonts w:ascii="Arial" w:hAnsi="Arial" w:cs="Arial"/>
          <w:i/>
          <w:sz w:val="16"/>
        </w:rPr>
        <w:footnoteRef/>
      </w:r>
      <w:r w:rsidRPr="00B434A6">
        <w:rPr>
          <w:rFonts w:ascii="Arial" w:hAnsi="Arial" w:cs="Arial"/>
          <w:i/>
          <w:sz w:val="16"/>
        </w:rPr>
        <w:t xml:space="preserve"> </w:t>
      </w:r>
      <w:r w:rsidRPr="00742D67">
        <w:rPr>
          <w:rFonts w:ascii="Arial" w:hAnsi="Arial" w:cs="Arial"/>
          <w:i/>
          <w:sz w:val="16"/>
        </w:rPr>
        <w:t>C’est une composante du projet LEAD qui soutient une série de mécanismes financiers ciblant les goulots d'étranglement les plus critiques du développement d'entreprise identifiés par l'évaluation du marché hors réseau, et qui permet aux entreprises et aux IMF des TSHR d'accorder des crédits et de vendre des produits TSHR aux ménages et aux micro, petites et moyennes entreprises</w:t>
      </w:r>
    </w:p>
  </w:footnote>
  <w:footnote w:id="13">
    <w:p w14:paraId="444C4593" w14:textId="77777777" w:rsidR="006C5F2A" w:rsidRPr="00B434A6" w:rsidRDefault="006C5F2A" w:rsidP="00B434A6">
      <w:pPr>
        <w:spacing w:after="0" w:line="240" w:lineRule="auto"/>
        <w:rPr>
          <w:rFonts w:ascii="Arial" w:hAnsi="Arial" w:cs="Arial"/>
          <w:i/>
          <w:sz w:val="16"/>
          <w:szCs w:val="16"/>
        </w:rPr>
      </w:pPr>
      <w:r w:rsidRPr="00B434A6">
        <w:rPr>
          <w:rStyle w:val="Appelnotedebasdep"/>
          <w:rFonts w:ascii="Arial" w:hAnsi="Arial" w:cs="Arial"/>
          <w:i/>
          <w:sz w:val="16"/>
          <w:szCs w:val="16"/>
        </w:rPr>
        <w:footnoteRef/>
      </w:r>
      <w:r w:rsidRPr="00B434A6">
        <w:rPr>
          <w:rFonts w:ascii="Arial" w:hAnsi="Arial" w:cs="Arial"/>
          <w:i/>
          <w:sz w:val="16"/>
          <w:szCs w:val="16"/>
          <w:lang w:val="en-US"/>
        </w:rPr>
        <w:t xml:space="preserve"> PAGOSE. 2022. </w:t>
      </w:r>
      <w:r w:rsidRPr="00B434A6">
        <w:rPr>
          <w:rFonts w:ascii="Arial" w:hAnsi="Arial" w:cs="Arial"/>
          <w:bCs/>
          <w:i/>
          <w:sz w:val="16"/>
          <w:szCs w:val="16"/>
          <w:lang w:val="en-US"/>
        </w:rPr>
        <w:t xml:space="preserve">Technical Assistance on the Feasibility Study of the Rural Electrification Development Project by Renewable Energy Plants and Mini-Grids of the SREP programme. </w:t>
      </w:r>
      <w:r w:rsidRPr="00B434A6">
        <w:rPr>
          <w:rFonts w:ascii="Arial" w:hAnsi="Arial" w:cs="Arial"/>
          <w:bCs/>
          <w:i/>
          <w:sz w:val="16"/>
          <w:szCs w:val="16"/>
        </w:rPr>
        <w:t xml:space="preserve">Summary repport JIRAMA; ADER. IDA. 27p </w:t>
      </w:r>
    </w:p>
    <w:p w14:paraId="3D15F816" w14:textId="77777777" w:rsidR="006C5F2A" w:rsidRDefault="006C5F2A">
      <w:pPr>
        <w:pStyle w:val="Notedebasdepage"/>
      </w:pPr>
    </w:p>
  </w:footnote>
  <w:footnote w:id="14">
    <w:p w14:paraId="0EDB3C1C" w14:textId="77777777" w:rsidR="006C5F2A" w:rsidRDefault="006C5F2A" w:rsidP="000171C4">
      <w:pPr>
        <w:pStyle w:val="Notedebasdepage"/>
      </w:pPr>
      <w:r>
        <w:rPr>
          <w:rStyle w:val="Appelnotedebasdep"/>
        </w:rPr>
        <w:footnoteRef/>
      </w:r>
      <w:r>
        <w:t xml:space="preserve"> Ministère des postes, des Télécommunications, et des Nouvelles Technologies, Décret N°2014-1652 du 30 Octobre 2014 portant Cadrage de la Mutualisation dans le secteur des Télécommunications.</w:t>
      </w:r>
    </w:p>
  </w:footnote>
  <w:footnote w:id="15">
    <w:p w14:paraId="0B9DC907" w14:textId="77777777" w:rsidR="006C5F2A" w:rsidRPr="00B434A6" w:rsidRDefault="006C5F2A" w:rsidP="000171C4">
      <w:pPr>
        <w:pStyle w:val="Notedebasdepage"/>
        <w:rPr>
          <w:rFonts w:ascii="Arial" w:hAnsi="Arial" w:cs="Arial"/>
          <w:sz w:val="16"/>
        </w:rPr>
      </w:pPr>
      <w:r w:rsidRPr="00B434A6">
        <w:rPr>
          <w:rStyle w:val="Appelnotedebasdep"/>
          <w:rFonts w:ascii="Arial" w:hAnsi="Arial" w:cs="Arial"/>
          <w:sz w:val="16"/>
        </w:rPr>
        <w:footnoteRef/>
      </w:r>
      <w:r w:rsidRPr="00B434A6">
        <w:rPr>
          <w:rFonts w:ascii="Arial" w:hAnsi="Arial" w:cs="Arial"/>
          <w:sz w:val="16"/>
        </w:rPr>
        <w:t xml:space="preserve"> </w:t>
      </w:r>
      <w:r w:rsidRPr="00B434A6">
        <w:rPr>
          <w:rStyle w:val="lev"/>
          <w:rFonts w:ascii="Arial" w:hAnsi="Arial" w:cs="Arial"/>
          <w:sz w:val="16"/>
        </w:rPr>
        <w:t>1 Mb/s</w:t>
      </w:r>
      <w:r w:rsidRPr="00B434A6">
        <w:rPr>
          <w:rFonts w:ascii="Arial" w:hAnsi="Arial" w:cs="Arial"/>
          <w:sz w:val="16"/>
        </w:rPr>
        <w:t xml:space="preserve"> (ou Mbps ou Mbit/s) : un mégabit par seconde correspond à 1 000 bits passant en une seconde</w:t>
      </w:r>
    </w:p>
  </w:footnote>
  <w:footnote w:id="16">
    <w:p w14:paraId="3F35D6A1" w14:textId="77777777" w:rsidR="006C5F2A" w:rsidRDefault="006C5F2A" w:rsidP="000171C4">
      <w:pPr>
        <w:pStyle w:val="Notedebasdepage"/>
      </w:pPr>
      <w:r>
        <w:rPr>
          <w:rStyle w:val="Appelnotedebasdep"/>
        </w:rPr>
        <w:footnoteRef/>
      </w:r>
      <w:r>
        <w:t xml:space="preserve"> V/m : volts par mètre</w:t>
      </w:r>
    </w:p>
  </w:footnote>
  <w:footnote w:id="17">
    <w:p w14:paraId="0F77A41A" w14:textId="77777777" w:rsidR="006C5F2A" w:rsidRPr="00B434A6" w:rsidRDefault="006C5F2A">
      <w:pPr>
        <w:pStyle w:val="Notedebasdepage"/>
        <w:rPr>
          <w:rFonts w:ascii="Arial" w:hAnsi="Arial" w:cs="Arial"/>
          <w:i/>
          <w:sz w:val="16"/>
        </w:rPr>
      </w:pPr>
      <w:r w:rsidRPr="00B434A6">
        <w:rPr>
          <w:rStyle w:val="Appelnotedebasdep"/>
          <w:rFonts w:ascii="Arial" w:hAnsi="Arial" w:cs="Arial"/>
          <w:i/>
          <w:sz w:val="16"/>
        </w:rPr>
        <w:footnoteRef/>
      </w:r>
      <w:r w:rsidRPr="00B434A6">
        <w:rPr>
          <w:rFonts w:ascii="Arial" w:hAnsi="Arial" w:cs="Arial"/>
          <w:i/>
          <w:sz w:val="16"/>
        </w:rPr>
        <w:t xml:space="preserve"> </w:t>
      </w:r>
      <w:r w:rsidRPr="00B915AC">
        <w:rPr>
          <w:rFonts w:cs="Calibri"/>
          <w:iCs/>
        </w:rPr>
        <w:t>Entretien effectué avec le Chef de service SSOO, SOMC le 20/12/2022</w:t>
      </w:r>
    </w:p>
  </w:footnote>
  <w:footnote w:id="18">
    <w:p w14:paraId="7BDF231A" w14:textId="77777777" w:rsidR="006C5F2A" w:rsidRPr="00F77D01" w:rsidRDefault="006C5F2A" w:rsidP="00F77D01">
      <w:pPr>
        <w:spacing w:after="0" w:line="240" w:lineRule="auto"/>
        <w:jc w:val="both"/>
        <w:rPr>
          <w:rFonts w:ascii="Arial" w:hAnsi="Arial" w:cs="Arial"/>
          <w:i/>
          <w:sz w:val="16"/>
        </w:rPr>
      </w:pPr>
      <w:r w:rsidRPr="00F77D01">
        <w:rPr>
          <w:rFonts w:ascii="Arial" w:hAnsi="Arial" w:cs="Arial"/>
          <w:i/>
          <w:sz w:val="16"/>
        </w:rPr>
        <w:footnoteRef/>
      </w:r>
      <w:r w:rsidRPr="00F77D01">
        <w:rPr>
          <w:rFonts w:ascii="Arial" w:hAnsi="Arial" w:cs="Arial"/>
          <w:i/>
          <w:sz w:val="16"/>
        </w:rPr>
        <w:t xml:space="preserve"> RAMANATENASOA, F.J.E. 2021. Contribution à l’évaluation des Risques cycloniques à Madagascar. Mêm. Master. ESPA. Univ. Antananarivo. 136p</w:t>
      </w:r>
    </w:p>
  </w:footnote>
  <w:footnote w:id="19">
    <w:p w14:paraId="3A529C59" w14:textId="77777777" w:rsidR="006C5F2A" w:rsidRPr="00A8736A" w:rsidRDefault="006C5F2A" w:rsidP="00F77D01">
      <w:pPr>
        <w:spacing w:after="0" w:line="240" w:lineRule="auto"/>
        <w:jc w:val="both"/>
        <w:rPr>
          <w:rFonts w:ascii="Arial" w:hAnsi="Arial" w:cs="Arial"/>
          <w:i/>
          <w:sz w:val="16"/>
        </w:rPr>
      </w:pPr>
      <w:r w:rsidRPr="00F77D01">
        <w:rPr>
          <w:rFonts w:ascii="Arial" w:hAnsi="Arial" w:cs="Arial"/>
          <w:i/>
          <w:sz w:val="16"/>
        </w:rPr>
        <w:footnoteRef/>
      </w:r>
      <w:r w:rsidRPr="00F77D01">
        <w:rPr>
          <w:rFonts w:ascii="Arial" w:hAnsi="Arial" w:cs="Arial"/>
          <w:i/>
          <w:sz w:val="16"/>
        </w:rPr>
        <w:t xml:space="preserve"> Méteo Malagasy. 2014. Atlas Climatologique de Madagascar. </w:t>
      </w:r>
      <w:r w:rsidRPr="00A8736A">
        <w:rPr>
          <w:rFonts w:ascii="Arial" w:hAnsi="Arial" w:cs="Arial"/>
          <w:i/>
          <w:sz w:val="16"/>
        </w:rPr>
        <w:t>92p</w:t>
      </w:r>
    </w:p>
  </w:footnote>
  <w:footnote w:id="20">
    <w:p w14:paraId="0E44DE92" w14:textId="77777777" w:rsidR="006C5F2A" w:rsidRPr="00A8736A" w:rsidRDefault="006C5F2A">
      <w:pPr>
        <w:pStyle w:val="Notedebasdepage"/>
        <w:rPr>
          <w:rFonts w:ascii="Arial" w:hAnsi="Arial" w:cs="Arial"/>
          <w:i/>
          <w:sz w:val="16"/>
        </w:rPr>
      </w:pPr>
      <w:r w:rsidRPr="00A8736A">
        <w:rPr>
          <w:rStyle w:val="Appelnotedebasdep"/>
          <w:rFonts w:ascii="Arial" w:hAnsi="Arial" w:cs="Arial"/>
          <w:i/>
          <w:sz w:val="16"/>
        </w:rPr>
        <w:footnoteRef/>
      </w:r>
      <w:r w:rsidRPr="00A8736A">
        <w:rPr>
          <w:rFonts w:ascii="Arial" w:hAnsi="Arial" w:cs="Arial"/>
          <w:i/>
          <w:sz w:val="16"/>
        </w:rPr>
        <w:t xml:space="preserve"> Météo Malagasy. 2014. Atlas Climatologique de Madagascar.</w:t>
      </w:r>
      <w:r>
        <w:rPr>
          <w:rFonts w:ascii="Arial" w:hAnsi="Arial" w:cs="Arial"/>
          <w:i/>
          <w:sz w:val="16"/>
        </w:rPr>
        <w:t xml:space="preserve"> www</w:t>
      </w:r>
      <w:r w:rsidRPr="00A8736A">
        <w:rPr>
          <w:rFonts w:ascii="Arial" w:hAnsi="Arial" w:cs="Arial"/>
          <w:i/>
          <w:sz w:val="16"/>
        </w:rPr>
        <w:t>.météomadagascar.mg. 92p</w:t>
      </w:r>
    </w:p>
  </w:footnote>
  <w:footnote w:id="21">
    <w:p w14:paraId="031B5186" w14:textId="77777777" w:rsidR="006C5F2A" w:rsidRPr="00B434A6" w:rsidRDefault="006C5F2A">
      <w:pPr>
        <w:pStyle w:val="Notedebasdepage"/>
        <w:rPr>
          <w:rFonts w:ascii="Arial" w:hAnsi="Arial" w:cs="Arial"/>
          <w:i/>
        </w:rPr>
      </w:pPr>
      <w:r w:rsidRPr="00B434A6">
        <w:rPr>
          <w:rStyle w:val="Appelnotedebasdep"/>
          <w:rFonts w:ascii="Arial" w:hAnsi="Arial" w:cs="Arial"/>
          <w:i/>
          <w:sz w:val="16"/>
        </w:rPr>
        <w:footnoteRef/>
      </w:r>
      <w:r w:rsidRPr="00B434A6">
        <w:rPr>
          <w:rFonts w:ascii="Arial" w:hAnsi="Arial" w:cs="Arial"/>
          <w:i/>
          <w:sz w:val="16"/>
        </w:rPr>
        <w:t xml:space="preserve"> https://www.banquemondiale.org/fr/news/feature/2018/10/10/the-force-of-the-sun-madagascar-embarks-on-renewable-energy-production#:~:text=Le%20pays%20a%20pourtant%20un,ensoleillement%20annuel%20dont%20il%20b%C3%A9n%C3%A9ficie.</w:t>
      </w:r>
    </w:p>
  </w:footnote>
  <w:footnote w:id="22">
    <w:p w14:paraId="4A1323EC" w14:textId="77777777" w:rsidR="006C5F2A" w:rsidRPr="00B434A6" w:rsidRDefault="006C5F2A">
      <w:pPr>
        <w:pStyle w:val="Notedebasdepage"/>
        <w:rPr>
          <w:rFonts w:ascii="Arial" w:hAnsi="Arial" w:cs="Arial"/>
          <w:i/>
          <w:sz w:val="16"/>
        </w:rPr>
      </w:pPr>
      <w:r w:rsidRPr="00B434A6">
        <w:rPr>
          <w:rStyle w:val="Appelnotedebasdep"/>
          <w:rFonts w:ascii="Arial" w:hAnsi="Arial" w:cs="Arial"/>
          <w:i/>
          <w:sz w:val="16"/>
        </w:rPr>
        <w:footnoteRef/>
      </w:r>
      <w:r w:rsidRPr="00B434A6">
        <w:rPr>
          <w:rFonts w:ascii="Arial" w:hAnsi="Arial" w:cs="Arial"/>
          <w:i/>
          <w:sz w:val="16"/>
        </w:rPr>
        <w:t xml:space="preserve"> https://www.donneesmondiales.com/afrique/madagascar/climat.php</w:t>
      </w:r>
    </w:p>
  </w:footnote>
  <w:footnote w:id="23">
    <w:p w14:paraId="5B55EEF3" w14:textId="77777777" w:rsidR="006C5F2A" w:rsidRPr="00AA1DAD" w:rsidRDefault="006C5F2A" w:rsidP="000F6597">
      <w:pPr>
        <w:pStyle w:val="Notedebasdepage"/>
        <w:rPr>
          <w:rFonts w:ascii="Arial" w:hAnsi="Arial" w:cs="Arial"/>
          <w:i/>
        </w:rPr>
      </w:pPr>
      <w:r w:rsidRPr="00AA1DAD">
        <w:rPr>
          <w:rStyle w:val="Appelnotedebasdep"/>
          <w:rFonts w:ascii="Arial" w:hAnsi="Arial" w:cs="Arial"/>
          <w:i/>
          <w:sz w:val="16"/>
        </w:rPr>
        <w:footnoteRef/>
      </w:r>
      <w:r w:rsidRPr="00AA1DAD">
        <w:rPr>
          <w:rFonts w:ascii="Arial" w:hAnsi="Arial" w:cs="Arial"/>
          <w:i/>
          <w:sz w:val="16"/>
        </w:rPr>
        <w:t xml:space="preserve"> https://www.primature.gov.mg/cpgu/wp-content/uploads/2015/02/Brochure-GPRCIM.pdf</w:t>
      </w:r>
    </w:p>
  </w:footnote>
  <w:footnote w:id="24">
    <w:p w14:paraId="0ABCC56F" w14:textId="77777777" w:rsidR="006C5F2A" w:rsidRPr="00A8736A" w:rsidRDefault="006C5F2A">
      <w:pPr>
        <w:pStyle w:val="Notedebasdepage"/>
      </w:pPr>
      <w:r>
        <w:rPr>
          <w:rStyle w:val="Appelnotedebasdep"/>
        </w:rPr>
        <w:footnoteRef/>
      </w:r>
      <w:r w:rsidRPr="00A8736A">
        <w:t xml:space="preserve"> </w:t>
      </w:r>
      <w:hyperlink r:id="rId1" w:history="1">
        <w:r w:rsidRPr="001B035F">
          <w:rPr>
            <w:rStyle w:val="Lienhypertexte"/>
            <w:rFonts w:ascii="Arial" w:hAnsi="Arial" w:cs="Arial"/>
            <w:i/>
            <w:sz w:val="16"/>
          </w:rPr>
          <w:t>https://www</w:t>
        </w:r>
      </w:hyperlink>
      <w:r>
        <w:rPr>
          <w:rFonts w:ascii="Arial" w:hAnsi="Arial" w:cs="Arial"/>
          <w:i/>
          <w:sz w:val="16"/>
        </w:rPr>
        <w:t xml:space="preserve"> </w:t>
      </w:r>
      <w:r w:rsidRPr="00A8736A">
        <w:rPr>
          <w:rFonts w:ascii="Arial" w:hAnsi="Arial" w:cs="Arial"/>
          <w:i/>
          <w:sz w:val="16"/>
        </w:rPr>
        <w:t>.donneesmondiales.com/afrique/madagascar/cyclones.php</w:t>
      </w:r>
    </w:p>
  </w:footnote>
  <w:footnote w:id="25">
    <w:p w14:paraId="06EEEF0C" w14:textId="77777777" w:rsidR="006C5F2A" w:rsidRPr="00497A8F" w:rsidRDefault="006C5F2A" w:rsidP="00C57A96">
      <w:pPr>
        <w:pStyle w:val="Notedebasdepage"/>
        <w:rPr>
          <w:rFonts w:ascii="Arial" w:hAnsi="Arial" w:cs="Arial"/>
          <w:i/>
          <w:sz w:val="16"/>
        </w:rPr>
      </w:pPr>
      <w:r w:rsidRPr="00497A8F">
        <w:rPr>
          <w:rStyle w:val="Appelnotedebasdep"/>
          <w:rFonts w:ascii="Arial" w:hAnsi="Arial" w:cs="Arial"/>
          <w:i/>
          <w:sz w:val="16"/>
        </w:rPr>
        <w:footnoteRef/>
      </w:r>
      <w:r w:rsidRPr="00497A8F">
        <w:rPr>
          <w:rFonts w:ascii="Arial" w:hAnsi="Arial" w:cs="Arial"/>
          <w:i/>
          <w:sz w:val="16"/>
        </w:rPr>
        <w:t xml:space="preserve"> https://www.unicef.org/madagascar/communiqu%C3%A9s-de-presse/lutte-contre-le-changement-climatique-le-d%C3%A9fi-dacc%C3%A9l%C3%A9rer-la-mise-en-%C5%93uvre-de</w:t>
      </w:r>
    </w:p>
  </w:footnote>
  <w:footnote w:id="26">
    <w:p w14:paraId="175549EC" w14:textId="77777777" w:rsidR="006C5F2A" w:rsidRPr="0096492E" w:rsidRDefault="006C5F2A">
      <w:pPr>
        <w:pStyle w:val="Notedebasdepage"/>
        <w:rPr>
          <w:rFonts w:ascii="Arial" w:hAnsi="Arial" w:cs="Arial"/>
          <w:i/>
          <w:sz w:val="16"/>
        </w:rPr>
      </w:pPr>
      <w:r w:rsidRPr="00C57A96">
        <w:rPr>
          <w:rStyle w:val="Appelnotedebasdep"/>
          <w:rFonts w:ascii="Arial" w:hAnsi="Arial" w:cs="Arial"/>
          <w:i/>
          <w:sz w:val="16"/>
        </w:rPr>
        <w:footnoteRef/>
      </w:r>
      <w:r w:rsidRPr="00C57A96">
        <w:rPr>
          <w:rFonts w:ascii="Arial" w:hAnsi="Arial" w:cs="Arial"/>
          <w:i/>
          <w:sz w:val="16"/>
        </w:rPr>
        <w:t xml:space="preserve"> DGM. 2019. Les tendances climatiques et les futurs changements climatiques. </w:t>
      </w:r>
      <w:r w:rsidRPr="0096492E">
        <w:rPr>
          <w:rFonts w:ascii="Arial" w:hAnsi="Arial" w:cs="Arial"/>
          <w:i/>
          <w:sz w:val="16"/>
        </w:rPr>
        <w:t>Madagascar. MTTM ; CPGU ; Banque Mondiale, RIME. 22p</w:t>
      </w:r>
    </w:p>
  </w:footnote>
  <w:footnote w:id="27">
    <w:p w14:paraId="3E019CCE" w14:textId="77777777" w:rsidR="006C5F2A" w:rsidRPr="00055101" w:rsidRDefault="006C5F2A" w:rsidP="48B05EC0">
      <w:pPr>
        <w:pStyle w:val="Notedebasdepage"/>
        <w:rPr>
          <w:rFonts w:ascii="Arial" w:hAnsi="Arial" w:cs="Arial"/>
          <w:i/>
          <w:iCs/>
          <w:sz w:val="16"/>
          <w:szCs w:val="16"/>
        </w:rPr>
      </w:pPr>
      <w:r w:rsidRPr="48B05EC0">
        <w:rPr>
          <w:rStyle w:val="Appelnotedebasdep"/>
          <w:rFonts w:ascii="Arial" w:hAnsi="Arial" w:cs="Arial"/>
          <w:i/>
          <w:iCs/>
          <w:sz w:val="16"/>
          <w:szCs w:val="16"/>
        </w:rPr>
        <w:footnoteRef/>
      </w:r>
      <w:r w:rsidRPr="48B05EC0">
        <w:rPr>
          <w:rFonts w:ascii="Arial" w:hAnsi="Arial" w:cs="Arial"/>
          <w:i/>
          <w:iCs/>
          <w:sz w:val="16"/>
          <w:szCs w:val="16"/>
        </w:rPr>
        <w:t xml:space="preserve"> </w:t>
      </w:r>
      <w:r w:rsidRPr="00AE406E">
        <w:rPr>
          <w:rFonts w:ascii="Arial" w:hAnsi="Arial" w:cs="Arial"/>
          <w:i/>
          <w:iCs/>
          <w:sz w:val="16"/>
          <w:szCs w:val="16"/>
        </w:rPr>
        <w:t xml:space="preserve">RIQUIER, R. et MOUREAUX, C. </w:t>
      </w:r>
      <w:r w:rsidRPr="48B05EC0">
        <w:rPr>
          <w:rFonts w:ascii="Arial" w:hAnsi="Arial" w:cs="Arial"/>
          <w:i/>
          <w:iCs/>
          <w:sz w:val="16"/>
          <w:szCs w:val="16"/>
        </w:rPr>
        <w:t>1957</w:t>
      </w:r>
      <w:r w:rsidRPr="48B05EC0">
        <w:rPr>
          <w:rFonts w:ascii="Arial" w:hAnsi="Arial" w:cs="Arial"/>
          <w:i/>
          <w:iCs/>
          <w:sz w:val="16"/>
          <w:szCs w:val="16"/>
          <w:shd w:val="clear" w:color="auto" w:fill="FFFFFF"/>
        </w:rPr>
        <w:t xml:space="preserve">- </w:t>
      </w:r>
      <w:r w:rsidRPr="48B05EC0">
        <w:rPr>
          <w:rFonts w:ascii="Arial" w:hAnsi="Arial" w:cs="Arial"/>
          <w:i/>
          <w:iCs/>
          <w:sz w:val="16"/>
          <w:szCs w:val="16"/>
        </w:rPr>
        <w:t>les Sols  Malgache : Pédologie et types principaux,. CR 3</w:t>
      </w:r>
      <w:r w:rsidRPr="00AE406E">
        <w:rPr>
          <w:rFonts w:ascii="Arial" w:hAnsi="Arial" w:cs="Arial"/>
          <w:i/>
          <w:iCs/>
          <w:sz w:val="16"/>
          <w:szCs w:val="16"/>
          <w:vertAlign w:val="superscript"/>
        </w:rPr>
        <w:t>ème</w:t>
      </w:r>
      <w:r w:rsidRPr="48B05EC0">
        <w:rPr>
          <w:rFonts w:ascii="Arial" w:hAnsi="Arial" w:cs="Arial"/>
          <w:i/>
          <w:iCs/>
          <w:sz w:val="16"/>
          <w:szCs w:val="16"/>
        </w:rPr>
        <w:t xml:space="preserve"> Congrès PIOSA Tananarive. pp 5 - 12</w:t>
      </w:r>
    </w:p>
  </w:footnote>
  <w:footnote w:id="28">
    <w:p w14:paraId="5EE95BE8" w14:textId="77777777" w:rsidR="006C5F2A" w:rsidRPr="00AE406E" w:rsidRDefault="006C5F2A">
      <w:pPr>
        <w:pStyle w:val="Notedebasdepage"/>
        <w:rPr>
          <w:rFonts w:ascii="Arial" w:hAnsi="Arial" w:cs="Arial"/>
          <w:sz w:val="16"/>
        </w:rPr>
      </w:pPr>
      <w:r w:rsidRPr="00B434A6">
        <w:rPr>
          <w:rStyle w:val="Appelnotedebasdep"/>
          <w:rFonts w:ascii="Arial" w:hAnsi="Arial" w:cs="Arial"/>
          <w:sz w:val="16"/>
        </w:rPr>
        <w:footnoteRef/>
      </w:r>
      <w:r w:rsidRPr="00AE406E">
        <w:rPr>
          <w:rFonts w:ascii="Arial" w:hAnsi="Arial" w:cs="Arial"/>
          <w:sz w:val="16"/>
        </w:rPr>
        <w:t xml:space="preserve"> http://www.ore.mg/</w:t>
      </w:r>
    </w:p>
  </w:footnote>
  <w:footnote w:id="29">
    <w:p w14:paraId="3977C1A7" w14:textId="77777777" w:rsidR="006C5F2A" w:rsidRPr="00524CF6" w:rsidRDefault="006C5F2A">
      <w:pPr>
        <w:pStyle w:val="Notedebasdepage"/>
        <w:rPr>
          <w:rFonts w:ascii="Arial" w:hAnsi="Arial" w:cs="Arial"/>
          <w:i/>
          <w:sz w:val="16"/>
          <w:lang w:val="en-US"/>
        </w:rPr>
      </w:pPr>
      <w:r w:rsidRPr="000B2264">
        <w:rPr>
          <w:rStyle w:val="Appelnotedebasdep"/>
          <w:rFonts w:ascii="Arial" w:hAnsi="Arial" w:cs="Arial"/>
          <w:i/>
          <w:sz w:val="16"/>
        </w:rPr>
        <w:footnoteRef/>
      </w:r>
      <w:r w:rsidRPr="00524CF6">
        <w:rPr>
          <w:rFonts w:ascii="Arial" w:hAnsi="Arial" w:cs="Arial"/>
          <w:i/>
          <w:sz w:val="16"/>
          <w:lang w:val="en-US"/>
        </w:rPr>
        <w:t xml:space="preserve"> Ramsar. 2013. The list of wetlands of international importance</w:t>
      </w:r>
    </w:p>
  </w:footnote>
  <w:footnote w:id="30">
    <w:p w14:paraId="424CEC80" w14:textId="77777777" w:rsidR="006C5F2A" w:rsidRPr="00B434A6" w:rsidRDefault="006C5F2A">
      <w:pPr>
        <w:pStyle w:val="Notedebasdepage"/>
        <w:rPr>
          <w:rFonts w:ascii="Arial" w:hAnsi="Arial" w:cs="Arial"/>
          <w:i/>
        </w:rPr>
      </w:pPr>
      <w:r w:rsidRPr="00B434A6">
        <w:rPr>
          <w:rStyle w:val="Appelnotedebasdep"/>
          <w:rFonts w:ascii="Arial" w:hAnsi="Arial" w:cs="Arial"/>
          <w:i/>
          <w:sz w:val="16"/>
        </w:rPr>
        <w:footnoteRef/>
      </w:r>
      <w:r w:rsidRPr="00B434A6">
        <w:rPr>
          <w:rFonts w:ascii="Arial" w:hAnsi="Arial" w:cs="Arial"/>
          <w:i/>
          <w:sz w:val="16"/>
        </w:rPr>
        <w:t xml:space="preserve"> </w:t>
      </w:r>
      <w:r w:rsidRPr="00742D67">
        <w:rPr>
          <w:rFonts w:ascii="Arial" w:hAnsi="Arial" w:cs="Arial"/>
          <w:i/>
          <w:sz w:val="16"/>
        </w:rPr>
        <w:t>C’est une zone située entre la crête topographique et la crête piézométrique</w:t>
      </w:r>
    </w:p>
  </w:footnote>
  <w:footnote w:id="31">
    <w:p w14:paraId="1C19B342" w14:textId="77777777" w:rsidR="006C5F2A" w:rsidRPr="00833686" w:rsidRDefault="006C5F2A">
      <w:pPr>
        <w:pStyle w:val="Notedebasdepage"/>
        <w:rPr>
          <w:rFonts w:ascii="Arial" w:hAnsi="Arial" w:cs="Arial"/>
          <w:i/>
          <w:lang w:val="en-US"/>
        </w:rPr>
      </w:pPr>
      <w:r w:rsidRPr="00833686">
        <w:rPr>
          <w:rStyle w:val="Appelnotedebasdep"/>
          <w:rFonts w:ascii="Arial" w:hAnsi="Arial" w:cs="Arial"/>
          <w:i/>
          <w:sz w:val="16"/>
        </w:rPr>
        <w:footnoteRef/>
      </w:r>
      <w:r w:rsidRPr="00833686">
        <w:rPr>
          <w:rFonts w:ascii="Arial" w:hAnsi="Arial" w:cs="Arial"/>
          <w:i/>
          <w:sz w:val="16"/>
          <w:lang w:val="en-US"/>
        </w:rPr>
        <w:t xml:space="preserve"> TBE ONE 2021. https://docs.google.com/document/d/1ZkVOQe2Xv-dF2J2A_YfVS726JgbpWhUej7z1W-2jKjg/edit</w:t>
      </w:r>
    </w:p>
  </w:footnote>
  <w:footnote w:id="32">
    <w:p w14:paraId="20FEACC4" w14:textId="77777777" w:rsidR="006C5F2A" w:rsidRPr="00B65FC3" w:rsidRDefault="006C5F2A">
      <w:pPr>
        <w:pStyle w:val="Notedebasdepage"/>
        <w:rPr>
          <w:rFonts w:ascii="Arial" w:hAnsi="Arial" w:cs="Arial"/>
          <w:i/>
          <w:sz w:val="16"/>
          <w:lang w:val="en-US"/>
        </w:rPr>
      </w:pPr>
      <w:r w:rsidRPr="00900302">
        <w:rPr>
          <w:rStyle w:val="Appelnotedebasdep"/>
          <w:rFonts w:ascii="Arial" w:hAnsi="Arial" w:cs="Arial"/>
          <w:i/>
          <w:sz w:val="16"/>
        </w:rPr>
        <w:footnoteRef/>
      </w:r>
      <w:r w:rsidRPr="000B2264">
        <w:rPr>
          <w:rFonts w:ascii="Arial" w:hAnsi="Arial" w:cs="Arial"/>
          <w:i/>
          <w:sz w:val="16"/>
        </w:rPr>
        <w:t xml:space="preserve"> M</w:t>
      </w:r>
      <w:r w:rsidRPr="00900302">
        <w:rPr>
          <w:rFonts w:ascii="Arial" w:hAnsi="Arial" w:cs="Arial"/>
          <w:i/>
          <w:sz w:val="16"/>
        </w:rPr>
        <w:t xml:space="preserve">EF. 2014. Cinquième rapport national de la Convention sur la diversité biologique MADAGASCAR. </w:t>
      </w:r>
      <w:r w:rsidRPr="00787BB3">
        <w:rPr>
          <w:rFonts w:ascii="Arial" w:hAnsi="Arial" w:cs="Arial"/>
          <w:i/>
          <w:sz w:val="16"/>
          <w:lang w:val="en-US"/>
        </w:rPr>
        <w:t>UNEP. 204p</w:t>
      </w:r>
    </w:p>
  </w:footnote>
  <w:footnote w:id="33">
    <w:p w14:paraId="6536A11C" w14:textId="77777777" w:rsidR="006C5F2A" w:rsidRPr="00B65FC3" w:rsidRDefault="006C5F2A" w:rsidP="00607755">
      <w:pPr>
        <w:pStyle w:val="Notedebasdepage"/>
        <w:rPr>
          <w:rFonts w:ascii="Arial" w:hAnsi="Arial" w:cs="Arial"/>
          <w:sz w:val="16"/>
          <w:lang w:val="en-US"/>
        </w:rPr>
      </w:pPr>
      <w:r w:rsidRPr="0009159F">
        <w:rPr>
          <w:rStyle w:val="Appelnotedebasdep"/>
          <w:rFonts w:ascii="Arial" w:hAnsi="Arial" w:cs="Arial"/>
          <w:sz w:val="16"/>
        </w:rPr>
        <w:footnoteRef/>
      </w:r>
      <w:r w:rsidRPr="00787BB3">
        <w:rPr>
          <w:rFonts w:ascii="Arial" w:hAnsi="Arial" w:cs="Arial"/>
          <w:sz w:val="16"/>
          <w:lang w:val="en-US"/>
        </w:rPr>
        <w:t xml:space="preserve"> https://www.wwf.mg/?7032841/Les-mangroves-de-Madagascar</w:t>
      </w:r>
    </w:p>
  </w:footnote>
  <w:footnote w:id="34">
    <w:p w14:paraId="7BCF9B11" w14:textId="77777777" w:rsidR="006C5F2A" w:rsidRPr="003D6C53" w:rsidRDefault="006C5F2A" w:rsidP="00607755">
      <w:pPr>
        <w:pStyle w:val="Notedebasdepage"/>
      </w:pPr>
      <w:r>
        <w:rPr>
          <w:rStyle w:val="Appelnotedebasdep"/>
        </w:rPr>
        <w:footnoteRef/>
      </w:r>
      <w:r w:rsidRPr="00B434A6">
        <w:rPr>
          <w:lang w:val="en-US"/>
        </w:rPr>
        <w:t xml:space="preserve"> </w:t>
      </w:r>
      <w:r w:rsidRPr="00787BB3">
        <w:rPr>
          <w:rFonts w:ascii="Arial" w:hAnsi="Arial" w:cs="Arial"/>
          <w:i/>
          <w:sz w:val="16"/>
          <w:lang w:val="en-US"/>
        </w:rPr>
        <w:t xml:space="preserve">MEF. 2014. </w:t>
      </w:r>
      <w:r w:rsidRPr="00900302">
        <w:rPr>
          <w:rFonts w:ascii="Arial" w:hAnsi="Arial" w:cs="Arial"/>
          <w:i/>
          <w:sz w:val="16"/>
        </w:rPr>
        <w:t xml:space="preserve">Cinquième rapport national de la Convention sur la diversité biologique MADAGASCAR. </w:t>
      </w:r>
      <w:r w:rsidRPr="003D6C53">
        <w:rPr>
          <w:rFonts w:ascii="Arial" w:hAnsi="Arial" w:cs="Arial"/>
          <w:i/>
          <w:sz w:val="16"/>
        </w:rPr>
        <w:t>UNEP. 204p</w:t>
      </w:r>
    </w:p>
  </w:footnote>
  <w:footnote w:id="35">
    <w:p w14:paraId="667CCA98" w14:textId="77777777" w:rsidR="006C5F2A" w:rsidRPr="00AE406E" w:rsidRDefault="006C5F2A" w:rsidP="006C4CB8">
      <w:pPr>
        <w:pStyle w:val="Notedebasdepage"/>
      </w:pPr>
      <w:r w:rsidRPr="006C4CB8">
        <w:rPr>
          <w:rStyle w:val="Appelnotedebasdep"/>
        </w:rPr>
        <w:footnoteRef/>
      </w:r>
      <w:r w:rsidRPr="00B434A6">
        <w:t xml:space="preserve"> </w:t>
      </w:r>
      <w:r>
        <w:t>MEF</w:t>
      </w:r>
      <w:r w:rsidRPr="00B434A6">
        <w:t xml:space="preserve"> 2018. Stratégie National REDD+ Madagascar. </w:t>
      </w:r>
      <w:r w:rsidRPr="00AE406E">
        <w:t>MEEF. 76p</w:t>
      </w:r>
    </w:p>
  </w:footnote>
  <w:footnote w:id="36">
    <w:p w14:paraId="5C7506F4" w14:textId="77777777" w:rsidR="006C5F2A" w:rsidRPr="00637007" w:rsidRDefault="006C5F2A" w:rsidP="006C4CB8">
      <w:pPr>
        <w:pStyle w:val="Notedebasdepage"/>
        <w:rPr>
          <w:rFonts w:ascii="Arial" w:hAnsi="Arial" w:cs="Arial"/>
          <w:i/>
        </w:rPr>
      </w:pPr>
      <w:r w:rsidRPr="00046AED">
        <w:rPr>
          <w:rStyle w:val="Appelnotedebasdep"/>
          <w:rFonts w:ascii="Arial" w:hAnsi="Arial" w:cs="Arial"/>
          <w:i/>
          <w:sz w:val="16"/>
        </w:rPr>
        <w:footnoteRef/>
      </w:r>
      <w:r w:rsidRPr="00AE406E">
        <w:rPr>
          <w:rFonts w:ascii="Arial" w:hAnsi="Arial" w:cs="Arial"/>
          <w:i/>
          <w:sz w:val="16"/>
        </w:rPr>
        <w:t xml:space="preserve"> </w:t>
      </w:r>
      <w:r w:rsidRPr="00AE406E">
        <w:rPr>
          <w:rFonts w:ascii="Arial" w:hAnsi="Arial" w:cs="Arial"/>
          <w:bCs/>
          <w:i/>
          <w:sz w:val="16"/>
        </w:rPr>
        <w:t xml:space="preserve">Moat, J. &amp; Smith, P. 2007. </w:t>
      </w:r>
      <w:r w:rsidRPr="00046AED">
        <w:rPr>
          <w:rFonts w:ascii="Arial" w:hAnsi="Arial" w:cs="Arial"/>
          <w:i/>
          <w:iCs/>
          <w:sz w:val="16"/>
        </w:rPr>
        <w:t>Atlas de la végétation de Madagascar</w:t>
      </w:r>
      <w:r w:rsidRPr="00046AED">
        <w:rPr>
          <w:rFonts w:ascii="Arial" w:hAnsi="Arial" w:cs="Arial"/>
          <w:i/>
          <w:sz w:val="16"/>
        </w:rPr>
        <w:t xml:space="preserve">. </w:t>
      </w:r>
      <w:r w:rsidRPr="00637007">
        <w:rPr>
          <w:rFonts w:ascii="Arial" w:hAnsi="Arial" w:cs="Arial"/>
          <w:i/>
          <w:sz w:val="16"/>
        </w:rPr>
        <w:t>Royal Botanic Garden, Kew.</w:t>
      </w:r>
    </w:p>
  </w:footnote>
  <w:footnote w:id="37">
    <w:p w14:paraId="1098A166" w14:textId="77777777" w:rsidR="006C5F2A" w:rsidRPr="00C81B85" w:rsidRDefault="006C5F2A">
      <w:pPr>
        <w:pStyle w:val="Notedebasdepage"/>
        <w:rPr>
          <w:rFonts w:ascii="Arial" w:hAnsi="Arial" w:cs="Arial"/>
          <w:i/>
          <w:sz w:val="16"/>
        </w:rPr>
      </w:pPr>
      <w:r w:rsidRPr="00C81B85">
        <w:rPr>
          <w:rStyle w:val="Appelnotedebasdep"/>
          <w:rFonts w:ascii="Arial" w:hAnsi="Arial" w:cs="Arial"/>
          <w:i/>
          <w:sz w:val="16"/>
        </w:rPr>
        <w:footnoteRef/>
      </w:r>
      <w:r w:rsidRPr="00C81B85">
        <w:rPr>
          <w:rFonts w:ascii="Arial" w:hAnsi="Arial" w:cs="Arial"/>
          <w:i/>
          <w:sz w:val="16"/>
        </w:rPr>
        <w:t xml:space="preserve"> ONE. 2022. Tableau de bord environnemental national. Indicateur Nb sp Faune et Flore. Thème Biodiversité/Etat. Indicateur SNSVACC. Code B3.2. 5p</w:t>
      </w:r>
    </w:p>
  </w:footnote>
  <w:footnote w:id="38">
    <w:p w14:paraId="4A7488F7" w14:textId="77777777" w:rsidR="006C5F2A" w:rsidRPr="004B5DAC" w:rsidRDefault="006C5F2A">
      <w:pPr>
        <w:pStyle w:val="Notedebasdepage"/>
        <w:rPr>
          <w:rFonts w:ascii="Arial" w:hAnsi="Arial" w:cs="Arial"/>
          <w:i/>
          <w:sz w:val="16"/>
        </w:rPr>
      </w:pPr>
      <w:r w:rsidRPr="004B5DAC">
        <w:rPr>
          <w:rStyle w:val="Appelnotedebasdep"/>
          <w:rFonts w:ascii="Arial" w:hAnsi="Arial" w:cs="Arial"/>
          <w:i/>
          <w:sz w:val="16"/>
        </w:rPr>
        <w:footnoteRef/>
      </w:r>
      <w:r w:rsidRPr="004B5DAC">
        <w:rPr>
          <w:rFonts w:ascii="Arial" w:hAnsi="Arial" w:cs="Arial"/>
          <w:i/>
          <w:sz w:val="16"/>
        </w:rPr>
        <w:t xml:space="preserve"> ASITY. 2021. Etat de population d’oiseaux de Madagascar. Indicateur des changements environnementaux. Bird Life International. AAge V. Jenssen Charity Foundation. 20p  </w:t>
      </w:r>
    </w:p>
  </w:footnote>
  <w:footnote w:id="39">
    <w:p w14:paraId="73B74D6F" w14:textId="77777777" w:rsidR="006C5F2A" w:rsidRPr="00BC06BA" w:rsidRDefault="006C5F2A">
      <w:pPr>
        <w:pStyle w:val="Notedebasdepage"/>
        <w:rPr>
          <w:rFonts w:ascii="Arial" w:hAnsi="Arial" w:cs="Arial"/>
          <w:i/>
        </w:rPr>
      </w:pPr>
      <w:r w:rsidRPr="00BC06BA">
        <w:rPr>
          <w:rStyle w:val="Appelnotedebasdep"/>
          <w:rFonts w:ascii="Arial" w:hAnsi="Arial" w:cs="Arial"/>
          <w:i/>
          <w:sz w:val="16"/>
        </w:rPr>
        <w:footnoteRef/>
      </w:r>
      <w:r w:rsidRPr="00BC06BA">
        <w:rPr>
          <w:rFonts w:ascii="Arial" w:hAnsi="Arial" w:cs="Arial"/>
          <w:i/>
          <w:sz w:val="16"/>
        </w:rPr>
        <w:t xml:space="preserve"> Photo prise dans : https://img2.chezfred.info/photo_oiseaux.php?fic=COR/IMG_1466</w:t>
      </w:r>
    </w:p>
  </w:footnote>
  <w:footnote w:id="40">
    <w:p w14:paraId="5A229621" w14:textId="77777777" w:rsidR="006C5F2A" w:rsidRPr="007207CA" w:rsidRDefault="006C5F2A">
      <w:pPr>
        <w:pStyle w:val="Notedebasdepage"/>
        <w:rPr>
          <w:rFonts w:ascii="Arial" w:hAnsi="Arial" w:cs="Arial"/>
          <w:i/>
          <w:sz w:val="16"/>
        </w:rPr>
      </w:pPr>
      <w:r w:rsidRPr="007207CA">
        <w:rPr>
          <w:rStyle w:val="Appelnotedebasdep"/>
          <w:rFonts w:ascii="Arial" w:hAnsi="Arial" w:cs="Arial"/>
          <w:i/>
          <w:sz w:val="16"/>
        </w:rPr>
        <w:footnoteRef/>
      </w:r>
      <w:r w:rsidRPr="009D61DB">
        <w:rPr>
          <w:rFonts w:ascii="Arial" w:hAnsi="Arial" w:cs="Arial"/>
          <w:i/>
          <w:sz w:val="16"/>
        </w:rPr>
        <w:t xml:space="preserve"> INSTAT. </w:t>
      </w:r>
      <w:r w:rsidRPr="007207CA">
        <w:rPr>
          <w:rFonts w:ascii="Arial" w:hAnsi="Arial" w:cs="Arial"/>
          <w:i/>
          <w:sz w:val="16"/>
        </w:rPr>
        <w:t>2020. Résultat</w:t>
      </w:r>
      <w:r>
        <w:rPr>
          <w:rFonts w:ascii="Arial" w:hAnsi="Arial" w:cs="Arial"/>
          <w:i/>
          <w:sz w:val="16"/>
        </w:rPr>
        <w:t xml:space="preserve">s </w:t>
      </w:r>
      <w:r w:rsidRPr="007207CA">
        <w:rPr>
          <w:rFonts w:ascii="Arial" w:hAnsi="Arial" w:cs="Arial"/>
          <w:i/>
          <w:sz w:val="16"/>
        </w:rPr>
        <w:t>globaux du Recensement Général de la population et d’habitation de 2018 de Madagascar (RGPH3). Conseil national du recensement de la population et de l’habitation. Ministère de l’</w:t>
      </w:r>
      <w:r>
        <w:rPr>
          <w:rFonts w:ascii="Arial" w:hAnsi="Arial" w:cs="Arial"/>
          <w:i/>
          <w:sz w:val="16"/>
        </w:rPr>
        <w:t>É</w:t>
      </w:r>
      <w:r w:rsidRPr="007207CA">
        <w:rPr>
          <w:rFonts w:ascii="Arial" w:hAnsi="Arial" w:cs="Arial"/>
          <w:i/>
          <w:sz w:val="16"/>
        </w:rPr>
        <w:t xml:space="preserve">conomie et des </w:t>
      </w:r>
      <w:r>
        <w:rPr>
          <w:rFonts w:ascii="Arial" w:hAnsi="Arial" w:cs="Arial"/>
          <w:i/>
          <w:sz w:val="16"/>
        </w:rPr>
        <w:t>F</w:t>
      </w:r>
      <w:r w:rsidRPr="007207CA">
        <w:rPr>
          <w:rFonts w:ascii="Arial" w:hAnsi="Arial" w:cs="Arial"/>
          <w:i/>
          <w:sz w:val="16"/>
        </w:rPr>
        <w:t>inances. 192p</w:t>
      </w:r>
    </w:p>
  </w:footnote>
  <w:footnote w:id="41">
    <w:p w14:paraId="7BE66519" w14:textId="77777777" w:rsidR="006C5F2A" w:rsidRDefault="006C5F2A" w:rsidP="00FD3415">
      <w:pPr>
        <w:pStyle w:val="Notedebasdepage"/>
      </w:pPr>
      <w:r>
        <w:rPr>
          <w:rStyle w:val="Appelnotedebasdep"/>
        </w:rPr>
        <w:footnoteRef/>
      </w:r>
      <w:r>
        <w:t xml:space="preserve"> </w:t>
      </w:r>
      <w:r w:rsidRPr="00322143">
        <w:t>https://edbm.mg/informations-economiques_presentation-de-madagascar/</w:t>
      </w:r>
    </w:p>
  </w:footnote>
  <w:footnote w:id="42">
    <w:p w14:paraId="50C16C9D" w14:textId="77777777" w:rsidR="006C5F2A" w:rsidRDefault="006C5F2A">
      <w:pPr>
        <w:pStyle w:val="Notedebasdepage"/>
      </w:pPr>
      <w:r>
        <w:rPr>
          <w:rStyle w:val="Appelnotedebasdep"/>
        </w:rPr>
        <w:footnoteRef/>
      </w:r>
      <w:r>
        <w:t xml:space="preserve"> </w:t>
      </w:r>
      <w:r w:rsidRPr="00357EF4">
        <w:rPr>
          <w:rFonts w:ascii="Arial" w:hAnsi="Arial" w:cs="Arial"/>
          <w:i/>
          <w:sz w:val="16"/>
        </w:rPr>
        <w:t>INSTAT. 2021. Rapport thématique sur les résultats du RGPH 3 Thème</w:t>
      </w:r>
      <w:r>
        <w:rPr>
          <w:rFonts w:ascii="Arial" w:hAnsi="Arial" w:cs="Arial"/>
          <w:i/>
          <w:sz w:val="16"/>
        </w:rPr>
        <w:t xml:space="preserve">s </w:t>
      </w:r>
      <w:r w:rsidRPr="00357EF4">
        <w:rPr>
          <w:rFonts w:ascii="Arial" w:hAnsi="Arial" w:cs="Arial"/>
          <w:i/>
          <w:sz w:val="16"/>
        </w:rPr>
        <w:t xml:space="preserve">09 : Migration à Madagascar. USAID ; Union </w:t>
      </w:r>
      <w:r>
        <w:rPr>
          <w:rFonts w:ascii="Arial" w:hAnsi="Arial" w:cs="Arial"/>
          <w:i/>
          <w:sz w:val="16"/>
        </w:rPr>
        <w:t>e</w:t>
      </w:r>
      <w:r w:rsidRPr="00357EF4">
        <w:rPr>
          <w:rFonts w:ascii="Arial" w:hAnsi="Arial" w:cs="Arial"/>
          <w:i/>
          <w:sz w:val="16"/>
        </w:rPr>
        <w:t>uropéenne ; Banque Mondiale ; PNUD ; FNUAP. 164p</w:t>
      </w:r>
    </w:p>
  </w:footnote>
  <w:footnote w:id="43">
    <w:p w14:paraId="277098AE" w14:textId="77777777" w:rsidR="006C5F2A" w:rsidRPr="00D11083" w:rsidRDefault="006C5F2A">
      <w:pPr>
        <w:pStyle w:val="Notedebasdepage"/>
        <w:rPr>
          <w:rFonts w:ascii="Arial" w:hAnsi="Arial" w:cs="Arial"/>
          <w:i/>
          <w:sz w:val="16"/>
        </w:rPr>
      </w:pPr>
      <w:r w:rsidRPr="00D11083">
        <w:rPr>
          <w:rStyle w:val="Appelnotedebasdep"/>
          <w:rFonts w:ascii="Arial" w:hAnsi="Arial" w:cs="Arial"/>
          <w:i/>
          <w:sz w:val="16"/>
        </w:rPr>
        <w:footnoteRef/>
      </w:r>
      <w:r w:rsidRPr="00D11083">
        <w:rPr>
          <w:rFonts w:ascii="Arial" w:hAnsi="Arial" w:cs="Arial"/>
          <w:i/>
          <w:sz w:val="16"/>
        </w:rPr>
        <w:t xml:space="preserve"> RAKOTOMAVOHARINAIVONAMBININA, L. 2012. La Migration et Développement Urbain. Mêm. Maitrise. Fac DEGS univ Tana. 107p</w:t>
      </w:r>
    </w:p>
  </w:footnote>
  <w:footnote w:id="44">
    <w:p w14:paraId="259E164B" w14:textId="77777777" w:rsidR="006C5F2A" w:rsidRDefault="006C5F2A">
      <w:pPr>
        <w:pStyle w:val="Notedebasdepage"/>
      </w:pPr>
      <w:r>
        <w:rPr>
          <w:rStyle w:val="Appelnotedebasdep"/>
        </w:rPr>
        <w:footnoteRef/>
      </w:r>
      <w:r>
        <w:t xml:space="preserve"> </w:t>
      </w:r>
      <w:r w:rsidRPr="00357EF4">
        <w:rPr>
          <w:rFonts w:ascii="Arial" w:hAnsi="Arial" w:cs="Arial"/>
          <w:i/>
          <w:sz w:val="16"/>
        </w:rPr>
        <w:t>INSTAT. 2021. Rapport thématique sur les résultats du RGPH 3 Thème</w:t>
      </w:r>
      <w:r>
        <w:rPr>
          <w:rFonts w:ascii="Arial" w:hAnsi="Arial" w:cs="Arial"/>
          <w:i/>
          <w:sz w:val="16"/>
        </w:rPr>
        <w:t xml:space="preserve">s </w:t>
      </w:r>
      <w:r w:rsidRPr="00357EF4">
        <w:rPr>
          <w:rFonts w:ascii="Arial" w:hAnsi="Arial" w:cs="Arial"/>
          <w:i/>
          <w:sz w:val="16"/>
        </w:rPr>
        <w:t xml:space="preserve">09 : Migration à Madagascar. USAID ; Union </w:t>
      </w:r>
      <w:r>
        <w:rPr>
          <w:rFonts w:ascii="Arial" w:hAnsi="Arial" w:cs="Arial"/>
          <w:i/>
          <w:sz w:val="16"/>
        </w:rPr>
        <w:t>e</w:t>
      </w:r>
      <w:r w:rsidRPr="00357EF4">
        <w:rPr>
          <w:rFonts w:ascii="Arial" w:hAnsi="Arial" w:cs="Arial"/>
          <w:i/>
          <w:sz w:val="16"/>
        </w:rPr>
        <w:t>uropéenne ; Banque Mondiale ; PNUD ; FNUAP. 164p</w:t>
      </w:r>
    </w:p>
  </w:footnote>
  <w:footnote w:id="45">
    <w:p w14:paraId="3CC9EEDF" w14:textId="77777777" w:rsidR="006C5F2A" w:rsidRPr="00D25C37" w:rsidRDefault="006C5F2A" w:rsidP="00E704F1">
      <w:pPr>
        <w:pStyle w:val="Notedebasdepage"/>
        <w:rPr>
          <w:rFonts w:ascii="Arial" w:hAnsi="Arial" w:cs="Arial"/>
          <w:i/>
          <w:sz w:val="16"/>
        </w:rPr>
      </w:pPr>
      <w:r w:rsidRPr="00D25C37">
        <w:rPr>
          <w:rStyle w:val="Appelnotedebasdep"/>
          <w:rFonts w:ascii="Arial" w:hAnsi="Arial" w:cs="Arial"/>
          <w:i/>
          <w:sz w:val="16"/>
        </w:rPr>
        <w:footnoteRef/>
      </w:r>
      <w:r w:rsidRPr="00D25C37">
        <w:rPr>
          <w:rFonts w:ascii="Arial" w:hAnsi="Arial" w:cs="Arial"/>
          <w:i/>
          <w:sz w:val="16"/>
        </w:rPr>
        <w:t xml:space="preserve"> SALAMA,J.C. 2019. Gestion des déchets à Madagascar. 31p</w:t>
      </w:r>
    </w:p>
  </w:footnote>
  <w:footnote w:id="46">
    <w:p w14:paraId="29DDC09F" w14:textId="77777777" w:rsidR="006C5F2A" w:rsidRPr="00584C58" w:rsidRDefault="006C5F2A" w:rsidP="0018026D">
      <w:pPr>
        <w:pStyle w:val="Notedebasdepage"/>
        <w:rPr>
          <w:sz w:val="16"/>
          <w:szCs w:val="16"/>
        </w:rPr>
      </w:pPr>
      <w:r>
        <w:rPr>
          <w:rStyle w:val="Appelnotedebasdep"/>
        </w:rPr>
        <w:footnoteRef/>
      </w:r>
      <w:r>
        <w:t xml:space="preserve"> </w:t>
      </w:r>
      <w:bookmarkStart w:id="408" w:name="_Hlk126588818"/>
      <w:r w:rsidRPr="00584C58">
        <w:rPr>
          <w:sz w:val="16"/>
          <w:szCs w:val="16"/>
        </w:rPr>
        <w:t>Commission de l’Océan Indien. 2014. "Etude de diagnostic pour une gestion optimisée des déchets dans l’Océan Indien". COI/AO/2013/007 Version finale</w:t>
      </w:r>
      <w:bookmarkEnd w:id="408"/>
    </w:p>
  </w:footnote>
  <w:footnote w:id="47">
    <w:p w14:paraId="3B3364E9" w14:textId="77777777" w:rsidR="006C5F2A" w:rsidRPr="00C57CFD" w:rsidRDefault="006C5F2A">
      <w:pPr>
        <w:pStyle w:val="Notedebasdepage"/>
      </w:pPr>
      <w:r>
        <w:rPr>
          <w:rStyle w:val="Appelnotedebasdep"/>
        </w:rPr>
        <w:footnoteRef/>
      </w:r>
      <w:r w:rsidRPr="00E704F1">
        <w:t xml:space="preserve"> </w:t>
      </w:r>
      <w:r w:rsidRPr="00357EF4">
        <w:rPr>
          <w:rFonts w:ascii="Arial" w:hAnsi="Arial" w:cs="Arial"/>
          <w:i/>
          <w:sz w:val="16"/>
        </w:rPr>
        <w:t xml:space="preserve">INSTAT. 2021. Rapport thématique sur les résultats du RGPH </w:t>
      </w:r>
      <w:r>
        <w:rPr>
          <w:rFonts w:ascii="Arial" w:hAnsi="Arial" w:cs="Arial"/>
          <w:i/>
          <w:sz w:val="16"/>
        </w:rPr>
        <w:t>5</w:t>
      </w:r>
      <w:r w:rsidRPr="00357EF4">
        <w:rPr>
          <w:rFonts w:ascii="Arial" w:hAnsi="Arial" w:cs="Arial"/>
          <w:i/>
          <w:sz w:val="16"/>
        </w:rPr>
        <w:t xml:space="preserve"> Thème</w:t>
      </w:r>
      <w:r>
        <w:rPr>
          <w:rFonts w:ascii="Arial" w:hAnsi="Arial" w:cs="Arial"/>
          <w:i/>
          <w:sz w:val="16"/>
        </w:rPr>
        <w:t>s 03</w:t>
      </w:r>
      <w:r w:rsidRPr="00357EF4">
        <w:rPr>
          <w:rFonts w:ascii="Arial" w:hAnsi="Arial" w:cs="Arial"/>
          <w:i/>
          <w:sz w:val="16"/>
        </w:rPr>
        <w:t xml:space="preserve"> : </w:t>
      </w:r>
      <w:r>
        <w:rPr>
          <w:rFonts w:ascii="Arial" w:hAnsi="Arial" w:cs="Arial"/>
          <w:i/>
          <w:sz w:val="16"/>
        </w:rPr>
        <w:t>habitation et cadre de vie de la population</w:t>
      </w:r>
      <w:r w:rsidRPr="00357EF4">
        <w:rPr>
          <w:rFonts w:ascii="Arial" w:hAnsi="Arial" w:cs="Arial"/>
          <w:i/>
          <w:sz w:val="16"/>
        </w:rPr>
        <w:t xml:space="preserve">. USAID ; Union </w:t>
      </w:r>
      <w:r>
        <w:rPr>
          <w:rFonts w:ascii="Arial" w:hAnsi="Arial" w:cs="Arial"/>
          <w:i/>
          <w:sz w:val="16"/>
        </w:rPr>
        <w:t>e</w:t>
      </w:r>
      <w:r w:rsidRPr="00357EF4">
        <w:rPr>
          <w:rFonts w:ascii="Arial" w:hAnsi="Arial" w:cs="Arial"/>
          <w:i/>
          <w:sz w:val="16"/>
        </w:rPr>
        <w:t xml:space="preserve">uropéenne ; Banque Mondiale ; PNUD ; FNUAP. </w:t>
      </w:r>
      <w:r w:rsidRPr="00C57CFD">
        <w:rPr>
          <w:rFonts w:ascii="Arial" w:hAnsi="Arial" w:cs="Arial"/>
          <w:i/>
          <w:sz w:val="16"/>
        </w:rPr>
        <w:t>94p</w:t>
      </w:r>
    </w:p>
  </w:footnote>
  <w:footnote w:id="48">
    <w:p w14:paraId="3DB30D9F" w14:textId="77777777" w:rsidR="006C5F2A" w:rsidRDefault="006C5F2A" w:rsidP="006E13C8">
      <w:pPr>
        <w:pStyle w:val="Notedebasdepage"/>
      </w:pPr>
      <w:r w:rsidRPr="00244E1F">
        <w:rPr>
          <w:rStyle w:val="Appelnotedebasdep"/>
          <w:sz w:val="16"/>
          <w:szCs w:val="16"/>
        </w:rPr>
        <w:footnoteRef/>
      </w:r>
      <w:r w:rsidRPr="00244E1F">
        <w:rPr>
          <w:sz w:val="16"/>
          <w:szCs w:val="16"/>
        </w:rPr>
        <w:t xml:space="preserve"> Commission de l’Océan Indien. 2014. "Etude de diagnostic pour une gestion optimisée des déchets dans l’Océan Indien". COI/AO/2013/007 Version finale</w:t>
      </w:r>
    </w:p>
  </w:footnote>
  <w:footnote w:id="49">
    <w:p w14:paraId="191E5179" w14:textId="77777777" w:rsidR="006C5F2A" w:rsidRPr="00C57CFD" w:rsidRDefault="006C5F2A" w:rsidP="00637007">
      <w:pPr>
        <w:pStyle w:val="Notedebasdepage"/>
        <w:rPr>
          <w:rFonts w:ascii="Arial" w:hAnsi="Arial" w:cs="Arial"/>
          <w:i/>
        </w:rPr>
      </w:pPr>
      <w:r w:rsidRPr="00637007">
        <w:rPr>
          <w:rStyle w:val="Appelnotedebasdep"/>
          <w:rFonts w:ascii="Arial" w:hAnsi="Arial" w:cs="Arial"/>
          <w:i/>
          <w:sz w:val="16"/>
        </w:rPr>
        <w:footnoteRef/>
      </w:r>
      <w:r w:rsidRPr="00C57CFD">
        <w:rPr>
          <w:rFonts w:ascii="Arial" w:hAnsi="Arial" w:cs="Arial"/>
          <w:i/>
          <w:sz w:val="16"/>
        </w:rPr>
        <w:t xml:space="preserve"> https://www.fellah-trade.com/fr/export/carte-atlas/madagascar/economie</w:t>
      </w:r>
    </w:p>
  </w:footnote>
  <w:footnote w:id="50">
    <w:p w14:paraId="3B285816" w14:textId="77777777" w:rsidR="006C5F2A" w:rsidRPr="00C57A96" w:rsidRDefault="006C5F2A">
      <w:pPr>
        <w:pStyle w:val="Notedebasdepage"/>
      </w:pPr>
      <w:r>
        <w:rPr>
          <w:rStyle w:val="Appelnotedebasdep"/>
        </w:rPr>
        <w:footnoteRef/>
      </w:r>
      <w:r>
        <w:t xml:space="preserve"> </w:t>
      </w:r>
      <w:r w:rsidRPr="00357EF4">
        <w:rPr>
          <w:rFonts w:ascii="Arial" w:hAnsi="Arial" w:cs="Arial"/>
          <w:i/>
          <w:sz w:val="16"/>
        </w:rPr>
        <w:t>INSTAT. 2021. Rapport thématique sur les résultats du RGPH 3 Thème</w:t>
      </w:r>
      <w:r>
        <w:rPr>
          <w:rFonts w:ascii="Arial" w:hAnsi="Arial" w:cs="Arial"/>
          <w:i/>
          <w:sz w:val="16"/>
        </w:rPr>
        <w:t>s 03</w:t>
      </w:r>
      <w:r w:rsidRPr="00357EF4">
        <w:rPr>
          <w:rFonts w:ascii="Arial" w:hAnsi="Arial" w:cs="Arial"/>
          <w:i/>
          <w:sz w:val="16"/>
        </w:rPr>
        <w:t xml:space="preserve"> : </w:t>
      </w:r>
      <w:r>
        <w:rPr>
          <w:rFonts w:ascii="Arial" w:hAnsi="Arial" w:cs="Arial"/>
          <w:i/>
          <w:sz w:val="16"/>
        </w:rPr>
        <w:t>Caractéristique économique de la population</w:t>
      </w:r>
      <w:r w:rsidRPr="00357EF4">
        <w:rPr>
          <w:rFonts w:ascii="Arial" w:hAnsi="Arial" w:cs="Arial"/>
          <w:i/>
          <w:sz w:val="16"/>
        </w:rPr>
        <w:t xml:space="preserve">. USAID ; Union </w:t>
      </w:r>
      <w:r>
        <w:rPr>
          <w:rFonts w:ascii="Arial" w:hAnsi="Arial" w:cs="Arial"/>
          <w:i/>
          <w:sz w:val="16"/>
        </w:rPr>
        <w:t>e</w:t>
      </w:r>
      <w:r w:rsidRPr="00357EF4">
        <w:rPr>
          <w:rFonts w:ascii="Arial" w:hAnsi="Arial" w:cs="Arial"/>
          <w:i/>
          <w:sz w:val="16"/>
        </w:rPr>
        <w:t xml:space="preserve">uropéenne ; Banque </w:t>
      </w:r>
      <w:r>
        <w:rPr>
          <w:rFonts w:ascii="Arial" w:hAnsi="Arial" w:cs="Arial"/>
          <w:i/>
          <w:sz w:val="16"/>
        </w:rPr>
        <w:t>m</w:t>
      </w:r>
      <w:r w:rsidRPr="00357EF4">
        <w:rPr>
          <w:rFonts w:ascii="Arial" w:hAnsi="Arial" w:cs="Arial"/>
          <w:i/>
          <w:sz w:val="16"/>
        </w:rPr>
        <w:t xml:space="preserve">ondiale ; PNUD ; FNUAP. </w:t>
      </w:r>
      <w:r w:rsidRPr="00C57A96">
        <w:rPr>
          <w:rFonts w:ascii="Arial" w:hAnsi="Arial" w:cs="Arial"/>
          <w:i/>
          <w:sz w:val="16"/>
        </w:rPr>
        <w:t>151p</w:t>
      </w:r>
    </w:p>
  </w:footnote>
  <w:footnote w:id="51">
    <w:p w14:paraId="15C828A0" w14:textId="77777777" w:rsidR="006C5F2A" w:rsidRPr="00176F5E" w:rsidRDefault="006C5F2A">
      <w:pPr>
        <w:pStyle w:val="Notedebasdepage"/>
        <w:rPr>
          <w:rFonts w:ascii="Arial" w:hAnsi="Arial" w:cs="Arial"/>
          <w:i/>
          <w:sz w:val="16"/>
        </w:rPr>
      </w:pPr>
      <w:r w:rsidRPr="00176F5E">
        <w:rPr>
          <w:rStyle w:val="Appelnotedebasdep"/>
          <w:rFonts w:ascii="Arial" w:hAnsi="Arial" w:cs="Arial"/>
          <w:i/>
          <w:sz w:val="16"/>
        </w:rPr>
        <w:footnoteRef/>
      </w:r>
      <w:r w:rsidRPr="00176F5E">
        <w:rPr>
          <w:rFonts w:ascii="Arial" w:hAnsi="Arial" w:cs="Arial"/>
          <w:i/>
          <w:sz w:val="16"/>
        </w:rPr>
        <w:t xml:space="preserve"> MAEP.2019. Rapport spécial. Evaluation de la production agricole et de la sécurité alimentaire à Madagascar. FAO. 77p</w:t>
      </w:r>
    </w:p>
  </w:footnote>
  <w:footnote w:id="52">
    <w:p w14:paraId="3ACB336E" w14:textId="77777777" w:rsidR="006C5F2A" w:rsidRPr="00345918" w:rsidRDefault="006C5F2A">
      <w:pPr>
        <w:pStyle w:val="Notedebasdepage"/>
        <w:rPr>
          <w:lang w:val="en-US"/>
        </w:rPr>
      </w:pPr>
      <w:r>
        <w:rPr>
          <w:rStyle w:val="Appelnotedebasdep"/>
        </w:rPr>
        <w:footnoteRef/>
      </w:r>
      <w:r w:rsidRPr="00391F68">
        <w:t xml:space="preserve"> </w:t>
      </w:r>
      <w:r w:rsidRPr="00357EF4">
        <w:rPr>
          <w:rFonts w:ascii="Arial" w:hAnsi="Arial" w:cs="Arial"/>
          <w:i/>
          <w:sz w:val="16"/>
        </w:rPr>
        <w:t>INSTAT. 2021. Rapport thématique sur les résultats du RGPH 3 Thème</w:t>
      </w:r>
      <w:r>
        <w:rPr>
          <w:rFonts w:ascii="Arial" w:hAnsi="Arial" w:cs="Arial"/>
          <w:i/>
          <w:sz w:val="16"/>
        </w:rPr>
        <w:t>s 11</w:t>
      </w:r>
      <w:r w:rsidRPr="00357EF4">
        <w:rPr>
          <w:rFonts w:ascii="Arial" w:hAnsi="Arial" w:cs="Arial"/>
          <w:i/>
          <w:sz w:val="16"/>
        </w:rPr>
        <w:t xml:space="preserve"> : </w:t>
      </w:r>
      <w:r>
        <w:rPr>
          <w:rFonts w:ascii="Arial" w:hAnsi="Arial" w:cs="Arial"/>
          <w:i/>
          <w:sz w:val="16"/>
        </w:rPr>
        <w:t xml:space="preserve">Situation socio-économique et démographique des enfants et des jeunes. </w:t>
      </w:r>
      <w:r w:rsidRPr="00357EF4">
        <w:rPr>
          <w:rFonts w:ascii="Arial" w:hAnsi="Arial" w:cs="Arial"/>
          <w:i/>
          <w:sz w:val="16"/>
        </w:rPr>
        <w:t xml:space="preserve">USAID ; Union </w:t>
      </w:r>
      <w:r>
        <w:rPr>
          <w:rFonts w:ascii="Arial" w:hAnsi="Arial" w:cs="Arial"/>
          <w:i/>
          <w:sz w:val="16"/>
        </w:rPr>
        <w:t>e</w:t>
      </w:r>
      <w:r w:rsidRPr="00357EF4">
        <w:rPr>
          <w:rFonts w:ascii="Arial" w:hAnsi="Arial" w:cs="Arial"/>
          <w:i/>
          <w:sz w:val="16"/>
        </w:rPr>
        <w:t xml:space="preserve">uropéenne ; Banque Mondiale ; PNUD ; FNUAP. </w:t>
      </w:r>
      <w:r w:rsidRPr="00345918">
        <w:rPr>
          <w:rFonts w:ascii="Arial" w:hAnsi="Arial" w:cs="Arial"/>
          <w:i/>
          <w:sz w:val="16"/>
          <w:lang w:val="en-US"/>
        </w:rPr>
        <w:t>167p</w:t>
      </w:r>
    </w:p>
  </w:footnote>
  <w:footnote w:id="53">
    <w:p w14:paraId="2080CA5F" w14:textId="77777777" w:rsidR="006C5F2A" w:rsidRPr="00345918" w:rsidRDefault="006C5F2A">
      <w:pPr>
        <w:pStyle w:val="Notedebasdepage"/>
        <w:rPr>
          <w:lang w:val="en-US"/>
        </w:rPr>
      </w:pPr>
      <w:r>
        <w:rPr>
          <w:rStyle w:val="Appelnotedebasdep"/>
        </w:rPr>
        <w:footnoteRef/>
      </w:r>
      <w:r w:rsidRPr="00345918">
        <w:rPr>
          <w:lang w:val="en-US"/>
        </w:rPr>
        <w:t xml:space="preserve"> </w:t>
      </w:r>
      <w:r w:rsidRPr="00345918">
        <w:rPr>
          <w:rFonts w:ascii="Arial" w:hAnsi="Arial" w:cs="Arial"/>
          <w:i/>
          <w:sz w:val="16"/>
          <w:lang w:val="en-US"/>
        </w:rPr>
        <w:t>https://www.fellah-trade.com/fr/export/carte-atlas/madagascar/economie</w:t>
      </w:r>
    </w:p>
  </w:footnote>
  <w:footnote w:id="54">
    <w:p w14:paraId="07E055F6" w14:textId="77777777" w:rsidR="006C5F2A" w:rsidRDefault="006C5F2A" w:rsidP="00340B95">
      <w:pPr>
        <w:pStyle w:val="Notedebasdepage"/>
      </w:pPr>
      <w:r>
        <w:rPr>
          <w:rStyle w:val="Appelnotedebasdep"/>
        </w:rPr>
        <w:footnoteRef/>
      </w:r>
      <w:r>
        <w:t xml:space="preserve"> </w:t>
      </w:r>
      <w:r w:rsidRPr="00B434A6">
        <w:rPr>
          <w:rFonts w:ascii="Arial" w:hAnsi="Arial" w:cs="Arial"/>
          <w:i/>
          <w:iCs/>
          <w:sz w:val="16"/>
          <w:szCs w:val="16"/>
        </w:rPr>
        <w:t>INSTAT 2021. Rapport thématique sur les résultats du RGPH3. Thème 03 : Caractéristique économique de la population. USAID ; UE ; Banque Mondiale ; PNUD ; FNUAP. 151p</w:t>
      </w:r>
    </w:p>
  </w:footnote>
  <w:footnote w:id="55">
    <w:p w14:paraId="444E81BA" w14:textId="77777777" w:rsidR="006C5F2A" w:rsidRPr="004C37C5" w:rsidRDefault="006C5F2A">
      <w:pPr>
        <w:pStyle w:val="Notedebasdepage"/>
        <w:rPr>
          <w:rFonts w:ascii="Arial" w:hAnsi="Arial" w:cs="Arial"/>
          <w:i/>
          <w:sz w:val="16"/>
        </w:rPr>
      </w:pPr>
      <w:r w:rsidRPr="004C37C5">
        <w:rPr>
          <w:rStyle w:val="Appelnotedebasdep"/>
          <w:rFonts w:ascii="Arial" w:hAnsi="Arial" w:cs="Arial"/>
          <w:i/>
          <w:sz w:val="16"/>
        </w:rPr>
        <w:footnoteRef/>
      </w:r>
      <w:r w:rsidRPr="004C37C5">
        <w:rPr>
          <w:rFonts w:ascii="Arial" w:hAnsi="Arial" w:cs="Arial"/>
          <w:i/>
          <w:sz w:val="16"/>
        </w:rPr>
        <w:t xml:space="preserve"> https://lexpress.mg/12/08/2019/energie-lelectrification-rurale-reste-un-luxe/</w:t>
      </w:r>
    </w:p>
  </w:footnote>
  <w:footnote w:id="56">
    <w:p w14:paraId="12D3A1BA" w14:textId="77777777" w:rsidR="006C5F2A" w:rsidRPr="00327DB6" w:rsidRDefault="006C5F2A">
      <w:pPr>
        <w:pStyle w:val="Notedebasdepage"/>
        <w:rPr>
          <w:rFonts w:ascii="Arial" w:hAnsi="Arial" w:cs="Arial"/>
          <w:i/>
          <w:sz w:val="16"/>
        </w:rPr>
      </w:pPr>
      <w:r w:rsidRPr="00B434A6">
        <w:rPr>
          <w:rStyle w:val="Appelnotedebasdep"/>
          <w:rFonts w:ascii="Arial" w:hAnsi="Arial" w:cs="Arial"/>
          <w:i/>
          <w:sz w:val="16"/>
        </w:rPr>
        <w:footnoteRef/>
      </w:r>
      <w:r w:rsidRPr="00B434A6">
        <w:rPr>
          <w:rFonts w:ascii="Arial" w:hAnsi="Arial" w:cs="Arial"/>
          <w:i/>
          <w:sz w:val="16"/>
        </w:rPr>
        <w:t xml:space="preserve"> </w:t>
      </w:r>
      <w:r w:rsidRPr="00742D67">
        <w:rPr>
          <w:rFonts w:ascii="Arial" w:hAnsi="Arial" w:cs="Arial"/>
          <w:i/>
          <w:sz w:val="16"/>
        </w:rPr>
        <w:t>Recouvrement CSB II = Nb CSB II/Nb Commune. Le taux supérieur à 100% indique que toutes les communes dans une Région donnée possèdent au moins 01 CSB</w:t>
      </w:r>
    </w:p>
  </w:footnote>
  <w:footnote w:id="57">
    <w:p w14:paraId="5BF01849" w14:textId="77777777" w:rsidR="006C5F2A" w:rsidRDefault="006C5F2A" w:rsidP="00666FA1">
      <w:pPr>
        <w:pStyle w:val="Notedebasdepage"/>
      </w:pPr>
      <w:r>
        <w:rPr>
          <w:rStyle w:val="Appelnotedebasdep"/>
        </w:rPr>
        <w:footnoteRef/>
      </w:r>
      <w:r>
        <w:t xml:space="preserve"> </w:t>
      </w:r>
      <w:r w:rsidRPr="00ED410C">
        <w:rPr>
          <w:rFonts w:ascii="Arial" w:hAnsi="Arial" w:cs="Arial"/>
          <w:i/>
          <w:sz w:val="16"/>
        </w:rPr>
        <w:t>Dolorès Pourette, Chiarella Mattern, Christine Bellas Cabane et Bodo Ravololomanga, 2018, Femmes, enfants et santé à Madagascar, approches anthropologiques comparées, Paris : L’Harmattan, p 24</w:t>
      </w:r>
    </w:p>
  </w:footnote>
  <w:footnote w:id="58">
    <w:p w14:paraId="24E09FCF" w14:textId="77777777" w:rsidR="006C5F2A" w:rsidRDefault="006C5F2A" w:rsidP="00666FA1">
      <w:pPr>
        <w:pStyle w:val="Notedebasdepage"/>
      </w:pPr>
      <w:r>
        <w:rPr>
          <w:rStyle w:val="Appelnotedebasdep"/>
        </w:rPr>
        <w:footnoteRef/>
      </w:r>
      <w:r>
        <w:t xml:space="preserve"> </w:t>
      </w:r>
      <w:r w:rsidRPr="008C3A6A">
        <w:rPr>
          <w:rFonts w:ascii="Arial" w:hAnsi="Arial" w:cs="Arial"/>
          <w:i/>
          <w:sz w:val="16"/>
        </w:rPr>
        <w:t>INSTAT. 2021. Rapport thématique sur les résultats du RGPH 3. Thème 8 : Niveaux, tendance et caractéristique de la mortalité à Madagascar. USAID, Banque Mondiale, Union Européenne, PNUD, FNUAP. 82p</w:t>
      </w:r>
    </w:p>
  </w:footnote>
  <w:footnote w:id="59">
    <w:p w14:paraId="585F8244" w14:textId="77777777" w:rsidR="006C5F2A" w:rsidRPr="00E64348" w:rsidRDefault="006C5F2A">
      <w:pPr>
        <w:pStyle w:val="Notedebasdepage"/>
        <w:rPr>
          <w:rFonts w:ascii="Arial" w:hAnsi="Arial" w:cs="Arial"/>
          <w:i/>
          <w:sz w:val="16"/>
        </w:rPr>
      </w:pPr>
      <w:r w:rsidRPr="00E64348">
        <w:rPr>
          <w:rStyle w:val="Appelnotedebasdep"/>
          <w:rFonts w:ascii="Arial" w:hAnsi="Arial" w:cs="Arial"/>
          <w:i/>
          <w:sz w:val="16"/>
        </w:rPr>
        <w:footnoteRef/>
      </w:r>
      <w:r w:rsidRPr="00E64348">
        <w:rPr>
          <w:rFonts w:ascii="Arial" w:hAnsi="Arial" w:cs="Arial"/>
          <w:i/>
          <w:sz w:val="16"/>
        </w:rPr>
        <w:t xml:space="preserve"> </w:t>
      </w:r>
      <w:hyperlink r:id="rId2" w:history="1">
        <w:r w:rsidRPr="00E64348">
          <w:rPr>
            <w:rStyle w:val="Lienhypertexte"/>
            <w:rFonts w:ascii="Arial" w:hAnsi="Arial" w:cs="Arial"/>
            <w:i/>
            <w:color w:val="auto"/>
            <w:sz w:val="16"/>
          </w:rPr>
          <w:t>https://fr.countryeconomy.com/energie-et-environnement/electricite-production/madagascar</w:t>
        </w:r>
      </w:hyperlink>
    </w:p>
  </w:footnote>
  <w:footnote w:id="60">
    <w:p w14:paraId="63156223" w14:textId="77777777" w:rsidR="006C5F2A" w:rsidRPr="00E64348" w:rsidRDefault="006C5F2A">
      <w:pPr>
        <w:pStyle w:val="Notedebasdepage"/>
        <w:rPr>
          <w:rFonts w:ascii="Arial" w:hAnsi="Arial" w:cs="Arial"/>
          <w:i/>
          <w:sz w:val="14"/>
          <w:szCs w:val="16"/>
        </w:rPr>
      </w:pPr>
      <w:r w:rsidRPr="00E64348">
        <w:rPr>
          <w:rStyle w:val="Appelnotedebasdep"/>
          <w:rFonts w:ascii="Arial" w:hAnsi="Arial" w:cs="Arial"/>
          <w:i/>
          <w:sz w:val="14"/>
          <w:szCs w:val="16"/>
        </w:rPr>
        <w:footnoteRef/>
      </w:r>
      <w:r w:rsidRPr="00E64348">
        <w:rPr>
          <w:rFonts w:ascii="Arial" w:hAnsi="Arial" w:cs="Arial"/>
          <w:i/>
          <w:sz w:val="14"/>
          <w:szCs w:val="16"/>
        </w:rPr>
        <w:t xml:space="preserve"> https://www.banquemondiale.org/fr/news/feature/2018/10/10/the-force-of-the-sun-madagascar-embarks-on-renewable-energy-production#:~:text=%C3%80%20Madagascar%2C%20seuls%2015%20%25%20de,%25)%20et%20hydro%C3%A9lectrique%20(40%25).</w:t>
      </w:r>
    </w:p>
  </w:footnote>
  <w:footnote w:id="61">
    <w:p w14:paraId="4662C716" w14:textId="77777777" w:rsidR="006C5F2A" w:rsidRPr="0010634A" w:rsidRDefault="006C5F2A" w:rsidP="001D3A29">
      <w:pPr>
        <w:pStyle w:val="Notedebasdepage"/>
        <w:rPr>
          <w:rFonts w:ascii="Arial" w:hAnsi="Arial" w:cs="Arial"/>
          <w:i/>
          <w:sz w:val="16"/>
        </w:rPr>
      </w:pPr>
      <w:r w:rsidRPr="0010634A">
        <w:rPr>
          <w:rStyle w:val="Appelnotedebasdep"/>
          <w:rFonts w:ascii="Arial" w:hAnsi="Arial" w:cs="Arial"/>
          <w:i/>
          <w:sz w:val="16"/>
        </w:rPr>
        <w:footnoteRef/>
      </w:r>
      <w:r w:rsidRPr="0010634A">
        <w:rPr>
          <w:rFonts w:ascii="Arial" w:hAnsi="Arial" w:cs="Arial"/>
          <w:i/>
          <w:sz w:val="16"/>
        </w:rPr>
        <w:t xml:space="preserve"> http://www.artec.mg/dses/index.php?id=2</w:t>
      </w:r>
    </w:p>
  </w:footnote>
  <w:footnote w:id="62">
    <w:p w14:paraId="567C5FD2" w14:textId="77777777" w:rsidR="006C5F2A" w:rsidRPr="0010634A" w:rsidRDefault="006C5F2A" w:rsidP="001D3A29">
      <w:pPr>
        <w:pStyle w:val="Notedebasdepage"/>
        <w:rPr>
          <w:rFonts w:ascii="Arial" w:hAnsi="Arial" w:cs="Arial"/>
          <w:i/>
          <w:sz w:val="16"/>
        </w:rPr>
      </w:pPr>
      <w:r w:rsidRPr="0010634A">
        <w:rPr>
          <w:rStyle w:val="Appelnotedebasdep"/>
          <w:rFonts w:ascii="Arial" w:hAnsi="Arial" w:cs="Arial"/>
          <w:i/>
          <w:sz w:val="16"/>
        </w:rPr>
        <w:footnoteRef/>
      </w:r>
      <w:r w:rsidRPr="0010634A">
        <w:rPr>
          <w:rFonts w:ascii="Arial" w:hAnsi="Arial" w:cs="Arial"/>
          <w:i/>
          <w:sz w:val="16"/>
        </w:rPr>
        <w:t xml:space="preserve"> https://donnees.banquemondiale.org/indicator/IT.CEL.SETS.P2?locations=MG</w:t>
      </w:r>
    </w:p>
  </w:footnote>
  <w:footnote w:id="63">
    <w:p w14:paraId="7C74EA68" w14:textId="77777777" w:rsidR="006C5F2A" w:rsidRPr="00E341AA" w:rsidRDefault="006C5F2A" w:rsidP="001D3A29">
      <w:pPr>
        <w:jc w:val="both"/>
        <w:rPr>
          <w:rFonts w:ascii="Arial" w:hAnsi="Arial" w:cs="Arial"/>
          <w:i/>
          <w:sz w:val="16"/>
          <w:szCs w:val="16"/>
        </w:rPr>
      </w:pPr>
      <w:r w:rsidRPr="00E341AA">
        <w:rPr>
          <w:rStyle w:val="Appelnotedebasdep"/>
          <w:rFonts w:ascii="Arial" w:hAnsi="Arial" w:cs="Arial"/>
          <w:sz w:val="16"/>
          <w:szCs w:val="16"/>
        </w:rPr>
        <w:footnoteRef/>
      </w:r>
      <w:r w:rsidRPr="00E341AA">
        <w:rPr>
          <w:rFonts w:ascii="Arial" w:hAnsi="Arial" w:cs="Arial"/>
          <w:sz w:val="16"/>
          <w:szCs w:val="16"/>
        </w:rPr>
        <w:t xml:space="preserve"> </w:t>
      </w:r>
      <w:r w:rsidRPr="00E341AA">
        <w:rPr>
          <w:rFonts w:ascii="Arial" w:hAnsi="Arial" w:cs="Arial"/>
          <w:i/>
          <w:sz w:val="16"/>
          <w:szCs w:val="16"/>
        </w:rPr>
        <w:t>KACENELENBOGEN, F. et al. en 2020. Madagascsar : Ecosystème numérique : Cartographie et propositions de mesures d’atténuation des effets du COVID-19 et d’appui au secteur. TPSDE Facility. ECCD. 171p</w:t>
      </w:r>
    </w:p>
    <w:p w14:paraId="2C517FEF" w14:textId="77777777" w:rsidR="006C5F2A" w:rsidRPr="00E341AA" w:rsidRDefault="006C5F2A" w:rsidP="001D3A29">
      <w:pPr>
        <w:jc w:val="both"/>
        <w:rPr>
          <w:rFonts w:ascii="Arial" w:hAnsi="Arial" w:cs="Arial"/>
          <w:sz w:val="16"/>
          <w:szCs w:val="16"/>
        </w:rPr>
      </w:pPr>
      <w:r w:rsidRPr="00E341AA">
        <w:rPr>
          <w:rStyle w:val="Appelnotedebasdep"/>
          <w:rFonts w:ascii="Arial" w:hAnsi="Arial" w:cs="Arial"/>
          <w:i/>
          <w:sz w:val="16"/>
          <w:szCs w:val="16"/>
        </w:rPr>
        <w:footnoteRef/>
      </w:r>
      <w:r w:rsidRPr="00E341AA">
        <w:rPr>
          <w:rFonts w:ascii="Arial" w:hAnsi="Arial" w:cs="Arial"/>
          <w:i/>
          <w:sz w:val="16"/>
          <w:szCs w:val="16"/>
        </w:rPr>
        <w:t xml:space="preserve"> INSTAT. 2019. Enquête par Grappe à Indicateurs Multiples, 2018.  Résumé statistique. UNICEF, JICA, Banque Mondiale. 74p</w:t>
      </w:r>
    </w:p>
  </w:footnote>
  <w:footnote w:id="64">
    <w:p w14:paraId="4DA5B9E2" w14:textId="77777777" w:rsidR="006C5F2A" w:rsidRDefault="006C5F2A"/>
    <w:p w14:paraId="69D8E692" w14:textId="77777777" w:rsidR="006C5F2A" w:rsidRPr="00C662B5" w:rsidRDefault="006C5F2A" w:rsidP="001D3A29">
      <w:pPr>
        <w:pStyle w:val="Notedebasdepage"/>
        <w:rPr>
          <w:rFonts w:ascii="Arial" w:hAnsi="Arial" w:cs="Arial"/>
          <w:i/>
          <w:sz w:val="16"/>
        </w:rPr>
      </w:pPr>
    </w:p>
  </w:footnote>
  <w:footnote w:id="65">
    <w:p w14:paraId="41125637" w14:textId="77777777" w:rsidR="006C5F2A" w:rsidRDefault="006C5F2A">
      <w:pPr>
        <w:pStyle w:val="Notedebasdepage"/>
      </w:pPr>
      <w:r>
        <w:rPr>
          <w:rStyle w:val="Appelnotedebasdep"/>
        </w:rPr>
        <w:footnoteRef/>
      </w:r>
      <w:r w:rsidRPr="007B0915">
        <w:rPr>
          <w:rFonts w:ascii="Arial" w:hAnsi="Arial" w:cs="Arial"/>
          <w:i/>
          <w:sz w:val="16"/>
        </w:rPr>
        <w:t xml:space="preserve"> </w:t>
      </w:r>
      <w:r w:rsidRPr="00B82B66">
        <w:rPr>
          <w:rFonts w:ascii="Arial" w:hAnsi="Arial" w:cs="Arial"/>
          <w:i/>
          <w:sz w:val="16"/>
        </w:rPr>
        <w:t>INSTAT, 2021. Enquête démographique et de santé  à Madagascar (EDSMD – V). The DHS Program ; ICF. Rockville, Maryland, USA. 659p</w:t>
      </w:r>
    </w:p>
  </w:footnote>
  <w:footnote w:id="66">
    <w:p w14:paraId="77825A63" w14:textId="77777777" w:rsidR="006C5F2A" w:rsidRPr="00E85EBC" w:rsidRDefault="006C5F2A">
      <w:pPr>
        <w:pStyle w:val="Notedebasdepage"/>
        <w:rPr>
          <w:rFonts w:ascii="Arial" w:hAnsi="Arial" w:cs="Arial"/>
          <w:i/>
          <w:sz w:val="16"/>
        </w:rPr>
      </w:pPr>
      <w:r w:rsidRPr="00E85EBC">
        <w:rPr>
          <w:rStyle w:val="Appelnotedebasdep"/>
          <w:rFonts w:ascii="Arial" w:hAnsi="Arial" w:cs="Arial"/>
          <w:i/>
          <w:sz w:val="16"/>
        </w:rPr>
        <w:footnoteRef/>
      </w:r>
      <w:r w:rsidRPr="00E85EBC">
        <w:rPr>
          <w:rFonts w:ascii="Arial" w:hAnsi="Arial" w:cs="Arial"/>
          <w:i/>
          <w:sz w:val="16"/>
        </w:rPr>
        <w:t xml:space="preserve"> MICS 2019. Enquête par grappe à Indicateur Multiple., 2018. INSTAT ;. Banque Mondiale ; JICA ; USAID ;  UNICEF. 74p</w:t>
      </w:r>
    </w:p>
  </w:footnote>
  <w:footnote w:id="67">
    <w:p w14:paraId="5ED28312" w14:textId="77777777" w:rsidR="006C5F2A" w:rsidRPr="00B82B66" w:rsidRDefault="006C5F2A">
      <w:pPr>
        <w:pStyle w:val="Notedebasdepage"/>
        <w:rPr>
          <w:rFonts w:ascii="Arial" w:hAnsi="Arial" w:cs="Arial"/>
          <w:i/>
          <w:sz w:val="16"/>
        </w:rPr>
      </w:pPr>
      <w:r w:rsidRPr="00B82B66">
        <w:rPr>
          <w:rStyle w:val="Appelnotedebasdep"/>
          <w:rFonts w:ascii="Arial" w:hAnsi="Arial" w:cs="Arial"/>
          <w:i/>
          <w:sz w:val="16"/>
        </w:rPr>
        <w:footnoteRef/>
      </w:r>
      <w:r w:rsidRPr="00B82B66">
        <w:rPr>
          <w:rFonts w:ascii="Arial" w:hAnsi="Arial" w:cs="Arial"/>
          <w:i/>
          <w:sz w:val="16"/>
        </w:rPr>
        <w:t xml:space="preserve"> INSTAT, 2021. Enquête démographique et de santé à Madagascar (EDSMD – V). The DHS Program ; ICF. Rockville, Maryland, USA. 659p</w:t>
      </w:r>
    </w:p>
  </w:footnote>
  <w:footnote w:id="68">
    <w:p w14:paraId="4CFB3429" w14:textId="77777777" w:rsidR="006C5F2A" w:rsidRPr="00A3503B" w:rsidRDefault="006C5F2A">
      <w:pPr>
        <w:pStyle w:val="Notedebasdepage"/>
        <w:rPr>
          <w:rFonts w:ascii="Arial" w:hAnsi="Arial" w:cs="Arial"/>
          <w:i/>
          <w:sz w:val="16"/>
        </w:rPr>
      </w:pPr>
      <w:r w:rsidRPr="00A3503B">
        <w:rPr>
          <w:rStyle w:val="Appelnotedebasdep"/>
          <w:rFonts w:ascii="Arial" w:hAnsi="Arial" w:cs="Arial"/>
          <w:i/>
          <w:sz w:val="16"/>
        </w:rPr>
        <w:footnoteRef/>
      </w:r>
      <w:r w:rsidRPr="00A3503B">
        <w:rPr>
          <w:rFonts w:ascii="Arial" w:hAnsi="Arial" w:cs="Arial"/>
          <w:i/>
          <w:sz w:val="16"/>
        </w:rPr>
        <w:t xml:space="preserve"> Les différents textes régissant le secteur énergie est issue du CGES du Projet PAGOSE </w:t>
      </w:r>
    </w:p>
  </w:footnote>
  <w:footnote w:id="69">
    <w:p w14:paraId="5C0CF4F1" w14:textId="77777777" w:rsidR="006C5F2A" w:rsidRPr="00D17681" w:rsidRDefault="006C5F2A">
      <w:pPr>
        <w:pStyle w:val="Notedebasdepage"/>
        <w:rPr>
          <w:rFonts w:ascii="Arial" w:hAnsi="Arial" w:cs="Arial"/>
          <w:i/>
          <w:sz w:val="16"/>
        </w:rPr>
      </w:pPr>
      <w:r w:rsidRPr="00D17681">
        <w:rPr>
          <w:rStyle w:val="Appelnotedebasdep"/>
          <w:rFonts w:ascii="Arial" w:hAnsi="Arial" w:cs="Arial"/>
          <w:i/>
          <w:sz w:val="16"/>
        </w:rPr>
        <w:footnoteRef/>
      </w:r>
      <w:r w:rsidRPr="00D17681">
        <w:rPr>
          <w:rFonts w:ascii="Arial" w:hAnsi="Arial" w:cs="Arial"/>
          <w:i/>
          <w:sz w:val="16"/>
        </w:rPr>
        <w:t xml:space="preserve"> On entend par vulnérable </w:t>
      </w:r>
      <w:r w:rsidRPr="00D17681">
        <w:rPr>
          <w:rFonts w:ascii="Arial" w:hAnsi="Arial" w:cs="Arial"/>
          <w:i/>
          <w:sz w:val="16"/>
          <w:szCs w:val="24"/>
        </w:rPr>
        <w:t>toutes personnes vivant</w:t>
      </w:r>
      <w:r>
        <w:rPr>
          <w:rFonts w:ascii="Arial" w:hAnsi="Arial" w:cs="Arial"/>
          <w:i/>
          <w:sz w:val="16"/>
          <w:szCs w:val="24"/>
        </w:rPr>
        <w:t>es</w:t>
      </w:r>
      <w:r w:rsidRPr="00D17681">
        <w:rPr>
          <w:rFonts w:ascii="Arial" w:hAnsi="Arial" w:cs="Arial"/>
          <w:i/>
          <w:sz w:val="16"/>
          <w:szCs w:val="24"/>
        </w:rPr>
        <w:t xml:space="preserve"> ponctuellement ou d'une manière prolongée au sein des établissements scolaires, crèches, auspices, maison de retraite ou établissements de soins</w:t>
      </w:r>
    </w:p>
  </w:footnote>
  <w:footnote w:id="70">
    <w:p w14:paraId="781D988A" w14:textId="77777777" w:rsidR="006C5F2A" w:rsidRPr="00742D67" w:rsidRDefault="006C5F2A">
      <w:pPr>
        <w:pStyle w:val="Notedebasdepage"/>
        <w:rPr>
          <w:rFonts w:ascii="Arial" w:hAnsi="Arial" w:cs="Arial"/>
          <w:i/>
        </w:rPr>
      </w:pPr>
      <w:r w:rsidRPr="0025561B">
        <w:rPr>
          <w:rStyle w:val="Appelnotedebasdep"/>
          <w:rFonts w:ascii="Arial" w:hAnsi="Arial" w:cs="Arial"/>
          <w:i/>
          <w:color w:val="FF0000"/>
          <w:sz w:val="16"/>
        </w:rPr>
        <w:footnoteRef/>
      </w:r>
      <w:r w:rsidRPr="0025561B">
        <w:rPr>
          <w:rFonts w:ascii="Arial" w:hAnsi="Arial" w:cs="Arial"/>
          <w:i/>
          <w:color w:val="FF0000"/>
          <w:sz w:val="16"/>
        </w:rPr>
        <w:t xml:space="preserve"> </w:t>
      </w:r>
      <w:hyperlink r:id="rId3" w:history="1">
        <w:r w:rsidRPr="0081370C">
          <w:rPr>
            <w:rStyle w:val="Lienhypertexte"/>
            <w:rFonts w:ascii="Arial" w:hAnsi="Arial" w:cs="Arial"/>
            <w:i/>
            <w:sz w:val="16"/>
          </w:rPr>
          <w:t>https://www.ifc.org/wps/wcm/connect/d4260b19-30f2-466d-9c7e-86ac0ece7e89/010_General%2BGuidelines.pdf?MOD=AJPERES&amp;CVID=nPtgz5p&amp;ContentCache=NONE&amp;CACHE=NONE</w:t>
        </w:r>
      </w:hyperlink>
      <w:r>
        <w:rPr>
          <w:rFonts w:ascii="Arial" w:hAnsi="Arial" w:cs="Arial"/>
          <w:i/>
          <w:sz w:val="16"/>
        </w:rPr>
        <w:t xml:space="preserve"> </w:t>
      </w:r>
    </w:p>
  </w:footnote>
  <w:footnote w:id="71">
    <w:p w14:paraId="2271E1EB" w14:textId="77777777" w:rsidR="006C5F2A" w:rsidRPr="00B434A6" w:rsidRDefault="006C5F2A">
      <w:pPr>
        <w:pStyle w:val="Notedebasdepage"/>
        <w:rPr>
          <w:rFonts w:ascii="Arial" w:hAnsi="Arial" w:cs="Arial"/>
          <w:i/>
          <w:sz w:val="16"/>
        </w:rPr>
      </w:pPr>
      <w:r w:rsidRPr="00B434A6">
        <w:rPr>
          <w:rStyle w:val="Appelnotedebasdep"/>
          <w:rFonts w:ascii="Arial" w:hAnsi="Arial" w:cs="Arial"/>
          <w:i/>
          <w:sz w:val="16"/>
        </w:rPr>
        <w:footnoteRef/>
      </w:r>
      <w:r w:rsidRPr="00B434A6">
        <w:rPr>
          <w:rFonts w:ascii="Arial" w:hAnsi="Arial" w:cs="Arial"/>
          <w:i/>
          <w:sz w:val="16"/>
        </w:rPr>
        <w:t xml:space="preserve"> </w:t>
      </w:r>
      <w:hyperlink r:id="rId4" w:history="1">
        <w:r w:rsidRPr="0081370C">
          <w:rPr>
            <w:rStyle w:val="Lienhypertexte"/>
            <w:rFonts w:ascii="Arial" w:hAnsi="Arial" w:cs="Arial"/>
            <w:i/>
            <w:sz w:val="16"/>
          </w:rPr>
          <w:t>https://www.ifc.org/wps/wcm/connect/eeb82b4a-e9a8-4ad1-9472-f1c766eb67c8/3%2BCommunity%2BHealth%2Band%2BSafety.pdf?MOD=AJPERES&amp;CVID=nPtgxTd</w:t>
        </w:r>
      </w:hyperlink>
      <w:r>
        <w:rPr>
          <w:rFonts w:ascii="Arial" w:hAnsi="Arial" w:cs="Arial"/>
          <w:i/>
          <w:sz w:val="16"/>
        </w:rPr>
        <w:t xml:space="preserve"> </w:t>
      </w:r>
    </w:p>
  </w:footnote>
  <w:footnote w:id="72">
    <w:p w14:paraId="05F4AA8C" w14:textId="77777777" w:rsidR="006C5F2A" w:rsidRPr="00894F71" w:rsidRDefault="006C5F2A" w:rsidP="008B6591">
      <w:pPr>
        <w:spacing w:after="120"/>
        <w:rPr>
          <w:sz w:val="16"/>
          <w:szCs w:val="16"/>
        </w:rPr>
      </w:pPr>
      <w:r w:rsidRPr="00894F71">
        <w:rPr>
          <w:rStyle w:val="Appelnotedebasdep"/>
          <w:sz w:val="16"/>
          <w:szCs w:val="16"/>
        </w:rPr>
        <w:footnoteRef/>
      </w:r>
      <w:hyperlink r:id="rId5" w:history="1">
        <w:r w:rsidRPr="00894F71">
          <w:rPr>
            <w:rStyle w:val="Lienhypertexte"/>
            <w:sz w:val="16"/>
            <w:szCs w:val="16"/>
          </w:rPr>
          <w:t>https://www.ifc.org/wps/wcm/connect/1d19c1ab-3ef8-42d4-bd6b-cb79648af3fe/2%2BOccupational%2BHealth%2Band%2BSafety.pdf?MOD=AJPERES&amp;CVID=nPtgxyx</w:t>
        </w:r>
      </w:hyperlink>
    </w:p>
  </w:footnote>
  <w:footnote w:id="73">
    <w:p w14:paraId="163F7CDA" w14:textId="77777777" w:rsidR="006C5F2A" w:rsidRPr="00742D67" w:rsidRDefault="006C5F2A">
      <w:pPr>
        <w:pStyle w:val="Notedebasdepage"/>
        <w:rPr>
          <w:sz w:val="16"/>
        </w:rPr>
      </w:pPr>
      <w:r w:rsidRPr="00742D67">
        <w:rPr>
          <w:rStyle w:val="Appelnotedebasdep"/>
          <w:sz w:val="16"/>
        </w:rPr>
        <w:footnoteRef/>
      </w:r>
      <w:r w:rsidRPr="00742D67">
        <w:rPr>
          <w:sz w:val="16"/>
        </w:rPr>
        <w:t xml:space="preserve"> </w:t>
      </w:r>
      <w:hyperlink r:id="rId6" w:history="1">
        <w:r w:rsidRPr="0081370C">
          <w:rPr>
            <w:rStyle w:val="Lienhypertexte"/>
            <w:sz w:val="16"/>
          </w:rPr>
          <w:t>https://www.ifc.org/wps/wcm/connect/7d708218-2a9e-4fcc-879d-9d5051746e7d/4%2BConstruction%2Band%2BDecommissioning.pdf?MOD=AJPERES&amp;CVID=nPtgy6x</w:t>
        </w:r>
      </w:hyperlink>
      <w:r>
        <w:rPr>
          <w:sz w:val="16"/>
        </w:rPr>
        <w:t xml:space="preserve"> </w:t>
      </w:r>
    </w:p>
  </w:footnote>
  <w:footnote w:id="74">
    <w:p w14:paraId="1CA56F52" w14:textId="77777777" w:rsidR="006C5F2A" w:rsidRPr="003E40C3" w:rsidRDefault="006C5F2A" w:rsidP="006F6154">
      <w:pPr>
        <w:pStyle w:val="Notedebasdepage"/>
        <w:spacing w:after="120"/>
      </w:pPr>
      <w:r w:rsidRPr="00894F71">
        <w:rPr>
          <w:rStyle w:val="Appelnotedebasdep"/>
          <w:sz w:val="16"/>
          <w:szCs w:val="16"/>
        </w:rPr>
        <w:footnoteRef/>
      </w:r>
      <w:hyperlink r:id="rId7" w:history="1">
        <w:r w:rsidRPr="00073D42">
          <w:rPr>
            <w:rStyle w:val="Lienhypertexte"/>
          </w:rPr>
          <w:t xml:space="preserve"> </w:t>
        </w:r>
        <w:r w:rsidRPr="00B434A6">
          <w:rPr>
            <w:rStyle w:val="Lienhypertexte"/>
            <w:rFonts w:ascii="Arial" w:hAnsi="Arial" w:cs="Arial"/>
            <w:sz w:val="16"/>
          </w:rPr>
          <w:t>https://thedocs.worldbank.org/en/doc/497851495202591233-0290022017/original/ManagingRiskofAdverseimpactfromprojectlaborinflux.pdf</w:t>
        </w:r>
        <w:r w:rsidRPr="00B434A6" w:rsidDel="00DB237B">
          <w:rPr>
            <w:rStyle w:val="Lienhypertexte"/>
            <w:rFonts w:ascii="Arial" w:hAnsi="Arial" w:cs="Arial"/>
            <w:sz w:val="16"/>
          </w:rPr>
          <w:t xml:space="preserve"> </w:t>
        </w:r>
      </w:hyperlink>
    </w:p>
  </w:footnote>
  <w:footnote w:id="75">
    <w:p w14:paraId="11AC5224" w14:textId="77777777" w:rsidR="006C5F2A" w:rsidRPr="006F6154" w:rsidRDefault="006C5F2A">
      <w:pPr>
        <w:pStyle w:val="Notedebasdepage"/>
        <w:rPr>
          <w:rFonts w:ascii="Arial" w:hAnsi="Arial" w:cs="Arial"/>
          <w:i/>
        </w:rPr>
      </w:pPr>
      <w:r w:rsidRPr="006F6154">
        <w:rPr>
          <w:rStyle w:val="Appelnotedebasdep"/>
          <w:rFonts w:ascii="Arial" w:hAnsi="Arial" w:cs="Arial"/>
          <w:i/>
          <w:sz w:val="16"/>
        </w:rPr>
        <w:footnoteRef/>
      </w:r>
      <w:r w:rsidRPr="006F6154">
        <w:rPr>
          <w:rFonts w:ascii="Arial" w:hAnsi="Arial" w:cs="Arial"/>
          <w:i/>
          <w:sz w:val="16"/>
        </w:rPr>
        <w:t xml:space="preserve"> </w:t>
      </w:r>
      <w:hyperlink r:id="rId8" w:history="1">
        <w:r w:rsidRPr="00942A7E">
          <w:rPr>
            <w:rStyle w:val="Lienhypertexte"/>
            <w:rFonts w:ascii="Arial" w:hAnsi="Arial" w:cs="Arial"/>
            <w:i/>
            <w:sz w:val="16"/>
          </w:rPr>
          <w:t>https://www.ifc.org/wps/wcm/connect/fe8c5e93-d8c0-4944-938c-64046fd79435/004_Electric%2BPower%2BTransmission%2Band%2BDistribution.pdf?MOD=AJPERES&amp;CVID=nPtfpU0&amp;ContentCache=NONE&amp;CACHE=NONE</w:t>
        </w:r>
      </w:hyperlink>
      <w:r>
        <w:rPr>
          <w:rFonts w:ascii="Arial" w:hAnsi="Arial" w:cs="Arial"/>
          <w:i/>
          <w:sz w:val="16"/>
        </w:rPr>
        <w:t xml:space="preserve"> </w:t>
      </w:r>
    </w:p>
  </w:footnote>
  <w:footnote w:id="76">
    <w:p w14:paraId="1AD7EF25" w14:textId="77777777" w:rsidR="006C5F2A" w:rsidRPr="00BC6F50" w:rsidRDefault="006C5F2A" w:rsidP="00FD400A">
      <w:pPr>
        <w:pStyle w:val="Notedebasdepage"/>
        <w:rPr>
          <w:rFonts w:ascii="Arial" w:hAnsi="Arial" w:cs="Arial"/>
          <w:i/>
          <w:sz w:val="16"/>
        </w:rPr>
      </w:pPr>
      <w:r w:rsidRPr="00BC6F50">
        <w:rPr>
          <w:rStyle w:val="Appelnotedebasdep"/>
          <w:rFonts w:ascii="Arial" w:hAnsi="Arial" w:cs="Arial"/>
          <w:i/>
          <w:sz w:val="16"/>
        </w:rPr>
        <w:footnoteRef/>
      </w:r>
      <w:r w:rsidRPr="00BC6F50">
        <w:rPr>
          <w:rFonts w:ascii="Arial" w:hAnsi="Arial" w:cs="Arial"/>
          <w:i/>
          <w:sz w:val="16"/>
        </w:rPr>
        <w:t xml:space="preserve"> </w:t>
      </w:r>
      <w:hyperlink r:id="rId9" w:history="1">
        <w:r w:rsidRPr="00942A7E">
          <w:rPr>
            <w:rStyle w:val="Lienhypertexte"/>
            <w:rFonts w:ascii="Arial" w:hAnsi="Arial" w:cs="Arial"/>
            <w:i/>
            <w:sz w:val="16"/>
          </w:rPr>
          <w:t>https://www.ifc.org/wps/wcm/connect/4a51e9af-9c4b-4106-a8be-567a2a451d09/046_Telecommunications.pdf?MOD=AJPERES&amp;CVID=nPtjDHV&amp;ContentCache=NONE&amp;CACHE=NONE</w:t>
        </w:r>
      </w:hyperlink>
      <w:r>
        <w:rPr>
          <w:rFonts w:ascii="Arial" w:hAnsi="Arial" w:cs="Arial"/>
          <w:i/>
          <w:sz w:val="16"/>
        </w:rPr>
        <w:t xml:space="preserve"> </w:t>
      </w:r>
    </w:p>
  </w:footnote>
  <w:footnote w:id="77">
    <w:p w14:paraId="68FE1D87" w14:textId="77777777" w:rsidR="006C5F2A" w:rsidRPr="003C7E2E" w:rsidRDefault="006C5F2A">
      <w:pPr>
        <w:pStyle w:val="Notedebasdepage"/>
        <w:rPr>
          <w:rFonts w:ascii="Arial" w:hAnsi="Arial" w:cs="Arial"/>
          <w:i/>
          <w:sz w:val="16"/>
        </w:rPr>
      </w:pPr>
      <w:r w:rsidRPr="003C7E2E">
        <w:rPr>
          <w:rStyle w:val="Appelnotedebasdep"/>
          <w:rFonts w:ascii="Arial" w:hAnsi="Arial" w:cs="Arial"/>
          <w:i/>
          <w:sz w:val="16"/>
        </w:rPr>
        <w:footnoteRef/>
      </w:r>
      <w:r w:rsidRPr="003C7E2E">
        <w:rPr>
          <w:rFonts w:ascii="Arial" w:hAnsi="Arial" w:cs="Arial"/>
          <w:i/>
          <w:sz w:val="16"/>
        </w:rPr>
        <w:t xml:space="preserve"> </w:t>
      </w:r>
      <w:hyperlink r:id="rId10" w:history="1">
        <w:r w:rsidRPr="0081370C">
          <w:rPr>
            <w:rStyle w:val="Lienhypertexte"/>
            <w:rFonts w:ascii="Arial" w:hAnsi="Arial" w:cs="Arial"/>
            <w:i/>
            <w:sz w:val="16"/>
          </w:rPr>
          <w:t>https://www.ifc.org/wps/wcm/connect/e1c73d0a-6af5-47c8-b4a6-762e250085b9e9/001_Construction%2BMaterials%2BExtraction.pdf?MOD=AJPERES&amp;CVID=jqevBT</w:t>
        </w:r>
      </w:hyperlink>
      <w:r>
        <w:rPr>
          <w:rFonts w:ascii="Arial" w:hAnsi="Arial" w:cs="Arial"/>
          <w:i/>
          <w:sz w:val="16"/>
        </w:rPr>
        <w:t xml:space="preserve"> </w:t>
      </w:r>
    </w:p>
  </w:footnote>
  <w:footnote w:id="78">
    <w:p w14:paraId="77BFC1FF" w14:textId="77777777" w:rsidR="006C5F2A" w:rsidRPr="00067E03" w:rsidRDefault="006C5F2A" w:rsidP="0090044A">
      <w:pPr>
        <w:pStyle w:val="BVIfnrCarCarCarCarChar"/>
        <w:spacing w:before="280" w:after="280"/>
        <w:rPr>
          <w:i/>
        </w:rPr>
      </w:pPr>
      <w:r>
        <w:rPr>
          <w:rStyle w:val="Caractresdenotedebasdepage"/>
        </w:rPr>
        <w:footnoteRef/>
      </w:r>
      <w:r w:rsidRPr="00067E03">
        <w:t xml:space="preserve"> https://fre.legatechnics.com/photovoltaic-heat-island-effect-larger-solar-power-plants-increase-local-temperatures-42534217</w:t>
      </w:r>
    </w:p>
  </w:footnote>
  <w:footnote w:id="79">
    <w:p w14:paraId="12823A71" w14:textId="77777777" w:rsidR="006C5F2A" w:rsidRPr="00B434A6" w:rsidRDefault="006C5F2A" w:rsidP="00B434A6">
      <w:pPr>
        <w:spacing w:after="0" w:line="240" w:lineRule="auto"/>
        <w:rPr>
          <w:rFonts w:ascii="Arial" w:hAnsi="Arial" w:cs="Arial"/>
          <w:sz w:val="16"/>
        </w:rPr>
      </w:pPr>
      <w:r w:rsidRPr="00B434A6">
        <w:rPr>
          <w:rStyle w:val="Appelnotedebasdep"/>
          <w:rFonts w:ascii="Arial" w:hAnsi="Arial" w:cs="Arial"/>
          <w:sz w:val="16"/>
        </w:rPr>
        <w:footnoteRef/>
      </w:r>
      <w:r w:rsidRPr="00B434A6">
        <w:rPr>
          <w:rFonts w:ascii="Arial" w:hAnsi="Arial" w:cs="Arial"/>
          <w:sz w:val="16"/>
        </w:rPr>
        <w:t xml:space="preserve"> ASSANI A. A. et al. 2005. Impacts des barrages sur les débits annuels minimums en fonction des régimes hydrologiques artificialisés au Québec (Canada). Revue des sciences de l'eau / Journal of Water Science, 18(1), 103–127. </w:t>
      </w:r>
      <w:hyperlink r:id="rId11" w:history="1">
        <w:r w:rsidRPr="00B434A6">
          <w:rPr>
            <w:rStyle w:val="Lienhypertexte"/>
            <w:rFonts w:ascii="Arial" w:hAnsi="Arial" w:cs="Arial"/>
            <w:sz w:val="16"/>
          </w:rPr>
          <w:t>https://doi.org/10.7202/705552ar</w:t>
        </w:r>
      </w:hyperlink>
    </w:p>
    <w:p w14:paraId="2908BC9F" w14:textId="77777777" w:rsidR="006C5F2A" w:rsidRPr="000F448E" w:rsidRDefault="006C5F2A" w:rsidP="000F448E">
      <w:pPr>
        <w:pStyle w:val="Notedebasdepage"/>
      </w:pPr>
      <w:r>
        <w:t xml:space="preserve"> </w:t>
      </w:r>
    </w:p>
  </w:footnote>
  <w:footnote w:id="80">
    <w:p w14:paraId="4F38E2BF" w14:textId="77777777" w:rsidR="006C5F2A" w:rsidRPr="00B434A6" w:rsidRDefault="006C5F2A" w:rsidP="000F448E">
      <w:pPr>
        <w:pStyle w:val="Notedebasdepage"/>
        <w:rPr>
          <w:rFonts w:ascii="Arial" w:hAnsi="Arial" w:cs="Arial"/>
          <w:sz w:val="16"/>
        </w:rPr>
      </w:pPr>
      <w:r w:rsidRPr="00B434A6">
        <w:rPr>
          <w:rStyle w:val="Appelnotedebasdep"/>
          <w:rFonts w:ascii="Arial" w:hAnsi="Arial" w:cs="Arial"/>
          <w:sz w:val="16"/>
        </w:rPr>
        <w:footnoteRef/>
      </w:r>
      <w:r w:rsidRPr="00B434A6">
        <w:rPr>
          <w:rFonts w:ascii="Arial" w:hAnsi="Arial" w:cs="Arial"/>
          <w:sz w:val="16"/>
        </w:rPr>
        <w:t xml:space="preserve"> ASSANI A. A. et al. 2006. Impacts des barrages sur les caractéristiques des débits moyens annuels en fonction du mode de gestion et de la taille des bassins versants au Québec. Revue des Sciences de l’Eau 20(1) (2007) 127-146.</w:t>
      </w:r>
    </w:p>
  </w:footnote>
  <w:footnote w:id="81">
    <w:p w14:paraId="545FA210" w14:textId="77777777" w:rsidR="006C5F2A" w:rsidRPr="00B434A6" w:rsidRDefault="006C5F2A">
      <w:pPr>
        <w:pStyle w:val="Notedebasdepage"/>
        <w:rPr>
          <w:rFonts w:ascii="Arial" w:hAnsi="Arial" w:cs="Arial"/>
          <w:i/>
          <w:sz w:val="16"/>
          <w:szCs w:val="16"/>
        </w:rPr>
      </w:pPr>
      <w:r w:rsidRPr="00B434A6">
        <w:rPr>
          <w:rStyle w:val="Appelnotedebasdep"/>
          <w:rFonts w:ascii="Arial" w:hAnsi="Arial" w:cs="Arial"/>
          <w:i/>
          <w:sz w:val="16"/>
          <w:szCs w:val="16"/>
        </w:rPr>
        <w:footnoteRef/>
      </w:r>
      <w:r w:rsidRPr="00B434A6">
        <w:rPr>
          <w:rFonts w:ascii="Arial" w:hAnsi="Arial" w:cs="Arial"/>
          <w:i/>
          <w:sz w:val="16"/>
          <w:szCs w:val="16"/>
        </w:rPr>
        <w:t xml:space="preserve"> Chanel Nzango, Laurent Touchart et Pascal Bartout, « Analyse de l’influence d’un barrage à obstruction partielle sur les régimes hydrosédimentaires de la rivière Oubangui (bassin du Congo) », Norois [En ligne], 253 | 2019, mis en ligne le 02 janvier 2023, consulté le 04 janvier 2023. URL : http://journals.openedition.org/norois/9504 ; DOI : </w:t>
      </w:r>
      <w:hyperlink r:id="rId12" w:history="1">
        <w:r w:rsidRPr="00B434A6">
          <w:rPr>
            <w:rStyle w:val="Lienhypertexte"/>
            <w:rFonts w:ascii="Arial" w:hAnsi="Arial" w:cs="Arial"/>
            <w:i/>
            <w:sz w:val="16"/>
            <w:szCs w:val="16"/>
          </w:rPr>
          <w:t>https://doi.org/10.4000/norois.9504</w:t>
        </w:r>
      </w:hyperlink>
    </w:p>
  </w:footnote>
  <w:footnote w:id="82">
    <w:p w14:paraId="73D91022" w14:textId="77777777" w:rsidR="006C5F2A" w:rsidRPr="00B434A6" w:rsidRDefault="006C5F2A">
      <w:pPr>
        <w:pStyle w:val="Notedebasdepage"/>
        <w:rPr>
          <w:rFonts w:ascii="Arial" w:hAnsi="Arial" w:cs="Arial"/>
          <w:i/>
        </w:rPr>
      </w:pPr>
      <w:r w:rsidRPr="00B434A6">
        <w:rPr>
          <w:rStyle w:val="Appelnotedebasdep"/>
          <w:rFonts w:ascii="Arial" w:hAnsi="Arial" w:cs="Arial"/>
          <w:i/>
          <w:sz w:val="16"/>
        </w:rPr>
        <w:footnoteRef/>
      </w:r>
      <w:r w:rsidRPr="00B434A6">
        <w:rPr>
          <w:rFonts w:ascii="Arial" w:hAnsi="Arial" w:cs="Arial"/>
          <w:i/>
          <w:sz w:val="16"/>
        </w:rPr>
        <w:t xml:space="preserve"> </w:t>
      </w:r>
      <w:r w:rsidRPr="000536AF">
        <w:rPr>
          <w:rFonts w:ascii="Arial" w:hAnsi="Arial" w:cs="Arial"/>
          <w:i/>
          <w:sz w:val="16"/>
        </w:rPr>
        <w:t>CAMENEN</w:t>
      </w:r>
      <w:r w:rsidRPr="00B434A6">
        <w:rPr>
          <w:rFonts w:ascii="Arial" w:hAnsi="Arial" w:cs="Arial"/>
          <w:i/>
          <w:sz w:val="16"/>
        </w:rPr>
        <w:t>, B. 2017. Effets des barrages sur la continuité sédimentaire. La Houille Blanche - Revue internationale de l’eau, 2017, 6, pp.19-24. ffhal-01808973f</w:t>
      </w:r>
    </w:p>
  </w:footnote>
  <w:footnote w:id="83">
    <w:p w14:paraId="694CDDC3" w14:textId="77777777" w:rsidR="006C5F2A" w:rsidRPr="00B434A6" w:rsidRDefault="006C5F2A" w:rsidP="00B434A6">
      <w:pPr>
        <w:spacing w:after="0" w:line="240" w:lineRule="auto"/>
        <w:rPr>
          <w:i/>
          <w:sz w:val="16"/>
        </w:rPr>
      </w:pPr>
      <w:r w:rsidRPr="00B434A6">
        <w:rPr>
          <w:rStyle w:val="Caractresdenotedebasdepage"/>
          <w:rFonts w:ascii="Arial" w:hAnsi="Arial" w:cs="Arial"/>
          <w:i/>
          <w:sz w:val="16"/>
          <w:szCs w:val="16"/>
        </w:rPr>
        <w:footnoteRef/>
      </w:r>
      <w:bookmarkStart w:id="1017" w:name="_Hlk100516764"/>
      <w:r w:rsidRPr="00B434A6">
        <w:rPr>
          <w:rFonts w:ascii="Arial" w:hAnsi="Arial" w:cs="Arial"/>
          <w:i/>
          <w:sz w:val="16"/>
          <w:szCs w:val="16"/>
        </w:rPr>
        <w:t>Direction Générale de l’Energie et du Climat. 2009 - Guide sur la prise en compte de l’environnement dans les installations</w:t>
      </w:r>
      <w:r w:rsidRPr="00B434A6">
        <w:rPr>
          <w:i/>
          <w:sz w:val="14"/>
        </w:rPr>
        <w:t xml:space="preserve"> </w:t>
      </w:r>
      <w:r>
        <w:rPr>
          <w:i/>
          <w:sz w:val="16"/>
        </w:rPr>
        <w:t xml:space="preserve">photovoltaïques au sol - l’exemple allemand. Trad. abrégée et modifiée des travaux du Groupe de travail « Monitoring photovoltaïque ». </w:t>
      </w:r>
      <w:r w:rsidRPr="00B434A6">
        <w:rPr>
          <w:i/>
          <w:sz w:val="16"/>
        </w:rPr>
        <w:t>Trad. Franc. Société Technicis. 46p</w:t>
      </w:r>
      <w:bookmarkEnd w:id="1017"/>
    </w:p>
  </w:footnote>
  <w:footnote w:id="84">
    <w:p w14:paraId="44E473F5" w14:textId="77777777" w:rsidR="006C5F2A" w:rsidRPr="00B434A6" w:rsidRDefault="006C5F2A">
      <w:pPr>
        <w:pStyle w:val="Notedebasdepage"/>
        <w:rPr>
          <w:rFonts w:ascii="Arial" w:hAnsi="Arial" w:cs="Arial"/>
          <w:i/>
          <w:sz w:val="16"/>
        </w:rPr>
      </w:pPr>
      <w:r w:rsidRPr="00B434A6">
        <w:rPr>
          <w:rStyle w:val="Appelnotedebasdep"/>
          <w:rFonts w:ascii="Arial" w:hAnsi="Arial" w:cs="Arial"/>
          <w:i/>
          <w:sz w:val="16"/>
        </w:rPr>
        <w:footnoteRef/>
      </w:r>
      <w:r w:rsidRPr="00B434A6">
        <w:rPr>
          <w:rFonts w:ascii="Arial" w:hAnsi="Arial" w:cs="Arial"/>
          <w:i/>
          <w:sz w:val="16"/>
        </w:rPr>
        <w:t xml:space="preserve"> https://www.futura-sciences.com/sciences/actualites/recherche-consequences-barrages-poissons-8480/</w:t>
      </w:r>
    </w:p>
  </w:footnote>
  <w:footnote w:id="85">
    <w:p w14:paraId="0B4149FC" w14:textId="77777777" w:rsidR="006C5F2A" w:rsidRPr="008C024E" w:rsidRDefault="006C5F2A" w:rsidP="00D96117">
      <w:pPr>
        <w:spacing w:after="0" w:line="240" w:lineRule="auto"/>
        <w:rPr>
          <w:i/>
          <w:sz w:val="16"/>
        </w:rPr>
      </w:pPr>
      <w:r w:rsidRPr="00AB30E7">
        <w:rPr>
          <w:rStyle w:val="Appelnotedebasdep"/>
          <w:i/>
          <w:sz w:val="16"/>
        </w:rPr>
        <w:footnoteRef/>
      </w:r>
      <w:r w:rsidRPr="00AB30E7">
        <w:rPr>
          <w:i/>
          <w:sz w:val="16"/>
          <w:lang w:val="en-US"/>
        </w:rPr>
        <w:t xml:space="preserve"> IFC. 2013 - Cumulative Impact Assessment and Management: Guidance for the Private Sector in Emerging Markets. </w:t>
      </w:r>
      <w:r w:rsidRPr="008C024E">
        <w:rPr>
          <w:i/>
          <w:sz w:val="16"/>
        </w:rPr>
        <w:t>2121 Pennsylvania Ave. NW. Washington, DC 20433. 102p</w:t>
      </w:r>
    </w:p>
    <w:p w14:paraId="62C00310" w14:textId="77777777" w:rsidR="006C5F2A" w:rsidRPr="008C024E" w:rsidRDefault="006C5F2A" w:rsidP="00D96117">
      <w:pPr>
        <w:pStyle w:val="Notedebasdepage"/>
      </w:pPr>
    </w:p>
  </w:footnote>
  <w:footnote w:id="86">
    <w:p w14:paraId="7B4277B1" w14:textId="77777777" w:rsidR="006C5F2A" w:rsidRDefault="006C5F2A" w:rsidP="00FC0453">
      <w:pPr>
        <w:widowControl w:val="0"/>
        <w:rPr>
          <w:rFonts w:ascii="Arial" w:hAnsi="Arial" w:cs="Arial"/>
          <w:sz w:val="16"/>
          <w:szCs w:val="16"/>
        </w:rPr>
      </w:pPr>
      <w:r>
        <w:rPr>
          <w:rStyle w:val="Appelnotedebasdep"/>
        </w:rPr>
        <w:footnoteRef/>
      </w:r>
      <w:r>
        <w:rPr>
          <w:rFonts w:ascii="Arial" w:eastAsia="Cambria" w:hAnsi="Arial" w:cs="Arial"/>
          <w:i/>
          <w:sz w:val="16"/>
          <w:szCs w:val="16"/>
          <w:u w:color="000000"/>
          <w:lang w:eastAsia="fr-FR"/>
        </w:rPr>
        <w:t>SPC : sensibilité et prévention des conflits ; SES : sauvegardes environnementales et sociales ; NPN : Ne pas Nuire ?</w:t>
      </w:r>
    </w:p>
    <w:p w14:paraId="3FF6BD4F" w14:textId="77777777" w:rsidR="006C5F2A" w:rsidRPr="00067E03" w:rsidRDefault="006C5F2A" w:rsidP="00FC0453">
      <w:pPr>
        <w:pStyle w:val="Notedebasdepage"/>
      </w:pPr>
    </w:p>
  </w:footnote>
  <w:footnote w:id="87">
    <w:p w14:paraId="77C94AD9" w14:textId="77777777" w:rsidR="006C5F2A" w:rsidRPr="001C5508" w:rsidRDefault="006C5F2A" w:rsidP="00576E91">
      <w:pPr>
        <w:pStyle w:val="Notedebasdepage"/>
        <w:rPr>
          <w:color w:val="FF0000"/>
        </w:rPr>
      </w:pPr>
      <w:r>
        <w:rPr>
          <w:rStyle w:val="Appelnotedebasdep"/>
        </w:rPr>
        <w:footnoteRef/>
      </w:r>
      <w:r>
        <w:t xml:space="preserve"> </w:t>
      </w:r>
      <w:r w:rsidRPr="00F01166">
        <w:t>Les plaintes anonymes (écrite ou orale) seront transcrites dans une fiche de réception en mentionnant au niveau du plaignant « Anonyme » et que la fiche ne comporte que la signature de la personne recéptrice</w:t>
      </w:r>
      <w:r w:rsidRPr="001C5508">
        <w:rPr>
          <w:color w:val="FF0000"/>
        </w:rPr>
        <w:t>.</w:t>
      </w:r>
    </w:p>
  </w:footnote>
  <w:footnote w:id="88">
    <w:p w14:paraId="00496E28" w14:textId="77777777" w:rsidR="006C5F2A" w:rsidRPr="00067E03" w:rsidRDefault="006C5F2A" w:rsidP="009A0954">
      <w:pPr>
        <w:pStyle w:val="Notedebasdepage"/>
        <w:spacing w:before="280" w:after="280"/>
        <w:rPr>
          <w:sz w:val="18"/>
          <w:szCs w:val="18"/>
        </w:rPr>
      </w:pPr>
      <w:r>
        <w:rPr>
          <w:rStyle w:val="Caractresdenotedebasdepage"/>
        </w:rPr>
        <w:footnoteRef/>
      </w:r>
      <w:r w:rsidRPr="00067E03">
        <w:rPr>
          <w:sz w:val="18"/>
          <w:szCs w:val="18"/>
        </w:rPr>
        <w:t>Gérant de l’entreprise</w:t>
      </w:r>
    </w:p>
  </w:footnote>
  <w:footnote w:id="89">
    <w:p w14:paraId="1C13A9CF" w14:textId="77777777" w:rsidR="006C5F2A" w:rsidRPr="00067E03" w:rsidRDefault="006C5F2A" w:rsidP="009A0954">
      <w:pPr>
        <w:pStyle w:val="Notedebasdepage"/>
        <w:spacing w:before="280" w:after="280"/>
        <w:rPr>
          <w:sz w:val="16"/>
          <w:szCs w:val="16"/>
        </w:rPr>
      </w:pPr>
      <w:r>
        <w:rPr>
          <w:rStyle w:val="Caractresdenotedebasdepage"/>
        </w:rPr>
        <w:footnoteRef/>
      </w:r>
      <w:r w:rsidRPr="00067E03">
        <w:rPr>
          <w:rFonts w:ascii="Times New Roman" w:hAnsi="Times New Roman"/>
          <w:i/>
          <w:sz w:val="18"/>
        </w:rPr>
        <w:t>Une telle</w:t>
      </w:r>
      <w:r>
        <w:rPr>
          <w:rFonts w:ascii="Times New Roman" w:hAnsi="Times New Roman"/>
          <w:i/>
          <w:sz w:val="18"/>
        </w:rPr>
        <w:t xml:space="preserve"> </w:t>
      </w:r>
      <w:r w:rsidRPr="00067E03">
        <w:rPr>
          <w:rFonts w:ascii="Times New Roman" w:hAnsi="Times New Roman"/>
          <w:i/>
          <w:sz w:val="18"/>
        </w:rPr>
        <w:t>activité</w:t>
      </w:r>
      <w:r>
        <w:rPr>
          <w:rFonts w:ascii="Times New Roman" w:hAnsi="Times New Roman"/>
          <w:i/>
          <w:sz w:val="18"/>
        </w:rPr>
        <w:t xml:space="preserve"> </w:t>
      </w:r>
      <w:r w:rsidRPr="00067E03">
        <w:rPr>
          <w:rFonts w:ascii="Times New Roman" w:hAnsi="Times New Roman"/>
          <w:i/>
          <w:sz w:val="18"/>
        </w:rPr>
        <w:t>sexuelle</w:t>
      </w:r>
      <w:r>
        <w:rPr>
          <w:rFonts w:ascii="Times New Roman" w:hAnsi="Times New Roman"/>
          <w:i/>
          <w:sz w:val="18"/>
        </w:rPr>
        <w:t xml:space="preserve"> </w:t>
      </w:r>
      <w:r w:rsidRPr="00067E03">
        <w:rPr>
          <w:rFonts w:ascii="Times New Roman" w:hAnsi="Times New Roman"/>
          <w:i/>
          <w:sz w:val="18"/>
        </w:rPr>
        <w:t>est</w:t>
      </w:r>
      <w:r>
        <w:rPr>
          <w:rFonts w:ascii="Times New Roman" w:hAnsi="Times New Roman"/>
          <w:i/>
          <w:sz w:val="18"/>
        </w:rPr>
        <w:t xml:space="preserve"> </w:t>
      </w:r>
      <w:r w:rsidRPr="00067E03">
        <w:rPr>
          <w:rFonts w:ascii="Times New Roman" w:hAnsi="Times New Roman"/>
          <w:i/>
          <w:sz w:val="18"/>
        </w:rPr>
        <w:t>considérée</w:t>
      </w:r>
      <w:r>
        <w:rPr>
          <w:rFonts w:ascii="Times New Roman" w:hAnsi="Times New Roman"/>
          <w:i/>
          <w:sz w:val="18"/>
        </w:rPr>
        <w:t xml:space="preserve"> </w:t>
      </w:r>
      <w:r w:rsidRPr="00067E03">
        <w:rPr>
          <w:rFonts w:ascii="Times New Roman" w:hAnsi="Times New Roman"/>
          <w:i/>
          <w:sz w:val="18"/>
        </w:rPr>
        <w:t>comme «non consensuelle» dans le champ d'application de ce Code</w:t>
      </w:r>
    </w:p>
  </w:footnote>
  <w:footnote w:id="90">
    <w:p w14:paraId="3966234C" w14:textId="77777777" w:rsidR="006C5F2A" w:rsidRDefault="006C5F2A">
      <w:pPr>
        <w:pStyle w:val="Notedebasdepage"/>
      </w:pPr>
      <w:r>
        <w:rPr>
          <w:rStyle w:val="Appelnotedebasdep"/>
        </w:rPr>
        <w:footnoteRef/>
      </w:r>
      <w:r>
        <w:t xml:space="preserve"> Projet de Renforcement du Système Electrique et d’Amélioration de l’Accès à l’Electricité au Mali (P176663)</w:t>
      </w:r>
    </w:p>
  </w:footnote>
  <w:footnote w:id="91">
    <w:p w14:paraId="1E64EC35" w14:textId="77777777" w:rsidR="006C5F2A" w:rsidRPr="000A0BF0" w:rsidRDefault="006C5F2A" w:rsidP="00F01166">
      <w:pPr>
        <w:pStyle w:val="Notedebasdepage"/>
        <w:ind w:hanging="72"/>
        <w:jc w:val="both"/>
        <w:rPr>
          <w:sz w:val="18"/>
          <w:szCs w:val="18"/>
        </w:rPr>
      </w:pPr>
      <w:r w:rsidRPr="000A0BF0">
        <w:rPr>
          <w:rStyle w:val="Appelnotedebasdep"/>
        </w:rPr>
        <w:footnoteRef/>
      </w:r>
      <w:r w:rsidRPr="000A0BF0">
        <w:rPr>
          <w:sz w:val="18"/>
          <w:szCs w:val="18"/>
        </w:rPr>
        <w:t xml:space="preserve"> Cela comprend </w:t>
      </w:r>
      <w:bookmarkStart w:id="1837" w:name="_Hlk45110622"/>
      <w:r w:rsidRPr="000A0BF0">
        <w:rPr>
          <w:noProof/>
          <w:sz w:val="18"/>
          <w:szCs w:val="18"/>
        </w:rPr>
        <w:t>l’exploitation</w:t>
      </w:r>
      <w:r w:rsidRPr="000A0BF0">
        <w:rPr>
          <w:sz w:val="18"/>
          <w:szCs w:val="18"/>
        </w:rPr>
        <w:t xml:space="preserve"> et les atteintes sexuelles ainsi que le harcèlement sexuel (EAS/HS).</w:t>
      </w:r>
      <w:bookmarkEnd w:id="1837"/>
    </w:p>
  </w:footnote>
  <w:footnote w:id="92">
    <w:p w14:paraId="20C67FAD" w14:textId="77777777" w:rsidR="006C5F2A" w:rsidRPr="002B5F2D" w:rsidRDefault="006C5F2A" w:rsidP="00C64041">
      <w:pPr>
        <w:pStyle w:val="Notedebasdepage"/>
        <w:ind w:hanging="72"/>
        <w:jc w:val="both"/>
      </w:pPr>
      <w:r>
        <w:rPr>
          <w:rStyle w:val="Appelnotedebasdep"/>
        </w:rPr>
        <w:footnoteRef/>
      </w:r>
      <w:r w:rsidRPr="002B5F2D">
        <w:t xml:space="preserve"> </w:t>
      </w:r>
      <w:r w:rsidRPr="000A0BF0">
        <w:rPr>
          <w:noProof/>
          <w:sz w:val="18"/>
          <w:szCs w:val="18"/>
        </w:rPr>
        <w:t>L’expression « défavorisé » ou « vulnérable » désigne des individus ou des groupes qui risquent davantage de souffrir des effets du projet et/ou sont plus limités que d’autres dans leur capacité à profiter des avantages d’un projet. Ces individus ou ces groupes sont aussi plus susceptibles d’être exclus du processus général de consultation ou de ne pouvoir y participer pleinement, et peuvent de ce fait avoir besoin de mesures et/ou d’une assistance particulières. À cet égard, il faudra tenir compte de considérations liées à l’âge, notamment des personnes âgées et des mineurs, y compris dans les cas où ceux-ci peuvent être séparés de leur famille, de leur communauté ou d’autres individus dont ils dépendent.</w:t>
      </w:r>
    </w:p>
  </w:footnote>
  <w:footnote w:id="93">
    <w:p w14:paraId="7A1CE231" w14:textId="77777777" w:rsidR="006C5F2A" w:rsidRPr="000A0BF0" w:rsidRDefault="006C5F2A" w:rsidP="00C64041">
      <w:pPr>
        <w:pStyle w:val="Notedebasdepage"/>
        <w:ind w:hanging="72"/>
        <w:jc w:val="both"/>
        <w:rPr>
          <w:sz w:val="18"/>
          <w:szCs w:val="18"/>
        </w:rPr>
      </w:pPr>
      <w:r w:rsidRPr="000A0BF0">
        <w:rPr>
          <w:rStyle w:val="Appelnotedebasdep"/>
        </w:rPr>
        <w:footnoteRef/>
      </w:r>
      <w:r w:rsidRPr="000A0BF0">
        <w:rPr>
          <w:sz w:val="18"/>
          <w:szCs w:val="18"/>
        </w:rPr>
        <w:t xml:space="preserve"> En raison de la complexité des questions foncières dans de nombreux contextes et de l’importance </w:t>
      </w:r>
      <w:r w:rsidRPr="000A0BF0">
        <w:rPr>
          <w:bCs/>
          <w:sz w:val="18"/>
          <w:szCs w:val="18"/>
        </w:rPr>
        <w:t>d’une garantie de maintien dans les lieux pour des besoins</w:t>
      </w:r>
      <w:r w:rsidRPr="000A0BF0">
        <w:rPr>
          <w:bCs/>
          <w:i/>
          <w:iCs/>
          <w:sz w:val="18"/>
          <w:szCs w:val="18"/>
        </w:rPr>
        <w:t xml:space="preserve"> </w:t>
      </w:r>
      <w:r w:rsidRPr="000A0BF0">
        <w:rPr>
          <w:sz w:val="18"/>
          <w:szCs w:val="18"/>
        </w:rPr>
        <w:t xml:space="preserve">de subsistance, une évaluation et une conception minutieuses sont nécessaires pour garantir que les projets ne portent pas atteinte, par inadvertance, aux droits légitimes existants (y compris les droits collectifs, les droits subsidiaires et les droits des femmes) ou </w:t>
      </w:r>
      <w:r w:rsidRPr="000A0BF0">
        <w:rPr>
          <w:bCs/>
          <w:sz w:val="18"/>
          <w:szCs w:val="18"/>
        </w:rPr>
        <w:t>n’aient pas d’autres conséquences imprévues</w:t>
      </w:r>
      <w:r w:rsidRPr="000A0BF0">
        <w:rPr>
          <w:sz w:val="18"/>
          <w:szCs w:val="18"/>
        </w:rPr>
        <w:t xml:space="preserve">, en particulier </w:t>
      </w:r>
      <w:r w:rsidRPr="000A0BF0">
        <w:rPr>
          <w:bCs/>
          <w:sz w:val="18"/>
          <w:szCs w:val="18"/>
        </w:rPr>
        <w:t>lorsqu’ils traitent de questions foncières ou connexes</w:t>
      </w:r>
      <w:r w:rsidRPr="000A0BF0">
        <w:rPr>
          <w:sz w:val="18"/>
          <w:szCs w:val="18"/>
        </w:rPr>
        <w:t xml:space="preserve">. </w:t>
      </w:r>
      <w:r w:rsidRPr="000A0BF0">
        <w:rPr>
          <w:bCs/>
          <w:sz w:val="18"/>
          <w:szCs w:val="18"/>
        </w:rPr>
        <w:t xml:space="preserve">Dans de telles circonstances, </w:t>
      </w:r>
      <w:r>
        <w:rPr>
          <w:bCs/>
          <w:sz w:val="18"/>
          <w:szCs w:val="18"/>
        </w:rPr>
        <w:t>le Projet</w:t>
      </w:r>
      <w:r w:rsidRPr="000A0BF0">
        <w:rPr>
          <w:bCs/>
          <w:sz w:val="18"/>
          <w:szCs w:val="18"/>
        </w:rPr>
        <w:t xml:space="preserve"> démontrera au minimum, à la satisfaction de la Banque, que les lois et procédures applicables ainsi que certains éléments dans la conception du projet</w:t>
      </w:r>
      <w:r w:rsidRPr="000A0BF0">
        <w:rPr>
          <w:sz w:val="18"/>
          <w:szCs w:val="18"/>
        </w:rPr>
        <w:t xml:space="preserve"> : a) </w:t>
      </w:r>
      <w:r w:rsidRPr="000A0BF0">
        <w:rPr>
          <w:bCs/>
          <w:sz w:val="18"/>
          <w:szCs w:val="18"/>
        </w:rPr>
        <w:t>prévoient des règles claires et appropriées pour la reconnaissance des droits d’occupation des terres concernées ; b) établissent des critères équitables et assurent un usage transparent et participatif des procédures de règlement de revendications foncières concurrentes ; et c) prévoient des efforts sincères pour informer les personnes touchées de leurs droits et faciliter l’accès de celles-ci à des conseils impartiaux</w:t>
      </w:r>
      <w:r w:rsidRPr="000A0BF0">
        <w:rPr>
          <w:sz w:val="18"/>
          <w:szCs w:val="18"/>
        </w:rPr>
        <w:t>.</w:t>
      </w:r>
    </w:p>
  </w:footnote>
  <w:footnote w:id="94">
    <w:p w14:paraId="411E638B" w14:textId="77777777" w:rsidR="006C5F2A" w:rsidRPr="000A0BF0" w:rsidRDefault="006C5F2A" w:rsidP="00C64041">
      <w:pPr>
        <w:pStyle w:val="Notedebasdepage"/>
        <w:jc w:val="both"/>
        <w:rPr>
          <w:rFonts w:cs="Calibri"/>
          <w:sz w:val="18"/>
          <w:szCs w:val="18"/>
        </w:rPr>
      </w:pPr>
      <w:r w:rsidRPr="000A0BF0">
        <w:rPr>
          <w:rStyle w:val="Appelnotedebasdep"/>
          <w:rFonts w:cs="Calibri"/>
        </w:rPr>
        <w:footnoteRef/>
      </w:r>
      <w:r w:rsidRPr="000A0BF0">
        <w:rPr>
          <w:rFonts w:cs="Calibri"/>
          <w:sz w:val="18"/>
          <w:szCs w:val="18"/>
        </w:rPr>
        <w:t xml:space="preserve"> </w:t>
      </w:r>
      <w:r w:rsidRPr="000A0BF0">
        <w:rPr>
          <w:rFonts w:cs="Calibri"/>
          <w:bCs/>
          <w:sz w:val="18"/>
          <w:szCs w:val="18"/>
        </w:rPr>
        <w:t>L’obligation d’atténuer les impacts peut impliquer d’adopter des mesures en vue d’aider les parties touchées à améliorer ou au moins à rétablir leurs moyens de subsistance, comme il convient dans le cadre d’un projet donné</w:t>
      </w:r>
      <w:r w:rsidRPr="000A0BF0">
        <w:rPr>
          <w:rFonts w:cs="Calibri"/>
          <w:sz w:val="18"/>
          <w:szCs w:val="18"/>
        </w:rPr>
        <w:t>.</w:t>
      </w:r>
    </w:p>
  </w:footnote>
  <w:footnote w:id="95">
    <w:p w14:paraId="45DD9B25" w14:textId="77777777" w:rsidR="006C5F2A" w:rsidRPr="000A0BF0" w:rsidRDefault="006C5F2A" w:rsidP="00C64041">
      <w:pPr>
        <w:pStyle w:val="Notedebasdepage"/>
        <w:jc w:val="both"/>
        <w:rPr>
          <w:sz w:val="18"/>
          <w:szCs w:val="18"/>
        </w:rPr>
      </w:pPr>
      <w:r w:rsidRPr="000A0BF0">
        <w:rPr>
          <w:rStyle w:val="Appelnotedebasdep"/>
        </w:rPr>
        <w:footnoteRef/>
      </w:r>
      <w:r w:rsidRPr="000A0BF0">
        <w:rPr>
          <w:sz w:val="18"/>
          <w:szCs w:val="18"/>
        </w:rPr>
        <w:t xml:space="preserve"> </w:t>
      </w:r>
      <w:r>
        <w:rPr>
          <w:sz w:val="18"/>
          <w:szCs w:val="18"/>
        </w:rPr>
        <w:t>Le Projet</w:t>
      </w:r>
      <w:r w:rsidRPr="000A0BF0">
        <w:rPr>
          <w:sz w:val="18"/>
          <w:szCs w:val="18"/>
        </w:rPr>
        <w:t xml:space="preserve"> fera des efforts raisonnables pour intégrer les coûts d’indemnisation et/ou de compensation pour les impacts résiduels importants dans les coûts du projet. L’évaluation environnementale et sociale mesurera l’importance de ces impacts résiduels, examinera l’incidence à long terme de ces impacts sur l’environnement et les populations touchées par le projet, et la mesure dans laquelle ils sont jugés raisonnables dans le contexte du projet. Lorsqu’il est établi qu’il n’est pas techniquement ou financièrement possible d’offrir des indemnisations ou des compensations pour ces impacts résiduels, les raisons ayant conduit à cette conclusion (y compris les options envisagées) seront énoncées dans l’évaluation environnementale et sociale.</w:t>
      </w:r>
    </w:p>
  </w:footnote>
  <w:footnote w:id="96">
    <w:p w14:paraId="6195B780" w14:textId="77777777" w:rsidR="006C5F2A" w:rsidRPr="006B4005" w:rsidRDefault="006C5F2A" w:rsidP="00C64041">
      <w:pPr>
        <w:pStyle w:val="Notedebasdepage"/>
        <w:rPr>
          <w:sz w:val="18"/>
          <w:szCs w:val="18"/>
          <w:lang w:val="en-US"/>
        </w:rPr>
      </w:pPr>
      <w:r w:rsidRPr="006B4005">
        <w:rPr>
          <w:rStyle w:val="Appelnotedebasdep"/>
          <w:sz w:val="18"/>
          <w:szCs w:val="18"/>
        </w:rPr>
        <w:footnoteRef/>
      </w:r>
      <w:r w:rsidRPr="006B4005">
        <w:rPr>
          <w:sz w:val="18"/>
          <w:szCs w:val="18"/>
          <w:lang w:val="en-US"/>
        </w:rPr>
        <w:t xml:space="preserve"> </w:t>
      </w:r>
      <w:hyperlink r:id="rId13" w:history="1">
        <w:r w:rsidRPr="006B4005">
          <w:rPr>
            <w:rStyle w:val="Lienhypertexte"/>
            <w:sz w:val="18"/>
            <w:szCs w:val="18"/>
            <w:lang w:val="en-US"/>
          </w:rPr>
          <w:t>http: //pubdocs.worldbank.org/en/497851495202591233/Managing-Risk-of-Adverse-impact-from-project-labor-influx.pdf</w:t>
        </w:r>
      </w:hyperlink>
    </w:p>
  </w:footnote>
  <w:footnote w:id="97">
    <w:p w14:paraId="47AD9A44" w14:textId="77777777" w:rsidR="006C5F2A" w:rsidRPr="007B562A" w:rsidRDefault="006C5F2A" w:rsidP="00C21029">
      <w:pPr>
        <w:pStyle w:val="Notedebasdepage"/>
        <w:rPr>
          <w:sz w:val="18"/>
          <w:szCs w:val="18"/>
        </w:rPr>
      </w:pPr>
      <w:r w:rsidRPr="007B562A">
        <w:rPr>
          <w:rStyle w:val="Appelnotedebasdep"/>
          <w:sz w:val="18"/>
          <w:szCs w:val="18"/>
        </w:rPr>
        <w:footnoteRef/>
      </w:r>
      <w:r w:rsidRPr="007B562A">
        <w:rPr>
          <w:sz w:val="18"/>
          <w:szCs w:val="18"/>
        </w:rPr>
        <w:t xml:space="preserve"> Les violences peuvent être verbales, physiques, psychologiques, ou économiques. </w:t>
      </w:r>
    </w:p>
  </w:footnote>
  <w:footnote w:id="98">
    <w:p w14:paraId="6A040AB4" w14:textId="77777777" w:rsidR="006C5F2A" w:rsidRPr="007B562A" w:rsidRDefault="006C5F2A" w:rsidP="00C21029">
      <w:pPr>
        <w:pStyle w:val="Notedebasdepage1"/>
        <w:rPr>
          <w:rFonts w:ascii="Arial" w:hAnsi="Arial" w:cs="Arial"/>
          <w:sz w:val="18"/>
          <w:szCs w:val="18"/>
          <w:lang w:val="fr-FR"/>
        </w:rPr>
      </w:pPr>
      <w:r w:rsidRPr="00E86765">
        <w:rPr>
          <w:rStyle w:val="Caractresdenotedebasdepage"/>
          <w:rFonts w:ascii="Arial" w:hAnsi="Arial" w:cs="Arial"/>
          <w:sz w:val="22"/>
          <w:szCs w:val="22"/>
        </w:rPr>
        <w:footnoteRef/>
      </w:r>
      <w:r w:rsidRPr="007B562A">
        <w:rPr>
          <w:rFonts w:ascii="Arial" w:hAnsi="Arial" w:cs="Arial"/>
          <w:sz w:val="18"/>
          <w:szCs w:val="18"/>
          <w:lang w:val="fr-FR"/>
        </w:rPr>
        <w:t xml:space="preserve">L’exposition à la VBG est aussi considérée comme la VCE. </w:t>
      </w:r>
    </w:p>
  </w:footnote>
  <w:footnote w:id="99">
    <w:p w14:paraId="381B79BA" w14:textId="77777777" w:rsidR="006C5F2A" w:rsidRPr="007B562A" w:rsidRDefault="006C5F2A" w:rsidP="00C21029">
      <w:pPr>
        <w:pStyle w:val="Notedebasdepage1"/>
        <w:rPr>
          <w:rFonts w:ascii="Arial" w:hAnsi="Arial" w:cs="Arial"/>
          <w:sz w:val="18"/>
          <w:szCs w:val="18"/>
          <w:lang w:val="fr-FR"/>
        </w:rPr>
      </w:pPr>
      <w:r w:rsidRPr="007B562A">
        <w:rPr>
          <w:rStyle w:val="Caractresdenotedebasdepage"/>
          <w:rFonts w:ascii="Arial" w:hAnsi="Arial" w:cs="Arial"/>
        </w:rPr>
        <w:footnoteRef/>
      </w:r>
      <w:r w:rsidRPr="007B562A">
        <w:rPr>
          <w:rFonts w:ascii="Arial" w:hAnsi="Arial" w:cs="Arial"/>
          <w:sz w:val="18"/>
          <w:szCs w:val="18"/>
          <w:lang w:val="fr-FR"/>
        </w:rPr>
        <w:t>L’emploi des enfants doit être conforme à toutes les législations locales pertinentes, y compris les lois du travail relatives au travail des enfants et les politiques de gestion des risques de la Banque mondiale sur le travail des enfants et l'âge minimum. Il doit également être en mesure de satisfaire aux normes de compétences en matière d’hygiène et de sécurité du travail du projet.</w:t>
      </w:r>
    </w:p>
    <w:p w14:paraId="1119A259" w14:textId="77777777" w:rsidR="006C5F2A" w:rsidRPr="007F78CE" w:rsidRDefault="006C5F2A" w:rsidP="00C21029">
      <w:pPr>
        <w:pStyle w:val="Notedebasdepage1"/>
        <w:rPr>
          <w:rFonts w:ascii="Cambria" w:hAnsi="Cambria" w:cs="Cambria"/>
          <w:lang w:val="fr-FR"/>
        </w:rPr>
      </w:pPr>
    </w:p>
    <w:p w14:paraId="1F75F8A4" w14:textId="77777777" w:rsidR="006C5F2A" w:rsidRPr="007F78CE" w:rsidRDefault="006C5F2A" w:rsidP="00C21029">
      <w:pPr>
        <w:pStyle w:val="Notedebasdepage1"/>
        <w:rPr>
          <w:rFonts w:ascii="Cambria" w:hAnsi="Cambria" w:cs="Cambria"/>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7A0E3" w14:textId="77777777" w:rsidR="006C5F2A" w:rsidRDefault="006C5F2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0C400" w14:textId="77777777" w:rsidR="006C5F2A" w:rsidRDefault="006C5F2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20887" w14:textId="77777777" w:rsidR="006C5F2A" w:rsidRPr="00547D64" w:rsidRDefault="006C5F2A" w:rsidP="00B434A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DCFC5" w14:textId="77777777" w:rsidR="006C5F2A" w:rsidRPr="00717A6A" w:rsidRDefault="006C5F2A" w:rsidP="00D12C6F">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6AA87" w14:textId="77777777" w:rsidR="006C5F2A" w:rsidRDefault="006C5F2A" w:rsidP="00D12C6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2428"/>
    <w:multiLevelType w:val="hybridMultilevel"/>
    <w:tmpl w:val="9E408B58"/>
    <w:lvl w:ilvl="0" w:tplc="00120BD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3B2D04"/>
    <w:multiLevelType w:val="hybridMultilevel"/>
    <w:tmpl w:val="604808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4130E"/>
    <w:multiLevelType w:val="multilevel"/>
    <w:tmpl w:val="6452FBB4"/>
    <w:lvl w:ilvl="0">
      <w:start w:val="1"/>
      <w:numFmt w:val="decimal"/>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lowerRoman"/>
      <w:lvlText w:val="%3."/>
      <w:lvlJc w:val="left"/>
      <w:pPr>
        <w:tabs>
          <w:tab w:val="num" w:pos="0"/>
        </w:tabs>
        <w:ind w:left="2340" w:hanging="72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15:restartNumberingAfterBreak="0">
    <w:nsid w:val="03DF1EBB"/>
    <w:multiLevelType w:val="hybridMultilevel"/>
    <w:tmpl w:val="3A9257E6"/>
    <w:lvl w:ilvl="0" w:tplc="927628D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0303B6"/>
    <w:multiLevelType w:val="multilevel"/>
    <w:tmpl w:val="23F83224"/>
    <w:lvl w:ilvl="0">
      <w:start w:val="1"/>
      <w:numFmt w:val="bullet"/>
      <w:lvlText w:val=""/>
      <w:lvlJc w:val="left"/>
      <w:pPr>
        <w:tabs>
          <w:tab w:val="num" w:pos="0"/>
        </w:tabs>
        <w:ind w:left="717" w:hanging="360"/>
      </w:pPr>
      <w:rPr>
        <w:rFonts w:ascii="Symbol" w:hAnsi="Symbol" w:cs="Symbol" w:hint="default"/>
      </w:rPr>
    </w:lvl>
    <w:lvl w:ilvl="1">
      <w:start w:val="1"/>
      <w:numFmt w:val="decimal"/>
      <w:suff w:val="nothing"/>
      <w:lvlText w:val="%1.%2. - "/>
      <w:lvlJc w:val="left"/>
      <w:pPr>
        <w:tabs>
          <w:tab w:val="num" w:pos="0"/>
        </w:tabs>
        <w:ind w:left="6453" w:hanging="567"/>
      </w:pPr>
      <w:rPr>
        <w:b/>
        <w:bCs w:val="0"/>
        <w:i w:val="0"/>
        <w:iCs w:val="0"/>
        <w:caps w:val="0"/>
        <w:smallCaps w:val="0"/>
        <w:strike w:val="0"/>
        <w:dstrike w:val="0"/>
        <w:vanish w:val="0"/>
        <w:color w:val="000000"/>
        <w:spacing w:val="0"/>
        <w:kern w:val="0"/>
        <w:position w:val="0"/>
        <w:sz w:val="22"/>
        <w:u w:val="none"/>
        <w:effect w:val="none"/>
        <w:vertAlign w:val="baseline"/>
        <w:em w:val="none"/>
      </w:rPr>
    </w:lvl>
    <w:lvl w:ilvl="2">
      <w:start w:val="1"/>
      <w:numFmt w:val="decimal"/>
      <w:suff w:val="nothing"/>
      <w:lvlText w:val="%1.%2.%3. - "/>
      <w:lvlJc w:val="left"/>
      <w:pPr>
        <w:tabs>
          <w:tab w:val="num" w:pos="0"/>
        </w:tabs>
        <w:ind w:left="924" w:hanging="567"/>
      </w:pPr>
      <w:rPr>
        <w:rFonts w:cs="Calibri"/>
        <w:b/>
        <w:i w:val="0"/>
        <w:caps w:val="0"/>
        <w:smallCaps w:val="0"/>
        <w:strike w:val="0"/>
        <w:dstrike w:val="0"/>
        <w:vanish w:val="0"/>
        <w:color w:val="000000"/>
        <w:position w:val="0"/>
        <w:sz w:val="22"/>
        <w:u w:val="none"/>
        <w:effect w:val="none"/>
        <w:vertAlign w:val="baseline"/>
      </w:rPr>
    </w:lvl>
    <w:lvl w:ilvl="3">
      <w:start w:val="1"/>
      <w:numFmt w:val="lowerLetter"/>
      <w:lvlText w:val="%4)"/>
      <w:lvlJc w:val="left"/>
      <w:pPr>
        <w:tabs>
          <w:tab w:val="num" w:pos="1437"/>
        </w:tabs>
        <w:ind w:left="1208" w:hanging="851"/>
      </w:pPr>
      <w:rPr>
        <w:b w:val="0"/>
        <w:bCs w:val="0"/>
        <w:i w:val="0"/>
        <w:iCs w:val="0"/>
        <w:caps w:val="0"/>
        <w:smallCaps w:val="0"/>
        <w:strike w:val="0"/>
        <w:dstrike w:val="0"/>
        <w:vanish w:val="0"/>
        <w:color w:val="000000"/>
        <w:spacing w:val="0"/>
        <w:kern w:val="0"/>
        <w:position w:val="0"/>
        <w:sz w:val="22"/>
        <w:u w:val="none"/>
        <w:effect w:val="none"/>
        <w:vertAlign w:val="baseline"/>
        <w:em w:val="none"/>
      </w:rPr>
    </w:lvl>
    <w:lvl w:ilvl="4">
      <w:start w:val="1"/>
      <w:numFmt w:val="lowerLetter"/>
      <w:lvlText w:val="%5)"/>
      <w:lvlJc w:val="left"/>
      <w:pPr>
        <w:tabs>
          <w:tab w:val="num" w:pos="1491"/>
        </w:tabs>
        <w:ind w:left="1491" w:hanging="567"/>
      </w:pPr>
      <w:rPr>
        <w:b w:val="0"/>
        <w:i w:val="0"/>
        <w:caps w:val="0"/>
        <w:smallCaps w:val="0"/>
        <w:strike w:val="0"/>
        <w:dstrike w:val="0"/>
        <w:vanish w:val="0"/>
        <w:color w:val="335A8F"/>
        <w:position w:val="0"/>
        <w:sz w:val="24"/>
        <w:u w:val="none"/>
        <w:effect w:val="none"/>
        <w:vertAlign w:val="baseline"/>
      </w:rPr>
    </w:lvl>
    <w:lvl w:ilvl="5">
      <w:start w:val="1"/>
      <w:numFmt w:val="lowerRoman"/>
      <w:lvlText w:val="%6)"/>
      <w:lvlJc w:val="left"/>
      <w:pPr>
        <w:tabs>
          <w:tab w:val="num" w:pos="1509"/>
        </w:tabs>
        <w:ind w:left="1509" w:hanging="1152"/>
      </w:pPr>
    </w:lvl>
    <w:lvl w:ilvl="6">
      <w:start w:val="1"/>
      <w:numFmt w:val="lowerRoman"/>
      <w:lvlText w:val="(%7)"/>
      <w:lvlJc w:val="right"/>
      <w:pPr>
        <w:tabs>
          <w:tab w:val="num" w:pos="5614"/>
        </w:tabs>
        <w:ind w:left="5461" w:hanging="567"/>
      </w:pPr>
      <w:rPr>
        <w:rFonts w:cs="Times New Roman"/>
        <w:b w:val="0"/>
        <w:i w:val="0"/>
        <w:color w:val="EEECE1"/>
        <w:sz w:val="14"/>
        <w:szCs w:val="14"/>
      </w:rPr>
    </w:lvl>
    <w:lvl w:ilvl="7">
      <w:start w:val="1"/>
      <w:numFmt w:val="decimal"/>
      <w:lvlText w:val="%8)"/>
      <w:lvlJc w:val="left"/>
      <w:pPr>
        <w:tabs>
          <w:tab w:val="num" w:pos="1491"/>
        </w:tabs>
        <w:ind w:left="1491" w:hanging="567"/>
      </w:pPr>
      <w:rPr>
        <w:b w:val="0"/>
        <w:i w:val="0"/>
        <w:caps w:val="0"/>
        <w:smallCaps w:val="0"/>
        <w:strike w:val="0"/>
        <w:dstrike w:val="0"/>
        <w:vanish w:val="0"/>
        <w:color w:val="auto"/>
        <w:position w:val="0"/>
        <w:sz w:val="24"/>
        <w:u w:val="none"/>
        <w:effect w:val="none"/>
        <w:vertAlign w:val="baseline"/>
      </w:rPr>
    </w:lvl>
    <w:lvl w:ilvl="8">
      <w:start w:val="1"/>
      <w:numFmt w:val="lowerLetter"/>
      <w:lvlText w:val="%9)"/>
      <w:lvlJc w:val="left"/>
      <w:pPr>
        <w:tabs>
          <w:tab w:val="num" w:pos="924"/>
        </w:tabs>
        <w:ind w:left="924" w:hanging="567"/>
      </w:pPr>
    </w:lvl>
  </w:abstractNum>
  <w:abstractNum w:abstractNumId="5" w15:restartNumberingAfterBreak="0">
    <w:nsid w:val="04A85D3D"/>
    <w:multiLevelType w:val="hybridMultilevel"/>
    <w:tmpl w:val="57BC547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04BD0713"/>
    <w:multiLevelType w:val="hybridMultilevel"/>
    <w:tmpl w:val="AB46273C"/>
    <w:lvl w:ilvl="0" w:tplc="78EA19F6">
      <w:start w:val="1"/>
      <w:numFmt w:val="bullet"/>
      <w:lvlText w:val=""/>
      <w:lvlJc w:val="left"/>
      <w:pPr>
        <w:ind w:left="720" w:hanging="360"/>
      </w:pPr>
      <w:rPr>
        <w:rFonts w:ascii="Symbol" w:hAnsi="Symbol" w:hint="default"/>
      </w:rPr>
    </w:lvl>
    <w:lvl w:ilvl="1" w:tplc="78EA19F6">
      <w:start w:val="1"/>
      <w:numFmt w:val="bullet"/>
      <w:lvlText w:val=""/>
      <w:lvlJc w:val="left"/>
      <w:pPr>
        <w:ind w:left="72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7C1490"/>
    <w:multiLevelType w:val="hybridMultilevel"/>
    <w:tmpl w:val="F0769B66"/>
    <w:lvl w:ilvl="0" w:tplc="2000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6093A70"/>
    <w:multiLevelType w:val="hybridMultilevel"/>
    <w:tmpl w:val="00B0DE8C"/>
    <w:lvl w:ilvl="0" w:tplc="2000000D">
      <w:start w:val="1"/>
      <w:numFmt w:val="bullet"/>
      <w:lvlText w:val=""/>
      <w:lvlJc w:val="left"/>
      <w:pPr>
        <w:ind w:left="1776" w:hanging="360"/>
      </w:pPr>
      <w:rPr>
        <w:rFonts w:ascii="Wingdings" w:hAnsi="Wingdings"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9" w15:restartNumberingAfterBreak="0">
    <w:nsid w:val="063253A0"/>
    <w:multiLevelType w:val="hybridMultilevel"/>
    <w:tmpl w:val="BDD049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6883CF7"/>
    <w:multiLevelType w:val="hybridMultilevel"/>
    <w:tmpl w:val="2618C5E4"/>
    <w:lvl w:ilvl="0" w:tplc="28967974">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7711A97"/>
    <w:multiLevelType w:val="hybridMultilevel"/>
    <w:tmpl w:val="9820A1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7DA6104"/>
    <w:multiLevelType w:val="hybridMultilevel"/>
    <w:tmpl w:val="53E4E6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7DB0A29"/>
    <w:multiLevelType w:val="hybridMultilevel"/>
    <w:tmpl w:val="11EAAC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8585567"/>
    <w:multiLevelType w:val="hybridMultilevel"/>
    <w:tmpl w:val="54409142"/>
    <w:lvl w:ilvl="0" w:tplc="04B85A6A">
      <w:numFmt w:val="bullet"/>
      <w:lvlText w:val="-"/>
      <w:lvlJc w:val="left"/>
      <w:pPr>
        <w:ind w:left="778" w:hanging="360"/>
      </w:pPr>
      <w:rPr>
        <w:rFonts w:ascii="Arial" w:eastAsia="Calibri" w:hAnsi="Arial" w:cs="Arial" w:hint="default"/>
      </w:rPr>
    </w:lvl>
    <w:lvl w:ilvl="1" w:tplc="040C0003">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15" w15:restartNumberingAfterBreak="0">
    <w:nsid w:val="085D0CBC"/>
    <w:multiLevelType w:val="hybridMultilevel"/>
    <w:tmpl w:val="86E0DA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8DD2C01"/>
    <w:multiLevelType w:val="hybridMultilevel"/>
    <w:tmpl w:val="748CB47C"/>
    <w:lvl w:ilvl="0" w:tplc="0409000F">
      <w:start w:val="1"/>
      <w:numFmt w:val="decimal"/>
      <w:lvlText w:val="%1."/>
      <w:lvlJc w:val="left"/>
      <w:pPr>
        <w:ind w:left="720" w:hanging="360"/>
      </w:pPr>
      <w:rPr>
        <w:rFonts w:cs="Times New Roman"/>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rPr>
        <w:rFonts w:cs="Times New Roman"/>
      </w:rPr>
    </w:lvl>
    <w:lvl w:ilvl="3" w:tplc="FA16D216">
      <w:start w:val="1"/>
      <w:numFmt w:val="lowerRoman"/>
      <w:lvlText w:val="%4)"/>
      <w:lvlJc w:val="left"/>
      <w:pPr>
        <w:ind w:left="3240" w:hanging="720"/>
      </w:pPr>
      <w:rPr>
        <w:rFonts w:hint="default"/>
      </w:rPr>
    </w:lvl>
    <w:lvl w:ilvl="4" w:tplc="67E05FE4">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095F23AF"/>
    <w:multiLevelType w:val="hybridMultilevel"/>
    <w:tmpl w:val="466E67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9750C62"/>
    <w:multiLevelType w:val="hybridMultilevel"/>
    <w:tmpl w:val="8ECA4FAC"/>
    <w:lvl w:ilvl="0" w:tplc="BAF28106">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AFF7D65"/>
    <w:multiLevelType w:val="multilevel"/>
    <w:tmpl w:val="A6A0D53A"/>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0B8E0959"/>
    <w:multiLevelType w:val="hybridMultilevel"/>
    <w:tmpl w:val="935A5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BBC59F0"/>
    <w:multiLevelType w:val="hybridMultilevel"/>
    <w:tmpl w:val="3AB0F4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C53813"/>
    <w:multiLevelType w:val="multilevel"/>
    <w:tmpl w:val="05C24E2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0CE43D53"/>
    <w:multiLevelType w:val="hybridMultilevel"/>
    <w:tmpl w:val="414A0F1C"/>
    <w:lvl w:ilvl="0" w:tplc="6632EE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0D1E5D4E"/>
    <w:multiLevelType w:val="hybridMultilevel"/>
    <w:tmpl w:val="8ED04A6C"/>
    <w:lvl w:ilvl="0" w:tplc="96108CDC">
      <w:start w:val="1"/>
      <w:numFmt w:val="lowerRoman"/>
      <w:lvlText w:val="(%1)"/>
      <w:lvlJc w:val="left"/>
      <w:pPr>
        <w:ind w:left="69" w:hanging="297"/>
      </w:pPr>
      <w:rPr>
        <w:rFonts w:ascii="Times New Roman" w:eastAsia="Times New Roman" w:hAnsi="Times New Roman" w:cs="Times New Roman" w:hint="default"/>
        <w:w w:val="99"/>
        <w:sz w:val="20"/>
        <w:szCs w:val="20"/>
        <w:lang w:val="fr-FR" w:eastAsia="en-US" w:bidi="ar-SA"/>
      </w:rPr>
    </w:lvl>
    <w:lvl w:ilvl="1" w:tplc="7720AD10">
      <w:numFmt w:val="bullet"/>
      <w:lvlText w:val="•"/>
      <w:lvlJc w:val="left"/>
      <w:pPr>
        <w:ind w:left="425" w:hanging="297"/>
      </w:pPr>
      <w:rPr>
        <w:rFonts w:hint="default"/>
        <w:lang w:val="fr-FR" w:eastAsia="en-US" w:bidi="ar-SA"/>
      </w:rPr>
    </w:lvl>
    <w:lvl w:ilvl="2" w:tplc="ECAC285E">
      <w:numFmt w:val="bullet"/>
      <w:lvlText w:val="•"/>
      <w:lvlJc w:val="left"/>
      <w:pPr>
        <w:ind w:left="790" w:hanging="297"/>
      </w:pPr>
      <w:rPr>
        <w:rFonts w:hint="default"/>
        <w:lang w:val="fr-FR" w:eastAsia="en-US" w:bidi="ar-SA"/>
      </w:rPr>
    </w:lvl>
    <w:lvl w:ilvl="3" w:tplc="26086594">
      <w:numFmt w:val="bullet"/>
      <w:lvlText w:val="•"/>
      <w:lvlJc w:val="left"/>
      <w:pPr>
        <w:ind w:left="1155" w:hanging="297"/>
      </w:pPr>
      <w:rPr>
        <w:rFonts w:hint="default"/>
        <w:lang w:val="fr-FR" w:eastAsia="en-US" w:bidi="ar-SA"/>
      </w:rPr>
    </w:lvl>
    <w:lvl w:ilvl="4" w:tplc="7C24E136">
      <w:numFmt w:val="bullet"/>
      <w:lvlText w:val="•"/>
      <w:lvlJc w:val="left"/>
      <w:pPr>
        <w:ind w:left="1520" w:hanging="297"/>
      </w:pPr>
      <w:rPr>
        <w:rFonts w:hint="default"/>
        <w:lang w:val="fr-FR" w:eastAsia="en-US" w:bidi="ar-SA"/>
      </w:rPr>
    </w:lvl>
    <w:lvl w:ilvl="5" w:tplc="8766D616">
      <w:numFmt w:val="bullet"/>
      <w:lvlText w:val="•"/>
      <w:lvlJc w:val="left"/>
      <w:pPr>
        <w:ind w:left="1885" w:hanging="297"/>
      </w:pPr>
      <w:rPr>
        <w:rFonts w:hint="default"/>
        <w:lang w:val="fr-FR" w:eastAsia="en-US" w:bidi="ar-SA"/>
      </w:rPr>
    </w:lvl>
    <w:lvl w:ilvl="6" w:tplc="C60415E8">
      <w:numFmt w:val="bullet"/>
      <w:lvlText w:val="•"/>
      <w:lvlJc w:val="left"/>
      <w:pPr>
        <w:ind w:left="2250" w:hanging="297"/>
      </w:pPr>
      <w:rPr>
        <w:rFonts w:hint="default"/>
        <w:lang w:val="fr-FR" w:eastAsia="en-US" w:bidi="ar-SA"/>
      </w:rPr>
    </w:lvl>
    <w:lvl w:ilvl="7" w:tplc="D416D71E">
      <w:numFmt w:val="bullet"/>
      <w:lvlText w:val="•"/>
      <w:lvlJc w:val="left"/>
      <w:pPr>
        <w:ind w:left="2615" w:hanging="297"/>
      </w:pPr>
      <w:rPr>
        <w:rFonts w:hint="default"/>
        <w:lang w:val="fr-FR" w:eastAsia="en-US" w:bidi="ar-SA"/>
      </w:rPr>
    </w:lvl>
    <w:lvl w:ilvl="8" w:tplc="278A6352">
      <w:numFmt w:val="bullet"/>
      <w:lvlText w:val="•"/>
      <w:lvlJc w:val="left"/>
      <w:pPr>
        <w:ind w:left="2980" w:hanging="297"/>
      </w:pPr>
      <w:rPr>
        <w:rFonts w:hint="default"/>
        <w:lang w:val="fr-FR" w:eastAsia="en-US" w:bidi="ar-SA"/>
      </w:rPr>
    </w:lvl>
  </w:abstractNum>
  <w:abstractNum w:abstractNumId="25" w15:restartNumberingAfterBreak="0">
    <w:nsid w:val="0DC2703D"/>
    <w:multiLevelType w:val="multilevel"/>
    <w:tmpl w:val="D76015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0DF776EB"/>
    <w:multiLevelType w:val="hybridMultilevel"/>
    <w:tmpl w:val="D27803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0F056509"/>
    <w:multiLevelType w:val="hybridMultilevel"/>
    <w:tmpl w:val="8D4E87C4"/>
    <w:lvl w:ilvl="0" w:tplc="AEE4E57E">
      <w:numFmt w:val="bullet"/>
      <w:lvlText w:val="-"/>
      <w:lvlJc w:val="left"/>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0FDF09BC"/>
    <w:multiLevelType w:val="multilevel"/>
    <w:tmpl w:val="32B49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0856FCE"/>
    <w:multiLevelType w:val="hybridMultilevel"/>
    <w:tmpl w:val="111CD380"/>
    <w:lvl w:ilvl="0" w:tplc="6632EE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241741B"/>
    <w:multiLevelType w:val="hybridMultilevel"/>
    <w:tmpl w:val="DBB65F28"/>
    <w:lvl w:ilvl="0" w:tplc="927628D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9A4FB3"/>
    <w:multiLevelType w:val="multilevel"/>
    <w:tmpl w:val="A4FE1FC6"/>
    <w:lvl w:ilvl="0">
      <w:start w:val="1"/>
      <w:numFmt w:val="bullet"/>
      <w:lvlText w:val=""/>
      <w:lvlJc w:val="left"/>
      <w:pPr>
        <w:tabs>
          <w:tab w:val="num" w:pos="0"/>
        </w:tabs>
        <w:ind w:left="0" w:firstLine="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2" w15:restartNumberingAfterBreak="0">
    <w:nsid w:val="129D52B2"/>
    <w:multiLevelType w:val="hybridMultilevel"/>
    <w:tmpl w:val="6EFC49D2"/>
    <w:lvl w:ilvl="0" w:tplc="04B85A6A">
      <w:numFmt w:val="bullet"/>
      <w:lvlText w:val="-"/>
      <w:lvlJc w:val="left"/>
      <w:pPr>
        <w:ind w:left="1140" w:hanging="360"/>
      </w:pPr>
      <w:rPr>
        <w:rFonts w:ascii="Arial" w:eastAsia="Calibri" w:hAnsi="Arial" w:cs="Arial" w:hint="default"/>
      </w:rPr>
    </w:lvl>
    <w:lvl w:ilvl="1" w:tplc="20000003" w:tentative="1">
      <w:start w:val="1"/>
      <w:numFmt w:val="bullet"/>
      <w:lvlText w:val="o"/>
      <w:lvlJc w:val="left"/>
      <w:pPr>
        <w:ind w:left="1860" w:hanging="360"/>
      </w:pPr>
      <w:rPr>
        <w:rFonts w:ascii="Courier New" w:hAnsi="Courier New" w:cs="Courier New" w:hint="default"/>
      </w:rPr>
    </w:lvl>
    <w:lvl w:ilvl="2" w:tplc="20000005" w:tentative="1">
      <w:start w:val="1"/>
      <w:numFmt w:val="bullet"/>
      <w:lvlText w:val=""/>
      <w:lvlJc w:val="left"/>
      <w:pPr>
        <w:ind w:left="2580" w:hanging="360"/>
      </w:pPr>
      <w:rPr>
        <w:rFonts w:ascii="Wingdings" w:hAnsi="Wingdings" w:hint="default"/>
      </w:rPr>
    </w:lvl>
    <w:lvl w:ilvl="3" w:tplc="20000001" w:tentative="1">
      <w:start w:val="1"/>
      <w:numFmt w:val="bullet"/>
      <w:lvlText w:val=""/>
      <w:lvlJc w:val="left"/>
      <w:pPr>
        <w:ind w:left="3300" w:hanging="360"/>
      </w:pPr>
      <w:rPr>
        <w:rFonts w:ascii="Symbol" w:hAnsi="Symbol" w:hint="default"/>
      </w:rPr>
    </w:lvl>
    <w:lvl w:ilvl="4" w:tplc="20000003" w:tentative="1">
      <w:start w:val="1"/>
      <w:numFmt w:val="bullet"/>
      <w:lvlText w:val="o"/>
      <w:lvlJc w:val="left"/>
      <w:pPr>
        <w:ind w:left="4020" w:hanging="360"/>
      </w:pPr>
      <w:rPr>
        <w:rFonts w:ascii="Courier New" w:hAnsi="Courier New" w:cs="Courier New" w:hint="default"/>
      </w:rPr>
    </w:lvl>
    <w:lvl w:ilvl="5" w:tplc="20000005" w:tentative="1">
      <w:start w:val="1"/>
      <w:numFmt w:val="bullet"/>
      <w:lvlText w:val=""/>
      <w:lvlJc w:val="left"/>
      <w:pPr>
        <w:ind w:left="4740" w:hanging="360"/>
      </w:pPr>
      <w:rPr>
        <w:rFonts w:ascii="Wingdings" w:hAnsi="Wingdings" w:hint="default"/>
      </w:rPr>
    </w:lvl>
    <w:lvl w:ilvl="6" w:tplc="20000001" w:tentative="1">
      <w:start w:val="1"/>
      <w:numFmt w:val="bullet"/>
      <w:lvlText w:val=""/>
      <w:lvlJc w:val="left"/>
      <w:pPr>
        <w:ind w:left="5460" w:hanging="360"/>
      </w:pPr>
      <w:rPr>
        <w:rFonts w:ascii="Symbol" w:hAnsi="Symbol" w:hint="default"/>
      </w:rPr>
    </w:lvl>
    <w:lvl w:ilvl="7" w:tplc="20000003" w:tentative="1">
      <w:start w:val="1"/>
      <w:numFmt w:val="bullet"/>
      <w:lvlText w:val="o"/>
      <w:lvlJc w:val="left"/>
      <w:pPr>
        <w:ind w:left="6180" w:hanging="360"/>
      </w:pPr>
      <w:rPr>
        <w:rFonts w:ascii="Courier New" w:hAnsi="Courier New" w:cs="Courier New" w:hint="default"/>
      </w:rPr>
    </w:lvl>
    <w:lvl w:ilvl="8" w:tplc="20000005" w:tentative="1">
      <w:start w:val="1"/>
      <w:numFmt w:val="bullet"/>
      <w:lvlText w:val=""/>
      <w:lvlJc w:val="left"/>
      <w:pPr>
        <w:ind w:left="6900" w:hanging="360"/>
      </w:pPr>
      <w:rPr>
        <w:rFonts w:ascii="Wingdings" w:hAnsi="Wingdings" w:hint="default"/>
      </w:rPr>
    </w:lvl>
  </w:abstractNum>
  <w:abstractNum w:abstractNumId="33" w15:restartNumberingAfterBreak="0">
    <w:nsid w:val="13CE0B21"/>
    <w:multiLevelType w:val="hybridMultilevel"/>
    <w:tmpl w:val="2F3C97B8"/>
    <w:lvl w:ilvl="0" w:tplc="6632EEE8">
      <w:start w:val="1"/>
      <w:numFmt w:val="bullet"/>
      <w:lvlText w:val=""/>
      <w:lvlJc w:val="left"/>
      <w:pPr>
        <w:ind w:left="778" w:hanging="360"/>
      </w:pPr>
      <w:rPr>
        <w:rFonts w:ascii="Symbol" w:hAnsi="Symbol" w:hint="default"/>
      </w:rPr>
    </w:lvl>
    <w:lvl w:ilvl="1" w:tplc="040C0003">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34" w15:restartNumberingAfterBreak="0">
    <w:nsid w:val="1405425A"/>
    <w:multiLevelType w:val="hybridMultilevel"/>
    <w:tmpl w:val="6B54E966"/>
    <w:lvl w:ilvl="0" w:tplc="FFD2AA04">
      <w:start w:val="1"/>
      <w:numFmt w:val="decimal"/>
      <w:lvlText w:val="%1."/>
      <w:lvlJc w:val="left"/>
      <w:pPr>
        <w:ind w:left="68" w:hanging="199"/>
      </w:pPr>
      <w:rPr>
        <w:rFonts w:ascii="Times New Roman" w:eastAsia="Times New Roman" w:hAnsi="Times New Roman" w:cs="Times New Roman" w:hint="default"/>
        <w:spacing w:val="0"/>
        <w:w w:val="99"/>
        <w:sz w:val="20"/>
        <w:szCs w:val="20"/>
        <w:lang w:val="fr-FR" w:eastAsia="en-US" w:bidi="ar-SA"/>
      </w:rPr>
    </w:lvl>
    <w:lvl w:ilvl="1" w:tplc="C74A11D2">
      <w:numFmt w:val="bullet"/>
      <w:lvlText w:val="•"/>
      <w:lvlJc w:val="left"/>
      <w:pPr>
        <w:ind w:left="474" w:hanging="199"/>
      </w:pPr>
      <w:rPr>
        <w:rFonts w:hint="default"/>
        <w:lang w:val="fr-FR" w:eastAsia="en-US" w:bidi="ar-SA"/>
      </w:rPr>
    </w:lvl>
    <w:lvl w:ilvl="2" w:tplc="FFECAB5E">
      <w:numFmt w:val="bullet"/>
      <w:lvlText w:val="•"/>
      <w:lvlJc w:val="left"/>
      <w:pPr>
        <w:ind w:left="888" w:hanging="199"/>
      </w:pPr>
      <w:rPr>
        <w:rFonts w:hint="default"/>
        <w:lang w:val="fr-FR" w:eastAsia="en-US" w:bidi="ar-SA"/>
      </w:rPr>
    </w:lvl>
    <w:lvl w:ilvl="3" w:tplc="B6FC7E4A">
      <w:numFmt w:val="bullet"/>
      <w:lvlText w:val="•"/>
      <w:lvlJc w:val="left"/>
      <w:pPr>
        <w:ind w:left="1302" w:hanging="199"/>
      </w:pPr>
      <w:rPr>
        <w:rFonts w:hint="default"/>
        <w:lang w:val="fr-FR" w:eastAsia="en-US" w:bidi="ar-SA"/>
      </w:rPr>
    </w:lvl>
    <w:lvl w:ilvl="4" w:tplc="601A3ECA">
      <w:numFmt w:val="bullet"/>
      <w:lvlText w:val="•"/>
      <w:lvlJc w:val="left"/>
      <w:pPr>
        <w:ind w:left="1716" w:hanging="199"/>
      </w:pPr>
      <w:rPr>
        <w:rFonts w:hint="default"/>
        <w:lang w:val="fr-FR" w:eastAsia="en-US" w:bidi="ar-SA"/>
      </w:rPr>
    </w:lvl>
    <w:lvl w:ilvl="5" w:tplc="5210B532">
      <w:numFmt w:val="bullet"/>
      <w:lvlText w:val="•"/>
      <w:lvlJc w:val="left"/>
      <w:pPr>
        <w:ind w:left="2130" w:hanging="199"/>
      </w:pPr>
      <w:rPr>
        <w:rFonts w:hint="default"/>
        <w:lang w:val="fr-FR" w:eastAsia="en-US" w:bidi="ar-SA"/>
      </w:rPr>
    </w:lvl>
    <w:lvl w:ilvl="6" w:tplc="BB5A0284">
      <w:numFmt w:val="bullet"/>
      <w:lvlText w:val="•"/>
      <w:lvlJc w:val="left"/>
      <w:pPr>
        <w:ind w:left="2544" w:hanging="199"/>
      </w:pPr>
      <w:rPr>
        <w:rFonts w:hint="default"/>
        <w:lang w:val="fr-FR" w:eastAsia="en-US" w:bidi="ar-SA"/>
      </w:rPr>
    </w:lvl>
    <w:lvl w:ilvl="7" w:tplc="CDC48EFC">
      <w:numFmt w:val="bullet"/>
      <w:lvlText w:val="•"/>
      <w:lvlJc w:val="left"/>
      <w:pPr>
        <w:ind w:left="2958" w:hanging="199"/>
      </w:pPr>
      <w:rPr>
        <w:rFonts w:hint="default"/>
        <w:lang w:val="fr-FR" w:eastAsia="en-US" w:bidi="ar-SA"/>
      </w:rPr>
    </w:lvl>
    <w:lvl w:ilvl="8" w:tplc="C3960D7E">
      <w:numFmt w:val="bullet"/>
      <w:lvlText w:val="•"/>
      <w:lvlJc w:val="left"/>
      <w:pPr>
        <w:ind w:left="3372" w:hanging="199"/>
      </w:pPr>
      <w:rPr>
        <w:rFonts w:hint="default"/>
        <w:lang w:val="fr-FR" w:eastAsia="en-US" w:bidi="ar-SA"/>
      </w:rPr>
    </w:lvl>
  </w:abstractNum>
  <w:abstractNum w:abstractNumId="35" w15:restartNumberingAfterBreak="0">
    <w:nsid w:val="1412285E"/>
    <w:multiLevelType w:val="hybridMultilevel"/>
    <w:tmpl w:val="94F4D23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15:restartNumberingAfterBreak="0">
    <w:nsid w:val="15BD2296"/>
    <w:multiLevelType w:val="hybridMultilevel"/>
    <w:tmpl w:val="34202F6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7" w15:restartNumberingAfterBreak="0">
    <w:nsid w:val="15DA7D11"/>
    <w:multiLevelType w:val="multilevel"/>
    <w:tmpl w:val="D1262EA8"/>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15F345BC"/>
    <w:multiLevelType w:val="multilevel"/>
    <w:tmpl w:val="EF287E2C"/>
    <w:lvl w:ilvl="0">
      <w:start w:val="1"/>
      <w:numFmt w:val="bullet"/>
      <w:lvlText w:val=""/>
      <w:lvlJc w:val="left"/>
      <w:pPr>
        <w:tabs>
          <w:tab w:val="num" w:pos="0"/>
        </w:tabs>
        <w:ind w:left="1996" w:hanging="360"/>
      </w:pPr>
      <w:rPr>
        <w:rFonts w:ascii="Symbol" w:hAnsi="Symbol" w:cs="Symbol" w:hint="default"/>
      </w:rPr>
    </w:lvl>
    <w:lvl w:ilvl="1">
      <w:start w:val="1"/>
      <w:numFmt w:val="bullet"/>
      <w:lvlText w:val="o"/>
      <w:lvlJc w:val="left"/>
      <w:pPr>
        <w:tabs>
          <w:tab w:val="num" w:pos="0"/>
        </w:tabs>
        <w:ind w:left="2716" w:hanging="360"/>
      </w:pPr>
      <w:rPr>
        <w:rFonts w:ascii="Courier New" w:hAnsi="Courier New" w:cs="Courier New" w:hint="default"/>
      </w:rPr>
    </w:lvl>
    <w:lvl w:ilvl="2">
      <w:start w:val="1"/>
      <w:numFmt w:val="bullet"/>
      <w:lvlText w:val=""/>
      <w:lvlJc w:val="left"/>
      <w:pPr>
        <w:tabs>
          <w:tab w:val="num" w:pos="0"/>
        </w:tabs>
        <w:ind w:left="3436" w:hanging="360"/>
      </w:pPr>
      <w:rPr>
        <w:rFonts w:ascii="Wingdings" w:hAnsi="Wingdings" w:cs="Wingdings" w:hint="default"/>
      </w:rPr>
    </w:lvl>
    <w:lvl w:ilvl="3">
      <w:start w:val="1"/>
      <w:numFmt w:val="bullet"/>
      <w:lvlText w:val=""/>
      <w:lvlJc w:val="left"/>
      <w:pPr>
        <w:tabs>
          <w:tab w:val="num" w:pos="0"/>
        </w:tabs>
        <w:ind w:left="4156" w:hanging="360"/>
      </w:pPr>
      <w:rPr>
        <w:rFonts w:ascii="Symbol" w:hAnsi="Symbol" w:cs="Symbol" w:hint="default"/>
      </w:rPr>
    </w:lvl>
    <w:lvl w:ilvl="4">
      <w:start w:val="1"/>
      <w:numFmt w:val="bullet"/>
      <w:lvlText w:val="o"/>
      <w:lvlJc w:val="left"/>
      <w:pPr>
        <w:tabs>
          <w:tab w:val="num" w:pos="0"/>
        </w:tabs>
        <w:ind w:left="4876" w:hanging="360"/>
      </w:pPr>
      <w:rPr>
        <w:rFonts w:ascii="Courier New" w:hAnsi="Courier New" w:cs="Courier New" w:hint="default"/>
      </w:rPr>
    </w:lvl>
    <w:lvl w:ilvl="5">
      <w:start w:val="1"/>
      <w:numFmt w:val="bullet"/>
      <w:lvlText w:val=""/>
      <w:lvlJc w:val="left"/>
      <w:pPr>
        <w:tabs>
          <w:tab w:val="num" w:pos="0"/>
        </w:tabs>
        <w:ind w:left="5596" w:hanging="360"/>
      </w:pPr>
      <w:rPr>
        <w:rFonts w:ascii="Wingdings" w:hAnsi="Wingdings" w:cs="Wingdings" w:hint="default"/>
      </w:rPr>
    </w:lvl>
    <w:lvl w:ilvl="6">
      <w:start w:val="1"/>
      <w:numFmt w:val="bullet"/>
      <w:lvlText w:val=""/>
      <w:lvlJc w:val="left"/>
      <w:pPr>
        <w:tabs>
          <w:tab w:val="num" w:pos="0"/>
        </w:tabs>
        <w:ind w:left="6316" w:hanging="360"/>
      </w:pPr>
      <w:rPr>
        <w:rFonts w:ascii="Symbol" w:hAnsi="Symbol" w:cs="Symbol" w:hint="default"/>
      </w:rPr>
    </w:lvl>
    <w:lvl w:ilvl="7">
      <w:start w:val="1"/>
      <w:numFmt w:val="bullet"/>
      <w:lvlText w:val="o"/>
      <w:lvlJc w:val="left"/>
      <w:pPr>
        <w:tabs>
          <w:tab w:val="num" w:pos="0"/>
        </w:tabs>
        <w:ind w:left="7036" w:hanging="360"/>
      </w:pPr>
      <w:rPr>
        <w:rFonts w:ascii="Courier New" w:hAnsi="Courier New" w:cs="Courier New" w:hint="default"/>
      </w:rPr>
    </w:lvl>
    <w:lvl w:ilvl="8">
      <w:start w:val="1"/>
      <w:numFmt w:val="bullet"/>
      <w:lvlText w:val=""/>
      <w:lvlJc w:val="left"/>
      <w:pPr>
        <w:tabs>
          <w:tab w:val="num" w:pos="0"/>
        </w:tabs>
        <w:ind w:left="7756" w:hanging="360"/>
      </w:pPr>
      <w:rPr>
        <w:rFonts w:ascii="Wingdings" w:hAnsi="Wingdings" w:cs="Wingdings" w:hint="default"/>
      </w:rPr>
    </w:lvl>
  </w:abstractNum>
  <w:abstractNum w:abstractNumId="39" w15:restartNumberingAfterBreak="0">
    <w:nsid w:val="17C178DA"/>
    <w:multiLevelType w:val="hybridMultilevel"/>
    <w:tmpl w:val="5EA8C242"/>
    <w:lvl w:ilvl="0" w:tplc="040C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82D30BB"/>
    <w:multiLevelType w:val="hybridMultilevel"/>
    <w:tmpl w:val="73389744"/>
    <w:lvl w:ilvl="0" w:tplc="7A36D21A">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194A5698"/>
    <w:multiLevelType w:val="hybridMultilevel"/>
    <w:tmpl w:val="8A30D52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1A904231"/>
    <w:multiLevelType w:val="hybridMultilevel"/>
    <w:tmpl w:val="41DC0E8C"/>
    <w:lvl w:ilvl="0" w:tplc="7220A474">
      <w:numFmt w:val="bullet"/>
      <w:pStyle w:val="Style4"/>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1AB1215D"/>
    <w:multiLevelType w:val="hybridMultilevel"/>
    <w:tmpl w:val="2416BD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1B247586"/>
    <w:multiLevelType w:val="hybridMultilevel"/>
    <w:tmpl w:val="EEF2760A"/>
    <w:lvl w:ilvl="0" w:tplc="B7D4DDBA">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1BE442FA"/>
    <w:multiLevelType w:val="hybridMultilevel"/>
    <w:tmpl w:val="77F683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1D381C48"/>
    <w:multiLevelType w:val="hybridMultilevel"/>
    <w:tmpl w:val="7E946334"/>
    <w:lvl w:ilvl="0" w:tplc="0E96067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1E915AE4"/>
    <w:multiLevelType w:val="hybridMultilevel"/>
    <w:tmpl w:val="8F3EBC04"/>
    <w:lvl w:ilvl="0" w:tplc="AEE4E57E">
      <w:numFmt w:val="bullet"/>
      <w:lvlText w:val="-"/>
      <w:lvlJc w:val="left"/>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1EAA24DB"/>
    <w:multiLevelType w:val="hybridMultilevel"/>
    <w:tmpl w:val="603E85F4"/>
    <w:lvl w:ilvl="0" w:tplc="04B85A6A">
      <w:numFmt w:val="bullet"/>
      <w:lvlText w:val="-"/>
      <w:lvlJc w:val="left"/>
      <w:pPr>
        <w:ind w:left="778" w:hanging="360"/>
      </w:pPr>
      <w:rPr>
        <w:rFonts w:ascii="Arial" w:eastAsia="Calibri" w:hAnsi="Arial" w:cs="Arial" w:hint="default"/>
      </w:rPr>
    </w:lvl>
    <w:lvl w:ilvl="1" w:tplc="040C0003">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49" w15:restartNumberingAfterBreak="0">
    <w:nsid w:val="1EB1325E"/>
    <w:multiLevelType w:val="hybridMultilevel"/>
    <w:tmpl w:val="9ABCA6BA"/>
    <w:lvl w:ilvl="0" w:tplc="21422602">
      <w:start w:val="8"/>
      <w:numFmt w:val="bullet"/>
      <w:lvlText w:val="-"/>
      <w:lvlJc w:val="left"/>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1FBA5511"/>
    <w:multiLevelType w:val="hybridMultilevel"/>
    <w:tmpl w:val="47D061E0"/>
    <w:lvl w:ilvl="0" w:tplc="04B85A6A">
      <w:numFmt w:val="bullet"/>
      <w:lvlText w:val="-"/>
      <w:lvlJc w:val="left"/>
      <w:pPr>
        <w:ind w:left="1140" w:hanging="360"/>
      </w:pPr>
      <w:rPr>
        <w:rFonts w:ascii="Arial" w:eastAsia="Calibri" w:hAnsi="Arial" w:cs="Arial" w:hint="default"/>
      </w:rPr>
    </w:lvl>
    <w:lvl w:ilvl="1" w:tplc="20000003" w:tentative="1">
      <w:start w:val="1"/>
      <w:numFmt w:val="bullet"/>
      <w:lvlText w:val="o"/>
      <w:lvlJc w:val="left"/>
      <w:pPr>
        <w:ind w:left="1860" w:hanging="360"/>
      </w:pPr>
      <w:rPr>
        <w:rFonts w:ascii="Courier New" w:hAnsi="Courier New" w:cs="Courier New" w:hint="default"/>
      </w:rPr>
    </w:lvl>
    <w:lvl w:ilvl="2" w:tplc="20000005" w:tentative="1">
      <w:start w:val="1"/>
      <w:numFmt w:val="bullet"/>
      <w:lvlText w:val=""/>
      <w:lvlJc w:val="left"/>
      <w:pPr>
        <w:ind w:left="2580" w:hanging="360"/>
      </w:pPr>
      <w:rPr>
        <w:rFonts w:ascii="Wingdings" w:hAnsi="Wingdings" w:hint="default"/>
      </w:rPr>
    </w:lvl>
    <w:lvl w:ilvl="3" w:tplc="20000001" w:tentative="1">
      <w:start w:val="1"/>
      <w:numFmt w:val="bullet"/>
      <w:lvlText w:val=""/>
      <w:lvlJc w:val="left"/>
      <w:pPr>
        <w:ind w:left="3300" w:hanging="360"/>
      </w:pPr>
      <w:rPr>
        <w:rFonts w:ascii="Symbol" w:hAnsi="Symbol" w:hint="default"/>
      </w:rPr>
    </w:lvl>
    <w:lvl w:ilvl="4" w:tplc="20000003" w:tentative="1">
      <w:start w:val="1"/>
      <w:numFmt w:val="bullet"/>
      <w:lvlText w:val="o"/>
      <w:lvlJc w:val="left"/>
      <w:pPr>
        <w:ind w:left="4020" w:hanging="360"/>
      </w:pPr>
      <w:rPr>
        <w:rFonts w:ascii="Courier New" w:hAnsi="Courier New" w:cs="Courier New" w:hint="default"/>
      </w:rPr>
    </w:lvl>
    <w:lvl w:ilvl="5" w:tplc="20000005" w:tentative="1">
      <w:start w:val="1"/>
      <w:numFmt w:val="bullet"/>
      <w:lvlText w:val=""/>
      <w:lvlJc w:val="left"/>
      <w:pPr>
        <w:ind w:left="4740" w:hanging="360"/>
      </w:pPr>
      <w:rPr>
        <w:rFonts w:ascii="Wingdings" w:hAnsi="Wingdings" w:hint="default"/>
      </w:rPr>
    </w:lvl>
    <w:lvl w:ilvl="6" w:tplc="20000001" w:tentative="1">
      <w:start w:val="1"/>
      <w:numFmt w:val="bullet"/>
      <w:lvlText w:val=""/>
      <w:lvlJc w:val="left"/>
      <w:pPr>
        <w:ind w:left="5460" w:hanging="360"/>
      </w:pPr>
      <w:rPr>
        <w:rFonts w:ascii="Symbol" w:hAnsi="Symbol" w:hint="default"/>
      </w:rPr>
    </w:lvl>
    <w:lvl w:ilvl="7" w:tplc="20000003" w:tentative="1">
      <w:start w:val="1"/>
      <w:numFmt w:val="bullet"/>
      <w:lvlText w:val="o"/>
      <w:lvlJc w:val="left"/>
      <w:pPr>
        <w:ind w:left="6180" w:hanging="360"/>
      </w:pPr>
      <w:rPr>
        <w:rFonts w:ascii="Courier New" w:hAnsi="Courier New" w:cs="Courier New" w:hint="default"/>
      </w:rPr>
    </w:lvl>
    <w:lvl w:ilvl="8" w:tplc="20000005" w:tentative="1">
      <w:start w:val="1"/>
      <w:numFmt w:val="bullet"/>
      <w:lvlText w:val=""/>
      <w:lvlJc w:val="left"/>
      <w:pPr>
        <w:ind w:left="6900" w:hanging="360"/>
      </w:pPr>
      <w:rPr>
        <w:rFonts w:ascii="Wingdings" w:hAnsi="Wingdings" w:hint="default"/>
      </w:rPr>
    </w:lvl>
  </w:abstractNum>
  <w:abstractNum w:abstractNumId="51" w15:restartNumberingAfterBreak="0">
    <w:nsid w:val="20574E78"/>
    <w:multiLevelType w:val="multilevel"/>
    <w:tmpl w:val="127A2E10"/>
    <w:lvl w:ilvl="0">
      <w:start w:val="1"/>
      <w:numFmt w:val="decimal"/>
      <w:lvlText w:val="%1."/>
      <w:lvlJc w:val="left"/>
      <w:pPr>
        <w:ind w:left="1440" w:hanging="360"/>
      </w:pPr>
    </w:lvl>
    <w:lvl w:ilvl="1">
      <w:start w:val="1"/>
      <w:numFmt w:val="decimal"/>
      <w:isLgl/>
      <w:lvlText w:val="%1.%2."/>
      <w:lvlJc w:val="left"/>
      <w:pPr>
        <w:ind w:left="1800" w:hanging="720"/>
      </w:pPr>
    </w:lvl>
    <w:lvl w:ilvl="2">
      <w:start w:val="1"/>
      <w:numFmt w:val="decimal"/>
      <w:isLgl/>
      <w:lvlText w:val="%1.%2.%3."/>
      <w:lvlJc w:val="left"/>
      <w:pPr>
        <w:ind w:left="216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600" w:hanging="2520"/>
      </w:pPr>
      <w:rPr>
        <w:rFonts w:hint="default"/>
      </w:rPr>
    </w:lvl>
  </w:abstractNum>
  <w:abstractNum w:abstractNumId="52" w15:restartNumberingAfterBreak="0">
    <w:nsid w:val="2084300D"/>
    <w:multiLevelType w:val="hybridMultilevel"/>
    <w:tmpl w:val="A4A04244"/>
    <w:lvl w:ilvl="0" w:tplc="5218BCA0">
      <w:numFmt w:val="bullet"/>
      <w:lvlText w:val="-"/>
      <w:lvlJc w:val="left"/>
      <w:pPr>
        <w:ind w:left="360" w:hanging="360"/>
      </w:pPr>
      <w:rPr>
        <w:rFonts w:ascii="Times New Roman" w:eastAsia="Times New Roman" w:hAnsi="Times New Roman" w:cs="Times New Roman" w:hint="default"/>
        <w:w w:val="100"/>
        <w:sz w:val="22"/>
        <w:szCs w:val="22"/>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210E5C69"/>
    <w:multiLevelType w:val="hybridMultilevel"/>
    <w:tmpl w:val="29EEE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21B02451"/>
    <w:multiLevelType w:val="multilevel"/>
    <w:tmpl w:val="2A2AF62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5" w15:restartNumberingAfterBreak="0">
    <w:nsid w:val="21E86BB4"/>
    <w:multiLevelType w:val="hybridMultilevel"/>
    <w:tmpl w:val="DF92864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22386DB6"/>
    <w:multiLevelType w:val="hybridMultilevel"/>
    <w:tmpl w:val="6A0E0F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22F41140"/>
    <w:multiLevelType w:val="hybridMultilevel"/>
    <w:tmpl w:val="F35839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235A7043"/>
    <w:multiLevelType w:val="hybridMultilevel"/>
    <w:tmpl w:val="2A2639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4A04B5F"/>
    <w:multiLevelType w:val="multilevel"/>
    <w:tmpl w:val="887A387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24C83C71"/>
    <w:multiLevelType w:val="hybridMultilevel"/>
    <w:tmpl w:val="F2148F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4D9489B"/>
    <w:multiLevelType w:val="multilevel"/>
    <w:tmpl w:val="4BE87BEA"/>
    <w:lvl w:ilvl="0">
      <w:start w:val="1"/>
      <w:numFmt w:val="lowerLetter"/>
      <w:pStyle w:val="TIT5"/>
      <w:lvlText w:val="%1)"/>
      <w:lvlJc w:val="left"/>
      <w:pPr>
        <w:ind w:left="1069" w:hanging="360"/>
      </w:pPr>
      <w:rPr>
        <w:b w:val="0"/>
        <w:bCs/>
      </w:r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62" w15:restartNumberingAfterBreak="0">
    <w:nsid w:val="25E45547"/>
    <w:multiLevelType w:val="hybridMultilevel"/>
    <w:tmpl w:val="AAF89F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263D2108"/>
    <w:multiLevelType w:val="hybridMultilevel"/>
    <w:tmpl w:val="D0029798"/>
    <w:lvl w:ilvl="0" w:tplc="6632EE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266D6F21"/>
    <w:multiLevelType w:val="multilevel"/>
    <w:tmpl w:val="D09C8F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282D7AEB"/>
    <w:multiLevelType w:val="hybridMultilevel"/>
    <w:tmpl w:val="B784D4C8"/>
    <w:lvl w:ilvl="0" w:tplc="3CF63D26">
      <w:start w:val="6"/>
      <w:numFmt w:val="bullet"/>
      <w:lvlText w:val="-"/>
      <w:lvlJc w:val="left"/>
      <w:pPr>
        <w:ind w:left="720" w:hanging="360"/>
      </w:pPr>
      <w:rPr>
        <w:rFonts w:ascii="Times New Roman" w:hAnsi="Times New Roman" w:cs="Times New Roman" w:hint="default"/>
        <w:b w:val="0"/>
        <w:i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2839564A"/>
    <w:multiLevelType w:val="multilevel"/>
    <w:tmpl w:val="297CF586"/>
    <w:lvl w:ilvl="0">
      <w:start w:val="18"/>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15:restartNumberingAfterBreak="0">
    <w:nsid w:val="28AC1A23"/>
    <w:multiLevelType w:val="multilevel"/>
    <w:tmpl w:val="94D644F0"/>
    <w:lvl w:ilvl="0">
      <w:start w:val="1"/>
      <w:numFmt w:val="bullet"/>
      <w:lvlText w:val="-"/>
      <w:lvlJc w:val="left"/>
      <w:rPr>
        <w:rFonts w:ascii="Calibri" w:eastAsia="Calibri" w:hAnsi="Calibri" w:cs="Calibri" w:hint="default"/>
      </w:rPr>
    </w:lvl>
    <w:lvl w:ilvl="1">
      <w:numFmt w:val="decimal"/>
      <w:lvlText w:val=""/>
      <w:lvlJc w:val="left"/>
      <w:pPr>
        <w:tabs>
          <w:tab w:val="num" w:pos="993"/>
        </w:tabs>
        <w:ind w:left="993" w:firstLine="0"/>
      </w:pPr>
    </w:lvl>
    <w:lvl w:ilvl="2">
      <w:numFmt w:val="decimal"/>
      <w:lvlText w:val=""/>
      <w:lvlJc w:val="left"/>
      <w:pPr>
        <w:tabs>
          <w:tab w:val="num" w:pos="993"/>
        </w:tabs>
        <w:ind w:left="993" w:firstLine="0"/>
      </w:pPr>
    </w:lvl>
    <w:lvl w:ilvl="3">
      <w:numFmt w:val="decimal"/>
      <w:lvlText w:val=""/>
      <w:lvlJc w:val="left"/>
      <w:pPr>
        <w:tabs>
          <w:tab w:val="num" w:pos="993"/>
        </w:tabs>
        <w:ind w:left="993" w:firstLine="0"/>
      </w:pPr>
    </w:lvl>
    <w:lvl w:ilvl="4">
      <w:numFmt w:val="decimal"/>
      <w:lvlText w:val=""/>
      <w:lvlJc w:val="left"/>
      <w:pPr>
        <w:tabs>
          <w:tab w:val="num" w:pos="993"/>
        </w:tabs>
        <w:ind w:left="993" w:firstLine="0"/>
      </w:pPr>
    </w:lvl>
    <w:lvl w:ilvl="5">
      <w:numFmt w:val="decimal"/>
      <w:lvlText w:val=""/>
      <w:lvlJc w:val="left"/>
      <w:pPr>
        <w:tabs>
          <w:tab w:val="num" w:pos="993"/>
        </w:tabs>
        <w:ind w:left="993" w:firstLine="0"/>
      </w:pPr>
    </w:lvl>
    <w:lvl w:ilvl="6">
      <w:numFmt w:val="decimal"/>
      <w:lvlText w:val=""/>
      <w:lvlJc w:val="left"/>
      <w:pPr>
        <w:tabs>
          <w:tab w:val="num" w:pos="993"/>
        </w:tabs>
        <w:ind w:left="993" w:firstLine="0"/>
      </w:pPr>
    </w:lvl>
    <w:lvl w:ilvl="7">
      <w:numFmt w:val="decimal"/>
      <w:lvlText w:val=""/>
      <w:lvlJc w:val="left"/>
      <w:pPr>
        <w:tabs>
          <w:tab w:val="num" w:pos="993"/>
        </w:tabs>
        <w:ind w:left="993" w:firstLine="0"/>
      </w:pPr>
    </w:lvl>
    <w:lvl w:ilvl="8">
      <w:numFmt w:val="decimal"/>
      <w:lvlText w:val=""/>
      <w:lvlJc w:val="left"/>
      <w:pPr>
        <w:tabs>
          <w:tab w:val="num" w:pos="993"/>
        </w:tabs>
        <w:ind w:left="993" w:firstLine="0"/>
      </w:pPr>
    </w:lvl>
  </w:abstractNum>
  <w:abstractNum w:abstractNumId="68" w15:restartNumberingAfterBreak="0">
    <w:nsid w:val="28F454E1"/>
    <w:multiLevelType w:val="hybridMultilevel"/>
    <w:tmpl w:val="11487E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2A442F0E"/>
    <w:multiLevelType w:val="hybridMultilevel"/>
    <w:tmpl w:val="5C382BE2"/>
    <w:lvl w:ilvl="0" w:tplc="040C0001">
      <w:start w:val="1"/>
      <w:numFmt w:val="bullet"/>
      <w:lvlText w:val=""/>
      <w:lvlJc w:val="left"/>
      <w:pPr>
        <w:ind w:left="720" w:hanging="360"/>
      </w:pPr>
      <w:rPr>
        <w:rFonts w:ascii="Symbol" w:hAnsi="Symbol" w:hint="default"/>
      </w:rPr>
    </w:lvl>
    <w:lvl w:ilvl="1" w:tplc="4172156C">
      <w:numFmt w:val="bullet"/>
      <w:lvlText w:val="-"/>
      <w:lvlJc w:val="left"/>
      <w:pPr>
        <w:ind w:left="1440" w:hanging="360"/>
      </w:pPr>
      <w:rPr>
        <w:rFonts w:ascii="Arial" w:eastAsia="Calibr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2A4F5490"/>
    <w:multiLevelType w:val="hybridMultilevel"/>
    <w:tmpl w:val="4B48714A"/>
    <w:lvl w:ilvl="0" w:tplc="927628DC">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2A54210E"/>
    <w:multiLevelType w:val="hybridMultilevel"/>
    <w:tmpl w:val="8A4058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A88585A"/>
    <w:multiLevelType w:val="hybridMultilevel"/>
    <w:tmpl w:val="28CA5342"/>
    <w:lvl w:ilvl="0" w:tplc="04B85A6A">
      <w:numFmt w:val="bullet"/>
      <w:lvlText w:val="-"/>
      <w:lvlJc w:val="left"/>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2B16351D"/>
    <w:multiLevelType w:val="hybridMultilevel"/>
    <w:tmpl w:val="AD1CB64A"/>
    <w:lvl w:ilvl="0" w:tplc="6632EEE8">
      <w:start w:val="1"/>
      <w:numFmt w:val="bullet"/>
      <w:lvlText w:val=""/>
      <w:lvlJc w:val="left"/>
      <w:pPr>
        <w:ind w:left="728" w:hanging="360"/>
      </w:pPr>
      <w:rPr>
        <w:rFonts w:ascii="Symbol" w:hAnsi="Symbol" w:hint="default"/>
      </w:rPr>
    </w:lvl>
    <w:lvl w:ilvl="1" w:tplc="04090019">
      <w:start w:val="1"/>
      <w:numFmt w:val="bullet"/>
      <w:lvlText w:val="o"/>
      <w:lvlJc w:val="left"/>
      <w:pPr>
        <w:ind w:left="1448" w:hanging="360"/>
      </w:pPr>
      <w:rPr>
        <w:rFonts w:ascii="Courier New" w:hAnsi="Courier New" w:cs="Courier New" w:hint="default"/>
      </w:rPr>
    </w:lvl>
    <w:lvl w:ilvl="2" w:tplc="0409001B">
      <w:start w:val="1"/>
      <w:numFmt w:val="bullet"/>
      <w:lvlText w:val=""/>
      <w:lvlJc w:val="left"/>
      <w:pPr>
        <w:ind w:left="720" w:hanging="360"/>
      </w:pPr>
      <w:rPr>
        <w:rFonts w:ascii="Symbol" w:hAnsi="Symbol" w:hint="default"/>
      </w:rPr>
    </w:lvl>
    <w:lvl w:ilvl="3" w:tplc="0409000F">
      <w:start w:val="1"/>
      <w:numFmt w:val="bullet"/>
      <w:lvlText w:val=""/>
      <w:lvlJc w:val="left"/>
      <w:pPr>
        <w:ind w:left="2888" w:hanging="360"/>
      </w:pPr>
      <w:rPr>
        <w:rFonts w:ascii="Symbol" w:hAnsi="Symbol" w:hint="default"/>
      </w:rPr>
    </w:lvl>
    <w:lvl w:ilvl="4" w:tplc="04090019" w:tentative="1">
      <w:start w:val="1"/>
      <w:numFmt w:val="bullet"/>
      <w:lvlText w:val="o"/>
      <w:lvlJc w:val="left"/>
      <w:pPr>
        <w:ind w:left="3608" w:hanging="360"/>
      </w:pPr>
      <w:rPr>
        <w:rFonts w:ascii="Courier New" w:hAnsi="Courier New" w:cs="Courier New" w:hint="default"/>
      </w:rPr>
    </w:lvl>
    <w:lvl w:ilvl="5" w:tplc="0409001B" w:tentative="1">
      <w:start w:val="1"/>
      <w:numFmt w:val="bullet"/>
      <w:lvlText w:val=""/>
      <w:lvlJc w:val="left"/>
      <w:pPr>
        <w:ind w:left="4328" w:hanging="360"/>
      </w:pPr>
      <w:rPr>
        <w:rFonts w:ascii="Wingdings" w:hAnsi="Wingdings" w:hint="default"/>
      </w:rPr>
    </w:lvl>
    <w:lvl w:ilvl="6" w:tplc="0409000F" w:tentative="1">
      <w:start w:val="1"/>
      <w:numFmt w:val="bullet"/>
      <w:lvlText w:val=""/>
      <w:lvlJc w:val="left"/>
      <w:pPr>
        <w:ind w:left="5048" w:hanging="360"/>
      </w:pPr>
      <w:rPr>
        <w:rFonts w:ascii="Symbol" w:hAnsi="Symbol" w:hint="default"/>
      </w:rPr>
    </w:lvl>
    <w:lvl w:ilvl="7" w:tplc="04090019" w:tentative="1">
      <w:start w:val="1"/>
      <w:numFmt w:val="bullet"/>
      <w:lvlText w:val="o"/>
      <w:lvlJc w:val="left"/>
      <w:pPr>
        <w:ind w:left="5768" w:hanging="360"/>
      </w:pPr>
      <w:rPr>
        <w:rFonts w:ascii="Courier New" w:hAnsi="Courier New" w:cs="Courier New" w:hint="default"/>
      </w:rPr>
    </w:lvl>
    <w:lvl w:ilvl="8" w:tplc="0409001B" w:tentative="1">
      <w:start w:val="1"/>
      <w:numFmt w:val="bullet"/>
      <w:lvlText w:val=""/>
      <w:lvlJc w:val="left"/>
      <w:pPr>
        <w:ind w:left="6488" w:hanging="360"/>
      </w:pPr>
      <w:rPr>
        <w:rFonts w:ascii="Wingdings" w:hAnsi="Wingdings" w:hint="default"/>
      </w:rPr>
    </w:lvl>
  </w:abstractNum>
  <w:abstractNum w:abstractNumId="74" w15:restartNumberingAfterBreak="0">
    <w:nsid w:val="2C3239C5"/>
    <w:multiLevelType w:val="hybridMultilevel"/>
    <w:tmpl w:val="F0349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2C660162"/>
    <w:multiLevelType w:val="multilevel"/>
    <w:tmpl w:val="877E6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D184083"/>
    <w:multiLevelType w:val="hybridMultilevel"/>
    <w:tmpl w:val="05C6F15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78EA19F6" w:tentative="1">
      <w:start w:val="1"/>
      <w:numFmt w:val="bullet"/>
      <w:lvlText w:val=""/>
      <w:lvlJc w:val="left"/>
      <w:pPr>
        <w:ind w:left="1800" w:hanging="360"/>
      </w:pPr>
      <w:rPr>
        <w:rFonts w:ascii="Wingdings" w:hAnsi="Wingdings" w:hint="default"/>
      </w:rPr>
    </w:lvl>
    <w:lvl w:ilvl="3" w:tplc="78EA19F6"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7" w15:restartNumberingAfterBreak="0">
    <w:nsid w:val="2DD2185C"/>
    <w:multiLevelType w:val="hybridMultilevel"/>
    <w:tmpl w:val="563C8BCE"/>
    <w:lvl w:ilvl="0" w:tplc="AEE4E57E">
      <w:numFmt w:val="bullet"/>
      <w:lvlText w:val="-"/>
      <w:lvlJc w:val="left"/>
      <w:rPr>
        <w:rFonts w:ascii="Arial" w:eastAsia="Calibri" w:hAnsi="Arial" w:cs="Aria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2EDD0FE6"/>
    <w:multiLevelType w:val="multilevel"/>
    <w:tmpl w:val="275ECA4A"/>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79" w15:restartNumberingAfterBreak="0">
    <w:nsid w:val="2F563C80"/>
    <w:multiLevelType w:val="hybridMultilevel"/>
    <w:tmpl w:val="7A4E89E4"/>
    <w:lvl w:ilvl="0" w:tplc="AEE4E57E">
      <w:numFmt w:val="bullet"/>
      <w:lvlText w:val="-"/>
      <w:lvlJc w:val="left"/>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2FE10BD2"/>
    <w:multiLevelType w:val="hybridMultilevel"/>
    <w:tmpl w:val="761ED564"/>
    <w:lvl w:ilvl="0" w:tplc="6EDEC75E">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309E4D16"/>
    <w:multiLevelType w:val="multilevel"/>
    <w:tmpl w:val="11A077B6"/>
    <w:lvl w:ilvl="0">
      <w:start w:val="1"/>
      <w:numFmt w:val="bullet"/>
      <w:lvlText w:val=""/>
      <w:lvlJc w:val="left"/>
      <w:pPr>
        <w:tabs>
          <w:tab w:val="num" w:pos="0"/>
        </w:tabs>
        <w:ind w:left="0" w:firstLine="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2" w15:restartNumberingAfterBreak="0">
    <w:nsid w:val="30B01D47"/>
    <w:multiLevelType w:val="hybridMultilevel"/>
    <w:tmpl w:val="B5B0CDA0"/>
    <w:lvl w:ilvl="0" w:tplc="BED8EC96">
      <w:start w:val="1"/>
      <w:numFmt w:val="bullet"/>
      <w:lvlText w:val=""/>
      <w:lvlJc w:val="left"/>
      <w:pPr>
        <w:ind w:left="720" w:hanging="360"/>
      </w:pPr>
      <w:rPr>
        <w:rFonts w:ascii="Symbol" w:hAnsi="Symbol" w:hint="default"/>
        <w:color w:val="auto"/>
      </w:rPr>
    </w:lvl>
    <w:lvl w:ilvl="1" w:tplc="F000D090">
      <w:start w:val="1"/>
      <w:numFmt w:val="bullet"/>
      <w:pStyle w:val="TableBulletPoin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30D51C22"/>
    <w:multiLevelType w:val="hybridMultilevel"/>
    <w:tmpl w:val="09C4F6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31984E9D"/>
    <w:multiLevelType w:val="hybridMultilevel"/>
    <w:tmpl w:val="3B68809C"/>
    <w:lvl w:ilvl="0" w:tplc="6EDEC75E">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31F408ED"/>
    <w:multiLevelType w:val="multilevel"/>
    <w:tmpl w:val="4832383C"/>
    <w:lvl w:ilvl="0">
      <w:start w:val="1"/>
      <w:numFmt w:val="low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6" w15:restartNumberingAfterBreak="0">
    <w:nsid w:val="32036294"/>
    <w:multiLevelType w:val="hybridMultilevel"/>
    <w:tmpl w:val="4BBAA204"/>
    <w:lvl w:ilvl="0" w:tplc="3CF63D26">
      <w:start w:val="6"/>
      <w:numFmt w:val="bullet"/>
      <w:lvlText w:val="-"/>
      <w:lvlJc w:val="left"/>
      <w:pPr>
        <w:ind w:left="720" w:hanging="360"/>
      </w:pPr>
      <w:rPr>
        <w:rFonts w:ascii="Times New Roman" w:hAnsi="Times New Roman" w:cs="Times New Roman" w:hint="default"/>
        <w:b w:val="0"/>
        <w:i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32B91E73"/>
    <w:multiLevelType w:val="hybridMultilevel"/>
    <w:tmpl w:val="AF085ABA"/>
    <w:lvl w:ilvl="0" w:tplc="040C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8" w15:restartNumberingAfterBreak="0">
    <w:nsid w:val="3566517F"/>
    <w:multiLevelType w:val="hybridMultilevel"/>
    <w:tmpl w:val="8EFA7F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5CB6142"/>
    <w:multiLevelType w:val="hybridMultilevel"/>
    <w:tmpl w:val="F0243898"/>
    <w:lvl w:ilvl="0" w:tplc="7A36D21A">
      <w:start w:val="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36117422"/>
    <w:multiLevelType w:val="hybridMultilevel"/>
    <w:tmpl w:val="3664E848"/>
    <w:lvl w:ilvl="0" w:tplc="040C0001">
      <w:start w:val="1"/>
      <w:numFmt w:val="bullet"/>
      <w:lvlText w:val=""/>
      <w:lvlJc w:val="left"/>
      <w:pPr>
        <w:ind w:left="856" w:hanging="360"/>
      </w:pPr>
      <w:rPr>
        <w:rFonts w:ascii="Symbol" w:hAnsi="Symbol" w:hint="default"/>
      </w:rPr>
    </w:lvl>
    <w:lvl w:ilvl="1" w:tplc="040C0003" w:tentative="1">
      <w:start w:val="1"/>
      <w:numFmt w:val="bullet"/>
      <w:lvlText w:val="o"/>
      <w:lvlJc w:val="left"/>
      <w:pPr>
        <w:ind w:left="1576" w:hanging="360"/>
      </w:pPr>
      <w:rPr>
        <w:rFonts w:ascii="Courier New" w:hAnsi="Courier New" w:cs="Courier New" w:hint="default"/>
      </w:rPr>
    </w:lvl>
    <w:lvl w:ilvl="2" w:tplc="040C0005">
      <w:start w:val="1"/>
      <w:numFmt w:val="bullet"/>
      <w:lvlText w:val=""/>
      <w:lvlJc w:val="left"/>
      <w:pPr>
        <w:ind w:left="2296" w:hanging="360"/>
      </w:pPr>
      <w:rPr>
        <w:rFonts w:ascii="Wingdings" w:hAnsi="Wingdings" w:hint="default"/>
      </w:rPr>
    </w:lvl>
    <w:lvl w:ilvl="3" w:tplc="040C0001" w:tentative="1">
      <w:start w:val="1"/>
      <w:numFmt w:val="bullet"/>
      <w:lvlText w:val=""/>
      <w:lvlJc w:val="left"/>
      <w:pPr>
        <w:ind w:left="3016" w:hanging="360"/>
      </w:pPr>
      <w:rPr>
        <w:rFonts w:ascii="Symbol" w:hAnsi="Symbol" w:hint="default"/>
      </w:rPr>
    </w:lvl>
    <w:lvl w:ilvl="4" w:tplc="040C0003" w:tentative="1">
      <w:start w:val="1"/>
      <w:numFmt w:val="bullet"/>
      <w:lvlText w:val="o"/>
      <w:lvlJc w:val="left"/>
      <w:pPr>
        <w:ind w:left="3736" w:hanging="360"/>
      </w:pPr>
      <w:rPr>
        <w:rFonts w:ascii="Courier New" w:hAnsi="Courier New" w:cs="Courier New" w:hint="default"/>
      </w:rPr>
    </w:lvl>
    <w:lvl w:ilvl="5" w:tplc="040C0005" w:tentative="1">
      <w:start w:val="1"/>
      <w:numFmt w:val="bullet"/>
      <w:lvlText w:val=""/>
      <w:lvlJc w:val="left"/>
      <w:pPr>
        <w:ind w:left="4456" w:hanging="360"/>
      </w:pPr>
      <w:rPr>
        <w:rFonts w:ascii="Wingdings" w:hAnsi="Wingdings" w:hint="default"/>
      </w:rPr>
    </w:lvl>
    <w:lvl w:ilvl="6" w:tplc="040C0001" w:tentative="1">
      <w:start w:val="1"/>
      <w:numFmt w:val="bullet"/>
      <w:lvlText w:val=""/>
      <w:lvlJc w:val="left"/>
      <w:pPr>
        <w:ind w:left="5176" w:hanging="360"/>
      </w:pPr>
      <w:rPr>
        <w:rFonts w:ascii="Symbol" w:hAnsi="Symbol" w:hint="default"/>
      </w:rPr>
    </w:lvl>
    <w:lvl w:ilvl="7" w:tplc="040C0003" w:tentative="1">
      <w:start w:val="1"/>
      <w:numFmt w:val="bullet"/>
      <w:lvlText w:val="o"/>
      <w:lvlJc w:val="left"/>
      <w:pPr>
        <w:ind w:left="5896" w:hanging="360"/>
      </w:pPr>
      <w:rPr>
        <w:rFonts w:ascii="Courier New" w:hAnsi="Courier New" w:cs="Courier New" w:hint="default"/>
      </w:rPr>
    </w:lvl>
    <w:lvl w:ilvl="8" w:tplc="040C0005" w:tentative="1">
      <w:start w:val="1"/>
      <w:numFmt w:val="bullet"/>
      <w:lvlText w:val=""/>
      <w:lvlJc w:val="left"/>
      <w:pPr>
        <w:ind w:left="6616" w:hanging="360"/>
      </w:pPr>
      <w:rPr>
        <w:rFonts w:ascii="Wingdings" w:hAnsi="Wingdings" w:hint="default"/>
      </w:rPr>
    </w:lvl>
  </w:abstractNum>
  <w:abstractNum w:abstractNumId="91" w15:restartNumberingAfterBreak="0">
    <w:nsid w:val="36675233"/>
    <w:multiLevelType w:val="hybridMultilevel"/>
    <w:tmpl w:val="7CB842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368E1BA0"/>
    <w:multiLevelType w:val="hybridMultilevel"/>
    <w:tmpl w:val="0E1EFC3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3" w15:restartNumberingAfterBreak="0">
    <w:nsid w:val="36FF2339"/>
    <w:multiLevelType w:val="hybridMultilevel"/>
    <w:tmpl w:val="645236D6"/>
    <w:lvl w:ilvl="0" w:tplc="20000001">
      <w:start w:val="1"/>
      <w:numFmt w:val="bullet"/>
      <w:lvlText w:val=""/>
      <w:lvlJc w:val="left"/>
      <w:pPr>
        <w:ind w:left="720" w:hanging="360"/>
      </w:pPr>
      <w:rPr>
        <w:rFonts w:ascii="Symbol" w:hAnsi="Symbol" w:hint="default"/>
      </w:rPr>
    </w:lvl>
    <w:lvl w:ilvl="1" w:tplc="FF608D20">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4" w15:restartNumberingAfterBreak="0">
    <w:nsid w:val="385A246F"/>
    <w:multiLevelType w:val="hybridMultilevel"/>
    <w:tmpl w:val="E5A477F8"/>
    <w:lvl w:ilvl="0" w:tplc="3CF63D26">
      <w:start w:val="6"/>
      <w:numFmt w:val="bullet"/>
      <w:lvlText w:val="-"/>
      <w:lvlJc w:val="left"/>
      <w:pPr>
        <w:ind w:left="720" w:hanging="360"/>
      </w:pPr>
      <w:rPr>
        <w:rFonts w:ascii="Times New Roman" w:hAnsi="Times New Roman" w:cs="Times New Roman" w:hint="default"/>
        <w:b w:val="0"/>
        <w:i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392E65AF"/>
    <w:multiLevelType w:val="hybridMultilevel"/>
    <w:tmpl w:val="49D4CA20"/>
    <w:lvl w:ilvl="0" w:tplc="6632EEE8">
      <w:start w:val="1"/>
      <w:numFmt w:val="bullet"/>
      <w:lvlText w:val=""/>
      <w:lvlJc w:val="left"/>
      <w:pPr>
        <w:ind w:left="720" w:hanging="360"/>
      </w:pPr>
      <w:rPr>
        <w:rFonts w:ascii="Symbol" w:hAnsi="Symbol" w:hint="default"/>
        <w:b w:val="0"/>
        <w:i w:val="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39BA6699"/>
    <w:multiLevelType w:val="hybridMultilevel"/>
    <w:tmpl w:val="85C4569A"/>
    <w:lvl w:ilvl="0" w:tplc="6632EE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39F07BE6"/>
    <w:multiLevelType w:val="multilevel"/>
    <w:tmpl w:val="001A27D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15:restartNumberingAfterBreak="0">
    <w:nsid w:val="3A24290E"/>
    <w:multiLevelType w:val="hybridMultilevel"/>
    <w:tmpl w:val="67B29D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AB040F1"/>
    <w:multiLevelType w:val="multilevel"/>
    <w:tmpl w:val="33E6516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15:restartNumberingAfterBreak="0">
    <w:nsid w:val="3BD35615"/>
    <w:multiLevelType w:val="hybridMultilevel"/>
    <w:tmpl w:val="32402A04"/>
    <w:lvl w:ilvl="0" w:tplc="49EC704E">
      <w:start w:val="6"/>
      <w:numFmt w:val="decimal"/>
      <w:lvlText w:val="%1-"/>
      <w:lvlJc w:val="left"/>
      <w:pPr>
        <w:ind w:left="1531" w:hanging="711"/>
      </w:pPr>
      <w:rPr>
        <w:rFonts w:ascii="Caladea" w:eastAsia="Caladea" w:hAnsi="Caladea" w:cs="Caladea" w:hint="default"/>
        <w:b/>
        <w:bCs/>
        <w:spacing w:val="-1"/>
        <w:w w:val="99"/>
        <w:sz w:val="22"/>
        <w:szCs w:val="22"/>
        <w:lang w:val="fr-FR" w:eastAsia="en-US" w:bidi="ar-SA"/>
      </w:rPr>
    </w:lvl>
    <w:lvl w:ilvl="1" w:tplc="C39E0586">
      <w:numFmt w:val="bullet"/>
      <w:lvlText w:val=""/>
      <w:lvlJc w:val="left"/>
      <w:pPr>
        <w:ind w:left="1541" w:hanging="360"/>
      </w:pPr>
      <w:rPr>
        <w:rFonts w:ascii="Symbol" w:eastAsia="Symbol" w:hAnsi="Symbol" w:cs="Symbol" w:hint="default"/>
        <w:w w:val="100"/>
        <w:sz w:val="22"/>
        <w:szCs w:val="22"/>
        <w:lang w:val="fr-FR" w:eastAsia="en-US" w:bidi="ar-SA"/>
      </w:rPr>
    </w:lvl>
    <w:lvl w:ilvl="2" w:tplc="2E84F3FA">
      <w:numFmt w:val="bullet"/>
      <w:lvlText w:val="•"/>
      <w:lvlJc w:val="left"/>
      <w:pPr>
        <w:ind w:left="3377" w:hanging="360"/>
      </w:pPr>
      <w:rPr>
        <w:rFonts w:hint="default"/>
        <w:lang w:val="fr-FR" w:eastAsia="en-US" w:bidi="ar-SA"/>
      </w:rPr>
    </w:lvl>
    <w:lvl w:ilvl="3" w:tplc="7942476E">
      <w:numFmt w:val="bullet"/>
      <w:lvlText w:val="•"/>
      <w:lvlJc w:val="left"/>
      <w:pPr>
        <w:ind w:left="4295" w:hanging="360"/>
      </w:pPr>
      <w:rPr>
        <w:rFonts w:hint="default"/>
        <w:lang w:val="fr-FR" w:eastAsia="en-US" w:bidi="ar-SA"/>
      </w:rPr>
    </w:lvl>
    <w:lvl w:ilvl="4" w:tplc="AF8C06EE">
      <w:numFmt w:val="bullet"/>
      <w:lvlText w:val="•"/>
      <w:lvlJc w:val="left"/>
      <w:pPr>
        <w:ind w:left="5214" w:hanging="360"/>
      </w:pPr>
      <w:rPr>
        <w:rFonts w:hint="default"/>
        <w:lang w:val="fr-FR" w:eastAsia="en-US" w:bidi="ar-SA"/>
      </w:rPr>
    </w:lvl>
    <w:lvl w:ilvl="5" w:tplc="2962F32C">
      <w:numFmt w:val="bullet"/>
      <w:lvlText w:val="•"/>
      <w:lvlJc w:val="left"/>
      <w:pPr>
        <w:ind w:left="6132" w:hanging="360"/>
      </w:pPr>
      <w:rPr>
        <w:rFonts w:hint="default"/>
        <w:lang w:val="fr-FR" w:eastAsia="en-US" w:bidi="ar-SA"/>
      </w:rPr>
    </w:lvl>
    <w:lvl w:ilvl="6" w:tplc="9A38FC9C">
      <w:numFmt w:val="bullet"/>
      <w:lvlText w:val="•"/>
      <w:lvlJc w:val="left"/>
      <w:pPr>
        <w:ind w:left="7051" w:hanging="360"/>
      </w:pPr>
      <w:rPr>
        <w:rFonts w:hint="default"/>
        <w:lang w:val="fr-FR" w:eastAsia="en-US" w:bidi="ar-SA"/>
      </w:rPr>
    </w:lvl>
    <w:lvl w:ilvl="7" w:tplc="98126292">
      <w:numFmt w:val="bullet"/>
      <w:lvlText w:val="•"/>
      <w:lvlJc w:val="left"/>
      <w:pPr>
        <w:ind w:left="7969" w:hanging="360"/>
      </w:pPr>
      <w:rPr>
        <w:rFonts w:hint="default"/>
        <w:lang w:val="fr-FR" w:eastAsia="en-US" w:bidi="ar-SA"/>
      </w:rPr>
    </w:lvl>
    <w:lvl w:ilvl="8" w:tplc="E3E43B68">
      <w:numFmt w:val="bullet"/>
      <w:lvlText w:val="•"/>
      <w:lvlJc w:val="left"/>
      <w:pPr>
        <w:ind w:left="8888" w:hanging="360"/>
      </w:pPr>
      <w:rPr>
        <w:rFonts w:hint="default"/>
        <w:lang w:val="fr-FR" w:eastAsia="en-US" w:bidi="ar-SA"/>
      </w:rPr>
    </w:lvl>
  </w:abstractNum>
  <w:abstractNum w:abstractNumId="101" w15:restartNumberingAfterBreak="0">
    <w:nsid w:val="3D09335C"/>
    <w:multiLevelType w:val="multilevel"/>
    <w:tmpl w:val="285CAB40"/>
    <w:lvl w:ilvl="0">
      <w:start w:val="1"/>
      <w:numFmt w:val="bullet"/>
      <w:lvlText w:val=""/>
      <w:lvlJc w:val="left"/>
      <w:pPr>
        <w:tabs>
          <w:tab w:val="num" w:pos="0"/>
        </w:tabs>
        <w:ind w:left="786" w:hanging="360"/>
      </w:pPr>
      <w:rPr>
        <w:rFonts w:ascii="Symbol" w:hAnsi="Symbol" w:cs="Symbol" w:hint="default"/>
      </w:rPr>
    </w:lvl>
    <w:lvl w:ilvl="1">
      <w:start w:val="1"/>
      <w:numFmt w:val="bullet"/>
      <w:lvlText w:val="o"/>
      <w:lvlJc w:val="left"/>
      <w:pPr>
        <w:tabs>
          <w:tab w:val="num" w:pos="0"/>
        </w:tabs>
        <w:ind w:left="1506" w:hanging="360"/>
      </w:pPr>
      <w:rPr>
        <w:rFonts w:ascii="Courier New" w:hAnsi="Courier New" w:cs="Courier New" w:hint="default"/>
      </w:rPr>
    </w:lvl>
    <w:lvl w:ilvl="2">
      <w:start w:val="1"/>
      <w:numFmt w:val="bullet"/>
      <w:lvlText w:val=""/>
      <w:lvlJc w:val="left"/>
      <w:pPr>
        <w:tabs>
          <w:tab w:val="num" w:pos="0"/>
        </w:tabs>
        <w:ind w:left="2226" w:hanging="360"/>
      </w:pPr>
      <w:rPr>
        <w:rFonts w:ascii="Wingdings" w:hAnsi="Wingdings" w:cs="Wingdings" w:hint="default"/>
      </w:rPr>
    </w:lvl>
    <w:lvl w:ilvl="3">
      <w:start w:val="1"/>
      <w:numFmt w:val="bullet"/>
      <w:lvlText w:val=""/>
      <w:lvlJc w:val="left"/>
      <w:pPr>
        <w:tabs>
          <w:tab w:val="num" w:pos="0"/>
        </w:tabs>
        <w:ind w:left="2946" w:hanging="360"/>
      </w:pPr>
      <w:rPr>
        <w:rFonts w:ascii="Symbol" w:hAnsi="Symbol" w:cs="Symbol" w:hint="default"/>
      </w:rPr>
    </w:lvl>
    <w:lvl w:ilvl="4">
      <w:start w:val="1"/>
      <w:numFmt w:val="bullet"/>
      <w:lvlText w:val="o"/>
      <w:lvlJc w:val="left"/>
      <w:pPr>
        <w:tabs>
          <w:tab w:val="num" w:pos="0"/>
        </w:tabs>
        <w:ind w:left="3666" w:hanging="360"/>
      </w:pPr>
      <w:rPr>
        <w:rFonts w:ascii="Courier New" w:hAnsi="Courier New" w:cs="Courier New" w:hint="default"/>
      </w:rPr>
    </w:lvl>
    <w:lvl w:ilvl="5">
      <w:start w:val="1"/>
      <w:numFmt w:val="bullet"/>
      <w:lvlText w:val=""/>
      <w:lvlJc w:val="left"/>
      <w:pPr>
        <w:tabs>
          <w:tab w:val="num" w:pos="0"/>
        </w:tabs>
        <w:ind w:left="4386" w:hanging="360"/>
      </w:pPr>
      <w:rPr>
        <w:rFonts w:ascii="Wingdings" w:hAnsi="Wingdings" w:cs="Wingdings" w:hint="default"/>
      </w:rPr>
    </w:lvl>
    <w:lvl w:ilvl="6">
      <w:start w:val="1"/>
      <w:numFmt w:val="bullet"/>
      <w:lvlText w:val=""/>
      <w:lvlJc w:val="left"/>
      <w:pPr>
        <w:tabs>
          <w:tab w:val="num" w:pos="0"/>
        </w:tabs>
        <w:ind w:left="5106" w:hanging="360"/>
      </w:pPr>
      <w:rPr>
        <w:rFonts w:ascii="Symbol" w:hAnsi="Symbol" w:cs="Symbol" w:hint="default"/>
      </w:rPr>
    </w:lvl>
    <w:lvl w:ilvl="7">
      <w:start w:val="1"/>
      <w:numFmt w:val="bullet"/>
      <w:lvlText w:val="o"/>
      <w:lvlJc w:val="left"/>
      <w:pPr>
        <w:tabs>
          <w:tab w:val="num" w:pos="0"/>
        </w:tabs>
        <w:ind w:left="5826" w:hanging="360"/>
      </w:pPr>
      <w:rPr>
        <w:rFonts w:ascii="Courier New" w:hAnsi="Courier New" w:cs="Courier New" w:hint="default"/>
      </w:rPr>
    </w:lvl>
    <w:lvl w:ilvl="8">
      <w:start w:val="1"/>
      <w:numFmt w:val="bullet"/>
      <w:lvlText w:val=""/>
      <w:lvlJc w:val="left"/>
      <w:pPr>
        <w:tabs>
          <w:tab w:val="num" w:pos="0"/>
        </w:tabs>
        <w:ind w:left="6546" w:hanging="360"/>
      </w:pPr>
      <w:rPr>
        <w:rFonts w:ascii="Wingdings" w:hAnsi="Wingdings" w:cs="Wingdings" w:hint="default"/>
      </w:rPr>
    </w:lvl>
  </w:abstractNum>
  <w:abstractNum w:abstractNumId="102" w15:restartNumberingAfterBreak="0">
    <w:nsid w:val="3D2A2712"/>
    <w:multiLevelType w:val="hybridMultilevel"/>
    <w:tmpl w:val="29002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3D551481"/>
    <w:multiLevelType w:val="hybridMultilevel"/>
    <w:tmpl w:val="A1BE89E8"/>
    <w:lvl w:ilvl="0" w:tplc="00120BDA">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4" w15:restartNumberingAfterBreak="0">
    <w:nsid w:val="3D6802B7"/>
    <w:multiLevelType w:val="hybridMultilevel"/>
    <w:tmpl w:val="B7A2645E"/>
    <w:lvl w:ilvl="0" w:tplc="04B85A6A">
      <w:numFmt w:val="bullet"/>
      <w:lvlText w:val="-"/>
      <w:lvlJc w:val="left"/>
      <w:pPr>
        <w:ind w:left="778" w:hanging="360"/>
      </w:pPr>
      <w:rPr>
        <w:rFonts w:ascii="Arial" w:eastAsia="Calibri" w:hAnsi="Arial" w:cs="Arial" w:hint="default"/>
      </w:rPr>
    </w:lvl>
    <w:lvl w:ilvl="1" w:tplc="040C0003">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105" w15:restartNumberingAfterBreak="0">
    <w:nsid w:val="3ED07648"/>
    <w:multiLevelType w:val="hybridMultilevel"/>
    <w:tmpl w:val="00367B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3F3473FE"/>
    <w:multiLevelType w:val="hybridMultilevel"/>
    <w:tmpl w:val="757EF1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403455BC"/>
    <w:multiLevelType w:val="multilevel"/>
    <w:tmpl w:val="2A2AF62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8" w15:restartNumberingAfterBreak="0">
    <w:nsid w:val="40E27299"/>
    <w:multiLevelType w:val="hybridMultilevel"/>
    <w:tmpl w:val="99E680E2"/>
    <w:lvl w:ilvl="0" w:tplc="976EDEAA">
      <w:start w:val="1"/>
      <w:numFmt w:val="upperLetter"/>
      <w:lvlText w:val="%1."/>
      <w:lvlJc w:val="left"/>
      <w:pPr>
        <w:ind w:left="940" w:hanging="360"/>
      </w:pPr>
      <w:rPr>
        <w:rFonts w:hint="default"/>
      </w:rPr>
    </w:lvl>
    <w:lvl w:ilvl="1" w:tplc="040C0019" w:tentative="1">
      <w:start w:val="1"/>
      <w:numFmt w:val="lowerLetter"/>
      <w:lvlText w:val="%2."/>
      <w:lvlJc w:val="left"/>
      <w:pPr>
        <w:ind w:left="1660" w:hanging="360"/>
      </w:pPr>
    </w:lvl>
    <w:lvl w:ilvl="2" w:tplc="040C001B" w:tentative="1">
      <w:start w:val="1"/>
      <w:numFmt w:val="lowerRoman"/>
      <w:lvlText w:val="%3."/>
      <w:lvlJc w:val="right"/>
      <w:pPr>
        <w:ind w:left="2380" w:hanging="180"/>
      </w:pPr>
    </w:lvl>
    <w:lvl w:ilvl="3" w:tplc="040C000F" w:tentative="1">
      <w:start w:val="1"/>
      <w:numFmt w:val="decimal"/>
      <w:lvlText w:val="%4."/>
      <w:lvlJc w:val="left"/>
      <w:pPr>
        <w:ind w:left="3100" w:hanging="360"/>
      </w:pPr>
    </w:lvl>
    <w:lvl w:ilvl="4" w:tplc="040C0019" w:tentative="1">
      <w:start w:val="1"/>
      <w:numFmt w:val="lowerLetter"/>
      <w:lvlText w:val="%5."/>
      <w:lvlJc w:val="left"/>
      <w:pPr>
        <w:ind w:left="3820" w:hanging="360"/>
      </w:pPr>
    </w:lvl>
    <w:lvl w:ilvl="5" w:tplc="040C001B" w:tentative="1">
      <w:start w:val="1"/>
      <w:numFmt w:val="lowerRoman"/>
      <w:lvlText w:val="%6."/>
      <w:lvlJc w:val="right"/>
      <w:pPr>
        <w:ind w:left="4540" w:hanging="180"/>
      </w:pPr>
    </w:lvl>
    <w:lvl w:ilvl="6" w:tplc="040C000F" w:tentative="1">
      <w:start w:val="1"/>
      <w:numFmt w:val="decimal"/>
      <w:lvlText w:val="%7."/>
      <w:lvlJc w:val="left"/>
      <w:pPr>
        <w:ind w:left="5260" w:hanging="360"/>
      </w:pPr>
    </w:lvl>
    <w:lvl w:ilvl="7" w:tplc="040C0019" w:tentative="1">
      <w:start w:val="1"/>
      <w:numFmt w:val="lowerLetter"/>
      <w:lvlText w:val="%8."/>
      <w:lvlJc w:val="left"/>
      <w:pPr>
        <w:ind w:left="5980" w:hanging="360"/>
      </w:pPr>
    </w:lvl>
    <w:lvl w:ilvl="8" w:tplc="040C001B" w:tentative="1">
      <w:start w:val="1"/>
      <w:numFmt w:val="lowerRoman"/>
      <w:lvlText w:val="%9."/>
      <w:lvlJc w:val="right"/>
      <w:pPr>
        <w:ind w:left="6700" w:hanging="180"/>
      </w:pPr>
    </w:lvl>
  </w:abstractNum>
  <w:abstractNum w:abstractNumId="109" w15:restartNumberingAfterBreak="0">
    <w:nsid w:val="41B6276E"/>
    <w:multiLevelType w:val="hybridMultilevel"/>
    <w:tmpl w:val="CE66985E"/>
    <w:lvl w:ilvl="0" w:tplc="04B85A6A">
      <w:numFmt w:val="bullet"/>
      <w:lvlText w:val="-"/>
      <w:lvlJc w:val="left"/>
      <w:pPr>
        <w:ind w:left="778" w:hanging="360"/>
      </w:pPr>
      <w:rPr>
        <w:rFonts w:ascii="Arial" w:eastAsia="Calibri" w:hAnsi="Arial" w:cs="Arial" w:hint="default"/>
      </w:rPr>
    </w:lvl>
    <w:lvl w:ilvl="1" w:tplc="040C0003">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110" w15:restartNumberingAfterBreak="0">
    <w:nsid w:val="426C7BC8"/>
    <w:multiLevelType w:val="hybridMultilevel"/>
    <w:tmpl w:val="0608D0DA"/>
    <w:lvl w:ilvl="0" w:tplc="04B85A6A">
      <w:numFmt w:val="bullet"/>
      <w:lvlText w:val="-"/>
      <w:lvlJc w:val="left"/>
      <w:pPr>
        <w:ind w:left="778" w:hanging="360"/>
      </w:pPr>
      <w:rPr>
        <w:rFonts w:ascii="Arial" w:eastAsia="Calibri" w:hAnsi="Arial" w:cs="Arial" w:hint="default"/>
      </w:rPr>
    </w:lvl>
    <w:lvl w:ilvl="1" w:tplc="040C0003">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111" w15:restartNumberingAfterBreak="0">
    <w:nsid w:val="42C94EBF"/>
    <w:multiLevelType w:val="hybridMultilevel"/>
    <w:tmpl w:val="7D300754"/>
    <w:lvl w:ilvl="0" w:tplc="7A36D21A">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43530B5C"/>
    <w:multiLevelType w:val="multilevel"/>
    <w:tmpl w:val="85AC93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3" w15:restartNumberingAfterBreak="0">
    <w:nsid w:val="44523003"/>
    <w:multiLevelType w:val="hybridMultilevel"/>
    <w:tmpl w:val="55DE8198"/>
    <w:lvl w:ilvl="0" w:tplc="BAF28106">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44A64B0E"/>
    <w:multiLevelType w:val="hybridMultilevel"/>
    <w:tmpl w:val="A98624A2"/>
    <w:lvl w:ilvl="0" w:tplc="00120BD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45051215"/>
    <w:multiLevelType w:val="hybridMultilevel"/>
    <w:tmpl w:val="ABAA04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45A47208"/>
    <w:multiLevelType w:val="hybridMultilevel"/>
    <w:tmpl w:val="DCC2BC7E"/>
    <w:lvl w:ilvl="0" w:tplc="04B85A6A">
      <w:numFmt w:val="bullet"/>
      <w:lvlText w:val="-"/>
      <w:lvlJc w:val="left"/>
      <w:pPr>
        <w:ind w:left="778" w:hanging="360"/>
      </w:pPr>
      <w:rPr>
        <w:rFonts w:ascii="Arial" w:eastAsia="Calibri" w:hAnsi="Arial" w:cs="Arial" w:hint="default"/>
      </w:rPr>
    </w:lvl>
    <w:lvl w:ilvl="1" w:tplc="040C0003">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117" w15:restartNumberingAfterBreak="0">
    <w:nsid w:val="46086E90"/>
    <w:multiLevelType w:val="multilevel"/>
    <w:tmpl w:val="C10C7A20"/>
    <w:lvl w:ilvl="0">
      <w:start w:val="1"/>
      <w:numFmt w:val="bullet"/>
      <w:lvlText w:val=""/>
      <w:lvlJc w:val="left"/>
      <w:pPr>
        <w:tabs>
          <w:tab w:val="num" w:pos="0"/>
        </w:tabs>
        <w:ind w:left="0" w:firstLine="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18" w15:restartNumberingAfterBreak="0">
    <w:nsid w:val="464A51CB"/>
    <w:multiLevelType w:val="multilevel"/>
    <w:tmpl w:val="2152BCF2"/>
    <w:lvl w:ilvl="0">
      <w:start w:val="1"/>
      <w:numFmt w:val="upperRoman"/>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9" w15:restartNumberingAfterBreak="0">
    <w:nsid w:val="469C0E17"/>
    <w:multiLevelType w:val="hybridMultilevel"/>
    <w:tmpl w:val="51C699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46A30F7A"/>
    <w:multiLevelType w:val="hybridMultilevel"/>
    <w:tmpl w:val="C21C59D2"/>
    <w:lvl w:ilvl="0" w:tplc="78EA19F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472C319D"/>
    <w:multiLevelType w:val="hybridMultilevel"/>
    <w:tmpl w:val="0A387C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7415D9E"/>
    <w:multiLevelType w:val="hybridMultilevel"/>
    <w:tmpl w:val="86480EF8"/>
    <w:lvl w:ilvl="0" w:tplc="04090009">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3" w15:restartNumberingAfterBreak="0">
    <w:nsid w:val="475F51F6"/>
    <w:multiLevelType w:val="multilevel"/>
    <w:tmpl w:val="28083E52"/>
    <w:lvl w:ilvl="0">
      <w:start w:val="1"/>
      <w:numFmt w:val="upperRoman"/>
      <w:lvlText w:val="%1."/>
      <w:lvlJc w:val="right"/>
      <w:pPr>
        <w:tabs>
          <w:tab w:val="num" w:pos="0"/>
        </w:tabs>
        <w:ind w:left="144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4" w15:restartNumberingAfterBreak="0">
    <w:nsid w:val="47C176F6"/>
    <w:multiLevelType w:val="multilevel"/>
    <w:tmpl w:val="074097D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5" w15:restartNumberingAfterBreak="0">
    <w:nsid w:val="47FF555C"/>
    <w:multiLevelType w:val="multilevel"/>
    <w:tmpl w:val="016022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6" w15:restartNumberingAfterBreak="0">
    <w:nsid w:val="480D4F6F"/>
    <w:multiLevelType w:val="hybridMultilevel"/>
    <w:tmpl w:val="5804E3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8B103F5"/>
    <w:multiLevelType w:val="multilevel"/>
    <w:tmpl w:val="F5263CAA"/>
    <w:lvl w:ilvl="0">
      <w:numFmt w:val="bullet"/>
      <w:lvlText w:val="-"/>
      <w:lvlJc w:val="left"/>
      <w:pPr>
        <w:tabs>
          <w:tab w:val="num" w:pos="0"/>
        </w:tabs>
        <w:ind w:left="720" w:hanging="360"/>
      </w:pPr>
      <w:rPr>
        <w:rFonts w:ascii="Arial Narrow" w:hAnsi="Arial Narrow" w:cs="Arial Narro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8" w15:restartNumberingAfterBreak="0">
    <w:nsid w:val="48C45D47"/>
    <w:multiLevelType w:val="multilevel"/>
    <w:tmpl w:val="619282AC"/>
    <w:lvl w:ilvl="0">
      <w:start w:val="18"/>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9" w15:restartNumberingAfterBreak="0">
    <w:nsid w:val="48E4128C"/>
    <w:multiLevelType w:val="hybridMultilevel"/>
    <w:tmpl w:val="9350E2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499816C7"/>
    <w:multiLevelType w:val="multilevel"/>
    <w:tmpl w:val="F87443C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1" w15:restartNumberingAfterBreak="0">
    <w:nsid w:val="4A445EEA"/>
    <w:multiLevelType w:val="hybridMultilevel"/>
    <w:tmpl w:val="185CC88A"/>
    <w:lvl w:ilvl="0" w:tplc="04B85A6A">
      <w:numFmt w:val="bullet"/>
      <w:lvlText w:val="-"/>
      <w:lvlJc w:val="left"/>
      <w:pPr>
        <w:ind w:left="778" w:hanging="360"/>
      </w:pPr>
      <w:rPr>
        <w:rFonts w:ascii="Arial" w:eastAsia="Calibri" w:hAnsi="Arial" w:cs="Arial" w:hint="default"/>
      </w:rPr>
    </w:lvl>
    <w:lvl w:ilvl="1" w:tplc="040C0003">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132" w15:restartNumberingAfterBreak="0">
    <w:nsid w:val="4A613BDB"/>
    <w:multiLevelType w:val="hybridMultilevel"/>
    <w:tmpl w:val="F726EDC4"/>
    <w:lvl w:ilvl="0" w:tplc="04B85A6A">
      <w:numFmt w:val="bullet"/>
      <w:lvlText w:val="-"/>
      <w:lvlJc w:val="left"/>
      <w:pPr>
        <w:ind w:left="778" w:hanging="360"/>
      </w:pPr>
      <w:rPr>
        <w:rFonts w:ascii="Arial" w:eastAsia="Calibri" w:hAnsi="Arial" w:cs="Arial" w:hint="default"/>
      </w:rPr>
    </w:lvl>
    <w:lvl w:ilvl="1" w:tplc="040C0003">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133" w15:restartNumberingAfterBreak="0">
    <w:nsid w:val="4C2F5C13"/>
    <w:multiLevelType w:val="multilevel"/>
    <w:tmpl w:val="20D62C8A"/>
    <w:lvl w:ilvl="0">
      <w:start w:val="18"/>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4" w15:restartNumberingAfterBreak="0">
    <w:nsid w:val="4CAF1928"/>
    <w:multiLevelType w:val="multilevel"/>
    <w:tmpl w:val="830259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5" w15:restartNumberingAfterBreak="0">
    <w:nsid w:val="4D4D4EF8"/>
    <w:multiLevelType w:val="hybridMultilevel"/>
    <w:tmpl w:val="3AFEB02A"/>
    <w:lvl w:ilvl="0" w:tplc="2000000B">
      <w:start w:val="1"/>
      <w:numFmt w:val="bullet"/>
      <w:lvlText w:val=""/>
      <w:lvlJc w:val="left"/>
      <w:pPr>
        <w:ind w:left="720" w:hanging="360"/>
      </w:pPr>
      <w:rPr>
        <w:rFonts w:ascii="Wingdings" w:hAnsi="Wingdings" w:hint="default"/>
        <w:b/>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36" w15:restartNumberingAfterBreak="0">
    <w:nsid w:val="4D852172"/>
    <w:multiLevelType w:val="multilevel"/>
    <w:tmpl w:val="897CC3A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7" w15:restartNumberingAfterBreak="0">
    <w:nsid w:val="4E153F6C"/>
    <w:multiLevelType w:val="multilevel"/>
    <w:tmpl w:val="B0E283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8" w15:restartNumberingAfterBreak="0">
    <w:nsid w:val="4E8E73A9"/>
    <w:multiLevelType w:val="multilevel"/>
    <w:tmpl w:val="D1262EA8"/>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9" w15:restartNumberingAfterBreak="0">
    <w:nsid w:val="4EAE290E"/>
    <w:multiLevelType w:val="hybridMultilevel"/>
    <w:tmpl w:val="3496D534"/>
    <w:lvl w:ilvl="0" w:tplc="1A6CE54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0" w15:restartNumberingAfterBreak="0">
    <w:nsid w:val="4FD30801"/>
    <w:multiLevelType w:val="multilevel"/>
    <w:tmpl w:val="58AE7AD6"/>
    <w:lvl w:ilvl="0">
      <w:start w:val="1"/>
      <w:numFmt w:val="low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1" w15:restartNumberingAfterBreak="0">
    <w:nsid w:val="50063A09"/>
    <w:multiLevelType w:val="hybridMultilevel"/>
    <w:tmpl w:val="3D8EEAFC"/>
    <w:lvl w:ilvl="0" w:tplc="927628DC">
      <w:start w:val="1"/>
      <w:numFmt w:val="bullet"/>
      <w:lvlText w:val="-"/>
      <w:lvlJc w:val="left"/>
      <w:pPr>
        <w:ind w:left="641" w:hanging="360"/>
      </w:pPr>
      <w:rPr>
        <w:rFonts w:ascii="Times New Roman" w:hAnsi="Times New Roman" w:cs="Times New Roman" w:hint="default"/>
      </w:rPr>
    </w:lvl>
    <w:lvl w:ilvl="1" w:tplc="04090003" w:tentative="1">
      <w:start w:val="1"/>
      <w:numFmt w:val="bullet"/>
      <w:lvlText w:val="o"/>
      <w:lvlJc w:val="left"/>
      <w:pPr>
        <w:ind w:left="1361" w:hanging="360"/>
      </w:pPr>
      <w:rPr>
        <w:rFonts w:ascii="Courier New" w:hAnsi="Courier New" w:cs="Courier New" w:hint="default"/>
      </w:rPr>
    </w:lvl>
    <w:lvl w:ilvl="2" w:tplc="04090005" w:tentative="1">
      <w:start w:val="1"/>
      <w:numFmt w:val="bullet"/>
      <w:lvlText w:val=""/>
      <w:lvlJc w:val="left"/>
      <w:pPr>
        <w:ind w:left="2081" w:hanging="360"/>
      </w:pPr>
      <w:rPr>
        <w:rFonts w:ascii="Wingdings" w:hAnsi="Wingdings" w:hint="default"/>
      </w:rPr>
    </w:lvl>
    <w:lvl w:ilvl="3" w:tplc="04090001" w:tentative="1">
      <w:start w:val="1"/>
      <w:numFmt w:val="bullet"/>
      <w:lvlText w:val=""/>
      <w:lvlJc w:val="left"/>
      <w:pPr>
        <w:ind w:left="2801" w:hanging="360"/>
      </w:pPr>
      <w:rPr>
        <w:rFonts w:ascii="Symbol" w:hAnsi="Symbol" w:hint="default"/>
      </w:rPr>
    </w:lvl>
    <w:lvl w:ilvl="4" w:tplc="04090003" w:tentative="1">
      <w:start w:val="1"/>
      <w:numFmt w:val="bullet"/>
      <w:lvlText w:val="o"/>
      <w:lvlJc w:val="left"/>
      <w:pPr>
        <w:ind w:left="3521" w:hanging="360"/>
      </w:pPr>
      <w:rPr>
        <w:rFonts w:ascii="Courier New" w:hAnsi="Courier New" w:cs="Courier New" w:hint="default"/>
      </w:rPr>
    </w:lvl>
    <w:lvl w:ilvl="5" w:tplc="04090005" w:tentative="1">
      <w:start w:val="1"/>
      <w:numFmt w:val="bullet"/>
      <w:lvlText w:val=""/>
      <w:lvlJc w:val="left"/>
      <w:pPr>
        <w:ind w:left="4241" w:hanging="360"/>
      </w:pPr>
      <w:rPr>
        <w:rFonts w:ascii="Wingdings" w:hAnsi="Wingdings" w:hint="default"/>
      </w:rPr>
    </w:lvl>
    <w:lvl w:ilvl="6" w:tplc="04090001" w:tentative="1">
      <w:start w:val="1"/>
      <w:numFmt w:val="bullet"/>
      <w:lvlText w:val=""/>
      <w:lvlJc w:val="left"/>
      <w:pPr>
        <w:ind w:left="4961" w:hanging="360"/>
      </w:pPr>
      <w:rPr>
        <w:rFonts w:ascii="Symbol" w:hAnsi="Symbol" w:hint="default"/>
      </w:rPr>
    </w:lvl>
    <w:lvl w:ilvl="7" w:tplc="04090003" w:tentative="1">
      <w:start w:val="1"/>
      <w:numFmt w:val="bullet"/>
      <w:lvlText w:val="o"/>
      <w:lvlJc w:val="left"/>
      <w:pPr>
        <w:ind w:left="5681" w:hanging="360"/>
      </w:pPr>
      <w:rPr>
        <w:rFonts w:ascii="Courier New" w:hAnsi="Courier New" w:cs="Courier New" w:hint="default"/>
      </w:rPr>
    </w:lvl>
    <w:lvl w:ilvl="8" w:tplc="04090005" w:tentative="1">
      <w:start w:val="1"/>
      <w:numFmt w:val="bullet"/>
      <w:lvlText w:val=""/>
      <w:lvlJc w:val="left"/>
      <w:pPr>
        <w:ind w:left="6401" w:hanging="360"/>
      </w:pPr>
      <w:rPr>
        <w:rFonts w:ascii="Wingdings" w:hAnsi="Wingdings" w:hint="default"/>
      </w:rPr>
    </w:lvl>
  </w:abstractNum>
  <w:abstractNum w:abstractNumId="142" w15:restartNumberingAfterBreak="0">
    <w:nsid w:val="506E5372"/>
    <w:multiLevelType w:val="hybridMultilevel"/>
    <w:tmpl w:val="F2F441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0E5245A"/>
    <w:multiLevelType w:val="hybridMultilevel"/>
    <w:tmpl w:val="F0020496"/>
    <w:lvl w:ilvl="0" w:tplc="0E960670">
      <w:start w:val="1"/>
      <w:numFmt w:val="bullet"/>
      <w:lvlText w:val=""/>
      <w:lvlJc w:val="left"/>
      <w:pPr>
        <w:ind w:left="720" w:hanging="360"/>
      </w:pPr>
      <w:rPr>
        <w:rFonts w:ascii="Symbol" w:hAnsi="Symbol" w:hint="default"/>
      </w:rPr>
    </w:lvl>
    <w:lvl w:ilvl="1" w:tplc="625002DE">
      <w:start w:val="1"/>
      <w:numFmt w:val="bullet"/>
      <w:lvlText w:val="o"/>
      <w:lvlJc w:val="left"/>
      <w:pPr>
        <w:ind w:left="1440" w:hanging="360"/>
      </w:pPr>
      <w:rPr>
        <w:rFonts w:ascii="Courier New" w:hAnsi="Courier New" w:cs="Courier New" w:hint="default"/>
      </w:rPr>
    </w:lvl>
    <w:lvl w:ilvl="2" w:tplc="76CA8788" w:tentative="1">
      <w:start w:val="1"/>
      <w:numFmt w:val="bullet"/>
      <w:lvlText w:val=""/>
      <w:lvlJc w:val="left"/>
      <w:pPr>
        <w:ind w:left="2160" w:hanging="360"/>
      </w:pPr>
      <w:rPr>
        <w:rFonts w:ascii="Wingdings" w:hAnsi="Wingdings" w:hint="default"/>
      </w:rPr>
    </w:lvl>
    <w:lvl w:ilvl="3" w:tplc="0B1CB6EA" w:tentative="1">
      <w:start w:val="1"/>
      <w:numFmt w:val="bullet"/>
      <w:lvlText w:val=""/>
      <w:lvlJc w:val="left"/>
      <w:pPr>
        <w:ind w:left="2880" w:hanging="360"/>
      </w:pPr>
      <w:rPr>
        <w:rFonts w:ascii="Symbol" w:hAnsi="Symbol" w:hint="default"/>
      </w:rPr>
    </w:lvl>
    <w:lvl w:ilvl="4" w:tplc="9C563484" w:tentative="1">
      <w:start w:val="1"/>
      <w:numFmt w:val="bullet"/>
      <w:lvlText w:val="o"/>
      <w:lvlJc w:val="left"/>
      <w:pPr>
        <w:ind w:left="3600" w:hanging="360"/>
      </w:pPr>
      <w:rPr>
        <w:rFonts w:ascii="Courier New" w:hAnsi="Courier New" w:cs="Courier New" w:hint="default"/>
      </w:rPr>
    </w:lvl>
    <w:lvl w:ilvl="5" w:tplc="32B0E734" w:tentative="1">
      <w:start w:val="1"/>
      <w:numFmt w:val="bullet"/>
      <w:lvlText w:val=""/>
      <w:lvlJc w:val="left"/>
      <w:pPr>
        <w:ind w:left="4320" w:hanging="360"/>
      </w:pPr>
      <w:rPr>
        <w:rFonts w:ascii="Wingdings" w:hAnsi="Wingdings" w:hint="default"/>
      </w:rPr>
    </w:lvl>
    <w:lvl w:ilvl="6" w:tplc="5DD8AB36" w:tentative="1">
      <w:start w:val="1"/>
      <w:numFmt w:val="bullet"/>
      <w:lvlText w:val=""/>
      <w:lvlJc w:val="left"/>
      <w:pPr>
        <w:ind w:left="5040" w:hanging="360"/>
      </w:pPr>
      <w:rPr>
        <w:rFonts w:ascii="Symbol" w:hAnsi="Symbol" w:hint="default"/>
      </w:rPr>
    </w:lvl>
    <w:lvl w:ilvl="7" w:tplc="DAF0BABA" w:tentative="1">
      <w:start w:val="1"/>
      <w:numFmt w:val="bullet"/>
      <w:lvlText w:val="o"/>
      <w:lvlJc w:val="left"/>
      <w:pPr>
        <w:ind w:left="5760" w:hanging="360"/>
      </w:pPr>
      <w:rPr>
        <w:rFonts w:ascii="Courier New" w:hAnsi="Courier New" w:cs="Courier New" w:hint="default"/>
      </w:rPr>
    </w:lvl>
    <w:lvl w:ilvl="8" w:tplc="E806F372" w:tentative="1">
      <w:start w:val="1"/>
      <w:numFmt w:val="bullet"/>
      <w:lvlText w:val=""/>
      <w:lvlJc w:val="left"/>
      <w:pPr>
        <w:ind w:left="6480" w:hanging="360"/>
      </w:pPr>
      <w:rPr>
        <w:rFonts w:ascii="Wingdings" w:hAnsi="Wingdings" w:hint="default"/>
      </w:rPr>
    </w:lvl>
  </w:abstractNum>
  <w:abstractNum w:abstractNumId="144" w15:restartNumberingAfterBreak="0">
    <w:nsid w:val="51F91649"/>
    <w:multiLevelType w:val="multilevel"/>
    <w:tmpl w:val="10644F6C"/>
    <w:lvl w:ilvl="0">
      <w:start w:val="2"/>
      <w:numFmt w:val="decimal"/>
      <w:lvlText w:val="%1."/>
      <w:lvlJc w:val="left"/>
      <w:rPr>
        <w:rFonts w:cs="Times New Roman" w:hint="default"/>
        <w:sz w:val="24"/>
      </w:rPr>
    </w:lvl>
    <w:lvl w:ilvl="1">
      <w:start w:val="3"/>
      <w:numFmt w:val="decimal"/>
      <w:lvlText w:val="%1.%2."/>
      <w:lvlJc w:val="left"/>
      <w:rPr>
        <w:rFonts w:cs="Times New Roman" w:hint="default"/>
        <w:sz w:val="24"/>
      </w:rPr>
    </w:lvl>
    <w:lvl w:ilvl="2">
      <w:start w:val="1"/>
      <w:numFmt w:val="decimal"/>
      <w:pStyle w:val="TITRE3CGE"/>
      <w:lvlText w:val="%1.%2.%3."/>
      <w:lvlJc w:val="left"/>
      <w:rPr>
        <w:rFonts w:cs="Times New Roman" w:hint="default"/>
        <w:color w:val="FF0000"/>
        <w:sz w:val="24"/>
      </w:rPr>
    </w:lvl>
    <w:lvl w:ilvl="3">
      <w:start w:val="1"/>
      <w:numFmt w:val="decimal"/>
      <w:lvlText w:val="%1.%2.%3.%4."/>
      <w:lvlJc w:val="left"/>
      <w:rPr>
        <w:rFonts w:cs="Times New Roman" w:hint="default"/>
        <w:sz w:val="24"/>
      </w:rPr>
    </w:lvl>
    <w:lvl w:ilvl="4">
      <w:start w:val="1"/>
      <w:numFmt w:val="decimal"/>
      <w:lvlText w:val="%1.%2.%3.%4.%5."/>
      <w:lvlJc w:val="left"/>
      <w:rPr>
        <w:rFonts w:cs="Times New Roman" w:hint="default"/>
        <w:sz w:val="24"/>
      </w:rPr>
    </w:lvl>
    <w:lvl w:ilvl="5">
      <w:start w:val="1"/>
      <w:numFmt w:val="decimal"/>
      <w:lvlText w:val="%1.%2.%3.%4.%5.%6."/>
      <w:lvlJc w:val="left"/>
      <w:rPr>
        <w:rFonts w:cs="Times New Roman" w:hint="default"/>
        <w:sz w:val="24"/>
      </w:rPr>
    </w:lvl>
    <w:lvl w:ilvl="6">
      <w:start w:val="1"/>
      <w:numFmt w:val="decimal"/>
      <w:lvlText w:val="%1.%2.%3.%4.%5.%6.%7."/>
      <w:lvlJc w:val="left"/>
      <w:rPr>
        <w:rFonts w:cs="Times New Roman" w:hint="default"/>
        <w:sz w:val="24"/>
      </w:rPr>
    </w:lvl>
    <w:lvl w:ilvl="7">
      <w:start w:val="1"/>
      <w:numFmt w:val="decimal"/>
      <w:lvlText w:val="%1.%2.%3.%4.%5.%6.%7.%8."/>
      <w:lvlJc w:val="left"/>
      <w:rPr>
        <w:rFonts w:cs="Times New Roman" w:hint="default"/>
        <w:sz w:val="24"/>
      </w:rPr>
    </w:lvl>
    <w:lvl w:ilvl="8">
      <w:start w:val="1"/>
      <w:numFmt w:val="decimal"/>
      <w:lvlText w:val="%1.%2.%3.%4.%5.%6.%7.%8.%9."/>
      <w:lvlJc w:val="left"/>
      <w:rPr>
        <w:rFonts w:cs="Times New Roman" w:hint="default"/>
        <w:sz w:val="24"/>
      </w:rPr>
    </w:lvl>
  </w:abstractNum>
  <w:abstractNum w:abstractNumId="145" w15:restartNumberingAfterBreak="0">
    <w:nsid w:val="52A67905"/>
    <w:multiLevelType w:val="hybridMultilevel"/>
    <w:tmpl w:val="036EDAC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6" w15:restartNumberingAfterBreak="0">
    <w:nsid w:val="5327363F"/>
    <w:multiLevelType w:val="hybridMultilevel"/>
    <w:tmpl w:val="953EF7FE"/>
    <w:lvl w:ilvl="0" w:tplc="00120BDA">
      <w:numFmt w:val="bullet"/>
      <w:lvlText w:val="-"/>
      <w:lvlJc w:val="left"/>
      <w:pPr>
        <w:ind w:left="68" w:hanging="104"/>
      </w:pPr>
      <w:rPr>
        <w:rFonts w:ascii="Times New Roman" w:eastAsia="Times New Roman" w:hAnsi="Times New Roman" w:cs="Times New Roman" w:hint="default"/>
        <w:w w:val="99"/>
        <w:sz w:val="20"/>
        <w:szCs w:val="20"/>
        <w:lang w:val="fr-FR" w:eastAsia="en-US" w:bidi="ar-SA"/>
      </w:rPr>
    </w:lvl>
    <w:lvl w:ilvl="1" w:tplc="040C0003">
      <w:numFmt w:val="bullet"/>
      <w:lvlText w:val="•"/>
      <w:lvlJc w:val="left"/>
      <w:pPr>
        <w:ind w:left="474" w:hanging="104"/>
      </w:pPr>
      <w:rPr>
        <w:rFonts w:hint="default"/>
        <w:lang w:val="fr-FR" w:eastAsia="en-US" w:bidi="ar-SA"/>
      </w:rPr>
    </w:lvl>
    <w:lvl w:ilvl="2" w:tplc="040C0005">
      <w:numFmt w:val="bullet"/>
      <w:lvlText w:val="•"/>
      <w:lvlJc w:val="left"/>
      <w:pPr>
        <w:ind w:left="888" w:hanging="104"/>
      </w:pPr>
      <w:rPr>
        <w:rFonts w:hint="default"/>
        <w:lang w:val="fr-FR" w:eastAsia="en-US" w:bidi="ar-SA"/>
      </w:rPr>
    </w:lvl>
    <w:lvl w:ilvl="3" w:tplc="040C0001">
      <w:numFmt w:val="bullet"/>
      <w:lvlText w:val="•"/>
      <w:lvlJc w:val="left"/>
      <w:pPr>
        <w:ind w:left="1302" w:hanging="104"/>
      </w:pPr>
      <w:rPr>
        <w:rFonts w:hint="default"/>
        <w:lang w:val="fr-FR" w:eastAsia="en-US" w:bidi="ar-SA"/>
      </w:rPr>
    </w:lvl>
    <w:lvl w:ilvl="4" w:tplc="040C0003">
      <w:numFmt w:val="bullet"/>
      <w:lvlText w:val="•"/>
      <w:lvlJc w:val="left"/>
      <w:pPr>
        <w:ind w:left="1716" w:hanging="104"/>
      </w:pPr>
      <w:rPr>
        <w:rFonts w:hint="default"/>
        <w:lang w:val="fr-FR" w:eastAsia="en-US" w:bidi="ar-SA"/>
      </w:rPr>
    </w:lvl>
    <w:lvl w:ilvl="5" w:tplc="040C0005">
      <w:numFmt w:val="bullet"/>
      <w:lvlText w:val="•"/>
      <w:lvlJc w:val="left"/>
      <w:pPr>
        <w:ind w:left="2130" w:hanging="104"/>
      </w:pPr>
      <w:rPr>
        <w:rFonts w:hint="default"/>
        <w:lang w:val="fr-FR" w:eastAsia="en-US" w:bidi="ar-SA"/>
      </w:rPr>
    </w:lvl>
    <w:lvl w:ilvl="6" w:tplc="040C0001">
      <w:numFmt w:val="bullet"/>
      <w:lvlText w:val="•"/>
      <w:lvlJc w:val="left"/>
      <w:pPr>
        <w:ind w:left="2544" w:hanging="104"/>
      </w:pPr>
      <w:rPr>
        <w:rFonts w:hint="default"/>
        <w:lang w:val="fr-FR" w:eastAsia="en-US" w:bidi="ar-SA"/>
      </w:rPr>
    </w:lvl>
    <w:lvl w:ilvl="7" w:tplc="040C0003">
      <w:numFmt w:val="bullet"/>
      <w:lvlText w:val="•"/>
      <w:lvlJc w:val="left"/>
      <w:pPr>
        <w:ind w:left="2958" w:hanging="104"/>
      </w:pPr>
      <w:rPr>
        <w:rFonts w:hint="default"/>
        <w:lang w:val="fr-FR" w:eastAsia="en-US" w:bidi="ar-SA"/>
      </w:rPr>
    </w:lvl>
    <w:lvl w:ilvl="8" w:tplc="040C0005">
      <w:numFmt w:val="bullet"/>
      <w:lvlText w:val="•"/>
      <w:lvlJc w:val="left"/>
      <w:pPr>
        <w:ind w:left="3372" w:hanging="104"/>
      </w:pPr>
      <w:rPr>
        <w:rFonts w:hint="default"/>
        <w:lang w:val="fr-FR" w:eastAsia="en-US" w:bidi="ar-SA"/>
      </w:rPr>
    </w:lvl>
  </w:abstractNum>
  <w:abstractNum w:abstractNumId="147" w15:restartNumberingAfterBreak="0">
    <w:nsid w:val="532B6E43"/>
    <w:multiLevelType w:val="hybridMultilevel"/>
    <w:tmpl w:val="FBBCE5C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8" w15:restartNumberingAfterBreak="0">
    <w:nsid w:val="535767CB"/>
    <w:multiLevelType w:val="hybridMultilevel"/>
    <w:tmpl w:val="D93420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537D360B"/>
    <w:multiLevelType w:val="multilevel"/>
    <w:tmpl w:val="F8F46E5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50" w15:restartNumberingAfterBreak="0">
    <w:nsid w:val="54965398"/>
    <w:multiLevelType w:val="hybridMultilevel"/>
    <w:tmpl w:val="90C8D58E"/>
    <w:lvl w:ilvl="0" w:tplc="3CF63D26">
      <w:start w:val="6"/>
      <w:numFmt w:val="bullet"/>
      <w:lvlText w:val="-"/>
      <w:lvlJc w:val="left"/>
      <w:pPr>
        <w:ind w:left="720" w:hanging="360"/>
      </w:pPr>
      <w:rPr>
        <w:rFonts w:ascii="Times New Roman" w:hAnsi="Times New Roman" w:cs="Times New Roman" w:hint="default"/>
        <w:b w:val="0"/>
        <w:i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5502039A"/>
    <w:multiLevelType w:val="hybridMultilevel"/>
    <w:tmpl w:val="A270531A"/>
    <w:lvl w:ilvl="0" w:tplc="04B85A6A">
      <w:numFmt w:val="bullet"/>
      <w:lvlText w:val="-"/>
      <w:lvlJc w:val="left"/>
      <w:pPr>
        <w:ind w:left="778" w:hanging="360"/>
      </w:pPr>
      <w:rPr>
        <w:rFonts w:ascii="Arial" w:eastAsia="Calibri" w:hAnsi="Arial" w:cs="Arial" w:hint="default"/>
      </w:rPr>
    </w:lvl>
    <w:lvl w:ilvl="1" w:tplc="040C0003">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152" w15:restartNumberingAfterBreak="0">
    <w:nsid w:val="553220FC"/>
    <w:multiLevelType w:val="hybridMultilevel"/>
    <w:tmpl w:val="FF7015B8"/>
    <w:lvl w:ilvl="0" w:tplc="BE66FCF6">
      <w:numFmt w:val="bullet"/>
      <w:lvlText w:val="-"/>
      <w:lvlJc w:val="left"/>
      <w:pPr>
        <w:ind w:left="1068" w:hanging="360"/>
      </w:pPr>
      <w:rPr>
        <w:rFonts w:ascii="Arial" w:eastAsia="Arial" w:hAnsi="Arial" w:cs="Arial" w:hint="default"/>
        <w:w w:val="100"/>
        <w:sz w:val="22"/>
        <w:szCs w:val="22"/>
        <w:lang w:val="fr-FR" w:eastAsia="en-US" w:bidi="ar-SA"/>
      </w:rPr>
    </w:lvl>
    <w:lvl w:ilvl="1" w:tplc="2000000D">
      <w:start w:val="1"/>
      <w:numFmt w:val="bullet"/>
      <w:lvlText w:val=""/>
      <w:lvlJc w:val="left"/>
      <w:pPr>
        <w:ind w:left="1788" w:hanging="360"/>
      </w:pPr>
      <w:rPr>
        <w:rFonts w:ascii="Wingdings" w:hAnsi="Wingdings"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153" w15:restartNumberingAfterBreak="0">
    <w:nsid w:val="55A440A7"/>
    <w:multiLevelType w:val="hybridMultilevel"/>
    <w:tmpl w:val="0CB263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56ED0F4A"/>
    <w:multiLevelType w:val="multilevel"/>
    <w:tmpl w:val="57C6CD82"/>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5" w15:restartNumberingAfterBreak="0">
    <w:nsid w:val="573F4B5F"/>
    <w:multiLevelType w:val="multilevel"/>
    <w:tmpl w:val="A344052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6" w15:restartNumberingAfterBreak="0">
    <w:nsid w:val="58033C7F"/>
    <w:multiLevelType w:val="hybridMultilevel"/>
    <w:tmpl w:val="1C204A68"/>
    <w:lvl w:ilvl="0" w:tplc="BAF28106">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15:restartNumberingAfterBreak="0">
    <w:nsid w:val="58C25154"/>
    <w:multiLevelType w:val="hybridMultilevel"/>
    <w:tmpl w:val="A78C32EA"/>
    <w:lvl w:ilvl="0" w:tplc="3CF63D26">
      <w:start w:val="6"/>
      <w:numFmt w:val="bullet"/>
      <w:lvlText w:val="-"/>
      <w:lvlJc w:val="left"/>
      <w:pPr>
        <w:ind w:left="720" w:hanging="360"/>
      </w:pPr>
      <w:rPr>
        <w:rFonts w:ascii="Times New Roman" w:hAnsi="Times New Roman" w:cs="Times New Roman" w:hint="default"/>
        <w:b w:val="0"/>
        <w:i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15:restartNumberingAfterBreak="0">
    <w:nsid w:val="5AEE157D"/>
    <w:multiLevelType w:val="multilevel"/>
    <w:tmpl w:val="538EF4D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9" w15:restartNumberingAfterBreak="0">
    <w:nsid w:val="5B121AF8"/>
    <w:multiLevelType w:val="multilevel"/>
    <w:tmpl w:val="C9681576"/>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0" w15:restartNumberingAfterBreak="0">
    <w:nsid w:val="5B58792E"/>
    <w:multiLevelType w:val="hybridMultilevel"/>
    <w:tmpl w:val="4CB404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1" w15:restartNumberingAfterBreak="0">
    <w:nsid w:val="5B68622A"/>
    <w:multiLevelType w:val="hybridMultilevel"/>
    <w:tmpl w:val="68F4B4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15:restartNumberingAfterBreak="0">
    <w:nsid w:val="5C015EC0"/>
    <w:multiLevelType w:val="hybridMultilevel"/>
    <w:tmpl w:val="9264709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3" w15:restartNumberingAfterBreak="0">
    <w:nsid w:val="5CD06265"/>
    <w:multiLevelType w:val="hybridMultilevel"/>
    <w:tmpl w:val="190E93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4" w15:restartNumberingAfterBreak="0">
    <w:nsid w:val="5E704409"/>
    <w:multiLevelType w:val="multilevel"/>
    <w:tmpl w:val="7DE2E41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65" w15:restartNumberingAfterBreak="0">
    <w:nsid w:val="5E994FD5"/>
    <w:multiLevelType w:val="multilevel"/>
    <w:tmpl w:val="A8765088"/>
    <w:lvl w:ilvl="0">
      <w:start w:val="1"/>
      <w:numFmt w:val="lowerRoman"/>
      <w:lvlText w:val="%1."/>
      <w:lvlJc w:val="left"/>
      <w:pPr>
        <w:tabs>
          <w:tab w:val="num" w:pos="0"/>
        </w:tabs>
        <w:ind w:left="1080" w:hanging="72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6" w15:restartNumberingAfterBreak="0">
    <w:nsid w:val="5EF81E38"/>
    <w:multiLevelType w:val="hybridMultilevel"/>
    <w:tmpl w:val="5266746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7" w15:restartNumberingAfterBreak="0">
    <w:nsid w:val="5F494D6F"/>
    <w:multiLevelType w:val="hybridMultilevel"/>
    <w:tmpl w:val="DCBA5F3A"/>
    <w:lvl w:ilvl="0" w:tplc="21089EB8">
      <w:numFmt w:val="bullet"/>
      <w:lvlText w:val="-"/>
      <w:lvlJc w:val="left"/>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8" w15:restartNumberingAfterBreak="0">
    <w:nsid w:val="61BE7A8C"/>
    <w:multiLevelType w:val="hybridMultilevel"/>
    <w:tmpl w:val="5324E034"/>
    <w:lvl w:ilvl="0" w:tplc="04B85A6A">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9" w15:restartNumberingAfterBreak="0">
    <w:nsid w:val="62854A7A"/>
    <w:multiLevelType w:val="hybridMultilevel"/>
    <w:tmpl w:val="E2E04848"/>
    <w:lvl w:ilvl="0" w:tplc="927628DC">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0" w15:restartNumberingAfterBreak="0">
    <w:nsid w:val="632004F9"/>
    <w:multiLevelType w:val="hybridMultilevel"/>
    <w:tmpl w:val="D32243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39E712E"/>
    <w:multiLevelType w:val="hybridMultilevel"/>
    <w:tmpl w:val="788C088C"/>
    <w:lvl w:ilvl="0" w:tplc="04B85A6A">
      <w:numFmt w:val="bullet"/>
      <w:lvlText w:val="-"/>
      <w:lvlJc w:val="left"/>
      <w:pPr>
        <w:ind w:left="778" w:hanging="360"/>
      </w:pPr>
      <w:rPr>
        <w:rFonts w:ascii="Arial" w:eastAsia="Calibri" w:hAnsi="Arial" w:cs="Arial" w:hint="default"/>
      </w:rPr>
    </w:lvl>
    <w:lvl w:ilvl="1" w:tplc="040C0003">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172" w15:restartNumberingAfterBreak="0">
    <w:nsid w:val="63EE710A"/>
    <w:multiLevelType w:val="hybridMultilevel"/>
    <w:tmpl w:val="DF92864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3" w15:restartNumberingAfterBreak="0">
    <w:nsid w:val="63EF1986"/>
    <w:multiLevelType w:val="hybridMultilevel"/>
    <w:tmpl w:val="E1E809C0"/>
    <w:lvl w:ilvl="0" w:tplc="F69C5664">
      <w:start w:val="1"/>
      <w:numFmt w:val="bullet"/>
      <w:lvlText w:val=""/>
      <w:lvlJc w:val="left"/>
      <w:pPr>
        <w:ind w:left="720" w:hanging="360"/>
      </w:pPr>
      <w:rPr>
        <w:rFonts w:ascii="Symbol" w:hAnsi="Symbol" w:hint="default"/>
      </w:rPr>
    </w:lvl>
    <w:lvl w:ilvl="1" w:tplc="BFF25114" w:tentative="1">
      <w:start w:val="1"/>
      <w:numFmt w:val="bullet"/>
      <w:lvlText w:val="o"/>
      <w:lvlJc w:val="left"/>
      <w:pPr>
        <w:ind w:left="1440" w:hanging="360"/>
      </w:pPr>
      <w:rPr>
        <w:rFonts w:ascii="Courier New" w:hAnsi="Courier New" w:cs="Courier New" w:hint="default"/>
      </w:rPr>
    </w:lvl>
    <w:lvl w:ilvl="2" w:tplc="BB0AE1D2" w:tentative="1">
      <w:start w:val="1"/>
      <w:numFmt w:val="bullet"/>
      <w:lvlText w:val=""/>
      <w:lvlJc w:val="left"/>
      <w:pPr>
        <w:ind w:left="2160" w:hanging="360"/>
      </w:pPr>
      <w:rPr>
        <w:rFonts w:ascii="Wingdings" w:hAnsi="Wingdings" w:hint="default"/>
      </w:rPr>
    </w:lvl>
    <w:lvl w:ilvl="3" w:tplc="F51E428E" w:tentative="1">
      <w:start w:val="1"/>
      <w:numFmt w:val="bullet"/>
      <w:lvlText w:val=""/>
      <w:lvlJc w:val="left"/>
      <w:pPr>
        <w:ind w:left="2880" w:hanging="360"/>
      </w:pPr>
      <w:rPr>
        <w:rFonts w:ascii="Symbol" w:hAnsi="Symbol" w:hint="default"/>
      </w:rPr>
    </w:lvl>
    <w:lvl w:ilvl="4" w:tplc="BB2E66E0" w:tentative="1">
      <w:start w:val="1"/>
      <w:numFmt w:val="bullet"/>
      <w:lvlText w:val="o"/>
      <w:lvlJc w:val="left"/>
      <w:pPr>
        <w:ind w:left="3600" w:hanging="360"/>
      </w:pPr>
      <w:rPr>
        <w:rFonts w:ascii="Courier New" w:hAnsi="Courier New" w:cs="Courier New" w:hint="default"/>
      </w:rPr>
    </w:lvl>
    <w:lvl w:ilvl="5" w:tplc="0706AC6C" w:tentative="1">
      <w:start w:val="1"/>
      <w:numFmt w:val="bullet"/>
      <w:lvlText w:val=""/>
      <w:lvlJc w:val="left"/>
      <w:pPr>
        <w:ind w:left="4320" w:hanging="360"/>
      </w:pPr>
      <w:rPr>
        <w:rFonts w:ascii="Wingdings" w:hAnsi="Wingdings" w:hint="default"/>
      </w:rPr>
    </w:lvl>
    <w:lvl w:ilvl="6" w:tplc="2CE489AC" w:tentative="1">
      <w:start w:val="1"/>
      <w:numFmt w:val="bullet"/>
      <w:lvlText w:val=""/>
      <w:lvlJc w:val="left"/>
      <w:pPr>
        <w:ind w:left="5040" w:hanging="360"/>
      </w:pPr>
      <w:rPr>
        <w:rFonts w:ascii="Symbol" w:hAnsi="Symbol" w:hint="default"/>
      </w:rPr>
    </w:lvl>
    <w:lvl w:ilvl="7" w:tplc="0EBC89D2" w:tentative="1">
      <w:start w:val="1"/>
      <w:numFmt w:val="bullet"/>
      <w:lvlText w:val="o"/>
      <w:lvlJc w:val="left"/>
      <w:pPr>
        <w:ind w:left="5760" w:hanging="360"/>
      </w:pPr>
      <w:rPr>
        <w:rFonts w:ascii="Courier New" w:hAnsi="Courier New" w:cs="Courier New" w:hint="default"/>
      </w:rPr>
    </w:lvl>
    <w:lvl w:ilvl="8" w:tplc="D498677A" w:tentative="1">
      <w:start w:val="1"/>
      <w:numFmt w:val="bullet"/>
      <w:lvlText w:val=""/>
      <w:lvlJc w:val="left"/>
      <w:pPr>
        <w:ind w:left="6480" w:hanging="360"/>
      </w:pPr>
      <w:rPr>
        <w:rFonts w:ascii="Wingdings" w:hAnsi="Wingdings" w:hint="default"/>
      </w:rPr>
    </w:lvl>
  </w:abstractNum>
  <w:abstractNum w:abstractNumId="174" w15:restartNumberingAfterBreak="0">
    <w:nsid w:val="64100841"/>
    <w:multiLevelType w:val="multilevel"/>
    <w:tmpl w:val="D1A2E90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5" w15:restartNumberingAfterBreak="0">
    <w:nsid w:val="64252EF7"/>
    <w:multiLevelType w:val="multilevel"/>
    <w:tmpl w:val="0BD6623C"/>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76" w15:restartNumberingAfterBreak="0">
    <w:nsid w:val="64845AC7"/>
    <w:multiLevelType w:val="hybridMultilevel"/>
    <w:tmpl w:val="89A875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5B2228B"/>
    <w:multiLevelType w:val="hybridMultilevel"/>
    <w:tmpl w:val="DEDE8B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8" w15:restartNumberingAfterBreak="0">
    <w:nsid w:val="662A194F"/>
    <w:multiLevelType w:val="multilevel"/>
    <w:tmpl w:val="432C4D94"/>
    <w:lvl w:ilvl="0">
      <w:start w:val="1"/>
      <w:numFmt w:val="decimal"/>
      <w:lvlText w:val="%1."/>
      <w:lvlJc w:val="left"/>
      <w:pPr>
        <w:tabs>
          <w:tab w:val="num" w:pos="0"/>
        </w:tabs>
        <w:ind w:left="1080" w:hanging="360"/>
      </w:pPr>
    </w:lvl>
    <w:lvl w:ilvl="1">
      <w:start w:val="1"/>
      <w:numFmt w:val="lowerRoman"/>
      <w:lvlText w:val="%2."/>
      <w:lvlJc w:val="left"/>
      <w:pPr>
        <w:tabs>
          <w:tab w:val="num" w:pos="0"/>
        </w:tabs>
        <w:ind w:left="1800" w:hanging="72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9" w15:restartNumberingAfterBreak="0">
    <w:nsid w:val="66F35444"/>
    <w:multiLevelType w:val="hybridMultilevel"/>
    <w:tmpl w:val="FC528E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0" w15:restartNumberingAfterBreak="0">
    <w:nsid w:val="673D5F55"/>
    <w:multiLevelType w:val="hybridMultilevel"/>
    <w:tmpl w:val="0D34DD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1" w15:restartNumberingAfterBreak="0">
    <w:nsid w:val="67713206"/>
    <w:multiLevelType w:val="hybridMultilevel"/>
    <w:tmpl w:val="A1D01BA4"/>
    <w:lvl w:ilvl="0" w:tplc="6632EE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2" w15:restartNumberingAfterBreak="0">
    <w:nsid w:val="68316E35"/>
    <w:multiLevelType w:val="hybridMultilevel"/>
    <w:tmpl w:val="53FC70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85D7B9D"/>
    <w:multiLevelType w:val="hybridMultilevel"/>
    <w:tmpl w:val="5BBCCD72"/>
    <w:lvl w:ilvl="0" w:tplc="59B28CD0">
      <w:start w:val="1"/>
      <w:numFmt w:val="decimal"/>
      <w:lvlText w:val="%1-"/>
      <w:lvlJc w:val="left"/>
      <w:pPr>
        <w:ind w:left="720" w:hanging="360"/>
      </w:pPr>
      <w:rPr>
        <w:rFonts w:hint="default"/>
      </w:rPr>
    </w:lvl>
    <w:lvl w:ilvl="1" w:tplc="123862D0">
      <w:numFmt w:val="bullet"/>
      <w:lvlText w:val=""/>
      <w:lvlJc w:val="left"/>
      <w:rPr>
        <w:rFonts w:ascii="Symbol" w:eastAsia="Calibri" w:hAnsi="Symbol"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4" w15:restartNumberingAfterBreak="0">
    <w:nsid w:val="68F54012"/>
    <w:multiLevelType w:val="hybridMultilevel"/>
    <w:tmpl w:val="70A01456"/>
    <w:lvl w:ilvl="0" w:tplc="927628DC">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5" w15:restartNumberingAfterBreak="0">
    <w:nsid w:val="68F710E9"/>
    <w:multiLevelType w:val="hybridMultilevel"/>
    <w:tmpl w:val="D9425D44"/>
    <w:lvl w:ilvl="0" w:tplc="0780F4A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6" w15:restartNumberingAfterBreak="0">
    <w:nsid w:val="691B750B"/>
    <w:multiLevelType w:val="multilevel"/>
    <w:tmpl w:val="D29EAE34"/>
    <w:lvl w:ilvl="0">
      <w:start w:val="1"/>
      <w:numFmt w:val="lowerRoman"/>
      <w:lvlText w:val="%1."/>
      <w:lvlJc w:val="left"/>
      <w:pPr>
        <w:tabs>
          <w:tab w:val="num" w:pos="0"/>
        </w:tabs>
        <w:ind w:left="1068" w:hanging="360"/>
      </w:pPr>
    </w:lvl>
    <w:lvl w:ilvl="1">
      <w:start w:val="1"/>
      <w:numFmt w:val="decimal"/>
      <w:lvlText w:val="%2."/>
      <w:lvlJc w:val="left"/>
      <w:pPr>
        <w:tabs>
          <w:tab w:val="num" w:pos="0"/>
        </w:tabs>
        <w:ind w:left="1788" w:hanging="360"/>
      </w:pPr>
    </w:lvl>
    <w:lvl w:ilvl="2">
      <w:start w:val="1"/>
      <w:numFmt w:val="lowerRoman"/>
      <w:lvlText w:val="%3."/>
      <w:lvlJc w:val="left"/>
      <w:pPr>
        <w:tabs>
          <w:tab w:val="num" w:pos="0"/>
        </w:tabs>
        <w:ind w:left="3048" w:hanging="72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87" w15:restartNumberingAfterBreak="0">
    <w:nsid w:val="698D0CAA"/>
    <w:multiLevelType w:val="multilevel"/>
    <w:tmpl w:val="ADEE24D0"/>
    <w:lvl w:ilvl="0">
      <w:start w:val="1"/>
      <w:numFmt w:val="decimal"/>
      <w:lvlText w:val="%1."/>
      <w:lvlJc w:val="left"/>
      <w:pPr>
        <w:tabs>
          <w:tab w:val="num" w:pos="0"/>
        </w:tabs>
        <w:ind w:left="720" w:hanging="360"/>
      </w:pPr>
      <w:rPr>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8" w15:restartNumberingAfterBreak="0">
    <w:nsid w:val="69FA682B"/>
    <w:multiLevelType w:val="hybridMultilevel"/>
    <w:tmpl w:val="6D42E1F8"/>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9" w15:restartNumberingAfterBreak="0">
    <w:nsid w:val="6A447804"/>
    <w:multiLevelType w:val="hybridMultilevel"/>
    <w:tmpl w:val="EB9A35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0" w15:restartNumberingAfterBreak="0">
    <w:nsid w:val="6A701089"/>
    <w:multiLevelType w:val="hybridMultilevel"/>
    <w:tmpl w:val="1C8C9FEE"/>
    <w:lvl w:ilvl="0" w:tplc="333608D6">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91" w15:restartNumberingAfterBreak="0">
    <w:nsid w:val="6B643C2F"/>
    <w:multiLevelType w:val="hybridMultilevel"/>
    <w:tmpl w:val="10444F02"/>
    <w:lvl w:ilvl="0" w:tplc="927628DC">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2" w15:restartNumberingAfterBreak="0">
    <w:nsid w:val="6C860CD2"/>
    <w:multiLevelType w:val="multilevel"/>
    <w:tmpl w:val="D1262EA8"/>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3" w15:restartNumberingAfterBreak="0">
    <w:nsid w:val="6DAA5E3E"/>
    <w:multiLevelType w:val="singleLevel"/>
    <w:tmpl w:val="F866FBA6"/>
    <w:lvl w:ilvl="0">
      <w:start w:val="1"/>
      <w:numFmt w:val="bullet"/>
      <w:pStyle w:val="Enumtiret3"/>
      <w:lvlText w:val=""/>
      <w:lvlJc w:val="left"/>
      <w:pPr>
        <w:tabs>
          <w:tab w:val="num" w:pos="360"/>
        </w:tabs>
        <w:ind w:left="284" w:hanging="284"/>
      </w:pPr>
      <w:rPr>
        <w:rFonts w:ascii="Symbol" w:hAnsi="Symbol" w:hint="default"/>
        <w:b/>
        <w:i w:val="0"/>
      </w:rPr>
    </w:lvl>
  </w:abstractNum>
  <w:abstractNum w:abstractNumId="194" w15:restartNumberingAfterBreak="0">
    <w:nsid w:val="6DF470DF"/>
    <w:multiLevelType w:val="hybridMultilevel"/>
    <w:tmpl w:val="EDBCF3E2"/>
    <w:lvl w:ilvl="0" w:tplc="64963768">
      <w:start w:val="1"/>
      <w:numFmt w:val="decimal"/>
      <w:pStyle w:val="Numberedparagraph"/>
      <w:lvlText w:val="%1."/>
      <w:lvlJc w:val="left"/>
      <w:pPr>
        <w:ind w:left="720" w:hanging="360"/>
      </w:pPr>
      <w:rPr>
        <w:b w:val="0"/>
        <w:sz w:val="22"/>
        <w:szCs w:val="22"/>
      </w:rPr>
    </w:lvl>
    <w:lvl w:ilvl="1" w:tplc="1428824C">
      <w:start w:val="1"/>
      <w:numFmt w:val="lowerLetter"/>
      <w:lvlText w:val="(%2)"/>
      <w:lvlJc w:val="left"/>
      <w:pPr>
        <w:ind w:left="1440" w:hanging="360"/>
      </w:pPr>
      <w:rPr>
        <w:rFonts w:hint="default"/>
        <w:b w:val="0"/>
        <w:sz w:val="22"/>
      </w:rPr>
    </w:lvl>
    <w:lvl w:ilvl="2" w:tplc="130E8368" w:tentative="1">
      <w:start w:val="1"/>
      <w:numFmt w:val="lowerRoman"/>
      <w:lvlText w:val="%3."/>
      <w:lvlJc w:val="right"/>
      <w:pPr>
        <w:ind w:left="2160" w:hanging="180"/>
      </w:pPr>
    </w:lvl>
    <w:lvl w:ilvl="3" w:tplc="D664359A" w:tentative="1">
      <w:start w:val="1"/>
      <w:numFmt w:val="decimal"/>
      <w:lvlText w:val="%4."/>
      <w:lvlJc w:val="left"/>
      <w:pPr>
        <w:ind w:left="2880" w:hanging="360"/>
      </w:pPr>
    </w:lvl>
    <w:lvl w:ilvl="4" w:tplc="D526B11C" w:tentative="1">
      <w:start w:val="1"/>
      <w:numFmt w:val="lowerLetter"/>
      <w:lvlText w:val="%5."/>
      <w:lvlJc w:val="left"/>
      <w:pPr>
        <w:ind w:left="3600" w:hanging="360"/>
      </w:pPr>
    </w:lvl>
    <w:lvl w:ilvl="5" w:tplc="EB3608B2" w:tentative="1">
      <w:start w:val="1"/>
      <w:numFmt w:val="lowerRoman"/>
      <w:lvlText w:val="%6."/>
      <w:lvlJc w:val="right"/>
      <w:pPr>
        <w:ind w:left="4320" w:hanging="180"/>
      </w:pPr>
    </w:lvl>
    <w:lvl w:ilvl="6" w:tplc="F2D0BA70" w:tentative="1">
      <w:start w:val="1"/>
      <w:numFmt w:val="decimal"/>
      <w:lvlText w:val="%7."/>
      <w:lvlJc w:val="left"/>
      <w:pPr>
        <w:ind w:left="5040" w:hanging="360"/>
      </w:pPr>
    </w:lvl>
    <w:lvl w:ilvl="7" w:tplc="10D2A280" w:tentative="1">
      <w:start w:val="1"/>
      <w:numFmt w:val="lowerLetter"/>
      <w:lvlText w:val="%8."/>
      <w:lvlJc w:val="left"/>
      <w:pPr>
        <w:ind w:left="5760" w:hanging="360"/>
      </w:pPr>
    </w:lvl>
    <w:lvl w:ilvl="8" w:tplc="737A91FC" w:tentative="1">
      <w:start w:val="1"/>
      <w:numFmt w:val="lowerRoman"/>
      <w:lvlText w:val="%9."/>
      <w:lvlJc w:val="right"/>
      <w:pPr>
        <w:ind w:left="6480" w:hanging="180"/>
      </w:pPr>
    </w:lvl>
  </w:abstractNum>
  <w:abstractNum w:abstractNumId="195" w15:restartNumberingAfterBreak="0">
    <w:nsid w:val="6F780FB1"/>
    <w:multiLevelType w:val="hybridMultilevel"/>
    <w:tmpl w:val="7ACEAF8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6" w15:restartNumberingAfterBreak="0">
    <w:nsid w:val="707040FA"/>
    <w:multiLevelType w:val="hybridMultilevel"/>
    <w:tmpl w:val="11206A3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7" w15:restartNumberingAfterBreak="0">
    <w:nsid w:val="708B4CB2"/>
    <w:multiLevelType w:val="hybridMultilevel"/>
    <w:tmpl w:val="5F1AFB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8" w15:restartNumberingAfterBreak="0">
    <w:nsid w:val="715474D6"/>
    <w:multiLevelType w:val="hybridMultilevel"/>
    <w:tmpl w:val="2BFCBA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9" w15:restartNumberingAfterBreak="0">
    <w:nsid w:val="721D1870"/>
    <w:multiLevelType w:val="hybridMultilevel"/>
    <w:tmpl w:val="33DA8600"/>
    <w:lvl w:ilvl="0" w:tplc="E6A62C2E">
      <w:start w:val="1"/>
      <w:numFmt w:val="lowerRoman"/>
      <w:lvlText w:val="(%1)"/>
      <w:lvlJc w:val="left"/>
      <w:pPr>
        <w:ind w:left="1080" w:hanging="720"/>
      </w:pPr>
      <w:rPr>
        <w:i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00" w15:restartNumberingAfterBreak="0">
    <w:nsid w:val="729B780B"/>
    <w:multiLevelType w:val="hybridMultilevel"/>
    <w:tmpl w:val="3EC21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1" w15:restartNumberingAfterBreak="0">
    <w:nsid w:val="72B7220D"/>
    <w:multiLevelType w:val="hybridMultilevel"/>
    <w:tmpl w:val="28327830"/>
    <w:lvl w:ilvl="0" w:tplc="3CF63D26">
      <w:start w:val="6"/>
      <w:numFmt w:val="bullet"/>
      <w:lvlText w:val="-"/>
      <w:lvlJc w:val="left"/>
      <w:pPr>
        <w:ind w:left="720" w:hanging="360"/>
      </w:pPr>
      <w:rPr>
        <w:rFonts w:ascii="Times New Roman" w:hAnsi="Times New Roman" w:cs="Times New Roman" w:hint="default"/>
        <w:b w:val="0"/>
        <w:i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2" w15:restartNumberingAfterBreak="0">
    <w:nsid w:val="73CD5D2C"/>
    <w:multiLevelType w:val="hybridMultilevel"/>
    <w:tmpl w:val="3D7E70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3" w15:restartNumberingAfterBreak="0">
    <w:nsid w:val="73F36F8C"/>
    <w:multiLevelType w:val="hybridMultilevel"/>
    <w:tmpl w:val="5B5C60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4" w15:restartNumberingAfterBreak="0">
    <w:nsid w:val="74C202FF"/>
    <w:multiLevelType w:val="multilevel"/>
    <w:tmpl w:val="4794870A"/>
    <w:lvl w:ilvl="0">
      <w:start w:val="1"/>
      <w:numFmt w:val="bullet"/>
      <w:lvlText w:val="•"/>
      <w:lvlJc w:val="left"/>
      <w:pPr>
        <w:tabs>
          <w:tab w:val="num" w:pos="0"/>
        </w:tabs>
        <w:ind w:left="720" w:firstLine="0"/>
      </w:pPr>
      <w:rPr>
        <w:rFonts w:ascii="Arial" w:hAnsi="Arial" w:cs="Arial" w:hint="default"/>
      </w:rPr>
    </w:lvl>
    <w:lvl w:ilvl="1">
      <w:start w:val="1"/>
      <w:numFmt w:val="bullet"/>
      <w:lvlText w:val="o"/>
      <w:lvlJc w:val="left"/>
      <w:pPr>
        <w:tabs>
          <w:tab w:val="num" w:pos="0"/>
        </w:tabs>
        <w:ind w:left="1320" w:firstLine="0"/>
      </w:pPr>
      <w:rPr>
        <w:rFonts w:ascii="Segoe UI Symbol" w:hAnsi="Segoe UI Symbol" w:cs="Segoe UI Symbol" w:hint="default"/>
      </w:rPr>
    </w:lvl>
    <w:lvl w:ilvl="2">
      <w:start w:val="1"/>
      <w:numFmt w:val="bullet"/>
      <w:lvlText w:val="▪"/>
      <w:lvlJc w:val="left"/>
      <w:pPr>
        <w:tabs>
          <w:tab w:val="num" w:pos="0"/>
        </w:tabs>
        <w:ind w:left="2040" w:firstLine="0"/>
      </w:pPr>
      <w:rPr>
        <w:rFonts w:ascii="Segoe UI Symbol" w:hAnsi="Segoe UI Symbol" w:cs="Segoe UI Symbol" w:hint="default"/>
      </w:rPr>
    </w:lvl>
    <w:lvl w:ilvl="3">
      <w:start w:val="1"/>
      <w:numFmt w:val="bullet"/>
      <w:lvlText w:val="•"/>
      <w:lvlJc w:val="left"/>
      <w:pPr>
        <w:tabs>
          <w:tab w:val="num" w:pos="0"/>
        </w:tabs>
        <w:ind w:left="2760" w:firstLine="0"/>
      </w:pPr>
      <w:rPr>
        <w:rFonts w:ascii="Arial" w:hAnsi="Arial" w:cs="Arial" w:hint="default"/>
      </w:rPr>
    </w:lvl>
    <w:lvl w:ilvl="4">
      <w:start w:val="1"/>
      <w:numFmt w:val="bullet"/>
      <w:lvlText w:val="o"/>
      <w:lvlJc w:val="left"/>
      <w:pPr>
        <w:tabs>
          <w:tab w:val="num" w:pos="0"/>
        </w:tabs>
        <w:ind w:left="3480" w:firstLine="0"/>
      </w:pPr>
      <w:rPr>
        <w:rFonts w:ascii="Segoe UI Symbol" w:hAnsi="Segoe UI Symbol" w:cs="Segoe UI Symbol" w:hint="default"/>
      </w:rPr>
    </w:lvl>
    <w:lvl w:ilvl="5">
      <w:start w:val="1"/>
      <w:numFmt w:val="bullet"/>
      <w:lvlText w:val="▪"/>
      <w:lvlJc w:val="left"/>
      <w:pPr>
        <w:tabs>
          <w:tab w:val="num" w:pos="0"/>
        </w:tabs>
        <w:ind w:left="4200" w:firstLine="0"/>
      </w:pPr>
      <w:rPr>
        <w:rFonts w:ascii="Segoe UI Symbol" w:hAnsi="Segoe UI Symbol" w:cs="Segoe UI Symbol" w:hint="default"/>
      </w:rPr>
    </w:lvl>
    <w:lvl w:ilvl="6">
      <w:start w:val="1"/>
      <w:numFmt w:val="bullet"/>
      <w:lvlText w:val="•"/>
      <w:lvlJc w:val="left"/>
      <w:pPr>
        <w:tabs>
          <w:tab w:val="num" w:pos="0"/>
        </w:tabs>
        <w:ind w:left="4920" w:firstLine="0"/>
      </w:pPr>
      <w:rPr>
        <w:rFonts w:ascii="Arial" w:hAnsi="Arial" w:cs="Arial" w:hint="default"/>
      </w:rPr>
    </w:lvl>
    <w:lvl w:ilvl="7">
      <w:start w:val="1"/>
      <w:numFmt w:val="bullet"/>
      <w:lvlText w:val="o"/>
      <w:lvlJc w:val="left"/>
      <w:pPr>
        <w:tabs>
          <w:tab w:val="num" w:pos="0"/>
        </w:tabs>
        <w:ind w:left="5640" w:firstLine="0"/>
      </w:pPr>
      <w:rPr>
        <w:rFonts w:ascii="Segoe UI Symbol" w:hAnsi="Segoe UI Symbol" w:cs="Segoe UI Symbol" w:hint="default"/>
      </w:rPr>
    </w:lvl>
    <w:lvl w:ilvl="8">
      <w:start w:val="1"/>
      <w:numFmt w:val="bullet"/>
      <w:lvlText w:val="▪"/>
      <w:lvlJc w:val="left"/>
      <w:pPr>
        <w:tabs>
          <w:tab w:val="num" w:pos="0"/>
        </w:tabs>
        <w:ind w:left="6360" w:firstLine="0"/>
      </w:pPr>
      <w:rPr>
        <w:rFonts w:ascii="Segoe UI Symbol" w:hAnsi="Segoe UI Symbol" w:cs="Segoe UI Symbol" w:hint="default"/>
      </w:rPr>
    </w:lvl>
  </w:abstractNum>
  <w:abstractNum w:abstractNumId="205" w15:restartNumberingAfterBreak="0">
    <w:nsid w:val="75E105DE"/>
    <w:multiLevelType w:val="hybridMultilevel"/>
    <w:tmpl w:val="723CE850"/>
    <w:lvl w:ilvl="0" w:tplc="2000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06" w15:restartNumberingAfterBreak="0">
    <w:nsid w:val="76015D24"/>
    <w:multiLevelType w:val="multilevel"/>
    <w:tmpl w:val="DD92AC28"/>
    <w:lvl w:ilvl="0">
      <w:start w:val="1"/>
      <w:numFmt w:val="lowerRoman"/>
      <w:lvlText w:val="%1."/>
      <w:lvlJc w:val="left"/>
      <w:pPr>
        <w:tabs>
          <w:tab w:val="num" w:pos="0"/>
        </w:tabs>
        <w:ind w:left="1080" w:hanging="72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7" w15:restartNumberingAfterBreak="0">
    <w:nsid w:val="765D2AEE"/>
    <w:multiLevelType w:val="multilevel"/>
    <w:tmpl w:val="2A2AF62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8" w15:restartNumberingAfterBreak="0">
    <w:nsid w:val="76A150ED"/>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9" w15:restartNumberingAfterBreak="0">
    <w:nsid w:val="77B07574"/>
    <w:multiLevelType w:val="hybridMultilevel"/>
    <w:tmpl w:val="8EFE2E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0" w15:restartNumberingAfterBreak="0">
    <w:nsid w:val="77D16503"/>
    <w:multiLevelType w:val="multilevel"/>
    <w:tmpl w:val="6BD073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1" w15:restartNumberingAfterBreak="0">
    <w:nsid w:val="78C0236F"/>
    <w:multiLevelType w:val="hybridMultilevel"/>
    <w:tmpl w:val="DF92864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2" w15:restartNumberingAfterBreak="0">
    <w:nsid w:val="799F09CA"/>
    <w:multiLevelType w:val="multilevel"/>
    <w:tmpl w:val="787E0CB8"/>
    <w:lvl w:ilvl="0">
      <w:start w:val="1"/>
      <w:numFmt w:val="lowerRoman"/>
      <w:lvlText w:val="%1."/>
      <w:lvlJc w:val="left"/>
      <w:pPr>
        <w:tabs>
          <w:tab w:val="num" w:pos="-1194"/>
        </w:tabs>
        <w:ind w:left="1146"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3" w15:restartNumberingAfterBreak="0">
    <w:nsid w:val="7A9910EF"/>
    <w:multiLevelType w:val="hybridMultilevel"/>
    <w:tmpl w:val="C91CB7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4" w15:restartNumberingAfterBreak="0">
    <w:nsid w:val="7AD62EE7"/>
    <w:multiLevelType w:val="hybridMultilevel"/>
    <w:tmpl w:val="42A8A4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5" w15:restartNumberingAfterBreak="0">
    <w:nsid w:val="7C187E68"/>
    <w:multiLevelType w:val="multilevel"/>
    <w:tmpl w:val="414A2ECC"/>
    <w:lvl w:ilvl="0">
      <w:start w:val="1"/>
      <w:numFmt w:val="lowerLetter"/>
      <w:lvlText w:val="(%1)"/>
      <w:lvlJc w:val="left"/>
      <w:pPr>
        <w:tabs>
          <w:tab w:val="num" w:pos="0"/>
        </w:tabs>
        <w:ind w:left="720" w:hanging="360"/>
      </w:pPr>
    </w:lvl>
    <w:lvl w:ilvl="1">
      <w:start w:val="1"/>
      <w:numFmt w:val="lowerRoman"/>
      <w:lvlText w:val="%2."/>
      <w:lvlJc w:val="left"/>
      <w:pPr>
        <w:tabs>
          <w:tab w:val="num" w:pos="0"/>
        </w:tabs>
        <w:ind w:left="1800" w:hanging="720"/>
      </w:pPr>
    </w:lvl>
    <w:lvl w:ilvl="2">
      <w:start w:val="27"/>
      <w:numFmt w:val="bullet"/>
      <w:lvlText w:val="•"/>
      <w:lvlJc w:val="left"/>
      <w:pPr>
        <w:tabs>
          <w:tab w:val="num" w:pos="0"/>
        </w:tabs>
        <w:ind w:left="2340" w:hanging="360"/>
      </w:pPr>
      <w:rPr>
        <w:rFonts w:ascii="Cambria" w:hAnsi="Cambria" w:cs="Cambria" w:hint="default"/>
      </w:rPr>
    </w:lvl>
    <w:lvl w:ilvl="3">
      <w:start w:val="27"/>
      <w:numFmt w:val="bullet"/>
      <w:lvlText w:val=""/>
      <w:lvlJc w:val="left"/>
      <w:pPr>
        <w:tabs>
          <w:tab w:val="num" w:pos="0"/>
        </w:tabs>
        <w:ind w:left="2880" w:hanging="360"/>
      </w:pPr>
      <w:rPr>
        <w:rFonts w:ascii="Symbol" w:hAnsi="Symbol" w:cs="Symbol" w:hint="default"/>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6" w15:restartNumberingAfterBreak="0">
    <w:nsid w:val="7C727E8A"/>
    <w:multiLevelType w:val="hybridMultilevel"/>
    <w:tmpl w:val="639E0428"/>
    <w:lvl w:ilvl="0" w:tplc="6EDEC75E">
      <w:numFmt w:val="bullet"/>
      <w:lvlText w:val="-"/>
      <w:lvlJc w:val="left"/>
      <w:pPr>
        <w:ind w:left="720" w:hanging="360"/>
      </w:pPr>
      <w:rPr>
        <w:rFonts w:ascii="Arial Narrow" w:eastAsia="Calibri" w:hAnsi="Arial Narro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7" w15:restartNumberingAfterBreak="0">
    <w:nsid w:val="7CCB3D7F"/>
    <w:multiLevelType w:val="hybridMultilevel"/>
    <w:tmpl w:val="F3E89D62"/>
    <w:lvl w:ilvl="0" w:tplc="04B85A6A">
      <w:numFmt w:val="bullet"/>
      <w:lvlText w:val="-"/>
      <w:lvlJc w:val="left"/>
      <w:pPr>
        <w:ind w:left="778" w:hanging="360"/>
      </w:pPr>
      <w:rPr>
        <w:rFonts w:ascii="Arial" w:eastAsia="Calibri" w:hAnsi="Arial" w:cs="Arial" w:hint="default"/>
      </w:rPr>
    </w:lvl>
    <w:lvl w:ilvl="1" w:tplc="040C0003">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218" w15:restartNumberingAfterBreak="0">
    <w:nsid w:val="7D101AE5"/>
    <w:multiLevelType w:val="multilevel"/>
    <w:tmpl w:val="166C94F2"/>
    <w:lvl w:ilvl="0">
      <w:start w:val="18"/>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9" w15:restartNumberingAfterBreak="0">
    <w:nsid w:val="7D450F68"/>
    <w:multiLevelType w:val="hybridMultilevel"/>
    <w:tmpl w:val="97A2B9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0" w15:restartNumberingAfterBreak="0">
    <w:nsid w:val="7E265602"/>
    <w:multiLevelType w:val="multilevel"/>
    <w:tmpl w:val="01F8E5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1" w15:restartNumberingAfterBreak="0">
    <w:nsid w:val="7E3F7841"/>
    <w:multiLevelType w:val="hybridMultilevel"/>
    <w:tmpl w:val="6638E88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2" w15:restartNumberingAfterBreak="0">
    <w:nsid w:val="7EE56E16"/>
    <w:multiLevelType w:val="hybridMultilevel"/>
    <w:tmpl w:val="27A2E3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3" w15:restartNumberingAfterBreak="0">
    <w:nsid w:val="7F0C3E45"/>
    <w:multiLevelType w:val="hybridMultilevel"/>
    <w:tmpl w:val="549411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4" w15:restartNumberingAfterBreak="0">
    <w:nsid w:val="7F5C3FDF"/>
    <w:multiLevelType w:val="multilevel"/>
    <w:tmpl w:val="1200DE92"/>
    <w:lvl w:ilvl="0">
      <w:start w:val="1"/>
      <w:numFmt w:val="decimal"/>
      <w:lvlText w:val="%1."/>
      <w:lvlJc w:val="left"/>
      <w:pPr>
        <w:ind w:left="720" w:hanging="360"/>
      </w:pPr>
      <w:rPr>
        <w:rFonts w:hint="default"/>
        <w:b/>
        <w:color w:val="0070C0"/>
        <w:sz w:val="32"/>
      </w:rPr>
    </w:lvl>
    <w:lvl w:ilvl="1">
      <w:start w:val="1"/>
      <w:numFmt w:val="decimal"/>
      <w:isLgl/>
      <w:lvlText w:val="%1.%2."/>
      <w:lvlJc w:val="left"/>
      <w:pPr>
        <w:ind w:left="1080" w:hanging="720"/>
      </w:pPr>
      <w:rPr>
        <w:rFonts w:ascii="Arial" w:hAnsi="Arial" w:cs="Arial" w:hint="default"/>
        <w:b/>
        <w:color w:val="0070C0"/>
        <w:sz w:val="26"/>
        <w:szCs w:val="26"/>
      </w:rPr>
    </w:lvl>
    <w:lvl w:ilvl="2">
      <w:start w:val="1"/>
      <w:numFmt w:val="decimal"/>
      <w:pStyle w:val="Titre3"/>
      <w:isLgl/>
      <w:lvlText w:val="%1.%2.%3."/>
      <w:lvlJc w:val="left"/>
      <w:pPr>
        <w:ind w:left="3413" w:hanging="720"/>
      </w:pPr>
      <w:rPr>
        <w:rFonts w:hint="default"/>
        <w:sz w:val="24"/>
        <w:szCs w:val="2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525827462">
    <w:abstractNumId w:val="11"/>
  </w:num>
  <w:num w:numId="2" w16cid:durableId="555552428">
    <w:abstractNumId w:val="91"/>
  </w:num>
  <w:num w:numId="3" w16cid:durableId="262957335">
    <w:abstractNumId w:val="26"/>
  </w:num>
  <w:num w:numId="4" w16cid:durableId="1819299166">
    <w:abstractNumId w:val="129"/>
  </w:num>
  <w:num w:numId="5" w16cid:durableId="1141387505">
    <w:abstractNumId w:val="172"/>
  </w:num>
  <w:num w:numId="6" w16cid:durableId="997732480">
    <w:abstractNumId w:val="115"/>
  </w:num>
  <w:num w:numId="7" w16cid:durableId="1530071848">
    <w:abstractNumId w:val="33"/>
  </w:num>
  <w:num w:numId="8" w16cid:durableId="839542159">
    <w:abstractNumId w:val="106"/>
  </w:num>
  <w:num w:numId="9" w16cid:durableId="1663049059">
    <w:abstractNumId w:val="143"/>
  </w:num>
  <w:num w:numId="10" w16cid:durableId="200630835">
    <w:abstractNumId w:val="202"/>
  </w:num>
  <w:num w:numId="11" w16cid:durableId="60062425">
    <w:abstractNumId w:val="42"/>
  </w:num>
  <w:num w:numId="12" w16cid:durableId="403458784">
    <w:abstractNumId w:val="46"/>
  </w:num>
  <w:num w:numId="13" w16cid:durableId="84266527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19355104">
    <w:abstractNumId w:val="224"/>
  </w:num>
  <w:num w:numId="15" w16cid:durableId="1295450778">
    <w:abstractNumId w:val="179"/>
  </w:num>
  <w:num w:numId="16" w16cid:durableId="200636403">
    <w:abstractNumId w:val="56"/>
  </w:num>
  <w:num w:numId="17" w16cid:durableId="109323895">
    <w:abstractNumId w:val="153"/>
  </w:num>
  <w:num w:numId="18" w16cid:durableId="1433741584">
    <w:abstractNumId w:val="43"/>
  </w:num>
  <w:num w:numId="19" w16cid:durableId="375592557">
    <w:abstractNumId w:val="222"/>
  </w:num>
  <w:num w:numId="20" w16cid:durableId="288635128">
    <w:abstractNumId w:val="219"/>
  </w:num>
  <w:num w:numId="21" w16cid:durableId="1050376646">
    <w:abstractNumId w:val="200"/>
  </w:num>
  <w:num w:numId="22" w16cid:durableId="1806577287">
    <w:abstractNumId w:val="12"/>
  </w:num>
  <w:num w:numId="23" w16cid:durableId="597368509">
    <w:abstractNumId w:val="57"/>
  </w:num>
  <w:num w:numId="24" w16cid:durableId="2060861141">
    <w:abstractNumId w:val="59"/>
  </w:num>
  <w:num w:numId="25" w16cid:durableId="795828600">
    <w:abstractNumId w:val="203"/>
  </w:num>
  <w:num w:numId="26" w16cid:durableId="349648826">
    <w:abstractNumId w:val="9"/>
  </w:num>
  <w:num w:numId="27" w16cid:durableId="170604262">
    <w:abstractNumId w:val="31"/>
  </w:num>
  <w:num w:numId="28" w16cid:durableId="1141926703">
    <w:abstractNumId w:val="127"/>
  </w:num>
  <w:num w:numId="29" w16cid:durableId="1203251914">
    <w:abstractNumId w:val="198"/>
  </w:num>
  <w:num w:numId="30" w16cid:durableId="1285624832">
    <w:abstractNumId w:val="173"/>
  </w:num>
  <w:num w:numId="31" w16cid:durableId="1798209487">
    <w:abstractNumId w:val="76"/>
  </w:num>
  <w:num w:numId="32" w16cid:durableId="1955549791">
    <w:abstractNumId w:val="65"/>
  </w:num>
  <w:num w:numId="33" w16cid:durableId="1008949352">
    <w:abstractNumId w:val="150"/>
  </w:num>
  <w:num w:numId="34" w16cid:durableId="1578438278">
    <w:abstractNumId w:val="86"/>
  </w:num>
  <w:num w:numId="35" w16cid:durableId="1685981313">
    <w:abstractNumId w:val="0"/>
  </w:num>
  <w:num w:numId="36" w16cid:durableId="1728844896">
    <w:abstractNumId w:val="94"/>
  </w:num>
  <w:num w:numId="37" w16cid:durableId="1356495372">
    <w:abstractNumId w:val="72"/>
  </w:num>
  <w:num w:numId="38" w16cid:durableId="1589994926">
    <w:abstractNumId w:val="177"/>
  </w:num>
  <w:num w:numId="39" w16cid:durableId="445857244">
    <w:abstractNumId w:val="211"/>
  </w:num>
  <w:num w:numId="40" w16cid:durableId="1721782025">
    <w:abstractNumId w:val="223"/>
  </w:num>
  <w:num w:numId="41" w16cid:durableId="1381513606">
    <w:abstractNumId w:val="189"/>
  </w:num>
  <w:num w:numId="42" w16cid:durableId="336003334">
    <w:abstractNumId w:val="135"/>
  </w:num>
  <w:num w:numId="43" w16cid:durableId="1852719049">
    <w:abstractNumId w:val="190"/>
  </w:num>
  <w:num w:numId="44" w16cid:durableId="810026837">
    <w:abstractNumId w:val="70"/>
  </w:num>
  <w:num w:numId="45" w16cid:durableId="1764450573">
    <w:abstractNumId w:val="166"/>
  </w:num>
  <w:num w:numId="46" w16cid:durableId="1940873387">
    <w:abstractNumId w:val="67"/>
  </w:num>
  <w:num w:numId="47" w16cid:durableId="1039866119">
    <w:abstractNumId w:val="184"/>
  </w:num>
  <w:num w:numId="48" w16cid:durableId="1182859384">
    <w:abstractNumId w:val="163"/>
  </w:num>
  <w:num w:numId="49" w16cid:durableId="674723289">
    <w:abstractNumId w:val="13"/>
  </w:num>
  <w:num w:numId="50" w16cid:durableId="1291285294">
    <w:abstractNumId w:val="152"/>
  </w:num>
  <w:num w:numId="51" w16cid:durableId="2011636533">
    <w:abstractNumId w:val="8"/>
  </w:num>
  <w:num w:numId="52" w16cid:durableId="1670671829">
    <w:abstractNumId w:val="7"/>
  </w:num>
  <w:num w:numId="53" w16cid:durableId="1408386371">
    <w:abstractNumId w:val="45"/>
  </w:num>
  <w:num w:numId="54" w16cid:durableId="1706759009">
    <w:abstractNumId w:val="161"/>
  </w:num>
  <w:num w:numId="55" w16cid:durableId="323551383">
    <w:abstractNumId w:val="197"/>
  </w:num>
  <w:num w:numId="56" w16cid:durableId="1323387845">
    <w:abstractNumId w:val="205"/>
  </w:num>
  <w:num w:numId="57" w16cid:durableId="264194162">
    <w:abstractNumId w:val="195"/>
  </w:num>
  <w:num w:numId="58" w16cid:durableId="243758745">
    <w:abstractNumId w:val="216"/>
  </w:num>
  <w:num w:numId="59" w16cid:durableId="291985546">
    <w:abstractNumId w:val="63"/>
  </w:num>
  <w:num w:numId="60" w16cid:durableId="1545675817">
    <w:abstractNumId w:val="5"/>
  </w:num>
  <w:num w:numId="61" w16cid:durableId="1654217194">
    <w:abstractNumId w:val="180"/>
  </w:num>
  <w:num w:numId="62" w16cid:durableId="849368595">
    <w:abstractNumId w:val="39"/>
  </w:num>
  <w:num w:numId="63" w16cid:durableId="1837455360">
    <w:abstractNumId w:val="20"/>
  </w:num>
  <w:num w:numId="64" w16cid:durableId="1202672286">
    <w:abstractNumId w:val="83"/>
  </w:num>
  <w:num w:numId="65" w16cid:durableId="797114630">
    <w:abstractNumId w:val="221"/>
  </w:num>
  <w:num w:numId="66" w16cid:durableId="1732727306">
    <w:abstractNumId w:val="162"/>
  </w:num>
  <w:num w:numId="67" w16cid:durableId="442187400">
    <w:abstractNumId w:val="35"/>
  </w:num>
  <w:num w:numId="68" w16cid:durableId="950741052">
    <w:abstractNumId w:val="181"/>
  </w:num>
  <w:num w:numId="69" w16cid:durableId="986864173">
    <w:abstractNumId w:val="103"/>
  </w:num>
  <w:num w:numId="70" w16cid:durableId="974914460">
    <w:abstractNumId w:val="74"/>
  </w:num>
  <w:num w:numId="71" w16cid:durableId="570769290">
    <w:abstractNumId w:val="24"/>
  </w:num>
  <w:num w:numId="72" w16cid:durableId="1230379913">
    <w:abstractNumId w:val="167"/>
  </w:num>
  <w:num w:numId="73" w16cid:durableId="273169784">
    <w:abstractNumId w:val="79"/>
  </w:num>
  <w:num w:numId="74" w16cid:durableId="1746417591">
    <w:abstractNumId w:val="28"/>
  </w:num>
  <w:num w:numId="75" w16cid:durableId="756363189">
    <w:abstractNumId w:val="169"/>
  </w:num>
  <w:num w:numId="76" w16cid:durableId="1935824410">
    <w:abstractNumId w:val="27"/>
  </w:num>
  <w:num w:numId="77" w16cid:durableId="1584755246">
    <w:abstractNumId w:val="77"/>
  </w:num>
  <w:num w:numId="78" w16cid:durableId="715353954">
    <w:abstractNumId w:val="191"/>
  </w:num>
  <w:num w:numId="79" w16cid:durableId="1374575828">
    <w:abstractNumId w:val="47"/>
  </w:num>
  <w:num w:numId="80" w16cid:durableId="151063732">
    <w:abstractNumId w:val="92"/>
  </w:num>
  <w:num w:numId="81" w16cid:durableId="14354999">
    <w:abstractNumId w:val="36"/>
  </w:num>
  <w:num w:numId="82" w16cid:durableId="575288158">
    <w:abstractNumId w:val="73"/>
  </w:num>
  <w:num w:numId="83" w16cid:durableId="1429154690">
    <w:abstractNumId w:val="134"/>
  </w:num>
  <w:num w:numId="84" w16cid:durableId="1555500944">
    <w:abstractNumId w:val="125"/>
  </w:num>
  <w:num w:numId="85" w16cid:durableId="787552013">
    <w:abstractNumId w:val="175"/>
  </w:num>
  <w:num w:numId="86" w16cid:durableId="2055736594">
    <w:abstractNumId w:val="218"/>
  </w:num>
  <w:num w:numId="87" w16cid:durableId="461968882">
    <w:abstractNumId w:val="128"/>
  </w:num>
  <w:num w:numId="88" w16cid:durableId="611203110">
    <w:abstractNumId w:val="124"/>
  </w:num>
  <w:num w:numId="89" w16cid:durableId="1490631039">
    <w:abstractNumId w:val="174"/>
  </w:num>
  <w:num w:numId="90" w16cid:durableId="202644294">
    <w:abstractNumId w:val="66"/>
  </w:num>
  <w:num w:numId="91" w16cid:durableId="121727502">
    <w:abstractNumId w:val="133"/>
  </w:num>
  <w:num w:numId="92" w16cid:durableId="1441990169">
    <w:abstractNumId w:val="4"/>
  </w:num>
  <w:num w:numId="93" w16cid:durableId="250746860">
    <w:abstractNumId w:val="78"/>
  </w:num>
  <w:num w:numId="94" w16cid:durableId="1011744">
    <w:abstractNumId w:val="207"/>
    <w:lvlOverride w:ilvl="0">
      <w:startOverride w:val="1"/>
    </w:lvlOverride>
  </w:num>
  <w:num w:numId="95" w16cid:durableId="1158422620">
    <w:abstractNumId w:val="207"/>
  </w:num>
  <w:num w:numId="96" w16cid:durableId="286549421">
    <w:abstractNumId w:val="207"/>
    <w:lvlOverride w:ilvl="0">
      <w:startOverride w:val="1"/>
    </w:lvlOverride>
  </w:num>
  <w:num w:numId="97" w16cid:durableId="1974559553">
    <w:abstractNumId w:val="207"/>
    <w:lvlOverride w:ilvl="0">
      <w:startOverride w:val="1"/>
    </w:lvlOverride>
  </w:num>
  <w:num w:numId="98" w16cid:durableId="1917400218">
    <w:abstractNumId w:val="207"/>
    <w:lvlOverride w:ilvl="0">
      <w:startOverride w:val="1"/>
    </w:lvlOverride>
  </w:num>
  <w:num w:numId="99" w16cid:durableId="821000170">
    <w:abstractNumId w:val="207"/>
    <w:lvlOverride w:ilvl="0">
      <w:startOverride w:val="1"/>
    </w:lvlOverride>
  </w:num>
  <w:num w:numId="100" w16cid:durableId="433092803">
    <w:abstractNumId w:val="4"/>
    <w:lvlOverride w:ilvl="0">
      <w:startOverride w:val="1"/>
    </w:lvlOverride>
  </w:num>
  <w:num w:numId="101" w16cid:durableId="431359601">
    <w:abstractNumId w:val="207"/>
    <w:lvlOverride w:ilvl="0">
      <w:startOverride w:val="1"/>
    </w:lvlOverride>
  </w:num>
  <w:num w:numId="102" w16cid:durableId="1475685789">
    <w:abstractNumId w:val="144"/>
  </w:num>
  <w:num w:numId="103" w16cid:durableId="459106468">
    <w:abstractNumId w:val="107"/>
  </w:num>
  <w:num w:numId="104" w16cid:durableId="758141199">
    <w:abstractNumId w:val="81"/>
  </w:num>
  <w:num w:numId="105" w16cid:durableId="1714966454">
    <w:abstractNumId w:val="6"/>
  </w:num>
  <w:num w:numId="106" w16cid:durableId="1160121183">
    <w:abstractNumId w:val="120"/>
  </w:num>
  <w:num w:numId="107" w16cid:durableId="2053769029">
    <w:abstractNumId w:val="117"/>
  </w:num>
  <w:num w:numId="108" w16cid:durableId="142354843">
    <w:abstractNumId w:val="101"/>
  </w:num>
  <w:num w:numId="109" w16cid:durableId="1737627821">
    <w:abstractNumId w:val="99"/>
  </w:num>
  <w:num w:numId="110" w16cid:durableId="1369379261">
    <w:abstractNumId w:val="97"/>
  </w:num>
  <w:num w:numId="111" w16cid:durableId="992488343">
    <w:abstractNumId w:val="123"/>
  </w:num>
  <w:num w:numId="112" w16cid:durableId="131093849">
    <w:abstractNumId w:val="85"/>
  </w:num>
  <w:num w:numId="113" w16cid:durableId="137309055">
    <w:abstractNumId w:val="154"/>
  </w:num>
  <w:num w:numId="114" w16cid:durableId="1694652555">
    <w:abstractNumId w:val="118"/>
  </w:num>
  <w:num w:numId="115" w16cid:durableId="54204085">
    <w:abstractNumId w:val="19"/>
  </w:num>
  <w:num w:numId="116" w16cid:durableId="1686052510">
    <w:abstractNumId w:val="186"/>
  </w:num>
  <w:num w:numId="117" w16cid:durableId="1211117141">
    <w:abstractNumId w:val="140"/>
  </w:num>
  <w:num w:numId="118" w16cid:durableId="1071732097">
    <w:abstractNumId w:val="155"/>
  </w:num>
  <w:num w:numId="119" w16cid:durableId="181015012">
    <w:abstractNumId w:val="38"/>
  </w:num>
  <w:num w:numId="120" w16cid:durableId="388501528">
    <w:abstractNumId w:val="204"/>
  </w:num>
  <w:num w:numId="121" w16cid:durableId="180123475">
    <w:abstractNumId w:val="2"/>
    <w:lvlOverride w:ilvl="0">
      <w:startOverride w:val="1"/>
    </w:lvlOverride>
  </w:num>
  <w:num w:numId="122" w16cid:durableId="2084718395">
    <w:abstractNumId w:val="2"/>
  </w:num>
  <w:num w:numId="123" w16cid:durableId="1808039748">
    <w:abstractNumId w:val="215"/>
  </w:num>
  <w:num w:numId="124" w16cid:durableId="553808111">
    <w:abstractNumId w:val="159"/>
  </w:num>
  <w:num w:numId="125" w16cid:durableId="1520703959">
    <w:abstractNumId w:val="212"/>
    <w:lvlOverride w:ilvl="0">
      <w:startOverride w:val="1"/>
    </w:lvlOverride>
  </w:num>
  <w:num w:numId="126" w16cid:durableId="1986621548">
    <w:abstractNumId w:val="212"/>
  </w:num>
  <w:num w:numId="127" w16cid:durableId="493763694">
    <w:abstractNumId w:val="165"/>
    <w:lvlOverride w:ilvl="0">
      <w:startOverride w:val="1"/>
    </w:lvlOverride>
  </w:num>
  <w:num w:numId="128" w16cid:durableId="353270609">
    <w:abstractNumId w:val="165"/>
  </w:num>
  <w:num w:numId="129" w16cid:durableId="361133186">
    <w:abstractNumId w:val="206"/>
    <w:lvlOverride w:ilvl="0">
      <w:startOverride w:val="1"/>
    </w:lvlOverride>
  </w:num>
  <w:num w:numId="130" w16cid:durableId="2087609846">
    <w:abstractNumId w:val="206"/>
  </w:num>
  <w:num w:numId="131" w16cid:durableId="1335570705">
    <w:abstractNumId w:val="178"/>
  </w:num>
  <w:num w:numId="132" w16cid:durableId="414592080">
    <w:abstractNumId w:val="148"/>
  </w:num>
  <w:num w:numId="133" w16cid:durableId="1113018550">
    <w:abstractNumId w:val="170"/>
  </w:num>
  <w:num w:numId="134" w16cid:durableId="351108853">
    <w:abstractNumId w:val="1"/>
  </w:num>
  <w:num w:numId="135" w16cid:durableId="1272667479">
    <w:abstractNumId w:val="60"/>
  </w:num>
  <w:num w:numId="136" w16cid:durableId="626544052">
    <w:abstractNumId w:val="58"/>
  </w:num>
  <w:num w:numId="137" w16cid:durableId="645741975">
    <w:abstractNumId w:val="71"/>
  </w:num>
  <w:num w:numId="138" w16cid:durableId="44376099">
    <w:abstractNumId w:val="98"/>
  </w:num>
  <w:num w:numId="139" w16cid:durableId="515850070">
    <w:abstractNumId w:val="121"/>
  </w:num>
  <w:num w:numId="140" w16cid:durableId="250550121">
    <w:abstractNumId w:val="142"/>
  </w:num>
  <w:num w:numId="141" w16cid:durableId="1398551817">
    <w:abstractNumId w:val="88"/>
  </w:num>
  <w:num w:numId="142" w16cid:durableId="1243759581">
    <w:abstractNumId w:val="182"/>
  </w:num>
  <w:num w:numId="143" w16cid:durableId="704906165">
    <w:abstractNumId w:val="176"/>
  </w:num>
  <w:num w:numId="144" w16cid:durableId="1581981039">
    <w:abstractNumId w:val="21"/>
  </w:num>
  <w:num w:numId="145" w16cid:durableId="1795174644">
    <w:abstractNumId w:val="126"/>
  </w:num>
  <w:num w:numId="146" w16cid:durableId="921910318">
    <w:abstractNumId w:val="146"/>
  </w:num>
  <w:num w:numId="147" w16cid:durableId="1592397618">
    <w:abstractNumId w:val="34"/>
  </w:num>
  <w:num w:numId="148" w16cid:durableId="885290413">
    <w:abstractNumId w:val="193"/>
  </w:num>
  <w:num w:numId="149" w16cid:durableId="1115637390">
    <w:abstractNumId w:val="49"/>
  </w:num>
  <w:num w:numId="150" w16cid:durableId="2125725899">
    <w:abstractNumId w:val="157"/>
  </w:num>
  <w:num w:numId="151" w16cid:durableId="499924990">
    <w:abstractNumId w:val="23"/>
  </w:num>
  <w:num w:numId="152" w16cid:durableId="568542630">
    <w:abstractNumId w:val="114"/>
  </w:num>
  <w:num w:numId="153" w16cid:durableId="876742636">
    <w:abstractNumId w:val="201"/>
  </w:num>
  <w:num w:numId="154" w16cid:durableId="649598069">
    <w:abstractNumId w:val="80"/>
  </w:num>
  <w:num w:numId="155" w16cid:durableId="28534773">
    <w:abstractNumId w:val="84"/>
  </w:num>
  <w:num w:numId="156" w16cid:durableId="2135559550">
    <w:abstractNumId w:val="3"/>
  </w:num>
  <w:num w:numId="157" w16cid:durableId="1180698137">
    <w:abstractNumId w:val="30"/>
  </w:num>
  <w:num w:numId="158" w16cid:durableId="389497604">
    <w:abstractNumId w:val="141"/>
  </w:num>
  <w:num w:numId="159" w16cid:durableId="592475498">
    <w:abstractNumId w:val="51"/>
  </w:num>
  <w:num w:numId="160" w16cid:durableId="907765155">
    <w:abstractNumId w:val="95"/>
  </w:num>
  <w:num w:numId="161" w16cid:durableId="2077241539">
    <w:abstractNumId w:val="145"/>
  </w:num>
  <w:num w:numId="162" w16cid:durableId="1956525393">
    <w:abstractNumId w:val="96"/>
  </w:num>
  <w:num w:numId="163" w16cid:durableId="807750039">
    <w:abstractNumId w:val="188"/>
  </w:num>
  <w:num w:numId="164" w16cid:durableId="1499686967">
    <w:abstractNumId w:val="185"/>
  </w:num>
  <w:num w:numId="165" w16cid:durableId="1526863128">
    <w:abstractNumId w:val="29"/>
  </w:num>
  <w:num w:numId="166" w16cid:durableId="2082671814">
    <w:abstractNumId w:val="75"/>
  </w:num>
  <w:num w:numId="167" w16cid:durableId="1247768645">
    <w:abstractNumId w:val="82"/>
  </w:num>
  <w:num w:numId="168" w16cid:durableId="1675838744">
    <w:abstractNumId w:val="194"/>
  </w:num>
  <w:num w:numId="169" w16cid:durableId="1915895476">
    <w:abstractNumId w:val="164"/>
  </w:num>
  <w:num w:numId="170" w16cid:durableId="901715549">
    <w:abstractNumId w:val="22"/>
  </w:num>
  <w:num w:numId="171" w16cid:durableId="594943449">
    <w:abstractNumId w:val="149"/>
  </w:num>
  <w:num w:numId="172" w16cid:durableId="1121652921">
    <w:abstractNumId w:val="136"/>
  </w:num>
  <w:num w:numId="173" w16cid:durableId="1300260377">
    <w:abstractNumId w:val="130"/>
  </w:num>
  <w:num w:numId="174" w16cid:durableId="375010915">
    <w:abstractNumId w:val="137"/>
  </w:num>
  <w:num w:numId="175" w16cid:durableId="1003358156">
    <w:abstractNumId w:val="187"/>
  </w:num>
  <w:num w:numId="176" w16cid:durableId="1399012585">
    <w:abstractNumId w:val="37"/>
  </w:num>
  <w:num w:numId="177" w16cid:durableId="37555575">
    <w:abstractNumId w:val="208"/>
  </w:num>
  <w:num w:numId="178" w16cid:durableId="1341085438">
    <w:abstractNumId w:val="17"/>
  </w:num>
  <w:num w:numId="179" w16cid:durableId="555433697">
    <w:abstractNumId w:val="41"/>
  </w:num>
  <w:num w:numId="180" w16cid:durableId="23747956">
    <w:abstractNumId w:val="213"/>
  </w:num>
  <w:num w:numId="181" w16cid:durableId="1664311446">
    <w:abstractNumId w:val="62"/>
  </w:num>
  <w:num w:numId="182" w16cid:durableId="404650834">
    <w:abstractNumId w:val="119"/>
  </w:num>
  <w:num w:numId="183" w16cid:durableId="1276866688">
    <w:abstractNumId w:val="55"/>
  </w:num>
  <w:num w:numId="184" w16cid:durableId="904147403">
    <w:abstractNumId w:val="69"/>
  </w:num>
  <w:num w:numId="185" w16cid:durableId="1796752351">
    <w:abstractNumId w:val="183"/>
  </w:num>
  <w:num w:numId="186" w16cid:durableId="2006980946">
    <w:abstractNumId w:val="68"/>
  </w:num>
  <w:num w:numId="187" w16cid:durableId="92240870">
    <w:abstractNumId w:val="196"/>
  </w:num>
  <w:num w:numId="188" w16cid:durableId="1998917650">
    <w:abstractNumId w:val="209"/>
  </w:num>
  <w:num w:numId="189" w16cid:durableId="673847613">
    <w:abstractNumId w:val="160"/>
  </w:num>
  <w:num w:numId="190" w16cid:durableId="1838811021">
    <w:abstractNumId w:val="105"/>
  </w:num>
  <w:num w:numId="191" w16cid:durableId="1700231624">
    <w:abstractNumId w:val="210"/>
  </w:num>
  <w:num w:numId="192" w16cid:durableId="1112361683">
    <w:abstractNumId w:val="18"/>
  </w:num>
  <w:num w:numId="193" w16cid:durableId="990871019">
    <w:abstractNumId w:val="108"/>
  </w:num>
  <w:num w:numId="194" w16cid:durableId="1682315354">
    <w:abstractNumId w:val="100"/>
  </w:num>
  <w:num w:numId="195" w16cid:durableId="1534539319">
    <w:abstractNumId w:val="89"/>
  </w:num>
  <w:num w:numId="196" w16cid:durableId="351760377">
    <w:abstractNumId w:val="64"/>
  </w:num>
  <w:num w:numId="197" w16cid:durableId="1751541567">
    <w:abstractNumId w:val="15"/>
  </w:num>
  <w:num w:numId="198" w16cid:durableId="815755267">
    <w:abstractNumId w:val="214"/>
  </w:num>
  <w:num w:numId="199" w16cid:durableId="2130783437">
    <w:abstractNumId w:val="40"/>
  </w:num>
  <w:num w:numId="200" w16cid:durableId="1706640967">
    <w:abstractNumId w:val="156"/>
  </w:num>
  <w:num w:numId="201" w16cid:durableId="1303274348">
    <w:abstractNumId w:val="220"/>
  </w:num>
  <w:num w:numId="202" w16cid:durableId="1699891248">
    <w:abstractNumId w:val="158"/>
  </w:num>
  <w:num w:numId="203" w16cid:durableId="798452408">
    <w:abstractNumId w:val="111"/>
  </w:num>
  <w:num w:numId="204" w16cid:durableId="1641613603">
    <w:abstractNumId w:val="113"/>
  </w:num>
  <w:num w:numId="205" w16cid:durableId="898177535">
    <w:abstractNumId w:val="112"/>
  </w:num>
  <w:num w:numId="206" w16cid:durableId="282419329">
    <w:abstractNumId w:val="44"/>
  </w:num>
  <w:num w:numId="207" w16cid:durableId="1917326888">
    <w:abstractNumId w:val="53"/>
  </w:num>
  <w:num w:numId="208" w16cid:durableId="629897169">
    <w:abstractNumId w:val="10"/>
  </w:num>
  <w:num w:numId="209" w16cid:durableId="1866747830">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818421160">
    <w:abstractNumId w:val="16"/>
  </w:num>
  <w:num w:numId="211" w16cid:durableId="1540311757">
    <w:abstractNumId w:val="139"/>
  </w:num>
  <w:num w:numId="212" w16cid:durableId="1728215983">
    <w:abstractNumId w:val="25"/>
  </w:num>
  <w:num w:numId="213" w16cid:durableId="777528624">
    <w:abstractNumId w:val="52"/>
  </w:num>
  <w:num w:numId="214" w16cid:durableId="1354070793">
    <w:abstractNumId w:val="147"/>
  </w:num>
  <w:num w:numId="215" w16cid:durableId="1667856632">
    <w:abstractNumId w:val="171"/>
  </w:num>
  <w:num w:numId="216" w16cid:durableId="160589342">
    <w:abstractNumId w:val="110"/>
  </w:num>
  <w:num w:numId="217" w16cid:durableId="1202937463">
    <w:abstractNumId w:val="50"/>
  </w:num>
  <w:num w:numId="218" w16cid:durableId="1124040566">
    <w:abstractNumId w:val="32"/>
  </w:num>
  <w:num w:numId="219" w16cid:durableId="767435014">
    <w:abstractNumId w:val="104"/>
  </w:num>
  <w:num w:numId="220" w16cid:durableId="619603793">
    <w:abstractNumId w:val="116"/>
  </w:num>
  <w:num w:numId="221" w16cid:durableId="1777674419">
    <w:abstractNumId w:val="131"/>
  </w:num>
  <w:num w:numId="222" w16cid:durableId="637686725">
    <w:abstractNumId w:val="48"/>
  </w:num>
  <w:num w:numId="223" w16cid:durableId="1797335136">
    <w:abstractNumId w:val="14"/>
  </w:num>
  <w:num w:numId="224" w16cid:durableId="903686558">
    <w:abstractNumId w:val="132"/>
  </w:num>
  <w:num w:numId="225" w16cid:durableId="1451777688">
    <w:abstractNumId w:val="151"/>
  </w:num>
  <w:num w:numId="226" w16cid:durableId="1068116523">
    <w:abstractNumId w:val="168"/>
  </w:num>
  <w:num w:numId="227" w16cid:durableId="1646470860">
    <w:abstractNumId w:val="109"/>
  </w:num>
  <w:num w:numId="228" w16cid:durableId="518736560">
    <w:abstractNumId w:val="217"/>
  </w:num>
  <w:num w:numId="229" w16cid:durableId="75369452">
    <w:abstractNumId w:val="122"/>
  </w:num>
  <w:num w:numId="230" w16cid:durableId="2108113929">
    <w:abstractNumId w:val="93"/>
  </w:num>
  <w:num w:numId="231" w16cid:durableId="1377317062">
    <w:abstractNumId w:val="192"/>
  </w:num>
  <w:num w:numId="232" w16cid:durableId="1259752672">
    <w:abstractNumId w:val="138"/>
  </w:num>
  <w:num w:numId="233" w16cid:durableId="1805732815">
    <w:abstractNumId w:val="87"/>
  </w:num>
  <w:num w:numId="234" w16cid:durableId="239755418">
    <w:abstractNumId w:val="54"/>
  </w:num>
  <w:num w:numId="235" w16cid:durableId="938486130">
    <w:abstractNumId w:val="102"/>
  </w:num>
  <w:num w:numId="236" w16cid:durableId="963001827">
    <w:abstractNumId w:val="90"/>
  </w:num>
  <w:numIdMacAtCleanup w:val="2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CC9"/>
    <w:rsid w:val="00003D2F"/>
    <w:rsid w:val="00011713"/>
    <w:rsid w:val="00012BBA"/>
    <w:rsid w:val="00013FF5"/>
    <w:rsid w:val="000163B2"/>
    <w:rsid w:val="000171C4"/>
    <w:rsid w:val="00020E89"/>
    <w:rsid w:val="0002275A"/>
    <w:rsid w:val="00023A07"/>
    <w:rsid w:val="00023C2C"/>
    <w:rsid w:val="00024001"/>
    <w:rsid w:val="00030668"/>
    <w:rsid w:val="0003072D"/>
    <w:rsid w:val="00030978"/>
    <w:rsid w:val="000310BA"/>
    <w:rsid w:val="0003227A"/>
    <w:rsid w:val="00034A9B"/>
    <w:rsid w:val="00034C74"/>
    <w:rsid w:val="00034EFF"/>
    <w:rsid w:val="0003695B"/>
    <w:rsid w:val="000373F3"/>
    <w:rsid w:val="00040088"/>
    <w:rsid w:val="0004328E"/>
    <w:rsid w:val="000432F4"/>
    <w:rsid w:val="00044A84"/>
    <w:rsid w:val="00044F2C"/>
    <w:rsid w:val="00046AED"/>
    <w:rsid w:val="000527BB"/>
    <w:rsid w:val="0005345A"/>
    <w:rsid w:val="000536AF"/>
    <w:rsid w:val="00055101"/>
    <w:rsid w:val="00056AF9"/>
    <w:rsid w:val="00057CD2"/>
    <w:rsid w:val="00061371"/>
    <w:rsid w:val="0006701B"/>
    <w:rsid w:val="00067C78"/>
    <w:rsid w:val="00067E59"/>
    <w:rsid w:val="00070781"/>
    <w:rsid w:val="000738DF"/>
    <w:rsid w:val="0007493B"/>
    <w:rsid w:val="0007538F"/>
    <w:rsid w:val="00077477"/>
    <w:rsid w:val="00080C8C"/>
    <w:rsid w:val="00081366"/>
    <w:rsid w:val="00081D61"/>
    <w:rsid w:val="000835EA"/>
    <w:rsid w:val="0008399D"/>
    <w:rsid w:val="00084A8B"/>
    <w:rsid w:val="0008787B"/>
    <w:rsid w:val="00087ADC"/>
    <w:rsid w:val="00087DD5"/>
    <w:rsid w:val="0009159F"/>
    <w:rsid w:val="00094662"/>
    <w:rsid w:val="000A2CA0"/>
    <w:rsid w:val="000A5DA6"/>
    <w:rsid w:val="000A6F85"/>
    <w:rsid w:val="000A7D8D"/>
    <w:rsid w:val="000B0924"/>
    <w:rsid w:val="000B12A8"/>
    <w:rsid w:val="000B2264"/>
    <w:rsid w:val="000B28BB"/>
    <w:rsid w:val="000B313E"/>
    <w:rsid w:val="000B43D8"/>
    <w:rsid w:val="000B742C"/>
    <w:rsid w:val="000B7EFF"/>
    <w:rsid w:val="000C0139"/>
    <w:rsid w:val="000C16F4"/>
    <w:rsid w:val="000C3C84"/>
    <w:rsid w:val="000C6194"/>
    <w:rsid w:val="000C7F3E"/>
    <w:rsid w:val="000D22D0"/>
    <w:rsid w:val="000D4ADC"/>
    <w:rsid w:val="000D4C78"/>
    <w:rsid w:val="000D626A"/>
    <w:rsid w:val="000D6B91"/>
    <w:rsid w:val="000D7CA0"/>
    <w:rsid w:val="000E0BE4"/>
    <w:rsid w:val="000E2111"/>
    <w:rsid w:val="000E3CE9"/>
    <w:rsid w:val="000E51F5"/>
    <w:rsid w:val="000E729D"/>
    <w:rsid w:val="000F1157"/>
    <w:rsid w:val="000F2C0E"/>
    <w:rsid w:val="000F448E"/>
    <w:rsid w:val="000F553E"/>
    <w:rsid w:val="000F6597"/>
    <w:rsid w:val="000F77F0"/>
    <w:rsid w:val="00101231"/>
    <w:rsid w:val="001027FE"/>
    <w:rsid w:val="00103394"/>
    <w:rsid w:val="0010634A"/>
    <w:rsid w:val="001125D9"/>
    <w:rsid w:val="00113064"/>
    <w:rsid w:val="00114036"/>
    <w:rsid w:val="00114831"/>
    <w:rsid w:val="00115E50"/>
    <w:rsid w:val="00125C9E"/>
    <w:rsid w:val="0012611D"/>
    <w:rsid w:val="001302CF"/>
    <w:rsid w:val="00133020"/>
    <w:rsid w:val="0013344B"/>
    <w:rsid w:val="001337F5"/>
    <w:rsid w:val="00135FB1"/>
    <w:rsid w:val="00137107"/>
    <w:rsid w:val="00137365"/>
    <w:rsid w:val="0014523B"/>
    <w:rsid w:val="00145FBE"/>
    <w:rsid w:val="0015148E"/>
    <w:rsid w:val="00152B2F"/>
    <w:rsid w:val="001571D1"/>
    <w:rsid w:val="001571F7"/>
    <w:rsid w:val="00160FB0"/>
    <w:rsid w:val="001625D9"/>
    <w:rsid w:val="0016457E"/>
    <w:rsid w:val="001663A5"/>
    <w:rsid w:val="00166A3C"/>
    <w:rsid w:val="00166C0A"/>
    <w:rsid w:val="001716F8"/>
    <w:rsid w:val="001718D5"/>
    <w:rsid w:val="0017227E"/>
    <w:rsid w:val="00173C00"/>
    <w:rsid w:val="0017420E"/>
    <w:rsid w:val="00176F5E"/>
    <w:rsid w:val="0018026D"/>
    <w:rsid w:val="00180D79"/>
    <w:rsid w:val="001848BD"/>
    <w:rsid w:val="001852E4"/>
    <w:rsid w:val="001878DB"/>
    <w:rsid w:val="00190080"/>
    <w:rsid w:val="00190373"/>
    <w:rsid w:val="00191F68"/>
    <w:rsid w:val="00195714"/>
    <w:rsid w:val="00195A84"/>
    <w:rsid w:val="001A16B5"/>
    <w:rsid w:val="001A18A5"/>
    <w:rsid w:val="001A24FD"/>
    <w:rsid w:val="001A47F9"/>
    <w:rsid w:val="001A6BF4"/>
    <w:rsid w:val="001B07ED"/>
    <w:rsid w:val="001B3489"/>
    <w:rsid w:val="001B47D3"/>
    <w:rsid w:val="001C0602"/>
    <w:rsid w:val="001C13CC"/>
    <w:rsid w:val="001C18A4"/>
    <w:rsid w:val="001C455D"/>
    <w:rsid w:val="001C5508"/>
    <w:rsid w:val="001C596F"/>
    <w:rsid w:val="001D0987"/>
    <w:rsid w:val="001D232E"/>
    <w:rsid w:val="001D2909"/>
    <w:rsid w:val="001D3A29"/>
    <w:rsid w:val="001D6C60"/>
    <w:rsid w:val="001D708A"/>
    <w:rsid w:val="001E1AAF"/>
    <w:rsid w:val="001E7A52"/>
    <w:rsid w:val="001F17E3"/>
    <w:rsid w:val="001F4811"/>
    <w:rsid w:val="001F68EA"/>
    <w:rsid w:val="00201587"/>
    <w:rsid w:val="00207EBE"/>
    <w:rsid w:val="002127D2"/>
    <w:rsid w:val="00212EBD"/>
    <w:rsid w:val="002156F0"/>
    <w:rsid w:val="002212D7"/>
    <w:rsid w:val="00221951"/>
    <w:rsid w:val="002222D2"/>
    <w:rsid w:val="00223457"/>
    <w:rsid w:val="00224D29"/>
    <w:rsid w:val="00225639"/>
    <w:rsid w:val="00226EE8"/>
    <w:rsid w:val="00227950"/>
    <w:rsid w:val="00233301"/>
    <w:rsid w:val="00233333"/>
    <w:rsid w:val="002335CE"/>
    <w:rsid w:val="0023459D"/>
    <w:rsid w:val="00237420"/>
    <w:rsid w:val="00244306"/>
    <w:rsid w:val="002454B4"/>
    <w:rsid w:val="00245FF1"/>
    <w:rsid w:val="002511D0"/>
    <w:rsid w:val="00251EC8"/>
    <w:rsid w:val="00252805"/>
    <w:rsid w:val="00252AC3"/>
    <w:rsid w:val="0025561B"/>
    <w:rsid w:val="002573F1"/>
    <w:rsid w:val="00261590"/>
    <w:rsid w:val="00262AF5"/>
    <w:rsid w:val="00263F8C"/>
    <w:rsid w:val="00264D81"/>
    <w:rsid w:val="0026577A"/>
    <w:rsid w:val="00265DE2"/>
    <w:rsid w:val="00266D6D"/>
    <w:rsid w:val="00267814"/>
    <w:rsid w:val="00273218"/>
    <w:rsid w:val="0027370A"/>
    <w:rsid w:val="00273A72"/>
    <w:rsid w:val="002754F2"/>
    <w:rsid w:val="00277DBD"/>
    <w:rsid w:val="00283324"/>
    <w:rsid w:val="00283C4B"/>
    <w:rsid w:val="00284743"/>
    <w:rsid w:val="00286A96"/>
    <w:rsid w:val="00286ACE"/>
    <w:rsid w:val="00292955"/>
    <w:rsid w:val="002930F6"/>
    <w:rsid w:val="00293A1A"/>
    <w:rsid w:val="00295B8F"/>
    <w:rsid w:val="00296692"/>
    <w:rsid w:val="002A3A51"/>
    <w:rsid w:val="002A588A"/>
    <w:rsid w:val="002A6C0D"/>
    <w:rsid w:val="002B01B5"/>
    <w:rsid w:val="002B064D"/>
    <w:rsid w:val="002B10A5"/>
    <w:rsid w:val="002B1566"/>
    <w:rsid w:val="002B5874"/>
    <w:rsid w:val="002B7DC1"/>
    <w:rsid w:val="002C16B4"/>
    <w:rsid w:val="002C279A"/>
    <w:rsid w:val="002C3186"/>
    <w:rsid w:val="002C4C64"/>
    <w:rsid w:val="002C5813"/>
    <w:rsid w:val="002C6EE9"/>
    <w:rsid w:val="002C769E"/>
    <w:rsid w:val="002D10DF"/>
    <w:rsid w:val="002D11EB"/>
    <w:rsid w:val="002D228C"/>
    <w:rsid w:val="002D37A6"/>
    <w:rsid w:val="002D4695"/>
    <w:rsid w:val="002D4856"/>
    <w:rsid w:val="002D4A3D"/>
    <w:rsid w:val="002D5071"/>
    <w:rsid w:val="002D5928"/>
    <w:rsid w:val="002E3D83"/>
    <w:rsid w:val="002E4173"/>
    <w:rsid w:val="002E58DC"/>
    <w:rsid w:val="002F349A"/>
    <w:rsid w:val="002F45B5"/>
    <w:rsid w:val="002F49FA"/>
    <w:rsid w:val="002F6F8F"/>
    <w:rsid w:val="00301E71"/>
    <w:rsid w:val="00302D69"/>
    <w:rsid w:val="00303B97"/>
    <w:rsid w:val="00304E02"/>
    <w:rsid w:val="00305594"/>
    <w:rsid w:val="003075BB"/>
    <w:rsid w:val="00307CF5"/>
    <w:rsid w:val="003100C0"/>
    <w:rsid w:val="003104AE"/>
    <w:rsid w:val="00312FE9"/>
    <w:rsid w:val="0031344F"/>
    <w:rsid w:val="00315772"/>
    <w:rsid w:val="00315BB9"/>
    <w:rsid w:val="00317C45"/>
    <w:rsid w:val="00321EFB"/>
    <w:rsid w:val="00323F80"/>
    <w:rsid w:val="00324908"/>
    <w:rsid w:val="00327DB6"/>
    <w:rsid w:val="00333CF9"/>
    <w:rsid w:val="00333F01"/>
    <w:rsid w:val="0033675C"/>
    <w:rsid w:val="00337D2E"/>
    <w:rsid w:val="00340AC0"/>
    <w:rsid w:val="00340B64"/>
    <w:rsid w:val="00340B95"/>
    <w:rsid w:val="00342BB8"/>
    <w:rsid w:val="00343233"/>
    <w:rsid w:val="00345918"/>
    <w:rsid w:val="0034790A"/>
    <w:rsid w:val="00351497"/>
    <w:rsid w:val="00353921"/>
    <w:rsid w:val="00355570"/>
    <w:rsid w:val="00357EF4"/>
    <w:rsid w:val="00361224"/>
    <w:rsid w:val="0036277D"/>
    <w:rsid w:val="00362E60"/>
    <w:rsid w:val="003649C0"/>
    <w:rsid w:val="00370535"/>
    <w:rsid w:val="003710EB"/>
    <w:rsid w:val="00371DB8"/>
    <w:rsid w:val="00373052"/>
    <w:rsid w:val="0037427E"/>
    <w:rsid w:val="003746D5"/>
    <w:rsid w:val="00377CD1"/>
    <w:rsid w:val="00380091"/>
    <w:rsid w:val="003817FD"/>
    <w:rsid w:val="00382606"/>
    <w:rsid w:val="00382847"/>
    <w:rsid w:val="00384105"/>
    <w:rsid w:val="003856BD"/>
    <w:rsid w:val="003878E7"/>
    <w:rsid w:val="0039047D"/>
    <w:rsid w:val="0039128A"/>
    <w:rsid w:val="00391F68"/>
    <w:rsid w:val="00392296"/>
    <w:rsid w:val="003A0191"/>
    <w:rsid w:val="003A2C2D"/>
    <w:rsid w:val="003A33A6"/>
    <w:rsid w:val="003A4E5A"/>
    <w:rsid w:val="003A6A50"/>
    <w:rsid w:val="003B02C7"/>
    <w:rsid w:val="003B0AA8"/>
    <w:rsid w:val="003B1119"/>
    <w:rsid w:val="003B4DB5"/>
    <w:rsid w:val="003B6BEC"/>
    <w:rsid w:val="003B71F9"/>
    <w:rsid w:val="003C126D"/>
    <w:rsid w:val="003C18DC"/>
    <w:rsid w:val="003C3FF7"/>
    <w:rsid w:val="003C79A4"/>
    <w:rsid w:val="003C7E2E"/>
    <w:rsid w:val="003D35DD"/>
    <w:rsid w:val="003D4D77"/>
    <w:rsid w:val="003D6C53"/>
    <w:rsid w:val="003D7BA2"/>
    <w:rsid w:val="003E0CB3"/>
    <w:rsid w:val="003E0CDB"/>
    <w:rsid w:val="003E32E9"/>
    <w:rsid w:val="003E357B"/>
    <w:rsid w:val="003E3E27"/>
    <w:rsid w:val="003E52B0"/>
    <w:rsid w:val="003E6EAF"/>
    <w:rsid w:val="003F27AB"/>
    <w:rsid w:val="003F29B2"/>
    <w:rsid w:val="003F5356"/>
    <w:rsid w:val="003F67FD"/>
    <w:rsid w:val="003F7B86"/>
    <w:rsid w:val="00401845"/>
    <w:rsid w:val="00404A68"/>
    <w:rsid w:val="00406BE7"/>
    <w:rsid w:val="00410434"/>
    <w:rsid w:val="00410674"/>
    <w:rsid w:val="004115AB"/>
    <w:rsid w:val="00411B7D"/>
    <w:rsid w:val="00412095"/>
    <w:rsid w:val="00413D18"/>
    <w:rsid w:val="00416A63"/>
    <w:rsid w:val="00423294"/>
    <w:rsid w:val="00423C6E"/>
    <w:rsid w:val="00430D4C"/>
    <w:rsid w:val="00432287"/>
    <w:rsid w:val="00435050"/>
    <w:rsid w:val="0044045D"/>
    <w:rsid w:val="004407B1"/>
    <w:rsid w:val="0044196E"/>
    <w:rsid w:val="0044500E"/>
    <w:rsid w:val="004465DF"/>
    <w:rsid w:val="00450399"/>
    <w:rsid w:val="00454F21"/>
    <w:rsid w:val="00457520"/>
    <w:rsid w:val="0046147D"/>
    <w:rsid w:val="004625ED"/>
    <w:rsid w:val="00466BFF"/>
    <w:rsid w:val="004701AE"/>
    <w:rsid w:val="00471113"/>
    <w:rsid w:val="004719C1"/>
    <w:rsid w:val="00472044"/>
    <w:rsid w:val="00472B26"/>
    <w:rsid w:val="00472CCD"/>
    <w:rsid w:val="00473E86"/>
    <w:rsid w:val="00474262"/>
    <w:rsid w:val="004775C2"/>
    <w:rsid w:val="00481C04"/>
    <w:rsid w:val="00481CF0"/>
    <w:rsid w:val="00481F74"/>
    <w:rsid w:val="004825B7"/>
    <w:rsid w:val="00482EA5"/>
    <w:rsid w:val="004841BC"/>
    <w:rsid w:val="0049065B"/>
    <w:rsid w:val="0049245D"/>
    <w:rsid w:val="00493A39"/>
    <w:rsid w:val="004943F6"/>
    <w:rsid w:val="0049710F"/>
    <w:rsid w:val="004971F1"/>
    <w:rsid w:val="00497A8F"/>
    <w:rsid w:val="004A0D4E"/>
    <w:rsid w:val="004A1EC7"/>
    <w:rsid w:val="004A211E"/>
    <w:rsid w:val="004A22F3"/>
    <w:rsid w:val="004A48B0"/>
    <w:rsid w:val="004A574D"/>
    <w:rsid w:val="004A6072"/>
    <w:rsid w:val="004A659F"/>
    <w:rsid w:val="004B0918"/>
    <w:rsid w:val="004B1AF2"/>
    <w:rsid w:val="004B3682"/>
    <w:rsid w:val="004B3C6E"/>
    <w:rsid w:val="004B5DAC"/>
    <w:rsid w:val="004B6E62"/>
    <w:rsid w:val="004B776B"/>
    <w:rsid w:val="004C1355"/>
    <w:rsid w:val="004C2CB7"/>
    <w:rsid w:val="004C37C5"/>
    <w:rsid w:val="004C5362"/>
    <w:rsid w:val="004C72B9"/>
    <w:rsid w:val="004D0499"/>
    <w:rsid w:val="004D51D8"/>
    <w:rsid w:val="004D7B9A"/>
    <w:rsid w:val="004E191E"/>
    <w:rsid w:val="004E1ADD"/>
    <w:rsid w:val="004E1CAB"/>
    <w:rsid w:val="004E5A6C"/>
    <w:rsid w:val="004E5EC2"/>
    <w:rsid w:val="004E64D0"/>
    <w:rsid w:val="004E6E0A"/>
    <w:rsid w:val="004F454E"/>
    <w:rsid w:val="004F6BD5"/>
    <w:rsid w:val="004F6F03"/>
    <w:rsid w:val="004F7543"/>
    <w:rsid w:val="00501938"/>
    <w:rsid w:val="00504EA5"/>
    <w:rsid w:val="00506FFA"/>
    <w:rsid w:val="0051123B"/>
    <w:rsid w:val="00511D6C"/>
    <w:rsid w:val="00512FF5"/>
    <w:rsid w:val="00513948"/>
    <w:rsid w:val="0051637C"/>
    <w:rsid w:val="00521482"/>
    <w:rsid w:val="005226F4"/>
    <w:rsid w:val="00524324"/>
    <w:rsid w:val="0052434F"/>
    <w:rsid w:val="00524CF6"/>
    <w:rsid w:val="005253F6"/>
    <w:rsid w:val="005303A7"/>
    <w:rsid w:val="0053297A"/>
    <w:rsid w:val="00533E68"/>
    <w:rsid w:val="00534E1B"/>
    <w:rsid w:val="00534F94"/>
    <w:rsid w:val="00535159"/>
    <w:rsid w:val="00535E78"/>
    <w:rsid w:val="00535F99"/>
    <w:rsid w:val="00536F83"/>
    <w:rsid w:val="0053740B"/>
    <w:rsid w:val="00541D39"/>
    <w:rsid w:val="0054219F"/>
    <w:rsid w:val="0054222A"/>
    <w:rsid w:val="005430A1"/>
    <w:rsid w:val="005436C0"/>
    <w:rsid w:val="005440E1"/>
    <w:rsid w:val="00546783"/>
    <w:rsid w:val="00547D64"/>
    <w:rsid w:val="00547DD8"/>
    <w:rsid w:val="0055161B"/>
    <w:rsid w:val="00552928"/>
    <w:rsid w:val="00553487"/>
    <w:rsid w:val="00553F67"/>
    <w:rsid w:val="00554389"/>
    <w:rsid w:val="00557319"/>
    <w:rsid w:val="005601CA"/>
    <w:rsid w:val="005610DF"/>
    <w:rsid w:val="005626CD"/>
    <w:rsid w:val="0056305B"/>
    <w:rsid w:val="0056308B"/>
    <w:rsid w:val="00563C78"/>
    <w:rsid w:val="00567C43"/>
    <w:rsid w:val="00567E1E"/>
    <w:rsid w:val="00570262"/>
    <w:rsid w:val="005727FD"/>
    <w:rsid w:val="005746D4"/>
    <w:rsid w:val="00576E91"/>
    <w:rsid w:val="005772DE"/>
    <w:rsid w:val="00577624"/>
    <w:rsid w:val="00577849"/>
    <w:rsid w:val="00577912"/>
    <w:rsid w:val="00584831"/>
    <w:rsid w:val="005866FE"/>
    <w:rsid w:val="00587DDB"/>
    <w:rsid w:val="00592898"/>
    <w:rsid w:val="00594B49"/>
    <w:rsid w:val="00595454"/>
    <w:rsid w:val="0059553D"/>
    <w:rsid w:val="00596080"/>
    <w:rsid w:val="005965D6"/>
    <w:rsid w:val="005969CF"/>
    <w:rsid w:val="00597782"/>
    <w:rsid w:val="00597810"/>
    <w:rsid w:val="005A006C"/>
    <w:rsid w:val="005A0AC5"/>
    <w:rsid w:val="005A3C3C"/>
    <w:rsid w:val="005A6A64"/>
    <w:rsid w:val="005B0CE7"/>
    <w:rsid w:val="005C122C"/>
    <w:rsid w:val="005C1759"/>
    <w:rsid w:val="005C208F"/>
    <w:rsid w:val="005C3134"/>
    <w:rsid w:val="005C32F1"/>
    <w:rsid w:val="005C5141"/>
    <w:rsid w:val="005C566E"/>
    <w:rsid w:val="005C6881"/>
    <w:rsid w:val="005D0235"/>
    <w:rsid w:val="005D11CF"/>
    <w:rsid w:val="005D1611"/>
    <w:rsid w:val="005D1F11"/>
    <w:rsid w:val="005D2E1C"/>
    <w:rsid w:val="005D4CDC"/>
    <w:rsid w:val="005D6D41"/>
    <w:rsid w:val="005E19B1"/>
    <w:rsid w:val="005E446A"/>
    <w:rsid w:val="005E5B18"/>
    <w:rsid w:val="005ECB9B"/>
    <w:rsid w:val="005F04D4"/>
    <w:rsid w:val="005F159D"/>
    <w:rsid w:val="005F3504"/>
    <w:rsid w:val="005F497C"/>
    <w:rsid w:val="00601782"/>
    <w:rsid w:val="00602401"/>
    <w:rsid w:val="00602DA3"/>
    <w:rsid w:val="0060370E"/>
    <w:rsid w:val="006038A0"/>
    <w:rsid w:val="00603970"/>
    <w:rsid w:val="00604B38"/>
    <w:rsid w:val="00607755"/>
    <w:rsid w:val="00610711"/>
    <w:rsid w:val="00610922"/>
    <w:rsid w:val="00610C00"/>
    <w:rsid w:val="00610CD4"/>
    <w:rsid w:val="00611CB5"/>
    <w:rsid w:val="00621906"/>
    <w:rsid w:val="00621B82"/>
    <w:rsid w:val="0062241D"/>
    <w:rsid w:val="00623B30"/>
    <w:rsid w:val="0062408C"/>
    <w:rsid w:val="0062577C"/>
    <w:rsid w:val="00625BF8"/>
    <w:rsid w:val="00625E09"/>
    <w:rsid w:val="0062627A"/>
    <w:rsid w:val="00626686"/>
    <w:rsid w:val="00630792"/>
    <w:rsid w:val="00630B78"/>
    <w:rsid w:val="00631F1E"/>
    <w:rsid w:val="0063283F"/>
    <w:rsid w:val="00633198"/>
    <w:rsid w:val="006342E8"/>
    <w:rsid w:val="006346B2"/>
    <w:rsid w:val="0063584D"/>
    <w:rsid w:val="00637007"/>
    <w:rsid w:val="006370FF"/>
    <w:rsid w:val="00640ACB"/>
    <w:rsid w:val="006415ED"/>
    <w:rsid w:val="00642266"/>
    <w:rsid w:val="006430C5"/>
    <w:rsid w:val="006437B4"/>
    <w:rsid w:val="006451F4"/>
    <w:rsid w:val="00645695"/>
    <w:rsid w:val="006461F2"/>
    <w:rsid w:val="00646D78"/>
    <w:rsid w:val="00651B50"/>
    <w:rsid w:val="00651BC8"/>
    <w:rsid w:val="00652C73"/>
    <w:rsid w:val="00653CCE"/>
    <w:rsid w:val="00654785"/>
    <w:rsid w:val="00655279"/>
    <w:rsid w:val="006564D3"/>
    <w:rsid w:val="00656722"/>
    <w:rsid w:val="00657118"/>
    <w:rsid w:val="00657591"/>
    <w:rsid w:val="00657F89"/>
    <w:rsid w:val="006623E9"/>
    <w:rsid w:val="00663DE7"/>
    <w:rsid w:val="00665B96"/>
    <w:rsid w:val="00666FA1"/>
    <w:rsid w:val="006676EF"/>
    <w:rsid w:val="006735D2"/>
    <w:rsid w:val="00674547"/>
    <w:rsid w:val="00676F3B"/>
    <w:rsid w:val="006776F6"/>
    <w:rsid w:val="0068003D"/>
    <w:rsid w:val="0068025E"/>
    <w:rsid w:val="00680912"/>
    <w:rsid w:val="00683810"/>
    <w:rsid w:val="00687DD2"/>
    <w:rsid w:val="00691328"/>
    <w:rsid w:val="00691C73"/>
    <w:rsid w:val="00695BD7"/>
    <w:rsid w:val="00695CB4"/>
    <w:rsid w:val="006A1ABC"/>
    <w:rsid w:val="006A1ACD"/>
    <w:rsid w:val="006A2D72"/>
    <w:rsid w:val="006A32C5"/>
    <w:rsid w:val="006A3595"/>
    <w:rsid w:val="006A45F1"/>
    <w:rsid w:val="006B0ACD"/>
    <w:rsid w:val="006B164A"/>
    <w:rsid w:val="006B2C01"/>
    <w:rsid w:val="006B368E"/>
    <w:rsid w:val="006B37A8"/>
    <w:rsid w:val="006B3915"/>
    <w:rsid w:val="006B52ED"/>
    <w:rsid w:val="006B5DD4"/>
    <w:rsid w:val="006C330A"/>
    <w:rsid w:val="006C401E"/>
    <w:rsid w:val="006C4CB8"/>
    <w:rsid w:val="006C5F2A"/>
    <w:rsid w:val="006D4E01"/>
    <w:rsid w:val="006D5F22"/>
    <w:rsid w:val="006D616A"/>
    <w:rsid w:val="006E13C8"/>
    <w:rsid w:val="006E1611"/>
    <w:rsid w:val="006E1FBA"/>
    <w:rsid w:val="006E3A00"/>
    <w:rsid w:val="006F0B43"/>
    <w:rsid w:val="006F3F9E"/>
    <w:rsid w:val="006F4204"/>
    <w:rsid w:val="006F45CC"/>
    <w:rsid w:val="006F56A5"/>
    <w:rsid w:val="006F6154"/>
    <w:rsid w:val="0070074C"/>
    <w:rsid w:val="0070081A"/>
    <w:rsid w:val="00700E61"/>
    <w:rsid w:val="00702B1E"/>
    <w:rsid w:val="00702DFF"/>
    <w:rsid w:val="00703FFA"/>
    <w:rsid w:val="007046BD"/>
    <w:rsid w:val="007050CB"/>
    <w:rsid w:val="00707E88"/>
    <w:rsid w:val="00710B2E"/>
    <w:rsid w:val="0071222B"/>
    <w:rsid w:val="00712257"/>
    <w:rsid w:val="007127C1"/>
    <w:rsid w:val="00713368"/>
    <w:rsid w:val="0071568A"/>
    <w:rsid w:val="00715C3F"/>
    <w:rsid w:val="007207CA"/>
    <w:rsid w:val="00720AD8"/>
    <w:rsid w:val="007213FD"/>
    <w:rsid w:val="00724A2D"/>
    <w:rsid w:val="007270B7"/>
    <w:rsid w:val="00730528"/>
    <w:rsid w:val="00731109"/>
    <w:rsid w:val="00731397"/>
    <w:rsid w:val="007418BA"/>
    <w:rsid w:val="00742405"/>
    <w:rsid w:val="00742D67"/>
    <w:rsid w:val="0075210A"/>
    <w:rsid w:val="007540AE"/>
    <w:rsid w:val="00755420"/>
    <w:rsid w:val="007578E2"/>
    <w:rsid w:val="00761654"/>
    <w:rsid w:val="007620EA"/>
    <w:rsid w:val="00763A75"/>
    <w:rsid w:val="00764D3E"/>
    <w:rsid w:val="00766873"/>
    <w:rsid w:val="00767012"/>
    <w:rsid w:val="00767D89"/>
    <w:rsid w:val="007718D0"/>
    <w:rsid w:val="007726D3"/>
    <w:rsid w:val="0077632C"/>
    <w:rsid w:val="00776D1D"/>
    <w:rsid w:val="007775E1"/>
    <w:rsid w:val="0078074F"/>
    <w:rsid w:val="0078365E"/>
    <w:rsid w:val="00784262"/>
    <w:rsid w:val="00784347"/>
    <w:rsid w:val="00786792"/>
    <w:rsid w:val="007875E6"/>
    <w:rsid w:val="00787BB3"/>
    <w:rsid w:val="0079003E"/>
    <w:rsid w:val="00791BD7"/>
    <w:rsid w:val="00791DB5"/>
    <w:rsid w:val="00795311"/>
    <w:rsid w:val="00795A91"/>
    <w:rsid w:val="00797168"/>
    <w:rsid w:val="00797E8F"/>
    <w:rsid w:val="007A05FA"/>
    <w:rsid w:val="007A0DA4"/>
    <w:rsid w:val="007A11DD"/>
    <w:rsid w:val="007A11E7"/>
    <w:rsid w:val="007A42B9"/>
    <w:rsid w:val="007A4ABD"/>
    <w:rsid w:val="007A5531"/>
    <w:rsid w:val="007A60D1"/>
    <w:rsid w:val="007A613E"/>
    <w:rsid w:val="007A760A"/>
    <w:rsid w:val="007A7B38"/>
    <w:rsid w:val="007B00C4"/>
    <w:rsid w:val="007B0915"/>
    <w:rsid w:val="007B17E5"/>
    <w:rsid w:val="007B4870"/>
    <w:rsid w:val="007B50B8"/>
    <w:rsid w:val="007B55CC"/>
    <w:rsid w:val="007C14FA"/>
    <w:rsid w:val="007C44F6"/>
    <w:rsid w:val="007D1778"/>
    <w:rsid w:val="007D1AFC"/>
    <w:rsid w:val="007D2F2E"/>
    <w:rsid w:val="007D4781"/>
    <w:rsid w:val="007D584C"/>
    <w:rsid w:val="007D5D1E"/>
    <w:rsid w:val="007D67F3"/>
    <w:rsid w:val="007D6919"/>
    <w:rsid w:val="007E18DC"/>
    <w:rsid w:val="007E75D3"/>
    <w:rsid w:val="007F0DCA"/>
    <w:rsid w:val="007F232B"/>
    <w:rsid w:val="007F582A"/>
    <w:rsid w:val="007F78CE"/>
    <w:rsid w:val="007F78DE"/>
    <w:rsid w:val="00801D80"/>
    <w:rsid w:val="0080211B"/>
    <w:rsid w:val="00802A39"/>
    <w:rsid w:val="0080479A"/>
    <w:rsid w:val="00806276"/>
    <w:rsid w:val="008073A6"/>
    <w:rsid w:val="00807905"/>
    <w:rsid w:val="0080792F"/>
    <w:rsid w:val="00807F7C"/>
    <w:rsid w:val="00811F6E"/>
    <w:rsid w:val="00812702"/>
    <w:rsid w:val="008139D6"/>
    <w:rsid w:val="00813C50"/>
    <w:rsid w:val="00814C88"/>
    <w:rsid w:val="00815343"/>
    <w:rsid w:val="00815904"/>
    <w:rsid w:val="008168B4"/>
    <w:rsid w:val="0082241D"/>
    <w:rsid w:val="00823B35"/>
    <w:rsid w:val="00824B1B"/>
    <w:rsid w:val="008251AA"/>
    <w:rsid w:val="008259C1"/>
    <w:rsid w:val="008262B3"/>
    <w:rsid w:val="00826524"/>
    <w:rsid w:val="0083064D"/>
    <w:rsid w:val="00831B31"/>
    <w:rsid w:val="008325C4"/>
    <w:rsid w:val="00832CC9"/>
    <w:rsid w:val="00833686"/>
    <w:rsid w:val="0083449A"/>
    <w:rsid w:val="00836A32"/>
    <w:rsid w:val="0084126F"/>
    <w:rsid w:val="00841E01"/>
    <w:rsid w:val="008435F2"/>
    <w:rsid w:val="008466CF"/>
    <w:rsid w:val="008474E8"/>
    <w:rsid w:val="00853203"/>
    <w:rsid w:val="0085321D"/>
    <w:rsid w:val="008532AE"/>
    <w:rsid w:val="008540E8"/>
    <w:rsid w:val="00855A0A"/>
    <w:rsid w:val="00856D19"/>
    <w:rsid w:val="008627F7"/>
    <w:rsid w:val="0086329B"/>
    <w:rsid w:val="008640E2"/>
    <w:rsid w:val="00871E0F"/>
    <w:rsid w:val="00872755"/>
    <w:rsid w:val="008744E2"/>
    <w:rsid w:val="00874654"/>
    <w:rsid w:val="00876061"/>
    <w:rsid w:val="00876450"/>
    <w:rsid w:val="00883FF0"/>
    <w:rsid w:val="00886A9E"/>
    <w:rsid w:val="00887155"/>
    <w:rsid w:val="00887224"/>
    <w:rsid w:val="0088762A"/>
    <w:rsid w:val="00891827"/>
    <w:rsid w:val="00896CE3"/>
    <w:rsid w:val="008A05A5"/>
    <w:rsid w:val="008A17E4"/>
    <w:rsid w:val="008A25A0"/>
    <w:rsid w:val="008A4716"/>
    <w:rsid w:val="008A571F"/>
    <w:rsid w:val="008A73C5"/>
    <w:rsid w:val="008A7D38"/>
    <w:rsid w:val="008B54CE"/>
    <w:rsid w:val="008B5FB9"/>
    <w:rsid w:val="008B6591"/>
    <w:rsid w:val="008B777B"/>
    <w:rsid w:val="008B7D8B"/>
    <w:rsid w:val="008C024E"/>
    <w:rsid w:val="008C0968"/>
    <w:rsid w:val="008C1348"/>
    <w:rsid w:val="008C18A4"/>
    <w:rsid w:val="008C38B0"/>
    <w:rsid w:val="008C3A6A"/>
    <w:rsid w:val="008C6201"/>
    <w:rsid w:val="008D2A01"/>
    <w:rsid w:val="008D3980"/>
    <w:rsid w:val="008D46F5"/>
    <w:rsid w:val="008D4C0E"/>
    <w:rsid w:val="008D69A8"/>
    <w:rsid w:val="008E1C34"/>
    <w:rsid w:val="008E47FF"/>
    <w:rsid w:val="008E544B"/>
    <w:rsid w:val="008E6A0F"/>
    <w:rsid w:val="008F09EA"/>
    <w:rsid w:val="008F16AA"/>
    <w:rsid w:val="008F2D24"/>
    <w:rsid w:val="008F419C"/>
    <w:rsid w:val="008F4DCC"/>
    <w:rsid w:val="008F5046"/>
    <w:rsid w:val="008F5370"/>
    <w:rsid w:val="008F5D02"/>
    <w:rsid w:val="008F670C"/>
    <w:rsid w:val="008F68C0"/>
    <w:rsid w:val="008F6BF1"/>
    <w:rsid w:val="00900302"/>
    <w:rsid w:val="0090044A"/>
    <w:rsid w:val="00904254"/>
    <w:rsid w:val="00904F4F"/>
    <w:rsid w:val="00905E73"/>
    <w:rsid w:val="00905EF6"/>
    <w:rsid w:val="009067DE"/>
    <w:rsid w:val="00910E5F"/>
    <w:rsid w:val="009162AD"/>
    <w:rsid w:val="009175BB"/>
    <w:rsid w:val="009212D7"/>
    <w:rsid w:val="00921D9D"/>
    <w:rsid w:val="009220B5"/>
    <w:rsid w:val="00922AD7"/>
    <w:rsid w:val="009246D4"/>
    <w:rsid w:val="00925ED3"/>
    <w:rsid w:val="009273FC"/>
    <w:rsid w:val="00927788"/>
    <w:rsid w:val="00930317"/>
    <w:rsid w:val="00930E1A"/>
    <w:rsid w:val="00931363"/>
    <w:rsid w:val="00934A67"/>
    <w:rsid w:val="00935C35"/>
    <w:rsid w:val="00936C83"/>
    <w:rsid w:val="00940A32"/>
    <w:rsid w:val="00941BF9"/>
    <w:rsid w:val="009428FB"/>
    <w:rsid w:val="00945026"/>
    <w:rsid w:val="00946CEB"/>
    <w:rsid w:val="00947462"/>
    <w:rsid w:val="0095085C"/>
    <w:rsid w:val="009528B4"/>
    <w:rsid w:val="00953B21"/>
    <w:rsid w:val="00954559"/>
    <w:rsid w:val="00956CFD"/>
    <w:rsid w:val="009579DB"/>
    <w:rsid w:val="00961A9C"/>
    <w:rsid w:val="0096492E"/>
    <w:rsid w:val="009668EA"/>
    <w:rsid w:val="00970463"/>
    <w:rsid w:val="0097266A"/>
    <w:rsid w:val="00972BB4"/>
    <w:rsid w:val="009745D3"/>
    <w:rsid w:val="009747C0"/>
    <w:rsid w:val="009758F4"/>
    <w:rsid w:val="0097624B"/>
    <w:rsid w:val="00976795"/>
    <w:rsid w:val="009814BA"/>
    <w:rsid w:val="009818F4"/>
    <w:rsid w:val="00982318"/>
    <w:rsid w:val="00982B12"/>
    <w:rsid w:val="0098339B"/>
    <w:rsid w:val="00987831"/>
    <w:rsid w:val="00990511"/>
    <w:rsid w:val="0099193A"/>
    <w:rsid w:val="0099268E"/>
    <w:rsid w:val="00994491"/>
    <w:rsid w:val="009944B8"/>
    <w:rsid w:val="009947B9"/>
    <w:rsid w:val="00994C87"/>
    <w:rsid w:val="00997DD9"/>
    <w:rsid w:val="009A08CB"/>
    <w:rsid w:val="009A0954"/>
    <w:rsid w:val="009A32F1"/>
    <w:rsid w:val="009A78B7"/>
    <w:rsid w:val="009B028F"/>
    <w:rsid w:val="009B1D21"/>
    <w:rsid w:val="009B2417"/>
    <w:rsid w:val="009B3E61"/>
    <w:rsid w:val="009B627D"/>
    <w:rsid w:val="009C03BA"/>
    <w:rsid w:val="009C2354"/>
    <w:rsid w:val="009C36F0"/>
    <w:rsid w:val="009C3928"/>
    <w:rsid w:val="009C4068"/>
    <w:rsid w:val="009C4308"/>
    <w:rsid w:val="009C5B48"/>
    <w:rsid w:val="009C776C"/>
    <w:rsid w:val="009C7FB1"/>
    <w:rsid w:val="009D027B"/>
    <w:rsid w:val="009D1B89"/>
    <w:rsid w:val="009D3DF6"/>
    <w:rsid w:val="009D43E0"/>
    <w:rsid w:val="009D44EE"/>
    <w:rsid w:val="009D49ED"/>
    <w:rsid w:val="009D5FAB"/>
    <w:rsid w:val="009D61DB"/>
    <w:rsid w:val="009D73DB"/>
    <w:rsid w:val="009D76F7"/>
    <w:rsid w:val="009E0288"/>
    <w:rsid w:val="009E26A4"/>
    <w:rsid w:val="009E6BA4"/>
    <w:rsid w:val="009F0637"/>
    <w:rsid w:val="009F5FE5"/>
    <w:rsid w:val="00A00497"/>
    <w:rsid w:val="00A02699"/>
    <w:rsid w:val="00A0319C"/>
    <w:rsid w:val="00A03F3B"/>
    <w:rsid w:val="00A04C54"/>
    <w:rsid w:val="00A066BA"/>
    <w:rsid w:val="00A11570"/>
    <w:rsid w:val="00A13DDD"/>
    <w:rsid w:val="00A1502C"/>
    <w:rsid w:val="00A1575A"/>
    <w:rsid w:val="00A2037D"/>
    <w:rsid w:val="00A230C4"/>
    <w:rsid w:val="00A233CD"/>
    <w:rsid w:val="00A263C3"/>
    <w:rsid w:val="00A30EF5"/>
    <w:rsid w:val="00A31C21"/>
    <w:rsid w:val="00A31C26"/>
    <w:rsid w:val="00A32038"/>
    <w:rsid w:val="00A32694"/>
    <w:rsid w:val="00A33B91"/>
    <w:rsid w:val="00A34432"/>
    <w:rsid w:val="00A3503B"/>
    <w:rsid w:val="00A35B63"/>
    <w:rsid w:val="00A35CA1"/>
    <w:rsid w:val="00A369BD"/>
    <w:rsid w:val="00A4032E"/>
    <w:rsid w:val="00A4072D"/>
    <w:rsid w:val="00A411F2"/>
    <w:rsid w:val="00A41803"/>
    <w:rsid w:val="00A445CB"/>
    <w:rsid w:val="00A45161"/>
    <w:rsid w:val="00A46AC1"/>
    <w:rsid w:val="00A47EA6"/>
    <w:rsid w:val="00A52F7A"/>
    <w:rsid w:val="00A52F8A"/>
    <w:rsid w:val="00A533E1"/>
    <w:rsid w:val="00A53DB9"/>
    <w:rsid w:val="00A5463A"/>
    <w:rsid w:val="00A564DE"/>
    <w:rsid w:val="00A616E6"/>
    <w:rsid w:val="00A61E65"/>
    <w:rsid w:val="00A6228C"/>
    <w:rsid w:val="00A623F3"/>
    <w:rsid w:val="00A65FB8"/>
    <w:rsid w:val="00A70A99"/>
    <w:rsid w:val="00A70CEF"/>
    <w:rsid w:val="00A71D75"/>
    <w:rsid w:val="00A72ED1"/>
    <w:rsid w:val="00A7361E"/>
    <w:rsid w:val="00A73714"/>
    <w:rsid w:val="00A73AF6"/>
    <w:rsid w:val="00A7546A"/>
    <w:rsid w:val="00A82544"/>
    <w:rsid w:val="00A82675"/>
    <w:rsid w:val="00A8461B"/>
    <w:rsid w:val="00A86BB2"/>
    <w:rsid w:val="00A8736A"/>
    <w:rsid w:val="00A90D27"/>
    <w:rsid w:val="00A90F6A"/>
    <w:rsid w:val="00A92AF8"/>
    <w:rsid w:val="00A931EA"/>
    <w:rsid w:val="00A94450"/>
    <w:rsid w:val="00A97165"/>
    <w:rsid w:val="00AA0056"/>
    <w:rsid w:val="00AA1DAD"/>
    <w:rsid w:val="00AA39E5"/>
    <w:rsid w:val="00AA4A90"/>
    <w:rsid w:val="00AA4D7E"/>
    <w:rsid w:val="00AB1E0E"/>
    <w:rsid w:val="00AB2037"/>
    <w:rsid w:val="00AB2135"/>
    <w:rsid w:val="00AB25EB"/>
    <w:rsid w:val="00AB26F3"/>
    <w:rsid w:val="00AB28C8"/>
    <w:rsid w:val="00AB2B81"/>
    <w:rsid w:val="00AB71B4"/>
    <w:rsid w:val="00AB738B"/>
    <w:rsid w:val="00AB7CF1"/>
    <w:rsid w:val="00AB7D19"/>
    <w:rsid w:val="00AC105C"/>
    <w:rsid w:val="00AC19A0"/>
    <w:rsid w:val="00AC4FA3"/>
    <w:rsid w:val="00AC5C41"/>
    <w:rsid w:val="00AC5E7F"/>
    <w:rsid w:val="00AC601A"/>
    <w:rsid w:val="00AC7664"/>
    <w:rsid w:val="00AD121B"/>
    <w:rsid w:val="00AD1D93"/>
    <w:rsid w:val="00AD3FDC"/>
    <w:rsid w:val="00AD5792"/>
    <w:rsid w:val="00AD6339"/>
    <w:rsid w:val="00AE0BEE"/>
    <w:rsid w:val="00AE1CAB"/>
    <w:rsid w:val="00AE21C9"/>
    <w:rsid w:val="00AE36C4"/>
    <w:rsid w:val="00AE389C"/>
    <w:rsid w:val="00AE406E"/>
    <w:rsid w:val="00AE47BA"/>
    <w:rsid w:val="00AE76FC"/>
    <w:rsid w:val="00AF2ACD"/>
    <w:rsid w:val="00AF42E5"/>
    <w:rsid w:val="00AF64F8"/>
    <w:rsid w:val="00B0080A"/>
    <w:rsid w:val="00B01E1F"/>
    <w:rsid w:val="00B0265E"/>
    <w:rsid w:val="00B02B32"/>
    <w:rsid w:val="00B02BFA"/>
    <w:rsid w:val="00B02E5E"/>
    <w:rsid w:val="00B044D1"/>
    <w:rsid w:val="00B053DD"/>
    <w:rsid w:val="00B05C7F"/>
    <w:rsid w:val="00B100DE"/>
    <w:rsid w:val="00B11244"/>
    <w:rsid w:val="00B11262"/>
    <w:rsid w:val="00B12675"/>
    <w:rsid w:val="00B16FBC"/>
    <w:rsid w:val="00B175B8"/>
    <w:rsid w:val="00B2202A"/>
    <w:rsid w:val="00B26EE4"/>
    <w:rsid w:val="00B28B93"/>
    <w:rsid w:val="00B30478"/>
    <w:rsid w:val="00B30A89"/>
    <w:rsid w:val="00B327F5"/>
    <w:rsid w:val="00B32C78"/>
    <w:rsid w:val="00B33ED7"/>
    <w:rsid w:val="00B37CFA"/>
    <w:rsid w:val="00B4033C"/>
    <w:rsid w:val="00B40AF7"/>
    <w:rsid w:val="00B434A6"/>
    <w:rsid w:val="00B43C11"/>
    <w:rsid w:val="00B4468B"/>
    <w:rsid w:val="00B44FA9"/>
    <w:rsid w:val="00B468D6"/>
    <w:rsid w:val="00B46FC4"/>
    <w:rsid w:val="00B50DB4"/>
    <w:rsid w:val="00B541D6"/>
    <w:rsid w:val="00B5475C"/>
    <w:rsid w:val="00B54EEA"/>
    <w:rsid w:val="00B61706"/>
    <w:rsid w:val="00B62590"/>
    <w:rsid w:val="00B63262"/>
    <w:rsid w:val="00B63C19"/>
    <w:rsid w:val="00B65292"/>
    <w:rsid w:val="00B6563D"/>
    <w:rsid w:val="00B65FC3"/>
    <w:rsid w:val="00B6639E"/>
    <w:rsid w:val="00B67B63"/>
    <w:rsid w:val="00B739B6"/>
    <w:rsid w:val="00B73A17"/>
    <w:rsid w:val="00B7460C"/>
    <w:rsid w:val="00B749B6"/>
    <w:rsid w:val="00B76189"/>
    <w:rsid w:val="00B76BEA"/>
    <w:rsid w:val="00B77499"/>
    <w:rsid w:val="00B800CC"/>
    <w:rsid w:val="00B81F63"/>
    <w:rsid w:val="00B82179"/>
    <w:rsid w:val="00B82B1E"/>
    <w:rsid w:val="00B82B66"/>
    <w:rsid w:val="00B85CFC"/>
    <w:rsid w:val="00B90717"/>
    <w:rsid w:val="00B915AC"/>
    <w:rsid w:val="00B9291B"/>
    <w:rsid w:val="00B942FB"/>
    <w:rsid w:val="00B94CB2"/>
    <w:rsid w:val="00B953B2"/>
    <w:rsid w:val="00B9552E"/>
    <w:rsid w:val="00B95659"/>
    <w:rsid w:val="00B9584D"/>
    <w:rsid w:val="00B95ABA"/>
    <w:rsid w:val="00B96EBA"/>
    <w:rsid w:val="00B9733A"/>
    <w:rsid w:val="00BA3E45"/>
    <w:rsid w:val="00BA401C"/>
    <w:rsid w:val="00BA525D"/>
    <w:rsid w:val="00BA5ACC"/>
    <w:rsid w:val="00BB01D9"/>
    <w:rsid w:val="00BB01E1"/>
    <w:rsid w:val="00BB0295"/>
    <w:rsid w:val="00BC06BA"/>
    <w:rsid w:val="00BC0AD7"/>
    <w:rsid w:val="00BC1191"/>
    <w:rsid w:val="00BC6F50"/>
    <w:rsid w:val="00BD0449"/>
    <w:rsid w:val="00BD18DA"/>
    <w:rsid w:val="00BD3DB8"/>
    <w:rsid w:val="00BD513B"/>
    <w:rsid w:val="00BD5601"/>
    <w:rsid w:val="00BD5D10"/>
    <w:rsid w:val="00BD5F97"/>
    <w:rsid w:val="00BD60DD"/>
    <w:rsid w:val="00BD65CD"/>
    <w:rsid w:val="00BD73EE"/>
    <w:rsid w:val="00BE180F"/>
    <w:rsid w:val="00BE4F1E"/>
    <w:rsid w:val="00BE7250"/>
    <w:rsid w:val="00BE7308"/>
    <w:rsid w:val="00BE7620"/>
    <w:rsid w:val="00BF0A72"/>
    <w:rsid w:val="00BF1462"/>
    <w:rsid w:val="00BF6C6C"/>
    <w:rsid w:val="00C005EB"/>
    <w:rsid w:val="00C036F0"/>
    <w:rsid w:val="00C0533C"/>
    <w:rsid w:val="00C05389"/>
    <w:rsid w:val="00C05C47"/>
    <w:rsid w:val="00C06EC1"/>
    <w:rsid w:val="00C11B54"/>
    <w:rsid w:val="00C12646"/>
    <w:rsid w:val="00C130DD"/>
    <w:rsid w:val="00C13A69"/>
    <w:rsid w:val="00C14DA9"/>
    <w:rsid w:val="00C1566E"/>
    <w:rsid w:val="00C165ED"/>
    <w:rsid w:val="00C201EF"/>
    <w:rsid w:val="00C21029"/>
    <w:rsid w:val="00C214FA"/>
    <w:rsid w:val="00C21808"/>
    <w:rsid w:val="00C21CE8"/>
    <w:rsid w:val="00C261A6"/>
    <w:rsid w:val="00C26DE5"/>
    <w:rsid w:val="00C3284A"/>
    <w:rsid w:val="00C33540"/>
    <w:rsid w:val="00C33C68"/>
    <w:rsid w:val="00C359DD"/>
    <w:rsid w:val="00C3660F"/>
    <w:rsid w:val="00C369FE"/>
    <w:rsid w:val="00C36A18"/>
    <w:rsid w:val="00C40FCB"/>
    <w:rsid w:val="00C41583"/>
    <w:rsid w:val="00C45D84"/>
    <w:rsid w:val="00C46F4A"/>
    <w:rsid w:val="00C47906"/>
    <w:rsid w:val="00C47B03"/>
    <w:rsid w:val="00C502AA"/>
    <w:rsid w:val="00C516CC"/>
    <w:rsid w:val="00C535AE"/>
    <w:rsid w:val="00C55177"/>
    <w:rsid w:val="00C55988"/>
    <w:rsid w:val="00C57A96"/>
    <w:rsid w:val="00C57CFD"/>
    <w:rsid w:val="00C604E8"/>
    <w:rsid w:val="00C61824"/>
    <w:rsid w:val="00C64041"/>
    <w:rsid w:val="00C662B5"/>
    <w:rsid w:val="00C66FE1"/>
    <w:rsid w:val="00C67CB4"/>
    <w:rsid w:val="00C7287F"/>
    <w:rsid w:val="00C73C3A"/>
    <w:rsid w:val="00C7540B"/>
    <w:rsid w:val="00C81B85"/>
    <w:rsid w:val="00C84469"/>
    <w:rsid w:val="00C90A8C"/>
    <w:rsid w:val="00C90F90"/>
    <w:rsid w:val="00C92B2B"/>
    <w:rsid w:val="00C93409"/>
    <w:rsid w:val="00C940D0"/>
    <w:rsid w:val="00C977B4"/>
    <w:rsid w:val="00CA0312"/>
    <w:rsid w:val="00CA127B"/>
    <w:rsid w:val="00CA3B4E"/>
    <w:rsid w:val="00CA457C"/>
    <w:rsid w:val="00CA55C6"/>
    <w:rsid w:val="00CA66CE"/>
    <w:rsid w:val="00CA7F16"/>
    <w:rsid w:val="00CB0672"/>
    <w:rsid w:val="00CB0989"/>
    <w:rsid w:val="00CB1F35"/>
    <w:rsid w:val="00CB2B76"/>
    <w:rsid w:val="00CB44B1"/>
    <w:rsid w:val="00CB5633"/>
    <w:rsid w:val="00CB5DF2"/>
    <w:rsid w:val="00CC01C2"/>
    <w:rsid w:val="00CC62DC"/>
    <w:rsid w:val="00CC66A1"/>
    <w:rsid w:val="00CD633E"/>
    <w:rsid w:val="00CD69AA"/>
    <w:rsid w:val="00CE0B6B"/>
    <w:rsid w:val="00CE3094"/>
    <w:rsid w:val="00CE4E21"/>
    <w:rsid w:val="00CE68E3"/>
    <w:rsid w:val="00CE721F"/>
    <w:rsid w:val="00CF03E1"/>
    <w:rsid w:val="00CF25D4"/>
    <w:rsid w:val="00CF326F"/>
    <w:rsid w:val="00D017C2"/>
    <w:rsid w:val="00D037B9"/>
    <w:rsid w:val="00D03A1A"/>
    <w:rsid w:val="00D0604D"/>
    <w:rsid w:val="00D102FC"/>
    <w:rsid w:val="00D1070E"/>
    <w:rsid w:val="00D11083"/>
    <w:rsid w:val="00D11884"/>
    <w:rsid w:val="00D121F9"/>
    <w:rsid w:val="00D12C6F"/>
    <w:rsid w:val="00D13A96"/>
    <w:rsid w:val="00D164A7"/>
    <w:rsid w:val="00D1652A"/>
    <w:rsid w:val="00D17681"/>
    <w:rsid w:val="00D21096"/>
    <w:rsid w:val="00D21FE2"/>
    <w:rsid w:val="00D2342A"/>
    <w:rsid w:val="00D23B6A"/>
    <w:rsid w:val="00D25362"/>
    <w:rsid w:val="00D32345"/>
    <w:rsid w:val="00D334A6"/>
    <w:rsid w:val="00D3414B"/>
    <w:rsid w:val="00D34BFF"/>
    <w:rsid w:val="00D350BF"/>
    <w:rsid w:val="00D35CF1"/>
    <w:rsid w:val="00D36A5E"/>
    <w:rsid w:val="00D36B3A"/>
    <w:rsid w:val="00D37807"/>
    <w:rsid w:val="00D37A78"/>
    <w:rsid w:val="00D416A8"/>
    <w:rsid w:val="00D441BA"/>
    <w:rsid w:val="00D44830"/>
    <w:rsid w:val="00D4541C"/>
    <w:rsid w:val="00D46678"/>
    <w:rsid w:val="00D46C93"/>
    <w:rsid w:val="00D50AEA"/>
    <w:rsid w:val="00D51314"/>
    <w:rsid w:val="00D52433"/>
    <w:rsid w:val="00D560CF"/>
    <w:rsid w:val="00D60272"/>
    <w:rsid w:val="00D60C1B"/>
    <w:rsid w:val="00D6390B"/>
    <w:rsid w:val="00D66D22"/>
    <w:rsid w:val="00D678DF"/>
    <w:rsid w:val="00D67A4A"/>
    <w:rsid w:val="00D70FB3"/>
    <w:rsid w:val="00D73180"/>
    <w:rsid w:val="00D74443"/>
    <w:rsid w:val="00D7672A"/>
    <w:rsid w:val="00D80286"/>
    <w:rsid w:val="00D806C2"/>
    <w:rsid w:val="00D82A47"/>
    <w:rsid w:val="00D83655"/>
    <w:rsid w:val="00D91125"/>
    <w:rsid w:val="00D91282"/>
    <w:rsid w:val="00D9404C"/>
    <w:rsid w:val="00D9407E"/>
    <w:rsid w:val="00D95ED0"/>
    <w:rsid w:val="00D96117"/>
    <w:rsid w:val="00D96A50"/>
    <w:rsid w:val="00DA1115"/>
    <w:rsid w:val="00DA2EC5"/>
    <w:rsid w:val="00DA493B"/>
    <w:rsid w:val="00DA6661"/>
    <w:rsid w:val="00DA704D"/>
    <w:rsid w:val="00DA74C7"/>
    <w:rsid w:val="00DB04A0"/>
    <w:rsid w:val="00DB0EB7"/>
    <w:rsid w:val="00DB1EE5"/>
    <w:rsid w:val="00DB237B"/>
    <w:rsid w:val="00DB2666"/>
    <w:rsid w:val="00DB39E5"/>
    <w:rsid w:val="00DB40E1"/>
    <w:rsid w:val="00DB4448"/>
    <w:rsid w:val="00DB58EB"/>
    <w:rsid w:val="00DB6DD4"/>
    <w:rsid w:val="00DB7134"/>
    <w:rsid w:val="00DC0F77"/>
    <w:rsid w:val="00DC258B"/>
    <w:rsid w:val="00DC2F70"/>
    <w:rsid w:val="00DC393D"/>
    <w:rsid w:val="00DC7889"/>
    <w:rsid w:val="00DD0373"/>
    <w:rsid w:val="00DD1372"/>
    <w:rsid w:val="00DD2297"/>
    <w:rsid w:val="00DD3653"/>
    <w:rsid w:val="00DD4EBF"/>
    <w:rsid w:val="00DD76AA"/>
    <w:rsid w:val="00DE0B2F"/>
    <w:rsid w:val="00DE4358"/>
    <w:rsid w:val="00DE4A01"/>
    <w:rsid w:val="00DF004F"/>
    <w:rsid w:val="00DF0A75"/>
    <w:rsid w:val="00DF11CD"/>
    <w:rsid w:val="00DF7822"/>
    <w:rsid w:val="00DF796B"/>
    <w:rsid w:val="00E00051"/>
    <w:rsid w:val="00E021B4"/>
    <w:rsid w:val="00E02AAC"/>
    <w:rsid w:val="00E03B20"/>
    <w:rsid w:val="00E03F6A"/>
    <w:rsid w:val="00E05DCB"/>
    <w:rsid w:val="00E11AB5"/>
    <w:rsid w:val="00E141F6"/>
    <w:rsid w:val="00E1537A"/>
    <w:rsid w:val="00E1658A"/>
    <w:rsid w:val="00E237CD"/>
    <w:rsid w:val="00E25E55"/>
    <w:rsid w:val="00E313BE"/>
    <w:rsid w:val="00E31EB0"/>
    <w:rsid w:val="00E3289A"/>
    <w:rsid w:val="00E32DF4"/>
    <w:rsid w:val="00E32F82"/>
    <w:rsid w:val="00E337A4"/>
    <w:rsid w:val="00E33E0C"/>
    <w:rsid w:val="00E341AA"/>
    <w:rsid w:val="00E341DF"/>
    <w:rsid w:val="00E36076"/>
    <w:rsid w:val="00E36692"/>
    <w:rsid w:val="00E379F2"/>
    <w:rsid w:val="00E41B22"/>
    <w:rsid w:val="00E423A8"/>
    <w:rsid w:val="00E43024"/>
    <w:rsid w:val="00E435AC"/>
    <w:rsid w:val="00E43638"/>
    <w:rsid w:val="00E4526A"/>
    <w:rsid w:val="00E46B77"/>
    <w:rsid w:val="00E501AD"/>
    <w:rsid w:val="00E5387E"/>
    <w:rsid w:val="00E54BB7"/>
    <w:rsid w:val="00E55EAF"/>
    <w:rsid w:val="00E565B6"/>
    <w:rsid w:val="00E571E9"/>
    <w:rsid w:val="00E573EF"/>
    <w:rsid w:val="00E57DA1"/>
    <w:rsid w:val="00E57EA0"/>
    <w:rsid w:val="00E60DF0"/>
    <w:rsid w:val="00E64348"/>
    <w:rsid w:val="00E66B6E"/>
    <w:rsid w:val="00E67D9A"/>
    <w:rsid w:val="00E704F1"/>
    <w:rsid w:val="00E70D29"/>
    <w:rsid w:val="00E71009"/>
    <w:rsid w:val="00E75489"/>
    <w:rsid w:val="00E75B0A"/>
    <w:rsid w:val="00E834C7"/>
    <w:rsid w:val="00E855D1"/>
    <w:rsid w:val="00E85EBC"/>
    <w:rsid w:val="00E90039"/>
    <w:rsid w:val="00E92A1D"/>
    <w:rsid w:val="00E94E20"/>
    <w:rsid w:val="00E95156"/>
    <w:rsid w:val="00E95BD1"/>
    <w:rsid w:val="00E97ECD"/>
    <w:rsid w:val="00E97F3F"/>
    <w:rsid w:val="00EA09D5"/>
    <w:rsid w:val="00EA1884"/>
    <w:rsid w:val="00EA4AE6"/>
    <w:rsid w:val="00EA6D49"/>
    <w:rsid w:val="00EB098A"/>
    <w:rsid w:val="00EC002F"/>
    <w:rsid w:val="00EC1947"/>
    <w:rsid w:val="00EC1EA0"/>
    <w:rsid w:val="00EC25D8"/>
    <w:rsid w:val="00EC26D8"/>
    <w:rsid w:val="00EC3110"/>
    <w:rsid w:val="00EC3E3F"/>
    <w:rsid w:val="00EC4731"/>
    <w:rsid w:val="00EC4895"/>
    <w:rsid w:val="00EC4C32"/>
    <w:rsid w:val="00EC5697"/>
    <w:rsid w:val="00EC56D5"/>
    <w:rsid w:val="00ED039B"/>
    <w:rsid w:val="00ED09EF"/>
    <w:rsid w:val="00ED10B6"/>
    <w:rsid w:val="00ED371B"/>
    <w:rsid w:val="00ED374A"/>
    <w:rsid w:val="00ED410C"/>
    <w:rsid w:val="00ED489E"/>
    <w:rsid w:val="00ED7795"/>
    <w:rsid w:val="00ED7CAD"/>
    <w:rsid w:val="00EE273B"/>
    <w:rsid w:val="00EE7307"/>
    <w:rsid w:val="00EF00FA"/>
    <w:rsid w:val="00EF0E99"/>
    <w:rsid w:val="00EF10D2"/>
    <w:rsid w:val="00EF14C8"/>
    <w:rsid w:val="00EF30B0"/>
    <w:rsid w:val="00EF3266"/>
    <w:rsid w:val="00EF518C"/>
    <w:rsid w:val="00EF5B39"/>
    <w:rsid w:val="00EF795E"/>
    <w:rsid w:val="00F00135"/>
    <w:rsid w:val="00F00809"/>
    <w:rsid w:val="00F00C67"/>
    <w:rsid w:val="00F01166"/>
    <w:rsid w:val="00F0160D"/>
    <w:rsid w:val="00F016FE"/>
    <w:rsid w:val="00F02637"/>
    <w:rsid w:val="00F03C38"/>
    <w:rsid w:val="00F1226B"/>
    <w:rsid w:val="00F13988"/>
    <w:rsid w:val="00F15DD1"/>
    <w:rsid w:val="00F20081"/>
    <w:rsid w:val="00F20B6A"/>
    <w:rsid w:val="00F20BDA"/>
    <w:rsid w:val="00F21AEE"/>
    <w:rsid w:val="00F22C4C"/>
    <w:rsid w:val="00F2509E"/>
    <w:rsid w:val="00F26DD7"/>
    <w:rsid w:val="00F323A5"/>
    <w:rsid w:val="00F34A21"/>
    <w:rsid w:val="00F3517B"/>
    <w:rsid w:val="00F35414"/>
    <w:rsid w:val="00F408A3"/>
    <w:rsid w:val="00F40EBB"/>
    <w:rsid w:val="00F411CB"/>
    <w:rsid w:val="00F41270"/>
    <w:rsid w:val="00F43EC4"/>
    <w:rsid w:val="00F4640D"/>
    <w:rsid w:val="00F477F4"/>
    <w:rsid w:val="00F501E6"/>
    <w:rsid w:val="00F5207D"/>
    <w:rsid w:val="00F5527F"/>
    <w:rsid w:val="00F556CD"/>
    <w:rsid w:val="00F57F77"/>
    <w:rsid w:val="00F60AD9"/>
    <w:rsid w:val="00F63AF5"/>
    <w:rsid w:val="00F649C8"/>
    <w:rsid w:val="00F6508C"/>
    <w:rsid w:val="00F6711A"/>
    <w:rsid w:val="00F67ED1"/>
    <w:rsid w:val="00F73BF6"/>
    <w:rsid w:val="00F73D14"/>
    <w:rsid w:val="00F76951"/>
    <w:rsid w:val="00F77D01"/>
    <w:rsid w:val="00F81D29"/>
    <w:rsid w:val="00F82908"/>
    <w:rsid w:val="00F841A8"/>
    <w:rsid w:val="00F86002"/>
    <w:rsid w:val="00F873E3"/>
    <w:rsid w:val="00F87678"/>
    <w:rsid w:val="00F91DC9"/>
    <w:rsid w:val="00F91FA3"/>
    <w:rsid w:val="00F934BA"/>
    <w:rsid w:val="00F966B6"/>
    <w:rsid w:val="00F966E5"/>
    <w:rsid w:val="00F97B1B"/>
    <w:rsid w:val="00F97C93"/>
    <w:rsid w:val="00F97D10"/>
    <w:rsid w:val="00FA09AD"/>
    <w:rsid w:val="00FA2299"/>
    <w:rsid w:val="00FA2822"/>
    <w:rsid w:val="00FA2DEA"/>
    <w:rsid w:val="00FA2E89"/>
    <w:rsid w:val="00FA7742"/>
    <w:rsid w:val="00FB04F6"/>
    <w:rsid w:val="00FB10F0"/>
    <w:rsid w:val="00FB126C"/>
    <w:rsid w:val="00FB18DB"/>
    <w:rsid w:val="00FB273B"/>
    <w:rsid w:val="00FC0453"/>
    <w:rsid w:val="00FC3E91"/>
    <w:rsid w:val="00FC5849"/>
    <w:rsid w:val="00FD078A"/>
    <w:rsid w:val="00FD3415"/>
    <w:rsid w:val="00FD400A"/>
    <w:rsid w:val="00FD5080"/>
    <w:rsid w:val="00FD558F"/>
    <w:rsid w:val="00FD607C"/>
    <w:rsid w:val="00FD6CD1"/>
    <w:rsid w:val="00FD7760"/>
    <w:rsid w:val="00FE1415"/>
    <w:rsid w:val="00FE2E89"/>
    <w:rsid w:val="00FE3B2A"/>
    <w:rsid w:val="00FE3C4C"/>
    <w:rsid w:val="00FE57B8"/>
    <w:rsid w:val="00FE67B4"/>
    <w:rsid w:val="00FE6EA5"/>
    <w:rsid w:val="00FE6FC3"/>
    <w:rsid w:val="00FE78E6"/>
    <w:rsid w:val="00FF0E4D"/>
    <w:rsid w:val="00FF1622"/>
    <w:rsid w:val="00FF2E18"/>
    <w:rsid w:val="00FF4AF6"/>
    <w:rsid w:val="00FF54ED"/>
    <w:rsid w:val="013F7DC9"/>
    <w:rsid w:val="018F36F5"/>
    <w:rsid w:val="01E3270C"/>
    <w:rsid w:val="02000323"/>
    <w:rsid w:val="02029864"/>
    <w:rsid w:val="0210774B"/>
    <w:rsid w:val="02122E5C"/>
    <w:rsid w:val="02190FE7"/>
    <w:rsid w:val="022C031D"/>
    <w:rsid w:val="023B649C"/>
    <w:rsid w:val="0241B4C0"/>
    <w:rsid w:val="026484D6"/>
    <w:rsid w:val="029B8F5A"/>
    <w:rsid w:val="02CAA371"/>
    <w:rsid w:val="02CBF632"/>
    <w:rsid w:val="0318FA25"/>
    <w:rsid w:val="037290C9"/>
    <w:rsid w:val="037EE583"/>
    <w:rsid w:val="03EE5A3E"/>
    <w:rsid w:val="04F999B5"/>
    <w:rsid w:val="05663090"/>
    <w:rsid w:val="05897E68"/>
    <w:rsid w:val="05A30B13"/>
    <w:rsid w:val="05ABFFA9"/>
    <w:rsid w:val="05D42EA6"/>
    <w:rsid w:val="05D95E5C"/>
    <w:rsid w:val="069D95B4"/>
    <w:rsid w:val="06CC1105"/>
    <w:rsid w:val="06E40BE8"/>
    <w:rsid w:val="0764E629"/>
    <w:rsid w:val="0774A92D"/>
    <w:rsid w:val="0787F381"/>
    <w:rsid w:val="07A985C3"/>
    <w:rsid w:val="0873491D"/>
    <w:rsid w:val="08964A2F"/>
    <w:rsid w:val="09486727"/>
    <w:rsid w:val="0953CE74"/>
    <w:rsid w:val="09774569"/>
    <w:rsid w:val="0986A826"/>
    <w:rsid w:val="0A1598FD"/>
    <w:rsid w:val="0A1B2B5D"/>
    <w:rsid w:val="0A37F7C4"/>
    <w:rsid w:val="0A43251E"/>
    <w:rsid w:val="0A489ABD"/>
    <w:rsid w:val="0A8B0DE2"/>
    <w:rsid w:val="0B11C451"/>
    <w:rsid w:val="0B2EBE1D"/>
    <w:rsid w:val="0B6385AB"/>
    <w:rsid w:val="0B9AAD57"/>
    <w:rsid w:val="0BD68F66"/>
    <w:rsid w:val="0C5A173D"/>
    <w:rsid w:val="0C5A4793"/>
    <w:rsid w:val="0CC8E97B"/>
    <w:rsid w:val="0D2D3B60"/>
    <w:rsid w:val="0D2DADD6"/>
    <w:rsid w:val="0D373B4A"/>
    <w:rsid w:val="0D99C686"/>
    <w:rsid w:val="0DAA2142"/>
    <w:rsid w:val="0E2E1D2F"/>
    <w:rsid w:val="0E58B482"/>
    <w:rsid w:val="0F0A3794"/>
    <w:rsid w:val="0F2E5B1E"/>
    <w:rsid w:val="0F5D301E"/>
    <w:rsid w:val="0FA46252"/>
    <w:rsid w:val="0FB7816D"/>
    <w:rsid w:val="0FE1F882"/>
    <w:rsid w:val="0FEF5FFA"/>
    <w:rsid w:val="0FF7D55D"/>
    <w:rsid w:val="104B5FA7"/>
    <w:rsid w:val="105719AC"/>
    <w:rsid w:val="108A7720"/>
    <w:rsid w:val="10B31451"/>
    <w:rsid w:val="10BF1ABD"/>
    <w:rsid w:val="10E20A05"/>
    <w:rsid w:val="111ED469"/>
    <w:rsid w:val="1133C7F7"/>
    <w:rsid w:val="11347A7A"/>
    <w:rsid w:val="11661E7D"/>
    <w:rsid w:val="11992836"/>
    <w:rsid w:val="11E0E8D3"/>
    <w:rsid w:val="11E57438"/>
    <w:rsid w:val="11F440BE"/>
    <w:rsid w:val="120BFD2F"/>
    <w:rsid w:val="12177B65"/>
    <w:rsid w:val="122B4BD1"/>
    <w:rsid w:val="12F1BBFC"/>
    <w:rsid w:val="131B64BF"/>
    <w:rsid w:val="1345E208"/>
    <w:rsid w:val="134E52CA"/>
    <w:rsid w:val="137C3D70"/>
    <w:rsid w:val="13B27F86"/>
    <w:rsid w:val="13B2AD82"/>
    <w:rsid w:val="13D3D0CA"/>
    <w:rsid w:val="1436FB30"/>
    <w:rsid w:val="14459440"/>
    <w:rsid w:val="147DF6BB"/>
    <w:rsid w:val="156F9293"/>
    <w:rsid w:val="162E9378"/>
    <w:rsid w:val="16450B3C"/>
    <w:rsid w:val="1651FFA1"/>
    <w:rsid w:val="166FFC6B"/>
    <w:rsid w:val="16BD7889"/>
    <w:rsid w:val="16D705E6"/>
    <w:rsid w:val="16F4443E"/>
    <w:rsid w:val="1718F611"/>
    <w:rsid w:val="17275B02"/>
    <w:rsid w:val="17515B0F"/>
    <w:rsid w:val="178F6946"/>
    <w:rsid w:val="17FA957D"/>
    <w:rsid w:val="181DB911"/>
    <w:rsid w:val="19165E5C"/>
    <w:rsid w:val="195CA20A"/>
    <w:rsid w:val="197B3110"/>
    <w:rsid w:val="19810F13"/>
    <w:rsid w:val="198D3CCD"/>
    <w:rsid w:val="19A4D193"/>
    <w:rsid w:val="19E7FB46"/>
    <w:rsid w:val="19E8E64F"/>
    <w:rsid w:val="1A4B2BF1"/>
    <w:rsid w:val="1A887C86"/>
    <w:rsid w:val="1AA65670"/>
    <w:rsid w:val="1AAC2BC7"/>
    <w:rsid w:val="1ABA4437"/>
    <w:rsid w:val="1AD967CF"/>
    <w:rsid w:val="1B1F07A2"/>
    <w:rsid w:val="1B39EE98"/>
    <w:rsid w:val="1B6D98A2"/>
    <w:rsid w:val="1B7B8F0B"/>
    <w:rsid w:val="1B947F62"/>
    <w:rsid w:val="1BEA9270"/>
    <w:rsid w:val="1BF2E3A2"/>
    <w:rsid w:val="1C088808"/>
    <w:rsid w:val="1CA5F8D0"/>
    <w:rsid w:val="1CC1DDC1"/>
    <w:rsid w:val="1CFC23CB"/>
    <w:rsid w:val="1D01B285"/>
    <w:rsid w:val="1D06A2B8"/>
    <w:rsid w:val="1D16C24F"/>
    <w:rsid w:val="1D1C7254"/>
    <w:rsid w:val="1D4C2A4B"/>
    <w:rsid w:val="1D4E5974"/>
    <w:rsid w:val="1D78F4FC"/>
    <w:rsid w:val="1DF7EF18"/>
    <w:rsid w:val="1E612E38"/>
    <w:rsid w:val="1E6E4D59"/>
    <w:rsid w:val="1E6F47A5"/>
    <w:rsid w:val="1E7478D6"/>
    <w:rsid w:val="1EF20D82"/>
    <w:rsid w:val="1F496BB5"/>
    <w:rsid w:val="2010E6CC"/>
    <w:rsid w:val="201EC86D"/>
    <w:rsid w:val="204BB8D7"/>
    <w:rsid w:val="2093A51E"/>
    <w:rsid w:val="20B2B986"/>
    <w:rsid w:val="2175C2D9"/>
    <w:rsid w:val="21898ADE"/>
    <w:rsid w:val="21C60052"/>
    <w:rsid w:val="21E87E10"/>
    <w:rsid w:val="223A3FD7"/>
    <w:rsid w:val="225D36CE"/>
    <w:rsid w:val="22CB4A71"/>
    <w:rsid w:val="22D4D6A7"/>
    <w:rsid w:val="22F3EE23"/>
    <w:rsid w:val="230AD9FB"/>
    <w:rsid w:val="2390949D"/>
    <w:rsid w:val="23D36B15"/>
    <w:rsid w:val="240635A6"/>
    <w:rsid w:val="244A1F0A"/>
    <w:rsid w:val="2455DBA7"/>
    <w:rsid w:val="24A34EBE"/>
    <w:rsid w:val="24CCBA56"/>
    <w:rsid w:val="2505DFDA"/>
    <w:rsid w:val="250882F7"/>
    <w:rsid w:val="258BCC2E"/>
    <w:rsid w:val="262B8EE5"/>
    <w:rsid w:val="2683E8EF"/>
    <w:rsid w:val="269518CF"/>
    <w:rsid w:val="27076721"/>
    <w:rsid w:val="2750A74E"/>
    <w:rsid w:val="27F04928"/>
    <w:rsid w:val="289B23B5"/>
    <w:rsid w:val="289E5835"/>
    <w:rsid w:val="28B4D5C8"/>
    <w:rsid w:val="28DF1E85"/>
    <w:rsid w:val="293A92DB"/>
    <w:rsid w:val="293AF06A"/>
    <w:rsid w:val="296FCCB8"/>
    <w:rsid w:val="29A4DC11"/>
    <w:rsid w:val="29F34D62"/>
    <w:rsid w:val="2A0ACD34"/>
    <w:rsid w:val="2B6A9855"/>
    <w:rsid w:val="2B7143F0"/>
    <w:rsid w:val="2B75A4A1"/>
    <w:rsid w:val="2B9223A6"/>
    <w:rsid w:val="2B9AB61C"/>
    <w:rsid w:val="2C0EC9E3"/>
    <w:rsid w:val="2C2CD950"/>
    <w:rsid w:val="2C42D834"/>
    <w:rsid w:val="2C646D2A"/>
    <w:rsid w:val="2C9F72D4"/>
    <w:rsid w:val="2CABB99F"/>
    <w:rsid w:val="2CD76A05"/>
    <w:rsid w:val="2CE493C6"/>
    <w:rsid w:val="2CF9814F"/>
    <w:rsid w:val="2D18CB6A"/>
    <w:rsid w:val="2D2023A7"/>
    <w:rsid w:val="2D72FC0C"/>
    <w:rsid w:val="2D97A88F"/>
    <w:rsid w:val="2DF88591"/>
    <w:rsid w:val="2E12BDA9"/>
    <w:rsid w:val="2E1EE538"/>
    <w:rsid w:val="2E80B77E"/>
    <w:rsid w:val="2E817634"/>
    <w:rsid w:val="2EED0F47"/>
    <w:rsid w:val="2F7A2530"/>
    <w:rsid w:val="2FBACD85"/>
    <w:rsid w:val="30198CAE"/>
    <w:rsid w:val="302081F6"/>
    <w:rsid w:val="305E9557"/>
    <w:rsid w:val="308BCF12"/>
    <w:rsid w:val="3096197D"/>
    <w:rsid w:val="30D53D52"/>
    <w:rsid w:val="314A221C"/>
    <w:rsid w:val="318DAFA7"/>
    <w:rsid w:val="31D37621"/>
    <w:rsid w:val="320FE034"/>
    <w:rsid w:val="32122720"/>
    <w:rsid w:val="325B2E58"/>
    <w:rsid w:val="3276565A"/>
    <w:rsid w:val="33676846"/>
    <w:rsid w:val="337FD2A8"/>
    <w:rsid w:val="3384DDF5"/>
    <w:rsid w:val="339DDAB5"/>
    <w:rsid w:val="33C43DF7"/>
    <w:rsid w:val="33C51560"/>
    <w:rsid w:val="34299933"/>
    <w:rsid w:val="34A49195"/>
    <w:rsid w:val="34CBD70A"/>
    <w:rsid w:val="34DF5D48"/>
    <w:rsid w:val="351252AC"/>
    <w:rsid w:val="353545C2"/>
    <w:rsid w:val="357E3CFE"/>
    <w:rsid w:val="35C836EC"/>
    <w:rsid w:val="35E51EA4"/>
    <w:rsid w:val="3665E1CC"/>
    <w:rsid w:val="36C5E81D"/>
    <w:rsid w:val="36CB264A"/>
    <w:rsid w:val="36EA4CFD"/>
    <w:rsid w:val="37294F9F"/>
    <w:rsid w:val="375A0B25"/>
    <w:rsid w:val="375F3F9E"/>
    <w:rsid w:val="37698868"/>
    <w:rsid w:val="37C9879E"/>
    <w:rsid w:val="37DA5A2E"/>
    <w:rsid w:val="3851E728"/>
    <w:rsid w:val="3886CD23"/>
    <w:rsid w:val="38A12B62"/>
    <w:rsid w:val="38AC6162"/>
    <w:rsid w:val="38EAA08F"/>
    <w:rsid w:val="3903317F"/>
    <w:rsid w:val="3953BE12"/>
    <w:rsid w:val="39AE16B2"/>
    <w:rsid w:val="39DA3674"/>
    <w:rsid w:val="39F10C9D"/>
    <w:rsid w:val="3A8CB3B9"/>
    <w:rsid w:val="3AB88346"/>
    <w:rsid w:val="3ADAF4B7"/>
    <w:rsid w:val="3AEDFA33"/>
    <w:rsid w:val="3AEE34E2"/>
    <w:rsid w:val="3C239726"/>
    <w:rsid w:val="3C2561AB"/>
    <w:rsid w:val="3C6ABD41"/>
    <w:rsid w:val="3CACDF6C"/>
    <w:rsid w:val="3CB7C1AD"/>
    <w:rsid w:val="3CEEA0A7"/>
    <w:rsid w:val="3D004D8E"/>
    <w:rsid w:val="3D17C3F9"/>
    <w:rsid w:val="3D1EAF2C"/>
    <w:rsid w:val="3DD18CE1"/>
    <w:rsid w:val="3DD76052"/>
    <w:rsid w:val="3E1E073B"/>
    <w:rsid w:val="3E43C618"/>
    <w:rsid w:val="3E4FA08B"/>
    <w:rsid w:val="3ECA573D"/>
    <w:rsid w:val="3EF65F1E"/>
    <w:rsid w:val="3F0A0941"/>
    <w:rsid w:val="3F4109A2"/>
    <w:rsid w:val="3F6D93ED"/>
    <w:rsid w:val="3F773BB6"/>
    <w:rsid w:val="3FABCF8E"/>
    <w:rsid w:val="3FCC6A48"/>
    <w:rsid w:val="4002F6B1"/>
    <w:rsid w:val="40581656"/>
    <w:rsid w:val="4065139F"/>
    <w:rsid w:val="4137ED15"/>
    <w:rsid w:val="416F7ABD"/>
    <w:rsid w:val="41894C71"/>
    <w:rsid w:val="41897E47"/>
    <w:rsid w:val="418B9C43"/>
    <w:rsid w:val="419621D3"/>
    <w:rsid w:val="41BD87DD"/>
    <w:rsid w:val="4278F3D7"/>
    <w:rsid w:val="42B1369E"/>
    <w:rsid w:val="42BBBFAA"/>
    <w:rsid w:val="42E8FCAE"/>
    <w:rsid w:val="43071C9B"/>
    <w:rsid w:val="436BEB3C"/>
    <w:rsid w:val="43894F2F"/>
    <w:rsid w:val="43C8DF32"/>
    <w:rsid w:val="43D1470F"/>
    <w:rsid w:val="43D91593"/>
    <w:rsid w:val="440E7EA6"/>
    <w:rsid w:val="4436666A"/>
    <w:rsid w:val="4440E05A"/>
    <w:rsid w:val="45001CEC"/>
    <w:rsid w:val="45388B96"/>
    <w:rsid w:val="45B4E8BC"/>
    <w:rsid w:val="45BBEFEA"/>
    <w:rsid w:val="45CCD4EB"/>
    <w:rsid w:val="4673B369"/>
    <w:rsid w:val="467A3F2E"/>
    <w:rsid w:val="46B15545"/>
    <w:rsid w:val="476AAA83"/>
    <w:rsid w:val="4787D7F0"/>
    <w:rsid w:val="47EEA831"/>
    <w:rsid w:val="47F0FF93"/>
    <w:rsid w:val="47F6A6CA"/>
    <w:rsid w:val="47FCAAC4"/>
    <w:rsid w:val="484095E7"/>
    <w:rsid w:val="484FF943"/>
    <w:rsid w:val="485754D1"/>
    <w:rsid w:val="4865D536"/>
    <w:rsid w:val="48B05EC0"/>
    <w:rsid w:val="48E55903"/>
    <w:rsid w:val="492B8286"/>
    <w:rsid w:val="498FE4B5"/>
    <w:rsid w:val="49DF2159"/>
    <w:rsid w:val="4A1C1955"/>
    <w:rsid w:val="4A5DFE26"/>
    <w:rsid w:val="4A711320"/>
    <w:rsid w:val="4AD504C3"/>
    <w:rsid w:val="4B605A1E"/>
    <w:rsid w:val="4C286295"/>
    <w:rsid w:val="4C4D8EAF"/>
    <w:rsid w:val="4CC80DA1"/>
    <w:rsid w:val="4CF5769E"/>
    <w:rsid w:val="4D061007"/>
    <w:rsid w:val="4D10365B"/>
    <w:rsid w:val="4D78772C"/>
    <w:rsid w:val="4DB04CA1"/>
    <w:rsid w:val="4DCAFE6A"/>
    <w:rsid w:val="4DCCF98C"/>
    <w:rsid w:val="4E20C998"/>
    <w:rsid w:val="4E2603D2"/>
    <w:rsid w:val="4E3C0366"/>
    <w:rsid w:val="4E4A4666"/>
    <w:rsid w:val="4E6B3C22"/>
    <w:rsid w:val="4E6CD8BA"/>
    <w:rsid w:val="4ECC9239"/>
    <w:rsid w:val="4EF9DDF2"/>
    <w:rsid w:val="4F7D6BE3"/>
    <w:rsid w:val="4F94AE0F"/>
    <w:rsid w:val="4FA76525"/>
    <w:rsid w:val="4FEBD93E"/>
    <w:rsid w:val="5052122C"/>
    <w:rsid w:val="50D122E6"/>
    <w:rsid w:val="50EE69D1"/>
    <w:rsid w:val="51196F15"/>
    <w:rsid w:val="5121A795"/>
    <w:rsid w:val="513BEF63"/>
    <w:rsid w:val="517BFE7C"/>
    <w:rsid w:val="518A30D6"/>
    <w:rsid w:val="51B07F15"/>
    <w:rsid w:val="51B33D23"/>
    <w:rsid w:val="532CF00B"/>
    <w:rsid w:val="534CC787"/>
    <w:rsid w:val="5359E56F"/>
    <w:rsid w:val="536237F5"/>
    <w:rsid w:val="542F46D1"/>
    <w:rsid w:val="5442D7AB"/>
    <w:rsid w:val="54F087D6"/>
    <w:rsid w:val="54F53C60"/>
    <w:rsid w:val="557F0840"/>
    <w:rsid w:val="558105B7"/>
    <w:rsid w:val="55C85F5C"/>
    <w:rsid w:val="55F188EF"/>
    <w:rsid w:val="5666073D"/>
    <w:rsid w:val="566E21DA"/>
    <w:rsid w:val="5685B48C"/>
    <w:rsid w:val="572C1378"/>
    <w:rsid w:val="574FB6E5"/>
    <w:rsid w:val="576E1581"/>
    <w:rsid w:val="577D581A"/>
    <w:rsid w:val="57FB14EB"/>
    <w:rsid w:val="580B73DD"/>
    <w:rsid w:val="588D53DD"/>
    <w:rsid w:val="58ACF586"/>
    <w:rsid w:val="58D40390"/>
    <w:rsid w:val="58DCDDAF"/>
    <w:rsid w:val="58F426F1"/>
    <w:rsid w:val="58F5B5B3"/>
    <w:rsid w:val="58F5F8BA"/>
    <w:rsid w:val="592D71B4"/>
    <w:rsid w:val="59365CEB"/>
    <w:rsid w:val="59A05D9D"/>
    <w:rsid w:val="59F1A64A"/>
    <w:rsid w:val="5A2046E2"/>
    <w:rsid w:val="5A546038"/>
    <w:rsid w:val="5A8A398C"/>
    <w:rsid w:val="5AAD3C40"/>
    <w:rsid w:val="5AB46D78"/>
    <w:rsid w:val="5AB4F8DC"/>
    <w:rsid w:val="5AB83AD8"/>
    <w:rsid w:val="5B024186"/>
    <w:rsid w:val="5B41B7B3"/>
    <w:rsid w:val="5B5DFD6B"/>
    <w:rsid w:val="5B6F4F35"/>
    <w:rsid w:val="5BA8BBCF"/>
    <w:rsid w:val="5BDBEEE1"/>
    <w:rsid w:val="5C62CD4E"/>
    <w:rsid w:val="5C8C8894"/>
    <w:rsid w:val="5D3A6547"/>
    <w:rsid w:val="5D5E650F"/>
    <w:rsid w:val="5DE51984"/>
    <w:rsid w:val="5DECD049"/>
    <w:rsid w:val="5E0A31EC"/>
    <w:rsid w:val="5E1EB11A"/>
    <w:rsid w:val="5E2A0AB3"/>
    <w:rsid w:val="5E58B992"/>
    <w:rsid w:val="5E7AB561"/>
    <w:rsid w:val="5F1BD9C0"/>
    <w:rsid w:val="5FBA24E7"/>
    <w:rsid w:val="5FC20954"/>
    <w:rsid w:val="6000E9F2"/>
    <w:rsid w:val="602DCB9A"/>
    <w:rsid w:val="6088E599"/>
    <w:rsid w:val="60E1BDDE"/>
    <w:rsid w:val="60EB70D1"/>
    <w:rsid w:val="6108B8F8"/>
    <w:rsid w:val="6115205D"/>
    <w:rsid w:val="627076A4"/>
    <w:rsid w:val="62D25C85"/>
    <w:rsid w:val="6309368F"/>
    <w:rsid w:val="639F2DD4"/>
    <w:rsid w:val="639F659F"/>
    <w:rsid w:val="63AA307A"/>
    <w:rsid w:val="63D8C5E7"/>
    <w:rsid w:val="63ECDB97"/>
    <w:rsid w:val="6478C981"/>
    <w:rsid w:val="65388972"/>
    <w:rsid w:val="6549F252"/>
    <w:rsid w:val="657B3656"/>
    <w:rsid w:val="65993C17"/>
    <w:rsid w:val="659C9001"/>
    <w:rsid w:val="65A226EE"/>
    <w:rsid w:val="65A8E1EE"/>
    <w:rsid w:val="65BC2A05"/>
    <w:rsid w:val="65D46533"/>
    <w:rsid w:val="66170970"/>
    <w:rsid w:val="6638B570"/>
    <w:rsid w:val="66AC5709"/>
    <w:rsid w:val="66D2E763"/>
    <w:rsid w:val="6705DECD"/>
    <w:rsid w:val="6718FB55"/>
    <w:rsid w:val="67A3DBE8"/>
    <w:rsid w:val="6800EEC3"/>
    <w:rsid w:val="68B5B9AC"/>
    <w:rsid w:val="69026243"/>
    <w:rsid w:val="690414B9"/>
    <w:rsid w:val="69147B08"/>
    <w:rsid w:val="694B8087"/>
    <w:rsid w:val="69B0C68A"/>
    <w:rsid w:val="6A3AF366"/>
    <w:rsid w:val="6ADD38D7"/>
    <w:rsid w:val="6AFE982E"/>
    <w:rsid w:val="6B07778F"/>
    <w:rsid w:val="6B09E1C6"/>
    <w:rsid w:val="6B0F5A2E"/>
    <w:rsid w:val="6BCCAB28"/>
    <w:rsid w:val="6C1F01BB"/>
    <w:rsid w:val="6C4FBD4B"/>
    <w:rsid w:val="6CEA3D01"/>
    <w:rsid w:val="6CF10747"/>
    <w:rsid w:val="6D68D568"/>
    <w:rsid w:val="6D8759CF"/>
    <w:rsid w:val="6DBC1047"/>
    <w:rsid w:val="6DC7BE32"/>
    <w:rsid w:val="6DE91B1B"/>
    <w:rsid w:val="6E3284D3"/>
    <w:rsid w:val="6E3DB325"/>
    <w:rsid w:val="6E40BDED"/>
    <w:rsid w:val="6E41946D"/>
    <w:rsid w:val="6E5595B1"/>
    <w:rsid w:val="6E60055E"/>
    <w:rsid w:val="6E695E54"/>
    <w:rsid w:val="6F1162E4"/>
    <w:rsid w:val="6F2AAF8C"/>
    <w:rsid w:val="6F66749F"/>
    <w:rsid w:val="6F6B73C1"/>
    <w:rsid w:val="6FBE0410"/>
    <w:rsid w:val="6FE902D9"/>
    <w:rsid w:val="6FF5A665"/>
    <w:rsid w:val="70DC2B8E"/>
    <w:rsid w:val="7115B422"/>
    <w:rsid w:val="7123EDA3"/>
    <w:rsid w:val="71425A58"/>
    <w:rsid w:val="7185B98A"/>
    <w:rsid w:val="720DB511"/>
    <w:rsid w:val="72110CA3"/>
    <w:rsid w:val="724A6FD6"/>
    <w:rsid w:val="726F1510"/>
    <w:rsid w:val="7293A676"/>
    <w:rsid w:val="72A31483"/>
    <w:rsid w:val="72A411A1"/>
    <w:rsid w:val="72F756F6"/>
    <w:rsid w:val="733BF392"/>
    <w:rsid w:val="7395718F"/>
    <w:rsid w:val="73E372D6"/>
    <w:rsid w:val="73E3AC59"/>
    <w:rsid w:val="743EE4E4"/>
    <w:rsid w:val="75A8CC5E"/>
    <w:rsid w:val="75D1853C"/>
    <w:rsid w:val="75E452EF"/>
    <w:rsid w:val="763D94CF"/>
    <w:rsid w:val="777C1CA9"/>
    <w:rsid w:val="7795CDB8"/>
    <w:rsid w:val="779E0A7F"/>
    <w:rsid w:val="77A737BF"/>
    <w:rsid w:val="77EF6074"/>
    <w:rsid w:val="77FA95EB"/>
    <w:rsid w:val="78151863"/>
    <w:rsid w:val="7815C6F7"/>
    <w:rsid w:val="785F4ACE"/>
    <w:rsid w:val="78A03E32"/>
    <w:rsid w:val="78CA261D"/>
    <w:rsid w:val="78F01E4B"/>
    <w:rsid w:val="78FC8F06"/>
    <w:rsid w:val="79553F6F"/>
    <w:rsid w:val="795D844A"/>
    <w:rsid w:val="7990D6A6"/>
    <w:rsid w:val="79DAEF1E"/>
    <w:rsid w:val="7A121848"/>
    <w:rsid w:val="7A39E384"/>
    <w:rsid w:val="7AAD7819"/>
    <w:rsid w:val="7AFCC599"/>
    <w:rsid w:val="7B49624F"/>
    <w:rsid w:val="7B8787FF"/>
    <w:rsid w:val="7B8EFA11"/>
    <w:rsid w:val="7BC2AF55"/>
    <w:rsid w:val="7BC59E2F"/>
    <w:rsid w:val="7BF74FB6"/>
    <w:rsid w:val="7C375FCF"/>
    <w:rsid w:val="7C52AD9D"/>
    <w:rsid w:val="7C57E7D7"/>
    <w:rsid w:val="7C60FBCE"/>
    <w:rsid w:val="7C62A87B"/>
    <w:rsid w:val="7CA70385"/>
    <w:rsid w:val="7CAD82F4"/>
    <w:rsid w:val="7CF74CBE"/>
    <w:rsid w:val="7CF9F1BD"/>
    <w:rsid w:val="7D4948D0"/>
    <w:rsid w:val="7DDB1B7B"/>
    <w:rsid w:val="7E0F9F31"/>
    <w:rsid w:val="7E3A112B"/>
    <w:rsid w:val="7E5B60AA"/>
    <w:rsid w:val="7EA0FDF7"/>
    <w:rsid w:val="7ECBEB51"/>
    <w:rsid w:val="7F177A5C"/>
    <w:rsid w:val="7F20ED5E"/>
    <w:rsid w:val="7F558E43"/>
    <w:rsid w:val="7FD32081"/>
  </w:rsids>
  <m:mathPr>
    <m:mathFont m:val="Cambria Math"/>
    <m:brkBin m:val="before"/>
    <m:brkBinSub m:val="--"/>
    <m:smallFrac m:val="0"/>
    <m:dispDef/>
    <m:lMargin m:val="0"/>
    <m:rMargin m:val="0"/>
    <m:defJc m:val="centerGroup"/>
    <m:wrapIndent m:val="1440"/>
    <m:intLim m:val="subSup"/>
    <m:naryLim m:val="undOvr"/>
  </m:mathPr>
  <w:themeFontLang w:val="fr-M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2B81D"/>
  <w15:chartTrackingRefBased/>
  <w15:docId w15:val="{A94063F2-C876-4E13-A384-076EB337D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MG" w:eastAsia="fr-M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606"/>
    <w:pPr>
      <w:spacing w:after="200" w:line="276" w:lineRule="auto"/>
    </w:pPr>
    <w:rPr>
      <w:sz w:val="22"/>
      <w:szCs w:val="22"/>
      <w:lang w:val="fr-FR" w:eastAsia="en-US"/>
    </w:rPr>
  </w:style>
  <w:style w:type="paragraph" w:styleId="Titre1">
    <w:name w:val="heading 1"/>
    <w:aliases w:val="Heading 1 - outline numbered"/>
    <w:basedOn w:val="Normal"/>
    <w:next w:val="Normal"/>
    <w:link w:val="Titre1Car"/>
    <w:uiPriority w:val="9"/>
    <w:qFormat/>
    <w:rsid w:val="00BF1462"/>
    <w:pPr>
      <w:keepNext/>
      <w:keepLines/>
      <w:spacing w:before="480" w:after="0"/>
      <w:outlineLvl w:val="0"/>
    </w:pPr>
    <w:rPr>
      <w:rFonts w:ascii="Cambria" w:eastAsia="Times New Roman" w:hAnsi="Cambria"/>
      <w:b/>
      <w:bCs/>
      <w:color w:val="365F91"/>
      <w:sz w:val="28"/>
      <w:szCs w:val="28"/>
      <w:lang w:val="x-none" w:eastAsia="x-none"/>
    </w:rPr>
  </w:style>
  <w:style w:type="paragraph" w:styleId="Titre2">
    <w:name w:val="heading 2"/>
    <w:aliases w:val="Titre 2 sous chapitre,sous-chapitre,Sous-Titre,T2,titre de pièce,Titre 2 re,2,I.1.,CHAP2,CH-01-,heading2"/>
    <w:basedOn w:val="Normal"/>
    <w:next w:val="Normal"/>
    <w:link w:val="Titre2Car"/>
    <w:uiPriority w:val="9"/>
    <w:unhideWhenUsed/>
    <w:qFormat/>
    <w:rsid w:val="00DB4448"/>
    <w:pPr>
      <w:keepNext/>
      <w:keepLines/>
      <w:spacing w:before="200" w:after="0"/>
      <w:outlineLvl w:val="1"/>
    </w:pPr>
    <w:rPr>
      <w:rFonts w:ascii="Cambria" w:eastAsia="Times New Roman" w:hAnsi="Cambria"/>
      <w:b/>
      <w:bCs/>
      <w:color w:val="4F81BD"/>
      <w:sz w:val="26"/>
      <w:szCs w:val="26"/>
      <w:lang w:val="x-none" w:eastAsia="x-none"/>
    </w:rPr>
  </w:style>
  <w:style w:type="paragraph" w:styleId="Titre3">
    <w:name w:val="heading 3"/>
    <w:aliases w:val="TITRE 3-S1-2,Titre 3 Car Car,enumération a),Titre 3 section,Section,InterTitre,Sous titre de pièce,Titre 3 re,3,T3,I.1.1.,CHAP3,CH-01-01,Titre 3 Car Car Car,Titre 31,Section1,retrait2,Heading 3 Char Char Char"/>
    <w:basedOn w:val="Normal"/>
    <w:next w:val="Normal"/>
    <w:link w:val="Titre3Car"/>
    <w:autoRedefine/>
    <w:uiPriority w:val="9"/>
    <w:qFormat/>
    <w:rsid w:val="006E1611"/>
    <w:pPr>
      <w:keepNext/>
      <w:keepLines/>
      <w:numPr>
        <w:ilvl w:val="2"/>
        <w:numId w:val="14"/>
      </w:numPr>
      <w:spacing w:before="240" w:after="240" w:line="240" w:lineRule="auto"/>
      <w:outlineLvl w:val="2"/>
    </w:pPr>
    <w:rPr>
      <w:rFonts w:ascii="Calibri Light" w:eastAsia="SimSun" w:hAnsi="Calibri Light"/>
      <w:color w:val="1F4D78"/>
      <w:sz w:val="24"/>
      <w:szCs w:val="24"/>
      <w:lang w:val="x-none" w:eastAsia="x-none"/>
    </w:rPr>
  </w:style>
  <w:style w:type="paragraph" w:styleId="Titre4">
    <w:name w:val="heading 4"/>
    <w:basedOn w:val="Normal"/>
    <w:next w:val="Normal"/>
    <w:link w:val="Titre4Car"/>
    <w:uiPriority w:val="9"/>
    <w:qFormat/>
    <w:rsid w:val="006E1611"/>
    <w:pPr>
      <w:keepNext/>
      <w:keepLines/>
      <w:spacing w:before="40" w:after="0" w:line="259" w:lineRule="auto"/>
      <w:outlineLvl w:val="3"/>
    </w:pPr>
    <w:rPr>
      <w:rFonts w:ascii="Calibri Light" w:eastAsia="SimSun" w:hAnsi="Calibri Light"/>
      <w:i/>
      <w:iCs/>
      <w:color w:val="2E74B5"/>
      <w:sz w:val="20"/>
      <w:szCs w:val="20"/>
      <w:lang w:val="x-none" w:eastAsia="x-none"/>
    </w:rPr>
  </w:style>
  <w:style w:type="paragraph" w:styleId="Titre5">
    <w:name w:val="heading 5"/>
    <w:aliases w:val="sous section de pièce"/>
    <w:basedOn w:val="Normal"/>
    <w:next w:val="Normal"/>
    <w:link w:val="Titre5Car"/>
    <w:uiPriority w:val="9"/>
    <w:unhideWhenUsed/>
    <w:qFormat/>
    <w:rsid w:val="00764D3E"/>
    <w:pPr>
      <w:keepNext/>
      <w:keepLines/>
      <w:spacing w:before="200" w:after="0"/>
      <w:outlineLvl w:val="4"/>
    </w:pPr>
    <w:rPr>
      <w:rFonts w:ascii="Cambria" w:eastAsia="Times New Roman" w:hAnsi="Cambria"/>
      <w:color w:val="243F60"/>
      <w:sz w:val="20"/>
      <w:szCs w:val="20"/>
      <w:lang w:val="x-none" w:eastAsia="x-none"/>
    </w:rPr>
  </w:style>
  <w:style w:type="paragraph" w:styleId="Titre6">
    <w:name w:val="heading 6"/>
    <w:basedOn w:val="Normal"/>
    <w:next w:val="Normal"/>
    <w:link w:val="Titre6Car"/>
    <w:uiPriority w:val="9"/>
    <w:unhideWhenUsed/>
    <w:qFormat/>
    <w:rsid w:val="0090044A"/>
    <w:pPr>
      <w:spacing w:after="0" w:line="240" w:lineRule="auto"/>
      <w:ind w:left="1152" w:hanging="1152"/>
      <w:jc w:val="both"/>
      <w:outlineLvl w:val="5"/>
    </w:pPr>
    <w:rPr>
      <w:rFonts w:ascii="Arial" w:eastAsia="Times New Roman" w:hAnsi="Arial"/>
      <w:smallCaps/>
      <w:color w:val="70AD47"/>
      <w:spacing w:val="5"/>
      <w:sz w:val="20"/>
      <w:szCs w:val="20"/>
      <w:lang w:val="x-none" w:eastAsia="fr-FR"/>
    </w:rPr>
  </w:style>
  <w:style w:type="paragraph" w:styleId="Titre7">
    <w:name w:val="heading 7"/>
    <w:basedOn w:val="Normal"/>
    <w:next w:val="Normal"/>
    <w:link w:val="Titre7Car"/>
    <w:uiPriority w:val="9"/>
    <w:unhideWhenUsed/>
    <w:qFormat/>
    <w:rsid w:val="0090044A"/>
    <w:pPr>
      <w:spacing w:after="0" w:line="240" w:lineRule="auto"/>
      <w:ind w:left="1296" w:hanging="1296"/>
      <w:jc w:val="both"/>
      <w:outlineLvl w:val="6"/>
    </w:pPr>
    <w:rPr>
      <w:rFonts w:ascii="Arial" w:eastAsia="Times New Roman" w:hAnsi="Arial"/>
      <w:b/>
      <w:bCs/>
      <w:smallCaps/>
      <w:color w:val="70AD47"/>
      <w:spacing w:val="10"/>
      <w:sz w:val="20"/>
      <w:szCs w:val="20"/>
      <w:lang w:val="x-none" w:eastAsia="fr-FR"/>
    </w:rPr>
  </w:style>
  <w:style w:type="paragraph" w:styleId="Titre8">
    <w:name w:val="heading 8"/>
    <w:basedOn w:val="Normal"/>
    <w:next w:val="Normal"/>
    <w:link w:val="Titre8Car"/>
    <w:uiPriority w:val="9"/>
    <w:unhideWhenUsed/>
    <w:qFormat/>
    <w:rsid w:val="0090044A"/>
    <w:pPr>
      <w:spacing w:after="0" w:line="240" w:lineRule="auto"/>
      <w:ind w:left="1440" w:hanging="1440"/>
      <w:jc w:val="both"/>
      <w:outlineLvl w:val="7"/>
    </w:pPr>
    <w:rPr>
      <w:rFonts w:ascii="Arial" w:eastAsia="Times New Roman" w:hAnsi="Arial"/>
      <w:b/>
      <w:bCs/>
      <w:i/>
      <w:iCs/>
      <w:smallCaps/>
      <w:color w:val="538135"/>
      <w:sz w:val="20"/>
      <w:szCs w:val="20"/>
      <w:lang w:val="x-none" w:eastAsia="fr-FR"/>
    </w:rPr>
  </w:style>
  <w:style w:type="paragraph" w:styleId="Titre9">
    <w:name w:val="heading 9"/>
    <w:basedOn w:val="Normal"/>
    <w:next w:val="Normal"/>
    <w:link w:val="Titre9Car"/>
    <w:uiPriority w:val="9"/>
    <w:unhideWhenUsed/>
    <w:qFormat/>
    <w:rsid w:val="0090044A"/>
    <w:pPr>
      <w:spacing w:after="0" w:line="240" w:lineRule="auto"/>
      <w:ind w:left="1584" w:hanging="1584"/>
      <w:jc w:val="both"/>
      <w:outlineLvl w:val="8"/>
    </w:pPr>
    <w:rPr>
      <w:rFonts w:ascii="Arial" w:eastAsia="Times New Roman" w:hAnsi="Arial"/>
      <w:b/>
      <w:bCs/>
      <w:i/>
      <w:iCs/>
      <w:smallCaps/>
      <w:color w:val="385623"/>
      <w:sz w:val="20"/>
      <w:szCs w:val="20"/>
      <w:lang w:val="x-non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Citation List,본문(내용),List Paragraph (numbered (a)),Colorful List - Accent 11,figure,Liste 1,Paragraphe 2,Paragraphe  revu,Paragraphe de liste1,- List tir,Puces,References,liste 1,puce 1,style11,Titre1,Paragraphe de liste11,Bullet L1"/>
    <w:basedOn w:val="Normal"/>
    <w:link w:val="ParagraphedelisteCar"/>
    <w:uiPriority w:val="34"/>
    <w:qFormat/>
    <w:rsid w:val="00F91FA3"/>
    <w:pPr>
      <w:ind w:left="720"/>
      <w:contextualSpacing/>
    </w:pPr>
    <w:rPr>
      <w:color w:val="000000"/>
    </w:rPr>
  </w:style>
  <w:style w:type="paragraph" w:customStyle="1" w:styleId="TITRE10">
    <w:name w:val="TITRE 1"/>
    <w:basedOn w:val="Normal"/>
    <w:qFormat/>
    <w:rsid w:val="00B67B63"/>
    <w:pPr>
      <w:pBdr>
        <w:bottom w:val="single" w:sz="4" w:space="1" w:color="auto"/>
      </w:pBdr>
      <w:spacing w:before="100" w:beforeAutospacing="1" w:after="100" w:afterAutospacing="1" w:line="240" w:lineRule="exact"/>
      <w:contextualSpacing/>
      <w:jc w:val="both"/>
    </w:pPr>
    <w:rPr>
      <w:rFonts w:ascii="arial gras" w:hAnsi="arial gras" w:cs="Arial"/>
      <w:b/>
      <w:caps/>
      <w:sz w:val="28"/>
      <w:szCs w:val="28"/>
    </w:rPr>
  </w:style>
  <w:style w:type="paragraph" w:customStyle="1" w:styleId="TITRE20">
    <w:name w:val="TITRE 2"/>
    <w:basedOn w:val="Normal"/>
    <w:qFormat/>
    <w:rsid w:val="006430C5"/>
    <w:pPr>
      <w:pBdr>
        <w:bottom w:val="single" w:sz="4" w:space="1" w:color="auto"/>
      </w:pBdr>
      <w:spacing w:before="240" w:beforeAutospacing="1" w:after="240" w:afterAutospacing="1" w:line="240" w:lineRule="exact"/>
      <w:jc w:val="both"/>
    </w:pPr>
    <w:rPr>
      <w:rFonts w:ascii="Arial" w:hAnsi="Arial" w:cs="Arial"/>
      <w:b/>
      <w:caps/>
      <w:sz w:val="20"/>
      <w:szCs w:val="20"/>
      <w:lang w:val="x-none" w:eastAsia="x-none"/>
    </w:rPr>
  </w:style>
  <w:style w:type="paragraph" w:customStyle="1" w:styleId="TITRE3CGES">
    <w:name w:val="TITRE 3 CGES"/>
    <w:basedOn w:val="TITRE20"/>
    <w:qFormat/>
    <w:rsid w:val="006430C5"/>
    <w:pPr>
      <w:numPr>
        <w:ilvl w:val="2"/>
      </w:numPr>
      <w:spacing w:before="120" w:beforeAutospacing="0" w:after="120" w:afterAutospacing="0" w:line="240" w:lineRule="auto"/>
      <w:ind w:left="720" w:hanging="153"/>
    </w:pPr>
    <w:rPr>
      <w:caps w:val="0"/>
      <w:smallCaps/>
    </w:rPr>
  </w:style>
  <w:style w:type="paragraph" w:customStyle="1" w:styleId="TITRE40">
    <w:name w:val="TITRE4"/>
    <w:basedOn w:val="TITRE3CGES"/>
    <w:qFormat/>
    <w:rsid w:val="006430C5"/>
    <w:pPr>
      <w:numPr>
        <w:ilvl w:val="3"/>
      </w:numPr>
      <w:ind w:left="720" w:hanging="153"/>
    </w:pPr>
  </w:style>
  <w:style w:type="paragraph" w:customStyle="1" w:styleId="TITRE2CGES">
    <w:name w:val="TITRE 2 CGES"/>
    <w:basedOn w:val="TITRE20"/>
    <w:qFormat/>
    <w:rsid w:val="006430C5"/>
    <w:pPr>
      <w:spacing w:before="120" w:beforeAutospacing="0" w:after="120" w:afterAutospacing="0" w:line="240" w:lineRule="auto"/>
    </w:pPr>
  </w:style>
  <w:style w:type="paragraph" w:styleId="Textedebulles">
    <w:name w:val="Balloon Text"/>
    <w:basedOn w:val="Normal"/>
    <w:link w:val="TextedebullesCar"/>
    <w:uiPriority w:val="99"/>
    <w:semiHidden/>
    <w:unhideWhenUsed/>
    <w:qFormat/>
    <w:rsid w:val="00C261A6"/>
    <w:pPr>
      <w:spacing w:after="0" w:line="240" w:lineRule="auto"/>
    </w:pPr>
    <w:rPr>
      <w:rFonts w:ascii="Tahoma" w:hAnsi="Tahoma"/>
      <w:sz w:val="16"/>
      <w:szCs w:val="16"/>
      <w:lang w:val="x-none" w:eastAsia="x-none"/>
    </w:rPr>
  </w:style>
  <w:style w:type="character" w:customStyle="1" w:styleId="TextedebullesCar">
    <w:name w:val="Texte de bulles Car"/>
    <w:link w:val="Textedebulles"/>
    <w:uiPriority w:val="99"/>
    <w:semiHidden/>
    <w:qFormat/>
    <w:rsid w:val="00C261A6"/>
    <w:rPr>
      <w:rFonts w:ascii="Tahoma" w:hAnsi="Tahoma" w:cs="Tahoma"/>
      <w:sz w:val="16"/>
      <w:szCs w:val="16"/>
    </w:rPr>
  </w:style>
  <w:style w:type="paragraph" w:styleId="En-tte">
    <w:name w:val="header"/>
    <w:aliases w:val="Kopfzeile Char Char, Char Char Char,En-tête client,Module+LSNameHeadr"/>
    <w:basedOn w:val="Normal"/>
    <w:link w:val="En-tteCar"/>
    <w:uiPriority w:val="99"/>
    <w:unhideWhenUsed/>
    <w:qFormat/>
    <w:rsid w:val="00B749B6"/>
    <w:pPr>
      <w:tabs>
        <w:tab w:val="center" w:pos="4536"/>
        <w:tab w:val="right" w:pos="9072"/>
      </w:tabs>
      <w:spacing w:after="0" w:line="240" w:lineRule="auto"/>
    </w:pPr>
  </w:style>
  <w:style w:type="character" w:customStyle="1" w:styleId="En-tteCar">
    <w:name w:val="En-tête Car"/>
    <w:aliases w:val="Kopfzeile Char Char Car, Char Char Char Car,En-tête client Car,Module+LSNameHeadr Car"/>
    <w:basedOn w:val="Policepardfaut"/>
    <w:link w:val="En-tte"/>
    <w:uiPriority w:val="99"/>
    <w:qFormat/>
    <w:rsid w:val="00B749B6"/>
  </w:style>
  <w:style w:type="paragraph" w:styleId="Pieddepage">
    <w:name w:val="footer"/>
    <w:basedOn w:val="Normal"/>
    <w:link w:val="PieddepageCar"/>
    <w:uiPriority w:val="99"/>
    <w:unhideWhenUsed/>
    <w:rsid w:val="00B749B6"/>
    <w:pPr>
      <w:tabs>
        <w:tab w:val="center" w:pos="4536"/>
        <w:tab w:val="right" w:pos="9072"/>
      </w:tabs>
      <w:spacing w:after="0" w:line="240" w:lineRule="auto"/>
    </w:pPr>
  </w:style>
  <w:style w:type="character" w:customStyle="1" w:styleId="PieddepageCar">
    <w:name w:val="Pied de page Car"/>
    <w:basedOn w:val="Policepardfaut"/>
    <w:link w:val="Pieddepage"/>
    <w:uiPriority w:val="99"/>
    <w:qFormat/>
    <w:rsid w:val="00B749B6"/>
  </w:style>
  <w:style w:type="paragraph" w:styleId="Notedebasdepage">
    <w:name w:val="footnote text"/>
    <w:aliases w:val="fn,single space,footnote text,FOOTNOTES,FN,Geneva 9,Font: Geneva 9,Boston 10,f,Footnote Text Char Char Char Char Char,Footnote Text Char Char Char Char Char Char,ft,(NECG) Footnote Text Char Char Char,ALTS FOOTNOTE,Fodnotetekst Tegn"/>
    <w:basedOn w:val="Normal"/>
    <w:link w:val="NotedebasdepageCar"/>
    <w:uiPriority w:val="99"/>
    <w:unhideWhenUsed/>
    <w:qFormat/>
    <w:rsid w:val="00B02BFA"/>
    <w:pPr>
      <w:spacing w:after="0" w:line="240" w:lineRule="auto"/>
    </w:pPr>
    <w:rPr>
      <w:sz w:val="20"/>
      <w:szCs w:val="20"/>
      <w:lang w:val="x-none" w:eastAsia="x-none"/>
    </w:rPr>
  </w:style>
  <w:style w:type="character" w:customStyle="1" w:styleId="NotedebasdepageCar">
    <w:name w:val="Note de bas de page Car"/>
    <w:aliases w:val="fn Car,single space Car,footnote text Car,FOOTNOTES Car,FN Car,Geneva 9 Car,Font: Geneva 9 Car,Boston 10 Car,f Car,Footnote Text Char Char Char Char Char Car,Footnote Text Char Char Char Char Char Char Car,ft Car"/>
    <w:link w:val="Notedebasdepage"/>
    <w:uiPriority w:val="99"/>
    <w:qFormat/>
    <w:rsid w:val="00B02BFA"/>
    <w:rPr>
      <w:sz w:val="20"/>
      <w:szCs w:val="20"/>
    </w:rPr>
  </w:style>
  <w:style w:type="character" w:styleId="Appelnotedebasdep">
    <w:name w:val="footnote reference"/>
    <w:aliases w:val="Appel note de bas de page,Ref,de nota al pie,16 Point,Superscript 6 Point,ftref,Footnote,BVI fnr, BVI fnr,Знак сноски 1,Footnote Reference Number,Footnote Reference Char Char Char,Char Char Char Char Car Char,fr,R,FO,E FNZ,FC,Cha"/>
    <w:link w:val="BVIfnrCarCarCarCarChar"/>
    <w:uiPriority w:val="99"/>
    <w:unhideWhenUsed/>
    <w:qFormat/>
    <w:rsid w:val="00B02BFA"/>
    <w:rPr>
      <w:vertAlign w:val="superscript"/>
    </w:rPr>
  </w:style>
  <w:style w:type="table" w:customStyle="1" w:styleId="Listeclaire-Accent11">
    <w:name w:val="Liste claire - Accent 11"/>
    <w:basedOn w:val="TableauNormal"/>
    <w:uiPriority w:val="61"/>
    <w:rsid w:val="00B02BF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eclaire-Accent4">
    <w:name w:val="Light List Accent 4"/>
    <w:basedOn w:val="TableauNormal"/>
    <w:uiPriority w:val="61"/>
    <w:rsid w:val="00B02BFA"/>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ramemoyenne1-Accent12">
    <w:name w:val="Trame moyenne 1 - Accent 12"/>
    <w:basedOn w:val="TableauNormal"/>
    <w:uiPriority w:val="63"/>
    <w:rsid w:val="00B02BF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gende">
    <w:name w:val="caption"/>
    <w:aliases w:val="Légende1 Car,AGT ESIA,Map,Annexe,Légende ... + 8 pt,Non ...,Car Car + 10 pt,Noir,topic,Car Ca... + Justifié,Car Car Car Car Car Car Car Car Car,Car Car Car Car Car Car Car,Tabeaux,Légende-Tableau,Légende 1,Légende1 Car1,Légende1 Car ,Legend,z,Ca"/>
    <w:basedOn w:val="Normal"/>
    <w:next w:val="Normal"/>
    <w:link w:val="LgendeCar"/>
    <w:unhideWhenUsed/>
    <w:qFormat/>
    <w:rsid w:val="00B02BFA"/>
    <w:pPr>
      <w:spacing w:line="240" w:lineRule="auto"/>
    </w:pPr>
    <w:rPr>
      <w:b/>
      <w:bCs/>
      <w:color w:val="4F81BD"/>
      <w:sz w:val="18"/>
      <w:szCs w:val="18"/>
      <w:lang w:val="x-none" w:eastAsia="x-none"/>
    </w:rPr>
  </w:style>
  <w:style w:type="character" w:styleId="lev">
    <w:name w:val="Strong"/>
    <w:uiPriority w:val="22"/>
    <w:qFormat/>
    <w:rsid w:val="00DF004F"/>
    <w:rPr>
      <w:b/>
      <w:bCs/>
    </w:rPr>
  </w:style>
  <w:style w:type="paragraph" w:styleId="Corpsdetexte">
    <w:name w:val="Body Text"/>
    <w:basedOn w:val="Normal"/>
    <w:link w:val="CorpsdetexteCar"/>
    <w:uiPriority w:val="99"/>
    <w:qFormat/>
    <w:rsid w:val="00630B78"/>
    <w:pPr>
      <w:widowControl w:val="0"/>
      <w:autoSpaceDE w:val="0"/>
      <w:autoSpaceDN w:val="0"/>
      <w:spacing w:after="0" w:line="240" w:lineRule="auto"/>
    </w:pPr>
    <w:rPr>
      <w:rFonts w:ascii="Gill Sans MT" w:eastAsia="Gill Sans MT" w:hAnsi="Gill Sans MT"/>
      <w:sz w:val="20"/>
      <w:szCs w:val="20"/>
      <w:lang w:val="x-none" w:eastAsia="x-none"/>
    </w:rPr>
  </w:style>
  <w:style w:type="character" w:customStyle="1" w:styleId="CorpsdetexteCar">
    <w:name w:val="Corps de texte Car"/>
    <w:link w:val="Corpsdetexte"/>
    <w:uiPriority w:val="99"/>
    <w:qFormat/>
    <w:rsid w:val="00630B78"/>
    <w:rPr>
      <w:rFonts w:ascii="Gill Sans MT" w:eastAsia="Gill Sans MT" w:hAnsi="Gill Sans MT" w:cs="Gill Sans MT"/>
      <w:sz w:val="20"/>
      <w:szCs w:val="20"/>
    </w:rPr>
  </w:style>
  <w:style w:type="character" w:customStyle="1" w:styleId="A6">
    <w:name w:val="A6"/>
    <w:uiPriority w:val="99"/>
    <w:rsid w:val="00A931EA"/>
    <w:rPr>
      <w:rFonts w:cs="Formata Light"/>
      <w:color w:val="000000"/>
      <w:sz w:val="20"/>
      <w:szCs w:val="20"/>
    </w:rPr>
  </w:style>
  <w:style w:type="paragraph" w:customStyle="1" w:styleId="Pa0">
    <w:name w:val="Pa0"/>
    <w:basedOn w:val="Normal"/>
    <w:next w:val="Normal"/>
    <w:uiPriority w:val="99"/>
    <w:rsid w:val="00F34A21"/>
    <w:pPr>
      <w:autoSpaceDE w:val="0"/>
      <w:autoSpaceDN w:val="0"/>
      <w:adjustRightInd w:val="0"/>
      <w:spacing w:after="0" w:line="221" w:lineRule="atLeast"/>
    </w:pPr>
    <w:rPr>
      <w:rFonts w:ascii="Formata Light" w:hAnsi="Formata Light"/>
      <w:sz w:val="24"/>
      <w:szCs w:val="24"/>
    </w:rPr>
  </w:style>
  <w:style w:type="character" w:customStyle="1" w:styleId="A3">
    <w:name w:val="A3"/>
    <w:uiPriority w:val="99"/>
    <w:rsid w:val="00F34A21"/>
    <w:rPr>
      <w:rFonts w:cs="Formata Light"/>
      <w:color w:val="000000"/>
      <w:sz w:val="16"/>
      <w:szCs w:val="16"/>
    </w:rPr>
  </w:style>
  <w:style w:type="paragraph" w:styleId="TM1">
    <w:name w:val="toc 1"/>
    <w:basedOn w:val="Normal"/>
    <w:next w:val="Normal"/>
    <w:autoRedefine/>
    <w:uiPriority w:val="39"/>
    <w:unhideWhenUsed/>
    <w:rsid w:val="002A6C0D"/>
    <w:pPr>
      <w:tabs>
        <w:tab w:val="right" w:leader="dot" w:pos="9060"/>
      </w:tabs>
      <w:spacing w:before="120" w:after="120"/>
    </w:pPr>
    <w:rPr>
      <w:rFonts w:cs="Calibri"/>
      <w:b/>
      <w:bCs/>
      <w:caps/>
      <w:sz w:val="20"/>
      <w:szCs w:val="20"/>
    </w:rPr>
  </w:style>
  <w:style w:type="paragraph" w:styleId="TM2">
    <w:name w:val="toc 2"/>
    <w:basedOn w:val="Normal"/>
    <w:next w:val="Normal"/>
    <w:autoRedefine/>
    <w:uiPriority w:val="39"/>
    <w:unhideWhenUsed/>
    <w:rsid w:val="00524CF6"/>
    <w:pPr>
      <w:tabs>
        <w:tab w:val="left" w:pos="880"/>
        <w:tab w:val="right" w:leader="dot" w:pos="9062"/>
      </w:tabs>
      <w:spacing w:after="0"/>
      <w:ind w:left="220"/>
    </w:pPr>
    <w:rPr>
      <w:rFonts w:cs="Calibri"/>
      <w:smallCaps/>
      <w:sz w:val="20"/>
      <w:szCs w:val="20"/>
    </w:rPr>
  </w:style>
  <w:style w:type="paragraph" w:styleId="TM3">
    <w:name w:val="toc 3"/>
    <w:basedOn w:val="Normal"/>
    <w:next w:val="Normal"/>
    <w:autoRedefine/>
    <w:uiPriority w:val="39"/>
    <w:unhideWhenUsed/>
    <w:rsid w:val="00524CF6"/>
    <w:pPr>
      <w:tabs>
        <w:tab w:val="left" w:pos="1320"/>
        <w:tab w:val="right" w:leader="dot" w:pos="9062"/>
      </w:tabs>
      <w:spacing w:after="0"/>
      <w:ind w:left="440"/>
    </w:pPr>
    <w:rPr>
      <w:rFonts w:cs="Calibri"/>
      <w:i/>
      <w:iCs/>
      <w:sz w:val="20"/>
      <w:szCs w:val="20"/>
    </w:rPr>
  </w:style>
  <w:style w:type="paragraph" w:styleId="TM4">
    <w:name w:val="toc 4"/>
    <w:basedOn w:val="Normal"/>
    <w:next w:val="Normal"/>
    <w:autoRedefine/>
    <w:uiPriority w:val="39"/>
    <w:unhideWhenUsed/>
    <w:rsid w:val="00797E8F"/>
    <w:pPr>
      <w:spacing w:after="0"/>
      <w:ind w:left="660"/>
    </w:pPr>
    <w:rPr>
      <w:rFonts w:cs="Calibri"/>
      <w:sz w:val="18"/>
      <w:szCs w:val="18"/>
    </w:rPr>
  </w:style>
  <w:style w:type="paragraph" w:styleId="TM5">
    <w:name w:val="toc 5"/>
    <w:basedOn w:val="Normal"/>
    <w:next w:val="Normal"/>
    <w:autoRedefine/>
    <w:uiPriority w:val="39"/>
    <w:unhideWhenUsed/>
    <w:rsid w:val="00797E8F"/>
    <w:pPr>
      <w:spacing w:after="0"/>
      <w:ind w:left="880"/>
    </w:pPr>
    <w:rPr>
      <w:rFonts w:cs="Calibri"/>
      <w:sz w:val="18"/>
      <w:szCs w:val="18"/>
    </w:rPr>
  </w:style>
  <w:style w:type="paragraph" w:styleId="TM6">
    <w:name w:val="toc 6"/>
    <w:basedOn w:val="Normal"/>
    <w:next w:val="Normal"/>
    <w:autoRedefine/>
    <w:uiPriority w:val="39"/>
    <w:unhideWhenUsed/>
    <w:rsid w:val="00797E8F"/>
    <w:pPr>
      <w:spacing w:after="0"/>
      <w:ind w:left="1100"/>
    </w:pPr>
    <w:rPr>
      <w:rFonts w:cs="Calibri"/>
      <w:sz w:val="18"/>
      <w:szCs w:val="18"/>
    </w:rPr>
  </w:style>
  <w:style w:type="paragraph" w:styleId="TM7">
    <w:name w:val="toc 7"/>
    <w:basedOn w:val="Normal"/>
    <w:next w:val="Normal"/>
    <w:autoRedefine/>
    <w:uiPriority w:val="39"/>
    <w:unhideWhenUsed/>
    <w:rsid w:val="00797E8F"/>
    <w:pPr>
      <w:spacing w:after="0"/>
      <w:ind w:left="1320"/>
    </w:pPr>
    <w:rPr>
      <w:rFonts w:cs="Calibri"/>
      <w:sz w:val="18"/>
      <w:szCs w:val="18"/>
    </w:rPr>
  </w:style>
  <w:style w:type="paragraph" w:styleId="TM8">
    <w:name w:val="toc 8"/>
    <w:basedOn w:val="Normal"/>
    <w:next w:val="Normal"/>
    <w:autoRedefine/>
    <w:uiPriority w:val="39"/>
    <w:unhideWhenUsed/>
    <w:rsid w:val="00797E8F"/>
    <w:pPr>
      <w:spacing w:after="0"/>
      <w:ind w:left="1540"/>
    </w:pPr>
    <w:rPr>
      <w:rFonts w:cs="Calibri"/>
      <w:sz w:val="18"/>
      <w:szCs w:val="18"/>
    </w:rPr>
  </w:style>
  <w:style w:type="paragraph" w:styleId="TM9">
    <w:name w:val="toc 9"/>
    <w:basedOn w:val="Normal"/>
    <w:next w:val="Normal"/>
    <w:autoRedefine/>
    <w:uiPriority w:val="39"/>
    <w:unhideWhenUsed/>
    <w:rsid w:val="00797E8F"/>
    <w:pPr>
      <w:spacing w:after="0"/>
      <w:ind w:left="1760"/>
    </w:pPr>
    <w:rPr>
      <w:rFonts w:cs="Calibri"/>
      <w:sz w:val="18"/>
      <w:szCs w:val="18"/>
    </w:rPr>
  </w:style>
  <w:style w:type="character" w:styleId="Lienhypertexte">
    <w:name w:val="Hyperlink"/>
    <w:uiPriority w:val="99"/>
    <w:unhideWhenUsed/>
    <w:rsid w:val="00797E8F"/>
    <w:rPr>
      <w:color w:val="0000FF"/>
      <w:u w:val="single"/>
    </w:rPr>
  </w:style>
  <w:style w:type="character" w:styleId="Accentuation">
    <w:name w:val="Emphasis"/>
    <w:uiPriority w:val="20"/>
    <w:qFormat/>
    <w:rsid w:val="00A4032E"/>
    <w:rPr>
      <w:i/>
      <w:iCs/>
    </w:rPr>
  </w:style>
  <w:style w:type="character" w:customStyle="1" w:styleId="ParagraphedelisteCar">
    <w:name w:val="Paragraphe de liste Car"/>
    <w:aliases w:val="Citation List Car,본문(내용) Car,List Paragraph (numbered (a)) Car,Colorful List - Accent 11 Car,figure Car,Liste 1 Car,Paragraphe 2 Car,Paragraphe  revu Car,Paragraphe de liste1 Car,- List tir Car,Puces Car,References Car,puce 1 Car"/>
    <w:link w:val="Paragraphedeliste"/>
    <w:uiPriority w:val="34"/>
    <w:qFormat/>
    <w:locked/>
    <w:rsid w:val="00F91FA3"/>
    <w:rPr>
      <w:color w:val="000000"/>
      <w:sz w:val="22"/>
      <w:szCs w:val="22"/>
      <w:lang w:val="fr-FR" w:eastAsia="en-US"/>
    </w:rPr>
  </w:style>
  <w:style w:type="paragraph" w:customStyle="1" w:styleId="Style4">
    <w:name w:val="Style4"/>
    <w:basedOn w:val="Normal"/>
    <w:qFormat/>
    <w:rsid w:val="00AD3FDC"/>
    <w:pPr>
      <w:numPr>
        <w:numId w:val="11"/>
      </w:numPr>
      <w:pBdr>
        <w:bottom w:val="single" w:sz="4" w:space="1" w:color="auto"/>
      </w:pBdr>
      <w:spacing w:before="120" w:after="120" w:line="240" w:lineRule="auto"/>
      <w:ind w:hanging="720"/>
      <w:contextualSpacing/>
      <w:jc w:val="both"/>
    </w:pPr>
    <w:rPr>
      <w:rFonts w:ascii="Arial" w:eastAsia="Times New Roman" w:hAnsi="Arial" w:cs="Arial"/>
      <w:b/>
      <w:bCs/>
      <w:caps/>
      <w:smallCaps/>
      <w:color w:val="002060"/>
      <w:spacing w:val="5"/>
      <w:sz w:val="32"/>
      <w:szCs w:val="20"/>
    </w:rPr>
  </w:style>
  <w:style w:type="character" w:customStyle="1" w:styleId="CommentaireCar">
    <w:name w:val="Commentaire Car"/>
    <w:link w:val="Commentaire"/>
    <w:uiPriority w:val="99"/>
    <w:qFormat/>
    <w:rsid w:val="00C61824"/>
    <w:rPr>
      <w:rFonts w:ascii="Calibri" w:hAnsi="Calibri" w:cs="Times New Roman"/>
      <w:sz w:val="20"/>
      <w:szCs w:val="20"/>
      <w:lang w:eastAsia="fr-FR"/>
    </w:rPr>
  </w:style>
  <w:style w:type="character" w:styleId="Marquedecommentaire">
    <w:name w:val="annotation reference"/>
    <w:uiPriority w:val="99"/>
    <w:unhideWhenUsed/>
    <w:qFormat/>
    <w:rsid w:val="00C61824"/>
    <w:rPr>
      <w:sz w:val="16"/>
      <w:szCs w:val="16"/>
    </w:rPr>
  </w:style>
  <w:style w:type="paragraph" w:styleId="Commentaire">
    <w:name w:val="annotation text"/>
    <w:basedOn w:val="Normal"/>
    <w:link w:val="CommentaireCar"/>
    <w:uiPriority w:val="99"/>
    <w:unhideWhenUsed/>
    <w:qFormat/>
    <w:rsid w:val="00C61824"/>
    <w:pPr>
      <w:spacing w:after="0" w:line="240" w:lineRule="auto"/>
      <w:ind w:left="442"/>
      <w:jc w:val="both"/>
    </w:pPr>
    <w:rPr>
      <w:sz w:val="20"/>
      <w:szCs w:val="20"/>
      <w:lang w:val="x-none" w:eastAsia="fr-FR"/>
    </w:rPr>
  </w:style>
  <w:style w:type="character" w:customStyle="1" w:styleId="CommentaireCar1">
    <w:name w:val="Commentaire Car1"/>
    <w:uiPriority w:val="99"/>
    <w:qFormat/>
    <w:rsid w:val="00C61824"/>
    <w:rPr>
      <w:sz w:val="20"/>
      <w:szCs w:val="20"/>
    </w:rPr>
  </w:style>
  <w:style w:type="paragraph" w:customStyle="1" w:styleId="TITRE30">
    <w:name w:val="TITRE 3"/>
    <w:basedOn w:val="TITRE20"/>
    <w:qFormat/>
    <w:rsid w:val="009428FB"/>
    <w:pPr>
      <w:spacing w:beforeAutospacing="0" w:afterAutospacing="0" w:line="240" w:lineRule="auto"/>
      <w:ind w:left="720" w:hanging="720"/>
    </w:pPr>
    <w:rPr>
      <w:rFonts w:cs="Times New Roman"/>
      <w:caps w:val="0"/>
      <w:smallCaps/>
    </w:rPr>
  </w:style>
  <w:style w:type="paragraph" w:styleId="Sansinterligne">
    <w:name w:val="No Spacing"/>
    <w:aliases w:val="My Normal,Numbered Para"/>
    <w:link w:val="SansinterligneCar"/>
    <w:uiPriority w:val="1"/>
    <w:qFormat/>
    <w:rsid w:val="00BD513B"/>
    <w:rPr>
      <w:rFonts w:eastAsia="Times New Roman"/>
      <w:lang w:val="en-US" w:eastAsia="zh-CN"/>
    </w:rPr>
  </w:style>
  <w:style w:type="character" w:customStyle="1" w:styleId="SansinterligneCar">
    <w:name w:val="Sans interligne Car"/>
    <w:aliases w:val="My Normal Car,Numbered Para Car"/>
    <w:link w:val="Sansinterligne"/>
    <w:uiPriority w:val="1"/>
    <w:qFormat/>
    <w:rsid w:val="00BD513B"/>
    <w:rPr>
      <w:rFonts w:eastAsia="Times New Roman"/>
      <w:lang w:eastAsia="zh-CN" w:bidi="ar-SA"/>
    </w:rPr>
  </w:style>
  <w:style w:type="table" w:styleId="Grilledutableau">
    <w:name w:val="Table Grid"/>
    <w:aliases w:val="GT0,Vale 4,Table long document,mtbs,SGS Table Basic 1,BPUA Table,CV table,CV1,EY Table,TNS table,TabelEcorys,Table Grid (Appendix list),Table Grid CEPA,Table Grid CFAA,Table Grid_mod,Table style,none,notes,表格样式"/>
    <w:basedOn w:val="TableauNormal"/>
    <w:uiPriority w:val="39"/>
    <w:qFormat/>
    <w:rsid w:val="00BD51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gendeCar">
    <w:name w:val="Légende Car"/>
    <w:aliases w:val="Légende1 Car Car,AGT ESIA Car,Map Car,Annexe Car,Légende ... + 8 pt Car,Non ... Car,Car Car + 10 pt Car,Noir Car,topic Car,Car Ca... + Justifié Car,Car Car Car Car Car Car Car Car Car Car,Car Car Car Car Car Car Car Car,Tabeaux Car,z Car"/>
    <w:link w:val="Lgende"/>
    <w:qFormat/>
    <w:locked/>
    <w:rsid w:val="00BD513B"/>
    <w:rPr>
      <w:b/>
      <w:bCs/>
      <w:color w:val="4F81BD"/>
      <w:sz w:val="18"/>
      <w:szCs w:val="18"/>
    </w:rPr>
  </w:style>
  <w:style w:type="paragraph" w:customStyle="1" w:styleId="TIT5">
    <w:name w:val="TIT 5"/>
    <w:basedOn w:val="Normal"/>
    <w:qFormat/>
    <w:rsid w:val="00BD513B"/>
    <w:pPr>
      <w:numPr>
        <w:numId w:val="13"/>
      </w:numPr>
      <w:spacing w:before="100" w:beforeAutospacing="1" w:after="100" w:afterAutospacing="1" w:line="240" w:lineRule="exact"/>
      <w:jc w:val="both"/>
    </w:pPr>
    <w:rPr>
      <w:rFonts w:ascii="Arial" w:hAnsi="Arial"/>
      <w:color w:val="002060"/>
      <w:sz w:val="20"/>
      <w:szCs w:val="20"/>
      <w:lang w:val="x-none" w:eastAsia="x-none"/>
    </w:rPr>
  </w:style>
  <w:style w:type="paragraph" w:customStyle="1" w:styleId="BVIfnrCarCarCarCarChar">
    <w:name w:val="BVI fnr Car Car Car Car Char"/>
    <w:basedOn w:val="Normal"/>
    <w:link w:val="Appelnotedebasdep"/>
    <w:uiPriority w:val="99"/>
    <w:qFormat/>
    <w:rsid w:val="00BD513B"/>
    <w:pPr>
      <w:widowControl w:val="0"/>
      <w:adjustRightInd w:val="0"/>
      <w:spacing w:before="100" w:beforeAutospacing="1" w:after="160" w:afterAutospacing="1" w:line="240" w:lineRule="exact"/>
      <w:jc w:val="both"/>
      <w:textAlignment w:val="baseline"/>
    </w:pPr>
    <w:rPr>
      <w:sz w:val="20"/>
      <w:szCs w:val="20"/>
      <w:vertAlign w:val="superscript"/>
      <w:lang w:val="x-none" w:eastAsia="x-none"/>
    </w:rPr>
  </w:style>
  <w:style w:type="paragraph" w:customStyle="1" w:styleId="TITRE4CGES">
    <w:name w:val="TITRE 4 CGES"/>
    <w:basedOn w:val="TITRE40"/>
    <w:qFormat/>
    <w:rsid w:val="00BD513B"/>
    <w:pPr>
      <w:numPr>
        <w:ilvl w:val="0"/>
      </w:numPr>
      <w:ind w:left="1800" w:hanging="1440"/>
    </w:pPr>
    <w:rPr>
      <w:smallCaps w:val="0"/>
    </w:rPr>
  </w:style>
  <w:style w:type="paragraph" w:customStyle="1" w:styleId="TableParagraph">
    <w:name w:val="Table Paragraph"/>
    <w:basedOn w:val="Normal"/>
    <w:uiPriority w:val="1"/>
    <w:qFormat/>
    <w:rsid w:val="00BD513B"/>
    <w:pPr>
      <w:widowControl w:val="0"/>
      <w:autoSpaceDE w:val="0"/>
      <w:autoSpaceDN w:val="0"/>
      <w:spacing w:before="100" w:beforeAutospacing="1" w:after="100" w:afterAutospacing="1" w:line="240" w:lineRule="exact"/>
    </w:pPr>
    <w:rPr>
      <w:rFonts w:ascii="Times New Roman" w:eastAsia="Times New Roman" w:hAnsi="Times New Roman"/>
    </w:rPr>
  </w:style>
  <w:style w:type="character" w:customStyle="1" w:styleId="Titre3Car">
    <w:name w:val="Titre 3 Car"/>
    <w:aliases w:val="TITRE 3-S1-2 Car,Titre 3 Car Car Car1,enumération a) Car,Titre 3 section Car,Section Car,InterTitre Car,Sous titre de pièce Car,Titre 3 re Car,3 Car,T3 Car,I.1.1. Car,CHAP3 Car,CH-01-01 Car,Titre 3 Car Car Car Car,Titre 31 Car,Section1 Car"/>
    <w:link w:val="Titre3"/>
    <w:uiPriority w:val="9"/>
    <w:qFormat/>
    <w:rsid w:val="006E1611"/>
    <w:rPr>
      <w:rFonts w:ascii="Calibri Light" w:eastAsia="SimSun" w:hAnsi="Calibri Light"/>
      <w:color w:val="1F4D78"/>
      <w:sz w:val="24"/>
      <w:szCs w:val="24"/>
      <w:lang w:val="x-none" w:eastAsia="x-none"/>
    </w:rPr>
  </w:style>
  <w:style w:type="character" w:customStyle="1" w:styleId="Titre4Car">
    <w:name w:val="Titre 4 Car"/>
    <w:link w:val="Titre4"/>
    <w:uiPriority w:val="9"/>
    <w:qFormat/>
    <w:rsid w:val="006E1611"/>
    <w:rPr>
      <w:rFonts w:ascii="Calibri Light" w:eastAsia="SimSun" w:hAnsi="Calibri Light" w:cs="Times New Roman"/>
      <w:i/>
      <w:iCs/>
      <w:color w:val="2E74B5"/>
      <w:sz w:val="20"/>
      <w:szCs w:val="20"/>
      <w:lang w:val="x-none" w:eastAsia="x-none"/>
    </w:rPr>
  </w:style>
  <w:style w:type="paragraph" w:customStyle="1" w:styleId="Default">
    <w:name w:val="Default"/>
    <w:qFormat/>
    <w:rsid w:val="002B1566"/>
    <w:pPr>
      <w:autoSpaceDE w:val="0"/>
      <w:autoSpaceDN w:val="0"/>
      <w:adjustRightInd w:val="0"/>
    </w:pPr>
    <w:rPr>
      <w:rFonts w:ascii="Arial" w:hAnsi="Arial" w:cs="Arial"/>
      <w:color w:val="000000"/>
      <w:sz w:val="24"/>
      <w:szCs w:val="24"/>
      <w:lang w:val="fr-FR" w:eastAsia="en-US"/>
    </w:rPr>
  </w:style>
  <w:style w:type="character" w:customStyle="1" w:styleId="Titre1Car">
    <w:name w:val="Titre 1 Car"/>
    <w:aliases w:val="Heading 1 - outline numbered Car"/>
    <w:link w:val="Titre1"/>
    <w:uiPriority w:val="9"/>
    <w:qFormat/>
    <w:rsid w:val="00BF1462"/>
    <w:rPr>
      <w:rFonts w:ascii="Cambria" w:eastAsia="Times New Roman" w:hAnsi="Cambria" w:cs="Times New Roman"/>
      <w:b/>
      <w:bCs/>
      <w:color w:val="365F91"/>
      <w:sz w:val="28"/>
      <w:szCs w:val="28"/>
    </w:rPr>
  </w:style>
  <w:style w:type="paragraph" w:customStyle="1" w:styleId="card-text">
    <w:name w:val="card-text"/>
    <w:basedOn w:val="Normal"/>
    <w:rsid w:val="008C0968"/>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A2">
    <w:name w:val="A2"/>
    <w:uiPriority w:val="99"/>
    <w:rsid w:val="00FF54ED"/>
    <w:rPr>
      <w:rFonts w:cs="Formata Regular"/>
      <w:b/>
      <w:bCs/>
      <w:color w:val="000000"/>
      <w:sz w:val="14"/>
      <w:szCs w:val="14"/>
    </w:rPr>
  </w:style>
  <w:style w:type="table" w:customStyle="1" w:styleId="TableauGrille5Fonc-Accentuation11">
    <w:name w:val="Tableau Grille 5 Foncé - Accentuation 11"/>
    <w:basedOn w:val="TableauNormal"/>
    <w:uiPriority w:val="50"/>
    <w:rsid w:val="00B76BEA"/>
    <w:pPr>
      <w:suppressAutoHyphens/>
      <w:ind w:left="442"/>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Titre5Car">
    <w:name w:val="Titre 5 Car"/>
    <w:aliases w:val="sous section de pièce Car"/>
    <w:link w:val="Titre5"/>
    <w:uiPriority w:val="9"/>
    <w:qFormat/>
    <w:rsid w:val="00764D3E"/>
    <w:rPr>
      <w:rFonts w:ascii="Cambria" w:eastAsia="Times New Roman" w:hAnsi="Cambria" w:cs="Times New Roman"/>
      <w:color w:val="243F60"/>
    </w:rPr>
  </w:style>
  <w:style w:type="paragraph" w:customStyle="1" w:styleId="Listecouleur-Accent12">
    <w:name w:val="Liste couleur - Accent 12"/>
    <w:aliases w:val="List Paragraph Char Char Char"/>
    <w:basedOn w:val="Normal"/>
    <w:link w:val="Listecouleur-Accent1Car3"/>
    <w:uiPriority w:val="34"/>
    <w:qFormat/>
    <w:rsid w:val="00764D3E"/>
    <w:pPr>
      <w:spacing w:after="0" w:line="240" w:lineRule="auto"/>
      <w:ind w:left="708"/>
      <w:jc w:val="both"/>
    </w:pPr>
    <w:rPr>
      <w:rFonts w:ascii="Times New Roman" w:eastAsia="Times New Roman" w:hAnsi="Times New Roman"/>
      <w:sz w:val="24"/>
      <w:szCs w:val="24"/>
      <w:lang w:val="x-none" w:eastAsia="fr-FR"/>
    </w:rPr>
  </w:style>
  <w:style w:type="table" w:customStyle="1" w:styleId="TableauGrille5Fonc-Accentuation51">
    <w:name w:val="Tableau Grille 5 Foncé - Accentuation 51"/>
    <w:basedOn w:val="TableauNormal"/>
    <w:uiPriority w:val="50"/>
    <w:rsid w:val="00764D3E"/>
    <w:pPr>
      <w:suppressAutoHyphens/>
      <w:ind w:left="442"/>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customStyle="1" w:styleId="Listecouleur-Accent1Car3">
    <w:name w:val="Liste couleur - Accent 1 Car3"/>
    <w:aliases w:val="List Paragraph Char Char Char Car"/>
    <w:link w:val="Listecouleur-Accent12"/>
    <w:uiPriority w:val="34"/>
    <w:qFormat/>
    <w:rsid w:val="00764D3E"/>
    <w:rPr>
      <w:rFonts w:ascii="Times New Roman" w:eastAsia="Times New Roman" w:hAnsi="Times New Roman" w:cs="Times New Roman"/>
      <w:sz w:val="24"/>
      <w:szCs w:val="24"/>
      <w:lang w:eastAsia="fr-FR"/>
    </w:rPr>
  </w:style>
  <w:style w:type="table" w:customStyle="1" w:styleId="TableauGrille5Fonc-Accentuation52">
    <w:name w:val="Tableau Grille 5 Foncé - Accentuation 52"/>
    <w:basedOn w:val="TableauNormal"/>
    <w:uiPriority w:val="50"/>
    <w:rsid w:val="00AE21C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lleclaire-Accent11">
    <w:name w:val="Grille claire - Accent 11"/>
    <w:basedOn w:val="TableauNormal"/>
    <w:uiPriority w:val="62"/>
    <w:rsid w:val="00423294"/>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Times New Roman"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Times New Roman"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Pa1">
    <w:name w:val="Pa1"/>
    <w:basedOn w:val="Default"/>
    <w:next w:val="Default"/>
    <w:uiPriority w:val="99"/>
    <w:rsid w:val="00391F68"/>
    <w:pPr>
      <w:spacing w:line="221" w:lineRule="atLeast"/>
    </w:pPr>
    <w:rPr>
      <w:rFonts w:ascii="Formata Regular" w:hAnsi="Formata Regular" w:cs="Times New Roman"/>
      <w:color w:val="auto"/>
    </w:rPr>
  </w:style>
  <w:style w:type="paragraph" w:customStyle="1" w:styleId="TIT2">
    <w:name w:val="TIT 2"/>
    <w:basedOn w:val="Titre2"/>
    <w:qFormat/>
    <w:rsid w:val="00DB4448"/>
    <w:pPr>
      <w:pBdr>
        <w:bottom w:val="single" w:sz="8" w:space="1" w:color="auto"/>
      </w:pBdr>
      <w:spacing w:before="120" w:after="120" w:line="240" w:lineRule="auto"/>
      <w:jc w:val="both"/>
    </w:pPr>
    <w:rPr>
      <w:rFonts w:ascii="arial gras" w:hAnsi="arial gras"/>
      <w:bCs w:val="0"/>
      <w:smallCaps/>
      <w:color w:val="000000"/>
    </w:rPr>
  </w:style>
  <w:style w:type="character" w:customStyle="1" w:styleId="Titre2Car">
    <w:name w:val="Titre 2 Car"/>
    <w:aliases w:val="Titre 2 sous chapitre Car,sous-chapitre Car,Sous-Titre Car,T2 Car,titre de pièce Car,Titre 2 re Car,2 Car,I.1. Car,CHAP2 Car,CH-01- Car,heading2 Car"/>
    <w:link w:val="Titre2"/>
    <w:uiPriority w:val="9"/>
    <w:qFormat/>
    <w:rsid w:val="00DB4448"/>
    <w:rPr>
      <w:rFonts w:ascii="Cambria" w:eastAsia="Times New Roman" w:hAnsi="Cambria" w:cs="Times New Roman"/>
      <w:b/>
      <w:bCs/>
      <w:color w:val="4F81BD"/>
      <w:sz w:val="26"/>
      <w:szCs w:val="26"/>
    </w:rPr>
  </w:style>
  <w:style w:type="table" w:customStyle="1" w:styleId="Trameclaire-Accent11">
    <w:name w:val="Trame claire - Accent 11"/>
    <w:basedOn w:val="TableauNormal"/>
    <w:uiPriority w:val="60"/>
    <w:rsid w:val="009B627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auGrille4-Accentuation61">
    <w:name w:val="Tableau Grille 4 - Accentuation 61"/>
    <w:basedOn w:val="TableauNormal"/>
    <w:uiPriority w:val="50"/>
    <w:rsid w:val="00D96117"/>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eclaire-Accent3">
    <w:name w:val="Light List Accent 3"/>
    <w:basedOn w:val="TableauNormal"/>
    <w:uiPriority w:val="61"/>
    <w:rsid w:val="00D96117"/>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eclaire-Accent5">
    <w:name w:val="Light List Accent 5"/>
    <w:basedOn w:val="TableauNormal"/>
    <w:uiPriority w:val="61"/>
    <w:rsid w:val="00D96117"/>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NormalWeb">
    <w:name w:val="Normal (Web)"/>
    <w:basedOn w:val="Normal"/>
    <w:uiPriority w:val="99"/>
    <w:unhideWhenUsed/>
    <w:qFormat/>
    <w:rsid w:val="00D11884"/>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TIT3">
    <w:name w:val="TIT 3"/>
    <w:basedOn w:val="Titre3"/>
    <w:link w:val="TIT3Car"/>
    <w:qFormat/>
    <w:rsid w:val="00D3414B"/>
    <w:pPr>
      <w:numPr>
        <w:ilvl w:val="0"/>
        <w:numId w:val="0"/>
      </w:numPr>
      <w:pBdr>
        <w:bottom w:val="single" w:sz="8" w:space="1" w:color="auto"/>
      </w:pBdr>
      <w:spacing w:before="40" w:beforeAutospacing="1" w:after="0" w:afterAutospacing="1" w:line="360" w:lineRule="auto"/>
      <w:ind w:left="1224" w:hanging="504"/>
      <w:jc w:val="both"/>
    </w:pPr>
    <w:rPr>
      <w:rFonts w:ascii="Arial" w:eastAsia="Times New Roman" w:hAnsi="Arial"/>
      <w:b/>
    </w:rPr>
  </w:style>
  <w:style w:type="paragraph" w:customStyle="1" w:styleId="TIT4">
    <w:name w:val="TIT4"/>
    <w:basedOn w:val="Titre4"/>
    <w:link w:val="TIT4Car"/>
    <w:qFormat/>
    <w:rsid w:val="00F934BA"/>
    <w:pPr>
      <w:spacing w:before="100" w:beforeAutospacing="1" w:after="100" w:afterAutospacing="1" w:line="240" w:lineRule="auto"/>
      <w:jc w:val="both"/>
    </w:pPr>
    <w:rPr>
      <w:rFonts w:ascii="Arial" w:eastAsia="Times New Roman" w:hAnsi="Arial"/>
      <w:b/>
      <w:bCs/>
      <w:color w:val="auto"/>
    </w:rPr>
  </w:style>
  <w:style w:type="character" w:customStyle="1" w:styleId="TIT4Car">
    <w:name w:val="TIT4 Car"/>
    <w:link w:val="TIT4"/>
    <w:rsid w:val="00F934BA"/>
    <w:rPr>
      <w:rFonts w:ascii="Arial" w:eastAsia="Times New Roman" w:hAnsi="Arial" w:cs="Times New Roman"/>
      <w:b/>
      <w:bCs/>
      <w:i/>
      <w:iCs/>
      <w:szCs w:val="20"/>
      <w:lang w:val="x-none" w:eastAsia="x-none"/>
    </w:rPr>
  </w:style>
  <w:style w:type="character" w:customStyle="1" w:styleId="fontstyle01">
    <w:name w:val="fontstyle01"/>
    <w:qFormat/>
    <w:rsid w:val="00BE4F1E"/>
    <w:rPr>
      <w:rFonts w:ascii="Arial-ItalicMT" w:hAnsi="Arial-ItalicMT"/>
      <w:b w:val="0"/>
      <w:bCs w:val="0"/>
      <w:i/>
      <w:iCs/>
      <w:color w:val="000000"/>
      <w:sz w:val="20"/>
      <w:szCs w:val="20"/>
    </w:rPr>
  </w:style>
  <w:style w:type="paragraph" w:customStyle="1" w:styleId="Listecouleur-Accent11">
    <w:name w:val="Liste couleur - Accent 11"/>
    <w:aliases w:val="RM1,l,Akapit z listą BS,Bullet1,Bullets,List Paragraph1,List_Paragraph,Main numbered paragraph,Multilevel para_II,NUMBERED PARAGRAPH,Numbered List Paragraph,NumberedParas,Ha"/>
    <w:basedOn w:val="Normal"/>
    <w:uiPriority w:val="34"/>
    <w:qFormat/>
    <w:rsid w:val="0090044A"/>
    <w:pPr>
      <w:spacing w:after="0" w:line="240" w:lineRule="auto"/>
      <w:ind w:left="720"/>
      <w:contextualSpacing/>
      <w:jc w:val="both"/>
    </w:pPr>
    <w:rPr>
      <w:rFonts w:eastAsia="Times New Roman"/>
      <w:lang w:eastAsia="fr-FR"/>
    </w:rPr>
  </w:style>
  <w:style w:type="paragraph" w:customStyle="1" w:styleId="TIT1">
    <w:name w:val="TIT 1"/>
    <w:basedOn w:val="Titre1"/>
    <w:qFormat/>
    <w:rsid w:val="0090044A"/>
    <w:pPr>
      <w:keepNext w:val="0"/>
      <w:keepLines w:val="0"/>
      <w:pBdr>
        <w:bottom w:val="single" w:sz="4" w:space="1" w:color="auto"/>
      </w:pBdr>
      <w:spacing w:before="120" w:after="120" w:line="240" w:lineRule="auto"/>
      <w:ind w:left="3479" w:hanging="360"/>
      <w:contextualSpacing/>
      <w:jc w:val="both"/>
      <w:outlineLvl w:val="9"/>
    </w:pPr>
    <w:rPr>
      <w:rFonts w:ascii="Arial" w:hAnsi="Arial" w:cs="Arial"/>
      <w:caps/>
      <w:smallCaps/>
      <w:color w:val="002060"/>
      <w:spacing w:val="5"/>
      <w:sz w:val="32"/>
      <w:szCs w:val="20"/>
      <w:lang w:eastAsia="fr-FR"/>
    </w:rPr>
  </w:style>
  <w:style w:type="paragraph" w:customStyle="1" w:styleId="Titre1CGES">
    <w:name w:val="Titre 1 CGES"/>
    <w:basedOn w:val="Normal"/>
    <w:link w:val="Titre1CGESCar"/>
    <w:qFormat/>
    <w:rsid w:val="0090044A"/>
    <w:pPr>
      <w:shd w:val="clear" w:color="auto" w:fill="92D050"/>
      <w:tabs>
        <w:tab w:val="num" w:pos="0"/>
      </w:tabs>
      <w:spacing w:before="280" w:after="280" w:line="240" w:lineRule="auto"/>
      <w:ind w:left="142" w:hanging="142"/>
      <w:contextualSpacing/>
      <w:jc w:val="center"/>
      <w:outlineLvl w:val="0"/>
    </w:pPr>
    <w:rPr>
      <w:rFonts w:ascii="Arial" w:eastAsia="Times New Roman" w:hAnsi="Arial"/>
      <w:caps/>
      <w:sz w:val="28"/>
      <w:szCs w:val="28"/>
      <w:lang w:val="x-none" w:eastAsia="fr-FR"/>
    </w:rPr>
  </w:style>
  <w:style w:type="character" w:customStyle="1" w:styleId="Titre6Car">
    <w:name w:val="Titre 6 Car"/>
    <w:link w:val="Titre6"/>
    <w:uiPriority w:val="9"/>
    <w:qFormat/>
    <w:rsid w:val="0090044A"/>
    <w:rPr>
      <w:rFonts w:ascii="Arial" w:eastAsia="Times New Roman" w:hAnsi="Arial"/>
      <w:smallCaps/>
      <w:color w:val="70AD47"/>
      <w:spacing w:val="5"/>
      <w:lang w:eastAsia="fr-FR"/>
    </w:rPr>
  </w:style>
  <w:style w:type="character" w:customStyle="1" w:styleId="Titre7Car">
    <w:name w:val="Titre 7 Car"/>
    <w:link w:val="Titre7"/>
    <w:uiPriority w:val="9"/>
    <w:qFormat/>
    <w:rsid w:val="0090044A"/>
    <w:rPr>
      <w:rFonts w:ascii="Arial" w:eastAsia="Times New Roman" w:hAnsi="Arial"/>
      <w:b/>
      <w:bCs/>
      <w:smallCaps/>
      <w:color w:val="70AD47"/>
      <w:spacing w:val="10"/>
      <w:sz w:val="20"/>
      <w:szCs w:val="20"/>
      <w:lang w:eastAsia="fr-FR"/>
    </w:rPr>
  </w:style>
  <w:style w:type="character" w:customStyle="1" w:styleId="Titre8Car">
    <w:name w:val="Titre 8 Car"/>
    <w:link w:val="Titre8"/>
    <w:uiPriority w:val="9"/>
    <w:qFormat/>
    <w:rsid w:val="0090044A"/>
    <w:rPr>
      <w:rFonts w:ascii="Arial" w:eastAsia="Times New Roman" w:hAnsi="Arial"/>
      <w:b/>
      <w:bCs/>
      <w:i/>
      <w:iCs/>
      <w:smallCaps/>
      <w:color w:val="538135"/>
      <w:sz w:val="20"/>
      <w:szCs w:val="20"/>
      <w:lang w:eastAsia="fr-FR"/>
    </w:rPr>
  </w:style>
  <w:style w:type="character" w:customStyle="1" w:styleId="Titre9Car">
    <w:name w:val="Titre 9 Car"/>
    <w:link w:val="Titre9"/>
    <w:uiPriority w:val="9"/>
    <w:qFormat/>
    <w:rsid w:val="0090044A"/>
    <w:rPr>
      <w:rFonts w:ascii="Arial" w:eastAsia="Times New Roman" w:hAnsi="Arial"/>
      <w:b/>
      <w:bCs/>
      <w:i/>
      <w:iCs/>
      <w:smallCaps/>
      <w:color w:val="385623"/>
      <w:sz w:val="20"/>
      <w:szCs w:val="20"/>
      <w:lang w:eastAsia="fr-FR"/>
    </w:rPr>
  </w:style>
  <w:style w:type="paragraph" w:customStyle="1" w:styleId="Style1">
    <w:name w:val="Style1"/>
    <w:basedOn w:val="Normal"/>
    <w:qFormat/>
    <w:rsid w:val="0090044A"/>
    <w:pPr>
      <w:pBdr>
        <w:bottom w:val="single" w:sz="4" w:space="1" w:color="auto"/>
      </w:pBdr>
      <w:spacing w:after="0" w:line="240" w:lineRule="auto"/>
      <w:ind w:left="442"/>
      <w:jc w:val="center"/>
    </w:pPr>
    <w:rPr>
      <w:b/>
      <w:bCs/>
      <w:szCs w:val="28"/>
    </w:rPr>
  </w:style>
  <w:style w:type="paragraph" w:customStyle="1" w:styleId="Style2">
    <w:name w:val="Style2"/>
    <w:basedOn w:val="Style1"/>
    <w:next w:val="Normal"/>
    <w:autoRedefine/>
    <w:qFormat/>
    <w:rsid w:val="0090044A"/>
    <w:pPr>
      <w:jc w:val="both"/>
    </w:pPr>
  </w:style>
  <w:style w:type="character" w:customStyle="1" w:styleId="TitreCar">
    <w:name w:val="Titre Car"/>
    <w:link w:val="Titre"/>
    <w:uiPriority w:val="10"/>
    <w:qFormat/>
    <w:rsid w:val="0090044A"/>
    <w:rPr>
      <w:rFonts w:ascii="Arial" w:eastAsia="Times New Roman" w:hAnsi="Arial"/>
      <w:smallCaps/>
      <w:color w:val="262626"/>
      <w:sz w:val="52"/>
      <w:szCs w:val="52"/>
      <w:lang w:eastAsia="fr-FR"/>
    </w:rPr>
  </w:style>
  <w:style w:type="character" w:customStyle="1" w:styleId="Sous-titreCar">
    <w:name w:val="Sous-titre Car"/>
    <w:uiPriority w:val="11"/>
    <w:qFormat/>
    <w:rsid w:val="0090044A"/>
    <w:rPr>
      <w:rFonts w:ascii="Calibri Light" w:eastAsia="SimSun" w:hAnsi="Calibri Light" w:cs="Times New Roman"/>
      <w:sz w:val="20"/>
      <w:szCs w:val="20"/>
      <w:lang w:eastAsia="fr-FR"/>
    </w:rPr>
  </w:style>
  <w:style w:type="character" w:customStyle="1" w:styleId="TITRE2Car0">
    <w:name w:val="TITRE 2 Car"/>
    <w:qFormat/>
    <w:rsid w:val="0090044A"/>
    <w:rPr>
      <w:rFonts w:ascii="Arial" w:eastAsia="Times New Roman" w:hAnsi="Arial" w:cs="Times New Roman"/>
      <w:b/>
      <w:caps/>
      <w:sz w:val="20"/>
      <w:szCs w:val="20"/>
      <w:lang w:eastAsia="fr-FR"/>
    </w:rPr>
  </w:style>
  <w:style w:type="character" w:customStyle="1" w:styleId="Listecouleur-Accent1Car">
    <w:name w:val="Liste couleur - Accent 1 Car"/>
    <w:aliases w:val="Akapit z listą BS Car,Bullet1 Car,Bullets Car,Ha Car,List Paragraph1 Car,List_Paragraph Car,Main numbered paragraph Car,Multilevel para_II Car,NumberedParas Car"/>
    <w:uiPriority w:val="34"/>
    <w:qFormat/>
    <w:rsid w:val="0090044A"/>
    <w:rPr>
      <w:rFonts w:ascii="Calibri" w:eastAsia="Times New Roman" w:hAnsi="Calibri" w:cs="Times New Roman"/>
      <w:lang w:eastAsia="fr-FR"/>
    </w:rPr>
  </w:style>
  <w:style w:type="character" w:customStyle="1" w:styleId="fontstyle21">
    <w:name w:val="fontstyle21"/>
    <w:qFormat/>
    <w:rsid w:val="0090044A"/>
    <w:rPr>
      <w:rFonts w:ascii="SymbolMT" w:eastAsia="SymbolMT" w:hAnsi="SymbolMT"/>
      <w:b w:val="0"/>
      <w:bCs w:val="0"/>
      <w:i w:val="0"/>
      <w:iCs w:val="0"/>
      <w:color w:val="39A642"/>
      <w:sz w:val="20"/>
      <w:szCs w:val="20"/>
    </w:rPr>
  </w:style>
  <w:style w:type="character" w:customStyle="1" w:styleId="fontstyle31">
    <w:name w:val="fontstyle31"/>
    <w:qFormat/>
    <w:rsid w:val="0090044A"/>
    <w:rPr>
      <w:rFonts w:ascii="ArialMT" w:hAnsi="ArialMT" w:cs="ArialMT"/>
      <w:b w:val="0"/>
      <w:bCs w:val="0"/>
      <w:i w:val="0"/>
      <w:iCs w:val="0"/>
      <w:color w:val="000000"/>
      <w:sz w:val="20"/>
      <w:szCs w:val="20"/>
    </w:rPr>
  </w:style>
  <w:style w:type="character" w:customStyle="1" w:styleId="fontstyle41">
    <w:name w:val="fontstyle41"/>
    <w:qFormat/>
    <w:rsid w:val="0090044A"/>
    <w:rPr>
      <w:rFonts w:ascii="Arial-BoldMT" w:hAnsi="Arial-BoldMT"/>
      <w:b/>
      <w:bCs/>
      <w:i w:val="0"/>
      <w:iCs w:val="0"/>
      <w:color w:val="000000"/>
      <w:sz w:val="16"/>
      <w:szCs w:val="16"/>
    </w:rPr>
  </w:style>
  <w:style w:type="character" w:customStyle="1" w:styleId="LienInternet">
    <w:name w:val="Lien Internet"/>
    <w:uiPriority w:val="99"/>
    <w:unhideWhenUsed/>
    <w:rsid w:val="0090044A"/>
    <w:rPr>
      <w:color w:val="0563C1"/>
      <w:u w:val="single"/>
    </w:rPr>
  </w:style>
  <w:style w:type="character" w:customStyle="1" w:styleId="Ancredenotedebasdepage">
    <w:name w:val="Ancre de note de bas de page"/>
    <w:rsid w:val="0090044A"/>
    <w:rPr>
      <w:rFonts w:cs="Times New Roman"/>
      <w:szCs w:val="32"/>
      <w:vertAlign w:val="superscript"/>
      <w:lang w:eastAsia="zh-CN"/>
    </w:rPr>
  </w:style>
  <w:style w:type="character" w:customStyle="1" w:styleId="FootnoteCharacters">
    <w:name w:val="Footnote Characters"/>
    <w:uiPriority w:val="99"/>
    <w:unhideWhenUsed/>
    <w:qFormat/>
    <w:rsid w:val="0090044A"/>
    <w:rPr>
      <w:vertAlign w:val="superscript"/>
    </w:rPr>
  </w:style>
  <w:style w:type="character" w:customStyle="1" w:styleId="ColorfulList-Accent1Char">
    <w:name w:val="Colorful List - Accent 1 Char"/>
    <w:uiPriority w:val="34"/>
    <w:qFormat/>
    <w:rsid w:val="0090044A"/>
    <w:rPr>
      <w:rFonts w:ascii="Arial" w:hAnsi="Arial"/>
      <w:sz w:val="20"/>
    </w:rPr>
  </w:style>
  <w:style w:type="character" w:customStyle="1" w:styleId="styletlien">
    <w:name w:val="style_tlien"/>
    <w:basedOn w:val="Policepardfaut"/>
    <w:qFormat/>
    <w:rsid w:val="0090044A"/>
  </w:style>
  <w:style w:type="character" w:customStyle="1" w:styleId="A5">
    <w:name w:val="A5"/>
    <w:uiPriority w:val="99"/>
    <w:qFormat/>
    <w:rsid w:val="0090044A"/>
    <w:rPr>
      <w:rFonts w:cs="Georgia"/>
      <w:color w:val="000000"/>
      <w:sz w:val="18"/>
      <w:szCs w:val="18"/>
    </w:rPr>
  </w:style>
  <w:style w:type="character" w:customStyle="1" w:styleId="st">
    <w:name w:val="st"/>
    <w:qFormat/>
    <w:rsid w:val="0090044A"/>
  </w:style>
  <w:style w:type="character" w:customStyle="1" w:styleId="longtext1">
    <w:name w:val="long_text1"/>
    <w:qFormat/>
    <w:rsid w:val="0090044A"/>
    <w:rPr>
      <w:sz w:val="20"/>
      <w:szCs w:val="20"/>
    </w:rPr>
  </w:style>
  <w:style w:type="character" w:customStyle="1" w:styleId="Tramemoyenne1-Accent1Car">
    <w:name w:val="Trame moyenne 1 - Accent 1 Car"/>
    <w:uiPriority w:val="99"/>
    <w:qFormat/>
    <w:rsid w:val="0090044A"/>
    <w:rPr>
      <w:rFonts w:ascii="Times New Roman" w:eastAsia="MS Mincho" w:hAnsi="Times New Roman"/>
      <w:color w:val="000000"/>
      <w:sz w:val="24"/>
      <w:lang w:val="en-US"/>
    </w:rPr>
  </w:style>
  <w:style w:type="character" w:customStyle="1" w:styleId="CharacterStyle1">
    <w:name w:val="Character Style 1"/>
    <w:qFormat/>
    <w:rsid w:val="0090044A"/>
    <w:rPr>
      <w:sz w:val="20"/>
      <w:szCs w:val="20"/>
    </w:rPr>
  </w:style>
  <w:style w:type="character" w:customStyle="1" w:styleId="ObjetducommentaireCar">
    <w:name w:val="Objet du commentaire Car"/>
    <w:link w:val="Objetducommentaire"/>
    <w:uiPriority w:val="99"/>
    <w:semiHidden/>
    <w:qFormat/>
    <w:rsid w:val="0090044A"/>
    <w:rPr>
      <w:rFonts w:ascii="Arial" w:eastAsia="Times New Roman" w:hAnsi="Arial" w:cs="Times New Roman"/>
      <w:b/>
      <w:bCs/>
      <w:sz w:val="20"/>
      <w:szCs w:val="20"/>
      <w:lang w:eastAsia="fr-FR"/>
    </w:rPr>
  </w:style>
  <w:style w:type="character" w:customStyle="1" w:styleId="Puce1Car">
    <w:name w:val="– Puce 1 Car"/>
    <w:link w:val="Puce1"/>
    <w:qFormat/>
    <w:rsid w:val="0090044A"/>
    <w:rPr>
      <w:rFonts w:eastAsia="Times New Roman"/>
      <w:sz w:val="22"/>
      <w:szCs w:val="22"/>
      <w:lang w:val="fr-FR" w:eastAsia="en-US" w:bidi="ar-SA"/>
    </w:rPr>
  </w:style>
  <w:style w:type="character" w:customStyle="1" w:styleId="tlid-translation">
    <w:name w:val="tlid-translation"/>
    <w:qFormat/>
    <w:rsid w:val="0090044A"/>
  </w:style>
  <w:style w:type="character" w:customStyle="1" w:styleId="UnresolvedMention1">
    <w:name w:val="Unresolved Mention1"/>
    <w:uiPriority w:val="99"/>
    <w:semiHidden/>
    <w:unhideWhenUsed/>
    <w:qFormat/>
    <w:rsid w:val="0090044A"/>
    <w:rPr>
      <w:color w:val="605E5C"/>
      <w:shd w:val="clear" w:color="auto" w:fill="E1DFDD"/>
    </w:rPr>
  </w:style>
  <w:style w:type="character" w:customStyle="1" w:styleId="LienInternetvisit">
    <w:name w:val="Lien Internet visité"/>
    <w:uiPriority w:val="99"/>
    <w:semiHidden/>
    <w:unhideWhenUsed/>
    <w:rsid w:val="0090044A"/>
    <w:rPr>
      <w:color w:val="954F72"/>
      <w:u w:val="single"/>
    </w:rPr>
  </w:style>
  <w:style w:type="character" w:customStyle="1" w:styleId="UnresolvedMention2">
    <w:name w:val="Unresolved Mention2"/>
    <w:uiPriority w:val="47"/>
    <w:qFormat/>
    <w:rsid w:val="0090044A"/>
    <w:rPr>
      <w:color w:val="605E5C"/>
      <w:shd w:val="clear" w:color="auto" w:fill="E1DFDD"/>
    </w:rPr>
  </w:style>
  <w:style w:type="character" w:customStyle="1" w:styleId="alt-edited">
    <w:name w:val="alt-edited"/>
    <w:basedOn w:val="Policepardfaut"/>
    <w:qFormat/>
    <w:rsid w:val="0090044A"/>
  </w:style>
  <w:style w:type="character" w:customStyle="1" w:styleId="NotedefinCar">
    <w:name w:val="Note de fin Car"/>
    <w:link w:val="Notedefin"/>
    <w:uiPriority w:val="99"/>
    <w:semiHidden/>
    <w:qFormat/>
    <w:rsid w:val="0090044A"/>
    <w:rPr>
      <w:rFonts w:ascii="Arial" w:eastAsia="Calibri" w:hAnsi="Arial"/>
      <w:sz w:val="20"/>
      <w:szCs w:val="20"/>
      <w:lang w:eastAsia="fr-FR"/>
    </w:rPr>
  </w:style>
  <w:style w:type="character" w:customStyle="1" w:styleId="Ancredenotedefin">
    <w:name w:val="Ancre de note de fin"/>
    <w:rsid w:val="0090044A"/>
    <w:rPr>
      <w:vertAlign w:val="superscript"/>
    </w:rPr>
  </w:style>
  <w:style w:type="character" w:customStyle="1" w:styleId="EndnoteCharacters">
    <w:name w:val="Endnote Characters"/>
    <w:uiPriority w:val="99"/>
    <w:semiHidden/>
    <w:unhideWhenUsed/>
    <w:qFormat/>
    <w:rsid w:val="0090044A"/>
    <w:rPr>
      <w:vertAlign w:val="superscript"/>
    </w:rPr>
  </w:style>
  <w:style w:type="character" w:customStyle="1" w:styleId="souscompCar">
    <w:name w:val="sous_comp Car"/>
    <w:qFormat/>
    <w:rsid w:val="0090044A"/>
    <w:rPr>
      <w:rFonts w:ascii="Calibri" w:eastAsia="Times New Roman" w:hAnsi="Calibri" w:cs="Calibri"/>
      <w:b/>
      <w:i/>
      <w:color w:val="1F3864"/>
      <w:sz w:val="20"/>
      <w:szCs w:val="32"/>
      <w:lang w:eastAsia="fr-FR"/>
    </w:rPr>
  </w:style>
  <w:style w:type="character" w:styleId="CitationHTML">
    <w:name w:val="HTML Cite"/>
    <w:uiPriority w:val="99"/>
    <w:semiHidden/>
    <w:unhideWhenUsed/>
    <w:qFormat/>
    <w:rsid w:val="0090044A"/>
    <w:rPr>
      <w:i/>
      <w:iCs/>
    </w:rPr>
  </w:style>
  <w:style w:type="character" w:customStyle="1" w:styleId="Mentionnonrsolue1">
    <w:name w:val="Mention non résolue1"/>
    <w:uiPriority w:val="99"/>
    <w:semiHidden/>
    <w:unhideWhenUsed/>
    <w:qFormat/>
    <w:rsid w:val="0090044A"/>
    <w:rPr>
      <w:color w:val="605E5C"/>
      <w:shd w:val="clear" w:color="auto" w:fill="E1DFDD"/>
    </w:rPr>
  </w:style>
  <w:style w:type="character" w:customStyle="1" w:styleId="ng-star-inserted">
    <w:name w:val="ng-star-inserted"/>
    <w:basedOn w:val="Policepardfaut"/>
    <w:qFormat/>
    <w:rsid w:val="0090044A"/>
  </w:style>
  <w:style w:type="character" w:customStyle="1" w:styleId="Mentionnonrsolue2">
    <w:name w:val="Mention non résolue2"/>
    <w:uiPriority w:val="99"/>
    <w:unhideWhenUsed/>
    <w:qFormat/>
    <w:rsid w:val="0090044A"/>
    <w:rPr>
      <w:color w:val="605E5C"/>
      <w:shd w:val="clear" w:color="auto" w:fill="E1DFDD"/>
    </w:rPr>
  </w:style>
  <w:style w:type="character" w:customStyle="1" w:styleId="Policepardfaut1">
    <w:name w:val="Police par défaut1"/>
    <w:qFormat/>
    <w:rsid w:val="0090044A"/>
  </w:style>
  <w:style w:type="character" w:customStyle="1" w:styleId="Marquedecommentaire1">
    <w:name w:val="Marque de commentaire1"/>
    <w:qFormat/>
    <w:rsid w:val="0090044A"/>
    <w:rPr>
      <w:sz w:val="16"/>
      <w:szCs w:val="16"/>
    </w:rPr>
  </w:style>
  <w:style w:type="character" w:customStyle="1" w:styleId="Policepardfaut2">
    <w:name w:val="Police par défaut2"/>
    <w:qFormat/>
    <w:rsid w:val="0090044A"/>
  </w:style>
  <w:style w:type="character" w:customStyle="1" w:styleId="Mentionnonrsolue3">
    <w:name w:val="Mention non résolue3"/>
    <w:uiPriority w:val="99"/>
    <w:unhideWhenUsed/>
    <w:qFormat/>
    <w:rsid w:val="0090044A"/>
    <w:rPr>
      <w:color w:val="605E5C"/>
      <w:shd w:val="clear" w:color="auto" w:fill="E1DFDD"/>
    </w:rPr>
  </w:style>
  <w:style w:type="character" w:customStyle="1" w:styleId="PrformatHTMLCar">
    <w:name w:val="Préformaté HTML Car"/>
    <w:link w:val="PrformatHTML"/>
    <w:uiPriority w:val="99"/>
    <w:qFormat/>
    <w:rsid w:val="0090044A"/>
    <w:rPr>
      <w:rFonts w:ascii="Courier New" w:eastAsia="Times New Roman" w:hAnsi="Courier New" w:cs="Courier New"/>
      <w:sz w:val="20"/>
      <w:szCs w:val="20"/>
      <w:lang w:eastAsia="fr-FR"/>
    </w:rPr>
  </w:style>
  <w:style w:type="character" w:customStyle="1" w:styleId="y2iqfc">
    <w:name w:val="y2iqfc"/>
    <w:basedOn w:val="Policepardfaut"/>
    <w:qFormat/>
    <w:rsid w:val="0090044A"/>
  </w:style>
  <w:style w:type="character" w:customStyle="1" w:styleId="UnresolvedMention3">
    <w:name w:val="Unresolved Mention3"/>
    <w:uiPriority w:val="99"/>
    <w:semiHidden/>
    <w:unhideWhenUsed/>
    <w:qFormat/>
    <w:rsid w:val="0090044A"/>
    <w:rPr>
      <w:color w:val="605E5C"/>
      <w:shd w:val="clear" w:color="auto" w:fill="E1DFDD"/>
    </w:rPr>
  </w:style>
  <w:style w:type="character" w:customStyle="1" w:styleId="CitationCar">
    <w:name w:val="Citation Car"/>
    <w:link w:val="Citation"/>
    <w:uiPriority w:val="29"/>
    <w:qFormat/>
    <w:rsid w:val="0090044A"/>
    <w:rPr>
      <w:rFonts w:ascii="Arial" w:eastAsia="Times New Roman" w:hAnsi="Arial"/>
      <w:i/>
      <w:iCs/>
      <w:sz w:val="20"/>
      <w:szCs w:val="20"/>
      <w:lang w:eastAsia="fr-FR"/>
    </w:rPr>
  </w:style>
  <w:style w:type="character" w:customStyle="1" w:styleId="CitationintenseCar">
    <w:name w:val="Citation intense Car"/>
    <w:link w:val="Citationintense"/>
    <w:uiPriority w:val="30"/>
    <w:qFormat/>
    <w:rsid w:val="0090044A"/>
    <w:rPr>
      <w:rFonts w:ascii="Arial" w:eastAsia="Times New Roman" w:hAnsi="Arial"/>
      <w:b/>
      <w:bCs/>
      <w:i/>
      <w:iCs/>
      <w:sz w:val="20"/>
      <w:szCs w:val="20"/>
      <w:lang w:eastAsia="fr-FR"/>
    </w:rPr>
  </w:style>
  <w:style w:type="character" w:styleId="Accentuationlgre">
    <w:name w:val="Subtle Emphasis"/>
    <w:uiPriority w:val="19"/>
    <w:qFormat/>
    <w:rsid w:val="0090044A"/>
    <w:rPr>
      <w:i/>
      <w:iCs/>
    </w:rPr>
  </w:style>
  <w:style w:type="character" w:styleId="Accentuationintense">
    <w:name w:val="Intense Emphasis"/>
    <w:uiPriority w:val="21"/>
    <w:qFormat/>
    <w:rsid w:val="0090044A"/>
    <w:rPr>
      <w:b/>
      <w:bCs/>
      <w:i/>
      <w:iCs/>
      <w:color w:val="70AD47"/>
      <w:spacing w:val="10"/>
    </w:rPr>
  </w:style>
  <w:style w:type="character" w:styleId="Rfrencelgre">
    <w:name w:val="Subtle Reference"/>
    <w:uiPriority w:val="31"/>
    <w:qFormat/>
    <w:rsid w:val="0090044A"/>
    <w:rPr>
      <w:b/>
      <w:bCs/>
    </w:rPr>
  </w:style>
  <w:style w:type="character" w:styleId="Rfrenceintense">
    <w:name w:val="Intense Reference"/>
    <w:uiPriority w:val="32"/>
    <w:qFormat/>
    <w:rsid w:val="0090044A"/>
    <w:rPr>
      <w:b/>
      <w:bCs/>
      <w:smallCaps/>
      <w:spacing w:val="5"/>
      <w:sz w:val="22"/>
      <w:szCs w:val="22"/>
      <w:u w:val="single"/>
    </w:rPr>
  </w:style>
  <w:style w:type="character" w:styleId="Titredulivre">
    <w:name w:val="Book Title"/>
    <w:uiPriority w:val="33"/>
    <w:qFormat/>
    <w:rsid w:val="0090044A"/>
    <w:rPr>
      <w:rFonts w:ascii="Calibri Light" w:eastAsia="SimSun" w:hAnsi="Calibri Light" w:cs="Times New Roman"/>
      <w:i/>
      <w:iCs/>
      <w:sz w:val="20"/>
      <w:szCs w:val="20"/>
    </w:rPr>
  </w:style>
  <w:style w:type="character" w:customStyle="1" w:styleId="Mentionnonrsolue4">
    <w:name w:val="Mention non résolue4"/>
    <w:uiPriority w:val="99"/>
    <w:semiHidden/>
    <w:unhideWhenUsed/>
    <w:qFormat/>
    <w:rsid w:val="0090044A"/>
    <w:rPr>
      <w:color w:val="605E5C"/>
      <w:shd w:val="clear" w:color="auto" w:fill="E1DFDD"/>
    </w:rPr>
  </w:style>
  <w:style w:type="character" w:customStyle="1" w:styleId="footnotedescriptionChar">
    <w:name w:val="footnote description Char"/>
    <w:qFormat/>
    <w:rsid w:val="0090044A"/>
    <w:rPr>
      <w:rFonts w:ascii="Segoe UI" w:eastAsia="Segoe UI" w:hAnsi="Segoe UI" w:cs="Segoe UI"/>
      <w:i/>
      <w:color w:val="828282"/>
      <w:sz w:val="16"/>
      <w:lang w:eastAsia="fr-FR"/>
    </w:rPr>
  </w:style>
  <w:style w:type="character" w:customStyle="1" w:styleId="footnotemark">
    <w:name w:val="footnote mark"/>
    <w:qFormat/>
    <w:rsid w:val="0090044A"/>
    <w:rPr>
      <w:rFonts w:ascii="Segoe UI" w:eastAsia="Segoe UI" w:hAnsi="Segoe UI" w:cs="Segoe UI"/>
      <w:i/>
      <w:color w:val="828282"/>
      <w:sz w:val="16"/>
      <w:vertAlign w:val="superscript"/>
    </w:rPr>
  </w:style>
  <w:style w:type="character" w:customStyle="1" w:styleId="TITRE1Car0">
    <w:name w:val="TITRE 1 Car"/>
    <w:qFormat/>
    <w:rsid w:val="0090044A"/>
    <w:rPr>
      <w:rFonts w:ascii="Arial" w:eastAsia="Times New Roman" w:hAnsi="Arial"/>
      <w:b/>
      <w:bCs/>
      <w:caps/>
      <w:sz w:val="28"/>
      <w:szCs w:val="28"/>
      <w:shd w:val="clear" w:color="auto" w:fill="92D050"/>
      <w:lang w:eastAsia="fr-FR"/>
    </w:rPr>
  </w:style>
  <w:style w:type="character" w:customStyle="1" w:styleId="Style7Car">
    <w:name w:val="Style7 Car"/>
    <w:link w:val="Style7"/>
    <w:qFormat/>
    <w:rsid w:val="0090044A"/>
    <w:rPr>
      <w:rFonts w:ascii="Arial" w:eastAsia="Times New Roman" w:hAnsi="Arial"/>
      <w:b/>
      <w:bCs/>
      <w:caps/>
      <w:sz w:val="28"/>
      <w:szCs w:val="28"/>
      <w:shd w:val="clear" w:color="auto" w:fill="92D050"/>
      <w:lang w:eastAsia="fr-FR"/>
    </w:rPr>
  </w:style>
  <w:style w:type="character" w:customStyle="1" w:styleId="Titre1CGESCar">
    <w:name w:val="Titre 1 CGES Car"/>
    <w:link w:val="Titre1CGES"/>
    <w:qFormat/>
    <w:rsid w:val="0090044A"/>
    <w:rPr>
      <w:rFonts w:ascii="Arial" w:eastAsia="Times New Roman" w:hAnsi="Arial"/>
      <w:b w:val="0"/>
      <w:bCs w:val="0"/>
      <w:caps/>
      <w:sz w:val="28"/>
      <w:szCs w:val="28"/>
      <w:shd w:val="clear" w:color="auto" w:fill="92D050"/>
      <w:lang w:eastAsia="fr-FR"/>
    </w:rPr>
  </w:style>
  <w:style w:type="character" w:customStyle="1" w:styleId="TITRE1CSEACar">
    <w:name w:val="TITRE1 CSEA Car"/>
    <w:link w:val="TITRE1CSEA"/>
    <w:qFormat/>
    <w:rsid w:val="0090044A"/>
    <w:rPr>
      <w:rFonts w:ascii="Arial" w:eastAsia="Times New Roman" w:hAnsi="Arial"/>
      <w:b w:val="0"/>
      <w:bCs w:val="0"/>
      <w:caps/>
      <w:sz w:val="28"/>
      <w:szCs w:val="28"/>
      <w:shd w:val="clear" w:color="auto" w:fill="92D050"/>
      <w:lang w:eastAsia="fr-FR"/>
    </w:rPr>
  </w:style>
  <w:style w:type="character" w:customStyle="1" w:styleId="markedcontent">
    <w:name w:val="markedcontent"/>
    <w:basedOn w:val="Policepardfaut"/>
    <w:qFormat/>
    <w:rsid w:val="0090044A"/>
  </w:style>
  <w:style w:type="character" w:customStyle="1" w:styleId="UnresolvedMention4">
    <w:name w:val="Unresolved Mention4"/>
    <w:uiPriority w:val="99"/>
    <w:semiHidden/>
    <w:unhideWhenUsed/>
    <w:qFormat/>
    <w:rsid w:val="0090044A"/>
    <w:rPr>
      <w:color w:val="605E5C"/>
      <w:shd w:val="clear" w:color="auto" w:fill="E1DFDD"/>
    </w:rPr>
  </w:style>
  <w:style w:type="character" w:customStyle="1" w:styleId="Titre1Car1">
    <w:name w:val="Titre 1 Car1"/>
    <w:uiPriority w:val="9"/>
    <w:qFormat/>
    <w:rsid w:val="0090044A"/>
    <w:rPr>
      <w:rFonts w:ascii="Cambria" w:eastAsia="Times New Roman" w:hAnsi="Cambria" w:cs="Times New Roman"/>
      <w:color w:val="365F91"/>
      <w:sz w:val="32"/>
      <w:szCs w:val="32"/>
    </w:rPr>
  </w:style>
  <w:style w:type="character" w:customStyle="1" w:styleId="Titre2Car1">
    <w:name w:val="Titre 2 Car1"/>
    <w:uiPriority w:val="9"/>
    <w:semiHidden/>
    <w:qFormat/>
    <w:rsid w:val="0090044A"/>
    <w:rPr>
      <w:rFonts w:ascii="Cambria" w:eastAsia="Times New Roman" w:hAnsi="Cambria" w:cs="Times New Roman"/>
      <w:color w:val="365F91"/>
      <w:sz w:val="26"/>
      <w:szCs w:val="26"/>
    </w:rPr>
  </w:style>
  <w:style w:type="character" w:customStyle="1" w:styleId="Titre3Car1">
    <w:name w:val="Titre 3 Car1"/>
    <w:uiPriority w:val="9"/>
    <w:semiHidden/>
    <w:qFormat/>
    <w:rsid w:val="0090044A"/>
    <w:rPr>
      <w:rFonts w:ascii="Cambria" w:eastAsia="Times New Roman" w:hAnsi="Cambria" w:cs="Times New Roman"/>
      <w:color w:val="243F60"/>
      <w:sz w:val="24"/>
      <w:szCs w:val="24"/>
    </w:rPr>
  </w:style>
  <w:style w:type="character" w:customStyle="1" w:styleId="Titre4Car1">
    <w:name w:val="Titre 4 Car1"/>
    <w:uiPriority w:val="9"/>
    <w:semiHidden/>
    <w:qFormat/>
    <w:rsid w:val="0090044A"/>
    <w:rPr>
      <w:rFonts w:ascii="Cambria" w:eastAsia="Times New Roman" w:hAnsi="Cambria" w:cs="Times New Roman"/>
      <w:i/>
      <w:iCs/>
      <w:color w:val="365F91"/>
      <w:sz w:val="22"/>
      <w:szCs w:val="22"/>
    </w:rPr>
  </w:style>
  <w:style w:type="character" w:customStyle="1" w:styleId="Titre5Car1">
    <w:name w:val="Titre 5 Car1"/>
    <w:semiHidden/>
    <w:qFormat/>
    <w:rsid w:val="0090044A"/>
    <w:rPr>
      <w:rFonts w:ascii="Cambria" w:eastAsia="Times New Roman" w:hAnsi="Cambria" w:cs="Times New Roman"/>
      <w:color w:val="365F91"/>
      <w:sz w:val="22"/>
      <w:szCs w:val="22"/>
    </w:rPr>
  </w:style>
  <w:style w:type="character" w:customStyle="1" w:styleId="NotedebasdepageCar1">
    <w:name w:val="Note de bas de page Car1"/>
    <w:qFormat/>
    <w:rsid w:val="0090044A"/>
    <w:rPr>
      <w:rFonts w:ascii="Arial" w:hAnsi="Arial"/>
      <w:sz w:val="20"/>
      <w:szCs w:val="20"/>
    </w:rPr>
  </w:style>
  <w:style w:type="character" w:customStyle="1" w:styleId="En-tteCar1">
    <w:name w:val="En-tête Car1"/>
    <w:uiPriority w:val="99"/>
    <w:semiHidden/>
    <w:qFormat/>
    <w:rsid w:val="0090044A"/>
    <w:rPr>
      <w:rFonts w:ascii="Arial" w:hAnsi="Arial"/>
    </w:rPr>
  </w:style>
  <w:style w:type="character" w:customStyle="1" w:styleId="CGESCSEACar">
    <w:name w:val="CGES CSEA Car"/>
    <w:link w:val="CGESCSEA"/>
    <w:qFormat/>
    <w:locked/>
    <w:rsid w:val="0090044A"/>
    <w:rPr>
      <w:rFonts w:ascii="arial gras" w:eastAsia="Times New Roman" w:hAnsi="arial gras"/>
      <w:b/>
      <w:bCs/>
      <w:i/>
      <w:iCs/>
      <w:lang w:eastAsia="fr-FR"/>
    </w:rPr>
  </w:style>
  <w:style w:type="character" w:customStyle="1" w:styleId="DocumentdateChar">
    <w:name w:val="_Document date Char"/>
    <w:link w:val="Documentdate"/>
    <w:uiPriority w:val="4"/>
    <w:qFormat/>
    <w:locked/>
    <w:rsid w:val="0090044A"/>
    <w:rPr>
      <w:bCs/>
      <w:i/>
      <w:color w:val="4F81BD"/>
      <w:sz w:val="24"/>
      <w:lang w:val="fr-FR" w:eastAsia="fr-FR" w:bidi="ar-SA"/>
    </w:rPr>
  </w:style>
  <w:style w:type="character" w:customStyle="1" w:styleId="Documentnompied-de-pageCar">
    <w:name w:val="_Document nom pied-de-page Car"/>
    <w:uiPriority w:val="4"/>
    <w:qFormat/>
    <w:locked/>
    <w:rsid w:val="0090044A"/>
    <w:rPr>
      <w:bCs/>
      <w:caps/>
      <w:sz w:val="16"/>
      <w:szCs w:val="20"/>
      <w:lang w:eastAsia="fr-FR"/>
    </w:rPr>
  </w:style>
  <w:style w:type="character" w:customStyle="1" w:styleId="Puce2Car">
    <w:name w:val="– Puce 2 Car"/>
    <w:link w:val="Puce2"/>
    <w:qFormat/>
    <w:locked/>
    <w:rsid w:val="0090044A"/>
    <w:rPr>
      <w:rFonts w:cs="Arial"/>
      <w:bCs/>
      <w:sz w:val="22"/>
      <w:szCs w:val="22"/>
      <w:lang w:val="fr-FR" w:eastAsia="fr-FR" w:bidi="ar-SA"/>
    </w:rPr>
  </w:style>
  <w:style w:type="character" w:customStyle="1" w:styleId="ObjetducommentaireCar1">
    <w:name w:val="Objet du commentaire Car1"/>
    <w:uiPriority w:val="99"/>
    <w:semiHidden/>
    <w:qFormat/>
    <w:rsid w:val="0090044A"/>
    <w:rPr>
      <w:rFonts w:ascii="Arial" w:eastAsia="Times New Roman" w:hAnsi="Arial" w:cs="Arial"/>
      <w:b/>
      <w:bCs/>
      <w:sz w:val="20"/>
      <w:szCs w:val="20"/>
      <w:lang w:eastAsia="fr-FR"/>
    </w:rPr>
  </w:style>
  <w:style w:type="character" w:customStyle="1" w:styleId="TextedebullesCar1">
    <w:name w:val="Texte de bulles Car1"/>
    <w:uiPriority w:val="99"/>
    <w:semiHidden/>
    <w:qFormat/>
    <w:rsid w:val="0090044A"/>
    <w:rPr>
      <w:rFonts w:ascii="Segoe UI" w:hAnsi="Segoe UI" w:cs="Segoe UI"/>
      <w:sz w:val="18"/>
      <w:szCs w:val="18"/>
    </w:rPr>
  </w:style>
  <w:style w:type="character" w:customStyle="1" w:styleId="Listecouleur-Accent1Car2">
    <w:name w:val="Liste couleur - Accent 1 Car2"/>
    <w:link w:val="Listecouleur-Accent1"/>
    <w:uiPriority w:val="1"/>
    <w:qFormat/>
    <w:locked/>
    <w:rsid w:val="0090044A"/>
    <w:rPr>
      <w:sz w:val="22"/>
      <w:szCs w:val="22"/>
      <w:lang w:eastAsia="en-US"/>
    </w:rPr>
  </w:style>
  <w:style w:type="character" w:customStyle="1" w:styleId="PrformatHTMLCar1">
    <w:name w:val="Préformaté HTML Car1"/>
    <w:uiPriority w:val="99"/>
    <w:semiHidden/>
    <w:qFormat/>
    <w:rsid w:val="0090044A"/>
    <w:rPr>
      <w:rFonts w:ascii="Consolas" w:hAnsi="Consolas"/>
      <w:sz w:val="20"/>
      <w:szCs w:val="20"/>
    </w:rPr>
  </w:style>
  <w:style w:type="character" w:customStyle="1" w:styleId="romain">
    <w:name w:val="romain"/>
    <w:basedOn w:val="Policepardfaut"/>
    <w:qFormat/>
    <w:rsid w:val="0090044A"/>
  </w:style>
  <w:style w:type="character" w:customStyle="1" w:styleId="Titre2Car2">
    <w:name w:val="Titre2 Car"/>
    <w:link w:val="Titre21"/>
    <w:qFormat/>
    <w:locked/>
    <w:rsid w:val="0090044A"/>
    <w:rPr>
      <w:rFonts w:ascii="arial gras" w:hAnsi="arial gras" w:cs="Arial"/>
      <w:b/>
      <w:smallCaps/>
      <w:color w:val="4F81BD"/>
      <w:sz w:val="28"/>
    </w:rPr>
  </w:style>
  <w:style w:type="character" w:customStyle="1" w:styleId="Titre3Car0">
    <w:name w:val="Titre3 Car"/>
    <w:qFormat/>
    <w:locked/>
    <w:rsid w:val="0090044A"/>
    <w:rPr>
      <w:rFonts w:ascii="Arial" w:hAnsi="Arial" w:cs="Arial"/>
      <w:b/>
      <w:color w:val="4F81BD"/>
      <w:sz w:val="24"/>
    </w:rPr>
  </w:style>
  <w:style w:type="character" w:customStyle="1" w:styleId="Titre4Car0">
    <w:name w:val="Titre4 Car"/>
    <w:qFormat/>
    <w:locked/>
    <w:rsid w:val="0090044A"/>
    <w:rPr>
      <w:rFonts w:ascii="Arial" w:hAnsi="Arial" w:cs="Arial"/>
      <w:b/>
      <w:color w:val="4F81BD"/>
    </w:rPr>
  </w:style>
  <w:style w:type="character" w:customStyle="1" w:styleId="longtext">
    <w:name w:val="long_text"/>
    <w:qFormat/>
    <w:rsid w:val="0090044A"/>
  </w:style>
  <w:style w:type="character" w:customStyle="1" w:styleId="Caractresdenotedebasdepage">
    <w:name w:val="Caractères de note de bas de page"/>
    <w:qFormat/>
    <w:rsid w:val="0090044A"/>
    <w:rPr>
      <w:vertAlign w:val="superscript"/>
    </w:rPr>
  </w:style>
  <w:style w:type="character" w:customStyle="1" w:styleId="Sautdindex">
    <w:name w:val="Saut d'index"/>
    <w:qFormat/>
    <w:rsid w:val="0090044A"/>
  </w:style>
  <w:style w:type="character" w:customStyle="1" w:styleId="Caractresdenotedefin">
    <w:name w:val="Caractères de note de fin"/>
    <w:qFormat/>
    <w:rsid w:val="0090044A"/>
  </w:style>
  <w:style w:type="paragraph" w:styleId="Titre">
    <w:name w:val="Title"/>
    <w:basedOn w:val="Normal"/>
    <w:next w:val="Corpsdetexte"/>
    <w:link w:val="TitreCar"/>
    <w:uiPriority w:val="10"/>
    <w:qFormat/>
    <w:rsid w:val="0090044A"/>
    <w:pPr>
      <w:pBdr>
        <w:top w:val="single" w:sz="8" w:space="1" w:color="70AD47"/>
      </w:pBdr>
      <w:spacing w:after="0" w:line="240" w:lineRule="auto"/>
      <w:ind w:left="442"/>
      <w:jc w:val="right"/>
    </w:pPr>
    <w:rPr>
      <w:rFonts w:ascii="Arial" w:eastAsia="Times New Roman" w:hAnsi="Arial"/>
      <w:smallCaps/>
      <w:color w:val="262626"/>
      <w:sz w:val="52"/>
      <w:szCs w:val="52"/>
      <w:lang w:val="x-none" w:eastAsia="fr-FR"/>
    </w:rPr>
  </w:style>
  <w:style w:type="character" w:customStyle="1" w:styleId="TitreCar1">
    <w:name w:val="Titre Car1"/>
    <w:uiPriority w:val="10"/>
    <w:rsid w:val="0090044A"/>
    <w:rPr>
      <w:rFonts w:ascii="Cambria" w:eastAsia="Times New Roman" w:hAnsi="Cambria" w:cs="Times New Roman"/>
      <w:spacing w:val="-10"/>
      <w:kern w:val="28"/>
      <w:sz w:val="56"/>
      <w:szCs w:val="56"/>
    </w:rPr>
  </w:style>
  <w:style w:type="character" w:customStyle="1" w:styleId="TitleChar1">
    <w:name w:val="Title Char1"/>
    <w:uiPriority w:val="10"/>
    <w:rsid w:val="0090044A"/>
    <w:rPr>
      <w:rFonts w:ascii="Cambria" w:eastAsia="Times New Roman" w:hAnsi="Cambria" w:cs="Times New Roman"/>
      <w:spacing w:val="-10"/>
      <w:kern w:val="28"/>
      <w:sz w:val="56"/>
      <w:szCs w:val="56"/>
      <w:lang w:val="fr-FR"/>
    </w:rPr>
  </w:style>
  <w:style w:type="character" w:customStyle="1" w:styleId="CorpsdetexteCar1">
    <w:name w:val="Corps de texte Car1"/>
    <w:basedOn w:val="Policepardfaut"/>
    <w:uiPriority w:val="99"/>
    <w:semiHidden/>
    <w:rsid w:val="0090044A"/>
  </w:style>
  <w:style w:type="character" w:customStyle="1" w:styleId="BodyTextChar1">
    <w:name w:val="Body Text Char1"/>
    <w:uiPriority w:val="99"/>
    <w:semiHidden/>
    <w:rsid w:val="0090044A"/>
    <w:rPr>
      <w:lang w:val="fr-FR"/>
    </w:rPr>
  </w:style>
  <w:style w:type="paragraph" w:styleId="Liste">
    <w:name w:val="List"/>
    <w:basedOn w:val="Corpsdetexte"/>
    <w:rsid w:val="0090044A"/>
    <w:pPr>
      <w:autoSpaceDE/>
      <w:autoSpaceDN/>
      <w:ind w:left="442"/>
      <w:jc w:val="both"/>
    </w:pPr>
    <w:rPr>
      <w:rFonts w:ascii="Times New Roman" w:eastAsia="Times New Roman" w:hAnsi="Times New Roman" w:cs="Lohit Devanagari"/>
      <w:sz w:val="24"/>
      <w:szCs w:val="24"/>
      <w:lang w:eastAsia="fr-FR"/>
    </w:rPr>
  </w:style>
  <w:style w:type="paragraph" w:customStyle="1" w:styleId="Index">
    <w:name w:val="Index"/>
    <w:basedOn w:val="Normal"/>
    <w:qFormat/>
    <w:rsid w:val="0090044A"/>
    <w:pPr>
      <w:suppressLineNumbers/>
      <w:spacing w:after="0" w:line="240" w:lineRule="auto"/>
      <w:ind w:left="442"/>
      <w:jc w:val="both"/>
    </w:pPr>
    <w:rPr>
      <w:rFonts w:cs="Lohit Devanagari"/>
    </w:rPr>
  </w:style>
  <w:style w:type="paragraph" w:styleId="Sous-titre">
    <w:name w:val="Subtitle"/>
    <w:basedOn w:val="Normal"/>
    <w:next w:val="Normal"/>
    <w:link w:val="Sous-titreCar1"/>
    <w:uiPriority w:val="11"/>
    <w:qFormat/>
    <w:rsid w:val="0090044A"/>
    <w:pPr>
      <w:spacing w:after="0" w:line="240" w:lineRule="auto"/>
      <w:ind w:left="442"/>
      <w:jc w:val="right"/>
    </w:pPr>
    <w:rPr>
      <w:rFonts w:ascii="Calibri Light" w:eastAsia="SimSun" w:hAnsi="Calibri Light"/>
      <w:sz w:val="20"/>
      <w:szCs w:val="20"/>
      <w:lang w:val="x-none" w:eastAsia="fr-FR"/>
    </w:rPr>
  </w:style>
  <w:style w:type="character" w:customStyle="1" w:styleId="Sous-titreCar1">
    <w:name w:val="Sous-titre Car1"/>
    <w:link w:val="Sous-titre"/>
    <w:uiPriority w:val="11"/>
    <w:rsid w:val="0090044A"/>
    <w:rPr>
      <w:rFonts w:ascii="Calibri Light" w:eastAsia="SimSun" w:hAnsi="Calibri Light" w:cs="Times New Roman"/>
      <w:sz w:val="20"/>
      <w:szCs w:val="20"/>
      <w:lang w:eastAsia="fr-FR"/>
    </w:rPr>
  </w:style>
  <w:style w:type="character" w:customStyle="1" w:styleId="TextedebullesCar2">
    <w:name w:val="Texte de bulles Car2"/>
    <w:uiPriority w:val="99"/>
    <w:semiHidden/>
    <w:rsid w:val="0090044A"/>
    <w:rPr>
      <w:rFonts w:ascii="Segoe UI" w:hAnsi="Segoe UI" w:cs="Segoe UI"/>
      <w:sz w:val="18"/>
      <w:szCs w:val="18"/>
    </w:rPr>
  </w:style>
  <w:style w:type="character" w:customStyle="1" w:styleId="BalloonTextChar1">
    <w:name w:val="Balloon Text Char1"/>
    <w:uiPriority w:val="99"/>
    <w:semiHidden/>
    <w:rsid w:val="0090044A"/>
    <w:rPr>
      <w:rFonts w:ascii="Segoe UI" w:hAnsi="Segoe UI" w:cs="Segoe UI"/>
      <w:sz w:val="18"/>
      <w:szCs w:val="18"/>
      <w:lang w:val="fr-FR"/>
    </w:rPr>
  </w:style>
  <w:style w:type="paragraph" w:customStyle="1" w:styleId="En-tteetpieddepage">
    <w:name w:val="En-tête et pied de page"/>
    <w:basedOn w:val="Normal"/>
    <w:qFormat/>
    <w:rsid w:val="0090044A"/>
    <w:pPr>
      <w:spacing w:after="0" w:line="240" w:lineRule="auto"/>
      <w:ind w:left="442"/>
      <w:jc w:val="both"/>
    </w:pPr>
  </w:style>
  <w:style w:type="character" w:customStyle="1" w:styleId="En-tteCar2">
    <w:name w:val="En-tête Car2"/>
    <w:aliases w:val="Kopfzeile Char Char Car1, Char Char Char Car1,En-tête client Car1,Module+LSNameHeadr Car1"/>
    <w:uiPriority w:val="99"/>
    <w:rsid w:val="0090044A"/>
    <w:rPr>
      <w:rFonts w:ascii="Arial" w:eastAsia="Times New Roman" w:hAnsi="Arial"/>
      <w:sz w:val="20"/>
      <w:szCs w:val="20"/>
      <w:lang w:eastAsia="fr-FR"/>
    </w:rPr>
  </w:style>
  <w:style w:type="character" w:customStyle="1" w:styleId="PieddepageCar1">
    <w:name w:val="Pied de page Car1"/>
    <w:basedOn w:val="Policepardfaut"/>
    <w:uiPriority w:val="99"/>
    <w:semiHidden/>
    <w:rsid w:val="0090044A"/>
  </w:style>
  <w:style w:type="character" w:customStyle="1" w:styleId="FooterChar1">
    <w:name w:val="Footer Char1"/>
    <w:uiPriority w:val="99"/>
    <w:semiHidden/>
    <w:rsid w:val="0090044A"/>
    <w:rPr>
      <w:lang w:val="fr-FR"/>
    </w:rPr>
  </w:style>
  <w:style w:type="paragraph" w:customStyle="1" w:styleId="TIT40">
    <w:name w:val="TIT 4"/>
    <w:basedOn w:val="TIT3"/>
    <w:qFormat/>
    <w:rsid w:val="0090044A"/>
    <w:pPr>
      <w:keepNext w:val="0"/>
      <w:keepLines w:val="0"/>
      <w:pBdr>
        <w:bottom w:val="nil"/>
      </w:pBdr>
      <w:spacing w:before="280" w:beforeAutospacing="0" w:after="280" w:afterAutospacing="0" w:line="240" w:lineRule="auto"/>
      <w:ind w:left="0" w:firstLine="0"/>
      <w:outlineLvl w:val="1"/>
    </w:pPr>
    <w:rPr>
      <w:rFonts w:ascii="Calibri" w:hAnsi="Calibri"/>
      <w:color w:val="002060"/>
      <w:sz w:val="22"/>
      <w:szCs w:val="20"/>
      <w:lang w:eastAsia="fr-FR"/>
    </w:rPr>
  </w:style>
  <w:style w:type="paragraph" w:styleId="En-ttedetabledesmatires">
    <w:name w:val="TOC Heading"/>
    <w:basedOn w:val="Titre1"/>
    <w:next w:val="Normal"/>
    <w:uiPriority w:val="39"/>
    <w:unhideWhenUsed/>
    <w:qFormat/>
    <w:rsid w:val="0090044A"/>
    <w:pPr>
      <w:keepNext w:val="0"/>
      <w:keepLines w:val="0"/>
      <w:spacing w:before="0" w:line="240" w:lineRule="auto"/>
      <w:ind w:left="432" w:hanging="432"/>
      <w:jc w:val="both"/>
    </w:pPr>
    <w:rPr>
      <w:rFonts w:ascii="Arial" w:hAnsi="Arial"/>
      <w:b w:val="0"/>
      <w:bCs w:val="0"/>
      <w:smallCaps/>
      <w:color w:val="auto"/>
      <w:spacing w:val="5"/>
      <w:sz w:val="32"/>
      <w:szCs w:val="32"/>
      <w:lang w:eastAsia="fr-FR"/>
    </w:rPr>
  </w:style>
  <w:style w:type="paragraph" w:customStyle="1" w:styleId="Grillemoyenne22">
    <w:name w:val="Grille moyenne 22"/>
    <w:uiPriority w:val="1"/>
    <w:qFormat/>
    <w:rsid w:val="0090044A"/>
    <w:pPr>
      <w:suppressAutoHyphens/>
      <w:spacing w:after="200" w:line="276" w:lineRule="auto"/>
      <w:ind w:left="442"/>
      <w:jc w:val="both"/>
    </w:pPr>
    <w:rPr>
      <w:rFonts w:eastAsia="Times New Roman"/>
      <w:sz w:val="22"/>
      <w:szCs w:val="22"/>
      <w:lang w:val="fr-FR" w:eastAsia="en-US"/>
    </w:rPr>
  </w:style>
  <w:style w:type="character" w:customStyle="1" w:styleId="NotedebasdepageCar2">
    <w:name w:val="Note de bas de page Car2"/>
    <w:uiPriority w:val="99"/>
    <w:semiHidden/>
    <w:rsid w:val="0090044A"/>
    <w:rPr>
      <w:sz w:val="20"/>
      <w:szCs w:val="20"/>
    </w:rPr>
  </w:style>
  <w:style w:type="character" w:customStyle="1" w:styleId="FootnoteTextChar1">
    <w:name w:val="Footnote Text Char1"/>
    <w:uiPriority w:val="99"/>
    <w:semiHidden/>
    <w:rsid w:val="0090044A"/>
    <w:rPr>
      <w:sz w:val="20"/>
      <w:szCs w:val="20"/>
      <w:lang w:val="fr-FR"/>
    </w:rPr>
  </w:style>
  <w:style w:type="paragraph" w:customStyle="1" w:styleId="Tableau">
    <w:name w:val="Tableau"/>
    <w:basedOn w:val="Lgende"/>
    <w:qFormat/>
    <w:rsid w:val="0090044A"/>
    <w:pPr>
      <w:spacing w:after="0"/>
      <w:ind w:left="442"/>
    </w:pPr>
    <w:rPr>
      <w:rFonts w:ascii="Cambria" w:eastAsia="Times New Roman" w:hAnsi="Cambria"/>
      <w:b w:val="0"/>
      <w:bCs w:val="0"/>
      <w:color w:val="auto"/>
      <w:sz w:val="20"/>
      <w:szCs w:val="20"/>
      <w:lang w:eastAsia="fr-FR"/>
    </w:rPr>
  </w:style>
  <w:style w:type="paragraph" w:styleId="Tabledesillustrations">
    <w:name w:val="table of figures"/>
    <w:basedOn w:val="Normal"/>
    <w:next w:val="Normal"/>
    <w:uiPriority w:val="99"/>
    <w:unhideWhenUsed/>
    <w:qFormat/>
    <w:rsid w:val="0090044A"/>
    <w:pPr>
      <w:spacing w:after="0" w:line="240" w:lineRule="auto"/>
      <w:ind w:left="442"/>
      <w:jc w:val="both"/>
    </w:pPr>
    <w:rPr>
      <w:rFonts w:ascii="Arial" w:eastAsia="Times New Roman" w:hAnsi="Arial"/>
      <w:sz w:val="20"/>
      <w:szCs w:val="32"/>
      <w:lang w:eastAsia="fr-FR"/>
    </w:rPr>
  </w:style>
  <w:style w:type="paragraph" w:customStyle="1" w:styleId="Titre11">
    <w:name w:val="Titre11"/>
    <w:basedOn w:val="Normal"/>
    <w:qFormat/>
    <w:rsid w:val="0090044A"/>
    <w:pPr>
      <w:pBdr>
        <w:bottom w:val="single" w:sz="4" w:space="1" w:color="000000"/>
      </w:pBdr>
      <w:spacing w:after="0" w:line="240" w:lineRule="auto"/>
      <w:ind w:left="442"/>
      <w:jc w:val="both"/>
    </w:pPr>
    <w:rPr>
      <w:rFonts w:ascii="Cambria" w:eastAsia="Times New Roman" w:hAnsi="Cambria"/>
      <w:b/>
      <w:sz w:val="24"/>
      <w:lang w:eastAsia="fr-FR"/>
    </w:rPr>
  </w:style>
  <w:style w:type="paragraph" w:customStyle="1" w:styleId="En-ttedetabledesmatires1">
    <w:name w:val="En-tête de table des matières1"/>
    <w:basedOn w:val="Titre1"/>
    <w:next w:val="Normal"/>
    <w:uiPriority w:val="39"/>
    <w:unhideWhenUsed/>
    <w:qFormat/>
    <w:rsid w:val="0090044A"/>
    <w:pPr>
      <w:keepNext w:val="0"/>
      <w:keepLines w:val="0"/>
      <w:spacing w:before="240" w:after="280" w:line="259" w:lineRule="auto"/>
      <w:ind w:left="432" w:hanging="432"/>
      <w:jc w:val="both"/>
    </w:pPr>
    <w:rPr>
      <w:rFonts w:ascii="Calibri Light" w:hAnsi="Calibri Light"/>
      <w:b w:val="0"/>
      <w:bCs w:val="0"/>
      <w:smallCaps/>
      <w:color w:val="2E74B5"/>
      <w:spacing w:val="5"/>
      <w:sz w:val="32"/>
      <w:szCs w:val="20"/>
      <w:lang w:val="en-GB" w:eastAsia="en-GB"/>
    </w:rPr>
  </w:style>
  <w:style w:type="paragraph" w:customStyle="1" w:styleId="Normal1">
    <w:name w:val="Normal1"/>
    <w:qFormat/>
    <w:rsid w:val="0090044A"/>
    <w:pPr>
      <w:suppressAutoHyphens/>
      <w:spacing w:after="200" w:line="276" w:lineRule="auto"/>
      <w:ind w:left="442"/>
      <w:jc w:val="both"/>
    </w:pPr>
    <w:rPr>
      <w:rFonts w:ascii="Arial" w:eastAsia="Arial" w:hAnsi="Arial" w:cs="Arial"/>
      <w:sz w:val="22"/>
      <w:szCs w:val="22"/>
      <w:lang w:val="en-US" w:eastAsia="fr-FR"/>
    </w:rPr>
  </w:style>
  <w:style w:type="paragraph" w:customStyle="1" w:styleId="Pa11">
    <w:name w:val="Pa11"/>
    <w:basedOn w:val="Default"/>
    <w:next w:val="Default"/>
    <w:uiPriority w:val="99"/>
    <w:qFormat/>
    <w:rsid w:val="0090044A"/>
    <w:pPr>
      <w:suppressAutoHyphens/>
      <w:autoSpaceDE/>
      <w:autoSpaceDN/>
      <w:adjustRightInd/>
      <w:spacing w:after="200" w:line="241" w:lineRule="atLeast"/>
      <w:ind w:left="442"/>
      <w:jc w:val="both"/>
    </w:pPr>
    <w:rPr>
      <w:rFonts w:ascii="Georgia" w:hAnsi="Georgia" w:cs="Times New Roman"/>
      <w:color w:val="auto"/>
      <w:lang w:eastAsia="fr-FR"/>
    </w:rPr>
  </w:style>
  <w:style w:type="paragraph" w:customStyle="1" w:styleId="Titre61">
    <w:name w:val="Titre 61"/>
    <w:basedOn w:val="Normal"/>
    <w:uiPriority w:val="1"/>
    <w:qFormat/>
    <w:rsid w:val="0090044A"/>
    <w:pPr>
      <w:widowControl w:val="0"/>
      <w:spacing w:after="0" w:line="240" w:lineRule="auto"/>
      <w:ind w:left="216"/>
      <w:jc w:val="both"/>
      <w:outlineLvl w:val="6"/>
    </w:pPr>
    <w:rPr>
      <w:rFonts w:ascii="Times New Roman" w:eastAsia="Times New Roman" w:hAnsi="Times New Roman"/>
      <w:b/>
      <w:bCs/>
      <w:i/>
      <w:sz w:val="24"/>
      <w:szCs w:val="24"/>
      <w:lang w:eastAsia="fr-FR"/>
    </w:rPr>
  </w:style>
  <w:style w:type="paragraph" w:customStyle="1" w:styleId="Style3">
    <w:name w:val="Style3"/>
    <w:basedOn w:val="TIT3"/>
    <w:qFormat/>
    <w:rsid w:val="0090044A"/>
    <w:pPr>
      <w:keepNext w:val="0"/>
      <w:keepLines w:val="0"/>
      <w:pBdr>
        <w:bottom w:val="nil"/>
      </w:pBdr>
      <w:spacing w:before="280" w:beforeAutospacing="0" w:after="280" w:afterAutospacing="0" w:line="240" w:lineRule="auto"/>
      <w:ind w:left="1080" w:firstLine="360"/>
      <w:outlineLvl w:val="3"/>
    </w:pPr>
    <w:rPr>
      <w:rFonts w:ascii="Calibri" w:hAnsi="Calibri"/>
      <w:caps/>
      <w:smallCaps/>
      <w:color w:val="002060"/>
      <w:sz w:val="22"/>
      <w:szCs w:val="20"/>
    </w:rPr>
  </w:style>
  <w:style w:type="paragraph" w:customStyle="1" w:styleId="TITR1">
    <w:name w:val="TITR 1"/>
    <w:qFormat/>
    <w:rsid w:val="0090044A"/>
    <w:pPr>
      <w:suppressAutoHyphens/>
      <w:spacing w:beforeAutospacing="1" w:afterAutospacing="1" w:line="240" w:lineRule="atLeast"/>
      <w:ind w:left="567" w:hanging="567"/>
      <w:jc w:val="both"/>
    </w:pPr>
    <w:rPr>
      <w:rFonts w:ascii="Arial" w:eastAsia="Times New Roman" w:hAnsi="Arial" w:cs="Arial"/>
      <w:b/>
      <w:caps/>
      <w:color w:val="002060"/>
      <w:sz w:val="32"/>
      <w:szCs w:val="32"/>
      <w:lang w:val="fr-FR" w:eastAsia="en-US"/>
    </w:rPr>
  </w:style>
  <w:style w:type="paragraph" w:customStyle="1" w:styleId="TITR2">
    <w:name w:val="TITR 2"/>
    <w:basedOn w:val="TIT2"/>
    <w:qFormat/>
    <w:rsid w:val="0090044A"/>
    <w:pPr>
      <w:keepNext w:val="0"/>
      <w:keepLines w:val="0"/>
      <w:pBdr>
        <w:bottom w:val="none" w:sz="0" w:space="0" w:color="auto"/>
      </w:pBdr>
      <w:spacing w:before="0" w:after="0"/>
      <w:ind w:left="1497"/>
      <w:outlineLvl w:val="2"/>
    </w:pPr>
    <w:rPr>
      <w:rFonts w:ascii="Arial" w:hAnsi="Arial"/>
      <w:caps/>
      <w:smallCaps w:val="0"/>
      <w:color w:val="002060"/>
      <w:sz w:val="24"/>
      <w:szCs w:val="24"/>
      <w:lang w:eastAsia="fr-FR"/>
    </w:rPr>
  </w:style>
  <w:style w:type="paragraph" w:customStyle="1" w:styleId="Style5">
    <w:name w:val="Style5"/>
    <w:basedOn w:val="TIT2"/>
    <w:next w:val="TITR2"/>
    <w:qFormat/>
    <w:rsid w:val="0090044A"/>
    <w:pPr>
      <w:keepNext w:val="0"/>
      <w:keepLines w:val="0"/>
      <w:pBdr>
        <w:bottom w:val="none" w:sz="0" w:space="0" w:color="auto"/>
      </w:pBdr>
      <w:spacing w:before="0" w:after="0"/>
      <w:ind w:left="1497"/>
      <w:outlineLvl w:val="2"/>
    </w:pPr>
    <w:rPr>
      <w:rFonts w:ascii="Arial" w:hAnsi="Arial"/>
      <w:caps/>
      <w:smallCaps w:val="0"/>
      <w:color w:val="002060"/>
      <w:lang w:eastAsia="fr-FR"/>
    </w:rPr>
  </w:style>
  <w:style w:type="paragraph" w:customStyle="1" w:styleId="ea">
    <w:name w:val="ea"/>
    <w:basedOn w:val="Normal"/>
    <w:qFormat/>
    <w:rsid w:val="0090044A"/>
    <w:pPr>
      <w:keepLines/>
      <w:spacing w:after="0" w:line="240" w:lineRule="auto"/>
      <w:ind w:left="442"/>
      <w:jc w:val="both"/>
    </w:pPr>
    <w:rPr>
      <w:rFonts w:ascii="Arial" w:eastAsia="Times New Roman" w:hAnsi="Arial"/>
      <w:sz w:val="20"/>
      <w:szCs w:val="20"/>
      <w:lang w:eastAsia="fr-FR"/>
    </w:rPr>
  </w:style>
  <w:style w:type="paragraph" w:customStyle="1" w:styleId="ListeaPuce1">
    <w:name w:val="ListeaPuce1"/>
    <w:basedOn w:val="Normal"/>
    <w:qFormat/>
    <w:rsid w:val="0090044A"/>
    <w:pPr>
      <w:spacing w:after="0" w:line="240" w:lineRule="auto"/>
      <w:ind w:left="442"/>
      <w:jc w:val="both"/>
    </w:pPr>
    <w:rPr>
      <w:rFonts w:eastAsia="Times New Roman"/>
      <w:lang w:eastAsia="fr-FR"/>
    </w:rPr>
  </w:style>
  <w:style w:type="paragraph" w:customStyle="1" w:styleId="Titre51">
    <w:name w:val="Titre 51"/>
    <w:basedOn w:val="Normal"/>
    <w:uiPriority w:val="1"/>
    <w:qFormat/>
    <w:rsid w:val="0090044A"/>
    <w:pPr>
      <w:widowControl w:val="0"/>
      <w:spacing w:after="0" w:line="240" w:lineRule="auto"/>
      <w:ind w:left="1651" w:hanging="851"/>
      <w:jc w:val="both"/>
      <w:outlineLvl w:val="5"/>
    </w:pPr>
    <w:rPr>
      <w:rFonts w:ascii="DejaVu Serif" w:eastAsia="DejaVu Serif" w:hAnsi="DejaVu Serif" w:cs="DejaVu Serif"/>
      <w:b/>
      <w:bCs/>
      <w:lang w:val="en-US" w:eastAsia="fr-FR" w:bidi="en-US"/>
    </w:rPr>
  </w:style>
  <w:style w:type="paragraph" w:customStyle="1" w:styleId="Grillemoyenne21">
    <w:name w:val="Grille moyenne 21"/>
    <w:uiPriority w:val="1"/>
    <w:qFormat/>
    <w:rsid w:val="0090044A"/>
    <w:pPr>
      <w:suppressAutoHyphens/>
      <w:spacing w:after="200" w:line="276" w:lineRule="auto"/>
      <w:ind w:left="442"/>
      <w:jc w:val="both"/>
    </w:pPr>
    <w:rPr>
      <w:rFonts w:eastAsia="Times New Roman"/>
      <w:sz w:val="22"/>
      <w:szCs w:val="22"/>
      <w:lang w:val="fr-FR" w:eastAsia="en-US"/>
    </w:rPr>
  </w:style>
  <w:style w:type="character" w:customStyle="1" w:styleId="CommentaireCar2">
    <w:name w:val="Commentaire Car2"/>
    <w:uiPriority w:val="99"/>
    <w:semiHidden/>
    <w:rsid w:val="0090044A"/>
    <w:rPr>
      <w:sz w:val="20"/>
      <w:szCs w:val="20"/>
    </w:rPr>
  </w:style>
  <w:style w:type="character" w:customStyle="1" w:styleId="CommentTextChar1">
    <w:name w:val="Comment Text Char1"/>
    <w:uiPriority w:val="99"/>
    <w:semiHidden/>
    <w:rsid w:val="0090044A"/>
    <w:rPr>
      <w:sz w:val="20"/>
      <w:szCs w:val="20"/>
      <w:lang w:val="fr-FR"/>
    </w:rPr>
  </w:style>
  <w:style w:type="paragraph" w:customStyle="1" w:styleId="Tramemoyenne1-Accent11">
    <w:name w:val="Trame moyenne 1 - Accent 11"/>
    <w:uiPriority w:val="99"/>
    <w:qFormat/>
    <w:rsid w:val="0090044A"/>
    <w:pPr>
      <w:suppressAutoHyphens/>
      <w:spacing w:after="200" w:line="276" w:lineRule="auto"/>
      <w:ind w:left="442"/>
      <w:jc w:val="both"/>
    </w:pPr>
    <w:rPr>
      <w:rFonts w:ascii="Times New Roman" w:eastAsia="MS Mincho" w:hAnsi="Times New Roman"/>
      <w:color w:val="000000"/>
      <w:sz w:val="24"/>
      <w:szCs w:val="22"/>
      <w:lang w:val="en-US" w:eastAsia="en-US"/>
    </w:rPr>
  </w:style>
  <w:style w:type="paragraph" w:customStyle="1" w:styleId="Grilleclaire-Accent31">
    <w:name w:val="Grille claire - Accent 31"/>
    <w:basedOn w:val="Normal"/>
    <w:uiPriority w:val="34"/>
    <w:qFormat/>
    <w:rsid w:val="0090044A"/>
    <w:pPr>
      <w:widowControl w:val="0"/>
      <w:spacing w:after="0" w:line="240" w:lineRule="auto"/>
      <w:ind w:left="720"/>
      <w:contextualSpacing/>
      <w:jc w:val="both"/>
    </w:pPr>
    <w:rPr>
      <w:rFonts w:ascii="Arial" w:eastAsia="Times New Roman" w:hAnsi="Arial"/>
      <w:sz w:val="20"/>
      <w:szCs w:val="20"/>
      <w:lang w:val="en-GB" w:eastAsia="fr-FR"/>
    </w:rPr>
  </w:style>
  <w:style w:type="paragraph" w:customStyle="1" w:styleId="Style10">
    <w:name w:val="Style 1"/>
    <w:qFormat/>
    <w:rsid w:val="0090044A"/>
    <w:pPr>
      <w:widowControl w:val="0"/>
      <w:suppressAutoHyphens/>
      <w:spacing w:before="288" w:after="200" w:line="276" w:lineRule="auto"/>
      <w:ind w:left="442"/>
      <w:jc w:val="both"/>
    </w:pPr>
    <w:rPr>
      <w:rFonts w:ascii="Times New Roman" w:eastAsia="Times New Roman" w:hAnsi="Times New Roman"/>
      <w:lang w:val="fr-FR" w:eastAsia="en-US"/>
    </w:rPr>
  </w:style>
  <w:style w:type="paragraph" w:customStyle="1" w:styleId="Style6">
    <w:name w:val="Style6"/>
    <w:basedOn w:val="TIT3"/>
    <w:next w:val="TIT3"/>
    <w:qFormat/>
    <w:rsid w:val="0090044A"/>
    <w:pPr>
      <w:keepNext w:val="0"/>
      <w:keepLines w:val="0"/>
      <w:pBdr>
        <w:bottom w:val="nil"/>
      </w:pBdr>
      <w:spacing w:before="280" w:beforeAutospacing="0" w:after="280" w:afterAutospacing="0" w:line="240" w:lineRule="auto"/>
      <w:ind w:left="1497" w:firstLine="0"/>
      <w:outlineLvl w:val="3"/>
    </w:pPr>
    <w:rPr>
      <w:rFonts w:ascii="Calibri" w:hAnsi="Calibri"/>
      <w:caps/>
      <w:smallCaps/>
      <w:color w:val="002060"/>
      <w:sz w:val="22"/>
      <w:szCs w:val="20"/>
    </w:rPr>
  </w:style>
  <w:style w:type="paragraph" w:styleId="Objetducommentaire">
    <w:name w:val="annotation subject"/>
    <w:basedOn w:val="Commentaire"/>
    <w:next w:val="Commentaire"/>
    <w:link w:val="ObjetducommentaireCar"/>
    <w:uiPriority w:val="99"/>
    <w:semiHidden/>
    <w:unhideWhenUsed/>
    <w:qFormat/>
    <w:rsid w:val="0090044A"/>
    <w:pPr>
      <w:spacing w:before="280" w:line="240" w:lineRule="atLeast"/>
    </w:pPr>
    <w:rPr>
      <w:rFonts w:ascii="Arial" w:eastAsia="Times New Roman" w:hAnsi="Arial"/>
      <w:b/>
      <w:bCs/>
    </w:rPr>
  </w:style>
  <w:style w:type="character" w:customStyle="1" w:styleId="ObjetducommentaireCar2">
    <w:name w:val="Objet du commentaire Car2"/>
    <w:uiPriority w:val="99"/>
    <w:semiHidden/>
    <w:rsid w:val="0090044A"/>
    <w:rPr>
      <w:rFonts w:ascii="Calibri" w:hAnsi="Calibri" w:cs="Times New Roman"/>
      <w:b/>
      <w:bCs/>
      <w:sz w:val="20"/>
      <w:szCs w:val="20"/>
      <w:lang w:eastAsia="fr-FR"/>
    </w:rPr>
  </w:style>
  <w:style w:type="character" w:customStyle="1" w:styleId="CommentSubjectChar1">
    <w:name w:val="Comment Subject Char1"/>
    <w:uiPriority w:val="99"/>
    <w:semiHidden/>
    <w:rsid w:val="0090044A"/>
    <w:rPr>
      <w:b/>
      <w:bCs/>
      <w:sz w:val="20"/>
      <w:szCs w:val="20"/>
      <w:lang w:val="fr-FR"/>
    </w:rPr>
  </w:style>
  <w:style w:type="paragraph" w:customStyle="1" w:styleId="ColorfulShading-Accent11">
    <w:name w:val="Colorful Shading - Accent 11"/>
    <w:uiPriority w:val="71"/>
    <w:unhideWhenUsed/>
    <w:qFormat/>
    <w:rsid w:val="0090044A"/>
    <w:pPr>
      <w:suppressAutoHyphens/>
      <w:spacing w:after="200" w:line="276" w:lineRule="auto"/>
      <w:ind w:left="442"/>
      <w:jc w:val="both"/>
    </w:pPr>
    <w:rPr>
      <w:rFonts w:ascii="Arial" w:eastAsia="Times New Roman" w:hAnsi="Arial"/>
      <w:szCs w:val="32"/>
      <w:lang w:val="fr-FR" w:eastAsia="en-US"/>
    </w:rPr>
  </w:style>
  <w:style w:type="paragraph" w:customStyle="1" w:styleId="MediumGrid21">
    <w:name w:val="Medium Grid 21"/>
    <w:uiPriority w:val="99"/>
    <w:qFormat/>
    <w:rsid w:val="0090044A"/>
    <w:pPr>
      <w:suppressAutoHyphens/>
      <w:spacing w:beforeAutospacing="1" w:afterAutospacing="1" w:line="276" w:lineRule="auto"/>
      <w:ind w:left="442"/>
      <w:jc w:val="both"/>
    </w:pPr>
    <w:rPr>
      <w:rFonts w:ascii="Arial" w:eastAsia="Times New Roman" w:hAnsi="Arial"/>
      <w:szCs w:val="32"/>
      <w:lang w:val="fr-FR" w:eastAsia="en-US"/>
    </w:rPr>
  </w:style>
  <w:style w:type="paragraph" w:customStyle="1" w:styleId="Puce1">
    <w:name w:val="– Puce 1"/>
    <w:link w:val="Puce1Car"/>
    <w:qFormat/>
    <w:rsid w:val="0090044A"/>
    <w:pPr>
      <w:tabs>
        <w:tab w:val="left" w:pos="340"/>
      </w:tabs>
      <w:suppressAutoHyphens/>
      <w:spacing w:before="80" w:after="80" w:line="276" w:lineRule="auto"/>
      <w:ind w:left="442"/>
      <w:jc w:val="both"/>
    </w:pPr>
    <w:rPr>
      <w:rFonts w:eastAsia="Times New Roman"/>
      <w:sz w:val="22"/>
      <w:szCs w:val="22"/>
      <w:lang w:val="fr-FR" w:eastAsia="en-US"/>
    </w:rPr>
  </w:style>
  <w:style w:type="paragraph" w:customStyle="1" w:styleId="TM11">
    <w:name w:val="TM 11"/>
    <w:basedOn w:val="Normal"/>
    <w:uiPriority w:val="1"/>
    <w:qFormat/>
    <w:rsid w:val="0090044A"/>
    <w:pPr>
      <w:widowControl w:val="0"/>
      <w:spacing w:after="0" w:line="240" w:lineRule="auto"/>
      <w:ind w:left="200"/>
      <w:jc w:val="both"/>
    </w:pPr>
    <w:rPr>
      <w:rFonts w:ascii="Times New Roman" w:eastAsia="Times New Roman" w:hAnsi="Times New Roman"/>
      <w:b/>
      <w:bCs/>
      <w:sz w:val="24"/>
      <w:szCs w:val="24"/>
      <w:lang w:eastAsia="fr-FR"/>
    </w:rPr>
  </w:style>
  <w:style w:type="paragraph" w:styleId="Rvision">
    <w:name w:val="Revision"/>
    <w:uiPriority w:val="99"/>
    <w:semiHidden/>
    <w:qFormat/>
    <w:rsid w:val="0090044A"/>
    <w:pPr>
      <w:suppressAutoHyphens/>
      <w:spacing w:after="200" w:line="276" w:lineRule="auto"/>
      <w:ind w:left="442"/>
      <w:jc w:val="both"/>
    </w:pPr>
    <w:rPr>
      <w:rFonts w:ascii="Arial" w:eastAsia="Times New Roman" w:hAnsi="Arial" w:cs="Arial"/>
      <w:lang w:val="fr-FR" w:eastAsia="en-US"/>
    </w:rPr>
  </w:style>
  <w:style w:type="paragraph" w:styleId="Notedefin">
    <w:name w:val="endnote text"/>
    <w:basedOn w:val="Normal"/>
    <w:link w:val="NotedefinCar"/>
    <w:uiPriority w:val="99"/>
    <w:semiHidden/>
    <w:unhideWhenUsed/>
    <w:rsid w:val="0090044A"/>
    <w:pPr>
      <w:spacing w:after="0" w:line="240" w:lineRule="auto"/>
      <w:ind w:left="442"/>
      <w:jc w:val="both"/>
    </w:pPr>
    <w:rPr>
      <w:rFonts w:ascii="Arial" w:hAnsi="Arial"/>
      <w:sz w:val="20"/>
      <w:szCs w:val="20"/>
      <w:lang w:val="x-none" w:eastAsia="fr-FR"/>
    </w:rPr>
  </w:style>
  <w:style w:type="character" w:customStyle="1" w:styleId="NotedefinCar1">
    <w:name w:val="Note de fin Car1"/>
    <w:uiPriority w:val="99"/>
    <w:semiHidden/>
    <w:rsid w:val="0090044A"/>
    <w:rPr>
      <w:sz w:val="20"/>
      <w:szCs w:val="20"/>
    </w:rPr>
  </w:style>
  <w:style w:type="character" w:customStyle="1" w:styleId="EndnoteTextChar1">
    <w:name w:val="Endnote Text Char1"/>
    <w:uiPriority w:val="99"/>
    <w:semiHidden/>
    <w:rsid w:val="0090044A"/>
    <w:rPr>
      <w:sz w:val="20"/>
      <w:szCs w:val="20"/>
      <w:lang w:val="fr-FR"/>
    </w:rPr>
  </w:style>
  <w:style w:type="paragraph" w:customStyle="1" w:styleId="Body">
    <w:name w:val="Body"/>
    <w:basedOn w:val="Default"/>
    <w:next w:val="Default"/>
    <w:uiPriority w:val="99"/>
    <w:qFormat/>
    <w:rsid w:val="0090044A"/>
    <w:pPr>
      <w:suppressAutoHyphens/>
      <w:autoSpaceDE/>
      <w:autoSpaceDN/>
      <w:adjustRightInd/>
      <w:spacing w:after="200" w:line="276" w:lineRule="auto"/>
      <w:ind w:left="442"/>
      <w:jc w:val="both"/>
    </w:pPr>
    <w:rPr>
      <w:color w:val="auto"/>
      <w:lang w:val="en-GB"/>
    </w:rPr>
  </w:style>
  <w:style w:type="paragraph" w:customStyle="1" w:styleId="TITRE0">
    <w:name w:val="TITRE"/>
    <w:qFormat/>
    <w:rsid w:val="0090044A"/>
    <w:pPr>
      <w:suppressAutoHyphens/>
      <w:spacing w:after="200" w:line="276" w:lineRule="auto"/>
      <w:ind w:left="442"/>
      <w:contextualSpacing/>
      <w:jc w:val="both"/>
    </w:pPr>
    <w:rPr>
      <w:rFonts w:ascii="Cambria" w:eastAsia="Times New Roman" w:hAnsi="Cambria"/>
      <w:b/>
      <w:sz w:val="24"/>
      <w:szCs w:val="24"/>
      <w:lang w:val="fr-FR" w:eastAsia="fr-FR"/>
    </w:rPr>
  </w:style>
  <w:style w:type="paragraph" w:customStyle="1" w:styleId="TITRE12">
    <w:name w:val="TITRE1"/>
    <w:qFormat/>
    <w:rsid w:val="0090044A"/>
    <w:pPr>
      <w:suppressAutoHyphens/>
      <w:spacing w:after="200" w:line="276" w:lineRule="auto"/>
      <w:ind w:left="442"/>
      <w:contextualSpacing/>
      <w:jc w:val="both"/>
    </w:pPr>
    <w:rPr>
      <w:rFonts w:ascii="Cambria" w:eastAsia="Times New Roman" w:hAnsi="Cambria"/>
      <w:b/>
      <w:sz w:val="24"/>
      <w:szCs w:val="24"/>
      <w:lang w:val="fr-FR" w:eastAsia="fr-FR"/>
    </w:rPr>
  </w:style>
  <w:style w:type="paragraph" w:customStyle="1" w:styleId="TITRE22">
    <w:name w:val="TITRE2"/>
    <w:qFormat/>
    <w:rsid w:val="0090044A"/>
    <w:pPr>
      <w:suppressAutoHyphens/>
      <w:spacing w:after="200" w:line="276" w:lineRule="auto"/>
      <w:ind w:left="442"/>
      <w:contextualSpacing/>
      <w:jc w:val="both"/>
    </w:pPr>
    <w:rPr>
      <w:rFonts w:ascii="Cambria" w:eastAsia="Times New Roman" w:hAnsi="Cambria"/>
      <w:b/>
      <w:sz w:val="24"/>
      <w:szCs w:val="24"/>
      <w:lang w:val="fr-FR" w:eastAsia="fr-FR"/>
    </w:rPr>
  </w:style>
  <w:style w:type="paragraph" w:customStyle="1" w:styleId="TITRE31">
    <w:name w:val="TITRE3"/>
    <w:qFormat/>
    <w:rsid w:val="0090044A"/>
    <w:pPr>
      <w:suppressAutoHyphens/>
      <w:spacing w:after="200" w:line="276" w:lineRule="auto"/>
      <w:ind w:left="442"/>
      <w:contextualSpacing/>
      <w:jc w:val="both"/>
    </w:pPr>
    <w:rPr>
      <w:rFonts w:ascii="Cambria" w:eastAsia="Times New Roman" w:hAnsi="Cambria"/>
      <w:b/>
      <w:sz w:val="22"/>
      <w:szCs w:val="24"/>
      <w:lang w:val="fr-FR" w:eastAsia="fr-FR"/>
    </w:rPr>
  </w:style>
  <w:style w:type="paragraph" w:customStyle="1" w:styleId="souscomp">
    <w:name w:val="sous_comp"/>
    <w:basedOn w:val="Normal"/>
    <w:qFormat/>
    <w:rsid w:val="0090044A"/>
    <w:pPr>
      <w:spacing w:after="0" w:line="240" w:lineRule="auto"/>
      <w:ind w:left="442"/>
      <w:jc w:val="both"/>
      <w:outlineLvl w:val="4"/>
    </w:pPr>
    <w:rPr>
      <w:rFonts w:eastAsia="Times New Roman" w:cs="Calibri"/>
      <w:b/>
      <w:i/>
      <w:color w:val="1F3864"/>
      <w:sz w:val="20"/>
      <w:szCs w:val="32"/>
      <w:lang w:eastAsia="fr-FR"/>
    </w:rPr>
  </w:style>
  <w:style w:type="paragraph" w:customStyle="1" w:styleId="Style7">
    <w:name w:val="Style7"/>
    <w:basedOn w:val="TITRE10"/>
    <w:link w:val="Style7Car"/>
    <w:qFormat/>
    <w:rsid w:val="0090044A"/>
    <w:pPr>
      <w:pBdr>
        <w:bottom w:val="none" w:sz="0" w:space="0" w:color="auto"/>
      </w:pBdr>
      <w:shd w:val="clear" w:color="auto" w:fill="92D050"/>
      <w:spacing w:before="280" w:beforeAutospacing="0" w:after="280" w:afterAutospacing="0" w:line="240" w:lineRule="auto"/>
      <w:ind w:left="567" w:hanging="357"/>
      <w:jc w:val="center"/>
    </w:pPr>
    <w:rPr>
      <w:rFonts w:ascii="Arial" w:eastAsia="Times New Roman" w:hAnsi="Arial" w:cs="Times New Roman"/>
      <w:bCs/>
      <w:lang w:val="x-none" w:eastAsia="fr-FR"/>
    </w:rPr>
  </w:style>
  <w:style w:type="paragraph" w:customStyle="1" w:styleId="Style8">
    <w:name w:val="Style8"/>
    <w:basedOn w:val="TITRE2CGES"/>
    <w:autoRedefine/>
    <w:qFormat/>
    <w:rsid w:val="0090044A"/>
    <w:pPr>
      <w:pBdr>
        <w:bottom w:val="single" w:sz="4" w:space="1" w:color="000000"/>
      </w:pBdr>
      <w:spacing w:before="280" w:after="280"/>
      <w:ind w:left="1134" w:hanging="850"/>
      <w:outlineLvl w:val="1"/>
    </w:pPr>
    <w:rPr>
      <w:rFonts w:eastAsia="Times New Roman" w:cs="Times New Roman"/>
      <w:color w:val="00B050"/>
      <w:lang w:val="fr-FR" w:eastAsia="fr-FR"/>
    </w:rPr>
  </w:style>
  <w:style w:type="paragraph" w:customStyle="1" w:styleId="Grillemoyenne2-Accent11">
    <w:name w:val="Grille moyenne 2 - Accent 11"/>
    <w:uiPriority w:val="1"/>
    <w:qFormat/>
    <w:rsid w:val="0090044A"/>
    <w:pPr>
      <w:suppressAutoHyphens/>
      <w:spacing w:beforeAutospacing="1" w:afterAutospacing="1" w:line="276" w:lineRule="auto"/>
      <w:ind w:left="442"/>
      <w:jc w:val="both"/>
    </w:pPr>
    <w:rPr>
      <w:rFonts w:eastAsia="Times New Roman"/>
      <w:sz w:val="22"/>
      <w:szCs w:val="32"/>
      <w:lang w:val="fr-FR" w:eastAsia="en-US"/>
    </w:rPr>
  </w:style>
  <w:style w:type="paragraph" w:customStyle="1" w:styleId="Annexes">
    <w:name w:val="Annexes"/>
    <w:basedOn w:val="Lgende"/>
    <w:qFormat/>
    <w:rsid w:val="0090044A"/>
    <w:pPr>
      <w:spacing w:after="0"/>
      <w:ind w:left="442"/>
    </w:pPr>
    <w:rPr>
      <w:rFonts w:ascii="Cambria" w:eastAsia="Times New Roman" w:hAnsi="Cambria"/>
      <w:b w:val="0"/>
      <w:bCs w:val="0"/>
      <w:color w:val="auto"/>
      <w:sz w:val="20"/>
      <w:szCs w:val="20"/>
      <w:lang w:eastAsia="fr-FR"/>
    </w:rPr>
  </w:style>
  <w:style w:type="paragraph" w:customStyle="1" w:styleId="Retrait1">
    <w:name w:val="Retrait 1"/>
    <w:basedOn w:val="Normal"/>
    <w:uiPriority w:val="99"/>
    <w:qFormat/>
    <w:rsid w:val="0090044A"/>
    <w:pPr>
      <w:tabs>
        <w:tab w:val="left" w:pos="426"/>
        <w:tab w:val="left" w:pos="709"/>
      </w:tabs>
      <w:spacing w:after="0" w:line="240" w:lineRule="auto"/>
      <w:ind w:left="442"/>
      <w:jc w:val="both"/>
    </w:pPr>
    <w:rPr>
      <w:rFonts w:ascii="Arial" w:eastAsia="Times New Roman" w:hAnsi="Arial"/>
      <w:szCs w:val="20"/>
      <w:lang w:eastAsia="fr-FR"/>
    </w:rPr>
  </w:style>
  <w:style w:type="paragraph" w:customStyle="1" w:styleId="Commentaire1">
    <w:name w:val="Commentaire1"/>
    <w:basedOn w:val="Normal"/>
    <w:qFormat/>
    <w:rsid w:val="0090044A"/>
    <w:pPr>
      <w:spacing w:after="0" w:line="240" w:lineRule="auto"/>
      <w:ind w:left="442"/>
      <w:jc w:val="both"/>
      <w:textAlignment w:val="baseline"/>
    </w:pPr>
    <w:rPr>
      <w:rFonts w:eastAsia="Times New Roman"/>
      <w:sz w:val="20"/>
      <w:szCs w:val="20"/>
      <w:lang w:eastAsia="fr-FR"/>
    </w:rPr>
  </w:style>
  <w:style w:type="paragraph" w:customStyle="1" w:styleId="Titre210">
    <w:name w:val="Titre 21"/>
    <w:basedOn w:val="Normal"/>
    <w:qFormat/>
    <w:rsid w:val="0090044A"/>
    <w:pPr>
      <w:keepNext/>
      <w:spacing w:after="0" w:line="242" w:lineRule="auto"/>
      <w:ind w:left="442"/>
      <w:jc w:val="both"/>
      <w:textAlignment w:val="baseline"/>
      <w:outlineLvl w:val="1"/>
    </w:pPr>
    <w:rPr>
      <w:rFonts w:ascii="Calibri Light" w:eastAsia="Times New Roman" w:hAnsi="Calibri Light" w:cs="Calibri Light"/>
      <w:color w:val="2F5496"/>
      <w:sz w:val="26"/>
      <w:szCs w:val="26"/>
      <w:lang w:eastAsia="fr-FR"/>
    </w:rPr>
  </w:style>
  <w:style w:type="paragraph" w:customStyle="1" w:styleId="Paragraphedeliste2">
    <w:name w:val="Paragraphe de liste2"/>
    <w:basedOn w:val="Normal"/>
    <w:qFormat/>
    <w:rsid w:val="0090044A"/>
    <w:pPr>
      <w:spacing w:after="0" w:line="242" w:lineRule="auto"/>
      <w:ind w:left="720"/>
      <w:jc w:val="both"/>
      <w:textAlignment w:val="baseline"/>
    </w:pPr>
    <w:rPr>
      <w:rFonts w:eastAsia="Times New Roman" w:cs="Calibri"/>
      <w:lang w:eastAsia="fr-FR"/>
    </w:rPr>
  </w:style>
  <w:style w:type="paragraph" w:styleId="PrformatHTML">
    <w:name w:val="HTML Preformatted"/>
    <w:basedOn w:val="Normal"/>
    <w:link w:val="PrformatHTMLCar"/>
    <w:uiPriority w:val="99"/>
    <w:unhideWhenUsed/>
    <w:qFormat/>
    <w:rsid w:val="0090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42"/>
      <w:jc w:val="both"/>
    </w:pPr>
    <w:rPr>
      <w:rFonts w:ascii="Courier New" w:eastAsia="Times New Roman" w:hAnsi="Courier New"/>
      <w:sz w:val="20"/>
      <w:szCs w:val="20"/>
      <w:lang w:val="x-none" w:eastAsia="fr-FR"/>
    </w:rPr>
  </w:style>
  <w:style w:type="character" w:customStyle="1" w:styleId="PrformatHTMLCar2">
    <w:name w:val="Préformaté HTML Car2"/>
    <w:uiPriority w:val="99"/>
    <w:semiHidden/>
    <w:rsid w:val="0090044A"/>
    <w:rPr>
      <w:rFonts w:ascii="Consolas" w:hAnsi="Consolas"/>
      <w:sz w:val="20"/>
      <w:szCs w:val="20"/>
    </w:rPr>
  </w:style>
  <w:style w:type="character" w:customStyle="1" w:styleId="HTMLPreformattedChar1">
    <w:name w:val="HTML Preformatted Char1"/>
    <w:uiPriority w:val="99"/>
    <w:semiHidden/>
    <w:rsid w:val="0090044A"/>
    <w:rPr>
      <w:rFonts w:ascii="Consolas" w:hAnsi="Consolas"/>
      <w:sz w:val="20"/>
      <w:szCs w:val="20"/>
      <w:lang w:val="fr-FR"/>
    </w:rPr>
  </w:style>
  <w:style w:type="paragraph" w:styleId="Citation">
    <w:name w:val="Quote"/>
    <w:basedOn w:val="Normal"/>
    <w:next w:val="Normal"/>
    <w:link w:val="CitationCar"/>
    <w:uiPriority w:val="29"/>
    <w:qFormat/>
    <w:rsid w:val="0090044A"/>
    <w:pPr>
      <w:spacing w:after="0" w:line="240" w:lineRule="auto"/>
      <w:ind w:left="442"/>
      <w:jc w:val="both"/>
    </w:pPr>
    <w:rPr>
      <w:rFonts w:ascii="Arial" w:eastAsia="Times New Roman" w:hAnsi="Arial"/>
      <w:i/>
      <w:iCs/>
      <w:sz w:val="20"/>
      <w:szCs w:val="20"/>
      <w:lang w:val="x-none" w:eastAsia="fr-FR"/>
    </w:rPr>
  </w:style>
  <w:style w:type="character" w:customStyle="1" w:styleId="CitationCar1">
    <w:name w:val="Citation Car1"/>
    <w:uiPriority w:val="29"/>
    <w:rsid w:val="0090044A"/>
    <w:rPr>
      <w:i/>
      <w:iCs/>
      <w:color w:val="404040"/>
    </w:rPr>
  </w:style>
  <w:style w:type="character" w:customStyle="1" w:styleId="QuoteChar1">
    <w:name w:val="Quote Char1"/>
    <w:uiPriority w:val="29"/>
    <w:rsid w:val="0090044A"/>
    <w:rPr>
      <w:i/>
      <w:iCs/>
      <w:color w:val="404040"/>
      <w:lang w:val="fr-FR"/>
    </w:rPr>
  </w:style>
  <w:style w:type="paragraph" w:styleId="Citationintense">
    <w:name w:val="Intense Quote"/>
    <w:basedOn w:val="Normal"/>
    <w:next w:val="Normal"/>
    <w:link w:val="CitationintenseCar"/>
    <w:uiPriority w:val="30"/>
    <w:qFormat/>
    <w:rsid w:val="0090044A"/>
    <w:pPr>
      <w:pBdr>
        <w:top w:val="single" w:sz="8" w:space="1" w:color="70AD47"/>
      </w:pBdr>
      <w:spacing w:after="0" w:line="240" w:lineRule="auto"/>
      <w:ind w:left="1440" w:right="1440"/>
      <w:jc w:val="both"/>
    </w:pPr>
    <w:rPr>
      <w:rFonts w:ascii="Arial" w:eastAsia="Times New Roman" w:hAnsi="Arial"/>
      <w:b/>
      <w:bCs/>
      <w:i/>
      <w:iCs/>
      <w:sz w:val="20"/>
      <w:szCs w:val="20"/>
      <w:lang w:val="x-none" w:eastAsia="fr-FR"/>
    </w:rPr>
  </w:style>
  <w:style w:type="character" w:customStyle="1" w:styleId="CitationintenseCar1">
    <w:name w:val="Citation intense Car1"/>
    <w:uiPriority w:val="30"/>
    <w:rsid w:val="0090044A"/>
    <w:rPr>
      <w:i/>
      <w:iCs/>
      <w:color w:val="4F81BD"/>
    </w:rPr>
  </w:style>
  <w:style w:type="character" w:customStyle="1" w:styleId="IntenseQuoteChar1">
    <w:name w:val="Intense Quote Char1"/>
    <w:uiPriority w:val="30"/>
    <w:rsid w:val="0090044A"/>
    <w:rPr>
      <w:i/>
      <w:iCs/>
      <w:color w:val="4F81BD"/>
      <w:lang w:val="fr-FR"/>
    </w:rPr>
  </w:style>
  <w:style w:type="paragraph" w:customStyle="1" w:styleId="ENCADRE">
    <w:name w:val="ENCADRE"/>
    <w:basedOn w:val="Lgende"/>
    <w:next w:val="Style10"/>
    <w:qFormat/>
    <w:rsid w:val="0090044A"/>
    <w:pPr>
      <w:shd w:val="clear" w:color="auto" w:fill="DDD9C3"/>
      <w:spacing w:after="0"/>
      <w:ind w:left="442"/>
    </w:pPr>
    <w:rPr>
      <w:rFonts w:ascii="Arial Black" w:eastAsia="Times New Roman" w:hAnsi="Arial Black" w:cs="Cambria"/>
      <w:color w:val="auto"/>
      <w:sz w:val="20"/>
      <w:szCs w:val="20"/>
      <w:lang w:eastAsia="fr-FR"/>
    </w:rPr>
  </w:style>
  <w:style w:type="paragraph" w:customStyle="1" w:styleId="footnotedescription">
    <w:name w:val="footnote description"/>
    <w:next w:val="Normal"/>
    <w:qFormat/>
    <w:rsid w:val="0090044A"/>
    <w:pPr>
      <w:suppressAutoHyphens/>
      <w:spacing w:line="259" w:lineRule="auto"/>
      <w:ind w:left="442"/>
    </w:pPr>
    <w:rPr>
      <w:rFonts w:ascii="Segoe UI" w:eastAsia="Segoe UI" w:hAnsi="Segoe UI" w:cs="Segoe UI"/>
      <w:i/>
      <w:color w:val="828282"/>
      <w:sz w:val="16"/>
      <w:szCs w:val="22"/>
      <w:lang w:val="fr-FR" w:eastAsia="fr-FR"/>
    </w:rPr>
  </w:style>
  <w:style w:type="paragraph" w:customStyle="1" w:styleId="TITRE1CSEA">
    <w:name w:val="TITRE1 CSEA"/>
    <w:basedOn w:val="TITRE10"/>
    <w:link w:val="TITRE1CSEACar"/>
    <w:qFormat/>
    <w:rsid w:val="0090044A"/>
    <w:pPr>
      <w:pBdr>
        <w:bottom w:val="none" w:sz="0" w:space="0" w:color="auto"/>
      </w:pBdr>
      <w:shd w:val="clear" w:color="auto" w:fill="92D050"/>
      <w:spacing w:before="280" w:beforeAutospacing="0" w:after="280" w:afterAutospacing="0" w:line="240" w:lineRule="auto"/>
      <w:ind w:left="567"/>
      <w:jc w:val="center"/>
    </w:pPr>
    <w:rPr>
      <w:rFonts w:ascii="Arial" w:eastAsia="Times New Roman" w:hAnsi="Arial" w:cs="Times New Roman"/>
      <w:b w:val="0"/>
      <w:lang w:val="x-none" w:eastAsia="fr-FR"/>
    </w:rPr>
  </w:style>
  <w:style w:type="paragraph" w:customStyle="1" w:styleId="MediumShading1-Accent21">
    <w:name w:val="Medium Shading 1 - Accent 21"/>
    <w:uiPriority w:val="1"/>
    <w:qFormat/>
    <w:rsid w:val="0090044A"/>
    <w:pPr>
      <w:suppressAutoHyphens/>
      <w:spacing w:beforeAutospacing="1" w:afterAutospacing="1"/>
      <w:ind w:left="442"/>
      <w:jc w:val="both"/>
    </w:pPr>
    <w:rPr>
      <w:sz w:val="22"/>
      <w:szCs w:val="32"/>
      <w:lang w:val="fr-FR" w:eastAsia="en-US"/>
    </w:rPr>
  </w:style>
  <w:style w:type="paragraph" w:customStyle="1" w:styleId="msonormal0">
    <w:name w:val="msonormal"/>
    <w:basedOn w:val="Normal"/>
    <w:qFormat/>
    <w:rsid w:val="0090044A"/>
    <w:pPr>
      <w:spacing w:after="0" w:line="240" w:lineRule="auto"/>
      <w:ind w:left="442"/>
      <w:jc w:val="both"/>
    </w:pPr>
    <w:rPr>
      <w:rFonts w:ascii="Times New Roman" w:eastAsia="Times New Roman" w:hAnsi="Times New Roman"/>
      <w:sz w:val="24"/>
      <w:szCs w:val="24"/>
      <w:lang w:eastAsia="fr-FR"/>
    </w:rPr>
  </w:style>
  <w:style w:type="paragraph" w:customStyle="1" w:styleId="CGESCSEA">
    <w:name w:val="CGES CSEA"/>
    <w:basedOn w:val="Normal"/>
    <w:link w:val="CGESCSEACar"/>
    <w:autoRedefine/>
    <w:qFormat/>
    <w:rsid w:val="0090044A"/>
    <w:pPr>
      <w:spacing w:after="0" w:line="360" w:lineRule="auto"/>
      <w:ind w:left="442"/>
      <w:contextualSpacing/>
      <w:jc w:val="both"/>
    </w:pPr>
    <w:rPr>
      <w:rFonts w:ascii="arial gras" w:eastAsia="Times New Roman" w:hAnsi="arial gras"/>
      <w:b/>
      <w:bCs/>
      <w:i/>
      <w:iCs/>
      <w:sz w:val="20"/>
      <w:szCs w:val="20"/>
      <w:lang w:val="x-none" w:eastAsia="fr-FR"/>
    </w:rPr>
  </w:style>
  <w:style w:type="paragraph" w:customStyle="1" w:styleId="Documentdate">
    <w:name w:val="_Document date"/>
    <w:link w:val="DocumentdateChar"/>
    <w:uiPriority w:val="4"/>
    <w:qFormat/>
    <w:rsid w:val="0090044A"/>
    <w:pPr>
      <w:suppressAutoHyphens/>
      <w:ind w:left="442"/>
      <w:jc w:val="right"/>
    </w:pPr>
    <w:rPr>
      <w:bCs/>
      <w:i/>
      <w:color w:val="4F81BD"/>
      <w:sz w:val="24"/>
      <w:lang w:val="fr-FR" w:eastAsia="fr-FR"/>
    </w:rPr>
  </w:style>
  <w:style w:type="paragraph" w:customStyle="1" w:styleId="Documentnompied-de-page">
    <w:name w:val="_Document nom pied-de-page"/>
    <w:basedOn w:val="Normal"/>
    <w:uiPriority w:val="4"/>
    <w:qFormat/>
    <w:rsid w:val="0090044A"/>
    <w:pPr>
      <w:tabs>
        <w:tab w:val="left" w:pos="409"/>
        <w:tab w:val="right" w:pos="7230"/>
      </w:tabs>
      <w:spacing w:after="0" w:line="240" w:lineRule="auto"/>
      <w:ind w:left="442"/>
      <w:jc w:val="right"/>
    </w:pPr>
    <w:rPr>
      <w:bCs/>
      <w:caps/>
      <w:sz w:val="16"/>
      <w:szCs w:val="20"/>
      <w:lang w:eastAsia="fr-FR"/>
    </w:rPr>
  </w:style>
  <w:style w:type="paragraph" w:customStyle="1" w:styleId="TITR4">
    <w:name w:val="TITR 4"/>
    <w:basedOn w:val="TIT3"/>
    <w:link w:val="TITR4Car"/>
    <w:qFormat/>
    <w:rsid w:val="0090044A"/>
    <w:pPr>
      <w:keepNext w:val="0"/>
      <w:keepLines w:val="0"/>
      <w:pBdr>
        <w:bottom w:val="single" w:sz="4" w:space="1" w:color="000000"/>
      </w:pBdr>
      <w:spacing w:before="240" w:beforeAutospacing="0" w:after="160" w:afterAutospacing="0" w:line="254" w:lineRule="auto"/>
      <w:ind w:left="1080" w:hanging="720"/>
      <w:outlineLvl w:val="1"/>
    </w:pPr>
    <w:rPr>
      <w:bCs/>
    </w:rPr>
  </w:style>
  <w:style w:type="paragraph" w:customStyle="1" w:styleId="Puce2">
    <w:name w:val="– Puce 2"/>
    <w:link w:val="Puce2Car"/>
    <w:qFormat/>
    <w:rsid w:val="0090044A"/>
    <w:pPr>
      <w:tabs>
        <w:tab w:val="left" w:pos="680"/>
      </w:tabs>
      <w:suppressAutoHyphens/>
      <w:spacing w:before="80" w:after="80"/>
      <w:ind w:left="442"/>
      <w:jc w:val="both"/>
    </w:pPr>
    <w:rPr>
      <w:rFonts w:cs="Arial"/>
      <w:bCs/>
      <w:sz w:val="22"/>
      <w:szCs w:val="22"/>
      <w:lang w:val="fr-FR" w:eastAsia="fr-FR"/>
    </w:rPr>
  </w:style>
  <w:style w:type="paragraph" w:customStyle="1" w:styleId="Titre1111">
    <w:name w:val="Titre1111"/>
    <w:basedOn w:val="Normal"/>
    <w:qFormat/>
    <w:rsid w:val="0090044A"/>
    <w:pPr>
      <w:spacing w:after="0" w:line="240" w:lineRule="auto"/>
      <w:ind w:left="442"/>
      <w:contextualSpacing/>
      <w:jc w:val="both"/>
    </w:pPr>
    <w:rPr>
      <w:rFonts w:ascii="Cambria" w:hAnsi="Cambria" w:cs="Arial"/>
      <w:bCs/>
    </w:rPr>
  </w:style>
  <w:style w:type="paragraph" w:customStyle="1" w:styleId="Sansinterligne1">
    <w:name w:val="Sans interligne1"/>
    <w:uiPriority w:val="1"/>
    <w:qFormat/>
    <w:rsid w:val="0090044A"/>
    <w:pPr>
      <w:suppressAutoHyphens/>
      <w:ind w:left="442"/>
    </w:pPr>
    <w:rPr>
      <w:rFonts w:ascii="Times New Roman" w:hAnsi="Times New Roman"/>
      <w:bCs/>
      <w:sz w:val="24"/>
      <w:szCs w:val="22"/>
      <w:lang w:val="fr-FR" w:eastAsia="en-US"/>
    </w:rPr>
  </w:style>
  <w:style w:type="paragraph" w:customStyle="1" w:styleId="Normal12">
    <w:name w:val="Normal_12"/>
    <w:basedOn w:val="Normal"/>
    <w:qFormat/>
    <w:rsid w:val="0090044A"/>
    <w:pPr>
      <w:tabs>
        <w:tab w:val="left" w:pos="360"/>
        <w:tab w:val="left" w:pos="450"/>
        <w:tab w:val="left" w:pos="2520"/>
      </w:tabs>
      <w:spacing w:after="240" w:line="240" w:lineRule="auto"/>
      <w:ind w:left="1080" w:hanging="720"/>
      <w:jc w:val="both"/>
    </w:pPr>
    <w:rPr>
      <w:rFonts w:eastAsia="Times New Roman"/>
      <w:b/>
      <w:bCs/>
      <w:color w:val="000000"/>
      <w:lang w:val="en-US" w:eastAsia="zh-CN"/>
    </w:rPr>
  </w:style>
  <w:style w:type="paragraph" w:customStyle="1" w:styleId="Titre21">
    <w:name w:val="Titre2"/>
    <w:basedOn w:val="Paragraphedeliste"/>
    <w:link w:val="Titre2Car2"/>
    <w:qFormat/>
    <w:rsid w:val="0090044A"/>
    <w:pPr>
      <w:ind w:left="786" w:hanging="360"/>
      <w:outlineLvl w:val="1"/>
    </w:pPr>
    <w:rPr>
      <w:rFonts w:ascii="arial gras" w:hAnsi="arial gras"/>
      <w:b/>
      <w:smallCaps/>
      <w:color w:val="4F81BD"/>
      <w:sz w:val="28"/>
      <w:szCs w:val="20"/>
      <w:lang w:val="x-none" w:eastAsia="x-none"/>
    </w:rPr>
  </w:style>
  <w:style w:type="paragraph" w:customStyle="1" w:styleId="Titre32">
    <w:name w:val="Titre3"/>
    <w:basedOn w:val="Paragraphedeliste"/>
    <w:qFormat/>
    <w:rsid w:val="0090044A"/>
    <w:pPr>
      <w:spacing w:before="120"/>
      <w:ind w:left="1080" w:hanging="720"/>
      <w:outlineLvl w:val="2"/>
    </w:pPr>
    <w:rPr>
      <w:rFonts w:ascii="Arial" w:hAnsi="Arial" w:cs="Arial"/>
      <w:b/>
      <w:color w:val="4F81BD"/>
      <w:sz w:val="24"/>
    </w:rPr>
  </w:style>
  <w:style w:type="paragraph" w:customStyle="1" w:styleId="Titre41">
    <w:name w:val="Titre4"/>
    <w:basedOn w:val="Paragraphedeliste"/>
    <w:qFormat/>
    <w:rsid w:val="0090044A"/>
    <w:pPr>
      <w:spacing w:before="360" w:after="320"/>
      <w:ind w:left="1080" w:hanging="720"/>
      <w:outlineLvl w:val="3"/>
    </w:pPr>
    <w:rPr>
      <w:rFonts w:ascii="Arial" w:hAnsi="Arial" w:cs="Arial"/>
      <w:b/>
      <w:color w:val="4F81BD"/>
    </w:rPr>
  </w:style>
  <w:style w:type="paragraph" w:customStyle="1" w:styleId="Titre50">
    <w:name w:val="Titre5"/>
    <w:basedOn w:val="Paragraphedeliste"/>
    <w:qFormat/>
    <w:rsid w:val="0090044A"/>
    <w:pPr>
      <w:tabs>
        <w:tab w:val="left" w:pos="360"/>
      </w:tabs>
    </w:pPr>
    <w:rPr>
      <w:rFonts w:ascii="Arial" w:hAnsi="Arial" w:cs="Arial"/>
      <w:i/>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uiPriority w:val="99"/>
    <w:qFormat/>
    <w:rsid w:val="0090044A"/>
    <w:pPr>
      <w:spacing w:after="0" w:line="240" w:lineRule="exact"/>
      <w:ind w:left="360" w:hanging="360"/>
      <w:jc w:val="both"/>
    </w:pPr>
    <w:rPr>
      <w:vertAlign w:val="superscript"/>
    </w:rPr>
  </w:style>
  <w:style w:type="paragraph" w:customStyle="1" w:styleId="Listecouleur-Accent13">
    <w:name w:val="Liste couleur - Accent 13"/>
    <w:aliases w:val="Titre 10,ReferencesCxSpLast,Medium Grid 1 - Accent 21,Yalgo corps,List Bullet Mary,lp1,ANNEX,List Paragraph nowy,Dot pt"/>
    <w:basedOn w:val="Normal"/>
    <w:uiPriority w:val="34"/>
    <w:qFormat/>
    <w:rsid w:val="0090044A"/>
    <w:pPr>
      <w:spacing w:after="160" w:line="252" w:lineRule="auto"/>
      <w:ind w:left="720"/>
      <w:contextualSpacing/>
      <w:jc w:val="both"/>
    </w:pPr>
    <w:rPr>
      <w:lang w:eastAsia="zh-CN"/>
    </w:rPr>
  </w:style>
  <w:style w:type="paragraph" w:customStyle="1" w:styleId="Corpstextepursaps">
    <w:name w:val="Corps texte pursaps"/>
    <w:basedOn w:val="Normal"/>
    <w:autoRedefine/>
    <w:qFormat/>
    <w:rsid w:val="0090044A"/>
    <w:pPr>
      <w:spacing w:before="120" w:after="120" w:line="360" w:lineRule="auto"/>
      <w:ind w:left="442"/>
      <w:jc w:val="both"/>
    </w:pPr>
    <w:rPr>
      <w:rFonts w:ascii="Arial" w:eastAsia="Arial" w:hAnsi="Arial"/>
      <w:b/>
      <w:i/>
      <w:szCs w:val="24"/>
      <w:u w:val="single"/>
      <w:lang w:eastAsia="fr-FR"/>
    </w:rPr>
  </w:style>
  <w:style w:type="paragraph" w:customStyle="1" w:styleId="Contenudecadre">
    <w:name w:val="Contenu de cadre"/>
    <w:basedOn w:val="Normal"/>
    <w:qFormat/>
    <w:rsid w:val="0090044A"/>
    <w:pPr>
      <w:spacing w:after="0" w:line="252" w:lineRule="auto"/>
      <w:ind w:left="442"/>
      <w:jc w:val="both"/>
    </w:pPr>
    <w:rPr>
      <w:lang w:eastAsia="zh-CN"/>
    </w:rPr>
  </w:style>
  <w:style w:type="table" w:styleId="Grilleclaire-Accent2">
    <w:name w:val="Light Grid Accent 2"/>
    <w:basedOn w:val="TableauNormal"/>
    <w:uiPriority w:val="62"/>
    <w:rsid w:val="0090044A"/>
    <w:pPr>
      <w:suppressAutoHyphens/>
      <w:ind w:left="442"/>
      <w:jc w:val="both"/>
    </w:pPr>
    <w:rPr>
      <w:rFonts w:eastAsia="Times New Roman"/>
      <w:lang w:eastAsia="fr-F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steclaire-Accent2">
    <w:name w:val="Light List Accent 2"/>
    <w:basedOn w:val="TableauNormal"/>
    <w:uiPriority w:val="61"/>
    <w:rsid w:val="0090044A"/>
    <w:pPr>
      <w:suppressAutoHyphens/>
      <w:ind w:left="442"/>
      <w:jc w:val="both"/>
    </w:pPr>
    <w:rPr>
      <w:rFonts w:eastAsia="Times New Roman"/>
      <w:lang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efonce-Accent2">
    <w:name w:val="Dark List Accent 2"/>
    <w:basedOn w:val="TableauNormal"/>
    <w:uiPriority w:val="66"/>
    <w:rsid w:val="0090044A"/>
    <w:pPr>
      <w:suppressAutoHyphens/>
      <w:ind w:left="442"/>
      <w:jc w:val="both"/>
    </w:pPr>
    <w:rPr>
      <w:color w:val="000000"/>
      <w:lang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Normal1">
    <w:name w:val="Table Normal1"/>
    <w:uiPriority w:val="2"/>
    <w:semiHidden/>
    <w:qFormat/>
    <w:rsid w:val="0090044A"/>
    <w:pPr>
      <w:suppressAutoHyphens/>
      <w:spacing w:after="200" w:line="276" w:lineRule="auto"/>
      <w:ind w:left="442"/>
      <w:jc w:val="both"/>
    </w:pPr>
    <w:rPr>
      <w:rFonts w:eastAsia="Times New Roman"/>
      <w:sz w:val="22"/>
      <w:szCs w:val="22"/>
      <w:lang w:val="en-US" w:eastAsia="en-US"/>
    </w:rPr>
    <w:tblPr>
      <w:tblCellMar>
        <w:top w:w="0" w:type="dxa"/>
        <w:left w:w="0" w:type="dxa"/>
        <w:bottom w:w="0" w:type="dxa"/>
        <w:right w:w="0" w:type="dxa"/>
      </w:tblCellMar>
    </w:tblPr>
  </w:style>
  <w:style w:type="table" w:customStyle="1" w:styleId="TableGrid1">
    <w:name w:val="Table Grid1"/>
    <w:basedOn w:val="TableauNormal"/>
    <w:rsid w:val="0090044A"/>
    <w:pPr>
      <w:suppressAutoHyphens/>
      <w:ind w:left="442"/>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5Fonc-Accentuation41">
    <w:name w:val="Tableau Grille 5 Foncé - Accentuation 41"/>
    <w:basedOn w:val="TableauNormal"/>
    <w:uiPriority w:val="50"/>
    <w:rsid w:val="0090044A"/>
    <w:pPr>
      <w:suppressAutoHyphens/>
      <w:ind w:left="442"/>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lledetableauclaire1">
    <w:name w:val="Grille de tableau claire1"/>
    <w:basedOn w:val="TableauNormal"/>
    <w:uiPriority w:val="40"/>
    <w:rsid w:val="0090044A"/>
    <w:pPr>
      <w:suppressAutoHyphens/>
      <w:ind w:left="442"/>
      <w:jc w:val="both"/>
    </w:pPr>
    <w:rPr>
      <w:lang w:eastAsia="fr-F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ausimple11">
    <w:name w:val="Tableau simple 11"/>
    <w:basedOn w:val="TableauNormal"/>
    <w:uiPriority w:val="41"/>
    <w:rsid w:val="0090044A"/>
    <w:pPr>
      <w:suppressAutoHyphens/>
      <w:ind w:left="442"/>
      <w:jc w:val="both"/>
    </w:pPr>
    <w:rPr>
      <w:lang w:eastAsia="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simple21">
    <w:name w:val="Tableau simple 21"/>
    <w:basedOn w:val="TableauNormal"/>
    <w:uiPriority w:val="42"/>
    <w:rsid w:val="0090044A"/>
    <w:pPr>
      <w:suppressAutoHyphens/>
      <w:ind w:left="442"/>
      <w:jc w:val="both"/>
    </w:pPr>
    <w:rPr>
      <w:lang w:eastAsia="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31">
    <w:name w:val="Tableau simple 31"/>
    <w:basedOn w:val="TableauNormal"/>
    <w:uiPriority w:val="43"/>
    <w:rsid w:val="0090044A"/>
    <w:pPr>
      <w:suppressAutoHyphens/>
      <w:ind w:left="442"/>
      <w:jc w:val="both"/>
    </w:pPr>
    <w:rPr>
      <w:lang w:eastAsia="fr-F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auGrille5Fonc-Accentuation42">
    <w:name w:val="Tableau Grille 5 Foncé - Accentuation 42"/>
    <w:basedOn w:val="TableauNormal"/>
    <w:uiPriority w:val="50"/>
    <w:rsid w:val="0090044A"/>
    <w:pPr>
      <w:suppressAutoHyphens/>
      <w:ind w:left="442"/>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lledutableau1">
    <w:name w:val="Grille du tableau1"/>
    <w:basedOn w:val="TableauNormal"/>
    <w:uiPriority w:val="59"/>
    <w:rsid w:val="0090044A"/>
    <w:pPr>
      <w:suppressAutoHyphens/>
      <w:ind w:left="44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uiPriority w:val="59"/>
    <w:rsid w:val="0090044A"/>
    <w:pPr>
      <w:suppressAutoHyphens/>
      <w:ind w:left="442"/>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auGrille5Fonc-Accentuation43">
    <w:name w:val="Tableau Grille 5 Foncé - Accentuation 43"/>
    <w:basedOn w:val="TableauNormal"/>
    <w:uiPriority w:val="50"/>
    <w:rsid w:val="0090044A"/>
    <w:pPr>
      <w:suppressAutoHyphens/>
      <w:ind w:left="442"/>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TableauGrille5Fonc-Accentuation44">
    <w:name w:val="Tableau Grille 5 Foncé - Accentuation 44"/>
    <w:basedOn w:val="TableauNormal"/>
    <w:uiPriority w:val="50"/>
    <w:rsid w:val="0090044A"/>
    <w:pPr>
      <w:suppressAutoHyphens/>
      <w:ind w:left="442"/>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TableGrid0">
    <w:name w:val="Table Grid0"/>
    <w:qFormat/>
    <w:rsid w:val="0090044A"/>
    <w:pPr>
      <w:suppressAutoHyphens/>
      <w:ind w:left="442"/>
    </w:pPr>
    <w:rPr>
      <w:rFonts w:eastAsia="Times New Roman"/>
      <w:sz w:val="22"/>
      <w:szCs w:val="22"/>
      <w:lang w:val="fr-FR" w:eastAsia="fr-FR"/>
    </w:rPr>
    <w:tblPr>
      <w:tblCellMar>
        <w:top w:w="0" w:type="dxa"/>
        <w:left w:w="0" w:type="dxa"/>
        <w:bottom w:w="0" w:type="dxa"/>
        <w:right w:w="0" w:type="dxa"/>
      </w:tblCellMar>
    </w:tblPr>
  </w:style>
  <w:style w:type="table" w:customStyle="1" w:styleId="TableauGrille5Fonc1">
    <w:name w:val="Tableau Grille 5 Foncé1"/>
    <w:basedOn w:val="TableauNormal"/>
    <w:uiPriority w:val="50"/>
    <w:rsid w:val="0090044A"/>
    <w:pPr>
      <w:suppressAutoHyphens/>
      <w:ind w:left="442"/>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eauListe4-Accentuation51">
    <w:name w:val="Tableau Liste 4 - Accentuation 51"/>
    <w:basedOn w:val="TableauNormal"/>
    <w:uiPriority w:val="49"/>
    <w:rsid w:val="0090044A"/>
    <w:pPr>
      <w:suppressAutoHyphens/>
      <w:ind w:left="442"/>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Listeclaire-Accent6">
    <w:name w:val="Light List Accent 6"/>
    <w:basedOn w:val="TableauNormal"/>
    <w:uiPriority w:val="61"/>
    <w:rsid w:val="0090044A"/>
    <w:pPr>
      <w:suppressAutoHyphens/>
      <w:ind w:left="442"/>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stecouleur-Accent1">
    <w:name w:val="Colorful List Accent 1"/>
    <w:basedOn w:val="TableauNormal"/>
    <w:link w:val="Listecouleur-Accent1Car2"/>
    <w:uiPriority w:val="1"/>
    <w:unhideWhenUsed/>
    <w:rsid w:val="0090044A"/>
    <w:pPr>
      <w:suppressAutoHyphens/>
      <w:ind w:left="442"/>
    </w:pPr>
    <w:rPr>
      <w:sz w:val="22"/>
      <w:szCs w:val="22"/>
      <w:lang w:val="x-none" w:eastAsia="en-U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dutableau4">
    <w:name w:val="Grille du tableau4"/>
    <w:basedOn w:val="TableauNormal"/>
    <w:uiPriority w:val="59"/>
    <w:rsid w:val="0090044A"/>
    <w:pPr>
      <w:suppressAutoHyphens/>
      <w:ind w:left="442"/>
    </w:pPr>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3CGE">
    <w:name w:val="TITRE 3 CGE"/>
    <w:basedOn w:val="Titre3"/>
    <w:qFormat/>
    <w:rsid w:val="0090044A"/>
    <w:pPr>
      <w:keepNext w:val="0"/>
      <w:keepLines w:val="0"/>
      <w:numPr>
        <w:numId w:val="102"/>
      </w:numPr>
      <w:spacing w:before="0" w:after="0"/>
      <w:jc w:val="both"/>
    </w:pPr>
    <w:rPr>
      <w:rFonts w:ascii="Arial" w:eastAsia="Times New Roman" w:hAnsi="Arial" w:cs="Arial"/>
      <w:b/>
      <w:bCs/>
      <w:smallCaps/>
      <w:color w:val="auto"/>
      <w:spacing w:val="5"/>
      <w:sz w:val="20"/>
      <w:szCs w:val="20"/>
      <w:lang w:val="fr-FR" w:eastAsia="fr-FR"/>
    </w:rPr>
  </w:style>
  <w:style w:type="character" w:customStyle="1" w:styleId="Titre1Car2">
    <w:name w:val="Titre1 Car"/>
    <w:rsid w:val="0090044A"/>
    <w:rPr>
      <w:rFonts w:ascii="Cambria" w:eastAsia="Times New Roman" w:hAnsi="Cambria"/>
      <w:b/>
      <w:sz w:val="28"/>
      <w:lang w:eastAsia="fr-FR"/>
    </w:rPr>
  </w:style>
  <w:style w:type="table" w:styleId="Tramemoyenne1-Accent6">
    <w:name w:val="Medium Shading 1 Accent 6"/>
    <w:basedOn w:val="TableauNormal"/>
    <w:uiPriority w:val="63"/>
    <w:rsid w:val="0090044A"/>
    <w:pPr>
      <w:ind w:left="442"/>
    </w:pPr>
    <w:rPr>
      <w:bC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lleclaire-Accent6">
    <w:name w:val="Light Grid Accent 6"/>
    <w:basedOn w:val="TableauNormal"/>
    <w:uiPriority w:val="62"/>
    <w:rsid w:val="0090044A"/>
    <w:pPr>
      <w:ind w:left="442"/>
    </w:pPr>
    <w:rPr>
      <w:bC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Verdana" w:eastAsia="Times New Roman" w:hAnsi="Verdan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Verdana" w:eastAsia="Times New Roman" w:hAnsi="Verdan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Tramemoyenne2-Accent6">
    <w:name w:val="Medium Shading 2 Accent 6"/>
    <w:basedOn w:val="TableauNormal"/>
    <w:uiPriority w:val="64"/>
    <w:rsid w:val="0090044A"/>
    <w:pPr>
      <w:ind w:left="442"/>
    </w:pPr>
    <w:rPr>
      <w:bC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emoyenne1-Accent6">
    <w:name w:val="Medium List 1 Accent 6"/>
    <w:basedOn w:val="TableauNormal"/>
    <w:uiPriority w:val="65"/>
    <w:rsid w:val="0090044A"/>
    <w:pPr>
      <w:ind w:left="442"/>
    </w:pPr>
    <w:rPr>
      <w:bCs/>
      <w:color w:val="000000"/>
    </w:rPr>
    <w:tblPr>
      <w:tblStyleRowBandSize w:val="1"/>
      <w:tblStyleColBandSize w:val="1"/>
      <w:tblBorders>
        <w:top w:val="single" w:sz="8" w:space="0" w:color="F79646"/>
        <w:bottom w:val="single" w:sz="8" w:space="0" w:color="F79646"/>
      </w:tblBorders>
    </w:tblPr>
    <w:tblStylePr w:type="firstRow">
      <w:rPr>
        <w:rFonts w:ascii="Verdana" w:eastAsia="Times New Roman" w:hAnsi="Verdan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stemoyenne1-Accent3">
    <w:name w:val="Medium List 1 Accent 3"/>
    <w:basedOn w:val="TableauNormal"/>
    <w:uiPriority w:val="65"/>
    <w:rsid w:val="0090044A"/>
    <w:pPr>
      <w:ind w:left="442"/>
    </w:pPr>
    <w:rPr>
      <w:color w:val="000000"/>
    </w:rPr>
    <w:tblPr>
      <w:tblStyleRowBandSize w:val="1"/>
      <w:tblStyleColBandSize w:val="1"/>
      <w:tblBorders>
        <w:top w:val="single" w:sz="8" w:space="0" w:color="9BBB59"/>
        <w:bottom w:val="single" w:sz="8" w:space="0" w:color="9BBB59"/>
      </w:tblBorders>
    </w:tblPr>
    <w:tblStylePr w:type="firstRow">
      <w:rPr>
        <w:rFonts w:ascii="Verdana" w:eastAsia="Times New Roman" w:hAnsi="Verdan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Mentionnonrsolue5">
    <w:name w:val="Mention non résolue5"/>
    <w:uiPriority w:val="99"/>
    <w:rsid w:val="0090044A"/>
    <w:rPr>
      <w:color w:val="605E5C"/>
      <w:shd w:val="clear" w:color="auto" w:fill="E1DFDD"/>
    </w:rPr>
  </w:style>
  <w:style w:type="character" w:styleId="Lienhypertextesuivivisit">
    <w:name w:val="FollowedHyperlink"/>
    <w:uiPriority w:val="99"/>
    <w:semiHidden/>
    <w:unhideWhenUsed/>
    <w:rsid w:val="0090044A"/>
    <w:rPr>
      <w:color w:val="800080"/>
      <w:u w:val="single"/>
    </w:rPr>
  </w:style>
  <w:style w:type="table" w:customStyle="1" w:styleId="TableauGrille4-Accentuation51">
    <w:name w:val="Tableau Grille 4 - Accentuation 51"/>
    <w:basedOn w:val="TableauNormal"/>
    <w:uiPriority w:val="49"/>
    <w:rsid w:val="0090044A"/>
    <w:pPr>
      <w:ind w:left="442"/>
      <w:jc w:val="both"/>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2">
    <w:name w:val="Table Grid2"/>
    <w:rsid w:val="0090044A"/>
    <w:rPr>
      <w:rFonts w:eastAsia="Times New Roman"/>
      <w:sz w:val="22"/>
      <w:szCs w:val="22"/>
      <w:lang w:val="fr-FR" w:eastAsia="fr-FR"/>
    </w:rPr>
    <w:tblPr>
      <w:tblCellMar>
        <w:top w:w="0" w:type="dxa"/>
        <w:left w:w="0" w:type="dxa"/>
        <w:bottom w:w="0" w:type="dxa"/>
        <w:right w:w="0" w:type="dxa"/>
      </w:tblCellMar>
    </w:tblPr>
  </w:style>
  <w:style w:type="paragraph" w:customStyle="1" w:styleId="Style9">
    <w:name w:val="Style9"/>
    <w:basedOn w:val="TITR4"/>
    <w:link w:val="Style9Car"/>
    <w:qFormat/>
    <w:rsid w:val="008D2A01"/>
    <w:pPr>
      <w:numPr>
        <w:ilvl w:val="4"/>
      </w:numPr>
      <w:pBdr>
        <w:bottom w:val="single" w:sz="4" w:space="1" w:color="auto"/>
      </w:pBdr>
      <w:spacing w:line="259" w:lineRule="auto"/>
      <w:ind w:left="1080" w:hanging="720"/>
      <w:outlineLvl w:val="9"/>
    </w:pPr>
  </w:style>
  <w:style w:type="character" w:customStyle="1" w:styleId="Mentionnonrsolue6">
    <w:name w:val="Mention non résolue6"/>
    <w:uiPriority w:val="99"/>
    <w:semiHidden/>
    <w:unhideWhenUsed/>
    <w:rsid w:val="003856BD"/>
    <w:rPr>
      <w:color w:val="605E5C"/>
      <w:shd w:val="clear" w:color="auto" w:fill="E1DFDD"/>
    </w:rPr>
  </w:style>
  <w:style w:type="character" w:customStyle="1" w:styleId="TIT3Car">
    <w:name w:val="TIT 3 Car"/>
    <w:link w:val="TIT3"/>
    <w:rsid w:val="008D2A01"/>
    <w:rPr>
      <w:rFonts w:ascii="Arial" w:eastAsia="Times New Roman" w:hAnsi="Arial" w:cs="Times New Roman"/>
      <w:b/>
      <w:color w:val="1F4D78"/>
      <w:sz w:val="24"/>
      <w:szCs w:val="24"/>
      <w:lang w:val="x-none" w:eastAsia="x-none"/>
    </w:rPr>
  </w:style>
  <w:style w:type="character" w:customStyle="1" w:styleId="TITR4Car">
    <w:name w:val="TITR 4 Car"/>
    <w:link w:val="TITR4"/>
    <w:rsid w:val="008D2A01"/>
    <w:rPr>
      <w:rFonts w:ascii="Arial" w:eastAsia="Times New Roman" w:hAnsi="Arial" w:cs="Arial"/>
      <w:b/>
      <w:bCs/>
      <w:color w:val="1F4D78"/>
      <w:sz w:val="24"/>
      <w:szCs w:val="24"/>
      <w:lang w:val="x-none" w:eastAsia="x-none"/>
    </w:rPr>
  </w:style>
  <w:style w:type="character" w:customStyle="1" w:styleId="Style9Car">
    <w:name w:val="Style9 Car"/>
    <w:link w:val="Style9"/>
    <w:rsid w:val="008D2A01"/>
    <w:rPr>
      <w:rFonts w:ascii="Arial" w:eastAsia="Times New Roman" w:hAnsi="Arial" w:cs="Arial"/>
      <w:b/>
      <w:bCs/>
      <w:color w:val="1F4D78"/>
      <w:sz w:val="24"/>
      <w:szCs w:val="24"/>
      <w:lang w:val="x-none" w:eastAsia="x-none"/>
    </w:rPr>
  </w:style>
  <w:style w:type="table" w:customStyle="1" w:styleId="TableGrid10">
    <w:name w:val="Table Grid10"/>
    <w:basedOn w:val="TableauNormal"/>
    <w:uiPriority w:val="59"/>
    <w:rsid w:val="006B2C01"/>
    <w:pPr>
      <w:suppressAutoHyphens/>
      <w:ind w:left="442"/>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block">
    <w:name w:val="temp-block"/>
    <w:basedOn w:val="Normal"/>
    <w:rsid w:val="006B2C01"/>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ColorfulList-Accent12">
    <w:name w:val="Colorful List - Accent 12"/>
    <w:aliases w:val="style3,Colorful Shading - Accent 31,Paragraphe de liste rapport atelier Mada,Johan bulletList Paragraph,ADB paragraph numbering,List Paragraph - CBG,Lvl 1 Bullet,Bullet Styles para,Figure_name,Puce niveau 1"/>
    <w:basedOn w:val="Normal"/>
    <w:uiPriority w:val="34"/>
    <w:qFormat/>
    <w:rsid w:val="006B2C01"/>
    <w:pPr>
      <w:spacing w:after="0" w:line="240" w:lineRule="auto"/>
      <w:ind w:left="708"/>
      <w:jc w:val="both"/>
    </w:pPr>
    <w:rPr>
      <w:rFonts w:ascii="Arial" w:hAnsi="Arial"/>
      <w:sz w:val="20"/>
      <w:szCs w:val="32"/>
    </w:rPr>
  </w:style>
  <w:style w:type="paragraph" w:customStyle="1" w:styleId="Titre4CGES0">
    <w:name w:val="Titre4 CGES"/>
    <w:basedOn w:val="Paragraphedeliste"/>
    <w:qFormat/>
    <w:rsid w:val="006B2C01"/>
    <w:pPr>
      <w:suppressAutoHyphens/>
      <w:spacing w:before="360" w:after="320"/>
      <w:ind w:left="1080" w:hanging="720"/>
      <w:outlineLvl w:val="3"/>
    </w:pPr>
    <w:rPr>
      <w:rFonts w:ascii="Arial" w:hAnsi="Arial" w:cs="Arial"/>
      <w:b/>
      <w:sz w:val="20"/>
    </w:rPr>
  </w:style>
  <w:style w:type="character" w:customStyle="1" w:styleId="Mentionnonrsolue100">
    <w:name w:val="Mention non résolue100"/>
    <w:uiPriority w:val="99"/>
    <w:semiHidden/>
    <w:unhideWhenUsed/>
    <w:qFormat/>
    <w:rsid w:val="006B2C01"/>
    <w:rPr>
      <w:color w:val="605E5C"/>
      <w:shd w:val="clear" w:color="auto" w:fill="E1DFDD"/>
    </w:rPr>
  </w:style>
  <w:style w:type="paragraph" w:customStyle="1" w:styleId="Tabletext">
    <w:name w:val="Table text"/>
    <w:basedOn w:val="Normal"/>
    <w:qFormat/>
    <w:rsid w:val="006B2C01"/>
    <w:pPr>
      <w:widowControl w:val="0"/>
      <w:autoSpaceDE w:val="0"/>
      <w:autoSpaceDN w:val="0"/>
      <w:spacing w:after="0" w:line="240" w:lineRule="auto"/>
    </w:pPr>
    <w:rPr>
      <w:rFonts w:ascii="Times New Roman" w:eastAsia="Arial" w:hAnsi="Times New Roman" w:cs="Calibri"/>
      <w:w w:val="104"/>
      <w:sz w:val="20"/>
      <w:szCs w:val="10"/>
    </w:rPr>
  </w:style>
  <w:style w:type="character" w:customStyle="1" w:styleId="ColorfulShading-Accent3Char">
    <w:name w:val="Colorful Shading - Accent 3 Char"/>
    <w:aliases w:val="style3 Char,Paragraphe de liste rapport atelier Mada Char,Paragraphe de liste1 Char,Bullet L1 Char,Liste 1 Char,Johan bulletList Paragraph Char,ADB paragraph numbering Char,List Paragraph - CBG Char,Lvl 1 Bullet Char"/>
    <w:uiPriority w:val="34"/>
    <w:qFormat/>
    <w:rsid w:val="006B2C01"/>
    <w:rPr>
      <w:rFonts w:ascii="Arial" w:eastAsia="Calibri" w:hAnsi="Arial" w:cs="Times New Roman"/>
      <w:sz w:val="20"/>
      <w:szCs w:val="32"/>
      <w:lang w:val="fr-FR"/>
    </w:rPr>
  </w:style>
  <w:style w:type="table" w:customStyle="1" w:styleId="TableauGrille4-Accentuation31">
    <w:name w:val="Tableau Grille 4 - Accentuation 31"/>
    <w:basedOn w:val="TableauNormal"/>
    <w:uiPriority w:val="49"/>
    <w:rsid w:val="006B2C01"/>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meta">
    <w:name w:val="meta"/>
    <w:basedOn w:val="Normal"/>
    <w:rsid w:val="006B2C01"/>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Tableaux">
    <w:name w:val="Tableaux"/>
    <w:basedOn w:val="Lgende"/>
    <w:qFormat/>
    <w:rsid w:val="006B2C01"/>
    <w:pPr>
      <w:spacing w:beforeAutospacing="1" w:afterAutospacing="1"/>
      <w:jc w:val="center"/>
    </w:pPr>
    <w:rPr>
      <w:b w:val="0"/>
      <w:bCs w:val="0"/>
      <w:i/>
      <w:iCs/>
      <w:color w:val="auto"/>
      <w:sz w:val="22"/>
      <w:szCs w:val="22"/>
    </w:rPr>
  </w:style>
  <w:style w:type="character" w:customStyle="1" w:styleId="Mentionnonrsolue61">
    <w:name w:val="Mention non résolue61"/>
    <w:uiPriority w:val="99"/>
    <w:semiHidden/>
    <w:unhideWhenUsed/>
    <w:rsid w:val="006B2C01"/>
    <w:rPr>
      <w:color w:val="605E5C"/>
      <w:shd w:val="clear" w:color="auto" w:fill="E1DFDD"/>
    </w:rPr>
  </w:style>
  <w:style w:type="table" w:customStyle="1" w:styleId="TableauGrille5Fonc-Accentuation53">
    <w:name w:val="Tableau Grille 5 Foncé - Accentuation 53"/>
    <w:basedOn w:val="TableauNormal"/>
    <w:uiPriority w:val="50"/>
    <w:rsid w:val="006B2C0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4-Accentuation52">
    <w:name w:val="Tableau Grille 4 - Accentuation 52"/>
    <w:basedOn w:val="TableauNormal"/>
    <w:uiPriority w:val="49"/>
    <w:rsid w:val="006B2C01"/>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Photos">
    <w:name w:val="Photos"/>
    <w:basedOn w:val="Lgende"/>
    <w:qFormat/>
    <w:rsid w:val="006B2C01"/>
    <w:pPr>
      <w:spacing w:before="120" w:beforeAutospacing="1" w:after="120"/>
      <w:jc w:val="center"/>
    </w:pPr>
    <w:rPr>
      <w:rFonts w:eastAsia="Times New Roman"/>
      <w:bCs w:val="0"/>
      <w:i/>
      <w:iCs/>
      <w:color w:val="000000"/>
      <w:sz w:val="22"/>
      <w:lang w:eastAsia="zh-CN"/>
    </w:rPr>
  </w:style>
  <w:style w:type="paragraph" w:customStyle="1" w:styleId="paragraph">
    <w:name w:val="paragraph"/>
    <w:basedOn w:val="Normal"/>
    <w:rsid w:val="006B2C01"/>
    <w:pPr>
      <w:spacing w:after="0" w:line="240" w:lineRule="auto"/>
    </w:pPr>
    <w:rPr>
      <w:rFonts w:cs="Calibri"/>
      <w:lang w:val="en-US"/>
    </w:rPr>
  </w:style>
  <w:style w:type="character" w:customStyle="1" w:styleId="normaltextrun">
    <w:name w:val="normaltextrun"/>
    <w:basedOn w:val="Policepardfaut"/>
    <w:rsid w:val="006B2C01"/>
  </w:style>
  <w:style w:type="character" w:customStyle="1" w:styleId="eop">
    <w:name w:val="eop"/>
    <w:basedOn w:val="Policepardfaut"/>
    <w:rsid w:val="006B2C01"/>
  </w:style>
  <w:style w:type="character" w:customStyle="1" w:styleId="UnresolvedMention5">
    <w:name w:val="Unresolved Mention5"/>
    <w:uiPriority w:val="99"/>
    <w:semiHidden/>
    <w:unhideWhenUsed/>
    <w:rsid w:val="006B2C01"/>
    <w:rPr>
      <w:color w:val="605E5C"/>
      <w:shd w:val="clear" w:color="auto" w:fill="E1DFDD"/>
    </w:rPr>
  </w:style>
  <w:style w:type="character" w:customStyle="1" w:styleId="Mentionnonrsolue7">
    <w:name w:val="Mention non résolue7"/>
    <w:uiPriority w:val="99"/>
    <w:semiHidden/>
    <w:unhideWhenUsed/>
    <w:rsid w:val="006B2C01"/>
    <w:rPr>
      <w:color w:val="605E5C"/>
      <w:shd w:val="clear" w:color="auto" w:fill="E1DFDD"/>
    </w:rPr>
  </w:style>
  <w:style w:type="character" w:customStyle="1" w:styleId="Mentionnonrsolue10">
    <w:name w:val="Mention non résolue10"/>
    <w:uiPriority w:val="99"/>
    <w:semiHidden/>
    <w:unhideWhenUsed/>
    <w:qFormat/>
    <w:rsid w:val="006B2C01"/>
    <w:rPr>
      <w:color w:val="605E5C"/>
      <w:shd w:val="clear" w:color="auto" w:fill="E1DFDD"/>
    </w:rPr>
  </w:style>
  <w:style w:type="table" w:customStyle="1" w:styleId="TableGrid00">
    <w:name w:val="Table Grid00"/>
    <w:rsid w:val="006B2C01"/>
    <w:pPr>
      <w:suppressAutoHyphens/>
      <w:ind w:left="442"/>
    </w:pPr>
    <w:rPr>
      <w:rFonts w:eastAsia="Times New Roman"/>
      <w:sz w:val="22"/>
      <w:szCs w:val="22"/>
      <w:lang w:val="fr-FR" w:eastAsia="fr-FR"/>
    </w:rPr>
    <w:tblPr>
      <w:tblCellMar>
        <w:top w:w="0" w:type="dxa"/>
        <w:left w:w="0" w:type="dxa"/>
        <w:bottom w:w="0" w:type="dxa"/>
        <w:right w:w="0" w:type="dxa"/>
      </w:tblCellMar>
    </w:tblPr>
  </w:style>
  <w:style w:type="character" w:customStyle="1" w:styleId="Mentionnonrsolue101">
    <w:name w:val="Mention non résolue101"/>
    <w:uiPriority w:val="99"/>
    <w:semiHidden/>
    <w:unhideWhenUsed/>
    <w:qFormat/>
    <w:rsid w:val="006B2C01"/>
    <w:rPr>
      <w:color w:val="605E5C"/>
      <w:shd w:val="clear" w:color="auto" w:fill="E1DFDD"/>
    </w:rPr>
  </w:style>
  <w:style w:type="character" w:customStyle="1" w:styleId="Mentionnonrsolue1010">
    <w:name w:val="Mention non résolue1010"/>
    <w:uiPriority w:val="99"/>
    <w:semiHidden/>
    <w:unhideWhenUsed/>
    <w:qFormat/>
    <w:rsid w:val="006B2C01"/>
    <w:rPr>
      <w:color w:val="605E5C"/>
      <w:shd w:val="clear" w:color="auto" w:fill="E1DFDD"/>
    </w:rPr>
  </w:style>
  <w:style w:type="character" w:customStyle="1" w:styleId="Mentionnonrsolue10100">
    <w:name w:val="Mention non résolue10100"/>
    <w:uiPriority w:val="99"/>
    <w:semiHidden/>
    <w:unhideWhenUsed/>
    <w:qFormat/>
    <w:rsid w:val="006B2C01"/>
    <w:rPr>
      <w:color w:val="605E5C"/>
      <w:shd w:val="clear" w:color="auto" w:fill="E1DFDD"/>
    </w:rPr>
  </w:style>
  <w:style w:type="paragraph" w:customStyle="1" w:styleId="Enumtiret3">
    <w:name w:val="Enumtiret3"/>
    <w:aliases w:val="t3"/>
    <w:basedOn w:val="Corpsdetexte"/>
    <w:rsid w:val="006B2C01"/>
    <w:pPr>
      <w:widowControl/>
      <w:numPr>
        <w:numId w:val="148"/>
      </w:numPr>
      <w:tabs>
        <w:tab w:val="clear" w:pos="360"/>
      </w:tabs>
      <w:autoSpaceDE/>
      <w:autoSpaceDN/>
      <w:spacing w:before="120"/>
      <w:ind w:left="1305"/>
      <w:jc w:val="both"/>
    </w:pPr>
    <w:rPr>
      <w:rFonts w:ascii="Arial" w:eastAsia="Times New Roman" w:hAnsi="Arial" w:cs="Arial"/>
      <w:szCs w:val="22"/>
      <w:lang w:eastAsia="fr-FR"/>
    </w:rPr>
  </w:style>
  <w:style w:type="paragraph" w:customStyle="1" w:styleId="Normal0">
    <w:name w:val="[Normal]"/>
    <w:uiPriority w:val="99"/>
    <w:rsid w:val="006B2C01"/>
    <w:pPr>
      <w:autoSpaceDE w:val="0"/>
      <w:autoSpaceDN w:val="0"/>
      <w:adjustRightInd w:val="0"/>
    </w:pPr>
    <w:rPr>
      <w:rFonts w:ascii="Arial" w:hAnsi="Arial" w:cs="Arial"/>
      <w:sz w:val="24"/>
      <w:szCs w:val="24"/>
      <w:lang w:val="fr-FR" w:eastAsia="en-US"/>
    </w:rPr>
  </w:style>
  <w:style w:type="table" w:customStyle="1" w:styleId="TableauListe5Fonc-Accentuation51">
    <w:name w:val="Tableau Liste 5 Foncé - Accentuation 51"/>
    <w:basedOn w:val="TableauNormal"/>
    <w:uiPriority w:val="50"/>
    <w:rsid w:val="006B2C01"/>
    <w:rPr>
      <w:color w:val="FFFFFF"/>
    </w:rPr>
    <w:tblPr>
      <w:tblStyleRowBandSize w:val="1"/>
      <w:tblStyleColBandSize w:val="1"/>
      <w:tblBorders>
        <w:top w:val="single" w:sz="24" w:space="0" w:color="4BACC6"/>
        <w:left w:val="single" w:sz="24" w:space="0" w:color="4BACC6"/>
        <w:bottom w:val="single" w:sz="24" w:space="0" w:color="4BACC6"/>
        <w:right w:val="single" w:sz="24" w:space="0" w:color="4BACC6"/>
      </w:tblBorders>
    </w:tblPr>
    <w:tcPr>
      <w:shd w:val="clear" w:color="auto" w:fill="4BACC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5Fonc-Accentuation11">
    <w:name w:val="Tableau Liste 5 Foncé - Accentuation 11"/>
    <w:basedOn w:val="TableauNormal"/>
    <w:uiPriority w:val="50"/>
    <w:rsid w:val="006B2C01"/>
    <w:rPr>
      <w:color w:val="FFFFFF"/>
    </w:rPr>
    <w:tblPr>
      <w:tblStyleRowBandSize w:val="1"/>
      <w:tblStyleColBandSize w:val="1"/>
      <w:tblBorders>
        <w:top w:val="single" w:sz="24" w:space="0" w:color="4F81BD"/>
        <w:left w:val="single" w:sz="24" w:space="0" w:color="4F81BD"/>
        <w:bottom w:val="single" w:sz="24" w:space="0" w:color="4F81BD"/>
        <w:right w:val="single" w:sz="24" w:space="0" w:color="4F81BD"/>
      </w:tblBorders>
    </w:tblPr>
    <w:tcPr>
      <w:shd w:val="clear" w:color="auto" w:fill="4F81BD"/>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Corpsdetexte2">
    <w:name w:val="Body Text 2"/>
    <w:basedOn w:val="Normal"/>
    <w:link w:val="Corpsdetexte2Car"/>
    <w:uiPriority w:val="99"/>
    <w:unhideWhenUsed/>
    <w:rsid w:val="006B2C01"/>
    <w:pPr>
      <w:shd w:val="clear" w:color="auto" w:fill="BDD6EE"/>
      <w:spacing w:before="100" w:beforeAutospacing="1" w:after="100" w:afterAutospacing="1"/>
      <w:jc w:val="center"/>
    </w:pPr>
    <w:rPr>
      <w:rFonts w:ascii="Microsoft PhagsPa" w:hAnsi="Microsoft PhagsPa"/>
      <w:b/>
      <w:sz w:val="36"/>
      <w:szCs w:val="36"/>
      <w:lang w:val="x-none" w:eastAsia="x-none"/>
    </w:rPr>
  </w:style>
  <w:style w:type="character" w:customStyle="1" w:styleId="Corpsdetexte2Car">
    <w:name w:val="Corps de texte 2 Car"/>
    <w:link w:val="Corpsdetexte2"/>
    <w:uiPriority w:val="99"/>
    <w:rsid w:val="006B2C01"/>
    <w:rPr>
      <w:rFonts w:ascii="Microsoft PhagsPa" w:hAnsi="Microsoft PhagsPa"/>
      <w:b/>
      <w:sz w:val="36"/>
      <w:szCs w:val="36"/>
      <w:shd w:val="clear" w:color="auto" w:fill="BDD6EE"/>
    </w:rPr>
  </w:style>
  <w:style w:type="paragraph" w:styleId="Corpsdetexte3">
    <w:name w:val="Body Text 3"/>
    <w:basedOn w:val="Normal"/>
    <w:link w:val="Corpsdetexte3Car"/>
    <w:uiPriority w:val="99"/>
    <w:unhideWhenUsed/>
    <w:rsid w:val="006B2C01"/>
    <w:pPr>
      <w:spacing w:before="100" w:beforeAutospacing="1" w:after="100" w:afterAutospacing="1" w:line="240" w:lineRule="auto"/>
      <w:jc w:val="both"/>
    </w:pPr>
    <w:rPr>
      <w:rFonts w:ascii="Microsoft PhagsPa" w:hAnsi="Microsoft PhagsPa"/>
      <w:sz w:val="16"/>
      <w:szCs w:val="16"/>
      <w:lang w:val="x-none" w:eastAsia="x-none"/>
    </w:rPr>
  </w:style>
  <w:style w:type="character" w:customStyle="1" w:styleId="Corpsdetexte3Car">
    <w:name w:val="Corps de texte 3 Car"/>
    <w:link w:val="Corpsdetexte3"/>
    <w:uiPriority w:val="99"/>
    <w:rsid w:val="006B2C01"/>
    <w:rPr>
      <w:rFonts w:ascii="Microsoft PhagsPa" w:hAnsi="Microsoft PhagsPa"/>
      <w:sz w:val="16"/>
      <w:szCs w:val="16"/>
    </w:rPr>
  </w:style>
  <w:style w:type="paragraph" w:customStyle="1" w:styleId="Normal11">
    <w:name w:val="Normal_11"/>
    <w:basedOn w:val="Normal"/>
    <w:qFormat/>
    <w:rsid w:val="006B2C01"/>
    <w:pPr>
      <w:tabs>
        <w:tab w:val="num" w:pos="360"/>
        <w:tab w:val="num" w:pos="3150"/>
      </w:tabs>
      <w:autoSpaceDE w:val="0"/>
      <w:autoSpaceDN w:val="0"/>
      <w:adjustRightInd w:val="0"/>
      <w:spacing w:before="100" w:beforeAutospacing="1" w:after="100" w:afterAutospacing="1" w:line="240" w:lineRule="auto"/>
      <w:jc w:val="both"/>
    </w:pPr>
    <w:rPr>
      <w:rFonts w:eastAsia="Times New Roman"/>
      <w:b/>
      <w:bCs/>
      <w:color w:val="000000"/>
      <w:sz w:val="20"/>
      <w:szCs w:val="20"/>
      <w:lang w:val="en-US"/>
    </w:rPr>
  </w:style>
  <w:style w:type="paragraph" w:customStyle="1" w:styleId="CHIFFREPARAG">
    <w:name w:val="CHIFFRE PARAG"/>
    <w:basedOn w:val="Normal"/>
    <w:qFormat/>
    <w:rsid w:val="006B2C01"/>
    <w:pPr>
      <w:tabs>
        <w:tab w:val="num" w:pos="360"/>
      </w:tabs>
      <w:autoSpaceDE w:val="0"/>
      <w:autoSpaceDN w:val="0"/>
      <w:adjustRightInd w:val="0"/>
      <w:spacing w:before="100" w:beforeAutospacing="1" w:after="100" w:afterAutospacing="1" w:line="256" w:lineRule="auto"/>
      <w:jc w:val="both"/>
    </w:pPr>
    <w:rPr>
      <w:rFonts w:eastAsia="Times New Roman"/>
      <w:b/>
      <w:bCs/>
      <w:color w:val="000000"/>
      <w:sz w:val="20"/>
      <w:szCs w:val="20"/>
      <w:lang w:val="en-US"/>
    </w:rPr>
  </w:style>
  <w:style w:type="paragraph" w:customStyle="1" w:styleId="Notedebasdepage1">
    <w:name w:val="Note de bas de page1"/>
    <w:basedOn w:val="Normal"/>
    <w:uiPriority w:val="99"/>
    <w:qFormat/>
    <w:rsid w:val="006B2C01"/>
    <w:pPr>
      <w:suppressAutoHyphens/>
      <w:spacing w:after="0" w:line="240" w:lineRule="auto"/>
    </w:pPr>
    <w:rPr>
      <w:rFonts w:ascii="Times New Roman" w:eastAsia="Times New Roman" w:hAnsi="Times New Roman"/>
      <w:sz w:val="20"/>
      <w:szCs w:val="20"/>
      <w:lang w:val="en-GB" w:eastAsia="en-GB"/>
    </w:rPr>
  </w:style>
  <w:style w:type="character" w:customStyle="1" w:styleId="w8qarf">
    <w:name w:val="w8qarf"/>
    <w:basedOn w:val="Policepardfaut"/>
    <w:rsid w:val="006B2C01"/>
  </w:style>
  <w:style w:type="character" w:customStyle="1" w:styleId="lrzxr">
    <w:name w:val="lrzxr"/>
    <w:basedOn w:val="Policepardfaut"/>
    <w:rsid w:val="006B2C01"/>
  </w:style>
  <w:style w:type="table" w:customStyle="1" w:styleId="SGSTableBasic14">
    <w:name w:val="SGS Table Basic 14"/>
    <w:basedOn w:val="TableauNormal"/>
    <w:uiPriority w:val="59"/>
    <w:qFormat/>
    <w:rsid w:val="006B2C01"/>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
    <w:name w:val="footnote"/>
    <w:basedOn w:val="Policepardfaut"/>
    <w:rsid w:val="00C21029"/>
  </w:style>
  <w:style w:type="character" w:customStyle="1" w:styleId="TableBulletPointChar">
    <w:name w:val="Table Bullet Point Char"/>
    <w:link w:val="TableBulletPoint"/>
    <w:locked/>
    <w:rsid w:val="00C21029"/>
    <w:rPr>
      <w:color w:val="000000"/>
      <w:lang w:val="fr-FR" w:eastAsia="en-US"/>
    </w:rPr>
  </w:style>
  <w:style w:type="paragraph" w:customStyle="1" w:styleId="TableBulletPoint">
    <w:name w:val="Table Bullet Point"/>
    <w:basedOn w:val="Paragraphedeliste"/>
    <w:link w:val="TableBulletPointChar"/>
    <w:qFormat/>
    <w:rsid w:val="00C21029"/>
    <w:pPr>
      <w:numPr>
        <w:ilvl w:val="1"/>
        <w:numId w:val="167"/>
      </w:numPr>
      <w:spacing w:after="0" w:line="240" w:lineRule="auto"/>
      <w:ind w:left="34" w:hanging="141"/>
    </w:pPr>
    <w:rPr>
      <w:sz w:val="20"/>
      <w:szCs w:val="20"/>
    </w:rPr>
  </w:style>
  <w:style w:type="character" w:customStyle="1" w:styleId="A13">
    <w:name w:val="A13"/>
    <w:uiPriority w:val="99"/>
    <w:rsid w:val="00C21029"/>
    <w:rPr>
      <w:rFonts w:cs="Calibri"/>
      <w:b/>
      <w:bCs/>
      <w:color w:val="000000"/>
      <w:sz w:val="14"/>
      <w:szCs w:val="14"/>
    </w:rPr>
  </w:style>
  <w:style w:type="paragraph" w:customStyle="1" w:styleId="BVIfnrCharChar">
    <w:name w:val="BVI fnr Char Char"/>
    <w:aliases w:val=" BVI fnr Car Car Car Car Char Char Char Char Char, BVI fnr Car Car Char Char Char,BVI fnr Car Car Car Car Char Char,BVI fnr Car Car Car Car Char Char Char1,BVI fnr Car Car Char Char,BVI fnr Car Char Char,FNRefe Char Char"/>
    <w:basedOn w:val="Normal"/>
    <w:uiPriority w:val="99"/>
    <w:rsid w:val="00C21029"/>
    <w:pPr>
      <w:spacing w:after="160" w:line="240" w:lineRule="exact"/>
      <w:jc w:val="both"/>
    </w:pPr>
    <w:rPr>
      <w:vertAlign w:val="superscript"/>
      <w:lang w:val="en-US"/>
    </w:rPr>
  </w:style>
  <w:style w:type="character" w:customStyle="1" w:styleId="A0">
    <w:name w:val="A0"/>
    <w:uiPriority w:val="99"/>
    <w:rsid w:val="00C21029"/>
    <w:rPr>
      <w:color w:val="000000"/>
      <w:sz w:val="22"/>
      <w:szCs w:val="22"/>
    </w:rPr>
  </w:style>
  <w:style w:type="character" w:customStyle="1" w:styleId="date-display-single">
    <w:name w:val="date-display-single"/>
    <w:basedOn w:val="Policepardfaut"/>
    <w:rsid w:val="00C21029"/>
  </w:style>
  <w:style w:type="character" w:customStyle="1" w:styleId="A61">
    <w:name w:val="A6+1"/>
    <w:uiPriority w:val="99"/>
    <w:rsid w:val="00C21029"/>
    <w:rPr>
      <w:rFonts w:cs="Proxima Nova Alt Rg"/>
      <w:color w:val="000000"/>
      <w:sz w:val="20"/>
      <w:szCs w:val="20"/>
    </w:rPr>
  </w:style>
  <w:style w:type="paragraph" w:customStyle="1" w:styleId="Pa01">
    <w:name w:val="Pa0+1"/>
    <w:basedOn w:val="Default"/>
    <w:next w:val="Default"/>
    <w:uiPriority w:val="99"/>
    <w:rsid w:val="00C21029"/>
    <w:pPr>
      <w:spacing w:line="241" w:lineRule="atLeast"/>
    </w:pPr>
    <w:rPr>
      <w:rFonts w:ascii="Proxima Nova Alt Rg" w:hAnsi="Proxima Nova Alt Rg" w:cs="Times New Roman"/>
      <w:color w:val="auto"/>
      <w:lang w:val="en-US"/>
    </w:rPr>
  </w:style>
  <w:style w:type="character" w:customStyle="1" w:styleId="familyname">
    <w:name w:val="familyname"/>
    <w:basedOn w:val="Policepardfaut"/>
    <w:rsid w:val="00C21029"/>
  </w:style>
  <w:style w:type="table" w:customStyle="1" w:styleId="Tableausimple51">
    <w:name w:val="Tableau simple 51"/>
    <w:basedOn w:val="TableauNormal"/>
    <w:uiPriority w:val="45"/>
    <w:rsid w:val="00C21029"/>
    <w:rPr>
      <w:lang w:eastAsia="fr-FR"/>
    </w:rPr>
    <w:tblPr>
      <w:tblStyleRowBandSize w:val="1"/>
      <w:tblStyleColBandSize w:val="1"/>
    </w:tblPr>
    <w:tblStylePr w:type="firstRow">
      <w:rPr>
        <w:rFonts w:ascii="Verdana" w:eastAsia="Times New Roman" w:hAnsi="Verdana" w:cs="Times New Roman"/>
        <w:i/>
        <w:iCs/>
        <w:sz w:val="26"/>
      </w:rPr>
      <w:tblPr/>
      <w:tcPr>
        <w:tcBorders>
          <w:bottom w:val="single" w:sz="4" w:space="0" w:color="7F7F7F"/>
        </w:tcBorders>
        <w:shd w:val="clear" w:color="auto" w:fill="FFFFFF"/>
      </w:tcPr>
    </w:tblStylePr>
    <w:tblStylePr w:type="lastRow">
      <w:rPr>
        <w:rFonts w:ascii="Verdana" w:eastAsia="Times New Roman" w:hAnsi="Verdana" w:cs="Times New Roman"/>
        <w:i/>
        <w:iCs/>
        <w:sz w:val="26"/>
      </w:rPr>
      <w:tblPr/>
      <w:tcPr>
        <w:tcBorders>
          <w:top w:val="single" w:sz="4" w:space="0" w:color="7F7F7F"/>
        </w:tcBorders>
        <w:shd w:val="clear" w:color="auto" w:fill="FFFFFF"/>
      </w:tcPr>
    </w:tblStylePr>
    <w:tblStylePr w:type="firstCol">
      <w:pPr>
        <w:jc w:val="right"/>
      </w:pPr>
      <w:rPr>
        <w:rFonts w:ascii="Verdana" w:eastAsia="Times New Roman" w:hAnsi="Verdana" w:cs="Times New Roman"/>
        <w:i/>
        <w:iCs/>
        <w:sz w:val="26"/>
      </w:rPr>
      <w:tblPr/>
      <w:tcPr>
        <w:tcBorders>
          <w:right w:val="single" w:sz="4" w:space="0" w:color="7F7F7F"/>
        </w:tcBorders>
        <w:shd w:val="clear" w:color="auto" w:fill="FFFFFF"/>
      </w:tcPr>
    </w:tblStylePr>
    <w:tblStylePr w:type="lastCol">
      <w:rPr>
        <w:rFonts w:ascii="Verdana" w:eastAsia="Times New Roman" w:hAnsi="Verdan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umberedparagraph">
    <w:name w:val="Numbered paragraph"/>
    <w:basedOn w:val="Normal"/>
    <w:uiPriority w:val="99"/>
    <w:qFormat/>
    <w:rsid w:val="00C21029"/>
    <w:pPr>
      <w:numPr>
        <w:numId w:val="168"/>
      </w:numPr>
      <w:spacing w:after="240" w:line="240" w:lineRule="auto"/>
      <w:jc w:val="both"/>
    </w:pPr>
    <w:rPr>
      <w:rFonts w:eastAsia="Times New Roman" w:cs="Arial"/>
      <w:b/>
      <w:color w:val="000000"/>
      <w:sz w:val="24"/>
      <w:szCs w:val="24"/>
      <w:lang w:val="en-US"/>
    </w:rPr>
  </w:style>
  <w:style w:type="character" w:styleId="Appeldenotedefin">
    <w:name w:val="endnote reference"/>
    <w:uiPriority w:val="99"/>
    <w:semiHidden/>
    <w:unhideWhenUsed/>
    <w:rsid w:val="00C21029"/>
    <w:rPr>
      <w:vertAlign w:val="superscript"/>
    </w:rPr>
  </w:style>
  <w:style w:type="paragraph" w:customStyle="1" w:styleId="BVIfnrCharCharCharCharCharChar1CharCharCharCharCharChar">
    <w:name w:val="BVI fnr Char Char Char Char Char Char1 Char Char Char Char Char Char"/>
    <w:aliases w:val="BVI fnr Car Car Char Char Char Char Char Char Char Char Char Char Char Char,BVI fnr Car Char Char Char Char Char Char Char Char Char Char Char Char Char"/>
    <w:basedOn w:val="Normal"/>
    <w:uiPriority w:val="99"/>
    <w:rsid w:val="00C21029"/>
    <w:pPr>
      <w:spacing w:after="160" w:line="240" w:lineRule="exact"/>
    </w:pPr>
    <w:rPr>
      <w:vertAlign w:val="superscript"/>
      <w:lang w:val="en-US"/>
    </w:rPr>
  </w:style>
  <w:style w:type="table" w:customStyle="1" w:styleId="TableauGrille1Clair-Accentuation11">
    <w:name w:val="Tableau Grille 1 Clair - Accentuation 11"/>
    <w:basedOn w:val="TableauNormal"/>
    <w:uiPriority w:val="46"/>
    <w:rsid w:val="00C21029"/>
    <w:rPr>
      <w:lang w:eastAsia="fr-FR"/>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rynqvb">
    <w:name w:val="rynqvb"/>
    <w:basedOn w:val="Policepardfaut"/>
    <w:rsid w:val="00B76189"/>
  </w:style>
  <w:style w:type="character" w:customStyle="1" w:styleId="Mentionnonrsolue8">
    <w:name w:val="Mention non résolue8"/>
    <w:uiPriority w:val="99"/>
    <w:semiHidden/>
    <w:unhideWhenUsed/>
    <w:rsid w:val="00E379F2"/>
    <w:rPr>
      <w:color w:val="605E5C"/>
      <w:shd w:val="clear" w:color="auto" w:fill="E1DFDD"/>
    </w:rPr>
  </w:style>
  <w:style w:type="character" w:styleId="Mentionnonrsolue">
    <w:name w:val="Unresolved Mention"/>
    <w:uiPriority w:val="99"/>
    <w:semiHidden/>
    <w:unhideWhenUsed/>
    <w:rsid w:val="00755420"/>
    <w:rPr>
      <w:color w:val="605E5C"/>
      <w:shd w:val="clear" w:color="auto" w:fill="E1DFDD"/>
    </w:rPr>
  </w:style>
  <w:style w:type="table" w:customStyle="1" w:styleId="TableNormal2">
    <w:name w:val="Table Normal2"/>
    <w:uiPriority w:val="2"/>
    <w:semiHidden/>
    <w:unhideWhenUsed/>
    <w:qFormat/>
    <w:rsid w:val="00160FB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89475">
      <w:bodyDiv w:val="1"/>
      <w:marLeft w:val="0"/>
      <w:marRight w:val="0"/>
      <w:marTop w:val="0"/>
      <w:marBottom w:val="0"/>
      <w:divBdr>
        <w:top w:val="none" w:sz="0" w:space="0" w:color="auto"/>
        <w:left w:val="none" w:sz="0" w:space="0" w:color="auto"/>
        <w:bottom w:val="none" w:sz="0" w:space="0" w:color="auto"/>
        <w:right w:val="none" w:sz="0" w:space="0" w:color="auto"/>
      </w:divBdr>
    </w:div>
    <w:div w:id="104662824">
      <w:bodyDiv w:val="1"/>
      <w:marLeft w:val="0"/>
      <w:marRight w:val="0"/>
      <w:marTop w:val="0"/>
      <w:marBottom w:val="0"/>
      <w:divBdr>
        <w:top w:val="none" w:sz="0" w:space="0" w:color="auto"/>
        <w:left w:val="none" w:sz="0" w:space="0" w:color="auto"/>
        <w:bottom w:val="none" w:sz="0" w:space="0" w:color="auto"/>
        <w:right w:val="none" w:sz="0" w:space="0" w:color="auto"/>
      </w:divBdr>
    </w:div>
    <w:div w:id="217280703">
      <w:bodyDiv w:val="1"/>
      <w:marLeft w:val="0"/>
      <w:marRight w:val="0"/>
      <w:marTop w:val="0"/>
      <w:marBottom w:val="0"/>
      <w:divBdr>
        <w:top w:val="none" w:sz="0" w:space="0" w:color="auto"/>
        <w:left w:val="none" w:sz="0" w:space="0" w:color="auto"/>
        <w:bottom w:val="none" w:sz="0" w:space="0" w:color="auto"/>
        <w:right w:val="none" w:sz="0" w:space="0" w:color="auto"/>
      </w:divBdr>
    </w:div>
    <w:div w:id="235674445">
      <w:bodyDiv w:val="1"/>
      <w:marLeft w:val="0"/>
      <w:marRight w:val="0"/>
      <w:marTop w:val="0"/>
      <w:marBottom w:val="0"/>
      <w:divBdr>
        <w:top w:val="none" w:sz="0" w:space="0" w:color="auto"/>
        <w:left w:val="none" w:sz="0" w:space="0" w:color="auto"/>
        <w:bottom w:val="none" w:sz="0" w:space="0" w:color="auto"/>
        <w:right w:val="none" w:sz="0" w:space="0" w:color="auto"/>
      </w:divBdr>
    </w:div>
    <w:div w:id="248470481">
      <w:bodyDiv w:val="1"/>
      <w:marLeft w:val="0"/>
      <w:marRight w:val="0"/>
      <w:marTop w:val="0"/>
      <w:marBottom w:val="0"/>
      <w:divBdr>
        <w:top w:val="none" w:sz="0" w:space="0" w:color="auto"/>
        <w:left w:val="none" w:sz="0" w:space="0" w:color="auto"/>
        <w:bottom w:val="none" w:sz="0" w:space="0" w:color="auto"/>
        <w:right w:val="none" w:sz="0" w:space="0" w:color="auto"/>
      </w:divBdr>
    </w:div>
    <w:div w:id="321665573">
      <w:bodyDiv w:val="1"/>
      <w:marLeft w:val="0"/>
      <w:marRight w:val="0"/>
      <w:marTop w:val="0"/>
      <w:marBottom w:val="0"/>
      <w:divBdr>
        <w:top w:val="none" w:sz="0" w:space="0" w:color="auto"/>
        <w:left w:val="none" w:sz="0" w:space="0" w:color="auto"/>
        <w:bottom w:val="none" w:sz="0" w:space="0" w:color="auto"/>
        <w:right w:val="none" w:sz="0" w:space="0" w:color="auto"/>
      </w:divBdr>
    </w:div>
    <w:div w:id="334110346">
      <w:bodyDiv w:val="1"/>
      <w:marLeft w:val="0"/>
      <w:marRight w:val="0"/>
      <w:marTop w:val="0"/>
      <w:marBottom w:val="0"/>
      <w:divBdr>
        <w:top w:val="none" w:sz="0" w:space="0" w:color="auto"/>
        <w:left w:val="none" w:sz="0" w:space="0" w:color="auto"/>
        <w:bottom w:val="none" w:sz="0" w:space="0" w:color="auto"/>
        <w:right w:val="none" w:sz="0" w:space="0" w:color="auto"/>
      </w:divBdr>
    </w:div>
    <w:div w:id="378208340">
      <w:bodyDiv w:val="1"/>
      <w:marLeft w:val="0"/>
      <w:marRight w:val="0"/>
      <w:marTop w:val="0"/>
      <w:marBottom w:val="0"/>
      <w:divBdr>
        <w:top w:val="none" w:sz="0" w:space="0" w:color="auto"/>
        <w:left w:val="none" w:sz="0" w:space="0" w:color="auto"/>
        <w:bottom w:val="none" w:sz="0" w:space="0" w:color="auto"/>
        <w:right w:val="none" w:sz="0" w:space="0" w:color="auto"/>
      </w:divBdr>
    </w:div>
    <w:div w:id="443692770">
      <w:bodyDiv w:val="1"/>
      <w:marLeft w:val="0"/>
      <w:marRight w:val="0"/>
      <w:marTop w:val="0"/>
      <w:marBottom w:val="0"/>
      <w:divBdr>
        <w:top w:val="none" w:sz="0" w:space="0" w:color="auto"/>
        <w:left w:val="none" w:sz="0" w:space="0" w:color="auto"/>
        <w:bottom w:val="none" w:sz="0" w:space="0" w:color="auto"/>
        <w:right w:val="none" w:sz="0" w:space="0" w:color="auto"/>
      </w:divBdr>
    </w:div>
    <w:div w:id="494341234">
      <w:bodyDiv w:val="1"/>
      <w:marLeft w:val="0"/>
      <w:marRight w:val="0"/>
      <w:marTop w:val="0"/>
      <w:marBottom w:val="0"/>
      <w:divBdr>
        <w:top w:val="none" w:sz="0" w:space="0" w:color="auto"/>
        <w:left w:val="none" w:sz="0" w:space="0" w:color="auto"/>
        <w:bottom w:val="none" w:sz="0" w:space="0" w:color="auto"/>
        <w:right w:val="none" w:sz="0" w:space="0" w:color="auto"/>
      </w:divBdr>
    </w:div>
    <w:div w:id="547229777">
      <w:bodyDiv w:val="1"/>
      <w:marLeft w:val="0"/>
      <w:marRight w:val="0"/>
      <w:marTop w:val="0"/>
      <w:marBottom w:val="0"/>
      <w:divBdr>
        <w:top w:val="none" w:sz="0" w:space="0" w:color="auto"/>
        <w:left w:val="none" w:sz="0" w:space="0" w:color="auto"/>
        <w:bottom w:val="none" w:sz="0" w:space="0" w:color="auto"/>
        <w:right w:val="none" w:sz="0" w:space="0" w:color="auto"/>
      </w:divBdr>
    </w:div>
    <w:div w:id="603419386">
      <w:bodyDiv w:val="1"/>
      <w:marLeft w:val="0"/>
      <w:marRight w:val="0"/>
      <w:marTop w:val="0"/>
      <w:marBottom w:val="0"/>
      <w:divBdr>
        <w:top w:val="none" w:sz="0" w:space="0" w:color="auto"/>
        <w:left w:val="none" w:sz="0" w:space="0" w:color="auto"/>
        <w:bottom w:val="none" w:sz="0" w:space="0" w:color="auto"/>
        <w:right w:val="none" w:sz="0" w:space="0" w:color="auto"/>
      </w:divBdr>
    </w:div>
    <w:div w:id="668289320">
      <w:bodyDiv w:val="1"/>
      <w:marLeft w:val="0"/>
      <w:marRight w:val="0"/>
      <w:marTop w:val="0"/>
      <w:marBottom w:val="0"/>
      <w:divBdr>
        <w:top w:val="none" w:sz="0" w:space="0" w:color="auto"/>
        <w:left w:val="none" w:sz="0" w:space="0" w:color="auto"/>
        <w:bottom w:val="none" w:sz="0" w:space="0" w:color="auto"/>
        <w:right w:val="none" w:sz="0" w:space="0" w:color="auto"/>
      </w:divBdr>
    </w:div>
    <w:div w:id="671881714">
      <w:bodyDiv w:val="1"/>
      <w:marLeft w:val="0"/>
      <w:marRight w:val="0"/>
      <w:marTop w:val="0"/>
      <w:marBottom w:val="0"/>
      <w:divBdr>
        <w:top w:val="none" w:sz="0" w:space="0" w:color="auto"/>
        <w:left w:val="none" w:sz="0" w:space="0" w:color="auto"/>
        <w:bottom w:val="none" w:sz="0" w:space="0" w:color="auto"/>
        <w:right w:val="none" w:sz="0" w:space="0" w:color="auto"/>
      </w:divBdr>
    </w:div>
    <w:div w:id="714618521">
      <w:bodyDiv w:val="1"/>
      <w:marLeft w:val="0"/>
      <w:marRight w:val="0"/>
      <w:marTop w:val="0"/>
      <w:marBottom w:val="0"/>
      <w:divBdr>
        <w:top w:val="none" w:sz="0" w:space="0" w:color="auto"/>
        <w:left w:val="none" w:sz="0" w:space="0" w:color="auto"/>
        <w:bottom w:val="none" w:sz="0" w:space="0" w:color="auto"/>
        <w:right w:val="none" w:sz="0" w:space="0" w:color="auto"/>
      </w:divBdr>
    </w:div>
    <w:div w:id="724573795">
      <w:bodyDiv w:val="1"/>
      <w:marLeft w:val="0"/>
      <w:marRight w:val="0"/>
      <w:marTop w:val="0"/>
      <w:marBottom w:val="0"/>
      <w:divBdr>
        <w:top w:val="none" w:sz="0" w:space="0" w:color="auto"/>
        <w:left w:val="none" w:sz="0" w:space="0" w:color="auto"/>
        <w:bottom w:val="none" w:sz="0" w:space="0" w:color="auto"/>
        <w:right w:val="none" w:sz="0" w:space="0" w:color="auto"/>
      </w:divBdr>
    </w:div>
    <w:div w:id="830680878">
      <w:bodyDiv w:val="1"/>
      <w:marLeft w:val="0"/>
      <w:marRight w:val="0"/>
      <w:marTop w:val="0"/>
      <w:marBottom w:val="0"/>
      <w:divBdr>
        <w:top w:val="none" w:sz="0" w:space="0" w:color="auto"/>
        <w:left w:val="none" w:sz="0" w:space="0" w:color="auto"/>
        <w:bottom w:val="none" w:sz="0" w:space="0" w:color="auto"/>
        <w:right w:val="none" w:sz="0" w:space="0" w:color="auto"/>
      </w:divBdr>
    </w:div>
    <w:div w:id="917713847">
      <w:bodyDiv w:val="1"/>
      <w:marLeft w:val="0"/>
      <w:marRight w:val="0"/>
      <w:marTop w:val="0"/>
      <w:marBottom w:val="0"/>
      <w:divBdr>
        <w:top w:val="none" w:sz="0" w:space="0" w:color="auto"/>
        <w:left w:val="none" w:sz="0" w:space="0" w:color="auto"/>
        <w:bottom w:val="none" w:sz="0" w:space="0" w:color="auto"/>
        <w:right w:val="none" w:sz="0" w:space="0" w:color="auto"/>
      </w:divBdr>
    </w:div>
    <w:div w:id="940991884">
      <w:bodyDiv w:val="1"/>
      <w:marLeft w:val="0"/>
      <w:marRight w:val="0"/>
      <w:marTop w:val="0"/>
      <w:marBottom w:val="0"/>
      <w:divBdr>
        <w:top w:val="none" w:sz="0" w:space="0" w:color="auto"/>
        <w:left w:val="none" w:sz="0" w:space="0" w:color="auto"/>
        <w:bottom w:val="none" w:sz="0" w:space="0" w:color="auto"/>
        <w:right w:val="none" w:sz="0" w:space="0" w:color="auto"/>
      </w:divBdr>
    </w:div>
    <w:div w:id="942880705">
      <w:bodyDiv w:val="1"/>
      <w:marLeft w:val="0"/>
      <w:marRight w:val="0"/>
      <w:marTop w:val="0"/>
      <w:marBottom w:val="0"/>
      <w:divBdr>
        <w:top w:val="none" w:sz="0" w:space="0" w:color="auto"/>
        <w:left w:val="none" w:sz="0" w:space="0" w:color="auto"/>
        <w:bottom w:val="none" w:sz="0" w:space="0" w:color="auto"/>
        <w:right w:val="none" w:sz="0" w:space="0" w:color="auto"/>
      </w:divBdr>
    </w:div>
    <w:div w:id="959847438">
      <w:bodyDiv w:val="1"/>
      <w:marLeft w:val="0"/>
      <w:marRight w:val="0"/>
      <w:marTop w:val="0"/>
      <w:marBottom w:val="0"/>
      <w:divBdr>
        <w:top w:val="none" w:sz="0" w:space="0" w:color="auto"/>
        <w:left w:val="none" w:sz="0" w:space="0" w:color="auto"/>
        <w:bottom w:val="none" w:sz="0" w:space="0" w:color="auto"/>
        <w:right w:val="none" w:sz="0" w:space="0" w:color="auto"/>
      </w:divBdr>
    </w:div>
    <w:div w:id="1058044022">
      <w:bodyDiv w:val="1"/>
      <w:marLeft w:val="0"/>
      <w:marRight w:val="0"/>
      <w:marTop w:val="0"/>
      <w:marBottom w:val="0"/>
      <w:divBdr>
        <w:top w:val="none" w:sz="0" w:space="0" w:color="auto"/>
        <w:left w:val="none" w:sz="0" w:space="0" w:color="auto"/>
        <w:bottom w:val="none" w:sz="0" w:space="0" w:color="auto"/>
        <w:right w:val="none" w:sz="0" w:space="0" w:color="auto"/>
      </w:divBdr>
    </w:div>
    <w:div w:id="1063649292">
      <w:bodyDiv w:val="1"/>
      <w:marLeft w:val="0"/>
      <w:marRight w:val="0"/>
      <w:marTop w:val="0"/>
      <w:marBottom w:val="0"/>
      <w:divBdr>
        <w:top w:val="none" w:sz="0" w:space="0" w:color="auto"/>
        <w:left w:val="none" w:sz="0" w:space="0" w:color="auto"/>
        <w:bottom w:val="none" w:sz="0" w:space="0" w:color="auto"/>
        <w:right w:val="none" w:sz="0" w:space="0" w:color="auto"/>
      </w:divBdr>
    </w:div>
    <w:div w:id="1097561491">
      <w:bodyDiv w:val="1"/>
      <w:marLeft w:val="0"/>
      <w:marRight w:val="0"/>
      <w:marTop w:val="0"/>
      <w:marBottom w:val="0"/>
      <w:divBdr>
        <w:top w:val="none" w:sz="0" w:space="0" w:color="auto"/>
        <w:left w:val="none" w:sz="0" w:space="0" w:color="auto"/>
        <w:bottom w:val="none" w:sz="0" w:space="0" w:color="auto"/>
        <w:right w:val="none" w:sz="0" w:space="0" w:color="auto"/>
      </w:divBdr>
    </w:div>
    <w:div w:id="1145661811">
      <w:bodyDiv w:val="1"/>
      <w:marLeft w:val="0"/>
      <w:marRight w:val="0"/>
      <w:marTop w:val="0"/>
      <w:marBottom w:val="0"/>
      <w:divBdr>
        <w:top w:val="none" w:sz="0" w:space="0" w:color="auto"/>
        <w:left w:val="none" w:sz="0" w:space="0" w:color="auto"/>
        <w:bottom w:val="none" w:sz="0" w:space="0" w:color="auto"/>
        <w:right w:val="none" w:sz="0" w:space="0" w:color="auto"/>
      </w:divBdr>
    </w:div>
    <w:div w:id="1148984302">
      <w:bodyDiv w:val="1"/>
      <w:marLeft w:val="0"/>
      <w:marRight w:val="0"/>
      <w:marTop w:val="0"/>
      <w:marBottom w:val="0"/>
      <w:divBdr>
        <w:top w:val="none" w:sz="0" w:space="0" w:color="auto"/>
        <w:left w:val="none" w:sz="0" w:space="0" w:color="auto"/>
        <w:bottom w:val="none" w:sz="0" w:space="0" w:color="auto"/>
        <w:right w:val="none" w:sz="0" w:space="0" w:color="auto"/>
      </w:divBdr>
    </w:div>
    <w:div w:id="1161965122">
      <w:bodyDiv w:val="1"/>
      <w:marLeft w:val="0"/>
      <w:marRight w:val="0"/>
      <w:marTop w:val="0"/>
      <w:marBottom w:val="0"/>
      <w:divBdr>
        <w:top w:val="none" w:sz="0" w:space="0" w:color="auto"/>
        <w:left w:val="none" w:sz="0" w:space="0" w:color="auto"/>
        <w:bottom w:val="none" w:sz="0" w:space="0" w:color="auto"/>
        <w:right w:val="none" w:sz="0" w:space="0" w:color="auto"/>
      </w:divBdr>
    </w:div>
    <w:div w:id="1267619274">
      <w:bodyDiv w:val="1"/>
      <w:marLeft w:val="0"/>
      <w:marRight w:val="0"/>
      <w:marTop w:val="0"/>
      <w:marBottom w:val="0"/>
      <w:divBdr>
        <w:top w:val="none" w:sz="0" w:space="0" w:color="auto"/>
        <w:left w:val="none" w:sz="0" w:space="0" w:color="auto"/>
        <w:bottom w:val="none" w:sz="0" w:space="0" w:color="auto"/>
        <w:right w:val="none" w:sz="0" w:space="0" w:color="auto"/>
      </w:divBdr>
    </w:div>
    <w:div w:id="1284851758">
      <w:bodyDiv w:val="1"/>
      <w:marLeft w:val="0"/>
      <w:marRight w:val="0"/>
      <w:marTop w:val="0"/>
      <w:marBottom w:val="0"/>
      <w:divBdr>
        <w:top w:val="none" w:sz="0" w:space="0" w:color="auto"/>
        <w:left w:val="none" w:sz="0" w:space="0" w:color="auto"/>
        <w:bottom w:val="none" w:sz="0" w:space="0" w:color="auto"/>
        <w:right w:val="none" w:sz="0" w:space="0" w:color="auto"/>
      </w:divBdr>
    </w:div>
    <w:div w:id="1368483818">
      <w:bodyDiv w:val="1"/>
      <w:marLeft w:val="0"/>
      <w:marRight w:val="0"/>
      <w:marTop w:val="0"/>
      <w:marBottom w:val="0"/>
      <w:divBdr>
        <w:top w:val="none" w:sz="0" w:space="0" w:color="auto"/>
        <w:left w:val="none" w:sz="0" w:space="0" w:color="auto"/>
        <w:bottom w:val="none" w:sz="0" w:space="0" w:color="auto"/>
        <w:right w:val="none" w:sz="0" w:space="0" w:color="auto"/>
      </w:divBdr>
    </w:div>
    <w:div w:id="1409233420">
      <w:bodyDiv w:val="1"/>
      <w:marLeft w:val="0"/>
      <w:marRight w:val="0"/>
      <w:marTop w:val="0"/>
      <w:marBottom w:val="0"/>
      <w:divBdr>
        <w:top w:val="none" w:sz="0" w:space="0" w:color="auto"/>
        <w:left w:val="none" w:sz="0" w:space="0" w:color="auto"/>
        <w:bottom w:val="none" w:sz="0" w:space="0" w:color="auto"/>
        <w:right w:val="none" w:sz="0" w:space="0" w:color="auto"/>
      </w:divBdr>
    </w:div>
    <w:div w:id="1549876920">
      <w:bodyDiv w:val="1"/>
      <w:marLeft w:val="0"/>
      <w:marRight w:val="0"/>
      <w:marTop w:val="0"/>
      <w:marBottom w:val="0"/>
      <w:divBdr>
        <w:top w:val="none" w:sz="0" w:space="0" w:color="auto"/>
        <w:left w:val="none" w:sz="0" w:space="0" w:color="auto"/>
        <w:bottom w:val="none" w:sz="0" w:space="0" w:color="auto"/>
        <w:right w:val="none" w:sz="0" w:space="0" w:color="auto"/>
      </w:divBdr>
    </w:div>
    <w:div w:id="1577931266">
      <w:bodyDiv w:val="1"/>
      <w:marLeft w:val="0"/>
      <w:marRight w:val="0"/>
      <w:marTop w:val="0"/>
      <w:marBottom w:val="0"/>
      <w:divBdr>
        <w:top w:val="none" w:sz="0" w:space="0" w:color="auto"/>
        <w:left w:val="none" w:sz="0" w:space="0" w:color="auto"/>
        <w:bottom w:val="none" w:sz="0" w:space="0" w:color="auto"/>
        <w:right w:val="none" w:sz="0" w:space="0" w:color="auto"/>
      </w:divBdr>
    </w:div>
    <w:div w:id="1618292526">
      <w:bodyDiv w:val="1"/>
      <w:marLeft w:val="0"/>
      <w:marRight w:val="0"/>
      <w:marTop w:val="0"/>
      <w:marBottom w:val="0"/>
      <w:divBdr>
        <w:top w:val="none" w:sz="0" w:space="0" w:color="auto"/>
        <w:left w:val="none" w:sz="0" w:space="0" w:color="auto"/>
        <w:bottom w:val="none" w:sz="0" w:space="0" w:color="auto"/>
        <w:right w:val="none" w:sz="0" w:space="0" w:color="auto"/>
      </w:divBdr>
    </w:div>
    <w:div w:id="1639921755">
      <w:bodyDiv w:val="1"/>
      <w:marLeft w:val="0"/>
      <w:marRight w:val="0"/>
      <w:marTop w:val="0"/>
      <w:marBottom w:val="0"/>
      <w:divBdr>
        <w:top w:val="none" w:sz="0" w:space="0" w:color="auto"/>
        <w:left w:val="none" w:sz="0" w:space="0" w:color="auto"/>
        <w:bottom w:val="none" w:sz="0" w:space="0" w:color="auto"/>
        <w:right w:val="none" w:sz="0" w:space="0" w:color="auto"/>
      </w:divBdr>
    </w:div>
    <w:div w:id="1688602134">
      <w:bodyDiv w:val="1"/>
      <w:marLeft w:val="0"/>
      <w:marRight w:val="0"/>
      <w:marTop w:val="0"/>
      <w:marBottom w:val="0"/>
      <w:divBdr>
        <w:top w:val="none" w:sz="0" w:space="0" w:color="auto"/>
        <w:left w:val="none" w:sz="0" w:space="0" w:color="auto"/>
        <w:bottom w:val="none" w:sz="0" w:space="0" w:color="auto"/>
        <w:right w:val="none" w:sz="0" w:space="0" w:color="auto"/>
      </w:divBdr>
    </w:div>
    <w:div w:id="1691099188">
      <w:bodyDiv w:val="1"/>
      <w:marLeft w:val="0"/>
      <w:marRight w:val="0"/>
      <w:marTop w:val="0"/>
      <w:marBottom w:val="0"/>
      <w:divBdr>
        <w:top w:val="none" w:sz="0" w:space="0" w:color="auto"/>
        <w:left w:val="none" w:sz="0" w:space="0" w:color="auto"/>
        <w:bottom w:val="none" w:sz="0" w:space="0" w:color="auto"/>
        <w:right w:val="none" w:sz="0" w:space="0" w:color="auto"/>
      </w:divBdr>
    </w:div>
    <w:div w:id="1756365664">
      <w:bodyDiv w:val="1"/>
      <w:marLeft w:val="0"/>
      <w:marRight w:val="0"/>
      <w:marTop w:val="0"/>
      <w:marBottom w:val="0"/>
      <w:divBdr>
        <w:top w:val="none" w:sz="0" w:space="0" w:color="auto"/>
        <w:left w:val="none" w:sz="0" w:space="0" w:color="auto"/>
        <w:bottom w:val="none" w:sz="0" w:space="0" w:color="auto"/>
        <w:right w:val="none" w:sz="0" w:space="0" w:color="auto"/>
      </w:divBdr>
    </w:div>
    <w:div w:id="1768037547">
      <w:bodyDiv w:val="1"/>
      <w:marLeft w:val="0"/>
      <w:marRight w:val="0"/>
      <w:marTop w:val="0"/>
      <w:marBottom w:val="0"/>
      <w:divBdr>
        <w:top w:val="none" w:sz="0" w:space="0" w:color="auto"/>
        <w:left w:val="none" w:sz="0" w:space="0" w:color="auto"/>
        <w:bottom w:val="none" w:sz="0" w:space="0" w:color="auto"/>
        <w:right w:val="none" w:sz="0" w:space="0" w:color="auto"/>
      </w:divBdr>
    </w:div>
    <w:div w:id="1887135018">
      <w:bodyDiv w:val="1"/>
      <w:marLeft w:val="0"/>
      <w:marRight w:val="0"/>
      <w:marTop w:val="0"/>
      <w:marBottom w:val="0"/>
      <w:divBdr>
        <w:top w:val="none" w:sz="0" w:space="0" w:color="auto"/>
        <w:left w:val="none" w:sz="0" w:space="0" w:color="auto"/>
        <w:bottom w:val="none" w:sz="0" w:space="0" w:color="auto"/>
        <w:right w:val="none" w:sz="0" w:space="0" w:color="auto"/>
      </w:divBdr>
    </w:div>
    <w:div w:id="2006125715">
      <w:bodyDiv w:val="1"/>
      <w:marLeft w:val="0"/>
      <w:marRight w:val="0"/>
      <w:marTop w:val="0"/>
      <w:marBottom w:val="0"/>
      <w:divBdr>
        <w:top w:val="none" w:sz="0" w:space="0" w:color="auto"/>
        <w:left w:val="none" w:sz="0" w:space="0" w:color="auto"/>
        <w:bottom w:val="none" w:sz="0" w:space="0" w:color="auto"/>
        <w:right w:val="none" w:sz="0" w:space="0" w:color="auto"/>
      </w:divBdr>
    </w:div>
    <w:div w:id="2053114152">
      <w:bodyDiv w:val="1"/>
      <w:marLeft w:val="0"/>
      <w:marRight w:val="0"/>
      <w:marTop w:val="0"/>
      <w:marBottom w:val="0"/>
      <w:divBdr>
        <w:top w:val="none" w:sz="0" w:space="0" w:color="auto"/>
        <w:left w:val="none" w:sz="0" w:space="0" w:color="auto"/>
        <w:bottom w:val="none" w:sz="0" w:space="0" w:color="auto"/>
        <w:right w:val="none" w:sz="0" w:space="0" w:color="auto"/>
      </w:divBdr>
    </w:div>
    <w:div w:id="2064215387">
      <w:bodyDiv w:val="1"/>
      <w:marLeft w:val="0"/>
      <w:marRight w:val="0"/>
      <w:marTop w:val="0"/>
      <w:marBottom w:val="0"/>
      <w:divBdr>
        <w:top w:val="none" w:sz="0" w:space="0" w:color="auto"/>
        <w:left w:val="none" w:sz="0" w:space="0" w:color="auto"/>
        <w:bottom w:val="none" w:sz="0" w:space="0" w:color="auto"/>
        <w:right w:val="none" w:sz="0" w:space="0" w:color="auto"/>
      </w:divBdr>
    </w:div>
    <w:div w:id="2089813647">
      <w:bodyDiv w:val="1"/>
      <w:marLeft w:val="0"/>
      <w:marRight w:val="0"/>
      <w:marTop w:val="0"/>
      <w:marBottom w:val="0"/>
      <w:divBdr>
        <w:top w:val="none" w:sz="0" w:space="0" w:color="auto"/>
        <w:left w:val="none" w:sz="0" w:space="0" w:color="auto"/>
        <w:bottom w:val="none" w:sz="0" w:space="0" w:color="auto"/>
        <w:right w:val="none" w:sz="0" w:space="0" w:color="auto"/>
      </w:divBdr>
    </w:div>
    <w:div w:id="209270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48.jpeg"/><Relationship Id="rId68" Type="http://schemas.openxmlformats.org/officeDocument/2006/relationships/hyperlink" Target="https://fr.countryeconomy.com/energie-et-environnement/electricite-production/madagascar" TargetMode="External"/><Relationship Id="rId84" Type="http://schemas.openxmlformats.org/officeDocument/2006/relationships/image" Target="media/image54.jpeg"/><Relationship Id="rId89" Type="http://schemas.openxmlformats.org/officeDocument/2006/relationships/footer" Target="footer6.xml"/><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image" Target="media/image22.png"/><Relationship Id="rId37" Type="http://schemas.openxmlformats.org/officeDocument/2006/relationships/image" Target="media/image27.jpeg"/><Relationship Id="rId53" Type="http://schemas.openxmlformats.org/officeDocument/2006/relationships/hyperlink" Target="http://faolex.fao.org/docs/pdf/mad157163.pdf" TargetMode="External"/><Relationship Id="rId58" Type="http://schemas.openxmlformats.org/officeDocument/2006/relationships/image" Target="media/image43.jpeg"/><Relationship Id="rId74" Type="http://schemas.openxmlformats.org/officeDocument/2006/relationships/hyperlink" Target="https://www.ifc.org/wps/wcm/connect/e1c73d0a-6af5-47c8-b4a6-762e250085b9e9/001_Construction%2BMaterials%2BExtraction.pdf?MOD=AJPERES&amp;CVID=jqevBT" TargetMode="External"/><Relationship Id="rId79" Type="http://schemas.openxmlformats.org/officeDocument/2006/relationships/diagramQuickStyle" Target="diagrams/quickStyle1.xml"/><Relationship Id="rId5" Type="http://schemas.openxmlformats.org/officeDocument/2006/relationships/webSettings" Target="webSettings.xml"/><Relationship Id="rId90" Type="http://schemas.openxmlformats.org/officeDocument/2006/relationships/footer" Target="footer7.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hyperlink" Target="https://www.murielle-cahen.com/Li0910vre/https:/www.murielle-cahen.com/publications/p_reseau.asp" TargetMode="External"/><Relationship Id="rId64" Type="http://schemas.openxmlformats.org/officeDocument/2006/relationships/image" Target="media/image49.jpeg"/><Relationship Id="rId69" Type="http://schemas.openxmlformats.org/officeDocument/2006/relationships/hyperlink" Target="https://www.donneesmondiales.com/afrique/madagascar/climat.php" TargetMode="External"/><Relationship Id="rId77" Type="http://schemas.openxmlformats.org/officeDocument/2006/relationships/diagramData" Target="diagrams/data1.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hyperlink" Target="https://www.ifc.org/wps/wcm/connect/7d708218-2a9e-4fcc-879d-9d5051746e7d/4%2BConstruction%2Band%2BDecommissioning.pdf?MOD=AJPERES&amp;CVID=nPtgy6x" TargetMode="External"/><Relationship Id="rId80" Type="http://schemas.openxmlformats.org/officeDocument/2006/relationships/diagramColors" Target="diagrams/colors1.xml"/><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4.jpeg"/><Relationship Id="rId67" Type="http://schemas.openxmlformats.org/officeDocument/2006/relationships/hyperlink" Target="https://docs.google.com/document/d/1ZkVOQe2Xv-dF2J2A_YfVS726JgbpWhUej7z1W-2jKjg/edit%20(TBE%20ONE%202021.)" TargetMode="Externa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header" Target="header2.xml"/><Relationship Id="rId62" Type="http://schemas.openxmlformats.org/officeDocument/2006/relationships/image" Target="media/image47.jpeg"/><Relationship Id="rId70" Type="http://schemas.openxmlformats.org/officeDocument/2006/relationships/hyperlink" Target="https://www.ifc.org/wps/wcm/connect/1d19c1ab-3ef8-42d4-bd6b-cb79648af3fe/2%2BOccupational%2BHealth%2Band%2BSafety.pdf?MOD=AJPERES&amp;CVID=nPtgxyx" TargetMode="External"/><Relationship Id="rId75" Type="http://schemas.openxmlformats.org/officeDocument/2006/relationships/hyperlink" Target="https://www.ifc.org/wps/wcm/connect/eeb82b4a-e9a8-4ad1-9472-f1c766eb67c8/3%2BCommunity%2BHealth%2Band%2BSafety.pdf?MOD=AJPERES&amp;CVID=nPtgxTd" TargetMode="External"/><Relationship Id="rId83" Type="http://schemas.openxmlformats.org/officeDocument/2006/relationships/image" Target="media/image53.png"/><Relationship Id="rId88" Type="http://schemas.openxmlformats.org/officeDocument/2006/relationships/header" Target="header5.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header" Target="header3.xml"/><Relationship Id="rId10" Type="http://schemas.openxmlformats.org/officeDocument/2006/relationships/image" Target="media/image3.emf"/><Relationship Id="rId31" Type="http://schemas.openxmlformats.org/officeDocument/2006/relationships/image" Target="media/image21.png"/><Relationship Id="rId44" Type="http://schemas.openxmlformats.org/officeDocument/2006/relationships/image" Target="media/image34.emf"/><Relationship Id="rId52" Type="http://schemas.openxmlformats.org/officeDocument/2006/relationships/image" Target="media/image42.pn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hyperlink" Target="https://www.ifc.org/wps/wcm/connect/d4260b19-30f2-466d-9c7e-86ac0ece7e89/010_General%2BGuidelines.pdf?MOD=AJPERES&amp;CVID=nPtgz5p&amp;ContentCache=NONE&amp;CACHE=NONE" TargetMode="External"/><Relationship Id="rId78" Type="http://schemas.openxmlformats.org/officeDocument/2006/relationships/diagramLayout" Target="diagrams/layout1.xml"/><Relationship Id="rId81" Type="http://schemas.microsoft.com/office/2007/relationships/diagramDrawing" Target="diagrams/drawing1.xml"/><Relationship Id="rId86"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footer" Target="footer3.xml"/><Relationship Id="rId76" Type="http://schemas.openxmlformats.org/officeDocument/2006/relationships/hyperlink" Target="https://www.ifc.org/wps/wcm/connect/fe8c5e93-d8c0-4944-938c-64046fd79435/004_Electric%2BPower%2BTransmission%2Band%2BDistribution.pdf?MOD=AJPERES&amp;CVID=nPtfpU0&amp;ContentCache=NONE&amp;CACHE=NONE" TargetMode="External"/><Relationship Id="rId7" Type="http://schemas.openxmlformats.org/officeDocument/2006/relationships/endnotes" Target="endnotes.xml"/><Relationship Id="rId71" Type="http://schemas.openxmlformats.org/officeDocument/2006/relationships/hyperlink" Target="https://www.ifc.org/wps/wcm/connect/4a51e9af-9c4b-4106-a8be-567a2a451d09/046_Telecommunications.pdf?MOD=AJPERES&amp;CVID=nPtjDHV&amp;ContentCache=NONE&amp;CACHE=NONE"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1.emf"/><Relationship Id="rId87" Type="http://schemas.openxmlformats.org/officeDocument/2006/relationships/header" Target="header4.xml"/><Relationship Id="rId61" Type="http://schemas.openxmlformats.org/officeDocument/2006/relationships/image" Target="media/image46.jpeg"/><Relationship Id="rId82" Type="http://schemas.openxmlformats.org/officeDocument/2006/relationships/image" Target="media/image52.png"/><Relationship Id="rId19"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www.ifc.org/wps/wcm/connect/fe8c5e93-d8c0-4944-938c-64046fd79435/004_Electric%2BPower%2BTransmission%2Band%2BDistribution.pdf?MOD=AJPERES&amp;CVID=nPtfpU0&amp;ContentCache=NONE&amp;CACHE=NONE" TargetMode="External"/><Relationship Id="rId13" Type="http://schemas.openxmlformats.org/officeDocument/2006/relationships/hyperlink" Target="http://pubdocs.worldbank.org/en/497851495202591233/Managing-Risk-of-Adverse-impact-from-project-labor-influx.pdf" TargetMode="External"/><Relationship Id="rId3" Type="http://schemas.openxmlformats.org/officeDocument/2006/relationships/hyperlink" Target="https://www.ifc.org/wps/wcm/connect/d4260b19-30f2-466d-9c7e-86ac0ece7e89/010_General%2BGuidelines.pdf?MOD=AJPERES&amp;CVID=nPtgz5p&amp;ContentCache=NONE&amp;CACHE=NONE" TargetMode="External"/><Relationship Id="rId7" Type="http://schemas.openxmlformats.org/officeDocument/2006/relationships/hyperlink" Target="%20https://thedocs.worldbank.org/en/doc/497851495202591233-0290022017/original/ManagingRiskofAdverseimpactfromprojectlaborinflux.pdf%20" TargetMode="External"/><Relationship Id="rId12" Type="http://schemas.openxmlformats.org/officeDocument/2006/relationships/hyperlink" Target="https://doi.org/10.4000/norois.9504" TargetMode="External"/><Relationship Id="rId2" Type="http://schemas.openxmlformats.org/officeDocument/2006/relationships/hyperlink" Target="https://fr.countryeconomy.com/energie-et-environnement/electricite-production/madagascar" TargetMode="External"/><Relationship Id="rId1" Type="http://schemas.openxmlformats.org/officeDocument/2006/relationships/hyperlink" Target="https://www" TargetMode="External"/><Relationship Id="rId6" Type="http://schemas.openxmlformats.org/officeDocument/2006/relationships/hyperlink" Target="https://www.ifc.org/wps/wcm/connect/7d708218-2a9e-4fcc-879d-9d5051746e7d/4%2BConstruction%2Band%2BDecommissioning.pdf?MOD=AJPERES&amp;CVID=nPtgy6x" TargetMode="External"/><Relationship Id="rId11" Type="http://schemas.openxmlformats.org/officeDocument/2006/relationships/hyperlink" Target="https://doi.org/10.7202/705552ar" TargetMode="External"/><Relationship Id="rId5" Type="http://schemas.openxmlformats.org/officeDocument/2006/relationships/hyperlink" Target="https://www.ifc.org/wps/wcm/connect/1d19c1ab-3ef8-42d4-bd6b-cb79648af3fe/2%2BOccupational%2BHealth%2Band%2BSafety.pdf?MOD=AJPERES&amp;CVID=nPtgxyx" TargetMode="External"/><Relationship Id="rId10" Type="http://schemas.openxmlformats.org/officeDocument/2006/relationships/hyperlink" Target="https://www.ifc.org/wps/wcm/connect/e1c73d0a-6af5-47c8-b4a6-762e250085b9e9/001_Construction%2BMaterials%2BExtraction.pdf?MOD=AJPERES&amp;CVID=jqevBT" TargetMode="External"/><Relationship Id="rId4" Type="http://schemas.openxmlformats.org/officeDocument/2006/relationships/hyperlink" Target="https://www.ifc.org/wps/wcm/connect/eeb82b4a-e9a8-4ad1-9472-f1c766eb67c8/3%2BCommunity%2BHealth%2Band%2BSafety.pdf?MOD=AJPERES&amp;CVID=nPtgxTd" TargetMode="External"/><Relationship Id="rId9" Type="http://schemas.openxmlformats.org/officeDocument/2006/relationships/hyperlink" Target="https://www.ifc.org/wps/wcm/connect/4a51e9af-9c4b-4106-a8be-567a2a451d09/046_Telecommunications.pdf?MOD=AJPERES&amp;CVID=nPtjDHV&amp;ContentCache=NONE&amp;CACHE=NONE"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D7A82C-E3AF-4ED3-BDE9-5094399476D7}" type="doc">
      <dgm:prSet loTypeId="urn:microsoft.com/office/officeart/2005/8/layout/hProcess9" loCatId="process" qsTypeId="urn:microsoft.com/office/officeart/2005/8/quickstyle/3d1" qsCatId="3D" csTypeId="urn:microsoft.com/office/officeart/2005/8/colors/colorful1" csCatId="colorful" phldr="1"/>
      <dgm:spPr/>
    </dgm:pt>
    <dgm:pt modelId="{5EA6AF15-C5AD-445C-BE08-667222210F97}">
      <dgm:prSet phldrT="[Texte]"/>
      <dgm:spPr>
        <a:xfrm>
          <a:off x="150528" y="464248"/>
          <a:ext cx="1558290" cy="618998"/>
        </a:xfrm>
        <a:prstGeom prst="round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lgn="ctr">
            <a:buNone/>
          </a:pPr>
          <a:r>
            <a:rPr lang="fr-FR">
              <a:solidFill>
                <a:sysClr val="window" lastClr="FFFFFF"/>
              </a:solidFill>
              <a:latin typeface="Calibri" panose="020F0502020204030204"/>
              <a:ea typeface="+mn-ea"/>
              <a:cs typeface="+mn-cs"/>
            </a:rPr>
            <a:t>Protégéer </a:t>
          </a:r>
        </a:p>
      </dgm:t>
    </dgm:pt>
    <dgm:pt modelId="{3D985CD7-8620-4134-A367-ACF53B3AC162}" type="parTrans" cxnId="{BC2403BB-A5C8-4152-9C67-E283397054EB}">
      <dgm:prSet/>
      <dgm:spPr/>
      <dgm:t>
        <a:bodyPr/>
        <a:lstStyle/>
        <a:p>
          <a:pPr algn="ctr"/>
          <a:endParaRPr lang="fr-FR"/>
        </a:p>
      </dgm:t>
    </dgm:pt>
    <dgm:pt modelId="{EB4BC0F7-B310-4C03-AB66-1603B6076E75}" type="sibTrans" cxnId="{BC2403BB-A5C8-4152-9C67-E283397054EB}">
      <dgm:prSet/>
      <dgm:spPr/>
      <dgm:t>
        <a:bodyPr/>
        <a:lstStyle/>
        <a:p>
          <a:pPr algn="ctr"/>
          <a:endParaRPr lang="fr-FR"/>
        </a:p>
      </dgm:t>
    </dgm:pt>
    <dgm:pt modelId="{7B1B1365-A941-4871-9E08-F156D0EDB97F}">
      <dgm:prSet phldrT="[Texte]"/>
      <dgm:spPr>
        <a:xfrm>
          <a:off x="1818004" y="464248"/>
          <a:ext cx="1558290" cy="618998"/>
        </a:xfrm>
        <a:prstGeom prst="roundRect">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lgn="ctr">
            <a:buNone/>
          </a:pPr>
          <a:r>
            <a:rPr lang="fr-FR">
              <a:solidFill>
                <a:sysClr val="window" lastClr="FFFFFF"/>
              </a:solidFill>
              <a:latin typeface="Calibri" panose="020F0502020204030204"/>
              <a:ea typeface="+mn-ea"/>
              <a:cs typeface="+mn-cs"/>
            </a:rPr>
            <a:t>Alerter</a:t>
          </a:r>
        </a:p>
      </dgm:t>
    </dgm:pt>
    <dgm:pt modelId="{AE3890AD-B87C-48A1-BE1A-A753569B90B5}" type="parTrans" cxnId="{82336FC2-774A-4F60-8838-0C742372E2B9}">
      <dgm:prSet/>
      <dgm:spPr/>
      <dgm:t>
        <a:bodyPr/>
        <a:lstStyle/>
        <a:p>
          <a:pPr algn="ctr"/>
          <a:endParaRPr lang="fr-FR"/>
        </a:p>
      </dgm:t>
    </dgm:pt>
    <dgm:pt modelId="{0FBD9D3C-CFAB-4F5C-951C-74BA7C1E399A}" type="sibTrans" cxnId="{82336FC2-774A-4F60-8838-0C742372E2B9}">
      <dgm:prSet/>
      <dgm:spPr/>
      <dgm:t>
        <a:bodyPr/>
        <a:lstStyle/>
        <a:p>
          <a:pPr algn="ctr"/>
          <a:endParaRPr lang="fr-FR"/>
        </a:p>
      </dgm:t>
    </dgm:pt>
    <dgm:pt modelId="{54546B11-3F7A-445D-AD19-EF498BCAFAE8}">
      <dgm:prSet phldrT="[Texte]"/>
      <dgm:spPr>
        <a:xfrm>
          <a:off x="3485481" y="464248"/>
          <a:ext cx="1558290" cy="618998"/>
        </a:xfrm>
        <a:prstGeom prst="roundRect">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lgn="ctr">
            <a:buNone/>
          </a:pPr>
          <a:r>
            <a:rPr lang="fr-FR">
              <a:solidFill>
                <a:sysClr val="window" lastClr="FFFFFF"/>
              </a:solidFill>
              <a:latin typeface="Calibri" panose="020F0502020204030204"/>
              <a:ea typeface="+mn-ea"/>
              <a:cs typeface="+mn-cs"/>
            </a:rPr>
            <a:t>Secourir </a:t>
          </a:r>
        </a:p>
      </dgm:t>
    </dgm:pt>
    <dgm:pt modelId="{D5DF6A77-91B6-4556-81A8-91CB30F18D85}" type="parTrans" cxnId="{39C8BCD8-9DD1-4FFD-B328-53884E68ADD5}">
      <dgm:prSet/>
      <dgm:spPr/>
      <dgm:t>
        <a:bodyPr/>
        <a:lstStyle/>
        <a:p>
          <a:pPr algn="ctr"/>
          <a:endParaRPr lang="fr-FR"/>
        </a:p>
      </dgm:t>
    </dgm:pt>
    <dgm:pt modelId="{5536348D-F521-4F25-BE2D-D14EFFB6C106}" type="sibTrans" cxnId="{39C8BCD8-9DD1-4FFD-B328-53884E68ADD5}">
      <dgm:prSet/>
      <dgm:spPr/>
      <dgm:t>
        <a:bodyPr/>
        <a:lstStyle/>
        <a:p>
          <a:pPr algn="ctr"/>
          <a:endParaRPr lang="fr-FR"/>
        </a:p>
      </dgm:t>
    </dgm:pt>
    <dgm:pt modelId="{BC5974ED-FD5D-4CF7-952D-5AD4B2334C4D}" type="pres">
      <dgm:prSet presAssocID="{91D7A82C-E3AF-4ED3-BDE9-5094399476D7}" presName="CompostProcess" presStyleCnt="0">
        <dgm:presLayoutVars>
          <dgm:dir/>
          <dgm:resizeHandles val="exact"/>
        </dgm:presLayoutVars>
      </dgm:prSet>
      <dgm:spPr/>
    </dgm:pt>
    <dgm:pt modelId="{3E1E54C5-5D71-47BB-B8DC-CB7D86B65C97}" type="pres">
      <dgm:prSet presAssocID="{91D7A82C-E3AF-4ED3-BDE9-5094399476D7}" presName="arrow" presStyleLbl="bgShp" presStyleIdx="0" presStyleCnt="1"/>
      <dgm:spPr>
        <a:xfrm>
          <a:off x="389572" y="0"/>
          <a:ext cx="4415155" cy="1547495"/>
        </a:xfrm>
        <a:prstGeom prst="rightArrow">
          <a:avLst/>
        </a:prstGeom>
        <a:gradFill rotWithShape="0">
          <a:gsLst>
            <a:gs pos="0">
              <a:srgbClr val="ED7D31">
                <a:tint val="40000"/>
                <a:hueOff val="0"/>
                <a:satOff val="0"/>
                <a:lumOff val="0"/>
                <a:alphaOff val="0"/>
                <a:satMod val="103000"/>
                <a:lumMod val="102000"/>
                <a:tint val="94000"/>
              </a:srgbClr>
            </a:gs>
            <a:gs pos="50000">
              <a:srgbClr val="ED7D31">
                <a:tint val="40000"/>
                <a:hueOff val="0"/>
                <a:satOff val="0"/>
                <a:lumOff val="0"/>
                <a:alphaOff val="0"/>
                <a:satMod val="110000"/>
                <a:lumMod val="100000"/>
                <a:shade val="100000"/>
              </a:srgbClr>
            </a:gs>
            <a:gs pos="100000">
              <a:srgbClr val="ED7D31">
                <a:tint val="40000"/>
                <a:hueOff val="0"/>
                <a:satOff val="0"/>
                <a:lumOff val="0"/>
                <a:alphaOff val="0"/>
                <a:lumMod val="99000"/>
                <a:satMod val="120000"/>
                <a:shade val="78000"/>
              </a:srgbClr>
            </a:gs>
          </a:gsLst>
          <a:lin ang="5400000" scaled="0"/>
        </a:gradFill>
        <a:ln>
          <a:noFill/>
        </a:ln>
        <a:effectLst/>
        <a:scene3d>
          <a:camera prst="orthographicFront"/>
          <a:lightRig rig="flat" dir="t"/>
        </a:scene3d>
        <a:sp3d z="-190500" extrusionH="12700" prstMaterial="plastic">
          <a:bevelT w="50800" h="50800"/>
        </a:sp3d>
      </dgm:spPr>
    </dgm:pt>
    <dgm:pt modelId="{058B5301-158A-4519-ACC0-BC8BC585D9EB}" type="pres">
      <dgm:prSet presAssocID="{91D7A82C-E3AF-4ED3-BDE9-5094399476D7}" presName="linearProcess" presStyleCnt="0"/>
      <dgm:spPr/>
    </dgm:pt>
    <dgm:pt modelId="{D88D07FA-F1C9-4B0B-9A8A-A6853AE89D01}" type="pres">
      <dgm:prSet presAssocID="{5EA6AF15-C5AD-445C-BE08-667222210F97}" presName="textNode" presStyleLbl="node1" presStyleIdx="0" presStyleCnt="3">
        <dgm:presLayoutVars>
          <dgm:bulletEnabled val="1"/>
        </dgm:presLayoutVars>
      </dgm:prSet>
      <dgm:spPr>
        <a:prstGeom prst="roundRect">
          <a:avLst/>
        </a:prstGeom>
      </dgm:spPr>
    </dgm:pt>
    <dgm:pt modelId="{6BCB8659-A227-4E34-935A-D0306C445DEA}" type="pres">
      <dgm:prSet presAssocID="{EB4BC0F7-B310-4C03-AB66-1603B6076E75}" presName="sibTrans" presStyleCnt="0"/>
      <dgm:spPr/>
    </dgm:pt>
    <dgm:pt modelId="{668D3852-B89F-4466-B101-34DED3DD2129}" type="pres">
      <dgm:prSet presAssocID="{7B1B1365-A941-4871-9E08-F156D0EDB97F}" presName="textNode" presStyleLbl="node1" presStyleIdx="1" presStyleCnt="3">
        <dgm:presLayoutVars>
          <dgm:bulletEnabled val="1"/>
        </dgm:presLayoutVars>
      </dgm:prSet>
      <dgm:spPr>
        <a:prstGeom prst="roundRect">
          <a:avLst/>
        </a:prstGeom>
      </dgm:spPr>
    </dgm:pt>
    <dgm:pt modelId="{E3D4983C-85D6-4685-B15E-627C299E3D1A}" type="pres">
      <dgm:prSet presAssocID="{0FBD9D3C-CFAB-4F5C-951C-74BA7C1E399A}" presName="sibTrans" presStyleCnt="0"/>
      <dgm:spPr/>
    </dgm:pt>
    <dgm:pt modelId="{5D1057EE-078D-4B81-B6A1-38967C00BBFD}" type="pres">
      <dgm:prSet presAssocID="{54546B11-3F7A-445D-AD19-EF498BCAFAE8}" presName="textNode" presStyleLbl="node1" presStyleIdx="2" presStyleCnt="3">
        <dgm:presLayoutVars>
          <dgm:bulletEnabled val="1"/>
        </dgm:presLayoutVars>
      </dgm:prSet>
      <dgm:spPr>
        <a:prstGeom prst="roundRect">
          <a:avLst/>
        </a:prstGeom>
      </dgm:spPr>
    </dgm:pt>
  </dgm:ptLst>
  <dgm:cxnLst>
    <dgm:cxn modelId="{C3EDDA0F-7E32-492F-96D4-9C916B2FED61}" type="presOf" srcId="{54546B11-3F7A-445D-AD19-EF498BCAFAE8}" destId="{5D1057EE-078D-4B81-B6A1-38967C00BBFD}" srcOrd="0" destOrd="0" presId="urn:microsoft.com/office/officeart/2005/8/layout/hProcess9"/>
    <dgm:cxn modelId="{04D2B024-6A79-4384-B940-E56EEBE9B2C7}" type="presOf" srcId="{91D7A82C-E3AF-4ED3-BDE9-5094399476D7}" destId="{BC5974ED-FD5D-4CF7-952D-5AD4B2334C4D}" srcOrd="0" destOrd="0" presId="urn:microsoft.com/office/officeart/2005/8/layout/hProcess9"/>
    <dgm:cxn modelId="{BC2403BB-A5C8-4152-9C67-E283397054EB}" srcId="{91D7A82C-E3AF-4ED3-BDE9-5094399476D7}" destId="{5EA6AF15-C5AD-445C-BE08-667222210F97}" srcOrd="0" destOrd="0" parTransId="{3D985CD7-8620-4134-A367-ACF53B3AC162}" sibTransId="{EB4BC0F7-B310-4C03-AB66-1603B6076E75}"/>
    <dgm:cxn modelId="{188BE7BF-9979-4D6C-857D-815D8689CD0B}" type="presOf" srcId="{5EA6AF15-C5AD-445C-BE08-667222210F97}" destId="{D88D07FA-F1C9-4B0B-9A8A-A6853AE89D01}" srcOrd="0" destOrd="0" presId="urn:microsoft.com/office/officeart/2005/8/layout/hProcess9"/>
    <dgm:cxn modelId="{82336FC2-774A-4F60-8838-0C742372E2B9}" srcId="{91D7A82C-E3AF-4ED3-BDE9-5094399476D7}" destId="{7B1B1365-A941-4871-9E08-F156D0EDB97F}" srcOrd="1" destOrd="0" parTransId="{AE3890AD-B87C-48A1-BE1A-A753569B90B5}" sibTransId="{0FBD9D3C-CFAB-4F5C-951C-74BA7C1E399A}"/>
    <dgm:cxn modelId="{39C8BCD8-9DD1-4FFD-B328-53884E68ADD5}" srcId="{91D7A82C-E3AF-4ED3-BDE9-5094399476D7}" destId="{54546B11-3F7A-445D-AD19-EF498BCAFAE8}" srcOrd="2" destOrd="0" parTransId="{D5DF6A77-91B6-4556-81A8-91CB30F18D85}" sibTransId="{5536348D-F521-4F25-BE2D-D14EFFB6C106}"/>
    <dgm:cxn modelId="{D60AAEF8-74DC-4654-B5A7-6E89C2DFB594}" type="presOf" srcId="{7B1B1365-A941-4871-9E08-F156D0EDB97F}" destId="{668D3852-B89F-4466-B101-34DED3DD2129}" srcOrd="0" destOrd="0" presId="urn:microsoft.com/office/officeart/2005/8/layout/hProcess9"/>
    <dgm:cxn modelId="{D15D5D63-1EF9-40E8-AF4C-3B25A9CBC5F2}" type="presParOf" srcId="{BC5974ED-FD5D-4CF7-952D-5AD4B2334C4D}" destId="{3E1E54C5-5D71-47BB-B8DC-CB7D86B65C97}" srcOrd="0" destOrd="0" presId="urn:microsoft.com/office/officeart/2005/8/layout/hProcess9"/>
    <dgm:cxn modelId="{5EFBCB85-5C04-402D-8EE8-C83EB4DA7D9C}" type="presParOf" srcId="{BC5974ED-FD5D-4CF7-952D-5AD4B2334C4D}" destId="{058B5301-158A-4519-ACC0-BC8BC585D9EB}" srcOrd="1" destOrd="0" presId="urn:microsoft.com/office/officeart/2005/8/layout/hProcess9"/>
    <dgm:cxn modelId="{1F6964EA-3EB4-488C-9D75-A26ED2CD4098}" type="presParOf" srcId="{058B5301-158A-4519-ACC0-BC8BC585D9EB}" destId="{D88D07FA-F1C9-4B0B-9A8A-A6853AE89D01}" srcOrd="0" destOrd="0" presId="urn:microsoft.com/office/officeart/2005/8/layout/hProcess9"/>
    <dgm:cxn modelId="{99FD0136-6EEA-4FDC-BECF-94CF8B7CB998}" type="presParOf" srcId="{058B5301-158A-4519-ACC0-BC8BC585D9EB}" destId="{6BCB8659-A227-4E34-935A-D0306C445DEA}" srcOrd="1" destOrd="0" presId="urn:microsoft.com/office/officeart/2005/8/layout/hProcess9"/>
    <dgm:cxn modelId="{83CE2D9E-AE08-40B1-9FAA-DC0B3849A58F}" type="presParOf" srcId="{058B5301-158A-4519-ACC0-BC8BC585D9EB}" destId="{668D3852-B89F-4466-B101-34DED3DD2129}" srcOrd="2" destOrd="0" presId="urn:microsoft.com/office/officeart/2005/8/layout/hProcess9"/>
    <dgm:cxn modelId="{739DDC2B-BA8B-4470-8BCA-889C90241E38}" type="presParOf" srcId="{058B5301-158A-4519-ACC0-BC8BC585D9EB}" destId="{E3D4983C-85D6-4685-B15E-627C299E3D1A}" srcOrd="3" destOrd="0" presId="urn:microsoft.com/office/officeart/2005/8/layout/hProcess9"/>
    <dgm:cxn modelId="{36D05044-36F4-4B9D-A755-C674FDADAE44}" type="presParOf" srcId="{058B5301-158A-4519-ACC0-BC8BC585D9EB}" destId="{5D1057EE-078D-4B81-B6A1-38967C00BBFD}" srcOrd="4" destOrd="0" presId="urn:microsoft.com/office/officeart/2005/8/layout/hProcess9"/>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1E54C5-5D71-47BB-B8DC-CB7D86B65C97}">
      <dsp:nvSpPr>
        <dsp:cNvPr id="0" name=""/>
        <dsp:cNvSpPr/>
      </dsp:nvSpPr>
      <dsp:spPr>
        <a:xfrm>
          <a:off x="389334" y="0"/>
          <a:ext cx="4412456" cy="1549400"/>
        </a:xfrm>
        <a:prstGeom prst="rightArrow">
          <a:avLst/>
        </a:prstGeom>
        <a:gradFill rotWithShape="0">
          <a:gsLst>
            <a:gs pos="0">
              <a:srgbClr val="ED7D31">
                <a:tint val="40000"/>
                <a:hueOff val="0"/>
                <a:satOff val="0"/>
                <a:lumOff val="0"/>
                <a:alphaOff val="0"/>
                <a:satMod val="103000"/>
                <a:lumMod val="102000"/>
                <a:tint val="94000"/>
              </a:srgbClr>
            </a:gs>
            <a:gs pos="50000">
              <a:srgbClr val="ED7D31">
                <a:tint val="40000"/>
                <a:hueOff val="0"/>
                <a:satOff val="0"/>
                <a:lumOff val="0"/>
                <a:alphaOff val="0"/>
                <a:satMod val="110000"/>
                <a:lumMod val="100000"/>
                <a:shade val="100000"/>
              </a:srgbClr>
            </a:gs>
            <a:gs pos="100000">
              <a:srgbClr val="ED7D31">
                <a:tint val="40000"/>
                <a:hueOff val="0"/>
                <a:satOff val="0"/>
                <a:lumOff val="0"/>
                <a:alphaOff val="0"/>
                <a:lumMod val="99000"/>
                <a:satMod val="120000"/>
                <a:shade val="78000"/>
              </a:srgb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D88D07FA-F1C9-4B0B-9A8A-A6853AE89D01}">
      <dsp:nvSpPr>
        <dsp:cNvPr id="0" name=""/>
        <dsp:cNvSpPr/>
      </dsp:nvSpPr>
      <dsp:spPr>
        <a:xfrm>
          <a:off x="150436" y="464820"/>
          <a:ext cx="1557337" cy="619760"/>
        </a:xfrm>
        <a:prstGeom prst="round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fr-FR" sz="2500" kern="1200">
              <a:solidFill>
                <a:sysClr val="window" lastClr="FFFFFF"/>
              </a:solidFill>
              <a:latin typeface="Calibri" panose="020F0502020204030204"/>
              <a:ea typeface="+mn-ea"/>
              <a:cs typeface="+mn-cs"/>
            </a:rPr>
            <a:t>Protégéer </a:t>
          </a:r>
        </a:p>
      </dsp:txBody>
      <dsp:txXfrm>
        <a:off x="180690" y="495074"/>
        <a:ext cx="1496829" cy="559252"/>
      </dsp:txXfrm>
    </dsp:sp>
    <dsp:sp modelId="{668D3852-B89F-4466-B101-34DED3DD2129}">
      <dsp:nvSpPr>
        <dsp:cNvPr id="0" name=""/>
        <dsp:cNvSpPr/>
      </dsp:nvSpPr>
      <dsp:spPr>
        <a:xfrm>
          <a:off x="1816893" y="464820"/>
          <a:ext cx="1557337" cy="619760"/>
        </a:xfrm>
        <a:prstGeom prst="roundRect">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fr-FR" sz="2500" kern="1200">
              <a:solidFill>
                <a:sysClr val="window" lastClr="FFFFFF"/>
              </a:solidFill>
              <a:latin typeface="Calibri" panose="020F0502020204030204"/>
              <a:ea typeface="+mn-ea"/>
              <a:cs typeface="+mn-cs"/>
            </a:rPr>
            <a:t>Alerter</a:t>
          </a:r>
        </a:p>
      </dsp:txBody>
      <dsp:txXfrm>
        <a:off x="1847147" y="495074"/>
        <a:ext cx="1496829" cy="559252"/>
      </dsp:txXfrm>
    </dsp:sp>
    <dsp:sp modelId="{5D1057EE-078D-4B81-B6A1-38967C00BBFD}">
      <dsp:nvSpPr>
        <dsp:cNvPr id="0" name=""/>
        <dsp:cNvSpPr/>
      </dsp:nvSpPr>
      <dsp:spPr>
        <a:xfrm>
          <a:off x="3483351" y="464820"/>
          <a:ext cx="1557337" cy="619760"/>
        </a:xfrm>
        <a:prstGeom prst="roundRect">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fr-FR" sz="2500" kern="1200">
              <a:solidFill>
                <a:sysClr val="window" lastClr="FFFFFF"/>
              </a:solidFill>
              <a:latin typeface="Calibri" panose="020F0502020204030204"/>
              <a:ea typeface="+mn-ea"/>
              <a:cs typeface="+mn-cs"/>
            </a:rPr>
            <a:t>Secourir </a:t>
          </a:r>
        </a:p>
      </dsp:txBody>
      <dsp:txXfrm>
        <a:off x="3513605" y="495074"/>
        <a:ext cx="1496829" cy="55925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02990-06E5-48D5-8AB2-E5F97E8D9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159685</Words>
  <Characters>910211</Characters>
  <Application>Microsoft Office Word</Application>
  <DocSecurity>0</DocSecurity>
  <Lines>7585</Lines>
  <Paragraphs>2135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1067761</CharactersWithSpaces>
  <SharedDoc>false</SharedDoc>
  <HLinks>
    <vt:vector size="2730" baseType="variant">
      <vt:variant>
        <vt:i4>1179705</vt:i4>
      </vt:variant>
      <vt:variant>
        <vt:i4>3095</vt:i4>
      </vt:variant>
      <vt:variant>
        <vt:i4>0</vt:i4>
      </vt:variant>
      <vt:variant>
        <vt:i4>5</vt:i4>
      </vt:variant>
      <vt:variant>
        <vt:lpwstr/>
      </vt:variant>
      <vt:variant>
        <vt:lpwstr>_Toc124140864</vt:lpwstr>
      </vt:variant>
      <vt:variant>
        <vt:i4>1179705</vt:i4>
      </vt:variant>
      <vt:variant>
        <vt:i4>3089</vt:i4>
      </vt:variant>
      <vt:variant>
        <vt:i4>0</vt:i4>
      </vt:variant>
      <vt:variant>
        <vt:i4>5</vt:i4>
      </vt:variant>
      <vt:variant>
        <vt:lpwstr/>
      </vt:variant>
      <vt:variant>
        <vt:lpwstr>_Toc124140863</vt:lpwstr>
      </vt:variant>
      <vt:variant>
        <vt:i4>1179705</vt:i4>
      </vt:variant>
      <vt:variant>
        <vt:i4>3083</vt:i4>
      </vt:variant>
      <vt:variant>
        <vt:i4>0</vt:i4>
      </vt:variant>
      <vt:variant>
        <vt:i4>5</vt:i4>
      </vt:variant>
      <vt:variant>
        <vt:lpwstr/>
      </vt:variant>
      <vt:variant>
        <vt:lpwstr>_Toc124140862</vt:lpwstr>
      </vt:variant>
      <vt:variant>
        <vt:i4>1179705</vt:i4>
      </vt:variant>
      <vt:variant>
        <vt:i4>3077</vt:i4>
      </vt:variant>
      <vt:variant>
        <vt:i4>0</vt:i4>
      </vt:variant>
      <vt:variant>
        <vt:i4>5</vt:i4>
      </vt:variant>
      <vt:variant>
        <vt:lpwstr/>
      </vt:variant>
      <vt:variant>
        <vt:lpwstr>_Toc124140861</vt:lpwstr>
      </vt:variant>
      <vt:variant>
        <vt:i4>1179705</vt:i4>
      </vt:variant>
      <vt:variant>
        <vt:i4>3071</vt:i4>
      </vt:variant>
      <vt:variant>
        <vt:i4>0</vt:i4>
      </vt:variant>
      <vt:variant>
        <vt:i4>5</vt:i4>
      </vt:variant>
      <vt:variant>
        <vt:lpwstr/>
      </vt:variant>
      <vt:variant>
        <vt:lpwstr>_Toc124140860</vt:lpwstr>
      </vt:variant>
      <vt:variant>
        <vt:i4>1114169</vt:i4>
      </vt:variant>
      <vt:variant>
        <vt:i4>3065</vt:i4>
      </vt:variant>
      <vt:variant>
        <vt:i4>0</vt:i4>
      </vt:variant>
      <vt:variant>
        <vt:i4>5</vt:i4>
      </vt:variant>
      <vt:variant>
        <vt:lpwstr/>
      </vt:variant>
      <vt:variant>
        <vt:lpwstr>_Toc124140859</vt:lpwstr>
      </vt:variant>
      <vt:variant>
        <vt:i4>1114169</vt:i4>
      </vt:variant>
      <vt:variant>
        <vt:i4>3059</vt:i4>
      </vt:variant>
      <vt:variant>
        <vt:i4>0</vt:i4>
      </vt:variant>
      <vt:variant>
        <vt:i4>5</vt:i4>
      </vt:variant>
      <vt:variant>
        <vt:lpwstr/>
      </vt:variant>
      <vt:variant>
        <vt:lpwstr>_Toc124140858</vt:lpwstr>
      </vt:variant>
      <vt:variant>
        <vt:i4>1835062</vt:i4>
      </vt:variant>
      <vt:variant>
        <vt:i4>3050</vt:i4>
      </vt:variant>
      <vt:variant>
        <vt:i4>0</vt:i4>
      </vt:variant>
      <vt:variant>
        <vt:i4>5</vt:i4>
      </vt:variant>
      <vt:variant>
        <vt:lpwstr/>
      </vt:variant>
      <vt:variant>
        <vt:lpwstr>_Toc124178406</vt:lpwstr>
      </vt:variant>
      <vt:variant>
        <vt:i4>1835062</vt:i4>
      </vt:variant>
      <vt:variant>
        <vt:i4>3044</vt:i4>
      </vt:variant>
      <vt:variant>
        <vt:i4>0</vt:i4>
      </vt:variant>
      <vt:variant>
        <vt:i4>5</vt:i4>
      </vt:variant>
      <vt:variant>
        <vt:lpwstr/>
      </vt:variant>
      <vt:variant>
        <vt:lpwstr>_Toc124178405</vt:lpwstr>
      </vt:variant>
      <vt:variant>
        <vt:i4>1835062</vt:i4>
      </vt:variant>
      <vt:variant>
        <vt:i4>3038</vt:i4>
      </vt:variant>
      <vt:variant>
        <vt:i4>0</vt:i4>
      </vt:variant>
      <vt:variant>
        <vt:i4>5</vt:i4>
      </vt:variant>
      <vt:variant>
        <vt:lpwstr/>
      </vt:variant>
      <vt:variant>
        <vt:lpwstr>_Toc124178404</vt:lpwstr>
      </vt:variant>
      <vt:variant>
        <vt:i4>1835062</vt:i4>
      </vt:variant>
      <vt:variant>
        <vt:i4>3032</vt:i4>
      </vt:variant>
      <vt:variant>
        <vt:i4>0</vt:i4>
      </vt:variant>
      <vt:variant>
        <vt:i4>5</vt:i4>
      </vt:variant>
      <vt:variant>
        <vt:lpwstr/>
      </vt:variant>
      <vt:variant>
        <vt:lpwstr>_Toc124178403</vt:lpwstr>
      </vt:variant>
      <vt:variant>
        <vt:i4>1507389</vt:i4>
      </vt:variant>
      <vt:variant>
        <vt:i4>3023</vt:i4>
      </vt:variant>
      <vt:variant>
        <vt:i4>0</vt:i4>
      </vt:variant>
      <vt:variant>
        <vt:i4>5</vt:i4>
      </vt:variant>
      <vt:variant>
        <vt:lpwstr/>
      </vt:variant>
      <vt:variant>
        <vt:lpwstr>_Toc125385145</vt:lpwstr>
      </vt:variant>
      <vt:variant>
        <vt:i4>1507389</vt:i4>
      </vt:variant>
      <vt:variant>
        <vt:i4>3017</vt:i4>
      </vt:variant>
      <vt:variant>
        <vt:i4>0</vt:i4>
      </vt:variant>
      <vt:variant>
        <vt:i4>5</vt:i4>
      </vt:variant>
      <vt:variant>
        <vt:lpwstr/>
      </vt:variant>
      <vt:variant>
        <vt:lpwstr>_Toc125385144</vt:lpwstr>
      </vt:variant>
      <vt:variant>
        <vt:i4>1507389</vt:i4>
      </vt:variant>
      <vt:variant>
        <vt:i4>3011</vt:i4>
      </vt:variant>
      <vt:variant>
        <vt:i4>0</vt:i4>
      </vt:variant>
      <vt:variant>
        <vt:i4>5</vt:i4>
      </vt:variant>
      <vt:variant>
        <vt:lpwstr/>
      </vt:variant>
      <vt:variant>
        <vt:lpwstr>_Toc125385143</vt:lpwstr>
      </vt:variant>
      <vt:variant>
        <vt:i4>1507389</vt:i4>
      </vt:variant>
      <vt:variant>
        <vt:i4>3005</vt:i4>
      </vt:variant>
      <vt:variant>
        <vt:i4>0</vt:i4>
      </vt:variant>
      <vt:variant>
        <vt:i4>5</vt:i4>
      </vt:variant>
      <vt:variant>
        <vt:lpwstr/>
      </vt:variant>
      <vt:variant>
        <vt:lpwstr>_Toc125385142</vt:lpwstr>
      </vt:variant>
      <vt:variant>
        <vt:i4>1507389</vt:i4>
      </vt:variant>
      <vt:variant>
        <vt:i4>2999</vt:i4>
      </vt:variant>
      <vt:variant>
        <vt:i4>0</vt:i4>
      </vt:variant>
      <vt:variant>
        <vt:i4>5</vt:i4>
      </vt:variant>
      <vt:variant>
        <vt:lpwstr/>
      </vt:variant>
      <vt:variant>
        <vt:lpwstr>_Toc125385141</vt:lpwstr>
      </vt:variant>
      <vt:variant>
        <vt:i4>1507389</vt:i4>
      </vt:variant>
      <vt:variant>
        <vt:i4>2993</vt:i4>
      </vt:variant>
      <vt:variant>
        <vt:i4>0</vt:i4>
      </vt:variant>
      <vt:variant>
        <vt:i4>5</vt:i4>
      </vt:variant>
      <vt:variant>
        <vt:lpwstr/>
      </vt:variant>
      <vt:variant>
        <vt:lpwstr>_Toc125385140</vt:lpwstr>
      </vt:variant>
      <vt:variant>
        <vt:i4>1048637</vt:i4>
      </vt:variant>
      <vt:variant>
        <vt:i4>2987</vt:i4>
      </vt:variant>
      <vt:variant>
        <vt:i4>0</vt:i4>
      </vt:variant>
      <vt:variant>
        <vt:i4>5</vt:i4>
      </vt:variant>
      <vt:variant>
        <vt:lpwstr/>
      </vt:variant>
      <vt:variant>
        <vt:lpwstr>_Toc125385139</vt:lpwstr>
      </vt:variant>
      <vt:variant>
        <vt:i4>1048637</vt:i4>
      </vt:variant>
      <vt:variant>
        <vt:i4>2981</vt:i4>
      </vt:variant>
      <vt:variant>
        <vt:i4>0</vt:i4>
      </vt:variant>
      <vt:variant>
        <vt:i4>5</vt:i4>
      </vt:variant>
      <vt:variant>
        <vt:lpwstr/>
      </vt:variant>
      <vt:variant>
        <vt:lpwstr>_Toc125385138</vt:lpwstr>
      </vt:variant>
      <vt:variant>
        <vt:i4>1048637</vt:i4>
      </vt:variant>
      <vt:variant>
        <vt:i4>2975</vt:i4>
      </vt:variant>
      <vt:variant>
        <vt:i4>0</vt:i4>
      </vt:variant>
      <vt:variant>
        <vt:i4>5</vt:i4>
      </vt:variant>
      <vt:variant>
        <vt:lpwstr/>
      </vt:variant>
      <vt:variant>
        <vt:lpwstr>_Toc125385137</vt:lpwstr>
      </vt:variant>
      <vt:variant>
        <vt:i4>1048637</vt:i4>
      </vt:variant>
      <vt:variant>
        <vt:i4>2969</vt:i4>
      </vt:variant>
      <vt:variant>
        <vt:i4>0</vt:i4>
      </vt:variant>
      <vt:variant>
        <vt:i4>5</vt:i4>
      </vt:variant>
      <vt:variant>
        <vt:lpwstr/>
      </vt:variant>
      <vt:variant>
        <vt:lpwstr>_Toc125385136</vt:lpwstr>
      </vt:variant>
      <vt:variant>
        <vt:i4>1048637</vt:i4>
      </vt:variant>
      <vt:variant>
        <vt:i4>2963</vt:i4>
      </vt:variant>
      <vt:variant>
        <vt:i4>0</vt:i4>
      </vt:variant>
      <vt:variant>
        <vt:i4>5</vt:i4>
      </vt:variant>
      <vt:variant>
        <vt:lpwstr/>
      </vt:variant>
      <vt:variant>
        <vt:lpwstr>_Toc125385135</vt:lpwstr>
      </vt:variant>
      <vt:variant>
        <vt:i4>1048637</vt:i4>
      </vt:variant>
      <vt:variant>
        <vt:i4>2957</vt:i4>
      </vt:variant>
      <vt:variant>
        <vt:i4>0</vt:i4>
      </vt:variant>
      <vt:variant>
        <vt:i4>5</vt:i4>
      </vt:variant>
      <vt:variant>
        <vt:lpwstr/>
      </vt:variant>
      <vt:variant>
        <vt:lpwstr>_Toc125385134</vt:lpwstr>
      </vt:variant>
      <vt:variant>
        <vt:i4>1048637</vt:i4>
      </vt:variant>
      <vt:variant>
        <vt:i4>2951</vt:i4>
      </vt:variant>
      <vt:variant>
        <vt:i4>0</vt:i4>
      </vt:variant>
      <vt:variant>
        <vt:i4>5</vt:i4>
      </vt:variant>
      <vt:variant>
        <vt:lpwstr/>
      </vt:variant>
      <vt:variant>
        <vt:lpwstr>_Toc125385133</vt:lpwstr>
      </vt:variant>
      <vt:variant>
        <vt:i4>1048637</vt:i4>
      </vt:variant>
      <vt:variant>
        <vt:i4>2945</vt:i4>
      </vt:variant>
      <vt:variant>
        <vt:i4>0</vt:i4>
      </vt:variant>
      <vt:variant>
        <vt:i4>5</vt:i4>
      </vt:variant>
      <vt:variant>
        <vt:lpwstr/>
      </vt:variant>
      <vt:variant>
        <vt:lpwstr>_Toc125385132</vt:lpwstr>
      </vt:variant>
      <vt:variant>
        <vt:i4>1048637</vt:i4>
      </vt:variant>
      <vt:variant>
        <vt:i4>2939</vt:i4>
      </vt:variant>
      <vt:variant>
        <vt:i4>0</vt:i4>
      </vt:variant>
      <vt:variant>
        <vt:i4>5</vt:i4>
      </vt:variant>
      <vt:variant>
        <vt:lpwstr/>
      </vt:variant>
      <vt:variant>
        <vt:lpwstr>_Toc125385131</vt:lpwstr>
      </vt:variant>
      <vt:variant>
        <vt:i4>1048637</vt:i4>
      </vt:variant>
      <vt:variant>
        <vt:i4>2933</vt:i4>
      </vt:variant>
      <vt:variant>
        <vt:i4>0</vt:i4>
      </vt:variant>
      <vt:variant>
        <vt:i4>5</vt:i4>
      </vt:variant>
      <vt:variant>
        <vt:lpwstr/>
      </vt:variant>
      <vt:variant>
        <vt:lpwstr>_Toc125385130</vt:lpwstr>
      </vt:variant>
      <vt:variant>
        <vt:i4>1114173</vt:i4>
      </vt:variant>
      <vt:variant>
        <vt:i4>2927</vt:i4>
      </vt:variant>
      <vt:variant>
        <vt:i4>0</vt:i4>
      </vt:variant>
      <vt:variant>
        <vt:i4>5</vt:i4>
      </vt:variant>
      <vt:variant>
        <vt:lpwstr/>
      </vt:variant>
      <vt:variant>
        <vt:lpwstr>_Toc125385129</vt:lpwstr>
      </vt:variant>
      <vt:variant>
        <vt:i4>1114173</vt:i4>
      </vt:variant>
      <vt:variant>
        <vt:i4>2921</vt:i4>
      </vt:variant>
      <vt:variant>
        <vt:i4>0</vt:i4>
      </vt:variant>
      <vt:variant>
        <vt:i4>5</vt:i4>
      </vt:variant>
      <vt:variant>
        <vt:lpwstr/>
      </vt:variant>
      <vt:variant>
        <vt:lpwstr>_Toc125385128</vt:lpwstr>
      </vt:variant>
      <vt:variant>
        <vt:i4>1114173</vt:i4>
      </vt:variant>
      <vt:variant>
        <vt:i4>2915</vt:i4>
      </vt:variant>
      <vt:variant>
        <vt:i4>0</vt:i4>
      </vt:variant>
      <vt:variant>
        <vt:i4>5</vt:i4>
      </vt:variant>
      <vt:variant>
        <vt:lpwstr/>
      </vt:variant>
      <vt:variant>
        <vt:lpwstr>_Toc125385127</vt:lpwstr>
      </vt:variant>
      <vt:variant>
        <vt:i4>1114173</vt:i4>
      </vt:variant>
      <vt:variant>
        <vt:i4>2909</vt:i4>
      </vt:variant>
      <vt:variant>
        <vt:i4>0</vt:i4>
      </vt:variant>
      <vt:variant>
        <vt:i4>5</vt:i4>
      </vt:variant>
      <vt:variant>
        <vt:lpwstr/>
      </vt:variant>
      <vt:variant>
        <vt:lpwstr>_Toc125385126</vt:lpwstr>
      </vt:variant>
      <vt:variant>
        <vt:i4>1114173</vt:i4>
      </vt:variant>
      <vt:variant>
        <vt:i4>2903</vt:i4>
      </vt:variant>
      <vt:variant>
        <vt:i4>0</vt:i4>
      </vt:variant>
      <vt:variant>
        <vt:i4>5</vt:i4>
      </vt:variant>
      <vt:variant>
        <vt:lpwstr/>
      </vt:variant>
      <vt:variant>
        <vt:lpwstr>_Toc125385125</vt:lpwstr>
      </vt:variant>
      <vt:variant>
        <vt:i4>1114173</vt:i4>
      </vt:variant>
      <vt:variant>
        <vt:i4>2897</vt:i4>
      </vt:variant>
      <vt:variant>
        <vt:i4>0</vt:i4>
      </vt:variant>
      <vt:variant>
        <vt:i4>5</vt:i4>
      </vt:variant>
      <vt:variant>
        <vt:lpwstr/>
      </vt:variant>
      <vt:variant>
        <vt:lpwstr>_Toc125385124</vt:lpwstr>
      </vt:variant>
      <vt:variant>
        <vt:i4>6488148</vt:i4>
      </vt:variant>
      <vt:variant>
        <vt:i4>2841</vt:i4>
      </vt:variant>
      <vt:variant>
        <vt:i4>0</vt:i4>
      </vt:variant>
      <vt:variant>
        <vt:i4>5</vt:i4>
      </vt:variant>
      <vt:variant>
        <vt:lpwstr>https://www.ifc.org/wps/wcm/connect/fe8c5e93-d8c0-4944-938c-64046fd79435/004_Electric%2BPower%2BTransmission%2Band%2BDistribution.pdf?MOD=AJPERES&amp;CVID=nPtfpU0&amp;ContentCache=NONE&amp;CACHE=NONE</vt:lpwstr>
      </vt:variant>
      <vt:variant>
        <vt:lpwstr/>
      </vt:variant>
      <vt:variant>
        <vt:i4>3604540</vt:i4>
      </vt:variant>
      <vt:variant>
        <vt:i4>2838</vt:i4>
      </vt:variant>
      <vt:variant>
        <vt:i4>0</vt:i4>
      </vt:variant>
      <vt:variant>
        <vt:i4>5</vt:i4>
      </vt:variant>
      <vt:variant>
        <vt:lpwstr>https://www.ifc.org/wps/wcm/connect/eeb82b4a-e9a8-4ad1-9472-f1c766eb67c8/3%2BCommunity%2BHealth%2Band%2BSafety.pdf?MOD=AJPERES&amp;CVID=nPtgxTd</vt:lpwstr>
      </vt:variant>
      <vt:variant>
        <vt:lpwstr/>
      </vt:variant>
      <vt:variant>
        <vt:i4>852016</vt:i4>
      </vt:variant>
      <vt:variant>
        <vt:i4>2835</vt:i4>
      </vt:variant>
      <vt:variant>
        <vt:i4>0</vt:i4>
      </vt:variant>
      <vt:variant>
        <vt:i4>5</vt:i4>
      </vt:variant>
      <vt:variant>
        <vt:lpwstr>https://www.ifc.org/wps/wcm/connect/e1c73d0a-6af5-47c8-b4a6-762e250085b9e9/001_Construction%2BMaterials%2BExtraction.pdf?MOD=AJPERES&amp;CVID=jqevBT</vt:lpwstr>
      </vt:variant>
      <vt:variant>
        <vt:lpwstr/>
      </vt:variant>
      <vt:variant>
        <vt:i4>3539010</vt:i4>
      </vt:variant>
      <vt:variant>
        <vt:i4>2832</vt:i4>
      </vt:variant>
      <vt:variant>
        <vt:i4>0</vt:i4>
      </vt:variant>
      <vt:variant>
        <vt:i4>5</vt:i4>
      </vt:variant>
      <vt:variant>
        <vt:lpwstr>https://www.ifc.org/wps/wcm/connect/d4260b19-30f2-466d-9c7e-86ac0ece7e89/010_General%2BGuidelines.pdf?MOD=AJPERES&amp;CVID=nPtgz5p&amp;ContentCache=NONE&amp;CACHE=NONE</vt:lpwstr>
      </vt:variant>
      <vt:variant>
        <vt:lpwstr/>
      </vt:variant>
      <vt:variant>
        <vt:i4>6422569</vt:i4>
      </vt:variant>
      <vt:variant>
        <vt:i4>2829</vt:i4>
      </vt:variant>
      <vt:variant>
        <vt:i4>0</vt:i4>
      </vt:variant>
      <vt:variant>
        <vt:i4>5</vt:i4>
      </vt:variant>
      <vt:variant>
        <vt:lpwstr>https://www.ifc.org/wps/wcm/connect/7d708218-2a9e-4fcc-879d-9d5051746e7d/4%2BConstruction%2Band%2BDecommissioning.pdf?MOD=AJPERES&amp;CVID=nPtgy6x</vt:lpwstr>
      </vt:variant>
      <vt:variant>
        <vt:lpwstr/>
      </vt:variant>
      <vt:variant>
        <vt:i4>458810</vt:i4>
      </vt:variant>
      <vt:variant>
        <vt:i4>2826</vt:i4>
      </vt:variant>
      <vt:variant>
        <vt:i4>0</vt:i4>
      </vt:variant>
      <vt:variant>
        <vt:i4>5</vt:i4>
      </vt:variant>
      <vt:variant>
        <vt:lpwstr>https://www.ifc.org/wps/wcm/connect/4a51e9af-9c4b-4106-a8be-567a2a451d09/046_Telecommunications.pdf?MOD=AJPERES&amp;CVID=nPtjDHV&amp;ContentCache=NONE&amp;CACHE=NONE</vt:lpwstr>
      </vt:variant>
      <vt:variant>
        <vt:lpwstr/>
      </vt:variant>
      <vt:variant>
        <vt:i4>7667821</vt:i4>
      </vt:variant>
      <vt:variant>
        <vt:i4>2823</vt:i4>
      </vt:variant>
      <vt:variant>
        <vt:i4>0</vt:i4>
      </vt:variant>
      <vt:variant>
        <vt:i4>5</vt:i4>
      </vt:variant>
      <vt:variant>
        <vt:lpwstr>https://www.ifc.org/wps/wcm/connect/1d19c1ab-3ef8-42d4-bd6b-cb79648af3fe/2%2BOccupational%2BHealth%2Band%2BSafety.pdf?MOD=AJPERES&amp;CVID=nPtgxyx</vt:lpwstr>
      </vt:variant>
      <vt:variant>
        <vt:lpwstr/>
      </vt:variant>
      <vt:variant>
        <vt:i4>7733301</vt:i4>
      </vt:variant>
      <vt:variant>
        <vt:i4>2820</vt:i4>
      </vt:variant>
      <vt:variant>
        <vt:i4>0</vt:i4>
      </vt:variant>
      <vt:variant>
        <vt:i4>5</vt:i4>
      </vt:variant>
      <vt:variant>
        <vt:lpwstr>https://www.donneesmondiales.com/afrique/madagascar/climat.php</vt:lpwstr>
      </vt:variant>
      <vt:variant>
        <vt:lpwstr/>
      </vt:variant>
      <vt:variant>
        <vt:i4>1966144</vt:i4>
      </vt:variant>
      <vt:variant>
        <vt:i4>2817</vt:i4>
      </vt:variant>
      <vt:variant>
        <vt:i4>0</vt:i4>
      </vt:variant>
      <vt:variant>
        <vt:i4>5</vt:i4>
      </vt:variant>
      <vt:variant>
        <vt:lpwstr>https://fr.countryeconomy.com/energie-et-environnement/electricite-production/madagascar</vt:lpwstr>
      </vt:variant>
      <vt:variant>
        <vt:lpwstr/>
      </vt:variant>
      <vt:variant>
        <vt:i4>786529</vt:i4>
      </vt:variant>
      <vt:variant>
        <vt:i4>2814</vt:i4>
      </vt:variant>
      <vt:variant>
        <vt:i4>0</vt:i4>
      </vt:variant>
      <vt:variant>
        <vt:i4>5</vt:i4>
      </vt:variant>
      <vt:variant>
        <vt:lpwstr>https://docs.google.com/document/d/1ZkVOQe2Xv-dF2J2A_YfVS726JgbpWhUej7z1W-2jKjg/edit (TBE ONE 2021.)</vt:lpwstr>
      </vt:variant>
      <vt:variant>
        <vt:lpwstr/>
      </vt:variant>
      <vt:variant>
        <vt:i4>2490396</vt:i4>
      </vt:variant>
      <vt:variant>
        <vt:i4>2706</vt:i4>
      </vt:variant>
      <vt:variant>
        <vt:i4>0</vt:i4>
      </vt:variant>
      <vt:variant>
        <vt:i4>5</vt:i4>
      </vt:variant>
      <vt:variant>
        <vt:lpwstr>https://www.murielle-cahen.com/Li0910vre/https:/www.murielle-cahen.com/publications/p_reseau.asp</vt:lpwstr>
      </vt:variant>
      <vt:variant>
        <vt:lpwstr/>
      </vt:variant>
      <vt:variant>
        <vt:i4>5832709</vt:i4>
      </vt:variant>
      <vt:variant>
        <vt:i4>2550</vt:i4>
      </vt:variant>
      <vt:variant>
        <vt:i4>0</vt:i4>
      </vt:variant>
      <vt:variant>
        <vt:i4>5</vt:i4>
      </vt:variant>
      <vt:variant>
        <vt:lpwstr>http://faolex.fao.org/docs/pdf/mad157163.pdf</vt:lpwstr>
      </vt:variant>
      <vt:variant>
        <vt:lpwstr/>
      </vt:variant>
      <vt:variant>
        <vt:i4>1966141</vt:i4>
      </vt:variant>
      <vt:variant>
        <vt:i4>2393</vt:i4>
      </vt:variant>
      <vt:variant>
        <vt:i4>0</vt:i4>
      </vt:variant>
      <vt:variant>
        <vt:i4>5</vt:i4>
      </vt:variant>
      <vt:variant>
        <vt:lpwstr/>
      </vt:variant>
      <vt:variant>
        <vt:lpwstr>_Toc125409963</vt:lpwstr>
      </vt:variant>
      <vt:variant>
        <vt:i4>1966141</vt:i4>
      </vt:variant>
      <vt:variant>
        <vt:i4>2387</vt:i4>
      </vt:variant>
      <vt:variant>
        <vt:i4>0</vt:i4>
      </vt:variant>
      <vt:variant>
        <vt:i4>5</vt:i4>
      </vt:variant>
      <vt:variant>
        <vt:lpwstr/>
      </vt:variant>
      <vt:variant>
        <vt:lpwstr>_Toc125409962</vt:lpwstr>
      </vt:variant>
      <vt:variant>
        <vt:i4>1966141</vt:i4>
      </vt:variant>
      <vt:variant>
        <vt:i4>2381</vt:i4>
      </vt:variant>
      <vt:variant>
        <vt:i4>0</vt:i4>
      </vt:variant>
      <vt:variant>
        <vt:i4>5</vt:i4>
      </vt:variant>
      <vt:variant>
        <vt:lpwstr/>
      </vt:variant>
      <vt:variant>
        <vt:lpwstr>_Toc125409961</vt:lpwstr>
      </vt:variant>
      <vt:variant>
        <vt:i4>1966141</vt:i4>
      </vt:variant>
      <vt:variant>
        <vt:i4>2375</vt:i4>
      </vt:variant>
      <vt:variant>
        <vt:i4>0</vt:i4>
      </vt:variant>
      <vt:variant>
        <vt:i4>5</vt:i4>
      </vt:variant>
      <vt:variant>
        <vt:lpwstr/>
      </vt:variant>
      <vt:variant>
        <vt:lpwstr>_Toc125409960</vt:lpwstr>
      </vt:variant>
      <vt:variant>
        <vt:i4>1900605</vt:i4>
      </vt:variant>
      <vt:variant>
        <vt:i4>2369</vt:i4>
      </vt:variant>
      <vt:variant>
        <vt:i4>0</vt:i4>
      </vt:variant>
      <vt:variant>
        <vt:i4>5</vt:i4>
      </vt:variant>
      <vt:variant>
        <vt:lpwstr/>
      </vt:variant>
      <vt:variant>
        <vt:lpwstr>_Toc125409959</vt:lpwstr>
      </vt:variant>
      <vt:variant>
        <vt:i4>1900605</vt:i4>
      </vt:variant>
      <vt:variant>
        <vt:i4>2363</vt:i4>
      </vt:variant>
      <vt:variant>
        <vt:i4>0</vt:i4>
      </vt:variant>
      <vt:variant>
        <vt:i4>5</vt:i4>
      </vt:variant>
      <vt:variant>
        <vt:lpwstr/>
      </vt:variant>
      <vt:variant>
        <vt:lpwstr>_Toc125409958</vt:lpwstr>
      </vt:variant>
      <vt:variant>
        <vt:i4>1900605</vt:i4>
      </vt:variant>
      <vt:variant>
        <vt:i4>2357</vt:i4>
      </vt:variant>
      <vt:variant>
        <vt:i4>0</vt:i4>
      </vt:variant>
      <vt:variant>
        <vt:i4>5</vt:i4>
      </vt:variant>
      <vt:variant>
        <vt:lpwstr/>
      </vt:variant>
      <vt:variant>
        <vt:lpwstr>_Toc125409957</vt:lpwstr>
      </vt:variant>
      <vt:variant>
        <vt:i4>1900605</vt:i4>
      </vt:variant>
      <vt:variant>
        <vt:i4>2351</vt:i4>
      </vt:variant>
      <vt:variant>
        <vt:i4>0</vt:i4>
      </vt:variant>
      <vt:variant>
        <vt:i4>5</vt:i4>
      </vt:variant>
      <vt:variant>
        <vt:lpwstr/>
      </vt:variant>
      <vt:variant>
        <vt:lpwstr>_Toc125409956</vt:lpwstr>
      </vt:variant>
      <vt:variant>
        <vt:i4>1900605</vt:i4>
      </vt:variant>
      <vt:variant>
        <vt:i4>2345</vt:i4>
      </vt:variant>
      <vt:variant>
        <vt:i4>0</vt:i4>
      </vt:variant>
      <vt:variant>
        <vt:i4>5</vt:i4>
      </vt:variant>
      <vt:variant>
        <vt:lpwstr/>
      </vt:variant>
      <vt:variant>
        <vt:lpwstr>_Toc125409955</vt:lpwstr>
      </vt:variant>
      <vt:variant>
        <vt:i4>1900605</vt:i4>
      </vt:variant>
      <vt:variant>
        <vt:i4>2339</vt:i4>
      </vt:variant>
      <vt:variant>
        <vt:i4>0</vt:i4>
      </vt:variant>
      <vt:variant>
        <vt:i4>5</vt:i4>
      </vt:variant>
      <vt:variant>
        <vt:lpwstr/>
      </vt:variant>
      <vt:variant>
        <vt:lpwstr>_Toc125409954</vt:lpwstr>
      </vt:variant>
      <vt:variant>
        <vt:i4>2031668</vt:i4>
      </vt:variant>
      <vt:variant>
        <vt:i4>2330</vt:i4>
      </vt:variant>
      <vt:variant>
        <vt:i4>0</vt:i4>
      </vt:variant>
      <vt:variant>
        <vt:i4>5</vt:i4>
      </vt:variant>
      <vt:variant>
        <vt:lpwstr/>
      </vt:variant>
      <vt:variant>
        <vt:lpwstr>_Toc125409071</vt:lpwstr>
      </vt:variant>
      <vt:variant>
        <vt:i4>2031668</vt:i4>
      </vt:variant>
      <vt:variant>
        <vt:i4>2324</vt:i4>
      </vt:variant>
      <vt:variant>
        <vt:i4>0</vt:i4>
      </vt:variant>
      <vt:variant>
        <vt:i4>5</vt:i4>
      </vt:variant>
      <vt:variant>
        <vt:lpwstr/>
      </vt:variant>
      <vt:variant>
        <vt:lpwstr>_Toc125409070</vt:lpwstr>
      </vt:variant>
      <vt:variant>
        <vt:i4>1966132</vt:i4>
      </vt:variant>
      <vt:variant>
        <vt:i4>2318</vt:i4>
      </vt:variant>
      <vt:variant>
        <vt:i4>0</vt:i4>
      </vt:variant>
      <vt:variant>
        <vt:i4>5</vt:i4>
      </vt:variant>
      <vt:variant>
        <vt:lpwstr/>
      </vt:variant>
      <vt:variant>
        <vt:lpwstr>_Toc125409069</vt:lpwstr>
      </vt:variant>
      <vt:variant>
        <vt:i4>1966132</vt:i4>
      </vt:variant>
      <vt:variant>
        <vt:i4>2312</vt:i4>
      </vt:variant>
      <vt:variant>
        <vt:i4>0</vt:i4>
      </vt:variant>
      <vt:variant>
        <vt:i4>5</vt:i4>
      </vt:variant>
      <vt:variant>
        <vt:lpwstr/>
      </vt:variant>
      <vt:variant>
        <vt:lpwstr>_Toc125409068</vt:lpwstr>
      </vt:variant>
      <vt:variant>
        <vt:i4>1966132</vt:i4>
      </vt:variant>
      <vt:variant>
        <vt:i4>2306</vt:i4>
      </vt:variant>
      <vt:variant>
        <vt:i4>0</vt:i4>
      </vt:variant>
      <vt:variant>
        <vt:i4>5</vt:i4>
      </vt:variant>
      <vt:variant>
        <vt:lpwstr/>
      </vt:variant>
      <vt:variant>
        <vt:lpwstr>_Toc125409067</vt:lpwstr>
      </vt:variant>
      <vt:variant>
        <vt:i4>1376304</vt:i4>
      </vt:variant>
      <vt:variant>
        <vt:i4>2297</vt:i4>
      </vt:variant>
      <vt:variant>
        <vt:i4>0</vt:i4>
      </vt:variant>
      <vt:variant>
        <vt:i4>5</vt:i4>
      </vt:variant>
      <vt:variant>
        <vt:lpwstr/>
      </vt:variant>
      <vt:variant>
        <vt:lpwstr>_Toc125402463</vt:lpwstr>
      </vt:variant>
      <vt:variant>
        <vt:i4>1376304</vt:i4>
      </vt:variant>
      <vt:variant>
        <vt:i4>2291</vt:i4>
      </vt:variant>
      <vt:variant>
        <vt:i4>0</vt:i4>
      </vt:variant>
      <vt:variant>
        <vt:i4>5</vt:i4>
      </vt:variant>
      <vt:variant>
        <vt:lpwstr/>
      </vt:variant>
      <vt:variant>
        <vt:lpwstr>_Toc125402462</vt:lpwstr>
      </vt:variant>
      <vt:variant>
        <vt:i4>1376304</vt:i4>
      </vt:variant>
      <vt:variant>
        <vt:i4>2285</vt:i4>
      </vt:variant>
      <vt:variant>
        <vt:i4>0</vt:i4>
      </vt:variant>
      <vt:variant>
        <vt:i4>5</vt:i4>
      </vt:variant>
      <vt:variant>
        <vt:lpwstr/>
      </vt:variant>
      <vt:variant>
        <vt:lpwstr>_Toc125402461</vt:lpwstr>
      </vt:variant>
      <vt:variant>
        <vt:i4>1376304</vt:i4>
      </vt:variant>
      <vt:variant>
        <vt:i4>2279</vt:i4>
      </vt:variant>
      <vt:variant>
        <vt:i4>0</vt:i4>
      </vt:variant>
      <vt:variant>
        <vt:i4>5</vt:i4>
      </vt:variant>
      <vt:variant>
        <vt:lpwstr/>
      </vt:variant>
      <vt:variant>
        <vt:lpwstr>_Toc125402460</vt:lpwstr>
      </vt:variant>
      <vt:variant>
        <vt:i4>1441840</vt:i4>
      </vt:variant>
      <vt:variant>
        <vt:i4>2273</vt:i4>
      </vt:variant>
      <vt:variant>
        <vt:i4>0</vt:i4>
      </vt:variant>
      <vt:variant>
        <vt:i4>5</vt:i4>
      </vt:variant>
      <vt:variant>
        <vt:lpwstr/>
      </vt:variant>
      <vt:variant>
        <vt:lpwstr>_Toc125402459</vt:lpwstr>
      </vt:variant>
      <vt:variant>
        <vt:i4>1441840</vt:i4>
      </vt:variant>
      <vt:variant>
        <vt:i4>2267</vt:i4>
      </vt:variant>
      <vt:variant>
        <vt:i4>0</vt:i4>
      </vt:variant>
      <vt:variant>
        <vt:i4>5</vt:i4>
      </vt:variant>
      <vt:variant>
        <vt:lpwstr/>
      </vt:variant>
      <vt:variant>
        <vt:lpwstr>_Toc125402458</vt:lpwstr>
      </vt:variant>
      <vt:variant>
        <vt:i4>1441840</vt:i4>
      </vt:variant>
      <vt:variant>
        <vt:i4>2261</vt:i4>
      </vt:variant>
      <vt:variant>
        <vt:i4>0</vt:i4>
      </vt:variant>
      <vt:variant>
        <vt:i4>5</vt:i4>
      </vt:variant>
      <vt:variant>
        <vt:lpwstr/>
      </vt:variant>
      <vt:variant>
        <vt:lpwstr>_Toc125402457</vt:lpwstr>
      </vt:variant>
      <vt:variant>
        <vt:i4>1441840</vt:i4>
      </vt:variant>
      <vt:variant>
        <vt:i4>2255</vt:i4>
      </vt:variant>
      <vt:variant>
        <vt:i4>0</vt:i4>
      </vt:variant>
      <vt:variant>
        <vt:i4>5</vt:i4>
      </vt:variant>
      <vt:variant>
        <vt:lpwstr/>
      </vt:variant>
      <vt:variant>
        <vt:lpwstr>_Toc125402456</vt:lpwstr>
      </vt:variant>
      <vt:variant>
        <vt:i4>1441840</vt:i4>
      </vt:variant>
      <vt:variant>
        <vt:i4>2249</vt:i4>
      </vt:variant>
      <vt:variant>
        <vt:i4>0</vt:i4>
      </vt:variant>
      <vt:variant>
        <vt:i4>5</vt:i4>
      </vt:variant>
      <vt:variant>
        <vt:lpwstr/>
      </vt:variant>
      <vt:variant>
        <vt:lpwstr>_Toc125402455</vt:lpwstr>
      </vt:variant>
      <vt:variant>
        <vt:i4>1441840</vt:i4>
      </vt:variant>
      <vt:variant>
        <vt:i4>2243</vt:i4>
      </vt:variant>
      <vt:variant>
        <vt:i4>0</vt:i4>
      </vt:variant>
      <vt:variant>
        <vt:i4>5</vt:i4>
      </vt:variant>
      <vt:variant>
        <vt:lpwstr/>
      </vt:variant>
      <vt:variant>
        <vt:lpwstr>_Toc125402454</vt:lpwstr>
      </vt:variant>
      <vt:variant>
        <vt:i4>1441840</vt:i4>
      </vt:variant>
      <vt:variant>
        <vt:i4>2237</vt:i4>
      </vt:variant>
      <vt:variant>
        <vt:i4>0</vt:i4>
      </vt:variant>
      <vt:variant>
        <vt:i4>5</vt:i4>
      </vt:variant>
      <vt:variant>
        <vt:lpwstr/>
      </vt:variant>
      <vt:variant>
        <vt:lpwstr>_Toc125402453</vt:lpwstr>
      </vt:variant>
      <vt:variant>
        <vt:i4>1441840</vt:i4>
      </vt:variant>
      <vt:variant>
        <vt:i4>2231</vt:i4>
      </vt:variant>
      <vt:variant>
        <vt:i4>0</vt:i4>
      </vt:variant>
      <vt:variant>
        <vt:i4>5</vt:i4>
      </vt:variant>
      <vt:variant>
        <vt:lpwstr/>
      </vt:variant>
      <vt:variant>
        <vt:lpwstr>_Toc125402452</vt:lpwstr>
      </vt:variant>
      <vt:variant>
        <vt:i4>1441840</vt:i4>
      </vt:variant>
      <vt:variant>
        <vt:i4>2225</vt:i4>
      </vt:variant>
      <vt:variant>
        <vt:i4>0</vt:i4>
      </vt:variant>
      <vt:variant>
        <vt:i4>5</vt:i4>
      </vt:variant>
      <vt:variant>
        <vt:lpwstr/>
      </vt:variant>
      <vt:variant>
        <vt:lpwstr>_Toc125402451</vt:lpwstr>
      </vt:variant>
      <vt:variant>
        <vt:i4>1441840</vt:i4>
      </vt:variant>
      <vt:variant>
        <vt:i4>2219</vt:i4>
      </vt:variant>
      <vt:variant>
        <vt:i4>0</vt:i4>
      </vt:variant>
      <vt:variant>
        <vt:i4>5</vt:i4>
      </vt:variant>
      <vt:variant>
        <vt:lpwstr/>
      </vt:variant>
      <vt:variant>
        <vt:lpwstr>_Toc125402450</vt:lpwstr>
      </vt:variant>
      <vt:variant>
        <vt:i4>1507376</vt:i4>
      </vt:variant>
      <vt:variant>
        <vt:i4>2213</vt:i4>
      </vt:variant>
      <vt:variant>
        <vt:i4>0</vt:i4>
      </vt:variant>
      <vt:variant>
        <vt:i4>5</vt:i4>
      </vt:variant>
      <vt:variant>
        <vt:lpwstr/>
      </vt:variant>
      <vt:variant>
        <vt:lpwstr>_Toc125402449</vt:lpwstr>
      </vt:variant>
      <vt:variant>
        <vt:i4>1507376</vt:i4>
      </vt:variant>
      <vt:variant>
        <vt:i4>2207</vt:i4>
      </vt:variant>
      <vt:variant>
        <vt:i4>0</vt:i4>
      </vt:variant>
      <vt:variant>
        <vt:i4>5</vt:i4>
      </vt:variant>
      <vt:variant>
        <vt:lpwstr/>
      </vt:variant>
      <vt:variant>
        <vt:lpwstr>_Toc125402448</vt:lpwstr>
      </vt:variant>
      <vt:variant>
        <vt:i4>1507376</vt:i4>
      </vt:variant>
      <vt:variant>
        <vt:i4>2201</vt:i4>
      </vt:variant>
      <vt:variant>
        <vt:i4>0</vt:i4>
      </vt:variant>
      <vt:variant>
        <vt:i4>5</vt:i4>
      </vt:variant>
      <vt:variant>
        <vt:lpwstr/>
      </vt:variant>
      <vt:variant>
        <vt:lpwstr>_Toc125402447</vt:lpwstr>
      </vt:variant>
      <vt:variant>
        <vt:i4>1507376</vt:i4>
      </vt:variant>
      <vt:variant>
        <vt:i4>2195</vt:i4>
      </vt:variant>
      <vt:variant>
        <vt:i4>0</vt:i4>
      </vt:variant>
      <vt:variant>
        <vt:i4>5</vt:i4>
      </vt:variant>
      <vt:variant>
        <vt:lpwstr/>
      </vt:variant>
      <vt:variant>
        <vt:lpwstr>_Toc125402446</vt:lpwstr>
      </vt:variant>
      <vt:variant>
        <vt:i4>1507376</vt:i4>
      </vt:variant>
      <vt:variant>
        <vt:i4>2189</vt:i4>
      </vt:variant>
      <vt:variant>
        <vt:i4>0</vt:i4>
      </vt:variant>
      <vt:variant>
        <vt:i4>5</vt:i4>
      </vt:variant>
      <vt:variant>
        <vt:lpwstr/>
      </vt:variant>
      <vt:variant>
        <vt:lpwstr>_Toc125402445</vt:lpwstr>
      </vt:variant>
      <vt:variant>
        <vt:i4>1507376</vt:i4>
      </vt:variant>
      <vt:variant>
        <vt:i4>2183</vt:i4>
      </vt:variant>
      <vt:variant>
        <vt:i4>0</vt:i4>
      </vt:variant>
      <vt:variant>
        <vt:i4>5</vt:i4>
      </vt:variant>
      <vt:variant>
        <vt:lpwstr/>
      </vt:variant>
      <vt:variant>
        <vt:lpwstr>_Toc125402444</vt:lpwstr>
      </vt:variant>
      <vt:variant>
        <vt:i4>1507376</vt:i4>
      </vt:variant>
      <vt:variant>
        <vt:i4>2177</vt:i4>
      </vt:variant>
      <vt:variant>
        <vt:i4>0</vt:i4>
      </vt:variant>
      <vt:variant>
        <vt:i4>5</vt:i4>
      </vt:variant>
      <vt:variant>
        <vt:lpwstr/>
      </vt:variant>
      <vt:variant>
        <vt:lpwstr>_Toc125402443</vt:lpwstr>
      </vt:variant>
      <vt:variant>
        <vt:i4>1769530</vt:i4>
      </vt:variant>
      <vt:variant>
        <vt:i4>2168</vt:i4>
      </vt:variant>
      <vt:variant>
        <vt:i4>0</vt:i4>
      </vt:variant>
      <vt:variant>
        <vt:i4>5</vt:i4>
      </vt:variant>
      <vt:variant>
        <vt:lpwstr/>
      </vt:variant>
      <vt:variant>
        <vt:lpwstr>_Toc127957903</vt:lpwstr>
      </vt:variant>
      <vt:variant>
        <vt:i4>1769530</vt:i4>
      </vt:variant>
      <vt:variant>
        <vt:i4>2162</vt:i4>
      </vt:variant>
      <vt:variant>
        <vt:i4>0</vt:i4>
      </vt:variant>
      <vt:variant>
        <vt:i4>5</vt:i4>
      </vt:variant>
      <vt:variant>
        <vt:lpwstr/>
      </vt:variant>
      <vt:variant>
        <vt:lpwstr>_Toc127957902</vt:lpwstr>
      </vt:variant>
      <vt:variant>
        <vt:i4>1769530</vt:i4>
      </vt:variant>
      <vt:variant>
        <vt:i4>2156</vt:i4>
      </vt:variant>
      <vt:variant>
        <vt:i4>0</vt:i4>
      </vt:variant>
      <vt:variant>
        <vt:i4>5</vt:i4>
      </vt:variant>
      <vt:variant>
        <vt:lpwstr/>
      </vt:variant>
      <vt:variant>
        <vt:lpwstr>_Toc127957901</vt:lpwstr>
      </vt:variant>
      <vt:variant>
        <vt:i4>1769530</vt:i4>
      </vt:variant>
      <vt:variant>
        <vt:i4>2150</vt:i4>
      </vt:variant>
      <vt:variant>
        <vt:i4>0</vt:i4>
      </vt:variant>
      <vt:variant>
        <vt:i4>5</vt:i4>
      </vt:variant>
      <vt:variant>
        <vt:lpwstr/>
      </vt:variant>
      <vt:variant>
        <vt:lpwstr>_Toc127957900</vt:lpwstr>
      </vt:variant>
      <vt:variant>
        <vt:i4>1179707</vt:i4>
      </vt:variant>
      <vt:variant>
        <vt:i4>2144</vt:i4>
      </vt:variant>
      <vt:variant>
        <vt:i4>0</vt:i4>
      </vt:variant>
      <vt:variant>
        <vt:i4>5</vt:i4>
      </vt:variant>
      <vt:variant>
        <vt:lpwstr/>
      </vt:variant>
      <vt:variant>
        <vt:lpwstr>_Toc127957899</vt:lpwstr>
      </vt:variant>
      <vt:variant>
        <vt:i4>1179707</vt:i4>
      </vt:variant>
      <vt:variant>
        <vt:i4>2138</vt:i4>
      </vt:variant>
      <vt:variant>
        <vt:i4>0</vt:i4>
      </vt:variant>
      <vt:variant>
        <vt:i4>5</vt:i4>
      </vt:variant>
      <vt:variant>
        <vt:lpwstr/>
      </vt:variant>
      <vt:variant>
        <vt:lpwstr>_Toc127957898</vt:lpwstr>
      </vt:variant>
      <vt:variant>
        <vt:i4>1179707</vt:i4>
      </vt:variant>
      <vt:variant>
        <vt:i4>2132</vt:i4>
      </vt:variant>
      <vt:variant>
        <vt:i4>0</vt:i4>
      </vt:variant>
      <vt:variant>
        <vt:i4>5</vt:i4>
      </vt:variant>
      <vt:variant>
        <vt:lpwstr/>
      </vt:variant>
      <vt:variant>
        <vt:lpwstr>_Toc127957897</vt:lpwstr>
      </vt:variant>
      <vt:variant>
        <vt:i4>1179707</vt:i4>
      </vt:variant>
      <vt:variant>
        <vt:i4>2126</vt:i4>
      </vt:variant>
      <vt:variant>
        <vt:i4>0</vt:i4>
      </vt:variant>
      <vt:variant>
        <vt:i4>5</vt:i4>
      </vt:variant>
      <vt:variant>
        <vt:lpwstr/>
      </vt:variant>
      <vt:variant>
        <vt:lpwstr>_Toc127957896</vt:lpwstr>
      </vt:variant>
      <vt:variant>
        <vt:i4>1179707</vt:i4>
      </vt:variant>
      <vt:variant>
        <vt:i4>2120</vt:i4>
      </vt:variant>
      <vt:variant>
        <vt:i4>0</vt:i4>
      </vt:variant>
      <vt:variant>
        <vt:i4>5</vt:i4>
      </vt:variant>
      <vt:variant>
        <vt:lpwstr/>
      </vt:variant>
      <vt:variant>
        <vt:lpwstr>_Toc127957895</vt:lpwstr>
      </vt:variant>
      <vt:variant>
        <vt:i4>1179707</vt:i4>
      </vt:variant>
      <vt:variant>
        <vt:i4>2114</vt:i4>
      </vt:variant>
      <vt:variant>
        <vt:i4>0</vt:i4>
      </vt:variant>
      <vt:variant>
        <vt:i4>5</vt:i4>
      </vt:variant>
      <vt:variant>
        <vt:lpwstr/>
      </vt:variant>
      <vt:variant>
        <vt:lpwstr>_Toc127957894</vt:lpwstr>
      </vt:variant>
      <vt:variant>
        <vt:i4>1179707</vt:i4>
      </vt:variant>
      <vt:variant>
        <vt:i4>2108</vt:i4>
      </vt:variant>
      <vt:variant>
        <vt:i4>0</vt:i4>
      </vt:variant>
      <vt:variant>
        <vt:i4>5</vt:i4>
      </vt:variant>
      <vt:variant>
        <vt:lpwstr/>
      </vt:variant>
      <vt:variant>
        <vt:lpwstr>_Toc127957893</vt:lpwstr>
      </vt:variant>
      <vt:variant>
        <vt:i4>1179707</vt:i4>
      </vt:variant>
      <vt:variant>
        <vt:i4>2102</vt:i4>
      </vt:variant>
      <vt:variant>
        <vt:i4>0</vt:i4>
      </vt:variant>
      <vt:variant>
        <vt:i4>5</vt:i4>
      </vt:variant>
      <vt:variant>
        <vt:lpwstr/>
      </vt:variant>
      <vt:variant>
        <vt:lpwstr>_Toc127957892</vt:lpwstr>
      </vt:variant>
      <vt:variant>
        <vt:i4>1179707</vt:i4>
      </vt:variant>
      <vt:variant>
        <vt:i4>2096</vt:i4>
      </vt:variant>
      <vt:variant>
        <vt:i4>0</vt:i4>
      </vt:variant>
      <vt:variant>
        <vt:i4>5</vt:i4>
      </vt:variant>
      <vt:variant>
        <vt:lpwstr/>
      </vt:variant>
      <vt:variant>
        <vt:lpwstr>_Toc127957891</vt:lpwstr>
      </vt:variant>
      <vt:variant>
        <vt:i4>1179707</vt:i4>
      </vt:variant>
      <vt:variant>
        <vt:i4>2090</vt:i4>
      </vt:variant>
      <vt:variant>
        <vt:i4>0</vt:i4>
      </vt:variant>
      <vt:variant>
        <vt:i4>5</vt:i4>
      </vt:variant>
      <vt:variant>
        <vt:lpwstr/>
      </vt:variant>
      <vt:variant>
        <vt:lpwstr>_Toc127957890</vt:lpwstr>
      </vt:variant>
      <vt:variant>
        <vt:i4>1245243</vt:i4>
      </vt:variant>
      <vt:variant>
        <vt:i4>2084</vt:i4>
      </vt:variant>
      <vt:variant>
        <vt:i4>0</vt:i4>
      </vt:variant>
      <vt:variant>
        <vt:i4>5</vt:i4>
      </vt:variant>
      <vt:variant>
        <vt:lpwstr/>
      </vt:variant>
      <vt:variant>
        <vt:lpwstr>_Toc127957889</vt:lpwstr>
      </vt:variant>
      <vt:variant>
        <vt:i4>1245243</vt:i4>
      </vt:variant>
      <vt:variant>
        <vt:i4>2078</vt:i4>
      </vt:variant>
      <vt:variant>
        <vt:i4>0</vt:i4>
      </vt:variant>
      <vt:variant>
        <vt:i4>5</vt:i4>
      </vt:variant>
      <vt:variant>
        <vt:lpwstr/>
      </vt:variant>
      <vt:variant>
        <vt:lpwstr>_Toc127957888</vt:lpwstr>
      </vt:variant>
      <vt:variant>
        <vt:i4>1245243</vt:i4>
      </vt:variant>
      <vt:variant>
        <vt:i4>2072</vt:i4>
      </vt:variant>
      <vt:variant>
        <vt:i4>0</vt:i4>
      </vt:variant>
      <vt:variant>
        <vt:i4>5</vt:i4>
      </vt:variant>
      <vt:variant>
        <vt:lpwstr/>
      </vt:variant>
      <vt:variant>
        <vt:lpwstr>_Toc127957887</vt:lpwstr>
      </vt:variant>
      <vt:variant>
        <vt:i4>1245243</vt:i4>
      </vt:variant>
      <vt:variant>
        <vt:i4>2066</vt:i4>
      </vt:variant>
      <vt:variant>
        <vt:i4>0</vt:i4>
      </vt:variant>
      <vt:variant>
        <vt:i4>5</vt:i4>
      </vt:variant>
      <vt:variant>
        <vt:lpwstr/>
      </vt:variant>
      <vt:variant>
        <vt:lpwstr>_Toc127957886</vt:lpwstr>
      </vt:variant>
      <vt:variant>
        <vt:i4>1245243</vt:i4>
      </vt:variant>
      <vt:variant>
        <vt:i4>2060</vt:i4>
      </vt:variant>
      <vt:variant>
        <vt:i4>0</vt:i4>
      </vt:variant>
      <vt:variant>
        <vt:i4>5</vt:i4>
      </vt:variant>
      <vt:variant>
        <vt:lpwstr/>
      </vt:variant>
      <vt:variant>
        <vt:lpwstr>_Toc127957885</vt:lpwstr>
      </vt:variant>
      <vt:variant>
        <vt:i4>1245243</vt:i4>
      </vt:variant>
      <vt:variant>
        <vt:i4>2054</vt:i4>
      </vt:variant>
      <vt:variant>
        <vt:i4>0</vt:i4>
      </vt:variant>
      <vt:variant>
        <vt:i4>5</vt:i4>
      </vt:variant>
      <vt:variant>
        <vt:lpwstr/>
      </vt:variant>
      <vt:variant>
        <vt:lpwstr>_Toc127957884</vt:lpwstr>
      </vt:variant>
      <vt:variant>
        <vt:i4>1245243</vt:i4>
      </vt:variant>
      <vt:variant>
        <vt:i4>2048</vt:i4>
      </vt:variant>
      <vt:variant>
        <vt:i4>0</vt:i4>
      </vt:variant>
      <vt:variant>
        <vt:i4>5</vt:i4>
      </vt:variant>
      <vt:variant>
        <vt:lpwstr/>
      </vt:variant>
      <vt:variant>
        <vt:lpwstr>_Toc127957883</vt:lpwstr>
      </vt:variant>
      <vt:variant>
        <vt:i4>1245243</vt:i4>
      </vt:variant>
      <vt:variant>
        <vt:i4>2042</vt:i4>
      </vt:variant>
      <vt:variant>
        <vt:i4>0</vt:i4>
      </vt:variant>
      <vt:variant>
        <vt:i4>5</vt:i4>
      </vt:variant>
      <vt:variant>
        <vt:lpwstr/>
      </vt:variant>
      <vt:variant>
        <vt:lpwstr>_Toc127957882</vt:lpwstr>
      </vt:variant>
      <vt:variant>
        <vt:i4>1245243</vt:i4>
      </vt:variant>
      <vt:variant>
        <vt:i4>2036</vt:i4>
      </vt:variant>
      <vt:variant>
        <vt:i4>0</vt:i4>
      </vt:variant>
      <vt:variant>
        <vt:i4>5</vt:i4>
      </vt:variant>
      <vt:variant>
        <vt:lpwstr/>
      </vt:variant>
      <vt:variant>
        <vt:lpwstr>_Toc127957881</vt:lpwstr>
      </vt:variant>
      <vt:variant>
        <vt:i4>1245243</vt:i4>
      </vt:variant>
      <vt:variant>
        <vt:i4>2030</vt:i4>
      </vt:variant>
      <vt:variant>
        <vt:i4>0</vt:i4>
      </vt:variant>
      <vt:variant>
        <vt:i4>5</vt:i4>
      </vt:variant>
      <vt:variant>
        <vt:lpwstr/>
      </vt:variant>
      <vt:variant>
        <vt:lpwstr>_Toc127957880</vt:lpwstr>
      </vt:variant>
      <vt:variant>
        <vt:i4>1835067</vt:i4>
      </vt:variant>
      <vt:variant>
        <vt:i4>2024</vt:i4>
      </vt:variant>
      <vt:variant>
        <vt:i4>0</vt:i4>
      </vt:variant>
      <vt:variant>
        <vt:i4>5</vt:i4>
      </vt:variant>
      <vt:variant>
        <vt:lpwstr/>
      </vt:variant>
      <vt:variant>
        <vt:lpwstr>_Toc127957879</vt:lpwstr>
      </vt:variant>
      <vt:variant>
        <vt:i4>1835067</vt:i4>
      </vt:variant>
      <vt:variant>
        <vt:i4>2018</vt:i4>
      </vt:variant>
      <vt:variant>
        <vt:i4>0</vt:i4>
      </vt:variant>
      <vt:variant>
        <vt:i4>5</vt:i4>
      </vt:variant>
      <vt:variant>
        <vt:lpwstr/>
      </vt:variant>
      <vt:variant>
        <vt:lpwstr>_Toc127957878</vt:lpwstr>
      </vt:variant>
      <vt:variant>
        <vt:i4>1835067</vt:i4>
      </vt:variant>
      <vt:variant>
        <vt:i4>2012</vt:i4>
      </vt:variant>
      <vt:variant>
        <vt:i4>0</vt:i4>
      </vt:variant>
      <vt:variant>
        <vt:i4>5</vt:i4>
      </vt:variant>
      <vt:variant>
        <vt:lpwstr/>
      </vt:variant>
      <vt:variant>
        <vt:lpwstr>_Toc127957877</vt:lpwstr>
      </vt:variant>
      <vt:variant>
        <vt:i4>1835067</vt:i4>
      </vt:variant>
      <vt:variant>
        <vt:i4>2006</vt:i4>
      </vt:variant>
      <vt:variant>
        <vt:i4>0</vt:i4>
      </vt:variant>
      <vt:variant>
        <vt:i4>5</vt:i4>
      </vt:variant>
      <vt:variant>
        <vt:lpwstr/>
      </vt:variant>
      <vt:variant>
        <vt:lpwstr>_Toc127957876</vt:lpwstr>
      </vt:variant>
      <vt:variant>
        <vt:i4>1835067</vt:i4>
      </vt:variant>
      <vt:variant>
        <vt:i4>2000</vt:i4>
      </vt:variant>
      <vt:variant>
        <vt:i4>0</vt:i4>
      </vt:variant>
      <vt:variant>
        <vt:i4>5</vt:i4>
      </vt:variant>
      <vt:variant>
        <vt:lpwstr/>
      </vt:variant>
      <vt:variant>
        <vt:lpwstr>_Toc127957875</vt:lpwstr>
      </vt:variant>
      <vt:variant>
        <vt:i4>1835067</vt:i4>
      </vt:variant>
      <vt:variant>
        <vt:i4>1994</vt:i4>
      </vt:variant>
      <vt:variant>
        <vt:i4>0</vt:i4>
      </vt:variant>
      <vt:variant>
        <vt:i4>5</vt:i4>
      </vt:variant>
      <vt:variant>
        <vt:lpwstr/>
      </vt:variant>
      <vt:variant>
        <vt:lpwstr>_Toc127957874</vt:lpwstr>
      </vt:variant>
      <vt:variant>
        <vt:i4>1835067</vt:i4>
      </vt:variant>
      <vt:variant>
        <vt:i4>1988</vt:i4>
      </vt:variant>
      <vt:variant>
        <vt:i4>0</vt:i4>
      </vt:variant>
      <vt:variant>
        <vt:i4>5</vt:i4>
      </vt:variant>
      <vt:variant>
        <vt:lpwstr/>
      </vt:variant>
      <vt:variant>
        <vt:lpwstr>_Toc127957873</vt:lpwstr>
      </vt:variant>
      <vt:variant>
        <vt:i4>1835067</vt:i4>
      </vt:variant>
      <vt:variant>
        <vt:i4>1982</vt:i4>
      </vt:variant>
      <vt:variant>
        <vt:i4>0</vt:i4>
      </vt:variant>
      <vt:variant>
        <vt:i4>5</vt:i4>
      </vt:variant>
      <vt:variant>
        <vt:lpwstr/>
      </vt:variant>
      <vt:variant>
        <vt:lpwstr>_Toc127957872</vt:lpwstr>
      </vt:variant>
      <vt:variant>
        <vt:i4>1835067</vt:i4>
      </vt:variant>
      <vt:variant>
        <vt:i4>1976</vt:i4>
      </vt:variant>
      <vt:variant>
        <vt:i4>0</vt:i4>
      </vt:variant>
      <vt:variant>
        <vt:i4>5</vt:i4>
      </vt:variant>
      <vt:variant>
        <vt:lpwstr/>
      </vt:variant>
      <vt:variant>
        <vt:lpwstr>_Toc127957871</vt:lpwstr>
      </vt:variant>
      <vt:variant>
        <vt:i4>1835067</vt:i4>
      </vt:variant>
      <vt:variant>
        <vt:i4>1970</vt:i4>
      </vt:variant>
      <vt:variant>
        <vt:i4>0</vt:i4>
      </vt:variant>
      <vt:variant>
        <vt:i4>5</vt:i4>
      </vt:variant>
      <vt:variant>
        <vt:lpwstr/>
      </vt:variant>
      <vt:variant>
        <vt:lpwstr>_Toc127957870</vt:lpwstr>
      </vt:variant>
      <vt:variant>
        <vt:i4>1900603</vt:i4>
      </vt:variant>
      <vt:variant>
        <vt:i4>1964</vt:i4>
      </vt:variant>
      <vt:variant>
        <vt:i4>0</vt:i4>
      </vt:variant>
      <vt:variant>
        <vt:i4>5</vt:i4>
      </vt:variant>
      <vt:variant>
        <vt:lpwstr/>
      </vt:variant>
      <vt:variant>
        <vt:lpwstr>_Toc127957869</vt:lpwstr>
      </vt:variant>
      <vt:variant>
        <vt:i4>1900603</vt:i4>
      </vt:variant>
      <vt:variant>
        <vt:i4>1958</vt:i4>
      </vt:variant>
      <vt:variant>
        <vt:i4>0</vt:i4>
      </vt:variant>
      <vt:variant>
        <vt:i4>5</vt:i4>
      </vt:variant>
      <vt:variant>
        <vt:lpwstr/>
      </vt:variant>
      <vt:variant>
        <vt:lpwstr>_Toc127957868</vt:lpwstr>
      </vt:variant>
      <vt:variant>
        <vt:i4>1900603</vt:i4>
      </vt:variant>
      <vt:variant>
        <vt:i4>1952</vt:i4>
      </vt:variant>
      <vt:variant>
        <vt:i4>0</vt:i4>
      </vt:variant>
      <vt:variant>
        <vt:i4>5</vt:i4>
      </vt:variant>
      <vt:variant>
        <vt:lpwstr/>
      </vt:variant>
      <vt:variant>
        <vt:lpwstr>_Toc127957867</vt:lpwstr>
      </vt:variant>
      <vt:variant>
        <vt:i4>1900603</vt:i4>
      </vt:variant>
      <vt:variant>
        <vt:i4>1946</vt:i4>
      </vt:variant>
      <vt:variant>
        <vt:i4>0</vt:i4>
      </vt:variant>
      <vt:variant>
        <vt:i4>5</vt:i4>
      </vt:variant>
      <vt:variant>
        <vt:lpwstr/>
      </vt:variant>
      <vt:variant>
        <vt:lpwstr>_Toc127957866</vt:lpwstr>
      </vt:variant>
      <vt:variant>
        <vt:i4>1900603</vt:i4>
      </vt:variant>
      <vt:variant>
        <vt:i4>1940</vt:i4>
      </vt:variant>
      <vt:variant>
        <vt:i4>0</vt:i4>
      </vt:variant>
      <vt:variant>
        <vt:i4>5</vt:i4>
      </vt:variant>
      <vt:variant>
        <vt:lpwstr/>
      </vt:variant>
      <vt:variant>
        <vt:lpwstr>_Toc127957865</vt:lpwstr>
      </vt:variant>
      <vt:variant>
        <vt:i4>1900603</vt:i4>
      </vt:variant>
      <vt:variant>
        <vt:i4>1934</vt:i4>
      </vt:variant>
      <vt:variant>
        <vt:i4>0</vt:i4>
      </vt:variant>
      <vt:variant>
        <vt:i4>5</vt:i4>
      </vt:variant>
      <vt:variant>
        <vt:lpwstr/>
      </vt:variant>
      <vt:variant>
        <vt:lpwstr>_Toc127957864</vt:lpwstr>
      </vt:variant>
      <vt:variant>
        <vt:i4>1900603</vt:i4>
      </vt:variant>
      <vt:variant>
        <vt:i4>1928</vt:i4>
      </vt:variant>
      <vt:variant>
        <vt:i4>0</vt:i4>
      </vt:variant>
      <vt:variant>
        <vt:i4>5</vt:i4>
      </vt:variant>
      <vt:variant>
        <vt:lpwstr/>
      </vt:variant>
      <vt:variant>
        <vt:lpwstr>_Toc127957863</vt:lpwstr>
      </vt:variant>
      <vt:variant>
        <vt:i4>1900603</vt:i4>
      </vt:variant>
      <vt:variant>
        <vt:i4>1922</vt:i4>
      </vt:variant>
      <vt:variant>
        <vt:i4>0</vt:i4>
      </vt:variant>
      <vt:variant>
        <vt:i4>5</vt:i4>
      </vt:variant>
      <vt:variant>
        <vt:lpwstr/>
      </vt:variant>
      <vt:variant>
        <vt:lpwstr>_Toc127957862</vt:lpwstr>
      </vt:variant>
      <vt:variant>
        <vt:i4>1900603</vt:i4>
      </vt:variant>
      <vt:variant>
        <vt:i4>1916</vt:i4>
      </vt:variant>
      <vt:variant>
        <vt:i4>0</vt:i4>
      </vt:variant>
      <vt:variant>
        <vt:i4>5</vt:i4>
      </vt:variant>
      <vt:variant>
        <vt:lpwstr/>
      </vt:variant>
      <vt:variant>
        <vt:lpwstr>_Toc127957861</vt:lpwstr>
      </vt:variant>
      <vt:variant>
        <vt:i4>1900603</vt:i4>
      </vt:variant>
      <vt:variant>
        <vt:i4>1910</vt:i4>
      </vt:variant>
      <vt:variant>
        <vt:i4>0</vt:i4>
      </vt:variant>
      <vt:variant>
        <vt:i4>5</vt:i4>
      </vt:variant>
      <vt:variant>
        <vt:lpwstr/>
      </vt:variant>
      <vt:variant>
        <vt:lpwstr>_Toc127957860</vt:lpwstr>
      </vt:variant>
      <vt:variant>
        <vt:i4>1966139</vt:i4>
      </vt:variant>
      <vt:variant>
        <vt:i4>1904</vt:i4>
      </vt:variant>
      <vt:variant>
        <vt:i4>0</vt:i4>
      </vt:variant>
      <vt:variant>
        <vt:i4>5</vt:i4>
      </vt:variant>
      <vt:variant>
        <vt:lpwstr/>
      </vt:variant>
      <vt:variant>
        <vt:lpwstr>_Toc127957859</vt:lpwstr>
      </vt:variant>
      <vt:variant>
        <vt:i4>1966139</vt:i4>
      </vt:variant>
      <vt:variant>
        <vt:i4>1898</vt:i4>
      </vt:variant>
      <vt:variant>
        <vt:i4>0</vt:i4>
      </vt:variant>
      <vt:variant>
        <vt:i4>5</vt:i4>
      </vt:variant>
      <vt:variant>
        <vt:lpwstr/>
      </vt:variant>
      <vt:variant>
        <vt:lpwstr>_Toc127957858</vt:lpwstr>
      </vt:variant>
      <vt:variant>
        <vt:i4>1966139</vt:i4>
      </vt:variant>
      <vt:variant>
        <vt:i4>1892</vt:i4>
      </vt:variant>
      <vt:variant>
        <vt:i4>0</vt:i4>
      </vt:variant>
      <vt:variant>
        <vt:i4>5</vt:i4>
      </vt:variant>
      <vt:variant>
        <vt:lpwstr/>
      </vt:variant>
      <vt:variant>
        <vt:lpwstr>_Toc127957857</vt:lpwstr>
      </vt:variant>
      <vt:variant>
        <vt:i4>1966139</vt:i4>
      </vt:variant>
      <vt:variant>
        <vt:i4>1886</vt:i4>
      </vt:variant>
      <vt:variant>
        <vt:i4>0</vt:i4>
      </vt:variant>
      <vt:variant>
        <vt:i4>5</vt:i4>
      </vt:variant>
      <vt:variant>
        <vt:lpwstr/>
      </vt:variant>
      <vt:variant>
        <vt:lpwstr>_Toc127957856</vt:lpwstr>
      </vt:variant>
      <vt:variant>
        <vt:i4>1966139</vt:i4>
      </vt:variant>
      <vt:variant>
        <vt:i4>1880</vt:i4>
      </vt:variant>
      <vt:variant>
        <vt:i4>0</vt:i4>
      </vt:variant>
      <vt:variant>
        <vt:i4>5</vt:i4>
      </vt:variant>
      <vt:variant>
        <vt:lpwstr/>
      </vt:variant>
      <vt:variant>
        <vt:lpwstr>_Toc127957855</vt:lpwstr>
      </vt:variant>
      <vt:variant>
        <vt:i4>1966139</vt:i4>
      </vt:variant>
      <vt:variant>
        <vt:i4>1874</vt:i4>
      </vt:variant>
      <vt:variant>
        <vt:i4>0</vt:i4>
      </vt:variant>
      <vt:variant>
        <vt:i4>5</vt:i4>
      </vt:variant>
      <vt:variant>
        <vt:lpwstr/>
      </vt:variant>
      <vt:variant>
        <vt:lpwstr>_Toc127957854</vt:lpwstr>
      </vt:variant>
      <vt:variant>
        <vt:i4>1966139</vt:i4>
      </vt:variant>
      <vt:variant>
        <vt:i4>1868</vt:i4>
      </vt:variant>
      <vt:variant>
        <vt:i4>0</vt:i4>
      </vt:variant>
      <vt:variant>
        <vt:i4>5</vt:i4>
      </vt:variant>
      <vt:variant>
        <vt:lpwstr/>
      </vt:variant>
      <vt:variant>
        <vt:lpwstr>_Toc127957853</vt:lpwstr>
      </vt:variant>
      <vt:variant>
        <vt:i4>1966139</vt:i4>
      </vt:variant>
      <vt:variant>
        <vt:i4>1862</vt:i4>
      </vt:variant>
      <vt:variant>
        <vt:i4>0</vt:i4>
      </vt:variant>
      <vt:variant>
        <vt:i4>5</vt:i4>
      </vt:variant>
      <vt:variant>
        <vt:lpwstr/>
      </vt:variant>
      <vt:variant>
        <vt:lpwstr>_Toc127957852</vt:lpwstr>
      </vt:variant>
      <vt:variant>
        <vt:i4>1966139</vt:i4>
      </vt:variant>
      <vt:variant>
        <vt:i4>1856</vt:i4>
      </vt:variant>
      <vt:variant>
        <vt:i4>0</vt:i4>
      </vt:variant>
      <vt:variant>
        <vt:i4>5</vt:i4>
      </vt:variant>
      <vt:variant>
        <vt:lpwstr/>
      </vt:variant>
      <vt:variant>
        <vt:lpwstr>_Toc127957851</vt:lpwstr>
      </vt:variant>
      <vt:variant>
        <vt:i4>1966139</vt:i4>
      </vt:variant>
      <vt:variant>
        <vt:i4>1850</vt:i4>
      </vt:variant>
      <vt:variant>
        <vt:i4>0</vt:i4>
      </vt:variant>
      <vt:variant>
        <vt:i4>5</vt:i4>
      </vt:variant>
      <vt:variant>
        <vt:lpwstr/>
      </vt:variant>
      <vt:variant>
        <vt:lpwstr>_Toc127957850</vt:lpwstr>
      </vt:variant>
      <vt:variant>
        <vt:i4>2031675</vt:i4>
      </vt:variant>
      <vt:variant>
        <vt:i4>1844</vt:i4>
      </vt:variant>
      <vt:variant>
        <vt:i4>0</vt:i4>
      </vt:variant>
      <vt:variant>
        <vt:i4>5</vt:i4>
      </vt:variant>
      <vt:variant>
        <vt:lpwstr/>
      </vt:variant>
      <vt:variant>
        <vt:lpwstr>_Toc127957849</vt:lpwstr>
      </vt:variant>
      <vt:variant>
        <vt:i4>2031675</vt:i4>
      </vt:variant>
      <vt:variant>
        <vt:i4>1838</vt:i4>
      </vt:variant>
      <vt:variant>
        <vt:i4>0</vt:i4>
      </vt:variant>
      <vt:variant>
        <vt:i4>5</vt:i4>
      </vt:variant>
      <vt:variant>
        <vt:lpwstr/>
      </vt:variant>
      <vt:variant>
        <vt:lpwstr>_Toc127957848</vt:lpwstr>
      </vt:variant>
      <vt:variant>
        <vt:i4>2031675</vt:i4>
      </vt:variant>
      <vt:variant>
        <vt:i4>1832</vt:i4>
      </vt:variant>
      <vt:variant>
        <vt:i4>0</vt:i4>
      </vt:variant>
      <vt:variant>
        <vt:i4>5</vt:i4>
      </vt:variant>
      <vt:variant>
        <vt:lpwstr/>
      </vt:variant>
      <vt:variant>
        <vt:lpwstr>_Toc127957847</vt:lpwstr>
      </vt:variant>
      <vt:variant>
        <vt:i4>2031675</vt:i4>
      </vt:variant>
      <vt:variant>
        <vt:i4>1826</vt:i4>
      </vt:variant>
      <vt:variant>
        <vt:i4>0</vt:i4>
      </vt:variant>
      <vt:variant>
        <vt:i4>5</vt:i4>
      </vt:variant>
      <vt:variant>
        <vt:lpwstr/>
      </vt:variant>
      <vt:variant>
        <vt:lpwstr>_Toc127957846</vt:lpwstr>
      </vt:variant>
      <vt:variant>
        <vt:i4>2031675</vt:i4>
      </vt:variant>
      <vt:variant>
        <vt:i4>1820</vt:i4>
      </vt:variant>
      <vt:variant>
        <vt:i4>0</vt:i4>
      </vt:variant>
      <vt:variant>
        <vt:i4>5</vt:i4>
      </vt:variant>
      <vt:variant>
        <vt:lpwstr/>
      </vt:variant>
      <vt:variant>
        <vt:lpwstr>_Toc127957845</vt:lpwstr>
      </vt:variant>
      <vt:variant>
        <vt:i4>2031675</vt:i4>
      </vt:variant>
      <vt:variant>
        <vt:i4>1814</vt:i4>
      </vt:variant>
      <vt:variant>
        <vt:i4>0</vt:i4>
      </vt:variant>
      <vt:variant>
        <vt:i4>5</vt:i4>
      </vt:variant>
      <vt:variant>
        <vt:lpwstr/>
      </vt:variant>
      <vt:variant>
        <vt:lpwstr>_Toc127957844</vt:lpwstr>
      </vt:variant>
      <vt:variant>
        <vt:i4>2031675</vt:i4>
      </vt:variant>
      <vt:variant>
        <vt:i4>1808</vt:i4>
      </vt:variant>
      <vt:variant>
        <vt:i4>0</vt:i4>
      </vt:variant>
      <vt:variant>
        <vt:i4>5</vt:i4>
      </vt:variant>
      <vt:variant>
        <vt:lpwstr/>
      </vt:variant>
      <vt:variant>
        <vt:lpwstr>_Toc127957843</vt:lpwstr>
      </vt:variant>
      <vt:variant>
        <vt:i4>2031675</vt:i4>
      </vt:variant>
      <vt:variant>
        <vt:i4>1802</vt:i4>
      </vt:variant>
      <vt:variant>
        <vt:i4>0</vt:i4>
      </vt:variant>
      <vt:variant>
        <vt:i4>5</vt:i4>
      </vt:variant>
      <vt:variant>
        <vt:lpwstr/>
      </vt:variant>
      <vt:variant>
        <vt:lpwstr>_Toc127957842</vt:lpwstr>
      </vt:variant>
      <vt:variant>
        <vt:i4>2031675</vt:i4>
      </vt:variant>
      <vt:variant>
        <vt:i4>1796</vt:i4>
      </vt:variant>
      <vt:variant>
        <vt:i4>0</vt:i4>
      </vt:variant>
      <vt:variant>
        <vt:i4>5</vt:i4>
      </vt:variant>
      <vt:variant>
        <vt:lpwstr/>
      </vt:variant>
      <vt:variant>
        <vt:lpwstr>_Toc127957841</vt:lpwstr>
      </vt:variant>
      <vt:variant>
        <vt:i4>2031675</vt:i4>
      </vt:variant>
      <vt:variant>
        <vt:i4>1790</vt:i4>
      </vt:variant>
      <vt:variant>
        <vt:i4>0</vt:i4>
      </vt:variant>
      <vt:variant>
        <vt:i4>5</vt:i4>
      </vt:variant>
      <vt:variant>
        <vt:lpwstr/>
      </vt:variant>
      <vt:variant>
        <vt:lpwstr>_Toc127957840</vt:lpwstr>
      </vt:variant>
      <vt:variant>
        <vt:i4>1572923</vt:i4>
      </vt:variant>
      <vt:variant>
        <vt:i4>1784</vt:i4>
      </vt:variant>
      <vt:variant>
        <vt:i4>0</vt:i4>
      </vt:variant>
      <vt:variant>
        <vt:i4>5</vt:i4>
      </vt:variant>
      <vt:variant>
        <vt:lpwstr/>
      </vt:variant>
      <vt:variant>
        <vt:lpwstr>_Toc127957839</vt:lpwstr>
      </vt:variant>
      <vt:variant>
        <vt:i4>1572923</vt:i4>
      </vt:variant>
      <vt:variant>
        <vt:i4>1778</vt:i4>
      </vt:variant>
      <vt:variant>
        <vt:i4>0</vt:i4>
      </vt:variant>
      <vt:variant>
        <vt:i4>5</vt:i4>
      </vt:variant>
      <vt:variant>
        <vt:lpwstr/>
      </vt:variant>
      <vt:variant>
        <vt:lpwstr>_Toc127957838</vt:lpwstr>
      </vt:variant>
      <vt:variant>
        <vt:i4>1572923</vt:i4>
      </vt:variant>
      <vt:variant>
        <vt:i4>1772</vt:i4>
      </vt:variant>
      <vt:variant>
        <vt:i4>0</vt:i4>
      </vt:variant>
      <vt:variant>
        <vt:i4>5</vt:i4>
      </vt:variant>
      <vt:variant>
        <vt:lpwstr/>
      </vt:variant>
      <vt:variant>
        <vt:lpwstr>_Toc127957837</vt:lpwstr>
      </vt:variant>
      <vt:variant>
        <vt:i4>1572923</vt:i4>
      </vt:variant>
      <vt:variant>
        <vt:i4>1766</vt:i4>
      </vt:variant>
      <vt:variant>
        <vt:i4>0</vt:i4>
      </vt:variant>
      <vt:variant>
        <vt:i4>5</vt:i4>
      </vt:variant>
      <vt:variant>
        <vt:lpwstr/>
      </vt:variant>
      <vt:variant>
        <vt:lpwstr>_Toc127957836</vt:lpwstr>
      </vt:variant>
      <vt:variant>
        <vt:i4>1572923</vt:i4>
      </vt:variant>
      <vt:variant>
        <vt:i4>1760</vt:i4>
      </vt:variant>
      <vt:variant>
        <vt:i4>0</vt:i4>
      </vt:variant>
      <vt:variant>
        <vt:i4>5</vt:i4>
      </vt:variant>
      <vt:variant>
        <vt:lpwstr/>
      </vt:variant>
      <vt:variant>
        <vt:lpwstr>_Toc127957835</vt:lpwstr>
      </vt:variant>
      <vt:variant>
        <vt:i4>1572923</vt:i4>
      </vt:variant>
      <vt:variant>
        <vt:i4>1754</vt:i4>
      </vt:variant>
      <vt:variant>
        <vt:i4>0</vt:i4>
      </vt:variant>
      <vt:variant>
        <vt:i4>5</vt:i4>
      </vt:variant>
      <vt:variant>
        <vt:lpwstr/>
      </vt:variant>
      <vt:variant>
        <vt:lpwstr>_Toc127957834</vt:lpwstr>
      </vt:variant>
      <vt:variant>
        <vt:i4>1572923</vt:i4>
      </vt:variant>
      <vt:variant>
        <vt:i4>1748</vt:i4>
      </vt:variant>
      <vt:variant>
        <vt:i4>0</vt:i4>
      </vt:variant>
      <vt:variant>
        <vt:i4>5</vt:i4>
      </vt:variant>
      <vt:variant>
        <vt:lpwstr/>
      </vt:variant>
      <vt:variant>
        <vt:lpwstr>_Toc127957833</vt:lpwstr>
      </vt:variant>
      <vt:variant>
        <vt:i4>1572923</vt:i4>
      </vt:variant>
      <vt:variant>
        <vt:i4>1742</vt:i4>
      </vt:variant>
      <vt:variant>
        <vt:i4>0</vt:i4>
      </vt:variant>
      <vt:variant>
        <vt:i4>5</vt:i4>
      </vt:variant>
      <vt:variant>
        <vt:lpwstr/>
      </vt:variant>
      <vt:variant>
        <vt:lpwstr>_Toc127957832</vt:lpwstr>
      </vt:variant>
      <vt:variant>
        <vt:i4>1572923</vt:i4>
      </vt:variant>
      <vt:variant>
        <vt:i4>1736</vt:i4>
      </vt:variant>
      <vt:variant>
        <vt:i4>0</vt:i4>
      </vt:variant>
      <vt:variant>
        <vt:i4>5</vt:i4>
      </vt:variant>
      <vt:variant>
        <vt:lpwstr/>
      </vt:variant>
      <vt:variant>
        <vt:lpwstr>_Toc127957831</vt:lpwstr>
      </vt:variant>
      <vt:variant>
        <vt:i4>1572923</vt:i4>
      </vt:variant>
      <vt:variant>
        <vt:i4>1730</vt:i4>
      </vt:variant>
      <vt:variant>
        <vt:i4>0</vt:i4>
      </vt:variant>
      <vt:variant>
        <vt:i4>5</vt:i4>
      </vt:variant>
      <vt:variant>
        <vt:lpwstr/>
      </vt:variant>
      <vt:variant>
        <vt:lpwstr>_Toc127957830</vt:lpwstr>
      </vt:variant>
      <vt:variant>
        <vt:i4>1638459</vt:i4>
      </vt:variant>
      <vt:variant>
        <vt:i4>1724</vt:i4>
      </vt:variant>
      <vt:variant>
        <vt:i4>0</vt:i4>
      </vt:variant>
      <vt:variant>
        <vt:i4>5</vt:i4>
      </vt:variant>
      <vt:variant>
        <vt:lpwstr/>
      </vt:variant>
      <vt:variant>
        <vt:lpwstr>_Toc127957829</vt:lpwstr>
      </vt:variant>
      <vt:variant>
        <vt:i4>1638459</vt:i4>
      </vt:variant>
      <vt:variant>
        <vt:i4>1718</vt:i4>
      </vt:variant>
      <vt:variant>
        <vt:i4>0</vt:i4>
      </vt:variant>
      <vt:variant>
        <vt:i4>5</vt:i4>
      </vt:variant>
      <vt:variant>
        <vt:lpwstr/>
      </vt:variant>
      <vt:variant>
        <vt:lpwstr>_Toc127957828</vt:lpwstr>
      </vt:variant>
      <vt:variant>
        <vt:i4>1638459</vt:i4>
      </vt:variant>
      <vt:variant>
        <vt:i4>1712</vt:i4>
      </vt:variant>
      <vt:variant>
        <vt:i4>0</vt:i4>
      </vt:variant>
      <vt:variant>
        <vt:i4>5</vt:i4>
      </vt:variant>
      <vt:variant>
        <vt:lpwstr/>
      </vt:variant>
      <vt:variant>
        <vt:lpwstr>_Toc127957827</vt:lpwstr>
      </vt:variant>
      <vt:variant>
        <vt:i4>1638459</vt:i4>
      </vt:variant>
      <vt:variant>
        <vt:i4>1706</vt:i4>
      </vt:variant>
      <vt:variant>
        <vt:i4>0</vt:i4>
      </vt:variant>
      <vt:variant>
        <vt:i4>5</vt:i4>
      </vt:variant>
      <vt:variant>
        <vt:lpwstr/>
      </vt:variant>
      <vt:variant>
        <vt:lpwstr>_Toc127957826</vt:lpwstr>
      </vt:variant>
      <vt:variant>
        <vt:i4>1638459</vt:i4>
      </vt:variant>
      <vt:variant>
        <vt:i4>1700</vt:i4>
      </vt:variant>
      <vt:variant>
        <vt:i4>0</vt:i4>
      </vt:variant>
      <vt:variant>
        <vt:i4>5</vt:i4>
      </vt:variant>
      <vt:variant>
        <vt:lpwstr/>
      </vt:variant>
      <vt:variant>
        <vt:lpwstr>_Toc127957825</vt:lpwstr>
      </vt:variant>
      <vt:variant>
        <vt:i4>1638459</vt:i4>
      </vt:variant>
      <vt:variant>
        <vt:i4>1694</vt:i4>
      </vt:variant>
      <vt:variant>
        <vt:i4>0</vt:i4>
      </vt:variant>
      <vt:variant>
        <vt:i4>5</vt:i4>
      </vt:variant>
      <vt:variant>
        <vt:lpwstr/>
      </vt:variant>
      <vt:variant>
        <vt:lpwstr>_Toc127957824</vt:lpwstr>
      </vt:variant>
      <vt:variant>
        <vt:i4>1638459</vt:i4>
      </vt:variant>
      <vt:variant>
        <vt:i4>1688</vt:i4>
      </vt:variant>
      <vt:variant>
        <vt:i4>0</vt:i4>
      </vt:variant>
      <vt:variant>
        <vt:i4>5</vt:i4>
      </vt:variant>
      <vt:variant>
        <vt:lpwstr/>
      </vt:variant>
      <vt:variant>
        <vt:lpwstr>_Toc127957823</vt:lpwstr>
      </vt:variant>
      <vt:variant>
        <vt:i4>1638459</vt:i4>
      </vt:variant>
      <vt:variant>
        <vt:i4>1682</vt:i4>
      </vt:variant>
      <vt:variant>
        <vt:i4>0</vt:i4>
      </vt:variant>
      <vt:variant>
        <vt:i4>5</vt:i4>
      </vt:variant>
      <vt:variant>
        <vt:lpwstr/>
      </vt:variant>
      <vt:variant>
        <vt:lpwstr>_Toc127957822</vt:lpwstr>
      </vt:variant>
      <vt:variant>
        <vt:i4>1638459</vt:i4>
      </vt:variant>
      <vt:variant>
        <vt:i4>1676</vt:i4>
      </vt:variant>
      <vt:variant>
        <vt:i4>0</vt:i4>
      </vt:variant>
      <vt:variant>
        <vt:i4>5</vt:i4>
      </vt:variant>
      <vt:variant>
        <vt:lpwstr/>
      </vt:variant>
      <vt:variant>
        <vt:lpwstr>_Toc127957821</vt:lpwstr>
      </vt:variant>
      <vt:variant>
        <vt:i4>1638459</vt:i4>
      </vt:variant>
      <vt:variant>
        <vt:i4>1670</vt:i4>
      </vt:variant>
      <vt:variant>
        <vt:i4>0</vt:i4>
      </vt:variant>
      <vt:variant>
        <vt:i4>5</vt:i4>
      </vt:variant>
      <vt:variant>
        <vt:lpwstr/>
      </vt:variant>
      <vt:variant>
        <vt:lpwstr>_Toc127957820</vt:lpwstr>
      </vt:variant>
      <vt:variant>
        <vt:i4>1703995</vt:i4>
      </vt:variant>
      <vt:variant>
        <vt:i4>1664</vt:i4>
      </vt:variant>
      <vt:variant>
        <vt:i4>0</vt:i4>
      </vt:variant>
      <vt:variant>
        <vt:i4>5</vt:i4>
      </vt:variant>
      <vt:variant>
        <vt:lpwstr/>
      </vt:variant>
      <vt:variant>
        <vt:lpwstr>_Toc127957819</vt:lpwstr>
      </vt:variant>
      <vt:variant>
        <vt:i4>1703995</vt:i4>
      </vt:variant>
      <vt:variant>
        <vt:i4>1658</vt:i4>
      </vt:variant>
      <vt:variant>
        <vt:i4>0</vt:i4>
      </vt:variant>
      <vt:variant>
        <vt:i4>5</vt:i4>
      </vt:variant>
      <vt:variant>
        <vt:lpwstr/>
      </vt:variant>
      <vt:variant>
        <vt:lpwstr>_Toc127957818</vt:lpwstr>
      </vt:variant>
      <vt:variant>
        <vt:i4>1703995</vt:i4>
      </vt:variant>
      <vt:variant>
        <vt:i4>1652</vt:i4>
      </vt:variant>
      <vt:variant>
        <vt:i4>0</vt:i4>
      </vt:variant>
      <vt:variant>
        <vt:i4>5</vt:i4>
      </vt:variant>
      <vt:variant>
        <vt:lpwstr/>
      </vt:variant>
      <vt:variant>
        <vt:lpwstr>_Toc127957817</vt:lpwstr>
      </vt:variant>
      <vt:variant>
        <vt:i4>1703995</vt:i4>
      </vt:variant>
      <vt:variant>
        <vt:i4>1646</vt:i4>
      </vt:variant>
      <vt:variant>
        <vt:i4>0</vt:i4>
      </vt:variant>
      <vt:variant>
        <vt:i4>5</vt:i4>
      </vt:variant>
      <vt:variant>
        <vt:lpwstr/>
      </vt:variant>
      <vt:variant>
        <vt:lpwstr>_Toc127957816</vt:lpwstr>
      </vt:variant>
      <vt:variant>
        <vt:i4>1703995</vt:i4>
      </vt:variant>
      <vt:variant>
        <vt:i4>1640</vt:i4>
      </vt:variant>
      <vt:variant>
        <vt:i4>0</vt:i4>
      </vt:variant>
      <vt:variant>
        <vt:i4>5</vt:i4>
      </vt:variant>
      <vt:variant>
        <vt:lpwstr/>
      </vt:variant>
      <vt:variant>
        <vt:lpwstr>_Toc127957815</vt:lpwstr>
      </vt:variant>
      <vt:variant>
        <vt:i4>1703995</vt:i4>
      </vt:variant>
      <vt:variant>
        <vt:i4>1634</vt:i4>
      </vt:variant>
      <vt:variant>
        <vt:i4>0</vt:i4>
      </vt:variant>
      <vt:variant>
        <vt:i4>5</vt:i4>
      </vt:variant>
      <vt:variant>
        <vt:lpwstr/>
      </vt:variant>
      <vt:variant>
        <vt:lpwstr>_Toc127957814</vt:lpwstr>
      </vt:variant>
      <vt:variant>
        <vt:i4>1703995</vt:i4>
      </vt:variant>
      <vt:variant>
        <vt:i4>1628</vt:i4>
      </vt:variant>
      <vt:variant>
        <vt:i4>0</vt:i4>
      </vt:variant>
      <vt:variant>
        <vt:i4>5</vt:i4>
      </vt:variant>
      <vt:variant>
        <vt:lpwstr/>
      </vt:variant>
      <vt:variant>
        <vt:lpwstr>_Toc127957813</vt:lpwstr>
      </vt:variant>
      <vt:variant>
        <vt:i4>1703995</vt:i4>
      </vt:variant>
      <vt:variant>
        <vt:i4>1622</vt:i4>
      </vt:variant>
      <vt:variant>
        <vt:i4>0</vt:i4>
      </vt:variant>
      <vt:variant>
        <vt:i4>5</vt:i4>
      </vt:variant>
      <vt:variant>
        <vt:lpwstr/>
      </vt:variant>
      <vt:variant>
        <vt:lpwstr>_Toc127957812</vt:lpwstr>
      </vt:variant>
      <vt:variant>
        <vt:i4>1703995</vt:i4>
      </vt:variant>
      <vt:variant>
        <vt:i4>1616</vt:i4>
      </vt:variant>
      <vt:variant>
        <vt:i4>0</vt:i4>
      </vt:variant>
      <vt:variant>
        <vt:i4>5</vt:i4>
      </vt:variant>
      <vt:variant>
        <vt:lpwstr/>
      </vt:variant>
      <vt:variant>
        <vt:lpwstr>_Toc127957811</vt:lpwstr>
      </vt:variant>
      <vt:variant>
        <vt:i4>1703995</vt:i4>
      </vt:variant>
      <vt:variant>
        <vt:i4>1610</vt:i4>
      </vt:variant>
      <vt:variant>
        <vt:i4>0</vt:i4>
      </vt:variant>
      <vt:variant>
        <vt:i4>5</vt:i4>
      </vt:variant>
      <vt:variant>
        <vt:lpwstr/>
      </vt:variant>
      <vt:variant>
        <vt:lpwstr>_Toc127957810</vt:lpwstr>
      </vt:variant>
      <vt:variant>
        <vt:i4>1769531</vt:i4>
      </vt:variant>
      <vt:variant>
        <vt:i4>1604</vt:i4>
      </vt:variant>
      <vt:variant>
        <vt:i4>0</vt:i4>
      </vt:variant>
      <vt:variant>
        <vt:i4>5</vt:i4>
      </vt:variant>
      <vt:variant>
        <vt:lpwstr/>
      </vt:variant>
      <vt:variant>
        <vt:lpwstr>_Toc127957809</vt:lpwstr>
      </vt:variant>
      <vt:variant>
        <vt:i4>1769531</vt:i4>
      </vt:variant>
      <vt:variant>
        <vt:i4>1598</vt:i4>
      </vt:variant>
      <vt:variant>
        <vt:i4>0</vt:i4>
      </vt:variant>
      <vt:variant>
        <vt:i4>5</vt:i4>
      </vt:variant>
      <vt:variant>
        <vt:lpwstr/>
      </vt:variant>
      <vt:variant>
        <vt:lpwstr>_Toc127957808</vt:lpwstr>
      </vt:variant>
      <vt:variant>
        <vt:i4>1769531</vt:i4>
      </vt:variant>
      <vt:variant>
        <vt:i4>1592</vt:i4>
      </vt:variant>
      <vt:variant>
        <vt:i4>0</vt:i4>
      </vt:variant>
      <vt:variant>
        <vt:i4>5</vt:i4>
      </vt:variant>
      <vt:variant>
        <vt:lpwstr/>
      </vt:variant>
      <vt:variant>
        <vt:lpwstr>_Toc127957807</vt:lpwstr>
      </vt:variant>
      <vt:variant>
        <vt:i4>1769531</vt:i4>
      </vt:variant>
      <vt:variant>
        <vt:i4>1586</vt:i4>
      </vt:variant>
      <vt:variant>
        <vt:i4>0</vt:i4>
      </vt:variant>
      <vt:variant>
        <vt:i4>5</vt:i4>
      </vt:variant>
      <vt:variant>
        <vt:lpwstr/>
      </vt:variant>
      <vt:variant>
        <vt:lpwstr>_Toc127957806</vt:lpwstr>
      </vt:variant>
      <vt:variant>
        <vt:i4>1769531</vt:i4>
      </vt:variant>
      <vt:variant>
        <vt:i4>1580</vt:i4>
      </vt:variant>
      <vt:variant>
        <vt:i4>0</vt:i4>
      </vt:variant>
      <vt:variant>
        <vt:i4>5</vt:i4>
      </vt:variant>
      <vt:variant>
        <vt:lpwstr/>
      </vt:variant>
      <vt:variant>
        <vt:lpwstr>_Toc127957805</vt:lpwstr>
      </vt:variant>
      <vt:variant>
        <vt:i4>1769531</vt:i4>
      </vt:variant>
      <vt:variant>
        <vt:i4>1574</vt:i4>
      </vt:variant>
      <vt:variant>
        <vt:i4>0</vt:i4>
      </vt:variant>
      <vt:variant>
        <vt:i4>5</vt:i4>
      </vt:variant>
      <vt:variant>
        <vt:lpwstr/>
      </vt:variant>
      <vt:variant>
        <vt:lpwstr>_Toc127957804</vt:lpwstr>
      </vt:variant>
      <vt:variant>
        <vt:i4>1769531</vt:i4>
      </vt:variant>
      <vt:variant>
        <vt:i4>1568</vt:i4>
      </vt:variant>
      <vt:variant>
        <vt:i4>0</vt:i4>
      </vt:variant>
      <vt:variant>
        <vt:i4>5</vt:i4>
      </vt:variant>
      <vt:variant>
        <vt:lpwstr/>
      </vt:variant>
      <vt:variant>
        <vt:lpwstr>_Toc127957803</vt:lpwstr>
      </vt:variant>
      <vt:variant>
        <vt:i4>1769531</vt:i4>
      </vt:variant>
      <vt:variant>
        <vt:i4>1562</vt:i4>
      </vt:variant>
      <vt:variant>
        <vt:i4>0</vt:i4>
      </vt:variant>
      <vt:variant>
        <vt:i4>5</vt:i4>
      </vt:variant>
      <vt:variant>
        <vt:lpwstr/>
      </vt:variant>
      <vt:variant>
        <vt:lpwstr>_Toc127957802</vt:lpwstr>
      </vt:variant>
      <vt:variant>
        <vt:i4>1769531</vt:i4>
      </vt:variant>
      <vt:variant>
        <vt:i4>1556</vt:i4>
      </vt:variant>
      <vt:variant>
        <vt:i4>0</vt:i4>
      </vt:variant>
      <vt:variant>
        <vt:i4>5</vt:i4>
      </vt:variant>
      <vt:variant>
        <vt:lpwstr/>
      </vt:variant>
      <vt:variant>
        <vt:lpwstr>_Toc127957801</vt:lpwstr>
      </vt:variant>
      <vt:variant>
        <vt:i4>1769531</vt:i4>
      </vt:variant>
      <vt:variant>
        <vt:i4>1550</vt:i4>
      </vt:variant>
      <vt:variant>
        <vt:i4>0</vt:i4>
      </vt:variant>
      <vt:variant>
        <vt:i4>5</vt:i4>
      </vt:variant>
      <vt:variant>
        <vt:lpwstr/>
      </vt:variant>
      <vt:variant>
        <vt:lpwstr>_Toc127957800</vt:lpwstr>
      </vt:variant>
      <vt:variant>
        <vt:i4>1179700</vt:i4>
      </vt:variant>
      <vt:variant>
        <vt:i4>1544</vt:i4>
      </vt:variant>
      <vt:variant>
        <vt:i4>0</vt:i4>
      </vt:variant>
      <vt:variant>
        <vt:i4>5</vt:i4>
      </vt:variant>
      <vt:variant>
        <vt:lpwstr/>
      </vt:variant>
      <vt:variant>
        <vt:lpwstr>_Toc127957799</vt:lpwstr>
      </vt:variant>
      <vt:variant>
        <vt:i4>1179700</vt:i4>
      </vt:variant>
      <vt:variant>
        <vt:i4>1538</vt:i4>
      </vt:variant>
      <vt:variant>
        <vt:i4>0</vt:i4>
      </vt:variant>
      <vt:variant>
        <vt:i4>5</vt:i4>
      </vt:variant>
      <vt:variant>
        <vt:lpwstr/>
      </vt:variant>
      <vt:variant>
        <vt:lpwstr>_Toc127957798</vt:lpwstr>
      </vt:variant>
      <vt:variant>
        <vt:i4>1179700</vt:i4>
      </vt:variant>
      <vt:variant>
        <vt:i4>1532</vt:i4>
      </vt:variant>
      <vt:variant>
        <vt:i4>0</vt:i4>
      </vt:variant>
      <vt:variant>
        <vt:i4>5</vt:i4>
      </vt:variant>
      <vt:variant>
        <vt:lpwstr/>
      </vt:variant>
      <vt:variant>
        <vt:lpwstr>_Toc127957797</vt:lpwstr>
      </vt:variant>
      <vt:variant>
        <vt:i4>1310768</vt:i4>
      </vt:variant>
      <vt:variant>
        <vt:i4>1523</vt:i4>
      </vt:variant>
      <vt:variant>
        <vt:i4>0</vt:i4>
      </vt:variant>
      <vt:variant>
        <vt:i4>5</vt:i4>
      </vt:variant>
      <vt:variant>
        <vt:lpwstr/>
      </vt:variant>
      <vt:variant>
        <vt:lpwstr>_Toc125402479</vt:lpwstr>
      </vt:variant>
      <vt:variant>
        <vt:i4>1310768</vt:i4>
      </vt:variant>
      <vt:variant>
        <vt:i4>1517</vt:i4>
      </vt:variant>
      <vt:variant>
        <vt:i4>0</vt:i4>
      </vt:variant>
      <vt:variant>
        <vt:i4>5</vt:i4>
      </vt:variant>
      <vt:variant>
        <vt:lpwstr/>
      </vt:variant>
      <vt:variant>
        <vt:lpwstr>_Toc125402478</vt:lpwstr>
      </vt:variant>
      <vt:variant>
        <vt:i4>1310768</vt:i4>
      </vt:variant>
      <vt:variant>
        <vt:i4>1511</vt:i4>
      </vt:variant>
      <vt:variant>
        <vt:i4>0</vt:i4>
      </vt:variant>
      <vt:variant>
        <vt:i4>5</vt:i4>
      </vt:variant>
      <vt:variant>
        <vt:lpwstr/>
      </vt:variant>
      <vt:variant>
        <vt:lpwstr>_Toc125402477</vt:lpwstr>
      </vt:variant>
      <vt:variant>
        <vt:i4>1310768</vt:i4>
      </vt:variant>
      <vt:variant>
        <vt:i4>1505</vt:i4>
      </vt:variant>
      <vt:variant>
        <vt:i4>0</vt:i4>
      </vt:variant>
      <vt:variant>
        <vt:i4>5</vt:i4>
      </vt:variant>
      <vt:variant>
        <vt:lpwstr/>
      </vt:variant>
      <vt:variant>
        <vt:lpwstr>_Toc125402476</vt:lpwstr>
      </vt:variant>
      <vt:variant>
        <vt:i4>1310768</vt:i4>
      </vt:variant>
      <vt:variant>
        <vt:i4>1499</vt:i4>
      </vt:variant>
      <vt:variant>
        <vt:i4>0</vt:i4>
      </vt:variant>
      <vt:variant>
        <vt:i4>5</vt:i4>
      </vt:variant>
      <vt:variant>
        <vt:lpwstr/>
      </vt:variant>
      <vt:variant>
        <vt:lpwstr>_Toc125402475</vt:lpwstr>
      </vt:variant>
      <vt:variant>
        <vt:i4>1310768</vt:i4>
      </vt:variant>
      <vt:variant>
        <vt:i4>1493</vt:i4>
      </vt:variant>
      <vt:variant>
        <vt:i4>0</vt:i4>
      </vt:variant>
      <vt:variant>
        <vt:i4>5</vt:i4>
      </vt:variant>
      <vt:variant>
        <vt:lpwstr/>
      </vt:variant>
      <vt:variant>
        <vt:lpwstr>_Toc125402474</vt:lpwstr>
      </vt:variant>
      <vt:variant>
        <vt:i4>1310768</vt:i4>
      </vt:variant>
      <vt:variant>
        <vt:i4>1487</vt:i4>
      </vt:variant>
      <vt:variant>
        <vt:i4>0</vt:i4>
      </vt:variant>
      <vt:variant>
        <vt:i4>5</vt:i4>
      </vt:variant>
      <vt:variant>
        <vt:lpwstr/>
      </vt:variant>
      <vt:variant>
        <vt:lpwstr>_Toc125402473</vt:lpwstr>
      </vt:variant>
      <vt:variant>
        <vt:i4>1310768</vt:i4>
      </vt:variant>
      <vt:variant>
        <vt:i4>1481</vt:i4>
      </vt:variant>
      <vt:variant>
        <vt:i4>0</vt:i4>
      </vt:variant>
      <vt:variant>
        <vt:i4>5</vt:i4>
      </vt:variant>
      <vt:variant>
        <vt:lpwstr/>
      </vt:variant>
      <vt:variant>
        <vt:lpwstr>_Toc125402472</vt:lpwstr>
      </vt:variant>
      <vt:variant>
        <vt:i4>1310768</vt:i4>
      </vt:variant>
      <vt:variant>
        <vt:i4>1475</vt:i4>
      </vt:variant>
      <vt:variant>
        <vt:i4>0</vt:i4>
      </vt:variant>
      <vt:variant>
        <vt:i4>5</vt:i4>
      </vt:variant>
      <vt:variant>
        <vt:lpwstr/>
      </vt:variant>
      <vt:variant>
        <vt:lpwstr>_Toc125402471</vt:lpwstr>
      </vt:variant>
      <vt:variant>
        <vt:i4>1310768</vt:i4>
      </vt:variant>
      <vt:variant>
        <vt:i4>1469</vt:i4>
      </vt:variant>
      <vt:variant>
        <vt:i4>0</vt:i4>
      </vt:variant>
      <vt:variant>
        <vt:i4>5</vt:i4>
      </vt:variant>
      <vt:variant>
        <vt:lpwstr/>
      </vt:variant>
      <vt:variant>
        <vt:lpwstr>_Toc125402470</vt:lpwstr>
      </vt:variant>
      <vt:variant>
        <vt:i4>1376304</vt:i4>
      </vt:variant>
      <vt:variant>
        <vt:i4>1463</vt:i4>
      </vt:variant>
      <vt:variant>
        <vt:i4>0</vt:i4>
      </vt:variant>
      <vt:variant>
        <vt:i4>5</vt:i4>
      </vt:variant>
      <vt:variant>
        <vt:lpwstr/>
      </vt:variant>
      <vt:variant>
        <vt:lpwstr>_Toc125402469</vt:lpwstr>
      </vt:variant>
      <vt:variant>
        <vt:i4>1376304</vt:i4>
      </vt:variant>
      <vt:variant>
        <vt:i4>1457</vt:i4>
      </vt:variant>
      <vt:variant>
        <vt:i4>0</vt:i4>
      </vt:variant>
      <vt:variant>
        <vt:i4>5</vt:i4>
      </vt:variant>
      <vt:variant>
        <vt:lpwstr/>
      </vt:variant>
      <vt:variant>
        <vt:lpwstr>_Toc125402468</vt:lpwstr>
      </vt:variant>
      <vt:variant>
        <vt:i4>1376304</vt:i4>
      </vt:variant>
      <vt:variant>
        <vt:i4>1451</vt:i4>
      </vt:variant>
      <vt:variant>
        <vt:i4>0</vt:i4>
      </vt:variant>
      <vt:variant>
        <vt:i4>5</vt:i4>
      </vt:variant>
      <vt:variant>
        <vt:lpwstr/>
      </vt:variant>
      <vt:variant>
        <vt:lpwstr>_Toc125402467</vt:lpwstr>
      </vt:variant>
      <vt:variant>
        <vt:i4>1376304</vt:i4>
      </vt:variant>
      <vt:variant>
        <vt:i4>1445</vt:i4>
      </vt:variant>
      <vt:variant>
        <vt:i4>0</vt:i4>
      </vt:variant>
      <vt:variant>
        <vt:i4>5</vt:i4>
      </vt:variant>
      <vt:variant>
        <vt:lpwstr/>
      </vt:variant>
      <vt:variant>
        <vt:lpwstr>_Toc125402466</vt:lpwstr>
      </vt:variant>
      <vt:variant>
        <vt:i4>1376304</vt:i4>
      </vt:variant>
      <vt:variant>
        <vt:i4>1439</vt:i4>
      </vt:variant>
      <vt:variant>
        <vt:i4>0</vt:i4>
      </vt:variant>
      <vt:variant>
        <vt:i4>5</vt:i4>
      </vt:variant>
      <vt:variant>
        <vt:lpwstr/>
      </vt:variant>
      <vt:variant>
        <vt:lpwstr>_Toc125402465</vt:lpwstr>
      </vt:variant>
      <vt:variant>
        <vt:i4>1376304</vt:i4>
      </vt:variant>
      <vt:variant>
        <vt:i4>1433</vt:i4>
      </vt:variant>
      <vt:variant>
        <vt:i4>0</vt:i4>
      </vt:variant>
      <vt:variant>
        <vt:i4>5</vt:i4>
      </vt:variant>
      <vt:variant>
        <vt:lpwstr/>
      </vt:variant>
      <vt:variant>
        <vt:lpwstr>_Toc125402464</vt:lpwstr>
      </vt:variant>
      <vt:variant>
        <vt:i4>1835060</vt:i4>
      </vt:variant>
      <vt:variant>
        <vt:i4>1424</vt:i4>
      </vt:variant>
      <vt:variant>
        <vt:i4>0</vt:i4>
      </vt:variant>
      <vt:variant>
        <vt:i4>5</vt:i4>
      </vt:variant>
      <vt:variant>
        <vt:lpwstr/>
      </vt:variant>
      <vt:variant>
        <vt:lpwstr>_Toc127957774</vt:lpwstr>
      </vt:variant>
      <vt:variant>
        <vt:i4>1835060</vt:i4>
      </vt:variant>
      <vt:variant>
        <vt:i4>1418</vt:i4>
      </vt:variant>
      <vt:variant>
        <vt:i4>0</vt:i4>
      </vt:variant>
      <vt:variant>
        <vt:i4>5</vt:i4>
      </vt:variant>
      <vt:variant>
        <vt:lpwstr/>
      </vt:variant>
      <vt:variant>
        <vt:lpwstr>_Toc127957773</vt:lpwstr>
      </vt:variant>
      <vt:variant>
        <vt:i4>1835060</vt:i4>
      </vt:variant>
      <vt:variant>
        <vt:i4>1412</vt:i4>
      </vt:variant>
      <vt:variant>
        <vt:i4>0</vt:i4>
      </vt:variant>
      <vt:variant>
        <vt:i4>5</vt:i4>
      </vt:variant>
      <vt:variant>
        <vt:lpwstr/>
      </vt:variant>
      <vt:variant>
        <vt:lpwstr>_Toc127957772</vt:lpwstr>
      </vt:variant>
      <vt:variant>
        <vt:i4>1835060</vt:i4>
      </vt:variant>
      <vt:variant>
        <vt:i4>1406</vt:i4>
      </vt:variant>
      <vt:variant>
        <vt:i4>0</vt:i4>
      </vt:variant>
      <vt:variant>
        <vt:i4>5</vt:i4>
      </vt:variant>
      <vt:variant>
        <vt:lpwstr/>
      </vt:variant>
      <vt:variant>
        <vt:lpwstr>_Toc127957771</vt:lpwstr>
      </vt:variant>
      <vt:variant>
        <vt:i4>1835060</vt:i4>
      </vt:variant>
      <vt:variant>
        <vt:i4>1400</vt:i4>
      </vt:variant>
      <vt:variant>
        <vt:i4>0</vt:i4>
      </vt:variant>
      <vt:variant>
        <vt:i4>5</vt:i4>
      </vt:variant>
      <vt:variant>
        <vt:lpwstr/>
      </vt:variant>
      <vt:variant>
        <vt:lpwstr>_Toc127957770</vt:lpwstr>
      </vt:variant>
      <vt:variant>
        <vt:i4>1900596</vt:i4>
      </vt:variant>
      <vt:variant>
        <vt:i4>1394</vt:i4>
      </vt:variant>
      <vt:variant>
        <vt:i4>0</vt:i4>
      </vt:variant>
      <vt:variant>
        <vt:i4>5</vt:i4>
      </vt:variant>
      <vt:variant>
        <vt:lpwstr/>
      </vt:variant>
      <vt:variant>
        <vt:lpwstr>_Toc127957769</vt:lpwstr>
      </vt:variant>
      <vt:variant>
        <vt:i4>1900596</vt:i4>
      </vt:variant>
      <vt:variant>
        <vt:i4>1388</vt:i4>
      </vt:variant>
      <vt:variant>
        <vt:i4>0</vt:i4>
      </vt:variant>
      <vt:variant>
        <vt:i4>5</vt:i4>
      </vt:variant>
      <vt:variant>
        <vt:lpwstr/>
      </vt:variant>
      <vt:variant>
        <vt:lpwstr>_Toc127957768</vt:lpwstr>
      </vt:variant>
      <vt:variant>
        <vt:i4>1900596</vt:i4>
      </vt:variant>
      <vt:variant>
        <vt:i4>1382</vt:i4>
      </vt:variant>
      <vt:variant>
        <vt:i4>0</vt:i4>
      </vt:variant>
      <vt:variant>
        <vt:i4>5</vt:i4>
      </vt:variant>
      <vt:variant>
        <vt:lpwstr/>
      </vt:variant>
      <vt:variant>
        <vt:lpwstr>_Toc127957767</vt:lpwstr>
      </vt:variant>
      <vt:variant>
        <vt:i4>1900596</vt:i4>
      </vt:variant>
      <vt:variant>
        <vt:i4>1376</vt:i4>
      </vt:variant>
      <vt:variant>
        <vt:i4>0</vt:i4>
      </vt:variant>
      <vt:variant>
        <vt:i4>5</vt:i4>
      </vt:variant>
      <vt:variant>
        <vt:lpwstr/>
      </vt:variant>
      <vt:variant>
        <vt:lpwstr>_Toc127957766</vt:lpwstr>
      </vt:variant>
      <vt:variant>
        <vt:i4>1900596</vt:i4>
      </vt:variant>
      <vt:variant>
        <vt:i4>1370</vt:i4>
      </vt:variant>
      <vt:variant>
        <vt:i4>0</vt:i4>
      </vt:variant>
      <vt:variant>
        <vt:i4>5</vt:i4>
      </vt:variant>
      <vt:variant>
        <vt:lpwstr/>
      </vt:variant>
      <vt:variant>
        <vt:lpwstr>_Toc127957765</vt:lpwstr>
      </vt:variant>
      <vt:variant>
        <vt:i4>1900596</vt:i4>
      </vt:variant>
      <vt:variant>
        <vt:i4>1364</vt:i4>
      </vt:variant>
      <vt:variant>
        <vt:i4>0</vt:i4>
      </vt:variant>
      <vt:variant>
        <vt:i4>5</vt:i4>
      </vt:variant>
      <vt:variant>
        <vt:lpwstr/>
      </vt:variant>
      <vt:variant>
        <vt:lpwstr>_Toc127957764</vt:lpwstr>
      </vt:variant>
      <vt:variant>
        <vt:i4>1900596</vt:i4>
      </vt:variant>
      <vt:variant>
        <vt:i4>1358</vt:i4>
      </vt:variant>
      <vt:variant>
        <vt:i4>0</vt:i4>
      </vt:variant>
      <vt:variant>
        <vt:i4>5</vt:i4>
      </vt:variant>
      <vt:variant>
        <vt:lpwstr/>
      </vt:variant>
      <vt:variant>
        <vt:lpwstr>_Toc127957763</vt:lpwstr>
      </vt:variant>
      <vt:variant>
        <vt:i4>1900596</vt:i4>
      </vt:variant>
      <vt:variant>
        <vt:i4>1352</vt:i4>
      </vt:variant>
      <vt:variant>
        <vt:i4>0</vt:i4>
      </vt:variant>
      <vt:variant>
        <vt:i4>5</vt:i4>
      </vt:variant>
      <vt:variant>
        <vt:lpwstr/>
      </vt:variant>
      <vt:variant>
        <vt:lpwstr>_Toc127957762</vt:lpwstr>
      </vt:variant>
      <vt:variant>
        <vt:i4>1900596</vt:i4>
      </vt:variant>
      <vt:variant>
        <vt:i4>1346</vt:i4>
      </vt:variant>
      <vt:variant>
        <vt:i4>0</vt:i4>
      </vt:variant>
      <vt:variant>
        <vt:i4>5</vt:i4>
      </vt:variant>
      <vt:variant>
        <vt:lpwstr/>
      </vt:variant>
      <vt:variant>
        <vt:lpwstr>_Toc127957761</vt:lpwstr>
      </vt:variant>
      <vt:variant>
        <vt:i4>1900596</vt:i4>
      </vt:variant>
      <vt:variant>
        <vt:i4>1340</vt:i4>
      </vt:variant>
      <vt:variant>
        <vt:i4>0</vt:i4>
      </vt:variant>
      <vt:variant>
        <vt:i4>5</vt:i4>
      </vt:variant>
      <vt:variant>
        <vt:lpwstr/>
      </vt:variant>
      <vt:variant>
        <vt:lpwstr>_Toc127957760</vt:lpwstr>
      </vt:variant>
      <vt:variant>
        <vt:i4>1966132</vt:i4>
      </vt:variant>
      <vt:variant>
        <vt:i4>1334</vt:i4>
      </vt:variant>
      <vt:variant>
        <vt:i4>0</vt:i4>
      </vt:variant>
      <vt:variant>
        <vt:i4>5</vt:i4>
      </vt:variant>
      <vt:variant>
        <vt:lpwstr/>
      </vt:variant>
      <vt:variant>
        <vt:lpwstr>_Toc127957759</vt:lpwstr>
      </vt:variant>
      <vt:variant>
        <vt:i4>1966132</vt:i4>
      </vt:variant>
      <vt:variant>
        <vt:i4>1328</vt:i4>
      </vt:variant>
      <vt:variant>
        <vt:i4>0</vt:i4>
      </vt:variant>
      <vt:variant>
        <vt:i4>5</vt:i4>
      </vt:variant>
      <vt:variant>
        <vt:lpwstr/>
      </vt:variant>
      <vt:variant>
        <vt:lpwstr>_Toc127957758</vt:lpwstr>
      </vt:variant>
      <vt:variant>
        <vt:i4>1966132</vt:i4>
      </vt:variant>
      <vt:variant>
        <vt:i4>1322</vt:i4>
      </vt:variant>
      <vt:variant>
        <vt:i4>0</vt:i4>
      </vt:variant>
      <vt:variant>
        <vt:i4>5</vt:i4>
      </vt:variant>
      <vt:variant>
        <vt:lpwstr/>
      </vt:variant>
      <vt:variant>
        <vt:lpwstr>_Toc127957757</vt:lpwstr>
      </vt:variant>
      <vt:variant>
        <vt:i4>1966132</vt:i4>
      </vt:variant>
      <vt:variant>
        <vt:i4>1316</vt:i4>
      </vt:variant>
      <vt:variant>
        <vt:i4>0</vt:i4>
      </vt:variant>
      <vt:variant>
        <vt:i4>5</vt:i4>
      </vt:variant>
      <vt:variant>
        <vt:lpwstr/>
      </vt:variant>
      <vt:variant>
        <vt:lpwstr>_Toc127957756</vt:lpwstr>
      </vt:variant>
      <vt:variant>
        <vt:i4>1966132</vt:i4>
      </vt:variant>
      <vt:variant>
        <vt:i4>1310</vt:i4>
      </vt:variant>
      <vt:variant>
        <vt:i4>0</vt:i4>
      </vt:variant>
      <vt:variant>
        <vt:i4>5</vt:i4>
      </vt:variant>
      <vt:variant>
        <vt:lpwstr/>
      </vt:variant>
      <vt:variant>
        <vt:lpwstr>_Toc127957755</vt:lpwstr>
      </vt:variant>
      <vt:variant>
        <vt:i4>1966132</vt:i4>
      </vt:variant>
      <vt:variant>
        <vt:i4>1304</vt:i4>
      </vt:variant>
      <vt:variant>
        <vt:i4>0</vt:i4>
      </vt:variant>
      <vt:variant>
        <vt:i4>5</vt:i4>
      </vt:variant>
      <vt:variant>
        <vt:lpwstr/>
      </vt:variant>
      <vt:variant>
        <vt:lpwstr>_Toc127957754</vt:lpwstr>
      </vt:variant>
      <vt:variant>
        <vt:i4>1966132</vt:i4>
      </vt:variant>
      <vt:variant>
        <vt:i4>1298</vt:i4>
      </vt:variant>
      <vt:variant>
        <vt:i4>0</vt:i4>
      </vt:variant>
      <vt:variant>
        <vt:i4>5</vt:i4>
      </vt:variant>
      <vt:variant>
        <vt:lpwstr/>
      </vt:variant>
      <vt:variant>
        <vt:lpwstr>_Toc127957753</vt:lpwstr>
      </vt:variant>
      <vt:variant>
        <vt:i4>1966132</vt:i4>
      </vt:variant>
      <vt:variant>
        <vt:i4>1292</vt:i4>
      </vt:variant>
      <vt:variant>
        <vt:i4>0</vt:i4>
      </vt:variant>
      <vt:variant>
        <vt:i4>5</vt:i4>
      </vt:variant>
      <vt:variant>
        <vt:lpwstr/>
      </vt:variant>
      <vt:variant>
        <vt:lpwstr>_Toc127957752</vt:lpwstr>
      </vt:variant>
      <vt:variant>
        <vt:i4>1966132</vt:i4>
      </vt:variant>
      <vt:variant>
        <vt:i4>1286</vt:i4>
      </vt:variant>
      <vt:variant>
        <vt:i4>0</vt:i4>
      </vt:variant>
      <vt:variant>
        <vt:i4>5</vt:i4>
      </vt:variant>
      <vt:variant>
        <vt:lpwstr/>
      </vt:variant>
      <vt:variant>
        <vt:lpwstr>_Toc127957751</vt:lpwstr>
      </vt:variant>
      <vt:variant>
        <vt:i4>1966132</vt:i4>
      </vt:variant>
      <vt:variant>
        <vt:i4>1280</vt:i4>
      </vt:variant>
      <vt:variant>
        <vt:i4>0</vt:i4>
      </vt:variant>
      <vt:variant>
        <vt:i4>5</vt:i4>
      </vt:variant>
      <vt:variant>
        <vt:lpwstr/>
      </vt:variant>
      <vt:variant>
        <vt:lpwstr>_Toc127957750</vt:lpwstr>
      </vt:variant>
      <vt:variant>
        <vt:i4>2031668</vt:i4>
      </vt:variant>
      <vt:variant>
        <vt:i4>1274</vt:i4>
      </vt:variant>
      <vt:variant>
        <vt:i4>0</vt:i4>
      </vt:variant>
      <vt:variant>
        <vt:i4>5</vt:i4>
      </vt:variant>
      <vt:variant>
        <vt:lpwstr/>
      </vt:variant>
      <vt:variant>
        <vt:lpwstr>_Toc127957749</vt:lpwstr>
      </vt:variant>
      <vt:variant>
        <vt:i4>2031668</vt:i4>
      </vt:variant>
      <vt:variant>
        <vt:i4>1268</vt:i4>
      </vt:variant>
      <vt:variant>
        <vt:i4>0</vt:i4>
      </vt:variant>
      <vt:variant>
        <vt:i4>5</vt:i4>
      </vt:variant>
      <vt:variant>
        <vt:lpwstr/>
      </vt:variant>
      <vt:variant>
        <vt:lpwstr>_Toc127957748</vt:lpwstr>
      </vt:variant>
      <vt:variant>
        <vt:i4>2031668</vt:i4>
      </vt:variant>
      <vt:variant>
        <vt:i4>1262</vt:i4>
      </vt:variant>
      <vt:variant>
        <vt:i4>0</vt:i4>
      </vt:variant>
      <vt:variant>
        <vt:i4>5</vt:i4>
      </vt:variant>
      <vt:variant>
        <vt:lpwstr/>
      </vt:variant>
      <vt:variant>
        <vt:lpwstr>_Toc127957747</vt:lpwstr>
      </vt:variant>
      <vt:variant>
        <vt:i4>2031668</vt:i4>
      </vt:variant>
      <vt:variant>
        <vt:i4>1256</vt:i4>
      </vt:variant>
      <vt:variant>
        <vt:i4>0</vt:i4>
      </vt:variant>
      <vt:variant>
        <vt:i4>5</vt:i4>
      </vt:variant>
      <vt:variant>
        <vt:lpwstr/>
      </vt:variant>
      <vt:variant>
        <vt:lpwstr>_Toc127957746</vt:lpwstr>
      </vt:variant>
      <vt:variant>
        <vt:i4>2031668</vt:i4>
      </vt:variant>
      <vt:variant>
        <vt:i4>1250</vt:i4>
      </vt:variant>
      <vt:variant>
        <vt:i4>0</vt:i4>
      </vt:variant>
      <vt:variant>
        <vt:i4>5</vt:i4>
      </vt:variant>
      <vt:variant>
        <vt:lpwstr/>
      </vt:variant>
      <vt:variant>
        <vt:lpwstr>_Toc127957745</vt:lpwstr>
      </vt:variant>
      <vt:variant>
        <vt:i4>2031668</vt:i4>
      </vt:variant>
      <vt:variant>
        <vt:i4>1244</vt:i4>
      </vt:variant>
      <vt:variant>
        <vt:i4>0</vt:i4>
      </vt:variant>
      <vt:variant>
        <vt:i4>5</vt:i4>
      </vt:variant>
      <vt:variant>
        <vt:lpwstr/>
      </vt:variant>
      <vt:variant>
        <vt:lpwstr>_Toc127957744</vt:lpwstr>
      </vt:variant>
      <vt:variant>
        <vt:i4>2031668</vt:i4>
      </vt:variant>
      <vt:variant>
        <vt:i4>1238</vt:i4>
      </vt:variant>
      <vt:variant>
        <vt:i4>0</vt:i4>
      </vt:variant>
      <vt:variant>
        <vt:i4>5</vt:i4>
      </vt:variant>
      <vt:variant>
        <vt:lpwstr/>
      </vt:variant>
      <vt:variant>
        <vt:lpwstr>_Toc127957743</vt:lpwstr>
      </vt:variant>
      <vt:variant>
        <vt:i4>2031668</vt:i4>
      </vt:variant>
      <vt:variant>
        <vt:i4>1232</vt:i4>
      </vt:variant>
      <vt:variant>
        <vt:i4>0</vt:i4>
      </vt:variant>
      <vt:variant>
        <vt:i4>5</vt:i4>
      </vt:variant>
      <vt:variant>
        <vt:lpwstr/>
      </vt:variant>
      <vt:variant>
        <vt:lpwstr>_Toc127957742</vt:lpwstr>
      </vt:variant>
      <vt:variant>
        <vt:i4>2031668</vt:i4>
      </vt:variant>
      <vt:variant>
        <vt:i4>1226</vt:i4>
      </vt:variant>
      <vt:variant>
        <vt:i4>0</vt:i4>
      </vt:variant>
      <vt:variant>
        <vt:i4>5</vt:i4>
      </vt:variant>
      <vt:variant>
        <vt:lpwstr/>
      </vt:variant>
      <vt:variant>
        <vt:lpwstr>_Toc127957741</vt:lpwstr>
      </vt:variant>
      <vt:variant>
        <vt:i4>2031668</vt:i4>
      </vt:variant>
      <vt:variant>
        <vt:i4>1220</vt:i4>
      </vt:variant>
      <vt:variant>
        <vt:i4>0</vt:i4>
      </vt:variant>
      <vt:variant>
        <vt:i4>5</vt:i4>
      </vt:variant>
      <vt:variant>
        <vt:lpwstr/>
      </vt:variant>
      <vt:variant>
        <vt:lpwstr>_Toc127957740</vt:lpwstr>
      </vt:variant>
      <vt:variant>
        <vt:i4>1572916</vt:i4>
      </vt:variant>
      <vt:variant>
        <vt:i4>1214</vt:i4>
      </vt:variant>
      <vt:variant>
        <vt:i4>0</vt:i4>
      </vt:variant>
      <vt:variant>
        <vt:i4>5</vt:i4>
      </vt:variant>
      <vt:variant>
        <vt:lpwstr/>
      </vt:variant>
      <vt:variant>
        <vt:lpwstr>_Toc127957739</vt:lpwstr>
      </vt:variant>
      <vt:variant>
        <vt:i4>1572916</vt:i4>
      </vt:variant>
      <vt:variant>
        <vt:i4>1208</vt:i4>
      </vt:variant>
      <vt:variant>
        <vt:i4>0</vt:i4>
      </vt:variant>
      <vt:variant>
        <vt:i4>5</vt:i4>
      </vt:variant>
      <vt:variant>
        <vt:lpwstr/>
      </vt:variant>
      <vt:variant>
        <vt:lpwstr>_Toc127957738</vt:lpwstr>
      </vt:variant>
      <vt:variant>
        <vt:i4>1572916</vt:i4>
      </vt:variant>
      <vt:variant>
        <vt:i4>1202</vt:i4>
      </vt:variant>
      <vt:variant>
        <vt:i4>0</vt:i4>
      </vt:variant>
      <vt:variant>
        <vt:i4>5</vt:i4>
      </vt:variant>
      <vt:variant>
        <vt:lpwstr/>
      </vt:variant>
      <vt:variant>
        <vt:lpwstr>_Toc127957737</vt:lpwstr>
      </vt:variant>
      <vt:variant>
        <vt:i4>1572916</vt:i4>
      </vt:variant>
      <vt:variant>
        <vt:i4>1196</vt:i4>
      </vt:variant>
      <vt:variant>
        <vt:i4>0</vt:i4>
      </vt:variant>
      <vt:variant>
        <vt:i4>5</vt:i4>
      </vt:variant>
      <vt:variant>
        <vt:lpwstr/>
      </vt:variant>
      <vt:variant>
        <vt:lpwstr>_Toc127957736</vt:lpwstr>
      </vt:variant>
      <vt:variant>
        <vt:i4>1572916</vt:i4>
      </vt:variant>
      <vt:variant>
        <vt:i4>1190</vt:i4>
      </vt:variant>
      <vt:variant>
        <vt:i4>0</vt:i4>
      </vt:variant>
      <vt:variant>
        <vt:i4>5</vt:i4>
      </vt:variant>
      <vt:variant>
        <vt:lpwstr/>
      </vt:variant>
      <vt:variant>
        <vt:lpwstr>_Toc127957735</vt:lpwstr>
      </vt:variant>
      <vt:variant>
        <vt:i4>1572916</vt:i4>
      </vt:variant>
      <vt:variant>
        <vt:i4>1184</vt:i4>
      </vt:variant>
      <vt:variant>
        <vt:i4>0</vt:i4>
      </vt:variant>
      <vt:variant>
        <vt:i4>5</vt:i4>
      </vt:variant>
      <vt:variant>
        <vt:lpwstr/>
      </vt:variant>
      <vt:variant>
        <vt:lpwstr>_Toc127957734</vt:lpwstr>
      </vt:variant>
      <vt:variant>
        <vt:i4>1572916</vt:i4>
      </vt:variant>
      <vt:variant>
        <vt:i4>1178</vt:i4>
      </vt:variant>
      <vt:variant>
        <vt:i4>0</vt:i4>
      </vt:variant>
      <vt:variant>
        <vt:i4>5</vt:i4>
      </vt:variant>
      <vt:variant>
        <vt:lpwstr/>
      </vt:variant>
      <vt:variant>
        <vt:lpwstr>_Toc127957733</vt:lpwstr>
      </vt:variant>
      <vt:variant>
        <vt:i4>1572916</vt:i4>
      </vt:variant>
      <vt:variant>
        <vt:i4>1172</vt:i4>
      </vt:variant>
      <vt:variant>
        <vt:i4>0</vt:i4>
      </vt:variant>
      <vt:variant>
        <vt:i4>5</vt:i4>
      </vt:variant>
      <vt:variant>
        <vt:lpwstr/>
      </vt:variant>
      <vt:variant>
        <vt:lpwstr>_Toc127957732</vt:lpwstr>
      </vt:variant>
      <vt:variant>
        <vt:i4>1572916</vt:i4>
      </vt:variant>
      <vt:variant>
        <vt:i4>1166</vt:i4>
      </vt:variant>
      <vt:variant>
        <vt:i4>0</vt:i4>
      </vt:variant>
      <vt:variant>
        <vt:i4>5</vt:i4>
      </vt:variant>
      <vt:variant>
        <vt:lpwstr/>
      </vt:variant>
      <vt:variant>
        <vt:lpwstr>_Toc127957731</vt:lpwstr>
      </vt:variant>
      <vt:variant>
        <vt:i4>1572916</vt:i4>
      </vt:variant>
      <vt:variant>
        <vt:i4>1160</vt:i4>
      </vt:variant>
      <vt:variant>
        <vt:i4>0</vt:i4>
      </vt:variant>
      <vt:variant>
        <vt:i4>5</vt:i4>
      </vt:variant>
      <vt:variant>
        <vt:lpwstr/>
      </vt:variant>
      <vt:variant>
        <vt:lpwstr>_Toc127957730</vt:lpwstr>
      </vt:variant>
      <vt:variant>
        <vt:i4>1638452</vt:i4>
      </vt:variant>
      <vt:variant>
        <vt:i4>1154</vt:i4>
      </vt:variant>
      <vt:variant>
        <vt:i4>0</vt:i4>
      </vt:variant>
      <vt:variant>
        <vt:i4>5</vt:i4>
      </vt:variant>
      <vt:variant>
        <vt:lpwstr/>
      </vt:variant>
      <vt:variant>
        <vt:lpwstr>_Toc127957729</vt:lpwstr>
      </vt:variant>
      <vt:variant>
        <vt:i4>1638452</vt:i4>
      </vt:variant>
      <vt:variant>
        <vt:i4>1148</vt:i4>
      </vt:variant>
      <vt:variant>
        <vt:i4>0</vt:i4>
      </vt:variant>
      <vt:variant>
        <vt:i4>5</vt:i4>
      </vt:variant>
      <vt:variant>
        <vt:lpwstr/>
      </vt:variant>
      <vt:variant>
        <vt:lpwstr>_Toc127957728</vt:lpwstr>
      </vt:variant>
      <vt:variant>
        <vt:i4>1638452</vt:i4>
      </vt:variant>
      <vt:variant>
        <vt:i4>1142</vt:i4>
      </vt:variant>
      <vt:variant>
        <vt:i4>0</vt:i4>
      </vt:variant>
      <vt:variant>
        <vt:i4>5</vt:i4>
      </vt:variant>
      <vt:variant>
        <vt:lpwstr/>
      </vt:variant>
      <vt:variant>
        <vt:lpwstr>_Toc127957727</vt:lpwstr>
      </vt:variant>
      <vt:variant>
        <vt:i4>1638452</vt:i4>
      </vt:variant>
      <vt:variant>
        <vt:i4>1136</vt:i4>
      </vt:variant>
      <vt:variant>
        <vt:i4>0</vt:i4>
      </vt:variant>
      <vt:variant>
        <vt:i4>5</vt:i4>
      </vt:variant>
      <vt:variant>
        <vt:lpwstr/>
      </vt:variant>
      <vt:variant>
        <vt:lpwstr>_Toc127957726</vt:lpwstr>
      </vt:variant>
      <vt:variant>
        <vt:i4>1638452</vt:i4>
      </vt:variant>
      <vt:variant>
        <vt:i4>1130</vt:i4>
      </vt:variant>
      <vt:variant>
        <vt:i4>0</vt:i4>
      </vt:variant>
      <vt:variant>
        <vt:i4>5</vt:i4>
      </vt:variant>
      <vt:variant>
        <vt:lpwstr/>
      </vt:variant>
      <vt:variant>
        <vt:lpwstr>_Toc127957725</vt:lpwstr>
      </vt:variant>
      <vt:variant>
        <vt:i4>1638452</vt:i4>
      </vt:variant>
      <vt:variant>
        <vt:i4>1124</vt:i4>
      </vt:variant>
      <vt:variant>
        <vt:i4>0</vt:i4>
      </vt:variant>
      <vt:variant>
        <vt:i4>5</vt:i4>
      </vt:variant>
      <vt:variant>
        <vt:lpwstr/>
      </vt:variant>
      <vt:variant>
        <vt:lpwstr>_Toc127957724</vt:lpwstr>
      </vt:variant>
      <vt:variant>
        <vt:i4>1638452</vt:i4>
      </vt:variant>
      <vt:variant>
        <vt:i4>1118</vt:i4>
      </vt:variant>
      <vt:variant>
        <vt:i4>0</vt:i4>
      </vt:variant>
      <vt:variant>
        <vt:i4>5</vt:i4>
      </vt:variant>
      <vt:variant>
        <vt:lpwstr/>
      </vt:variant>
      <vt:variant>
        <vt:lpwstr>_Toc127957723</vt:lpwstr>
      </vt:variant>
      <vt:variant>
        <vt:i4>1638452</vt:i4>
      </vt:variant>
      <vt:variant>
        <vt:i4>1112</vt:i4>
      </vt:variant>
      <vt:variant>
        <vt:i4>0</vt:i4>
      </vt:variant>
      <vt:variant>
        <vt:i4>5</vt:i4>
      </vt:variant>
      <vt:variant>
        <vt:lpwstr/>
      </vt:variant>
      <vt:variant>
        <vt:lpwstr>_Toc127957722</vt:lpwstr>
      </vt:variant>
      <vt:variant>
        <vt:i4>1638452</vt:i4>
      </vt:variant>
      <vt:variant>
        <vt:i4>1106</vt:i4>
      </vt:variant>
      <vt:variant>
        <vt:i4>0</vt:i4>
      </vt:variant>
      <vt:variant>
        <vt:i4>5</vt:i4>
      </vt:variant>
      <vt:variant>
        <vt:lpwstr/>
      </vt:variant>
      <vt:variant>
        <vt:lpwstr>_Toc127957721</vt:lpwstr>
      </vt:variant>
      <vt:variant>
        <vt:i4>1638452</vt:i4>
      </vt:variant>
      <vt:variant>
        <vt:i4>1100</vt:i4>
      </vt:variant>
      <vt:variant>
        <vt:i4>0</vt:i4>
      </vt:variant>
      <vt:variant>
        <vt:i4>5</vt:i4>
      </vt:variant>
      <vt:variant>
        <vt:lpwstr/>
      </vt:variant>
      <vt:variant>
        <vt:lpwstr>_Toc127957720</vt:lpwstr>
      </vt:variant>
      <vt:variant>
        <vt:i4>1703988</vt:i4>
      </vt:variant>
      <vt:variant>
        <vt:i4>1094</vt:i4>
      </vt:variant>
      <vt:variant>
        <vt:i4>0</vt:i4>
      </vt:variant>
      <vt:variant>
        <vt:i4>5</vt:i4>
      </vt:variant>
      <vt:variant>
        <vt:lpwstr/>
      </vt:variant>
      <vt:variant>
        <vt:lpwstr>_Toc127957719</vt:lpwstr>
      </vt:variant>
      <vt:variant>
        <vt:i4>1703988</vt:i4>
      </vt:variant>
      <vt:variant>
        <vt:i4>1088</vt:i4>
      </vt:variant>
      <vt:variant>
        <vt:i4>0</vt:i4>
      </vt:variant>
      <vt:variant>
        <vt:i4>5</vt:i4>
      </vt:variant>
      <vt:variant>
        <vt:lpwstr/>
      </vt:variant>
      <vt:variant>
        <vt:lpwstr>_Toc127957718</vt:lpwstr>
      </vt:variant>
      <vt:variant>
        <vt:i4>1703988</vt:i4>
      </vt:variant>
      <vt:variant>
        <vt:i4>1082</vt:i4>
      </vt:variant>
      <vt:variant>
        <vt:i4>0</vt:i4>
      </vt:variant>
      <vt:variant>
        <vt:i4>5</vt:i4>
      </vt:variant>
      <vt:variant>
        <vt:lpwstr/>
      </vt:variant>
      <vt:variant>
        <vt:lpwstr>_Toc127957717</vt:lpwstr>
      </vt:variant>
      <vt:variant>
        <vt:i4>1703988</vt:i4>
      </vt:variant>
      <vt:variant>
        <vt:i4>1076</vt:i4>
      </vt:variant>
      <vt:variant>
        <vt:i4>0</vt:i4>
      </vt:variant>
      <vt:variant>
        <vt:i4>5</vt:i4>
      </vt:variant>
      <vt:variant>
        <vt:lpwstr/>
      </vt:variant>
      <vt:variant>
        <vt:lpwstr>_Toc127957716</vt:lpwstr>
      </vt:variant>
      <vt:variant>
        <vt:i4>1703988</vt:i4>
      </vt:variant>
      <vt:variant>
        <vt:i4>1070</vt:i4>
      </vt:variant>
      <vt:variant>
        <vt:i4>0</vt:i4>
      </vt:variant>
      <vt:variant>
        <vt:i4>5</vt:i4>
      </vt:variant>
      <vt:variant>
        <vt:lpwstr/>
      </vt:variant>
      <vt:variant>
        <vt:lpwstr>_Toc127957715</vt:lpwstr>
      </vt:variant>
      <vt:variant>
        <vt:i4>1703988</vt:i4>
      </vt:variant>
      <vt:variant>
        <vt:i4>1064</vt:i4>
      </vt:variant>
      <vt:variant>
        <vt:i4>0</vt:i4>
      </vt:variant>
      <vt:variant>
        <vt:i4>5</vt:i4>
      </vt:variant>
      <vt:variant>
        <vt:lpwstr/>
      </vt:variant>
      <vt:variant>
        <vt:lpwstr>_Toc127957714</vt:lpwstr>
      </vt:variant>
      <vt:variant>
        <vt:i4>1703988</vt:i4>
      </vt:variant>
      <vt:variant>
        <vt:i4>1058</vt:i4>
      </vt:variant>
      <vt:variant>
        <vt:i4>0</vt:i4>
      </vt:variant>
      <vt:variant>
        <vt:i4>5</vt:i4>
      </vt:variant>
      <vt:variant>
        <vt:lpwstr/>
      </vt:variant>
      <vt:variant>
        <vt:lpwstr>_Toc127957713</vt:lpwstr>
      </vt:variant>
      <vt:variant>
        <vt:i4>1703988</vt:i4>
      </vt:variant>
      <vt:variant>
        <vt:i4>1052</vt:i4>
      </vt:variant>
      <vt:variant>
        <vt:i4>0</vt:i4>
      </vt:variant>
      <vt:variant>
        <vt:i4>5</vt:i4>
      </vt:variant>
      <vt:variant>
        <vt:lpwstr/>
      </vt:variant>
      <vt:variant>
        <vt:lpwstr>_Toc127957712</vt:lpwstr>
      </vt:variant>
      <vt:variant>
        <vt:i4>1703988</vt:i4>
      </vt:variant>
      <vt:variant>
        <vt:i4>1046</vt:i4>
      </vt:variant>
      <vt:variant>
        <vt:i4>0</vt:i4>
      </vt:variant>
      <vt:variant>
        <vt:i4>5</vt:i4>
      </vt:variant>
      <vt:variant>
        <vt:lpwstr/>
      </vt:variant>
      <vt:variant>
        <vt:lpwstr>_Toc127957711</vt:lpwstr>
      </vt:variant>
      <vt:variant>
        <vt:i4>1703988</vt:i4>
      </vt:variant>
      <vt:variant>
        <vt:i4>1040</vt:i4>
      </vt:variant>
      <vt:variant>
        <vt:i4>0</vt:i4>
      </vt:variant>
      <vt:variant>
        <vt:i4>5</vt:i4>
      </vt:variant>
      <vt:variant>
        <vt:lpwstr/>
      </vt:variant>
      <vt:variant>
        <vt:lpwstr>_Toc127957710</vt:lpwstr>
      </vt:variant>
      <vt:variant>
        <vt:i4>1769524</vt:i4>
      </vt:variant>
      <vt:variant>
        <vt:i4>1034</vt:i4>
      </vt:variant>
      <vt:variant>
        <vt:i4>0</vt:i4>
      </vt:variant>
      <vt:variant>
        <vt:i4>5</vt:i4>
      </vt:variant>
      <vt:variant>
        <vt:lpwstr/>
      </vt:variant>
      <vt:variant>
        <vt:lpwstr>_Toc127957709</vt:lpwstr>
      </vt:variant>
      <vt:variant>
        <vt:i4>1769524</vt:i4>
      </vt:variant>
      <vt:variant>
        <vt:i4>1028</vt:i4>
      </vt:variant>
      <vt:variant>
        <vt:i4>0</vt:i4>
      </vt:variant>
      <vt:variant>
        <vt:i4>5</vt:i4>
      </vt:variant>
      <vt:variant>
        <vt:lpwstr/>
      </vt:variant>
      <vt:variant>
        <vt:lpwstr>_Toc127957708</vt:lpwstr>
      </vt:variant>
      <vt:variant>
        <vt:i4>1769524</vt:i4>
      </vt:variant>
      <vt:variant>
        <vt:i4>1022</vt:i4>
      </vt:variant>
      <vt:variant>
        <vt:i4>0</vt:i4>
      </vt:variant>
      <vt:variant>
        <vt:i4>5</vt:i4>
      </vt:variant>
      <vt:variant>
        <vt:lpwstr/>
      </vt:variant>
      <vt:variant>
        <vt:lpwstr>_Toc127957707</vt:lpwstr>
      </vt:variant>
      <vt:variant>
        <vt:i4>1769524</vt:i4>
      </vt:variant>
      <vt:variant>
        <vt:i4>1016</vt:i4>
      </vt:variant>
      <vt:variant>
        <vt:i4>0</vt:i4>
      </vt:variant>
      <vt:variant>
        <vt:i4>5</vt:i4>
      </vt:variant>
      <vt:variant>
        <vt:lpwstr/>
      </vt:variant>
      <vt:variant>
        <vt:lpwstr>_Toc127957706</vt:lpwstr>
      </vt:variant>
      <vt:variant>
        <vt:i4>1769524</vt:i4>
      </vt:variant>
      <vt:variant>
        <vt:i4>1010</vt:i4>
      </vt:variant>
      <vt:variant>
        <vt:i4>0</vt:i4>
      </vt:variant>
      <vt:variant>
        <vt:i4>5</vt:i4>
      </vt:variant>
      <vt:variant>
        <vt:lpwstr/>
      </vt:variant>
      <vt:variant>
        <vt:lpwstr>_Toc127957705</vt:lpwstr>
      </vt:variant>
      <vt:variant>
        <vt:i4>1769524</vt:i4>
      </vt:variant>
      <vt:variant>
        <vt:i4>1004</vt:i4>
      </vt:variant>
      <vt:variant>
        <vt:i4>0</vt:i4>
      </vt:variant>
      <vt:variant>
        <vt:i4>5</vt:i4>
      </vt:variant>
      <vt:variant>
        <vt:lpwstr/>
      </vt:variant>
      <vt:variant>
        <vt:lpwstr>_Toc127957704</vt:lpwstr>
      </vt:variant>
      <vt:variant>
        <vt:i4>1769524</vt:i4>
      </vt:variant>
      <vt:variant>
        <vt:i4>998</vt:i4>
      </vt:variant>
      <vt:variant>
        <vt:i4>0</vt:i4>
      </vt:variant>
      <vt:variant>
        <vt:i4>5</vt:i4>
      </vt:variant>
      <vt:variant>
        <vt:lpwstr/>
      </vt:variant>
      <vt:variant>
        <vt:lpwstr>_Toc127957703</vt:lpwstr>
      </vt:variant>
      <vt:variant>
        <vt:i4>1769524</vt:i4>
      </vt:variant>
      <vt:variant>
        <vt:i4>992</vt:i4>
      </vt:variant>
      <vt:variant>
        <vt:i4>0</vt:i4>
      </vt:variant>
      <vt:variant>
        <vt:i4>5</vt:i4>
      </vt:variant>
      <vt:variant>
        <vt:lpwstr/>
      </vt:variant>
      <vt:variant>
        <vt:lpwstr>_Toc127957702</vt:lpwstr>
      </vt:variant>
      <vt:variant>
        <vt:i4>1769524</vt:i4>
      </vt:variant>
      <vt:variant>
        <vt:i4>986</vt:i4>
      </vt:variant>
      <vt:variant>
        <vt:i4>0</vt:i4>
      </vt:variant>
      <vt:variant>
        <vt:i4>5</vt:i4>
      </vt:variant>
      <vt:variant>
        <vt:lpwstr/>
      </vt:variant>
      <vt:variant>
        <vt:lpwstr>_Toc127957701</vt:lpwstr>
      </vt:variant>
      <vt:variant>
        <vt:i4>1769524</vt:i4>
      </vt:variant>
      <vt:variant>
        <vt:i4>980</vt:i4>
      </vt:variant>
      <vt:variant>
        <vt:i4>0</vt:i4>
      </vt:variant>
      <vt:variant>
        <vt:i4>5</vt:i4>
      </vt:variant>
      <vt:variant>
        <vt:lpwstr/>
      </vt:variant>
      <vt:variant>
        <vt:lpwstr>_Toc127957700</vt:lpwstr>
      </vt:variant>
      <vt:variant>
        <vt:i4>1179701</vt:i4>
      </vt:variant>
      <vt:variant>
        <vt:i4>974</vt:i4>
      </vt:variant>
      <vt:variant>
        <vt:i4>0</vt:i4>
      </vt:variant>
      <vt:variant>
        <vt:i4>5</vt:i4>
      </vt:variant>
      <vt:variant>
        <vt:lpwstr/>
      </vt:variant>
      <vt:variant>
        <vt:lpwstr>_Toc127957699</vt:lpwstr>
      </vt:variant>
      <vt:variant>
        <vt:i4>1179701</vt:i4>
      </vt:variant>
      <vt:variant>
        <vt:i4>968</vt:i4>
      </vt:variant>
      <vt:variant>
        <vt:i4>0</vt:i4>
      </vt:variant>
      <vt:variant>
        <vt:i4>5</vt:i4>
      </vt:variant>
      <vt:variant>
        <vt:lpwstr/>
      </vt:variant>
      <vt:variant>
        <vt:lpwstr>_Toc127957698</vt:lpwstr>
      </vt:variant>
      <vt:variant>
        <vt:i4>1179701</vt:i4>
      </vt:variant>
      <vt:variant>
        <vt:i4>962</vt:i4>
      </vt:variant>
      <vt:variant>
        <vt:i4>0</vt:i4>
      </vt:variant>
      <vt:variant>
        <vt:i4>5</vt:i4>
      </vt:variant>
      <vt:variant>
        <vt:lpwstr/>
      </vt:variant>
      <vt:variant>
        <vt:lpwstr>_Toc127957697</vt:lpwstr>
      </vt:variant>
      <vt:variant>
        <vt:i4>1179701</vt:i4>
      </vt:variant>
      <vt:variant>
        <vt:i4>956</vt:i4>
      </vt:variant>
      <vt:variant>
        <vt:i4>0</vt:i4>
      </vt:variant>
      <vt:variant>
        <vt:i4>5</vt:i4>
      </vt:variant>
      <vt:variant>
        <vt:lpwstr/>
      </vt:variant>
      <vt:variant>
        <vt:lpwstr>_Toc127957696</vt:lpwstr>
      </vt:variant>
      <vt:variant>
        <vt:i4>1179701</vt:i4>
      </vt:variant>
      <vt:variant>
        <vt:i4>950</vt:i4>
      </vt:variant>
      <vt:variant>
        <vt:i4>0</vt:i4>
      </vt:variant>
      <vt:variant>
        <vt:i4>5</vt:i4>
      </vt:variant>
      <vt:variant>
        <vt:lpwstr/>
      </vt:variant>
      <vt:variant>
        <vt:lpwstr>_Toc127957695</vt:lpwstr>
      </vt:variant>
      <vt:variant>
        <vt:i4>1179701</vt:i4>
      </vt:variant>
      <vt:variant>
        <vt:i4>944</vt:i4>
      </vt:variant>
      <vt:variant>
        <vt:i4>0</vt:i4>
      </vt:variant>
      <vt:variant>
        <vt:i4>5</vt:i4>
      </vt:variant>
      <vt:variant>
        <vt:lpwstr/>
      </vt:variant>
      <vt:variant>
        <vt:lpwstr>_Toc127957694</vt:lpwstr>
      </vt:variant>
      <vt:variant>
        <vt:i4>1179701</vt:i4>
      </vt:variant>
      <vt:variant>
        <vt:i4>938</vt:i4>
      </vt:variant>
      <vt:variant>
        <vt:i4>0</vt:i4>
      </vt:variant>
      <vt:variant>
        <vt:i4>5</vt:i4>
      </vt:variant>
      <vt:variant>
        <vt:lpwstr/>
      </vt:variant>
      <vt:variant>
        <vt:lpwstr>_Toc127957693</vt:lpwstr>
      </vt:variant>
      <vt:variant>
        <vt:i4>1179701</vt:i4>
      </vt:variant>
      <vt:variant>
        <vt:i4>932</vt:i4>
      </vt:variant>
      <vt:variant>
        <vt:i4>0</vt:i4>
      </vt:variant>
      <vt:variant>
        <vt:i4>5</vt:i4>
      </vt:variant>
      <vt:variant>
        <vt:lpwstr/>
      </vt:variant>
      <vt:variant>
        <vt:lpwstr>_Toc127957692</vt:lpwstr>
      </vt:variant>
      <vt:variant>
        <vt:i4>1179701</vt:i4>
      </vt:variant>
      <vt:variant>
        <vt:i4>926</vt:i4>
      </vt:variant>
      <vt:variant>
        <vt:i4>0</vt:i4>
      </vt:variant>
      <vt:variant>
        <vt:i4>5</vt:i4>
      </vt:variant>
      <vt:variant>
        <vt:lpwstr/>
      </vt:variant>
      <vt:variant>
        <vt:lpwstr>_Toc127957691</vt:lpwstr>
      </vt:variant>
      <vt:variant>
        <vt:i4>1179701</vt:i4>
      </vt:variant>
      <vt:variant>
        <vt:i4>920</vt:i4>
      </vt:variant>
      <vt:variant>
        <vt:i4>0</vt:i4>
      </vt:variant>
      <vt:variant>
        <vt:i4>5</vt:i4>
      </vt:variant>
      <vt:variant>
        <vt:lpwstr/>
      </vt:variant>
      <vt:variant>
        <vt:lpwstr>_Toc127957690</vt:lpwstr>
      </vt:variant>
      <vt:variant>
        <vt:i4>1245237</vt:i4>
      </vt:variant>
      <vt:variant>
        <vt:i4>914</vt:i4>
      </vt:variant>
      <vt:variant>
        <vt:i4>0</vt:i4>
      </vt:variant>
      <vt:variant>
        <vt:i4>5</vt:i4>
      </vt:variant>
      <vt:variant>
        <vt:lpwstr/>
      </vt:variant>
      <vt:variant>
        <vt:lpwstr>_Toc127957689</vt:lpwstr>
      </vt:variant>
      <vt:variant>
        <vt:i4>1245237</vt:i4>
      </vt:variant>
      <vt:variant>
        <vt:i4>908</vt:i4>
      </vt:variant>
      <vt:variant>
        <vt:i4>0</vt:i4>
      </vt:variant>
      <vt:variant>
        <vt:i4>5</vt:i4>
      </vt:variant>
      <vt:variant>
        <vt:lpwstr/>
      </vt:variant>
      <vt:variant>
        <vt:lpwstr>_Toc127957688</vt:lpwstr>
      </vt:variant>
      <vt:variant>
        <vt:i4>1245237</vt:i4>
      </vt:variant>
      <vt:variant>
        <vt:i4>902</vt:i4>
      </vt:variant>
      <vt:variant>
        <vt:i4>0</vt:i4>
      </vt:variant>
      <vt:variant>
        <vt:i4>5</vt:i4>
      </vt:variant>
      <vt:variant>
        <vt:lpwstr/>
      </vt:variant>
      <vt:variant>
        <vt:lpwstr>_Toc127957687</vt:lpwstr>
      </vt:variant>
      <vt:variant>
        <vt:i4>1245237</vt:i4>
      </vt:variant>
      <vt:variant>
        <vt:i4>896</vt:i4>
      </vt:variant>
      <vt:variant>
        <vt:i4>0</vt:i4>
      </vt:variant>
      <vt:variant>
        <vt:i4>5</vt:i4>
      </vt:variant>
      <vt:variant>
        <vt:lpwstr/>
      </vt:variant>
      <vt:variant>
        <vt:lpwstr>_Toc127957686</vt:lpwstr>
      </vt:variant>
      <vt:variant>
        <vt:i4>1245237</vt:i4>
      </vt:variant>
      <vt:variant>
        <vt:i4>890</vt:i4>
      </vt:variant>
      <vt:variant>
        <vt:i4>0</vt:i4>
      </vt:variant>
      <vt:variant>
        <vt:i4>5</vt:i4>
      </vt:variant>
      <vt:variant>
        <vt:lpwstr/>
      </vt:variant>
      <vt:variant>
        <vt:lpwstr>_Toc127957685</vt:lpwstr>
      </vt:variant>
      <vt:variant>
        <vt:i4>1245237</vt:i4>
      </vt:variant>
      <vt:variant>
        <vt:i4>884</vt:i4>
      </vt:variant>
      <vt:variant>
        <vt:i4>0</vt:i4>
      </vt:variant>
      <vt:variant>
        <vt:i4>5</vt:i4>
      </vt:variant>
      <vt:variant>
        <vt:lpwstr/>
      </vt:variant>
      <vt:variant>
        <vt:lpwstr>_Toc127957684</vt:lpwstr>
      </vt:variant>
      <vt:variant>
        <vt:i4>1245237</vt:i4>
      </vt:variant>
      <vt:variant>
        <vt:i4>878</vt:i4>
      </vt:variant>
      <vt:variant>
        <vt:i4>0</vt:i4>
      </vt:variant>
      <vt:variant>
        <vt:i4>5</vt:i4>
      </vt:variant>
      <vt:variant>
        <vt:lpwstr/>
      </vt:variant>
      <vt:variant>
        <vt:lpwstr>_Toc127957683</vt:lpwstr>
      </vt:variant>
      <vt:variant>
        <vt:i4>1245237</vt:i4>
      </vt:variant>
      <vt:variant>
        <vt:i4>872</vt:i4>
      </vt:variant>
      <vt:variant>
        <vt:i4>0</vt:i4>
      </vt:variant>
      <vt:variant>
        <vt:i4>5</vt:i4>
      </vt:variant>
      <vt:variant>
        <vt:lpwstr/>
      </vt:variant>
      <vt:variant>
        <vt:lpwstr>_Toc127957682</vt:lpwstr>
      </vt:variant>
      <vt:variant>
        <vt:i4>1245237</vt:i4>
      </vt:variant>
      <vt:variant>
        <vt:i4>866</vt:i4>
      </vt:variant>
      <vt:variant>
        <vt:i4>0</vt:i4>
      </vt:variant>
      <vt:variant>
        <vt:i4>5</vt:i4>
      </vt:variant>
      <vt:variant>
        <vt:lpwstr/>
      </vt:variant>
      <vt:variant>
        <vt:lpwstr>_Toc127957681</vt:lpwstr>
      </vt:variant>
      <vt:variant>
        <vt:i4>1245237</vt:i4>
      </vt:variant>
      <vt:variant>
        <vt:i4>860</vt:i4>
      </vt:variant>
      <vt:variant>
        <vt:i4>0</vt:i4>
      </vt:variant>
      <vt:variant>
        <vt:i4>5</vt:i4>
      </vt:variant>
      <vt:variant>
        <vt:lpwstr/>
      </vt:variant>
      <vt:variant>
        <vt:lpwstr>_Toc127957680</vt:lpwstr>
      </vt:variant>
      <vt:variant>
        <vt:i4>1835061</vt:i4>
      </vt:variant>
      <vt:variant>
        <vt:i4>854</vt:i4>
      </vt:variant>
      <vt:variant>
        <vt:i4>0</vt:i4>
      </vt:variant>
      <vt:variant>
        <vt:i4>5</vt:i4>
      </vt:variant>
      <vt:variant>
        <vt:lpwstr/>
      </vt:variant>
      <vt:variant>
        <vt:lpwstr>_Toc127957679</vt:lpwstr>
      </vt:variant>
      <vt:variant>
        <vt:i4>1835061</vt:i4>
      </vt:variant>
      <vt:variant>
        <vt:i4>848</vt:i4>
      </vt:variant>
      <vt:variant>
        <vt:i4>0</vt:i4>
      </vt:variant>
      <vt:variant>
        <vt:i4>5</vt:i4>
      </vt:variant>
      <vt:variant>
        <vt:lpwstr/>
      </vt:variant>
      <vt:variant>
        <vt:lpwstr>_Toc127957678</vt:lpwstr>
      </vt:variant>
      <vt:variant>
        <vt:i4>1835061</vt:i4>
      </vt:variant>
      <vt:variant>
        <vt:i4>842</vt:i4>
      </vt:variant>
      <vt:variant>
        <vt:i4>0</vt:i4>
      </vt:variant>
      <vt:variant>
        <vt:i4>5</vt:i4>
      </vt:variant>
      <vt:variant>
        <vt:lpwstr/>
      </vt:variant>
      <vt:variant>
        <vt:lpwstr>_Toc127957677</vt:lpwstr>
      </vt:variant>
      <vt:variant>
        <vt:i4>1835061</vt:i4>
      </vt:variant>
      <vt:variant>
        <vt:i4>836</vt:i4>
      </vt:variant>
      <vt:variant>
        <vt:i4>0</vt:i4>
      </vt:variant>
      <vt:variant>
        <vt:i4>5</vt:i4>
      </vt:variant>
      <vt:variant>
        <vt:lpwstr/>
      </vt:variant>
      <vt:variant>
        <vt:lpwstr>_Toc127957676</vt:lpwstr>
      </vt:variant>
      <vt:variant>
        <vt:i4>1835061</vt:i4>
      </vt:variant>
      <vt:variant>
        <vt:i4>830</vt:i4>
      </vt:variant>
      <vt:variant>
        <vt:i4>0</vt:i4>
      </vt:variant>
      <vt:variant>
        <vt:i4>5</vt:i4>
      </vt:variant>
      <vt:variant>
        <vt:lpwstr/>
      </vt:variant>
      <vt:variant>
        <vt:lpwstr>_Toc127957675</vt:lpwstr>
      </vt:variant>
      <vt:variant>
        <vt:i4>1835061</vt:i4>
      </vt:variant>
      <vt:variant>
        <vt:i4>824</vt:i4>
      </vt:variant>
      <vt:variant>
        <vt:i4>0</vt:i4>
      </vt:variant>
      <vt:variant>
        <vt:i4>5</vt:i4>
      </vt:variant>
      <vt:variant>
        <vt:lpwstr/>
      </vt:variant>
      <vt:variant>
        <vt:lpwstr>_Toc127957674</vt:lpwstr>
      </vt:variant>
      <vt:variant>
        <vt:i4>1835061</vt:i4>
      </vt:variant>
      <vt:variant>
        <vt:i4>818</vt:i4>
      </vt:variant>
      <vt:variant>
        <vt:i4>0</vt:i4>
      </vt:variant>
      <vt:variant>
        <vt:i4>5</vt:i4>
      </vt:variant>
      <vt:variant>
        <vt:lpwstr/>
      </vt:variant>
      <vt:variant>
        <vt:lpwstr>_Toc127957673</vt:lpwstr>
      </vt:variant>
      <vt:variant>
        <vt:i4>1835061</vt:i4>
      </vt:variant>
      <vt:variant>
        <vt:i4>812</vt:i4>
      </vt:variant>
      <vt:variant>
        <vt:i4>0</vt:i4>
      </vt:variant>
      <vt:variant>
        <vt:i4>5</vt:i4>
      </vt:variant>
      <vt:variant>
        <vt:lpwstr/>
      </vt:variant>
      <vt:variant>
        <vt:lpwstr>_Toc127957672</vt:lpwstr>
      </vt:variant>
      <vt:variant>
        <vt:i4>1835061</vt:i4>
      </vt:variant>
      <vt:variant>
        <vt:i4>806</vt:i4>
      </vt:variant>
      <vt:variant>
        <vt:i4>0</vt:i4>
      </vt:variant>
      <vt:variant>
        <vt:i4>5</vt:i4>
      </vt:variant>
      <vt:variant>
        <vt:lpwstr/>
      </vt:variant>
      <vt:variant>
        <vt:lpwstr>_Toc127957671</vt:lpwstr>
      </vt:variant>
      <vt:variant>
        <vt:i4>1835061</vt:i4>
      </vt:variant>
      <vt:variant>
        <vt:i4>800</vt:i4>
      </vt:variant>
      <vt:variant>
        <vt:i4>0</vt:i4>
      </vt:variant>
      <vt:variant>
        <vt:i4>5</vt:i4>
      </vt:variant>
      <vt:variant>
        <vt:lpwstr/>
      </vt:variant>
      <vt:variant>
        <vt:lpwstr>_Toc127957670</vt:lpwstr>
      </vt:variant>
      <vt:variant>
        <vt:i4>1900597</vt:i4>
      </vt:variant>
      <vt:variant>
        <vt:i4>794</vt:i4>
      </vt:variant>
      <vt:variant>
        <vt:i4>0</vt:i4>
      </vt:variant>
      <vt:variant>
        <vt:i4>5</vt:i4>
      </vt:variant>
      <vt:variant>
        <vt:lpwstr/>
      </vt:variant>
      <vt:variant>
        <vt:lpwstr>_Toc127957669</vt:lpwstr>
      </vt:variant>
      <vt:variant>
        <vt:i4>1900597</vt:i4>
      </vt:variant>
      <vt:variant>
        <vt:i4>788</vt:i4>
      </vt:variant>
      <vt:variant>
        <vt:i4>0</vt:i4>
      </vt:variant>
      <vt:variant>
        <vt:i4>5</vt:i4>
      </vt:variant>
      <vt:variant>
        <vt:lpwstr/>
      </vt:variant>
      <vt:variant>
        <vt:lpwstr>_Toc127957668</vt:lpwstr>
      </vt:variant>
      <vt:variant>
        <vt:i4>1900597</vt:i4>
      </vt:variant>
      <vt:variant>
        <vt:i4>782</vt:i4>
      </vt:variant>
      <vt:variant>
        <vt:i4>0</vt:i4>
      </vt:variant>
      <vt:variant>
        <vt:i4>5</vt:i4>
      </vt:variant>
      <vt:variant>
        <vt:lpwstr/>
      </vt:variant>
      <vt:variant>
        <vt:lpwstr>_Toc127957667</vt:lpwstr>
      </vt:variant>
      <vt:variant>
        <vt:i4>1900597</vt:i4>
      </vt:variant>
      <vt:variant>
        <vt:i4>776</vt:i4>
      </vt:variant>
      <vt:variant>
        <vt:i4>0</vt:i4>
      </vt:variant>
      <vt:variant>
        <vt:i4>5</vt:i4>
      </vt:variant>
      <vt:variant>
        <vt:lpwstr/>
      </vt:variant>
      <vt:variant>
        <vt:lpwstr>_Toc127957665</vt:lpwstr>
      </vt:variant>
      <vt:variant>
        <vt:i4>1900597</vt:i4>
      </vt:variant>
      <vt:variant>
        <vt:i4>770</vt:i4>
      </vt:variant>
      <vt:variant>
        <vt:i4>0</vt:i4>
      </vt:variant>
      <vt:variant>
        <vt:i4>5</vt:i4>
      </vt:variant>
      <vt:variant>
        <vt:lpwstr/>
      </vt:variant>
      <vt:variant>
        <vt:lpwstr>_Toc127957664</vt:lpwstr>
      </vt:variant>
      <vt:variant>
        <vt:i4>1900597</vt:i4>
      </vt:variant>
      <vt:variant>
        <vt:i4>764</vt:i4>
      </vt:variant>
      <vt:variant>
        <vt:i4>0</vt:i4>
      </vt:variant>
      <vt:variant>
        <vt:i4>5</vt:i4>
      </vt:variant>
      <vt:variant>
        <vt:lpwstr/>
      </vt:variant>
      <vt:variant>
        <vt:lpwstr>_Toc127957663</vt:lpwstr>
      </vt:variant>
      <vt:variant>
        <vt:i4>1900597</vt:i4>
      </vt:variant>
      <vt:variant>
        <vt:i4>758</vt:i4>
      </vt:variant>
      <vt:variant>
        <vt:i4>0</vt:i4>
      </vt:variant>
      <vt:variant>
        <vt:i4>5</vt:i4>
      </vt:variant>
      <vt:variant>
        <vt:lpwstr/>
      </vt:variant>
      <vt:variant>
        <vt:lpwstr>_Toc127957662</vt:lpwstr>
      </vt:variant>
      <vt:variant>
        <vt:i4>1900597</vt:i4>
      </vt:variant>
      <vt:variant>
        <vt:i4>752</vt:i4>
      </vt:variant>
      <vt:variant>
        <vt:i4>0</vt:i4>
      </vt:variant>
      <vt:variant>
        <vt:i4>5</vt:i4>
      </vt:variant>
      <vt:variant>
        <vt:lpwstr/>
      </vt:variant>
      <vt:variant>
        <vt:lpwstr>_Toc127957661</vt:lpwstr>
      </vt:variant>
      <vt:variant>
        <vt:i4>1900597</vt:i4>
      </vt:variant>
      <vt:variant>
        <vt:i4>746</vt:i4>
      </vt:variant>
      <vt:variant>
        <vt:i4>0</vt:i4>
      </vt:variant>
      <vt:variant>
        <vt:i4>5</vt:i4>
      </vt:variant>
      <vt:variant>
        <vt:lpwstr/>
      </vt:variant>
      <vt:variant>
        <vt:lpwstr>_Toc127957660</vt:lpwstr>
      </vt:variant>
      <vt:variant>
        <vt:i4>1966133</vt:i4>
      </vt:variant>
      <vt:variant>
        <vt:i4>740</vt:i4>
      </vt:variant>
      <vt:variant>
        <vt:i4>0</vt:i4>
      </vt:variant>
      <vt:variant>
        <vt:i4>5</vt:i4>
      </vt:variant>
      <vt:variant>
        <vt:lpwstr/>
      </vt:variant>
      <vt:variant>
        <vt:lpwstr>_Toc127957659</vt:lpwstr>
      </vt:variant>
      <vt:variant>
        <vt:i4>1966133</vt:i4>
      </vt:variant>
      <vt:variant>
        <vt:i4>734</vt:i4>
      </vt:variant>
      <vt:variant>
        <vt:i4>0</vt:i4>
      </vt:variant>
      <vt:variant>
        <vt:i4>5</vt:i4>
      </vt:variant>
      <vt:variant>
        <vt:lpwstr/>
      </vt:variant>
      <vt:variant>
        <vt:lpwstr>_Toc127957658</vt:lpwstr>
      </vt:variant>
      <vt:variant>
        <vt:i4>1966133</vt:i4>
      </vt:variant>
      <vt:variant>
        <vt:i4>728</vt:i4>
      </vt:variant>
      <vt:variant>
        <vt:i4>0</vt:i4>
      </vt:variant>
      <vt:variant>
        <vt:i4>5</vt:i4>
      </vt:variant>
      <vt:variant>
        <vt:lpwstr/>
      </vt:variant>
      <vt:variant>
        <vt:lpwstr>_Toc127957657</vt:lpwstr>
      </vt:variant>
      <vt:variant>
        <vt:i4>1966133</vt:i4>
      </vt:variant>
      <vt:variant>
        <vt:i4>722</vt:i4>
      </vt:variant>
      <vt:variant>
        <vt:i4>0</vt:i4>
      </vt:variant>
      <vt:variant>
        <vt:i4>5</vt:i4>
      </vt:variant>
      <vt:variant>
        <vt:lpwstr/>
      </vt:variant>
      <vt:variant>
        <vt:lpwstr>_Toc127957656</vt:lpwstr>
      </vt:variant>
      <vt:variant>
        <vt:i4>1966133</vt:i4>
      </vt:variant>
      <vt:variant>
        <vt:i4>716</vt:i4>
      </vt:variant>
      <vt:variant>
        <vt:i4>0</vt:i4>
      </vt:variant>
      <vt:variant>
        <vt:i4>5</vt:i4>
      </vt:variant>
      <vt:variant>
        <vt:lpwstr/>
      </vt:variant>
      <vt:variant>
        <vt:lpwstr>_Toc127957655</vt:lpwstr>
      </vt:variant>
      <vt:variant>
        <vt:i4>1966133</vt:i4>
      </vt:variant>
      <vt:variant>
        <vt:i4>710</vt:i4>
      </vt:variant>
      <vt:variant>
        <vt:i4>0</vt:i4>
      </vt:variant>
      <vt:variant>
        <vt:i4>5</vt:i4>
      </vt:variant>
      <vt:variant>
        <vt:lpwstr/>
      </vt:variant>
      <vt:variant>
        <vt:lpwstr>_Toc127957654</vt:lpwstr>
      </vt:variant>
      <vt:variant>
        <vt:i4>1966133</vt:i4>
      </vt:variant>
      <vt:variant>
        <vt:i4>704</vt:i4>
      </vt:variant>
      <vt:variant>
        <vt:i4>0</vt:i4>
      </vt:variant>
      <vt:variant>
        <vt:i4>5</vt:i4>
      </vt:variant>
      <vt:variant>
        <vt:lpwstr/>
      </vt:variant>
      <vt:variant>
        <vt:lpwstr>_Toc127957653</vt:lpwstr>
      </vt:variant>
      <vt:variant>
        <vt:i4>1966133</vt:i4>
      </vt:variant>
      <vt:variant>
        <vt:i4>698</vt:i4>
      </vt:variant>
      <vt:variant>
        <vt:i4>0</vt:i4>
      </vt:variant>
      <vt:variant>
        <vt:i4>5</vt:i4>
      </vt:variant>
      <vt:variant>
        <vt:lpwstr/>
      </vt:variant>
      <vt:variant>
        <vt:lpwstr>_Toc127957652</vt:lpwstr>
      </vt:variant>
      <vt:variant>
        <vt:i4>1966133</vt:i4>
      </vt:variant>
      <vt:variant>
        <vt:i4>692</vt:i4>
      </vt:variant>
      <vt:variant>
        <vt:i4>0</vt:i4>
      </vt:variant>
      <vt:variant>
        <vt:i4>5</vt:i4>
      </vt:variant>
      <vt:variant>
        <vt:lpwstr/>
      </vt:variant>
      <vt:variant>
        <vt:lpwstr>_Toc127957651</vt:lpwstr>
      </vt:variant>
      <vt:variant>
        <vt:i4>1966133</vt:i4>
      </vt:variant>
      <vt:variant>
        <vt:i4>686</vt:i4>
      </vt:variant>
      <vt:variant>
        <vt:i4>0</vt:i4>
      </vt:variant>
      <vt:variant>
        <vt:i4>5</vt:i4>
      </vt:variant>
      <vt:variant>
        <vt:lpwstr/>
      </vt:variant>
      <vt:variant>
        <vt:lpwstr>_Toc127957650</vt:lpwstr>
      </vt:variant>
      <vt:variant>
        <vt:i4>2031669</vt:i4>
      </vt:variant>
      <vt:variant>
        <vt:i4>680</vt:i4>
      </vt:variant>
      <vt:variant>
        <vt:i4>0</vt:i4>
      </vt:variant>
      <vt:variant>
        <vt:i4>5</vt:i4>
      </vt:variant>
      <vt:variant>
        <vt:lpwstr/>
      </vt:variant>
      <vt:variant>
        <vt:lpwstr>_Toc127957649</vt:lpwstr>
      </vt:variant>
      <vt:variant>
        <vt:i4>2031669</vt:i4>
      </vt:variant>
      <vt:variant>
        <vt:i4>674</vt:i4>
      </vt:variant>
      <vt:variant>
        <vt:i4>0</vt:i4>
      </vt:variant>
      <vt:variant>
        <vt:i4>5</vt:i4>
      </vt:variant>
      <vt:variant>
        <vt:lpwstr/>
      </vt:variant>
      <vt:variant>
        <vt:lpwstr>_Toc127957648</vt:lpwstr>
      </vt:variant>
      <vt:variant>
        <vt:i4>2031669</vt:i4>
      </vt:variant>
      <vt:variant>
        <vt:i4>668</vt:i4>
      </vt:variant>
      <vt:variant>
        <vt:i4>0</vt:i4>
      </vt:variant>
      <vt:variant>
        <vt:i4>5</vt:i4>
      </vt:variant>
      <vt:variant>
        <vt:lpwstr/>
      </vt:variant>
      <vt:variant>
        <vt:lpwstr>_Toc127957647</vt:lpwstr>
      </vt:variant>
      <vt:variant>
        <vt:i4>2031669</vt:i4>
      </vt:variant>
      <vt:variant>
        <vt:i4>662</vt:i4>
      </vt:variant>
      <vt:variant>
        <vt:i4>0</vt:i4>
      </vt:variant>
      <vt:variant>
        <vt:i4>5</vt:i4>
      </vt:variant>
      <vt:variant>
        <vt:lpwstr/>
      </vt:variant>
      <vt:variant>
        <vt:lpwstr>_Toc127957646</vt:lpwstr>
      </vt:variant>
      <vt:variant>
        <vt:i4>2031669</vt:i4>
      </vt:variant>
      <vt:variant>
        <vt:i4>656</vt:i4>
      </vt:variant>
      <vt:variant>
        <vt:i4>0</vt:i4>
      </vt:variant>
      <vt:variant>
        <vt:i4>5</vt:i4>
      </vt:variant>
      <vt:variant>
        <vt:lpwstr/>
      </vt:variant>
      <vt:variant>
        <vt:lpwstr>_Toc127957645</vt:lpwstr>
      </vt:variant>
      <vt:variant>
        <vt:i4>2031669</vt:i4>
      </vt:variant>
      <vt:variant>
        <vt:i4>650</vt:i4>
      </vt:variant>
      <vt:variant>
        <vt:i4>0</vt:i4>
      </vt:variant>
      <vt:variant>
        <vt:i4>5</vt:i4>
      </vt:variant>
      <vt:variant>
        <vt:lpwstr/>
      </vt:variant>
      <vt:variant>
        <vt:lpwstr>_Toc127957644</vt:lpwstr>
      </vt:variant>
      <vt:variant>
        <vt:i4>2031669</vt:i4>
      </vt:variant>
      <vt:variant>
        <vt:i4>644</vt:i4>
      </vt:variant>
      <vt:variant>
        <vt:i4>0</vt:i4>
      </vt:variant>
      <vt:variant>
        <vt:i4>5</vt:i4>
      </vt:variant>
      <vt:variant>
        <vt:lpwstr/>
      </vt:variant>
      <vt:variant>
        <vt:lpwstr>_Toc127957643</vt:lpwstr>
      </vt:variant>
      <vt:variant>
        <vt:i4>2031669</vt:i4>
      </vt:variant>
      <vt:variant>
        <vt:i4>638</vt:i4>
      </vt:variant>
      <vt:variant>
        <vt:i4>0</vt:i4>
      </vt:variant>
      <vt:variant>
        <vt:i4>5</vt:i4>
      </vt:variant>
      <vt:variant>
        <vt:lpwstr/>
      </vt:variant>
      <vt:variant>
        <vt:lpwstr>_Toc127957642</vt:lpwstr>
      </vt:variant>
      <vt:variant>
        <vt:i4>2031669</vt:i4>
      </vt:variant>
      <vt:variant>
        <vt:i4>632</vt:i4>
      </vt:variant>
      <vt:variant>
        <vt:i4>0</vt:i4>
      </vt:variant>
      <vt:variant>
        <vt:i4>5</vt:i4>
      </vt:variant>
      <vt:variant>
        <vt:lpwstr/>
      </vt:variant>
      <vt:variant>
        <vt:lpwstr>_Toc127957641</vt:lpwstr>
      </vt:variant>
      <vt:variant>
        <vt:i4>2031669</vt:i4>
      </vt:variant>
      <vt:variant>
        <vt:i4>626</vt:i4>
      </vt:variant>
      <vt:variant>
        <vt:i4>0</vt:i4>
      </vt:variant>
      <vt:variant>
        <vt:i4>5</vt:i4>
      </vt:variant>
      <vt:variant>
        <vt:lpwstr/>
      </vt:variant>
      <vt:variant>
        <vt:lpwstr>_Toc127957640</vt:lpwstr>
      </vt:variant>
      <vt:variant>
        <vt:i4>1572917</vt:i4>
      </vt:variant>
      <vt:variant>
        <vt:i4>620</vt:i4>
      </vt:variant>
      <vt:variant>
        <vt:i4>0</vt:i4>
      </vt:variant>
      <vt:variant>
        <vt:i4>5</vt:i4>
      </vt:variant>
      <vt:variant>
        <vt:lpwstr/>
      </vt:variant>
      <vt:variant>
        <vt:lpwstr>_Toc127957639</vt:lpwstr>
      </vt:variant>
      <vt:variant>
        <vt:i4>1572917</vt:i4>
      </vt:variant>
      <vt:variant>
        <vt:i4>614</vt:i4>
      </vt:variant>
      <vt:variant>
        <vt:i4>0</vt:i4>
      </vt:variant>
      <vt:variant>
        <vt:i4>5</vt:i4>
      </vt:variant>
      <vt:variant>
        <vt:lpwstr/>
      </vt:variant>
      <vt:variant>
        <vt:lpwstr>_Toc127957638</vt:lpwstr>
      </vt:variant>
      <vt:variant>
        <vt:i4>1572917</vt:i4>
      </vt:variant>
      <vt:variant>
        <vt:i4>608</vt:i4>
      </vt:variant>
      <vt:variant>
        <vt:i4>0</vt:i4>
      </vt:variant>
      <vt:variant>
        <vt:i4>5</vt:i4>
      </vt:variant>
      <vt:variant>
        <vt:lpwstr/>
      </vt:variant>
      <vt:variant>
        <vt:lpwstr>_Toc127957637</vt:lpwstr>
      </vt:variant>
      <vt:variant>
        <vt:i4>1572917</vt:i4>
      </vt:variant>
      <vt:variant>
        <vt:i4>602</vt:i4>
      </vt:variant>
      <vt:variant>
        <vt:i4>0</vt:i4>
      </vt:variant>
      <vt:variant>
        <vt:i4>5</vt:i4>
      </vt:variant>
      <vt:variant>
        <vt:lpwstr/>
      </vt:variant>
      <vt:variant>
        <vt:lpwstr>_Toc127957636</vt:lpwstr>
      </vt:variant>
      <vt:variant>
        <vt:i4>1572917</vt:i4>
      </vt:variant>
      <vt:variant>
        <vt:i4>596</vt:i4>
      </vt:variant>
      <vt:variant>
        <vt:i4>0</vt:i4>
      </vt:variant>
      <vt:variant>
        <vt:i4>5</vt:i4>
      </vt:variant>
      <vt:variant>
        <vt:lpwstr/>
      </vt:variant>
      <vt:variant>
        <vt:lpwstr>_Toc127957635</vt:lpwstr>
      </vt:variant>
      <vt:variant>
        <vt:i4>1572917</vt:i4>
      </vt:variant>
      <vt:variant>
        <vt:i4>590</vt:i4>
      </vt:variant>
      <vt:variant>
        <vt:i4>0</vt:i4>
      </vt:variant>
      <vt:variant>
        <vt:i4>5</vt:i4>
      </vt:variant>
      <vt:variant>
        <vt:lpwstr/>
      </vt:variant>
      <vt:variant>
        <vt:lpwstr>_Toc127957634</vt:lpwstr>
      </vt:variant>
      <vt:variant>
        <vt:i4>1572917</vt:i4>
      </vt:variant>
      <vt:variant>
        <vt:i4>584</vt:i4>
      </vt:variant>
      <vt:variant>
        <vt:i4>0</vt:i4>
      </vt:variant>
      <vt:variant>
        <vt:i4>5</vt:i4>
      </vt:variant>
      <vt:variant>
        <vt:lpwstr/>
      </vt:variant>
      <vt:variant>
        <vt:lpwstr>_Toc127957633</vt:lpwstr>
      </vt:variant>
      <vt:variant>
        <vt:i4>1572917</vt:i4>
      </vt:variant>
      <vt:variant>
        <vt:i4>578</vt:i4>
      </vt:variant>
      <vt:variant>
        <vt:i4>0</vt:i4>
      </vt:variant>
      <vt:variant>
        <vt:i4>5</vt:i4>
      </vt:variant>
      <vt:variant>
        <vt:lpwstr/>
      </vt:variant>
      <vt:variant>
        <vt:lpwstr>_Toc127957632</vt:lpwstr>
      </vt:variant>
      <vt:variant>
        <vt:i4>1572917</vt:i4>
      </vt:variant>
      <vt:variant>
        <vt:i4>572</vt:i4>
      </vt:variant>
      <vt:variant>
        <vt:i4>0</vt:i4>
      </vt:variant>
      <vt:variant>
        <vt:i4>5</vt:i4>
      </vt:variant>
      <vt:variant>
        <vt:lpwstr/>
      </vt:variant>
      <vt:variant>
        <vt:lpwstr>_Toc127957631</vt:lpwstr>
      </vt:variant>
      <vt:variant>
        <vt:i4>1572917</vt:i4>
      </vt:variant>
      <vt:variant>
        <vt:i4>566</vt:i4>
      </vt:variant>
      <vt:variant>
        <vt:i4>0</vt:i4>
      </vt:variant>
      <vt:variant>
        <vt:i4>5</vt:i4>
      </vt:variant>
      <vt:variant>
        <vt:lpwstr/>
      </vt:variant>
      <vt:variant>
        <vt:lpwstr>_Toc127957630</vt:lpwstr>
      </vt:variant>
      <vt:variant>
        <vt:i4>1638453</vt:i4>
      </vt:variant>
      <vt:variant>
        <vt:i4>560</vt:i4>
      </vt:variant>
      <vt:variant>
        <vt:i4>0</vt:i4>
      </vt:variant>
      <vt:variant>
        <vt:i4>5</vt:i4>
      </vt:variant>
      <vt:variant>
        <vt:lpwstr/>
      </vt:variant>
      <vt:variant>
        <vt:lpwstr>_Toc127957629</vt:lpwstr>
      </vt:variant>
      <vt:variant>
        <vt:i4>1638453</vt:i4>
      </vt:variant>
      <vt:variant>
        <vt:i4>554</vt:i4>
      </vt:variant>
      <vt:variant>
        <vt:i4>0</vt:i4>
      </vt:variant>
      <vt:variant>
        <vt:i4>5</vt:i4>
      </vt:variant>
      <vt:variant>
        <vt:lpwstr/>
      </vt:variant>
      <vt:variant>
        <vt:lpwstr>_Toc127957628</vt:lpwstr>
      </vt:variant>
      <vt:variant>
        <vt:i4>1638453</vt:i4>
      </vt:variant>
      <vt:variant>
        <vt:i4>548</vt:i4>
      </vt:variant>
      <vt:variant>
        <vt:i4>0</vt:i4>
      </vt:variant>
      <vt:variant>
        <vt:i4>5</vt:i4>
      </vt:variant>
      <vt:variant>
        <vt:lpwstr/>
      </vt:variant>
      <vt:variant>
        <vt:lpwstr>_Toc127957627</vt:lpwstr>
      </vt:variant>
      <vt:variant>
        <vt:i4>1638453</vt:i4>
      </vt:variant>
      <vt:variant>
        <vt:i4>542</vt:i4>
      </vt:variant>
      <vt:variant>
        <vt:i4>0</vt:i4>
      </vt:variant>
      <vt:variant>
        <vt:i4>5</vt:i4>
      </vt:variant>
      <vt:variant>
        <vt:lpwstr/>
      </vt:variant>
      <vt:variant>
        <vt:lpwstr>_Toc127957626</vt:lpwstr>
      </vt:variant>
      <vt:variant>
        <vt:i4>1638453</vt:i4>
      </vt:variant>
      <vt:variant>
        <vt:i4>536</vt:i4>
      </vt:variant>
      <vt:variant>
        <vt:i4>0</vt:i4>
      </vt:variant>
      <vt:variant>
        <vt:i4>5</vt:i4>
      </vt:variant>
      <vt:variant>
        <vt:lpwstr/>
      </vt:variant>
      <vt:variant>
        <vt:lpwstr>_Toc127957625</vt:lpwstr>
      </vt:variant>
      <vt:variant>
        <vt:i4>1638453</vt:i4>
      </vt:variant>
      <vt:variant>
        <vt:i4>530</vt:i4>
      </vt:variant>
      <vt:variant>
        <vt:i4>0</vt:i4>
      </vt:variant>
      <vt:variant>
        <vt:i4>5</vt:i4>
      </vt:variant>
      <vt:variant>
        <vt:lpwstr/>
      </vt:variant>
      <vt:variant>
        <vt:lpwstr>_Toc127957624</vt:lpwstr>
      </vt:variant>
      <vt:variant>
        <vt:i4>1638453</vt:i4>
      </vt:variant>
      <vt:variant>
        <vt:i4>524</vt:i4>
      </vt:variant>
      <vt:variant>
        <vt:i4>0</vt:i4>
      </vt:variant>
      <vt:variant>
        <vt:i4>5</vt:i4>
      </vt:variant>
      <vt:variant>
        <vt:lpwstr/>
      </vt:variant>
      <vt:variant>
        <vt:lpwstr>_Toc127957623</vt:lpwstr>
      </vt:variant>
      <vt:variant>
        <vt:i4>1638453</vt:i4>
      </vt:variant>
      <vt:variant>
        <vt:i4>518</vt:i4>
      </vt:variant>
      <vt:variant>
        <vt:i4>0</vt:i4>
      </vt:variant>
      <vt:variant>
        <vt:i4>5</vt:i4>
      </vt:variant>
      <vt:variant>
        <vt:lpwstr/>
      </vt:variant>
      <vt:variant>
        <vt:lpwstr>_Toc127957622</vt:lpwstr>
      </vt:variant>
      <vt:variant>
        <vt:i4>1638453</vt:i4>
      </vt:variant>
      <vt:variant>
        <vt:i4>512</vt:i4>
      </vt:variant>
      <vt:variant>
        <vt:i4>0</vt:i4>
      </vt:variant>
      <vt:variant>
        <vt:i4>5</vt:i4>
      </vt:variant>
      <vt:variant>
        <vt:lpwstr/>
      </vt:variant>
      <vt:variant>
        <vt:lpwstr>_Toc127957621</vt:lpwstr>
      </vt:variant>
      <vt:variant>
        <vt:i4>1638453</vt:i4>
      </vt:variant>
      <vt:variant>
        <vt:i4>506</vt:i4>
      </vt:variant>
      <vt:variant>
        <vt:i4>0</vt:i4>
      </vt:variant>
      <vt:variant>
        <vt:i4>5</vt:i4>
      </vt:variant>
      <vt:variant>
        <vt:lpwstr/>
      </vt:variant>
      <vt:variant>
        <vt:lpwstr>_Toc127957620</vt:lpwstr>
      </vt:variant>
      <vt:variant>
        <vt:i4>1703989</vt:i4>
      </vt:variant>
      <vt:variant>
        <vt:i4>500</vt:i4>
      </vt:variant>
      <vt:variant>
        <vt:i4>0</vt:i4>
      </vt:variant>
      <vt:variant>
        <vt:i4>5</vt:i4>
      </vt:variant>
      <vt:variant>
        <vt:lpwstr/>
      </vt:variant>
      <vt:variant>
        <vt:lpwstr>_Toc127957619</vt:lpwstr>
      </vt:variant>
      <vt:variant>
        <vt:i4>1703989</vt:i4>
      </vt:variant>
      <vt:variant>
        <vt:i4>494</vt:i4>
      </vt:variant>
      <vt:variant>
        <vt:i4>0</vt:i4>
      </vt:variant>
      <vt:variant>
        <vt:i4>5</vt:i4>
      </vt:variant>
      <vt:variant>
        <vt:lpwstr/>
      </vt:variant>
      <vt:variant>
        <vt:lpwstr>_Toc127957618</vt:lpwstr>
      </vt:variant>
      <vt:variant>
        <vt:i4>1703989</vt:i4>
      </vt:variant>
      <vt:variant>
        <vt:i4>488</vt:i4>
      </vt:variant>
      <vt:variant>
        <vt:i4>0</vt:i4>
      </vt:variant>
      <vt:variant>
        <vt:i4>5</vt:i4>
      </vt:variant>
      <vt:variant>
        <vt:lpwstr/>
      </vt:variant>
      <vt:variant>
        <vt:lpwstr>_Toc127957617</vt:lpwstr>
      </vt:variant>
      <vt:variant>
        <vt:i4>1703989</vt:i4>
      </vt:variant>
      <vt:variant>
        <vt:i4>482</vt:i4>
      </vt:variant>
      <vt:variant>
        <vt:i4>0</vt:i4>
      </vt:variant>
      <vt:variant>
        <vt:i4>5</vt:i4>
      </vt:variant>
      <vt:variant>
        <vt:lpwstr/>
      </vt:variant>
      <vt:variant>
        <vt:lpwstr>_Toc127957616</vt:lpwstr>
      </vt:variant>
      <vt:variant>
        <vt:i4>1703989</vt:i4>
      </vt:variant>
      <vt:variant>
        <vt:i4>476</vt:i4>
      </vt:variant>
      <vt:variant>
        <vt:i4>0</vt:i4>
      </vt:variant>
      <vt:variant>
        <vt:i4>5</vt:i4>
      </vt:variant>
      <vt:variant>
        <vt:lpwstr/>
      </vt:variant>
      <vt:variant>
        <vt:lpwstr>_Toc127957615</vt:lpwstr>
      </vt:variant>
      <vt:variant>
        <vt:i4>1703989</vt:i4>
      </vt:variant>
      <vt:variant>
        <vt:i4>470</vt:i4>
      </vt:variant>
      <vt:variant>
        <vt:i4>0</vt:i4>
      </vt:variant>
      <vt:variant>
        <vt:i4>5</vt:i4>
      </vt:variant>
      <vt:variant>
        <vt:lpwstr/>
      </vt:variant>
      <vt:variant>
        <vt:lpwstr>_Toc127957614</vt:lpwstr>
      </vt:variant>
      <vt:variant>
        <vt:i4>1703989</vt:i4>
      </vt:variant>
      <vt:variant>
        <vt:i4>464</vt:i4>
      </vt:variant>
      <vt:variant>
        <vt:i4>0</vt:i4>
      </vt:variant>
      <vt:variant>
        <vt:i4>5</vt:i4>
      </vt:variant>
      <vt:variant>
        <vt:lpwstr/>
      </vt:variant>
      <vt:variant>
        <vt:lpwstr>_Toc127957613</vt:lpwstr>
      </vt:variant>
      <vt:variant>
        <vt:i4>1703989</vt:i4>
      </vt:variant>
      <vt:variant>
        <vt:i4>458</vt:i4>
      </vt:variant>
      <vt:variant>
        <vt:i4>0</vt:i4>
      </vt:variant>
      <vt:variant>
        <vt:i4>5</vt:i4>
      </vt:variant>
      <vt:variant>
        <vt:lpwstr/>
      </vt:variant>
      <vt:variant>
        <vt:lpwstr>_Toc127957612</vt:lpwstr>
      </vt:variant>
      <vt:variant>
        <vt:i4>1703989</vt:i4>
      </vt:variant>
      <vt:variant>
        <vt:i4>452</vt:i4>
      </vt:variant>
      <vt:variant>
        <vt:i4>0</vt:i4>
      </vt:variant>
      <vt:variant>
        <vt:i4>5</vt:i4>
      </vt:variant>
      <vt:variant>
        <vt:lpwstr/>
      </vt:variant>
      <vt:variant>
        <vt:lpwstr>_Toc127957611</vt:lpwstr>
      </vt:variant>
      <vt:variant>
        <vt:i4>1703989</vt:i4>
      </vt:variant>
      <vt:variant>
        <vt:i4>446</vt:i4>
      </vt:variant>
      <vt:variant>
        <vt:i4>0</vt:i4>
      </vt:variant>
      <vt:variant>
        <vt:i4>5</vt:i4>
      </vt:variant>
      <vt:variant>
        <vt:lpwstr/>
      </vt:variant>
      <vt:variant>
        <vt:lpwstr>_Toc127957610</vt:lpwstr>
      </vt:variant>
      <vt:variant>
        <vt:i4>1769525</vt:i4>
      </vt:variant>
      <vt:variant>
        <vt:i4>440</vt:i4>
      </vt:variant>
      <vt:variant>
        <vt:i4>0</vt:i4>
      </vt:variant>
      <vt:variant>
        <vt:i4>5</vt:i4>
      </vt:variant>
      <vt:variant>
        <vt:lpwstr/>
      </vt:variant>
      <vt:variant>
        <vt:lpwstr>_Toc127957609</vt:lpwstr>
      </vt:variant>
      <vt:variant>
        <vt:i4>1769525</vt:i4>
      </vt:variant>
      <vt:variant>
        <vt:i4>434</vt:i4>
      </vt:variant>
      <vt:variant>
        <vt:i4>0</vt:i4>
      </vt:variant>
      <vt:variant>
        <vt:i4>5</vt:i4>
      </vt:variant>
      <vt:variant>
        <vt:lpwstr/>
      </vt:variant>
      <vt:variant>
        <vt:lpwstr>_Toc127957608</vt:lpwstr>
      </vt:variant>
      <vt:variant>
        <vt:i4>1769525</vt:i4>
      </vt:variant>
      <vt:variant>
        <vt:i4>428</vt:i4>
      </vt:variant>
      <vt:variant>
        <vt:i4>0</vt:i4>
      </vt:variant>
      <vt:variant>
        <vt:i4>5</vt:i4>
      </vt:variant>
      <vt:variant>
        <vt:lpwstr/>
      </vt:variant>
      <vt:variant>
        <vt:lpwstr>_Toc127957607</vt:lpwstr>
      </vt:variant>
      <vt:variant>
        <vt:i4>1769525</vt:i4>
      </vt:variant>
      <vt:variant>
        <vt:i4>422</vt:i4>
      </vt:variant>
      <vt:variant>
        <vt:i4>0</vt:i4>
      </vt:variant>
      <vt:variant>
        <vt:i4>5</vt:i4>
      </vt:variant>
      <vt:variant>
        <vt:lpwstr/>
      </vt:variant>
      <vt:variant>
        <vt:lpwstr>_Toc127957606</vt:lpwstr>
      </vt:variant>
      <vt:variant>
        <vt:i4>1769525</vt:i4>
      </vt:variant>
      <vt:variant>
        <vt:i4>416</vt:i4>
      </vt:variant>
      <vt:variant>
        <vt:i4>0</vt:i4>
      </vt:variant>
      <vt:variant>
        <vt:i4>5</vt:i4>
      </vt:variant>
      <vt:variant>
        <vt:lpwstr/>
      </vt:variant>
      <vt:variant>
        <vt:lpwstr>_Toc127957605</vt:lpwstr>
      </vt:variant>
      <vt:variant>
        <vt:i4>1769525</vt:i4>
      </vt:variant>
      <vt:variant>
        <vt:i4>410</vt:i4>
      </vt:variant>
      <vt:variant>
        <vt:i4>0</vt:i4>
      </vt:variant>
      <vt:variant>
        <vt:i4>5</vt:i4>
      </vt:variant>
      <vt:variant>
        <vt:lpwstr/>
      </vt:variant>
      <vt:variant>
        <vt:lpwstr>_Toc127957604</vt:lpwstr>
      </vt:variant>
      <vt:variant>
        <vt:i4>1769525</vt:i4>
      </vt:variant>
      <vt:variant>
        <vt:i4>404</vt:i4>
      </vt:variant>
      <vt:variant>
        <vt:i4>0</vt:i4>
      </vt:variant>
      <vt:variant>
        <vt:i4>5</vt:i4>
      </vt:variant>
      <vt:variant>
        <vt:lpwstr/>
      </vt:variant>
      <vt:variant>
        <vt:lpwstr>_Toc127957603</vt:lpwstr>
      </vt:variant>
      <vt:variant>
        <vt:i4>1769525</vt:i4>
      </vt:variant>
      <vt:variant>
        <vt:i4>398</vt:i4>
      </vt:variant>
      <vt:variant>
        <vt:i4>0</vt:i4>
      </vt:variant>
      <vt:variant>
        <vt:i4>5</vt:i4>
      </vt:variant>
      <vt:variant>
        <vt:lpwstr/>
      </vt:variant>
      <vt:variant>
        <vt:lpwstr>_Toc127957602</vt:lpwstr>
      </vt:variant>
      <vt:variant>
        <vt:i4>1769525</vt:i4>
      </vt:variant>
      <vt:variant>
        <vt:i4>392</vt:i4>
      </vt:variant>
      <vt:variant>
        <vt:i4>0</vt:i4>
      </vt:variant>
      <vt:variant>
        <vt:i4>5</vt:i4>
      </vt:variant>
      <vt:variant>
        <vt:lpwstr/>
      </vt:variant>
      <vt:variant>
        <vt:lpwstr>_Toc127957601</vt:lpwstr>
      </vt:variant>
      <vt:variant>
        <vt:i4>1769525</vt:i4>
      </vt:variant>
      <vt:variant>
        <vt:i4>386</vt:i4>
      </vt:variant>
      <vt:variant>
        <vt:i4>0</vt:i4>
      </vt:variant>
      <vt:variant>
        <vt:i4>5</vt:i4>
      </vt:variant>
      <vt:variant>
        <vt:lpwstr/>
      </vt:variant>
      <vt:variant>
        <vt:lpwstr>_Toc127957600</vt:lpwstr>
      </vt:variant>
      <vt:variant>
        <vt:i4>1179702</vt:i4>
      </vt:variant>
      <vt:variant>
        <vt:i4>380</vt:i4>
      </vt:variant>
      <vt:variant>
        <vt:i4>0</vt:i4>
      </vt:variant>
      <vt:variant>
        <vt:i4>5</vt:i4>
      </vt:variant>
      <vt:variant>
        <vt:lpwstr/>
      </vt:variant>
      <vt:variant>
        <vt:lpwstr>_Toc127957599</vt:lpwstr>
      </vt:variant>
      <vt:variant>
        <vt:i4>1179702</vt:i4>
      </vt:variant>
      <vt:variant>
        <vt:i4>374</vt:i4>
      </vt:variant>
      <vt:variant>
        <vt:i4>0</vt:i4>
      </vt:variant>
      <vt:variant>
        <vt:i4>5</vt:i4>
      </vt:variant>
      <vt:variant>
        <vt:lpwstr/>
      </vt:variant>
      <vt:variant>
        <vt:lpwstr>_Toc127957598</vt:lpwstr>
      </vt:variant>
      <vt:variant>
        <vt:i4>1179702</vt:i4>
      </vt:variant>
      <vt:variant>
        <vt:i4>368</vt:i4>
      </vt:variant>
      <vt:variant>
        <vt:i4>0</vt:i4>
      </vt:variant>
      <vt:variant>
        <vt:i4>5</vt:i4>
      </vt:variant>
      <vt:variant>
        <vt:lpwstr/>
      </vt:variant>
      <vt:variant>
        <vt:lpwstr>_Toc127957597</vt:lpwstr>
      </vt:variant>
      <vt:variant>
        <vt:i4>1179702</vt:i4>
      </vt:variant>
      <vt:variant>
        <vt:i4>362</vt:i4>
      </vt:variant>
      <vt:variant>
        <vt:i4>0</vt:i4>
      </vt:variant>
      <vt:variant>
        <vt:i4>5</vt:i4>
      </vt:variant>
      <vt:variant>
        <vt:lpwstr/>
      </vt:variant>
      <vt:variant>
        <vt:lpwstr>_Toc127957596</vt:lpwstr>
      </vt:variant>
      <vt:variant>
        <vt:i4>1179702</vt:i4>
      </vt:variant>
      <vt:variant>
        <vt:i4>356</vt:i4>
      </vt:variant>
      <vt:variant>
        <vt:i4>0</vt:i4>
      </vt:variant>
      <vt:variant>
        <vt:i4>5</vt:i4>
      </vt:variant>
      <vt:variant>
        <vt:lpwstr/>
      </vt:variant>
      <vt:variant>
        <vt:lpwstr>_Toc127957595</vt:lpwstr>
      </vt:variant>
      <vt:variant>
        <vt:i4>1179702</vt:i4>
      </vt:variant>
      <vt:variant>
        <vt:i4>350</vt:i4>
      </vt:variant>
      <vt:variant>
        <vt:i4>0</vt:i4>
      </vt:variant>
      <vt:variant>
        <vt:i4>5</vt:i4>
      </vt:variant>
      <vt:variant>
        <vt:lpwstr/>
      </vt:variant>
      <vt:variant>
        <vt:lpwstr>_Toc127957594</vt:lpwstr>
      </vt:variant>
      <vt:variant>
        <vt:i4>1179702</vt:i4>
      </vt:variant>
      <vt:variant>
        <vt:i4>344</vt:i4>
      </vt:variant>
      <vt:variant>
        <vt:i4>0</vt:i4>
      </vt:variant>
      <vt:variant>
        <vt:i4>5</vt:i4>
      </vt:variant>
      <vt:variant>
        <vt:lpwstr/>
      </vt:variant>
      <vt:variant>
        <vt:lpwstr>_Toc127957593</vt:lpwstr>
      </vt:variant>
      <vt:variant>
        <vt:i4>1179702</vt:i4>
      </vt:variant>
      <vt:variant>
        <vt:i4>338</vt:i4>
      </vt:variant>
      <vt:variant>
        <vt:i4>0</vt:i4>
      </vt:variant>
      <vt:variant>
        <vt:i4>5</vt:i4>
      </vt:variant>
      <vt:variant>
        <vt:lpwstr/>
      </vt:variant>
      <vt:variant>
        <vt:lpwstr>_Toc127957592</vt:lpwstr>
      </vt:variant>
      <vt:variant>
        <vt:i4>1179702</vt:i4>
      </vt:variant>
      <vt:variant>
        <vt:i4>332</vt:i4>
      </vt:variant>
      <vt:variant>
        <vt:i4>0</vt:i4>
      </vt:variant>
      <vt:variant>
        <vt:i4>5</vt:i4>
      </vt:variant>
      <vt:variant>
        <vt:lpwstr/>
      </vt:variant>
      <vt:variant>
        <vt:lpwstr>_Toc127957591</vt:lpwstr>
      </vt:variant>
      <vt:variant>
        <vt:i4>1179702</vt:i4>
      </vt:variant>
      <vt:variant>
        <vt:i4>326</vt:i4>
      </vt:variant>
      <vt:variant>
        <vt:i4>0</vt:i4>
      </vt:variant>
      <vt:variant>
        <vt:i4>5</vt:i4>
      </vt:variant>
      <vt:variant>
        <vt:lpwstr/>
      </vt:variant>
      <vt:variant>
        <vt:lpwstr>_Toc127957590</vt:lpwstr>
      </vt:variant>
      <vt:variant>
        <vt:i4>1245238</vt:i4>
      </vt:variant>
      <vt:variant>
        <vt:i4>320</vt:i4>
      </vt:variant>
      <vt:variant>
        <vt:i4>0</vt:i4>
      </vt:variant>
      <vt:variant>
        <vt:i4>5</vt:i4>
      </vt:variant>
      <vt:variant>
        <vt:lpwstr/>
      </vt:variant>
      <vt:variant>
        <vt:lpwstr>_Toc127957589</vt:lpwstr>
      </vt:variant>
      <vt:variant>
        <vt:i4>1245238</vt:i4>
      </vt:variant>
      <vt:variant>
        <vt:i4>314</vt:i4>
      </vt:variant>
      <vt:variant>
        <vt:i4>0</vt:i4>
      </vt:variant>
      <vt:variant>
        <vt:i4>5</vt:i4>
      </vt:variant>
      <vt:variant>
        <vt:lpwstr/>
      </vt:variant>
      <vt:variant>
        <vt:lpwstr>_Toc127957588</vt:lpwstr>
      </vt:variant>
      <vt:variant>
        <vt:i4>1245238</vt:i4>
      </vt:variant>
      <vt:variant>
        <vt:i4>308</vt:i4>
      </vt:variant>
      <vt:variant>
        <vt:i4>0</vt:i4>
      </vt:variant>
      <vt:variant>
        <vt:i4>5</vt:i4>
      </vt:variant>
      <vt:variant>
        <vt:lpwstr/>
      </vt:variant>
      <vt:variant>
        <vt:lpwstr>_Toc127957587</vt:lpwstr>
      </vt:variant>
      <vt:variant>
        <vt:i4>1245238</vt:i4>
      </vt:variant>
      <vt:variant>
        <vt:i4>302</vt:i4>
      </vt:variant>
      <vt:variant>
        <vt:i4>0</vt:i4>
      </vt:variant>
      <vt:variant>
        <vt:i4>5</vt:i4>
      </vt:variant>
      <vt:variant>
        <vt:lpwstr/>
      </vt:variant>
      <vt:variant>
        <vt:lpwstr>_Toc127957586</vt:lpwstr>
      </vt:variant>
      <vt:variant>
        <vt:i4>1245238</vt:i4>
      </vt:variant>
      <vt:variant>
        <vt:i4>296</vt:i4>
      </vt:variant>
      <vt:variant>
        <vt:i4>0</vt:i4>
      </vt:variant>
      <vt:variant>
        <vt:i4>5</vt:i4>
      </vt:variant>
      <vt:variant>
        <vt:lpwstr/>
      </vt:variant>
      <vt:variant>
        <vt:lpwstr>_Toc127957585</vt:lpwstr>
      </vt:variant>
      <vt:variant>
        <vt:i4>1245238</vt:i4>
      </vt:variant>
      <vt:variant>
        <vt:i4>290</vt:i4>
      </vt:variant>
      <vt:variant>
        <vt:i4>0</vt:i4>
      </vt:variant>
      <vt:variant>
        <vt:i4>5</vt:i4>
      </vt:variant>
      <vt:variant>
        <vt:lpwstr/>
      </vt:variant>
      <vt:variant>
        <vt:lpwstr>_Toc127957584</vt:lpwstr>
      </vt:variant>
      <vt:variant>
        <vt:i4>1245238</vt:i4>
      </vt:variant>
      <vt:variant>
        <vt:i4>284</vt:i4>
      </vt:variant>
      <vt:variant>
        <vt:i4>0</vt:i4>
      </vt:variant>
      <vt:variant>
        <vt:i4>5</vt:i4>
      </vt:variant>
      <vt:variant>
        <vt:lpwstr/>
      </vt:variant>
      <vt:variant>
        <vt:lpwstr>_Toc127957583</vt:lpwstr>
      </vt:variant>
      <vt:variant>
        <vt:i4>1245238</vt:i4>
      </vt:variant>
      <vt:variant>
        <vt:i4>278</vt:i4>
      </vt:variant>
      <vt:variant>
        <vt:i4>0</vt:i4>
      </vt:variant>
      <vt:variant>
        <vt:i4>5</vt:i4>
      </vt:variant>
      <vt:variant>
        <vt:lpwstr/>
      </vt:variant>
      <vt:variant>
        <vt:lpwstr>_Toc127957582</vt:lpwstr>
      </vt:variant>
      <vt:variant>
        <vt:i4>1245238</vt:i4>
      </vt:variant>
      <vt:variant>
        <vt:i4>272</vt:i4>
      </vt:variant>
      <vt:variant>
        <vt:i4>0</vt:i4>
      </vt:variant>
      <vt:variant>
        <vt:i4>5</vt:i4>
      </vt:variant>
      <vt:variant>
        <vt:lpwstr/>
      </vt:variant>
      <vt:variant>
        <vt:lpwstr>_Toc127957581</vt:lpwstr>
      </vt:variant>
      <vt:variant>
        <vt:i4>1245238</vt:i4>
      </vt:variant>
      <vt:variant>
        <vt:i4>266</vt:i4>
      </vt:variant>
      <vt:variant>
        <vt:i4>0</vt:i4>
      </vt:variant>
      <vt:variant>
        <vt:i4>5</vt:i4>
      </vt:variant>
      <vt:variant>
        <vt:lpwstr/>
      </vt:variant>
      <vt:variant>
        <vt:lpwstr>_Toc127957580</vt:lpwstr>
      </vt:variant>
      <vt:variant>
        <vt:i4>1835062</vt:i4>
      </vt:variant>
      <vt:variant>
        <vt:i4>260</vt:i4>
      </vt:variant>
      <vt:variant>
        <vt:i4>0</vt:i4>
      </vt:variant>
      <vt:variant>
        <vt:i4>5</vt:i4>
      </vt:variant>
      <vt:variant>
        <vt:lpwstr/>
      </vt:variant>
      <vt:variant>
        <vt:lpwstr>_Toc127957579</vt:lpwstr>
      </vt:variant>
      <vt:variant>
        <vt:i4>1835062</vt:i4>
      </vt:variant>
      <vt:variant>
        <vt:i4>254</vt:i4>
      </vt:variant>
      <vt:variant>
        <vt:i4>0</vt:i4>
      </vt:variant>
      <vt:variant>
        <vt:i4>5</vt:i4>
      </vt:variant>
      <vt:variant>
        <vt:lpwstr/>
      </vt:variant>
      <vt:variant>
        <vt:lpwstr>_Toc127957578</vt:lpwstr>
      </vt:variant>
      <vt:variant>
        <vt:i4>1835062</vt:i4>
      </vt:variant>
      <vt:variant>
        <vt:i4>248</vt:i4>
      </vt:variant>
      <vt:variant>
        <vt:i4>0</vt:i4>
      </vt:variant>
      <vt:variant>
        <vt:i4>5</vt:i4>
      </vt:variant>
      <vt:variant>
        <vt:lpwstr/>
      </vt:variant>
      <vt:variant>
        <vt:lpwstr>_Toc127957577</vt:lpwstr>
      </vt:variant>
      <vt:variant>
        <vt:i4>1835062</vt:i4>
      </vt:variant>
      <vt:variant>
        <vt:i4>242</vt:i4>
      </vt:variant>
      <vt:variant>
        <vt:i4>0</vt:i4>
      </vt:variant>
      <vt:variant>
        <vt:i4>5</vt:i4>
      </vt:variant>
      <vt:variant>
        <vt:lpwstr/>
      </vt:variant>
      <vt:variant>
        <vt:lpwstr>_Toc127957576</vt:lpwstr>
      </vt:variant>
      <vt:variant>
        <vt:i4>1835062</vt:i4>
      </vt:variant>
      <vt:variant>
        <vt:i4>236</vt:i4>
      </vt:variant>
      <vt:variant>
        <vt:i4>0</vt:i4>
      </vt:variant>
      <vt:variant>
        <vt:i4>5</vt:i4>
      </vt:variant>
      <vt:variant>
        <vt:lpwstr/>
      </vt:variant>
      <vt:variant>
        <vt:lpwstr>_Toc127957575</vt:lpwstr>
      </vt:variant>
      <vt:variant>
        <vt:i4>1835062</vt:i4>
      </vt:variant>
      <vt:variant>
        <vt:i4>230</vt:i4>
      </vt:variant>
      <vt:variant>
        <vt:i4>0</vt:i4>
      </vt:variant>
      <vt:variant>
        <vt:i4>5</vt:i4>
      </vt:variant>
      <vt:variant>
        <vt:lpwstr/>
      </vt:variant>
      <vt:variant>
        <vt:lpwstr>_Toc127957574</vt:lpwstr>
      </vt:variant>
      <vt:variant>
        <vt:i4>1835062</vt:i4>
      </vt:variant>
      <vt:variant>
        <vt:i4>224</vt:i4>
      </vt:variant>
      <vt:variant>
        <vt:i4>0</vt:i4>
      </vt:variant>
      <vt:variant>
        <vt:i4>5</vt:i4>
      </vt:variant>
      <vt:variant>
        <vt:lpwstr/>
      </vt:variant>
      <vt:variant>
        <vt:lpwstr>_Toc127957573</vt:lpwstr>
      </vt:variant>
      <vt:variant>
        <vt:i4>1835062</vt:i4>
      </vt:variant>
      <vt:variant>
        <vt:i4>218</vt:i4>
      </vt:variant>
      <vt:variant>
        <vt:i4>0</vt:i4>
      </vt:variant>
      <vt:variant>
        <vt:i4>5</vt:i4>
      </vt:variant>
      <vt:variant>
        <vt:lpwstr/>
      </vt:variant>
      <vt:variant>
        <vt:lpwstr>_Toc127957572</vt:lpwstr>
      </vt:variant>
      <vt:variant>
        <vt:i4>1835062</vt:i4>
      </vt:variant>
      <vt:variant>
        <vt:i4>212</vt:i4>
      </vt:variant>
      <vt:variant>
        <vt:i4>0</vt:i4>
      </vt:variant>
      <vt:variant>
        <vt:i4>5</vt:i4>
      </vt:variant>
      <vt:variant>
        <vt:lpwstr/>
      </vt:variant>
      <vt:variant>
        <vt:lpwstr>_Toc127957571</vt:lpwstr>
      </vt:variant>
      <vt:variant>
        <vt:i4>1835062</vt:i4>
      </vt:variant>
      <vt:variant>
        <vt:i4>206</vt:i4>
      </vt:variant>
      <vt:variant>
        <vt:i4>0</vt:i4>
      </vt:variant>
      <vt:variant>
        <vt:i4>5</vt:i4>
      </vt:variant>
      <vt:variant>
        <vt:lpwstr/>
      </vt:variant>
      <vt:variant>
        <vt:lpwstr>_Toc127957570</vt:lpwstr>
      </vt:variant>
      <vt:variant>
        <vt:i4>1900598</vt:i4>
      </vt:variant>
      <vt:variant>
        <vt:i4>200</vt:i4>
      </vt:variant>
      <vt:variant>
        <vt:i4>0</vt:i4>
      </vt:variant>
      <vt:variant>
        <vt:i4>5</vt:i4>
      </vt:variant>
      <vt:variant>
        <vt:lpwstr/>
      </vt:variant>
      <vt:variant>
        <vt:lpwstr>_Toc127957569</vt:lpwstr>
      </vt:variant>
      <vt:variant>
        <vt:i4>1900598</vt:i4>
      </vt:variant>
      <vt:variant>
        <vt:i4>194</vt:i4>
      </vt:variant>
      <vt:variant>
        <vt:i4>0</vt:i4>
      </vt:variant>
      <vt:variant>
        <vt:i4>5</vt:i4>
      </vt:variant>
      <vt:variant>
        <vt:lpwstr/>
      </vt:variant>
      <vt:variant>
        <vt:lpwstr>_Toc127957568</vt:lpwstr>
      </vt:variant>
      <vt:variant>
        <vt:i4>1900598</vt:i4>
      </vt:variant>
      <vt:variant>
        <vt:i4>188</vt:i4>
      </vt:variant>
      <vt:variant>
        <vt:i4>0</vt:i4>
      </vt:variant>
      <vt:variant>
        <vt:i4>5</vt:i4>
      </vt:variant>
      <vt:variant>
        <vt:lpwstr/>
      </vt:variant>
      <vt:variant>
        <vt:lpwstr>_Toc127957567</vt:lpwstr>
      </vt:variant>
      <vt:variant>
        <vt:i4>1900598</vt:i4>
      </vt:variant>
      <vt:variant>
        <vt:i4>182</vt:i4>
      </vt:variant>
      <vt:variant>
        <vt:i4>0</vt:i4>
      </vt:variant>
      <vt:variant>
        <vt:i4>5</vt:i4>
      </vt:variant>
      <vt:variant>
        <vt:lpwstr/>
      </vt:variant>
      <vt:variant>
        <vt:lpwstr>_Toc127957566</vt:lpwstr>
      </vt:variant>
      <vt:variant>
        <vt:i4>1900598</vt:i4>
      </vt:variant>
      <vt:variant>
        <vt:i4>176</vt:i4>
      </vt:variant>
      <vt:variant>
        <vt:i4>0</vt:i4>
      </vt:variant>
      <vt:variant>
        <vt:i4>5</vt:i4>
      </vt:variant>
      <vt:variant>
        <vt:lpwstr/>
      </vt:variant>
      <vt:variant>
        <vt:lpwstr>_Toc127957565</vt:lpwstr>
      </vt:variant>
      <vt:variant>
        <vt:i4>1900598</vt:i4>
      </vt:variant>
      <vt:variant>
        <vt:i4>170</vt:i4>
      </vt:variant>
      <vt:variant>
        <vt:i4>0</vt:i4>
      </vt:variant>
      <vt:variant>
        <vt:i4>5</vt:i4>
      </vt:variant>
      <vt:variant>
        <vt:lpwstr/>
      </vt:variant>
      <vt:variant>
        <vt:lpwstr>_Toc127957564</vt:lpwstr>
      </vt:variant>
      <vt:variant>
        <vt:i4>1900598</vt:i4>
      </vt:variant>
      <vt:variant>
        <vt:i4>164</vt:i4>
      </vt:variant>
      <vt:variant>
        <vt:i4>0</vt:i4>
      </vt:variant>
      <vt:variant>
        <vt:i4>5</vt:i4>
      </vt:variant>
      <vt:variant>
        <vt:lpwstr/>
      </vt:variant>
      <vt:variant>
        <vt:lpwstr>_Toc127957563</vt:lpwstr>
      </vt:variant>
      <vt:variant>
        <vt:i4>1900598</vt:i4>
      </vt:variant>
      <vt:variant>
        <vt:i4>158</vt:i4>
      </vt:variant>
      <vt:variant>
        <vt:i4>0</vt:i4>
      </vt:variant>
      <vt:variant>
        <vt:i4>5</vt:i4>
      </vt:variant>
      <vt:variant>
        <vt:lpwstr/>
      </vt:variant>
      <vt:variant>
        <vt:lpwstr>_Toc127957562</vt:lpwstr>
      </vt:variant>
      <vt:variant>
        <vt:i4>1900598</vt:i4>
      </vt:variant>
      <vt:variant>
        <vt:i4>152</vt:i4>
      </vt:variant>
      <vt:variant>
        <vt:i4>0</vt:i4>
      </vt:variant>
      <vt:variant>
        <vt:i4>5</vt:i4>
      </vt:variant>
      <vt:variant>
        <vt:lpwstr/>
      </vt:variant>
      <vt:variant>
        <vt:lpwstr>_Toc127957561</vt:lpwstr>
      </vt:variant>
      <vt:variant>
        <vt:i4>1900598</vt:i4>
      </vt:variant>
      <vt:variant>
        <vt:i4>146</vt:i4>
      </vt:variant>
      <vt:variant>
        <vt:i4>0</vt:i4>
      </vt:variant>
      <vt:variant>
        <vt:i4>5</vt:i4>
      </vt:variant>
      <vt:variant>
        <vt:lpwstr/>
      </vt:variant>
      <vt:variant>
        <vt:lpwstr>_Toc127957560</vt:lpwstr>
      </vt:variant>
      <vt:variant>
        <vt:i4>1966134</vt:i4>
      </vt:variant>
      <vt:variant>
        <vt:i4>140</vt:i4>
      </vt:variant>
      <vt:variant>
        <vt:i4>0</vt:i4>
      </vt:variant>
      <vt:variant>
        <vt:i4>5</vt:i4>
      </vt:variant>
      <vt:variant>
        <vt:lpwstr/>
      </vt:variant>
      <vt:variant>
        <vt:lpwstr>_Toc127957559</vt:lpwstr>
      </vt:variant>
      <vt:variant>
        <vt:i4>1966134</vt:i4>
      </vt:variant>
      <vt:variant>
        <vt:i4>134</vt:i4>
      </vt:variant>
      <vt:variant>
        <vt:i4>0</vt:i4>
      </vt:variant>
      <vt:variant>
        <vt:i4>5</vt:i4>
      </vt:variant>
      <vt:variant>
        <vt:lpwstr/>
      </vt:variant>
      <vt:variant>
        <vt:lpwstr>_Toc127957558</vt:lpwstr>
      </vt:variant>
      <vt:variant>
        <vt:i4>1966134</vt:i4>
      </vt:variant>
      <vt:variant>
        <vt:i4>128</vt:i4>
      </vt:variant>
      <vt:variant>
        <vt:i4>0</vt:i4>
      </vt:variant>
      <vt:variant>
        <vt:i4>5</vt:i4>
      </vt:variant>
      <vt:variant>
        <vt:lpwstr/>
      </vt:variant>
      <vt:variant>
        <vt:lpwstr>_Toc127957557</vt:lpwstr>
      </vt:variant>
      <vt:variant>
        <vt:i4>1966134</vt:i4>
      </vt:variant>
      <vt:variant>
        <vt:i4>122</vt:i4>
      </vt:variant>
      <vt:variant>
        <vt:i4>0</vt:i4>
      </vt:variant>
      <vt:variant>
        <vt:i4>5</vt:i4>
      </vt:variant>
      <vt:variant>
        <vt:lpwstr/>
      </vt:variant>
      <vt:variant>
        <vt:lpwstr>_Toc127957556</vt:lpwstr>
      </vt:variant>
      <vt:variant>
        <vt:i4>1966134</vt:i4>
      </vt:variant>
      <vt:variant>
        <vt:i4>116</vt:i4>
      </vt:variant>
      <vt:variant>
        <vt:i4>0</vt:i4>
      </vt:variant>
      <vt:variant>
        <vt:i4>5</vt:i4>
      </vt:variant>
      <vt:variant>
        <vt:lpwstr/>
      </vt:variant>
      <vt:variant>
        <vt:lpwstr>_Toc127957555</vt:lpwstr>
      </vt:variant>
      <vt:variant>
        <vt:i4>1966134</vt:i4>
      </vt:variant>
      <vt:variant>
        <vt:i4>110</vt:i4>
      </vt:variant>
      <vt:variant>
        <vt:i4>0</vt:i4>
      </vt:variant>
      <vt:variant>
        <vt:i4>5</vt:i4>
      </vt:variant>
      <vt:variant>
        <vt:lpwstr/>
      </vt:variant>
      <vt:variant>
        <vt:lpwstr>_Toc127957554</vt:lpwstr>
      </vt:variant>
      <vt:variant>
        <vt:i4>1966134</vt:i4>
      </vt:variant>
      <vt:variant>
        <vt:i4>104</vt:i4>
      </vt:variant>
      <vt:variant>
        <vt:i4>0</vt:i4>
      </vt:variant>
      <vt:variant>
        <vt:i4>5</vt:i4>
      </vt:variant>
      <vt:variant>
        <vt:lpwstr/>
      </vt:variant>
      <vt:variant>
        <vt:lpwstr>_Toc127957553</vt:lpwstr>
      </vt:variant>
      <vt:variant>
        <vt:i4>1966134</vt:i4>
      </vt:variant>
      <vt:variant>
        <vt:i4>98</vt:i4>
      </vt:variant>
      <vt:variant>
        <vt:i4>0</vt:i4>
      </vt:variant>
      <vt:variant>
        <vt:i4>5</vt:i4>
      </vt:variant>
      <vt:variant>
        <vt:lpwstr/>
      </vt:variant>
      <vt:variant>
        <vt:lpwstr>_Toc127957552</vt:lpwstr>
      </vt:variant>
      <vt:variant>
        <vt:i4>1966134</vt:i4>
      </vt:variant>
      <vt:variant>
        <vt:i4>92</vt:i4>
      </vt:variant>
      <vt:variant>
        <vt:i4>0</vt:i4>
      </vt:variant>
      <vt:variant>
        <vt:i4>5</vt:i4>
      </vt:variant>
      <vt:variant>
        <vt:lpwstr/>
      </vt:variant>
      <vt:variant>
        <vt:lpwstr>_Toc127957551</vt:lpwstr>
      </vt:variant>
      <vt:variant>
        <vt:i4>1966134</vt:i4>
      </vt:variant>
      <vt:variant>
        <vt:i4>86</vt:i4>
      </vt:variant>
      <vt:variant>
        <vt:i4>0</vt:i4>
      </vt:variant>
      <vt:variant>
        <vt:i4>5</vt:i4>
      </vt:variant>
      <vt:variant>
        <vt:lpwstr/>
      </vt:variant>
      <vt:variant>
        <vt:lpwstr>_Toc127957550</vt:lpwstr>
      </vt:variant>
      <vt:variant>
        <vt:i4>2031670</vt:i4>
      </vt:variant>
      <vt:variant>
        <vt:i4>80</vt:i4>
      </vt:variant>
      <vt:variant>
        <vt:i4>0</vt:i4>
      </vt:variant>
      <vt:variant>
        <vt:i4>5</vt:i4>
      </vt:variant>
      <vt:variant>
        <vt:lpwstr/>
      </vt:variant>
      <vt:variant>
        <vt:lpwstr>_Toc127957549</vt:lpwstr>
      </vt:variant>
      <vt:variant>
        <vt:i4>2031670</vt:i4>
      </vt:variant>
      <vt:variant>
        <vt:i4>74</vt:i4>
      </vt:variant>
      <vt:variant>
        <vt:i4>0</vt:i4>
      </vt:variant>
      <vt:variant>
        <vt:i4>5</vt:i4>
      </vt:variant>
      <vt:variant>
        <vt:lpwstr/>
      </vt:variant>
      <vt:variant>
        <vt:lpwstr>_Toc127957548</vt:lpwstr>
      </vt:variant>
      <vt:variant>
        <vt:i4>2031670</vt:i4>
      </vt:variant>
      <vt:variant>
        <vt:i4>68</vt:i4>
      </vt:variant>
      <vt:variant>
        <vt:i4>0</vt:i4>
      </vt:variant>
      <vt:variant>
        <vt:i4>5</vt:i4>
      </vt:variant>
      <vt:variant>
        <vt:lpwstr/>
      </vt:variant>
      <vt:variant>
        <vt:lpwstr>_Toc127957547</vt:lpwstr>
      </vt:variant>
      <vt:variant>
        <vt:i4>2031670</vt:i4>
      </vt:variant>
      <vt:variant>
        <vt:i4>62</vt:i4>
      </vt:variant>
      <vt:variant>
        <vt:i4>0</vt:i4>
      </vt:variant>
      <vt:variant>
        <vt:i4>5</vt:i4>
      </vt:variant>
      <vt:variant>
        <vt:lpwstr/>
      </vt:variant>
      <vt:variant>
        <vt:lpwstr>_Toc127957546</vt:lpwstr>
      </vt:variant>
      <vt:variant>
        <vt:i4>2031670</vt:i4>
      </vt:variant>
      <vt:variant>
        <vt:i4>56</vt:i4>
      </vt:variant>
      <vt:variant>
        <vt:i4>0</vt:i4>
      </vt:variant>
      <vt:variant>
        <vt:i4>5</vt:i4>
      </vt:variant>
      <vt:variant>
        <vt:lpwstr/>
      </vt:variant>
      <vt:variant>
        <vt:lpwstr>_Toc127957545</vt:lpwstr>
      </vt:variant>
      <vt:variant>
        <vt:i4>2031670</vt:i4>
      </vt:variant>
      <vt:variant>
        <vt:i4>50</vt:i4>
      </vt:variant>
      <vt:variant>
        <vt:i4>0</vt:i4>
      </vt:variant>
      <vt:variant>
        <vt:i4>5</vt:i4>
      </vt:variant>
      <vt:variant>
        <vt:lpwstr/>
      </vt:variant>
      <vt:variant>
        <vt:lpwstr>_Toc127957544</vt:lpwstr>
      </vt:variant>
      <vt:variant>
        <vt:i4>2031670</vt:i4>
      </vt:variant>
      <vt:variant>
        <vt:i4>44</vt:i4>
      </vt:variant>
      <vt:variant>
        <vt:i4>0</vt:i4>
      </vt:variant>
      <vt:variant>
        <vt:i4>5</vt:i4>
      </vt:variant>
      <vt:variant>
        <vt:lpwstr/>
      </vt:variant>
      <vt:variant>
        <vt:lpwstr>_Toc127957543</vt:lpwstr>
      </vt:variant>
      <vt:variant>
        <vt:i4>2031670</vt:i4>
      </vt:variant>
      <vt:variant>
        <vt:i4>38</vt:i4>
      </vt:variant>
      <vt:variant>
        <vt:i4>0</vt:i4>
      </vt:variant>
      <vt:variant>
        <vt:i4>5</vt:i4>
      </vt:variant>
      <vt:variant>
        <vt:lpwstr/>
      </vt:variant>
      <vt:variant>
        <vt:lpwstr>_Toc127957542</vt:lpwstr>
      </vt:variant>
      <vt:variant>
        <vt:i4>2031670</vt:i4>
      </vt:variant>
      <vt:variant>
        <vt:i4>32</vt:i4>
      </vt:variant>
      <vt:variant>
        <vt:i4>0</vt:i4>
      </vt:variant>
      <vt:variant>
        <vt:i4>5</vt:i4>
      </vt:variant>
      <vt:variant>
        <vt:lpwstr/>
      </vt:variant>
      <vt:variant>
        <vt:lpwstr>_Toc127957541</vt:lpwstr>
      </vt:variant>
      <vt:variant>
        <vt:i4>2031670</vt:i4>
      </vt:variant>
      <vt:variant>
        <vt:i4>26</vt:i4>
      </vt:variant>
      <vt:variant>
        <vt:i4>0</vt:i4>
      </vt:variant>
      <vt:variant>
        <vt:i4>5</vt:i4>
      </vt:variant>
      <vt:variant>
        <vt:lpwstr/>
      </vt:variant>
      <vt:variant>
        <vt:lpwstr>_Toc127957540</vt:lpwstr>
      </vt:variant>
      <vt:variant>
        <vt:i4>1572918</vt:i4>
      </vt:variant>
      <vt:variant>
        <vt:i4>20</vt:i4>
      </vt:variant>
      <vt:variant>
        <vt:i4>0</vt:i4>
      </vt:variant>
      <vt:variant>
        <vt:i4>5</vt:i4>
      </vt:variant>
      <vt:variant>
        <vt:lpwstr/>
      </vt:variant>
      <vt:variant>
        <vt:lpwstr>_Toc127957539</vt:lpwstr>
      </vt:variant>
      <vt:variant>
        <vt:i4>1572918</vt:i4>
      </vt:variant>
      <vt:variant>
        <vt:i4>14</vt:i4>
      </vt:variant>
      <vt:variant>
        <vt:i4>0</vt:i4>
      </vt:variant>
      <vt:variant>
        <vt:i4>5</vt:i4>
      </vt:variant>
      <vt:variant>
        <vt:lpwstr/>
      </vt:variant>
      <vt:variant>
        <vt:lpwstr>_Toc127957538</vt:lpwstr>
      </vt:variant>
      <vt:variant>
        <vt:i4>1572918</vt:i4>
      </vt:variant>
      <vt:variant>
        <vt:i4>8</vt:i4>
      </vt:variant>
      <vt:variant>
        <vt:i4>0</vt:i4>
      </vt:variant>
      <vt:variant>
        <vt:i4>5</vt:i4>
      </vt:variant>
      <vt:variant>
        <vt:lpwstr/>
      </vt:variant>
      <vt:variant>
        <vt:lpwstr>_Toc127957537</vt:lpwstr>
      </vt:variant>
      <vt:variant>
        <vt:i4>1572918</vt:i4>
      </vt:variant>
      <vt:variant>
        <vt:i4>2</vt:i4>
      </vt:variant>
      <vt:variant>
        <vt:i4>0</vt:i4>
      </vt:variant>
      <vt:variant>
        <vt:i4>5</vt:i4>
      </vt:variant>
      <vt:variant>
        <vt:lpwstr/>
      </vt:variant>
      <vt:variant>
        <vt:lpwstr>_Toc127957536</vt:lpwstr>
      </vt:variant>
      <vt:variant>
        <vt:i4>4194326</vt:i4>
      </vt:variant>
      <vt:variant>
        <vt:i4>36</vt:i4>
      </vt:variant>
      <vt:variant>
        <vt:i4>0</vt:i4>
      </vt:variant>
      <vt:variant>
        <vt:i4>5</vt:i4>
      </vt:variant>
      <vt:variant>
        <vt:lpwstr>http://pubdocs.worldbank.org/en/497851495202591233/Managing-Risk-of-Adverse-impact-from-project-labor-influx.pdf</vt:lpwstr>
      </vt:variant>
      <vt:variant>
        <vt:lpwstr/>
      </vt:variant>
      <vt:variant>
        <vt:i4>7077940</vt:i4>
      </vt:variant>
      <vt:variant>
        <vt:i4>33</vt:i4>
      </vt:variant>
      <vt:variant>
        <vt:i4>0</vt:i4>
      </vt:variant>
      <vt:variant>
        <vt:i4>5</vt:i4>
      </vt:variant>
      <vt:variant>
        <vt:lpwstr>https://doi.org/10.4000/norois.9504</vt:lpwstr>
      </vt:variant>
      <vt:variant>
        <vt:lpwstr/>
      </vt:variant>
      <vt:variant>
        <vt:i4>5242892</vt:i4>
      </vt:variant>
      <vt:variant>
        <vt:i4>30</vt:i4>
      </vt:variant>
      <vt:variant>
        <vt:i4>0</vt:i4>
      </vt:variant>
      <vt:variant>
        <vt:i4>5</vt:i4>
      </vt:variant>
      <vt:variant>
        <vt:lpwstr>https://doi.org/10.7202/705552ar</vt:lpwstr>
      </vt:variant>
      <vt:variant>
        <vt:lpwstr/>
      </vt:variant>
      <vt:variant>
        <vt:i4>852016</vt:i4>
      </vt:variant>
      <vt:variant>
        <vt:i4>27</vt:i4>
      </vt:variant>
      <vt:variant>
        <vt:i4>0</vt:i4>
      </vt:variant>
      <vt:variant>
        <vt:i4>5</vt:i4>
      </vt:variant>
      <vt:variant>
        <vt:lpwstr>https://www.ifc.org/wps/wcm/connect/e1c73d0a-6af5-47c8-b4a6-762e250085b9e9/001_Construction%2BMaterials%2BExtraction.pdf?MOD=AJPERES&amp;CVID=jqevBT</vt:lpwstr>
      </vt:variant>
      <vt:variant>
        <vt:lpwstr/>
      </vt:variant>
      <vt:variant>
        <vt:i4>458810</vt:i4>
      </vt:variant>
      <vt:variant>
        <vt:i4>24</vt:i4>
      </vt:variant>
      <vt:variant>
        <vt:i4>0</vt:i4>
      </vt:variant>
      <vt:variant>
        <vt:i4>5</vt:i4>
      </vt:variant>
      <vt:variant>
        <vt:lpwstr>https://www.ifc.org/wps/wcm/connect/4a51e9af-9c4b-4106-a8be-567a2a451d09/046_Telecommunications.pdf?MOD=AJPERES&amp;CVID=nPtjDHV&amp;ContentCache=NONE&amp;CACHE=NONE</vt:lpwstr>
      </vt:variant>
      <vt:variant>
        <vt:lpwstr/>
      </vt:variant>
      <vt:variant>
        <vt:i4>6488148</vt:i4>
      </vt:variant>
      <vt:variant>
        <vt:i4>21</vt:i4>
      </vt:variant>
      <vt:variant>
        <vt:i4>0</vt:i4>
      </vt:variant>
      <vt:variant>
        <vt:i4>5</vt:i4>
      </vt:variant>
      <vt:variant>
        <vt:lpwstr>https://www.ifc.org/wps/wcm/connect/fe8c5e93-d8c0-4944-938c-64046fd79435/004_Electric%2BPower%2BTransmission%2Band%2BDistribution.pdf?MOD=AJPERES&amp;CVID=nPtfpU0&amp;ContentCache=NONE&amp;CACHE=NONE</vt:lpwstr>
      </vt:variant>
      <vt:variant>
        <vt:lpwstr/>
      </vt:variant>
      <vt:variant>
        <vt:i4>1376281</vt:i4>
      </vt:variant>
      <vt:variant>
        <vt:i4>18</vt:i4>
      </vt:variant>
      <vt:variant>
        <vt:i4>0</vt:i4>
      </vt:variant>
      <vt:variant>
        <vt:i4>5</vt:i4>
      </vt:variant>
      <vt:variant>
        <vt:lpwstr>https://thedocs.worldbank.org/en/doc/497851495202591233-0290022017/original/ManagingRiskofAdverseimpactfromprojectlaborinflux.pdf</vt:lpwstr>
      </vt:variant>
      <vt:variant>
        <vt:lpwstr/>
      </vt:variant>
      <vt:variant>
        <vt:i4>6422569</vt:i4>
      </vt:variant>
      <vt:variant>
        <vt:i4>15</vt:i4>
      </vt:variant>
      <vt:variant>
        <vt:i4>0</vt:i4>
      </vt:variant>
      <vt:variant>
        <vt:i4>5</vt:i4>
      </vt:variant>
      <vt:variant>
        <vt:lpwstr>https://www.ifc.org/wps/wcm/connect/7d708218-2a9e-4fcc-879d-9d5051746e7d/4%2BConstruction%2Band%2BDecommissioning.pdf?MOD=AJPERES&amp;CVID=nPtgy6x</vt:lpwstr>
      </vt:variant>
      <vt:variant>
        <vt:lpwstr/>
      </vt:variant>
      <vt:variant>
        <vt:i4>7667821</vt:i4>
      </vt:variant>
      <vt:variant>
        <vt:i4>12</vt:i4>
      </vt:variant>
      <vt:variant>
        <vt:i4>0</vt:i4>
      </vt:variant>
      <vt:variant>
        <vt:i4>5</vt:i4>
      </vt:variant>
      <vt:variant>
        <vt:lpwstr>https://www.ifc.org/wps/wcm/connect/1d19c1ab-3ef8-42d4-bd6b-cb79648af3fe/2%2BOccupational%2BHealth%2Band%2BSafety.pdf?MOD=AJPERES&amp;CVID=nPtgxyx</vt:lpwstr>
      </vt:variant>
      <vt:variant>
        <vt:lpwstr/>
      </vt:variant>
      <vt:variant>
        <vt:i4>3604540</vt:i4>
      </vt:variant>
      <vt:variant>
        <vt:i4>9</vt:i4>
      </vt:variant>
      <vt:variant>
        <vt:i4>0</vt:i4>
      </vt:variant>
      <vt:variant>
        <vt:i4>5</vt:i4>
      </vt:variant>
      <vt:variant>
        <vt:lpwstr>https://www.ifc.org/wps/wcm/connect/eeb82b4a-e9a8-4ad1-9472-f1c766eb67c8/3%2BCommunity%2BHealth%2Band%2BSafety.pdf?MOD=AJPERES&amp;CVID=nPtgxTd</vt:lpwstr>
      </vt:variant>
      <vt:variant>
        <vt:lpwstr/>
      </vt:variant>
      <vt:variant>
        <vt:i4>3539010</vt:i4>
      </vt:variant>
      <vt:variant>
        <vt:i4>6</vt:i4>
      </vt:variant>
      <vt:variant>
        <vt:i4>0</vt:i4>
      </vt:variant>
      <vt:variant>
        <vt:i4>5</vt:i4>
      </vt:variant>
      <vt:variant>
        <vt:lpwstr>https://www.ifc.org/wps/wcm/connect/d4260b19-30f2-466d-9c7e-86ac0ece7e89/010_General%2BGuidelines.pdf?MOD=AJPERES&amp;CVID=nPtgz5p&amp;ContentCache=NONE&amp;CACHE=NONE</vt:lpwstr>
      </vt:variant>
      <vt:variant>
        <vt:lpwstr/>
      </vt:variant>
      <vt:variant>
        <vt:i4>1966144</vt:i4>
      </vt:variant>
      <vt:variant>
        <vt:i4>3</vt:i4>
      </vt:variant>
      <vt:variant>
        <vt:i4>0</vt:i4>
      </vt:variant>
      <vt:variant>
        <vt:i4>5</vt:i4>
      </vt:variant>
      <vt:variant>
        <vt:lpwstr>https://fr.countryeconomy.com/energie-et-environnement/electricite-production/madagascar</vt:lpwstr>
      </vt:variant>
      <vt:variant>
        <vt:lpwstr/>
      </vt:variant>
      <vt:variant>
        <vt:i4>4784192</vt:i4>
      </vt:variant>
      <vt:variant>
        <vt:i4>0</vt:i4>
      </vt:variant>
      <vt:variant>
        <vt:i4>0</vt:i4>
      </vt:variant>
      <vt:variant>
        <vt:i4>5</vt:i4>
      </vt:variant>
      <vt:variant>
        <vt:lpwstr>https://www/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Tsiry</dc:creator>
  <cp:keywords/>
  <cp:lastModifiedBy>ORE</cp:lastModifiedBy>
  <cp:revision>3</cp:revision>
  <dcterms:created xsi:type="dcterms:W3CDTF">2023-02-23T07:59:00Z</dcterms:created>
  <dcterms:modified xsi:type="dcterms:W3CDTF">2023-02-23T07:59:00Z</dcterms:modified>
</cp:coreProperties>
</file>